
<file path=[Content_Types].xml><?xml version="1.0" encoding="utf-8"?>
<Types xmlns="http://schemas.openxmlformats.org/package/2006/content-types">
  <Default Extension="bin" ContentType="application/vnd.openxmlformats-officedocument.oleObject"/>
  <Default Extension="gif" ContentType="image/gi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drawings/drawing2.xml" ContentType="application/vnd.openxmlformats-officedocument.drawingml.chartshapes+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drawings/drawing3.xml" ContentType="application/vnd.openxmlformats-officedocument.drawingml.chartshapes+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6.xml" ContentType="application/vnd.openxmlformats-officedocument.drawingml.chart+xml"/>
  <Override PartName="/word/charts/style5.xml" ContentType="application/vnd.ms-office.chartstyle+xml"/>
  <Override PartName="/word/charts/colors5.xml" ContentType="application/vnd.ms-office.chartcolorstyle+xml"/>
  <Override PartName="/word/drawings/drawing4.xml" ContentType="application/vnd.openxmlformats-officedocument.drawingml.chartshapes+xml"/>
  <Override PartName="/word/charts/chart7.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5.xml" ContentType="application/vnd.openxmlformats-officedocument.themeOverride+xml"/>
  <Override PartName="/word/charts/chart8.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6.xml" ContentType="application/vnd.openxmlformats-officedocument.themeOverride+xml"/>
  <Override PartName="/word/drawings/drawing5.xml" ContentType="application/vnd.openxmlformats-officedocument.drawingml.chartshapes+xml"/>
  <Override PartName="/word/charts/chart9.xml" ContentType="application/vnd.openxmlformats-officedocument.drawingml.chart+xml"/>
  <Override PartName="/word/charts/style8.xml" ContentType="application/vnd.ms-office.chartstyle+xml"/>
  <Override PartName="/word/charts/colors8.xml" ContentType="application/vnd.ms-office.chartcolorstyle+xml"/>
  <Override PartName="/word/drawings/drawing6.xml" ContentType="application/vnd.openxmlformats-officedocument.drawingml.chartshapes+xml"/>
  <Override PartName="/word/charts/chart10.xml" ContentType="application/vnd.openxmlformats-officedocument.drawingml.chart+xml"/>
  <Override PartName="/word/theme/themeOverride7.xml" ContentType="application/vnd.openxmlformats-officedocument.themeOverride+xml"/>
  <Override PartName="/word/drawings/drawing7.xml" ContentType="application/vnd.openxmlformats-officedocument.drawingml.chartshapes+xml"/>
  <Override PartName="/word/charts/chart11.xml" ContentType="application/vnd.openxmlformats-officedocument.drawingml.chart+xml"/>
  <Override PartName="/word/charts/style9.xml" ContentType="application/vnd.ms-office.chartstyle+xml"/>
  <Override PartName="/word/charts/colors9.xml" ContentType="application/vnd.ms-office.chartcolorstyle+xml"/>
  <Override PartName="/word/drawings/drawing8.xml" ContentType="application/vnd.openxmlformats-officedocument.drawingml.chartshapes+xml"/>
  <Override PartName="/word/charts/chart12.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8.xml" ContentType="application/vnd.openxmlformats-officedocument.themeOverride+xml"/>
  <Override PartName="/word/drawings/drawing9.xml" ContentType="application/vnd.openxmlformats-officedocument.drawingml.chartshapes+xml"/>
  <Override PartName="/word/charts/chart13.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9.xml" ContentType="application/vnd.openxmlformats-officedocument.themeOverride+xml"/>
  <Override PartName="/word/drawings/drawing10.xml" ContentType="application/vnd.openxmlformats-officedocument.drawingml.chartshapes+xml"/>
  <Override PartName="/word/charts/chart14.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10.xml" ContentType="application/vnd.openxmlformats-officedocument.themeOverride+xml"/>
  <Override PartName="/word/charts/chart15.xml" ContentType="application/vnd.openxmlformats-officedocument.drawingml.chart+xml"/>
  <Override PartName="/word/charts/style13.xml" ContentType="application/vnd.ms-office.chartstyle+xml"/>
  <Override PartName="/word/charts/colors13.xml" ContentType="application/vnd.ms-office.chartcolorstyle+xml"/>
  <Override PartName="/word/drawings/drawing11.xml" ContentType="application/vnd.openxmlformats-officedocument.drawingml.chartshap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4424B0" w14:textId="68799FF6" w:rsidR="00B40B77" w:rsidRPr="00092ED7" w:rsidRDefault="00B40B77" w:rsidP="00DC50CA">
      <w:pPr>
        <w:spacing w:after="160" w:line="259" w:lineRule="auto"/>
        <w:ind w:firstLine="720"/>
        <w:rPr>
          <w:rFonts w:eastAsia="MS PGothic" w:cs="Times New Roman"/>
          <w:b/>
          <w:w w:val="110"/>
          <w:sz w:val="26"/>
          <w:szCs w:val="26"/>
          <w:lang w:val="sr-Cyrl-CS" w:eastAsia="ja-JP"/>
        </w:rPr>
      </w:pPr>
      <w:bookmarkStart w:id="0" w:name="_Toc337117118"/>
      <w:bookmarkStart w:id="1" w:name="_Toc444605532"/>
      <w:r w:rsidRPr="00092ED7">
        <w:rPr>
          <w:lang w:val="sr-Cyrl-CS" w:eastAsia="ja-JP"/>
        </w:rPr>
        <w:t>На основу члана 38. став 1. Закона о планском систему Републике Србије („Службени гласник РС”, број 30/18),</w:t>
      </w:r>
    </w:p>
    <w:p w14:paraId="20402C23" w14:textId="77777777" w:rsidR="00B40B77" w:rsidRPr="00092ED7" w:rsidRDefault="00B40B77" w:rsidP="00B40B77">
      <w:pPr>
        <w:spacing w:after="60"/>
        <w:rPr>
          <w:lang w:val="sr-Cyrl-CS" w:eastAsia="ja-JP"/>
        </w:rPr>
      </w:pPr>
    </w:p>
    <w:p w14:paraId="58E9F708" w14:textId="77777777" w:rsidR="00B40B77" w:rsidRPr="00092ED7" w:rsidRDefault="00B40B77" w:rsidP="00B40B77">
      <w:pPr>
        <w:spacing w:after="60"/>
        <w:ind w:firstLine="720"/>
        <w:rPr>
          <w:lang w:val="sr-Cyrl-CS" w:eastAsia="ja-JP"/>
        </w:rPr>
      </w:pPr>
      <w:r w:rsidRPr="00092ED7">
        <w:rPr>
          <w:lang w:val="sr-Cyrl-CS" w:eastAsia="ja-JP"/>
        </w:rPr>
        <w:t xml:space="preserve">Влада усваја </w:t>
      </w:r>
    </w:p>
    <w:p w14:paraId="22B6D037" w14:textId="77777777" w:rsidR="00B40B77" w:rsidRPr="00092ED7" w:rsidRDefault="00B40B77" w:rsidP="00B40B77">
      <w:pPr>
        <w:spacing w:after="60"/>
        <w:rPr>
          <w:lang w:val="sr-Cyrl-CS" w:eastAsia="ja-JP"/>
        </w:rPr>
      </w:pPr>
    </w:p>
    <w:p w14:paraId="5A5E8D72" w14:textId="77777777" w:rsidR="00B40B77" w:rsidRPr="00092ED7" w:rsidRDefault="00B40B77" w:rsidP="00B40B77">
      <w:pPr>
        <w:spacing w:after="60"/>
        <w:jc w:val="center"/>
        <w:rPr>
          <w:szCs w:val="24"/>
          <w:lang w:val="sr-Cyrl-CS" w:eastAsia="ja-JP"/>
        </w:rPr>
      </w:pPr>
      <w:r w:rsidRPr="00092ED7">
        <w:rPr>
          <w:szCs w:val="24"/>
          <w:lang w:val="sr-Cyrl-CS" w:eastAsia="ja-JP"/>
        </w:rPr>
        <w:t>ПРОГРАМ ЕКОНОМСКИХ РЕФОРМИ ЗА ПЕРИОД ОД 2023. ДО 2025. ГОДИНЕ</w:t>
      </w:r>
    </w:p>
    <w:p w14:paraId="7865227B" w14:textId="77777777" w:rsidR="00B40B77" w:rsidRPr="00092ED7" w:rsidRDefault="00B40B77" w:rsidP="00B40B77">
      <w:pPr>
        <w:spacing w:after="60"/>
        <w:rPr>
          <w:lang w:val="sr-Cyrl-CS" w:eastAsia="ja-JP"/>
        </w:rPr>
      </w:pPr>
    </w:p>
    <w:p w14:paraId="5AE8C13E" w14:textId="77777777" w:rsidR="003A1248" w:rsidRPr="00092ED7" w:rsidRDefault="009807AD" w:rsidP="00EA064B">
      <w:pPr>
        <w:keepNext/>
        <w:keepLines/>
        <w:spacing w:before="240" w:after="240"/>
        <w:outlineLvl w:val="0"/>
        <w:rPr>
          <w:rFonts w:eastAsia="MS PGothic" w:cs="Times New Roman"/>
          <w:b/>
          <w:szCs w:val="24"/>
          <w:lang w:val="sr-Cyrl-CS" w:eastAsia="ja-JP"/>
        </w:rPr>
      </w:pPr>
      <w:bookmarkStart w:id="2" w:name="_Toc124174786"/>
      <w:r w:rsidRPr="00092ED7">
        <w:rPr>
          <w:rFonts w:eastAsia="MS PGothic" w:cs="Times New Roman"/>
          <w:b/>
          <w:szCs w:val="24"/>
          <w:lang w:val="sr-Cyrl-CS" w:eastAsia="ja-JP"/>
        </w:rPr>
        <w:t>1</w:t>
      </w:r>
      <w:r w:rsidR="00AA1BAE" w:rsidRPr="00092ED7">
        <w:rPr>
          <w:rFonts w:eastAsia="MS PGothic" w:cs="Times New Roman"/>
          <w:b/>
          <w:szCs w:val="24"/>
          <w:lang w:val="sr-Cyrl-CS" w:eastAsia="ja-JP"/>
        </w:rPr>
        <w:t xml:space="preserve">. </w:t>
      </w:r>
      <w:r w:rsidR="003A1248" w:rsidRPr="00092ED7">
        <w:rPr>
          <w:rFonts w:eastAsia="MS PGothic" w:cs="Times New Roman"/>
          <w:b/>
          <w:caps/>
          <w:szCs w:val="24"/>
          <w:lang w:val="sr-Cyrl-CS" w:eastAsia="ja-JP"/>
        </w:rPr>
        <w:t xml:space="preserve">Општи оквир и </w:t>
      </w:r>
      <w:r w:rsidR="009333E2" w:rsidRPr="00092ED7">
        <w:rPr>
          <w:rFonts w:eastAsia="MS PGothic" w:cs="Times New Roman"/>
          <w:b/>
          <w:caps/>
          <w:szCs w:val="24"/>
          <w:lang w:val="sr-Cyrl-CS" w:eastAsia="ja-JP"/>
        </w:rPr>
        <w:t xml:space="preserve">циљеви </w:t>
      </w:r>
      <w:r w:rsidR="001A3EE1" w:rsidRPr="00092ED7">
        <w:rPr>
          <w:rFonts w:eastAsia="MS PGothic" w:cs="Times New Roman"/>
          <w:b/>
          <w:caps/>
          <w:szCs w:val="24"/>
          <w:lang w:val="sr-Cyrl-CS" w:eastAsia="ja-JP"/>
        </w:rPr>
        <w:t xml:space="preserve">јавне </w:t>
      </w:r>
      <w:r w:rsidR="003A1248" w:rsidRPr="00092ED7">
        <w:rPr>
          <w:rFonts w:eastAsia="MS PGothic" w:cs="Times New Roman"/>
          <w:b/>
          <w:caps/>
          <w:szCs w:val="24"/>
          <w:lang w:val="sr-Cyrl-CS" w:eastAsia="ja-JP"/>
        </w:rPr>
        <w:t>политике</w:t>
      </w:r>
      <w:bookmarkEnd w:id="2"/>
    </w:p>
    <w:p w14:paraId="2E4A4B67" w14:textId="79827105" w:rsidR="009F0D95" w:rsidRPr="00092ED7" w:rsidRDefault="009F0D95" w:rsidP="009F0D95">
      <w:pPr>
        <w:spacing w:after="60"/>
        <w:rPr>
          <w:lang w:val="sr-Cyrl-CS" w:eastAsia="ja-JP"/>
        </w:rPr>
      </w:pPr>
      <w:r w:rsidRPr="00092ED7">
        <w:rPr>
          <w:lang w:val="sr-Cyrl-CS" w:eastAsia="ja-JP"/>
        </w:rPr>
        <w:t>Економска политика у наредном периоду обликована је изласком из једне, и уласком у нову кризу. Изласком из двогодишње кризе, изазване пандемијом, очекивао се један мирнији период који би омогућио економској, пре свега фискалној политици, предах и довољно времена да се врати на одрживу путању. Међутим</w:t>
      </w:r>
      <w:r w:rsidR="00C47140" w:rsidRPr="00092ED7">
        <w:rPr>
          <w:lang w:val="sr-Cyrl-CS" w:eastAsia="ja-JP"/>
        </w:rPr>
        <w:t>, с</w:t>
      </w:r>
      <w:r w:rsidRPr="00092ED7">
        <w:rPr>
          <w:lang w:val="sr-Cyrl-CS" w:eastAsia="ja-JP"/>
        </w:rPr>
        <w:t>укоб у Украјини интензивирао је постојеће и донео нове ризике који у потпуности мењају и међународно окружење и економску политику у земљи. Глобална, растућа инфлација, интензивирана енергетска криза пред креаторе економске политике постављају велике изазове. Геополитичка криза је краткорочне инфлаторне притиске учинила постојаним, уз велику вероватноћу њиховог дугорочног присуства у глобалној економији. Истовремено, очекује се да ће повећана неизвесност на глобалном нивоу утицати негативно на токове капитала према земљама у успону, посебно ако се има у виду циклус пооштравања монетарних политика водећих централних банака. Осим привремених фактора, економске трендове карактеришу и структурне промене геополитичког и економског окружења вођене процесима деглобализације, неповољним демографским кретањима и убрзане зелене транзиције.</w:t>
      </w:r>
    </w:p>
    <w:p w14:paraId="733B8D20" w14:textId="0BF3CBF0" w:rsidR="00E939B0" w:rsidRPr="00092ED7" w:rsidRDefault="009F0D95" w:rsidP="00EA064B">
      <w:pPr>
        <w:spacing w:after="60"/>
        <w:rPr>
          <w:rFonts w:eastAsia="MS PGothic" w:cs="Times New Roman"/>
          <w:szCs w:val="24"/>
          <w:lang w:val="sr-Cyrl-CS" w:eastAsia="ja-JP"/>
        </w:rPr>
      </w:pPr>
      <w:r w:rsidRPr="00092ED7">
        <w:rPr>
          <w:lang w:val="sr-Cyrl-CS" w:eastAsia="ja-JP"/>
        </w:rPr>
        <w:t xml:space="preserve">Фискална политика има посебну улогу у условима растуће неизвесности. Улога фискалне политике била је кључна у протекле две пандемијске године. Избијањем сукоба у Украјини и повећањем глобалне неизвесности, околности у којима фискална политика може да делује су се у потпуности промениле. Државе се сада суочавају са условима високе и растуће инфлације, успоравањем раста и пооштравањем услова за финансирање дефицита. Пред фискалну политику стављају се нови изазови. Поремећаји у енергетском сектору уз растуће трошкове привреде и одржавање стандарда становништва захтевају нови сет мера. Трошкови за енергетику (набавка енергената, субвенционисање цене гаса и сл.) узимају добар део фискалног простора, примања становништва (плате у јавном сектору и пензије) усклађују се у циљу очувања животног стандарда. Неопходно је и даље очувати ниво капиталних инвестиција, преко потребних као подршка привредном расту. На крају, од изузетне важности је очување фискалне дисциплине у условима високе неизвесности. Република Србија поднела је захтев за нови </w:t>
      </w:r>
      <w:r w:rsidR="00074E1B" w:rsidRPr="00092ED7">
        <w:rPr>
          <w:lang w:val="sr-Cyrl-CS" w:eastAsia="ja-JP"/>
        </w:rPr>
        <w:t>а</w:t>
      </w:r>
      <w:r w:rsidRPr="00092ED7">
        <w:rPr>
          <w:lang w:val="sr-Cyrl-CS" w:eastAsia="ja-JP"/>
        </w:rPr>
        <w:t xml:space="preserve">ранжман из предострожности са </w:t>
      </w:r>
      <w:r w:rsidR="00D2030C" w:rsidRPr="00092ED7">
        <w:rPr>
          <w:rFonts w:eastAsia="MS PGothic" w:cs="Times New Roman"/>
          <w:bCs/>
          <w:iCs/>
          <w:szCs w:val="24"/>
          <w:lang w:val="sr-Cyrl-CS" w:eastAsia="ja-JP"/>
        </w:rPr>
        <w:t>Међународним монетарним фондом (у даљем тексту</w:t>
      </w:r>
      <w:r w:rsidR="002130B4" w:rsidRPr="00092ED7">
        <w:rPr>
          <w:rFonts w:eastAsia="MS PGothic" w:cs="Times New Roman"/>
          <w:bCs/>
          <w:iCs/>
          <w:szCs w:val="24"/>
          <w:lang w:val="sr-Cyrl-CS" w:eastAsia="ja-JP"/>
        </w:rPr>
        <w:t>:</w:t>
      </w:r>
      <w:r w:rsidR="00D2030C" w:rsidRPr="00092ED7">
        <w:rPr>
          <w:rFonts w:eastAsia="MS PGothic" w:cs="Times New Roman"/>
          <w:bCs/>
          <w:iCs/>
          <w:szCs w:val="24"/>
          <w:lang w:val="sr-Cyrl-CS" w:eastAsia="ja-JP"/>
        </w:rPr>
        <w:t xml:space="preserve"> </w:t>
      </w:r>
      <w:r w:rsidRPr="00092ED7">
        <w:rPr>
          <w:lang w:val="sr-Cyrl-CS" w:eastAsia="ja-JP"/>
        </w:rPr>
        <w:t>ММФ</w:t>
      </w:r>
      <w:r w:rsidR="00D2030C" w:rsidRPr="00092ED7">
        <w:rPr>
          <w:rFonts w:eastAsia="MS PGothic" w:cs="Times New Roman"/>
          <w:bCs/>
          <w:iCs/>
          <w:szCs w:val="24"/>
          <w:lang w:val="sr-Cyrl-CS" w:eastAsia="ja-JP"/>
        </w:rPr>
        <w:t>)</w:t>
      </w:r>
      <w:r w:rsidRPr="00092ED7">
        <w:rPr>
          <w:lang w:val="sr-Cyrl-CS" w:eastAsia="ja-JP"/>
        </w:rPr>
        <w:t xml:space="preserve"> који ће подржати напоре за очување макроекономске и фискалне стабилности. Правци фискалне политике дефинисани су ка смањењу дефицита и дуга у средњем року. Након изузетних околности, које су повећале трошкове буџетске подршке сектору енергетике у 2022. и делом у 2023. години, очекује се, након спроведених структурних реформи и промена у међународном окружењу да ови трошкови изостану, односно не захтевају буџетску интервенцију у средњем року. У правцу очувања фискалне стабилности редефинисана су и фискална правила која преузимају улогу чувара одрживе фискалне позиције у средњем року.</w:t>
      </w:r>
    </w:p>
    <w:p w14:paraId="4EA1F53E" w14:textId="77777777" w:rsidR="00E939B0" w:rsidRPr="00092ED7" w:rsidRDefault="00E939B0" w:rsidP="00E939B0">
      <w:pPr>
        <w:keepNext/>
        <w:keepLines/>
        <w:spacing w:after="240"/>
        <w:outlineLvl w:val="0"/>
        <w:rPr>
          <w:rFonts w:eastAsia="MS PGothic" w:cs="Times New Roman"/>
          <w:b/>
          <w:w w:val="110"/>
          <w:szCs w:val="24"/>
          <w:lang w:val="sr-Cyrl-CS" w:eastAsia="ja-JP"/>
        </w:rPr>
      </w:pPr>
      <w:bookmarkStart w:id="3" w:name="_Toc62458626"/>
      <w:bookmarkStart w:id="4" w:name="_Toc124174787"/>
      <w:r w:rsidRPr="00092ED7">
        <w:rPr>
          <w:rFonts w:eastAsia="MS PGothic" w:cs="Times New Roman"/>
          <w:b/>
          <w:w w:val="110"/>
          <w:szCs w:val="24"/>
          <w:lang w:val="sr-Cyrl-CS" w:eastAsia="ja-JP"/>
        </w:rPr>
        <w:lastRenderedPageBreak/>
        <w:t>2. СПРОВОЂЕЊЕ ПРЕПОРУКА</w:t>
      </w:r>
      <w:bookmarkEnd w:id="3"/>
      <w:bookmarkEnd w:id="4"/>
    </w:p>
    <w:p w14:paraId="364A25AA" w14:textId="1C36BC89" w:rsidR="00F13B06" w:rsidRPr="00092ED7" w:rsidRDefault="00F13B06" w:rsidP="00F13B06">
      <w:pPr>
        <w:spacing w:after="60"/>
        <w:rPr>
          <w:rFonts w:cs="Times New Roman"/>
          <w:szCs w:val="24"/>
          <w:lang w:val="sr-Cyrl-CS"/>
        </w:rPr>
      </w:pPr>
      <w:r w:rsidRPr="00092ED7">
        <w:rPr>
          <w:rFonts w:cs="Times New Roman"/>
          <w:szCs w:val="24"/>
          <w:lang w:val="sr-Cyrl-CS"/>
        </w:rPr>
        <w:t>Испуњење Препоруке (</w:t>
      </w:r>
      <w:r w:rsidRPr="00092ED7">
        <w:rPr>
          <w:rFonts w:cs="Times New Roman"/>
          <w:i/>
          <w:szCs w:val="24"/>
          <w:lang w:val="sr-Cyrl-CS"/>
        </w:rPr>
        <w:t>Policy Guidance</w:t>
      </w:r>
      <w:r w:rsidRPr="00092ED7">
        <w:rPr>
          <w:rFonts w:cs="Times New Roman"/>
          <w:szCs w:val="24"/>
          <w:lang w:val="sr-Cyrl-CS"/>
        </w:rPr>
        <w:t xml:space="preserve"> – PG) за појединачне политике као део Заједничких закључака, у вези са Програмом економских реформи (</w:t>
      </w:r>
      <w:r w:rsidR="00D2030C" w:rsidRPr="00092ED7">
        <w:rPr>
          <w:rFonts w:cs="Times New Roman"/>
          <w:szCs w:val="24"/>
          <w:lang w:val="sr-Cyrl-CS"/>
        </w:rPr>
        <w:t>у даљем тексту</w:t>
      </w:r>
      <w:r w:rsidR="002130B4" w:rsidRPr="00092ED7">
        <w:rPr>
          <w:rFonts w:cs="Times New Roman"/>
          <w:szCs w:val="24"/>
          <w:lang w:val="sr-Cyrl-CS"/>
        </w:rPr>
        <w:t>:</w:t>
      </w:r>
      <w:r w:rsidR="00D2030C" w:rsidRPr="00092ED7">
        <w:rPr>
          <w:rFonts w:cs="Times New Roman"/>
          <w:szCs w:val="24"/>
          <w:lang w:val="sr-Cyrl-CS"/>
        </w:rPr>
        <w:t xml:space="preserve"> </w:t>
      </w:r>
      <w:r w:rsidRPr="00092ED7">
        <w:rPr>
          <w:rFonts w:cs="Times New Roman"/>
          <w:szCs w:val="24"/>
          <w:lang w:val="sr-Cyrl-CS"/>
        </w:rPr>
        <w:t xml:space="preserve">ЕРП) 2022-2024, који су усвојени на састанку </w:t>
      </w:r>
      <w:r w:rsidR="00D2030C" w:rsidRPr="00092ED7">
        <w:rPr>
          <w:rStyle w:val="Emphasis"/>
          <w:i w:val="0"/>
          <w:lang w:val="sr-Cyrl-CS"/>
        </w:rPr>
        <w:t>Савета Европске уније за економска и финансијска питања</w:t>
      </w:r>
      <w:r w:rsidR="00D2030C" w:rsidRPr="00092ED7">
        <w:rPr>
          <w:rStyle w:val="Emphasis"/>
          <w:lang w:val="sr-Cyrl-CS"/>
        </w:rPr>
        <w:t xml:space="preserve"> </w:t>
      </w:r>
      <w:r w:rsidR="00D2030C" w:rsidRPr="00092ED7">
        <w:rPr>
          <w:i/>
          <w:lang w:val="sr-Cyrl-CS"/>
        </w:rPr>
        <w:t xml:space="preserve"> </w:t>
      </w:r>
      <w:r w:rsidR="00D2030C" w:rsidRPr="00092ED7">
        <w:rPr>
          <w:lang w:val="sr-Cyrl-CS"/>
        </w:rPr>
        <w:t>(у даљем тексту</w:t>
      </w:r>
      <w:r w:rsidR="002130B4" w:rsidRPr="00092ED7">
        <w:rPr>
          <w:lang w:val="sr-Cyrl-CS"/>
        </w:rPr>
        <w:t>:</w:t>
      </w:r>
      <w:r w:rsidR="00D2030C" w:rsidRPr="00092ED7">
        <w:rPr>
          <w:rFonts w:cs="Times New Roman"/>
          <w:szCs w:val="24"/>
          <w:lang w:val="sr-Cyrl-CS"/>
        </w:rPr>
        <w:t xml:space="preserve"> </w:t>
      </w:r>
      <w:r w:rsidRPr="00092ED7">
        <w:rPr>
          <w:rFonts w:cs="Times New Roman"/>
          <w:szCs w:val="24"/>
          <w:lang w:val="sr-Cyrl-CS"/>
        </w:rPr>
        <w:t>ECOFIN Савет</w:t>
      </w:r>
      <w:r w:rsidR="00D2030C" w:rsidRPr="00092ED7">
        <w:rPr>
          <w:rFonts w:cs="Times New Roman"/>
          <w:szCs w:val="24"/>
          <w:lang w:val="sr-Cyrl-CS"/>
        </w:rPr>
        <w:t>)</w:t>
      </w:r>
      <w:r w:rsidRPr="00092ED7">
        <w:rPr>
          <w:rFonts w:cs="Times New Roman"/>
          <w:szCs w:val="24"/>
          <w:lang w:val="sr-Cyrl-CS"/>
        </w:rPr>
        <w:t xml:space="preserve">, одржаном </w:t>
      </w:r>
      <w:r w:rsidR="00604FBD" w:rsidRPr="00092ED7">
        <w:rPr>
          <w:rFonts w:cs="Times New Roman"/>
          <w:szCs w:val="24"/>
          <w:lang w:val="sr-Cyrl-CS"/>
        </w:rPr>
        <w:t>24</w:t>
      </w:r>
      <w:r w:rsidRPr="00092ED7">
        <w:rPr>
          <w:rFonts w:cs="Times New Roman"/>
          <w:szCs w:val="24"/>
          <w:lang w:val="sr-Cyrl-CS"/>
        </w:rPr>
        <w:t xml:space="preserve">. маја 2022. године у Бриселу, у оквиру </w:t>
      </w:r>
      <w:r w:rsidR="0052060E" w:rsidRPr="00092ED7">
        <w:rPr>
          <w:rFonts w:cs="Times New Roman"/>
          <w:szCs w:val="24"/>
          <w:lang w:val="sr-Cyrl-CS"/>
        </w:rPr>
        <w:t>„</w:t>
      </w:r>
      <w:r w:rsidRPr="00092ED7">
        <w:rPr>
          <w:rFonts w:cs="Times New Roman"/>
          <w:szCs w:val="24"/>
          <w:lang w:val="sr-Cyrl-CS"/>
        </w:rPr>
        <w:t xml:space="preserve">Економског и финансијског дијалога између </w:t>
      </w:r>
      <w:r w:rsidR="00D2030C" w:rsidRPr="00092ED7">
        <w:rPr>
          <w:rFonts w:cs="Times New Roman"/>
          <w:szCs w:val="24"/>
          <w:lang w:val="sr-Cyrl-CS"/>
        </w:rPr>
        <w:t xml:space="preserve">Европске уније </w:t>
      </w:r>
      <w:r w:rsidR="005B057C" w:rsidRPr="00092ED7">
        <w:rPr>
          <w:rFonts w:cs="Times New Roman"/>
          <w:szCs w:val="24"/>
          <w:lang w:val="sr-Cyrl-CS"/>
        </w:rPr>
        <w:t xml:space="preserve">и Западног Балкана и </w:t>
      </w:r>
      <w:r w:rsidRPr="00092ED7">
        <w:rPr>
          <w:rFonts w:cs="Times New Roman"/>
          <w:szCs w:val="24"/>
          <w:lang w:val="sr-Cyrl-CS"/>
        </w:rPr>
        <w:t>Турске</w:t>
      </w:r>
      <w:r w:rsidR="0052060E" w:rsidRPr="00092ED7">
        <w:rPr>
          <w:rFonts w:cs="Times New Roman"/>
          <w:szCs w:val="24"/>
          <w:lang w:val="sr-Cyrl-CS"/>
        </w:rPr>
        <w:t>”</w:t>
      </w:r>
      <w:r w:rsidRPr="00092ED7">
        <w:rPr>
          <w:rFonts w:cs="Times New Roman"/>
          <w:szCs w:val="24"/>
          <w:lang w:val="sr-Cyrl-CS"/>
        </w:rPr>
        <w:t>, рефлектују се у бројним реформским мерама и активностима Владе</w:t>
      </w:r>
      <w:r w:rsidR="00D2030C" w:rsidRPr="00092ED7">
        <w:rPr>
          <w:rFonts w:cs="Times New Roman"/>
          <w:szCs w:val="24"/>
          <w:lang w:val="sr-Cyrl-CS"/>
        </w:rPr>
        <w:t>.</w:t>
      </w:r>
    </w:p>
    <w:p w14:paraId="5593B1F0" w14:textId="1AFB1784" w:rsidR="00F13B06" w:rsidRPr="00092ED7" w:rsidRDefault="00F13B06" w:rsidP="00F13B06">
      <w:pPr>
        <w:spacing w:before="120"/>
        <w:rPr>
          <w:rFonts w:cs="Times New Roman"/>
          <w:b/>
          <w:szCs w:val="24"/>
          <w:lang w:val="sr-Cyrl-CS"/>
        </w:rPr>
      </w:pPr>
      <w:r w:rsidRPr="00092ED7">
        <w:rPr>
          <w:rFonts w:cs="Times New Roman"/>
          <w:b/>
          <w:szCs w:val="24"/>
          <w:lang w:val="sr-Cyrl-CS"/>
        </w:rPr>
        <w:t xml:space="preserve">2.1. Испуњење Препорука </w:t>
      </w:r>
      <w:r w:rsidR="00D2030C" w:rsidRPr="00092ED7">
        <w:rPr>
          <w:rFonts w:cs="Times New Roman"/>
          <w:szCs w:val="24"/>
          <w:lang w:val="sr-Cyrl-CS"/>
        </w:rPr>
        <w:t>ECOFIN</w:t>
      </w:r>
      <w:r w:rsidR="00D2030C" w:rsidRPr="00092ED7" w:rsidDel="00973342">
        <w:rPr>
          <w:rFonts w:cs="Times New Roman"/>
          <w:b/>
          <w:szCs w:val="24"/>
          <w:lang w:val="sr-Cyrl-CS"/>
        </w:rPr>
        <w:t xml:space="preserve"> </w:t>
      </w:r>
      <w:r w:rsidRPr="00092ED7">
        <w:rPr>
          <w:rFonts w:cs="Times New Roman"/>
          <w:b/>
          <w:szCs w:val="24"/>
          <w:lang w:val="sr-Cyrl-CS"/>
        </w:rPr>
        <w:t>Савета из маја 2022. за Републику Србију</w:t>
      </w:r>
    </w:p>
    <w:p w14:paraId="1E1E3375" w14:textId="77777777" w:rsidR="00F13B06" w:rsidRPr="00092ED7" w:rsidRDefault="00F13B06" w:rsidP="00F13B06">
      <w:pPr>
        <w:shd w:val="clear" w:color="auto" w:fill="D9D9D9" w:themeFill="background1" w:themeFillShade="D9"/>
        <w:spacing w:after="60"/>
        <w:rPr>
          <w:rFonts w:eastAsia="MS PGothic" w:cs="Times New Roman"/>
          <w:bCs/>
          <w:i/>
          <w:iCs/>
          <w:szCs w:val="24"/>
          <w:lang w:val="sr-Cyrl-CS" w:eastAsia="ja-JP"/>
        </w:rPr>
      </w:pPr>
      <w:r w:rsidRPr="00092ED7">
        <w:rPr>
          <w:rFonts w:cs="Times New Roman"/>
          <w:bCs/>
          <w:i/>
          <w:iCs/>
          <w:szCs w:val="24"/>
          <w:lang w:val="sr-Cyrl-CS"/>
        </w:rPr>
        <w:t>1. Ако је потребно, искористити расположиви фискални простор у буџету за 2022. годину за ублажавање потенцијалних утицаја негативних шокова кроз циљану фискалну подршку усмерену ка угроженим домаћинствима и предузећима; под условом да je привредни опоравак стабилан, планирати постепени повратак на дефицит близу баланса у буџету за 2023. годину и средњорочни фискални оквир.</w:t>
      </w:r>
    </w:p>
    <w:p w14:paraId="07A8DF3B" w14:textId="77777777" w:rsidR="00F13B06" w:rsidRPr="00092ED7" w:rsidRDefault="00F13B06" w:rsidP="00F13B06">
      <w:pPr>
        <w:spacing w:after="60"/>
        <w:rPr>
          <w:rFonts w:eastAsia="MS PGothic" w:cs="Times New Roman"/>
          <w:bCs/>
          <w:iCs/>
          <w:szCs w:val="24"/>
          <w:lang w:val="sr-Cyrl-CS" w:eastAsia="ja-JP"/>
        </w:rPr>
      </w:pPr>
      <w:r w:rsidRPr="00092ED7">
        <w:rPr>
          <w:rFonts w:eastAsia="MS PGothic" w:cs="Times New Roman"/>
          <w:bCs/>
          <w:iCs/>
          <w:szCs w:val="24"/>
          <w:lang w:val="sr-Cyrl-CS" w:eastAsia="ja-JP"/>
        </w:rPr>
        <w:t>Средњорочни фискални оквир предвиђа даље смањење дефицита и дуга и поред значајног раста расхода везаних за енергенте и ублажавање ефеката раста њихових цена. Велики део ових средстава обезбеђен је из фискалног простора креираног бољом наплатом прихода од очекиване и контролом расходне стране у претходном периоду.</w:t>
      </w:r>
    </w:p>
    <w:p w14:paraId="74889819" w14:textId="5804489C" w:rsidR="00F13B06" w:rsidRPr="00092ED7" w:rsidRDefault="00F13B06" w:rsidP="00F13B06">
      <w:pPr>
        <w:shd w:val="clear" w:color="auto" w:fill="D9D9D9" w:themeFill="background1" w:themeFillShade="D9"/>
        <w:spacing w:before="120"/>
        <w:rPr>
          <w:rFonts w:eastAsia="MS PGothic" w:cs="Times New Roman"/>
          <w:bCs/>
          <w:i/>
          <w:iCs/>
          <w:szCs w:val="24"/>
          <w:lang w:val="sr-Cyrl-CS" w:eastAsia="ja-JP"/>
        </w:rPr>
      </w:pPr>
      <w:r w:rsidRPr="00092ED7">
        <w:rPr>
          <w:rFonts w:eastAsia="MS PGothic" w:cs="Times New Roman"/>
          <w:bCs/>
          <w:i/>
          <w:iCs/>
          <w:szCs w:val="24"/>
          <w:lang w:val="sr-Cyrl-CS" w:eastAsia="ja-JP"/>
        </w:rPr>
        <w:t xml:space="preserve">Ограничити укупну потрошњу на зараде као проценат </w:t>
      </w:r>
      <w:r w:rsidR="00D2030C" w:rsidRPr="00092ED7">
        <w:rPr>
          <w:rFonts w:eastAsia="MS PGothic" w:cs="Times New Roman"/>
          <w:bCs/>
          <w:i/>
          <w:iCs/>
          <w:szCs w:val="24"/>
          <w:lang w:val="sr-Cyrl-CS" w:eastAsia="ja-JP"/>
        </w:rPr>
        <w:t>бруто друштвеног производа (у даљем тексту</w:t>
      </w:r>
      <w:r w:rsidR="00BD43F7" w:rsidRPr="00092ED7">
        <w:rPr>
          <w:rFonts w:eastAsia="MS PGothic" w:cs="Times New Roman"/>
          <w:bCs/>
          <w:i/>
          <w:iCs/>
          <w:szCs w:val="24"/>
          <w:lang w:val="sr-Cyrl-CS" w:eastAsia="ja-JP"/>
        </w:rPr>
        <w:t>:</w:t>
      </w:r>
      <w:r w:rsidR="00D2030C" w:rsidRPr="00092ED7">
        <w:rPr>
          <w:rFonts w:eastAsia="MS PGothic" w:cs="Times New Roman"/>
          <w:bCs/>
          <w:i/>
          <w:iCs/>
          <w:szCs w:val="24"/>
          <w:lang w:val="sr-Cyrl-CS" w:eastAsia="ja-JP"/>
        </w:rPr>
        <w:t xml:space="preserve"> </w:t>
      </w:r>
      <w:r w:rsidRPr="00092ED7">
        <w:rPr>
          <w:rFonts w:eastAsia="MS PGothic" w:cs="Times New Roman"/>
          <w:bCs/>
          <w:i/>
          <w:iCs/>
          <w:szCs w:val="24"/>
          <w:lang w:val="sr-Cyrl-CS" w:eastAsia="ja-JP"/>
        </w:rPr>
        <w:t>БДП</w:t>
      </w:r>
      <w:r w:rsidR="00D2030C" w:rsidRPr="00092ED7">
        <w:rPr>
          <w:rFonts w:eastAsia="MS PGothic" w:cs="Times New Roman"/>
          <w:bCs/>
          <w:i/>
          <w:iCs/>
          <w:szCs w:val="24"/>
          <w:lang w:val="sr-Cyrl-CS" w:eastAsia="ja-JP"/>
        </w:rPr>
        <w:t>)</w:t>
      </w:r>
      <w:r w:rsidRPr="00092ED7">
        <w:rPr>
          <w:rFonts w:eastAsia="MS PGothic" w:cs="Times New Roman"/>
          <w:bCs/>
          <w:i/>
          <w:iCs/>
          <w:szCs w:val="24"/>
          <w:lang w:val="sr-Cyrl-CS" w:eastAsia="ja-JP"/>
        </w:rPr>
        <w:t xml:space="preserve"> усвајањем одговарајућег механизма индексације зарада и предузимањем корака ка добро осмишљеној реформи система исплате зарада у јавном сектору. Усвојити веродостојан и обавезујући систем фискалних правила који би треба</w:t>
      </w:r>
      <w:r w:rsidR="003B5ED5" w:rsidRPr="00092ED7">
        <w:rPr>
          <w:rFonts w:eastAsia="MS PGothic" w:cs="Times New Roman"/>
          <w:bCs/>
          <w:i/>
          <w:iCs/>
          <w:szCs w:val="24"/>
          <w:lang w:val="sr-Cyrl-CS" w:eastAsia="ja-JP"/>
        </w:rPr>
        <w:t>л</w:t>
      </w:r>
      <w:r w:rsidRPr="00092ED7">
        <w:rPr>
          <w:rFonts w:eastAsia="MS PGothic" w:cs="Times New Roman"/>
          <w:bCs/>
          <w:i/>
          <w:iCs/>
          <w:szCs w:val="24"/>
          <w:lang w:val="sr-Cyrl-CS" w:eastAsia="ja-JP"/>
        </w:rPr>
        <w:t>о да ступи на снагу од 2023. године како је предвиђено у ЕРП.</w:t>
      </w:r>
    </w:p>
    <w:p w14:paraId="373FE3BB" w14:textId="60C2D222" w:rsidR="00F13B06" w:rsidRPr="00092ED7" w:rsidRDefault="00F13B06" w:rsidP="00F13B06">
      <w:pPr>
        <w:spacing w:after="60"/>
        <w:rPr>
          <w:rFonts w:eastAsia="MS PGothic" w:cs="Times New Roman"/>
          <w:bCs/>
          <w:iCs/>
          <w:szCs w:val="24"/>
          <w:lang w:val="sr-Cyrl-CS" w:eastAsia="ja-JP"/>
        </w:rPr>
      </w:pPr>
      <w:r w:rsidRPr="00092ED7">
        <w:rPr>
          <w:lang w:val="sr-Cyrl-CS"/>
        </w:rPr>
        <w:t xml:space="preserve">Закон о изменaма и допунама закона о буџетском систему </w:t>
      </w:r>
      <w:r w:rsidR="00D2030C" w:rsidRPr="00092ED7">
        <w:rPr>
          <w:lang w:val="sr-Cyrl-CS"/>
        </w:rPr>
        <w:t>(„Службени гласник РС</w:t>
      </w:r>
      <w:r w:rsidR="00D2030C" w:rsidRPr="00092ED7">
        <w:rPr>
          <w:rFonts w:cs="Times New Roman"/>
          <w:szCs w:val="24"/>
          <w:lang w:val="sr-Cyrl-CS"/>
        </w:rPr>
        <w:t>”, број 138/22</w:t>
      </w:r>
      <w:r w:rsidR="00D2030C" w:rsidRPr="00092ED7">
        <w:rPr>
          <w:lang w:val="sr-Cyrl-CS"/>
        </w:rPr>
        <w:t xml:space="preserve">) </w:t>
      </w:r>
      <w:r w:rsidRPr="00092ED7">
        <w:rPr>
          <w:lang w:val="sr-Cyrl-CS"/>
        </w:rPr>
        <w:t>који предвиђа измену и јачање фискалних правила усвојен је 9. децембра 2022. године</w:t>
      </w:r>
      <w:r w:rsidRPr="00092ED7">
        <w:rPr>
          <w:rFonts w:eastAsia="MS PGothic" w:cs="Times New Roman"/>
          <w:bCs/>
          <w:iCs/>
          <w:szCs w:val="24"/>
          <w:lang w:val="sr-Cyrl-CS" w:eastAsia="ja-JP"/>
        </w:rPr>
        <w:t xml:space="preserve">, а део постављених фискалних правила је и механизам индексације плата који обезбеђује ограничење индексације зарада растом </w:t>
      </w:r>
      <w:r w:rsidR="00251C36" w:rsidRPr="00092ED7">
        <w:rPr>
          <w:rFonts w:eastAsia="MS PGothic" w:cs="Times New Roman"/>
          <w:bCs/>
          <w:iCs/>
          <w:szCs w:val="24"/>
          <w:lang w:val="sr-Cyrl-CS" w:eastAsia="ja-JP"/>
        </w:rPr>
        <w:t>БДП</w:t>
      </w:r>
      <w:r w:rsidR="005B057C" w:rsidRPr="00092ED7">
        <w:rPr>
          <w:rFonts w:eastAsia="MS PGothic" w:cs="Times New Roman"/>
          <w:bCs/>
          <w:iCs/>
          <w:szCs w:val="24"/>
          <w:lang w:val="sr-Cyrl-CS" w:eastAsia="ja-JP"/>
        </w:rPr>
        <w:t>.</w:t>
      </w:r>
      <w:r w:rsidRPr="00092ED7">
        <w:rPr>
          <w:rStyle w:val="FootnoteReference"/>
          <w:rFonts w:eastAsia="MS PGothic" w:cs="Times New Roman"/>
          <w:bCs/>
          <w:iCs/>
          <w:szCs w:val="24"/>
          <w:lang w:val="sr-Cyrl-CS" w:eastAsia="ja-JP"/>
        </w:rPr>
        <w:footnoteReference w:id="1"/>
      </w:r>
      <w:r w:rsidR="005B057C" w:rsidRPr="00092ED7">
        <w:rPr>
          <w:rFonts w:eastAsia="MS PGothic" w:cs="Times New Roman"/>
          <w:bCs/>
          <w:iCs/>
          <w:szCs w:val="24"/>
          <w:lang w:val="sr-Cyrl-CS" w:eastAsia="ja-JP"/>
        </w:rPr>
        <w:t xml:space="preserve"> </w:t>
      </w:r>
      <w:r w:rsidRPr="00092ED7">
        <w:rPr>
          <w:rFonts w:eastAsia="MS PGothic" w:cs="Times New Roman"/>
          <w:bCs/>
          <w:iCs/>
          <w:szCs w:val="24"/>
          <w:lang w:val="sr-Cyrl-CS" w:eastAsia="ja-JP"/>
        </w:rPr>
        <w:t>Реформа система зарада предвиђена је за 2025. годину, у договору са ММФ.</w:t>
      </w:r>
    </w:p>
    <w:p w14:paraId="29103F19" w14:textId="56E5C4C7" w:rsidR="00F13B06" w:rsidRPr="00092ED7" w:rsidRDefault="00F13B06" w:rsidP="00F13B06">
      <w:pPr>
        <w:shd w:val="clear" w:color="auto" w:fill="D9D9D9" w:themeFill="background1" w:themeFillShade="D9"/>
        <w:spacing w:after="60"/>
        <w:rPr>
          <w:rFonts w:eastAsia="MS PGothic" w:cs="Times New Roman"/>
          <w:bCs/>
          <w:i/>
          <w:iCs/>
          <w:szCs w:val="24"/>
          <w:lang w:val="sr-Cyrl-CS" w:eastAsia="ja-JP"/>
        </w:rPr>
      </w:pPr>
      <w:r w:rsidRPr="00092ED7">
        <w:rPr>
          <w:rFonts w:eastAsia="MS PGothic" w:cs="Times New Roman"/>
          <w:bCs/>
          <w:i/>
          <w:iCs/>
          <w:szCs w:val="24"/>
          <w:lang w:val="sr-Cyrl-CS" w:eastAsia="ja-JP"/>
        </w:rPr>
        <w:t xml:space="preserve">2. Смањити сиву економију, ојачати наплату </w:t>
      </w:r>
      <w:r w:rsidR="000D2F28" w:rsidRPr="00092ED7">
        <w:rPr>
          <w:rFonts w:eastAsia="MS PGothic" w:cs="Times New Roman"/>
          <w:bCs/>
          <w:i/>
          <w:iCs/>
          <w:szCs w:val="24"/>
          <w:lang w:val="sr-Cyrl-CS" w:eastAsia="ja-JP"/>
        </w:rPr>
        <w:t>пореза на додату вредност (у даљем тексту</w:t>
      </w:r>
      <w:r w:rsidR="00251C36" w:rsidRPr="00092ED7">
        <w:rPr>
          <w:rFonts w:eastAsia="MS PGothic" w:cs="Times New Roman"/>
          <w:bCs/>
          <w:i/>
          <w:iCs/>
          <w:szCs w:val="24"/>
          <w:lang w:val="sr-Cyrl-CS" w:eastAsia="ja-JP"/>
        </w:rPr>
        <w:t>:</w:t>
      </w:r>
      <w:r w:rsidR="000D2F28" w:rsidRPr="00092ED7">
        <w:rPr>
          <w:rFonts w:eastAsia="MS PGothic" w:cs="Times New Roman"/>
          <w:bCs/>
          <w:i/>
          <w:iCs/>
          <w:szCs w:val="24"/>
          <w:lang w:val="sr-Cyrl-CS" w:eastAsia="ja-JP"/>
        </w:rPr>
        <w:t xml:space="preserve"> </w:t>
      </w:r>
      <w:r w:rsidRPr="00092ED7">
        <w:rPr>
          <w:rFonts w:eastAsia="MS PGothic" w:cs="Times New Roman"/>
          <w:bCs/>
          <w:i/>
          <w:iCs/>
          <w:szCs w:val="24"/>
          <w:lang w:val="sr-Cyrl-CS" w:eastAsia="ja-JP"/>
        </w:rPr>
        <w:t>ПДВ</w:t>
      </w:r>
      <w:r w:rsidR="000D2F28" w:rsidRPr="00092ED7">
        <w:rPr>
          <w:rFonts w:eastAsia="MS PGothic" w:cs="Times New Roman"/>
          <w:bCs/>
          <w:i/>
          <w:iCs/>
          <w:szCs w:val="24"/>
          <w:lang w:val="sr-Cyrl-CS" w:eastAsia="ja-JP"/>
        </w:rPr>
        <w:t>)</w:t>
      </w:r>
      <w:r w:rsidRPr="00092ED7">
        <w:rPr>
          <w:rFonts w:eastAsia="MS PGothic" w:cs="Times New Roman"/>
          <w:bCs/>
          <w:i/>
          <w:iCs/>
          <w:szCs w:val="24"/>
          <w:lang w:val="sr-Cyrl-CS" w:eastAsia="ja-JP"/>
        </w:rPr>
        <w:t xml:space="preserve"> и унапредити процес пореске контроле, финализирати увођење новог модела електронске фискализације и прелазак на електронско фактурисање и спровести реформу Пореске управе према временском оквиру за ЕРП 2022.</w:t>
      </w:r>
    </w:p>
    <w:p w14:paraId="6F516477" w14:textId="155449AD" w:rsidR="00F13B06" w:rsidRPr="00092ED7" w:rsidRDefault="00F13B06" w:rsidP="00F13B06">
      <w:pPr>
        <w:spacing w:after="60"/>
        <w:rPr>
          <w:rFonts w:cs="Times New Roman"/>
          <w:bCs/>
          <w:iCs/>
          <w:szCs w:val="24"/>
          <w:lang w:val="sr-Cyrl-CS"/>
        </w:rPr>
      </w:pPr>
      <w:r w:rsidRPr="00092ED7">
        <w:rPr>
          <w:rFonts w:cs="Times New Roman"/>
          <w:bCs/>
          <w:iCs/>
          <w:szCs w:val="24"/>
          <w:lang w:val="sr-Cyrl-CS"/>
        </w:rPr>
        <w:t xml:space="preserve">Нацрт програма за сузбијање сиве економије </w:t>
      </w:r>
      <w:r w:rsidR="000D2F28" w:rsidRPr="00092ED7">
        <w:rPr>
          <w:rFonts w:cs="Times New Roman"/>
          <w:bCs/>
          <w:iCs/>
          <w:szCs w:val="24"/>
          <w:lang w:val="sr-Cyrl-CS"/>
        </w:rPr>
        <w:t>за период 2022-2025</w:t>
      </w:r>
      <w:r w:rsidRPr="00092ED7">
        <w:rPr>
          <w:rFonts w:cs="Times New Roman"/>
          <w:bCs/>
          <w:iCs/>
          <w:szCs w:val="24"/>
          <w:lang w:val="sr-Cyrl-CS"/>
        </w:rPr>
        <w:t xml:space="preserve">, са акционим планом, је припремљен и очекује се његово усвајање од стране Владе </w:t>
      </w:r>
      <w:r w:rsidR="000D2F28" w:rsidRPr="00092ED7">
        <w:rPr>
          <w:rFonts w:cs="Times New Roman"/>
          <w:bCs/>
          <w:iCs/>
          <w:szCs w:val="24"/>
          <w:lang w:val="sr-Cyrl-CS"/>
        </w:rPr>
        <w:t xml:space="preserve"> </w:t>
      </w:r>
      <w:r w:rsidRPr="00092ED7">
        <w:rPr>
          <w:rFonts w:cs="Times New Roman"/>
          <w:bCs/>
          <w:iCs/>
          <w:szCs w:val="24"/>
          <w:lang w:val="sr-Cyrl-CS"/>
        </w:rPr>
        <w:t>у првом кварталу 2023. Координационо тело Владе за сузбијање сиве економије формирано је у јануару 2021. са задатком да координира и усмерава рад на припреми и реализацији Програма</w:t>
      </w:r>
      <w:r w:rsidR="000D2F28" w:rsidRPr="00092ED7">
        <w:rPr>
          <w:rFonts w:cs="Times New Roman"/>
          <w:bCs/>
          <w:iCs/>
          <w:szCs w:val="24"/>
          <w:lang w:val="sr-Cyrl-CS"/>
        </w:rPr>
        <w:t xml:space="preserve"> за сузбијање сиве економије за период 2022-2025</w:t>
      </w:r>
      <w:r w:rsidRPr="00092ED7">
        <w:rPr>
          <w:rFonts w:cs="Times New Roman"/>
          <w:bCs/>
          <w:iCs/>
          <w:szCs w:val="24"/>
          <w:lang w:val="sr-Cyrl-CS"/>
        </w:rPr>
        <w:t xml:space="preserve">. Циљеви </w:t>
      </w:r>
      <w:r w:rsidR="000D2F28" w:rsidRPr="00092ED7">
        <w:rPr>
          <w:rFonts w:cs="Times New Roman"/>
          <w:bCs/>
          <w:iCs/>
          <w:szCs w:val="24"/>
          <w:lang w:val="sr-Cyrl-CS"/>
        </w:rPr>
        <w:t xml:space="preserve">документа </w:t>
      </w:r>
      <w:r w:rsidRPr="00092ED7">
        <w:rPr>
          <w:rFonts w:cs="Times New Roman"/>
          <w:bCs/>
          <w:iCs/>
          <w:szCs w:val="24"/>
          <w:lang w:val="sr-Cyrl-CS"/>
        </w:rPr>
        <w:t xml:space="preserve">су смањење удела сиве економије у укупној привредној активности у </w:t>
      </w:r>
      <w:r w:rsidR="000D2F28" w:rsidRPr="00092ED7">
        <w:rPr>
          <w:rFonts w:cs="Times New Roman"/>
          <w:bCs/>
          <w:iCs/>
          <w:szCs w:val="24"/>
          <w:lang w:val="sr-Cyrl-CS"/>
        </w:rPr>
        <w:t>Републици Србији</w:t>
      </w:r>
      <w:r w:rsidRPr="00092ED7">
        <w:rPr>
          <w:rFonts w:cs="Times New Roman"/>
          <w:bCs/>
          <w:iCs/>
          <w:szCs w:val="24"/>
          <w:lang w:val="sr-Cyrl-CS"/>
        </w:rPr>
        <w:t xml:space="preserve"> кроз јачање капацитета инспекција и прекршајних судова, унапређење поступака пореског надзора и фискално и административно растерећење легалног пословања.</w:t>
      </w:r>
    </w:p>
    <w:p w14:paraId="208826E3" w14:textId="5D9B26BF" w:rsidR="00F13B06" w:rsidRPr="00092ED7" w:rsidRDefault="00F13B06" w:rsidP="00F13B06">
      <w:pPr>
        <w:spacing w:after="60"/>
        <w:rPr>
          <w:rFonts w:cs="Times New Roman"/>
          <w:bCs/>
          <w:iCs/>
          <w:szCs w:val="24"/>
          <w:lang w:val="sr-Cyrl-CS"/>
        </w:rPr>
      </w:pPr>
      <w:r w:rsidRPr="00092ED7">
        <w:rPr>
          <w:rFonts w:eastAsia="MS PGothic" w:cstheme="minorHAnsi"/>
          <w:szCs w:val="20"/>
          <w:lang w:val="sr-Cyrl-CS" w:eastAsia="ja-JP"/>
        </w:rPr>
        <w:t xml:space="preserve">Резултати ефикасније наплате и контроле пореских обвезника били </w:t>
      </w:r>
      <w:r w:rsidR="007C7AFE" w:rsidRPr="00092ED7">
        <w:rPr>
          <w:rFonts w:eastAsia="MS PGothic" w:cstheme="minorHAnsi"/>
          <w:szCs w:val="20"/>
          <w:lang w:val="sr-Cyrl-CS" w:eastAsia="ja-JP"/>
        </w:rPr>
        <w:t xml:space="preserve">су </w:t>
      </w:r>
      <w:r w:rsidRPr="00092ED7">
        <w:rPr>
          <w:rFonts w:eastAsia="MS PGothic" w:cstheme="minorHAnsi"/>
          <w:szCs w:val="20"/>
          <w:lang w:val="sr-Cyrl-CS" w:eastAsia="ja-JP"/>
        </w:rPr>
        <w:t>евидентни у претходном периоду и очекује се да ће тај тренд бити настављен и даље. Повећање степена ПДВ наплате</w:t>
      </w:r>
      <w:r w:rsidR="007C7AFE" w:rsidRPr="00092ED7">
        <w:rPr>
          <w:rFonts w:eastAsia="MS PGothic" w:cstheme="minorHAnsi"/>
          <w:szCs w:val="20"/>
          <w:lang w:val="sr-Cyrl-CS" w:eastAsia="ja-JP"/>
        </w:rPr>
        <w:t>,</w:t>
      </w:r>
      <w:r w:rsidRPr="00092ED7">
        <w:rPr>
          <w:rFonts w:eastAsia="MS PGothic" w:cstheme="minorHAnsi"/>
          <w:szCs w:val="20"/>
          <w:lang w:val="sr-Cyrl-CS" w:eastAsia="ja-JP"/>
        </w:rPr>
        <w:t xml:space="preserve"> у смислу спровођења независних антиевазионих мера у области </w:t>
      </w:r>
      <w:r w:rsidRPr="00092ED7">
        <w:rPr>
          <w:rFonts w:eastAsia="MS PGothic" w:cstheme="minorHAnsi"/>
          <w:szCs w:val="20"/>
          <w:lang w:val="sr-Cyrl-CS" w:eastAsia="ja-JP"/>
        </w:rPr>
        <w:lastRenderedPageBreak/>
        <w:t>ПДВ</w:t>
      </w:r>
      <w:r w:rsidR="007C7AFE" w:rsidRPr="00092ED7">
        <w:rPr>
          <w:rFonts w:eastAsia="MS PGothic" w:cstheme="minorHAnsi"/>
          <w:szCs w:val="20"/>
          <w:lang w:val="sr-Cyrl-CS" w:eastAsia="ja-JP"/>
        </w:rPr>
        <w:t>,</w:t>
      </w:r>
      <w:r w:rsidRPr="00092ED7">
        <w:rPr>
          <w:rFonts w:eastAsia="MS PGothic" w:cstheme="minorHAnsi"/>
          <w:szCs w:val="20"/>
          <w:lang w:val="sr-Cyrl-CS" w:eastAsia="ja-JP"/>
        </w:rPr>
        <w:t xml:space="preserve"> дало је резултате у протеклом периоду. У овом сегменту, простор за даља побољшања створиће се јачањем и модернизацијом пореске администрације.</w:t>
      </w:r>
    </w:p>
    <w:p w14:paraId="22489D78" w14:textId="77777777" w:rsidR="00F13B06" w:rsidRPr="00092ED7" w:rsidRDefault="00F13B06" w:rsidP="00F13B06">
      <w:pPr>
        <w:spacing w:after="60"/>
        <w:rPr>
          <w:rFonts w:cs="Times New Roman"/>
          <w:bCs/>
          <w:iCs/>
          <w:szCs w:val="24"/>
          <w:lang w:val="sr-Cyrl-CS"/>
        </w:rPr>
      </w:pPr>
      <w:r w:rsidRPr="00092ED7">
        <w:rPr>
          <w:rFonts w:cs="Times New Roman"/>
          <w:bCs/>
          <w:iCs/>
          <w:szCs w:val="24"/>
          <w:lang w:val="sr-Cyrl-CS"/>
        </w:rPr>
        <w:t>У области напретка у спровођењу препоруке за унапређење процеса пореске контроле:</w:t>
      </w:r>
    </w:p>
    <w:p w14:paraId="56CDD79D" w14:textId="4570C213" w:rsidR="00F13B06" w:rsidRPr="00092ED7" w:rsidRDefault="00F13B06" w:rsidP="00F13B06">
      <w:pPr>
        <w:pStyle w:val="ListParagraph"/>
        <w:numPr>
          <w:ilvl w:val="0"/>
          <w:numId w:val="43"/>
        </w:numPr>
        <w:spacing w:after="60" w:line="240" w:lineRule="auto"/>
        <w:ind w:left="357" w:hanging="357"/>
        <w:rPr>
          <w:rFonts w:cs="Times New Roman"/>
          <w:bCs/>
          <w:iCs/>
          <w:sz w:val="24"/>
          <w:szCs w:val="24"/>
          <w:lang w:val="sr-Cyrl-CS"/>
        </w:rPr>
      </w:pPr>
      <w:r w:rsidRPr="00092ED7">
        <w:rPr>
          <w:rFonts w:cs="Times New Roman"/>
          <w:bCs/>
          <w:iCs/>
          <w:sz w:val="24"/>
          <w:szCs w:val="24"/>
          <w:lang w:val="sr-Cyrl-CS"/>
        </w:rPr>
        <w:t>У току је пројекат „Подршка Министарству финансија у оквиру Секторског реформског уговора за сектор реформе јавне управе</w:t>
      </w:r>
      <w:r w:rsidR="0052060E" w:rsidRPr="00092ED7">
        <w:rPr>
          <w:rFonts w:cs="Times New Roman"/>
          <w:sz w:val="24"/>
          <w:szCs w:val="24"/>
          <w:lang w:val="sr-Cyrl-CS"/>
        </w:rPr>
        <w:t>”</w:t>
      </w:r>
      <w:r w:rsidRPr="00092ED7">
        <w:rPr>
          <w:rFonts w:cs="Times New Roman"/>
          <w:bCs/>
          <w:iCs/>
          <w:sz w:val="24"/>
          <w:szCs w:val="24"/>
          <w:lang w:val="sr-Cyrl-CS"/>
        </w:rPr>
        <w:t xml:space="preserve"> који има за циљ активну примену индиректних метода у поступку контроле (Технички извештај „Листа функционалних захтева за </w:t>
      </w:r>
      <w:r w:rsidR="00612D53" w:rsidRPr="00092ED7">
        <w:rPr>
          <w:rFonts w:cs="Times New Roman"/>
          <w:bCs/>
          <w:iCs/>
          <w:sz w:val="24"/>
          <w:szCs w:val="24"/>
          <w:lang w:val="sr-Cyrl-CS"/>
        </w:rPr>
        <w:t>информационо технолошку</w:t>
      </w:r>
      <w:r w:rsidR="00D02CFA" w:rsidRPr="00092ED7">
        <w:rPr>
          <w:rFonts w:cs="Times New Roman"/>
          <w:bCs/>
          <w:iCs/>
          <w:sz w:val="24"/>
          <w:szCs w:val="24"/>
          <w:lang w:val="sr-Cyrl-CS"/>
        </w:rPr>
        <w:t xml:space="preserve"> </w:t>
      </w:r>
      <w:r w:rsidRPr="00092ED7">
        <w:rPr>
          <w:rFonts w:cs="Times New Roman"/>
          <w:bCs/>
          <w:iCs/>
          <w:sz w:val="24"/>
          <w:szCs w:val="24"/>
          <w:lang w:val="sr-Cyrl-CS"/>
        </w:rPr>
        <w:t>подршку у примени предложене методологије</w:t>
      </w:r>
      <w:r w:rsidR="0052060E" w:rsidRPr="00092ED7">
        <w:rPr>
          <w:rFonts w:cs="Times New Roman"/>
          <w:sz w:val="24"/>
          <w:szCs w:val="24"/>
          <w:lang w:val="sr-Cyrl-CS"/>
        </w:rPr>
        <w:t>”</w:t>
      </w:r>
      <w:r w:rsidRPr="00092ED7">
        <w:rPr>
          <w:rFonts w:cs="Times New Roman"/>
          <w:bCs/>
          <w:iCs/>
          <w:sz w:val="24"/>
          <w:szCs w:val="24"/>
          <w:lang w:val="sr-Cyrl-CS"/>
        </w:rPr>
        <w:t xml:space="preserve"> је у припреми). Сачињено је Корисничко упутство за примену методологије за индиректну процену пореске основице.</w:t>
      </w:r>
    </w:p>
    <w:p w14:paraId="31D585C4" w14:textId="11D22879" w:rsidR="00F13B06" w:rsidRPr="00092ED7" w:rsidRDefault="00F13B06" w:rsidP="00F13B06">
      <w:pPr>
        <w:pStyle w:val="ListParagraph"/>
        <w:numPr>
          <w:ilvl w:val="0"/>
          <w:numId w:val="43"/>
        </w:numPr>
        <w:spacing w:after="60" w:line="240" w:lineRule="auto"/>
        <w:ind w:left="357" w:hanging="357"/>
        <w:rPr>
          <w:rFonts w:cs="Times New Roman"/>
          <w:bCs/>
          <w:iCs/>
          <w:sz w:val="24"/>
          <w:szCs w:val="24"/>
          <w:lang w:val="sr-Cyrl-CS"/>
        </w:rPr>
      </w:pPr>
      <w:r w:rsidRPr="00092ED7">
        <w:rPr>
          <w:rFonts w:cs="Times New Roman"/>
          <w:bCs/>
          <w:iCs/>
          <w:sz w:val="24"/>
          <w:szCs w:val="24"/>
          <w:lang w:val="sr-Cyrl-CS"/>
        </w:rPr>
        <w:t xml:space="preserve">У сарадњи са пројектом </w:t>
      </w:r>
      <w:r w:rsidR="00612D53" w:rsidRPr="00092ED7">
        <w:rPr>
          <w:rFonts w:cs="Times New Roman"/>
          <w:bCs/>
          <w:iCs/>
          <w:sz w:val="24"/>
          <w:szCs w:val="24"/>
          <w:lang w:val="sr-Cyrl-CS"/>
        </w:rPr>
        <w:t xml:space="preserve">Реформа јавних финансија </w:t>
      </w:r>
      <w:r w:rsidRPr="00092ED7">
        <w:rPr>
          <w:rFonts w:cs="Times New Roman"/>
          <w:bCs/>
          <w:iCs/>
          <w:sz w:val="24"/>
          <w:szCs w:val="24"/>
          <w:lang w:val="sr-Cyrl-CS"/>
        </w:rPr>
        <w:t xml:space="preserve">и Агенда 2030 који спроводи </w:t>
      </w:r>
      <w:r w:rsidR="00612D53" w:rsidRPr="00092ED7">
        <w:rPr>
          <w:rFonts w:cs="Times New Roman"/>
          <w:bCs/>
          <w:iCs/>
          <w:sz w:val="24"/>
          <w:szCs w:val="24"/>
          <w:lang w:val="sr-Cyrl-CS"/>
        </w:rPr>
        <w:t>Немачка организација за међународну сарадњу (у даљем тексту</w:t>
      </w:r>
      <w:r w:rsidR="00401E93" w:rsidRPr="00092ED7">
        <w:rPr>
          <w:rFonts w:cs="Times New Roman"/>
          <w:bCs/>
          <w:iCs/>
          <w:sz w:val="24"/>
          <w:szCs w:val="24"/>
          <w:lang w:val="sr-Cyrl-CS"/>
        </w:rPr>
        <w:t>:</w:t>
      </w:r>
      <w:r w:rsidR="00612D53" w:rsidRPr="00092ED7">
        <w:rPr>
          <w:rFonts w:cs="Times New Roman"/>
          <w:bCs/>
          <w:iCs/>
          <w:sz w:val="24"/>
          <w:szCs w:val="24"/>
          <w:lang w:val="sr-Cyrl-CS"/>
        </w:rPr>
        <w:t xml:space="preserve"> </w:t>
      </w:r>
      <w:r w:rsidRPr="00092ED7">
        <w:rPr>
          <w:rFonts w:cs="Times New Roman"/>
          <w:bCs/>
          <w:iCs/>
          <w:sz w:val="24"/>
          <w:szCs w:val="24"/>
          <w:lang w:val="sr-Cyrl-CS"/>
        </w:rPr>
        <w:t>ГИЗ</w:t>
      </w:r>
      <w:r w:rsidR="00612D53" w:rsidRPr="00092ED7">
        <w:rPr>
          <w:rFonts w:cs="Times New Roman"/>
          <w:bCs/>
          <w:iCs/>
          <w:sz w:val="24"/>
          <w:szCs w:val="24"/>
          <w:lang w:val="sr-Cyrl-CS"/>
        </w:rPr>
        <w:t>)</w:t>
      </w:r>
      <w:r w:rsidRPr="00092ED7">
        <w:rPr>
          <w:rFonts w:cs="Times New Roman"/>
          <w:bCs/>
          <w:iCs/>
          <w:sz w:val="24"/>
          <w:szCs w:val="24"/>
          <w:lang w:val="sr-Cyrl-CS"/>
        </w:rPr>
        <w:t>, у току је активност која се односи на анализу могућности комуникације са пореским обвезницима на даљину и сходно томе спровођење поступка контроле.</w:t>
      </w:r>
    </w:p>
    <w:p w14:paraId="677980F9" w14:textId="77777777" w:rsidR="00F13B06" w:rsidRPr="00092ED7" w:rsidRDefault="00F13B06" w:rsidP="00F13B06">
      <w:pPr>
        <w:pStyle w:val="ListParagraph"/>
        <w:numPr>
          <w:ilvl w:val="0"/>
          <w:numId w:val="43"/>
        </w:numPr>
        <w:spacing w:after="60" w:line="240" w:lineRule="auto"/>
        <w:ind w:left="357" w:hanging="357"/>
        <w:rPr>
          <w:rFonts w:cs="Times New Roman"/>
          <w:bCs/>
          <w:iCs/>
          <w:sz w:val="24"/>
          <w:szCs w:val="24"/>
          <w:lang w:val="sr-Cyrl-CS"/>
        </w:rPr>
      </w:pPr>
      <w:r w:rsidRPr="00092ED7">
        <w:rPr>
          <w:rFonts w:cs="Times New Roman"/>
          <w:bCs/>
          <w:iCs/>
          <w:sz w:val="24"/>
          <w:szCs w:val="24"/>
          <w:lang w:val="sr-Cyrl-CS"/>
        </w:rPr>
        <w:t>Током прве половине 2022. године, у циљу унапређења функције контроле, у вези са ревизијом трансферних цена, омогућен је приступ софтверском решењу – ORBIS.</w:t>
      </w:r>
    </w:p>
    <w:p w14:paraId="3B55C951" w14:textId="77777777" w:rsidR="00F13B06" w:rsidRPr="00092ED7" w:rsidRDefault="00F13B06" w:rsidP="00F13B06">
      <w:pPr>
        <w:pStyle w:val="ListParagraph"/>
        <w:numPr>
          <w:ilvl w:val="0"/>
          <w:numId w:val="43"/>
        </w:numPr>
        <w:spacing w:after="60" w:line="240" w:lineRule="auto"/>
        <w:ind w:left="357" w:hanging="357"/>
        <w:rPr>
          <w:rFonts w:cs="Times New Roman"/>
          <w:bCs/>
          <w:iCs/>
          <w:sz w:val="24"/>
          <w:szCs w:val="24"/>
          <w:lang w:val="sr-Cyrl-CS"/>
        </w:rPr>
      </w:pPr>
      <w:r w:rsidRPr="00092ED7">
        <w:rPr>
          <w:rFonts w:cs="Times New Roman"/>
          <w:bCs/>
          <w:iCs/>
          <w:sz w:val="24"/>
          <w:szCs w:val="24"/>
          <w:lang w:val="sr-Cyrl-CS"/>
        </w:rPr>
        <w:t>Централизована платформа за електронску фискализацију пуштена је у рад 1. новембра 2021. године. У наредних шест месеци порески обвезници су прешли на нови систем фискализације. Од 1. маја 2022. године престао је да важи стари систем фискалних каса, тј. евидентирање промета врши се искључиво по новом систему е-фискализације. Што се тиче електронског фактурисања, планирано је фазно увођење (три фазе: 1. мај 2022-B2G, 1. јул 2022-G2B и 1. јануар 2023. – B2B). Прве две фазе су завршене, а трећа фаза је и даље у плану за 1. јануар 2023.</w:t>
      </w:r>
    </w:p>
    <w:p w14:paraId="651901BD" w14:textId="61EA14F8" w:rsidR="00F13B06" w:rsidRPr="00092ED7" w:rsidRDefault="00F13B06" w:rsidP="00F13B06">
      <w:pPr>
        <w:pStyle w:val="ListParagraph"/>
        <w:numPr>
          <w:ilvl w:val="0"/>
          <w:numId w:val="43"/>
        </w:numPr>
        <w:spacing w:after="60" w:line="240" w:lineRule="auto"/>
        <w:ind w:left="357" w:hanging="357"/>
        <w:rPr>
          <w:rFonts w:cs="Times New Roman"/>
          <w:bCs/>
          <w:iCs/>
          <w:sz w:val="24"/>
          <w:szCs w:val="24"/>
          <w:lang w:val="sr-Cyrl-CS"/>
        </w:rPr>
      </w:pPr>
      <w:r w:rsidRPr="00092ED7">
        <w:rPr>
          <w:rFonts w:cs="Times New Roman"/>
          <w:bCs/>
          <w:iCs/>
          <w:sz w:val="24"/>
          <w:szCs w:val="24"/>
          <w:lang w:val="sr-Cyrl-CS"/>
        </w:rPr>
        <w:t>Обука за кориснике новог модела фискализације и електронског фактурисања почела је у јулу 2021. године и одвија</w:t>
      </w:r>
      <w:r w:rsidR="00973039" w:rsidRPr="00092ED7">
        <w:rPr>
          <w:rFonts w:cs="Times New Roman"/>
          <w:bCs/>
          <w:iCs/>
          <w:sz w:val="24"/>
          <w:szCs w:val="24"/>
          <w:lang w:val="sr-Cyrl-CS"/>
        </w:rPr>
        <w:t>ла</w:t>
      </w:r>
      <w:r w:rsidRPr="00092ED7">
        <w:rPr>
          <w:rFonts w:cs="Times New Roman"/>
          <w:bCs/>
          <w:iCs/>
          <w:sz w:val="24"/>
          <w:szCs w:val="24"/>
          <w:lang w:val="sr-Cyrl-CS"/>
        </w:rPr>
        <w:t xml:space="preserve"> се по планираној динамици до краја 2022. У овом процесу, Министарство финансија има подршку </w:t>
      </w:r>
      <w:r w:rsidR="00612D53" w:rsidRPr="00092ED7">
        <w:rPr>
          <w:rFonts w:cs="Times New Roman"/>
          <w:bCs/>
          <w:iCs/>
          <w:sz w:val="24"/>
          <w:szCs w:val="24"/>
          <w:lang w:val="sr-Cyrl-CS"/>
        </w:rPr>
        <w:t>Националне алијансе за локални економски развој (у даљем тексту</w:t>
      </w:r>
      <w:r w:rsidR="00401E93" w:rsidRPr="00092ED7">
        <w:rPr>
          <w:rFonts w:cs="Times New Roman"/>
          <w:bCs/>
          <w:iCs/>
          <w:sz w:val="24"/>
          <w:szCs w:val="24"/>
          <w:lang w:val="sr-Cyrl-CS"/>
        </w:rPr>
        <w:t>:</w:t>
      </w:r>
      <w:r w:rsidR="005B057C" w:rsidRPr="00092ED7">
        <w:rPr>
          <w:rFonts w:cs="Times New Roman"/>
          <w:bCs/>
          <w:iCs/>
          <w:sz w:val="24"/>
          <w:szCs w:val="24"/>
          <w:lang w:val="sr-Cyrl-CS"/>
        </w:rPr>
        <w:t xml:space="preserve"> </w:t>
      </w:r>
      <w:r w:rsidR="00572A59" w:rsidRPr="00092ED7">
        <w:rPr>
          <w:rFonts w:cs="Times New Roman"/>
          <w:bCs/>
          <w:iCs/>
          <w:sz w:val="24"/>
          <w:szCs w:val="24"/>
          <w:lang w:val="sr-Cyrl-CS"/>
        </w:rPr>
        <w:t xml:space="preserve">НАЛЕД </w:t>
      </w:r>
      <w:r w:rsidR="00612D53" w:rsidRPr="00092ED7">
        <w:rPr>
          <w:rFonts w:cs="Times New Roman"/>
          <w:bCs/>
          <w:iCs/>
          <w:sz w:val="24"/>
          <w:szCs w:val="24"/>
          <w:lang w:val="sr-Cyrl-CS"/>
        </w:rPr>
        <w:t>)</w:t>
      </w:r>
      <w:r w:rsidRPr="00092ED7">
        <w:rPr>
          <w:rFonts w:cs="Times New Roman"/>
          <w:bCs/>
          <w:iCs/>
          <w:sz w:val="24"/>
          <w:szCs w:val="24"/>
          <w:lang w:val="sr-Cyrl-CS"/>
        </w:rPr>
        <w:t xml:space="preserve"> и Привредне коморе Србије, као одабраним партнерима за обуку и комуникациону кампању за ове две реформе.</w:t>
      </w:r>
    </w:p>
    <w:p w14:paraId="0B649D49" w14:textId="474ABF7F" w:rsidR="00F13B06" w:rsidRPr="00092ED7" w:rsidRDefault="00F13B06" w:rsidP="00F13B06">
      <w:pPr>
        <w:spacing w:after="60"/>
        <w:rPr>
          <w:rFonts w:cs="Times New Roman"/>
          <w:bCs/>
          <w:iCs/>
          <w:szCs w:val="24"/>
          <w:lang w:val="sr-Cyrl-CS"/>
        </w:rPr>
      </w:pPr>
      <w:r w:rsidRPr="00092ED7">
        <w:rPr>
          <w:rFonts w:cs="Times New Roman"/>
          <w:bCs/>
          <w:iCs/>
          <w:szCs w:val="24"/>
          <w:lang w:val="sr-Cyrl-CS"/>
        </w:rPr>
        <w:t xml:space="preserve">У вези са препоруком да се реформа Пореске управе </w:t>
      </w:r>
      <w:r w:rsidR="00612D53" w:rsidRPr="00092ED7">
        <w:rPr>
          <w:rFonts w:cs="Times New Roman"/>
          <w:bCs/>
          <w:iCs/>
          <w:szCs w:val="24"/>
          <w:lang w:val="sr-Cyrl-CS"/>
        </w:rPr>
        <w:t>спров</w:t>
      </w:r>
      <w:r w:rsidR="00973039" w:rsidRPr="00092ED7">
        <w:rPr>
          <w:rFonts w:cs="Times New Roman"/>
          <w:bCs/>
          <w:iCs/>
          <w:szCs w:val="24"/>
          <w:lang w:val="sr-Cyrl-CS"/>
        </w:rPr>
        <w:t>о</w:t>
      </w:r>
      <w:r w:rsidR="00612D53" w:rsidRPr="00092ED7">
        <w:rPr>
          <w:rFonts w:cs="Times New Roman"/>
          <w:bCs/>
          <w:iCs/>
          <w:szCs w:val="24"/>
          <w:lang w:val="sr-Cyrl-CS"/>
        </w:rPr>
        <w:t xml:space="preserve">ди </w:t>
      </w:r>
      <w:r w:rsidRPr="00092ED7">
        <w:rPr>
          <w:rFonts w:cs="Times New Roman"/>
          <w:bCs/>
          <w:iCs/>
          <w:szCs w:val="24"/>
          <w:lang w:val="sr-Cyrl-CS"/>
        </w:rPr>
        <w:t>у складу са ЕРП роковима, у 2022. години реализовано је:</w:t>
      </w:r>
    </w:p>
    <w:p w14:paraId="2DF2A308" w14:textId="064D04F7" w:rsidR="00F13B06" w:rsidRPr="00092ED7" w:rsidRDefault="00F13B06" w:rsidP="00F13B06">
      <w:pPr>
        <w:pStyle w:val="ListParagraph"/>
        <w:numPr>
          <w:ilvl w:val="0"/>
          <w:numId w:val="44"/>
        </w:numPr>
        <w:spacing w:after="60"/>
        <w:rPr>
          <w:rFonts w:cs="Times New Roman"/>
          <w:bCs/>
          <w:iCs/>
          <w:sz w:val="24"/>
          <w:szCs w:val="24"/>
          <w:lang w:val="sr-Cyrl-CS"/>
        </w:rPr>
      </w:pPr>
      <w:r w:rsidRPr="00092ED7">
        <w:rPr>
          <w:rFonts w:cs="Times New Roman"/>
          <w:bCs/>
          <w:iCs/>
          <w:sz w:val="24"/>
          <w:szCs w:val="24"/>
          <w:lang w:val="sr-Cyrl-CS"/>
        </w:rPr>
        <w:t xml:space="preserve">Реинжењеринг пословних процеса, укључујући обуку тренера за увођење нових функција у организационе јединице </w:t>
      </w:r>
      <w:r w:rsidR="00612D53" w:rsidRPr="00092ED7">
        <w:rPr>
          <w:rFonts w:cs="Times New Roman"/>
          <w:bCs/>
          <w:iCs/>
          <w:sz w:val="24"/>
          <w:szCs w:val="24"/>
          <w:lang w:val="sr-Cyrl-CS"/>
        </w:rPr>
        <w:t>Пореске управе</w:t>
      </w:r>
      <w:r w:rsidRPr="00092ED7">
        <w:rPr>
          <w:rFonts w:cs="Times New Roman"/>
          <w:bCs/>
          <w:iCs/>
          <w:sz w:val="24"/>
          <w:szCs w:val="24"/>
          <w:lang w:val="sr-Cyrl-CS"/>
        </w:rPr>
        <w:t>. Пореска управа је уз помоћ консултанта 7. јуна 2022. године израдила нацрт документа „Дизајн пословних процеса са прилозима и презентацијама</w:t>
      </w:r>
      <w:r w:rsidR="0052060E" w:rsidRPr="00092ED7">
        <w:rPr>
          <w:rFonts w:cs="Times New Roman"/>
          <w:sz w:val="24"/>
          <w:szCs w:val="24"/>
          <w:lang w:val="sr-Cyrl-CS"/>
        </w:rPr>
        <w:t>”</w:t>
      </w:r>
      <w:r w:rsidRPr="00092ED7">
        <w:rPr>
          <w:rFonts w:cs="Times New Roman"/>
          <w:bCs/>
          <w:iCs/>
          <w:sz w:val="24"/>
          <w:szCs w:val="24"/>
          <w:lang w:val="sr-Cyrl-CS"/>
        </w:rPr>
        <w:t xml:space="preserve"> након чега су одржане интензивне консултације између Пореске управе, Управе за трезор</w:t>
      </w:r>
      <w:r w:rsidR="00612D53" w:rsidRPr="00092ED7">
        <w:rPr>
          <w:rFonts w:cs="Times New Roman"/>
          <w:bCs/>
          <w:iCs/>
          <w:sz w:val="24"/>
          <w:szCs w:val="24"/>
          <w:lang w:val="sr-Cyrl-CS"/>
        </w:rPr>
        <w:t xml:space="preserve"> и других организационих јединица</w:t>
      </w:r>
      <w:r w:rsidRPr="00092ED7">
        <w:rPr>
          <w:rFonts w:cs="Times New Roman"/>
          <w:bCs/>
          <w:iCs/>
          <w:sz w:val="24"/>
          <w:szCs w:val="24"/>
          <w:lang w:val="sr-Cyrl-CS"/>
        </w:rPr>
        <w:t xml:space="preserve"> Министарства финансија и консултанта у циљу усаглашавања ставова, примедби и сугестија на достављени документ, а нарочито на делове који се односе на редослед намирења пореских обавеза као и идентификаторе и распоред уплата депозита за лицитацију и купопродајне цене. Донете су одлуке од стране Пореске управе које се тичу начина обрачуна камате, а за које је консултант предложио више варијанти у Општем пословном моделу, као и одлуке у вези </w:t>
      </w:r>
      <w:r w:rsidR="00612D53" w:rsidRPr="00092ED7">
        <w:rPr>
          <w:rFonts w:cs="Times New Roman"/>
          <w:bCs/>
          <w:iCs/>
          <w:sz w:val="24"/>
          <w:szCs w:val="24"/>
          <w:lang w:val="sr-Cyrl-CS"/>
        </w:rPr>
        <w:t xml:space="preserve">са увођењем </w:t>
      </w:r>
      <w:r w:rsidRPr="00092ED7">
        <w:rPr>
          <w:rFonts w:cs="Times New Roman"/>
          <w:bCs/>
          <w:iCs/>
          <w:sz w:val="24"/>
          <w:szCs w:val="24"/>
          <w:lang w:val="sr-Cyrl-CS"/>
        </w:rPr>
        <w:t xml:space="preserve">једног рачуна за уплату јавних прихода  и распореда средстава која ће се водити на конту преплате, како би се наставио даљи рад на развоју Редизајнираног пословног модела у детаљима, након чега је Редизајнирани пословни модел у детаљима презентован у Министарству финансија. </w:t>
      </w:r>
    </w:p>
    <w:p w14:paraId="50653582" w14:textId="492BBC2D" w:rsidR="00F13B06" w:rsidRPr="00092ED7" w:rsidRDefault="00F13B06" w:rsidP="00F13B06">
      <w:pPr>
        <w:pStyle w:val="ListParagraph"/>
        <w:spacing w:after="60"/>
        <w:ind w:left="360"/>
        <w:rPr>
          <w:rFonts w:cs="Times New Roman"/>
          <w:bCs/>
          <w:iCs/>
          <w:sz w:val="24"/>
          <w:szCs w:val="24"/>
          <w:lang w:val="sr-Cyrl-CS"/>
        </w:rPr>
      </w:pPr>
      <w:r w:rsidRPr="00092ED7">
        <w:rPr>
          <w:rFonts w:cs="Times New Roman"/>
          <w:bCs/>
          <w:iCs/>
          <w:sz w:val="24"/>
          <w:szCs w:val="24"/>
          <w:lang w:val="sr-Cyrl-CS"/>
        </w:rPr>
        <w:t xml:space="preserve">Консултант је 4. октобра 2022. доставио кориговану верзију </w:t>
      </w:r>
      <w:r w:rsidR="00612D53" w:rsidRPr="00092ED7">
        <w:rPr>
          <w:rFonts w:cs="Times New Roman"/>
          <w:bCs/>
          <w:iCs/>
          <w:sz w:val="24"/>
          <w:szCs w:val="24"/>
          <w:lang w:val="sr-Cyrl-CS"/>
        </w:rPr>
        <w:t xml:space="preserve">нацрта </w:t>
      </w:r>
      <w:r w:rsidRPr="00092ED7">
        <w:rPr>
          <w:rFonts w:cs="Times New Roman"/>
          <w:bCs/>
          <w:iCs/>
          <w:sz w:val="24"/>
          <w:szCs w:val="24"/>
          <w:lang w:val="sr-Cyrl-CS"/>
        </w:rPr>
        <w:t>документа „Дизајн пословних процеса са прилозима и презентацијама</w:t>
      </w:r>
      <w:r w:rsidR="0052060E" w:rsidRPr="00092ED7">
        <w:rPr>
          <w:rFonts w:cs="Times New Roman"/>
          <w:sz w:val="24"/>
          <w:szCs w:val="24"/>
          <w:lang w:val="sr-Cyrl-CS"/>
        </w:rPr>
        <w:t>”</w:t>
      </w:r>
      <w:r w:rsidRPr="00092ED7">
        <w:rPr>
          <w:rFonts w:cs="Times New Roman"/>
          <w:bCs/>
          <w:iCs/>
          <w:sz w:val="24"/>
          <w:szCs w:val="24"/>
          <w:lang w:val="sr-Cyrl-CS"/>
        </w:rPr>
        <w:t xml:space="preserve">. Коначна верзија </w:t>
      </w:r>
      <w:r w:rsidRPr="00092ED7">
        <w:rPr>
          <w:rFonts w:cs="Times New Roman"/>
          <w:bCs/>
          <w:iCs/>
          <w:sz w:val="24"/>
          <w:szCs w:val="24"/>
          <w:lang w:val="sr-Cyrl-CS"/>
        </w:rPr>
        <w:lastRenderedPageBreak/>
        <w:t xml:space="preserve">документа усвојена је 14. новембра 2022. године, на другој седници Одбора за спровођење </w:t>
      </w:r>
      <w:r w:rsidR="00612D53" w:rsidRPr="00092ED7">
        <w:rPr>
          <w:rFonts w:cs="Times New Roman"/>
          <w:bCs/>
          <w:iCs/>
          <w:sz w:val="24"/>
          <w:szCs w:val="24"/>
          <w:lang w:val="sr-Cyrl-CS"/>
        </w:rPr>
        <w:t>Програм трансформације Пореске управе.</w:t>
      </w:r>
      <w:r w:rsidRPr="00092ED7">
        <w:rPr>
          <w:rFonts w:cs="Times New Roman"/>
          <w:bCs/>
          <w:iCs/>
          <w:sz w:val="24"/>
          <w:szCs w:val="24"/>
          <w:lang w:val="sr-Cyrl-CS"/>
        </w:rPr>
        <w:t xml:space="preserve">  </w:t>
      </w:r>
    </w:p>
    <w:p w14:paraId="55C2A0A1" w14:textId="5D79F95D" w:rsidR="00F13B06" w:rsidRPr="00092ED7" w:rsidRDefault="00F13B06" w:rsidP="00F13B06">
      <w:pPr>
        <w:pStyle w:val="ListParagraph"/>
        <w:numPr>
          <w:ilvl w:val="0"/>
          <w:numId w:val="44"/>
        </w:numPr>
        <w:spacing w:after="60" w:line="240" w:lineRule="auto"/>
        <w:ind w:left="357" w:hanging="357"/>
        <w:rPr>
          <w:rFonts w:cs="Times New Roman"/>
          <w:bCs/>
          <w:iCs/>
          <w:sz w:val="24"/>
          <w:szCs w:val="24"/>
          <w:lang w:val="sr-Cyrl-CS"/>
        </w:rPr>
      </w:pPr>
      <w:r w:rsidRPr="00092ED7">
        <w:rPr>
          <w:rFonts w:cs="Times New Roman"/>
          <w:bCs/>
          <w:iCs/>
          <w:sz w:val="24"/>
          <w:szCs w:val="24"/>
          <w:lang w:val="sr-Cyrl-CS"/>
        </w:rPr>
        <w:t>Анализа и увођење савременог система управљања документима кроз свеобухватни модел управљања информацијама - Након спроведене анализе законског оквира, први нацрт документа „Анализа правног оквира у области архивирања Пореске управе Републике Србије са препорукама за унапређење</w:t>
      </w:r>
      <w:r w:rsidR="00AD20C6" w:rsidRPr="00092ED7">
        <w:rPr>
          <w:rFonts w:cs="Times New Roman"/>
          <w:sz w:val="24"/>
          <w:szCs w:val="24"/>
          <w:lang w:val="sr-Cyrl-CS"/>
        </w:rPr>
        <w:t>”</w:t>
      </w:r>
      <w:r w:rsidRPr="00092ED7">
        <w:rPr>
          <w:rFonts w:cs="Times New Roman"/>
          <w:bCs/>
          <w:iCs/>
          <w:sz w:val="24"/>
          <w:szCs w:val="24"/>
          <w:lang w:val="sr-Cyrl-CS"/>
        </w:rPr>
        <w:t xml:space="preserve"> је достављен 3. августа 2022. године. Нацрт документа је прослеђен Светској банци.</w:t>
      </w:r>
    </w:p>
    <w:p w14:paraId="2699299D" w14:textId="09EE5124" w:rsidR="00F13B06" w:rsidRPr="00092ED7" w:rsidRDefault="00F13B06" w:rsidP="00F13B06">
      <w:pPr>
        <w:pStyle w:val="ListParagraph"/>
        <w:numPr>
          <w:ilvl w:val="0"/>
          <w:numId w:val="44"/>
        </w:numPr>
        <w:spacing w:after="60" w:line="240" w:lineRule="auto"/>
        <w:ind w:left="357" w:hanging="357"/>
        <w:rPr>
          <w:rFonts w:cs="Times New Roman"/>
          <w:bCs/>
          <w:iCs/>
          <w:sz w:val="24"/>
          <w:szCs w:val="24"/>
          <w:lang w:val="sr-Cyrl-CS"/>
        </w:rPr>
      </w:pPr>
      <w:r w:rsidRPr="00092ED7">
        <w:rPr>
          <w:rFonts w:cs="Times New Roman"/>
          <w:bCs/>
          <w:iCs/>
          <w:sz w:val="24"/>
          <w:szCs w:val="24"/>
          <w:lang w:val="sr-Cyrl-CS"/>
        </w:rPr>
        <w:t>Набавка система за нову платформу</w:t>
      </w:r>
      <w:r w:rsidR="006E4DE0" w:rsidRPr="00092ED7">
        <w:rPr>
          <w:rFonts w:eastAsia="Calibri" w:cs="Times New Roman"/>
          <w:bCs/>
          <w:sz w:val="24"/>
          <w:szCs w:val="24"/>
          <w:lang w:val="sr-Cyrl-CS"/>
        </w:rPr>
        <w:t xml:space="preserve"> за информационо-комуникационе технологије</w:t>
      </w:r>
      <w:r w:rsidRPr="00092ED7">
        <w:rPr>
          <w:rFonts w:cs="Times New Roman"/>
          <w:bCs/>
          <w:iCs/>
          <w:sz w:val="24"/>
          <w:szCs w:val="24"/>
          <w:lang w:val="sr-Cyrl-CS"/>
        </w:rPr>
        <w:t>– У вези са консултантским услугама за анализу тржишта и израду спецификација за готово комерцијално решење (</w:t>
      </w:r>
      <w:r w:rsidR="00C30860" w:rsidRPr="00092ED7">
        <w:rPr>
          <w:rFonts w:cs="Times New Roman"/>
          <w:bCs/>
          <w:iCs/>
          <w:sz w:val="24"/>
          <w:szCs w:val="24"/>
          <w:lang w:val="sr-Cyrl-CS"/>
        </w:rPr>
        <w:t>у даљем тексту</w:t>
      </w:r>
      <w:r w:rsidR="00020BEA" w:rsidRPr="00092ED7">
        <w:rPr>
          <w:rFonts w:cs="Times New Roman"/>
          <w:bCs/>
          <w:iCs/>
          <w:sz w:val="24"/>
          <w:szCs w:val="24"/>
          <w:lang w:val="sr-Cyrl-CS"/>
        </w:rPr>
        <w:t>:</w:t>
      </w:r>
      <w:r w:rsidR="00C30860" w:rsidRPr="00092ED7">
        <w:rPr>
          <w:rFonts w:cs="Times New Roman"/>
          <w:bCs/>
          <w:iCs/>
          <w:sz w:val="24"/>
          <w:szCs w:val="24"/>
          <w:lang w:val="sr-Cyrl-CS"/>
        </w:rPr>
        <w:t xml:space="preserve"> </w:t>
      </w:r>
      <w:r w:rsidRPr="00092ED7">
        <w:rPr>
          <w:rFonts w:cs="Times New Roman"/>
          <w:bCs/>
          <w:iCs/>
          <w:sz w:val="24"/>
          <w:szCs w:val="24"/>
          <w:lang w:val="sr-Cyrl-CS"/>
        </w:rPr>
        <w:t>COTS)</w:t>
      </w:r>
      <w:r w:rsidR="00973039" w:rsidRPr="00092ED7">
        <w:rPr>
          <w:rFonts w:cs="Times New Roman"/>
          <w:bCs/>
          <w:iCs/>
          <w:sz w:val="24"/>
          <w:szCs w:val="24"/>
          <w:lang w:val="sr-Cyrl-CS"/>
        </w:rPr>
        <w:t>,</w:t>
      </w:r>
      <w:r w:rsidRPr="00092ED7">
        <w:rPr>
          <w:rFonts w:cs="Times New Roman"/>
          <w:bCs/>
          <w:iCs/>
          <w:sz w:val="24"/>
          <w:szCs w:val="24"/>
          <w:lang w:val="sr-Cyrl-CS"/>
        </w:rPr>
        <w:t xml:space="preserve"> Пореска управа је уз помоћ консултанта направила нацрт документа „Техничка спецификација за готово комерцијално решење</w:t>
      </w:r>
      <w:r w:rsidR="0052060E" w:rsidRPr="00092ED7">
        <w:rPr>
          <w:rFonts w:cs="Times New Roman"/>
          <w:sz w:val="24"/>
          <w:szCs w:val="24"/>
          <w:lang w:val="sr-Cyrl-CS"/>
        </w:rPr>
        <w:t>”</w:t>
      </w:r>
      <w:r w:rsidRPr="00092ED7">
        <w:rPr>
          <w:rFonts w:cs="Times New Roman"/>
          <w:bCs/>
          <w:iCs/>
          <w:sz w:val="24"/>
          <w:szCs w:val="24"/>
          <w:lang w:val="sr-Cyrl-CS"/>
        </w:rPr>
        <w:t xml:space="preserve"> са функционалним и нефункционалним захтевима, а који треба да буде саставни део захтева за достављање понуда (</w:t>
      </w:r>
      <w:r w:rsidR="00C30860" w:rsidRPr="00092ED7">
        <w:rPr>
          <w:rFonts w:cs="Times New Roman"/>
          <w:bCs/>
          <w:iCs/>
          <w:sz w:val="24"/>
          <w:szCs w:val="24"/>
          <w:lang w:val="sr-Cyrl-CS"/>
        </w:rPr>
        <w:t>у даљем тексту</w:t>
      </w:r>
      <w:r w:rsidR="00B24C0F" w:rsidRPr="00092ED7">
        <w:rPr>
          <w:rFonts w:cs="Times New Roman"/>
          <w:bCs/>
          <w:iCs/>
          <w:sz w:val="24"/>
          <w:szCs w:val="24"/>
          <w:lang w:val="sr-Cyrl-CS"/>
        </w:rPr>
        <w:t>:</w:t>
      </w:r>
      <w:r w:rsidR="00C30860" w:rsidRPr="00092ED7">
        <w:rPr>
          <w:rFonts w:cs="Times New Roman"/>
          <w:bCs/>
          <w:iCs/>
          <w:sz w:val="24"/>
          <w:szCs w:val="24"/>
          <w:lang w:val="sr-Cyrl-CS"/>
        </w:rPr>
        <w:t xml:space="preserve"> </w:t>
      </w:r>
      <w:r w:rsidRPr="00092ED7">
        <w:rPr>
          <w:rFonts w:cs="Times New Roman"/>
          <w:bCs/>
          <w:iCs/>
          <w:sz w:val="24"/>
          <w:szCs w:val="24"/>
          <w:lang w:val="sr-Cyrl-CS"/>
        </w:rPr>
        <w:t>RFB). Након  анализе наведеног документа и усаглашавања примедби, сугестија и предлога од стране Пореске управе и консултанта „Техничка спецификација за готово комерцијално решење</w:t>
      </w:r>
      <w:r w:rsidR="0052060E" w:rsidRPr="00092ED7">
        <w:rPr>
          <w:rFonts w:cs="Times New Roman"/>
          <w:sz w:val="24"/>
          <w:szCs w:val="24"/>
          <w:lang w:val="sr-Cyrl-CS"/>
        </w:rPr>
        <w:t>”</w:t>
      </w:r>
      <w:r w:rsidRPr="00092ED7">
        <w:rPr>
          <w:rFonts w:cs="Times New Roman"/>
          <w:bCs/>
          <w:iCs/>
          <w:sz w:val="24"/>
          <w:szCs w:val="24"/>
          <w:lang w:val="sr-Cyrl-CS"/>
        </w:rPr>
        <w:t xml:space="preserve"> је усвојена на Одбору за спровођење </w:t>
      </w:r>
      <w:r w:rsidR="00C30860" w:rsidRPr="00092ED7">
        <w:rPr>
          <w:rFonts w:cs="Times New Roman"/>
          <w:bCs/>
          <w:iCs/>
          <w:sz w:val="24"/>
          <w:szCs w:val="24"/>
          <w:lang w:val="sr-Cyrl-CS"/>
        </w:rPr>
        <w:t xml:space="preserve">Програма </w:t>
      </w:r>
      <w:r w:rsidRPr="00092ED7">
        <w:rPr>
          <w:rFonts w:cs="Times New Roman"/>
          <w:bCs/>
          <w:iCs/>
          <w:sz w:val="24"/>
          <w:szCs w:val="24"/>
          <w:lang w:val="sr-Cyrl-CS"/>
        </w:rPr>
        <w:t>трансформације Пореске управе 30. септембра 2022. године.</w:t>
      </w:r>
    </w:p>
    <w:p w14:paraId="5CDE3FCE" w14:textId="5FE73C1C" w:rsidR="00F13B06" w:rsidRPr="00092ED7" w:rsidRDefault="00F13B06" w:rsidP="00F13B06">
      <w:pPr>
        <w:spacing w:after="60"/>
        <w:rPr>
          <w:rFonts w:cs="Times New Roman"/>
          <w:bCs/>
          <w:iCs/>
          <w:szCs w:val="24"/>
          <w:lang w:val="sr-Cyrl-CS"/>
        </w:rPr>
      </w:pPr>
      <w:r w:rsidRPr="00092ED7">
        <w:rPr>
          <w:rFonts w:cs="Times New Roman"/>
          <w:bCs/>
          <w:iCs/>
          <w:szCs w:val="24"/>
          <w:lang w:val="sr-Cyrl-CS"/>
        </w:rPr>
        <w:t xml:space="preserve">Документ представља основу за припрему захтева за достављање понуда (RFB). Позив за Иницијалну селекцију </w:t>
      </w:r>
      <w:r w:rsidR="00B24C0F" w:rsidRPr="00092ED7">
        <w:rPr>
          <w:rFonts w:cs="Times New Roman"/>
          <w:bCs/>
          <w:iCs/>
          <w:szCs w:val="24"/>
          <w:lang w:val="sr-Cyrl-CS"/>
        </w:rPr>
        <w:t>˗</w:t>
      </w:r>
      <w:r w:rsidRPr="00092ED7">
        <w:rPr>
          <w:rFonts w:cs="Times New Roman"/>
          <w:bCs/>
          <w:iCs/>
          <w:szCs w:val="24"/>
          <w:lang w:val="sr-Cyrl-CS"/>
        </w:rPr>
        <w:t xml:space="preserve"> достављање понуда за набавку и инсталацију (COTS) са интеграцијом и миграцијом података,  објављен је 13. октобра 2022. године. Одлуком директора Пореске управе формирана је комисија за оцену приспелих понуда у поступку набавке готовог комерцијалног решења (COTS).</w:t>
      </w:r>
    </w:p>
    <w:p w14:paraId="55429E85" w14:textId="1E70EB59" w:rsidR="00F13B06" w:rsidRPr="00092ED7" w:rsidRDefault="00F13B06" w:rsidP="00F13B06">
      <w:pPr>
        <w:spacing w:after="60"/>
        <w:rPr>
          <w:rFonts w:cs="Times New Roman"/>
          <w:bCs/>
          <w:iCs/>
          <w:szCs w:val="24"/>
          <w:lang w:val="sr-Cyrl-CS"/>
        </w:rPr>
      </w:pPr>
      <w:r w:rsidRPr="00092ED7">
        <w:rPr>
          <w:rFonts w:cs="Times New Roman"/>
          <w:bCs/>
          <w:iCs/>
          <w:szCs w:val="24"/>
          <w:lang w:val="sr-Cyrl-CS"/>
        </w:rPr>
        <w:t xml:space="preserve">Реализација осталих активности одвија се у складу са Планом набавки </w:t>
      </w:r>
      <w:r w:rsidR="00C30860" w:rsidRPr="00092ED7">
        <w:rPr>
          <w:rFonts w:cs="Times New Roman"/>
          <w:bCs/>
          <w:iCs/>
          <w:szCs w:val="24"/>
          <w:lang w:val="sr-Cyrl-CS"/>
        </w:rPr>
        <w:t>Пројекта за модернизацију Пореске управе (у даљем тексту</w:t>
      </w:r>
      <w:r w:rsidR="00B24C0F" w:rsidRPr="00092ED7">
        <w:rPr>
          <w:rFonts w:cs="Times New Roman"/>
          <w:bCs/>
          <w:iCs/>
          <w:szCs w:val="24"/>
          <w:lang w:val="sr-Cyrl-CS"/>
        </w:rPr>
        <w:t>:</w:t>
      </w:r>
      <w:r w:rsidR="00C30860" w:rsidRPr="00092ED7">
        <w:rPr>
          <w:rFonts w:cs="Times New Roman"/>
          <w:bCs/>
          <w:iCs/>
          <w:szCs w:val="24"/>
          <w:lang w:val="sr-Cyrl-CS"/>
        </w:rPr>
        <w:t xml:space="preserve"> ТАMP)</w:t>
      </w:r>
      <w:r w:rsidRPr="00092ED7">
        <w:rPr>
          <w:rFonts w:cs="Times New Roman"/>
          <w:bCs/>
          <w:iCs/>
          <w:szCs w:val="24"/>
          <w:lang w:val="sr-Cyrl-CS"/>
        </w:rPr>
        <w:t>.</w:t>
      </w:r>
    </w:p>
    <w:p w14:paraId="77C8489A" w14:textId="77777777" w:rsidR="00F13B06" w:rsidRPr="00092ED7" w:rsidRDefault="00F13B06" w:rsidP="00F13B06">
      <w:pPr>
        <w:shd w:val="clear" w:color="auto" w:fill="D9D9D9" w:themeFill="background1" w:themeFillShade="D9"/>
        <w:spacing w:after="60"/>
        <w:rPr>
          <w:rFonts w:eastAsia="MS PGothic" w:cs="Times New Roman"/>
          <w:bCs/>
          <w:i/>
          <w:iCs/>
          <w:szCs w:val="24"/>
          <w:lang w:val="sr-Cyrl-CS" w:eastAsia="ja-JP"/>
        </w:rPr>
      </w:pPr>
      <w:r w:rsidRPr="00092ED7">
        <w:rPr>
          <w:rFonts w:eastAsia="MS PGothic" w:cs="Times New Roman"/>
          <w:bCs/>
          <w:i/>
          <w:iCs/>
          <w:szCs w:val="24"/>
          <w:lang w:val="sr-Cyrl-CS" w:eastAsia="ja-JP"/>
        </w:rPr>
        <w:t>Ојачати капацитете за анализу фискалних ризика, посебно за државна предузећа, и објављивати извештаје о финансијским резултатима у ажурираним верзијама фискалне стратегије у пролеће и јесен.</w:t>
      </w:r>
    </w:p>
    <w:p w14:paraId="5996388D" w14:textId="7C8EC4C9" w:rsidR="00F13B06" w:rsidRPr="00092ED7" w:rsidRDefault="00D659B3" w:rsidP="00F13B06">
      <w:pPr>
        <w:spacing w:after="60"/>
        <w:rPr>
          <w:rFonts w:cs="Times New Roman"/>
          <w:szCs w:val="24"/>
          <w:lang w:val="sr-Cyrl-CS"/>
        </w:rPr>
      </w:pPr>
      <w:r w:rsidRPr="00092ED7">
        <w:rPr>
          <w:rFonts w:cs="Times New Roman"/>
          <w:szCs w:val="24"/>
          <w:lang w:val="sr-Cyrl-CS"/>
        </w:rPr>
        <w:t>На основу</w:t>
      </w:r>
      <w:r w:rsidR="00F13B06" w:rsidRPr="00092ED7">
        <w:rPr>
          <w:rFonts w:cs="Times New Roman"/>
          <w:szCs w:val="24"/>
          <w:lang w:val="sr-Cyrl-CS"/>
        </w:rPr>
        <w:t xml:space="preserve"> сарадњ</w:t>
      </w:r>
      <w:r w:rsidRPr="00092ED7">
        <w:rPr>
          <w:rFonts w:cs="Times New Roman"/>
          <w:szCs w:val="24"/>
          <w:lang w:val="sr-Cyrl-CS"/>
        </w:rPr>
        <w:t>е</w:t>
      </w:r>
      <w:r w:rsidR="00F13B06" w:rsidRPr="00092ED7">
        <w:rPr>
          <w:rFonts w:cs="Times New Roman"/>
          <w:szCs w:val="24"/>
          <w:lang w:val="sr-Cyrl-CS"/>
        </w:rPr>
        <w:t xml:space="preserve"> Сектора за праћење фискалних ризика </w:t>
      </w:r>
      <w:r w:rsidR="00C30860" w:rsidRPr="00092ED7">
        <w:rPr>
          <w:rFonts w:cs="Times New Roman"/>
          <w:szCs w:val="24"/>
          <w:lang w:val="sr-Cyrl-CS"/>
        </w:rPr>
        <w:t xml:space="preserve">Министарства финансија </w:t>
      </w:r>
      <w:r w:rsidR="00F13B06" w:rsidRPr="00092ED7">
        <w:rPr>
          <w:rFonts w:cs="Times New Roman"/>
          <w:szCs w:val="24"/>
          <w:lang w:val="sr-Cyrl-CS"/>
        </w:rPr>
        <w:t xml:space="preserve">и Светске банке, крајем 2021. </w:t>
      </w:r>
      <w:r w:rsidR="00C30860" w:rsidRPr="00092ED7">
        <w:rPr>
          <w:rFonts w:cs="Times New Roman"/>
          <w:szCs w:val="24"/>
          <w:lang w:val="sr-Cyrl-CS"/>
        </w:rPr>
        <w:t xml:space="preserve">Влада је усвојила Закључак </w:t>
      </w:r>
      <w:r w:rsidR="00F00550" w:rsidRPr="00092ED7">
        <w:rPr>
          <w:rFonts w:cs="Times New Roman"/>
          <w:szCs w:val="24"/>
          <w:lang w:val="sr-Cyrl-CS"/>
        </w:rPr>
        <w:t>о усвајању</w:t>
      </w:r>
      <w:r w:rsidR="00DA7C88" w:rsidRPr="00092ED7">
        <w:rPr>
          <w:rFonts w:cs="Times New Roman"/>
          <w:szCs w:val="24"/>
          <w:lang w:val="sr-Cyrl-CS"/>
        </w:rPr>
        <w:t xml:space="preserve"> </w:t>
      </w:r>
      <w:r w:rsidR="00F13B06" w:rsidRPr="00092ED7">
        <w:rPr>
          <w:rFonts w:cs="Times New Roman"/>
          <w:szCs w:val="24"/>
          <w:lang w:val="sr-Cyrl-CS"/>
        </w:rPr>
        <w:t>Јединствен</w:t>
      </w:r>
      <w:r w:rsidR="00F00550" w:rsidRPr="00092ED7">
        <w:rPr>
          <w:rFonts w:cs="Times New Roman"/>
          <w:szCs w:val="24"/>
          <w:lang w:val="sr-Cyrl-CS"/>
        </w:rPr>
        <w:t>е</w:t>
      </w:r>
      <w:r w:rsidR="00F13B06" w:rsidRPr="00092ED7">
        <w:rPr>
          <w:rFonts w:cs="Times New Roman"/>
          <w:szCs w:val="24"/>
          <w:lang w:val="sr-Cyrl-CS"/>
        </w:rPr>
        <w:t xml:space="preserve"> методологиј</w:t>
      </w:r>
      <w:r w:rsidR="00F00550" w:rsidRPr="00092ED7">
        <w:rPr>
          <w:rFonts w:cs="Times New Roman"/>
          <w:szCs w:val="24"/>
          <w:lang w:val="sr-Cyrl-CS"/>
        </w:rPr>
        <w:t>е</w:t>
      </w:r>
      <w:r w:rsidR="00F13B06" w:rsidRPr="00092ED7">
        <w:rPr>
          <w:rFonts w:cs="Times New Roman"/>
          <w:szCs w:val="24"/>
          <w:lang w:val="sr-Cyrl-CS"/>
        </w:rPr>
        <w:t xml:space="preserve"> за праћење фискалних ризика у Републици Србији („Сл</w:t>
      </w:r>
      <w:r w:rsidR="00E67B17" w:rsidRPr="00092ED7">
        <w:rPr>
          <w:rFonts w:cs="Times New Roman"/>
          <w:szCs w:val="24"/>
          <w:lang w:val="sr-Cyrl-CS"/>
        </w:rPr>
        <w:t>ужбени</w:t>
      </w:r>
      <w:r w:rsidR="00F13B06" w:rsidRPr="00092ED7">
        <w:rPr>
          <w:rFonts w:cs="Times New Roman"/>
          <w:szCs w:val="24"/>
          <w:lang w:val="sr-Cyrl-CS"/>
        </w:rPr>
        <w:t xml:space="preserve"> гласник РС</w:t>
      </w:r>
      <w:r w:rsidR="00E67B17" w:rsidRPr="00092ED7">
        <w:rPr>
          <w:rFonts w:cs="Times New Roman"/>
          <w:szCs w:val="24"/>
          <w:lang w:val="sr-Cyrl-CS"/>
        </w:rPr>
        <w:t>”</w:t>
      </w:r>
      <w:r w:rsidR="00F13B06" w:rsidRPr="00092ED7">
        <w:rPr>
          <w:rFonts w:cs="Times New Roman"/>
          <w:szCs w:val="24"/>
          <w:lang w:val="sr-Cyrl-CS"/>
        </w:rPr>
        <w:t>, бр</w:t>
      </w:r>
      <w:r w:rsidR="009D647C" w:rsidRPr="00092ED7">
        <w:rPr>
          <w:rFonts w:cs="Times New Roman"/>
          <w:szCs w:val="24"/>
          <w:lang w:val="sr-Cyrl-CS"/>
        </w:rPr>
        <w:t>ој</w:t>
      </w:r>
      <w:r w:rsidR="00F13B06" w:rsidRPr="00092ED7">
        <w:rPr>
          <w:rFonts w:cs="Times New Roman"/>
          <w:szCs w:val="24"/>
          <w:lang w:val="sr-Cyrl-CS"/>
        </w:rPr>
        <w:t xml:space="preserve"> 99/21), која обухвата четири основне методологије и то:</w:t>
      </w:r>
    </w:p>
    <w:p w14:paraId="730455C2" w14:textId="77777777" w:rsidR="00F13B06" w:rsidRPr="00092ED7" w:rsidRDefault="00F13B06" w:rsidP="00F13B06">
      <w:pPr>
        <w:spacing w:after="60"/>
        <w:rPr>
          <w:rFonts w:cs="Times New Roman"/>
          <w:szCs w:val="24"/>
          <w:lang w:val="sr-Cyrl-CS"/>
        </w:rPr>
      </w:pPr>
      <w:r w:rsidRPr="00092ED7">
        <w:rPr>
          <w:rFonts w:cs="Times New Roman"/>
          <w:szCs w:val="24"/>
          <w:lang w:val="sr-Cyrl-CS"/>
        </w:rPr>
        <w:t>1) Методологију за праћење фискалних ризика који произлазе из пословања јавних предузећа;</w:t>
      </w:r>
    </w:p>
    <w:p w14:paraId="085AD9D5" w14:textId="78719C73" w:rsidR="00F13B06" w:rsidRPr="00092ED7" w:rsidRDefault="00F13B06" w:rsidP="00F13B06">
      <w:pPr>
        <w:spacing w:after="60"/>
        <w:rPr>
          <w:rFonts w:cs="Times New Roman"/>
          <w:szCs w:val="24"/>
          <w:lang w:val="sr-Cyrl-CS"/>
        </w:rPr>
      </w:pPr>
      <w:r w:rsidRPr="00092ED7">
        <w:rPr>
          <w:rFonts w:cs="Times New Roman"/>
          <w:szCs w:val="24"/>
          <w:lang w:val="sr-Cyrl-CS"/>
        </w:rPr>
        <w:t>2) Методологију за праћење фискалних ризика по буџет Републике Србије који произлазе из вршења надлежности јединица локалне самоуправе</w:t>
      </w:r>
      <w:r w:rsidR="008F53D9" w:rsidRPr="00092ED7">
        <w:rPr>
          <w:rFonts w:cs="Times New Roman"/>
          <w:szCs w:val="24"/>
          <w:lang w:val="sr-Cyrl-CS"/>
        </w:rPr>
        <w:t xml:space="preserve"> (у даљем тексту: ЈЛС)</w:t>
      </w:r>
      <w:r w:rsidRPr="00092ED7">
        <w:rPr>
          <w:rFonts w:cs="Times New Roman"/>
          <w:szCs w:val="24"/>
          <w:lang w:val="sr-Cyrl-CS"/>
        </w:rPr>
        <w:t>;</w:t>
      </w:r>
    </w:p>
    <w:p w14:paraId="206378A7" w14:textId="77777777" w:rsidR="00F13B06" w:rsidRPr="00092ED7" w:rsidRDefault="00F13B06" w:rsidP="00F13B06">
      <w:pPr>
        <w:spacing w:after="60"/>
        <w:rPr>
          <w:rFonts w:cs="Times New Roman"/>
          <w:szCs w:val="24"/>
          <w:lang w:val="sr-Cyrl-CS"/>
        </w:rPr>
      </w:pPr>
      <w:r w:rsidRPr="00092ED7">
        <w:rPr>
          <w:rFonts w:cs="Times New Roman"/>
          <w:szCs w:val="24"/>
          <w:lang w:val="sr-Cyrl-CS"/>
        </w:rPr>
        <w:t>3) Методологију за праћење фискалних ризика по основу судских поступака;</w:t>
      </w:r>
    </w:p>
    <w:p w14:paraId="231861F5" w14:textId="77777777" w:rsidR="00F13B06" w:rsidRPr="00092ED7" w:rsidRDefault="00F13B06" w:rsidP="00F13B06">
      <w:pPr>
        <w:spacing w:after="60"/>
        <w:rPr>
          <w:rFonts w:cs="Times New Roman"/>
          <w:szCs w:val="24"/>
          <w:lang w:val="sr-Cyrl-CS"/>
        </w:rPr>
      </w:pPr>
      <w:r w:rsidRPr="00092ED7">
        <w:rPr>
          <w:rFonts w:cs="Times New Roman"/>
          <w:szCs w:val="24"/>
          <w:lang w:val="sr-Cyrl-CS"/>
        </w:rPr>
        <w:t xml:space="preserve">4) Методологију за праћење фискалних ризика који се јављају као последица елементарних непогода.  </w:t>
      </w:r>
    </w:p>
    <w:p w14:paraId="7972ABD3" w14:textId="2B09BA4E" w:rsidR="00F13B06" w:rsidRPr="00092ED7" w:rsidRDefault="00F13B06" w:rsidP="00F13B06">
      <w:pPr>
        <w:spacing w:after="60"/>
        <w:rPr>
          <w:rFonts w:cs="Times New Roman"/>
          <w:szCs w:val="24"/>
          <w:lang w:val="sr-Cyrl-CS"/>
        </w:rPr>
      </w:pPr>
      <w:r w:rsidRPr="00092ED7">
        <w:rPr>
          <w:rFonts w:cs="Times New Roman"/>
          <w:szCs w:val="24"/>
          <w:lang w:val="sr-Cyrl-CS"/>
        </w:rPr>
        <w:t xml:space="preserve">Након усвајања </w:t>
      </w:r>
      <w:r w:rsidR="00C30860" w:rsidRPr="00092ED7">
        <w:rPr>
          <w:rFonts w:cs="Times New Roman"/>
          <w:szCs w:val="24"/>
          <w:lang w:val="sr-Cyrl-CS"/>
        </w:rPr>
        <w:t>Јединствене методологије за праћење фискалних ризика у Републици Србији</w:t>
      </w:r>
      <w:r w:rsidRPr="00092ED7">
        <w:rPr>
          <w:rFonts w:cs="Times New Roman"/>
          <w:szCs w:val="24"/>
          <w:lang w:val="sr-Cyrl-CS"/>
        </w:rPr>
        <w:t xml:space="preserve">, ради се на изради и подешавању модела у циљу њене пуне имплементације. </w:t>
      </w:r>
    </w:p>
    <w:p w14:paraId="3F36A3DB" w14:textId="737E33A1" w:rsidR="00F13B06" w:rsidRPr="00092ED7" w:rsidRDefault="00F13B06" w:rsidP="00F13B06">
      <w:pPr>
        <w:spacing w:after="60"/>
        <w:rPr>
          <w:rFonts w:cs="Times New Roman"/>
          <w:szCs w:val="24"/>
          <w:lang w:val="sr-Cyrl-CS"/>
        </w:rPr>
      </w:pPr>
      <w:r w:rsidRPr="00092ED7">
        <w:rPr>
          <w:rFonts w:cs="Times New Roman"/>
          <w:szCs w:val="24"/>
          <w:lang w:val="sr-Cyrl-CS"/>
        </w:rPr>
        <w:t xml:space="preserve">Сектор за праћење фискалних ризика </w:t>
      </w:r>
      <w:r w:rsidR="00C30860" w:rsidRPr="00092ED7">
        <w:rPr>
          <w:rFonts w:cs="Times New Roman"/>
          <w:szCs w:val="24"/>
          <w:lang w:val="sr-Cyrl-CS"/>
        </w:rPr>
        <w:t>Министарства финансија</w:t>
      </w:r>
      <w:r w:rsidRPr="00092ED7">
        <w:rPr>
          <w:rFonts w:cs="Times New Roman"/>
          <w:szCs w:val="24"/>
          <w:lang w:val="sr-Cyrl-CS"/>
        </w:rPr>
        <w:t xml:space="preserve">, захваљујући интензивном раду на успостављању система за процену фискалних ризика, надограђује </w:t>
      </w:r>
      <w:r w:rsidR="00C30860" w:rsidRPr="00092ED7">
        <w:rPr>
          <w:rFonts w:cs="Times New Roman"/>
          <w:szCs w:val="24"/>
          <w:lang w:val="sr-Cyrl-CS"/>
        </w:rPr>
        <w:t xml:space="preserve">фискалне стратегије </w:t>
      </w:r>
      <w:r w:rsidRPr="00092ED7">
        <w:rPr>
          <w:rFonts w:cs="Times New Roman"/>
          <w:szCs w:val="24"/>
          <w:lang w:val="sr-Cyrl-CS"/>
        </w:rPr>
        <w:t>новим подацима и детаљнијим извештавањем. Додатно, константно се ради на унапређењу капацитета унутар Сектора</w:t>
      </w:r>
      <w:r w:rsidR="00C30860" w:rsidRPr="00092ED7">
        <w:rPr>
          <w:rFonts w:cs="Times New Roman"/>
          <w:szCs w:val="24"/>
          <w:lang w:val="sr-Cyrl-CS"/>
        </w:rPr>
        <w:t xml:space="preserve"> за праћење фискалних ризика</w:t>
      </w:r>
      <w:r w:rsidRPr="00092ED7">
        <w:rPr>
          <w:rFonts w:cs="Times New Roman"/>
          <w:szCs w:val="24"/>
          <w:lang w:val="sr-Cyrl-CS"/>
        </w:rPr>
        <w:t xml:space="preserve">, тако да су запослени током 2022. похађали више значајних обука: анализа финансијских извештаја, унапређење вештина за рад у екселу и слично. </w:t>
      </w:r>
    </w:p>
    <w:p w14:paraId="2E38D91C" w14:textId="77777777" w:rsidR="00F13B06" w:rsidRPr="00092ED7" w:rsidRDefault="00F13B06" w:rsidP="00F13B06">
      <w:pPr>
        <w:spacing w:after="60"/>
        <w:rPr>
          <w:rFonts w:cs="Times New Roman"/>
          <w:szCs w:val="24"/>
          <w:lang w:val="sr-Cyrl-CS"/>
        </w:rPr>
      </w:pPr>
      <w:r w:rsidRPr="00092ED7">
        <w:rPr>
          <w:rFonts w:cs="Times New Roman"/>
          <w:szCs w:val="24"/>
          <w:lang w:val="sr-Cyrl-CS"/>
        </w:rPr>
        <w:lastRenderedPageBreak/>
        <w:t>Глобална енергетска криза, у 2022. je још више нагласила потребу за адекватним праћењем пословања јавних предузећа</w:t>
      </w:r>
      <w:r w:rsidRPr="00092ED7">
        <w:rPr>
          <w:rStyle w:val="FootnoteReference"/>
          <w:rFonts w:eastAsia="MS PGothic" w:cs="Times New Roman"/>
          <w:bCs/>
          <w:i/>
          <w:iCs/>
          <w:szCs w:val="24"/>
          <w:lang w:val="sr-Cyrl-CS" w:eastAsia="ja-JP"/>
        </w:rPr>
        <w:footnoteReference w:id="2"/>
      </w:r>
      <w:r w:rsidRPr="00092ED7">
        <w:rPr>
          <w:rFonts w:cs="Times New Roman"/>
          <w:szCs w:val="24"/>
          <w:lang w:val="sr-Cyrl-CS"/>
        </w:rPr>
        <w:t xml:space="preserve"> у области енергетике, у циљу смањења повезаних фискалних ризика.</w:t>
      </w:r>
    </w:p>
    <w:p w14:paraId="55EDC4C3" w14:textId="77777777" w:rsidR="00A12315" w:rsidRPr="00092ED7" w:rsidRDefault="00A12315" w:rsidP="00F13B06">
      <w:pPr>
        <w:spacing w:after="60"/>
        <w:rPr>
          <w:rFonts w:cs="Times New Roman"/>
          <w:bCs/>
          <w:iCs/>
          <w:szCs w:val="24"/>
          <w:lang w:val="sr-Cyrl-CS"/>
        </w:rPr>
      </w:pPr>
    </w:p>
    <w:p w14:paraId="1DA25285" w14:textId="77777777" w:rsidR="00F13B06" w:rsidRPr="00092ED7" w:rsidRDefault="00F13B06" w:rsidP="00F13B06">
      <w:pPr>
        <w:shd w:val="clear" w:color="auto" w:fill="D9D9D9" w:themeFill="background1" w:themeFillShade="D9"/>
        <w:spacing w:after="60"/>
        <w:rPr>
          <w:rFonts w:eastAsia="MS PGothic" w:cs="Times New Roman"/>
          <w:bCs/>
          <w:i/>
          <w:iCs/>
          <w:szCs w:val="24"/>
          <w:lang w:val="sr-Cyrl-CS" w:eastAsia="ja-JP"/>
        </w:rPr>
      </w:pPr>
      <w:r w:rsidRPr="00092ED7">
        <w:rPr>
          <w:rFonts w:eastAsia="MS PGothic" w:cs="Times New Roman"/>
          <w:bCs/>
          <w:i/>
          <w:iCs/>
          <w:szCs w:val="24"/>
          <w:lang w:val="sr-Cyrl-CS" w:eastAsia="ja-JP"/>
        </w:rPr>
        <w:t>Спровести временски ограничен акциони план за примену нове стратегије у погледу власништва и управљања предузећем у државном власништву према временском оквиру за ЕРП 2022 ради бољег управљања државним предузећима и смањења повезаних фискалних ризика.</w:t>
      </w:r>
    </w:p>
    <w:p w14:paraId="77447E72" w14:textId="5DD1091F" w:rsidR="00F13B06" w:rsidRPr="00092ED7" w:rsidRDefault="00F13B06" w:rsidP="00F13B06">
      <w:pPr>
        <w:spacing w:after="60"/>
        <w:rPr>
          <w:rFonts w:cs="Times New Roman"/>
          <w:bCs/>
          <w:iCs/>
          <w:szCs w:val="24"/>
          <w:lang w:val="sr-Cyrl-CS"/>
        </w:rPr>
      </w:pPr>
      <w:r w:rsidRPr="00092ED7">
        <w:rPr>
          <w:rFonts w:cs="Times New Roman"/>
          <w:bCs/>
          <w:iCs/>
          <w:szCs w:val="24"/>
          <w:lang w:val="sr-Cyrl-CS"/>
        </w:rPr>
        <w:t xml:space="preserve">Након успостављања базе података предузећа у власништву Републике Србије и доношења интерног акта о основама за утврђивање механизама и критеријума за преиспитивање и одобравање кључних одлука друштвених предузећа, Министарство привреде је покренуло иницијативу за формирање радне групе за анализу постојећег правног оквира, коју чине представници министарстава релевантних за предузећа у државном власништву. </w:t>
      </w:r>
      <w:r w:rsidR="00C30860" w:rsidRPr="00092ED7">
        <w:rPr>
          <w:rFonts w:cs="Times New Roman"/>
          <w:bCs/>
          <w:iCs/>
          <w:szCs w:val="24"/>
          <w:lang w:val="sr-Cyrl-CS"/>
        </w:rPr>
        <w:t>Нацрт закона</w:t>
      </w:r>
      <w:r w:rsidRPr="00092ED7">
        <w:rPr>
          <w:rFonts w:cs="Times New Roman"/>
          <w:bCs/>
          <w:iCs/>
          <w:szCs w:val="24"/>
          <w:lang w:val="sr-Cyrl-CS"/>
        </w:rPr>
        <w:t xml:space="preserve"> о управљању привредним друштвима која су у власништву Републике Србије је припремљен. Јавна расправа је завршена у другој половини децембра 2022. године.</w:t>
      </w:r>
    </w:p>
    <w:p w14:paraId="19B3DC38" w14:textId="77777777" w:rsidR="00F13B06" w:rsidRPr="00092ED7" w:rsidRDefault="00F13B06" w:rsidP="00F13B06">
      <w:pPr>
        <w:shd w:val="clear" w:color="auto" w:fill="D9D9D9" w:themeFill="background1" w:themeFillShade="D9"/>
        <w:spacing w:after="60"/>
        <w:rPr>
          <w:rFonts w:eastAsia="MS PGothic" w:cs="Times New Roman"/>
          <w:bCs/>
          <w:i/>
          <w:iCs/>
          <w:szCs w:val="24"/>
          <w:lang w:val="sr-Cyrl-CS" w:eastAsia="ja-JP"/>
        </w:rPr>
      </w:pPr>
      <w:r w:rsidRPr="00092ED7">
        <w:rPr>
          <w:rFonts w:eastAsia="MS PGothic" w:cs="Times New Roman"/>
          <w:bCs/>
          <w:i/>
          <w:iCs/>
          <w:szCs w:val="24"/>
          <w:lang w:val="sr-Cyrl-CS" w:eastAsia="ja-JP"/>
        </w:rPr>
        <w:t>3. Пажљиво проценити и анализирати кретање цена, додатно пооштрити монетарну политику, ако је потребно, како би се очувала стабилност цена у средњем року. Одржати транспарентно и поуздано извештавање о квалитету активе и одговарајућих резервисања.</w:t>
      </w:r>
    </w:p>
    <w:p w14:paraId="24140D1D" w14:textId="3757DE1A" w:rsidR="00F13B06" w:rsidRPr="00092ED7" w:rsidRDefault="00F13B06" w:rsidP="00F13B06">
      <w:pPr>
        <w:spacing w:after="60"/>
        <w:rPr>
          <w:rFonts w:eastAsia="MS PGothic" w:cs="Times New Roman"/>
          <w:bCs/>
          <w:iCs/>
          <w:szCs w:val="24"/>
          <w:lang w:val="sr-Cyrl-CS" w:eastAsia="ja-JP"/>
        </w:rPr>
      </w:pPr>
      <w:r w:rsidRPr="00092ED7">
        <w:rPr>
          <w:rFonts w:eastAsia="MS PGothic" w:cs="Times New Roman"/>
          <w:bCs/>
          <w:iCs/>
          <w:szCs w:val="24"/>
          <w:lang w:val="sr-Cyrl-CS" w:eastAsia="ja-JP"/>
        </w:rPr>
        <w:t xml:space="preserve">У условима јачања инфлаторних притисака на глобалном нивоу и у циљу ограничавања секундарних ефеката раста цена на инфлациона очекивања, </w:t>
      </w:r>
      <w:r w:rsidR="00C30860" w:rsidRPr="00092ED7">
        <w:rPr>
          <w:rFonts w:eastAsia="MS PGothic" w:cs="Times New Roman"/>
          <w:bCs/>
          <w:iCs/>
          <w:szCs w:val="24"/>
          <w:lang w:val="sr-Cyrl-CS" w:eastAsia="ja-JP"/>
        </w:rPr>
        <w:t xml:space="preserve">Народна банка Србије </w:t>
      </w:r>
      <w:r w:rsidRPr="00092ED7">
        <w:rPr>
          <w:rFonts w:eastAsia="MS PGothic" w:cs="Times New Roman"/>
          <w:bCs/>
          <w:iCs/>
          <w:szCs w:val="24"/>
          <w:lang w:val="sr-Cyrl-CS" w:eastAsia="ja-JP"/>
        </w:rPr>
        <w:t xml:space="preserve">је наставила да додатно пооштрава монетарну политику повећањем референтне стопе од априла до децембра 2022. године за укупно 400 </w:t>
      </w:r>
      <w:r w:rsidR="00C30860" w:rsidRPr="00092ED7">
        <w:rPr>
          <w:rFonts w:eastAsia="MS PGothic" w:cs="Times New Roman"/>
          <w:bCs/>
          <w:iCs/>
          <w:szCs w:val="24"/>
          <w:lang w:val="sr-Cyrl-CS" w:eastAsia="ja-JP"/>
        </w:rPr>
        <w:t>базних поена (у даљем тексту</w:t>
      </w:r>
      <w:r w:rsidR="00D67271" w:rsidRPr="00092ED7">
        <w:rPr>
          <w:rFonts w:eastAsia="MS PGothic" w:cs="Times New Roman"/>
          <w:bCs/>
          <w:iCs/>
          <w:szCs w:val="24"/>
          <w:lang w:val="sr-Cyrl-CS" w:eastAsia="ja-JP"/>
        </w:rPr>
        <w:t>:</w:t>
      </w:r>
      <w:r w:rsidR="00C30860" w:rsidRPr="00092ED7">
        <w:rPr>
          <w:rFonts w:eastAsia="MS PGothic" w:cs="Times New Roman"/>
          <w:bCs/>
          <w:iCs/>
          <w:szCs w:val="24"/>
          <w:lang w:val="sr-Cyrl-CS" w:eastAsia="ja-JP"/>
        </w:rPr>
        <w:t xml:space="preserve"> </w:t>
      </w:r>
      <w:r w:rsidRPr="00092ED7">
        <w:rPr>
          <w:rFonts w:eastAsia="MS PGothic" w:cs="Times New Roman"/>
          <w:bCs/>
          <w:iCs/>
          <w:szCs w:val="24"/>
          <w:lang w:val="sr-Cyrl-CS" w:eastAsia="ja-JP"/>
        </w:rPr>
        <w:t>б.п.</w:t>
      </w:r>
      <w:r w:rsidR="00C30860" w:rsidRPr="00092ED7">
        <w:rPr>
          <w:rFonts w:eastAsia="MS PGothic" w:cs="Times New Roman"/>
          <w:bCs/>
          <w:iCs/>
          <w:szCs w:val="24"/>
          <w:lang w:val="sr-Cyrl-CS" w:eastAsia="ja-JP"/>
        </w:rPr>
        <w:t>)</w:t>
      </w:r>
      <w:r w:rsidRPr="00092ED7">
        <w:rPr>
          <w:rFonts w:eastAsia="MS PGothic" w:cs="Times New Roman"/>
          <w:bCs/>
          <w:iCs/>
          <w:szCs w:val="24"/>
          <w:lang w:val="sr-Cyrl-CS" w:eastAsia="ja-JP"/>
        </w:rPr>
        <w:t>, на 5,0%. Повећане су и каматне стопе на депозитне и кредитне олакшице, које су тренутно на нивоу од 4,0% и 6,0%, респективно.</w:t>
      </w:r>
    </w:p>
    <w:p w14:paraId="3047D0ED" w14:textId="0C20552C" w:rsidR="00F13B06" w:rsidRPr="00092ED7" w:rsidRDefault="00F13B06" w:rsidP="00F13B06">
      <w:pPr>
        <w:spacing w:after="60"/>
        <w:rPr>
          <w:rFonts w:eastAsia="MS PGothic" w:cs="Times New Roman"/>
          <w:bCs/>
          <w:iCs/>
          <w:szCs w:val="24"/>
          <w:lang w:val="sr-Cyrl-CS" w:eastAsia="ja-JP"/>
        </w:rPr>
      </w:pPr>
      <w:r w:rsidRPr="00092ED7">
        <w:rPr>
          <w:rFonts w:eastAsia="MS PGothic" w:cs="Times New Roman"/>
          <w:bCs/>
          <w:iCs/>
          <w:szCs w:val="24"/>
          <w:lang w:val="sr-Cyrl-CS" w:eastAsia="ja-JP"/>
        </w:rPr>
        <w:t>Регулаторне и супервизорске активности, подржане посвећеношћу банкарског сектора да благовремено решава сва питања квалитета активе, резултирале су очувањем и јачањем стабилности финансијског система и даљим смањењем учешћа проблематичних кредита на 3,03% (у новембру 2022. године), што је историјски најнижи ниво овог индикатора.</w:t>
      </w:r>
    </w:p>
    <w:p w14:paraId="4E26E133" w14:textId="4F704017" w:rsidR="00F13B06" w:rsidRPr="00092ED7" w:rsidRDefault="00F13B06" w:rsidP="00F13B06">
      <w:pPr>
        <w:shd w:val="clear" w:color="auto" w:fill="D9D9D9" w:themeFill="background1" w:themeFillShade="D9"/>
        <w:spacing w:after="60"/>
        <w:rPr>
          <w:rFonts w:eastAsia="MS PGothic" w:cs="Times New Roman"/>
          <w:bCs/>
          <w:i/>
          <w:iCs/>
          <w:szCs w:val="24"/>
          <w:lang w:val="sr-Cyrl-CS" w:eastAsia="ja-JP"/>
        </w:rPr>
      </w:pPr>
      <w:r w:rsidRPr="00092ED7">
        <w:rPr>
          <w:rFonts w:eastAsia="MS PGothic" w:cs="Times New Roman"/>
          <w:bCs/>
          <w:i/>
          <w:iCs/>
          <w:szCs w:val="24"/>
          <w:lang w:val="sr-Cyrl-CS" w:eastAsia="ja-JP"/>
        </w:rPr>
        <w:t>Даље унапредити решавање питања ненаплативних кредита, укључујући и олакшавање вансудског поравнања, и наставити са обезбеђивањем додатних података посебно за сектор не</w:t>
      </w:r>
      <w:r w:rsidR="00A901AA" w:rsidRPr="00092ED7">
        <w:rPr>
          <w:rFonts w:eastAsia="MS PGothic" w:cs="Times New Roman"/>
          <w:bCs/>
          <w:i/>
          <w:iCs/>
          <w:szCs w:val="24"/>
          <w:lang w:val="sr-Cyrl-CS" w:eastAsia="ja-JP"/>
        </w:rPr>
        <w:t>покретности</w:t>
      </w:r>
      <w:r w:rsidRPr="00092ED7">
        <w:rPr>
          <w:rFonts w:eastAsia="MS PGothic" w:cs="Times New Roman"/>
          <w:bCs/>
          <w:i/>
          <w:iCs/>
          <w:szCs w:val="24"/>
          <w:lang w:val="sr-Cyrl-CS" w:eastAsia="ja-JP"/>
        </w:rPr>
        <w:t>.</w:t>
      </w:r>
    </w:p>
    <w:p w14:paraId="449A37D8" w14:textId="605C3F59" w:rsidR="00F13B06" w:rsidRPr="00092ED7" w:rsidRDefault="00F13B06" w:rsidP="00F13B06">
      <w:pPr>
        <w:spacing w:after="60"/>
        <w:rPr>
          <w:rFonts w:eastAsia="MS PGothic" w:cs="Times New Roman"/>
          <w:bCs/>
          <w:iCs/>
          <w:szCs w:val="24"/>
          <w:lang w:val="sr-Cyrl-CS" w:eastAsia="ja-JP"/>
        </w:rPr>
      </w:pPr>
      <w:r w:rsidRPr="00092ED7">
        <w:rPr>
          <w:rFonts w:eastAsia="MS PGothic" w:cs="Times New Roman"/>
          <w:bCs/>
          <w:iCs/>
          <w:szCs w:val="24"/>
          <w:lang w:val="sr-Cyrl-CS" w:eastAsia="ja-JP"/>
        </w:rPr>
        <w:t xml:space="preserve">Имајући у виду успостављени оквир и конкретне резултате, </w:t>
      </w:r>
      <w:r w:rsidR="00C30860" w:rsidRPr="00092ED7">
        <w:rPr>
          <w:rFonts w:eastAsia="MS PGothic" w:cs="Times New Roman"/>
          <w:bCs/>
          <w:iCs/>
          <w:szCs w:val="24"/>
          <w:lang w:val="sr-Cyrl-CS" w:eastAsia="ja-JP"/>
        </w:rPr>
        <w:t xml:space="preserve">Народна банка Србије </w:t>
      </w:r>
      <w:r w:rsidRPr="00092ED7">
        <w:rPr>
          <w:rFonts w:eastAsia="MS PGothic" w:cs="Times New Roman"/>
          <w:bCs/>
          <w:iCs/>
          <w:szCs w:val="24"/>
          <w:lang w:val="sr-Cyrl-CS" w:eastAsia="ja-JP"/>
        </w:rPr>
        <w:t>наставља своје активности кроз процесе супервизије и континуирано праћење стања у банкарском сектору.</w:t>
      </w:r>
    </w:p>
    <w:p w14:paraId="6B5D3CE5" w14:textId="20579AA8" w:rsidR="00F13B06" w:rsidRPr="00092ED7" w:rsidRDefault="00F13B06" w:rsidP="00F13B06">
      <w:pPr>
        <w:spacing w:after="60"/>
        <w:rPr>
          <w:rFonts w:eastAsia="MS PGothic" w:cs="Times New Roman"/>
          <w:bCs/>
          <w:iCs/>
          <w:szCs w:val="24"/>
          <w:lang w:val="sr-Cyrl-CS" w:eastAsia="ja-JP"/>
        </w:rPr>
      </w:pPr>
      <w:r w:rsidRPr="00092ED7">
        <w:rPr>
          <w:rFonts w:eastAsia="MS PGothic" w:cs="Times New Roman"/>
          <w:bCs/>
          <w:iCs/>
          <w:szCs w:val="24"/>
          <w:lang w:val="sr-Cyrl-CS" w:eastAsia="ja-JP"/>
        </w:rPr>
        <w:t>Настоји се ојачати база података о не</w:t>
      </w:r>
      <w:r w:rsidR="00A901AA" w:rsidRPr="00092ED7">
        <w:rPr>
          <w:rFonts w:eastAsia="MS PGothic" w:cs="Times New Roman"/>
          <w:bCs/>
          <w:iCs/>
          <w:szCs w:val="24"/>
          <w:lang w:val="sr-Cyrl-CS" w:eastAsia="ja-JP"/>
        </w:rPr>
        <w:t>покретностима</w:t>
      </w:r>
      <w:r w:rsidRPr="00092ED7">
        <w:rPr>
          <w:rFonts w:eastAsia="MS PGothic" w:cs="Times New Roman"/>
          <w:bCs/>
          <w:iCs/>
          <w:szCs w:val="24"/>
          <w:lang w:val="sr-Cyrl-CS" w:eastAsia="ja-JP"/>
        </w:rPr>
        <w:t xml:space="preserve"> </w:t>
      </w:r>
      <w:r w:rsidR="00C30860" w:rsidRPr="00092ED7">
        <w:rPr>
          <w:rFonts w:eastAsia="MS PGothic" w:cs="Times New Roman"/>
          <w:bCs/>
          <w:iCs/>
          <w:szCs w:val="24"/>
          <w:lang w:val="sr-Cyrl-CS" w:eastAsia="ja-JP"/>
        </w:rPr>
        <w:t xml:space="preserve">Народне банке Србије </w:t>
      </w:r>
      <w:r w:rsidRPr="00092ED7">
        <w:rPr>
          <w:rFonts w:eastAsia="MS PGothic" w:cs="Times New Roman"/>
          <w:bCs/>
          <w:iCs/>
          <w:szCs w:val="24"/>
          <w:lang w:val="sr-Cyrl-CS" w:eastAsia="ja-JP"/>
        </w:rPr>
        <w:t>о проценама непокретности под хипотеком у циљу омогућавања свеобухватног прикупљања и анализе података.</w:t>
      </w:r>
    </w:p>
    <w:p w14:paraId="72F61ED1" w14:textId="6EE6ADDA" w:rsidR="00F13B06" w:rsidRPr="00092ED7" w:rsidRDefault="00F13B06" w:rsidP="00F13B06">
      <w:pPr>
        <w:spacing w:after="60"/>
        <w:rPr>
          <w:rFonts w:eastAsia="MS PGothic" w:cs="Times New Roman"/>
          <w:bCs/>
          <w:iCs/>
          <w:szCs w:val="24"/>
          <w:lang w:val="sr-Cyrl-CS" w:eastAsia="ja-JP"/>
        </w:rPr>
      </w:pPr>
      <w:r w:rsidRPr="00092ED7">
        <w:rPr>
          <w:rFonts w:eastAsia="MS PGothic" w:cs="Times New Roman"/>
          <w:bCs/>
          <w:iCs/>
          <w:szCs w:val="24"/>
          <w:lang w:val="sr-Cyrl-CS" w:eastAsia="ja-JP"/>
        </w:rPr>
        <w:t xml:space="preserve">Законом о </w:t>
      </w:r>
      <w:r w:rsidR="00D67271" w:rsidRPr="00092ED7">
        <w:rPr>
          <w:rFonts w:eastAsia="MS PGothic" w:cs="Times New Roman"/>
          <w:bCs/>
          <w:iCs/>
          <w:szCs w:val="24"/>
          <w:lang w:val="sr-Cyrl-CS" w:eastAsia="ja-JP"/>
        </w:rPr>
        <w:t>c</w:t>
      </w:r>
      <w:r w:rsidRPr="00092ED7">
        <w:rPr>
          <w:rFonts w:eastAsia="MS PGothic" w:cs="Times New Roman"/>
          <w:bCs/>
          <w:iCs/>
          <w:szCs w:val="24"/>
          <w:lang w:val="sr-Cyrl-CS" w:eastAsia="ja-JP"/>
        </w:rPr>
        <w:t>поразумном финансијском реструктурирању („Сл</w:t>
      </w:r>
      <w:r w:rsidR="00A62E58" w:rsidRPr="00092ED7">
        <w:rPr>
          <w:rFonts w:eastAsia="MS PGothic" w:cs="Times New Roman"/>
          <w:bCs/>
          <w:iCs/>
          <w:szCs w:val="24"/>
          <w:lang w:val="sr-Cyrl-CS" w:eastAsia="ja-JP"/>
        </w:rPr>
        <w:t>ужбени</w:t>
      </w:r>
      <w:r w:rsidRPr="00092ED7">
        <w:rPr>
          <w:rFonts w:eastAsia="MS PGothic" w:cs="Times New Roman"/>
          <w:bCs/>
          <w:iCs/>
          <w:szCs w:val="24"/>
          <w:lang w:val="sr-Cyrl-CS" w:eastAsia="ja-JP"/>
        </w:rPr>
        <w:t xml:space="preserve"> гласник РС</w:t>
      </w:r>
      <w:r w:rsidR="00E67B17" w:rsidRPr="00092ED7">
        <w:rPr>
          <w:rFonts w:cs="Times New Roman"/>
          <w:szCs w:val="24"/>
          <w:lang w:val="sr-Cyrl-CS"/>
        </w:rPr>
        <w:t>”</w:t>
      </w:r>
      <w:r w:rsidRPr="00092ED7">
        <w:rPr>
          <w:rFonts w:eastAsia="MS PGothic" w:cs="Times New Roman"/>
          <w:bCs/>
          <w:iCs/>
          <w:szCs w:val="24"/>
          <w:lang w:val="sr-Cyrl-CS" w:eastAsia="ja-JP"/>
        </w:rPr>
        <w:t>, бр</w:t>
      </w:r>
      <w:r w:rsidR="009D647C" w:rsidRPr="00092ED7">
        <w:rPr>
          <w:rFonts w:eastAsia="MS PGothic" w:cs="Times New Roman"/>
          <w:bCs/>
          <w:iCs/>
          <w:szCs w:val="24"/>
          <w:lang w:val="sr-Cyrl-CS" w:eastAsia="ja-JP"/>
        </w:rPr>
        <w:t>ој</w:t>
      </w:r>
      <w:r w:rsidRPr="00092ED7">
        <w:rPr>
          <w:rFonts w:eastAsia="MS PGothic" w:cs="Times New Roman"/>
          <w:bCs/>
          <w:iCs/>
          <w:szCs w:val="24"/>
          <w:lang w:val="sr-Cyrl-CS" w:eastAsia="ja-JP"/>
        </w:rPr>
        <w:t xml:space="preserve"> 89/15) Привредна комора Србије је дефинисана као институционални посредник и једина институција надлежна за спровођење овог закона. С обзиром на то да су изграђени капацитети и обезбеђена једноставна процедура, наставиће се континуирана промоција и настојање да се вансудско поравнање прихвати у привреди као начин </w:t>
      </w:r>
      <w:r w:rsidRPr="00092ED7">
        <w:rPr>
          <w:rFonts w:eastAsia="MS PGothic" w:cs="Times New Roman"/>
          <w:bCs/>
          <w:iCs/>
          <w:szCs w:val="24"/>
          <w:lang w:val="sr-Cyrl-CS" w:eastAsia="ja-JP"/>
        </w:rPr>
        <w:lastRenderedPageBreak/>
        <w:t xml:space="preserve">решавања спорних односа, како би се постигли жељени резултати. Иако је Законом о </w:t>
      </w:r>
      <w:r w:rsidR="0053221B" w:rsidRPr="00092ED7">
        <w:rPr>
          <w:rFonts w:eastAsia="MS PGothic" w:cs="Times New Roman"/>
          <w:bCs/>
          <w:iCs/>
          <w:szCs w:val="24"/>
          <w:lang w:val="sr-Cyrl-CS" w:eastAsia="ja-JP"/>
        </w:rPr>
        <w:t>c</w:t>
      </w:r>
      <w:r w:rsidRPr="00092ED7">
        <w:rPr>
          <w:rFonts w:eastAsia="MS PGothic" w:cs="Times New Roman"/>
          <w:bCs/>
          <w:iCs/>
          <w:szCs w:val="24"/>
          <w:lang w:val="sr-Cyrl-CS" w:eastAsia="ja-JP"/>
        </w:rPr>
        <w:t>поразумном финансијском реструктурирању омогућено да овај поступак користе и предузетници, за сада ниједан предузетник није изразио интересовање, при чему је у међувремену дошло до смањења учешћа проблематичних кредита сектора привреде на 2,05%. За унапређење примене овог поступка у привреди, као и медијације у привредним споровима, неопходни су додатни подстицаји, јака медијска кампања и посвећеност.</w:t>
      </w:r>
    </w:p>
    <w:p w14:paraId="67091B0E" w14:textId="77777777" w:rsidR="00F13B06" w:rsidRPr="00092ED7" w:rsidRDefault="00F13B06" w:rsidP="00F13B06">
      <w:pPr>
        <w:spacing w:after="60"/>
        <w:rPr>
          <w:rFonts w:eastAsia="MS PGothic" w:cs="Times New Roman"/>
          <w:bCs/>
          <w:iCs/>
          <w:szCs w:val="24"/>
          <w:lang w:val="sr-Cyrl-CS" w:eastAsia="ja-JP"/>
        </w:rPr>
      </w:pPr>
      <w:r w:rsidRPr="00092ED7">
        <w:rPr>
          <w:rFonts w:eastAsia="MS PGothic" w:cs="Times New Roman"/>
          <w:bCs/>
          <w:iCs/>
          <w:szCs w:val="24"/>
          <w:lang w:val="sr-Cyrl-CS" w:eastAsia="ja-JP"/>
        </w:rPr>
        <w:t>Тренутно је у току решавање питања преосталих проблематичних пласмана банака у стечају и пласмана у име и за рачун Републике Србије, којима управља Агенција за осигурање депозита.</w:t>
      </w:r>
    </w:p>
    <w:p w14:paraId="635FCDE9" w14:textId="77777777" w:rsidR="00F13B06" w:rsidRPr="00092ED7" w:rsidRDefault="00F13B06" w:rsidP="00F13B06">
      <w:pPr>
        <w:shd w:val="clear" w:color="auto" w:fill="D9D9D9" w:themeFill="background1" w:themeFillShade="D9"/>
        <w:spacing w:after="60"/>
        <w:rPr>
          <w:rFonts w:eastAsia="MS PGothic" w:cs="Times New Roman"/>
          <w:bCs/>
          <w:i/>
          <w:iCs/>
          <w:szCs w:val="24"/>
          <w:lang w:val="sr-Cyrl-CS" w:eastAsia="ja-JP"/>
        </w:rPr>
      </w:pPr>
      <w:r w:rsidRPr="00092ED7">
        <w:rPr>
          <w:rFonts w:eastAsia="MS PGothic" w:cs="Times New Roman"/>
          <w:bCs/>
          <w:i/>
          <w:iCs/>
          <w:szCs w:val="24"/>
          <w:lang w:val="sr-Cyrl-CS" w:eastAsia="ja-JP"/>
        </w:rPr>
        <w:t>Наставити напоре на промоцији употребе националне валуте, укључујући унапређење дугорочног финансирања у националној валути, даље подстицање девизног хеџинга и подизање свести о ризицима везаним за девизно кредитирање.</w:t>
      </w:r>
    </w:p>
    <w:p w14:paraId="6D6B5E13" w14:textId="0FB83FBD" w:rsidR="00F13B06" w:rsidRPr="00092ED7" w:rsidRDefault="00F13B06" w:rsidP="00F13B06">
      <w:pPr>
        <w:spacing w:after="60"/>
        <w:rPr>
          <w:rFonts w:eastAsia="MS PGothic" w:cs="Times New Roman"/>
          <w:bCs/>
          <w:iCs/>
          <w:szCs w:val="24"/>
          <w:lang w:val="sr-Cyrl-CS" w:eastAsia="ja-JP"/>
        </w:rPr>
      </w:pPr>
      <w:r w:rsidRPr="00092ED7">
        <w:rPr>
          <w:rFonts w:eastAsia="MS PGothic" w:cs="Times New Roman"/>
          <w:bCs/>
          <w:iCs/>
          <w:szCs w:val="24"/>
          <w:lang w:val="sr-Cyrl-CS" w:eastAsia="ja-JP"/>
        </w:rPr>
        <w:t>Према Одлуци о адекватности капитала бан</w:t>
      </w:r>
      <w:r w:rsidR="00EA54D9" w:rsidRPr="00092ED7">
        <w:rPr>
          <w:rFonts w:eastAsia="MS PGothic" w:cs="Times New Roman"/>
          <w:bCs/>
          <w:iCs/>
          <w:szCs w:val="24"/>
          <w:lang w:val="sr-Cyrl-CS" w:eastAsia="ja-JP"/>
        </w:rPr>
        <w:t>ке</w:t>
      </w:r>
      <w:r w:rsidR="00C30860" w:rsidRPr="00092ED7">
        <w:rPr>
          <w:rFonts w:eastAsia="MS PGothic" w:cs="Times New Roman"/>
          <w:bCs/>
          <w:iCs/>
          <w:szCs w:val="24"/>
          <w:lang w:val="sr-Cyrl-CS" w:eastAsia="ja-JP"/>
        </w:rPr>
        <w:t xml:space="preserve"> (</w:t>
      </w:r>
      <w:r w:rsidR="00C30860" w:rsidRPr="00092ED7">
        <w:rPr>
          <w:lang w:val="sr-Cyrl-CS"/>
        </w:rPr>
        <w:t>„Службени гласник РС</w:t>
      </w:r>
      <w:r w:rsidR="00C30860" w:rsidRPr="00092ED7">
        <w:rPr>
          <w:rFonts w:cs="Times New Roman"/>
          <w:szCs w:val="24"/>
          <w:lang w:val="sr-Cyrl-CS"/>
        </w:rPr>
        <w:t>”</w:t>
      </w:r>
      <w:r w:rsidR="00C30860" w:rsidRPr="00092ED7">
        <w:rPr>
          <w:lang w:val="sr-Cyrl-CS"/>
        </w:rPr>
        <w:t>, бр. 103/16, 103/18, 88/19</w:t>
      </w:r>
      <w:r w:rsidR="00EA54D9" w:rsidRPr="00092ED7">
        <w:rPr>
          <w:lang w:val="sr-Cyrl-CS"/>
        </w:rPr>
        <w:t>,</w:t>
      </w:r>
      <w:r w:rsidR="00C30860" w:rsidRPr="00092ED7">
        <w:rPr>
          <w:lang w:val="sr-Cyrl-CS"/>
        </w:rPr>
        <w:t xml:space="preserve"> 67/20</w:t>
      </w:r>
      <w:r w:rsidR="00EA54D9" w:rsidRPr="00092ED7">
        <w:rPr>
          <w:lang w:val="sr-Cyrl-CS"/>
        </w:rPr>
        <w:t>, 98/20, 137/20, 59/21, 67/22 и 137/22</w:t>
      </w:r>
      <w:r w:rsidR="00C30860" w:rsidRPr="00092ED7">
        <w:rPr>
          <w:lang w:val="sr-Cyrl-CS"/>
        </w:rPr>
        <w:t>)</w:t>
      </w:r>
      <w:r w:rsidRPr="00092ED7">
        <w:rPr>
          <w:rFonts w:eastAsia="MS PGothic" w:cs="Times New Roman"/>
          <w:bCs/>
          <w:iCs/>
          <w:szCs w:val="24"/>
          <w:lang w:val="sr-Cyrl-CS" w:eastAsia="ja-JP"/>
        </w:rPr>
        <w:t>, заштитни слој капитала за структурни системски ризик је у последњем испитивању у марту 2022. године задржан на нивоу од 3% укупних девизних и девизно индексираних пласмана банке одобрених привреди и становништву у Републици Србији. Све банке чије учешће девизних и девизно индексираних пласмана одобрених привреди и становништву у Републици Србији прелази 10%</w:t>
      </w:r>
      <w:r w:rsidR="002208A0" w:rsidRPr="00092ED7">
        <w:rPr>
          <w:rFonts w:eastAsia="MS PGothic" w:cs="Times New Roman"/>
          <w:bCs/>
          <w:iCs/>
          <w:szCs w:val="24"/>
          <w:lang w:val="sr-Cyrl-CS" w:eastAsia="ja-JP"/>
        </w:rPr>
        <w:t>,</w:t>
      </w:r>
      <w:r w:rsidRPr="00092ED7">
        <w:rPr>
          <w:rFonts w:eastAsia="MS PGothic" w:cs="Times New Roman"/>
          <w:bCs/>
          <w:iCs/>
          <w:szCs w:val="24"/>
          <w:lang w:val="sr-Cyrl-CS" w:eastAsia="ja-JP"/>
        </w:rPr>
        <w:t xml:space="preserve"> дужне су да одржавају овај заштитни слој капитала за структурни системски ризик.</w:t>
      </w:r>
    </w:p>
    <w:p w14:paraId="4B04F776" w14:textId="796B45FB" w:rsidR="00F13B06" w:rsidRPr="00092ED7" w:rsidRDefault="00F13B06" w:rsidP="00F13B06">
      <w:pPr>
        <w:spacing w:after="60"/>
        <w:rPr>
          <w:rFonts w:cs="Times New Roman"/>
          <w:bCs/>
          <w:iCs/>
          <w:szCs w:val="24"/>
          <w:lang w:val="sr-Cyrl-CS"/>
        </w:rPr>
      </w:pPr>
      <w:r w:rsidRPr="00092ED7">
        <w:rPr>
          <w:rFonts w:eastAsia="MS PGothic" w:cs="Times New Roman"/>
          <w:bCs/>
          <w:iCs/>
          <w:szCs w:val="24"/>
          <w:lang w:val="sr-Cyrl-CS" w:eastAsia="ja-JP"/>
        </w:rPr>
        <w:t xml:space="preserve">С обзиром да су се додатне операције које је </w:t>
      </w:r>
      <w:r w:rsidR="00C30860" w:rsidRPr="00092ED7">
        <w:rPr>
          <w:rFonts w:eastAsia="MS PGothic" w:cs="Times New Roman"/>
          <w:bCs/>
          <w:iCs/>
          <w:szCs w:val="24"/>
          <w:lang w:val="sr-Cyrl-CS" w:eastAsia="ja-JP"/>
        </w:rPr>
        <w:t xml:space="preserve">Народна банка Србије </w:t>
      </w:r>
      <w:r w:rsidRPr="00092ED7">
        <w:rPr>
          <w:rFonts w:eastAsia="MS PGothic" w:cs="Times New Roman"/>
          <w:bCs/>
          <w:iCs/>
          <w:szCs w:val="24"/>
          <w:lang w:val="sr-Cyrl-CS" w:eastAsia="ja-JP"/>
        </w:rPr>
        <w:t xml:space="preserve">увела почетком 2022. године – билатералне девизне своп трансакције, показале као ефикаснији инструмент за пружање помоћи банкама у управљању динарском и девизном ликвидношћу, пре свега услед веће флексибилности у погледу рочности трансакција у поређењу са своп аукцијама, </w:t>
      </w:r>
      <w:r w:rsidR="00C30860" w:rsidRPr="00092ED7">
        <w:rPr>
          <w:rFonts w:eastAsia="MS PGothic" w:cs="Times New Roman"/>
          <w:bCs/>
          <w:iCs/>
          <w:szCs w:val="24"/>
          <w:lang w:val="sr-Cyrl-CS" w:eastAsia="ja-JP"/>
        </w:rPr>
        <w:t xml:space="preserve">Народна банка Србије </w:t>
      </w:r>
      <w:r w:rsidRPr="00092ED7">
        <w:rPr>
          <w:rFonts w:eastAsia="MS PGothic" w:cs="Times New Roman"/>
          <w:bCs/>
          <w:iCs/>
          <w:szCs w:val="24"/>
          <w:lang w:val="sr-Cyrl-CS" w:eastAsia="ja-JP"/>
        </w:rPr>
        <w:t xml:space="preserve">је од 1. aвгуста 2022. године престала са организовањем редовних двонедељних и тромесечних девизних своп аукција (не искључујући могућност поновног увођења у случају да се за тим укаже потреба). Такође, билатералне своп трансакције у којима </w:t>
      </w:r>
      <w:r w:rsidR="002208A0" w:rsidRPr="00092ED7">
        <w:rPr>
          <w:rFonts w:eastAsia="MS PGothic" w:cs="Times New Roman"/>
          <w:bCs/>
          <w:iCs/>
          <w:szCs w:val="24"/>
          <w:lang w:val="sr-Cyrl-CS" w:eastAsia="ja-JP"/>
        </w:rPr>
        <w:t xml:space="preserve">Народна банка Србије </w:t>
      </w:r>
      <w:r w:rsidRPr="00092ED7">
        <w:rPr>
          <w:rFonts w:eastAsia="MS PGothic" w:cs="Times New Roman"/>
          <w:bCs/>
          <w:iCs/>
          <w:szCs w:val="24"/>
          <w:lang w:val="sr-Cyrl-CS" w:eastAsia="ja-JP"/>
        </w:rPr>
        <w:t>посредује између банака</w:t>
      </w:r>
      <w:r w:rsidR="002208A0" w:rsidRPr="00092ED7">
        <w:rPr>
          <w:rFonts w:eastAsia="MS PGothic" w:cs="Times New Roman"/>
          <w:bCs/>
          <w:iCs/>
          <w:szCs w:val="24"/>
          <w:lang w:val="sr-Cyrl-CS" w:eastAsia="ja-JP"/>
        </w:rPr>
        <w:t>,</w:t>
      </w:r>
      <w:r w:rsidRPr="00092ED7">
        <w:rPr>
          <w:rFonts w:eastAsia="MS PGothic" w:cs="Times New Roman"/>
          <w:bCs/>
          <w:iCs/>
          <w:szCs w:val="24"/>
          <w:lang w:val="sr-Cyrl-CS" w:eastAsia="ja-JP"/>
        </w:rPr>
        <w:t xml:space="preserve"> ефикасније </w:t>
      </w:r>
      <w:r w:rsidR="002208A0" w:rsidRPr="00092ED7">
        <w:rPr>
          <w:rFonts w:eastAsia="MS PGothic" w:cs="Times New Roman"/>
          <w:bCs/>
          <w:iCs/>
          <w:szCs w:val="24"/>
          <w:lang w:val="sr-Cyrl-CS" w:eastAsia="ja-JP"/>
        </w:rPr>
        <w:t xml:space="preserve">су </w:t>
      </w:r>
      <w:r w:rsidRPr="00092ED7">
        <w:rPr>
          <w:rFonts w:eastAsia="MS PGothic" w:cs="Times New Roman"/>
          <w:bCs/>
          <w:iCs/>
          <w:szCs w:val="24"/>
          <w:lang w:val="sr-Cyrl-CS" w:eastAsia="ja-JP"/>
        </w:rPr>
        <w:t>у односу на своп аукције у превазилажењу проблема недовољних или непостојећих међубанкарских лимита за трговање. Већа флексибилност билатералних своп трансакција постала је нарочито наглашена у условима појачаних геополитичких тензија, узрокованих кризом у вези са Украјином.</w:t>
      </w:r>
    </w:p>
    <w:p w14:paraId="18964DC0" w14:textId="77777777" w:rsidR="00F13B06" w:rsidRPr="00092ED7" w:rsidRDefault="00F13B06" w:rsidP="00F13B06">
      <w:pPr>
        <w:shd w:val="clear" w:color="auto" w:fill="D9D9D9" w:themeFill="background1" w:themeFillShade="D9"/>
        <w:spacing w:after="60"/>
        <w:rPr>
          <w:rFonts w:eastAsia="MS PGothic" w:cs="Times New Roman"/>
          <w:bCs/>
          <w:i/>
          <w:iCs/>
          <w:szCs w:val="24"/>
          <w:lang w:val="sr-Cyrl-CS" w:eastAsia="ja-JP"/>
        </w:rPr>
      </w:pPr>
      <w:r w:rsidRPr="00092ED7">
        <w:rPr>
          <w:rFonts w:eastAsia="MS PGothic" w:cs="Times New Roman"/>
          <w:bCs/>
          <w:i/>
          <w:iCs/>
          <w:szCs w:val="24"/>
          <w:lang w:val="sr-Cyrl-CS" w:eastAsia="ja-JP"/>
        </w:rPr>
        <w:t>4. Даље побољшати транспарентност у усвајању и спровођењу закона, нарочито обезбеђивањем правовремених консултација предузећа и социјалних партнера о новом законодавству које утиче на њихово пословање.</w:t>
      </w:r>
    </w:p>
    <w:p w14:paraId="59317718" w14:textId="2A71E83D" w:rsidR="00F13B06" w:rsidRPr="00092ED7" w:rsidRDefault="00F13B06" w:rsidP="00F13B06">
      <w:pPr>
        <w:spacing w:after="60"/>
        <w:rPr>
          <w:rFonts w:cs="Times New Roman"/>
          <w:szCs w:val="24"/>
          <w:lang w:val="sr-Cyrl-CS"/>
        </w:rPr>
      </w:pPr>
      <w:r w:rsidRPr="00092ED7">
        <w:rPr>
          <w:rFonts w:cs="Times New Roman"/>
          <w:szCs w:val="24"/>
          <w:lang w:val="sr-Cyrl-CS"/>
        </w:rPr>
        <w:t>Иако усвојени прописи пружају чврст оквир за укључивање јавности у процес израде закона, током 2021. године за 44,4% (40/90) усвојених закона спроведен је процес консултација</w:t>
      </w:r>
      <w:r w:rsidR="001C075D" w:rsidRPr="00092ED7">
        <w:rPr>
          <w:rFonts w:cs="Times New Roman"/>
          <w:szCs w:val="24"/>
          <w:lang w:val="sr-Cyrl-CS"/>
        </w:rPr>
        <w:t xml:space="preserve"> на начин предвиђен регулaторним оквиром</w:t>
      </w:r>
      <w:r w:rsidRPr="00092ED7">
        <w:rPr>
          <w:rFonts w:cs="Times New Roman"/>
          <w:szCs w:val="24"/>
          <w:lang w:val="sr-Cyrl-CS"/>
        </w:rPr>
        <w:t xml:space="preserve">, што је за 8,4 процентних поена више него у 2020. години (према </w:t>
      </w:r>
      <w:r w:rsidR="00C30860" w:rsidRPr="00092ED7">
        <w:rPr>
          <w:rFonts w:cs="Times New Roman"/>
          <w:szCs w:val="24"/>
          <w:lang w:val="sr-Cyrl-CS"/>
        </w:rPr>
        <w:t>евиденцији Републичког секретаријата за јавне политике</w:t>
      </w:r>
      <w:r w:rsidR="00D02CFA" w:rsidRPr="00092ED7">
        <w:rPr>
          <w:rFonts w:cs="Times New Roman"/>
          <w:szCs w:val="24"/>
          <w:lang w:val="sr-Cyrl-CS"/>
        </w:rPr>
        <w:t xml:space="preserve"> </w:t>
      </w:r>
      <w:r w:rsidR="002208A0" w:rsidRPr="00092ED7">
        <w:rPr>
          <w:rFonts w:cs="Times New Roman"/>
          <w:szCs w:val="24"/>
          <w:lang w:val="sr-Cyrl-CS"/>
        </w:rPr>
        <w:t>(</w:t>
      </w:r>
      <w:r w:rsidR="00C30860" w:rsidRPr="00092ED7">
        <w:rPr>
          <w:rFonts w:cs="Times New Roman"/>
          <w:szCs w:val="24"/>
          <w:lang w:val="sr-Cyrl-CS"/>
        </w:rPr>
        <w:t>у даљем тексту</w:t>
      </w:r>
      <w:r w:rsidR="002208A0" w:rsidRPr="00092ED7">
        <w:rPr>
          <w:rFonts w:cs="Times New Roman"/>
          <w:szCs w:val="24"/>
          <w:lang w:val="sr-Cyrl-CS"/>
        </w:rPr>
        <w:t>:</w:t>
      </w:r>
      <w:r w:rsidR="00C30860" w:rsidRPr="00092ED7">
        <w:rPr>
          <w:rFonts w:cs="Times New Roman"/>
          <w:szCs w:val="24"/>
          <w:lang w:val="sr-Cyrl-CS"/>
        </w:rPr>
        <w:t xml:space="preserve"> РСЈП</w:t>
      </w:r>
      <w:r w:rsidRPr="00092ED7">
        <w:rPr>
          <w:rFonts w:cs="Times New Roman"/>
          <w:szCs w:val="24"/>
          <w:lang w:val="sr-Cyrl-CS"/>
        </w:rPr>
        <w:t>)</w:t>
      </w:r>
      <w:r w:rsidR="002208A0" w:rsidRPr="00092ED7">
        <w:rPr>
          <w:rFonts w:cs="Times New Roman"/>
          <w:szCs w:val="24"/>
          <w:lang w:val="sr-Cyrl-CS"/>
        </w:rPr>
        <w:t>)</w:t>
      </w:r>
      <w:r w:rsidRPr="00092ED7">
        <w:rPr>
          <w:rFonts w:cs="Times New Roman"/>
          <w:szCs w:val="24"/>
          <w:lang w:val="sr-Cyrl-CS"/>
        </w:rPr>
        <w:t>. У истом посматраном периоду, током 2021. године за 21,4% (50/234) усвојених подзаконских аката спроведен је процес консултација, што је за 9,9 процентних поена више у односу на 2020. годину (према евиденцији РСЈП).</w:t>
      </w:r>
    </w:p>
    <w:p w14:paraId="59B2C456" w14:textId="56A393B7" w:rsidR="00F13B06" w:rsidRPr="00092ED7" w:rsidRDefault="00F13B06" w:rsidP="00F13B06">
      <w:pPr>
        <w:spacing w:after="60"/>
        <w:rPr>
          <w:rFonts w:cs="Times New Roman"/>
          <w:szCs w:val="24"/>
          <w:lang w:val="sr-Cyrl-CS"/>
        </w:rPr>
      </w:pPr>
      <w:r w:rsidRPr="00092ED7">
        <w:rPr>
          <w:rFonts w:cs="Times New Roman"/>
          <w:szCs w:val="24"/>
          <w:lang w:val="sr-Cyrl-CS"/>
        </w:rPr>
        <w:t>У циљу даљег унапређења транспарентности, Влада је донела Одлуку о успостављању Портала „еКонсултације</w:t>
      </w:r>
      <w:r w:rsidR="00AD20C6" w:rsidRPr="00092ED7">
        <w:rPr>
          <w:rFonts w:cs="Times New Roman"/>
          <w:szCs w:val="24"/>
          <w:lang w:val="sr-Cyrl-CS"/>
        </w:rPr>
        <w:t>”</w:t>
      </w:r>
      <w:r w:rsidR="00356AF6" w:rsidRPr="00092ED7">
        <w:rPr>
          <w:rFonts w:cs="Times New Roman"/>
          <w:szCs w:val="24"/>
          <w:lang w:val="sr-Cyrl-CS"/>
        </w:rPr>
        <w:t xml:space="preserve"> </w:t>
      </w:r>
      <w:r w:rsidR="00C30860" w:rsidRPr="00092ED7">
        <w:rPr>
          <w:rFonts w:cs="Times New Roman"/>
          <w:szCs w:val="24"/>
          <w:lang w:val="sr-Cyrl-CS"/>
        </w:rPr>
        <w:t>(„Службени гласник РС”, број 62/21)</w:t>
      </w:r>
      <w:r w:rsidRPr="00092ED7">
        <w:rPr>
          <w:rFonts w:cs="Times New Roman"/>
          <w:szCs w:val="24"/>
          <w:lang w:val="sr-Cyrl-CS"/>
        </w:rPr>
        <w:t>, који је саставни део Портала еУправа, у циљу омогућавања јавности, да на јединствен и равноправан начин, електронским путем, учествује у припреми и доношењу докумената и прописа јавних политика. Портал „еКонсултације</w:t>
      </w:r>
      <w:r w:rsidR="00686736" w:rsidRPr="00092ED7">
        <w:rPr>
          <w:rFonts w:cs="Times New Roman"/>
          <w:szCs w:val="24"/>
          <w:lang w:val="sr-Cyrl-CS"/>
        </w:rPr>
        <w:t>”</w:t>
      </w:r>
      <w:r w:rsidRPr="00092ED7">
        <w:rPr>
          <w:rFonts w:cs="Times New Roman"/>
          <w:szCs w:val="24"/>
          <w:lang w:val="sr-Cyrl-CS"/>
        </w:rPr>
        <w:t xml:space="preserve"> оперативан је од 16. децембра 2021.</w:t>
      </w:r>
      <w:r w:rsidR="00CD0D7A" w:rsidRPr="00092ED7">
        <w:rPr>
          <w:rFonts w:cs="Times New Roman"/>
          <w:szCs w:val="24"/>
          <w:lang w:val="sr-Cyrl-CS"/>
        </w:rPr>
        <w:t xml:space="preserve"> године.</w:t>
      </w:r>
    </w:p>
    <w:p w14:paraId="3A22F14F" w14:textId="3A8CF7AB" w:rsidR="00F13B06" w:rsidRPr="00092ED7" w:rsidRDefault="00F13B06" w:rsidP="00F13B06">
      <w:pPr>
        <w:spacing w:after="60"/>
        <w:rPr>
          <w:rFonts w:cs="Times New Roman"/>
          <w:szCs w:val="24"/>
          <w:lang w:val="sr-Cyrl-CS"/>
        </w:rPr>
      </w:pPr>
      <w:r w:rsidRPr="00092ED7">
        <w:rPr>
          <w:rFonts w:cs="Times New Roman"/>
          <w:szCs w:val="24"/>
          <w:lang w:val="sr-Cyrl-CS"/>
        </w:rPr>
        <w:lastRenderedPageBreak/>
        <w:t>Од пуштања у рад до краја октобра 2022. године на Порталу „еКонсултације</w:t>
      </w:r>
      <w:r w:rsidR="0052060E" w:rsidRPr="00092ED7">
        <w:rPr>
          <w:rFonts w:cs="Times New Roman"/>
          <w:szCs w:val="24"/>
          <w:lang w:val="sr-Cyrl-CS"/>
        </w:rPr>
        <w:t>”</w:t>
      </w:r>
      <w:r w:rsidRPr="00092ED7">
        <w:rPr>
          <w:rFonts w:cs="Times New Roman"/>
          <w:szCs w:val="24"/>
          <w:lang w:val="sr-Cyrl-CS"/>
        </w:rPr>
        <w:t xml:space="preserve"> спроведене су или се спроводе консултације и јавне расправе о 41 пропису и документу јавних политика, од којих је 14 процедура успешно окончано.</w:t>
      </w:r>
    </w:p>
    <w:p w14:paraId="699023E9" w14:textId="4D063B54" w:rsidR="00F13B06" w:rsidRPr="00092ED7" w:rsidRDefault="00F13B06" w:rsidP="00F13B06">
      <w:pPr>
        <w:spacing w:after="60"/>
        <w:rPr>
          <w:rFonts w:cs="Times New Roman"/>
          <w:szCs w:val="24"/>
          <w:lang w:val="sr-Cyrl-CS"/>
        </w:rPr>
      </w:pPr>
      <w:r w:rsidRPr="00092ED7">
        <w:rPr>
          <w:rFonts w:cs="Times New Roman"/>
          <w:szCs w:val="24"/>
          <w:lang w:val="sr-Cyrl-CS"/>
        </w:rPr>
        <w:t xml:space="preserve">Порталом „еКонсултације” управља </w:t>
      </w:r>
      <w:r w:rsidR="00CD0D7A" w:rsidRPr="00092ED7">
        <w:rPr>
          <w:rFonts w:cs="Times New Roman"/>
          <w:szCs w:val="24"/>
          <w:lang w:val="sr-Cyrl-CS"/>
        </w:rPr>
        <w:t>РСЈП.</w:t>
      </w:r>
      <w:r w:rsidRPr="00092ED7">
        <w:rPr>
          <w:rFonts w:cs="Times New Roman"/>
          <w:szCs w:val="24"/>
          <w:lang w:val="sr-Cyrl-CS"/>
        </w:rPr>
        <w:t xml:space="preserve"> За рад на Порталу именовани су службеници са корисничким улогама администратора, модератора и евалуатора. Број именованих модератора за 14 министарстава, </w:t>
      </w:r>
      <w:r w:rsidR="00846CA3" w:rsidRPr="00092ED7">
        <w:rPr>
          <w:rFonts w:cs="Times New Roman"/>
          <w:szCs w:val="24"/>
          <w:lang w:val="sr-Cyrl-CS"/>
        </w:rPr>
        <w:t>г</w:t>
      </w:r>
      <w:r w:rsidRPr="00092ED7">
        <w:rPr>
          <w:rFonts w:cs="Times New Roman"/>
          <w:szCs w:val="24"/>
          <w:lang w:val="sr-Cyrl-CS"/>
        </w:rPr>
        <w:t xml:space="preserve">рад Београд и Развојну агенцију Војводине је 197, док је број именованих евалуатора 24 из </w:t>
      </w:r>
      <w:r w:rsidR="00CD0D7A" w:rsidRPr="00092ED7">
        <w:rPr>
          <w:rFonts w:cs="Times New Roman"/>
          <w:szCs w:val="24"/>
          <w:lang w:val="sr-Cyrl-CS"/>
        </w:rPr>
        <w:t>РСЈП</w:t>
      </w:r>
      <w:r w:rsidRPr="00092ED7">
        <w:rPr>
          <w:rFonts w:cs="Times New Roman"/>
          <w:szCs w:val="24"/>
          <w:lang w:val="sr-Cyrl-CS"/>
        </w:rPr>
        <w:t xml:space="preserve"> и Генералног секретаријата Владе. Поред тога, именована су и два администратора из Министарства државне управе и локалне самоуправе за део Портала који се односи на „Партнерство за отворену управу”.</w:t>
      </w:r>
    </w:p>
    <w:p w14:paraId="59BE9508" w14:textId="5EDC1EE6" w:rsidR="00F13B06" w:rsidRPr="00092ED7" w:rsidRDefault="001E72AE" w:rsidP="00F13B06">
      <w:pPr>
        <w:spacing w:after="60"/>
        <w:rPr>
          <w:rFonts w:cs="Times New Roman"/>
          <w:szCs w:val="24"/>
          <w:lang w:val="sr-Cyrl-CS"/>
        </w:rPr>
      </w:pPr>
      <w:r w:rsidRPr="00092ED7">
        <w:rPr>
          <w:rFonts w:cs="Times New Roman"/>
          <w:szCs w:val="24"/>
          <w:lang w:val="sr-Cyrl-CS"/>
        </w:rPr>
        <w:t>На порталу е-Консултације је покренуто укупно 63 процеса консултација и јавних расправа. Од тога, 34 процеса је креирано за документе јавних политика, а 29 процеса за прописе. До истог датума, у процесу консултација и јавних расправа учес</w:t>
      </w:r>
      <w:r w:rsidR="00AC1B8D" w:rsidRPr="00092ED7">
        <w:rPr>
          <w:rFonts w:cs="Times New Roman"/>
          <w:szCs w:val="24"/>
          <w:lang w:val="sr-Cyrl-CS"/>
        </w:rPr>
        <w:t>твовало је укупно 183 грађана</w:t>
      </w:r>
      <w:r w:rsidR="00CD0D7A" w:rsidRPr="00092ED7">
        <w:rPr>
          <w:rFonts w:cs="Times New Roman"/>
          <w:szCs w:val="24"/>
          <w:lang w:val="sr-Cyrl-CS"/>
        </w:rPr>
        <w:t>.</w:t>
      </w:r>
    </w:p>
    <w:p w14:paraId="7F68499D" w14:textId="3D9A542B" w:rsidR="00F13B06" w:rsidRPr="00092ED7" w:rsidRDefault="00F13B06" w:rsidP="00F13B06">
      <w:pPr>
        <w:spacing w:after="60"/>
        <w:rPr>
          <w:rFonts w:eastAsia="MS PGothic" w:cs="Times New Roman"/>
          <w:bCs/>
          <w:iCs/>
          <w:szCs w:val="24"/>
          <w:lang w:val="sr-Cyrl-CS" w:eastAsia="ja-JP"/>
        </w:rPr>
      </w:pPr>
      <w:r w:rsidRPr="00092ED7">
        <w:rPr>
          <w:rFonts w:cs="Times New Roman"/>
          <w:szCs w:val="24"/>
          <w:lang w:val="sr-Cyrl-CS"/>
        </w:rPr>
        <w:t>У наредном периоду, радиће се на даљем унапређењу Портала „еКонсултације</w:t>
      </w:r>
      <w:r w:rsidR="0052060E" w:rsidRPr="00092ED7">
        <w:rPr>
          <w:rFonts w:cs="Times New Roman"/>
          <w:szCs w:val="24"/>
          <w:lang w:val="sr-Cyrl-CS"/>
        </w:rPr>
        <w:t>”</w:t>
      </w:r>
      <w:r w:rsidRPr="00092ED7">
        <w:rPr>
          <w:rFonts w:cs="Times New Roman"/>
          <w:szCs w:val="24"/>
          <w:lang w:val="sr-Cyrl-CS"/>
        </w:rPr>
        <w:t>, посебно у области евалуације и контроле квалитета консултација и јавних расправа.</w:t>
      </w:r>
    </w:p>
    <w:p w14:paraId="5EDD19F3" w14:textId="77777777" w:rsidR="00F13B06" w:rsidRPr="00092ED7" w:rsidRDefault="00F13B06" w:rsidP="00F13B06">
      <w:pPr>
        <w:shd w:val="clear" w:color="auto" w:fill="D9D9D9" w:themeFill="background1" w:themeFillShade="D9"/>
        <w:spacing w:after="60"/>
        <w:rPr>
          <w:rFonts w:eastAsia="MS PGothic" w:cs="Times New Roman"/>
          <w:bCs/>
          <w:i/>
          <w:iCs/>
          <w:szCs w:val="24"/>
          <w:lang w:val="sr-Cyrl-CS" w:eastAsia="ja-JP"/>
        </w:rPr>
      </w:pPr>
      <w:r w:rsidRPr="00092ED7">
        <w:rPr>
          <w:rFonts w:eastAsia="MS PGothic" w:cs="Times New Roman"/>
          <w:bCs/>
          <w:i/>
          <w:iCs/>
          <w:szCs w:val="24"/>
          <w:lang w:val="sr-Cyrl-CS" w:eastAsia="ja-JP"/>
        </w:rPr>
        <w:t>Наставити са процесом како би се осигурао усклађени приступ за давање приоритета и праћење свих инвестиција и заснивање инвестиционих одлука на студијама изводљивости, анализи трошкова и користи и проценама утицаја на животну средину.</w:t>
      </w:r>
    </w:p>
    <w:p w14:paraId="63395A50" w14:textId="6EE736F0" w:rsidR="00F13B06" w:rsidRPr="00092ED7" w:rsidRDefault="00F13B06" w:rsidP="00F13B06">
      <w:pPr>
        <w:spacing w:after="60"/>
        <w:rPr>
          <w:szCs w:val="24"/>
          <w:lang w:val="sr-Cyrl-CS"/>
        </w:rPr>
      </w:pPr>
      <w:r w:rsidRPr="00092ED7">
        <w:rPr>
          <w:szCs w:val="24"/>
          <w:lang w:val="sr-Cyrl-CS"/>
        </w:rPr>
        <w:t>Влада континуирано ради у циљу примене методологије за управљање пројектима у пуном обиму. У досадашњем раду јавили су се различити изазови, нарочито у контексту спровођења предимплементационе фазе како је то прописано Уредбом о управљању капиталним пројектима („Сл</w:t>
      </w:r>
      <w:r w:rsidR="00A16173" w:rsidRPr="00092ED7">
        <w:rPr>
          <w:szCs w:val="24"/>
          <w:lang w:val="sr-Cyrl-CS"/>
        </w:rPr>
        <w:t>ужбени</w:t>
      </w:r>
      <w:r w:rsidRPr="00092ED7">
        <w:rPr>
          <w:szCs w:val="24"/>
          <w:lang w:val="sr-Cyrl-CS"/>
        </w:rPr>
        <w:t xml:space="preserve"> гласник РС</w:t>
      </w:r>
      <w:r w:rsidR="00A16173" w:rsidRPr="00092ED7">
        <w:rPr>
          <w:rFonts w:cs="Times New Roman"/>
          <w:szCs w:val="24"/>
          <w:lang w:val="sr-Cyrl-CS"/>
        </w:rPr>
        <w:t>”</w:t>
      </w:r>
      <w:r w:rsidRPr="00092ED7">
        <w:rPr>
          <w:szCs w:val="24"/>
          <w:lang w:val="sr-Cyrl-CS"/>
        </w:rPr>
        <w:t>, бр</w:t>
      </w:r>
      <w:r w:rsidR="00684876" w:rsidRPr="00092ED7">
        <w:rPr>
          <w:szCs w:val="24"/>
          <w:lang w:val="sr-Cyrl-CS"/>
        </w:rPr>
        <w:t>.</w:t>
      </w:r>
      <w:r w:rsidRPr="00092ED7">
        <w:rPr>
          <w:szCs w:val="24"/>
          <w:lang w:val="sr-Cyrl-CS"/>
        </w:rPr>
        <w:t xml:space="preserve"> 51/19</w:t>
      </w:r>
      <w:r w:rsidR="00684876" w:rsidRPr="00092ED7">
        <w:rPr>
          <w:szCs w:val="24"/>
          <w:lang w:val="sr-Cyrl-CS"/>
        </w:rPr>
        <w:t xml:space="preserve"> и 139/22</w:t>
      </w:r>
      <w:r w:rsidRPr="00092ED7">
        <w:rPr>
          <w:szCs w:val="24"/>
          <w:lang w:val="sr-Cyrl-CS"/>
        </w:rPr>
        <w:t xml:space="preserve">). Извршена је и детаљна анализа правног оквира који се односи на капиталне пројекте финансиране из ЕУ фондова и међународне развојне помоћи. </w:t>
      </w:r>
    </w:p>
    <w:p w14:paraId="2A4AA381" w14:textId="1FE18B04" w:rsidR="00F13B06" w:rsidRPr="00092ED7" w:rsidRDefault="00A8581B" w:rsidP="00B86E8D">
      <w:pPr>
        <w:shd w:val="clear" w:color="auto" w:fill="FFFFFF"/>
        <w:spacing w:after="150"/>
        <w:rPr>
          <w:rFonts w:eastAsia="Times New Roman" w:cs="Times New Roman"/>
          <w:b/>
          <w:bCs/>
          <w:color w:val="006633"/>
          <w:szCs w:val="24"/>
          <w:lang w:val="sr-Cyrl-CS"/>
        </w:rPr>
      </w:pPr>
      <w:r w:rsidRPr="00092ED7">
        <w:rPr>
          <w:bCs/>
          <w:szCs w:val="24"/>
          <w:lang w:val="sr-Cyrl-CS"/>
        </w:rPr>
        <w:t xml:space="preserve">Уредба о изменама и допунама </w:t>
      </w:r>
      <w:r w:rsidRPr="00092ED7">
        <w:rPr>
          <w:bCs/>
          <w:iCs/>
          <w:szCs w:val="24"/>
          <w:lang w:val="sr-Cyrl-CS"/>
        </w:rPr>
        <w:t>Уредбе о управљању капиталним пројектима</w:t>
      </w:r>
      <w:r w:rsidRPr="00092ED7" w:rsidDel="007A521E">
        <w:rPr>
          <w:bCs/>
          <w:szCs w:val="24"/>
          <w:lang w:val="sr-Cyrl-CS"/>
        </w:rPr>
        <w:t xml:space="preserve"> </w:t>
      </w:r>
      <w:r w:rsidR="00CD0D7A" w:rsidRPr="00092ED7">
        <w:rPr>
          <w:szCs w:val="24"/>
          <w:lang w:val="sr-Cyrl-CS"/>
        </w:rPr>
        <w:t>(</w:t>
      </w:r>
      <w:r w:rsidRPr="00092ED7">
        <w:rPr>
          <w:szCs w:val="24"/>
          <w:lang w:val="sr-Cyrl-CS"/>
        </w:rPr>
        <w:t>„Службени гласник РС</w:t>
      </w:r>
      <w:r w:rsidR="00CD0D7A" w:rsidRPr="00092ED7">
        <w:rPr>
          <w:rFonts w:cs="Times New Roman"/>
          <w:szCs w:val="24"/>
          <w:lang w:val="sr-Cyrl-CS"/>
        </w:rPr>
        <w:t>”</w:t>
      </w:r>
      <w:r w:rsidRPr="00092ED7">
        <w:rPr>
          <w:szCs w:val="24"/>
          <w:lang w:val="sr-Cyrl-CS"/>
        </w:rPr>
        <w:t>, број 139/22</w:t>
      </w:r>
      <w:r w:rsidR="00CD0D7A" w:rsidRPr="00092ED7">
        <w:rPr>
          <w:szCs w:val="24"/>
          <w:lang w:val="sr-Cyrl-CS"/>
        </w:rPr>
        <w:t>)</w:t>
      </w:r>
      <w:r w:rsidRPr="00092ED7">
        <w:rPr>
          <w:szCs w:val="24"/>
          <w:lang w:val="sr-Cyrl-CS"/>
        </w:rPr>
        <w:t xml:space="preserve">, </w:t>
      </w:r>
      <w:r w:rsidR="00F13B06" w:rsidRPr="00092ED7">
        <w:rPr>
          <w:szCs w:val="24"/>
          <w:lang w:val="sr-Cyrl-CS"/>
        </w:rPr>
        <w:t xml:space="preserve">ступила је на снагу 24. децембра 2022. године, а </w:t>
      </w:r>
      <w:r w:rsidR="00F13B06" w:rsidRPr="00092ED7">
        <w:rPr>
          <w:bCs/>
          <w:szCs w:val="24"/>
          <w:lang w:val="sr-Cyrl-CS"/>
        </w:rPr>
        <w:t>примењује</w:t>
      </w:r>
      <w:r w:rsidR="00F13B06" w:rsidRPr="00092ED7">
        <w:rPr>
          <w:szCs w:val="24"/>
          <w:lang w:val="sr-Cyrl-CS"/>
        </w:rPr>
        <w:t xml:space="preserve"> се од 1. априла 2023. године. </w:t>
      </w:r>
      <w:r w:rsidR="00F13B06" w:rsidRPr="00092ED7">
        <w:rPr>
          <w:bCs/>
          <w:szCs w:val="24"/>
          <w:lang w:val="sr-Cyrl-CS"/>
        </w:rPr>
        <w:t>Циљ доношења измена</w:t>
      </w:r>
      <w:r w:rsidR="00F13B06" w:rsidRPr="00092ED7">
        <w:rPr>
          <w:szCs w:val="24"/>
          <w:lang w:val="sr-Cyrl-CS"/>
        </w:rPr>
        <w:t xml:space="preserve"> je укључивање параметара о утицају пројекта на животну средину у критеријуме за идентификацију, процену спремности и утврђивање степена приоритета код капиталних пројеката. У Републици Србији већ постоји правни оквир који уређује област процене утицаја на животну средину, али је </w:t>
      </w:r>
      <w:r w:rsidR="00F13B06" w:rsidRPr="00092ED7">
        <w:rPr>
          <w:bCs/>
          <w:szCs w:val="24"/>
          <w:lang w:val="sr-Cyrl-CS"/>
        </w:rPr>
        <w:t>функционисао паралелно</w:t>
      </w:r>
      <w:r w:rsidR="00F13B06" w:rsidRPr="00092ED7">
        <w:rPr>
          <w:szCs w:val="24"/>
          <w:lang w:val="sr-Cyrl-CS"/>
        </w:rPr>
        <w:t xml:space="preserve"> са процесом управљања</w:t>
      </w:r>
      <w:r w:rsidR="00D02CFA" w:rsidRPr="00092ED7">
        <w:rPr>
          <w:szCs w:val="24"/>
          <w:lang w:val="sr-Cyrl-CS"/>
        </w:rPr>
        <w:t xml:space="preserve"> капиталним пројектима уређеним </w:t>
      </w:r>
      <w:r w:rsidRPr="00092ED7">
        <w:rPr>
          <w:lang w:val="sr-Cyrl-CS"/>
        </w:rPr>
        <w:t>Уредб</w:t>
      </w:r>
      <w:r w:rsidR="00B86E8D" w:rsidRPr="00092ED7">
        <w:rPr>
          <w:lang w:val="sr-Cyrl-CS"/>
        </w:rPr>
        <w:t>ом</w:t>
      </w:r>
      <w:r w:rsidRPr="00092ED7">
        <w:rPr>
          <w:lang w:val="sr-Cyrl-CS"/>
        </w:rPr>
        <w:t xml:space="preserve"> о управљању капиталним пројектима</w:t>
      </w:r>
      <w:r w:rsidR="00F13B06" w:rsidRPr="00092ED7">
        <w:rPr>
          <w:szCs w:val="24"/>
          <w:lang w:val="sr-Cyrl-CS"/>
        </w:rPr>
        <w:t xml:space="preserve">. Министарство надлежно за послове заштите животне средине </w:t>
      </w:r>
      <w:r w:rsidR="00F13B06" w:rsidRPr="00092ED7">
        <w:rPr>
          <w:bCs/>
          <w:szCs w:val="24"/>
          <w:lang w:val="sr-Cyrl-CS"/>
        </w:rPr>
        <w:t xml:space="preserve">укључује се у процес оцене и праћења капиталних пројеката </w:t>
      </w:r>
      <w:r w:rsidR="00F13B06" w:rsidRPr="00092ED7">
        <w:rPr>
          <w:szCs w:val="24"/>
          <w:lang w:val="sr-Cyrl-CS"/>
        </w:rPr>
        <w:t xml:space="preserve">у мери и на начин сразмеран правном оквиру којим је регулисана област процене утицаја на животну средину. На тај начин врши се повезивање са </w:t>
      </w:r>
      <w:r w:rsidR="00F13B06" w:rsidRPr="00092ED7">
        <w:rPr>
          <w:bCs/>
          <w:szCs w:val="24"/>
          <w:lang w:val="sr-Cyrl-CS"/>
        </w:rPr>
        <w:t xml:space="preserve">постојећим поступком </w:t>
      </w:r>
      <w:r w:rsidR="00F13B06" w:rsidRPr="00092ED7">
        <w:rPr>
          <w:szCs w:val="24"/>
          <w:lang w:val="sr-Cyrl-CS"/>
        </w:rPr>
        <w:t xml:space="preserve">који се води на основу </w:t>
      </w:r>
      <w:r w:rsidR="00F13B06" w:rsidRPr="00092ED7">
        <w:rPr>
          <w:bCs/>
          <w:szCs w:val="24"/>
          <w:lang w:val="sr-Cyrl-CS"/>
        </w:rPr>
        <w:t>закона</w:t>
      </w:r>
      <w:r w:rsidR="00F13B06" w:rsidRPr="00092ED7">
        <w:rPr>
          <w:szCs w:val="24"/>
          <w:lang w:val="sr-Cyrl-CS"/>
        </w:rPr>
        <w:t xml:space="preserve"> који</w:t>
      </w:r>
      <w:r w:rsidR="00975D87" w:rsidRPr="00092ED7">
        <w:rPr>
          <w:szCs w:val="24"/>
          <w:lang w:val="sr-Cyrl-CS"/>
        </w:rPr>
        <w:t>м се</w:t>
      </w:r>
      <w:r w:rsidR="00F13B06" w:rsidRPr="00092ED7">
        <w:rPr>
          <w:szCs w:val="24"/>
          <w:lang w:val="sr-Cyrl-CS"/>
        </w:rPr>
        <w:t xml:space="preserve"> уређује процен</w:t>
      </w:r>
      <w:r w:rsidR="00975D87" w:rsidRPr="00092ED7">
        <w:rPr>
          <w:szCs w:val="24"/>
          <w:lang w:val="sr-Cyrl-CS"/>
        </w:rPr>
        <w:t>а</w:t>
      </w:r>
      <w:r w:rsidR="00F13B06" w:rsidRPr="00092ED7">
        <w:rPr>
          <w:szCs w:val="24"/>
          <w:lang w:val="sr-Cyrl-CS"/>
        </w:rPr>
        <w:t xml:space="preserve"> животн</w:t>
      </w:r>
      <w:r w:rsidR="007B790A" w:rsidRPr="00092ED7">
        <w:rPr>
          <w:szCs w:val="24"/>
          <w:lang w:val="sr-Cyrl-CS"/>
        </w:rPr>
        <w:t>е</w:t>
      </w:r>
      <w:r w:rsidR="00F13B06" w:rsidRPr="00092ED7">
        <w:rPr>
          <w:szCs w:val="24"/>
          <w:lang w:val="sr-Cyrl-CS"/>
        </w:rPr>
        <w:t xml:space="preserve"> средин</w:t>
      </w:r>
      <w:r w:rsidR="007B790A" w:rsidRPr="00092ED7">
        <w:rPr>
          <w:szCs w:val="24"/>
          <w:lang w:val="sr-Cyrl-CS"/>
        </w:rPr>
        <w:t>е</w:t>
      </w:r>
      <w:r w:rsidR="00F13B06" w:rsidRPr="00092ED7">
        <w:rPr>
          <w:szCs w:val="24"/>
          <w:lang w:val="sr-Cyrl-CS"/>
        </w:rPr>
        <w:t>.</w:t>
      </w:r>
    </w:p>
    <w:p w14:paraId="0C6F49AF" w14:textId="77777777" w:rsidR="00F13B06" w:rsidRPr="00092ED7" w:rsidRDefault="00F13B06" w:rsidP="00F13B06">
      <w:pPr>
        <w:spacing w:after="60"/>
        <w:rPr>
          <w:szCs w:val="24"/>
          <w:lang w:val="sr-Cyrl-CS"/>
        </w:rPr>
      </w:pPr>
      <w:r w:rsidRPr="00092ED7">
        <w:rPr>
          <w:szCs w:val="24"/>
          <w:lang w:val="sr-Cyrl-CS"/>
        </w:rPr>
        <w:t>У погледу оперативног дела, резултат је следећи:</w:t>
      </w:r>
    </w:p>
    <w:p w14:paraId="246A6C6F" w14:textId="236553C0" w:rsidR="00F13B06" w:rsidRPr="00092ED7" w:rsidRDefault="00F13B06" w:rsidP="00815ACD">
      <w:pPr>
        <w:pStyle w:val="ListParagraph"/>
        <w:numPr>
          <w:ilvl w:val="0"/>
          <w:numId w:val="101"/>
        </w:numPr>
        <w:spacing w:after="60"/>
        <w:rPr>
          <w:sz w:val="24"/>
          <w:szCs w:val="24"/>
          <w:lang w:val="sr-Cyrl-CS"/>
        </w:rPr>
      </w:pPr>
      <w:r w:rsidRPr="00092ED7">
        <w:rPr>
          <w:sz w:val="24"/>
          <w:szCs w:val="24"/>
          <w:lang w:val="sr-Cyrl-CS"/>
        </w:rPr>
        <w:t xml:space="preserve">Група за оцену и праћење капиталних пројеката </w:t>
      </w:r>
      <w:r w:rsidR="00A8581B" w:rsidRPr="00092ED7">
        <w:rPr>
          <w:sz w:val="24"/>
          <w:szCs w:val="24"/>
          <w:lang w:val="sr-Cyrl-CS"/>
        </w:rPr>
        <w:t xml:space="preserve">Министарства финансија </w:t>
      </w:r>
      <w:r w:rsidRPr="00092ED7">
        <w:rPr>
          <w:sz w:val="24"/>
          <w:szCs w:val="24"/>
          <w:lang w:val="sr-Cyrl-CS"/>
        </w:rPr>
        <w:t xml:space="preserve">прати 159 капиталних пројеката, који се реализују на националном нивоу, и чија је вредност преко </w:t>
      </w:r>
      <w:r w:rsidR="007B790A" w:rsidRPr="00092ED7">
        <w:rPr>
          <w:sz w:val="24"/>
          <w:szCs w:val="24"/>
          <w:lang w:val="sr-Cyrl-CS"/>
        </w:rPr>
        <w:t xml:space="preserve">пет </w:t>
      </w:r>
      <w:r w:rsidRPr="00092ED7">
        <w:rPr>
          <w:sz w:val="24"/>
          <w:szCs w:val="24"/>
          <w:lang w:val="sr-Cyrl-CS"/>
        </w:rPr>
        <w:t>милиона евра (од чега је у извештајном периоду Q2 2022 било 65 пројеката у предимплементационој фази, а 93 у фази имплементације и од једног пројекта се тренутно одустало). Међу пројектима чија се имплементација прати налазе се и пројекти од посебног значаја за Републику Србију;</w:t>
      </w:r>
    </w:p>
    <w:p w14:paraId="21CE9819" w14:textId="014AA088" w:rsidR="00F13B06" w:rsidRPr="00092ED7" w:rsidRDefault="00F13B06" w:rsidP="00815ACD">
      <w:pPr>
        <w:pStyle w:val="ListParagraph"/>
        <w:numPr>
          <w:ilvl w:val="0"/>
          <w:numId w:val="101"/>
        </w:numPr>
        <w:spacing w:after="60"/>
        <w:rPr>
          <w:sz w:val="24"/>
          <w:szCs w:val="24"/>
          <w:lang w:val="sr-Cyrl-CS"/>
        </w:rPr>
      </w:pPr>
      <w:r w:rsidRPr="00092ED7">
        <w:rPr>
          <w:sz w:val="24"/>
          <w:szCs w:val="24"/>
          <w:lang w:val="sr-Cyrl-CS"/>
        </w:rPr>
        <w:t>Податке о пројектима у предимплментационој фази Група за оцену и праћење капиталних пројеката за сада прикупља путем „помоћног обрасца</w:t>
      </w:r>
      <w:r w:rsidR="0052060E" w:rsidRPr="00092ED7">
        <w:rPr>
          <w:rFonts w:cs="Times New Roman"/>
          <w:sz w:val="24"/>
          <w:szCs w:val="24"/>
          <w:lang w:val="sr-Cyrl-CS"/>
        </w:rPr>
        <w:t>”</w:t>
      </w:r>
      <w:r w:rsidRPr="00092ED7">
        <w:rPr>
          <w:sz w:val="24"/>
          <w:szCs w:val="24"/>
          <w:lang w:val="sr-Cyrl-CS"/>
        </w:rPr>
        <w:t xml:space="preserve">. До децембра </w:t>
      </w:r>
      <w:r w:rsidRPr="00092ED7">
        <w:rPr>
          <w:sz w:val="24"/>
          <w:szCs w:val="24"/>
          <w:lang w:val="sr-Cyrl-CS"/>
        </w:rPr>
        <w:lastRenderedPageBreak/>
        <w:t>2022. године, одржано је седам редовних седница Републичке комисије за капиталне инвестиције.</w:t>
      </w:r>
    </w:p>
    <w:p w14:paraId="0DADAC49" w14:textId="77777777" w:rsidR="00F13B06" w:rsidRPr="00092ED7" w:rsidRDefault="00F13B06" w:rsidP="00F13B06">
      <w:pPr>
        <w:spacing w:after="60"/>
        <w:rPr>
          <w:szCs w:val="24"/>
          <w:lang w:val="sr-Cyrl-CS"/>
        </w:rPr>
      </w:pPr>
      <w:r w:rsidRPr="00092ED7">
        <w:rPr>
          <w:szCs w:val="24"/>
          <w:lang w:val="sr-Cyrl-CS"/>
        </w:rPr>
        <w:t xml:space="preserve">Реформски циљ Републике Србије јесте успостављање јединственог филтера пројеката за које ће се даље радити процена сходно важећим законима, али који ће за потребе Републике Србије допринети бољој контроли јавних расхода. </w:t>
      </w:r>
    </w:p>
    <w:p w14:paraId="5AB71EA5" w14:textId="594CB9FF" w:rsidR="00F13B06" w:rsidRPr="00092ED7" w:rsidRDefault="00F13B06" w:rsidP="00F13B06">
      <w:pPr>
        <w:spacing w:after="60"/>
        <w:rPr>
          <w:szCs w:val="24"/>
          <w:lang w:val="sr-Cyrl-CS"/>
        </w:rPr>
      </w:pPr>
      <w:r w:rsidRPr="00092ED7">
        <w:rPr>
          <w:szCs w:val="24"/>
          <w:lang w:val="sr-Cyrl-CS"/>
        </w:rPr>
        <w:t xml:space="preserve">Вештине запослених у оквиру Групе за оцену и праћeње капиталних пројеката константно се унапређују, па су тако запослени у 2022. години прошли обуку о пројектном менаџменту и обуке о изради студије изводљивости и процени фискалних ризика и трошкова код екстерно финансираних пројекта, укључујући и </w:t>
      </w:r>
      <w:r w:rsidR="00A8581B" w:rsidRPr="00092ED7">
        <w:rPr>
          <w:szCs w:val="24"/>
          <w:lang w:val="sr-Cyrl-CS"/>
        </w:rPr>
        <w:t>јавно-приватна партнерства (у даљем тексту</w:t>
      </w:r>
      <w:r w:rsidR="005136C5" w:rsidRPr="00092ED7">
        <w:rPr>
          <w:szCs w:val="24"/>
          <w:lang w:val="sr-Cyrl-CS"/>
        </w:rPr>
        <w:t>:</w:t>
      </w:r>
      <w:r w:rsidR="00A8581B" w:rsidRPr="00092ED7">
        <w:rPr>
          <w:szCs w:val="24"/>
          <w:lang w:val="sr-Cyrl-CS"/>
        </w:rPr>
        <w:t xml:space="preserve"> </w:t>
      </w:r>
      <w:r w:rsidRPr="00092ED7">
        <w:rPr>
          <w:szCs w:val="24"/>
          <w:lang w:val="sr-Cyrl-CS"/>
        </w:rPr>
        <w:t>ЈПП</w:t>
      </w:r>
      <w:r w:rsidR="00A8581B" w:rsidRPr="00092ED7">
        <w:rPr>
          <w:szCs w:val="24"/>
          <w:lang w:val="sr-Cyrl-CS"/>
        </w:rPr>
        <w:t>)</w:t>
      </w:r>
      <w:r w:rsidRPr="00092ED7">
        <w:rPr>
          <w:szCs w:val="24"/>
          <w:lang w:val="sr-Cyrl-CS"/>
        </w:rPr>
        <w:t>.</w:t>
      </w:r>
    </w:p>
    <w:p w14:paraId="3E1F8DA3" w14:textId="11EE6624" w:rsidR="00F13B06" w:rsidRPr="00092ED7" w:rsidRDefault="00F13B06" w:rsidP="00F13B06">
      <w:pPr>
        <w:spacing w:after="60"/>
        <w:rPr>
          <w:szCs w:val="24"/>
          <w:lang w:val="sr-Cyrl-CS"/>
        </w:rPr>
      </w:pPr>
      <w:r w:rsidRPr="00092ED7">
        <w:rPr>
          <w:szCs w:val="24"/>
          <w:lang w:val="sr-Cyrl-CS"/>
        </w:rPr>
        <w:t xml:space="preserve">У погледу успостављања </w:t>
      </w:r>
      <w:r w:rsidR="00926895" w:rsidRPr="00092ED7">
        <w:rPr>
          <w:szCs w:val="24"/>
          <w:lang w:val="sr-Cyrl-CS"/>
        </w:rPr>
        <w:t>информационог система за управљање капиталним пројектима (у даљем тексту</w:t>
      </w:r>
      <w:r w:rsidR="008F53D9" w:rsidRPr="00092ED7">
        <w:rPr>
          <w:szCs w:val="24"/>
          <w:lang w:val="sr-Cyrl-CS"/>
        </w:rPr>
        <w:t>:</w:t>
      </w:r>
      <w:r w:rsidR="005937B4" w:rsidRPr="00092ED7">
        <w:rPr>
          <w:szCs w:val="24"/>
          <w:lang w:val="sr-Cyrl-CS"/>
        </w:rPr>
        <w:t xml:space="preserve"> </w:t>
      </w:r>
      <w:r w:rsidRPr="00092ED7">
        <w:rPr>
          <w:szCs w:val="24"/>
          <w:lang w:val="sr-Cyrl-CS"/>
        </w:rPr>
        <w:t>PIMIS</w:t>
      </w:r>
      <w:r w:rsidR="00926895" w:rsidRPr="00092ED7">
        <w:rPr>
          <w:szCs w:val="24"/>
          <w:lang w:val="sr-Cyrl-CS"/>
        </w:rPr>
        <w:t>)</w:t>
      </w:r>
      <w:r w:rsidRPr="00092ED7">
        <w:rPr>
          <w:szCs w:val="24"/>
          <w:lang w:val="sr-Cyrl-CS"/>
        </w:rPr>
        <w:t>, Министарство финансија тренутно тестира пред-продукционо окружење за пројекте у имплементацији. Очекује се да систем буде пуштен у рад почетком 2023. године.</w:t>
      </w:r>
    </w:p>
    <w:p w14:paraId="5B897D0E" w14:textId="5816D3FA" w:rsidR="00F13B06" w:rsidRPr="00092ED7" w:rsidRDefault="00F13B06" w:rsidP="00F13B06">
      <w:pPr>
        <w:shd w:val="clear" w:color="auto" w:fill="D9D9D9" w:themeFill="background1" w:themeFillShade="D9"/>
        <w:spacing w:after="60"/>
        <w:rPr>
          <w:rFonts w:eastAsia="MS PGothic" w:cs="Times New Roman"/>
          <w:bCs/>
          <w:i/>
          <w:iCs/>
          <w:szCs w:val="24"/>
          <w:lang w:val="sr-Cyrl-CS" w:eastAsia="ja-JP"/>
        </w:rPr>
      </w:pPr>
      <w:r w:rsidRPr="00092ED7">
        <w:rPr>
          <w:rFonts w:eastAsia="MS PGothic" w:cs="Times New Roman"/>
          <w:bCs/>
          <w:i/>
          <w:iCs/>
          <w:szCs w:val="24"/>
          <w:lang w:val="sr-Cyrl-CS" w:eastAsia="ja-JP"/>
        </w:rPr>
        <w:t xml:space="preserve">Применити начела конкуренције, једнаког третмана, недискриминације и транспарентности у поступцима јавних набавки и државне помоћи у складу са правном тековином </w:t>
      </w:r>
      <w:r w:rsidR="00A8581B" w:rsidRPr="00092ED7">
        <w:rPr>
          <w:rFonts w:eastAsia="MS PGothic" w:cs="Times New Roman"/>
          <w:bCs/>
          <w:i/>
          <w:iCs/>
          <w:szCs w:val="24"/>
          <w:lang w:val="sr-Cyrl-CS" w:eastAsia="ja-JP"/>
        </w:rPr>
        <w:t xml:space="preserve">Европске уније </w:t>
      </w:r>
      <w:r w:rsidRPr="00092ED7">
        <w:rPr>
          <w:rFonts w:eastAsia="MS PGothic" w:cs="Times New Roman"/>
          <w:bCs/>
          <w:i/>
          <w:iCs/>
          <w:szCs w:val="24"/>
          <w:lang w:val="sr-Cyrl-CS" w:eastAsia="ja-JP"/>
        </w:rPr>
        <w:t>за све пројекте јавних инвестиција, без обзира на извор финансирања, те обезбедити доследну и транспарентну евиденцију која показује оперативну независност Комисије за контролу државне помоћи.</w:t>
      </w:r>
    </w:p>
    <w:p w14:paraId="448F6FEE" w14:textId="54835B00" w:rsidR="00F13B06" w:rsidRPr="00092ED7" w:rsidRDefault="00F13B06" w:rsidP="00F13B06">
      <w:pPr>
        <w:spacing w:after="60"/>
        <w:rPr>
          <w:rFonts w:eastAsia="MS PGothic" w:cs="Times New Roman"/>
          <w:bCs/>
          <w:iCs/>
          <w:szCs w:val="24"/>
          <w:lang w:val="sr-Cyrl-CS" w:eastAsia="ja-JP"/>
        </w:rPr>
      </w:pPr>
      <w:r w:rsidRPr="00092ED7">
        <w:rPr>
          <w:rFonts w:eastAsia="MS PGothic" w:cs="Times New Roman"/>
          <w:bCs/>
          <w:iCs/>
          <w:szCs w:val="24"/>
          <w:lang w:val="sr-Cyrl-CS" w:eastAsia="ja-JP"/>
        </w:rPr>
        <w:t xml:space="preserve">Након усвајања Закона о јавним набавкама </w:t>
      </w:r>
      <w:r w:rsidR="00A8581B" w:rsidRPr="00092ED7">
        <w:rPr>
          <w:szCs w:val="24"/>
          <w:lang w:val="sr-Cyrl-CS"/>
        </w:rPr>
        <w:t>(„Службени гласник РС</w:t>
      </w:r>
      <w:r w:rsidR="00A8581B" w:rsidRPr="00092ED7">
        <w:rPr>
          <w:rFonts w:cs="Times New Roman"/>
          <w:szCs w:val="24"/>
          <w:lang w:val="sr-Cyrl-CS"/>
        </w:rPr>
        <w:t>”</w:t>
      </w:r>
      <w:r w:rsidR="00A8581B" w:rsidRPr="00092ED7">
        <w:rPr>
          <w:szCs w:val="24"/>
          <w:lang w:val="sr-Cyrl-CS"/>
        </w:rPr>
        <w:t xml:space="preserve">, број 91/19) </w:t>
      </w:r>
      <w:r w:rsidRPr="00092ED7">
        <w:rPr>
          <w:rFonts w:eastAsia="MS PGothic" w:cs="Times New Roman"/>
          <w:bCs/>
          <w:iCs/>
          <w:szCs w:val="24"/>
          <w:lang w:val="sr-Cyrl-CS" w:eastAsia="ja-JP"/>
        </w:rPr>
        <w:t xml:space="preserve">и успостављања Портала јавних набавки, Канцеларија за јавне набавке је наставила са унапређењем Портала јавних набавки и организовањем обука за наручиоце и понуђаче у 2022. години. Од маја до децембра 2022. године, развијене су и објављене три нове верзије Портала јавних набавки и свака од њих доноси нове могућности наручиоцима и понуђачима. Ова техничка побољшања Портала се односе на листе свих уговора додељених одређеном понуђачу, оптимизацију претраге, овлашћења за административне кориснике, заштиту права, тромесечне извештаје, претходна обавештења, итд. У погледу обука које су организоване за потребе наручилаца и понуђача, односе </w:t>
      </w:r>
      <w:r w:rsidR="00C47140" w:rsidRPr="00092ED7">
        <w:rPr>
          <w:rFonts w:eastAsia="MS PGothic" w:cs="Times New Roman"/>
          <w:bCs/>
          <w:iCs/>
          <w:szCs w:val="24"/>
          <w:lang w:val="sr-Cyrl-CS" w:eastAsia="ja-JP"/>
        </w:rPr>
        <w:t xml:space="preserve">се </w:t>
      </w:r>
      <w:r w:rsidRPr="00092ED7">
        <w:rPr>
          <w:rFonts w:eastAsia="MS PGothic" w:cs="Times New Roman"/>
          <w:bCs/>
          <w:iCs/>
          <w:szCs w:val="24"/>
          <w:lang w:val="sr-Cyrl-CS" w:eastAsia="ja-JP"/>
        </w:rPr>
        <w:t xml:space="preserve">пре свега на јачање капацитета тужиоца, полиције и судија у погледу најчешћих неправилности, злоупотреба у поступцима јавних набавки и употребу Портала јавних набавки, али и на јачање капацитета наручилаца и понуђача у вези са коришћењем Портала јавних набавки, затим примене одредаба Закона о јавним набавкама које се односе на еколошке и социјалне јавне набавке, партнерство за иновације. Такође, организоване су обуке за наручиоце и понуђаче и лица која раде на пословима јавних набавки ради припреме за полагање теста за службеника за јавне набавке. Такође, </w:t>
      </w:r>
      <w:r w:rsidR="00A8581B" w:rsidRPr="00092ED7">
        <w:rPr>
          <w:rFonts w:eastAsia="MS PGothic" w:cs="Times New Roman"/>
          <w:bCs/>
          <w:iCs/>
          <w:szCs w:val="24"/>
          <w:lang w:val="sr-Cyrl-CS" w:eastAsia="ja-JP"/>
        </w:rPr>
        <w:t xml:space="preserve">Канцеларија за јавне набавке </w:t>
      </w:r>
      <w:r w:rsidRPr="00092ED7">
        <w:rPr>
          <w:rFonts w:eastAsia="MS PGothic" w:cs="Times New Roman"/>
          <w:bCs/>
          <w:iCs/>
          <w:szCs w:val="24"/>
          <w:lang w:val="sr-Cyrl-CS" w:eastAsia="ja-JP"/>
        </w:rPr>
        <w:t xml:space="preserve">је израдила </w:t>
      </w:r>
      <w:r w:rsidR="005136C5" w:rsidRPr="00092ED7">
        <w:rPr>
          <w:rFonts w:eastAsia="MS PGothic" w:cs="Times New Roman"/>
          <w:bCs/>
          <w:iCs/>
          <w:szCs w:val="24"/>
          <w:lang w:val="sr-Cyrl-CS" w:eastAsia="ja-JP"/>
        </w:rPr>
        <w:t>м</w:t>
      </w:r>
      <w:r w:rsidRPr="00092ED7">
        <w:rPr>
          <w:rFonts w:eastAsia="MS PGothic" w:cs="Times New Roman"/>
          <w:bCs/>
          <w:iCs/>
          <w:szCs w:val="24"/>
          <w:lang w:val="sr-Cyrl-CS" w:eastAsia="ja-JP"/>
        </w:rPr>
        <w:t xml:space="preserve">одел </w:t>
      </w:r>
      <w:r w:rsidRPr="00092ED7">
        <w:rPr>
          <w:rFonts w:cs="Times New Roman"/>
          <w:szCs w:val="24"/>
          <w:shd w:val="clear" w:color="auto" w:fill="FFFFFF"/>
          <w:lang w:val="sr-Cyrl-CS"/>
        </w:rPr>
        <w:t>посебног акта који ближе уређује начин планирања, спровођења поступка јавне набавке и праћења извршења уговора о јавној набавци (начин комуникације, правила, обавезе и одговорност лица и организационих јединица), начин планирања и спровођења набавки на које се закон не примењује, као и набавки друштвених и других посебних услуга</w:t>
      </w:r>
      <w:r w:rsidRPr="00092ED7">
        <w:rPr>
          <w:rFonts w:eastAsia="MS PGothic" w:cs="Times New Roman"/>
          <w:bCs/>
          <w:iCs/>
          <w:szCs w:val="24"/>
          <w:lang w:val="sr-Cyrl-CS" w:eastAsia="ja-JP"/>
        </w:rPr>
        <w:t xml:space="preserve">, који је прописан чланом 49. став 2. Закона о јавним набавкама. Такође, </w:t>
      </w:r>
      <w:r w:rsidR="00A8581B" w:rsidRPr="00092ED7">
        <w:rPr>
          <w:rFonts w:eastAsia="MS PGothic" w:cs="Times New Roman"/>
          <w:bCs/>
          <w:iCs/>
          <w:szCs w:val="24"/>
          <w:lang w:val="sr-Cyrl-CS" w:eastAsia="ja-JP"/>
        </w:rPr>
        <w:t xml:space="preserve">Канцеларија за јавне набавке </w:t>
      </w:r>
      <w:r w:rsidRPr="00092ED7">
        <w:rPr>
          <w:rFonts w:eastAsia="MS PGothic" w:cs="Times New Roman"/>
          <w:bCs/>
          <w:iCs/>
          <w:szCs w:val="24"/>
          <w:lang w:val="sr-Cyrl-CS" w:eastAsia="ja-JP"/>
        </w:rPr>
        <w:t xml:space="preserve">је израдила </w:t>
      </w:r>
      <w:r w:rsidR="00D80300" w:rsidRPr="00092ED7">
        <w:rPr>
          <w:rFonts w:eastAsia="MS PGothic" w:cs="Times New Roman"/>
          <w:bCs/>
          <w:iCs/>
          <w:szCs w:val="24"/>
          <w:lang w:val="sr-Cyrl-CS" w:eastAsia="ja-JP"/>
        </w:rPr>
        <w:t>м</w:t>
      </w:r>
      <w:r w:rsidR="00E808BF" w:rsidRPr="00092ED7">
        <w:rPr>
          <w:rFonts w:eastAsia="MS PGothic" w:cs="Times New Roman"/>
          <w:bCs/>
          <w:iCs/>
          <w:szCs w:val="24"/>
          <w:lang w:val="sr-Cyrl-CS" w:eastAsia="ja-JP"/>
        </w:rPr>
        <w:t>одел</w:t>
      </w:r>
      <w:r w:rsidRPr="00092ED7">
        <w:rPr>
          <w:rFonts w:eastAsia="MS PGothic" w:cs="Times New Roman"/>
          <w:bCs/>
          <w:iCs/>
          <w:szCs w:val="24"/>
          <w:lang w:val="sr-Cyrl-CS" w:eastAsia="ja-JP"/>
        </w:rPr>
        <w:t xml:space="preserve"> тендерске документације за јавну набавку папирне галантерије за одржавање личне хигијене за коришћење система динамичне набавке</w:t>
      </w:r>
      <w:r w:rsidR="00E808BF" w:rsidRPr="00092ED7">
        <w:rPr>
          <w:rFonts w:eastAsia="MS PGothic" w:cs="Times New Roman"/>
          <w:bCs/>
          <w:iCs/>
          <w:szCs w:val="24"/>
          <w:lang w:val="sr-Cyrl-CS" w:eastAsia="ja-JP"/>
        </w:rPr>
        <w:t xml:space="preserve">, </w:t>
      </w:r>
      <w:r w:rsidR="005136C5" w:rsidRPr="00092ED7">
        <w:rPr>
          <w:rFonts w:eastAsia="MS PGothic" w:cs="Times New Roman"/>
          <w:bCs/>
          <w:iCs/>
          <w:szCs w:val="24"/>
          <w:lang w:val="sr-Cyrl-CS" w:eastAsia="ja-JP"/>
        </w:rPr>
        <w:t>м</w:t>
      </w:r>
      <w:r w:rsidR="00E808BF" w:rsidRPr="00092ED7">
        <w:rPr>
          <w:rFonts w:eastAsia="MS PGothic" w:cs="Times New Roman"/>
          <w:bCs/>
          <w:iCs/>
          <w:szCs w:val="24"/>
          <w:lang w:val="sr-Cyrl-CS" w:eastAsia="ja-JP"/>
        </w:rPr>
        <w:t xml:space="preserve">одел конкурсне документације за зелену јавну набавку – канцеларијски материјал и </w:t>
      </w:r>
      <w:r w:rsidR="005136C5" w:rsidRPr="00092ED7">
        <w:rPr>
          <w:rFonts w:eastAsia="MS PGothic" w:cs="Times New Roman"/>
          <w:bCs/>
          <w:iCs/>
          <w:szCs w:val="24"/>
          <w:lang w:val="sr-Cyrl-CS" w:eastAsia="ja-JP"/>
        </w:rPr>
        <w:t>м</w:t>
      </w:r>
      <w:r w:rsidR="00E808BF" w:rsidRPr="00092ED7">
        <w:rPr>
          <w:rFonts w:eastAsia="MS PGothic" w:cs="Times New Roman"/>
          <w:bCs/>
          <w:iCs/>
          <w:szCs w:val="24"/>
          <w:lang w:val="sr-Cyrl-CS" w:eastAsia="ja-JP"/>
        </w:rPr>
        <w:t>одел конкурсне документације за зелену јавну набавку – комунално електрично возило</w:t>
      </w:r>
      <w:r w:rsidRPr="00092ED7">
        <w:rPr>
          <w:rFonts w:eastAsia="MS PGothic" w:cs="Times New Roman"/>
          <w:bCs/>
          <w:iCs/>
          <w:szCs w:val="24"/>
          <w:lang w:val="sr-Cyrl-CS" w:eastAsia="ja-JP"/>
        </w:rPr>
        <w:t>.</w:t>
      </w:r>
    </w:p>
    <w:p w14:paraId="4DC5E23D" w14:textId="7B2468C3" w:rsidR="00F13B06" w:rsidRPr="00092ED7" w:rsidRDefault="00F13B06" w:rsidP="00F13B06">
      <w:pPr>
        <w:spacing w:after="60"/>
        <w:rPr>
          <w:rFonts w:eastAsia="MS PGothic" w:cs="Times New Roman"/>
          <w:bCs/>
          <w:iCs/>
          <w:szCs w:val="24"/>
          <w:lang w:val="sr-Cyrl-CS" w:eastAsia="ja-JP"/>
        </w:rPr>
      </w:pPr>
      <w:r w:rsidRPr="00092ED7">
        <w:rPr>
          <w:rFonts w:eastAsia="MS PGothic" w:cs="Times New Roman"/>
          <w:bCs/>
          <w:iCs/>
          <w:szCs w:val="24"/>
          <w:lang w:val="sr-Cyrl-CS" w:eastAsia="ja-JP"/>
        </w:rPr>
        <w:t>Институционални оквир за контролу државне помоћи је успостављен. Комисија за контролу државне помоћи у складу са Законом о контроли државне помоћи („Сл</w:t>
      </w:r>
      <w:r w:rsidR="00F86B2E" w:rsidRPr="00092ED7">
        <w:rPr>
          <w:rFonts w:eastAsia="MS PGothic" w:cs="Times New Roman"/>
          <w:bCs/>
          <w:iCs/>
          <w:szCs w:val="24"/>
          <w:lang w:val="sr-Cyrl-CS" w:eastAsia="ja-JP"/>
        </w:rPr>
        <w:t>ужбени</w:t>
      </w:r>
      <w:r w:rsidRPr="00092ED7">
        <w:rPr>
          <w:rFonts w:eastAsia="MS PGothic" w:cs="Times New Roman"/>
          <w:bCs/>
          <w:iCs/>
          <w:szCs w:val="24"/>
          <w:lang w:val="sr-Cyrl-CS" w:eastAsia="ja-JP"/>
        </w:rPr>
        <w:t xml:space="preserve"> гласник РС</w:t>
      </w:r>
      <w:r w:rsidR="00F86B2E" w:rsidRPr="00092ED7">
        <w:rPr>
          <w:rFonts w:cs="Times New Roman"/>
          <w:szCs w:val="24"/>
          <w:lang w:val="sr-Cyrl-CS"/>
        </w:rPr>
        <w:t>”</w:t>
      </w:r>
      <w:r w:rsidRPr="00092ED7">
        <w:rPr>
          <w:rFonts w:eastAsia="MS PGothic" w:cs="Times New Roman"/>
          <w:bCs/>
          <w:iCs/>
          <w:szCs w:val="24"/>
          <w:lang w:val="sr-Cyrl-CS" w:eastAsia="ja-JP"/>
        </w:rPr>
        <w:t>, бр</w:t>
      </w:r>
      <w:r w:rsidR="001C58E9" w:rsidRPr="00092ED7">
        <w:rPr>
          <w:rFonts w:eastAsia="MS PGothic" w:cs="Times New Roman"/>
          <w:bCs/>
          <w:iCs/>
          <w:szCs w:val="24"/>
          <w:lang w:val="sr-Cyrl-CS" w:eastAsia="ja-JP"/>
        </w:rPr>
        <w:t>ој</w:t>
      </w:r>
      <w:r w:rsidRPr="00092ED7">
        <w:rPr>
          <w:rFonts w:eastAsia="MS PGothic" w:cs="Times New Roman"/>
          <w:bCs/>
          <w:iCs/>
          <w:szCs w:val="24"/>
          <w:lang w:val="sr-Cyrl-CS" w:eastAsia="ja-JP"/>
        </w:rPr>
        <w:t xml:space="preserve"> 73/19) је самостално и оперативно независно тело које ради </w:t>
      </w:r>
      <w:r w:rsidRPr="00092ED7">
        <w:rPr>
          <w:rFonts w:eastAsia="MS PGothic" w:cs="Times New Roman"/>
          <w:bCs/>
          <w:iCs/>
          <w:szCs w:val="24"/>
          <w:lang w:val="sr-Cyrl-CS" w:eastAsia="ja-JP"/>
        </w:rPr>
        <w:lastRenderedPageBreak/>
        <w:t xml:space="preserve">транспарентно. </w:t>
      </w:r>
      <w:r w:rsidR="00A8581B" w:rsidRPr="00092ED7">
        <w:rPr>
          <w:rFonts w:eastAsia="MS PGothic" w:cs="Times New Roman"/>
          <w:bCs/>
          <w:iCs/>
          <w:szCs w:val="24"/>
          <w:lang w:val="sr-Cyrl-CS" w:eastAsia="ja-JP"/>
        </w:rPr>
        <w:t xml:space="preserve">Комисија за контролу државне помоћи </w:t>
      </w:r>
      <w:r w:rsidRPr="00092ED7">
        <w:rPr>
          <w:rFonts w:eastAsia="MS PGothic" w:cs="Times New Roman"/>
          <w:bCs/>
          <w:iCs/>
          <w:szCs w:val="24"/>
          <w:lang w:val="sr-Cyrl-CS" w:eastAsia="ja-JP"/>
        </w:rPr>
        <w:t xml:space="preserve">спроводи интензивне активности на усклађивању прописа у области контроле државне помоћи са </w:t>
      </w:r>
      <w:r w:rsidR="00A8581B" w:rsidRPr="00092ED7">
        <w:rPr>
          <w:rFonts w:eastAsia="MS PGothic" w:cs="Times New Roman"/>
          <w:bCs/>
          <w:i/>
          <w:iCs/>
          <w:szCs w:val="24"/>
          <w:lang w:val="sr-Cyrl-CS" w:eastAsia="ja-JP"/>
        </w:rPr>
        <w:t xml:space="preserve">аcquis </w:t>
      </w:r>
      <w:r w:rsidR="00A8581B" w:rsidRPr="00092ED7">
        <w:rPr>
          <w:rFonts w:eastAsia="MS PGothic" w:cs="Times New Roman"/>
          <w:bCs/>
          <w:iCs/>
          <w:szCs w:val="24"/>
          <w:lang w:val="sr-Cyrl-CS" w:eastAsia="ja-JP"/>
        </w:rPr>
        <w:t>Европске уније</w:t>
      </w:r>
      <w:r w:rsidRPr="00092ED7">
        <w:rPr>
          <w:rFonts w:eastAsia="MS PGothic" w:cs="Times New Roman"/>
          <w:bCs/>
          <w:iCs/>
          <w:szCs w:val="24"/>
          <w:lang w:val="sr-Cyrl-CS" w:eastAsia="ja-JP"/>
        </w:rPr>
        <w:t xml:space="preserve">, као и активности на предметима контроле државне помоћи, у складу са својом надлежношћу. Поред тога, </w:t>
      </w:r>
      <w:r w:rsidR="00A8581B" w:rsidRPr="00092ED7">
        <w:rPr>
          <w:rFonts w:eastAsia="MS PGothic" w:cs="Times New Roman"/>
          <w:bCs/>
          <w:iCs/>
          <w:szCs w:val="24"/>
          <w:lang w:val="sr-Cyrl-CS" w:eastAsia="ja-JP"/>
        </w:rPr>
        <w:t xml:space="preserve">Комисија за контролу државне помоћи </w:t>
      </w:r>
      <w:r w:rsidRPr="00092ED7">
        <w:rPr>
          <w:rFonts w:eastAsia="MS PGothic" w:cs="Times New Roman"/>
          <w:bCs/>
          <w:iCs/>
          <w:szCs w:val="24"/>
          <w:lang w:val="sr-Cyrl-CS" w:eastAsia="ja-JP"/>
        </w:rPr>
        <w:t xml:space="preserve">припрема </w:t>
      </w:r>
      <w:r w:rsidR="00A8581B" w:rsidRPr="00092ED7">
        <w:rPr>
          <w:rFonts w:eastAsia="MS PGothic" w:cs="Times New Roman"/>
          <w:bCs/>
          <w:iCs/>
          <w:szCs w:val="24"/>
          <w:lang w:val="sr-Cyrl-CS" w:eastAsia="ja-JP"/>
        </w:rPr>
        <w:t xml:space="preserve">годишње извештаје </w:t>
      </w:r>
      <w:r w:rsidRPr="00092ED7">
        <w:rPr>
          <w:rFonts w:eastAsia="MS PGothic" w:cs="Times New Roman"/>
          <w:bCs/>
          <w:iCs/>
          <w:szCs w:val="24"/>
          <w:lang w:val="sr-Cyrl-CS" w:eastAsia="ja-JP"/>
        </w:rPr>
        <w:t xml:space="preserve">о додељеној државној помоћи и објављује </w:t>
      </w:r>
      <w:r w:rsidR="005136C5" w:rsidRPr="00092ED7">
        <w:rPr>
          <w:rFonts w:eastAsia="MS PGothic" w:cs="Times New Roman"/>
          <w:bCs/>
          <w:iCs/>
          <w:szCs w:val="24"/>
          <w:lang w:val="sr-Cyrl-CS" w:eastAsia="ja-JP"/>
        </w:rPr>
        <w:t xml:space="preserve">их </w:t>
      </w:r>
      <w:r w:rsidRPr="00092ED7">
        <w:rPr>
          <w:rFonts w:eastAsia="MS PGothic" w:cs="Times New Roman"/>
          <w:bCs/>
          <w:iCs/>
          <w:szCs w:val="24"/>
          <w:lang w:val="sr-Cyrl-CS" w:eastAsia="ja-JP"/>
        </w:rPr>
        <w:t xml:space="preserve">након усвајања од стране Владе, припрема </w:t>
      </w:r>
      <w:r w:rsidR="00A8581B" w:rsidRPr="00092ED7">
        <w:rPr>
          <w:rFonts w:eastAsia="MS PGothic" w:cs="Times New Roman"/>
          <w:bCs/>
          <w:iCs/>
          <w:szCs w:val="24"/>
          <w:lang w:val="sr-Cyrl-CS" w:eastAsia="ja-JP"/>
        </w:rPr>
        <w:t xml:space="preserve">годишње извештаје </w:t>
      </w:r>
      <w:r w:rsidRPr="00092ED7">
        <w:rPr>
          <w:rFonts w:eastAsia="MS PGothic" w:cs="Times New Roman"/>
          <w:bCs/>
          <w:iCs/>
          <w:szCs w:val="24"/>
          <w:lang w:val="sr-Cyrl-CS" w:eastAsia="ja-JP"/>
        </w:rPr>
        <w:t xml:space="preserve">о раду </w:t>
      </w:r>
      <w:r w:rsidR="00A8581B" w:rsidRPr="00092ED7">
        <w:rPr>
          <w:rFonts w:eastAsia="MS PGothic" w:cs="Times New Roman"/>
          <w:bCs/>
          <w:iCs/>
          <w:szCs w:val="24"/>
          <w:lang w:val="sr-Cyrl-CS" w:eastAsia="ja-JP"/>
        </w:rPr>
        <w:t>Комисије за контролу државне помоћи</w:t>
      </w:r>
      <w:r w:rsidR="008F53D9" w:rsidRPr="00092ED7">
        <w:rPr>
          <w:rFonts w:eastAsia="MS PGothic" w:cs="Times New Roman"/>
          <w:bCs/>
          <w:iCs/>
          <w:szCs w:val="24"/>
          <w:lang w:val="sr-Cyrl-CS" w:eastAsia="ja-JP"/>
        </w:rPr>
        <w:t xml:space="preserve"> </w:t>
      </w:r>
      <w:r w:rsidRPr="00092ED7">
        <w:rPr>
          <w:rFonts w:eastAsia="MS PGothic" w:cs="Times New Roman"/>
          <w:bCs/>
          <w:iCs/>
          <w:szCs w:val="24"/>
          <w:lang w:val="sr-Cyrl-CS" w:eastAsia="ja-JP"/>
        </w:rPr>
        <w:t xml:space="preserve">и објављује </w:t>
      </w:r>
      <w:r w:rsidR="00A8581B" w:rsidRPr="00092ED7">
        <w:rPr>
          <w:rFonts w:eastAsia="MS PGothic" w:cs="Times New Roman"/>
          <w:bCs/>
          <w:iCs/>
          <w:szCs w:val="24"/>
          <w:lang w:val="sr-Cyrl-CS" w:eastAsia="ja-JP"/>
        </w:rPr>
        <w:t xml:space="preserve">их </w:t>
      </w:r>
      <w:r w:rsidRPr="00092ED7">
        <w:rPr>
          <w:rFonts w:eastAsia="MS PGothic" w:cs="Times New Roman"/>
          <w:bCs/>
          <w:iCs/>
          <w:szCs w:val="24"/>
          <w:lang w:val="sr-Cyrl-CS" w:eastAsia="ja-JP"/>
        </w:rPr>
        <w:t xml:space="preserve">након усвајања Народне скупштине и редовно објављује све одлуке у вези са контролом државне помоћи на интернет страници </w:t>
      </w:r>
      <w:hyperlink r:id="rId8" w:history="1">
        <w:r w:rsidRPr="00092ED7">
          <w:rPr>
            <w:rStyle w:val="Hyperlink"/>
            <w:rFonts w:eastAsia="MS PGothic" w:cs="Times New Roman"/>
            <w:bCs/>
            <w:iCs/>
            <w:szCs w:val="24"/>
            <w:lang w:val="sr-Cyrl-CS" w:eastAsia="ja-JP"/>
          </w:rPr>
          <w:t>www.kkdp.gov.rs</w:t>
        </w:r>
      </w:hyperlink>
      <w:r w:rsidRPr="00092ED7">
        <w:rPr>
          <w:rFonts w:eastAsia="MS PGothic" w:cs="Times New Roman"/>
          <w:bCs/>
          <w:iCs/>
          <w:szCs w:val="24"/>
          <w:lang w:val="sr-Cyrl-CS" w:eastAsia="ja-JP"/>
        </w:rPr>
        <w:t>.</w:t>
      </w:r>
    </w:p>
    <w:p w14:paraId="3B8523C3" w14:textId="77777777" w:rsidR="00F13B06" w:rsidRPr="00092ED7" w:rsidRDefault="00F13B06" w:rsidP="00F13B06">
      <w:pPr>
        <w:shd w:val="clear" w:color="auto" w:fill="D9D9D9" w:themeFill="background1" w:themeFillShade="D9"/>
        <w:spacing w:after="60"/>
        <w:rPr>
          <w:rFonts w:eastAsia="MS PGothic" w:cs="Times New Roman"/>
          <w:bCs/>
          <w:i/>
          <w:iCs/>
          <w:szCs w:val="24"/>
          <w:lang w:val="sr-Cyrl-CS" w:eastAsia="ja-JP"/>
        </w:rPr>
      </w:pPr>
      <w:r w:rsidRPr="00092ED7">
        <w:rPr>
          <w:rFonts w:eastAsia="MS PGothic" w:cs="Times New Roman"/>
          <w:bCs/>
          <w:i/>
          <w:iCs/>
          <w:szCs w:val="24"/>
          <w:lang w:val="sr-Cyrl-CS" w:eastAsia="ja-JP"/>
        </w:rPr>
        <w:t>5. Наставити са развојем и усвајањем дугорочне енергетске и климатске стратегије у складу са Зеленом агендом за Западни Балкан и међународним обавезама и даље појачати улагања у модернизацију енергетске инфраструктуре и смањење емисије угљеника у циљу убрзања зелене транзиције.</w:t>
      </w:r>
    </w:p>
    <w:p w14:paraId="7DB9D55D" w14:textId="49BFADDC" w:rsidR="00F13B06" w:rsidRPr="00092ED7" w:rsidRDefault="00F13B06" w:rsidP="00F13B06">
      <w:pPr>
        <w:shd w:val="clear" w:color="auto" w:fill="D9D9D9" w:themeFill="background1" w:themeFillShade="D9"/>
        <w:spacing w:after="60"/>
        <w:rPr>
          <w:rFonts w:eastAsia="MS PGothic" w:cs="Times New Roman"/>
          <w:bCs/>
          <w:i/>
          <w:iCs/>
          <w:szCs w:val="24"/>
          <w:lang w:val="sr-Cyrl-CS" w:eastAsia="ja-JP"/>
        </w:rPr>
      </w:pPr>
      <w:r w:rsidRPr="00092ED7">
        <w:rPr>
          <w:rFonts w:eastAsia="MS PGothic" w:cs="Times New Roman"/>
          <w:bCs/>
          <w:i/>
          <w:iCs/>
          <w:szCs w:val="24"/>
          <w:lang w:val="sr-Cyrl-CS" w:eastAsia="ja-JP"/>
        </w:rPr>
        <w:t>Спровести ванредне финансијске и институционалне мере у сврху веће употребе обновљивих извора енергије и енергетске ефикасности, укључујући увођење система аукција за обновљиве изворе енергије (</w:t>
      </w:r>
      <w:r w:rsidR="002960C2" w:rsidRPr="00092ED7">
        <w:rPr>
          <w:rFonts w:eastAsia="MS PGothic" w:cs="Times New Roman"/>
          <w:bCs/>
          <w:i/>
          <w:iCs/>
          <w:szCs w:val="24"/>
          <w:lang w:val="sr-Cyrl-CS" w:eastAsia="ja-JP"/>
        </w:rPr>
        <w:t>у даљем тексту</w:t>
      </w:r>
      <w:r w:rsidR="005136C5" w:rsidRPr="00092ED7">
        <w:rPr>
          <w:rFonts w:eastAsia="MS PGothic" w:cs="Times New Roman"/>
          <w:bCs/>
          <w:i/>
          <w:iCs/>
          <w:szCs w:val="24"/>
          <w:lang w:val="sr-Cyrl-CS" w:eastAsia="ja-JP"/>
        </w:rPr>
        <w:t>:</w:t>
      </w:r>
      <w:r w:rsidR="002960C2" w:rsidRPr="00092ED7">
        <w:rPr>
          <w:rFonts w:eastAsia="MS PGothic" w:cs="Times New Roman"/>
          <w:bCs/>
          <w:i/>
          <w:iCs/>
          <w:szCs w:val="24"/>
          <w:lang w:val="sr-Cyrl-CS" w:eastAsia="ja-JP"/>
        </w:rPr>
        <w:t xml:space="preserve"> </w:t>
      </w:r>
      <w:r w:rsidRPr="00092ED7">
        <w:rPr>
          <w:rFonts w:eastAsia="MS PGothic" w:cs="Times New Roman"/>
          <w:bCs/>
          <w:i/>
          <w:iCs/>
          <w:szCs w:val="24"/>
          <w:lang w:val="sr-Cyrl-CS" w:eastAsia="ja-JP"/>
        </w:rPr>
        <w:t>ОИЕ) и даље развијати новоосновану управу за енергетску ефикасност и даље унапредити одрживост механизма финансирања.</w:t>
      </w:r>
    </w:p>
    <w:p w14:paraId="5D3B55B5" w14:textId="4E46F4D4" w:rsidR="00F13B06" w:rsidRPr="00092ED7" w:rsidRDefault="00F13B06" w:rsidP="00F13B06">
      <w:pPr>
        <w:shd w:val="clear" w:color="auto" w:fill="D9D9D9" w:themeFill="background1" w:themeFillShade="D9"/>
        <w:spacing w:after="60"/>
        <w:rPr>
          <w:rFonts w:eastAsia="MS PGothic" w:cs="Times New Roman"/>
          <w:bCs/>
          <w:i/>
          <w:iCs/>
          <w:szCs w:val="24"/>
          <w:lang w:val="sr-Cyrl-CS" w:eastAsia="ja-JP"/>
        </w:rPr>
      </w:pPr>
      <w:r w:rsidRPr="00092ED7">
        <w:rPr>
          <w:rFonts w:eastAsia="MS PGothic" w:cs="Times New Roman"/>
          <w:bCs/>
          <w:i/>
          <w:iCs/>
          <w:szCs w:val="24"/>
          <w:lang w:val="sr-Cyrl-CS" w:eastAsia="ja-JP"/>
        </w:rPr>
        <w:t xml:space="preserve">У циљу даље либерализације енергетског тржишта, потребно је размотрити неопходне реформе, укључујући реформу цена и тарифа, те убрзати раздвајање свих енергетских предузећа у складу са правном тековином </w:t>
      </w:r>
      <w:r w:rsidR="002960C2" w:rsidRPr="00092ED7">
        <w:rPr>
          <w:rFonts w:eastAsia="MS PGothic" w:cs="Times New Roman"/>
          <w:bCs/>
          <w:i/>
          <w:iCs/>
          <w:szCs w:val="24"/>
          <w:lang w:val="sr-Cyrl-CS" w:eastAsia="ja-JP"/>
        </w:rPr>
        <w:t>Европске уније</w:t>
      </w:r>
      <w:r w:rsidRPr="00092ED7">
        <w:rPr>
          <w:rFonts w:eastAsia="MS PGothic" w:cs="Times New Roman"/>
          <w:bCs/>
          <w:i/>
          <w:iCs/>
          <w:szCs w:val="24"/>
          <w:lang w:val="sr-Cyrl-CS" w:eastAsia="ja-JP"/>
        </w:rPr>
        <w:t xml:space="preserve">, а у погледу сектора гаса у складу са Акционим планом </w:t>
      </w:r>
      <w:r w:rsidR="004370E9" w:rsidRPr="00092ED7">
        <w:rPr>
          <w:rFonts w:eastAsia="MS PGothic" w:cs="Times New Roman"/>
          <w:bCs/>
          <w:i/>
          <w:iCs/>
          <w:szCs w:val="24"/>
          <w:lang w:val="sr-Cyrl-CS" w:eastAsia="ja-JP"/>
        </w:rPr>
        <w:t>Републике Србије</w:t>
      </w:r>
      <w:r w:rsidRPr="00092ED7">
        <w:rPr>
          <w:rFonts w:eastAsia="MS PGothic" w:cs="Times New Roman"/>
          <w:bCs/>
          <w:i/>
          <w:iCs/>
          <w:szCs w:val="24"/>
          <w:lang w:val="sr-Cyrl-CS" w:eastAsia="ja-JP"/>
        </w:rPr>
        <w:t xml:space="preserve">; када је у питању </w:t>
      </w:r>
      <w:r w:rsidR="001C6CFD" w:rsidRPr="00092ED7">
        <w:rPr>
          <w:rFonts w:eastAsia="MS PGothic" w:cs="Times New Roman"/>
          <w:bCs/>
          <w:i/>
          <w:iCs/>
          <w:szCs w:val="24"/>
          <w:lang w:val="sr-Cyrl-CS" w:eastAsia="ja-JP"/>
        </w:rPr>
        <w:t>„Гастрансˮ д.о.о. Нови Сад</w:t>
      </w:r>
      <w:r w:rsidRPr="00092ED7">
        <w:rPr>
          <w:rFonts w:eastAsia="MS PGothic" w:cs="Times New Roman"/>
          <w:bCs/>
          <w:i/>
          <w:iCs/>
          <w:szCs w:val="24"/>
          <w:lang w:val="sr-Cyrl-CS" w:eastAsia="ja-JP"/>
        </w:rPr>
        <w:t xml:space="preserve">, потребно је обезбедити регулаторни режим у потпуности усклађен са законодавством </w:t>
      </w:r>
      <w:r w:rsidR="002960C2" w:rsidRPr="00092ED7">
        <w:rPr>
          <w:rFonts w:eastAsia="MS PGothic" w:cs="Times New Roman"/>
          <w:bCs/>
          <w:i/>
          <w:iCs/>
          <w:szCs w:val="24"/>
          <w:lang w:val="sr-Cyrl-CS" w:eastAsia="ja-JP"/>
        </w:rPr>
        <w:t>Европске уније</w:t>
      </w:r>
      <w:r w:rsidRPr="00092ED7">
        <w:rPr>
          <w:rFonts w:eastAsia="MS PGothic" w:cs="Times New Roman"/>
          <w:bCs/>
          <w:i/>
          <w:iCs/>
          <w:szCs w:val="24"/>
          <w:lang w:val="sr-Cyrl-CS" w:eastAsia="ja-JP"/>
        </w:rPr>
        <w:t xml:space="preserve">, а све у складу са Акционим планом развијеним након недавно отвореног Кластера 4 – </w:t>
      </w:r>
      <w:r w:rsidR="002960C2" w:rsidRPr="00092ED7">
        <w:rPr>
          <w:rFonts w:eastAsia="MS PGothic" w:cs="Times New Roman"/>
          <w:bCs/>
          <w:i/>
          <w:iCs/>
          <w:szCs w:val="24"/>
          <w:lang w:val="sr-Cyrl-CS" w:eastAsia="ja-JP"/>
        </w:rPr>
        <w:t xml:space="preserve">Зелена агенда и одржива повезаност </w:t>
      </w:r>
      <w:r w:rsidRPr="00092ED7">
        <w:rPr>
          <w:rFonts w:eastAsia="MS PGothic" w:cs="Times New Roman"/>
          <w:bCs/>
          <w:i/>
          <w:iCs/>
          <w:szCs w:val="24"/>
          <w:lang w:val="sr-Cyrl-CS" w:eastAsia="ja-JP"/>
        </w:rPr>
        <w:t xml:space="preserve"> у процесу приступања </w:t>
      </w:r>
      <w:r w:rsidR="002960C2" w:rsidRPr="00092ED7">
        <w:rPr>
          <w:rFonts w:eastAsia="MS PGothic" w:cs="Times New Roman"/>
          <w:bCs/>
          <w:i/>
          <w:iCs/>
          <w:szCs w:val="24"/>
          <w:lang w:val="sr-Cyrl-CS" w:eastAsia="ja-JP"/>
        </w:rPr>
        <w:t>Европској унији</w:t>
      </w:r>
      <w:r w:rsidRPr="00092ED7">
        <w:rPr>
          <w:rFonts w:eastAsia="MS PGothic" w:cs="Times New Roman"/>
          <w:bCs/>
          <w:i/>
          <w:iCs/>
          <w:szCs w:val="24"/>
          <w:lang w:val="sr-Cyrl-CS" w:eastAsia="ja-JP"/>
        </w:rPr>
        <w:t>.</w:t>
      </w:r>
    </w:p>
    <w:p w14:paraId="4853E396" w14:textId="13BCF8AA" w:rsidR="00F13B06" w:rsidRPr="00092ED7" w:rsidRDefault="00F13B06" w:rsidP="00F13B06">
      <w:pPr>
        <w:spacing w:after="60"/>
        <w:rPr>
          <w:rFonts w:eastAsia="MS PGothic" w:cs="Times New Roman"/>
          <w:bCs/>
          <w:iCs/>
          <w:szCs w:val="24"/>
          <w:lang w:val="sr-Cyrl-CS" w:eastAsia="ja-JP"/>
        </w:rPr>
      </w:pPr>
      <w:r w:rsidRPr="00092ED7">
        <w:rPr>
          <w:rFonts w:eastAsia="MS PGothic" w:cs="Times New Roman"/>
          <w:bCs/>
          <w:iCs/>
          <w:szCs w:val="24"/>
          <w:lang w:val="sr-Cyrl-CS" w:eastAsia="ja-JP"/>
        </w:rPr>
        <w:t xml:space="preserve">Нацрт </w:t>
      </w:r>
      <w:r w:rsidR="004370E9" w:rsidRPr="00092ED7">
        <w:rPr>
          <w:rFonts w:eastAsia="MS PGothic" w:cs="Times New Roman"/>
          <w:bCs/>
          <w:iCs/>
          <w:szCs w:val="24"/>
          <w:lang w:val="sr-Cyrl-CS" w:eastAsia="ja-JP"/>
        </w:rPr>
        <w:t>и</w:t>
      </w:r>
      <w:r w:rsidR="002960C2" w:rsidRPr="00092ED7">
        <w:rPr>
          <w:rFonts w:eastAsia="MS PGothic" w:cs="Times New Roman"/>
          <w:bCs/>
          <w:iCs/>
          <w:szCs w:val="24"/>
          <w:lang w:val="sr-Cyrl-CS" w:eastAsia="ja-JP"/>
        </w:rPr>
        <w:t>нтегрисаног националног енергетског и климатског плана за период од 2021. до 2030. године са визијом до 2050. године (у даљем тексту</w:t>
      </w:r>
      <w:r w:rsidR="004370E9" w:rsidRPr="00092ED7">
        <w:rPr>
          <w:rFonts w:eastAsia="MS PGothic" w:cs="Times New Roman"/>
          <w:bCs/>
          <w:iCs/>
          <w:szCs w:val="24"/>
          <w:lang w:val="sr-Cyrl-CS" w:eastAsia="ja-JP"/>
        </w:rPr>
        <w:t>:</w:t>
      </w:r>
      <w:r w:rsidR="002960C2" w:rsidRPr="00092ED7">
        <w:rPr>
          <w:rFonts w:eastAsia="MS PGothic" w:cs="Times New Roman"/>
          <w:bCs/>
          <w:iCs/>
          <w:szCs w:val="24"/>
          <w:lang w:val="sr-Cyrl-CS" w:eastAsia="ja-JP"/>
        </w:rPr>
        <w:t xml:space="preserve"> ИНЕКП)</w:t>
      </w:r>
      <w:r w:rsidRPr="00092ED7">
        <w:rPr>
          <w:rFonts w:eastAsia="MS PGothic" w:cs="Times New Roman"/>
          <w:bCs/>
          <w:iCs/>
          <w:szCs w:val="24"/>
          <w:lang w:val="sr-Cyrl-CS" w:eastAsia="ja-JP"/>
        </w:rPr>
        <w:t xml:space="preserve">, припремљен је и представљен мултисекторској Радној групи  на састанку 7. октобра 2022. </w:t>
      </w:r>
      <w:r w:rsidR="004370E9" w:rsidRPr="00092ED7">
        <w:rPr>
          <w:rFonts w:eastAsia="MS PGothic" w:cs="Times New Roman"/>
          <w:bCs/>
          <w:iCs/>
          <w:szCs w:val="24"/>
          <w:lang w:val="sr-Cyrl-CS" w:eastAsia="ja-JP"/>
        </w:rPr>
        <w:t xml:space="preserve">године. </w:t>
      </w:r>
      <w:r w:rsidRPr="00092ED7">
        <w:rPr>
          <w:rFonts w:eastAsia="MS PGothic" w:cs="Times New Roman"/>
          <w:bCs/>
          <w:iCs/>
          <w:szCs w:val="24"/>
          <w:lang w:val="sr-Cyrl-CS" w:eastAsia="ja-JP"/>
        </w:rPr>
        <w:t xml:space="preserve">У завршној фази је ревизија </w:t>
      </w:r>
      <w:r w:rsidR="004370E9" w:rsidRPr="00092ED7">
        <w:rPr>
          <w:rFonts w:eastAsia="MS PGothic" w:cs="Times New Roman"/>
          <w:bCs/>
          <w:iCs/>
          <w:szCs w:val="24"/>
          <w:lang w:val="sr-Cyrl-CS" w:eastAsia="ja-JP"/>
        </w:rPr>
        <w:t>Н</w:t>
      </w:r>
      <w:r w:rsidRPr="00092ED7">
        <w:rPr>
          <w:rFonts w:eastAsia="MS PGothic" w:cs="Times New Roman"/>
          <w:bCs/>
          <w:iCs/>
          <w:szCs w:val="24"/>
          <w:lang w:val="sr-Cyrl-CS" w:eastAsia="ja-JP"/>
        </w:rPr>
        <w:t>ацрта ИНЕКП у складу са достављеним коментарима чланова Радне групе. Након тога планирано је спровођење јавних консултација, прекограничних консултација и консултација са Секретаријатом Енергетске заједнице.</w:t>
      </w:r>
    </w:p>
    <w:p w14:paraId="554EBB5F" w14:textId="4199AD3F" w:rsidR="00F13B06" w:rsidRPr="00092ED7" w:rsidRDefault="00F13B06" w:rsidP="00F13B06">
      <w:pPr>
        <w:spacing w:after="60"/>
        <w:rPr>
          <w:rFonts w:eastAsia="MS PGothic" w:cs="Times New Roman"/>
          <w:bCs/>
          <w:iCs/>
          <w:szCs w:val="24"/>
          <w:lang w:val="sr-Cyrl-CS" w:eastAsia="ja-JP"/>
        </w:rPr>
      </w:pPr>
      <w:r w:rsidRPr="00092ED7">
        <w:rPr>
          <w:rFonts w:eastAsia="MS PGothic" w:cs="Times New Roman"/>
          <w:bCs/>
          <w:iCs/>
          <w:szCs w:val="24"/>
          <w:lang w:val="sr-Cyrl-CS" w:eastAsia="ja-JP"/>
        </w:rPr>
        <w:t>Управа за финансирање и подстицање енергетске ефикасности основана је као правно лице у саставу Министарства рударства и енергетике. У августу 2021.</w:t>
      </w:r>
      <w:r w:rsidR="004370E9" w:rsidRPr="00092ED7">
        <w:rPr>
          <w:rFonts w:eastAsia="MS PGothic" w:cs="Times New Roman"/>
          <w:bCs/>
          <w:iCs/>
          <w:szCs w:val="24"/>
          <w:lang w:val="sr-Cyrl-CS" w:eastAsia="ja-JP"/>
        </w:rPr>
        <w:t xml:space="preserve"> године</w:t>
      </w:r>
      <w:r w:rsidRPr="00092ED7">
        <w:rPr>
          <w:rFonts w:eastAsia="MS PGothic" w:cs="Times New Roman"/>
          <w:bCs/>
          <w:iCs/>
          <w:szCs w:val="24"/>
          <w:lang w:val="sr-Cyrl-CS" w:eastAsia="ja-JP"/>
        </w:rPr>
        <w:t xml:space="preserve"> именован </w:t>
      </w:r>
      <w:r w:rsidR="004370E9" w:rsidRPr="00092ED7">
        <w:rPr>
          <w:rFonts w:eastAsia="MS PGothic" w:cs="Times New Roman"/>
          <w:bCs/>
          <w:iCs/>
          <w:szCs w:val="24"/>
          <w:lang w:val="sr-Cyrl-CS" w:eastAsia="ja-JP"/>
        </w:rPr>
        <w:t xml:space="preserve">је </w:t>
      </w:r>
      <w:r w:rsidRPr="00092ED7">
        <w:rPr>
          <w:rFonts w:eastAsia="MS PGothic" w:cs="Times New Roman"/>
          <w:bCs/>
          <w:iCs/>
          <w:szCs w:val="24"/>
          <w:lang w:val="sr-Cyrl-CS" w:eastAsia="ja-JP"/>
        </w:rPr>
        <w:t xml:space="preserve">директор Управе, </w:t>
      </w:r>
      <w:r w:rsidR="00926895" w:rsidRPr="00092ED7">
        <w:rPr>
          <w:rFonts w:eastAsia="MS PGothic" w:cs="Times New Roman"/>
          <w:bCs/>
          <w:iCs/>
          <w:szCs w:val="24"/>
          <w:lang w:val="sr-Cyrl-CS" w:eastAsia="ja-JP"/>
        </w:rPr>
        <w:t xml:space="preserve">а </w:t>
      </w:r>
      <w:r w:rsidR="002960C2" w:rsidRPr="00092ED7">
        <w:rPr>
          <w:rFonts w:eastAsia="MS PGothic" w:cs="Times New Roman"/>
          <w:bCs/>
          <w:iCs/>
          <w:szCs w:val="24"/>
          <w:lang w:val="sr-Cyrl-CS" w:eastAsia="ja-JP"/>
        </w:rPr>
        <w:t>Правилник о систематизацији радних места је ступио</w:t>
      </w:r>
      <w:r w:rsidRPr="00092ED7">
        <w:rPr>
          <w:rFonts w:eastAsia="MS PGothic" w:cs="Times New Roman"/>
          <w:bCs/>
          <w:iCs/>
          <w:szCs w:val="24"/>
          <w:lang w:val="sr-Cyrl-CS" w:eastAsia="ja-JP"/>
        </w:rPr>
        <w:t xml:space="preserve"> на снагу 25. новембра 2021. године. Управа </w:t>
      </w:r>
      <w:r w:rsidR="002960C2" w:rsidRPr="00092ED7">
        <w:rPr>
          <w:rFonts w:eastAsia="MS PGothic" w:cs="Times New Roman"/>
          <w:bCs/>
          <w:iCs/>
          <w:szCs w:val="24"/>
          <w:lang w:val="sr-Cyrl-CS" w:eastAsia="ja-JP"/>
        </w:rPr>
        <w:t xml:space="preserve">за финансирање и подстицање енергетске ефикасности </w:t>
      </w:r>
      <w:r w:rsidRPr="00092ED7">
        <w:rPr>
          <w:rFonts w:eastAsia="MS PGothic" w:cs="Times New Roman"/>
          <w:bCs/>
          <w:iCs/>
          <w:szCs w:val="24"/>
          <w:lang w:val="sr-Cyrl-CS" w:eastAsia="ja-JP"/>
        </w:rPr>
        <w:t xml:space="preserve">је почела са радом почетком 2022. године и имаће 12 запослених  (до сада су </w:t>
      </w:r>
      <w:r w:rsidR="004370E9" w:rsidRPr="00092ED7">
        <w:rPr>
          <w:rFonts w:eastAsia="MS PGothic" w:cs="Times New Roman"/>
          <w:bCs/>
          <w:iCs/>
          <w:szCs w:val="24"/>
          <w:lang w:val="sr-Cyrl-CS" w:eastAsia="ja-JP"/>
        </w:rPr>
        <w:t xml:space="preserve">девет </w:t>
      </w:r>
      <w:r w:rsidRPr="00092ED7">
        <w:rPr>
          <w:rFonts w:eastAsia="MS PGothic" w:cs="Times New Roman"/>
          <w:bCs/>
          <w:iCs/>
          <w:szCs w:val="24"/>
          <w:lang w:val="sr-Cyrl-CS" w:eastAsia="ja-JP"/>
        </w:rPr>
        <w:t xml:space="preserve"> стално запослена лица и </w:t>
      </w:r>
      <w:r w:rsidR="004370E9" w:rsidRPr="00092ED7">
        <w:rPr>
          <w:rFonts w:eastAsia="MS PGothic" w:cs="Times New Roman"/>
          <w:bCs/>
          <w:iCs/>
          <w:szCs w:val="24"/>
          <w:lang w:val="sr-Cyrl-CS" w:eastAsia="ja-JP"/>
        </w:rPr>
        <w:t xml:space="preserve">пет </w:t>
      </w:r>
      <w:r w:rsidRPr="00092ED7">
        <w:rPr>
          <w:rFonts w:eastAsia="MS PGothic" w:cs="Times New Roman"/>
          <w:bCs/>
          <w:iCs/>
          <w:szCs w:val="24"/>
          <w:lang w:val="sr-Cyrl-CS" w:eastAsia="ja-JP"/>
        </w:rPr>
        <w:t xml:space="preserve">је ангажовано по уговору). За рад Управе </w:t>
      </w:r>
      <w:r w:rsidR="002960C2" w:rsidRPr="00092ED7">
        <w:rPr>
          <w:rFonts w:eastAsia="MS PGothic" w:cs="Times New Roman"/>
          <w:bCs/>
          <w:iCs/>
          <w:szCs w:val="24"/>
          <w:lang w:val="sr-Cyrl-CS" w:eastAsia="ja-JP"/>
        </w:rPr>
        <w:t xml:space="preserve">за финансирање и подстицање енергетске ефикасности </w:t>
      </w:r>
      <w:r w:rsidRPr="00092ED7">
        <w:rPr>
          <w:rFonts w:eastAsia="MS PGothic" w:cs="Times New Roman"/>
          <w:bCs/>
          <w:iCs/>
          <w:szCs w:val="24"/>
          <w:lang w:val="sr-Cyrl-CS" w:eastAsia="ja-JP"/>
        </w:rPr>
        <w:t xml:space="preserve">у 2022. години обезбеђен је буџет од око </w:t>
      </w:r>
      <w:r w:rsidR="004370E9" w:rsidRPr="00092ED7">
        <w:rPr>
          <w:rFonts w:eastAsia="MS PGothic" w:cs="Times New Roman"/>
          <w:bCs/>
          <w:iCs/>
          <w:szCs w:val="24"/>
          <w:lang w:val="sr-Cyrl-CS" w:eastAsia="ja-JP"/>
        </w:rPr>
        <w:t xml:space="preserve">две </w:t>
      </w:r>
      <w:r w:rsidRPr="00092ED7">
        <w:rPr>
          <w:rFonts w:eastAsia="MS PGothic" w:cs="Times New Roman"/>
          <w:bCs/>
          <w:iCs/>
          <w:szCs w:val="24"/>
          <w:lang w:val="sr-Cyrl-CS" w:eastAsia="ja-JP"/>
        </w:rPr>
        <w:t xml:space="preserve">милијарде динара. Расположива средства из буџета за 2023. годину биће додатно увећана средствима зајма Светске банке и </w:t>
      </w:r>
      <w:r w:rsidR="004370E9" w:rsidRPr="00092ED7">
        <w:rPr>
          <w:rFonts w:eastAsia="MS PGothic" w:cs="Times New Roman"/>
          <w:bCs/>
          <w:iCs/>
          <w:szCs w:val="24"/>
          <w:lang w:val="sr-Cyrl-CS" w:eastAsia="ja-JP"/>
        </w:rPr>
        <w:t xml:space="preserve">Европске банке за обнову и развој (у даљем тексту: </w:t>
      </w:r>
      <w:r w:rsidRPr="00092ED7">
        <w:rPr>
          <w:rFonts w:eastAsia="MS PGothic" w:cs="Times New Roman"/>
          <w:bCs/>
          <w:iCs/>
          <w:szCs w:val="24"/>
          <w:lang w:val="sr-Cyrl-CS" w:eastAsia="ja-JP"/>
        </w:rPr>
        <w:t>EBRD</w:t>
      </w:r>
      <w:r w:rsidR="004370E9" w:rsidRPr="00092ED7">
        <w:rPr>
          <w:rFonts w:eastAsia="MS PGothic" w:cs="Times New Roman"/>
          <w:bCs/>
          <w:iCs/>
          <w:szCs w:val="24"/>
          <w:lang w:val="sr-Cyrl-CS" w:eastAsia="ja-JP"/>
        </w:rPr>
        <w:t>)</w:t>
      </w:r>
      <w:r w:rsidRPr="00092ED7">
        <w:rPr>
          <w:rFonts w:eastAsia="MS PGothic" w:cs="Times New Roman"/>
          <w:bCs/>
          <w:iCs/>
          <w:szCs w:val="24"/>
          <w:lang w:val="sr-Cyrl-CS" w:eastAsia="ja-JP"/>
        </w:rPr>
        <w:t>.</w:t>
      </w:r>
    </w:p>
    <w:p w14:paraId="48770919" w14:textId="6D93B5FB" w:rsidR="00F13B06" w:rsidRPr="00092ED7" w:rsidRDefault="00F13B06" w:rsidP="00F13B06">
      <w:pPr>
        <w:spacing w:after="60"/>
        <w:rPr>
          <w:rFonts w:eastAsia="MS PGothic" w:cs="Times New Roman"/>
          <w:bCs/>
          <w:iCs/>
          <w:szCs w:val="24"/>
          <w:lang w:val="sr-Cyrl-CS" w:eastAsia="ja-JP"/>
        </w:rPr>
      </w:pPr>
      <w:r w:rsidRPr="00092ED7">
        <w:rPr>
          <w:rFonts w:eastAsia="MS PGothic" w:cs="Times New Roman"/>
          <w:bCs/>
          <w:iCs/>
          <w:szCs w:val="24"/>
          <w:lang w:val="sr-Cyrl-CS" w:eastAsia="ja-JP"/>
        </w:rPr>
        <w:t>Управа</w:t>
      </w:r>
      <w:r w:rsidR="004370E9" w:rsidRPr="00092ED7">
        <w:rPr>
          <w:rFonts w:eastAsia="MS PGothic" w:cs="Times New Roman"/>
          <w:bCs/>
          <w:iCs/>
          <w:szCs w:val="24"/>
          <w:lang w:val="sr-Cyrl-CS" w:eastAsia="ja-JP"/>
        </w:rPr>
        <w:t xml:space="preserve"> за финансирање и подстицање енергетске ефикасности</w:t>
      </w:r>
      <w:r w:rsidRPr="00092ED7">
        <w:rPr>
          <w:rFonts w:eastAsia="MS PGothic" w:cs="Times New Roman"/>
          <w:bCs/>
          <w:iCs/>
          <w:szCs w:val="24"/>
          <w:lang w:val="sr-Cyrl-CS" w:eastAsia="ja-JP"/>
        </w:rPr>
        <w:t xml:space="preserve"> је у 2022. години расписала један јавни позив за давање субвенција грађанима за </w:t>
      </w:r>
      <w:r w:rsidRPr="00092ED7">
        <w:rPr>
          <w:rFonts w:cs="Times New Roman"/>
          <w:iCs/>
          <w:szCs w:val="24"/>
          <w:lang w:val="sr-Cyrl-CS"/>
        </w:rPr>
        <w:t>енергетску санацију стамбених зграда, породичних кућа и станова</w:t>
      </w:r>
      <w:r w:rsidRPr="00092ED7">
        <w:rPr>
          <w:rFonts w:cs="Times New Roman"/>
          <w:szCs w:val="24"/>
          <w:lang w:val="sr-Cyrl-CS"/>
        </w:rPr>
        <w:t xml:space="preserve"> који спроводе </w:t>
      </w:r>
      <w:r w:rsidR="008F53D9" w:rsidRPr="00092ED7">
        <w:rPr>
          <w:rFonts w:cs="Times New Roman"/>
          <w:szCs w:val="24"/>
          <w:lang w:val="sr-Cyrl-CS"/>
        </w:rPr>
        <w:t>ЈЛС</w:t>
      </w:r>
      <w:r w:rsidR="00926895" w:rsidRPr="00092ED7">
        <w:rPr>
          <w:rFonts w:cs="Times New Roman"/>
          <w:szCs w:val="24"/>
          <w:lang w:val="sr-Cyrl-CS"/>
        </w:rPr>
        <w:t>,</w:t>
      </w:r>
      <w:r w:rsidRPr="00092ED7">
        <w:rPr>
          <w:rFonts w:cs="Times New Roman"/>
          <w:szCs w:val="24"/>
          <w:lang w:val="sr-Cyrl-CS"/>
        </w:rPr>
        <w:t xml:space="preserve"> као и градске општине</w:t>
      </w:r>
      <w:r w:rsidRPr="00092ED7">
        <w:rPr>
          <w:rFonts w:eastAsia="MS PGothic" w:cs="Times New Roman"/>
          <w:bCs/>
          <w:iCs/>
          <w:szCs w:val="24"/>
          <w:lang w:val="sr-Cyrl-CS" w:eastAsia="ja-JP"/>
        </w:rPr>
        <w:t xml:space="preserve"> (потписани су уговори са 151 </w:t>
      </w:r>
      <w:r w:rsidR="008F53D9" w:rsidRPr="00092ED7">
        <w:rPr>
          <w:rFonts w:eastAsia="MS PGothic" w:cs="Times New Roman"/>
          <w:bCs/>
          <w:iCs/>
          <w:szCs w:val="24"/>
          <w:lang w:val="sr-Cyrl-CS" w:eastAsia="ja-JP"/>
        </w:rPr>
        <w:t>ЈЛС</w:t>
      </w:r>
      <w:r w:rsidRPr="00092ED7">
        <w:rPr>
          <w:rFonts w:eastAsia="MS PGothic" w:cs="Times New Roman"/>
          <w:bCs/>
          <w:iCs/>
          <w:szCs w:val="24"/>
          <w:lang w:val="sr-Cyrl-CS" w:eastAsia="ja-JP"/>
        </w:rPr>
        <w:t xml:space="preserve">) и један јавни позив за </w:t>
      </w:r>
      <w:r w:rsidRPr="00092ED7">
        <w:rPr>
          <w:rFonts w:cs="Times New Roman"/>
          <w:szCs w:val="24"/>
          <w:lang w:val="sr-Cyrl-CS"/>
        </w:rPr>
        <w:t xml:space="preserve">финансирања пројеката унапређења енергетске ефикасности у објектима од јавног значаја у </w:t>
      </w:r>
      <w:r w:rsidR="008F53D9" w:rsidRPr="00092ED7">
        <w:rPr>
          <w:rFonts w:cs="Times New Roman"/>
          <w:szCs w:val="24"/>
          <w:lang w:val="sr-Cyrl-CS"/>
        </w:rPr>
        <w:t>ЈЛС</w:t>
      </w:r>
      <w:r w:rsidRPr="00092ED7">
        <w:rPr>
          <w:rFonts w:cs="Times New Roman"/>
          <w:szCs w:val="24"/>
          <w:lang w:val="sr-Cyrl-CS"/>
        </w:rPr>
        <w:t xml:space="preserve">, као и градским општинама </w:t>
      </w:r>
      <w:r w:rsidRPr="00092ED7">
        <w:rPr>
          <w:rFonts w:eastAsia="MS PGothic" w:cs="Times New Roman"/>
          <w:bCs/>
          <w:iCs/>
          <w:szCs w:val="24"/>
          <w:lang w:val="sr-Cyrl-CS" w:eastAsia="ja-JP"/>
        </w:rPr>
        <w:t xml:space="preserve">(потписани уговори са 38 </w:t>
      </w:r>
      <w:r w:rsidR="008F53D9" w:rsidRPr="00092ED7">
        <w:rPr>
          <w:rFonts w:eastAsia="MS PGothic" w:cs="Times New Roman"/>
          <w:bCs/>
          <w:iCs/>
          <w:szCs w:val="24"/>
          <w:lang w:val="sr-Cyrl-CS" w:eastAsia="ja-JP"/>
        </w:rPr>
        <w:t>ЈЛС</w:t>
      </w:r>
      <w:r w:rsidRPr="00092ED7">
        <w:rPr>
          <w:rFonts w:eastAsia="MS PGothic" w:cs="Times New Roman"/>
          <w:bCs/>
          <w:iCs/>
          <w:szCs w:val="24"/>
          <w:lang w:val="sr-Cyrl-CS" w:eastAsia="ja-JP"/>
        </w:rPr>
        <w:t xml:space="preserve">). </w:t>
      </w:r>
    </w:p>
    <w:p w14:paraId="19A4D8E7" w14:textId="019305C1" w:rsidR="00F13B06" w:rsidRPr="00092ED7" w:rsidRDefault="00F07A2B" w:rsidP="00B640AF">
      <w:pPr>
        <w:shd w:val="clear" w:color="auto" w:fill="FFFFFF"/>
        <w:spacing w:before="100" w:beforeAutospacing="1" w:after="100" w:afterAutospacing="1"/>
        <w:outlineLvl w:val="0"/>
        <w:rPr>
          <w:rFonts w:eastAsia="Times New Roman" w:cs="Times New Roman"/>
          <w:kern w:val="36"/>
          <w:szCs w:val="24"/>
          <w:lang w:val="sr-Cyrl-CS"/>
        </w:rPr>
      </w:pPr>
      <w:r w:rsidRPr="00092ED7">
        <w:rPr>
          <w:rFonts w:eastAsia="MS PGothic" w:cs="Times New Roman"/>
          <w:bCs/>
          <w:iCs/>
          <w:szCs w:val="24"/>
          <w:lang w:val="sr-Cyrl-CS" w:eastAsia="ja-JP"/>
        </w:rPr>
        <w:lastRenderedPageBreak/>
        <w:t>Законом о буџету Републике Србије за 2022. годину („Служ</w:t>
      </w:r>
      <w:r w:rsidR="00B7287C" w:rsidRPr="00092ED7">
        <w:rPr>
          <w:rFonts w:eastAsia="MS PGothic" w:cs="Times New Roman"/>
          <w:bCs/>
          <w:iCs/>
          <w:szCs w:val="24"/>
          <w:lang w:val="sr-Cyrl-CS" w:eastAsia="ja-JP"/>
        </w:rPr>
        <w:t>б</w:t>
      </w:r>
      <w:r w:rsidRPr="00092ED7">
        <w:rPr>
          <w:rFonts w:eastAsia="MS PGothic" w:cs="Times New Roman"/>
          <w:bCs/>
          <w:iCs/>
          <w:szCs w:val="24"/>
          <w:lang w:val="sr-Cyrl-CS" w:eastAsia="ja-JP"/>
        </w:rPr>
        <w:t>ени гласник РС</w:t>
      </w:r>
      <w:r w:rsidRPr="00092ED7">
        <w:rPr>
          <w:rFonts w:cs="Times New Roman"/>
          <w:szCs w:val="24"/>
          <w:lang w:val="sr-Cyrl-CS"/>
        </w:rPr>
        <w:t xml:space="preserve">”, бр. 110/21 и 125/22) </w:t>
      </w:r>
      <w:r w:rsidR="00F13B06" w:rsidRPr="00092ED7">
        <w:rPr>
          <w:rFonts w:eastAsia="MS PGothic" w:cs="Times New Roman"/>
          <w:bCs/>
          <w:iCs/>
          <w:szCs w:val="24"/>
          <w:lang w:val="sr-Cyrl-CS" w:eastAsia="ja-JP"/>
        </w:rPr>
        <w:t>предвиђен је кредит Светске банке у износу од 50 милиона долара. Зајам Светске банке за имплементацију пројекта „Чиста енергија и енергетска ефикасност за грађане</w:t>
      </w:r>
      <w:r w:rsidR="00D30903" w:rsidRPr="00092ED7">
        <w:rPr>
          <w:rFonts w:cs="Times New Roman"/>
          <w:szCs w:val="24"/>
          <w:lang w:val="sr-Cyrl-CS"/>
        </w:rPr>
        <w:t>”</w:t>
      </w:r>
      <w:r w:rsidR="00F13B06" w:rsidRPr="00092ED7">
        <w:rPr>
          <w:rFonts w:eastAsia="MS PGothic" w:cs="Times New Roman"/>
          <w:bCs/>
          <w:iCs/>
          <w:szCs w:val="24"/>
          <w:lang w:val="sr-Cyrl-CS" w:eastAsia="ja-JP"/>
        </w:rPr>
        <w:t xml:space="preserve"> (</w:t>
      </w:r>
      <w:r w:rsidR="008D24BA" w:rsidRPr="00092ED7">
        <w:rPr>
          <w:rFonts w:eastAsia="MS PGothic" w:cs="Times New Roman"/>
          <w:bCs/>
          <w:iCs/>
          <w:szCs w:val="24"/>
          <w:lang w:val="sr-Cyrl-CS" w:eastAsia="ja-JP"/>
        </w:rPr>
        <w:t xml:space="preserve">у даљем тексту: </w:t>
      </w:r>
      <w:r w:rsidR="00F13B06" w:rsidRPr="00092ED7">
        <w:rPr>
          <w:rFonts w:eastAsia="MS PGothic" w:cs="Times New Roman"/>
          <w:bCs/>
          <w:iCs/>
          <w:szCs w:val="24"/>
          <w:lang w:val="sr-Cyrl-CS" w:eastAsia="ja-JP"/>
        </w:rPr>
        <w:t>SURCE)</w:t>
      </w:r>
      <w:r w:rsidR="008D24BA" w:rsidRPr="00092ED7">
        <w:rPr>
          <w:rFonts w:eastAsia="MS PGothic" w:cs="Times New Roman"/>
          <w:bCs/>
          <w:iCs/>
          <w:szCs w:val="24"/>
          <w:lang w:val="sr-Cyrl-CS" w:eastAsia="ja-JP"/>
        </w:rPr>
        <w:t xml:space="preserve"> </w:t>
      </w:r>
      <w:r w:rsidR="00F13B06" w:rsidRPr="00092ED7">
        <w:rPr>
          <w:rFonts w:eastAsia="MS PGothic" w:cs="Times New Roman"/>
          <w:bCs/>
          <w:iCs/>
          <w:szCs w:val="24"/>
          <w:lang w:val="sr-Cyrl-CS" w:eastAsia="ja-JP"/>
        </w:rPr>
        <w:t xml:space="preserve"> је преговаран у фебруару 2022. године, </w:t>
      </w:r>
      <w:r w:rsidR="00DD710A" w:rsidRPr="00092ED7">
        <w:rPr>
          <w:rFonts w:eastAsia="MS PGothic" w:cs="Times New Roman"/>
          <w:bCs/>
          <w:iCs/>
          <w:szCs w:val="24"/>
          <w:lang w:val="sr-Cyrl-CS" w:eastAsia="ja-JP"/>
        </w:rPr>
        <w:t xml:space="preserve">потврђен </w:t>
      </w:r>
      <w:r w:rsidR="00891786" w:rsidRPr="00092ED7">
        <w:rPr>
          <w:rFonts w:eastAsia="Times New Roman" w:cs="Times New Roman"/>
          <w:kern w:val="36"/>
          <w:szCs w:val="24"/>
          <w:lang w:val="sr-Cyrl-CS"/>
        </w:rPr>
        <w:t>Закон</w:t>
      </w:r>
      <w:r w:rsidR="00DD710A" w:rsidRPr="00092ED7">
        <w:rPr>
          <w:rFonts w:eastAsia="Times New Roman" w:cs="Times New Roman"/>
          <w:kern w:val="36"/>
          <w:szCs w:val="24"/>
          <w:lang w:val="sr-Cyrl-CS"/>
        </w:rPr>
        <w:t>ом</w:t>
      </w:r>
      <w:r w:rsidR="00891786" w:rsidRPr="00092ED7">
        <w:rPr>
          <w:rFonts w:eastAsia="Times New Roman" w:cs="Times New Roman"/>
          <w:kern w:val="36"/>
          <w:szCs w:val="24"/>
          <w:lang w:val="sr-Cyrl-CS"/>
        </w:rPr>
        <w:t xml:space="preserve"> о потврђивању споразума о зајму (Пројекат чисте енергије и енергетске ефикасности за грађане) између Републике Србије и Међународне банке за обнову и развој </w:t>
      </w:r>
      <w:r w:rsidR="00891786" w:rsidRPr="00092ED7">
        <w:rPr>
          <w:rFonts w:eastAsia="Times New Roman" w:cs="Times New Roman"/>
          <w:szCs w:val="24"/>
          <w:lang w:val="sr-Cyrl-CS"/>
        </w:rPr>
        <w:t xml:space="preserve">(„Службени гласник РС - </w:t>
      </w:r>
      <w:r w:rsidR="00833B80" w:rsidRPr="00092ED7">
        <w:rPr>
          <w:rFonts w:eastAsia="Times New Roman" w:cs="Times New Roman"/>
          <w:szCs w:val="24"/>
          <w:lang w:val="sr-Cyrl-CS"/>
        </w:rPr>
        <w:t>М</w:t>
      </w:r>
      <w:r w:rsidR="00891786" w:rsidRPr="00092ED7">
        <w:rPr>
          <w:rFonts w:eastAsia="Times New Roman" w:cs="Times New Roman"/>
          <w:szCs w:val="24"/>
          <w:lang w:val="sr-Cyrl-CS"/>
        </w:rPr>
        <w:t>еђународни уговори</w:t>
      </w:r>
      <w:r w:rsidR="00DD710A" w:rsidRPr="00092ED7">
        <w:rPr>
          <w:rFonts w:cs="Times New Roman"/>
          <w:szCs w:val="24"/>
          <w:lang w:val="sr-Cyrl-CS"/>
        </w:rPr>
        <w:t>”</w:t>
      </w:r>
      <w:r w:rsidR="00891786" w:rsidRPr="00092ED7">
        <w:rPr>
          <w:rFonts w:eastAsia="Times New Roman" w:cs="Times New Roman"/>
          <w:szCs w:val="24"/>
          <w:lang w:val="sr-Cyrl-CS"/>
        </w:rPr>
        <w:t>, брoj 6/22)</w:t>
      </w:r>
      <w:r w:rsidR="00DD710A" w:rsidRPr="00092ED7">
        <w:rPr>
          <w:rFonts w:eastAsia="Times New Roman" w:cs="Times New Roman"/>
          <w:szCs w:val="24"/>
          <w:lang w:val="sr-Cyrl-CS"/>
        </w:rPr>
        <w:t xml:space="preserve"> који је ступио на снагу 20. децембра 2022. године.</w:t>
      </w:r>
      <w:r w:rsidR="00DD710A" w:rsidRPr="00092ED7">
        <w:rPr>
          <w:rFonts w:eastAsia="MS PGothic" w:cs="Times New Roman"/>
          <w:bCs/>
          <w:iCs/>
          <w:szCs w:val="24"/>
          <w:lang w:val="sr-Cyrl-CS" w:eastAsia="ja-JP"/>
        </w:rPr>
        <w:t xml:space="preserve"> Законом о буџету Републике Србије за 2022. годину</w:t>
      </w:r>
      <w:r w:rsidR="00F13B06" w:rsidRPr="00092ED7">
        <w:rPr>
          <w:rFonts w:eastAsia="MS PGothic" w:cs="Times New Roman"/>
          <w:bCs/>
          <w:iCs/>
          <w:szCs w:val="24"/>
          <w:lang w:val="sr-Cyrl-CS" w:eastAsia="ja-JP"/>
        </w:rPr>
        <w:t xml:space="preserve"> такође </w:t>
      </w:r>
      <w:r w:rsidR="00DD710A" w:rsidRPr="00092ED7">
        <w:rPr>
          <w:rFonts w:eastAsia="MS PGothic" w:cs="Times New Roman"/>
          <w:bCs/>
          <w:iCs/>
          <w:szCs w:val="24"/>
          <w:lang w:val="sr-Cyrl-CS" w:eastAsia="ja-JP"/>
        </w:rPr>
        <w:t xml:space="preserve">је </w:t>
      </w:r>
      <w:r w:rsidR="00F13B06" w:rsidRPr="00092ED7">
        <w:rPr>
          <w:rFonts w:eastAsia="MS PGothic" w:cs="Times New Roman"/>
          <w:bCs/>
          <w:iCs/>
          <w:szCs w:val="24"/>
          <w:lang w:val="sr-Cyrl-CS" w:eastAsia="ja-JP"/>
        </w:rPr>
        <w:t xml:space="preserve">предвиђен зајам од 50 милиона евра од EBRD за пројекат „Енергетска ефикасна санација стамбених и јавних зграда”. До сада је 20 општина изразило интересовање за учешће у овом програму који би се фокусирао на стамбене зграде које су повезане на системе даљинског грејања. EBRD ће обезбедити грант од </w:t>
      </w:r>
      <w:r w:rsidR="00DD710A" w:rsidRPr="00092ED7">
        <w:rPr>
          <w:rFonts w:eastAsia="MS PGothic" w:cs="Times New Roman"/>
          <w:bCs/>
          <w:iCs/>
          <w:szCs w:val="24"/>
          <w:lang w:val="sr-Cyrl-CS" w:eastAsia="ja-JP"/>
        </w:rPr>
        <w:t xml:space="preserve">пет </w:t>
      </w:r>
      <w:r w:rsidR="00F13B06" w:rsidRPr="00092ED7">
        <w:rPr>
          <w:rFonts w:eastAsia="MS PGothic" w:cs="Times New Roman"/>
          <w:bCs/>
          <w:iCs/>
          <w:szCs w:val="24"/>
          <w:lang w:val="sr-Cyrl-CS" w:eastAsia="ja-JP"/>
        </w:rPr>
        <w:t>милиона евра за подршку пројекту.</w:t>
      </w:r>
    </w:p>
    <w:p w14:paraId="6421E112" w14:textId="2ECF9546" w:rsidR="00F13B06" w:rsidRPr="00092ED7" w:rsidRDefault="00F13B06" w:rsidP="00F13B06">
      <w:pPr>
        <w:pStyle w:val="NormalWeb"/>
        <w:spacing w:before="0" w:beforeAutospacing="0" w:after="0" w:afterAutospacing="0"/>
        <w:rPr>
          <w:rStyle w:val="rynqvb"/>
          <w:rFonts w:eastAsiaTheme="minorHAnsi" w:cstheme="minorBidi"/>
          <w:szCs w:val="22"/>
          <w:lang w:val="sr-Cyrl-CS"/>
        </w:rPr>
      </w:pPr>
      <w:r w:rsidRPr="00092ED7">
        <w:rPr>
          <w:rStyle w:val="rynqvb"/>
          <w:lang w:val="sr-Cyrl-CS"/>
        </w:rPr>
        <w:t xml:space="preserve">У јулу 2022. године Агенција за енергетику </w:t>
      </w:r>
      <w:r w:rsidR="00DD710A" w:rsidRPr="00092ED7">
        <w:rPr>
          <w:rStyle w:val="rynqvb"/>
          <w:lang w:val="sr-Cyrl-CS"/>
        </w:rPr>
        <w:t>Републике Србије</w:t>
      </w:r>
      <w:r w:rsidR="001D27D0" w:rsidRPr="00092ED7">
        <w:rPr>
          <w:rStyle w:val="rynqvb"/>
          <w:lang w:val="sr-Cyrl-CS"/>
        </w:rPr>
        <w:t xml:space="preserve"> </w:t>
      </w:r>
      <w:r w:rsidR="001D27D0" w:rsidRPr="00092ED7">
        <w:rPr>
          <w:rFonts w:eastAsia="Calibri"/>
          <w:lang w:val="sr-Cyrl-CS"/>
        </w:rPr>
        <w:t>(у даљем тексту: АЕРС)</w:t>
      </w:r>
      <w:r w:rsidR="001D27D0" w:rsidRPr="00092ED7">
        <w:rPr>
          <w:rStyle w:val="rynqvb"/>
          <w:lang w:val="sr-Cyrl-CS"/>
        </w:rPr>
        <w:t xml:space="preserve"> </w:t>
      </w:r>
      <w:r w:rsidRPr="00092ED7">
        <w:rPr>
          <w:rStyle w:val="rynqvb"/>
          <w:lang w:val="sr-Cyrl-CS"/>
        </w:rPr>
        <w:t xml:space="preserve"> усвојила </w:t>
      </w:r>
      <w:r w:rsidR="00DD710A" w:rsidRPr="00092ED7">
        <w:rPr>
          <w:rStyle w:val="rynqvb"/>
          <w:lang w:val="sr-Cyrl-CS"/>
        </w:rPr>
        <w:t xml:space="preserve">је </w:t>
      </w:r>
      <w:r w:rsidRPr="00092ED7">
        <w:rPr>
          <w:rStyle w:val="rynqvb"/>
          <w:lang w:val="sr-Cyrl-CS"/>
        </w:rPr>
        <w:t xml:space="preserve">измене и допуне </w:t>
      </w:r>
      <w:r w:rsidRPr="00092ED7">
        <w:rPr>
          <w:lang w:val="sr-Cyrl-CS"/>
        </w:rPr>
        <w:t>Методологије за одређивање цене електричне енергије за гарантовано снабдевање</w:t>
      </w:r>
      <w:r w:rsidRPr="00092ED7">
        <w:rPr>
          <w:rStyle w:val="rynqvb"/>
          <w:lang w:val="sr-Cyrl-CS"/>
        </w:rPr>
        <w:t>.</w:t>
      </w:r>
      <w:r w:rsidRPr="00092ED7">
        <w:rPr>
          <w:rStyle w:val="hwtze"/>
          <w:lang w:val="sr-Cyrl-CS"/>
        </w:rPr>
        <w:t xml:space="preserve"> </w:t>
      </w:r>
      <w:r w:rsidRPr="00092ED7">
        <w:rPr>
          <w:rStyle w:val="rynqvb"/>
          <w:lang w:val="sr-Cyrl-CS"/>
        </w:rPr>
        <w:t xml:space="preserve">Изменама је дефинисан </w:t>
      </w:r>
      <w:r w:rsidRPr="00092ED7">
        <w:rPr>
          <w:lang w:val="sr-Cyrl-CS"/>
        </w:rPr>
        <w:t xml:space="preserve">нови начин расподеле максимално одобреног прихода на тарифне елементе на основу које се израчунавају тарифе по категоријама и групама купаца </w:t>
      </w:r>
      <w:r w:rsidRPr="00092ED7">
        <w:rPr>
          <w:rStyle w:val="rynqvb"/>
          <w:lang w:val="sr-Cyrl-CS"/>
        </w:rPr>
        <w:t xml:space="preserve">и </w:t>
      </w:r>
      <w:r w:rsidRPr="00092ED7">
        <w:rPr>
          <w:lang w:val="sr-Cyrl-CS"/>
        </w:rPr>
        <w:t>извршено је усклађивање са</w:t>
      </w:r>
      <w:r w:rsidR="00DD710A" w:rsidRPr="00092ED7">
        <w:rPr>
          <w:lang w:val="sr-Cyrl-CS"/>
        </w:rPr>
        <w:t xml:space="preserve"> Законом о изменама и допунама Закона о енергетици („Службени гласник РС”, број 40/21)</w:t>
      </w:r>
      <w:r w:rsidR="009D4FA6" w:rsidRPr="00092ED7">
        <w:rPr>
          <w:lang w:val="sr-Cyrl-CS"/>
        </w:rPr>
        <w:t xml:space="preserve">, </w:t>
      </w:r>
      <w:r w:rsidRPr="00092ED7">
        <w:rPr>
          <w:lang w:val="sr-Cyrl-CS"/>
        </w:rPr>
        <w:t xml:space="preserve">тако што је прецизирано да се ова методологија примењује и на купца-произвођача. </w:t>
      </w:r>
    </w:p>
    <w:p w14:paraId="02C45080" w14:textId="77777777" w:rsidR="00F13B06" w:rsidRPr="00092ED7" w:rsidRDefault="00F13B06" w:rsidP="00F13B06">
      <w:pPr>
        <w:spacing w:after="0"/>
        <w:rPr>
          <w:rFonts w:eastAsia="MS PGothic" w:cs="Times New Roman"/>
          <w:bCs/>
          <w:iCs/>
          <w:szCs w:val="24"/>
          <w:lang w:val="sr-Cyrl-CS" w:eastAsia="ja-JP"/>
        </w:rPr>
      </w:pPr>
      <w:r w:rsidRPr="00092ED7">
        <w:rPr>
          <w:rStyle w:val="rynqvb"/>
          <w:lang w:val="sr-Cyrl-CS"/>
        </w:rPr>
        <w:t>У јулу 2022. године  цена електричне енергије за гарантовано снабдевање повећана је  за 6,5%, а у новембру 2022. године ова цена је увећана за додатних 8%, са применом од 1. јануара 2023. године.</w:t>
      </w:r>
    </w:p>
    <w:p w14:paraId="4050F3A0" w14:textId="5D9DAEEB" w:rsidR="00F13B06" w:rsidRPr="00092ED7" w:rsidRDefault="00F13B06" w:rsidP="00F13B06">
      <w:pPr>
        <w:spacing w:after="60"/>
        <w:rPr>
          <w:rFonts w:eastAsia="MS PGothic" w:cs="Times New Roman"/>
          <w:bCs/>
          <w:iCs/>
          <w:szCs w:val="24"/>
          <w:highlight w:val="yellow"/>
          <w:lang w:val="sr-Cyrl-CS" w:eastAsia="ja-JP"/>
        </w:rPr>
      </w:pPr>
      <w:r w:rsidRPr="00092ED7">
        <w:rPr>
          <w:rFonts w:eastAsia="MS PGothic" w:cs="Times New Roman"/>
          <w:bCs/>
          <w:iCs/>
          <w:szCs w:val="24"/>
          <w:lang w:val="sr-Cyrl-CS" w:eastAsia="ja-JP"/>
        </w:rPr>
        <w:t>У области електроенергетике завршен је процес раздвајања делатности у складу са Законом о енергетици („Сл</w:t>
      </w:r>
      <w:r w:rsidR="0069502E" w:rsidRPr="00092ED7">
        <w:rPr>
          <w:rFonts w:eastAsia="MS PGothic" w:cs="Times New Roman"/>
          <w:bCs/>
          <w:iCs/>
          <w:szCs w:val="24"/>
          <w:lang w:val="sr-Cyrl-CS" w:eastAsia="ja-JP"/>
        </w:rPr>
        <w:t>ужбени</w:t>
      </w:r>
      <w:r w:rsidRPr="00092ED7">
        <w:rPr>
          <w:rFonts w:eastAsia="MS PGothic" w:cs="Times New Roman"/>
          <w:bCs/>
          <w:iCs/>
          <w:szCs w:val="24"/>
          <w:lang w:val="sr-Cyrl-CS" w:eastAsia="ja-JP"/>
        </w:rPr>
        <w:t xml:space="preserve"> гласник РС</w:t>
      </w:r>
      <w:r w:rsidR="0069502E" w:rsidRPr="00092ED7">
        <w:rPr>
          <w:rFonts w:cs="Times New Roman"/>
          <w:szCs w:val="24"/>
          <w:lang w:val="sr-Cyrl-CS"/>
        </w:rPr>
        <w:t>”</w:t>
      </w:r>
      <w:r w:rsidRPr="00092ED7">
        <w:rPr>
          <w:rFonts w:eastAsia="MS PGothic" w:cs="Times New Roman"/>
          <w:bCs/>
          <w:iCs/>
          <w:szCs w:val="24"/>
          <w:lang w:val="sr-Cyrl-CS" w:eastAsia="ja-JP"/>
        </w:rPr>
        <w:t xml:space="preserve">, бр. 145/14, 95/18-др. закон и 40/21), којим су у потпуности транспоноване одредбе трећег енергетског пакета. Односно, у потпуности је испуњена законска обавеза правног и функционалног раздвајања оператора дистрибутивног система електричне енергије Електродистрибуција Србије д.о.о. Београд, </w:t>
      </w:r>
      <w:r w:rsidR="00E00AB3" w:rsidRPr="00092ED7">
        <w:rPr>
          <w:rFonts w:eastAsia="MS PGothic" w:cs="Times New Roman"/>
          <w:bCs/>
          <w:iCs/>
          <w:szCs w:val="24"/>
          <w:lang w:val="sr-Cyrl-CS" w:eastAsia="ja-JP"/>
        </w:rPr>
        <w:t>на Јавно предузеће „Електропривреда Србије</w:t>
      </w:r>
      <w:r w:rsidR="00833B80" w:rsidRPr="00092ED7">
        <w:rPr>
          <w:rFonts w:eastAsia="MS PGothic" w:cs="Times New Roman"/>
          <w:bCs/>
          <w:iCs/>
          <w:szCs w:val="24"/>
          <w:lang w:val="sr-Cyrl-CS" w:eastAsia="ja-JP"/>
        </w:rPr>
        <w:t>ˮ,</w:t>
      </w:r>
      <w:r w:rsidR="00E00AB3" w:rsidRPr="00092ED7">
        <w:rPr>
          <w:rFonts w:eastAsia="MS PGothic" w:cs="Times New Roman"/>
          <w:bCs/>
          <w:iCs/>
          <w:szCs w:val="24"/>
          <w:lang w:val="sr-Cyrl-CS" w:eastAsia="ja-JP"/>
        </w:rPr>
        <w:t xml:space="preserve"> Београд</w:t>
      </w:r>
      <w:r w:rsidR="00217782" w:rsidRPr="00092ED7">
        <w:rPr>
          <w:rFonts w:eastAsia="MS PGothic" w:cs="Times New Roman"/>
          <w:bCs/>
          <w:iCs/>
          <w:szCs w:val="24"/>
          <w:lang w:val="sr-Cyrl-CS" w:eastAsia="ja-JP"/>
        </w:rPr>
        <w:t xml:space="preserve"> (у даљем тексту: ЈП ЕПС)</w:t>
      </w:r>
      <w:r w:rsidR="00E00AB3" w:rsidRPr="00092ED7">
        <w:rPr>
          <w:rFonts w:eastAsia="MS PGothic" w:cs="Times New Roman"/>
          <w:bCs/>
          <w:iCs/>
          <w:szCs w:val="24"/>
          <w:lang w:val="sr-Cyrl-CS" w:eastAsia="ja-JP"/>
        </w:rPr>
        <w:t xml:space="preserve"> и Акционарско друштво „Електромрежа Србије</w:t>
      </w:r>
      <w:r w:rsidR="00833B80" w:rsidRPr="00092ED7">
        <w:rPr>
          <w:rFonts w:eastAsia="MS PGothic" w:cs="Times New Roman"/>
          <w:bCs/>
          <w:iCs/>
          <w:szCs w:val="24"/>
          <w:lang w:val="sr-Cyrl-CS" w:eastAsia="ja-JP"/>
        </w:rPr>
        <w:t>ˮ</w:t>
      </w:r>
      <w:r w:rsidR="00E00AB3" w:rsidRPr="00092ED7">
        <w:rPr>
          <w:rFonts w:eastAsia="MS PGothic" w:cs="Times New Roman"/>
          <w:bCs/>
          <w:iCs/>
          <w:szCs w:val="24"/>
          <w:lang w:val="sr-Cyrl-CS" w:eastAsia="ja-JP"/>
        </w:rPr>
        <w:t xml:space="preserve"> Београд </w:t>
      </w:r>
      <w:r w:rsidR="00826CDD" w:rsidRPr="00092ED7">
        <w:rPr>
          <w:rFonts w:eastAsia="MS PGothic" w:cs="Times New Roman"/>
          <w:bCs/>
          <w:iCs/>
          <w:szCs w:val="24"/>
          <w:lang w:val="sr-Cyrl-CS" w:eastAsia="ja-JP"/>
        </w:rPr>
        <w:t>(у даљем тексту: АД „Електромрежа Србије</w:t>
      </w:r>
      <w:r w:rsidR="00833B80" w:rsidRPr="00092ED7">
        <w:rPr>
          <w:rFonts w:eastAsia="MS PGothic" w:cs="Times New Roman"/>
          <w:bCs/>
          <w:iCs/>
          <w:szCs w:val="24"/>
          <w:lang w:val="sr-Cyrl-CS" w:eastAsia="ja-JP"/>
        </w:rPr>
        <w:t>ˮ</w:t>
      </w:r>
      <w:r w:rsidR="00826CDD" w:rsidRPr="00092ED7">
        <w:rPr>
          <w:rFonts w:eastAsia="MS PGothic" w:cs="Times New Roman"/>
          <w:bCs/>
          <w:iCs/>
          <w:szCs w:val="24"/>
          <w:lang w:val="sr-Cyrl-CS" w:eastAsia="ja-JP"/>
        </w:rPr>
        <w:t>)</w:t>
      </w:r>
      <w:r w:rsidR="00E00AB3" w:rsidRPr="00092ED7">
        <w:rPr>
          <w:rFonts w:eastAsia="MS PGothic" w:cs="Times New Roman"/>
          <w:bCs/>
          <w:iCs/>
          <w:szCs w:val="24"/>
          <w:lang w:val="sr-Cyrl-CS" w:eastAsia="ja-JP"/>
        </w:rPr>
        <w:t xml:space="preserve">, који је </w:t>
      </w:r>
      <w:r w:rsidRPr="00092ED7">
        <w:rPr>
          <w:rFonts w:eastAsia="MS PGothic" w:cs="Times New Roman"/>
          <w:bCs/>
          <w:iCs/>
          <w:szCs w:val="24"/>
          <w:lang w:val="sr-Cyrl-CS" w:eastAsia="ja-JP"/>
        </w:rPr>
        <w:t>оператор преносног система</w:t>
      </w:r>
      <w:r w:rsidR="00E00AB3" w:rsidRPr="00092ED7">
        <w:rPr>
          <w:rFonts w:eastAsia="MS PGothic" w:cs="Times New Roman"/>
          <w:bCs/>
          <w:iCs/>
          <w:szCs w:val="24"/>
          <w:lang w:val="sr-Cyrl-CS" w:eastAsia="ja-JP"/>
        </w:rPr>
        <w:t>,</w:t>
      </w:r>
      <w:r w:rsidRPr="00092ED7">
        <w:rPr>
          <w:rFonts w:eastAsia="MS PGothic" w:cs="Times New Roman"/>
          <w:bCs/>
          <w:iCs/>
          <w:szCs w:val="24"/>
          <w:lang w:val="sr-Cyrl-CS" w:eastAsia="ja-JP"/>
        </w:rPr>
        <w:t xml:space="preserve"> сертифиокован од стране </w:t>
      </w:r>
      <w:r w:rsidR="00F347CE" w:rsidRPr="00092ED7">
        <w:rPr>
          <w:rFonts w:eastAsia="MS PGothic" w:cs="Times New Roman"/>
          <w:bCs/>
          <w:iCs/>
          <w:szCs w:val="24"/>
          <w:lang w:val="sr-Cyrl-CS" w:eastAsia="ja-JP"/>
        </w:rPr>
        <w:t>АЕРС</w:t>
      </w:r>
      <w:r w:rsidRPr="00092ED7">
        <w:rPr>
          <w:rFonts w:eastAsia="MS PGothic" w:cs="Times New Roman"/>
          <w:bCs/>
          <w:iCs/>
          <w:szCs w:val="24"/>
          <w:lang w:val="sr-Cyrl-CS" w:eastAsia="ja-JP"/>
        </w:rPr>
        <w:t>, а  по претходно испуњеним условима о раздвајању делатности у складу са Законом о енергетици.</w:t>
      </w:r>
    </w:p>
    <w:p w14:paraId="7C9F12A5" w14:textId="2E453683" w:rsidR="00F13B06" w:rsidRPr="00092ED7" w:rsidRDefault="001D27D0" w:rsidP="00F13B06">
      <w:pPr>
        <w:spacing w:after="60"/>
        <w:rPr>
          <w:rFonts w:eastAsia="MS PGothic" w:cs="Times New Roman"/>
          <w:bCs/>
          <w:iCs/>
          <w:szCs w:val="24"/>
          <w:lang w:val="sr-Cyrl-CS" w:eastAsia="ja-JP"/>
        </w:rPr>
      </w:pPr>
      <w:r w:rsidRPr="00092ED7">
        <w:rPr>
          <w:rFonts w:eastAsia="Calibri" w:cs="Times New Roman"/>
          <w:szCs w:val="24"/>
          <w:lang w:val="sr-Cyrl-CS"/>
        </w:rPr>
        <w:t xml:space="preserve">АЕРС </w:t>
      </w:r>
      <w:r w:rsidR="00F13B06" w:rsidRPr="00092ED7">
        <w:rPr>
          <w:rFonts w:eastAsia="MS PGothic" w:cs="Times New Roman"/>
          <w:bCs/>
          <w:iCs/>
          <w:szCs w:val="24"/>
          <w:lang w:val="sr-Cyrl-CS" w:eastAsia="ja-JP"/>
        </w:rPr>
        <w:t>дала је сагласност на Програм за обезбеђење недискриминаторног понашања који је израдио оператор дистрибутивног система Србије (фебруар 2022. године), као и на Предлог услова за именовање и претходну сагласност на именовање новог Лица за праћење Програма усклађености (јун 2022. године).</w:t>
      </w:r>
    </w:p>
    <w:p w14:paraId="7D9B4CC2" w14:textId="054C48A3" w:rsidR="00F13B06" w:rsidRPr="00092ED7" w:rsidRDefault="00F13B06" w:rsidP="00F13B06">
      <w:pPr>
        <w:spacing w:after="60"/>
        <w:rPr>
          <w:rFonts w:eastAsia="MS PGothic" w:cs="Times New Roman"/>
          <w:bCs/>
          <w:iCs/>
          <w:szCs w:val="24"/>
          <w:lang w:val="sr-Cyrl-CS" w:eastAsia="ja-JP"/>
        </w:rPr>
      </w:pPr>
      <w:r w:rsidRPr="00092ED7">
        <w:rPr>
          <w:rFonts w:eastAsia="MS PGothic" w:cs="Times New Roman"/>
          <w:bCs/>
          <w:iCs/>
          <w:szCs w:val="24"/>
          <w:lang w:val="sr-Cyrl-CS" w:eastAsia="ja-JP"/>
        </w:rPr>
        <w:t>„Транспортгас Србија</w:t>
      </w:r>
      <w:r w:rsidR="0052060E" w:rsidRPr="00092ED7">
        <w:rPr>
          <w:rFonts w:cs="Times New Roman"/>
          <w:szCs w:val="24"/>
          <w:lang w:val="sr-Cyrl-CS"/>
        </w:rPr>
        <w:t>”</w:t>
      </w:r>
      <w:r w:rsidRPr="00092ED7">
        <w:rPr>
          <w:rFonts w:eastAsia="MS PGothic" w:cs="Times New Roman"/>
          <w:bCs/>
          <w:iCs/>
          <w:szCs w:val="24"/>
          <w:lang w:val="sr-Cyrl-CS" w:eastAsia="ja-JP"/>
        </w:rPr>
        <w:t xml:space="preserve"> д.о.о. </w:t>
      </w:r>
      <w:r w:rsidR="00CF3AED" w:rsidRPr="00092ED7">
        <w:rPr>
          <w:rFonts w:eastAsia="MS PGothic" w:cs="Times New Roman"/>
          <w:bCs/>
          <w:iCs/>
          <w:szCs w:val="24"/>
          <w:lang w:val="sr-Cyrl-CS" w:eastAsia="ja-JP"/>
        </w:rPr>
        <w:t xml:space="preserve">Нови Сад </w:t>
      </w:r>
      <w:r w:rsidRPr="00092ED7">
        <w:rPr>
          <w:rFonts w:eastAsia="MS PGothic" w:cs="Times New Roman"/>
          <w:bCs/>
          <w:iCs/>
          <w:szCs w:val="24"/>
          <w:lang w:val="sr-Cyrl-CS" w:eastAsia="ja-JP"/>
        </w:rPr>
        <w:t xml:space="preserve">одустао </w:t>
      </w:r>
      <w:r w:rsidR="00CF3AED" w:rsidRPr="00092ED7">
        <w:rPr>
          <w:rFonts w:eastAsia="MS PGothic" w:cs="Times New Roman"/>
          <w:bCs/>
          <w:iCs/>
          <w:szCs w:val="24"/>
          <w:lang w:val="sr-Cyrl-CS" w:eastAsia="ja-JP"/>
        </w:rPr>
        <w:t xml:space="preserve">је </w:t>
      </w:r>
      <w:r w:rsidRPr="00092ED7">
        <w:rPr>
          <w:rFonts w:eastAsia="MS PGothic" w:cs="Times New Roman"/>
          <w:bCs/>
          <w:iCs/>
          <w:szCs w:val="24"/>
          <w:lang w:val="sr-Cyrl-CS" w:eastAsia="ja-JP"/>
        </w:rPr>
        <w:t xml:space="preserve">од захтева за сертификацију по ИСО моделу (март 2022. године), након чега је </w:t>
      </w:r>
      <w:r w:rsidR="001D27D0" w:rsidRPr="00092ED7">
        <w:rPr>
          <w:rFonts w:eastAsia="Calibri" w:cs="Times New Roman"/>
          <w:szCs w:val="24"/>
          <w:lang w:val="sr-Cyrl-CS"/>
        </w:rPr>
        <w:t xml:space="preserve">АЕРС </w:t>
      </w:r>
      <w:r w:rsidRPr="00092ED7">
        <w:rPr>
          <w:rFonts w:eastAsia="MS PGothic" w:cs="Times New Roman"/>
          <w:bCs/>
          <w:iCs/>
          <w:szCs w:val="24"/>
          <w:lang w:val="sr-Cyrl-CS" w:eastAsia="ja-JP"/>
        </w:rPr>
        <w:t xml:space="preserve">обуставила процедуру сертификације. </w:t>
      </w:r>
      <w:r w:rsidR="001D27D0" w:rsidRPr="00092ED7">
        <w:rPr>
          <w:rFonts w:eastAsia="Calibri" w:cs="Times New Roman"/>
          <w:szCs w:val="24"/>
          <w:lang w:val="sr-Cyrl-CS"/>
        </w:rPr>
        <w:t>АЕРС</w:t>
      </w:r>
      <w:r w:rsidRPr="00092ED7">
        <w:rPr>
          <w:rFonts w:eastAsia="MS PGothic" w:cs="Times New Roman"/>
          <w:bCs/>
          <w:iCs/>
          <w:szCs w:val="24"/>
          <w:lang w:val="sr-Cyrl-CS" w:eastAsia="ja-JP"/>
        </w:rPr>
        <w:t xml:space="preserve"> је у марту 2022. године потврдила сертификат издат </w:t>
      </w:r>
      <w:r w:rsidR="00CF3AED" w:rsidRPr="00092ED7">
        <w:rPr>
          <w:rFonts w:eastAsia="MS PGothic" w:cs="Times New Roman"/>
          <w:bCs/>
          <w:iCs/>
          <w:szCs w:val="24"/>
          <w:lang w:val="sr-Cyrl-CS" w:eastAsia="ja-JP"/>
        </w:rPr>
        <w:t>„</w:t>
      </w:r>
      <w:r w:rsidRPr="00092ED7">
        <w:rPr>
          <w:rFonts w:eastAsia="MS PGothic" w:cs="Times New Roman"/>
          <w:bCs/>
          <w:iCs/>
          <w:szCs w:val="24"/>
          <w:lang w:val="sr-Cyrl-CS" w:eastAsia="ja-JP"/>
        </w:rPr>
        <w:t>Гастранс</w:t>
      </w:r>
      <w:r w:rsidR="00183A80" w:rsidRPr="00092ED7">
        <w:rPr>
          <w:rFonts w:eastAsia="MS PGothic" w:cs="Times New Roman"/>
          <w:bCs/>
          <w:iCs/>
          <w:szCs w:val="24"/>
          <w:lang w:val="sr-Cyrl-CS" w:eastAsia="ja-JP"/>
        </w:rPr>
        <w:t>ˮ</w:t>
      </w:r>
      <w:r w:rsidRPr="00092ED7">
        <w:rPr>
          <w:rFonts w:eastAsia="MS PGothic" w:cs="Times New Roman"/>
          <w:bCs/>
          <w:iCs/>
          <w:szCs w:val="24"/>
          <w:lang w:val="sr-Cyrl-CS" w:eastAsia="ja-JP"/>
        </w:rPr>
        <w:t xml:space="preserve"> д.о.о. </w:t>
      </w:r>
      <w:r w:rsidR="00CF3AED" w:rsidRPr="00092ED7">
        <w:rPr>
          <w:rFonts w:eastAsia="MS PGothic" w:cs="Times New Roman"/>
          <w:bCs/>
          <w:iCs/>
          <w:szCs w:val="24"/>
          <w:lang w:val="sr-Cyrl-CS" w:eastAsia="ja-JP"/>
        </w:rPr>
        <w:t>Нови Сад.</w:t>
      </w:r>
    </w:p>
    <w:p w14:paraId="49DCA264" w14:textId="2DCF3032" w:rsidR="00F13B06" w:rsidRPr="00092ED7" w:rsidRDefault="00F13B06" w:rsidP="00C541DC">
      <w:pPr>
        <w:spacing w:after="60"/>
        <w:rPr>
          <w:rFonts w:eastAsia="MS PGothic" w:cs="Times New Roman"/>
          <w:bCs/>
          <w:iCs/>
          <w:szCs w:val="24"/>
          <w:lang w:val="sr-Cyrl-CS" w:eastAsia="ja-JP"/>
        </w:rPr>
      </w:pPr>
      <w:r w:rsidRPr="00092ED7">
        <w:rPr>
          <w:rFonts w:eastAsia="MS PGothic" w:cs="Times New Roman"/>
          <w:bCs/>
          <w:iCs/>
          <w:szCs w:val="24"/>
          <w:lang w:val="sr-Cyrl-CS" w:eastAsia="ja-JP"/>
        </w:rPr>
        <w:t>Република Србија је у марту 2021. године усвојила Закон о климатским променама („Сл</w:t>
      </w:r>
      <w:r w:rsidR="0093225E" w:rsidRPr="00092ED7">
        <w:rPr>
          <w:rFonts w:eastAsia="MS PGothic" w:cs="Times New Roman"/>
          <w:bCs/>
          <w:iCs/>
          <w:szCs w:val="24"/>
          <w:lang w:val="sr-Cyrl-CS" w:eastAsia="ja-JP"/>
        </w:rPr>
        <w:t>ужбени</w:t>
      </w:r>
      <w:r w:rsidRPr="00092ED7">
        <w:rPr>
          <w:rFonts w:eastAsia="MS PGothic" w:cs="Times New Roman"/>
          <w:bCs/>
          <w:iCs/>
          <w:szCs w:val="24"/>
          <w:lang w:val="sr-Cyrl-CS" w:eastAsia="ja-JP"/>
        </w:rPr>
        <w:t xml:space="preserve"> гласник РС”, бр</w:t>
      </w:r>
      <w:r w:rsidR="0093225E" w:rsidRPr="00092ED7">
        <w:rPr>
          <w:rFonts w:eastAsia="MS PGothic" w:cs="Times New Roman"/>
          <w:bCs/>
          <w:iCs/>
          <w:szCs w:val="24"/>
          <w:lang w:val="sr-Cyrl-CS" w:eastAsia="ja-JP"/>
        </w:rPr>
        <w:t>ој</w:t>
      </w:r>
      <w:r w:rsidRPr="00092ED7">
        <w:rPr>
          <w:rFonts w:eastAsia="MS PGothic" w:cs="Times New Roman"/>
          <w:bCs/>
          <w:iCs/>
          <w:szCs w:val="24"/>
          <w:lang w:val="sr-Cyrl-CS" w:eastAsia="ja-JP"/>
        </w:rPr>
        <w:t xml:space="preserve"> 26/21) у циљу успостављања система за ограничавање</w:t>
      </w:r>
      <w:r w:rsidR="006105B6" w:rsidRPr="00092ED7">
        <w:rPr>
          <w:rFonts w:eastAsia="MS PGothic" w:cs="Times New Roman"/>
          <w:bCs/>
          <w:iCs/>
          <w:szCs w:val="24"/>
          <w:lang w:val="sr-Cyrl-CS" w:eastAsia="ja-JP"/>
        </w:rPr>
        <w:t xml:space="preserve">/смањење емисија </w:t>
      </w:r>
      <w:r w:rsidRPr="00092ED7">
        <w:rPr>
          <w:rFonts w:eastAsia="MS PGothic" w:cs="Times New Roman"/>
          <w:bCs/>
          <w:iCs/>
          <w:szCs w:val="24"/>
          <w:lang w:val="sr-Cyrl-CS" w:eastAsia="ja-JP"/>
        </w:rPr>
        <w:t xml:space="preserve">гасова </w:t>
      </w:r>
      <w:r w:rsidR="006105B6" w:rsidRPr="00092ED7">
        <w:rPr>
          <w:rFonts w:eastAsia="MS PGothic" w:cs="Times New Roman"/>
          <w:bCs/>
          <w:iCs/>
          <w:szCs w:val="24"/>
          <w:lang w:val="sr-Cyrl-CS" w:eastAsia="ja-JP"/>
        </w:rPr>
        <w:t xml:space="preserve">са ефектом </w:t>
      </w:r>
      <w:r w:rsidRPr="00092ED7">
        <w:rPr>
          <w:rFonts w:eastAsia="MS PGothic" w:cs="Times New Roman"/>
          <w:bCs/>
          <w:iCs/>
          <w:szCs w:val="24"/>
          <w:lang w:val="sr-Cyrl-CS" w:eastAsia="ja-JP"/>
        </w:rPr>
        <w:t xml:space="preserve">стаклене баште и испуњавања међународних обавеза. Законом о климатским променама предвиђено је доношење </w:t>
      </w:r>
      <w:r w:rsidR="00183A80" w:rsidRPr="00092ED7">
        <w:rPr>
          <w:rFonts w:eastAsia="MS PGothic" w:cs="Times New Roman"/>
          <w:bCs/>
          <w:iCs/>
          <w:szCs w:val="24"/>
          <w:lang w:val="sr-Cyrl-CS" w:eastAsia="ja-JP"/>
        </w:rPr>
        <w:t>с</w:t>
      </w:r>
      <w:r w:rsidRPr="00092ED7">
        <w:rPr>
          <w:rFonts w:eastAsia="MS PGothic" w:cs="Times New Roman"/>
          <w:bCs/>
          <w:iCs/>
          <w:szCs w:val="24"/>
          <w:lang w:val="sr-Cyrl-CS" w:eastAsia="ja-JP"/>
        </w:rPr>
        <w:t xml:space="preserve">тратегије нискоугљеничног развоја са </w:t>
      </w:r>
      <w:r w:rsidR="00183A80" w:rsidRPr="00092ED7">
        <w:rPr>
          <w:rFonts w:eastAsia="MS PGothic" w:cs="Times New Roman"/>
          <w:bCs/>
          <w:iCs/>
          <w:szCs w:val="24"/>
          <w:lang w:val="sr-Cyrl-CS" w:eastAsia="ja-JP"/>
        </w:rPr>
        <w:t>а</w:t>
      </w:r>
      <w:r w:rsidRPr="00092ED7">
        <w:rPr>
          <w:rFonts w:eastAsia="MS PGothic" w:cs="Times New Roman"/>
          <w:bCs/>
          <w:iCs/>
          <w:szCs w:val="24"/>
          <w:lang w:val="sr-Cyrl-CS" w:eastAsia="ja-JP"/>
        </w:rPr>
        <w:t>кционим планом у року од две године од дана ступања на снагу закона.</w:t>
      </w:r>
    </w:p>
    <w:p w14:paraId="304EB02B" w14:textId="77777777" w:rsidR="00F13B06" w:rsidRPr="00092ED7" w:rsidRDefault="00F13B06" w:rsidP="00F13B06">
      <w:pPr>
        <w:shd w:val="clear" w:color="auto" w:fill="D9D9D9" w:themeFill="background1" w:themeFillShade="D9"/>
        <w:spacing w:after="60"/>
        <w:rPr>
          <w:rFonts w:eastAsia="MS PGothic" w:cs="Times New Roman"/>
          <w:bCs/>
          <w:i/>
          <w:iCs/>
          <w:szCs w:val="24"/>
          <w:lang w:val="sr-Cyrl-CS" w:eastAsia="ja-JP"/>
        </w:rPr>
      </w:pPr>
      <w:r w:rsidRPr="00092ED7">
        <w:rPr>
          <w:rFonts w:eastAsia="MS PGothic" w:cs="Times New Roman"/>
          <w:bCs/>
          <w:i/>
          <w:iCs/>
          <w:szCs w:val="24"/>
          <w:lang w:val="sr-Cyrl-CS" w:eastAsia="ja-JP"/>
        </w:rPr>
        <w:t>6. Смањити сиромаштво повећањем адекватности давања из шема новчане социјалне помоћи за појединце и породице са децом,</w:t>
      </w:r>
    </w:p>
    <w:p w14:paraId="55C9334B" w14:textId="7450F04F" w:rsidR="00F13B06" w:rsidRPr="00092ED7" w:rsidRDefault="00F13B06" w:rsidP="00F13B06">
      <w:pPr>
        <w:spacing w:after="60"/>
        <w:rPr>
          <w:rFonts w:eastAsia="MS PGothic" w:cs="Times New Roman"/>
          <w:bCs/>
          <w:iCs/>
          <w:szCs w:val="24"/>
          <w:lang w:val="sr-Cyrl-CS" w:eastAsia="ja-JP"/>
        </w:rPr>
      </w:pPr>
      <w:r w:rsidRPr="00092ED7">
        <w:rPr>
          <w:rFonts w:eastAsia="MS PGothic" w:cs="Times New Roman"/>
          <w:bCs/>
          <w:iCs/>
          <w:szCs w:val="24"/>
          <w:lang w:val="sr-Cyrl-CS" w:eastAsia="ja-JP"/>
        </w:rPr>
        <w:lastRenderedPageBreak/>
        <w:t>У складу са Законом о социјалној заштити</w:t>
      </w:r>
      <w:r w:rsidR="00CF3AED" w:rsidRPr="00092ED7">
        <w:rPr>
          <w:rFonts w:eastAsia="MS PGothic" w:cs="Times New Roman"/>
          <w:bCs/>
          <w:iCs/>
          <w:szCs w:val="24"/>
          <w:lang w:val="sr-Cyrl-CS" w:eastAsia="ja-JP"/>
        </w:rPr>
        <w:t xml:space="preserve"> („Службени гласник РС</w:t>
      </w:r>
      <w:r w:rsidR="00CF3AED" w:rsidRPr="00092ED7">
        <w:rPr>
          <w:rFonts w:cs="Times New Roman"/>
          <w:szCs w:val="24"/>
          <w:lang w:val="sr-Cyrl-CS"/>
        </w:rPr>
        <w:t>”</w:t>
      </w:r>
      <w:r w:rsidR="00502CFD" w:rsidRPr="00092ED7">
        <w:rPr>
          <w:rFonts w:cs="Times New Roman"/>
          <w:szCs w:val="24"/>
          <w:lang w:val="sr-Cyrl-CS"/>
        </w:rPr>
        <w:t>, бр. 24/11 и 117/22-УС)</w:t>
      </w:r>
      <w:r w:rsidRPr="00092ED7">
        <w:rPr>
          <w:rFonts w:eastAsia="MS PGothic" w:cs="Times New Roman"/>
          <w:bCs/>
          <w:iCs/>
          <w:szCs w:val="24"/>
          <w:lang w:val="sr-Cyrl-CS" w:eastAsia="ja-JP"/>
        </w:rPr>
        <w:t>, основица за одређивање новчане социјалне помоћи усклађује се са индексом потрошачких цена у претходних шест месеци, на основу статистичких података, два пута годишње, 1. априла и 1. октобра.</w:t>
      </w:r>
    </w:p>
    <w:p w14:paraId="22C19DA3" w14:textId="72AD0563" w:rsidR="00F13B06" w:rsidRPr="00092ED7" w:rsidRDefault="00F13B06" w:rsidP="00F13B06">
      <w:pPr>
        <w:spacing w:after="60"/>
        <w:rPr>
          <w:rFonts w:eastAsia="MS PGothic" w:cs="Times New Roman"/>
          <w:bCs/>
          <w:iCs/>
          <w:szCs w:val="24"/>
          <w:lang w:val="sr-Cyrl-CS" w:eastAsia="ja-JP"/>
        </w:rPr>
      </w:pPr>
      <w:r w:rsidRPr="00092ED7">
        <w:rPr>
          <w:rFonts w:eastAsia="MS PGothic" w:cs="Times New Roman"/>
          <w:bCs/>
          <w:iCs/>
          <w:szCs w:val="24"/>
          <w:lang w:val="sr-Cyrl-CS" w:eastAsia="ja-JP"/>
        </w:rPr>
        <w:t xml:space="preserve">Од 1. априла 2022. године номинални износ новчане социјалне помоћи за појединца износи 9.580 динара, што је за 465 динара (око </w:t>
      </w:r>
      <w:r w:rsidR="00502CFD" w:rsidRPr="00092ED7">
        <w:rPr>
          <w:rFonts w:eastAsia="MS PGothic" w:cs="Times New Roman"/>
          <w:bCs/>
          <w:iCs/>
          <w:szCs w:val="24"/>
          <w:lang w:val="sr-Cyrl-CS" w:eastAsia="ja-JP"/>
        </w:rPr>
        <w:t xml:space="preserve">четири </w:t>
      </w:r>
      <w:r w:rsidRPr="00092ED7">
        <w:rPr>
          <w:rFonts w:eastAsia="MS PGothic" w:cs="Times New Roman"/>
          <w:bCs/>
          <w:iCs/>
          <w:szCs w:val="24"/>
          <w:lang w:val="sr-Cyrl-CS" w:eastAsia="ja-JP"/>
        </w:rPr>
        <w:t>евра) више у односу на октобар 2021. године. Номинални износ новчане социјалне помоћи за појединца у октобру 2021.</w:t>
      </w:r>
      <w:r w:rsidR="00502CFD" w:rsidRPr="00092ED7">
        <w:rPr>
          <w:rFonts w:eastAsia="MS PGothic" w:cs="Times New Roman"/>
          <w:bCs/>
          <w:iCs/>
          <w:szCs w:val="24"/>
          <w:lang w:val="sr-Cyrl-CS" w:eastAsia="ja-JP"/>
        </w:rPr>
        <w:t xml:space="preserve"> године</w:t>
      </w:r>
      <w:r w:rsidRPr="00092ED7">
        <w:rPr>
          <w:rFonts w:eastAsia="MS PGothic" w:cs="Times New Roman"/>
          <w:bCs/>
          <w:iCs/>
          <w:szCs w:val="24"/>
          <w:lang w:val="sr-Cyrl-CS" w:eastAsia="ja-JP"/>
        </w:rPr>
        <w:t xml:space="preserve"> износио је 9.115 динара).</w:t>
      </w:r>
    </w:p>
    <w:p w14:paraId="78C94470" w14:textId="13A9BA8C" w:rsidR="00F13B06" w:rsidRPr="00092ED7" w:rsidRDefault="00502CFD" w:rsidP="00F13B06">
      <w:pPr>
        <w:spacing w:after="60"/>
        <w:rPr>
          <w:rFonts w:eastAsia="MS PGothic" w:cs="Times New Roman"/>
          <w:bCs/>
          <w:iCs/>
          <w:szCs w:val="24"/>
          <w:lang w:val="sr-Cyrl-CS" w:eastAsia="ja-JP"/>
        </w:rPr>
      </w:pPr>
      <w:r w:rsidRPr="00092ED7">
        <w:rPr>
          <w:lang w:val="sr-Cyrl-CS"/>
        </w:rPr>
        <w:t xml:space="preserve">Законом о буџету Републике Србије </w:t>
      </w:r>
      <w:r w:rsidR="00F13B06" w:rsidRPr="00092ED7">
        <w:rPr>
          <w:lang w:val="sr-Cyrl-CS"/>
        </w:rPr>
        <w:t xml:space="preserve">за 2023. </w:t>
      </w:r>
      <w:r w:rsidRPr="00092ED7">
        <w:rPr>
          <w:lang w:val="sr-Cyrl-CS"/>
        </w:rPr>
        <w:t>г</w:t>
      </w:r>
      <w:r w:rsidR="00F13B06" w:rsidRPr="00092ED7">
        <w:rPr>
          <w:lang w:val="sr-Cyrl-CS"/>
        </w:rPr>
        <w:t>одину</w:t>
      </w:r>
      <w:r w:rsidRPr="00092ED7">
        <w:rPr>
          <w:lang w:val="sr-Cyrl-CS"/>
        </w:rPr>
        <w:t xml:space="preserve"> („Службени гласник РС</w:t>
      </w:r>
      <w:r w:rsidRPr="00092ED7">
        <w:rPr>
          <w:rFonts w:cs="Times New Roman"/>
          <w:szCs w:val="24"/>
          <w:lang w:val="sr-Cyrl-CS"/>
        </w:rPr>
        <w:t xml:space="preserve">”, број 138/22) </w:t>
      </w:r>
      <w:r w:rsidR="00F13B06" w:rsidRPr="00092ED7">
        <w:rPr>
          <w:lang w:val="sr-Cyrl-CS"/>
        </w:rPr>
        <w:t xml:space="preserve">опредељена су средства за права у области социјалне заштите у износу који је усклађен са постојећим нормативним оквиром. Свака измена прописа, односно промена или повећање права значи и повећање средстава за исплату ових права. Разматрано је више варијанти које ће допринети повећању новчане социјалне помоћи, али сматра се да је потребно сачекати ефекте примене </w:t>
      </w:r>
      <w:r w:rsidRPr="00092ED7">
        <w:rPr>
          <w:lang w:val="sr-Cyrl-CS"/>
        </w:rPr>
        <w:t>Закона о социјалној карти („Службени гласник РС</w:t>
      </w:r>
      <w:r w:rsidRPr="00092ED7">
        <w:rPr>
          <w:rFonts w:cs="Times New Roman"/>
          <w:szCs w:val="24"/>
          <w:lang w:val="sr-Cyrl-CS"/>
        </w:rPr>
        <w:t xml:space="preserve">”, број 14/21) </w:t>
      </w:r>
      <w:r w:rsidR="00385C63" w:rsidRPr="00092ED7">
        <w:rPr>
          <w:lang w:val="sr-Cyrl-CS"/>
        </w:rPr>
        <w:t>и евентуалне уштеде, што ће</w:t>
      </w:r>
      <w:r w:rsidR="00F13B06" w:rsidRPr="00092ED7">
        <w:rPr>
          <w:lang w:val="sr-Cyrl-CS"/>
        </w:rPr>
        <w:t xml:space="preserve"> у условима буџетских ограничења </w:t>
      </w:r>
      <w:r w:rsidRPr="00092ED7">
        <w:rPr>
          <w:lang w:val="sr-Cyrl-CS"/>
        </w:rPr>
        <w:t xml:space="preserve">допринети </w:t>
      </w:r>
      <w:r w:rsidR="00F13B06" w:rsidRPr="00092ED7">
        <w:rPr>
          <w:lang w:val="sr-Cyrl-CS"/>
        </w:rPr>
        <w:t>повећању новчане социјалне помоћи.</w:t>
      </w:r>
    </w:p>
    <w:p w14:paraId="5C536ECD" w14:textId="77777777" w:rsidR="00F13B06" w:rsidRPr="00092ED7" w:rsidRDefault="00F13B06" w:rsidP="00F13B06">
      <w:pPr>
        <w:shd w:val="clear" w:color="auto" w:fill="D9D9D9" w:themeFill="background1" w:themeFillShade="D9"/>
        <w:spacing w:after="60"/>
        <w:rPr>
          <w:rFonts w:eastAsia="MS PGothic" w:cs="Times New Roman"/>
          <w:bCs/>
          <w:i/>
          <w:iCs/>
          <w:szCs w:val="24"/>
          <w:lang w:val="sr-Cyrl-CS" w:eastAsia="ja-JP"/>
        </w:rPr>
      </w:pPr>
      <w:r w:rsidRPr="00092ED7">
        <w:rPr>
          <w:rFonts w:eastAsia="MS PGothic" w:cs="Times New Roman"/>
          <w:bCs/>
          <w:i/>
          <w:iCs/>
          <w:szCs w:val="24"/>
          <w:lang w:val="sr-Cyrl-CS" w:eastAsia="ja-JP"/>
        </w:rPr>
        <w:t>као и значајним повећањем неопорезиве основице зараде које је близу или на нивоу једнаком минималној заради за раднике.</w:t>
      </w:r>
    </w:p>
    <w:p w14:paraId="07CEA0E4" w14:textId="280EC07D" w:rsidR="00F13B06" w:rsidRPr="00092ED7" w:rsidRDefault="00F13B06" w:rsidP="00F13B06">
      <w:pPr>
        <w:spacing w:after="40"/>
        <w:rPr>
          <w:rFonts w:eastAsia="MS PGothic" w:cs="Times New Roman"/>
          <w:bCs/>
          <w:iCs/>
          <w:szCs w:val="24"/>
          <w:lang w:val="sr-Cyrl-CS" w:eastAsia="ja-JP"/>
        </w:rPr>
      </w:pPr>
      <w:r w:rsidRPr="00092ED7">
        <w:rPr>
          <w:rFonts w:eastAsia="MS PGothic" w:cs="Times New Roman"/>
          <w:bCs/>
          <w:iCs/>
          <w:szCs w:val="24"/>
          <w:lang w:val="sr-Cyrl-CS" w:eastAsia="ja-JP"/>
        </w:rPr>
        <w:t xml:space="preserve">У документима </w:t>
      </w:r>
      <w:r w:rsidR="00607305" w:rsidRPr="00092ED7">
        <w:rPr>
          <w:rFonts w:eastAsia="MS PGothic" w:cs="Times New Roman"/>
          <w:bCs/>
          <w:iCs/>
          <w:szCs w:val="24"/>
          <w:lang w:val="sr-Cyrl-CS" w:eastAsia="ja-JP"/>
        </w:rPr>
        <w:t>ф</w:t>
      </w:r>
      <w:r w:rsidRPr="00092ED7">
        <w:rPr>
          <w:rFonts w:eastAsia="MS PGothic" w:cs="Times New Roman"/>
          <w:bCs/>
          <w:iCs/>
          <w:szCs w:val="24"/>
          <w:lang w:val="sr-Cyrl-CS" w:eastAsia="ja-JP"/>
        </w:rPr>
        <w:t>искалне стратегије о циљевима фискалне политике</w:t>
      </w:r>
      <w:r w:rsidR="00502CFD" w:rsidRPr="00092ED7">
        <w:rPr>
          <w:rFonts w:eastAsia="MS PGothic" w:cs="Times New Roman"/>
          <w:bCs/>
          <w:iCs/>
          <w:szCs w:val="24"/>
          <w:lang w:val="sr-Cyrl-CS" w:eastAsia="ja-JP"/>
        </w:rPr>
        <w:t>,</w:t>
      </w:r>
      <w:r w:rsidRPr="00092ED7">
        <w:rPr>
          <w:rFonts w:eastAsia="MS PGothic" w:cs="Times New Roman"/>
          <w:bCs/>
          <w:iCs/>
          <w:szCs w:val="24"/>
          <w:lang w:val="sr-Cyrl-CS" w:eastAsia="ja-JP"/>
        </w:rPr>
        <w:t xml:space="preserve"> који се односе на </w:t>
      </w:r>
      <w:r w:rsidR="008354EB" w:rsidRPr="00092ED7">
        <w:rPr>
          <w:rFonts w:eastAsia="MS PGothic" w:cs="Times New Roman"/>
          <w:bCs/>
          <w:iCs/>
          <w:szCs w:val="24"/>
          <w:lang w:val="sr-Cyrl-CS" w:eastAsia="ja-JP"/>
        </w:rPr>
        <w:t xml:space="preserve">период од 2018. до 2023. </w:t>
      </w:r>
      <w:r w:rsidRPr="00092ED7">
        <w:rPr>
          <w:rFonts w:eastAsia="MS PGothic" w:cs="Times New Roman"/>
          <w:bCs/>
          <w:iCs/>
          <w:szCs w:val="24"/>
          <w:lang w:val="sr-Cyrl-CS" w:eastAsia="ja-JP"/>
        </w:rPr>
        <w:t>године</w:t>
      </w:r>
      <w:r w:rsidR="00B923FD" w:rsidRPr="00092ED7">
        <w:rPr>
          <w:rFonts w:eastAsia="MS PGothic" w:cs="Times New Roman"/>
          <w:bCs/>
          <w:iCs/>
          <w:szCs w:val="24"/>
          <w:lang w:val="sr-Cyrl-CS" w:eastAsia="ja-JP"/>
        </w:rPr>
        <w:t xml:space="preserve">, </w:t>
      </w:r>
      <w:r w:rsidRPr="00092ED7">
        <w:rPr>
          <w:rFonts w:eastAsia="MS PGothic" w:cs="Times New Roman"/>
          <w:bCs/>
          <w:iCs/>
          <w:szCs w:val="24"/>
          <w:lang w:val="sr-Cyrl-CS" w:eastAsia="ja-JP"/>
        </w:rPr>
        <w:t xml:space="preserve">опредељено је смањење фискалног оптерећења рада кроз смањење пореза и доприноса на зараде. Смањење фискалног оптерећења рада реализује се повећањем неопорезивог износа зараде и смањењем стопе доприноса за обавезно социјално осигурање, а све у зависности од створеног додатног фискалног простора који може да се искористи за смањење пореског оптерећења зарада. </w:t>
      </w:r>
    </w:p>
    <w:p w14:paraId="1CFF0C51" w14:textId="18933F6D" w:rsidR="00F13B06" w:rsidRPr="00092ED7" w:rsidRDefault="00F13B06" w:rsidP="00F13B06">
      <w:pPr>
        <w:spacing w:after="40"/>
        <w:rPr>
          <w:rFonts w:eastAsia="MS PGothic" w:cs="Times New Roman"/>
          <w:bCs/>
          <w:iCs/>
          <w:szCs w:val="24"/>
          <w:lang w:val="sr-Cyrl-CS" w:eastAsia="ja-JP"/>
        </w:rPr>
      </w:pPr>
      <w:r w:rsidRPr="00092ED7">
        <w:rPr>
          <w:rFonts w:eastAsia="MS PGothic" w:cs="Times New Roman"/>
          <w:bCs/>
          <w:iCs/>
          <w:szCs w:val="24"/>
          <w:lang w:val="sr-Cyrl-CS" w:eastAsia="ja-JP"/>
        </w:rPr>
        <w:t>Прогресивно опорезивање зарада остварује се тако што се порез не плаћа на зараде до висине прописаног неопорезивог износа. На овај начин ослобођене су од дела пореза најниже зараде тако што се порез не плаћа на прописани неопорезиви износ. У 2022. години не опорезује се део зараде у износу од 19.300 динара месечно. Истичемо да је повећан неопорезиви износ зараде, за 2023. годину, на  21.712 динара месечно. Иначе, годишње се врши повећање неопорезивог износа зараде усклађивањем годишњ</w:t>
      </w:r>
      <w:r w:rsidR="00B923FD" w:rsidRPr="00092ED7">
        <w:rPr>
          <w:rFonts w:eastAsia="MS PGothic" w:cs="Times New Roman"/>
          <w:bCs/>
          <w:iCs/>
          <w:szCs w:val="24"/>
          <w:lang w:val="sr-Cyrl-CS" w:eastAsia="ja-JP"/>
        </w:rPr>
        <w:t>ег</w:t>
      </w:r>
      <w:r w:rsidR="00913899" w:rsidRPr="00092ED7">
        <w:rPr>
          <w:rFonts w:eastAsia="MS PGothic" w:cs="Times New Roman"/>
          <w:bCs/>
          <w:iCs/>
          <w:szCs w:val="24"/>
          <w:lang w:val="sr-Cyrl-CS" w:eastAsia="ja-JP"/>
        </w:rPr>
        <w:t xml:space="preserve"> </w:t>
      </w:r>
      <w:r w:rsidRPr="00092ED7">
        <w:rPr>
          <w:rFonts w:eastAsia="MS PGothic" w:cs="Times New Roman"/>
          <w:bCs/>
          <w:iCs/>
          <w:szCs w:val="24"/>
          <w:lang w:val="sr-Cyrl-CS" w:eastAsia="ja-JP"/>
        </w:rPr>
        <w:t>индекс</w:t>
      </w:r>
      <w:r w:rsidR="00B923FD" w:rsidRPr="00092ED7">
        <w:rPr>
          <w:rFonts w:eastAsia="MS PGothic" w:cs="Times New Roman"/>
          <w:bCs/>
          <w:iCs/>
          <w:szCs w:val="24"/>
          <w:lang w:val="sr-Cyrl-CS" w:eastAsia="ja-JP"/>
        </w:rPr>
        <w:t>а</w:t>
      </w:r>
      <w:r w:rsidR="00913899" w:rsidRPr="00092ED7">
        <w:rPr>
          <w:rFonts w:eastAsia="MS PGothic" w:cs="Times New Roman"/>
          <w:bCs/>
          <w:iCs/>
          <w:szCs w:val="24"/>
          <w:lang w:val="sr-Cyrl-CS" w:eastAsia="ja-JP"/>
        </w:rPr>
        <w:t xml:space="preserve"> </w:t>
      </w:r>
      <w:r w:rsidRPr="00092ED7">
        <w:rPr>
          <w:rFonts w:eastAsia="MS PGothic" w:cs="Times New Roman"/>
          <w:bCs/>
          <w:iCs/>
          <w:szCs w:val="24"/>
          <w:lang w:val="sr-Cyrl-CS" w:eastAsia="ja-JP"/>
        </w:rPr>
        <w:t xml:space="preserve">потрошачких цена. </w:t>
      </w:r>
    </w:p>
    <w:p w14:paraId="7F884FD2" w14:textId="77777777" w:rsidR="00F13B06" w:rsidRPr="00092ED7" w:rsidRDefault="00F13B06" w:rsidP="00F13B06">
      <w:pPr>
        <w:spacing w:after="40"/>
        <w:rPr>
          <w:rFonts w:eastAsia="MS PGothic" w:cs="Times New Roman"/>
          <w:bCs/>
          <w:iCs/>
          <w:szCs w:val="24"/>
          <w:lang w:val="sr-Cyrl-CS" w:eastAsia="ja-JP"/>
        </w:rPr>
      </w:pPr>
      <w:r w:rsidRPr="00092ED7">
        <w:rPr>
          <w:rFonts w:eastAsia="MS PGothic" w:cs="Times New Roman"/>
          <w:bCs/>
          <w:iCs/>
          <w:szCs w:val="24"/>
          <w:lang w:val="sr-Cyrl-CS" w:eastAsia="ja-JP"/>
        </w:rPr>
        <w:t xml:space="preserve">Поред тога, прогресија се остварује и опорезивањем годишњим порезом на доходак грађана. Зараде (као и други приходи по основу рада) које физичка лица остваре у току календарске године, опорезују се и додатним годишњим порезом на доходак грађана по истеку календарске године. Предмет опорезивања годишњим порезом је доходак остварен у календарској години који је виши од прописаног неопорезивог износа (троструки износ просечне годишње зараде). Стопа годишњег пореза на доходак грађана је прогресивна и износи 10% за опорезиви доходак до износа шестоструке просечне годишње зараде и 15% за опорезиви доходак преко наведеног износа. </w:t>
      </w:r>
    </w:p>
    <w:p w14:paraId="2B6B27AC" w14:textId="77777777" w:rsidR="00F13B06" w:rsidRPr="00092ED7" w:rsidRDefault="00F13B06" w:rsidP="00F13B06">
      <w:pPr>
        <w:spacing w:after="40"/>
        <w:rPr>
          <w:rFonts w:eastAsia="MS PGothic" w:cs="Times New Roman"/>
          <w:bCs/>
          <w:iCs/>
          <w:szCs w:val="24"/>
          <w:lang w:val="sr-Cyrl-CS" w:eastAsia="ja-JP"/>
        </w:rPr>
      </w:pPr>
      <w:r w:rsidRPr="00092ED7">
        <w:rPr>
          <w:rFonts w:eastAsia="MS PGothic" w:cs="Times New Roman"/>
          <w:bCs/>
          <w:iCs/>
          <w:szCs w:val="24"/>
          <w:lang w:val="sr-Cyrl-CS" w:eastAsia="ja-JP"/>
        </w:rPr>
        <w:t>У оквиру мера фискалног растерећења зарада смањене су стопе доприноса за обавезно социјално осигурање, и то стопе доприноса за осигурање за случај незапослености, са 1,5% на 0,75% (на начин да је послодавац ослобођен од плаћања дела доприноса који се обрачунава и плаћа на његов терет у висини од 0,75%, док се на терет запосленог плаћа допринос по стопи од 0,75%) са применом од 1. јануара 2019. године и стопе доприноса за обавезно пензијско и инвалидско осигурање, са 26% на 25,5%, са применом од 1. јануара 2020. године и са 25,5% на 25%, са применом од 1. јануара 2022. године. Такође, додатно је смањена стопа доприноса за обавезно пензијско и инвалидско осигурање са  25% на 24%, са применом од 1. јануара 2023. године.</w:t>
      </w:r>
    </w:p>
    <w:p w14:paraId="48DDB90A" w14:textId="77777777" w:rsidR="00F13B06" w:rsidRPr="00092ED7" w:rsidRDefault="00F13B06" w:rsidP="00F13B06">
      <w:pPr>
        <w:shd w:val="clear" w:color="auto" w:fill="D9D9D9" w:themeFill="background1" w:themeFillShade="D9"/>
        <w:spacing w:after="60"/>
        <w:rPr>
          <w:rFonts w:eastAsia="MS PGothic" w:cs="Times New Roman"/>
          <w:bCs/>
          <w:i/>
          <w:iCs/>
          <w:szCs w:val="24"/>
          <w:lang w:val="sr-Cyrl-CS" w:eastAsia="ja-JP"/>
        </w:rPr>
      </w:pPr>
      <w:r w:rsidRPr="00092ED7">
        <w:rPr>
          <w:rFonts w:eastAsia="MS PGothic" w:cs="Times New Roman"/>
          <w:bCs/>
          <w:i/>
          <w:iCs/>
          <w:szCs w:val="24"/>
          <w:lang w:val="sr-Cyrl-CS" w:eastAsia="ja-JP"/>
        </w:rPr>
        <w:lastRenderedPageBreak/>
        <w:t>Наставити са олакшавањем преласка из школе на радно место појачавањем даљег стручног образовања, укључујући дуално стручно образовање, кроз ревидирани наставни план и програм и обезбеђивање инфраструктуре која омогућава стицање практичних вештина.</w:t>
      </w:r>
    </w:p>
    <w:p w14:paraId="7D10A060" w14:textId="2856200F" w:rsidR="00F13B06" w:rsidRPr="00092ED7" w:rsidRDefault="00F13B06" w:rsidP="00F13B06">
      <w:pPr>
        <w:spacing w:after="60"/>
        <w:rPr>
          <w:rFonts w:eastAsia="MS PGothic" w:cs="Times New Roman"/>
          <w:bCs/>
          <w:iCs/>
          <w:szCs w:val="24"/>
          <w:lang w:val="sr-Cyrl-CS" w:eastAsia="ja-JP"/>
        </w:rPr>
      </w:pPr>
      <w:r w:rsidRPr="00092ED7">
        <w:rPr>
          <w:rFonts w:eastAsia="MS PGothic" w:cs="Times New Roman"/>
          <w:bCs/>
          <w:iCs/>
          <w:szCs w:val="24"/>
          <w:lang w:val="sr-Cyrl-CS" w:eastAsia="ja-JP"/>
        </w:rPr>
        <w:t>За школску 2022/2023 годину развијено је 65 дуалних образовних профила са стандардима квалификација. Припремљена је методологија за израду планова и програма наставе и учења за дуалне образовне профиле. Методологија је у употреби и у складу са овом методологијом Завод за унапређивање образовања и васпитања развија нове планове и програме и модернизује постојеће. У складу са Законом о дуалном образовању</w:t>
      </w:r>
      <w:r w:rsidR="00B923FD" w:rsidRPr="00092ED7">
        <w:rPr>
          <w:rFonts w:eastAsia="MS PGothic" w:cs="Times New Roman"/>
          <w:bCs/>
          <w:iCs/>
          <w:szCs w:val="24"/>
          <w:lang w:val="sr-Cyrl-CS" w:eastAsia="ja-JP"/>
        </w:rPr>
        <w:t xml:space="preserve"> </w:t>
      </w:r>
      <w:bookmarkStart w:id="5" w:name="_Hlk125442777"/>
      <w:r w:rsidR="00B923FD" w:rsidRPr="00092ED7">
        <w:rPr>
          <w:lang w:val="sr-Cyrl-CS"/>
        </w:rPr>
        <w:t>(„Службени гласник РС</w:t>
      </w:r>
      <w:r w:rsidR="00B923FD" w:rsidRPr="00092ED7">
        <w:rPr>
          <w:rFonts w:cs="Times New Roman"/>
          <w:szCs w:val="24"/>
          <w:lang w:val="sr-Cyrl-CS"/>
        </w:rPr>
        <w:t>”, бр. 101/17 и 6/20)</w:t>
      </w:r>
      <w:bookmarkEnd w:id="5"/>
      <w:r w:rsidRPr="00092ED7">
        <w:rPr>
          <w:rFonts w:eastAsia="MS PGothic" w:cs="Times New Roman"/>
          <w:bCs/>
          <w:iCs/>
          <w:szCs w:val="24"/>
          <w:lang w:val="sr-Cyrl-CS" w:eastAsia="ja-JP"/>
        </w:rPr>
        <w:t>, основ за доношење планова и програма наставе и учења представља стандард квалификације који утврђује секторско веће за одређени сектор рада, у складу са законом који</w:t>
      </w:r>
      <w:r w:rsidR="00B15CB4" w:rsidRPr="00092ED7">
        <w:rPr>
          <w:rFonts w:eastAsia="MS PGothic" w:cs="Times New Roman"/>
          <w:bCs/>
          <w:iCs/>
          <w:szCs w:val="24"/>
          <w:lang w:val="sr-Cyrl-CS" w:eastAsia="ja-JP"/>
        </w:rPr>
        <w:t>м се</w:t>
      </w:r>
      <w:r w:rsidRPr="00092ED7">
        <w:rPr>
          <w:rFonts w:eastAsia="MS PGothic" w:cs="Times New Roman"/>
          <w:bCs/>
          <w:iCs/>
          <w:szCs w:val="24"/>
          <w:lang w:val="sr-Cyrl-CS" w:eastAsia="ja-JP"/>
        </w:rPr>
        <w:t xml:space="preserve"> уређује национални оквир квалификација. Део сваког плана и програма наставе и учења за дуалне образоване профиле је „учење кроз рад</w:t>
      </w:r>
      <w:r w:rsidR="00967DE6" w:rsidRPr="00092ED7">
        <w:rPr>
          <w:rFonts w:cs="Times New Roman"/>
          <w:szCs w:val="24"/>
          <w:lang w:val="sr-Cyrl-CS"/>
        </w:rPr>
        <w:t>”</w:t>
      </w:r>
      <w:r w:rsidRPr="00092ED7">
        <w:rPr>
          <w:rFonts w:eastAsia="MS PGothic" w:cs="Times New Roman"/>
          <w:bCs/>
          <w:iCs/>
          <w:szCs w:val="24"/>
          <w:lang w:val="sr-Cyrl-CS" w:eastAsia="ja-JP"/>
        </w:rPr>
        <w:t>, које представља организован процес током кога ученици, под вођством и надзором инструктора и координатора учења кроз рад, у реалној радној околини код послодавца стичу компетенције за рад у одређеном занимању или групи занимања. Тренутно се ради на промени прописа који регулишу рад регионалних тренинг центара. Успостављање законског оквира ће регулисати организацију и функционисање регионалних тренинг центара. Тренутно се ради и на изменама и допунама закона који</w:t>
      </w:r>
      <w:r w:rsidR="00B15CB4" w:rsidRPr="00092ED7">
        <w:rPr>
          <w:rFonts w:eastAsia="MS PGothic" w:cs="Times New Roman"/>
          <w:bCs/>
          <w:iCs/>
          <w:szCs w:val="24"/>
          <w:lang w:val="sr-Cyrl-CS" w:eastAsia="ja-JP"/>
        </w:rPr>
        <w:t>ма се</w:t>
      </w:r>
      <w:r w:rsidRPr="00092ED7">
        <w:rPr>
          <w:rFonts w:eastAsia="MS PGothic" w:cs="Times New Roman"/>
          <w:bCs/>
          <w:iCs/>
          <w:szCs w:val="24"/>
          <w:lang w:val="sr-Cyrl-CS" w:eastAsia="ja-JP"/>
        </w:rPr>
        <w:t xml:space="preserve"> </w:t>
      </w:r>
      <w:r w:rsidR="00B15CB4" w:rsidRPr="00092ED7">
        <w:rPr>
          <w:rFonts w:eastAsia="MS PGothic" w:cs="Times New Roman"/>
          <w:bCs/>
          <w:iCs/>
          <w:szCs w:val="24"/>
          <w:lang w:val="sr-Cyrl-CS" w:eastAsia="ja-JP"/>
        </w:rPr>
        <w:t xml:space="preserve">уређује </w:t>
      </w:r>
      <w:r w:rsidRPr="00092ED7">
        <w:rPr>
          <w:rFonts w:eastAsia="MS PGothic" w:cs="Times New Roman"/>
          <w:bCs/>
          <w:iCs/>
          <w:szCs w:val="24"/>
          <w:lang w:val="sr-Cyrl-CS" w:eastAsia="ja-JP"/>
        </w:rPr>
        <w:t>дуално образовање, на нивоу средњег стручног образовања, као и неформално образовање како бисмо обезбедили чвршћу повезаност са привредом. Уредбом</w:t>
      </w:r>
      <w:r w:rsidR="00B15CB4" w:rsidRPr="00092ED7">
        <w:rPr>
          <w:rFonts w:eastAsia="MS PGothic" w:cs="Times New Roman"/>
          <w:bCs/>
          <w:iCs/>
          <w:szCs w:val="24"/>
          <w:lang w:val="sr-Cyrl-CS" w:eastAsia="ja-JP"/>
        </w:rPr>
        <w:t xml:space="preserve"> о оснивању Канцеларије за дуално образовање и Национални оквир квалификација</w:t>
      </w:r>
      <w:r w:rsidRPr="00092ED7">
        <w:rPr>
          <w:rFonts w:eastAsia="MS PGothic" w:cs="Times New Roman"/>
          <w:bCs/>
          <w:iCs/>
          <w:szCs w:val="24"/>
          <w:lang w:val="sr-Cyrl-CS" w:eastAsia="ja-JP"/>
        </w:rPr>
        <w:t xml:space="preserve"> („Сл</w:t>
      </w:r>
      <w:r w:rsidR="00012425" w:rsidRPr="00092ED7">
        <w:rPr>
          <w:rFonts w:eastAsia="MS PGothic" w:cs="Times New Roman"/>
          <w:bCs/>
          <w:iCs/>
          <w:szCs w:val="24"/>
          <w:lang w:val="sr-Cyrl-CS" w:eastAsia="ja-JP"/>
        </w:rPr>
        <w:t>ужбени</w:t>
      </w:r>
      <w:r w:rsidRPr="00092ED7">
        <w:rPr>
          <w:rFonts w:eastAsia="MS PGothic" w:cs="Times New Roman"/>
          <w:bCs/>
          <w:iCs/>
          <w:szCs w:val="24"/>
          <w:lang w:val="sr-Cyrl-CS" w:eastAsia="ja-JP"/>
        </w:rPr>
        <w:t xml:space="preserve"> гласник РС</w:t>
      </w:r>
      <w:r w:rsidR="00012425" w:rsidRPr="00092ED7">
        <w:rPr>
          <w:rFonts w:cs="Times New Roman"/>
          <w:szCs w:val="24"/>
          <w:lang w:val="sr-Cyrl-CS"/>
        </w:rPr>
        <w:t>”</w:t>
      </w:r>
      <w:r w:rsidRPr="00092ED7">
        <w:rPr>
          <w:rFonts w:eastAsia="MS PGothic" w:cs="Times New Roman"/>
          <w:bCs/>
          <w:iCs/>
          <w:szCs w:val="24"/>
          <w:lang w:val="sr-Cyrl-CS" w:eastAsia="ja-JP"/>
        </w:rPr>
        <w:t>, бр</w:t>
      </w:r>
      <w:r w:rsidR="00012425" w:rsidRPr="00092ED7">
        <w:rPr>
          <w:rFonts w:eastAsia="MS PGothic" w:cs="Times New Roman"/>
          <w:bCs/>
          <w:iCs/>
          <w:szCs w:val="24"/>
          <w:lang w:val="sr-Cyrl-CS" w:eastAsia="ja-JP"/>
        </w:rPr>
        <w:t>ој</w:t>
      </w:r>
      <w:r w:rsidRPr="00092ED7">
        <w:rPr>
          <w:rFonts w:eastAsia="MS PGothic" w:cs="Times New Roman"/>
          <w:bCs/>
          <w:iCs/>
          <w:szCs w:val="24"/>
          <w:lang w:val="sr-Cyrl-CS" w:eastAsia="ja-JP"/>
        </w:rPr>
        <w:t xml:space="preserve"> 124/22), од 10. новембра 2022. године, основана је Канцеларија за дуално образовање и </w:t>
      </w:r>
      <w:r w:rsidR="00A12315" w:rsidRPr="00092ED7">
        <w:rPr>
          <w:rFonts w:eastAsia="MS PGothic" w:cs="Times New Roman"/>
          <w:bCs/>
          <w:iCs/>
          <w:szCs w:val="24"/>
          <w:lang w:val="sr-Cyrl-CS" w:eastAsia="ja-JP"/>
        </w:rPr>
        <w:t>Национални оквир квалификација.</w:t>
      </w:r>
    </w:p>
    <w:p w14:paraId="01E58AB9" w14:textId="77777777" w:rsidR="00F13B06" w:rsidRPr="00092ED7" w:rsidRDefault="00F13B06" w:rsidP="00F13B06">
      <w:pPr>
        <w:shd w:val="clear" w:color="auto" w:fill="D9D9D9" w:themeFill="background1" w:themeFillShade="D9"/>
        <w:spacing w:after="60"/>
        <w:rPr>
          <w:rFonts w:eastAsia="MS PGothic" w:cs="Times New Roman"/>
          <w:bCs/>
          <w:i/>
          <w:iCs/>
          <w:szCs w:val="24"/>
          <w:lang w:val="sr-Cyrl-CS" w:eastAsia="ja-JP"/>
        </w:rPr>
      </w:pPr>
      <w:r w:rsidRPr="00092ED7">
        <w:rPr>
          <w:rFonts w:eastAsia="MS PGothic" w:cs="Times New Roman"/>
          <w:bCs/>
          <w:i/>
          <w:iCs/>
          <w:szCs w:val="24"/>
          <w:lang w:val="sr-Cyrl-CS" w:eastAsia="ja-JP"/>
        </w:rPr>
        <w:t>Финализирати План примене гаранција за младе у сарадњи са свим релевантним министарствима, њиховим агенцијама и заинтересованим странама, усвојити и покренути имплементацију Плана.</w:t>
      </w:r>
    </w:p>
    <w:p w14:paraId="5E079AD2" w14:textId="10C641B0" w:rsidR="00F13B06" w:rsidRPr="00092ED7" w:rsidRDefault="00F13B06" w:rsidP="00F13B06">
      <w:pPr>
        <w:spacing w:after="40"/>
        <w:rPr>
          <w:rFonts w:eastAsia="MS PGothic" w:cs="Times New Roman"/>
          <w:bCs/>
          <w:iCs/>
          <w:szCs w:val="24"/>
          <w:lang w:val="sr-Cyrl-CS" w:eastAsia="ja-JP"/>
        </w:rPr>
      </w:pPr>
      <w:r w:rsidRPr="00092ED7">
        <w:rPr>
          <w:rFonts w:eastAsia="MS PGothic" w:cs="Times New Roman"/>
          <w:bCs/>
          <w:iCs/>
          <w:szCs w:val="24"/>
          <w:lang w:val="sr-Cyrl-CS" w:eastAsia="ja-JP"/>
        </w:rPr>
        <w:t xml:space="preserve">Влада  је на седници одржаној 13. јануара 2022. године донела Одлуку </w:t>
      </w:r>
      <w:r w:rsidR="00B15CB4" w:rsidRPr="00092ED7">
        <w:rPr>
          <w:rFonts w:eastAsia="MS PGothic" w:cs="Times New Roman"/>
          <w:bCs/>
          <w:iCs/>
          <w:szCs w:val="24"/>
          <w:lang w:val="sr-Cyrl-CS" w:eastAsia="ja-JP"/>
        </w:rPr>
        <w:t>о оснивању Координационог тела за израду и праћење спровођења Плана имплементације Гаранције за младе („Службени гласник РСˮ, број 4/22), којом је основано</w:t>
      </w:r>
      <w:r w:rsidRPr="00092ED7">
        <w:rPr>
          <w:rFonts w:eastAsia="MS PGothic" w:cs="Times New Roman"/>
          <w:bCs/>
          <w:iCs/>
          <w:szCs w:val="24"/>
          <w:lang w:val="sr-Cyrl-CS" w:eastAsia="ja-JP"/>
        </w:rPr>
        <w:t xml:space="preserve"> Координационо тел</w:t>
      </w:r>
      <w:r w:rsidR="00B15CB4" w:rsidRPr="00092ED7">
        <w:rPr>
          <w:rFonts w:eastAsia="MS PGothic" w:cs="Times New Roman"/>
          <w:bCs/>
          <w:iCs/>
          <w:szCs w:val="24"/>
          <w:lang w:val="sr-Cyrl-CS" w:eastAsia="ja-JP"/>
        </w:rPr>
        <w:t>о</w:t>
      </w:r>
      <w:r w:rsidRPr="00092ED7">
        <w:rPr>
          <w:rFonts w:eastAsia="MS PGothic" w:cs="Times New Roman"/>
          <w:bCs/>
          <w:iCs/>
          <w:szCs w:val="24"/>
          <w:lang w:val="sr-Cyrl-CS" w:eastAsia="ja-JP"/>
        </w:rPr>
        <w:t xml:space="preserve"> за израду и праћење реализације Плана имплементације Гаранције за младе, као и Стручн</w:t>
      </w:r>
      <w:r w:rsidR="00B15CB4" w:rsidRPr="00092ED7">
        <w:rPr>
          <w:rFonts w:eastAsia="MS PGothic" w:cs="Times New Roman"/>
          <w:bCs/>
          <w:iCs/>
          <w:szCs w:val="24"/>
          <w:lang w:val="sr-Cyrl-CS" w:eastAsia="ja-JP"/>
        </w:rPr>
        <w:t>а</w:t>
      </w:r>
      <w:r w:rsidRPr="00092ED7">
        <w:rPr>
          <w:rFonts w:eastAsia="MS PGothic" w:cs="Times New Roman"/>
          <w:bCs/>
          <w:iCs/>
          <w:szCs w:val="24"/>
          <w:lang w:val="sr-Cyrl-CS" w:eastAsia="ja-JP"/>
        </w:rPr>
        <w:t xml:space="preserve"> груп</w:t>
      </w:r>
      <w:r w:rsidR="00B15CB4" w:rsidRPr="00092ED7">
        <w:rPr>
          <w:rFonts w:eastAsia="MS PGothic" w:cs="Times New Roman"/>
          <w:bCs/>
          <w:iCs/>
          <w:szCs w:val="24"/>
          <w:lang w:val="sr-Cyrl-CS" w:eastAsia="ja-JP"/>
        </w:rPr>
        <w:t>а</w:t>
      </w:r>
      <w:r w:rsidRPr="00092ED7">
        <w:rPr>
          <w:rFonts w:eastAsia="MS PGothic" w:cs="Times New Roman"/>
          <w:bCs/>
          <w:iCs/>
          <w:szCs w:val="24"/>
          <w:lang w:val="sr-Cyrl-CS" w:eastAsia="ja-JP"/>
        </w:rPr>
        <w:t xml:space="preserve"> Координационог тела са задатком спровођење припремних активности за израду Плана имплементације Гаранције за младе.</w:t>
      </w:r>
    </w:p>
    <w:p w14:paraId="64CB4C4C" w14:textId="77777777" w:rsidR="00F13B06" w:rsidRPr="00092ED7" w:rsidRDefault="00F13B06" w:rsidP="00F13B06">
      <w:pPr>
        <w:spacing w:after="40"/>
        <w:rPr>
          <w:rFonts w:eastAsia="MS PGothic" w:cs="Times New Roman"/>
          <w:bCs/>
          <w:iCs/>
          <w:szCs w:val="24"/>
          <w:lang w:val="sr-Cyrl-CS" w:eastAsia="ja-JP"/>
        </w:rPr>
      </w:pPr>
      <w:r w:rsidRPr="00092ED7">
        <w:rPr>
          <w:rFonts w:eastAsia="MS PGothic" w:cs="Times New Roman"/>
          <w:bCs/>
          <w:iCs/>
          <w:szCs w:val="24"/>
          <w:lang w:val="sr-Cyrl-CS" w:eastAsia="ja-JP"/>
        </w:rPr>
        <w:t>У складу са Смерницама за израду Плана имплементације Гаранције за младе, 31. јануара 2022. године, формиран је Координатор за Гаранције за младе као посебна радна група у оквиру Министарства за рад, запошљавање, борачка и социјална питања. Одржан је билатерални састанак са Европском комисијом, Међународном организацијом рада и Европском фондацијом за обуке.</w:t>
      </w:r>
    </w:p>
    <w:p w14:paraId="663AE091" w14:textId="77777777" w:rsidR="00F13B06" w:rsidRPr="00092ED7" w:rsidRDefault="00F13B06" w:rsidP="00F13B06">
      <w:pPr>
        <w:spacing w:after="40"/>
        <w:rPr>
          <w:rFonts w:eastAsia="MS PGothic" w:cs="Times New Roman"/>
          <w:bCs/>
          <w:iCs/>
          <w:szCs w:val="24"/>
          <w:lang w:val="sr-Cyrl-CS" w:eastAsia="ja-JP"/>
        </w:rPr>
      </w:pPr>
      <w:r w:rsidRPr="00092ED7">
        <w:rPr>
          <w:rFonts w:eastAsia="MS PGothic" w:cs="Times New Roman"/>
          <w:bCs/>
          <w:iCs/>
          <w:szCs w:val="24"/>
          <w:lang w:val="sr-Cyrl-CS" w:eastAsia="ja-JP"/>
        </w:rPr>
        <w:t>Састанак координатора за Гаранције за младе економије Западног Балкана са представницима Европске комисије, Међународне организације рада и Европске фондације за обуке одржан је 1. фебруара 2022. године, у циљу сагледавања напретка у свим економијама и размене искустава.</w:t>
      </w:r>
    </w:p>
    <w:p w14:paraId="7BC5F629" w14:textId="7743A0CA" w:rsidR="00F13B06" w:rsidRPr="00092ED7" w:rsidRDefault="00F13B06" w:rsidP="00F13B06">
      <w:pPr>
        <w:spacing w:after="40"/>
        <w:rPr>
          <w:rFonts w:eastAsia="MS PGothic" w:cs="Times New Roman"/>
          <w:bCs/>
          <w:iCs/>
          <w:szCs w:val="24"/>
          <w:lang w:val="sr-Cyrl-CS" w:eastAsia="ja-JP"/>
        </w:rPr>
      </w:pPr>
      <w:r w:rsidRPr="00092ED7">
        <w:rPr>
          <w:rFonts w:eastAsia="MS PGothic" w:cs="Times New Roman"/>
          <w:bCs/>
          <w:iCs/>
          <w:szCs w:val="24"/>
          <w:lang w:val="sr-Cyrl-CS" w:eastAsia="ja-JP"/>
        </w:rPr>
        <w:t>Уводна радионица Координационог тела и Стручне групе „Успостављање Гаранције за младе у Србији</w:t>
      </w:r>
      <w:r w:rsidR="00CE65F3" w:rsidRPr="00092ED7">
        <w:rPr>
          <w:rFonts w:cs="Times New Roman"/>
          <w:szCs w:val="24"/>
          <w:lang w:val="sr-Cyrl-CS"/>
        </w:rPr>
        <w:t>”</w:t>
      </w:r>
      <w:r w:rsidRPr="00092ED7">
        <w:rPr>
          <w:rFonts w:eastAsia="MS PGothic" w:cs="Times New Roman"/>
          <w:bCs/>
          <w:iCs/>
          <w:szCs w:val="24"/>
          <w:lang w:val="sr-Cyrl-CS" w:eastAsia="ja-JP"/>
        </w:rPr>
        <w:t xml:space="preserve"> одржана је 3. фебруара 2022. године. Представљене су кључне карактеристике и кораци, улоге, одговорности и временски оквир Шеме Гаранције за младе, као и кључне карактеристике </w:t>
      </w:r>
      <w:r w:rsidRPr="00092ED7">
        <w:rPr>
          <w:rFonts w:eastAsia="MS PGothic" w:cs="Times New Roman"/>
          <w:bCs/>
          <w:i/>
          <w:iCs/>
          <w:szCs w:val="24"/>
          <w:lang w:val="sr-Cyrl-CS" w:eastAsia="ja-JP"/>
        </w:rPr>
        <w:t>NEET</w:t>
      </w:r>
      <w:r w:rsidRPr="00092ED7">
        <w:rPr>
          <w:rFonts w:eastAsia="MS PGothic" w:cs="Times New Roman"/>
          <w:bCs/>
          <w:iCs/>
          <w:szCs w:val="24"/>
          <w:lang w:val="sr-Cyrl-CS" w:eastAsia="ja-JP"/>
        </w:rPr>
        <w:t xml:space="preserve"> младих у </w:t>
      </w:r>
      <w:r w:rsidR="00EB386D" w:rsidRPr="00092ED7">
        <w:rPr>
          <w:rFonts w:eastAsia="MS PGothic" w:cs="Times New Roman"/>
          <w:bCs/>
          <w:iCs/>
          <w:szCs w:val="24"/>
          <w:lang w:val="sr-Cyrl-CS" w:eastAsia="ja-JP"/>
        </w:rPr>
        <w:t xml:space="preserve">Републици </w:t>
      </w:r>
      <w:r w:rsidRPr="00092ED7">
        <w:rPr>
          <w:rFonts w:eastAsia="MS PGothic" w:cs="Times New Roman"/>
          <w:bCs/>
          <w:iCs/>
          <w:szCs w:val="24"/>
          <w:lang w:val="sr-Cyrl-CS" w:eastAsia="ja-JP"/>
        </w:rPr>
        <w:t>Србији на основу анализе коју је припремила Међународна организација рада.</w:t>
      </w:r>
    </w:p>
    <w:p w14:paraId="74817AC7" w14:textId="470B35B4" w:rsidR="00F13B06" w:rsidRPr="00092ED7" w:rsidRDefault="00F13B06" w:rsidP="00F13B06">
      <w:pPr>
        <w:spacing w:after="40"/>
        <w:rPr>
          <w:rFonts w:eastAsia="MS PGothic" w:cs="Times New Roman"/>
          <w:bCs/>
          <w:iCs/>
          <w:szCs w:val="24"/>
          <w:lang w:val="sr-Cyrl-CS" w:eastAsia="ja-JP"/>
        </w:rPr>
      </w:pPr>
      <w:r w:rsidRPr="00092ED7">
        <w:rPr>
          <w:rFonts w:eastAsia="MS PGothic" w:cs="Times New Roman"/>
          <w:bCs/>
          <w:iCs/>
          <w:szCs w:val="24"/>
          <w:lang w:val="sr-Cyrl-CS" w:eastAsia="ja-JP"/>
        </w:rPr>
        <w:lastRenderedPageBreak/>
        <w:t>У</w:t>
      </w:r>
      <w:r w:rsidR="00A12315" w:rsidRPr="00092ED7">
        <w:rPr>
          <w:rFonts w:cs="Times New Roman"/>
          <w:color w:val="000000" w:themeColor="text1"/>
          <w:szCs w:val="24"/>
          <w:lang w:val="sr-Cyrl-CS"/>
        </w:rPr>
        <w:t xml:space="preserve"> периоду март-</w:t>
      </w:r>
      <w:r w:rsidRPr="00092ED7">
        <w:rPr>
          <w:rFonts w:cs="Times New Roman"/>
          <w:color w:val="000000" w:themeColor="text1"/>
          <w:szCs w:val="24"/>
          <w:lang w:val="sr-Cyrl-CS"/>
        </w:rPr>
        <w:t>септембар 2022. године у циљу</w:t>
      </w:r>
      <w:r w:rsidRPr="00092ED7">
        <w:rPr>
          <w:rFonts w:eastAsia="MS PGothic" w:cs="Times New Roman"/>
          <w:bCs/>
          <w:iCs/>
          <w:szCs w:val="24"/>
          <w:lang w:val="sr-Cyrl-CS" w:eastAsia="ja-JP"/>
        </w:rPr>
        <w:t xml:space="preserve"> успостављања Гаранције за младе у Р</w:t>
      </w:r>
      <w:r w:rsidR="00EB386D" w:rsidRPr="00092ED7">
        <w:rPr>
          <w:rFonts w:eastAsia="MS PGothic" w:cs="Times New Roman"/>
          <w:bCs/>
          <w:iCs/>
          <w:szCs w:val="24"/>
          <w:lang w:val="sr-Cyrl-CS" w:eastAsia="ja-JP"/>
        </w:rPr>
        <w:t xml:space="preserve">епублици </w:t>
      </w:r>
      <w:r w:rsidRPr="00092ED7">
        <w:rPr>
          <w:rFonts w:eastAsia="MS PGothic" w:cs="Times New Roman"/>
          <w:bCs/>
          <w:iCs/>
          <w:szCs w:val="24"/>
          <w:lang w:val="sr-Cyrl-CS" w:eastAsia="ja-JP"/>
        </w:rPr>
        <w:t>С</w:t>
      </w:r>
      <w:r w:rsidR="00EB386D" w:rsidRPr="00092ED7">
        <w:rPr>
          <w:rFonts w:eastAsia="MS PGothic" w:cs="Times New Roman"/>
          <w:bCs/>
          <w:iCs/>
          <w:szCs w:val="24"/>
          <w:lang w:val="sr-Cyrl-CS" w:eastAsia="ja-JP"/>
        </w:rPr>
        <w:t>рбији</w:t>
      </w:r>
      <w:r w:rsidRPr="00092ED7">
        <w:rPr>
          <w:rFonts w:eastAsia="MS PGothic" w:cs="Times New Roman"/>
          <w:bCs/>
          <w:iCs/>
          <w:szCs w:val="24"/>
          <w:lang w:val="sr-Cyrl-CS" w:eastAsia="ja-JP"/>
        </w:rPr>
        <w:t xml:space="preserve"> и израде Плана имплементације </w:t>
      </w:r>
      <w:r w:rsidRPr="00092ED7">
        <w:rPr>
          <w:rFonts w:cs="Times New Roman"/>
          <w:color w:val="000000" w:themeColor="text1"/>
          <w:szCs w:val="24"/>
          <w:lang w:val="sr-Cyrl-CS"/>
        </w:rPr>
        <w:t>одржано је више</w:t>
      </w:r>
      <w:r w:rsidR="00A12315" w:rsidRPr="00092ED7">
        <w:rPr>
          <w:rFonts w:cs="Times New Roman"/>
          <w:color w:val="000000" w:themeColor="text1"/>
          <w:szCs w:val="24"/>
          <w:lang w:val="sr-Cyrl-CS"/>
        </w:rPr>
        <w:t xml:space="preserve"> састанака на свим нивоима: са </w:t>
      </w:r>
      <w:r w:rsidRPr="00092ED7">
        <w:rPr>
          <w:rFonts w:eastAsia="MS PGothic" w:cs="Times New Roman"/>
          <w:bCs/>
          <w:iCs/>
          <w:szCs w:val="24"/>
          <w:lang w:val="sr-Cyrl-CS" w:eastAsia="ja-JP"/>
        </w:rPr>
        <w:t>Делегацијом Европске уније, експертима Међународне организације рада, два састанка Стручне групе Координационог тела, као и састанци са представницима Министарства омладине и спорта, Министарства привреде, Министарства пољопривреде, шумарства и водопривреде, Министарства просвете, науке и технолошког развоја и Агенције за квалификације, Националне службе за запошљавање, организација цивилног друштва.</w:t>
      </w:r>
    </w:p>
    <w:p w14:paraId="2650161C" w14:textId="77777777" w:rsidR="00F13B06" w:rsidRPr="00092ED7" w:rsidRDefault="00F13B06" w:rsidP="00F13B06">
      <w:pPr>
        <w:spacing w:after="40"/>
        <w:rPr>
          <w:rFonts w:cs="Times New Roman"/>
          <w:color w:val="000000" w:themeColor="text1"/>
          <w:szCs w:val="24"/>
          <w:lang w:val="sr-Cyrl-CS"/>
        </w:rPr>
      </w:pPr>
      <w:r w:rsidRPr="00092ED7">
        <w:rPr>
          <w:rFonts w:cs="Times New Roman"/>
          <w:color w:val="000000" w:themeColor="text1"/>
          <w:szCs w:val="24"/>
          <w:lang w:val="sr-Cyrl-CS"/>
        </w:rPr>
        <w:t xml:space="preserve">Након одржаних састанака и опсежних консултација са партнерима о </w:t>
      </w:r>
      <w:r w:rsidRPr="00092ED7">
        <w:rPr>
          <w:rFonts w:eastAsia="MS PGothic" w:cs="Times New Roman"/>
          <w:bCs/>
          <w:iCs/>
          <w:szCs w:val="24"/>
          <w:lang w:val="sr-Cyrl-CS" w:eastAsia="ja-JP"/>
        </w:rPr>
        <w:t>планираним реформама и иницијативама</w:t>
      </w:r>
      <w:r w:rsidRPr="00092ED7">
        <w:rPr>
          <w:rFonts w:cs="Times New Roman"/>
          <w:color w:val="000000" w:themeColor="text1"/>
          <w:szCs w:val="24"/>
          <w:lang w:val="sr-Cyrl-CS"/>
        </w:rPr>
        <w:t xml:space="preserve">, у јуну </w:t>
      </w:r>
      <w:r w:rsidR="00A12315" w:rsidRPr="00092ED7">
        <w:rPr>
          <w:rFonts w:cs="Times New Roman"/>
          <w:color w:val="000000" w:themeColor="text1"/>
          <w:szCs w:val="24"/>
          <w:lang w:val="sr-Cyrl-CS"/>
        </w:rPr>
        <w:t xml:space="preserve">2022. </w:t>
      </w:r>
      <w:r w:rsidRPr="00092ED7">
        <w:rPr>
          <w:rFonts w:cs="Times New Roman"/>
          <w:color w:val="000000" w:themeColor="text1"/>
          <w:szCs w:val="24"/>
          <w:lang w:val="sr-Cyrl-CS"/>
        </w:rPr>
        <w:t>је припремљен први нацрт Плана имплементације који је, на основу коментара и сугестија Стручне групе</w:t>
      </w:r>
      <w:r w:rsidR="00A12315" w:rsidRPr="00092ED7">
        <w:rPr>
          <w:rFonts w:cs="Times New Roman"/>
          <w:color w:val="000000" w:themeColor="text1"/>
          <w:szCs w:val="24"/>
          <w:lang w:val="sr-Cyrl-CS"/>
        </w:rPr>
        <w:t>,</w:t>
      </w:r>
      <w:r w:rsidRPr="00092ED7">
        <w:rPr>
          <w:rFonts w:cs="Times New Roman"/>
          <w:color w:val="000000" w:themeColor="text1"/>
          <w:szCs w:val="24"/>
          <w:lang w:val="sr-Cyrl-CS"/>
        </w:rPr>
        <w:t xml:space="preserve"> ревидиран у септембру.</w:t>
      </w:r>
    </w:p>
    <w:p w14:paraId="696D06B6" w14:textId="20D2B3A3" w:rsidR="00F13B06" w:rsidRPr="00092ED7" w:rsidRDefault="00F13B06" w:rsidP="00F13B06">
      <w:pPr>
        <w:spacing w:after="40"/>
        <w:rPr>
          <w:rFonts w:eastAsia="MS PGothic" w:cs="Times New Roman"/>
          <w:bCs/>
          <w:iCs/>
          <w:szCs w:val="24"/>
          <w:lang w:val="sr-Cyrl-CS" w:eastAsia="ja-JP"/>
        </w:rPr>
      </w:pPr>
      <w:r w:rsidRPr="00092ED7">
        <w:rPr>
          <w:rFonts w:cs="Times New Roman"/>
          <w:color w:val="000000" w:themeColor="text1"/>
          <w:lang w:val="sr-Cyrl-CS"/>
        </w:rPr>
        <w:t>С обзиром на то да је крајем октобра 2022. године формирана нова Влада, да су у оквиру ње формирана и нова министарства и институције, да су измењене надлежности актера препознатих у имплементацији Гаранције за младе, покренут је поступак измене Одлуке о образовању Координационог тела за израду и праћење спровођења Плана имплементације Гаранције за младе. Такође формирањем нове Владе до</w:t>
      </w:r>
      <w:r w:rsidR="00A12315" w:rsidRPr="00092ED7">
        <w:rPr>
          <w:rFonts w:cs="Times New Roman"/>
          <w:color w:val="000000" w:themeColor="text1"/>
          <w:lang w:val="sr-Cyrl-CS"/>
        </w:rPr>
        <w:t xml:space="preserve">шло је до кадровских промена у </w:t>
      </w:r>
      <w:r w:rsidRPr="00092ED7">
        <w:rPr>
          <w:rFonts w:cs="Times New Roman"/>
          <w:color w:val="000000" w:themeColor="text1"/>
          <w:lang w:val="sr-Cyrl-CS"/>
        </w:rPr>
        <w:t>Министарству за рад, запошљавање, борачка и социјална питања, па се очекује именовање новог Координатора за Гаранције за младе.</w:t>
      </w:r>
    </w:p>
    <w:p w14:paraId="16A76C74" w14:textId="617CEAB3" w:rsidR="00F13B06" w:rsidRPr="00092ED7" w:rsidRDefault="00F13B06" w:rsidP="00F13B06">
      <w:pPr>
        <w:spacing w:after="60"/>
        <w:rPr>
          <w:rFonts w:cs="Times New Roman"/>
          <w:lang w:val="sr-Cyrl-CS"/>
        </w:rPr>
      </w:pPr>
      <w:r w:rsidRPr="00092ED7">
        <w:rPr>
          <w:rFonts w:cs="Times New Roman"/>
          <w:lang w:val="sr-Cyrl-CS"/>
        </w:rPr>
        <w:t>Очекује се да План имплементације Гаранције за младе Републике Србије за период 2023</w:t>
      </w:r>
      <w:r w:rsidR="00EE2E37" w:rsidRPr="00092ED7">
        <w:rPr>
          <w:rFonts w:cs="Times New Roman"/>
          <w:highlight w:val="yellow"/>
          <w:lang w:val="sr-Cyrl-CS"/>
        </w:rPr>
        <w:t xml:space="preserve"> </w:t>
      </w:r>
      <w:r w:rsidRPr="00092ED7">
        <w:rPr>
          <w:rFonts w:cs="Times New Roman"/>
          <w:lang w:val="sr-Cyrl-CS"/>
        </w:rPr>
        <w:t>-2025</w:t>
      </w:r>
      <w:r w:rsidR="00CC71EC" w:rsidRPr="00092ED7">
        <w:rPr>
          <w:rFonts w:cs="Times New Roman"/>
          <w:lang w:val="sr-Cyrl-CS"/>
        </w:rPr>
        <w:t>.</w:t>
      </w:r>
      <w:r w:rsidRPr="00092ED7">
        <w:rPr>
          <w:rFonts w:cs="Times New Roman"/>
          <w:lang w:val="sr-Cyrl-CS"/>
        </w:rPr>
        <w:t xml:space="preserve"> године буде израђен до краја </w:t>
      </w:r>
      <w:r w:rsidRPr="00092ED7">
        <w:rPr>
          <w:rFonts w:eastAsia="Calibri" w:cs="Times New Roman"/>
          <w:szCs w:val="24"/>
          <w:lang w:val="sr-Cyrl-CS" w:eastAsia="sr-Cyrl-CS" w:bidi="sr-Cyrl-CS"/>
        </w:rPr>
        <w:t>првог квартала 2023. године</w:t>
      </w:r>
      <w:r w:rsidR="00CC71EC" w:rsidRPr="00092ED7">
        <w:rPr>
          <w:rFonts w:eastAsia="Calibri" w:cs="Times New Roman"/>
          <w:szCs w:val="24"/>
          <w:lang w:val="sr-Cyrl-CS" w:eastAsia="sr-Cyrl-CS" w:bidi="sr-Cyrl-CS"/>
        </w:rPr>
        <w:t xml:space="preserve"> и усвојен до краја другог квартала 2023. године</w:t>
      </w:r>
      <w:r w:rsidRPr="00092ED7">
        <w:rPr>
          <w:rFonts w:eastAsia="Calibri" w:cs="Times New Roman"/>
          <w:szCs w:val="24"/>
          <w:lang w:val="sr-Cyrl-CS" w:eastAsia="sr-Cyrl-CS" w:bidi="sr-Cyrl-CS"/>
        </w:rPr>
        <w:t>.</w:t>
      </w:r>
    </w:p>
    <w:p w14:paraId="2FF86D0B" w14:textId="77777777" w:rsidR="009333E2" w:rsidRPr="00092ED7" w:rsidRDefault="009807AD" w:rsidP="00D431FE">
      <w:pPr>
        <w:keepNext/>
        <w:keepLines/>
        <w:spacing w:before="240" w:after="240"/>
        <w:outlineLvl w:val="0"/>
        <w:rPr>
          <w:rFonts w:eastAsia="MS PGothic" w:cs="Times New Roman"/>
          <w:b/>
          <w:szCs w:val="24"/>
          <w:lang w:val="sr-Cyrl-CS" w:eastAsia="ja-JP"/>
        </w:rPr>
      </w:pPr>
      <w:bookmarkStart w:id="6" w:name="_Toc124174788"/>
      <w:r w:rsidRPr="00092ED7">
        <w:rPr>
          <w:rFonts w:eastAsia="MS PGothic" w:cs="Times New Roman"/>
          <w:b/>
          <w:szCs w:val="24"/>
          <w:lang w:val="sr-Cyrl-CS" w:eastAsia="ja-JP"/>
        </w:rPr>
        <w:t>3</w:t>
      </w:r>
      <w:r w:rsidR="009333E2" w:rsidRPr="00092ED7">
        <w:rPr>
          <w:rFonts w:eastAsia="MS PGothic" w:cs="Times New Roman"/>
          <w:b/>
          <w:szCs w:val="24"/>
          <w:lang w:val="sr-Cyrl-CS" w:eastAsia="ja-JP"/>
        </w:rPr>
        <w:t>. МАКРОЕКОНОМСКИ ОКВИР</w:t>
      </w:r>
      <w:bookmarkEnd w:id="6"/>
    </w:p>
    <w:p w14:paraId="687BFCBC" w14:textId="77777777" w:rsidR="0047598D" w:rsidRPr="00092ED7" w:rsidRDefault="009807AD" w:rsidP="00433935">
      <w:pPr>
        <w:keepNext/>
        <w:keepLines/>
        <w:spacing w:before="120"/>
        <w:outlineLvl w:val="1"/>
        <w:rPr>
          <w:rFonts w:eastAsia="Calibri" w:cs="Times New Roman"/>
          <w:b/>
          <w:szCs w:val="24"/>
          <w:lang w:val="sr-Cyrl-CS"/>
        </w:rPr>
      </w:pPr>
      <w:bookmarkStart w:id="7" w:name="_Toc124174789"/>
      <w:r w:rsidRPr="00092ED7">
        <w:rPr>
          <w:rFonts w:eastAsia="Calibri" w:cs="Times New Roman"/>
          <w:b/>
          <w:szCs w:val="24"/>
          <w:lang w:val="sr-Cyrl-CS"/>
        </w:rPr>
        <w:t xml:space="preserve">3.1. </w:t>
      </w:r>
      <w:r w:rsidR="00FF354A" w:rsidRPr="00092ED7">
        <w:rPr>
          <w:rFonts w:eastAsia="Calibri" w:cs="Times New Roman"/>
          <w:b/>
          <w:szCs w:val="24"/>
          <w:lang w:val="sr-Cyrl-CS"/>
        </w:rPr>
        <w:t>ПРОЦЕНЕ МЕЂУНАРОДНОГ ЕКОНОМСКОГ ОКРУЖЕЊА</w:t>
      </w:r>
      <w:bookmarkEnd w:id="7"/>
    </w:p>
    <w:p w14:paraId="779BABE8" w14:textId="35A4161F" w:rsidR="009F0D95" w:rsidRPr="00092ED7" w:rsidRDefault="009F0D95" w:rsidP="000679CD">
      <w:pPr>
        <w:spacing w:after="60"/>
        <w:rPr>
          <w:rFonts w:eastAsia="MS PGothic" w:cs="Times New Roman"/>
          <w:bCs/>
          <w:iCs/>
          <w:szCs w:val="24"/>
          <w:lang w:val="sr-Cyrl-CS" w:eastAsia="ja-JP"/>
        </w:rPr>
      </w:pPr>
      <w:r w:rsidRPr="00092ED7">
        <w:rPr>
          <w:rFonts w:eastAsia="MS PGothic" w:cs="Times New Roman"/>
          <w:bCs/>
          <w:iCs/>
          <w:szCs w:val="24"/>
          <w:lang w:val="sr-Cyrl-CS" w:eastAsia="ja-JP"/>
        </w:rPr>
        <w:t>Глобална економија се суочава са бројним турбулентним изазовима. Највиша стопа инфлације у последњих неколико деценија, пооштравање финансијских услова у већини региона, оружани сукоб у Украјини и дуготрајна неизвесност остављају последице на изгледе по глобалну економију. Међународне финансијске институције ревидирале су очекивања о глобалном економском опоравку наниже у односу на своје претходне процене. Конфликт у Украјини наставља негативно да утиче на регион, али и шире, због последица санкција Рус</w:t>
      </w:r>
      <w:r w:rsidR="00B923FD" w:rsidRPr="00092ED7">
        <w:rPr>
          <w:rFonts w:eastAsia="MS PGothic" w:cs="Times New Roman"/>
          <w:bCs/>
          <w:iCs/>
          <w:szCs w:val="24"/>
          <w:lang w:val="sr-Cyrl-CS" w:eastAsia="ja-JP"/>
        </w:rPr>
        <w:t>кој федерацији (у даљем тексту: Русија)</w:t>
      </w:r>
      <w:r w:rsidR="00EB386D" w:rsidRPr="00092ED7">
        <w:rPr>
          <w:rFonts w:eastAsia="MS PGothic" w:cs="Times New Roman"/>
          <w:bCs/>
          <w:iCs/>
          <w:szCs w:val="24"/>
          <w:lang w:val="sr-Cyrl-CS" w:eastAsia="ja-JP"/>
        </w:rPr>
        <w:t>,</w:t>
      </w:r>
      <w:r w:rsidR="00B923FD" w:rsidRPr="00092ED7">
        <w:rPr>
          <w:rFonts w:eastAsia="MS PGothic" w:cs="Times New Roman"/>
          <w:bCs/>
          <w:iCs/>
          <w:szCs w:val="24"/>
          <w:lang w:val="sr-Cyrl-CS" w:eastAsia="ja-JP"/>
        </w:rPr>
        <w:t xml:space="preserve"> </w:t>
      </w:r>
      <w:r w:rsidRPr="00092ED7">
        <w:rPr>
          <w:rFonts w:eastAsia="MS PGothic" w:cs="Times New Roman"/>
          <w:bCs/>
          <w:iCs/>
          <w:szCs w:val="24"/>
          <w:lang w:val="sr-Cyrl-CS" w:eastAsia="ja-JP"/>
        </w:rPr>
        <w:t xml:space="preserve">које дестабилизују тржиште енергената доводећи до ценовних шокова и прекида у извозу гаса земљама ЕУ. Нормализација монетарне и фискалне политике која је пружала подршку без преседана током пандемије сада умањује агрегатну тражњу, будући да креатори политика имају за циљ да ставе инфлацију под контролу. Изгледи глобалне економије у великој мери зависе од успешне примене одмерене монетарне политике, тока конфликта у Украјини и потенцијалних даљих поремећаја на страни понуде изазваних пандемијом. Очекује се да ће инфлација крајем 2022. године достићи свој максимум, али ће бити потребно више времена од претходно очекиваног да се стабилизује. Приоритет фискалне политике треба бити заштита рањивих група кроз циљану краткорочну подршку како би се ублажио терет кризе трошкова живота који се осећа широм света. У </w:t>
      </w:r>
      <w:r w:rsidR="004D5081" w:rsidRPr="00092ED7">
        <w:rPr>
          <w:rFonts w:eastAsia="MS PGothic" w:cs="Times New Roman"/>
          <w:bCs/>
          <w:iCs/>
          <w:szCs w:val="24"/>
          <w:lang w:val="sr-Cyrl-CS" w:eastAsia="ja-JP"/>
        </w:rPr>
        <w:t xml:space="preserve">Народној Републици </w:t>
      </w:r>
      <w:r w:rsidRPr="00092ED7">
        <w:rPr>
          <w:rFonts w:eastAsia="MS PGothic" w:cs="Times New Roman"/>
          <w:bCs/>
          <w:iCs/>
          <w:szCs w:val="24"/>
          <w:lang w:val="sr-Cyrl-CS" w:eastAsia="ja-JP"/>
        </w:rPr>
        <w:t>Кини</w:t>
      </w:r>
      <w:r w:rsidR="004D5081" w:rsidRPr="00092ED7">
        <w:rPr>
          <w:rFonts w:eastAsia="MS PGothic" w:cs="Times New Roman"/>
          <w:bCs/>
          <w:iCs/>
          <w:szCs w:val="24"/>
          <w:lang w:val="sr-Cyrl-CS" w:eastAsia="ja-JP"/>
        </w:rPr>
        <w:t xml:space="preserve"> (у даљем тексту: Кина)</w:t>
      </w:r>
      <w:r w:rsidRPr="00092ED7">
        <w:rPr>
          <w:rFonts w:eastAsia="MS PGothic" w:cs="Times New Roman"/>
          <w:bCs/>
          <w:iCs/>
          <w:szCs w:val="24"/>
          <w:lang w:val="sr-Cyrl-CS" w:eastAsia="ja-JP"/>
        </w:rPr>
        <w:t xml:space="preserve"> су честа „закључавања” услед политике нулте толеранције</w:t>
      </w:r>
      <w:r w:rsidR="004D5081" w:rsidRPr="00092ED7">
        <w:rPr>
          <w:rFonts w:eastAsia="MS PGothic" w:cs="Times New Roman"/>
          <w:bCs/>
          <w:iCs/>
          <w:szCs w:val="24"/>
          <w:lang w:val="sr-Cyrl-CS" w:eastAsia="ja-JP"/>
        </w:rPr>
        <w:t xml:space="preserve"> </w:t>
      </w:r>
      <w:r w:rsidR="00B81C9C" w:rsidRPr="00092ED7">
        <w:rPr>
          <w:rFonts w:eastAsia="MS PGothic" w:cs="Times New Roman"/>
          <w:bCs/>
          <w:iCs/>
          <w:szCs w:val="24"/>
          <w:lang w:val="sr-Cyrl-CS" w:eastAsia="ja-JP"/>
        </w:rPr>
        <w:t xml:space="preserve">на пандемију </w:t>
      </w:r>
      <w:r w:rsidR="00EA54D9" w:rsidRPr="00092ED7">
        <w:rPr>
          <w:rFonts w:eastAsia="MS PGothic" w:cs="Times New Roman"/>
          <w:bCs/>
          <w:iCs/>
          <w:szCs w:val="24"/>
          <w:lang w:val="sr-Cyrl-CS" w:eastAsia="ja-JP"/>
        </w:rPr>
        <w:t xml:space="preserve">COVID-19, </w:t>
      </w:r>
      <w:r w:rsidR="00B81C9C" w:rsidRPr="00092ED7">
        <w:rPr>
          <w:rFonts w:eastAsia="MS PGothic" w:cs="Times New Roman"/>
          <w:bCs/>
          <w:iCs/>
          <w:szCs w:val="24"/>
          <w:lang w:val="sr-Cyrl-CS" w:eastAsia="ja-JP"/>
        </w:rPr>
        <w:t>изазвану корона вирусом</w:t>
      </w:r>
      <w:r w:rsidR="004D5081" w:rsidRPr="00092ED7">
        <w:rPr>
          <w:rFonts w:eastAsia="MS PGothic" w:cs="Times New Roman"/>
          <w:bCs/>
          <w:iCs/>
          <w:szCs w:val="24"/>
          <w:lang w:val="sr-Cyrl-CS" w:eastAsia="ja-JP"/>
        </w:rPr>
        <w:t>,</w:t>
      </w:r>
      <w:r w:rsidR="00EE2E37" w:rsidRPr="00092ED7">
        <w:rPr>
          <w:rFonts w:eastAsia="MS PGothic" w:cs="Times New Roman"/>
          <w:bCs/>
          <w:iCs/>
          <w:szCs w:val="24"/>
          <w:lang w:val="sr-Cyrl-CS" w:eastAsia="ja-JP"/>
        </w:rPr>
        <w:t xml:space="preserve"> </w:t>
      </w:r>
      <w:r w:rsidRPr="00092ED7">
        <w:rPr>
          <w:rFonts w:eastAsia="MS PGothic" w:cs="Times New Roman"/>
          <w:bCs/>
          <w:iCs/>
          <w:szCs w:val="24"/>
          <w:lang w:val="sr-Cyrl-CS" w:eastAsia="ja-JP"/>
        </w:rPr>
        <w:t xml:space="preserve">додатно успорила економску активност, а сектор </w:t>
      </w:r>
      <w:r w:rsidR="004D6338" w:rsidRPr="00092ED7">
        <w:rPr>
          <w:rFonts w:eastAsia="MS PGothic" w:cs="Times New Roman"/>
          <w:bCs/>
          <w:iCs/>
          <w:szCs w:val="24"/>
          <w:lang w:val="sr-Cyrl-CS" w:eastAsia="ja-JP"/>
        </w:rPr>
        <w:t xml:space="preserve">непокретности </w:t>
      </w:r>
      <w:r w:rsidRPr="00092ED7">
        <w:rPr>
          <w:rFonts w:eastAsia="MS PGothic" w:cs="Times New Roman"/>
          <w:bCs/>
          <w:iCs/>
          <w:szCs w:val="24"/>
          <w:lang w:val="sr-Cyrl-CS" w:eastAsia="ja-JP"/>
        </w:rPr>
        <w:t xml:space="preserve">суочава се са убрзаним слабљењем. С обзиром на величину кинеске економије и њен значај за глобалне ланце снабдевања, ово ће имати значајан негативни утицај на глобалну трговину и економску активност. Како би се ублажила материјализација већих ризика, неопходна је интензивна међународна </w:t>
      </w:r>
      <w:r w:rsidRPr="00092ED7">
        <w:rPr>
          <w:rFonts w:eastAsia="MS PGothic" w:cs="Times New Roman"/>
          <w:bCs/>
          <w:iCs/>
          <w:szCs w:val="24"/>
          <w:lang w:val="sr-Cyrl-CS" w:eastAsia="ja-JP"/>
        </w:rPr>
        <w:lastRenderedPageBreak/>
        <w:t>сарадња, проналазак мирног решења украјинског конфликта, усклађивање монетарне и фискалне политике, као и дугорочно решавање климатских проблема.</w:t>
      </w:r>
    </w:p>
    <w:p w14:paraId="2A1EEDE6" w14:textId="34F1A4C6" w:rsidR="009F0D95" w:rsidRPr="00092ED7" w:rsidRDefault="009F0D95" w:rsidP="000679CD">
      <w:pPr>
        <w:spacing w:after="60"/>
        <w:rPr>
          <w:rFonts w:eastAsia="MS PGothic" w:cs="Times New Roman"/>
          <w:bCs/>
          <w:iCs/>
          <w:szCs w:val="24"/>
          <w:lang w:val="sr-Cyrl-CS" w:eastAsia="ja-JP"/>
        </w:rPr>
      </w:pPr>
      <w:r w:rsidRPr="00092ED7">
        <w:rPr>
          <w:rFonts w:eastAsia="MS PGothic" w:cs="Times New Roman"/>
          <w:bCs/>
          <w:iCs/>
          <w:szCs w:val="24"/>
          <w:lang w:val="sr-Cyrl-CS" w:eastAsia="ja-JP"/>
        </w:rPr>
        <w:t xml:space="preserve">Након пандемије, глобална економија наставља да се суочава са оштрим изазовима насталим под утицајем конфликта у Украјини, растућих трошкова живота узрокованих постојанијим и све јачим инфлаторним притисцима, као и услед успоравања економског раста у Кини. Према октобарским пројекцијама ММФ, глобални раст ће у 2022. години износити 3,2% што је за 0,4 п.п. мање у односу на априлску пројекцију, док је за 2023. годину раст привреде ревидиран наниже за 0,9 п.п. и износиће 2,7%. Значајан број земаља, које чине више од трећине светског БДП, суочавају се са „техничком рецесијом” </w:t>
      </w:r>
      <w:r w:rsidR="00E17303" w:rsidRPr="00092ED7">
        <w:rPr>
          <w:rFonts w:eastAsia="MS PGothic" w:cs="Times New Roman"/>
          <w:bCs/>
          <w:iCs/>
          <w:szCs w:val="24"/>
          <w:lang w:val="sr-Cyrl-CS" w:eastAsia="ja-JP"/>
        </w:rPr>
        <w:t>у 2022. или следећој години</w:t>
      </w:r>
      <w:r w:rsidRPr="00092ED7">
        <w:rPr>
          <w:rFonts w:eastAsia="MS PGothic" w:cs="Times New Roman"/>
          <w:bCs/>
          <w:iCs/>
          <w:szCs w:val="24"/>
          <w:lang w:val="sr-Cyrl-CS" w:eastAsia="ja-JP"/>
        </w:rPr>
        <w:t xml:space="preserve">. Главни разлози за ревизију пројектоване путање економског опоравка јесу </w:t>
      </w:r>
      <w:r w:rsidR="00E17303" w:rsidRPr="00092ED7">
        <w:rPr>
          <w:rFonts w:eastAsia="MS PGothic" w:cs="Times New Roman"/>
          <w:bCs/>
          <w:iCs/>
          <w:szCs w:val="24"/>
          <w:lang w:val="sr-Cyrl-CS" w:eastAsia="ja-JP"/>
        </w:rPr>
        <w:t xml:space="preserve">- </w:t>
      </w:r>
      <w:r w:rsidRPr="00092ED7">
        <w:rPr>
          <w:rFonts w:eastAsia="MS PGothic" w:cs="Times New Roman"/>
          <w:bCs/>
          <w:iCs/>
          <w:szCs w:val="24"/>
          <w:lang w:val="sr-Cyrl-CS" w:eastAsia="ja-JP"/>
        </w:rPr>
        <w:t xml:space="preserve">конфликт у Украјини и ефекти преливања кризе на друге земље. Постојани и растући инфлаторни притисци покренули су брзо и синхронизовано пооштравање монетарне политике, уз снажну апрецијацију америчког долара у односу на већину других валута. Ризици за остваривање пројекција су и даље повишени, док је примењивање одговарајућих политика за решавање убрзаног раста трошкова живота постало озбиљан изазов. У време када је светска економија изразито рањива, ризик од примене погрешне комбинације монетарне, фискалне и финансијске политике нагло је порастао. Све већи притисци на цене остају најнепосреднија претња садашњем и будућем опоравку због смањења реалних прихода и нарушавања макроекономске стабилности. Иако се предвиђа пад инфлације у средњем року, постоји ризик од њеног продуженог трајања изазваног ценовним шоковима на тржишту хране и енергената, а посебно услед могуће даље ескалације сукоба. Такође, поновна појава вируса и потенцијална „закључавања”, погоршавање кризе </w:t>
      </w:r>
      <w:r w:rsidR="004D6338" w:rsidRPr="00092ED7">
        <w:rPr>
          <w:rFonts w:eastAsia="MS PGothic" w:cs="Times New Roman"/>
          <w:bCs/>
          <w:iCs/>
          <w:szCs w:val="24"/>
          <w:lang w:val="sr-Cyrl-CS" w:eastAsia="ja-JP"/>
        </w:rPr>
        <w:t xml:space="preserve">непокретности </w:t>
      </w:r>
      <w:r w:rsidRPr="00092ED7">
        <w:rPr>
          <w:rFonts w:eastAsia="MS PGothic" w:cs="Times New Roman"/>
          <w:bCs/>
          <w:iCs/>
          <w:szCs w:val="24"/>
          <w:lang w:val="sr-Cyrl-CS" w:eastAsia="ja-JP"/>
        </w:rPr>
        <w:t>у Кини, престанак испоруке руског гаса у земље Европе, геополитичке тензије, као и учестале временске, климатске и природне непогоде, неки су од присутних ризика по глобални раст и стабилност.</w:t>
      </w:r>
    </w:p>
    <w:p w14:paraId="7F996BE4" w14:textId="1C59758D" w:rsidR="009F0D95" w:rsidRPr="00092ED7" w:rsidRDefault="009F0D95" w:rsidP="000679CD">
      <w:pPr>
        <w:spacing w:after="60"/>
        <w:rPr>
          <w:rFonts w:eastAsia="MS PGothic" w:cs="Times New Roman"/>
          <w:bCs/>
          <w:iCs/>
          <w:szCs w:val="24"/>
          <w:lang w:val="sr-Cyrl-CS" w:eastAsia="ja-JP"/>
        </w:rPr>
      </w:pPr>
      <w:r w:rsidRPr="00092ED7">
        <w:rPr>
          <w:rFonts w:eastAsia="MS PGothic" w:cs="Times New Roman"/>
          <w:bCs/>
          <w:iCs/>
          <w:szCs w:val="24"/>
          <w:lang w:val="sr-Cyrl-CS" w:eastAsia="ja-JP"/>
        </w:rPr>
        <w:t xml:space="preserve">Раст групе развијених земаља за 2022. и 2023. годину ревидиран је наниже на 2,4% и 1,1%, респективно. Пад реалног расположивог дохотка у </w:t>
      </w:r>
      <w:r w:rsidR="009A1E17" w:rsidRPr="00092ED7">
        <w:rPr>
          <w:rFonts w:eastAsia="MS PGothic" w:cs="Times New Roman"/>
          <w:bCs/>
          <w:iCs/>
          <w:szCs w:val="24"/>
          <w:lang w:val="sr-Cyrl-CS" w:eastAsia="ja-JP"/>
        </w:rPr>
        <w:t xml:space="preserve">Сједињеним Америчким Државама (у даљем тексту: </w:t>
      </w:r>
      <w:r w:rsidRPr="00092ED7">
        <w:rPr>
          <w:rFonts w:eastAsia="MS PGothic" w:cs="Times New Roman"/>
          <w:bCs/>
          <w:iCs/>
          <w:szCs w:val="24"/>
          <w:lang w:val="sr-Cyrl-CS" w:eastAsia="ja-JP"/>
        </w:rPr>
        <w:t>САД</w:t>
      </w:r>
      <w:r w:rsidR="009A1E17" w:rsidRPr="00092ED7">
        <w:rPr>
          <w:rFonts w:eastAsia="MS PGothic" w:cs="Times New Roman"/>
          <w:bCs/>
          <w:iCs/>
          <w:szCs w:val="24"/>
          <w:lang w:val="sr-Cyrl-CS" w:eastAsia="ja-JP"/>
        </w:rPr>
        <w:t xml:space="preserve">) </w:t>
      </w:r>
      <w:r w:rsidRPr="00092ED7">
        <w:rPr>
          <w:rFonts w:eastAsia="MS PGothic" w:cs="Times New Roman"/>
          <w:bCs/>
          <w:iCs/>
          <w:szCs w:val="24"/>
          <w:lang w:val="sr-Cyrl-CS" w:eastAsia="ja-JP"/>
        </w:rPr>
        <w:t xml:space="preserve">наставља да утиче на нижу тражњу потрошача, док раст каматних стопа додатно ограничава потрошњу, нарочито у сектору </w:t>
      </w:r>
      <w:r w:rsidR="004D6338" w:rsidRPr="00092ED7">
        <w:rPr>
          <w:rFonts w:eastAsia="MS PGothic" w:cs="Times New Roman"/>
          <w:bCs/>
          <w:iCs/>
          <w:szCs w:val="24"/>
          <w:lang w:val="sr-Cyrl-CS" w:eastAsia="ja-JP"/>
        </w:rPr>
        <w:t>непокретности</w:t>
      </w:r>
      <w:r w:rsidRPr="00092ED7">
        <w:rPr>
          <w:rFonts w:eastAsia="MS PGothic" w:cs="Times New Roman"/>
          <w:bCs/>
          <w:iCs/>
          <w:szCs w:val="24"/>
          <w:lang w:val="sr-Cyrl-CS" w:eastAsia="ja-JP"/>
        </w:rPr>
        <w:t xml:space="preserve">. Иако је у 2022. години успоравање раста у еврозони мање изражено него у САД, због добрих резултата током прве половине године, у 2023. години очекује се значајно смањење раста, на 0,5%. Такође, међу самим земљама чланицама постоје изражене разлике у економској активности, а предвиђено успоравање посебно </w:t>
      </w:r>
      <w:r w:rsidR="009A1E17" w:rsidRPr="00092ED7">
        <w:rPr>
          <w:rFonts w:eastAsia="MS PGothic" w:cs="Times New Roman"/>
          <w:bCs/>
          <w:iCs/>
          <w:szCs w:val="24"/>
          <w:lang w:val="sr-Cyrl-CS" w:eastAsia="ja-JP"/>
        </w:rPr>
        <w:t xml:space="preserve">ће </w:t>
      </w:r>
      <w:r w:rsidRPr="00092ED7">
        <w:rPr>
          <w:rFonts w:eastAsia="MS PGothic" w:cs="Times New Roman"/>
          <w:bCs/>
          <w:iCs/>
          <w:szCs w:val="24"/>
          <w:lang w:val="sr-Cyrl-CS" w:eastAsia="ja-JP"/>
        </w:rPr>
        <w:t xml:space="preserve">оштро погодити </w:t>
      </w:r>
      <w:r w:rsidR="009A1E17" w:rsidRPr="00092ED7">
        <w:rPr>
          <w:rFonts w:eastAsia="MS PGothic" w:cs="Times New Roman"/>
          <w:bCs/>
          <w:iCs/>
          <w:szCs w:val="24"/>
          <w:lang w:val="sr-Cyrl-CS" w:eastAsia="ja-JP"/>
        </w:rPr>
        <w:t xml:space="preserve">Савезну Републику </w:t>
      </w:r>
      <w:r w:rsidRPr="00092ED7">
        <w:rPr>
          <w:rFonts w:eastAsia="MS PGothic" w:cs="Times New Roman"/>
          <w:bCs/>
          <w:iCs/>
          <w:szCs w:val="24"/>
          <w:lang w:val="sr-Cyrl-CS" w:eastAsia="ja-JP"/>
        </w:rPr>
        <w:t xml:space="preserve">Немачку </w:t>
      </w:r>
      <w:r w:rsidR="009A1E17" w:rsidRPr="00092ED7">
        <w:rPr>
          <w:rFonts w:eastAsia="MS PGothic" w:cs="Times New Roman"/>
          <w:bCs/>
          <w:iCs/>
          <w:szCs w:val="24"/>
          <w:lang w:val="sr-Cyrl-CS" w:eastAsia="ja-JP"/>
        </w:rPr>
        <w:t xml:space="preserve">(у даљем тексту: Немачка) </w:t>
      </w:r>
      <w:r w:rsidRPr="00092ED7">
        <w:rPr>
          <w:rFonts w:eastAsia="MS PGothic" w:cs="Times New Roman"/>
          <w:bCs/>
          <w:iCs/>
          <w:szCs w:val="24"/>
          <w:lang w:val="sr-Cyrl-CS" w:eastAsia="ja-JP"/>
        </w:rPr>
        <w:t xml:space="preserve">и </w:t>
      </w:r>
      <w:r w:rsidR="009A1E17" w:rsidRPr="00092ED7">
        <w:rPr>
          <w:rFonts w:eastAsia="MS PGothic" w:cs="Times New Roman"/>
          <w:bCs/>
          <w:iCs/>
          <w:szCs w:val="24"/>
          <w:lang w:val="sr-Cyrl-CS" w:eastAsia="ja-JP"/>
        </w:rPr>
        <w:t xml:space="preserve">Републику </w:t>
      </w:r>
      <w:r w:rsidRPr="00092ED7">
        <w:rPr>
          <w:rFonts w:eastAsia="MS PGothic" w:cs="Times New Roman"/>
          <w:bCs/>
          <w:iCs/>
          <w:szCs w:val="24"/>
          <w:lang w:val="sr-Cyrl-CS" w:eastAsia="ja-JP"/>
        </w:rPr>
        <w:t>Италију</w:t>
      </w:r>
      <w:r w:rsidR="009A1E17" w:rsidRPr="00092ED7">
        <w:rPr>
          <w:rFonts w:eastAsia="MS PGothic" w:cs="Times New Roman"/>
          <w:bCs/>
          <w:iCs/>
          <w:szCs w:val="24"/>
          <w:lang w:val="sr-Cyrl-CS" w:eastAsia="ja-JP"/>
        </w:rPr>
        <w:t xml:space="preserve"> (у даљем тексту: Италија)</w:t>
      </w:r>
      <w:r w:rsidRPr="00092ED7">
        <w:rPr>
          <w:rFonts w:eastAsia="MS PGothic" w:cs="Times New Roman"/>
          <w:bCs/>
          <w:iCs/>
          <w:szCs w:val="24"/>
          <w:lang w:val="sr-Cyrl-CS" w:eastAsia="ja-JP"/>
        </w:rPr>
        <w:t>, које ће забележити пад од 0,3% и 0,2%, респективно. За разлику од све већег успоравања у развијеним економијама, очекује се да ће раст земаља у успону износити 3,7% у 2022.</w:t>
      </w:r>
      <w:r w:rsidR="00EE2E37" w:rsidRPr="00092ED7">
        <w:rPr>
          <w:rFonts w:eastAsia="MS PGothic" w:cs="Times New Roman"/>
          <w:bCs/>
          <w:iCs/>
          <w:szCs w:val="24"/>
          <w:lang w:val="sr-Cyrl-CS" w:eastAsia="ja-JP"/>
        </w:rPr>
        <w:t xml:space="preserve"> </w:t>
      </w:r>
      <w:r w:rsidR="009A1E17" w:rsidRPr="00092ED7">
        <w:rPr>
          <w:rFonts w:eastAsia="MS PGothic" w:cs="Times New Roman"/>
          <w:bCs/>
          <w:iCs/>
          <w:szCs w:val="24"/>
          <w:lang w:val="sr-Cyrl-CS" w:eastAsia="ja-JP"/>
        </w:rPr>
        <w:t>години</w:t>
      </w:r>
      <w:r w:rsidRPr="00092ED7">
        <w:rPr>
          <w:rFonts w:eastAsia="MS PGothic" w:cs="Times New Roman"/>
          <w:bCs/>
          <w:iCs/>
          <w:szCs w:val="24"/>
          <w:lang w:val="sr-Cyrl-CS" w:eastAsia="ja-JP"/>
        </w:rPr>
        <w:t xml:space="preserve"> и да ће остати стабилан током 2023. године. Пад руске привреде је мање оштар од раније предвиђеног, услед преусмеравања извоза нафте на азијска тржишта и јачања домаће тражње која је подржана фискалном и монетарном политиком, као и враћања поверења у финансијски систем. Појава нових жаришта вируса и закључавање главних економских центара, као и криза тржишта </w:t>
      </w:r>
      <w:r w:rsidR="000614DC" w:rsidRPr="00092ED7">
        <w:rPr>
          <w:rFonts w:eastAsia="MS PGothic" w:cs="Times New Roman"/>
          <w:bCs/>
          <w:iCs/>
          <w:szCs w:val="24"/>
          <w:lang w:val="sr-Cyrl-CS" w:eastAsia="ja-JP"/>
        </w:rPr>
        <w:t>непокретности</w:t>
      </w:r>
      <w:r w:rsidRPr="00092ED7">
        <w:rPr>
          <w:rFonts w:eastAsia="MS PGothic" w:cs="Times New Roman"/>
          <w:bCs/>
          <w:iCs/>
          <w:szCs w:val="24"/>
          <w:lang w:val="sr-Cyrl-CS" w:eastAsia="ja-JP"/>
        </w:rPr>
        <w:t xml:space="preserve">, утицали су да Кина забележи најнижи раст у последње четири деценије (са изузетком у 2020. години због иницијалног шока изазваног пандемијом), док се за 2023. годину очекује убрзање раста. Предвиђа се да ће раст Блиског истока и централне Азије износити 5,0% у 2022. години, што у великој мери одражава повољне изгледе код извозника нафте и неочекивано благ утицај дешавања у Украјини, али ће следеће године доћи до успоравања због очекиваног пада цена нафте. Раст региона Латинске Америке је ревидиран благо навише у 2022. години због повољних цена добара и услова </w:t>
      </w:r>
      <w:r w:rsidRPr="00092ED7">
        <w:rPr>
          <w:rFonts w:eastAsia="MS PGothic" w:cs="Times New Roman"/>
          <w:bCs/>
          <w:iCs/>
          <w:szCs w:val="24"/>
          <w:lang w:val="sr-Cyrl-CS" w:eastAsia="ja-JP"/>
        </w:rPr>
        <w:lastRenderedPageBreak/>
        <w:t>финансирања, али се због успоравања економија најважнијих спољнотрговинских партнера и пооштравања монетарне политике очекује слабљење раста у 2023. години.</w:t>
      </w:r>
    </w:p>
    <w:p w14:paraId="3BCCF3C7" w14:textId="79440478" w:rsidR="009F0D95" w:rsidRPr="00092ED7" w:rsidRDefault="009F0D95" w:rsidP="000679CD">
      <w:pPr>
        <w:spacing w:after="60"/>
        <w:rPr>
          <w:rFonts w:eastAsia="MS PGothic" w:cs="Times New Roman"/>
          <w:bCs/>
          <w:iCs/>
          <w:szCs w:val="24"/>
          <w:lang w:val="sr-Cyrl-CS" w:eastAsia="ja-JP"/>
        </w:rPr>
      </w:pPr>
      <w:r w:rsidRPr="00092ED7">
        <w:rPr>
          <w:rFonts w:eastAsia="MS PGothic" w:cs="Times New Roman"/>
          <w:bCs/>
          <w:iCs/>
          <w:szCs w:val="24"/>
          <w:lang w:val="sr-Cyrl-CS" w:eastAsia="ja-JP"/>
        </w:rPr>
        <w:t>Према јесењим проценама Европске комисије (у даљем тексту: ЕК)</w:t>
      </w:r>
      <w:r w:rsidR="009A1E17" w:rsidRPr="00092ED7">
        <w:rPr>
          <w:rFonts w:eastAsia="MS PGothic" w:cs="Times New Roman"/>
          <w:bCs/>
          <w:iCs/>
          <w:szCs w:val="24"/>
          <w:lang w:val="sr-Cyrl-CS" w:eastAsia="ja-JP"/>
        </w:rPr>
        <w:t>,</w:t>
      </w:r>
      <w:r w:rsidR="00EE2E37" w:rsidRPr="00092ED7">
        <w:rPr>
          <w:rFonts w:eastAsia="MS PGothic" w:cs="Times New Roman"/>
          <w:bCs/>
          <w:iCs/>
          <w:szCs w:val="24"/>
          <w:lang w:val="sr-Cyrl-CS" w:eastAsia="ja-JP"/>
        </w:rPr>
        <w:t xml:space="preserve"> </w:t>
      </w:r>
      <w:r w:rsidRPr="00092ED7">
        <w:rPr>
          <w:rFonts w:eastAsia="MS PGothic" w:cs="Times New Roman"/>
          <w:bCs/>
          <w:iCs/>
          <w:szCs w:val="24"/>
          <w:lang w:val="sr-Cyrl-CS" w:eastAsia="ja-JP"/>
        </w:rPr>
        <w:t>економска активност у еврозони се налази на прекретници и под снажним је утицајем фактора попут сукоба у Украјини и наглог скока инфлације. Након раста БДП у 2022. години од 3,2%, привредни раст ће у 2023. успорити на 0,3%, а затим следи благи опоравак на 1,5% у 2024. години, када се очекује обуздавање и нормализација инфлације. Ризици по остварење пројекције су изразито високи и односе се на потенцијалну ескалацију оружаног сукоба у Украјини, доступност и цене енергената (нарочито гаса) и потешкоће у снабдевању и стварање уских грла на страни понуде.</w:t>
      </w:r>
    </w:p>
    <w:p w14:paraId="40B0ED23" w14:textId="7FBE8155" w:rsidR="009F0D95" w:rsidRPr="00092ED7" w:rsidRDefault="009F0D95" w:rsidP="000679CD">
      <w:pPr>
        <w:spacing w:after="60"/>
        <w:rPr>
          <w:rFonts w:eastAsia="MS PGothic" w:cs="Times New Roman"/>
          <w:bCs/>
          <w:iCs/>
          <w:szCs w:val="24"/>
          <w:lang w:val="sr-Cyrl-CS" w:eastAsia="ja-JP"/>
        </w:rPr>
      </w:pPr>
      <w:r w:rsidRPr="00092ED7">
        <w:rPr>
          <w:rFonts w:eastAsia="MS PGothic" w:cs="Times New Roman"/>
          <w:bCs/>
          <w:iCs/>
          <w:szCs w:val="24"/>
          <w:lang w:val="sr-Cyrl-CS" w:eastAsia="ja-JP"/>
        </w:rPr>
        <w:t xml:space="preserve">Са побољшањем епидемиолошке ситуације и попуштањем мера ограничења, раст приватне потрошње и смањење штедње домаћинстава у ЕУ, довели су до раста БДП у првој половини године. Нагли скок тражње највише је погодовао услужним делатностима попут туризма, али је раст настављен и код индустријских грана. Са друге стране, вишеструки шокови у виду ценовних притисака, смањења куповне моћи домаћинстава и неизвесности довешће до пада економске активности у последњем кварталу </w:t>
      </w:r>
      <w:r w:rsidR="00E17303" w:rsidRPr="00092ED7">
        <w:rPr>
          <w:rFonts w:eastAsia="MS PGothic" w:cs="Times New Roman"/>
          <w:bCs/>
          <w:iCs/>
          <w:szCs w:val="24"/>
          <w:lang w:val="sr-Cyrl-CS" w:eastAsia="ja-JP"/>
        </w:rPr>
        <w:t xml:space="preserve">2022. </w:t>
      </w:r>
      <w:r w:rsidRPr="00092ED7">
        <w:rPr>
          <w:rFonts w:eastAsia="MS PGothic" w:cs="Times New Roman"/>
          <w:bCs/>
          <w:iCs/>
          <w:szCs w:val="24"/>
          <w:lang w:val="sr-Cyrl-CS" w:eastAsia="ja-JP"/>
        </w:rPr>
        <w:t>године. Такође се очекује да почетком 2023. године ЕУ уђе у техничку рецесију, која иако неће бити нарочито изражена, може захватити већи број земаља чланица. Економски показатељи потврђују ова предвиђања, поткрепљени снажним инфлаторним притисцима, пооштреним условима финансирања и неизвесним екстерним окружењем.</w:t>
      </w:r>
    </w:p>
    <w:p w14:paraId="5E863B5E" w14:textId="4A749F40" w:rsidR="009F0D95" w:rsidRPr="00092ED7" w:rsidRDefault="009F0D95" w:rsidP="000679CD">
      <w:pPr>
        <w:spacing w:after="60"/>
        <w:rPr>
          <w:rFonts w:eastAsia="MS PGothic" w:cs="Times New Roman"/>
          <w:bCs/>
          <w:iCs/>
          <w:szCs w:val="24"/>
          <w:lang w:val="sr-Cyrl-CS" w:eastAsia="ja-JP"/>
        </w:rPr>
      </w:pPr>
      <w:r w:rsidRPr="00092ED7">
        <w:rPr>
          <w:rFonts w:eastAsia="MS PGothic" w:cs="Times New Roman"/>
          <w:bCs/>
          <w:iCs/>
          <w:szCs w:val="24"/>
          <w:lang w:val="sr-Cyrl-CS" w:eastAsia="ja-JP"/>
        </w:rPr>
        <w:t xml:space="preserve">Због деловања наведених неповољних фактора, пројекција раста еврозоне за 2023. годину ревидирана је значајно наниже у односу на претходну, са 2,3% на 0,3%. За 2024. годину се очекује пад стопе инфлације, што ће уз очекивани снажан раст зарада погурати раст приватне потрошње и тиме довести до умереног опоравка. Ревизија пројекције раста БДП Немачке на -0,6% у 2023. години (погоршање од чак 3,0 п.п. у поређењу са пролећним пројекцијама), може се објаснити значајним падом приватне потрошње становништва и свеобухватним растом цена. Италијанска привреда ће у 2022. </w:t>
      </w:r>
      <w:r w:rsidR="009A1E17" w:rsidRPr="00092ED7">
        <w:rPr>
          <w:rFonts w:eastAsia="MS PGothic" w:cs="Times New Roman"/>
          <w:bCs/>
          <w:iCs/>
          <w:szCs w:val="24"/>
          <w:lang w:val="sr-Cyrl-CS" w:eastAsia="ja-JP"/>
        </w:rPr>
        <w:t xml:space="preserve">години </w:t>
      </w:r>
      <w:r w:rsidRPr="00092ED7">
        <w:rPr>
          <w:rFonts w:eastAsia="MS PGothic" w:cs="Times New Roman"/>
          <w:bCs/>
          <w:iCs/>
          <w:szCs w:val="24"/>
          <w:lang w:val="sr-Cyrl-CS" w:eastAsia="ja-JP"/>
        </w:rPr>
        <w:t>забележити раст од 3,8%, док ће економска активност у 2023. години бити значајно спорија услед ценовних шокова енергената и смањења обима инвестиција.</w:t>
      </w:r>
    </w:p>
    <w:p w14:paraId="359A2DF0" w14:textId="77777777" w:rsidR="00A5229A" w:rsidRPr="00092ED7" w:rsidRDefault="00A5229A" w:rsidP="00BD3989">
      <w:pPr>
        <w:spacing w:before="120" w:after="60"/>
        <w:rPr>
          <w:rFonts w:cs="Times New Roman"/>
          <w:szCs w:val="24"/>
          <w:lang w:val="sr-Cyrl-CS"/>
        </w:rPr>
      </w:pPr>
    </w:p>
    <w:p w14:paraId="34D45A36" w14:textId="77777777" w:rsidR="009F0D95" w:rsidRPr="00092ED7" w:rsidRDefault="009F0D95" w:rsidP="00BD3989">
      <w:pPr>
        <w:spacing w:before="120" w:after="60"/>
        <w:rPr>
          <w:rFonts w:eastAsia="MS PGothic" w:cs="Times New Roman"/>
          <w:bCs/>
          <w:iCs/>
          <w:szCs w:val="24"/>
          <w:lang w:val="sr-Cyrl-CS" w:eastAsia="ja-JP"/>
        </w:rPr>
      </w:pPr>
      <w:r w:rsidRPr="00092ED7">
        <w:rPr>
          <w:rFonts w:cs="Times New Roman"/>
          <w:szCs w:val="24"/>
          <w:lang w:val="sr-Cyrl-CS"/>
        </w:rPr>
        <w:t>Табела 1. Макроекономске пројекције за подручје еврозоне, промене у односу на претходну годину, %</w:t>
      </w:r>
    </w:p>
    <w:tbl>
      <w:tblPr>
        <w:tblW w:w="9079" w:type="dxa"/>
        <w:tblInd w:w="-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4117"/>
        <w:gridCol w:w="708"/>
        <w:gridCol w:w="709"/>
        <w:gridCol w:w="709"/>
        <w:gridCol w:w="709"/>
        <w:gridCol w:w="709"/>
        <w:gridCol w:w="709"/>
        <w:gridCol w:w="709"/>
      </w:tblGrid>
      <w:tr w:rsidR="009F0D95" w:rsidRPr="00092ED7" w14:paraId="0041901C" w14:textId="77777777" w:rsidTr="00BD3989">
        <w:trPr>
          <w:trHeight w:val="315"/>
        </w:trPr>
        <w:tc>
          <w:tcPr>
            <w:tcW w:w="4117" w:type="dxa"/>
            <w:shd w:val="clear" w:color="auto" w:fill="auto"/>
            <w:noWrap/>
            <w:vAlign w:val="center"/>
            <w:hideMark/>
          </w:tcPr>
          <w:p w14:paraId="5195936C"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 </w:t>
            </w:r>
          </w:p>
        </w:tc>
        <w:tc>
          <w:tcPr>
            <w:tcW w:w="708" w:type="dxa"/>
            <w:shd w:val="clear" w:color="auto" w:fill="auto"/>
            <w:noWrap/>
            <w:vAlign w:val="center"/>
            <w:hideMark/>
          </w:tcPr>
          <w:p w14:paraId="72456CD9"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 </w:t>
            </w:r>
          </w:p>
        </w:tc>
        <w:tc>
          <w:tcPr>
            <w:tcW w:w="1418" w:type="dxa"/>
            <w:gridSpan w:val="2"/>
            <w:shd w:val="clear" w:color="auto" w:fill="auto"/>
            <w:noWrap/>
            <w:vAlign w:val="center"/>
            <w:hideMark/>
          </w:tcPr>
          <w:p w14:paraId="6C6DC022"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Тренутна пројекција</w:t>
            </w:r>
            <w:r w:rsidRPr="00092ED7">
              <w:rPr>
                <w:rFonts w:eastAsia="Times New Roman" w:cs="Times New Roman"/>
                <w:sz w:val="18"/>
                <w:szCs w:val="18"/>
                <w:vertAlign w:val="superscript"/>
                <w:lang w:val="sr-Cyrl-CS" w:eastAsia="en-GB"/>
              </w:rPr>
              <w:t>1</w:t>
            </w:r>
          </w:p>
        </w:tc>
        <w:tc>
          <w:tcPr>
            <w:tcW w:w="1418" w:type="dxa"/>
            <w:gridSpan w:val="2"/>
            <w:shd w:val="clear" w:color="auto" w:fill="auto"/>
            <w:noWrap/>
            <w:vAlign w:val="center"/>
            <w:hideMark/>
          </w:tcPr>
          <w:p w14:paraId="4970C991"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Претходна (пролећна) пројекција</w:t>
            </w:r>
            <w:r w:rsidRPr="00092ED7">
              <w:rPr>
                <w:rFonts w:eastAsia="Times New Roman" w:cs="Times New Roman"/>
                <w:sz w:val="18"/>
                <w:szCs w:val="18"/>
                <w:vertAlign w:val="superscript"/>
                <w:lang w:val="sr-Cyrl-CS" w:eastAsia="en-GB"/>
              </w:rPr>
              <w:t>1</w:t>
            </w:r>
          </w:p>
        </w:tc>
        <w:tc>
          <w:tcPr>
            <w:tcW w:w="1418" w:type="dxa"/>
            <w:gridSpan w:val="2"/>
            <w:shd w:val="clear" w:color="auto" w:fill="auto"/>
            <w:noWrap/>
            <w:vAlign w:val="center"/>
            <w:hideMark/>
          </w:tcPr>
          <w:p w14:paraId="06F1AB34"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Претходна (јесења) пројекција*</w:t>
            </w:r>
          </w:p>
        </w:tc>
      </w:tr>
      <w:tr w:rsidR="009F0D95" w:rsidRPr="00092ED7" w14:paraId="4EC3B33A" w14:textId="77777777" w:rsidTr="00BD3989">
        <w:trPr>
          <w:trHeight w:val="283"/>
        </w:trPr>
        <w:tc>
          <w:tcPr>
            <w:tcW w:w="4117" w:type="dxa"/>
            <w:shd w:val="clear" w:color="auto" w:fill="auto"/>
            <w:noWrap/>
            <w:vAlign w:val="center"/>
            <w:hideMark/>
          </w:tcPr>
          <w:p w14:paraId="6E4227B5" w14:textId="77777777" w:rsidR="009F0D95" w:rsidRPr="00092ED7" w:rsidRDefault="009F0D95" w:rsidP="00BD3989">
            <w:pPr>
              <w:spacing w:after="0"/>
              <w:jc w:val="center"/>
              <w:rPr>
                <w:rFonts w:eastAsia="Times New Roman" w:cs="Times New Roman"/>
                <w:sz w:val="18"/>
                <w:szCs w:val="18"/>
                <w:lang w:val="sr-Cyrl-CS" w:eastAsia="en-GB"/>
              </w:rPr>
            </w:pPr>
          </w:p>
        </w:tc>
        <w:tc>
          <w:tcPr>
            <w:tcW w:w="708" w:type="dxa"/>
            <w:shd w:val="clear" w:color="auto" w:fill="auto"/>
            <w:noWrap/>
            <w:vAlign w:val="center"/>
            <w:hideMark/>
          </w:tcPr>
          <w:p w14:paraId="7AFA4B08"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2022</w:t>
            </w:r>
          </w:p>
        </w:tc>
        <w:tc>
          <w:tcPr>
            <w:tcW w:w="709" w:type="dxa"/>
            <w:shd w:val="clear" w:color="auto" w:fill="auto"/>
            <w:noWrap/>
            <w:vAlign w:val="center"/>
            <w:hideMark/>
          </w:tcPr>
          <w:p w14:paraId="6F1D58EE"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2023</w:t>
            </w:r>
          </w:p>
        </w:tc>
        <w:tc>
          <w:tcPr>
            <w:tcW w:w="709" w:type="dxa"/>
            <w:shd w:val="clear" w:color="auto" w:fill="auto"/>
            <w:noWrap/>
            <w:vAlign w:val="center"/>
            <w:hideMark/>
          </w:tcPr>
          <w:p w14:paraId="53E9995F"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2024</w:t>
            </w:r>
          </w:p>
        </w:tc>
        <w:tc>
          <w:tcPr>
            <w:tcW w:w="709" w:type="dxa"/>
            <w:shd w:val="clear" w:color="auto" w:fill="auto"/>
            <w:noWrap/>
            <w:vAlign w:val="center"/>
            <w:hideMark/>
          </w:tcPr>
          <w:p w14:paraId="43ADB58B"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2022</w:t>
            </w:r>
          </w:p>
        </w:tc>
        <w:tc>
          <w:tcPr>
            <w:tcW w:w="709" w:type="dxa"/>
            <w:shd w:val="clear" w:color="auto" w:fill="auto"/>
            <w:vAlign w:val="center"/>
            <w:hideMark/>
          </w:tcPr>
          <w:p w14:paraId="7A1A5BC7"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2023</w:t>
            </w:r>
          </w:p>
        </w:tc>
        <w:tc>
          <w:tcPr>
            <w:tcW w:w="709" w:type="dxa"/>
            <w:shd w:val="clear" w:color="auto" w:fill="auto"/>
            <w:noWrap/>
            <w:vAlign w:val="center"/>
            <w:hideMark/>
          </w:tcPr>
          <w:p w14:paraId="603FC9AB"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2022</w:t>
            </w:r>
          </w:p>
        </w:tc>
        <w:tc>
          <w:tcPr>
            <w:tcW w:w="709" w:type="dxa"/>
            <w:shd w:val="clear" w:color="auto" w:fill="auto"/>
            <w:vAlign w:val="center"/>
            <w:hideMark/>
          </w:tcPr>
          <w:p w14:paraId="0A288003"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2023</w:t>
            </w:r>
          </w:p>
        </w:tc>
      </w:tr>
      <w:tr w:rsidR="009F0D95" w:rsidRPr="00092ED7" w14:paraId="58A1BDD2" w14:textId="77777777" w:rsidTr="00BD3989">
        <w:trPr>
          <w:trHeight w:val="283"/>
        </w:trPr>
        <w:tc>
          <w:tcPr>
            <w:tcW w:w="4117" w:type="dxa"/>
            <w:shd w:val="clear" w:color="auto" w:fill="auto"/>
            <w:noWrap/>
            <w:vAlign w:val="center"/>
            <w:hideMark/>
          </w:tcPr>
          <w:p w14:paraId="44BFA47E" w14:textId="77777777" w:rsidR="009F0D95" w:rsidRPr="00092ED7" w:rsidRDefault="009F0D95" w:rsidP="00BD3989">
            <w:pPr>
              <w:spacing w:after="0"/>
              <w:rPr>
                <w:rFonts w:eastAsia="Times New Roman" w:cs="Times New Roman"/>
                <w:sz w:val="18"/>
                <w:szCs w:val="18"/>
                <w:lang w:val="sr-Cyrl-CS" w:eastAsia="en-GB"/>
              </w:rPr>
            </w:pPr>
            <w:r w:rsidRPr="00092ED7">
              <w:rPr>
                <w:rFonts w:eastAsia="Times New Roman" w:cs="Times New Roman"/>
                <w:sz w:val="18"/>
                <w:szCs w:val="18"/>
                <w:lang w:val="sr-Cyrl-CS" w:eastAsia="en-GB"/>
              </w:rPr>
              <w:t>БДП</w:t>
            </w:r>
          </w:p>
        </w:tc>
        <w:tc>
          <w:tcPr>
            <w:tcW w:w="708" w:type="dxa"/>
            <w:shd w:val="clear" w:color="auto" w:fill="auto"/>
            <w:noWrap/>
            <w:vAlign w:val="center"/>
            <w:hideMark/>
          </w:tcPr>
          <w:p w14:paraId="0716493F"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3,2</w:t>
            </w:r>
          </w:p>
        </w:tc>
        <w:tc>
          <w:tcPr>
            <w:tcW w:w="709" w:type="dxa"/>
            <w:shd w:val="clear" w:color="auto" w:fill="auto"/>
            <w:noWrap/>
            <w:vAlign w:val="center"/>
            <w:hideMark/>
          </w:tcPr>
          <w:p w14:paraId="7D04B6B2"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0,3</w:t>
            </w:r>
          </w:p>
        </w:tc>
        <w:tc>
          <w:tcPr>
            <w:tcW w:w="709" w:type="dxa"/>
            <w:shd w:val="clear" w:color="auto" w:fill="auto"/>
            <w:noWrap/>
            <w:vAlign w:val="center"/>
            <w:hideMark/>
          </w:tcPr>
          <w:p w14:paraId="38E1CF70"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1,5</w:t>
            </w:r>
          </w:p>
        </w:tc>
        <w:tc>
          <w:tcPr>
            <w:tcW w:w="709" w:type="dxa"/>
            <w:shd w:val="clear" w:color="auto" w:fill="auto"/>
            <w:noWrap/>
            <w:vAlign w:val="center"/>
            <w:hideMark/>
          </w:tcPr>
          <w:p w14:paraId="49DFD06E"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2,7</w:t>
            </w:r>
          </w:p>
        </w:tc>
        <w:tc>
          <w:tcPr>
            <w:tcW w:w="709" w:type="dxa"/>
            <w:shd w:val="clear" w:color="auto" w:fill="auto"/>
            <w:vAlign w:val="center"/>
            <w:hideMark/>
          </w:tcPr>
          <w:p w14:paraId="2A4BF683"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2,3</w:t>
            </w:r>
          </w:p>
        </w:tc>
        <w:tc>
          <w:tcPr>
            <w:tcW w:w="709" w:type="dxa"/>
            <w:shd w:val="clear" w:color="auto" w:fill="auto"/>
            <w:noWrap/>
            <w:vAlign w:val="center"/>
            <w:hideMark/>
          </w:tcPr>
          <w:p w14:paraId="3F3CBE4E"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4,3</w:t>
            </w:r>
          </w:p>
        </w:tc>
        <w:tc>
          <w:tcPr>
            <w:tcW w:w="709" w:type="dxa"/>
            <w:shd w:val="clear" w:color="auto" w:fill="auto"/>
            <w:vAlign w:val="center"/>
            <w:hideMark/>
          </w:tcPr>
          <w:p w14:paraId="185D9174"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2,4</w:t>
            </w:r>
          </w:p>
        </w:tc>
      </w:tr>
      <w:tr w:rsidR="009F0D95" w:rsidRPr="00092ED7" w14:paraId="15122399" w14:textId="77777777" w:rsidTr="00BD3989">
        <w:trPr>
          <w:trHeight w:val="283"/>
        </w:trPr>
        <w:tc>
          <w:tcPr>
            <w:tcW w:w="4117" w:type="dxa"/>
            <w:shd w:val="clear" w:color="auto" w:fill="auto"/>
            <w:noWrap/>
            <w:vAlign w:val="center"/>
            <w:hideMark/>
          </w:tcPr>
          <w:p w14:paraId="4FFC0159" w14:textId="77777777" w:rsidR="009F0D95" w:rsidRPr="00092ED7" w:rsidRDefault="009F0D95" w:rsidP="00BD3989">
            <w:pPr>
              <w:spacing w:after="0"/>
              <w:ind w:firstLine="340"/>
              <w:rPr>
                <w:rFonts w:eastAsia="Times New Roman" w:cs="Times New Roman"/>
                <w:sz w:val="18"/>
                <w:szCs w:val="18"/>
                <w:lang w:val="sr-Cyrl-CS" w:eastAsia="en-GB"/>
              </w:rPr>
            </w:pPr>
            <w:r w:rsidRPr="00092ED7">
              <w:rPr>
                <w:rFonts w:eastAsia="Times New Roman" w:cs="Times New Roman"/>
                <w:sz w:val="18"/>
                <w:szCs w:val="18"/>
                <w:lang w:val="sr-Cyrl-CS" w:eastAsia="en-GB"/>
              </w:rPr>
              <w:t>Лична потрошња</w:t>
            </w:r>
          </w:p>
        </w:tc>
        <w:tc>
          <w:tcPr>
            <w:tcW w:w="708" w:type="dxa"/>
            <w:shd w:val="clear" w:color="auto" w:fill="auto"/>
            <w:noWrap/>
            <w:vAlign w:val="center"/>
            <w:hideMark/>
          </w:tcPr>
          <w:p w14:paraId="11CC87EE"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3,7</w:t>
            </w:r>
          </w:p>
        </w:tc>
        <w:tc>
          <w:tcPr>
            <w:tcW w:w="709" w:type="dxa"/>
            <w:shd w:val="clear" w:color="auto" w:fill="auto"/>
            <w:noWrap/>
            <w:vAlign w:val="center"/>
            <w:hideMark/>
          </w:tcPr>
          <w:p w14:paraId="6E876BB5"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0,1</w:t>
            </w:r>
          </w:p>
        </w:tc>
        <w:tc>
          <w:tcPr>
            <w:tcW w:w="709" w:type="dxa"/>
            <w:shd w:val="clear" w:color="auto" w:fill="auto"/>
            <w:noWrap/>
            <w:vAlign w:val="center"/>
            <w:hideMark/>
          </w:tcPr>
          <w:p w14:paraId="5C3BEC13"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1,5</w:t>
            </w:r>
          </w:p>
        </w:tc>
        <w:tc>
          <w:tcPr>
            <w:tcW w:w="709" w:type="dxa"/>
            <w:shd w:val="clear" w:color="auto" w:fill="auto"/>
            <w:noWrap/>
            <w:vAlign w:val="center"/>
            <w:hideMark/>
          </w:tcPr>
          <w:p w14:paraId="01DC6F58"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3,2</w:t>
            </w:r>
          </w:p>
        </w:tc>
        <w:tc>
          <w:tcPr>
            <w:tcW w:w="709" w:type="dxa"/>
            <w:shd w:val="clear" w:color="auto" w:fill="auto"/>
            <w:vAlign w:val="center"/>
            <w:hideMark/>
          </w:tcPr>
          <w:p w14:paraId="00A83FAA"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2,6</w:t>
            </w:r>
          </w:p>
        </w:tc>
        <w:tc>
          <w:tcPr>
            <w:tcW w:w="709" w:type="dxa"/>
            <w:shd w:val="clear" w:color="auto" w:fill="auto"/>
            <w:noWrap/>
            <w:vAlign w:val="center"/>
            <w:hideMark/>
          </w:tcPr>
          <w:p w14:paraId="519F152E"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5,5</w:t>
            </w:r>
          </w:p>
        </w:tc>
        <w:tc>
          <w:tcPr>
            <w:tcW w:w="709" w:type="dxa"/>
            <w:shd w:val="clear" w:color="auto" w:fill="auto"/>
            <w:vAlign w:val="center"/>
            <w:hideMark/>
          </w:tcPr>
          <w:p w14:paraId="5EFC6DEE"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2,2</w:t>
            </w:r>
          </w:p>
        </w:tc>
      </w:tr>
      <w:tr w:rsidR="009F0D95" w:rsidRPr="00092ED7" w14:paraId="59A2133B" w14:textId="77777777" w:rsidTr="00BD3989">
        <w:trPr>
          <w:trHeight w:val="283"/>
        </w:trPr>
        <w:tc>
          <w:tcPr>
            <w:tcW w:w="4117" w:type="dxa"/>
            <w:shd w:val="clear" w:color="auto" w:fill="auto"/>
            <w:noWrap/>
            <w:vAlign w:val="center"/>
            <w:hideMark/>
          </w:tcPr>
          <w:p w14:paraId="73EC59C7" w14:textId="77777777" w:rsidR="009F0D95" w:rsidRPr="00092ED7" w:rsidRDefault="009F0D95" w:rsidP="00BD3989">
            <w:pPr>
              <w:spacing w:after="0"/>
              <w:ind w:firstLine="340"/>
              <w:rPr>
                <w:rFonts w:eastAsia="Times New Roman" w:cs="Times New Roman"/>
                <w:sz w:val="18"/>
                <w:szCs w:val="18"/>
                <w:lang w:val="sr-Cyrl-CS" w:eastAsia="en-GB"/>
              </w:rPr>
            </w:pPr>
            <w:r w:rsidRPr="00092ED7">
              <w:rPr>
                <w:rFonts w:eastAsia="Times New Roman" w:cs="Times New Roman"/>
                <w:sz w:val="18"/>
                <w:szCs w:val="18"/>
                <w:lang w:val="sr-Cyrl-CS" w:eastAsia="en-GB"/>
              </w:rPr>
              <w:t>Државна потрошња</w:t>
            </w:r>
          </w:p>
        </w:tc>
        <w:tc>
          <w:tcPr>
            <w:tcW w:w="708" w:type="dxa"/>
            <w:shd w:val="clear" w:color="auto" w:fill="auto"/>
            <w:noWrap/>
            <w:vAlign w:val="center"/>
            <w:hideMark/>
          </w:tcPr>
          <w:p w14:paraId="4D3D2625"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1,4</w:t>
            </w:r>
          </w:p>
        </w:tc>
        <w:tc>
          <w:tcPr>
            <w:tcW w:w="709" w:type="dxa"/>
            <w:shd w:val="clear" w:color="auto" w:fill="auto"/>
            <w:noWrap/>
            <w:vAlign w:val="center"/>
            <w:hideMark/>
          </w:tcPr>
          <w:p w14:paraId="3DED4736"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0,3</w:t>
            </w:r>
          </w:p>
        </w:tc>
        <w:tc>
          <w:tcPr>
            <w:tcW w:w="709" w:type="dxa"/>
            <w:shd w:val="clear" w:color="auto" w:fill="auto"/>
            <w:noWrap/>
            <w:vAlign w:val="center"/>
            <w:hideMark/>
          </w:tcPr>
          <w:p w14:paraId="52D1C06D"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0,8</w:t>
            </w:r>
          </w:p>
        </w:tc>
        <w:tc>
          <w:tcPr>
            <w:tcW w:w="709" w:type="dxa"/>
            <w:shd w:val="clear" w:color="auto" w:fill="auto"/>
            <w:noWrap/>
            <w:vAlign w:val="center"/>
            <w:hideMark/>
          </w:tcPr>
          <w:p w14:paraId="53CFFF52"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0,8</w:t>
            </w:r>
          </w:p>
        </w:tc>
        <w:tc>
          <w:tcPr>
            <w:tcW w:w="709" w:type="dxa"/>
            <w:shd w:val="clear" w:color="auto" w:fill="auto"/>
            <w:vAlign w:val="center"/>
            <w:hideMark/>
          </w:tcPr>
          <w:p w14:paraId="6D82D1F1"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0,5</w:t>
            </w:r>
          </w:p>
        </w:tc>
        <w:tc>
          <w:tcPr>
            <w:tcW w:w="709" w:type="dxa"/>
            <w:shd w:val="clear" w:color="auto" w:fill="auto"/>
            <w:noWrap/>
            <w:vAlign w:val="center"/>
            <w:hideMark/>
          </w:tcPr>
          <w:p w14:paraId="4EBCECA2"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0,9</w:t>
            </w:r>
          </w:p>
        </w:tc>
        <w:tc>
          <w:tcPr>
            <w:tcW w:w="709" w:type="dxa"/>
            <w:shd w:val="clear" w:color="auto" w:fill="auto"/>
            <w:vAlign w:val="center"/>
            <w:hideMark/>
          </w:tcPr>
          <w:p w14:paraId="40CED3D9"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0,8</w:t>
            </w:r>
          </w:p>
        </w:tc>
      </w:tr>
      <w:tr w:rsidR="009F0D95" w:rsidRPr="00092ED7" w14:paraId="4B64CBB6" w14:textId="77777777" w:rsidTr="00BD3989">
        <w:trPr>
          <w:trHeight w:val="283"/>
        </w:trPr>
        <w:tc>
          <w:tcPr>
            <w:tcW w:w="4117" w:type="dxa"/>
            <w:shd w:val="clear" w:color="auto" w:fill="auto"/>
            <w:noWrap/>
            <w:vAlign w:val="center"/>
            <w:hideMark/>
          </w:tcPr>
          <w:p w14:paraId="39C8B1C0" w14:textId="77777777" w:rsidR="009F0D95" w:rsidRPr="00092ED7" w:rsidRDefault="009F0D95" w:rsidP="00BD3989">
            <w:pPr>
              <w:spacing w:after="0"/>
              <w:ind w:firstLine="340"/>
              <w:rPr>
                <w:rFonts w:eastAsia="Times New Roman" w:cs="Times New Roman"/>
                <w:sz w:val="18"/>
                <w:szCs w:val="18"/>
                <w:lang w:val="sr-Cyrl-CS" w:eastAsia="en-GB"/>
              </w:rPr>
            </w:pPr>
            <w:r w:rsidRPr="00092ED7">
              <w:rPr>
                <w:rFonts w:eastAsia="Times New Roman" w:cs="Times New Roman"/>
                <w:sz w:val="18"/>
                <w:szCs w:val="18"/>
                <w:lang w:val="sr-Cyrl-CS" w:eastAsia="en-GB"/>
              </w:rPr>
              <w:t>Бруто инвестиције у основна средства</w:t>
            </w:r>
          </w:p>
        </w:tc>
        <w:tc>
          <w:tcPr>
            <w:tcW w:w="708" w:type="dxa"/>
            <w:shd w:val="clear" w:color="auto" w:fill="auto"/>
            <w:noWrap/>
            <w:vAlign w:val="center"/>
            <w:hideMark/>
          </w:tcPr>
          <w:p w14:paraId="6357DB21"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2,8</w:t>
            </w:r>
          </w:p>
        </w:tc>
        <w:tc>
          <w:tcPr>
            <w:tcW w:w="709" w:type="dxa"/>
            <w:shd w:val="clear" w:color="auto" w:fill="auto"/>
            <w:noWrap/>
            <w:vAlign w:val="center"/>
            <w:hideMark/>
          </w:tcPr>
          <w:p w14:paraId="3C7E6CA9"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0,5</w:t>
            </w:r>
          </w:p>
        </w:tc>
        <w:tc>
          <w:tcPr>
            <w:tcW w:w="709" w:type="dxa"/>
            <w:shd w:val="clear" w:color="auto" w:fill="auto"/>
            <w:noWrap/>
            <w:vAlign w:val="center"/>
            <w:hideMark/>
          </w:tcPr>
          <w:p w14:paraId="591B69E8"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2,3</w:t>
            </w:r>
          </w:p>
        </w:tc>
        <w:tc>
          <w:tcPr>
            <w:tcW w:w="709" w:type="dxa"/>
            <w:shd w:val="clear" w:color="auto" w:fill="auto"/>
            <w:noWrap/>
            <w:vAlign w:val="center"/>
            <w:hideMark/>
          </w:tcPr>
          <w:p w14:paraId="0BBAD34F"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3,1</w:t>
            </w:r>
          </w:p>
        </w:tc>
        <w:tc>
          <w:tcPr>
            <w:tcW w:w="709" w:type="dxa"/>
            <w:shd w:val="clear" w:color="auto" w:fill="auto"/>
            <w:vAlign w:val="center"/>
            <w:hideMark/>
          </w:tcPr>
          <w:p w14:paraId="19493200"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3,6</w:t>
            </w:r>
          </w:p>
        </w:tc>
        <w:tc>
          <w:tcPr>
            <w:tcW w:w="709" w:type="dxa"/>
            <w:shd w:val="clear" w:color="auto" w:fill="auto"/>
            <w:noWrap/>
            <w:vAlign w:val="center"/>
            <w:hideMark/>
          </w:tcPr>
          <w:p w14:paraId="280FFB99"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4,4</w:t>
            </w:r>
          </w:p>
        </w:tc>
        <w:tc>
          <w:tcPr>
            <w:tcW w:w="709" w:type="dxa"/>
            <w:shd w:val="clear" w:color="auto" w:fill="auto"/>
            <w:vAlign w:val="center"/>
            <w:hideMark/>
          </w:tcPr>
          <w:p w14:paraId="0833EF02"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3,9</w:t>
            </w:r>
          </w:p>
        </w:tc>
      </w:tr>
      <w:tr w:rsidR="009F0D95" w:rsidRPr="00092ED7" w14:paraId="2BA13854" w14:textId="77777777" w:rsidTr="00BD3989">
        <w:trPr>
          <w:trHeight w:val="283"/>
        </w:trPr>
        <w:tc>
          <w:tcPr>
            <w:tcW w:w="4117" w:type="dxa"/>
            <w:shd w:val="clear" w:color="auto" w:fill="auto"/>
            <w:noWrap/>
            <w:vAlign w:val="center"/>
            <w:hideMark/>
          </w:tcPr>
          <w:p w14:paraId="74E7D07E" w14:textId="77777777" w:rsidR="009F0D95" w:rsidRPr="00092ED7" w:rsidRDefault="009F0D95" w:rsidP="00BD3989">
            <w:pPr>
              <w:spacing w:after="0"/>
              <w:ind w:firstLine="340"/>
              <w:rPr>
                <w:rFonts w:eastAsia="Times New Roman" w:cs="Times New Roman"/>
                <w:sz w:val="18"/>
                <w:szCs w:val="18"/>
                <w:lang w:val="sr-Cyrl-CS" w:eastAsia="en-GB"/>
              </w:rPr>
            </w:pPr>
            <w:r w:rsidRPr="00092ED7">
              <w:rPr>
                <w:rFonts w:eastAsia="Times New Roman" w:cs="Times New Roman"/>
                <w:sz w:val="18"/>
                <w:szCs w:val="18"/>
                <w:lang w:val="sr-Cyrl-CS" w:eastAsia="en-GB"/>
              </w:rPr>
              <w:t>Извоз</w:t>
            </w:r>
          </w:p>
        </w:tc>
        <w:tc>
          <w:tcPr>
            <w:tcW w:w="708" w:type="dxa"/>
            <w:shd w:val="clear" w:color="auto" w:fill="auto"/>
            <w:noWrap/>
            <w:vAlign w:val="center"/>
            <w:hideMark/>
          </w:tcPr>
          <w:p w14:paraId="7C3667A2"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6,6</w:t>
            </w:r>
          </w:p>
        </w:tc>
        <w:tc>
          <w:tcPr>
            <w:tcW w:w="709" w:type="dxa"/>
            <w:shd w:val="clear" w:color="auto" w:fill="auto"/>
            <w:noWrap/>
            <w:vAlign w:val="center"/>
            <w:hideMark/>
          </w:tcPr>
          <w:p w14:paraId="4E32A76A"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2,0</w:t>
            </w:r>
          </w:p>
        </w:tc>
        <w:tc>
          <w:tcPr>
            <w:tcW w:w="709" w:type="dxa"/>
            <w:shd w:val="clear" w:color="auto" w:fill="auto"/>
            <w:noWrap/>
            <w:vAlign w:val="center"/>
            <w:hideMark/>
          </w:tcPr>
          <w:p w14:paraId="084D6733"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3,4</w:t>
            </w:r>
          </w:p>
        </w:tc>
        <w:tc>
          <w:tcPr>
            <w:tcW w:w="709" w:type="dxa"/>
            <w:shd w:val="clear" w:color="auto" w:fill="auto"/>
            <w:noWrap/>
            <w:vAlign w:val="center"/>
            <w:hideMark/>
          </w:tcPr>
          <w:p w14:paraId="1C7CD344"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5,2</w:t>
            </w:r>
          </w:p>
        </w:tc>
        <w:tc>
          <w:tcPr>
            <w:tcW w:w="709" w:type="dxa"/>
            <w:shd w:val="clear" w:color="auto" w:fill="auto"/>
            <w:vAlign w:val="center"/>
            <w:hideMark/>
          </w:tcPr>
          <w:p w14:paraId="7BC192F8"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4,7</w:t>
            </w:r>
          </w:p>
        </w:tc>
        <w:tc>
          <w:tcPr>
            <w:tcW w:w="709" w:type="dxa"/>
            <w:shd w:val="clear" w:color="auto" w:fill="auto"/>
            <w:noWrap/>
            <w:vAlign w:val="center"/>
            <w:hideMark/>
          </w:tcPr>
          <w:p w14:paraId="4C3027EF"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7,3</w:t>
            </w:r>
          </w:p>
        </w:tc>
        <w:tc>
          <w:tcPr>
            <w:tcW w:w="709" w:type="dxa"/>
            <w:shd w:val="clear" w:color="auto" w:fill="auto"/>
            <w:vAlign w:val="center"/>
            <w:hideMark/>
          </w:tcPr>
          <w:p w14:paraId="6E78CEC4"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5,2</w:t>
            </w:r>
          </w:p>
        </w:tc>
      </w:tr>
      <w:tr w:rsidR="009F0D95" w:rsidRPr="00092ED7" w14:paraId="38C5EE87" w14:textId="77777777" w:rsidTr="00BD3989">
        <w:trPr>
          <w:trHeight w:val="283"/>
        </w:trPr>
        <w:tc>
          <w:tcPr>
            <w:tcW w:w="4117" w:type="dxa"/>
            <w:shd w:val="clear" w:color="auto" w:fill="auto"/>
            <w:noWrap/>
            <w:vAlign w:val="center"/>
            <w:hideMark/>
          </w:tcPr>
          <w:p w14:paraId="62FAC38F" w14:textId="77777777" w:rsidR="009F0D95" w:rsidRPr="00092ED7" w:rsidRDefault="009F0D95" w:rsidP="00BD3989">
            <w:pPr>
              <w:spacing w:after="0"/>
              <w:ind w:firstLine="340"/>
              <w:rPr>
                <w:rFonts w:eastAsia="Times New Roman" w:cs="Times New Roman"/>
                <w:sz w:val="18"/>
                <w:szCs w:val="18"/>
                <w:lang w:val="sr-Cyrl-CS" w:eastAsia="en-GB"/>
              </w:rPr>
            </w:pPr>
            <w:r w:rsidRPr="00092ED7">
              <w:rPr>
                <w:rFonts w:eastAsia="Times New Roman" w:cs="Times New Roman"/>
                <w:sz w:val="18"/>
                <w:szCs w:val="18"/>
                <w:lang w:val="sr-Cyrl-CS" w:eastAsia="en-GB"/>
              </w:rPr>
              <w:t>Увоз</w:t>
            </w:r>
          </w:p>
        </w:tc>
        <w:tc>
          <w:tcPr>
            <w:tcW w:w="708" w:type="dxa"/>
            <w:shd w:val="clear" w:color="auto" w:fill="auto"/>
            <w:noWrap/>
            <w:vAlign w:val="center"/>
            <w:hideMark/>
          </w:tcPr>
          <w:p w14:paraId="492D2502"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6,8</w:t>
            </w:r>
          </w:p>
        </w:tc>
        <w:tc>
          <w:tcPr>
            <w:tcW w:w="709" w:type="dxa"/>
            <w:shd w:val="clear" w:color="auto" w:fill="auto"/>
            <w:noWrap/>
            <w:vAlign w:val="center"/>
            <w:hideMark/>
          </w:tcPr>
          <w:p w14:paraId="63F19252"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1,9</w:t>
            </w:r>
          </w:p>
        </w:tc>
        <w:tc>
          <w:tcPr>
            <w:tcW w:w="709" w:type="dxa"/>
            <w:shd w:val="clear" w:color="auto" w:fill="auto"/>
            <w:noWrap/>
            <w:vAlign w:val="center"/>
            <w:hideMark/>
          </w:tcPr>
          <w:p w14:paraId="45873067"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3,5</w:t>
            </w:r>
          </w:p>
        </w:tc>
        <w:tc>
          <w:tcPr>
            <w:tcW w:w="709" w:type="dxa"/>
            <w:shd w:val="clear" w:color="auto" w:fill="auto"/>
            <w:noWrap/>
            <w:vAlign w:val="center"/>
            <w:hideMark/>
          </w:tcPr>
          <w:p w14:paraId="6E58A65F"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5,2</w:t>
            </w:r>
          </w:p>
        </w:tc>
        <w:tc>
          <w:tcPr>
            <w:tcW w:w="709" w:type="dxa"/>
            <w:shd w:val="clear" w:color="auto" w:fill="auto"/>
            <w:vAlign w:val="center"/>
            <w:hideMark/>
          </w:tcPr>
          <w:p w14:paraId="59F38B3D"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4,8</w:t>
            </w:r>
          </w:p>
        </w:tc>
        <w:tc>
          <w:tcPr>
            <w:tcW w:w="709" w:type="dxa"/>
            <w:shd w:val="clear" w:color="auto" w:fill="auto"/>
            <w:noWrap/>
            <w:vAlign w:val="center"/>
            <w:hideMark/>
          </w:tcPr>
          <w:p w14:paraId="6F317F65"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7,2</w:t>
            </w:r>
          </w:p>
        </w:tc>
        <w:tc>
          <w:tcPr>
            <w:tcW w:w="709" w:type="dxa"/>
            <w:shd w:val="clear" w:color="auto" w:fill="auto"/>
            <w:vAlign w:val="center"/>
            <w:hideMark/>
          </w:tcPr>
          <w:p w14:paraId="58F13688"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5,1</w:t>
            </w:r>
          </w:p>
        </w:tc>
      </w:tr>
      <w:tr w:rsidR="009F0D95" w:rsidRPr="00092ED7" w14:paraId="7382A774" w14:textId="77777777" w:rsidTr="00BD3989">
        <w:trPr>
          <w:trHeight w:val="283"/>
        </w:trPr>
        <w:tc>
          <w:tcPr>
            <w:tcW w:w="4117" w:type="dxa"/>
            <w:shd w:val="clear" w:color="auto" w:fill="auto"/>
            <w:noWrap/>
            <w:vAlign w:val="center"/>
            <w:hideMark/>
          </w:tcPr>
          <w:p w14:paraId="1C5C72D5" w14:textId="77777777" w:rsidR="009F0D95" w:rsidRPr="00092ED7" w:rsidRDefault="009F0D95" w:rsidP="00BD3989">
            <w:pPr>
              <w:spacing w:after="0"/>
              <w:rPr>
                <w:rFonts w:eastAsia="Times New Roman" w:cs="Times New Roman"/>
                <w:sz w:val="18"/>
                <w:szCs w:val="18"/>
                <w:lang w:val="sr-Cyrl-CS" w:eastAsia="en-GB"/>
              </w:rPr>
            </w:pPr>
            <w:r w:rsidRPr="00092ED7">
              <w:rPr>
                <w:rFonts w:eastAsia="Times New Roman" w:cs="Times New Roman"/>
                <w:sz w:val="18"/>
                <w:szCs w:val="18"/>
                <w:lang w:val="sr-Cyrl-CS" w:eastAsia="en-GB"/>
              </w:rPr>
              <w:t>Запосленост</w:t>
            </w:r>
          </w:p>
        </w:tc>
        <w:tc>
          <w:tcPr>
            <w:tcW w:w="708" w:type="dxa"/>
            <w:shd w:val="clear" w:color="auto" w:fill="auto"/>
            <w:noWrap/>
            <w:vAlign w:val="center"/>
            <w:hideMark/>
          </w:tcPr>
          <w:p w14:paraId="21AE1B4A"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1,8</w:t>
            </w:r>
          </w:p>
        </w:tc>
        <w:tc>
          <w:tcPr>
            <w:tcW w:w="709" w:type="dxa"/>
            <w:shd w:val="clear" w:color="auto" w:fill="auto"/>
            <w:noWrap/>
            <w:vAlign w:val="center"/>
            <w:hideMark/>
          </w:tcPr>
          <w:p w14:paraId="2F59AB6B"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0,1</w:t>
            </w:r>
          </w:p>
        </w:tc>
        <w:tc>
          <w:tcPr>
            <w:tcW w:w="709" w:type="dxa"/>
            <w:shd w:val="clear" w:color="auto" w:fill="auto"/>
            <w:noWrap/>
            <w:vAlign w:val="center"/>
            <w:hideMark/>
          </w:tcPr>
          <w:p w14:paraId="1E11F0EE"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0,5</w:t>
            </w:r>
          </w:p>
        </w:tc>
        <w:tc>
          <w:tcPr>
            <w:tcW w:w="709" w:type="dxa"/>
            <w:shd w:val="clear" w:color="auto" w:fill="auto"/>
            <w:noWrap/>
            <w:vAlign w:val="center"/>
            <w:hideMark/>
          </w:tcPr>
          <w:p w14:paraId="315491C2"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1,3</w:t>
            </w:r>
          </w:p>
        </w:tc>
        <w:tc>
          <w:tcPr>
            <w:tcW w:w="709" w:type="dxa"/>
            <w:shd w:val="clear" w:color="auto" w:fill="auto"/>
            <w:vAlign w:val="center"/>
            <w:hideMark/>
          </w:tcPr>
          <w:p w14:paraId="14689B44"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0,8</w:t>
            </w:r>
          </w:p>
        </w:tc>
        <w:tc>
          <w:tcPr>
            <w:tcW w:w="709" w:type="dxa"/>
            <w:shd w:val="clear" w:color="auto" w:fill="auto"/>
            <w:noWrap/>
            <w:vAlign w:val="center"/>
            <w:hideMark/>
          </w:tcPr>
          <w:p w14:paraId="0C1946BD"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1,0</w:t>
            </w:r>
          </w:p>
        </w:tc>
        <w:tc>
          <w:tcPr>
            <w:tcW w:w="709" w:type="dxa"/>
            <w:shd w:val="clear" w:color="auto" w:fill="auto"/>
            <w:vAlign w:val="center"/>
            <w:hideMark/>
          </w:tcPr>
          <w:p w14:paraId="40BB7BA1"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0,7</w:t>
            </w:r>
          </w:p>
        </w:tc>
      </w:tr>
      <w:tr w:rsidR="009F0D95" w:rsidRPr="00092ED7" w14:paraId="6C0AA816" w14:textId="77777777" w:rsidTr="00BD3989">
        <w:trPr>
          <w:trHeight w:val="283"/>
        </w:trPr>
        <w:tc>
          <w:tcPr>
            <w:tcW w:w="4117" w:type="dxa"/>
            <w:shd w:val="clear" w:color="auto" w:fill="auto"/>
            <w:noWrap/>
            <w:vAlign w:val="center"/>
            <w:hideMark/>
          </w:tcPr>
          <w:p w14:paraId="765EF06B" w14:textId="77777777" w:rsidR="009F0D95" w:rsidRPr="00092ED7" w:rsidRDefault="009F0D95" w:rsidP="00BD3989">
            <w:pPr>
              <w:spacing w:after="0"/>
              <w:rPr>
                <w:rFonts w:eastAsia="Times New Roman" w:cs="Times New Roman"/>
                <w:sz w:val="18"/>
                <w:szCs w:val="18"/>
                <w:lang w:val="sr-Cyrl-CS" w:eastAsia="en-GB"/>
              </w:rPr>
            </w:pPr>
            <w:r w:rsidRPr="00092ED7">
              <w:rPr>
                <w:rFonts w:eastAsia="Times New Roman" w:cs="Times New Roman"/>
                <w:sz w:val="18"/>
                <w:szCs w:val="18"/>
                <w:lang w:val="sr-Cyrl-CS" w:eastAsia="en-GB"/>
              </w:rPr>
              <w:t>Стопа незапослености, проценат радне снаге</w:t>
            </w:r>
          </w:p>
        </w:tc>
        <w:tc>
          <w:tcPr>
            <w:tcW w:w="708" w:type="dxa"/>
            <w:shd w:val="clear" w:color="auto" w:fill="auto"/>
            <w:noWrap/>
            <w:vAlign w:val="center"/>
            <w:hideMark/>
          </w:tcPr>
          <w:p w14:paraId="333A2CA3"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6,8</w:t>
            </w:r>
          </w:p>
        </w:tc>
        <w:tc>
          <w:tcPr>
            <w:tcW w:w="709" w:type="dxa"/>
            <w:shd w:val="clear" w:color="auto" w:fill="auto"/>
            <w:noWrap/>
            <w:vAlign w:val="center"/>
            <w:hideMark/>
          </w:tcPr>
          <w:p w14:paraId="59CF351E"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7,2</w:t>
            </w:r>
          </w:p>
        </w:tc>
        <w:tc>
          <w:tcPr>
            <w:tcW w:w="709" w:type="dxa"/>
            <w:shd w:val="clear" w:color="auto" w:fill="auto"/>
            <w:noWrap/>
            <w:vAlign w:val="center"/>
            <w:hideMark/>
          </w:tcPr>
          <w:p w14:paraId="7D3599CF"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7,0</w:t>
            </w:r>
          </w:p>
        </w:tc>
        <w:tc>
          <w:tcPr>
            <w:tcW w:w="709" w:type="dxa"/>
            <w:shd w:val="clear" w:color="auto" w:fill="auto"/>
            <w:noWrap/>
            <w:vAlign w:val="center"/>
            <w:hideMark/>
          </w:tcPr>
          <w:p w14:paraId="0C5A9935"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7,3</w:t>
            </w:r>
          </w:p>
        </w:tc>
        <w:tc>
          <w:tcPr>
            <w:tcW w:w="709" w:type="dxa"/>
            <w:shd w:val="clear" w:color="auto" w:fill="auto"/>
            <w:vAlign w:val="center"/>
            <w:hideMark/>
          </w:tcPr>
          <w:p w14:paraId="0AB4353D"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7,0</w:t>
            </w:r>
          </w:p>
        </w:tc>
        <w:tc>
          <w:tcPr>
            <w:tcW w:w="709" w:type="dxa"/>
            <w:shd w:val="clear" w:color="auto" w:fill="auto"/>
            <w:noWrap/>
            <w:vAlign w:val="center"/>
            <w:hideMark/>
          </w:tcPr>
          <w:p w14:paraId="3E6B145E"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7,5</w:t>
            </w:r>
          </w:p>
        </w:tc>
        <w:tc>
          <w:tcPr>
            <w:tcW w:w="709" w:type="dxa"/>
            <w:shd w:val="clear" w:color="auto" w:fill="auto"/>
            <w:vAlign w:val="center"/>
            <w:hideMark/>
          </w:tcPr>
          <w:p w14:paraId="2CF91E42"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7,3</w:t>
            </w:r>
          </w:p>
        </w:tc>
      </w:tr>
      <w:tr w:rsidR="009F0D95" w:rsidRPr="00092ED7" w14:paraId="75B0AE1A" w14:textId="77777777" w:rsidTr="00BD3989">
        <w:trPr>
          <w:trHeight w:val="283"/>
        </w:trPr>
        <w:tc>
          <w:tcPr>
            <w:tcW w:w="4117" w:type="dxa"/>
            <w:shd w:val="clear" w:color="auto" w:fill="auto"/>
            <w:noWrap/>
            <w:vAlign w:val="center"/>
            <w:hideMark/>
          </w:tcPr>
          <w:p w14:paraId="6FDF3339" w14:textId="77777777" w:rsidR="009F0D95" w:rsidRPr="00092ED7" w:rsidRDefault="009F0D95" w:rsidP="00BD3989">
            <w:pPr>
              <w:spacing w:after="0"/>
              <w:rPr>
                <w:rFonts w:eastAsia="Times New Roman" w:cs="Times New Roman"/>
                <w:sz w:val="18"/>
                <w:szCs w:val="18"/>
                <w:lang w:val="sr-Cyrl-CS" w:eastAsia="en-GB"/>
              </w:rPr>
            </w:pPr>
            <w:r w:rsidRPr="00092ED7">
              <w:rPr>
                <w:rFonts w:eastAsia="Times New Roman" w:cs="Times New Roman"/>
                <w:sz w:val="18"/>
                <w:szCs w:val="18"/>
                <w:lang w:val="sr-Cyrl-CS" w:eastAsia="en-GB"/>
              </w:rPr>
              <w:t>Инфлација</w:t>
            </w:r>
          </w:p>
        </w:tc>
        <w:tc>
          <w:tcPr>
            <w:tcW w:w="708" w:type="dxa"/>
            <w:shd w:val="clear" w:color="auto" w:fill="auto"/>
            <w:noWrap/>
            <w:vAlign w:val="center"/>
            <w:hideMark/>
          </w:tcPr>
          <w:p w14:paraId="60BD0CD0"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8,5</w:t>
            </w:r>
          </w:p>
        </w:tc>
        <w:tc>
          <w:tcPr>
            <w:tcW w:w="709" w:type="dxa"/>
            <w:shd w:val="clear" w:color="auto" w:fill="auto"/>
            <w:noWrap/>
            <w:vAlign w:val="center"/>
            <w:hideMark/>
          </w:tcPr>
          <w:p w14:paraId="4FA1722F"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6,1</w:t>
            </w:r>
          </w:p>
        </w:tc>
        <w:tc>
          <w:tcPr>
            <w:tcW w:w="709" w:type="dxa"/>
            <w:shd w:val="clear" w:color="auto" w:fill="auto"/>
            <w:noWrap/>
            <w:vAlign w:val="center"/>
            <w:hideMark/>
          </w:tcPr>
          <w:p w14:paraId="7FA6611E"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2,6</w:t>
            </w:r>
          </w:p>
        </w:tc>
        <w:tc>
          <w:tcPr>
            <w:tcW w:w="709" w:type="dxa"/>
            <w:shd w:val="clear" w:color="auto" w:fill="auto"/>
            <w:noWrap/>
            <w:vAlign w:val="center"/>
            <w:hideMark/>
          </w:tcPr>
          <w:p w14:paraId="2CE8B941"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6,1</w:t>
            </w:r>
          </w:p>
        </w:tc>
        <w:tc>
          <w:tcPr>
            <w:tcW w:w="709" w:type="dxa"/>
            <w:shd w:val="clear" w:color="auto" w:fill="auto"/>
            <w:vAlign w:val="center"/>
            <w:hideMark/>
          </w:tcPr>
          <w:p w14:paraId="7717C81A"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2,7</w:t>
            </w:r>
          </w:p>
        </w:tc>
        <w:tc>
          <w:tcPr>
            <w:tcW w:w="709" w:type="dxa"/>
            <w:shd w:val="clear" w:color="auto" w:fill="auto"/>
            <w:noWrap/>
            <w:vAlign w:val="center"/>
            <w:hideMark/>
          </w:tcPr>
          <w:p w14:paraId="66649750"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2,2</w:t>
            </w:r>
          </w:p>
        </w:tc>
        <w:tc>
          <w:tcPr>
            <w:tcW w:w="709" w:type="dxa"/>
            <w:shd w:val="clear" w:color="auto" w:fill="auto"/>
            <w:vAlign w:val="center"/>
            <w:hideMark/>
          </w:tcPr>
          <w:p w14:paraId="3C0DBA4B"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1,4</w:t>
            </w:r>
          </w:p>
        </w:tc>
      </w:tr>
      <w:tr w:rsidR="009F0D95" w:rsidRPr="00092ED7" w14:paraId="31CE2532" w14:textId="77777777" w:rsidTr="00BD3989">
        <w:trPr>
          <w:trHeight w:val="283"/>
        </w:trPr>
        <w:tc>
          <w:tcPr>
            <w:tcW w:w="4117" w:type="dxa"/>
            <w:shd w:val="clear" w:color="auto" w:fill="auto"/>
            <w:noWrap/>
            <w:vAlign w:val="center"/>
            <w:hideMark/>
          </w:tcPr>
          <w:p w14:paraId="16141A01" w14:textId="77777777" w:rsidR="009F0D95" w:rsidRPr="00092ED7" w:rsidRDefault="009F0D95" w:rsidP="00BD3989">
            <w:pPr>
              <w:spacing w:after="0"/>
              <w:rPr>
                <w:rFonts w:eastAsia="Times New Roman" w:cs="Times New Roman"/>
                <w:sz w:val="18"/>
                <w:szCs w:val="18"/>
                <w:lang w:val="sr-Cyrl-CS" w:eastAsia="en-GB"/>
              </w:rPr>
            </w:pPr>
            <w:r w:rsidRPr="00092ED7">
              <w:rPr>
                <w:rFonts w:eastAsia="Times New Roman" w:cs="Times New Roman"/>
                <w:sz w:val="18"/>
                <w:szCs w:val="18"/>
                <w:lang w:val="sr-Cyrl-CS" w:eastAsia="en-GB"/>
              </w:rPr>
              <w:t>Јединични трошкови рада</w:t>
            </w:r>
          </w:p>
        </w:tc>
        <w:tc>
          <w:tcPr>
            <w:tcW w:w="708" w:type="dxa"/>
            <w:shd w:val="clear" w:color="auto" w:fill="auto"/>
            <w:noWrap/>
            <w:vAlign w:val="center"/>
            <w:hideMark/>
          </w:tcPr>
          <w:p w14:paraId="1C3643E6"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3,0</w:t>
            </w:r>
          </w:p>
        </w:tc>
        <w:tc>
          <w:tcPr>
            <w:tcW w:w="709" w:type="dxa"/>
            <w:shd w:val="clear" w:color="auto" w:fill="auto"/>
            <w:noWrap/>
            <w:vAlign w:val="center"/>
            <w:hideMark/>
          </w:tcPr>
          <w:p w14:paraId="68D7967C"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4,8</w:t>
            </w:r>
          </w:p>
        </w:tc>
        <w:tc>
          <w:tcPr>
            <w:tcW w:w="709" w:type="dxa"/>
            <w:shd w:val="clear" w:color="auto" w:fill="auto"/>
            <w:noWrap/>
            <w:vAlign w:val="center"/>
            <w:hideMark/>
          </w:tcPr>
          <w:p w14:paraId="31B4FB46"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2,7</w:t>
            </w:r>
          </w:p>
        </w:tc>
        <w:tc>
          <w:tcPr>
            <w:tcW w:w="709" w:type="dxa"/>
            <w:shd w:val="clear" w:color="auto" w:fill="auto"/>
            <w:noWrap/>
            <w:vAlign w:val="center"/>
            <w:hideMark/>
          </w:tcPr>
          <w:p w14:paraId="0718794F"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2,3</w:t>
            </w:r>
          </w:p>
        </w:tc>
        <w:tc>
          <w:tcPr>
            <w:tcW w:w="709" w:type="dxa"/>
            <w:shd w:val="clear" w:color="auto" w:fill="auto"/>
            <w:vAlign w:val="center"/>
            <w:hideMark/>
          </w:tcPr>
          <w:p w14:paraId="50F28D1C"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2,1</w:t>
            </w:r>
          </w:p>
        </w:tc>
        <w:tc>
          <w:tcPr>
            <w:tcW w:w="709" w:type="dxa"/>
            <w:shd w:val="clear" w:color="auto" w:fill="auto"/>
            <w:noWrap/>
            <w:vAlign w:val="center"/>
            <w:hideMark/>
          </w:tcPr>
          <w:p w14:paraId="041C5AF8"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0,2</w:t>
            </w:r>
          </w:p>
        </w:tc>
        <w:tc>
          <w:tcPr>
            <w:tcW w:w="709" w:type="dxa"/>
            <w:shd w:val="clear" w:color="auto" w:fill="auto"/>
            <w:vAlign w:val="center"/>
            <w:hideMark/>
          </w:tcPr>
          <w:p w14:paraId="4EDA8FDE"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1,0</w:t>
            </w:r>
          </w:p>
        </w:tc>
      </w:tr>
      <w:tr w:rsidR="009F0D95" w:rsidRPr="00092ED7" w14:paraId="714ED67B" w14:textId="77777777" w:rsidTr="00BD3989">
        <w:trPr>
          <w:trHeight w:val="283"/>
        </w:trPr>
        <w:tc>
          <w:tcPr>
            <w:tcW w:w="4117" w:type="dxa"/>
            <w:shd w:val="clear" w:color="auto" w:fill="auto"/>
            <w:noWrap/>
            <w:vAlign w:val="center"/>
            <w:hideMark/>
          </w:tcPr>
          <w:p w14:paraId="4C75B812" w14:textId="77777777" w:rsidR="009F0D95" w:rsidRPr="00092ED7" w:rsidRDefault="009F0D95" w:rsidP="00BD3989">
            <w:pPr>
              <w:spacing w:after="0"/>
              <w:rPr>
                <w:rFonts w:eastAsia="Times New Roman" w:cs="Times New Roman"/>
                <w:sz w:val="18"/>
                <w:szCs w:val="18"/>
                <w:lang w:val="sr-Cyrl-CS" w:eastAsia="en-GB"/>
              </w:rPr>
            </w:pPr>
            <w:r w:rsidRPr="00092ED7">
              <w:rPr>
                <w:rFonts w:eastAsia="Times New Roman" w:cs="Times New Roman"/>
                <w:sz w:val="18"/>
                <w:szCs w:val="18"/>
                <w:lang w:val="sr-Cyrl-CS" w:eastAsia="en-GB"/>
              </w:rPr>
              <w:t>Фискални резултат опште државе, % БДП</w:t>
            </w:r>
          </w:p>
        </w:tc>
        <w:tc>
          <w:tcPr>
            <w:tcW w:w="708" w:type="dxa"/>
            <w:shd w:val="clear" w:color="auto" w:fill="auto"/>
            <w:noWrap/>
            <w:vAlign w:val="center"/>
            <w:hideMark/>
          </w:tcPr>
          <w:p w14:paraId="5B235A43"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-3,5</w:t>
            </w:r>
          </w:p>
        </w:tc>
        <w:tc>
          <w:tcPr>
            <w:tcW w:w="709" w:type="dxa"/>
            <w:shd w:val="clear" w:color="auto" w:fill="auto"/>
            <w:noWrap/>
            <w:vAlign w:val="center"/>
            <w:hideMark/>
          </w:tcPr>
          <w:p w14:paraId="764AA05E"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-3,7</w:t>
            </w:r>
          </w:p>
        </w:tc>
        <w:tc>
          <w:tcPr>
            <w:tcW w:w="709" w:type="dxa"/>
            <w:shd w:val="clear" w:color="auto" w:fill="auto"/>
            <w:noWrap/>
            <w:vAlign w:val="center"/>
            <w:hideMark/>
          </w:tcPr>
          <w:p w14:paraId="27F722CC"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-3,3</w:t>
            </w:r>
          </w:p>
        </w:tc>
        <w:tc>
          <w:tcPr>
            <w:tcW w:w="709" w:type="dxa"/>
            <w:shd w:val="clear" w:color="auto" w:fill="auto"/>
            <w:noWrap/>
            <w:vAlign w:val="center"/>
            <w:hideMark/>
          </w:tcPr>
          <w:p w14:paraId="4EFEAE45"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-3,7</w:t>
            </w:r>
          </w:p>
        </w:tc>
        <w:tc>
          <w:tcPr>
            <w:tcW w:w="709" w:type="dxa"/>
            <w:shd w:val="clear" w:color="auto" w:fill="auto"/>
            <w:vAlign w:val="center"/>
            <w:hideMark/>
          </w:tcPr>
          <w:p w14:paraId="1B7075D2"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-2,5</w:t>
            </w:r>
          </w:p>
        </w:tc>
        <w:tc>
          <w:tcPr>
            <w:tcW w:w="709" w:type="dxa"/>
            <w:shd w:val="clear" w:color="auto" w:fill="auto"/>
            <w:noWrap/>
            <w:vAlign w:val="center"/>
            <w:hideMark/>
          </w:tcPr>
          <w:p w14:paraId="4464AA38"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-3,9</w:t>
            </w:r>
          </w:p>
        </w:tc>
        <w:tc>
          <w:tcPr>
            <w:tcW w:w="709" w:type="dxa"/>
            <w:shd w:val="clear" w:color="auto" w:fill="auto"/>
            <w:vAlign w:val="center"/>
            <w:hideMark/>
          </w:tcPr>
          <w:p w14:paraId="64E2F145"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-2,4</w:t>
            </w:r>
          </w:p>
        </w:tc>
      </w:tr>
      <w:tr w:rsidR="009F0D95" w:rsidRPr="00092ED7" w14:paraId="4C8327CC" w14:textId="77777777" w:rsidTr="00BD3989">
        <w:trPr>
          <w:trHeight w:val="283"/>
        </w:trPr>
        <w:tc>
          <w:tcPr>
            <w:tcW w:w="4117" w:type="dxa"/>
            <w:shd w:val="clear" w:color="auto" w:fill="auto"/>
            <w:noWrap/>
            <w:vAlign w:val="center"/>
            <w:hideMark/>
          </w:tcPr>
          <w:p w14:paraId="78871488" w14:textId="77777777" w:rsidR="009F0D95" w:rsidRPr="00092ED7" w:rsidRDefault="009F0D95" w:rsidP="00BD3989">
            <w:pPr>
              <w:spacing w:after="0"/>
              <w:rPr>
                <w:rFonts w:eastAsia="Times New Roman" w:cs="Times New Roman"/>
                <w:sz w:val="18"/>
                <w:szCs w:val="18"/>
                <w:lang w:val="sr-Cyrl-CS" w:eastAsia="en-GB"/>
              </w:rPr>
            </w:pPr>
            <w:r w:rsidRPr="00092ED7">
              <w:rPr>
                <w:rFonts w:eastAsia="Times New Roman" w:cs="Times New Roman"/>
                <w:sz w:val="18"/>
                <w:szCs w:val="18"/>
                <w:lang w:val="sr-Cyrl-CS" w:eastAsia="en-GB"/>
              </w:rPr>
              <w:lastRenderedPageBreak/>
              <w:t>Бруто дуг опште државе, % БДП</w:t>
            </w:r>
          </w:p>
        </w:tc>
        <w:tc>
          <w:tcPr>
            <w:tcW w:w="708" w:type="dxa"/>
            <w:shd w:val="clear" w:color="auto" w:fill="auto"/>
            <w:noWrap/>
            <w:vAlign w:val="center"/>
            <w:hideMark/>
          </w:tcPr>
          <w:p w14:paraId="712B9C51"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93,6</w:t>
            </w:r>
          </w:p>
        </w:tc>
        <w:tc>
          <w:tcPr>
            <w:tcW w:w="709" w:type="dxa"/>
            <w:shd w:val="clear" w:color="auto" w:fill="auto"/>
            <w:noWrap/>
            <w:vAlign w:val="center"/>
            <w:hideMark/>
          </w:tcPr>
          <w:p w14:paraId="3118B375"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92,3</w:t>
            </w:r>
          </w:p>
        </w:tc>
        <w:tc>
          <w:tcPr>
            <w:tcW w:w="709" w:type="dxa"/>
            <w:shd w:val="clear" w:color="auto" w:fill="auto"/>
            <w:noWrap/>
            <w:vAlign w:val="center"/>
            <w:hideMark/>
          </w:tcPr>
          <w:p w14:paraId="1BA955DD"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91,4</w:t>
            </w:r>
          </w:p>
        </w:tc>
        <w:tc>
          <w:tcPr>
            <w:tcW w:w="709" w:type="dxa"/>
            <w:shd w:val="clear" w:color="auto" w:fill="auto"/>
            <w:noWrap/>
            <w:vAlign w:val="center"/>
            <w:hideMark/>
          </w:tcPr>
          <w:p w14:paraId="4A4FC844"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94,6</w:t>
            </w:r>
          </w:p>
        </w:tc>
        <w:tc>
          <w:tcPr>
            <w:tcW w:w="709" w:type="dxa"/>
            <w:shd w:val="clear" w:color="auto" w:fill="auto"/>
            <w:vAlign w:val="center"/>
            <w:hideMark/>
          </w:tcPr>
          <w:p w14:paraId="71C2AF64"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92,6</w:t>
            </w:r>
          </w:p>
        </w:tc>
        <w:tc>
          <w:tcPr>
            <w:tcW w:w="709" w:type="dxa"/>
            <w:shd w:val="clear" w:color="auto" w:fill="auto"/>
            <w:noWrap/>
            <w:vAlign w:val="center"/>
            <w:hideMark/>
          </w:tcPr>
          <w:p w14:paraId="54CF9599"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97,9</w:t>
            </w:r>
          </w:p>
        </w:tc>
        <w:tc>
          <w:tcPr>
            <w:tcW w:w="709" w:type="dxa"/>
            <w:shd w:val="clear" w:color="auto" w:fill="auto"/>
            <w:vAlign w:val="center"/>
            <w:hideMark/>
          </w:tcPr>
          <w:p w14:paraId="3AAAFB9A"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97,0</w:t>
            </w:r>
          </w:p>
        </w:tc>
      </w:tr>
      <w:tr w:rsidR="009F0D95" w:rsidRPr="00092ED7" w14:paraId="5DD30804" w14:textId="77777777" w:rsidTr="00BD3989">
        <w:trPr>
          <w:trHeight w:val="283"/>
        </w:trPr>
        <w:tc>
          <w:tcPr>
            <w:tcW w:w="4117" w:type="dxa"/>
            <w:shd w:val="clear" w:color="auto" w:fill="auto"/>
            <w:noWrap/>
            <w:vAlign w:val="center"/>
            <w:hideMark/>
          </w:tcPr>
          <w:p w14:paraId="5E9AA9AE" w14:textId="77777777" w:rsidR="009F0D95" w:rsidRPr="00092ED7" w:rsidRDefault="009F0D95" w:rsidP="00BD3989">
            <w:pPr>
              <w:spacing w:after="0"/>
              <w:rPr>
                <w:rFonts w:eastAsia="Times New Roman" w:cs="Times New Roman"/>
                <w:sz w:val="18"/>
                <w:szCs w:val="18"/>
                <w:lang w:val="sr-Cyrl-CS" w:eastAsia="en-GB"/>
              </w:rPr>
            </w:pPr>
            <w:r w:rsidRPr="00092ED7">
              <w:rPr>
                <w:rFonts w:eastAsia="Times New Roman" w:cs="Times New Roman"/>
                <w:sz w:val="18"/>
                <w:szCs w:val="18"/>
                <w:lang w:val="sr-Cyrl-CS" w:eastAsia="en-GB"/>
              </w:rPr>
              <w:t>Салдо текућег рачуна, % БДП</w:t>
            </w:r>
          </w:p>
        </w:tc>
        <w:tc>
          <w:tcPr>
            <w:tcW w:w="708" w:type="dxa"/>
            <w:shd w:val="clear" w:color="auto" w:fill="auto"/>
            <w:noWrap/>
            <w:vAlign w:val="center"/>
            <w:hideMark/>
          </w:tcPr>
          <w:p w14:paraId="6E6C599D"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1,5</w:t>
            </w:r>
          </w:p>
        </w:tc>
        <w:tc>
          <w:tcPr>
            <w:tcW w:w="709" w:type="dxa"/>
            <w:shd w:val="clear" w:color="auto" w:fill="auto"/>
            <w:noWrap/>
            <w:vAlign w:val="center"/>
            <w:hideMark/>
          </w:tcPr>
          <w:p w14:paraId="4DB6E155"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1,9</w:t>
            </w:r>
          </w:p>
        </w:tc>
        <w:tc>
          <w:tcPr>
            <w:tcW w:w="709" w:type="dxa"/>
            <w:shd w:val="clear" w:color="auto" w:fill="auto"/>
            <w:noWrap/>
            <w:vAlign w:val="center"/>
            <w:hideMark/>
          </w:tcPr>
          <w:p w14:paraId="7BEF591C"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2,4</w:t>
            </w:r>
          </w:p>
        </w:tc>
        <w:tc>
          <w:tcPr>
            <w:tcW w:w="709" w:type="dxa"/>
            <w:shd w:val="clear" w:color="auto" w:fill="auto"/>
            <w:noWrap/>
            <w:vAlign w:val="center"/>
            <w:hideMark/>
          </w:tcPr>
          <w:p w14:paraId="283A8235"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2,4</w:t>
            </w:r>
          </w:p>
        </w:tc>
        <w:tc>
          <w:tcPr>
            <w:tcW w:w="709" w:type="dxa"/>
            <w:shd w:val="clear" w:color="auto" w:fill="auto"/>
            <w:vAlign w:val="center"/>
            <w:hideMark/>
          </w:tcPr>
          <w:p w14:paraId="67A1E89E"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2,9</w:t>
            </w:r>
          </w:p>
        </w:tc>
        <w:tc>
          <w:tcPr>
            <w:tcW w:w="709" w:type="dxa"/>
            <w:shd w:val="clear" w:color="auto" w:fill="auto"/>
            <w:noWrap/>
            <w:vAlign w:val="center"/>
            <w:hideMark/>
          </w:tcPr>
          <w:p w14:paraId="4965EC89"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3,2</w:t>
            </w:r>
          </w:p>
        </w:tc>
        <w:tc>
          <w:tcPr>
            <w:tcW w:w="709" w:type="dxa"/>
            <w:shd w:val="clear" w:color="auto" w:fill="auto"/>
            <w:vAlign w:val="center"/>
            <w:hideMark/>
          </w:tcPr>
          <w:p w14:paraId="66301643" w14:textId="77777777" w:rsidR="009F0D95" w:rsidRPr="00092ED7" w:rsidRDefault="009F0D95" w:rsidP="00BD3989">
            <w:pPr>
              <w:spacing w:after="0"/>
              <w:jc w:val="center"/>
              <w:rPr>
                <w:rFonts w:eastAsia="Times New Roman" w:cs="Times New Roman"/>
                <w:sz w:val="18"/>
                <w:szCs w:val="18"/>
                <w:lang w:val="sr-Cyrl-CS" w:eastAsia="en-GB"/>
              </w:rPr>
            </w:pPr>
            <w:r w:rsidRPr="00092ED7">
              <w:rPr>
                <w:rFonts w:eastAsia="Times New Roman" w:cs="Times New Roman"/>
                <w:sz w:val="18"/>
                <w:szCs w:val="18"/>
                <w:lang w:val="sr-Cyrl-CS" w:eastAsia="en-GB"/>
              </w:rPr>
              <w:t>3,4</w:t>
            </w:r>
          </w:p>
        </w:tc>
      </w:tr>
    </w:tbl>
    <w:p w14:paraId="03E76F14" w14:textId="77777777" w:rsidR="009F0D95" w:rsidRPr="00092ED7" w:rsidRDefault="009F0D95" w:rsidP="000679CD">
      <w:pPr>
        <w:spacing w:before="60" w:after="0"/>
        <w:rPr>
          <w:rFonts w:eastAsiaTheme="minorEastAsia" w:cs="Times New Roman"/>
          <w:sz w:val="18"/>
          <w:szCs w:val="18"/>
          <w:lang w:val="sr-Cyrl-CS" w:eastAsia="ja-JP"/>
        </w:rPr>
      </w:pPr>
      <w:r w:rsidRPr="00092ED7">
        <w:rPr>
          <w:rFonts w:eastAsiaTheme="minorEastAsia" w:cs="Times New Roman"/>
          <w:sz w:val="18"/>
          <w:szCs w:val="18"/>
          <w:lang w:val="sr-Cyrl-CS" w:eastAsia="ja-JP"/>
        </w:rPr>
        <w:t>Извор: ЕК, Јесење пројекције, новембар 2022. године</w:t>
      </w:r>
    </w:p>
    <w:p w14:paraId="609CFBC6" w14:textId="7EA7639B" w:rsidR="009F0D95" w:rsidRPr="00092ED7" w:rsidRDefault="009F0D95" w:rsidP="009F0D95">
      <w:pPr>
        <w:spacing w:before="40" w:after="0"/>
        <w:rPr>
          <w:rFonts w:eastAsiaTheme="minorEastAsia" w:cs="Times New Roman"/>
          <w:sz w:val="18"/>
          <w:szCs w:val="18"/>
          <w:lang w:val="sr-Cyrl-CS" w:eastAsia="ja-JP"/>
        </w:rPr>
      </w:pPr>
      <w:r w:rsidRPr="00092ED7">
        <w:rPr>
          <w:rFonts w:eastAsia="MS PGothic" w:cs="Times New Roman"/>
          <w:bCs/>
          <w:iCs/>
          <w:sz w:val="18"/>
          <w:szCs w:val="18"/>
          <w:vertAlign w:val="superscript"/>
          <w:lang w:val="sr-Cyrl-CS" w:eastAsia="ja-JP"/>
        </w:rPr>
        <w:t xml:space="preserve">1 </w:t>
      </w:r>
      <w:r w:rsidRPr="00092ED7">
        <w:rPr>
          <w:rFonts w:eastAsiaTheme="minorEastAsia" w:cs="Times New Roman"/>
          <w:sz w:val="18"/>
          <w:szCs w:val="18"/>
          <w:lang w:val="sr-Cyrl-CS" w:eastAsia="ja-JP"/>
        </w:rPr>
        <w:t xml:space="preserve">Пројекције се односе на 20 земаља еврозоне </w:t>
      </w:r>
      <w:r w:rsidRPr="00092ED7">
        <w:rPr>
          <w:rFonts w:eastAsia="MS PGothic" w:cs="Times New Roman"/>
          <w:bCs/>
          <w:iCs/>
          <w:sz w:val="18"/>
          <w:szCs w:val="18"/>
          <w:lang w:val="sr-Cyrl-CS" w:eastAsia="ja-JP"/>
        </w:rPr>
        <w:t xml:space="preserve">(укључујући и </w:t>
      </w:r>
      <w:r w:rsidR="009A1E17" w:rsidRPr="00092ED7">
        <w:rPr>
          <w:rFonts w:eastAsia="MS PGothic" w:cs="Times New Roman"/>
          <w:bCs/>
          <w:iCs/>
          <w:sz w:val="18"/>
          <w:szCs w:val="18"/>
          <w:lang w:val="sr-Cyrl-CS" w:eastAsia="ja-JP"/>
        </w:rPr>
        <w:t xml:space="preserve">Републику </w:t>
      </w:r>
      <w:r w:rsidRPr="00092ED7">
        <w:rPr>
          <w:rFonts w:eastAsia="MS PGothic" w:cs="Times New Roman"/>
          <w:bCs/>
          <w:iCs/>
          <w:sz w:val="18"/>
          <w:szCs w:val="18"/>
          <w:lang w:val="sr-Cyrl-CS" w:eastAsia="ja-JP"/>
        </w:rPr>
        <w:t>Хрватску), осим ставке „салдо текућег рачуна, % БДП” која се односи на 19 земаља еврозоне.</w:t>
      </w:r>
    </w:p>
    <w:p w14:paraId="0173CCE6" w14:textId="77777777" w:rsidR="009F0D95" w:rsidRPr="00092ED7" w:rsidRDefault="009F0D95" w:rsidP="000679CD">
      <w:pPr>
        <w:rPr>
          <w:rFonts w:eastAsiaTheme="minorEastAsia" w:cs="Times New Roman"/>
          <w:sz w:val="18"/>
          <w:szCs w:val="18"/>
          <w:lang w:val="sr-Cyrl-CS" w:eastAsia="ja-JP"/>
        </w:rPr>
      </w:pPr>
      <w:r w:rsidRPr="00092ED7">
        <w:rPr>
          <w:rFonts w:eastAsiaTheme="minorEastAsia" w:cs="Times New Roman"/>
          <w:sz w:val="18"/>
          <w:szCs w:val="18"/>
          <w:lang w:val="sr-Cyrl-CS" w:eastAsia="ja-JP"/>
        </w:rPr>
        <w:t>* ЕК, Јесење пројекције, новембар 2021. године. Пројекција се односе на 19 земаља еврозоне.</w:t>
      </w:r>
    </w:p>
    <w:p w14:paraId="52885198" w14:textId="77777777" w:rsidR="009F0D95" w:rsidRPr="00092ED7" w:rsidRDefault="009F0D95" w:rsidP="000679CD">
      <w:pPr>
        <w:spacing w:after="60"/>
        <w:rPr>
          <w:rFonts w:eastAsiaTheme="minorEastAsia" w:cs="Times New Roman"/>
          <w:bCs/>
          <w:szCs w:val="24"/>
          <w:lang w:val="sr-Cyrl-CS" w:eastAsia="ja-JP"/>
        </w:rPr>
      </w:pPr>
      <w:r w:rsidRPr="00092ED7">
        <w:rPr>
          <w:rFonts w:eastAsiaTheme="minorEastAsia" w:cs="Times New Roman"/>
          <w:bCs/>
          <w:szCs w:val="24"/>
          <w:lang w:val="sr-Cyrl-CS" w:eastAsia="ja-JP"/>
        </w:rPr>
        <w:t>Иако се рецесија полако назире, економију ЕУ подржава најснажније тржиште рада у последњих неколико деценија. Стопе незапослености су рекордно ниске, а стопе активности и запослености рекордно високе. Тражња за радном снагом ће свакако реаговати на успоравање економске активности, иако са извесним закашњењем. Стога се предвиђа да ће се стопа незапослености у ЕУ само незнатно повећати са историјско ниског годишњег просека од 6,2% у 2022. години, на 6,5% у 2023. години, пре него што поново падне на 6,4% у 2024. години. Зараде су се увећале по натпросечним стопама у 2022. години и очекује се наставак таквог тренда, али ће у 2023. години стопа раста остати испод стопе инфлације.</w:t>
      </w:r>
    </w:p>
    <w:p w14:paraId="52AF1D58" w14:textId="78C892D1" w:rsidR="009F0D95" w:rsidRPr="00092ED7" w:rsidRDefault="009F0D95" w:rsidP="000679CD">
      <w:pPr>
        <w:spacing w:after="60"/>
        <w:rPr>
          <w:rStyle w:val="rynqvb"/>
          <w:lang w:val="sr-Cyrl-CS"/>
        </w:rPr>
      </w:pPr>
      <w:r w:rsidRPr="00092ED7">
        <w:rPr>
          <w:rStyle w:val="rynqvb"/>
          <w:lang w:val="sr-Cyrl-CS"/>
        </w:rPr>
        <w:t>Притисци на цене су наставили да се интензивирају, a инфлација достиже нове рекорде.</w:t>
      </w:r>
      <w:r w:rsidRPr="00092ED7">
        <w:rPr>
          <w:rStyle w:val="hwtze"/>
          <w:lang w:val="sr-Cyrl-CS"/>
        </w:rPr>
        <w:t xml:space="preserve"> </w:t>
      </w:r>
      <w:r w:rsidRPr="00092ED7">
        <w:rPr>
          <w:rStyle w:val="rynqvb"/>
          <w:lang w:val="sr-Cyrl-CS"/>
        </w:rPr>
        <w:t>Инфлација у зони евра додатно се убрзала током трећег квартала, достигавши 10,6% у октобру</w:t>
      </w:r>
      <w:r w:rsidR="007A01EA" w:rsidRPr="00092ED7">
        <w:rPr>
          <w:rStyle w:val="rynqvb"/>
          <w:lang w:val="sr-Cyrl-CS"/>
        </w:rPr>
        <w:t xml:space="preserve">, </w:t>
      </w:r>
      <w:r w:rsidRPr="00092ED7">
        <w:rPr>
          <w:rStyle w:val="rynqvb"/>
          <w:lang w:val="sr-Cyrl-CS"/>
        </w:rPr>
        <w:t>што је нови историјски максимум.</w:t>
      </w:r>
      <w:r w:rsidRPr="00092ED7">
        <w:rPr>
          <w:rStyle w:val="hwtze"/>
          <w:lang w:val="sr-Cyrl-CS"/>
        </w:rPr>
        <w:t xml:space="preserve"> </w:t>
      </w:r>
      <w:r w:rsidRPr="00092ED7">
        <w:rPr>
          <w:rStyle w:val="rynqvb"/>
          <w:lang w:val="sr-Cyrl-CS"/>
        </w:rPr>
        <w:t xml:space="preserve">Енергија и даље даје главни допринос укупној инфлацији, цене хране истовремено снажно расту, а депрецијација евра такође </w:t>
      </w:r>
      <w:r w:rsidR="00B81C9C" w:rsidRPr="00092ED7">
        <w:rPr>
          <w:rStyle w:val="rynqvb"/>
          <w:lang w:val="sr-Cyrl-CS"/>
        </w:rPr>
        <w:t xml:space="preserve">је </w:t>
      </w:r>
      <w:r w:rsidRPr="00092ED7">
        <w:rPr>
          <w:rStyle w:val="rynqvb"/>
          <w:lang w:val="sr-Cyrl-CS"/>
        </w:rPr>
        <w:t>допринела даљем ширењу ценовних притисака. Како се раст цена прелио и обухватио и друга добра</w:t>
      </w:r>
      <w:r w:rsidR="00CF19B9" w:rsidRPr="00092ED7">
        <w:rPr>
          <w:rStyle w:val="rynqvb"/>
          <w:lang w:val="sr-Cyrl-CS"/>
        </w:rPr>
        <w:t>,</w:t>
      </w:r>
      <w:r w:rsidRPr="00092ED7">
        <w:rPr>
          <w:rStyle w:val="rynqvb"/>
          <w:lang w:val="sr-Cyrl-CS"/>
        </w:rPr>
        <w:t xml:space="preserve"> осим хране и енергената, приметан је помак фокуса на базну инфлацију, која бележи значајан раст и постаје главни извор инфлаторних притисака. Очекује се да ће стопа инфлације у еврозони забележити максимум у 2022. години, а затим се прогнозира постепени пад и нормализација услед снажног утицаја базног ефекта и ниже цене енергената током 2023. и 2024. године (6,1% и 2,6%, респективно).</w:t>
      </w:r>
    </w:p>
    <w:p w14:paraId="23059834" w14:textId="6204591E" w:rsidR="009F0D95" w:rsidRPr="00092ED7" w:rsidRDefault="009F0D95" w:rsidP="000679CD">
      <w:pPr>
        <w:spacing w:after="60"/>
        <w:rPr>
          <w:rFonts w:eastAsiaTheme="minorEastAsia" w:cs="Times New Roman"/>
          <w:bCs/>
          <w:szCs w:val="24"/>
          <w:lang w:val="sr-Cyrl-CS" w:eastAsia="ja-JP"/>
        </w:rPr>
      </w:pPr>
      <w:r w:rsidRPr="00092ED7">
        <w:rPr>
          <w:rFonts w:eastAsiaTheme="minorEastAsia" w:cs="Times New Roman"/>
          <w:bCs/>
          <w:szCs w:val="24"/>
          <w:lang w:val="sr-Cyrl-CS" w:eastAsia="ja-JP"/>
        </w:rPr>
        <w:t xml:space="preserve">Суочена са постојаним инфлаторним притисцима, очекује се да ће монетарна политика наставити са заоштравањем. Европска централна банка (у даљем тексту: ЕЦБ) је од почетка године у </w:t>
      </w:r>
      <w:r w:rsidR="00A31A1A" w:rsidRPr="00092ED7">
        <w:rPr>
          <w:rFonts w:eastAsiaTheme="minorEastAsia" w:cs="Times New Roman"/>
          <w:bCs/>
          <w:szCs w:val="24"/>
          <w:lang w:val="sr-Cyrl-CS" w:eastAsia="ja-JP"/>
        </w:rPr>
        <w:t xml:space="preserve">четири </w:t>
      </w:r>
      <w:r w:rsidRPr="00092ED7">
        <w:rPr>
          <w:rFonts w:eastAsiaTheme="minorEastAsia" w:cs="Times New Roman"/>
          <w:bCs/>
          <w:szCs w:val="24"/>
          <w:lang w:val="sr-Cyrl-CS" w:eastAsia="ja-JP"/>
        </w:rPr>
        <w:t xml:space="preserve">наврата подизала референтну каматну стопу, а најскоријим повећањем из </w:t>
      </w:r>
      <w:r w:rsidR="00A31A1A" w:rsidRPr="00092ED7">
        <w:rPr>
          <w:rFonts w:eastAsiaTheme="minorEastAsia" w:cs="Times New Roman"/>
          <w:bCs/>
          <w:szCs w:val="24"/>
          <w:lang w:val="sr-Cyrl-CS" w:eastAsia="ja-JP"/>
        </w:rPr>
        <w:t xml:space="preserve">децембра </w:t>
      </w:r>
      <w:r w:rsidRPr="00092ED7">
        <w:rPr>
          <w:rFonts w:eastAsiaTheme="minorEastAsia" w:cs="Times New Roman"/>
          <w:bCs/>
          <w:szCs w:val="24"/>
          <w:lang w:val="sr-Cyrl-CS" w:eastAsia="ja-JP"/>
        </w:rPr>
        <w:t xml:space="preserve">2022. године постигнут је ниво од </w:t>
      </w:r>
      <w:r w:rsidR="00A31A1A" w:rsidRPr="00092ED7">
        <w:rPr>
          <w:rFonts w:eastAsiaTheme="minorEastAsia" w:cs="Times New Roman"/>
          <w:bCs/>
          <w:szCs w:val="24"/>
          <w:lang w:val="sr-Cyrl-CS" w:eastAsia="ja-JP"/>
        </w:rPr>
        <w:t>2,50</w:t>
      </w:r>
      <w:r w:rsidRPr="00092ED7">
        <w:rPr>
          <w:rFonts w:eastAsiaTheme="minorEastAsia" w:cs="Times New Roman"/>
          <w:bCs/>
          <w:szCs w:val="24"/>
          <w:lang w:val="sr-Cyrl-CS" w:eastAsia="ja-JP"/>
        </w:rPr>
        <w:t>%. У складу са тржишним очекивањима, претпоставља се да ће ЕЦБ, наставити да повећава референтну каматну стопу током 2023. године.</w:t>
      </w:r>
    </w:p>
    <w:p w14:paraId="28ACD790" w14:textId="77777777" w:rsidR="009F0D95" w:rsidRPr="00092ED7" w:rsidRDefault="009F0D95" w:rsidP="000679CD">
      <w:pPr>
        <w:spacing w:after="60"/>
        <w:rPr>
          <w:rStyle w:val="rynqvb"/>
          <w:rFonts w:eastAsiaTheme="minorEastAsia" w:cs="Times New Roman"/>
          <w:bCs/>
          <w:szCs w:val="24"/>
          <w:lang w:val="sr-Cyrl-CS" w:eastAsia="ja-JP"/>
        </w:rPr>
      </w:pPr>
      <w:r w:rsidRPr="00092ED7">
        <w:rPr>
          <w:rStyle w:val="rynqvb"/>
          <w:lang w:val="sr-Cyrl-CS"/>
        </w:rPr>
        <w:t>Снажан номинални раст у прва три квартала и постепено укидање подршке у вези са пандемијом, довели су до даљег смањење фискалног дефицита опште државе у 2022. години, упркос новим мерама усвојеним да би се ублажио утицај пораста цена енергије на домаћинства и предузећа.</w:t>
      </w:r>
      <w:r w:rsidRPr="00092ED7">
        <w:rPr>
          <w:rStyle w:val="hwtze"/>
          <w:lang w:val="sr-Cyrl-CS"/>
        </w:rPr>
        <w:t xml:space="preserve"> Након смањења на 4,6% БДП у 2021. години, предвиђа се да ће дефицит опште државе у ЕУ додатно опасти, за више од 1 п.п. у 2022. години. </w:t>
      </w:r>
      <w:r w:rsidRPr="00092ED7">
        <w:rPr>
          <w:rStyle w:val="rynqvb"/>
          <w:lang w:val="sr-Cyrl-CS"/>
        </w:rPr>
        <w:t>Како економска активност слаби, доћи ће до проширења или увођења нових дискреционих мера за ублажавање утицаја високих цена енергије, те ће се дефицит ЕУ за 2023. годину повећати, али само за око 0,2 п.п. на 3,6% БДП.</w:t>
      </w:r>
      <w:r w:rsidRPr="00092ED7">
        <w:rPr>
          <w:lang w:val="sr-Cyrl-CS"/>
        </w:rPr>
        <w:t xml:space="preserve"> </w:t>
      </w:r>
      <w:r w:rsidRPr="00092ED7">
        <w:rPr>
          <w:rStyle w:val="rynqvb"/>
          <w:lang w:val="sr-Cyrl-CS"/>
        </w:rPr>
        <w:t>У 2024. години предвиђа се да ће се укупни дефицит у ЕУ смањити на 3,2%, захваљујући пројектованом опоравку привредне активности.</w:t>
      </w:r>
      <w:r w:rsidRPr="00092ED7">
        <w:rPr>
          <w:lang w:val="sr-Cyrl-CS"/>
        </w:rPr>
        <w:t xml:space="preserve"> </w:t>
      </w:r>
      <w:r w:rsidRPr="00092ED7">
        <w:rPr>
          <w:rStyle w:val="rynqvb"/>
          <w:lang w:val="sr-Cyrl-CS"/>
        </w:rPr>
        <w:t>Висока инфлација подржава смањење учешћа дуга у БДП на кратак рок, а значајан утицај на предвиђени пад јавног дуга (са рекордних 99% у 2020. години на око 91% у 2024. години у зони евра) имаће раст дефлатора БДП.</w:t>
      </w:r>
    </w:p>
    <w:p w14:paraId="09D66C88" w14:textId="5BDBC2A4" w:rsidR="009F0D95" w:rsidRPr="00092ED7" w:rsidRDefault="009F0D95" w:rsidP="000679CD">
      <w:pPr>
        <w:spacing w:after="60"/>
        <w:rPr>
          <w:lang w:val="sr-Cyrl-CS" w:eastAsia="ja-JP"/>
        </w:rPr>
      </w:pPr>
      <w:r w:rsidRPr="00092ED7">
        <w:rPr>
          <w:lang w:val="sr-Cyrl-CS" w:eastAsia="ja-JP"/>
        </w:rPr>
        <w:t>Присутни су значајни ризици и неизвесност који се тичу остварења пројекције. Један од главних ризика се односи на даљи развој ситуације у Украјини, чија би ескалација довела до снажних негативних последица по европску</w:t>
      </w:r>
      <w:r w:rsidR="00CF19B9" w:rsidRPr="00092ED7">
        <w:rPr>
          <w:lang w:val="sr-Cyrl-CS" w:eastAsia="ja-JP"/>
        </w:rPr>
        <w:t>,</w:t>
      </w:r>
      <w:r w:rsidRPr="00092ED7">
        <w:rPr>
          <w:lang w:val="sr-Cyrl-CS" w:eastAsia="ja-JP"/>
        </w:rPr>
        <w:t xml:space="preserve"> али и глобалну економску активност. Последица тренутних дешавања у Украјини су и неповољна кретања на тржишту гаса и пратећи ризик од великих несташица, што нарочито може доћи до изражаја током зиме. Осим гаса, ЕУ је и даље директно и индиректно изложена шоковима на тржишту добара </w:t>
      </w:r>
      <w:r w:rsidRPr="00092ED7">
        <w:rPr>
          <w:lang w:val="sr-Cyrl-CS" w:eastAsia="ja-JP"/>
        </w:rPr>
        <w:lastRenderedPageBreak/>
        <w:t>услед високе инфлације. Формирање спирале раста плата и цена, уз потенцијално недовољно прилагођавање финансијских тржишта на високе каматне стопе</w:t>
      </w:r>
      <w:r w:rsidR="00CF19B9" w:rsidRPr="00092ED7">
        <w:rPr>
          <w:lang w:val="sr-Cyrl-CS" w:eastAsia="ja-JP"/>
        </w:rPr>
        <w:t>,</w:t>
      </w:r>
      <w:r w:rsidRPr="00092ED7">
        <w:rPr>
          <w:lang w:val="sr-Cyrl-CS" w:eastAsia="ja-JP"/>
        </w:rPr>
        <w:t xml:space="preserve"> такође представљају фактор ризика. Поред тога, додатан ризик представља и потенцијални сукоб циљева монетарне политике</w:t>
      </w:r>
      <w:r w:rsidR="00CF19B9" w:rsidRPr="00092ED7">
        <w:rPr>
          <w:lang w:val="sr-Cyrl-CS" w:eastAsia="ja-JP"/>
        </w:rPr>
        <w:t>,</w:t>
      </w:r>
      <w:r w:rsidRPr="00092ED7">
        <w:rPr>
          <w:lang w:val="sr-Cyrl-CS" w:eastAsia="ja-JP"/>
        </w:rPr>
        <w:t xml:space="preserve"> која би се супротстављала инфлацији и фискалне политике</w:t>
      </w:r>
      <w:r w:rsidR="00AC37CF" w:rsidRPr="00092ED7">
        <w:rPr>
          <w:lang w:val="sr-Cyrl-CS" w:eastAsia="ja-JP"/>
        </w:rPr>
        <w:t>,</w:t>
      </w:r>
      <w:r w:rsidRPr="00092ED7">
        <w:rPr>
          <w:lang w:val="sr-Cyrl-CS" w:eastAsia="ja-JP"/>
        </w:rPr>
        <w:t xml:space="preserve"> која би наставила да буде експанзивна. Ризици у вези пандемије и даље су присутни, као и глобална претња услед незаустављивих климатских промена.</w:t>
      </w:r>
    </w:p>
    <w:p w14:paraId="020E603F" w14:textId="77777777" w:rsidR="00AA1BAE" w:rsidRPr="00092ED7" w:rsidRDefault="009807AD" w:rsidP="007C18C9">
      <w:pPr>
        <w:keepNext/>
        <w:keepLines/>
        <w:spacing w:before="120"/>
        <w:outlineLvl w:val="1"/>
        <w:rPr>
          <w:rFonts w:eastAsia="Calibri" w:cs="Times New Roman"/>
          <w:b/>
          <w:szCs w:val="24"/>
          <w:lang w:val="sr-Cyrl-CS"/>
        </w:rPr>
      </w:pPr>
      <w:bookmarkStart w:id="8" w:name="_Toc373932747"/>
      <w:bookmarkStart w:id="9" w:name="_Toc444605529"/>
      <w:bookmarkStart w:id="10" w:name="_Toc124174790"/>
      <w:r w:rsidRPr="00092ED7">
        <w:rPr>
          <w:rFonts w:eastAsia="Calibri" w:cs="Times New Roman"/>
          <w:b/>
          <w:szCs w:val="24"/>
          <w:lang w:val="sr-Cyrl-CS"/>
        </w:rPr>
        <w:t>3.2.</w:t>
      </w:r>
      <w:r w:rsidR="00AA1BAE" w:rsidRPr="00092ED7">
        <w:rPr>
          <w:rFonts w:eastAsia="Calibri" w:cs="Times New Roman"/>
          <w:b/>
          <w:szCs w:val="24"/>
          <w:lang w:val="sr-Cyrl-CS"/>
        </w:rPr>
        <w:t xml:space="preserve"> </w:t>
      </w:r>
      <w:bookmarkEnd w:id="8"/>
      <w:bookmarkEnd w:id="9"/>
      <w:r w:rsidR="001A3EE1" w:rsidRPr="00092ED7">
        <w:rPr>
          <w:rFonts w:eastAsia="Calibri" w:cs="Times New Roman"/>
          <w:b/>
          <w:szCs w:val="24"/>
          <w:lang w:val="sr-Cyrl-CS"/>
        </w:rPr>
        <w:t xml:space="preserve">НОВИЈА </w:t>
      </w:r>
      <w:r w:rsidR="0047017C" w:rsidRPr="00092ED7">
        <w:rPr>
          <w:rFonts w:eastAsia="Calibri" w:cs="Times New Roman"/>
          <w:b/>
          <w:szCs w:val="24"/>
          <w:lang w:val="sr-Cyrl-CS"/>
        </w:rPr>
        <w:t>ЕКОНОМСКА КРЕТАЊА</w:t>
      </w:r>
      <w:bookmarkEnd w:id="10"/>
    </w:p>
    <w:p w14:paraId="7C8F0542" w14:textId="0EF701FC" w:rsidR="000679CD" w:rsidRPr="00092ED7" w:rsidRDefault="000679CD" w:rsidP="000679CD">
      <w:pPr>
        <w:spacing w:after="60"/>
        <w:rPr>
          <w:rFonts w:eastAsia="Constantia" w:cs="Times New Roman"/>
          <w:szCs w:val="24"/>
          <w:lang w:val="sr-Cyrl-CS"/>
        </w:rPr>
      </w:pPr>
      <w:bookmarkStart w:id="11" w:name="_Toc373932748"/>
      <w:r w:rsidRPr="00092ED7">
        <w:rPr>
          <w:rFonts w:eastAsia="Constantia" w:cs="Times New Roman"/>
          <w:b/>
          <w:szCs w:val="24"/>
          <w:lang w:val="sr-Cyrl-CS"/>
        </w:rPr>
        <w:t>Реални сектор</w:t>
      </w:r>
      <w:r w:rsidRPr="00092ED7">
        <w:rPr>
          <w:rFonts w:eastAsia="Constantia" w:cs="Times New Roman"/>
          <w:szCs w:val="24"/>
          <w:lang w:val="sr-Cyrl-CS"/>
        </w:rPr>
        <w:t>. Макроекономска кретања почетком 2022. године била су генерално на нивоу пројектованих, али су се изгледи погоршали као последица новог глобалног шока изазваног сукобом у Украјини и додатне ескалације протеклих месеци. Иако је у прва два квартала 2022. године остварен солидан раст привреде</w:t>
      </w:r>
      <w:r w:rsidR="00AC37CF" w:rsidRPr="00092ED7">
        <w:rPr>
          <w:rFonts w:eastAsia="Constantia" w:cs="Times New Roman"/>
          <w:szCs w:val="24"/>
          <w:lang w:val="sr-Cyrl-CS"/>
        </w:rPr>
        <w:t>,</w:t>
      </w:r>
      <w:r w:rsidRPr="00092ED7">
        <w:rPr>
          <w:rFonts w:eastAsia="Constantia" w:cs="Times New Roman"/>
          <w:szCs w:val="24"/>
          <w:lang w:val="sr-Cyrl-CS"/>
        </w:rPr>
        <w:t xml:space="preserve"> у овом периоду изостали су значајнији негативни ефекти геополитичких дешавања на динамику домаће привредне активности. Међутим, додатна ескалација сукоба и заоштравање међународних економских и политичких односа, праћени рекордним ценама енергената и последично смањеној глобалној трговини и спољној тражњи</w:t>
      </w:r>
      <w:r w:rsidR="00AC37CF" w:rsidRPr="00092ED7">
        <w:rPr>
          <w:rFonts w:eastAsia="Constantia" w:cs="Times New Roman"/>
          <w:szCs w:val="24"/>
          <w:lang w:val="sr-Cyrl-CS"/>
        </w:rPr>
        <w:t>,</w:t>
      </w:r>
      <w:r w:rsidRPr="00092ED7">
        <w:rPr>
          <w:rFonts w:eastAsia="Constantia" w:cs="Times New Roman"/>
          <w:szCs w:val="24"/>
          <w:lang w:val="sr-Cyrl-CS"/>
        </w:rPr>
        <w:t xml:space="preserve"> почела су временом да се одражавају и на домаћу привредну активност.</w:t>
      </w:r>
    </w:p>
    <w:p w14:paraId="15C9B3E9" w14:textId="46C5E2F0" w:rsidR="000679CD" w:rsidRPr="00092ED7" w:rsidRDefault="000679CD" w:rsidP="000679CD">
      <w:pPr>
        <w:spacing w:after="60"/>
        <w:rPr>
          <w:rFonts w:eastAsia="Constantia" w:cs="Times New Roman"/>
          <w:szCs w:val="24"/>
          <w:lang w:val="sr-Cyrl-CS"/>
        </w:rPr>
      </w:pPr>
      <w:r w:rsidRPr="00092ED7">
        <w:rPr>
          <w:rFonts w:eastAsia="Constantia" w:cs="Times New Roman"/>
          <w:szCs w:val="24"/>
          <w:lang w:val="sr-Cyrl-CS"/>
        </w:rPr>
        <w:t xml:space="preserve">Према подацима </w:t>
      </w:r>
      <w:r w:rsidR="00AC37CF" w:rsidRPr="00092ED7">
        <w:rPr>
          <w:rFonts w:eastAsia="Constantia" w:cs="Times New Roman"/>
          <w:szCs w:val="24"/>
          <w:lang w:val="sr-Cyrl-CS"/>
        </w:rPr>
        <w:t xml:space="preserve">Републучког завода за статистику (у даљем тексту: </w:t>
      </w:r>
      <w:r w:rsidRPr="00092ED7">
        <w:rPr>
          <w:rFonts w:eastAsia="Constantia" w:cs="Times New Roman"/>
          <w:szCs w:val="24"/>
          <w:lang w:val="sr-Cyrl-CS"/>
        </w:rPr>
        <w:t>РЗС</w:t>
      </w:r>
      <w:r w:rsidR="00AC37CF" w:rsidRPr="00092ED7">
        <w:rPr>
          <w:rFonts w:eastAsia="Constantia" w:cs="Times New Roman"/>
          <w:szCs w:val="24"/>
          <w:lang w:val="sr-Cyrl-CS"/>
        </w:rPr>
        <w:t>)</w:t>
      </w:r>
      <w:r w:rsidRPr="00092ED7">
        <w:rPr>
          <w:rFonts w:eastAsia="Constantia" w:cs="Times New Roman"/>
          <w:szCs w:val="24"/>
          <w:lang w:val="sr-Cyrl-CS"/>
        </w:rPr>
        <w:t>, раст БДП у првом кварталу 2022. године износио је 4,3% мг.</w:t>
      </w:r>
      <w:r w:rsidR="00AC37CF" w:rsidRPr="00092ED7">
        <w:rPr>
          <w:rFonts w:eastAsia="Constantia" w:cs="Times New Roman"/>
          <w:szCs w:val="24"/>
          <w:lang w:val="sr-Cyrl-CS"/>
        </w:rPr>
        <w:t>,</w:t>
      </w:r>
      <w:r w:rsidRPr="00092ED7">
        <w:rPr>
          <w:rFonts w:eastAsia="Constantia" w:cs="Times New Roman"/>
          <w:szCs w:val="24"/>
          <w:lang w:val="sr-Cyrl-CS"/>
        </w:rPr>
        <w:t xml:space="preserve"> док је у другом тромесечју забележено повећање од 3,9% мг., што је резултирало просечним растом БДП у првој половини године од 4,1%.</w:t>
      </w:r>
    </w:p>
    <w:p w14:paraId="7607B0A8" w14:textId="7A4FE2E6" w:rsidR="000679CD" w:rsidRPr="00092ED7" w:rsidRDefault="000679CD" w:rsidP="000679CD">
      <w:pPr>
        <w:spacing w:after="60"/>
        <w:rPr>
          <w:rFonts w:eastAsia="Constantia" w:cs="Times New Roman"/>
          <w:szCs w:val="24"/>
          <w:lang w:val="sr-Cyrl-CS"/>
        </w:rPr>
      </w:pPr>
      <w:r w:rsidRPr="00092ED7">
        <w:rPr>
          <w:rFonts w:eastAsia="Constantia" w:cs="Times New Roman"/>
          <w:szCs w:val="24"/>
          <w:lang w:val="sr-Cyrl-CS"/>
        </w:rPr>
        <w:t xml:space="preserve">Посматрано са производне стране, економски раст у првој половини 2022. године био је вођен услужним сектором. Повећање економске активности забележено је код свих услужних делатности, а најзначајнији допринос дошао је од трговине, саобраћаја, туризма и </w:t>
      </w:r>
      <w:r w:rsidR="006E4DE0" w:rsidRPr="00092ED7">
        <w:rPr>
          <w:rFonts w:eastAsia="Calibri" w:cs="Times New Roman"/>
          <w:bCs/>
          <w:szCs w:val="24"/>
          <w:lang w:val="sr-Cyrl-CS"/>
        </w:rPr>
        <w:t>информационо-комуникационе технологије</w:t>
      </w:r>
      <w:r w:rsidR="006E4DE0" w:rsidRPr="00092ED7">
        <w:rPr>
          <w:rFonts w:eastAsia="Constantia" w:cs="Times New Roman"/>
          <w:szCs w:val="24"/>
          <w:lang w:val="sr-Cyrl-CS"/>
        </w:rPr>
        <w:t xml:space="preserve"> </w:t>
      </w:r>
      <w:r w:rsidR="00B81C9C" w:rsidRPr="00092ED7">
        <w:rPr>
          <w:rFonts w:eastAsia="Constantia" w:cs="Times New Roman"/>
          <w:szCs w:val="24"/>
          <w:lang w:val="sr-Cyrl-CS"/>
        </w:rPr>
        <w:t xml:space="preserve">(у даљем тексту: </w:t>
      </w:r>
      <w:r w:rsidRPr="00092ED7">
        <w:rPr>
          <w:rFonts w:eastAsia="Constantia" w:cs="Times New Roman"/>
          <w:szCs w:val="24"/>
          <w:lang w:val="sr-Cyrl-CS"/>
        </w:rPr>
        <w:t>ИКТ</w:t>
      </w:r>
      <w:r w:rsidR="007F6B51" w:rsidRPr="00092ED7">
        <w:rPr>
          <w:rFonts w:eastAsia="Constantia" w:cs="Times New Roman"/>
          <w:szCs w:val="24"/>
          <w:lang w:val="sr-Cyrl-CS"/>
        </w:rPr>
        <w:t>)</w:t>
      </w:r>
      <w:r w:rsidR="00B81C9C" w:rsidRPr="00092ED7">
        <w:rPr>
          <w:rFonts w:eastAsia="Constantia" w:cs="Times New Roman"/>
          <w:szCs w:val="24"/>
          <w:lang w:val="sr-Cyrl-CS"/>
        </w:rPr>
        <w:t xml:space="preserve"> услуга</w:t>
      </w:r>
      <w:r w:rsidRPr="00092ED7">
        <w:rPr>
          <w:rFonts w:eastAsia="Constantia" w:cs="Times New Roman"/>
          <w:szCs w:val="24"/>
          <w:lang w:val="sr-Cyrl-CS"/>
        </w:rPr>
        <w:t>, који опредељују око половине укупног раста БДП у овом периоду. Упркос значајно мањем обиму производње електричне енергије, позитиван допринос забележила је и укупна индустријска производња, забележивши повећање од 3,3% мг., као резултат добрих кретања прерађивачког сектора и рударства услед ефектуирања инвестиција из претходног периода. Благ негативан допринос привредном расту потекао је од грађевинарства делом и због високе базе из истог периода претходне године, али и услед снажног повећања цена грађевинског материјала. Неповољни агрометеоролошки услови одразили су се на испод просечну пољопривредну сезону</w:t>
      </w:r>
      <w:r w:rsidR="00AC37CF" w:rsidRPr="00092ED7">
        <w:rPr>
          <w:rFonts w:eastAsia="Constantia" w:cs="Times New Roman"/>
          <w:szCs w:val="24"/>
          <w:lang w:val="sr-Cyrl-CS"/>
        </w:rPr>
        <w:t>,</w:t>
      </w:r>
      <w:r w:rsidRPr="00092ED7">
        <w:rPr>
          <w:rFonts w:eastAsia="Constantia" w:cs="Times New Roman"/>
          <w:szCs w:val="24"/>
          <w:lang w:val="sr-Cyrl-CS"/>
        </w:rPr>
        <w:t>па је у овом сектору у прва два квартала забележен пад од 5,3%.</w:t>
      </w:r>
    </w:p>
    <w:p w14:paraId="20111405" w14:textId="5135E976" w:rsidR="000679CD" w:rsidRPr="00092ED7" w:rsidRDefault="000679CD" w:rsidP="000679CD">
      <w:pPr>
        <w:spacing w:after="60"/>
        <w:rPr>
          <w:rFonts w:eastAsia="Constantia" w:cs="Times New Roman"/>
          <w:szCs w:val="24"/>
          <w:lang w:val="sr-Cyrl-CS"/>
        </w:rPr>
      </w:pPr>
      <w:r w:rsidRPr="00092ED7">
        <w:rPr>
          <w:rFonts w:eastAsia="Constantia" w:cs="Times New Roman"/>
          <w:szCs w:val="24"/>
          <w:lang w:val="sr-Cyrl-CS"/>
        </w:rPr>
        <w:t>Посматрано по агрегатима употребе, раст БДП у првој половини 2022. године био је у потпуности вођен домаћом тражњом, док је допринос нето извоза био негативан. Повећање расположивог дохотка становништва</w:t>
      </w:r>
      <w:r w:rsidR="00EE775E" w:rsidRPr="00092ED7">
        <w:rPr>
          <w:rFonts w:eastAsia="Constantia" w:cs="Times New Roman"/>
          <w:szCs w:val="24"/>
          <w:lang w:val="sr-Cyrl-CS"/>
        </w:rPr>
        <w:t>,</w:t>
      </w:r>
      <w:r w:rsidRPr="00092ED7">
        <w:rPr>
          <w:rFonts w:eastAsia="Constantia" w:cs="Times New Roman"/>
          <w:szCs w:val="24"/>
          <w:lang w:val="sr-Cyrl-CS"/>
        </w:rPr>
        <w:t xml:space="preserve"> пре свега као резултат повољних кретања на тржишту рада, уз знатно боље епидемиолошке услове, одразио се на снажан раст приватне потрошње, који је износио 5,3% мг. Упркос неповољним дешавањима у међународном окружењу позитиван допринос забележиле су и инвестиције са растом од 1,4%. Ефекат на страни понуде уз солидну спољну тражњу у овом периоду, резултирао је растом реалног извоза од 19,9% мг. Истовремено, увозна активност забележила је снажан раст од око 22,3% услед повећаног увоза репроматеријала за потребе привреде, али и енергената како би се </w:t>
      </w:r>
      <w:r w:rsidR="00AC37CF" w:rsidRPr="00092ED7">
        <w:rPr>
          <w:rFonts w:eastAsia="Constantia" w:cs="Times New Roman"/>
          <w:szCs w:val="24"/>
          <w:lang w:val="sr-Cyrl-CS"/>
        </w:rPr>
        <w:t>обезбедила</w:t>
      </w:r>
      <w:r w:rsidRPr="00092ED7">
        <w:rPr>
          <w:rFonts w:eastAsia="Constantia" w:cs="Times New Roman"/>
          <w:szCs w:val="24"/>
          <w:lang w:val="sr-Cyrl-CS"/>
        </w:rPr>
        <w:t xml:space="preserve"> сигурност снабдевања домаћих потрошача и одређен ниво залиха за зимски период. То се истовремено одразило и на значајан позитиван допринос залиха расту БДП.</w:t>
      </w:r>
    </w:p>
    <w:p w14:paraId="4A39C860" w14:textId="002F075A" w:rsidR="000679CD" w:rsidRPr="00092ED7" w:rsidRDefault="000679CD" w:rsidP="000679CD">
      <w:pPr>
        <w:spacing w:after="60"/>
        <w:rPr>
          <w:rFonts w:eastAsia="Constantia" w:cs="Times New Roman"/>
          <w:szCs w:val="24"/>
          <w:lang w:val="sr-Cyrl-CS"/>
        </w:rPr>
      </w:pPr>
      <w:r w:rsidRPr="00092ED7">
        <w:rPr>
          <w:rFonts w:eastAsia="Constantia" w:cs="Times New Roman"/>
          <w:szCs w:val="24"/>
          <w:lang w:val="sr-Cyrl-CS"/>
        </w:rPr>
        <w:t xml:space="preserve">Месечна динамика привредне активности наставила је са растом међугодишње посматрано и током летњих месеци, али као што је било и очекивано, услед негативног утицаја конфликта у Украјини, по нижим стопама него у првој половини године. То </w:t>
      </w:r>
      <w:r w:rsidRPr="00092ED7">
        <w:rPr>
          <w:rFonts w:eastAsia="Constantia" w:cs="Times New Roman"/>
          <w:szCs w:val="24"/>
          <w:lang w:val="sr-Cyrl-CS"/>
        </w:rPr>
        <w:lastRenderedPageBreak/>
        <w:t>потврђује и Индикатор привредне активности (</w:t>
      </w:r>
      <w:r w:rsidR="00AC37CF" w:rsidRPr="00092ED7">
        <w:rPr>
          <w:rFonts w:eastAsia="Constantia" w:cs="Times New Roman"/>
          <w:szCs w:val="24"/>
          <w:lang w:val="sr-Cyrl-CS"/>
        </w:rPr>
        <w:t xml:space="preserve">у даљем тексту: </w:t>
      </w:r>
      <w:r w:rsidRPr="00092ED7">
        <w:rPr>
          <w:rFonts w:eastAsia="Constantia" w:cs="Times New Roman"/>
          <w:szCs w:val="24"/>
          <w:lang w:val="sr-Cyrl-CS"/>
        </w:rPr>
        <w:t xml:space="preserve">ИПАС) који Министарство финансија израђује за потребе сагледавања месечне динамике укупне економске активности, према коме је раст БДП у јулу, августу и септембру износио 1,1% мг., 2,1% мг. 0,8% мг., респективно. Спорија динамика привреде у овом периоду последица је мањег обима индустријске производње која је забележила пад од 1,6% мг. у јулу и скроман раст од 0,3% у августу, да би у септембру опет ушла у негативну зону (0,3%), али и мањег позитивног доприноса услужног сектора услед споријег раста појединих услужних делатности у поређењу са њиховом динамиком током прве половине године. Грађевинска активност је и у овом периоду наставила са успореном динамиком започетом почетком 2022. године, док су лоши агрометеоролошки услови током лета додатно утицали на још већи пад пољопривреде од првобитно процењеног. Спорија привредна динамика у трећем кварталу 2022. године потврђена је и флеш проценом БДП </w:t>
      </w:r>
      <w:r w:rsidR="008E0A4C" w:rsidRPr="00092ED7">
        <w:rPr>
          <w:rFonts w:eastAsia="Constantia" w:cs="Times New Roman"/>
          <w:szCs w:val="24"/>
          <w:lang w:val="sr-Cyrl-CS"/>
        </w:rPr>
        <w:t>од стране Р</w:t>
      </w:r>
      <w:r w:rsidR="00C47140" w:rsidRPr="00092ED7">
        <w:rPr>
          <w:rFonts w:eastAsia="Constantia" w:cs="Times New Roman"/>
          <w:szCs w:val="24"/>
          <w:lang w:val="sr-Cyrl-CS"/>
        </w:rPr>
        <w:t>З</w:t>
      </w:r>
      <w:r w:rsidR="008E0A4C" w:rsidRPr="00092ED7">
        <w:rPr>
          <w:rFonts w:eastAsia="Constantia" w:cs="Times New Roman"/>
          <w:szCs w:val="24"/>
          <w:lang w:val="sr-Cyrl-CS"/>
        </w:rPr>
        <w:t>С</w:t>
      </w:r>
      <w:r w:rsidRPr="00092ED7">
        <w:rPr>
          <w:rFonts w:eastAsia="Constantia" w:cs="Times New Roman"/>
          <w:szCs w:val="24"/>
          <w:lang w:val="sr-Cyrl-CS"/>
        </w:rPr>
        <w:t>, према којој је раст привреде процењен на 1,1% мг. Тиме је у првих девет месеци, према процени Министарства финансија</w:t>
      </w:r>
      <w:r w:rsidR="008E0A4C" w:rsidRPr="00092ED7">
        <w:rPr>
          <w:rFonts w:eastAsia="Constantia" w:cs="Times New Roman"/>
          <w:szCs w:val="24"/>
          <w:lang w:val="sr-Cyrl-CS"/>
        </w:rPr>
        <w:t>,</w:t>
      </w:r>
      <w:r w:rsidRPr="00092ED7">
        <w:rPr>
          <w:rFonts w:eastAsia="Constantia" w:cs="Times New Roman"/>
          <w:szCs w:val="24"/>
          <w:lang w:val="sr-Cyrl-CS"/>
        </w:rPr>
        <w:t xml:space="preserve"> раст привреде износио 3,0%.</w:t>
      </w:r>
    </w:p>
    <w:p w14:paraId="25C8EC6F" w14:textId="391E3EBF" w:rsidR="000679CD" w:rsidRPr="00092ED7" w:rsidRDefault="000679CD" w:rsidP="000679CD">
      <w:pPr>
        <w:spacing w:after="60"/>
        <w:rPr>
          <w:rFonts w:eastAsia="Constantia" w:cs="Times New Roman"/>
          <w:szCs w:val="24"/>
          <w:lang w:val="sr-Cyrl-CS"/>
        </w:rPr>
      </w:pPr>
      <w:r w:rsidRPr="00092ED7">
        <w:rPr>
          <w:rFonts w:eastAsia="Constantia" w:cs="Times New Roman"/>
          <w:szCs w:val="24"/>
          <w:lang w:val="sr-Cyrl-CS"/>
        </w:rPr>
        <w:t xml:space="preserve">Солидна динамика индустријске производње настављена је и током 2022. године, али уз присутно успоравање током трећег квартала. У првих девет месеци укупна индустријска производња већа је за 1,9% мг. упркос смањеном обиму производње електричне енергије од 11,5% мг. Томе је у значајној мери допринео солидан раст прерађивачке индустрије од 2,7%, као и повећање производње рударства од 25,0%. У ова два сектора присутни су значајни ефекти на страни понуде услед реализација </w:t>
      </w:r>
      <w:r w:rsidR="00EE775E" w:rsidRPr="00092ED7">
        <w:rPr>
          <w:rFonts w:eastAsia="Constantia" w:cs="Times New Roman"/>
          <w:szCs w:val="24"/>
          <w:lang w:val="sr-Cyrl-CS"/>
        </w:rPr>
        <w:t xml:space="preserve">страних директних инвестиција (у даљем тексту: </w:t>
      </w:r>
      <w:r w:rsidRPr="00092ED7">
        <w:rPr>
          <w:rFonts w:eastAsia="Constantia" w:cs="Times New Roman"/>
          <w:szCs w:val="24"/>
          <w:lang w:val="sr-Cyrl-CS"/>
        </w:rPr>
        <w:t>СДИ</w:t>
      </w:r>
      <w:r w:rsidR="00EE775E" w:rsidRPr="00092ED7">
        <w:rPr>
          <w:rFonts w:eastAsia="Constantia" w:cs="Times New Roman"/>
          <w:szCs w:val="24"/>
          <w:lang w:val="sr-Cyrl-CS"/>
        </w:rPr>
        <w:t>)</w:t>
      </w:r>
      <w:r w:rsidRPr="00092ED7">
        <w:rPr>
          <w:rFonts w:eastAsia="Constantia" w:cs="Times New Roman"/>
          <w:szCs w:val="24"/>
          <w:lang w:val="sr-Cyrl-CS"/>
        </w:rPr>
        <w:t xml:space="preserve"> из претходног периода и активирања нових производних капацитета. Међутим, са заоштравањем геополитичких односа и материјализацијом негативних ризика из међународног окружења, током трећег квартала индустријска активност је ушла у негативну зону остваривши пад од 0,5% мг., праћена падом у прерађивачкој индустрији од око 1%, али и мањим позитивним доприносом рударства услед исцрпљивања утицаја ниске базе из истог периода претходне године. Производња електричне енергије је и даље међугодишње нижа</w:t>
      </w:r>
      <w:r w:rsidR="00EE775E" w:rsidRPr="00092ED7">
        <w:rPr>
          <w:rFonts w:eastAsia="Constantia" w:cs="Times New Roman"/>
          <w:szCs w:val="24"/>
          <w:lang w:val="sr-Cyrl-CS"/>
        </w:rPr>
        <w:t>,</w:t>
      </w:r>
      <w:r w:rsidRPr="00092ED7">
        <w:rPr>
          <w:rFonts w:eastAsia="Constantia" w:cs="Times New Roman"/>
          <w:szCs w:val="24"/>
          <w:lang w:val="sr-Cyrl-CS"/>
        </w:rPr>
        <w:t xml:space="preserve"> али се стабилизовала и током септембра</w:t>
      </w:r>
      <w:r w:rsidR="00D12A77" w:rsidRPr="00092ED7">
        <w:rPr>
          <w:rFonts w:eastAsia="Constantia" w:cs="Times New Roman"/>
          <w:szCs w:val="24"/>
          <w:lang w:val="sr-Cyrl-CS"/>
        </w:rPr>
        <w:t xml:space="preserve"> </w:t>
      </w:r>
      <w:r w:rsidRPr="00092ED7">
        <w:rPr>
          <w:rFonts w:eastAsia="Constantia" w:cs="Times New Roman"/>
          <w:szCs w:val="24"/>
          <w:lang w:val="sr-Cyrl-CS"/>
        </w:rPr>
        <w:t>је била на непромењеном нивоу у односу на исти месец претходне године. Посматрано по областима прерађивачке индустрије, у првих девет месеци остварен је раст у 14 од 24 делатности. Најзначајнији позитиван допринос међугодишњем расту овог сектора потекао је од нафтне индустрије (раст од 16,6% мг.)</w:t>
      </w:r>
      <w:r w:rsidR="008E0A4C" w:rsidRPr="00092ED7">
        <w:rPr>
          <w:rFonts w:eastAsia="Constantia" w:cs="Times New Roman"/>
          <w:szCs w:val="24"/>
          <w:lang w:val="sr-Cyrl-CS"/>
        </w:rPr>
        <w:t>,</w:t>
      </w:r>
      <w:r w:rsidRPr="00092ED7">
        <w:rPr>
          <w:rFonts w:eastAsia="Constantia" w:cs="Times New Roman"/>
          <w:szCs w:val="24"/>
          <w:lang w:val="sr-Cyrl-CS"/>
        </w:rPr>
        <w:t xml:space="preserve"> опредељујући три петине укупног раста. Делатност осталих саобраћајних средстава од почетка године остварује раст, при чему је обим производње у првих девет месеци био већи за 47,4% мг. У истом периоду машинска индустрија бележи раст од 8,6% мг., док је производња папира увећана за 9,8%. Поред тога, физички обим фармацеутске индустрије је већи за 6,4% мг., уз знатно спорији раст током трећег квартала. Ове четири делатности пружиле су приближно подједнак позитиван допринос кретању прерађивачке индустрије</w:t>
      </w:r>
      <w:r w:rsidR="008E0A4C" w:rsidRPr="00092ED7">
        <w:rPr>
          <w:rFonts w:eastAsia="Constantia" w:cs="Times New Roman"/>
          <w:szCs w:val="24"/>
          <w:lang w:val="sr-Cyrl-CS"/>
        </w:rPr>
        <w:t>,</w:t>
      </w:r>
      <w:r w:rsidRPr="00092ED7">
        <w:rPr>
          <w:rFonts w:eastAsia="Constantia" w:cs="Times New Roman"/>
          <w:szCs w:val="24"/>
          <w:lang w:val="sr-Cyrl-CS"/>
        </w:rPr>
        <w:t xml:space="preserve"> опредељујући нешто више од половине укупног раста овог сектора.</w:t>
      </w:r>
    </w:p>
    <w:p w14:paraId="282324D5" w14:textId="170B4D62" w:rsidR="000679CD" w:rsidRPr="00092ED7" w:rsidRDefault="000679CD" w:rsidP="000679CD">
      <w:pPr>
        <w:spacing w:after="60"/>
        <w:rPr>
          <w:rFonts w:eastAsia="Constantia" w:cs="Times New Roman"/>
          <w:spacing w:val="-2"/>
          <w:szCs w:val="24"/>
          <w:lang w:val="sr-Cyrl-CS"/>
        </w:rPr>
      </w:pPr>
      <w:r w:rsidRPr="00092ED7">
        <w:rPr>
          <w:rFonts w:eastAsia="Constantia" w:cs="Times New Roman"/>
          <w:spacing w:val="-2"/>
          <w:szCs w:val="24"/>
          <w:lang w:val="sr-Cyrl-CS"/>
        </w:rPr>
        <w:t>Повољна динамика услужног сектора настављена је и током 2022. године, али уз нешто спорија кретања током трећег квартала у поређењу са првом половином године.</w:t>
      </w:r>
      <w:r w:rsidR="00BB164C" w:rsidRPr="00092ED7">
        <w:rPr>
          <w:rFonts w:eastAsia="Constantia" w:cs="Times New Roman"/>
          <w:spacing w:val="-2"/>
          <w:szCs w:val="24"/>
          <w:lang w:val="sr-Cyrl-CS"/>
        </w:rPr>
        <w:t xml:space="preserve"> </w:t>
      </w:r>
      <w:r w:rsidRPr="00092ED7">
        <w:rPr>
          <w:rFonts w:eastAsia="Constantia" w:cs="Times New Roman"/>
          <w:spacing w:val="-2"/>
          <w:szCs w:val="24"/>
          <w:lang w:val="sr-Cyrl-CS"/>
        </w:rPr>
        <w:t xml:space="preserve">У првих девет месеци промет робе у трговини на мало реално је повећан за 7,1% мг. Овоме је допринео раст расположивог дохотка становништва, пре свега услед раста реалних зарада и запослености подржано додатним давањима појединим категоријама становништва, али је једним делом и последица импулсивне куповине по самом избијању сукоба у Украјини. И поред растућих цена приметан је раст тражње потрошача за моторним горивом и прехрамбеним производима (храна, пића и дуван), тако да је промет ових категорија био реално већи за 13,4% и 2,8% мг., док је промет непрехрамбених производа повећан за 9,0%. Сектор </w:t>
      </w:r>
      <w:r w:rsidR="008E0A4C" w:rsidRPr="00092ED7">
        <w:rPr>
          <w:rFonts w:eastAsia="Constantia" w:cs="Times New Roman"/>
          <w:spacing w:val="-2"/>
          <w:szCs w:val="24"/>
          <w:lang w:val="sr-Cyrl-CS"/>
        </w:rPr>
        <w:t>ИКТ</w:t>
      </w:r>
      <w:r w:rsidR="004967C4" w:rsidRPr="00092ED7">
        <w:rPr>
          <w:rFonts w:eastAsia="Constantia" w:cs="Times New Roman"/>
          <w:spacing w:val="-2"/>
          <w:szCs w:val="24"/>
          <w:lang w:val="sr-Cyrl-CS"/>
        </w:rPr>
        <w:t xml:space="preserve"> </w:t>
      </w:r>
      <w:r w:rsidRPr="00092ED7">
        <w:rPr>
          <w:rFonts w:eastAsia="Constantia" w:cs="Times New Roman"/>
          <w:spacing w:val="-2"/>
          <w:szCs w:val="24"/>
          <w:lang w:val="sr-Cyrl-CS"/>
        </w:rPr>
        <w:t xml:space="preserve">који је снажно растао током две пандемијске године остваривши кумулативни раст бруто додате вредности (у даљем тексту: БДВ) од 14,1%, наставио је са </w:t>
      </w:r>
      <w:r w:rsidRPr="00092ED7">
        <w:rPr>
          <w:rFonts w:eastAsia="Constantia" w:cs="Times New Roman"/>
          <w:spacing w:val="-2"/>
          <w:szCs w:val="24"/>
          <w:lang w:val="sr-Cyrl-CS"/>
        </w:rPr>
        <w:lastRenderedPageBreak/>
        <w:t xml:space="preserve">добром динамиком у првој половини године (раст од 5,1% мг.). Поред тога, извоз услуга континуирано расте, вођен све значајнијом улогом ИКТ сектора, при чему је његов извоз у првих девет месеци био већи за 45,1% мг. Саобраћајна активност мерена индексом физичког обима у првој половини 2022. године међугодишње је већа за 23,4%, уз раст путничког и теретног саобраћаја за 39,7% и 7,9%, респективно. Туристичка активност након изузетно тешке две пандемијске године наставља са опоравком током 2022. године. У првих </w:t>
      </w:r>
      <w:r w:rsidR="006E606E" w:rsidRPr="00092ED7">
        <w:rPr>
          <w:rFonts w:eastAsia="Constantia" w:cs="Times New Roman"/>
          <w:spacing w:val="-2"/>
          <w:szCs w:val="24"/>
          <w:lang w:val="sr-Cyrl-CS"/>
        </w:rPr>
        <w:t>11</w:t>
      </w:r>
      <w:r w:rsidR="003B2E4B" w:rsidRPr="00092ED7">
        <w:rPr>
          <w:rFonts w:eastAsia="Constantia" w:cs="Times New Roman"/>
          <w:spacing w:val="-2"/>
          <w:szCs w:val="24"/>
          <w:lang w:val="sr-Cyrl-CS"/>
        </w:rPr>
        <w:t xml:space="preserve"> </w:t>
      </w:r>
      <w:r w:rsidRPr="00092ED7">
        <w:rPr>
          <w:rFonts w:eastAsia="Constantia" w:cs="Times New Roman"/>
          <w:spacing w:val="-2"/>
          <w:szCs w:val="24"/>
          <w:lang w:val="sr-Cyrl-CS"/>
        </w:rPr>
        <w:t>месеци укупан број долазака и ноћења туриста је међугодишње увећан за 5</w:t>
      </w:r>
      <w:r w:rsidR="00355DC9" w:rsidRPr="00092ED7">
        <w:rPr>
          <w:rFonts w:eastAsia="Constantia" w:cs="Times New Roman"/>
          <w:spacing w:val="-2"/>
          <w:szCs w:val="24"/>
          <w:lang w:val="sr-Cyrl-CS"/>
        </w:rPr>
        <w:t>3</w:t>
      </w:r>
      <w:r w:rsidRPr="00092ED7">
        <w:rPr>
          <w:rFonts w:eastAsia="Constantia" w:cs="Times New Roman"/>
          <w:spacing w:val="-2"/>
          <w:szCs w:val="24"/>
          <w:lang w:val="sr-Cyrl-CS"/>
        </w:rPr>
        <w:t>,</w:t>
      </w:r>
      <w:r w:rsidR="00355DC9" w:rsidRPr="00092ED7">
        <w:rPr>
          <w:rFonts w:eastAsia="Constantia" w:cs="Times New Roman"/>
          <w:spacing w:val="-2"/>
          <w:szCs w:val="24"/>
          <w:lang w:val="sr-Cyrl-CS"/>
        </w:rPr>
        <w:t>9</w:t>
      </w:r>
      <w:r w:rsidRPr="00092ED7">
        <w:rPr>
          <w:rFonts w:eastAsia="Constantia" w:cs="Times New Roman"/>
          <w:spacing w:val="-2"/>
          <w:szCs w:val="24"/>
          <w:lang w:val="sr-Cyrl-CS"/>
        </w:rPr>
        <w:t>% и 3</w:t>
      </w:r>
      <w:r w:rsidR="00355DC9" w:rsidRPr="00092ED7">
        <w:rPr>
          <w:rFonts w:eastAsia="Constantia" w:cs="Times New Roman"/>
          <w:spacing w:val="-2"/>
          <w:szCs w:val="24"/>
          <w:lang w:val="sr-Cyrl-CS"/>
        </w:rPr>
        <w:t>6</w:t>
      </w:r>
      <w:r w:rsidRPr="00092ED7">
        <w:rPr>
          <w:rFonts w:eastAsia="Constantia" w:cs="Times New Roman"/>
          <w:spacing w:val="-2"/>
          <w:szCs w:val="24"/>
          <w:lang w:val="sr-Cyrl-CS"/>
        </w:rPr>
        <w:t>,</w:t>
      </w:r>
      <w:r w:rsidR="00355DC9" w:rsidRPr="00092ED7">
        <w:rPr>
          <w:rFonts w:eastAsia="Constantia" w:cs="Times New Roman"/>
          <w:spacing w:val="-2"/>
          <w:szCs w:val="24"/>
          <w:lang w:val="sr-Cyrl-CS"/>
        </w:rPr>
        <w:t>5</w:t>
      </w:r>
      <w:r w:rsidRPr="00092ED7">
        <w:rPr>
          <w:rFonts w:eastAsia="Constantia" w:cs="Times New Roman"/>
          <w:spacing w:val="-2"/>
          <w:szCs w:val="24"/>
          <w:lang w:val="sr-Cyrl-CS"/>
        </w:rPr>
        <w:t xml:space="preserve">%, респективно, праћен растом активности домаћих и страних туриста. Повећан је и девизни прилив од туризма, тако да је у првих </w:t>
      </w:r>
      <w:r w:rsidR="00726EAE" w:rsidRPr="00092ED7">
        <w:rPr>
          <w:rFonts w:eastAsia="Constantia" w:cs="Times New Roman"/>
          <w:spacing w:val="-2"/>
          <w:szCs w:val="24"/>
          <w:lang w:val="sr-Cyrl-CS"/>
        </w:rPr>
        <w:t>11</w:t>
      </w:r>
      <w:r w:rsidR="00355DC9" w:rsidRPr="00092ED7">
        <w:rPr>
          <w:rFonts w:eastAsia="Constantia" w:cs="Times New Roman"/>
          <w:spacing w:val="-2"/>
          <w:szCs w:val="24"/>
          <w:lang w:val="sr-Cyrl-CS"/>
        </w:rPr>
        <w:t xml:space="preserve"> </w:t>
      </w:r>
      <w:r w:rsidRPr="00092ED7">
        <w:rPr>
          <w:rFonts w:eastAsia="Constantia" w:cs="Times New Roman"/>
          <w:spacing w:val="-2"/>
          <w:szCs w:val="24"/>
          <w:lang w:val="sr-Cyrl-CS"/>
        </w:rPr>
        <w:t>месеци 2022. године, извоз туристичких услуга био међугодишње већи за 51,6%.</w:t>
      </w:r>
    </w:p>
    <w:p w14:paraId="6748D64B" w14:textId="36FBA006" w:rsidR="000679CD" w:rsidRPr="00092ED7" w:rsidRDefault="000679CD" w:rsidP="000679CD">
      <w:pPr>
        <w:spacing w:after="60"/>
        <w:rPr>
          <w:rFonts w:eastAsia="Constantia" w:cs="Times New Roman"/>
          <w:szCs w:val="24"/>
          <w:lang w:val="sr-Cyrl-CS"/>
        </w:rPr>
      </w:pPr>
      <w:r w:rsidRPr="00092ED7">
        <w:rPr>
          <w:rFonts w:eastAsia="Constantia" w:cs="Times New Roman"/>
          <w:szCs w:val="24"/>
          <w:lang w:val="sr-Cyrl-CS"/>
        </w:rPr>
        <w:t>Упркос остварењима почетком 2022. године која су генерално била на нивоу пројектованих</w:t>
      </w:r>
      <w:r w:rsidR="008E0A4C" w:rsidRPr="00092ED7">
        <w:rPr>
          <w:rFonts w:eastAsia="Constantia" w:cs="Times New Roman"/>
          <w:szCs w:val="24"/>
          <w:lang w:val="sr-Cyrl-CS"/>
        </w:rPr>
        <w:t>,</w:t>
      </w:r>
      <w:r w:rsidRPr="00092ED7">
        <w:rPr>
          <w:rFonts w:eastAsia="Constantia" w:cs="Times New Roman"/>
          <w:szCs w:val="24"/>
          <w:lang w:val="sr-Cyrl-CS"/>
        </w:rPr>
        <w:t xml:space="preserve"> а имајући у виду додатно заоштравања међународних економских и политичких односа, продубљивање енергетске кризе, као и спорију динамику високофреквентних индикатора током трећег квартала и значајно слабију пољопривредну сезону од претходно очекиване, Министарство финансија је пројекцију раста БДП за 2022. годину ревидирало наниже на 2,5%.</w:t>
      </w:r>
      <w:r w:rsidRPr="00092ED7">
        <w:rPr>
          <w:lang w:val="sr-Cyrl-CS"/>
        </w:rPr>
        <w:t xml:space="preserve"> </w:t>
      </w:r>
      <w:r w:rsidRPr="00092ED7">
        <w:rPr>
          <w:rFonts w:eastAsia="Constantia" w:cs="Times New Roman"/>
          <w:szCs w:val="24"/>
          <w:lang w:val="sr-Cyrl-CS"/>
        </w:rPr>
        <w:t>Посматрано по агрегатима употребе</w:t>
      </w:r>
      <w:r w:rsidR="008E0A4C" w:rsidRPr="00092ED7">
        <w:rPr>
          <w:rFonts w:eastAsia="Constantia" w:cs="Times New Roman"/>
          <w:szCs w:val="24"/>
          <w:lang w:val="sr-Cyrl-CS"/>
        </w:rPr>
        <w:t>,</w:t>
      </w:r>
      <w:r w:rsidRPr="00092ED7">
        <w:rPr>
          <w:rFonts w:eastAsia="Constantia" w:cs="Times New Roman"/>
          <w:szCs w:val="24"/>
          <w:lang w:val="sr-Cyrl-CS"/>
        </w:rPr>
        <w:t xml:space="preserve"> економски раст ће у 2022. години и у новој процени бити у потпуности вођен домаћом тражњом. И даље присутна повољна кретања на тржишту рада</w:t>
      </w:r>
      <w:r w:rsidR="008E0A4C" w:rsidRPr="00092ED7">
        <w:rPr>
          <w:rFonts w:eastAsia="Constantia" w:cs="Times New Roman"/>
          <w:szCs w:val="24"/>
          <w:lang w:val="sr-Cyrl-CS"/>
        </w:rPr>
        <w:t>,</w:t>
      </w:r>
      <w:r w:rsidRPr="00092ED7">
        <w:rPr>
          <w:rFonts w:eastAsia="Constantia" w:cs="Times New Roman"/>
          <w:szCs w:val="24"/>
          <w:lang w:val="sr-Cyrl-CS"/>
        </w:rPr>
        <w:t xml:space="preserve"> праћена растом запослености и реалних плата</w:t>
      </w:r>
      <w:r w:rsidR="005D32A2" w:rsidRPr="00092ED7">
        <w:rPr>
          <w:rFonts w:eastAsia="Constantia" w:cs="Times New Roman"/>
          <w:szCs w:val="24"/>
          <w:lang w:val="sr-Cyrl-CS"/>
        </w:rPr>
        <w:t>,</w:t>
      </w:r>
      <w:r w:rsidRPr="00092ED7">
        <w:rPr>
          <w:rFonts w:eastAsia="Constantia" w:cs="Times New Roman"/>
          <w:szCs w:val="24"/>
          <w:lang w:val="sr-Cyrl-CS"/>
        </w:rPr>
        <w:t xml:space="preserve"> потпомогнута једнократним давањима становништву</w:t>
      </w:r>
      <w:r w:rsidR="005D32A2" w:rsidRPr="00092ED7">
        <w:rPr>
          <w:rFonts w:eastAsia="Constantia" w:cs="Times New Roman"/>
          <w:szCs w:val="24"/>
          <w:lang w:val="sr-Cyrl-CS"/>
        </w:rPr>
        <w:t>,</w:t>
      </w:r>
      <w:r w:rsidRPr="00092ED7">
        <w:rPr>
          <w:rFonts w:eastAsia="Constantia" w:cs="Times New Roman"/>
          <w:szCs w:val="24"/>
          <w:lang w:val="sr-Cyrl-CS"/>
        </w:rPr>
        <w:t xml:space="preserve"> одразиће се на стабилан раст приватне потрошње од скоро 4%, док ће допринос државне потрошње остати готово неутралан. Растуће геополитичке тензије и аверзија инвеститора према ризику, уз повећање цена инпута, утичу на спорији раст фиксних инвестиција од претходно пројектованог, те се уместо претходно процењеног раста сада очекују стагнативна кретања. Реализација СДИ из претходног периода и с тим повезан значајни ефекат на страни понуде</w:t>
      </w:r>
      <w:r w:rsidR="005D32A2" w:rsidRPr="00092ED7">
        <w:rPr>
          <w:rFonts w:eastAsia="Constantia" w:cs="Times New Roman"/>
          <w:szCs w:val="24"/>
          <w:lang w:val="sr-Cyrl-CS"/>
        </w:rPr>
        <w:t>,</w:t>
      </w:r>
      <w:r w:rsidR="00BB164C" w:rsidRPr="00092ED7">
        <w:rPr>
          <w:rFonts w:eastAsia="Constantia" w:cs="Times New Roman"/>
          <w:szCs w:val="24"/>
          <w:lang w:val="sr-Cyrl-CS"/>
        </w:rPr>
        <w:t xml:space="preserve"> </w:t>
      </w:r>
      <w:r w:rsidRPr="00092ED7">
        <w:rPr>
          <w:rFonts w:eastAsia="Constantia" w:cs="Times New Roman"/>
          <w:szCs w:val="24"/>
          <w:lang w:val="sr-Cyrl-CS"/>
        </w:rPr>
        <w:t>резултираће већим извозом за 12,3%, упркос нешто мањој спољној тражњи од претходно очекиване и ограничењима извоза појединих производа. С друге стране, повећани увоз енергената и репроматеријала одражавају се на већи раст реалног увоза у 2022. години</w:t>
      </w:r>
      <w:r w:rsidR="005D32A2" w:rsidRPr="00092ED7">
        <w:rPr>
          <w:rFonts w:eastAsia="Constantia" w:cs="Times New Roman"/>
          <w:szCs w:val="24"/>
          <w:lang w:val="sr-Cyrl-CS"/>
        </w:rPr>
        <w:t>,</w:t>
      </w:r>
      <w:r w:rsidR="00BB164C" w:rsidRPr="00092ED7">
        <w:rPr>
          <w:rFonts w:eastAsia="Constantia" w:cs="Times New Roman"/>
          <w:szCs w:val="24"/>
          <w:lang w:val="sr-Cyrl-CS"/>
        </w:rPr>
        <w:t xml:space="preserve"> </w:t>
      </w:r>
      <w:r w:rsidRPr="00092ED7">
        <w:rPr>
          <w:rFonts w:eastAsia="Constantia" w:cs="Times New Roman"/>
          <w:szCs w:val="24"/>
          <w:lang w:val="sr-Cyrl-CS"/>
        </w:rPr>
        <w:t>који према новој пројекцији износи 12,8%. Посматрано са производне стране, изузетно лоши агрометеоролошки услови током летњих месеци одразили су се на знатно слабије приносе кукуруза, шећерне репе и соје, па је првобитна процена пољопривредне производње која је подразумевала просечну сезону и раст од 0,5%</w:t>
      </w:r>
      <w:r w:rsidR="005D32A2" w:rsidRPr="00092ED7">
        <w:rPr>
          <w:rFonts w:eastAsia="Constantia" w:cs="Times New Roman"/>
          <w:szCs w:val="24"/>
          <w:lang w:val="sr-Cyrl-CS"/>
        </w:rPr>
        <w:t>,</w:t>
      </w:r>
      <w:r w:rsidRPr="00092ED7">
        <w:rPr>
          <w:rFonts w:eastAsia="Constantia" w:cs="Times New Roman"/>
          <w:szCs w:val="24"/>
          <w:lang w:val="sr-Cyrl-CS"/>
        </w:rPr>
        <w:t xml:space="preserve"> коригована наниже на -8,0%. Неповољнија кретања од првобитно очекиваних забележиће и грађевинарство, пре свега као последица растуће глобалне неизвесности и мањег обима приватних инвестиција, али и услед снажног раста цена грађевинског материјала. Индустријска производња ће упркос слабијој спољној тражњи обезбедити позитиван допринос расту БДП у 2022. години, али у мањем обиму у односу на претходна очекивања. Услужни сектор и у новој пројекцији задржава улогу доминантног извора економског раста, пре свега као резултат солидних кретања у секторима трговине, саобраћаја, туризма, као и ИКТ и финансијских услуга.</w:t>
      </w:r>
    </w:p>
    <w:p w14:paraId="7051F00F" w14:textId="43A2835E" w:rsidR="000679CD" w:rsidRPr="00092ED7" w:rsidRDefault="000679CD" w:rsidP="000679CD">
      <w:pPr>
        <w:spacing w:after="60"/>
        <w:rPr>
          <w:lang w:val="sr-Cyrl-CS"/>
        </w:rPr>
      </w:pPr>
      <w:r w:rsidRPr="00092ED7">
        <w:rPr>
          <w:b/>
          <w:lang w:val="sr-Cyrl-CS"/>
        </w:rPr>
        <w:t>Тржиште рада.</w:t>
      </w:r>
      <w:r w:rsidRPr="00092ED7">
        <w:rPr>
          <w:lang w:val="sr-Cyrl-CS"/>
        </w:rPr>
        <w:t xml:space="preserve"> Трендови на тржишту рада у великој мери су остали отпорни на успоравање динамике привредне активности, захваљујући пре свега</w:t>
      </w:r>
      <w:r w:rsidR="005D32A2" w:rsidRPr="00092ED7">
        <w:rPr>
          <w:lang w:val="sr-Cyrl-CS"/>
        </w:rPr>
        <w:t>,</w:t>
      </w:r>
      <w:r w:rsidRPr="00092ED7">
        <w:rPr>
          <w:lang w:val="sr-Cyrl-CS"/>
        </w:rPr>
        <w:t xml:space="preserve"> макроекономској стабилности успостављеној у претходном периоду. Тако су у 2022. години настављена позитивна кретања која се, пре свега</w:t>
      </w:r>
      <w:r w:rsidR="005D32A2" w:rsidRPr="00092ED7">
        <w:rPr>
          <w:lang w:val="sr-Cyrl-CS"/>
        </w:rPr>
        <w:t>,</w:t>
      </w:r>
      <w:r w:rsidRPr="00092ED7">
        <w:rPr>
          <w:lang w:val="sr-Cyrl-CS"/>
        </w:rPr>
        <w:t xml:space="preserve"> одражавају кроз раст запослености и зарада, али под утицајем геополитичких тензија ипак по нешто успоренијој динамици. Према подацима Централног регистра обавезног социјалног осигурања, у периоду јануар–септембар, просечан број запослених био је већи за 1,6%, у поређењу са истим периодом претходне године, што је било, пре свега резултат раста запослености у приватном сектору за 1,9%, док је у јавном сектору раст износио 0,9%. Истовремено, најснажнији секторски допринос расту запослености долази од ИКТ, административно-услужних и научно-техничких делатности. Према подацима Националне службе за запошљавање, у </w:t>
      </w:r>
      <w:r w:rsidRPr="00092ED7">
        <w:rPr>
          <w:lang w:val="sr-Cyrl-CS"/>
        </w:rPr>
        <w:lastRenderedPageBreak/>
        <w:t>истом периоду, број лица која активно траже запослење смањен је за 13,0%. Према подацима Анкете о радној снази у другом кварталу 2022. године, стопа незапослености (15 и више година) је износила 8,9%, што је ниже у поређењу са истим периодом из 2021. године када је износила 11,1%, док је стопа становништва ван радне снаге смањена за 1,5 п.п. Истовремено, укупна запосленост је била већа за 4,3%, уз раст формалне запослености за 74,9 хиљада и раст неформалне за 47,5 хиљада лица. Поред значајног смањења стопе незапослености и раста укупног броја запослених, забележена су и структурна побољшања на тржишту рада. Побољшан је положај код осетљивијих категорија становништва, односно код популације младих и жена. Тако је смањена стопа незапослености младих са 22,2% на 18,7%, док је код женског дела становништва смањена за 1,6 п.п, на 10,2%. Такође, смањена је стопа дугорочне незапослености за 0,9 п.п, на 4,5%. У истом периоду дошло је и до пораста стопе запослености у неформалном делу привреде за 1,1 п.п, на 14,3%. У периоду јануар–август</w:t>
      </w:r>
      <w:r w:rsidR="007A01EA" w:rsidRPr="00092ED7">
        <w:rPr>
          <w:lang w:val="sr-Cyrl-CS"/>
        </w:rPr>
        <w:t xml:space="preserve">, </w:t>
      </w:r>
      <w:r w:rsidRPr="00092ED7">
        <w:rPr>
          <w:lang w:val="sr-Cyrl-CS"/>
        </w:rPr>
        <w:t>просечна нето зарада је износила 73.265 динара, што је реално повећање за 3,0%, мг., и представља нешто спорији раст у поређењу са претходним периодом. Раст зарада био је у потпуности опредељен растом зарада у приватном сектору, који је у истом периоду износио 5,4%, реално. На општи раст зарада утицало је и повећање минималне цене рада за 9,4% на 201,22 динара по радном часу од 2022. године. И поред повећања зарада у јавном сектору одлуком Владе у распону од 7% до 8%, њихов номинални раст је био у потпуности неутралисан растом инфлације, тако да је у реалним вредностима забележено смањење од 2,6%. Посматрано по делатностима, најзначајнији раст зарада био је у ИКТ, трговини и научно-техничким делатностима.</w:t>
      </w:r>
    </w:p>
    <w:p w14:paraId="1273501C" w14:textId="79C06AFC" w:rsidR="000679CD" w:rsidRPr="00092ED7" w:rsidRDefault="000679CD" w:rsidP="000679CD">
      <w:pPr>
        <w:spacing w:after="60"/>
        <w:rPr>
          <w:szCs w:val="24"/>
          <w:lang w:val="sr-Cyrl-CS"/>
        </w:rPr>
      </w:pPr>
      <w:r w:rsidRPr="00092ED7">
        <w:rPr>
          <w:b/>
          <w:szCs w:val="24"/>
          <w:lang w:val="sr-Cyrl-CS"/>
        </w:rPr>
        <w:t xml:space="preserve">Екстерни сектор. </w:t>
      </w:r>
      <w:r w:rsidRPr="00092ED7">
        <w:rPr>
          <w:szCs w:val="24"/>
          <w:lang w:val="sr-Cyrl-CS"/>
        </w:rPr>
        <w:t xml:space="preserve">Током девет месеци 2022. </w:t>
      </w:r>
      <w:r w:rsidR="00E32353" w:rsidRPr="00092ED7">
        <w:rPr>
          <w:szCs w:val="24"/>
          <w:lang w:val="sr-Cyrl-CS"/>
        </w:rPr>
        <w:t xml:space="preserve">године </w:t>
      </w:r>
      <w:r w:rsidRPr="00092ED7">
        <w:rPr>
          <w:szCs w:val="24"/>
          <w:lang w:val="sr-Cyrl-CS"/>
        </w:rPr>
        <w:t>текући дефицит је износио око 2,8 млрд евра (6,5% БДП-а) и скоро у потпуности је био финансиран нето приливом страних директних инвестиција (покривеност 99,2%). Раст светских цена енергената, а делом и већи количински увоз ради обезбеђења енергетске сигурности, довео је до повећања текућег дефицита за 1,5 млрд евра у односу на исти период 2021.</w:t>
      </w:r>
      <w:r w:rsidR="00BB164C" w:rsidRPr="00092ED7">
        <w:rPr>
          <w:szCs w:val="24"/>
          <w:lang w:val="sr-Cyrl-CS"/>
        </w:rPr>
        <w:t xml:space="preserve"> </w:t>
      </w:r>
      <w:r w:rsidR="00E32353" w:rsidRPr="00092ED7">
        <w:rPr>
          <w:szCs w:val="24"/>
          <w:lang w:val="sr-Cyrl-CS"/>
        </w:rPr>
        <w:t>године.</w:t>
      </w:r>
      <w:r w:rsidRPr="00092ED7">
        <w:rPr>
          <w:szCs w:val="24"/>
          <w:lang w:val="sr-Cyrl-CS"/>
        </w:rPr>
        <w:t xml:space="preserve"> Притом, повећан робни дефицит (за 2,3 млрд евра мг.), у потпуности као последица већег увоза енергената, као и раст дефицита примарног дохотка (за 0,6 млрд евра мг.), делом су компензовани растом суфицита секундарног дохотка (за 1,2 млрд евра мг.) и услуга (за 0,3 млрд евра мг.).</w:t>
      </w:r>
    </w:p>
    <w:p w14:paraId="6CD501EF" w14:textId="47FC2D58" w:rsidR="000679CD" w:rsidRPr="00092ED7" w:rsidRDefault="000679CD" w:rsidP="000679CD">
      <w:pPr>
        <w:spacing w:after="60"/>
        <w:rPr>
          <w:szCs w:val="24"/>
          <w:lang w:val="sr-Cyrl-CS"/>
        </w:rPr>
      </w:pPr>
      <w:r w:rsidRPr="00092ED7">
        <w:rPr>
          <w:szCs w:val="24"/>
          <w:lang w:val="sr-Cyrl-CS"/>
        </w:rPr>
        <w:t>Упркос успоравању екстерне тражње, извоз робе и услуга наставио је да остварује високе стопе раста у овој години, пре свега захваљују</w:t>
      </w:r>
      <w:r w:rsidR="00E32353" w:rsidRPr="00092ED7">
        <w:rPr>
          <w:szCs w:val="24"/>
          <w:lang w:val="sr-Cyrl-CS"/>
        </w:rPr>
        <w:t xml:space="preserve"> </w:t>
      </w:r>
      <w:r w:rsidRPr="00092ED7">
        <w:rPr>
          <w:szCs w:val="24"/>
          <w:lang w:val="sr-Cyrl-CS"/>
        </w:rPr>
        <w:t xml:space="preserve">и инвестицијама у разменљиве секторе из претходног периода. Робни извоз је током девет месеци 2022. </w:t>
      </w:r>
      <w:r w:rsidR="00E32353" w:rsidRPr="00092ED7">
        <w:rPr>
          <w:szCs w:val="24"/>
          <w:lang w:val="sr-Cyrl-CS"/>
        </w:rPr>
        <w:t xml:space="preserve">године </w:t>
      </w:r>
      <w:r w:rsidRPr="00092ED7">
        <w:rPr>
          <w:szCs w:val="24"/>
          <w:lang w:val="sr-Cyrl-CS"/>
        </w:rPr>
        <w:t>забележио раст од 29,4% мг.</w:t>
      </w:r>
      <w:r w:rsidRPr="00092ED7">
        <w:rPr>
          <w:rStyle w:val="FootnoteReference"/>
          <w:szCs w:val="24"/>
          <w:lang w:val="sr-Cyrl-CS"/>
        </w:rPr>
        <w:footnoteReference w:id="3"/>
      </w:r>
      <w:r w:rsidRPr="00092ED7">
        <w:rPr>
          <w:szCs w:val="24"/>
          <w:lang w:val="sr-Cyrl-CS"/>
        </w:rPr>
        <w:t>, а највећи допринос је потекао од раста извоза прерађивачке индустрије (24,8% мг., допринос 21,9 п.п.), при чему је раст извоза забележен код свих 23 области прерађивачке индустрије. Посматрано по тржиштима, на оправак робног извоза</w:t>
      </w:r>
      <w:r w:rsidR="00E32353" w:rsidRPr="00092ED7">
        <w:rPr>
          <w:szCs w:val="24"/>
          <w:lang w:val="sr-Cyrl-CS"/>
        </w:rPr>
        <w:t>,</w:t>
      </w:r>
      <w:r w:rsidRPr="00092ED7">
        <w:rPr>
          <w:szCs w:val="24"/>
          <w:lang w:val="sr-Cyrl-CS"/>
        </w:rPr>
        <w:t xml:space="preserve"> највећи утицај је имао раст извоза у земље Европске уније (26,2% мг., допринос 17,1 п.п.), ЦЕФТА (28,1% мг., допринос 4,4 п.п.), као и у Кину (45,4% мг., допринос 1,7 п.п.). Носиоци извозне активности посматрано по областима биле су: експолатоација руде метала (199,3% мг., допринос 5,6 п.п.), производња прехрамбених производа (26,1% мг., допринос 2,6 п.п.), електричне опреме (23,3% мг., допринос 2,4 п.п.), хемикалија и хемијских производа (33,9% мг., допринос 2,3 п.п.), гуме и пластике (20,2% мг., допринос 1,8 п.п.), као и основних метала (18,1% мг., допринос 1,6 п.п.). С друге стране</w:t>
      </w:r>
      <w:r w:rsidR="00E32353" w:rsidRPr="00092ED7">
        <w:rPr>
          <w:szCs w:val="24"/>
          <w:lang w:val="sr-Cyrl-CS"/>
        </w:rPr>
        <w:t>,</w:t>
      </w:r>
      <w:r w:rsidRPr="00092ED7">
        <w:rPr>
          <w:szCs w:val="24"/>
          <w:lang w:val="sr-Cyrl-CS"/>
        </w:rPr>
        <w:t xml:space="preserve"> током овог периода забележен је и пад извоза код пољопривредне производње, лова и услужне делатности (4,5% мг., допринос –0,3 п.п.).</w:t>
      </w:r>
    </w:p>
    <w:p w14:paraId="42B81DC4" w14:textId="77777777" w:rsidR="000679CD" w:rsidRPr="00092ED7" w:rsidRDefault="000679CD" w:rsidP="000679CD">
      <w:pPr>
        <w:spacing w:after="60"/>
        <w:rPr>
          <w:szCs w:val="24"/>
          <w:lang w:val="sr-Cyrl-CS"/>
        </w:rPr>
      </w:pPr>
      <w:r w:rsidRPr="00092ED7">
        <w:rPr>
          <w:szCs w:val="24"/>
          <w:lang w:val="sr-Cyrl-CS"/>
        </w:rPr>
        <w:lastRenderedPageBreak/>
        <w:t xml:space="preserve">Увоз робе је у девет месеци 2022. повећан за 35,4% мг., као резултат раста увоза средстава за репродукцију (раст 46,3% мг., допринос 25,5 п.п.), на шта је у највећој мери утицало повећање светске цене енергената. Највећи допринос расту увоза потекао је од раста увоза сирове нафте и природног гаса (161,6% мг., допринос 8,8 п.п.), хемикалија и хемијских производа (43,3% мг., допринос 4,2 п.п.), основних метала (36,8% мг., допринос 2,8 п.п.), кокса и деривата нафте (80,0% мг., допринос 2,2 п.п.), као и прехрамбених производа (30,1% мг., допринос 1,5 п.п.). Пад увоза је забележен код руда метала (40,8% мг., допринос –0,6 п.п.). Увоз енергената износио је 4,3 млрд евра и у односу на исти период </w:t>
      </w:r>
      <w:r w:rsidR="00C42D80" w:rsidRPr="00092ED7">
        <w:rPr>
          <w:szCs w:val="24"/>
          <w:lang w:val="sr-Cyrl-CS"/>
        </w:rPr>
        <w:t xml:space="preserve">2021. године </w:t>
      </w:r>
      <w:r w:rsidRPr="00092ED7">
        <w:rPr>
          <w:szCs w:val="24"/>
          <w:lang w:val="sr-Cyrl-CS"/>
        </w:rPr>
        <w:t>био је виши за 2,5 млрд евра.</w:t>
      </w:r>
    </w:p>
    <w:p w14:paraId="2C5AD06E" w14:textId="6834F90F" w:rsidR="000679CD" w:rsidRPr="00092ED7" w:rsidRDefault="000679CD" w:rsidP="000679CD">
      <w:pPr>
        <w:spacing w:after="60"/>
        <w:rPr>
          <w:szCs w:val="24"/>
          <w:lang w:val="sr-Cyrl-CS"/>
        </w:rPr>
      </w:pPr>
      <w:r w:rsidRPr="00092ED7">
        <w:rPr>
          <w:szCs w:val="24"/>
          <w:lang w:val="sr-Cyrl-CS"/>
        </w:rPr>
        <w:t xml:space="preserve">Дефицит на рачуну примарног дохотка је повећан за 47,3% мг., пре свега услед већих одлива по основу дохотка од директних инвестиција (за 57,6% мг.). На повећање суфицита секундарног дохотка (за 39,0% мг.) највише је утицао раст прилива дознака у </w:t>
      </w:r>
      <w:r w:rsidR="00BB164C" w:rsidRPr="00092ED7">
        <w:rPr>
          <w:szCs w:val="24"/>
          <w:lang w:val="sr-Cyrl-CS"/>
        </w:rPr>
        <w:t xml:space="preserve">Републику </w:t>
      </w:r>
      <w:r w:rsidRPr="00092ED7">
        <w:rPr>
          <w:szCs w:val="24"/>
          <w:lang w:val="sr-Cyrl-CS"/>
        </w:rPr>
        <w:t>Србију (за 46,0% мг.).</w:t>
      </w:r>
    </w:p>
    <w:p w14:paraId="32FAD8D7" w14:textId="2739C9DC" w:rsidR="000679CD" w:rsidRPr="00092ED7" w:rsidRDefault="000679CD" w:rsidP="000679CD">
      <w:pPr>
        <w:spacing w:after="60"/>
        <w:rPr>
          <w:szCs w:val="24"/>
          <w:lang w:val="sr-Cyrl-CS"/>
        </w:rPr>
      </w:pPr>
      <w:r w:rsidRPr="00092ED7">
        <w:rPr>
          <w:szCs w:val="24"/>
          <w:lang w:val="sr-Cyrl-CS"/>
        </w:rPr>
        <w:t xml:space="preserve">На рачуну финансијских трансакција (без промене девизних резерви) у периоду јануар–септембар 2022. забележен је нето прилив од 2,3 млрд евра. Нето прилив по основу страних директних инвестиција је у посматраном периоду износио 2,8 млрд евра. Прилив у </w:t>
      </w:r>
      <w:r w:rsidR="00BB164C" w:rsidRPr="00092ED7">
        <w:rPr>
          <w:szCs w:val="24"/>
          <w:lang w:val="sr-Cyrl-CS"/>
        </w:rPr>
        <w:t xml:space="preserve">Републику </w:t>
      </w:r>
      <w:r w:rsidRPr="00092ED7">
        <w:rPr>
          <w:szCs w:val="24"/>
          <w:lang w:val="sr-Cyrl-CS"/>
        </w:rPr>
        <w:t xml:space="preserve">Србију је износио 3,0 млрд евра, што је чак и благо веће него током девет месеци прошле рекордне године. Након привременог успоравања прилива у марту и априлу 2022, од јуна се бележе месечни приливи страних директних инвестиција у </w:t>
      </w:r>
      <w:r w:rsidR="00BB164C" w:rsidRPr="00092ED7">
        <w:rPr>
          <w:szCs w:val="24"/>
          <w:lang w:val="sr-Cyrl-CS"/>
        </w:rPr>
        <w:t xml:space="preserve">Републику </w:t>
      </w:r>
      <w:r w:rsidRPr="00092ED7">
        <w:rPr>
          <w:szCs w:val="24"/>
          <w:lang w:val="sr-Cyrl-CS"/>
        </w:rPr>
        <w:t>Србију</w:t>
      </w:r>
      <w:r w:rsidR="00E32353" w:rsidRPr="00092ED7">
        <w:rPr>
          <w:szCs w:val="24"/>
          <w:lang w:val="sr-Cyrl-CS"/>
        </w:rPr>
        <w:t>,</w:t>
      </w:r>
      <w:r w:rsidRPr="00092ED7">
        <w:rPr>
          <w:szCs w:val="24"/>
          <w:lang w:val="sr-Cyrl-CS"/>
        </w:rPr>
        <w:t xml:space="preserve"> између 450 и 600 млн евра. Прилив по овом основу остао </w:t>
      </w:r>
      <w:r w:rsidR="00E32353" w:rsidRPr="00092ED7">
        <w:rPr>
          <w:szCs w:val="24"/>
          <w:lang w:val="sr-Cyrl-CS"/>
        </w:rPr>
        <w:t xml:space="preserve">је </w:t>
      </w:r>
      <w:r w:rsidRPr="00092ED7">
        <w:rPr>
          <w:szCs w:val="24"/>
          <w:lang w:val="sr-Cyrl-CS"/>
        </w:rPr>
        <w:t>пројектно диверсификован, а највише је био усмерен у разменљиве секторе (преко 50%). Посматрано по делатностима</w:t>
      </w:r>
      <w:r w:rsidR="00E32353" w:rsidRPr="00092ED7">
        <w:rPr>
          <w:szCs w:val="24"/>
          <w:lang w:val="sr-Cyrl-CS"/>
        </w:rPr>
        <w:t>,</w:t>
      </w:r>
      <w:r w:rsidRPr="00092ED7">
        <w:rPr>
          <w:szCs w:val="24"/>
          <w:lang w:val="sr-Cyrl-CS"/>
        </w:rPr>
        <w:t xml:space="preserve"> највише је уложено у прерађивачку индустрију, грађевинарство, трговину, послове с </w:t>
      </w:r>
      <w:r w:rsidR="000614DC" w:rsidRPr="00092ED7">
        <w:rPr>
          <w:szCs w:val="24"/>
          <w:lang w:val="sr-Cyrl-CS"/>
        </w:rPr>
        <w:t xml:space="preserve">непокретностима </w:t>
      </w:r>
      <w:r w:rsidRPr="00092ED7">
        <w:rPr>
          <w:szCs w:val="24"/>
          <w:lang w:val="sr-Cyrl-CS"/>
        </w:rPr>
        <w:t>и саобраћај. Посматрано по земљама, највећи део прилива страних директних инвестиција наставља да долази из земаља ЕУ (око 46%).</w:t>
      </w:r>
    </w:p>
    <w:p w14:paraId="5C5D7184" w14:textId="6852CC61" w:rsidR="000679CD" w:rsidRPr="00092ED7" w:rsidRDefault="000679CD" w:rsidP="000679CD">
      <w:pPr>
        <w:spacing w:after="60"/>
        <w:rPr>
          <w:szCs w:val="24"/>
          <w:lang w:val="sr-Cyrl-CS"/>
        </w:rPr>
      </w:pPr>
      <w:r w:rsidRPr="00092ED7">
        <w:rPr>
          <w:szCs w:val="24"/>
          <w:lang w:val="sr-Cyrl-CS"/>
        </w:rPr>
        <w:t xml:space="preserve">По основу портфолио инвестиција у периоду јануар-септембар 2022. </w:t>
      </w:r>
      <w:r w:rsidR="00E32353" w:rsidRPr="00092ED7">
        <w:rPr>
          <w:szCs w:val="24"/>
          <w:lang w:val="sr-Cyrl-CS"/>
        </w:rPr>
        <w:t xml:space="preserve">године </w:t>
      </w:r>
      <w:r w:rsidRPr="00092ED7">
        <w:rPr>
          <w:szCs w:val="24"/>
          <w:lang w:val="sr-Cyrl-CS"/>
        </w:rPr>
        <w:t>забележен је нето прилив од 0,1 млрд евра, што указује на поверење страних инвест</w:t>
      </w:r>
      <w:r w:rsidR="007D26ED" w:rsidRPr="00092ED7">
        <w:rPr>
          <w:szCs w:val="24"/>
          <w:lang w:val="sr-Cyrl-CS"/>
        </w:rPr>
        <w:t>и</w:t>
      </w:r>
      <w:r w:rsidRPr="00092ED7">
        <w:rPr>
          <w:szCs w:val="24"/>
          <w:lang w:val="sr-Cyrl-CS"/>
        </w:rPr>
        <w:t>т</w:t>
      </w:r>
      <w:r w:rsidR="007D26ED" w:rsidRPr="00092ED7">
        <w:rPr>
          <w:szCs w:val="24"/>
          <w:lang w:val="sr-Cyrl-CS"/>
        </w:rPr>
        <w:t>о</w:t>
      </w:r>
      <w:r w:rsidRPr="00092ED7">
        <w:rPr>
          <w:szCs w:val="24"/>
          <w:lang w:val="sr-Cyrl-CS"/>
        </w:rPr>
        <w:t>ра у макроекономске фундаменте Републике Србије, упркос заоштравању глобалних финансијских услова и већој усмерености токова портфолио инвестиција из земаља у успону ка развијеним земљама,</w:t>
      </w:r>
      <w:r w:rsidR="007D26ED" w:rsidRPr="00092ED7">
        <w:rPr>
          <w:szCs w:val="24"/>
          <w:lang w:val="sr-Cyrl-CS"/>
        </w:rPr>
        <w:t xml:space="preserve"> те се</w:t>
      </w:r>
      <w:r w:rsidRPr="00092ED7">
        <w:rPr>
          <w:szCs w:val="24"/>
          <w:lang w:val="sr-Cyrl-CS"/>
        </w:rPr>
        <w:t xml:space="preserve"> страни инвеститори нису у великој мери повукли из динарских државних хартија од вредности. По основу финансијских кредита резиденти су се нето задужили према иностранству за 1,3 млрд евра, при чему се приватни сектор нето задужио за 0,9 млрд евра, а јавни сектор за 0,4 млрд евра.</w:t>
      </w:r>
    </w:p>
    <w:p w14:paraId="07D8C4C0" w14:textId="131A65D4" w:rsidR="000679CD" w:rsidRPr="00092ED7" w:rsidRDefault="000679CD" w:rsidP="000679CD">
      <w:pPr>
        <w:spacing w:after="60"/>
        <w:rPr>
          <w:szCs w:val="24"/>
          <w:lang w:val="sr-Cyrl-CS"/>
        </w:rPr>
      </w:pPr>
      <w:r w:rsidRPr="00092ED7">
        <w:rPr>
          <w:szCs w:val="24"/>
          <w:lang w:val="sr-Cyrl-CS"/>
        </w:rPr>
        <w:t>Девизне резерве Народне банке Србије (без међувалутних промена и промена цена активе) у овом периоду смањене су за свега 280,4 млн евра и остале су знатно изнад нивоа који се процењује да обезбеђује адекватну заштиту од екстерних потреса. Током октобра</w:t>
      </w:r>
      <w:r w:rsidR="007A01EA" w:rsidRPr="00092ED7">
        <w:rPr>
          <w:szCs w:val="24"/>
          <w:lang w:val="sr-Cyrl-CS"/>
        </w:rPr>
        <w:t xml:space="preserve"> </w:t>
      </w:r>
      <w:r w:rsidRPr="00092ED7">
        <w:rPr>
          <w:szCs w:val="24"/>
          <w:lang w:val="sr-Cyrl-CS"/>
        </w:rPr>
        <w:t>номинално посматрано, девизне резерве су повећане за 369 млн евра и на крају октобра износиле су 16,9 млрд евра, што је највиши ниво до сада, чиме су покривале су око пет месеци увоза робе и услуга, близу 150% новчане масе М1 и око 287% дуга</w:t>
      </w:r>
      <w:r w:rsidRPr="00092ED7">
        <w:rPr>
          <w:szCs w:val="24"/>
          <w:vertAlign w:val="superscript"/>
          <w:lang w:val="sr-Cyrl-CS"/>
        </w:rPr>
        <w:footnoteReference w:id="4"/>
      </w:r>
      <w:r w:rsidRPr="00092ED7">
        <w:rPr>
          <w:szCs w:val="24"/>
          <w:lang w:val="sr-Cyrl-CS"/>
        </w:rPr>
        <w:t xml:space="preserve"> који доспева у наредној години дана.</w:t>
      </w:r>
    </w:p>
    <w:p w14:paraId="2200AD87" w14:textId="56435927" w:rsidR="000679CD" w:rsidRPr="00092ED7" w:rsidRDefault="000679CD" w:rsidP="000679CD">
      <w:pPr>
        <w:spacing w:after="60"/>
        <w:rPr>
          <w:lang w:val="sr-Cyrl-CS"/>
        </w:rPr>
      </w:pPr>
      <w:r w:rsidRPr="00092ED7">
        <w:rPr>
          <w:b/>
          <w:lang w:val="sr-Cyrl-CS"/>
        </w:rPr>
        <w:t>Девизни курс.</w:t>
      </w:r>
      <w:r w:rsidRPr="00092ED7">
        <w:rPr>
          <w:lang w:val="sr-Cyrl-CS"/>
        </w:rPr>
        <w:t xml:space="preserve"> Током прва четири месеца 2022. године преовладавали су депрецијацијски притисци пре свега услед појачане тражње увозника енергената за девизама у условима раста цена енергената на светском тржишту. Поред тога, у марту је забележена рекордна тражња грађана за страном ефективом услед глобалне неизвесности изазване сукобом у Украјини. Народна банка Србије је ради одржања релативне стабилности курса динара према евру током прва четири месеца нето продала 2.270 млн евра на девизном тржишту. Од маја, уз наставак појачане тражње увозника </w:t>
      </w:r>
      <w:r w:rsidRPr="00092ED7">
        <w:rPr>
          <w:lang w:val="sr-Cyrl-CS"/>
        </w:rPr>
        <w:lastRenderedPageBreak/>
        <w:t>енергената за девизама, ипак преовладавају апрецијацијски притисци услед бројних других фактора – повећања понуде девиза од стране појединих резидената по основу страних директних инвестиција и извоза, високог нето откупа ефективног страног новца од овлашћених мењача и физичких лица, наставка раста евроиндексираних кредита, значајног девизног прилива од туриста нарочито током летње сезоне – а у амбијенту изостанка одлива по основу портфолио токова. Народна банка Србије је од маја до краја октобра</w:t>
      </w:r>
      <w:r w:rsidR="007D26ED" w:rsidRPr="00092ED7">
        <w:rPr>
          <w:lang w:val="sr-Cyrl-CS"/>
        </w:rPr>
        <w:t xml:space="preserve"> 2022. године</w:t>
      </w:r>
      <w:r w:rsidRPr="00092ED7">
        <w:rPr>
          <w:lang w:val="sr-Cyrl-CS"/>
        </w:rPr>
        <w:t xml:space="preserve"> нето купила 2.370 млн евра и тако у потпуности надокнадила нето продају девиза из прва четири месеца. У десет месеци Народна банка Србије била је нето купац девиза у износу од 100 млн евра, а динар је према евру номинално ојачао за 0,2%.</w:t>
      </w:r>
    </w:p>
    <w:p w14:paraId="0F0DDB3A" w14:textId="4BAFBF60" w:rsidR="000679CD" w:rsidRPr="00092ED7" w:rsidRDefault="000679CD" w:rsidP="000679CD">
      <w:pPr>
        <w:spacing w:after="60"/>
        <w:rPr>
          <w:lang w:val="sr-Cyrl-CS"/>
        </w:rPr>
      </w:pPr>
      <w:r w:rsidRPr="00092ED7">
        <w:rPr>
          <w:lang w:val="sr-Cyrl-CS"/>
        </w:rPr>
        <w:t xml:space="preserve">Као што је то случај у већини других земаља, </w:t>
      </w:r>
      <w:r w:rsidRPr="00092ED7">
        <w:rPr>
          <w:b/>
          <w:bCs/>
          <w:i/>
          <w:iCs/>
          <w:lang w:val="sr-Cyrl-CS"/>
        </w:rPr>
        <w:t>инфлација</w:t>
      </w:r>
      <w:r w:rsidRPr="00092ED7">
        <w:rPr>
          <w:lang w:val="sr-Cyrl-CS"/>
        </w:rPr>
        <w:t xml:space="preserve"> се и у </w:t>
      </w:r>
      <w:r w:rsidR="007D26ED" w:rsidRPr="00092ED7">
        <w:rPr>
          <w:lang w:val="sr-Cyrl-CS"/>
        </w:rPr>
        <w:t xml:space="preserve">Републици </w:t>
      </w:r>
      <w:r w:rsidRPr="00092ED7">
        <w:rPr>
          <w:lang w:val="sr-Cyrl-CS"/>
        </w:rPr>
        <w:t>Србији током 2022.</w:t>
      </w:r>
      <w:r w:rsidR="007D26ED" w:rsidRPr="00092ED7">
        <w:rPr>
          <w:lang w:val="sr-Cyrl-CS"/>
        </w:rPr>
        <w:t xml:space="preserve"> године</w:t>
      </w:r>
      <w:r w:rsidRPr="00092ED7">
        <w:rPr>
          <w:lang w:val="sr-Cyrl-CS"/>
        </w:rPr>
        <w:t xml:space="preserve"> кретала узлазном путањом и у октобру је износила 15,0% међугодишње. Највећи допринос инфлацији потиче од цена хране (7,3 п.п. у октобру), услед високих светских цена примарних пољопривредних производа, енергената, амбалаже</w:t>
      </w:r>
      <w:r w:rsidRPr="00092ED7">
        <w:rPr>
          <w:strike/>
          <w:lang w:val="sr-Cyrl-CS"/>
        </w:rPr>
        <w:t>,</w:t>
      </w:r>
      <w:r w:rsidRPr="00092ED7">
        <w:rPr>
          <w:lang w:val="sr-Cyrl-CS"/>
        </w:rPr>
        <w:t xml:space="preserve"> и осталих инпута</w:t>
      </w:r>
      <w:r w:rsidR="007D26ED" w:rsidRPr="00092ED7">
        <w:rPr>
          <w:lang w:val="sr-Cyrl-CS"/>
        </w:rPr>
        <w:t>,</w:t>
      </w:r>
      <w:r w:rsidRPr="00092ED7">
        <w:rPr>
          <w:lang w:val="sr-Cyrl-CS"/>
        </w:rPr>
        <w:t xml:space="preserve"> који повећавају трошкове производње и транспорта, као и негативних ефеката суше на домаћем тржишту и у већем делу Европе. Допринос цена из групе енергија у октобру износио је 2,88 п.п., што је последица виших цена нафтних деривата, чврстих горива, као и корекције регулисаних цена електричне енергије и гаса за домаћинства. Повишене произвођачке и увозне цене утицале су на то</w:t>
      </w:r>
      <w:r w:rsidR="007D26ED" w:rsidRPr="00092ED7">
        <w:rPr>
          <w:lang w:val="sr-Cyrl-CS"/>
        </w:rPr>
        <w:t>,</w:t>
      </w:r>
      <w:r w:rsidRPr="00092ED7">
        <w:rPr>
          <w:lang w:val="sr-Cyrl-CS"/>
        </w:rPr>
        <w:t xml:space="preserve"> да и међугодишња базна инфлација (по искључењу хране, енергије, алкохола и цигарета)</w:t>
      </w:r>
      <w:r w:rsidR="007D26ED" w:rsidRPr="00092ED7">
        <w:rPr>
          <w:lang w:val="sr-Cyrl-CS"/>
        </w:rPr>
        <w:t>,</w:t>
      </w:r>
      <w:r w:rsidRPr="00092ED7">
        <w:rPr>
          <w:lang w:val="sr-Cyrl-CS"/>
        </w:rPr>
        <w:t xml:space="preserve"> забележи раст на 9,5% у октобру, али се она задржала испод укупне инфлације. Нижем нивоу базне инфлације наставила је да доприноси очувана релативна стабилност девизног курса у изузетно неизвесним међународним околностима.</w:t>
      </w:r>
    </w:p>
    <w:p w14:paraId="21A008FA" w14:textId="44E65378" w:rsidR="000679CD" w:rsidRPr="00092ED7" w:rsidRDefault="000679CD" w:rsidP="000679CD">
      <w:pPr>
        <w:spacing w:after="60"/>
        <w:rPr>
          <w:szCs w:val="24"/>
          <w:lang w:val="sr-Cyrl-CS"/>
        </w:rPr>
      </w:pPr>
      <w:bookmarkStart w:id="12" w:name="_Hlk88475087"/>
      <w:r w:rsidRPr="00092ED7">
        <w:rPr>
          <w:b/>
          <w:szCs w:val="24"/>
          <w:lang w:val="sr-Cyrl-CS"/>
        </w:rPr>
        <w:t>Кредитна активност и монетарна кретања.</w:t>
      </w:r>
      <w:r w:rsidRPr="00092ED7">
        <w:rPr>
          <w:bCs/>
          <w:iCs/>
          <w:szCs w:val="24"/>
          <w:lang w:val="sr-Cyrl-CS"/>
        </w:rPr>
        <w:t xml:space="preserve"> И поред раста трошкова задуживања, кредитна активност у 2022. </w:t>
      </w:r>
      <w:r w:rsidR="007D26ED" w:rsidRPr="00092ED7">
        <w:rPr>
          <w:bCs/>
          <w:iCs/>
          <w:szCs w:val="24"/>
          <w:lang w:val="sr-Cyrl-CS"/>
        </w:rPr>
        <w:t xml:space="preserve">години, </w:t>
      </w:r>
      <w:r w:rsidRPr="00092ED7">
        <w:rPr>
          <w:bCs/>
          <w:iCs/>
          <w:szCs w:val="24"/>
          <w:lang w:val="sr-Cyrl-CS"/>
        </w:rPr>
        <w:t>наставила је да бележи двоцифрен мг. раст, који је, искључујући ефекат промене девизног курса, у октобру износио 10,7%. Од јула тај раст постепено успорава под утицајем високе базе из претходне године и доспећа кредита из гарантне шеме који су одобравани у периоду од маја 2020. године.</w:t>
      </w:r>
    </w:p>
    <w:p w14:paraId="13852E8C" w14:textId="77777777" w:rsidR="000679CD" w:rsidRPr="00092ED7" w:rsidRDefault="000679CD" w:rsidP="000679CD">
      <w:pPr>
        <w:spacing w:after="60"/>
        <w:rPr>
          <w:szCs w:val="24"/>
          <w:lang w:val="sr-Cyrl-CS"/>
        </w:rPr>
      </w:pPr>
      <w:r w:rsidRPr="00092ED7">
        <w:rPr>
          <w:szCs w:val="24"/>
          <w:lang w:val="sr-Cyrl-CS"/>
        </w:rPr>
        <w:t>Резултати анкета о кредитној активности коју спроводи Народна банка Србије показују да су банке пооштравале кредитне стандарде за привреду током целе године, а за становниптво од Т2. На заоштравање кредитних стандарда утичу раст трошкова извора за кредите и повећана аверзија банака према ризику. Тражња привреде за кредитима расла је све време, вођена пре свега потребом финансирања обртних средства и капиталних инвестиција, док је тражња становништва расла до Т3 под утицајем рефинансирања постојећих обавеза, куповине непокретности и набавке трајних потрошних добара. Раст тражње привреде за кредитима очекује се и у наредном периоду, док се за становништво предвиђа да ће смањење тражње започето у Т3 бити настављено и до краја године.</w:t>
      </w:r>
    </w:p>
    <w:p w14:paraId="77576E86" w14:textId="0A27F53B" w:rsidR="000679CD" w:rsidRPr="00092ED7" w:rsidRDefault="00B86E8D" w:rsidP="000679CD">
      <w:pPr>
        <w:spacing w:after="60"/>
        <w:rPr>
          <w:szCs w:val="24"/>
          <w:lang w:val="sr-Cyrl-CS"/>
        </w:rPr>
      </w:pPr>
      <w:r w:rsidRPr="00092ED7">
        <w:rPr>
          <w:szCs w:val="24"/>
          <w:lang w:val="sr-Cyrl-CS"/>
        </w:rPr>
        <w:t>У октобру м</w:t>
      </w:r>
      <w:r w:rsidR="000679CD" w:rsidRPr="00092ED7">
        <w:rPr>
          <w:szCs w:val="24"/>
          <w:lang w:val="sr-Cyrl-CS"/>
        </w:rPr>
        <w:t>г. раст кредита привреди је износио 12,7%, а њихово учешће у БДП-у 23,8%, што је исто као крајем 2021. године и указује на то да су кредити расли у складу с растом привредне активности. Раст кредита од почетка године вођен је одобравањем кредита за ликвидност и обртна средства и инвестиционим кредитима, чија су учешћа у укупним кредитима привреди у октобру износила 47,5% и 39,5%, респективно. Посматрано по величини предузећа, кредити одобрени сегменту микро, малих и средњих предузећа чинили су 60,0% укупних кредита привреди. Вођен одобравањем стамбених и готовински</w:t>
      </w:r>
      <w:r w:rsidR="00BB164C" w:rsidRPr="00092ED7">
        <w:rPr>
          <w:szCs w:val="24"/>
          <w:lang w:val="sr-Cyrl-CS"/>
        </w:rPr>
        <w:t>х</w:t>
      </w:r>
      <w:r w:rsidR="000679CD" w:rsidRPr="00092ED7">
        <w:rPr>
          <w:szCs w:val="24"/>
          <w:lang w:val="sr-Cyrl-CS"/>
        </w:rPr>
        <w:t xml:space="preserve"> кредита, раст кредита становништву у октобру износио је 7,7% мг., а њихово учешће у БДП-у 21,1%. Захваљујући израженијем расту, учешће стамбених кредита у укупним кредитима становништву повећано је на 40,1% у октобру, док је учешће готовинских кредита смањено на 43,7%.</w:t>
      </w:r>
    </w:p>
    <w:p w14:paraId="7037F753" w14:textId="70C020EE" w:rsidR="000679CD" w:rsidRPr="00092ED7" w:rsidRDefault="000679CD" w:rsidP="000679CD">
      <w:pPr>
        <w:spacing w:after="60"/>
        <w:rPr>
          <w:szCs w:val="24"/>
          <w:lang w:val="sr-Cyrl-CS"/>
        </w:rPr>
      </w:pPr>
      <w:r w:rsidRPr="00092ED7">
        <w:rPr>
          <w:szCs w:val="24"/>
          <w:lang w:val="sr-Cyrl-CS"/>
        </w:rPr>
        <w:lastRenderedPageBreak/>
        <w:t>Динаризација пласмана привреди и становништву у октобру је износила 35,5% (20% у сектору привреде и 53,7% у сектору становништва), што је за 2,8 п.п. ниже него крајем 2021.</w:t>
      </w:r>
      <w:r w:rsidR="008846CF" w:rsidRPr="00092ED7">
        <w:rPr>
          <w:szCs w:val="24"/>
          <w:lang w:val="sr-Cyrl-CS"/>
        </w:rPr>
        <w:t xml:space="preserve"> године, </w:t>
      </w:r>
      <w:r w:rsidRPr="00092ED7">
        <w:rPr>
          <w:szCs w:val="24"/>
          <w:lang w:val="sr-Cyrl-CS"/>
        </w:rPr>
        <w:t>услед доспећа кредита одобрених из гарантне шеме (који су углавном били одобравани у динарима) и бржег раста евроиндексираних стамбених кредита у односу на кредите становништву за остале намене (који су углавом динарски). Ипак, посматрано у односу на крај 2012 (28,0%), тј. период када је донета стратегија динаризације, то је и даље значајно виши ниво, што потврђује да је стратегија динаризације дала резултате.</w:t>
      </w:r>
    </w:p>
    <w:p w14:paraId="2E1813AE" w14:textId="5DD6D414" w:rsidR="000679CD" w:rsidRPr="00092ED7" w:rsidRDefault="000679CD" w:rsidP="000679CD">
      <w:pPr>
        <w:spacing w:after="60"/>
        <w:rPr>
          <w:szCs w:val="24"/>
          <w:lang w:val="sr-Cyrl-CS"/>
        </w:rPr>
      </w:pPr>
      <w:r w:rsidRPr="00092ED7">
        <w:rPr>
          <w:szCs w:val="24"/>
          <w:lang w:val="sr-Cyrl-CS"/>
        </w:rPr>
        <w:t>Успоравање раста кредитне активности највероватније ће се наставити и у наредном периоду, на шта ће се, поред високе базе, одразити и ефекти заоштравања монетарне политике Народне банке Србије и Европске централне банке (у сегменту девизно индексираног кредитирања). Према процени Народне банке Србије</w:t>
      </w:r>
      <w:r w:rsidR="008846CF" w:rsidRPr="00092ED7">
        <w:rPr>
          <w:szCs w:val="24"/>
          <w:lang w:val="sr-Cyrl-CS"/>
        </w:rPr>
        <w:t>,</w:t>
      </w:r>
      <w:r w:rsidRPr="00092ED7">
        <w:rPr>
          <w:szCs w:val="24"/>
          <w:lang w:val="sr-Cyrl-CS"/>
        </w:rPr>
        <w:t xml:space="preserve"> на крају 2022. </w:t>
      </w:r>
      <w:r w:rsidR="008846CF" w:rsidRPr="00092ED7">
        <w:rPr>
          <w:szCs w:val="24"/>
          <w:lang w:val="sr-Cyrl-CS"/>
        </w:rPr>
        <w:t xml:space="preserve">године, </w:t>
      </w:r>
      <w:r w:rsidRPr="00092ED7">
        <w:rPr>
          <w:szCs w:val="24"/>
          <w:lang w:val="sr-Cyrl-CS"/>
        </w:rPr>
        <w:t>кредити ће бити виши за око 9% мг., а у 2023. за око 6% мг., при чему ће и даље нешто већи допринос расту кредита потицати од кредита привреди у односу на становништво.</w:t>
      </w:r>
    </w:p>
    <w:p w14:paraId="6CB7BCAC" w14:textId="633154CB" w:rsidR="000679CD" w:rsidRPr="00092ED7" w:rsidRDefault="000679CD" w:rsidP="000679CD">
      <w:pPr>
        <w:spacing w:after="60"/>
        <w:rPr>
          <w:szCs w:val="24"/>
          <w:lang w:val="sr-Cyrl-CS"/>
        </w:rPr>
      </w:pPr>
      <w:r w:rsidRPr="00092ED7">
        <w:rPr>
          <w:szCs w:val="24"/>
          <w:lang w:val="sr-Cyrl-CS"/>
        </w:rPr>
        <w:t xml:space="preserve">Посматрано на мг. нивоу, успоравање раста монетарних агрегата, које је било присутно и током 2021. </w:t>
      </w:r>
      <w:r w:rsidR="00A07FFE" w:rsidRPr="00092ED7">
        <w:rPr>
          <w:szCs w:val="24"/>
          <w:lang w:val="sr-Cyrl-CS"/>
        </w:rPr>
        <w:t xml:space="preserve">године </w:t>
      </w:r>
      <w:r w:rsidRPr="00092ED7">
        <w:rPr>
          <w:szCs w:val="24"/>
          <w:lang w:val="sr-Cyrl-CS"/>
        </w:rPr>
        <w:t>(највећим делом као последица високе базе услед обимних пакета државне помоћи привреди и грађанима у борби с</w:t>
      </w:r>
      <w:r w:rsidR="00EB1E02" w:rsidRPr="00092ED7">
        <w:rPr>
          <w:szCs w:val="24"/>
          <w:lang w:val="sr-Cyrl-CS"/>
        </w:rPr>
        <w:t>а негативним ефектима пандемије</w:t>
      </w:r>
      <w:r w:rsidRPr="00092ED7">
        <w:rPr>
          <w:szCs w:val="24"/>
          <w:lang w:val="sr-Cyrl-CS"/>
        </w:rPr>
        <w:t xml:space="preserve"> и уздржавања од потрошње у условима предузетих епидемиолошких и здравствених мера), настављено је и у 2022. На то се</w:t>
      </w:r>
      <w:r w:rsidR="00A07FFE" w:rsidRPr="00092ED7">
        <w:rPr>
          <w:szCs w:val="24"/>
          <w:lang w:val="sr-Cyrl-CS"/>
        </w:rPr>
        <w:t>,</w:t>
      </w:r>
      <w:r w:rsidRPr="00092ED7">
        <w:rPr>
          <w:szCs w:val="24"/>
          <w:lang w:val="sr-Cyrl-CS"/>
        </w:rPr>
        <w:t xml:space="preserve"> пре свега</w:t>
      </w:r>
      <w:r w:rsidR="00A07FFE" w:rsidRPr="00092ED7">
        <w:rPr>
          <w:szCs w:val="24"/>
          <w:lang w:val="sr-Cyrl-CS"/>
        </w:rPr>
        <w:t>,</w:t>
      </w:r>
      <w:r w:rsidRPr="00092ED7">
        <w:rPr>
          <w:szCs w:val="24"/>
          <w:lang w:val="sr-Cyrl-CS"/>
        </w:rPr>
        <w:t xml:space="preserve"> одразило смањење депозита по виђењу, а делом и динарске штедње грађана (у периоду март</w:t>
      </w:r>
      <w:r w:rsidR="00A07FFE" w:rsidRPr="00092ED7">
        <w:rPr>
          <w:szCs w:val="24"/>
          <w:lang w:val="sr-Cyrl-CS"/>
        </w:rPr>
        <w:t xml:space="preserve"> </w:t>
      </w:r>
      <w:r w:rsidR="00A07FFE" w:rsidRPr="00092ED7">
        <w:rPr>
          <w:lang w:val="sr-Cyrl-CS"/>
        </w:rPr>
        <w:t>–</w:t>
      </w:r>
      <w:r w:rsidRPr="00092ED7">
        <w:rPr>
          <w:szCs w:val="24"/>
          <w:lang w:val="sr-Cyrl-CS"/>
        </w:rPr>
        <w:t>јун) у условима повећане глобалне неизвесности након избијања конфликта у Украјини, тако да су у октобру динарски монетарни агрегати М1 и М2 забележили номинални мг. раст од 1,0% и 5,1%, респективно. Успоравање раста динарске компоненте, одразило се и да М3 (који укључује и девизне депозите) успори на 8,0% мг. На крају октобра</w:t>
      </w:r>
      <w:r w:rsidR="00A07FFE" w:rsidRPr="00092ED7">
        <w:rPr>
          <w:szCs w:val="24"/>
          <w:lang w:val="sr-Cyrl-CS"/>
        </w:rPr>
        <w:t>,</w:t>
      </w:r>
      <w:r w:rsidRPr="00092ED7">
        <w:rPr>
          <w:szCs w:val="24"/>
          <w:lang w:val="sr-Cyrl-CS"/>
        </w:rPr>
        <w:t xml:space="preserve"> динарска штедња грађана износила је 88 млрд динара и чинила је 5,6% укупне штедње (наспрам 1,9% крајем 2012). Динаризација депозита привреде и становништва у октобру</w:t>
      </w:r>
      <w:r w:rsidR="00A07FFE" w:rsidRPr="00092ED7">
        <w:rPr>
          <w:szCs w:val="24"/>
          <w:lang w:val="sr-Cyrl-CS"/>
        </w:rPr>
        <w:t>,</w:t>
      </w:r>
      <w:r w:rsidRPr="00092ED7">
        <w:rPr>
          <w:szCs w:val="24"/>
          <w:lang w:val="sr-Cyrl-CS"/>
        </w:rPr>
        <w:t xml:space="preserve"> износила </w:t>
      </w:r>
      <w:r w:rsidR="00A07FFE" w:rsidRPr="00092ED7">
        <w:rPr>
          <w:szCs w:val="24"/>
          <w:lang w:val="sr-Cyrl-CS"/>
        </w:rPr>
        <w:t xml:space="preserve">је </w:t>
      </w:r>
      <w:r w:rsidRPr="00092ED7">
        <w:rPr>
          <w:szCs w:val="24"/>
          <w:lang w:val="sr-Cyrl-CS"/>
        </w:rPr>
        <w:t>38%, наспрам 19,3% крајем 2012. године.</w:t>
      </w:r>
    </w:p>
    <w:p w14:paraId="5FCDF0BE" w14:textId="63E01739" w:rsidR="000679CD" w:rsidRPr="00092ED7" w:rsidRDefault="000679CD" w:rsidP="000679CD">
      <w:pPr>
        <w:spacing w:after="60"/>
        <w:rPr>
          <w:lang w:val="sr-Cyrl-CS"/>
        </w:rPr>
      </w:pPr>
      <w:bookmarkStart w:id="13" w:name="_Hlk88465511"/>
      <w:bookmarkEnd w:id="12"/>
      <w:r w:rsidRPr="00092ED7">
        <w:rPr>
          <w:b/>
          <w:lang w:val="sr-Cyrl-CS"/>
        </w:rPr>
        <w:t xml:space="preserve">Финансијски сектор. </w:t>
      </w:r>
      <w:r w:rsidRPr="00092ED7">
        <w:rPr>
          <w:lang w:val="sr-Cyrl-CS"/>
        </w:rPr>
        <w:t xml:space="preserve">У структури финансијског система </w:t>
      </w:r>
      <w:r w:rsidR="00A07FFE" w:rsidRPr="00092ED7">
        <w:rPr>
          <w:lang w:val="sr-Cyrl-CS"/>
        </w:rPr>
        <w:t xml:space="preserve">Републике </w:t>
      </w:r>
      <w:r w:rsidRPr="00092ED7">
        <w:rPr>
          <w:lang w:val="sr-Cyrl-CS"/>
        </w:rPr>
        <w:t>Србије није било значајнијих измена током 2022. године – банкарски сектор је и даље доминантан са учешћем преко 90% у укупној активи финансијског сектора.</w:t>
      </w:r>
      <w:r w:rsidRPr="00092ED7">
        <w:rPr>
          <w:b/>
          <w:i/>
          <w:lang w:val="sr-Cyrl-CS"/>
        </w:rPr>
        <w:t xml:space="preserve"> </w:t>
      </w:r>
      <w:r w:rsidRPr="00092ED7">
        <w:rPr>
          <w:lang w:val="sr-Cyrl-CS"/>
        </w:rPr>
        <w:t>Закључно са 30. септембром 2022. године</w:t>
      </w:r>
      <w:r w:rsidR="00A07FFE" w:rsidRPr="00092ED7">
        <w:rPr>
          <w:lang w:val="sr-Cyrl-CS"/>
        </w:rPr>
        <w:t>,</w:t>
      </w:r>
      <w:r w:rsidRPr="00092ED7">
        <w:rPr>
          <w:lang w:val="sr-Cyrl-CS"/>
        </w:rPr>
        <w:t xml:space="preserve"> банкарски сектор </w:t>
      </w:r>
      <w:r w:rsidR="00A07FFE" w:rsidRPr="00092ED7">
        <w:rPr>
          <w:lang w:val="sr-Cyrl-CS"/>
        </w:rPr>
        <w:t xml:space="preserve">Републике </w:t>
      </w:r>
      <w:r w:rsidRPr="00092ED7">
        <w:rPr>
          <w:lang w:val="sr-Cyrl-CS"/>
        </w:rPr>
        <w:t xml:space="preserve">Србије </w:t>
      </w:r>
      <w:r w:rsidR="00A07FFE" w:rsidRPr="00092ED7">
        <w:rPr>
          <w:lang w:val="sr-Cyrl-CS"/>
        </w:rPr>
        <w:t xml:space="preserve">обухватио је </w:t>
      </w:r>
      <w:r w:rsidRPr="00092ED7">
        <w:rPr>
          <w:lang w:val="sr-Cyrl-CS"/>
        </w:rPr>
        <w:t xml:space="preserve">22 банкe, од којих је 17 у већинском власништву страних лица (чланице банкарских група из 12 држава), две банке су у већинском власништву Републике Србије, док су три банке у већинском власништву домаћих правних лица. </w:t>
      </w:r>
      <w:bookmarkStart w:id="14" w:name="_Hlk57296010"/>
      <w:r w:rsidRPr="00092ED7">
        <w:rPr>
          <w:lang w:val="sr-Cyrl-CS"/>
        </w:rPr>
        <w:t xml:space="preserve">На тржишту доминирају банке у већинском власништву страних лица, на које се односи 83,9% укупне билансне активе, 87,4% укупних бруто кредита и 82,7% укупних депозита банкарског сектора. </w:t>
      </w:r>
      <w:bookmarkStart w:id="15" w:name="_Hlk57296222"/>
      <w:r w:rsidRPr="00092ED7">
        <w:rPr>
          <w:lang w:val="sr-Cyrl-CS"/>
        </w:rPr>
        <w:t>Вредности Херфиндал–Хиршмановог индекса (</w:t>
      </w:r>
      <w:r w:rsidR="00A07FFE" w:rsidRPr="00092ED7">
        <w:rPr>
          <w:lang w:val="sr-Cyrl-CS"/>
        </w:rPr>
        <w:t xml:space="preserve">у даљем тексту: </w:t>
      </w:r>
      <w:r w:rsidRPr="00092ED7">
        <w:rPr>
          <w:lang w:val="sr-Cyrl-CS"/>
        </w:rPr>
        <w:t xml:space="preserve">HHI) показују одсуство концентрације у кључним </w:t>
      </w:r>
      <w:bookmarkEnd w:id="15"/>
      <w:r w:rsidRPr="00092ED7">
        <w:rPr>
          <w:lang w:val="sr-Cyrl-CS"/>
        </w:rPr>
        <w:t>билансним категоријама, што указује на задовољавајући степен тржишне конкуренције.</w:t>
      </w:r>
    </w:p>
    <w:bookmarkEnd w:id="14"/>
    <w:p w14:paraId="7A999657" w14:textId="77777777" w:rsidR="000679CD" w:rsidRPr="00092ED7" w:rsidRDefault="000679CD" w:rsidP="000679CD">
      <w:pPr>
        <w:spacing w:after="60"/>
        <w:rPr>
          <w:lang w:val="sr-Cyrl-CS"/>
        </w:rPr>
      </w:pPr>
      <w:r w:rsidRPr="00092ED7">
        <w:rPr>
          <w:lang w:val="sr-Cyrl-CS"/>
        </w:rPr>
        <w:t>Билансна сума и капитал банкарског сектора су на крају септембра 2022. године износили 5.307 млрд динара и 713 млрд динара, респективно. Солидне резерве капитала које су банке изградиле ранијих година су их учиниле отпорнијим на ризике у ситуацији и даље присутних неизвесности из међународног окружења. Показатељ адекватности капитала за банкарски сектор је износио 19,47%, а показатељ левериџа (по „Базелу 3”) 10,34% на крају септембра 2022. године, што представља још једну потврду високе солвентности банкарског сектора.</w:t>
      </w:r>
    </w:p>
    <w:p w14:paraId="71298854" w14:textId="36E51C09" w:rsidR="000679CD" w:rsidRPr="00092ED7" w:rsidRDefault="000679CD" w:rsidP="000679CD">
      <w:pPr>
        <w:spacing w:after="60"/>
        <w:rPr>
          <w:lang w:val="sr-Cyrl-CS"/>
        </w:rPr>
      </w:pPr>
      <w:r w:rsidRPr="00092ED7">
        <w:rPr>
          <w:lang w:val="sr-Cyrl-CS"/>
        </w:rPr>
        <w:t xml:space="preserve">Резерве ликвидности банкарског сектора су више него довољне за покриће потенцијалних потреба за ликвидним средствима, што потврђују кретање кључних </w:t>
      </w:r>
      <w:r w:rsidRPr="00092ED7">
        <w:rPr>
          <w:lang w:val="sr-Cyrl-CS"/>
        </w:rPr>
        <w:lastRenderedPageBreak/>
        <w:t>показатеља ликвидности и рочна структура имовине и обавеза. Месечни показатељ ликвидности</w:t>
      </w:r>
      <w:r w:rsidR="003D737E" w:rsidRPr="00092ED7">
        <w:rPr>
          <w:lang w:val="sr-Cyrl-CS"/>
        </w:rPr>
        <w:t>,</w:t>
      </w:r>
      <w:r w:rsidRPr="00092ED7">
        <w:rPr>
          <w:lang w:val="sr-Cyrl-CS"/>
        </w:rPr>
        <w:t xml:space="preserve"> који се обрачунава у складу с домаћим прописима</w:t>
      </w:r>
      <w:r w:rsidR="003D737E" w:rsidRPr="00092ED7">
        <w:rPr>
          <w:lang w:val="sr-Cyrl-CS"/>
        </w:rPr>
        <w:t>,</w:t>
      </w:r>
      <w:r w:rsidRPr="00092ED7">
        <w:rPr>
          <w:lang w:val="sr-Cyrl-CS"/>
        </w:rPr>
        <w:t xml:space="preserve"> је у септембру 2022. године на нивоу банкарског сектора износио 2,04 (регулаторни минимум је 1,0) и кретао се око 2 током целе 2022. године. Ликвидна средства су чинила 34,77% укупне билансне активе и 45,10% укупних краткорочних обавеза, док је показатељ покрића ликвидном активом (по „Базелу 3”) износио 166,63%</w:t>
      </w:r>
      <w:r w:rsidR="003D737E" w:rsidRPr="00092ED7">
        <w:rPr>
          <w:lang w:val="sr-Cyrl-CS"/>
        </w:rPr>
        <w:t>,</w:t>
      </w:r>
      <w:r w:rsidRPr="00092ED7">
        <w:rPr>
          <w:lang w:val="sr-Cyrl-CS"/>
        </w:rPr>
        <w:t xml:space="preserve"> на крају септембра 2022. године.</w:t>
      </w:r>
    </w:p>
    <w:p w14:paraId="6160011D" w14:textId="77777777" w:rsidR="000679CD" w:rsidRPr="00092ED7" w:rsidRDefault="000679CD" w:rsidP="000679CD">
      <w:pPr>
        <w:spacing w:after="60"/>
        <w:rPr>
          <w:lang w:val="sr-Cyrl-CS"/>
        </w:rPr>
      </w:pPr>
      <w:r w:rsidRPr="00092ED7">
        <w:rPr>
          <w:lang w:val="sr-Cyrl-CS"/>
        </w:rPr>
        <w:t>Бакарски сектор је, упркос наставку раста глобалне инфлације и поскупљењу извора финансирањa, а захваљујући и даље стабилном тренду раста кредитне активности, успео да задржи задовољавајућу профитабилност у 2022. години. Укупан нето добитак пре опорезивања остварен од почетка године до краја септембра износио је 58,3 млрд динара, уз показатеље профитабилности ROA од 1,50% и ROE 10,85%.</w:t>
      </w:r>
    </w:p>
    <w:p w14:paraId="3B17A674" w14:textId="49D65668" w:rsidR="000679CD" w:rsidRPr="00092ED7" w:rsidRDefault="000679CD" w:rsidP="000679CD">
      <w:pPr>
        <w:spacing w:after="60"/>
        <w:rPr>
          <w:lang w:val="sr-Cyrl-CS"/>
        </w:rPr>
      </w:pPr>
      <w:r w:rsidRPr="00092ED7">
        <w:rPr>
          <w:lang w:val="sr-Cyrl-CS"/>
        </w:rPr>
        <w:t>Иако је спровела све активности из свог Акционог плана за спровођење Стратегије за решавање проблематичних кредита</w:t>
      </w:r>
      <w:r w:rsidR="003E317A" w:rsidRPr="00092ED7">
        <w:rPr>
          <w:lang w:val="sr-Cyrl-CS"/>
        </w:rPr>
        <w:t xml:space="preserve"> </w:t>
      </w:r>
      <w:r w:rsidR="003E317A" w:rsidRPr="00092ED7">
        <w:rPr>
          <w:iCs/>
          <w:lang w:val="sr-Cyrl-CS"/>
        </w:rPr>
        <w:t>(„Службени</w:t>
      </w:r>
      <w:r w:rsidR="003E317A" w:rsidRPr="00092ED7">
        <w:rPr>
          <w:lang w:val="sr-Cyrl-CS"/>
        </w:rPr>
        <w:t xml:space="preserve"> гласник РС”, </w:t>
      </w:r>
      <w:r w:rsidR="003E317A" w:rsidRPr="00092ED7">
        <w:rPr>
          <w:bCs/>
          <w:iCs/>
          <w:lang w:val="sr-Cyrl-CS"/>
        </w:rPr>
        <w:t>број 72/15)</w:t>
      </w:r>
      <w:r w:rsidR="003E317A" w:rsidRPr="00092ED7">
        <w:rPr>
          <w:iCs/>
          <w:lang w:val="sr-Cyrl-CS"/>
        </w:rPr>
        <w:t xml:space="preserve">, </w:t>
      </w:r>
      <w:r w:rsidRPr="00092ED7">
        <w:rPr>
          <w:lang w:val="sr-Cyrl-CS"/>
        </w:rPr>
        <w:t xml:space="preserve"> Народнa банкa Србије је наставила да предузима регулаторне мере из своје надлежности и користи расположиве инструменте и механизме надзора у циљу подстицања банака да ефикасније решавају проблематичне кредите и успоставе систем који ће спречити њихову поновну акумулацију. Од септембра 2017. године је у примени </w:t>
      </w:r>
      <w:r w:rsidRPr="00092ED7">
        <w:rPr>
          <w:bCs/>
          <w:iCs/>
          <w:lang w:val="sr-Cyrl-CS"/>
        </w:rPr>
        <w:t>Одлука о рачуноводственом отпису билансне активе банака</w:t>
      </w:r>
      <w:r w:rsidR="0022364E" w:rsidRPr="00092ED7">
        <w:rPr>
          <w:bCs/>
          <w:iCs/>
          <w:lang w:val="sr-Cyrl-CS"/>
        </w:rPr>
        <w:t xml:space="preserve"> </w:t>
      </w:r>
      <w:r w:rsidR="0022364E" w:rsidRPr="00092ED7">
        <w:rPr>
          <w:iCs/>
          <w:lang w:val="sr-Cyrl-CS"/>
        </w:rPr>
        <w:t>(„Службени</w:t>
      </w:r>
      <w:r w:rsidR="0022364E" w:rsidRPr="00092ED7">
        <w:rPr>
          <w:lang w:val="sr-Cyrl-CS"/>
        </w:rPr>
        <w:t xml:space="preserve"> гласник РС”, </w:t>
      </w:r>
      <w:r w:rsidR="0022364E" w:rsidRPr="00092ED7">
        <w:rPr>
          <w:bCs/>
          <w:iCs/>
          <w:lang w:val="sr-Cyrl-CS"/>
        </w:rPr>
        <w:t>број 77/17)</w:t>
      </w:r>
      <w:r w:rsidRPr="00092ED7">
        <w:rPr>
          <w:iCs/>
          <w:lang w:val="sr-Cyrl-CS"/>
        </w:rPr>
        <w:t xml:space="preserve">, </w:t>
      </w:r>
      <w:r w:rsidRPr="00092ED7">
        <w:rPr>
          <w:lang w:val="sr-Cyrl-CS"/>
        </w:rPr>
        <w:t>у складу с којом су банке дужне да пренесу у ванбилансну евиденцију све проблематичне кредите који су у потпуности обезвређени.</w:t>
      </w:r>
    </w:p>
    <w:p w14:paraId="15597FB8" w14:textId="4CF85739" w:rsidR="000679CD" w:rsidRPr="00092ED7" w:rsidRDefault="000679CD" w:rsidP="000679CD">
      <w:pPr>
        <w:spacing w:after="60"/>
        <w:rPr>
          <w:lang w:val="sr-Cyrl-CS"/>
        </w:rPr>
      </w:pPr>
      <w:r w:rsidRPr="00092ED7">
        <w:rPr>
          <w:lang w:val="sr-Cyrl-CS"/>
        </w:rPr>
        <w:t>Седам година након усвајања Стратегије за решавање проблематичних кредита, учешће проблематичних кредита у укупним бруто кредитима банкарског сектора је смањено за 19,06 п.п. на 3,19%, колико је износило на крају септембра 2022. године. То је најнижи ниво до сада и указује да ни након престанка примене бројних мера монетарних и фискалних подстицаја предузетих у првој фази пан</w:t>
      </w:r>
      <w:r w:rsidR="00BB164C" w:rsidRPr="00092ED7">
        <w:rPr>
          <w:lang w:val="sr-Cyrl-CS"/>
        </w:rPr>
        <w:t>де</w:t>
      </w:r>
      <w:r w:rsidRPr="00092ED7">
        <w:rPr>
          <w:lang w:val="sr-Cyrl-CS"/>
        </w:rPr>
        <w:t xml:space="preserve">мије није дошло до раста показатеља проблематичних кредита. Стање бруто проблематичних кредита је у истом периоду смањено за 74,87% (са 427,3 млрд динара на 107,4 млрд динара). Најзначајнији канали смањења проблематичних кредита били </w:t>
      </w:r>
      <w:r w:rsidR="003D737E" w:rsidRPr="00092ED7">
        <w:rPr>
          <w:lang w:val="sr-Cyrl-CS"/>
        </w:rPr>
        <w:t xml:space="preserve">су </w:t>
      </w:r>
      <w:r w:rsidRPr="00092ED7">
        <w:rPr>
          <w:lang w:val="sr-Cyrl-CS"/>
        </w:rPr>
        <w:t>директан отпис и уступања (продаја) потраживања, а од 2022. години и наплата (потпуна или делимична, ако су испуњени услови за излазак из проблематичног статуса). Закључно са септембром 2022. године, укупно смањење проблематичних кредита које се дугује директном отпису је износило 243,3 млрд динара и присутно је код свих банака. Укупан износ уступљених потраживања од момента увођења Стратегије</w:t>
      </w:r>
      <w:r w:rsidR="00E8059E" w:rsidRPr="00092ED7">
        <w:rPr>
          <w:lang w:val="sr-Cyrl-CS"/>
        </w:rPr>
        <w:t xml:space="preserve"> </w:t>
      </w:r>
      <w:r w:rsidR="0022364E" w:rsidRPr="00092ED7">
        <w:rPr>
          <w:lang w:val="sr-Cyrl-CS"/>
        </w:rPr>
        <w:t xml:space="preserve">за решавање проблематичних кредита </w:t>
      </w:r>
      <w:r w:rsidRPr="00092ED7">
        <w:rPr>
          <w:lang w:val="sr-Cyrl-CS"/>
        </w:rPr>
        <w:t>износи 100,9 млрд динара</w:t>
      </w:r>
      <w:r w:rsidRPr="00092ED7">
        <w:rPr>
          <w:vertAlign w:val="superscript"/>
          <w:lang w:val="sr-Cyrl-CS"/>
        </w:rPr>
        <w:footnoteReference w:id="5"/>
      </w:r>
      <w:r w:rsidRPr="00092ED7">
        <w:rPr>
          <w:lang w:val="sr-Cyrl-CS"/>
        </w:rPr>
        <w:t>. Учешће проблематичних кредита у укупним кредитима привреди је на крају септембра 2022. године износило 2,70%, док је њихов удео у укупним кредитима физичким лицима био 4,14%. На крају септембра 2022. године</w:t>
      </w:r>
      <w:r w:rsidR="00E8059E" w:rsidRPr="00092ED7">
        <w:rPr>
          <w:lang w:val="sr-Cyrl-CS"/>
        </w:rPr>
        <w:t>,</w:t>
      </w:r>
      <w:r w:rsidRPr="00092ED7">
        <w:rPr>
          <w:lang w:val="sr-Cyrl-CS"/>
        </w:rPr>
        <w:t xml:space="preserve"> покриће проблематичних кредита исправкама вредности извршеним у складу са МСФИ је износило 57,15%. </w:t>
      </w:r>
      <w:bookmarkStart w:id="16" w:name="_Hlk88058820"/>
      <w:r w:rsidRPr="00092ED7">
        <w:rPr>
          <w:lang w:val="sr-Cyrl-CS"/>
        </w:rPr>
        <w:t>Показатељ ризика концентрације уведен крајем 2018. године у циљу смањења удела готовинских, потрошачких и осталих ненаменских кредита становништву дужих рочности у регулаторном капиталу и дугорочним обавезама, као и у циљу подстицања праксе одрживог кредитирања становништва, у периоду јануар 2019. године – септембар 2022. године</w:t>
      </w:r>
      <w:r w:rsidR="00E8059E" w:rsidRPr="00092ED7">
        <w:rPr>
          <w:lang w:val="sr-Cyrl-CS"/>
        </w:rPr>
        <w:t>,</w:t>
      </w:r>
      <w:r w:rsidRPr="00092ED7">
        <w:rPr>
          <w:lang w:val="sr-Cyrl-CS"/>
        </w:rPr>
        <w:t xml:space="preserve"> смањен је на нивоу банкарског сектора за близу 17 п.п. (са 25,19% на 8,23%).</w:t>
      </w:r>
    </w:p>
    <w:bookmarkEnd w:id="16"/>
    <w:p w14:paraId="25856593" w14:textId="2706EB28" w:rsidR="000679CD" w:rsidRPr="00092ED7" w:rsidRDefault="000679CD" w:rsidP="000679CD">
      <w:pPr>
        <w:spacing w:after="60"/>
        <w:rPr>
          <w:lang w:val="sr-Cyrl-CS"/>
        </w:rPr>
      </w:pPr>
      <w:r w:rsidRPr="00092ED7">
        <w:rPr>
          <w:lang w:val="sr-Cyrl-CS"/>
        </w:rPr>
        <w:t xml:space="preserve">Народна банка Србије редовно разматра обавезу одржавања заштитних слојева капитала којима се ограничавају системски ризици у финансијском систему Републике Србије. Народна банка Србије је у марту 2022. преиспитала обавезу одржавања заштитног слоја капитала за структурни системски ризик, када је одлучено да треба задржати обавезу одржавања поменутог заштитног слоја капитала, у висини од 3% укупних девизних и </w:t>
      </w:r>
      <w:r w:rsidRPr="00092ED7">
        <w:rPr>
          <w:lang w:val="sr-Cyrl-CS"/>
        </w:rPr>
        <w:lastRenderedPageBreak/>
        <w:t>девизно индексираних пласмана банке одобрених привреди и становништву у Републици Србији. Заштитни слој капитала</w:t>
      </w:r>
      <w:r w:rsidR="00E8059E" w:rsidRPr="00092ED7">
        <w:rPr>
          <w:lang w:val="sr-Cyrl-CS"/>
        </w:rPr>
        <w:t>,</w:t>
      </w:r>
      <w:r w:rsidRPr="00092ED7">
        <w:rPr>
          <w:lang w:val="sr-Cyrl-CS"/>
        </w:rPr>
        <w:t xml:space="preserve"> за системски значајне банке</w:t>
      </w:r>
      <w:r w:rsidR="00E8059E" w:rsidRPr="00092ED7">
        <w:rPr>
          <w:lang w:val="sr-Cyrl-CS"/>
        </w:rPr>
        <w:t>,</w:t>
      </w:r>
      <w:r w:rsidRPr="00092ED7">
        <w:rPr>
          <w:lang w:val="sr-Cyrl-CS"/>
        </w:rPr>
        <w:t xml:space="preserve"> преиспитује се најмање једном годишње, а у јуну 2022. године девет банака је идентификовано као системски значајно за домаћу економију</w:t>
      </w:r>
      <w:r w:rsidRPr="00092ED7">
        <w:rPr>
          <w:rStyle w:val="FootnoteReference"/>
          <w:lang w:val="sr-Cyrl-CS"/>
        </w:rPr>
        <w:footnoteReference w:id="6"/>
      </w:r>
      <w:r w:rsidRPr="00092ED7">
        <w:rPr>
          <w:lang w:val="sr-Cyrl-CS"/>
        </w:rPr>
        <w:t>, од којих је пет у обавези да одржава додатни основни акцијски капитал у износу 2% од њихове ризичне активе, а преостале четири у износу 1% од њихове ризичне активе.</w:t>
      </w:r>
    </w:p>
    <w:p w14:paraId="099686EE" w14:textId="6E3704DD" w:rsidR="000679CD" w:rsidRPr="00092ED7" w:rsidRDefault="000679CD" w:rsidP="000679CD">
      <w:pPr>
        <w:spacing w:after="60"/>
        <w:rPr>
          <w:lang w:val="sr-Cyrl-CS"/>
        </w:rPr>
      </w:pPr>
      <w:r w:rsidRPr="00092ED7">
        <w:rPr>
          <w:lang w:val="sr-Cyrl-CS"/>
        </w:rPr>
        <w:t>А</w:t>
      </w:r>
      <w:r w:rsidRPr="00092ED7">
        <w:rPr>
          <w:szCs w:val="24"/>
          <w:lang w:val="sr-Cyrl-CS"/>
        </w:rPr>
        <w:t xml:space="preserve">нализа кретања кредитне активности са аспекта утврђивања висине стопе контрацикличног заштитног слоја капитала са јуном 2022. </w:t>
      </w:r>
      <w:r w:rsidR="00E8059E" w:rsidRPr="00092ED7">
        <w:rPr>
          <w:szCs w:val="24"/>
          <w:lang w:val="sr-Cyrl-CS"/>
        </w:rPr>
        <w:t xml:space="preserve">године, </w:t>
      </w:r>
      <w:r w:rsidRPr="00092ED7">
        <w:rPr>
          <w:szCs w:val="24"/>
          <w:lang w:val="sr-Cyrl-CS"/>
        </w:rPr>
        <w:t xml:space="preserve">указује на то да се кредитна активност мерена учешћем укупних реалних кредита у реалном БДП-у налази незнатно испод свог дугорочног тренда (–0,002 п.п.). Притом, резултати анализе показују да ни у сектору привреде, ни у сектору становништва, није присутан прекомерни раст кредита. Народнa банка Србије je у септембру 2022. године донела одлуку да стопу контрацикличног заштитног слоја капитала задржи на нивоу од 0%, како би се ублажиле последице појачаних инфлаторних притисака и глобалног пооштравања монетарних политика на домаће услове финансирања привреде и становништва. </w:t>
      </w:r>
      <w:r w:rsidRPr="00092ED7">
        <w:rPr>
          <w:lang w:val="sr-Cyrl-CS"/>
        </w:rPr>
        <w:t>Банке су у септембру 2022. године за одржавање свих прописаних заштитних слојева капитала (комбиновани заштитни слој капитала)</w:t>
      </w:r>
      <w:r w:rsidR="00E8059E" w:rsidRPr="00092ED7">
        <w:rPr>
          <w:lang w:val="sr-Cyrl-CS"/>
        </w:rPr>
        <w:t>,</w:t>
      </w:r>
      <w:r w:rsidRPr="00092ED7">
        <w:rPr>
          <w:lang w:val="sr-Cyrl-CS"/>
        </w:rPr>
        <w:t xml:space="preserve"> укупно издвојиле 185,1 млрд динара основног акцијског капитала или 5,8% ризичне активе.</w:t>
      </w:r>
    </w:p>
    <w:p w14:paraId="6EC319B9" w14:textId="4FC28659" w:rsidR="000679CD" w:rsidRPr="00092ED7" w:rsidRDefault="000679CD" w:rsidP="000679CD">
      <w:pPr>
        <w:spacing w:after="60"/>
        <w:rPr>
          <w:lang w:val="sr-Cyrl-CS"/>
        </w:rPr>
      </w:pPr>
      <w:r w:rsidRPr="00092ED7">
        <w:rPr>
          <w:lang w:val="sr-Cyrl-CS"/>
        </w:rPr>
        <w:t>Већина мера донетих током 2020. и 2021.</w:t>
      </w:r>
      <w:r w:rsidR="006D2CDD" w:rsidRPr="00092ED7">
        <w:rPr>
          <w:lang w:val="sr-Cyrl-CS"/>
        </w:rPr>
        <w:t xml:space="preserve"> </w:t>
      </w:r>
      <w:r w:rsidR="00E8059E" w:rsidRPr="00092ED7">
        <w:rPr>
          <w:lang w:val="sr-Cyrl-CS"/>
        </w:rPr>
        <w:t>године</w:t>
      </w:r>
      <w:r w:rsidRPr="00092ED7">
        <w:rPr>
          <w:lang w:val="sr-Cyrl-CS"/>
        </w:rPr>
        <w:t xml:space="preserve"> у циљу очувања стабилности финансијског система и подршке привреди и грађанима у пандемијским условима је примењивана закључно са 31. децембром 2021. године. До краја 202</w:t>
      </w:r>
      <w:r w:rsidR="001B2208" w:rsidRPr="00092ED7">
        <w:rPr>
          <w:lang w:val="sr-Cyrl-CS"/>
        </w:rPr>
        <w:t>3</w:t>
      </w:r>
      <w:r w:rsidRPr="00092ED7">
        <w:rPr>
          <w:lang w:val="sr-Cyrl-CS"/>
        </w:rPr>
        <w:t>. године једино су још продужене регулаторне могућности предвиђене Одлуком о привременим мерама за банке у циљу олакшаног приступа финансирању физичким лицима</w:t>
      </w:r>
      <w:r w:rsidR="000202AC" w:rsidRPr="00092ED7">
        <w:rPr>
          <w:lang w:val="sr-Cyrl-CS"/>
        </w:rPr>
        <w:t xml:space="preserve"> </w:t>
      </w:r>
      <w:r w:rsidR="000202AC" w:rsidRPr="00092ED7">
        <w:rPr>
          <w:iCs/>
          <w:lang w:val="sr-Cyrl-CS"/>
        </w:rPr>
        <w:t>(„Службени</w:t>
      </w:r>
      <w:r w:rsidR="000202AC" w:rsidRPr="00092ED7">
        <w:rPr>
          <w:lang w:val="sr-Cyrl-CS"/>
        </w:rPr>
        <w:t xml:space="preserve"> гласник РС”, </w:t>
      </w:r>
      <w:r w:rsidR="000202AC" w:rsidRPr="00092ED7">
        <w:rPr>
          <w:bCs/>
          <w:iCs/>
          <w:lang w:val="sr-Cyrl-CS"/>
        </w:rPr>
        <w:t>бр</w:t>
      </w:r>
      <w:r w:rsidR="00152E8C" w:rsidRPr="00092ED7">
        <w:rPr>
          <w:bCs/>
          <w:iCs/>
          <w:lang w:val="sr-Cyrl-CS"/>
        </w:rPr>
        <w:t>.</w:t>
      </w:r>
      <w:r w:rsidR="00A26033" w:rsidRPr="00092ED7">
        <w:rPr>
          <w:bCs/>
          <w:iCs/>
          <w:lang w:val="sr-Cyrl-CS"/>
        </w:rPr>
        <w:t xml:space="preserve"> </w:t>
      </w:r>
      <w:r w:rsidR="00152E8C" w:rsidRPr="00092ED7">
        <w:rPr>
          <w:bCs/>
          <w:iCs/>
          <w:lang w:val="sr-Cyrl-CS"/>
        </w:rPr>
        <w:t>108/2</w:t>
      </w:r>
      <w:r w:rsidR="006D2CDD" w:rsidRPr="00092ED7">
        <w:rPr>
          <w:bCs/>
          <w:iCs/>
          <w:lang w:val="sr-Cyrl-CS"/>
        </w:rPr>
        <w:t>0</w:t>
      </w:r>
      <w:r w:rsidR="00152E8C" w:rsidRPr="00092ED7">
        <w:rPr>
          <w:bCs/>
          <w:iCs/>
          <w:lang w:val="sr-Cyrl-CS"/>
        </w:rPr>
        <w:t>, 119/21 и 137/</w:t>
      </w:r>
      <w:r w:rsidR="000202AC" w:rsidRPr="00092ED7">
        <w:rPr>
          <w:bCs/>
          <w:iCs/>
          <w:lang w:val="sr-Cyrl-CS"/>
        </w:rPr>
        <w:t>22)</w:t>
      </w:r>
      <w:r w:rsidRPr="00092ED7">
        <w:rPr>
          <w:lang w:val="sr-Cyrl-CS"/>
        </w:rPr>
        <w:t>, а које подразумевају подстицање олакшаног приступа стамбеним кредитима и у погледу непокретности с нижим степеном изграђености, могућност продужетка рока отплате стамбених кредита за највише пет година од датума доспећа последње рате тог кредита и привремено олакшавање процедуре за приступ становништва краткорочним динарским кредитима до одређеног износа.</w:t>
      </w:r>
    </w:p>
    <w:bookmarkEnd w:id="13"/>
    <w:p w14:paraId="4DBEB010" w14:textId="594D2BE0" w:rsidR="000679CD" w:rsidRPr="00092ED7" w:rsidRDefault="000679CD" w:rsidP="000679CD">
      <w:pPr>
        <w:spacing w:after="60"/>
        <w:rPr>
          <w:lang w:val="sr-Cyrl-CS"/>
        </w:rPr>
      </w:pPr>
      <w:r w:rsidRPr="00092ED7">
        <w:rPr>
          <w:lang w:val="sr-Cyrl-CS"/>
        </w:rPr>
        <w:t>Имајући у виду различите негативне факторе из међународног окружења, примена мера</w:t>
      </w:r>
      <w:r w:rsidR="00E8059E" w:rsidRPr="00092ED7">
        <w:rPr>
          <w:lang w:val="sr-Cyrl-CS"/>
        </w:rPr>
        <w:t>,</w:t>
      </w:r>
      <w:r w:rsidRPr="00092ED7">
        <w:rPr>
          <w:lang w:val="sr-Cyrl-CS"/>
        </w:rPr>
        <w:t xml:space="preserve"> кој</w:t>
      </w:r>
      <w:r w:rsidR="00E8059E" w:rsidRPr="00092ED7">
        <w:rPr>
          <w:lang w:val="sr-Cyrl-CS"/>
        </w:rPr>
        <w:t>ом</w:t>
      </w:r>
      <w:r w:rsidRPr="00092ED7">
        <w:rPr>
          <w:lang w:val="sr-Cyrl-CS"/>
        </w:rPr>
        <w:t xml:space="preserve"> се дестимулише одобравање нових, ненаменских и неинвестиционих, девизно индексираних кредита и кредита у страној валути</w:t>
      </w:r>
      <w:r w:rsidR="00E8059E" w:rsidRPr="00092ED7">
        <w:rPr>
          <w:lang w:val="sr-Cyrl-CS"/>
        </w:rPr>
        <w:t>,</w:t>
      </w:r>
      <w:r w:rsidRPr="00092ED7">
        <w:rPr>
          <w:lang w:val="sr-Cyrl-CS"/>
        </w:rPr>
        <w:t xml:space="preserve"> дужницима из нефинансијског и недржавног сектора у делу који се односи на капитал банке, усвајањем Одлуке о изменама Одлуке о адекватности капитала банке </w:t>
      </w:r>
      <w:r w:rsidR="006D2CDD" w:rsidRPr="00092ED7">
        <w:rPr>
          <w:lang w:val="sr-Cyrl-CS"/>
        </w:rPr>
        <w:t>(„Службени гласник РС</w:t>
      </w:r>
      <w:r w:rsidR="006D2CDD" w:rsidRPr="00092ED7">
        <w:rPr>
          <w:rFonts w:cs="Times New Roman"/>
          <w:lang w:val="sr-Cyrl-CS"/>
        </w:rPr>
        <w:t>ˮ</w:t>
      </w:r>
      <w:r w:rsidR="006D2CDD" w:rsidRPr="00092ED7">
        <w:rPr>
          <w:lang w:val="sr-Cyrl-CS"/>
        </w:rPr>
        <w:t xml:space="preserve">, број 67/22) </w:t>
      </w:r>
      <w:r w:rsidRPr="00092ED7">
        <w:rPr>
          <w:lang w:val="sr-Cyrl-CS"/>
        </w:rPr>
        <w:t>у јуну 2022. године, одложена је за додатних 12 месеци.</w:t>
      </w:r>
    </w:p>
    <w:p w14:paraId="27753858" w14:textId="74A8EC1B" w:rsidR="000679CD" w:rsidRPr="00092ED7" w:rsidRDefault="000679CD" w:rsidP="000679CD">
      <w:pPr>
        <w:spacing w:after="60"/>
        <w:rPr>
          <w:i/>
          <w:iCs/>
          <w:lang w:val="sr-Cyrl-CS"/>
        </w:rPr>
      </w:pPr>
      <w:bookmarkStart w:id="17" w:name="_Hlk111536597"/>
      <w:r w:rsidRPr="00092ED7">
        <w:rPr>
          <w:lang w:val="sr-Cyrl-CS"/>
        </w:rPr>
        <w:t xml:space="preserve">С циљем омогућавања банкама да ублаже негативне ефекте промене цена хартија од вредности на капитал, а који су настали услед поремећаја на глобалним финансијским тржиштима, у јуну 2022. године, усвојена је </w:t>
      </w:r>
      <w:r w:rsidRPr="00092ED7">
        <w:rPr>
          <w:b/>
          <w:bCs/>
          <w:i/>
          <w:iCs/>
          <w:lang w:val="sr-Cyrl-CS"/>
        </w:rPr>
        <w:t>Одлука о привременој мери која се односи на израчунавање капитала банке</w:t>
      </w:r>
      <w:r w:rsidR="00BA5958" w:rsidRPr="00092ED7">
        <w:rPr>
          <w:b/>
          <w:bCs/>
          <w:i/>
          <w:iCs/>
          <w:lang w:val="sr-Cyrl-CS"/>
        </w:rPr>
        <w:t xml:space="preserve"> </w:t>
      </w:r>
      <w:r w:rsidR="00BA5958" w:rsidRPr="00092ED7">
        <w:rPr>
          <w:iCs/>
          <w:color w:val="000000" w:themeColor="text1"/>
          <w:lang w:val="sr-Cyrl-CS"/>
        </w:rPr>
        <w:t>(„Службени</w:t>
      </w:r>
      <w:r w:rsidR="00BA5958" w:rsidRPr="00092ED7">
        <w:rPr>
          <w:color w:val="000000" w:themeColor="text1"/>
          <w:lang w:val="sr-Cyrl-CS"/>
        </w:rPr>
        <w:t xml:space="preserve"> гласник РС”, </w:t>
      </w:r>
      <w:r w:rsidR="00BA5958" w:rsidRPr="00092ED7">
        <w:rPr>
          <w:bCs/>
          <w:iCs/>
          <w:color w:val="000000" w:themeColor="text1"/>
          <w:lang w:val="sr-Cyrl-CS"/>
        </w:rPr>
        <w:t>бр</w:t>
      </w:r>
      <w:r w:rsidR="00152E8C" w:rsidRPr="00092ED7">
        <w:rPr>
          <w:bCs/>
          <w:iCs/>
          <w:color w:val="000000" w:themeColor="text1"/>
          <w:lang w:val="sr-Cyrl-CS"/>
        </w:rPr>
        <w:t>.</w:t>
      </w:r>
      <w:r w:rsidR="006D2CDD" w:rsidRPr="00092ED7">
        <w:rPr>
          <w:bCs/>
          <w:iCs/>
          <w:color w:val="000000" w:themeColor="text1"/>
          <w:lang w:val="sr-Cyrl-CS"/>
        </w:rPr>
        <w:t xml:space="preserve"> </w:t>
      </w:r>
      <w:r w:rsidR="00152E8C" w:rsidRPr="00092ED7">
        <w:rPr>
          <w:bCs/>
          <w:iCs/>
          <w:color w:val="000000" w:themeColor="text1"/>
          <w:lang w:val="sr-Cyrl-CS"/>
        </w:rPr>
        <w:t>72/22, и 124/</w:t>
      </w:r>
      <w:r w:rsidR="00BA5958" w:rsidRPr="00092ED7">
        <w:rPr>
          <w:bCs/>
          <w:iCs/>
          <w:color w:val="000000" w:themeColor="text1"/>
          <w:lang w:val="sr-Cyrl-CS"/>
        </w:rPr>
        <w:t>22)</w:t>
      </w:r>
      <w:r w:rsidRPr="00092ED7">
        <w:rPr>
          <w:i/>
          <w:iCs/>
          <w:color w:val="000000" w:themeColor="text1"/>
          <w:lang w:val="sr-Cyrl-CS"/>
        </w:rPr>
        <w:t xml:space="preserve">. </w:t>
      </w:r>
      <w:r w:rsidRPr="00092ED7">
        <w:rPr>
          <w:lang w:val="sr-Cyrl-CS"/>
        </w:rPr>
        <w:t>Привремена мера односи се на дужничке хартије од вредности чији су издаваоци Р</w:t>
      </w:r>
      <w:r w:rsidR="006D2CDD" w:rsidRPr="00092ED7">
        <w:rPr>
          <w:lang w:val="sr-Cyrl-CS"/>
        </w:rPr>
        <w:t xml:space="preserve">епублика </w:t>
      </w:r>
      <w:r w:rsidRPr="00092ED7">
        <w:rPr>
          <w:lang w:val="sr-Cyrl-CS"/>
        </w:rPr>
        <w:t>С</w:t>
      </w:r>
      <w:r w:rsidR="006D2CDD" w:rsidRPr="00092ED7">
        <w:rPr>
          <w:lang w:val="sr-Cyrl-CS"/>
        </w:rPr>
        <w:t>рбија</w:t>
      </w:r>
      <w:r w:rsidRPr="00092ED7">
        <w:rPr>
          <w:lang w:val="sr-Cyrl-CS"/>
        </w:rPr>
        <w:t xml:space="preserve">, аутономна покрајина или </w:t>
      </w:r>
      <w:r w:rsidR="008F53D9" w:rsidRPr="00092ED7">
        <w:rPr>
          <w:lang w:val="sr-Cyrl-CS"/>
        </w:rPr>
        <w:t>ЈЛС</w:t>
      </w:r>
      <w:r w:rsidRPr="00092ED7">
        <w:rPr>
          <w:lang w:val="sr-Cyrl-CS"/>
        </w:rPr>
        <w:t xml:space="preserve">, а које се вреднују по фер вредности кроз остали резултат у складу с МСФИ 9. Поред омогућавања ублажавања негативних ефеката промене цена хартија од вредности на капитал банака, циљ наведене мере јесте и да подстакне банке да купљене хартије од вредности задрже у својим портфолијима, као и да подстакне нова улагања у наведене хартије од вредности. Привременом мером омогућава се да се, из обрачуна основног акцијског капитала банке, до краја 2022. године искључи 70% нето нереализованих губитака и добитака проистеклих по основу </w:t>
      </w:r>
      <w:r w:rsidRPr="00092ED7">
        <w:rPr>
          <w:lang w:val="sr-Cyrl-CS"/>
        </w:rPr>
        <w:lastRenderedPageBreak/>
        <w:t>вредновања поменутих дужничких инструмената. Банке ће наведену привремену меру моћи да примењују у периоду од 30. јуна 2022. до 31. децембра 2023. године.</w:t>
      </w:r>
    </w:p>
    <w:bookmarkEnd w:id="17"/>
    <w:p w14:paraId="56FF5C56" w14:textId="4D44DB91" w:rsidR="000679CD" w:rsidRPr="00092ED7" w:rsidRDefault="000679CD" w:rsidP="000679CD">
      <w:pPr>
        <w:spacing w:after="60"/>
        <w:rPr>
          <w:bCs/>
          <w:lang w:val="sr-Cyrl-CS"/>
        </w:rPr>
      </w:pPr>
      <w:r w:rsidRPr="00092ED7">
        <w:rPr>
          <w:lang w:val="sr-Cyrl-CS"/>
        </w:rPr>
        <w:t xml:space="preserve">С обзиром на чињеницу да је у периоду од 1. јануара 2021. године већина банака које послују у Републици Србији значајно повећала цену платних услуга које пружају, и то посебно услуга по основу платних рачуна, у циљу избегавања потенцијалних правних ризика и заштите стандарда грађана, као и очувања постигнуте стабилности финансијског система, у августу 2022. године усвојена је </w:t>
      </w:r>
      <w:r w:rsidRPr="00092ED7">
        <w:rPr>
          <w:b/>
          <w:bCs/>
          <w:i/>
          <w:iCs/>
          <w:lang w:val="sr-Cyrl-CS"/>
        </w:rPr>
        <w:t>Одлука о допуни Одлуке о управљању ризицима банке</w:t>
      </w:r>
      <w:r w:rsidR="00BA5958" w:rsidRPr="00092ED7">
        <w:rPr>
          <w:bCs/>
          <w:lang w:val="sr-Cyrl-CS"/>
        </w:rPr>
        <w:t xml:space="preserve"> </w:t>
      </w:r>
      <w:r w:rsidR="00BA5958" w:rsidRPr="00092ED7">
        <w:rPr>
          <w:iCs/>
          <w:color w:val="000000" w:themeColor="text1"/>
          <w:lang w:val="sr-Cyrl-CS"/>
        </w:rPr>
        <w:t>(„Службени</w:t>
      </w:r>
      <w:r w:rsidR="00BA5958" w:rsidRPr="00092ED7">
        <w:rPr>
          <w:color w:val="000000" w:themeColor="text1"/>
          <w:lang w:val="sr-Cyrl-CS"/>
        </w:rPr>
        <w:t xml:space="preserve"> гласник РС”, </w:t>
      </w:r>
      <w:r w:rsidR="00BA5958" w:rsidRPr="00092ED7">
        <w:rPr>
          <w:bCs/>
          <w:iCs/>
          <w:color w:val="000000" w:themeColor="text1"/>
          <w:lang w:val="sr-Cyrl-CS"/>
        </w:rPr>
        <w:t>број 89</w:t>
      </w:r>
      <w:r w:rsidR="00A26033" w:rsidRPr="00092ED7">
        <w:rPr>
          <w:bCs/>
          <w:iCs/>
          <w:color w:val="000000" w:themeColor="text1"/>
          <w:lang w:val="sr-Cyrl-CS"/>
        </w:rPr>
        <w:t>/</w:t>
      </w:r>
      <w:r w:rsidR="00BA5958" w:rsidRPr="00092ED7">
        <w:rPr>
          <w:bCs/>
          <w:iCs/>
          <w:color w:val="000000" w:themeColor="text1"/>
          <w:lang w:val="sr-Cyrl-CS"/>
        </w:rPr>
        <w:t>22)</w:t>
      </w:r>
      <w:r w:rsidRPr="00092ED7">
        <w:rPr>
          <w:bCs/>
          <w:lang w:val="sr-Cyrl-CS"/>
        </w:rPr>
        <w:t xml:space="preserve"> којом је између осталог као додатни контролни механизам поступања банака, у случају намераваног повећања накнада за пружање платних услуга, као и приликом увођења нових накнада, обезбеђено да Народна банка Србије буде у примереном времену обавештена о планираним изменама тарифника банака, што омогућава и благовремено идентификовање да ли је поступање банака одговарајуће, те предузимање одговарајућих активности.</w:t>
      </w:r>
    </w:p>
    <w:p w14:paraId="1D863D50" w14:textId="6A4F2E8F" w:rsidR="000679CD" w:rsidRPr="00092ED7" w:rsidRDefault="000679CD" w:rsidP="000679CD">
      <w:pPr>
        <w:spacing w:after="60"/>
        <w:rPr>
          <w:lang w:val="sr-Cyrl-CS"/>
        </w:rPr>
      </w:pPr>
      <w:r w:rsidRPr="00092ED7">
        <w:rPr>
          <w:lang w:val="sr-Cyrl-CS"/>
        </w:rPr>
        <w:t xml:space="preserve">У складу са својом устаљеном праксом превентивне и благовремене реакције на све потенцијалне изазове из међународног и домаћег окружења, а полазећи од економске ситуације у којој су се нашли поједини пољопривредни произвођачи, као и стратешког значаја пољопривредне производње за грађане и привреду, Народна банка Србије је у октобру 2022. године усвојила </w:t>
      </w:r>
      <w:r w:rsidRPr="00092ED7">
        <w:rPr>
          <w:b/>
          <w:bCs/>
          <w:i/>
          <w:iCs/>
          <w:lang w:val="sr-Cyrl-CS"/>
        </w:rPr>
        <w:t>Одлуку о привременим мерама за банке у циљу адекватног управљања кредитним ризиком у портфолију пољопривредних кредита у условима отежане пољопривредне производње</w:t>
      </w:r>
      <w:r w:rsidR="00BA5958" w:rsidRPr="00092ED7">
        <w:rPr>
          <w:lang w:val="sr-Cyrl-CS"/>
        </w:rPr>
        <w:t xml:space="preserve"> („Службени гласник РС</w:t>
      </w:r>
      <w:r w:rsidR="00BA5958" w:rsidRPr="00092ED7">
        <w:rPr>
          <w:rFonts w:cs="Times New Roman"/>
          <w:szCs w:val="24"/>
          <w:lang w:val="sr-Cyrl-CS"/>
        </w:rPr>
        <w:t>”, брoj 11</w:t>
      </w:r>
      <w:r w:rsidR="00F63568" w:rsidRPr="00092ED7">
        <w:rPr>
          <w:rFonts w:cs="Times New Roman"/>
          <w:szCs w:val="24"/>
          <w:lang w:val="sr-Cyrl-CS"/>
        </w:rPr>
        <w:t>1</w:t>
      </w:r>
      <w:r w:rsidR="00BA5958" w:rsidRPr="00092ED7">
        <w:rPr>
          <w:rFonts w:cs="Times New Roman"/>
          <w:szCs w:val="24"/>
          <w:lang w:val="sr-Cyrl-CS"/>
        </w:rPr>
        <w:t>/22</w:t>
      </w:r>
      <w:r w:rsidR="00F63568" w:rsidRPr="00092ED7">
        <w:rPr>
          <w:rFonts w:cs="Times New Roman"/>
          <w:szCs w:val="24"/>
          <w:lang w:val="sr-Cyrl-CS"/>
        </w:rPr>
        <w:t xml:space="preserve"> и 5/23</w:t>
      </w:r>
      <w:r w:rsidR="00BA5958" w:rsidRPr="00092ED7">
        <w:rPr>
          <w:rFonts w:cs="Times New Roman"/>
          <w:szCs w:val="24"/>
          <w:lang w:val="sr-Cyrl-CS"/>
        </w:rPr>
        <w:t>).</w:t>
      </w:r>
      <w:r w:rsidR="00BA5958" w:rsidRPr="00092ED7">
        <w:rPr>
          <w:lang w:val="sr-Cyrl-CS"/>
        </w:rPr>
        <w:t xml:space="preserve"> </w:t>
      </w:r>
      <w:r w:rsidRPr="00092ED7">
        <w:rPr>
          <w:lang w:val="sr-Cyrl-CS"/>
        </w:rPr>
        <w:t xml:space="preserve"> Овом одлуком дужницима банке из сегмента пољопривреде (под прописаним условима који се односе на статус потраживања према том дужнику) је омогућен репрограм постојећих обавеза.</w:t>
      </w:r>
    </w:p>
    <w:p w14:paraId="41EAF962" w14:textId="309958F3" w:rsidR="000679CD" w:rsidRPr="00092ED7" w:rsidRDefault="000679CD" w:rsidP="000679CD">
      <w:pPr>
        <w:spacing w:after="60"/>
        <w:rPr>
          <w:lang w:val="sr-Cyrl-CS"/>
        </w:rPr>
      </w:pPr>
      <w:r w:rsidRPr="00092ED7">
        <w:rPr>
          <w:lang w:val="sr-Cyrl-CS"/>
        </w:rPr>
        <w:t xml:space="preserve">Успостављањем </w:t>
      </w:r>
      <w:r w:rsidRPr="00092ED7">
        <w:rPr>
          <w:b/>
          <w:bCs/>
          <w:lang w:val="sr-Cyrl-CS"/>
        </w:rPr>
        <w:t>система за инстант плаћање</w:t>
      </w:r>
      <w:r w:rsidRPr="00092ED7">
        <w:rPr>
          <w:lang w:val="sr-Cyrl-CS"/>
        </w:rPr>
        <w:t xml:space="preserve"> – IPS НБС система, Народна банка Србије је омогућила да се мала плаћања извршавају у реалном времену 24/7/365. Поред развоја инфраструктуре за прихватање инстант плаћања на продајним местима трговаца кроз прихватање на ПОС терминалима, развој мобилних апликација за трговце и развој интернет продајних места, Народна банка Србије је у циљу давања додатне подршке развоју </w:t>
      </w:r>
      <w:r w:rsidRPr="00092ED7">
        <w:rPr>
          <w:i/>
          <w:iCs/>
          <w:lang w:val="sr-Cyrl-CS"/>
        </w:rPr>
        <w:t>e-commerce</w:t>
      </w:r>
      <w:r w:rsidRPr="00092ED7">
        <w:rPr>
          <w:lang w:val="sr-Cyrl-CS"/>
        </w:rPr>
        <w:t xml:space="preserve"> тржишта и даљој популаризацији електронских плаћања у земљи, унапредила услугу инстант плаћања на интернету имплементацијом </w:t>
      </w:r>
      <w:r w:rsidRPr="00092ED7">
        <w:rPr>
          <w:i/>
          <w:iCs/>
          <w:lang w:val="sr-Cyrl-CS"/>
        </w:rPr>
        <w:t>deep-link</w:t>
      </w:r>
      <w:r w:rsidRPr="00092ED7">
        <w:rPr>
          <w:lang w:val="sr-Cyrl-CS"/>
        </w:rPr>
        <w:t xml:space="preserve"> технологије и тако купцима омогућила да цео процес куповине обаве коришћењем само једног уређаја (нпр. мобилног телефона). Oлакшано је и плаћање рачуна великим издаваоцима рачуна, скенирањем НБС IPS QR кода на рачунима/фактурама, без одласка у банку, што се показало нарочито ефикасно у време пандемије. Од септембра 2021. године</w:t>
      </w:r>
      <w:r w:rsidR="00CF168E" w:rsidRPr="00092ED7">
        <w:rPr>
          <w:lang w:val="sr-Cyrl-CS"/>
        </w:rPr>
        <w:t>,</w:t>
      </w:r>
      <w:r w:rsidRPr="00092ED7">
        <w:rPr>
          <w:lang w:val="sr-Cyrl-CS"/>
        </w:rPr>
        <w:t xml:space="preserve"> банкама је омогућено да својим корисницима понуде нову услугу „Пренеси” која омогућава грађанима да само коришћењем броја мобилног телефона примаоца плаћања, новчана средства пошаљу и приме једноставно, брзо, сигурно. Oмогућeнo je и инстант плаћање такси и накнада за услуге које пружају органи јавне управе на порталу еУправе, скенирањем NBS IPS QR кôдa са јединствене уплатнице, чиме је пружен допринос даљој дигитализацији јавне управе и ефикасности пружања јавних услуга.</w:t>
      </w:r>
    </w:p>
    <w:p w14:paraId="6E6DFDD7" w14:textId="25E74CC8" w:rsidR="00527A51" w:rsidRPr="00092ED7" w:rsidRDefault="000679CD" w:rsidP="000679CD">
      <w:pPr>
        <w:spacing w:after="60"/>
        <w:rPr>
          <w:lang w:val="sr-Cyrl-CS"/>
        </w:rPr>
      </w:pPr>
      <w:r w:rsidRPr="00092ED7">
        <w:rPr>
          <w:lang w:val="sr-Cyrl-CS"/>
        </w:rPr>
        <w:t xml:space="preserve">Уз уважавање глобалних трендова, у Републици Србији </w:t>
      </w:r>
      <w:r w:rsidRPr="00092ED7">
        <w:rPr>
          <w:b/>
          <w:bCs/>
          <w:lang w:val="sr-Cyrl-CS"/>
        </w:rPr>
        <w:t>усвојен је Закон о дигиталној имовини</w:t>
      </w:r>
      <w:r w:rsidR="00CF168E" w:rsidRPr="00092ED7">
        <w:rPr>
          <w:lang w:val="sr-Cyrl-CS"/>
        </w:rPr>
        <w:t xml:space="preserve"> („Службени гласник РС</w:t>
      </w:r>
      <w:r w:rsidR="00CF168E" w:rsidRPr="00092ED7">
        <w:rPr>
          <w:rFonts w:cs="Times New Roman"/>
          <w:szCs w:val="24"/>
          <w:lang w:val="sr-Cyrl-CS"/>
        </w:rPr>
        <w:t>”, брoj 153/20),</w:t>
      </w:r>
      <w:r w:rsidRPr="00092ED7">
        <w:rPr>
          <w:lang w:val="sr-Cyrl-CS"/>
        </w:rPr>
        <w:t xml:space="preserve"> којим се детаљно уређује издавање и секундарно трговање дигиталном имовином, укључујући и пословање платформи за трговање виртуелним валутама и њихову замену за новац. Овим законом уређује се пословање лица која обављају послове с дигиталном имовином у Републици Србији, у циљу уређивања материје која до сада није била уређена у нашој земљи, осим у делу спречавања прања новца и финансирања тероризма код пружалаца услуга повезаних с виртуелним валутама. Закон је почео да се примењује 29. јуна 2021. године.</w:t>
      </w:r>
    </w:p>
    <w:p w14:paraId="0CB007C3" w14:textId="380AFCE0" w:rsidR="00C4765D" w:rsidRPr="00092ED7" w:rsidRDefault="00C4765D" w:rsidP="0020125C">
      <w:pPr>
        <w:keepNext/>
        <w:keepLines/>
        <w:spacing w:before="120"/>
        <w:outlineLvl w:val="1"/>
        <w:rPr>
          <w:rFonts w:eastAsia="Calibri" w:cs="Times New Roman"/>
          <w:b/>
          <w:szCs w:val="24"/>
          <w:lang w:val="sr-Cyrl-CS"/>
        </w:rPr>
      </w:pPr>
      <w:bookmarkStart w:id="18" w:name="_Toc124174791"/>
      <w:bookmarkEnd w:id="0"/>
      <w:bookmarkEnd w:id="1"/>
      <w:bookmarkEnd w:id="11"/>
      <w:r w:rsidRPr="00092ED7">
        <w:rPr>
          <w:rFonts w:eastAsia="Calibri" w:cs="Times New Roman"/>
          <w:b/>
          <w:szCs w:val="24"/>
          <w:lang w:val="sr-Cyrl-CS"/>
        </w:rPr>
        <w:lastRenderedPageBreak/>
        <w:t>3</w:t>
      </w:r>
      <w:r w:rsidR="009807AD" w:rsidRPr="00092ED7">
        <w:rPr>
          <w:rFonts w:eastAsia="Calibri" w:cs="Times New Roman"/>
          <w:b/>
          <w:szCs w:val="24"/>
          <w:lang w:val="sr-Cyrl-CS"/>
        </w:rPr>
        <w:t>.3</w:t>
      </w:r>
      <w:r w:rsidRPr="00092ED7">
        <w:rPr>
          <w:rFonts w:eastAsia="Calibri" w:cs="Times New Roman"/>
          <w:b/>
          <w:szCs w:val="24"/>
          <w:lang w:val="sr-Cyrl-CS"/>
        </w:rPr>
        <w:t xml:space="preserve">. </w:t>
      </w:r>
      <w:r w:rsidR="0047017C" w:rsidRPr="00092ED7">
        <w:rPr>
          <w:rFonts w:eastAsia="Calibri" w:cs="Times New Roman"/>
          <w:b/>
          <w:szCs w:val="24"/>
          <w:lang w:val="sr-Cyrl-CS"/>
        </w:rPr>
        <w:t>СРЕДЊОРОЧНИ МАКРОЕКОНОМСКИ СЦЕНАРИО</w:t>
      </w:r>
      <w:bookmarkEnd w:id="18"/>
    </w:p>
    <w:p w14:paraId="5826719F" w14:textId="5E4FADEF" w:rsidR="00BD3989" w:rsidRPr="00092ED7" w:rsidRDefault="00BD3989" w:rsidP="00BD3989">
      <w:pPr>
        <w:spacing w:after="60"/>
        <w:rPr>
          <w:rFonts w:eastAsia="Calibri" w:cs="Times New Roman"/>
          <w:bCs/>
          <w:szCs w:val="24"/>
          <w:lang w:val="sr-Cyrl-CS"/>
        </w:rPr>
      </w:pPr>
      <w:r w:rsidRPr="00092ED7">
        <w:rPr>
          <w:rFonts w:eastAsia="Calibri" w:cs="Times New Roman"/>
          <w:bCs/>
          <w:szCs w:val="24"/>
          <w:lang w:val="sr-Cyrl-CS"/>
        </w:rPr>
        <w:t>Према средњорочној макроекономској пројекцији кумулативна стопа раста у периоду 2023–2025. године износиће 10,3% и биће вођена растом домаће тражње, а са опоравком глобалне трговине подржана и благим позитивним доприносом нето извоза. Овај извор раста је детерминисан како перманентним повећањем инвестиција, тако и растом потрошње домаћинстава услед раста животног стандарда становништва. Просечно годишње, српска привреда ће расти по стопи од 3,3%, што је ревизија наниже за 0,9 п.п. у односу на ранија очекивања услед оцењеног утицаја дешавања у међународном окружењу. Повећање реалне потрошње становништва ће пратити раст економске активности и у просеку ће износити 3,0%. Очекује се стабилан раст фиксних инвестиција, мада спорији него што се претходно пројектовало и у просеку ће износити 4,5% годишње. Са активирањем нових производних капацитета и опоравком спољне тражње повећаваће се и обим спољнотрговинске размене. Поред тога, ефектуирање СДИ из претходног периода</w:t>
      </w:r>
      <w:r w:rsidR="00CF168E" w:rsidRPr="00092ED7">
        <w:rPr>
          <w:rFonts w:eastAsia="Calibri" w:cs="Times New Roman"/>
          <w:bCs/>
          <w:szCs w:val="24"/>
          <w:lang w:val="sr-Cyrl-CS"/>
        </w:rPr>
        <w:t>,</w:t>
      </w:r>
      <w:r w:rsidRPr="00092ED7">
        <w:rPr>
          <w:rFonts w:eastAsia="Calibri" w:cs="Times New Roman"/>
          <w:bCs/>
          <w:szCs w:val="24"/>
          <w:lang w:val="sr-Cyrl-CS"/>
        </w:rPr>
        <w:t xml:space="preserve"> допринеће повећању конкуренције и утицати на ефикасност домаћих произвођача, док ће са друге стране</w:t>
      </w:r>
      <w:r w:rsidR="00862CE4" w:rsidRPr="00092ED7">
        <w:rPr>
          <w:rFonts w:eastAsia="Calibri" w:cs="Times New Roman"/>
          <w:bCs/>
          <w:szCs w:val="24"/>
          <w:lang w:val="sr-Cyrl-CS"/>
        </w:rPr>
        <w:t>,</w:t>
      </w:r>
      <w:r w:rsidRPr="00092ED7">
        <w:rPr>
          <w:rFonts w:eastAsia="Calibri" w:cs="Times New Roman"/>
          <w:bCs/>
          <w:szCs w:val="24"/>
          <w:lang w:val="sr-Cyrl-CS"/>
        </w:rPr>
        <w:t xml:space="preserve"> бити активирани нови канали продаје и отворене нове тржишне нише. Извоз ће у просеку годишње расти по стопи од 8,1%, што је брже од очекиваног годишњег раста увоза који ће у просеку износити 6,5%.</w:t>
      </w:r>
    </w:p>
    <w:p w14:paraId="55E1B9ED" w14:textId="77777777" w:rsidR="00BD3989" w:rsidRPr="00092ED7" w:rsidRDefault="00BD3989" w:rsidP="00BD3989">
      <w:pPr>
        <w:spacing w:before="120" w:after="60"/>
        <w:rPr>
          <w:rFonts w:eastAsia="Calibri" w:cs="Times New Roman"/>
          <w:bCs/>
          <w:szCs w:val="24"/>
          <w:lang w:val="sr-Cyrl-CS"/>
        </w:rPr>
      </w:pPr>
      <w:r w:rsidRPr="00092ED7">
        <w:rPr>
          <w:rFonts w:eastAsia="Calibri" w:cs="Times New Roman"/>
          <w:bCs/>
          <w:szCs w:val="24"/>
          <w:lang w:val="sr-Cyrl-CS"/>
        </w:rPr>
        <w:t>Табела 2. Пројекција основних макроекономских показатеља Републике Србије</w:t>
      </w:r>
    </w:p>
    <w:tbl>
      <w:tblPr>
        <w:tblpPr w:leftFromText="180" w:rightFromText="180" w:vertAnchor="text" w:horzAnchor="margin" w:tblpY="79"/>
        <w:tblW w:w="5000" w:type="pct"/>
        <w:tblLook w:val="04A0" w:firstRow="1" w:lastRow="0" w:firstColumn="1" w:lastColumn="0" w:noHBand="0" w:noVBand="1"/>
      </w:tblPr>
      <w:tblGrid>
        <w:gridCol w:w="4300"/>
        <w:gridCol w:w="1179"/>
        <w:gridCol w:w="1179"/>
        <w:gridCol w:w="1179"/>
        <w:gridCol w:w="1179"/>
      </w:tblGrid>
      <w:tr w:rsidR="00BD3989" w:rsidRPr="00092ED7" w14:paraId="644A0A1A" w14:textId="77777777" w:rsidTr="00B94540">
        <w:trPr>
          <w:trHeight w:val="238"/>
        </w:trPr>
        <w:tc>
          <w:tcPr>
            <w:tcW w:w="2384"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A698C8" w14:textId="77777777" w:rsidR="00BD3989" w:rsidRPr="00092ED7" w:rsidRDefault="00BD3989" w:rsidP="00BD3989">
            <w:pPr>
              <w:spacing w:after="0"/>
              <w:rPr>
                <w:rFonts w:eastAsia="Times New Roman" w:cs="Times New Roman"/>
                <w:sz w:val="20"/>
                <w:szCs w:val="20"/>
                <w:lang w:val="sr-Cyrl-CS" w:eastAsia="en-GB"/>
              </w:rPr>
            </w:pPr>
          </w:p>
        </w:tc>
        <w:tc>
          <w:tcPr>
            <w:tcW w:w="654" w:type="pct"/>
            <w:tcBorders>
              <w:top w:val="single" w:sz="4" w:space="0" w:color="auto"/>
              <w:left w:val="nil"/>
              <w:bottom w:val="single" w:sz="4" w:space="0" w:color="auto"/>
              <w:right w:val="single" w:sz="4" w:space="0" w:color="auto"/>
            </w:tcBorders>
            <w:shd w:val="clear" w:color="auto" w:fill="auto"/>
            <w:noWrap/>
            <w:vAlign w:val="center"/>
            <w:hideMark/>
          </w:tcPr>
          <w:p w14:paraId="454008C6" w14:textId="77777777" w:rsidR="00BD3989" w:rsidRPr="00092ED7" w:rsidRDefault="00BD3989" w:rsidP="00BD3989">
            <w:pPr>
              <w:spacing w:after="0"/>
              <w:jc w:val="center"/>
              <w:rPr>
                <w:rFonts w:eastAsia="Times New Roman" w:cs="Times New Roman"/>
                <w:sz w:val="20"/>
                <w:szCs w:val="20"/>
                <w:lang w:val="sr-Cyrl-CS" w:eastAsia="en-GB"/>
              </w:rPr>
            </w:pPr>
            <w:r w:rsidRPr="00092ED7">
              <w:rPr>
                <w:rFonts w:eastAsia="Times New Roman" w:cs="Times New Roman"/>
                <w:sz w:val="20"/>
                <w:szCs w:val="20"/>
                <w:lang w:val="sr-Cyrl-CS" w:eastAsia="en-GB"/>
              </w:rPr>
              <w:t>Процена</w:t>
            </w:r>
          </w:p>
        </w:tc>
        <w:tc>
          <w:tcPr>
            <w:tcW w:w="1962" w:type="pct"/>
            <w:gridSpan w:val="3"/>
            <w:tcBorders>
              <w:top w:val="single" w:sz="4" w:space="0" w:color="auto"/>
              <w:left w:val="nil"/>
              <w:bottom w:val="single" w:sz="4" w:space="0" w:color="auto"/>
              <w:right w:val="single" w:sz="4" w:space="0" w:color="auto"/>
            </w:tcBorders>
            <w:shd w:val="clear" w:color="auto" w:fill="auto"/>
            <w:vAlign w:val="center"/>
            <w:hideMark/>
          </w:tcPr>
          <w:p w14:paraId="449D5EC8" w14:textId="77777777" w:rsidR="00BD3989" w:rsidRPr="00092ED7" w:rsidRDefault="00BD3989" w:rsidP="00BD3989">
            <w:pPr>
              <w:spacing w:after="0"/>
              <w:jc w:val="center"/>
              <w:rPr>
                <w:rFonts w:eastAsia="Times New Roman" w:cs="Times New Roman"/>
                <w:sz w:val="20"/>
                <w:szCs w:val="20"/>
                <w:lang w:val="sr-Cyrl-CS" w:eastAsia="en-GB"/>
              </w:rPr>
            </w:pPr>
            <w:r w:rsidRPr="00092ED7">
              <w:rPr>
                <w:rFonts w:eastAsia="Times New Roman" w:cs="Times New Roman"/>
                <w:sz w:val="20"/>
                <w:szCs w:val="20"/>
                <w:lang w:val="sr-Cyrl-CS" w:eastAsia="en-GB"/>
              </w:rPr>
              <w:t>Пројекција</w:t>
            </w:r>
          </w:p>
        </w:tc>
      </w:tr>
      <w:tr w:rsidR="00BD3989" w:rsidRPr="00092ED7" w14:paraId="5AFAE0F2" w14:textId="77777777" w:rsidTr="00B94540">
        <w:trPr>
          <w:trHeight w:val="238"/>
        </w:trPr>
        <w:tc>
          <w:tcPr>
            <w:tcW w:w="2384" w:type="pct"/>
            <w:vMerge/>
            <w:tcBorders>
              <w:top w:val="single" w:sz="4" w:space="0" w:color="auto"/>
              <w:left w:val="single" w:sz="4" w:space="0" w:color="auto"/>
              <w:bottom w:val="single" w:sz="4" w:space="0" w:color="auto"/>
              <w:right w:val="single" w:sz="4" w:space="0" w:color="auto"/>
            </w:tcBorders>
            <w:vAlign w:val="center"/>
            <w:hideMark/>
          </w:tcPr>
          <w:p w14:paraId="0772736C" w14:textId="77777777" w:rsidR="00BD3989" w:rsidRPr="00092ED7" w:rsidRDefault="00BD3989" w:rsidP="00BD3989">
            <w:pPr>
              <w:spacing w:after="0"/>
              <w:rPr>
                <w:rFonts w:eastAsia="Times New Roman" w:cs="Times New Roman"/>
                <w:sz w:val="20"/>
                <w:szCs w:val="20"/>
                <w:lang w:val="sr-Cyrl-CS" w:eastAsia="en-GB"/>
              </w:rPr>
            </w:pPr>
          </w:p>
        </w:tc>
        <w:tc>
          <w:tcPr>
            <w:tcW w:w="654" w:type="pct"/>
            <w:tcBorders>
              <w:top w:val="nil"/>
              <w:left w:val="nil"/>
              <w:bottom w:val="single" w:sz="4" w:space="0" w:color="auto"/>
              <w:right w:val="single" w:sz="4" w:space="0" w:color="auto"/>
            </w:tcBorders>
            <w:shd w:val="clear" w:color="auto" w:fill="auto"/>
            <w:noWrap/>
            <w:vAlign w:val="center"/>
            <w:hideMark/>
          </w:tcPr>
          <w:p w14:paraId="4CC29FE5" w14:textId="77777777" w:rsidR="00BD3989" w:rsidRPr="00092ED7" w:rsidRDefault="00BD3989" w:rsidP="00BD3989">
            <w:pPr>
              <w:spacing w:after="0"/>
              <w:jc w:val="center"/>
              <w:rPr>
                <w:rFonts w:eastAsia="Times New Roman" w:cs="Times New Roman"/>
                <w:b/>
                <w:bCs/>
                <w:sz w:val="20"/>
                <w:szCs w:val="20"/>
                <w:lang w:val="sr-Cyrl-CS" w:eastAsia="en-GB"/>
              </w:rPr>
            </w:pPr>
            <w:r w:rsidRPr="00092ED7">
              <w:rPr>
                <w:rFonts w:eastAsia="Times New Roman" w:cs="Times New Roman"/>
                <w:b/>
                <w:bCs/>
                <w:sz w:val="20"/>
                <w:szCs w:val="20"/>
                <w:lang w:val="sr-Cyrl-CS" w:eastAsia="en-GB"/>
              </w:rPr>
              <w:t>2022</w:t>
            </w:r>
          </w:p>
        </w:tc>
        <w:tc>
          <w:tcPr>
            <w:tcW w:w="654" w:type="pct"/>
            <w:tcBorders>
              <w:top w:val="nil"/>
              <w:left w:val="nil"/>
              <w:bottom w:val="single" w:sz="4" w:space="0" w:color="auto"/>
              <w:right w:val="single" w:sz="4" w:space="0" w:color="auto"/>
            </w:tcBorders>
            <w:shd w:val="clear" w:color="auto" w:fill="auto"/>
            <w:noWrap/>
            <w:vAlign w:val="center"/>
            <w:hideMark/>
          </w:tcPr>
          <w:p w14:paraId="617CEDBB" w14:textId="77777777" w:rsidR="00BD3989" w:rsidRPr="00092ED7" w:rsidRDefault="00BD3989" w:rsidP="00BD3989">
            <w:pPr>
              <w:spacing w:after="0"/>
              <w:jc w:val="center"/>
              <w:rPr>
                <w:rFonts w:eastAsia="Times New Roman" w:cs="Times New Roman"/>
                <w:b/>
                <w:bCs/>
                <w:sz w:val="20"/>
                <w:szCs w:val="20"/>
                <w:lang w:val="sr-Cyrl-CS" w:eastAsia="en-GB"/>
              </w:rPr>
            </w:pPr>
            <w:r w:rsidRPr="00092ED7">
              <w:rPr>
                <w:rFonts w:eastAsia="Times New Roman" w:cs="Times New Roman"/>
                <w:b/>
                <w:bCs/>
                <w:sz w:val="20"/>
                <w:szCs w:val="20"/>
                <w:lang w:val="sr-Cyrl-CS" w:eastAsia="en-GB"/>
              </w:rPr>
              <w:t>2023</w:t>
            </w:r>
          </w:p>
        </w:tc>
        <w:tc>
          <w:tcPr>
            <w:tcW w:w="654" w:type="pct"/>
            <w:tcBorders>
              <w:top w:val="nil"/>
              <w:left w:val="nil"/>
              <w:bottom w:val="single" w:sz="4" w:space="0" w:color="auto"/>
              <w:right w:val="single" w:sz="4" w:space="0" w:color="auto"/>
            </w:tcBorders>
            <w:shd w:val="clear" w:color="auto" w:fill="auto"/>
            <w:noWrap/>
            <w:vAlign w:val="center"/>
            <w:hideMark/>
          </w:tcPr>
          <w:p w14:paraId="10B8FB19" w14:textId="77777777" w:rsidR="00BD3989" w:rsidRPr="00092ED7" w:rsidRDefault="00BD3989" w:rsidP="00BD3989">
            <w:pPr>
              <w:spacing w:after="0"/>
              <w:jc w:val="center"/>
              <w:rPr>
                <w:rFonts w:eastAsia="Times New Roman" w:cs="Times New Roman"/>
                <w:b/>
                <w:bCs/>
                <w:sz w:val="20"/>
                <w:szCs w:val="20"/>
                <w:lang w:val="sr-Cyrl-CS" w:eastAsia="en-GB"/>
              </w:rPr>
            </w:pPr>
            <w:r w:rsidRPr="00092ED7">
              <w:rPr>
                <w:rFonts w:eastAsia="Times New Roman" w:cs="Times New Roman"/>
                <w:b/>
                <w:bCs/>
                <w:sz w:val="20"/>
                <w:szCs w:val="20"/>
                <w:lang w:val="sr-Cyrl-CS" w:eastAsia="en-GB"/>
              </w:rPr>
              <w:t>2024</w:t>
            </w:r>
          </w:p>
        </w:tc>
        <w:tc>
          <w:tcPr>
            <w:tcW w:w="654" w:type="pct"/>
            <w:tcBorders>
              <w:top w:val="nil"/>
              <w:left w:val="nil"/>
              <w:bottom w:val="single" w:sz="4" w:space="0" w:color="auto"/>
              <w:right w:val="single" w:sz="4" w:space="0" w:color="auto"/>
            </w:tcBorders>
            <w:shd w:val="clear" w:color="auto" w:fill="auto"/>
            <w:noWrap/>
            <w:vAlign w:val="center"/>
            <w:hideMark/>
          </w:tcPr>
          <w:p w14:paraId="2385B198" w14:textId="77777777" w:rsidR="00BD3989" w:rsidRPr="00092ED7" w:rsidRDefault="00BD3989" w:rsidP="00BD3989">
            <w:pPr>
              <w:spacing w:after="0"/>
              <w:jc w:val="center"/>
              <w:rPr>
                <w:rFonts w:eastAsia="Times New Roman" w:cs="Times New Roman"/>
                <w:b/>
                <w:bCs/>
                <w:sz w:val="20"/>
                <w:szCs w:val="20"/>
                <w:lang w:val="sr-Cyrl-CS" w:eastAsia="en-GB"/>
              </w:rPr>
            </w:pPr>
            <w:r w:rsidRPr="00092ED7">
              <w:rPr>
                <w:rFonts w:eastAsia="Times New Roman" w:cs="Times New Roman"/>
                <w:b/>
                <w:bCs/>
                <w:sz w:val="20"/>
                <w:szCs w:val="20"/>
                <w:lang w:val="sr-Cyrl-CS" w:eastAsia="en-GB"/>
              </w:rPr>
              <w:t>2025</w:t>
            </w:r>
          </w:p>
        </w:tc>
      </w:tr>
      <w:tr w:rsidR="00BD3989" w:rsidRPr="00092ED7" w14:paraId="6E5C1CAE" w14:textId="77777777" w:rsidTr="00B94540">
        <w:trPr>
          <w:trHeight w:val="238"/>
        </w:trPr>
        <w:tc>
          <w:tcPr>
            <w:tcW w:w="2384" w:type="pct"/>
            <w:tcBorders>
              <w:top w:val="nil"/>
              <w:left w:val="single" w:sz="4" w:space="0" w:color="auto"/>
              <w:bottom w:val="single" w:sz="4" w:space="0" w:color="auto"/>
              <w:right w:val="single" w:sz="4" w:space="0" w:color="auto"/>
            </w:tcBorders>
            <w:shd w:val="clear" w:color="auto" w:fill="auto"/>
            <w:noWrap/>
            <w:vAlign w:val="center"/>
            <w:hideMark/>
          </w:tcPr>
          <w:p w14:paraId="65947DC0" w14:textId="77777777" w:rsidR="00BD3989" w:rsidRPr="00092ED7" w:rsidRDefault="00BD3989" w:rsidP="00BD3989">
            <w:pPr>
              <w:spacing w:after="0"/>
              <w:rPr>
                <w:rFonts w:eastAsia="Times New Roman" w:cs="Times New Roman"/>
                <w:b/>
                <w:bCs/>
                <w:sz w:val="20"/>
                <w:szCs w:val="20"/>
                <w:lang w:val="sr-Cyrl-CS" w:eastAsia="en-GB"/>
              </w:rPr>
            </w:pPr>
            <w:r w:rsidRPr="00092ED7">
              <w:rPr>
                <w:rFonts w:eastAsia="Times New Roman" w:cs="Times New Roman"/>
                <w:b/>
                <w:bCs/>
                <w:sz w:val="20"/>
                <w:szCs w:val="20"/>
                <w:lang w:val="sr-Cyrl-CS" w:eastAsia="en-GB"/>
              </w:rPr>
              <w:t>БДП, млрд динара (текуће цене)</w:t>
            </w:r>
          </w:p>
        </w:tc>
        <w:tc>
          <w:tcPr>
            <w:tcW w:w="654" w:type="pct"/>
            <w:tcBorders>
              <w:top w:val="nil"/>
              <w:left w:val="nil"/>
              <w:bottom w:val="single" w:sz="4" w:space="0" w:color="auto"/>
              <w:right w:val="single" w:sz="4" w:space="0" w:color="auto"/>
            </w:tcBorders>
            <w:shd w:val="clear" w:color="auto" w:fill="auto"/>
            <w:noWrap/>
            <w:vAlign w:val="center"/>
          </w:tcPr>
          <w:p w14:paraId="0CA926CA" w14:textId="77777777" w:rsidR="00BD3989" w:rsidRPr="00092ED7" w:rsidRDefault="00BD3989" w:rsidP="00BD3989">
            <w:pPr>
              <w:spacing w:after="0"/>
              <w:jc w:val="center"/>
              <w:rPr>
                <w:rFonts w:eastAsia="Times New Roman" w:cs="Times New Roman"/>
                <w:b/>
                <w:bCs/>
                <w:sz w:val="20"/>
                <w:szCs w:val="20"/>
                <w:lang w:val="sr-Cyrl-CS" w:eastAsia="en-GB"/>
              </w:rPr>
            </w:pPr>
            <w:r w:rsidRPr="00092ED7">
              <w:rPr>
                <w:rFonts w:eastAsia="Times New Roman" w:cs="Times New Roman"/>
                <w:b/>
                <w:bCs/>
                <w:sz w:val="20"/>
                <w:szCs w:val="20"/>
                <w:lang w:val="sr-Cyrl-CS" w:eastAsia="en-GB"/>
              </w:rPr>
              <w:t>7.082,5</w:t>
            </w:r>
          </w:p>
        </w:tc>
        <w:tc>
          <w:tcPr>
            <w:tcW w:w="654" w:type="pct"/>
            <w:tcBorders>
              <w:top w:val="nil"/>
              <w:left w:val="nil"/>
              <w:bottom w:val="single" w:sz="4" w:space="0" w:color="auto"/>
              <w:right w:val="single" w:sz="4" w:space="0" w:color="auto"/>
            </w:tcBorders>
            <w:shd w:val="clear" w:color="auto" w:fill="auto"/>
            <w:noWrap/>
            <w:vAlign w:val="center"/>
          </w:tcPr>
          <w:p w14:paraId="5041C669" w14:textId="77777777" w:rsidR="00BD3989" w:rsidRPr="00092ED7" w:rsidRDefault="00BD3989" w:rsidP="00BD3989">
            <w:pPr>
              <w:spacing w:after="0"/>
              <w:jc w:val="center"/>
              <w:rPr>
                <w:rFonts w:eastAsia="Times New Roman" w:cs="Times New Roman"/>
                <w:b/>
                <w:bCs/>
                <w:sz w:val="20"/>
                <w:szCs w:val="20"/>
                <w:lang w:val="sr-Cyrl-CS" w:eastAsia="en-GB"/>
              </w:rPr>
            </w:pPr>
            <w:r w:rsidRPr="00092ED7">
              <w:rPr>
                <w:rFonts w:eastAsia="Times New Roman" w:cs="Times New Roman"/>
                <w:b/>
                <w:bCs/>
                <w:sz w:val="20"/>
                <w:szCs w:val="20"/>
                <w:lang w:val="sr-Cyrl-CS" w:eastAsia="en-GB"/>
              </w:rPr>
              <w:t>8.025,1</w:t>
            </w:r>
          </w:p>
        </w:tc>
        <w:tc>
          <w:tcPr>
            <w:tcW w:w="654" w:type="pct"/>
            <w:tcBorders>
              <w:top w:val="nil"/>
              <w:left w:val="nil"/>
              <w:bottom w:val="single" w:sz="4" w:space="0" w:color="auto"/>
              <w:right w:val="single" w:sz="4" w:space="0" w:color="auto"/>
            </w:tcBorders>
            <w:shd w:val="clear" w:color="auto" w:fill="auto"/>
            <w:noWrap/>
            <w:vAlign w:val="center"/>
          </w:tcPr>
          <w:p w14:paraId="06657860" w14:textId="77777777" w:rsidR="00BD3989" w:rsidRPr="00092ED7" w:rsidRDefault="00BD3989" w:rsidP="00BD3989">
            <w:pPr>
              <w:spacing w:after="0"/>
              <w:jc w:val="center"/>
              <w:rPr>
                <w:rFonts w:eastAsia="Times New Roman" w:cs="Times New Roman"/>
                <w:b/>
                <w:bCs/>
                <w:sz w:val="20"/>
                <w:szCs w:val="20"/>
                <w:lang w:val="sr-Cyrl-CS" w:eastAsia="en-GB"/>
              </w:rPr>
            </w:pPr>
            <w:r w:rsidRPr="00092ED7">
              <w:rPr>
                <w:rFonts w:eastAsia="Times New Roman" w:cs="Times New Roman"/>
                <w:b/>
                <w:bCs/>
                <w:sz w:val="20"/>
                <w:szCs w:val="20"/>
                <w:lang w:val="sr-Cyrl-CS" w:eastAsia="en-GB"/>
              </w:rPr>
              <w:t>8.776,3</w:t>
            </w:r>
          </w:p>
        </w:tc>
        <w:tc>
          <w:tcPr>
            <w:tcW w:w="654" w:type="pct"/>
            <w:tcBorders>
              <w:top w:val="nil"/>
              <w:left w:val="nil"/>
              <w:bottom w:val="single" w:sz="4" w:space="0" w:color="auto"/>
              <w:right w:val="single" w:sz="4" w:space="0" w:color="auto"/>
            </w:tcBorders>
            <w:shd w:val="clear" w:color="auto" w:fill="auto"/>
            <w:noWrap/>
            <w:vAlign w:val="center"/>
          </w:tcPr>
          <w:p w14:paraId="7DC7A043" w14:textId="77777777" w:rsidR="00BD3989" w:rsidRPr="00092ED7" w:rsidRDefault="00BD3989" w:rsidP="00BD3989">
            <w:pPr>
              <w:spacing w:after="0"/>
              <w:jc w:val="center"/>
              <w:rPr>
                <w:rFonts w:eastAsia="Times New Roman" w:cs="Times New Roman"/>
                <w:b/>
                <w:bCs/>
                <w:sz w:val="20"/>
                <w:szCs w:val="20"/>
                <w:lang w:val="sr-Cyrl-CS" w:eastAsia="en-GB"/>
              </w:rPr>
            </w:pPr>
            <w:r w:rsidRPr="00092ED7">
              <w:rPr>
                <w:rFonts w:eastAsia="Times New Roman" w:cs="Times New Roman"/>
                <w:b/>
                <w:bCs/>
                <w:sz w:val="20"/>
                <w:szCs w:val="20"/>
                <w:lang w:val="sr-Cyrl-CS" w:eastAsia="en-GB"/>
              </w:rPr>
              <w:t>9.519,4</w:t>
            </w:r>
          </w:p>
        </w:tc>
      </w:tr>
      <w:tr w:rsidR="00BD3989" w:rsidRPr="00092ED7" w14:paraId="5909A06D" w14:textId="77777777" w:rsidTr="00B94540">
        <w:trPr>
          <w:trHeight w:val="238"/>
        </w:trPr>
        <w:tc>
          <w:tcPr>
            <w:tcW w:w="2384" w:type="pct"/>
            <w:tcBorders>
              <w:top w:val="nil"/>
              <w:left w:val="single" w:sz="4" w:space="0" w:color="auto"/>
              <w:bottom w:val="single" w:sz="4" w:space="0" w:color="auto"/>
              <w:right w:val="single" w:sz="4" w:space="0" w:color="auto"/>
            </w:tcBorders>
            <w:shd w:val="clear" w:color="auto" w:fill="auto"/>
            <w:noWrap/>
            <w:vAlign w:val="center"/>
            <w:hideMark/>
          </w:tcPr>
          <w:p w14:paraId="5EC5203E" w14:textId="77777777" w:rsidR="00BD3989" w:rsidRPr="00092ED7" w:rsidRDefault="00BD3989" w:rsidP="00BD3989">
            <w:pPr>
              <w:spacing w:after="0"/>
              <w:rPr>
                <w:rFonts w:eastAsia="Times New Roman" w:cs="Times New Roman"/>
                <w:sz w:val="20"/>
                <w:szCs w:val="20"/>
                <w:lang w:val="sr-Cyrl-CS" w:eastAsia="en-GB"/>
              </w:rPr>
            </w:pPr>
            <w:r w:rsidRPr="00092ED7">
              <w:rPr>
                <w:rFonts w:eastAsia="Times New Roman" w:cs="Times New Roman"/>
                <w:sz w:val="20"/>
                <w:szCs w:val="20"/>
                <w:lang w:val="sr-Cyrl-CS" w:eastAsia="en-GB"/>
              </w:rPr>
              <w:t>Реални раст БДП, %</w:t>
            </w:r>
          </w:p>
        </w:tc>
        <w:tc>
          <w:tcPr>
            <w:tcW w:w="654" w:type="pct"/>
            <w:tcBorders>
              <w:top w:val="nil"/>
              <w:left w:val="nil"/>
              <w:bottom w:val="single" w:sz="4" w:space="0" w:color="auto"/>
              <w:right w:val="single" w:sz="4" w:space="0" w:color="auto"/>
            </w:tcBorders>
            <w:shd w:val="clear" w:color="auto" w:fill="auto"/>
            <w:noWrap/>
            <w:vAlign w:val="center"/>
          </w:tcPr>
          <w:p w14:paraId="4B72CD0E" w14:textId="77777777" w:rsidR="00BD3989" w:rsidRPr="00092ED7" w:rsidRDefault="00BD3989" w:rsidP="00BD3989">
            <w:pPr>
              <w:spacing w:after="0"/>
              <w:jc w:val="center"/>
              <w:rPr>
                <w:rFonts w:eastAsia="Times New Roman" w:cs="Times New Roman"/>
                <w:sz w:val="20"/>
                <w:szCs w:val="20"/>
                <w:lang w:val="sr-Cyrl-CS" w:eastAsia="en-GB"/>
              </w:rPr>
            </w:pPr>
            <w:r w:rsidRPr="00092ED7">
              <w:rPr>
                <w:rFonts w:eastAsia="Times New Roman" w:cs="Times New Roman"/>
                <w:sz w:val="20"/>
                <w:szCs w:val="20"/>
                <w:lang w:val="sr-Cyrl-CS" w:eastAsia="en-GB"/>
              </w:rPr>
              <w:t>2,5</w:t>
            </w:r>
          </w:p>
        </w:tc>
        <w:tc>
          <w:tcPr>
            <w:tcW w:w="654" w:type="pct"/>
            <w:tcBorders>
              <w:top w:val="nil"/>
              <w:left w:val="nil"/>
              <w:bottom w:val="single" w:sz="4" w:space="0" w:color="auto"/>
              <w:right w:val="single" w:sz="4" w:space="0" w:color="auto"/>
            </w:tcBorders>
            <w:shd w:val="clear" w:color="auto" w:fill="auto"/>
            <w:noWrap/>
            <w:vAlign w:val="center"/>
          </w:tcPr>
          <w:p w14:paraId="0E316675" w14:textId="77777777" w:rsidR="00BD3989" w:rsidRPr="00092ED7" w:rsidRDefault="00BD3989" w:rsidP="00BD3989">
            <w:pPr>
              <w:spacing w:after="0"/>
              <w:jc w:val="center"/>
              <w:rPr>
                <w:rFonts w:eastAsia="Times New Roman" w:cs="Times New Roman"/>
                <w:sz w:val="20"/>
                <w:szCs w:val="20"/>
                <w:lang w:val="sr-Cyrl-CS" w:eastAsia="en-GB"/>
              </w:rPr>
            </w:pPr>
            <w:r w:rsidRPr="00092ED7">
              <w:rPr>
                <w:rFonts w:eastAsia="Times New Roman" w:cs="Times New Roman"/>
                <w:sz w:val="20"/>
                <w:szCs w:val="20"/>
                <w:lang w:val="sr-Cyrl-CS" w:eastAsia="en-GB"/>
              </w:rPr>
              <w:t>2,5</w:t>
            </w:r>
          </w:p>
        </w:tc>
        <w:tc>
          <w:tcPr>
            <w:tcW w:w="654" w:type="pct"/>
            <w:tcBorders>
              <w:top w:val="nil"/>
              <w:left w:val="nil"/>
              <w:bottom w:val="single" w:sz="4" w:space="0" w:color="auto"/>
              <w:right w:val="single" w:sz="4" w:space="0" w:color="auto"/>
            </w:tcBorders>
            <w:shd w:val="clear" w:color="auto" w:fill="auto"/>
            <w:noWrap/>
            <w:vAlign w:val="center"/>
          </w:tcPr>
          <w:p w14:paraId="18345E37" w14:textId="77777777" w:rsidR="00BD3989" w:rsidRPr="00092ED7" w:rsidRDefault="00BD3989" w:rsidP="00BD3989">
            <w:pPr>
              <w:spacing w:after="0"/>
              <w:jc w:val="center"/>
              <w:rPr>
                <w:rFonts w:eastAsia="Times New Roman" w:cs="Times New Roman"/>
                <w:sz w:val="20"/>
                <w:szCs w:val="20"/>
                <w:lang w:val="sr-Cyrl-CS" w:eastAsia="en-GB"/>
              </w:rPr>
            </w:pPr>
            <w:r w:rsidRPr="00092ED7">
              <w:rPr>
                <w:rFonts w:eastAsia="Times New Roman" w:cs="Times New Roman"/>
                <w:sz w:val="20"/>
                <w:szCs w:val="20"/>
                <w:lang w:val="sr-Cyrl-CS" w:eastAsia="en-GB"/>
              </w:rPr>
              <w:t>3,5</w:t>
            </w:r>
          </w:p>
        </w:tc>
        <w:tc>
          <w:tcPr>
            <w:tcW w:w="654" w:type="pct"/>
            <w:tcBorders>
              <w:top w:val="nil"/>
              <w:left w:val="nil"/>
              <w:bottom w:val="single" w:sz="4" w:space="0" w:color="auto"/>
              <w:right w:val="single" w:sz="4" w:space="0" w:color="auto"/>
            </w:tcBorders>
            <w:shd w:val="clear" w:color="auto" w:fill="auto"/>
            <w:noWrap/>
            <w:vAlign w:val="center"/>
          </w:tcPr>
          <w:p w14:paraId="2C0F10F0" w14:textId="77777777" w:rsidR="00BD3989" w:rsidRPr="00092ED7" w:rsidRDefault="00BD3989" w:rsidP="00BD3989">
            <w:pPr>
              <w:spacing w:after="0"/>
              <w:jc w:val="center"/>
              <w:rPr>
                <w:rFonts w:eastAsia="Times New Roman" w:cs="Times New Roman"/>
                <w:sz w:val="20"/>
                <w:szCs w:val="20"/>
                <w:lang w:val="sr-Cyrl-CS" w:eastAsia="en-GB"/>
              </w:rPr>
            </w:pPr>
            <w:r w:rsidRPr="00092ED7">
              <w:rPr>
                <w:rFonts w:eastAsia="Times New Roman" w:cs="Times New Roman"/>
                <w:sz w:val="20"/>
                <w:szCs w:val="20"/>
                <w:lang w:val="sr-Cyrl-CS" w:eastAsia="en-GB"/>
              </w:rPr>
              <w:t>4,0</w:t>
            </w:r>
          </w:p>
        </w:tc>
      </w:tr>
      <w:tr w:rsidR="00BD3989" w:rsidRPr="00092ED7" w14:paraId="149670B2" w14:textId="77777777" w:rsidTr="00B94540">
        <w:trPr>
          <w:trHeight w:val="238"/>
        </w:trPr>
        <w:tc>
          <w:tcPr>
            <w:tcW w:w="2384" w:type="pct"/>
            <w:tcBorders>
              <w:top w:val="nil"/>
              <w:left w:val="single" w:sz="4" w:space="0" w:color="auto"/>
              <w:bottom w:val="single" w:sz="4" w:space="0" w:color="auto"/>
              <w:right w:val="single" w:sz="4" w:space="0" w:color="auto"/>
            </w:tcBorders>
            <w:shd w:val="clear" w:color="auto" w:fill="auto"/>
            <w:noWrap/>
            <w:vAlign w:val="center"/>
            <w:hideMark/>
          </w:tcPr>
          <w:p w14:paraId="615C5C3F" w14:textId="77777777" w:rsidR="00BD3989" w:rsidRPr="00092ED7" w:rsidRDefault="00BD3989" w:rsidP="00BD3989">
            <w:pPr>
              <w:spacing w:after="0"/>
              <w:rPr>
                <w:rFonts w:eastAsia="Times New Roman" w:cs="Times New Roman"/>
                <w:sz w:val="20"/>
                <w:szCs w:val="20"/>
                <w:lang w:val="sr-Cyrl-CS" w:eastAsia="en-GB"/>
              </w:rPr>
            </w:pPr>
            <w:r w:rsidRPr="00092ED7">
              <w:rPr>
                <w:rFonts w:eastAsia="Times New Roman" w:cs="Times New Roman"/>
                <w:sz w:val="20"/>
                <w:szCs w:val="20"/>
                <w:lang w:val="sr-Cyrl-CS" w:eastAsia="en-GB"/>
              </w:rPr>
              <w:t>Дефлатор БДП, %</w:t>
            </w:r>
          </w:p>
        </w:tc>
        <w:tc>
          <w:tcPr>
            <w:tcW w:w="654" w:type="pct"/>
            <w:tcBorders>
              <w:top w:val="nil"/>
              <w:left w:val="nil"/>
              <w:bottom w:val="single" w:sz="4" w:space="0" w:color="auto"/>
              <w:right w:val="single" w:sz="4" w:space="0" w:color="auto"/>
            </w:tcBorders>
            <w:shd w:val="clear" w:color="auto" w:fill="auto"/>
            <w:noWrap/>
            <w:vAlign w:val="center"/>
          </w:tcPr>
          <w:p w14:paraId="2F4BD73F" w14:textId="77777777" w:rsidR="00BD3989" w:rsidRPr="00092ED7" w:rsidRDefault="00BD3989" w:rsidP="00BD3989">
            <w:pPr>
              <w:spacing w:after="0"/>
              <w:jc w:val="center"/>
              <w:rPr>
                <w:rFonts w:eastAsia="Times New Roman" w:cs="Times New Roman"/>
                <w:sz w:val="20"/>
                <w:szCs w:val="20"/>
                <w:lang w:val="sr-Cyrl-CS" w:eastAsia="en-GB"/>
              </w:rPr>
            </w:pPr>
            <w:r w:rsidRPr="00092ED7">
              <w:rPr>
                <w:rFonts w:eastAsia="Times New Roman" w:cs="Times New Roman"/>
                <w:sz w:val="20"/>
                <w:szCs w:val="20"/>
                <w:lang w:val="sr-Cyrl-CS" w:eastAsia="en-GB"/>
              </w:rPr>
              <w:t>10,2</w:t>
            </w:r>
          </w:p>
        </w:tc>
        <w:tc>
          <w:tcPr>
            <w:tcW w:w="654" w:type="pct"/>
            <w:tcBorders>
              <w:top w:val="nil"/>
              <w:left w:val="nil"/>
              <w:bottom w:val="single" w:sz="4" w:space="0" w:color="auto"/>
              <w:right w:val="single" w:sz="4" w:space="0" w:color="auto"/>
            </w:tcBorders>
            <w:shd w:val="clear" w:color="auto" w:fill="auto"/>
            <w:noWrap/>
            <w:vAlign w:val="center"/>
          </w:tcPr>
          <w:p w14:paraId="0B8D571E" w14:textId="77777777" w:rsidR="00BD3989" w:rsidRPr="00092ED7" w:rsidRDefault="00BD3989" w:rsidP="00BD3989">
            <w:pPr>
              <w:spacing w:after="0"/>
              <w:jc w:val="center"/>
              <w:rPr>
                <w:rFonts w:eastAsia="Times New Roman" w:cs="Times New Roman"/>
                <w:sz w:val="20"/>
                <w:szCs w:val="20"/>
                <w:lang w:val="sr-Cyrl-CS" w:eastAsia="en-GB"/>
              </w:rPr>
            </w:pPr>
            <w:r w:rsidRPr="00092ED7">
              <w:rPr>
                <w:rFonts w:eastAsia="Times New Roman" w:cs="Times New Roman"/>
                <w:sz w:val="20"/>
                <w:szCs w:val="20"/>
                <w:lang w:val="sr-Cyrl-CS" w:eastAsia="en-GB"/>
              </w:rPr>
              <w:t>10,6</w:t>
            </w:r>
          </w:p>
        </w:tc>
        <w:tc>
          <w:tcPr>
            <w:tcW w:w="654" w:type="pct"/>
            <w:tcBorders>
              <w:top w:val="nil"/>
              <w:left w:val="nil"/>
              <w:bottom w:val="single" w:sz="4" w:space="0" w:color="auto"/>
              <w:right w:val="single" w:sz="4" w:space="0" w:color="auto"/>
            </w:tcBorders>
            <w:shd w:val="clear" w:color="auto" w:fill="auto"/>
            <w:noWrap/>
            <w:vAlign w:val="center"/>
          </w:tcPr>
          <w:p w14:paraId="4853DB76" w14:textId="77777777" w:rsidR="00BD3989" w:rsidRPr="00092ED7" w:rsidRDefault="00BD3989" w:rsidP="00BD3989">
            <w:pPr>
              <w:spacing w:after="0"/>
              <w:jc w:val="center"/>
              <w:rPr>
                <w:rFonts w:eastAsia="Times New Roman" w:cs="Times New Roman"/>
                <w:sz w:val="20"/>
                <w:szCs w:val="20"/>
                <w:lang w:val="sr-Cyrl-CS" w:eastAsia="en-GB"/>
              </w:rPr>
            </w:pPr>
            <w:r w:rsidRPr="00092ED7">
              <w:rPr>
                <w:rFonts w:eastAsia="Times New Roman" w:cs="Times New Roman"/>
                <w:sz w:val="20"/>
                <w:szCs w:val="20"/>
                <w:lang w:val="sr-Cyrl-CS" w:eastAsia="en-GB"/>
              </w:rPr>
              <w:t>5,6</w:t>
            </w:r>
          </w:p>
        </w:tc>
        <w:tc>
          <w:tcPr>
            <w:tcW w:w="654" w:type="pct"/>
            <w:tcBorders>
              <w:top w:val="nil"/>
              <w:left w:val="nil"/>
              <w:bottom w:val="single" w:sz="4" w:space="0" w:color="auto"/>
              <w:right w:val="single" w:sz="4" w:space="0" w:color="auto"/>
            </w:tcBorders>
            <w:shd w:val="clear" w:color="auto" w:fill="auto"/>
            <w:noWrap/>
            <w:vAlign w:val="center"/>
          </w:tcPr>
          <w:p w14:paraId="5417153C" w14:textId="77777777" w:rsidR="00BD3989" w:rsidRPr="00092ED7" w:rsidRDefault="00BD3989" w:rsidP="00BD3989">
            <w:pPr>
              <w:spacing w:after="0"/>
              <w:jc w:val="center"/>
              <w:rPr>
                <w:rFonts w:eastAsia="Times New Roman" w:cs="Times New Roman"/>
                <w:sz w:val="20"/>
                <w:szCs w:val="20"/>
                <w:lang w:val="sr-Cyrl-CS" w:eastAsia="en-GB"/>
              </w:rPr>
            </w:pPr>
            <w:r w:rsidRPr="00092ED7">
              <w:rPr>
                <w:rFonts w:eastAsia="Times New Roman" w:cs="Times New Roman"/>
                <w:sz w:val="20"/>
                <w:szCs w:val="20"/>
                <w:lang w:val="sr-Cyrl-CS" w:eastAsia="en-GB"/>
              </w:rPr>
              <w:t>4,3</w:t>
            </w:r>
          </w:p>
        </w:tc>
      </w:tr>
      <w:tr w:rsidR="00BD3989" w:rsidRPr="00092ED7" w14:paraId="0AA0BE2E" w14:textId="77777777" w:rsidTr="00B94540">
        <w:trPr>
          <w:trHeight w:val="238"/>
        </w:trPr>
        <w:tc>
          <w:tcPr>
            <w:tcW w:w="2384" w:type="pct"/>
            <w:tcBorders>
              <w:top w:val="single" w:sz="4" w:space="0" w:color="auto"/>
              <w:left w:val="single" w:sz="4" w:space="0" w:color="auto"/>
              <w:bottom w:val="single" w:sz="4" w:space="0" w:color="auto"/>
            </w:tcBorders>
            <w:shd w:val="clear" w:color="auto" w:fill="auto"/>
            <w:noWrap/>
            <w:vAlign w:val="center"/>
            <w:hideMark/>
          </w:tcPr>
          <w:p w14:paraId="6A6E2498" w14:textId="77777777" w:rsidR="00BD3989" w:rsidRPr="00092ED7" w:rsidRDefault="00BD3989" w:rsidP="00BD3989">
            <w:pPr>
              <w:spacing w:after="0"/>
              <w:rPr>
                <w:rFonts w:eastAsia="Times New Roman" w:cs="Times New Roman"/>
                <w:i/>
                <w:iCs/>
                <w:sz w:val="20"/>
                <w:szCs w:val="20"/>
                <w:lang w:val="sr-Cyrl-CS" w:eastAsia="en-GB"/>
              </w:rPr>
            </w:pPr>
            <w:r w:rsidRPr="00092ED7">
              <w:rPr>
                <w:rFonts w:eastAsia="Times New Roman" w:cs="Times New Roman"/>
                <w:i/>
                <w:iCs/>
                <w:sz w:val="20"/>
                <w:szCs w:val="20"/>
                <w:lang w:val="sr-Cyrl-CS" w:eastAsia="en-GB"/>
              </w:rPr>
              <w:t>Реални раст појединих компоненти БДП, %</w:t>
            </w:r>
          </w:p>
        </w:tc>
        <w:tc>
          <w:tcPr>
            <w:tcW w:w="654" w:type="pct"/>
            <w:tcBorders>
              <w:top w:val="single" w:sz="4" w:space="0" w:color="auto"/>
              <w:bottom w:val="single" w:sz="4" w:space="0" w:color="auto"/>
            </w:tcBorders>
            <w:shd w:val="clear" w:color="auto" w:fill="auto"/>
            <w:noWrap/>
            <w:vAlign w:val="center"/>
          </w:tcPr>
          <w:p w14:paraId="1E7EC372" w14:textId="77777777" w:rsidR="00BD3989" w:rsidRPr="00092ED7" w:rsidRDefault="00BD3989" w:rsidP="00BD3989">
            <w:pPr>
              <w:spacing w:after="0"/>
              <w:jc w:val="center"/>
              <w:rPr>
                <w:rFonts w:eastAsia="Times New Roman" w:cs="Times New Roman"/>
                <w:i/>
                <w:iCs/>
                <w:sz w:val="20"/>
                <w:szCs w:val="20"/>
                <w:lang w:val="sr-Cyrl-CS" w:eastAsia="en-GB"/>
              </w:rPr>
            </w:pPr>
          </w:p>
        </w:tc>
        <w:tc>
          <w:tcPr>
            <w:tcW w:w="654" w:type="pct"/>
            <w:tcBorders>
              <w:top w:val="single" w:sz="4" w:space="0" w:color="auto"/>
              <w:bottom w:val="single" w:sz="4" w:space="0" w:color="auto"/>
            </w:tcBorders>
            <w:shd w:val="clear" w:color="auto" w:fill="auto"/>
            <w:noWrap/>
            <w:vAlign w:val="center"/>
          </w:tcPr>
          <w:p w14:paraId="001CB94B" w14:textId="77777777" w:rsidR="00BD3989" w:rsidRPr="00092ED7" w:rsidRDefault="00BD3989" w:rsidP="00BD3989">
            <w:pPr>
              <w:spacing w:after="0"/>
              <w:jc w:val="center"/>
              <w:rPr>
                <w:rFonts w:eastAsia="Times New Roman" w:cs="Times New Roman"/>
                <w:i/>
                <w:iCs/>
                <w:sz w:val="20"/>
                <w:szCs w:val="20"/>
                <w:lang w:val="sr-Cyrl-CS" w:eastAsia="en-GB"/>
              </w:rPr>
            </w:pPr>
          </w:p>
        </w:tc>
        <w:tc>
          <w:tcPr>
            <w:tcW w:w="654" w:type="pct"/>
            <w:tcBorders>
              <w:top w:val="single" w:sz="4" w:space="0" w:color="auto"/>
              <w:bottom w:val="single" w:sz="4" w:space="0" w:color="auto"/>
            </w:tcBorders>
            <w:shd w:val="clear" w:color="auto" w:fill="auto"/>
            <w:noWrap/>
            <w:vAlign w:val="center"/>
          </w:tcPr>
          <w:p w14:paraId="68FD33A8" w14:textId="77777777" w:rsidR="00BD3989" w:rsidRPr="00092ED7" w:rsidRDefault="00BD3989" w:rsidP="00BD3989">
            <w:pPr>
              <w:spacing w:after="0"/>
              <w:jc w:val="center"/>
              <w:rPr>
                <w:rFonts w:eastAsia="Times New Roman" w:cs="Times New Roman"/>
                <w:i/>
                <w:iCs/>
                <w:sz w:val="20"/>
                <w:szCs w:val="20"/>
                <w:lang w:val="sr-Cyrl-CS" w:eastAsia="en-GB"/>
              </w:rPr>
            </w:pPr>
          </w:p>
        </w:tc>
        <w:tc>
          <w:tcPr>
            <w:tcW w:w="654" w:type="pct"/>
            <w:tcBorders>
              <w:top w:val="single" w:sz="4" w:space="0" w:color="auto"/>
              <w:bottom w:val="single" w:sz="4" w:space="0" w:color="auto"/>
              <w:right w:val="single" w:sz="4" w:space="0" w:color="auto"/>
            </w:tcBorders>
            <w:shd w:val="clear" w:color="auto" w:fill="auto"/>
            <w:noWrap/>
            <w:vAlign w:val="center"/>
          </w:tcPr>
          <w:p w14:paraId="54B3A3D3" w14:textId="77777777" w:rsidR="00BD3989" w:rsidRPr="00092ED7" w:rsidRDefault="00BD3989" w:rsidP="00BD3989">
            <w:pPr>
              <w:spacing w:after="0"/>
              <w:jc w:val="center"/>
              <w:rPr>
                <w:rFonts w:eastAsia="Times New Roman" w:cs="Times New Roman"/>
                <w:i/>
                <w:iCs/>
                <w:sz w:val="20"/>
                <w:szCs w:val="20"/>
                <w:lang w:val="sr-Cyrl-CS" w:eastAsia="en-GB"/>
              </w:rPr>
            </w:pPr>
          </w:p>
        </w:tc>
      </w:tr>
      <w:tr w:rsidR="00BD3989" w:rsidRPr="00092ED7" w14:paraId="1473A9D4" w14:textId="77777777" w:rsidTr="00B94540">
        <w:trPr>
          <w:trHeight w:val="238"/>
        </w:trPr>
        <w:tc>
          <w:tcPr>
            <w:tcW w:w="2384" w:type="pct"/>
            <w:tcBorders>
              <w:top w:val="nil"/>
              <w:left w:val="single" w:sz="4" w:space="0" w:color="auto"/>
              <w:bottom w:val="single" w:sz="4" w:space="0" w:color="auto"/>
              <w:right w:val="single" w:sz="4" w:space="0" w:color="auto"/>
            </w:tcBorders>
            <w:shd w:val="clear" w:color="auto" w:fill="auto"/>
            <w:noWrap/>
            <w:vAlign w:val="center"/>
            <w:hideMark/>
          </w:tcPr>
          <w:p w14:paraId="53ACAD19" w14:textId="77777777" w:rsidR="00BD3989" w:rsidRPr="00092ED7" w:rsidRDefault="00BD3989" w:rsidP="00BD3989">
            <w:pPr>
              <w:spacing w:after="0"/>
              <w:rPr>
                <w:rFonts w:eastAsia="Times New Roman" w:cs="Times New Roman"/>
                <w:sz w:val="20"/>
                <w:szCs w:val="20"/>
                <w:lang w:val="sr-Cyrl-CS" w:eastAsia="en-GB"/>
              </w:rPr>
            </w:pPr>
            <w:r w:rsidRPr="00092ED7">
              <w:rPr>
                <w:rFonts w:eastAsia="Times New Roman" w:cs="Times New Roman"/>
                <w:sz w:val="20"/>
                <w:szCs w:val="20"/>
                <w:lang w:val="sr-Cyrl-CS" w:eastAsia="en-GB"/>
              </w:rPr>
              <w:t xml:space="preserve">   Лична потрошња</w:t>
            </w:r>
          </w:p>
        </w:tc>
        <w:tc>
          <w:tcPr>
            <w:tcW w:w="654" w:type="pct"/>
            <w:tcBorders>
              <w:top w:val="nil"/>
              <w:left w:val="nil"/>
              <w:bottom w:val="single" w:sz="4" w:space="0" w:color="auto"/>
              <w:right w:val="single" w:sz="4" w:space="0" w:color="auto"/>
            </w:tcBorders>
            <w:shd w:val="clear" w:color="auto" w:fill="auto"/>
            <w:noWrap/>
            <w:vAlign w:val="center"/>
          </w:tcPr>
          <w:p w14:paraId="22796F60" w14:textId="77777777" w:rsidR="00BD3989" w:rsidRPr="00092ED7" w:rsidRDefault="00BD3989" w:rsidP="00BD3989">
            <w:pPr>
              <w:spacing w:after="0"/>
              <w:jc w:val="center"/>
              <w:rPr>
                <w:rFonts w:eastAsia="Times New Roman" w:cs="Times New Roman"/>
                <w:sz w:val="20"/>
                <w:szCs w:val="20"/>
                <w:lang w:val="sr-Cyrl-CS" w:eastAsia="en-GB"/>
              </w:rPr>
            </w:pPr>
            <w:r w:rsidRPr="00092ED7">
              <w:rPr>
                <w:rFonts w:eastAsia="Times New Roman" w:cs="Times New Roman"/>
                <w:sz w:val="20"/>
                <w:szCs w:val="20"/>
                <w:lang w:val="sr-Cyrl-CS" w:eastAsia="en-GB"/>
              </w:rPr>
              <w:t>3,9</w:t>
            </w:r>
          </w:p>
        </w:tc>
        <w:tc>
          <w:tcPr>
            <w:tcW w:w="654" w:type="pct"/>
            <w:tcBorders>
              <w:top w:val="nil"/>
              <w:left w:val="nil"/>
              <w:bottom w:val="single" w:sz="4" w:space="0" w:color="auto"/>
              <w:right w:val="single" w:sz="4" w:space="0" w:color="auto"/>
            </w:tcBorders>
            <w:shd w:val="clear" w:color="auto" w:fill="auto"/>
            <w:noWrap/>
            <w:vAlign w:val="center"/>
          </w:tcPr>
          <w:p w14:paraId="27B280CE" w14:textId="77777777" w:rsidR="00BD3989" w:rsidRPr="00092ED7" w:rsidRDefault="00BD3989" w:rsidP="00BD3989">
            <w:pPr>
              <w:spacing w:after="0"/>
              <w:jc w:val="center"/>
              <w:rPr>
                <w:rFonts w:eastAsia="Times New Roman" w:cs="Times New Roman"/>
                <w:sz w:val="20"/>
                <w:szCs w:val="20"/>
                <w:lang w:val="sr-Cyrl-CS" w:eastAsia="en-GB"/>
              </w:rPr>
            </w:pPr>
            <w:r w:rsidRPr="00092ED7">
              <w:rPr>
                <w:rFonts w:eastAsia="Times New Roman" w:cs="Times New Roman"/>
                <w:sz w:val="20"/>
                <w:szCs w:val="20"/>
                <w:lang w:val="sr-Cyrl-CS" w:eastAsia="en-GB"/>
              </w:rPr>
              <w:t>2,5</w:t>
            </w:r>
          </w:p>
        </w:tc>
        <w:tc>
          <w:tcPr>
            <w:tcW w:w="654" w:type="pct"/>
            <w:tcBorders>
              <w:top w:val="nil"/>
              <w:left w:val="nil"/>
              <w:bottom w:val="single" w:sz="4" w:space="0" w:color="auto"/>
              <w:right w:val="single" w:sz="4" w:space="0" w:color="auto"/>
            </w:tcBorders>
            <w:shd w:val="clear" w:color="auto" w:fill="auto"/>
            <w:noWrap/>
            <w:vAlign w:val="center"/>
          </w:tcPr>
          <w:p w14:paraId="06042AE4" w14:textId="77777777" w:rsidR="00BD3989" w:rsidRPr="00092ED7" w:rsidRDefault="00BD3989" w:rsidP="00BD3989">
            <w:pPr>
              <w:spacing w:after="0"/>
              <w:jc w:val="center"/>
              <w:rPr>
                <w:rFonts w:eastAsia="Times New Roman" w:cs="Times New Roman"/>
                <w:sz w:val="20"/>
                <w:szCs w:val="20"/>
                <w:lang w:val="sr-Cyrl-CS" w:eastAsia="en-GB"/>
              </w:rPr>
            </w:pPr>
            <w:r w:rsidRPr="00092ED7">
              <w:rPr>
                <w:rFonts w:eastAsia="Times New Roman" w:cs="Times New Roman"/>
                <w:sz w:val="20"/>
                <w:szCs w:val="20"/>
                <w:lang w:val="sr-Cyrl-CS" w:eastAsia="en-GB"/>
              </w:rPr>
              <w:t>2,9</w:t>
            </w:r>
          </w:p>
        </w:tc>
        <w:tc>
          <w:tcPr>
            <w:tcW w:w="654" w:type="pct"/>
            <w:tcBorders>
              <w:top w:val="nil"/>
              <w:left w:val="nil"/>
              <w:bottom w:val="single" w:sz="4" w:space="0" w:color="auto"/>
              <w:right w:val="single" w:sz="4" w:space="0" w:color="auto"/>
            </w:tcBorders>
            <w:shd w:val="clear" w:color="auto" w:fill="auto"/>
            <w:noWrap/>
            <w:vAlign w:val="center"/>
          </w:tcPr>
          <w:p w14:paraId="68EE2E50" w14:textId="77777777" w:rsidR="00BD3989" w:rsidRPr="00092ED7" w:rsidRDefault="00BD3989" w:rsidP="00BD3989">
            <w:pPr>
              <w:spacing w:after="0"/>
              <w:jc w:val="center"/>
              <w:rPr>
                <w:rFonts w:eastAsia="Times New Roman" w:cs="Times New Roman"/>
                <w:sz w:val="20"/>
                <w:szCs w:val="20"/>
                <w:lang w:val="sr-Cyrl-CS" w:eastAsia="en-GB"/>
              </w:rPr>
            </w:pPr>
            <w:r w:rsidRPr="00092ED7">
              <w:rPr>
                <w:rFonts w:eastAsia="Times New Roman" w:cs="Times New Roman"/>
                <w:sz w:val="20"/>
                <w:szCs w:val="20"/>
                <w:lang w:val="sr-Cyrl-CS" w:eastAsia="en-GB"/>
              </w:rPr>
              <w:t>3,6</w:t>
            </w:r>
          </w:p>
        </w:tc>
      </w:tr>
      <w:tr w:rsidR="00BD3989" w:rsidRPr="00092ED7" w14:paraId="6AE7164B" w14:textId="77777777" w:rsidTr="00B94540">
        <w:trPr>
          <w:trHeight w:val="238"/>
        </w:trPr>
        <w:tc>
          <w:tcPr>
            <w:tcW w:w="2384" w:type="pct"/>
            <w:tcBorders>
              <w:top w:val="nil"/>
              <w:left w:val="single" w:sz="4" w:space="0" w:color="auto"/>
              <w:bottom w:val="single" w:sz="4" w:space="0" w:color="auto"/>
              <w:right w:val="single" w:sz="4" w:space="0" w:color="auto"/>
            </w:tcBorders>
            <w:shd w:val="clear" w:color="auto" w:fill="auto"/>
            <w:noWrap/>
            <w:vAlign w:val="center"/>
            <w:hideMark/>
          </w:tcPr>
          <w:p w14:paraId="3446D9AC" w14:textId="77777777" w:rsidR="00BD3989" w:rsidRPr="00092ED7" w:rsidRDefault="00BD3989" w:rsidP="00BD3989">
            <w:pPr>
              <w:spacing w:after="0"/>
              <w:rPr>
                <w:rFonts w:eastAsia="Times New Roman" w:cs="Times New Roman"/>
                <w:sz w:val="20"/>
                <w:szCs w:val="20"/>
                <w:lang w:val="sr-Cyrl-CS" w:eastAsia="en-GB"/>
              </w:rPr>
            </w:pPr>
            <w:r w:rsidRPr="00092ED7">
              <w:rPr>
                <w:rFonts w:eastAsia="Times New Roman" w:cs="Times New Roman"/>
                <w:sz w:val="20"/>
                <w:szCs w:val="20"/>
                <w:lang w:val="sr-Cyrl-CS" w:eastAsia="en-GB"/>
              </w:rPr>
              <w:t xml:space="preserve">   Државна потрошња</w:t>
            </w:r>
          </w:p>
        </w:tc>
        <w:tc>
          <w:tcPr>
            <w:tcW w:w="654" w:type="pct"/>
            <w:tcBorders>
              <w:top w:val="nil"/>
              <w:left w:val="nil"/>
              <w:bottom w:val="single" w:sz="4" w:space="0" w:color="auto"/>
              <w:right w:val="single" w:sz="4" w:space="0" w:color="auto"/>
            </w:tcBorders>
            <w:shd w:val="clear" w:color="auto" w:fill="auto"/>
            <w:noWrap/>
            <w:vAlign w:val="center"/>
          </w:tcPr>
          <w:p w14:paraId="1D19630B" w14:textId="77777777" w:rsidR="00BD3989" w:rsidRPr="00092ED7" w:rsidRDefault="00BD3989" w:rsidP="00BD3989">
            <w:pPr>
              <w:spacing w:after="0"/>
              <w:jc w:val="center"/>
              <w:rPr>
                <w:rFonts w:eastAsia="Times New Roman" w:cs="Times New Roman"/>
                <w:sz w:val="20"/>
                <w:szCs w:val="20"/>
                <w:lang w:val="sr-Cyrl-CS" w:eastAsia="en-GB"/>
              </w:rPr>
            </w:pPr>
            <w:r w:rsidRPr="00092ED7">
              <w:rPr>
                <w:rFonts w:eastAsia="Times New Roman" w:cs="Times New Roman"/>
                <w:sz w:val="20"/>
                <w:szCs w:val="20"/>
                <w:lang w:val="sr-Cyrl-CS" w:eastAsia="en-GB"/>
              </w:rPr>
              <w:t>0,4</w:t>
            </w:r>
          </w:p>
        </w:tc>
        <w:tc>
          <w:tcPr>
            <w:tcW w:w="654" w:type="pct"/>
            <w:tcBorders>
              <w:top w:val="nil"/>
              <w:left w:val="nil"/>
              <w:bottom w:val="single" w:sz="4" w:space="0" w:color="auto"/>
              <w:right w:val="single" w:sz="4" w:space="0" w:color="auto"/>
            </w:tcBorders>
            <w:shd w:val="clear" w:color="auto" w:fill="auto"/>
            <w:noWrap/>
            <w:vAlign w:val="center"/>
          </w:tcPr>
          <w:p w14:paraId="71F96261" w14:textId="77777777" w:rsidR="00BD3989" w:rsidRPr="00092ED7" w:rsidRDefault="00BD3989" w:rsidP="00BD3989">
            <w:pPr>
              <w:spacing w:after="0"/>
              <w:jc w:val="center"/>
              <w:rPr>
                <w:rFonts w:eastAsia="Times New Roman" w:cs="Times New Roman"/>
                <w:sz w:val="20"/>
                <w:szCs w:val="20"/>
                <w:lang w:val="sr-Cyrl-CS" w:eastAsia="en-GB"/>
              </w:rPr>
            </w:pPr>
            <w:r w:rsidRPr="00092ED7">
              <w:rPr>
                <w:rFonts w:eastAsia="Times New Roman" w:cs="Times New Roman"/>
                <w:sz w:val="20"/>
                <w:szCs w:val="20"/>
                <w:lang w:val="sr-Cyrl-CS" w:eastAsia="en-GB"/>
              </w:rPr>
              <w:t>-2,0</w:t>
            </w:r>
          </w:p>
        </w:tc>
        <w:tc>
          <w:tcPr>
            <w:tcW w:w="654" w:type="pct"/>
            <w:tcBorders>
              <w:top w:val="nil"/>
              <w:left w:val="nil"/>
              <w:bottom w:val="single" w:sz="4" w:space="0" w:color="auto"/>
              <w:right w:val="single" w:sz="4" w:space="0" w:color="auto"/>
            </w:tcBorders>
            <w:shd w:val="clear" w:color="auto" w:fill="auto"/>
            <w:noWrap/>
            <w:vAlign w:val="center"/>
          </w:tcPr>
          <w:p w14:paraId="074004B9" w14:textId="77777777" w:rsidR="00BD3989" w:rsidRPr="00092ED7" w:rsidRDefault="00BD3989" w:rsidP="00BD3989">
            <w:pPr>
              <w:spacing w:after="0"/>
              <w:jc w:val="center"/>
              <w:rPr>
                <w:rFonts w:eastAsia="Times New Roman" w:cs="Times New Roman"/>
                <w:sz w:val="20"/>
                <w:szCs w:val="20"/>
                <w:lang w:val="sr-Cyrl-CS" w:eastAsia="en-GB"/>
              </w:rPr>
            </w:pPr>
            <w:r w:rsidRPr="00092ED7">
              <w:rPr>
                <w:rFonts w:eastAsia="Times New Roman" w:cs="Times New Roman"/>
                <w:sz w:val="20"/>
                <w:szCs w:val="20"/>
                <w:lang w:val="sr-Cyrl-CS" w:eastAsia="en-GB"/>
              </w:rPr>
              <w:t>0,8</w:t>
            </w:r>
          </w:p>
        </w:tc>
        <w:tc>
          <w:tcPr>
            <w:tcW w:w="654" w:type="pct"/>
            <w:tcBorders>
              <w:top w:val="nil"/>
              <w:left w:val="nil"/>
              <w:bottom w:val="single" w:sz="4" w:space="0" w:color="auto"/>
              <w:right w:val="single" w:sz="4" w:space="0" w:color="auto"/>
            </w:tcBorders>
            <w:shd w:val="clear" w:color="auto" w:fill="auto"/>
            <w:noWrap/>
            <w:vAlign w:val="center"/>
          </w:tcPr>
          <w:p w14:paraId="3E01ECD2" w14:textId="77777777" w:rsidR="00BD3989" w:rsidRPr="00092ED7" w:rsidRDefault="00BD3989" w:rsidP="00BD3989">
            <w:pPr>
              <w:spacing w:after="0"/>
              <w:jc w:val="center"/>
              <w:rPr>
                <w:rFonts w:eastAsia="Times New Roman" w:cs="Times New Roman"/>
                <w:sz w:val="20"/>
                <w:szCs w:val="20"/>
                <w:lang w:val="sr-Cyrl-CS" w:eastAsia="en-GB"/>
              </w:rPr>
            </w:pPr>
            <w:r w:rsidRPr="00092ED7">
              <w:rPr>
                <w:rFonts w:eastAsia="Times New Roman" w:cs="Times New Roman"/>
                <w:sz w:val="20"/>
                <w:szCs w:val="20"/>
                <w:lang w:val="sr-Cyrl-CS" w:eastAsia="en-GB"/>
              </w:rPr>
              <w:t>0,8</w:t>
            </w:r>
          </w:p>
        </w:tc>
      </w:tr>
      <w:tr w:rsidR="00BD3989" w:rsidRPr="00092ED7" w14:paraId="4606B574" w14:textId="77777777" w:rsidTr="00B94540">
        <w:trPr>
          <w:trHeight w:val="238"/>
        </w:trPr>
        <w:tc>
          <w:tcPr>
            <w:tcW w:w="2384" w:type="pct"/>
            <w:tcBorders>
              <w:top w:val="nil"/>
              <w:left w:val="single" w:sz="4" w:space="0" w:color="auto"/>
              <w:bottom w:val="single" w:sz="4" w:space="0" w:color="auto"/>
              <w:right w:val="single" w:sz="4" w:space="0" w:color="auto"/>
            </w:tcBorders>
            <w:shd w:val="clear" w:color="auto" w:fill="auto"/>
            <w:noWrap/>
            <w:vAlign w:val="center"/>
            <w:hideMark/>
          </w:tcPr>
          <w:p w14:paraId="3E4F2B90" w14:textId="77777777" w:rsidR="00BD3989" w:rsidRPr="00092ED7" w:rsidRDefault="00BD3989" w:rsidP="00BD3989">
            <w:pPr>
              <w:spacing w:after="0"/>
              <w:rPr>
                <w:rFonts w:eastAsia="Times New Roman" w:cs="Times New Roman"/>
                <w:sz w:val="20"/>
                <w:szCs w:val="20"/>
                <w:lang w:val="sr-Cyrl-CS" w:eastAsia="en-GB"/>
              </w:rPr>
            </w:pPr>
            <w:r w:rsidRPr="00092ED7">
              <w:rPr>
                <w:rFonts w:eastAsia="Times New Roman" w:cs="Times New Roman"/>
                <w:sz w:val="20"/>
                <w:szCs w:val="20"/>
                <w:lang w:val="sr-Cyrl-CS" w:eastAsia="en-GB"/>
              </w:rPr>
              <w:t xml:space="preserve">   Бруто инвестиције у основна средства</w:t>
            </w:r>
          </w:p>
        </w:tc>
        <w:tc>
          <w:tcPr>
            <w:tcW w:w="654" w:type="pct"/>
            <w:tcBorders>
              <w:top w:val="nil"/>
              <w:left w:val="nil"/>
              <w:bottom w:val="single" w:sz="4" w:space="0" w:color="auto"/>
              <w:right w:val="single" w:sz="4" w:space="0" w:color="auto"/>
            </w:tcBorders>
            <w:shd w:val="clear" w:color="auto" w:fill="auto"/>
            <w:noWrap/>
            <w:vAlign w:val="center"/>
          </w:tcPr>
          <w:p w14:paraId="7E4717F0" w14:textId="77777777" w:rsidR="00BD3989" w:rsidRPr="00092ED7" w:rsidRDefault="00BD3989" w:rsidP="00BD3989">
            <w:pPr>
              <w:spacing w:after="0"/>
              <w:jc w:val="center"/>
              <w:rPr>
                <w:rFonts w:eastAsia="Times New Roman" w:cs="Times New Roman"/>
                <w:sz w:val="20"/>
                <w:szCs w:val="20"/>
                <w:lang w:val="sr-Cyrl-CS" w:eastAsia="en-GB"/>
              </w:rPr>
            </w:pPr>
            <w:r w:rsidRPr="00092ED7">
              <w:rPr>
                <w:rFonts w:eastAsia="Times New Roman" w:cs="Times New Roman"/>
                <w:sz w:val="20"/>
                <w:szCs w:val="20"/>
                <w:lang w:val="sr-Cyrl-CS" w:eastAsia="en-GB"/>
              </w:rPr>
              <w:t>0,0</w:t>
            </w:r>
          </w:p>
        </w:tc>
        <w:tc>
          <w:tcPr>
            <w:tcW w:w="654" w:type="pct"/>
            <w:tcBorders>
              <w:top w:val="nil"/>
              <w:left w:val="nil"/>
              <w:bottom w:val="single" w:sz="4" w:space="0" w:color="auto"/>
              <w:right w:val="single" w:sz="4" w:space="0" w:color="auto"/>
            </w:tcBorders>
            <w:shd w:val="clear" w:color="auto" w:fill="auto"/>
            <w:noWrap/>
            <w:vAlign w:val="center"/>
          </w:tcPr>
          <w:p w14:paraId="086E5038" w14:textId="77777777" w:rsidR="00BD3989" w:rsidRPr="00092ED7" w:rsidRDefault="00BD3989" w:rsidP="00BD3989">
            <w:pPr>
              <w:spacing w:after="0"/>
              <w:jc w:val="center"/>
              <w:rPr>
                <w:rFonts w:eastAsia="Times New Roman" w:cs="Times New Roman"/>
                <w:sz w:val="20"/>
                <w:szCs w:val="20"/>
                <w:lang w:val="sr-Cyrl-CS" w:eastAsia="en-GB"/>
              </w:rPr>
            </w:pPr>
            <w:r w:rsidRPr="00092ED7">
              <w:rPr>
                <w:rFonts w:eastAsia="Times New Roman" w:cs="Times New Roman"/>
                <w:sz w:val="20"/>
                <w:szCs w:val="20"/>
                <w:lang w:val="sr-Cyrl-CS" w:eastAsia="en-GB"/>
              </w:rPr>
              <w:t>2,4</w:t>
            </w:r>
          </w:p>
        </w:tc>
        <w:tc>
          <w:tcPr>
            <w:tcW w:w="654" w:type="pct"/>
            <w:tcBorders>
              <w:top w:val="nil"/>
              <w:left w:val="nil"/>
              <w:bottom w:val="single" w:sz="4" w:space="0" w:color="auto"/>
              <w:right w:val="single" w:sz="4" w:space="0" w:color="auto"/>
            </w:tcBorders>
            <w:shd w:val="clear" w:color="auto" w:fill="auto"/>
            <w:noWrap/>
            <w:vAlign w:val="center"/>
          </w:tcPr>
          <w:p w14:paraId="0B083BE7" w14:textId="77777777" w:rsidR="00BD3989" w:rsidRPr="00092ED7" w:rsidRDefault="00BD3989" w:rsidP="00BD3989">
            <w:pPr>
              <w:spacing w:after="0"/>
              <w:jc w:val="center"/>
              <w:rPr>
                <w:rFonts w:eastAsia="Times New Roman" w:cs="Times New Roman"/>
                <w:sz w:val="20"/>
                <w:szCs w:val="20"/>
                <w:lang w:val="sr-Cyrl-CS" w:eastAsia="en-GB"/>
              </w:rPr>
            </w:pPr>
            <w:r w:rsidRPr="00092ED7">
              <w:rPr>
                <w:rFonts w:eastAsia="Times New Roman" w:cs="Times New Roman"/>
                <w:sz w:val="20"/>
                <w:szCs w:val="20"/>
                <w:lang w:val="sr-Cyrl-CS" w:eastAsia="en-GB"/>
              </w:rPr>
              <w:t>5,2</w:t>
            </w:r>
          </w:p>
        </w:tc>
        <w:tc>
          <w:tcPr>
            <w:tcW w:w="654" w:type="pct"/>
            <w:tcBorders>
              <w:top w:val="nil"/>
              <w:left w:val="nil"/>
              <w:bottom w:val="single" w:sz="4" w:space="0" w:color="auto"/>
              <w:right w:val="single" w:sz="4" w:space="0" w:color="auto"/>
            </w:tcBorders>
            <w:shd w:val="clear" w:color="auto" w:fill="auto"/>
            <w:noWrap/>
            <w:vAlign w:val="center"/>
          </w:tcPr>
          <w:p w14:paraId="55EED24D" w14:textId="77777777" w:rsidR="00BD3989" w:rsidRPr="00092ED7" w:rsidRDefault="00BD3989" w:rsidP="00BD3989">
            <w:pPr>
              <w:spacing w:after="0"/>
              <w:jc w:val="center"/>
              <w:rPr>
                <w:rFonts w:eastAsia="Times New Roman" w:cs="Times New Roman"/>
                <w:sz w:val="20"/>
                <w:szCs w:val="20"/>
                <w:lang w:val="sr-Cyrl-CS" w:eastAsia="en-GB"/>
              </w:rPr>
            </w:pPr>
            <w:r w:rsidRPr="00092ED7">
              <w:rPr>
                <w:rFonts w:eastAsia="Times New Roman" w:cs="Times New Roman"/>
                <w:sz w:val="20"/>
                <w:szCs w:val="20"/>
                <w:lang w:val="sr-Cyrl-CS" w:eastAsia="en-GB"/>
              </w:rPr>
              <w:t>5,8</w:t>
            </w:r>
          </w:p>
        </w:tc>
      </w:tr>
      <w:tr w:rsidR="00BD3989" w:rsidRPr="00092ED7" w14:paraId="63946518" w14:textId="77777777" w:rsidTr="00B94540">
        <w:trPr>
          <w:trHeight w:val="238"/>
        </w:trPr>
        <w:tc>
          <w:tcPr>
            <w:tcW w:w="2384" w:type="pct"/>
            <w:tcBorders>
              <w:top w:val="nil"/>
              <w:left w:val="single" w:sz="4" w:space="0" w:color="auto"/>
              <w:bottom w:val="single" w:sz="4" w:space="0" w:color="auto"/>
              <w:right w:val="single" w:sz="4" w:space="0" w:color="auto"/>
            </w:tcBorders>
            <w:shd w:val="clear" w:color="auto" w:fill="auto"/>
            <w:noWrap/>
            <w:vAlign w:val="center"/>
            <w:hideMark/>
          </w:tcPr>
          <w:p w14:paraId="0A6C090C" w14:textId="77777777" w:rsidR="00BD3989" w:rsidRPr="00092ED7" w:rsidRDefault="00BD3989" w:rsidP="00BD3989">
            <w:pPr>
              <w:spacing w:after="0"/>
              <w:rPr>
                <w:rFonts w:eastAsia="Times New Roman" w:cs="Times New Roman"/>
                <w:sz w:val="20"/>
                <w:szCs w:val="20"/>
                <w:lang w:val="sr-Cyrl-CS" w:eastAsia="en-GB"/>
              </w:rPr>
            </w:pPr>
            <w:r w:rsidRPr="00092ED7">
              <w:rPr>
                <w:rFonts w:eastAsia="Times New Roman" w:cs="Times New Roman"/>
                <w:sz w:val="20"/>
                <w:szCs w:val="20"/>
                <w:lang w:val="sr-Cyrl-CS" w:eastAsia="en-GB"/>
              </w:rPr>
              <w:t xml:space="preserve">   Извоз робе и услуга</w:t>
            </w:r>
          </w:p>
        </w:tc>
        <w:tc>
          <w:tcPr>
            <w:tcW w:w="654" w:type="pct"/>
            <w:tcBorders>
              <w:top w:val="nil"/>
              <w:left w:val="nil"/>
              <w:bottom w:val="single" w:sz="4" w:space="0" w:color="auto"/>
              <w:right w:val="single" w:sz="4" w:space="0" w:color="auto"/>
            </w:tcBorders>
            <w:shd w:val="clear" w:color="auto" w:fill="auto"/>
            <w:noWrap/>
            <w:vAlign w:val="center"/>
          </w:tcPr>
          <w:p w14:paraId="6DA3C608" w14:textId="77777777" w:rsidR="00BD3989" w:rsidRPr="00092ED7" w:rsidRDefault="00BD3989" w:rsidP="00BD3989">
            <w:pPr>
              <w:spacing w:after="0"/>
              <w:jc w:val="center"/>
              <w:rPr>
                <w:rFonts w:eastAsia="Times New Roman" w:cs="Times New Roman"/>
                <w:sz w:val="20"/>
                <w:szCs w:val="20"/>
                <w:lang w:val="sr-Cyrl-CS" w:eastAsia="en-GB"/>
              </w:rPr>
            </w:pPr>
            <w:r w:rsidRPr="00092ED7">
              <w:rPr>
                <w:rFonts w:eastAsia="Times New Roman" w:cs="Times New Roman"/>
                <w:sz w:val="20"/>
                <w:szCs w:val="20"/>
                <w:lang w:val="sr-Cyrl-CS" w:eastAsia="en-GB"/>
              </w:rPr>
              <w:t>12,3</w:t>
            </w:r>
          </w:p>
        </w:tc>
        <w:tc>
          <w:tcPr>
            <w:tcW w:w="654" w:type="pct"/>
            <w:tcBorders>
              <w:top w:val="nil"/>
              <w:left w:val="nil"/>
              <w:bottom w:val="single" w:sz="4" w:space="0" w:color="auto"/>
              <w:right w:val="single" w:sz="4" w:space="0" w:color="auto"/>
            </w:tcBorders>
            <w:shd w:val="clear" w:color="auto" w:fill="auto"/>
            <w:noWrap/>
            <w:vAlign w:val="center"/>
          </w:tcPr>
          <w:p w14:paraId="3EF11558" w14:textId="77777777" w:rsidR="00BD3989" w:rsidRPr="00092ED7" w:rsidRDefault="00BD3989" w:rsidP="00BD3989">
            <w:pPr>
              <w:spacing w:after="0"/>
              <w:jc w:val="center"/>
              <w:rPr>
                <w:rFonts w:eastAsia="Times New Roman" w:cs="Times New Roman"/>
                <w:sz w:val="20"/>
                <w:szCs w:val="20"/>
                <w:lang w:val="sr-Cyrl-CS" w:eastAsia="en-GB"/>
              </w:rPr>
            </w:pPr>
            <w:r w:rsidRPr="00092ED7">
              <w:rPr>
                <w:rFonts w:eastAsia="Times New Roman" w:cs="Times New Roman"/>
                <w:sz w:val="20"/>
                <w:szCs w:val="20"/>
                <w:lang w:val="sr-Cyrl-CS" w:eastAsia="en-GB"/>
              </w:rPr>
              <w:t>4,9</w:t>
            </w:r>
          </w:p>
        </w:tc>
        <w:tc>
          <w:tcPr>
            <w:tcW w:w="654" w:type="pct"/>
            <w:tcBorders>
              <w:top w:val="nil"/>
              <w:left w:val="nil"/>
              <w:bottom w:val="single" w:sz="4" w:space="0" w:color="auto"/>
              <w:right w:val="single" w:sz="4" w:space="0" w:color="auto"/>
            </w:tcBorders>
            <w:shd w:val="clear" w:color="auto" w:fill="auto"/>
            <w:noWrap/>
            <w:vAlign w:val="center"/>
          </w:tcPr>
          <w:p w14:paraId="41CCB54C" w14:textId="77777777" w:rsidR="00BD3989" w:rsidRPr="00092ED7" w:rsidRDefault="00BD3989" w:rsidP="00BD3989">
            <w:pPr>
              <w:spacing w:after="0"/>
              <w:jc w:val="center"/>
              <w:rPr>
                <w:rFonts w:eastAsia="Times New Roman" w:cs="Times New Roman"/>
                <w:sz w:val="20"/>
                <w:szCs w:val="20"/>
                <w:lang w:val="sr-Cyrl-CS" w:eastAsia="en-GB"/>
              </w:rPr>
            </w:pPr>
            <w:r w:rsidRPr="00092ED7">
              <w:rPr>
                <w:rFonts w:eastAsia="Times New Roman" w:cs="Times New Roman"/>
                <w:sz w:val="20"/>
                <w:szCs w:val="20"/>
                <w:lang w:val="sr-Cyrl-CS" w:eastAsia="en-GB"/>
              </w:rPr>
              <w:t>8,8</w:t>
            </w:r>
          </w:p>
        </w:tc>
        <w:tc>
          <w:tcPr>
            <w:tcW w:w="654" w:type="pct"/>
            <w:tcBorders>
              <w:top w:val="nil"/>
              <w:left w:val="nil"/>
              <w:bottom w:val="single" w:sz="4" w:space="0" w:color="auto"/>
              <w:right w:val="single" w:sz="4" w:space="0" w:color="auto"/>
            </w:tcBorders>
            <w:shd w:val="clear" w:color="auto" w:fill="auto"/>
            <w:noWrap/>
            <w:vAlign w:val="center"/>
          </w:tcPr>
          <w:p w14:paraId="655406C3" w14:textId="77777777" w:rsidR="00BD3989" w:rsidRPr="00092ED7" w:rsidRDefault="00BD3989" w:rsidP="00BD3989">
            <w:pPr>
              <w:spacing w:after="0"/>
              <w:jc w:val="center"/>
              <w:rPr>
                <w:rFonts w:eastAsia="Times New Roman" w:cs="Times New Roman"/>
                <w:sz w:val="20"/>
                <w:szCs w:val="20"/>
                <w:lang w:val="sr-Cyrl-CS" w:eastAsia="en-GB"/>
              </w:rPr>
            </w:pPr>
            <w:r w:rsidRPr="00092ED7">
              <w:rPr>
                <w:rFonts w:eastAsia="Times New Roman" w:cs="Times New Roman"/>
                <w:sz w:val="20"/>
                <w:szCs w:val="20"/>
                <w:lang w:val="sr-Cyrl-CS" w:eastAsia="en-GB"/>
              </w:rPr>
              <w:t>10,6</w:t>
            </w:r>
          </w:p>
        </w:tc>
      </w:tr>
      <w:tr w:rsidR="00BD3989" w:rsidRPr="00092ED7" w14:paraId="22325816" w14:textId="77777777" w:rsidTr="00B94540">
        <w:trPr>
          <w:trHeight w:val="238"/>
        </w:trPr>
        <w:tc>
          <w:tcPr>
            <w:tcW w:w="2384" w:type="pct"/>
            <w:tcBorders>
              <w:top w:val="nil"/>
              <w:left w:val="single" w:sz="4" w:space="0" w:color="auto"/>
              <w:bottom w:val="single" w:sz="4" w:space="0" w:color="auto"/>
              <w:right w:val="single" w:sz="4" w:space="0" w:color="auto"/>
            </w:tcBorders>
            <w:shd w:val="clear" w:color="auto" w:fill="auto"/>
            <w:noWrap/>
            <w:vAlign w:val="center"/>
            <w:hideMark/>
          </w:tcPr>
          <w:p w14:paraId="4EF72608" w14:textId="77777777" w:rsidR="00BD3989" w:rsidRPr="00092ED7" w:rsidRDefault="00BD3989" w:rsidP="00BD3989">
            <w:pPr>
              <w:spacing w:after="0"/>
              <w:rPr>
                <w:rFonts w:eastAsia="Times New Roman" w:cs="Times New Roman"/>
                <w:sz w:val="20"/>
                <w:szCs w:val="20"/>
                <w:lang w:val="sr-Cyrl-CS" w:eastAsia="en-GB"/>
              </w:rPr>
            </w:pPr>
            <w:r w:rsidRPr="00092ED7">
              <w:rPr>
                <w:rFonts w:eastAsia="Times New Roman" w:cs="Times New Roman"/>
                <w:sz w:val="20"/>
                <w:szCs w:val="20"/>
                <w:lang w:val="sr-Cyrl-CS" w:eastAsia="en-GB"/>
              </w:rPr>
              <w:t xml:space="preserve">   Увоз робе и услуга</w:t>
            </w:r>
          </w:p>
        </w:tc>
        <w:tc>
          <w:tcPr>
            <w:tcW w:w="654" w:type="pct"/>
            <w:tcBorders>
              <w:top w:val="nil"/>
              <w:left w:val="nil"/>
              <w:bottom w:val="single" w:sz="4" w:space="0" w:color="auto"/>
              <w:right w:val="single" w:sz="4" w:space="0" w:color="auto"/>
            </w:tcBorders>
            <w:shd w:val="clear" w:color="auto" w:fill="auto"/>
            <w:noWrap/>
            <w:vAlign w:val="center"/>
          </w:tcPr>
          <w:p w14:paraId="7A7AD25A" w14:textId="77777777" w:rsidR="00BD3989" w:rsidRPr="00092ED7" w:rsidRDefault="00BD3989" w:rsidP="00BD3989">
            <w:pPr>
              <w:spacing w:after="0"/>
              <w:jc w:val="center"/>
              <w:rPr>
                <w:rFonts w:eastAsia="Times New Roman" w:cs="Times New Roman"/>
                <w:sz w:val="20"/>
                <w:szCs w:val="20"/>
                <w:lang w:val="sr-Cyrl-CS" w:eastAsia="en-GB"/>
              </w:rPr>
            </w:pPr>
            <w:r w:rsidRPr="00092ED7">
              <w:rPr>
                <w:rFonts w:eastAsia="Times New Roman" w:cs="Times New Roman"/>
                <w:sz w:val="20"/>
                <w:szCs w:val="20"/>
                <w:lang w:val="sr-Cyrl-CS" w:eastAsia="en-GB"/>
              </w:rPr>
              <w:t>12,8</w:t>
            </w:r>
          </w:p>
        </w:tc>
        <w:tc>
          <w:tcPr>
            <w:tcW w:w="654" w:type="pct"/>
            <w:tcBorders>
              <w:top w:val="nil"/>
              <w:left w:val="nil"/>
              <w:bottom w:val="single" w:sz="4" w:space="0" w:color="auto"/>
              <w:right w:val="single" w:sz="4" w:space="0" w:color="auto"/>
            </w:tcBorders>
            <w:shd w:val="clear" w:color="auto" w:fill="auto"/>
            <w:noWrap/>
            <w:vAlign w:val="center"/>
          </w:tcPr>
          <w:p w14:paraId="54E4B18B" w14:textId="77777777" w:rsidR="00BD3989" w:rsidRPr="00092ED7" w:rsidRDefault="00BD3989" w:rsidP="00BD3989">
            <w:pPr>
              <w:spacing w:after="0"/>
              <w:jc w:val="center"/>
              <w:rPr>
                <w:rFonts w:eastAsia="Times New Roman" w:cs="Times New Roman"/>
                <w:sz w:val="20"/>
                <w:szCs w:val="20"/>
                <w:lang w:val="sr-Cyrl-CS" w:eastAsia="en-GB"/>
              </w:rPr>
            </w:pPr>
            <w:r w:rsidRPr="00092ED7">
              <w:rPr>
                <w:rFonts w:eastAsia="Times New Roman" w:cs="Times New Roman"/>
                <w:sz w:val="20"/>
                <w:szCs w:val="20"/>
                <w:lang w:val="sr-Cyrl-CS" w:eastAsia="en-GB"/>
              </w:rPr>
              <w:t>4,0</w:t>
            </w:r>
          </w:p>
        </w:tc>
        <w:tc>
          <w:tcPr>
            <w:tcW w:w="654" w:type="pct"/>
            <w:tcBorders>
              <w:top w:val="nil"/>
              <w:left w:val="nil"/>
              <w:bottom w:val="single" w:sz="4" w:space="0" w:color="auto"/>
              <w:right w:val="single" w:sz="4" w:space="0" w:color="auto"/>
            </w:tcBorders>
            <w:shd w:val="clear" w:color="auto" w:fill="auto"/>
            <w:noWrap/>
            <w:vAlign w:val="center"/>
          </w:tcPr>
          <w:p w14:paraId="647BFC3B" w14:textId="77777777" w:rsidR="00BD3989" w:rsidRPr="00092ED7" w:rsidRDefault="00BD3989" w:rsidP="00BD3989">
            <w:pPr>
              <w:spacing w:after="0"/>
              <w:jc w:val="center"/>
              <w:rPr>
                <w:rFonts w:eastAsia="Times New Roman" w:cs="Times New Roman"/>
                <w:sz w:val="20"/>
                <w:szCs w:val="20"/>
                <w:lang w:val="sr-Cyrl-CS" w:eastAsia="en-GB"/>
              </w:rPr>
            </w:pPr>
            <w:r w:rsidRPr="00092ED7">
              <w:rPr>
                <w:rFonts w:eastAsia="Times New Roman" w:cs="Times New Roman"/>
                <w:sz w:val="20"/>
                <w:szCs w:val="20"/>
                <w:lang w:val="sr-Cyrl-CS" w:eastAsia="en-GB"/>
              </w:rPr>
              <w:t>6,8</w:t>
            </w:r>
          </w:p>
        </w:tc>
        <w:tc>
          <w:tcPr>
            <w:tcW w:w="654" w:type="pct"/>
            <w:tcBorders>
              <w:top w:val="nil"/>
              <w:left w:val="nil"/>
              <w:bottom w:val="single" w:sz="4" w:space="0" w:color="auto"/>
              <w:right w:val="single" w:sz="4" w:space="0" w:color="auto"/>
            </w:tcBorders>
            <w:shd w:val="clear" w:color="auto" w:fill="auto"/>
            <w:noWrap/>
            <w:vAlign w:val="center"/>
          </w:tcPr>
          <w:p w14:paraId="0388625E" w14:textId="77777777" w:rsidR="00BD3989" w:rsidRPr="00092ED7" w:rsidRDefault="00BD3989" w:rsidP="00BD3989">
            <w:pPr>
              <w:spacing w:after="0"/>
              <w:jc w:val="center"/>
              <w:rPr>
                <w:rFonts w:eastAsia="Times New Roman" w:cs="Times New Roman"/>
                <w:sz w:val="20"/>
                <w:szCs w:val="20"/>
                <w:lang w:val="sr-Cyrl-CS" w:eastAsia="en-GB"/>
              </w:rPr>
            </w:pPr>
            <w:r w:rsidRPr="00092ED7">
              <w:rPr>
                <w:rFonts w:eastAsia="Times New Roman" w:cs="Times New Roman"/>
                <w:sz w:val="20"/>
                <w:szCs w:val="20"/>
                <w:lang w:val="sr-Cyrl-CS" w:eastAsia="en-GB"/>
              </w:rPr>
              <w:t>8,8</w:t>
            </w:r>
          </w:p>
        </w:tc>
      </w:tr>
      <w:tr w:rsidR="00BD3989" w:rsidRPr="00092ED7" w14:paraId="471CA0F0" w14:textId="77777777" w:rsidTr="00B94540">
        <w:trPr>
          <w:trHeight w:val="238"/>
        </w:trPr>
        <w:tc>
          <w:tcPr>
            <w:tcW w:w="2384" w:type="pct"/>
            <w:tcBorders>
              <w:top w:val="nil"/>
              <w:left w:val="single" w:sz="4" w:space="0" w:color="auto"/>
              <w:bottom w:val="single" w:sz="4" w:space="0" w:color="auto"/>
              <w:right w:val="single" w:sz="4" w:space="0" w:color="auto"/>
            </w:tcBorders>
            <w:shd w:val="clear" w:color="auto" w:fill="auto"/>
            <w:vAlign w:val="center"/>
            <w:hideMark/>
          </w:tcPr>
          <w:p w14:paraId="006A16B8" w14:textId="77777777" w:rsidR="00BD3989" w:rsidRPr="00092ED7" w:rsidRDefault="00BD3989" w:rsidP="00BD3989">
            <w:pPr>
              <w:spacing w:after="0"/>
              <w:rPr>
                <w:rFonts w:eastAsia="Times New Roman" w:cs="Times New Roman"/>
                <w:sz w:val="20"/>
                <w:szCs w:val="20"/>
                <w:lang w:val="sr-Cyrl-CS" w:eastAsia="en-GB"/>
              </w:rPr>
            </w:pPr>
            <w:r w:rsidRPr="00092ED7">
              <w:rPr>
                <w:rFonts w:eastAsia="Times New Roman" w:cs="Times New Roman"/>
                <w:sz w:val="20"/>
                <w:szCs w:val="20"/>
                <w:lang w:val="sr-Cyrl-CS" w:eastAsia="en-GB"/>
              </w:rPr>
              <w:t>Салдо робе и услуга, у ЕУР, % БДП</w:t>
            </w:r>
          </w:p>
        </w:tc>
        <w:tc>
          <w:tcPr>
            <w:tcW w:w="654" w:type="pct"/>
            <w:tcBorders>
              <w:top w:val="nil"/>
              <w:left w:val="nil"/>
              <w:bottom w:val="single" w:sz="4" w:space="0" w:color="auto"/>
              <w:right w:val="single" w:sz="4" w:space="0" w:color="auto"/>
            </w:tcBorders>
            <w:shd w:val="clear" w:color="auto" w:fill="auto"/>
            <w:noWrap/>
            <w:vAlign w:val="center"/>
          </w:tcPr>
          <w:p w14:paraId="00F63257" w14:textId="77777777" w:rsidR="00BD3989" w:rsidRPr="00092ED7" w:rsidRDefault="00BD3989" w:rsidP="00BD3989">
            <w:pPr>
              <w:spacing w:after="0"/>
              <w:jc w:val="center"/>
              <w:rPr>
                <w:rFonts w:eastAsia="Times New Roman" w:cs="Times New Roman"/>
                <w:sz w:val="20"/>
                <w:szCs w:val="20"/>
                <w:lang w:val="sr-Cyrl-CS" w:eastAsia="en-GB"/>
              </w:rPr>
            </w:pPr>
            <w:r w:rsidRPr="00092ED7">
              <w:rPr>
                <w:rFonts w:eastAsia="Times New Roman" w:cs="Times New Roman"/>
                <w:sz w:val="20"/>
                <w:szCs w:val="20"/>
                <w:lang w:val="sr-Cyrl-CS" w:eastAsia="en-GB"/>
              </w:rPr>
              <w:t>-12,2</w:t>
            </w:r>
          </w:p>
        </w:tc>
        <w:tc>
          <w:tcPr>
            <w:tcW w:w="654" w:type="pct"/>
            <w:tcBorders>
              <w:top w:val="nil"/>
              <w:left w:val="nil"/>
              <w:bottom w:val="single" w:sz="4" w:space="0" w:color="auto"/>
              <w:right w:val="single" w:sz="4" w:space="0" w:color="auto"/>
            </w:tcBorders>
            <w:shd w:val="clear" w:color="auto" w:fill="auto"/>
            <w:noWrap/>
            <w:vAlign w:val="center"/>
          </w:tcPr>
          <w:p w14:paraId="7FF5EE7F" w14:textId="77777777" w:rsidR="00BD3989" w:rsidRPr="00092ED7" w:rsidRDefault="00BD3989" w:rsidP="00BD3989">
            <w:pPr>
              <w:spacing w:after="0"/>
              <w:jc w:val="center"/>
              <w:rPr>
                <w:rFonts w:eastAsia="Times New Roman" w:cs="Times New Roman"/>
                <w:sz w:val="20"/>
                <w:szCs w:val="20"/>
                <w:lang w:val="sr-Cyrl-CS" w:eastAsia="en-GB"/>
              </w:rPr>
            </w:pPr>
            <w:r w:rsidRPr="00092ED7">
              <w:rPr>
                <w:rFonts w:eastAsia="Times New Roman" w:cs="Times New Roman"/>
                <w:sz w:val="20"/>
                <w:szCs w:val="20"/>
                <w:lang w:val="sr-Cyrl-CS" w:eastAsia="en-GB"/>
              </w:rPr>
              <w:t>-10,9</w:t>
            </w:r>
          </w:p>
        </w:tc>
        <w:tc>
          <w:tcPr>
            <w:tcW w:w="654" w:type="pct"/>
            <w:tcBorders>
              <w:top w:val="nil"/>
              <w:left w:val="nil"/>
              <w:bottom w:val="single" w:sz="4" w:space="0" w:color="auto"/>
              <w:right w:val="single" w:sz="4" w:space="0" w:color="auto"/>
            </w:tcBorders>
            <w:shd w:val="clear" w:color="auto" w:fill="auto"/>
            <w:noWrap/>
            <w:vAlign w:val="center"/>
          </w:tcPr>
          <w:p w14:paraId="18CB8100" w14:textId="77777777" w:rsidR="00BD3989" w:rsidRPr="00092ED7" w:rsidRDefault="00BD3989" w:rsidP="00BD3989">
            <w:pPr>
              <w:spacing w:after="0"/>
              <w:jc w:val="center"/>
              <w:rPr>
                <w:rFonts w:eastAsia="Times New Roman" w:cs="Times New Roman"/>
                <w:sz w:val="20"/>
                <w:szCs w:val="20"/>
                <w:lang w:val="sr-Cyrl-CS" w:eastAsia="en-GB"/>
              </w:rPr>
            </w:pPr>
            <w:r w:rsidRPr="00092ED7">
              <w:rPr>
                <w:rFonts w:eastAsia="Times New Roman" w:cs="Times New Roman"/>
                <w:sz w:val="20"/>
                <w:szCs w:val="20"/>
                <w:lang w:val="sr-Cyrl-CS" w:eastAsia="en-GB"/>
              </w:rPr>
              <w:t>-9,4</w:t>
            </w:r>
          </w:p>
        </w:tc>
        <w:tc>
          <w:tcPr>
            <w:tcW w:w="654" w:type="pct"/>
            <w:tcBorders>
              <w:top w:val="nil"/>
              <w:left w:val="nil"/>
              <w:bottom w:val="single" w:sz="4" w:space="0" w:color="auto"/>
              <w:right w:val="single" w:sz="4" w:space="0" w:color="auto"/>
            </w:tcBorders>
            <w:shd w:val="clear" w:color="auto" w:fill="auto"/>
            <w:noWrap/>
            <w:vAlign w:val="center"/>
          </w:tcPr>
          <w:p w14:paraId="522095B8" w14:textId="77777777" w:rsidR="00BD3989" w:rsidRPr="00092ED7" w:rsidRDefault="00BD3989" w:rsidP="00BD3989">
            <w:pPr>
              <w:spacing w:after="0"/>
              <w:jc w:val="center"/>
              <w:rPr>
                <w:rFonts w:eastAsia="Times New Roman" w:cs="Times New Roman"/>
                <w:sz w:val="20"/>
                <w:szCs w:val="20"/>
                <w:lang w:val="sr-Cyrl-CS" w:eastAsia="en-GB"/>
              </w:rPr>
            </w:pPr>
            <w:r w:rsidRPr="00092ED7">
              <w:rPr>
                <w:rFonts w:eastAsia="Times New Roman" w:cs="Times New Roman"/>
                <w:sz w:val="20"/>
                <w:szCs w:val="20"/>
                <w:lang w:val="sr-Cyrl-CS" w:eastAsia="en-GB"/>
              </w:rPr>
              <w:t>-8,4</w:t>
            </w:r>
          </w:p>
        </w:tc>
      </w:tr>
      <w:tr w:rsidR="00BD3989" w:rsidRPr="00092ED7" w14:paraId="707AF607" w14:textId="77777777" w:rsidTr="00B94540">
        <w:trPr>
          <w:trHeight w:val="238"/>
        </w:trPr>
        <w:tc>
          <w:tcPr>
            <w:tcW w:w="2384" w:type="pct"/>
            <w:tcBorders>
              <w:top w:val="nil"/>
              <w:left w:val="single" w:sz="4" w:space="0" w:color="auto"/>
              <w:bottom w:val="single" w:sz="4" w:space="0" w:color="auto"/>
              <w:right w:val="single" w:sz="4" w:space="0" w:color="auto"/>
            </w:tcBorders>
            <w:shd w:val="clear" w:color="auto" w:fill="auto"/>
            <w:vAlign w:val="center"/>
            <w:hideMark/>
          </w:tcPr>
          <w:p w14:paraId="30570303" w14:textId="77777777" w:rsidR="00BD3989" w:rsidRPr="00092ED7" w:rsidRDefault="00BD3989" w:rsidP="00BD3989">
            <w:pPr>
              <w:spacing w:after="0"/>
              <w:rPr>
                <w:rFonts w:eastAsia="Times New Roman" w:cs="Times New Roman"/>
                <w:sz w:val="20"/>
                <w:szCs w:val="20"/>
                <w:lang w:val="sr-Cyrl-CS" w:eastAsia="en-GB"/>
              </w:rPr>
            </w:pPr>
            <w:r w:rsidRPr="00092ED7">
              <w:rPr>
                <w:rFonts w:eastAsia="Times New Roman" w:cs="Times New Roman"/>
                <w:sz w:val="20"/>
                <w:szCs w:val="20"/>
                <w:lang w:val="sr-Cyrl-CS" w:eastAsia="en-GB"/>
              </w:rPr>
              <w:t>Салдо текућег рачуна, у ЕУР, % БДП</w:t>
            </w:r>
          </w:p>
        </w:tc>
        <w:tc>
          <w:tcPr>
            <w:tcW w:w="654" w:type="pct"/>
            <w:tcBorders>
              <w:top w:val="nil"/>
              <w:left w:val="nil"/>
              <w:bottom w:val="single" w:sz="4" w:space="0" w:color="auto"/>
              <w:right w:val="single" w:sz="4" w:space="0" w:color="auto"/>
            </w:tcBorders>
            <w:shd w:val="clear" w:color="auto" w:fill="auto"/>
            <w:noWrap/>
            <w:vAlign w:val="center"/>
          </w:tcPr>
          <w:p w14:paraId="151B4C2E" w14:textId="77777777" w:rsidR="00BD3989" w:rsidRPr="00092ED7" w:rsidRDefault="00BD3989" w:rsidP="00BD3989">
            <w:pPr>
              <w:spacing w:after="0"/>
              <w:jc w:val="center"/>
              <w:rPr>
                <w:rFonts w:eastAsia="Times New Roman" w:cs="Times New Roman"/>
                <w:sz w:val="20"/>
                <w:szCs w:val="20"/>
                <w:lang w:val="sr-Cyrl-CS" w:eastAsia="en-GB"/>
              </w:rPr>
            </w:pPr>
            <w:r w:rsidRPr="00092ED7">
              <w:rPr>
                <w:rFonts w:eastAsia="Times New Roman" w:cs="Times New Roman"/>
                <w:sz w:val="20"/>
                <w:szCs w:val="20"/>
                <w:lang w:val="sr-Cyrl-CS" w:eastAsia="en-GB"/>
              </w:rPr>
              <w:t>-9,0</w:t>
            </w:r>
          </w:p>
        </w:tc>
        <w:tc>
          <w:tcPr>
            <w:tcW w:w="654" w:type="pct"/>
            <w:tcBorders>
              <w:top w:val="nil"/>
              <w:left w:val="nil"/>
              <w:bottom w:val="single" w:sz="4" w:space="0" w:color="auto"/>
              <w:right w:val="single" w:sz="4" w:space="0" w:color="auto"/>
            </w:tcBorders>
            <w:shd w:val="clear" w:color="auto" w:fill="auto"/>
            <w:noWrap/>
            <w:vAlign w:val="center"/>
          </w:tcPr>
          <w:p w14:paraId="53463C21" w14:textId="77777777" w:rsidR="00BD3989" w:rsidRPr="00092ED7" w:rsidRDefault="00BD3989" w:rsidP="00BD3989">
            <w:pPr>
              <w:spacing w:after="0"/>
              <w:jc w:val="center"/>
              <w:rPr>
                <w:rFonts w:eastAsia="Times New Roman" w:cs="Times New Roman"/>
                <w:sz w:val="20"/>
                <w:szCs w:val="20"/>
                <w:lang w:val="sr-Cyrl-CS" w:eastAsia="en-GB"/>
              </w:rPr>
            </w:pPr>
            <w:r w:rsidRPr="00092ED7">
              <w:rPr>
                <w:rFonts w:eastAsia="Times New Roman" w:cs="Times New Roman"/>
                <w:sz w:val="20"/>
                <w:szCs w:val="20"/>
                <w:lang w:val="sr-Cyrl-CS" w:eastAsia="en-GB"/>
              </w:rPr>
              <w:t>-8,5</w:t>
            </w:r>
          </w:p>
        </w:tc>
        <w:tc>
          <w:tcPr>
            <w:tcW w:w="654" w:type="pct"/>
            <w:tcBorders>
              <w:top w:val="nil"/>
              <w:left w:val="nil"/>
              <w:bottom w:val="single" w:sz="4" w:space="0" w:color="auto"/>
              <w:right w:val="single" w:sz="4" w:space="0" w:color="auto"/>
            </w:tcBorders>
            <w:shd w:val="clear" w:color="auto" w:fill="auto"/>
            <w:noWrap/>
            <w:vAlign w:val="center"/>
          </w:tcPr>
          <w:p w14:paraId="487D9967" w14:textId="77777777" w:rsidR="00BD3989" w:rsidRPr="00092ED7" w:rsidRDefault="00BD3989" w:rsidP="00BD3989">
            <w:pPr>
              <w:spacing w:after="0"/>
              <w:jc w:val="center"/>
              <w:rPr>
                <w:rFonts w:eastAsia="Times New Roman" w:cs="Times New Roman"/>
                <w:sz w:val="20"/>
                <w:szCs w:val="20"/>
                <w:lang w:val="sr-Cyrl-CS" w:eastAsia="en-GB"/>
              </w:rPr>
            </w:pPr>
            <w:r w:rsidRPr="00092ED7">
              <w:rPr>
                <w:rFonts w:eastAsia="Times New Roman" w:cs="Times New Roman"/>
                <w:sz w:val="20"/>
                <w:szCs w:val="20"/>
                <w:lang w:val="sr-Cyrl-CS" w:eastAsia="en-GB"/>
              </w:rPr>
              <w:t>-6,7</w:t>
            </w:r>
          </w:p>
        </w:tc>
        <w:tc>
          <w:tcPr>
            <w:tcW w:w="654" w:type="pct"/>
            <w:tcBorders>
              <w:top w:val="nil"/>
              <w:left w:val="nil"/>
              <w:bottom w:val="single" w:sz="4" w:space="0" w:color="auto"/>
              <w:right w:val="single" w:sz="4" w:space="0" w:color="auto"/>
            </w:tcBorders>
            <w:shd w:val="clear" w:color="auto" w:fill="auto"/>
            <w:noWrap/>
            <w:vAlign w:val="center"/>
          </w:tcPr>
          <w:p w14:paraId="1572CEF9" w14:textId="77777777" w:rsidR="00BD3989" w:rsidRPr="00092ED7" w:rsidRDefault="00BD3989" w:rsidP="00BD3989">
            <w:pPr>
              <w:spacing w:after="0"/>
              <w:jc w:val="center"/>
              <w:rPr>
                <w:rFonts w:eastAsia="Times New Roman" w:cs="Times New Roman"/>
                <w:sz w:val="20"/>
                <w:szCs w:val="20"/>
                <w:lang w:val="sr-Cyrl-CS" w:eastAsia="en-GB"/>
              </w:rPr>
            </w:pPr>
            <w:r w:rsidRPr="00092ED7">
              <w:rPr>
                <w:rFonts w:eastAsia="Times New Roman" w:cs="Times New Roman"/>
                <w:sz w:val="20"/>
                <w:szCs w:val="20"/>
                <w:lang w:val="sr-Cyrl-CS" w:eastAsia="en-GB"/>
              </w:rPr>
              <w:t>-6,0</w:t>
            </w:r>
          </w:p>
        </w:tc>
      </w:tr>
      <w:tr w:rsidR="00BD3989" w:rsidRPr="00092ED7" w14:paraId="7815D1DF" w14:textId="77777777" w:rsidTr="00B94540">
        <w:trPr>
          <w:trHeight w:val="238"/>
        </w:trPr>
        <w:tc>
          <w:tcPr>
            <w:tcW w:w="2384" w:type="pct"/>
            <w:tcBorders>
              <w:top w:val="nil"/>
              <w:left w:val="single" w:sz="4" w:space="0" w:color="auto"/>
              <w:bottom w:val="single" w:sz="4" w:space="0" w:color="auto"/>
              <w:right w:val="single" w:sz="4" w:space="0" w:color="auto"/>
            </w:tcBorders>
            <w:shd w:val="clear" w:color="auto" w:fill="auto"/>
            <w:noWrap/>
            <w:vAlign w:val="center"/>
            <w:hideMark/>
          </w:tcPr>
          <w:p w14:paraId="383D6700" w14:textId="77777777" w:rsidR="00BD3989" w:rsidRPr="00092ED7" w:rsidRDefault="00BD3989" w:rsidP="00BD3989">
            <w:pPr>
              <w:spacing w:after="0"/>
              <w:rPr>
                <w:rFonts w:eastAsia="Times New Roman" w:cs="Times New Roman"/>
                <w:sz w:val="20"/>
                <w:szCs w:val="20"/>
                <w:lang w:val="sr-Cyrl-CS" w:eastAsia="en-GB"/>
              </w:rPr>
            </w:pPr>
            <w:r w:rsidRPr="00092ED7">
              <w:rPr>
                <w:rFonts w:eastAsia="Times New Roman" w:cs="Times New Roman"/>
                <w:sz w:val="20"/>
                <w:szCs w:val="20"/>
                <w:lang w:val="sr-Cyrl-CS" w:eastAsia="en-GB"/>
              </w:rPr>
              <w:t>Инфлација, просек периода, %</w:t>
            </w:r>
          </w:p>
        </w:tc>
        <w:tc>
          <w:tcPr>
            <w:tcW w:w="654" w:type="pct"/>
            <w:tcBorders>
              <w:top w:val="nil"/>
              <w:left w:val="nil"/>
              <w:bottom w:val="single" w:sz="4" w:space="0" w:color="auto"/>
              <w:right w:val="single" w:sz="4" w:space="0" w:color="auto"/>
            </w:tcBorders>
            <w:shd w:val="clear" w:color="auto" w:fill="auto"/>
            <w:noWrap/>
            <w:vAlign w:val="center"/>
          </w:tcPr>
          <w:p w14:paraId="26A5399A" w14:textId="3ED41182" w:rsidR="00BD3989" w:rsidRPr="00092ED7" w:rsidRDefault="00E95AB9" w:rsidP="00BD3989">
            <w:pPr>
              <w:spacing w:after="0"/>
              <w:jc w:val="center"/>
              <w:rPr>
                <w:rFonts w:eastAsia="Times New Roman" w:cs="Times New Roman"/>
                <w:sz w:val="20"/>
                <w:szCs w:val="20"/>
                <w:lang w:val="sr-Cyrl-CS" w:eastAsia="en-GB"/>
              </w:rPr>
            </w:pPr>
            <w:r w:rsidRPr="00092ED7">
              <w:rPr>
                <w:rFonts w:eastAsia="Times New Roman" w:cs="Times New Roman"/>
                <w:sz w:val="20"/>
                <w:szCs w:val="20"/>
                <w:lang w:val="sr-Cyrl-CS" w:eastAsia="en-GB"/>
              </w:rPr>
              <w:t>12,0</w:t>
            </w:r>
          </w:p>
        </w:tc>
        <w:tc>
          <w:tcPr>
            <w:tcW w:w="654" w:type="pct"/>
            <w:tcBorders>
              <w:top w:val="nil"/>
              <w:left w:val="nil"/>
              <w:bottom w:val="single" w:sz="4" w:space="0" w:color="auto"/>
              <w:right w:val="single" w:sz="4" w:space="0" w:color="auto"/>
            </w:tcBorders>
            <w:shd w:val="clear" w:color="auto" w:fill="auto"/>
            <w:noWrap/>
            <w:vAlign w:val="center"/>
          </w:tcPr>
          <w:p w14:paraId="2B9F912E" w14:textId="68B070E8" w:rsidR="00BD3989" w:rsidRPr="00092ED7" w:rsidRDefault="00E95AB9" w:rsidP="00BD3989">
            <w:pPr>
              <w:spacing w:after="0"/>
              <w:jc w:val="center"/>
              <w:rPr>
                <w:rFonts w:eastAsia="Times New Roman" w:cs="Times New Roman"/>
                <w:sz w:val="20"/>
                <w:szCs w:val="20"/>
                <w:lang w:val="sr-Cyrl-CS" w:eastAsia="en-GB"/>
              </w:rPr>
            </w:pPr>
            <w:r w:rsidRPr="00092ED7">
              <w:rPr>
                <w:rFonts w:eastAsia="Times New Roman" w:cs="Times New Roman"/>
                <w:sz w:val="20"/>
                <w:szCs w:val="20"/>
                <w:lang w:val="sr-Cyrl-CS" w:eastAsia="en-GB"/>
              </w:rPr>
              <w:t>12,5</w:t>
            </w:r>
          </w:p>
        </w:tc>
        <w:tc>
          <w:tcPr>
            <w:tcW w:w="654" w:type="pct"/>
            <w:tcBorders>
              <w:top w:val="nil"/>
              <w:left w:val="nil"/>
              <w:bottom w:val="single" w:sz="4" w:space="0" w:color="auto"/>
              <w:right w:val="single" w:sz="4" w:space="0" w:color="auto"/>
            </w:tcBorders>
            <w:shd w:val="clear" w:color="auto" w:fill="auto"/>
            <w:noWrap/>
            <w:vAlign w:val="center"/>
          </w:tcPr>
          <w:p w14:paraId="23914916" w14:textId="53E85576" w:rsidR="00BD3989" w:rsidRPr="00092ED7" w:rsidRDefault="00E95AB9" w:rsidP="00BD3989">
            <w:pPr>
              <w:spacing w:after="0"/>
              <w:jc w:val="center"/>
              <w:rPr>
                <w:rFonts w:eastAsia="Times New Roman" w:cs="Times New Roman"/>
                <w:sz w:val="20"/>
                <w:szCs w:val="20"/>
                <w:lang w:val="sr-Cyrl-CS" w:eastAsia="en-GB"/>
              </w:rPr>
            </w:pPr>
            <w:r w:rsidRPr="00092ED7">
              <w:rPr>
                <w:rFonts w:eastAsia="Times New Roman" w:cs="Times New Roman"/>
                <w:sz w:val="20"/>
                <w:szCs w:val="20"/>
                <w:lang w:val="sr-Cyrl-CS" w:eastAsia="en-GB"/>
              </w:rPr>
              <w:t>5,3</w:t>
            </w:r>
          </w:p>
        </w:tc>
        <w:tc>
          <w:tcPr>
            <w:tcW w:w="654" w:type="pct"/>
            <w:tcBorders>
              <w:top w:val="nil"/>
              <w:left w:val="nil"/>
              <w:bottom w:val="single" w:sz="4" w:space="0" w:color="auto"/>
              <w:right w:val="single" w:sz="4" w:space="0" w:color="auto"/>
            </w:tcBorders>
            <w:shd w:val="clear" w:color="auto" w:fill="auto"/>
            <w:noWrap/>
            <w:vAlign w:val="center"/>
          </w:tcPr>
          <w:p w14:paraId="17AD8D63" w14:textId="13238043" w:rsidR="00BD3989" w:rsidRPr="00092ED7" w:rsidRDefault="00E95AB9" w:rsidP="00BD3989">
            <w:pPr>
              <w:spacing w:after="0"/>
              <w:jc w:val="center"/>
              <w:rPr>
                <w:rFonts w:eastAsia="Times New Roman" w:cs="Times New Roman"/>
                <w:sz w:val="20"/>
                <w:szCs w:val="20"/>
                <w:lang w:val="sr-Cyrl-CS" w:eastAsia="en-GB"/>
              </w:rPr>
            </w:pPr>
            <w:r w:rsidRPr="00092ED7">
              <w:rPr>
                <w:rFonts w:eastAsia="Times New Roman" w:cs="Times New Roman"/>
                <w:sz w:val="20"/>
                <w:szCs w:val="20"/>
                <w:lang w:val="sr-Cyrl-CS" w:eastAsia="en-GB"/>
              </w:rPr>
              <w:t>3,0</w:t>
            </w:r>
          </w:p>
        </w:tc>
      </w:tr>
    </w:tbl>
    <w:p w14:paraId="78216014" w14:textId="77777777" w:rsidR="00BD3989" w:rsidRPr="00092ED7" w:rsidRDefault="00BD3989" w:rsidP="00BD3989">
      <w:pPr>
        <w:spacing w:before="40"/>
        <w:rPr>
          <w:rFonts w:eastAsia="Calibri" w:cs="Times New Roman"/>
          <w:bCs/>
          <w:sz w:val="18"/>
          <w:szCs w:val="18"/>
          <w:lang w:val="sr-Cyrl-CS"/>
        </w:rPr>
      </w:pPr>
      <w:r w:rsidRPr="00092ED7">
        <w:rPr>
          <w:rFonts w:eastAsia="Calibri" w:cs="Times New Roman"/>
          <w:bCs/>
          <w:sz w:val="18"/>
          <w:szCs w:val="18"/>
          <w:lang w:val="sr-Cyrl-CS"/>
        </w:rPr>
        <w:t>Извор: Министарство финансија</w:t>
      </w:r>
    </w:p>
    <w:p w14:paraId="336FDA13" w14:textId="77777777" w:rsidR="00BD3989" w:rsidRPr="00092ED7" w:rsidRDefault="00BD3989" w:rsidP="00BD3989">
      <w:pPr>
        <w:spacing w:after="60"/>
        <w:rPr>
          <w:rFonts w:eastAsia="Calibri" w:cs="Times New Roman"/>
          <w:bCs/>
          <w:szCs w:val="24"/>
          <w:lang w:val="sr-Cyrl-CS"/>
        </w:rPr>
      </w:pPr>
      <w:r w:rsidRPr="00092ED7">
        <w:rPr>
          <w:rFonts w:eastAsia="Calibri" w:cs="Times New Roman"/>
          <w:bCs/>
          <w:szCs w:val="24"/>
          <w:lang w:val="sr-Cyrl-CS"/>
        </w:rPr>
        <w:t>Посматрано на страни понуде, услужни сектор и индустрија ће задржати улогу доминантних извора раста и повећавати креирану БДВ са просечним годишњим растом од 3,5% и 3,4%, респективно. Позитиван допринос ће доћи и од повећања грађевинске активности који ће у просеку износити 4,0%. Достизање европских стандарда и подизање конкурентности у пољопривреди, смањиће варијабилност производње овог сектора изазвану агрометеоролошким условима.</w:t>
      </w:r>
    </w:p>
    <w:p w14:paraId="650DD9A6" w14:textId="77777777" w:rsidR="00BD3989" w:rsidRPr="00092ED7" w:rsidRDefault="00BD3989" w:rsidP="00BD3989">
      <w:pPr>
        <w:spacing w:before="120" w:after="60"/>
        <w:rPr>
          <w:rFonts w:eastAsia="Calibri" w:cs="Times New Roman"/>
          <w:bCs/>
          <w:szCs w:val="24"/>
          <w:lang w:val="sr-Cyrl-CS"/>
        </w:rPr>
      </w:pPr>
      <w:r w:rsidRPr="00092ED7">
        <w:rPr>
          <w:rFonts w:eastAsia="Calibri" w:cs="Times New Roman"/>
          <w:bCs/>
          <w:szCs w:val="24"/>
          <w:lang w:val="sr-Cyrl-CS"/>
        </w:rPr>
        <w:t>Графикон 1. Доприноси стопи реалног раста БДП, производни и расходни приступ, п.п.</w:t>
      </w:r>
    </w:p>
    <w:p w14:paraId="5F63B1D5" w14:textId="77777777" w:rsidR="00BD3989" w:rsidRPr="00092ED7" w:rsidRDefault="00BD3989" w:rsidP="00BD3989">
      <w:pPr>
        <w:spacing w:after="0"/>
        <w:rPr>
          <w:rFonts w:eastAsia="Calibri" w:cs="Times New Roman"/>
          <w:bCs/>
          <w:szCs w:val="24"/>
          <w:lang w:val="sr-Cyrl-CS"/>
        </w:rPr>
      </w:pPr>
      <w:r w:rsidRPr="00092ED7">
        <w:rPr>
          <w:noProof/>
        </w:rPr>
        <w:lastRenderedPageBreak/>
        <w:drawing>
          <wp:inline distT="0" distB="0" distL="0" distR="0" wp14:anchorId="3432C13E" wp14:editId="1A2C24BE">
            <wp:extent cx="2743200" cy="2165299"/>
            <wp:effectExtent l="0" t="0" r="0" b="6985"/>
            <wp:docPr id="41" name="Chart 41">
              <a:extLst xmlns:a="http://schemas.openxmlformats.org/drawingml/2006/main">
                <a:ext uri="{FF2B5EF4-FFF2-40B4-BE49-F238E27FC236}">
                  <a16:creationId xmlns:a16="http://schemas.microsoft.com/office/drawing/2014/main" id="{00000000-0008-0000-0A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r w:rsidRPr="00092ED7">
        <w:rPr>
          <w:rFonts w:eastAsia="Calibri" w:cs="Times New Roman"/>
          <w:bCs/>
          <w:szCs w:val="24"/>
          <w:lang w:val="sr-Cyrl-CS"/>
        </w:rPr>
        <w:t xml:space="preserve">      </w:t>
      </w:r>
      <w:r w:rsidRPr="00092ED7">
        <w:rPr>
          <w:noProof/>
        </w:rPr>
        <w:drawing>
          <wp:inline distT="0" distB="0" distL="0" distR="0" wp14:anchorId="2A8A4FDC" wp14:editId="172685AA">
            <wp:extent cx="2743200" cy="2129399"/>
            <wp:effectExtent l="0" t="0" r="0" b="4445"/>
            <wp:docPr id="40" name="Chart 40">
              <a:extLst xmlns:a="http://schemas.openxmlformats.org/drawingml/2006/main">
                <a:ext uri="{FF2B5EF4-FFF2-40B4-BE49-F238E27FC236}">
                  <a16:creationId xmlns:a16="http://schemas.microsoft.com/office/drawing/2014/main" id="{00000000-0008-0000-0A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0EAA343D" w14:textId="53FC4F7F" w:rsidR="00417530" w:rsidRPr="00092ED7" w:rsidRDefault="00BD3989" w:rsidP="00417530">
      <w:pPr>
        <w:rPr>
          <w:lang w:val="sr-Cyrl-CS"/>
        </w:rPr>
      </w:pPr>
      <w:r w:rsidRPr="00092ED7">
        <w:rPr>
          <w:lang w:val="sr-Cyrl-CS"/>
        </w:rPr>
        <w:t>Влада и овим трогодишњим сценариом остаје посвећена очувању модела привредног раста који се заснива на инвестицијама и извозу, а који је подржан растом приватне потрошње на реалним и здравим изворима. Убрзање свих административних процедура, пореско растерећење привреде са циљем подизања њене конкурентности, потписивање споразума којима се обезбеђује очување постојећих и отварање нових ино тржишта, интензивније и ефикасније извођење инфраструктурних радова, очување енергетске стабилности и реализација пројеката из зелене агенде само су неке од мера које треба да обезбеде здраве фундаменте за раст БДП у условима растућих геополитичких тензија. Дигитална трансформација и изградња дигиталног екосистема остаје стратешка оријентација Владе. Ефикаснији рад државне администрације, скраћивање процедура становништву и привреди са фокусом на дигитализацију убрзаће конвергенцију наше привреде ка развијеним земљама. Нови систем фискализације и измене царинских прописа, смањује учешће сиве економије у укупним привредним токовима обезбеђујући повољан привредни амбијент. Механизам подстицаја СДИ и даље ће имати за циљ њихову секторску и регионалну дисперзију како би биле обезбеђене претпоставке равномерног развоја и пуне искоришћености компаративних предности.</w:t>
      </w:r>
      <w:r w:rsidR="00417530" w:rsidRPr="00092ED7">
        <w:rPr>
          <w:lang w:val="sr-Cyrl-CS"/>
        </w:rPr>
        <w:t xml:space="preserve"> Процењује се да ће следећих пет структурних реформи из ЕРП 2023-2025 посебно допринети привредном расту заснованом на знању и иновацијама</w:t>
      </w:r>
      <w:r w:rsidR="00862CE4" w:rsidRPr="00092ED7">
        <w:rPr>
          <w:lang w:val="sr-Cyrl-CS"/>
        </w:rPr>
        <w:t>, и то:</w:t>
      </w:r>
      <w:r w:rsidR="00417530" w:rsidRPr="00092ED7">
        <w:rPr>
          <w:lang w:val="sr-Cyrl-CS"/>
        </w:rPr>
        <w:t>  3. Квалификације оријентисане према потребама тржишта рада, 14. Успостављање инфраструктуре и окружења за креирање и примену иновативних ИТ решења, 15. Подршка развоју талената и креативних индустрија оснивањем мултифункционалног иновативно-креативног центра Ложионица, 16. Развој стартап екосистема и 17. Стварање услова за развој бионаука и биоекономије кроз изградњу БИО4 Кампуса.</w:t>
      </w:r>
    </w:p>
    <w:p w14:paraId="32A2C54E" w14:textId="77777777" w:rsidR="00BD3989" w:rsidRPr="00092ED7" w:rsidRDefault="00BD3989" w:rsidP="00BD3989">
      <w:pPr>
        <w:spacing w:before="120" w:after="60"/>
        <w:rPr>
          <w:rFonts w:eastAsia="Calibri" w:cs="Times New Roman"/>
          <w:bCs/>
          <w:szCs w:val="24"/>
          <w:lang w:val="sr-Cyrl-CS"/>
        </w:rPr>
      </w:pPr>
      <w:r w:rsidRPr="00092ED7">
        <w:rPr>
          <w:rFonts w:eastAsia="Calibri" w:cs="Times New Roman"/>
          <w:bCs/>
          <w:szCs w:val="24"/>
          <w:lang w:val="sr-Cyrl-CS"/>
        </w:rPr>
        <w:t>Графикон 2. Доприноси фактора производње потенцијалној стопи раста</w:t>
      </w:r>
    </w:p>
    <w:p w14:paraId="2977FD35" w14:textId="77777777" w:rsidR="00BD3989" w:rsidRPr="00092ED7" w:rsidRDefault="00BD3989" w:rsidP="00BD3989">
      <w:pPr>
        <w:spacing w:after="0"/>
        <w:rPr>
          <w:lang w:val="sr-Cyrl-CS"/>
        </w:rPr>
      </w:pPr>
      <w:r w:rsidRPr="00092ED7">
        <w:rPr>
          <w:noProof/>
        </w:rPr>
        <w:lastRenderedPageBreak/>
        <w:drawing>
          <wp:inline distT="0" distB="0" distL="0" distR="0" wp14:anchorId="3BE27CF6" wp14:editId="7AE0B7AA">
            <wp:extent cx="5539105" cy="2637692"/>
            <wp:effectExtent l="0" t="0" r="4445" b="0"/>
            <wp:docPr id="45" name="Chart 45">
              <a:extLst xmlns:a="http://schemas.openxmlformats.org/drawingml/2006/main">
                <a:ext uri="{FF2B5EF4-FFF2-40B4-BE49-F238E27FC236}">
                  <a16:creationId xmlns:a16="http://schemas.microsoft.com/office/drawing/2014/main" id="{00000000-0008-0000-0D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7B3992BF" w14:textId="1182AE14" w:rsidR="00BD3989" w:rsidRPr="00092ED7" w:rsidRDefault="00BD3989" w:rsidP="00BD3989">
      <w:pPr>
        <w:spacing w:before="120" w:after="60"/>
        <w:rPr>
          <w:rFonts w:eastAsia="Calibri" w:cs="Times New Roman"/>
          <w:bCs/>
          <w:szCs w:val="24"/>
          <w:lang w:val="sr-Cyrl-CS"/>
        </w:rPr>
      </w:pPr>
      <w:r w:rsidRPr="00092ED7">
        <w:rPr>
          <w:rFonts w:eastAsia="Calibri" w:cs="Times New Roman"/>
          <w:bCs/>
          <w:szCs w:val="24"/>
          <w:lang w:val="sr-Cyrl-CS"/>
        </w:rPr>
        <w:t>Према централном сценарију, у средњорочном периоду очекује се наставак раста потенцијалног БДП, али споријом динамиком него у претходној пројекцији</w:t>
      </w:r>
      <w:r w:rsidR="00862CE4" w:rsidRPr="00092ED7">
        <w:rPr>
          <w:rFonts w:eastAsia="Calibri" w:cs="Times New Roman"/>
          <w:bCs/>
          <w:szCs w:val="24"/>
          <w:lang w:val="sr-Cyrl-CS"/>
        </w:rPr>
        <w:t>,</w:t>
      </w:r>
      <w:r w:rsidRPr="00092ED7">
        <w:rPr>
          <w:rFonts w:eastAsia="Calibri" w:cs="Times New Roman"/>
          <w:bCs/>
          <w:szCs w:val="24"/>
          <w:lang w:val="sr-Cyrl-CS"/>
        </w:rPr>
        <w:t xml:space="preserve"> као последица фактора из међународног окружења. Потенцијални БДП у периоду </w:t>
      </w:r>
      <w:r w:rsidR="00862CE4" w:rsidRPr="00092ED7">
        <w:rPr>
          <w:rFonts w:eastAsia="Calibri" w:cs="Times New Roman"/>
          <w:bCs/>
          <w:szCs w:val="24"/>
          <w:lang w:val="sr-Cyrl-CS"/>
        </w:rPr>
        <w:t xml:space="preserve">од </w:t>
      </w:r>
      <w:r w:rsidRPr="00092ED7">
        <w:rPr>
          <w:rFonts w:eastAsia="Calibri" w:cs="Times New Roman"/>
          <w:bCs/>
          <w:szCs w:val="24"/>
          <w:lang w:val="sr-Cyrl-CS"/>
        </w:rPr>
        <w:t xml:space="preserve">2023–2025. </w:t>
      </w:r>
      <w:r w:rsidR="00862CE4" w:rsidRPr="00092ED7">
        <w:rPr>
          <w:rFonts w:eastAsia="Calibri" w:cs="Times New Roman"/>
          <w:bCs/>
          <w:szCs w:val="24"/>
          <w:lang w:val="sr-Cyrl-CS"/>
        </w:rPr>
        <w:t xml:space="preserve">године </w:t>
      </w:r>
      <w:r w:rsidRPr="00092ED7">
        <w:rPr>
          <w:rFonts w:eastAsia="Calibri" w:cs="Times New Roman"/>
          <w:bCs/>
          <w:szCs w:val="24"/>
          <w:lang w:val="sr-Cyrl-CS"/>
        </w:rPr>
        <w:t>ће се постепено повећавати по просечној стопи од 3,7%. Реализације капиталних пројеката и наставак започетог инвестиционог циклуса подржани, како стабилним приливом СДИ, тако и домаћим иновативним активностима, обезбедиће све снажнији допринос капитала и факторске продуктивности расту потенцијалног БДП. Дигитализација ће значајно убрзати ове процесе и додатно подићи ефикасност искоришћености расположивих капацитета. Влада ће кроз значајна планирана улагања у енергетску инфраструктуру додатно утицати на подизање потенцијала привреде. Адекватна и синхронизована монетарна политика, даља унапређења финансијског система, подизање кредибилитета и атрактивности код инвеститора, трансфер знања и технологија из најразвијенијих земаља треба да обезбеде позитиван утицај на оба фактора производње. Са друге стране, јачање владавине закона, реформа законодавства из области привреде и пословања, убрзање процедура и подизање ефикасности администрације треба да обезбеде максимизацију факторске продуктивности у средњем року. Повољна кретања на тржишту рада ће такође допринети расту потенцијалног БДП.</w:t>
      </w:r>
    </w:p>
    <w:p w14:paraId="6ABFA7F0" w14:textId="50F5A526" w:rsidR="00BD3989" w:rsidRPr="00092ED7" w:rsidRDefault="00BD3989" w:rsidP="00BD3989">
      <w:pPr>
        <w:spacing w:after="60"/>
        <w:rPr>
          <w:lang w:val="sr-Cyrl-CS"/>
        </w:rPr>
      </w:pPr>
      <w:r w:rsidRPr="00092ED7">
        <w:rPr>
          <w:b/>
          <w:lang w:val="sr-Cyrl-CS"/>
        </w:rPr>
        <w:t>Тржиште рада.</w:t>
      </w:r>
      <w:r w:rsidRPr="00092ED7">
        <w:rPr>
          <w:lang w:val="sr-Cyrl-CS"/>
        </w:rPr>
        <w:t xml:space="preserve"> Очекује се да ће тржиште рада задржати позитивну трајекторију развоја, али по споријој динамици, пре свега услед слабијег раста привредне активности, а као последица великих неизвесности због сукоба у Украјини. Поред наведеног, позитивна очекивања су резултат континуираног рада на побољшању услова рада, унапређивању институција тржишта рада, подстицању запошљавања и укључивања на тржиште рада теже запошљивих лица, као и подршке регионалној и локалној политици запошљавања. Такође, континуирано се ради на унапређивању радне снаге у погледу квалитета, као и на улагању у људски капитал, све у циљу лакшег општег запошљавања, а нарочито у оном делу привреде који има већу додату вредност. Досадашњу успешност ових мера потврђују подаци о порасту броја запослених у периоду од 2014. до 2021. године у сектору ИКТ за 31.112 и научно-техничким делатностима за 26.389 лица. Наставиће се са политикама које имају за циљ смањивање броја запослених у сивој зони и њихово превођење у контингент формално запослених, чиме би њихови услови рада били побољшани, а позитиван ефекат би се одразио и на приходе буџета. У средњорочном периоду очекују се позитивни резултати активних мера обука, преквалификација и подршке социјалном предузетништву, чиме ће се олакшати доступност радних места социјално рањивим категоријама друштва и тиме додатно обезбедити инклузивност </w:t>
      </w:r>
      <w:r w:rsidRPr="00092ED7">
        <w:rPr>
          <w:lang w:val="sr-Cyrl-CS"/>
        </w:rPr>
        <w:lastRenderedPageBreak/>
        <w:t>привредног раста. Такође, планирано је повећање обухвата образовања базирано на дуалном моделу. Узимајући у обзир све наведено у средњем року се пројектује смањивање стопе незапослености и раст зарада, али под утицајем тренутних геополитичких неизвесности изазваних кризом у Украјини, очекује се да то буде по успоренијој динамици. Ради економске одрживости, раст зарада треба да буде заснован на расту продуктивности. Раст зарада у наредном периоду биће подржан повећањ</w:t>
      </w:r>
      <w:r w:rsidR="00074E1B" w:rsidRPr="00092ED7">
        <w:rPr>
          <w:lang w:val="sr-Cyrl-CS"/>
        </w:rPr>
        <w:t xml:space="preserve">ем </w:t>
      </w:r>
      <w:r w:rsidRPr="00092ED7">
        <w:rPr>
          <w:lang w:val="sr-Cyrl-CS"/>
        </w:rPr>
        <w:t>минималне цене рада у 2023. години за 14,3%, као и најављеним повећањем зарада у јавном сектору од 12,5%.</w:t>
      </w:r>
    </w:p>
    <w:p w14:paraId="559A9A72" w14:textId="77777777" w:rsidR="00BD3989" w:rsidRPr="00092ED7" w:rsidRDefault="00BD3989" w:rsidP="00BD3989">
      <w:pPr>
        <w:spacing w:before="120"/>
        <w:rPr>
          <w:b/>
          <w:lang w:val="sr-Cyrl-CS"/>
        </w:rPr>
      </w:pPr>
      <w:r w:rsidRPr="00092ED7">
        <w:rPr>
          <w:b/>
          <w:lang w:val="sr-Cyrl-CS"/>
        </w:rPr>
        <w:t>Монетарна политика, политика девизног курса и инфлација</w:t>
      </w:r>
    </w:p>
    <w:p w14:paraId="2723F5B6" w14:textId="5402A889" w:rsidR="00BD3989" w:rsidRPr="00092ED7" w:rsidRDefault="00BD3989" w:rsidP="00BD3989">
      <w:pPr>
        <w:spacing w:after="60"/>
        <w:rPr>
          <w:lang w:val="sr-Cyrl-CS"/>
        </w:rPr>
      </w:pPr>
      <w:r w:rsidRPr="00092ED7">
        <w:rPr>
          <w:lang w:val="sr-Cyrl-CS"/>
        </w:rPr>
        <w:t xml:space="preserve">Народна банка Србије од 2009. године примењује </w:t>
      </w:r>
      <w:r w:rsidRPr="00092ED7">
        <w:rPr>
          <w:b/>
          <w:bCs/>
          <w:i/>
          <w:iCs/>
          <w:lang w:val="sr-Cyrl-CS"/>
        </w:rPr>
        <w:t>режим циљања инфлације</w:t>
      </w:r>
      <w:r w:rsidRPr="00092ED7">
        <w:rPr>
          <w:lang w:val="sr-Cyrl-CS"/>
        </w:rPr>
        <w:t xml:space="preserve"> као монетарну стратегију. Захваљујући постигнутој ценовној стабилности, усидрености инфлационих очекивања и знатном поправљању макроекономских показатеља и изгледа </w:t>
      </w:r>
      <w:r w:rsidR="00862CE4" w:rsidRPr="00092ED7">
        <w:rPr>
          <w:lang w:val="sr-Cyrl-CS"/>
        </w:rPr>
        <w:t xml:space="preserve">Републике </w:t>
      </w:r>
      <w:r w:rsidRPr="00092ED7">
        <w:rPr>
          <w:lang w:val="sr-Cyrl-CS"/>
        </w:rPr>
        <w:t xml:space="preserve">Србије за наредни период, а пре свега одрживом смањењу спољне и унутрашње неравнотеже, циљана стопа инфлације је снижена од 2017. године </w:t>
      </w:r>
      <w:r w:rsidRPr="00092ED7">
        <w:rPr>
          <w:b/>
          <w:lang w:val="sr-Cyrl-CS"/>
        </w:rPr>
        <w:t xml:space="preserve">на ниво од 3%±1,5 п.п. и на том нивоу је утврђена до краја </w:t>
      </w:r>
      <w:r w:rsidRPr="00092ED7">
        <w:rPr>
          <w:b/>
          <w:color w:val="000000" w:themeColor="text1"/>
          <w:lang w:val="sr-Cyrl-CS"/>
        </w:rPr>
        <w:t>202</w:t>
      </w:r>
      <w:r w:rsidR="000B1ABF" w:rsidRPr="00092ED7">
        <w:rPr>
          <w:b/>
          <w:color w:val="000000" w:themeColor="text1"/>
          <w:lang w:val="sr-Cyrl-CS"/>
        </w:rPr>
        <w:t>5</w:t>
      </w:r>
      <w:r w:rsidRPr="00092ED7">
        <w:rPr>
          <w:b/>
          <w:color w:val="000000" w:themeColor="text1"/>
          <w:lang w:val="sr-Cyrl-CS"/>
        </w:rPr>
        <w:t>.</w:t>
      </w:r>
      <w:r w:rsidRPr="00092ED7">
        <w:rPr>
          <w:b/>
          <w:color w:val="FF0000"/>
          <w:lang w:val="sr-Cyrl-CS"/>
        </w:rPr>
        <w:t xml:space="preserve"> </w:t>
      </w:r>
      <w:r w:rsidRPr="00092ED7">
        <w:rPr>
          <w:b/>
          <w:lang w:val="sr-Cyrl-CS"/>
        </w:rPr>
        <w:t>године</w:t>
      </w:r>
      <w:r w:rsidRPr="00092ED7">
        <w:rPr>
          <w:lang w:val="sr-Cyrl-CS"/>
        </w:rPr>
        <w:t>. Тиме је потврђена одлучност Народне банке Србије и Владе да предузимају мере како би инфлација у средњем року остала ниска, стабилна и предвидива.</w:t>
      </w:r>
    </w:p>
    <w:p w14:paraId="299608FB" w14:textId="77777777" w:rsidR="00BD3989" w:rsidRPr="00092ED7" w:rsidRDefault="00BD3989" w:rsidP="00BD3989">
      <w:pPr>
        <w:spacing w:after="60"/>
        <w:rPr>
          <w:lang w:val="sr-Cyrl-CS"/>
        </w:rPr>
      </w:pPr>
      <w:r w:rsidRPr="00092ED7">
        <w:rPr>
          <w:lang w:val="sr-Cyrl-CS"/>
        </w:rPr>
        <w:t>Основни инструмент за постизање инфлационог циља јесте каматна стопа која се примењује у једнонедељним реверзним репо операцијама, док остали инструменти монетарне политике (кредитне и депозитне олакшице, обавезна резерва и интервенције на девизном тржишту) имају помоћну улогу.</w:t>
      </w:r>
    </w:p>
    <w:p w14:paraId="7BE3520F" w14:textId="2E37EFE6" w:rsidR="00BD3989" w:rsidRPr="00092ED7" w:rsidRDefault="00BD3989" w:rsidP="00BD3989">
      <w:pPr>
        <w:spacing w:after="60"/>
        <w:rPr>
          <w:lang w:val="sr-Cyrl-CS"/>
        </w:rPr>
      </w:pPr>
      <w:r w:rsidRPr="00092ED7">
        <w:rPr>
          <w:lang w:val="sr-Cyrl-CS"/>
        </w:rPr>
        <w:t xml:space="preserve">Политика обавезних резерви формулисана је тако да се диференцијацијом стопе обавезне резерве, у зависности од валуте обавеза и рочности, стимулишу динарски и дугорочнији извори финансирања банака. За динарске изворе средстава уговорене рочности до две године она тренутно износи 5%, а за изворе рочности преко </w:t>
      </w:r>
      <w:r w:rsidR="00332563" w:rsidRPr="00092ED7">
        <w:rPr>
          <w:lang w:val="sr-Cyrl-CS"/>
        </w:rPr>
        <w:t>две</w:t>
      </w:r>
      <w:r w:rsidRPr="00092ED7">
        <w:rPr>
          <w:lang w:val="sr-Cyrl-CS"/>
        </w:rPr>
        <w:t xml:space="preserve"> године 0%. </w:t>
      </w:r>
      <w:r w:rsidRPr="00092ED7">
        <w:rPr>
          <w:color w:val="000000" w:themeColor="text1"/>
          <w:lang w:val="sr-Cyrl-CS"/>
        </w:rPr>
        <w:t>Стопа обавезне резерве за девизне изворе банака за уговорену рочност од две године утврђена је на нивоу од 20%, а за рочности преко две године износи 13%.</w:t>
      </w:r>
    </w:p>
    <w:p w14:paraId="5ACFF139" w14:textId="77777777" w:rsidR="00BD3989" w:rsidRPr="00092ED7" w:rsidRDefault="00BD3989" w:rsidP="00BD3989">
      <w:pPr>
        <w:spacing w:after="60"/>
        <w:rPr>
          <w:lang w:val="sr-Cyrl-CS"/>
        </w:rPr>
      </w:pPr>
      <w:r w:rsidRPr="00092ED7">
        <w:rPr>
          <w:lang w:val="sr-Cyrl-CS"/>
        </w:rPr>
        <w:t xml:space="preserve">У складу са изабраном монетарном стратегијом, Народна банка Србије </w:t>
      </w:r>
      <w:r w:rsidRPr="00092ED7">
        <w:rPr>
          <w:b/>
          <w:bCs/>
          <w:lang w:val="sr-Cyrl-CS"/>
        </w:rPr>
        <w:t>наставиће да спроводи режим руковођено пливајућег девизног курса</w:t>
      </w:r>
      <w:r w:rsidRPr="00092ED7">
        <w:rPr>
          <w:lang w:val="sr-Cyrl-CS"/>
        </w:rPr>
        <w:t>. Интервенције на девизном тржишту спроводиће ради ублажавања прекомерних краткорочних осцилација курса динара према евру, очувања стабилности цена и финансијског система и одржавања адекватног нивоа девизних резерви.</w:t>
      </w:r>
    </w:p>
    <w:p w14:paraId="76660792" w14:textId="7265061B" w:rsidR="00BD3989" w:rsidRPr="00092ED7" w:rsidRDefault="00BD3989" w:rsidP="00BD3989">
      <w:pPr>
        <w:spacing w:after="60"/>
        <w:rPr>
          <w:lang w:val="sr-Cyrl-CS"/>
        </w:rPr>
      </w:pPr>
      <w:r w:rsidRPr="00092ED7">
        <w:rPr>
          <w:lang w:val="sr-Cyrl-CS"/>
        </w:rPr>
        <w:t xml:space="preserve">У условима повишених инфлаторних притисака, углавном због деловања фактора понуде из међународног окружења, у октобру 2021. </w:t>
      </w:r>
      <w:r w:rsidR="00862CE4" w:rsidRPr="00092ED7">
        <w:rPr>
          <w:lang w:val="sr-Cyrl-CS"/>
        </w:rPr>
        <w:t xml:space="preserve">године </w:t>
      </w:r>
      <w:r w:rsidRPr="00092ED7">
        <w:rPr>
          <w:lang w:val="sr-Cyrl-CS"/>
        </w:rPr>
        <w:t xml:space="preserve">започет је процес заоштравања монетарних услова. Од октобра до априла 2022. </w:t>
      </w:r>
      <w:r w:rsidR="00862CE4" w:rsidRPr="00092ED7">
        <w:rPr>
          <w:lang w:val="sr-Cyrl-CS"/>
        </w:rPr>
        <w:t xml:space="preserve">године </w:t>
      </w:r>
      <w:r w:rsidRPr="00092ED7">
        <w:rPr>
          <w:lang w:val="sr-Cyrl-CS"/>
        </w:rPr>
        <w:t>Народна банка Србије је пооштравала монетарне услове повећањем просечне пондерисане репо стопе на једнонедељним реверзним репо аукцијама</w:t>
      </w:r>
      <w:r w:rsidR="00862CE4" w:rsidRPr="00092ED7">
        <w:rPr>
          <w:lang w:val="sr-Cyrl-CS"/>
        </w:rPr>
        <w:t>,</w:t>
      </w:r>
      <w:r w:rsidRPr="00092ED7">
        <w:rPr>
          <w:lang w:val="sr-Cyrl-CS"/>
        </w:rPr>
        <w:t xml:space="preserve"> којима се повлачи вишак динарске ликвидности из банкарског система и до априла </w:t>
      </w:r>
      <w:r w:rsidR="00862CE4" w:rsidRPr="00092ED7">
        <w:rPr>
          <w:lang w:val="sr-Cyrl-CS"/>
        </w:rPr>
        <w:t>2022. године</w:t>
      </w:r>
      <w:r w:rsidRPr="00092ED7">
        <w:rPr>
          <w:lang w:val="sr-Cyrl-CS"/>
        </w:rPr>
        <w:t xml:space="preserve"> та стопа је повећана за 84 б.п. С обзиром да се просечна пондерисана репо стопа готово изједначила с референтном каматном стопом, у априлу је започет циклус повећања референтне каматне стопе, која је закључно са </w:t>
      </w:r>
      <w:r w:rsidR="001561CC" w:rsidRPr="00092ED7">
        <w:rPr>
          <w:lang w:val="sr-Cyrl-CS"/>
        </w:rPr>
        <w:t xml:space="preserve">децембром 2022. године </w:t>
      </w:r>
      <w:r w:rsidRPr="00092ED7">
        <w:rPr>
          <w:lang w:val="sr-Cyrl-CS"/>
        </w:rPr>
        <w:t xml:space="preserve">повећана за </w:t>
      </w:r>
      <w:r w:rsidR="001561CC" w:rsidRPr="00092ED7">
        <w:rPr>
          <w:lang w:val="sr-Cyrl-CS"/>
        </w:rPr>
        <w:t xml:space="preserve">400 </w:t>
      </w:r>
      <w:r w:rsidRPr="00092ED7">
        <w:rPr>
          <w:lang w:val="sr-Cyrl-CS"/>
        </w:rPr>
        <w:t>б.п., на 5%.</w:t>
      </w:r>
    </w:p>
    <w:p w14:paraId="433D7382" w14:textId="1BA442B4" w:rsidR="00BD3989" w:rsidRPr="00092ED7" w:rsidRDefault="00BD3989" w:rsidP="00BD3989">
      <w:pPr>
        <w:spacing w:after="60"/>
        <w:rPr>
          <w:color w:val="000000" w:themeColor="text1"/>
          <w:lang w:val="sr-Cyrl-CS"/>
        </w:rPr>
      </w:pPr>
      <w:r w:rsidRPr="00092ED7">
        <w:rPr>
          <w:color w:val="000000" w:themeColor="text1"/>
          <w:lang w:val="sr-Cyrl-CS"/>
        </w:rPr>
        <w:t xml:space="preserve">Повећања референтне каматне стопе у посматраном периоду одговор су Народне банке Србије на веће и постојаније трошковне притиске, него што се очекивало, пре свега из међународног окружења, посебно након избијања кризе у Украјини, као и на раст увозне инфлације. Циљ заоштравања монетарних услова је да се ограниче секундарни ефекти раста цена хране и енергената на остале цене преко инфлационих очекивања, као и да се спречи да додатни инфлаторни притисци дођу од фактора на страни тражње. Тиме Народна банка Србије настоји да обезбеди </w:t>
      </w:r>
      <w:r w:rsidR="00417530" w:rsidRPr="00092ED7">
        <w:rPr>
          <w:color w:val="000000" w:themeColor="text1"/>
          <w:lang w:val="sr-Cyrl-CS"/>
        </w:rPr>
        <w:t xml:space="preserve">да </w:t>
      </w:r>
      <w:r w:rsidRPr="00092ED7">
        <w:rPr>
          <w:color w:val="000000" w:themeColor="text1"/>
          <w:lang w:val="sr-Cyrl-CS"/>
        </w:rPr>
        <w:t xml:space="preserve">се инфлација у </w:t>
      </w:r>
      <w:r w:rsidR="00862CE4" w:rsidRPr="00092ED7">
        <w:rPr>
          <w:color w:val="000000" w:themeColor="text1"/>
          <w:lang w:val="sr-Cyrl-CS"/>
        </w:rPr>
        <w:t xml:space="preserve">Републици </w:t>
      </w:r>
      <w:r w:rsidRPr="00092ED7">
        <w:rPr>
          <w:color w:val="000000" w:themeColor="text1"/>
          <w:lang w:val="sr-Cyrl-CS"/>
        </w:rPr>
        <w:t xml:space="preserve">Србији нађе на </w:t>
      </w:r>
      <w:r w:rsidRPr="00092ED7">
        <w:rPr>
          <w:color w:val="000000" w:themeColor="text1"/>
          <w:lang w:val="sr-Cyrl-CS"/>
        </w:rPr>
        <w:lastRenderedPageBreak/>
        <w:t>опадајућој путањи и да се врати у границе дозвољеног одступања од циља до краја периода пројекције. Истовремено, ограничавању ефеката преливања раста увозних цена на домаће цене, као и макроекономској стабилности у условима повећане глобалне неизвесности, Народна банка Србије доприноси у знатној мери и одржавањем релативне стабилности курса динара према евру.</w:t>
      </w:r>
    </w:p>
    <w:p w14:paraId="27852BA7" w14:textId="0EBCDFBD" w:rsidR="00BD3989" w:rsidRPr="00092ED7" w:rsidRDefault="00BD3989" w:rsidP="00BD3989">
      <w:pPr>
        <w:spacing w:after="60"/>
        <w:rPr>
          <w:lang w:val="sr-Cyrl-CS"/>
        </w:rPr>
      </w:pPr>
      <w:r w:rsidRPr="00092ED7">
        <w:rPr>
          <w:b/>
          <w:lang w:val="sr-Cyrl-CS"/>
        </w:rPr>
        <w:t xml:space="preserve">Средњорочна пројекција инфлације. </w:t>
      </w:r>
      <w:r w:rsidRPr="00092ED7">
        <w:rPr>
          <w:lang w:val="sr-Cyrl-CS"/>
        </w:rPr>
        <w:t xml:space="preserve">Према новембарској пројекцији Народне банке Србије, </w:t>
      </w:r>
      <w:r w:rsidR="00332563" w:rsidRPr="00092ED7">
        <w:rPr>
          <w:lang w:val="sr-Cyrl-CS"/>
        </w:rPr>
        <w:t xml:space="preserve">међугодишња инфлација ће наставити благо да расте почетком 2023. године, услед корекције цена електричне енергије и гаса за домаћинства у јануару, </w:t>
      </w:r>
      <w:r w:rsidRPr="00092ED7">
        <w:rPr>
          <w:lang w:val="sr-Cyrl-CS"/>
        </w:rPr>
        <w:t>након чега би требало да се нађе на силазној путањи. Снажнији пад инфлације очекујемо у другој половини 2023. години, док би у границе циљаног распона требало да се врати (3 ± 1,5%) у другој половини 2024.</w:t>
      </w:r>
      <w:r w:rsidR="00862CE4" w:rsidRPr="00092ED7">
        <w:rPr>
          <w:lang w:val="sr-Cyrl-CS"/>
        </w:rPr>
        <w:t xml:space="preserve"> године.</w:t>
      </w:r>
      <w:r w:rsidRPr="00092ED7">
        <w:rPr>
          <w:lang w:val="sr-Cyrl-CS"/>
        </w:rPr>
        <w:t xml:space="preserve"> Трошковни притисци из међународног окружења, пре свега цене енергената, наставиће да се преносе на потрошач</w:t>
      </w:r>
      <w:r w:rsidR="00332563" w:rsidRPr="00092ED7">
        <w:rPr>
          <w:lang w:val="sr-Cyrl-CS"/>
        </w:rPr>
        <w:t>к</w:t>
      </w:r>
      <w:r w:rsidRPr="00092ED7">
        <w:rPr>
          <w:lang w:val="sr-Cyrl-CS"/>
        </w:rPr>
        <w:t xml:space="preserve">е цене још неко време, али би на пад инфлације требало да утиче слабљење ефекaта глобалних трошковних притисака и завршетак преноса на малопродајне цене, претпостављени пад светских цена примарних производа, опадање увозне инфлације, као и слабија агрегатна тражња и рестриктивнији монетарни услови. Паду инфлације у току 2023. </w:t>
      </w:r>
      <w:r w:rsidR="00862CE4" w:rsidRPr="00092ED7">
        <w:rPr>
          <w:lang w:val="sr-Cyrl-CS"/>
        </w:rPr>
        <w:t xml:space="preserve">године </w:t>
      </w:r>
      <w:r w:rsidRPr="00092ED7">
        <w:rPr>
          <w:lang w:val="sr-Cyrl-CS"/>
        </w:rPr>
        <w:t>требало би да допринесе и долазак нове пољопривредне сезоне, под претпоставком да она буде повољнија од овогодишње. У супротном смеру деловаће очекивано повећање регулисаних цена.</w:t>
      </w:r>
    </w:p>
    <w:p w14:paraId="3AE86EF3" w14:textId="7EE00D67" w:rsidR="00BD3989" w:rsidRPr="00092ED7" w:rsidRDefault="00BD3989" w:rsidP="00BD3989">
      <w:pPr>
        <w:spacing w:after="60"/>
        <w:rPr>
          <w:lang w:val="sr-Cyrl-CS"/>
        </w:rPr>
      </w:pPr>
      <w:r w:rsidRPr="00092ED7">
        <w:rPr>
          <w:lang w:val="sr-Cyrl-CS"/>
        </w:rPr>
        <w:t>Агрегатна тражња почела је да успорава у Т3 2022.</w:t>
      </w:r>
      <w:r w:rsidR="00862CE4" w:rsidRPr="00092ED7">
        <w:rPr>
          <w:lang w:val="sr-Cyrl-CS"/>
        </w:rPr>
        <w:t xml:space="preserve"> године</w:t>
      </w:r>
      <w:r w:rsidRPr="00092ED7">
        <w:rPr>
          <w:lang w:val="sr-Cyrl-CS"/>
        </w:rPr>
        <w:t xml:space="preserve"> под утицајем фактора из међународног окружења – успоравања економске активности најважнијих трговинских партнера </w:t>
      </w:r>
      <w:r w:rsidR="00862CE4" w:rsidRPr="00092ED7">
        <w:rPr>
          <w:lang w:val="sr-Cyrl-CS"/>
        </w:rPr>
        <w:t xml:space="preserve">Републике </w:t>
      </w:r>
      <w:r w:rsidRPr="00092ED7">
        <w:rPr>
          <w:lang w:val="sr-Cyrl-CS"/>
        </w:rPr>
        <w:t xml:space="preserve">Србије и затезања финансијских услова у зони евра – али и рестриктивнијих монетарних услова у </w:t>
      </w:r>
      <w:r w:rsidR="00AB0A2B" w:rsidRPr="00092ED7">
        <w:rPr>
          <w:lang w:val="sr-Cyrl-CS"/>
        </w:rPr>
        <w:t xml:space="preserve">Републици </w:t>
      </w:r>
      <w:r w:rsidRPr="00092ED7">
        <w:rPr>
          <w:lang w:val="sr-Cyrl-CS"/>
        </w:rPr>
        <w:t xml:space="preserve">Србији. Према актуелној пројекцији, производни јаз ће наставити да се продубљује у наредном периоду, вођен истим факторима, а најнижи негативни ниво ће достићи половином </w:t>
      </w:r>
      <w:r w:rsidR="00332563" w:rsidRPr="00092ED7">
        <w:rPr>
          <w:lang w:val="sr-Cyrl-CS"/>
        </w:rPr>
        <w:t xml:space="preserve">2023. </w:t>
      </w:r>
      <w:r w:rsidRPr="00092ED7">
        <w:rPr>
          <w:lang w:val="sr-Cyrl-CS"/>
        </w:rPr>
        <w:t>године, након чега ће се постепено опорављати.</w:t>
      </w:r>
    </w:p>
    <w:p w14:paraId="01F52C7C" w14:textId="77777777" w:rsidR="00BD3989" w:rsidRPr="00092ED7" w:rsidRDefault="00BD3989" w:rsidP="00BD3989">
      <w:pPr>
        <w:spacing w:after="60"/>
        <w:rPr>
          <w:lang w:val="sr-Cyrl-CS"/>
        </w:rPr>
      </w:pPr>
      <w:bookmarkStart w:id="19" w:name="_Hlk120005795"/>
      <w:r w:rsidRPr="00092ED7">
        <w:rPr>
          <w:lang w:val="sr-Cyrl-CS"/>
        </w:rPr>
        <w:t>Кључни ризици пројекције инфлације потичу из међународног окружења, а пре свега односе се на ефекте конфликта у Украјини, расположивост енергената и њихове цене на светском тржишту, као и на изгледе глобалног привредног раста, који ће у великој мери определити и светске цене примарних производа. Када је реч о факторима из домаћег окружења, ризици пројекције се у највећој мери односе на исход наредне пољопривредне сезоне, прилив по основу страних директних инвестиција, брзину опоравка сектора енергетике и динамику прилагођавања цена енергената на домаћем тржишту за привреду и становништво, као и на евентуалне додатне мере које би Влада могла предузети како би се заштитила рањиве категорије становништва.</w:t>
      </w:r>
      <w:bookmarkEnd w:id="19"/>
    </w:p>
    <w:p w14:paraId="35B83A1C" w14:textId="77777777" w:rsidR="00BD3989" w:rsidRPr="00092ED7" w:rsidRDefault="00BD3989" w:rsidP="00BD3989">
      <w:pPr>
        <w:spacing w:before="120"/>
        <w:rPr>
          <w:rFonts w:eastAsia="Times New Roman"/>
          <w:b/>
          <w:lang w:val="sr-Cyrl-CS"/>
        </w:rPr>
      </w:pPr>
      <w:r w:rsidRPr="00092ED7">
        <w:rPr>
          <w:rFonts w:eastAsia="Times New Roman"/>
          <w:b/>
          <w:lang w:val="sr-Cyrl-CS"/>
        </w:rPr>
        <w:t>Екстерни сектор и његова средњорочна одрживост</w:t>
      </w:r>
    </w:p>
    <w:p w14:paraId="779A0C54" w14:textId="77777777" w:rsidR="00BD3989" w:rsidRPr="00092ED7" w:rsidRDefault="00BD3989" w:rsidP="00BD3989">
      <w:pPr>
        <w:spacing w:after="60"/>
        <w:rPr>
          <w:rFonts w:eastAsia="Times New Roman"/>
          <w:lang w:val="sr-Cyrl-CS"/>
        </w:rPr>
      </w:pPr>
      <w:r w:rsidRPr="00092ED7">
        <w:rPr>
          <w:rFonts w:eastAsia="Times New Roman"/>
          <w:lang w:val="sr-Cyrl-CS"/>
        </w:rPr>
        <w:t xml:space="preserve">Захваљујући </w:t>
      </w:r>
      <w:r w:rsidRPr="00092ED7">
        <w:rPr>
          <w:lang w:val="sr-Cyrl-CS"/>
        </w:rPr>
        <w:t xml:space="preserve">приливу страних директних инвестиција у </w:t>
      </w:r>
      <w:r w:rsidRPr="00092ED7">
        <w:rPr>
          <w:rFonts w:eastAsia="Times New Roman"/>
          <w:lang w:val="sr-Cyrl-CS"/>
        </w:rPr>
        <w:t>извозно-оријентисане секторе, којем доприноси остварена маркоекономска стабилност, као и стимулативније пословно окружење, у претходних неколико година повећана је диверсификованост</w:t>
      </w:r>
      <w:r w:rsidRPr="00092ED7">
        <w:rPr>
          <w:lang w:val="sr-Cyrl-CS"/>
        </w:rPr>
        <w:t xml:space="preserve"> извоза – и производно и географски посматрано. </w:t>
      </w:r>
      <w:r w:rsidRPr="00092ED7">
        <w:rPr>
          <w:rFonts w:eastAsia="Times New Roman"/>
          <w:lang w:val="sr-Cyrl-CS"/>
        </w:rPr>
        <w:t xml:space="preserve">На то указује смањење вредности индекса </w:t>
      </w:r>
      <w:r w:rsidRPr="00092ED7">
        <w:rPr>
          <w:rFonts w:eastAsia="Times New Roman"/>
          <w:i/>
          <w:lang w:val="sr-Cyrl-CS"/>
        </w:rPr>
        <w:t>HHI</w:t>
      </w:r>
      <w:r w:rsidRPr="00092ED7">
        <w:rPr>
          <w:rFonts w:eastAsia="Times New Roman"/>
          <w:lang w:val="sr-Cyrl-CS"/>
        </w:rPr>
        <w:t xml:space="preserve"> по производима са 0,22 у 2013. на 0,20 у 2021, а по земљама партнерима са 0,26 на 0,22. И поред отежане ситуације у трговини робом због ескалације геополитичких тензија и кризе у Украјини и увођења привремених мера забране извоза појединих производа, као и пристутних застоја у глобалним ланцима снабдевања, што се одражавао на несташице појединих инпута у производњи, степен концентрације посматрано и по производима и по земљама у девет месеци ове године остао је скоро непромењен (0,20 и 0,23, респективно).</w:t>
      </w:r>
    </w:p>
    <w:p w14:paraId="6BD7E049" w14:textId="28A82868" w:rsidR="00BD3989" w:rsidRPr="00092ED7" w:rsidRDefault="00BD3989" w:rsidP="00BD3989">
      <w:pPr>
        <w:spacing w:after="60"/>
        <w:rPr>
          <w:lang w:val="sr-Cyrl-CS"/>
        </w:rPr>
      </w:pPr>
      <w:r w:rsidRPr="00092ED7">
        <w:rPr>
          <w:lang w:val="sr-Cyrl-CS"/>
        </w:rPr>
        <w:lastRenderedPageBreak/>
        <w:t xml:space="preserve">Посматрано према </w:t>
      </w:r>
      <w:r w:rsidRPr="00092ED7">
        <w:rPr>
          <w:b/>
          <w:bCs/>
          <w:i/>
          <w:iCs/>
          <w:lang w:val="sr-Cyrl-CS"/>
        </w:rPr>
        <w:t>фазама прераде</w:t>
      </w:r>
      <w:r w:rsidRPr="00092ED7">
        <w:rPr>
          <w:lang w:val="sr-Cyrl-CS"/>
        </w:rPr>
        <w:t>, у структури робног извоза највеће учешће у девет месеци 2022. имају производи средње фазе прераде (30,7%). На другом месту</w:t>
      </w:r>
      <w:r w:rsidR="00AB0A2B" w:rsidRPr="00092ED7">
        <w:rPr>
          <w:lang w:val="sr-Cyrl-CS"/>
        </w:rPr>
        <w:t xml:space="preserve">, </w:t>
      </w:r>
      <w:r w:rsidRPr="00092ED7">
        <w:rPr>
          <w:lang w:val="sr-Cyrl-CS"/>
        </w:rPr>
        <w:t>налазе се производи базирани на ресурсима (30,1%), затим производи ниже фазе прераде са учешћем од 20,0% (ваљани производи, намештај, производи од пластике, обућа), док су примарни производи чинили 11,0% укупног извоза. Учешће производа високе технологије (углавном електричних машина) у укупном извозу износило је 6,4% током девет месеци 2022, што представља раст за скоро 2 п.п. у односу на 2013, када је учешће било 4,8%.</w:t>
      </w:r>
    </w:p>
    <w:p w14:paraId="53C42E67" w14:textId="0C39BED0" w:rsidR="00BD3989" w:rsidRPr="00092ED7" w:rsidRDefault="00BD3989" w:rsidP="00BD3989">
      <w:pPr>
        <w:spacing w:after="60"/>
        <w:rPr>
          <w:lang w:val="sr-Cyrl-CS"/>
        </w:rPr>
      </w:pPr>
      <w:r w:rsidRPr="00092ED7">
        <w:rPr>
          <w:lang w:val="sr-Cyrl-CS"/>
        </w:rPr>
        <w:t xml:space="preserve">Када је реч о </w:t>
      </w:r>
      <w:r w:rsidRPr="00092ED7">
        <w:rPr>
          <w:b/>
          <w:i/>
          <w:lang w:val="sr-Cyrl-CS"/>
        </w:rPr>
        <w:t>показатељима ценовне конкурентности</w:t>
      </w:r>
      <w:r w:rsidRPr="00092ED7">
        <w:rPr>
          <w:lang w:val="sr-Cyrl-CS"/>
        </w:rPr>
        <w:t>, важно је нагласити да је реални ефективни курс динара (рачунат на бази потрошачких цена према корпи валута коју чине евро и долар</w:t>
      </w:r>
      <w:r w:rsidRPr="00092ED7">
        <w:rPr>
          <w:vertAlign w:val="superscript"/>
          <w:lang w:val="sr-Cyrl-CS"/>
        </w:rPr>
        <w:footnoteReference w:id="7"/>
      </w:r>
      <w:r w:rsidRPr="00092ED7">
        <w:rPr>
          <w:lang w:val="sr-Cyrl-CS"/>
        </w:rPr>
        <w:t xml:space="preserve">) у претходних осам година кумулативно посматрано био готово непромењен. У девет месеци 2022. </w:t>
      </w:r>
      <w:r w:rsidR="00AB0A2B" w:rsidRPr="00092ED7">
        <w:rPr>
          <w:lang w:val="sr-Cyrl-CS"/>
        </w:rPr>
        <w:t xml:space="preserve">године </w:t>
      </w:r>
      <w:r w:rsidRPr="00092ED7">
        <w:rPr>
          <w:lang w:val="sr-Cyrl-CS"/>
        </w:rPr>
        <w:t xml:space="preserve">забележена је блага просечна реална ефективана апрецијација динара од 0,4% мг. Рачунат на бази јединичних трошкова рада, динар према евру реално апрецира од 2017. године, услед бржег раста јединичних трошкова рада у </w:t>
      </w:r>
      <w:r w:rsidR="00F347CE" w:rsidRPr="00092ED7">
        <w:rPr>
          <w:lang w:val="sr-Cyrl-CS"/>
        </w:rPr>
        <w:t xml:space="preserve">Реублици </w:t>
      </w:r>
      <w:r w:rsidRPr="00092ED7">
        <w:rPr>
          <w:lang w:val="sr-Cyrl-CS"/>
        </w:rPr>
        <w:t xml:space="preserve">Србији у односу на ЕУ, а делом и због благе номиналне апрецијације динара према евру. Током девет месеци 2022. </w:t>
      </w:r>
      <w:r w:rsidR="00AB0A2B" w:rsidRPr="00092ED7">
        <w:rPr>
          <w:lang w:val="sr-Cyrl-CS"/>
        </w:rPr>
        <w:t xml:space="preserve">године </w:t>
      </w:r>
      <w:r w:rsidRPr="00092ED7">
        <w:rPr>
          <w:lang w:val="sr-Cyrl-CS"/>
        </w:rPr>
        <w:t xml:space="preserve">зараде у </w:t>
      </w:r>
      <w:r w:rsidR="00AB0A2B" w:rsidRPr="00092ED7">
        <w:rPr>
          <w:lang w:val="sr-Cyrl-CS"/>
        </w:rPr>
        <w:t xml:space="preserve">Републици </w:t>
      </w:r>
      <w:r w:rsidRPr="00092ED7">
        <w:rPr>
          <w:lang w:val="sr-Cyrl-CS"/>
        </w:rPr>
        <w:t xml:space="preserve">Србији (уз израженији раст у приватном сектору) расле су брже од економске активности, тако да су јединични трошкови рада у </w:t>
      </w:r>
      <w:r w:rsidR="00AB0A2B" w:rsidRPr="00092ED7">
        <w:rPr>
          <w:lang w:val="sr-Cyrl-CS"/>
        </w:rPr>
        <w:t xml:space="preserve">Републици </w:t>
      </w:r>
      <w:r w:rsidRPr="00092ED7">
        <w:rPr>
          <w:lang w:val="sr-Cyrl-CS"/>
        </w:rPr>
        <w:t>Србији наставили раст, што је уз пад једничних трошкова рада у зони евра и непромењену вредност динара према евру, резултирално реалном апрецијацијом динара од око 9% мг. Да трошковна конкурентност није фактор који значајније утиче на прилив страних дирктних инвестиција, већ очувана макроекономска стабилност и остварена структурна побољшања, говори податак да је прилив страних директних инвестиција од 2017. закључно са септембром ове године износио близу 20 млрд евра (просечно годишње око 7,3% БДП-а), упркос пандемији и кризи у Украјини.</w:t>
      </w:r>
    </w:p>
    <w:p w14:paraId="28351630" w14:textId="7B78DBEA" w:rsidR="00BD3989" w:rsidRPr="00092ED7" w:rsidRDefault="00BD3989" w:rsidP="00BD3989">
      <w:pPr>
        <w:spacing w:after="60"/>
        <w:rPr>
          <w:b/>
          <w:lang w:val="sr-Cyrl-CS"/>
        </w:rPr>
      </w:pPr>
      <w:r w:rsidRPr="00092ED7">
        <w:rPr>
          <w:b/>
          <w:lang w:val="sr-Cyrl-CS"/>
        </w:rPr>
        <w:t>Међународна инвестициона позиција.</w:t>
      </w:r>
      <w:r w:rsidRPr="00092ED7">
        <w:rPr>
          <w:lang w:val="sr-Cyrl-CS"/>
        </w:rPr>
        <w:t xml:space="preserve"> На крају Т2 2022. негативна међународна инвестициона позиција (</w:t>
      </w:r>
      <w:r w:rsidR="00AB0A2B" w:rsidRPr="00092ED7">
        <w:rPr>
          <w:lang w:val="sr-Cyrl-CS"/>
        </w:rPr>
        <w:t xml:space="preserve">у даљем тексту: </w:t>
      </w:r>
      <w:r w:rsidRPr="00092ED7">
        <w:rPr>
          <w:lang w:val="sr-Cyrl-CS"/>
        </w:rPr>
        <w:t xml:space="preserve">МИП) износила је 83,0% БДП-а (47,0 млрд евра) и у односу на крај 2021. </w:t>
      </w:r>
      <w:r w:rsidR="00AB0A2B" w:rsidRPr="00092ED7">
        <w:rPr>
          <w:lang w:val="sr-Cyrl-CS"/>
        </w:rPr>
        <w:t xml:space="preserve">године </w:t>
      </w:r>
      <w:r w:rsidRPr="00092ED7">
        <w:rPr>
          <w:lang w:val="sr-Cyrl-CS"/>
        </w:rPr>
        <w:t xml:space="preserve">учешће је благо смањено (за 0,2 п.п.), као резултат бржег раста номиналног БДП-а. На страни активе повећало се стање трговинских кредита, депозита и директних инвестиција резидената у иностранству, што је скоро у потпуности компензовало смањење стања девизних резерви, док је на страни обавеза дошло пре свега до раста стања страних директних инвестиција и финансијских кредита. </w:t>
      </w:r>
      <w:r w:rsidRPr="00092ED7">
        <w:rPr>
          <w:b/>
          <w:bCs/>
          <w:lang w:val="sr-Cyrl-CS"/>
        </w:rPr>
        <w:t>Н</w:t>
      </w:r>
      <w:r w:rsidRPr="00092ED7">
        <w:rPr>
          <w:b/>
          <w:lang w:val="sr-Cyrl-CS"/>
        </w:rPr>
        <w:t>а крају Т2 2022. нето СДИ чиниле су око 92% нето МИП, што указује на изразито повољну структуру МИП-а са становишта екстерне одрживости.</w:t>
      </w:r>
    </w:p>
    <w:p w14:paraId="17A0F114" w14:textId="77777777" w:rsidR="00BD3989" w:rsidRPr="00092ED7" w:rsidRDefault="00BD3989" w:rsidP="00BD3989">
      <w:pPr>
        <w:spacing w:after="60"/>
        <w:rPr>
          <w:lang w:val="sr-Cyrl-CS"/>
        </w:rPr>
      </w:pPr>
      <w:r w:rsidRPr="00092ED7">
        <w:rPr>
          <w:lang w:val="sr-Cyrl-CS"/>
        </w:rPr>
        <w:t xml:space="preserve">У структури пасиве МИП-а, учешће дужничких инструмената је износило око 50%, од чега су међукомпанијски кредити чинили 22,5%. Око половине </w:t>
      </w:r>
      <w:r w:rsidRPr="00092ED7">
        <w:rPr>
          <w:b/>
          <w:bCs/>
          <w:i/>
          <w:iCs/>
          <w:lang w:val="sr-Cyrl-CS"/>
        </w:rPr>
        <w:t>укупног</w:t>
      </w:r>
      <w:r w:rsidRPr="00092ED7">
        <w:rPr>
          <w:lang w:val="sr-Cyrl-CS"/>
        </w:rPr>
        <w:t xml:space="preserve"> </w:t>
      </w:r>
      <w:r w:rsidRPr="00092ED7">
        <w:rPr>
          <w:b/>
          <w:i/>
          <w:lang w:val="sr-Cyrl-CS"/>
        </w:rPr>
        <w:t>спољног дуга</w:t>
      </w:r>
      <w:r w:rsidRPr="00092ED7">
        <w:rPr>
          <w:lang w:val="sr-Cyrl-CS"/>
        </w:rPr>
        <w:t xml:space="preserve"> односи се на дуг јавног сектора (50,9%). Посматрано по преосталој рочности, око 93% спољног дуга јавног сектора (који чине општа држава и Народна банка Србије) је дугорочног карактера, а око 68% је уговорено по фиксној каматној стопи. У јавном спољном дугу доминирају три валуте – евро (69,2%), долар (17,4%) и динар (5,7%), а битно је истаћи да је учешће евра и долара у девизним резервама усклађено са валутном структуром јавног спољног дуга.</w:t>
      </w:r>
    </w:p>
    <w:p w14:paraId="144D443D" w14:textId="77777777" w:rsidR="00BD3989" w:rsidRPr="00092ED7" w:rsidRDefault="00BD3989" w:rsidP="00BD3989">
      <w:pPr>
        <w:spacing w:after="60"/>
        <w:rPr>
          <w:lang w:val="sr-Cyrl-CS"/>
        </w:rPr>
      </w:pPr>
      <w:r w:rsidRPr="00092ED7">
        <w:rPr>
          <w:lang w:val="sr-Cyrl-CS"/>
        </w:rPr>
        <w:t xml:space="preserve">У структури спољног дуга приватног сектора највећи део односи се на дуг предузећа (око 72%). Преко 90% дуга предузећа деноминовано је у еврима, а због чињенице да се истовремено преко 90% наплата извоза извршава у еврима, валутни ризик по основу спољног дуга предузећа је низак. Поред тога, 54% дуга је уговорено по фиксној каматној стопи. Посматрано према преосталој рочности, скоро 85% дуга предузећа је дугорочног карактера. Када се посматра спољни дуг банака, око 90% деноминовано у еврима, а </w:t>
      </w:r>
      <w:r w:rsidRPr="00092ED7">
        <w:rPr>
          <w:lang w:val="sr-Cyrl-CS"/>
        </w:rPr>
        <w:lastRenderedPageBreak/>
        <w:t>скоро 90% уговорено је по варијабилној каматној стопи. Посматрано према преосталој рочности, скоро 50% спољног дуга банкарског сектора (ако се изузму депозити) је дугорочног карактера.</w:t>
      </w:r>
    </w:p>
    <w:p w14:paraId="733FA5EF" w14:textId="77777777" w:rsidR="00BD3989" w:rsidRPr="00092ED7" w:rsidRDefault="00BD3989" w:rsidP="00BD3989">
      <w:pPr>
        <w:spacing w:after="60"/>
        <w:rPr>
          <w:lang w:val="sr-Cyrl-CS"/>
        </w:rPr>
      </w:pPr>
      <w:r w:rsidRPr="00092ED7">
        <w:rPr>
          <w:b/>
          <w:szCs w:val="24"/>
          <w:lang w:val="sr-Cyrl-CS"/>
        </w:rPr>
        <w:t>Средњорочна екстерна одрживост.</w:t>
      </w:r>
      <w:r w:rsidRPr="00092ED7">
        <w:rPr>
          <w:lang w:val="sr-Cyrl-CS"/>
        </w:rPr>
        <w:t xml:space="preserve"> Пројектовано кретање дефицита текућег дефицита у средњем року од око 6-7% БДП-а, у највећој мери је одређено структурним факторима и кретањима из међународног окружења. Очекује се да ће инвестиције, под утицајем снажних прилива страних директних инвестиција, као и очекивани наставак инвестиционог циклуса у области саобраћајне и комуналне инфраструктуре, наставити позитивно да </w:t>
      </w:r>
      <w:r w:rsidRPr="00092ED7">
        <w:rPr>
          <w:rFonts w:eastAsia="Times New Roman"/>
          <w:lang w:val="sr-Cyrl-CS"/>
        </w:rPr>
        <w:t xml:space="preserve">утичу на раст увоза пре свега опреме и средстава за репородукцију. И по тим основама, процењује се да ће реалан раст увоза робе и услуга у просеку износити око 6,5% годишње у наредне три године. С друге стране, као резултат инвестиција из претходног периода у разменљиве секторе и проширења извозне базе (како производно, тако и географски), али и постепеног опоравка екстерне тражње и слабљења ефеката енергетске кризе, </w:t>
      </w:r>
      <w:r w:rsidRPr="00092ED7">
        <w:rPr>
          <w:lang w:val="sr-Cyrl-CS"/>
        </w:rPr>
        <w:t>реалан раст извоза робе и услуга ће бити бржи од увоза и у наредне три године је пројектован по просечној годишњој стопи од око 8%. То ће резултирати постепеним смањењем учешћа дефицита робе и услуга БДП-у на око 8% до 2025</w:t>
      </w:r>
      <w:r w:rsidRPr="00092ED7">
        <w:rPr>
          <w:rFonts w:eastAsia="Times New Roman"/>
          <w:lang w:val="sr-Cyrl-CS"/>
        </w:rPr>
        <w:t xml:space="preserve">. године са 12,2% БДП-а ове године, што ће кључно допринети смањењу дефицита текућег рачуна са око 9% БДП-а ове године на 6% БДП-а у 2025. У средњем року, очекује се да ће се текући дефицит кретати у границама </w:t>
      </w:r>
      <w:r w:rsidRPr="00092ED7">
        <w:rPr>
          <w:lang w:val="sr-Cyrl-CS"/>
        </w:rPr>
        <w:t>екстерне одрживости (6-8% БДП-а) и да ће највећим делом бити финансиран нето приливом страних директних инвестиција.</w:t>
      </w:r>
    </w:p>
    <w:p w14:paraId="6BCDB07E" w14:textId="0CCBF538" w:rsidR="00BD3989" w:rsidRPr="00092ED7" w:rsidRDefault="00BD3989" w:rsidP="00BD3989">
      <w:pPr>
        <w:spacing w:after="60"/>
        <w:rPr>
          <w:lang w:val="sr-Cyrl-CS"/>
        </w:rPr>
      </w:pPr>
      <w:r w:rsidRPr="00092ED7">
        <w:rPr>
          <w:lang w:val="sr-Cyrl-CS"/>
        </w:rPr>
        <w:t xml:space="preserve">С друге стране, раст прилива директних инвестиција у </w:t>
      </w:r>
      <w:r w:rsidR="00AB0A2B" w:rsidRPr="00092ED7">
        <w:rPr>
          <w:lang w:val="sr-Cyrl-CS"/>
        </w:rPr>
        <w:t xml:space="preserve">Републику </w:t>
      </w:r>
      <w:r w:rsidRPr="00092ED7">
        <w:rPr>
          <w:lang w:val="sr-Cyrl-CS"/>
        </w:rPr>
        <w:t>Србију утицаће на то да принос по основу њиховог власништва остане солидна расходна ставка на рачуну примарног дохотка, док се на рачуну секундарног дохотка и у средњем року очекује стабилан прилив од око 7% БДП-а, пре свега захваљујући приливу дознака.</w:t>
      </w:r>
    </w:p>
    <w:p w14:paraId="4CF8B68D" w14:textId="79E96893" w:rsidR="00BD3989" w:rsidRPr="00092ED7" w:rsidRDefault="00BD3989" w:rsidP="00BD3989">
      <w:pPr>
        <w:spacing w:after="60"/>
        <w:rPr>
          <w:lang w:val="sr-Cyrl-CS"/>
        </w:rPr>
      </w:pPr>
      <w:r w:rsidRPr="00092ED7">
        <w:rPr>
          <w:lang w:val="sr-Cyrl-CS"/>
        </w:rPr>
        <w:t>У структури прилива капитала доминираће стране директне инвестиц</w:t>
      </w:r>
      <w:r w:rsidR="00AB0A2B" w:rsidRPr="00092ED7">
        <w:rPr>
          <w:lang w:val="sr-Cyrl-CS"/>
        </w:rPr>
        <w:t>и</w:t>
      </w:r>
      <w:r w:rsidRPr="00092ED7">
        <w:rPr>
          <w:lang w:val="sr-Cyrl-CS"/>
        </w:rPr>
        <w:t xml:space="preserve">је (око 5% БДП-а просечно годишње) за које се очекује да ће наставити да буду претежно усмерене у разменљиве секторе. И у средњем року се очекује задржавање девизних резерви на адекватном нивоу. Процењује се да ће покривеност просечног месечног увоза робе и услуга девизним резервама износити око </w:t>
      </w:r>
      <w:r w:rsidR="00AB0A2B" w:rsidRPr="00092ED7">
        <w:rPr>
          <w:lang w:val="sr-Cyrl-CS"/>
        </w:rPr>
        <w:t xml:space="preserve">пет </w:t>
      </w:r>
      <w:r w:rsidRPr="00092ED7">
        <w:rPr>
          <w:lang w:val="sr-Cyrl-CS"/>
        </w:rPr>
        <w:t>месеци, уз раст покривености краткорочног дуга (посматрано по преосталој рочности) девизним резервама.</w:t>
      </w:r>
    </w:p>
    <w:p w14:paraId="7C8024E6" w14:textId="5622D527" w:rsidR="00CF67AF" w:rsidRPr="00092ED7" w:rsidRDefault="00BD3989" w:rsidP="00BD3989">
      <w:pPr>
        <w:spacing w:after="60"/>
        <w:rPr>
          <w:szCs w:val="24"/>
          <w:lang w:val="sr-Cyrl-CS"/>
        </w:rPr>
      </w:pPr>
      <w:r w:rsidRPr="00092ED7">
        <w:rPr>
          <w:lang w:val="sr-Cyrl-CS"/>
        </w:rPr>
        <w:t xml:space="preserve">Када се говори о кретању спољног дуга у средњем року, анализа одрживости спољног дуга показује да ће се по свим макроекономсмким сценаријима (који претпостављају разичиту стопу раста БДП-а, каматних стопа, као и девизног курса), осим сценарија са реалном депрецијацијом од 30% у 2023. години, </w:t>
      </w:r>
      <w:r w:rsidRPr="00092ED7">
        <w:rPr>
          <w:b/>
          <w:bCs/>
          <w:lang w:val="sr-Cyrl-CS"/>
        </w:rPr>
        <w:t>спољни дуг у средњем року смањивати</w:t>
      </w:r>
      <w:r w:rsidRPr="00092ED7">
        <w:rPr>
          <w:lang w:val="sr-Cyrl-CS"/>
        </w:rPr>
        <w:t xml:space="preserve">. </w:t>
      </w:r>
      <w:r w:rsidRPr="00092ED7">
        <w:rPr>
          <w:b/>
          <w:bCs/>
          <w:lang w:val="sr-Cyrl-CS"/>
        </w:rPr>
        <w:t xml:space="preserve">Према основном сценарију, спољни дуг </w:t>
      </w:r>
      <w:r w:rsidR="00AB0A2B" w:rsidRPr="00092ED7">
        <w:rPr>
          <w:b/>
          <w:bCs/>
          <w:lang w:val="sr-Cyrl-CS"/>
        </w:rPr>
        <w:t xml:space="preserve">Републике </w:t>
      </w:r>
      <w:r w:rsidRPr="00092ED7">
        <w:rPr>
          <w:b/>
          <w:bCs/>
          <w:lang w:val="sr-Cyrl-CS"/>
        </w:rPr>
        <w:t xml:space="preserve">Србије би се на крају 2027. </w:t>
      </w:r>
      <w:r w:rsidR="00AB0A2B" w:rsidRPr="00092ED7">
        <w:rPr>
          <w:b/>
          <w:bCs/>
          <w:lang w:val="sr-Cyrl-CS"/>
        </w:rPr>
        <w:t xml:space="preserve">године </w:t>
      </w:r>
      <w:r w:rsidRPr="00092ED7">
        <w:rPr>
          <w:b/>
          <w:bCs/>
          <w:lang w:val="sr-Cyrl-CS"/>
        </w:rPr>
        <w:t>нашао на нивоу од око 60% БДП-а</w:t>
      </w:r>
      <w:r w:rsidRPr="00092ED7">
        <w:rPr>
          <w:lang w:val="sr-Cyrl-CS"/>
        </w:rPr>
        <w:t xml:space="preserve">. Један од основних фактора који ће допринети овом смањењу </w:t>
      </w:r>
      <w:r w:rsidR="00C04157" w:rsidRPr="00092ED7">
        <w:rPr>
          <w:lang w:val="sr-Cyrl-CS"/>
        </w:rPr>
        <w:t>је повећање степена отворености</w:t>
      </w:r>
      <w:r w:rsidRPr="00092ED7">
        <w:rPr>
          <w:lang w:val="sr-Cyrl-CS"/>
        </w:rPr>
        <w:t xml:space="preserve"> економије (мерено као проценат извоза и увоза роба и услуга у БДП-у) на око 130% БДП-а у 2027. години са 116% БДП-а у 2021. години. На повећање отворености економије и њену већу интеграцију у глобалне трговинске токове свакако утиче висок прилив страних директних инвестиција, који се ове године пројектује на нивоу од око 3,8 млрд евра, што је блиско нивоу из претходне године која је била рекордна по овом питању. С обзиром да је највећи део ових инвестиција био усмерен у разменљиве секторе, међу највећим извозницима </w:t>
      </w:r>
      <w:r w:rsidR="00AB0A2B" w:rsidRPr="00092ED7">
        <w:rPr>
          <w:lang w:val="sr-Cyrl-CS"/>
        </w:rPr>
        <w:t xml:space="preserve">Републике </w:t>
      </w:r>
      <w:r w:rsidRPr="00092ED7">
        <w:rPr>
          <w:lang w:val="sr-Cyrl-CS"/>
        </w:rPr>
        <w:t xml:space="preserve">Србије се и налазе углавном компаније у страном власништву. Наставак ЕУ интеграција, заједно с билатералним споразумима о слободној трговини (нпр. са Русијом, </w:t>
      </w:r>
      <w:r w:rsidR="00AB0A2B" w:rsidRPr="00092ED7">
        <w:rPr>
          <w:lang w:val="sr-Cyrl-CS"/>
        </w:rPr>
        <w:t xml:space="preserve">Републиком </w:t>
      </w:r>
      <w:r w:rsidRPr="00092ED7">
        <w:rPr>
          <w:lang w:val="sr-Cyrl-CS"/>
        </w:rPr>
        <w:t xml:space="preserve">Турском, </w:t>
      </w:r>
      <w:r w:rsidR="00AB0A2B" w:rsidRPr="00092ED7">
        <w:rPr>
          <w:lang w:val="sr-Cyrl-CS"/>
        </w:rPr>
        <w:t>Републиком</w:t>
      </w:r>
      <w:r w:rsidR="00B86E8D" w:rsidRPr="00092ED7">
        <w:rPr>
          <w:lang w:val="sr-Cyrl-CS"/>
        </w:rPr>
        <w:t xml:space="preserve"> </w:t>
      </w:r>
      <w:r w:rsidRPr="00092ED7">
        <w:rPr>
          <w:lang w:val="sr-Cyrl-CS"/>
        </w:rPr>
        <w:t xml:space="preserve">Белорусијом и </w:t>
      </w:r>
      <w:r w:rsidR="00AB0A2B" w:rsidRPr="00092ED7">
        <w:rPr>
          <w:lang w:val="sr-Cyrl-CS"/>
        </w:rPr>
        <w:t xml:space="preserve">Републиком </w:t>
      </w:r>
      <w:r w:rsidRPr="00092ED7">
        <w:rPr>
          <w:lang w:val="sr-Cyrl-CS"/>
        </w:rPr>
        <w:t xml:space="preserve">Казахстаном) и споразума са економским групацијама (ЦЕФТА, ЕФТА, Евроазијска економска унија) које Влада закључује и уз одржавање постигнуте макроекономске </w:t>
      </w:r>
      <w:r w:rsidRPr="00092ED7">
        <w:rPr>
          <w:lang w:val="sr-Cyrl-CS"/>
        </w:rPr>
        <w:lastRenderedPageBreak/>
        <w:t>стабилности, довешће до даљег унапређења пословне климе, што ће омогућити већу међународну размену и наставак раста страних директних инвестиција.</w:t>
      </w:r>
    </w:p>
    <w:p w14:paraId="5B14780D" w14:textId="77777777" w:rsidR="00C4765D" w:rsidRPr="00092ED7" w:rsidRDefault="00735870" w:rsidP="0020125C">
      <w:pPr>
        <w:keepNext/>
        <w:keepLines/>
        <w:spacing w:before="120"/>
        <w:outlineLvl w:val="1"/>
        <w:rPr>
          <w:rFonts w:eastAsia="Calibri" w:cs="Times New Roman"/>
          <w:b/>
          <w:szCs w:val="24"/>
          <w:lang w:val="sr-Cyrl-CS"/>
        </w:rPr>
      </w:pPr>
      <w:bookmarkStart w:id="20" w:name="_Toc124174792"/>
      <w:r w:rsidRPr="00092ED7">
        <w:rPr>
          <w:rFonts w:eastAsia="Calibri" w:cs="Times New Roman"/>
          <w:b/>
          <w:szCs w:val="24"/>
          <w:lang w:val="sr-Cyrl-CS"/>
        </w:rPr>
        <w:t>3.</w:t>
      </w:r>
      <w:r w:rsidR="00C4765D" w:rsidRPr="00092ED7">
        <w:rPr>
          <w:rFonts w:eastAsia="Calibri" w:cs="Times New Roman"/>
          <w:b/>
          <w:szCs w:val="24"/>
          <w:lang w:val="sr-Cyrl-CS"/>
        </w:rPr>
        <w:t xml:space="preserve">4. </w:t>
      </w:r>
      <w:r w:rsidR="0047017C" w:rsidRPr="00092ED7">
        <w:rPr>
          <w:rFonts w:eastAsia="Calibri" w:cs="Times New Roman"/>
          <w:b/>
          <w:szCs w:val="24"/>
          <w:lang w:val="sr-Cyrl-CS"/>
        </w:rPr>
        <w:t>АЛТЕРНАТИВНИ СЦЕНАРИО И РИЗИЦИ</w:t>
      </w:r>
      <w:bookmarkEnd w:id="20"/>
    </w:p>
    <w:p w14:paraId="3B4E6529" w14:textId="1AB062D8" w:rsidR="00B94540" w:rsidRPr="00092ED7" w:rsidRDefault="00B94540" w:rsidP="00B94540">
      <w:pPr>
        <w:autoSpaceDE w:val="0"/>
        <w:autoSpaceDN w:val="0"/>
        <w:adjustRightInd w:val="0"/>
        <w:spacing w:after="60"/>
        <w:rPr>
          <w:rFonts w:cstheme="minorHAnsi"/>
          <w:bCs/>
          <w:szCs w:val="72"/>
          <w:lang w:val="sr-Cyrl-CS"/>
        </w:rPr>
      </w:pPr>
      <w:r w:rsidRPr="00092ED7">
        <w:rPr>
          <w:rFonts w:cstheme="minorHAnsi"/>
          <w:bCs/>
          <w:szCs w:val="72"/>
          <w:lang w:val="sr-Cyrl-CS"/>
        </w:rPr>
        <w:t>Средњорочни сценарио кретања привредне активности Републике Србије је и даље под утицајем бројних ризика из међународног окружења. Ризици макроекономског оквира у највећој мери потичу од неизвесности у погледу развоја ситуације у Украјини и утицаја нових међународних економских и политичких односа. Кретања цена енергената, глобална ограничења трговине, као и већа неизвесност у односу на тренутна очекивања могу имати значајно већи утицај на домаћу економију. У складу са тим</w:t>
      </w:r>
      <w:r w:rsidR="00A237A4" w:rsidRPr="00092ED7">
        <w:rPr>
          <w:rFonts w:cstheme="minorHAnsi"/>
          <w:bCs/>
          <w:szCs w:val="72"/>
          <w:lang w:val="sr-Cyrl-CS"/>
        </w:rPr>
        <w:t>,</w:t>
      </w:r>
      <w:r w:rsidRPr="00092ED7">
        <w:rPr>
          <w:rFonts w:cstheme="minorHAnsi"/>
          <w:bCs/>
          <w:szCs w:val="72"/>
          <w:lang w:val="sr-Cyrl-CS"/>
        </w:rPr>
        <w:t xml:space="preserve"> креиран је и алтернативни сценарио који подразумева материјализацију ризика из међународног окружења и последично мање стопе привредног раста, посебно у 2023. години.</w:t>
      </w:r>
    </w:p>
    <w:p w14:paraId="498BB8F3" w14:textId="77777777" w:rsidR="00B94540" w:rsidRPr="00092ED7" w:rsidRDefault="00B94540" w:rsidP="00B94540">
      <w:pPr>
        <w:spacing w:after="60"/>
        <w:rPr>
          <w:rFonts w:eastAsia="Calibri" w:cs="Times New Roman"/>
          <w:bCs/>
          <w:szCs w:val="24"/>
          <w:lang w:val="sr-Cyrl-CS"/>
        </w:rPr>
      </w:pPr>
      <w:r w:rsidRPr="00092ED7">
        <w:rPr>
          <w:rFonts w:eastAsia="Calibri" w:cs="Times New Roman"/>
          <w:bCs/>
          <w:szCs w:val="24"/>
          <w:lang w:val="sr-Cyrl-CS"/>
        </w:rPr>
        <w:t>У том сценарију пошло се од претпоставке додатног смањења спољне тражње, услед мање производне активности еврозоне као последице недовољних количина енергената, а посебно гаса, које би условиле прекиде производње, као и поремећајe у ланцима снабдевања. Поред тога, геополитичке напетости биле би оштрије него у основном сценарију, што би довело до додатних финансијских поремећаја и продубљивања неизвесности. Оваква кретања одразила би се на повећање трошкова производње и смањење потенцијала пословних субјеката да инвестирају у нове производне капацитете што би имало за последицу мањи раст инвестиција од очекиваног. Последично, дошло би и до смањења очекиваног обима спољнотрговинске размене. Поред тога, већи раст цена негативно би утицао и на реални расположиви доходак становништва и спорији раст приватне потрошње од првобитно очекиваног. Материјализација ових ризика имала би за последицу мању стопу раста БДП за 2,0 п.п. у 2023. години од оне у основном сценарију, будући да би се наведени фактори у највећој мери одразили на извозну активност, динамику инвестиционе компоненте БДП, као и на приватну потрошњу. У 2024. и 2025. години разлике у односу на првобитна очекивања биле би мање због постепеног опоравка привреде од шокова и ниже базе.</w:t>
      </w:r>
    </w:p>
    <w:p w14:paraId="10432111" w14:textId="77777777" w:rsidR="00B94540" w:rsidRPr="00092ED7" w:rsidRDefault="00B94540" w:rsidP="00B94540">
      <w:pPr>
        <w:autoSpaceDE w:val="0"/>
        <w:autoSpaceDN w:val="0"/>
        <w:adjustRightInd w:val="0"/>
        <w:spacing w:before="120" w:after="60"/>
        <w:rPr>
          <w:rFonts w:eastAsia="Constantia" w:cs="Times New Roman"/>
          <w:szCs w:val="24"/>
          <w:lang w:val="sr-Cyrl-CS"/>
        </w:rPr>
      </w:pPr>
      <w:r w:rsidRPr="00092ED7">
        <w:rPr>
          <w:rFonts w:eastAsia="Constantia" w:cs="Times New Roman"/>
          <w:szCs w:val="24"/>
          <w:lang w:val="sr-Cyrl-CS"/>
        </w:rPr>
        <w:t>Графикон 3. Пројекција кретања БДП, међугодишње стопе раста, %</w:t>
      </w:r>
    </w:p>
    <w:p w14:paraId="7A583408" w14:textId="77777777" w:rsidR="00B94540" w:rsidRPr="00092ED7" w:rsidRDefault="00B94540" w:rsidP="00B94540">
      <w:pPr>
        <w:autoSpaceDE w:val="0"/>
        <w:autoSpaceDN w:val="0"/>
        <w:adjustRightInd w:val="0"/>
        <w:spacing w:after="240"/>
        <w:rPr>
          <w:rFonts w:eastAsia="Constantia" w:cs="Times New Roman"/>
          <w:szCs w:val="24"/>
          <w:lang w:val="sr-Cyrl-CS"/>
        </w:rPr>
      </w:pPr>
      <w:r w:rsidRPr="00092ED7">
        <w:rPr>
          <w:noProof/>
        </w:rPr>
        <w:drawing>
          <wp:inline distT="0" distB="0" distL="0" distR="0" wp14:anchorId="19F2EDD8" wp14:editId="179B3F54">
            <wp:extent cx="5591908" cy="2373923"/>
            <wp:effectExtent l="0" t="0" r="0" b="0"/>
            <wp:docPr id="44" name="Chart 44">
              <a:extLst xmlns:a="http://schemas.openxmlformats.org/drawingml/2006/main">
                <a:ext uri="{FF2B5EF4-FFF2-40B4-BE49-F238E27FC236}">
                  <a16:creationId xmlns:a16="http://schemas.microsoft.com/office/drawing/2014/main" id="{00000000-0008-0000-08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24D11337" w14:textId="77777777" w:rsidR="00B94540" w:rsidRPr="00092ED7" w:rsidRDefault="00B94540" w:rsidP="00B94540">
      <w:pPr>
        <w:autoSpaceDE w:val="0"/>
        <w:autoSpaceDN w:val="0"/>
        <w:adjustRightInd w:val="0"/>
        <w:spacing w:before="120" w:after="60"/>
        <w:rPr>
          <w:rFonts w:eastAsia="Constantia" w:cs="Times New Roman"/>
          <w:szCs w:val="24"/>
          <w:lang w:val="sr-Cyrl-CS"/>
        </w:rPr>
      </w:pPr>
      <w:r w:rsidRPr="00092ED7">
        <w:rPr>
          <w:rFonts w:eastAsia="Constantia" w:cs="Times New Roman"/>
          <w:szCs w:val="24"/>
          <w:lang w:val="sr-Cyrl-CS"/>
        </w:rPr>
        <w:t>Табела 3. Алтернативни макроекономски сценарио</w:t>
      </w:r>
    </w:p>
    <w:tbl>
      <w:tblPr>
        <w:tblStyle w:val="TableGrid1"/>
        <w:tblW w:w="5003" w:type="pct"/>
        <w:tblLayout w:type="fixed"/>
        <w:tblLook w:val="04A0" w:firstRow="1" w:lastRow="0" w:firstColumn="1" w:lastColumn="0" w:noHBand="0" w:noVBand="1"/>
      </w:tblPr>
      <w:tblGrid>
        <w:gridCol w:w="4299"/>
        <w:gridCol w:w="1180"/>
        <w:gridCol w:w="1180"/>
        <w:gridCol w:w="1180"/>
        <w:gridCol w:w="1182"/>
      </w:tblGrid>
      <w:tr w:rsidR="00B94540" w:rsidRPr="00092ED7" w14:paraId="0B7501A7" w14:textId="77777777" w:rsidTr="00B94540">
        <w:trPr>
          <w:trHeight w:val="237"/>
        </w:trPr>
        <w:tc>
          <w:tcPr>
            <w:tcW w:w="2383" w:type="pct"/>
            <w:vMerge w:val="restart"/>
            <w:noWrap/>
            <w:hideMark/>
          </w:tcPr>
          <w:p w14:paraId="03DAE5A6" w14:textId="77777777" w:rsidR="00B94540" w:rsidRPr="00092ED7" w:rsidRDefault="00B94540" w:rsidP="00B94540">
            <w:pPr>
              <w:spacing w:after="0"/>
              <w:rPr>
                <w:sz w:val="20"/>
                <w:szCs w:val="20"/>
              </w:rPr>
            </w:pPr>
          </w:p>
        </w:tc>
        <w:tc>
          <w:tcPr>
            <w:tcW w:w="654" w:type="pct"/>
            <w:noWrap/>
            <w:hideMark/>
          </w:tcPr>
          <w:p w14:paraId="7FA8BB69" w14:textId="77777777" w:rsidR="00B94540" w:rsidRPr="00092ED7" w:rsidRDefault="00B94540" w:rsidP="00B94540">
            <w:pPr>
              <w:spacing w:after="0"/>
              <w:jc w:val="center"/>
              <w:rPr>
                <w:sz w:val="20"/>
                <w:szCs w:val="20"/>
              </w:rPr>
            </w:pPr>
            <w:r w:rsidRPr="00092ED7">
              <w:rPr>
                <w:sz w:val="20"/>
                <w:szCs w:val="20"/>
              </w:rPr>
              <w:t>Процена</w:t>
            </w:r>
          </w:p>
        </w:tc>
        <w:tc>
          <w:tcPr>
            <w:tcW w:w="1961" w:type="pct"/>
            <w:gridSpan w:val="3"/>
            <w:hideMark/>
          </w:tcPr>
          <w:p w14:paraId="072AAE7F" w14:textId="77777777" w:rsidR="00B94540" w:rsidRPr="00092ED7" w:rsidRDefault="00B94540" w:rsidP="00B94540">
            <w:pPr>
              <w:spacing w:after="0"/>
              <w:jc w:val="center"/>
              <w:rPr>
                <w:sz w:val="20"/>
                <w:szCs w:val="20"/>
              </w:rPr>
            </w:pPr>
            <w:r w:rsidRPr="00092ED7">
              <w:rPr>
                <w:sz w:val="20"/>
                <w:szCs w:val="20"/>
              </w:rPr>
              <w:t>Пројекција</w:t>
            </w:r>
          </w:p>
        </w:tc>
      </w:tr>
      <w:tr w:rsidR="00B94540" w:rsidRPr="00092ED7" w14:paraId="5477D1A1" w14:textId="77777777" w:rsidTr="00B94540">
        <w:trPr>
          <w:trHeight w:val="196"/>
        </w:trPr>
        <w:tc>
          <w:tcPr>
            <w:tcW w:w="2383" w:type="pct"/>
            <w:vMerge/>
            <w:hideMark/>
          </w:tcPr>
          <w:p w14:paraId="22CD0A09" w14:textId="77777777" w:rsidR="00B94540" w:rsidRPr="00092ED7" w:rsidRDefault="00B94540" w:rsidP="00B94540">
            <w:pPr>
              <w:spacing w:after="0"/>
              <w:rPr>
                <w:sz w:val="20"/>
                <w:szCs w:val="20"/>
              </w:rPr>
            </w:pPr>
          </w:p>
        </w:tc>
        <w:tc>
          <w:tcPr>
            <w:tcW w:w="654" w:type="pct"/>
            <w:noWrap/>
            <w:hideMark/>
          </w:tcPr>
          <w:p w14:paraId="2F06AEBF" w14:textId="77777777" w:rsidR="00B94540" w:rsidRPr="00092ED7" w:rsidRDefault="00B94540" w:rsidP="00B94540">
            <w:pPr>
              <w:spacing w:after="0"/>
              <w:jc w:val="center"/>
              <w:rPr>
                <w:b/>
                <w:bCs/>
                <w:sz w:val="20"/>
                <w:szCs w:val="20"/>
              </w:rPr>
            </w:pPr>
            <w:r w:rsidRPr="00092ED7">
              <w:rPr>
                <w:b/>
                <w:bCs/>
                <w:sz w:val="20"/>
                <w:szCs w:val="20"/>
              </w:rPr>
              <w:t>2022</w:t>
            </w:r>
          </w:p>
        </w:tc>
        <w:tc>
          <w:tcPr>
            <w:tcW w:w="654" w:type="pct"/>
            <w:noWrap/>
            <w:hideMark/>
          </w:tcPr>
          <w:p w14:paraId="2E6AA70F" w14:textId="77777777" w:rsidR="00B94540" w:rsidRPr="00092ED7" w:rsidRDefault="00B94540" w:rsidP="00B94540">
            <w:pPr>
              <w:spacing w:after="0"/>
              <w:jc w:val="center"/>
              <w:rPr>
                <w:b/>
                <w:bCs/>
                <w:sz w:val="20"/>
                <w:szCs w:val="20"/>
              </w:rPr>
            </w:pPr>
            <w:r w:rsidRPr="00092ED7">
              <w:rPr>
                <w:b/>
                <w:bCs/>
                <w:sz w:val="20"/>
                <w:szCs w:val="20"/>
              </w:rPr>
              <w:t>2023</w:t>
            </w:r>
          </w:p>
        </w:tc>
        <w:tc>
          <w:tcPr>
            <w:tcW w:w="654" w:type="pct"/>
            <w:noWrap/>
            <w:hideMark/>
          </w:tcPr>
          <w:p w14:paraId="4C97C3D7" w14:textId="77777777" w:rsidR="00B94540" w:rsidRPr="00092ED7" w:rsidRDefault="00B94540" w:rsidP="00B94540">
            <w:pPr>
              <w:spacing w:after="0"/>
              <w:jc w:val="center"/>
              <w:rPr>
                <w:b/>
                <w:bCs/>
                <w:sz w:val="20"/>
                <w:szCs w:val="20"/>
              </w:rPr>
            </w:pPr>
            <w:r w:rsidRPr="00092ED7">
              <w:rPr>
                <w:b/>
                <w:bCs/>
                <w:sz w:val="20"/>
                <w:szCs w:val="20"/>
              </w:rPr>
              <w:t>2024</w:t>
            </w:r>
          </w:p>
        </w:tc>
        <w:tc>
          <w:tcPr>
            <w:tcW w:w="655" w:type="pct"/>
            <w:noWrap/>
            <w:hideMark/>
          </w:tcPr>
          <w:p w14:paraId="7540DD54" w14:textId="77777777" w:rsidR="00B94540" w:rsidRPr="00092ED7" w:rsidRDefault="00B94540" w:rsidP="00B94540">
            <w:pPr>
              <w:spacing w:after="0"/>
              <w:jc w:val="center"/>
              <w:rPr>
                <w:b/>
                <w:bCs/>
                <w:sz w:val="20"/>
                <w:szCs w:val="20"/>
              </w:rPr>
            </w:pPr>
            <w:r w:rsidRPr="00092ED7">
              <w:rPr>
                <w:b/>
                <w:bCs/>
                <w:sz w:val="20"/>
                <w:szCs w:val="20"/>
              </w:rPr>
              <w:t>2025</w:t>
            </w:r>
          </w:p>
        </w:tc>
      </w:tr>
      <w:tr w:rsidR="00B94540" w:rsidRPr="00092ED7" w14:paraId="110E8716" w14:textId="77777777" w:rsidTr="00B94540">
        <w:trPr>
          <w:trHeight w:val="237"/>
        </w:trPr>
        <w:tc>
          <w:tcPr>
            <w:tcW w:w="2383" w:type="pct"/>
            <w:noWrap/>
            <w:hideMark/>
          </w:tcPr>
          <w:p w14:paraId="13B1FFE8" w14:textId="77777777" w:rsidR="00B94540" w:rsidRPr="00092ED7" w:rsidRDefault="00B94540" w:rsidP="00B94540">
            <w:pPr>
              <w:spacing w:after="0"/>
              <w:rPr>
                <w:b/>
                <w:sz w:val="20"/>
                <w:szCs w:val="20"/>
              </w:rPr>
            </w:pPr>
            <w:r w:rsidRPr="00092ED7">
              <w:rPr>
                <w:b/>
                <w:sz w:val="20"/>
                <w:szCs w:val="20"/>
              </w:rPr>
              <w:t>БДП, млрд динара (текуће цене)</w:t>
            </w:r>
          </w:p>
        </w:tc>
        <w:tc>
          <w:tcPr>
            <w:tcW w:w="654" w:type="pct"/>
            <w:tcBorders>
              <w:top w:val="single" w:sz="4" w:space="0" w:color="002060"/>
            </w:tcBorders>
            <w:noWrap/>
          </w:tcPr>
          <w:p w14:paraId="2EB328C5" w14:textId="77777777" w:rsidR="00B94540" w:rsidRPr="00092ED7" w:rsidRDefault="00B94540" w:rsidP="00B94540">
            <w:pPr>
              <w:spacing w:after="0"/>
              <w:jc w:val="center"/>
              <w:rPr>
                <w:b/>
                <w:bCs/>
                <w:sz w:val="20"/>
                <w:szCs w:val="20"/>
              </w:rPr>
            </w:pPr>
            <w:r w:rsidRPr="00092ED7">
              <w:rPr>
                <w:b/>
                <w:bCs/>
                <w:sz w:val="20"/>
                <w:szCs w:val="20"/>
              </w:rPr>
              <w:t>7.082,5</w:t>
            </w:r>
          </w:p>
        </w:tc>
        <w:tc>
          <w:tcPr>
            <w:tcW w:w="654" w:type="pct"/>
            <w:tcBorders>
              <w:top w:val="single" w:sz="4" w:space="0" w:color="002060"/>
            </w:tcBorders>
            <w:noWrap/>
          </w:tcPr>
          <w:p w14:paraId="2A2FDDF7" w14:textId="77777777" w:rsidR="00B94540" w:rsidRPr="00092ED7" w:rsidRDefault="00B94540" w:rsidP="00B94540">
            <w:pPr>
              <w:spacing w:after="0"/>
              <w:jc w:val="center"/>
              <w:rPr>
                <w:b/>
                <w:bCs/>
                <w:sz w:val="20"/>
                <w:szCs w:val="20"/>
              </w:rPr>
            </w:pPr>
            <w:r w:rsidRPr="00092ED7">
              <w:rPr>
                <w:b/>
                <w:bCs/>
                <w:sz w:val="20"/>
                <w:szCs w:val="20"/>
              </w:rPr>
              <w:t>7.929,9</w:t>
            </w:r>
          </w:p>
        </w:tc>
        <w:tc>
          <w:tcPr>
            <w:tcW w:w="654" w:type="pct"/>
            <w:tcBorders>
              <w:top w:val="single" w:sz="4" w:space="0" w:color="002060"/>
            </w:tcBorders>
            <w:noWrap/>
          </w:tcPr>
          <w:p w14:paraId="096322C0" w14:textId="77777777" w:rsidR="00B94540" w:rsidRPr="00092ED7" w:rsidRDefault="00B94540" w:rsidP="00B94540">
            <w:pPr>
              <w:spacing w:after="0"/>
              <w:jc w:val="center"/>
              <w:rPr>
                <w:b/>
                <w:bCs/>
                <w:sz w:val="20"/>
                <w:szCs w:val="20"/>
              </w:rPr>
            </w:pPr>
            <w:r w:rsidRPr="00092ED7">
              <w:rPr>
                <w:b/>
                <w:bCs/>
                <w:sz w:val="20"/>
                <w:szCs w:val="20"/>
              </w:rPr>
              <w:t>8.527,0</w:t>
            </w:r>
          </w:p>
        </w:tc>
        <w:tc>
          <w:tcPr>
            <w:tcW w:w="655" w:type="pct"/>
            <w:tcBorders>
              <w:top w:val="single" w:sz="4" w:space="0" w:color="002060"/>
            </w:tcBorders>
            <w:noWrap/>
          </w:tcPr>
          <w:p w14:paraId="3B38E74F" w14:textId="77777777" w:rsidR="00B94540" w:rsidRPr="00092ED7" w:rsidRDefault="00B94540" w:rsidP="00B94540">
            <w:pPr>
              <w:spacing w:after="0"/>
              <w:jc w:val="center"/>
              <w:rPr>
                <w:b/>
                <w:bCs/>
                <w:sz w:val="20"/>
                <w:szCs w:val="20"/>
              </w:rPr>
            </w:pPr>
            <w:r w:rsidRPr="00092ED7">
              <w:rPr>
                <w:b/>
                <w:bCs/>
                <w:sz w:val="20"/>
                <w:szCs w:val="20"/>
              </w:rPr>
              <w:t>9.120,3</w:t>
            </w:r>
          </w:p>
        </w:tc>
      </w:tr>
      <w:tr w:rsidR="00B94540" w:rsidRPr="00092ED7" w14:paraId="3A316E8F" w14:textId="77777777" w:rsidTr="00B94540">
        <w:trPr>
          <w:trHeight w:val="162"/>
        </w:trPr>
        <w:tc>
          <w:tcPr>
            <w:tcW w:w="2383" w:type="pct"/>
            <w:noWrap/>
            <w:hideMark/>
          </w:tcPr>
          <w:p w14:paraId="7561121C" w14:textId="77777777" w:rsidR="00B94540" w:rsidRPr="00092ED7" w:rsidRDefault="00B94540" w:rsidP="00B94540">
            <w:pPr>
              <w:spacing w:after="0"/>
              <w:rPr>
                <w:sz w:val="20"/>
                <w:szCs w:val="20"/>
              </w:rPr>
            </w:pPr>
            <w:r w:rsidRPr="00092ED7">
              <w:rPr>
                <w:sz w:val="20"/>
                <w:szCs w:val="20"/>
              </w:rPr>
              <w:t>Реални раст БДП, %</w:t>
            </w:r>
          </w:p>
        </w:tc>
        <w:tc>
          <w:tcPr>
            <w:tcW w:w="654" w:type="pct"/>
            <w:noWrap/>
          </w:tcPr>
          <w:p w14:paraId="2800A213" w14:textId="77777777" w:rsidR="00B94540" w:rsidRPr="00092ED7" w:rsidRDefault="00B94540" w:rsidP="00B94540">
            <w:pPr>
              <w:spacing w:after="0"/>
              <w:jc w:val="center"/>
              <w:rPr>
                <w:bCs/>
                <w:sz w:val="20"/>
                <w:szCs w:val="20"/>
              </w:rPr>
            </w:pPr>
            <w:r w:rsidRPr="00092ED7">
              <w:rPr>
                <w:bCs/>
                <w:sz w:val="20"/>
                <w:szCs w:val="20"/>
              </w:rPr>
              <w:t>2,5</w:t>
            </w:r>
          </w:p>
        </w:tc>
        <w:tc>
          <w:tcPr>
            <w:tcW w:w="654" w:type="pct"/>
            <w:noWrap/>
          </w:tcPr>
          <w:p w14:paraId="3B568DF1" w14:textId="77777777" w:rsidR="00B94540" w:rsidRPr="00092ED7" w:rsidRDefault="00B94540" w:rsidP="00B94540">
            <w:pPr>
              <w:spacing w:after="0"/>
              <w:jc w:val="center"/>
              <w:rPr>
                <w:bCs/>
                <w:sz w:val="20"/>
                <w:szCs w:val="20"/>
              </w:rPr>
            </w:pPr>
            <w:r w:rsidRPr="00092ED7">
              <w:rPr>
                <w:bCs/>
                <w:sz w:val="20"/>
                <w:szCs w:val="20"/>
              </w:rPr>
              <w:t>0,5</w:t>
            </w:r>
          </w:p>
        </w:tc>
        <w:tc>
          <w:tcPr>
            <w:tcW w:w="654" w:type="pct"/>
            <w:noWrap/>
          </w:tcPr>
          <w:p w14:paraId="029024A1" w14:textId="77777777" w:rsidR="00B94540" w:rsidRPr="00092ED7" w:rsidRDefault="00B94540" w:rsidP="00B94540">
            <w:pPr>
              <w:spacing w:after="0"/>
              <w:jc w:val="center"/>
              <w:rPr>
                <w:bCs/>
                <w:sz w:val="20"/>
                <w:szCs w:val="20"/>
              </w:rPr>
            </w:pPr>
            <w:r w:rsidRPr="00092ED7">
              <w:rPr>
                <w:bCs/>
                <w:sz w:val="20"/>
                <w:szCs w:val="20"/>
              </w:rPr>
              <w:t>2,5</w:t>
            </w:r>
          </w:p>
        </w:tc>
        <w:tc>
          <w:tcPr>
            <w:tcW w:w="655" w:type="pct"/>
            <w:noWrap/>
          </w:tcPr>
          <w:p w14:paraId="6ED9F24D" w14:textId="77777777" w:rsidR="00B94540" w:rsidRPr="00092ED7" w:rsidRDefault="00B94540" w:rsidP="00B94540">
            <w:pPr>
              <w:spacing w:after="0"/>
              <w:jc w:val="center"/>
              <w:rPr>
                <w:bCs/>
                <w:sz w:val="20"/>
                <w:szCs w:val="20"/>
              </w:rPr>
            </w:pPr>
            <w:r w:rsidRPr="00092ED7">
              <w:rPr>
                <w:bCs/>
                <w:sz w:val="20"/>
                <w:szCs w:val="20"/>
              </w:rPr>
              <w:t>3,0</w:t>
            </w:r>
          </w:p>
        </w:tc>
      </w:tr>
      <w:tr w:rsidR="00B94540" w:rsidRPr="00092ED7" w14:paraId="4C61243D" w14:textId="77777777" w:rsidTr="00B94540">
        <w:trPr>
          <w:trHeight w:val="126"/>
        </w:trPr>
        <w:tc>
          <w:tcPr>
            <w:tcW w:w="2383" w:type="pct"/>
            <w:tcBorders>
              <w:bottom w:val="single" w:sz="4" w:space="0" w:color="000000"/>
            </w:tcBorders>
            <w:noWrap/>
            <w:hideMark/>
          </w:tcPr>
          <w:p w14:paraId="156B34CD" w14:textId="77777777" w:rsidR="00B94540" w:rsidRPr="00092ED7" w:rsidRDefault="00B94540" w:rsidP="00B94540">
            <w:pPr>
              <w:spacing w:after="0"/>
              <w:rPr>
                <w:sz w:val="20"/>
                <w:szCs w:val="20"/>
              </w:rPr>
            </w:pPr>
            <w:r w:rsidRPr="00092ED7">
              <w:rPr>
                <w:sz w:val="20"/>
                <w:szCs w:val="20"/>
              </w:rPr>
              <w:t>Дефлатор БДП, %</w:t>
            </w:r>
          </w:p>
        </w:tc>
        <w:tc>
          <w:tcPr>
            <w:tcW w:w="654" w:type="pct"/>
            <w:tcBorders>
              <w:bottom w:val="single" w:sz="4" w:space="0" w:color="000000"/>
            </w:tcBorders>
            <w:noWrap/>
          </w:tcPr>
          <w:p w14:paraId="4CD54F93" w14:textId="77777777" w:rsidR="00B94540" w:rsidRPr="00092ED7" w:rsidRDefault="00B94540" w:rsidP="00B94540">
            <w:pPr>
              <w:spacing w:after="0"/>
              <w:jc w:val="center"/>
              <w:rPr>
                <w:bCs/>
                <w:sz w:val="20"/>
                <w:szCs w:val="20"/>
              </w:rPr>
            </w:pPr>
            <w:r w:rsidRPr="00092ED7">
              <w:rPr>
                <w:bCs/>
                <w:sz w:val="20"/>
                <w:szCs w:val="20"/>
              </w:rPr>
              <w:t>10,2</w:t>
            </w:r>
          </w:p>
        </w:tc>
        <w:tc>
          <w:tcPr>
            <w:tcW w:w="654" w:type="pct"/>
            <w:tcBorders>
              <w:bottom w:val="single" w:sz="4" w:space="0" w:color="000000"/>
            </w:tcBorders>
            <w:noWrap/>
          </w:tcPr>
          <w:p w14:paraId="2E5A8F99" w14:textId="77777777" w:rsidR="00B94540" w:rsidRPr="00092ED7" w:rsidRDefault="00B94540" w:rsidP="00B94540">
            <w:pPr>
              <w:spacing w:after="0"/>
              <w:jc w:val="center"/>
              <w:rPr>
                <w:bCs/>
                <w:sz w:val="20"/>
                <w:szCs w:val="20"/>
              </w:rPr>
            </w:pPr>
            <w:r w:rsidRPr="00092ED7">
              <w:rPr>
                <w:bCs/>
                <w:sz w:val="20"/>
                <w:szCs w:val="20"/>
              </w:rPr>
              <w:t>11,5</w:t>
            </w:r>
          </w:p>
        </w:tc>
        <w:tc>
          <w:tcPr>
            <w:tcW w:w="654" w:type="pct"/>
            <w:tcBorders>
              <w:bottom w:val="single" w:sz="4" w:space="0" w:color="000000"/>
            </w:tcBorders>
            <w:noWrap/>
          </w:tcPr>
          <w:p w14:paraId="6343A836" w14:textId="77777777" w:rsidR="00B94540" w:rsidRPr="00092ED7" w:rsidRDefault="00B94540" w:rsidP="00B94540">
            <w:pPr>
              <w:spacing w:after="0"/>
              <w:jc w:val="center"/>
              <w:rPr>
                <w:bCs/>
                <w:sz w:val="20"/>
                <w:szCs w:val="20"/>
              </w:rPr>
            </w:pPr>
            <w:r w:rsidRPr="00092ED7">
              <w:rPr>
                <w:bCs/>
                <w:sz w:val="20"/>
                <w:szCs w:val="20"/>
              </w:rPr>
              <w:t>4,9</w:t>
            </w:r>
          </w:p>
        </w:tc>
        <w:tc>
          <w:tcPr>
            <w:tcW w:w="655" w:type="pct"/>
            <w:tcBorders>
              <w:bottom w:val="single" w:sz="4" w:space="0" w:color="000000"/>
            </w:tcBorders>
            <w:noWrap/>
          </w:tcPr>
          <w:p w14:paraId="35991255" w14:textId="77777777" w:rsidR="00B94540" w:rsidRPr="00092ED7" w:rsidRDefault="00B94540" w:rsidP="00B94540">
            <w:pPr>
              <w:spacing w:after="0"/>
              <w:jc w:val="center"/>
              <w:rPr>
                <w:bCs/>
                <w:sz w:val="20"/>
                <w:szCs w:val="20"/>
              </w:rPr>
            </w:pPr>
            <w:r w:rsidRPr="00092ED7">
              <w:rPr>
                <w:bCs/>
                <w:sz w:val="20"/>
                <w:szCs w:val="20"/>
              </w:rPr>
              <w:t>3,9</w:t>
            </w:r>
          </w:p>
        </w:tc>
      </w:tr>
      <w:tr w:rsidR="00B94540" w:rsidRPr="00092ED7" w14:paraId="444C018C" w14:textId="77777777" w:rsidTr="00B94540">
        <w:trPr>
          <w:trHeight w:val="198"/>
        </w:trPr>
        <w:tc>
          <w:tcPr>
            <w:tcW w:w="2383" w:type="pct"/>
            <w:tcBorders>
              <w:right w:val="nil"/>
            </w:tcBorders>
            <w:noWrap/>
            <w:hideMark/>
          </w:tcPr>
          <w:p w14:paraId="45B81E70" w14:textId="77777777" w:rsidR="00B94540" w:rsidRPr="00092ED7" w:rsidRDefault="00B94540" w:rsidP="00B94540">
            <w:pPr>
              <w:spacing w:after="0"/>
              <w:rPr>
                <w:i/>
                <w:iCs/>
                <w:sz w:val="20"/>
                <w:szCs w:val="20"/>
              </w:rPr>
            </w:pPr>
            <w:r w:rsidRPr="00092ED7">
              <w:rPr>
                <w:i/>
                <w:iCs/>
                <w:sz w:val="20"/>
                <w:szCs w:val="20"/>
              </w:rPr>
              <w:lastRenderedPageBreak/>
              <w:t>Реални раст појединих компоненти БДП, %</w:t>
            </w:r>
          </w:p>
        </w:tc>
        <w:tc>
          <w:tcPr>
            <w:tcW w:w="654" w:type="pct"/>
            <w:tcBorders>
              <w:left w:val="nil"/>
              <w:right w:val="nil"/>
            </w:tcBorders>
          </w:tcPr>
          <w:p w14:paraId="43748634" w14:textId="77777777" w:rsidR="00B94540" w:rsidRPr="00092ED7" w:rsidRDefault="00B94540" w:rsidP="00B94540">
            <w:pPr>
              <w:spacing w:after="0"/>
              <w:jc w:val="center"/>
              <w:rPr>
                <w:i/>
                <w:iCs/>
                <w:sz w:val="20"/>
                <w:szCs w:val="20"/>
              </w:rPr>
            </w:pPr>
          </w:p>
        </w:tc>
        <w:tc>
          <w:tcPr>
            <w:tcW w:w="654" w:type="pct"/>
            <w:tcBorders>
              <w:left w:val="nil"/>
              <w:right w:val="nil"/>
            </w:tcBorders>
          </w:tcPr>
          <w:p w14:paraId="684D58B9" w14:textId="77777777" w:rsidR="00B94540" w:rsidRPr="00092ED7" w:rsidRDefault="00B94540" w:rsidP="00B94540">
            <w:pPr>
              <w:spacing w:after="0"/>
              <w:jc w:val="center"/>
              <w:rPr>
                <w:i/>
                <w:iCs/>
                <w:sz w:val="20"/>
                <w:szCs w:val="20"/>
              </w:rPr>
            </w:pPr>
          </w:p>
        </w:tc>
        <w:tc>
          <w:tcPr>
            <w:tcW w:w="654" w:type="pct"/>
            <w:tcBorders>
              <w:left w:val="nil"/>
              <w:right w:val="nil"/>
            </w:tcBorders>
          </w:tcPr>
          <w:p w14:paraId="7A519742" w14:textId="77777777" w:rsidR="00B94540" w:rsidRPr="00092ED7" w:rsidRDefault="00B94540" w:rsidP="00B94540">
            <w:pPr>
              <w:spacing w:after="0"/>
              <w:jc w:val="center"/>
              <w:rPr>
                <w:i/>
                <w:iCs/>
                <w:sz w:val="20"/>
                <w:szCs w:val="20"/>
              </w:rPr>
            </w:pPr>
          </w:p>
        </w:tc>
        <w:tc>
          <w:tcPr>
            <w:tcW w:w="655" w:type="pct"/>
            <w:tcBorders>
              <w:left w:val="nil"/>
            </w:tcBorders>
          </w:tcPr>
          <w:p w14:paraId="2724A7F4" w14:textId="77777777" w:rsidR="00B94540" w:rsidRPr="00092ED7" w:rsidRDefault="00B94540" w:rsidP="00B94540">
            <w:pPr>
              <w:spacing w:after="0"/>
              <w:jc w:val="center"/>
              <w:rPr>
                <w:i/>
                <w:iCs/>
                <w:sz w:val="20"/>
                <w:szCs w:val="20"/>
              </w:rPr>
            </w:pPr>
          </w:p>
        </w:tc>
      </w:tr>
      <w:tr w:rsidR="00B94540" w:rsidRPr="00092ED7" w14:paraId="4E993BF4" w14:textId="77777777" w:rsidTr="00B94540">
        <w:trPr>
          <w:trHeight w:val="162"/>
        </w:trPr>
        <w:tc>
          <w:tcPr>
            <w:tcW w:w="2383" w:type="pct"/>
            <w:noWrap/>
            <w:hideMark/>
          </w:tcPr>
          <w:p w14:paraId="32E443C2" w14:textId="77777777" w:rsidR="00B94540" w:rsidRPr="00092ED7" w:rsidRDefault="00B94540" w:rsidP="00B94540">
            <w:pPr>
              <w:spacing w:after="0"/>
              <w:rPr>
                <w:sz w:val="20"/>
                <w:szCs w:val="20"/>
              </w:rPr>
            </w:pPr>
            <w:r w:rsidRPr="00092ED7">
              <w:rPr>
                <w:sz w:val="20"/>
                <w:szCs w:val="20"/>
              </w:rPr>
              <w:t xml:space="preserve">   Лична потрошња</w:t>
            </w:r>
          </w:p>
        </w:tc>
        <w:tc>
          <w:tcPr>
            <w:tcW w:w="654" w:type="pct"/>
            <w:noWrap/>
          </w:tcPr>
          <w:p w14:paraId="7A083287" w14:textId="77777777" w:rsidR="00B94540" w:rsidRPr="00092ED7" w:rsidRDefault="00B94540" w:rsidP="00B94540">
            <w:pPr>
              <w:spacing w:after="0"/>
              <w:jc w:val="center"/>
              <w:rPr>
                <w:bCs/>
                <w:sz w:val="20"/>
                <w:szCs w:val="20"/>
              </w:rPr>
            </w:pPr>
            <w:r w:rsidRPr="00092ED7">
              <w:rPr>
                <w:bCs/>
                <w:sz w:val="20"/>
                <w:szCs w:val="20"/>
              </w:rPr>
              <w:t>3,9</w:t>
            </w:r>
          </w:p>
        </w:tc>
        <w:tc>
          <w:tcPr>
            <w:tcW w:w="654" w:type="pct"/>
            <w:noWrap/>
          </w:tcPr>
          <w:p w14:paraId="27876912" w14:textId="77777777" w:rsidR="00B94540" w:rsidRPr="00092ED7" w:rsidRDefault="00B94540" w:rsidP="00B94540">
            <w:pPr>
              <w:spacing w:after="0"/>
              <w:jc w:val="center"/>
              <w:rPr>
                <w:bCs/>
                <w:sz w:val="20"/>
                <w:szCs w:val="20"/>
              </w:rPr>
            </w:pPr>
            <w:r w:rsidRPr="00092ED7">
              <w:rPr>
                <w:bCs/>
                <w:sz w:val="20"/>
                <w:szCs w:val="20"/>
              </w:rPr>
              <w:t>1,3</w:t>
            </w:r>
          </w:p>
        </w:tc>
        <w:tc>
          <w:tcPr>
            <w:tcW w:w="654" w:type="pct"/>
            <w:noWrap/>
          </w:tcPr>
          <w:p w14:paraId="10D68D1E" w14:textId="77777777" w:rsidR="00B94540" w:rsidRPr="00092ED7" w:rsidRDefault="00B94540" w:rsidP="00B94540">
            <w:pPr>
              <w:spacing w:after="0"/>
              <w:jc w:val="center"/>
              <w:rPr>
                <w:bCs/>
                <w:sz w:val="20"/>
                <w:szCs w:val="20"/>
              </w:rPr>
            </w:pPr>
            <w:r w:rsidRPr="00092ED7">
              <w:rPr>
                <w:bCs/>
                <w:sz w:val="20"/>
                <w:szCs w:val="20"/>
              </w:rPr>
              <w:t>2,5</w:t>
            </w:r>
          </w:p>
        </w:tc>
        <w:tc>
          <w:tcPr>
            <w:tcW w:w="655" w:type="pct"/>
            <w:noWrap/>
          </w:tcPr>
          <w:p w14:paraId="11F06682" w14:textId="77777777" w:rsidR="00B94540" w:rsidRPr="00092ED7" w:rsidRDefault="00B94540" w:rsidP="00B94540">
            <w:pPr>
              <w:spacing w:after="0"/>
              <w:jc w:val="center"/>
              <w:rPr>
                <w:bCs/>
                <w:sz w:val="20"/>
                <w:szCs w:val="20"/>
              </w:rPr>
            </w:pPr>
            <w:r w:rsidRPr="00092ED7">
              <w:rPr>
                <w:bCs/>
                <w:sz w:val="20"/>
                <w:szCs w:val="20"/>
              </w:rPr>
              <w:t>3,3</w:t>
            </w:r>
          </w:p>
        </w:tc>
      </w:tr>
      <w:tr w:rsidR="00B94540" w:rsidRPr="00092ED7" w14:paraId="04D39428" w14:textId="77777777" w:rsidTr="00B94540">
        <w:trPr>
          <w:trHeight w:val="135"/>
        </w:trPr>
        <w:tc>
          <w:tcPr>
            <w:tcW w:w="2383" w:type="pct"/>
            <w:noWrap/>
            <w:hideMark/>
          </w:tcPr>
          <w:p w14:paraId="679DD85B" w14:textId="77777777" w:rsidR="00B94540" w:rsidRPr="00092ED7" w:rsidRDefault="00B94540" w:rsidP="00B94540">
            <w:pPr>
              <w:spacing w:after="0"/>
              <w:rPr>
                <w:sz w:val="20"/>
                <w:szCs w:val="20"/>
              </w:rPr>
            </w:pPr>
            <w:r w:rsidRPr="00092ED7">
              <w:rPr>
                <w:sz w:val="20"/>
                <w:szCs w:val="20"/>
              </w:rPr>
              <w:t xml:space="preserve">   Државна потрошња</w:t>
            </w:r>
          </w:p>
        </w:tc>
        <w:tc>
          <w:tcPr>
            <w:tcW w:w="654" w:type="pct"/>
            <w:noWrap/>
          </w:tcPr>
          <w:p w14:paraId="2D81F74C" w14:textId="77777777" w:rsidR="00B94540" w:rsidRPr="00092ED7" w:rsidRDefault="00B94540" w:rsidP="00B94540">
            <w:pPr>
              <w:spacing w:after="0"/>
              <w:jc w:val="center"/>
              <w:rPr>
                <w:bCs/>
                <w:sz w:val="20"/>
                <w:szCs w:val="20"/>
              </w:rPr>
            </w:pPr>
            <w:r w:rsidRPr="00092ED7">
              <w:rPr>
                <w:bCs/>
                <w:sz w:val="20"/>
                <w:szCs w:val="20"/>
              </w:rPr>
              <w:t>0,4</w:t>
            </w:r>
          </w:p>
        </w:tc>
        <w:tc>
          <w:tcPr>
            <w:tcW w:w="654" w:type="pct"/>
            <w:noWrap/>
          </w:tcPr>
          <w:p w14:paraId="6DF8E916" w14:textId="77777777" w:rsidR="00B94540" w:rsidRPr="00092ED7" w:rsidRDefault="00B94540" w:rsidP="00B94540">
            <w:pPr>
              <w:spacing w:after="0"/>
              <w:jc w:val="center"/>
              <w:rPr>
                <w:bCs/>
                <w:sz w:val="20"/>
                <w:szCs w:val="20"/>
              </w:rPr>
            </w:pPr>
            <w:r w:rsidRPr="00092ED7">
              <w:rPr>
                <w:bCs/>
                <w:sz w:val="20"/>
                <w:szCs w:val="20"/>
              </w:rPr>
              <w:t>-2,4</w:t>
            </w:r>
          </w:p>
        </w:tc>
        <w:tc>
          <w:tcPr>
            <w:tcW w:w="654" w:type="pct"/>
            <w:noWrap/>
          </w:tcPr>
          <w:p w14:paraId="0112DFF7" w14:textId="77777777" w:rsidR="00B94540" w:rsidRPr="00092ED7" w:rsidRDefault="00B94540" w:rsidP="00B94540">
            <w:pPr>
              <w:spacing w:after="0"/>
              <w:jc w:val="center"/>
              <w:rPr>
                <w:bCs/>
                <w:sz w:val="20"/>
                <w:szCs w:val="20"/>
              </w:rPr>
            </w:pPr>
            <w:r w:rsidRPr="00092ED7">
              <w:rPr>
                <w:bCs/>
                <w:sz w:val="20"/>
                <w:szCs w:val="20"/>
              </w:rPr>
              <w:t>0,6</w:t>
            </w:r>
          </w:p>
        </w:tc>
        <w:tc>
          <w:tcPr>
            <w:tcW w:w="655" w:type="pct"/>
            <w:noWrap/>
          </w:tcPr>
          <w:p w14:paraId="4C26BAA8" w14:textId="77777777" w:rsidR="00B94540" w:rsidRPr="00092ED7" w:rsidRDefault="00B94540" w:rsidP="00B94540">
            <w:pPr>
              <w:spacing w:after="0"/>
              <w:jc w:val="center"/>
              <w:rPr>
                <w:bCs/>
                <w:sz w:val="20"/>
                <w:szCs w:val="20"/>
              </w:rPr>
            </w:pPr>
            <w:r w:rsidRPr="00092ED7">
              <w:rPr>
                <w:bCs/>
                <w:sz w:val="20"/>
                <w:szCs w:val="20"/>
              </w:rPr>
              <w:t>0,7</w:t>
            </w:r>
          </w:p>
        </w:tc>
      </w:tr>
      <w:tr w:rsidR="00B94540" w:rsidRPr="00092ED7" w14:paraId="2B8FD8FB" w14:textId="77777777" w:rsidTr="00B94540">
        <w:trPr>
          <w:trHeight w:val="237"/>
        </w:trPr>
        <w:tc>
          <w:tcPr>
            <w:tcW w:w="2383" w:type="pct"/>
            <w:noWrap/>
            <w:hideMark/>
          </w:tcPr>
          <w:p w14:paraId="43E7684C" w14:textId="77777777" w:rsidR="00B94540" w:rsidRPr="00092ED7" w:rsidRDefault="00B94540" w:rsidP="00B94540">
            <w:pPr>
              <w:spacing w:after="0"/>
              <w:rPr>
                <w:sz w:val="20"/>
                <w:szCs w:val="20"/>
              </w:rPr>
            </w:pPr>
            <w:r w:rsidRPr="00092ED7">
              <w:rPr>
                <w:sz w:val="20"/>
                <w:szCs w:val="20"/>
              </w:rPr>
              <w:t xml:space="preserve">   Бруто инвестиције у основна средства</w:t>
            </w:r>
          </w:p>
        </w:tc>
        <w:tc>
          <w:tcPr>
            <w:tcW w:w="654" w:type="pct"/>
            <w:noWrap/>
          </w:tcPr>
          <w:p w14:paraId="1F98F411" w14:textId="77777777" w:rsidR="00B94540" w:rsidRPr="00092ED7" w:rsidRDefault="00B94540" w:rsidP="00B94540">
            <w:pPr>
              <w:spacing w:after="0"/>
              <w:jc w:val="center"/>
              <w:rPr>
                <w:bCs/>
                <w:sz w:val="20"/>
                <w:szCs w:val="20"/>
              </w:rPr>
            </w:pPr>
            <w:r w:rsidRPr="00092ED7">
              <w:rPr>
                <w:bCs/>
                <w:sz w:val="20"/>
                <w:szCs w:val="20"/>
              </w:rPr>
              <w:t>0,0</w:t>
            </w:r>
          </w:p>
        </w:tc>
        <w:tc>
          <w:tcPr>
            <w:tcW w:w="654" w:type="pct"/>
            <w:noWrap/>
          </w:tcPr>
          <w:p w14:paraId="49D7FC74" w14:textId="77777777" w:rsidR="00B94540" w:rsidRPr="00092ED7" w:rsidRDefault="00B94540" w:rsidP="00B94540">
            <w:pPr>
              <w:spacing w:after="0"/>
              <w:jc w:val="center"/>
              <w:rPr>
                <w:bCs/>
                <w:sz w:val="20"/>
                <w:szCs w:val="20"/>
              </w:rPr>
            </w:pPr>
            <w:r w:rsidRPr="00092ED7">
              <w:rPr>
                <w:bCs/>
                <w:sz w:val="20"/>
                <w:szCs w:val="20"/>
              </w:rPr>
              <w:t>-1,0</w:t>
            </w:r>
          </w:p>
        </w:tc>
        <w:tc>
          <w:tcPr>
            <w:tcW w:w="654" w:type="pct"/>
            <w:noWrap/>
          </w:tcPr>
          <w:p w14:paraId="7DFCC488" w14:textId="77777777" w:rsidR="00B94540" w:rsidRPr="00092ED7" w:rsidRDefault="00B94540" w:rsidP="00B94540">
            <w:pPr>
              <w:spacing w:after="0"/>
              <w:jc w:val="center"/>
              <w:rPr>
                <w:bCs/>
                <w:sz w:val="20"/>
                <w:szCs w:val="20"/>
              </w:rPr>
            </w:pPr>
            <w:r w:rsidRPr="00092ED7">
              <w:rPr>
                <w:bCs/>
                <w:sz w:val="20"/>
                <w:szCs w:val="20"/>
              </w:rPr>
              <w:t>4,3</w:t>
            </w:r>
          </w:p>
        </w:tc>
        <w:tc>
          <w:tcPr>
            <w:tcW w:w="655" w:type="pct"/>
            <w:noWrap/>
          </w:tcPr>
          <w:p w14:paraId="650C7FCD" w14:textId="77777777" w:rsidR="00B94540" w:rsidRPr="00092ED7" w:rsidRDefault="00B94540" w:rsidP="00B94540">
            <w:pPr>
              <w:spacing w:after="0"/>
              <w:jc w:val="center"/>
              <w:rPr>
                <w:bCs/>
                <w:sz w:val="20"/>
                <w:szCs w:val="20"/>
              </w:rPr>
            </w:pPr>
            <w:r w:rsidRPr="00092ED7">
              <w:rPr>
                <w:bCs/>
                <w:sz w:val="20"/>
                <w:szCs w:val="20"/>
              </w:rPr>
              <w:t>4,8</w:t>
            </w:r>
          </w:p>
        </w:tc>
      </w:tr>
      <w:tr w:rsidR="00B94540" w:rsidRPr="00092ED7" w14:paraId="7D520694" w14:textId="77777777" w:rsidTr="00B94540">
        <w:trPr>
          <w:trHeight w:val="135"/>
        </w:trPr>
        <w:tc>
          <w:tcPr>
            <w:tcW w:w="2383" w:type="pct"/>
            <w:noWrap/>
            <w:hideMark/>
          </w:tcPr>
          <w:p w14:paraId="4883D22D" w14:textId="77777777" w:rsidR="00B94540" w:rsidRPr="00092ED7" w:rsidRDefault="00B94540" w:rsidP="00B94540">
            <w:pPr>
              <w:spacing w:after="0"/>
              <w:rPr>
                <w:sz w:val="20"/>
                <w:szCs w:val="20"/>
              </w:rPr>
            </w:pPr>
            <w:r w:rsidRPr="00092ED7">
              <w:rPr>
                <w:sz w:val="20"/>
                <w:szCs w:val="20"/>
              </w:rPr>
              <w:t xml:space="preserve">   Извоз робе и услуга</w:t>
            </w:r>
          </w:p>
        </w:tc>
        <w:tc>
          <w:tcPr>
            <w:tcW w:w="654" w:type="pct"/>
            <w:noWrap/>
          </w:tcPr>
          <w:p w14:paraId="0422DCA5" w14:textId="77777777" w:rsidR="00B94540" w:rsidRPr="00092ED7" w:rsidRDefault="00B94540" w:rsidP="00B94540">
            <w:pPr>
              <w:spacing w:after="0"/>
              <w:jc w:val="center"/>
              <w:rPr>
                <w:bCs/>
                <w:sz w:val="20"/>
                <w:szCs w:val="20"/>
              </w:rPr>
            </w:pPr>
            <w:r w:rsidRPr="00092ED7">
              <w:rPr>
                <w:bCs/>
                <w:sz w:val="20"/>
                <w:szCs w:val="20"/>
              </w:rPr>
              <w:t>12,3</w:t>
            </w:r>
          </w:p>
        </w:tc>
        <w:tc>
          <w:tcPr>
            <w:tcW w:w="654" w:type="pct"/>
            <w:noWrap/>
          </w:tcPr>
          <w:p w14:paraId="487766AE" w14:textId="77777777" w:rsidR="00B94540" w:rsidRPr="00092ED7" w:rsidRDefault="00B94540" w:rsidP="00B94540">
            <w:pPr>
              <w:spacing w:after="0"/>
              <w:jc w:val="center"/>
              <w:rPr>
                <w:bCs/>
                <w:sz w:val="20"/>
                <w:szCs w:val="20"/>
              </w:rPr>
            </w:pPr>
            <w:r w:rsidRPr="00092ED7">
              <w:rPr>
                <w:bCs/>
                <w:sz w:val="20"/>
                <w:szCs w:val="20"/>
              </w:rPr>
              <w:t>2,8</w:t>
            </w:r>
          </w:p>
        </w:tc>
        <w:tc>
          <w:tcPr>
            <w:tcW w:w="654" w:type="pct"/>
            <w:noWrap/>
          </w:tcPr>
          <w:p w14:paraId="27AAF8A7" w14:textId="77777777" w:rsidR="00B94540" w:rsidRPr="00092ED7" w:rsidRDefault="00B94540" w:rsidP="00B94540">
            <w:pPr>
              <w:spacing w:after="0"/>
              <w:jc w:val="center"/>
              <w:rPr>
                <w:bCs/>
                <w:sz w:val="20"/>
                <w:szCs w:val="20"/>
              </w:rPr>
            </w:pPr>
            <w:r w:rsidRPr="00092ED7">
              <w:rPr>
                <w:bCs/>
                <w:sz w:val="20"/>
                <w:szCs w:val="20"/>
              </w:rPr>
              <w:t>7,5</w:t>
            </w:r>
          </w:p>
        </w:tc>
        <w:tc>
          <w:tcPr>
            <w:tcW w:w="655" w:type="pct"/>
            <w:noWrap/>
          </w:tcPr>
          <w:p w14:paraId="6511F788" w14:textId="77777777" w:rsidR="00B94540" w:rsidRPr="00092ED7" w:rsidRDefault="00B94540" w:rsidP="00B94540">
            <w:pPr>
              <w:spacing w:after="0"/>
              <w:jc w:val="center"/>
              <w:rPr>
                <w:bCs/>
                <w:sz w:val="20"/>
                <w:szCs w:val="20"/>
              </w:rPr>
            </w:pPr>
            <w:r w:rsidRPr="00092ED7">
              <w:rPr>
                <w:bCs/>
                <w:sz w:val="20"/>
                <w:szCs w:val="20"/>
              </w:rPr>
              <w:t>9,0</w:t>
            </w:r>
          </w:p>
        </w:tc>
      </w:tr>
      <w:tr w:rsidR="00B94540" w:rsidRPr="00092ED7" w14:paraId="734DE611" w14:textId="77777777" w:rsidTr="00B94540">
        <w:trPr>
          <w:trHeight w:val="99"/>
        </w:trPr>
        <w:tc>
          <w:tcPr>
            <w:tcW w:w="2383" w:type="pct"/>
            <w:noWrap/>
            <w:hideMark/>
          </w:tcPr>
          <w:p w14:paraId="4ED3445D" w14:textId="77777777" w:rsidR="00B94540" w:rsidRPr="00092ED7" w:rsidRDefault="00B94540" w:rsidP="00B94540">
            <w:pPr>
              <w:spacing w:after="0"/>
              <w:rPr>
                <w:sz w:val="20"/>
                <w:szCs w:val="20"/>
              </w:rPr>
            </w:pPr>
            <w:r w:rsidRPr="00092ED7">
              <w:rPr>
                <w:sz w:val="20"/>
                <w:szCs w:val="20"/>
              </w:rPr>
              <w:t xml:space="preserve">   Увоз робе и услуга</w:t>
            </w:r>
          </w:p>
        </w:tc>
        <w:tc>
          <w:tcPr>
            <w:tcW w:w="654" w:type="pct"/>
            <w:noWrap/>
          </w:tcPr>
          <w:p w14:paraId="19F29382" w14:textId="77777777" w:rsidR="00B94540" w:rsidRPr="00092ED7" w:rsidRDefault="00B94540" w:rsidP="00B94540">
            <w:pPr>
              <w:spacing w:after="0"/>
              <w:jc w:val="center"/>
              <w:rPr>
                <w:bCs/>
                <w:sz w:val="20"/>
                <w:szCs w:val="20"/>
              </w:rPr>
            </w:pPr>
            <w:r w:rsidRPr="00092ED7">
              <w:rPr>
                <w:bCs/>
                <w:sz w:val="20"/>
                <w:szCs w:val="20"/>
              </w:rPr>
              <w:t>12,8</w:t>
            </w:r>
          </w:p>
        </w:tc>
        <w:tc>
          <w:tcPr>
            <w:tcW w:w="654" w:type="pct"/>
            <w:noWrap/>
          </w:tcPr>
          <w:p w14:paraId="0A118F0A" w14:textId="77777777" w:rsidR="00B94540" w:rsidRPr="00092ED7" w:rsidRDefault="00B94540" w:rsidP="00B94540">
            <w:pPr>
              <w:spacing w:after="0"/>
              <w:jc w:val="center"/>
              <w:rPr>
                <w:bCs/>
                <w:sz w:val="20"/>
                <w:szCs w:val="20"/>
              </w:rPr>
            </w:pPr>
            <w:r w:rsidRPr="00092ED7">
              <w:rPr>
                <w:bCs/>
                <w:sz w:val="20"/>
                <w:szCs w:val="20"/>
              </w:rPr>
              <w:t>2,7</w:t>
            </w:r>
          </w:p>
        </w:tc>
        <w:tc>
          <w:tcPr>
            <w:tcW w:w="654" w:type="pct"/>
            <w:noWrap/>
          </w:tcPr>
          <w:p w14:paraId="5EA91792" w14:textId="77777777" w:rsidR="00B94540" w:rsidRPr="00092ED7" w:rsidRDefault="00B94540" w:rsidP="00B94540">
            <w:pPr>
              <w:spacing w:after="0"/>
              <w:jc w:val="center"/>
              <w:rPr>
                <w:bCs/>
                <w:sz w:val="20"/>
                <w:szCs w:val="20"/>
              </w:rPr>
            </w:pPr>
            <w:r w:rsidRPr="00092ED7">
              <w:rPr>
                <w:bCs/>
                <w:sz w:val="20"/>
                <w:szCs w:val="20"/>
              </w:rPr>
              <w:t>6,7</w:t>
            </w:r>
          </w:p>
        </w:tc>
        <w:tc>
          <w:tcPr>
            <w:tcW w:w="655" w:type="pct"/>
            <w:noWrap/>
          </w:tcPr>
          <w:p w14:paraId="17FA2AF0" w14:textId="77777777" w:rsidR="00B94540" w:rsidRPr="00092ED7" w:rsidRDefault="00B94540" w:rsidP="00B94540">
            <w:pPr>
              <w:spacing w:after="0"/>
              <w:jc w:val="center"/>
              <w:rPr>
                <w:bCs/>
                <w:sz w:val="20"/>
                <w:szCs w:val="20"/>
              </w:rPr>
            </w:pPr>
            <w:r w:rsidRPr="00092ED7">
              <w:rPr>
                <w:bCs/>
                <w:sz w:val="20"/>
                <w:szCs w:val="20"/>
              </w:rPr>
              <w:t>8,2</w:t>
            </w:r>
          </w:p>
        </w:tc>
      </w:tr>
    </w:tbl>
    <w:p w14:paraId="0E8012D0" w14:textId="77777777" w:rsidR="005F26DA" w:rsidRPr="00092ED7" w:rsidRDefault="00735870" w:rsidP="00061F8A">
      <w:pPr>
        <w:keepNext/>
        <w:keepLines/>
        <w:spacing w:before="240" w:after="240"/>
        <w:outlineLvl w:val="0"/>
        <w:rPr>
          <w:rFonts w:eastAsiaTheme="majorEastAsia" w:cs="Times New Roman"/>
          <w:b/>
          <w:sz w:val="26"/>
          <w:szCs w:val="26"/>
          <w:lang w:val="sr-Cyrl-CS"/>
        </w:rPr>
      </w:pPr>
      <w:bookmarkStart w:id="21" w:name="_Toc124174793"/>
      <w:r w:rsidRPr="00092ED7">
        <w:rPr>
          <w:rFonts w:eastAsiaTheme="majorEastAsia" w:cs="Times New Roman"/>
          <w:b/>
          <w:sz w:val="26"/>
          <w:szCs w:val="26"/>
          <w:lang w:val="sr-Cyrl-CS"/>
        </w:rPr>
        <w:t>4</w:t>
      </w:r>
      <w:r w:rsidR="0020125C" w:rsidRPr="00092ED7">
        <w:rPr>
          <w:rFonts w:eastAsiaTheme="majorEastAsia" w:cs="Times New Roman"/>
          <w:b/>
          <w:sz w:val="26"/>
          <w:szCs w:val="26"/>
          <w:lang w:val="sr-Cyrl-CS"/>
        </w:rPr>
        <w:t>. ФИСКАЛНИ ОКВИР</w:t>
      </w:r>
      <w:bookmarkEnd w:id="21"/>
    </w:p>
    <w:p w14:paraId="625E7A1F" w14:textId="77777777" w:rsidR="005F26DA" w:rsidRPr="00092ED7" w:rsidRDefault="00735870" w:rsidP="0020125C">
      <w:pPr>
        <w:keepNext/>
        <w:keepLines/>
        <w:spacing w:before="120"/>
        <w:outlineLvl w:val="1"/>
        <w:rPr>
          <w:rFonts w:eastAsiaTheme="majorEastAsia" w:cs="Times New Roman"/>
          <w:b/>
          <w:szCs w:val="26"/>
          <w:lang w:val="sr-Cyrl-CS"/>
        </w:rPr>
      </w:pPr>
      <w:bookmarkStart w:id="22" w:name="_Toc124174794"/>
      <w:r w:rsidRPr="00092ED7">
        <w:rPr>
          <w:rFonts w:eastAsiaTheme="majorEastAsia" w:cs="Times New Roman"/>
          <w:b/>
          <w:szCs w:val="26"/>
          <w:lang w:val="sr-Cyrl-CS"/>
        </w:rPr>
        <w:t>4.</w:t>
      </w:r>
      <w:r w:rsidR="005F26DA" w:rsidRPr="00092ED7">
        <w:rPr>
          <w:rFonts w:eastAsiaTheme="majorEastAsia" w:cs="Times New Roman"/>
          <w:b/>
          <w:szCs w:val="26"/>
          <w:lang w:val="sr-Cyrl-CS"/>
        </w:rPr>
        <w:t>1. СТРАТЕГИЈА ЈАВНЕ ПОЛИТИКЕ И СРЕДЊОРОЧНИ ЦИЉЕВИ</w:t>
      </w:r>
      <w:bookmarkEnd w:id="22"/>
    </w:p>
    <w:p w14:paraId="5D7FD8D1" w14:textId="7E45F447" w:rsidR="00B94540" w:rsidRPr="00092ED7" w:rsidRDefault="00B94540" w:rsidP="00B94540">
      <w:pPr>
        <w:spacing w:after="60"/>
        <w:rPr>
          <w:rFonts w:eastAsia="MS PGothic" w:cs="Times New Roman"/>
          <w:bCs/>
          <w:iCs/>
          <w:szCs w:val="24"/>
          <w:lang w:val="sr-Cyrl-CS" w:eastAsia="ja-JP"/>
        </w:rPr>
      </w:pPr>
      <w:r w:rsidRPr="00092ED7">
        <w:rPr>
          <w:rFonts w:eastAsia="MS PGothic" w:cs="Times New Roman"/>
          <w:bCs/>
          <w:iCs/>
          <w:szCs w:val="24"/>
          <w:lang w:val="sr-Cyrl-CS" w:eastAsia="ja-JP"/>
        </w:rPr>
        <w:t>Смиривање пандемије корона</w:t>
      </w:r>
      <w:r w:rsidR="00B94430" w:rsidRPr="00092ED7">
        <w:rPr>
          <w:rFonts w:eastAsia="MS PGothic" w:cs="Times New Roman"/>
          <w:bCs/>
          <w:iCs/>
          <w:szCs w:val="24"/>
          <w:lang w:val="sr-Cyrl-CS" w:eastAsia="ja-JP"/>
        </w:rPr>
        <w:t xml:space="preserve"> </w:t>
      </w:r>
      <w:r w:rsidRPr="00092ED7">
        <w:rPr>
          <w:rFonts w:eastAsia="MS PGothic" w:cs="Times New Roman"/>
          <w:bCs/>
          <w:iCs/>
          <w:szCs w:val="24"/>
          <w:lang w:val="sr-Cyrl-CS" w:eastAsia="ja-JP"/>
        </w:rPr>
        <w:t>вируса, висока инфлација изазвана кризом на међународним тржиштима енергије и сировина и сукоб у Украјини обележили су 2022. годину у свету, уз опасност да неизвесност и криза потрају дужи временски период. У таквој ситуацији задатак економске и фискалне политике је да обезбеди стабилност привредних токова и очува стандард грађана.</w:t>
      </w:r>
    </w:p>
    <w:p w14:paraId="0CADB6CD" w14:textId="77777777" w:rsidR="00B94540" w:rsidRPr="00092ED7" w:rsidRDefault="00B94540" w:rsidP="00B94540">
      <w:pPr>
        <w:spacing w:after="60"/>
        <w:rPr>
          <w:rFonts w:eastAsia="MS PGothic" w:cs="Times New Roman"/>
          <w:bCs/>
          <w:iCs/>
          <w:szCs w:val="24"/>
          <w:lang w:val="sr-Cyrl-CS" w:eastAsia="ja-JP"/>
        </w:rPr>
      </w:pPr>
      <w:r w:rsidRPr="00092ED7">
        <w:rPr>
          <w:rFonts w:eastAsia="MS PGothic" w:cs="Times New Roman"/>
          <w:bCs/>
          <w:iCs/>
          <w:szCs w:val="24"/>
          <w:lang w:val="sr-Cyrl-CS" w:eastAsia="ja-JP"/>
        </w:rPr>
        <w:t>Током 2022. године већ су покренуте одређене мере у правцу спречавања већих шокова који би били изазвани растом цена енергената и хране, као што су субвенционисање цене гаса, привремено смањење акциза на нафтне деривате и контрола цена основних животних намирница.</w:t>
      </w:r>
    </w:p>
    <w:p w14:paraId="7F4A8706" w14:textId="683CFA81" w:rsidR="00B94540" w:rsidRPr="00092ED7" w:rsidRDefault="00B94540" w:rsidP="00B94540">
      <w:pPr>
        <w:spacing w:after="60"/>
        <w:rPr>
          <w:rFonts w:eastAsia="MS PGothic" w:cs="Times New Roman"/>
          <w:bCs/>
          <w:iCs/>
          <w:szCs w:val="24"/>
          <w:lang w:val="sr-Cyrl-CS" w:eastAsia="ja-JP"/>
        </w:rPr>
      </w:pPr>
      <w:r w:rsidRPr="00092ED7">
        <w:rPr>
          <w:rFonts w:eastAsia="MS PGothic" w:cs="Times New Roman"/>
          <w:bCs/>
          <w:iCs/>
          <w:szCs w:val="24"/>
          <w:lang w:val="sr-Cyrl-CS" w:eastAsia="ja-JP"/>
        </w:rPr>
        <w:t>Планирање економске</w:t>
      </w:r>
      <w:r w:rsidR="00A237A4" w:rsidRPr="00092ED7">
        <w:rPr>
          <w:rFonts w:eastAsia="MS PGothic" w:cs="Times New Roman"/>
          <w:bCs/>
          <w:iCs/>
          <w:szCs w:val="24"/>
          <w:lang w:val="sr-Cyrl-CS" w:eastAsia="ja-JP"/>
        </w:rPr>
        <w:t>,</w:t>
      </w:r>
      <w:r w:rsidRPr="00092ED7">
        <w:rPr>
          <w:rFonts w:eastAsia="MS PGothic" w:cs="Times New Roman"/>
          <w:bCs/>
          <w:iCs/>
          <w:szCs w:val="24"/>
          <w:lang w:val="sr-Cyrl-CS" w:eastAsia="ja-JP"/>
        </w:rPr>
        <w:t xml:space="preserve"> посебно фискалне политике, у наредном периоду, првенствено ће зависити од процене ефеката украјинске кризе на међународно окружење и домаће прилике. Опредељење је да се и поред неповољне ситуације иде на уравнотежење и стабилизацију јавних финансија, како би се смањило учешће јавног дуга у БДП и створиле основе за стабилан привредни раст. Паралелно са тим</w:t>
      </w:r>
      <w:r w:rsidR="00A237A4" w:rsidRPr="00092ED7">
        <w:rPr>
          <w:rFonts w:eastAsia="MS PGothic" w:cs="Times New Roman"/>
          <w:bCs/>
          <w:iCs/>
          <w:szCs w:val="24"/>
          <w:lang w:val="sr-Cyrl-CS" w:eastAsia="ja-JP"/>
        </w:rPr>
        <w:t>,</w:t>
      </w:r>
      <w:r w:rsidRPr="00092ED7">
        <w:rPr>
          <w:rFonts w:eastAsia="MS PGothic" w:cs="Times New Roman"/>
          <w:bCs/>
          <w:iCs/>
          <w:szCs w:val="24"/>
          <w:lang w:val="sr-Cyrl-CS" w:eastAsia="ja-JP"/>
        </w:rPr>
        <w:t xml:space="preserve"> потребно је обезбедити простор за правовремену реакцију фискалне политике на економске шокове. Евентуална фискална интервенција државе у циљу минимизирања ефеката кризе свакако ће бити комбинована са настојањима да се не зауставе развојни програми и инфраструктурни пројекти финансирани из буџета</w:t>
      </w:r>
      <w:r w:rsidR="00A237A4" w:rsidRPr="00092ED7">
        <w:rPr>
          <w:rFonts w:eastAsia="MS PGothic" w:cs="Times New Roman"/>
          <w:bCs/>
          <w:iCs/>
          <w:szCs w:val="24"/>
          <w:lang w:val="sr-Cyrl-CS" w:eastAsia="ja-JP"/>
        </w:rPr>
        <w:t xml:space="preserve"> Републике Србије</w:t>
      </w:r>
      <w:r w:rsidRPr="00092ED7">
        <w:rPr>
          <w:rFonts w:eastAsia="MS PGothic" w:cs="Times New Roman"/>
          <w:bCs/>
          <w:iCs/>
          <w:szCs w:val="24"/>
          <w:lang w:val="sr-Cyrl-CS" w:eastAsia="ja-JP"/>
        </w:rPr>
        <w:t>.</w:t>
      </w:r>
    </w:p>
    <w:p w14:paraId="692AE5FE" w14:textId="11581BED" w:rsidR="00B94540" w:rsidRPr="00092ED7" w:rsidRDefault="00B94540" w:rsidP="00B94540">
      <w:pPr>
        <w:spacing w:after="60"/>
        <w:rPr>
          <w:rFonts w:eastAsia="MS PGothic" w:cs="Times New Roman"/>
          <w:bCs/>
          <w:iCs/>
          <w:szCs w:val="24"/>
          <w:lang w:val="sr-Cyrl-CS" w:eastAsia="ja-JP"/>
        </w:rPr>
      </w:pPr>
      <w:r w:rsidRPr="00092ED7">
        <w:rPr>
          <w:rFonts w:eastAsia="MS PGothic" w:cs="Times New Roman"/>
          <w:bCs/>
          <w:iCs/>
          <w:szCs w:val="24"/>
          <w:lang w:val="sr-Cyrl-CS" w:eastAsia="ja-JP"/>
        </w:rPr>
        <w:t xml:space="preserve">Средњорочни фискални оквир предвиђа умерено напуштање експанзивне фискалне политике која је била присутна током пандемије, с тим да ће и у наредном периоду значајан део буџетских средстава бити опредељен за ублажавање енергетске кризе. С обзиром на неизвесну економску ситуацију, </w:t>
      </w:r>
      <w:r w:rsidR="00A237A4" w:rsidRPr="00092ED7">
        <w:rPr>
          <w:rFonts w:eastAsia="MS PGothic" w:cs="Times New Roman"/>
          <w:bCs/>
          <w:iCs/>
          <w:szCs w:val="24"/>
          <w:lang w:val="sr-Cyrl-CS" w:eastAsia="ja-JP"/>
        </w:rPr>
        <w:t xml:space="preserve">буџет Републике Србије </w:t>
      </w:r>
      <w:r w:rsidRPr="00092ED7">
        <w:rPr>
          <w:rFonts w:eastAsia="MS PGothic" w:cs="Times New Roman"/>
          <w:bCs/>
          <w:iCs/>
          <w:szCs w:val="24"/>
          <w:lang w:val="sr-Cyrl-CS" w:eastAsia="ja-JP"/>
        </w:rPr>
        <w:t>ће свакако представљати „сигурносну мрежу” у случају ескалације неповољних кретања. Са једне стране</w:t>
      </w:r>
      <w:r w:rsidR="00A237A4" w:rsidRPr="00092ED7">
        <w:rPr>
          <w:rFonts w:eastAsia="MS PGothic" w:cs="Times New Roman"/>
          <w:bCs/>
          <w:iCs/>
          <w:szCs w:val="24"/>
          <w:lang w:val="sr-Cyrl-CS" w:eastAsia="ja-JP"/>
        </w:rPr>
        <w:t>,</w:t>
      </w:r>
      <w:r w:rsidRPr="00092ED7">
        <w:rPr>
          <w:rFonts w:eastAsia="MS PGothic" w:cs="Times New Roman"/>
          <w:bCs/>
          <w:iCs/>
          <w:szCs w:val="24"/>
          <w:lang w:val="sr-Cyrl-CS" w:eastAsia="ja-JP"/>
        </w:rPr>
        <w:t xml:space="preserve"> обезбедиће се континуитет развојних и социјалних програма, а са друге стране одрживост јавних финансија и наставак смањења нивоа јавног дуга у смислу учешћа у БДП. Имајући у виду очекивана макроекономска кретања, предвиђени годишњи фискални дефицити омогућавају смањење учешћа дуга опште државе у БДП и у наредном периоду.</w:t>
      </w:r>
    </w:p>
    <w:p w14:paraId="2DC62202" w14:textId="7C341601" w:rsidR="00B94540" w:rsidRPr="00092ED7" w:rsidRDefault="00B94540" w:rsidP="00B94540">
      <w:pPr>
        <w:spacing w:after="60"/>
        <w:rPr>
          <w:rFonts w:eastAsia="MS PGothic" w:cs="Times New Roman"/>
          <w:bCs/>
          <w:iCs/>
          <w:szCs w:val="24"/>
          <w:lang w:val="sr-Cyrl-CS" w:eastAsia="ja-JP"/>
        </w:rPr>
      </w:pPr>
      <w:r w:rsidRPr="00092ED7">
        <w:rPr>
          <w:rFonts w:eastAsia="MS PGothic" w:cs="Times New Roman"/>
          <w:bCs/>
          <w:iCs/>
          <w:szCs w:val="24"/>
          <w:lang w:val="sr-Cyrl-CS" w:eastAsia="ja-JP"/>
        </w:rPr>
        <w:t>Фискална политика ће у наредном периоду бити фокусирана, у складу са расположивим фискалним простором, на даље смањење укупног пореског оптерећења рада чиме се додатно растерећује привреда, односно повећава конкурентност приватног сектора. На расходној страни, приоритет ће имати инфраструктурни и капитални пројекти, те политика пензија и плата. При томе</w:t>
      </w:r>
      <w:r w:rsidR="00A237A4" w:rsidRPr="00092ED7">
        <w:rPr>
          <w:rFonts w:eastAsia="MS PGothic" w:cs="Times New Roman"/>
          <w:bCs/>
          <w:iCs/>
          <w:szCs w:val="24"/>
          <w:lang w:val="sr-Cyrl-CS" w:eastAsia="ja-JP"/>
        </w:rPr>
        <w:t xml:space="preserve">, водиће се </w:t>
      </w:r>
      <w:r w:rsidRPr="00092ED7">
        <w:rPr>
          <w:rFonts w:eastAsia="MS PGothic" w:cs="Times New Roman"/>
          <w:bCs/>
          <w:iCs/>
          <w:szCs w:val="24"/>
          <w:lang w:val="sr-Cyrl-CS" w:eastAsia="ja-JP"/>
        </w:rPr>
        <w:t>рачуна да се повећањем највећих, категорија расхода</w:t>
      </w:r>
      <w:r w:rsidR="00A237A4" w:rsidRPr="00092ED7">
        <w:rPr>
          <w:rFonts w:eastAsia="MS PGothic" w:cs="Times New Roman"/>
          <w:bCs/>
          <w:iCs/>
          <w:szCs w:val="24"/>
          <w:lang w:val="sr-Cyrl-CS" w:eastAsia="ja-JP"/>
        </w:rPr>
        <w:t>,</w:t>
      </w:r>
      <w:r w:rsidRPr="00092ED7">
        <w:rPr>
          <w:rFonts w:eastAsia="MS PGothic" w:cs="Times New Roman"/>
          <w:bCs/>
          <w:iCs/>
          <w:szCs w:val="24"/>
          <w:lang w:val="sr-Cyrl-CS" w:eastAsia="ja-JP"/>
        </w:rPr>
        <w:t xml:space="preserve"> не изађе из планираног одрживог оквира.</w:t>
      </w:r>
    </w:p>
    <w:p w14:paraId="25136D50" w14:textId="5EE5BE51" w:rsidR="005F26DA" w:rsidRPr="00092ED7" w:rsidRDefault="00B94540" w:rsidP="00B94540">
      <w:pPr>
        <w:spacing w:after="60"/>
        <w:rPr>
          <w:lang w:val="sr-Cyrl-CS"/>
        </w:rPr>
      </w:pPr>
      <w:r w:rsidRPr="00092ED7">
        <w:rPr>
          <w:rFonts w:eastAsia="MS PGothic" w:cs="Times New Roman"/>
          <w:bCs/>
          <w:iCs/>
          <w:szCs w:val="24"/>
          <w:lang w:val="sr-Cyrl-CS" w:eastAsia="ja-JP"/>
        </w:rPr>
        <w:t xml:space="preserve">Стабилности јавних финансија и одрживом фискалном оквиру допринеће измене Закона о буџетском систему, којима </w:t>
      </w:r>
      <w:r w:rsidR="00FE70E2" w:rsidRPr="00092ED7">
        <w:rPr>
          <w:rFonts w:eastAsia="MS PGothic" w:cs="Times New Roman"/>
          <w:bCs/>
          <w:iCs/>
          <w:szCs w:val="24"/>
          <w:lang w:val="sr-Cyrl-CS" w:eastAsia="ja-JP"/>
        </w:rPr>
        <w:t>је</w:t>
      </w:r>
      <w:r w:rsidRPr="00092ED7">
        <w:rPr>
          <w:rFonts w:eastAsia="MS PGothic" w:cs="Times New Roman"/>
          <w:bCs/>
          <w:iCs/>
          <w:szCs w:val="24"/>
          <w:lang w:val="sr-Cyrl-CS" w:eastAsia="ja-JP"/>
        </w:rPr>
        <w:t xml:space="preserve">, између осталог, редизајниран скуп фискалних правила, општих и посебних, те дефинисане посебне мере и консеквенце у случају њиховог непоштовања. Посебан акценат је стављен на измену општих правила која се односе на </w:t>
      </w:r>
      <w:r w:rsidRPr="00092ED7">
        <w:rPr>
          <w:rFonts w:eastAsia="MS PGothic" w:cs="Times New Roman"/>
          <w:bCs/>
          <w:iCs/>
          <w:szCs w:val="24"/>
          <w:lang w:val="sr-Cyrl-CS" w:eastAsia="ja-JP"/>
        </w:rPr>
        <w:lastRenderedPageBreak/>
        <w:t>јавни дуг и дефицит опште државе, те посебних правила везаних за одрживи ниво расхода за плате и пензије.</w:t>
      </w:r>
    </w:p>
    <w:p w14:paraId="75554D95" w14:textId="77777777" w:rsidR="005F26DA" w:rsidRPr="00092ED7" w:rsidRDefault="00735870" w:rsidP="0020125C">
      <w:pPr>
        <w:keepNext/>
        <w:keepLines/>
        <w:spacing w:before="120"/>
        <w:outlineLvl w:val="1"/>
        <w:rPr>
          <w:rFonts w:eastAsia="Calibri" w:cs="Times New Roman"/>
          <w:b/>
          <w:szCs w:val="24"/>
          <w:lang w:val="sr-Cyrl-CS"/>
        </w:rPr>
      </w:pPr>
      <w:bookmarkStart w:id="23" w:name="_Toc124174795"/>
      <w:r w:rsidRPr="00092ED7">
        <w:rPr>
          <w:rFonts w:eastAsia="Calibri" w:cs="Times New Roman"/>
          <w:b/>
          <w:szCs w:val="24"/>
          <w:lang w:val="sr-Cyrl-CS"/>
        </w:rPr>
        <w:t>4.</w:t>
      </w:r>
      <w:r w:rsidR="005F26DA" w:rsidRPr="00092ED7">
        <w:rPr>
          <w:rFonts w:eastAsia="Calibri" w:cs="Times New Roman"/>
          <w:b/>
          <w:szCs w:val="24"/>
          <w:lang w:val="sr-Cyrl-CS"/>
        </w:rPr>
        <w:t>2. ИЗВРШЕЊЕ БУЏЕТА У 2021. ГОДИНИ</w:t>
      </w:r>
      <w:bookmarkEnd w:id="23"/>
    </w:p>
    <w:p w14:paraId="648E3DD2" w14:textId="2DA95826" w:rsidR="00B94540" w:rsidRPr="00092ED7" w:rsidRDefault="00B94540" w:rsidP="00B94540">
      <w:pPr>
        <w:spacing w:after="60"/>
        <w:rPr>
          <w:lang w:val="sr-Cyrl-CS" w:eastAsia="ja-JP"/>
        </w:rPr>
      </w:pPr>
      <w:r w:rsidRPr="00092ED7">
        <w:rPr>
          <w:lang w:val="sr-Cyrl-CS" w:eastAsia="ja-JP"/>
        </w:rPr>
        <w:t>Фискални оквир за 2022. годину планиран је у околностима постепеног изласка из здравствено-екон</w:t>
      </w:r>
      <w:r w:rsidR="00FD0C39" w:rsidRPr="00092ED7">
        <w:rPr>
          <w:lang w:val="sr-Cyrl-CS" w:eastAsia="ja-JP"/>
        </w:rPr>
        <w:t>омске кризе изазване пандемијом</w:t>
      </w:r>
      <w:r w:rsidRPr="00092ED7">
        <w:rPr>
          <w:lang w:val="sr-Cyrl-CS" w:eastAsia="ja-JP"/>
        </w:rPr>
        <w:t>.</w:t>
      </w:r>
      <w:r w:rsidRPr="00092ED7">
        <w:rPr>
          <w:b/>
          <w:lang w:val="sr-Cyrl-CS" w:eastAsia="ja-JP"/>
        </w:rPr>
        <w:t xml:space="preserve"> </w:t>
      </w:r>
      <w:r w:rsidRPr="00092ED7">
        <w:rPr>
          <w:bCs/>
          <w:lang w:val="sr-Cyrl-CS" w:eastAsia="ja-JP"/>
        </w:rPr>
        <w:t xml:space="preserve">Крајем 2021. године забележени су веома добри резултати у наплати скоро свих приходних облика, што је условило значајне ревизије пројекције навише током године. Ипак, пројекцији прихода за 2022. годину приступило се опрезно. Током 2021. године спровођен је програм економске помоћи становништву и привреди, а дошло је и до промена у понашању потрошача, те је у односу на пред-пандемијски период смањено прекогранично кретање становништва, повећана потрошња на домаћем тржишту, промењене су навике у коришћењу саобраћајних средстава и повећана потрошња производа код којих је мање изражена сива економија. </w:t>
      </w:r>
      <w:r w:rsidRPr="00092ED7">
        <w:rPr>
          <w:lang w:val="sr-Cyrl-CS" w:eastAsia="ja-JP"/>
        </w:rPr>
        <w:t>У обзир су узети и процењени ефекти наплате одложених пореских обавеза, као и ефекти наставка процеса смањења пореског оптерећења зарада. На крају, услед неизвесности</w:t>
      </w:r>
      <w:r w:rsidR="00FD0C39" w:rsidRPr="00092ED7">
        <w:rPr>
          <w:lang w:val="sr-Cyrl-CS" w:eastAsia="ja-JP"/>
        </w:rPr>
        <w:t xml:space="preserve"> у погледу даљег тока пандемије </w:t>
      </w:r>
      <w:r w:rsidRPr="00092ED7">
        <w:rPr>
          <w:lang w:val="sr-Cyrl-CS" w:eastAsia="ja-JP"/>
        </w:rPr>
        <w:t>приходи су конзервативно пројектовани како би у случају реализације негативних ризика, одступање наниже било минимално.</w:t>
      </w:r>
    </w:p>
    <w:p w14:paraId="3FE68252" w14:textId="77777777" w:rsidR="00B94540" w:rsidRPr="00092ED7" w:rsidRDefault="00B94540" w:rsidP="00B94540">
      <w:pPr>
        <w:spacing w:after="60"/>
        <w:rPr>
          <w:lang w:val="sr-Cyrl-CS" w:eastAsia="ja-JP"/>
        </w:rPr>
      </w:pPr>
      <w:r w:rsidRPr="00092ED7">
        <w:rPr>
          <w:lang w:val="sr-Cyrl-CS" w:eastAsia="ja-JP"/>
        </w:rPr>
        <w:t>Политичко и економско окружење у коме је планиран фискални оквир за 2022. годину значајно је измењено.</w:t>
      </w:r>
      <w:r w:rsidRPr="00092ED7">
        <w:rPr>
          <w:bCs/>
          <w:lang w:val="sr-Cyrl-CS" w:eastAsia="ja-JP"/>
        </w:rPr>
        <w:t xml:space="preserve"> </w:t>
      </w:r>
      <w:r w:rsidRPr="00092ED7">
        <w:rPr>
          <w:lang w:val="sr-Cyrl-CS" w:eastAsia="ja-JP"/>
        </w:rPr>
        <w:t>Оружани конфликт у Украјини, довео је, поред осталог, до повећања неизвесности у пословању, као и до прекида традиционалних економских токова, нарочито на пољу снабдевања енергентима. Тренд повећања цена природног гаса, електричне енергије и нафте присутан је био већ у другој половини 2021. године, али је током 2022. године значајно ескалирао. Повећану неизвесност уноси и нередовност у снабдевању енергентима, што додатно утиче на цене. Долази до општег повећања цена на међународном нивоу, при чему се монетарне власти одлучују на заоштравање политике и подизање општих каматних стопа. У перспективи то утиче на неповољније изгледе раста привредне активности.</w:t>
      </w:r>
    </w:p>
    <w:p w14:paraId="09226640" w14:textId="77777777" w:rsidR="00B94540" w:rsidRPr="00092ED7" w:rsidRDefault="00B94540" w:rsidP="00B94540">
      <w:pPr>
        <w:spacing w:after="60"/>
        <w:rPr>
          <w:b/>
          <w:lang w:val="sr-Cyrl-CS" w:eastAsia="ja-JP"/>
        </w:rPr>
      </w:pPr>
      <w:r w:rsidRPr="00092ED7">
        <w:rPr>
          <w:lang w:val="sr-Cyrl-CS" w:eastAsia="ja-JP"/>
        </w:rPr>
        <w:t xml:space="preserve">Промене у међународном окружењу утичу на привредну активност и јавне финансије у Републици Србији. Процена раста привредне активности у 2022. години, ревидирана је наниже за 1,5 п.п. у односу на оригинални план, а раст је ревидиран наниже и у средњем року. Упркос успоравању економске активности, на тржишту радне снаге нема изражених негативних тенденција што резултира стабилном наплатом пореза на </w:t>
      </w:r>
      <w:r w:rsidR="00640FFB" w:rsidRPr="00092ED7">
        <w:rPr>
          <w:lang w:val="sr-Cyrl-CS" w:eastAsia="ja-JP"/>
        </w:rPr>
        <w:t xml:space="preserve">приходе од </w:t>
      </w:r>
      <w:r w:rsidRPr="00092ED7">
        <w:rPr>
          <w:lang w:val="sr-Cyrl-CS" w:eastAsia="ja-JP"/>
        </w:rPr>
        <w:t>рад</w:t>
      </w:r>
      <w:r w:rsidR="00640FFB" w:rsidRPr="00092ED7">
        <w:rPr>
          <w:lang w:val="sr-Cyrl-CS" w:eastAsia="ja-JP"/>
        </w:rPr>
        <w:t>а</w:t>
      </w:r>
      <w:r w:rsidRPr="00092ED7">
        <w:rPr>
          <w:lang w:val="sr-Cyrl-CS" w:eastAsia="ja-JP"/>
        </w:rPr>
        <w:t>. Инфлација има тренутне ефекте на кретање номиналног износа пореза на потрошњу у смислу њиховог бржег раста. Истовремено, на раст наплате прихода утиче и знатно бржи раст дохотка становништва, што је потврђено реалним растом потрошње током прва три квартала 2022. године. Приходи буџета у 2022. години изнад су очекиваних, а вишак прихода искоришћен је за набавку енергената и обуздавање раста цена уз минималан утицај на стандард становништва, као и на мере смањења акцизног оптерећења нафтних деривата. Истовремено, операционализују се мере популационе политике донете почетком 2022. године, повећане су субвенције у пољопривреди, као исплаћена помоћ одређеним категоријама становништва.</w:t>
      </w:r>
    </w:p>
    <w:p w14:paraId="07B94C4B" w14:textId="77777777" w:rsidR="00B94540" w:rsidRPr="00092ED7" w:rsidRDefault="00B94540" w:rsidP="00B94540">
      <w:pPr>
        <w:spacing w:after="60"/>
        <w:rPr>
          <w:lang w:val="sr-Cyrl-CS" w:eastAsia="ja-JP"/>
        </w:rPr>
      </w:pPr>
      <w:r w:rsidRPr="00092ED7">
        <w:rPr>
          <w:lang w:val="sr-Cyrl-CS" w:eastAsia="ja-JP"/>
        </w:rPr>
        <w:t xml:space="preserve">Основни циљ измене фискалног оквира за 2022. годину је прилагођавање новонасталим негативним глобалним економским токовима, у последњих неколико деценија незабележеном светском енергетском кризом и последично знатно већим растом цена. Фискални дефицит опште државе у 2022. години, према последњим проценама, износиће 3,8% БДП, што је за 0,8 п.п. више од оригинално планираног за текућу годину. Поред измена у висини планираног резултата, знатне су промене у висини и структури приходне и расходне стране. Процењује се да ће учешће јавног дуга у БДП, на крају 2022. године опасти на 56,9%. У наредном периоду се очекује да ће услед планираног </w:t>
      </w:r>
      <w:r w:rsidRPr="00092ED7">
        <w:rPr>
          <w:lang w:val="sr-Cyrl-CS" w:eastAsia="ja-JP"/>
        </w:rPr>
        <w:lastRenderedPageBreak/>
        <w:t>кретања фискалног резултата у средњем року, путања јавног дуга бити континуирано опадајућа.</w:t>
      </w:r>
    </w:p>
    <w:p w14:paraId="6AB07EB5" w14:textId="77777777" w:rsidR="00B94540" w:rsidRPr="00092ED7" w:rsidRDefault="00B94540" w:rsidP="00B94540">
      <w:pPr>
        <w:spacing w:before="120" w:after="60"/>
        <w:rPr>
          <w:rFonts w:eastAsia="Calibri" w:cs="Times New Roman"/>
          <w:spacing w:val="-4"/>
          <w:szCs w:val="24"/>
          <w:lang w:val="sr-Cyrl-CS"/>
        </w:rPr>
      </w:pPr>
      <w:r w:rsidRPr="00092ED7">
        <w:rPr>
          <w:rFonts w:eastAsia="Calibri" w:cs="Times New Roman"/>
          <w:spacing w:val="-4"/>
          <w:szCs w:val="24"/>
          <w:lang w:val="sr-Cyrl-CS"/>
        </w:rPr>
        <w:t>Графикон 4. Фискални резултат опште државе у периоду од 2015. до 2022. године, % БДП</w:t>
      </w:r>
    </w:p>
    <w:p w14:paraId="0FF9DF11" w14:textId="77777777" w:rsidR="00B94540" w:rsidRPr="00092ED7" w:rsidRDefault="00B94540" w:rsidP="00B94540">
      <w:pPr>
        <w:spacing w:after="0" w:line="276" w:lineRule="auto"/>
        <w:jc w:val="center"/>
        <w:rPr>
          <w:rFonts w:eastAsia="Calibri" w:cs="Times New Roman"/>
          <w:szCs w:val="24"/>
          <w:lang w:val="sr-Cyrl-CS"/>
        </w:rPr>
      </w:pPr>
      <w:r w:rsidRPr="00092ED7">
        <w:rPr>
          <w:noProof/>
        </w:rPr>
        <w:drawing>
          <wp:inline distT="0" distB="0" distL="0" distR="0" wp14:anchorId="39D93469" wp14:editId="5CBC7124">
            <wp:extent cx="5724525" cy="2767054"/>
            <wp:effectExtent l="0" t="0" r="0"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7FEF4592" w14:textId="77777777" w:rsidR="00B94540" w:rsidRPr="00092ED7" w:rsidRDefault="00B94540" w:rsidP="00B94540">
      <w:pPr>
        <w:rPr>
          <w:rFonts w:eastAsia="Calibri" w:cs="Times New Roman"/>
          <w:bCs/>
          <w:sz w:val="18"/>
          <w:szCs w:val="18"/>
          <w:lang w:val="sr-Cyrl-CS"/>
        </w:rPr>
      </w:pPr>
      <w:r w:rsidRPr="00092ED7">
        <w:rPr>
          <w:rFonts w:eastAsia="Calibri" w:cs="Times New Roman"/>
          <w:bCs/>
          <w:sz w:val="18"/>
          <w:szCs w:val="18"/>
          <w:lang w:val="sr-Cyrl-CS"/>
        </w:rPr>
        <w:t>Извор: Министарство финансија</w:t>
      </w:r>
    </w:p>
    <w:p w14:paraId="194CED4C" w14:textId="70A36F4A" w:rsidR="00B94540" w:rsidRPr="00092ED7" w:rsidRDefault="00CD05C0" w:rsidP="00B94540">
      <w:pPr>
        <w:tabs>
          <w:tab w:val="left" w:pos="993"/>
        </w:tabs>
        <w:spacing w:after="60"/>
        <w:rPr>
          <w:lang w:val="sr-Cyrl-CS" w:eastAsia="ja-JP"/>
        </w:rPr>
      </w:pPr>
      <w:r w:rsidRPr="00092ED7">
        <w:rPr>
          <w:lang w:val="sr-Cyrl-CS" w:eastAsia="ja-JP"/>
        </w:rPr>
        <w:t xml:space="preserve">Пандемија </w:t>
      </w:r>
      <w:r w:rsidR="00B94540" w:rsidRPr="00092ED7">
        <w:rPr>
          <w:lang w:val="sr-Cyrl-CS" w:eastAsia="ja-JP"/>
        </w:rPr>
        <w:t>током 2020. и 2021. године имала је изразито негативне здравствене, економске и шире друштвене последице, како у читавом свету, тако и у Републици Србији. Током ове две године</w:t>
      </w:r>
      <w:r w:rsidR="00A237A4" w:rsidRPr="00092ED7">
        <w:rPr>
          <w:lang w:val="sr-Cyrl-CS" w:eastAsia="ja-JP"/>
        </w:rPr>
        <w:t>,</w:t>
      </w:r>
      <w:r w:rsidR="00B94540" w:rsidRPr="00092ED7">
        <w:rPr>
          <w:lang w:val="sr-Cyrl-CS" w:eastAsia="ja-JP"/>
        </w:rPr>
        <w:t xml:space="preserve"> реализовани су пакети мера економске подршке привреди и становништву за превазилажење кризе изазване пандемијом. Реализоване су мере у вредности од 15,6% БДП (планирано 17,3% БДП), чиме су значајно ублажени негативни ефекти кризе, забележен је мањи пад економске активности у поређењу са другим европским економијама, а избегнуте су и турбуленције на тржишту радне снаге.</w:t>
      </w:r>
    </w:p>
    <w:p w14:paraId="37384ECE" w14:textId="77777777" w:rsidR="00B94540" w:rsidRPr="00092ED7" w:rsidRDefault="00B94540" w:rsidP="00B94540">
      <w:pPr>
        <w:tabs>
          <w:tab w:val="left" w:pos="993"/>
        </w:tabs>
        <w:spacing w:after="60"/>
        <w:rPr>
          <w:lang w:val="sr-Cyrl-CS" w:eastAsia="ja-JP"/>
        </w:rPr>
      </w:pPr>
      <w:r w:rsidRPr="00092ED7">
        <w:rPr>
          <w:lang w:val="sr-Cyrl-CS" w:eastAsia="ja-JP"/>
        </w:rPr>
        <w:t>Крајем 2021. и почетком 2022. године долази до слабљења пандемије. Изласком из ове кризе очекивао се мирнији период који би омогућио економској, пре свега фискалној политици, довољно времена да се врати на одрживу путању. Међутим, престанком здравствене кризе нису нестале све негативне економске последице које је проузроковала. Убрзан раст цена подстакнут ранијом експанзивном глобалном монетарном и фискалном политиком, још увек нарушеним ланцима снабдевања и логистичким проблемима, постепен па затим убрзан раст цена енергије, само су неки од горућих проблема који пред креаторе економске политике постављају нове изазове. Сукоб у Украјини додатно је интензивирао постојеће и донео нове изазове посебно у сфери енергетике и прехрамбених производа. Транзиторни инфлаторни притисци постају перманентни, док започето пооштравање монетарне политике у свету додатно отежава могућности за финансирање растућих фискалних дефицита, а у перспективи утиче на неповољније изгледе раста привредне активности.</w:t>
      </w:r>
    </w:p>
    <w:p w14:paraId="063418A5" w14:textId="746F2E03" w:rsidR="00B94540" w:rsidRPr="00092ED7" w:rsidRDefault="00B94540" w:rsidP="00B94540">
      <w:pPr>
        <w:tabs>
          <w:tab w:val="left" w:pos="993"/>
        </w:tabs>
        <w:spacing w:after="60"/>
        <w:rPr>
          <w:lang w:val="sr-Cyrl-CS" w:eastAsia="ja-JP"/>
        </w:rPr>
      </w:pPr>
      <w:r w:rsidRPr="00092ED7">
        <w:rPr>
          <w:lang w:val="sr-Cyrl-CS" w:eastAsia="ja-JP"/>
        </w:rPr>
        <w:t xml:space="preserve">Фискални оквир за 2022. годину је усвајањем </w:t>
      </w:r>
      <w:r w:rsidR="00F347CE" w:rsidRPr="00092ED7">
        <w:rPr>
          <w:lang w:val="sr-Cyrl-CS" w:eastAsia="ja-JP"/>
        </w:rPr>
        <w:t>Фискалне стратегије за 2023. годину са пројекцијама за 2024. и 2025. годину</w:t>
      </w:r>
      <w:r w:rsidRPr="00092ED7">
        <w:rPr>
          <w:lang w:val="sr-Cyrl-CS" w:eastAsia="ja-JP"/>
        </w:rPr>
        <w:t xml:space="preserve">, током пролећног дела буџетског циклуса, био значајно ревидиран у погледу висине и структуре прихода и расхода, при чему није мењана процена фискалног резултата у БДП од 3% БДП. У том моменту су се назирали фактори који би могли значајно да утичу на материјализацију негативних ризика по економска кретања у 2022. години. Постојала је доза неизвесности у погледу трајања и обима утицаја новонастале кризе на укупна фискална кретања, посебно на страни расхода. Иновирани фискални оквир за 2022. годину рефлектује свеукупне последице, али и одговоре на наведене изазове, и предвиђа ревидирани фискални дефицит од 3,8% </w:t>
      </w:r>
      <w:r w:rsidRPr="00092ED7">
        <w:rPr>
          <w:lang w:val="sr-Cyrl-CS" w:eastAsia="ja-JP"/>
        </w:rPr>
        <w:lastRenderedPageBreak/>
        <w:t>БДП. У односу на оригинално планиране, процена прихода је повећана за 236,4 млрд динара, док су расходи већи за 307,4 млрд динара, уз значајне промене у структури.</w:t>
      </w:r>
    </w:p>
    <w:p w14:paraId="17A22352" w14:textId="77777777" w:rsidR="00B94540" w:rsidRPr="00092ED7" w:rsidRDefault="00B94540" w:rsidP="00B94540">
      <w:pPr>
        <w:spacing w:before="120" w:after="60"/>
        <w:rPr>
          <w:rFonts w:eastAsia="MS PGothic" w:cs="Times New Roman"/>
          <w:szCs w:val="24"/>
          <w:lang w:val="sr-Cyrl-CS" w:eastAsia="ja-JP"/>
        </w:rPr>
      </w:pPr>
      <w:r w:rsidRPr="00092ED7">
        <w:rPr>
          <w:rFonts w:eastAsia="MS PGothic" w:cs="Times New Roman"/>
          <w:szCs w:val="24"/>
          <w:lang w:val="sr-Cyrl-CS" w:eastAsia="ja-JP"/>
        </w:rPr>
        <w:t>Табела 4. Приходи, расходи и резултат сектора државе у 2022. години, у млрд динара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1015"/>
        <w:gridCol w:w="1015"/>
        <w:gridCol w:w="1018"/>
        <w:gridCol w:w="1147"/>
        <w:gridCol w:w="1100"/>
        <w:gridCol w:w="929"/>
      </w:tblGrid>
      <w:tr w:rsidR="00B94540" w:rsidRPr="00092ED7" w14:paraId="6AECCE31" w14:textId="77777777" w:rsidTr="00B94540">
        <w:trPr>
          <w:trHeight w:val="391"/>
          <w:tblHeader/>
          <w:jc w:val="center"/>
        </w:trPr>
        <w:tc>
          <w:tcPr>
            <w:tcW w:w="1202" w:type="pct"/>
            <w:shd w:val="clear" w:color="auto" w:fill="auto"/>
            <w:noWrap/>
            <w:vAlign w:val="center"/>
            <w:hideMark/>
          </w:tcPr>
          <w:p w14:paraId="4231CF2A" w14:textId="77777777" w:rsidR="00B94540" w:rsidRPr="00092ED7" w:rsidRDefault="00B94540" w:rsidP="00B94540">
            <w:pPr>
              <w:spacing w:after="0"/>
              <w:jc w:val="center"/>
              <w:rPr>
                <w:rFonts w:eastAsia="Times New Roman" w:cstheme="minorHAnsi"/>
                <w:bCs/>
                <w:sz w:val="20"/>
                <w:szCs w:val="20"/>
                <w:lang w:val="sr-Cyrl-CS" w:eastAsia="sr-Cyrl-RS"/>
              </w:rPr>
            </w:pPr>
            <w:r w:rsidRPr="00092ED7">
              <w:rPr>
                <w:rFonts w:eastAsia="Times New Roman" w:cstheme="minorHAnsi"/>
                <w:bCs/>
                <w:sz w:val="20"/>
                <w:szCs w:val="20"/>
                <w:lang w:val="sr-Cyrl-CS" w:eastAsia="sr-Cyrl-RS"/>
              </w:rPr>
              <w:t> </w:t>
            </w:r>
          </w:p>
        </w:tc>
        <w:tc>
          <w:tcPr>
            <w:tcW w:w="633" w:type="pct"/>
            <w:shd w:val="clear" w:color="auto" w:fill="auto"/>
            <w:vAlign w:val="center"/>
            <w:hideMark/>
          </w:tcPr>
          <w:p w14:paraId="0BE557F3" w14:textId="77777777" w:rsidR="00B94540" w:rsidRPr="00092ED7" w:rsidRDefault="00B94540" w:rsidP="00B94540">
            <w:pPr>
              <w:spacing w:after="0"/>
              <w:jc w:val="center"/>
              <w:rPr>
                <w:rFonts w:eastAsia="MS PGothic" w:cstheme="minorHAnsi"/>
                <w:sz w:val="20"/>
                <w:szCs w:val="20"/>
                <w:lang w:val="sr-Cyrl-CS" w:eastAsia="ja-JP"/>
              </w:rPr>
            </w:pPr>
            <w:r w:rsidRPr="00092ED7">
              <w:rPr>
                <w:rFonts w:eastAsia="MS PGothic" w:cstheme="minorHAnsi"/>
                <w:sz w:val="20"/>
                <w:szCs w:val="20"/>
                <w:lang w:val="sr-Cyrl-CS" w:eastAsia="ja-JP"/>
              </w:rPr>
              <w:t>буџет 2022</w:t>
            </w:r>
          </w:p>
        </w:tc>
        <w:tc>
          <w:tcPr>
            <w:tcW w:w="633" w:type="pct"/>
            <w:vAlign w:val="center"/>
          </w:tcPr>
          <w:p w14:paraId="786BC902" w14:textId="77777777" w:rsidR="00B94540" w:rsidRPr="00092ED7" w:rsidRDefault="00B94540" w:rsidP="00B94540">
            <w:pPr>
              <w:spacing w:after="0"/>
              <w:jc w:val="center"/>
              <w:rPr>
                <w:rFonts w:eastAsia="MS PGothic" w:cstheme="minorHAnsi"/>
                <w:sz w:val="20"/>
                <w:szCs w:val="20"/>
                <w:lang w:val="sr-Cyrl-CS" w:eastAsia="ja-JP"/>
              </w:rPr>
            </w:pPr>
            <w:r w:rsidRPr="00092ED7">
              <w:rPr>
                <w:rFonts w:eastAsia="MS PGothic" w:cstheme="minorHAnsi"/>
                <w:sz w:val="20"/>
                <w:szCs w:val="20"/>
                <w:lang w:val="sr-Cyrl-CS" w:eastAsia="ja-JP"/>
              </w:rPr>
              <w:t>процена април 2022</w:t>
            </w:r>
          </w:p>
        </w:tc>
        <w:tc>
          <w:tcPr>
            <w:tcW w:w="634" w:type="pct"/>
            <w:shd w:val="clear" w:color="auto" w:fill="auto"/>
            <w:vAlign w:val="center"/>
            <w:hideMark/>
          </w:tcPr>
          <w:p w14:paraId="5A0B59B8" w14:textId="77777777" w:rsidR="00B94540" w:rsidRPr="00092ED7" w:rsidRDefault="00B94540" w:rsidP="00B94540">
            <w:pPr>
              <w:spacing w:after="0"/>
              <w:jc w:val="center"/>
              <w:rPr>
                <w:rFonts w:eastAsia="MS PGothic" w:cstheme="minorHAnsi"/>
                <w:sz w:val="20"/>
                <w:szCs w:val="20"/>
                <w:lang w:val="sr-Cyrl-CS" w:eastAsia="ja-JP"/>
              </w:rPr>
            </w:pPr>
            <w:r w:rsidRPr="00092ED7">
              <w:rPr>
                <w:rFonts w:eastAsia="MS PGothic" w:cstheme="minorHAnsi"/>
                <w:sz w:val="20"/>
                <w:szCs w:val="20"/>
                <w:lang w:val="sr-Cyrl-CS" w:eastAsia="ja-JP"/>
              </w:rPr>
              <w:t>нова процена 2022</w:t>
            </w:r>
          </w:p>
        </w:tc>
        <w:tc>
          <w:tcPr>
            <w:tcW w:w="634" w:type="pct"/>
            <w:shd w:val="clear" w:color="auto" w:fill="auto"/>
            <w:vAlign w:val="center"/>
            <w:hideMark/>
          </w:tcPr>
          <w:p w14:paraId="007DDBC3" w14:textId="77777777" w:rsidR="00B94540" w:rsidRPr="00092ED7" w:rsidRDefault="00B94540" w:rsidP="00B94540">
            <w:pPr>
              <w:spacing w:after="0"/>
              <w:jc w:val="center"/>
              <w:rPr>
                <w:rFonts w:eastAsia="MS PGothic" w:cstheme="minorHAnsi"/>
                <w:sz w:val="20"/>
                <w:szCs w:val="20"/>
                <w:lang w:val="sr-Cyrl-CS" w:eastAsia="ja-JP"/>
              </w:rPr>
            </w:pPr>
            <w:r w:rsidRPr="00092ED7">
              <w:rPr>
                <w:rFonts w:eastAsia="MS PGothic" w:cstheme="minorHAnsi"/>
                <w:sz w:val="20"/>
                <w:szCs w:val="20"/>
                <w:lang w:val="sr-Cyrl-CS" w:eastAsia="ja-JP"/>
              </w:rPr>
              <w:t>Разлика новa/буџет</w:t>
            </w:r>
          </w:p>
        </w:tc>
        <w:tc>
          <w:tcPr>
            <w:tcW w:w="634" w:type="pct"/>
            <w:shd w:val="clear" w:color="auto" w:fill="auto"/>
            <w:vAlign w:val="center"/>
            <w:hideMark/>
          </w:tcPr>
          <w:p w14:paraId="77647B3D" w14:textId="77777777" w:rsidR="00B94540" w:rsidRPr="00092ED7" w:rsidRDefault="00B94540" w:rsidP="00B94540">
            <w:pPr>
              <w:spacing w:after="0"/>
              <w:jc w:val="center"/>
              <w:rPr>
                <w:rFonts w:eastAsia="MS PGothic" w:cstheme="minorHAnsi"/>
                <w:sz w:val="20"/>
                <w:szCs w:val="20"/>
                <w:lang w:val="sr-Cyrl-CS" w:eastAsia="ja-JP"/>
              </w:rPr>
            </w:pPr>
            <w:r w:rsidRPr="00092ED7">
              <w:rPr>
                <w:rFonts w:eastAsia="MS PGothic" w:cstheme="minorHAnsi"/>
                <w:sz w:val="20"/>
                <w:szCs w:val="20"/>
                <w:lang w:val="sr-Cyrl-CS" w:eastAsia="ja-JP"/>
              </w:rPr>
              <w:t>% промена</w:t>
            </w:r>
          </w:p>
        </w:tc>
        <w:tc>
          <w:tcPr>
            <w:tcW w:w="631" w:type="pct"/>
            <w:shd w:val="clear" w:color="auto" w:fill="auto"/>
            <w:vAlign w:val="center"/>
            <w:hideMark/>
          </w:tcPr>
          <w:p w14:paraId="64D8C43A" w14:textId="77777777" w:rsidR="00B94540" w:rsidRPr="00092ED7" w:rsidRDefault="00B94540" w:rsidP="00B94540">
            <w:pPr>
              <w:spacing w:after="0"/>
              <w:jc w:val="center"/>
              <w:rPr>
                <w:rFonts w:eastAsia="MS PGothic" w:cstheme="minorHAnsi"/>
                <w:sz w:val="18"/>
                <w:szCs w:val="18"/>
                <w:lang w:val="sr-Cyrl-CS" w:eastAsia="ja-JP"/>
              </w:rPr>
            </w:pPr>
            <w:r w:rsidRPr="00092ED7">
              <w:rPr>
                <w:rFonts w:eastAsia="MS PGothic" w:cstheme="minorHAnsi"/>
                <w:sz w:val="18"/>
                <w:szCs w:val="18"/>
                <w:lang w:val="sr-Cyrl-CS" w:eastAsia="ja-JP"/>
              </w:rPr>
              <w:t>2022 нова пр. % БДП</w:t>
            </w:r>
          </w:p>
        </w:tc>
      </w:tr>
      <w:tr w:rsidR="00B94540" w:rsidRPr="00092ED7" w14:paraId="4E038E8B" w14:textId="77777777" w:rsidTr="00B94540">
        <w:trPr>
          <w:trHeight w:val="223"/>
          <w:jc w:val="center"/>
        </w:trPr>
        <w:tc>
          <w:tcPr>
            <w:tcW w:w="1202" w:type="pct"/>
            <w:shd w:val="clear" w:color="auto" w:fill="E7E6E6" w:themeFill="background2"/>
            <w:noWrap/>
            <w:vAlign w:val="center"/>
            <w:hideMark/>
          </w:tcPr>
          <w:p w14:paraId="19AF27F0" w14:textId="77777777" w:rsidR="00B94540" w:rsidRPr="00092ED7" w:rsidRDefault="00B94540" w:rsidP="00B94540">
            <w:pPr>
              <w:spacing w:after="0"/>
              <w:jc w:val="left"/>
              <w:rPr>
                <w:rFonts w:cstheme="minorHAnsi"/>
                <w:sz w:val="20"/>
                <w:szCs w:val="20"/>
                <w:lang w:val="sr-Cyrl-CS"/>
              </w:rPr>
            </w:pPr>
            <w:r w:rsidRPr="00092ED7">
              <w:rPr>
                <w:rFonts w:eastAsia="MS PGothic" w:cstheme="minorHAnsi"/>
                <w:sz w:val="20"/>
                <w:szCs w:val="20"/>
                <w:lang w:val="sr-Cyrl-CS" w:eastAsia="ja-JP"/>
              </w:rPr>
              <w:t>ЈАВНИ ПРИХОДИ</w:t>
            </w:r>
          </w:p>
        </w:tc>
        <w:tc>
          <w:tcPr>
            <w:tcW w:w="633" w:type="pct"/>
            <w:shd w:val="clear" w:color="auto" w:fill="E7E6E6" w:themeFill="background2"/>
            <w:hideMark/>
          </w:tcPr>
          <w:p w14:paraId="6F9BD8A8" w14:textId="77777777" w:rsidR="00B94540" w:rsidRPr="00092ED7" w:rsidRDefault="00B94540" w:rsidP="00B94540">
            <w:pPr>
              <w:spacing w:after="0"/>
              <w:ind w:right="170"/>
              <w:jc w:val="right"/>
              <w:rPr>
                <w:rFonts w:cstheme="minorHAnsi"/>
                <w:sz w:val="20"/>
                <w:szCs w:val="20"/>
                <w:lang w:val="sr-Cyrl-CS"/>
              </w:rPr>
            </w:pPr>
            <w:r w:rsidRPr="00092ED7">
              <w:rPr>
                <w:sz w:val="20"/>
                <w:szCs w:val="20"/>
                <w:lang w:val="sr-Cyrl-CS"/>
              </w:rPr>
              <w:t>2.804,1</w:t>
            </w:r>
          </w:p>
        </w:tc>
        <w:tc>
          <w:tcPr>
            <w:tcW w:w="633" w:type="pct"/>
            <w:shd w:val="clear" w:color="auto" w:fill="E7E6E6" w:themeFill="background2"/>
          </w:tcPr>
          <w:p w14:paraId="48D3A742" w14:textId="77777777" w:rsidR="00B94540" w:rsidRPr="00092ED7" w:rsidRDefault="00B94540" w:rsidP="00B94540">
            <w:pPr>
              <w:spacing w:after="0"/>
              <w:ind w:right="170"/>
              <w:jc w:val="right"/>
              <w:rPr>
                <w:sz w:val="20"/>
                <w:szCs w:val="20"/>
                <w:lang w:val="sr-Cyrl-CS"/>
              </w:rPr>
            </w:pPr>
            <w:r w:rsidRPr="00092ED7">
              <w:rPr>
                <w:sz w:val="20"/>
                <w:szCs w:val="20"/>
                <w:lang w:val="sr-Cyrl-CS"/>
              </w:rPr>
              <w:t>2.901,0</w:t>
            </w:r>
          </w:p>
        </w:tc>
        <w:tc>
          <w:tcPr>
            <w:tcW w:w="634" w:type="pct"/>
            <w:shd w:val="clear" w:color="auto" w:fill="E7E6E6" w:themeFill="background2"/>
            <w:noWrap/>
            <w:hideMark/>
          </w:tcPr>
          <w:p w14:paraId="7AC45D20" w14:textId="77777777" w:rsidR="00B94540" w:rsidRPr="00092ED7" w:rsidRDefault="00B94540" w:rsidP="00B94540">
            <w:pPr>
              <w:spacing w:after="0"/>
              <w:ind w:right="170"/>
              <w:jc w:val="right"/>
              <w:rPr>
                <w:rFonts w:cstheme="minorHAnsi"/>
                <w:sz w:val="20"/>
                <w:szCs w:val="20"/>
                <w:lang w:val="sr-Cyrl-CS"/>
              </w:rPr>
            </w:pPr>
            <w:r w:rsidRPr="00092ED7">
              <w:rPr>
                <w:sz w:val="20"/>
                <w:szCs w:val="20"/>
                <w:lang w:val="sr-Cyrl-CS"/>
              </w:rPr>
              <w:t>3.040,5</w:t>
            </w:r>
          </w:p>
        </w:tc>
        <w:tc>
          <w:tcPr>
            <w:tcW w:w="634" w:type="pct"/>
            <w:shd w:val="clear" w:color="auto" w:fill="E7E6E6" w:themeFill="background2"/>
            <w:hideMark/>
          </w:tcPr>
          <w:p w14:paraId="5A357FC5" w14:textId="77777777" w:rsidR="00B94540" w:rsidRPr="00092ED7" w:rsidRDefault="00B94540" w:rsidP="00B94540">
            <w:pPr>
              <w:spacing w:after="0"/>
              <w:ind w:right="227"/>
              <w:jc w:val="right"/>
              <w:rPr>
                <w:rFonts w:cstheme="minorHAnsi"/>
                <w:sz w:val="20"/>
                <w:szCs w:val="20"/>
                <w:lang w:val="sr-Cyrl-CS"/>
              </w:rPr>
            </w:pPr>
            <w:r w:rsidRPr="00092ED7">
              <w:rPr>
                <w:sz w:val="20"/>
                <w:szCs w:val="20"/>
                <w:lang w:val="sr-Cyrl-CS"/>
              </w:rPr>
              <w:t>236,4</w:t>
            </w:r>
          </w:p>
        </w:tc>
        <w:tc>
          <w:tcPr>
            <w:tcW w:w="634" w:type="pct"/>
            <w:shd w:val="clear" w:color="auto" w:fill="E7E6E6" w:themeFill="background2"/>
            <w:hideMark/>
          </w:tcPr>
          <w:p w14:paraId="51739F2D" w14:textId="77777777" w:rsidR="00B94540" w:rsidRPr="00092ED7" w:rsidRDefault="00B94540" w:rsidP="00B94540">
            <w:pPr>
              <w:spacing w:after="0"/>
              <w:ind w:right="284"/>
              <w:jc w:val="right"/>
              <w:rPr>
                <w:rFonts w:cstheme="minorHAnsi"/>
                <w:sz w:val="20"/>
                <w:szCs w:val="20"/>
                <w:lang w:val="sr-Cyrl-CS"/>
              </w:rPr>
            </w:pPr>
            <w:r w:rsidRPr="00092ED7">
              <w:rPr>
                <w:sz w:val="20"/>
                <w:szCs w:val="20"/>
                <w:lang w:val="sr-Cyrl-CS"/>
              </w:rPr>
              <w:t>8,4</w:t>
            </w:r>
          </w:p>
        </w:tc>
        <w:tc>
          <w:tcPr>
            <w:tcW w:w="631" w:type="pct"/>
            <w:shd w:val="clear" w:color="auto" w:fill="E7E6E6" w:themeFill="background2"/>
            <w:noWrap/>
            <w:hideMark/>
          </w:tcPr>
          <w:p w14:paraId="5BAE6FCA" w14:textId="77777777" w:rsidR="00B94540" w:rsidRPr="00092ED7" w:rsidRDefault="00B94540" w:rsidP="00B94540">
            <w:pPr>
              <w:spacing w:after="0"/>
              <w:ind w:right="284"/>
              <w:jc w:val="right"/>
              <w:rPr>
                <w:rFonts w:cstheme="minorHAnsi"/>
                <w:sz w:val="20"/>
                <w:szCs w:val="20"/>
                <w:lang w:val="sr-Cyrl-CS"/>
              </w:rPr>
            </w:pPr>
            <w:r w:rsidRPr="00092ED7">
              <w:rPr>
                <w:sz w:val="20"/>
                <w:szCs w:val="20"/>
                <w:lang w:val="sr-Cyrl-CS"/>
              </w:rPr>
              <w:t>42,9</w:t>
            </w:r>
          </w:p>
        </w:tc>
      </w:tr>
      <w:tr w:rsidR="00B94540" w:rsidRPr="00092ED7" w14:paraId="44F844C2" w14:textId="77777777" w:rsidTr="00B94540">
        <w:trPr>
          <w:trHeight w:val="223"/>
          <w:jc w:val="center"/>
        </w:trPr>
        <w:tc>
          <w:tcPr>
            <w:tcW w:w="1202" w:type="pct"/>
            <w:shd w:val="clear" w:color="auto" w:fill="auto"/>
            <w:noWrap/>
            <w:vAlign w:val="center"/>
            <w:hideMark/>
          </w:tcPr>
          <w:p w14:paraId="7980557E" w14:textId="77777777" w:rsidR="00B94540" w:rsidRPr="00092ED7" w:rsidRDefault="00B94540" w:rsidP="00B94540">
            <w:pPr>
              <w:spacing w:after="0"/>
              <w:jc w:val="left"/>
              <w:rPr>
                <w:rFonts w:eastAsia="MS PGothic" w:cstheme="minorHAnsi"/>
                <w:sz w:val="20"/>
                <w:szCs w:val="20"/>
                <w:lang w:val="sr-Cyrl-CS" w:eastAsia="ja-JP"/>
              </w:rPr>
            </w:pPr>
            <w:r w:rsidRPr="00092ED7">
              <w:rPr>
                <w:rFonts w:eastAsia="MS PGothic" w:cstheme="minorHAnsi"/>
                <w:sz w:val="20"/>
                <w:szCs w:val="20"/>
                <w:lang w:val="sr-Cyrl-CS" w:eastAsia="ja-JP"/>
              </w:rPr>
              <w:t>Текући приходи</w:t>
            </w:r>
          </w:p>
        </w:tc>
        <w:tc>
          <w:tcPr>
            <w:tcW w:w="633" w:type="pct"/>
            <w:shd w:val="clear" w:color="auto" w:fill="auto"/>
            <w:hideMark/>
          </w:tcPr>
          <w:p w14:paraId="4B5CAB4C" w14:textId="77777777" w:rsidR="00B94540" w:rsidRPr="00092ED7" w:rsidRDefault="00B94540" w:rsidP="00B94540">
            <w:pPr>
              <w:spacing w:after="0"/>
              <w:ind w:right="170"/>
              <w:jc w:val="right"/>
              <w:rPr>
                <w:rFonts w:cstheme="minorHAnsi"/>
                <w:sz w:val="20"/>
                <w:szCs w:val="20"/>
                <w:lang w:val="sr-Cyrl-CS"/>
              </w:rPr>
            </w:pPr>
            <w:r w:rsidRPr="00092ED7">
              <w:rPr>
                <w:sz w:val="20"/>
                <w:szCs w:val="20"/>
                <w:lang w:val="sr-Cyrl-CS"/>
              </w:rPr>
              <w:t>2.778,2</w:t>
            </w:r>
          </w:p>
        </w:tc>
        <w:tc>
          <w:tcPr>
            <w:tcW w:w="633" w:type="pct"/>
          </w:tcPr>
          <w:p w14:paraId="3D246B6F" w14:textId="77777777" w:rsidR="00B94540" w:rsidRPr="00092ED7" w:rsidRDefault="00B94540" w:rsidP="00B94540">
            <w:pPr>
              <w:spacing w:after="0"/>
              <w:ind w:right="170"/>
              <w:jc w:val="right"/>
              <w:rPr>
                <w:sz w:val="20"/>
                <w:szCs w:val="20"/>
                <w:lang w:val="sr-Cyrl-CS"/>
              </w:rPr>
            </w:pPr>
            <w:r w:rsidRPr="00092ED7">
              <w:rPr>
                <w:sz w:val="20"/>
                <w:szCs w:val="20"/>
                <w:lang w:val="sr-Cyrl-CS"/>
              </w:rPr>
              <w:t>2.875,1</w:t>
            </w:r>
          </w:p>
        </w:tc>
        <w:tc>
          <w:tcPr>
            <w:tcW w:w="634" w:type="pct"/>
            <w:shd w:val="clear" w:color="auto" w:fill="auto"/>
            <w:noWrap/>
            <w:hideMark/>
          </w:tcPr>
          <w:p w14:paraId="393A5F96" w14:textId="77777777" w:rsidR="00B94540" w:rsidRPr="00092ED7" w:rsidRDefault="00B94540" w:rsidP="00B94540">
            <w:pPr>
              <w:spacing w:after="0"/>
              <w:ind w:right="170"/>
              <w:jc w:val="right"/>
              <w:rPr>
                <w:rFonts w:cstheme="minorHAnsi"/>
                <w:sz w:val="20"/>
                <w:szCs w:val="20"/>
                <w:lang w:val="sr-Cyrl-CS"/>
              </w:rPr>
            </w:pPr>
            <w:r w:rsidRPr="00092ED7">
              <w:rPr>
                <w:sz w:val="20"/>
                <w:szCs w:val="20"/>
                <w:lang w:val="sr-Cyrl-CS"/>
              </w:rPr>
              <w:t>3.018,8</w:t>
            </w:r>
          </w:p>
        </w:tc>
        <w:tc>
          <w:tcPr>
            <w:tcW w:w="634" w:type="pct"/>
            <w:shd w:val="clear" w:color="auto" w:fill="auto"/>
            <w:hideMark/>
          </w:tcPr>
          <w:p w14:paraId="0F71C44D" w14:textId="77777777" w:rsidR="00B94540" w:rsidRPr="00092ED7" w:rsidRDefault="00B94540" w:rsidP="00B94540">
            <w:pPr>
              <w:spacing w:after="0"/>
              <w:ind w:right="227"/>
              <w:jc w:val="right"/>
              <w:rPr>
                <w:rFonts w:cstheme="minorHAnsi"/>
                <w:sz w:val="20"/>
                <w:szCs w:val="20"/>
                <w:lang w:val="sr-Cyrl-CS"/>
              </w:rPr>
            </w:pPr>
            <w:r w:rsidRPr="00092ED7">
              <w:rPr>
                <w:sz w:val="20"/>
                <w:szCs w:val="20"/>
                <w:lang w:val="sr-Cyrl-CS"/>
              </w:rPr>
              <w:t>240,6</w:t>
            </w:r>
          </w:p>
        </w:tc>
        <w:tc>
          <w:tcPr>
            <w:tcW w:w="634" w:type="pct"/>
            <w:shd w:val="clear" w:color="auto" w:fill="auto"/>
            <w:hideMark/>
          </w:tcPr>
          <w:p w14:paraId="1A848A67" w14:textId="77777777" w:rsidR="00B94540" w:rsidRPr="00092ED7" w:rsidRDefault="00B94540" w:rsidP="00B94540">
            <w:pPr>
              <w:spacing w:after="0"/>
              <w:ind w:right="284"/>
              <w:jc w:val="right"/>
              <w:rPr>
                <w:rFonts w:cstheme="minorHAnsi"/>
                <w:sz w:val="20"/>
                <w:szCs w:val="20"/>
                <w:lang w:val="sr-Cyrl-CS"/>
              </w:rPr>
            </w:pPr>
            <w:r w:rsidRPr="00092ED7">
              <w:rPr>
                <w:sz w:val="20"/>
                <w:szCs w:val="20"/>
                <w:lang w:val="sr-Cyrl-CS"/>
              </w:rPr>
              <w:t>8,7</w:t>
            </w:r>
          </w:p>
        </w:tc>
        <w:tc>
          <w:tcPr>
            <w:tcW w:w="631" w:type="pct"/>
            <w:shd w:val="clear" w:color="auto" w:fill="auto"/>
            <w:noWrap/>
            <w:hideMark/>
          </w:tcPr>
          <w:p w14:paraId="69BE4F62" w14:textId="77777777" w:rsidR="00B94540" w:rsidRPr="00092ED7" w:rsidRDefault="00B94540" w:rsidP="00B94540">
            <w:pPr>
              <w:spacing w:after="0"/>
              <w:ind w:right="284"/>
              <w:jc w:val="right"/>
              <w:rPr>
                <w:rFonts w:cstheme="minorHAnsi"/>
                <w:sz w:val="20"/>
                <w:szCs w:val="20"/>
                <w:lang w:val="sr-Cyrl-CS"/>
              </w:rPr>
            </w:pPr>
            <w:r w:rsidRPr="00092ED7">
              <w:rPr>
                <w:sz w:val="20"/>
                <w:szCs w:val="20"/>
                <w:lang w:val="sr-Cyrl-CS"/>
              </w:rPr>
              <w:t>42,6</w:t>
            </w:r>
          </w:p>
        </w:tc>
      </w:tr>
      <w:tr w:rsidR="00B94540" w:rsidRPr="00092ED7" w14:paraId="03B8C30E" w14:textId="77777777" w:rsidTr="00B94540">
        <w:trPr>
          <w:trHeight w:val="223"/>
          <w:jc w:val="center"/>
        </w:trPr>
        <w:tc>
          <w:tcPr>
            <w:tcW w:w="1202" w:type="pct"/>
            <w:shd w:val="clear" w:color="auto" w:fill="auto"/>
            <w:noWrap/>
            <w:vAlign w:val="center"/>
            <w:hideMark/>
          </w:tcPr>
          <w:p w14:paraId="03729E5F" w14:textId="77777777" w:rsidR="00B94540" w:rsidRPr="00092ED7" w:rsidRDefault="00B94540" w:rsidP="00B94540">
            <w:pPr>
              <w:spacing w:after="0"/>
              <w:jc w:val="left"/>
              <w:rPr>
                <w:rFonts w:eastAsia="MS PGothic" w:cstheme="minorHAnsi"/>
                <w:sz w:val="20"/>
                <w:szCs w:val="20"/>
                <w:lang w:val="sr-Cyrl-CS" w:eastAsia="ja-JP"/>
              </w:rPr>
            </w:pPr>
            <w:r w:rsidRPr="00092ED7">
              <w:rPr>
                <w:rFonts w:eastAsia="MS PGothic" w:cstheme="minorHAnsi"/>
                <w:sz w:val="20"/>
                <w:szCs w:val="20"/>
                <w:lang w:val="sr-Cyrl-CS" w:eastAsia="ja-JP"/>
              </w:rPr>
              <w:t>Порески приходи</w:t>
            </w:r>
          </w:p>
        </w:tc>
        <w:tc>
          <w:tcPr>
            <w:tcW w:w="633" w:type="pct"/>
            <w:shd w:val="clear" w:color="auto" w:fill="auto"/>
            <w:hideMark/>
          </w:tcPr>
          <w:p w14:paraId="5F325875" w14:textId="77777777" w:rsidR="00B94540" w:rsidRPr="00092ED7" w:rsidRDefault="00B94540" w:rsidP="00B94540">
            <w:pPr>
              <w:spacing w:after="0"/>
              <w:ind w:right="170"/>
              <w:jc w:val="right"/>
              <w:rPr>
                <w:rFonts w:cstheme="minorHAnsi"/>
                <w:sz w:val="20"/>
                <w:szCs w:val="20"/>
                <w:lang w:val="sr-Cyrl-CS"/>
              </w:rPr>
            </w:pPr>
            <w:r w:rsidRPr="00092ED7">
              <w:rPr>
                <w:sz w:val="20"/>
                <w:szCs w:val="20"/>
                <w:lang w:val="sr-Cyrl-CS"/>
              </w:rPr>
              <w:t>2.526,7</w:t>
            </w:r>
          </w:p>
        </w:tc>
        <w:tc>
          <w:tcPr>
            <w:tcW w:w="633" w:type="pct"/>
          </w:tcPr>
          <w:p w14:paraId="29787851" w14:textId="77777777" w:rsidR="00B94540" w:rsidRPr="00092ED7" w:rsidRDefault="00B94540" w:rsidP="00B94540">
            <w:pPr>
              <w:spacing w:after="0"/>
              <w:ind w:right="170"/>
              <w:jc w:val="right"/>
              <w:rPr>
                <w:sz w:val="20"/>
                <w:szCs w:val="20"/>
                <w:lang w:val="sr-Cyrl-CS"/>
              </w:rPr>
            </w:pPr>
            <w:r w:rsidRPr="00092ED7">
              <w:rPr>
                <w:sz w:val="20"/>
                <w:szCs w:val="20"/>
                <w:lang w:val="sr-Cyrl-CS"/>
              </w:rPr>
              <w:t>2.609,4</w:t>
            </w:r>
          </w:p>
        </w:tc>
        <w:tc>
          <w:tcPr>
            <w:tcW w:w="634" w:type="pct"/>
            <w:shd w:val="clear" w:color="auto" w:fill="auto"/>
            <w:hideMark/>
          </w:tcPr>
          <w:p w14:paraId="0DAC7FEA" w14:textId="77777777" w:rsidR="00B94540" w:rsidRPr="00092ED7" w:rsidRDefault="00B94540" w:rsidP="00B94540">
            <w:pPr>
              <w:spacing w:after="0"/>
              <w:ind w:right="170"/>
              <w:jc w:val="right"/>
              <w:rPr>
                <w:rFonts w:cstheme="minorHAnsi"/>
                <w:sz w:val="20"/>
                <w:szCs w:val="20"/>
                <w:lang w:val="sr-Cyrl-CS"/>
              </w:rPr>
            </w:pPr>
            <w:r w:rsidRPr="00092ED7">
              <w:rPr>
                <w:sz w:val="20"/>
                <w:szCs w:val="20"/>
                <w:lang w:val="sr-Cyrl-CS"/>
              </w:rPr>
              <w:t>2.740,5</w:t>
            </w:r>
          </w:p>
        </w:tc>
        <w:tc>
          <w:tcPr>
            <w:tcW w:w="634" w:type="pct"/>
            <w:shd w:val="clear" w:color="auto" w:fill="auto"/>
            <w:hideMark/>
          </w:tcPr>
          <w:p w14:paraId="2DB3E83C" w14:textId="77777777" w:rsidR="00B94540" w:rsidRPr="00092ED7" w:rsidRDefault="00B94540" w:rsidP="00B94540">
            <w:pPr>
              <w:spacing w:after="0"/>
              <w:ind w:right="227"/>
              <w:jc w:val="right"/>
              <w:rPr>
                <w:rFonts w:cstheme="minorHAnsi"/>
                <w:sz w:val="20"/>
                <w:szCs w:val="20"/>
                <w:lang w:val="sr-Cyrl-CS"/>
              </w:rPr>
            </w:pPr>
            <w:r w:rsidRPr="00092ED7">
              <w:rPr>
                <w:sz w:val="20"/>
                <w:szCs w:val="20"/>
                <w:lang w:val="sr-Cyrl-CS"/>
              </w:rPr>
              <w:t>213,8</w:t>
            </w:r>
          </w:p>
        </w:tc>
        <w:tc>
          <w:tcPr>
            <w:tcW w:w="634" w:type="pct"/>
            <w:shd w:val="clear" w:color="auto" w:fill="auto"/>
            <w:hideMark/>
          </w:tcPr>
          <w:p w14:paraId="69E1106C" w14:textId="77777777" w:rsidR="00B94540" w:rsidRPr="00092ED7" w:rsidRDefault="00B94540" w:rsidP="00B94540">
            <w:pPr>
              <w:spacing w:after="0"/>
              <w:ind w:right="284"/>
              <w:jc w:val="right"/>
              <w:rPr>
                <w:rFonts w:cstheme="minorHAnsi"/>
                <w:sz w:val="20"/>
                <w:szCs w:val="20"/>
                <w:lang w:val="sr-Cyrl-CS"/>
              </w:rPr>
            </w:pPr>
            <w:r w:rsidRPr="00092ED7">
              <w:rPr>
                <w:sz w:val="20"/>
                <w:szCs w:val="20"/>
                <w:lang w:val="sr-Cyrl-CS"/>
              </w:rPr>
              <w:t>8,5</w:t>
            </w:r>
          </w:p>
        </w:tc>
        <w:tc>
          <w:tcPr>
            <w:tcW w:w="631" w:type="pct"/>
            <w:shd w:val="clear" w:color="auto" w:fill="auto"/>
            <w:noWrap/>
            <w:hideMark/>
          </w:tcPr>
          <w:p w14:paraId="7A3FFC23" w14:textId="77777777" w:rsidR="00B94540" w:rsidRPr="00092ED7" w:rsidRDefault="00B94540" w:rsidP="00B94540">
            <w:pPr>
              <w:spacing w:after="0"/>
              <w:ind w:right="284"/>
              <w:jc w:val="right"/>
              <w:rPr>
                <w:rFonts w:cstheme="minorHAnsi"/>
                <w:sz w:val="20"/>
                <w:szCs w:val="20"/>
                <w:lang w:val="sr-Cyrl-CS"/>
              </w:rPr>
            </w:pPr>
            <w:r w:rsidRPr="00092ED7">
              <w:rPr>
                <w:sz w:val="20"/>
                <w:szCs w:val="20"/>
                <w:lang w:val="sr-Cyrl-CS"/>
              </w:rPr>
              <w:t>38,7</w:t>
            </w:r>
          </w:p>
        </w:tc>
      </w:tr>
      <w:tr w:rsidR="00B94540" w:rsidRPr="00092ED7" w14:paraId="4FD47A88" w14:textId="77777777" w:rsidTr="00B94540">
        <w:trPr>
          <w:trHeight w:val="223"/>
          <w:jc w:val="center"/>
        </w:trPr>
        <w:tc>
          <w:tcPr>
            <w:tcW w:w="1202" w:type="pct"/>
            <w:shd w:val="clear" w:color="auto" w:fill="auto"/>
            <w:noWrap/>
            <w:vAlign w:val="center"/>
            <w:hideMark/>
          </w:tcPr>
          <w:p w14:paraId="621F98C5" w14:textId="77777777" w:rsidR="00B94540" w:rsidRPr="00092ED7" w:rsidRDefault="00B94540" w:rsidP="00B94540">
            <w:pPr>
              <w:spacing w:after="0"/>
              <w:jc w:val="left"/>
              <w:rPr>
                <w:rFonts w:eastAsia="MS PGothic" w:cstheme="minorHAnsi"/>
                <w:sz w:val="20"/>
                <w:szCs w:val="20"/>
                <w:lang w:val="sr-Cyrl-CS" w:eastAsia="ja-JP"/>
              </w:rPr>
            </w:pPr>
            <w:r w:rsidRPr="00092ED7">
              <w:rPr>
                <w:rFonts w:eastAsia="MS PGothic" w:cstheme="minorHAnsi"/>
                <w:sz w:val="20"/>
                <w:szCs w:val="20"/>
                <w:lang w:val="sr-Cyrl-CS" w:eastAsia="ja-JP"/>
              </w:rPr>
              <w:t>Порез на доходак грађана</w:t>
            </w:r>
          </w:p>
        </w:tc>
        <w:tc>
          <w:tcPr>
            <w:tcW w:w="633" w:type="pct"/>
            <w:shd w:val="clear" w:color="auto" w:fill="auto"/>
            <w:hideMark/>
          </w:tcPr>
          <w:p w14:paraId="7134AF9B" w14:textId="77777777" w:rsidR="00B94540" w:rsidRPr="00092ED7" w:rsidRDefault="00B94540" w:rsidP="00B94540">
            <w:pPr>
              <w:spacing w:after="0"/>
              <w:ind w:right="170"/>
              <w:jc w:val="right"/>
              <w:rPr>
                <w:rFonts w:cstheme="minorHAnsi"/>
                <w:sz w:val="20"/>
                <w:szCs w:val="20"/>
                <w:lang w:val="sr-Cyrl-CS"/>
              </w:rPr>
            </w:pPr>
            <w:r w:rsidRPr="00092ED7">
              <w:rPr>
                <w:sz w:val="20"/>
                <w:szCs w:val="20"/>
                <w:lang w:val="sr-Cyrl-CS"/>
              </w:rPr>
              <w:t>274,5</w:t>
            </w:r>
          </w:p>
        </w:tc>
        <w:tc>
          <w:tcPr>
            <w:tcW w:w="633" w:type="pct"/>
          </w:tcPr>
          <w:p w14:paraId="0D41B8AF" w14:textId="77777777" w:rsidR="00B94540" w:rsidRPr="00092ED7" w:rsidRDefault="00B94540" w:rsidP="00B94540">
            <w:pPr>
              <w:spacing w:after="0"/>
              <w:ind w:right="170"/>
              <w:jc w:val="right"/>
              <w:rPr>
                <w:sz w:val="20"/>
                <w:szCs w:val="20"/>
                <w:lang w:val="sr-Cyrl-CS"/>
              </w:rPr>
            </w:pPr>
            <w:r w:rsidRPr="00092ED7">
              <w:rPr>
                <w:sz w:val="20"/>
                <w:szCs w:val="20"/>
                <w:lang w:val="sr-Cyrl-CS"/>
              </w:rPr>
              <w:t>283,4</w:t>
            </w:r>
          </w:p>
        </w:tc>
        <w:tc>
          <w:tcPr>
            <w:tcW w:w="634" w:type="pct"/>
            <w:shd w:val="clear" w:color="auto" w:fill="auto"/>
            <w:noWrap/>
            <w:hideMark/>
          </w:tcPr>
          <w:p w14:paraId="2D56D04A" w14:textId="77777777" w:rsidR="00B94540" w:rsidRPr="00092ED7" w:rsidRDefault="00B94540" w:rsidP="00B94540">
            <w:pPr>
              <w:spacing w:after="0"/>
              <w:ind w:right="170"/>
              <w:jc w:val="right"/>
              <w:rPr>
                <w:rFonts w:cstheme="minorHAnsi"/>
                <w:sz w:val="20"/>
                <w:szCs w:val="20"/>
                <w:lang w:val="sr-Cyrl-CS"/>
              </w:rPr>
            </w:pPr>
            <w:r w:rsidRPr="00092ED7">
              <w:rPr>
                <w:sz w:val="20"/>
                <w:szCs w:val="20"/>
                <w:lang w:val="sr-Cyrl-CS"/>
              </w:rPr>
              <w:t>294,7</w:t>
            </w:r>
          </w:p>
        </w:tc>
        <w:tc>
          <w:tcPr>
            <w:tcW w:w="634" w:type="pct"/>
            <w:shd w:val="clear" w:color="auto" w:fill="auto"/>
            <w:hideMark/>
          </w:tcPr>
          <w:p w14:paraId="768181FE" w14:textId="77777777" w:rsidR="00B94540" w:rsidRPr="00092ED7" w:rsidRDefault="00B94540" w:rsidP="00B94540">
            <w:pPr>
              <w:spacing w:after="0"/>
              <w:ind w:right="227"/>
              <w:jc w:val="right"/>
              <w:rPr>
                <w:rFonts w:cstheme="minorHAnsi"/>
                <w:sz w:val="20"/>
                <w:szCs w:val="20"/>
                <w:lang w:val="sr-Cyrl-CS"/>
              </w:rPr>
            </w:pPr>
            <w:r w:rsidRPr="00092ED7">
              <w:rPr>
                <w:sz w:val="20"/>
                <w:szCs w:val="20"/>
                <w:lang w:val="sr-Cyrl-CS"/>
              </w:rPr>
              <w:t>20,2</w:t>
            </w:r>
          </w:p>
        </w:tc>
        <w:tc>
          <w:tcPr>
            <w:tcW w:w="634" w:type="pct"/>
            <w:shd w:val="clear" w:color="auto" w:fill="auto"/>
            <w:hideMark/>
          </w:tcPr>
          <w:p w14:paraId="6164E8AE" w14:textId="77777777" w:rsidR="00B94540" w:rsidRPr="00092ED7" w:rsidRDefault="00B94540" w:rsidP="00B94540">
            <w:pPr>
              <w:spacing w:after="0"/>
              <w:ind w:right="284"/>
              <w:jc w:val="right"/>
              <w:rPr>
                <w:rFonts w:cstheme="minorHAnsi"/>
                <w:sz w:val="20"/>
                <w:szCs w:val="20"/>
                <w:lang w:val="sr-Cyrl-CS"/>
              </w:rPr>
            </w:pPr>
            <w:r w:rsidRPr="00092ED7">
              <w:rPr>
                <w:sz w:val="20"/>
                <w:szCs w:val="20"/>
                <w:lang w:val="sr-Cyrl-CS"/>
              </w:rPr>
              <w:t>7,4</w:t>
            </w:r>
          </w:p>
        </w:tc>
        <w:tc>
          <w:tcPr>
            <w:tcW w:w="631" w:type="pct"/>
            <w:shd w:val="clear" w:color="auto" w:fill="auto"/>
            <w:noWrap/>
            <w:hideMark/>
          </w:tcPr>
          <w:p w14:paraId="773F3B57" w14:textId="77777777" w:rsidR="00B94540" w:rsidRPr="00092ED7" w:rsidRDefault="00B94540" w:rsidP="00B94540">
            <w:pPr>
              <w:spacing w:after="0"/>
              <w:ind w:right="284"/>
              <w:jc w:val="right"/>
              <w:rPr>
                <w:rFonts w:cstheme="minorHAnsi"/>
                <w:sz w:val="20"/>
                <w:szCs w:val="20"/>
                <w:lang w:val="sr-Cyrl-CS"/>
              </w:rPr>
            </w:pPr>
            <w:r w:rsidRPr="00092ED7">
              <w:rPr>
                <w:sz w:val="20"/>
                <w:szCs w:val="20"/>
                <w:lang w:val="sr-Cyrl-CS"/>
              </w:rPr>
              <w:t>4,2</w:t>
            </w:r>
          </w:p>
        </w:tc>
      </w:tr>
      <w:tr w:rsidR="00B94540" w:rsidRPr="00092ED7" w14:paraId="46A93D2C" w14:textId="77777777" w:rsidTr="00B94540">
        <w:trPr>
          <w:trHeight w:val="223"/>
          <w:jc w:val="center"/>
        </w:trPr>
        <w:tc>
          <w:tcPr>
            <w:tcW w:w="1202" w:type="pct"/>
            <w:shd w:val="clear" w:color="auto" w:fill="auto"/>
            <w:noWrap/>
            <w:vAlign w:val="center"/>
            <w:hideMark/>
          </w:tcPr>
          <w:p w14:paraId="256D8C0C" w14:textId="77777777" w:rsidR="00B94540" w:rsidRPr="00092ED7" w:rsidRDefault="00B94540" w:rsidP="00B94540">
            <w:pPr>
              <w:spacing w:after="0"/>
              <w:jc w:val="left"/>
              <w:rPr>
                <w:rFonts w:eastAsia="MS PGothic" w:cstheme="minorHAnsi"/>
                <w:sz w:val="20"/>
                <w:szCs w:val="20"/>
                <w:lang w:val="sr-Cyrl-CS" w:eastAsia="ja-JP"/>
              </w:rPr>
            </w:pPr>
            <w:r w:rsidRPr="00092ED7">
              <w:rPr>
                <w:rFonts w:eastAsia="MS PGothic" w:cstheme="minorHAnsi"/>
                <w:sz w:val="20"/>
                <w:szCs w:val="20"/>
                <w:lang w:val="sr-Cyrl-CS" w:eastAsia="ja-JP"/>
              </w:rPr>
              <w:t>Порез на добит правних лица</w:t>
            </w:r>
          </w:p>
        </w:tc>
        <w:tc>
          <w:tcPr>
            <w:tcW w:w="633" w:type="pct"/>
            <w:shd w:val="clear" w:color="auto" w:fill="auto"/>
            <w:hideMark/>
          </w:tcPr>
          <w:p w14:paraId="76A27DA0" w14:textId="77777777" w:rsidR="00B94540" w:rsidRPr="00092ED7" w:rsidRDefault="00B94540" w:rsidP="00B94540">
            <w:pPr>
              <w:spacing w:after="0"/>
              <w:ind w:right="170"/>
              <w:jc w:val="right"/>
              <w:rPr>
                <w:rFonts w:cstheme="minorHAnsi"/>
                <w:sz w:val="20"/>
                <w:szCs w:val="20"/>
                <w:lang w:val="sr-Cyrl-CS"/>
              </w:rPr>
            </w:pPr>
            <w:r w:rsidRPr="00092ED7">
              <w:rPr>
                <w:sz w:val="20"/>
                <w:szCs w:val="20"/>
                <w:lang w:val="sr-Cyrl-CS"/>
              </w:rPr>
              <w:t>145,0</w:t>
            </w:r>
          </w:p>
        </w:tc>
        <w:tc>
          <w:tcPr>
            <w:tcW w:w="633" w:type="pct"/>
          </w:tcPr>
          <w:p w14:paraId="52BA5816" w14:textId="77777777" w:rsidR="00B94540" w:rsidRPr="00092ED7" w:rsidRDefault="00B94540" w:rsidP="00B94540">
            <w:pPr>
              <w:spacing w:after="0"/>
              <w:ind w:right="170"/>
              <w:jc w:val="right"/>
              <w:rPr>
                <w:sz w:val="20"/>
                <w:szCs w:val="20"/>
                <w:lang w:val="sr-Cyrl-CS"/>
              </w:rPr>
            </w:pPr>
            <w:r w:rsidRPr="00092ED7">
              <w:rPr>
                <w:sz w:val="20"/>
                <w:szCs w:val="20"/>
                <w:lang w:val="sr-Cyrl-CS"/>
              </w:rPr>
              <w:t>145,0</w:t>
            </w:r>
          </w:p>
        </w:tc>
        <w:tc>
          <w:tcPr>
            <w:tcW w:w="634" w:type="pct"/>
            <w:shd w:val="clear" w:color="auto" w:fill="auto"/>
            <w:noWrap/>
            <w:hideMark/>
          </w:tcPr>
          <w:p w14:paraId="51D232A9" w14:textId="77777777" w:rsidR="00B94540" w:rsidRPr="00092ED7" w:rsidRDefault="00B94540" w:rsidP="00B94540">
            <w:pPr>
              <w:spacing w:after="0"/>
              <w:ind w:right="170"/>
              <w:jc w:val="right"/>
              <w:rPr>
                <w:rFonts w:cstheme="minorHAnsi"/>
                <w:sz w:val="20"/>
                <w:szCs w:val="20"/>
                <w:lang w:val="sr-Cyrl-CS"/>
              </w:rPr>
            </w:pPr>
            <w:r w:rsidRPr="00092ED7">
              <w:rPr>
                <w:sz w:val="20"/>
                <w:szCs w:val="20"/>
                <w:lang w:val="sr-Cyrl-CS"/>
              </w:rPr>
              <w:t>208,5</w:t>
            </w:r>
          </w:p>
        </w:tc>
        <w:tc>
          <w:tcPr>
            <w:tcW w:w="634" w:type="pct"/>
            <w:shd w:val="clear" w:color="auto" w:fill="auto"/>
            <w:hideMark/>
          </w:tcPr>
          <w:p w14:paraId="07EE621A" w14:textId="77777777" w:rsidR="00B94540" w:rsidRPr="00092ED7" w:rsidRDefault="00B94540" w:rsidP="00B94540">
            <w:pPr>
              <w:spacing w:after="0"/>
              <w:ind w:right="227"/>
              <w:jc w:val="right"/>
              <w:rPr>
                <w:rFonts w:cstheme="minorHAnsi"/>
                <w:sz w:val="20"/>
                <w:szCs w:val="20"/>
                <w:lang w:val="sr-Cyrl-CS"/>
              </w:rPr>
            </w:pPr>
            <w:r w:rsidRPr="00092ED7">
              <w:rPr>
                <w:sz w:val="20"/>
                <w:szCs w:val="20"/>
                <w:lang w:val="sr-Cyrl-CS"/>
              </w:rPr>
              <w:t>63,5</w:t>
            </w:r>
          </w:p>
        </w:tc>
        <w:tc>
          <w:tcPr>
            <w:tcW w:w="634" w:type="pct"/>
            <w:shd w:val="clear" w:color="auto" w:fill="auto"/>
            <w:hideMark/>
          </w:tcPr>
          <w:p w14:paraId="5F3637B7" w14:textId="77777777" w:rsidR="00B94540" w:rsidRPr="00092ED7" w:rsidRDefault="00B94540" w:rsidP="00B94540">
            <w:pPr>
              <w:spacing w:after="0"/>
              <w:ind w:right="284"/>
              <w:jc w:val="right"/>
              <w:rPr>
                <w:rFonts w:cstheme="minorHAnsi"/>
                <w:sz w:val="20"/>
                <w:szCs w:val="20"/>
                <w:lang w:val="sr-Cyrl-CS"/>
              </w:rPr>
            </w:pPr>
            <w:r w:rsidRPr="00092ED7">
              <w:rPr>
                <w:sz w:val="20"/>
                <w:szCs w:val="20"/>
                <w:lang w:val="sr-Cyrl-CS"/>
              </w:rPr>
              <w:t>43,8</w:t>
            </w:r>
          </w:p>
        </w:tc>
        <w:tc>
          <w:tcPr>
            <w:tcW w:w="631" w:type="pct"/>
            <w:shd w:val="clear" w:color="auto" w:fill="auto"/>
            <w:noWrap/>
            <w:hideMark/>
          </w:tcPr>
          <w:p w14:paraId="3E045121" w14:textId="77777777" w:rsidR="00B94540" w:rsidRPr="00092ED7" w:rsidRDefault="00B94540" w:rsidP="00B94540">
            <w:pPr>
              <w:spacing w:after="0"/>
              <w:ind w:right="284"/>
              <w:jc w:val="right"/>
              <w:rPr>
                <w:rFonts w:cstheme="minorHAnsi"/>
                <w:sz w:val="20"/>
                <w:szCs w:val="20"/>
                <w:lang w:val="sr-Cyrl-CS"/>
              </w:rPr>
            </w:pPr>
            <w:r w:rsidRPr="00092ED7">
              <w:rPr>
                <w:sz w:val="20"/>
                <w:szCs w:val="20"/>
                <w:lang w:val="sr-Cyrl-CS"/>
              </w:rPr>
              <w:t>2,9</w:t>
            </w:r>
          </w:p>
        </w:tc>
      </w:tr>
      <w:tr w:rsidR="00B94540" w:rsidRPr="00092ED7" w14:paraId="1C76C23B" w14:textId="77777777" w:rsidTr="00B94540">
        <w:trPr>
          <w:trHeight w:val="223"/>
          <w:jc w:val="center"/>
        </w:trPr>
        <w:tc>
          <w:tcPr>
            <w:tcW w:w="1202" w:type="pct"/>
            <w:shd w:val="clear" w:color="auto" w:fill="auto"/>
            <w:noWrap/>
            <w:vAlign w:val="center"/>
            <w:hideMark/>
          </w:tcPr>
          <w:p w14:paraId="659CA72F" w14:textId="77777777" w:rsidR="00B94540" w:rsidRPr="00092ED7" w:rsidRDefault="00B94540" w:rsidP="00B94540">
            <w:pPr>
              <w:spacing w:after="0"/>
              <w:jc w:val="left"/>
              <w:rPr>
                <w:rFonts w:eastAsia="MS PGothic" w:cstheme="minorHAnsi"/>
                <w:sz w:val="20"/>
                <w:szCs w:val="20"/>
                <w:lang w:val="sr-Cyrl-CS" w:eastAsia="ja-JP"/>
              </w:rPr>
            </w:pPr>
            <w:r w:rsidRPr="00092ED7">
              <w:rPr>
                <w:rFonts w:eastAsia="MS PGothic" w:cstheme="minorHAnsi"/>
                <w:sz w:val="20"/>
                <w:szCs w:val="20"/>
                <w:lang w:val="sr-Cyrl-CS" w:eastAsia="ja-JP"/>
              </w:rPr>
              <w:t>ПДВ</w:t>
            </w:r>
          </w:p>
        </w:tc>
        <w:tc>
          <w:tcPr>
            <w:tcW w:w="633" w:type="pct"/>
            <w:shd w:val="clear" w:color="auto" w:fill="auto"/>
            <w:hideMark/>
          </w:tcPr>
          <w:p w14:paraId="45C6ACFC" w14:textId="77777777" w:rsidR="00B94540" w:rsidRPr="00092ED7" w:rsidRDefault="00B94540" w:rsidP="00B94540">
            <w:pPr>
              <w:spacing w:after="0"/>
              <w:ind w:right="170"/>
              <w:jc w:val="right"/>
              <w:rPr>
                <w:rFonts w:cstheme="minorHAnsi"/>
                <w:sz w:val="20"/>
                <w:szCs w:val="20"/>
                <w:lang w:val="sr-Cyrl-CS"/>
              </w:rPr>
            </w:pPr>
            <w:r w:rsidRPr="00092ED7">
              <w:rPr>
                <w:sz w:val="20"/>
                <w:szCs w:val="20"/>
                <w:lang w:val="sr-Cyrl-CS"/>
              </w:rPr>
              <w:t>684,1</w:t>
            </w:r>
          </w:p>
        </w:tc>
        <w:tc>
          <w:tcPr>
            <w:tcW w:w="633" w:type="pct"/>
          </w:tcPr>
          <w:p w14:paraId="71E72380" w14:textId="77777777" w:rsidR="00B94540" w:rsidRPr="00092ED7" w:rsidRDefault="00B94540" w:rsidP="00B94540">
            <w:pPr>
              <w:spacing w:after="0"/>
              <w:ind w:right="170"/>
              <w:jc w:val="right"/>
              <w:rPr>
                <w:sz w:val="20"/>
                <w:szCs w:val="20"/>
                <w:lang w:val="sr-Cyrl-CS"/>
              </w:rPr>
            </w:pPr>
            <w:r w:rsidRPr="00092ED7">
              <w:rPr>
                <w:sz w:val="20"/>
                <w:szCs w:val="20"/>
                <w:lang w:val="sr-Cyrl-CS"/>
              </w:rPr>
              <w:t>750,7</w:t>
            </w:r>
          </w:p>
        </w:tc>
        <w:tc>
          <w:tcPr>
            <w:tcW w:w="634" w:type="pct"/>
            <w:shd w:val="clear" w:color="auto" w:fill="auto"/>
            <w:noWrap/>
            <w:hideMark/>
          </w:tcPr>
          <w:p w14:paraId="4B49CB2D" w14:textId="77777777" w:rsidR="00B94540" w:rsidRPr="00092ED7" w:rsidRDefault="00B94540" w:rsidP="00B94540">
            <w:pPr>
              <w:spacing w:after="0"/>
              <w:ind w:right="170"/>
              <w:jc w:val="right"/>
              <w:rPr>
                <w:rFonts w:cstheme="minorHAnsi"/>
                <w:sz w:val="20"/>
                <w:szCs w:val="20"/>
                <w:lang w:val="sr-Cyrl-CS"/>
              </w:rPr>
            </w:pPr>
            <w:r w:rsidRPr="00092ED7">
              <w:rPr>
                <w:sz w:val="20"/>
                <w:szCs w:val="20"/>
                <w:lang w:val="sr-Cyrl-CS"/>
              </w:rPr>
              <w:t>777,0</w:t>
            </w:r>
          </w:p>
        </w:tc>
        <w:tc>
          <w:tcPr>
            <w:tcW w:w="634" w:type="pct"/>
            <w:shd w:val="clear" w:color="auto" w:fill="auto"/>
            <w:hideMark/>
          </w:tcPr>
          <w:p w14:paraId="690469EB" w14:textId="77777777" w:rsidR="00B94540" w:rsidRPr="00092ED7" w:rsidRDefault="00B94540" w:rsidP="00B94540">
            <w:pPr>
              <w:spacing w:after="0"/>
              <w:ind w:right="227"/>
              <w:jc w:val="right"/>
              <w:rPr>
                <w:rFonts w:cstheme="minorHAnsi"/>
                <w:sz w:val="20"/>
                <w:szCs w:val="20"/>
                <w:lang w:val="sr-Cyrl-CS"/>
              </w:rPr>
            </w:pPr>
            <w:r w:rsidRPr="00092ED7">
              <w:rPr>
                <w:sz w:val="20"/>
                <w:szCs w:val="20"/>
                <w:lang w:val="sr-Cyrl-CS"/>
              </w:rPr>
              <w:t>92,9</w:t>
            </w:r>
          </w:p>
        </w:tc>
        <w:tc>
          <w:tcPr>
            <w:tcW w:w="634" w:type="pct"/>
            <w:shd w:val="clear" w:color="auto" w:fill="auto"/>
            <w:hideMark/>
          </w:tcPr>
          <w:p w14:paraId="69603DC7" w14:textId="77777777" w:rsidR="00B94540" w:rsidRPr="00092ED7" w:rsidRDefault="00B94540" w:rsidP="00B94540">
            <w:pPr>
              <w:spacing w:after="0"/>
              <w:ind w:right="284"/>
              <w:jc w:val="right"/>
              <w:rPr>
                <w:rFonts w:cstheme="minorHAnsi"/>
                <w:sz w:val="20"/>
                <w:szCs w:val="20"/>
                <w:lang w:val="sr-Cyrl-CS"/>
              </w:rPr>
            </w:pPr>
            <w:r w:rsidRPr="00092ED7">
              <w:rPr>
                <w:sz w:val="20"/>
                <w:szCs w:val="20"/>
                <w:lang w:val="sr-Cyrl-CS"/>
              </w:rPr>
              <w:t>13,6</w:t>
            </w:r>
          </w:p>
        </w:tc>
        <w:tc>
          <w:tcPr>
            <w:tcW w:w="631" w:type="pct"/>
            <w:shd w:val="clear" w:color="auto" w:fill="auto"/>
            <w:noWrap/>
            <w:hideMark/>
          </w:tcPr>
          <w:p w14:paraId="2C2EDA3B" w14:textId="77777777" w:rsidR="00B94540" w:rsidRPr="00092ED7" w:rsidRDefault="00B94540" w:rsidP="00B94540">
            <w:pPr>
              <w:spacing w:after="0"/>
              <w:ind w:right="284"/>
              <w:jc w:val="right"/>
              <w:rPr>
                <w:rFonts w:cstheme="minorHAnsi"/>
                <w:sz w:val="20"/>
                <w:szCs w:val="20"/>
                <w:lang w:val="sr-Cyrl-CS"/>
              </w:rPr>
            </w:pPr>
            <w:r w:rsidRPr="00092ED7">
              <w:rPr>
                <w:sz w:val="20"/>
                <w:szCs w:val="20"/>
                <w:lang w:val="sr-Cyrl-CS"/>
              </w:rPr>
              <w:t>11,0</w:t>
            </w:r>
          </w:p>
        </w:tc>
      </w:tr>
      <w:tr w:rsidR="00B94540" w:rsidRPr="00092ED7" w14:paraId="3081BDFA" w14:textId="77777777" w:rsidTr="00B94540">
        <w:trPr>
          <w:trHeight w:val="223"/>
          <w:jc w:val="center"/>
        </w:trPr>
        <w:tc>
          <w:tcPr>
            <w:tcW w:w="1202" w:type="pct"/>
            <w:shd w:val="clear" w:color="auto" w:fill="auto"/>
            <w:noWrap/>
            <w:vAlign w:val="center"/>
            <w:hideMark/>
          </w:tcPr>
          <w:p w14:paraId="13061F23" w14:textId="77777777" w:rsidR="00B94540" w:rsidRPr="00092ED7" w:rsidRDefault="00B94540" w:rsidP="00B94540">
            <w:pPr>
              <w:spacing w:after="0"/>
              <w:jc w:val="left"/>
              <w:rPr>
                <w:rFonts w:eastAsia="MS PGothic" w:cstheme="minorHAnsi"/>
                <w:sz w:val="20"/>
                <w:szCs w:val="20"/>
                <w:lang w:val="sr-Cyrl-CS" w:eastAsia="ja-JP"/>
              </w:rPr>
            </w:pPr>
            <w:r w:rsidRPr="00092ED7">
              <w:rPr>
                <w:rFonts w:eastAsia="MS PGothic" w:cstheme="minorHAnsi"/>
                <w:sz w:val="20"/>
                <w:szCs w:val="20"/>
                <w:lang w:val="sr-Cyrl-CS" w:eastAsia="ja-JP"/>
              </w:rPr>
              <w:t>Акцизе</w:t>
            </w:r>
          </w:p>
        </w:tc>
        <w:tc>
          <w:tcPr>
            <w:tcW w:w="633" w:type="pct"/>
            <w:shd w:val="clear" w:color="auto" w:fill="auto"/>
            <w:hideMark/>
          </w:tcPr>
          <w:p w14:paraId="6CE5430D" w14:textId="77777777" w:rsidR="00B94540" w:rsidRPr="00092ED7" w:rsidRDefault="00B94540" w:rsidP="00B94540">
            <w:pPr>
              <w:spacing w:after="0"/>
              <w:ind w:right="170"/>
              <w:jc w:val="right"/>
              <w:rPr>
                <w:rFonts w:cstheme="minorHAnsi"/>
                <w:sz w:val="20"/>
                <w:szCs w:val="20"/>
                <w:lang w:val="sr-Cyrl-CS"/>
              </w:rPr>
            </w:pPr>
            <w:r w:rsidRPr="00092ED7">
              <w:rPr>
                <w:sz w:val="20"/>
                <w:szCs w:val="20"/>
                <w:lang w:val="sr-Cyrl-CS"/>
              </w:rPr>
              <w:t>337,6</w:t>
            </w:r>
          </w:p>
        </w:tc>
        <w:tc>
          <w:tcPr>
            <w:tcW w:w="633" w:type="pct"/>
          </w:tcPr>
          <w:p w14:paraId="324A328C" w14:textId="77777777" w:rsidR="00B94540" w:rsidRPr="00092ED7" w:rsidRDefault="00B94540" w:rsidP="00B94540">
            <w:pPr>
              <w:spacing w:after="0"/>
              <w:ind w:right="170"/>
              <w:jc w:val="right"/>
              <w:rPr>
                <w:sz w:val="20"/>
                <w:szCs w:val="20"/>
                <w:lang w:val="sr-Cyrl-CS"/>
              </w:rPr>
            </w:pPr>
            <w:r w:rsidRPr="00092ED7">
              <w:rPr>
                <w:sz w:val="20"/>
                <w:szCs w:val="20"/>
                <w:lang w:val="sr-Cyrl-CS"/>
              </w:rPr>
              <w:t>327,6</w:t>
            </w:r>
          </w:p>
        </w:tc>
        <w:tc>
          <w:tcPr>
            <w:tcW w:w="634" w:type="pct"/>
            <w:shd w:val="clear" w:color="auto" w:fill="auto"/>
            <w:noWrap/>
            <w:hideMark/>
          </w:tcPr>
          <w:p w14:paraId="63820331" w14:textId="77777777" w:rsidR="00B94540" w:rsidRPr="00092ED7" w:rsidRDefault="00B94540" w:rsidP="00B94540">
            <w:pPr>
              <w:spacing w:after="0"/>
              <w:ind w:right="170"/>
              <w:jc w:val="right"/>
              <w:rPr>
                <w:rFonts w:cstheme="minorHAnsi"/>
                <w:sz w:val="20"/>
                <w:szCs w:val="20"/>
                <w:lang w:val="sr-Cyrl-CS"/>
              </w:rPr>
            </w:pPr>
            <w:r w:rsidRPr="00092ED7">
              <w:rPr>
                <w:sz w:val="20"/>
                <w:szCs w:val="20"/>
                <w:lang w:val="sr-Cyrl-CS"/>
              </w:rPr>
              <w:t>336,8</w:t>
            </w:r>
          </w:p>
        </w:tc>
        <w:tc>
          <w:tcPr>
            <w:tcW w:w="634" w:type="pct"/>
            <w:shd w:val="clear" w:color="auto" w:fill="auto"/>
            <w:hideMark/>
          </w:tcPr>
          <w:p w14:paraId="0DC162F1" w14:textId="77777777" w:rsidR="00B94540" w:rsidRPr="00092ED7" w:rsidRDefault="00B94540" w:rsidP="00B94540">
            <w:pPr>
              <w:spacing w:after="0"/>
              <w:ind w:right="227"/>
              <w:jc w:val="right"/>
              <w:rPr>
                <w:rFonts w:cstheme="minorHAnsi"/>
                <w:sz w:val="20"/>
                <w:szCs w:val="20"/>
                <w:lang w:val="sr-Cyrl-CS"/>
              </w:rPr>
            </w:pPr>
            <w:r w:rsidRPr="00092ED7">
              <w:rPr>
                <w:sz w:val="20"/>
                <w:szCs w:val="20"/>
                <w:lang w:val="sr-Cyrl-CS"/>
              </w:rPr>
              <w:t>-0,8</w:t>
            </w:r>
          </w:p>
        </w:tc>
        <w:tc>
          <w:tcPr>
            <w:tcW w:w="634" w:type="pct"/>
            <w:shd w:val="clear" w:color="auto" w:fill="auto"/>
            <w:hideMark/>
          </w:tcPr>
          <w:p w14:paraId="4EFD7FDB" w14:textId="77777777" w:rsidR="00B94540" w:rsidRPr="00092ED7" w:rsidRDefault="00B94540" w:rsidP="00B94540">
            <w:pPr>
              <w:spacing w:after="0"/>
              <w:ind w:right="284"/>
              <w:jc w:val="right"/>
              <w:rPr>
                <w:rFonts w:cstheme="minorHAnsi"/>
                <w:sz w:val="20"/>
                <w:szCs w:val="20"/>
                <w:lang w:val="sr-Cyrl-CS"/>
              </w:rPr>
            </w:pPr>
            <w:r w:rsidRPr="00092ED7">
              <w:rPr>
                <w:sz w:val="20"/>
                <w:szCs w:val="20"/>
                <w:lang w:val="sr-Cyrl-CS"/>
              </w:rPr>
              <w:t>-0,2</w:t>
            </w:r>
          </w:p>
        </w:tc>
        <w:tc>
          <w:tcPr>
            <w:tcW w:w="631" w:type="pct"/>
            <w:shd w:val="clear" w:color="auto" w:fill="auto"/>
            <w:noWrap/>
            <w:hideMark/>
          </w:tcPr>
          <w:p w14:paraId="6E1ED942" w14:textId="77777777" w:rsidR="00B94540" w:rsidRPr="00092ED7" w:rsidRDefault="00B94540" w:rsidP="00B94540">
            <w:pPr>
              <w:spacing w:after="0"/>
              <w:ind w:right="284"/>
              <w:jc w:val="right"/>
              <w:rPr>
                <w:rFonts w:cstheme="minorHAnsi"/>
                <w:sz w:val="20"/>
                <w:szCs w:val="20"/>
                <w:lang w:val="sr-Cyrl-CS"/>
              </w:rPr>
            </w:pPr>
            <w:r w:rsidRPr="00092ED7">
              <w:rPr>
                <w:sz w:val="20"/>
                <w:szCs w:val="20"/>
                <w:lang w:val="sr-Cyrl-CS"/>
              </w:rPr>
              <w:t>4,8</w:t>
            </w:r>
          </w:p>
        </w:tc>
      </w:tr>
      <w:tr w:rsidR="00B94540" w:rsidRPr="00092ED7" w14:paraId="49F2B027" w14:textId="77777777" w:rsidTr="00B94540">
        <w:trPr>
          <w:trHeight w:val="223"/>
          <w:jc w:val="center"/>
        </w:trPr>
        <w:tc>
          <w:tcPr>
            <w:tcW w:w="1202" w:type="pct"/>
            <w:shd w:val="clear" w:color="auto" w:fill="auto"/>
            <w:noWrap/>
            <w:vAlign w:val="center"/>
            <w:hideMark/>
          </w:tcPr>
          <w:p w14:paraId="7C61E32D" w14:textId="77777777" w:rsidR="00B94540" w:rsidRPr="00092ED7" w:rsidRDefault="00B94540" w:rsidP="00B94540">
            <w:pPr>
              <w:spacing w:after="0"/>
              <w:jc w:val="left"/>
              <w:rPr>
                <w:rFonts w:eastAsia="MS PGothic" w:cstheme="minorHAnsi"/>
                <w:sz w:val="20"/>
                <w:szCs w:val="20"/>
                <w:lang w:val="sr-Cyrl-CS" w:eastAsia="ja-JP"/>
              </w:rPr>
            </w:pPr>
            <w:r w:rsidRPr="00092ED7">
              <w:rPr>
                <w:rFonts w:eastAsia="MS PGothic" w:cstheme="minorHAnsi"/>
                <w:sz w:val="20"/>
                <w:szCs w:val="20"/>
                <w:lang w:val="sr-Cyrl-CS" w:eastAsia="ja-JP"/>
              </w:rPr>
              <w:t>Царине</w:t>
            </w:r>
          </w:p>
        </w:tc>
        <w:tc>
          <w:tcPr>
            <w:tcW w:w="633" w:type="pct"/>
            <w:shd w:val="clear" w:color="auto" w:fill="auto"/>
            <w:hideMark/>
          </w:tcPr>
          <w:p w14:paraId="525540DD" w14:textId="77777777" w:rsidR="00B94540" w:rsidRPr="00092ED7" w:rsidRDefault="00B94540" w:rsidP="00B94540">
            <w:pPr>
              <w:spacing w:after="0"/>
              <w:ind w:right="170"/>
              <w:jc w:val="right"/>
              <w:rPr>
                <w:rFonts w:cstheme="minorHAnsi"/>
                <w:sz w:val="20"/>
                <w:szCs w:val="20"/>
                <w:lang w:val="sr-Cyrl-CS"/>
              </w:rPr>
            </w:pPr>
            <w:r w:rsidRPr="00092ED7">
              <w:rPr>
                <w:sz w:val="20"/>
                <w:szCs w:val="20"/>
                <w:lang w:val="sr-Cyrl-CS"/>
              </w:rPr>
              <w:t>63,3</w:t>
            </w:r>
          </w:p>
        </w:tc>
        <w:tc>
          <w:tcPr>
            <w:tcW w:w="633" w:type="pct"/>
          </w:tcPr>
          <w:p w14:paraId="2BA64085" w14:textId="77777777" w:rsidR="00B94540" w:rsidRPr="00092ED7" w:rsidRDefault="00B94540" w:rsidP="00B94540">
            <w:pPr>
              <w:spacing w:after="0"/>
              <w:ind w:right="170"/>
              <w:jc w:val="right"/>
              <w:rPr>
                <w:sz w:val="20"/>
                <w:szCs w:val="20"/>
                <w:lang w:val="sr-Cyrl-CS"/>
              </w:rPr>
            </w:pPr>
            <w:r w:rsidRPr="00092ED7">
              <w:rPr>
                <w:sz w:val="20"/>
                <w:szCs w:val="20"/>
                <w:lang w:val="sr-Cyrl-CS"/>
              </w:rPr>
              <w:t>75,0</w:t>
            </w:r>
          </w:p>
        </w:tc>
        <w:tc>
          <w:tcPr>
            <w:tcW w:w="634" w:type="pct"/>
            <w:shd w:val="clear" w:color="auto" w:fill="auto"/>
            <w:noWrap/>
            <w:hideMark/>
          </w:tcPr>
          <w:p w14:paraId="2405E6D0" w14:textId="77777777" w:rsidR="00B94540" w:rsidRPr="00092ED7" w:rsidRDefault="00B94540" w:rsidP="00B94540">
            <w:pPr>
              <w:spacing w:after="0"/>
              <w:ind w:right="170"/>
              <w:jc w:val="right"/>
              <w:rPr>
                <w:rFonts w:cstheme="minorHAnsi"/>
                <w:sz w:val="20"/>
                <w:szCs w:val="20"/>
                <w:lang w:val="sr-Cyrl-CS"/>
              </w:rPr>
            </w:pPr>
            <w:r w:rsidRPr="00092ED7">
              <w:rPr>
                <w:sz w:val="20"/>
                <w:szCs w:val="20"/>
                <w:lang w:val="sr-Cyrl-CS"/>
              </w:rPr>
              <w:t>79,5</w:t>
            </w:r>
          </w:p>
        </w:tc>
        <w:tc>
          <w:tcPr>
            <w:tcW w:w="634" w:type="pct"/>
            <w:shd w:val="clear" w:color="auto" w:fill="auto"/>
            <w:hideMark/>
          </w:tcPr>
          <w:p w14:paraId="117491C2" w14:textId="77777777" w:rsidR="00B94540" w:rsidRPr="00092ED7" w:rsidRDefault="00B94540" w:rsidP="00B94540">
            <w:pPr>
              <w:spacing w:after="0"/>
              <w:ind w:right="227"/>
              <w:jc w:val="right"/>
              <w:rPr>
                <w:rFonts w:cstheme="minorHAnsi"/>
                <w:sz w:val="20"/>
                <w:szCs w:val="20"/>
                <w:lang w:val="sr-Cyrl-CS"/>
              </w:rPr>
            </w:pPr>
            <w:r w:rsidRPr="00092ED7">
              <w:rPr>
                <w:sz w:val="20"/>
                <w:szCs w:val="20"/>
                <w:lang w:val="sr-Cyrl-CS"/>
              </w:rPr>
              <w:t>16,2</w:t>
            </w:r>
          </w:p>
        </w:tc>
        <w:tc>
          <w:tcPr>
            <w:tcW w:w="634" w:type="pct"/>
            <w:shd w:val="clear" w:color="auto" w:fill="auto"/>
            <w:hideMark/>
          </w:tcPr>
          <w:p w14:paraId="40086AEF" w14:textId="77777777" w:rsidR="00B94540" w:rsidRPr="00092ED7" w:rsidRDefault="00B94540" w:rsidP="00B94540">
            <w:pPr>
              <w:spacing w:after="0"/>
              <w:ind w:right="284"/>
              <w:jc w:val="right"/>
              <w:rPr>
                <w:rFonts w:cstheme="minorHAnsi"/>
                <w:sz w:val="20"/>
                <w:szCs w:val="20"/>
                <w:lang w:val="sr-Cyrl-CS"/>
              </w:rPr>
            </w:pPr>
            <w:r w:rsidRPr="00092ED7">
              <w:rPr>
                <w:sz w:val="20"/>
                <w:szCs w:val="20"/>
                <w:lang w:val="sr-Cyrl-CS"/>
              </w:rPr>
              <w:t>25,6</w:t>
            </w:r>
          </w:p>
        </w:tc>
        <w:tc>
          <w:tcPr>
            <w:tcW w:w="631" w:type="pct"/>
            <w:shd w:val="clear" w:color="auto" w:fill="auto"/>
            <w:noWrap/>
            <w:hideMark/>
          </w:tcPr>
          <w:p w14:paraId="1DFB3A27" w14:textId="77777777" w:rsidR="00B94540" w:rsidRPr="00092ED7" w:rsidRDefault="00B94540" w:rsidP="00B94540">
            <w:pPr>
              <w:spacing w:after="0"/>
              <w:ind w:right="284"/>
              <w:jc w:val="right"/>
              <w:rPr>
                <w:rFonts w:cstheme="minorHAnsi"/>
                <w:sz w:val="20"/>
                <w:szCs w:val="20"/>
                <w:lang w:val="sr-Cyrl-CS"/>
              </w:rPr>
            </w:pPr>
            <w:r w:rsidRPr="00092ED7">
              <w:rPr>
                <w:sz w:val="20"/>
                <w:szCs w:val="20"/>
                <w:lang w:val="sr-Cyrl-CS"/>
              </w:rPr>
              <w:t>1,1</w:t>
            </w:r>
          </w:p>
        </w:tc>
      </w:tr>
      <w:tr w:rsidR="00B94540" w:rsidRPr="00092ED7" w14:paraId="7159A578" w14:textId="77777777" w:rsidTr="00B94540">
        <w:trPr>
          <w:trHeight w:val="223"/>
          <w:jc w:val="center"/>
        </w:trPr>
        <w:tc>
          <w:tcPr>
            <w:tcW w:w="1202" w:type="pct"/>
            <w:shd w:val="clear" w:color="auto" w:fill="auto"/>
            <w:noWrap/>
            <w:vAlign w:val="center"/>
            <w:hideMark/>
          </w:tcPr>
          <w:p w14:paraId="7E5C94AB" w14:textId="77777777" w:rsidR="00B94540" w:rsidRPr="00092ED7" w:rsidRDefault="00B94540" w:rsidP="00B94540">
            <w:pPr>
              <w:spacing w:after="0"/>
              <w:jc w:val="left"/>
              <w:rPr>
                <w:rFonts w:eastAsia="MS PGothic" w:cstheme="minorHAnsi"/>
                <w:sz w:val="20"/>
                <w:szCs w:val="20"/>
                <w:lang w:val="sr-Cyrl-CS" w:eastAsia="ja-JP"/>
              </w:rPr>
            </w:pPr>
            <w:r w:rsidRPr="00092ED7">
              <w:rPr>
                <w:rFonts w:eastAsia="MS PGothic" w:cstheme="minorHAnsi"/>
                <w:sz w:val="20"/>
                <w:szCs w:val="20"/>
                <w:lang w:val="sr-Cyrl-CS" w:eastAsia="ja-JP"/>
              </w:rPr>
              <w:t>Остали порески приходи</w:t>
            </w:r>
          </w:p>
        </w:tc>
        <w:tc>
          <w:tcPr>
            <w:tcW w:w="633" w:type="pct"/>
            <w:shd w:val="clear" w:color="auto" w:fill="auto"/>
            <w:hideMark/>
          </w:tcPr>
          <w:p w14:paraId="40C04F6B" w14:textId="77777777" w:rsidR="00B94540" w:rsidRPr="00092ED7" w:rsidRDefault="00B94540" w:rsidP="00B94540">
            <w:pPr>
              <w:spacing w:after="0"/>
              <w:ind w:right="170"/>
              <w:jc w:val="right"/>
              <w:rPr>
                <w:rFonts w:cstheme="minorHAnsi"/>
                <w:sz w:val="20"/>
                <w:szCs w:val="20"/>
                <w:lang w:val="sr-Cyrl-CS"/>
              </w:rPr>
            </w:pPr>
            <w:r w:rsidRPr="00092ED7">
              <w:rPr>
                <w:sz w:val="20"/>
                <w:szCs w:val="20"/>
                <w:lang w:val="sr-Cyrl-CS"/>
              </w:rPr>
              <w:t>96,4</w:t>
            </w:r>
          </w:p>
        </w:tc>
        <w:tc>
          <w:tcPr>
            <w:tcW w:w="633" w:type="pct"/>
          </w:tcPr>
          <w:p w14:paraId="2CB399E8" w14:textId="77777777" w:rsidR="00B94540" w:rsidRPr="00092ED7" w:rsidRDefault="00B94540" w:rsidP="00B94540">
            <w:pPr>
              <w:spacing w:after="0"/>
              <w:ind w:right="170"/>
              <w:jc w:val="right"/>
              <w:rPr>
                <w:sz w:val="20"/>
                <w:szCs w:val="20"/>
                <w:lang w:val="sr-Cyrl-CS"/>
              </w:rPr>
            </w:pPr>
            <w:r w:rsidRPr="00092ED7">
              <w:rPr>
                <w:sz w:val="20"/>
                <w:szCs w:val="20"/>
                <w:lang w:val="sr-Cyrl-CS"/>
              </w:rPr>
              <w:t>96,2</w:t>
            </w:r>
          </w:p>
        </w:tc>
        <w:tc>
          <w:tcPr>
            <w:tcW w:w="634" w:type="pct"/>
            <w:shd w:val="clear" w:color="auto" w:fill="auto"/>
            <w:noWrap/>
            <w:hideMark/>
          </w:tcPr>
          <w:p w14:paraId="0124318D" w14:textId="77777777" w:rsidR="00B94540" w:rsidRPr="00092ED7" w:rsidRDefault="00B94540" w:rsidP="00B94540">
            <w:pPr>
              <w:spacing w:after="0"/>
              <w:ind w:right="170"/>
              <w:jc w:val="right"/>
              <w:rPr>
                <w:rFonts w:cstheme="minorHAnsi"/>
                <w:sz w:val="20"/>
                <w:szCs w:val="20"/>
                <w:lang w:val="sr-Cyrl-CS"/>
              </w:rPr>
            </w:pPr>
            <w:r w:rsidRPr="00092ED7">
              <w:rPr>
                <w:sz w:val="20"/>
                <w:szCs w:val="20"/>
                <w:lang w:val="sr-Cyrl-CS"/>
              </w:rPr>
              <w:t>96,2</w:t>
            </w:r>
          </w:p>
        </w:tc>
        <w:tc>
          <w:tcPr>
            <w:tcW w:w="634" w:type="pct"/>
            <w:shd w:val="clear" w:color="auto" w:fill="auto"/>
            <w:hideMark/>
          </w:tcPr>
          <w:p w14:paraId="648DA0A6" w14:textId="77777777" w:rsidR="00B94540" w:rsidRPr="00092ED7" w:rsidRDefault="00B94540" w:rsidP="00B94540">
            <w:pPr>
              <w:spacing w:after="0"/>
              <w:ind w:right="227"/>
              <w:jc w:val="right"/>
              <w:rPr>
                <w:rFonts w:cstheme="minorHAnsi"/>
                <w:sz w:val="20"/>
                <w:szCs w:val="20"/>
                <w:lang w:val="sr-Cyrl-CS"/>
              </w:rPr>
            </w:pPr>
            <w:r w:rsidRPr="00092ED7">
              <w:rPr>
                <w:sz w:val="20"/>
                <w:szCs w:val="20"/>
                <w:lang w:val="sr-Cyrl-CS"/>
              </w:rPr>
              <w:t>-0,2</w:t>
            </w:r>
          </w:p>
        </w:tc>
        <w:tc>
          <w:tcPr>
            <w:tcW w:w="634" w:type="pct"/>
            <w:shd w:val="clear" w:color="auto" w:fill="auto"/>
            <w:hideMark/>
          </w:tcPr>
          <w:p w14:paraId="2858E383" w14:textId="77777777" w:rsidR="00B94540" w:rsidRPr="00092ED7" w:rsidRDefault="00B94540" w:rsidP="00B94540">
            <w:pPr>
              <w:spacing w:after="0"/>
              <w:ind w:right="284"/>
              <w:jc w:val="right"/>
              <w:rPr>
                <w:rFonts w:cstheme="minorHAnsi"/>
                <w:sz w:val="20"/>
                <w:szCs w:val="20"/>
                <w:lang w:val="sr-Cyrl-CS"/>
              </w:rPr>
            </w:pPr>
            <w:r w:rsidRPr="00092ED7">
              <w:rPr>
                <w:sz w:val="20"/>
                <w:szCs w:val="20"/>
                <w:lang w:val="sr-Cyrl-CS"/>
              </w:rPr>
              <w:t>-0,2</w:t>
            </w:r>
          </w:p>
        </w:tc>
        <w:tc>
          <w:tcPr>
            <w:tcW w:w="631" w:type="pct"/>
            <w:shd w:val="clear" w:color="auto" w:fill="auto"/>
            <w:noWrap/>
            <w:hideMark/>
          </w:tcPr>
          <w:p w14:paraId="751CEA69" w14:textId="77777777" w:rsidR="00B94540" w:rsidRPr="00092ED7" w:rsidRDefault="00B94540" w:rsidP="00B94540">
            <w:pPr>
              <w:spacing w:after="0"/>
              <w:ind w:right="284"/>
              <w:jc w:val="right"/>
              <w:rPr>
                <w:rFonts w:cstheme="minorHAnsi"/>
                <w:sz w:val="20"/>
                <w:szCs w:val="20"/>
                <w:lang w:val="sr-Cyrl-CS"/>
              </w:rPr>
            </w:pPr>
            <w:r w:rsidRPr="00092ED7">
              <w:rPr>
                <w:sz w:val="20"/>
                <w:szCs w:val="20"/>
                <w:lang w:val="sr-Cyrl-CS"/>
              </w:rPr>
              <w:t>1,4</w:t>
            </w:r>
          </w:p>
        </w:tc>
      </w:tr>
      <w:tr w:rsidR="00B94540" w:rsidRPr="00092ED7" w14:paraId="11B1FA99" w14:textId="77777777" w:rsidTr="00B94540">
        <w:trPr>
          <w:trHeight w:val="223"/>
          <w:jc w:val="center"/>
        </w:trPr>
        <w:tc>
          <w:tcPr>
            <w:tcW w:w="1202" w:type="pct"/>
            <w:shd w:val="clear" w:color="auto" w:fill="auto"/>
            <w:noWrap/>
            <w:vAlign w:val="center"/>
            <w:hideMark/>
          </w:tcPr>
          <w:p w14:paraId="172DD905" w14:textId="77777777" w:rsidR="00B94540" w:rsidRPr="00092ED7" w:rsidRDefault="00B94540" w:rsidP="00B94540">
            <w:pPr>
              <w:spacing w:after="0"/>
              <w:jc w:val="left"/>
              <w:rPr>
                <w:rFonts w:eastAsia="MS PGothic" w:cstheme="minorHAnsi"/>
                <w:sz w:val="20"/>
                <w:szCs w:val="20"/>
                <w:lang w:val="sr-Cyrl-CS" w:eastAsia="ja-JP"/>
              </w:rPr>
            </w:pPr>
            <w:r w:rsidRPr="00092ED7">
              <w:rPr>
                <w:rFonts w:eastAsia="MS PGothic" w:cstheme="minorHAnsi"/>
                <w:sz w:val="20"/>
                <w:szCs w:val="20"/>
                <w:lang w:val="sr-Cyrl-CS" w:eastAsia="ja-JP"/>
              </w:rPr>
              <w:t>Доприноси</w:t>
            </w:r>
          </w:p>
        </w:tc>
        <w:tc>
          <w:tcPr>
            <w:tcW w:w="633" w:type="pct"/>
            <w:shd w:val="clear" w:color="auto" w:fill="auto"/>
            <w:hideMark/>
          </w:tcPr>
          <w:p w14:paraId="54EB41FF" w14:textId="77777777" w:rsidR="00B94540" w:rsidRPr="00092ED7" w:rsidRDefault="00B94540" w:rsidP="00B94540">
            <w:pPr>
              <w:spacing w:after="0"/>
              <w:ind w:right="170"/>
              <w:jc w:val="right"/>
              <w:rPr>
                <w:rFonts w:cstheme="minorHAnsi"/>
                <w:sz w:val="20"/>
                <w:szCs w:val="20"/>
                <w:lang w:val="sr-Cyrl-CS"/>
              </w:rPr>
            </w:pPr>
            <w:r w:rsidRPr="00092ED7">
              <w:rPr>
                <w:sz w:val="20"/>
                <w:szCs w:val="20"/>
                <w:lang w:val="sr-Cyrl-CS"/>
              </w:rPr>
              <w:t>925,8</w:t>
            </w:r>
          </w:p>
        </w:tc>
        <w:tc>
          <w:tcPr>
            <w:tcW w:w="633" w:type="pct"/>
          </w:tcPr>
          <w:p w14:paraId="604FC1C8" w14:textId="77777777" w:rsidR="00B94540" w:rsidRPr="00092ED7" w:rsidRDefault="00B94540" w:rsidP="00B94540">
            <w:pPr>
              <w:spacing w:after="0"/>
              <w:ind w:right="170"/>
              <w:jc w:val="right"/>
              <w:rPr>
                <w:sz w:val="20"/>
                <w:szCs w:val="20"/>
                <w:lang w:val="sr-Cyrl-CS"/>
              </w:rPr>
            </w:pPr>
            <w:r w:rsidRPr="00092ED7">
              <w:rPr>
                <w:sz w:val="20"/>
                <w:szCs w:val="20"/>
                <w:lang w:val="sr-Cyrl-CS"/>
              </w:rPr>
              <w:t>931,5</w:t>
            </w:r>
          </w:p>
        </w:tc>
        <w:tc>
          <w:tcPr>
            <w:tcW w:w="634" w:type="pct"/>
            <w:shd w:val="clear" w:color="auto" w:fill="auto"/>
            <w:noWrap/>
            <w:hideMark/>
          </w:tcPr>
          <w:p w14:paraId="6EC9EFF1" w14:textId="77777777" w:rsidR="00B94540" w:rsidRPr="00092ED7" w:rsidRDefault="00B94540" w:rsidP="00B94540">
            <w:pPr>
              <w:spacing w:after="0"/>
              <w:ind w:right="170"/>
              <w:jc w:val="right"/>
              <w:rPr>
                <w:rFonts w:cstheme="minorHAnsi"/>
                <w:sz w:val="20"/>
                <w:szCs w:val="20"/>
                <w:lang w:val="sr-Cyrl-CS"/>
              </w:rPr>
            </w:pPr>
            <w:r w:rsidRPr="00092ED7">
              <w:rPr>
                <w:sz w:val="20"/>
                <w:szCs w:val="20"/>
                <w:lang w:val="sr-Cyrl-CS"/>
              </w:rPr>
              <w:t>947,7</w:t>
            </w:r>
          </w:p>
        </w:tc>
        <w:tc>
          <w:tcPr>
            <w:tcW w:w="634" w:type="pct"/>
            <w:shd w:val="clear" w:color="auto" w:fill="auto"/>
            <w:hideMark/>
          </w:tcPr>
          <w:p w14:paraId="5406EC08" w14:textId="77777777" w:rsidR="00B94540" w:rsidRPr="00092ED7" w:rsidRDefault="00B94540" w:rsidP="00B94540">
            <w:pPr>
              <w:spacing w:after="0"/>
              <w:ind w:right="227"/>
              <w:jc w:val="right"/>
              <w:rPr>
                <w:rFonts w:cstheme="minorHAnsi"/>
                <w:sz w:val="20"/>
                <w:szCs w:val="20"/>
                <w:lang w:val="sr-Cyrl-CS"/>
              </w:rPr>
            </w:pPr>
            <w:r w:rsidRPr="00092ED7">
              <w:rPr>
                <w:sz w:val="20"/>
                <w:szCs w:val="20"/>
                <w:lang w:val="sr-Cyrl-CS"/>
              </w:rPr>
              <w:t>21,9</w:t>
            </w:r>
          </w:p>
        </w:tc>
        <w:tc>
          <w:tcPr>
            <w:tcW w:w="634" w:type="pct"/>
            <w:shd w:val="clear" w:color="auto" w:fill="auto"/>
            <w:hideMark/>
          </w:tcPr>
          <w:p w14:paraId="2899D5EF" w14:textId="77777777" w:rsidR="00B94540" w:rsidRPr="00092ED7" w:rsidRDefault="00B94540" w:rsidP="00B94540">
            <w:pPr>
              <w:spacing w:after="0"/>
              <w:ind w:right="284"/>
              <w:jc w:val="right"/>
              <w:rPr>
                <w:rFonts w:cstheme="minorHAnsi"/>
                <w:sz w:val="20"/>
                <w:szCs w:val="20"/>
                <w:lang w:val="sr-Cyrl-CS"/>
              </w:rPr>
            </w:pPr>
            <w:r w:rsidRPr="00092ED7">
              <w:rPr>
                <w:sz w:val="20"/>
                <w:szCs w:val="20"/>
                <w:lang w:val="sr-Cyrl-CS"/>
              </w:rPr>
              <w:t>2,4</w:t>
            </w:r>
          </w:p>
        </w:tc>
        <w:tc>
          <w:tcPr>
            <w:tcW w:w="631" w:type="pct"/>
            <w:shd w:val="clear" w:color="auto" w:fill="auto"/>
            <w:noWrap/>
            <w:hideMark/>
          </w:tcPr>
          <w:p w14:paraId="30B1024C" w14:textId="77777777" w:rsidR="00B94540" w:rsidRPr="00092ED7" w:rsidRDefault="00B94540" w:rsidP="00B94540">
            <w:pPr>
              <w:spacing w:after="0"/>
              <w:ind w:right="284"/>
              <w:jc w:val="right"/>
              <w:rPr>
                <w:rFonts w:cstheme="minorHAnsi"/>
                <w:sz w:val="20"/>
                <w:szCs w:val="20"/>
                <w:lang w:val="sr-Cyrl-CS"/>
              </w:rPr>
            </w:pPr>
            <w:r w:rsidRPr="00092ED7">
              <w:rPr>
                <w:sz w:val="20"/>
                <w:szCs w:val="20"/>
                <w:lang w:val="sr-Cyrl-CS"/>
              </w:rPr>
              <w:t>13,4</w:t>
            </w:r>
          </w:p>
        </w:tc>
      </w:tr>
      <w:tr w:rsidR="00B94540" w:rsidRPr="00092ED7" w14:paraId="735F6229" w14:textId="77777777" w:rsidTr="00B94540">
        <w:trPr>
          <w:trHeight w:val="223"/>
          <w:jc w:val="center"/>
        </w:trPr>
        <w:tc>
          <w:tcPr>
            <w:tcW w:w="1202" w:type="pct"/>
            <w:shd w:val="clear" w:color="auto" w:fill="auto"/>
            <w:noWrap/>
            <w:vAlign w:val="center"/>
            <w:hideMark/>
          </w:tcPr>
          <w:p w14:paraId="73E78304" w14:textId="77777777" w:rsidR="00B94540" w:rsidRPr="00092ED7" w:rsidRDefault="00B94540" w:rsidP="00B94540">
            <w:pPr>
              <w:spacing w:after="0"/>
              <w:jc w:val="left"/>
              <w:rPr>
                <w:rFonts w:eastAsia="MS PGothic" w:cstheme="minorHAnsi"/>
                <w:sz w:val="20"/>
                <w:szCs w:val="20"/>
                <w:lang w:val="sr-Cyrl-CS" w:eastAsia="ja-JP"/>
              </w:rPr>
            </w:pPr>
            <w:r w:rsidRPr="00092ED7">
              <w:rPr>
                <w:rFonts w:eastAsia="MS PGothic" w:cstheme="minorHAnsi"/>
                <w:sz w:val="20"/>
                <w:szCs w:val="20"/>
                <w:lang w:val="sr-Cyrl-CS" w:eastAsia="ja-JP"/>
              </w:rPr>
              <w:t>Непорески приходи</w:t>
            </w:r>
          </w:p>
        </w:tc>
        <w:tc>
          <w:tcPr>
            <w:tcW w:w="633" w:type="pct"/>
            <w:shd w:val="clear" w:color="auto" w:fill="auto"/>
            <w:hideMark/>
          </w:tcPr>
          <w:p w14:paraId="139A1C94" w14:textId="77777777" w:rsidR="00B94540" w:rsidRPr="00092ED7" w:rsidRDefault="00B94540" w:rsidP="00B94540">
            <w:pPr>
              <w:spacing w:after="0"/>
              <w:ind w:right="170"/>
              <w:jc w:val="right"/>
              <w:rPr>
                <w:rFonts w:cstheme="minorHAnsi"/>
                <w:sz w:val="20"/>
                <w:szCs w:val="20"/>
                <w:lang w:val="sr-Cyrl-CS"/>
              </w:rPr>
            </w:pPr>
            <w:r w:rsidRPr="00092ED7">
              <w:rPr>
                <w:sz w:val="20"/>
                <w:szCs w:val="20"/>
                <w:lang w:val="sr-Cyrl-CS"/>
              </w:rPr>
              <w:t>251,5</w:t>
            </w:r>
          </w:p>
        </w:tc>
        <w:tc>
          <w:tcPr>
            <w:tcW w:w="633" w:type="pct"/>
          </w:tcPr>
          <w:p w14:paraId="1A471171" w14:textId="77777777" w:rsidR="00B94540" w:rsidRPr="00092ED7" w:rsidRDefault="00B94540" w:rsidP="00B94540">
            <w:pPr>
              <w:spacing w:after="0"/>
              <w:ind w:right="170"/>
              <w:jc w:val="right"/>
              <w:rPr>
                <w:sz w:val="20"/>
                <w:szCs w:val="20"/>
                <w:lang w:val="sr-Cyrl-CS"/>
              </w:rPr>
            </w:pPr>
            <w:r w:rsidRPr="00092ED7">
              <w:rPr>
                <w:sz w:val="20"/>
                <w:szCs w:val="20"/>
                <w:lang w:val="sr-Cyrl-CS"/>
              </w:rPr>
              <w:t>265,7</w:t>
            </w:r>
          </w:p>
        </w:tc>
        <w:tc>
          <w:tcPr>
            <w:tcW w:w="634" w:type="pct"/>
            <w:shd w:val="clear" w:color="auto" w:fill="auto"/>
            <w:noWrap/>
            <w:hideMark/>
          </w:tcPr>
          <w:p w14:paraId="3374CDF4" w14:textId="77777777" w:rsidR="00B94540" w:rsidRPr="00092ED7" w:rsidRDefault="00B94540" w:rsidP="00B94540">
            <w:pPr>
              <w:spacing w:after="0"/>
              <w:ind w:right="170"/>
              <w:jc w:val="right"/>
              <w:rPr>
                <w:rFonts w:cstheme="minorHAnsi"/>
                <w:sz w:val="20"/>
                <w:szCs w:val="20"/>
                <w:lang w:val="sr-Cyrl-CS"/>
              </w:rPr>
            </w:pPr>
            <w:r w:rsidRPr="00092ED7">
              <w:rPr>
                <w:sz w:val="20"/>
                <w:szCs w:val="20"/>
                <w:lang w:val="sr-Cyrl-CS"/>
              </w:rPr>
              <w:t>278,3</w:t>
            </w:r>
          </w:p>
        </w:tc>
        <w:tc>
          <w:tcPr>
            <w:tcW w:w="634" w:type="pct"/>
            <w:shd w:val="clear" w:color="auto" w:fill="auto"/>
            <w:hideMark/>
          </w:tcPr>
          <w:p w14:paraId="230DE26F" w14:textId="77777777" w:rsidR="00B94540" w:rsidRPr="00092ED7" w:rsidRDefault="00B94540" w:rsidP="00B94540">
            <w:pPr>
              <w:spacing w:after="0"/>
              <w:ind w:right="227"/>
              <w:jc w:val="right"/>
              <w:rPr>
                <w:rFonts w:cstheme="minorHAnsi"/>
                <w:sz w:val="20"/>
                <w:szCs w:val="20"/>
                <w:lang w:val="sr-Cyrl-CS"/>
              </w:rPr>
            </w:pPr>
            <w:r w:rsidRPr="00092ED7">
              <w:rPr>
                <w:sz w:val="20"/>
                <w:szCs w:val="20"/>
                <w:lang w:val="sr-Cyrl-CS"/>
              </w:rPr>
              <w:t>26,8</w:t>
            </w:r>
          </w:p>
        </w:tc>
        <w:tc>
          <w:tcPr>
            <w:tcW w:w="634" w:type="pct"/>
            <w:shd w:val="clear" w:color="auto" w:fill="auto"/>
            <w:hideMark/>
          </w:tcPr>
          <w:p w14:paraId="66B4792A" w14:textId="77777777" w:rsidR="00B94540" w:rsidRPr="00092ED7" w:rsidRDefault="00B94540" w:rsidP="00B94540">
            <w:pPr>
              <w:spacing w:after="0"/>
              <w:ind w:right="284"/>
              <w:jc w:val="right"/>
              <w:rPr>
                <w:rFonts w:cstheme="minorHAnsi"/>
                <w:sz w:val="20"/>
                <w:szCs w:val="20"/>
                <w:lang w:val="sr-Cyrl-CS"/>
              </w:rPr>
            </w:pPr>
            <w:r w:rsidRPr="00092ED7">
              <w:rPr>
                <w:sz w:val="20"/>
                <w:szCs w:val="20"/>
                <w:lang w:val="sr-Cyrl-CS"/>
              </w:rPr>
              <w:t>10,7</w:t>
            </w:r>
          </w:p>
        </w:tc>
        <w:tc>
          <w:tcPr>
            <w:tcW w:w="631" w:type="pct"/>
            <w:shd w:val="clear" w:color="auto" w:fill="auto"/>
            <w:noWrap/>
            <w:hideMark/>
          </w:tcPr>
          <w:p w14:paraId="34992CFB" w14:textId="77777777" w:rsidR="00B94540" w:rsidRPr="00092ED7" w:rsidRDefault="00B94540" w:rsidP="00B94540">
            <w:pPr>
              <w:spacing w:after="0"/>
              <w:ind w:right="284"/>
              <w:jc w:val="right"/>
              <w:rPr>
                <w:rFonts w:cstheme="minorHAnsi"/>
                <w:sz w:val="20"/>
                <w:szCs w:val="20"/>
                <w:lang w:val="sr-Cyrl-CS"/>
              </w:rPr>
            </w:pPr>
            <w:r w:rsidRPr="00092ED7">
              <w:rPr>
                <w:sz w:val="20"/>
                <w:szCs w:val="20"/>
                <w:lang w:val="sr-Cyrl-CS"/>
              </w:rPr>
              <w:t>3,9</w:t>
            </w:r>
          </w:p>
        </w:tc>
      </w:tr>
      <w:tr w:rsidR="00B94540" w:rsidRPr="00092ED7" w14:paraId="4EA3F2D7" w14:textId="77777777" w:rsidTr="00B94540">
        <w:trPr>
          <w:trHeight w:val="223"/>
          <w:jc w:val="center"/>
        </w:trPr>
        <w:tc>
          <w:tcPr>
            <w:tcW w:w="1202" w:type="pct"/>
            <w:shd w:val="clear" w:color="auto" w:fill="auto"/>
            <w:noWrap/>
            <w:vAlign w:val="center"/>
            <w:hideMark/>
          </w:tcPr>
          <w:p w14:paraId="2D45BBF4" w14:textId="77777777" w:rsidR="00B94540" w:rsidRPr="00092ED7" w:rsidRDefault="00B94540" w:rsidP="00B94540">
            <w:pPr>
              <w:spacing w:after="0"/>
              <w:jc w:val="left"/>
              <w:rPr>
                <w:rFonts w:eastAsia="MS PGothic" w:cstheme="minorHAnsi"/>
                <w:sz w:val="20"/>
                <w:szCs w:val="20"/>
                <w:lang w:val="sr-Cyrl-CS" w:eastAsia="ja-JP"/>
              </w:rPr>
            </w:pPr>
            <w:r w:rsidRPr="00092ED7">
              <w:rPr>
                <w:rFonts w:eastAsia="MS PGothic" w:cstheme="minorHAnsi"/>
                <w:sz w:val="20"/>
                <w:szCs w:val="20"/>
                <w:lang w:val="sr-Cyrl-CS" w:eastAsia="ja-JP"/>
              </w:rPr>
              <w:t>Донације</w:t>
            </w:r>
          </w:p>
        </w:tc>
        <w:tc>
          <w:tcPr>
            <w:tcW w:w="633" w:type="pct"/>
            <w:shd w:val="clear" w:color="auto" w:fill="auto"/>
            <w:hideMark/>
          </w:tcPr>
          <w:p w14:paraId="67483942" w14:textId="77777777" w:rsidR="00B94540" w:rsidRPr="00092ED7" w:rsidRDefault="00B94540" w:rsidP="00B94540">
            <w:pPr>
              <w:spacing w:after="0"/>
              <w:ind w:right="170"/>
              <w:jc w:val="right"/>
              <w:rPr>
                <w:rFonts w:cstheme="minorHAnsi"/>
                <w:sz w:val="20"/>
                <w:szCs w:val="20"/>
                <w:lang w:val="sr-Cyrl-CS"/>
              </w:rPr>
            </w:pPr>
            <w:r w:rsidRPr="00092ED7">
              <w:rPr>
                <w:sz w:val="20"/>
                <w:szCs w:val="20"/>
                <w:lang w:val="sr-Cyrl-CS"/>
              </w:rPr>
              <w:t>25,9</w:t>
            </w:r>
          </w:p>
        </w:tc>
        <w:tc>
          <w:tcPr>
            <w:tcW w:w="633" w:type="pct"/>
          </w:tcPr>
          <w:p w14:paraId="58C98CF7" w14:textId="77777777" w:rsidR="00B94540" w:rsidRPr="00092ED7" w:rsidRDefault="00B94540" w:rsidP="00B94540">
            <w:pPr>
              <w:spacing w:after="0"/>
              <w:ind w:right="170"/>
              <w:jc w:val="right"/>
              <w:rPr>
                <w:sz w:val="20"/>
                <w:szCs w:val="20"/>
                <w:lang w:val="sr-Cyrl-CS"/>
              </w:rPr>
            </w:pPr>
            <w:r w:rsidRPr="00092ED7">
              <w:rPr>
                <w:sz w:val="20"/>
                <w:szCs w:val="20"/>
                <w:lang w:val="sr-Cyrl-CS"/>
              </w:rPr>
              <w:t>25,9</w:t>
            </w:r>
          </w:p>
        </w:tc>
        <w:tc>
          <w:tcPr>
            <w:tcW w:w="634" w:type="pct"/>
            <w:shd w:val="clear" w:color="auto" w:fill="auto"/>
            <w:noWrap/>
            <w:hideMark/>
          </w:tcPr>
          <w:p w14:paraId="4731C076" w14:textId="77777777" w:rsidR="00B94540" w:rsidRPr="00092ED7" w:rsidRDefault="00B94540" w:rsidP="00B94540">
            <w:pPr>
              <w:spacing w:after="0"/>
              <w:ind w:right="170"/>
              <w:jc w:val="right"/>
              <w:rPr>
                <w:rFonts w:cstheme="minorHAnsi"/>
                <w:sz w:val="20"/>
                <w:szCs w:val="20"/>
                <w:lang w:val="sr-Cyrl-CS"/>
              </w:rPr>
            </w:pPr>
            <w:r w:rsidRPr="00092ED7">
              <w:rPr>
                <w:sz w:val="20"/>
                <w:szCs w:val="20"/>
                <w:lang w:val="sr-Cyrl-CS"/>
              </w:rPr>
              <w:t>21,7</w:t>
            </w:r>
          </w:p>
        </w:tc>
        <w:tc>
          <w:tcPr>
            <w:tcW w:w="634" w:type="pct"/>
            <w:shd w:val="clear" w:color="auto" w:fill="auto"/>
            <w:hideMark/>
          </w:tcPr>
          <w:p w14:paraId="5AB15BD0" w14:textId="77777777" w:rsidR="00B94540" w:rsidRPr="00092ED7" w:rsidRDefault="00B94540" w:rsidP="00B94540">
            <w:pPr>
              <w:spacing w:after="0"/>
              <w:ind w:right="227"/>
              <w:jc w:val="right"/>
              <w:rPr>
                <w:rFonts w:cstheme="minorHAnsi"/>
                <w:sz w:val="20"/>
                <w:szCs w:val="20"/>
                <w:lang w:val="sr-Cyrl-CS"/>
              </w:rPr>
            </w:pPr>
            <w:r w:rsidRPr="00092ED7">
              <w:rPr>
                <w:sz w:val="20"/>
                <w:szCs w:val="20"/>
                <w:lang w:val="sr-Cyrl-CS"/>
              </w:rPr>
              <w:t>-4,2</w:t>
            </w:r>
          </w:p>
        </w:tc>
        <w:tc>
          <w:tcPr>
            <w:tcW w:w="634" w:type="pct"/>
            <w:shd w:val="clear" w:color="auto" w:fill="auto"/>
            <w:hideMark/>
          </w:tcPr>
          <w:p w14:paraId="611C1872" w14:textId="77777777" w:rsidR="00B94540" w:rsidRPr="00092ED7" w:rsidRDefault="00B94540" w:rsidP="00B94540">
            <w:pPr>
              <w:spacing w:after="0"/>
              <w:ind w:right="284"/>
              <w:jc w:val="right"/>
              <w:rPr>
                <w:rFonts w:cstheme="minorHAnsi"/>
                <w:sz w:val="20"/>
                <w:szCs w:val="20"/>
                <w:lang w:val="sr-Cyrl-CS"/>
              </w:rPr>
            </w:pPr>
            <w:r w:rsidRPr="00092ED7">
              <w:rPr>
                <w:sz w:val="20"/>
                <w:szCs w:val="20"/>
                <w:lang w:val="sr-Cyrl-CS"/>
              </w:rPr>
              <w:t>-16,1</w:t>
            </w:r>
          </w:p>
        </w:tc>
        <w:tc>
          <w:tcPr>
            <w:tcW w:w="631" w:type="pct"/>
            <w:shd w:val="clear" w:color="auto" w:fill="auto"/>
            <w:noWrap/>
            <w:hideMark/>
          </w:tcPr>
          <w:p w14:paraId="0DE2BE1C" w14:textId="77777777" w:rsidR="00B94540" w:rsidRPr="00092ED7" w:rsidRDefault="00B94540" w:rsidP="00B94540">
            <w:pPr>
              <w:spacing w:after="0"/>
              <w:ind w:right="284"/>
              <w:jc w:val="right"/>
              <w:rPr>
                <w:rFonts w:cstheme="minorHAnsi"/>
                <w:sz w:val="20"/>
                <w:szCs w:val="20"/>
                <w:lang w:val="sr-Cyrl-CS"/>
              </w:rPr>
            </w:pPr>
            <w:r w:rsidRPr="00092ED7">
              <w:rPr>
                <w:sz w:val="20"/>
                <w:szCs w:val="20"/>
                <w:lang w:val="sr-Cyrl-CS"/>
              </w:rPr>
              <w:t>0,3</w:t>
            </w:r>
          </w:p>
        </w:tc>
      </w:tr>
      <w:tr w:rsidR="00B94540" w:rsidRPr="00092ED7" w14:paraId="655C1E32" w14:textId="77777777" w:rsidTr="00B94540">
        <w:trPr>
          <w:trHeight w:val="223"/>
          <w:jc w:val="center"/>
        </w:trPr>
        <w:tc>
          <w:tcPr>
            <w:tcW w:w="1202" w:type="pct"/>
            <w:shd w:val="clear" w:color="auto" w:fill="E7E6E6" w:themeFill="background2"/>
            <w:noWrap/>
            <w:vAlign w:val="center"/>
            <w:hideMark/>
          </w:tcPr>
          <w:p w14:paraId="02A80491" w14:textId="77777777" w:rsidR="00B94540" w:rsidRPr="00092ED7" w:rsidRDefault="00B94540" w:rsidP="00B94540">
            <w:pPr>
              <w:spacing w:after="0"/>
              <w:jc w:val="left"/>
              <w:rPr>
                <w:rFonts w:cstheme="minorHAnsi"/>
                <w:sz w:val="20"/>
                <w:szCs w:val="20"/>
                <w:lang w:val="sr-Cyrl-CS"/>
              </w:rPr>
            </w:pPr>
            <w:r w:rsidRPr="00092ED7">
              <w:rPr>
                <w:rFonts w:eastAsia="MS PGothic" w:cstheme="minorHAnsi"/>
                <w:sz w:val="20"/>
                <w:szCs w:val="20"/>
                <w:lang w:val="sr-Cyrl-CS" w:eastAsia="ja-JP"/>
              </w:rPr>
              <w:t>ЈАВНИ РАСХОДИ</w:t>
            </w:r>
          </w:p>
        </w:tc>
        <w:tc>
          <w:tcPr>
            <w:tcW w:w="633" w:type="pct"/>
            <w:shd w:val="clear" w:color="auto" w:fill="E7E6E6" w:themeFill="background2"/>
            <w:hideMark/>
          </w:tcPr>
          <w:p w14:paraId="02C3D5B8" w14:textId="77777777" w:rsidR="00B94540" w:rsidRPr="00092ED7" w:rsidRDefault="00B94540" w:rsidP="00B94540">
            <w:pPr>
              <w:spacing w:after="0"/>
              <w:ind w:right="170"/>
              <w:jc w:val="right"/>
              <w:rPr>
                <w:rFonts w:cstheme="minorHAnsi"/>
                <w:sz w:val="20"/>
                <w:szCs w:val="20"/>
                <w:lang w:val="sr-Cyrl-CS"/>
              </w:rPr>
            </w:pPr>
            <w:r w:rsidRPr="00092ED7">
              <w:rPr>
                <w:sz w:val="20"/>
                <w:szCs w:val="20"/>
                <w:lang w:val="sr-Cyrl-CS"/>
              </w:rPr>
              <w:t>3.004,3</w:t>
            </w:r>
          </w:p>
        </w:tc>
        <w:tc>
          <w:tcPr>
            <w:tcW w:w="633" w:type="pct"/>
            <w:shd w:val="clear" w:color="auto" w:fill="E7E6E6" w:themeFill="background2"/>
          </w:tcPr>
          <w:p w14:paraId="2DEA9950" w14:textId="77777777" w:rsidR="00B94540" w:rsidRPr="00092ED7" w:rsidRDefault="00B94540" w:rsidP="00B94540">
            <w:pPr>
              <w:spacing w:after="0"/>
              <w:ind w:right="170"/>
              <w:jc w:val="right"/>
              <w:rPr>
                <w:sz w:val="20"/>
                <w:szCs w:val="20"/>
                <w:lang w:val="sr-Cyrl-CS"/>
              </w:rPr>
            </w:pPr>
            <w:r w:rsidRPr="00092ED7">
              <w:rPr>
                <w:sz w:val="20"/>
                <w:szCs w:val="20"/>
                <w:lang w:val="sr-Cyrl-CS"/>
              </w:rPr>
              <w:t>3.107,7</w:t>
            </w:r>
          </w:p>
        </w:tc>
        <w:tc>
          <w:tcPr>
            <w:tcW w:w="634" w:type="pct"/>
            <w:shd w:val="clear" w:color="auto" w:fill="E7E6E6" w:themeFill="background2"/>
            <w:noWrap/>
            <w:hideMark/>
          </w:tcPr>
          <w:p w14:paraId="1C0855A5" w14:textId="77777777" w:rsidR="00B94540" w:rsidRPr="00092ED7" w:rsidRDefault="00B94540" w:rsidP="00B94540">
            <w:pPr>
              <w:spacing w:after="0"/>
              <w:ind w:right="170"/>
              <w:jc w:val="right"/>
              <w:rPr>
                <w:rFonts w:cstheme="minorHAnsi"/>
                <w:sz w:val="20"/>
                <w:szCs w:val="20"/>
                <w:lang w:val="sr-Cyrl-CS"/>
              </w:rPr>
            </w:pPr>
            <w:r w:rsidRPr="00092ED7">
              <w:rPr>
                <w:sz w:val="20"/>
                <w:szCs w:val="20"/>
                <w:lang w:val="sr-Cyrl-CS"/>
              </w:rPr>
              <w:t>3.311,7</w:t>
            </w:r>
          </w:p>
        </w:tc>
        <w:tc>
          <w:tcPr>
            <w:tcW w:w="634" w:type="pct"/>
            <w:shd w:val="clear" w:color="auto" w:fill="E7E6E6" w:themeFill="background2"/>
            <w:hideMark/>
          </w:tcPr>
          <w:p w14:paraId="06CA66FF" w14:textId="77777777" w:rsidR="00B94540" w:rsidRPr="00092ED7" w:rsidRDefault="00B94540" w:rsidP="00B94540">
            <w:pPr>
              <w:spacing w:after="0"/>
              <w:ind w:right="227"/>
              <w:jc w:val="right"/>
              <w:rPr>
                <w:rFonts w:cstheme="minorHAnsi"/>
                <w:sz w:val="20"/>
                <w:szCs w:val="20"/>
                <w:lang w:val="sr-Cyrl-CS"/>
              </w:rPr>
            </w:pPr>
            <w:r w:rsidRPr="00092ED7">
              <w:rPr>
                <w:sz w:val="20"/>
                <w:szCs w:val="20"/>
                <w:lang w:val="sr-Cyrl-CS"/>
              </w:rPr>
              <w:t>307,4</w:t>
            </w:r>
          </w:p>
        </w:tc>
        <w:tc>
          <w:tcPr>
            <w:tcW w:w="634" w:type="pct"/>
            <w:shd w:val="clear" w:color="auto" w:fill="E7E6E6" w:themeFill="background2"/>
            <w:hideMark/>
          </w:tcPr>
          <w:p w14:paraId="1DDE0620" w14:textId="77777777" w:rsidR="00B94540" w:rsidRPr="00092ED7" w:rsidRDefault="00B94540" w:rsidP="00B94540">
            <w:pPr>
              <w:spacing w:after="0"/>
              <w:ind w:right="284"/>
              <w:jc w:val="right"/>
              <w:rPr>
                <w:rFonts w:cstheme="minorHAnsi"/>
                <w:sz w:val="20"/>
                <w:szCs w:val="20"/>
                <w:lang w:val="sr-Cyrl-CS"/>
              </w:rPr>
            </w:pPr>
            <w:r w:rsidRPr="00092ED7">
              <w:rPr>
                <w:sz w:val="20"/>
                <w:szCs w:val="20"/>
                <w:lang w:val="sr-Cyrl-CS"/>
              </w:rPr>
              <w:t>10,2</w:t>
            </w:r>
          </w:p>
        </w:tc>
        <w:tc>
          <w:tcPr>
            <w:tcW w:w="631" w:type="pct"/>
            <w:shd w:val="clear" w:color="auto" w:fill="E7E6E6" w:themeFill="background2"/>
            <w:noWrap/>
            <w:hideMark/>
          </w:tcPr>
          <w:p w14:paraId="699DCA05" w14:textId="77777777" w:rsidR="00B94540" w:rsidRPr="00092ED7" w:rsidRDefault="00B94540" w:rsidP="00B94540">
            <w:pPr>
              <w:spacing w:after="0"/>
              <w:ind w:right="284"/>
              <w:jc w:val="right"/>
              <w:rPr>
                <w:rFonts w:cstheme="minorHAnsi"/>
                <w:sz w:val="20"/>
                <w:szCs w:val="20"/>
                <w:lang w:val="sr-Cyrl-CS"/>
              </w:rPr>
            </w:pPr>
            <w:r w:rsidRPr="00092ED7">
              <w:rPr>
                <w:sz w:val="20"/>
                <w:szCs w:val="20"/>
                <w:lang w:val="sr-Cyrl-CS"/>
              </w:rPr>
              <w:t>46,8</w:t>
            </w:r>
          </w:p>
        </w:tc>
      </w:tr>
      <w:tr w:rsidR="00B94540" w:rsidRPr="00092ED7" w14:paraId="048C7167" w14:textId="77777777" w:rsidTr="00B94540">
        <w:trPr>
          <w:trHeight w:val="223"/>
          <w:jc w:val="center"/>
        </w:trPr>
        <w:tc>
          <w:tcPr>
            <w:tcW w:w="1202" w:type="pct"/>
            <w:shd w:val="clear" w:color="auto" w:fill="auto"/>
            <w:noWrap/>
            <w:vAlign w:val="center"/>
            <w:hideMark/>
          </w:tcPr>
          <w:p w14:paraId="19FF5216" w14:textId="77777777" w:rsidR="00B94540" w:rsidRPr="00092ED7" w:rsidRDefault="00B94540" w:rsidP="00B94540">
            <w:pPr>
              <w:spacing w:after="0"/>
              <w:jc w:val="left"/>
              <w:rPr>
                <w:rFonts w:eastAsia="MS PGothic" w:cstheme="minorHAnsi"/>
                <w:sz w:val="20"/>
                <w:szCs w:val="20"/>
                <w:lang w:val="sr-Cyrl-CS" w:eastAsia="ja-JP"/>
              </w:rPr>
            </w:pPr>
            <w:r w:rsidRPr="00092ED7">
              <w:rPr>
                <w:rFonts w:eastAsia="MS PGothic" w:cstheme="minorHAnsi"/>
                <w:sz w:val="20"/>
                <w:szCs w:val="20"/>
                <w:lang w:val="sr-Cyrl-CS" w:eastAsia="ja-JP"/>
              </w:rPr>
              <w:t>Текући расходи</w:t>
            </w:r>
          </w:p>
        </w:tc>
        <w:tc>
          <w:tcPr>
            <w:tcW w:w="633" w:type="pct"/>
            <w:shd w:val="clear" w:color="auto" w:fill="auto"/>
            <w:hideMark/>
          </w:tcPr>
          <w:p w14:paraId="72FCDB5F" w14:textId="77777777" w:rsidR="00B94540" w:rsidRPr="00092ED7" w:rsidRDefault="00B94540" w:rsidP="00B94540">
            <w:pPr>
              <w:spacing w:after="0"/>
              <w:ind w:right="170"/>
              <w:jc w:val="right"/>
              <w:rPr>
                <w:rFonts w:cstheme="minorHAnsi"/>
                <w:sz w:val="20"/>
                <w:szCs w:val="20"/>
                <w:lang w:val="sr-Cyrl-CS"/>
              </w:rPr>
            </w:pPr>
            <w:r w:rsidRPr="00092ED7">
              <w:rPr>
                <w:sz w:val="20"/>
                <w:szCs w:val="20"/>
                <w:lang w:val="sr-Cyrl-CS"/>
              </w:rPr>
              <w:t>2.489,9</w:t>
            </w:r>
          </w:p>
        </w:tc>
        <w:tc>
          <w:tcPr>
            <w:tcW w:w="633" w:type="pct"/>
          </w:tcPr>
          <w:p w14:paraId="6978D35B" w14:textId="77777777" w:rsidR="00B94540" w:rsidRPr="00092ED7" w:rsidRDefault="00B94540" w:rsidP="00B94540">
            <w:pPr>
              <w:spacing w:after="0"/>
              <w:ind w:right="170"/>
              <w:jc w:val="right"/>
              <w:rPr>
                <w:sz w:val="20"/>
                <w:szCs w:val="20"/>
                <w:lang w:val="sr-Cyrl-CS"/>
              </w:rPr>
            </w:pPr>
            <w:r w:rsidRPr="00092ED7">
              <w:rPr>
                <w:sz w:val="20"/>
                <w:szCs w:val="20"/>
                <w:lang w:val="sr-Cyrl-CS"/>
              </w:rPr>
              <w:t>2.556,8</w:t>
            </w:r>
          </w:p>
        </w:tc>
        <w:tc>
          <w:tcPr>
            <w:tcW w:w="634" w:type="pct"/>
            <w:shd w:val="clear" w:color="auto" w:fill="auto"/>
            <w:noWrap/>
            <w:hideMark/>
          </w:tcPr>
          <w:p w14:paraId="5B513009" w14:textId="77777777" w:rsidR="00B94540" w:rsidRPr="00092ED7" w:rsidRDefault="00B94540" w:rsidP="00B94540">
            <w:pPr>
              <w:spacing w:after="0"/>
              <w:ind w:right="170"/>
              <w:jc w:val="right"/>
              <w:rPr>
                <w:rFonts w:cstheme="minorHAnsi"/>
                <w:sz w:val="20"/>
                <w:szCs w:val="20"/>
                <w:lang w:val="sr-Cyrl-CS"/>
              </w:rPr>
            </w:pPr>
            <w:r w:rsidRPr="00092ED7">
              <w:rPr>
                <w:sz w:val="20"/>
                <w:szCs w:val="20"/>
                <w:lang w:val="sr-Cyrl-CS"/>
              </w:rPr>
              <w:t>2.620,8</w:t>
            </w:r>
          </w:p>
        </w:tc>
        <w:tc>
          <w:tcPr>
            <w:tcW w:w="634" w:type="pct"/>
            <w:shd w:val="clear" w:color="auto" w:fill="auto"/>
            <w:hideMark/>
          </w:tcPr>
          <w:p w14:paraId="54ACAB46" w14:textId="77777777" w:rsidR="00B94540" w:rsidRPr="00092ED7" w:rsidRDefault="00B94540" w:rsidP="00B94540">
            <w:pPr>
              <w:spacing w:after="0"/>
              <w:ind w:right="227"/>
              <w:jc w:val="right"/>
              <w:rPr>
                <w:rFonts w:cstheme="minorHAnsi"/>
                <w:sz w:val="20"/>
                <w:szCs w:val="20"/>
                <w:lang w:val="sr-Cyrl-CS"/>
              </w:rPr>
            </w:pPr>
            <w:r w:rsidRPr="00092ED7">
              <w:rPr>
                <w:sz w:val="20"/>
                <w:szCs w:val="20"/>
                <w:lang w:val="sr-Cyrl-CS"/>
              </w:rPr>
              <w:t>130,9</w:t>
            </w:r>
          </w:p>
        </w:tc>
        <w:tc>
          <w:tcPr>
            <w:tcW w:w="634" w:type="pct"/>
            <w:shd w:val="clear" w:color="auto" w:fill="auto"/>
            <w:hideMark/>
          </w:tcPr>
          <w:p w14:paraId="7F338CBE" w14:textId="77777777" w:rsidR="00B94540" w:rsidRPr="00092ED7" w:rsidRDefault="00B94540" w:rsidP="00B94540">
            <w:pPr>
              <w:spacing w:after="0"/>
              <w:ind w:right="284"/>
              <w:jc w:val="right"/>
              <w:rPr>
                <w:rFonts w:cstheme="minorHAnsi"/>
                <w:sz w:val="20"/>
                <w:szCs w:val="20"/>
                <w:lang w:val="sr-Cyrl-CS"/>
              </w:rPr>
            </w:pPr>
            <w:r w:rsidRPr="00092ED7">
              <w:rPr>
                <w:sz w:val="20"/>
                <w:szCs w:val="20"/>
                <w:lang w:val="sr-Cyrl-CS"/>
              </w:rPr>
              <w:t>5,3</w:t>
            </w:r>
          </w:p>
        </w:tc>
        <w:tc>
          <w:tcPr>
            <w:tcW w:w="631" w:type="pct"/>
            <w:shd w:val="clear" w:color="auto" w:fill="auto"/>
            <w:noWrap/>
            <w:hideMark/>
          </w:tcPr>
          <w:p w14:paraId="77AB5FF0" w14:textId="77777777" w:rsidR="00B94540" w:rsidRPr="00092ED7" w:rsidRDefault="00B94540" w:rsidP="00B94540">
            <w:pPr>
              <w:spacing w:after="0"/>
              <w:ind w:right="284"/>
              <w:jc w:val="right"/>
              <w:rPr>
                <w:rFonts w:cstheme="minorHAnsi"/>
                <w:sz w:val="20"/>
                <w:szCs w:val="20"/>
                <w:lang w:val="sr-Cyrl-CS"/>
              </w:rPr>
            </w:pPr>
            <w:r w:rsidRPr="00092ED7">
              <w:rPr>
                <w:sz w:val="20"/>
                <w:szCs w:val="20"/>
                <w:lang w:val="sr-Cyrl-CS"/>
              </w:rPr>
              <w:t>37,0</w:t>
            </w:r>
          </w:p>
        </w:tc>
      </w:tr>
      <w:tr w:rsidR="00B94540" w:rsidRPr="00092ED7" w14:paraId="59F0127F" w14:textId="77777777" w:rsidTr="00B94540">
        <w:trPr>
          <w:trHeight w:val="223"/>
          <w:jc w:val="center"/>
        </w:trPr>
        <w:tc>
          <w:tcPr>
            <w:tcW w:w="1202" w:type="pct"/>
            <w:shd w:val="clear" w:color="auto" w:fill="auto"/>
            <w:noWrap/>
            <w:vAlign w:val="center"/>
            <w:hideMark/>
          </w:tcPr>
          <w:p w14:paraId="1AE72F99" w14:textId="77777777" w:rsidR="00B94540" w:rsidRPr="00092ED7" w:rsidRDefault="00B94540" w:rsidP="00B94540">
            <w:pPr>
              <w:spacing w:after="0"/>
              <w:jc w:val="left"/>
              <w:rPr>
                <w:rFonts w:eastAsia="MS PGothic" w:cstheme="minorHAnsi"/>
                <w:sz w:val="20"/>
                <w:szCs w:val="20"/>
                <w:lang w:val="sr-Cyrl-CS" w:eastAsia="ja-JP"/>
              </w:rPr>
            </w:pPr>
            <w:r w:rsidRPr="00092ED7">
              <w:rPr>
                <w:rFonts w:eastAsia="MS PGothic" w:cstheme="minorHAnsi"/>
                <w:sz w:val="20"/>
                <w:szCs w:val="20"/>
                <w:lang w:val="sr-Cyrl-CS" w:eastAsia="ja-JP"/>
              </w:rPr>
              <w:t>Расходи за запослене</w:t>
            </w:r>
          </w:p>
        </w:tc>
        <w:tc>
          <w:tcPr>
            <w:tcW w:w="633" w:type="pct"/>
            <w:shd w:val="clear" w:color="auto" w:fill="auto"/>
            <w:hideMark/>
          </w:tcPr>
          <w:p w14:paraId="3219B662" w14:textId="77777777" w:rsidR="00B94540" w:rsidRPr="00092ED7" w:rsidRDefault="00B94540" w:rsidP="00B94540">
            <w:pPr>
              <w:spacing w:after="0"/>
              <w:ind w:right="170"/>
              <w:jc w:val="right"/>
              <w:rPr>
                <w:rFonts w:cstheme="minorHAnsi"/>
                <w:sz w:val="20"/>
                <w:szCs w:val="20"/>
                <w:lang w:val="sr-Cyrl-CS"/>
              </w:rPr>
            </w:pPr>
            <w:r w:rsidRPr="00092ED7">
              <w:rPr>
                <w:sz w:val="20"/>
                <w:szCs w:val="20"/>
                <w:lang w:val="sr-Cyrl-CS"/>
              </w:rPr>
              <w:t>673,1</w:t>
            </w:r>
          </w:p>
        </w:tc>
        <w:tc>
          <w:tcPr>
            <w:tcW w:w="633" w:type="pct"/>
          </w:tcPr>
          <w:p w14:paraId="1F76911D" w14:textId="77777777" w:rsidR="00B94540" w:rsidRPr="00092ED7" w:rsidRDefault="00B94540" w:rsidP="00B94540">
            <w:pPr>
              <w:spacing w:after="0"/>
              <w:ind w:right="170"/>
              <w:jc w:val="right"/>
              <w:rPr>
                <w:sz w:val="20"/>
                <w:szCs w:val="20"/>
                <w:lang w:val="sr-Cyrl-CS"/>
              </w:rPr>
            </w:pPr>
            <w:r w:rsidRPr="00092ED7">
              <w:rPr>
                <w:sz w:val="20"/>
                <w:szCs w:val="20"/>
                <w:lang w:val="sr-Cyrl-CS"/>
              </w:rPr>
              <w:t>674,9</w:t>
            </w:r>
          </w:p>
        </w:tc>
        <w:tc>
          <w:tcPr>
            <w:tcW w:w="634" w:type="pct"/>
            <w:shd w:val="clear" w:color="auto" w:fill="auto"/>
            <w:noWrap/>
            <w:hideMark/>
          </w:tcPr>
          <w:p w14:paraId="22A9D244" w14:textId="77777777" w:rsidR="00B94540" w:rsidRPr="00092ED7" w:rsidRDefault="00B94540" w:rsidP="00B94540">
            <w:pPr>
              <w:spacing w:after="0"/>
              <w:ind w:right="170"/>
              <w:jc w:val="right"/>
              <w:rPr>
                <w:rFonts w:cstheme="minorHAnsi"/>
                <w:sz w:val="20"/>
                <w:szCs w:val="20"/>
                <w:lang w:val="sr-Cyrl-CS"/>
              </w:rPr>
            </w:pPr>
            <w:r w:rsidRPr="00092ED7">
              <w:rPr>
                <w:sz w:val="20"/>
                <w:szCs w:val="20"/>
                <w:lang w:val="sr-Cyrl-CS"/>
              </w:rPr>
              <w:t>688,4</w:t>
            </w:r>
          </w:p>
        </w:tc>
        <w:tc>
          <w:tcPr>
            <w:tcW w:w="634" w:type="pct"/>
            <w:shd w:val="clear" w:color="auto" w:fill="auto"/>
            <w:hideMark/>
          </w:tcPr>
          <w:p w14:paraId="67F42E2D" w14:textId="77777777" w:rsidR="00B94540" w:rsidRPr="00092ED7" w:rsidRDefault="00B94540" w:rsidP="00B94540">
            <w:pPr>
              <w:spacing w:after="0"/>
              <w:ind w:right="227"/>
              <w:jc w:val="right"/>
              <w:rPr>
                <w:rFonts w:cstheme="minorHAnsi"/>
                <w:sz w:val="20"/>
                <w:szCs w:val="20"/>
                <w:lang w:val="sr-Cyrl-CS"/>
              </w:rPr>
            </w:pPr>
            <w:r w:rsidRPr="00092ED7">
              <w:rPr>
                <w:sz w:val="20"/>
                <w:szCs w:val="20"/>
                <w:lang w:val="sr-Cyrl-CS"/>
              </w:rPr>
              <w:t>15,3</w:t>
            </w:r>
          </w:p>
        </w:tc>
        <w:tc>
          <w:tcPr>
            <w:tcW w:w="634" w:type="pct"/>
            <w:shd w:val="clear" w:color="auto" w:fill="auto"/>
            <w:hideMark/>
          </w:tcPr>
          <w:p w14:paraId="1D9C6C63" w14:textId="77777777" w:rsidR="00B94540" w:rsidRPr="00092ED7" w:rsidRDefault="00B94540" w:rsidP="00B94540">
            <w:pPr>
              <w:spacing w:after="0"/>
              <w:ind w:right="284"/>
              <w:jc w:val="right"/>
              <w:rPr>
                <w:rFonts w:cstheme="minorHAnsi"/>
                <w:sz w:val="20"/>
                <w:szCs w:val="20"/>
                <w:lang w:val="sr-Cyrl-CS"/>
              </w:rPr>
            </w:pPr>
            <w:r w:rsidRPr="00092ED7">
              <w:rPr>
                <w:sz w:val="20"/>
                <w:szCs w:val="20"/>
                <w:lang w:val="sr-Cyrl-CS"/>
              </w:rPr>
              <w:t>2,3</w:t>
            </w:r>
          </w:p>
        </w:tc>
        <w:tc>
          <w:tcPr>
            <w:tcW w:w="631" w:type="pct"/>
            <w:shd w:val="clear" w:color="auto" w:fill="auto"/>
            <w:noWrap/>
            <w:hideMark/>
          </w:tcPr>
          <w:p w14:paraId="14F6C4FE" w14:textId="77777777" w:rsidR="00B94540" w:rsidRPr="00092ED7" w:rsidRDefault="00B94540" w:rsidP="00B94540">
            <w:pPr>
              <w:spacing w:after="0"/>
              <w:ind w:right="284"/>
              <w:jc w:val="right"/>
              <w:rPr>
                <w:rFonts w:cstheme="minorHAnsi"/>
                <w:sz w:val="20"/>
                <w:szCs w:val="20"/>
                <w:lang w:val="sr-Cyrl-CS"/>
              </w:rPr>
            </w:pPr>
            <w:r w:rsidRPr="00092ED7">
              <w:rPr>
                <w:sz w:val="20"/>
                <w:szCs w:val="20"/>
                <w:lang w:val="sr-Cyrl-CS"/>
              </w:rPr>
              <w:t>9,7</w:t>
            </w:r>
          </w:p>
        </w:tc>
      </w:tr>
      <w:tr w:rsidR="00B94540" w:rsidRPr="00092ED7" w14:paraId="58EFC13D" w14:textId="77777777" w:rsidTr="00B94540">
        <w:trPr>
          <w:trHeight w:val="223"/>
          <w:jc w:val="center"/>
        </w:trPr>
        <w:tc>
          <w:tcPr>
            <w:tcW w:w="1202" w:type="pct"/>
            <w:shd w:val="clear" w:color="auto" w:fill="auto"/>
            <w:noWrap/>
            <w:vAlign w:val="center"/>
            <w:hideMark/>
          </w:tcPr>
          <w:p w14:paraId="6A028440" w14:textId="77777777" w:rsidR="00B94540" w:rsidRPr="00092ED7" w:rsidRDefault="00B94540" w:rsidP="00B94540">
            <w:pPr>
              <w:spacing w:after="0"/>
              <w:jc w:val="left"/>
              <w:rPr>
                <w:rFonts w:eastAsia="MS PGothic" w:cstheme="minorHAnsi"/>
                <w:sz w:val="20"/>
                <w:szCs w:val="20"/>
                <w:lang w:val="sr-Cyrl-CS" w:eastAsia="ja-JP"/>
              </w:rPr>
            </w:pPr>
            <w:r w:rsidRPr="00092ED7">
              <w:rPr>
                <w:rFonts w:eastAsia="MS PGothic" w:cstheme="minorHAnsi"/>
                <w:sz w:val="20"/>
                <w:szCs w:val="20"/>
                <w:lang w:val="sr-Cyrl-CS" w:eastAsia="ja-JP"/>
              </w:rPr>
              <w:t>Куповина робе и услуга</w:t>
            </w:r>
          </w:p>
        </w:tc>
        <w:tc>
          <w:tcPr>
            <w:tcW w:w="633" w:type="pct"/>
            <w:shd w:val="clear" w:color="auto" w:fill="auto"/>
            <w:hideMark/>
          </w:tcPr>
          <w:p w14:paraId="7D987D96" w14:textId="77777777" w:rsidR="00B94540" w:rsidRPr="00092ED7" w:rsidRDefault="00B94540" w:rsidP="00B94540">
            <w:pPr>
              <w:spacing w:after="0"/>
              <w:ind w:right="170"/>
              <w:jc w:val="right"/>
              <w:rPr>
                <w:rFonts w:cstheme="minorHAnsi"/>
                <w:sz w:val="20"/>
                <w:szCs w:val="20"/>
                <w:lang w:val="sr-Cyrl-CS"/>
              </w:rPr>
            </w:pPr>
            <w:r w:rsidRPr="00092ED7">
              <w:rPr>
                <w:sz w:val="20"/>
                <w:szCs w:val="20"/>
                <w:lang w:val="sr-Cyrl-CS"/>
              </w:rPr>
              <w:t>511,2</w:t>
            </w:r>
          </w:p>
        </w:tc>
        <w:tc>
          <w:tcPr>
            <w:tcW w:w="633" w:type="pct"/>
          </w:tcPr>
          <w:p w14:paraId="5E16EABC" w14:textId="77777777" w:rsidR="00B94540" w:rsidRPr="00092ED7" w:rsidRDefault="00B94540" w:rsidP="00B94540">
            <w:pPr>
              <w:spacing w:after="0"/>
              <w:ind w:right="170"/>
              <w:jc w:val="right"/>
              <w:rPr>
                <w:sz w:val="20"/>
                <w:szCs w:val="20"/>
                <w:lang w:val="sr-Cyrl-CS"/>
              </w:rPr>
            </w:pPr>
            <w:r w:rsidRPr="00092ED7">
              <w:rPr>
                <w:sz w:val="20"/>
                <w:szCs w:val="20"/>
                <w:lang w:val="sr-Cyrl-CS"/>
              </w:rPr>
              <w:t>529,9</w:t>
            </w:r>
          </w:p>
        </w:tc>
        <w:tc>
          <w:tcPr>
            <w:tcW w:w="634" w:type="pct"/>
            <w:shd w:val="clear" w:color="auto" w:fill="auto"/>
            <w:noWrap/>
            <w:hideMark/>
          </w:tcPr>
          <w:p w14:paraId="30382941" w14:textId="77777777" w:rsidR="00B94540" w:rsidRPr="00092ED7" w:rsidRDefault="00B94540" w:rsidP="00B94540">
            <w:pPr>
              <w:spacing w:after="0"/>
              <w:ind w:right="170"/>
              <w:jc w:val="right"/>
              <w:rPr>
                <w:rFonts w:cstheme="minorHAnsi"/>
                <w:sz w:val="20"/>
                <w:szCs w:val="20"/>
                <w:lang w:val="sr-Cyrl-CS"/>
              </w:rPr>
            </w:pPr>
            <w:r w:rsidRPr="00092ED7">
              <w:rPr>
                <w:sz w:val="20"/>
                <w:szCs w:val="20"/>
                <w:lang w:val="sr-Cyrl-CS"/>
              </w:rPr>
              <w:t>549,0</w:t>
            </w:r>
          </w:p>
        </w:tc>
        <w:tc>
          <w:tcPr>
            <w:tcW w:w="634" w:type="pct"/>
            <w:shd w:val="clear" w:color="auto" w:fill="auto"/>
            <w:hideMark/>
          </w:tcPr>
          <w:p w14:paraId="75937F39" w14:textId="77777777" w:rsidR="00B94540" w:rsidRPr="00092ED7" w:rsidRDefault="00B94540" w:rsidP="00B94540">
            <w:pPr>
              <w:spacing w:after="0"/>
              <w:ind w:right="227"/>
              <w:jc w:val="right"/>
              <w:rPr>
                <w:rFonts w:cstheme="minorHAnsi"/>
                <w:sz w:val="20"/>
                <w:szCs w:val="20"/>
                <w:lang w:val="sr-Cyrl-CS"/>
              </w:rPr>
            </w:pPr>
            <w:r w:rsidRPr="00092ED7">
              <w:rPr>
                <w:sz w:val="20"/>
                <w:szCs w:val="20"/>
                <w:lang w:val="sr-Cyrl-CS"/>
              </w:rPr>
              <w:t>37,8</w:t>
            </w:r>
          </w:p>
        </w:tc>
        <w:tc>
          <w:tcPr>
            <w:tcW w:w="634" w:type="pct"/>
            <w:shd w:val="clear" w:color="auto" w:fill="auto"/>
            <w:hideMark/>
          </w:tcPr>
          <w:p w14:paraId="36849B07" w14:textId="77777777" w:rsidR="00B94540" w:rsidRPr="00092ED7" w:rsidRDefault="00B94540" w:rsidP="00B94540">
            <w:pPr>
              <w:spacing w:after="0"/>
              <w:ind w:right="284"/>
              <w:jc w:val="right"/>
              <w:rPr>
                <w:rFonts w:cstheme="minorHAnsi"/>
                <w:sz w:val="20"/>
                <w:szCs w:val="20"/>
                <w:lang w:val="sr-Cyrl-CS"/>
              </w:rPr>
            </w:pPr>
            <w:r w:rsidRPr="00092ED7">
              <w:rPr>
                <w:sz w:val="20"/>
                <w:szCs w:val="20"/>
                <w:lang w:val="sr-Cyrl-CS"/>
              </w:rPr>
              <w:t>7,4</w:t>
            </w:r>
          </w:p>
        </w:tc>
        <w:tc>
          <w:tcPr>
            <w:tcW w:w="631" w:type="pct"/>
            <w:shd w:val="clear" w:color="auto" w:fill="auto"/>
            <w:noWrap/>
            <w:hideMark/>
          </w:tcPr>
          <w:p w14:paraId="183C35FC" w14:textId="77777777" w:rsidR="00B94540" w:rsidRPr="00092ED7" w:rsidRDefault="00B94540" w:rsidP="00B94540">
            <w:pPr>
              <w:spacing w:after="0"/>
              <w:ind w:right="284"/>
              <w:jc w:val="right"/>
              <w:rPr>
                <w:rFonts w:cstheme="minorHAnsi"/>
                <w:sz w:val="20"/>
                <w:szCs w:val="20"/>
                <w:lang w:val="sr-Cyrl-CS"/>
              </w:rPr>
            </w:pPr>
            <w:r w:rsidRPr="00092ED7">
              <w:rPr>
                <w:sz w:val="20"/>
                <w:szCs w:val="20"/>
                <w:lang w:val="sr-Cyrl-CS"/>
              </w:rPr>
              <w:t>7,8</w:t>
            </w:r>
          </w:p>
        </w:tc>
      </w:tr>
      <w:tr w:rsidR="00B94540" w:rsidRPr="00092ED7" w14:paraId="4095F45F" w14:textId="77777777" w:rsidTr="00B94540">
        <w:trPr>
          <w:trHeight w:val="223"/>
          <w:jc w:val="center"/>
        </w:trPr>
        <w:tc>
          <w:tcPr>
            <w:tcW w:w="1202" w:type="pct"/>
            <w:shd w:val="clear" w:color="auto" w:fill="auto"/>
            <w:noWrap/>
            <w:vAlign w:val="center"/>
            <w:hideMark/>
          </w:tcPr>
          <w:p w14:paraId="00D51FF3" w14:textId="77777777" w:rsidR="00B94540" w:rsidRPr="00092ED7" w:rsidRDefault="00B94540" w:rsidP="00B94540">
            <w:pPr>
              <w:spacing w:after="0"/>
              <w:jc w:val="left"/>
              <w:rPr>
                <w:rFonts w:eastAsia="MS PGothic" w:cstheme="minorHAnsi"/>
                <w:sz w:val="20"/>
                <w:szCs w:val="20"/>
                <w:lang w:val="sr-Cyrl-CS" w:eastAsia="ja-JP"/>
              </w:rPr>
            </w:pPr>
            <w:r w:rsidRPr="00092ED7">
              <w:rPr>
                <w:rFonts w:eastAsia="MS PGothic" w:cstheme="minorHAnsi"/>
                <w:sz w:val="20"/>
                <w:szCs w:val="20"/>
                <w:lang w:val="sr-Cyrl-CS" w:eastAsia="ja-JP"/>
              </w:rPr>
              <w:t>Отплата камата</w:t>
            </w:r>
          </w:p>
        </w:tc>
        <w:tc>
          <w:tcPr>
            <w:tcW w:w="633" w:type="pct"/>
            <w:shd w:val="clear" w:color="auto" w:fill="auto"/>
            <w:hideMark/>
          </w:tcPr>
          <w:p w14:paraId="0B375824" w14:textId="77777777" w:rsidR="00B94540" w:rsidRPr="00092ED7" w:rsidRDefault="00B94540" w:rsidP="00B94540">
            <w:pPr>
              <w:spacing w:after="0"/>
              <w:ind w:right="170"/>
              <w:jc w:val="right"/>
              <w:rPr>
                <w:rFonts w:cstheme="minorHAnsi"/>
                <w:sz w:val="20"/>
                <w:szCs w:val="20"/>
                <w:lang w:val="sr-Cyrl-CS"/>
              </w:rPr>
            </w:pPr>
            <w:r w:rsidRPr="00092ED7">
              <w:rPr>
                <w:sz w:val="20"/>
                <w:szCs w:val="20"/>
                <w:lang w:val="sr-Cyrl-CS"/>
              </w:rPr>
              <w:t>118,6</w:t>
            </w:r>
          </w:p>
        </w:tc>
        <w:tc>
          <w:tcPr>
            <w:tcW w:w="633" w:type="pct"/>
          </w:tcPr>
          <w:p w14:paraId="653D0CA8" w14:textId="77777777" w:rsidR="00B94540" w:rsidRPr="00092ED7" w:rsidRDefault="00B94540" w:rsidP="00B94540">
            <w:pPr>
              <w:spacing w:after="0"/>
              <w:ind w:right="170"/>
              <w:jc w:val="right"/>
              <w:rPr>
                <w:sz w:val="20"/>
                <w:szCs w:val="20"/>
                <w:lang w:val="sr-Cyrl-CS"/>
              </w:rPr>
            </w:pPr>
            <w:r w:rsidRPr="00092ED7">
              <w:rPr>
                <w:sz w:val="20"/>
                <w:szCs w:val="20"/>
                <w:lang w:val="sr-Cyrl-CS"/>
              </w:rPr>
              <w:t>118,6</w:t>
            </w:r>
          </w:p>
        </w:tc>
        <w:tc>
          <w:tcPr>
            <w:tcW w:w="634" w:type="pct"/>
            <w:shd w:val="clear" w:color="auto" w:fill="auto"/>
            <w:noWrap/>
            <w:hideMark/>
          </w:tcPr>
          <w:p w14:paraId="721B7B7B" w14:textId="77777777" w:rsidR="00B94540" w:rsidRPr="00092ED7" w:rsidRDefault="00B94540" w:rsidP="00B94540">
            <w:pPr>
              <w:spacing w:after="0"/>
              <w:ind w:right="170"/>
              <w:jc w:val="right"/>
              <w:rPr>
                <w:rFonts w:cstheme="minorHAnsi"/>
                <w:sz w:val="20"/>
                <w:szCs w:val="20"/>
                <w:lang w:val="sr-Cyrl-CS"/>
              </w:rPr>
            </w:pPr>
            <w:r w:rsidRPr="00092ED7">
              <w:rPr>
                <w:sz w:val="20"/>
                <w:szCs w:val="20"/>
                <w:lang w:val="sr-Cyrl-CS"/>
              </w:rPr>
              <w:t>115,5</w:t>
            </w:r>
          </w:p>
        </w:tc>
        <w:tc>
          <w:tcPr>
            <w:tcW w:w="634" w:type="pct"/>
            <w:shd w:val="clear" w:color="auto" w:fill="auto"/>
            <w:hideMark/>
          </w:tcPr>
          <w:p w14:paraId="235D1C2A" w14:textId="77777777" w:rsidR="00B94540" w:rsidRPr="00092ED7" w:rsidRDefault="00B94540" w:rsidP="00B94540">
            <w:pPr>
              <w:spacing w:after="0"/>
              <w:ind w:right="227"/>
              <w:jc w:val="right"/>
              <w:rPr>
                <w:rFonts w:cstheme="minorHAnsi"/>
                <w:sz w:val="20"/>
                <w:szCs w:val="20"/>
                <w:lang w:val="sr-Cyrl-CS"/>
              </w:rPr>
            </w:pPr>
            <w:r w:rsidRPr="00092ED7">
              <w:rPr>
                <w:sz w:val="20"/>
                <w:szCs w:val="20"/>
                <w:lang w:val="sr-Cyrl-CS"/>
              </w:rPr>
              <w:t>-3,1</w:t>
            </w:r>
          </w:p>
        </w:tc>
        <w:tc>
          <w:tcPr>
            <w:tcW w:w="634" w:type="pct"/>
            <w:shd w:val="clear" w:color="auto" w:fill="auto"/>
            <w:hideMark/>
          </w:tcPr>
          <w:p w14:paraId="460E421C" w14:textId="77777777" w:rsidR="00B94540" w:rsidRPr="00092ED7" w:rsidRDefault="00B94540" w:rsidP="00B94540">
            <w:pPr>
              <w:spacing w:after="0"/>
              <w:ind w:right="284"/>
              <w:jc w:val="right"/>
              <w:rPr>
                <w:rFonts w:cstheme="minorHAnsi"/>
                <w:sz w:val="20"/>
                <w:szCs w:val="20"/>
                <w:lang w:val="sr-Cyrl-CS"/>
              </w:rPr>
            </w:pPr>
            <w:r w:rsidRPr="00092ED7">
              <w:rPr>
                <w:sz w:val="20"/>
                <w:szCs w:val="20"/>
                <w:lang w:val="sr-Cyrl-CS"/>
              </w:rPr>
              <w:t>-2,6</w:t>
            </w:r>
          </w:p>
        </w:tc>
        <w:tc>
          <w:tcPr>
            <w:tcW w:w="631" w:type="pct"/>
            <w:shd w:val="clear" w:color="auto" w:fill="auto"/>
            <w:noWrap/>
            <w:hideMark/>
          </w:tcPr>
          <w:p w14:paraId="2C0B179F" w14:textId="77777777" w:rsidR="00B94540" w:rsidRPr="00092ED7" w:rsidRDefault="00B94540" w:rsidP="00B94540">
            <w:pPr>
              <w:spacing w:after="0"/>
              <w:ind w:right="284"/>
              <w:jc w:val="right"/>
              <w:rPr>
                <w:rFonts w:cstheme="minorHAnsi"/>
                <w:sz w:val="20"/>
                <w:szCs w:val="20"/>
                <w:lang w:val="sr-Cyrl-CS"/>
              </w:rPr>
            </w:pPr>
            <w:r w:rsidRPr="00092ED7">
              <w:rPr>
                <w:sz w:val="20"/>
                <w:szCs w:val="20"/>
                <w:lang w:val="sr-Cyrl-CS"/>
              </w:rPr>
              <w:t>1,6</w:t>
            </w:r>
          </w:p>
        </w:tc>
      </w:tr>
      <w:tr w:rsidR="00B94540" w:rsidRPr="00092ED7" w14:paraId="227C4E79" w14:textId="77777777" w:rsidTr="00B94540">
        <w:trPr>
          <w:trHeight w:val="223"/>
          <w:jc w:val="center"/>
        </w:trPr>
        <w:tc>
          <w:tcPr>
            <w:tcW w:w="1202" w:type="pct"/>
            <w:shd w:val="clear" w:color="auto" w:fill="auto"/>
            <w:noWrap/>
            <w:vAlign w:val="center"/>
            <w:hideMark/>
          </w:tcPr>
          <w:p w14:paraId="53CCB089" w14:textId="77777777" w:rsidR="00B94540" w:rsidRPr="00092ED7" w:rsidRDefault="00B94540" w:rsidP="00B94540">
            <w:pPr>
              <w:spacing w:after="0"/>
              <w:jc w:val="left"/>
              <w:rPr>
                <w:rFonts w:eastAsia="MS PGothic" w:cstheme="minorHAnsi"/>
                <w:sz w:val="20"/>
                <w:szCs w:val="20"/>
                <w:lang w:val="sr-Cyrl-CS" w:eastAsia="ja-JP"/>
              </w:rPr>
            </w:pPr>
            <w:r w:rsidRPr="00092ED7">
              <w:rPr>
                <w:rFonts w:eastAsia="MS PGothic" w:cstheme="minorHAnsi"/>
                <w:sz w:val="20"/>
                <w:szCs w:val="20"/>
                <w:lang w:val="sr-Cyrl-CS" w:eastAsia="ja-JP"/>
              </w:rPr>
              <w:t>Субвенције</w:t>
            </w:r>
          </w:p>
        </w:tc>
        <w:tc>
          <w:tcPr>
            <w:tcW w:w="633" w:type="pct"/>
            <w:shd w:val="clear" w:color="auto" w:fill="auto"/>
            <w:hideMark/>
          </w:tcPr>
          <w:p w14:paraId="6E9D514E" w14:textId="77777777" w:rsidR="00B94540" w:rsidRPr="00092ED7" w:rsidRDefault="00B94540" w:rsidP="00B94540">
            <w:pPr>
              <w:spacing w:after="0"/>
              <w:ind w:right="170"/>
              <w:jc w:val="right"/>
              <w:rPr>
                <w:rFonts w:cstheme="minorHAnsi"/>
                <w:sz w:val="20"/>
                <w:szCs w:val="20"/>
                <w:lang w:val="sr-Cyrl-CS"/>
              </w:rPr>
            </w:pPr>
            <w:r w:rsidRPr="00092ED7">
              <w:rPr>
                <w:sz w:val="20"/>
                <w:szCs w:val="20"/>
                <w:lang w:val="sr-Cyrl-CS"/>
              </w:rPr>
              <w:t>165,6</w:t>
            </w:r>
          </w:p>
        </w:tc>
        <w:tc>
          <w:tcPr>
            <w:tcW w:w="633" w:type="pct"/>
          </w:tcPr>
          <w:p w14:paraId="24451FDD" w14:textId="77777777" w:rsidR="00B94540" w:rsidRPr="00092ED7" w:rsidRDefault="00B94540" w:rsidP="00B94540">
            <w:pPr>
              <w:spacing w:after="0"/>
              <w:ind w:right="170"/>
              <w:jc w:val="right"/>
              <w:rPr>
                <w:sz w:val="20"/>
                <w:szCs w:val="20"/>
                <w:lang w:val="sr-Cyrl-CS"/>
              </w:rPr>
            </w:pPr>
            <w:r w:rsidRPr="00092ED7">
              <w:rPr>
                <w:sz w:val="20"/>
                <w:szCs w:val="20"/>
                <w:lang w:val="sr-Cyrl-CS"/>
              </w:rPr>
              <w:t>166,9</w:t>
            </w:r>
          </w:p>
        </w:tc>
        <w:tc>
          <w:tcPr>
            <w:tcW w:w="634" w:type="pct"/>
            <w:shd w:val="clear" w:color="auto" w:fill="auto"/>
            <w:noWrap/>
            <w:hideMark/>
          </w:tcPr>
          <w:p w14:paraId="0AE424F3" w14:textId="77777777" w:rsidR="00B94540" w:rsidRPr="00092ED7" w:rsidRDefault="00B94540" w:rsidP="00B94540">
            <w:pPr>
              <w:spacing w:after="0"/>
              <w:ind w:right="170"/>
              <w:jc w:val="right"/>
              <w:rPr>
                <w:rFonts w:cstheme="minorHAnsi"/>
                <w:sz w:val="20"/>
                <w:szCs w:val="20"/>
                <w:lang w:val="sr-Cyrl-CS"/>
              </w:rPr>
            </w:pPr>
            <w:r w:rsidRPr="00092ED7">
              <w:rPr>
                <w:sz w:val="20"/>
                <w:szCs w:val="20"/>
                <w:lang w:val="sr-Cyrl-CS"/>
              </w:rPr>
              <w:t>183,4</w:t>
            </w:r>
          </w:p>
        </w:tc>
        <w:tc>
          <w:tcPr>
            <w:tcW w:w="634" w:type="pct"/>
            <w:shd w:val="clear" w:color="auto" w:fill="auto"/>
            <w:hideMark/>
          </w:tcPr>
          <w:p w14:paraId="6D6A3293" w14:textId="77777777" w:rsidR="00B94540" w:rsidRPr="00092ED7" w:rsidRDefault="00B94540" w:rsidP="00B94540">
            <w:pPr>
              <w:spacing w:after="0"/>
              <w:ind w:right="227"/>
              <w:jc w:val="right"/>
              <w:rPr>
                <w:rFonts w:cstheme="minorHAnsi"/>
                <w:sz w:val="20"/>
                <w:szCs w:val="20"/>
                <w:lang w:val="sr-Cyrl-CS"/>
              </w:rPr>
            </w:pPr>
            <w:r w:rsidRPr="00092ED7">
              <w:rPr>
                <w:sz w:val="20"/>
                <w:szCs w:val="20"/>
                <w:lang w:val="sr-Cyrl-CS"/>
              </w:rPr>
              <w:t>17,8</w:t>
            </w:r>
          </w:p>
        </w:tc>
        <w:tc>
          <w:tcPr>
            <w:tcW w:w="634" w:type="pct"/>
            <w:shd w:val="clear" w:color="auto" w:fill="auto"/>
            <w:hideMark/>
          </w:tcPr>
          <w:p w14:paraId="1E23295D" w14:textId="77777777" w:rsidR="00B94540" w:rsidRPr="00092ED7" w:rsidRDefault="00B94540" w:rsidP="00B94540">
            <w:pPr>
              <w:spacing w:after="0"/>
              <w:ind w:right="284"/>
              <w:jc w:val="right"/>
              <w:rPr>
                <w:rFonts w:cstheme="minorHAnsi"/>
                <w:sz w:val="20"/>
                <w:szCs w:val="20"/>
                <w:lang w:val="sr-Cyrl-CS"/>
              </w:rPr>
            </w:pPr>
            <w:r w:rsidRPr="00092ED7">
              <w:rPr>
                <w:sz w:val="20"/>
                <w:szCs w:val="20"/>
                <w:lang w:val="sr-Cyrl-CS"/>
              </w:rPr>
              <w:t>10,7</w:t>
            </w:r>
          </w:p>
        </w:tc>
        <w:tc>
          <w:tcPr>
            <w:tcW w:w="631" w:type="pct"/>
            <w:shd w:val="clear" w:color="auto" w:fill="auto"/>
            <w:noWrap/>
            <w:hideMark/>
          </w:tcPr>
          <w:p w14:paraId="45F6A748" w14:textId="77777777" w:rsidR="00B94540" w:rsidRPr="00092ED7" w:rsidRDefault="00B94540" w:rsidP="00B94540">
            <w:pPr>
              <w:spacing w:after="0"/>
              <w:ind w:right="284"/>
              <w:jc w:val="right"/>
              <w:rPr>
                <w:rFonts w:cstheme="minorHAnsi"/>
                <w:sz w:val="20"/>
                <w:szCs w:val="20"/>
                <w:lang w:val="sr-Cyrl-CS"/>
              </w:rPr>
            </w:pPr>
            <w:r w:rsidRPr="00092ED7">
              <w:rPr>
                <w:sz w:val="20"/>
                <w:szCs w:val="20"/>
                <w:lang w:val="sr-Cyrl-CS"/>
              </w:rPr>
              <w:t>2,6</w:t>
            </w:r>
          </w:p>
        </w:tc>
      </w:tr>
      <w:tr w:rsidR="00B94540" w:rsidRPr="00092ED7" w14:paraId="2DFC5249" w14:textId="77777777" w:rsidTr="00B94540">
        <w:trPr>
          <w:trHeight w:val="223"/>
          <w:jc w:val="center"/>
        </w:trPr>
        <w:tc>
          <w:tcPr>
            <w:tcW w:w="1202" w:type="pct"/>
            <w:shd w:val="clear" w:color="auto" w:fill="auto"/>
            <w:noWrap/>
            <w:vAlign w:val="center"/>
            <w:hideMark/>
          </w:tcPr>
          <w:p w14:paraId="15DB3F37" w14:textId="77777777" w:rsidR="00B94540" w:rsidRPr="00092ED7" w:rsidRDefault="00B94540" w:rsidP="00B94540">
            <w:pPr>
              <w:spacing w:after="0"/>
              <w:jc w:val="left"/>
              <w:rPr>
                <w:rFonts w:eastAsia="MS PGothic" w:cstheme="minorHAnsi"/>
                <w:sz w:val="20"/>
                <w:szCs w:val="20"/>
                <w:lang w:val="sr-Cyrl-CS" w:eastAsia="ja-JP"/>
              </w:rPr>
            </w:pPr>
            <w:r w:rsidRPr="00092ED7">
              <w:rPr>
                <w:rFonts w:eastAsia="MS PGothic" w:cstheme="minorHAnsi"/>
                <w:sz w:val="20"/>
                <w:szCs w:val="20"/>
                <w:lang w:val="sr-Cyrl-CS" w:eastAsia="ja-JP"/>
              </w:rPr>
              <w:t>Социјална помоћ и трансфери</w:t>
            </w:r>
          </w:p>
        </w:tc>
        <w:tc>
          <w:tcPr>
            <w:tcW w:w="633" w:type="pct"/>
            <w:shd w:val="clear" w:color="auto" w:fill="auto"/>
            <w:hideMark/>
          </w:tcPr>
          <w:p w14:paraId="1714F0DB" w14:textId="77777777" w:rsidR="00B94540" w:rsidRPr="00092ED7" w:rsidRDefault="00B94540" w:rsidP="00B94540">
            <w:pPr>
              <w:spacing w:after="0"/>
              <w:ind w:right="170"/>
              <w:jc w:val="right"/>
              <w:rPr>
                <w:rFonts w:cstheme="minorHAnsi"/>
                <w:sz w:val="20"/>
                <w:szCs w:val="20"/>
                <w:lang w:val="sr-Cyrl-CS"/>
              </w:rPr>
            </w:pPr>
            <w:r w:rsidRPr="00092ED7">
              <w:rPr>
                <w:sz w:val="20"/>
                <w:szCs w:val="20"/>
                <w:lang w:val="sr-Cyrl-CS"/>
              </w:rPr>
              <w:t>914,7</w:t>
            </w:r>
          </w:p>
        </w:tc>
        <w:tc>
          <w:tcPr>
            <w:tcW w:w="633" w:type="pct"/>
          </w:tcPr>
          <w:p w14:paraId="1968CD2A" w14:textId="77777777" w:rsidR="00B94540" w:rsidRPr="00092ED7" w:rsidRDefault="00B94540" w:rsidP="00B94540">
            <w:pPr>
              <w:spacing w:after="0"/>
              <w:ind w:right="170"/>
              <w:jc w:val="right"/>
              <w:rPr>
                <w:sz w:val="20"/>
                <w:szCs w:val="20"/>
                <w:lang w:val="sr-Cyrl-CS"/>
              </w:rPr>
            </w:pPr>
            <w:r w:rsidRPr="00092ED7">
              <w:rPr>
                <w:sz w:val="20"/>
                <w:szCs w:val="20"/>
                <w:lang w:val="sr-Cyrl-CS"/>
              </w:rPr>
              <w:t>916,1</w:t>
            </w:r>
          </w:p>
        </w:tc>
        <w:tc>
          <w:tcPr>
            <w:tcW w:w="634" w:type="pct"/>
            <w:shd w:val="clear" w:color="auto" w:fill="auto"/>
            <w:noWrap/>
            <w:hideMark/>
          </w:tcPr>
          <w:p w14:paraId="6493824C" w14:textId="77777777" w:rsidR="00B94540" w:rsidRPr="00092ED7" w:rsidRDefault="00B94540" w:rsidP="00B94540">
            <w:pPr>
              <w:spacing w:after="0"/>
              <w:ind w:right="170"/>
              <w:jc w:val="right"/>
              <w:rPr>
                <w:rFonts w:cstheme="minorHAnsi"/>
                <w:sz w:val="20"/>
                <w:szCs w:val="20"/>
                <w:lang w:val="sr-Cyrl-CS"/>
              </w:rPr>
            </w:pPr>
            <w:r w:rsidRPr="00092ED7">
              <w:rPr>
                <w:sz w:val="20"/>
                <w:szCs w:val="20"/>
                <w:lang w:val="sr-Cyrl-CS"/>
              </w:rPr>
              <w:t>922,0</w:t>
            </w:r>
          </w:p>
        </w:tc>
        <w:tc>
          <w:tcPr>
            <w:tcW w:w="634" w:type="pct"/>
            <w:shd w:val="clear" w:color="auto" w:fill="auto"/>
            <w:hideMark/>
          </w:tcPr>
          <w:p w14:paraId="09FA86BD" w14:textId="77777777" w:rsidR="00B94540" w:rsidRPr="00092ED7" w:rsidRDefault="00B94540" w:rsidP="00B94540">
            <w:pPr>
              <w:spacing w:after="0"/>
              <w:ind w:right="227"/>
              <w:jc w:val="right"/>
              <w:rPr>
                <w:rFonts w:cstheme="minorHAnsi"/>
                <w:sz w:val="20"/>
                <w:szCs w:val="20"/>
                <w:lang w:val="sr-Cyrl-CS"/>
              </w:rPr>
            </w:pPr>
            <w:r w:rsidRPr="00092ED7">
              <w:rPr>
                <w:sz w:val="20"/>
                <w:szCs w:val="20"/>
                <w:lang w:val="sr-Cyrl-CS"/>
              </w:rPr>
              <w:t>7,3</w:t>
            </w:r>
          </w:p>
        </w:tc>
        <w:tc>
          <w:tcPr>
            <w:tcW w:w="634" w:type="pct"/>
            <w:shd w:val="clear" w:color="auto" w:fill="auto"/>
            <w:hideMark/>
          </w:tcPr>
          <w:p w14:paraId="6B0FAE10" w14:textId="77777777" w:rsidR="00B94540" w:rsidRPr="00092ED7" w:rsidRDefault="00B94540" w:rsidP="00B94540">
            <w:pPr>
              <w:spacing w:after="0"/>
              <w:ind w:right="284"/>
              <w:jc w:val="right"/>
              <w:rPr>
                <w:rFonts w:cstheme="minorHAnsi"/>
                <w:sz w:val="20"/>
                <w:szCs w:val="20"/>
                <w:lang w:val="sr-Cyrl-CS"/>
              </w:rPr>
            </w:pPr>
            <w:r w:rsidRPr="00092ED7">
              <w:rPr>
                <w:sz w:val="20"/>
                <w:szCs w:val="20"/>
                <w:lang w:val="sr-Cyrl-CS"/>
              </w:rPr>
              <w:t>0,8</w:t>
            </w:r>
          </w:p>
        </w:tc>
        <w:tc>
          <w:tcPr>
            <w:tcW w:w="631" w:type="pct"/>
            <w:shd w:val="clear" w:color="auto" w:fill="auto"/>
            <w:noWrap/>
            <w:hideMark/>
          </w:tcPr>
          <w:p w14:paraId="53959EDC" w14:textId="77777777" w:rsidR="00B94540" w:rsidRPr="00092ED7" w:rsidRDefault="00B94540" w:rsidP="00B94540">
            <w:pPr>
              <w:spacing w:after="0"/>
              <w:ind w:right="284"/>
              <w:jc w:val="right"/>
              <w:rPr>
                <w:rFonts w:cstheme="minorHAnsi"/>
                <w:sz w:val="20"/>
                <w:szCs w:val="20"/>
                <w:lang w:val="sr-Cyrl-CS"/>
              </w:rPr>
            </w:pPr>
            <w:r w:rsidRPr="00092ED7">
              <w:rPr>
                <w:sz w:val="20"/>
                <w:szCs w:val="20"/>
                <w:lang w:val="sr-Cyrl-CS"/>
              </w:rPr>
              <w:t>13,0</w:t>
            </w:r>
          </w:p>
        </w:tc>
      </w:tr>
      <w:tr w:rsidR="00B94540" w:rsidRPr="00092ED7" w14:paraId="4A89DC96" w14:textId="77777777" w:rsidTr="00B94540">
        <w:trPr>
          <w:trHeight w:val="223"/>
          <w:jc w:val="center"/>
        </w:trPr>
        <w:tc>
          <w:tcPr>
            <w:tcW w:w="1202" w:type="pct"/>
            <w:shd w:val="clear" w:color="auto" w:fill="auto"/>
            <w:noWrap/>
            <w:vAlign w:val="center"/>
            <w:hideMark/>
          </w:tcPr>
          <w:p w14:paraId="43ED97BB" w14:textId="77777777" w:rsidR="00B94540" w:rsidRPr="00092ED7" w:rsidRDefault="00B94540" w:rsidP="00B94540">
            <w:pPr>
              <w:spacing w:after="0"/>
              <w:jc w:val="left"/>
              <w:rPr>
                <w:rFonts w:eastAsia="MS PGothic" w:cstheme="minorHAnsi"/>
                <w:sz w:val="20"/>
                <w:szCs w:val="20"/>
                <w:lang w:val="sr-Cyrl-CS" w:eastAsia="ja-JP"/>
              </w:rPr>
            </w:pPr>
            <w:r w:rsidRPr="00092ED7">
              <w:rPr>
                <w:rFonts w:eastAsia="MS PGothic" w:cstheme="minorHAnsi"/>
                <w:sz w:val="20"/>
                <w:szCs w:val="20"/>
                <w:lang w:val="sr-Cyrl-CS" w:eastAsia="ja-JP"/>
              </w:rPr>
              <w:t>од чега пензије</w:t>
            </w:r>
          </w:p>
        </w:tc>
        <w:tc>
          <w:tcPr>
            <w:tcW w:w="633" w:type="pct"/>
            <w:shd w:val="clear" w:color="auto" w:fill="auto"/>
            <w:hideMark/>
          </w:tcPr>
          <w:p w14:paraId="0CE2B947" w14:textId="77777777" w:rsidR="00B94540" w:rsidRPr="00092ED7" w:rsidRDefault="00B94540" w:rsidP="00B94540">
            <w:pPr>
              <w:spacing w:after="0"/>
              <w:ind w:right="170"/>
              <w:jc w:val="right"/>
              <w:rPr>
                <w:rFonts w:cstheme="minorHAnsi"/>
                <w:sz w:val="20"/>
                <w:szCs w:val="20"/>
                <w:lang w:val="sr-Cyrl-CS"/>
              </w:rPr>
            </w:pPr>
            <w:r w:rsidRPr="00092ED7">
              <w:rPr>
                <w:sz w:val="20"/>
                <w:szCs w:val="20"/>
                <w:lang w:val="sr-Cyrl-CS"/>
              </w:rPr>
              <w:t>645,7</w:t>
            </w:r>
          </w:p>
        </w:tc>
        <w:tc>
          <w:tcPr>
            <w:tcW w:w="633" w:type="pct"/>
          </w:tcPr>
          <w:p w14:paraId="70EA922F" w14:textId="77777777" w:rsidR="00B94540" w:rsidRPr="00092ED7" w:rsidRDefault="00B94540" w:rsidP="00B94540">
            <w:pPr>
              <w:spacing w:after="0"/>
              <w:ind w:right="170"/>
              <w:jc w:val="right"/>
              <w:rPr>
                <w:sz w:val="20"/>
                <w:szCs w:val="20"/>
                <w:lang w:val="sr-Cyrl-CS"/>
              </w:rPr>
            </w:pPr>
            <w:r w:rsidRPr="00092ED7">
              <w:rPr>
                <w:sz w:val="20"/>
                <w:szCs w:val="20"/>
                <w:lang w:val="sr-Cyrl-CS"/>
              </w:rPr>
              <w:t>636,1</w:t>
            </w:r>
          </w:p>
        </w:tc>
        <w:tc>
          <w:tcPr>
            <w:tcW w:w="634" w:type="pct"/>
            <w:shd w:val="clear" w:color="auto" w:fill="auto"/>
            <w:noWrap/>
            <w:hideMark/>
          </w:tcPr>
          <w:p w14:paraId="71F71A85" w14:textId="77777777" w:rsidR="00B94540" w:rsidRPr="00092ED7" w:rsidRDefault="00B94540" w:rsidP="00B94540">
            <w:pPr>
              <w:spacing w:after="0"/>
              <w:ind w:right="170"/>
              <w:jc w:val="right"/>
              <w:rPr>
                <w:rFonts w:cstheme="minorHAnsi"/>
                <w:sz w:val="20"/>
                <w:szCs w:val="20"/>
                <w:lang w:val="sr-Cyrl-CS"/>
              </w:rPr>
            </w:pPr>
            <w:r w:rsidRPr="00092ED7">
              <w:rPr>
                <w:sz w:val="20"/>
                <w:szCs w:val="20"/>
                <w:lang w:val="sr-Cyrl-CS"/>
              </w:rPr>
              <w:t>638,6</w:t>
            </w:r>
          </w:p>
        </w:tc>
        <w:tc>
          <w:tcPr>
            <w:tcW w:w="634" w:type="pct"/>
            <w:shd w:val="clear" w:color="auto" w:fill="auto"/>
            <w:hideMark/>
          </w:tcPr>
          <w:p w14:paraId="2FC14D7D" w14:textId="77777777" w:rsidR="00B94540" w:rsidRPr="00092ED7" w:rsidRDefault="00B94540" w:rsidP="00B94540">
            <w:pPr>
              <w:spacing w:after="0"/>
              <w:ind w:right="227"/>
              <w:jc w:val="right"/>
              <w:rPr>
                <w:rFonts w:cstheme="minorHAnsi"/>
                <w:sz w:val="20"/>
                <w:szCs w:val="20"/>
                <w:lang w:val="sr-Cyrl-CS"/>
              </w:rPr>
            </w:pPr>
            <w:r w:rsidRPr="00092ED7">
              <w:rPr>
                <w:sz w:val="20"/>
                <w:szCs w:val="20"/>
                <w:lang w:val="sr-Cyrl-CS"/>
              </w:rPr>
              <w:t>-7,1</w:t>
            </w:r>
          </w:p>
        </w:tc>
        <w:tc>
          <w:tcPr>
            <w:tcW w:w="634" w:type="pct"/>
            <w:shd w:val="clear" w:color="auto" w:fill="auto"/>
            <w:hideMark/>
          </w:tcPr>
          <w:p w14:paraId="25C680EA" w14:textId="77777777" w:rsidR="00B94540" w:rsidRPr="00092ED7" w:rsidRDefault="00B94540" w:rsidP="00B94540">
            <w:pPr>
              <w:spacing w:after="0"/>
              <w:ind w:right="284"/>
              <w:jc w:val="right"/>
              <w:rPr>
                <w:rFonts w:cstheme="minorHAnsi"/>
                <w:sz w:val="20"/>
                <w:szCs w:val="20"/>
                <w:lang w:val="sr-Cyrl-CS"/>
              </w:rPr>
            </w:pPr>
            <w:r w:rsidRPr="00092ED7">
              <w:rPr>
                <w:sz w:val="20"/>
                <w:szCs w:val="20"/>
                <w:lang w:val="sr-Cyrl-CS"/>
              </w:rPr>
              <w:t>-1,1</w:t>
            </w:r>
          </w:p>
        </w:tc>
        <w:tc>
          <w:tcPr>
            <w:tcW w:w="631" w:type="pct"/>
            <w:shd w:val="clear" w:color="auto" w:fill="auto"/>
            <w:noWrap/>
            <w:hideMark/>
          </w:tcPr>
          <w:p w14:paraId="4B4C55F1" w14:textId="77777777" w:rsidR="00B94540" w:rsidRPr="00092ED7" w:rsidRDefault="00B94540" w:rsidP="00B94540">
            <w:pPr>
              <w:spacing w:after="0"/>
              <w:ind w:right="284"/>
              <w:jc w:val="right"/>
              <w:rPr>
                <w:rFonts w:cstheme="minorHAnsi"/>
                <w:sz w:val="20"/>
                <w:szCs w:val="20"/>
                <w:lang w:val="sr-Cyrl-CS"/>
              </w:rPr>
            </w:pPr>
            <w:r w:rsidRPr="00092ED7">
              <w:rPr>
                <w:sz w:val="20"/>
                <w:szCs w:val="20"/>
                <w:lang w:val="sr-Cyrl-CS"/>
              </w:rPr>
              <w:t>9,0</w:t>
            </w:r>
          </w:p>
        </w:tc>
      </w:tr>
      <w:tr w:rsidR="00B94540" w:rsidRPr="00092ED7" w14:paraId="4BD8F85D" w14:textId="77777777" w:rsidTr="00B94540">
        <w:trPr>
          <w:trHeight w:val="223"/>
          <w:jc w:val="center"/>
        </w:trPr>
        <w:tc>
          <w:tcPr>
            <w:tcW w:w="1202" w:type="pct"/>
            <w:shd w:val="clear" w:color="auto" w:fill="auto"/>
            <w:noWrap/>
            <w:vAlign w:val="center"/>
            <w:hideMark/>
          </w:tcPr>
          <w:p w14:paraId="25E03EC2" w14:textId="77777777" w:rsidR="00B94540" w:rsidRPr="00092ED7" w:rsidRDefault="00B94540" w:rsidP="00B94540">
            <w:pPr>
              <w:spacing w:after="0"/>
              <w:jc w:val="left"/>
              <w:rPr>
                <w:rFonts w:eastAsia="MS PGothic" w:cstheme="minorHAnsi"/>
                <w:sz w:val="20"/>
                <w:szCs w:val="20"/>
                <w:lang w:val="sr-Cyrl-CS" w:eastAsia="ja-JP"/>
              </w:rPr>
            </w:pPr>
            <w:r w:rsidRPr="00092ED7">
              <w:rPr>
                <w:rFonts w:eastAsia="MS PGothic" w:cstheme="minorHAnsi"/>
                <w:sz w:val="20"/>
                <w:szCs w:val="20"/>
                <w:lang w:val="sr-Cyrl-CS" w:eastAsia="ja-JP"/>
              </w:rPr>
              <w:t>Остали текући расходи</w:t>
            </w:r>
          </w:p>
        </w:tc>
        <w:tc>
          <w:tcPr>
            <w:tcW w:w="633" w:type="pct"/>
            <w:shd w:val="clear" w:color="auto" w:fill="auto"/>
            <w:hideMark/>
          </w:tcPr>
          <w:p w14:paraId="26D47145" w14:textId="77777777" w:rsidR="00B94540" w:rsidRPr="00092ED7" w:rsidRDefault="00B94540" w:rsidP="00B94540">
            <w:pPr>
              <w:spacing w:after="0"/>
              <w:ind w:right="170"/>
              <w:jc w:val="right"/>
              <w:rPr>
                <w:rFonts w:cstheme="minorHAnsi"/>
                <w:sz w:val="20"/>
                <w:szCs w:val="20"/>
                <w:lang w:val="sr-Cyrl-CS"/>
              </w:rPr>
            </w:pPr>
            <w:r w:rsidRPr="00092ED7">
              <w:rPr>
                <w:sz w:val="20"/>
                <w:szCs w:val="20"/>
                <w:lang w:val="sr-Cyrl-CS"/>
              </w:rPr>
              <w:t>106,7</w:t>
            </w:r>
          </w:p>
        </w:tc>
        <w:tc>
          <w:tcPr>
            <w:tcW w:w="633" w:type="pct"/>
          </w:tcPr>
          <w:p w14:paraId="3F0A20E9" w14:textId="77777777" w:rsidR="00B94540" w:rsidRPr="00092ED7" w:rsidRDefault="00B94540" w:rsidP="00B94540">
            <w:pPr>
              <w:spacing w:after="0"/>
              <w:ind w:right="170"/>
              <w:jc w:val="right"/>
              <w:rPr>
                <w:sz w:val="20"/>
                <w:szCs w:val="20"/>
                <w:lang w:val="sr-Cyrl-CS"/>
              </w:rPr>
            </w:pPr>
            <w:r w:rsidRPr="00092ED7">
              <w:rPr>
                <w:sz w:val="20"/>
                <w:szCs w:val="20"/>
                <w:lang w:val="sr-Cyrl-CS"/>
              </w:rPr>
              <w:t>150,4</w:t>
            </w:r>
          </w:p>
        </w:tc>
        <w:tc>
          <w:tcPr>
            <w:tcW w:w="634" w:type="pct"/>
            <w:shd w:val="clear" w:color="auto" w:fill="auto"/>
            <w:noWrap/>
            <w:hideMark/>
          </w:tcPr>
          <w:p w14:paraId="029D5102" w14:textId="77777777" w:rsidR="00B94540" w:rsidRPr="00092ED7" w:rsidRDefault="00B94540" w:rsidP="00B94540">
            <w:pPr>
              <w:spacing w:after="0"/>
              <w:ind w:right="170"/>
              <w:jc w:val="right"/>
              <w:rPr>
                <w:rFonts w:cstheme="minorHAnsi"/>
                <w:sz w:val="20"/>
                <w:szCs w:val="20"/>
                <w:lang w:val="sr-Cyrl-CS"/>
              </w:rPr>
            </w:pPr>
            <w:r w:rsidRPr="00092ED7">
              <w:rPr>
                <w:sz w:val="20"/>
                <w:szCs w:val="20"/>
                <w:lang w:val="sr-Cyrl-CS"/>
              </w:rPr>
              <w:t>162,5</w:t>
            </w:r>
          </w:p>
        </w:tc>
        <w:tc>
          <w:tcPr>
            <w:tcW w:w="634" w:type="pct"/>
            <w:shd w:val="clear" w:color="auto" w:fill="auto"/>
            <w:hideMark/>
          </w:tcPr>
          <w:p w14:paraId="68395C57" w14:textId="77777777" w:rsidR="00B94540" w:rsidRPr="00092ED7" w:rsidRDefault="00B94540" w:rsidP="00B94540">
            <w:pPr>
              <w:spacing w:after="0"/>
              <w:ind w:right="227"/>
              <w:jc w:val="right"/>
              <w:rPr>
                <w:rFonts w:cstheme="minorHAnsi"/>
                <w:sz w:val="20"/>
                <w:szCs w:val="20"/>
                <w:lang w:val="sr-Cyrl-CS"/>
              </w:rPr>
            </w:pPr>
            <w:r w:rsidRPr="00092ED7">
              <w:rPr>
                <w:sz w:val="20"/>
                <w:szCs w:val="20"/>
                <w:lang w:val="sr-Cyrl-CS"/>
              </w:rPr>
              <w:t>55,8</w:t>
            </w:r>
          </w:p>
        </w:tc>
        <w:tc>
          <w:tcPr>
            <w:tcW w:w="634" w:type="pct"/>
            <w:shd w:val="clear" w:color="auto" w:fill="auto"/>
            <w:hideMark/>
          </w:tcPr>
          <w:p w14:paraId="7B9872A9" w14:textId="77777777" w:rsidR="00B94540" w:rsidRPr="00092ED7" w:rsidRDefault="00B94540" w:rsidP="00B94540">
            <w:pPr>
              <w:spacing w:after="0"/>
              <w:ind w:right="284"/>
              <w:jc w:val="right"/>
              <w:rPr>
                <w:rFonts w:cstheme="minorHAnsi"/>
                <w:sz w:val="20"/>
                <w:szCs w:val="20"/>
                <w:lang w:val="sr-Cyrl-CS"/>
              </w:rPr>
            </w:pPr>
            <w:r w:rsidRPr="00092ED7">
              <w:rPr>
                <w:sz w:val="20"/>
                <w:szCs w:val="20"/>
                <w:lang w:val="sr-Cyrl-CS"/>
              </w:rPr>
              <w:t>52,3</w:t>
            </w:r>
          </w:p>
        </w:tc>
        <w:tc>
          <w:tcPr>
            <w:tcW w:w="631" w:type="pct"/>
            <w:shd w:val="clear" w:color="auto" w:fill="auto"/>
            <w:noWrap/>
            <w:hideMark/>
          </w:tcPr>
          <w:p w14:paraId="2273B44F" w14:textId="77777777" w:rsidR="00B94540" w:rsidRPr="00092ED7" w:rsidRDefault="00B94540" w:rsidP="00B94540">
            <w:pPr>
              <w:spacing w:after="0"/>
              <w:ind w:right="284"/>
              <w:jc w:val="right"/>
              <w:rPr>
                <w:rFonts w:cstheme="minorHAnsi"/>
                <w:sz w:val="20"/>
                <w:szCs w:val="20"/>
                <w:lang w:val="sr-Cyrl-CS"/>
              </w:rPr>
            </w:pPr>
            <w:r w:rsidRPr="00092ED7">
              <w:rPr>
                <w:sz w:val="20"/>
                <w:szCs w:val="20"/>
                <w:lang w:val="sr-Cyrl-CS"/>
              </w:rPr>
              <w:t>2,3</w:t>
            </w:r>
          </w:p>
        </w:tc>
      </w:tr>
      <w:tr w:rsidR="00B94540" w:rsidRPr="00092ED7" w14:paraId="4E005553" w14:textId="77777777" w:rsidTr="00B94540">
        <w:trPr>
          <w:trHeight w:val="223"/>
          <w:jc w:val="center"/>
        </w:trPr>
        <w:tc>
          <w:tcPr>
            <w:tcW w:w="1202" w:type="pct"/>
            <w:shd w:val="clear" w:color="auto" w:fill="auto"/>
            <w:noWrap/>
            <w:vAlign w:val="center"/>
            <w:hideMark/>
          </w:tcPr>
          <w:p w14:paraId="5DBCF46E" w14:textId="77777777" w:rsidR="00B94540" w:rsidRPr="00092ED7" w:rsidRDefault="00B94540" w:rsidP="00B94540">
            <w:pPr>
              <w:spacing w:after="0"/>
              <w:jc w:val="left"/>
              <w:rPr>
                <w:rFonts w:eastAsia="MS PGothic" w:cstheme="minorHAnsi"/>
                <w:sz w:val="20"/>
                <w:szCs w:val="20"/>
                <w:lang w:val="sr-Cyrl-CS" w:eastAsia="ja-JP"/>
              </w:rPr>
            </w:pPr>
            <w:r w:rsidRPr="00092ED7">
              <w:rPr>
                <w:rFonts w:eastAsia="MS PGothic" w:cstheme="minorHAnsi"/>
                <w:sz w:val="20"/>
                <w:szCs w:val="20"/>
                <w:lang w:val="sr-Cyrl-CS" w:eastAsia="ja-JP"/>
              </w:rPr>
              <w:t>Капитални расходи</w:t>
            </w:r>
          </w:p>
        </w:tc>
        <w:tc>
          <w:tcPr>
            <w:tcW w:w="633" w:type="pct"/>
            <w:shd w:val="clear" w:color="auto" w:fill="auto"/>
            <w:hideMark/>
          </w:tcPr>
          <w:p w14:paraId="34FA0856" w14:textId="77777777" w:rsidR="00B94540" w:rsidRPr="00092ED7" w:rsidRDefault="00B94540" w:rsidP="00B94540">
            <w:pPr>
              <w:spacing w:after="0"/>
              <w:ind w:right="170"/>
              <w:jc w:val="right"/>
              <w:rPr>
                <w:rFonts w:cstheme="minorHAnsi"/>
                <w:sz w:val="20"/>
                <w:szCs w:val="20"/>
                <w:lang w:val="sr-Cyrl-CS"/>
              </w:rPr>
            </w:pPr>
            <w:r w:rsidRPr="00092ED7">
              <w:rPr>
                <w:sz w:val="20"/>
                <w:szCs w:val="20"/>
                <w:lang w:val="sr-Cyrl-CS"/>
              </w:rPr>
              <w:t>485,8</w:t>
            </w:r>
          </w:p>
        </w:tc>
        <w:tc>
          <w:tcPr>
            <w:tcW w:w="633" w:type="pct"/>
          </w:tcPr>
          <w:p w14:paraId="771EA60D" w14:textId="77777777" w:rsidR="00B94540" w:rsidRPr="00092ED7" w:rsidRDefault="00B94540" w:rsidP="00B94540">
            <w:pPr>
              <w:spacing w:after="0"/>
              <w:ind w:right="170"/>
              <w:jc w:val="right"/>
              <w:rPr>
                <w:sz w:val="20"/>
                <w:szCs w:val="20"/>
                <w:lang w:val="sr-Cyrl-CS"/>
              </w:rPr>
            </w:pPr>
            <w:r w:rsidRPr="00092ED7">
              <w:rPr>
                <w:sz w:val="20"/>
                <w:szCs w:val="20"/>
                <w:lang w:val="sr-Cyrl-CS"/>
              </w:rPr>
              <w:t>496,8</w:t>
            </w:r>
          </w:p>
        </w:tc>
        <w:tc>
          <w:tcPr>
            <w:tcW w:w="634" w:type="pct"/>
            <w:shd w:val="clear" w:color="auto" w:fill="auto"/>
            <w:noWrap/>
            <w:hideMark/>
          </w:tcPr>
          <w:p w14:paraId="6DD5469E" w14:textId="77777777" w:rsidR="00B94540" w:rsidRPr="00092ED7" w:rsidRDefault="00B94540" w:rsidP="00B94540">
            <w:pPr>
              <w:spacing w:after="0"/>
              <w:ind w:right="170"/>
              <w:jc w:val="right"/>
              <w:rPr>
                <w:rFonts w:cstheme="minorHAnsi"/>
                <w:sz w:val="20"/>
                <w:szCs w:val="20"/>
                <w:lang w:val="sr-Cyrl-CS"/>
              </w:rPr>
            </w:pPr>
            <w:r w:rsidRPr="00092ED7">
              <w:rPr>
                <w:sz w:val="20"/>
                <w:szCs w:val="20"/>
                <w:lang w:val="sr-Cyrl-CS"/>
              </w:rPr>
              <w:t>519,3</w:t>
            </w:r>
          </w:p>
        </w:tc>
        <w:tc>
          <w:tcPr>
            <w:tcW w:w="634" w:type="pct"/>
            <w:shd w:val="clear" w:color="auto" w:fill="auto"/>
            <w:hideMark/>
          </w:tcPr>
          <w:p w14:paraId="2A030C04" w14:textId="77777777" w:rsidR="00B94540" w:rsidRPr="00092ED7" w:rsidRDefault="00B94540" w:rsidP="00B94540">
            <w:pPr>
              <w:spacing w:after="0"/>
              <w:ind w:right="227"/>
              <w:jc w:val="right"/>
              <w:rPr>
                <w:rFonts w:cstheme="minorHAnsi"/>
                <w:sz w:val="20"/>
                <w:szCs w:val="20"/>
                <w:lang w:val="sr-Cyrl-CS"/>
              </w:rPr>
            </w:pPr>
            <w:r w:rsidRPr="00092ED7">
              <w:rPr>
                <w:sz w:val="20"/>
                <w:szCs w:val="20"/>
                <w:lang w:val="sr-Cyrl-CS"/>
              </w:rPr>
              <w:t>33,5</w:t>
            </w:r>
          </w:p>
        </w:tc>
        <w:tc>
          <w:tcPr>
            <w:tcW w:w="634" w:type="pct"/>
            <w:shd w:val="clear" w:color="auto" w:fill="auto"/>
            <w:hideMark/>
          </w:tcPr>
          <w:p w14:paraId="51F0CF97" w14:textId="77777777" w:rsidR="00B94540" w:rsidRPr="00092ED7" w:rsidRDefault="00B94540" w:rsidP="00B94540">
            <w:pPr>
              <w:spacing w:after="0"/>
              <w:ind w:right="284"/>
              <w:jc w:val="right"/>
              <w:rPr>
                <w:rFonts w:cstheme="minorHAnsi"/>
                <w:sz w:val="20"/>
                <w:szCs w:val="20"/>
                <w:lang w:val="sr-Cyrl-CS"/>
              </w:rPr>
            </w:pPr>
            <w:r w:rsidRPr="00092ED7">
              <w:rPr>
                <w:sz w:val="20"/>
                <w:szCs w:val="20"/>
                <w:lang w:val="sr-Cyrl-CS"/>
              </w:rPr>
              <w:t>6,9</w:t>
            </w:r>
          </w:p>
        </w:tc>
        <w:tc>
          <w:tcPr>
            <w:tcW w:w="631" w:type="pct"/>
            <w:shd w:val="clear" w:color="auto" w:fill="auto"/>
            <w:noWrap/>
            <w:hideMark/>
          </w:tcPr>
          <w:p w14:paraId="1E58C167" w14:textId="77777777" w:rsidR="00B94540" w:rsidRPr="00092ED7" w:rsidRDefault="00B94540" w:rsidP="00B94540">
            <w:pPr>
              <w:spacing w:after="0"/>
              <w:ind w:right="284"/>
              <w:jc w:val="right"/>
              <w:rPr>
                <w:rFonts w:cstheme="minorHAnsi"/>
                <w:sz w:val="20"/>
                <w:szCs w:val="20"/>
                <w:lang w:val="sr-Cyrl-CS"/>
              </w:rPr>
            </w:pPr>
            <w:r w:rsidRPr="00092ED7">
              <w:rPr>
                <w:sz w:val="20"/>
                <w:szCs w:val="20"/>
                <w:lang w:val="sr-Cyrl-CS"/>
              </w:rPr>
              <w:t>7,3</w:t>
            </w:r>
          </w:p>
        </w:tc>
      </w:tr>
      <w:tr w:rsidR="00B94540" w:rsidRPr="00092ED7" w14:paraId="23E82888" w14:textId="77777777" w:rsidTr="00B94540">
        <w:trPr>
          <w:trHeight w:val="223"/>
          <w:jc w:val="center"/>
        </w:trPr>
        <w:tc>
          <w:tcPr>
            <w:tcW w:w="1202" w:type="pct"/>
            <w:shd w:val="clear" w:color="auto" w:fill="auto"/>
            <w:noWrap/>
            <w:vAlign w:val="center"/>
            <w:hideMark/>
          </w:tcPr>
          <w:p w14:paraId="7DD620DF" w14:textId="77777777" w:rsidR="00B94540" w:rsidRPr="00092ED7" w:rsidRDefault="00B94540" w:rsidP="00B94540">
            <w:pPr>
              <w:spacing w:after="0"/>
              <w:jc w:val="left"/>
              <w:rPr>
                <w:rFonts w:eastAsia="MS PGothic" w:cstheme="minorHAnsi"/>
                <w:sz w:val="20"/>
                <w:szCs w:val="20"/>
                <w:lang w:val="sr-Cyrl-CS" w:eastAsia="ja-JP"/>
              </w:rPr>
            </w:pPr>
            <w:r w:rsidRPr="00092ED7">
              <w:rPr>
                <w:rFonts w:eastAsia="MS PGothic" w:cstheme="minorHAnsi"/>
                <w:sz w:val="20"/>
                <w:szCs w:val="20"/>
                <w:lang w:val="sr-Cyrl-CS" w:eastAsia="ja-JP"/>
              </w:rPr>
              <w:t>Нето буџетске позајмице</w:t>
            </w:r>
          </w:p>
        </w:tc>
        <w:tc>
          <w:tcPr>
            <w:tcW w:w="633" w:type="pct"/>
            <w:shd w:val="clear" w:color="auto" w:fill="auto"/>
            <w:hideMark/>
          </w:tcPr>
          <w:p w14:paraId="1AB81568" w14:textId="77777777" w:rsidR="00B94540" w:rsidRPr="00092ED7" w:rsidRDefault="00B94540" w:rsidP="00B94540">
            <w:pPr>
              <w:spacing w:after="0"/>
              <w:ind w:right="170"/>
              <w:jc w:val="right"/>
              <w:rPr>
                <w:rFonts w:cstheme="minorHAnsi"/>
                <w:sz w:val="20"/>
                <w:szCs w:val="20"/>
                <w:lang w:val="sr-Cyrl-CS"/>
              </w:rPr>
            </w:pPr>
            <w:r w:rsidRPr="00092ED7">
              <w:rPr>
                <w:sz w:val="20"/>
                <w:szCs w:val="20"/>
                <w:lang w:val="sr-Cyrl-CS"/>
              </w:rPr>
              <w:t>13,4</w:t>
            </w:r>
          </w:p>
        </w:tc>
        <w:tc>
          <w:tcPr>
            <w:tcW w:w="633" w:type="pct"/>
          </w:tcPr>
          <w:p w14:paraId="2319FD24" w14:textId="77777777" w:rsidR="00B94540" w:rsidRPr="00092ED7" w:rsidRDefault="00B94540" w:rsidP="00B94540">
            <w:pPr>
              <w:spacing w:after="0"/>
              <w:ind w:right="170"/>
              <w:jc w:val="right"/>
              <w:rPr>
                <w:sz w:val="20"/>
                <w:szCs w:val="20"/>
                <w:lang w:val="sr-Cyrl-CS"/>
              </w:rPr>
            </w:pPr>
            <w:r w:rsidRPr="00092ED7">
              <w:rPr>
                <w:sz w:val="20"/>
                <w:szCs w:val="20"/>
                <w:lang w:val="sr-Cyrl-CS"/>
              </w:rPr>
              <w:t>38,9</w:t>
            </w:r>
          </w:p>
        </w:tc>
        <w:tc>
          <w:tcPr>
            <w:tcW w:w="634" w:type="pct"/>
            <w:shd w:val="clear" w:color="auto" w:fill="auto"/>
            <w:noWrap/>
            <w:hideMark/>
          </w:tcPr>
          <w:p w14:paraId="3711170F" w14:textId="77777777" w:rsidR="00B94540" w:rsidRPr="00092ED7" w:rsidRDefault="00B94540" w:rsidP="00B94540">
            <w:pPr>
              <w:spacing w:after="0"/>
              <w:ind w:right="170"/>
              <w:jc w:val="right"/>
              <w:rPr>
                <w:rFonts w:cstheme="minorHAnsi"/>
                <w:sz w:val="20"/>
                <w:szCs w:val="20"/>
                <w:lang w:val="sr-Cyrl-CS"/>
              </w:rPr>
            </w:pPr>
            <w:r w:rsidRPr="00092ED7">
              <w:rPr>
                <w:sz w:val="20"/>
                <w:szCs w:val="20"/>
                <w:lang w:val="sr-Cyrl-CS"/>
              </w:rPr>
              <w:t>153,4</w:t>
            </w:r>
          </w:p>
        </w:tc>
        <w:tc>
          <w:tcPr>
            <w:tcW w:w="634" w:type="pct"/>
            <w:shd w:val="clear" w:color="auto" w:fill="auto"/>
            <w:hideMark/>
          </w:tcPr>
          <w:p w14:paraId="25AE7125" w14:textId="77777777" w:rsidR="00B94540" w:rsidRPr="00092ED7" w:rsidRDefault="00B94540" w:rsidP="00B94540">
            <w:pPr>
              <w:spacing w:after="0"/>
              <w:ind w:right="227"/>
              <w:jc w:val="right"/>
              <w:rPr>
                <w:rFonts w:cstheme="minorHAnsi"/>
                <w:sz w:val="20"/>
                <w:szCs w:val="20"/>
                <w:lang w:val="sr-Cyrl-CS"/>
              </w:rPr>
            </w:pPr>
            <w:r w:rsidRPr="00092ED7">
              <w:rPr>
                <w:sz w:val="20"/>
                <w:szCs w:val="20"/>
                <w:lang w:val="sr-Cyrl-CS"/>
              </w:rPr>
              <w:t>140,0</w:t>
            </w:r>
          </w:p>
        </w:tc>
        <w:tc>
          <w:tcPr>
            <w:tcW w:w="634" w:type="pct"/>
            <w:shd w:val="clear" w:color="auto" w:fill="auto"/>
            <w:hideMark/>
          </w:tcPr>
          <w:p w14:paraId="303751FD" w14:textId="77777777" w:rsidR="00B94540" w:rsidRPr="00092ED7" w:rsidRDefault="00B94540" w:rsidP="00B94540">
            <w:pPr>
              <w:spacing w:after="0"/>
              <w:ind w:right="284"/>
              <w:jc w:val="right"/>
              <w:rPr>
                <w:rFonts w:cstheme="minorHAnsi"/>
                <w:sz w:val="20"/>
                <w:szCs w:val="20"/>
                <w:lang w:val="sr-Cyrl-CS"/>
              </w:rPr>
            </w:pPr>
            <w:r w:rsidRPr="00092ED7">
              <w:rPr>
                <w:sz w:val="20"/>
                <w:szCs w:val="20"/>
                <w:lang w:val="sr-Cyrl-CS"/>
              </w:rPr>
              <w:t>1.044,8</w:t>
            </w:r>
          </w:p>
        </w:tc>
        <w:tc>
          <w:tcPr>
            <w:tcW w:w="631" w:type="pct"/>
            <w:shd w:val="clear" w:color="auto" w:fill="auto"/>
            <w:noWrap/>
            <w:hideMark/>
          </w:tcPr>
          <w:p w14:paraId="55511D91" w14:textId="77777777" w:rsidR="00B94540" w:rsidRPr="00092ED7" w:rsidRDefault="00B94540" w:rsidP="00B94540">
            <w:pPr>
              <w:spacing w:after="0"/>
              <w:ind w:right="284"/>
              <w:jc w:val="right"/>
              <w:rPr>
                <w:rFonts w:cstheme="minorHAnsi"/>
                <w:sz w:val="20"/>
                <w:szCs w:val="20"/>
                <w:lang w:val="sr-Cyrl-CS"/>
              </w:rPr>
            </w:pPr>
            <w:r w:rsidRPr="00092ED7">
              <w:rPr>
                <w:sz w:val="20"/>
                <w:szCs w:val="20"/>
                <w:lang w:val="sr-Cyrl-CS"/>
              </w:rPr>
              <w:t>2,2</w:t>
            </w:r>
          </w:p>
        </w:tc>
      </w:tr>
      <w:tr w:rsidR="00B94540" w:rsidRPr="00092ED7" w14:paraId="066F129E" w14:textId="77777777" w:rsidTr="00B94540">
        <w:trPr>
          <w:trHeight w:val="223"/>
          <w:jc w:val="center"/>
        </w:trPr>
        <w:tc>
          <w:tcPr>
            <w:tcW w:w="1202" w:type="pct"/>
            <w:shd w:val="clear" w:color="auto" w:fill="auto"/>
            <w:noWrap/>
            <w:vAlign w:val="center"/>
            <w:hideMark/>
          </w:tcPr>
          <w:p w14:paraId="1C67AF9E" w14:textId="77777777" w:rsidR="00B94540" w:rsidRPr="00092ED7" w:rsidRDefault="00B94540" w:rsidP="00B94540">
            <w:pPr>
              <w:spacing w:after="0"/>
              <w:jc w:val="left"/>
              <w:rPr>
                <w:rFonts w:eastAsia="MS PGothic" w:cstheme="minorHAnsi"/>
                <w:sz w:val="20"/>
                <w:szCs w:val="20"/>
                <w:lang w:val="sr-Cyrl-CS" w:eastAsia="ja-JP"/>
              </w:rPr>
            </w:pPr>
            <w:r w:rsidRPr="00092ED7">
              <w:rPr>
                <w:rFonts w:eastAsia="MS PGothic" w:cstheme="minorHAnsi"/>
                <w:sz w:val="20"/>
                <w:szCs w:val="20"/>
                <w:lang w:val="sr-Cyrl-CS" w:eastAsia="ja-JP"/>
              </w:rPr>
              <w:t>Активиране гаранције</w:t>
            </w:r>
          </w:p>
        </w:tc>
        <w:tc>
          <w:tcPr>
            <w:tcW w:w="633" w:type="pct"/>
            <w:shd w:val="clear" w:color="auto" w:fill="auto"/>
            <w:hideMark/>
          </w:tcPr>
          <w:p w14:paraId="50C8FB71" w14:textId="77777777" w:rsidR="00B94540" w:rsidRPr="00092ED7" w:rsidRDefault="00B94540" w:rsidP="00B94540">
            <w:pPr>
              <w:spacing w:after="0"/>
              <w:ind w:right="170"/>
              <w:jc w:val="right"/>
              <w:rPr>
                <w:rFonts w:cstheme="minorHAnsi"/>
                <w:sz w:val="20"/>
                <w:szCs w:val="20"/>
                <w:lang w:val="sr-Cyrl-CS"/>
              </w:rPr>
            </w:pPr>
            <w:r w:rsidRPr="00092ED7">
              <w:rPr>
                <w:sz w:val="20"/>
                <w:szCs w:val="20"/>
                <w:lang w:val="sr-Cyrl-CS"/>
              </w:rPr>
              <w:t>15,2</w:t>
            </w:r>
          </w:p>
        </w:tc>
        <w:tc>
          <w:tcPr>
            <w:tcW w:w="633" w:type="pct"/>
          </w:tcPr>
          <w:p w14:paraId="4962FCFC" w14:textId="77777777" w:rsidR="00B94540" w:rsidRPr="00092ED7" w:rsidRDefault="00B94540" w:rsidP="00B94540">
            <w:pPr>
              <w:spacing w:after="0"/>
              <w:ind w:right="170"/>
              <w:jc w:val="right"/>
              <w:rPr>
                <w:sz w:val="20"/>
                <w:szCs w:val="20"/>
                <w:lang w:val="sr-Cyrl-CS"/>
              </w:rPr>
            </w:pPr>
            <w:r w:rsidRPr="00092ED7">
              <w:rPr>
                <w:sz w:val="20"/>
                <w:szCs w:val="20"/>
                <w:lang w:val="sr-Cyrl-CS"/>
              </w:rPr>
              <w:t>15,2</w:t>
            </w:r>
          </w:p>
        </w:tc>
        <w:tc>
          <w:tcPr>
            <w:tcW w:w="634" w:type="pct"/>
            <w:shd w:val="clear" w:color="auto" w:fill="auto"/>
            <w:noWrap/>
            <w:hideMark/>
          </w:tcPr>
          <w:p w14:paraId="75902EB4" w14:textId="77777777" w:rsidR="00B94540" w:rsidRPr="00092ED7" w:rsidRDefault="00B94540" w:rsidP="00B94540">
            <w:pPr>
              <w:spacing w:after="0"/>
              <w:ind w:right="170"/>
              <w:jc w:val="right"/>
              <w:rPr>
                <w:rFonts w:cstheme="minorHAnsi"/>
                <w:sz w:val="20"/>
                <w:szCs w:val="20"/>
                <w:lang w:val="sr-Cyrl-CS"/>
              </w:rPr>
            </w:pPr>
            <w:r w:rsidRPr="00092ED7">
              <w:rPr>
                <w:sz w:val="20"/>
                <w:szCs w:val="20"/>
                <w:lang w:val="sr-Cyrl-CS"/>
              </w:rPr>
              <w:t>18,2</w:t>
            </w:r>
          </w:p>
        </w:tc>
        <w:tc>
          <w:tcPr>
            <w:tcW w:w="634" w:type="pct"/>
            <w:shd w:val="clear" w:color="auto" w:fill="auto"/>
            <w:hideMark/>
          </w:tcPr>
          <w:p w14:paraId="375CA375" w14:textId="77777777" w:rsidR="00B94540" w:rsidRPr="00092ED7" w:rsidRDefault="00B94540" w:rsidP="00B94540">
            <w:pPr>
              <w:spacing w:after="0"/>
              <w:ind w:right="227"/>
              <w:jc w:val="right"/>
              <w:rPr>
                <w:rFonts w:cstheme="minorHAnsi"/>
                <w:sz w:val="20"/>
                <w:szCs w:val="20"/>
                <w:lang w:val="sr-Cyrl-CS"/>
              </w:rPr>
            </w:pPr>
            <w:r w:rsidRPr="00092ED7">
              <w:rPr>
                <w:sz w:val="20"/>
                <w:szCs w:val="20"/>
                <w:lang w:val="sr-Cyrl-CS"/>
              </w:rPr>
              <w:t>3,0</w:t>
            </w:r>
          </w:p>
        </w:tc>
        <w:tc>
          <w:tcPr>
            <w:tcW w:w="634" w:type="pct"/>
            <w:shd w:val="clear" w:color="auto" w:fill="auto"/>
            <w:hideMark/>
          </w:tcPr>
          <w:p w14:paraId="77F780EA" w14:textId="77777777" w:rsidR="00B94540" w:rsidRPr="00092ED7" w:rsidRDefault="00B94540" w:rsidP="00B94540">
            <w:pPr>
              <w:spacing w:after="0"/>
              <w:ind w:right="284"/>
              <w:jc w:val="right"/>
              <w:rPr>
                <w:rFonts w:cstheme="minorHAnsi"/>
                <w:sz w:val="20"/>
                <w:szCs w:val="20"/>
                <w:lang w:val="sr-Cyrl-CS"/>
              </w:rPr>
            </w:pPr>
            <w:r w:rsidRPr="00092ED7">
              <w:rPr>
                <w:sz w:val="20"/>
                <w:szCs w:val="20"/>
                <w:lang w:val="sr-Cyrl-CS"/>
              </w:rPr>
              <w:t>19,7</w:t>
            </w:r>
          </w:p>
        </w:tc>
        <w:tc>
          <w:tcPr>
            <w:tcW w:w="631" w:type="pct"/>
            <w:shd w:val="clear" w:color="auto" w:fill="auto"/>
            <w:noWrap/>
            <w:hideMark/>
          </w:tcPr>
          <w:p w14:paraId="6D1980CC" w14:textId="77777777" w:rsidR="00B94540" w:rsidRPr="00092ED7" w:rsidRDefault="00B94540" w:rsidP="00B94540">
            <w:pPr>
              <w:spacing w:after="0"/>
              <w:ind w:right="284"/>
              <w:jc w:val="right"/>
              <w:rPr>
                <w:rFonts w:cstheme="minorHAnsi"/>
                <w:sz w:val="20"/>
                <w:szCs w:val="20"/>
                <w:lang w:val="sr-Cyrl-CS"/>
              </w:rPr>
            </w:pPr>
            <w:r w:rsidRPr="00092ED7">
              <w:rPr>
                <w:sz w:val="20"/>
                <w:szCs w:val="20"/>
                <w:lang w:val="sr-Cyrl-CS"/>
              </w:rPr>
              <w:t>0,3</w:t>
            </w:r>
          </w:p>
        </w:tc>
      </w:tr>
      <w:tr w:rsidR="00B94540" w:rsidRPr="00092ED7" w14:paraId="7C7892A9" w14:textId="77777777" w:rsidTr="00B94540">
        <w:trPr>
          <w:trHeight w:val="223"/>
          <w:jc w:val="center"/>
        </w:trPr>
        <w:tc>
          <w:tcPr>
            <w:tcW w:w="1202" w:type="pct"/>
            <w:shd w:val="clear" w:color="auto" w:fill="E7E6E6" w:themeFill="background2"/>
            <w:noWrap/>
            <w:vAlign w:val="center"/>
            <w:hideMark/>
          </w:tcPr>
          <w:p w14:paraId="6E29D84A" w14:textId="77777777" w:rsidR="00B94540" w:rsidRPr="00092ED7" w:rsidRDefault="00B94540" w:rsidP="00B94540">
            <w:pPr>
              <w:spacing w:after="0"/>
              <w:jc w:val="left"/>
              <w:rPr>
                <w:rFonts w:cstheme="minorHAnsi"/>
                <w:sz w:val="20"/>
                <w:szCs w:val="20"/>
                <w:lang w:val="sr-Cyrl-CS"/>
              </w:rPr>
            </w:pPr>
            <w:r w:rsidRPr="00092ED7">
              <w:rPr>
                <w:rFonts w:eastAsia="MS PGothic" w:cstheme="minorHAnsi"/>
                <w:sz w:val="20"/>
                <w:szCs w:val="20"/>
                <w:lang w:val="sr-Cyrl-CS" w:eastAsia="ja-JP"/>
              </w:rPr>
              <w:t>Резултат</w:t>
            </w:r>
          </w:p>
        </w:tc>
        <w:tc>
          <w:tcPr>
            <w:tcW w:w="633" w:type="pct"/>
            <w:shd w:val="clear" w:color="auto" w:fill="E7E6E6" w:themeFill="background2"/>
            <w:hideMark/>
          </w:tcPr>
          <w:p w14:paraId="565B851E" w14:textId="77777777" w:rsidR="00B94540" w:rsidRPr="00092ED7" w:rsidRDefault="00B94540" w:rsidP="00B94540">
            <w:pPr>
              <w:spacing w:after="0"/>
              <w:ind w:right="170"/>
              <w:jc w:val="right"/>
              <w:rPr>
                <w:rFonts w:cstheme="minorHAnsi"/>
                <w:sz w:val="20"/>
                <w:szCs w:val="20"/>
                <w:lang w:val="sr-Cyrl-CS"/>
              </w:rPr>
            </w:pPr>
            <w:r w:rsidRPr="00092ED7">
              <w:rPr>
                <w:sz w:val="20"/>
                <w:szCs w:val="20"/>
                <w:lang w:val="sr-Cyrl-CS"/>
              </w:rPr>
              <w:t>-200,2</w:t>
            </w:r>
          </w:p>
        </w:tc>
        <w:tc>
          <w:tcPr>
            <w:tcW w:w="633" w:type="pct"/>
            <w:shd w:val="clear" w:color="auto" w:fill="E7E6E6" w:themeFill="background2"/>
          </w:tcPr>
          <w:p w14:paraId="100EC204" w14:textId="77777777" w:rsidR="00B94540" w:rsidRPr="00092ED7" w:rsidRDefault="00B94540" w:rsidP="00B94540">
            <w:pPr>
              <w:spacing w:after="0"/>
              <w:ind w:right="170"/>
              <w:jc w:val="right"/>
              <w:rPr>
                <w:sz w:val="20"/>
                <w:szCs w:val="20"/>
                <w:lang w:val="sr-Cyrl-CS"/>
              </w:rPr>
            </w:pPr>
            <w:r w:rsidRPr="00092ED7">
              <w:rPr>
                <w:sz w:val="20"/>
                <w:szCs w:val="20"/>
                <w:lang w:val="sr-Cyrl-CS"/>
              </w:rPr>
              <w:t>-206,7</w:t>
            </w:r>
          </w:p>
        </w:tc>
        <w:tc>
          <w:tcPr>
            <w:tcW w:w="634" w:type="pct"/>
            <w:shd w:val="clear" w:color="auto" w:fill="E7E6E6" w:themeFill="background2"/>
            <w:noWrap/>
            <w:hideMark/>
          </w:tcPr>
          <w:p w14:paraId="2135DF6F" w14:textId="77777777" w:rsidR="00B94540" w:rsidRPr="00092ED7" w:rsidRDefault="00B94540" w:rsidP="00B94540">
            <w:pPr>
              <w:spacing w:after="0"/>
              <w:ind w:right="170"/>
              <w:jc w:val="right"/>
              <w:rPr>
                <w:rFonts w:cstheme="minorHAnsi"/>
                <w:sz w:val="20"/>
                <w:szCs w:val="20"/>
                <w:lang w:val="sr-Cyrl-CS"/>
              </w:rPr>
            </w:pPr>
            <w:r w:rsidRPr="00092ED7">
              <w:rPr>
                <w:sz w:val="20"/>
                <w:szCs w:val="20"/>
                <w:lang w:val="sr-Cyrl-CS"/>
              </w:rPr>
              <w:t>-271,2</w:t>
            </w:r>
          </w:p>
        </w:tc>
        <w:tc>
          <w:tcPr>
            <w:tcW w:w="634" w:type="pct"/>
            <w:shd w:val="clear" w:color="auto" w:fill="E7E6E6" w:themeFill="background2"/>
            <w:hideMark/>
          </w:tcPr>
          <w:p w14:paraId="2AC95FD8" w14:textId="77777777" w:rsidR="00B94540" w:rsidRPr="00092ED7" w:rsidRDefault="00B94540" w:rsidP="00B94540">
            <w:pPr>
              <w:spacing w:after="0"/>
              <w:ind w:right="227"/>
              <w:jc w:val="right"/>
              <w:rPr>
                <w:rFonts w:cstheme="minorHAnsi"/>
                <w:sz w:val="20"/>
                <w:szCs w:val="20"/>
                <w:lang w:val="sr-Cyrl-CS"/>
              </w:rPr>
            </w:pPr>
            <w:r w:rsidRPr="00092ED7">
              <w:rPr>
                <w:sz w:val="20"/>
                <w:szCs w:val="20"/>
                <w:lang w:val="sr-Cyrl-CS"/>
              </w:rPr>
              <w:t>-71,0</w:t>
            </w:r>
          </w:p>
        </w:tc>
        <w:tc>
          <w:tcPr>
            <w:tcW w:w="634" w:type="pct"/>
            <w:shd w:val="clear" w:color="auto" w:fill="E7E6E6" w:themeFill="background2"/>
            <w:hideMark/>
          </w:tcPr>
          <w:p w14:paraId="0A6EB5FE" w14:textId="77777777" w:rsidR="00B94540" w:rsidRPr="00092ED7" w:rsidRDefault="00B94540" w:rsidP="00B94540">
            <w:pPr>
              <w:spacing w:after="0"/>
              <w:ind w:right="284"/>
              <w:jc w:val="right"/>
              <w:rPr>
                <w:rFonts w:cstheme="minorHAnsi"/>
                <w:sz w:val="20"/>
                <w:szCs w:val="20"/>
                <w:lang w:val="sr-Cyrl-CS"/>
              </w:rPr>
            </w:pPr>
          </w:p>
        </w:tc>
        <w:tc>
          <w:tcPr>
            <w:tcW w:w="631" w:type="pct"/>
            <w:shd w:val="clear" w:color="auto" w:fill="E7E6E6" w:themeFill="background2"/>
            <w:noWrap/>
            <w:hideMark/>
          </w:tcPr>
          <w:p w14:paraId="5448808D" w14:textId="77777777" w:rsidR="00B94540" w:rsidRPr="00092ED7" w:rsidRDefault="00B94540" w:rsidP="00B94540">
            <w:pPr>
              <w:spacing w:after="0"/>
              <w:ind w:right="284"/>
              <w:jc w:val="right"/>
              <w:rPr>
                <w:rFonts w:cstheme="minorHAnsi"/>
                <w:sz w:val="20"/>
                <w:szCs w:val="20"/>
                <w:lang w:val="sr-Cyrl-CS"/>
              </w:rPr>
            </w:pPr>
            <w:r w:rsidRPr="00092ED7">
              <w:rPr>
                <w:sz w:val="20"/>
                <w:szCs w:val="20"/>
                <w:lang w:val="sr-Cyrl-CS"/>
              </w:rPr>
              <w:t>-3,8</w:t>
            </w:r>
          </w:p>
        </w:tc>
      </w:tr>
      <w:tr w:rsidR="00B94540" w:rsidRPr="00092ED7" w14:paraId="0B992BF6" w14:textId="77777777" w:rsidTr="00B94540">
        <w:trPr>
          <w:trHeight w:val="223"/>
          <w:jc w:val="center"/>
        </w:trPr>
        <w:tc>
          <w:tcPr>
            <w:tcW w:w="1202" w:type="pct"/>
            <w:shd w:val="clear" w:color="auto" w:fill="auto"/>
            <w:noWrap/>
            <w:vAlign w:val="center"/>
            <w:hideMark/>
          </w:tcPr>
          <w:p w14:paraId="389F5DBF" w14:textId="77777777" w:rsidR="00B94540" w:rsidRPr="00092ED7" w:rsidRDefault="00B94540" w:rsidP="00B94540">
            <w:pPr>
              <w:spacing w:after="0"/>
              <w:jc w:val="left"/>
              <w:rPr>
                <w:rFonts w:cstheme="minorHAnsi"/>
                <w:sz w:val="20"/>
                <w:szCs w:val="20"/>
                <w:lang w:val="sr-Cyrl-CS"/>
              </w:rPr>
            </w:pPr>
            <w:r w:rsidRPr="00092ED7">
              <w:rPr>
                <w:rFonts w:eastAsia="MS PGothic" w:cstheme="minorHAnsi"/>
                <w:sz w:val="20"/>
                <w:szCs w:val="20"/>
                <w:lang w:val="sr-Cyrl-CS" w:eastAsia="ja-JP"/>
              </w:rPr>
              <w:t>Резултат у % БДП</w:t>
            </w:r>
          </w:p>
        </w:tc>
        <w:tc>
          <w:tcPr>
            <w:tcW w:w="633" w:type="pct"/>
            <w:shd w:val="clear" w:color="auto" w:fill="auto"/>
            <w:hideMark/>
          </w:tcPr>
          <w:p w14:paraId="54DC4812" w14:textId="77777777" w:rsidR="00B94540" w:rsidRPr="00092ED7" w:rsidRDefault="00B94540" w:rsidP="00B94540">
            <w:pPr>
              <w:spacing w:after="0"/>
              <w:ind w:right="170"/>
              <w:jc w:val="right"/>
              <w:rPr>
                <w:rFonts w:cstheme="minorHAnsi"/>
                <w:sz w:val="20"/>
                <w:szCs w:val="20"/>
                <w:lang w:val="sr-Cyrl-CS"/>
              </w:rPr>
            </w:pPr>
            <w:r w:rsidRPr="00092ED7">
              <w:rPr>
                <w:sz w:val="20"/>
                <w:szCs w:val="20"/>
                <w:lang w:val="sr-Cyrl-CS"/>
              </w:rPr>
              <w:t>-3,0</w:t>
            </w:r>
          </w:p>
        </w:tc>
        <w:tc>
          <w:tcPr>
            <w:tcW w:w="633" w:type="pct"/>
          </w:tcPr>
          <w:p w14:paraId="21C5B2A8" w14:textId="77777777" w:rsidR="00B94540" w:rsidRPr="00092ED7" w:rsidRDefault="00B94540" w:rsidP="00B94540">
            <w:pPr>
              <w:spacing w:after="0"/>
              <w:ind w:right="170"/>
              <w:jc w:val="right"/>
              <w:rPr>
                <w:sz w:val="20"/>
                <w:szCs w:val="20"/>
                <w:lang w:val="sr-Cyrl-CS"/>
              </w:rPr>
            </w:pPr>
            <w:r w:rsidRPr="00092ED7">
              <w:rPr>
                <w:sz w:val="20"/>
                <w:szCs w:val="20"/>
                <w:lang w:val="sr-Cyrl-CS"/>
              </w:rPr>
              <w:t>-3,0</w:t>
            </w:r>
          </w:p>
        </w:tc>
        <w:tc>
          <w:tcPr>
            <w:tcW w:w="634" w:type="pct"/>
            <w:shd w:val="clear" w:color="auto" w:fill="auto"/>
            <w:hideMark/>
          </w:tcPr>
          <w:p w14:paraId="3863A1E3" w14:textId="77777777" w:rsidR="00B94540" w:rsidRPr="00092ED7" w:rsidRDefault="00B94540" w:rsidP="00B94540">
            <w:pPr>
              <w:spacing w:after="0"/>
              <w:ind w:right="170"/>
              <w:jc w:val="right"/>
              <w:rPr>
                <w:rFonts w:cstheme="minorHAnsi"/>
                <w:sz w:val="20"/>
                <w:szCs w:val="20"/>
                <w:lang w:val="sr-Cyrl-CS"/>
              </w:rPr>
            </w:pPr>
            <w:r w:rsidRPr="00092ED7">
              <w:rPr>
                <w:sz w:val="20"/>
                <w:szCs w:val="20"/>
                <w:lang w:val="sr-Cyrl-CS"/>
              </w:rPr>
              <w:t>-3,8</w:t>
            </w:r>
          </w:p>
        </w:tc>
        <w:tc>
          <w:tcPr>
            <w:tcW w:w="634" w:type="pct"/>
            <w:shd w:val="clear" w:color="auto" w:fill="auto"/>
            <w:hideMark/>
          </w:tcPr>
          <w:p w14:paraId="6146468C" w14:textId="77777777" w:rsidR="00B94540" w:rsidRPr="00092ED7" w:rsidRDefault="00B94540" w:rsidP="00B94540">
            <w:pPr>
              <w:spacing w:after="0"/>
              <w:ind w:right="227"/>
              <w:jc w:val="right"/>
              <w:rPr>
                <w:rFonts w:cstheme="minorHAnsi"/>
                <w:sz w:val="20"/>
                <w:szCs w:val="20"/>
                <w:lang w:val="sr-Cyrl-CS"/>
              </w:rPr>
            </w:pPr>
            <w:r w:rsidRPr="00092ED7">
              <w:rPr>
                <w:sz w:val="20"/>
                <w:szCs w:val="20"/>
                <w:lang w:val="sr-Cyrl-CS"/>
              </w:rPr>
              <w:t>-0,8</w:t>
            </w:r>
          </w:p>
        </w:tc>
        <w:tc>
          <w:tcPr>
            <w:tcW w:w="634" w:type="pct"/>
            <w:shd w:val="clear" w:color="auto" w:fill="auto"/>
            <w:hideMark/>
          </w:tcPr>
          <w:p w14:paraId="600D54D4" w14:textId="77777777" w:rsidR="00B94540" w:rsidRPr="00092ED7" w:rsidRDefault="00B94540" w:rsidP="00B94540">
            <w:pPr>
              <w:spacing w:after="0"/>
              <w:ind w:right="284"/>
              <w:jc w:val="right"/>
              <w:rPr>
                <w:rFonts w:cstheme="minorHAnsi"/>
                <w:sz w:val="20"/>
                <w:szCs w:val="20"/>
                <w:lang w:val="sr-Cyrl-CS"/>
              </w:rPr>
            </w:pPr>
          </w:p>
        </w:tc>
        <w:tc>
          <w:tcPr>
            <w:tcW w:w="631" w:type="pct"/>
            <w:shd w:val="clear" w:color="auto" w:fill="auto"/>
            <w:hideMark/>
          </w:tcPr>
          <w:p w14:paraId="7A7C3F66" w14:textId="77777777" w:rsidR="00B94540" w:rsidRPr="00092ED7" w:rsidRDefault="00B94540" w:rsidP="00B94540">
            <w:pPr>
              <w:spacing w:after="0"/>
              <w:ind w:right="284"/>
              <w:jc w:val="right"/>
              <w:rPr>
                <w:rFonts w:cstheme="minorHAnsi"/>
                <w:sz w:val="20"/>
                <w:szCs w:val="20"/>
                <w:lang w:val="sr-Cyrl-CS"/>
              </w:rPr>
            </w:pPr>
          </w:p>
        </w:tc>
      </w:tr>
    </w:tbl>
    <w:p w14:paraId="0E38323E" w14:textId="77777777" w:rsidR="00B94540" w:rsidRPr="00092ED7" w:rsidRDefault="00B94540" w:rsidP="00B94540">
      <w:pPr>
        <w:spacing w:before="60"/>
        <w:rPr>
          <w:rFonts w:eastAsia="Calibri" w:cs="Times New Roman"/>
          <w:sz w:val="18"/>
          <w:szCs w:val="18"/>
          <w:lang w:val="sr-Cyrl-CS"/>
        </w:rPr>
      </w:pPr>
      <w:r w:rsidRPr="00092ED7">
        <w:rPr>
          <w:rFonts w:eastAsia="Calibri" w:cs="Times New Roman"/>
          <w:bCs/>
          <w:sz w:val="18"/>
          <w:szCs w:val="18"/>
          <w:lang w:val="sr-Cyrl-CS" w:eastAsia="ja-JP"/>
        </w:rPr>
        <w:t xml:space="preserve">Извор: </w:t>
      </w:r>
      <w:r w:rsidRPr="00092ED7">
        <w:rPr>
          <w:rFonts w:eastAsia="Calibri" w:cs="Times New Roman"/>
          <w:sz w:val="18"/>
          <w:szCs w:val="18"/>
          <w:lang w:val="sr-Cyrl-CS"/>
        </w:rPr>
        <w:t>Министарство финансија</w:t>
      </w:r>
    </w:p>
    <w:p w14:paraId="1CEC3F01" w14:textId="77777777" w:rsidR="00B94540" w:rsidRPr="00092ED7" w:rsidRDefault="00B94540" w:rsidP="00B94540">
      <w:pPr>
        <w:spacing w:after="60"/>
        <w:rPr>
          <w:rFonts w:eastAsia="MS PGothic" w:cs="Times New Roman"/>
          <w:szCs w:val="24"/>
          <w:lang w:val="sr-Cyrl-CS" w:eastAsia="ja-JP"/>
        </w:rPr>
      </w:pPr>
      <w:r w:rsidRPr="00092ED7">
        <w:rPr>
          <w:rFonts w:eastAsia="MS PGothic" w:cs="Times New Roman"/>
          <w:szCs w:val="24"/>
          <w:lang w:val="sr-Cyrl-CS" w:eastAsia="ja-JP"/>
        </w:rPr>
        <w:t>Најважнији фактори који су довели до измене у висини и структури прихода опште државе су:</w:t>
      </w:r>
    </w:p>
    <w:p w14:paraId="2E39D1F8" w14:textId="77777777" w:rsidR="00B94540" w:rsidRPr="00092ED7" w:rsidRDefault="00B94540" w:rsidP="00BB3B38">
      <w:pPr>
        <w:pStyle w:val="ListParagraph"/>
        <w:numPr>
          <w:ilvl w:val="0"/>
          <w:numId w:val="43"/>
        </w:numPr>
        <w:spacing w:after="0"/>
        <w:rPr>
          <w:rFonts w:cs="Times New Roman"/>
          <w:sz w:val="24"/>
          <w:szCs w:val="24"/>
          <w:lang w:val="sr-Cyrl-CS"/>
        </w:rPr>
      </w:pPr>
      <w:r w:rsidRPr="00092ED7">
        <w:rPr>
          <w:rFonts w:cs="Times New Roman"/>
          <w:sz w:val="24"/>
          <w:szCs w:val="24"/>
          <w:lang w:val="sr-Cyrl-CS"/>
        </w:rPr>
        <w:t>базни ефекат (боље остварење на крају претходне године) и остварење у периоду јануар–септембар;</w:t>
      </w:r>
    </w:p>
    <w:p w14:paraId="7B38F14E" w14:textId="77777777" w:rsidR="00B94540" w:rsidRPr="00092ED7" w:rsidRDefault="00B94540" w:rsidP="00BB3B38">
      <w:pPr>
        <w:pStyle w:val="ListParagraph"/>
        <w:numPr>
          <w:ilvl w:val="0"/>
          <w:numId w:val="43"/>
        </w:numPr>
        <w:spacing w:after="0"/>
        <w:rPr>
          <w:rFonts w:cs="Times New Roman"/>
          <w:sz w:val="24"/>
          <w:szCs w:val="24"/>
          <w:lang w:val="sr-Cyrl-CS"/>
        </w:rPr>
      </w:pPr>
      <w:r w:rsidRPr="00092ED7">
        <w:rPr>
          <w:rFonts w:cs="Times New Roman"/>
          <w:sz w:val="24"/>
          <w:szCs w:val="24"/>
          <w:lang w:val="sr-Cyrl-CS"/>
        </w:rPr>
        <w:t>опрезно планирање одређених категорија пореских прихода, пре свега пореза на додату вредност;</w:t>
      </w:r>
    </w:p>
    <w:p w14:paraId="528E31D9" w14:textId="77777777" w:rsidR="00B94540" w:rsidRPr="00092ED7" w:rsidRDefault="00B94540" w:rsidP="00BB3B38">
      <w:pPr>
        <w:pStyle w:val="ListParagraph"/>
        <w:numPr>
          <w:ilvl w:val="0"/>
          <w:numId w:val="43"/>
        </w:numPr>
        <w:spacing w:after="0"/>
        <w:rPr>
          <w:rFonts w:cs="Times New Roman"/>
          <w:sz w:val="24"/>
          <w:szCs w:val="24"/>
          <w:lang w:val="sr-Cyrl-CS"/>
        </w:rPr>
      </w:pPr>
      <w:r w:rsidRPr="00092ED7">
        <w:rPr>
          <w:rFonts w:cs="Times New Roman"/>
          <w:sz w:val="24"/>
          <w:szCs w:val="24"/>
          <w:lang w:val="sr-Cyrl-CS"/>
        </w:rPr>
        <w:t>већа потрошња одређених акцизних производа;</w:t>
      </w:r>
    </w:p>
    <w:p w14:paraId="341B3D0E" w14:textId="77777777" w:rsidR="00B94540" w:rsidRPr="00092ED7" w:rsidRDefault="00B94540" w:rsidP="00BB3B38">
      <w:pPr>
        <w:pStyle w:val="ListParagraph"/>
        <w:numPr>
          <w:ilvl w:val="0"/>
          <w:numId w:val="43"/>
        </w:numPr>
        <w:spacing w:after="0"/>
        <w:rPr>
          <w:rFonts w:cs="Times New Roman"/>
          <w:sz w:val="24"/>
          <w:szCs w:val="24"/>
          <w:lang w:val="sr-Cyrl-CS"/>
        </w:rPr>
      </w:pPr>
      <w:r w:rsidRPr="00092ED7">
        <w:rPr>
          <w:rFonts w:cs="Times New Roman"/>
          <w:sz w:val="24"/>
          <w:szCs w:val="24"/>
          <w:lang w:val="sr-Cyrl-CS"/>
        </w:rPr>
        <w:t>уплата непланираних непореских прихода као и снажан раст редовних непореских прихода (минералне сировине и игре на срећу);</w:t>
      </w:r>
    </w:p>
    <w:p w14:paraId="14021928" w14:textId="77777777" w:rsidR="00B94540" w:rsidRPr="00092ED7" w:rsidRDefault="00B94540" w:rsidP="00BB3B38">
      <w:pPr>
        <w:pStyle w:val="ListParagraph"/>
        <w:numPr>
          <w:ilvl w:val="0"/>
          <w:numId w:val="43"/>
        </w:numPr>
        <w:spacing w:after="0"/>
        <w:rPr>
          <w:rFonts w:cs="Times New Roman"/>
          <w:sz w:val="24"/>
          <w:szCs w:val="24"/>
          <w:lang w:val="sr-Cyrl-CS"/>
        </w:rPr>
      </w:pPr>
      <w:r w:rsidRPr="00092ED7">
        <w:rPr>
          <w:rFonts w:cs="Times New Roman"/>
          <w:sz w:val="24"/>
          <w:szCs w:val="24"/>
          <w:lang w:val="sr-Cyrl-CS"/>
        </w:rPr>
        <w:t>повољнија кретања на тржишту рада од предвиђених;</w:t>
      </w:r>
    </w:p>
    <w:p w14:paraId="2F8BC98E" w14:textId="77777777" w:rsidR="00B94540" w:rsidRPr="00092ED7" w:rsidRDefault="00B94540" w:rsidP="00BB3B38">
      <w:pPr>
        <w:pStyle w:val="ListParagraph"/>
        <w:numPr>
          <w:ilvl w:val="0"/>
          <w:numId w:val="43"/>
        </w:numPr>
        <w:spacing w:after="0"/>
        <w:rPr>
          <w:rFonts w:cs="Times New Roman"/>
          <w:sz w:val="24"/>
          <w:szCs w:val="24"/>
          <w:lang w:val="sr-Cyrl-CS"/>
        </w:rPr>
      </w:pPr>
      <w:r w:rsidRPr="00092ED7">
        <w:rPr>
          <w:rFonts w:cs="Times New Roman"/>
          <w:sz w:val="24"/>
          <w:szCs w:val="24"/>
          <w:lang w:val="sr-Cyrl-CS"/>
        </w:rPr>
        <w:t>позитиван утицај додатних мера помоћи становништву на личну потрошњу;</w:t>
      </w:r>
    </w:p>
    <w:p w14:paraId="20C02501" w14:textId="77777777" w:rsidR="00B94540" w:rsidRPr="00092ED7" w:rsidRDefault="00B94540" w:rsidP="00BB3B38">
      <w:pPr>
        <w:pStyle w:val="ListParagraph"/>
        <w:numPr>
          <w:ilvl w:val="0"/>
          <w:numId w:val="43"/>
        </w:numPr>
        <w:spacing w:after="0"/>
        <w:rPr>
          <w:rFonts w:cs="Times New Roman"/>
          <w:sz w:val="24"/>
          <w:szCs w:val="24"/>
          <w:lang w:val="sr-Cyrl-CS"/>
        </w:rPr>
      </w:pPr>
      <w:r w:rsidRPr="00092ED7">
        <w:rPr>
          <w:rFonts w:cs="Times New Roman"/>
          <w:sz w:val="24"/>
          <w:szCs w:val="24"/>
          <w:lang w:val="sr-Cyrl-CS"/>
        </w:rPr>
        <w:t>већи раст инфлације од предвиђеног, као и значајан раст увозних цена;</w:t>
      </w:r>
    </w:p>
    <w:p w14:paraId="065857BB" w14:textId="77777777" w:rsidR="00B94540" w:rsidRPr="00092ED7" w:rsidRDefault="00B94540" w:rsidP="00BB3B38">
      <w:pPr>
        <w:pStyle w:val="ListParagraph"/>
        <w:numPr>
          <w:ilvl w:val="0"/>
          <w:numId w:val="43"/>
        </w:numPr>
        <w:spacing w:after="0"/>
        <w:rPr>
          <w:rFonts w:cs="Times New Roman"/>
          <w:sz w:val="24"/>
          <w:szCs w:val="24"/>
          <w:lang w:val="sr-Cyrl-CS"/>
        </w:rPr>
      </w:pPr>
      <w:r w:rsidRPr="00092ED7">
        <w:rPr>
          <w:rFonts w:cs="Times New Roman"/>
          <w:sz w:val="24"/>
          <w:szCs w:val="24"/>
          <w:lang w:val="sr-Cyrl-CS"/>
        </w:rPr>
        <w:t>снажан номинални раст спољнотрговинске размене;</w:t>
      </w:r>
    </w:p>
    <w:p w14:paraId="062A558A" w14:textId="77777777" w:rsidR="00B94540" w:rsidRPr="00092ED7" w:rsidRDefault="00B94540" w:rsidP="00BB3B38">
      <w:pPr>
        <w:pStyle w:val="ListParagraph"/>
        <w:numPr>
          <w:ilvl w:val="0"/>
          <w:numId w:val="43"/>
        </w:numPr>
        <w:spacing w:after="0"/>
        <w:rPr>
          <w:rFonts w:cs="Times New Roman"/>
          <w:sz w:val="24"/>
          <w:szCs w:val="24"/>
          <w:lang w:val="sr-Cyrl-CS"/>
        </w:rPr>
      </w:pPr>
      <w:r w:rsidRPr="00092ED7">
        <w:rPr>
          <w:rFonts w:cs="Times New Roman"/>
          <w:sz w:val="24"/>
          <w:szCs w:val="24"/>
          <w:lang w:val="sr-Cyrl-CS"/>
        </w:rPr>
        <w:t>снажан раст профитабилности привреде у 2021. години (порез на добит правних лица);</w:t>
      </w:r>
    </w:p>
    <w:p w14:paraId="21202FE1" w14:textId="77777777" w:rsidR="00B94540" w:rsidRPr="00092ED7" w:rsidRDefault="00B94540" w:rsidP="00BB3B38">
      <w:pPr>
        <w:pStyle w:val="ListParagraph"/>
        <w:numPr>
          <w:ilvl w:val="0"/>
          <w:numId w:val="43"/>
        </w:numPr>
        <w:rPr>
          <w:rFonts w:cs="Times New Roman"/>
          <w:sz w:val="24"/>
          <w:szCs w:val="24"/>
          <w:lang w:val="sr-Cyrl-CS"/>
        </w:rPr>
      </w:pPr>
      <w:r w:rsidRPr="00092ED7">
        <w:rPr>
          <w:rFonts w:cs="Times New Roman"/>
          <w:sz w:val="24"/>
          <w:szCs w:val="24"/>
          <w:lang w:val="sr-Cyrl-CS"/>
        </w:rPr>
        <w:t>донете мере ублажавања инфлаторних утицаја кроз смањење акцизног оптерећења деривата нафте.</w:t>
      </w:r>
    </w:p>
    <w:p w14:paraId="6AD98CAC" w14:textId="77777777" w:rsidR="00B94540" w:rsidRPr="00092ED7" w:rsidRDefault="00B94540" w:rsidP="00B94540">
      <w:pPr>
        <w:spacing w:after="60"/>
        <w:rPr>
          <w:lang w:val="sr-Cyrl-CS" w:eastAsia="ja-JP"/>
        </w:rPr>
      </w:pPr>
      <w:r w:rsidRPr="00092ED7">
        <w:rPr>
          <w:lang w:val="sr-Cyrl-CS" w:eastAsia="ja-JP"/>
        </w:rPr>
        <w:lastRenderedPageBreak/>
        <w:t>Пројекција прихода од пореза на доходак грађана повећана је за 20,2 млрд динара у односу на оригинални износ. Приликом оригиналне пројекције прихода од пореза на зараде узете су у обзир пројекције кретања просечних зарада и запослености, процене о превременом враћању дела одложених пореза током 2020. године, као и процене ефеката смањења пореског оптерећења зарада у 2022. години. Исте претпоставке се користе и за пројекцију прихода од социјалних доприноса који чине највећи појединачни приход на нивоу опште државе. Наплата овог пореског облика крајем 2021. године била је нешто изнад планиране, међутим главни разлог за повећање пројекције пореза на зараде је изузетно висок раст зарада, пре свега у приватном сектору. Убрзање раста зарада у приватном сектору отпочело је крајем 2021. године и настављено током целе 2022. године. Процена о враћању дела одложених пореза и доприноса током 2022. године, незнатно је коригована наниже услед тога што је већина мањих пореских обвезника, по убрзаној динамици, већ током претходне године измирила обавезе по овом основу. Процена прихода од пореза на зараде и социјалних доприноса су ревидиране навише у укупном износу од 35,2 млрд динара.</w:t>
      </w:r>
    </w:p>
    <w:p w14:paraId="36F69CB1" w14:textId="77777777" w:rsidR="00B94540" w:rsidRPr="00092ED7" w:rsidRDefault="00B94540" w:rsidP="00B94540">
      <w:pPr>
        <w:spacing w:after="60"/>
        <w:rPr>
          <w:lang w:val="sr-Cyrl-CS" w:eastAsia="ja-JP"/>
        </w:rPr>
      </w:pPr>
      <w:r w:rsidRPr="00092ED7">
        <w:rPr>
          <w:lang w:val="sr-Cyrl-CS" w:eastAsia="ja-JP"/>
        </w:rPr>
        <w:t>Остатак пореза на доходак чине остали облици као што су порез на дивиденде, порез на приходе од камата, годишњи порез на доходак, порез на приходе од закупа непокретности и др. Приходи од дивиденди и осталих облика пореза на доходак генерално прате кретање опште економске активности и зарада из претходне године, али су и под значајним утицајем пословних одлука компанија у вези политике дивиденди и инвестиција. Значајно повећање пројектованог износа у односу на оригинални је резултат пре свега снажног скока наплате два највећа пореска облика из ове групе, а то су годишњи порез на доходак грађана и порез на доходак на дивиденди. Под утицајем раста просечних зарада и осталих облика доходака у претходној години као и остварене профитабилности и расподеле дивиденди компанија, дошло је до раста пореских обавеза по овом основу.</w:t>
      </w:r>
    </w:p>
    <w:p w14:paraId="2DE61608" w14:textId="68452432" w:rsidR="00B94540" w:rsidRPr="00092ED7" w:rsidRDefault="00B94540" w:rsidP="00B94540">
      <w:pPr>
        <w:spacing w:after="60"/>
        <w:rPr>
          <w:lang w:val="sr-Cyrl-CS" w:eastAsia="ja-JP"/>
        </w:rPr>
      </w:pPr>
      <w:r w:rsidRPr="00092ED7">
        <w:rPr>
          <w:lang w:val="sr-Cyrl-CS" w:eastAsia="ja-JP"/>
        </w:rPr>
        <w:t>Приходи од пореза на добит су релативно највише ревидирани у односу на оригиналну пројекцију (43,8%), а у апсолутном износу за 63,5 млрд динара. При пројекцији ове пореске категорије, и у редовним околностима, постоји неизвесност, јер коначни подаци о профитабилности нису познати у тренутку израде буџета. Такође</w:t>
      </w:r>
      <w:r w:rsidR="00E93801" w:rsidRPr="00092ED7">
        <w:rPr>
          <w:lang w:val="sr-Cyrl-CS" w:eastAsia="ja-JP"/>
        </w:rPr>
        <w:t>,</w:t>
      </w:r>
      <w:r w:rsidRPr="00092ED7">
        <w:rPr>
          <w:lang w:val="sr-Cyrl-CS" w:eastAsia="ja-JP"/>
        </w:rPr>
        <w:t xml:space="preserve"> изузетно висока наплата овог пореског облика у 2021. години, довела је до повећања учешћа овог пореског облика у БДП изнад просечних вредности забележених у претходном периоду. Водећи се принципом опрезности, приликом оригиналне пројекције, било је предвиђено враћање учешћа овог пореског облика у БДП на просечни ниво. Након уплате пореза на добит по коначном обрачуну за 2021. годину (крај јуна текуће године), ревидирана је и годишња процена овог пореза. Нето добит привреде у 2021. године, према објављеним подацима А</w:t>
      </w:r>
      <w:r w:rsidR="00F347CE" w:rsidRPr="00092ED7">
        <w:rPr>
          <w:lang w:val="sr-Cyrl-CS" w:eastAsia="ja-JP"/>
        </w:rPr>
        <w:t>генције за привредне регистре</w:t>
      </w:r>
      <w:r w:rsidRPr="00092ED7">
        <w:rPr>
          <w:lang w:val="sr-Cyrl-CS" w:eastAsia="ja-JP"/>
        </w:rPr>
        <w:t>, износила је 945 млрд динара и већа је за 42% у односу на 2020. годину.</w:t>
      </w:r>
    </w:p>
    <w:p w14:paraId="6EE801AD" w14:textId="77777777" w:rsidR="00B94540" w:rsidRPr="00092ED7" w:rsidRDefault="00B94540" w:rsidP="00B94540">
      <w:pPr>
        <w:spacing w:after="60"/>
        <w:rPr>
          <w:lang w:val="sr-Cyrl-CS" w:eastAsia="ja-JP"/>
        </w:rPr>
      </w:pPr>
      <w:r w:rsidRPr="00092ED7">
        <w:rPr>
          <w:lang w:val="sr-Cyrl-CS" w:eastAsia="ja-JP"/>
        </w:rPr>
        <w:t xml:space="preserve">Порез на додату вредност пројектован је у висини од 777 млрд динара, што представља повећање од 92,9 млрд у односу на оригиналну пројекцију. Ово значајно повећање делом је последица и конзервативног планирања, услед неизвесности око кретања личне потрошње након периода снажног раста у претходној години, а делом и као последица стимулативних мера државе. Други разлог за ревизију је нешто боље извршење на крају 2021. године од очекиваног (5 млрд динара). Најзначајнији разлог за ревизију прихода је значајно бржи номинални раст приватне потрошње од планираног. Истовремено, ревидирана је навише и реална компонента раста приватне потрошње. При томе, бележи се и блага промена у структури потрошње. Цене енергената су и директно и индиректно утицале на стопу инфлације (њену увозну компоненту), а великим делом су се прелиле </w:t>
      </w:r>
      <w:r w:rsidRPr="00092ED7">
        <w:rPr>
          <w:lang w:val="sr-Cyrl-CS" w:eastAsia="ja-JP"/>
        </w:rPr>
        <w:lastRenderedPageBreak/>
        <w:t>и на тржиште прехрамбених производа који чине значајан део потрошачке корпе домаћинстава. Исто се односи и на производе од нафте чије цене бележе виши раст.</w:t>
      </w:r>
    </w:p>
    <w:p w14:paraId="559542B5" w14:textId="77777777" w:rsidR="00B94540" w:rsidRPr="00092ED7" w:rsidRDefault="00B94540" w:rsidP="00B94540">
      <w:pPr>
        <w:spacing w:after="60"/>
        <w:rPr>
          <w:lang w:val="sr-Cyrl-CS" w:eastAsia="ja-JP"/>
        </w:rPr>
      </w:pPr>
      <w:r w:rsidRPr="00092ED7">
        <w:rPr>
          <w:lang w:val="sr-Cyrl-CS" w:eastAsia="ja-JP"/>
        </w:rPr>
        <w:t>Ограничењем цена појединих производа делимично су ублажени неповољни утицаји раста увозне инфлације. Ниво расположивог дохотка становништва и његов бржи раст од цена утицао је на реални раст промета који бележи раст од 7,1% у првих девет месеци 2022. године.</w:t>
      </w:r>
    </w:p>
    <w:p w14:paraId="5A2CF324" w14:textId="77777777" w:rsidR="00B94540" w:rsidRPr="00092ED7" w:rsidRDefault="00B94540" w:rsidP="00B94540">
      <w:pPr>
        <w:spacing w:after="60"/>
        <w:rPr>
          <w:lang w:val="sr-Cyrl-CS" w:eastAsia="ja-JP"/>
        </w:rPr>
      </w:pPr>
      <w:r w:rsidRPr="00092ED7">
        <w:rPr>
          <w:lang w:val="sr-Cyrl-CS" w:eastAsia="ja-JP"/>
        </w:rPr>
        <w:t>Приходи од царина пројектовани су у износу од 79,5 млрд што представља повећање од 16,2 млрд динара (25,6%) у односу на оригиналну пројекцију. Приходи од царина у највећој мери, иако не у потпуности, прате динамику ПДВ из увоза, па је у складу са изменом структуре ПДВ, обима спољнотрговинске размене и кретања царина у првом делу године, извршена ревизија пројекције овог приходног облика. Као и у случају ПДВ, разлози су у изузетно високом расту увозних цена, али и набавке већих количина енергената услед неизвесности на глобалном тржишту. Спољнотрговинска размена током протеклог дела 2022. године бележи изузетно снажан номинални раст, посебно на страни увоза. У периоду јануар–септембар, раст увоза у динарима износио је 36,8%, од чега се око три четвртине може приписати ефекту раста увозних цена.</w:t>
      </w:r>
    </w:p>
    <w:p w14:paraId="0978A0AC" w14:textId="77777777" w:rsidR="00B94540" w:rsidRPr="00092ED7" w:rsidRDefault="00B94540" w:rsidP="00B94540">
      <w:pPr>
        <w:spacing w:after="60"/>
        <w:rPr>
          <w:lang w:val="sr-Cyrl-CS" w:eastAsia="ja-JP"/>
        </w:rPr>
      </w:pPr>
      <w:r w:rsidRPr="00092ED7">
        <w:rPr>
          <w:lang w:val="sr-Cyrl-CS" w:eastAsia="ja-JP"/>
        </w:rPr>
        <w:t>Пројекција прихода од акциза незнатно је смањена у односу на оригиналну пројекцију. При томе акцизе на деривате нафте смањене су за 9,2 млрд динара, акцизе на дуванске производе повећане су за 5 млрд динара, док је пројекција прихода од осталих акциза увећана за 3,4 млрд динара. Како би спречила претерани раст цена нафтних деривата, држава је одложила редовну индексацију акцизних стопа са инфлацијом из претходне године. Након тога, крајем првог квартала, искоришћена је законска могућност привременог смањења износа акциза. У циљу ограничења раста цена деривата на домаћем тржишту, услед раста цена нафте на светском тржишту, током године приступило се коришћењу ове мере, и то у распону од 10% до 20% колики је и законски максимум. У првом кварталу бележи се висок степен наплате, делом и услед повећане тражње због неизвесности у вези будућих цена. У другој половини године бележи се умерен раст потрошње деривата, што указује на нижу ценовну еластичност ових производа.</w:t>
      </w:r>
    </w:p>
    <w:p w14:paraId="73B88BDF" w14:textId="77777777" w:rsidR="00B94540" w:rsidRPr="00092ED7" w:rsidRDefault="00B94540" w:rsidP="00B94540">
      <w:pPr>
        <w:spacing w:after="60"/>
        <w:rPr>
          <w:lang w:val="sr-Cyrl-CS" w:eastAsia="ja-JP"/>
        </w:rPr>
      </w:pPr>
      <w:r w:rsidRPr="00092ED7">
        <w:rPr>
          <w:lang w:val="sr-Cyrl-CS" w:eastAsia="ja-JP"/>
        </w:rPr>
        <w:t>Повећање прихода од акциза на дуван резултат је боље наплате од иницијално очекиване, током протеклог дела године. Приликом израде оригиналне процене, пошло се од очекивања да ће доћи до природног пада потрошње који је присутан већ дужи низ година, као и од претпоставке да се у претходној години тржиште стабилизовало на нивоу пре пандемије. Анализом података о тржишту дуванских производа, дошло се до закључка да достизање тог нивоа промета није остварено у 2021. години, и да се процес опоравка тржишта пренео у 2022. годину, што се одразило и на кретање прихода од акциза на дуван. Пројекција прихода од осталих акцизних производа повећана је првенствено због знатног раста потрошње електричне енергије, и то у сектору комерцијалног снабдевања, али и због повећања цена електричне енергије са предвиђеним ефектима у последњем кварталу ове године. Остатак повећања се односи на уплату заосталих обавеза по основу акциза на алкохол, наплаћеним из стечајног поступка, као и наставком опоравка тржишта ових производа.</w:t>
      </w:r>
    </w:p>
    <w:p w14:paraId="09DADC5B" w14:textId="77777777" w:rsidR="00B94540" w:rsidRPr="00092ED7" w:rsidRDefault="00B94540" w:rsidP="00B94540">
      <w:pPr>
        <w:spacing w:after="60"/>
        <w:rPr>
          <w:lang w:val="sr-Cyrl-CS" w:eastAsia="ja-JP"/>
        </w:rPr>
      </w:pPr>
      <w:r w:rsidRPr="00092ED7">
        <w:rPr>
          <w:lang w:val="sr-Cyrl-CS" w:eastAsia="ja-JP"/>
        </w:rPr>
        <w:t>Непорески приходи су повећани за 26,8 млрд динара, пре свега због раста забележеног код редовних непореских прихода. Ту спадају различите таксе, накнаде, казне, приходи органа и организација и сви остали приходи који се остварују устаљеном динамиком током године, у приближно сличним износима на месечном нивоу уз одређене сезонске варијације.</w:t>
      </w:r>
    </w:p>
    <w:p w14:paraId="2C4449BB" w14:textId="77777777" w:rsidR="00B94540" w:rsidRPr="00092ED7" w:rsidRDefault="00B94540" w:rsidP="00B94540">
      <w:pPr>
        <w:spacing w:after="60"/>
        <w:rPr>
          <w:lang w:val="sr-Cyrl-CS" w:eastAsia="ja-JP"/>
        </w:rPr>
      </w:pPr>
      <w:r w:rsidRPr="00092ED7">
        <w:rPr>
          <w:lang w:val="sr-Cyrl-CS" w:eastAsia="ja-JP"/>
        </w:rPr>
        <w:t>Први разлог за повећање пројектованог износа је боље остварење на крају претходне године, док је други разлог изузетно добра наплата током протеклог дела године.</w:t>
      </w:r>
    </w:p>
    <w:p w14:paraId="52CD4706" w14:textId="77777777" w:rsidR="00B94540" w:rsidRPr="00092ED7" w:rsidRDefault="00B94540" w:rsidP="00B94540">
      <w:pPr>
        <w:spacing w:after="60"/>
        <w:rPr>
          <w:lang w:val="sr-Cyrl-CS" w:eastAsia="ja-JP"/>
        </w:rPr>
      </w:pPr>
      <w:r w:rsidRPr="00092ED7">
        <w:rPr>
          <w:lang w:val="sr-Cyrl-CS" w:eastAsia="ja-JP"/>
        </w:rPr>
        <w:lastRenderedPageBreak/>
        <w:t>Редовни непорески приходи процењени су у већем износу у односу на оригиналне, највише због раста наплате прихода од игара на срећу и накнада за коришћење минералних сировина. Раст накнада за минералне сировине резултат је већег обима продаје и цена сировина на међународном тржишту.</w:t>
      </w:r>
    </w:p>
    <w:p w14:paraId="282AA4F2" w14:textId="2EC2FF98" w:rsidR="00B94540" w:rsidRPr="00092ED7" w:rsidRDefault="00B94540" w:rsidP="00B94540">
      <w:pPr>
        <w:spacing w:after="60"/>
        <w:rPr>
          <w:lang w:val="sr-Cyrl-CS" w:eastAsia="ja-JP"/>
        </w:rPr>
      </w:pPr>
      <w:r w:rsidRPr="00092ED7">
        <w:rPr>
          <w:lang w:val="sr-Cyrl-CS" w:eastAsia="ja-JP"/>
        </w:rPr>
        <w:t xml:space="preserve">Ванредне непореске приходе чине уплате добити јавних предузећа и агенција, дивиденде буџета, приходи по основу наплаћених потраживања Агенције за осигурање депозита, емисионе премије, итд. Ванредни непорески приходи кориговани су навише због реализоване уплате прихода који нису били укључени у оригинални буџетски план (добит </w:t>
      </w:r>
      <w:r w:rsidR="00E93801" w:rsidRPr="00092ED7">
        <w:rPr>
          <w:lang w:val="sr-Cyrl-CS" w:eastAsia="ja-JP"/>
        </w:rPr>
        <w:t xml:space="preserve">Народне банке Србије </w:t>
      </w:r>
      <w:r w:rsidRPr="00092ED7">
        <w:rPr>
          <w:lang w:val="sr-Cyrl-CS" w:eastAsia="ja-JP"/>
        </w:rPr>
        <w:t>и дивиденде буџета).</w:t>
      </w:r>
    </w:p>
    <w:p w14:paraId="0706A3BF" w14:textId="77777777" w:rsidR="00B94540" w:rsidRPr="00092ED7" w:rsidRDefault="00B94540" w:rsidP="00B94540">
      <w:pPr>
        <w:spacing w:before="120" w:after="60"/>
        <w:rPr>
          <w:rFonts w:eastAsia="Calibri" w:cs="Times New Roman"/>
          <w:szCs w:val="24"/>
          <w:lang w:val="sr-Cyrl-CS"/>
        </w:rPr>
      </w:pPr>
      <w:r w:rsidRPr="00092ED7">
        <w:rPr>
          <w:rFonts w:eastAsia="Calibri" w:cs="Times New Roman"/>
          <w:szCs w:val="24"/>
          <w:lang w:val="sr-Cyrl-CS"/>
        </w:rPr>
        <w:t>Графикон 5. Допринос појединачних фактора корекцији фискалног резултата у односу на план за 2022. годину, % БДП</w:t>
      </w:r>
    </w:p>
    <w:p w14:paraId="24C482F9" w14:textId="77777777" w:rsidR="00B94540" w:rsidRPr="00092ED7" w:rsidRDefault="00B94540" w:rsidP="00B94540">
      <w:pPr>
        <w:rPr>
          <w:rFonts w:eastAsia="Calibri" w:cs="Times New Roman"/>
          <w:szCs w:val="24"/>
          <w:lang w:val="sr-Cyrl-CS"/>
        </w:rPr>
      </w:pPr>
      <w:r w:rsidRPr="00092ED7">
        <w:rPr>
          <w:noProof/>
        </w:rPr>
        <w:drawing>
          <wp:inline distT="0" distB="0" distL="0" distR="0" wp14:anchorId="444D597B" wp14:editId="666E90A2">
            <wp:extent cx="5740400" cy="2118360"/>
            <wp:effectExtent l="0" t="0" r="12700" b="15240"/>
            <wp:docPr id="6" name="Chart 6">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21E140DB" w14:textId="77777777" w:rsidR="00B94540" w:rsidRPr="00092ED7" w:rsidRDefault="00B94540" w:rsidP="00B94540">
      <w:pPr>
        <w:spacing w:after="60"/>
        <w:rPr>
          <w:rFonts w:eastAsia="MS PGothic" w:cstheme="minorHAnsi"/>
          <w:szCs w:val="20"/>
          <w:lang w:val="sr-Cyrl-CS" w:eastAsia="ja-JP"/>
        </w:rPr>
      </w:pPr>
      <w:r w:rsidRPr="00092ED7">
        <w:rPr>
          <w:rFonts w:eastAsia="MS PGothic" w:cstheme="minorHAnsi"/>
          <w:szCs w:val="20"/>
          <w:lang w:val="sr-Cyrl-CS" w:eastAsia="ja-JP"/>
        </w:rPr>
        <w:t>Процена расхода опште државе овим фискалним оквиром повећана је за 307,4 млрд динара у односу на оригинални план. Највећи део овог повећања се односи на додатне мере за набавку енергената, додатну подршку становништву, и спровођење нових мера популационе политике. Остатак чине расходи везани за куповину роба и услуга, као и увећање капиталних расхода.</w:t>
      </w:r>
    </w:p>
    <w:p w14:paraId="5981E673" w14:textId="77777777" w:rsidR="00B94540" w:rsidRPr="00092ED7" w:rsidRDefault="00B94540" w:rsidP="00B94540">
      <w:pPr>
        <w:spacing w:after="60"/>
        <w:rPr>
          <w:rFonts w:eastAsia="MS PGothic" w:cstheme="minorHAnsi"/>
          <w:szCs w:val="20"/>
          <w:lang w:val="sr-Cyrl-CS" w:eastAsia="ja-JP"/>
        </w:rPr>
      </w:pPr>
      <w:r w:rsidRPr="00092ED7">
        <w:rPr>
          <w:rFonts w:eastAsia="MS PGothic" w:cstheme="minorHAnsi"/>
          <w:szCs w:val="20"/>
          <w:lang w:val="sr-Cyrl-CS" w:eastAsia="ja-JP"/>
        </w:rPr>
        <w:t>Расходи за запослене повећани су за 15,3 млрд динара. Највећи део овог повећања односи се на већу масу зарада у здравству (повећање броја запослених и радних часова), судству, као и исплаћену помоћ запосленима у просвети.</w:t>
      </w:r>
    </w:p>
    <w:p w14:paraId="6772C243" w14:textId="4BD6D955" w:rsidR="00B94540" w:rsidRPr="00092ED7" w:rsidRDefault="00B94540" w:rsidP="00B94540">
      <w:pPr>
        <w:spacing w:after="60"/>
        <w:rPr>
          <w:rFonts w:eastAsia="MS PGothic" w:cstheme="minorHAnsi"/>
          <w:szCs w:val="20"/>
          <w:lang w:val="sr-Cyrl-CS" w:eastAsia="ja-JP"/>
        </w:rPr>
      </w:pPr>
      <w:r w:rsidRPr="00092ED7">
        <w:rPr>
          <w:rFonts w:eastAsia="MS PGothic" w:cstheme="minorHAnsi"/>
          <w:szCs w:val="20"/>
          <w:lang w:val="sr-Cyrl-CS" w:eastAsia="ja-JP"/>
        </w:rPr>
        <w:t xml:space="preserve">Расходи за робе и услуге су повећани за 37,8 млрд динара. Највећи део повећања се односи на набавку лекова и медицинске опреме и средстава од стране </w:t>
      </w:r>
      <w:r w:rsidR="00E93801" w:rsidRPr="00092ED7">
        <w:rPr>
          <w:rFonts w:eastAsia="MS PGothic" w:cstheme="minorHAnsi"/>
          <w:szCs w:val="20"/>
          <w:lang w:val="sr-Cyrl-CS" w:eastAsia="ja-JP"/>
        </w:rPr>
        <w:t xml:space="preserve">Републичког фонда за здравствено осигурање (у даљем тексту: </w:t>
      </w:r>
      <w:r w:rsidRPr="00092ED7">
        <w:rPr>
          <w:rFonts w:eastAsia="MS PGothic" w:cstheme="minorHAnsi"/>
          <w:szCs w:val="20"/>
          <w:lang w:val="sr-Cyrl-CS" w:eastAsia="ja-JP"/>
        </w:rPr>
        <w:t>РФЗО</w:t>
      </w:r>
      <w:r w:rsidR="00E93801" w:rsidRPr="00092ED7">
        <w:rPr>
          <w:rFonts w:eastAsia="MS PGothic" w:cstheme="minorHAnsi"/>
          <w:szCs w:val="20"/>
          <w:lang w:val="sr-Cyrl-CS" w:eastAsia="ja-JP"/>
        </w:rPr>
        <w:t>)</w:t>
      </w:r>
      <w:r w:rsidRPr="00092ED7">
        <w:rPr>
          <w:rFonts w:eastAsia="MS PGothic" w:cstheme="minorHAnsi"/>
          <w:szCs w:val="20"/>
          <w:lang w:val="sr-Cyrl-CS" w:eastAsia="ja-JP"/>
        </w:rPr>
        <w:t xml:space="preserve">. Други део повећања се односи на текуће одржавање путева код </w:t>
      </w:r>
      <w:r w:rsidR="00E93801" w:rsidRPr="00092ED7">
        <w:rPr>
          <w:rFonts w:eastAsia="MS PGothic" w:cstheme="minorHAnsi"/>
          <w:szCs w:val="20"/>
          <w:lang w:val="sr-Cyrl-CS" w:eastAsia="ja-JP"/>
        </w:rPr>
        <w:t xml:space="preserve">Јавног предузећа „Путеви Србије” </w:t>
      </w:r>
      <w:r w:rsidR="006D2688" w:rsidRPr="00092ED7">
        <w:rPr>
          <w:rFonts w:eastAsia="MS PGothic" w:cstheme="minorHAnsi"/>
          <w:szCs w:val="20"/>
          <w:lang w:val="sr-Cyrl-CS" w:eastAsia="ja-JP"/>
        </w:rPr>
        <w:t xml:space="preserve">Београд </w:t>
      </w:r>
      <w:r w:rsidR="00E93801" w:rsidRPr="00092ED7">
        <w:rPr>
          <w:rFonts w:eastAsia="MS PGothic" w:cstheme="minorHAnsi"/>
          <w:szCs w:val="20"/>
          <w:lang w:val="sr-Cyrl-CS" w:eastAsia="ja-JP"/>
        </w:rPr>
        <w:t xml:space="preserve">(у даљем тексту: </w:t>
      </w:r>
      <w:r w:rsidRPr="00092ED7">
        <w:rPr>
          <w:rFonts w:eastAsia="MS PGothic" w:cstheme="minorHAnsi"/>
          <w:szCs w:val="20"/>
          <w:lang w:val="sr-Cyrl-CS" w:eastAsia="ja-JP"/>
        </w:rPr>
        <w:t>ЈП „Путеви Србије”</w:t>
      </w:r>
      <w:r w:rsidR="00E93801" w:rsidRPr="00092ED7">
        <w:rPr>
          <w:rFonts w:eastAsia="MS PGothic" w:cstheme="minorHAnsi"/>
          <w:szCs w:val="20"/>
          <w:lang w:val="sr-Cyrl-CS" w:eastAsia="ja-JP"/>
        </w:rPr>
        <w:t>)</w:t>
      </w:r>
      <w:r w:rsidRPr="00092ED7">
        <w:rPr>
          <w:rFonts w:eastAsia="MS PGothic" w:cstheme="minorHAnsi"/>
          <w:szCs w:val="20"/>
          <w:lang w:val="sr-Cyrl-CS" w:eastAsia="ja-JP"/>
        </w:rPr>
        <w:t>.</w:t>
      </w:r>
    </w:p>
    <w:p w14:paraId="3893612D" w14:textId="77777777" w:rsidR="00B94540" w:rsidRPr="00092ED7" w:rsidRDefault="00B94540" w:rsidP="00B94540">
      <w:pPr>
        <w:spacing w:after="60"/>
        <w:rPr>
          <w:rFonts w:eastAsia="MS PGothic" w:cstheme="minorHAnsi"/>
          <w:szCs w:val="20"/>
          <w:lang w:val="sr-Cyrl-CS" w:eastAsia="ja-JP"/>
        </w:rPr>
      </w:pPr>
      <w:r w:rsidRPr="00092ED7">
        <w:rPr>
          <w:rFonts w:eastAsia="MS PGothic" w:cstheme="minorHAnsi"/>
          <w:szCs w:val="20"/>
          <w:lang w:val="sr-Cyrl-CS" w:eastAsia="ja-JP"/>
        </w:rPr>
        <w:t>Субвенције су повећане у односу на оригинални план за 17,8 млрд динара, при чему су субвенције у пољопривреди повећане за 10,5 млрд динара, док се остатак повећања односи на субвенције за пројекте у енергетици.</w:t>
      </w:r>
    </w:p>
    <w:p w14:paraId="0903D737" w14:textId="77777777" w:rsidR="00B94540" w:rsidRPr="00092ED7" w:rsidRDefault="00B94540" w:rsidP="00B94540">
      <w:pPr>
        <w:spacing w:after="60"/>
        <w:rPr>
          <w:rFonts w:eastAsia="MS PGothic" w:cstheme="minorHAnsi"/>
          <w:szCs w:val="20"/>
          <w:lang w:val="sr-Cyrl-CS" w:eastAsia="ja-JP"/>
        </w:rPr>
      </w:pPr>
      <w:r w:rsidRPr="00092ED7">
        <w:rPr>
          <w:rFonts w:eastAsia="MS PGothic" w:cstheme="minorHAnsi"/>
          <w:szCs w:val="20"/>
          <w:lang w:val="sr-Cyrl-CS" w:eastAsia="ja-JP"/>
        </w:rPr>
        <w:t>Расходи за социјалну заштиту већи су за 7,3 млрд динара у односу на оригинални план, међутим дошло је до знатне измене у њиховој структури. Процењени расходи за пензије у 2022. години износиће 638,6 млрд. Иако је оригинални план индексације пензија подразумевао њихов раст у складу са „швајцарском формулом”, током новембра је планирано додатно трајно усклађивања пензија за 9%.</w:t>
      </w:r>
    </w:p>
    <w:p w14:paraId="7364009D" w14:textId="77777777" w:rsidR="00B94540" w:rsidRPr="00092ED7" w:rsidRDefault="00B94540" w:rsidP="00B94540">
      <w:pPr>
        <w:spacing w:after="60"/>
        <w:rPr>
          <w:rFonts w:eastAsia="MS PGothic" w:cstheme="minorHAnsi"/>
          <w:szCs w:val="20"/>
          <w:lang w:val="sr-Cyrl-CS" w:eastAsia="ja-JP"/>
        </w:rPr>
      </w:pPr>
      <w:r w:rsidRPr="00092ED7">
        <w:rPr>
          <w:rFonts w:eastAsia="MS PGothic" w:cstheme="minorHAnsi"/>
          <w:szCs w:val="20"/>
          <w:lang w:val="sr-Cyrl-CS" w:eastAsia="ja-JP"/>
        </w:rPr>
        <w:t xml:space="preserve">У оквиру расхода намењених за социјалну заштиту, налази се и исплаћена једнократна помоћ пензионерима у износу од око 34 млрд динара. Са друге стране, донете мере популационе политике (увећан родитељски додатак, нове субвенције мајкама за </w:t>
      </w:r>
      <w:r w:rsidRPr="00092ED7">
        <w:rPr>
          <w:rFonts w:eastAsia="MS PGothic" w:cstheme="minorHAnsi"/>
          <w:szCs w:val="20"/>
          <w:lang w:val="sr-Cyrl-CS" w:eastAsia="ja-JP"/>
        </w:rPr>
        <w:lastRenderedPageBreak/>
        <w:t>куповину стамбеног простора), утицали су на повећање расхода у оквиру ове категорије. За ове намене је планирано додатних 15 млрд динара.</w:t>
      </w:r>
    </w:p>
    <w:p w14:paraId="5E788A9C" w14:textId="77777777" w:rsidR="00B94540" w:rsidRPr="00092ED7" w:rsidRDefault="00B94540" w:rsidP="00B94540">
      <w:pPr>
        <w:spacing w:after="60"/>
        <w:rPr>
          <w:rFonts w:eastAsia="MS PGothic" w:cstheme="minorHAnsi"/>
          <w:szCs w:val="20"/>
          <w:lang w:val="sr-Cyrl-CS" w:eastAsia="ja-JP"/>
        </w:rPr>
      </w:pPr>
      <w:r w:rsidRPr="00092ED7">
        <w:rPr>
          <w:rFonts w:eastAsia="MS PGothic" w:cstheme="minorHAnsi"/>
          <w:szCs w:val="20"/>
          <w:lang w:val="sr-Cyrl-CS" w:eastAsia="ja-JP"/>
        </w:rPr>
        <w:t>Остали текући расходи повећани су за 55,8 млрд динара у односу на оригинални план, првенствено због ванредних исплата директне новчане помоћи становништву од 16 до 30 година старости, у укупном износу од 31 млрд динара.</w:t>
      </w:r>
    </w:p>
    <w:p w14:paraId="516A5B03" w14:textId="77777777" w:rsidR="00B94540" w:rsidRPr="00092ED7" w:rsidRDefault="00B94540" w:rsidP="00B94540">
      <w:pPr>
        <w:spacing w:after="60"/>
        <w:rPr>
          <w:rFonts w:eastAsia="MS PGothic" w:cstheme="minorHAnsi"/>
          <w:spacing w:val="-2"/>
          <w:szCs w:val="20"/>
          <w:lang w:val="sr-Cyrl-CS" w:eastAsia="ja-JP"/>
        </w:rPr>
      </w:pPr>
      <w:r w:rsidRPr="00092ED7">
        <w:rPr>
          <w:rFonts w:eastAsia="MS PGothic" w:cstheme="minorHAnsi"/>
          <w:spacing w:val="-2"/>
          <w:szCs w:val="20"/>
          <w:lang w:val="sr-Cyrl-CS" w:eastAsia="ja-JP"/>
        </w:rPr>
        <w:t>Интервентна набавка неопходних енергената утицала је на раст буџетских расхода у износу од 140 млрд динара.</w:t>
      </w:r>
    </w:p>
    <w:p w14:paraId="783261D8" w14:textId="77777777" w:rsidR="00B94540" w:rsidRPr="00092ED7" w:rsidRDefault="00B94540" w:rsidP="009D4BCD">
      <w:pPr>
        <w:spacing w:after="40"/>
        <w:rPr>
          <w:rFonts w:eastAsia="MS PGothic" w:cstheme="minorHAnsi"/>
          <w:szCs w:val="20"/>
          <w:lang w:val="sr-Cyrl-CS" w:eastAsia="ja-JP"/>
        </w:rPr>
      </w:pPr>
      <w:r w:rsidRPr="00092ED7">
        <w:rPr>
          <w:rFonts w:eastAsia="MS PGothic" w:cstheme="minorHAnsi"/>
          <w:szCs w:val="20"/>
          <w:lang w:val="sr-Cyrl-CS" w:eastAsia="ja-JP"/>
        </w:rPr>
        <w:t>Процењује се да ће реализација јавних инвестиција бити већа за 33,5 млрд динара од првобитног плана. Осим повећања расхода за изградњу путне мреже, повећана су и издвајања за стратешку набавку енергената и других егзистенцијалних добара. Процењује се да ће капитални расходи достићи ниво од 7,3% БДП у 2022. години.</w:t>
      </w:r>
    </w:p>
    <w:p w14:paraId="3FE0A0EB" w14:textId="77777777" w:rsidR="00B94540" w:rsidRPr="00092ED7" w:rsidRDefault="00B94540" w:rsidP="009D4BCD">
      <w:pPr>
        <w:spacing w:after="40"/>
        <w:rPr>
          <w:rFonts w:eastAsia="MS PGothic" w:cs="Times New Roman"/>
          <w:szCs w:val="24"/>
          <w:lang w:val="sr-Cyrl-CS" w:eastAsia="ja-JP"/>
        </w:rPr>
      </w:pPr>
      <w:r w:rsidRPr="00092ED7">
        <w:rPr>
          <w:rFonts w:eastAsia="MS PGothic" w:cstheme="minorHAnsi"/>
          <w:szCs w:val="20"/>
          <w:lang w:val="sr-Cyrl-CS" w:eastAsia="ja-JP"/>
        </w:rPr>
        <w:t>Процењени фискални дефицит од 3,8% БДП у 2022. години у нивоу је процењеног фискалног резултата који се очекује и у земљама ЕУ. Мере које државе ЕУ спроводе на ублажавању енергетске кризе имају значајне фискалне импликације. Предвиђен фискални резултат омогућава спровођење интервентних политика у циљу ублажавања кризе, уз задржавање тренда смањења учешћа јавног дуга у БДП. Структурном анализом фискалног резултата у 2022. години идентификовано је да се око 2,9% БДП односи на једнократне и привремене мере.</w:t>
      </w:r>
    </w:p>
    <w:p w14:paraId="78B49722" w14:textId="3C95D820" w:rsidR="00B94540" w:rsidRPr="00092ED7" w:rsidRDefault="00A5229A" w:rsidP="00815ACD">
      <w:pPr>
        <w:spacing w:after="160" w:line="259" w:lineRule="auto"/>
        <w:jc w:val="left"/>
        <w:rPr>
          <w:rFonts w:eastAsia="MS PGothic" w:cs="Times New Roman"/>
          <w:szCs w:val="24"/>
          <w:lang w:val="sr-Cyrl-CS" w:eastAsia="ja-JP"/>
        </w:rPr>
      </w:pPr>
      <w:r w:rsidRPr="00092ED7">
        <w:rPr>
          <w:rFonts w:eastAsia="MS PGothic" w:cs="Times New Roman"/>
          <w:szCs w:val="24"/>
          <w:lang w:val="sr-Cyrl-CS" w:eastAsia="ja-JP"/>
        </w:rPr>
        <w:br w:type="page"/>
      </w:r>
      <w:r w:rsidR="00B94540" w:rsidRPr="00092ED7">
        <w:rPr>
          <w:rFonts w:eastAsia="MS PGothic" w:cs="Times New Roman"/>
          <w:szCs w:val="24"/>
          <w:lang w:val="sr-Cyrl-CS" w:eastAsia="ja-JP"/>
        </w:rPr>
        <w:lastRenderedPageBreak/>
        <w:t>Табела 5. Приходи, расходи и резултат сектора државе, јануар–септембар, у млрд динара</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4"/>
        <w:gridCol w:w="1448"/>
        <w:gridCol w:w="1448"/>
        <w:gridCol w:w="1448"/>
        <w:gridCol w:w="1448"/>
      </w:tblGrid>
      <w:tr w:rsidR="00B94540" w:rsidRPr="00092ED7" w14:paraId="0B8925BD" w14:textId="77777777" w:rsidTr="009D4BCD">
        <w:trPr>
          <w:trHeight w:val="66"/>
          <w:tblHeader/>
          <w:jc w:val="right"/>
        </w:trPr>
        <w:tc>
          <w:tcPr>
            <w:tcW w:w="1788" w:type="pct"/>
            <w:shd w:val="clear" w:color="auto" w:fill="auto"/>
            <w:noWrap/>
            <w:vAlign w:val="center"/>
            <w:hideMark/>
          </w:tcPr>
          <w:p w14:paraId="4316FE0B" w14:textId="77777777" w:rsidR="00B94540" w:rsidRPr="00092ED7" w:rsidRDefault="00B94540" w:rsidP="00B94540">
            <w:pPr>
              <w:spacing w:after="0"/>
              <w:rPr>
                <w:rFonts w:cstheme="minorHAnsi"/>
                <w:sz w:val="18"/>
                <w:szCs w:val="18"/>
                <w:lang w:val="sr-Cyrl-CS"/>
              </w:rPr>
            </w:pPr>
          </w:p>
        </w:tc>
        <w:tc>
          <w:tcPr>
            <w:tcW w:w="803" w:type="pct"/>
            <w:shd w:val="clear" w:color="auto" w:fill="auto"/>
            <w:vAlign w:val="center"/>
            <w:hideMark/>
          </w:tcPr>
          <w:p w14:paraId="641CCE3A" w14:textId="77777777" w:rsidR="00B94540" w:rsidRPr="00092ED7" w:rsidRDefault="00B94540" w:rsidP="00B94540">
            <w:pPr>
              <w:spacing w:after="0"/>
              <w:jc w:val="center"/>
              <w:rPr>
                <w:rFonts w:eastAsia="MS PGothic" w:cstheme="minorHAnsi"/>
                <w:sz w:val="18"/>
                <w:szCs w:val="18"/>
                <w:lang w:val="sr-Cyrl-CS" w:eastAsia="ja-JP"/>
              </w:rPr>
            </w:pPr>
            <w:r w:rsidRPr="00092ED7">
              <w:rPr>
                <w:rFonts w:eastAsia="MS PGothic" w:cstheme="minorHAnsi"/>
                <w:sz w:val="18"/>
                <w:szCs w:val="18"/>
                <w:lang w:val="sr-Cyrl-CS" w:eastAsia="ja-JP"/>
              </w:rPr>
              <w:t>I–IX 2021</w:t>
            </w:r>
          </w:p>
        </w:tc>
        <w:tc>
          <w:tcPr>
            <w:tcW w:w="803" w:type="pct"/>
            <w:shd w:val="clear" w:color="auto" w:fill="auto"/>
            <w:vAlign w:val="center"/>
            <w:hideMark/>
          </w:tcPr>
          <w:p w14:paraId="402065EE" w14:textId="77777777" w:rsidR="00B94540" w:rsidRPr="00092ED7" w:rsidRDefault="00B94540" w:rsidP="00B94540">
            <w:pPr>
              <w:spacing w:after="0"/>
              <w:jc w:val="center"/>
              <w:rPr>
                <w:rFonts w:eastAsia="MS PGothic" w:cstheme="minorHAnsi"/>
                <w:sz w:val="18"/>
                <w:szCs w:val="18"/>
                <w:lang w:val="sr-Cyrl-CS" w:eastAsia="ja-JP"/>
              </w:rPr>
            </w:pPr>
            <w:r w:rsidRPr="00092ED7">
              <w:rPr>
                <w:rFonts w:eastAsia="MS PGothic" w:cstheme="minorHAnsi"/>
                <w:sz w:val="18"/>
                <w:szCs w:val="18"/>
                <w:lang w:val="sr-Cyrl-CS" w:eastAsia="ja-JP"/>
              </w:rPr>
              <w:t>I– IX 2022</w:t>
            </w:r>
          </w:p>
        </w:tc>
        <w:tc>
          <w:tcPr>
            <w:tcW w:w="803" w:type="pct"/>
            <w:vAlign w:val="center"/>
          </w:tcPr>
          <w:p w14:paraId="35F333A7" w14:textId="77777777" w:rsidR="00B94540" w:rsidRPr="00092ED7" w:rsidRDefault="00B94540" w:rsidP="00B94540">
            <w:pPr>
              <w:spacing w:after="0"/>
              <w:jc w:val="center"/>
              <w:rPr>
                <w:rFonts w:eastAsia="MS PGothic" w:cstheme="minorHAnsi"/>
                <w:sz w:val="18"/>
                <w:szCs w:val="18"/>
                <w:lang w:val="sr-Cyrl-CS" w:eastAsia="ja-JP"/>
              </w:rPr>
            </w:pPr>
            <w:r w:rsidRPr="00092ED7">
              <w:rPr>
                <w:rFonts w:eastAsia="MS PGothic" w:cstheme="minorHAnsi"/>
                <w:sz w:val="18"/>
                <w:szCs w:val="18"/>
                <w:lang w:val="sr-Cyrl-CS" w:eastAsia="ja-JP"/>
              </w:rPr>
              <w:t>I–IX стопа раста у %</w:t>
            </w:r>
          </w:p>
        </w:tc>
        <w:tc>
          <w:tcPr>
            <w:tcW w:w="803" w:type="pct"/>
            <w:shd w:val="clear" w:color="auto" w:fill="auto"/>
            <w:vAlign w:val="center"/>
            <w:hideMark/>
          </w:tcPr>
          <w:p w14:paraId="4E115F7D" w14:textId="77777777" w:rsidR="00B94540" w:rsidRPr="00092ED7" w:rsidRDefault="00B94540" w:rsidP="00B94540">
            <w:pPr>
              <w:spacing w:after="0"/>
              <w:jc w:val="center"/>
              <w:rPr>
                <w:rFonts w:eastAsia="MS PGothic" w:cstheme="minorHAnsi"/>
                <w:sz w:val="18"/>
                <w:szCs w:val="18"/>
                <w:lang w:val="sr-Cyrl-CS" w:eastAsia="ja-JP"/>
              </w:rPr>
            </w:pPr>
            <w:r w:rsidRPr="00092ED7">
              <w:rPr>
                <w:rFonts w:eastAsia="MS PGothic" w:cstheme="minorHAnsi"/>
                <w:sz w:val="18"/>
                <w:szCs w:val="18"/>
                <w:lang w:val="sr-Cyrl-CS" w:eastAsia="ja-JP"/>
              </w:rPr>
              <w:t>2022/2021 стопа раста у %</w:t>
            </w:r>
          </w:p>
        </w:tc>
      </w:tr>
      <w:tr w:rsidR="00B94540" w:rsidRPr="00092ED7" w14:paraId="53C4622B" w14:textId="77777777" w:rsidTr="009D4BCD">
        <w:trPr>
          <w:trHeight w:val="66"/>
          <w:tblHeader/>
          <w:jc w:val="right"/>
        </w:trPr>
        <w:tc>
          <w:tcPr>
            <w:tcW w:w="1788" w:type="pct"/>
            <w:shd w:val="clear" w:color="auto" w:fill="E7E6E6" w:themeFill="background2"/>
            <w:noWrap/>
            <w:vAlign w:val="center"/>
            <w:hideMark/>
          </w:tcPr>
          <w:p w14:paraId="277989A5" w14:textId="77777777" w:rsidR="00B94540" w:rsidRPr="00092ED7" w:rsidRDefault="00B94540" w:rsidP="00B94540">
            <w:pPr>
              <w:spacing w:after="0"/>
              <w:jc w:val="left"/>
              <w:rPr>
                <w:rFonts w:cstheme="minorHAnsi"/>
                <w:sz w:val="20"/>
                <w:szCs w:val="20"/>
                <w:lang w:val="sr-Cyrl-CS"/>
              </w:rPr>
            </w:pPr>
            <w:r w:rsidRPr="00092ED7">
              <w:rPr>
                <w:rFonts w:eastAsia="MS PGothic" w:cstheme="minorHAnsi"/>
                <w:sz w:val="20"/>
                <w:szCs w:val="20"/>
                <w:lang w:val="sr-Cyrl-CS" w:eastAsia="ja-JP"/>
              </w:rPr>
              <w:t>ЈАВНИ ПРИХОДИ</w:t>
            </w:r>
          </w:p>
        </w:tc>
        <w:tc>
          <w:tcPr>
            <w:tcW w:w="803" w:type="pct"/>
            <w:shd w:val="clear" w:color="auto" w:fill="E7E6E6" w:themeFill="background2"/>
            <w:hideMark/>
          </w:tcPr>
          <w:p w14:paraId="7CA24B71" w14:textId="77777777" w:rsidR="00B94540" w:rsidRPr="00092ED7" w:rsidRDefault="00B94540" w:rsidP="00B94540">
            <w:pPr>
              <w:spacing w:after="0"/>
              <w:ind w:right="340"/>
              <w:jc w:val="right"/>
              <w:rPr>
                <w:rFonts w:cstheme="minorHAnsi"/>
                <w:sz w:val="20"/>
                <w:szCs w:val="20"/>
                <w:lang w:val="sr-Cyrl-CS"/>
              </w:rPr>
            </w:pPr>
            <w:r w:rsidRPr="00092ED7">
              <w:rPr>
                <w:sz w:val="20"/>
                <w:szCs w:val="20"/>
                <w:lang w:val="sr-Cyrl-CS"/>
              </w:rPr>
              <w:t>1.969,3</w:t>
            </w:r>
          </w:p>
        </w:tc>
        <w:tc>
          <w:tcPr>
            <w:tcW w:w="803" w:type="pct"/>
            <w:shd w:val="clear" w:color="auto" w:fill="E7E6E6" w:themeFill="background2"/>
            <w:hideMark/>
          </w:tcPr>
          <w:p w14:paraId="79351958" w14:textId="77777777" w:rsidR="00B94540" w:rsidRPr="00092ED7" w:rsidRDefault="00B94540" w:rsidP="00B94540">
            <w:pPr>
              <w:spacing w:after="0"/>
              <w:ind w:right="340"/>
              <w:jc w:val="right"/>
              <w:rPr>
                <w:rFonts w:cstheme="minorHAnsi"/>
                <w:sz w:val="20"/>
                <w:szCs w:val="20"/>
                <w:lang w:val="sr-Cyrl-CS"/>
              </w:rPr>
            </w:pPr>
            <w:r w:rsidRPr="00092ED7">
              <w:rPr>
                <w:sz w:val="20"/>
                <w:szCs w:val="20"/>
                <w:lang w:val="sr-Cyrl-CS"/>
              </w:rPr>
              <w:t>2.253,1</w:t>
            </w:r>
          </w:p>
        </w:tc>
        <w:tc>
          <w:tcPr>
            <w:tcW w:w="803" w:type="pct"/>
            <w:shd w:val="clear" w:color="auto" w:fill="E7E6E6" w:themeFill="background2"/>
          </w:tcPr>
          <w:p w14:paraId="051A495F" w14:textId="77777777" w:rsidR="00B94540" w:rsidRPr="00092ED7" w:rsidRDefault="00B94540" w:rsidP="00B94540">
            <w:pPr>
              <w:spacing w:after="0"/>
              <w:ind w:right="510"/>
              <w:jc w:val="right"/>
              <w:rPr>
                <w:rFonts w:cstheme="minorHAnsi"/>
                <w:sz w:val="20"/>
                <w:szCs w:val="20"/>
                <w:lang w:val="sr-Cyrl-CS"/>
              </w:rPr>
            </w:pPr>
            <w:r w:rsidRPr="00092ED7">
              <w:rPr>
                <w:sz w:val="20"/>
                <w:szCs w:val="20"/>
                <w:lang w:val="sr-Cyrl-CS"/>
              </w:rPr>
              <w:t>14,4</w:t>
            </w:r>
          </w:p>
        </w:tc>
        <w:tc>
          <w:tcPr>
            <w:tcW w:w="803" w:type="pct"/>
            <w:shd w:val="clear" w:color="auto" w:fill="E7E6E6" w:themeFill="background2"/>
            <w:hideMark/>
          </w:tcPr>
          <w:p w14:paraId="5C7D737D" w14:textId="77777777" w:rsidR="00B94540" w:rsidRPr="00092ED7" w:rsidRDefault="00B94540" w:rsidP="00B94540">
            <w:pPr>
              <w:spacing w:after="0"/>
              <w:ind w:right="510"/>
              <w:jc w:val="right"/>
              <w:rPr>
                <w:rFonts w:cstheme="minorHAnsi"/>
                <w:sz w:val="20"/>
                <w:szCs w:val="20"/>
                <w:lang w:val="sr-Cyrl-CS"/>
              </w:rPr>
            </w:pPr>
            <w:r w:rsidRPr="00092ED7">
              <w:rPr>
                <w:sz w:val="20"/>
                <w:szCs w:val="20"/>
                <w:lang w:val="sr-Cyrl-CS"/>
              </w:rPr>
              <w:t>12,1</w:t>
            </w:r>
          </w:p>
        </w:tc>
      </w:tr>
      <w:tr w:rsidR="00B94540" w:rsidRPr="00092ED7" w14:paraId="4DA11670" w14:textId="77777777" w:rsidTr="009D4BCD">
        <w:trPr>
          <w:trHeight w:val="66"/>
          <w:tblHeader/>
          <w:jc w:val="right"/>
        </w:trPr>
        <w:tc>
          <w:tcPr>
            <w:tcW w:w="1788" w:type="pct"/>
            <w:shd w:val="clear" w:color="auto" w:fill="auto"/>
            <w:noWrap/>
            <w:vAlign w:val="center"/>
            <w:hideMark/>
          </w:tcPr>
          <w:p w14:paraId="2FF6EAB5" w14:textId="77777777" w:rsidR="00B94540" w:rsidRPr="00092ED7" w:rsidRDefault="00B94540" w:rsidP="00B94540">
            <w:pPr>
              <w:spacing w:after="0"/>
              <w:jc w:val="left"/>
              <w:rPr>
                <w:rFonts w:eastAsia="MS PGothic" w:cstheme="minorHAnsi"/>
                <w:sz w:val="20"/>
                <w:szCs w:val="20"/>
                <w:lang w:val="sr-Cyrl-CS" w:eastAsia="ja-JP"/>
              </w:rPr>
            </w:pPr>
            <w:r w:rsidRPr="00092ED7">
              <w:rPr>
                <w:rFonts w:eastAsia="MS PGothic" w:cstheme="minorHAnsi"/>
                <w:sz w:val="20"/>
                <w:szCs w:val="20"/>
                <w:lang w:val="sr-Cyrl-CS" w:eastAsia="ja-JP"/>
              </w:rPr>
              <w:t>Текући приходи</w:t>
            </w:r>
          </w:p>
        </w:tc>
        <w:tc>
          <w:tcPr>
            <w:tcW w:w="803" w:type="pct"/>
            <w:shd w:val="clear" w:color="auto" w:fill="auto"/>
            <w:hideMark/>
          </w:tcPr>
          <w:p w14:paraId="2E96E87D" w14:textId="77777777" w:rsidR="00B94540" w:rsidRPr="00092ED7" w:rsidRDefault="00B94540" w:rsidP="00B94540">
            <w:pPr>
              <w:spacing w:after="0"/>
              <w:ind w:right="340"/>
              <w:jc w:val="right"/>
              <w:rPr>
                <w:rFonts w:cstheme="minorHAnsi"/>
                <w:sz w:val="20"/>
                <w:szCs w:val="20"/>
                <w:lang w:val="sr-Cyrl-CS"/>
              </w:rPr>
            </w:pPr>
            <w:r w:rsidRPr="00092ED7">
              <w:rPr>
                <w:sz w:val="20"/>
                <w:szCs w:val="20"/>
                <w:lang w:val="sr-Cyrl-CS"/>
              </w:rPr>
              <w:t>1.957,4</w:t>
            </w:r>
          </w:p>
        </w:tc>
        <w:tc>
          <w:tcPr>
            <w:tcW w:w="803" w:type="pct"/>
            <w:shd w:val="clear" w:color="auto" w:fill="auto"/>
            <w:noWrap/>
            <w:hideMark/>
          </w:tcPr>
          <w:p w14:paraId="6E61C8DE" w14:textId="77777777" w:rsidR="00B94540" w:rsidRPr="00092ED7" w:rsidRDefault="00B94540" w:rsidP="00B94540">
            <w:pPr>
              <w:spacing w:after="0"/>
              <w:ind w:right="340"/>
              <w:jc w:val="right"/>
              <w:rPr>
                <w:rFonts w:cstheme="minorHAnsi"/>
                <w:sz w:val="20"/>
                <w:szCs w:val="20"/>
                <w:lang w:val="sr-Cyrl-CS"/>
              </w:rPr>
            </w:pPr>
            <w:r w:rsidRPr="00092ED7">
              <w:rPr>
                <w:sz w:val="20"/>
                <w:szCs w:val="20"/>
                <w:lang w:val="sr-Cyrl-CS"/>
              </w:rPr>
              <w:t>2.243,3</w:t>
            </w:r>
          </w:p>
        </w:tc>
        <w:tc>
          <w:tcPr>
            <w:tcW w:w="803" w:type="pct"/>
          </w:tcPr>
          <w:p w14:paraId="3863D519" w14:textId="77777777" w:rsidR="00B94540" w:rsidRPr="00092ED7" w:rsidRDefault="00B94540" w:rsidP="00B94540">
            <w:pPr>
              <w:spacing w:after="0"/>
              <w:ind w:right="510"/>
              <w:jc w:val="right"/>
              <w:rPr>
                <w:rFonts w:cstheme="minorHAnsi"/>
                <w:sz w:val="20"/>
                <w:szCs w:val="20"/>
                <w:lang w:val="sr-Cyrl-CS"/>
              </w:rPr>
            </w:pPr>
            <w:r w:rsidRPr="00092ED7">
              <w:rPr>
                <w:sz w:val="20"/>
                <w:szCs w:val="20"/>
                <w:lang w:val="sr-Cyrl-CS"/>
              </w:rPr>
              <w:t>14,6</w:t>
            </w:r>
          </w:p>
        </w:tc>
        <w:tc>
          <w:tcPr>
            <w:tcW w:w="803" w:type="pct"/>
            <w:shd w:val="clear" w:color="auto" w:fill="auto"/>
            <w:hideMark/>
          </w:tcPr>
          <w:p w14:paraId="68F30203" w14:textId="77777777" w:rsidR="00B94540" w:rsidRPr="00092ED7" w:rsidRDefault="00B94540" w:rsidP="00B94540">
            <w:pPr>
              <w:spacing w:after="0"/>
              <w:ind w:right="510"/>
              <w:jc w:val="right"/>
              <w:rPr>
                <w:rFonts w:cstheme="minorHAnsi"/>
                <w:sz w:val="20"/>
                <w:szCs w:val="20"/>
                <w:lang w:val="sr-Cyrl-CS"/>
              </w:rPr>
            </w:pPr>
            <w:r w:rsidRPr="00092ED7">
              <w:rPr>
                <w:sz w:val="20"/>
                <w:szCs w:val="20"/>
                <w:lang w:val="sr-Cyrl-CS"/>
              </w:rPr>
              <w:t>12,1</w:t>
            </w:r>
          </w:p>
        </w:tc>
      </w:tr>
      <w:tr w:rsidR="00B94540" w:rsidRPr="00092ED7" w14:paraId="5D9B7575" w14:textId="77777777" w:rsidTr="009D4BCD">
        <w:trPr>
          <w:trHeight w:val="66"/>
          <w:tblHeader/>
          <w:jc w:val="right"/>
        </w:trPr>
        <w:tc>
          <w:tcPr>
            <w:tcW w:w="1788" w:type="pct"/>
            <w:shd w:val="clear" w:color="auto" w:fill="auto"/>
            <w:noWrap/>
            <w:vAlign w:val="center"/>
            <w:hideMark/>
          </w:tcPr>
          <w:p w14:paraId="37E6AF5D" w14:textId="77777777" w:rsidR="00B94540" w:rsidRPr="00092ED7" w:rsidRDefault="00B94540" w:rsidP="00B94540">
            <w:pPr>
              <w:spacing w:after="0"/>
              <w:jc w:val="left"/>
              <w:rPr>
                <w:rFonts w:eastAsia="MS PGothic" w:cstheme="minorHAnsi"/>
                <w:sz w:val="20"/>
                <w:szCs w:val="20"/>
                <w:lang w:val="sr-Cyrl-CS" w:eastAsia="ja-JP"/>
              </w:rPr>
            </w:pPr>
            <w:r w:rsidRPr="00092ED7">
              <w:rPr>
                <w:rFonts w:eastAsia="MS PGothic" w:cstheme="minorHAnsi"/>
                <w:sz w:val="20"/>
                <w:szCs w:val="20"/>
                <w:lang w:val="sr-Cyrl-CS" w:eastAsia="ja-JP"/>
              </w:rPr>
              <w:t>Порески приходи</w:t>
            </w:r>
          </w:p>
        </w:tc>
        <w:tc>
          <w:tcPr>
            <w:tcW w:w="803" w:type="pct"/>
            <w:shd w:val="clear" w:color="auto" w:fill="auto"/>
            <w:hideMark/>
          </w:tcPr>
          <w:p w14:paraId="27E2531C" w14:textId="77777777" w:rsidR="00B94540" w:rsidRPr="00092ED7" w:rsidRDefault="00B94540" w:rsidP="00B94540">
            <w:pPr>
              <w:spacing w:after="0"/>
              <w:ind w:right="340"/>
              <w:jc w:val="right"/>
              <w:rPr>
                <w:rFonts w:cstheme="minorHAnsi"/>
                <w:sz w:val="20"/>
                <w:szCs w:val="20"/>
                <w:lang w:val="sr-Cyrl-CS"/>
              </w:rPr>
            </w:pPr>
            <w:r w:rsidRPr="00092ED7">
              <w:rPr>
                <w:sz w:val="20"/>
                <w:szCs w:val="20"/>
                <w:lang w:val="sr-Cyrl-CS"/>
              </w:rPr>
              <w:t>1.764,5</w:t>
            </w:r>
          </w:p>
        </w:tc>
        <w:tc>
          <w:tcPr>
            <w:tcW w:w="803" w:type="pct"/>
            <w:shd w:val="clear" w:color="auto" w:fill="auto"/>
            <w:hideMark/>
          </w:tcPr>
          <w:p w14:paraId="309B2839" w14:textId="77777777" w:rsidR="00B94540" w:rsidRPr="00092ED7" w:rsidRDefault="00B94540" w:rsidP="00B94540">
            <w:pPr>
              <w:spacing w:after="0"/>
              <w:ind w:right="340"/>
              <w:jc w:val="right"/>
              <w:rPr>
                <w:rFonts w:cstheme="minorHAnsi"/>
                <w:sz w:val="20"/>
                <w:szCs w:val="20"/>
                <w:lang w:val="sr-Cyrl-CS"/>
              </w:rPr>
            </w:pPr>
            <w:r w:rsidRPr="00092ED7">
              <w:rPr>
                <w:sz w:val="20"/>
                <w:szCs w:val="20"/>
                <w:lang w:val="sr-Cyrl-CS"/>
              </w:rPr>
              <w:t>2.033,6</w:t>
            </w:r>
          </w:p>
        </w:tc>
        <w:tc>
          <w:tcPr>
            <w:tcW w:w="803" w:type="pct"/>
          </w:tcPr>
          <w:p w14:paraId="4B62DE62" w14:textId="77777777" w:rsidR="00B94540" w:rsidRPr="00092ED7" w:rsidRDefault="00B94540" w:rsidP="00B94540">
            <w:pPr>
              <w:spacing w:after="0"/>
              <w:ind w:right="510"/>
              <w:jc w:val="right"/>
              <w:rPr>
                <w:rFonts w:cstheme="minorHAnsi"/>
                <w:sz w:val="20"/>
                <w:szCs w:val="20"/>
                <w:lang w:val="sr-Cyrl-CS"/>
              </w:rPr>
            </w:pPr>
            <w:r w:rsidRPr="00092ED7">
              <w:rPr>
                <w:sz w:val="20"/>
                <w:szCs w:val="20"/>
                <w:lang w:val="sr-Cyrl-CS"/>
              </w:rPr>
              <w:t>15,3</w:t>
            </w:r>
          </w:p>
        </w:tc>
        <w:tc>
          <w:tcPr>
            <w:tcW w:w="803" w:type="pct"/>
            <w:shd w:val="clear" w:color="auto" w:fill="auto"/>
            <w:hideMark/>
          </w:tcPr>
          <w:p w14:paraId="2AFA40FA" w14:textId="77777777" w:rsidR="00B94540" w:rsidRPr="00092ED7" w:rsidRDefault="00B94540" w:rsidP="00B94540">
            <w:pPr>
              <w:spacing w:after="0"/>
              <w:ind w:right="510"/>
              <w:jc w:val="right"/>
              <w:rPr>
                <w:rFonts w:cstheme="minorHAnsi"/>
                <w:sz w:val="20"/>
                <w:szCs w:val="20"/>
                <w:lang w:val="sr-Cyrl-CS"/>
              </w:rPr>
            </w:pPr>
            <w:r w:rsidRPr="00092ED7">
              <w:rPr>
                <w:sz w:val="20"/>
                <w:szCs w:val="20"/>
                <w:lang w:val="sr-Cyrl-CS"/>
              </w:rPr>
              <w:t>13,2</w:t>
            </w:r>
          </w:p>
        </w:tc>
      </w:tr>
      <w:tr w:rsidR="00B94540" w:rsidRPr="00092ED7" w14:paraId="02EE00C3" w14:textId="77777777" w:rsidTr="009D4BCD">
        <w:trPr>
          <w:trHeight w:val="66"/>
          <w:tblHeader/>
          <w:jc w:val="right"/>
        </w:trPr>
        <w:tc>
          <w:tcPr>
            <w:tcW w:w="1788" w:type="pct"/>
            <w:shd w:val="clear" w:color="auto" w:fill="auto"/>
            <w:noWrap/>
            <w:vAlign w:val="center"/>
            <w:hideMark/>
          </w:tcPr>
          <w:p w14:paraId="2FF60403" w14:textId="77777777" w:rsidR="00B94540" w:rsidRPr="00092ED7" w:rsidRDefault="00B94540" w:rsidP="00B94540">
            <w:pPr>
              <w:spacing w:after="0"/>
              <w:jc w:val="left"/>
              <w:rPr>
                <w:rFonts w:eastAsia="MS PGothic" w:cstheme="minorHAnsi"/>
                <w:sz w:val="20"/>
                <w:szCs w:val="20"/>
                <w:lang w:val="sr-Cyrl-CS" w:eastAsia="ja-JP"/>
              </w:rPr>
            </w:pPr>
            <w:r w:rsidRPr="00092ED7">
              <w:rPr>
                <w:rFonts w:eastAsia="MS PGothic" w:cstheme="minorHAnsi"/>
                <w:sz w:val="20"/>
                <w:szCs w:val="20"/>
                <w:lang w:val="sr-Cyrl-CS" w:eastAsia="ja-JP"/>
              </w:rPr>
              <w:t>Порез на доходак грађана</w:t>
            </w:r>
          </w:p>
        </w:tc>
        <w:tc>
          <w:tcPr>
            <w:tcW w:w="803" w:type="pct"/>
            <w:shd w:val="clear" w:color="auto" w:fill="auto"/>
            <w:hideMark/>
          </w:tcPr>
          <w:p w14:paraId="0C04C042" w14:textId="77777777" w:rsidR="00B94540" w:rsidRPr="00092ED7" w:rsidRDefault="00B94540" w:rsidP="00B94540">
            <w:pPr>
              <w:spacing w:after="0"/>
              <w:ind w:right="340"/>
              <w:jc w:val="right"/>
              <w:rPr>
                <w:rFonts w:cstheme="minorHAnsi"/>
                <w:sz w:val="20"/>
                <w:szCs w:val="20"/>
                <w:lang w:val="sr-Cyrl-CS"/>
              </w:rPr>
            </w:pPr>
            <w:r w:rsidRPr="00092ED7">
              <w:rPr>
                <w:sz w:val="20"/>
                <w:szCs w:val="20"/>
                <w:lang w:val="sr-Cyrl-CS"/>
              </w:rPr>
              <w:t>187,3</w:t>
            </w:r>
          </w:p>
        </w:tc>
        <w:tc>
          <w:tcPr>
            <w:tcW w:w="803" w:type="pct"/>
            <w:shd w:val="clear" w:color="auto" w:fill="auto"/>
            <w:hideMark/>
          </w:tcPr>
          <w:p w14:paraId="2D505D4C" w14:textId="77777777" w:rsidR="00B94540" w:rsidRPr="00092ED7" w:rsidRDefault="00B94540" w:rsidP="00B94540">
            <w:pPr>
              <w:spacing w:after="0"/>
              <w:ind w:right="340"/>
              <w:jc w:val="right"/>
              <w:rPr>
                <w:rFonts w:cstheme="minorHAnsi"/>
                <w:sz w:val="20"/>
                <w:szCs w:val="20"/>
                <w:lang w:val="sr-Cyrl-CS"/>
              </w:rPr>
            </w:pPr>
            <w:r w:rsidRPr="00092ED7">
              <w:rPr>
                <w:sz w:val="20"/>
                <w:szCs w:val="20"/>
                <w:lang w:val="sr-Cyrl-CS"/>
              </w:rPr>
              <w:t>219,4</w:t>
            </w:r>
          </w:p>
        </w:tc>
        <w:tc>
          <w:tcPr>
            <w:tcW w:w="803" w:type="pct"/>
          </w:tcPr>
          <w:p w14:paraId="7F1804B9" w14:textId="77777777" w:rsidR="00B94540" w:rsidRPr="00092ED7" w:rsidRDefault="00B94540" w:rsidP="00B94540">
            <w:pPr>
              <w:spacing w:after="0"/>
              <w:ind w:right="510"/>
              <w:jc w:val="right"/>
              <w:rPr>
                <w:rFonts w:cstheme="minorHAnsi"/>
                <w:sz w:val="20"/>
                <w:szCs w:val="20"/>
                <w:lang w:val="sr-Cyrl-CS"/>
              </w:rPr>
            </w:pPr>
            <w:r w:rsidRPr="00092ED7">
              <w:rPr>
                <w:sz w:val="20"/>
                <w:szCs w:val="20"/>
                <w:lang w:val="sr-Cyrl-CS"/>
              </w:rPr>
              <w:t>17,2</w:t>
            </w:r>
          </w:p>
        </w:tc>
        <w:tc>
          <w:tcPr>
            <w:tcW w:w="803" w:type="pct"/>
            <w:shd w:val="clear" w:color="auto" w:fill="auto"/>
            <w:hideMark/>
          </w:tcPr>
          <w:p w14:paraId="577A1E6C" w14:textId="77777777" w:rsidR="00B94540" w:rsidRPr="00092ED7" w:rsidRDefault="00B94540" w:rsidP="00B94540">
            <w:pPr>
              <w:spacing w:after="0"/>
              <w:ind w:right="510"/>
              <w:jc w:val="right"/>
              <w:rPr>
                <w:rFonts w:cstheme="minorHAnsi"/>
                <w:sz w:val="20"/>
                <w:szCs w:val="20"/>
                <w:lang w:val="sr-Cyrl-CS"/>
              </w:rPr>
            </w:pPr>
            <w:r w:rsidRPr="00092ED7">
              <w:rPr>
                <w:sz w:val="20"/>
                <w:szCs w:val="20"/>
                <w:lang w:val="sr-Cyrl-CS"/>
              </w:rPr>
              <w:t>15,2</w:t>
            </w:r>
          </w:p>
        </w:tc>
      </w:tr>
      <w:tr w:rsidR="00B94540" w:rsidRPr="00092ED7" w14:paraId="0BD323CE" w14:textId="77777777" w:rsidTr="009D4BCD">
        <w:trPr>
          <w:trHeight w:val="66"/>
          <w:tblHeader/>
          <w:jc w:val="right"/>
        </w:trPr>
        <w:tc>
          <w:tcPr>
            <w:tcW w:w="1788" w:type="pct"/>
            <w:shd w:val="clear" w:color="auto" w:fill="auto"/>
            <w:noWrap/>
            <w:vAlign w:val="center"/>
            <w:hideMark/>
          </w:tcPr>
          <w:p w14:paraId="7F9FDF0D" w14:textId="77777777" w:rsidR="00B94540" w:rsidRPr="00092ED7" w:rsidRDefault="00B94540" w:rsidP="00B94540">
            <w:pPr>
              <w:spacing w:after="0"/>
              <w:jc w:val="left"/>
              <w:rPr>
                <w:rFonts w:eastAsia="MS PGothic" w:cstheme="minorHAnsi"/>
                <w:sz w:val="20"/>
                <w:szCs w:val="20"/>
                <w:lang w:val="sr-Cyrl-CS" w:eastAsia="ja-JP"/>
              </w:rPr>
            </w:pPr>
            <w:r w:rsidRPr="00092ED7">
              <w:rPr>
                <w:rFonts w:eastAsia="MS PGothic" w:cstheme="minorHAnsi"/>
                <w:sz w:val="20"/>
                <w:szCs w:val="20"/>
                <w:lang w:val="sr-Cyrl-CS" w:eastAsia="ja-JP"/>
              </w:rPr>
              <w:t>Порез на добит правних лица</w:t>
            </w:r>
          </w:p>
        </w:tc>
        <w:tc>
          <w:tcPr>
            <w:tcW w:w="803" w:type="pct"/>
            <w:shd w:val="clear" w:color="auto" w:fill="auto"/>
            <w:hideMark/>
          </w:tcPr>
          <w:p w14:paraId="333CE7FE" w14:textId="77777777" w:rsidR="00B94540" w:rsidRPr="00092ED7" w:rsidRDefault="00B94540" w:rsidP="00B94540">
            <w:pPr>
              <w:spacing w:after="0"/>
              <w:ind w:right="340"/>
              <w:jc w:val="right"/>
              <w:rPr>
                <w:rFonts w:cstheme="minorHAnsi"/>
                <w:sz w:val="20"/>
                <w:szCs w:val="20"/>
                <w:lang w:val="sr-Cyrl-CS"/>
              </w:rPr>
            </w:pPr>
            <w:r w:rsidRPr="00092ED7">
              <w:rPr>
                <w:sz w:val="20"/>
                <w:szCs w:val="20"/>
                <w:lang w:val="sr-Cyrl-CS"/>
              </w:rPr>
              <w:t>125,7</w:t>
            </w:r>
          </w:p>
        </w:tc>
        <w:tc>
          <w:tcPr>
            <w:tcW w:w="803" w:type="pct"/>
            <w:shd w:val="clear" w:color="auto" w:fill="auto"/>
            <w:hideMark/>
          </w:tcPr>
          <w:p w14:paraId="429CC5D4" w14:textId="77777777" w:rsidR="00B94540" w:rsidRPr="00092ED7" w:rsidRDefault="00B94540" w:rsidP="00B94540">
            <w:pPr>
              <w:spacing w:after="0"/>
              <w:ind w:right="340"/>
              <w:jc w:val="right"/>
              <w:rPr>
                <w:rFonts w:cstheme="minorHAnsi"/>
                <w:sz w:val="20"/>
                <w:szCs w:val="20"/>
                <w:lang w:val="sr-Cyrl-CS"/>
              </w:rPr>
            </w:pPr>
            <w:r w:rsidRPr="00092ED7">
              <w:rPr>
                <w:sz w:val="20"/>
                <w:szCs w:val="20"/>
                <w:lang w:val="sr-Cyrl-CS"/>
              </w:rPr>
              <w:t>166,8</w:t>
            </w:r>
          </w:p>
        </w:tc>
        <w:tc>
          <w:tcPr>
            <w:tcW w:w="803" w:type="pct"/>
          </w:tcPr>
          <w:p w14:paraId="135E2598" w14:textId="77777777" w:rsidR="00B94540" w:rsidRPr="00092ED7" w:rsidRDefault="00B94540" w:rsidP="00B94540">
            <w:pPr>
              <w:spacing w:after="0"/>
              <w:ind w:right="510"/>
              <w:jc w:val="right"/>
              <w:rPr>
                <w:rFonts w:cstheme="minorHAnsi"/>
                <w:sz w:val="20"/>
                <w:szCs w:val="20"/>
                <w:lang w:val="sr-Cyrl-CS"/>
              </w:rPr>
            </w:pPr>
            <w:r w:rsidRPr="00092ED7">
              <w:rPr>
                <w:sz w:val="20"/>
                <w:szCs w:val="20"/>
                <w:lang w:val="sr-Cyrl-CS"/>
              </w:rPr>
              <w:t>32,7</w:t>
            </w:r>
          </w:p>
        </w:tc>
        <w:tc>
          <w:tcPr>
            <w:tcW w:w="803" w:type="pct"/>
            <w:shd w:val="clear" w:color="auto" w:fill="auto"/>
            <w:hideMark/>
          </w:tcPr>
          <w:p w14:paraId="1DD4E7F3" w14:textId="77777777" w:rsidR="00B94540" w:rsidRPr="00092ED7" w:rsidRDefault="00B94540" w:rsidP="00B94540">
            <w:pPr>
              <w:spacing w:after="0"/>
              <w:ind w:right="510"/>
              <w:jc w:val="right"/>
              <w:rPr>
                <w:rFonts w:cstheme="minorHAnsi"/>
                <w:sz w:val="20"/>
                <w:szCs w:val="20"/>
                <w:lang w:val="sr-Cyrl-CS"/>
              </w:rPr>
            </w:pPr>
            <w:r w:rsidRPr="00092ED7">
              <w:rPr>
                <w:sz w:val="20"/>
                <w:szCs w:val="20"/>
                <w:lang w:val="sr-Cyrl-CS"/>
              </w:rPr>
              <w:t>30,8</w:t>
            </w:r>
          </w:p>
        </w:tc>
      </w:tr>
      <w:tr w:rsidR="00B94540" w:rsidRPr="00092ED7" w14:paraId="3313AADA" w14:textId="77777777" w:rsidTr="009D4BCD">
        <w:trPr>
          <w:trHeight w:val="66"/>
          <w:tblHeader/>
          <w:jc w:val="right"/>
        </w:trPr>
        <w:tc>
          <w:tcPr>
            <w:tcW w:w="1788" w:type="pct"/>
            <w:shd w:val="clear" w:color="auto" w:fill="auto"/>
            <w:noWrap/>
            <w:vAlign w:val="center"/>
            <w:hideMark/>
          </w:tcPr>
          <w:p w14:paraId="3E115719" w14:textId="77777777" w:rsidR="00B94540" w:rsidRPr="00092ED7" w:rsidRDefault="00B94540" w:rsidP="00B94540">
            <w:pPr>
              <w:spacing w:after="0"/>
              <w:jc w:val="left"/>
              <w:rPr>
                <w:rFonts w:eastAsia="MS PGothic" w:cstheme="minorHAnsi"/>
                <w:sz w:val="20"/>
                <w:szCs w:val="20"/>
                <w:lang w:val="sr-Cyrl-CS" w:eastAsia="ja-JP"/>
              </w:rPr>
            </w:pPr>
            <w:r w:rsidRPr="00092ED7">
              <w:rPr>
                <w:rFonts w:eastAsia="MS PGothic" w:cstheme="minorHAnsi"/>
                <w:sz w:val="20"/>
                <w:szCs w:val="20"/>
                <w:lang w:val="sr-Cyrl-CS" w:eastAsia="ja-JP"/>
              </w:rPr>
              <w:t>ПДВ</w:t>
            </w:r>
          </w:p>
        </w:tc>
        <w:tc>
          <w:tcPr>
            <w:tcW w:w="803" w:type="pct"/>
            <w:shd w:val="clear" w:color="auto" w:fill="auto"/>
            <w:hideMark/>
          </w:tcPr>
          <w:p w14:paraId="3A473BF0" w14:textId="77777777" w:rsidR="00B94540" w:rsidRPr="00092ED7" w:rsidRDefault="00B94540" w:rsidP="00B94540">
            <w:pPr>
              <w:spacing w:after="0"/>
              <w:ind w:right="340"/>
              <w:jc w:val="right"/>
              <w:rPr>
                <w:rFonts w:cstheme="minorHAnsi"/>
                <w:sz w:val="20"/>
                <w:szCs w:val="20"/>
                <w:lang w:val="sr-Cyrl-CS"/>
              </w:rPr>
            </w:pPr>
            <w:r w:rsidRPr="00092ED7">
              <w:rPr>
                <w:sz w:val="20"/>
                <w:szCs w:val="20"/>
                <w:lang w:val="sr-Cyrl-CS"/>
              </w:rPr>
              <w:t>473,9</w:t>
            </w:r>
          </w:p>
        </w:tc>
        <w:tc>
          <w:tcPr>
            <w:tcW w:w="803" w:type="pct"/>
            <w:shd w:val="clear" w:color="auto" w:fill="auto"/>
            <w:hideMark/>
          </w:tcPr>
          <w:p w14:paraId="59D34891" w14:textId="77777777" w:rsidR="00B94540" w:rsidRPr="00092ED7" w:rsidRDefault="00B94540" w:rsidP="00B94540">
            <w:pPr>
              <w:spacing w:after="0"/>
              <w:ind w:right="340"/>
              <w:jc w:val="right"/>
              <w:rPr>
                <w:rFonts w:cstheme="minorHAnsi"/>
                <w:sz w:val="20"/>
                <w:szCs w:val="20"/>
                <w:lang w:val="sr-Cyrl-CS"/>
              </w:rPr>
            </w:pPr>
            <w:r w:rsidRPr="00092ED7">
              <w:rPr>
                <w:sz w:val="20"/>
                <w:szCs w:val="20"/>
                <w:lang w:val="sr-Cyrl-CS"/>
              </w:rPr>
              <w:t>579,1</w:t>
            </w:r>
          </w:p>
        </w:tc>
        <w:tc>
          <w:tcPr>
            <w:tcW w:w="803" w:type="pct"/>
          </w:tcPr>
          <w:p w14:paraId="1993CF79" w14:textId="77777777" w:rsidR="00B94540" w:rsidRPr="00092ED7" w:rsidRDefault="00B94540" w:rsidP="00B94540">
            <w:pPr>
              <w:spacing w:after="0"/>
              <w:ind w:right="510"/>
              <w:jc w:val="right"/>
              <w:rPr>
                <w:rFonts w:cstheme="minorHAnsi"/>
                <w:sz w:val="20"/>
                <w:szCs w:val="20"/>
                <w:lang w:val="sr-Cyrl-CS"/>
              </w:rPr>
            </w:pPr>
            <w:r w:rsidRPr="00092ED7">
              <w:rPr>
                <w:sz w:val="20"/>
                <w:szCs w:val="20"/>
                <w:lang w:val="sr-Cyrl-CS"/>
              </w:rPr>
              <w:t>22,2</w:t>
            </w:r>
          </w:p>
        </w:tc>
        <w:tc>
          <w:tcPr>
            <w:tcW w:w="803" w:type="pct"/>
            <w:shd w:val="clear" w:color="auto" w:fill="auto"/>
            <w:hideMark/>
          </w:tcPr>
          <w:p w14:paraId="568B24E8" w14:textId="77777777" w:rsidR="00B94540" w:rsidRPr="00092ED7" w:rsidRDefault="00B94540" w:rsidP="00B94540">
            <w:pPr>
              <w:spacing w:after="0"/>
              <w:ind w:right="510"/>
              <w:jc w:val="right"/>
              <w:rPr>
                <w:rFonts w:cstheme="minorHAnsi"/>
                <w:sz w:val="20"/>
                <w:szCs w:val="20"/>
                <w:lang w:val="sr-Cyrl-CS"/>
              </w:rPr>
            </w:pPr>
            <w:r w:rsidRPr="00092ED7">
              <w:rPr>
                <w:sz w:val="20"/>
                <w:szCs w:val="20"/>
                <w:lang w:val="sr-Cyrl-CS"/>
              </w:rPr>
              <w:t>17,9</w:t>
            </w:r>
          </w:p>
        </w:tc>
      </w:tr>
      <w:tr w:rsidR="00B94540" w:rsidRPr="00092ED7" w14:paraId="44B6CE5E" w14:textId="77777777" w:rsidTr="009D4BCD">
        <w:trPr>
          <w:trHeight w:val="66"/>
          <w:tblHeader/>
          <w:jc w:val="right"/>
        </w:trPr>
        <w:tc>
          <w:tcPr>
            <w:tcW w:w="1788" w:type="pct"/>
            <w:shd w:val="clear" w:color="auto" w:fill="auto"/>
            <w:noWrap/>
            <w:vAlign w:val="center"/>
            <w:hideMark/>
          </w:tcPr>
          <w:p w14:paraId="148E4D7B" w14:textId="77777777" w:rsidR="00B94540" w:rsidRPr="00092ED7" w:rsidRDefault="00B94540" w:rsidP="00B94540">
            <w:pPr>
              <w:spacing w:after="0"/>
              <w:jc w:val="left"/>
              <w:rPr>
                <w:rFonts w:eastAsia="MS PGothic" w:cstheme="minorHAnsi"/>
                <w:sz w:val="20"/>
                <w:szCs w:val="20"/>
                <w:lang w:val="sr-Cyrl-CS" w:eastAsia="ja-JP"/>
              </w:rPr>
            </w:pPr>
            <w:r w:rsidRPr="00092ED7">
              <w:rPr>
                <w:rFonts w:eastAsia="MS PGothic" w:cstheme="minorHAnsi"/>
                <w:sz w:val="20"/>
                <w:szCs w:val="20"/>
                <w:lang w:val="sr-Cyrl-CS" w:eastAsia="ja-JP"/>
              </w:rPr>
              <w:t>Акцизе</w:t>
            </w:r>
          </w:p>
        </w:tc>
        <w:tc>
          <w:tcPr>
            <w:tcW w:w="803" w:type="pct"/>
            <w:shd w:val="clear" w:color="auto" w:fill="auto"/>
            <w:hideMark/>
          </w:tcPr>
          <w:p w14:paraId="323F2AD2" w14:textId="77777777" w:rsidR="00B94540" w:rsidRPr="00092ED7" w:rsidRDefault="00B94540" w:rsidP="00B94540">
            <w:pPr>
              <w:spacing w:after="0"/>
              <w:ind w:right="340"/>
              <w:jc w:val="right"/>
              <w:rPr>
                <w:rFonts w:cstheme="minorHAnsi"/>
                <w:sz w:val="20"/>
                <w:szCs w:val="20"/>
                <w:lang w:val="sr-Cyrl-CS"/>
              </w:rPr>
            </w:pPr>
            <w:r w:rsidRPr="00092ED7">
              <w:rPr>
                <w:sz w:val="20"/>
                <w:szCs w:val="20"/>
                <w:lang w:val="sr-Cyrl-CS"/>
              </w:rPr>
              <w:t>243,7</w:t>
            </w:r>
          </w:p>
        </w:tc>
        <w:tc>
          <w:tcPr>
            <w:tcW w:w="803" w:type="pct"/>
            <w:shd w:val="clear" w:color="auto" w:fill="auto"/>
            <w:hideMark/>
          </w:tcPr>
          <w:p w14:paraId="3C5A8A8A" w14:textId="77777777" w:rsidR="00B94540" w:rsidRPr="00092ED7" w:rsidRDefault="00B94540" w:rsidP="00B94540">
            <w:pPr>
              <w:spacing w:after="0"/>
              <w:ind w:right="340"/>
              <w:jc w:val="right"/>
              <w:rPr>
                <w:rFonts w:cstheme="minorHAnsi"/>
                <w:sz w:val="20"/>
                <w:szCs w:val="20"/>
                <w:lang w:val="sr-Cyrl-CS"/>
              </w:rPr>
            </w:pPr>
            <w:r w:rsidRPr="00092ED7">
              <w:rPr>
                <w:sz w:val="20"/>
                <w:szCs w:val="20"/>
                <w:lang w:val="sr-Cyrl-CS"/>
              </w:rPr>
              <w:t>251,2</w:t>
            </w:r>
          </w:p>
        </w:tc>
        <w:tc>
          <w:tcPr>
            <w:tcW w:w="803" w:type="pct"/>
          </w:tcPr>
          <w:p w14:paraId="78819836" w14:textId="77777777" w:rsidR="00B94540" w:rsidRPr="00092ED7" w:rsidRDefault="00B94540" w:rsidP="00B94540">
            <w:pPr>
              <w:spacing w:after="0"/>
              <w:ind w:right="510"/>
              <w:jc w:val="right"/>
              <w:rPr>
                <w:rFonts w:cstheme="minorHAnsi"/>
                <w:sz w:val="20"/>
                <w:szCs w:val="20"/>
                <w:lang w:val="sr-Cyrl-CS"/>
              </w:rPr>
            </w:pPr>
            <w:r w:rsidRPr="00092ED7">
              <w:rPr>
                <w:sz w:val="20"/>
                <w:szCs w:val="20"/>
                <w:lang w:val="sr-Cyrl-CS"/>
              </w:rPr>
              <w:t>3,0</w:t>
            </w:r>
          </w:p>
        </w:tc>
        <w:tc>
          <w:tcPr>
            <w:tcW w:w="803" w:type="pct"/>
            <w:shd w:val="clear" w:color="auto" w:fill="auto"/>
            <w:hideMark/>
          </w:tcPr>
          <w:p w14:paraId="1EB945C8" w14:textId="77777777" w:rsidR="00B94540" w:rsidRPr="00092ED7" w:rsidRDefault="00B94540" w:rsidP="00B94540">
            <w:pPr>
              <w:spacing w:after="0"/>
              <w:ind w:right="510"/>
              <w:jc w:val="right"/>
              <w:rPr>
                <w:rFonts w:cstheme="minorHAnsi"/>
                <w:sz w:val="20"/>
                <w:szCs w:val="20"/>
                <w:lang w:val="sr-Cyrl-CS"/>
              </w:rPr>
            </w:pPr>
            <w:r w:rsidRPr="00092ED7">
              <w:rPr>
                <w:sz w:val="20"/>
                <w:szCs w:val="20"/>
                <w:lang w:val="sr-Cyrl-CS"/>
              </w:rPr>
              <w:t>2,1</w:t>
            </w:r>
          </w:p>
        </w:tc>
      </w:tr>
      <w:tr w:rsidR="00B94540" w:rsidRPr="00092ED7" w14:paraId="4AA5C417" w14:textId="77777777" w:rsidTr="009D4BCD">
        <w:trPr>
          <w:trHeight w:val="66"/>
          <w:tblHeader/>
          <w:jc w:val="right"/>
        </w:trPr>
        <w:tc>
          <w:tcPr>
            <w:tcW w:w="1788" w:type="pct"/>
            <w:shd w:val="clear" w:color="auto" w:fill="auto"/>
            <w:noWrap/>
            <w:vAlign w:val="center"/>
            <w:hideMark/>
          </w:tcPr>
          <w:p w14:paraId="3417B548" w14:textId="77777777" w:rsidR="00B94540" w:rsidRPr="00092ED7" w:rsidRDefault="00B94540" w:rsidP="00B94540">
            <w:pPr>
              <w:spacing w:after="0"/>
              <w:jc w:val="left"/>
              <w:rPr>
                <w:rFonts w:eastAsia="MS PGothic" w:cstheme="minorHAnsi"/>
                <w:sz w:val="20"/>
                <w:szCs w:val="20"/>
                <w:lang w:val="sr-Cyrl-CS" w:eastAsia="ja-JP"/>
              </w:rPr>
            </w:pPr>
            <w:r w:rsidRPr="00092ED7">
              <w:rPr>
                <w:rFonts w:eastAsia="MS PGothic" w:cstheme="minorHAnsi"/>
                <w:sz w:val="20"/>
                <w:szCs w:val="20"/>
                <w:lang w:val="sr-Cyrl-CS" w:eastAsia="ja-JP"/>
              </w:rPr>
              <w:t>Царине</w:t>
            </w:r>
          </w:p>
        </w:tc>
        <w:tc>
          <w:tcPr>
            <w:tcW w:w="803" w:type="pct"/>
            <w:shd w:val="clear" w:color="auto" w:fill="auto"/>
            <w:hideMark/>
          </w:tcPr>
          <w:p w14:paraId="0C92496D" w14:textId="77777777" w:rsidR="00B94540" w:rsidRPr="00092ED7" w:rsidRDefault="00B94540" w:rsidP="00B94540">
            <w:pPr>
              <w:spacing w:after="0"/>
              <w:ind w:right="340"/>
              <w:jc w:val="right"/>
              <w:rPr>
                <w:rFonts w:cstheme="minorHAnsi"/>
                <w:sz w:val="20"/>
                <w:szCs w:val="20"/>
                <w:lang w:val="sr-Cyrl-CS"/>
              </w:rPr>
            </w:pPr>
            <w:r w:rsidRPr="00092ED7">
              <w:rPr>
                <w:sz w:val="20"/>
                <w:szCs w:val="20"/>
                <w:lang w:val="sr-Cyrl-CS"/>
              </w:rPr>
              <w:t>43,5</w:t>
            </w:r>
          </w:p>
        </w:tc>
        <w:tc>
          <w:tcPr>
            <w:tcW w:w="803" w:type="pct"/>
            <w:shd w:val="clear" w:color="auto" w:fill="auto"/>
            <w:hideMark/>
          </w:tcPr>
          <w:p w14:paraId="63178BE6" w14:textId="77777777" w:rsidR="00B94540" w:rsidRPr="00092ED7" w:rsidRDefault="00B94540" w:rsidP="00B94540">
            <w:pPr>
              <w:spacing w:after="0"/>
              <w:ind w:right="340"/>
              <w:jc w:val="right"/>
              <w:rPr>
                <w:rFonts w:cstheme="minorHAnsi"/>
                <w:sz w:val="20"/>
                <w:szCs w:val="20"/>
                <w:lang w:val="sr-Cyrl-CS"/>
              </w:rPr>
            </w:pPr>
            <w:r w:rsidRPr="00092ED7">
              <w:rPr>
                <w:sz w:val="20"/>
                <w:szCs w:val="20"/>
                <w:lang w:val="sr-Cyrl-CS"/>
              </w:rPr>
              <w:t>57,4</w:t>
            </w:r>
          </w:p>
        </w:tc>
        <w:tc>
          <w:tcPr>
            <w:tcW w:w="803" w:type="pct"/>
          </w:tcPr>
          <w:p w14:paraId="195EE454" w14:textId="77777777" w:rsidR="00B94540" w:rsidRPr="00092ED7" w:rsidRDefault="00B94540" w:rsidP="00B94540">
            <w:pPr>
              <w:spacing w:after="0"/>
              <w:ind w:right="510"/>
              <w:jc w:val="right"/>
              <w:rPr>
                <w:rFonts w:cstheme="minorHAnsi"/>
                <w:sz w:val="20"/>
                <w:szCs w:val="20"/>
                <w:lang w:val="sr-Cyrl-CS"/>
              </w:rPr>
            </w:pPr>
            <w:r w:rsidRPr="00092ED7">
              <w:rPr>
                <w:sz w:val="20"/>
                <w:szCs w:val="20"/>
                <w:lang w:val="sr-Cyrl-CS"/>
              </w:rPr>
              <w:t>32,0</w:t>
            </w:r>
          </w:p>
        </w:tc>
        <w:tc>
          <w:tcPr>
            <w:tcW w:w="803" w:type="pct"/>
            <w:shd w:val="clear" w:color="auto" w:fill="auto"/>
            <w:hideMark/>
          </w:tcPr>
          <w:p w14:paraId="686A21F6" w14:textId="77777777" w:rsidR="00B94540" w:rsidRPr="00092ED7" w:rsidRDefault="00B94540" w:rsidP="00B94540">
            <w:pPr>
              <w:spacing w:after="0"/>
              <w:ind w:right="510"/>
              <w:jc w:val="right"/>
              <w:rPr>
                <w:rFonts w:cstheme="minorHAnsi"/>
                <w:sz w:val="20"/>
                <w:szCs w:val="20"/>
                <w:lang w:val="sr-Cyrl-CS"/>
              </w:rPr>
            </w:pPr>
            <w:r w:rsidRPr="00092ED7">
              <w:rPr>
                <w:sz w:val="20"/>
                <w:szCs w:val="20"/>
                <w:lang w:val="sr-Cyrl-CS"/>
              </w:rPr>
              <w:t>28,3</w:t>
            </w:r>
          </w:p>
        </w:tc>
      </w:tr>
      <w:tr w:rsidR="00B94540" w:rsidRPr="00092ED7" w14:paraId="6127B209" w14:textId="77777777" w:rsidTr="009D4BCD">
        <w:trPr>
          <w:trHeight w:val="66"/>
          <w:tblHeader/>
          <w:jc w:val="right"/>
        </w:trPr>
        <w:tc>
          <w:tcPr>
            <w:tcW w:w="1788" w:type="pct"/>
            <w:shd w:val="clear" w:color="auto" w:fill="auto"/>
            <w:noWrap/>
            <w:vAlign w:val="center"/>
            <w:hideMark/>
          </w:tcPr>
          <w:p w14:paraId="54608B82" w14:textId="77777777" w:rsidR="00B94540" w:rsidRPr="00092ED7" w:rsidRDefault="00B94540" w:rsidP="00B94540">
            <w:pPr>
              <w:spacing w:after="0"/>
              <w:jc w:val="left"/>
              <w:rPr>
                <w:rFonts w:eastAsia="MS PGothic" w:cstheme="minorHAnsi"/>
                <w:sz w:val="20"/>
                <w:szCs w:val="20"/>
                <w:lang w:val="sr-Cyrl-CS" w:eastAsia="ja-JP"/>
              </w:rPr>
            </w:pPr>
            <w:r w:rsidRPr="00092ED7">
              <w:rPr>
                <w:rFonts w:eastAsia="MS PGothic" w:cstheme="minorHAnsi"/>
                <w:sz w:val="20"/>
                <w:szCs w:val="20"/>
                <w:lang w:val="sr-Cyrl-CS" w:eastAsia="ja-JP"/>
              </w:rPr>
              <w:t>Остали порески приходи</w:t>
            </w:r>
          </w:p>
        </w:tc>
        <w:tc>
          <w:tcPr>
            <w:tcW w:w="803" w:type="pct"/>
            <w:shd w:val="clear" w:color="auto" w:fill="auto"/>
            <w:hideMark/>
          </w:tcPr>
          <w:p w14:paraId="16D4DC4F" w14:textId="77777777" w:rsidR="00B94540" w:rsidRPr="00092ED7" w:rsidRDefault="00B94540" w:rsidP="00B94540">
            <w:pPr>
              <w:spacing w:after="0"/>
              <w:ind w:right="340"/>
              <w:jc w:val="right"/>
              <w:rPr>
                <w:rFonts w:cstheme="minorHAnsi"/>
                <w:sz w:val="20"/>
                <w:szCs w:val="20"/>
                <w:lang w:val="sr-Cyrl-CS"/>
              </w:rPr>
            </w:pPr>
            <w:r w:rsidRPr="00092ED7">
              <w:rPr>
                <w:sz w:val="20"/>
                <w:szCs w:val="20"/>
                <w:lang w:val="sr-Cyrl-CS"/>
              </w:rPr>
              <w:t>66,4</w:t>
            </w:r>
          </w:p>
        </w:tc>
        <w:tc>
          <w:tcPr>
            <w:tcW w:w="803" w:type="pct"/>
            <w:shd w:val="clear" w:color="auto" w:fill="auto"/>
            <w:hideMark/>
          </w:tcPr>
          <w:p w14:paraId="7F14939E" w14:textId="77777777" w:rsidR="00B94540" w:rsidRPr="00092ED7" w:rsidRDefault="00B94540" w:rsidP="00B94540">
            <w:pPr>
              <w:spacing w:after="0"/>
              <w:ind w:right="340"/>
              <w:jc w:val="right"/>
              <w:rPr>
                <w:rFonts w:cstheme="minorHAnsi"/>
                <w:sz w:val="20"/>
                <w:szCs w:val="20"/>
                <w:lang w:val="sr-Cyrl-CS"/>
              </w:rPr>
            </w:pPr>
            <w:r w:rsidRPr="00092ED7">
              <w:rPr>
                <w:sz w:val="20"/>
                <w:szCs w:val="20"/>
                <w:lang w:val="sr-Cyrl-CS"/>
              </w:rPr>
              <w:t>72,0</w:t>
            </w:r>
          </w:p>
        </w:tc>
        <w:tc>
          <w:tcPr>
            <w:tcW w:w="803" w:type="pct"/>
          </w:tcPr>
          <w:p w14:paraId="53701B32" w14:textId="77777777" w:rsidR="00B94540" w:rsidRPr="00092ED7" w:rsidRDefault="00B94540" w:rsidP="00B94540">
            <w:pPr>
              <w:spacing w:after="0"/>
              <w:ind w:right="510"/>
              <w:jc w:val="right"/>
              <w:rPr>
                <w:rFonts w:cstheme="minorHAnsi"/>
                <w:sz w:val="20"/>
                <w:szCs w:val="20"/>
                <w:lang w:val="sr-Cyrl-CS"/>
              </w:rPr>
            </w:pPr>
            <w:r w:rsidRPr="00092ED7">
              <w:rPr>
                <w:sz w:val="20"/>
                <w:szCs w:val="20"/>
                <w:lang w:val="sr-Cyrl-CS"/>
              </w:rPr>
              <w:t>8,4</w:t>
            </w:r>
          </w:p>
        </w:tc>
        <w:tc>
          <w:tcPr>
            <w:tcW w:w="803" w:type="pct"/>
            <w:shd w:val="clear" w:color="auto" w:fill="auto"/>
            <w:hideMark/>
          </w:tcPr>
          <w:p w14:paraId="0ED01E51" w14:textId="77777777" w:rsidR="00B94540" w:rsidRPr="00092ED7" w:rsidRDefault="00B94540" w:rsidP="00B94540">
            <w:pPr>
              <w:spacing w:after="0"/>
              <w:ind w:right="510"/>
              <w:jc w:val="right"/>
              <w:rPr>
                <w:rFonts w:cstheme="minorHAnsi"/>
                <w:sz w:val="20"/>
                <w:szCs w:val="20"/>
                <w:lang w:val="sr-Cyrl-CS"/>
              </w:rPr>
            </w:pPr>
            <w:r w:rsidRPr="00092ED7">
              <w:rPr>
                <w:sz w:val="20"/>
                <w:szCs w:val="20"/>
                <w:lang w:val="sr-Cyrl-CS"/>
              </w:rPr>
              <w:t>4,8</w:t>
            </w:r>
          </w:p>
        </w:tc>
      </w:tr>
      <w:tr w:rsidR="00B94540" w:rsidRPr="00092ED7" w14:paraId="61BB9E2B" w14:textId="77777777" w:rsidTr="009D4BCD">
        <w:trPr>
          <w:trHeight w:val="66"/>
          <w:tblHeader/>
          <w:jc w:val="right"/>
        </w:trPr>
        <w:tc>
          <w:tcPr>
            <w:tcW w:w="1788" w:type="pct"/>
            <w:shd w:val="clear" w:color="auto" w:fill="auto"/>
            <w:noWrap/>
            <w:vAlign w:val="center"/>
            <w:hideMark/>
          </w:tcPr>
          <w:p w14:paraId="4AE5EE57" w14:textId="77777777" w:rsidR="00B94540" w:rsidRPr="00092ED7" w:rsidRDefault="00B94540" w:rsidP="00B94540">
            <w:pPr>
              <w:spacing w:after="0"/>
              <w:jc w:val="left"/>
              <w:rPr>
                <w:rFonts w:eastAsia="MS PGothic" w:cstheme="minorHAnsi"/>
                <w:sz w:val="20"/>
                <w:szCs w:val="20"/>
                <w:lang w:val="sr-Cyrl-CS" w:eastAsia="ja-JP"/>
              </w:rPr>
            </w:pPr>
            <w:r w:rsidRPr="00092ED7">
              <w:rPr>
                <w:rFonts w:eastAsia="MS PGothic" w:cstheme="minorHAnsi"/>
                <w:sz w:val="20"/>
                <w:szCs w:val="20"/>
                <w:lang w:val="sr-Cyrl-CS" w:eastAsia="ja-JP"/>
              </w:rPr>
              <w:t>Доприноси</w:t>
            </w:r>
          </w:p>
        </w:tc>
        <w:tc>
          <w:tcPr>
            <w:tcW w:w="803" w:type="pct"/>
            <w:shd w:val="clear" w:color="auto" w:fill="auto"/>
            <w:hideMark/>
          </w:tcPr>
          <w:p w14:paraId="71F56F19" w14:textId="77777777" w:rsidR="00B94540" w:rsidRPr="00092ED7" w:rsidRDefault="00B94540" w:rsidP="00B94540">
            <w:pPr>
              <w:spacing w:after="0"/>
              <w:ind w:right="340"/>
              <w:jc w:val="right"/>
              <w:rPr>
                <w:rFonts w:cstheme="minorHAnsi"/>
                <w:sz w:val="20"/>
                <w:szCs w:val="20"/>
                <w:lang w:val="sr-Cyrl-CS"/>
              </w:rPr>
            </w:pPr>
            <w:r w:rsidRPr="00092ED7">
              <w:rPr>
                <w:sz w:val="20"/>
                <w:szCs w:val="20"/>
                <w:lang w:val="sr-Cyrl-CS"/>
              </w:rPr>
              <w:t>623,9</w:t>
            </w:r>
          </w:p>
        </w:tc>
        <w:tc>
          <w:tcPr>
            <w:tcW w:w="803" w:type="pct"/>
            <w:shd w:val="clear" w:color="auto" w:fill="auto"/>
            <w:hideMark/>
          </w:tcPr>
          <w:p w14:paraId="6FB3F6B5" w14:textId="77777777" w:rsidR="00B94540" w:rsidRPr="00092ED7" w:rsidRDefault="00B94540" w:rsidP="00B94540">
            <w:pPr>
              <w:spacing w:after="0"/>
              <w:ind w:right="340"/>
              <w:jc w:val="right"/>
              <w:rPr>
                <w:rFonts w:cstheme="minorHAnsi"/>
                <w:sz w:val="20"/>
                <w:szCs w:val="20"/>
                <w:lang w:val="sr-Cyrl-CS"/>
              </w:rPr>
            </w:pPr>
            <w:r w:rsidRPr="00092ED7">
              <w:rPr>
                <w:sz w:val="20"/>
                <w:szCs w:val="20"/>
                <w:lang w:val="sr-Cyrl-CS"/>
              </w:rPr>
              <w:t>687,9</w:t>
            </w:r>
          </w:p>
        </w:tc>
        <w:tc>
          <w:tcPr>
            <w:tcW w:w="803" w:type="pct"/>
          </w:tcPr>
          <w:p w14:paraId="660C7BDB" w14:textId="77777777" w:rsidR="00B94540" w:rsidRPr="00092ED7" w:rsidRDefault="00B94540" w:rsidP="00B94540">
            <w:pPr>
              <w:spacing w:after="0"/>
              <w:ind w:right="510"/>
              <w:jc w:val="right"/>
              <w:rPr>
                <w:rFonts w:cstheme="minorHAnsi"/>
                <w:sz w:val="20"/>
                <w:szCs w:val="20"/>
                <w:lang w:val="sr-Cyrl-CS"/>
              </w:rPr>
            </w:pPr>
            <w:r w:rsidRPr="00092ED7">
              <w:rPr>
                <w:sz w:val="20"/>
                <w:szCs w:val="20"/>
                <w:lang w:val="sr-Cyrl-CS"/>
              </w:rPr>
              <w:t>10,2</w:t>
            </w:r>
          </w:p>
        </w:tc>
        <w:tc>
          <w:tcPr>
            <w:tcW w:w="803" w:type="pct"/>
            <w:shd w:val="clear" w:color="auto" w:fill="auto"/>
            <w:hideMark/>
          </w:tcPr>
          <w:p w14:paraId="07F87560" w14:textId="77777777" w:rsidR="00B94540" w:rsidRPr="00092ED7" w:rsidRDefault="00B94540" w:rsidP="00B94540">
            <w:pPr>
              <w:spacing w:after="0"/>
              <w:ind w:right="510"/>
              <w:jc w:val="right"/>
              <w:rPr>
                <w:rFonts w:cstheme="minorHAnsi"/>
                <w:sz w:val="20"/>
                <w:szCs w:val="20"/>
                <w:lang w:val="sr-Cyrl-CS"/>
              </w:rPr>
            </w:pPr>
            <w:r w:rsidRPr="00092ED7">
              <w:rPr>
                <w:sz w:val="20"/>
                <w:szCs w:val="20"/>
                <w:lang w:val="sr-Cyrl-CS"/>
              </w:rPr>
              <w:t>9,9</w:t>
            </w:r>
          </w:p>
        </w:tc>
      </w:tr>
      <w:tr w:rsidR="00B94540" w:rsidRPr="00092ED7" w14:paraId="2A8987DA" w14:textId="77777777" w:rsidTr="009D4BCD">
        <w:trPr>
          <w:trHeight w:val="66"/>
          <w:tblHeader/>
          <w:jc w:val="right"/>
        </w:trPr>
        <w:tc>
          <w:tcPr>
            <w:tcW w:w="1788" w:type="pct"/>
            <w:shd w:val="clear" w:color="auto" w:fill="auto"/>
            <w:noWrap/>
            <w:vAlign w:val="center"/>
            <w:hideMark/>
          </w:tcPr>
          <w:p w14:paraId="75AFBD98" w14:textId="77777777" w:rsidR="00B94540" w:rsidRPr="00092ED7" w:rsidRDefault="00B94540" w:rsidP="00B94540">
            <w:pPr>
              <w:spacing w:after="0"/>
              <w:jc w:val="left"/>
              <w:rPr>
                <w:rFonts w:eastAsia="MS PGothic" w:cstheme="minorHAnsi"/>
                <w:sz w:val="20"/>
                <w:szCs w:val="20"/>
                <w:lang w:val="sr-Cyrl-CS" w:eastAsia="ja-JP"/>
              </w:rPr>
            </w:pPr>
            <w:r w:rsidRPr="00092ED7">
              <w:rPr>
                <w:rFonts w:eastAsia="MS PGothic" w:cstheme="minorHAnsi"/>
                <w:sz w:val="20"/>
                <w:szCs w:val="20"/>
                <w:lang w:val="sr-Cyrl-CS" w:eastAsia="ja-JP"/>
              </w:rPr>
              <w:t>Непорески приходи</w:t>
            </w:r>
          </w:p>
        </w:tc>
        <w:tc>
          <w:tcPr>
            <w:tcW w:w="803" w:type="pct"/>
            <w:shd w:val="clear" w:color="auto" w:fill="auto"/>
            <w:hideMark/>
          </w:tcPr>
          <w:p w14:paraId="72097896" w14:textId="77777777" w:rsidR="00B94540" w:rsidRPr="00092ED7" w:rsidRDefault="00B94540" w:rsidP="00B94540">
            <w:pPr>
              <w:spacing w:after="0"/>
              <w:ind w:right="340"/>
              <w:jc w:val="right"/>
              <w:rPr>
                <w:rFonts w:cstheme="minorHAnsi"/>
                <w:sz w:val="20"/>
                <w:szCs w:val="20"/>
                <w:lang w:val="sr-Cyrl-CS"/>
              </w:rPr>
            </w:pPr>
            <w:r w:rsidRPr="00092ED7">
              <w:rPr>
                <w:sz w:val="20"/>
                <w:szCs w:val="20"/>
                <w:lang w:val="sr-Cyrl-CS"/>
              </w:rPr>
              <w:t>192,9</w:t>
            </w:r>
          </w:p>
        </w:tc>
        <w:tc>
          <w:tcPr>
            <w:tcW w:w="803" w:type="pct"/>
            <w:shd w:val="clear" w:color="auto" w:fill="auto"/>
            <w:hideMark/>
          </w:tcPr>
          <w:p w14:paraId="706402CF" w14:textId="77777777" w:rsidR="00B94540" w:rsidRPr="00092ED7" w:rsidRDefault="00B94540" w:rsidP="00B94540">
            <w:pPr>
              <w:spacing w:after="0"/>
              <w:ind w:right="340"/>
              <w:jc w:val="right"/>
              <w:rPr>
                <w:rFonts w:cstheme="minorHAnsi"/>
                <w:sz w:val="20"/>
                <w:szCs w:val="20"/>
                <w:lang w:val="sr-Cyrl-CS"/>
              </w:rPr>
            </w:pPr>
            <w:r w:rsidRPr="00092ED7">
              <w:rPr>
                <w:sz w:val="20"/>
                <w:szCs w:val="20"/>
                <w:lang w:val="sr-Cyrl-CS"/>
              </w:rPr>
              <w:t>209,7</w:t>
            </w:r>
          </w:p>
        </w:tc>
        <w:tc>
          <w:tcPr>
            <w:tcW w:w="803" w:type="pct"/>
          </w:tcPr>
          <w:p w14:paraId="47CCA3D4" w14:textId="77777777" w:rsidR="00B94540" w:rsidRPr="00092ED7" w:rsidRDefault="00B94540" w:rsidP="00B94540">
            <w:pPr>
              <w:spacing w:after="0"/>
              <w:ind w:right="510"/>
              <w:jc w:val="right"/>
              <w:rPr>
                <w:rFonts w:cstheme="minorHAnsi"/>
                <w:sz w:val="20"/>
                <w:szCs w:val="20"/>
                <w:lang w:val="sr-Cyrl-CS"/>
              </w:rPr>
            </w:pPr>
            <w:r w:rsidRPr="00092ED7">
              <w:rPr>
                <w:sz w:val="20"/>
                <w:szCs w:val="20"/>
                <w:lang w:val="sr-Cyrl-CS"/>
              </w:rPr>
              <w:t>8,7</w:t>
            </w:r>
          </w:p>
        </w:tc>
        <w:tc>
          <w:tcPr>
            <w:tcW w:w="803" w:type="pct"/>
            <w:shd w:val="clear" w:color="auto" w:fill="auto"/>
            <w:hideMark/>
          </w:tcPr>
          <w:p w14:paraId="10B5D3C3" w14:textId="77777777" w:rsidR="00B94540" w:rsidRPr="00092ED7" w:rsidRDefault="00B94540" w:rsidP="00B94540">
            <w:pPr>
              <w:spacing w:after="0"/>
              <w:ind w:right="510"/>
              <w:jc w:val="right"/>
              <w:rPr>
                <w:rFonts w:cstheme="minorHAnsi"/>
                <w:sz w:val="20"/>
                <w:szCs w:val="20"/>
                <w:lang w:val="sr-Cyrl-CS"/>
              </w:rPr>
            </w:pPr>
            <w:r w:rsidRPr="00092ED7">
              <w:rPr>
                <w:sz w:val="20"/>
                <w:szCs w:val="20"/>
                <w:lang w:val="sr-Cyrl-CS"/>
              </w:rPr>
              <w:t>2,1</w:t>
            </w:r>
          </w:p>
        </w:tc>
      </w:tr>
      <w:tr w:rsidR="00B94540" w:rsidRPr="00092ED7" w14:paraId="20A26387" w14:textId="77777777" w:rsidTr="009D4BCD">
        <w:trPr>
          <w:trHeight w:val="66"/>
          <w:tblHeader/>
          <w:jc w:val="right"/>
        </w:trPr>
        <w:tc>
          <w:tcPr>
            <w:tcW w:w="1788" w:type="pct"/>
            <w:shd w:val="clear" w:color="auto" w:fill="auto"/>
            <w:noWrap/>
            <w:vAlign w:val="center"/>
            <w:hideMark/>
          </w:tcPr>
          <w:p w14:paraId="792D8FE2" w14:textId="77777777" w:rsidR="00B94540" w:rsidRPr="00092ED7" w:rsidRDefault="00B94540" w:rsidP="00B94540">
            <w:pPr>
              <w:spacing w:after="0"/>
              <w:jc w:val="left"/>
              <w:rPr>
                <w:rFonts w:eastAsia="MS PGothic" w:cstheme="minorHAnsi"/>
                <w:sz w:val="20"/>
                <w:szCs w:val="20"/>
                <w:lang w:val="sr-Cyrl-CS" w:eastAsia="ja-JP"/>
              </w:rPr>
            </w:pPr>
            <w:r w:rsidRPr="00092ED7">
              <w:rPr>
                <w:rFonts w:eastAsia="MS PGothic" w:cstheme="minorHAnsi"/>
                <w:sz w:val="20"/>
                <w:szCs w:val="20"/>
                <w:lang w:val="sr-Cyrl-CS" w:eastAsia="ja-JP"/>
              </w:rPr>
              <w:t>Донације</w:t>
            </w:r>
          </w:p>
        </w:tc>
        <w:tc>
          <w:tcPr>
            <w:tcW w:w="803" w:type="pct"/>
            <w:shd w:val="clear" w:color="auto" w:fill="auto"/>
            <w:hideMark/>
          </w:tcPr>
          <w:p w14:paraId="63F5BB33" w14:textId="77777777" w:rsidR="00B94540" w:rsidRPr="00092ED7" w:rsidRDefault="00B94540" w:rsidP="00B94540">
            <w:pPr>
              <w:spacing w:after="0"/>
              <w:ind w:right="340"/>
              <w:jc w:val="right"/>
              <w:rPr>
                <w:rFonts w:cstheme="minorHAnsi"/>
                <w:sz w:val="20"/>
                <w:szCs w:val="20"/>
                <w:lang w:val="sr-Cyrl-CS"/>
              </w:rPr>
            </w:pPr>
            <w:r w:rsidRPr="00092ED7">
              <w:rPr>
                <w:sz w:val="20"/>
                <w:szCs w:val="20"/>
                <w:lang w:val="sr-Cyrl-CS"/>
              </w:rPr>
              <w:t>11,9</w:t>
            </w:r>
          </w:p>
        </w:tc>
        <w:tc>
          <w:tcPr>
            <w:tcW w:w="803" w:type="pct"/>
            <w:shd w:val="clear" w:color="auto" w:fill="auto"/>
            <w:hideMark/>
          </w:tcPr>
          <w:p w14:paraId="651B7528" w14:textId="77777777" w:rsidR="00B94540" w:rsidRPr="00092ED7" w:rsidRDefault="00B94540" w:rsidP="00B94540">
            <w:pPr>
              <w:spacing w:after="0"/>
              <w:ind w:right="340"/>
              <w:jc w:val="right"/>
              <w:rPr>
                <w:rFonts w:cstheme="minorHAnsi"/>
                <w:sz w:val="20"/>
                <w:szCs w:val="20"/>
                <w:lang w:val="sr-Cyrl-CS"/>
              </w:rPr>
            </w:pPr>
            <w:r w:rsidRPr="00092ED7">
              <w:rPr>
                <w:sz w:val="20"/>
                <w:szCs w:val="20"/>
                <w:lang w:val="sr-Cyrl-CS"/>
              </w:rPr>
              <w:t>9,8</w:t>
            </w:r>
          </w:p>
        </w:tc>
        <w:tc>
          <w:tcPr>
            <w:tcW w:w="803" w:type="pct"/>
          </w:tcPr>
          <w:p w14:paraId="696A735E" w14:textId="77777777" w:rsidR="00B94540" w:rsidRPr="00092ED7" w:rsidRDefault="00B94540" w:rsidP="00B94540">
            <w:pPr>
              <w:spacing w:after="0"/>
              <w:ind w:right="510"/>
              <w:jc w:val="right"/>
              <w:rPr>
                <w:rFonts w:cstheme="minorHAnsi"/>
                <w:sz w:val="20"/>
                <w:szCs w:val="20"/>
                <w:lang w:val="sr-Cyrl-CS"/>
              </w:rPr>
            </w:pPr>
            <w:r w:rsidRPr="00092ED7">
              <w:rPr>
                <w:sz w:val="20"/>
                <w:szCs w:val="20"/>
                <w:lang w:val="sr-Cyrl-CS"/>
              </w:rPr>
              <w:t>-17,6</w:t>
            </w:r>
          </w:p>
        </w:tc>
        <w:tc>
          <w:tcPr>
            <w:tcW w:w="803" w:type="pct"/>
            <w:shd w:val="clear" w:color="auto" w:fill="auto"/>
            <w:hideMark/>
          </w:tcPr>
          <w:p w14:paraId="33D8D64F" w14:textId="77777777" w:rsidR="00B94540" w:rsidRPr="00092ED7" w:rsidRDefault="00B94540" w:rsidP="00B94540">
            <w:pPr>
              <w:spacing w:after="0"/>
              <w:ind w:right="510"/>
              <w:jc w:val="right"/>
              <w:rPr>
                <w:rFonts w:cstheme="minorHAnsi"/>
                <w:sz w:val="20"/>
                <w:szCs w:val="20"/>
                <w:lang w:val="sr-Cyrl-CS"/>
              </w:rPr>
            </w:pPr>
            <w:r w:rsidRPr="00092ED7">
              <w:rPr>
                <w:sz w:val="20"/>
                <w:szCs w:val="20"/>
                <w:lang w:val="sr-Cyrl-CS"/>
              </w:rPr>
              <w:t>12,5</w:t>
            </w:r>
          </w:p>
        </w:tc>
      </w:tr>
      <w:tr w:rsidR="00B94540" w:rsidRPr="00092ED7" w14:paraId="0E479D05" w14:textId="77777777" w:rsidTr="009D4BCD">
        <w:trPr>
          <w:trHeight w:val="66"/>
          <w:tblHeader/>
          <w:jc w:val="right"/>
        </w:trPr>
        <w:tc>
          <w:tcPr>
            <w:tcW w:w="1788" w:type="pct"/>
            <w:shd w:val="clear" w:color="auto" w:fill="E7E6E6" w:themeFill="background2"/>
            <w:noWrap/>
            <w:vAlign w:val="center"/>
            <w:hideMark/>
          </w:tcPr>
          <w:p w14:paraId="10D0E8D2" w14:textId="77777777" w:rsidR="00B94540" w:rsidRPr="00092ED7" w:rsidRDefault="00B94540" w:rsidP="00B94540">
            <w:pPr>
              <w:spacing w:after="0"/>
              <w:jc w:val="left"/>
              <w:rPr>
                <w:rFonts w:cstheme="minorHAnsi"/>
                <w:sz w:val="20"/>
                <w:szCs w:val="20"/>
                <w:lang w:val="sr-Cyrl-CS"/>
              </w:rPr>
            </w:pPr>
            <w:r w:rsidRPr="00092ED7">
              <w:rPr>
                <w:rFonts w:eastAsia="MS PGothic" w:cstheme="minorHAnsi"/>
                <w:sz w:val="20"/>
                <w:szCs w:val="20"/>
                <w:lang w:val="sr-Cyrl-CS" w:eastAsia="ja-JP"/>
              </w:rPr>
              <w:t>ЈАВНИ РАСХОДИ</w:t>
            </w:r>
          </w:p>
        </w:tc>
        <w:tc>
          <w:tcPr>
            <w:tcW w:w="803" w:type="pct"/>
            <w:shd w:val="clear" w:color="auto" w:fill="E7E6E6" w:themeFill="background2"/>
            <w:hideMark/>
          </w:tcPr>
          <w:p w14:paraId="39806B4C" w14:textId="77777777" w:rsidR="00B94540" w:rsidRPr="00092ED7" w:rsidRDefault="00B94540" w:rsidP="00B94540">
            <w:pPr>
              <w:spacing w:after="0"/>
              <w:ind w:right="340"/>
              <w:jc w:val="right"/>
              <w:rPr>
                <w:rFonts w:cstheme="minorHAnsi"/>
                <w:sz w:val="20"/>
                <w:szCs w:val="20"/>
                <w:lang w:val="sr-Cyrl-CS"/>
              </w:rPr>
            </w:pPr>
            <w:r w:rsidRPr="00092ED7">
              <w:rPr>
                <w:sz w:val="20"/>
                <w:szCs w:val="20"/>
                <w:lang w:val="sr-Cyrl-CS"/>
              </w:rPr>
              <w:t>2.037,3</w:t>
            </w:r>
          </w:p>
        </w:tc>
        <w:tc>
          <w:tcPr>
            <w:tcW w:w="803" w:type="pct"/>
            <w:shd w:val="clear" w:color="auto" w:fill="E7E6E6" w:themeFill="background2"/>
            <w:noWrap/>
            <w:hideMark/>
          </w:tcPr>
          <w:p w14:paraId="0EA1267E" w14:textId="77777777" w:rsidR="00B94540" w:rsidRPr="00092ED7" w:rsidRDefault="00B94540" w:rsidP="00B94540">
            <w:pPr>
              <w:spacing w:after="0"/>
              <w:ind w:right="340"/>
              <w:jc w:val="right"/>
              <w:rPr>
                <w:rFonts w:cstheme="minorHAnsi"/>
                <w:sz w:val="20"/>
                <w:szCs w:val="20"/>
                <w:lang w:val="sr-Cyrl-CS"/>
              </w:rPr>
            </w:pPr>
            <w:r w:rsidRPr="00092ED7">
              <w:rPr>
                <w:sz w:val="20"/>
                <w:szCs w:val="20"/>
                <w:lang w:val="sr-Cyrl-CS"/>
              </w:rPr>
              <w:t>2.204,8</w:t>
            </w:r>
          </w:p>
        </w:tc>
        <w:tc>
          <w:tcPr>
            <w:tcW w:w="803" w:type="pct"/>
            <w:shd w:val="clear" w:color="auto" w:fill="E7E6E6" w:themeFill="background2"/>
          </w:tcPr>
          <w:p w14:paraId="574E681E" w14:textId="77777777" w:rsidR="00B94540" w:rsidRPr="00092ED7" w:rsidRDefault="00B94540" w:rsidP="00B94540">
            <w:pPr>
              <w:spacing w:after="0"/>
              <w:ind w:right="510"/>
              <w:jc w:val="right"/>
              <w:rPr>
                <w:rFonts w:cstheme="minorHAnsi"/>
                <w:sz w:val="20"/>
                <w:szCs w:val="20"/>
                <w:lang w:val="sr-Cyrl-CS"/>
              </w:rPr>
            </w:pPr>
            <w:r w:rsidRPr="00092ED7">
              <w:rPr>
                <w:sz w:val="20"/>
                <w:szCs w:val="20"/>
                <w:lang w:val="sr-Cyrl-CS"/>
              </w:rPr>
              <w:t>8,2</w:t>
            </w:r>
          </w:p>
        </w:tc>
        <w:tc>
          <w:tcPr>
            <w:tcW w:w="803" w:type="pct"/>
            <w:shd w:val="clear" w:color="auto" w:fill="E7E6E6" w:themeFill="background2"/>
            <w:hideMark/>
          </w:tcPr>
          <w:p w14:paraId="75FD3783" w14:textId="77777777" w:rsidR="00B94540" w:rsidRPr="00092ED7" w:rsidRDefault="00B94540" w:rsidP="00B94540">
            <w:pPr>
              <w:spacing w:after="0"/>
              <w:ind w:right="510"/>
              <w:jc w:val="right"/>
              <w:rPr>
                <w:rFonts w:cstheme="minorHAnsi"/>
                <w:sz w:val="20"/>
                <w:szCs w:val="20"/>
                <w:lang w:val="sr-Cyrl-CS"/>
              </w:rPr>
            </w:pPr>
            <w:r w:rsidRPr="00092ED7">
              <w:rPr>
                <w:sz w:val="20"/>
                <w:szCs w:val="20"/>
                <w:lang w:val="sr-Cyrl-CS"/>
              </w:rPr>
              <w:t>11,5</w:t>
            </w:r>
          </w:p>
        </w:tc>
      </w:tr>
      <w:tr w:rsidR="00B94540" w:rsidRPr="00092ED7" w14:paraId="0250AEC1" w14:textId="77777777" w:rsidTr="009D4BCD">
        <w:trPr>
          <w:trHeight w:val="66"/>
          <w:tblHeader/>
          <w:jc w:val="right"/>
        </w:trPr>
        <w:tc>
          <w:tcPr>
            <w:tcW w:w="1788" w:type="pct"/>
            <w:shd w:val="clear" w:color="auto" w:fill="auto"/>
            <w:noWrap/>
            <w:vAlign w:val="center"/>
            <w:hideMark/>
          </w:tcPr>
          <w:p w14:paraId="6C5F892D" w14:textId="77777777" w:rsidR="00B94540" w:rsidRPr="00092ED7" w:rsidRDefault="00B94540" w:rsidP="00B94540">
            <w:pPr>
              <w:spacing w:after="0"/>
              <w:jc w:val="left"/>
              <w:rPr>
                <w:rFonts w:eastAsia="MS PGothic" w:cstheme="minorHAnsi"/>
                <w:sz w:val="20"/>
                <w:szCs w:val="20"/>
                <w:lang w:val="sr-Cyrl-CS" w:eastAsia="ja-JP"/>
              </w:rPr>
            </w:pPr>
            <w:r w:rsidRPr="00092ED7">
              <w:rPr>
                <w:rFonts w:eastAsia="MS PGothic" w:cstheme="minorHAnsi"/>
                <w:sz w:val="20"/>
                <w:szCs w:val="20"/>
                <w:lang w:val="sr-Cyrl-CS" w:eastAsia="ja-JP"/>
              </w:rPr>
              <w:t>Текући расходи</w:t>
            </w:r>
          </w:p>
        </w:tc>
        <w:tc>
          <w:tcPr>
            <w:tcW w:w="803" w:type="pct"/>
            <w:shd w:val="clear" w:color="auto" w:fill="auto"/>
            <w:hideMark/>
          </w:tcPr>
          <w:p w14:paraId="281E84AD" w14:textId="77777777" w:rsidR="00B94540" w:rsidRPr="00092ED7" w:rsidRDefault="00B94540" w:rsidP="00B94540">
            <w:pPr>
              <w:spacing w:after="0"/>
              <w:ind w:right="340"/>
              <w:jc w:val="right"/>
              <w:rPr>
                <w:rFonts w:cstheme="minorHAnsi"/>
                <w:sz w:val="20"/>
                <w:szCs w:val="20"/>
                <w:lang w:val="sr-Cyrl-CS"/>
              </w:rPr>
            </w:pPr>
            <w:r w:rsidRPr="00092ED7">
              <w:rPr>
                <w:sz w:val="20"/>
                <w:szCs w:val="20"/>
                <w:lang w:val="sr-Cyrl-CS"/>
              </w:rPr>
              <w:t>1.755,8</w:t>
            </w:r>
          </w:p>
        </w:tc>
        <w:tc>
          <w:tcPr>
            <w:tcW w:w="803" w:type="pct"/>
            <w:shd w:val="clear" w:color="auto" w:fill="auto"/>
            <w:noWrap/>
            <w:hideMark/>
          </w:tcPr>
          <w:p w14:paraId="35D4A81B" w14:textId="77777777" w:rsidR="00B94540" w:rsidRPr="00092ED7" w:rsidRDefault="00B94540" w:rsidP="00B94540">
            <w:pPr>
              <w:spacing w:after="0"/>
              <w:ind w:right="340"/>
              <w:jc w:val="right"/>
              <w:rPr>
                <w:rFonts w:cstheme="minorHAnsi"/>
                <w:sz w:val="20"/>
                <w:szCs w:val="20"/>
                <w:lang w:val="sr-Cyrl-CS"/>
              </w:rPr>
            </w:pPr>
            <w:r w:rsidRPr="00092ED7">
              <w:rPr>
                <w:sz w:val="20"/>
                <w:szCs w:val="20"/>
                <w:lang w:val="sr-Cyrl-CS"/>
              </w:rPr>
              <w:t>1.874,6</w:t>
            </w:r>
          </w:p>
        </w:tc>
        <w:tc>
          <w:tcPr>
            <w:tcW w:w="803" w:type="pct"/>
          </w:tcPr>
          <w:p w14:paraId="3A41E3AF" w14:textId="77777777" w:rsidR="00B94540" w:rsidRPr="00092ED7" w:rsidRDefault="00B94540" w:rsidP="00B94540">
            <w:pPr>
              <w:spacing w:after="0"/>
              <w:ind w:right="510"/>
              <w:jc w:val="right"/>
              <w:rPr>
                <w:rFonts w:cstheme="minorHAnsi"/>
                <w:sz w:val="20"/>
                <w:szCs w:val="20"/>
                <w:lang w:val="sr-Cyrl-CS"/>
              </w:rPr>
            </w:pPr>
            <w:r w:rsidRPr="00092ED7">
              <w:rPr>
                <w:sz w:val="20"/>
                <w:szCs w:val="20"/>
                <w:lang w:val="sr-Cyrl-CS"/>
              </w:rPr>
              <w:t>6,8</w:t>
            </w:r>
          </w:p>
        </w:tc>
        <w:tc>
          <w:tcPr>
            <w:tcW w:w="803" w:type="pct"/>
            <w:shd w:val="clear" w:color="auto" w:fill="auto"/>
            <w:hideMark/>
          </w:tcPr>
          <w:p w14:paraId="0CC87C2E" w14:textId="77777777" w:rsidR="00B94540" w:rsidRPr="00092ED7" w:rsidRDefault="00B94540" w:rsidP="00B94540">
            <w:pPr>
              <w:spacing w:after="0"/>
              <w:ind w:right="510"/>
              <w:jc w:val="right"/>
              <w:rPr>
                <w:rFonts w:cstheme="minorHAnsi"/>
                <w:sz w:val="20"/>
                <w:szCs w:val="20"/>
                <w:lang w:val="sr-Cyrl-CS"/>
              </w:rPr>
            </w:pPr>
            <w:r w:rsidRPr="00092ED7">
              <w:rPr>
                <w:sz w:val="20"/>
                <w:szCs w:val="20"/>
                <w:lang w:val="sr-Cyrl-CS"/>
              </w:rPr>
              <w:t>7,2</w:t>
            </w:r>
          </w:p>
        </w:tc>
      </w:tr>
      <w:tr w:rsidR="00B94540" w:rsidRPr="00092ED7" w14:paraId="3A48652A" w14:textId="77777777" w:rsidTr="009D4BCD">
        <w:trPr>
          <w:trHeight w:val="66"/>
          <w:tblHeader/>
          <w:jc w:val="right"/>
        </w:trPr>
        <w:tc>
          <w:tcPr>
            <w:tcW w:w="1788" w:type="pct"/>
            <w:shd w:val="clear" w:color="auto" w:fill="auto"/>
            <w:noWrap/>
            <w:vAlign w:val="center"/>
            <w:hideMark/>
          </w:tcPr>
          <w:p w14:paraId="6C4CE4DF" w14:textId="77777777" w:rsidR="00B94540" w:rsidRPr="00092ED7" w:rsidRDefault="00B94540" w:rsidP="00B94540">
            <w:pPr>
              <w:spacing w:after="0"/>
              <w:jc w:val="left"/>
              <w:rPr>
                <w:rFonts w:eastAsia="MS PGothic" w:cstheme="minorHAnsi"/>
                <w:sz w:val="20"/>
                <w:szCs w:val="20"/>
                <w:lang w:val="sr-Cyrl-CS" w:eastAsia="ja-JP"/>
              </w:rPr>
            </w:pPr>
            <w:r w:rsidRPr="00092ED7">
              <w:rPr>
                <w:rFonts w:eastAsia="MS PGothic" w:cstheme="minorHAnsi"/>
                <w:sz w:val="20"/>
                <w:szCs w:val="20"/>
                <w:lang w:val="sr-Cyrl-CS" w:eastAsia="ja-JP"/>
              </w:rPr>
              <w:t>Расходи за запослене</w:t>
            </w:r>
          </w:p>
        </w:tc>
        <w:tc>
          <w:tcPr>
            <w:tcW w:w="803" w:type="pct"/>
            <w:shd w:val="clear" w:color="auto" w:fill="auto"/>
            <w:hideMark/>
          </w:tcPr>
          <w:p w14:paraId="5CF53925" w14:textId="77777777" w:rsidR="00B94540" w:rsidRPr="00092ED7" w:rsidRDefault="00B94540" w:rsidP="00B94540">
            <w:pPr>
              <w:spacing w:after="0"/>
              <w:ind w:right="340"/>
              <w:jc w:val="right"/>
              <w:rPr>
                <w:rFonts w:cstheme="minorHAnsi"/>
                <w:sz w:val="20"/>
                <w:szCs w:val="20"/>
                <w:lang w:val="sr-Cyrl-CS"/>
              </w:rPr>
            </w:pPr>
            <w:r w:rsidRPr="00092ED7">
              <w:rPr>
                <w:sz w:val="20"/>
                <w:szCs w:val="20"/>
                <w:lang w:val="sr-Cyrl-CS"/>
              </w:rPr>
              <w:t>466,4</w:t>
            </w:r>
          </w:p>
        </w:tc>
        <w:tc>
          <w:tcPr>
            <w:tcW w:w="803" w:type="pct"/>
            <w:shd w:val="clear" w:color="auto" w:fill="auto"/>
            <w:hideMark/>
          </w:tcPr>
          <w:p w14:paraId="469E3435" w14:textId="77777777" w:rsidR="00B94540" w:rsidRPr="00092ED7" w:rsidRDefault="00B94540" w:rsidP="00B94540">
            <w:pPr>
              <w:spacing w:after="0"/>
              <w:ind w:right="340"/>
              <w:jc w:val="right"/>
              <w:rPr>
                <w:rFonts w:cstheme="minorHAnsi"/>
                <w:sz w:val="20"/>
                <w:szCs w:val="20"/>
                <w:lang w:val="sr-Cyrl-CS"/>
              </w:rPr>
            </w:pPr>
            <w:r w:rsidRPr="00092ED7">
              <w:rPr>
                <w:sz w:val="20"/>
                <w:szCs w:val="20"/>
                <w:lang w:val="sr-Cyrl-CS"/>
              </w:rPr>
              <w:t>510,4</w:t>
            </w:r>
          </w:p>
        </w:tc>
        <w:tc>
          <w:tcPr>
            <w:tcW w:w="803" w:type="pct"/>
          </w:tcPr>
          <w:p w14:paraId="3E45A115" w14:textId="77777777" w:rsidR="00B94540" w:rsidRPr="00092ED7" w:rsidRDefault="00B94540" w:rsidP="00B94540">
            <w:pPr>
              <w:spacing w:after="0"/>
              <w:ind w:right="510"/>
              <w:jc w:val="right"/>
              <w:rPr>
                <w:rFonts w:cstheme="minorHAnsi"/>
                <w:sz w:val="20"/>
                <w:szCs w:val="20"/>
                <w:lang w:val="sr-Cyrl-CS"/>
              </w:rPr>
            </w:pPr>
            <w:r w:rsidRPr="00092ED7">
              <w:rPr>
                <w:sz w:val="20"/>
                <w:szCs w:val="20"/>
                <w:lang w:val="sr-Cyrl-CS"/>
              </w:rPr>
              <w:t>9,5</w:t>
            </w:r>
          </w:p>
        </w:tc>
        <w:tc>
          <w:tcPr>
            <w:tcW w:w="803" w:type="pct"/>
            <w:shd w:val="clear" w:color="auto" w:fill="auto"/>
            <w:hideMark/>
          </w:tcPr>
          <w:p w14:paraId="10417594" w14:textId="77777777" w:rsidR="00B94540" w:rsidRPr="00092ED7" w:rsidRDefault="00B94540" w:rsidP="00B94540">
            <w:pPr>
              <w:spacing w:after="0"/>
              <w:ind w:right="510"/>
              <w:jc w:val="right"/>
              <w:rPr>
                <w:rFonts w:cstheme="minorHAnsi"/>
                <w:sz w:val="20"/>
                <w:szCs w:val="20"/>
                <w:lang w:val="sr-Cyrl-CS"/>
              </w:rPr>
            </w:pPr>
            <w:r w:rsidRPr="00092ED7">
              <w:rPr>
                <w:sz w:val="20"/>
                <w:szCs w:val="20"/>
                <w:lang w:val="sr-Cyrl-CS"/>
              </w:rPr>
              <w:t>9,4</w:t>
            </w:r>
          </w:p>
        </w:tc>
      </w:tr>
      <w:tr w:rsidR="00B94540" w:rsidRPr="00092ED7" w14:paraId="5F164653" w14:textId="77777777" w:rsidTr="009D4BCD">
        <w:trPr>
          <w:trHeight w:val="66"/>
          <w:tblHeader/>
          <w:jc w:val="right"/>
        </w:trPr>
        <w:tc>
          <w:tcPr>
            <w:tcW w:w="1788" w:type="pct"/>
            <w:shd w:val="clear" w:color="auto" w:fill="auto"/>
            <w:noWrap/>
            <w:vAlign w:val="center"/>
            <w:hideMark/>
          </w:tcPr>
          <w:p w14:paraId="065DD128" w14:textId="77777777" w:rsidR="00B94540" w:rsidRPr="00092ED7" w:rsidRDefault="00B94540" w:rsidP="00B94540">
            <w:pPr>
              <w:spacing w:after="0"/>
              <w:jc w:val="left"/>
              <w:rPr>
                <w:rFonts w:eastAsia="MS PGothic" w:cstheme="minorHAnsi"/>
                <w:sz w:val="20"/>
                <w:szCs w:val="20"/>
                <w:lang w:val="sr-Cyrl-CS" w:eastAsia="ja-JP"/>
              </w:rPr>
            </w:pPr>
            <w:r w:rsidRPr="00092ED7">
              <w:rPr>
                <w:rFonts w:eastAsia="MS PGothic" w:cstheme="minorHAnsi"/>
                <w:sz w:val="20"/>
                <w:szCs w:val="20"/>
                <w:lang w:val="sr-Cyrl-CS" w:eastAsia="ja-JP"/>
              </w:rPr>
              <w:t>Куповина робе и услуга</w:t>
            </w:r>
          </w:p>
        </w:tc>
        <w:tc>
          <w:tcPr>
            <w:tcW w:w="803" w:type="pct"/>
            <w:shd w:val="clear" w:color="auto" w:fill="auto"/>
            <w:hideMark/>
          </w:tcPr>
          <w:p w14:paraId="582D974A" w14:textId="77777777" w:rsidR="00B94540" w:rsidRPr="00092ED7" w:rsidRDefault="00B94540" w:rsidP="00B94540">
            <w:pPr>
              <w:spacing w:after="0"/>
              <w:ind w:right="340"/>
              <w:jc w:val="right"/>
              <w:rPr>
                <w:rFonts w:cstheme="minorHAnsi"/>
                <w:sz w:val="20"/>
                <w:szCs w:val="20"/>
                <w:lang w:val="sr-Cyrl-CS"/>
              </w:rPr>
            </w:pPr>
            <w:r w:rsidRPr="00092ED7">
              <w:rPr>
                <w:sz w:val="20"/>
                <w:szCs w:val="20"/>
                <w:lang w:val="sr-Cyrl-CS"/>
              </w:rPr>
              <w:t>325,7</w:t>
            </w:r>
          </w:p>
        </w:tc>
        <w:tc>
          <w:tcPr>
            <w:tcW w:w="803" w:type="pct"/>
            <w:shd w:val="clear" w:color="auto" w:fill="auto"/>
            <w:hideMark/>
          </w:tcPr>
          <w:p w14:paraId="6811CEB8" w14:textId="77777777" w:rsidR="00B94540" w:rsidRPr="00092ED7" w:rsidRDefault="00B94540" w:rsidP="00B94540">
            <w:pPr>
              <w:spacing w:after="0"/>
              <w:ind w:right="340"/>
              <w:jc w:val="right"/>
              <w:rPr>
                <w:rFonts w:cstheme="minorHAnsi"/>
                <w:sz w:val="20"/>
                <w:szCs w:val="20"/>
                <w:lang w:val="sr-Cyrl-CS"/>
              </w:rPr>
            </w:pPr>
            <w:r w:rsidRPr="00092ED7">
              <w:rPr>
                <w:sz w:val="20"/>
                <w:szCs w:val="20"/>
                <w:lang w:val="sr-Cyrl-CS"/>
              </w:rPr>
              <w:t>360,2</w:t>
            </w:r>
          </w:p>
        </w:tc>
        <w:tc>
          <w:tcPr>
            <w:tcW w:w="803" w:type="pct"/>
          </w:tcPr>
          <w:p w14:paraId="0E3444B6" w14:textId="77777777" w:rsidR="00B94540" w:rsidRPr="00092ED7" w:rsidRDefault="00B94540" w:rsidP="00B94540">
            <w:pPr>
              <w:spacing w:after="0"/>
              <w:ind w:right="510"/>
              <w:jc w:val="right"/>
              <w:rPr>
                <w:rFonts w:cstheme="minorHAnsi"/>
                <w:sz w:val="20"/>
                <w:szCs w:val="20"/>
                <w:lang w:val="sr-Cyrl-CS"/>
              </w:rPr>
            </w:pPr>
            <w:r w:rsidRPr="00092ED7">
              <w:rPr>
                <w:sz w:val="20"/>
                <w:szCs w:val="20"/>
                <w:lang w:val="sr-Cyrl-CS"/>
              </w:rPr>
              <w:t>10,6</w:t>
            </w:r>
          </w:p>
        </w:tc>
        <w:tc>
          <w:tcPr>
            <w:tcW w:w="803" w:type="pct"/>
            <w:shd w:val="clear" w:color="auto" w:fill="auto"/>
            <w:hideMark/>
          </w:tcPr>
          <w:p w14:paraId="063CA1C2" w14:textId="77777777" w:rsidR="00B94540" w:rsidRPr="00092ED7" w:rsidRDefault="00B94540" w:rsidP="00B94540">
            <w:pPr>
              <w:spacing w:after="0"/>
              <w:ind w:right="510"/>
              <w:jc w:val="right"/>
              <w:rPr>
                <w:rFonts w:cstheme="minorHAnsi"/>
                <w:sz w:val="20"/>
                <w:szCs w:val="20"/>
                <w:lang w:val="sr-Cyrl-CS"/>
              </w:rPr>
            </w:pPr>
            <w:r w:rsidRPr="00092ED7">
              <w:rPr>
                <w:sz w:val="20"/>
                <w:szCs w:val="20"/>
                <w:lang w:val="sr-Cyrl-CS"/>
              </w:rPr>
              <w:t>12,0</w:t>
            </w:r>
          </w:p>
        </w:tc>
      </w:tr>
      <w:tr w:rsidR="00B94540" w:rsidRPr="00092ED7" w14:paraId="6D68396D" w14:textId="77777777" w:rsidTr="009D4BCD">
        <w:trPr>
          <w:trHeight w:val="66"/>
          <w:tblHeader/>
          <w:jc w:val="right"/>
        </w:trPr>
        <w:tc>
          <w:tcPr>
            <w:tcW w:w="1788" w:type="pct"/>
            <w:shd w:val="clear" w:color="auto" w:fill="auto"/>
            <w:noWrap/>
            <w:vAlign w:val="center"/>
            <w:hideMark/>
          </w:tcPr>
          <w:p w14:paraId="7494B67D" w14:textId="77777777" w:rsidR="00B94540" w:rsidRPr="00092ED7" w:rsidRDefault="00B94540" w:rsidP="00B94540">
            <w:pPr>
              <w:spacing w:after="0"/>
              <w:jc w:val="left"/>
              <w:rPr>
                <w:rFonts w:eastAsia="MS PGothic" w:cstheme="minorHAnsi"/>
                <w:sz w:val="20"/>
                <w:szCs w:val="20"/>
                <w:lang w:val="sr-Cyrl-CS" w:eastAsia="ja-JP"/>
              </w:rPr>
            </w:pPr>
            <w:r w:rsidRPr="00092ED7">
              <w:rPr>
                <w:rFonts w:eastAsia="MS PGothic" w:cstheme="minorHAnsi"/>
                <w:sz w:val="20"/>
                <w:szCs w:val="20"/>
                <w:lang w:val="sr-Cyrl-CS" w:eastAsia="ja-JP"/>
              </w:rPr>
              <w:t>Отплата камата</w:t>
            </w:r>
          </w:p>
        </w:tc>
        <w:tc>
          <w:tcPr>
            <w:tcW w:w="803" w:type="pct"/>
            <w:shd w:val="clear" w:color="auto" w:fill="auto"/>
            <w:hideMark/>
          </w:tcPr>
          <w:p w14:paraId="0829DF89" w14:textId="77777777" w:rsidR="00B94540" w:rsidRPr="00092ED7" w:rsidRDefault="00B94540" w:rsidP="00B94540">
            <w:pPr>
              <w:spacing w:after="0"/>
              <w:ind w:right="340"/>
              <w:jc w:val="right"/>
              <w:rPr>
                <w:rFonts w:cstheme="minorHAnsi"/>
                <w:sz w:val="20"/>
                <w:szCs w:val="20"/>
                <w:lang w:val="sr-Cyrl-CS"/>
              </w:rPr>
            </w:pPr>
            <w:r w:rsidRPr="00092ED7">
              <w:rPr>
                <w:sz w:val="20"/>
                <w:szCs w:val="20"/>
                <w:lang w:val="sr-Cyrl-CS"/>
              </w:rPr>
              <w:t>98,1</w:t>
            </w:r>
          </w:p>
        </w:tc>
        <w:tc>
          <w:tcPr>
            <w:tcW w:w="803" w:type="pct"/>
            <w:shd w:val="clear" w:color="auto" w:fill="auto"/>
            <w:hideMark/>
          </w:tcPr>
          <w:p w14:paraId="497143A4" w14:textId="77777777" w:rsidR="00B94540" w:rsidRPr="00092ED7" w:rsidRDefault="00B94540" w:rsidP="00B94540">
            <w:pPr>
              <w:spacing w:after="0"/>
              <w:ind w:right="340"/>
              <w:jc w:val="right"/>
              <w:rPr>
                <w:rFonts w:cstheme="minorHAnsi"/>
                <w:sz w:val="20"/>
                <w:szCs w:val="20"/>
                <w:lang w:val="sr-Cyrl-CS"/>
              </w:rPr>
            </w:pPr>
            <w:r w:rsidRPr="00092ED7">
              <w:rPr>
                <w:sz w:val="20"/>
                <w:szCs w:val="20"/>
                <w:lang w:val="sr-Cyrl-CS"/>
              </w:rPr>
              <w:t>97,0</w:t>
            </w:r>
          </w:p>
        </w:tc>
        <w:tc>
          <w:tcPr>
            <w:tcW w:w="803" w:type="pct"/>
          </w:tcPr>
          <w:p w14:paraId="193CBF40" w14:textId="77777777" w:rsidR="00B94540" w:rsidRPr="00092ED7" w:rsidRDefault="00B94540" w:rsidP="00B94540">
            <w:pPr>
              <w:spacing w:after="0"/>
              <w:ind w:right="510"/>
              <w:jc w:val="right"/>
              <w:rPr>
                <w:rFonts w:cstheme="minorHAnsi"/>
                <w:sz w:val="20"/>
                <w:szCs w:val="20"/>
                <w:lang w:val="sr-Cyrl-CS"/>
              </w:rPr>
            </w:pPr>
            <w:r w:rsidRPr="00092ED7">
              <w:rPr>
                <w:sz w:val="20"/>
                <w:szCs w:val="20"/>
                <w:lang w:val="sr-Cyrl-CS"/>
              </w:rPr>
              <w:t>-1,1</w:t>
            </w:r>
          </w:p>
        </w:tc>
        <w:tc>
          <w:tcPr>
            <w:tcW w:w="803" w:type="pct"/>
            <w:shd w:val="clear" w:color="auto" w:fill="auto"/>
            <w:hideMark/>
          </w:tcPr>
          <w:p w14:paraId="4A81B777" w14:textId="77777777" w:rsidR="00B94540" w:rsidRPr="00092ED7" w:rsidRDefault="00B94540" w:rsidP="00B94540">
            <w:pPr>
              <w:spacing w:after="0"/>
              <w:ind w:right="510"/>
              <w:jc w:val="right"/>
              <w:rPr>
                <w:rFonts w:cstheme="minorHAnsi"/>
                <w:sz w:val="20"/>
                <w:szCs w:val="20"/>
                <w:lang w:val="sr-Cyrl-CS"/>
              </w:rPr>
            </w:pPr>
            <w:r w:rsidRPr="00092ED7">
              <w:rPr>
                <w:sz w:val="20"/>
                <w:szCs w:val="20"/>
                <w:lang w:val="sr-Cyrl-CS"/>
              </w:rPr>
              <w:t>6,2</w:t>
            </w:r>
          </w:p>
        </w:tc>
      </w:tr>
      <w:tr w:rsidR="00B94540" w:rsidRPr="00092ED7" w14:paraId="46C6920A" w14:textId="77777777" w:rsidTr="009D4BCD">
        <w:trPr>
          <w:trHeight w:val="66"/>
          <w:tblHeader/>
          <w:jc w:val="right"/>
        </w:trPr>
        <w:tc>
          <w:tcPr>
            <w:tcW w:w="1788" w:type="pct"/>
            <w:shd w:val="clear" w:color="auto" w:fill="auto"/>
            <w:noWrap/>
            <w:vAlign w:val="center"/>
            <w:hideMark/>
          </w:tcPr>
          <w:p w14:paraId="52700BB3" w14:textId="77777777" w:rsidR="00B94540" w:rsidRPr="00092ED7" w:rsidRDefault="00B94540" w:rsidP="00B94540">
            <w:pPr>
              <w:spacing w:after="0"/>
              <w:jc w:val="left"/>
              <w:rPr>
                <w:rFonts w:eastAsia="MS PGothic" w:cstheme="minorHAnsi"/>
                <w:sz w:val="20"/>
                <w:szCs w:val="20"/>
                <w:lang w:val="sr-Cyrl-CS" w:eastAsia="ja-JP"/>
              </w:rPr>
            </w:pPr>
            <w:r w:rsidRPr="00092ED7">
              <w:rPr>
                <w:rFonts w:eastAsia="MS PGothic" w:cstheme="minorHAnsi"/>
                <w:sz w:val="20"/>
                <w:szCs w:val="20"/>
                <w:lang w:val="sr-Cyrl-CS" w:eastAsia="ja-JP"/>
              </w:rPr>
              <w:t>Субвенције</w:t>
            </w:r>
          </w:p>
        </w:tc>
        <w:tc>
          <w:tcPr>
            <w:tcW w:w="803" w:type="pct"/>
            <w:shd w:val="clear" w:color="auto" w:fill="auto"/>
            <w:hideMark/>
          </w:tcPr>
          <w:p w14:paraId="2F7DAAAB" w14:textId="77777777" w:rsidR="00B94540" w:rsidRPr="00092ED7" w:rsidRDefault="00B94540" w:rsidP="00B94540">
            <w:pPr>
              <w:spacing w:after="0"/>
              <w:ind w:right="340"/>
              <w:jc w:val="right"/>
              <w:rPr>
                <w:rFonts w:cstheme="minorHAnsi"/>
                <w:sz w:val="20"/>
                <w:szCs w:val="20"/>
                <w:lang w:val="sr-Cyrl-CS"/>
              </w:rPr>
            </w:pPr>
            <w:r w:rsidRPr="00092ED7">
              <w:rPr>
                <w:sz w:val="20"/>
                <w:szCs w:val="20"/>
                <w:lang w:val="sr-Cyrl-CS"/>
              </w:rPr>
              <w:t>142,2</w:t>
            </w:r>
          </w:p>
        </w:tc>
        <w:tc>
          <w:tcPr>
            <w:tcW w:w="803" w:type="pct"/>
            <w:shd w:val="clear" w:color="auto" w:fill="auto"/>
            <w:hideMark/>
          </w:tcPr>
          <w:p w14:paraId="03093765" w14:textId="77777777" w:rsidR="00B94540" w:rsidRPr="00092ED7" w:rsidRDefault="00B94540" w:rsidP="00B94540">
            <w:pPr>
              <w:spacing w:after="0"/>
              <w:ind w:right="340"/>
              <w:jc w:val="right"/>
              <w:rPr>
                <w:rFonts w:cstheme="minorHAnsi"/>
                <w:sz w:val="20"/>
                <w:szCs w:val="20"/>
                <w:lang w:val="sr-Cyrl-CS"/>
              </w:rPr>
            </w:pPr>
            <w:r w:rsidRPr="00092ED7">
              <w:rPr>
                <w:sz w:val="20"/>
                <w:szCs w:val="20"/>
                <w:lang w:val="sr-Cyrl-CS"/>
              </w:rPr>
              <w:t>104,2</w:t>
            </w:r>
          </w:p>
        </w:tc>
        <w:tc>
          <w:tcPr>
            <w:tcW w:w="803" w:type="pct"/>
          </w:tcPr>
          <w:p w14:paraId="139EC5EE" w14:textId="77777777" w:rsidR="00B94540" w:rsidRPr="00092ED7" w:rsidRDefault="00B94540" w:rsidP="00B94540">
            <w:pPr>
              <w:spacing w:after="0"/>
              <w:ind w:right="510"/>
              <w:jc w:val="right"/>
              <w:rPr>
                <w:rFonts w:cstheme="minorHAnsi"/>
                <w:sz w:val="20"/>
                <w:szCs w:val="20"/>
                <w:lang w:val="sr-Cyrl-CS"/>
              </w:rPr>
            </w:pPr>
            <w:r w:rsidRPr="00092ED7">
              <w:rPr>
                <w:sz w:val="20"/>
                <w:szCs w:val="20"/>
                <w:lang w:val="sr-Cyrl-CS"/>
              </w:rPr>
              <w:t>-26,8</w:t>
            </w:r>
          </w:p>
        </w:tc>
        <w:tc>
          <w:tcPr>
            <w:tcW w:w="803" w:type="pct"/>
            <w:shd w:val="clear" w:color="auto" w:fill="auto"/>
            <w:hideMark/>
          </w:tcPr>
          <w:p w14:paraId="4D1C03B2" w14:textId="77777777" w:rsidR="00B94540" w:rsidRPr="00092ED7" w:rsidRDefault="00B94540" w:rsidP="00B94540">
            <w:pPr>
              <w:spacing w:after="0"/>
              <w:ind w:right="510"/>
              <w:jc w:val="right"/>
              <w:rPr>
                <w:rFonts w:cstheme="minorHAnsi"/>
                <w:sz w:val="20"/>
                <w:szCs w:val="20"/>
                <w:lang w:val="sr-Cyrl-CS"/>
              </w:rPr>
            </w:pPr>
            <w:r w:rsidRPr="00092ED7">
              <w:rPr>
                <w:sz w:val="20"/>
                <w:szCs w:val="20"/>
                <w:lang w:val="sr-Cyrl-CS"/>
              </w:rPr>
              <w:t>-11,1</w:t>
            </w:r>
          </w:p>
        </w:tc>
      </w:tr>
      <w:tr w:rsidR="00B94540" w:rsidRPr="00092ED7" w14:paraId="05CF6237" w14:textId="77777777" w:rsidTr="009D4BCD">
        <w:trPr>
          <w:trHeight w:val="66"/>
          <w:tblHeader/>
          <w:jc w:val="right"/>
        </w:trPr>
        <w:tc>
          <w:tcPr>
            <w:tcW w:w="1788" w:type="pct"/>
            <w:shd w:val="clear" w:color="auto" w:fill="auto"/>
            <w:noWrap/>
            <w:vAlign w:val="center"/>
            <w:hideMark/>
          </w:tcPr>
          <w:p w14:paraId="4ADD6352" w14:textId="77777777" w:rsidR="00B94540" w:rsidRPr="00092ED7" w:rsidRDefault="00B94540" w:rsidP="00B94540">
            <w:pPr>
              <w:spacing w:after="0"/>
              <w:jc w:val="left"/>
              <w:rPr>
                <w:rFonts w:eastAsia="MS PGothic" w:cstheme="minorHAnsi"/>
                <w:sz w:val="20"/>
                <w:szCs w:val="20"/>
                <w:lang w:val="sr-Cyrl-CS" w:eastAsia="ja-JP"/>
              </w:rPr>
            </w:pPr>
            <w:r w:rsidRPr="00092ED7">
              <w:rPr>
                <w:rFonts w:eastAsia="MS PGothic" w:cstheme="minorHAnsi"/>
                <w:sz w:val="20"/>
                <w:szCs w:val="20"/>
                <w:lang w:val="sr-Cyrl-CS" w:eastAsia="ja-JP"/>
              </w:rPr>
              <w:t>Социјална помоћ и трансфери</w:t>
            </w:r>
          </w:p>
        </w:tc>
        <w:tc>
          <w:tcPr>
            <w:tcW w:w="803" w:type="pct"/>
            <w:shd w:val="clear" w:color="auto" w:fill="auto"/>
            <w:hideMark/>
          </w:tcPr>
          <w:p w14:paraId="2A382AE4" w14:textId="77777777" w:rsidR="00B94540" w:rsidRPr="00092ED7" w:rsidRDefault="00B94540" w:rsidP="00B94540">
            <w:pPr>
              <w:spacing w:after="0"/>
              <w:ind w:right="340"/>
              <w:jc w:val="right"/>
              <w:rPr>
                <w:rFonts w:cstheme="minorHAnsi"/>
                <w:sz w:val="20"/>
                <w:szCs w:val="20"/>
                <w:lang w:val="sr-Cyrl-CS"/>
              </w:rPr>
            </w:pPr>
            <w:r w:rsidRPr="00092ED7">
              <w:rPr>
                <w:sz w:val="20"/>
                <w:szCs w:val="20"/>
                <w:lang w:val="sr-Cyrl-CS"/>
              </w:rPr>
              <w:t>633,4</w:t>
            </w:r>
          </w:p>
        </w:tc>
        <w:tc>
          <w:tcPr>
            <w:tcW w:w="803" w:type="pct"/>
            <w:shd w:val="clear" w:color="auto" w:fill="auto"/>
            <w:hideMark/>
          </w:tcPr>
          <w:p w14:paraId="47D22819" w14:textId="77777777" w:rsidR="00B94540" w:rsidRPr="00092ED7" w:rsidRDefault="00B94540" w:rsidP="00B94540">
            <w:pPr>
              <w:spacing w:after="0"/>
              <w:ind w:right="340"/>
              <w:jc w:val="right"/>
              <w:rPr>
                <w:rFonts w:cstheme="minorHAnsi"/>
                <w:sz w:val="20"/>
                <w:szCs w:val="20"/>
                <w:lang w:val="sr-Cyrl-CS"/>
              </w:rPr>
            </w:pPr>
            <w:r w:rsidRPr="00092ED7">
              <w:rPr>
                <w:sz w:val="20"/>
                <w:szCs w:val="20"/>
                <w:lang w:val="sr-Cyrl-CS"/>
              </w:rPr>
              <w:t>692,8</w:t>
            </w:r>
          </w:p>
        </w:tc>
        <w:tc>
          <w:tcPr>
            <w:tcW w:w="803" w:type="pct"/>
          </w:tcPr>
          <w:p w14:paraId="6459148E" w14:textId="77777777" w:rsidR="00B94540" w:rsidRPr="00092ED7" w:rsidRDefault="00B94540" w:rsidP="00B94540">
            <w:pPr>
              <w:spacing w:after="0"/>
              <w:ind w:right="510"/>
              <w:jc w:val="right"/>
              <w:rPr>
                <w:rFonts w:cstheme="minorHAnsi"/>
                <w:sz w:val="20"/>
                <w:szCs w:val="20"/>
                <w:lang w:val="sr-Cyrl-CS"/>
              </w:rPr>
            </w:pPr>
            <w:r w:rsidRPr="00092ED7">
              <w:rPr>
                <w:sz w:val="20"/>
                <w:szCs w:val="20"/>
                <w:lang w:val="sr-Cyrl-CS"/>
              </w:rPr>
              <w:t>9,4</w:t>
            </w:r>
          </w:p>
        </w:tc>
        <w:tc>
          <w:tcPr>
            <w:tcW w:w="803" w:type="pct"/>
            <w:shd w:val="clear" w:color="auto" w:fill="auto"/>
            <w:hideMark/>
          </w:tcPr>
          <w:p w14:paraId="487684BF" w14:textId="77777777" w:rsidR="00B94540" w:rsidRPr="00092ED7" w:rsidRDefault="00B94540" w:rsidP="00B94540">
            <w:pPr>
              <w:spacing w:after="0"/>
              <w:ind w:right="510"/>
              <w:jc w:val="right"/>
              <w:rPr>
                <w:rFonts w:cstheme="minorHAnsi"/>
                <w:sz w:val="20"/>
                <w:szCs w:val="20"/>
                <w:lang w:val="sr-Cyrl-CS"/>
              </w:rPr>
            </w:pPr>
            <w:r w:rsidRPr="00092ED7">
              <w:rPr>
                <w:sz w:val="20"/>
                <w:szCs w:val="20"/>
                <w:lang w:val="sr-Cyrl-CS"/>
              </w:rPr>
              <w:t>8,5</w:t>
            </w:r>
          </w:p>
        </w:tc>
      </w:tr>
      <w:tr w:rsidR="00B94540" w:rsidRPr="00092ED7" w14:paraId="16A41C9D" w14:textId="77777777" w:rsidTr="009D4BCD">
        <w:trPr>
          <w:trHeight w:val="66"/>
          <w:tblHeader/>
          <w:jc w:val="right"/>
        </w:trPr>
        <w:tc>
          <w:tcPr>
            <w:tcW w:w="1788" w:type="pct"/>
            <w:shd w:val="clear" w:color="auto" w:fill="auto"/>
            <w:noWrap/>
            <w:vAlign w:val="center"/>
            <w:hideMark/>
          </w:tcPr>
          <w:p w14:paraId="7FF78EC0" w14:textId="77777777" w:rsidR="00B94540" w:rsidRPr="00092ED7" w:rsidRDefault="00B94540" w:rsidP="00B94540">
            <w:pPr>
              <w:spacing w:after="0"/>
              <w:jc w:val="left"/>
              <w:rPr>
                <w:rFonts w:eastAsia="MS PGothic" w:cstheme="minorHAnsi"/>
                <w:sz w:val="20"/>
                <w:szCs w:val="20"/>
                <w:lang w:val="sr-Cyrl-CS" w:eastAsia="ja-JP"/>
              </w:rPr>
            </w:pPr>
            <w:r w:rsidRPr="00092ED7">
              <w:rPr>
                <w:rFonts w:eastAsia="MS PGothic" w:cstheme="minorHAnsi"/>
                <w:sz w:val="20"/>
                <w:szCs w:val="20"/>
                <w:lang w:val="sr-Cyrl-CS" w:eastAsia="ja-JP"/>
              </w:rPr>
              <w:t>од чега пензије</w:t>
            </w:r>
          </w:p>
        </w:tc>
        <w:tc>
          <w:tcPr>
            <w:tcW w:w="803" w:type="pct"/>
            <w:shd w:val="clear" w:color="auto" w:fill="auto"/>
            <w:hideMark/>
          </w:tcPr>
          <w:p w14:paraId="572C537C" w14:textId="77777777" w:rsidR="00B94540" w:rsidRPr="00092ED7" w:rsidRDefault="00B94540" w:rsidP="00B94540">
            <w:pPr>
              <w:spacing w:after="0"/>
              <w:ind w:right="340"/>
              <w:jc w:val="right"/>
              <w:rPr>
                <w:rFonts w:cstheme="minorHAnsi"/>
                <w:sz w:val="20"/>
                <w:szCs w:val="20"/>
                <w:lang w:val="sr-Cyrl-CS"/>
              </w:rPr>
            </w:pPr>
            <w:r w:rsidRPr="00092ED7">
              <w:rPr>
                <w:sz w:val="20"/>
                <w:szCs w:val="20"/>
                <w:lang w:val="sr-Cyrl-CS"/>
              </w:rPr>
              <w:t>456,7</w:t>
            </w:r>
          </w:p>
        </w:tc>
        <w:tc>
          <w:tcPr>
            <w:tcW w:w="803" w:type="pct"/>
            <w:shd w:val="clear" w:color="auto" w:fill="auto"/>
            <w:hideMark/>
          </w:tcPr>
          <w:p w14:paraId="5A8BA013" w14:textId="77777777" w:rsidR="00B94540" w:rsidRPr="00092ED7" w:rsidRDefault="00B94540" w:rsidP="00B94540">
            <w:pPr>
              <w:spacing w:after="0"/>
              <w:ind w:right="340"/>
              <w:jc w:val="right"/>
              <w:rPr>
                <w:rFonts w:cstheme="minorHAnsi"/>
                <w:sz w:val="20"/>
                <w:szCs w:val="20"/>
                <w:lang w:val="sr-Cyrl-CS"/>
              </w:rPr>
            </w:pPr>
            <w:r w:rsidRPr="00092ED7">
              <w:rPr>
                <w:sz w:val="20"/>
                <w:szCs w:val="20"/>
                <w:lang w:val="sr-Cyrl-CS"/>
              </w:rPr>
              <w:t>474,4</w:t>
            </w:r>
          </w:p>
        </w:tc>
        <w:tc>
          <w:tcPr>
            <w:tcW w:w="803" w:type="pct"/>
          </w:tcPr>
          <w:p w14:paraId="3988E58D" w14:textId="77777777" w:rsidR="00B94540" w:rsidRPr="00092ED7" w:rsidRDefault="00B94540" w:rsidP="00B94540">
            <w:pPr>
              <w:spacing w:after="0"/>
              <w:ind w:right="510"/>
              <w:jc w:val="right"/>
              <w:rPr>
                <w:rFonts w:cstheme="minorHAnsi"/>
                <w:sz w:val="20"/>
                <w:szCs w:val="20"/>
                <w:lang w:val="sr-Cyrl-CS"/>
              </w:rPr>
            </w:pPr>
            <w:r w:rsidRPr="00092ED7">
              <w:rPr>
                <w:sz w:val="20"/>
                <w:szCs w:val="20"/>
                <w:lang w:val="sr-Cyrl-CS"/>
              </w:rPr>
              <w:t>3,9</w:t>
            </w:r>
          </w:p>
        </w:tc>
        <w:tc>
          <w:tcPr>
            <w:tcW w:w="803" w:type="pct"/>
            <w:shd w:val="clear" w:color="auto" w:fill="auto"/>
            <w:hideMark/>
          </w:tcPr>
          <w:p w14:paraId="53DB143C" w14:textId="77777777" w:rsidR="00B94540" w:rsidRPr="00092ED7" w:rsidRDefault="00B94540" w:rsidP="00B94540">
            <w:pPr>
              <w:spacing w:after="0"/>
              <w:ind w:right="510"/>
              <w:jc w:val="right"/>
              <w:rPr>
                <w:rFonts w:cstheme="minorHAnsi"/>
                <w:sz w:val="20"/>
                <w:szCs w:val="20"/>
                <w:lang w:val="sr-Cyrl-CS"/>
              </w:rPr>
            </w:pPr>
            <w:r w:rsidRPr="00092ED7">
              <w:rPr>
                <w:sz w:val="20"/>
                <w:szCs w:val="20"/>
                <w:lang w:val="sr-Cyrl-CS"/>
              </w:rPr>
              <w:t>4,9</w:t>
            </w:r>
          </w:p>
        </w:tc>
      </w:tr>
      <w:tr w:rsidR="00B94540" w:rsidRPr="00092ED7" w14:paraId="380AED2C" w14:textId="77777777" w:rsidTr="009D4BCD">
        <w:trPr>
          <w:trHeight w:val="66"/>
          <w:tblHeader/>
          <w:jc w:val="right"/>
        </w:trPr>
        <w:tc>
          <w:tcPr>
            <w:tcW w:w="1788" w:type="pct"/>
            <w:shd w:val="clear" w:color="auto" w:fill="auto"/>
            <w:noWrap/>
            <w:vAlign w:val="center"/>
            <w:hideMark/>
          </w:tcPr>
          <w:p w14:paraId="30EA6C35" w14:textId="77777777" w:rsidR="00B94540" w:rsidRPr="00092ED7" w:rsidRDefault="00B94540" w:rsidP="00B94540">
            <w:pPr>
              <w:spacing w:after="0"/>
              <w:jc w:val="left"/>
              <w:rPr>
                <w:rFonts w:eastAsia="MS PGothic" w:cstheme="minorHAnsi"/>
                <w:sz w:val="20"/>
                <w:szCs w:val="20"/>
                <w:lang w:val="sr-Cyrl-CS" w:eastAsia="ja-JP"/>
              </w:rPr>
            </w:pPr>
            <w:r w:rsidRPr="00092ED7">
              <w:rPr>
                <w:rFonts w:eastAsia="MS PGothic" w:cstheme="minorHAnsi"/>
                <w:sz w:val="20"/>
                <w:szCs w:val="20"/>
                <w:lang w:val="sr-Cyrl-CS" w:eastAsia="ja-JP"/>
              </w:rPr>
              <w:t>Остали текући расходи</w:t>
            </w:r>
          </w:p>
        </w:tc>
        <w:tc>
          <w:tcPr>
            <w:tcW w:w="803" w:type="pct"/>
            <w:shd w:val="clear" w:color="auto" w:fill="auto"/>
            <w:hideMark/>
          </w:tcPr>
          <w:p w14:paraId="2C45F76F" w14:textId="77777777" w:rsidR="00B94540" w:rsidRPr="00092ED7" w:rsidRDefault="00B94540" w:rsidP="00B94540">
            <w:pPr>
              <w:spacing w:after="0"/>
              <w:ind w:right="340"/>
              <w:jc w:val="right"/>
              <w:rPr>
                <w:rFonts w:cstheme="minorHAnsi"/>
                <w:sz w:val="20"/>
                <w:szCs w:val="20"/>
                <w:lang w:val="sr-Cyrl-CS"/>
              </w:rPr>
            </w:pPr>
            <w:r w:rsidRPr="00092ED7">
              <w:rPr>
                <w:sz w:val="20"/>
                <w:szCs w:val="20"/>
                <w:lang w:val="sr-Cyrl-CS"/>
              </w:rPr>
              <w:t>90,0</w:t>
            </w:r>
          </w:p>
        </w:tc>
        <w:tc>
          <w:tcPr>
            <w:tcW w:w="803" w:type="pct"/>
            <w:shd w:val="clear" w:color="auto" w:fill="auto"/>
            <w:hideMark/>
          </w:tcPr>
          <w:p w14:paraId="1332306C" w14:textId="77777777" w:rsidR="00B94540" w:rsidRPr="00092ED7" w:rsidRDefault="00B94540" w:rsidP="00B94540">
            <w:pPr>
              <w:spacing w:after="0"/>
              <w:ind w:right="340"/>
              <w:jc w:val="right"/>
              <w:rPr>
                <w:rFonts w:cstheme="minorHAnsi"/>
                <w:sz w:val="20"/>
                <w:szCs w:val="20"/>
                <w:lang w:val="sr-Cyrl-CS"/>
              </w:rPr>
            </w:pPr>
            <w:r w:rsidRPr="00092ED7">
              <w:rPr>
                <w:sz w:val="20"/>
                <w:szCs w:val="20"/>
                <w:lang w:val="sr-Cyrl-CS"/>
              </w:rPr>
              <w:t>110,0</w:t>
            </w:r>
          </w:p>
        </w:tc>
        <w:tc>
          <w:tcPr>
            <w:tcW w:w="803" w:type="pct"/>
          </w:tcPr>
          <w:p w14:paraId="07786393" w14:textId="77777777" w:rsidR="00B94540" w:rsidRPr="00092ED7" w:rsidRDefault="00B94540" w:rsidP="00B94540">
            <w:pPr>
              <w:spacing w:after="0"/>
              <w:ind w:right="510"/>
              <w:jc w:val="right"/>
              <w:rPr>
                <w:rFonts w:cstheme="minorHAnsi"/>
                <w:sz w:val="20"/>
                <w:szCs w:val="20"/>
                <w:lang w:val="sr-Cyrl-CS"/>
              </w:rPr>
            </w:pPr>
            <w:r w:rsidRPr="00092ED7">
              <w:rPr>
                <w:sz w:val="20"/>
                <w:szCs w:val="20"/>
                <w:lang w:val="sr-Cyrl-CS"/>
              </w:rPr>
              <w:t>22,2</w:t>
            </w:r>
          </w:p>
        </w:tc>
        <w:tc>
          <w:tcPr>
            <w:tcW w:w="803" w:type="pct"/>
            <w:shd w:val="clear" w:color="auto" w:fill="auto"/>
            <w:hideMark/>
          </w:tcPr>
          <w:p w14:paraId="3090A4B1" w14:textId="77777777" w:rsidR="00B94540" w:rsidRPr="00092ED7" w:rsidRDefault="00B94540" w:rsidP="00B94540">
            <w:pPr>
              <w:spacing w:after="0"/>
              <w:ind w:right="510"/>
              <w:jc w:val="right"/>
              <w:rPr>
                <w:rFonts w:cstheme="minorHAnsi"/>
                <w:sz w:val="20"/>
                <w:szCs w:val="20"/>
                <w:lang w:val="sr-Cyrl-CS"/>
              </w:rPr>
            </w:pPr>
            <w:r w:rsidRPr="00092ED7">
              <w:rPr>
                <w:sz w:val="20"/>
                <w:szCs w:val="20"/>
                <w:lang w:val="sr-Cyrl-CS"/>
              </w:rPr>
              <w:t>0,8</w:t>
            </w:r>
          </w:p>
        </w:tc>
      </w:tr>
      <w:tr w:rsidR="00B94540" w:rsidRPr="00092ED7" w14:paraId="5B6C5165" w14:textId="77777777" w:rsidTr="009D4BCD">
        <w:trPr>
          <w:trHeight w:val="66"/>
          <w:tblHeader/>
          <w:jc w:val="right"/>
        </w:trPr>
        <w:tc>
          <w:tcPr>
            <w:tcW w:w="1788" w:type="pct"/>
            <w:shd w:val="clear" w:color="auto" w:fill="auto"/>
            <w:noWrap/>
            <w:vAlign w:val="center"/>
            <w:hideMark/>
          </w:tcPr>
          <w:p w14:paraId="163986C8" w14:textId="77777777" w:rsidR="00B94540" w:rsidRPr="00092ED7" w:rsidRDefault="00B94540" w:rsidP="00B94540">
            <w:pPr>
              <w:spacing w:after="0"/>
              <w:jc w:val="left"/>
              <w:rPr>
                <w:rFonts w:eastAsia="MS PGothic" w:cstheme="minorHAnsi"/>
                <w:sz w:val="20"/>
                <w:szCs w:val="20"/>
                <w:lang w:val="sr-Cyrl-CS" w:eastAsia="ja-JP"/>
              </w:rPr>
            </w:pPr>
            <w:r w:rsidRPr="00092ED7">
              <w:rPr>
                <w:rFonts w:eastAsia="MS PGothic" w:cstheme="minorHAnsi"/>
                <w:sz w:val="20"/>
                <w:szCs w:val="20"/>
                <w:lang w:val="sr-Cyrl-CS" w:eastAsia="ja-JP"/>
              </w:rPr>
              <w:t>Капитални расходи</w:t>
            </w:r>
          </w:p>
        </w:tc>
        <w:tc>
          <w:tcPr>
            <w:tcW w:w="803" w:type="pct"/>
            <w:shd w:val="clear" w:color="auto" w:fill="auto"/>
            <w:hideMark/>
          </w:tcPr>
          <w:p w14:paraId="37F4594F" w14:textId="77777777" w:rsidR="00B94540" w:rsidRPr="00092ED7" w:rsidRDefault="00B94540" w:rsidP="00B94540">
            <w:pPr>
              <w:spacing w:after="0"/>
              <w:ind w:right="340"/>
              <w:jc w:val="right"/>
              <w:rPr>
                <w:rFonts w:cstheme="minorHAnsi"/>
                <w:sz w:val="20"/>
                <w:szCs w:val="20"/>
                <w:lang w:val="sr-Cyrl-CS"/>
              </w:rPr>
            </w:pPr>
            <w:r w:rsidRPr="00092ED7">
              <w:rPr>
                <w:sz w:val="20"/>
                <w:szCs w:val="20"/>
                <w:lang w:val="sr-Cyrl-CS"/>
              </w:rPr>
              <w:t>264,5</w:t>
            </w:r>
          </w:p>
        </w:tc>
        <w:tc>
          <w:tcPr>
            <w:tcW w:w="803" w:type="pct"/>
            <w:shd w:val="clear" w:color="auto" w:fill="auto"/>
            <w:hideMark/>
          </w:tcPr>
          <w:p w14:paraId="3412FD72" w14:textId="77777777" w:rsidR="00B94540" w:rsidRPr="00092ED7" w:rsidRDefault="00B94540" w:rsidP="00B94540">
            <w:pPr>
              <w:spacing w:after="0"/>
              <w:ind w:right="340"/>
              <w:jc w:val="right"/>
              <w:rPr>
                <w:rFonts w:cstheme="minorHAnsi"/>
                <w:sz w:val="20"/>
                <w:szCs w:val="20"/>
                <w:lang w:val="sr-Cyrl-CS"/>
              </w:rPr>
            </w:pPr>
            <w:r w:rsidRPr="00092ED7">
              <w:rPr>
                <w:sz w:val="20"/>
                <w:szCs w:val="20"/>
                <w:lang w:val="sr-Cyrl-CS"/>
              </w:rPr>
              <w:t>292,6</w:t>
            </w:r>
          </w:p>
        </w:tc>
        <w:tc>
          <w:tcPr>
            <w:tcW w:w="803" w:type="pct"/>
          </w:tcPr>
          <w:p w14:paraId="5791DEC5" w14:textId="77777777" w:rsidR="00B94540" w:rsidRPr="00092ED7" w:rsidRDefault="00B94540" w:rsidP="00B94540">
            <w:pPr>
              <w:spacing w:after="0"/>
              <w:ind w:right="510"/>
              <w:jc w:val="right"/>
              <w:rPr>
                <w:rFonts w:cstheme="minorHAnsi"/>
                <w:sz w:val="20"/>
                <w:szCs w:val="20"/>
                <w:lang w:val="sr-Cyrl-CS"/>
              </w:rPr>
            </w:pPr>
            <w:r w:rsidRPr="00092ED7">
              <w:rPr>
                <w:sz w:val="20"/>
                <w:szCs w:val="20"/>
                <w:lang w:val="sr-Cyrl-CS"/>
              </w:rPr>
              <w:t>10,6</w:t>
            </w:r>
          </w:p>
        </w:tc>
        <w:tc>
          <w:tcPr>
            <w:tcW w:w="803" w:type="pct"/>
            <w:shd w:val="clear" w:color="auto" w:fill="auto"/>
            <w:hideMark/>
          </w:tcPr>
          <w:p w14:paraId="121C1C09" w14:textId="77777777" w:rsidR="00B94540" w:rsidRPr="00092ED7" w:rsidRDefault="00B94540" w:rsidP="00B94540">
            <w:pPr>
              <w:spacing w:after="0"/>
              <w:ind w:right="510"/>
              <w:jc w:val="right"/>
              <w:rPr>
                <w:rFonts w:cstheme="minorHAnsi"/>
                <w:sz w:val="20"/>
                <w:szCs w:val="20"/>
                <w:lang w:val="sr-Cyrl-CS"/>
              </w:rPr>
            </w:pPr>
            <w:r w:rsidRPr="00092ED7">
              <w:rPr>
                <w:sz w:val="20"/>
                <w:szCs w:val="20"/>
                <w:lang w:val="sr-Cyrl-CS"/>
              </w:rPr>
              <w:t>11,3</w:t>
            </w:r>
          </w:p>
        </w:tc>
      </w:tr>
      <w:tr w:rsidR="00B94540" w:rsidRPr="00092ED7" w14:paraId="6465B5B6" w14:textId="77777777" w:rsidTr="009D4BCD">
        <w:trPr>
          <w:trHeight w:val="66"/>
          <w:tblHeader/>
          <w:jc w:val="right"/>
        </w:trPr>
        <w:tc>
          <w:tcPr>
            <w:tcW w:w="1788" w:type="pct"/>
            <w:shd w:val="clear" w:color="auto" w:fill="auto"/>
            <w:noWrap/>
            <w:vAlign w:val="center"/>
            <w:hideMark/>
          </w:tcPr>
          <w:p w14:paraId="657B7E82" w14:textId="77777777" w:rsidR="00B94540" w:rsidRPr="00092ED7" w:rsidRDefault="00B94540" w:rsidP="00B94540">
            <w:pPr>
              <w:spacing w:after="0"/>
              <w:jc w:val="left"/>
              <w:rPr>
                <w:rFonts w:eastAsia="MS PGothic" w:cstheme="minorHAnsi"/>
                <w:sz w:val="20"/>
                <w:szCs w:val="20"/>
                <w:lang w:val="sr-Cyrl-CS" w:eastAsia="ja-JP"/>
              </w:rPr>
            </w:pPr>
            <w:r w:rsidRPr="00092ED7">
              <w:rPr>
                <w:rFonts w:eastAsia="MS PGothic" w:cstheme="minorHAnsi"/>
                <w:sz w:val="20"/>
                <w:szCs w:val="20"/>
                <w:lang w:val="sr-Cyrl-CS" w:eastAsia="ja-JP"/>
              </w:rPr>
              <w:t>Нето буџетске позајмице</w:t>
            </w:r>
          </w:p>
        </w:tc>
        <w:tc>
          <w:tcPr>
            <w:tcW w:w="803" w:type="pct"/>
            <w:shd w:val="clear" w:color="auto" w:fill="auto"/>
            <w:hideMark/>
          </w:tcPr>
          <w:p w14:paraId="4DB133DE" w14:textId="77777777" w:rsidR="00B94540" w:rsidRPr="00092ED7" w:rsidRDefault="00B94540" w:rsidP="00B94540">
            <w:pPr>
              <w:spacing w:after="0"/>
              <w:ind w:right="340"/>
              <w:jc w:val="right"/>
              <w:rPr>
                <w:rFonts w:cstheme="minorHAnsi"/>
                <w:sz w:val="20"/>
                <w:szCs w:val="20"/>
                <w:lang w:val="sr-Cyrl-CS"/>
              </w:rPr>
            </w:pPr>
            <w:r w:rsidRPr="00092ED7">
              <w:rPr>
                <w:sz w:val="20"/>
                <w:szCs w:val="20"/>
                <w:lang w:val="sr-Cyrl-CS"/>
              </w:rPr>
              <w:t>11,6</w:t>
            </w:r>
          </w:p>
        </w:tc>
        <w:tc>
          <w:tcPr>
            <w:tcW w:w="803" w:type="pct"/>
            <w:shd w:val="clear" w:color="auto" w:fill="auto"/>
            <w:hideMark/>
          </w:tcPr>
          <w:p w14:paraId="221FA20B" w14:textId="77777777" w:rsidR="00B94540" w:rsidRPr="00092ED7" w:rsidRDefault="00B94540" w:rsidP="00B94540">
            <w:pPr>
              <w:spacing w:after="0"/>
              <w:ind w:right="340"/>
              <w:jc w:val="right"/>
              <w:rPr>
                <w:rFonts w:cstheme="minorHAnsi"/>
                <w:sz w:val="20"/>
                <w:szCs w:val="20"/>
                <w:lang w:val="sr-Cyrl-CS"/>
              </w:rPr>
            </w:pPr>
            <w:r w:rsidRPr="00092ED7">
              <w:rPr>
                <w:sz w:val="20"/>
                <w:szCs w:val="20"/>
                <w:lang w:val="sr-Cyrl-CS"/>
              </w:rPr>
              <w:t>26,1</w:t>
            </w:r>
          </w:p>
        </w:tc>
        <w:tc>
          <w:tcPr>
            <w:tcW w:w="803" w:type="pct"/>
          </w:tcPr>
          <w:p w14:paraId="32984408" w14:textId="77777777" w:rsidR="00B94540" w:rsidRPr="00092ED7" w:rsidRDefault="00B94540" w:rsidP="00B94540">
            <w:pPr>
              <w:spacing w:after="0"/>
              <w:ind w:right="510"/>
              <w:jc w:val="right"/>
              <w:rPr>
                <w:rFonts w:cstheme="minorHAnsi"/>
                <w:sz w:val="20"/>
                <w:szCs w:val="20"/>
                <w:lang w:val="sr-Cyrl-CS"/>
              </w:rPr>
            </w:pPr>
            <w:r w:rsidRPr="00092ED7">
              <w:rPr>
                <w:sz w:val="20"/>
                <w:szCs w:val="20"/>
                <w:lang w:val="sr-Cyrl-CS"/>
              </w:rPr>
              <w:t>125,1</w:t>
            </w:r>
          </w:p>
        </w:tc>
        <w:tc>
          <w:tcPr>
            <w:tcW w:w="803" w:type="pct"/>
            <w:shd w:val="clear" w:color="auto" w:fill="auto"/>
            <w:hideMark/>
          </w:tcPr>
          <w:p w14:paraId="1676BE0D" w14:textId="77777777" w:rsidR="00B94540" w:rsidRPr="00092ED7" w:rsidRDefault="00B94540" w:rsidP="00B94540">
            <w:pPr>
              <w:spacing w:after="0"/>
              <w:ind w:right="510"/>
              <w:jc w:val="right"/>
              <w:rPr>
                <w:rFonts w:cstheme="minorHAnsi"/>
                <w:sz w:val="20"/>
                <w:szCs w:val="20"/>
                <w:lang w:val="sr-Cyrl-CS"/>
              </w:rPr>
            </w:pPr>
            <w:r w:rsidRPr="00092ED7">
              <w:rPr>
                <w:sz w:val="20"/>
                <w:szCs w:val="20"/>
                <w:lang w:val="sr-Cyrl-CS"/>
              </w:rPr>
              <w:t>197,9</w:t>
            </w:r>
          </w:p>
        </w:tc>
      </w:tr>
      <w:tr w:rsidR="00B94540" w:rsidRPr="00092ED7" w14:paraId="3F749CD8" w14:textId="77777777" w:rsidTr="009D4BCD">
        <w:trPr>
          <w:trHeight w:val="66"/>
          <w:tblHeader/>
          <w:jc w:val="right"/>
        </w:trPr>
        <w:tc>
          <w:tcPr>
            <w:tcW w:w="1788" w:type="pct"/>
            <w:shd w:val="clear" w:color="auto" w:fill="auto"/>
            <w:noWrap/>
            <w:vAlign w:val="center"/>
            <w:hideMark/>
          </w:tcPr>
          <w:p w14:paraId="2CF901C7" w14:textId="77777777" w:rsidR="00B94540" w:rsidRPr="00092ED7" w:rsidRDefault="00B94540" w:rsidP="00B94540">
            <w:pPr>
              <w:spacing w:after="0"/>
              <w:jc w:val="left"/>
              <w:rPr>
                <w:rFonts w:eastAsia="MS PGothic" w:cstheme="minorHAnsi"/>
                <w:sz w:val="20"/>
                <w:szCs w:val="20"/>
                <w:lang w:val="sr-Cyrl-CS" w:eastAsia="ja-JP"/>
              </w:rPr>
            </w:pPr>
            <w:r w:rsidRPr="00092ED7">
              <w:rPr>
                <w:rFonts w:eastAsia="MS PGothic" w:cstheme="minorHAnsi"/>
                <w:sz w:val="20"/>
                <w:szCs w:val="20"/>
                <w:lang w:val="sr-Cyrl-CS" w:eastAsia="ja-JP"/>
              </w:rPr>
              <w:t>Активиране гаранције</w:t>
            </w:r>
          </w:p>
        </w:tc>
        <w:tc>
          <w:tcPr>
            <w:tcW w:w="803" w:type="pct"/>
            <w:shd w:val="clear" w:color="auto" w:fill="auto"/>
            <w:hideMark/>
          </w:tcPr>
          <w:p w14:paraId="67C5F007" w14:textId="77777777" w:rsidR="00B94540" w:rsidRPr="00092ED7" w:rsidRDefault="00B94540" w:rsidP="00B94540">
            <w:pPr>
              <w:spacing w:after="0"/>
              <w:ind w:right="340"/>
              <w:jc w:val="right"/>
              <w:rPr>
                <w:rFonts w:cstheme="minorHAnsi"/>
                <w:sz w:val="20"/>
                <w:szCs w:val="20"/>
                <w:lang w:val="sr-Cyrl-CS"/>
              </w:rPr>
            </w:pPr>
            <w:r w:rsidRPr="00092ED7">
              <w:rPr>
                <w:sz w:val="20"/>
                <w:szCs w:val="20"/>
                <w:lang w:val="sr-Cyrl-CS"/>
              </w:rPr>
              <w:t>5,4</w:t>
            </w:r>
          </w:p>
        </w:tc>
        <w:tc>
          <w:tcPr>
            <w:tcW w:w="803" w:type="pct"/>
            <w:shd w:val="clear" w:color="auto" w:fill="auto"/>
            <w:hideMark/>
          </w:tcPr>
          <w:p w14:paraId="2F963A59" w14:textId="77777777" w:rsidR="00B94540" w:rsidRPr="00092ED7" w:rsidRDefault="00B94540" w:rsidP="00B94540">
            <w:pPr>
              <w:spacing w:after="0"/>
              <w:ind w:right="340"/>
              <w:jc w:val="right"/>
              <w:rPr>
                <w:rFonts w:cstheme="minorHAnsi"/>
                <w:sz w:val="20"/>
                <w:szCs w:val="20"/>
                <w:lang w:val="sr-Cyrl-CS"/>
              </w:rPr>
            </w:pPr>
            <w:r w:rsidRPr="00092ED7">
              <w:rPr>
                <w:sz w:val="20"/>
                <w:szCs w:val="20"/>
                <w:lang w:val="sr-Cyrl-CS"/>
              </w:rPr>
              <w:t>11,5</w:t>
            </w:r>
          </w:p>
        </w:tc>
        <w:tc>
          <w:tcPr>
            <w:tcW w:w="803" w:type="pct"/>
          </w:tcPr>
          <w:p w14:paraId="31494133" w14:textId="77777777" w:rsidR="00B94540" w:rsidRPr="00092ED7" w:rsidRDefault="00B94540" w:rsidP="00B94540">
            <w:pPr>
              <w:spacing w:after="0"/>
              <w:ind w:right="510"/>
              <w:jc w:val="right"/>
              <w:rPr>
                <w:rFonts w:cstheme="minorHAnsi"/>
                <w:sz w:val="20"/>
                <w:szCs w:val="20"/>
                <w:lang w:val="sr-Cyrl-CS"/>
              </w:rPr>
            </w:pPr>
            <w:r w:rsidRPr="00092ED7">
              <w:rPr>
                <w:sz w:val="20"/>
                <w:szCs w:val="20"/>
                <w:lang w:val="sr-Cyrl-CS"/>
              </w:rPr>
              <w:t>114,5</w:t>
            </w:r>
          </w:p>
        </w:tc>
        <w:tc>
          <w:tcPr>
            <w:tcW w:w="803" w:type="pct"/>
            <w:shd w:val="clear" w:color="auto" w:fill="auto"/>
            <w:hideMark/>
          </w:tcPr>
          <w:p w14:paraId="62570556" w14:textId="77777777" w:rsidR="00B94540" w:rsidRPr="00092ED7" w:rsidRDefault="00B94540" w:rsidP="00B94540">
            <w:pPr>
              <w:spacing w:after="0"/>
              <w:ind w:right="510"/>
              <w:jc w:val="right"/>
              <w:rPr>
                <w:rFonts w:cstheme="minorHAnsi"/>
                <w:sz w:val="20"/>
                <w:szCs w:val="20"/>
                <w:lang w:val="sr-Cyrl-CS"/>
              </w:rPr>
            </w:pPr>
            <w:r w:rsidRPr="00092ED7">
              <w:rPr>
                <w:sz w:val="20"/>
                <w:szCs w:val="20"/>
                <w:lang w:val="sr-Cyrl-CS"/>
              </w:rPr>
              <w:t>137,8</w:t>
            </w:r>
          </w:p>
        </w:tc>
      </w:tr>
      <w:tr w:rsidR="00B94540" w:rsidRPr="00092ED7" w14:paraId="4A65E105" w14:textId="77777777" w:rsidTr="009D4BCD">
        <w:trPr>
          <w:trHeight w:val="66"/>
          <w:tblHeader/>
          <w:jc w:val="right"/>
        </w:trPr>
        <w:tc>
          <w:tcPr>
            <w:tcW w:w="1788" w:type="pct"/>
            <w:shd w:val="clear" w:color="auto" w:fill="E7E6E6" w:themeFill="background2"/>
            <w:noWrap/>
            <w:vAlign w:val="center"/>
            <w:hideMark/>
          </w:tcPr>
          <w:p w14:paraId="77B1D3D2" w14:textId="77777777" w:rsidR="00B94540" w:rsidRPr="00092ED7" w:rsidRDefault="00B94540" w:rsidP="00B94540">
            <w:pPr>
              <w:spacing w:after="0"/>
              <w:jc w:val="left"/>
              <w:rPr>
                <w:rFonts w:cstheme="minorHAnsi"/>
                <w:sz w:val="20"/>
                <w:szCs w:val="20"/>
                <w:lang w:val="sr-Cyrl-CS"/>
              </w:rPr>
            </w:pPr>
            <w:r w:rsidRPr="00092ED7">
              <w:rPr>
                <w:rFonts w:eastAsia="MS PGothic" w:cstheme="minorHAnsi"/>
                <w:sz w:val="20"/>
                <w:szCs w:val="20"/>
                <w:lang w:val="sr-Cyrl-CS" w:eastAsia="ja-JP"/>
              </w:rPr>
              <w:t>Фискални резултат</w:t>
            </w:r>
          </w:p>
        </w:tc>
        <w:tc>
          <w:tcPr>
            <w:tcW w:w="803" w:type="pct"/>
            <w:shd w:val="clear" w:color="auto" w:fill="E7E6E6" w:themeFill="background2"/>
            <w:hideMark/>
          </w:tcPr>
          <w:p w14:paraId="7C1818D2" w14:textId="77777777" w:rsidR="00B94540" w:rsidRPr="00092ED7" w:rsidRDefault="00B94540" w:rsidP="00B94540">
            <w:pPr>
              <w:spacing w:after="0"/>
              <w:ind w:right="340"/>
              <w:jc w:val="right"/>
              <w:rPr>
                <w:rFonts w:cstheme="minorHAnsi"/>
                <w:sz w:val="20"/>
                <w:szCs w:val="20"/>
                <w:lang w:val="sr-Cyrl-CS"/>
              </w:rPr>
            </w:pPr>
            <w:r w:rsidRPr="00092ED7">
              <w:rPr>
                <w:sz w:val="20"/>
                <w:szCs w:val="20"/>
                <w:lang w:val="sr-Cyrl-CS"/>
              </w:rPr>
              <w:t>-68,0</w:t>
            </w:r>
          </w:p>
        </w:tc>
        <w:tc>
          <w:tcPr>
            <w:tcW w:w="803" w:type="pct"/>
            <w:shd w:val="clear" w:color="auto" w:fill="E7E6E6" w:themeFill="background2"/>
            <w:hideMark/>
          </w:tcPr>
          <w:p w14:paraId="437D221B" w14:textId="77777777" w:rsidR="00B94540" w:rsidRPr="00092ED7" w:rsidRDefault="00B94540" w:rsidP="00B94540">
            <w:pPr>
              <w:spacing w:after="0"/>
              <w:ind w:right="340"/>
              <w:jc w:val="right"/>
              <w:rPr>
                <w:rFonts w:cstheme="minorHAnsi"/>
                <w:sz w:val="20"/>
                <w:szCs w:val="20"/>
                <w:lang w:val="sr-Cyrl-CS"/>
              </w:rPr>
            </w:pPr>
            <w:r w:rsidRPr="00092ED7">
              <w:rPr>
                <w:sz w:val="20"/>
                <w:szCs w:val="20"/>
                <w:lang w:val="sr-Cyrl-CS"/>
              </w:rPr>
              <w:t>48,3</w:t>
            </w:r>
          </w:p>
        </w:tc>
        <w:tc>
          <w:tcPr>
            <w:tcW w:w="803" w:type="pct"/>
            <w:shd w:val="clear" w:color="auto" w:fill="E7E6E6" w:themeFill="background2"/>
          </w:tcPr>
          <w:p w14:paraId="32923C5A" w14:textId="77777777" w:rsidR="00B94540" w:rsidRPr="00092ED7" w:rsidRDefault="00B94540" w:rsidP="00B94540">
            <w:pPr>
              <w:spacing w:after="0"/>
              <w:ind w:right="737"/>
              <w:jc w:val="right"/>
              <w:rPr>
                <w:rFonts w:cstheme="minorHAnsi"/>
                <w:sz w:val="20"/>
                <w:szCs w:val="20"/>
                <w:lang w:val="sr-Cyrl-CS"/>
              </w:rPr>
            </w:pPr>
          </w:p>
        </w:tc>
        <w:tc>
          <w:tcPr>
            <w:tcW w:w="803" w:type="pct"/>
            <w:shd w:val="clear" w:color="auto" w:fill="E7E6E6" w:themeFill="background2"/>
            <w:hideMark/>
          </w:tcPr>
          <w:p w14:paraId="2F221AAB" w14:textId="77777777" w:rsidR="00B94540" w:rsidRPr="00092ED7" w:rsidRDefault="00B94540" w:rsidP="00B94540">
            <w:pPr>
              <w:spacing w:after="0"/>
              <w:ind w:right="737"/>
              <w:jc w:val="right"/>
              <w:rPr>
                <w:rFonts w:cstheme="minorHAnsi"/>
                <w:sz w:val="20"/>
                <w:szCs w:val="20"/>
                <w:lang w:val="sr-Cyrl-CS"/>
              </w:rPr>
            </w:pPr>
          </w:p>
        </w:tc>
      </w:tr>
    </w:tbl>
    <w:p w14:paraId="417660EC" w14:textId="77777777" w:rsidR="00B94540" w:rsidRPr="00092ED7" w:rsidRDefault="00B94540" w:rsidP="009D4BCD">
      <w:pPr>
        <w:tabs>
          <w:tab w:val="left" w:pos="623"/>
        </w:tabs>
        <w:spacing w:before="60" w:after="60"/>
        <w:rPr>
          <w:rFonts w:eastAsia="Calibri" w:cs="Times New Roman"/>
          <w:sz w:val="18"/>
          <w:szCs w:val="18"/>
          <w:lang w:val="sr-Cyrl-CS"/>
        </w:rPr>
      </w:pPr>
      <w:r w:rsidRPr="00092ED7">
        <w:rPr>
          <w:rFonts w:eastAsia="Calibri" w:cs="Times New Roman"/>
          <w:bCs/>
          <w:sz w:val="18"/>
          <w:szCs w:val="18"/>
          <w:lang w:val="sr-Cyrl-CS" w:eastAsia="ja-JP"/>
        </w:rPr>
        <w:t xml:space="preserve">Извор: </w:t>
      </w:r>
      <w:r w:rsidRPr="00092ED7">
        <w:rPr>
          <w:rFonts w:eastAsia="Calibri" w:cs="Times New Roman"/>
          <w:sz w:val="18"/>
          <w:szCs w:val="18"/>
          <w:lang w:val="sr-Cyrl-CS"/>
        </w:rPr>
        <w:t>Министарство финансија</w:t>
      </w:r>
    </w:p>
    <w:p w14:paraId="75710AFC" w14:textId="77777777" w:rsidR="00B94540" w:rsidRPr="00092ED7" w:rsidRDefault="00B94540" w:rsidP="009D4BCD">
      <w:pPr>
        <w:spacing w:after="40"/>
        <w:rPr>
          <w:rFonts w:eastAsia="MS PGothic" w:cstheme="minorHAnsi"/>
          <w:szCs w:val="20"/>
          <w:lang w:val="sr-Cyrl-CS" w:eastAsia="ja-JP"/>
        </w:rPr>
      </w:pPr>
      <w:r w:rsidRPr="00092ED7">
        <w:rPr>
          <w:rFonts w:eastAsia="MS PGothic" w:cstheme="minorHAnsi"/>
          <w:szCs w:val="20"/>
          <w:lang w:val="sr-Cyrl-CS" w:eastAsia="ja-JP"/>
        </w:rPr>
        <w:t xml:space="preserve">Стање доцњи (преко 60 дана кашњења)* буџетских корисника и организација обавезног социјалног осигурања последњег дана </w:t>
      </w:r>
      <w:r w:rsidRPr="00092ED7">
        <w:rPr>
          <w:lang w:val="sr-Cyrl-CS"/>
        </w:rPr>
        <w:t>септембра</w:t>
      </w:r>
      <w:r w:rsidRPr="00092ED7">
        <w:rPr>
          <w:rFonts w:eastAsia="MS PGothic" w:cstheme="minorHAnsi"/>
          <w:szCs w:val="20"/>
          <w:lang w:val="sr-Cyrl-CS" w:eastAsia="ja-JP"/>
        </w:rPr>
        <w:t xml:space="preserve"> 2022. године износило је 2,8 млрд динара (око 0,04% БДП), и повећано је у односу на крај 2021. године. Корисници буџета и ЈП „Путеви Србије” креирали су доцње у плаћању од 1,4 млрд динара, док је стање доцњи организација обавезног социјалног осигурања 1,4 млрд динара.</w:t>
      </w:r>
    </w:p>
    <w:p w14:paraId="0CBF49CE" w14:textId="274172D1" w:rsidR="00B94540" w:rsidRPr="00092ED7" w:rsidRDefault="00B94540" w:rsidP="00B94540">
      <w:pPr>
        <w:spacing w:before="120" w:after="60"/>
        <w:rPr>
          <w:rFonts w:eastAsia="MS PGothic" w:cstheme="minorHAnsi"/>
          <w:szCs w:val="20"/>
          <w:lang w:val="sr-Cyrl-CS" w:eastAsia="ja-JP"/>
        </w:rPr>
      </w:pPr>
      <w:r w:rsidRPr="00092ED7">
        <w:rPr>
          <w:rFonts w:eastAsia="MS PGothic" w:cs="Times New Roman"/>
          <w:szCs w:val="24"/>
          <w:lang w:val="sr-Cyrl-CS" w:eastAsia="ja-JP"/>
        </w:rPr>
        <w:t>Табела 6. Стање доцњи буџетских корисника и О</w:t>
      </w:r>
      <w:r w:rsidR="00B86E8D" w:rsidRPr="00092ED7">
        <w:rPr>
          <w:rFonts w:eastAsia="MS PGothic" w:cs="Times New Roman"/>
          <w:szCs w:val="24"/>
          <w:lang w:val="sr-Cyrl-CS" w:eastAsia="ja-JP"/>
        </w:rPr>
        <w:t>рганизација обавезног социјалног осигурања (у даљем тексту: О</w:t>
      </w:r>
      <w:r w:rsidRPr="00092ED7">
        <w:rPr>
          <w:rFonts w:eastAsia="MS PGothic" w:cs="Times New Roman"/>
          <w:szCs w:val="24"/>
          <w:lang w:val="sr-Cyrl-CS" w:eastAsia="ja-JP"/>
        </w:rPr>
        <w:t>ОСО</w:t>
      </w:r>
      <w:r w:rsidR="00B86E8D" w:rsidRPr="00092ED7">
        <w:rPr>
          <w:rFonts w:eastAsia="MS PGothic" w:cs="Times New Roman"/>
          <w:szCs w:val="24"/>
          <w:lang w:val="sr-Cyrl-CS" w:eastAsia="ja-JP"/>
        </w:rPr>
        <w:t>)</w:t>
      </w:r>
      <w:r w:rsidRPr="00092ED7">
        <w:rPr>
          <w:rFonts w:eastAsia="MS PGothic" w:cs="Times New Roman"/>
          <w:szCs w:val="24"/>
          <w:lang w:val="sr-Cyrl-CS" w:eastAsia="ja-JP"/>
        </w:rPr>
        <w:t>, крај 2021. године и септембар 2022. године, у млрд динара</w:t>
      </w:r>
    </w:p>
    <w:tbl>
      <w:tblPr>
        <w:tblStyle w:val="LightShading-Accent3352"/>
        <w:tblpPr w:leftFromText="180" w:rightFromText="180" w:vertAnchor="text" w:horzAnchor="margin" w:tblpY="56"/>
        <w:tblW w:w="487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50"/>
        <w:gridCol w:w="1774"/>
        <w:gridCol w:w="1774"/>
      </w:tblGrid>
      <w:tr w:rsidR="00B94540" w:rsidRPr="00092ED7" w14:paraId="00C57439" w14:textId="77777777" w:rsidTr="009D4BCD">
        <w:trPr>
          <w:cnfStyle w:val="100000000000" w:firstRow="1" w:lastRow="0" w:firstColumn="0" w:lastColumn="0" w:oddVBand="0" w:evenVBand="0" w:oddHBand="0"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2984" w:type="pct"/>
            <w:tcBorders>
              <w:top w:val="none" w:sz="0" w:space="0" w:color="auto"/>
              <w:left w:val="none" w:sz="0" w:space="0" w:color="auto"/>
              <w:bottom w:val="none" w:sz="0" w:space="0" w:color="auto"/>
              <w:right w:val="none" w:sz="0" w:space="0" w:color="auto"/>
            </w:tcBorders>
            <w:shd w:val="clear" w:color="auto" w:fill="auto"/>
            <w:noWrap/>
            <w:hideMark/>
          </w:tcPr>
          <w:p w14:paraId="217F18D0" w14:textId="77777777" w:rsidR="00B94540" w:rsidRPr="00092ED7" w:rsidRDefault="00B94540" w:rsidP="00B94540">
            <w:pPr>
              <w:spacing w:after="0"/>
              <w:rPr>
                <w:color w:val="auto"/>
                <w:sz w:val="20"/>
                <w:lang w:val="sr-Cyrl-CS"/>
              </w:rPr>
            </w:pPr>
          </w:p>
        </w:tc>
        <w:tc>
          <w:tcPr>
            <w:tcW w:w="1008" w:type="pct"/>
            <w:tcBorders>
              <w:top w:val="none" w:sz="0" w:space="0" w:color="auto"/>
              <w:left w:val="none" w:sz="0" w:space="0" w:color="auto"/>
              <w:bottom w:val="none" w:sz="0" w:space="0" w:color="auto"/>
              <w:right w:val="none" w:sz="0" w:space="0" w:color="auto"/>
            </w:tcBorders>
            <w:shd w:val="clear" w:color="auto" w:fill="auto"/>
            <w:vAlign w:val="center"/>
          </w:tcPr>
          <w:p w14:paraId="23E7A726" w14:textId="77777777" w:rsidR="00B94540" w:rsidRPr="00092ED7" w:rsidRDefault="00B94540" w:rsidP="00B94540">
            <w:pPr>
              <w:spacing w:after="0"/>
              <w:jc w:val="right"/>
              <w:cnfStyle w:val="100000000000" w:firstRow="1" w:lastRow="0" w:firstColumn="0" w:lastColumn="0" w:oddVBand="0" w:evenVBand="0" w:oddHBand="0" w:evenHBand="0" w:firstRowFirstColumn="0" w:firstRowLastColumn="0" w:lastRowFirstColumn="0" w:lastRowLastColumn="0"/>
              <w:rPr>
                <w:b w:val="0"/>
                <w:color w:val="auto"/>
                <w:sz w:val="20"/>
                <w:lang w:val="sr-Cyrl-CS"/>
              </w:rPr>
            </w:pPr>
            <w:r w:rsidRPr="00092ED7">
              <w:rPr>
                <w:b w:val="0"/>
                <w:color w:val="auto"/>
                <w:sz w:val="20"/>
                <w:lang w:val="sr-Cyrl-CS"/>
              </w:rPr>
              <w:t>31.12.2021.</w:t>
            </w:r>
          </w:p>
        </w:tc>
        <w:tc>
          <w:tcPr>
            <w:tcW w:w="1008" w:type="pct"/>
            <w:tcBorders>
              <w:top w:val="none" w:sz="0" w:space="0" w:color="auto"/>
              <w:left w:val="none" w:sz="0" w:space="0" w:color="auto"/>
              <w:bottom w:val="none" w:sz="0" w:space="0" w:color="auto"/>
              <w:right w:val="none" w:sz="0" w:space="0" w:color="auto"/>
            </w:tcBorders>
            <w:shd w:val="clear" w:color="auto" w:fill="auto"/>
            <w:vAlign w:val="center"/>
          </w:tcPr>
          <w:p w14:paraId="09043081" w14:textId="77777777" w:rsidR="00B94540" w:rsidRPr="00092ED7" w:rsidRDefault="00B94540" w:rsidP="00B94540">
            <w:pPr>
              <w:spacing w:after="0"/>
              <w:jc w:val="right"/>
              <w:cnfStyle w:val="100000000000" w:firstRow="1" w:lastRow="0" w:firstColumn="0" w:lastColumn="0" w:oddVBand="0" w:evenVBand="0" w:oddHBand="0" w:evenHBand="0" w:firstRowFirstColumn="0" w:firstRowLastColumn="0" w:lastRowFirstColumn="0" w:lastRowLastColumn="0"/>
              <w:rPr>
                <w:b w:val="0"/>
                <w:color w:val="auto"/>
                <w:sz w:val="20"/>
                <w:lang w:val="sr-Cyrl-CS"/>
              </w:rPr>
            </w:pPr>
            <w:r w:rsidRPr="00092ED7">
              <w:rPr>
                <w:b w:val="0"/>
                <w:color w:val="auto"/>
                <w:sz w:val="20"/>
                <w:lang w:val="sr-Cyrl-CS"/>
              </w:rPr>
              <w:t>30.09.2022.</w:t>
            </w:r>
          </w:p>
        </w:tc>
      </w:tr>
      <w:tr w:rsidR="00B94540" w:rsidRPr="00092ED7" w14:paraId="28818595" w14:textId="77777777" w:rsidTr="009D4BCD">
        <w:trPr>
          <w:cnfStyle w:val="000000100000" w:firstRow="0" w:lastRow="0" w:firstColumn="0" w:lastColumn="0" w:oddVBand="0" w:evenVBand="0" w:oddHBand="1"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2984" w:type="pct"/>
            <w:tcBorders>
              <w:left w:val="none" w:sz="0" w:space="0" w:color="auto"/>
              <w:right w:val="none" w:sz="0" w:space="0" w:color="auto"/>
            </w:tcBorders>
            <w:shd w:val="clear" w:color="auto" w:fill="auto"/>
            <w:noWrap/>
            <w:vAlign w:val="center"/>
            <w:hideMark/>
          </w:tcPr>
          <w:p w14:paraId="32085A64" w14:textId="77777777" w:rsidR="00B94540" w:rsidRPr="00092ED7" w:rsidRDefault="00B94540" w:rsidP="00B94540">
            <w:pPr>
              <w:spacing w:after="0"/>
              <w:rPr>
                <w:b w:val="0"/>
                <w:color w:val="auto"/>
                <w:sz w:val="20"/>
                <w:lang w:val="sr-Cyrl-CS"/>
              </w:rPr>
            </w:pPr>
            <w:r w:rsidRPr="00092ED7">
              <w:rPr>
                <w:b w:val="0"/>
                <w:color w:val="auto"/>
                <w:sz w:val="20"/>
                <w:lang w:val="sr-Cyrl-CS"/>
              </w:rPr>
              <w:t xml:space="preserve">Буџетски корисници и ЈП „Путеви Србије” </w:t>
            </w:r>
          </w:p>
        </w:tc>
        <w:tc>
          <w:tcPr>
            <w:tcW w:w="1008" w:type="pct"/>
            <w:tcBorders>
              <w:left w:val="none" w:sz="0" w:space="0" w:color="auto"/>
              <w:right w:val="none" w:sz="0" w:space="0" w:color="auto"/>
            </w:tcBorders>
            <w:shd w:val="clear" w:color="auto" w:fill="auto"/>
            <w:vAlign w:val="center"/>
          </w:tcPr>
          <w:p w14:paraId="05808433" w14:textId="77777777" w:rsidR="00B94540" w:rsidRPr="00092ED7" w:rsidRDefault="00B94540" w:rsidP="00B94540">
            <w:pPr>
              <w:spacing w:after="0"/>
              <w:ind w:firstLine="709"/>
              <w:jc w:val="right"/>
              <w:cnfStyle w:val="000000100000" w:firstRow="0" w:lastRow="0" w:firstColumn="0" w:lastColumn="0" w:oddVBand="0" w:evenVBand="0" w:oddHBand="1" w:evenHBand="0" w:firstRowFirstColumn="0" w:firstRowLastColumn="0" w:lastRowFirstColumn="0" w:lastRowLastColumn="0"/>
              <w:rPr>
                <w:color w:val="auto"/>
                <w:sz w:val="20"/>
                <w:lang w:val="sr-Cyrl-CS"/>
              </w:rPr>
            </w:pPr>
            <w:r w:rsidRPr="00092ED7">
              <w:rPr>
                <w:color w:val="auto"/>
                <w:sz w:val="20"/>
                <w:lang w:val="sr-Cyrl-CS"/>
              </w:rPr>
              <w:t>1,2</w:t>
            </w:r>
          </w:p>
        </w:tc>
        <w:tc>
          <w:tcPr>
            <w:tcW w:w="1008" w:type="pct"/>
            <w:tcBorders>
              <w:left w:val="none" w:sz="0" w:space="0" w:color="auto"/>
              <w:right w:val="none" w:sz="0" w:space="0" w:color="auto"/>
            </w:tcBorders>
            <w:shd w:val="clear" w:color="auto" w:fill="auto"/>
            <w:vAlign w:val="center"/>
          </w:tcPr>
          <w:p w14:paraId="2E5C5DA6" w14:textId="77777777" w:rsidR="00B94540" w:rsidRPr="00092ED7" w:rsidRDefault="00B94540" w:rsidP="00B94540">
            <w:pPr>
              <w:spacing w:after="0"/>
              <w:ind w:firstLine="709"/>
              <w:jc w:val="right"/>
              <w:cnfStyle w:val="000000100000" w:firstRow="0" w:lastRow="0" w:firstColumn="0" w:lastColumn="0" w:oddVBand="0" w:evenVBand="0" w:oddHBand="1" w:evenHBand="0" w:firstRowFirstColumn="0" w:firstRowLastColumn="0" w:lastRowFirstColumn="0" w:lastRowLastColumn="0"/>
              <w:rPr>
                <w:color w:val="auto"/>
                <w:sz w:val="20"/>
                <w:lang w:val="sr-Cyrl-CS"/>
              </w:rPr>
            </w:pPr>
            <w:r w:rsidRPr="00092ED7">
              <w:rPr>
                <w:color w:val="auto"/>
                <w:sz w:val="20"/>
                <w:lang w:val="sr-Cyrl-CS"/>
              </w:rPr>
              <w:t>1,4</w:t>
            </w:r>
          </w:p>
        </w:tc>
      </w:tr>
      <w:tr w:rsidR="00B94540" w:rsidRPr="00092ED7" w14:paraId="145F9A70" w14:textId="77777777" w:rsidTr="009D4BCD">
        <w:trPr>
          <w:trHeight w:val="154"/>
        </w:trPr>
        <w:tc>
          <w:tcPr>
            <w:cnfStyle w:val="001000000000" w:firstRow="0" w:lastRow="0" w:firstColumn="1" w:lastColumn="0" w:oddVBand="0" w:evenVBand="0" w:oddHBand="0" w:evenHBand="0" w:firstRowFirstColumn="0" w:firstRowLastColumn="0" w:lastRowFirstColumn="0" w:lastRowLastColumn="0"/>
            <w:tcW w:w="2984" w:type="pct"/>
            <w:shd w:val="clear" w:color="auto" w:fill="auto"/>
            <w:noWrap/>
            <w:vAlign w:val="center"/>
            <w:hideMark/>
          </w:tcPr>
          <w:p w14:paraId="0BEE5FEA" w14:textId="77777777" w:rsidR="00B94540" w:rsidRPr="00092ED7" w:rsidRDefault="00B94540" w:rsidP="00B94540">
            <w:pPr>
              <w:spacing w:after="0"/>
              <w:rPr>
                <w:b w:val="0"/>
                <w:color w:val="auto"/>
                <w:sz w:val="20"/>
                <w:lang w:val="sr-Cyrl-CS"/>
              </w:rPr>
            </w:pPr>
            <w:r w:rsidRPr="00092ED7">
              <w:rPr>
                <w:b w:val="0"/>
                <w:color w:val="auto"/>
                <w:sz w:val="20"/>
                <w:lang w:val="sr-Cyrl-CS"/>
              </w:rPr>
              <w:t>ООСО</w:t>
            </w:r>
          </w:p>
        </w:tc>
        <w:tc>
          <w:tcPr>
            <w:tcW w:w="1008" w:type="pct"/>
            <w:shd w:val="clear" w:color="auto" w:fill="auto"/>
            <w:vAlign w:val="center"/>
          </w:tcPr>
          <w:p w14:paraId="52E2475F" w14:textId="77777777" w:rsidR="00B94540" w:rsidRPr="00092ED7" w:rsidRDefault="00B94540" w:rsidP="00B94540">
            <w:pPr>
              <w:spacing w:after="0"/>
              <w:ind w:firstLine="709"/>
              <w:jc w:val="right"/>
              <w:cnfStyle w:val="000000000000" w:firstRow="0" w:lastRow="0" w:firstColumn="0" w:lastColumn="0" w:oddVBand="0" w:evenVBand="0" w:oddHBand="0" w:evenHBand="0" w:firstRowFirstColumn="0" w:firstRowLastColumn="0" w:lastRowFirstColumn="0" w:lastRowLastColumn="0"/>
              <w:rPr>
                <w:color w:val="auto"/>
                <w:sz w:val="20"/>
                <w:lang w:val="sr-Cyrl-CS"/>
              </w:rPr>
            </w:pPr>
            <w:r w:rsidRPr="00092ED7">
              <w:rPr>
                <w:color w:val="auto"/>
                <w:sz w:val="20"/>
                <w:lang w:val="sr-Cyrl-CS"/>
              </w:rPr>
              <w:t>1,3</w:t>
            </w:r>
          </w:p>
        </w:tc>
        <w:tc>
          <w:tcPr>
            <w:tcW w:w="1008" w:type="pct"/>
            <w:shd w:val="clear" w:color="auto" w:fill="auto"/>
            <w:vAlign w:val="center"/>
          </w:tcPr>
          <w:p w14:paraId="4DD8E1EA" w14:textId="77777777" w:rsidR="00B94540" w:rsidRPr="00092ED7" w:rsidRDefault="00B94540" w:rsidP="00B94540">
            <w:pPr>
              <w:spacing w:after="0"/>
              <w:ind w:firstLine="709"/>
              <w:jc w:val="right"/>
              <w:cnfStyle w:val="000000000000" w:firstRow="0" w:lastRow="0" w:firstColumn="0" w:lastColumn="0" w:oddVBand="0" w:evenVBand="0" w:oddHBand="0" w:evenHBand="0" w:firstRowFirstColumn="0" w:firstRowLastColumn="0" w:lastRowFirstColumn="0" w:lastRowLastColumn="0"/>
              <w:rPr>
                <w:color w:val="auto"/>
                <w:sz w:val="20"/>
                <w:lang w:val="sr-Cyrl-CS"/>
              </w:rPr>
            </w:pPr>
            <w:r w:rsidRPr="00092ED7">
              <w:rPr>
                <w:color w:val="auto"/>
                <w:sz w:val="20"/>
                <w:lang w:val="sr-Cyrl-CS"/>
              </w:rPr>
              <w:t>1,4</w:t>
            </w:r>
          </w:p>
        </w:tc>
      </w:tr>
      <w:tr w:rsidR="00B94540" w:rsidRPr="00092ED7" w14:paraId="5C1E0ECE" w14:textId="77777777" w:rsidTr="009D4BC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84" w:type="pct"/>
            <w:tcBorders>
              <w:left w:val="none" w:sz="0" w:space="0" w:color="auto"/>
              <w:right w:val="none" w:sz="0" w:space="0" w:color="auto"/>
            </w:tcBorders>
            <w:shd w:val="clear" w:color="auto" w:fill="auto"/>
            <w:noWrap/>
            <w:vAlign w:val="center"/>
            <w:hideMark/>
          </w:tcPr>
          <w:p w14:paraId="32B478A8" w14:textId="77777777" w:rsidR="00B94540" w:rsidRPr="00092ED7" w:rsidRDefault="00B94540" w:rsidP="00B94540">
            <w:pPr>
              <w:spacing w:after="0"/>
              <w:rPr>
                <w:b w:val="0"/>
                <w:color w:val="auto"/>
                <w:sz w:val="20"/>
                <w:lang w:val="sr-Cyrl-CS"/>
              </w:rPr>
            </w:pPr>
            <w:r w:rsidRPr="00092ED7">
              <w:rPr>
                <w:b w:val="0"/>
                <w:color w:val="auto"/>
                <w:sz w:val="20"/>
                <w:lang w:val="sr-Cyrl-CS"/>
              </w:rPr>
              <w:t>УКУПНО</w:t>
            </w:r>
          </w:p>
        </w:tc>
        <w:tc>
          <w:tcPr>
            <w:tcW w:w="1008" w:type="pct"/>
            <w:tcBorders>
              <w:left w:val="none" w:sz="0" w:space="0" w:color="auto"/>
              <w:right w:val="none" w:sz="0" w:space="0" w:color="auto"/>
            </w:tcBorders>
            <w:shd w:val="clear" w:color="auto" w:fill="auto"/>
            <w:vAlign w:val="center"/>
          </w:tcPr>
          <w:p w14:paraId="508580D3" w14:textId="77777777" w:rsidR="00B94540" w:rsidRPr="00092ED7" w:rsidRDefault="00B94540" w:rsidP="00B94540">
            <w:pPr>
              <w:spacing w:after="0"/>
              <w:ind w:firstLine="709"/>
              <w:jc w:val="right"/>
              <w:cnfStyle w:val="000000100000" w:firstRow="0" w:lastRow="0" w:firstColumn="0" w:lastColumn="0" w:oddVBand="0" w:evenVBand="0" w:oddHBand="1" w:evenHBand="0" w:firstRowFirstColumn="0" w:firstRowLastColumn="0" w:lastRowFirstColumn="0" w:lastRowLastColumn="0"/>
              <w:rPr>
                <w:color w:val="auto"/>
                <w:sz w:val="20"/>
                <w:lang w:val="sr-Cyrl-CS"/>
              </w:rPr>
            </w:pPr>
            <w:r w:rsidRPr="00092ED7">
              <w:rPr>
                <w:color w:val="auto"/>
                <w:sz w:val="20"/>
                <w:lang w:val="sr-Cyrl-CS"/>
              </w:rPr>
              <w:t>2,5</w:t>
            </w:r>
          </w:p>
        </w:tc>
        <w:tc>
          <w:tcPr>
            <w:tcW w:w="1008" w:type="pct"/>
            <w:tcBorders>
              <w:left w:val="none" w:sz="0" w:space="0" w:color="auto"/>
              <w:right w:val="none" w:sz="0" w:space="0" w:color="auto"/>
            </w:tcBorders>
            <w:shd w:val="clear" w:color="auto" w:fill="auto"/>
            <w:vAlign w:val="center"/>
          </w:tcPr>
          <w:p w14:paraId="2CABF68B" w14:textId="77777777" w:rsidR="00B94540" w:rsidRPr="00092ED7" w:rsidRDefault="00B94540" w:rsidP="00B94540">
            <w:pPr>
              <w:spacing w:after="0"/>
              <w:ind w:firstLine="709"/>
              <w:jc w:val="right"/>
              <w:cnfStyle w:val="000000100000" w:firstRow="0" w:lastRow="0" w:firstColumn="0" w:lastColumn="0" w:oddVBand="0" w:evenVBand="0" w:oddHBand="1" w:evenHBand="0" w:firstRowFirstColumn="0" w:firstRowLastColumn="0" w:lastRowFirstColumn="0" w:lastRowLastColumn="0"/>
              <w:rPr>
                <w:color w:val="auto"/>
                <w:sz w:val="20"/>
                <w:lang w:val="sr-Cyrl-CS"/>
              </w:rPr>
            </w:pPr>
            <w:r w:rsidRPr="00092ED7">
              <w:rPr>
                <w:color w:val="auto"/>
                <w:sz w:val="20"/>
                <w:lang w:val="sr-Cyrl-CS"/>
              </w:rPr>
              <w:t>2,8</w:t>
            </w:r>
          </w:p>
        </w:tc>
      </w:tr>
    </w:tbl>
    <w:p w14:paraId="082AECA6" w14:textId="77777777" w:rsidR="00B94540" w:rsidRPr="00092ED7" w:rsidRDefault="00B94540" w:rsidP="00B94540">
      <w:pPr>
        <w:spacing w:before="40" w:after="0"/>
        <w:rPr>
          <w:rFonts w:eastAsia="Calibri" w:cs="Times New Roman"/>
          <w:sz w:val="16"/>
          <w:szCs w:val="16"/>
          <w:lang w:val="sr-Cyrl-CS"/>
        </w:rPr>
      </w:pPr>
      <w:r w:rsidRPr="00092ED7">
        <w:rPr>
          <w:rFonts w:eastAsia="Calibri" w:cs="Times New Roman"/>
          <w:bCs/>
          <w:sz w:val="16"/>
          <w:szCs w:val="16"/>
          <w:lang w:val="sr-Cyrl-CS" w:eastAsia="ja-JP"/>
        </w:rPr>
        <w:t xml:space="preserve">Извор: </w:t>
      </w:r>
      <w:r w:rsidRPr="00092ED7">
        <w:rPr>
          <w:rFonts w:eastAsia="Calibri" w:cs="Times New Roman"/>
          <w:sz w:val="16"/>
          <w:szCs w:val="16"/>
          <w:lang w:val="sr-Cyrl-CS"/>
        </w:rPr>
        <w:t>Министарство финансија</w:t>
      </w:r>
    </w:p>
    <w:p w14:paraId="71C560C9" w14:textId="77777777" w:rsidR="00B94540" w:rsidRPr="00092ED7" w:rsidRDefault="00B94540" w:rsidP="009D4BCD">
      <w:pPr>
        <w:spacing w:after="0"/>
        <w:rPr>
          <w:rFonts w:eastAsia="Calibri" w:cs="Times New Roman"/>
          <w:b/>
          <w:szCs w:val="24"/>
          <w:lang w:val="sr-Cyrl-CS"/>
        </w:rPr>
      </w:pPr>
      <w:r w:rsidRPr="00092ED7">
        <w:rPr>
          <w:rFonts w:eastAsia="MS PGothic" w:cs="Times New Roman"/>
          <w:sz w:val="16"/>
          <w:szCs w:val="16"/>
          <w:lang w:val="sr-Cyrl-CS" w:eastAsia="ja-JP"/>
        </w:rPr>
        <w:t>* У складу са дефиницијом која се користила за потребе праћења спровођења аранжмана са ММФ.</w:t>
      </w:r>
      <w:r w:rsidRPr="00092ED7">
        <w:rPr>
          <w:rFonts w:eastAsia="Calibri" w:cs="Times New Roman"/>
          <w:b/>
          <w:szCs w:val="24"/>
          <w:lang w:val="sr-Cyrl-CS"/>
        </w:rPr>
        <w:br w:type="page"/>
      </w:r>
    </w:p>
    <w:p w14:paraId="3C1EFFF9" w14:textId="77777777" w:rsidR="00B94540" w:rsidRPr="00092ED7" w:rsidRDefault="00B94540" w:rsidP="009D4BCD">
      <w:pPr>
        <w:jc w:val="center"/>
        <w:rPr>
          <w:rFonts w:eastAsia="Calibri" w:cs="Times New Roman"/>
          <w:b/>
          <w:szCs w:val="24"/>
          <w:lang w:val="sr-Cyrl-CS"/>
        </w:rPr>
      </w:pPr>
      <w:r w:rsidRPr="00092ED7">
        <w:rPr>
          <w:rFonts w:eastAsia="Calibri" w:cs="Times New Roman"/>
          <w:noProof/>
          <w:szCs w:val="24"/>
        </w:rPr>
        <w:lastRenderedPageBreak/>
        <mc:AlternateContent>
          <mc:Choice Requires="wps">
            <w:drawing>
              <wp:anchor distT="0" distB="0" distL="114300" distR="114300" simplePos="0" relativeHeight="251659264" behindDoc="1" locked="0" layoutInCell="1" allowOverlap="1" wp14:anchorId="3AAF8599" wp14:editId="7AA503E3">
                <wp:simplePos x="0" y="0"/>
                <wp:positionH relativeFrom="margin">
                  <wp:posOffset>-55659</wp:posOffset>
                </wp:positionH>
                <wp:positionV relativeFrom="paragraph">
                  <wp:posOffset>-71562</wp:posOffset>
                </wp:positionV>
                <wp:extent cx="5907819" cy="7561691"/>
                <wp:effectExtent l="0" t="0" r="0" b="1270"/>
                <wp:wrapNone/>
                <wp:docPr id="61" name="Rectangle 61"/>
                <wp:cNvGraphicFramePr/>
                <a:graphic xmlns:a="http://schemas.openxmlformats.org/drawingml/2006/main">
                  <a:graphicData uri="http://schemas.microsoft.com/office/word/2010/wordprocessingShape">
                    <wps:wsp>
                      <wps:cNvSpPr/>
                      <wps:spPr>
                        <a:xfrm>
                          <a:off x="0" y="0"/>
                          <a:ext cx="5907819" cy="7561691"/>
                        </a:xfrm>
                        <a:prstGeom prst="rect">
                          <a:avLst/>
                        </a:prstGeom>
                        <a:pattFill prst="pct25">
                          <a:fgClr>
                            <a:sysClr val="window" lastClr="FFFFFF">
                              <a:lumMod val="85000"/>
                            </a:sysClr>
                          </a:fgClr>
                          <a:bgClr>
                            <a:sysClr val="window" lastClr="FFFFFF"/>
                          </a:bgClr>
                        </a:patt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3AD132" id="Rectangle 61" o:spid="_x0000_s1026" style="position:absolute;margin-left:-4.4pt;margin-top:-5.65pt;width:465.2pt;height:595.4pt;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" fillcolor="#d9d9d9" stroked="f" strokeweight="1pt">
                <v:fill r:id="rId19" o:title="" color2="window" type="pattern"/>
                <w10:wrap anchorx="margin"/>
              </v:rect>
            </w:pict>
          </mc:Fallback>
        </mc:AlternateContent>
      </w:r>
      <w:r w:rsidRPr="00092ED7">
        <w:rPr>
          <w:rFonts w:eastAsia="Calibri" w:cs="Times New Roman"/>
          <w:b/>
          <w:szCs w:val="24"/>
          <w:lang w:val="sr-Cyrl-CS"/>
        </w:rPr>
        <w:t>S0 индикатор краткорочне фискалне одрживости</w:t>
      </w:r>
    </w:p>
    <w:p w14:paraId="0C4EBE2A" w14:textId="77777777" w:rsidR="00B94540" w:rsidRPr="00092ED7" w:rsidRDefault="00B94540" w:rsidP="009D4BCD">
      <w:pPr>
        <w:spacing w:after="60"/>
        <w:rPr>
          <w:rFonts w:cstheme="minorHAnsi"/>
          <w:szCs w:val="20"/>
          <w:lang w:val="sr-Cyrl-CS"/>
        </w:rPr>
      </w:pPr>
      <w:r w:rsidRPr="00092ED7">
        <w:rPr>
          <w:rFonts w:cstheme="minorHAnsi"/>
          <w:szCs w:val="20"/>
          <w:lang w:val="sr-Cyrl-CS"/>
        </w:rPr>
        <w:t>Европска комисија је за оцену краткорочне фискалне одрживости дизајнирала композитни индикатор S0 којим се кроз идентификацију потенцијалних краткорочних ризика у текућој години настоји да антиципира фискални стрес у наредној години. Уколико вредност S0 индикатора прелази дефинисани праг сматра се да је земља у краткорочном ризику од фискалног стреса. Поред вредности за целокупан индикатор, ради лоцирања извора из ког ризик потиче, разматрају се и вредности подиндекса и њихових компоненти. S0 композитни индикатор се састоји од два подиндекса, који у себи садрже низ варијабли фискалне и макро-финансијске одрживости. Вредност ових подиндекса испод дефинисаног прага указују на одсуство краткорочног фискалног ризика.</w:t>
      </w:r>
    </w:p>
    <w:p w14:paraId="43E20868" w14:textId="77777777" w:rsidR="00B94540" w:rsidRPr="00092ED7" w:rsidRDefault="00B94540" w:rsidP="009D4BCD">
      <w:pPr>
        <w:spacing w:after="60"/>
        <w:rPr>
          <w:rFonts w:cstheme="minorHAnsi"/>
          <w:szCs w:val="20"/>
          <w:lang w:val="sr-Cyrl-CS"/>
        </w:rPr>
      </w:pPr>
      <w:r w:rsidRPr="00092ED7">
        <w:rPr>
          <w:rFonts w:cstheme="minorHAnsi"/>
          <w:szCs w:val="20"/>
          <w:lang w:val="sr-Cyrl-CS"/>
        </w:rPr>
        <w:t>У 2021. години вредности фискалног (0,22) и финансијског подиндекса (0,27) су унутар за њих дефинисаног прага, као и вредност целокупног S0 индикатора за Републику Србију (0,25), што начелно указује да не постоји опасност од појаве макроекономске нестабилности у наредном средњорочном периоду. Успешно очувана макроекономска и фискална стабилност успостављена у претходном периоду обезбедила је простор за брзе и значајне мере подршке фискалне и монетарне политике.</w:t>
      </w:r>
    </w:p>
    <w:p w14:paraId="51694BA2" w14:textId="641988B2" w:rsidR="00B94540" w:rsidRPr="00092ED7" w:rsidRDefault="00B94540" w:rsidP="009D4BCD">
      <w:pPr>
        <w:spacing w:before="120" w:after="60"/>
        <w:rPr>
          <w:rFonts w:eastAsia="Calibri" w:cs="Times New Roman"/>
          <w:szCs w:val="24"/>
          <w:lang w:val="sr-Cyrl-CS"/>
        </w:rPr>
      </w:pPr>
      <w:r w:rsidRPr="00092ED7">
        <w:rPr>
          <w:rFonts w:eastAsia="Calibri" w:cs="Times New Roman"/>
          <w:szCs w:val="24"/>
          <w:lang w:val="sr-Cyrl-CS"/>
        </w:rPr>
        <w:t xml:space="preserve">Графикон 6. S0 индикатор за </w:t>
      </w:r>
      <w:r w:rsidR="005867B0" w:rsidRPr="00092ED7">
        <w:rPr>
          <w:rFonts w:eastAsia="Calibri" w:cs="Times New Roman"/>
          <w:szCs w:val="24"/>
          <w:lang w:val="sr-Cyrl-CS"/>
        </w:rPr>
        <w:t xml:space="preserve">Републику </w:t>
      </w:r>
      <w:r w:rsidRPr="00092ED7">
        <w:rPr>
          <w:rFonts w:eastAsia="Calibri" w:cs="Times New Roman"/>
          <w:szCs w:val="24"/>
          <w:lang w:val="sr-Cyrl-CS"/>
        </w:rPr>
        <w:t>Србију у периоду 2015–2021.године</w:t>
      </w:r>
    </w:p>
    <w:p w14:paraId="4F875520" w14:textId="77777777" w:rsidR="00B94540" w:rsidRPr="00092ED7" w:rsidRDefault="00B94540" w:rsidP="00B94540">
      <w:pPr>
        <w:rPr>
          <w:rFonts w:eastAsia="Calibri" w:cs="Times New Roman"/>
          <w:szCs w:val="24"/>
          <w:lang w:val="sr-Cyrl-CS"/>
        </w:rPr>
      </w:pPr>
      <w:r w:rsidRPr="00092ED7">
        <w:rPr>
          <w:noProof/>
        </w:rPr>
        <w:drawing>
          <wp:inline distT="0" distB="0" distL="0" distR="0" wp14:anchorId="27931C58" wp14:editId="51B31FA1">
            <wp:extent cx="5743575" cy="1924050"/>
            <wp:effectExtent l="0" t="0" r="0" b="0"/>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15D98D36" w14:textId="7667D1B8" w:rsidR="00B94540" w:rsidRPr="00092ED7" w:rsidRDefault="00B94540" w:rsidP="009D4BCD">
      <w:pPr>
        <w:spacing w:before="120" w:after="60"/>
        <w:jc w:val="left"/>
        <w:rPr>
          <w:rFonts w:eastAsia="Calibri" w:cs="Times New Roman"/>
          <w:szCs w:val="24"/>
          <w:lang w:val="sr-Cyrl-CS"/>
        </w:rPr>
      </w:pPr>
      <w:r w:rsidRPr="00092ED7">
        <w:rPr>
          <w:rFonts w:eastAsia="Calibri" w:cs="Times New Roman"/>
          <w:szCs w:val="24"/>
          <w:lang w:val="sr-Cyrl-CS"/>
        </w:rPr>
        <w:t xml:space="preserve">Графикон 7. S0 земље ЕУ и </w:t>
      </w:r>
      <w:r w:rsidR="005867B0" w:rsidRPr="00092ED7">
        <w:rPr>
          <w:rFonts w:eastAsia="Calibri" w:cs="Times New Roman"/>
          <w:szCs w:val="24"/>
          <w:lang w:val="sr-Cyrl-CS"/>
        </w:rPr>
        <w:t xml:space="preserve">Република </w:t>
      </w:r>
      <w:r w:rsidRPr="00092ED7">
        <w:rPr>
          <w:rFonts w:eastAsia="Calibri" w:cs="Times New Roman"/>
          <w:szCs w:val="24"/>
          <w:lang w:val="sr-Cyrl-CS"/>
        </w:rPr>
        <w:t>Србија</w:t>
      </w:r>
    </w:p>
    <w:p w14:paraId="560B0943" w14:textId="77777777" w:rsidR="00B94540" w:rsidRPr="00092ED7" w:rsidRDefault="00B94540" w:rsidP="00B94540">
      <w:pPr>
        <w:rPr>
          <w:rFonts w:eastAsia="Calibri" w:cs="Times New Roman"/>
          <w:szCs w:val="24"/>
          <w:lang w:val="sr-Cyrl-CS"/>
        </w:rPr>
      </w:pPr>
      <w:r w:rsidRPr="00092ED7">
        <w:rPr>
          <w:noProof/>
        </w:rPr>
        <w:drawing>
          <wp:inline distT="0" distB="0" distL="0" distR="0" wp14:anchorId="5FD13E26" wp14:editId="794A2FC3">
            <wp:extent cx="5731510" cy="1800225"/>
            <wp:effectExtent l="0" t="0" r="0" b="0"/>
            <wp:docPr id="75" name="Chart 75"/>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006F3579" w14:textId="77777777" w:rsidR="00B94540" w:rsidRPr="00092ED7" w:rsidRDefault="00B94540" w:rsidP="00B94540">
      <w:pPr>
        <w:rPr>
          <w:rFonts w:eastAsia="Calibri" w:cs="Times New Roman"/>
          <w:szCs w:val="24"/>
          <w:lang w:val="sr-Cyrl-CS"/>
        </w:rPr>
      </w:pPr>
    </w:p>
    <w:p w14:paraId="4563062C" w14:textId="77777777" w:rsidR="009D4BCD" w:rsidRPr="00092ED7" w:rsidRDefault="009D4BCD">
      <w:pPr>
        <w:spacing w:after="160" w:line="259" w:lineRule="auto"/>
        <w:jc w:val="left"/>
        <w:rPr>
          <w:rFonts w:eastAsia="Calibri" w:cs="Times New Roman"/>
          <w:szCs w:val="24"/>
          <w:lang w:val="sr-Cyrl-CS"/>
        </w:rPr>
      </w:pPr>
      <w:r w:rsidRPr="00092ED7">
        <w:rPr>
          <w:rFonts w:eastAsia="Calibri" w:cs="Times New Roman"/>
          <w:szCs w:val="24"/>
          <w:lang w:val="sr-Cyrl-CS"/>
        </w:rPr>
        <w:br w:type="page"/>
      </w:r>
    </w:p>
    <w:p w14:paraId="02F0AE11" w14:textId="77777777" w:rsidR="00B94540" w:rsidRPr="00092ED7" w:rsidRDefault="009D4BCD" w:rsidP="009D4BCD">
      <w:pPr>
        <w:spacing w:after="60"/>
        <w:rPr>
          <w:rFonts w:eastAsia="Calibri" w:cs="Times New Roman"/>
          <w:szCs w:val="24"/>
          <w:lang w:val="sr-Cyrl-CS"/>
        </w:rPr>
      </w:pPr>
      <w:r w:rsidRPr="00092ED7">
        <w:rPr>
          <w:rFonts w:eastAsia="Calibri" w:cs="Times New Roman"/>
          <w:noProof/>
          <w:szCs w:val="24"/>
        </w:rPr>
        <w:lastRenderedPageBreak/>
        <mc:AlternateContent>
          <mc:Choice Requires="wps">
            <w:drawing>
              <wp:anchor distT="0" distB="0" distL="114300" distR="114300" simplePos="0" relativeHeight="251660288" behindDoc="1" locked="0" layoutInCell="1" allowOverlap="1" wp14:anchorId="2E1744A0" wp14:editId="4DB08078">
                <wp:simplePos x="0" y="0"/>
                <wp:positionH relativeFrom="margin">
                  <wp:posOffset>-55659</wp:posOffset>
                </wp:positionH>
                <wp:positionV relativeFrom="paragraph">
                  <wp:posOffset>7951</wp:posOffset>
                </wp:positionV>
                <wp:extent cx="5875434" cy="5798296"/>
                <wp:effectExtent l="0" t="0" r="0" b="0"/>
                <wp:wrapNone/>
                <wp:docPr id="64" name="Rectangle 64"/>
                <wp:cNvGraphicFramePr/>
                <a:graphic xmlns:a="http://schemas.openxmlformats.org/drawingml/2006/main">
                  <a:graphicData uri="http://schemas.microsoft.com/office/word/2010/wordprocessingShape">
                    <wps:wsp>
                      <wps:cNvSpPr/>
                      <wps:spPr>
                        <a:xfrm>
                          <a:off x="0" y="0"/>
                          <a:ext cx="5875434" cy="5798296"/>
                        </a:xfrm>
                        <a:prstGeom prst="rect">
                          <a:avLst/>
                        </a:prstGeom>
                        <a:pattFill prst="pct25">
                          <a:fgClr>
                            <a:sysClr val="window" lastClr="FFFFFF">
                              <a:lumMod val="85000"/>
                            </a:sysClr>
                          </a:fgClr>
                          <a:bgClr>
                            <a:sysClr val="window" lastClr="FFFFFF"/>
                          </a:bgClr>
                        </a:patt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6B14B5" id="Rectangle 64" o:spid="_x0000_s1026" style="position:absolute;margin-left:-4.4pt;margin-top:.65pt;width:462.65pt;height:456.55pt;z-index:-251656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" fillcolor="#d9d9d9" stroked="f" strokeweight="1pt">
                <v:fill r:id="rId19" o:title="" color2="window" type="pattern"/>
                <w10:wrap anchorx="margin"/>
              </v:rect>
            </w:pict>
          </mc:Fallback>
        </mc:AlternateContent>
      </w:r>
      <w:r w:rsidR="00B94540" w:rsidRPr="00092ED7">
        <w:rPr>
          <w:rFonts w:eastAsia="Calibri" w:cs="Times New Roman"/>
          <w:szCs w:val="24"/>
          <w:lang w:val="sr-Cyrl-CS"/>
        </w:rPr>
        <w:t>Обрачун S0 индикатора за Републику Србију, урађен је од стране Министарства финансија, и базира се на методологији ЕК.</w:t>
      </w:r>
    </w:p>
    <w:p w14:paraId="66526637" w14:textId="10CE6BD8" w:rsidR="00B94540" w:rsidRPr="00092ED7" w:rsidRDefault="00B94540" w:rsidP="009D4BCD">
      <w:pPr>
        <w:spacing w:after="60"/>
        <w:rPr>
          <w:rFonts w:eastAsia="Calibri" w:cs="Times New Roman"/>
          <w:spacing w:val="2"/>
          <w:szCs w:val="24"/>
          <w:lang w:val="sr-Cyrl-CS"/>
        </w:rPr>
      </w:pPr>
      <w:r w:rsidRPr="00092ED7">
        <w:rPr>
          <w:rFonts w:eastAsia="Calibri" w:cs="Times New Roman"/>
          <w:spacing w:val="2"/>
          <w:szCs w:val="24"/>
          <w:lang w:val="sr-Cyrl-CS"/>
        </w:rPr>
        <w:t xml:space="preserve">На основу података ЕК за земље ЕУ за 2021. годину и обрачуна Министарства финансија за Републику Србију, закључујемо да већина посматраних земаља, као и </w:t>
      </w:r>
      <w:r w:rsidR="005867B0" w:rsidRPr="00092ED7">
        <w:rPr>
          <w:rFonts w:eastAsia="Calibri" w:cs="Times New Roman"/>
          <w:spacing w:val="2"/>
          <w:szCs w:val="24"/>
          <w:lang w:val="sr-Cyrl-CS"/>
        </w:rPr>
        <w:t xml:space="preserve">Република </w:t>
      </w:r>
      <w:r w:rsidRPr="00092ED7">
        <w:rPr>
          <w:rFonts w:eastAsia="Calibri" w:cs="Times New Roman"/>
          <w:spacing w:val="2"/>
          <w:szCs w:val="24"/>
          <w:lang w:val="sr-Cyrl-CS"/>
        </w:rPr>
        <w:t xml:space="preserve">Србија, није била изложена краткорочном ризику реализације фискалног стреса, будући да вредност </w:t>
      </w:r>
      <w:r w:rsidRPr="00092ED7">
        <w:rPr>
          <w:rFonts w:eastAsia="Calibri" w:cs="Times New Roman"/>
          <w:szCs w:val="24"/>
          <w:lang w:val="sr-Cyrl-CS"/>
        </w:rPr>
        <w:t xml:space="preserve">S0 </w:t>
      </w:r>
      <w:r w:rsidRPr="00092ED7">
        <w:rPr>
          <w:rFonts w:eastAsia="Calibri" w:cs="Times New Roman"/>
          <w:spacing w:val="2"/>
          <w:szCs w:val="24"/>
          <w:lang w:val="sr-Cyrl-CS"/>
        </w:rPr>
        <w:t>нигде не премашује дефинисани праг. Минимизирање потенцијалних ризика за настанак фискалног стреса у посматраним земљама ће бити неопходно ради стварања простора за доношење мера економске политике као одговор на здравствену кризу која се прелила у све сфере економије.</w:t>
      </w:r>
    </w:p>
    <w:p w14:paraId="022833FD" w14:textId="369CA84D" w:rsidR="00B94540" w:rsidRPr="00092ED7" w:rsidRDefault="00B94540" w:rsidP="009D4BCD">
      <w:pPr>
        <w:spacing w:before="120" w:after="60"/>
        <w:rPr>
          <w:rFonts w:eastAsia="Calibri" w:cs="Times New Roman"/>
          <w:spacing w:val="2"/>
          <w:szCs w:val="24"/>
          <w:lang w:val="sr-Cyrl-CS"/>
        </w:rPr>
      </w:pPr>
      <w:r w:rsidRPr="00092ED7">
        <w:rPr>
          <w:rFonts w:eastAsia="Calibri" w:cs="Times New Roman"/>
          <w:spacing w:val="2"/>
          <w:szCs w:val="24"/>
          <w:lang w:val="sr-Cyrl-CS"/>
        </w:rPr>
        <w:t xml:space="preserve">Графикон 8. </w:t>
      </w:r>
      <w:r w:rsidRPr="00092ED7">
        <w:rPr>
          <w:rFonts w:eastAsia="Calibri" w:cs="Times New Roman"/>
          <w:szCs w:val="24"/>
          <w:lang w:val="sr-Cyrl-CS"/>
        </w:rPr>
        <w:t xml:space="preserve">Фискални подиндекс и подиндекс финансијске конкурентности за земље ЕУ и </w:t>
      </w:r>
      <w:r w:rsidR="005867B0" w:rsidRPr="00092ED7">
        <w:rPr>
          <w:rFonts w:eastAsia="Calibri" w:cs="Times New Roman"/>
          <w:szCs w:val="24"/>
          <w:lang w:val="sr-Cyrl-CS"/>
        </w:rPr>
        <w:t xml:space="preserve">Републику </w:t>
      </w:r>
      <w:r w:rsidRPr="00092ED7">
        <w:rPr>
          <w:rFonts w:eastAsia="Calibri" w:cs="Times New Roman"/>
          <w:szCs w:val="24"/>
          <w:lang w:val="sr-Cyrl-CS"/>
        </w:rPr>
        <w:t>Србију у 2021.</w:t>
      </w:r>
      <w:r w:rsidR="009D4BCD" w:rsidRPr="00092ED7">
        <w:rPr>
          <w:rFonts w:eastAsia="Calibri" w:cs="Times New Roman"/>
          <w:szCs w:val="24"/>
          <w:lang w:val="sr-Cyrl-CS"/>
        </w:rPr>
        <w:t xml:space="preserve"> </w:t>
      </w:r>
      <w:r w:rsidRPr="00092ED7">
        <w:rPr>
          <w:rFonts w:eastAsia="Calibri" w:cs="Times New Roman"/>
          <w:szCs w:val="24"/>
          <w:lang w:val="sr-Cyrl-CS"/>
        </w:rPr>
        <w:t>години</w:t>
      </w:r>
    </w:p>
    <w:p w14:paraId="5B5F1985" w14:textId="77777777" w:rsidR="00B94540" w:rsidRPr="00092ED7" w:rsidRDefault="00B94540" w:rsidP="009D4BCD">
      <w:pPr>
        <w:rPr>
          <w:rFonts w:eastAsia="Calibri" w:cs="Times New Roman"/>
          <w:szCs w:val="24"/>
          <w:lang w:val="sr-Cyrl-CS"/>
        </w:rPr>
      </w:pPr>
      <w:r w:rsidRPr="00092ED7">
        <w:rPr>
          <w:rFonts w:cstheme="minorHAnsi"/>
          <w:noProof/>
          <w:szCs w:val="20"/>
        </w:rPr>
        <w:drawing>
          <wp:inline distT="0" distB="0" distL="0" distR="0" wp14:anchorId="073D6D57" wp14:editId="5A984BBD">
            <wp:extent cx="5715000" cy="3723005"/>
            <wp:effectExtent l="0" t="0" r="0" b="0"/>
            <wp:docPr id="103" name="Chart 103"/>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6A62EE64" w14:textId="2E9D0CA0" w:rsidR="005F26DA" w:rsidRPr="00092ED7" w:rsidRDefault="00735870" w:rsidP="009A2DD7">
      <w:pPr>
        <w:keepNext/>
        <w:keepLines/>
        <w:spacing w:before="240"/>
        <w:outlineLvl w:val="1"/>
        <w:rPr>
          <w:rFonts w:eastAsiaTheme="majorEastAsia" w:cs="Times New Roman"/>
          <w:b/>
          <w:szCs w:val="26"/>
          <w:lang w:val="sr-Cyrl-CS"/>
        </w:rPr>
      </w:pPr>
      <w:bookmarkStart w:id="24" w:name="_Toc124174796"/>
      <w:r w:rsidRPr="00092ED7">
        <w:rPr>
          <w:rFonts w:eastAsiaTheme="majorEastAsia" w:cs="Times New Roman"/>
          <w:b/>
          <w:szCs w:val="26"/>
          <w:lang w:val="sr-Cyrl-CS"/>
        </w:rPr>
        <w:t>4.</w:t>
      </w:r>
      <w:r w:rsidR="005F26DA" w:rsidRPr="00092ED7">
        <w:rPr>
          <w:rFonts w:eastAsiaTheme="majorEastAsia" w:cs="Times New Roman"/>
          <w:b/>
          <w:szCs w:val="26"/>
          <w:lang w:val="sr-Cyrl-CS"/>
        </w:rPr>
        <w:t>3. ФИСКАЛНЕ ПРОЈЕКЦИЈЕ У ПЕРИОДУ 202</w:t>
      </w:r>
      <w:r w:rsidR="00651F38" w:rsidRPr="00092ED7">
        <w:rPr>
          <w:rFonts w:eastAsiaTheme="majorEastAsia" w:cs="Times New Roman"/>
          <w:b/>
          <w:szCs w:val="26"/>
          <w:lang w:val="sr-Cyrl-CS"/>
        </w:rPr>
        <w:t>3</w:t>
      </w:r>
      <w:r w:rsidR="005F26DA" w:rsidRPr="00092ED7">
        <w:rPr>
          <w:rFonts w:eastAsiaTheme="majorEastAsia" w:cs="Times New Roman"/>
          <w:b/>
          <w:szCs w:val="26"/>
          <w:lang w:val="sr-Cyrl-CS"/>
        </w:rPr>
        <w:t>–202</w:t>
      </w:r>
      <w:r w:rsidR="00651F38" w:rsidRPr="00092ED7">
        <w:rPr>
          <w:rFonts w:eastAsiaTheme="majorEastAsia" w:cs="Times New Roman"/>
          <w:b/>
          <w:szCs w:val="26"/>
          <w:lang w:val="sr-Cyrl-CS"/>
        </w:rPr>
        <w:t>5</w:t>
      </w:r>
      <w:r w:rsidR="005F26DA" w:rsidRPr="00092ED7">
        <w:rPr>
          <w:rFonts w:eastAsiaTheme="majorEastAsia" w:cs="Times New Roman"/>
          <w:b/>
          <w:szCs w:val="26"/>
          <w:lang w:val="sr-Cyrl-CS"/>
        </w:rPr>
        <w:t>. ГОДИНЕ</w:t>
      </w:r>
      <w:bookmarkEnd w:id="24"/>
    </w:p>
    <w:p w14:paraId="70605275" w14:textId="77777777" w:rsidR="00576A4F" w:rsidRPr="00092ED7" w:rsidRDefault="00576A4F" w:rsidP="00576A4F">
      <w:pPr>
        <w:spacing w:after="60"/>
        <w:rPr>
          <w:lang w:val="sr-Cyrl-CS" w:eastAsia="ja-JP"/>
        </w:rPr>
      </w:pPr>
      <w:r w:rsidRPr="00092ED7">
        <w:rPr>
          <w:lang w:val="sr-Cyrl-CS" w:eastAsia="ja-JP"/>
        </w:rPr>
        <w:t>Циљеви фискалне политике су усмерени на одржање фискалне стабилности и смањење учешћа јавног дуга у БДП. Средњорочни фискални оквир предвиђа постепено смањење дефицита опште државе на ниво од 1,4%</w:t>
      </w:r>
      <w:r w:rsidRPr="00092ED7">
        <w:rPr>
          <w:color w:val="1F4E79" w:themeColor="accent1" w:themeShade="80"/>
          <w:lang w:val="sr-Cyrl-CS" w:eastAsia="ja-JP"/>
        </w:rPr>
        <w:t xml:space="preserve"> </w:t>
      </w:r>
      <w:r w:rsidRPr="00092ED7">
        <w:rPr>
          <w:lang w:val="sr-Cyrl-CS" w:eastAsia="ja-JP"/>
        </w:rPr>
        <w:t>БДП до 2025. године и пад учешћа јавног дуга на 54% БДП. Пројекције фискалних агрегата у периоду од 2023. до 2025. године заснивају се на пројекцијама макроекономских показатеља за наведени период, планираној пореској политици која подразумева даље усаглашавање са законима и директивама ЕУ и фискалним и структурним мерама, укључујући и даљу реформу великих јавних предузећа.</w:t>
      </w:r>
    </w:p>
    <w:p w14:paraId="3A48546E" w14:textId="77777777" w:rsidR="00576A4F" w:rsidRPr="00092ED7" w:rsidRDefault="00576A4F" w:rsidP="00576A4F">
      <w:pPr>
        <w:spacing w:after="60"/>
        <w:rPr>
          <w:lang w:val="sr-Cyrl-CS" w:eastAsia="ja-JP"/>
        </w:rPr>
      </w:pPr>
      <w:r w:rsidRPr="00092ED7">
        <w:rPr>
          <w:lang w:val="sr-Cyrl-CS" w:eastAsia="ja-JP"/>
        </w:rPr>
        <w:t xml:space="preserve">Захваљујући мерама фискалне консолидације у претходном периоду створен је фискални простор који је омогућио богате пакете мера у склопу борбе против ефеката кризе изазване пандемијом током 2020. и 2021. године. Смиривање пандемије у овој години довело је до стварања фискалног простора који је неопходан у новонасталим неповољним околностима. Ситуација у Украјини и међународни односи који се формирају као реакција на њу снажно утичу на економска кретања. У 2022. години су </w:t>
      </w:r>
      <w:r w:rsidRPr="00092ED7">
        <w:rPr>
          <w:lang w:val="sr-Cyrl-CS" w:eastAsia="ja-JP"/>
        </w:rPr>
        <w:lastRenderedPageBreak/>
        <w:t>већ почеле да се примењују мере које би требало да амортизују шокове настале из ове кризе. Реакција фискалне политике у наредном периоду, креиране мере и њихове фискалне импликације биће дизајниране тако да не угрозе стабилност јавних финансија и темпо смањења јавног дуга, затим да одрже животни стандард становништва и помогну привредни развој, али и да осигурају флексибилност реакције на евентуално снажнији удар кризе.</w:t>
      </w:r>
    </w:p>
    <w:p w14:paraId="03DBD89B" w14:textId="77777777" w:rsidR="00576A4F" w:rsidRPr="00092ED7" w:rsidRDefault="00576A4F" w:rsidP="00576A4F">
      <w:pPr>
        <w:spacing w:before="120" w:after="60"/>
        <w:rPr>
          <w:lang w:val="sr-Cyrl-CS" w:eastAsia="ja-JP"/>
        </w:rPr>
      </w:pPr>
      <w:r w:rsidRPr="00092ED7">
        <w:rPr>
          <w:lang w:val="sr-Cyrl-CS" w:eastAsia="ja-JP"/>
        </w:rPr>
        <w:t>Табела 7. Фискални агрегати у периоду 2021–2025. године, % БДП</w:t>
      </w:r>
    </w:p>
    <w:tbl>
      <w:tblPr>
        <w:tblStyle w:val="LightShading-Accent122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3821"/>
        <w:gridCol w:w="1111"/>
        <w:gridCol w:w="1087"/>
        <w:gridCol w:w="999"/>
        <w:gridCol w:w="999"/>
        <w:gridCol w:w="999"/>
      </w:tblGrid>
      <w:tr w:rsidR="00576A4F" w:rsidRPr="00092ED7" w14:paraId="73C8F549" w14:textId="77777777" w:rsidTr="00576A4F">
        <w:trPr>
          <w:cnfStyle w:val="100000000000" w:firstRow="1" w:lastRow="0" w:firstColumn="0" w:lastColumn="0" w:oddVBand="0" w:evenVBand="0" w:oddHBand="0" w:evenHBand="0" w:firstRowFirstColumn="0" w:firstRowLastColumn="0" w:lastRowFirstColumn="0" w:lastRowLastColumn="0"/>
          <w:trHeight w:val="253"/>
        </w:trPr>
        <w:tc>
          <w:tcPr>
            <w:tcW w:w="2121" w:type="pct"/>
            <w:tcBorders>
              <w:top w:val="none" w:sz="0" w:space="0" w:color="auto"/>
              <w:left w:val="none" w:sz="0" w:space="0" w:color="auto"/>
              <w:bottom w:val="none" w:sz="0" w:space="0" w:color="auto"/>
              <w:right w:val="none" w:sz="0" w:space="0" w:color="auto"/>
            </w:tcBorders>
            <w:shd w:val="clear" w:color="auto" w:fill="auto"/>
            <w:noWrap/>
            <w:vAlign w:val="center"/>
          </w:tcPr>
          <w:p w14:paraId="24116137" w14:textId="77777777" w:rsidR="00576A4F" w:rsidRPr="00092ED7" w:rsidRDefault="00576A4F" w:rsidP="00A06946">
            <w:pPr>
              <w:spacing w:after="0"/>
              <w:rPr>
                <w:b w:val="0"/>
                <w:color w:val="auto"/>
                <w:sz w:val="20"/>
                <w:lang w:val="sr-Cyrl-CS"/>
              </w:rPr>
            </w:pPr>
          </w:p>
        </w:tc>
        <w:tc>
          <w:tcPr>
            <w:tcW w:w="605" w:type="pct"/>
            <w:tcBorders>
              <w:top w:val="none" w:sz="0" w:space="0" w:color="auto"/>
              <w:left w:val="none" w:sz="0" w:space="0" w:color="auto"/>
              <w:bottom w:val="none" w:sz="0" w:space="0" w:color="auto"/>
              <w:right w:val="none" w:sz="0" w:space="0" w:color="auto"/>
            </w:tcBorders>
            <w:shd w:val="clear" w:color="auto" w:fill="auto"/>
            <w:vAlign w:val="center"/>
          </w:tcPr>
          <w:p w14:paraId="49CB4994" w14:textId="77777777" w:rsidR="00576A4F" w:rsidRPr="00092ED7" w:rsidRDefault="00576A4F" w:rsidP="00A06946">
            <w:pPr>
              <w:spacing w:after="0"/>
              <w:jc w:val="right"/>
              <w:rPr>
                <w:b w:val="0"/>
                <w:color w:val="auto"/>
                <w:sz w:val="20"/>
                <w:lang w:val="sr-Cyrl-CS"/>
              </w:rPr>
            </w:pPr>
            <w:r w:rsidRPr="00092ED7">
              <w:rPr>
                <w:b w:val="0"/>
                <w:color w:val="auto"/>
                <w:sz w:val="20"/>
                <w:lang w:val="sr-Cyrl-CS"/>
              </w:rPr>
              <w:t>Извршење</w:t>
            </w:r>
          </w:p>
        </w:tc>
        <w:tc>
          <w:tcPr>
            <w:tcW w:w="605" w:type="pct"/>
            <w:tcBorders>
              <w:top w:val="none" w:sz="0" w:space="0" w:color="auto"/>
              <w:left w:val="none" w:sz="0" w:space="0" w:color="auto"/>
              <w:bottom w:val="none" w:sz="0" w:space="0" w:color="auto"/>
              <w:right w:val="none" w:sz="0" w:space="0" w:color="auto"/>
            </w:tcBorders>
            <w:shd w:val="clear" w:color="auto" w:fill="auto"/>
            <w:vAlign w:val="center"/>
          </w:tcPr>
          <w:p w14:paraId="16D2A15D" w14:textId="77777777" w:rsidR="00576A4F" w:rsidRPr="00092ED7" w:rsidRDefault="00576A4F" w:rsidP="00A06946">
            <w:pPr>
              <w:spacing w:after="0"/>
              <w:jc w:val="right"/>
              <w:rPr>
                <w:b w:val="0"/>
                <w:color w:val="auto"/>
                <w:sz w:val="20"/>
                <w:lang w:val="sr-Cyrl-CS"/>
              </w:rPr>
            </w:pPr>
            <w:r w:rsidRPr="00092ED7">
              <w:rPr>
                <w:b w:val="0"/>
                <w:color w:val="auto"/>
                <w:sz w:val="20"/>
                <w:lang w:val="sr-Cyrl-CS"/>
              </w:rPr>
              <w:t>Процена</w:t>
            </w:r>
          </w:p>
        </w:tc>
        <w:tc>
          <w:tcPr>
            <w:tcW w:w="1668" w:type="pct"/>
            <w:gridSpan w:val="3"/>
            <w:tcBorders>
              <w:top w:val="none" w:sz="0" w:space="0" w:color="auto"/>
              <w:left w:val="none" w:sz="0" w:space="0" w:color="auto"/>
              <w:bottom w:val="none" w:sz="0" w:space="0" w:color="auto"/>
              <w:right w:val="none" w:sz="0" w:space="0" w:color="auto"/>
            </w:tcBorders>
            <w:shd w:val="clear" w:color="auto" w:fill="auto"/>
            <w:vAlign w:val="center"/>
          </w:tcPr>
          <w:p w14:paraId="29852429" w14:textId="77777777" w:rsidR="00576A4F" w:rsidRPr="00092ED7" w:rsidRDefault="00576A4F" w:rsidP="00A06946">
            <w:pPr>
              <w:spacing w:after="0"/>
              <w:jc w:val="center"/>
              <w:rPr>
                <w:b w:val="0"/>
                <w:color w:val="auto"/>
                <w:sz w:val="20"/>
                <w:lang w:val="sr-Cyrl-CS"/>
              </w:rPr>
            </w:pPr>
            <w:r w:rsidRPr="00092ED7">
              <w:rPr>
                <w:b w:val="0"/>
                <w:color w:val="auto"/>
                <w:sz w:val="20"/>
                <w:lang w:val="sr-Cyrl-CS"/>
              </w:rPr>
              <w:t>Пројекција</w:t>
            </w:r>
          </w:p>
        </w:tc>
      </w:tr>
      <w:tr w:rsidR="00576A4F" w:rsidRPr="00092ED7" w14:paraId="742D5E78" w14:textId="77777777" w:rsidTr="00576A4F">
        <w:trPr>
          <w:cnfStyle w:val="000000100000" w:firstRow="0" w:lastRow="0" w:firstColumn="0" w:lastColumn="0" w:oddVBand="0" w:evenVBand="0" w:oddHBand="1" w:evenHBand="0" w:firstRowFirstColumn="0" w:firstRowLastColumn="0" w:lastRowFirstColumn="0" w:lastRowLastColumn="0"/>
          <w:trHeight w:val="253"/>
        </w:trPr>
        <w:tc>
          <w:tcPr>
            <w:tcW w:w="2121" w:type="pct"/>
            <w:tcBorders>
              <w:left w:val="none" w:sz="0" w:space="0" w:color="auto"/>
              <w:right w:val="none" w:sz="0" w:space="0" w:color="auto"/>
            </w:tcBorders>
            <w:shd w:val="clear" w:color="auto" w:fill="auto"/>
            <w:noWrap/>
            <w:vAlign w:val="center"/>
          </w:tcPr>
          <w:p w14:paraId="7F76DACA" w14:textId="77777777" w:rsidR="00576A4F" w:rsidRPr="00092ED7" w:rsidRDefault="00576A4F" w:rsidP="00A06946">
            <w:pPr>
              <w:spacing w:after="0"/>
              <w:rPr>
                <w:color w:val="auto"/>
                <w:sz w:val="20"/>
                <w:lang w:val="sr-Cyrl-CS"/>
              </w:rPr>
            </w:pPr>
            <w:r w:rsidRPr="00092ED7">
              <w:rPr>
                <w:color w:val="auto"/>
                <w:sz w:val="20"/>
                <w:lang w:val="sr-Cyrl-CS"/>
              </w:rPr>
              <w:t>Опис</w:t>
            </w:r>
          </w:p>
        </w:tc>
        <w:tc>
          <w:tcPr>
            <w:tcW w:w="605" w:type="pct"/>
            <w:tcBorders>
              <w:left w:val="none" w:sz="0" w:space="0" w:color="auto"/>
              <w:right w:val="none" w:sz="0" w:space="0" w:color="auto"/>
            </w:tcBorders>
            <w:shd w:val="clear" w:color="auto" w:fill="auto"/>
          </w:tcPr>
          <w:p w14:paraId="0DB47F88" w14:textId="77777777" w:rsidR="00576A4F" w:rsidRPr="00092ED7" w:rsidRDefault="00576A4F" w:rsidP="00A06946">
            <w:pPr>
              <w:spacing w:after="0"/>
              <w:jc w:val="right"/>
              <w:rPr>
                <w:color w:val="auto"/>
                <w:sz w:val="20"/>
                <w:lang w:val="sr-Cyrl-CS"/>
              </w:rPr>
            </w:pPr>
            <w:r w:rsidRPr="00092ED7">
              <w:rPr>
                <w:color w:val="auto"/>
                <w:sz w:val="20"/>
                <w:lang w:val="sr-Cyrl-CS"/>
              </w:rPr>
              <w:t>2021</w:t>
            </w:r>
          </w:p>
        </w:tc>
        <w:tc>
          <w:tcPr>
            <w:tcW w:w="605" w:type="pct"/>
            <w:tcBorders>
              <w:left w:val="none" w:sz="0" w:space="0" w:color="auto"/>
              <w:right w:val="none" w:sz="0" w:space="0" w:color="auto"/>
            </w:tcBorders>
            <w:shd w:val="clear" w:color="auto" w:fill="auto"/>
          </w:tcPr>
          <w:p w14:paraId="608D3987" w14:textId="77777777" w:rsidR="00576A4F" w:rsidRPr="00092ED7" w:rsidRDefault="00576A4F" w:rsidP="00A06946">
            <w:pPr>
              <w:spacing w:after="0"/>
              <w:jc w:val="right"/>
              <w:rPr>
                <w:color w:val="auto"/>
                <w:sz w:val="20"/>
                <w:lang w:val="sr-Cyrl-CS"/>
              </w:rPr>
            </w:pPr>
            <w:r w:rsidRPr="00092ED7">
              <w:rPr>
                <w:color w:val="auto"/>
                <w:sz w:val="20"/>
                <w:lang w:val="sr-Cyrl-CS"/>
              </w:rPr>
              <w:t>2022</w:t>
            </w:r>
          </w:p>
        </w:tc>
        <w:tc>
          <w:tcPr>
            <w:tcW w:w="556" w:type="pct"/>
            <w:tcBorders>
              <w:left w:val="none" w:sz="0" w:space="0" w:color="auto"/>
              <w:right w:val="none" w:sz="0" w:space="0" w:color="auto"/>
            </w:tcBorders>
            <w:shd w:val="clear" w:color="auto" w:fill="auto"/>
          </w:tcPr>
          <w:p w14:paraId="24E4E7EE" w14:textId="77777777" w:rsidR="00576A4F" w:rsidRPr="00092ED7" w:rsidRDefault="00576A4F" w:rsidP="00A06946">
            <w:pPr>
              <w:spacing w:after="0"/>
              <w:jc w:val="right"/>
              <w:rPr>
                <w:color w:val="auto"/>
                <w:sz w:val="20"/>
                <w:lang w:val="sr-Cyrl-CS"/>
              </w:rPr>
            </w:pPr>
            <w:r w:rsidRPr="00092ED7">
              <w:rPr>
                <w:color w:val="auto"/>
                <w:sz w:val="20"/>
                <w:lang w:val="sr-Cyrl-CS"/>
              </w:rPr>
              <w:t>2023</w:t>
            </w:r>
          </w:p>
        </w:tc>
        <w:tc>
          <w:tcPr>
            <w:tcW w:w="556" w:type="pct"/>
            <w:tcBorders>
              <w:left w:val="none" w:sz="0" w:space="0" w:color="auto"/>
              <w:right w:val="none" w:sz="0" w:space="0" w:color="auto"/>
            </w:tcBorders>
            <w:shd w:val="clear" w:color="auto" w:fill="auto"/>
          </w:tcPr>
          <w:p w14:paraId="7CA260E9" w14:textId="77777777" w:rsidR="00576A4F" w:rsidRPr="00092ED7" w:rsidRDefault="00576A4F" w:rsidP="00A06946">
            <w:pPr>
              <w:spacing w:after="0"/>
              <w:jc w:val="right"/>
              <w:rPr>
                <w:color w:val="auto"/>
                <w:sz w:val="20"/>
                <w:lang w:val="sr-Cyrl-CS"/>
              </w:rPr>
            </w:pPr>
            <w:r w:rsidRPr="00092ED7">
              <w:rPr>
                <w:color w:val="auto"/>
                <w:sz w:val="20"/>
                <w:lang w:val="sr-Cyrl-CS"/>
              </w:rPr>
              <w:t>2024</w:t>
            </w:r>
          </w:p>
        </w:tc>
        <w:tc>
          <w:tcPr>
            <w:tcW w:w="556" w:type="pct"/>
            <w:tcBorders>
              <w:left w:val="none" w:sz="0" w:space="0" w:color="auto"/>
              <w:right w:val="none" w:sz="0" w:space="0" w:color="auto"/>
            </w:tcBorders>
            <w:shd w:val="clear" w:color="auto" w:fill="auto"/>
          </w:tcPr>
          <w:p w14:paraId="7C6CC779" w14:textId="77777777" w:rsidR="00576A4F" w:rsidRPr="00092ED7" w:rsidRDefault="00576A4F" w:rsidP="00A06946">
            <w:pPr>
              <w:spacing w:after="0"/>
              <w:jc w:val="right"/>
              <w:rPr>
                <w:color w:val="auto"/>
                <w:sz w:val="20"/>
                <w:lang w:val="sr-Cyrl-CS"/>
              </w:rPr>
            </w:pPr>
            <w:r w:rsidRPr="00092ED7">
              <w:rPr>
                <w:color w:val="auto"/>
                <w:sz w:val="20"/>
                <w:lang w:val="sr-Cyrl-CS"/>
              </w:rPr>
              <w:t>2025</w:t>
            </w:r>
          </w:p>
        </w:tc>
      </w:tr>
      <w:tr w:rsidR="00576A4F" w:rsidRPr="00092ED7" w14:paraId="575466FA" w14:textId="77777777" w:rsidTr="00576A4F">
        <w:trPr>
          <w:trHeight w:val="253"/>
        </w:trPr>
        <w:tc>
          <w:tcPr>
            <w:tcW w:w="2121" w:type="pct"/>
            <w:shd w:val="clear" w:color="auto" w:fill="auto"/>
            <w:vAlign w:val="center"/>
          </w:tcPr>
          <w:p w14:paraId="0B8E28FE" w14:textId="77777777" w:rsidR="00576A4F" w:rsidRPr="00092ED7" w:rsidRDefault="00576A4F" w:rsidP="00A06946">
            <w:pPr>
              <w:spacing w:after="0"/>
              <w:rPr>
                <w:color w:val="auto"/>
                <w:sz w:val="20"/>
                <w:lang w:val="sr-Cyrl-CS"/>
              </w:rPr>
            </w:pPr>
            <w:r w:rsidRPr="00092ED7">
              <w:rPr>
                <w:color w:val="auto"/>
                <w:sz w:val="20"/>
                <w:lang w:val="sr-Cyrl-CS"/>
              </w:rPr>
              <w:t>Јавни приходи</w:t>
            </w:r>
          </w:p>
        </w:tc>
        <w:tc>
          <w:tcPr>
            <w:tcW w:w="605" w:type="pct"/>
            <w:shd w:val="clear" w:color="auto" w:fill="auto"/>
          </w:tcPr>
          <w:p w14:paraId="67C75470" w14:textId="77777777" w:rsidR="00576A4F" w:rsidRPr="00092ED7" w:rsidRDefault="00576A4F" w:rsidP="00A06946">
            <w:pPr>
              <w:spacing w:after="0"/>
              <w:jc w:val="right"/>
              <w:rPr>
                <w:color w:val="auto"/>
                <w:sz w:val="20"/>
                <w:lang w:val="sr-Cyrl-CS"/>
              </w:rPr>
            </w:pPr>
            <w:r w:rsidRPr="00092ED7">
              <w:rPr>
                <w:color w:val="auto"/>
                <w:sz w:val="20"/>
                <w:lang w:val="sr-Cyrl-CS"/>
              </w:rPr>
              <w:t>43,3</w:t>
            </w:r>
          </w:p>
        </w:tc>
        <w:tc>
          <w:tcPr>
            <w:tcW w:w="605" w:type="pct"/>
            <w:shd w:val="clear" w:color="auto" w:fill="auto"/>
          </w:tcPr>
          <w:p w14:paraId="64FF476B" w14:textId="77777777" w:rsidR="00576A4F" w:rsidRPr="00092ED7" w:rsidRDefault="00576A4F" w:rsidP="00A06946">
            <w:pPr>
              <w:spacing w:after="0"/>
              <w:jc w:val="right"/>
              <w:rPr>
                <w:color w:val="auto"/>
                <w:sz w:val="20"/>
                <w:lang w:val="sr-Cyrl-CS"/>
              </w:rPr>
            </w:pPr>
            <w:r w:rsidRPr="00092ED7">
              <w:rPr>
                <w:color w:val="auto"/>
                <w:sz w:val="20"/>
                <w:lang w:val="sr-Cyrl-CS"/>
              </w:rPr>
              <w:t>43,0</w:t>
            </w:r>
          </w:p>
        </w:tc>
        <w:tc>
          <w:tcPr>
            <w:tcW w:w="556" w:type="pct"/>
            <w:shd w:val="clear" w:color="auto" w:fill="auto"/>
          </w:tcPr>
          <w:p w14:paraId="3063C1F1" w14:textId="77777777" w:rsidR="00576A4F" w:rsidRPr="00092ED7" w:rsidRDefault="00576A4F" w:rsidP="00A06946">
            <w:pPr>
              <w:spacing w:after="0"/>
              <w:jc w:val="right"/>
              <w:rPr>
                <w:color w:val="auto"/>
                <w:sz w:val="20"/>
                <w:lang w:val="sr-Cyrl-CS"/>
              </w:rPr>
            </w:pPr>
            <w:r w:rsidRPr="00092ED7">
              <w:rPr>
                <w:color w:val="auto"/>
                <w:sz w:val="20"/>
                <w:lang w:val="sr-Cyrl-CS"/>
              </w:rPr>
              <w:t>40,9</w:t>
            </w:r>
          </w:p>
        </w:tc>
        <w:tc>
          <w:tcPr>
            <w:tcW w:w="556" w:type="pct"/>
            <w:shd w:val="clear" w:color="auto" w:fill="auto"/>
          </w:tcPr>
          <w:p w14:paraId="7E140DDE" w14:textId="77777777" w:rsidR="00576A4F" w:rsidRPr="00092ED7" w:rsidRDefault="00576A4F" w:rsidP="00A06946">
            <w:pPr>
              <w:spacing w:after="0"/>
              <w:jc w:val="right"/>
              <w:rPr>
                <w:color w:val="auto"/>
                <w:sz w:val="20"/>
                <w:lang w:val="sr-Cyrl-CS"/>
              </w:rPr>
            </w:pPr>
            <w:r w:rsidRPr="00092ED7">
              <w:rPr>
                <w:color w:val="auto"/>
                <w:sz w:val="20"/>
                <w:lang w:val="sr-Cyrl-CS"/>
              </w:rPr>
              <w:t>40,4</w:t>
            </w:r>
          </w:p>
        </w:tc>
        <w:tc>
          <w:tcPr>
            <w:tcW w:w="556" w:type="pct"/>
            <w:shd w:val="clear" w:color="auto" w:fill="auto"/>
          </w:tcPr>
          <w:p w14:paraId="6264FD40" w14:textId="77777777" w:rsidR="00576A4F" w:rsidRPr="00092ED7" w:rsidRDefault="00576A4F" w:rsidP="00A06946">
            <w:pPr>
              <w:spacing w:after="0"/>
              <w:jc w:val="right"/>
              <w:rPr>
                <w:color w:val="auto"/>
                <w:sz w:val="20"/>
                <w:lang w:val="sr-Cyrl-CS"/>
              </w:rPr>
            </w:pPr>
            <w:r w:rsidRPr="00092ED7">
              <w:rPr>
                <w:color w:val="auto"/>
                <w:sz w:val="20"/>
                <w:lang w:val="sr-Cyrl-CS"/>
              </w:rPr>
              <w:t>39,6</w:t>
            </w:r>
          </w:p>
        </w:tc>
      </w:tr>
      <w:tr w:rsidR="00576A4F" w:rsidRPr="00092ED7" w14:paraId="22F742F6" w14:textId="77777777" w:rsidTr="00576A4F">
        <w:trPr>
          <w:cnfStyle w:val="000000100000" w:firstRow="0" w:lastRow="0" w:firstColumn="0" w:lastColumn="0" w:oddVBand="0" w:evenVBand="0" w:oddHBand="1" w:evenHBand="0" w:firstRowFirstColumn="0" w:firstRowLastColumn="0" w:lastRowFirstColumn="0" w:lastRowLastColumn="0"/>
          <w:trHeight w:val="253"/>
        </w:trPr>
        <w:tc>
          <w:tcPr>
            <w:tcW w:w="2121" w:type="pct"/>
            <w:tcBorders>
              <w:left w:val="none" w:sz="0" w:space="0" w:color="auto"/>
              <w:right w:val="none" w:sz="0" w:space="0" w:color="auto"/>
            </w:tcBorders>
            <w:shd w:val="clear" w:color="auto" w:fill="auto"/>
            <w:vAlign w:val="center"/>
          </w:tcPr>
          <w:p w14:paraId="5BFF5FC8" w14:textId="77777777" w:rsidR="00576A4F" w:rsidRPr="00092ED7" w:rsidRDefault="00576A4F" w:rsidP="00A06946">
            <w:pPr>
              <w:spacing w:after="0"/>
              <w:rPr>
                <w:color w:val="auto"/>
                <w:sz w:val="20"/>
                <w:lang w:val="sr-Cyrl-CS"/>
              </w:rPr>
            </w:pPr>
            <w:r w:rsidRPr="00092ED7">
              <w:rPr>
                <w:color w:val="auto"/>
                <w:sz w:val="20"/>
                <w:lang w:val="sr-Cyrl-CS"/>
              </w:rPr>
              <w:t>Јавни расходи</w:t>
            </w:r>
          </w:p>
        </w:tc>
        <w:tc>
          <w:tcPr>
            <w:tcW w:w="605" w:type="pct"/>
            <w:tcBorders>
              <w:left w:val="none" w:sz="0" w:space="0" w:color="auto"/>
              <w:right w:val="none" w:sz="0" w:space="0" w:color="auto"/>
            </w:tcBorders>
            <w:shd w:val="clear" w:color="auto" w:fill="auto"/>
          </w:tcPr>
          <w:p w14:paraId="6F0A6920" w14:textId="77777777" w:rsidR="00576A4F" w:rsidRPr="00092ED7" w:rsidRDefault="00576A4F" w:rsidP="00A06946">
            <w:pPr>
              <w:spacing w:after="0"/>
              <w:jc w:val="right"/>
              <w:rPr>
                <w:color w:val="auto"/>
                <w:sz w:val="20"/>
                <w:lang w:val="sr-Cyrl-CS"/>
              </w:rPr>
            </w:pPr>
            <w:r w:rsidRPr="00092ED7">
              <w:rPr>
                <w:color w:val="auto"/>
                <w:sz w:val="20"/>
                <w:lang w:val="sr-Cyrl-CS"/>
              </w:rPr>
              <w:t>47,4</w:t>
            </w:r>
          </w:p>
        </w:tc>
        <w:tc>
          <w:tcPr>
            <w:tcW w:w="605" w:type="pct"/>
            <w:tcBorders>
              <w:left w:val="none" w:sz="0" w:space="0" w:color="auto"/>
              <w:right w:val="none" w:sz="0" w:space="0" w:color="auto"/>
            </w:tcBorders>
            <w:shd w:val="clear" w:color="auto" w:fill="auto"/>
          </w:tcPr>
          <w:p w14:paraId="7D6FD8EC" w14:textId="77777777" w:rsidR="00576A4F" w:rsidRPr="00092ED7" w:rsidRDefault="00576A4F" w:rsidP="00A06946">
            <w:pPr>
              <w:spacing w:after="0"/>
              <w:jc w:val="right"/>
              <w:rPr>
                <w:color w:val="auto"/>
                <w:sz w:val="20"/>
                <w:lang w:val="sr-Cyrl-CS"/>
              </w:rPr>
            </w:pPr>
            <w:r w:rsidRPr="00092ED7">
              <w:rPr>
                <w:color w:val="auto"/>
                <w:sz w:val="20"/>
                <w:lang w:val="sr-Cyrl-CS"/>
              </w:rPr>
              <w:t>46,8</w:t>
            </w:r>
          </w:p>
        </w:tc>
        <w:tc>
          <w:tcPr>
            <w:tcW w:w="556" w:type="pct"/>
            <w:tcBorders>
              <w:left w:val="none" w:sz="0" w:space="0" w:color="auto"/>
              <w:right w:val="none" w:sz="0" w:space="0" w:color="auto"/>
            </w:tcBorders>
            <w:shd w:val="clear" w:color="auto" w:fill="auto"/>
          </w:tcPr>
          <w:p w14:paraId="46E1CFF1" w14:textId="77777777" w:rsidR="00576A4F" w:rsidRPr="00092ED7" w:rsidRDefault="00576A4F" w:rsidP="00A06946">
            <w:pPr>
              <w:spacing w:after="0"/>
              <w:jc w:val="right"/>
              <w:rPr>
                <w:color w:val="auto"/>
                <w:sz w:val="20"/>
                <w:lang w:val="sr-Cyrl-CS"/>
              </w:rPr>
            </w:pPr>
            <w:r w:rsidRPr="00092ED7">
              <w:rPr>
                <w:color w:val="auto"/>
                <w:sz w:val="20"/>
                <w:lang w:val="sr-Cyrl-CS"/>
              </w:rPr>
              <w:t>44,2</w:t>
            </w:r>
          </w:p>
        </w:tc>
        <w:tc>
          <w:tcPr>
            <w:tcW w:w="556" w:type="pct"/>
            <w:tcBorders>
              <w:left w:val="none" w:sz="0" w:space="0" w:color="auto"/>
              <w:right w:val="none" w:sz="0" w:space="0" w:color="auto"/>
            </w:tcBorders>
            <w:shd w:val="clear" w:color="auto" w:fill="auto"/>
          </w:tcPr>
          <w:p w14:paraId="5FF33447" w14:textId="77777777" w:rsidR="00576A4F" w:rsidRPr="00092ED7" w:rsidRDefault="00576A4F" w:rsidP="00A06946">
            <w:pPr>
              <w:spacing w:after="0"/>
              <w:jc w:val="right"/>
              <w:rPr>
                <w:color w:val="auto"/>
                <w:sz w:val="20"/>
                <w:lang w:val="sr-Cyrl-CS"/>
              </w:rPr>
            </w:pPr>
            <w:r w:rsidRPr="00092ED7">
              <w:rPr>
                <w:color w:val="auto"/>
                <w:sz w:val="20"/>
                <w:lang w:val="sr-Cyrl-CS"/>
              </w:rPr>
              <w:t>42,5</w:t>
            </w:r>
          </w:p>
        </w:tc>
        <w:tc>
          <w:tcPr>
            <w:tcW w:w="556" w:type="pct"/>
            <w:tcBorders>
              <w:left w:val="none" w:sz="0" w:space="0" w:color="auto"/>
              <w:right w:val="none" w:sz="0" w:space="0" w:color="auto"/>
            </w:tcBorders>
            <w:shd w:val="clear" w:color="auto" w:fill="auto"/>
          </w:tcPr>
          <w:p w14:paraId="10297EEF" w14:textId="77777777" w:rsidR="00576A4F" w:rsidRPr="00092ED7" w:rsidRDefault="00576A4F" w:rsidP="00A06946">
            <w:pPr>
              <w:spacing w:after="0"/>
              <w:jc w:val="right"/>
              <w:rPr>
                <w:color w:val="auto"/>
                <w:sz w:val="20"/>
                <w:lang w:val="sr-Cyrl-CS"/>
              </w:rPr>
            </w:pPr>
            <w:r w:rsidRPr="00092ED7">
              <w:rPr>
                <w:color w:val="auto"/>
                <w:sz w:val="20"/>
                <w:lang w:val="sr-Cyrl-CS"/>
              </w:rPr>
              <w:t>41,0</w:t>
            </w:r>
          </w:p>
        </w:tc>
      </w:tr>
      <w:tr w:rsidR="00576A4F" w:rsidRPr="00092ED7" w14:paraId="3C2B0482" w14:textId="77777777" w:rsidTr="00576A4F">
        <w:trPr>
          <w:trHeight w:val="253"/>
        </w:trPr>
        <w:tc>
          <w:tcPr>
            <w:tcW w:w="2121" w:type="pct"/>
            <w:shd w:val="clear" w:color="auto" w:fill="auto"/>
            <w:vAlign w:val="center"/>
          </w:tcPr>
          <w:p w14:paraId="02D08A53" w14:textId="77777777" w:rsidR="00576A4F" w:rsidRPr="00092ED7" w:rsidRDefault="00576A4F" w:rsidP="00A06946">
            <w:pPr>
              <w:spacing w:after="0"/>
              <w:rPr>
                <w:color w:val="auto"/>
                <w:sz w:val="20"/>
                <w:lang w:val="sr-Cyrl-CS"/>
              </w:rPr>
            </w:pPr>
          </w:p>
        </w:tc>
        <w:tc>
          <w:tcPr>
            <w:tcW w:w="605" w:type="pct"/>
            <w:shd w:val="clear" w:color="auto" w:fill="auto"/>
          </w:tcPr>
          <w:p w14:paraId="1557330C" w14:textId="77777777" w:rsidR="00576A4F" w:rsidRPr="00092ED7" w:rsidRDefault="00576A4F" w:rsidP="00A06946">
            <w:pPr>
              <w:spacing w:after="0"/>
              <w:jc w:val="right"/>
              <w:rPr>
                <w:color w:val="auto"/>
                <w:sz w:val="20"/>
                <w:lang w:val="sr-Cyrl-CS"/>
              </w:rPr>
            </w:pPr>
          </w:p>
        </w:tc>
        <w:tc>
          <w:tcPr>
            <w:tcW w:w="605" w:type="pct"/>
            <w:shd w:val="clear" w:color="auto" w:fill="auto"/>
          </w:tcPr>
          <w:p w14:paraId="4D4E233C" w14:textId="77777777" w:rsidR="00576A4F" w:rsidRPr="00092ED7" w:rsidRDefault="00576A4F" w:rsidP="00A06946">
            <w:pPr>
              <w:spacing w:after="0"/>
              <w:jc w:val="right"/>
              <w:rPr>
                <w:color w:val="auto"/>
                <w:sz w:val="20"/>
                <w:lang w:val="sr-Cyrl-CS"/>
              </w:rPr>
            </w:pPr>
          </w:p>
        </w:tc>
        <w:tc>
          <w:tcPr>
            <w:tcW w:w="556" w:type="pct"/>
            <w:shd w:val="clear" w:color="auto" w:fill="auto"/>
          </w:tcPr>
          <w:p w14:paraId="49AA9767" w14:textId="77777777" w:rsidR="00576A4F" w:rsidRPr="00092ED7" w:rsidRDefault="00576A4F" w:rsidP="00A06946">
            <w:pPr>
              <w:spacing w:after="0"/>
              <w:jc w:val="right"/>
              <w:rPr>
                <w:color w:val="auto"/>
                <w:sz w:val="20"/>
                <w:lang w:val="sr-Cyrl-CS"/>
              </w:rPr>
            </w:pPr>
          </w:p>
        </w:tc>
        <w:tc>
          <w:tcPr>
            <w:tcW w:w="556" w:type="pct"/>
            <w:shd w:val="clear" w:color="auto" w:fill="auto"/>
          </w:tcPr>
          <w:p w14:paraId="307F25C2" w14:textId="77777777" w:rsidR="00576A4F" w:rsidRPr="00092ED7" w:rsidRDefault="00576A4F" w:rsidP="00A06946">
            <w:pPr>
              <w:spacing w:after="0"/>
              <w:jc w:val="right"/>
              <w:rPr>
                <w:color w:val="auto"/>
                <w:sz w:val="20"/>
                <w:lang w:val="sr-Cyrl-CS"/>
              </w:rPr>
            </w:pPr>
          </w:p>
        </w:tc>
        <w:tc>
          <w:tcPr>
            <w:tcW w:w="556" w:type="pct"/>
            <w:shd w:val="clear" w:color="auto" w:fill="auto"/>
          </w:tcPr>
          <w:p w14:paraId="18D84711" w14:textId="77777777" w:rsidR="00576A4F" w:rsidRPr="00092ED7" w:rsidRDefault="00576A4F" w:rsidP="00A06946">
            <w:pPr>
              <w:spacing w:after="0"/>
              <w:jc w:val="right"/>
              <w:rPr>
                <w:color w:val="auto"/>
                <w:sz w:val="20"/>
                <w:lang w:val="sr-Cyrl-CS"/>
              </w:rPr>
            </w:pPr>
          </w:p>
        </w:tc>
      </w:tr>
      <w:tr w:rsidR="00576A4F" w:rsidRPr="00092ED7" w14:paraId="193C326A" w14:textId="77777777" w:rsidTr="00576A4F">
        <w:trPr>
          <w:cnfStyle w:val="000000100000" w:firstRow="0" w:lastRow="0" w:firstColumn="0" w:lastColumn="0" w:oddVBand="0" w:evenVBand="0" w:oddHBand="1" w:evenHBand="0" w:firstRowFirstColumn="0" w:firstRowLastColumn="0" w:lastRowFirstColumn="0" w:lastRowLastColumn="0"/>
          <w:trHeight w:val="253"/>
        </w:trPr>
        <w:tc>
          <w:tcPr>
            <w:tcW w:w="2121" w:type="pct"/>
            <w:tcBorders>
              <w:left w:val="none" w:sz="0" w:space="0" w:color="auto"/>
              <w:right w:val="none" w:sz="0" w:space="0" w:color="auto"/>
            </w:tcBorders>
            <w:shd w:val="clear" w:color="auto" w:fill="auto"/>
            <w:vAlign w:val="center"/>
          </w:tcPr>
          <w:p w14:paraId="5958C4F1" w14:textId="77777777" w:rsidR="00576A4F" w:rsidRPr="00092ED7" w:rsidRDefault="00576A4F" w:rsidP="00A06946">
            <w:pPr>
              <w:spacing w:after="0"/>
              <w:rPr>
                <w:color w:val="auto"/>
                <w:sz w:val="20"/>
                <w:lang w:val="sr-Cyrl-CS"/>
              </w:rPr>
            </w:pPr>
            <w:r w:rsidRPr="00092ED7">
              <w:rPr>
                <w:color w:val="auto"/>
                <w:sz w:val="20"/>
                <w:lang w:val="sr-Cyrl-CS"/>
              </w:rPr>
              <w:t>Консолидовани фискални резултат</w:t>
            </w:r>
          </w:p>
        </w:tc>
        <w:tc>
          <w:tcPr>
            <w:tcW w:w="605" w:type="pct"/>
            <w:tcBorders>
              <w:left w:val="none" w:sz="0" w:space="0" w:color="auto"/>
              <w:right w:val="none" w:sz="0" w:space="0" w:color="auto"/>
            </w:tcBorders>
            <w:shd w:val="clear" w:color="auto" w:fill="auto"/>
          </w:tcPr>
          <w:p w14:paraId="3D8849F6" w14:textId="77777777" w:rsidR="00576A4F" w:rsidRPr="00092ED7" w:rsidRDefault="00576A4F" w:rsidP="00A06946">
            <w:pPr>
              <w:spacing w:after="0"/>
              <w:jc w:val="right"/>
              <w:rPr>
                <w:color w:val="auto"/>
                <w:sz w:val="20"/>
                <w:lang w:val="sr-Cyrl-CS"/>
              </w:rPr>
            </w:pPr>
            <w:r w:rsidRPr="00092ED7">
              <w:rPr>
                <w:color w:val="auto"/>
                <w:sz w:val="20"/>
                <w:lang w:val="sr-Cyrl-CS"/>
              </w:rPr>
              <w:t>-4,1</w:t>
            </w:r>
          </w:p>
        </w:tc>
        <w:tc>
          <w:tcPr>
            <w:tcW w:w="605" w:type="pct"/>
            <w:tcBorders>
              <w:left w:val="none" w:sz="0" w:space="0" w:color="auto"/>
              <w:right w:val="none" w:sz="0" w:space="0" w:color="auto"/>
            </w:tcBorders>
            <w:shd w:val="clear" w:color="auto" w:fill="auto"/>
          </w:tcPr>
          <w:p w14:paraId="308A383C" w14:textId="77777777" w:rsidR="00576A4F" w:rsidRPr="00092ED7" w:rsidRDefault="00576A4F" w:rsidP="00A06946">
            <w:pPr>
              <w:spacing w:after="0"/>
              <w:jc w:val="right"/>
              <w:rPr>
                <w:color w:val="auto"/>
                <w:sz w:val="20"/>
                <w:lang w:val="sr-Cyrl-CS"/>
              </w:rPr>
            </w:pPr>
            <w:r w:rsidRPr="00092ED7">
              <w:rPr>
                <w:color w:val="auto"/>
                <w:sz w:val="20"/>
                <w:lang w:val="sr-Cyrl-CS"/>
              </w:rPr>
              <w:t>-3,8</w:t>
            </w:r>
          </w:p>
        </w:tc>
        <w:tc>
          <w:tcPr>
            <w:tcW w:w="556" w:type="pct"/>
            <w:tcBorders>
              <w:left w:val="none" w:sz="0" w:space="0" w:color="auto"/>
              <w:right w:val="none" w:sz="0" w:space="0" w:color="auto"/>
            </w:tcBorders>
            <w:shd w:val="clear" w:color="auto" w:fill="auto"/>
          </w:tcPr>
          <w:p w14:paraId="419C35C8" w14:textId="77777777" w:rsidR="00576A4F" w:rsidRPr="00092ED7" w:rsidRDefault="00576A4F" w:rsidP="00A06946">
            <w:pPr>
              <w:spacing w:after="0"/>
              <w:jc w:val="right"/>
              <w:rPr>
                <w:color w:val="auto"/>
                <w:sz w:val="20"/>
                <w:lang w:val="sr-Cyrl-CS"/>
              </w:rPr>
            </w:pPr>
            <w:r w:rsidRPr="00092ED7">
              <w:rPr>
                <w:color w:val="auto"/>
                <w:sz w:val="20"/>
                <w:lang w:val="sr-Cyrl-CS"/>
              </w:rPr>
              <w:t>-3,3</w:t>
            </w:r>
          </w:p>
        </w:tc>
        <w:tc>
          <w:tcPr>
            <w:tcW w:w="556" w:type="pct"/>
            <w:tcBorders>
              <w:left w:val="none" w:sz="0" w:space="0" w:color="auto"/>
              <w:right w:val="none" w:sz="0" w:space="0" w:color="auto"/>
            </w:tcBorders>
            <w:shd w:val="clear" w:color="auto" w:fill="auto"/>
          </w:tcPr>
          <w:p w14:paraId="20C80749" w14:textId="77777777" w:rsidR="00576A4F" w:rsidRPr="00092ED7" w:rsidRDefault="00576A4F" w:rsidP="00A06946">
            <w:pPr>
              <w:spacing w:after="0"/>
              <w:jc w:val="right"/>
              <w:rPr>
                <w:color w:val="auto"/>
                <w:sz w:val="20"/>
                <w:lang w:val="sr-Cyrl-CS"/>
              </w:rPr>
            </w:pPr>
            <w:r w:rsidRPr="00092ED7">
              <w:rPr>
                <w:color w:val="auto"/>
                <w:sz w:val="20"/>
                <w:lang w:val="sr-Cyrl-CS"/>
              </w:rPr>
              <w:t>-2,2</w:t>
            </w:r>
          </w:p>
        </w:tc>
        <w:tc>
          <w:tcPr>
            <w:tcW w:w="556" w:type="pct"/>
            <w:tcBorders>
              <w:left w:val="none" w:sz="0" w:space="0" w:color="auto"/>
              <w:right w:val="none" w:sz="0" w:space="0" w:color="auto"/>
            </w:tcBorders>
            <w:shd w:val="clear" w:color="auto" w:fill="auto"/>
          </w:tcPr>
          <w:p w14:paraId="34CC35E4" w14:textId="77777777" w:rsidR="00576A4F" w:rsidRPr="00092ED7" w:rsidRDefault="00576A4F" w:rsidP="00A06946">
            <w:pPr>
              <w:spacing w:after="0"/>
              <w:jc w:val="right"/>
              <w:rPr>
                <w:color w:val="auto"/>
                <w:sz w:val="20"/>
                <w:lang w:val="sr-Cyrl-CS"/>
              </w:rPr>
            </w:pPr>
            <w:r w:rsidRPr="00092ED7">
              <w:rPr>
                <w:color w:val="auto"/>
                <w:sz w:val="20"/>
                <w:lang w:val="sr-Cyrl-CS"/>
              </w:rPr>
              <w:t>-1,4</w:t>
            </w:r>
          </w:p>
        </w:tc>
      </w:tr>
      <w:tr w:rsidR="00576A4F" w:rsidRPr="00092ED7" w14:paraId="63251032" w14:textId="77777777" w:rsidTr="00576A4F">
        <w:trPr>
          <w:trHeight w:val="253"/>
        </w:trPr>
        <w:tc>
          <w:tcPr>
            <w:tcW w:w="2121" w:type="pct"/>
            <w:shd w:val="clear" w:color="auto" w:fill="auto"/>
            <w:vAlign w:val="center"/>
          </w:tcPr>
          <w:p w14:paraId="3566C408" w14:textId="77777777" w:rsidR="00576A4F" w:rsidRPr="00092ED7" w:rsidRDefault="00576A4F" w:rsidP="00A06946">
            <w:pPr>
              <w:spacing w:after="0"/>
              <w:rPr>
                <w:color w:val="auto"/>
                <w:sz w:val="20"/>
                <w:lang w:val="sr-Cyrl-CS"/>
              </w:rPr>
            </w:pPr>
            <w:r w:rsidRPr="00092ED7">
              <w:rPr>
                <w:color w:val="auto"/>
                <w:sz w:val="20"/>
                <w:lang w:val="sr-Cyrl-CS"/>
              </w:rPr>
              <w:t>Примарни консолидовани резултат</w:t>
            </w:r>
          </w:p>
        </w:tc>
        <w:tc>
          <w:tcPr>
            <w:tcW w:w="605" w:type="pct"/>
            <w:shd w:val="clear" w:color="auto" w:fill="auto"/>
          </w:tcPr>
          <w:p w14:paraId="427B313C" w14:textId="77777777" w:rsidR="00576A4F" w:rsidRPr="00092ED7" w:rsidRDefault="00576A4F" w:rsidP="00A06946">
            <w:pPr>
              <w:spacing w:after="0"/>
              <w:jc w:val="right"/>
              <w:rPr>
                <w:color w:val="auto"/>
                <w:sz w:val="20"/>
                <w:lang w:val="sr-Cyrl-CS"/>
              </w:rPr>
            </w:pPr>
            <w:r w:rsidRPr="00092ED7">
              <w:rPr>
                <w:color w:val="auto"/>
                <w:sz w:val="20"/>
                <w:lang w:val="sr-Cyrl-CS"/>
              </w:rPr>
              <w:t>-2,4</w:t>
            </w:r>
          </w:p>
        </w:tc>
        <w:tc>
          <w:tcPr>
            <w:tcW w:w="605" w:type="pct"/>
            <w:shd w:val="clear" w:color="auto" w:fill="auto"/>
          </w:tcPr>
          <w:p w14:paraId="0B1CABD5" w14:textId="77777777" w:rsidR="00576A4F" w:rsidRPr="00092ED7" w:rsidRDefault="00576A4F" w:rsidP="00A06946">
            <w:pPr>
              <w:spacing w:after="0"/>
              <w:jc w:val="right"/>
              <w:rPr>
                <w:color w:val="auto"/>
                <w:sz w:val="20"/>
                <w:lang w:val="sr-Cyrl-CS"/>
              </w:rPr>
            </w:pPr>
            <w:r w:rsidRPr="00092ED7">
              <w:rPr>
                <w:color w:val="auto"/>
                <w:sz w:val="20"/>
                <w:lang w:val="sr-Cyrl-CS"/>
              </w:rPr>
              <w:t>-2,2</w:t>
            </w:r>
          </w:p>
        </w:tc>
        <w:tc>
          <w:tcPr>
            <w:tcW w:w="556" w:type="pct"/>
            <w:shd w:val="clear" w:color="auto" w:fill="auto"/>
          </w:tcPr>
          <w:p w14:paraId="65F8C678" w14:textId="77777777" w:rsidR="00576A4F" w:rsidRPr="00092ED7" w:rsidRDefault="00576A4F" w:rsidP="00A06946">
            <w:pPr>
              <w:spacing w:after="0"/>
              <w:jc w:val="right"/>
              <w:rPr>
                <w:color w:val="auto"/>
                <w:sz w:val="20"/>
                <w:lang w:val="sr-Cyrl-CS"/>
              </w:rPr>
            </w:pPr>
            <w:r w:rsidRPr="00092ED7">
              <w:rPr>
                <w:color w:val="auto"/>
                <w:sz w:val="20"/>
                <w:lang w:val="sr-Cyrl-CS"/>
              </w:rPr>
              <w:t>-1,5</w:t>
            </w:r>
          </w:p>
        </w:tc>
        <w:tc>
          <w:tcPr>
            <w:tcW w:w="556" w:type="pct"/>
            <w:shd w:val="clear" w:color="auto" w:fill="auto"/>
          </w:tcPr>
          <w:p w14:paraId="13E2DD5C" w14:textId="77777777" w:rsidR="00576A4F" w:rsidRPr="00092ED7" w:rsidRDefault="00576A4F" w:rsidP="00A06946">
            <w:pPr>
              <w:spacing w:after="0"/>
              <w:jc w:val="right"/>
              <w:rPr>
                <w:color w:val="auto"/>
                <w:sz w:val="20"/>
                <w:lang w:val="sr-Cyrl-CS"/>
              </w:rPr>
            </w:pPr>
            <w:r w:rsidRPr="00092ED7">
              <w:rPr>
                <w:color w:val="auto"/>
                <w:sz w:val="20"/>
                <w:lang w:val="sr-Cyrl-CS"/>
              </w:rPr>
              <w:t>-0,1</w:t>
            </w:r>
          </w:p>
        </w:tc>
        <w:tc>
          <w:tcPr>
            <w:tcW w:w="556" w:type="pct"/>
            <w:shd w:val="clear" w:color="auto" w:fill="auto"/>
          </w:tcPr>
          <w:p w14:paraId="0152DE41" w14:textId="77777777" w:rsidR="00576A4F" w:rsidRPr="00092ED7" w:rsidRDefault="00576A4F" w:rsidP="00A06946">
            <w:pPr>
              <w:spacing w:after="0"/>
              <w:jc w:val="right"/>
              <w:rPr>
                <w:color w:val="auto"/>
                <w:sz w:val="20"/>
                <w:lang w:val="sr-Cyrl-CS"/>
              </w:rPr>
            </w:pPr>
            <w:r w:rsidRPr="00092ED7">
              <w:rPr>
                <w:color w:val="auto"/>
                <w:sz w:val="20"/>
                <w:lang w:val="sr-Cyrl-CS"/>
              </w:rPr>
              <w:t>0,5</w:t>
            </w:r>
          </w:p>
        </w:tc>
      </w:tr>
      <w:tr w:rsidR="00576A4F" w:rsidRPr="00092ED7" w14:paraId="7417030D" w14:textId="77777777" w:rsidTr="00576A4F">
        <w:trPr>
          <w:cnfStyle w:val="000000100000" w:firstRow="0" w:lastRow="0" w:firstColumn="0" w:lastColumn="0" w:oddVBand="0" w:evenVBand="0" w:oddHBand="1" w:evenHBand="0" w:firstRowFirstColumn="0" w:firstRowLastColumn="0" w:lastRowFirstColumn="0" w:lastRowLastColumn="0"/>
          <w:trHeight w:val="253"/>
        </w:trPr>
        <w:tc>
          <w:tcPr>
            <w:tcW w:w="2121" w:type="pct"/>
            <w:tcBorders>
              <w:left w:val="none" w:sz="0" w:space="0" w:color="auto"/>
              <w:right w:val="none" w:sz="0" w:space="0" w:color="auto"/>
            </w:tcBorders>
            <w:shd w:val="clear" w:color="auto" w:fill="auto"/>
            <w:vAlign w:val="center"/>
          </w:tcPr>
          <w:p w14:paraId="1FEB2AEE" w14:textId="77777777" w:rsidR="00576A4F" w:rsidRPr="00092ED7" w:rsidRDefault="00576A4F" w:rsidP="00A06946">
            <w:pPr>
              <w:spacing w:after="0"/>
              <w:rPr>
                <w:color w:val="auto"/>
                <w:sz w:val="20"/>
                <w:lang w:val="sr-Cyrl-CS"/>
              </w:rPr>
            </w:pPr>
          </w:p>
        </w:tc>
        <w:tc>
          <w:tcPr>
            <w:tcW w:w="605" w:type="pct"/>
            <w:tcBorders>
              <w:left w:val="none" w:sz="0" w:space="0" w:color="auto"/>
              <w:right w:val="none" w:sz="0" w:space="0" w:color="auto"/>
            </w:tcBorders>
            <w:shd w:val="clear" w:color="auto" w:fill="auto"/>
          </w:tcPr>
          <w:p w14:paraId="1BDAA675" w14:textId="77777777" w:rsidR="00576A4F" w:rsidRPr="00092ED7" w:rsidRDefault="00576A4F" w:rsidP="00A06946">
            <w:pPr>
              <w:spacing w:after="0"/>
              <w:jc w:val="right"/>
              <w:rPr>
                <w:color w:val="auto"/>
                <w:sz w:val="20"/>
                <w:lang w:val="sr-Cyrl-CS"/>
              </w:rPr>
            </w:pPr>
          </w:p>
        </w:tc>
        <w:tc>
          <w:tcPr>
            <w:tcW w:w="605" w:type="pct"/>
            <w:tcBorders>
              <w:left w:val="none" w:sz="0" w:space="0" w:color="auto"/>
              <w:right w:val="none" w:sz="0" w:space="0" w:color="auto"/>
            </w:tcBorders>
            <w:shd w:val="clear" w:color="auto" w:fill="auto"/>
          </w:tcPr>
          <w:p w14:paraId="2E30A09C" w14:textId="77777777" w:rsidR="00576A4F" w:rsidRPr="00092ED7" w:rsidRDefault="00576A4F" w:rsidP="00A06946">
            <w:pPr>
              <w:spacing w:after="0"/>
              <w:jc w:val="right"/>
              <w:rPr>
                <w:color w:val="auto"/>
                <w:sz w:val="20"/>
                <w:lang w:val="sr-Cyrl-CS"/>
              </w:rPr>
            </w:pPr>
          </w:p>
        </w:tc>
        <w:tc>
          <w:tcPr>
            <w:tcW w:w="556" w:type="pct"/>
            <w:tcBorders>
              <w:left w:val="none" w:sz="0" w:space="0" w:color="auto"/>
              <w:right w:val="none" w:sz="0" w:space="0" w:color="auto"/>
            </w:tcBorders>
            <w:shd w:val="clear" w:color="auto" w:fill="auto"/>
          </w:tcPr>
          <w:p w14:paraId="1A8E4CCD" w14:textId="77777777" w:rsidR="00576A4F" w:rsidRPr="00092ED7" w:rsidRDefault="00576A4F" w:rsidP="00A06946">
            <w:pPr>
              <w:spacing w:after="0"/>
              <w:jc w:val="right"/>
              <w:rPr>
                <w:color w:val="auto"/>
                <w:sz w:val="20"/>
                <w:lang w:val="sr-Cyrl-CS"/>
              </w:rPr>
            </w:pPr>
          </w:p>
        </w:tc>
        <w:tc>
          <w:tcPr>
            <w:tcW w:w="556" w:type="pct"/>
            <w:tcBorders>
              <w:left w:val="none" w:sz="0" w:space="0" w:color="auto"/>
              <w:right w:val="none" w:sz="0" w:space="0" w:color="auto"/>
            </w:tcBorders>
            <w:shd w:val="clear" w:color="auto" w:fill="auto"/>
          </w:tcPr>
          <w:p w14:paraId="60251CED" w14:textId="77777777" w:rsidR="00576A4F" w:rsidRPr="00092ED7" w:rsidRDefault="00576A4F" w:rsidP="00A06946">
            <w:pPr>
              <w:spacing w:after="0"/>
              <w:jc w:val="right"/>
              <w:rPr>
                <w:color w:val="auto"/>
                <w:sz w:val="20"/>
                <w:lang w:val="sr-Cyrl-CS"/>
              </w:rPr>
            </w:pPr>
          </w:p>
        </w:tc>
        <w:tc>
          <w:tcPr>
            <w:tcW w:w="556" w:type="pct"/>
            <w:tcBorders>
              <w:left w:val="none" w:sz="0" w:space="0" w:color="auto"/>
              <w:right w:val="none" w:sz="0" w:space="0" w:color="auto"/>
            </w:tcBorders>
            <w:shd w:val="clear" w:color="auto" w:fill="auto"/>
          </w:tcPr>
          <w:p w14:paraId="0AD3A2BE" w14:textId="77777777" w:rsidR="00576A4F" w:rsidRPr="00092ED7" w:rsidRDefault="00576A4F" w:rsidP="00A06946">
            <w:pPr>
              <w:spacing w:after="0"/>
              <w:jc w:val="right"/>
              <w:rPr>
                <w:color w:val="auto"/>
                <w:sz w:val="20"/>
                <w:lang w:val="sr-Cyrl-CS"/>
              </w:rPr>
            </w:pPr>
          </w:p>
        </w:tc>
      </w:tr>
      <w:tr w:rsidR="00576A4F" w:rsidRPr="00092ED7" w14:paraId="3E042372" w14:textId="77777777" w:rsidTr="00576A4F">
        <w:trPr>
          <w:trHeight w:val="253"/>
        </w:trPr>
        <w:tc>
          <w:tcPr>
            <w:tcW w:w="2121" w:type="pct"/>
            <w:shd w:val="clear" w:color="auto" w:fill="auto"/>
            <w:vAlign w:val="center"/>
          </w:tcPr>
          <w:p w14:paraId="31DCF41F" w14:textId="77777777" w:rsidR="00576A4F" w:rsidRPr="00092ED7" w:rsidRDefault="00576A4F" w:rsidP="00A06946">
            <w:pPr>
              <w:spacing w:after="0"/>
              <w:rPr>
                <w:color w:val="auto"/>
                <w:sz w:val="20"/>
                <w:lang w:val="sr-Cyrl-CS"/>
              </w:rPr>
            </w:pPr>
            <w:r w:rsidRPr="00092ED7">
              <w:rPr>
                <w:color w:val="auto"/>
                <w:sz w:val="20"/>
                <w:lang w:val="sr-Cyrl-CS"/>
              </w:rPr>
              <w:t>Дуг опште државе</w:t>
            </w:r>
          </w:p>
        </w:tc>
        <w:tc>
          <w:tcPr>
            <w:tcW w:w="605" w:type="pct"/>
            <w:shd w:val="clear" w:color="auto" w:fill="auto"/>
          </w:tcPr>
          <w:p w14:paraId="048E2068" w14:textId="77777777" w:rsidR="00576A4F" w:rsidRPr="00092ED7" w:rsidRDefault="00576A4F" w:rsidP="00A06946">
            <w:pPr>
              <w:spacing w:after="0"/>
              <w:jc w:val="right"/>
              <w:rPr>
                <w:color w:val="auto"/>
                <w:sz w:val="20"/>
                <w:lang w:val="sr-Cyrl-CS"/>
              </w:rPr>
            </w:pPr>
            <w:r w:rsidRPr="00092ED7">
              <w:rPr>
                <w:color w:val="auto"/>
                <w:sz w:val="20"/>
                <w:lang w:val="sr-Cyrl-CS"/>
              </w:rPr>
              <w:t>57,1</w:t>
            </w:r>
          </w:p>
        </w:tc>
        <w:tc>
          <w:tcPr>
            <w:tcW w:w="605" w:type="pct"/>
            <w:shd w:val="clear" w:color="auto" w:fill="auto"/>
          </w:tcPr>
          <w:p w14:paraId="5B7DF2C6" w14:textId="77777777" w:rsidR="00576A4F" w:rsidRPr="00092ED7" w:rsidRDefault="00576A4F" w:rsidP="00A06946">
            <w:pPr>
              <w:spacing w:after="0"/>
              <w:jc w:val="right"/>
              <w:rPr>
                <w:color w:val="auto"/>
                <w:sz w:val="20"/>
                <w:lang w:val="sr-Cyrl-CS"/>
              </w:rPr>
            </w:pPr>
            <w:r w:rsidRPr="00092ED7">
              <w:rPr>
                <w:color w:val="auto"/>
                <w:sz w:val="20"/>
                <w:lang w:val="sr-Cyrl-CS"/>
              </w:rPr>
              <w:t>56,9</w:t>
            </w:r>
          </w:p>
        </w:tc>
        <w:tc>
          <w:tcPr>
            <w:tcW w:w="556" w:type="pct"/>
            <w:shd w:val="clear" w:color="auto" w:fill="auto"/>
          </w:tcPr>
          <w:p w14:paraId="09D76A3A" w14:textId="77777777" w:rsidR="00576A4F" w:rsidRPr="00092ED7" w:rsidRDefault="00576A4F" w:rsidP="00A06946">
            <w:pPr>
              <w:spacing w:after="0"/>
              <w:jc w:val="right"/>
              <w:rPr>
                <w:color w:val="auto"/>
                <w:sz w:val="20"/>
                <w:lang w:val="sr-Cyrl-CS"/>
              </w:rPr>
            </w:pPr>
            <w:r w:rsidRPr="00092ED7">
              <w:rPr>
                <w:color w:val="auto"/>
                <w:sz w:val="20"/>
                <w:lang w:val="sr-Cyrl-CS"/>
              </w:rPr>
              <w:t>56,1</w:t>
            </w:r>
          </w:p>
        </w:tc>
        <w:tc>
          <w:tcPr>
            <w:tcW w:w="556" w:type="pct"/>
            <w:shd w:val="clear" w:color="auto" w:fill="auto"/>
          </w:tcPr>
          <w:p w14:paraId="2812F3CF" w14:textId="77777777" w:rsidR="00576A4F" w:rsidRPr="00092ED7" w:rsidRDefault="00576A4F" w:rsidP="00A06946">
            <w:pPr>
              <w:spacing w:after="0"/>
              <w:jc w:val="right"/>
              <w:rPr>
                <w:color w:val="auto"/>
                <w:sz w:val="20"/>
                <w:lang w:val="sr-Cyrl-CS"/>
              </w:rPr>
            </w:pPr>
            <w:r w:rsidRPr="00092ED7">
              <w:rPr>
                <w:color w:val="auto"/>
                <w:sz w:val="20"/>
                <w:lang w:val="sr-Cyrl-CS"/>
              </w:rPr>
              <w:t>55,1</w:t>
            </w:r>
          </w:p>
        </w:tc>
        <w:tc>
          <w:tcPr>
            <w:tcW w:w="556" w:type="pct"/>
            <w:shd w:val="clear" w:color="auto" w:fill="auto"/>
          </w:tcPr>
          <w:p w14:paraId="7A2023A3" w14:textId="77777777" w:rsidR="00576A4F" w:rsidRPr="00092ED7" w:rsidRDefault="00576A4F" w:rsidP="00A06946">
            <w:pPr>
              <w:spacing w:after="0"/>
              <w:jc w:val="right"/>
              <w:rPr>
                <w:color w:val="auto"/>
                <w:sz w:val="20"/>
                <w:lang w:val="sr-Cyrl-CS"/>
              </w:rPr>
            </w:pPr>
            <w:r w:rsidRPr="00092ED7">
              <w:rPr>
                <w:color w:val="auto"/>
                <w:sz w:val="20"/>
                <w:lang w:val="sr-Cyrl-CS"/>
              </w:rPr>
              <w:t>54,0</w:t>
            </w:r>
          </w:p>
        </w:tc>
      </w:tr>
      <w:tr w:rsidR="00576A4F" w:rsidRPr="00092ED7" w14:paraId="39D45FCA" w14:textId="77777777" w:rsidTr="00576A4F">
        <w:trPr>
          <w:cnfStyle w:val="000000100000" w:firstRow="0" w:lastRow="0" w:firstColumn="0" w:lastColumn="0" w:oddVBand="0" w:evenVBand="0" w:oddHBand="1" w:evenHBand="0" w:firstRowFirstColumn="0" w:firstRowLastColumn="0" w:lastRowFirstColumn="0" w:lastRowLastColumn="0"/>
          <w:trHeight w:val="253"/>
        </w:trPr>
        <w:tc>
          <w:tcPr>
            <w:tcW w:w="2121" w:type="pct"/>
            <w:tcBorders>
              <w:left w:val="none" w:sz="0" w:space="0" w:color="auto"/>
              <w:right w:val="none" w:sz="0" w:space="0" w:color="auto"/>
            </w:tcBorders>
            <w:shd w:val="clear" w:color="auto" w:fill="auto"/>
            <w:vAlign w:val="center"/>
          </w:tcPr>
          <w:p w14:paraId="3FD09060" w14:textId="77777777" w:rsidR="00576A4F" w:rsidRPr="00092ED7" w:rsidRDefault="00576A4F" w:rsidP="00A06946">
            <w:pPr>
              <w:spacing w:after="0"/>
              <w:rPr>
                <w:color w:val="auto"/>
                <w:sz w:val="20"/>
                <w:lang w:val="sr-Cyrl-CS"/>
              </w:rPr>
            </w:pPr>
            <w:r w:rsidRPr="00092ED7">
              <w:rPr>
                <w:color w:val="auto"/>
                <w:sz w:val="20"/>
                <w:lang w:val="sr-Cyrl-CS"/>
              </w:rPr>
              <w:t>Реална стопа раста БДП</w:t>
            </w:r>
          </w:p>
        </w:tc>
        <w:tc>
          <w:tcPr>
            <w:tcW w:w="605" w:type="pct"/>
            <w:tcBorders>
              <w:left w:val="none" w:sz="0" w:space="0" w:color="auto"/>
              <w:right w:val="none" w:sz="0" w:space="0" w:color="auto"/>
            </w:tcBorders>
            <w:shd w:val="clear" w:color="auto" w:fill="auto"/>
          </w:tcPr>
          <w:p w14:paraId="3F3F830C" w14:textId="77777777" w:rsidR="00576A4F" w:rsidRPr="00092ED7" w:rsidRDefault="00576A4F" w:rsidP="00A06946">
            <w:pPr>
              <w:spacing w:after="0"/>
              <w:jc w:val="right"/>
              <w:rPr>
                <w:color w:val="auto"/>
                <w:sz w:val="20"/>
                <w:lang w:val="sr-Cyrl-CS"/>
              </w:rPr>
            </w:pPr>
            <w:r w:rsidRPr="00092ED7">
              <w:rPr>
                <w:color w:val="auto"/>
                <w:sz w:val="20"/>
                <w:lang w:val="sr-Cyrl-CS"/>
              </w:rPr>
              <w:t>7,4%</w:t>
            </w:r>
          </w:p>
        </w:tc>
        <w:tc>
          <w:tcPr>
            <w:tcW w:w="605" w:type="pct"/>
            <w:tcBorders>
              <w:left w:val="none" w:sz="0" w:space="0" w:color="auto"/>
              <w:right w:val="none" w:sz="0" w:space="0" w:color="auto"/>
            </w:tcBorders>
            <w:shd w:val="clear" w:color="auto" w:fill="auto"/>
          </w:tcPr>
          <w:p w14:paraId="02934AD7" w14:textId="77777777" w:rsidR="00576A4F" w:rsidRPr="00092ED7" w:rsidRDefault="00576A4F" w:rsidP="00A06946">
            <w:pPr>
              <w:spacing w:after="0"/>
              <w:jc w:val="right"/>
              <w:rPr>
                <w:color w:val="auto"/>
                <w:sz w:val="20"/>
                <w:lang w:val="sr-Cyrl-CS"/>
              </w:rPr>
            </w:pPr>
            <w:r w:rsidRPr="00092ED7">
              <w:rPr>
                <w:color w:val="auto"/>
                <w:sz w:val="20"/>
                <w:lang w:val="sr-Cyrl-CS"/>
              </w:rPr>
              <w:t>2,5%</w:t>
            </w:r>
          </w:p>
        </w:tc>
        <w:tc>
          <w:tcPr>
            <w:tcW w:w="556" w:type="pct"/>
            <w:tcBorders>
              <w:left w:val="none" w:sz="0" w:space="0" w:color="auto"/>
              <w:right w:val="none" w:sz="0" w:space="0" w:color="auto"/>
            </w:tcBorders>
            <w:shd w:val="clear" w:color="auto" w:fill="auto"/>
          </w:tcPr>
          <w:p w14:paraId="67AAC7A9" w14:textId="77777777" w:rsidR="00576A4F" w:rsidRPr="00092ED7" w:rsidRDefault="00576A4F" w:rsidP="00A06946">
            <w:pPr>
              <w:spacing w:after="0"/>
              <w:jc w:val="right"/>
              <w:rPr>
                <w:color w:val="auto"/>
                <w:sz w:val="20"/>
                <w:lang w:val="sr-Cyrl-CS"/>
              </w:rPr>
            </w:pPr>
            <w:r w:rsidRPr="00092ED7">
              <w:rPr>
                <w:color w:val="auto"/>
                <w:sz w:val="20"/>
                <w:lang w:val="sr-Cyrl-CS"/>
              </w:rPr>
              <w:t>2,5%</w:t>
            </w:r>
          </w:p>
        </w:tc>
        <w:tc>
          <w:tcPr>
            <w:tcW w:w="556" w:type="pct"/>
            <w:tcBorders>
              <w:left w:val="none" w:sz="0" w:space="0" w:color="auto"/>
              <w:right w:val="none" w:sz="0" w:space="0" w:color="auto"/>
            </w:tcBorders>
            <w:shd w:val="clear" w:color="auto" w:fill="auto"/>
          </w:tcPr>
          <w:p w14:paraId="1DBA8906" w14:textId="77777777" w:rsidR="00576A4F" w:rsidRPr="00092ED7" w:rsidRDefault="00576A4F" w:rsidP="00A06946">
            <w:pPr>
              <w:spacing w:after="0"/>
              <w:jc w:val="right"/>
              <w:rPr>
                <w:color w:val="auto"/>
                <w:sz w:val="20"/>
                <w:lang w:val="sr-Cyrl-CS"/>
              </w:rPr>
            </w:pPr>
            <w:r w:rsidRPr="00092ED7">
              <w:rPr>
                <w:color w:val="auto"/>
                <w:sz w:val="20"/>
                <w:lang w:val="sr-Cyrl-CS"/>
              </w:rPr>
              <w:t>3,5%</w:t>
            </w:r>
          </w:p>
        </w:tc>
        <w:tc>
          <w:tcPr>
            <w:tcW w:w="556" w:type="pct"/>
            <w:tcBorders>
              <w:left w:val="none" w:sz="0" w:space="0" w:color="auto"/>
              <w:right w:val="none" w:sz="0" w:space="0" w:color="auto"/>
            </w:tcBorders>
            <w:shd w:val="clear" w:color="auto" w:fill="auto"/>
          </w:tcPr>
          <w:p w14:paraId="18276181" w14:textId="77777777" w:rsidR="00576A4F" w:rsidRPr="00092ED7" w:rsidRDefault="00576A4F" w:rsidP="00A06946">
            <w:pPr>
              <w:spacing w:after="0"/>
              <w:jc w:val="right"/>
              <w:rPr>
                <w:color w:val="auto"/>
                <w:sz w:val="20"/>
                <w:lang w:val="sr-Cyrl-CS"/>
              </w:rPr>
            </w:pPr>
            <w:r w:rsidRPr="00092ED7">
              <w:rPr>
                <w:color w:val="auto"/>
                <w:sz w:val="20"/>
                <w:lang w:val="sr-Cyrl-CS"/>
              </w:rPr>
              <w:t>4,0%</w:t>
            </w:r>
          </w:p>
        </w:tc>
      </w:tr>
    </w:tbl>
    <w:p w14:paraId="236B9EA1" w14:textId="77777777" w:rsidR="00576A4F" w:rsidRPr="00092ED7" w:rsidRDefault="00576A4F" w:rsidP="00576A4F">
      <w:pPr>
        <w:spacing w:before="60"/>
        <w:rPr>
          <w:sz w:val="18"/>
          <w:szCs w:val="18"/>
          <w:lang w:val="sr-Cyrl-CS" w:eastAsia="ja-JP"/>
        </w:rPr>
      </w:pPr>
      <w:r w:rsidRPr="00092ED7">
        <w:rPr>
          <w:sz w:val="18"/>
          <w:szCs w:val="18"/>
          <w:lang w:val="sr-Cyrl-CS" w:eastAsia="ja-JP"/>
        </w:rPr>
        <w:t>Извор: Министарство финансија</w:t>
      </w:r>
    </w:p>
    <w:p w14:paraId="72B13C95" w14:textId="77777777" w:rsidR="00576A4F" w:rsidRPr="00092ED7" w:rsidRDefault="00576A4F" w:rsidP="00A3670F">
      <w:pPr>
        <w:spacing w:after="60"/>
        <w:rPr>
          <w:lang w:val="sr-Cyrl-CS" w:eastAsia="ja-JP"/>
        </w:rPr>
      </w:pPr>
      <w:r w:rsidRPr="00092ED7">
        <w:rPr>
          <w:lang w:val="sr-Cyrl-CS" w:eastAsia="ja-JP"/>
        </w:rPr>
        <w:t>Циљеви фискалне политике у наредном средњорочном периоду биће обезбеђење стабилне позиције јавних финансија и опадајућа путања јавног дуга. Смањење учешћа дуга је уско везано за снижавање дефицита као главног фактора задуживања, тако да динамика спуштања дефицита опредељује и промену кретања дуга. Растући трошкови задуживања на међународном финансијском тржишту такође захтевају опрез и рестриктивност фискалне политике.</w:t>
      </w:r>
    </w:p>
    <w:p w14:paraId="146E25E1" w14:textId="77777777" w:rsidR="00576A4F" w:rsidRPr="00092ED7" w:rsidRDefault="00576A4F" w:rsidP="00A3670F">
      <w:pPr>
        <w:spacing w:before="120" w:after="60"/>
        <w:rPr>
          <w:lang w:val="sr-Cyrl-CS" w:eastAsia="ja-JP"/>
        </w:rPr>
      </w:pPr>
      <w:r w:rsidRPr="00092ED7">
        <w:rPr>
          <w:lang w:val="sr-Cyrl-CS" w:eastAsia="ja-JP"/>
        </w:rPr>
        <w:t>Графикон 9. Фискални резултат и дуг опште државе, % БДП</w:t>
      </w:r>
    </w:p>
    <w:p w14:paraId="60AFE50E" w14:textId="77777777" w:rsidR="00576A4F" w:rsidRPr="00092ED7" w:rsidRDefault="00576A4F" w:rsidP="00A3670F">
      <w:pPr>
        <w:spacing w:after="0"/>
        <w:rPr>
          <w:lang w:val="sr-Cyrl-CS" w:eastAsia="ja-JP"/>
        </w:rPr>
      </w:pPr>
      <w:r w:rsidRPr="00092ED7">
        <w:rPr>
          <w:noProof/>
        </w:rPr>
        <w:drawing>
          <wp:inline distT="0" distB="0" distL="0" distR="0" wp14:anchorId="1F9E8726" wp14:editId="1FB38F74">
            <wp:extent cx="5715000" cy="2047875"/>
            <wp:effectExtent l="0" t="0" r="0" b="0"/>
            <wp:docPr id="89" name="Chart 89"/>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56F32C64" w14:textId="32F15CC1" w:rsidR="00576A4F" w:rsidRPr="00092ED7" w:rsidRDefault="00576A4F" w:rsidP="00E255B1">
      <w:pPr>
        <w:spacing w:after="60"/>
        <w:rPr>
          <w:rFonts w:eastAsia="Times New Roman" w:cstheme="minorHAnsi"/>
          <w:b/>
          <w:bCs/>
          <w:szCs w:val="20"/>
          <w:lang w:val="sr-Cyrl-CS" w:eastAsia="ja-JP"/>
        </w:rPr>
      </w:pPr>
      <w:r w:rsidRPr="00092ED7">
        <w:rPr>
          <w:rFonts w:eastAsia="MS PGothic" w:cstheme="minorHAnsi"/>
          <w:szCs w:val="20"/>
          <w:lang w:val="sr-Cyrl-CS" w:eastAsia="ja-JP"/>
        </w:rPr>
        <w:t>Експанзивна фискална политика током 2020. и 2021. године умањила је негативне економске последице пандемије. У наредном средњорочном периоду</w:t>
      </w:r>
      <w:r w:rsidR="005867B0" w:rsidRPr="00092ED7">
        <w:rPr>
          <w:rFonts w:eastAsia="MS PGothic" w:cstheme="minorHAnsi"/>
          <w:szCs w:val="20"/>
          <w:lang w:val="sr-Cyrl-CS" w:eastAsia="ja-JP"/>
        </w:rPr>
        <w:t>,</w:t>
      </w:r>
      <w:r w:rsidRPr="00092ED7">
        <w:rPr>
          <w:rFonts w:eastAsia="MS PGothic" w:cstheme="minorHAnsi"/>
          <w:szCs w:val="20"/>
          <w:lang w:val="sr-Cyrl-CS" w:eastAsia="ja-JP"/>
        </w:rPr>
        <w:t xml:space="preserve"> предвиђено је умерено смањење дефицита опште државе како би се путем фискалне политике обезбедила потребна флексибилност националне економије како би се правовремено и ефикасно одговорило на евентуалне екстерне шокове. То се, </w:t>
      </w:r>
      <w:r w:rsidRPr="00092ED7">
        <w:rPr>
          <w:rFonts w:eastAsia="Calibri" w:cstheme="minorHAnsi"/>
          <w:szCs w:val="20"/>
          <w:lang w:val="sr-Cyrl-CS" w:eastAsia="ja-JP"/>
        </w:rPr>
        <w:t>пре свега, односи на расходну страну, у виду повећања средстава намењених за енергетску политику, али и даље високо улагање у инфраструктуру. На приходној страни приоритет ће остати даље смањење пореског оптерећења зарада и наставак борбе против пореске евазије и сиве економије.</w:t>
      </w:r>
    </w:p>
    <w:p w14:paraId="49FADE28" w14:textId="77777777" w:rsidR="00576A4F" w:rsidRPr="00092ED7" w:rsidRDefault="00576A4F" w:rsidP="00E255B1">
      <w:pPr>
        <w:spacing w:after="60"/>
        <w:rPr>
          <w:rFonts w:eastAsia="MS PGothic" w:cstheme="minorHAnsi"/>
          <w:szCs w:val="20"/>
          <w:lang w:val="sr-Cyrl-CS" w:eastAsia="ja-JP"/>
        </w:rPr>
      </w:pPr>
      <w:r w:rsidRPr="00092ED7">
        <w:rPr>
          <w:rFonts w:eastAsia="MS PGothic" w:cstheme="minorHAnsi"/>
          <w:szCs w:val="20"/>
          <w:lang w:val="sr-Cyrl-CS" w:eastAsia="ja-JP"/>
        </w:rPr>
        <w:t>Пројекција прихода у периоду од 2023. до 2025. године израђена је на основу:</w:t>
      </w:r>
    </w:p>
    <w:p w14:paraId="3829789A" w14:textId="77777777" w:rsidR="00576A4F" w:rsidRPr="00092ED7" w:rsidRDefault="00576A4F" w:rsidP="00105194">
      <w:pPr>
        <w:pStyle w:val="ListParagraph"/>
        <w:numPr>
          <w:ilvl w:val="0"/>
          <w:numId w:val="43"/>
        </w:numPr>
        <w:spacing w:after="160"/>
        <w:rPr>
          <w:rFonts w:eastAsia="Calibri" w:cstheme="minorHAnsi"/>
          <w:sz w:val="24"/>
          <w:szCs w:val="24"/>
          <w:lang w:val="sr-Cyrl-CS"/>
        </w:rPr>
      </w:pPr>
      <w:r w:rsidRPr="00092ED7">
        <w:rPr>
          <w:rFonts w:eastAsia="Calibri" w:cstheme="minorHAnsi"/>
          <w:sz w:val="24"/>
          <w:szCs w:val="24"/>
          <w:lang w:val="sr-Cyrl-CS"/>
        </w:rPr>
        <w:lastRenderedPageBreak/>
        <w:t>пројекције кретања најважнијих макроекономских показатеља: БДП и његових компоненти, инфлације, девизног курса, спољнотрговинске размене, запослености и зарада;</w:t>
      </w:r>
    </w:p>
    <w:p w14:paraId="2A047E25" w14:textId="77777777" w:rsidR="00576A4F" w:rsidRPr="00092ED7" w:rsidRDefault="00576A4F" w:rsidP="00105194">
      <w:pPr>
        <w:pStyle w:val="ListParagraph"/>
        <w:numPr>
          <w:ilvl w:val="0"/>
          <w:numId w:val="43"/>
        </w:numPr>
        <w:spacing w:after="160"/>
        <w:rPr>
          <w:rFonts w:eastAsia="Calibri" w:cstheme="minorHAnsi"/>
          <w:sz w:val="24"/>
          <w:szCs w:val="24"/>
          <w:lang w:val="sr-Cyrl-CS"/>
        </w:rPr>
      </w:pPr>
      <w:r w:rsidRPr="00092ED7">
        <w:rPr>
          <w:rFonts w:eastAsia="Calibri" w:cstheme="minorHAnsi"/>
          <w:sz w:val="24"/>
          <w:szCs w:val="24"/>
          <w:lang w:val="sr-Cyrl-CS"/>
        </w:rPr>
        <w:t>важеће и планиране измене пореске политике;</w:t>
      </w:r>
    </w:p>
    <w:p w14:paraId="09680EE3" w14:textId="77777777" w:rsidR="00576A4F" w:rsidRPr="00092ED7" w:rsidRDefault="00576A4F" w:rsidP="00105194">
      <w:pPr>
        <w:pStyle w:val="ListParagraph"/>
        <w:numPr>
          <w:ilvl w:val="0"/>
          <w:numId w:val="43"/>
        </w:numPr>
        <w:rPr>
          <w:rFonts w:eastAsia="Calibri" w:cstheme="minorHAnsi"/>
          <w:sz w:val="24"/>
          <w:szCs w:val="24"/>
          <w:lang w:val="sr-Cyrl-CS"/>
        </w:rPr>
      </w:pPr>
      <w:r w:rsidRPr="00092ED7">
        <w:rPr>
          <w:rFonts w:eastAsia="Calibri" w:cstheme="minorHAnsi"/>
          <w:sz w:val="24"/>
          <w:szCs w:val="24"/>
          <w:lang w:val="sr-Cyrl-CS"/>
        </w:rPr>
        <w:t>процењених ефеката фискалних и структурних мера у наредном периоду.</w:t>
      </w:r>
    </w:p>
    <w:p w14:paraId="780FCBD7" w14:textId="77777777" w:rsidR="00576A4F" w:rsidRPr="00092ED7" w:rsidRDefault="00576A4F" w:rsidP="00576A4F">
      <w:pPr>
        <w:rPr>
          <w:lang w:val="sr-Cyrl-CS" w:eastAsia="ja-JP"/>
        </w:rPr>
      </w:pPr>
      <w:r w:rsidRPr="00092ED7">
        <w:rPr>
          <w:lang w:val="sr-Cyrl-CS" w:eastAsia="ja-JP"/>
        </w:rPr>
        <w:t>Табела 8. Укупни приходи и донације у периоду 2021–2025. године, % БДП</w:t>
      </w:r>
    </w:p>
    <w:tbl>
      <w:tblPr>
        <w:tblStyle w:val="LightShading-Accent121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3668"/>
        <w:gridCol w:w="1177"/>
        <w:gridCol w:w="1076"/>
        <w:gridCol w:w="1031"/>
        <w:gridCol w:w="1032"/>
        <w:gridCol w:w="1032"/>
      </w:tblGrid>
      <w:tr w:rsidR="00576A4F" w:rsidRPr="00092ED7" w14:paraId="6571E824" w14:textId="77777777" w:rsidTr="00A3670F">
        <w:trPr>
          <w:cnfStyle w:val="100000000000" w:firstRow="1" w:lastRow="0" w:firstColumn="0" w:lastColumn="0" w:oddVBand="0" w:evenVBand="0" w:oddHBand="0" w:evenHBand="0" w:firstRowFirstColumn="0" w:firstRowLastColumn="0" w:lastRowFirstColumn="0" w:lastRowLastColumn="0"/>
          <w:trHeight w:val="253"/>
        </w:trPr>
        <w:tc>
          <w:tcPr>
            <w:tcW w:w="2044" w:type="pct"/>
            <w:tcBorders>
              <w:top w:val="none" w:sz="0" w:space="0" w:color="auto"/>
              <w:left w:val="none" w:sz="0" w:space="0" w:color="auto"/>
              <w:bottom w:val="none" w:sz="0" w:space="0" w:color="auto"/>
              <w:right w:val="none" w:sz="0" w:space="0" w:color="auto"/>
            </w:tcBorders>
            <w:noWrap/>
            <w:vAlign w:val="center"/>
          </w:tcPr>
          <w:p w14:paraId="110BEBD9" w14:textId="77777777" w:rsidR="00576A4F" w:rsidRPr="00092ED7" w:rsidRDefault="00576A4F" w:rsidP="00A3670F">
            <w:pPr>
              <w:spacing w:after="0"/>
              <w:rPr>
                <w:rFonts w:eastAsia="Times New Roman"/>
                <w:color w:val="auto"/>
                <w:sz w:val="20"/>
                <w:lang w:val="sr-Cyrl-CS"/>
              </w:rPr>
            </w:pPr>
          </w:p>
        </w:tc>
        <w:tc>
          <w:tcPr>
            <w:tcW w:w="605" w:type="pct"/>
            <w:tcBorders>
              <w:top w:val="none" w:sz="0" w:space="0" w:color="auto"/>
              <w:left w:val="none" w:sz="0" w:space="0" w:color="auto"/>
              <w:bottom w:val="none" w:sz="0" w:space="0" w:color="auto"/>
              <w:right w:val="none" w:sz="0" w:space="0" w:color="auto"/>
            </w:tcBorders>
            <w:vAlign w:val="center"/>
          </w:tcPr>
          <w:p w14:paraId="11639750" w14:textId="77777777" w:rsidR="00576A4F" w:rsidRPr="00092ED7" w:rsidRDefault="00576A4F" w:rsidP="00A3670F">
            <w:pPr>
              <w:keepNext/>
              <w:widowControl w:val="0"/>
              <w:shd w:val="clear" w:color="auto" w:fill="FFFFFF" w:themeFill="background1"/>
              <w:spacing w:after="0"/>
              <w:jc w:val="right"/>
              <w:rPr>
                <w:rFonts w:eastAsia="Times New Roman"/>
                <w:color w:val="auto"/>
                <w:sz w:val="20"/>
                <w:lang w:val="sr-Cyrl-CS"/>
              </w:rPr>
            </w:pPr>
            <w:r w:rsidRPr="00092ED7">
              <w:rPr>
                <w:color w:val="auto"/>
                <w:sz w:val="20"/>
                <w:lang w:val="sr-Cyrl-CS"/>
              </w:rPr>
              <w:t>Извршење</w:t>
            </w:r>
          </w:p>
        </w:tc>
        <w:tc>
          <w:tcPr>
            <w:tcW w:w="606" w:type="pct"/>
            <w:tcBorders>
              <w:top w:val="none" w:sz="0" w:space="0" w:color="auto"/>
              <w:left w:val="none" w:sz="0" w:space="0" w:color="auto"/>
              <w:bottom w:val="none" w:sz="0" w:space="0" w:color="auto"/>
              <w:right w:val="none" w:sz="0" w:space="0" w:color="auto"/>
            </w:tcBorders>
            <w:vAlign w:val="center"/>
          </w:tcPr>
          <w:p w14:paraId="34B0835F" w14:textId="77777777" w:rsidR="00576A4F" w:rsidRPr="00092ED7" w:rsidRDefault="00576A4F" w:rsidP="00A3670F">
            <w:pPr>
              <w:keepNext/>
              <w:widowControl w:val="0"/>
              <w:shd w:val="clear" w:color="auto" w:fill="FFFFFF" w:themeFill="background1"/>
              <w:spacing w:after="0"/>
              <w:jc w:val="right"/>
              <w:rPr>
                <w:rFonts w:eastAsia="Times New Roman"/>
                <w:color w:val="auto"/>
                <w:sz w:val="20"/>
                <w:lang w:val="sr-Cyrl-CS"/>
              </w:rPr>
            </w:pPr>
            <w:r w:rsidRPr="00092ED7">
              <w:rPr>
                <w:color w:val="auto"/>
                <w:sz w:val="20"/>
                <w:lang w:val="sr-Cyrl-CS"/>
              </w:rPr>
              <w:t>Процена</w:t>
            </w:r>
          </w:p>
        </w:tc>
        <w:tc>
          <w:tcPr>
            <w:tcW w:w="1745" w:type="pct"/>
            <w:gridSpan w:val="3"/>
            <w:tcBorders>
              <w:top w:val="none" w:sz="0" w:space="0" w:color="auto"/>
              <w:left w:val="none" w:sz="0" w:space="0" w:color="auto"/>
              <w:bottom w:val="none" w:sz="0" w:space="0" w:color="auto"/>
              <w:right w:val="none" w:sz="0" w:space="0" w:color="auto"/>
            </w:tcBorders>
            <w:vAlign w:val="center"/>
          </w:tcPr>
          <w:p w14:paraId="72ACACE6" w14:textId="77777777" w:rsidR="00576A4F" w:rsidRPr="00092ED7" w:rsidRDefault="00576A4F" w:rsidP="00A3670F">
            <w:pPr>
              <w:keepNext/>
              <w:widowControl w:val="0"/>
              <w:shd w:val="clear" w:color="auto" w:fill="FFFFFF" w:themeFill="background1"/>
              <w:spacing w:after="0"/>
              <w:jc w:val="center"/>
              <w:rPr>
                <w:rFonts w:eastAsia="Times New Roman"/>
                <w:color w:val="auto"/>
                <w:sz w:val="20"/>
                <w:lang w:val="sr-Cyrl-CS"/>
              </w:rPr>
            </w:pPr>
            <w:r w:rsidRPr="00092ED7">
              <w:rPr>
                <w:color w:val="auto"/>
                <w:sz w:val="20"/>
                <w:lang w:val="sr-Cyrl-CS"/>
              </w:rPr>
              <w:t>Пројекција</w:t>
            </w:r>
          </w:p>
        </w:tc>
      </w:tr>
      <w:tr w:rsidR="00A3670F" w:rsidRPr="00092ED7" w14:paraId="0BD3C240" w14:textId="77777777" w:rsidTr="00A3670F">
        <w:trPr>
          <w:cnfStyle w:val="000000100000" w:firstRow="0" w:lastRow="0" w:firstColumn="0" w:lastColumn="0" w:oddVBand="0" w:evenVBand="0" w:oddHBand="1" w:evenHBand="0" w:firstRowFirstColumn="0" w:firstRowLastColumn="0" w:lastRowFirstColumn="0" w:lastRowLastColumn="0"/>
          <w:trHeight w:val="253"/>
        </w:trPr>
        <w:tc>
          <w:tcPr>
            <w:tcW w:w="2044" w:type="pct"/>
            <w:tcBorders>
              <w:left w:val="none" w:sz="0" w:space="0" w:color="auto"/>
              <w:right w:val="none" w:sz="0" w:space="0" w:color="auto"/>
            </w:tcBorders>
            <w:shd w:val="clear" w:color="auto" w:fill="FFFFFF" w:themeFill="background1"/>
            <w:noWrap/>
          </w:tcPr>
          <w:p w14:paraId="5DE39F31" w14:textId="77777777" w:rsidR="00576A4F" w:rsidRPr="00092ED7" w:rsidRDefault="00A3670F" w:rsidP="00A3670F">
            <w:pPr>
              <w:spacing w:after="0"/>
              <w:rPr>
                <w:rFonts w:eastAsia="Times New Roman"/>
                <w:b/>
                <w:color w:val="auto"/>
                <w:sz w:val="20"/>
                <w:lang w:val="sr-Cyrl-CS"/>
              </w:rPr>
            </w:pPr>
            <w:r w:rsidRPr="00092ED7">
              <w:rPr>
                <w:b/>
                <w:color w:val="auto"/>
                <w:sz w:val="20"/>
                <w:lang w:val="sr-Cyrl-CS"/>
              </w:rPr>
              <w:t>Опис</w:t>
            </w:r>
          </w:p>
        </w:tc>
        <w:tc>
          <w:tcPr>
            <w:tcW w:w="605" w:type="pct"/>
            <w:tcBorders>
              <w:left w:val="none" w:sz="0" w:space="0" w:color="auto"/>
              <w:right w:val="none" w:sz="0" w:space="0" w:color="auto"/>
            </w:tcBorders>
            <w:shd w:val="clear" w:color="auto" w:fill="FFFFFF" w:themeFill="background1"/>
          </w:tcPr>
          <w:p w14:paraId="005F0D25" w14:textId="77777777" w:rsidR="00576A4F" w:rsidRPr="00092ED7" w:rsidRDefault="00576A4F" w:rsidP="00A3670F">
            <w:pPr>
              <w:keepNext/>
              <w:widowControl w:val="0"/>
              <w:shd w:val="clear" w:color="auto" w:fill="FFFFFF" w:themeFill="background1"/>
              <w:spacing w:after="0"/>
              <w:jc w:val="right"/>
              <w:rPr>
                <w:rFonts w:eastAsia="Times New Roman"/>
                <w:b/>
                <w:bCs/>
                <w:color w:val="auto"/>
                <w:sz w:val="20"/>
                <w:lang w:val="sr-Cyrl-CS"/>
              </w:rPr>
            </w:pPr>
            <w:r w:rsidRPr="00092ED7">
              <w:rPr>
                <w:b/>
                <w:color w:val="auto"/>
                <w:sz w:val="20"/>
                <w:lang w:val="sr-Cyrl-CS"/>
              </w:rPr>
              <w:t>2021</w:t>
            </w:r>
          </w:p>
        </w:tc>
        <w:tc>
          <w:tcPr>
            <w:tcW w:w="606" w:type="pct"/>
            <w:tcBorders>
              <w:left w:val="none" w:sz="0" w:space="0" w:color="auto"/>
              <w:right w:val="none" w:sz="0" w:space="0" w:color="auto"/>
            </w:tcBorders>
            <w:shd w:val="clear" w:color="auto" w:fill="FFFFFF" w:themeFill="background1"/>
          </w:tcPr>
          <w:p w14:paraId="5987FEF6" w14:textId="77777777" w:rsidR="00576A4F" w:rsidRPr="00092ED7" w:rsidRDefault="00576A4F" w:rsidP="00A3670F">
            <w:pPr>
              <w:keepNext/>
              <w:widowControl w:val="0"/>
              <w:shd w:val="clear" w:color="auto" w:fill="FFFFFF" w:themeFill="background1"/>
              <w:spacing w:after="0"/>
              <w:jc w:val="right"/>
              <w:rPr>
                <w:rFonts w:eastAsia="Times New Roman"/>
                <w:b/>
                <w:bCs/>
                <w:color w:val="auto"/>
                <w:sz w:val="20"/>
                <w:lang w:val="sr-Cyrl-CS"/>
              </w:rPr>
            </w:pPr>
            <w:r w:rsidRPr="00092ED7">
              <w:rPr>
                <w:b/>
                <w:color w:val="auto"/>
                <w:sz w:val="20"/>
                <w:lang w:val="sr-Cyrl-CS"/>
              </w:rPr>
              <w:t>2022</w:t>
            </w:r>
          </w:p>
        </w:tc>
        <w:tc>
          <w:tcPr>
            <w:tcW w:w="581" w:type="pct"/>
            <w:tcBorders>
              <w:left w:val="none" w:sz="0" w:space="0" w:color="auto"/>
              <w:right w:val="none" w:sz="0" w:space="0" w:color="auto"/>
            </w:tcBorders>
            <w:shd w:val="clear" w:color="auto" w:fill="FFFFFF" w:themeFill="background1"/>
          </w:tcPr>
          <w:p w14:paraId="514CF7E3" w14:textId="77777777" w:rsidR="00576A4F" w:rsidRPr="00092ED7" w:rsidRDefault="00576A4F" w:rsidP="00A3670F">
            <w:pPr>
              <w:keepNext/>
              <w:widowControl w:val="0"/>
              <w:shd w:val="clear" w:color="auto" w:fill="FFFFFF" w:themeFill="background1"/>
              <w:spacing w:after="0"/>
              <w:jc w:val="right"/>
              <w:rPr>
                <w:rFonts w:eastAsia="Times New Roman"/>
                <w:b/>
                <w:bCs/>
                <w:color w:val="auto"/>
                <w:sz w:val="20"/>
                <w:lang w:val="sr-Cyrl-CS"/>
              </w:rPr>
            </w:pPr>
            <w:r w:rsidRPr="00092ED7">
              <w:rPr>
                <w:b/>
                <w:color w:val="auto"/>
                <w:sz w:val="20"/>
                <w:lang w:val="sr-Cyrl-CS"/>
              </w:rPr>
              <w:t>2023</w:t>
            </w:r>
          </w:p>
        </w:tc>
        <w:tc>
          <w:tcPr>
            <w:tcW w:w="582" w:type="pct"/>
            <w:tcBorders>
              <w:left w:val="none" w:sz="0" w:space="0" w:color="auto"/>
              <w:right w:val="none" w:sz="0" w:space="0" w:color="auto"/>
            </w:tcBorders>
            <w:shd w:val="clear" w:color="auto" w:fill="FFFFFF" w:themeFill="background1"/>
          </w:tcPr>
          <w:p w14:paraId="10CEA37F" w14:textId="77777777" w:rsidR="00576A4F" w:rsidRPr="00092ED7" w:rsidRDefault="00576A4F" w:rsidP="00A3670F">
            <w:pPr>
              <w:keepNext/>
              <w:widowControl w:val="0"/>
              <w:shd w:val="clear" w:color="auto" w:fill="FFFFFF" w:themeFill="background1"/>
              <w:spacing w:after="0"/>
              <w:jc w:val="right"/>
              <w:rPr>
                <w:rFonts w:eastAsia="Times New Roman"/>
                <w:b/>
                <w:bCs/>
                <w:color w:val="auto"/>
                <w:sz w:val="20"/>
                <w:lang w:val="sr-Cyrl-CS"/>
              </w:rPr>
            </w:pPr>
            <w:r w:rsidRPr="00092ED7">
              <w:rPr>
                <w:b/>
                <w:color w:val="auto"/>
                <w:sz w:val="20"/>
                <w:lang w:val="sr-Cyrl-CS"/>
              </w:rPr>
              <w:t>2024</w:t>
            </w:r>
          </w:p>
        </w:tc>
        <w:tc>
          <w:tcPr>
            <w:tcW w:w="582" w:type="pct"/>
            <w:tcBorders>
              <w:left w:val="none" w:sz="0" w:space="0" w:color="auto"/>
              <w:right w:val="none" w:sz="0" w:space="0" w:color="auto"/>
            </w:tcBorders>
            <w:shd w:val="clear" w:color="auto" w:fill="FFFFFF" w:themeFill="background1"/>
          </w:tcPr>
          <w:p w14:paraId="6263056B" w14:textId="77777777" w:rsidR="00576A4F" w:rsidRPr="00092ED7" w:rsidRDefault="00576A4F" w:rsidP="00A3670F">
            <w:pPr>
              <w:keepNext/>
              <w:widowControl w:val="0"/>
              <w:shd w:val="clear" w:color="auto" w:fill="FFFFFF" w:themeFill="background1"/>
              <w:spacing w:after="0"/>
              <w:jc w:val="right"/>
              <w:rPr>
                <w:rFonts w:eastAsia="Times New Roman"/>
                <w:b/>
                <w:bCs/>
                <w:color w:val="auto"/>
                <w:sz w:val="20"/>
                <w:lang w:val="sr-Cyrl-CS"/>
              </w:rPr>
            </w:pPr>
            <w:r w:rsidRPr="00092ED7">
              <w:rPr>
                <w:b/>
                <w:color w:val="auto"/>
                <w:sz w:val="20"/>
                <w:lang w:val="sr-Cyrl-CS"/>
              </w:rPr>
              <w:t>2025</w:t>
            </w:r>
          </w:p>
        </w:tc>
      </w:tr>
      <w:tr w:rsidR="00A3670F" w:rsidRPr="00092ED7" w14:paraId="09A4206C" w14:textId="77777777" w:rsidTr="00A3670F">
        <w:trPr>
          <w:trHeight w:val="253"/>
        </w:trPr>
        <w:tc>
          <w:tcPr>
            <w:tcW w:w="2044" w:type="pct"/>
            <w:shd w:val="clear" w:color="auto" w:fill="FFFFFF" w:themeFill="background1"/>
          </w:tcPr>
          <w:p w14:paraId="55CFC5B3" w14:textId="77777777" w:rsidR="00576A4F" w:rsidRPr="00092ED7" w:rsidRDefault="00576A4F" w:rsidP="00A3670F">
            <w:pPr>
              <w:spacing w:after="0"/>
              <w:rPr>
                <w:rFonts w:eastAsia="Times New Roman"/>
                <w:color w:val="auto"/>
                <w:sz w:val="20"/>
                <w:lang w:val="sr-Cyrl-CS"/>
              </w:rPr>
            </w:pPr>
            <w:r w:rsidRPr="00092ED7">
              <w:rPr>
                <w:rFonts w:eastAsia="Times New Roman"/>
                <w:color w:val="auto"/>
                <w:sz w:val="20"/>
                <w:lang w:val="sr-Cyrl-CS"/>
              </w:rPr>
              <w:t>ЈАВНИ ПРИХОДИ</w:t>
            </w:r>
          </w:p>
        </w:tc>
        <w:tc>
          <w:tcPr>
            <w:tcW w:w="605" w:type="pct"/>
            <w:shd w:val="clear" w:color="auto" w:fill="FFFFFF" w:themeFill="background1"/>
          </w:tcPr>
          <w:p w14:paraId="1EE04390" w14:textId="77777777" w:rsidR="00576A4F" w:rsidRPr="00092ED7" w:rsidRDefault="00576A4F" w:rsidP="00A3670F">
            <w:pPr>
              <w:shd w:val="clear" w:color="auto" w:fill="FFFFFF" w:themeFill="background1"/>
              <w:spacing w:after="0"/>
              <w:jc w:val="right"/>
              <w:rPr>
                <w:color w:val="auto"/>
                <w:sz w:val="20"/>
                <w:lang w:val="sr-Cyrl-CS"/>
              </w:rPr>
            </w:pPr>
            <w:r w:rsidRPr="00092ED7">
              <w:rPr>
                <w:color w:val="auto"/>
                <w:sz w:val="20"/>
                <w:lang w:val="sr-Cyrl-CS"/>
              </w:rPr>
              <w:t>43,3</w:t>
            </w:r>
          </w:p>
        </w:tc>
        <w:tc>
          <w:tcPr>
            <w:tcW w:w="606" w:type="pct"/>
            <w:shd w:val="clear" w:color="auto" w:fill="FFFFFF" w:themeFill="background1"/>
            <w:noWrap/>
          </w:tcPr>
          <w:p w14:paraId="1C8CB57E" w14:textId="77777777" w:rsidR="00576A4F" w:rsidRPr="00092ED7" w:rsidRDefault="00576A4F" w:rsidP="00A3670F">
            <w:pPr>
              <w:shd w:val="clear" w:color="auto" w:fill="FFFFFF" w:themeFill="background1"/>
              <w:spacing w:after="0"/>
              <w:jc w:val="right"/>
              <w:rPr>
                <w:color w:val="auto"/>
                <w:sz w:val="20"/>
                <w:lang w:val="sr-Cyrl-CS"/>
              </w:rPr>
            </w:pPr>
            <w:r w:rsidRPr="00092ED7">
              <w:rPr>
                <w:color w:val="auto"/>
                <w:sz w:val="20"/>
                <w:lang w:val="sr-Cyrl-CS"/>
              </w:rPr>
              <w:t>43,0</w:t>
            </w:r>
          </w:p>
        </w:tc>
        <w:tc>
          <w:tcPr>
            <w:tcW w:w="581" w:type="pct"/>
            <w:shd w:val="clear" w:color="auto" w:fill="FFFFFF" w:themeFill="background1"/>
            <w:noWrap/>
          </w:tcPr>
          <w:p w14:paraId="5D1B75DE" w14:textId="77777777" w:rsidR="00576A4F" w:rsidRPr="00092ED7" w:rsidRDefault="00576A4F" w:rsidP="00A3670F">
            <w:pPr>
              <w:shd w:val="clear" w:color="auto" w:fill="FFFFFF" w:themeFill="background1"/>
              <w:spacing w:after="0"/>
              <w:jc w:val="right"/>
              <w:rPr>
                <w:color w:val="auto"/>
                <w:sz w:val="20"/>
                <w:lang w:val="sr-Cyrl-CS"/>
              </w:rPr>
            </w:pPr>
            <w:r w:rsidRPr="00092ED7">
              <w:rPr>
                <w:color w:val="auto"/>
                <w:sz w:val="20"/>
                <w:lang w:val="sr-Cyrl-CS"/>
              </w:rPr>
              <w:t>40,9</w:t>
            </w:r>
          </w:p>
        </w:tc>
        <w:tc>
          <w:tcPr>
            <w:tcW w:w="582" w:type="pct"/>
            <w:shd w:val="clear" w:color="auto" w:fill="FFFFFF" w:themeFill="background1"/>
            <w:noWrap/>
          </w:tcPr>
          <w:p w14:paraId="0185B05A" w14:textId="77777777" w:rsidR="00576A4F" w:rsidRPr="00092ED7" w:rsidRDefault="00576A4F" w:rsidP="00A3670F">
            <w:pPr>
              <w:shd w:val="clear" w:color="auto" w:fill="FFFFFF" w:themeFill="background1"/>
              <w:spacing w:after="0"/>
              <w:jc w:val="right"/>
              <w:rPr>
                <w:color w:val="auto"/>
                <w:sz w:val="20"/>
                <w:lang w:val="sr-Cyrl-CS"/>
              </w:rPr>
            </w:pPr>
            <w:r w:rsidRPr="00092ED7">
              <w:rPr>
                <w:color w:val="auto"/>
                <w:sz w:val="20"/>
                <w:lang w:val="sr-Cyrl-CS"/>
              </w:rPr>
              <w:t>40,4</w:t>
            </w:r>
          </w:p>
        </w:tc>
        <w:tc>
          <w:tcPr>
            <w:tcW w:w="582" w:type="pct"/>
            <w:shd w:val="clear" w:color="auto" w:fill="FFFFFF" w:themeFill="background1"/>
            <w:noWrap/>
          </w:tcPr>
          <w:p w14:paraId="00CB12FD" w14:textId="77777777" w:rsidR="00576A4F" w:rsidRPr="00092ED7" w:rsidRDefault="00576A4F" w:rsidP="00A3670F">
            <w:pPr>
              <w:shd w:val="clear" w:color="auto" w:fill="FFFFFF" w:themeFill="background1"/>
              <w:spacing w:after="0"/>
              <w:jc w:val="right"/>
              <w:rPr>
                <w:color w:val="auto"/>
                <w:sz w:val="20"/>
                <w:lang w:val="sr-Cyrl-CS"/>
              </w:rPr>
            </w:pPr>
            <w:r w:rsidRPr="00092ED7">
              <w:rPr>
                <w:color w:val="auto"/>
                <w:sz w:val="20"/>
                <w:lang w:val="sr-Cyrl-CS"/>
              </w:rPr>
              <w:t>39,6</w:t>
            </w:r>
          </w:p>
        </w:tc>
      </w:tr>
      <w:tr w:rsidR="00A3670F" w:rsidRPr="00092ED7" w14:paraId="64267B4A" w14:textId="77777777" w:rsidTr="00A3670F">
        <w:trPr>
          <w:cnfStyle w:val="000000100000" w:firstRow="0" w:lastRow="0" w:firstColumn="0" w:lastColumn="0" w:oddVBand="0" w:evenVBand="0" w:oddHBand="1" w:evenHBand="0" w:firstRowFirstColumn="0" w:firstRowLastColumn="0" w:lastRowFirstColumn="0" w:lastRowLastColumn="0"/>
          <w:trHeight w:val="253"/>
        </w:trPr>
        <w:tc>
          <w:tcPr>
            <w:tcW w:w="2044" w:type="pct"/>
            <w:tcBorders>
              <w:left w:val="none" w:sz="0" w:space="0" w:color="auto"/>
              <w:right w:val="none" w:sz="0" w:space="0" w:color="auto"/>
            </w:tcBorders>
            <w:shd w:val="clear" w:color="auto" w:fill="FFFFFF" w:themeFill="background1"/>
          </w:tcPr>
          <w:p w14:paraId="787C8A29" w14:textId="77777777" w:rsidR="00576A4F" w:rsidRPr="00092ED7" w:rsidRDefault="00576A4F" w:rsidP="00A3670F">
            <w:pPr>
              <w:spacing w:after="0"/>
              <w:rPr>
                <w:rFonts w:eastAsia="Times New Roman"/>
                <w:color w:val="auto"/>
                <w:sz w:val="20"/>
                <w:lang w:val="sr-Cyrl-CS"/>
              </w:rPr>
            </w:pPr>
            <w:r w:rsidRPr="00092ED7">
              <w:rPr>
                <w:rFonts w:eastAsia="Times New Roman"/>
                <w:color w:val="auto"/>
                <w:sz w:val="20"/>
                <w:lang w:val="sr-Cyrl-CS"/>
              </w:rPr>
              <w:t>Текући приходи</w:t>
            </w:r>
          </w:p>
        </w:tc>
        <w:tc>
          <w:tcPr>
            <w:tcW w:w="605" w:type="pct"/>
            <w:tcBorders>
              <w:left w:val="none" w:sz="0" w:space="0" w:color="auto"/>
              <w:right w:val="none" w:sz="0" w:space="0" w:color="auto"/>
            </w:tcBorders>
            <w:shd w:val="clear" w:color="auto" w:fill="FFFFFF" w:themeFill="background1"/>
          </w:tcPr>
          <w:p w14:paraId="5CCD3DED" w14:textId="77777777" w:rsidR="00576A4F" w:rsidRPr="00092ED7" w:rsidRDefault="00576A4F" w:rsidP="00A3670F">
            <w:pPr>
              <w:shd w:val="clear" w:color="auto" w:fill="FFFFFF" w:themeFill="background1"/>
              <w:spacing w:after="0"/>
              <w:jc w:val="right"/>
              <w:rPr>
                <w:color w:val="auto"/>
                <w:sz w:val="20"/>
                <w:lang w:val="sr-Cyrl-CS"/>
              </w:rPr>
            </w:pPr>
            <w:r w:rsidRPr="00092ED7">
              <w:rPr>
                <w:color w:val="auto"/>
                <w:sz w:val="20"/>
                <w:lang w:val="sr-Cyrl-CS"/>
              </w:rPr>
              <w:t>42,9</w:t>
            </w:r>
          </w:p>
        </w:tc>
        <w:tc>
          <w:tcPr>
            <w:tcW w:w="606" w:type="pct"/>
            <w:tcBorders>
              <w:left w:val="none" w:sz="0" w:space="0" w:color="auto"/>
              <w:right w:val="none" w:sz="0" w:space="0" w:color="auto"/>
            </w:tcBorders>
            <w:shd w:val="clear" w:color="auto" w:fill="FFFFFF" w:themeFill="background1"/>
            <w:noWrap/>
          </w:tcPr>
          <w:p w14:paraId="48CD97B8" w14:textId="77777777" w:rsidR="00576A4F" w:rsidRPr="00092ED7" w:rsidRDefault="00576A4F" w:rsidP="00A3670F">
            <w:pPr>
              <w:shd w:val="clear" w:color="auto" w:fill="FFFFFF" w:themeFill="background1"/>
              <w:spacing w:after="0"/>
              <w:jc w:val="right"/>
              <w:rPr>
                <w:color w:val="auto"/>
                <w:sz w:val="20"/>
                <w:lang w:val="sr-Cyrl-CS"/>
              </w:rPr>
            </w:pPr>
            <w:r w:rsidRPr="00092ED7">
              <w:rPr>
                <w:color w:val="auto"/>
                <w:sz w:val="20"/>
                <w:lang w:val="sr-Cyrl-CS"/>
              </w:rPr>
              <w:t>42,7</w:t>
            </w:r>
          </w:p>
        </w:tc>
        <w:tc>
          <w:tcPr>
            <w:tcW w:w="581" w:type="pct"/>
            <w:tcBorders>
              <w:left w:val="none" w:sz="0" w:space="0" w:color="auto"/>
              <w:right w:val="none" w:sz="0" w:space="0" w:color="auto"/>
            </w:tcBorders>
            <w:shd w:val="clear" w:color="auto" w:fill="FFFFFF" w:themeFill="background1"/>
            <w:noWrap/>
          </w:tcPr>
          <w:p w14:paraId="124259E5" w14:textId="77777777" w:rsidR="00576A4F" w:rsidRPr="00092ED7" w:rsidRDefault="00576A4F" w:rsidP="00A3670F">
            <w:pPr>
              <w:shd w:val="clear" w:color="auto" w:fill="FFFFFF" w:themeFill="background1"/>
              <w:spacing w:after="0"/>
              <w:jc w:val="right"/>
              <w:rPr>
                <w:color w:val="auto"/>
                <w:sz w:val="20"/>
                <w:lang w:val="sr-Cyrl-CS"/>
              </w:rPr>
            </w:pPr>
            <w:r w:rsidRPr="00092ED7">
              <w:rPr>
                <w:color w:val="auto"/>
                <w:sz w:val="20"/>
                <w:lang w:val="sr-Cyrl-CS"/>
              </w:rPr>
              <w:t>40,3</w:t>
            </w:r>
          </w:p>
        </w:tc>
        <w:tc>
          <w:tcPr>
            <w:tcW w:w="582" w:type="pct"/>
            <w:tcBorders>
              <w:left w:val="none" w:sz="0" w:space="0" w:color="auto"/>
              <w:right w:val="none" w:sz="0" w:space="0" w:color="auto"/>
            </w:tcBorders>
            <w:shd w:val="clear" w:color="auto" w:fill="FFFFFF" w:themeFill="background1"/>
            <w:noWrap/>
          </w:tcPr>
          <w:p w14:paraId="167F56D3" w14:textId="77777777" w:rsidR="00576A4F" w:rsidRPr="00092ED7" w:rsidRDefault="00576A4F" w:rsidP="00A3670F">
            <w:pPr>
              <w:shd w:val="clear" w:color="auto" w:fill="FFFFFF" w:themeFill="background1"/>
              <w:spacing w:after="0"/>
              <w:jc w:val="right"/>
              <w:rPr>
                <w:color w:val="auto"/>
                <w:sz w:val="20"/>
                <w:lang w:val="sr-Cyrl-CS"/>
              </w:rPr>
            </w:pPr>
            <w:r w:rsidRPr="00092ED7">
              <w:rPr>
                <w:color w:val="auto"/>
                <w:sz w:val="20"/>
                <w:lang w:val="sr-Cyrl-CS"/>
              </w:rPr>
              <w:t>40,0</w:t>
            </w:r>
          </w:p>
        </w:tc>
        <w:tc>
          <w:tcPr>
            <w:tcW w:w="582" w:type="pct"/>
            <w:tcBorders>
              <w:left w:val="none" w:sz="0" w:space="0" w:color="auto"/>
              <w:right w:val="none" w:sz="0" w:space="0" w:color="auto"/>
            </w:tcBorders>
            <w:shd w:val="clear" w:color="auto" w:fill="FFFFFF" w:themeFill="background1"/>
            <w:noWrap/>
          </w:tcPr>
          <w:p w14:paraId="2E328BB5" w14:textId="77777777" w:rsidR="00576A4F" w:rsidRPr="00092ED7" w:rsidRDefault="00576A4F" w:rsidP="00A3670F">
            <w:pPr>
              <w:shd w:val="clear" w:color="auto" w:fill="FFFFFF" w:themeFill="background1"/>
              <w:spacing w:after="0"/>
              <w:jc w:val="right"/>
              <w:rPr>
                <w:color w:val="auto"/>
                <w:sz w:val="20"/>
                <w:lang w:val="sr-Cyrl-CS"/>
              </w:rPr>
            </w:pPr>
            <w:r w:rsidRPr="00092ED7">
              <w:rPr>
                <w:color w:val="auto"/>
                <w:sz w:val="20"/>
                <w:lang w:val="sr-Cyrl-CS"/>
              </w:rPr>
              <w:t>39,3</w:t>
            </w:r>
          </w:p>
        </w:tc>
      </w:tr>
      <w:tr w:rsidR="00A3670F" w:rsidRPr="00092ED7" w14:paraId="22890ADA" w14:textId="77777777" w:rsidTr="00A3670F">
        <w:trPr>
          <w:trHeight w:val="253"/>
        </w:trPr>
        <w:tc>
          <w:tcPr>
            <w:tcW w:w="2044" w:type="pct"/>
            <w:shd w:val="clear" w:color="auto" w:fill="FFFFFF" w:themeFill="background1"/>
          </w:tcPr>
          <w:p w14:paraId="3354AC3C" w14:textId="77777777" w:rsidR="00576A4F" w:rsidRPr="00092ED7" w:rsidRDefault="00576A4F" w:rsidP="00A3670F">
            <w:pPr>
              <w:spacing w:after="0"/>
              <w:rPr>
                <w:rFonts w:eastAsia="Times New Roman"/>
                <w:color w:val="auto"/>
                <w:sz w:val="20"/>
                <w:lang w:val="sr-Cyrl-CS"/>
              </w:rPr>
            </w:pPr>
            <w:r w:rsidRPr="00092ED7">
              <w:rPr>
                <w:rFonts w:eastAsia="Times New Roman"/>
                <w:color w:val="auto"/>
                <w:sz w:val="20"/>
                <w:lang w:val="sr-Cyrl-CS"/>
              </w:rPr>
              <w:t xml:space="preserve"> Порески приходи</w:t>
            </w:r>
          </w:p>
        </w:tc>
        <w:tc>
          <w:tcPr>
            <w:tcW w:w="605" w:type="pct"/>
            <w:shd w:val="clear" w:color="auto" w:fill="FFFFFF" w:themeFill="background1"/>
          </w:tcPr>
          <w:p w14:paraId="52605848" w14:textId="77777777" w:rsidR="00576A4F" w:rsidRPr="00092ED7" w:rsidRDefault="00576A4F" w:rsidP="00A3670F">
            <w:pPr>
              <w:shd w:val="clear" w:color="auto" w:fill="FFFFFF" w:themeFill="background1"/>
              <w:spacing w:after="0"/>
              <w:jc w:val="right"/>
              <w:rPr>
                <w:color w:val="auto"/>
                <w:sz w:val="20"/>
                <w:lang w:val="sr-Cyrl-CS"/>
              </w:rPr>
            </w:pPr>
            <w:r w:rsidRPr="00092ED7">
              <w:rPr>
                <w:color w:val="auto"/>
                <w:sz w:val="20"/>
                <w:lang w:val="sr-Cyrl-CS"/>
              </w:rPr>
              <w:t>38,6</w:t>
            </w:r>
          </w:p>
        </w:tc>
        <w:tc>
          <w:tcPr>
            <w:tcW w:w="606" w:type="pct"/>
            <w:shd w:val="clear" w:color="auto" w:fill="FFFFFF" w:themeFill="background1"/>
            <w:noWrap/>
          </w:tcPr>
          <w:p w14:paraId="55279DDE" w14:textId="77777777" w:rsidR="00576A4F" w:rsidRPr="00092ED7" w:rsidRDefault="00576A4F" w:rsidP="00A3670F">
            <w:pPr>
              <w:shd w:val="clear" w:color="auto" w:fill="FFFFFF" w:themeFill="background1"/>
              <w:spacing w:after="0"/>
              <w:jc w:val="right"/>
              <w:rPr>
                <w:color w:val="auto"/>
                <w:sz w:val="20"/>
                <w:lang w:val="sr-Cyrl-CS"/>
              </w:rPr>
            </w:pPr>
            <w:r w:rsidRPr="00092ED7">
              <w:rPr>
                <w:color w:val="auto"/>
                <w:sz w:val="20"/>
                <w:lang w:val="sr-Cyrl-CS"/>
              </w:rPr>
              <w:t>38,7</w:t>
            </w:r>
          </w:p>
        </w:tc>
        <w:tc>
          <w:tcPr>
            <w:tcW w:w="581" w:type="pct"/>
            <w:shd w:val="clear" w:color="auto" w:fill="FFFFFF" w:themeFill="background1"/>
            <w:noWrap/>
          </w:tcPr>
          <w:p w14:paraId="6BE03413" w14:textId="77777777" w:rsidR="00576A4F" w:rsidRPr="00092ED7" w:rsidRDefault="00576A4F" w:rsidP="00A3670F">
            <w:pPr>
              <w:shd w:val="clear" w:color="auto" w:fill="FFFFFF" w:themeFill="background1"/>
              <w:spacing w:after="0"/>
              <w:jc w:val="right"/>
              <w:rPr>
                <w:color w:val="auto"/>
                <w:sz w:val="20"/>
                <w:lang w:val="sr-Cyrl-CS"/>
              </w:rPr>
            </w:pPr>
            <w:r w:rsidRPr="00092ED7">
              <w:rPr>
                <w:color w:val="auto"/>
                <w:sz w:val="20"/>
                <w:lang w:val="sr-Cyrl-CS"/>
              </w:rPr>
              <w:t>36,6</w:t>
            </w:r>
          </w:p>
        </w:tc>
        <w:tc>
          <w:tcPr>
            <w:tcW w:w="582" w:type="pct"/>
            <w:shd w:val="clear" w:color="auto" w:fill="FFFFFF" w:themeFill="background1"/>
            <w:noWrap/>
          </w:tcPr>
          <w:p w14:paraId="133AA25C" w14:textId="77777777" w:rsidR="00576A4F" w:rsidRPr="00092ED7" w:rsidRDefault="00576A4F" w:rsidP="00A3670F">
            <w:pPr>
              <w:shd w:val="clear" w:color="auto" w:fill="FFFFFF" w:themeFill="background1"/>
              <w:spacing w:after="0"/>
              <w:jc w:val="right"/>
              <w:rPr>
                <w:color w:val="auto"/>
                <w:sz w:val="20"/>
                <w:lang w:val="sr-Cyrl-CS"/>
              </w:rPr>
            </w:pPr>
            <w:r w:rsidRPr="00092ED7">
              <w:rPr>
                <w:color w:val="auto"/>
                <w:sz w:val="20"/>
                <w:lang w:val="sr-Cyrl-CS"/>
              </w:rPr>
              <w:t>36,4</w:t>
            </w:r>
          </w:p>
        </w:tc>
        <w:tc>
          <w:tcPr>
            <w:tcW w:w="582" w:type="pct"/>
            <w:shd w:val="clear" w:color="auto" w:fill="FFFFFF" w:themeFill="background1"/>
            <w:noWrap/>
          </w:tcPr>
          <w:p w14:paraId="4B7354CD" w14:textId="77777777" w:rsidR="00576A4F" w:rsidRPr="00092ED7" w:rsidRDefault="00576A4F" w:rsidP="00A3670F">
            <w:pPr>
              <w:shd w:val="clear" w:color="auto" w:fill="FFFFFF" w:themeFill="background1"/>
              <w:spacing w:after="0"/>
              <w:jc w:val="right"/>
              <w:rPr>
                <w:color w:val="auto"/>
                <w:sz w:val="20"/>
                <w:lang w:val="sr-Cyrl-CS"/>
              </w:rPr>
            </w:pPr>
            <w:r w:rsidRPr="00092ED7">
              <w:rPr>
                <w:color w:val="auto"/>
                <w:sz w:val="20"/>
                <w:lang w:val="sr-Cyrl-CS"/>
              </w:rPr>
              <w:t>35,8</w:t>
            </w:r>
          </w:p>
        </w:tc>
      </w:tr>
      <w:tr w:rsidR="00A3670F" w:rsidRPr="00092ED7" w14:paraId="1C0568AE" w14:textId="77777777" w:rsidTr="00A3670F">
        <w:trPr>
          <w:cnfStyle w:val="000000100000" w:firstRow="0" w:lastRow="0" w:firstColumn="0" w:lastColumn="0" w:oddVBand="0" w:evenVBand="0" w:oddHBand="1" w:evenHBand="0" w:firstRowFirstColumn="0" w:firstRowLastColumn="0" w:lastRowFirstColumn="0" w:lastRowLastColumn="0"/>
          <w:trHeight w:val="253"/>
        </w:trPr>
        <w:tc>
          <w:tcPr>
            <w:tcW w:w="2044" w:type="pct"/>
            <w:tcBorders>
              <w:left w:val="none" w:sz="0" w:space="0" w:color="auto"/>
              <w:right w:val="none" w:sz="0" w:space="0" w:color="auto"/>
            </w:tcBorders>
            <w:shd w:val="clear" w:color="auto" w:fill="FFFFFF" w:themeFill="background1"/>
          </w:tcPr>
          <w:p w14:paraId="7E720085" w14:textId="77777777" w:rsidR="00576A4F" w:rsidRPr="00092ED7" w:rsidRDefault="00576A4F" w:rsidP="00A3670F">
            <w:pPr>
              <w:spacing w:after="0"/>
              <w:rPr>
                <w:rFonts w:eastAsia="Times New Roman"/>
                <w:color w:val="auto"/>
                <w:sz w:val="20"/>
                <w:lang w:val="sr-Cyrl-CS"/>
              </w:rPr>
            </w:pPr>
            <w:r w:rsidRPr="00092ED7">
              <w:rPr>
                <w:rFonts w:eastAsia="Times New Roman"/>
                <w:color w:val="auto"/>
                <w:sz w:val="20"/>
                <w:lang w:val="sr-Cyrl-CS"/>
              </w:rPr>
              <w:t>Порез на доходак грађана</w:t>
            </w:r>
          </w:p>
        </w:tc>
        <w:tc>
          <w:tcPr>
            <w:tcW w:w="605" w:type="pct"/>
            <w:tcBorders>
              <w:left w:val="none" w:sz="0" w:space="0" w:color="auto"/>
              <w:right w:val="none" w:sz="0" w:space="0" w:color="auto"/>
            </w:tcBorders>
            <w:shd w:val="clear" w:color="auto" w:fill="FFFFFF" w:themeFill="background1"/>
          </w:tcPr>
          <w:p w14:paraId="768AD869" w14:textId="77777777" w:rsidR="00576A4F" w:rsidRPr="00092ED7" w:rsidRDefault="00576A4F" w:rsidP="00A3670F">
            <w:pPr>
              <w:shd w:val="clear" w:color="auto" w:fill="FFFFFF" w:themeFill="background1"/>
              <w:spacing w:after="0"/>
              <w:jc w:val="right"/>
              <w:rPr>
                <w:color w:val="auto"/>
                <w:sz w:val="20"/>
                <w:lang w:val="sr-Cyrl-CS"/>
              </w:rPr>
            </w:pPr>
            <w:r w:rsidRPr="00092ED7">
              <w:rPr>
                <w:color w:val="auto"/>
                <w:sz w:val="20"/>
                <w:lang w:val="sr-Cyrl-CS"/>
              </w:rPr>
              <w:t>4,1</w:t>
            </w:r>
          </w:p>
        </w:tc>
        <w:tc>
          <w:tcPr>
            <w:tcW w:w="606" w:type="pct"/>
            <w:tcBorders>
              <w:left w:val="none" w:sz="0" w:space="0" w:color="auto"/>
              <w:right w:val="none" w:sz="0" w:space="0" w:color="auto"/>
            </w:tcBorders>
            <w:shd w:val="clear" w:color="auto" w:fill="FFFFFF" w:themeFill="background1"/>
            <w:noWrap/>
          </w:tcPr>
          <w:p w14:paraId="479D3C24" w14:textId="77777777" w:rsidR="00576A4F" w:rsidRPr="00092ED7" w:rsidRDefault="00576A4F" w:rsidP="00A3670F">
            <w:pPr>
              <w:shd w:val="clear" w:color="auto" w:fill="FFFFFF" w:themeFill="background1"/>
              <w:spacing w:after="0"/>
              <w:jc w:val="right"/>
              <w:rPr>
                <w:color w:val="auto"/>
                <w:sz w:val="20"/>
                <w:lang w:val="sr-Cyrl-CS"/>
              </w:rPr>
            </w:pPr>
            <w:r w:rsidRPr="00092ED7">
              <w:rPr>
                <w:color w:val="auto"/>
                <w:sz w:val="20"/>
                <w:lang w:val="sr-Cyrl-CS"/>
              </w:rPr>
              <w:t>4,2</w:t>
            </w:r>
          </w:p>
        </w:tc>
        <w:tc>
          <w:tcPr>
            <w:tcW w:w="581" w:type="pct"/>
            <w:tcBorders>
              <w:left w:val="none" w:sz="0" w:space="0" w:color="auto"/>
              <w:right w:val="none" w:sz="0" w:space="0" w:color="auto"/>
            </w:tcBorders>
            <w:shd w:val="clear" w:color="auto" w:fill="FFFFFF" w:themeFill="background1"/>
            <w:noWrap/>
          </w:tcPr>
          <w:p w14:paraId="7618FEA0" w14:textId="77777777" w:rsidR="00576A4F" w:rsidRPr="00092ED7" w:rsidRDefault="00576A4F" w:rsidP="00A3670F">
            <w:pPr>
              <w:shd w:val="clear" w:color="auto" w:fill="FFFFFF" w:themeFill="background1"/>
              <w:spacing w:after="0"/>
              <w:jc w:val="right"/>
              <w:rPr>
                <w:color w:val="auto"/>
                <w:sz w:val="20"/>
                <w:lang w:val="sr-Cyrl-CS"/>
              </w:rPr>
            </w:pPr>
            <w:r w:rsidRPr="00092ED7">
              <w:rPr>
                <w:color w:val="auto"/>
                <w:sz w:val="20"/>
                <w:lang w:val="sr-Cyrl-CS"/>
              </w:rPr>
              <w:t>4,1</w:t>
            </w:r>
          </w:p>
        </w:tc>
        <w:tc>
          <w:tcPr>
            <w:tcW w:w="582" w:type="pct"/>
            <w:tcBorders>
              <w:left w:val="none" w:sz="0" w:space="0" w:color="auto"/>
              <w:right w:val="none" w:sz="0" w:space="0" w:color="auto"/>
            </w:tcBorders>
            <w:shd w:val="clear" w:color="auto" w:fill="FFFFFF" w:themeFill="background1"/>
            <w:noWrap/>
          </w:tcPr>
          <w:p w14:paraId="37ED4041" w14:textId="77777777" w:rsidR="00576A4F" w:rsidRPr="00092ED7" w:rsidRDefault="00576A4F" w:rsidP="00A3670F">
            <w:pPr>
              <w:shd w:val="clear" w:color="auto" w:fill="FFFFFF" w:themeFill="background1"/>
              <w:spacing w:after="0"/>
              <w:jc w:val="right"/>
              <w:rPr>
                <w:color w:val="auto"/>
                <w:sz w:val="20"/>
                <w:lang w:val="sr-Cyrl-CS"/>
              </w:rPr>
            </w:pPr>
            <w:r w:rsidRPr="00092ED7">
              <w:rPr>
                <w:color w:val="auto"/>
                <w:sz w:val="20"/>
                <w:lang w:val="sr-Cyrl-CS"/>
              </w:rPr>
              <w:t>4,0</w:t>
            </w:r>
          </w:p>
        </w:tc>
        <w:tc>
          <w:tcPr>
            <w:tcW w:w="582" w:type="pct"/>
            <w:tcBorders>
              <w:left w:val="none" w:sz="0" w:space="0" w:color="auto"/>
              <w:right w:val="none" w:sz="0" w:space="0" w:color="auto"/>
            </w:tcBorders>
            <w:shd w:val="clear" w:color="auto" w:fill="FFFFFF" w:themeFill="background1"/>
            <w:noWrap/>
          </w:tcPr>
          <w:p w14:paraId="23C6C878" w14:textId="77777777" w:rsidR="00576A4F" w:rsidRPr="00092ED7" w:rsidRDefault="00576A4F" w:rsidP="00A3670F">
            <w:pPr>
              <w:shd w:val="clear" w:color="auto" w:fill="FFFFFF" w:themeFill="background1"/>
              <w:spacing w:after="0"/>
              <w:jc w:val="right"/>
              <w:rPr>
                <w:color w:val="auto"/>
                <w:sz w:val="20"/>
                <w:lang w:val="sr-Cyrl-CS"/>
              </w:rPr>
            </w:pPr>
            <w:r w:rsidRPr="00092ED7">
              <w:rPr>
                <w:color w:val="auto"/>
                <w:sz w:val="20"/>
                <w:lang w:val="sr-Cyrl-CS"/>
              </w:rPr>
              <w:t>4,0</w:t>
            </w:r>
          </w:p>
        </w:tc>
      </w:tr>
      <w:tr w:rsidR="00A3670F" w:rsidRPr="00092ED7" w14:paraId="1EA29CD0" w14:textId="77777777" w:rsidTr="00A3670F">
        <w:trPr>
          <w:trHeight w:val="253"/>
        </w:trPr>
        <w:tc>
          <w:tcPr>
            <w:tcW w:w="2044" w:type="pct"/>
            <w:shd w:val="clear" w:color="auto" w:fill="FFFFFF" w:themeFill="background1"/>
          </w:tcPr>
          <w:p w14:paraId="168DA0D2" w14:textId="77777777" w:rsidR="00576A4F" w:rsidRPr="00092ED7" w:rsidRDefault="00576A4F" w:rsidP="00A3670F">
            <w:pPr>
              <w:spacing w:after="0"/>
              <w:rPr>
                <w:rFonts w:eastAsia="Times New Roman"/>
                <w:color w:val="auto"/>
                <w:sz w:val="20"/>
                <w:lang w:val="sr-Cyrl-CS"/>
              </w:rPr>
            </w:pPr>
            <w:r w:rsidRPr="00092ED7">
              <w:rPr>
                <w:rFonts w:eastAsia="Times New Roman"/>
                <w:color w:val="auto"/>
                <w:sz w:val="20"/>
                <w:lang w:val="sr-Cyrl-CS"/>
              </w:rPr>
              <w:t>Порез на добит правних лица</w:t>
            </w:r>
          </w:p>
        </w:tc>
        <w:tc>
          <w:tcPr>
            <w:tcW w:w="605" w:type="pct"/>
            <w:shd w:val="clear" w:color="auto" w:fill="FFFFFF" w:themeFill="background1"/>
          </w:tcPr>
          <w:p w14:paraId="525F6850" w14:textId="77777777" w:rsidR="00576A4F" w:rsidRPr="00092ED7" w:rsidRDefault="00576A4F" w:rsidP="00A3670F">
            <w:pPr>
              <w:shd w:val="clear" w:color="auto" w:fill="FFFFFF" w:themeFill="background1"/>
              <w:spacing w:after="0"/>
              <w:jc w:val="right"/>
              <w:rPr>
                <w:color w:val="auto"/>
                <w:sz w:val="20"/>
                <w:lang w:val="sr-Cyrl-CS"/>
              </w:rPr>
            </w:pPr>
            <w:r w:rsidRPr="00092ED7">
              <w:rPr>
                <w:color w:val="auto"/>
                <w:sz w:val="20"/>
                <w:lang w:val="sr-Cyrl-CS"/>
              </w:rPr>
              <w:t>2,5</w:t>
            </w:r>
          </w:p>
        </w:tc>
        <w:tc>
          <w:tcPr>
            <w:tcW w:w="606" w:type="pct"/>
            <w:shd w:val="clear" w:color="auto" w:fill="FFFFFF" w:themeFill="background1"/>
            <w:noWrap/>
          </w:tcPr>
          <w:p w14:paraId="31319E9A" w14:textId="77777777" w:rsidR="00576A4F" w:rsidRPr="00092ED7" w:rsidRDefault="00576A4F" w:rsidP="00A3670F">
            <w:pPr>
              <w:shd w:val="clear" w:color="auto" w:fill="FFFFFF" w:themeFill="background1"/>
              <w:spacing w:after="0"/>
              <w:jc w:val="right"/>
              <w:rPr>
                <w:color w:val="auto"/>
                <w:sz w:val="20"/>
                <w:lang w:val="sr-Cyrl-CS"/>
              </w:rPr>
            </w:pPr>
            <w:r w:rsidRPr="00092ED7">
              <w:rPr>
                <w:color w:val="auto"/>
                <w:sz w:val="20"/>
                <w:lang w:val="sr-Cyrl-CS"/>
              </w:rPr>
              <w:t>2,9</w:t>
            </w:r>
          </w:p>
        </w:tc>
        <w:tc>
          <w:tcPr>
            <w:tcW w:w="581" w:type="pct"/>
            <w:shd w:val="clear" w:color="auto" w:fill="FFFFFF" w:themeFill="background1"/>
            <w:noWrap/>
          </w:tcPr>
          <w:p w14:paraId="579E561B" w14:textId="77777777" w:rsidR="00576A4F" w:rsidRPr="00092ED7" w:rsidRDefault="00576A4F" w:rsidP="00A3670F">
            <w:pPr>
              <w:shd w:val="clear" w:color="auto" w:fill="FFFFFF" w:themeFill="background1"/>
              <w:spacing w:after="0"/>
              <w:jc w:val="right"/>
              <w:rPr>
                <w:color w:val="auto"/>
                <w:sz w:val="20"/>
                <w:lang w:val="sr-Cyrl-CS"/>
              </w:rPr>
            </w:pPr>
            <w:r w:rsidRPr="00092ED7">
              <w:rPr>
                <w:color w:val="auto"/>
                <w:sz w:val="20"/>
                <w:lang w:val="sr-Cyrl-CS"/>
              </w:rPr>
              <w:t>2,6</w:t>
            </w:r>
          </w:p>
        </w:tc>
        <w:tc>
          <w:tcPr>
            <w:tcW w:w="582" w:type="pct"/>
            <w:shd w:val="clear" w:color="auto" w:fill="FFFFFF" w:themeFill="background1"/>
            <w:noWrap/>
          </w:tcPr>
          <w:p w14:paraId="705A33AE" w14:textId="77777777" w:rsidR="00576A4F" w:rsidRPr="00092ED7" w:rsidRDefault="00576A4F" w:rsidP="00A3670F">
            <w:pPr>
              <w:shd w:val="clear" w:color="auto" w:fill="FFFFFF" w:themeFill="background1"/>
              <w:spacing w:after="0"/>
              <w:jc w:val="right"/>
              <w:rPr>
                <w:color w:val="auto"/>
                <w:sz w:val="20"/>
                <w:lang w:val="sr-Cyrl-CS"/>
              </w:rPr>
            </w:pPr>
            <w:r w:rsidRPr="00092ED7">
              <w:rPr>
                <w:color w:val="auto"/>
                <w:sz w:val="20"/>
                <w:lang w:val="sr-Cyrl-CS"/>
              </w:rPr>
              <w:t>2,5</w:t>
            </w:r>
          </w:p>
        </w:tc>
        <w:tc>
          <w:tcPr>
            <w:tcW w:w="582" w:type="pct"/>
            <w:shd w:val="clear" w:color="auto" w:fill="FFFFFF" w:themeFill="background1"/>
            <w:noWrap/>
          </w:tcPr>
          <w:p w14:paraId="4F7D8D4D" w14:textId="77777777" w:rsidR="00576A4F" w:rsidRPr="00092ED7" w:rsidRDefault="00576A4F" w:rsidP="00A3670F">
            <w:pPr>
              <w:shd w:val="clear" w:color="auto" w:fill="FFFFFF" w:themeFill="background1"/>
              <w:spacing w:after="0"/>
              <w:jc w:val="right"/>
              <w:rPr>
                <w:color w:val="auto"/>
                <w:sz w:val="20"/>
                <w:lang w:val="sr-Cyrl-CS"/>
              </w:rPr>
            </w:pPr>
            <w:r w:rsidRPr="00092ED7">
              <w:rPr>
                <w:color w:val="auto"/>
                <w:sz w:val="20"/>
                <w:lang w:val="sr-Cyrl-CS"/>
              </w:rPr>
              <w:t>2,4</w:t>
            </w:r>
          </w:p>
        </w:tc>
      </w:tr>
      <w:tr w:rsidR="00A3670F" w:rsidRPr="00092ED7" w14:paraId="084D5786" w14:textId="77777777" w:rsidTr="00A3670F">
        <w:trPr>
          <w:cnfStyle w:val="000000100000" w:firstRow="0" w:lastRow="0" w:firstColumn="0" w:lastColumn="0" w:oddVBand="0" w:evenVBand="0" w:oddHBand="1" w:evenHBand="0" w:firstRowFirstColumn="0" w:firstRowLastColumn="0" w:lastRowFirstColumn="0" w:lastRowLastColumn="0"/>
          <w:trHeight w:val="253"/>
        </w:trPr>
        <w:tc>
          <w:tcPr>
            <w:tcW w:w="2044" w:type="pct"/>
            <w:tcBorders>
              <w:left w:val="none" w:sz="0" w:space="0" w:color="auto"/>
              <w:right w:val="none" w:sz="0" w:space="0" w:color="auto"/>
            </w:tcBorders>
            <w:shd w:val="clear" w:color="auto" w:fill="FFFFFF" w:themeFill="background1"/>
          </w:tcPr>
          <w:p w14:paraId="5F66A93C" w14:textId="77777777" w:rsidR="00576A4F" w:rsidRPr="00092ED7" w:rsidRDefault="00576A4F" w:rsidP="00A3670F">
            <w:pPr>
              <w:spacing w:after="0"/>
              <w:rPr>
                <w:rFonts w:eastAsia="Times New Roman"/>
                <w:color w:val="auto"/>
                <w:sz w:val="20"/>
                <w:lang w:val="sr-Cyrl-CS"/>
              </w:rPr>
            </w:pPr>
            <w:r w:rsidRPr="00092ED7">
              <w:rPr>
                <w:rFonts w:eastAsia="Times New Roman"/>
                <w:color w:val="auto"/>
                <w:sz w:val="20"/>
                <w:lang w:val="sr-Cyrl-CS"/>
              </w:rPr>
              <w:t>ПДВ</w:t>
            </w:r>
          </w:p>
        </w:tc>
        <w:tc>
          <w:tcPr>
            <w:tcW w:w="605" w:type="pct"/>
            <w:tcBorders>
              <w:left w:val="none" w:sz="0" w:space="0" w:color="auto"/>
              <w:right w:val="none" w:sz="0" w:space="0" w:color="auto"/>
            </w:tcBorders>
            <w:shd w:val="clear" w:color="auto" w:fill="FFFFFF" w:themeFill="background1"/>
          </w:tcPr>
          <w:p w14:paraId="00773C31" w14:textId="77777777" w:rsidR="00576A4F" w:rsidRPr="00092ED7" w:rsidRDefault="00576A4F" w:rsidP="00A3670F">
            <w:pPr>
              <w:shd w:val="clear" w:color="auto" w:fill="FFFFFF" w:themeFill="background1"/>
              <w:spacing w:after="0"/>
              <w:jc w:val="right"/>
              <w:rPr>
                <w:color w:val="auto"/>
                <w:sz w:val="20"/>
                <w:lang w:val="sr-Cyrl-CS"/>
              </w:rPr>
            </w:pPr>
            <w:r w:rsidRPr="00092ED7">
              <w:rPr>
                <w:color w:val="auto"/>
                <w:sz w:val="20"/>
                <w:lang w:val="sr-Cyrl-CS"/>
              </w:rPr>
              <w:t>10,5</w:t>
            </w:r>
          </w:p>
        </w:tc>
        <w:tc>
          <w:tcPr>
            <w:tcW w:w="606" w:type="pct"/>
            <w:tcBorders>
              <w:left w:val="none" w:sz="0" w:space="0" w:color="auto"/>
              <w:right w:val="none" w:sz="0" w:space="0" w:color="auto"/>
            </w:tcBorders>
            <w:shd w:val="clear" w:color="auto" w:fill="FFFFFF" w:themeFill="background1"/>
            <w:noWrap/>
          </w:tcPr>
          <w:p w14:paraId="794CCBA9" w14:textId="77777777" w:rsidR="00576A4F" w:rsidRPr="00092ED7" w:rsidRDefault="00576A4F" w:rsidP="00A3670F">
            <w:pPr>
              <w:shd w:val="clear" w:color="auto" w:fill="FFFFFF" w:themeFill="background1"/>
              <w:spacing w:after="0"/>
              <w:jc w:val="right"/>
              <w:rPr>
                <w:color w:val="auto"/>
                <w:sz w:val="20"/>
                <w:lang w:val="sr-Cyrl-CS"/>
              </w:rPr>
            </w:pPr>
            <w:r w:rsidRPr="00092ED7">
              <w:rPr>
                <w:color w:val="auto"/>
                <w:sz w:val="20"/>
                <w:lang w:val="sr-Cyrl-CS"/>
              </w:rPr>
              <w:t>11,0</w:t>
            </w:r>
          </w:p>
        </w:tc>
        <w:tc>
          <w:tcPr>
            <w:tcW w:w="581" w:type="pct"/>
            <w:tcBorders>
              <w:left w:val="none" w:sz="0" w:space="0" w:color="auto"/>
              <w:right w:val="none" w:sz="0" w:space="0" w:color="auto"/>
            </w:tcBorders>
            <w:shd w:val="clear" w:color="auto" w:fill="FFFFFF" w:themeFill="background1"/>
            <w:noWrap/>
          </w:tcPr>
          <w:p w14:paraId="122E0484" w14:textId="77777777" w:rsidR="00576A4F" w:rsidRPr="00092ED7" w:rsidRDefault="00576A4F" w:rsidP="00A3670F">
            <w:pPr>
              <w:shd w:val="clear" w:color="auto" w:fill="FFFFFF" w:themeFill="background1"/>
              <w:spacing w:after="0"/>
              <w:jc w:val="right"/>
              <w:rPr>
                <w:color w:val="auto"/>
                <w:sz w:val="20"/>
                <w:lang w:val="sr-Cyrl-CS"/>
              </w:rPr>
            </w:pPr>
            <w:r w:rsidRPr="00092ED7">
              <w:rPr>
                <w:color w:val="auto"/>
                <w:sz w:val="20"/>
                <w:lang w:val="sr-Cyrl-CS"/>
              </w:rPr>
              <w:t>10,8</w:t>
            </w:r>
          </w:p>
        </w:tc>
        <w:tc>
          <w:tcPr>
            <w:tcW w:w="582" w:type="pct"/>
            <w:tcBorders>
              <w:left w:val="none" w:sz="0" w:space="0" w:color="auto"/>
              <w:right w:val="none" w:sz="0" w:space="0" w:color="auto"/>
            </w:tcBorders>
            <w:shd w:val="clear" w:color="auto" w:fill="FFFFFF" w:themeFill="background1"/>
            <w:noWrap/>
          </w:tcPr>
          <w:p w14:paraId="0A6FED2F" w14:textId="77777777" w:rsidR="00576A4F" w:rsidRPr="00092ED7" w:rsidRDefault="00576A4F" w:rsidP="00A3670F">
            <w:pPr>
              <w:shd w:val="clear" w:color="auto" w:fill="FFFFFF" w:themeFill="background1"/>
              <w:spacing w:after="0"/>
              <w:jc w:val="right"/>
              <w:rPr>
                <w:color w:val="auto"/>
                <w:sz w:val="20"/>
                <w:lang w:val="sr-Cyrl-CS"/>
              </w:rPr>
            </w:pPr>
            <w:r w:rsidRPr="00092ED7">
              <w:rPr>
                <w:color w:val="auto"/>
                <w:sz w:val="20"/>
                <w:lang w:val="sr-Cyrl-CS"/>
              </w:rPr>
              <w:t>10,8</w:t>
            </w:r>
          </w:p>
        </w:tc>
        <w:tc>
          <w:tcPr>
            <w:tcW w:w="582" w:type="pct"/>
            <w:tcBorders>
              <w:left w:val="none" w:sz="0" w:space="0" w:color="auto"/>
              <w:right w:val="none" w:sz="0" w:space="0" w:color="auto"/>
            </w:tcBorders>
            <w:shd w:val="clear" w:color="auto" w:fill="FFFFFF" w:themeFill="background1"/>
            <w:noWrap/>
          </w:tcPr>
          <w:p w14:paraId="02EAE484" w14:textId="77777777" w:rsidR="00576A4F" w:rsidRPr="00092ED7" w:rsidRDefault="00576A4F" w:rsidP="00A3670F">
            <w:pPr>
              <w:shd w:val="clear" w:color="auto" w:fill="FFFFFF" w:themeFill="background1"/>
              <w:spacing w:after="0"/>
              <w:jc w:val="right"/>
              <w:rPr>
                <w:color w:val="auto"/>
                <w:sz w:val="20"/>
                <w:lang w:val="sr-Cyrl-CS"/>
              </w:rPr>
            </w:pPr>
            <w:r w:rsidRPr="00092ED7">
              <w:rPr>
                <w:color w:val="auto"/>
                <w:sz w:val="20"/>
                <w:lang w:val="sr-Cyrl-CS"/>
              </w:rPr>
              <w:t>10,7</w:t>
            </w:r>
          </w:p>
        </w:tc>
      </w:tr>
      <w:tr w:rsidR="00A3670F" w:rsidRPr="00092ED7" w14:paraId="2C2DDDCE" w14:textId="77777777" w:rsidTr="00A3670F">
        <w:trPr>
          <w:trHeight w:val="253"/>
        </w:trPr>
        <w:tc>
          <w:tcPr>
            <w:tcW w:w="2044" w:type="pct"/>
            <w:shd w:val="clear" w:color="auto" w:fill="FFFFFF" w:themeFill="background1"/>
          </w:tcPr>
          <w:p w14:paraId="1A2372AC" w14:textId="77777777" w:rsidR="00576A4F" w:rsidRPr="00092ED7" w:rsidRDefault="00576A4F" w:rsidP="00A3670F">
            <w:pPr>
              <w:spacing w:after="0"/>
              <w:rPr>
                <w:rFonts w:eastAsia="Times New Roman"/>
                <w:color w:val="auto"/>
                <w:sz w:val="20"/>
                <w:lang w:val="sr-Cyrl-CS"/>
              </w:rPr>
            </w:pPr>
            <w:r w:rsidRPr="00092ED7">
              <w:rPr>
                <w:rFonts w:eastAsia="Times New Roman"/>
                <w:color w:val="auto"/>
                <w:sz w:val="20"/>
                <w:lang w:val="sr-Cyrl-CS"/>
              </w:rPr>
              <w:t>Акцизе</w:t>
            </w:r>
          </w:p>
        </w:tc>
        <w:tc>
          <w:tcPr>
            <w:tcW w:w="605" w:type="pct"/>
            <w:shd w:val="clear" w:color="auto" w:fill="FFFFFF" w:themeFill="background1"/>
          </w:tcPr>
          <w:p w14:paraId="5CF2E36D" w14:textId="77777777" w:rsidR="00576A4F" w:rsidRPr="00092ED7" w:rsidRDefault="00576A4F" w:rsidP="00A3670F">
            <w:pPr>
              <w:shd w:val="clear" w:color="auto" w:fill="FFFFFF" w:themeFill="background1"/>
              <w:spacing w:after="0"/>
              <w:jc w:val="right"/>
              <w:rPr>
                <w:color w:val="auto"/>
                <w:sz w:val="20"/>
                <w:lang w:val="sr-Cyrl-CS"/>
              </w:rPr>
            </w:pPr>
            <w:r w:rsidRPr="00092ED7">
              <w:rPr>
                <w:color w:val="auto"/>
                <w:sz w:val="20"/>
                <w:lang w:val="sr-Cyrl-CS"/>
              </w:rPr>
              <w:t>5,3</w:t>
            </w:r>
          </w:p>
        </w:tc>
        <w:tc>
          <w:tcPr>
            <w:tcW w:w="606" w:type="pct"/>
            <w:shd w:val="clear" w:color="auto" w:fill="FFFFFF" w:themeFill="background1"/>
            <w:noWrap/>
          </w:tcPr>
          <w:p w14:paraId="6D0BAAF8" w14:textId="77777777" w:rsidR="00576A4F" w:rsidRPr="00092ED7" w:rsidRDefault="00576A4F" w:rsidP="00A3670F">
            <w:pPr>
              <w:shd w:val="clear" w:color="auto" w:fill="FFFFFF" w:themeFill="background1"/>
              <w:spacing w:after="0"/>
              <w:jc w:val="right"/>
              <w:rPr>
                <w:color w:val="auto"/>
                <w:sz w:val="20"/>
                <w:lang w:val="sr-Cyrl-CS"/>
              </w:rPr>
            </w:pPr>
            <w:r w:rsidRPr="00092ED7">
              <w:rPr>
                <w:color w:val="auto"/>
                <w:sz w:val="20"/>
                <w:lang w:val="sr-Cyrl-CS"/>
              </w:rPr>
              <w:t>4,8</w:t>
            </w:r>
          </w:p>
        </w:tc>
        <w:tc>
          <w:tcPr>
            <w:tcW w:w="581" w:type="pct"/>
            <w:shd w:val="clear" w:color="auto" w:fill="FFFFFF" w:themeFill="background1"/>
            <w:noWrap/>
          </w:tcPr>
          <w:p w14:paraId="73AAD07F" w14:textId="77777777" w:rsidR="00576A4F" w:rsidRPr="00092ED7" w:rsidRDefault="00576A4F" w:rsidP="00A3670F">
            <w:pPr>
              <w:shd w:val="clear" w:color="auto" w:fill="FFFFFF" w:themeFill="background1"/>
              <w:spacing w:after="0"/>
              <w:jc w:val="right"/>
              <w:rPr>
                <w:color w:val="auto"/>
                <w:sz w:val="20"/>
                <w:lang w:val="sr-Cyrl-CS"/>
              </w:rPr>
            </w:pPr>
            <w:r w:rsidRPr="00092ED7">
              <w:rPr>
                <w:color w:val="auto"/>
                <w:sz w:val="20"/>
                <w:lang w:val="sr-Cyrl-CS"/>
              </w:rPr>
              <w:t>4,1</w:t>
            </w:r>
          </w:p>
        </w:tc>
        <w:tc>
          <w:tcPr>
            <w:tcW w:w="582" w:type="pct"/>
            <w:shd w:val="clear" w:color="auto" w:fill="FFFFFF" w:themeFill="background1"/>
            <w:noWrap/>
          </w:tcPr>
          <w:p w14:paraId="7B0D8142" w14:textId="77777777" w:rsidR="00576A4F" w:rsidRPr="00092ED7" w:rsidRDefault="00576A4F" w:rsidP="00A3670F">
            <w:pPr>
              <w:shd w:val="clear" w:color="auto" w:fill="FFFFFF" w:themeFill="background1"/>
              <w:spacing w:after="0"/>
              <w:jc w:val="right"/>
              <w:rPr>
                <w:color w:val="auto"/>
                <w:sz w:val="20"/>
                <w:lang w:val="sr-Cyrl-CS"/>
              </w:rPr>
            </w:pPr>
            <w:r w:rsidRPr="00092ED7">
              <w:rPr>
                <w:color w:val="auto"/>
                <w:sz w:val="20"/>
                <w:lang w:val="sr-Cyrl-CS"/>
              </w:rPr>
              <w:t>4,2</w:t>
            </w:r>
          </w:p>
        </w:tc>
        <w:tc>
          <w:tcPr>
            <w:tcW w:w="582" w:type="pct"/>
            <w:shd w:val="clear" w:color="auto" w:fill="FFFFFF" w:themeFill="background1"/>
            <w:noWrap/>
          </w:tcPr>
          <w:p w14:paraId="5024BB2F" w14:textId="77777777" w:rsidR="00576A4F" w:rsidRPr="00092ED7" w:rsidRDefault="00576A4F" w:rsidP="00A3670F">
            <w:pPr>
              <w:shd w:val="clear" w:color="auto" w:fill="FFFFFF" w:themeFill="background1"/>
              <w:spacing w:after="0"/>
              <w:jc w:val="right"/>
              <w:rPr>
                <w:color w:val="auto"/>
                <w:sz w:val="20"/>
                <w:lang w:val="sr-Cyrl-CS"/>
              </w:rPr>
            </w:pPr>
            <w:r w:rsidRPr="00092ED7">
              <w:rPr>
                <w:color w:val="auto"/>
                <w:sz w:val="20"/>
                <w:lang w:val="sr-Cyrl-CS"/>
              </w:rPr>
              <w:t>4,0</w:t>
            </w:r>
          </w:p>
        </w:tc>
      </w:tr>
      <w:tr w:rsidR="00A3670F" w:rsidRPr="00092ED7" w14:paraId="47D0A6B1" w14:textId="77777777" w:rsidTr="00A3670F">
        <w:trPr>
          <w:cnfStyle w:val="000000100000" w:firstRow="0" w:lastRow="0" w:firstColumn="0" w:lastColumn="0" w:oddVBand="0" w:evenVBand="0" w:oddHBand="1" w:evenHBand="0" w:firstRowFirstColumn="0" w:firstRowLastColumn="0" w:lastRowFirstColumn="0" w:lastRowLastColumn="0"/>
          <w:trHeight w:val="253"/>
        </w:trPr>
        <w:tc>
          <w:tcPr>
            <w:tcW w:w="2044" w:type="pct"/>
            <w:tcBorders>
              <w:left w:val="none" w:sz="0" w:space="0" w:color="auto"/>
              <w:right w:val="none" w:sz="0" w:space="0" w:color="auto"/>
            </w:tcBorders>
            <w:shd w:val="clear" w:color="auto" w:fill="FFFFFF" w:themeFill="background1"/>
          </w:tcPr>
          <w:p w14:paraId="76A2F89B" w14:textId="77777777" w:rsidR="00576A4F" w:rsidRPr="00092ED7" w:rsidRDefault="00576A4F" w:rsidP="00A3670F">
            <w:pPr>
              <w:spacing w:after="0"/>
              <w:rPr>
                <w:rFonts w:eastAsia="Times New Roman"/>
                <w:color w:val="auto"/>
                <w:sz w:val="20"/>
                <w:lang w:val="sr-Cyrl-CS"/>
              </w:rPr>
            </w:pPr>
            <w:r w:rsidRPr="00092ED7">
              <w:rPr>
                <w:rFonts w:eastAsia="Times New Roman"/>
                <w:color w:val="auto"/>
                <w:sz w:val="20"/>
                <w:lang w:val="sr-Cyrl-CS"/>
              </w:rPr>
              <w:t>Царине</w:t>
            </w:r>
          </w:p>
        </w:tc>
        <w:tc>
          <w:tcPr>
            <w:tcW w:w="605" w:type="pct"/>
            <w:tcBorders>
              <w:left w:val="none" w:sz="0" w:space="0" w:color="auto"/>
              <w:right w:val="none" w:sz="0" w:space="0" w:color="auto"/>
            </w:tcBorders>
            <w:shd w:val="clear" w:color="auto" w:fill="FFFFFF" w:themeFill="background1"/>
          </w:tcPr>
          <w:p w14:paraId="65284B2A" w14:textId="77777777" w:rsidR="00576A4F" w:rsidRPr="00092ED7" w:rsidRDefault="00576A4F" w:rsidP="00A3670F">
            <w:pPr>
              <w:shd w:val="clear" w:color="auto" w:fill="FFFFFF" w:themeFill="background1"/>
              <w:spacing w:after="0"/>
              <w:jc w:val="right"/>
              <w:rPr>
                <w:color w:val="auto"/>
                <w:sz w:val="20"/>
                <w:lang w:val="sr-Cyrl-CS"/>
              </w:rPr>
            </w:pPr>
            <w:r w:rsidRPr="00092ED7">
              <w:rPr>
                <w:color w:val="auto"/>
                <w:sz w:val="20"/>
                <w:lang w:val="sr-Cyrl-CS"/>
              </w:rPr>
              <w:t>1,0</w:t>
            </w:r>
          </w:p>
        </w:tc>
        <w:tc>
          <w:tcPr>
            <w:tcW w:w="606" w:type="pct"/>
            <w:tcBorders>
              <w:left w:val="none" w:sz="0" w:space="0" w:color="auto"/>
              <w:right w:val="none" w:sz="0" w:space="0" w:color="auto"/>
            </w:tcBorders>
            <w:shd w:val="clear" w:color="auto" w:fill="FFFFFF" w:themeFill="background1"/>
            <w:noWrap/>
          </w:tcPr>
          <w:p w14:paraId="55D88A02" w14:textId="77777777" w:rsidR="00576A4F" w:rsidRPr="00092ED7" w:rsidRDefault="00576A4F" w:rsidP="00A3670F">
            <w:pPr>
              <w:shd w:val="clear" w:color="auto" w:fill="FFFFFF" w:themeFill="background1"/>
              <w:spacing w:after="0"/>
              <w:jc w:val="right"/>
              <w:rPr>
                <w:color w:val="auto"/>
                <w:sz w:val="20"/>
                <w:lang w:val="sr-Cyrl-CS"/>
              </w:rPr>
            </w:pPr>
            <w:r w:rsidRPr="00092ED7">
              <w:rPr>
                <w:color w:val="auto"/>
                <w:sz w:val="20"/>
                <w:lang w:val="sr-Cyrl-CS"/>
              </w:rPr>
              <w:t>1,1</w:t>
            </w:r>
          </w:p>
        </w:tc>
        <w:tc>
          <w:tcPr>
            <w:tcW w:w="581" w:type="pct"/>
            <w:tcBorders>
              <w:left w:val="none" w:sz="0" w:space="0" w:color="auto"/>
              <w:right w:val="none" w:sz="0" w:space="0" w:color="auto"/>
            </w:tcBorders>
            <w:shd w:val="clear" w:color="auto" w:fill="FFFFFF" w:themeFill="background1"/>
            <w:noWrap/>
          </w:tcPr>
          <w:p w14:paraId="6F336350" w14:textId="77777777" w:rsidR="00576A4F" w:rsidRPr="00092ED7" w:rsidRDefault="00576A4F" w:rsidP="00A3670F">
            <w:pPr>
              <w:shd w:val="clear" w:color="auto" w:fill="FFFFFF" w:themeFill="background1"/>
              <w:spacing w:after="0"/>
              <w:jc w:val="right"/>
              <w:rPr>
                <w:color w:val="auto"/>
                <w:sz w:val="20"/>
                <w:lang w:val="sr-Cyrl-CS"/>
              </w:rPr>
            </w:pPr>
            <w:r w:rsidRPr="00092ED7">
              <w:rPr>
                <w:color w:val="auto"/>
                <w:sz w:val="20"/>
                <w:lang w:val="sr-Cyrl-CS"/>
              </w:rPr>
              <w:t>1,1</w:t>
            </w:r>
          </w:p>
        </w:tc>
        <w:tc>
          <w:tcPr>
            <w:tcW w:w="582" w:type="pct"/>
            <w:tcBorders>
              <w:left w:val="none" w:sz="0" w:space="0" w:color="auto"/>
              <w:right w:val="none" w:sz="0" w:space="0" w:color="auto"/>
            </w:tcBorders>
            <w:shd w:val="clear" w:color="auto" w:fill="FFFFFF" w:themeFill="background1"/>
            <w:noWrap/>
          </w:tcPr>
          <w:p w14:paraId="2175E62E" w14:textId="77777777" w:rsidR="00576A4F" w:rsidRPr="00092ED7" w:rsidRDefault="00576A4F" w:rsidP="00A3670F">
            <w:pPr>
              <w:shd w:val="clear" w:color="auto" w:fill="FFFFFF" w:themeFill="background1"/>
              <w:spacing w:after="0"/>
              <w:jc w:val="right"/>
              <w:rPr>
                <w:color w:val="auto"/>
                <w:sz w:val="20"/>
                <w:lang w:val="sr-Cyrl-CS"/>
              </w:rPr>
            </w:pPr>
            <w:r w:rsidRPr="00092ED7">
              <w:rPr>
                <w:color w:val="auto"/>
                <w:sz w:val="20"/>
                <w:lang w:val="sr-Cyrl-CS"/>
              </w:rPr>
              <w:t>1,1</w:t>
            </w:r>
          </w:p>
        </w:tc>
        <w:tc>
          <w:tcPr>
            <w:tcW w:w="582" w:type="pct"/>
            <w:tcBorders>
              <w:left w:val="none" w:sz="0" w:space="0" w:color="auto"/>
              <w:right w:val="none" w:sz="0" w:space="0" w:color="auto"/>
            </w:tcBorders>
            <w:shd w:val="clear" w:color="auto" w:fill="FFFFFF" w:themeFill="background1"/>
            <w:noWrap/>
          </w:tcPr>
          <w:p w14:paraId="430C3EC3" w14:textId="77777777" w:rsidR="00576A4F" w:rsidRPr="00092ED7" w:rsidRDefault="00576A4F" w:rsidP="00A3670F">
            <w:pPr>
              <w:shd w:val="clear" w:color="auto" w:fill="FFFFFF" w:themeFill="background1"/>
              <w:spacing w:after="0"/>
              <w:jc w:val="right"/>
              <w:rPr>
                <w:color w:val="auto"/>
                <w:sz w:val="20"/>
                <w:lang w:val="sr-Cyrl-CS"/>
              </w:rPr>
            </w:pPr>
            <w:r w:rsidRPr="00092ED7">
              <w:rPr>
                <w:color w:val="auto"/>
                <w:sz w:val="20"/>
                <w:lang w:val="sr-Cyrl-CS"/>
              </w:rPr>
              <w:t>1,1</w:t>
            </w:r>
          </w:p>
        </w:tc>
      </w:tr>
      <w:tr w:rsidR="00A3670F" w:rsidRPr="00092ED7" w14:paraId="269DB64D" w14:textId="77777777" w:rsidTr="00A3670F">
        <w:trPr>
          <w:trHeight w:val="253"/>
        </w:trPr>
        <w:tc>
          <w:tcPr>
            <w:tcW w:w="2044" w:type="pct"/>
            <w:shd w:val="clear" w:color="auto" w:fill="FFFFFF" w:themeFill="background1"/>
          </w:tcPr>
          <w:p w14:paraId="2A97A4B3" w14:textId="77777777" w:rsidR="00576A4F" w:rsidRPr="00092ED7" w:rsidRDefault="00576A4F" w:rsidP="00A3670F">
            <w:pPr>
              <w:spacing w:after="0"/>
              <w:rPr>
                <w:rFonts w:eastAsia="Times New Roman"/>
                <w:color w:val="auto"/>
                <w:sz w:val="20"/>
                <w:lang w:val="sr-Cyrl-CS"/>
              </w:rPr>
            </w:pPr>
            <w:r w:rsidRPr="00092ED7">
              <w:rPr>
                <w:rFonts w:eastAsia="Times New Roman"/>
                <w:color w:val="auto"/>
                <w:sz w:val="20"/>
                <w:lang w:val="sr-Cyrl-CS"/>
              </w:rPr>
              <w:t>Остали порески приходи</w:t>
            </w:r>
          </w:p>
        </w:tc>
        <w:tc>
          <w:tcPr>
            <w:tcW w:w="605" w:type="pct"/>
            <w:shd w:val="clear" w:color="auto" w:fill="FFFFFF" w:themeFill="background1"/>
          </w:tcPr>
          <w:p w14:paraId="16963D0C" w14:textId="77777777" w:rsidR="00576A4F" w:rsidRPr="00092ED7" w:rsidRDefault="00576A4F" w:rsidP="00A3670F">
            <w:pPr>
              <w:shd w:val="clear" w:color="auto" w:fill="FFFFFF" w:themeFill="background1"/>
              <w:spacing w:after="0"/>
              <w:jc w:val="right"/>
              <w:rPr>
                <w:color w:val="auto"/>
                <w:sz w:val="20"/>
                <w:lang w:val="sr-Cyrl-CS"/>
              </w:rPr>
            </w:pPr>
            <w:r w:rsidRPr="00092ED7">
              <w:rPr>
                <w:color w:val="auto"/>
                <w:sz w:val="20"/>
                <w:lang w:val="sr-Cyrl-CS"/>
              </w:rPr>
              <w:t>1,5</w:t>
            </w:r>
          </w:p>
        </w:tc>
        <w:tc>
          <w:tcPr>
            <w:tcW w:w="606" w:type="pct"/>
            <w:shd w:val="clear" w:color="auto" w:fill="FFFFFF" w:themeFill="background1"/>
            <w:noWrap/>
          </w:tcPr>
          <w:p w14:paraId="1CB0BCEB" w14:textId="77777777" w:rsidR="00576A4F" w:rsidRPr="00092ED7" w:rsidRDefault="00576A4F" w:rsidP="00A3670F">
            <w:pPr>
              <w:shd w:val="clear" w:color="auto" w:fill="FFFFFF" w:themeFill="background1"/>
              <w:spacing w:after="0"/>
              <w:jc w:val="right"/>
              <w:rPr>
                <w:color w:val="auto"/>
                <w:sz w:val="20"/>
                <w:lang w:val="sr-Cyrl-CS"/>
              </w:rPr>
            </w:pPr>
            <w:r w:rsidRPr="00092ED7">
              <w:rPr>
                <w:color w:val="auto"/>
                <w:sz w:val="20"/>
                <w:lang w:val="sr-Cyrl-CS"/>
              </w:rPr>
              <w:t>1,4</w:t>
            </w:r>
          </w:p>
        </w:tc>
        <w:tc>
          <w:tcPr>
            <w:tcW w:w="581" w:type="pct"/>
            <w:shd w:val="clear" w:color="auto" w:fill="FFFFFF" w:themeFill="background1"/>
            <w:noWrap/>
          </w:tcPr>
          <w:p w14:paraId="434C48C1" w14:textId="77777777" w:rsidR="00576A4F" w:rsidRPr="00092ED7" w:rsidRDefault="00576A4F" w:rsidP="00A3670F">
            <w:pPr>
              <w:shd w:val="clear" w:color="auto" w:fill="FFFFFF" w:themeFill="background1"/>
              <w:spacing w:after="0"/>
              <w:jc w:val="right"/>
              <w:rPr>
                <w:color w:val="auto"/>
                <w:sz w:val="20"/>
                <w:lang w:val="sr-Cyrl-CS"/>
              </w:rPr>
            </w:pPr>
            <w:r w:rsidRPr="00092ED7">
              <w:rPr>
                <w:color w:val="auto"/>
                <w:sz w:val="20"/>
                <w:lang w:val="sr-Cyrl-CS"/>
              </w:rPr>
              <w:t>1,3</w:t>
            </w:r>
          </w:p>
        </w:tc>
        <w:tc>
          <w:tcPr>
            <w:tcW w:w="582" w:type="pct"/>
            <w:shd w:val="clear" w:color="auto" w:fill="FFFFFF" w:themeFill="background1"/>
            <w:noWrap/>
          </w:tcPr>
          <w:p w14:paraId="608FF598" w14:textId="77777777" w:rsidR="00576A4F" w:rsidRPr="00092ED7" w:rsidRDefault="00576A4F" w:rsidP="00A3670F">
            <w:pPr>
              <w:shd w:val="clear" w:color="auto" w:fill="FFFFFF" w:themeFill="background1"/>
              <w:spacing w:after="0"/>
              <w:jc w:val="right"/>
              <w:rPr>
                <w:color w:val="auto"/>
                <w:sz w:val="20"/>
                <w:lang w:val="sr-Cyrl-CS"/>
              </w:rPr>
            </w:pPr>
            <w:r w:rsidRPr="00092ED7">
              <w:rPr>
                <w:color w:val="auto"/>
                <w:sz w:val="20"/>
                <w:lang w:val="sr-Cyrl-CS"/>
              </w:rPr>
              <w:t>1,3</w:t>
            </w:r>
          </w:p>
        </w:tc>
        <w:tc>
          <w:tcPr>
            <w:tcW w:w="582" w:type="pct"/>
            <w:shd w:val="clear" w:color="auto" w:fill="FFFFFF" w:themeFill="background1"/>
            <w:noWrap/>
          </w:tcPr>
          <w:p w14:paraId="0DCDAE20" w14:textId="77777777" w:rsidR="00576A4F" w:rsidRPr="00092ED7" w:rsidRDefault="00576A4F" w:rsidP="00A3670F">
            <w:pPr>
              <w:shd w:val="clear" w:color="auto" w:fill="FFFFFF" w:themeFill="background1"/>
              <w:spacing w:after="0"/>
              <w:jc w:val="right"/>
              <w:rPr>
                <w:color w:val="auto"/>
                <w:sz w:val="20"/>
                <w:lang w:val="sr-Cyrl-CS"/>
              </w:rPr>
            </w:pPr>
            <w:r w:rsidRPr="00092ED7">
              <w:rPr>
                <w:color w:val="auto"/>
                <w:sz w:val="20"/>
                <w:lang w:val="sr-Cyrl-CS"/>
              </w:rPr>
              <w:t>1,2</w:t>
            </w:r>
          </w:p>
        </w:tc>
      </w:tr>
      <w:tr w:rsidR="00A3670F" w:rsidRPr="00092ED7" w14:paraId="06044734" w14:textId="77777777" w:rsidTr="00A3670F">
        <w:trPr>
          <w:cnfStyle w:val="000000100000" w:firstRow="0" w:lastRow="0" w:firstColumn="0" w:lastColumn="0" w:oddVBand="0" w:evenVBand="0" w:oddHBand="1" w:evenHBand="0" w:firstRowFirstColumn="0" w:firstRowLastColumn="0" w:lastRowFirstColumn="0" w:lastRowLastColumn="0"/>
          <w:trHeight w:val="253"/>
        </w:trPr>
        <w:tc>
          <w:tcPr>
            <w:tcW w:w="2044" w:type="pct"/>
            <w:tcBorders>
              <w:left w:val="none" w:sz="0" w:space="0" w:color="auto"/>
              <w:right w:val="none" w:sz="0" w:space="0" w:color="auto"/>
            </w:tcBorders>
            <w:shd w:val="clear" w:color="auto" w:fill="FFFFFF" w:themeFill="background1"/>
          </w:tcPr>
          <w:p w14:paraId="0B67760D" w14:textId="77777777" w:rsidR="00576A4F" w:rsidRPr="00092ED7" w:rsidRDefault="00576A4F" w:rsidP="00A3670F">
            <w:pPr>
              <w:spacing w:after="0"/>
              <w:rPr>
                <w:rFonts w:eastAsia="Times New Roman"/>
                <w:color w:val="auto"/>
                <w:sz w:val="20"/>
                <w:lang w:val="sr-Cyrl-CS"/>
              </w:rPr>
            </w:pPr>
            <w:r w:rsidRPr="00092ED7">
              <w:rPr>
                <w:rFonts w:eastAsia="Times New Roman"/>
                <w:color w:val="auto"/>
                <w:sz w:val="20"/>
                <w:lang w:val="sr-Cyrl-CS"/>
              </w:rPr>
              <w:t>Доприноси</w:t>
            </w:r>
          </w:p>
        </w:tc>
        <w:tc>
          <w:tcPr>
            <w:tcW w:w="605" w:type="pct"/>
            <w:tcBorders>
              <w:left w:val="none" w:sz="0" w:space="0" w:color="auto"/>
              <w:right w:val="none" w:sz="0" w:space="0" w:color="auto"/>
            </w:tcBorders>
            <w:shd w:val="clear" w:color="auto" w:fill="FFFFFF" w:themeFill="background1"/>
          </w:tcPr>
          <w:p w14:paraId="1B288E8B" w14:textId="77777777" w:rsidR="00576A4F" w:rsidRPr="00092ED7" w:rsidRDefault="00576A4F" w:rsidP="00A3670F">
            <w:pPr>
              <w:shd w:val="clear" w:color="auto" w:fill="FFFFFF" w:themeFill="background1"/>
              <w:spacing w:after="0"/>
              <w:jc w:val="right"/>
              <w:rPr>
                <w:color w:val="auto"/>
                <w:sz w:val="20"/>
                <w:lang w:val="sr-Cyrl-CS"/>
              </w:rPr>
            </w:pPr>
            <w:r w:rsidRPr="00092ED7">
              <w:rPr>
                <w:color w:val="auto"/>
                <w:sz w:val="20"/>
                <w:lang w:val="sr-Cyrl-CS"/>
              </w:rPr>
              <w:t>13,7</w:t>
            </w:r>
          </w:p>
        </w:tc>
        <w:tc>
          <w:tcPr>
            <w:tcW w:w="606" w:type="pct"/>
            <w:tcBorders>
              <w:left w:val="none" w:sz="0" w:space="0" w:color="auto"/>
              <w:right w:val="none" w:sz="0" w:space="0" w:color="auto"/>
            </w:tcBorders>
            <w:shd w:val="clear" w:color="auto" w:fill="FFFFFF" w:themeFill="background1"/>
            <w:noWrap/>
          </w:tcPr>
          <w:p w14:paraId="7DF11859" w14:textId="77777777" w:rsidR="00576A4F" w:rsidRPr="00092ED7" w:rsidRDefault="00576A4F" w:rsidP="00A3670F">
            <w:pPr>
              <w:shd w:val="clear" w:color="auto" w:fill="FFFFFF" w:themeFill="background1"/>
              <w:spacing w:after="0"/>
              <w:jc w:val="right"/>
              <w:rPr>
                <w:color w:val="auto"/>
                <w:sz w:val="20"/>
                <w:lang w:val="sr-Cyrl-CS"/>
              </w:rPr>
            </w:pPr>
            <w:r w:rsidRPr="00092ED7">
              <w:rPr>
                <w:color w:val="auto"/>
                <w:sz w:val="20"/>
                <w:lang w:val="sr-Cyrl-CS"/>
              </w:rPr>
              <w:t>13,4</w:t>
            </w:r>
          </w:p>
        </w:tc>
        <w:tc>
          <w:tcPr>
            <w:tcW w:w="581" w:type="pct"/>
            <w:tcBorders>
              <w:left w:val="none" w:sz="0" w:space="0" w:color="auto"/>
              <w:right w:val="none" w:sz="0" w:space="0" w:color="auto"/>
            </w:tcBorders>
            <w:shd w:val="clear" w:color="auto" w:fill="FFFFFF" w:themeFill="background1"/>
            <w:noWrap/>
          </w:tcPr>
          <w:p w14:paraId="254014D5" w14:textId="77777777" w:rsidR="00576A4F" w:rsidRPr="00092ED7" w:rsidRDefault="00576A4F" w:rsidP="00A3670F">
            <w:pPr>
              <w:shd w:val="clear" w:color="auto" w:fill="FFFFFF" w:themeFill="background1"/>
              <w:spacing w:after="0"/>
              <w:jc w:val="right"/>
              <w:rPr>
                <w:color w:val="auto"/>
                <w:sz w:val="20"/>
                <w:lang w:val="sr-Cyrl-CS"/>
              </w:rPr>
            </w:pPr>
            <w:r w:rsidRPr="00092ED7">
              <w:rPr>
                <w:color w:val="auto"/>
                <w:sz w:val="20"/>
                <w:lang w:val="sr-Cyrl-CS"/>
              </w:rPr>
              <w:t>12,6</w:t>
            </w:r>
          </w:p>
        </w:tc>
        <w:tc>
          <w:tcPr>
            <w:tcW w:w="582" w:type="pct"/>
            <w:tcBorders>
              <w:left w:val="none" w:sz="0" w:space="0" w:color="auto"/>
              <w:right w:val="none" w:sz="0" w:space="0" w:color="auto"/>
            </w:tcBorders>
            <w:shd w:val="clear" w:color="auto" w:fill="FFFFFF" w:themeFill="background1"/>
            <w:noWrap/>
          </w:tcPr>
          <w:p w14:paraId="266BE4A8" w14:textId="77777777" w:rsidR="00576A4F" w:rsidRPr="00092ED7" w:rsidRDefault="00576A4F" w:rsidP="00A3670F">
            <w:pPr>
              <w:shd w:val="clear" w:color="auto" w:fill="FFFFFF" w:themeFill="background1"/>
              <w:spacing w:after="0"/>
              <w:jc w:val="right"/>
              <w:rPr>
                <w:color w:val="auto"/>
                <w:sz w:val="20"/>
                <w:lang w:val="sr-Cyrl-CS"/>
              </w:rPr>
            </w:pPr>
            <w:r w:rsidRPr="00092ED7">
              <w:rPr>
                <w:color w:val="auto"/>
                <w:sz w:val="20"/>
                <w:lang w:val="sr-Cyrl-CS"/>
              </w:rPr>
              <w:t>12,5</w:t>
            </w:r>
          </w:p>
        </w:tc>
        <w:tc>
          <w:tcPr>
            <w:tcW w:w="582" w:type="pct"/>
            <w:tcBorders>
              <w:left w:val="none" w:sz="0" w:space="0" w:color="auto"/>
              <w:right w:val="none" w:sz="0" w:space="0" w:color="auto"/>
            </w:tcBorders>
            <w:shd w:val="clear" w:color="auto" w:fill="FFFFFF" w:themeFill="background1"/>
            <w:noWrap/>
          </w:tcPr>
          <w:p w14:paraId="142FBA21" w14:textId="77777777" w:rsidR="00576A4F" w:rsidRPr="00092ED7" w:rsidRDefault="00576A4F" w:rsidP="00A3670F">
            <w:pPr>
              <w:shd w:val="clear" w:color="auto" w:fill="FFFFFF" w:themeFill="background1"/>
              <w:spacing w:after="0"/>
              <w:jc w:val="right"/>
              <w:rPr>
                <w:color w:val="auto"/>
                <w:sz w:val="20"/>
                <w:lang w:val="sr-Cyrl-CS"/>
              </w:rPr>
            </w:pPr>
            <w:r w:rsidRPr="00092ED7">
              <w:rPr>
                <w:color w:val="auto"/>
                <w:sz w:val="20"/>
                <w:lang w:val="sr-Cyrl-CS"/>
              </w:rPr>
              <w:t>12,4</w:t>
            </w:r>
          </w:p>
        </w:tc>
      </w:tr>
      <w:tr w:rsidR="00A3670F" w:rsidRPr="00092ED7" w14:paraId="09660443" w14:textId="77777777" w:rsidTr="00A3670F">
        <w:trPr>
          <w:trHeight w:val="253"/>
        </w:trPr>
        <w:tc>
          <w:tcPr>
            <w:tcW w:w="2044" w:type="pct"/>
            <w:shd w:val="clear" w:color="auto" w:fill="FFFFFF" w:themeFill="background1"/>
          </w:tcPr>
          <w:p w14:paraId="6D2C46BE" w14:textId="77777777" w:rsidR="00576A4F" w:rsidRPr="00092ED7" w:rsidRDefault="00576A4F" w:rsidP="00A3670F">
            <w:pPr>
              <w:spacing w:after="0"/>
              <w:rPr>
                <w:rFonts w:eastAsia="Times New Roman"/>
                <w:color w:val="auto"/>
                <w:sz w:val="20"/>
                <w:lang w:val="sr-Cyrl-CS"/>
              </w:rPr>
            </w:pPr>
            <w:r w:rsidRPr="00092ED7">
              <w:rPr>
                <w:rFonts w:eastAsia="Times New Roman"/>
                <w:color w:val="auto"/>
                <w:sz w:val="20"/>
                <w:lang w:val="sr-Cyrl-CS"/>
              </w:rPr>
              <w:t xml:space="preserve"> Непорески приходи</w:t>
            </w:r>
          </w:p>
        </w:tc>
        <w:tc>
          <w:tcPr>
            <w:tcW w:w="605" w:type="pct"/>
            <w:shd w:val="clear" w:color="auto" w:fill="FFFFFF" w:themeFill="background1"/>
          </w:tcPr>
          <w:p w14:paraId="56A2D158" w14:textId="77777777" w:rsidR="00576A4F" w:rsidRPr="00092ED7" w:rsidRDefault="00576A4F" w:rsidP="00A3670F">
            <w:pPr>
              <w:shd w:val="clear" w:color="auto" w:fill="FFFFFF" w:themeFill="background1"/>
              <w:spacing w:after="0"/>
              <w:jc w:val="right"/>
              <w:rPr>
                <w:color w:val="auto"/>
                <w:sz w:val="20"/>
                <w:lang w:val="sr-Cyrl-CS"/>
              </w:rPr>
            </w:pPr>
            <w:r w:rsidRPr="00092ED7">
              <w:rPr>
                <w:color w:val="auto"/>
                <w:sz w:val="20"/>
                <w:lang w:val="sr-Cyrl-CS"/>
              </w:rPr>
              <w:t>4,3</w:t>
            </w:r>
          </w:p>
        </w:tc>
        <w:tc>
          <w:tcPr>
            <w:tcW w:w="606" w:type="pct"/>
            <w:shd w:val="clear" w:color="auto" w:fill="FFFFFF" w:themeFill="background1"/>
            <w:noWrap/>
          </w:tcPr>
          <w:p w14:paraId="3F461395" w14:textId="77777777" w:rsidR="00576A4F" w:rsidRPr="00092ED7" w:rsidRDefault="00576A4F" w:rsidP="00A3670F">
            <w:pPr>
              <w:shd w:val="clear" w:color="auto" w:fill="FFFFFF" w:themeFill="background1"/>
              <w:spacing w:after="0"/>
              <w:jc w:val="right"/>
              <w:rPr>
                <w:color w:val="auto"/>
                <w:sz w:val="20"/>
                <w:lang w:val="sr-Cyrl-CS"/>
              </w:rPr>
            </w:pPr>
            <w:r w:rsidRPr="00092ED7">
              <w:rPr>
                <w:color w:val="auto"/>
                <w:sz w:val="20"/>
                <w:lang w:val="sr-Cyrl-CS"/>
              </w:rPr>
              <w:t>4,0</w:t>
            </w:r>
          </w:p>
        </w:tc>
        <w:tc>
          <w:tcPr>
            <w:tcW w:w="581" w:type="pct"/>
            <w:shd w:val="clear" w:color="auto" w:fill="FFFFFF" w:themeFill="background1"/>
            <w:noWrap/>
          </w:tcPr>
          <w:p w14:paraId="7E6A0335" w14:textId="77777777" w:rsidR="00576A4F" w:rsidRPr="00092ED7" w:rsidRDefault="00576A4F" w:rsidP="00A3670F">
            <w:pPr>
              <w:shd w:val="clear" w:color="auto" w:fill="FFFFFF" w:themeFill="background1"/>
              <w:spacing w:after="0"/>
              <w:jc w:val="right"/>
              <w:rPr>
                <w:color w:val="auto"/>
                <w:sz w:val="20"/>
                <w:lang w:val="sr-Cyrl-CS"/>
              </w:rPr>
            </w:pPr>
            <w:r w:rsidRPr="00092ED7">
              <w:rPr>
                <w:color w:val="auto"/>
                <w:sz w:val="20"/>
                <w:lang w:val="sr-Cyrl-CS"/>
              </w:rPr>
              <w:t>3,7</w:t>
            </w:r>
          </w:p>
        </w:tc>
        <w:tc>
          <w:tcPr>
            <w:tcW w:w="582" w:type="pct"/>
            <w:shd w:val="clear" w:color="auto" w:fill="FFFFFF" w:themeFill="background1"/>
            <w:noWrap/>
          </w:tcPr>
          <w:p w14:paraId="4409FE6A" w14:textId="77777777" w:rsidR="00576A4F" w:rsidRPr="00092ED7" w:rsidRDefault="00576A4F" w:rsidP="00A3670F">
            <w:pPr>
              <w:shd w:val="clear" w:color="auto" w:fill="FFFFFF" w:themeFill="background1"/>
              <w:spacing w:after="0"/>
              <w:jc w:val="right"/>
              <w:rPr>
                <w:color w:val="auto"/>
                <w:sz w:val="20"/>
                <w:lang w:val="sr-Cyrl-CS"/>
              </w:rPr>
            </w:pPr>
            <w:r w:rsidRPr="00092ED7">
              <w:rPr>
                <w:color w:val="auto"/>
                <w:sz w:val="20"/>
                <w:lang w:val="sr-Cyrl-CS"/>
              </w:rPr>
              <w:t>3,6</w:t>
            </w:r>
          </w:p>
        </w:tc>
        <w:tc>
          <w:tcPr>
            <w:tcW w:w="582" w:type="pct"/>
            <w:shd w:val="clear" w:color="auto" w:fill="FFFFFF" w:themeFill="background1"/>
            <w:noWrap/>
          </w:tcPr>
          <w:p w14:paraId="4E721394" w14:textId="77777777" w:rsidR="00576A4F" w:rsidRPr="00092ED7" w:rsidRDefault="00576A4F" w:rsidP="00A3670F">
            <w:pPr>
              <w:shd w:val="clear" w:color="auto" w:fill="FFFFFF" w:themeFill="background1"/>
              <w:spacing w:after="0"/>
              <w:jc w:val="right"/>
              <w:rPr>
                <w:color w:val="auto"/>
                <w:sz w:val="20"/>
                <w:lang w:val="sr-Cyrl-CS"/>
              </w:rPr>
            </w:pPr>
            <w:r w:rsidRPr="00092ED7">
              <w:rPr>
                <w:color w:val="auto"/>
                <w:sz w:val="20"/>
                <w:lang w:val="sr-Cyrl-CS"/>
              </w:rPr>
              <w:t>3,4</w:t>
            </w:r>
          </w:p>
        </w:tc>
      </w:tr>
      <w:tr w:rsidR="00A3670F" w:rsidRPr="00092ED7" w14:paraId="2F978813" w14:textId="77777777" w:rsidTr="00A3670F">
        <w:trPr>
          <w:cnfStyle w:val="000000100000" w:firstRow="0" w:lastRow="0" w:firstColumn="0" w:lastColumn="0" w:oddVBand="0" w:evenVBand="0" w:oddHBand="1" w:evenHBand="0" w:firstRowFirstColumn="0" w:firstRowLastColumn="0" w:lastRowFirstColumn="0" w:lastRowLastColumn="0"/>
          <w:trHeight w:val="253"/>
        </w:trPr>
        <w:tc>
          <w:tcPr>
            <w:tcW w:w="2044" w:type="pct"/>
            <w:tcBorders>
              <w:left w:val="none" w:sz="0" w:space="0" w:color="auto"/>
              <w:right w:val="none" w:sz="0" w:space="0" w:color="auto"/>
            </w:tcBorders>
            <w:shd w:val="clear" w:color="auto" w:fill="FFFFFF" w:themeFill="background1"/>
          </w:tcPr>
          <w:p w14:paraId="29BE3C9B" w14:textId="77777777" w:rsidR="00576A4F" w:rsidRPr="00092ED7" w:rsidRDefault="00576A4F" w:rsidP="00A3670F">
            <w:pPr>
              <w:spacing w:after="0"/>
              <w:rPr>
                <w:rFonts w:eastAsia="Times New Roman"/>
                <w:color w:val="auto"/>
                <w:sz w:val="20"/>
                <w:lang w:val="sr-Cyrl-CS"/>
              </w:rPr>
            </w:pPr>
            <w:r w:rsidRPr="00092ED7">
              <w:rPr>
                <w:rFonts w:eastAsia="Times New Roman"/>
                <w:color w:val="auto"/>
                <w:sz w:val="20"/>
                <w:lang w:val="sr-Cyrl-CS"/>
              </w:rPr>
              <w:t>Донације</w:t>
            </w:r>
          </w:p>
        </w:tc>
        <w:tc>
          <w:tcPr>
            <w:tcW w:w="605" w:type="pct"/>
            <w:tcBorders>
              <w:left w:val="none" w:sz="0" w:space="0" w:color="auto"/>
              <w:right w:val="none" w:sz="0" w:space="0" w:color="auto"/>
            </w:tcBorders>
            <w:shd w:val="clear" w:color="auto" w:fill="FFFFFF" w:themeFill="background1"/>
          </w:tcPr>
          <w:p w14:paraId="0227DDFB" w14:textId="77777777" w:rsidR="00576A4F" w:rsidRPr="00092ED7" w:rsidRDefault="00576A4F" w:rsidP="00A3670F">
            <w:pPr>
              <w:shd w:val="clear" w:color="auto" w:fill="FFFFFF" w:themeFill="background1"/>
              <w:spacing w:after="0"/>
              <w:jc w:val="right"/>
              <w:rPr>
                <w:color w:val="auto"/>
                <w:sz w:val="20"/>
                <w:lang w:val="sr-Cyrl-CS"/>
              </w:rPr>
            </w:pPr>
            <w:r w:rsidRPr="00092ED7">
              <w:rPr>
                <w:color w:val="auto"/>
                <w:sz w:val="20"/>
                <w:lang w:val="sr-Cyrl-CS"/>
              </w:rPr>
              <w:t>0,3</w:t>
            </w:r>
          </w:p>
        </w:tc>
        <w:tc>
          <w:tcPr>
            <w:tcW w:w="606" w:type="pct"/>
            <w:tcBorders>
              <w:left w:val="none" w:sz="0" w:space="0" w:color="auto"/>
              <w:right w:val="none" w:sz="0" w:space="0" w:color="auto"/>
            </w:tcBorders>
            <w:shd w:val="clear" w:color="auto" w:fill="FFFFFF" w:themeFill="background1"/>
            <w:noWrap/>
          </w:tcPr>
          <w:p w14:paraId="4E7B873A" w14:textId="77777777" w:rsidR="00576A4F" w:rsidRPr="00092ED7" w:rsidRDefault="00576A4F" w:rsidP="00A3670F">
            <w:pPr>
              <w:shd w:val="clear" w:color="auto" w:fill="FFFFFF" w:themeFill="background1"/>
              <w:spacing w:after="0"/>
              <w:jc w:val="right"/>
              <w:rPr>
                <w:color w:val="auto"/>
                <w:sz w:val="20"/>
                <w:lang w:val="sr-Cyrl-CS"/>
              </w:rPr>
            </w:pPr>
            <w:r w:rsidRPr="00092ED7">
              <w:rPr>
                <w:color w:val="auto"/>
                <w:sz w:val="20"/>
                <w:lang w:val="sr-Cyrl-CS"/>
              </w:rPr>
              <w:t>0,3</w:t>
            </w:r>
          </w:p>
        </w:tc>
        <w:tc>
          <w:tcPr>
            <w:tcW w:w="581" w:type="pct"/>
            <w:tcBorders>
              <w:left w:val="none" w:sz="0" w:space="0" w:color="auto"/>
              <w:right w:val="none" w:sz="0" w:space="0" w:color="auto"/>
            </w:tcBorders>
            <w:shd w:val="clear" w:color="auto" w:fill="FFFFFF" w:themeFill="background1"/>
            <w:noWrap/>
          </w:tcPr>
          <w:p w14:paraId="73FF99E1" w14:textId="77777777" w:rsidR="00576A4F" w:rsidRPr="00092ED7" w:rsidRDefault="00576A4F" w:rsidP="00A3670F">
            <w:pPr>
              <w:shd w:val="clear" w:color="auto" w:fill="FFFFFF" w:themeFill="background1"/>
              <w:spacing w:after="0"/>
              <w:jc w:val="right"/>
              <w:rPr>
                <w:color w:val="auto"/>
                <w:sz w:val="20"/>
                <w:lang w:val="sr-Cyrl-CS"/>
              </w:rPr>
            </w:pPr>
            <w:r w:rsidRPr="00092ED7">
              <w:rPr>
                <w:color w:val="auto"/>
                <w:sz w:val="20"/>
                <w:lang w:val="sr-Cyrl-CS"/>
              </w:rPr>
              <w:t>0,7</w:t>
            </w:r>
          </w:p>
        </w:tc>
        <w:tc>
          <w:tcPr>
            <w:tcW w:w="582" w:type="pct"/>
            <w:tcBorders>
              <w:left w:val="none" w:sz="0" w:space="0" w:color="auto"/>
              <w:right w:val="none" w:sz="0" w:space="0" w:color="auto"/>
            </w:tcBorders>
            <w:shd w:val="clear" w:color="auto" w:fill="FFFFFF" w:themeFill="background1"/>
            <w:noWrap/>
          </w:tcPr>
          <w:p w14:paraId="2FBF4D77" w14:textId="77777777" w:rsidR="00576A4F" w:rsidRPr="00092ED7" w:rsidRDefault="00576A4F" w:rsidP="00A3670F">
            <w:pPr>
              <w:shd w:val="clear" w:color="auto" w:fill="FFFFFF" w:themeFill="background1"/>
              <w:spacing w:after="0"/>
              <w:jc w:val="right"/>
              <w:rPr>
                <w:color w:val="auto"/>
                <w:sz w:val="20"/>
                <w:lang w:val="sr-Cyrl-CS"/>
              </w:rPr>
            </w:pPr>
            <w:r w:rsidRPr="00092ED7">
              <w:rPr>
                <w:color w:val="auto"/>
                <w:sz w:val="20"/>
                <w:lang w:val="sr-Cyrl-CS"/>
              </w:rPr>
              <w:t>0,4</w:t>
            </w:r>
          </w:p>
        </w:tc>
        <w:tc>
          <w:tcPr>
            <w:tcW w:w="582" w:type="pct"/>
            <w:tcBorders>
              <w:left w:val="none" w:sz="0" w:space="0" w:color="auto"/>
              <w:right w:val="none" w:sz="0" w:space="0" w:color="auto"/>
            </w:tcBorders>
            <w:shd w:val="clear" w:color="auto" w:fill="FFFFFF" w:themeFill="background1"/>
            <w:noWrap/>
          </w:tcPr>
          <w:p w14:paraId="590BAA77" w14:textId="77777777" w:rsidR="00576A4F" w:rsidRPr="00092ED7" w:rsidRDefault="00576A4F" w:rsidP="00A3670F">
            <w:pPr>
              <w:shd w:val="clear" w:color="auto" w:fill="FFFFFF" w:themeFill="background1"/>
              <w:spacing w:after="0"/>
              <w:jc w:val="right"/>
              <w:rPr>
                <w:color w:val="auto"/>
                <w:sz w:val="20"/>
                <w:lang w:val="sr-Cyrl-CS"/>
              </w:rPr>
            </w:pPr>
            <w:r w:rsidRPr="00092ED7">
              <w:rPr>
                <w:color w:val="auto"/>
                <w:sz w:val="20"/>
                <w:lang w:val="sr-Cyrl-CS"/>
              </w:rPr>
              <w:t>0,4</w:t>
            </w:r>
          </w:p>
        </w:tc>
      </w:tr>
    </w:tbl>
    <w:p w14:paraId="634C0982" w14:textId="4E4D8C9B" w:rsidR="00576A4F" w:rsidRPr="00092ED7" w:rsidRDefault="00576A4F" w:rsidP="00A3670F">
      <w:pPr>
        <w:spacing w:before="60"/>
        <w:rPr>
          <w:sz w:val="18"/>
          <w:szCs w:val="18"/>
          <w:lang w:val="sr-Cyrl-CS" w:eastAsia="ja-JP"/>
        </w:rPr>
      </w:pPr>
      <w:r w:rsidRPr="00092ED7">
        <w:rPr>
          <w:bCs/>
          <w:sz w:val="18"/>
          <w:szCs w:val="18"/>
          <w:lang w:val="sr-Cyrl-CS" w:eastAsia="ja-JP"/>
        </w:rPr>
        <w:t xml:space="preserve">Извор: </w:t>
      </w:r>
      <w:r w:rsidRPr="00092ED7">
        <w:rPr>
          <w:sz w:val="18"/>
          <w:szCs w:val="18"/>
          <w:lang w:val="sr-Cyrl-CS" w:eastAsia="ja-JP"/>
        </w:rPr>
        <w:t>Министарство</w:t>
      </w:r>
      <w:r w:rsidR="00284FE5" w:rsidRPr="00092ED7">
        <w:rPr>
          <w:sz w:val="18"/>
          <w:szCs w:val="18"/>
          <w:lang w:val="sr-Cyrl-CS" w:eastAsia="ja-JP"/>
        </w:rPr>
        <w:t xml:space="preserve"> </w:t>
      </w:r>
      <w:r w:rsidRPr="00092ED7">
        <w:rPr>
          <w:sz w:val="18"/>
          <w:szCs w:val="18"/>
          <w:lang w:val="sr-Cyrl-CS" w:eastAsia="ja-JP"/>
        </w:rPr>
        <w:t>финансија</w:t>
      </w:r>
    </w:p>
    <w:p w14:paraId="77159A70" w14:textId="77777777" w:rsidR="00576A4F" w:rsidRPr="00092ED7" w:rsidRDefault="00576A4F" w:rsidP="00A3670F">
      <w:pPr>
        <w:spacing w:after="60"/>
        <w:rPr>
          <w:rFonts w:eastAsia="MS PGothic" w:cstheme="minorHAnsi"/>
          <w:szCs w:val="20"/>
          <w:lang w:val="sr-Cyrl-CS" w:eastAsia="ja-JP"/>
        </w:rPr>
      </w:pPr>
      <w:r w:rsidRPr="00092ED7">
        <w:rPr>
          <w:rFonts w:eastAsia="MS PGothic" w:cstheme="minorHAnsi"/>
          <w:szCs w:val="20"/>
          <w:lang w:val="sr-Cyrl-CS" w:eastAsia="ja-JP"/>
        </w:rPr>
        <w:t>Опадајући тренд прихода у смислу учешћа у БДП је очекиван с обзиром на пројектовану структуру средњорочног раста српске привреде. Наплата одложених обавеза из 2020. године је повећала ниво прихода изнад трендног у 2021. и 2022. години, али ће, такође, појачати ефекат пада учешћа прихода у БДП у 2023. години. Пројекција пореских прихода подразумева одржавање постојећег степена наплате.</w:t>
      </w:r>
    </w:p>
    <w:p w14:paraId="12D2AF34" w14:textId="77777777" w:rsidR="00576A4F" w:rsidRPr="00092ED7" w:rsidRDefault="00576A4F" w:rsidP="00A3670F">
      <w:pPr>
        <w:spacing w:after="60"/>
        <w:rPr>
          <w:rFonts w:eastAsia="MS PGothic" w:cstheme="minorHAnsi"/>
          <w:szCs w:val="20"/>
          <w:lang w:val="sr-Cyrl-CS" w:eastAsia="ja-JP"/>
        </w:rPr>
      </w:pPr>
      <w:r w:rsidRPr="00092ED7">
        <w:rPr>
          <w:rFonts w:eastAsia="MS PGothic" w:cstheme="minorHAnsi"/>
          <w:szCs w:val="20"/>
          <w:lang w:val="sr-Cyrl-CS" w:eastAsia="ja-JP"/>
        </w:rPr>
        <w:t>У 2023. години предвиђено је смањење доприноса за пензијско и инвалидско осигурање на терет послодавца за 1 п.п. Ефекат ове мере се процењује на 30 млрд динара. Додатно ће повећање неопорезивог цензуса за 12,5% имати ефекат на мање приходе у износу од 11 млрд динара.</w:t>
      </w:r>
    </w:p>
    <w:p w14:paraId="379822C0" w14:textId="7080163A" w:rsidR="00576A4F" w:rsidRPr="00092ED7" w:rsidRDefault="00576A4F" w:rsidP="00A3670F">
      <w:pPr>
        <w:spacing w:after="60"/>
        <w:rPr>
          <w:rFonts w:eastAsia="MS PGothic" w:cstheme="minorHAnsi"/>
          <w:szCs w:val="20"/>
          <w:lang w:val="sr-Cyrl-CS" w:eastAsia="ja-JP"/>
        </w:rPr>
      </w:pPr>
      <w:r w:rsidRPr="00092ED7">
        <w:rPr>
          <w:rFonts w:eastAsia="MS PGothic" w:cstheme="minorHAnsi"/>
          <w:szCs w:val="20"/>
          <w:lang w:val="sr-Cyrl-CS" w:eastAsia="ja-JP"/>
        </w:rPr>
        <w:t>Преовлађујући облик пореза на доходак је порез на зараде, тако да су кретање масе зарада и запослености главни фактори који утичу на кретање овог пореског облика. Ове приходе је у 2022. години (као и у 2021.</w:t>
      </w:r>
      <w:r w:rsidR="005867B0" w:rsidRPr="00092ED7">
        <w:rPr>
          <w:rFonts w:eastAsia="MS PGothic" w:cstheme="minorHAnsi"/>
          <w:szCs w:val="20"/>
          <w:lang w:val="sr-Cyrl-CS" w:eastAsia="ja-JP"/>
        </w:rPr>
        <w:t xml:space="preserve"> години</w:t>
      </w:r>
      <w:r w:rsidRPr="00092ED7">
        <w:rPr>
          <w:rFonts w:eastAsia="MS PGothic" w:cstheme="minorHAnsi"/>
          <w:szCs w:val="20"/>
          <w:lang w:val="sr-Cyrl-CS" w:eastAsia="ja-JP"/>
        </w:rPr>
        <w:t>) увећала наплата дела одложеног пореза на зараде из 2020. године у склопу пакета мера у борби против пандемије. Повећање минималне зараде (14,3%) ће позитивно утицати на раст укупне масе зарада у привреди, а самим тим и на ову пореску категорију, а повећање неопорезивог цензуса ће смањити приходе по овом основу.</w:t>
      </w:r>
    </w:p>
    <w:p w14:paraId="6279F6D1" w14:textId="77777777" w:rsidR="00576A4F" w:rsidRPr="00092ED7" w:rsidRDefault="00576A4F" w:rsidP="00A3670F">
      <w:pPr>
        <w:spacing w:after="60"/>
        <w:rPr>
          <w:rFonts w:eastAsia="MS PGothic" w:cstheme="minorHAnsi"/>
          <w:szCs w:val="20"/>
          <w:lang w:val="sr-Cyrl-CS" w:eastAsia="ja-JP"/>
        </w:rPr>
      </w:pPr>
      <w:r w:rsidRPr="00092ED7">
        <w:rPr>
          <w:rFonts w:eastAsia="MS PGothic" w:cstheme="minorHAnsi"/>
          <w:szCs w:val="20"/>
          <w:lang w:val="sr-Cyrl-CS" w:eastAsia="ja-JP"/>
        </w:rPr>
        <w:t>Остали облици пореза на доходак (порез на дивиденде, порез на приходе од камата, годишњи порез на доходак, итд.) ће расти спорије, то јест у складу са кретањем опште економске активности, тако да се очекује стабилан ниво прихода по основу укупног пореза на доходак, у смислу учешћа у БДП. Код пореза на зараде кључна је борба против сиве економије, с обзиром на знатан број непријављених радника и исплате зарада „на руке”. У последњим годинама интензивиране су контроле и појачане санкције што је дало резултате у сузбијању сиве економије у области рада и запошљавања, али је значајно да се на овом пољу настави са континуираним ангажманом и у наредном периоду.</w:t>
      </w:r>
    </w:p>
    <w:p w14:paraId="7BFE8C4F" w14:textId="77777777" w:rsidR="00576A4F" w:rsidRPr="00092ED7" w:rsidRDefault="00576A4F" w:rsidP="00A3670F">
      <w:pPr>
        <w:spacing w:after="60"/>
        <w:rPr>
          <w:rFonts w:eastAsia="MS PGothic" w:cstheme="minorHAnsi"/>
          <w:szCs w:val="20"/>
          <w:lang w:val="sr-Cyrl-CS" w:eastAsia="ja-JP"/>
        </w:rPr>
      </w:pPr>
      <w:r w:rsidRPr="00092ED7">
        <w:rPr>
          <w:rFonts w:eastAsia="MS PGothic" w:cstheme="minorHAnsi"/>
          <w:szCs w:val="20"/>
          <w:lang w:val="sr-Cyrl-CS" w:eastAsia="ja-JP"/>
        </w:rPr>
        <w:t xml:space="preserve">Кретање учешћа доприноса у БДП има сличну путању као и кретање учешћа пореза на зараде, с обзиром да су за њихову пројекцију коришћене исте претпоставке о кретању </w:t>
      </w:r>
      <w:r w:rsidRPr="00092ED7">
        <w:rPr>
          <w:rFonts w:eastAsia="MS PGothic" w:cstheme="minorHAnsi"/>
          <w:szCs w:val="20"/>
          <w:lang w:val="sr-Cyrl-CS" w:eastAsia="ja-JP"/>
        </w:rPr>
        <w:lastRenderedPageBreak/>
        <w:t>зарада и запослености. Део прихода од наплате одложених доприноса из 2020. године неће бити на располагању у 2023. години, што ће уз смањење доприноса на пензијско и инвалидско осигурање на терет послодавца допринети нижем нивоу ових прихода у смислу учешћа у БДП у наредној години.</w:t>
      </w:r>
    </w:p>
    <w:p w14:paraId="6F59B17A" w14:textId="77777777" w:rsidR="00576A4F" w:rsidRPr="00092ED7" w:rsidRDefault="00576A4F" w:rsidP="00A3670F">
      <w:pPr>
        <w:spacing w:after="60"/>
        <w:rPr>
          <w:rFonts w:eastAsia="MS PGothic" w:cstheme="minorHAnsi"/>
          <w:szCs w:val="20"/>
          <w:lang w:val="sr-Cyrl-CS" w:eastAsia="ja-JP"/>
        </w:rPr>
      </w:pPr>
      <w:r w:rsidRPr="00092ED7">
        <w:rPr>
          <w:rFonts w:eastAsia="MS PGothic" w:cstheme="minorHAnsi"/>
          <w:szCs w:val="20"/>
          <w:lang w:val="sr-Cyrl-CS" w:eastAsia="ja-JP"/>
        </w:rPr>
        <w:t>Приходи од пореза на добит правних лица у периоду 2023–2025. године зависиће од путање привредног раста, релативне стабилности курса динара и опште профитабилности привреде. Процена прихода по овом основу може бити неизвесна како због економских фактора, тако и због могућности коришћења пореског кредита или повраћаја, као и разлика у рачуноводственим и пореским билансима. Раст профитабилности привреде у 2021. години допринео је значајном скоку прихода од пореза на добит у 2022. години с обзиром да се порез на добит по коначном обрачуну уплаћује у наредној години. Очекује се да се у периоду 2023–2025. године наплата пореза на добит стабилизује у складу са кретањем БДП.</w:t>
      </w:r>
    </w:p>
    <w:p w14:paraId="5EFA7C0C" w14:textId="77777777" w:rsidR="00576A4F" w:rsidRPr="00092ED7" w:rsidRDefault="00576A4F" w:rsidP="00A3670F">
      <w:pPr>
        <w:spacing w:after="60"/>
        <w:rPr>
          <w:rFonts w:eastAsia="MS PGothic" w:cstheme="minorHAnsi"/>
          <w:szCs w:val="20"/>
          <w:lang w:val="sr-Cyrl-CS" w:eastAsia="ja-JP"/>
        </w:rPr>
      </w:pPr>
      <w:r w:rsidRPr="00092ED7">
        <w:rPr>
          <w:rFonts w:eastAsia="MS PGothic" w:cstheme="minorHAnsi"/>
          <w:szCs w:val="20"/>
          <w:lang w:val="sr-Cyrl-CS" w:eastAsia="ja-JP"/>
        </w:rPr>
        <w:t>Главна детерминанта кретања ПДВ је домаћа тражња вођена расположивим дохотком становништва. Расположиви доходак као највећа детерминанта потрошње зависи од кретања зарада у јавном сектору, пензија, социјалне помоћи, кретања масе зарада у приватном сектору и осталих облика доходака, укључујући и дознаке, као и од динамике кредитне активности банака према становништву.</w:t>
      </w:r>
    </w:p>
    <w:p w14:paraId="4A75B366" w14:textId="77777777" w:rsidR="00576A4F" w:rsidRPr="00092ED7" w:rsidRDefault="00576A4F" w:rsidP="00A3670F">
      <w:pPr>
        <w:spacing w:after="60"/>
        <w:rPr>
          <w:rFonts w:eastAsia="MS PGothic" w:cstheme="minorHAnsi"/>
          <w:szCs w:val="20"/>
          <w:lang w:val="sr-Cyrl-CS" w:eastAsia="ja-JP"/>
        </w:rPr>
      </w:pPr>
      <w:r w:rsidRPr="00092ED7">
        <w:rPr>
          <w:rFonts w:eastAsia="MS PGothic" w:cstheme="minorHAnsi"/>
          <w:szCs w:val="20"/>
          <w:lang w:val="sr-Cyrl-CS" w:eastAsia="ja-JP"/>
        </w:rPr>
        <w:t>Као и код пореза на доходак грађана, ризици за остварење пројекције ПДВ у наредном периоду, поред опште неизвесности међународног економског окружења, односе се и на кретање зарада у приватном сектору, раст привредне активности, као и на степен сиве економије, односно ефикасност у њеном смањењу.</w:t>
      </w:r>
    </w:p>
    <w:p w14:paraId="20701E22" w14:textId="77777777" w:rsidR="00576A4F" w:rsidRPr="00092ED7" w:rsidRDefault="00576A4F" w:rsidP="00A3670F">
      <w:pPr>
        <w:spacing w:after="60"/>
        <w:rPr>
          <w:rFonts w:eastAsia="MS PGothic" w:cstheme="minorHAnsi"/>
          <w:szCs w:val="20"/>
          <w:lang w:val="sr-Cyrl-CS" w:eastAsia="ja-JP"/>
        </w:rPr>
      </w:pPr>
      <w:r w:rsidRPr="00092ED7">
        <w:rPr>
          <w:rFonts w:eastAsia="MS PGothic" w:cstheme="minorHAnsi"/>
          <w:szCs w:val="20"/>
          <w:lang w:val="sr-Cyrl-CS" w:eastAsia="ja-JP"/>
        </w:rPr>
        <w:t>Резултати ефикасније наплате и контроле пореских обвезника су били евидентни у претходном периоду и очекује се да ће тај тренд бити настављен и даље, с тим што ефекти борбе против сиве економије нису експлицитно укључени у средњорочну пројекцију јавних прихода. Повећање степена ПДВ наплате у смислу спровођења независних антиевазионих мера у области ПДВ дало је резултате у протеклом периоду. У овом сегменту простор за даља побољшања створиће се јачањем и модернизацијом пореске администрације.</w:t>
      </w:r>
    </w:p>
    <w:p w14:paraId="0840BC2C" w14:textId="77777777" w:rsidR="00576A4F" w:rsidRPr="00092ED7" w:rsidRDefault="00576A4F" w:rsidP="00A3670F">
      <w:pPr>
        <w:spacing w:after="60"/>
        <w:rPr>
          <w:rFonts w:eastAsia="MS PGothic" w:cstheme="minorHAnsi"/>
          <w:szCs w:val="20"/>
          <w:lang w:val="sr-Cyrl-CS" w:eastAsia="ja-JP"/>
        </w:rPr>
      </w:pPr>
      <w:r w:rsidRPr="00092ED7">
        <w:rPr>
          <w:rFonts w:eastAsia="MS PGothic" w:cstheme="minorHAnsi"/>
          <w:szCs w:val="20"/>
          <w:lang w:val="sr-Cyrl-CS" w:eastAsia="ja-JP"/>
        </w:rPr>
        <w:t>Пројекција прихода од акциза сачињена је на основу важеће акцизне политике и пројектоване потрошње акцизних производа. У 2022. години акцизе нису индексиране растом потрошачких цена у 2021. години, а акцизе на деривате нафте су додатно смањене, и то у распону од 10% до 20%. Ове мере су донете у циљу ограничења раста цена деривата на домаћем тржишту, услед раста цена нафте на светском тржишту. Са овим претпоставкама рађена је процена прихода од акциза и за 2023. годину. У наредним годинама, услед опрезности, није претпостављен раст потрошње нафтних деривата.</w:t>
      </w:r>
    </w:p>
    <w:p w14:paraId="367F91D7" w14:textId="5975B1E0" w:rsidR="00576A4F" w:rsidRPr="00092ED7" w:rsidRDefault="00576A4F" w:rsidP="00A3670F">
      <w:pPr>
        <w:spacing w:after="60"/>
        <w:rPr>
          <w:rFonts w:eastAsia="MS PGothic" w:cstheme="minorHAnsi"/>
          <w:szCs w:val="20"/>
          <w:lang w:val="sr-Cyrl-CS" w:eastAsia="ja-JP"/>
        </w:rPr>
      </w:pPr>
      <w:r w:rsidRPr="00092ED7">
        <w:rPr>
          <w:rFonts w:eastAsia="MS PGothic" w:cstheme="minorHAnsi"/>
          <w:szCs w:val="20"/>
          <w:lang w:val="sr-Cyrl-CS" w:eastAsia="ja-JP"/>
        </w:rPr>
        <w:t>У оквиру акцизне политике код дуванских производа очекује се даље постепено усклађивање са директивама ЕУ у складу са средњорочним планом поступног повећавања акцизног оптерећења. Код цигарета оно ће бити усмерено кроз постепено повећање акциза, како би се у прихватљивом временском року достигао ЕУ минимум од 1,8 евра по паклици</w:t>
      </w:r>
      <w:r w:rsidRPr="00092ED7">
        <w:rPr>
          <w:lang w:val="sr-Cyrl-CS"/>
        </w:rPr>
        <w:t xml:space="preserve"> </w:t>
      </w:r>
      <w:r w:rsidRPr="00092ED7">
        <w:rPr>
          <w:rFonts w:eastAsia="MS PGothic" w:cstheme="minorHAnsi"/>
          <w:szCs w:val="20"/>
          <w:lang w:val="sr-Cyrl-CS" w:eastAsia="ja-JP"/>
        </w:rPr>
        <w:t>у динарској противвредности прерачунато по званичном средњем курсу Н</w:t>
      </w:r>
      <w:r w:rsidR="00E0125A" w:rsidRPr="00092ED7">
        <w:rPr>
          <w:rFonts w:eastAsia="MS PGothic" w:cstheme="minorHAnsi"/>
          <w:szCs w:val="20"/>
          <w:lang w:val="sr-Cyrl-CS" w:eastAsia="ja-JP"/>
        </w:rPr>
        <w:t xml:space="preserve">ародне банке </w:t>
      </w:r>
      <w:r w:rsidRPr="00092ED7">
        <w:rPr>
          <w:rFonts w:eastAsia="MS PGothic" w:cstheme="minorHAnsi"/>
          <w:szCs w:val="20"/>
          <w:lang w:val="sr-Cyrl-CS" w:eastAsia="ja-JP"/>
        </w:rPr>
        <w:t>С</w:t>
      </w:r>
      <w:r w:rsidR="00E0125A" w:rsidRPr="00092ED7">
        <w:rPr>
          <w:rFonts w:eastAsia="MS PGothic" w:cstheme="minorHAnsi"/>
          <w:szCs w:val="20"/>
          <w:lang w:val="sr-Cyrl-CS" w:eastAsia="ja-JP"/>
        </w:rPr>
        <w:t>рбије</w:t>
      </w:r>
      <w:r w:rsidRPr="00092ED7">
        <w:rPr>
          <w:rFonts w:eastAsia="MS PGothic" w:cstheme="minorHAnsi"/>
          <w:szCs w:val="20"/>
          <w:lang w:val="sr-Cyrl-CS" w:eastAsia="ja-JP"/>
        </w:rPr>
        <w:t>. У наредном периоду је за потребе пројекције прихода од акциза, услед опрезности, предвиђен даљи природан пад тржишта дуванских производа, у просеку од око 3% годишње.</w:t>
      </w:r>
    </w:p>
    <w:p w14:paraId="570AC53D" w14:textId="77777777" w:rsidR="00576A4F" w:rsidRPr="00092ED7" w:rsidRDefault="00576A4F" w:rsidP="00A3670F">
      <w:pPr>
        <w:spacing w:after="60"/>
        <w:rPr>
          <w:rFonts w:eastAsia="MS PGothic" w:cstheme="minorHAnsi"/>
          <w:szCs w:val="20"/>
          <w:lang w:val="sr-Cyrl-CS" w:eastAsia="ja-JP"/>
        </w:rPr>
      </w:pPr>
      <w:r w:rsidRPr="00092ED7">
        <w:rPr>
          <w:rFonts w:eastAsia="MS PGothic" w:cstheme="minorHAnsi"/>
          <w:szCs w:val="20"/>
          <w:lang w:val="sr-Cyrl-CS" w:eastAsia="ja-JP"/>
        </w:rPr>
        <w:t>Приходи од акциза на алкохолна пића, кафу и електричну енергију су пројектовани у складу са постојећом структуром потрошње. Усклађивање акциза на алкохолна пића у складу са директивом ЕУ није имало значајне фискалне ефекте.</w:t>
      </w:r>
    </w:p>
    <w:p w14:paraId="533D90B9" w14:textId="77777777" w:rsidR="00576A4F" w:rsidRPr="00092ED7" w:rsidRDefault="00576A4F" w:rsidP="00A3670F">
      <w:pPr>
        <w:spacing w:after="60"/>
        <w:rPr>
          <w:rFonts w:eastAsia="MS PGothic" w:cstheme="minorHAnsi"/>
          <w:szCs w:val="20"/>
          <w:lang w:val="sr-Cyrl-CS" w:eastAsia="ja-JP"/>
        </w:rPr>
      </w:pPr>
      <w:r w:rsidRPr="00092ED7">
        <w:rPr>
          <w:rFonts w:eastAsia="MS PGothic" w:cstheme="minorHAnsi"/>
          <w:szCs w:val="20"/>
          <w:lang w:val="sr-Cyrl-CS" w:eastAsia="ja-JP"/>
        </w:rPr>
        <w:lastRenderedPageBreak/>
        <w:t>Приходи од царина ће се стабилизовати на нивоу од 1,1% БДП у наредном периоду. Пројекција наплате прихода од царина рађена је на бази пројектованог кретања увоза, девизног курса и потрошње.</w:t>
      </w:r>
    </w:p>
    <w:p w14:paraId="7BE5E1B2" w14:textId="77777777" w:rsidR="00576A4F" w:rsidRPr="00092ED7" w:rsidRDefault="00576A4F" w:rsidP="00A3670F">
      <w:pPr>
        <w:spacing w:after="60"/>
        <w:rPr>
          <w:rFonts w:eastAsia="MS PGothic" w:cstheme="minorHAnsi"/>
          <w:szCs w:val="20"/>
          <w:lang w:val="sr-Cyrl-CS" w:eastAsia="ja-JP"/>
        </w:rPr>
      </w:pPr>
      <w:r w:rsidRPr="00092ED7">
        <w:rPr>
          <w:rFonts w:eastAsia="MS PGothic" w:cstheme="minorHAnsi"/>
          <w:szCs w:val="20"/>
          <w:lang w:val="sr-Cyrl-CS" w:eastAsia="ja-JP"/>
        </w:rPr>
        <w:t>Пројектује се стабилизација учешћа у БДП осталих пореских прихода. Најзначајнији порески приход у овој категорији је порез на имовину чије учешће износи око 70%. Номинално повећање овог прихода може се очекивати по основу проширења основице. Повећање степена наплате, кроз повећање обухвата непокретности на које се порез плаћа (то јест по основу проширења пореске базе), није укључено у пројекције у средњем року и представља позитиван ризик. Поред пореза на имовину, у остале пореске приходе укључују се и порези на употребу, држање и ношење добара, те други облици пореза на локалном нивоу. Они су пројектовани у складу са кретањем инфлације, будући да је инфлаторна компонента уграђена у значајан део ових пореских облика.</w:t>
      </w:r>
    </w:p>
    <w:p w14:paraId="3D10575C" w14:textId="2BDB4D0A" w:rsidR="00576A4F" w:rsidRPr="00092ED7" w:rsidRDefault="00576A4F" w:rsidP="00A3670F">
      <w:pPr>
        <w:spacing w:after="60"/>
        <w:rPr>
          <w:rFonts w:eastAsia="MS PGothic" w:cstheme="minorHAnsi"/>
          <w:szCs w:val="20"/>
          <w:lang w:val="sr-Cyrl-CS" w:eastAsia="ja-JP"/>
        </w:rPr>
      </w:pPr>
      <w:r w:rsidRPr="00092ED7">
        <w:rPr>
          <w:rFonts w:eastAsia="MS PGothic" w:cstheme="minorHAnsi"/>
          <w:szCs w:val="20"/>
          <w:lang w:val="sr-Cyrl-CS" w:eastAsia="ja-JP"/>
        </w:rPr>
        <w:t xml:space="preserve">Предвиђено је смањење учешћа непореских прихода у БДП, са 4,3% колико је приходовано у 2021. години на 3,4% колико се очекује да ће износити у 2025. години. Разлог за смањење пројектованог учешћа непореских прихода у БДП је искључивање из базне </w:t>
      </w:r>
      <w:r w:rsidRPr="00092ED7">
        <w:rPr>
          <w:rFonts w:eastAsia="MS PGothic" w:cstheme="minorHAnsi"/>
          <w:szCs w:val="20"/>
          <w:shd w:val="clear" w:color="auto" w:fill="FFFFFF" w:themeFill="background1"/>
          <w:lang w:val="sr-Cyrl-CS" w:eastAsia="ja-JP"/>
        </w:rPr>
        <w:t>2022.</w:t>
      </w:r>
      <w:r w:rsidRPr="00092ED7">
        <w:rPr>
          <w:rFonts w:eastAsia="MS PGothic" w:cstheme="minorHAnsi"/>
          <w:szCs w:val="20"/>
          <w:lang w:val="sr-Cyrl-CS" w:eastAsia="ja-JP"/>
        </w:rPr>
        <w:t xml:space="preserve"> године свих оних прихода који се не сматрају структурним тј. трајним, а првенствено се то односи на ванредне категорије непореских прихода. Ванредни непорески приходи су углавном једнократни, у одређеној мери неизвесни, како по питању износа, тако и по питању тренутка уплате. Највећи део ових прихода представљају ванредне уплате добити јавних предузећа и агенција, дивиденде буџета, приходи по основу наплаћених потраживања А</w:t>
      </w:r>
      <w:r w:rsidR="00A4749F" w:rsidRPr="00092ED7">
        <w:rPr>
          <w:rFonts w:eastAsia="MS PGothic" w:cstheme="minorHAnsi"/>
          <w:szCs w:val="20"/>
          <w:lang w:val="sr-Cyrl-CS" w:eastAsia="ja-JP"/>
        </w:rPr>
        <w:t>г</w:t>
      </w:r>
      <w:r w:rsidR="00462579" w:rsidRPr="00092ED7">
        <w:rPr>
          <w:rFonts w:eastAsia="MS PGothic" w:cstheme="minorHAnsi"/>
          <w:szCs w:val="20"/>
          <w:lang w:val="sr-Cyrl-CS" w:eastAsia="ja-JP"/>
        </w:rPr>
        <w:t>енције за осигурање депозита</w:t>
      </w:r>
      <w:r w:rsidRPr="00092ED7">
        <w:rPr>
          <w:rFonts w:eastAsia="MS PGothic" w:cstheme="minorHAnsi"/>
          <w:szCs w:val="20"/>
          <w:lang w:val="sr-Cyrl-CS" w:eastAsia="ja-JP"/>
        </w:rPr>
        <w:t>, емисионе премије, итд. Редовни непорески приходи обухватају различите таксе, накнаде, казне, приходе органа и организација и све остале приходе који се остварују устаљеном динамиком током године. Ови непорески приходи индексирају се са оствареном инфлацијом у претходној години, или пак прате промену у вредности основе на које се примењују и услед тога се коригују пројектованом инфлацијом.</w:t>
      </w:r>
    </w:p>
    <w:p w14:paraId="36F43B44" w14:textId="44A41446" w:rsidR="00576A4F" w:rsidRPr="00092ED7" w:rsidRDefault="00576A4F" w:rsidP="00A3670F">
      <w:pPr>
        <w:spacing w:after="60"/>
        <w:rPr>
          <w:rFonts w:eastAsia="MS PGothic" w:cstheme="minorHAnsi"/>
          <w:szCs w:val="20"/>
          <w:lang w:val="sr-Cyrl-CS" w:eastAsia="ja-JP"/>
        </w:rPr>
      </w:pPr>
      <w:r w:rsidRPr="00092ED7">
        <w:rPr>
          <w:rFonts w:eastAsia="MS PGothic" w:cstheme="minorHAnsi"/>
          <w:szCs w:val="20"/>
          <w:lang w:val="sr-Cyrl-CS" w:eastAsia="ja-JP"/>
        </w:rPr>
        <w:t xml:space="preserve">Процесом приближавања државе чланству у ЕУ </w:t>
      </w:r>
      <w:r w:rsidR="00FE70E2" w:rsidRPr="00092ED7">
        <w:rPr>
          <w:rFonts w:eastAsia="MS PGothic" w:cstheme="minorHAnsi"/>
          <w:szCs w:val="20"/>
          <w:lang w:val="sr-Cyrl-CS" w:eastAsia="ja-JP"/>
        </w:rPr>
        <w:t xml:space="preserve">могу се очекивати већа  </w:t>
      </w:r>
      <w:r w:rsidRPr="00092ED7">
        <w:rPr>
          <w:rFonts w:eastAsia="MS PGothic" w:cstheme="minorHAnsi"/>
          <w:szCs w:val="20"/>
          <w:lang w:val="sr-Cyrl-CS" w:eastAsia="ja-JP"/>
        </w:rPr>
        <w:t>расположива средства из ИПА и ИПАРД фондова која чине преовлађујући део прихода од донација. У пројектоване износе по основу донација укључена су и средства по основу секторске буџетске подршке ЕУ. У 2023. години, изузетно, очекује се прилив у износу од 18,4 млрд динара од ЕУ, по основу помоћи за ублажавање енергетске кризе. Приходи по основу донација су неутрални у односу на резултат, с обзиром да су једнаки расходима по овом основу.</w:t>
      </w:r>
    </w:p>
    <w:p w14:paraId="5292672F" w14:textId="77777777" w:rsidR="00576A4F" w:rsidRPr="00092ED7" w:rsidRDefault="00576A4F" w:rsidP="00A3670F">
      <w:pPr>
        <w:spacing w:after="60"/>
        <w:rPr>
          <w:rFonts w:eastAsia="MS PGothic" w:cstheme="minorHAnsi"/>
          <w:szCs w:val="20"/>
          <w:lang w:val="sr-Cyrl-CS" w:eastAsia="ja-JP"/>
        </w:rPr>
      </w:pPr>
      <w:r w:rsidRPr="00092ED7">
        <w:rPr>
          <w:rFonts w:eastAsia="MS PGothic" w:cstheme="minorHAnsi"/>
          <w:szCs w:val="20"/>
          <w:lang w:val="sr-Cyrl-CS" w:eastAsia="ja-JP"/>
        </w:rPr>
        <w:t xml:space="preserve">Одговорном фискалном политиком у комбинацији са добрим макроекономским перформансама у протеклом периоду обезбеђено је релаксирање политике плата и пензија и значајно повећање капиталних инвестиција као битне компоненте развоја привреде. Посебна пажња је посвећена унапређењу ефикасности реализације капиталних инвестиција државе. Социјална компонента буџета је побољшана бољим таргетирањем програма социјалне помоћи и већим издвајањем за функције здравства и образовања. Дефинисан је и начин индексације пензија. Плате и пензије заједно чине преко </w:t>
      </w:r>
      <w:r w:rsidRPr="00092ED7">
        <w:rPr>
          <w:rFonts w:eastAsia="MS PGothic" w:cstheme="minorHAnsi"/>
          <w:szCs w:val="20"/>
          <w:shd w:val="clear" w:color="auto" w:fill="FFFFFF" w:themeFill="background1"/>
          <w:lang w:val="sr-Cyrl-CS" w:eastAsia="ja-JP"/>
        </w:rPr>
        <w:t>40%</w:t>
      </w:r>
      <w:r w:rsidRPr="00092ED7">
        <w:rPr>
          <w:rFonts w:eastAsia="MS PGothic" w:cstheme="minorHAnsi"/>
          <w:szCs w:val="20"/>
          <w:lang w:val="sr-Cyrl-CS" w:eastAsia="ja-JP"/>
        </w:rPr>
        <w:t xml:space="preserve"> расхода на нивоу опште државе и њихова стабилизација је од пресудног значаја за одрживост јавних финансија.</w:t>
      </w:r>
    </w:p>
    <w:p w14:paraId="558D5ADA" w14:textId="77777777" w:rsidR="00A5229A" w:rsidRPr="00092ED7" w:rsidRDefault="00A5229A">
      <w:pPr>
        <w:spacing w:after="160" w:line="259" w:lineRule="auto"/>
        <w:jc w:val="left"/>
        <w:rPr>
          <w:lang w:val="sr-Cyrl-CS" w:eastAsia="ja-JP"/>
        </w:rPr>
      </w:pPr>
      <w:r w:rsidRPr="00092ED7">
        <w:rPr>
          <w:lang w:val="sr-Cyrl-CS" w:eastAsia="ja-JP"/>
        </w:rPr>
        <w:br w:type="page"/>
      </w:r>
    </w:p>
    <w:p w14:paraId="2AE342CD" w14:textId="77777777" w:rsidR="00576A4F" w:rsidRPr="00092ED7" w:rsidRDefault="00576A4F" w:rsidP="00576A4F">
      <w:pPr>
        <w:rPr>
          <w:lang w:val="sr-Cyrl-CS" w:eastAsia="ja-JP"/>
        </w:rPr>
      </w:pPr>
      <w:r w:rsidRPr="00092ED7">
        <w:rPr>
          <w:lang w:val="sr-Cyrl-CS" w:eastAsia="ja-JP"/>
        </w:rPr>
        <w:lastRenderedPageBreak/>
        <w:t>Табела 9. Укупни расходи у периоду 2020–2024. године, % БДП</w:t>
      </w:r>
    </w:p>
    <w:tbl>
      <w:tblPr>
        <w:tblStyle w:val="LightShading-Accent1221"/>
        <w:tblW w:w="495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3507"/>
        <w:gridCol w:w="1177"/>
        <w:gridCol w:w="1144"/>
        <w:gridCol w:w="1032"/>
        <w:gridCol w:w="1033"/>
        <w:gridCol w:w="1036"/>
      </w:tblGrid>
      <w:tr w:rsidR="00576A4F" w:rsidRPr="00092ED7" w14:paraId="62826094" w14:textId="77777777" w:rsidTr="00A3670F">
        <w:trPr>
          <w:cnfStyle w:val="100000000000" w:firstRow="1" w:lastRow="0" w:firstColumn="0" w:lastColumn="0" w:oddVBand="0" w:evenVBand="0" w:oddHBand="0" w:evenHBand="0" w:firstRowFirstColumn="0" w:firstRowLastColumn="0" w:lastRowFirstColumn="0" w:lastRowLastColumn="0"/>
          <w:trHeight w:val="49"/>
        </w:trPr>
        <w:tc>
          <w:tcPr>
            <w:tcW w:w="1967" w:type="pct"/>
            <w:tcBorders>
              <w:top w:val="none" w:sz="0" w:space="0" w:color="auto"/>
              <w:left w:val="none" w:sz="0" w:space="0" w:color="auto"/>
              <w:bottom w:val="single" w:sz="4" w:space="0" w:color="auto"/>
              <w:right w:val="none" w:sz="0" w:space="0" w:color="auto"/>
            </w:tcBorders>
            <w:noWrap/>
            <w:vAlign w:val="center"/>
          </w:tcPr>
          <w:p w14:paraId="6B8671A3" w14:textId="77777777" w:rsidR="00576A4F" w:rsidRPr="00092ED7" w:rsidRDefault="00576A4F" w:rsidP="00A06946">
            <w:pPr>
              <w:widowControl w:val="0"/>
              <w:shd w:val="clear" w:color="auto" w:fill="FFFFFF" w:themeFill="background1"/>
              <w:spacing w:after="0"/>
              <w:rPr>
                <w:rFonts w:eastAsia="Times New Roman"/>
                <w:color w:val="auto"/>
                <w:sz w:val="20"/>
                <w:lang w:val="sr-Cyrl-CS"/>
              </w:rPr>
            </w:pPr>
          </w:p>
        </w:tc>
        <w:tc>
          <w:tcPr>
            <w:tcW w:w="644" w:type="pct"/>
            <w:tcBorders>
              <w:top w:val="none" w:sz="0" w:space="0" w:color="auto"/>
              <w:left w:val="none" w:sz="0" w:space="0" w:color="auto"/>
              <w:bottom w:val="single" w:sz="4" w:space="0" w:color="auto"/>
              <w:right w:val="none" w:sz="0" w:space="0" w:color="auto"/>
            </w:tcBorders>
            <w:vAlign w:val="center"/>
          </w:tcPr>
          <w:p w14:paraId="1FC258C7" w14:textId="77777777" w:rsidR="00576A4F" w:rsidRPr="00092ED7" w:rsidRDefault="00576A4F" w:rsidP="00A06946">
            <w:pPr>
              <w:widowControl w:val="0"/>
              <w:shd w:val="clear" w:color="auto" w:fill="FFFFFF" w:themeFill="background1"/>
              <w:spacing w:after="0"/>
              <w:jc w:val="right"/>
              <w:rPr>
                <w:rFonts w:eastAsia="Times New Roman"/>
                <w:color w:val="auto"/>
                <w:sz w:val="20"/>
                <w:lang w:val="sr-Cyrl-CS"/>
              </w:rPr>
            </w:pPr>
            <w:r w:rsidRPr="00092ED7">
              <w:rPr>
                <w:color w:val="auto"/>
                <w:sz w:val="20"/>
                <w:lang w:val="sr-Cyrl-CS"/>
              </w:rPr>
              <w:t>Извршење</w:t>
            </w:r>
          </w:p>
        </w:tc>
        <w:tc>
          <w:tcPr>
            <w:tcW w:w="644" w:type="pct"/>
            <w:tcBorders>
              <w:top w:val="none" w:sz="0" w:space="0" w:color="auto"/>
              <w:left w:val="none" w:sz="0" w:space="0" w:color="auto"/>
              <w:bottom w:val="single" w:sz="4" w:space="0" w:color="auto"/>
              <w:right w:val="none" w:sz="0" w:space="0" w:color="auto"/>
            </w:tcBorders>
            <w:vAlign w:val="center"/>
          </w:tcPr>
          <w:p w14:paraId="7DD486C2" w14:textId="77777777" w:rsidR="00576A4F" w:rsidRPr="00092ED7" w:rsidRDefault="00576A4F" w:rsidP="00A06946">
            <w:pPr>
              <w:widowControl w:val="0"/>
              <w:shd w:val="clear" w:color="auto" w:fill="FFFFFF" w:themeFill="background1"/>
              <w:spacing w:after="0"/>
              <w:jc w:val="right"/>
              <w:rPr>
                <w:rFonts w:eastAsia="Times New Roman"/>
                <w:color w:val="auto"/>
                <w:sz w:val="20"/>
                <w:lang w:val="sr-Cyrl-CS"/>
              </w:rPr>
            </w:pPr>
            <w:r w:rsidRPr="00092ED7">
              <w:rPr>
                <w:color w:val="auto"/>
                <w:sz w:val="20"/>
                <w:lang w:val="sr-Cyrl-CS"/>
              </w:rPr>
              <w:t>Процена</w:t>
            </w:r>
          </w:p>
        </w:tc>
        <w:tc>
          <w:tcPr>
            <w:tcW w:w="1745" w:type="pct"/>
            <w:gridSpan w:val="3"/>
            <w:tcBorders>
              <w:top w:val="none" w:sz="0" w:space="0" w:color="auto"/>
              <w:left w:val="none" w:sz="0" w:space="0" w:color="auto"/>
              <w:bottom w:val="single" w:sz="4" w:space="0" w:color="auto"/>
              <w:right w:val="none" w:sz="0" w:space="0" w:color="auto"/>
            </w:tcBorders>
            <w:vAlign w:val="center"/>
          </w:tcPr>
          <w:p w14:paraId="5D42B0B8" w14:textId="77777777" w:rsidR="00576A4F" w:rsidRPr="00092ED7" w:rsidRDefault="00576A4F" w:rsidP="00A06946">
            <w:pPr>
              <w:widowControl w:val="0"/>
              <w:shd w:val="clear" w:color="auto" w:fill="FFFFFF" w:themeFill="background1"/>
              <w:spacing w:after="0"/>
              <w:jc w:val="center"/>
              <w:rPr>
                <w:rFonts w:eastAsia="Times New Roman"/>
                <w:color w:val="auto"/>
                <w:sz w:val="20"/>
                <w:lang w:val="sr-Cyrl-CS"/>
              </w:rPr>
            </w:pPr>
            <w:r w:rsidRPr="00092ED7">
              <w:rPr>
                <w:color w:val="auto"/>
                <w:sz w:val="20"/>
                <w:lang w:val="sr-Cyrl-CS"/>
              </w:rPr>
              <w:t>Пројекција</w:t>
            </w:r>
          </w:p>
        </w:tc>
      </w:tr>
      <w:tr w:rsidR="00A3670F" w:rsidRPr="00092ED7" w14:paraId="46EAE8D6" w14:textId="77777777" w:rsidTr="00A3670F">
        <w:trPr>
          <w:cnfStyle w:val="000000100000" w:firstRow="0" w:lastRow="0" w:firstColumn="0" w:lastColumn="0" w:oddVBand="0" w:evenVBand="0" w:oddHBand="1" w:evenHBand="0" w:firstRowFirstColumn="0" w:firstRowLastColumn="0" w:lastRowFirstColumn="0" w:lastRowLastColumn="0"/>
          <w:trHeight w:val="49"/>
        </w:trPr>
        <w:tc>
          <w:tcPr>
            <w:tcW w:w="1967" w:type="pct"/>
            <w:tcBorders>
              <w:left w:val="single" w:sz="4" w:space="0" w:color="auto"/>
              <w:right w:val="single" w:sz="4" w:space="0" w:color="auto"/>
            </w:tcBorders>
            <w:shd w:val="clear" w:color="auto" w:fill="FFFFFF" w:themeFill="background1"/>
            <w:noWrap/>
          </w:tcPr>
          <w:p w14:paraId="3EBFF086" w14:textId="77777777" w:rsidR="00576A4F" w:rsidRPr="00092ED7" w:rsidRDefault="00A3670F" w:rsidP="00A06946">
            <w:pPr>
              <w:widowControl w:val="0"/>
              <w:shd w:val="clear" w:color="auto" w:fill="FFFFFF" w:themeFill="background1"/>
              <w:spacing w:after="0"/>
              <w:rPr>
                <w:rFonts w:eastAsia="Times New Roman"/>
                <w:b/>
                <w:bCs/>
                <w:color w:val="auto"/>
                <w:sz w:val="20"/>
                <w:lang w:val="sr-Cyrl-CS"/>
              </w:rPr>
            </w:pPr>
            <w:r w:rsidRPr="00092ED7">
              <w:rPr>
                <w:b/>
                <w:color w:val="auto"/>
                <w:sz w:val="20"/>
                <w:lang w:val="sr-Cyrl-CS"/>
              </w:rPr>
              <w:t>Опис</w:t>
            </w:r>
          </w:p>
        </w:tc>
        <w:tc>
          <w:tcPr>
            <w:tcW w:w="644" w:type="pct"/>
            <w:tcBorders>
              <w:left w:val="single" w:sz="4" w:space="0" w:color="auto"/>
              <w:right w:val="single" w:sz="4" w:space="0" w:color="auto"/>
            </w:tcBorders>
            <w:shd w:val="clear" w:color="auto" w:fill="FFFFFF" w:themeFill="background1"/>
          </w:tcPr>
          <w:p w14:paraId="647B0797" w14:textId="77777777" w:rsidR="00576A4F" w:rsidRPr="00092ED7" w:rsidRDefault="00576A4F" w:rsidP="00A06946">
            <w:pPr>
              <w:widowControl w:val="0"/>
              <w:shd w:val="clear" w:color="auto" w:fill="FFFFFF" w:themeFill="background1"/>
              <w:spacing w:after="0"/>
              <w:jc w:val="right"/>
              <w:rPr>
                <w:rFonts w:eastAsia="Times New Roman"/>
                <w:b/>
                <w:bCs/>
                <w:color w:val="auto"/>
                <w:sz w:val="20"/>
                <w:lang w:val="sr-Cyrl-CS"/>
              </w:rPr>
            </w:pPr>
            <w:r w:rsidRPr="00092ED7">
              <w:rPr>
                <w:b/>
                <w:color w:val="auto"/>
                <w:sz w:val="20"/>
                <w:lang w:val="sr-Cyrl-CS"/>
              </w:rPr>
              <w:t>2021</w:t>
            </w:r>
          </w:p>
        </w:tc>
        <w:tc>
          <w:tcPr>
            <w:tcW w:w="644" w:type="pct"/>
            <w:tcBorders>
              <w:left w:val="single" w:sz="4" w:space="0" w:color="auto"/>
              <w:right w:val="single" w:sz="4" w:space="0" w:color="auto"/>
            </w:tcBorders>
            <w:shd w:val="clear" w:color="auto" w:fill="FFFFFF" w:themeFill="background1"/>
          </w:tcPr>
          <w:p w14:paraId="5EDF0D8F" w14:textId="77777777" w:rsidR="00576A4F" w:rsidRPr="00092ED7" w:rsidRDefault="00576A4F" w:rsidP="00A06946">
            <w:pPr>
              <w:widowControl w:val="0"/>
              <w:shd w:val="clear" w:color="auto" w:fill="FFFFFF" w:themeFill="background1"/>
              <w:spacing w:after="0"/>
              <w:jc w:val="right"/>
              <w:rPr>
                <w:rFonts w:eastAsia="Times New Roman"/>
                <w:b/>
                <w:bCs/>
                <w:color w:val="auto"/>
                <w:sz w:val="20"/>
                <w:lang w:val="sr-Cyrl-CS"/>
              </w:rPr>
            </w:pPr>
            <w:r w:rsidRPr="00092ED7">
              <w:rPr>
                <w:b/>
                <w:color w:val="auto"/>
                <w:sz w:val="20"/>
                <w:lang w:val="sr-Cyrl-CS"/>
              </w:rPr>
              <w:t>2022</w:t>
            </w:r>
          </w:p>
        </w:tc>
        <w:tc>
          <w:tcPr>
            <w:tcW w:w="581" w:type="pct"/>
            <w:tcBorders>
              <w:left w:val="single" w:sz="4" w:space="0" w:color="auto"/>
              <w:right w:val="single" w:sz="4" w:space="0" w:color="auto"/>
            </w:tcBorders>
            <w:shd w:val="clear" w:color="auto" w:fill="FFFFFF" w:themeFill="background1"/>
          </w:tcPr>
          <w:p w14:paraId="2E1821C2" w14:textId="77777777" w:rsidR="00576A4F" w:rsidRPr="00092ED7" w:rsidRDefault="00576A4F" w:rsidP="00A06946">
            <w:pPr>
              <w:widowControl w:val="0"/>
              <w:shd w:val="clear" w:color="auto" w:fill="FFFFFF" w:themeFill="background1"/>
              <w:spacing w:after="0"/>
              <w:jc w:val="right"/>
              <w:rPr>
                <w:rFonts w:eastAsia="Times New Roman"/>
                <w:b/>
                <w:bCs/>
                <w:color w:val="auto"/>
                <w:sz w:val="20"/>
                <w:lang w:val="sr-Cyrl-CS"/>
              </w:rPr>
            </w:pPr>
            <w:r w:rsidRPr="00092ED7">
              <w:rPr>
                <w:b/>
                <w:color w:val="auto"/>
                <w:sz w:val="20"/>
                <w:lang w:val="sr-Cyrl-CS"/>
              </w:rPr>
              <w:t>2023</w:t>
            </w:r>
          </w:p>
        </w:tc>
        <w:tc>
          <w:tcPr>
            <w:tcW w:w="581" w:type="pct"/>
            <w:tcBorders>
              <w:left w:val="single" w:sz="4" w:space="0" w:color="auto"/>
              <w:right w:val="single" w:sz="4" w:space="0" w:color="auto"/>
            </w:tcBorders>
            <w:shd w:val="clear" w:color="auto" w:fill="FFFFFF" w:themeFill="background1"/>
          </w:tcPr>
          <w:p w14:paraId="6ED3DE26" w14:textId="77777777" w:rsidR="00576A4F" w:rsidRPr="00092ED7" w:rsidRDefault="00576A4F" w:rsidP="00A06946">
            <w:pPr>
              <w:widowControl w:val="0"/>
              <w:shd w:val="clear" w:color="auto" w:fill="FFFFFF" w:themeFill="background1"/>
              <w:spacing w:after="0"/>
              <w:jc w:val="right"/>
              <w:rPr>
                <w:rFonts w:eastAsia="Times New Roman"/>
                <w:b/>
                <w:bCs/>
                <w:color w:val="auto"/>
                <w:sz w:val="20"/>
                <w:lang w:val="sr-Cyrl-CS"/>
              </w:rPr>
            </w:pPr>
            <w:r w:rsidRPr="00092ED7">
              <w:rPr>
                <w:b/>
                <w:color w:val="auto"/>
                <w:sz w:val="20"/>
                <w:lang w:val="sr-Cyrl-CS"/>
              </w:rPr>
              <w:t>2024</w:t>
            </w:r>
          </w:p>
        </w:tc>
        <w:tc>
          <w:tcPr>
            <w:tcW w:w="583" w:type="pct"/>
            <w:tcBorders>
              <w:left w:val="single" w:sz="4" w:space="0" w:color="auto"/>
              <w:right w:val="single" w:sz="4" w:space="0" w:color="auto"/>
            </w:tcBorders>
            <w:shd w:val="clear" w:color="auto" w:fill="FFFFFF" w:themeFill="background1"/>
          </w:tcPr>
          <w:p w14:paraId="50FE4D5E" w14:textId="77777777" w:rsidR="00576A4F" w:rsidRPr="00092ED7" w:rsidRDefault="00576A4F" w:rsidP="00A06946">
            <w:pPr>
              <w:widowControl w:val="0"/>
              <w:shd w:val="clear" w:color="auto" w:fill="FFFFFF" w:themeFill="background1"/>
              <w:spacing w:after="0"/>
              <w:jc w:val="right"/>
              <w:rPr>
                <w:rFonts w:eastAsia="Times New Roman"/>
                <w:b/>
                <w:bCs/>
                <w:color w:val="auto"/>
                <w:sz w:val="20"/>
                <w:lang w:val="sr-Cyrl-CS"/>
              </w:rPr>
            </w:pPr>
            <w:r w:rsidRPr="00092ED7">
              <w:rPr>
                <w:b/>
                <w:color w:val="auto"/>
                <w:sz w:val="20"/>
                <w:lang w:val="sr-Cyrl-CS"/>
              </w:rPr>
              <w:t>2025</w:t>
            </w:r>
          </w:p>
        </w:tc>
      </w:tr>
      <w:tr w:rsidR="00A3670F" w:rsidRPr="00092ED7" w14:paraId="167C0351" w14:textId="77777777" w:rsidTr="00A3670F">
        <w:trPr>
          <w:trHeight w:val="49"/>
        </w:trPr>
        <w:tc>
          <w:tcPr>
            <w:tcW w:w="1967" w:type="pct"/>
            <w:shd w:val="clear" w:color="auto" w:fill="FFFFFF" w:themeFill="background1"/>
          </w:tcPr>
          <w:p w14:paraId="3CF343D7" w14:textId="77777777" w:rsidR="00576A4F" w:rsidRPr="00092ED7" w:rsidRDefault="00576A4F" w:rsidP="00A06946">
            <w:pPr>
              <w:widowControl w:val="0"/>
              <w:shd w:val="clear" w:color="auto" w:fill="FFFFFF" w:themeFill="background1"/>
              <w:spacing w:after="0"/>
              <w:rPr>
                <w:color w:val="auto"/>
                <w:sz w:val="20"/>
                <w:lang w:val="sr-Cyrl-CS"/>
              </w:rPr>
            </w:pPr>
            <w:r w:rsidRPr="00092ED7">
              <w:rPr>
                <w:color w:val="auto"/>
                <w:sz w:val="20"/>
                <w:lang w:val="sr-Cyrl-CS"/>
              </w:rPr>
              <w:t>ЈАВНИ РАСХОДИ</w:t>
            </w:r>
          </w:p>
        </w:tc>
        <w:tc>
          <w:tcPr>
            <w:tcW w:w="644" w:type="pct"/>
            <w:shd w:val="clear" w:color="auto" w:fill="FFFFFF" w:themeFill="background1"/>
          </w:tcPr>
          <w:p w14:paraId="5B7E70BC" w14:textId="77777777" w:rsidR="00576A4F" w:rsidRPr="00092ED7" w:rsidRDefault="00576A4F" w:rsidP="00A06946">
            <w:pPr>
              <w:shd w:val="clear" w:color="auto" w:fill="FFFFFF" w:themeFill="background1"/>
              <w:spacing w:after="0"/>
              <w:jc w:val="right"/>
              <w:rPr>
                <w:color w:val="auto"/>
                <w:sz w:val="20"/>
                <w:lang w:val="sr-Cyrl-CS"/>
              </w:rPr>
            </w:pPr>
            <w:r w:rsidRPr="00092ED7">
              <w:rPr>
                <w:color w:val="auto"/>
                <w:sz w:val="20"/>
                <w:lang w:val="sr-Cyrl-CS"/>
              </w:rPr>
              <w:t>47,4</w:t>
            </w:r>
          </w:p>
        </w:tc>
        <w:tc>
          <w:tcPr>
            <w:tcW w:w="644" w:type="pct"/>
            <w:shd w:val="clear" w:color="auto" w:fill="FFFFFF" w:themeFill="background1"/>
            <w:noWrap/>
          </w:tcPr>
          <w:p w14:paraId="1CB7D023" w14:textId="77777777" w:rsidR="00576A4F" w:rsidRPr="00092ED7" w:rsidRDefault="00576A4F" w:rsidP="00A06946">
            <w:pPr>
              <w:shd w:val="clear" w:color="auto" w:fill="FFFFFF" w:themeFill="background1"/>
              <w:spacing w:after="0"/>
              <w:jc w:val="right"/>
              <w:rPr>
                <w:color w:val="auto"/>
                <w:sz w:val="20"/>
                <w:lang w:val="sr-Cyrl-CS"/>
              </w:rPr>
            </w:pPr>
            <w:r w:rsidRPr="00092ED7">
              <w:rPr>
                <w:color w:val="auto"/>
                <w:sz w:val="20"/>
                <w:lang w:val="sr-Cyrl-CS"/>
              </w:rPr>
              <w:t>46,8</w:t>
            </w:r>
          </w:p>
        </w:tc>
        <w:tc>
          <w:tcPr>
            <w:tcW w:w="581" w:type="pct"/>
            <w:shd w:val="clear" w:color="auto" w:fill="FFFFFF" w:themeFill="background1"/>
            <w:noWrap/>
          </w:tcPr>
          <w:p w14:paraId="52B8A183" w14:textId="77777777" w:rsidR="00576A4F" w:rsidRPr="00092ED7" w:rsidRDefault="00576A4F" w:rsidP="00A06946">
            <w:pPr>
              <w:shd w:val="clear" w:color="auto" w:fill="FFFFFF" w:themeFill="background1"/>
              <w:spacing w:after="0"/>
              <w:jc w:val="right"/>
              <w:rPr>
                <w:color w:val="auto"/>
                <w:sz w:val="20"/>
                <w:lang w:val="sr-Cyrl-CS"/>
              </w:rPr>
            </w:pPr>
            <w:r w:rsidRPr="00092ED7">
              <w:rPr>
                <w:color w:val="auto"/>
                <w:sz w:val="20"/>
                <w:lang w:val="sr-Cyrl-CS"/>
              </w:rPr>
              <w:t>44,2</w:t>
            </w:r>
          </w:p>
        </w:tc>
        <w:tc>
          <w:tcPr>
            <w:tcW w:w="581" w:type="pct"/>
            <w:shd w:val="clear" w:color="auto" w:fill="FFFFFF" w:themeFill="background1"/>
            <w:noWrap/>
          </w:tcPr>
          <w:p w14:paraId="1018ED6B" w14:textId="77777777" w:rsidR="00576A4F" w:rsidRPr="00092ED7" w:rsidRDefault="00576A4F" w:rsidP="00A06946">
            <w:pPr>
              <w:shd w:val="clear" w:color="auto" w:fill="FFFFFF" w:themeFill="background1"/>
              <w:spacing w:after="0"/>
              <w:jc w:val="right"/>
              <w:rPr>
                <w:color w:val="auto"/>
                <w:sz w:val="20"/>
                <w:lang w:val="sr-Cyrl-CS"/>
              </w:rPr>
            </w:pPr>
            <w:r w:rsidRPr="00092ED7">
              <w:rPr>
                <w:color w:val="auto"/>
                <w:sz w:val="20"/>
                <w:lang w:val="sr-Cyrl-CS"/>
              </w:rPr>
              <w:t>42,5</w:t>
            </w:r>
          </w:p>
        </w:tc>
        <w:tc>
          <w:tcPr>
            <w:tcW w:w="583" w:type="pct"/>
            <w:shd w:val="clear" w:color="auto" w:fill="FFFFFF" w:themeFill="background1"/>
            <w:noWrap/>
          </w:tcPr>
          <w:p w14:paraId="2758D8A5" w14:textId="77777777" w:rsidR="00576A4F" w:rsidRPr="00092ED7" w:rsidRDefault="00576A4F" w:rsidP="00A06946">
            <w:pPr>
              <w:shd w:val="clear" w:color="auto" w:fill="FFFFFF" w:themeFill="background1"/>
              <w:spacing w:after="0"/>
              <w:jc w:val="right"/>
              <w:rPr>
                <w:color w:val="auto"/>
                <w:sz w:val="20"/>
                <w:lang w:val="sr-Cyrl-CS"/>
              </w:rPr>
            </w:pPr>
            <w:r w:rsidRPr="00092ED7">
              <w:rPr>
                <w:color w:val="auto"/>
                <w:sz w:val="20"/>
                <w:lang w:val="sr-Cyrl-CS"/>
              </w:rPr>
              <w:t>41,0</w:t>
            </w:r>
          </w:p>
        </w:tc>
      </w:tr>
      <w:tr w:rsidR="00576A4F" w:rsidRPr="00092ED7" w14:paraId="43D48880" w14:textId="77777777" w:rsidTr="00A3670F">
        <w:trPr>
          <w:cnfStyle w:val="000000100000" w:firstRow="0" w:lastRow="0" w:firstColumn="0" w:lastColumn="0" w:oddVBand="0" w:evenVBand="0" w:oddHBand="1" w:evenHBand="0" w:firstRowFirstColumn="0" w:firstRowLastColumn="0" w:lastRowFirstColumn="0" w:lastRowLastColumn="0"/>
          <w:trHeight w:val="49"/>
        </w:trPr>
        <w:tc>
          <w:tcPr>
            <w:tcW w:w="1967" w:type="pct"/>
            <w:tcBorders>
              <w:left w:val="none" w:sz="0" w:space="0" w:color="auto"/>
              <w:right w:val="none" w:sz="0" w:space="0" w:color="auto"/>
            </w:tcBorders>
            <w:shd w:val="clear" w:color="auto" w:fill="FFFFFF" w:themeFill="background1"/>
          </w:tcPr>
          <w:p w14:paraId="2E97F7F1" w14:textId="77777777" w:rsidR="00576A4F" w:rsidRPr="00092ED7" w:rsidRDefault="00576A4F" w:rsidP="00A06946">
            <w:pPr>
              <w:widowControl w:val="0"/>
              <w:shd w:val="clear" w:color="auto" w:fill="FFFFFF" w:themeFill="background1"/>
              <w:spacing w:after="0"/>
              <w:rPr>
                <w:rFonts w:eastAsia="Times New Roman"/>
                <w:bCs/>
                <w:color w:val="auto"/>
                <w:sz w:val="20"/>
                <w:lang w:val="sr-Cyrl-CS"/>
              </w:rPr>
            </w:pPr>
            <w:r w:rsidRPr="00092ED7">
              <w:rPr>
                <w:rFonts w:eastAsia="Times New Roman"/>
                <w:bCs/>
                <w:color w:val="auto"/>
                <w:sz w:val="20"/>
                <w:lang w:val="sr-Cyrl-CS"/>
              </w:rPr>
              <w:t>Текући расходи</w:t>
            </w:r>
          </w:p>
        </w:tc>
        <w:tc>
          <w:tcPr>
            <w:tcW w:w="644" w:type="pct"/>
            <w:tcBorders>
              <w:left w:val="none" w:sz="0" w:space="0" w:color="auto"/>
              <w:right w:val="none" w:sz="0" w:space="0" w:color="auto"/>
            </w:tcBorders>
            <w:shd w:val="clear" w:color="auto" w:fill="FFFFFF" w:themeFill="background1"/>
          </w:tcPr>
          <w:p w14:paraId="170FB743" w14:textId="77777777" w:rsidR="00576A4F" w:rsidRPr="00092ED7" w:rsidRDefault="00576A4F" w:rsidP="00A06946">
            <w:pPr>
              <w:shd w:val="clear" w:color="auto" w:fill="FFFFFF" w:themeFill="background1"/>
              <w:spacing w:after="0"/>
              <w:jc w:val="right"/>
              <w:rPr>
                <w:color w:val="auto"/>
                <w:sz w:val="20"/>
                <w:lang w:val="sr-Cyrl-CS"/>
              </w:rPr>
            </w:pPr>
            <w:r w:rsidRPr="00092ED7">
              <w:rPr>
                <w:color w:val="auto"/>
                <w:sz w:val="20"/>
                <w:lang w:val="sr-Cyrl-CS"/>
              </w:rPr>
              <w:t>39,0</w:t>
            </w:r>
          </w:p>
        </w:tc>
        <w:tc>
          <w:tcPr>
            <w:tcW w:w="644" w:type="pct"/>
            <w:tcBorders>
              <w:left w:val="none" w:sz="0" w:space="0" w:color="auto"/>
              <w:right w:val="none" w:sz="0" w:space="0" w:color="auto"/>
            </w:tcBorders>
            <w:shd w:val="clear" w:color="auto" w:fill="FFFFFF" w:themeFill="background1"/>
            <w:noWrap/>
          </w:tcPr>
          <w:p w14:paraId="50F64F98" w14:textId="77777777" w:rsidR="00576A4F" w:rsidRPr="00092ED7" w:rsidRDefault="00576A4F" w:rsidP="00A06946">
            <w:pPr>
              <w:shd w:val="clear" w:color="auto" w:fill="FFFFFF" w:themeFill="background1"/>
              <w:spacing w:after="0"/>
              <w:jc w:val="right"/>
              <w:rPr>
                <w:color w:val="auto"/>
                <w:sz w:val="20"/>
                <w:lang w:val="sr-Cyrl-CS"/>
              </w:rPr>
            </w:pPr>
            <w:r w:rsidRPr="00092ED7">
              <w:rPr>
                <w:color w:val="auto"/>
                <w:sz w:val="20"/>
                <w:lang w:val="sr-Cyrl-CS"/>
              </w:rPr>
              <w:t>37,1</w:t>
            </w:r>
          </w:p>
        </w:tc>
        <w:tc>
          <w:tcPr>
            <w:tcW w:w="581" w:type="pct"/>
            <w:tcBorders>
              <w:left w:val="none" w:sz="0" w:space="0" w:color="auto"/>
              <w:right w:val="none" w:sz="0" w:space="0" w:color="auto"/>
            </w:tcBorders>
            <w:shd w:val="clear" w:color="auto" w:fill="FFFFFF" w:themeFill="background1"/>
            <w:noWrap/>
          </w:tcPr>
          <w:p w14:paraId="14585449" w14:textId="77777777" w:rsidR="00576A4F" w:rsidRPr="00092ED7" w:rsidRDefault="00576A4F" w:rsidP="00A06946">
            <w:pPr>
              <w:shd w:val="clear" w:color="auto" w:fill="FFFFFF" w:themeFill="background1"/>
              <w:spacing w:after="0"/>
              <w:jc w:val="right"/>
              <w:rPr>
                <w:color w:val="auto"/>
                <w:sz w:val="20"/>
                <w:lang w:val="sr-Cyrl-CS"/>
              </w:rPr>
            </w:pPr>
            <w:r w:rsidRPr="00092ED7">
              <w:rPr>
                <w:color w:val="auto"/>
                <w:sz w:val="20"/>
                <w:lang w:val="sr-Cyrl-CS"/>
              </w:rPr>
              <w:t>35,6</w:t>
            </w:r>
          </w:p>
        </w:tc>
        <w:tc>
          <w:tcPr>
            <w:tcW w:w="581" w:type="pct"/>
            <w:tcBorders>
              <w:left w:val="none" w:sz="0" w:space="0" w:color="auto"/>
              <w:right w:val="none" w:sz="0" w:space="0" w:color="auto"/>
            </w:tcBorders>
            <w:shd w:val="clear" w:color="auto" w:fill="FFFFFF" w:themeFill="background1"/>
            <w:noWrap/>
          </w:tcPr>
          <w:p w14:paraId="1BA634BC" w14:textId="77777777" w:rsidR="00576A4F" w:rsidRPr="00092ED7" w:rsidRDefault="00576A4F" w:rsidP="00A06946">
            <w:pPr>
              <w:shd w:val="clear" w:color="auto" w:fill="FFFFFF" w:themeFill="background1"/>
              <w:spacing w:after="0"/>
              <w:jc w:val="right"/>
              <w:rPr>
                <w:color w:val="auto"/>
                <w:sz w:val="20"/>
                <w:lang w:val="sr-Cyrl-CS"/>
              </w:rPr>
            </w:pPr>
            <w:r w:rsidRPr="00092ED7">
              <w:rPr>
                <w:color w:val="auto"/>
                <w:sz w:val="20"/>
                <w:lang w:val="sr-Cyrl-CS"/>
              </w:rPr>
              <w:t>35,2</w:t>
            </w:r>
          </w:p>
        </w:tc>
        <w:tc>
          <w:tcPr>
            <w:tcW w:w="583" w:type="pct"/>
            <w:tcBorders>
              <w:left w:val="none" w:sz="0" w:space="0" w:color="auto"/>
              <w:right w:val="none" w:sz="0" w:space="0" w:color="auto"/>
            </w:tcBorders>
            <w:shd w:val="clear" w:color="auto" w:fill="FFFFFF" w:themeFill="background1"/>
            <w:noWrap/>
          </w:tcPr>
          <w:p w14:paraId="5241DD53" w14:textId="77777777" w:rsidR="00576A4F" w:rsidRPr="00092ED7" w:rsidRDefault="00576A4F" w:rsidP="00A06946">
            <w:pPr>
              <w:shd w:val="clear" w:color="auto" w:fill="FFFFFF" w:themeFill="background1"/>
              <w:spacing w:after="0"/>
              <w:jc w:val="right"/>
              <w:rPr>
                <w:color w:val="auto"/>
                <w:sz w:val="20"/>
                <w:lang w:val="sr-Cyrl-CS"/>
              </w:rPr>
            </w:pPr>
            <w:r w:rsidRPr="00092ED7">
              <w:rPr>
                <w:color w:val="auto"/>
                <w:sz w:val="20"/>
                <w:lang w:val="sr-Cyrl-CS"/>
              </w:rPr>
              <w:t>34,6</w:t>
            </w:r>
          </w:p>
        </w:tc>
      </w:tr>
      <w:tr w:rsidR="00576A4F" w:rsidRPr="00092ED7" w14:paraId="127076E7" w14:textId="77777777" w:rsidTr="00A3670F">
        <w:trPr>
          <w:trHeight w:val="49"/>
        </w:trPr>
        <w:tc>
          <w:tcPr>
            <w:tcW w:w="1967" w:type="pct"/>
            <w:shd w:val="clear" w:color="auto" w:fill="FFFFFF" w:themeFill="background1"/>
          </w:tcPr>
          <w:p w14:paraId="4B857E0D" w14:textId="77777777" w:rsidR="00576A4F" w:rsidRPr="00092ED7" w:rsidRDefault="00576A4F" w:rsidP="00A06946">
            <w:pPr>
              <w:widowControl w:val="0"/>
              <w:shd w:val="clear" w:color="auto" w:fill="FFFFFF" w:themeFill="background1"/>
              <w:spacing w:after="0"/>
              <w:ind w:left="284"/>
              <w:rPr>
                <w:rFonts w:eastAsia="Times New Roman"/>
                <w:bCs/>
                <w:color w:val="auto"/>
                <w:sz w:val="20"/>
                <w:lang w:val="sr-Cyrl-CS"/>
              </w:rPr>
            </w:pPr>
            <w:r w:rsidRPr="00092ED7">
              <w:rPr>
                <w:rFonts w:eastAsia="Times New Roman"/>
                <w:bCs/>
                <w:color w:val="auto"/>
                <w:sz w:val="20"/>
                <w:lang w:val="sr-Cyrl-CS"/>
              </w:rPr>
              <w:t>Расходи за запослене</w:t>
            </w:r>
          </w:p>
        </w:tc>
        <w:tc>
          <w:tcPr>
            <w:tcW w:w="644" w:type="pct"/>
            <w:shd w:val="clear" w:color="auto" w:fill="FFFFFF" w:themeFill="background1"/>
          </w:tcPr>
          <w:p w14:paraId="5B41939C" w14:textId="77777777" w:rsidR="00576A4F" w:rsidRPr="00092ED7" w:rsidRDefault="00576A4F" w:rsidP="00A06946">
            <w:pPr>
              <w:shd w:val="clear" w:color="auto" w:fill="FFFFFF" w:themeFill="background1"/>
              <w:spacing w:after="0"/>
              <w:jc w:val="right"/>
              <w:rPr>
                <w:color w:val="auto"/>
                <w:sz w:val="20"/>
                <w:lang w:val="sr-Cyrl-CS"/>
              </w:rPr>
            </w:pPr>
            <w:r w:rsidRPr="00092ED7">
              <w:rPr>
                <w:color w:val="auto"/>
                <w:sz w:val="20"/>
                <w:lang w:val="sr-Cyrl-CS"/>
              </w:rPr>
              <w:t>10,0</w:t>
            </w:r>
          </w:p>
        </w:tc>
        <w:tc>
          <w:tcPr>
            <w:tcW w:w="644" w:type="pct"/>
            <w:shd w:val="clear" w:color="auto" w:fill="FFFFFF" w:themeFill="background1"/>
            <w:noWrap/>
          </w:tcPr>
          <w:p w14:paraId="7DC8AE2C" w14:textId="77777777" w:rsidR="00576A4F" w:rsidRPr="00092ED7" w:rsidRDefault="00576A4F" w:rsidP="00A06946">
            <w:pPr>
              <w:shd w:val="clear" w:color="auto" w:fill="FFFFFF" w:themeFill="background1"/>
              <w:spacing w:after="0"/>
              <w:jc w:val="right"/>
              <w:rPr>
                <w:color w:val="auto"/>
                <w:sz w:val="20"/>
                <w:lang w:val="sr-Cyrl-CS"/>
              </w:rPr>
            </w:pPr>
            <w:r w:rsidRPr="00092ED7">
              <w:rPr>
                <w:color w:val="auto"/>
                <w:sz w:val="20"/>
                <w:lang w:val="sr-Cyrl-CS"/>
              </w:rPr>
              <w:t>9,7</w:t>
            </w:r>
          </w:p>
        </w:tc>
        <w:tc>
          <w:tcPr>
            <w:tcW w:w="581" w:type="pct"/>
            <w:shd w:val="clear" w:color="auto" w:fill="FFFFFF" w:themeFill="background1"/>
            <w:noWrap/>
          </w:tcPr>
          <w:p w14:paraId="16CEBA69" w14:textId="77777777" w:rsidR="00576A4F" w:rsidRPr="00092ED7" w:rsidRDefault="00576A4F" w:rsidP="00A06946">
            <w:pPr>
              <w:shd w:val="clear" w:color="auto" w:fill="FFFFFF" w:themeFill="background1"/>
              <w:spacing w:after="0"/>
              <w:jc w:val="right"/>
              <w:rPr>
                <w:color w:val="auto"/>
                <w:sz w:val="20"/>
                <w:lang w:val="sr-Cyrl-CS"/>
              </w:rPr>
            </w:pPr>
            <w:r w:rsidRPr="00092ED7">
              <w:rPr>
                <w:color w:val="auto"/>
                <w:sz w:val="20"/>
                <w:lang w:val="sr-Cyrl-CS"/>
              </w:rPr>
              <w:t>9,6</w:t>
            </w:r>
          </w:p>
        </w:tc>
        <w:tc>
          <w:tcPr>
            <w:tcW w:w="581" w:type="pct"/>
            <w:shd w:val="clear" w:color="auto" w:fill="FFFFFF" w:themeFill="background1"/>
            <w:noWrap/>
          </w:tcPr>
          <w:p w14:paraId="13D1FB54" w14:textId="77777777" w:rsidR="00576A4F" w:rsidRPr="00092ED7" w:rsidRDefault="00576A4F" w:rsidP="00A06946">
            <w:pPr>
              <w:shd w:val="clear" w:color="auto" w:fill="FFFFFF" w:themeFill="background1"/>
              <w:spacing w:after="0"/>
              <w:jc w:val="right"/>
              <w:rPr>
                <w:color w:val="auto"/>
                <w:sz w:val="20"/>
                <w:lang w:val="sr-Cyrl-CS"/>
              </w:rPr>
            </w:pPr>
            <w:r w:rsidRPr="00092ED7">
              <w:rPr>
                <w:color w:val="auto"/>
                <w:sz w:val="20"/>
                <w:lang w:val="sr-Cyrl-CS"/>
              </w:rPr>
              <w:t>9,6</w:t>
            </w:r>
          </w:p>
        </w:tc>
        <w:tc>
          <w:tcPr>
            <w:tcW w:w="583" w:type="pct"/>
            <w:shd w:val="clear" w:color="auto" w:fill="FFFFFF" w:themeFill="background1"/>
            <w:noWrap/>
          </w:tcPr>
          <w:p w14:paraId="79A38D4B" w14:textId="77777777" w:rsidR="00576A4F" w:rsidRPr="00092ED7" w:rsidRDefault="00576A4F" w:rsidP="00A06946">
            <w:pPr>
              <w:shd w:val="clear" w:color="auto" w:fill="FFFFFF" w:themeFill="background1"/>
              <w:spacing w:after="0"/>
              <w:jc w:val="right"/>
              <w:rPr>
                <w:color w:val="auto"/>
                <w:sz w:val="20"/>
                <w:lang w:val="sr-Cyrl-CS"/>
              </w:rPr>
            </w:pPr>
            <w:r w:rsidRPr="00092ED7">
              <w:rPr>
                <w:color w:val="auto"/>
                <w:sz w:val="20"/>
                <w:lang w:val="sr-Cyrl-CS"/>
              </w:rPr>
              <w:t>9,6</w:t>
            </w:r>
          </w:p>
        </w:tc>
      </w:tr>
      <w:tr w:rsidR="00576A4F" w:rsidRPr="00092ED7" w14:paraId="73AA2F88" w14:textId="77777777" w:rsidTr="00A3670F">
        <w:trPr>
          <w:cnfStyle w:val="000000100000" w:firstRow="0" w:lastRow="0" w:firstColumn="0" w:lastColumn="0" w:oddVBand="0" w:evenVBand="0" w:oddHBand="1" w:evenHBand="0" w:firstRowFirstColumn="0" w:firstRowLastColumn="0" w:lastRowFirstColumn="0" w:lastRowLastColumn="0"/>
          <w:trHeight w:val="49"/>
        </w:trPr>
        <w:tc>
          <w:tcPr>
            <w:tcW w:w="1967" w:type="pct"/>
            <w:tcBorders>
              <w:left w:val="none" w:sz="0" w:space="0" w:color="auto"/>
              <w:right w:val="none" w:sz="0" w:space="0" w:color="auto"/>
            </w:tcBorders>
            <w:shd w:val="clear" w:color="auto" w:fill="FFFFFF" w:themeFill="background1"/>
          </w:tcPr>
          <w:p w14:paraId="7F8E2ABF" w14:textId="77777777" w:rsidR="00576A4F" w:rsidRPr="00092ED7" w:rsidRDefault="00576A4F" w:rsidP="00A06946">
            <w:pPr>
              <w:widowControl w:val="0"/>
              <w:shd w:val="clear" w:color="auto" w:fill="FFFFFF" w:themeFill="background1"/>
              <w:spacing w:after="0"/>
              <w:ind w:left="284"/>
              <w:rPr>
                <w:rFonts w:eastAsia="Times New Roman"/>
                <w:bCs/>
                <w:color w:val="auto"/>
                <w:sz w:val="20"/>
                <w:lang w:val="sr-Cyrl-CS"/>
              </w:rPr>
            </w:pPr>
            <w:r w:rsidRPr="00092ED7">
              <w:rPr>
                <w:rFonts w:eastAsia="Times New Roman"/>
                <w:bCs/>
                <w:color w:val="auto"/>
                <w:sz w:val="20"/>
                <w:lang w:val="sr-Cyrl-CS"/>
              </w:rPr>
              <w:t>Куповина робе и услуга</w:t>
            </w:r>
          </w:p>
        </w:tc>
        <w:tc>
          <w:tcPr>
            <w:tcW w:w="644" w:type="pct"/>
            <w:tcBorders>
              <w:left w:val="none" w:sz="0" w:space="0" w:color="auto"/>
              <w:right w:val="none" w:sz="0" w:space="0" w:color="auto"/>
            </w:tcBorders>
            <w:shd w:val="clear" w:color="auto" w:fill="FFFFFF" w:themeFill="background1"/>
          </w:tcPr>
          <w:p w14:paraId="0C0ACF63" w14:textId="77777777" w:rsidR="00576A4F" w:rsidRPr="00092ED7" w:rsidRDefault="00576A4F" w:rsidP="00A06946">
            <w:pPr>
              <w:shd w:val="clear" w:color="auto" w:fill="FFFFFF" w:themeFill="background1"/>
              <w:spacing w:after="0"/>
              <w:jc w:val="right"/>
              <w:rPr>
                <w:color w:val="auto"/>
                <w:sz w:val="20"/>
                <w:lang w:val="sr-Cyrl-CS"/>
              </w:rPr>
            </w:pPr>
            <w:r w:rsidRPr="00092ED7">
              <w:rPr>
                <w:color w:val="auto"/>
                <w:sz w:val="20"/>
                <w:lang w:val="sr-Cyrl-CS"/>
              </w:rPr>
              <w:t>7,8</w:t>
            </w:r>
          </w:p>
        </w:tc>
        <w:tc>
          <w:tcPr>
            <w:tcW w:w="644" w:type="pct"/>
            <w:tcBorders>
              <w:left w:val="none" w:sz="0" w:space="0" w:color="auto"/>
              <w:right w:val="none" w:sz="0" w:space="0" w:color="auto"/>
            </w:tcBorders>
            <w:shd w:val="clear" w:color="auto" w:fill="FFFFFF" w:themeFill="background1"/>
            <w:noWrap/>
          </w:tcPr>
          <w:p w14:paraId="15C2AEF5" w14:textId="77777777" w:rsidR="00576A4F" w:rsidRPr="00092ED7" w:rsidRDefault="00576A4F" w:rsidP="00A06946">
            <w:pPr>
              <w:shd w:val="clear" w:color="auto" w:fill="FFFFFF" w:themeFill="background1"/>
              <w:spacing w:after="0"/>
              <w:jc w:val="right"/>
              <w:rPr>
                <w:color w:val="auto"/>
                <w:sz w:val="20"/>
                <w:lang w:val="sr-Cyrl-CS"/>
              </w:rPr>
            </w:pPr>
            <w:r w:rsidRPr="00092ED7">
              <w:rPr>
                <w:color w:val="auto"/>
                <w:sz w:val="20"/>
                <w:lang w:val="sr-Cyrl-CS"/>
              </w:rPr>
              <w:t>7,8</w:t>
            </w:r>
          </w:p>
        </w:tc>
        <w:tc>
          <w:tcPr>
            <w:tcW w:w="581" w:type="pct"/>
            <w:tcBorders>
              <w:left w:val="none" w:sz="0" w:space="0" w:color="auto"/>
              <w:right w:val="none" w:sz="0" w:space="0" w:color="auto"/>
            </w:tcBorders>
            <w:shd w:val="clear" w:color="auto" w:fill="FFFFFF" w:themeFill="background1"/>
            <w:noWrap/>
          </w:tcPr>
          <w:p w14:paraId="68BEA400" w14:textId="77777777" w:rsidR="00576A4F" w:rsidRPr="00092ED7" w:rsidRDefault="00576A4F" w:rsidP="00A06946">
            <w:pPr>
              <w:shd w:val="clear" w:color="auto" w:fill="FFFFFF" w:themeFill="background1"/>
              <w:spacing w:after="0"/>
              <w:jc w:val="right"/>
              <w:rPr>
                <w:color w:val="auto"/>
                <w:sz w:val="20"/>
                <w:lang w:val="sr-Cyrl-CS"/>
              </w:rPr>
            </w:pPr>
            <w:r w:rsidRPr="00092ED7">
              <w:rPr>
                <w:color w:val="auto"/>
                <w:sz w:val="20"/>
                <w:lang w:val="sr-Cyrl-CS"/>
              </w:rPr>
              <w:t>7,2</w:t>
            </w:r>
          </w:p>
        </w:tc>
        <w:tc>
          <w:tcPr>
            <w:tcW w:w="581" w:type="pct"/>
            <w:tcBorders>
              <w:left w:val="none" w:sz="0" w:space="0" w:color="auto"/>
              <w:right w:val="none" w:sz="0" w:space="0" w:color="auto"/>
            </w:tcBorders>
            <w:shd w:val="clear" w:color="auto" w:fill="FFFFFF" w:themeFill="background1"/>
            <w:noWrap/>
          </w:tcPr>
          <w:p w14:paraId="74A67A46" w14:textId="77777777" w:rsidR="00576A4F" w:rsidRPr="00092ED7" w:rsidRDefault="00576A4F" w:rsidP="00A06946">
            <w:pPr>
              <w:shd w:val="clear" w:color="auto" w:fill="FFFFFF" w:themeFill="background1"/>
              <w:spacing w:after="0"/>
              <w:jc w:val="right"/>
              <w:rPr>
                <w:color w:val="auto"/>
                <w:sz w:val="20"/>
                <w:lang w:val="sr-Cyrl-CS"/>
              </w:rPr>
            </w:pPr>
            <w:r w:rsidRPr="00092ED7">
              <w:rPr>
                <w:color w:val="auto"/>
                <w:sz w:val="20"/>
                <w:lang w:val="sr-Cyrl-CS"/>
              </w:rPr>
              <w:t>6,9</w:t>
            </w:r>
          </w:p>
        </w:tc>
        <w:tc>
          <w:tcPr>
            <w:tcW w:w="583" w:type="pct"/>
            <w:tcBorders>
              <w:left w:val="none" w:sz="0" w:space="0" w:color="auto"/>
              <w:right w:val="none" w:sz="0" w:space="0" w:color="auto"/>
            </w:tcBorders>
            <w:shd w:val="clear" w:color="auto" w:fill="FFFFFF" w:themeFill="background1"/>
            <w:noWrap/>
          </w:tcPr>
          <w:p w14:paraId="31ADCD4F" w14:textId="77777777" w:rsidR="00576A4F" w:rsidRPr="00092ED7" w:rsidRDefault="00576A4F" w:rsidP="00A06946">
            <w:pPr>
              <w:shd w:val="clear" w:color="auto" w:fill="FFFFFF" w:themeFill="background1"/>
              <w:spacing w:after="0"/>
              <w:jc w:val="right"/>
              <w:rPr>
                <w:color w:val="auto"/>
                <w:sz w:val="20"/>
                <w:lang w:val="sr-Cyrl-CS"/>
              </w:rPr>
            </w:pPr>
            <w:r w:rsidRPr="00092ED7">
              <w:rPr>
                <w:color w:val="auto"/>
                <w:sz w:val="20"/>
                <w:lang w:val="sr-Cyrl-CS"/>
              </w:rPr>
              <w:t>6,7</w:t>
            </w:r>
          </w:p>
        </w:tc>
      </w:tr>
      <w:tr w:rsidR="00576A4F" w:rsidRPr="00092ED7" w14:paraId="45025BCB" w14:textId="77777777" w:rsidTr="00A3670F">
        <w:trPr>
          <w:trHeight w:val="49"/>
        </w:trPr>
        <w:tc>
          <w:tcPr>
            <w:tcW w:w="1967" w:type="pct"/>
            <w:shd w:val="clear" w:color="auto" w:fill="FFFFFF" w:themeFill="background1"/>
          </w:tcPr>
          <w:p w14:paraId="62EE5A75" w14:textId="77777777" w:rsidR="00576A4F" w:rsidRPr="00092ED7" w:rsidRDefault="00576A4F" w:rsidP="00A06946">
            <w:pPr>
              <w:widowControl w:val="0"/>
              <w:shd w:val="clear" w:color="auto" w:fill="FFFFFF" w:themeFill="background1"/>
              <w:spacing w:after="0"/>
              <w:ind w:left="284"/>
              <w:rPr>
                <w:rFonts w:eastAsia="Times New Roman"/>
                <w:bCs/>
                <w:color w:val="auto"/>
                <w:sz w:val="20"/>
                <w:lang w:val="sr-Cyrl-CS"/>
              </w:rPr>
            </w:pPr>
            <w:r w:rsidRPr="00092ED7">
              <w:rPr>
                <w:rFonts w:eastAsia="Times New Roman"/>
                <w:bCs/>
                <w:color w:val="auto"/>
                <w:sz w:val="20"/>
                <w:lang w:val="sr-Cyrl-CS"/>
              </w:rPr>
              <w:t>Отплата камата</w:t>
            </w:r>
          </w:p>
        </w:tc>
        <w:tc>
          <w:tcPr>
            <w:tcW w:w="644" w:type="pct"/>
            <w:shd w:val="clear" w:color="auto" w:fill="FFFFFF" w:themeFill="background1"/>
          </w:tcPr>
          <w:p w14:paraId="6D1123A0" w14:textId="77777777" w:rsidR="00576A4F" w:rsidRPr="00092ED7" w:rsidRDefault="00576A4F" w:rsidP="00A06946">
            <w:pPr>
              <w:shd w:val="clear" w:color="auto" w:fill="FFFFFF" w:themeFill="background1"/>
              <w:spacing w:after="0"/>
              <w:jc w:val="right"/>
              <w:rPr>
                <w:color w:val="auto"/>
                <w:sz w:val="20"/>
                <w:lang w:val="sr-Cyrl-CS"/>
              </w:rPr>
            </w:pPr>
            <w:r w:rsidRPr="00092ED7">
              <w:rPr>
                <w:color w:val="auto"/>
                <w:sz w:val="20"/>
                <w:lang w:val="sr-Cyrl-CS"/>
              </w:rPr>
              <w:t>1,7</w:t>
            </w:r>
          </w:p>
        </w:tc>
        <w:tc>
          <w:tcPr>
            <w:tcW w:w="644" w:type="pct"/>
            <w:shd w:val="clear" w:color="auto" w:fill="FFFFFF" w:themeFill="background1"/>
            <w:noWrap/>
          </w:tcPr>
          <w:p w14:paraId="4590AB42" w14:textId="77777777" w:rsidR="00576A4F" w:rsidRPr="00092ED7" w:rsidRDefault="00576A4F" w:rsidP="00A06946">
            <w:pPr>
              <w:shd w:val="clear" w:color="auto" w:fill="FFFFFF" w:themeFill="background1"/>
              <w:spacing w:after="0"/>
              <w:jc w:val="right"/>
              <w:rPr>
                <w:color w:val="auto"/>
                <w:sz w:val="20"/>
                <w:lang w:val="sr-Cyrl-CS"/>
              </w:rPr>
            </w:pPr>
            <w:r w:rsidRPr="00092ED7">
              <w:rPr>
                <w:color w:val="auto"/>
                <w:sz w:val="20"/>
                <w:lang w:val="sr-Cyrl-CS"/>
              </w:rPr>
              <w:t>1,6</w:t>
            </w:r>
          </w:p>
        </w:tc>
        <w:tc>
          <w:tcPr>
            <w:tcW w:w="581" w:type="pct"/>
            <w:shd w:val="clear" w:color="auto" w:fill="FFFFFF" w:themeFill="background1"/>
            <w:noWrap/>
          </w:tcPr>
          <w:p w14:paraId="5A06DFD0" w14:textId="77777777" w:rsidR="00576A4F" w:rsidRPr="00092ED7" w:rsidRDefault="00576A4F" w:rsidP="00A06946">
            <w:pPr>
              <w:shd w:val="clear" w:color="auto" w:fill="FFFFFF" w:themeFill="background1"/>
              <w:spacing w:after="0"/>
              <w:jc w:val="right"/>
              <w:rPr>
                <w:color w:val="auto"/>
                <w:sz w:val="20"/>
                <w:lang w:val="sr-Cyrl-CS"/>
              </w:rPr>
            </w:pPr>
            <w:r w:rsidRPr="00092ED7">
              <w:rPr>
                <w:color w:val="auto"/>
                <w:sz w:val="20"/>
                <w:lang w:val="sr-Cyrl-CS"/>
              </w:rPr>
              <w:t>1,8</w:t>
            </w:r>
          </w:p>
        </w:tc>
        <w:tc>
          <w:tcPr>
            <w:tcW w:w="581" w:type="pct"/>
            <w:shd w:val="clear" w:color="auto" w:fill="FFFFFF" w:themeFill="background1"/>
            <w:noWrap/>
          </w:tcPr>
          <w:p w14:paraId="54C50A6C" w14:textId="77777777" w:rsidR="00576A4F" w:rsidRPr="00092ED7" w:rsidRDefault="00576A4F" w:rsidP="00A06946">
            <w:pPr>
              <w:shd w:val="clear" w:color="auto" w:fill="FFFFFF" w:themeFill="background1"/>
              <w:spacing w:after="0"/>
              <w:jc w:val="right"/>
              <w:rPr>
                <w:color w:val="auto"/>
                <w:sz w:val="20"/>
                <w:lang w:val="sr-Cyrl-CS"/>
              </w:rPr>
            </w:pPr>
            <w:r w:rsidRPr="00092ED7">
              <w:rPr>
                <w:color w:val="auto"/>
                <w:sz w:val="20"/>
                <w:lang w:val="sr-Cyrl-CS"/>
              </w:rPr>
              <w:t>2,1</w:t>
            </w:r>
          </w:p>
        </w:tc>
        <w:tc>
          <w:tcPr>
            <w:tcW w:w="583" w:type="pct"/>
            <w:shd w:val="clear" w:color="auto" w:fill="FFFFFF" w:themeFill="background1"/>
            <w:noWrap/>
          </w:tcPr>
          <w:p w14:paraId="262DC59A" w14:textId="77777777" w:rsidR="00576A4F" w:rsidRPr="00092ED7" w:rsidRDefault="00576A4F" w:rsidP="00A06946">
            <w:pPr>
              <w:shd w:val="clear" w:color="auto" w:fill="FFFFFF" w:themeFill="background1"/>
              <w:spacing w:after="0"/>
              <w:jc w:val="right"/>
              <w:rPr>
                <w:color w:val="auto"/>
                <w:sz w:val="20"/>
                <w:lang w:val="sr-Cyrl-CS"/>
              </w:rPr>
            </w:pPr>
            <w:r w:rsidRPr="00092ED7">
              <w:rPr>
                <w:color w:val="auto"/>
                <w:sz w:val="20"/>
                <w:lang w:val="sr-Cyrl-CS"/>
              </w:rPr>
              <w:t>1,9</w:t>
            </w:r>
          </w:p>
        </w:tc>
      </w:tr>
      <w:tr w:rsidR="00576A4F" w:rsidRPr="00092ED7" w14:paraId="702F07AC" w14:textId="77777777" w:rsidTr="00A3670F">
        <w:trPr>
          <w:cnfStyle w:val="000000100000" w:firstRow="0" w:lastRow="0" w:firstColumn="0" w:lastColumn="0" w:oddVBand="0" w:evenVBand="0" w:oddHBand="1" w:evenHBand="0" w:firstRowFirstColumn="0" w:firstRowLastColumn="0" w:lastRowFirstColumn="0" w:lastRowLastColumn="0"/>
          <w:trHeight w:val="49"/>
        </w:trPr>
        <w:tc>
          <w:tcPr>
            <w:tcW w:w="1967" w:type="pct"/>
            <w:tcBorders>
              <w:left w:val="none" w:sz="0" w:space="0" w:color="auto"/>
              <w:right w:val="none" w:sz="0" w:space="0" w:color="auto"/>
            </w:tcBorders>
            <w:shd w:val="clear" w:color="auto" w:fill="FFFFFF" w:themeFill="background1"/>
          </w:tcPr>
          <w:p w14:paraId="06885317" w14:textId="77777777" w:rsidR="00576A4F" w:rsidRPr="00092ED7" w:rsidRDefault="00576A4F" w:rsidP="00A06946">
            <w:pPr>
              <w:widowControl w:val="0"/>
              <w:shd w:val="clear" w:color="auto" w:fill="FFFFFF" w:themeFill="background1"/>
              <w:spacing w:after="0"/>
              <w:ind w:left="284"/>
              <w:rPr>
                <w:rFonts w:eastAsia="Times New Roman"/>
                <w:bCs/>
                <w:color w:val="auto"/>
                <w:sz w:val="20"/>
                <w:lang w:val="sr-Cyrl-CS"/>
              </w:rPr>
            </w:pPr>
            <w:r w:rsidRPr="00092ED7">
              <w:rPr>
                <w:rFonts w:eastAsia="Times New Roman"/>
                <w:bCs/>
                <w:color w:val="auto"/>
                <w:sz w:val="20"/>
                <w:lang w:val="sr-Cyrl-CS"/>
              </w:rPr>
              <w:t>Субвенције</w:t>
            </w:r>
          </w:p>
        </w:tc>
        <w:tc>
          <w:tcPr>
            <w:tcW w:w="644" w:type="pct"/>
            <w:tcBorders>
              <w:left w:val="none" w:sz="0" w:space="0" w:color="auto"/>
              <w:right w:val="none" w:sz="0" w:space="0" w:color="auto"/>
            </w:tcBorders>
            <w:shd w:val="clear" w:color="auto" w:fill="FFFFFF" w:themeFill="background1"/>
          </w:tcPr>
          <w:p w14:paraId="36E852C0" w14:textId="77777777" w:rsidR="00576A4F" w:rsidRPr="00092ED7" w:rsidRDefault="00576A4F" w:rsidP="00A06946">
            <w:pPr>
              <w:shd w:val="clear" w:color="auto" w:fill="FFFFFF" w:themeFill="background1"/>
              <w:spacing w:after="0"/>
              <w:jc w:val="right"/>
              <w:rPr>
                <w:color w:val="auto"/>
                <w:sz w:val="20"/>
                <w:lang w:val="sr-Cyrl-CS"/>
              </w:rPr>
            </w:pPr>
            <w:r w:rsidRPr="00092ED7">
              <w:rPr>
                <w:color w:val="auto"/>
                <w:sz w:val="20"/>
                <w:lang w:val="sr-Cyrl-CS"/>
              </w:rPr>
              <w:t>3,3</w:t>
            </w:r>
          </w:p>
        </w:tc>
        <w:tc>
          <w:tcPr>
            <w:tcW w:w="644" w:type="pct"/>
            <w:tcBorders>
              <w:left w:val="none" w:sz="0" w:space="0" w:color="auto"/>
              <w:right w:val="none" w:sz="0" w:space="0" w:color="auto"/>
            </w:tcBorders>
            <w:shd w:val="clear" w:color="auto" w:fill="FFFFFF" w:themeFill="background1"/>
            <w:noWrap/>
          </w:tcPr>
          <w:p w14:paraId="09BB6ED6" w14:textId="77777777" w:rsidR="00576A4F" w:rsidRPr="00092ED7" w:rsidRDefault="00576A4F" w:rsidP="00A06946">
            <w:pPr>
              <w:shd w:val="clear" w:color="auto" w:fill="FFFFFF" w:themeFill="background1"/>
              <w:spacing w:after="0"/>
              <w:jc w:val="right"/>
              <w:rPr>
                <w:color w:val="auto"/>
                <w:sz w:val="20"/>
                <w:lang w:val="sr-Cyrl-CS"/>
              </w:rPr>
            </w:pPr>
            <w:r w:rsidRPr="00092ED7">
              <w:rPr>
                <w:color w:val="auto"/>
                <w:sz w:val="20"/>
                <w:lang w:val="sr-Cyrl-CS"/>
              </w:rPr>
              <w:t>2,6</w:t>
            </w:r>
          </w:p>
        </w:tc>
        <w:tc>
          <w:tcPr>
            <w:tcW w:w="581" w:type="pct"/>
            <w:tcBorders>
              <w:left w:val="none" w:sz="0" w:space="0" w:color="auto"/>
              <w:right w:val="none" w:sz="0" w:space="0" w:color="auto"/>
            </w:tcBorders>
            <w:shd w:val="clear" w:color="auto" w:fill="FFFFFF" w:themeFill="background1"/>
            <w:noWrap/>
          </w:tcPr>
          <w:p w14:paraId="7697CE79" w14:textId="77777777" w:rsidR="00576A4F" w:rsidRPr="00092ED7" w:rsidRDefault="00576A4F" w:rsidP="00A06946">
            <w:pPr>
              <w:shd w:val="clear" w:color="auto" w:fill="FFFFFF" w:themeFill="background1"/>
              <w:spacing w:after="0"/>
              <w:jc w:val="right"/>
              <w:rPr>
                <w:color w:val="auto"/>
                <w:sz w:val="20"/>
                <w:lang w:val="sr-Cyrl-CS"/>
              </w:rPr>
            </w:pPr>
            <w:r w:rsidRPr="00092ED7">
              <w:rPr>
                <w:color w:val="auto"/>
                <w:sz w:val="20"/>
                <w:lang w:val="sr-Cyrl-CS"/>
              </w:rPr>
              <w:t>2,7</w:t>
            </w:r>
          </w:p>
        </w:tc>
        <w:tc>
          <w:tcPr>
            <w:tcW w:w="581" w:type="pct"/>
            <w:tcBorders>
              <w:left w:val="none" w:sz="0" w:space="0" w:color="auto"/>
              <w:right w:val="none" w:sz="0" w:space="0" w:color="auto"/>
            </w:tcBorders>
            <w:shd w:val="clear" w:color="auto" w:fill="FFFFFF" w:themeFill="background1"/>
            <w:noWrap/>
          </w:tcPr>
          <w:p w14:paraId="38D8E3C8" w14:textId="77777777" w:rsidR="00576A4F" w:rsidRPr="00092ED7" w:rsidRDefault="00576A4F" w:rsidP="00A06946">
            <w:pPr>
              <w:shd w:val="clear" w:color="auto" w:fill="FFFFFF" w:themeFill="background1"/>
              <w:spacing w:after="0"/>
              <w:jc w:val="right"/>
              <w:rPr>
                <w:color w:val="auto"/>
                <w:sz w:val="20"/>
                <w:lang w:val="sr-Cyrl-CS"/>
              </w:rPr>
            </w:pPr>
            <w:r w:rsidRPr="00092ED7">
              <w:rPr>
                <w:color w:val="auto"/>
                <w:sz w:val="20"/>
                <w:lang w:val="sr-Cyrl-CS"/>
              </w:rPr>
              <w:t>2,2</w:t>
            </w:r>
          </w:p>
        </w:tc>
        <w:tc>
          <w:tcPr>
            <w:tcW w:w="583" w:type="pct"/>
            <w:tcBorders>
              <w:left w:val="none" w:sz="0" w:space="0" w:color="auto"/>
              <w:right w:val="none" w:sz="0" w:space="0" w:color="auto"/>
            </w:tcBorders>
            <w:shd w:val="clear" w:color="auto" w:fill="FFFFFF" w:themeFill="background1"/>
            <w:noWrap/>
          </w:tcPr>
          <w:p w14:paraId="73A731D1" w14:textId="77777777" w:rsidR="00576A4F" w:rsidRPr="00092ED7" w:rsidRDefault="00576A4F" w:rsidP="00A06946">
            <w:pPr>
              <w:shd w:val="clear" w:color="auto" w:fill="FFFFFF" w:themeFill="background1"/>
              <w:spacing w:after="0"/>
              <w:jc w:val="right"/>
              <w:rPr>
                <w:color w:val="auto"/>
                <w:sz w:val="20"/>
                <w:lang w:val="sr-Cyrl-CS"/>
              </w:rPr>
            </w:pPr>
            <w:r w:rsidRPr="00092ED7">
              <w:rPr>
                <w:color w:val="auto"/>
                <w:sz w:val="20"/>
                <w:lang w:val="sr-Cyrl-CS"/>
              </w:rPr>
              <w:t>2,1</w:t>
            </w:r>
          </w:p>
        </w:tc>
      </w:tr>
      <w:tr w:rsidR="00576A4F" w:rsidRPr="00092ED7" w14:paraId="6A4E4065" w14:textId="77777777" w:rsidTr="00A3670F">
        <w:trPr>
          <w:trHeight w:val="49"/>
        </w:trPr>
        <w:tc>
          <w:tcPr>
            <w:tcW w:w="1967" w:type="pct"/>
            <w:shd w:val="clear" w:color="auto" w:fill="FFFFFF" w:themeFill="background1"/>
          </w:tcPr>
          <w:p w14:paraId="57464F4A" w14:textId="77777777" w:rsidR="00576A4F" w:rsidRPr="00092ED7" w:rsidRDefault="00576A4F" w:rsidP="00A06946">
            <w:pPr>
              <w:widowControl w:val="0"/>
              <w:shd w:val="clear" w:color="auto" w:fill="FFFFFF" w:themeFill="background1"/>
              <w:spacing w:after="0"/>
              <w:ind w:left="284"/>
              <w:rPr>
                <w:rFonts w:eastAsia="Times New Roman"/>
                <w:bCs/>
                <w:color w:val="auto"/>
                <w:sz w:val="20"/>
                <w:lang w:val="sr-Cyrl-CS"/>
              </w:rPr>
            </w:pPr>
            <w:r w:rsidRPr="00092ED7">
              <w:rPr>
                <w:rFonts w:eastAsia="Times New Roman"/>
                <w:bCs/>
                <w:color w:val="auto"/>
                <w:sz w:val="20"/>
                <w:lang w:val="sr-Cyrl-CS"/>
              </w:rPr>
              <w:t>Социјална помоћ и трансфери</w:t>
            </w:r>
          </w:p>
        </w:tc>
        <w:tc>
          <w:tcPr>
            <w:tcW w:w="644" w:type="pct"/>
            <w:shd w:val="clear" w:color="auto" w:fill="FFFFFF" w:themeFill="background1"/>
          </w:tcPr>
          <w:p w14:paraId="3F5CA2D3" w14:textId="77777777" w:rsidR="00576A4F" w:rsidRPr="00092ED7" w:rsidRDefault="00576A4F" w:rsidP="00A06946">
            <w:pPr>
              <w:shd w:val="clear" w:color="auto" w:fill="FFFFFF" w:themeFill="background1"/>
              <w:spacing w:after="0"/>
              <w:jc w:val="right"/>
              <w:rPr>
                <w:color w:val="auto"/>
                <w:sz w:val="20"/>
                <w:lang w:val="sr-Cyrl-CS"/>
              </w:rPr>
            </w:pPr>
            <w:r w:rsidRPr="00092ED7">
              <w:rPr>
                <w:color w:val="auto"/>
                <w:sz w:val="20"/>
                <w:lang w:val="sr-Cyrl-CS"/>
              </w:rPr>
              <w:t>13,6</w:t>
            </w:r>
          </w:p>
        </w:tc>
        <w:tc>
          <w:tcPr>
            <w:tcW w:w="644" w:type="pct"/>
            <w:shd w:val="clear" w:color="auto" w:fill="FFFFFF" w:themeFill="background1"/>
            <w:noWrap/>
          </w:tcPr>
          <w:p w14:paraId="5FDF436E" w14:textId="77777777" w:rsidR="00576A4F" w:rsidRPr="00092ED7" w:rsidRDefault="00576A4F" w:rsidP="00A06946">
            <w:pPr>
              <w:shd w:val="clear" w:color="auto" w:fill="FFFFFF" w:themeFill="background1"/>
              <w:spacing w:after="0"/>
              <w:jc w:val="right"/>
              <w:rPr>
                <w:color w:val="auto"/>
                <w:sz w:val="20"/>
                <w:lang w:val="sr-Cyrl-CS"/>
              </w:rPr>
            </w:pPr>
            <w:r w:rsidRPr="00092ED7">
              <w:rPr>
                <w:color w:val="auto"/>
                <w:sz w:val="20"/>
                <w:lang w:val="sr-Cyrl-CS"/>
              </w:rPr>
              <w:t>13,0</w:t>
            </w:r>
          </w:p>
        </w:tc>
        <w:tc>
          <w:tcPr>
            <w:tcW w:w="581" w:type="pct"/>
            <w:shd w:val="clear" w:color="auto" w:fill="FFFFFF" w:themeFill="background1"/>
            <w:noWrap/>
          </w:tcPr>
          <w:p w14:paraId="132AB771" w14:textId="77777777" w:rsidR="00576A4F" w:rsidRPr="00092ED7" w:rsidRDefault="00576A4F" w:rsidP="00A06946">
            <w:pPr>
              <w:shd w:val="clear" w:color="auto" w:fill="FFFFFF" w:themeFill="background1"/>
              <w:spacing w:after="0"/>
              <w:jc w:val="right"/>
              <w:rPr>
                <w:color w:val="auto"/>
                <w:sz w:val="20"/>
                <w:lang w:val="sr-Cyrl-CS"/>
              </w:rPr>
            </w:pPr>
            <w:r w:rsidRPr="00092ED7">
              <w:rPr>
                <w:color w:val="auto"/>
                <w:sz w:val="20"/>
                <w:lang w:val="sr-Cyrl-CS"/>
              </w:rPr>
              <w:t>13,0</w:t>
            </w:r>
          </w:p>
        </w:tc>
        <w:tc>
          <w:tcPr>
            <w:tcW w:w="581" w:type="pct"/>
            <w:shd w:val="clear" w:color="auto" w:fill="FFFFFF" w:themeFill="background1"/>
            <w:noWrap/>
          </w:tcPr>
          <w:p w14:paraId="68CC33C7" w14:textId="77777777" w:rsidR="00576A4F" w:rsidRPr="00092ED7" w:rsidRDefault="00576A4F" w:rsidP="00A06946">
            <w:pPr>
              <w:shd w:val="clear" w:color="auto" w:fill="FFFFFF" w:themeFill="background1"/>
              <w:spacing w:after="0"/>
              <w:jc w:val="right"/>
              <w:rPr>
                <w:color w:val="auto"/>
                <w:sz w:val="20"/>
                <w:lang w:val="sr-Cyrl-CS"/>
              </w:rPr>
            </w:pPr>
            <w:r w:rsidRPr="00092ED7">
              <w:rPr>
                <w:color w:val="auto"/>
                <w:sz w:val="20"/>
                <w:lang w:val="sr-Cyrl-CS"/>
              </w:rPr>
              <w:t>13,2</w:t>
            </w:r>
          </w:p>
        </w:tc>
        <w:tc>
          <w:tcPr>
            <w:tcW w:w="583" w:type="pct"/>
            <w:shd w:val="clear" w:color="auto" w:fill="FFFFFF" w:themeFill="background1"/>
            <w:noWrap/>
          </w:tcPr>
          <w:p w14:paraId="7CEB4F4D" w14:textId="77777777" w:rsidR="00576A4F" w:rsidRPr="00092ED7" w:rsidRDefault="00576A4F" w:rsidP="00A06946">
            <w:pPr>
              <w:shd w:val="clear" w:color="auto" w:fill="FFFFFF" w:themeFill="background1"/>
              <w:spacing w:after="0"/>
              <w:jc w:val="right"/>
              <w:rPr>
                <w:color w:val="auto"/>
                <w:sz w:val="20"/>
                <w:lang w:val="sr-Cyrl-CS"/>
              </w:rPr>
            </w:pPr>
            <w:r w:rsidRPr="00092ED7">
              <w:rPr>
                <w:color w:val="auto"/>
                <w:sz w:val="20"/>
                <w:lang w:val="sr-Cyrl-CS"/>
              </w:rPr>
              <w:t>13,1</w:t>
            </w:r>
          </w:p>
        </w:tc>
      </w:tr>
      <w:tr w:rsidR="00576A4F" w:rsidRPr="00092ED7" w14:paraId="148A810C" w14:textId="77777777" w:rsidTr="00A3670F">
        <w:trPr>
          <w:cnfStyle w:val="000000100000" w:firstRow="0" w:lastRow="0" w:firstColumn="0" w:lastColumn="0" w:oddVBand="0" w:evenVBand="0" w:oddHBand="1" w:evenHBand="0" w:firstRowFirstColumn="0" w:firstRowLastColumn="0" w:lastRowFirstColumn="0" w:lastRowLastColumn="0"/>
          <w:trHeight w:val="104"/>
        </w:trPr>
        <w:tc>
          <w:tcPr>
            <w:tcW w:w="1967" w:type="pct"/>
            <w:tcBorders>
              <w:left w:val="none" w:sz="0" w:space="0" w:color="auto"/>
              <w:right w:val="none" w:sz="0" w:space="0" w:color="auto"/>
            </w:tcBorders>
            <w:shd w:val="clear" w:color="auto" w:fill="FFFFFF" w:themeFill="background1"/>
          </w:tcPr>
          <w:p w14:paraId="5709539B" w14:textId="77777777" w:rsidR="00576A4F" w:rsidRPr="00092ED7" w:rsidRDefault="00576A4F" w:rsidP="00A06946">
            <w:pPr>
              <w:widowControl w:val="0"/>
              <w:shd w:val="clear" w:color="auto" w:fill="FFFFFF" w:themeFill="background1"/>
              <w:spacing w:after="0"/>
              <w:ind w:left="397"/>
              <w:rPr>
                <w:rFonts w:eastAsia="Times New Roman"/>
                <w:bCs/>
                <w:i/>
                <w:color w:val="auto"/>
                <w:sz w:val="20"/>
                <w:lang w:val="sr-Cyrl-CS"/>
              </w:rPr>
            </w:pPr>
            <w:r w:rsidRPr="00092ED7">
              <w:rPr>
                <w:rFonts w:eastAsia="Times New Roman"/>
                <w:bCs/>
                <w:i/>
                <w:color w:val="auto"/>
                <w:sz w:val="20"/>
                <w:lang w:val="sr-Cyrl-CS"/>
              </w:rPr>
              <w:t>од чега пензије</w:t>
            </w:r>
          </w:p>
        </w:tc>
        <w:tc>
          <w:tcPr>
            <w:tcW w:w="644" w:type="pct"/>
            <w:tcBorders>
              <w:left w:val="none" w:sz="0" w:space="0" w:color="auto"/>
              <w:right w:val="none" w:sz="0" w:space="0" w:color="auto"/>
            </w:tcBorders>
            <w:shd w:val="clear" w:color="auto" w:fill="FFFFFF" w:themeFill="background1"/>
          </w:tcPr>
          <w:p w14:paraId="1BD95740" w14:textId="77777777" w:rsidR="00576A4F" w:rsidRPr="00092ED7" w:rsidRDefault="00576A4F" w:rsidP="00A06946">
            <w:pPr>
              <w:shd w:val="clear" w:color="auto" w:fill="FFFFFF" w:themeFill="background1"/>
              <w:spacing w:after="0"/>
              <w:jc w:val="right"/>
              <w:rPr>
                <w:i/>
                <w:color w:val="auto"/>
                <w:sz w:val="20"/>
                <w:lang w:val="sr-Cyrl-CS"/>
              </w:rPr>
            </w:pPr>
            <w:r w:rsidRPr="00092ED7">
              <w:rPr>
                <w:color w:val="auto"/>
                <w:sz w:val="20"/>
                <w:lang w:val="sr-Cyrl-CS"/>
              </w:rPr>
              <w:t>9,7</w:t>
            </w:r>
          </w:p>
        </w:tc>
        <w:tc>
          <w:tcPr>
            <w:tcW w:w="644" w:type="pct"/>
            <w:tcBorders>
              <w:left w:val="none" w:sz="0" w:space="0" w:color="auto"/>
              <w:right w:val="none" w:sz="0" w:space="0" w:color="auto"/>
            </w:tcBorders>
            <w:shd w:val="clear" w:color="auto" w:fill="FFFFFF" w:themeFill="background1"/>
            <w:noWrap/>
          </w:tcPr>
          <w:p w14:paraId="7BF4E1FA" w14:textId="77777777" w:rsidR="00576A4F" w:rsidRPr="00092ED7" w:rsidRDefault="00576A4F" w:rsidP="00A06946">
            <w:pPr>
              <w:shd w:val="clear" w:color="auto" w:fill="FFFFFF" w:themeFill="background1"/>
              <w:spacing w:after="0"/>
              <w:jc w:val="right"/>
              <w:rPr>
                <w:i/>
                <w:color w:val="auto"/>
                <w:sz w:val="20"/>
                <w:lang w:val="sr-Cyrl-CS"/>
              </w:rPr>
            </w:pPr>
            <w:r w:rsidRPr="00092ED7">
              <w:rPr>
                <w:color w:val="auto"/>
                <w:sz w:val="20"/>
                <w:lang w:val="sr-Cyrl-CS"/>
              </w:rPr>
              <w:t>9,0</w:t>
            </w:r>
          </w:p>
        </w:tc>
        <w:tc>
          <w:tcPr>
            <w:tcW w:w="581" w:type="pct"/>
            <w:tcBorders>
              <w:left w:val="none" w:sz="0" w:space="0" w:color="auto"/>
              <w:right w:val="none" w:sz="0" w:space="0" w:color="auto"/>
            </w:tcBorders>
            <w:shd w:val="clear" w:color="auto" w:fill="FFFFFF" w:themeFill="background1"/>
            <w:noWrap/>
          </w:tcPr>
          <w:p w14:paraId="7C8E28B4" w14:textId="77777777" w:rsidR="00576A4F" w:rsidRPr="00092ED7" w:rsidRDefault="00576A4F" w:rsidP="00A06946">
            <w:pPr>
              <w:shd w:val="clear" w:color="auto" w:fill="FFFFFF" w:themeFill="background1"/>
              <w:spacing w:after="0"/>
              <w:jc w:val="right"/>
              <w:rPr>
                <w:i/>
                <w:color w:val="auto"/>
                <w:sz w:val="20"/>
                <w:lang w:val="sr-Cyrl-CS"/>
              </w:rPr>
            </w:pPr>
            <w:r w:rsidRPr="00092ED7">
              <w:rPr>
                <w:color w:val="auto"/>
                <w:sz w:val="20"/>
                <w:lang w:val="sr-Cyrl-CS"/>
              </w:rPr>
              <w:t>9,6</w:t>
            </w:r>
          </w:p>
        </w:tc>
        <w:tc>
          <w:tcPr>
            <w:tcW w:w="581" w:type="pct"/>
            <w:tcBorders>
              <w:left w:val="none" w:sz="0" w:space="0" w:color="auto"/>
              <w:right w:val="none" w:sz="0" w:space="0" w:color="auto"/>
            </w:tcBorders>
            <w:shd w:val="clear" w:color="auto" w:fill="FFFFFF" w:themeFill="background1"/>
            <w:noWrap/>
          </w:tcPr>
          <w:p w14:paraId="74BC8F60" w14:textId="77777777" w:rsidR="00576A4F" w:rsidRPr="00092ED7" w:rsidRDefault="00576A4F" w:rsidP="00A06946">
            <w:pPr>
              <w:shd w:val="clear" w:color="auto" w:fill="FFFFFF" w:themeFill="background1"/>
              <w:spacing w:after="0"/>
              <w:jc w:val="right"/>
              <w:rPr>
                <w:i/>
                <w:color w:val="auto"/>
                <w:sz w:val="20"/>
                <w:lang w:val="sr-Cyrl-CS"/>
              </w:rPr>
            </w:pPr>
            <w:r w:rsidRPr="00092ED7">
              <w:rPr>
                <w:color w:val="auto"/>
                <w:sz w:val="20"/>
                <w:lang w:val="sr-Cyrl-CS"/>
              </w:rPr>
              <w:t>9,9</w:t>
            </w:r>
          </w:p>
        </w:tc>
        <w:tc>
          <w:tcPr>
            <w:tcW w:w="583" w:type="pct"/>
            <w:tcBorders>
              <w:left w:val="none" w:sz="0" w:space="0" w:color="auto"/>
              <w:right w:val="none" w:sz="0" w:space="0" w:color="auto"/>
            </w:tcBorders>
            <w:shd w:val="clear" w:color="auto" w:fill="FFFFFF" w:themeFill="background1"/>
            <w:noWrap/>
          </w:tcPr>
          <w:p w14:paraId="00D55E2C" w14:textId="77777777" w:rsidR="00576A4F" w:rsidRPr="00092ED7" w:rsidRDefault="00576A4F" w:rsidP="00A06946">
            <w:pPr>
              <w:shd w:val="clear" w:color="auto" w:fill="FFFFFF" w:themeFill="background1"/>
              <w:spacing w:after="0"/>
              <w:jc w:val="right"/>
              <w:rPr>
                <w:i/>
                <w:color w:val="auto"/>
                <w:sz w:val="20"/>
                <w:lang w:val="sr-Cyrl-CS"/>
              </w:rPr>
            </w:pPr>
            <w:r w:rsidRPr="00092ED7">
              <w:rPr>
                <w:color w:val="auto"/>
                <w:sz w:val="20"/>
                <w:lang w:val="sr-Cyrl-CS"/>
              </w:rPr>
              <w:t>9,9</w:t>
            </w:r>
          </w:p>
        </w:tc>
      </w:tr>
      <w:tr w:rsidR="00576A4F" w:rsidRPr="00092ED7" w14:paraId="07B65C22" w14:textId="77777777" w:rsidTr="00A3670F">
        <w:trPr>
          <w:trHeight w:val="49"/>
        </w:trPr>
        <w:tc>
          <w:tcPr>
            <w:tcW w:w="1967" w:type="pct"/>
            <w:shd w:val="clear" w:color="auto" w:fill="FFFFFF" w:themeFill="background1"/>
          </w:tcPr>
          <w:p w14:paraId="208572A5" w14:textId="77777777" w:rsidR="00576A4F" w:rsidRPr="00092ED7" w:rsidRDefault="00576A4F" w:rsidP="00A06946">
            <w:pPr>
              <w:widowControl w:val="0"/>
              <w:shd w:val="clear" w:color="auto" w:fill="FFFFFF" w:themeFill="background1"/>
              <w:spacing w:after="0"/>
              <w:ind w:left="284"/>
              <w:rPr>
                <w:rFonts w:eastAsia="Times New Roman"/>
                <w:bCs/>
                <w:color w:val="auto"/>
                <w:sz w:val="20"/>
                <w:lang w:val="sr-Cyrl-CS"/>
              </w:rPr>
            </w:pPr>
            <w:r w:rsidRPr="00092ED7">
              <w:rPr>
                <w:rFonts w:eastAsia="Times New Roman"/>
                <w:bCs/>
                <w:color w:val="auto"/>
                <w:sz w:val="20"/>
                <w:lang w:val="sr-Cyrl-CS"/>
              </w:rPr>
              <w:t>Остали текући расходи</w:t>
            </w:r>
          </w:p>
        </w:tc>
        <w:tc>
          <w:tcPr>
            <w:tcW w:w="644" w:type="pct"/>
            <w:shd w:val="clear" w:color="auto" w:fill="FFFFFF" w:themeFill="background1"/>
          </w:tcPr>
          <w:p w14:paraId="3A8BD548" w14:textId="77777777" w:rsidR="00576A4F" w:rsidRPr="00092ED7" w:rsidRDefault="00576A4F" w:rsidP="00A06946">
            <w:pPr>
              <w:shd w:val="clear" w:color="auto" w:fill="FFFFFF" w:themeFill="background1"/>
              <w:spacing w:after="0"/>
              <w:jc w:val="right"/>
              <w:rPr>
                <w:color w:val="auto"/>
                <w:sz w:val="20"/>
                <w:lang w:val="sr-Cyrl-CS"/>
              </w:rPr>
            </w:pPr>
            <w:r w:rsidRPr="00092ED7">
              <w:rPr>
                <w:color w:val="auto"/>
                <w:sz w:val="20"/>
                <w:lang w:val="sr-Cyrl-CS"/>
              </w:rPr>
              <w:t>2,6</w:t>
            </w:r>
          </w:p>
        </w:tc>
        <w:tc>
          <w:tcPr>
            <w:tcW w:w="644" w:type="pct"/>
            <w:shd w:val="clear" w:color="auto" w:fill="FFFFFF" w:themeFill="background1"/>
            <w:noWrap/>
          </w:tcPr>
          <w:p w14:paraId="2182093B" w14:textId="77777777" w:rsidR="00576A4F" w:rsidRPr="00092ED7" w:rsidRDefault="00576A4F" w:rsidP="00A06946">
            <w:pPr>
              <w:shd w:val="clear" w:color="auto" w:fill="FFFFFF" w:themeFill="background1"/>
              <w:spacing w:after="0"/>
              <w:jc w:val="right"/>
              <w:rPr>
                <w:color w:val="auto"/>
                <w:sz w:val="20"/>
                <w:lang w:val="sr-Cyrl-CS"/>
              </w:rPr>
            </w:pPr>
            <w:r w:rsidRPr="00092ED7">
              <w:rPr>
                <w:color w:val="auto"/>
                <w:sz w:val="20"/>
                <w:lang w:val="sr-Cyrl-CS"/>
              </w:rPr>
              <w:t>2,3</w:t>
            </w:r>
          </w:p>
        </w:tc>
        <w:tc>
          <w:tcPr>
            <w:tcW w:w="581" w:type="pct"/>
            <w:shd w:val="clear" w:color="auto" w:fill="FFFFFF" w:themeFill="background1"/>
            <w:noWrap/>
          </w:tcPr>
          <w:p w14:paraId="14A8E4F8" w14:textId="77777777" w:rsidR="00576A4F" w:rsidRPr="00092ED7" w:rsidRDefault="00576A4F" w:rsidP="00A06946">
            <w:pPr>
              <w:shd w:val="clear" w:color="auto" w:fill="FFFFFF" w:themeFill="background1"/>
              <w:spacing w:after="0"/>
              <w:jc w:val="right"/>
              <w:rPr>
                <w:color w:val="auto"/>
                <w:sz w:val="20"/>
                <w:lang w:val="sr-Cyrl-CS"/>
              </w:rPr>
            </w:pPr>
            <w:r w:rsidRPr="00092ED7">
              <w:rPr>
                <w:color w:val="auto"/>
                <w:sz w:val="20"/>
                <w:lang w:val="sr-Cyrl-CS"/>
              </w:rPr>
              <w:t>1,4</w:t>
            </w:r>
          </w:p>
        </w:tc>
        <w:tc>
          <w:tcPr>
            <w:tcW w:w="581" w:type="pct"/>
            <w:shd w:val="clear" w:color="auto" w:fill="FFFFFF" w:themeFill="background1"/>
            <w:noWrap/>
          </w:tcPr>
          <w:p w14:paraId="2E64AAFA" w14:textId="77777777" w:rsidR="00576A4F" w:rsidRPr="00092ED7" w:rsidRDefault="00576A4F" w:rsidP="00A06946">
            <w:pPr>
              <w:shd w:val="clear" w:color="auto" w:fill="FFFFFF" w:themeFill="background1"/>
              <w:spacing w:after="0"/>
              <w:jc w:val="right"/>
              <w:rPr>
                <w:color w:val="auto"/>
                <w:sz w:val="20"/>
                <w:lang w:val="sr-Cyrl-CS"/>
              </w:rPr>
            </w:pPr>
            <w:r w:rsidRPr="00092ED7">
              <w:rPr>
                <w:color w:val="auto"/>
                <w:sz w:val="20"/>
                <w:lang w:val="sr-Cyrl-CS"/>
              </w:rPr>
              <w:t>1,3</w:t>
            </w:r>
          </w:p>
        </w:tc>
        <w:tc>
          <w:tcPr>
            <w:tcW w:w="583" w:type="pct"/>
            <w:shd w:val="clear" w:color="auto" w:fill="FFFFFF" w:themeFill="background1"/>
            <w:noWrap/>
          </w:tcPr>
          <w:p w14:paraId="67000B17" w14:textId="77777777" w:rsidR="00576A4F" w:rsidRPr="00092ED7" w:rsidRDefault="00576A4F" w:rsidP="00A06946">
            <w:pPr>
              <w:shd w:val="clear" w:color="auto" w:fill="FFFFFF" w:themeFill="background1"/>
              <w:spacing w:after="0"/>
              <w:jc w:val="right"/>
              <w:rPr>
                <w:color w:val="auto"/>
                <w:sz w:val="20"/>
                <w:lang w:val="sr-Cyrl-CS"/>
              </w:rPr>
            </w:pPr>
            <w:r w:rsidRPr="00092ED7">
              <w:rPr>
                <w:color w:val="auto"/>
                <w:sz w:val="20"/>
                <w:lang w:val="sr-Cyrl-CS"/>
              </w:rPr>
              <w:t>1,2</w:t>
            </w:r>
          </w:p>
        </w:tc>
      </w:tr>
      <w:tr w:rsidR="00576A4F" w:rsidRPr="00092ED7" w14:paraId="22904680" w14:textId="77777777" w:rsidTr="00A3670F">
        <w:trPr>
          <w:cnfStyle w:val="000000100000" w:firstRow="0" w:lastRow="0" w:firstColumn="0" w:lastColumn="0" w:oddVBand="0" w:evenVBand="0" w:oddHBand="1" w:evenHBand="0" w:firstRowFirstColumn="0" w:firstRowLastColumn="0" w:lastRowFirstColumn="0" w:lastRowLastColumn="0"/>
          <w:trHeight w:val="49"/>
        </w:trPr>
        <w:tc>
          <w:tcPr>
            <w:tcW w:w="1967" w:type="pct"/>
            <w:tcBorders>
              <w:left w:val="none" w:sz="0" w:space="0" w:color="auto"/>
              <w:right w:val="none" w:sz="0" w:space="0" w:color="auto"/>
            </w:tcBorders>
            <w:shd w:val="clear" w:color="auto" w:fill="FFFFFF" w:themeFill="background1"/>
          </w:tcPr>
          <w:p w14:paraId="79F9319B" w14:textId="77777777" w:rsidR="00576A4F" w:rsidRPr="00092ED7" w:rsidRDefault="00576A4F" w:rsidP="00A06946">
            <w:pPr>
              <w:widowControl w:val="0"/>
              <w:shd w:val="clear" w:color="auto" w:fill="FFFFFF" w:themeFill="background1"/>
              <w:spacing w:after="0"/>
              <w:rPr>
                <w:rFonts w:eastAsia="Times New Roman"/>
                <w:bCs/>
                <w:color w:val="auto"/>
                <w:sz w:val="20"/>
                <w:lang w:val="sr-Cyrl-CS"/>
              </w:rPr>
            </w:pPr>
            <w:r w:rsidRPr="00092ED7">
              <w:rPr>
                <w:rFonts w:eastAsia="Times New Roman"/>
                <w:bCs/>
                <w:color w:val="auto"/>
                <w:sz w:val="20"/>
                <w:lang w:val="sr-Cyrl-CS"/>
              </w:rPr>
              <w:t>Капитални расходи</w:t>
            </w:r>
          </w:p>
        </w:tc>
        <w:tc>
          <w:tcPr>
            <w:tcW w:w="644" w:type="pct"/>
            <w:tcBorders>
              <w:left w:val="none" w:sz="0" w:space="0" w:color="auto"/>
              <w:right w:val="none" w:sz="0" w:space="0" w:color="auto"/>
            </w:tcBorders>
            <w:shd w:val="clear" w:color="auto" w:fill="FFFFFF" w:themeFill="background1"/>
          </w:tcPr>
          <w:p w14:paraId="67F0FC6B" w14:textId="77777777" w:rsidR="00576A4F" w:rsidRPr="00092ED7" w:rsidRDefault="00576A4F" w:rsidP="00A06946">
            <w:pPr>
              <w:shd w:val="clear" w:color="auto" w:fill="FFFFFF" w:themeFill="background1"/>
              <w:spacing w:after="0"/>
              <w:jc w:val="right"/>
              <w:rPr>
                <w:color w:val="auto"/>
                <w:sz w:val="20"/>
                <w:lang w:val="sr-Cyrl-CS"/>
              </w:rPr>
            </w:pPr>
            <w:r w:rsidRPr="00092ED7">
              <w:rPr>
                <w:color w:val="auto"/>
                <w:sz w:val="20"/>
                <w:lang w:val="sr-Cyrl-CS"/>
              </w:rPr>
              <w:t>7,4</w:t>
            </w:r>
          </w:p>
        </w:tc>
        <w:tc>
          <w:tcPr>
            <w:tcW w:w="644" w:type="pct"/>
            <w:tcBorders>
              <w:left w:val="none" w:sz="0" w:space="0" w:color="auto"/>
              <w:right w:val="none" w:sz="0" w:space="0" w:color="auto"/>
            </w:tcBorders>
            <w:shd w:val="clear" w:color="auto" w:fill="FFFFFF" w:themeFill="background1"/>
            <w:noWrap/>
          </w:tcPr>
          <w:p w14:paraId="2310917B" w14:textId="77777777" w:rsidR="00576A4F" w:rsidRPr="00092ED7" w:rsidRDefault="00576A4F" w:rsidP="00A06946">
            <w:pPr>
              <w:shd w:val="clear" w:color="auto" w:fill="FFFFFF" w:themeFill="background1"/>
              <w:spacing w:after="0"/>
              <w:jc w:val="right"/>
              <w:rPr>
                <w:color w:val="auto"/>
                <w:sz w:val="20"/>
                <w:lang w:val="sr-Cyrl-CS"/>
              </w:rPr>
            </w:pPr>
            <w:r w:rsidRPr="00092ED7">
              <w:rPr>
                <w:color w:val="auto"/>
                <w:sz w:val="20"/>
                <w:lang w:val="sr-Cyrl-CS"/>
              </w:rPr>
              <w:t>7,3</w:t>
            </w:r>
          </w:p>
        </w:tc>
        <w:tc>
          <w:tcPr>
            <w:tcW w:w="581" w:type="pct"/>
            <w:tcBorders>
              <w:left w:val="none" w:sz="0" w:space="0" w:color="auto"/>
              <w:right w:val="none" w:sz="0" w:space="0" w:color="auto"/>
            </w:tcBorders>
            <w:shd w:val="clear" w:color="auto" w:fill="FFFFFF" w:themeFill="background1"/>
            <w:noWrap/>
          </w:tcPr>
          <w:p w14:paraId="4DA9D1C8" w14:textId="77777777" w:rsidR="00576A4F" w:rsidRPr="00092ED7" w:rsidRDefault="00576A4F" w:rsidP="00A06946">
            <w:pPr>
              <w:shd w:val="clear" w:color="auto" w:fill="FFFFFF" w:themeFill="background1"/>
              <w:spacing w:after="0"/>
              <w:jc w:val="right"/>
              <w:rPr>
                <w:color w:val="auto"/>
                <w:sz w:val="20"/>
                <w:lang w:val="sr-Cyrl-CS"/>
              </w:rPr>
            </w:pPr>
            <w:r w:rsidRPr="00092ED7">
              <w:rPr>
                <w:color w:val="auto"/>
                <w:sz w:val="20"/>
                <w:lang w:val="sr-Cyrl-CS"/>
              </w:rPr>
              <w:t>6,8</w:t>
            </w:r>
          </w:p>
        </w:tc>
        <w:tc>
          <w:tcPr>
            <w:tcW w:w="581" w:type="pct"/>
            <w:tcBorders>
              <w:left w:val="none" w:sz="0" w:space="0" w:color="auto"/>
              <w:right w:val="none" w:sz="0" w:space="0" w:color="auto"/>
            </w:tcBorders>
            <w:shd w:val="clear" w:color="auto" w:fill="FFFFFF" w:themeFill="background1"/>
            <w:noWrap/>
          </w:tcPr>
          <w:p w14:paraId="06E1C50B" w14:textId="77777777" w:rsidR="00576A4F" w:rsidRPr="00092ED7" w:rsidRDefault="00576A4F" w:rsidP="00A06946">
            <w:pPr>
              <w:shd w:val="clear" w:color="auto" w:fill="FFFFFF" w:themeFill="background1"/>
              <w:spacing w:after="0"/>
              <w:jc w:val="right"/>
              <w:rPr>
                <w:color w:val="auto"/>
                <w:sz w:val="20"/>
                <w:lang w:val="sr-Cyrl-CS"/>
              </w:rPr>
            </w:pPr>
            <w:r w:rsidRPr="00092ED7">
              <w:rPr>
                <w:color w:val="auto"/>
                <w:sz w:val="20"/>
                <w:lang w:val="sr-Cyrl-CS"/>
              </w:rPr>
              <w:t>6,4</w:t>
            </w:r>
          </w:p>
        </w:tc>
        <w:tc>
          <w:tcPr>
            <w:tcW w:w="583" w:type="pct"/>
            <w:tcBorders>
              <w:left w:val="none" w:sz="0" w:space="0" w:color="auto"/>
              <w:right w:val="none" w:sz="0" w:space="0" w:color="auto"/>
            </w:tcBorders>
            <w:shd w:val="clear" w:color="auto" w:fill="FFFFFF" w:themeFill="background1"/>
            <w:noWrap/>
          </w:tcPr>
          <w:p w14:paraId="1E50F33E" w14:textId="77777777" w:rsidR="00576A4F" w:rsidRPr="00092ED7" w:rsidRDefault="00576A4F" w:rsidP="00A06946">
            <w:pPr>
              <w:shd w:val="clear" w:color="auto" w:fill="FFFFFF" w:themeFill="background1"/>
              <w:spacing w:after="0"/>
              <w:jc w:val="right"/>
              <w:rPr>
                <w:color w:val="auto"/>
                <w:sz w:val="20"/>
                <w:lang w:val="sr-Cyrl-CS"/>
              </w:rPr>
            </w:pPr>
            <w:r w:rsidRPr="00092ED7">
              <w:rPr>
                <w:color w:val="auto"/>
                <w:sz w:val="20"/>
                <w:lang w:val="sr-Cyrl-CS"/>
              </w:rPr>
              <w:t>6,1</w:t>
            </w:r>
          </w:p>
        </w:tc>
      </w:tr>
      <w:tr w:rsidR="00A3670F" w:rsidRPr="00092ED7" w14:paraId="124A58DF" w14:textId="77777777" w:rsidTr="00A3670F">
        <w:trPr>
          <w:trHeight w:val="49"/>
        </w:trPr>
        <w:tc>
          <w:tcPr>
            <w:tcW w:w="1967" w:type="pct"/>
            <w:shd w:val="clear" w:color="auto" w:fill="FFFFFF" w:themeFill="background1"/>
            <w:noWrap/>
          </w:tcPr>
          <w:p w14:paraId="13ED6017" w14:textId="77777777" w:rsidR="00576A4F" w:rsidRPr="00092ED7" w:rsidRDefault="00576A4F" w:rsidP="00A06946">
            <w:pPr>
              <w:widowControl w:val="0"/>
              <w:shd w:val="clear" w:color="auto" w:fill="FFFFFF" w:themeFill="background1"/>
              <w:spacing w:after="0"/>
              <w:rPr>
                <w:rFonts w:eastAsia="Times New Roman"/>
                <w:bCs/>
                <w:color w:val="auto"/>
                <w:sz w:val="20"/>
                <w:lang w:val="sr-Cyrl-CS"/>
              </w:rPr>
            </w:pPr>
            <w:r w:rsidRPr="00092ED7">
              <w:rPr>
                <w:rFonts w:eastAsia="Times New Roman"/>
                <w:bCs/>
                <w:color w:val="auto"/>
                <w:sz w:val="20"/>
                <w:lang w:val="sr-Cyrl-CS"/>
              </w:rPr>
              <w:t>Нето буџетске позајмице</w:t>
            </w:r>
          </w:p>
        </w:tc>
        <w:tc>
          <w:tcPr>
            <w:tcW w:w="644" w:type="pct"/>
            <w:shd w:val="clear" w:color="auto" w:fill="FFFFFF" w:themeFill="background1"/>
          </w:tcPr>
          <w:p w14:paraId="148BFFB1" w14:textId="77777777" w:rsidR="00576A4F" w:rsidRPr="00092ED7" w:rsidRDefault="00576A4F" w:rsidP="00A06946">
            <w:pPr>
              <w:shd w:val="clear" w:color="auto" w:fill="FFFFFF" w:themeFill="background1"/>
              <w:spacing w:after="0"/>
              <w:jc w:val="right"/>
              <w:rPr>
                <w:color w:val="auto"/>
                <w:sz w:val="20"/>
                <w:lang w:val="sr-Cyrl-CS"/>
              </w:rPr>
            </w:pPr>
            <w:r w:rsidRPr="00092ED7">
              <w:rPr>
                <w:color w:val="auto"/>
                <w:sz w:val="20"/>
                <w:lang w:val="sr-Cyrl-CS"/>
              </w:rPr>
              <w:t>0,8</w:t>
            </w:r>
          </w:p>
        </w:tc>
        <w:tc>
          <w:tcPr>
            <w:tcW w:w="644" w:type="pct"/>
            <w:shd w:val="clear" w:color="auto" w:fill="FFFFFF" w:themeFill="background1"/>
            <w:noWrap/>
          </w:tcPr>
          <w:p w14:paraId="59DCD8A7" w14:textId="77777777" w:rsidR="00576A4F" w:rsidRPr="00092ED7" w:rsidRDefault="00576A4F" w:rsidP="00A06946">
            <w:pPr>
              <w:shd w:val="clear" w:color="auto" w:fill="FFFFFF" w:themeFill="background1"/>
              <w:spacing w:after="0"/>
              <w:jc w:val="right"/>
              <w:rPr>
                <w:color w:val="auto"/>
                <w:sz w:val="20"/>
                <w:lang w:val="sr-Cyrl-CS"/>
              </w:rPr>
            </w:pPr>
            <w:r w:rsidRPr="00092ED7">
              <w:rPr>
                <w:color w:val="auto"/>
                <w:sz w:val="20"/>
                <w:lang w:val="sr-Cyrl-CS"/>
              </w:rPr>
              <w:t>2,2</w:t>
            </w:r>
          </w:p>
        </w:tc>
        <w:tc>
          <w:tcPr>
            <w:tcW w:w="581" w:type="pct"/>
            <w:shd w:val="clear" w:color="auto" w:fill="FFFFFF" w:themeFill="background1"/>
            <w:noWrap/>
          </w:tcPr>
          <w:p w14:paraId="08707715" w14:textId="77777777" w:rsidR="00576A4F" w:rsidRPr="00092ED7" w:rsidRDefault="00576A4F" w:rsidP="00A06946">
            <w:pPr>
              <w:shd w:val="clear" w:color="auto" w:fill="FFFFFF" w:themeFill="background1"/>
              <w:spacing w:after="0"/>
              <w:jc w:val="right"/>
              <w:rPr>
                <w:color w:val="auto"/>
                <w:sz w:val="20"/>
                <w:lang w:val="sr-Cyrl-CS"/>
              </w:rPr>
            </w:pPr>
            <w:r w:rsidRPr="00092ED7">
              <w:rPr>
                <w:color w:val="auto"/>
                <w:sz w:val="20"/>
                <w:lang w:val="sr-Cyrl-CS"/>
              </w:rPr>
              <w:t>1,5</w:t>
            </w:r>
          </w:p>
        </w:tc>
        <w:tc>
          <w:tcPr>
            <w:tcW w:w="581" w:type="pct"/>
            <w:shd w:val="clear" w:color="auto" w:fill="FFFFFF" w:themeFill="background1"/>
            <w:noWrap/>
          </w:tcPr>
          <w:p w14:paraId="5D951022" w14:textId="77777777" w:rsidR="00576A4F" w:rsidRPr="00092ED7" w:rsidRDefault="00576A4F" w:rsidP="00A06946">
            <w:pPr>
              <w:shd w:val="clear" w:color="auto" w:fill="FFFFFF" w:themeFill="background1"/>
              <w:spacing w:after="0"/>
              <w:jc w:val="right"/>
              <w:rPr>
                <w:color w:val="auto"/>
                <w:sz w:val="20"/>
                <w:lang w:val="sr-Cyrl-CS"/>
              </w:rPr>
            </w:pPr>
            <w:r w:rsidRPr="00092ED7">
              <w:rPr>
                <w:color w:val="auto"/>
                <w:sz w:val="20"/>
                <w:lang w:val="sr-Cyrl-CS"/>
              </w:rPr>
              <w:t>0,7</w:t>
            </w:r>
          </w:p>
        </w:tc>
        <w:tc>
          <w:tcPr>
            <w:tcW w:w="583" w:type="pct"/>
            <w:shd w:val="clear" w:color="auto" w:fill="FFFFFF" w:themeFill="background1"/>
            <w:noWrap/>
          </w:tcPr>
          <w:p w14:paraId="3A98C856" w14:textId="77777777" w:rsidR="00576A4F" w:rsidRPr="00092ED7" w:rsidRDefault="00576A4F" w:rsidP="00A06946">
            <w:pPr>
              <w:shd w:val="clear" w:color="auto" w:fill="FFFFFF" w:themeFill="background1"/>
              <w:spacing w:after="0"/>
              <w:jc w:val="right"/>
              <w:rPr>
                <w:color w:val="auto"/>
                <w:sz w:val="20"/>
                <w:lang w:val="sr-Cyrl-CS"/>
              </w:rPr>
            </w:pPr>
            <w:r w:rsidRPr="00092ED7">
              <w:rPr>
                <w:color w:val="auto"/>
                <w:sz w:val="20"/>
                <w:lang w:val="sr-Cyrl-CS"/>
              </w:rPr>
              <w:t>0,1</w:t>
            </w:r>
          </w:p>
        </w:tc>
      </w:tr>
      <w:tr w:rsidR="00A3670F" w:rsidRPr="00092ED7" w14:paraId="6F3350F5" w14:textId="77777777" w:rsidTr="00A3670F">
        <w:trPr>
          <w:cnfStyle w:val="000000100000" w:firstRow="0" w:lastRow="0" w:firstColumn="0" w:lastColumn="0" w:oddVBand="0" w:evenVBand="0" w:oddHBand="1" w:evenHBand="0" w:firstRowFirstColumn="0" w:firstRowLastColumn="0" w:lastRowFirstColumn="0" w:lastRowLastColumn="0"/>
          <w:trHeight w:val="95"/>
        </w:trPr>
        <w:tc>
          <w:tcPr>
            <w:tcW w:w="1967" w:type="pct"/>
            <w:shd w:val="clear" w:color="auto" w:fill="FFFFFF" w:themeFill="background1"/>
            <w:noWrap/>
          </w:tcPr>
          <w:p w14:paraId="49401D61" w14:textId="77777777" w:rsidR="00576A4F" w:rsidRPr="00092ED7" w:rsidRDefault="00576A4F" w:rsidP="00A06946">
            <w:pPr>
              <w:widowControl w:val="0"/>
              <w:shd w:val="clear" w:color="auto" w:fill="FFFFFF" w:themeFill="background1"/>
              <w:spacing w:after="0"/>
              <w:rPr>
                <w:rFonts w:eastAsia="Times New Roman"/>
                <w:bCs/>
                <w:color w:val="auto"/>
                <w:sz w:val="20"/>
                <w:lang w:val="sr-Cyrl-CS"/>
              </w:rPr>
            </w:pPr>
            <w:r w:rsidRPr="00092ED7">
              <w:rPr>
                <w:rFonts w:eastAsia="Times New Roman"/>
                <w:bCs/>
                <w:color w:val="auto"/>
                <w:sz w:val="20"/>
                <w:lang w:val="sr-Cyrl-CS"/>
              </w:rPr>
              <w:t>Отплата по основу гаранција</w:t>
            </w:r>
          </w:p>
        </w:tc>
        <w:tc>
          <w:tcPr>
            <w:tcW w:w="644" w:type="pct"/>
            <w:shd w:val="clear" w:color="auto" w:fill="FFFFFF" w:themeFill="background1"/>
          </w:tcPr>
          <w:p w14:paraId="3BB3FF2F" w14:textId="77777777" w:rsidR="00576A4F" w:rsidRPr="00092ED7" w:rsidRDefault="00576A4F" w:rsidP="00A06946">
            <w:pPr>
              <w:shd w:val="clear" w:color="auto" w:fill="FFFFFF" w:themeFill="background1"/>
              <w:spacing w:after="0"/>
              <w:jc w:val="right"/>
              <w:rPr>
                <w:color w:val="auto"/>
                <w:sz w:val="20"/>
                <w:lang w:val="sr-Cyrl-CS"/>
              </w:rPr>
            </w:pPr>
            <w:r w:rsidRPr="00092ED7">
              <w:rPr>
                <w:color w:val="auto"/>
                <w:sz w:val="20"/>
                <w:lang w:val="sr-Cyrl-CS"/>
              </w:rPr>
              <w:t>0,1</w:t>
            </w:r>
          </w:p>
        </w:tc>
        <w:tc>
          <w:tcPr>
            <w:tcW w:w="644" w:type="pct"/>
            <w:shd w:val="clear" w:color="auto" w:fill="FFFFFF" w:themeFill="background1"/>
            <w:noWrap/>
          </w:tcPr>
          <w:p w14:paraId="03518BF7" w14:textId="77777777" w:rsidR="00576A4F" w:rsidRPr="00092ED7" w:rsidRDefault="00576A4F" w:rsidP="00A06946">
            <w:pPr>
              <w:shd w:val="clear" w:color="auto" w:fill="FFFFFF" w:themeFill="background1"/>
              <w:spacing w:after="0"/>
              <w:jc w:val="right"/>
              <w:rPr>
                <w:color w:val="auto"/>
                <w:sz w:val="20"/>
                <w:lang w:val="sr-Cyrl-CS"/>
              </w:rPr>
            </w:pPr>
            <w:r w:rsidRPr="00092ED7">
              <w:rPr>
                <w:color w:val="auto"/>
                <w:sz w:val="20"/>
                <w:lang w:val="sr-Cyrl-CS"/>
              </w:rPr>
              <w:t>0,3</w:t>
            </w:r>
          </w:p>
        </w:tc>
        <w:tc>
          <w:tcPr>
            <w:tcW w:w="581" w:type="pct"/>
            <w:shd w:val="clear" w:color="auto" w:fill="FFFFFF" w:themeFill="background1"/>
            <w:noWrap/>
          </w:tcPr>
          <w:p w14:paraId="6A7326B2" w14:textId="77777777" w:rsidR="00576A4F" w:rsidRPr="00092ED7" w:rsidRDefault="00576A4F" w:rsidP="00A06946">
            <w:pPr>
              <w:shd w:val="clear" w:color="auto" w:fill="FFFFFF" w:themeFill="background1"/>
              <w:spacing w:after="0"/>
              <w:jc w:val="right"/>
              <w:rPr>
                <w:color w:val="auto"/>
                <w:sz w:val="20"/>
                <w:lang w:val="sr-Cyrl-CS"/>
              </w:rPr>
            </w:pPr>
            <w:r w:rsidRPr="00092ED7">
              <w:rPr>
                <w:color w:val="auto"/>
                <w:sz w:val="20"/>
                <w:lang w:val="sr-Cyrl-CS"/>
              </w:rPr>
              <w:t>0,3</w:t>
            </w:r>
          </w:p>
        </w:tc>
        <w:tc>
          <w:tcPr>
            <w:tcW w:w="581" w:type="pct"/>
            <w:shd w:val="clear" w:color="auto" w:fill="FFFFFF" w:themeFill="background1"/>
            <w:noWrap/>
          </w:tcPr>
          <w:p w14:paraId="5EA05BB2" w14:textId="77777777" w:rsidR="00576A4F" w:rsidRPr="00092ED7" w:rsidRDefault="00576A4F" w:rsidP="00A06946">
            <w:pPr>
              <w:shd w:val="clear" w:color="auto" w:fill="FFFFFF" w:themeFill="background1"/>
              <w:spacing w:after="0"/>
              <w:jc w:val="right"/>
              <w:rPr>
                <w:color w:val="auto"/>
                <w:sz w:val="20"/>
                <w:lang w:val="sr-Cyrl-CS"/>
              </w:rPr>
            </w:pPr>
            <w:r w:rsidRPr="00092ED7">
              <w:rPr>
                <w:color w:val="auto"/>
                <w:sz w:val="20"/>
                <w:lang w:val="sr-Cyrl-CS"/>
              </w:rPr>
              <w:t>0,3</w:t>
            </w:r>
          </w:p>
        </w:tc>
        <w:tc>
          <w:tcPr>
            <w:tcW w:w="583" w:type="pct"/>
            <w:shd w:val="clear" w:color="auto" w:fill="FFFFFF" w:themeFill="background1"/>
            <w:noWrap/>
          </w:tcPr>
          <w:p w14:paraId="48EAB51F" w14:textId="77777777" w:rsidR="00576A4F" w:rsidRPr="00092ED7" w:rsidRDefault="00576A4F" w:rsidP="00A06946">
            <w:pPr>
              <w:shd w:val="clear" w:color="auto" w:fill="FFFFFF" w:themeFill="background1"/>
              <w:spacing w:after="0"/>
              <w:jc w:val="right"/>
              <w:rPr>
                <w:color w:val="auto"/>
                <w:sz w:val="20"/>
                <w:lang w:val="sr-Cyrl-CS"/>
              </w:rPr>
            </w:pPr>
            <w:r w:rsidRPr="00092ED7">
              <w:rPr>
                <w:color w:val="auto"/>
                <w:sz w:val="20"/>
                <w:lang w:val="sr-Cyrl-CS"/>
              </w:rPr>
              <w:t>0,2</w:t>
            </w:r>
          </w:p>
        </w:tc>
      </w:tr>
    </w:tbl>
    <w:p w14:paraId="1EB5BA05" w14:textId="77777777" w:rsidR="00576A4F" w:rsidRPr="00092ED7" w:rsidRDefault="00576A4F" w:rsidP="00A3670F">
      <w:pPr>
        <w:spacing w:before="60"/>
        <w:rPr>
          <w:sz w:val="18"/>
          <w:szCs w:val="18"/>
          <w:lang w:val="sr-Cyrl-CS" w:eastAsia="ja-JP"/>
        </w:rPr>
      </w:pPr>
      <w:r w:rsidRPr="00092ED7">
        <w:rPr>
          <w:bCs/>
          <w:sz w:val="18"/>
          <w:szCs w:val="18"/>
          <w:lang w:val="sr-Cyrl-CS" w:eastAsia="ja-JP"/>
        </w:rPr>
        <w:t xml:space="preserve">Извор: </w:t>
      </w:r>
      <w:r w:rsidRPr="00092ED7">
        <w:rPr>
          <w:sz w:val="18"/>
          <w:szCs w:val="18"/>
          <w:lang w:val="sr-Cyrl-CS" w:eastAsia="ja-JP"/>
        </w:rPr>
        <w:t>Министарство финансија</w:t>
      </w:r>
    </w:p>
    <w:p w14:paraId="3CAE24C3" w14:textId="77777777" w:rsidR="00576A4F" w:rsidRPr="00092ED7" w:rsidRDefault="00576A4F" w:rsidP="00A3670F">
      <w:pPr>
        <w:spacing w:after="60"/>
        <w:rPr>
          <w:rFonts w:eastAsia="MS PGothic" w:cstheme="minorHAnsi"/>
          <w:szCs w:val="20"/>
          <w:lang w:val="sr-Cyrl-CS" w:eastAsia="ja-JP"/>
        </w:rPr>
      </w:pPr>
      <w:r w:rsidRPr="00092ED7">
        <w:rPr>
          <w:rFonts w:eastAsia="MS PGothic" w:cstheme="minorHAnsi"/>
          <w:szCs w:val="20"/>
          <w:lang w:val="sr-Cyrl-CS" w:eastAsia="ja-JP"/>
        </w:rPr>
        <w:t>У 2020. и 2021. години дошло је до промене тренда у јавним расходима с обзиром на размере кризе изазване пандемијом. Мере су биле значајне на расходној страни, што је довело до једнократног повећања учешћа расходне стране буџета у БДП.</w:t>
      </w:r>
    </w:p>
    <w:p w14:paraId="7FC52999" w14:textId="49E53411" w:rsidR="00576A4F" w:rsidRPr="00092ED7" w:rsidRDefault="00576A4F" w:rsidP="00A3670F">
      <w:pPr>
        <w:spacing w:after="60"/>
        <w:rPr>
          <w:rFonts w:eastAsia="MS PGothic" w:cstheme="minorHAnsi"/>
          <w:szCs w:val="20"/>
          <w:lang w:val="sr-Cyrl-CS" w:eastAsia="ja-JP"/>
        </w:rPr>
      </w:pPr>
      <w:r w:rsidRPr="00092ED7">
        <w:rPr>
          <w:rFonts w:eastAsia="MS PGothic" w:cstheme="minorHAnsi"/>
          <w:szCs w:val="20"/>
          <w:lang w:val="sr-Cyrl-CS" w:eastAsia="ja-JP"/>
        </w:rPr>
        <w:t>На повећање расхода за запослене, чије je учешће у БДП у 2020. години износило 10,5% БДП, утицало је ванредно повећањe зарада запослених у систему здравства, као и повећане исплате осталих облика дохотка као што су прековремени рад, награде и повећање броја запослених у овом сектору. С обзиром на ограничен фискални простор</w:t>
      </w:r>
      <w:r w:rsidR="00E0125A" w:rsidRPr="00092ED7">
        <w:rPr>
          <w:rFonts w:eastAsia="MS PGothic" w:cstheme="minorHAnsi"/>
          <w:szCs w:val="20"/>
          <w:lang w:val="sr-Cyrl-CS" w:eastAsia="ja-JP"/>
        </w:rPr>
        <w:t>,</w:t>
      </w:r>
      <w:r w:rsidRPr="00092ED7">
        <w:rPr>
          <w:rFonts w:eastAsia="MS PGothic" w:cstheme="minorHAnsi"/>
          <w:szCs w:val="20"/>
          <w:lang w:val="sr-Cyrl-CS" w:eastAsia="ja-JP"/>
        </w:rPr>
        <w:t xml:space="preserve"> у наредном периоду</w:t>
      </w:r>
      <w:r w:rsidR="00E0125A" w:rsidRPr="00092ED7">
        <w:rPr>
          <w:rFonts w:eastAsia="MS PGothic" w:cstheme="minorHAnsi"/>
          <w:szCs w:val="20"/>
          <w:lang w:val="sr-Cyrl-CS" w:eastAsia="ja-JP"/>
        </w:rPr>
        <w:t>,</w:t>
      </w:r>
      <w:r w:rsidRPr="00092ED7">
        <w:rPr>
          <w:rFonts w:eastAsia="MS PGothic" w:cstheme="minorHAnsi"/>
          <w:szCs w:val="20"/>
          <w:lang w:val="sr-Cyrl-CS" w:eastAsia="ja-JP"/>
        </w:rPr>
        <w:t xml:space="preserve"> зараде ће се повећавати умерено и контролисано, водећи рачуна о њиховом учешћу у БДП.</w:t>
      </w:r>
    </w:p>
    <w:p w14:paraId="49D9CDD7" w14:textId="65AAA84E" w:rsidR="00576A4F" w:rsidRPr="00092ED7" w:rsidRDefault="00304C55" w:rsidP="00A3670F">
      <w:pPr>
        <w:spacing w:after="60"/>
        <w:rPr>
          <w:rFonts w:eastAsia="MS PGothic" w:cstheme="minorHAnsi"/>
          <w:szCs w:val="20"/>
          <w:lang w:val="sr-Cyrl-CS" w:eastAsia="ja-JP"/>
        </w:rPr>
      </w:pPr>
      <w:r w:rsidRPr="00092ED7">
        <w:rPr>
          <w:rFonts w:eastAsia="MS PGothic" w:cstheme="minorHAnsi"/>
          <w:szCs w:val="20"/>
          <w:lang w:val="sr-Cyrl-CS" w:eastAsia="ja-JP"/>
        </w:rPr>
        <w:t xml:space="preserve">Законом о изменама и допунама </w:t>
      </w:r>
      <w:r w:rsidR="00576A4F" w:rsidRPr="00092ED7">
        <w:rPr>
          <w:rFonts w:eastAsia="MS PGothic" w:cstheme="minorHAnsi"/>
          <w:szCs w:val="20"/>
          <w:lang w:val="sr-Cyrl-CS" w:eastAsia="ja-JP"/>
        </w:rPr>
        <w:t>Закон</w:t>
      </w:r>
      <w:r w:rsidRPr="00092ED7">
        <w:rPr>
          <w:rFonts w:eastAsia="MS PGothic" w:cstheme="minorHAnsi"/>
          <w:szCs w:val="20"/>
          <w:lang w:val="sr-Cyrl-CS" w:eastAsia="ja-JP"/>
        </w:rPr>
        <w:t>а</w:t>
      </w:r>
      <w:r w:rsidR="00576A4F" w:rsidRPr="00092ED7">
        <w:rPr>
          <w:rFonts w:eastAsia="MS PGothic" w:cstheme="minorHAnsi"/>
          <w:szCs w:val="20"/>
          <w:lang w:val="sr-Cyrl-CS" w:eastAsia="ja-JP"/>
        </w:rPr>
        <w:t xml:space="preserve"> о буџетском систему</w:t>
      </w:r>
      <w:r w:rsidRPr="00092ED7">
        <w:rPr>
          <w:rFonts w:eastAsia="MS PGothic" w:cstheme="minorHAnsi"/>
          <w:szCs w:val="20"/>
          <w:lang w:val="sr-Cyrl-CS" w:eastAsia="ja-JP"/>
        </w:rPr>
        <w:t xml:space="preserve"> </w:t>
      </w:r>
      <w:r w:rsidRPr="00092ED7">
        <w:rPr>
          <w:lang w:val="sr-Cyrl-CS"/>
        </w:rPr>
        <w:t>(„Службени гласник РС</w:t>
      </w:r>
      <w:r w:rsidRPr="00092ED7">
        <w:rPr>
          <w:rFonts w:cs="Times New Roman"/>
          <w:szCs w:val="24"/>
          <w:lang w:val="sr-Cyrl-CS"/>
        </w:rPr>
        <w:t>”, број 138/22)</w:t>
      </w:r>
      <w:r w:rsidR="00576A4F" w:rsidRPr="00092ED7">
        <w:rPr>
          <w:rFonts w:eastAsia="MS PGothic" w:cstheme="minorHAnsi"/>
          <w:szCs w:val="20"/>
          <w:lang w:val="sr-Cyrl-CS" w:eastAsia="ja-JP"/>
        </w:rPr>
        <w:t xml:space="preserve">, у склопу нових фискалних правила, предвиђено </w:t>
      </w:r>
      <w:r w:rsidR="00505E8B" w:rsidRPr="00092ED7">
        <w:rPr>
          <w:rFonts w:eastAsia="MS PGothic" w:cstheme="minorHAnsi"/>
          <w:szCs w:val="20"/>
          <w:lang w:val="sr-Cyrl-CS" w:eastAsia="ja-JP"/>
        </w:rPr>
        <w:t xml:space="preserve">је </w:t>
      </w:r>
      <w:r w:rsidR="00576A4F" w:rsidRPr="00092ED7">
        <w:rPr>
          <w:rFonts w:eastAsia="MS PGothic" w:cstheme="minorHAnsi"/>
          <w:szCs w:val="20"/>
          <w:lang w:val="sr-Cyrl-CS" w:eastAsia="ja-JP"/>
        </w:rPr>
        <w:t xml:space="preserve">да ниво укупних расхода за запослене буде усклађиван са номиналним растом БДП, и да не пређе ниво од 10% БДП. Просечан ниво зарада на нивоу опште државе у ЕУ је, пре пандемије, износио око 10% БДП, док је током 2020. године подигнут на скоро 11% БДП, а у 2021. години је износио 10,5% БДП. Као и у свим земљама ЕУ, током 2020. године, у </w:t>
      </w:r>
      <w:r w:rsidR="00E0125A" w:rsidRPr="00092ED7">
        <w:rPr>
          <w:rFonts w:eastAsia="MS PGothic" w:cstheme="minorHAnsi"/>
          <w:szCs w:val="20"/>
          <w:lang w:val="sr-Cyrl-CS" w:eastAsia="ja-JP"/>
        </w:rPr>
        <w:t xml:space="preserve">Републици </w:t>
      </w:r>
      <w:r w:rsidR="00576A4F" w:rsidRPr="00092ED7">
        <w:rPr>
          <w:rFonts w:eastAsia="MS PGothic" w:cstheme="minorHAnsi"/>
          <w:szCs w:val="20"/>
          <w:lang w:val="sr-Cyrl-CS" w:eastAsia="ja-JP"/>
        </w:rPr>
        <w:t>Србији је учешће расхода за запослене у БДП повећано.</w:t>
      </w:r>
    </w:p>
    <w:p w14:paraId="43BA834D" w14:textId="77777777" w:rsidR="00576A4F" w:rsidRPr="00092ED7" w:rsidRDefault="00576A4F" w:rsidP="00A3670F">
      <w:pPr>
        <w:spacing w:after="60"/>
        <w:rPr>
          <w:rFonts w:eastAsia="MS PGothic" w:cstheme="minorHAnsi"/>
          <w:szCs w:val="20"/>
          <w:lang w:val="sr-Cyrl-CS" w:eastAsia="ja-JP"/>
        </w:rPr>
      </w:pPr>
      <w:r w:rsidRPr="00092ED7">
        <w:rPr>
          <w:rFonts w:eastAsia="MS PGothic" w:cstheme="minorHAnsi"/>
          <w:szCs w:val="20"/>
          <w:lang w:val="sr-Cyrl-CS" w:eastAsia="ja-JP"/>
        </w:rPr>
        <w:t>Издаци за робе и услуге ће се постепено смањивати у средњорочном периоду у смислу учешћа у БДП, с обзиром да је предвиђено да номинално расту спорије од раста номиналног БДП. Висок ниво у 2021. и 2022. години у највећој мери је резултат већих расхода у здравству.</w:t>
      </w:r>
    </w:p>
    <w:p w14:paraId="654C04C6" w14:textId="77777777" w:rsidR="00576A4F" w:rsidRPr="00092ED7" w:rsidRDefault="00576A4F" w:rsidP="00A3670F">
      <w:pPr>
        <w:spacing w:after="60"/>
        <w:rPr>
          <w:rFonts w:eastAsia="MS PGothic" w:cstheme="minorHAnsi"/>
          <w:szCs w:val="20"/>
          <w:lang w:val="sr-Cyrl-CS" w:eastAsia="ja-JP"/>
        </w:rPr>
      </w:pPr>
      <w:r w:rsidRPr="00092ED7">
        <w:rPr>
          <w:rFonts w:eastAsia="MS PGothic" w:cstheme="minorHAnsi"/>
          <w:szCs w:val="20"/>
          <w:lang w:val="sr-Cyrl-CS" w:eastAsia="ja-JP"/>
        </w:rPr>
        <w:t>У претходном периоду смањени су расходи за камате што је показатељ успешно вођене фискалне и монетарне политике. Добри фискални резултати у претходном периоду смањили су потребе за задуживањем, што је уз ублажавање монетарне политике довело до пада каматних стопа. Имајући у виду растуће трошкове задуживања и потребе за финансирањем дефицита пројектовано је да ће у наредном периоду ниво расхода за камате бити на нивоу од око 2% БДП.</w:t>
      </w:r>
    </w:p>
    <w:p w14:paraId="30601E09" w14:textId="77777777" w:rsidR="00576A4F" w:rsidRPr="00092ED7" w:rsidRDefault="00576A4F" w:rsidP="00A3670F">
      <w:pPr>
        <w:spacing w:after="60"/>
        <w:rPr>
          <w:rFonts w:eastAsia="MS PGothic" w:cstheme="minorHAnsi"/>
          <w:szCs w:val="20"/>
          <w:lang w:val="sr-Cyrl-CS" w:eastAsia="ja-JP"/>
        </w:rPr>
      </w:pPr>
      <w:r w:rsidRPr="00092ED7">
        <w:rPr>
          <w:rFonts w:eastAsia="MS PGothic" w:cstheme="minorHAnsi"/>
          <w:szCs w:val="20"/>
          <w:lang w:val="sr-Cyrl-CS" w:eastAsia="ja-JP"/>
        </w:rPr>
        <w:t>Социјална помоћ и трансфери становништву представљају највећу расходну категорију буџета опште државе. Највећа појединачна ставка ове групе расхода, а уједно и највећа ставка свих расхода, су пензије, која је у 2020. години достигла ниво од 10,6% БДП. Од 2020. године пензије се усклађују се коришћењем „швајцарске формуле”, како би се истовремено обезбедио раст животног стандарда пензионера и одрживост пензионог система и система јавних финансија. „Швајцарска формула” подразумева индексацију, односно увећање пензија једнако збиру половине стопе раста просечне зараде и половине стопе раста потрошачких цена.</w:t>
      </w:r>
    </w:p>
    <w:p w14:paraId="726D0DA4" w14:textId="77777777" w:rsidR="00576A4F" w:rsidRPr="00092ED7" w:rsidRDefault="00576A4F" w:rsidP="00A3670F">
      <w:pPr>
        <w:spacing w:after="60"/>
        <w:rPr>
          <w:rFonts w:eastAsia="MS PGothic" w:cstheme="minorHAnsi"/>
          <w:szCs w:val="20"/>
          <w:lang w:val="sr-Cyrl-CS" w:eastAsia="ja-JP"/>
        </w:rPr>
      </w:pPr>
      <w:r w:rsidRPr="00092ED7">
        <w:rPr>
          <w:rFonts w:eastAsia="MS PGothic" w:cstheme="minorHAnsi"/>
          <w:szCs w:val="20"/>
          <w:lang w:val="sr-Cyrl-CS" w:eastAsia="ja-JP"/>
        </w:rPr>
        <w:lastRenderedPageBreak/>
        <w:t>Од 2023. године примењиваће се другачији начин индексације пензија, односно, усклађивање пензија ће узимати у обзир и учешће пензија у БДП, како би се додатно заштитио животни стандард пензионера</w:t>
      </w:r>
      <w:r w:rsidRPr="00092ED7">
        <w:rPr>
          <w:rStyle w:val="FootnoteReference"/>
          <w:rFonts w:eastAsia="MS PGothic" w:cstheme="minorHAnsi"/>
          <w:szCs w:val="20"/>
          <w:lang w:val="sr-Cyrl-CS" w:eastAsia="ja-JP"/>
        </w:rPr>
        <w:footnoteReference w:id="8"/>
      </w:r>
      <w:r w:rsidRPr="00092ED7">
        <w:rPr>
          <w:rFonts w:eastAsia="MS PGothic" w:cstheme="minorHAnsi"/>
          <w:szCs w:val="20"/>
          <w:lang w:val="sr-Cyrl-CS" w:eastAsia="ja-JP"/>
        </w:rPr>
        <w:t>. Остали облици социјалних давања и трансфера становништву у наредном периоду усклађиваће се применом прописане индексације, текућих и планираних измена политика у овој области и са пројектованим бројем корисника. Учешће расхода за социјална давања у БДП опада са 13,6%, колико износи у 2021. години, на 13,1% у 2025. години. У 2022. години исплаћена је једнократна помоћ свим пензионерима у износу од по 20.000 динара, односно око 34 млрд динара укупно, што се одразило и на динамику учешћа расхода за социјалну заштиту у БДП.</w:t>
      </w:r>
    </w:p>
    <w:p w14:paraId="5CB14CA1" w14:textId="77777777" w:rsidR="00576A4F" w:rsidRPr="00092ED7" w:rsidRDefault="00576A4F" w:rsidP="00A3670F">
      <w:pPr>
        <w:spacing w:after="60"/>
        <w:rPr>
          <w:rFonts w:eastAsia="MS PGothic" w:cstheme="minorHAnsi"/>
          <w:szCs w:val="20"/>
          <w:lang w:val="sr-Cyrl-CS" w:eastAsia="ja-JP"/>
        </w:rPr>
      </w:pPr>
      <w:r w:rsidRPr="00092ED7">
        <w:rPr>
          <w:rFonts w:eastAsia="MS PGothic" w:cstheme="minorHAnsi"/>
          <w:szCs w:val="20"/>
          <w:lang w:val="sr-Cyrl-CS" w:eastAsia="ja-JP"/>
        </w:rPr>
        <w:t>Смањење субвенција које служе као помоћ неефикасним сегментима јавног сектора омогућило је повећање оног дела субвенција које представљају праве подстицаје привреди, пре свега пољопривреди и малим и средњим предузећима, и које доводе до убрзања привредне активности. Циљ је да се субвенционисана средства преусмере ка развојним програмима у привреди и пољопривреди. Високи ниво субвенција у 2020. и 2021. години резултат је примене мера за превазилажење проблема изазваних пандемијском кризом. У 2023. години се привремени раст субвенција у смислу учешћа у БДП објашњава расходима намењених превазилажењу негативних ефеката растућих цена енергената, а који ће бити покривени из донације Европске уније.</w:t>
      </w:r>
    </w:p>
    <w:p w14:paraId="18D5A6AA" w14:textId="77777777" w:rsidR="00576A4F" w:rsidRPr="00092ED7" w:rsidRDefault="00576A4F" w:rsidP="00A3670F">
      <w:pPr>
        <w:spacing w:after="60"/>
        <w:rPr>
          <w:rFonts w:eastAsia="MS PGothic" w:cstheme="minorHAnsi"/>
          <w:szCs w:val="20"/>
          <w:lang w:val="sr-Cyrl-CS" w:eastAsia="ja-JP"/>
        </w:rPr>
      </w:pPr>
      <w:r w:rsidRPr="00092ED7">
        <w:rPr>
          <w:rFonts w:eastAsia="MS PGothic" w:cstheme="minorHAnsi"/>
          <w:szCs w:val="20"/>
          <w:lang w:val="sr-Cyrl-CS" w:eastAsia="ja-JP"/>
        </w:rPr>
        <w:t>Категорије осталих текућих расхода чине различити издаци, као што су дотације удружењима, политичким странкама, верским и спортским организацијама, казне, накнада штете итд. Као и код субвенција једнократни раст је узрокован фискалном реакцијом на кризу, с обзиром да су се са ове позиције исплаћивали фискални стимулуси становништву, тако да се у наредном периоду очекује смањење ових расхода у БДП.</w:t>
      </w:r>
    </w:p>
    <w:p w14:paraId="576789FE" w14:textId="77777777" w:rsidR="00576A4F" w:rsidRPr="00092ED7" w:rsidRDefault="00576A4F" w:rsidP="00A3670F">
      <w:pPr>
        <w:spacing w:after="60"/>
        <w:rPr>
          <w:rFonts w:eastAsia="MS PGothic" w:cstheme="minorHAnsi"/>
          <w:szCs w:val="20"/>
          <w:lang w:val="sr-Cyrl-CS" w:eastAsia="ja-JP"/>
        </w:rPr>
      </w:pPr>
      <w:r w:rsidRPr="00092ED7">
        <w:rPr>
          <w:rFonts w:eastAsia="MS PGothic" w:cstheme="minorHAnsi"/>
          <w:szCs w:val="20"/>
          <w:lang w:val="sr-Cyrl-CS" w:eastAsia="ja-JP"/>
        </w:rPr>
        <w:t>Током претходне три године значајно је побољшана ефикасност извршења јавних инвестиција. Капитални расходи су повећани на 5,3% БДП у 2020. години захваљујући отпочињању новог циклуса инфраструктурних пројеката, а у 2021. години су достигли чак 7,4% БДП, упркос проблемима које је проузроковала пандемија. У наредном средњорочном периоду очекује очување достигнутог нивоа улагања у јавну инфраструктуру. Најзначајнији радови су на путној, железничкој, комуналној и водној инфраструктури који се углавном финансирају из међународних кредита. Поред саобраћајне инфраструктуре обезбеђена су средства за додатна капитална улагања у здравству, енергетици, заштити животне средине, просвети, култури, одбрани и другим областима које представљају најважније функције државе. Ово је све део новог инвестиционог циклуса на националном нивоу који је омогућен стварањем фискалног простора и подржан повољним условима за задуживање на међународном финансијском тржишту у претходном периоду.</w:t>
      </w:r>
    </w:p>
    <w:p w14:paraId="3A25C4FE" w14:textId="5F07A13C" w:rsidR="00576A4F" w:rsidRPr="00092ED7" w:rsidRDefault="00576A4F" w:rsidP="00A3670F">
      <w:pPr>
        <w:spacing w:after="60"/>
        <w:rPr>
          <w:rFonts w:eastAsia="MS PGothic" w:cstheme="minorHAnsi"/>
          <w:szCs w:val="20"/>
          <w:lang w:val="sr-Cyrl-CS" w:eastAsia="ja-JP"/>
        </w:rPr>
      </w:pPr>
      <w:r w:rsidRPr="00092ED7">
        <w:rPr>
          <w:rFonts w:eastAsia="MS PGothic" w:cstheme="minorHAnsi"/>
          <w:szCs w:val="20"/>
          <w:lang w:val="sr-Cyrl-CS" w:eastAsia="ja-JP"/>
        </w:rPr>
        <w:t>Опште опредељење фискалне политике у средњем року јесте повећање улагања у инфраструктуру на свим нивоима власти. Кад је реч о локалном нивоу власти</w:t>
      </w:r>
      <w:r w:rsidR="00E0125A" w:rsidRPr="00092ED7">
        <w:rPr>
          <w:rFonts w:eastAsia="MS PGothic" w:cstheme="minorHAnsi"/>
          <w:szCs w:val="20"/>
          <w:lang w:val="sr-Cyrl-CS" w:eastAsia="ja-JP"/>
        </w:rPr>
        <w:t>,</w:t>
      </w:r>
      <w:r w:rsidRPr="00092ED7">
        <w:rPr>
          <w:rFonts w:eastAsia="MS PGothic" w:cstheme="minorHAnsi"/>
          <w:szCs w:val="20"/>
          <w:lang w:val="sr-Cyrl-CS" w:eastAsia="ja-JP"/>
        </w:rPr>
        <w:t xml:space="preserve"> то се пре свега односи на улагања у водоводну и канализациону инфраструктуру, управљање отпадом, локалну путну инфраструктуру и друго. Очекује се да </w:t>
      </w:r>
      <w:r w:rsidR="00846CA3" w:rsidRPr="00092ED7">
        <w:rPr>
          <w:rFonts w:eastAsia="MS PGothic" w:cstheme="minorHAnsi"/>
          <w:szCs w:val="20"/>
          <w:lang w:val="sr-Cyrl-CS" w:eastAsia="ja-JP"/>
        </w:rPr>
        <w:t>г</w:t>
      </w:r>
      <w:r w:rsidRPr="00092ED7">
        <w:rPr>
          <w:rFonts w:eastAsia="MS PGothic" w:cstheme="minorHAnsi"/>
          <w:szCs w:val="20"/>
          <w:lang w:val="sr-Cyrl-CS" w:eastAsia="ja-JP"/>
        </w:rPr>
        <w:t>рад Београд већ следеће године озбиљније крене у пројекат изградње метроа, уз помоћ државе.</w:t>
      </w:r>
    </w:p>
    <w:p w14:paraId="56031771" w14:textId="205FCA18" w:rsidR="00576A4F" w:rsidRPr="00092ED7" w:rsidRDefault="00576A4F" w:rsidP="00A3670F">
      <w:pPr>
        <w:spacing w:after="60"/>
        <w:rPr>
          <w:rFonts w:eastAsia="MS PGothic" w:cstheme="minorHAnsi"/>
          <w:szCs w:val="20"/>
          <w:lang w:val="sr-Cyrl-CS" w:eastAsia="ja-JP"/>
        </w:rPr>
      </w:pPr>
      <w:r w:rsidRPr="00092ED7">
        <w:rPr>
          <w:rFonts w:eastAsia="MS PGothic" w:cstheme="minorHAnsi"/>
          <w:szCs w:val="20"/>
          <w:lang w:val="sr-Cyrl-CS" w:eastAsia="ja-JP"/>
        </w:rPr>
        <w:t xml:space="preserve">У средњорочном фискалном оквиру, до краја 2025. године, пројектована је избалансирана укупна фискална позиција локалне самоуправе. То значи да у збиру сви градови и општине имају приближно избалансиран буџет. Пројекција је рађена на основу кретања у претходном периоду, у коме су збирно </w:t>
      </w:r>
      <w:r w:rsidR="008F53D9" w:rsidRPr="00092ED7">
        <w:rPr>
          <w:rFonts w:eastAsia="MS PGothic" w:cstheme="minorHAnsi"/>
          <w:szCs w:val="20"/>
          <w:lang w:val="sr-Cyrl-CS" w:eastAsia="ja-JP"/>
        </w:rPr>
        <w:t>ЈЛС</w:t>
      </w:r>
      <w:r w:rsidR="00E0125A" w:rsidRPr="00092ED7">
        <w:rPr>
          <w:rFonts w:eastAsia="MS PGothic" w:cstheme="minorHAnsi"/>
          <w:szCs w:val="20"/>
          <w:lang w:val="sr-Cyrl-CS" w:eastAsia="ja-JP"/>
        </w:rPr>
        <w:t xml:space="preserve"> </w:t>
      </w:r>
      <w:r w:rsidRPr="00092ED7">
        <w:rPr>
          <w:rFonts w:eastAsia="MS PGothic" w:cstheme="minorHAnsi"/>
          <w:szCs w:val="20"/>
          <w:lang w:val="sr-Cyrl-CS" w:eastAsia="ja-JP"/>
        </w:rPr>
        <w:t xml:space="preserve">најчешће биле у суфициту. Овакво стање на нивоу свих локалних самоуправа је последица раздуживања у </w:t>
      </w:r>
      <w:r w:rsidRPr="00092ED7">
        <w:rPr>
          <w:rFonts w:eastAsia="MS PGothic" w:cstheme="minorHAnsi"/>
          <w:szCs w:val="20"/>
          <w:lang w:val="sr-Cyrl-CS" w:eastAsia="ja-JP"/>
        </w:rPr>
        <w:lastRenderedPageBreak/>
        <w:t>претходном периоду. То не значи да појединачне ЈЛС не могу ићи у дефицит, што зависи од фискалне позиције сваке појединачне општине и града.</w:t>
      </w:r>
    </w:p>
    <w:p w14:paraId="4FA73BB7" w14:textId="77777777" w:rsidR="00576A4F" w:rsidRPr="00092ED7" w:rsidRDefault="00576A4F" w:rsidP="00E255B1">
      <w:pPr>
        <w:spacing w:after="60"/>
        <w:rPr>
          <w:rFonts w:eastAsia="MS PGothic" w:cstheme="minorHAnsi"/>
          <w:szCs w:val="20"/>
          <w:lang w:val="sr-Cyrl-CS" w:eastAsia="ja-JP"/>
        </w:rPr>
      </w:pPr>
      <w:r w:rsidRPr="00092ED7">
        <w:rPr>
          <w:rFonts w:eastAsia="MS PGothic" w:cstheme="minorHAnsi"/>
          <w:szCs w:val="20"/>
          <w:lang w:val="sr-Cyrl-CS" w:eastAsia="ja-JP"/>
        </w:rPr>
        <w:t>Категорија буџетских позајмица се највише мења у поређењу са претходним програмима. Разлог је што се овде књижи највећи део средстава неопходних за превазилажење негативних последица енергетске кризе. У 2022. години са ове категорије се очекује исплата средстава у износу од око 2% БДП за наведене потребе, у 2023. години око 1,5% БДП, а у 2024. години је за сада предвиђено 0,7% БДП ових средстава.</w:t>
      </w:r>
    </w:p>
    <w:p w14:paraId="5DAACA5F" w14:textId="77777777" w:rsidR="005F26DA" w:rsidRPr="00092ED7" w:rsidRDefault="00576A4F" w:rsidP="00E255B1">
      <w:pPr>
        <w:spacing w:after="60"/>
        <w:rPr>
          <w:lang w:val="sr-Cyrl-CS" w:eastAsia="ja-JP"/>
        </w:rPr>
      </w:pPr>
      <w:r w:rsidRPr="00092ED7">
        <w:rPr>
          <w:rFonts w:eastAsia="MS PGothic" w:cstheme="minorHAnsi"/>
          <w:szCs w:val="20"/>
          <w:lang w:val="sr-Cyrl-CS" w:eastAsia="ja-JP"/>
        </w:rPr>
        <w:t>Отплата по основу издатих гаранција и плаћање гаранција по комерцијалним трансакцијама представљају обавезе по основу дуга јавних предузећа које је републички буџет преузео на себе, с обзиром да та предузећа нису могла самостално да их извршавају. Ови расходи су представљали велики терет за буџет с обзиром на дугогодишње неефикасно пословање великог броја државних предузећа и привредних друштава. У претходном периоду ови расходи су значајно смањени, а планом отплате предвиђено је да ће до 2025. године ови расходи пасти на ниво од 0,2% БДП.</w:t>
      </w:r>
    </w:p>
    <w:p w14:paraId="7C22981E" w14:textId="77777777" w:rsidR="005F26DA" w:rsidRPr="00092ED7" w:rsidRDefault="00735870" w:rsidP="00E02533">
      <w:pPr>
        <w:pStyle w:val="Heading2"/>
        <w:spacing w:before="120" w:after="120"/>
        <w:rPr>
          <w:rFonts w:ascii="Times New Roman" w:eastAsia="Calibri" w:hAnsi="Times New Roman" w:cs="Times New Roman"/>
          <w:b/>
          <w:color w:val="auto"/>
          <w:sz w:val="24"/>
          <w:szCs w:val="24"/>
          <w:lang w:val="sr-Cyrl-CS"/>
        </w:rPr>
      </w:pPr>
      <w:bookmarkStart w:id="25" w:name="_Toc124174797"/>
      <w:r w:rsidRPr="00092ED7">
        <w:rPr>
          <w:rFonts w:ascii="Times New Roman" w:eastAsia="Calibri" w:hAnsi="Times New Roman" w:cs="Times New Roman"/>
          <w:b/>
          <w:color w:val="auto"/>
          <w:sz w:val="24"/>
          <w:szCs w:val="24"/>
          <w:lang w:val="sr-Cyrl-CS"/>
        </w:rPr>
        <w:t>4.</w:t>
      </w:r>
      <w:r w:rsidR="005F26DA" w:rsidRPr="00092ED7">
        <w:rPr>
          <w:rFonts w:ascii="Times New Roman" w:eastAsia="Calibri" w:hAnsi="Times New Roman" w:cs="Times New Roman"/>
          <w:b/>
          <w:color w:val="auto"/>
          <w:sz w:val="24"/>
          <w:szCs w:val="24"/>
          <w:lang w:val="sr-Cyrl-CS"/>
        </w:rPr>
        <w:t>4. ЦИКЛИЧНО ПРИЛАГОЂЕНИ ФИСКАЛНИ БИЛАНС</w:t>
      </w:r>
      <w:bookmarkEnd w:id="25"/>
    </w:p>
    <w:p w14:paraId="5632AF88" w14:textId="77777777" w:rsidR="00854E01" w:rsidRPr="00092ED7" w:rsidRDefault="00854E01" w:rsidP="00854E01">
      <w:pPr>
        <w:spacing w:after="60"/>
        <w:rPr>
          <w:rFonts w:eastAsia="MS PGothic" w:cs="Times New Roman"/>
          <w:szCs w:val="24"/>
          <w:lang w:val="sr-Cyrl-CS" w:eastAsia="ja-JP"/>
        </w:rPr>
      </w:pPr>
      <w:r w:rsidRPr="00092ED7">
        <w:rPr>
          <w:rFonts w:eastAsia="MS PGothic" w:cs="Times New Roman"/>
          <w:szCs w:val="24"/>
          <w:lang w:val="sr-Cyrl-CS" w:eastAsia="ja-JP"/>
        </w:rPr>
        <w:t>Циклично прилагођени фискални биланс је фискални биланс из кога је искључен изоловани утицај привредног циклуса, а идентитет од кога се полази је следећи</w:t>
      </w:r>
      <w:r w:rsidRPr="00092ED7">
        <w:rPr>
          <w:rFonts w:eastAsia="MS PGothic" w:cs="Times New Roman"/>
          <w:szCs w:val="24"/>
          <w:vertAlign w:val="superscript"/>
          <w:lang w:val="sr-Cyrl-CS" w:eastAsia="ja-JP"/>
        </w:rPr>
        <w:footnoteReference w:id="9"/>
      </w:r>
      <w:r w:rsidRPr="00092ED7">
        <w:rPr>
          <w:rFonts w:eastAsia="MS PGothic" w:cs="Times New Roman"/>
          <w:szCs w:val="24"/>
          <w:lang w:val="sr-Cyrl-CS" w:eastAsia="ja-JP"/>
        </w:rPr>
        <w:t>:</w:t>
      </w:r>
    </w:p>
    <w:p w14:paraId="7184DF54" w14:textId="77777777" w:rsidR="00854E01" w:rsidRPr="00092ED7" w:rsidRDefault="00854E01" w:rsidP="00854E01">
      <w:pPr>
        <w:jc w:val="center"/>
        <w:rPr>
          <w:rFonts w:eastAsia="MS PGothic" w:cs="Times New Roman"/>
          <w:szCs w:val="24"/>
          <w:lang w:val="sr-Cyrl-CS" w:eastAsia="ja-JP"/>
        </w:rPr>
      </w:pPr>
      <w:r w:rsidRPr="00092ED7">
        <w:rPr>
          <w:rFonts w:eastAsia="MS PGothic" w:cs="Times New Roman"/>
          <w:szCs w:val="24"/>
          <w:lang w:val="sr-Cyrl-CS" w:eastAsia="ja-JP"/>
        </w:rPr>
        <w:t>FB = CB + CAB</w:t>
      </w:r>
    </w:p>
    <w:p w14:paraId="11787B13" w14:textId="4D078BEC" w:rsidR="00854E01" w:rsidRPr="00092ED7" w:rsidRDefault="00854E01" w:rsidP="00854E01">
      <w:pPr>
        <w:spacing w:after="60"/>
        <w:rPr>
          <w:rFonts w:eastAsia="MS PGothic" w:cs="Times New Roman"/>
          <w:szCs w:val="24"/>
          <w:lang w:val="sr-Cyrl-CS" w:eastAsia="ja-JP"/>
        </w:rPr>
      </w:pPr>
      <w:r w:rsidRPr="00092ED7">
        <w:rPr>
          <w:rFonts w:eastAsia="MS PGothic" w:cs="Times New Roman"/>
          <w:szCs w:val="24"/>
          <w:lang w:val="sr-Cyrl-CS" w:eastAsia="ja-JP"/>
        </w:rPr>
        <w:t>Део фискалног биланса (</w:t>
      </w:r>
      <w:r w:rsidR="00E0125A" w:rsidRPr="00092ED7">
        <w:rPr>
          <w:rFonts w:eastAsia="MS PGothic" w:cs="Times New Roman"/>
          <w:szCs w:val="24"/>
          <w:lang w:val="sr-Cyrl-CS" w:eastAsia="ja-JP"/>
        </w:rPr>
        <w:t xml:space="preserve">у даљем тексту: </w:t>
      </w:r>
      <w:r w:rsidRPr="00092ED7">
        <w:rPr>
          <w:rFonts w:eastAsia="MS PGothic" w:cs="Times New Roman"/>
          <w:szCs w:val="24"/>
          <w:lang w:val="sr-Cyrl-CS" w:eastAsia="ja-JP"/>
        </w:rPr>
        <w:t>FB)</w:t>
      </w:r>
      <w:r w:rsidRPr="00092ED7">
        <w:rPr>
          <w:rFonts w:eastAsia="MS PGothic" w:cs="Times New Roman"/>
          <w:i/>
          <w:szCs w:val="24"/>
          <w:lang w:val="sr-Cyrl-CS" w:eastAsia="ja-JP"/>
        </w:rPr>
        <w:t xml:space="preserve"> </w:t>
      </w:r>
      <w:r w:rsidRPr="00092ED7">
        <w:rPr>
          <w:rFonts w:eastAsia="MS PGothic" w:cs="Times New Roman"/>
          <w:szCs w:val="24"/>
          <w:lang w:val="sr-Cyrl-CS" w:eastAsia="ja-JP"/>
        </w:rPr>
        <w:t>који није под утицајем цикличних флуктуација назива се циклично прилагођени фискални биланс (</w:t>
      </w:r>
      <w:r w:rsidR="00E0125A" w:rsidRPr="00092ED7">
        <w:rPr>
          <w:rFonts w:eastAsia="MS PGothic" w:cs="Times New Roman"/>
          <w:szCs w:val="24"/>
          <w:lang w:val="sr-Cyrl-CS" w:eastAsia="ja-JP"/>
        </w:rPr>
        <w:t xml:space="preserve">у даљем тексту: </w:t>
      </w:r>
      <w:r w:rsidRPr="00092ED7">
        <w:rPr>
          <w:rFonts w:eastAsia="MS PGothic" w:cs="Times New Roman"/>
          <w:szCs w:val="24"/>
          <w:lang w:val="sr-Cyrl-CS" w:eastAsia="ja-JP"/>
        </w:rPr>
        <w:t>CAB</w:t>
      </w:r>
      <w:r w:rsidRPr="00092ED7">
        <w:rPr>
          <w:rFonts w:eastAsia="MS PGothic" w:cs="Times New Roman"/>
          <w:i/>
          <w:szCs w:val="24"/>
          <w:lang w:val="sr-Cyrl-CS" w:eastAsia="ja-JP"/>
        </w:rPr>
        <w:t xml:space="preserve">), </w:t>
      </w:r>
      <w:r w:rsidRPr="00092ED7">
        <w:rPr>
          <w:rFonts w:eastAsia="MS PGothic" w:cs="Times New Roman"/>
          <w:szCs w:val="24"/>
          <w:lang w:val="sr-Cyrl-CS" w:eastAsia="ja-JP"/>
        </w:rPr>
        <w:t>а циљ ове процедуре је изоловање цикличне компоненте фискалног биланса (</w:t>
      </w:r>
      <w:r w:rsidR="00E0125A" w:rsidRPr="00092ED7">
        <w:rPr>
          <w:rFonts w:eastAsia="MS PGothic" w:cs="Times New Roman"/>
          <w:szCs w:val="24"/>
          <w:lang w:val="sr-Cyrl-CS" w:eastAsia="ja-JP"/>
        </w:rPr>
        <w:t xml:space="preserve">у даљем тексту: </w:t>
      </w:r>
      <w:r w:rsidRPr="00092ED7">
        <w:rPr>
          <w:rFonts w:eastAsia="MS PGothic" w:cs="Times New Roman"/>
          <w:szCs w:val="24"/>
          <w:lang w:val="sr-Cyrl-CS" w:eastAsia="ja-JP"/>
        </w:rPr>
        <w:t>CB) која је резултат дејства производног јаза. Стварни фискални биланс биће једнак циклично прилагођеном у случају да је производни јаз једнак нули, тј. ако је стопа раста реалног БДП једнака потенцијалној. Структурни фискални биланс се даље рачунски добија елиминацијом једнократних ефеката на приходној и расходној страни, и тако показује структурну (трајну) фискалну позицију.</w:t>
      </w:r>
    </w:p>
    <w:p w14:paraId="56164E8F" w14:textId="77777777" w:rsidR="00854E01" w:rsidRPr="00092ED7" w:rsidRDefault="00854E01" w:rsidP="00854E01">
      <w:pPr>
        <w:spacing w:after="60"/>
        <w:rPr>
          <w:rFonts w:eastAsia="MS PGothic" w:cs="Times New Roman"/>
          <w:szCs w:val="24"/>
          <w:lang w:val="sr-Cyrl-CS" w:eastAsia="ja-JP"/>
        </w:rPr>
      </w:pPr>
      <w:r w:rsidRPr="00092ED7">
        <w:rPr>
          <w:rFonts w:eastAsia="MS PGothic" w:cs="Times New Roman"/>
          <w:szCs w:val="24"/>
          <w:lang w:val="sr-Cyrl-CS" w:eastAsia="ja-JP"/>
        </w:rPr>
        <w:t>Фискални простор креиран у претходном периоду и значајно структурно унапређена фискална позиција земље, омогућили су релаксацију фискалне политике у кризним временима.</w:t>
      </w:r>
    </w:p>
    <w:p w14:paraId="30D0A8CE" w14:textId="3350AFCF" w:rsidR="00854E01" w:rsidRPr="00092ED7" w:rsidRDefault="00854E01" w:rsidP="00854E01">
      <w:pPr>
        <w:spacing w:after="60"/>
        <w:rPr>
          <w:rFonts w:eastAsia="MS PGothic" w:cs="Times New Roman"/>
          <w:szCs w:val="24"/>
          <w:lang w:val="sr-Cyrl-CS" w:eastAsia="ja-JP"/>
        </w:rPr>
      </w:pPr>
      <w:r w:rsidRPr="00092ED7">
        <w:rPr>
          <w:rFonts w:eastAsia="MS PGothic" w:cs="Times New Roman"/>
          <w:szCs w:val="24"/>
          <w:lang w:val="sr-Cyrl-CS" w:eastAsia="ja-JP"/>
        </w:rPr>
        <w:t>Избијањем пандемије почетком 2020. године и увођењем мера за здравствену заштиту становништва, глобална економија је ушла у кризу без преседана. Утицај на фискалну позицију је био видљив кроз смањене прихода буџета, који су последица успоравања економске активности услед пандемије, и драматично већих расхода условљених већим трошковима здравствене заштите и доношењем обимног пакета помоћи привреди и грађанима. У таквој ситуацији, уобичајена анализа привредног циклуса, квантификација фискалних мултипликатора и оцена еластичности фискалног баланса у односу на производни јаз не даје сасвим коректне оцене фискалне позиције земље. Одговор фискалне политике на сложену економску ситуацију узроковану пандемијом коронавируса у 2020. и 2021. години, представљен је опсежним пакетом мера помоћи привреди. У случају одсуства мера подршке привреди и становништву пад БДП у 2020. години и снажан опоравак током 2021. године би изостао, а већа контракција привреде би утицала на знатно спорији опоравак у наредном средњорочном периоду.</w:t>
      </w:r>
    </w:p>
    <w:p w14:paraId="4FE8AD0B" w14:textId="77777777" w:rsidR="00854E01" w:rsidRPr="00092ED7" w:rsidRDefault="00854E01" w:rsidP="00854E01">
      <w:pPr>
        <w:spacing w:before="120" w:after="60"/>
        <w:rPr>
          <w:rFonts w:eastAsia="MS PGothic" w:cs="Times New Roman"/>
          <w:bCs/>
          <w:szCs w:val="24"/>
          <w:lang w:val="sr-Cyrl-CS"/>
        </w:rPr>
      </w:pPr>
      <w:r w:rsidRPr="00092ED7">
        <w:rPr>
          <w:rFonts w:eastAsia="MS PGothic" w:cs="Times New Roman"/>
          <w:bCs/>
          <w:szCs w:val="24"/>
          <w:lang w:val="sr-Cyrl-CS"/>
        </w:rPr>
        <w:t>Табела 10. Фискални биланс и компоненте за обрачун циклично прилагођеног биланса у периоду 2005–2025. године, % БДП*</w:t>
      </w:r>
    </w:p>
    <w:tbl>
      <w:tblPr>
        <w:tblpPr w:leftFromText="181" w:rightFromText="181" w:vertAnchor="text" w:horzAnchor="margin" w:tblpXSpec="right" w:tblpY="29"/>
        <w:tblW w:w="499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969"/>
        <w:gridCol w:w="985"/>
        <w:gridCol w:w="985"/>
        <w:gridCol w:w="1082"/>
        <w:gridCol w:w="1082"/>
        <w:gridCol w:w="1032"/>
        <w:gridCol w:w="1032"/>
        <w:gridCol w:w="985"/>
      </w:tblGrid>
      <w:tr w:rsidR="00854E01" w:rsidRPr="00092ED7" w14:paraId="052C510F" w14:textId="77777777" w:rsidTr="00854E01">
        <w:trPr>
          <w:trHeight w:val="731"/>
          <w:tblHeader/>
        </w:trPr>
        <w:tc>
          <w:tcPr>
            <w:tcW w:w="473" w:type="pct"/>
            <w:noWrap/>
            <w:hideMark/>
          </w:tcPr>
          <w:p w14:paraId="2C436068" w14:textId="77777777" w:rsidR="00854E01" w:rsidRPr="00092ED7" w:rsidRDefault="00854E01" w:rsidP="00854E01">
            <w:pPr>
              <w:shd w:val="clear" w:color="auto" w:fill="FFFFFF" w:themeFill="background1"/>
              <w:spacing w:after="0"/>
              <w:rPr>
                <w:rFonts w:eastAsia="MS PGothic" w:cs="Times New Roman"/>
                <w:bCs/>
                <w:sz w:val="16"/>
                <w:szCs w:val="16"/>
                <w:lang w:val="sr-Cyrl-CS" w:eastAsia="ja-JP"/>
              </w:rPr>
            </w:pPr>
          </w:p>
        </w:tc>
        <w:tc>
          <w:tcPr>
            <w:tcW w:w="538" w:type="pct"/>
            <w:vAlign w:val="center"/>
          </w:tcPr>
          <w:p w14:paraId="2FD62E5A" w14:textId="77777777" w:rsidR="00854E01" w:rsidRPr="00092ED7" w:rsidRDefault="00854E01" w:rsidP="00854E01">
            <w:pPr>
              <w:shd w:val="clear" w:color="auto" w:fill="FFFFFF" w:themeFill="background1"/>
              <w:spacing w:after="0"/>
              <w:jc w:val="center"/>
              <w:rPr>
                <w:rFonts w:eastAsia="MS PGothic" w:cs="Times New Roman"/>
                <w:b/>
                <w:bCs/>
                <w:sz w:val="16"/>
                <w:szCs w:val="16"/>
                <w:lang w:val="sr-Cyrl-CS" w:eastAsia="ja-JP"/>
              </w:rPr>
            </w:pPr>
            <w:r w:rsidRPr="00092ED7">
              <w:rPr>
                <w:rFonts w:eastAsia="MS PGothic" w:cs="Times New Roman"/>
                <w:bCs/>
                <w:sz w:val="16"/>
                <w:szCs w:val="16"/>
                <w:lang w:val="sr-Cyrl-CS" w:eastAsia="ja-JP"/>
              </w:rPr>
              <w:t>Производни јаз</w:t>
            </w:r>
          </w:p>
        </w:tc>
        <w:tc>
          <w:tcPr>
            <w:tcW w:w="547" w:type="pct"/>
            <w:vAlign w:val="center"/>
            <w:hideMark/>
          </w:tcPr>
          <w:p w14:paraId="46BD11DB" w14:textId="77777777" w:rsidR="00854E01" w:rsidRPr="00092ED7" w:rsidRDefault="00854E01" w:rsidP="00854E01">
            <w:pPr>
              <w:shd w:val="clear" w:color="auto" w:fill="FFFFFF" w:themeFill="background1"/>
              <w:spacing w:after="0"/>
              <w:jc w:val="center"/>
              <w:rPr>
                <w:rFonts w:eastAsia="MS PGothic" w:cs="Times New Roman"/>
                <w:b/>
                <w:bCs/>
                <w:sz w:val="16"/>
                <w:szCs w:val="16"/>
                <w:lang w:val="sr-Cyrl-CS" w:eastAsia="ja-JP"/>
              </w:rPr>
            </w:pPr>
            <w:r w:rsidRPr="00092ED7">
              <w:rPr>
                <w:rFonts w:eastAsia="MS PGothic" w:cs="Times New Roman"/>
                <w:bCs/>
                <w:sz w:val="16"/>
                <w:szCs w:val="16"/>
                <w:lang w:val="sr-Cyrl-CS" w:eastAsia="ja-JP"/>
              </w:rPr>
              <w:t xml:space="preserve">Фискални </w:t>
            </w:r>
            <w:r w:rsidRPr="00092ED7">
              <w:rPr>
                <w:rFonts w:eastAsia="MS PGothic" w:cs="Times New Roman"/>
                <w:bCs/>
                <w:sz w:val="16"/>
                <w:szCs w:val="16"/>
                <w:lang w:val="sr-Cyrl-CS" w:eastAsia="ja-JP"/>
              </w:rPr>
              <w:br/>
              <w:t>биланс</w:t>
            </w:r>
          </w:p>
        </w:tc>
        <w:tc>
          <w:tcPr>
            <w:tcW w:w="547" w:type="pct"/>
            <w:vAlign w:val="center"/>
            <w:hideMark/>
          </w:tcPr>
          <w:p w14:paraId="5E62CC42" w14:textId="77777777" w:rsidR="00854E01" w:rsidRPr="00092ED7" w:rsidRDefault="00854E01" w:rsidP="00854E01">
            <w:pPr>
              <w:shd w:val="clear" w:color="auto" w:fill="FFFFFF" w:themeFill="background1"/>
              <w:spacing w:after="0"/>
              <w:jc w:val="center"/>
              <w:rPr>
                <w:rFonts w:eastAsia="MS PGothic" w:cs="Times New Roman"/>
                <w:b/>
                <w:bCs/>
                <w:sz w:val="16"/>
                <w:szCs w:val="16"/>
                <w:lang w:val="sr-Cyrl-CS" w:eastAsia="ja-JP"/>
              </w:rPr>
            </w:pPr>
            <w:r w:rsidRPr="00092ED7">
              <w:rPr>
                <w:rFonts w:eastAsia="MS PGothic" w:cs="Times New Roman"/>
                <w:bCs/>
                <w:sz w:val="16"/>
                <w:szCs w:val="16"/>
                <w:lang w:val="sr-Cyrl-CS" w:eastAsia="ja-JP"/>
              </w:rPr>
              <w:t>Примарни фискални биланс</w:t>
            </w:r>
          </w:p>
        </w:tc>
        <w:tc>
          <w:tcPr>
            <w:tcW w:w="601" w:type="pct"/>
            <w:vAlign w:val="center"/>
            <w:hideMark/>
          </w:tcPr>
          <w:p w14:paraId="0F42E7AE" w14:textId="77777777" w:rsidR="00854E01" w:rsidRPr="00092ED7" w:rsidRDefault="00854E01" w:rsidP="00854E01">
            <w:pPr>
              <w:shd w:val="clear" w:color="auto" w:fill="FFFFFF" w:themeFill="background1"/>
              <w:spacing w:after="0"/>
              <w:jc w:val="center"/>
              <w:rPr>
                <w:rFonts w:eastAsia="MS PGothic" w:cs="Times New Roman"/>
                <w:b/>
                <w:bCs/>
                <w:sz w:val="16"/>
                <w:szCs w:val="16"/>
                <w:lang w:val="sr-Cyrl-CS" w:eastAsia="ja-JP"/>
              </w:rPr>
            </w:pPr>
            <w:r w:rsidRPr="00092ED7">
              <w:rPr>
                <w:rFonts w:eastAsia="MS PGothic" w:cs="Times New Roman"/>
                <w:bCs/>
                <w:sz w:val="16"/>
                <w:szCs w:val="16"/>
                <w:lang w:val="sr-Cyrl-CS" w:eastAsia="ja-JP"/>
              </w:rPr>
              <w:t>Циклично прилагођени фискални биланс</w:t>
            </w:r>
          </w:p>
        </w:tc>
        <w:tc>
          <w:tcPr>
            <w:tcW w:w="601" w:type="pct"/>
            <w:vAlign w:val="center"/>
            <w:hideMark/>
          </w:tcPr>
          <w:p w14:paraId="14BEC0AD" w14:textId="77777777" w:rsidR="00854E01" w:rsidRPr="00092ED7" w:rsidRDefault="00854E01" w:rsidP="00854E01">
            <w:pPr>
              <w:shd w:val="clear" w:color="auto" w:fill="FFFFFF" w:themeFill="background1"/>
              <w:spacing w:after="0"/>
              <w:jc w:val="center"/>
              <w:rPr>
                <w:rFonts w:eastAsia="MS PGothic" w:cs="Times New Roman"/>
                <w:b/>
                <w:bCs/>
                <w:sz w:val="16"/>
                <w:szCs w:val="16"/>
                <w:lang w:val="sr-Cyrl-CS" w:eastAsia="ja-JP"/>
              </w:rPr>
            </w:pPr>
            <w:r w:rsidRPr="00092ED7">
              <w:rPr>
                <w:rFonts w:eastAsia="MS PGothic" w:cs="Times New Roman"/>
                <w:bCs/>
                <w:sz w:val="16"/>
                <w:szCs w:val="16"/>
                <w:lang w:val="sr-Cyrl-CS" w:eastAsia="ja-JP"/>
              </w:rPr>
              <w:t>Циклично прилагођени примарни фискални биланс</w:t>
            </w:r>
          </w:p>
        </w:tc>
        <w:tc>
          <w:tcPr>
            <w:tcW w:w="573" w:type="pct"/>
            <w:vAlign w:val="center"/>
          </w:tcPr>
          <w:p w14:paraId="74F264BE" w14:textId="77777777" w:rsidR="00854E01" w:rsidRPr="00092ED7" w:rsidRDefault="00854E01" w:rsidP="00854E01">
            <w:pPr>
              <w:shd w:val="clear" w:color="auto" w:fill="FFFFFF" w:themeFill="background1"/>
              <w:spacing w:after="0"/>
              <w:jc w:val="center"/>
              <w:rPr>
                <w:rFonts w:eastAsia="MS PGothic" w:cs="Times New Roman"/>
                <w:b/>
                <w:bCs/>
                <w:sz w:val="16"/>
                <w:szCs w:val="16"/>
                <w:lang w:val="sr-Cyrl-CS" w:eastAsia="ja-JP"/>
              </w:rPr>
            </w:pPr>
            <w:r w:rsidRPr="00092ED7">
              <w:rPr>
                <w:rFonts w:eastAsia="MS PGothic" w:cs="Times New Roman"/>
                <w:bCs/>
                <w:sz w:val="16"/>
                <w:szCs w:val="16"/>
                <w:lang w:val="sr-Cyrl-CS" w:eastAsia="ja-JP"/>
              </w:rPr>
              <w:t>Структурни фискални биланс</w:t>
            </w:r>
          </w:p>
        </w:tc>
        <w:tc>
          <w:tcPr>
            <w:tcW w:w="573" w:type="pct"/>
            <w:vAlign w:val="center"/>
            <w:hideMark/>
          </w:tcPr>
          <w:p w14:paraId="120FBA32" w14:textId="77777777" w:rsidR="00854E01" w:rsidRPr="00092ED7" w:rsidRDefault="00854E01" w:rsidP="00854E01">
            <w:pPr>
              <w:shd w:val="clear" w:color="auto" w:fill="FFFFFF" w:themeFill="background1"/>
              <w:spacing w:after="0"/>
              <w:jc w:val="center"/>
              <w:rPr>
                <w:rFonts w:eastAsia="MS PGothic" w:cs="Times New Roman"/>
                <w:b/>
                <w:bCs/>
                <w:sz w:val="16"/>
                <w:szCs w:val="16"/>
                <w:lang w:val="sr-Cyrl-CS" w:eastAsia="ja-JP"/>
              </w:rPr>
            </w:pPr>
            <w:r w:rsidRPr="00092ED7">
              <w:rPr>
                <w:rFonts w:eastAsia="MS PGothic" w:cs="Times New Roman"/>
                <w:bCs/>
                <w:sz w:val="16"/>
                <w:szCs w:val="16"/>
                <w:lang w:val="sr-Cyrl-CS" w:eastAsia="ja-JP"/>
              </w:rPr>
              <w:t>Структурни примарни фискални биланс**</w:t>
            </w:r>
          </w:p>
        </w:tc>
        <w:tc>
          <w:tcPr>
            <w:tcW w:w="547" w:type="pct"/>
            <w:vAlign w:val="center"/>
            <w:hideMark/>
          </w:tcPr>
          <w:p w14:paraId="0066DCAC" w14:textId="77777777" w:rsidR="00854E01" w:rsidRPr="00092ED7" w:rsidRDefault="00854E01" w:rsidP="00854E01">
            <w:pPr>
              <w:shd w:val="clear" w:color="auto" w:fill="FFFFFF" w:themeFill="background1"/>
              <w:spacing w:after="0"/>
              <w:jc w:val="center"/>
              <w:rPr>
                <w:rFonts w:eastAsia="MS PGothic" w:cs="Times New Roman"/>
                <w:b/>
                <w:bCs/>
                <w:sz w:val="16"/>
                <w:szCs w:val="16"/>
                <w:lang w:val="sr-Cyrl-CS" w:eastAsia="ja-JP"/>
              </w:rPr>
            </w:pPr>
            <w:r w:rsidRPr="00092ED7">
              <w:rPr>
                <w:rFonts w:eastAsia="MS PGothic" w:cs="Times New Roman"/>
                <w:bCs/>
                <w:sz w:val="16"/>
                <w:szCs w:val="16"/>
                <w:lang w:val="sr-Cyrl-CS" w:eastAsia="ja-JP"/>
              </w:rPr>
              <w:t>Фискални импулс</w:t>
            </w:r>
          </w:p>
        </w:tc>
      </w:tr>
      <w:tr w:rsidR="00854E01" w:rsidRPr="00092ED7" w14:paraId="229B313C" w14:textId="77777777" w:rsidTr="00854E01">
        <w:trPr>
          <w:trHeight w:hRule="exact" w:val="230"/>
        </w:trPr>
        <w:tc>
          <w:tcPr>
            <w:tcW w:w="473" w:type="pct"/>
            <w:shd w:val="clear" w:color="auto" w:fill="FFFFFF" w:themeFill="background1"/>
            <w:noWrap/>
            <w:hideMark/>
          </w:tcPr>
          <w:p w14:paraId="102E6420" w14:textId="77777777" w:rsidR="00854E01" w:rsidRPr="00092ED7" w:rsidRDefault="00854E01" w:rsidP="00854E01">
            <w:pPr>
              <w:shd w:val="clear" w:color="auto" w:fill="FFFFFF" w:themeFill="background1"/>
              <w:spacing w:after="0"/>
              <w:rPr>
                <w:rFonts w:eastAsia="MS PGothic" w:cs="Times New Roman"/>
                <w:b/>
                <w:bCs/>
                <w:sz w:val="16"/>
                <w:szCs w:val="16"/>
                <w:lang w:val="sr-Cyrl-CS" w:eastAsia="ja-JP"/>
              </w:rPr>
            </w:pPr>
            <w:r w:rsidRPr="00092ED7">
              <w:rPr>
                <w:rFonts w:eastAsia="MS PGothic" w:cs="Times New Roman"/>
                <w:bCs/>
                <w:sz w:val="16"/>
                <w:szCs w:val="16"/>
                <w:lang w:val="sr-Cyrl-CS" w:eastAsia="ja-JP"/>
              </w:rPr>
              <w:t>2005</w:t>
            </w:r>
          </w:p>
        </w:tc>
        <w:tc>
          <w:tcPr>
            <w:tcW w:w="538" w:type="pct"/>
            <w:shd w:val="clear" w:color="auto" w:fill="FFFFFF" w:themeFill="background1"/>
            <w:vAlign w:val="center"/>
          </w:tcPr>
          <w:p w14:paraId="5EC3DFE6"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0,0</w:t>
            </w:r>
          </w:p>
        </w:tc>
        <w:tc>
          <w:tcPr>
            <w:tcW w:w="547" w:type="pct"/>
            <w:shd w:val="clear" w:color="auto" w:fill="FFFFFF" w:themeFill="background1"/>
            <w:vAlign w:val="center"/>
            <w:hideMark/>
          </w:tcPr>
          <w:p w14:paraId="1B715E06"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1,1</w:t>
            </w:r>
          </w:p>
        </w:tc>
        <w:tc>
          <w:tcPr>
            <w:tcW w:w="547" w:type="pct"/>
            <w:shd w:val="clear" w:color="auto" w:fill="FFFFFF" w:themeFill="background1"/>
            <w:vAlign w:val="center"/>
            <w:hideMark/>
          </w:tcPr>
          <w:p w14:paraId="6730D7B5"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2,0</w:t>
            </w:r>
          </w:p>
        </w:tc>
        <w:tc>
          <w:tcPr>
            <w:tcW w:w="601" w:type="pct"/>
            <w:shd w:val="clear" w:color="auto" w:fill="FFFFFF" w:themeFill="background1"/>
            <w:noWrap/>
            <w:vAlign w:val="center"/>
            <w:hideMark/>
          </w:tcPr>
          <w:p w14:paraId="57D01830"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1,1</w:t>
            </w:r>
          </w:p>
        </w:tc>
        <w:tc>
          <w:tcPr>
            <w:tcW w:w="601" w:type="pct"/>
            <w:shd w:val="clear" w:color="auto" w:fill="FFFFFF" w:themeFill="background1"/>
            <w:noWrap/>
            <w:vAlign w:val="center"/>
            <w:hideMark/>
          </w:tcPr>
          <w:p w14:paraId="653CD6AE"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2,0</w:t>
            </w:r>
          </w:p>
        </w:tc>
        <w:tc>
          <w:tcPr>
            <w:tcW w:w="573" w:type="pct"/>
            <w:shd w:val="clear" w:color="auto" w:fill="FFFFFF" w:themeFill="background1"/>
            <w:vAlign w:val="center"/>
          </w:tcPr>
          <w:p w14:paraId="6A04CAF8"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1,3</w:t>
            </w:r>
          </w:p>
        </w:tc>
        <w:tc>
          <w:tcPr>
            <w:tcW w:w="573" w:type="pct"/>
            <w:shd w:val="clear" w:color="auto" w:fill="FFFFFF" w:themeFill="background1"/>
            <w:noWrap/>
            <w:vAlign w:val="center"/>
            <w:hideMark/>
          </w:tcPr>
          <w:p w14:paraId="54EB6C4D"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2,2</w:t>
            </w:r>
          </w:p>
        </w:tc>
        <w:tc>
          <w:tcPr>
            <w:tcW w:w="547" w:type="pct"/>
            <w:shd w:val="clear" w:color="auto" w:fill="FFFFFF" w:themeFill="background1"/>
            <w:noWrap/>
            <w:vAlign w:val="center"/>
            <w:hideMark/>
          </w:tcPr>
          <w:p w14:paraId="66A6A880"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p>
        </w:tc>
      </w:tr>
      <w:tr w:rsidR="00854E01" w:rsidRPr="00092ED7" w14:paraId="5AA8D78C" w14:textId="77777777" w:rsidTr="00854E01">
        <w:trPr>
          <w:trHeight w:hRule="exact" w:val="230"/>
        </w:trPr>
        <w:tc>
          <w:tcPr>
            <w:tcW w:w="473" w:type="pct"/>
            <w:shd w:val="clear" w:color="auto" w:fill="FFFFFF" w:themeFill="background1"/>
            <w:noWrap/>
            <w:hideMark/>
          </w:tcPr>
          <w:p w14:paraId="36BC9281" w14:textId="77777777" w:rsidR="00854E01" w:rsidRPr="00092ED7" w:rsidRDefault="00854E01" w:rsidP="00854E01">
            <w:pPr>
              <w:shd w:val="clear" w:color="auto" w:fill="FFFFFF" w:themeFill="background1"/>
              <w:spacing w:after="0"/>
              <w:rPr>
                <w:rFonts w:eastAsia="MS PGothic" w:cs="Times New Roman"/>
                <w:b/>
                <w:bCs/>
                <w:sz w:val="16"/>
                <w:szCs w:val="16"/>
                <w:lang w:val="sr-Cyrl-CS" w:eastAsia="ja-JP"/>
              </w:rPr>
            </w:pPr>
            <w:r w:rsidRPr="00092ED7">
              <w:rPr>
                <w:rFonts w:eastAsia="MS PGothic" w:cs="Times New Roman"/>
                <w:bCs/>
                <w:sz w:val="16"/>
                <w:szCs w:val="16"/>
                <w:lang w:val="sr-Cyrl-CS" w:eastAsia="ja-JP"/>
              </w:rPr>
              <w:t>2006</w:t>
            </w:r>
          </w:p>
        </w:tc>
        <w:tc>
          <w:tcPr>
            <w:tcW w:w="538" w:type="pct"/>
            <w:shd w:val="clear" w:color="auto" w:fill="FFFFFF" w:themeFill="background1"/>
            <w:vAlign w:val="center"/>
          </w:tcPr>
          <w:p w14:paraId="7B4D322E"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-2,7</w:t>
            </w:r>
          </w:p>
        </w:tc>
        <w:tc>
          <w:tcPr>
            <w:tcW w:w="547" w:type="pct"/>
            <w:shd w:val="clear" w:color="auto" w:fill="FFFFFF" w:themeFill="background1"/>
            <w:vAlign w:val="center"/>
            <w:hideMark/>
          </w:tcPr>
          <w:p w14:paraId="5B8B0E50"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-1,4</w:t>
            </w:r>
          </w:p>
        </w:tc>
        <w:tc>
          <w:tcPr>
            <w:tcW w:w="547" w:type="pct"/>
            <w:shd w:val="clear" w:color="auto" w:fill="FFFFFF" w:themeFill="background1"/>
            <w:vAlign w:val="center"/>
            <w:hideMark/>
          </w:tcPr>
          <w:p w14:paraId="00B0F9CB"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-0,1</w:t>
            </w:r>
          </w:p>
        </w:tc>
        <w:tc>
          <w:tcPr>
            <w:tcW w:w="601" w:type="pct"/>
            <w:shd w:val="clear" w:color="auto" w:fill="FFFFFF" w:themeFill="background1"/>
            <w:noWrap/>
            <w:vAlign w:val="center"/>
            <w:hideMark/>
          </w:tcPr>
          <w:p w14:paraId="206B9559"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-0,5</w:t>
            </w:r>
          </w:p>
        </w:tc>
        <w:tc>
          <w:tcPr>
            <w:tcW w:w="601" w:type="pct"/>
            <w:shd w:val="clear" w:color="auto" w:fill="FFFFFF" w:themeFill="background1"/>
            <w:noWrap/>
            <w:vAlign w:val="center"/>
            <w:hideMark/>
          </w:tcPr>
          <w:p w14:paraId="5A4D3E70"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0,8</w:t>
            </w:r>
          </w:p>
        </w:tc>
        <w:tc>
          <w:tcPr>
            <w:tcW w:w="573" w:type="pct"/>
            <w:shd w:val="clear" w:color="auto" w:fill="FFFFFF" w:themeFill="background1"/>
            <w:vAlign w:val="center"/>
          </w:tcPr>
          <w:p w14:paraId="6061427D"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0,2</w:t>
            </w:r>
          </w:p>
        </w:tc>
        <w:tc>
          <w:tcPr>
            <w:tcW w:w="573" w:type="pct"/>
            <w:shd w:val="clear" w:color="auto" w:fill="FFFFFF" w:themeFill="background1"/>
            <w:noWrap/>
            <w:vAlign w:val="center"/>
            <w:hideMark/>
          </w:tcPr>
          <w:p w14:paraId="0E4097DF"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1,5</w:t>
            </w:r>
          </w:p>
        </w:tc>
        <w:tc>
          <w:tcPr>
            <w:tcW w:w="547" w:type="pct"/>
            <w:shd w:val="clear" w:color="auto" w:fill="FFFFFF" w:themeFill="background1"/>
            <w:noWrap/>
            <w:vAlign w:val="center"/>
            <w:hideMark/>
          </w:tcPr>
          <w:p w14:paraId="5F0EED0C"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1,2</w:t>
            </w:r>
          </w:p>
        </w:tc>
      </w:tr>
      <w:tr w:rsidR="00854E01" w:rsidRPr="00092ED7" w14:paraId="78CF1EBF" w14:textId="77777777" w:rsidTr="00854E01">
        <w:trPr>
          <w:trHeight w:hRule="exact" w:val="230"/>
        </w:trPr>
        <w:tc>
          <w:tcPr>
            <w:tcW w:w="473" w:type="pct"/>
            <w:shd w:val="clear" w:color="auto" w:fill="FFFFFF" w:themeFill="background1"/>
            <w:noWrap/>
            <w:hideMark/>
          </w:tcPr>
          <w:p w14:paraId="1A620F2C" w14:textId="77777777" w:rsidR="00854E01" w:rsidRPr="00092ED7" w:rsidRDefault="00854E01" w:rsidP="00854E01">
            <w:pPr>
              <w:shd w:val="clear" w:color="auto" w:fill="FFFFFF" w:themeFill="background1"/>
              <w:spacing w:after="0"/>
              <w:rPr>
                <w:rFonts w:eastAsia="MS PGothic" w:cs="Times New Roman"/>
                <w:b/>
                <w:bCs/>
                <w:sz w:val="16"/>
                <w:szCs w:val="16"/>
                <w:lang w:val="sr-Cyrl-CS" w:eastAsia="ja-JP"/>
              </w:rPr>
            </w:pPr>
            <w:r w:rsidRPr="00092ED7">
              <w:rPr>
                <w:rFonts w:eastAsia="MS PGothic" w:cs="Times New Roman"/>
                <w:bCs/>
                <w:sz w:val="16"/>
                <w:szCs w:val="16"/>
                <w:lang w:val="sr-Cyrl-CS" w:eastAsia="ja-JP"/>
              </w:rPr>
              <w:t>2007</w:t>
            </w:r>
          </w:p>
        </w:tc>
        <w:tc>
          <w:tcPr>
            <w:tcW w:w="538" w:type="pct"/>
            <w:shd w:val="clear" w:color="auto" w:fill="FFFFFF" w:themeFill="background1"/>
            <w:vAlign w:val="center"/>
          </w:tcPr>
          <w:p w14:paraId="3EECC162"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0,8</w:t>
            </w:r>
          </w:p>
        </w:tc>
        <w:tc>
          <w:tcPr>
            <w:tcW w:w="547" w:type="pct"/>
            <w:shd w:val="clear" w:color="auto" w:fill="FFFFFF" w:themeFill="background1"/>
            <w:vAlign w:val="center"/>
            <w:hideMark/>
          </w:tcPr>
          <w:p w14:paraId="1BC3A17F"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-1,8</w:t>
            </w:r>
          </w:p>
        </w:tc>
        <w:tc>
          <w:tcPr>
            <w:tcW w:w="547" w:type="pct"/>
            <w:shd w:val="clear" w:color="auto" w:fill="FFFFFF" w:themeFill="background1"/>
            <w:vAlign w:val="center"/>
            <w:hideMark/>
          </w:tcPr>
          <w:p w14:paraId="3B175742"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-1,2</w:t>
            </w:r>
          </w:p>
        </w:tc>
        <w:tc>
          <w:tcPr>
            <w:tcW w:w="601" w:type="pct"/>
            <w:shd w:val="clear" w:color="auto" w:fill="FFFFFF" w:themeFill="background1"/>
            <w:vAlign w:val="center"/>
            <w:hideMark/>
          </w:tcPr>
          <w:p w14:paraId="097B5BD1"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-2,1</w:t>
            </w:r>
          </w:p>
        </w:tc>
        <w:tc>
          <w:tcPr>
            <w:tcW w:w="601" w:type="pct"/>
            <w:shd w:val="clear" w:color="auto" w:fill="FFFFFF" w:themeFill="background1"/>
            <w:noWrap/>
            <w:vAlign w:val="center"/>
            <w:hideMark/>
          </w:tcPr>
          <w:p w14:paraId="5C7E166C"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-1,5</w:t>
            </w:r>
          </w:p>
        </w:tc>
        <w:tc>
          <w:tcPr>
            <w:tcW w:w="573" w:type="pct"/>
            <w:shd w:val="clear" w:color="auto" w:fill="FFFFFF" w:themeFill="background1"/>
            <w:vAlign w:val="center"/>
          </w:tcPr>
          <w:p w14:paraId="6C2F2198"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-1,7</w:t>
            </w:r>
          </w:p>
        </w:tc>
        <w:tc>
          <w:tcPr>
            <w:tcW w:w="573" w:type="pct"/>
            <w:shd w:val="clear" w:color="auto" w:fill="FFFFFF" w:themeFill="background1"/>
            <w:noWrap/>
            <w:vAlign w:val="center"/>
            <w:hideMark/>
          </w:tcPr>
          <w:p w14:paraId="6728C7CA"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-1,2</w:t>
            </w:r>
          </w:p>
        </w:tc>
        <w:tc>
          <w:tcPr>
            <w:tcW w:w="547" w:type="pct"/>
            <w:shd w:val="clear" w:color="auto" w:fill="FFFFFF" w:themeFill="background1"/>
            <w:noWrap/>
            <w:vAlign w:val="center"/>
            <w:hideMark/>
          </w:tcPr>
          <w:p w14:paraId="22858F17"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2,3</w:t>
            </w:r>
          </w:p>
        </w:tc>
      </w:tr>
      <w:tr w:rsidR="00854E01" w:rsidRPr="00092ED7" w14:paraId="793A4963" w14:textId="77777777" w:rsidTr="00854E01">
        <w:trPr>
          <w:trHeight w:hRule="exact" w:val="230"/>
        </w:trPr>
        <w:tc>
          <w:tcPr>
            <w:tcW w:w="473" w:type="pct"/>
            <w:shd w:val="clear" w:color="auto" w:fill="FFFFFF" w:themeFill="background1"/>
            <w:noWrap/>
            <w:hideMark/>
          </w:tcPr>
          <w:p w14:paraId="3CDB8AD6" w14:textId="77777777" w:rsidR="00854E01" w:rsidRPr="00092ED7" w:rsidRDefault="00854E01" w:rsidP="00854E01">
            <w:pPr>
              <w:shd w:val="clear" w:color="auto" w:fill="FFFFFF" w:themeFill="background1"/>
              <w:spacing w:after="0"/>
              <w:rPr>
                <w:rFonts w:eastAsia="MS PGothic" w:cs="Times New Roman"/>
                <w:b/>
                <w:bCs/>
                <w:sz w:val="16"/>
                <w:szCs w:val="16"/>
                <w:lang w:val="sr-Cyrl-CS" w:eastAsia="ja-JP"/>
              </w:rPr>
            </w:pPr>
            <w:r w:rsidRPr="00092ED7">
              <w:rPr>
                <w:rFonts w:eastAsia="MS PGothic" w:cs="Times New Roman"/>
                <w:bCs/>
                <w:sz w:val="16"/>
                <w:szCs w:val="16"/>
                <w:lang w:val="sr-Cyrl-CS" w:eastAsia="ja-JP"/>
              </w:rPr>
              <w:t>2008</w:t>
            </w:r>
          </w:p>
        </w:tc>
        <w:tc>
          <w:tcPr>
            <w:tcW w:w="538" w:type="pct"/>
            <w:shd w:val="clear" w:color="auto" w:fill="FFFFFF" w:themeFill="background1"/>
            <w:vAlign w:val="center"/>
          </w:tcPr>
          <w:p w14:paraId="4D69FA8D"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4,0</w:t>
            </w:r>
          </w:p>
        </w:tc>
        <w:tc>
          <w:tcPr>
            <w:tcW w:w="547" w:type="pct"/>
            <w:shd w:val="clear" w:color="auto" w:fill="FFFFFF" w:themeFill="background1"/>
            <w:vAlign w:val="center"/>
            <w:hideMark/>
          </w:tcPr>
          <w:p w14:paraId="75BDBFA6"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-2,5</w:t>
            </w:r>
          </w:p>
        </w:tc>
        <w:tc>
          <w:tcPr>
            <w:tcW w:w="547" w:type="pct"/>
            <w:shd w:val="clear" w:color="auto" w:fill="FFFFFF" w:themeFill="background1"/>
            <w:vAlign w:val="center"/>
            <w:hideMark/>
          </w:tcPr>
          <w:p w14:paraId="0B6E27A3"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-1,9</w:t>
            </w:r>
          </w:p>
        </w:tc>
        <w:tc>
          <w:tcPr>
            <w:tcW w:w="601" w:type="pct"/>
            <w:shd w:val="clear" w:color="auto" w:fill="FFFFFF" w:themeFill="background1"/>
            <w:vAlign w:val="center"/>
            <w:hideMark/>
          </w:tcPr>
          <w:p w14:paraId="1BF35416"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-3,9</w:t>
            </w:r>
          </w:p>
        </w:tc>
        <w:tc>
          <w:tcPr>
            <w:tcW w:w="601" w:type="pct"/>
            <w:shd w:val="clear" w:color="auto" w:fill="FFFFFF" w:themeFill="background1"/>
            <w:noWrap/>
            <w:vAlign w:val="center"/>
            <w:hideMark/>
          </w:tcPr>
          <w:p w14:paraId="60ED887D"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-3,4</w:t>
            </w:r>
          </w:p>
        </w:tc>
        <w:tc>
          <w:tcPr>
            <w:tcW w:w="573" w:type="pct"/>
            <w:shd w:val="clear" w:color="auto" w:fill="FFFFFF" w:themeFill="background1"/>
            <w:vAlign w:val="center"/>
          </w:tcPr>
          <w:p w14:paraId="1399FB9B"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-4,0</w:t>
            </w:r>
          </w:p>
        </w:tc>
        <w:tc>
          <w:tcPr>
            <w:tcW w:w="573" w:type="pct"/>
            <w:shd w:val="clear" w:color="auto" w:fill="FFFFFF" w:themeFill="background1"/>
            <w:noWrap/>
            <w:vAlign w:val="center"/>
            <w:hideMark/>
          </w:tcPr>
          <w:p w14:paraId="155614C5"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-3,4</w:t>
            </w:r>
          </w:p>
        </w:tc>
        <w:tc>
          <w:tcPr>
            <w:tcW w:w="547" w:type="pct"/>
            <w:shd w:val="clear" w:color="auto" w:fill="FFFFFF" w:themeFill="background1"/>
            <w:noWrap/>
            <w:vAlign w:val="center"/>
            <w:hideMark/>
          </w:tcPr>
          <w:p w14:paraId="22678A88"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1,9</w:t>
            </w:r>
          </w:p>
        </w:tc>
      </w:tr>
      <w:tr w:rsidR="00854E01" w:rsidRPr="00092ED7" w14:paraId="66B419D8" w14:textId="77777777" w:rsidTr="00854E01">
        <w:trPr>
          <w:trHeight w:hRule="exact" w:val="230"/>
        </w:trPr>
        <w:tc>
          <w:tcPr>
            <w:tcW w:w="473" w:type="pct"/>
            <w:shd w:val="clear" w:color="auto" w:fill="FFFFFF" w:themeFill="background1"/>
            <w:noWrap/>
            <w:hideMark/>
          </w:tcPr>
          <w:p w14:paraId="4C1E4DD4" w14:textId="77777777" w:rsidR="00854E01" w:rsidRPr="00092ED7" w:rsidRDefault="00854E01" w:rsidP="00854E01">
            <w:pPr>
              <w:shd w:val="clear" w:color="auto" w:fill="FFFFFF" w:themeFill="background1"/>
              <w:spacing w:after="0"/>
              <w:rPr>
                <w:rFonts w:eastAsia="MS PGothic" w:cs="Times New Roman"/>
                <w:b/>
                <w:bCs/>
                <w:sz w:val="16"/>
                <w:szCs w:val="16"/>
                <w:lang w:val="sr-Cyrl-CS" w:eastAsia="ja-JP"/>
              </w:rPr>
            </w:pPr>
            <w:r w:rsidRPr="00092ED7">
              <w:rPr>
                <w:rFonts w:eastAsia="MS PGothic" w:cs="Times New Roman"/>
                <w:bCs/>
                <w:sz w:val="16"/>
                <w:szCs w:val="16"/>
                <w:lang w:val="sr-Cyrl-CS" w:eastAsia="ja-JP"/>
              </w:rPr>
              <w:t>2009</w:t>
            </w:r>
          </w:p>
        </w:tc>
        <w:tc>
          <w:tcPr>
            <w:tcW w:w="538" w:type="pct"/>
            <w:shd w:val="clear" w:color="auto" w:fill="FFFFFF" w:themeFill="background1"/>
            <w:vAlign w:val="center"/>
          </w:tcPr>
          <w:p w14:paraId="419CA963"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-0,4</w:t>
            </w:r>
          </w:p>
        </w:tc>
        <w:tc>
          <w:tcPr>
            <w:tcW w:w="547" w:type="pct"/>
            <w:shd w:val="clear" w:color="auto" w:fill="FFFFFF" w:themeFill="background1"/>
            <w:vAlign w:val="center"/>
            <w:hideMark/>
          </w:tcPr>
          <w:p w14:paraId="321B1FF8"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-4,2</w:t>
            </w:r>
          </w:p>
        </w:tc>
        <w:tc>
          <w:tcPr>
            <w:tcW w:w="547" w:type="pct"/>
            <w:shd w:val="clear" w:color="auto" w:fill="FFFFFF" w:themeFill="background1"/>
            <w:vAlign w:val="center"/>
            <w:hideMark/>
          </w:tcPr>
          <w:p w14:paraId="55A6413D"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-3,6</w:t>
            </w:r>
          </w:p>
        </w:tc>
        <w:tc>
          <w:tcPr>
            <w:tcW w:w="601" w:type="pct"/>
            <w:shd w:val="clear" w:color="auto" w:fill="FFFFFF" w:themeFill="background1"/>
            <w:vAlign w:val="center"/>
            <w:hideMark/>
          </w:tcPr>
          <w:p w14:paraId="66219A53"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-4,0</w:t>
            </w:r>
          </w:p>
        </w:tc>
        <w:tc>
          <w:tcPr>
            <w:tcW w:w="601" w:type="pct"/>
            <w:shd w:val="clear" w:color="auto" w:fill="FFFFFF" w:themeFill="background1"/>
            <w:vAlign w:val="center"/>
            <w:hideMark/>
          </w:tcPr>
          <w:p w14:paraId="322A41D6"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-3,4</w:t>
            </w:r>
          </w:p>
        </w:tc>
        <w:tc>
          <w:tcPr>
            <w:tcW w:w="573" w:type="pct"/>
            <w:shd w:val="clear" w:color="auto" w:fill="FFFFFF" w:themeFill="background1"/>
            <w:vAlign w:val="center"/>
          </w:tcPr>
          <w:p w14:paraId="1A2C86DC"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-4,1</w:t>
            </w:r>
          </w:p>
        </w:tc>
        <w:tc>
          <w:tcPr>
            <w:tcW w:w="573" w:type="pct"/>
            <w:shd w:val="clear" w:color="auto" w:fill="FFFFFF" w:themeFill="background1"/>
            <w:noWrap/>
            <w:vAlign w:val="center"/>
            <w:hideMark/>
          </w:tcPr>
          <w:p w14:paraId="393E70C7"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-3,5</w:t>
            </w:r>
          </w:p>
        </w:tc>
        <w:tc>
          <w:tcPr>
            <w:tcW w:w="547" w:type="pct"/>
            <w:shd w:val="clear" w:color="auto" w:fill="FFFFFF" w:themeFill="background1"/>
            <w:noWrap/>
            <w:vAlign w:val="center"/>
            <w:hideMark/>
          </w:tcPr>
          <w:p w14:paraId="2B794761"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0,0</w:t>
            </w:r>
          </w:p>
        </w:tc>
      </w:tr>
      <w:tr w:rsidR="00854E01" w:rsidRPr="00092ED7" w14:paraId="08AE3852" w14:textId="77777777" w:rsidTr="00854E01">
        <w:trPr>
          <w:trHeight w:hRule="exact" w:val="230"/>
        </w:trPr>
        <w:tc>
          <w:tcPr>
            <w:tcW w:w="473" w:type="pct"/>
            <w:shd w:val="clear" w:color="auto" w:fill="FFFFFF" w:themeFill="background1"/>
            <w:noWrap/>
          </w:tcPr>
          <w:p w14:paraId="265069DB" w14:textId="77777777" w:rsidR="00854E01" w:rsidRPr="00092ED7" w:rsidRDefault="00854E01" w:rsidP="00854E01">
            <w:pPr>
              <w:shd w:val="clear" w:color="auto" w:fill="FFFFFF" w:themeFill="background1"/>
              <w:spacing w:after="0"/>
              <w:rPr>
                <w:rFonts w:eastAsia="MS PGothic" w:cs="Times New Roman"/>
                <w:b/>
                <w:bCs/>
                <w:sz w:val="16"/>
                <w:szCs w:val="16"/>
                <w:lang w:val="sr-Cyrl-CS" w:eastAsia="ja-JP"/>
              </w:rPr>
            </w:pPr>
            <w:r w:rsidRPr="00092ED7">
              <w:rPr>
                <w:rFonts w:eastAsia="MS PGothic" w:cs="Times New Roman"/>
                <w:bCs/>
                <w:sz w:val="16"/>
                <w:szCs w:val="16"/>
                <w:lang w:val="sr-Cyrl-CS" w:eastAsia="ja-JP"/>
              </w:rPr>
              <w:t>2010</w:t>
            </w:r>
          </w:p>
          <w:p w14:paraId="75F9D018" w14:textId="77777777" w:rsidR="00854E01" w:rsidRPr="00092ED7" w:rsidRDefault="00854E01" w:rsidP="00854E01">
            <w:pPr>
              <w:shd w:val="clear" w:color="auto" w:fill="FFFFFF" w:themeFill="background1"/>
              <w:spacing w:after="0"/>
              <w:rPr>
                <w:rFonts w:eastAsia="MS PGothic" w:cs="Times New Roman"/>
                <w:b/>
                <w:bCs/>
                <w:sz w:val="16"/>
                <w:szCs w:val="16"/>
                <w:lang w:val="sr-Cyrl-CS" w:eastAsia="ja-JP"/>
              </w:rPr>
            </w:pPr>
          </w:p>
        </w:tc>
        <w:tc>
          <w:tcPr>
            <w:tcW w:w="538" w:type="pct"/>
            <w:shd w:val="clear" w:color="auto" w:fill="FFFFFF" w:themeFill="background1"/>
            <w:vAlign w:val="center"/>
          </w:tcPr>
          <w:p w14:paraId="0BB12B3F"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-0,7</w:t>
            </w:r>
          </w:p>
        </w:tc>
        <w:tc>
          <w:tcPr>
            <w:tcW w:w="547" w:type="pct"/>
            <w:shd w:val="clear" w:color="auto" w:fill="FFFFFF" w:themeFill="background1"/>
            <w:vAlign w:val="center"/>
            <w:hideMark/>
          </w:tcPr>
          <w:p w14:paraId="26D4D38D"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-4,3</w:t>
            </w:r>
          </w:p>
        </w:tc>
        <w:tc>
          <w:tcPr>
            <w:tcW w:w="547" w:type="pct"/>
            <w:shd w:val="clear" w:color="auto" w:fill="FFFFFF" w:themeFill="background1"/>
            <w:vAlign w:val="center"/>
            <w:hideMark/>
          </w:tcPr>
          <w:p w14:paraId="4DC47C86"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-3,4</w:t>
            </w:r>
          </w:p>
        </w:tc>
        <w:tc>
          <w:tcPr>
            <w:tcW w:w="601" w:type="pct"/>
            <w:shd w:val="clear" w:color="auto" w:fill="FFFFFF" w:themeFill="background1"/>
            <w:vAlign w:val="center"/>
            <w:hideMark/>
          </w:tcPr>
          <w:p w14:paraId="05E9F248"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-4,1</w:t>
            </w:r>
          </w:p>
        </w:tc>
        <w:tc>
          <w:tcPr>
            <w:tcW w:w="601" w:type="pct"/>
            <w:shd w:val="clear" w:color="auto" w:fill="FFFFFF" w:themeFill="background1"/>
            <w:vAlign w:val="center"/>
            <w:hideMark/>
          </w:tcPr>
          <w:p w14:paraId="7B006036"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-3,1</w:t>
            </w:r>
          </w:p>
        </w:tc>
        <w:tc>
          <w:tcPr>
            <w:tcW w:w="573" w:type="pct"/>
            <w:shd w:val="clear" w:color="auto" w:fill="FFFFFF" w:themeFill="background1"/>
            <w:vAlign w:val="center"/>
          </w:tcPr>
          <w:p w14:paraId="5877F053"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-4,2</w:t>
            </w:r>
          </w:p>
        </w:tc>
        <w:tc>
          <w:tcPr>
            <w:tcW w:w="573" w:type="pct"/>
            <w:shd w:val="clear" w:color="auto" w:fill="FFFFFF" w:themeFill="background1"/>
            <w:noWrap/>
            <w:vAlign w:val="center"/>
            <w:hideMark/>
          </w:tcPr>
          <w:p w14:paraId="0C4B91F9"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-3,2</w:t>
            </w:r>
          </w:p>
        </w:tc>
        <w:tc>
          <w:tcPr>
            <w:tcW w:w="547" w:type="pct"/>
            <w:shd w:val="clear" w:color="auto" w:fill="FFFFFF" w:themeFill="background1"/>
            <w:noWrap/>
            <w:vAlign w:val="center"/>
            <w:hideMark/>
          </w:tcPr>
          <w:p w14:paraId="4A2BAD90"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-0,3</w:t>
            </w:r>
          </w:p>
        </w:tc>
      </w:tr>
      <w:tr w:rsidR="00854E01" w:rsidRPr="00092ED7" w14:paraId="04A67B67" w14:textId="77777777" w:rsidTr="00854E01">
        <w:trPr>
          <w:trHeight w:hRule="exact" w:val="230"/>
        </w:trPr>
        <w:tc>
          <w:tcPr>
            <w:tcW w:w="473" w:type="pct"/>
            <w:shd w:val="clear" w:color="auto" w:fill="FFFFFF" w:themeFill="background1"/>
            <w:noWrap/>
            <w:hideMark/>
          </w:tcPr>
          <w:p w14:paraId="1EB34E73" w14:textId="77777777" w:rsidR="00854E01" w:rsidRPr="00092ED7" w:rsidRDefault="00854E01" w:rsidP="00854E01">
            <w:pPr>
              <w:shd w:val="clear" w:color="auto" w:fill="FFFFFF" w:themeFill="background1"/>
              <w:spacing w:after="0"/>
              <w:rPr>
                <w:rFonts w:eastAsia="MS PGothic" w:cs="Times New Roman"/>
                <w:b/>
                <w:bCs/>
                <w:sz w:val="16"/>
                <w:szCs w:val="16"/>
                <w:lang w:val="sr-Cyrl-CS" w:eastAsia="ja-JP"/>
              </w:rPr>
            </w:pPr>
            <w:r w:rsidRPr="00092ED7">
              <w:rPr>
                <w:rFonts w:eastAsia="MS PGothic" w:cs="Times New Roman"/>
                <w:bCs/>
                <w:sz w:val="16"/>
                <w:szCs w:val="16"/>
                <w:lang w:val="sr-Cyrl-CS" w:eastAsia="ja-JP"/>
              </w:rPr>
              <w:t>2011</w:t>
            </w:r>
          </w:p>
        </w:tc>
        <w:tc>
          <w:tcPr>
            <w:tcW w:w="538" w:type="pct"/>
            <w:shd w:val="clear" w:color="auto" w:fill="FFFFFF" w:themeFill="background1"/>
            <w:vAlign w:val="center"/>
          </w:tcPr>
          <w:p w14:paraId="5FD54F24"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0,5</w:t>
            </w:r>
          </w:p>
        </w:tc>
        <w:tc>
          <w:tcPr>
            <w:tcW w:w="547" w:type="pct"/>
            <w:shd w:val="clear" w:color="auto" w:fill="FFFFFF" w:themeFill="background1"/>
            <w:vAlign w:val="center"/>
            <w:hideMark/>
          </w:tcPr>
          <w:p w14:paraId="154A0F38"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-4,5</w:t>
            </w:r>
          </w:p>
        </w:tc>
        <w:tc>
          <w:tcPr>
            <w:tcW w:w="547" w:type="pct"/>
            <w:shd w:val="clear" w:color="auto" w:fill="FFFFFF" w:themeFill="background1"/>
            <w:vAlign w:val="center"/>
            <w:hideMark/>
          </w:tcPr>
          <w:p w14:paraId="5536837A"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-3,4</w:t>
            </w:r>
          </w:p>
        </w:tc>
        <w:tc>
          <w:tcPr>
            <w:tcW w:w="601" w:type="pct"/>
            <w:shd w:val="clear" w:color="auto" w:fill="FFFFFF" w:themeFill="background1"/>
            <w:vAlign w:val="center"/>
            <w:hideMark/>
          </w:tcPr>
          <w:p w14:paraId="275EB8A3"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-4,7</w:t>
            </w:r>
          </w:p>
        </w:tc>
        <w:tc>
          <w:tcPr>
            <w:tcW w:w="601" w:type="pct"/>
            <w:shd w:val="clear" w:color="auto" w:fill="FFFFFF" w:themeFill="background1"/>
            <w:vAlign w:val="center"/>
            <w:hideMark/>
          </w:tcPr>
          <w:p w14:paraId="77DE0C78"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-3,6</w:t>
            </w:r>
          </w:p>
        </w:tc>
        <w:tc>
          <w:tcPr>
            <w:tcW w:w="573" w:type="pct"/>
            <w:shd w:val="clear" w:color="auto" w:fill="FFFFFF" w:themeFill="background1"/>
            <w:vAlign w:val="center"/>
          </w:tcPr>
          <w:p w14:paraId="1C914DD5"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-4,9</w:t>
            </w:r>
          </w:p>
        </w:tc>
        <w:tc>
          <w:tcPr>
            <w:tcW w:w="573" w:type="pct"/>
            <w:shd w:val="clear" w:color="auto" w:fill="FFFFFF" w:themeFill="background1"/>
            <w:noWrap/>
            <w:vAlign w:val="center"/>
            <w:hideMark/>
          </w:tcPr>
          <w:p w14:paraId="0D63B023"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-3,8</w:t>
            </w:r>
          </w:p>
        </w:tc>
        <w:tc>
          <w:tcPr>
            <w:tcW w:w="547" w:type="pct"/>
            <w:shd w:val="clear" w:color="auto" w:fill="FFFFFF" w:themeFill="background1"/>
            <w:noWrap/>
            <w:vAlign w:val="center"/>
            <w:hideMark/>
          </w:tcPr>
          <w:p w14:paraId="4468D454"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0,4</w:t>
            </w:r>
          </w:p>
        </w:tc>
      </w:tr>
      <w:tr w:rsidR="00854E01" w:rsidRPr="00092ED7" w14:paraId="30641DA5" w14:textId="77777777" w:rsidTr="00854E01">
        <w:trPr>
          <w:trHeight w:hRule="exact" w:val="230"/>
        </w:trPr>
        <w:tc>
          <w:tcPr>
            <w:tcW w:w="473" w:type="pct"/>
            <w:shd w:val="clear" w:color="auto" w:fill="FFFFFF" w:themeFill="background1"/>
            <w:noWrap/>
          </w:tcPr>
          <w:p w14:paraId="01D8CC94" w14:textId="77777777" w:rsidR="00854E01" w:rsidRPr="00092ED7" w:rsidRDefault="00854E01" w:rsidP="00854E01">
            <w:pPr>
              <w:shd w:val="clear" w:color="auto" w:fill="FFFFFF" w:themeFill="background1"/>
              <w:spacing w:after="0"/>
              <w:rPr>
                <w:rFonts w:eastAsia="MS PGothic" w:cs="Times New Roman"/>
                <w:b/>
                <w:bCs/>
                <w:sz w:val="16"/>
                <w:szCs w:val="16"/>
                <w:lang w:val="sr-Cyrl-CS" w:eastAsia="ja-JP"/>
              </w:rPr>
            </w:pPr>
            <w:r w:rsidRPr="00092ED7">
              <w:rPr>
                <w:rFonts w:eastAsia="MS PGothic" w:cs="Times New Roman"/>
                <w:bCs/>
                <w:sz w:val="16"/>
                <w:szCs w:val="16"/>
                <w:lang w:val="sr-Cyrl-CS" w:eastAsia="ja-JP"/>
              </w:rPr>
              <w:t>2012</w:t>
            </w:r>
          </w:p>
          <w:p w14:paraId="752CF90B" w14:textId="77777777" w:rsidR="00854E01" w:rsidRPr="00092ED7" w:rsidRDefault="00854E01" w:rsidP="00854E01">
            <w:pPr>
              <w:shd w:val="clear" w:color="auto" w:fill="FFFFFF" w:themeFill="background1"/>
              <w:spacing w:after="0"/>
              <w:rPr>
                <w:rFonts w:eastAsia="MS PGothic" w:cs="Times New Roman"/>
                <w:b/>
                <w:bCs/>
                <w:sz w:val="16"/>
                <w:szCs w:val="16"/>
                <w:lang w:val="sr-Cyrl-CS" w:eastAsia="ja-JP"/>
              </w:rPr>
            </w:pPr>
          </w:p>
        </w:tc>
        <w:tc>
          <w:tcPr>
            <w:tcW w:w="538" w:type="pct"/>
            <w:shd w:val="clear" w:color="auto" w:fill="FFFFFF" w:themeFill="background1"/>
            <w:vAlign w:val="center"/>
          </w:tcPr>
          <w:p w14:paraId="595B0C70"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-0,8</w:t>
            </w:r>
          </w:p>
        </w:tc>
        <w:tc>
          <w:tcPr>
            <w:tcW w:w="547" w:type="pct"/>
            <w:shd w:val="clear" w:color="auto" w:fill="FFFFFF" w:themeFill="background1"/>
            <w:vAlign w:val="center"/>
          </w:tcPr>
          <w:p w14:paraId="14F915C2"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-6,4</w:t>
            </w:r>
          </w:p>
        </w:tc>
        <w:tc>
          <w:tcPr>
            <w:tcW w:w="547" w:type="pct"/>
            <w:shd w:val="clear" w:color="auto" w:fill="FFFFFF" w:themeFill="background1"/>
            <w:vAlign w:val="center"/>
          </w:tcPr>
          <w:p w14:paraId="32C46AA0"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-4,7</w:t>
            </w:r>
          </w:p>
        </w:tc>
        <w:tc>
          <w:tcPr>
            <w:tcW w:w="601" w:type="pct"/>
            <w:shd w:val="clear" w:color="auto" w:fill="FFFFFF" w:themeFill="background1"/>
            <w:vAlign w:val="center"/>
          </w:tcPr>
          <w:p w14:paraId="343B49FA"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-6,1</w:t>
            </w:r>
          </w:p>
        </w:tc>
        <w:tc>
          <w:tcPr>
            <w:tcW w:w="601" w:type="pct"/>
            <w:shd w:val="clear" w:color="auto" w:fill="FFFFFF" w:themeFill="background1"/>
            <w:vAlign w:val="center"/>
          </w:tcPr>
          <w:p w14:paraId="6191CB18"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-4,4</w:t>
            </w:r>
          </w:p>
        </w:tc>
        <w:tc>
          <w:tcPr>
            <w:tcW w:w="573" w:type="pct"/>
            <w:shd w:val="clear" w:color="auto" w:fill="FFFFFF" w:themeFill="background1"/>
            <w:vAlign w:val="center"/>
          </w:tcPr>
          <w:p w14:paraId="3129384D"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-6,1</w:t>
            </w:r>
          </w:p>
        </w:tc>
        <w:tc>
          <w:tcPr>
            <w:tcW w:w="573" w:type="pct"/>
            <w:shd w:val="clear" w:color="auto" w:fill="FFFFFF" w:themeFill="background1"/>
            <w:noWrap/>
            <w:vAlign w:val="center"/>
          </w:tcPr>
          <w:p w14:paraId="1561C0FC"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-4,4</w:t>
            </w:r>
          </w:p>
        </w:tc>
        <w:tc>
          <w:tcPr>
            <w:tcW w:w="547" w:type="pct"/>
            <w:shd w:val="clear" w:color="auto" w:fill="FFFFFF" w:themeFill="background1"/>
            <w:noWrap/>
            <w:vAlign w:val="center"/>
          </w:tcPr>
          <w:p w14:paraId="6235434F"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0,9</w:t>
            </w:r>
          </w:p>
        </w:tc>
      </w:tr>
      <w:tr w:rsidR="00854E01" w:rsidRPr="00092ED7" w14:paraId="74EDF13F" w14:textId="77777777" w:rsidTr="00854E01">
        <w:trPr>
          <w:trHeight w:hRule="exact" w:val="230"/>
        </w:trPr>
        <w:tc>
          <w:tcPr>
            <w:tcW w:w="473" w:type="pct"/>
            <w:shd w:val="clear" w:color="auto" w:fill="FFFFFF" w:themeFill="background1"/>
            <w:noWrap/>
          </w:tcPr>
          <w:p w14:paraId="0BD204A8" w14:textId="77777777" w:rsidR="00854E01" w:rsidRPr="00092ED7" w:rsidRDefault="00854E01" w:rsidP="00854E01">
            <w:pPr>
              <w:shd w:val="clear" w:color="auto" w:fill="FFFFFF" w:themeFill="background1"/>
              <w:spacing w:after="0"/>
              <w:rPr>
                <w:rFonts w:eastAsia="MS PGothic" w:cs="Times New Roman"/>
                <w:b/>
                <w:bCs/>
                <w:sz w:val="16"/>
                <w:szCs w:val="16"/>
                <w:lang w:val="sr-Cyrl-CS" w:eastAsia="ja-JP"/>
              </w:rPr>
            </w:pPr>
            <w:r w:rsidRPr="00092ED7">
              <w:rPr>
                <w:rFonts w:eastAsia="MS PGothic" w:cs="Times New Roman"/>
                <w:bCs/>
                <w:sz w:val="16"/>
                <w:szCs w:val="16"/>
                <w:lang w:val="sr-Cyrl-CS" w:eastAsia="ja-JP"/>
              </w:rPr>
              <w:t>2013</w:t>
            </w:r>
          </w:p>
        </w:tc>
        <w:tc>
          <w:tcPr>
            <w:tcW w:w="538" w:type="pct"/>
            <w:shd w:val="clear" w:color="auto" w:fill="FFFFFF" w:themeFill="background1"/>
            <w:vAlign w:val="center"/>
          </w:tcPr>
          <w:p w14:paraId="13095FF9"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1,2</w:t>
            </w:r>
          </w:p>
        </w:tc>
        <w:tc>
          <w:tcPr>
            <w:tcW w:w="547" w:type="pct"/>
            <w:shd w:val="clear" w:color="auto" w:fill="FFFFFF" w:themeFill="background1"/>
            <w:vAlign w:val="center"/>
          </w:tcPr>
          <w:p w14:paraId="69B39D1C"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-5,1</w:t>
            </w:r>
          </w:p>
        </w:tc>
        <w:tc>
          <w:tcPr>
            <w:tcW w:w="547" w:type="pct"/>
            <w:shd w:val="clear" w:color="auto" w:fill="FFFFFF" w:themeFill="background1"/>
            <w:vAlign w:val="center"/>
          </w:tcPr>
          <w:p w14:paraId="2A9F2A38"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-3,0</w:t>
            </w:r>
          </w:p>
        </w:tc>
        <w:tc>
          <w:tcPr>
            <w:tcW w:w="601" w:type="pct"/>
            <w:shd w:val="clear" w:color="auto" w:fill="FFFFFF" w:themeFill="background1"/>
            <w:vAlign w:val="center"/>
          </w:tcPr>
          <w:p w14:paraId="3723612A"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-5,6</w:t>
            </w:r>
          </w:p>
        </w:tc>
        <w:tc>
          <w:tcPr>
            <w:tcW w:w="601" w:type="pct"/>
            <w:shd w:val="clear" w:color="auto" w:fill="FFFFFF" w:themeFill="background1"/>
            <w:vAlign w:val="center"/>
          </w:tcPr>
          <w:p w14:paraId="63535249"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-3,4</w:t>
            </w:r>
          </w:p>
        </w:tc>
        <w:tc>
          <w:tcPr>
            <w:tcW w:w="573" w:type="pct"/>
            <w:shd w:val="clear" w:color="auto" w:fill="FFFFFF" w:themeFill="background1"/>
            <w:vAlign w:val="center"/>
          </w:tcPr>
          <w:p w14:paraId="0E88A60C"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-5,3</w:t>
            </w:r>
          </w:p>
        </w:tc>
        <w:tc>
          <w:tcPr>
            <w:tcW w:w="573" w:type="pct"/>
            <w:shd w:val="clear" w:color="auto" w:fill="FFFFFF" w:themeFill="background1"/>
            <w:noWrap/>
            <w:vAlign w:val="center"/>
          </w:tcPr>
          <w:p w14:paraId="2B56C093"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-3,1</w:t>
            </w:r>
          </w:p>
        </w:tc>
        <w:tc>
          <w:tcPr>
            <w:tcW w:w="547" w:type="pct"/>
            <w:shd w:val="clear" w:color="auto" w:fill="FFFFFF" w:themeFill="background1"/>
            <w:noWrap/>
            <w:vAlign w:val="center"/>
          </w:tcPr>
          <w:p w14:paraId="3A26934E"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-1,0</w:t>
            </w:r>
          </w:p>
        </w:tc>
      </w:tr>
      <w:tr w:rsidR="00854E01" w:rsidRPr="00092ED7" w14:paraId="4D1156B4" w14:textId="77777777" w:rsidTr="00854E01">
        <w:trPr>
          <w:trHeight w:hRule="exact" w:val="230"/>
        </w:trPr>
        <w:tc>
          <w:tcPr>
            <w:tcW w:w="473" w:type="pct"/>
            <w:shd w:val="clear" w:color="auto" w:fill="FFFFFF" w:themeFill="background1"/>
            <w:noWrap/>
          </w:tcPr>
          <w:p w14:paraId="674CFCE3" w14:textId="77777777" w:rsidR="00854E01" w:rsidRPr="00092ED7" w:rsidRDefault="00854E01" w:rsidP="00854E01">
            <w:pPr>
              <w:shd w:val="clear" w:color="auto" w:fill="FFFFFF" w:themeFill="background1"/>
              <w:spacing w:after="0"/>
              <w:rPr>
                <w:rFonts w:eastAsia="MS PGothic" w:cs="Times New Roman"/>
                <w:b/>
                <w:bCs/>
                <w:sz w:val="16"/>
                <w:szCs w:val="16"/>
                <w:lang w:val="sr-Cyrl-CS" w:eastAsia="ja-JP"/>
              </w:rPr>
            </w:pPr>
            <w:r w:rsidRPr="00092ED7">
              <w:rPr>
                <w:rFonts w:eastAsia="MS PGothic" w:cs="Times New Roman"/>
                <w:bCs/>
                <w:sz w:val="16"/>
                <w:szCs w:val="16"/>
                <w:lang w:val="sr-Cyrl-CS" w:eastAsia="ja-JP"/>
              </w:rPr>
              <w:t>2014</w:t>
            </w:r>
          </w:p>
        </w:tc>
        <w:tc>
          <w:tcPr>
            <w:tcW w:w="538" w:type="pct"/>
            <w:shd w:val="clear" w:color="auto" w:fill="FFFFFF" w:themeFill="background1"/>
            <w:vAlign w:val="center"/>
          </w:tcPr>
          <w:p w14:paraId="0F8E8C2D"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-1,4</w:t>
            </w:r>
          </w:p>
        </w:tc>
        <w:tc>
          <w:tcPr>
            <w:tcW w:w="547" w:type="pct"/>
            <w:shd w:val="clear" w:color="auto" w:fill="FFFFFF" w:themeFill="background1"/>
            <w:vAlign w:val="center"/>
          </w:tcPr>
          <w:p w14:paraId="6AA4498D"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-6,2</w:t>
            </w:r>
          </w:p>
        </w:tc>
        <w:tc>
          <w:tcPr>
            <w:tcW w:w="547" w:type="pct"/>
            <w:shd w:val="clear" w:color="auto" w:fill="FFFFFF" w:themeFill="background1"/>
            <w:vAlign w:val="center"/>
          </w:tcPr>
          <w:p w14:paraId="3BA690B2"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-3,5</w:t>
            </w:r>
          </w:p>
        </w:tc>
        <w:tc>
          <w:tcPr>
            <w:tcW w:w="601" w:type="pct"/>
            <w:shd w:val="clear" w:color="auto" w:fill="FFFFFF" w:themeFill="background1"/>
            <w:vAlign w:val="center"/>
          </w:tcPr>
          <w:p w14:paraId="0009DAC7"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-5,7</w:t>
            </w:r>
          </w:p>
        </w:tc>
        <w:tc>
          <w:tcPr>
            <w:tcW w:w="601" w:type="pct"/>
            <w:shd w:val="clear" w:color="auto" w:fill="FFFFFF" w:themeFill="background1"/>
            <w:vAlign w:val="center"/>
          </w:tcPr>
          <w:p w14:paraId="151ABD2B"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-3,0</w:t>
            </w:r>
          </w:p>
        </w:tc>
        <w:tc>
          <w:tcPr>
            <w:tcW w:w="573" w:type="pct"/>
            <w:shd w:val="clear" w:color="auto" w:fill="FFFFFF" w:themeFill="background1"/>
            <w:vAlign w:val="center"/>
          </w:tcPr>
          <w:p w14:paraId="3DD7C8EE"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-4,8</w:t>
            </w:r>
          </w:p>
        </w:tc>
        <w:tc>
          <w:tcPr>
            <w:tcW w:w="573" w:type="pct"/>
            <w:shd w:val="clear" w:color="auto" w:fill="FFFFFF" w:themeFill="background1"/>
            <w:noWrap/>
            <w:vAlign w:val="center"/>
          </w:tcPr>
          <w:p w14:paraId="1A441D56"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-2,2</w:t>
            </w:r>
          </w:p>
        </w:tc>
        <w:tc>
          <w:tcPr>
            <w:tcW w:w="547" w:type="pct"/>
            <w:shd w:val="clear" w:color="auto" w:fill="FFFFFF" w:themeFill="background1"/>
            <w:noWrap/>
            <w:vAlign w:val="center"/>
          </w:tcPr>
          <w:p w14:paraId="42262975"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-0,4</w:t>
            </w:r>
          </w:p>
        </w:tc>
      </w:tr>
      <w:tr w:rsidR="00854E01" w:rsidRPr="00092ED7" w14:paraId="7616C614" w14:textId="77777777" w:rsidTr="00854E01">
        <w:trPr>
          <w:trHeight w:hRule="exact" w:val="230"/>
        </w:trPr>
        <w:tc>
          <w:tcPr>
            <w:tcW w:w="473" w:type="pct"/>
            <w:shd w:val="clear" w:color="auto" w:fill="FFFFFF" w:themeFill="background1"/>
            <w:noWrap/>
          </w:tcPr>
          <w:p w14:paraId="2D381221" w14:textId="77777777" w:rsidR="00854E01" w:rsidRPr="00092ED7" w:rsidRDefault="00854E01" w:rsidP="00854E01">
            <w:pPr>
              <w:shd w:val="clear" w:color="auto" w:fill="FFFFFF" w:themeFill="background1"/>
              <w:spacing w:after="0"/>
              <w:rPr>
                <w:rFonts w:eastAsia="MS PGothic" w:cs="Times New Roman"/>
                <w:b/>
                <w:bCs/>
                <w:sz w:val="16"/>
                <w:szCs w:val="16"/>
                <w:lang w:val="sr-Cyrl-CS" w:eastAsia="ja-JP"/>
              </w:rPr>
            </w:pPr>
            <w:r w:rsidRPr="00092ED7">
              <w:rPr>
                <w:rFonts w:eastAsia="MS PGothic" w:cs="Times New Roman"/>
                <w:bCs/>
                <w:sz w:val="16"/>
                <w:szCs w:val="16"/>
                <w:lang w:val="sr-Cyrl-CS" w:eastAsia="ja-JP"/>
              </w:rPr>
              <w:t>2015</w:t>
            </w:r>
          </w:p>
        </w:tc>
        <w:tc>
          <w:tcPr>
            <w:tcW w:w="538" w:type="pct"/>
            <w:shd w:val="clear" w:color="auto" w:fill="FFFFFF" w:themeFill="background1"/>
            <w:vAlign w:val="center"/>
          </w:tcPr>
          <w:p w14:paraId="5B1C548D"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-1,2</w:t>
            </w:r>
          </w:p>
        </w:tc>
        <w:tc>
          <w:tcPr>
            <w:tcW w:w="547" w:type="pct"/>
            <w:shd w:val="clear" w:color="auto" w:fill="FFFFFF" w:themeFill="background1"/>
            <w:vAlign w:val="center"/>
          </w:tcPr>
          <w:p w14:paraId="68E499E2"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-3,5</w:t>
            </w:r>
          </w:p>
        </w:tc>
        <w:tc>
          <w:tcPr>
            <w:tcW w:w="547" w:type="pct"/>
            <w:shd w:val="clear" w:color="auto" w:fill="FFFFFF" w:themeFill="background1"/>
            <w:vAlign w:val="center"/>
          </w:tcPr>
          <w:p w14:paraId="24F06C30"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-0,5</w:t>
            </w:r>
          </w:p>
        </w:tc>
        <w:tc>
          <w:tcPr>
            <w:tcW w:w="601" w:type="pct"/>
            <w:shd w:val="clear" w:color="auto" w:fill="FFFFFF" w:themeFill="background1"/>
            <w:vAlign w:val="center"/>
          </w:tcPr>
          <w:p w14:paraId="3673354B"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-3,0</w:t>
            </w:r>
          </w:p>
        </w:tc>
        <w:tc>
          <w:tcPr>
            <w:tcW w:w="601" w:type="pct"/>
            <w:shd w:val="clear" w:color="auto" w:fill="FFFFFF" w:themeFill="background1"/>
            <w:vAlign w:val="center"/>
          </w:tcPr>
          <w:p w14:paraId="7CD05F80"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0,0</w:t>
            </w:r>
          </w:p>
        </w:tc>
        <w:tc>
          <w:tcPr>
            <w:tcW w:w="573" w:type="pct"/>
            <w:shd w:val="clear" w:color="auto" w:fill="FFFFFF" w:themeFill="background1"/>
            <w:vAlign w:val="center"/>
          </w:tcPr>
          <w:p w14:paraId="60ECA8DC"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-2,2</w:t>
            </w:r>
          </w:p>
        </w:tc>
        <w:tc>
          <w:tcPr>
            <w:tcW w:w="573" w:type="pct"/>
            <w:shd w:val="clear" w:color="auto" w:fill="FFFFFF" w:themeFill="background1"/>
            <w:noWrap/>
            <w:vAlign w:val="center"/>
          </w:tcPr>
          <w:p w14:paraId="7216E765"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0,8</w:t>
            </w:r>
          </w:p>
        </w:tc>
        <w:tc>
          <w:tcPr>
            <w:tcW w:w="547" w:type="pct"/>
            <w:shd w:val="clear" w:color="auto" w:fill="FFFFFF" w:themeFill="background1"/>
            <w:noWrap/>
            <w:vAlign w:val="center"/>
          </w:tcPr>
          <w:p w14:paraId="73B807F9"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-3,0</w:t>
            </w:r>
          </w:p>
        </w:tc>
      </w:tr>
      <w:tr w:rsidR="00854E01" w:rsidRPr="00092ED7" w14:paraId="5C515EA8" w14:textId="77777777" w:rsidTr="00854E01">
        <w:trPr>
          <w:trHeight w:hRule="exact" w:val="230"/>
        </w:trPr>
        <w:tc>
          <w:tcPr>
            <w:tcW w:w="473" w:type="pct"/>
            <w:shd w:val="clear" w:color="auto" w:fill="FFFFFF" w:themeFill="background1"/>
            <w:noWrap/>
          </w:tcPr>
          <w:p w14:paraId="62B9D963" w14:textId="77777777" w:rsidR="00854E01" w:rsidRPr="00092ED7" w:rsidRDefault="00854E01" w:rsidP="00854E01">
            <w:pPr>
              <w:shd w:val="clear" w:color="auto" w:fill="FFFFFF" w:themeFill="background1"/>
              <w:spacing w:after="0"/>
              <w:rPr>
                <w:rFonts w:eastAsia="MS PGothic" w:cs="Times New Roman"/>
                <w:b/>
                <w:bCs/>
                <w:sz w:val="16"/>
                <w:szCs w:val="16"/>
                <w:lang w:val="sr-Cyrl-CS" w:eastAsia="ja-JP"/>
              </w:rPr>
            </w:pPr>
            <w:r w:rsidRPr="00092ED7">
              <w:rPr>
                <w:rFonts w:eastAsia="MS PGothic" w:cs="Times New Roman"/>
                <w:bCs/>
                <w:sz w:val="16"/>
                <w:szCs w:val="16"/>
                <w:lang w:val="sr-Cyrl-CS" w:eastAsia="ja-JP"/>
              </w:rPr>
              <w:t>2016</w:t>
            </w:r>
          </w:p>
        </w:tc>
        <w:tc>
          <w:tcPr>
            <w:tcW w:w="538" w:type="pct"/>
            <w:shd w:val="clear" w:color="auto" w:fill="FFFFFF" w:themeFill="background1"/>
            <w:vAlign w:val="center"/>
          </w:tcPr>
          <w:p w14:paraId="0ED58901"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-0,1</w:t>
            </w:r>
          </w:p>
        </w:tc>
        <w:tc>
          <w:tcPr>
            <w:tcW w:w="547" w:type="pct"/>
            <w:shd w:val="clear" w:color="auto" w:fill="FFFFFF" w:themeFill="background1"/>
            <w:vAlign w:val="center"/>
          </w:tcPr>
          <w:p w14:paraId="30F59D44"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-1,2</w:t>
            </w:r>
          </w:p>
        </w:tc>
        <w:tc>
          <w:tcPr>
            <w:tcW w:w="547" w:type="pct"/>
            <w:shd w:val="clear" w:color="auto" w:fill="FFFFFF" w:themeFill="background1"/>
            <w:vAlign w:val="center"/>
          </w:tcPr>
          <w:p w14:paraId="599F127E"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1,7</w:t>
            </w:r>
          </w:p>
        </w:tc>
        <w:tc>
          <w:tcPr>
            <w:tcW w:w="601" w:type="pct"/>
            <w:shd w:val="clear" w:color="auto" w:fill="FFFFFF" w:themeFill="background1"/>
            <w:vAlign w:val="center"/>
          </w:tcPr>
          <w:p w14:paraId="46954EFA"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-1,2</w:t>
            </w:r>
          </w:p>
        </w:tc>
        <w:tc>
          <w:tcPr>
            <w:tcW w:w="601" w:type="pct"/>
            <w:shd w:val="clear" w:color="auto" w:fill="FFFFFF" w:themeFill="background1"/>
            <w:vAlign w:val="center"/>
          </w:tcPr>
          <w:p w14:paraId="6903B98A"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1,7</w:t>
            </w:r>
          </w:p>
        </w:tc>
        <w:tc>
          <w:tcPr>
            <w:tcW w:w="573" w:type="pct"/>
            <w:shd w:val="clear" w:color="auto" w:fill="FFFFFF" w:themeFill="background1"/>
            <w:vAlign w:val="center"/>
          </w:tcPr>
          <w:p w14:paraId="4EF1D27A"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-1,1</w:t>
            </w:r>
          </w:p>
        </w:tc>
        <w:tc>
          <w:tcPr>
            <w:tcW w:w="573" w:type="pct"/>
            <w:shd w:val="clear" w:color="auto" w:fill="FFFFFF" w:themeFill="background1"/>
            <w:noWrap/>
            <w:vAlign w:val="center"/>
          </w:tcPr>
          <w:p w14:paraId="2E246904"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1,8</w:t>
            </w:r>
          </w:p>
        </w:tc>
        <w:tc>
          <w:tcPr>
            <w:tcW w:w="547" w:type="pct"/>
            <w:shd w:val="clear" w:color="auto" w:fill="FFFFFF" w:themeFill="background1"/>
            <w:noWrap/>
            <w:vAlign w:val="center"/>
          </w:tcPr>
          <w:p w14:paraId="45DD77FF"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-1,8</w:t>
            </w:r>
          </w:p>
        </w:tc>
      </w:tr>
      <w:tr w:rsidR="00854E01" w:rsidRPr="00092ED7" w14:paraId="2BAABE30" w14:textId="77777777" w:rsidTr="00854E01">
        <w:trPr>
          <w:trHeight w:hRule="exact" w:val="230"/>
        </w:trPr>
        <w:tc>
          <w:tcPr>
            <w:tcW w:w="473" w:type="pct"/>
            <w:shd w:val="clear" w:color="auto" w:fill="FFFFFF" w:themeFill="background1"/>
            <w:noWrap/>
          </w:tcPr>
          <w:p w14:paraId="38A937E3" w14:textId="77777777" w:rsidR="00854E01" w:rsidRPr="00092ED7" w:rsidRDefault="00854E01" w:rsidP="00854E01">
            <w:pPr>
              <w:shd w:val="clear" w:color="auto" w:fill="FFFFFF" w:themeFill="background1"/>
              <w:spacing w:after="0"/>
              <w:rPr>
                <w:rFonts w:eastAsia="MS PGothic" w:cs="Times New Roman"/>
                <w:b/>
                <w:bCs/>
                <w:sz w:val="16"/>
                <w:szCs w:val="16"/>
                <w:lang w:val="sr-Cyrl-CS" w:eastAsia="ja-JP"/>
              </w:rPr>
            </w:pPr>
            <w:r w:rsidRPr="00092ED7">
              <w:rPr>
                <w:rFonts w:eastAsia="MS PGothic" w:cs="Times New Roman"/>
                <w:bCs/>
                <w:sz w:val="16"/>
                <w:szCs w:val="16"/>
                <w:lang w:val="sr-Cyrl-CS" w:eastAsia="ja-JP"/>
              </w:rPr>
              <w:t>2017</w:t>
            </w:r>
          </w:p>
        </w:tc>
        <w:tc>
          <w:tcPr>
            <w:tcW w:w="538" w:type="pct"/>
            <w:shd w:val="clear" w:color="auto" w:fill="FFFFFF" w:themeFill="background1"/>
            <w:vAlign w:val="center"/>
          </w:tcPr>
          <w:p w14:paraId="4ED1C5AC"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-0,6</w:t>
            </w:r>
          </w:p>
        </w:tc>
        <w:tc>
          <w:tcPr>
            <w:tcW w:w="547" w:type="pct"/>
            <w:shd w:val="clear" w:color="auto" w:fill="FFFFFF" w:themeFill="background1"/>
            <w:vAlign w:val="center"/>
          </w:tcPr>
          <w:p w14:paraId="609938E4"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1,1</w:t>
            </w:r>
          </w:p>
        </w:tc>
        <w:tc>
          <w:tcPr>
            <w:tcW w:w="547" w:type="pct"/>
            <w:shd w:val="clear" w:color="auto" w:fill="FFFFFF" w:themeFill="background1"/>
            <w:vAlign w:val="center"/>
          </w:tcPr>
          <w:p w14:paraId="712861C2"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3,6</w:t>
            </w:r>
          </w:p>
        </w:tc>
        <w:tc>
          <w:tcPr>
            <w:tcW w:w="601" w:type="pct"/>
            <w:shd w:val="clear" w:color="auto" w:fill="FFFFFF" w:themeFill="background1"/>
            <w:vAlign w:val="center"/>
          </w:tcPr>
          <w:p w14:paraId="353B5500"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1,3</w:t>
            </w:r>
          </w:p>
        </w:tc>
        <w:tc>
          <w:tcPr>
            <w:tcW w:w="601" w:type="pct"/>
            <w:shd w:val="clear" w:color="auto" w:fill="FFFFFF" w:themeFill="background1"/>
            <w:vAlign w:val="center"/>
          </w:tcPr>
          <w:p w14:paraId="4038AEDA"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3,8</w:t>
            </w:r>
          </w:p>
        </w:tc>
        <w:tc>
          <w:tcPr>
            <w:tcW w:w="573" w:type="pct"/>
            <w:shd w:val="clear" w:color="auto" w:fill="FFFFFF" w:themeFill="background1"/>
            <w:vAlign w:val="center"/>
          </w:tcPr>
          <w:p w14:paraId="5998B078"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1,2</w:t>
            </w:r>
          </w:p>
        </w:tc>
        <w:tc>
          <w:tcPr>
            <w:tcW w:w="573" w:type="pct"/>
            <w:shd w:val="clear" w:color="auto" w:fill="FFFFFF" w:themeFill="background1"/>
            <w:noWrap/>
            <w:vAlign w:val="center"/>
          </w:tcPr>
          <w:p w14:paraId="51B6CC2D"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3,7</w:t>
            </w:r>
          </w:p>
        </w:tc>
        <w:tc>
          <w:tcPr>
            <w:tcW w:w="547" w:type="pct"/>
            <w:shd w:val="clear" w:color="auto" w:fill="FFFFFF" w:themeFill="background1"/>
            <w:noWrap/>
            <w:vAlign w:val="center"/>
          </w:tcPr>
          <w:p w14:paraId="6CC3B95B"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-2,1</w:t>
            </w:r>
          </w:p>
        </w:tc>
      </w:tr>
      <w:tr w:rsidR="00854E01" w:rsidRPr="00092ED7" w14:paraId="160A8FFE" w14:textId="77777777" w:rsidTr="00854E01">
        <w:trPr>
          <w:trHeight w:hRule="exact" w:val="230"/>
        </w:trPr>
        <w:tc>
          <w:tcPr>
            <w:tcW w:w="473" w:type="pct"/>
            <w:shd w:val="clear" w:color="auto" w:fill="FFFFFF" w:themeFill="background1"/>
            <w:noWrap/>
          </w:tcPr>
          <w:p w14:paraId="504F0117" w14:textId="77777777" w:rsidR="00854E01" w:rsidRPr="00092ED7" w:rsidRDefault="00854E01" w:rsidP="00854E01">
            <w:pPr>
              <w:shd w:val="clear" w:color="auto" w:fill="FFFFFF" w:themeFill="background1"/>
              <w:spacing w:after="0"/>
              <w:rPr>
                <w:rFonts w:eastAsia="MS PGothic" w:cs="Times New Roman"/>
                <w:b/>
                <w:bCs/>
                <w:sz w:val="16"/>
                <w:szCs w:val="16"/>
                <w:lang w:val="sr-Cyrl-CS" w:eastAsia="ja-JP"/>
              </w:rPr>
            </w:pPr>
            <w:r w:rsidRPr="00092ED7">
              <w:rPr>
                <w:rFonts w:eastAsia="MS PGothic" w:cs="Times New Roman"/>
                <w:bCs/>
                <w:sz w:val="16"/>
                <w:szCs w:val="16"/>
                <w:lang w:val="sr-Cyrl-CS" w:eastAsia="ja-JP"/>
              </w:rPr>
              <w:t>2018</w:t>
            </w:r>
          </w:p>
        </w:tc>
        <w:tc>
          <w:tcPr>
            <w:tcW w:w="538" w:type="pct"/>
            <w:shd w:val="clear" w:color="auto" w:fill="FFFFFF" w:themeFill="background1"/>
            <w:vAlign w:val="center"/>
          </w:tcPr>
          <w:p w14:paraId="01E9BE67"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0,8</w:t>
            </w:r>
          </w:p>
        </w:tc>
        <w:tc>
          <w:tcPr>
            <w:tcW w:w="547" w:type="pct"/>
            <w:shd w:val="clear" w:color="auto" w:fill="FFFFFF" w:themeFill="background1"/>
            <w:vAlign w:val="center"/>
          </w:tcPr>
          <w:p w14:paraId="7F3A303C"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0,6</w:t>
            </w:r>
          </w:p>
        </w:tc>
        <w:tc>
          <w:tcPr>
            <w:tcW w:w="547" w:type="pct"/>
            <w:shd w:val="clear" w:color="auto" w:fill="FFFFFF" w:themeFill="background1"/>
            <w:vAlign w:val="center"/>
          </w:tcPr>
          <w:p w14:paraId="76595E30"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2,7</w:t>
            </w:r>
          </w:p>
        </w:tc>
        <w:tc>
          <w:tcPr>
            <w:tcW w:w="601" w:type="pct"/>
            <w:shd w:val="clear" w:color="auto" w:fill="FFFFFF" w:themeFill="background1"/>
            <w:vAlign w:val="center"/>
          </w:tcPr>
          <w:p w14:paraId="5D7F5A09"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0,4</w:t>
            </w:r>
          </w:p>
        </w:tc>
        <w:tc>
          <w:tcPr>
            <w:tcW w:w="601" w:type="pct"/>
            <w:shd w:val="clear" w:color="auto" w:fill="FFFFFF" w:themeFill="background1"/>
            <w:vAlign w:val="center"/>
          </w:tcPr>
          <w:p w14:paraId="79ADFC2F"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2,5</w:t>
            </w:r>
          </w:p>
        </w:tc>
        <w:tc>
          <w:tcPr>
            <w:tcW w:w="573" w:type="pct"/>
            <w:shd w:val="clear" w:color="auto" w:fill="FFFFFF" w:themeFill="background1"/>
            <w:vAlign w:val="center"/>
          </w:tcPr>
          <w:p w14:paraId="22B08D03"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0,2</w:t>
            </w:r>
          </w:p>
        </w:tc>
        <w:tc>
          <w:tcPr>
            <w:tcW w:w="573" w:type="pct"/>
            <w:shd w:val="clear" w:color="auto" w:fill="FFFFFF" w:themeFill="background1"/>
            <w:noWrap/>
            <w:vAlign w:val="center"/>
          </w:tcPr>
          <w:p w14:paraId="6A1E8254"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2,3</w:t>
            </w:r>
          </w:p>
        </w:tc>
        <w:tc>
          <w:tcPr>
            <w:tcW w:w="547" w:type="pct"/>
            <w:shd w:val="clear" w:color="auto" w:fill="FFFFFF" w:themeFill="background1"/>
            <w:noWrap/>
            <w:vAlign w:val="center"/>
          </w:tcPr>
          <w:p w14:paraId="2F7AD357"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1,4</w:t>
            </w:r>
          </w:p>
        </w:tc>
      </w:tr>
      <w:tr w:rsidR="00854E01" w:rsidRPr="00092ED7" w14:paraId="5C9104AC" w14:textId="77777777" w:rsidTr="00854E01">
        <w:trPr>
          <w:trHeight w:hRule="exact" w:val="230"/>
        </w:trPr>
        <w:tc>
          <w:tcPr>
            <w:tcW w:w="473" w:type="pct"/>
            <w:shd w:val="clear" w:color="auto" w:fill="FFFFFF" w:themeFill="background1"/>
            <w:noWrap/>
          </w:tcPr>
          <w:p w14:paraId="2E42BF84" w14:textId="77777777" w:rsidR="00854E01" w:rsidRPr="00092ED7" w:rsidRDefault="00854E01" w:rsidP="00854E01">
            <w:pPr>
              <w:shd w:val="clear" w:color="auto" w:fill="FFFFFF" w:themeFill="background1"/>
              <w:spacing w:after="0"/>
              <w:rPr>
                <w:rFonts w:eastAsia="MS PGothic" w:cs="Times New Roman"/>
                <w:b/>
                <w:bCs/>
                <w:sz w:val="16"/>
                <w:szCs w:val="16"/>
                <w:lang w:val="sr-Cyrl-CS" w:eastAsia="ja-JP"/>
              </w:rPr>
            </w:pPr>
            <w:r w:rsidRPr="00092ED7">
              <w:rPr>
                <w:rFonts w:eastAsia="MS PGothic" w:cs="Times New Roman"/>
                <w:bCs/>
                <w:sz w:val="16"/>
                <w:szCs w:val="16"/>
                <w:lang w:val="sr-Cyrl-CS" w:eastAsia="ja-JP"/>
              </w:rPr>
              <w:t>2019</w:t>
            </w:r>
          </w:p>
          <w:p w14:paraId="51BA064A" w14:textId="77777777" w:rsidR="00854E01" w:rsidRPr="00092ED7" w:rsidRDefault="00854E01" w:rsidP="00854E01">
            <w:pPr>
              <w:shd w:val="clear" w:color="auto" w:fill="FFFFFF" w:themeFill="background1"/>
              <w:spacing w:after="0"/>
              <w:rPr>
                <w:rFonts w:eastAsia="MS PGothic" w:cs="Times New Roman"/>
                <w:b/>
                <w:bCs/>
                <w:sz w:val="16"/>
                <w:szCs w:val="16"/>
                <w:lang w:val="sr-Cyrl-CS" w:eastAsia="ja-JP"/>
              </w:rPr>
            </w:pPr>
          </w:p>
        </w:tc>
        <w:tc>
          <w:tcPr>
            <w:tcW w:w="538" w:type="pct"/>
            <w:shd w:val="clear" w:color="auto" w:fill="FFFFFF" w:themeFill="background1"/>
            <w:vAlign w:val="center"/>
          </w:tcPr>
          <w:p w14:paraId="68902ED4"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1,9</w:t>
            </w:r>
          </w:p>
        </w:tc>
        <w:tc>
          <w:tcPr>
            <w:tcW w:w="547" w:type="pct"/>
            <w:shd w:val="clear" w:color="auto" w:fill="FFFFFF" w:themeFill="background1"/>
            <w:vAlign w:val="center"/>
          </w:tcPr>
          <w:p w14:paraId="7E617512"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-0,2</w:t>
            </w:r>
          </w:p>
        </w:tc>
        <w:tc>
          <w:tcPr>
            <w:tcW w:w="547" w:type="pct"/>
            <w:shd w:val="clear" w:color="auto" w:fill="FFFFFF" w:themeFill="background1"/>
            <w:vAlign w:val="center"/>
          </w:tcPr>
          <w:p w14:paraId="7BD52F9E"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1,8</w:t>
            </w:r>
          </w:p>
        </w:tc>
        <w:tc>
          <w:tcPr>
            <w:tcW w:w="601" w:type="pct"/>
            <w:shd w:val="clear" w:color="auto" w:fill="FFFFFF" w:themeFill="background1"/>
            <w:vAlign w:val="center"/>
          </w:tcPr>
          <w:p w14:paraId="3C90B8CF"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-0,9</w:t>
            </w:r>
          </w:p>
        </w:tc>
        <w:tc>
          <w:tcPr>
            <w:tcW w:w="601" w:type="pct"/>
            <w:shd w:val="clear" w:color="auto" w:fill="FFFFFF" w:themeFill="background1"/>
            <w:vAlign w:val="center"/>
          </w:tcPr>
          <w:p w14:paraId="170EB325"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1,1</w:t>
            </w:r>
          </w:p>
        </w:tc>
        <w:tc>
          <w:tcPr>
            <w:tcW w:w="573" w:type="pct"/>
            <w:shd w:val="clear" w:color="auto" w:fill="FFFFFF" w:themeFill="background1"/>
            <w:vAlign w:val="center"/>
          </w:tcPr>
          <w:p w14:paraId="29FB5308"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-1,0</w:t>
            </w:r>
          </w:p>
        </w:tc>
        <w:tc>
          <w:tcPr>
            <w:tcW w:w="573" w:type="pct"/>
            <w:shd w:val="clear" w:color="auto" w:fill="FFFFFF" w:themeFill="background1"/>
            <w:noWrap/>
            <w:vAlign w:val="center"/>
          </w:tcPr>
          <w:p w14:paraId="29AD236A"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0,9</w:t>
            </w:r>
          </w:p>
        </w:tc>
        <w:tc>
          <w:tcPr>
            <w:tcW w:w="547" w:type="pct"/>
            <w:shd w:val="clear" w:color="auto" w:fill="FFFFFF" w:themeFill="background1"/>
            <w:noWrap/>
            <w:vAlign w:val="center"/>
          </w:tcPr>
          <w:p w14:paraId="72345440"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1,3</w:t>
            </w:r>
          </w:p>
        </w:tc>
      </w:tr>
      <w:tr w:rsidR="00854E01" w:rsidRPr="00092ED7" w14:paraId="77490E81" w14:textId="77777777" w:rsidTr="00854E01">
        <w:trPr>
          <w:trHeight w:hRule="exact" w:val="230"/>
        </w:trPr>
        <w:tc>
          <w:tcPr>
            <w:tcW w:w="473" w:type="pct"/>
            <w:shd w:val="clear" w:color="auto" w:fill="FFFFFF" w:themeFill="background1"/>
            <w:noWrap/>
          </w:tcPr>
          <w:p w14:paraId="426D2A34" w14:textId="77777777" w:rsidR="00854E01" w:rsidRPr="00092ED7" w:rsidRDefault="00854E01" w:rsidP="00854E01">
            <w:pPr>
              <w:shd w:val="clear" w:color="auto" w:fill="FFFFFF" w:themeFill="background1"/>
              <w:spacing w:after="0"/>
              <w:rPr>
                <w:rFonts w:eastAsia="MS PGothic" w:cs="Times New Roman"/>
                <w:b/>
                <w:bCs/>
                <w:sz w:val="16"/>
                <w:szCs w:val="16"/>
                <w:lang w:val="sr-Cyrl-CS" w:eastAsia="ja-JP"/>
              </w:rPr>
            </w:pPr>
            <w:r w:rsidRPr="00092ED7">
              <w:rPr>
                <w:rFonts w:eastAsia="MS PGothic" w:cs="Times New Roman"/>
                <w:bCs/>
                <w:sz w:val="16"/>
                <w:szCs w:val="16"/>
                <w:lang w:val="sr-Cyrl-CS" w:eastAsia="ja-JP"/>
              </w:rPr>
              <w:t>2020</w:t>
            </w:r>
          </w:p>
          <w:p w14:paraId="70F8E00F" w14:textId="77777777" w:rsidR="00854E01" w:rsidRPr="00092ED7" w:rsidRDefault="00854E01" w:rsidP="00854E01">
            <w:pPr>
              <w:shd w:val="clear" w:color="auto" w:fill="FFFFFF" w:themeFill="background1"/>
              <w:spacing w:after="0"/>
              <w:rPr>
                <w:rFonts w:eastAsia="MS PGothic" w:cs="Times New Roman"/>
                <w:b/>
                <w:bCs/>
                <w:sz w:val="16"/>
                <w:szCs w:val="16"/>
                <w:lang w:val="sr-Cyrl-CS" w:eastAsia="ja-JP"/>
              </w:rPr>
            </w:pPr>
            <w:r w:rsidRPr="00092ED7">
              <w:rPr>
                <w:rFonts w:eastAsia="MS PGothic" w:cs="Times New Roman"/>
                <w:bCs/>
                <w:sz w:val="16"/>
                <w:szCs w:val="16"/>
                <w:lang w:val="sr-Cyrl-CS" w:eastAsia="ja-JP"/>
              </w:rPr>
              <w:t>2021</w:t>
            </w:r>
          </w:p>
          <w:p w14:paraId="16B8911E" w14:textId="77777777" w:rsidR="00854E01" w:rsidRPr="00092ED7" w:rsidRDefault="00854E01" w:rsidP="00854E01">
            <w:pPr>
              <w:shd w:val="clear" w:color="auto" w:fill="FFFFFF" w:themeFill="background1"/>
              <w:spacing w:after="0"/>
              <w:rPr>
                <w:rFonts w:eastAsia="MS PGothic" w:cs="Times New Roman"/>
                <w:b/>
                <w:bCs/>
                <w:sz w:val="16"/>
                <w:szCs w:val="16"/>
                <w:lang w:val="sr-Cyrl-CS" w:eastAsia="ja-JP"/>
              </w:rPr>
            </w:pPr>
            <w:r w:rsidRPr="00092ED7">
              <w:rPr>
                <w:rFonts w:eastAsia="MS PGothic" w:cs="Times New Roman"/>
                <w:bCs/>
                <w:sz w:val="16"/>
                <w:szCs w:val="16"/>
                <w:lang w:val="sr-Cyrl-CS" w:eastAsia="ja-JP"/>
              </w:rPr>
              <w:t>2021</w:t>
            </w:r>
          </w:p>
          <w:p w14:paraId="41A3F481" w14:textId="77777777" w:rsidR="00854E01" w:rsidRPr="00092ED7" w:rsidRDefault="00854E01" w:rsidP="00854E01">
            <w:pPr>
              <w:shd w:val="clear" w:color="auto" w:fill="FFFFFF" w:themeFill="background1"/>
              <w:spacing w:after="0"/>
              <w:rPr>
                <w:rFonts w:eastAsia="MS PGothic" w:cs="Times New Roman"/>
                <w:b/>
                <w:bCs/>
                <w:sz w:val="16"/>
                <w:szCs w:val="16"/>
                <w:lang w:val="sr-Cyrl-CS" w:eastAsia="ja-JP"/>
              </w:rPr>
            </w:pPr>
            <w:r w:rsidRPr="00092ED7">
              <w:rPr>
                <w:rFonts w:eastAsia="MS PGothic" w:cs="Times New Roman"/>
                <w:bCs/>
                <w:sz w:val="16"/>
                <w:szCs w:val="16"/>
                <w:lang w:val="sr-Cyrl-CS" w:eastAsia="ja-JP"/>
              </w:rPr>
              <w:t>202</w:t>
            </w:r>
          </w:p>
        </w:tc>
        <w:tc>
          <w:tcPr>
            <w:tcW w:w="538" w:type="pct"/>
            <w:shd w:val="clear" w:color="auto" w:fill="FFFFFF" w:themeFill="background1"/>
            <w:vAlign w:val="center"/>
          </w:tcPr>
          <w:p w14:paraId="49E7D314"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-2,4</w:t>
            </w:r>
          </w:p>
        </w:tc>
        <w:tc>
          <w:tcPr>
            <w:tcW w:w="547" w:type="pct"/>
            <w:shd w:val="clear" w:color="auto" w:fill="FFFFFF" w:themeFill="background1"/>
            <w:vAlign w:val="center"/>
          </w:tcPr>
          <w:p w14:paraId="5D99746A"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-8,0</w:t>
            </w:r>
          </w:p>
        </w:tc>
        <w:tc>
          <w:tcPr>
            <w:tcW w:w="547" w:type="pct"/>
            <w:shd w:val="clear" w:color="auto" w:fill="FFFFFF" w:themeFill="background1"/>
            <w:vAlign w:val="center"/>
          </w:tcPr>
          <w:p w14:paraId="6313F1A7"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-6,0</w:t>
            </w:r>
          </w:p>
        </w:tc>
        <w:tc>
          <w:tcPr>
            <w:tcW w:w="601" w:type="pct"/>
            <w:shd w:val="clear" w:color="auto" w:fill="FFFFFF" w:themeFill="background1"/>
            <w:vAlign w:val="center"/>
          </w:tcPr>
          <w:p w14:paraId="0F2A8A22"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-7,2</w:t>
            </w:r>
          </w:p>
        </w:tc>
        <w:tc>
          <w:tcPr>
            <w:tcW w:w="601" w:type="pct"/>
            <w:shd w:val="clear" w:color="auto" w:fill="FFFFFF" w:themeFill="background1"/>
            <w:vAlign w:val="center"/>
          </w:tcPr>
          <w:p w14:paraId="6E01F47E"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-5,2</w:t>
            </w:r>
          </w:p>
        </w:tc>
        <w:tc>
          <w:tcPr>
            <w:tcW w:w="573" w:type="pct"/>
            <w:shd w:val="clear" w:color="auto" w:fill="FFFFFF" w:themeFill="background1"/>
            <w:vAlign w:val="center"/>
          </w:tcPr>
          <w:p w14:paraId="5C0D842D"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-0,2</w:t>
            </w:r>
          </w:p>
        </w:tc>
        <w:tc>
          <w:tcPr>
            <w:tcW w:w="573" w:type="pct"/>
            <w:shd w:val="clear" w:color="auto" w:fill="FFFFFF" w:themeFill="background1"/>
            <w:noWrap/>
            <w:vAlign w:val="center"/>
          </w:tcPr>
          <w:p w14:paraId="0D949CAD"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1,8</w:t>
            </w:r>
          </w:p>
        </w:tc>
        <w:tc>
          <w:tcPr>
            <w:tcW w:w="547" w:type="pct"/>
            <w:shd w:val="clear" w:color="auto" w:fill="FFFFFF" w:themeFill="background1"/>
            <w:noWrap/>
            <w:vAlign w:val="center"/>
          </w:tcPr>
          <w:p w14:paraId="194B42A9"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6,3</w:t>
            </w:r>
          </w:p>
        </w:tc>
      </w:tr>
      <w:tr w:rsidR="00854E01" w:rsidRPr="00092ED7" w14:paraId="61519A6B" w14:textId="77777777" w:rsidTr="00854E01">
        <w:trPr>
          <w:trHeight w:hRule="exact" w:val="230"/>
        </w:trPr>
        <w:tc>
          <w:tcPr>
            <w:tcW w:w="473" w:type="pct"/>
            <w:shd w:val="clear" w:color="auto" w:fill="FFFFFF" w:themeFill="background1"/>
            <w:noWrap/>
          </w:tcPr>
          <w:p w14:paraId="48BE6525" w14:textId="77777777" w:rsidR="00854E01" w:rsidRPr="00092ED7" w:rsidRDefault="00854E01" w:rsidP="00854E01">
            <w:pPr>
              <w:shd w:val="clear" w:color="auto" w:fill="FFFFFF" w:themeFill="background1"/>
              <w:spacing w:after="0"/>
              <w:rPr>
                <w:rFonts w:eastAsia="MS PGothic" w:cs="Times New Roman"/>
                <w:b/>
                <w:bCs/>
                <w:sz w:val="16"/>
                <w:szCs w:val="16"/>
                <w:lang w:val="sr-Cyrl-CS" w:eastAsia="ja-JP"/>
              </w:rPr>
            </w:pPr>
            <w:r w:rsidRPr="00092ED7">
              <w:rPr>
                <w:rFonts w:eastAsia="MS PGothic" w:cs="Times New Roman"/>
                <w:bCs/>
                <w:sz w:val="16"/>
                <w:szCs w:val="16"/>
                <w:lang w:val="sr-Cyrl-CS" w:eastAsia="ja-JP"/>
              </w:rPr>
              <w:t>2021</w:t>
            </w:r>
          </w:p>
        </w:tc>
        <w:tc>
          <w:tcPr>
            <w:tcW w:w="538" w:type="pct"/>
            <w:shd w:val="clear" w:color="auto" w:fill="FFFFFF" w:themeFill="background1"/>
            <w:vAlign w:val="center"/>
          </w:tcPr>
          <w:p w14:paraId="4B3B2710"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1,3</w:t>
            </w:r>
          </w:p>
        </w:tc>
        <w:tc>
          <w:tcPr>
            <w:tcW w:w="547" w:type="pct"/>
            <w:shd w:val="clear" w:color="auto" w:fill="FFFFFF" w:themeFill="background1"/>
            <w:vAlign w:val="center"/>
          </w:tcPr>
          <w:p w14:paraId="37567CDC"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-4,1</w:t>
            </w:r>
          </w:p>
        </w:tc>
        <w:tc>
          <w:tcPr>
            <w:tcW w:w="547" w:type="pct"/>
            <w:shd w:val="clear" w:color="auto" w:fill="FFFFFF" w:themeFill="background1"/>
            <w:vAlign w:val="center"/>
          </w:tcPr>
          <w:p w14:paraId="0C00DAEB"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-2,4</w:t>
            </w:r>
          </w:p>
        </w:tc>
        <w:tc>
          <w:tcPr>
            <w:tcW w:w="601" w:type="pct"/>
            <w:shd w:val="clear" w:color="auto" w:fill="FFFFFF" w:themeFill="background1"/>
            <w:vAlign w:val="center"/>
          </w:tcPr>
          <w:p w14:paraId="17DB186E"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-4,6</w:t>
            </w:r>
          </w:p>
        </w:tc>
        <w:tc>
          <w:tcPr>
            <w:tcW w:w="601" w:type="pct"/>
            <w:shd w:val="clear" w:color="auto" w:fill="FFFFFF" w:themeFill="background1"/>
            <w:vAlign w:val="center"/>
          </w:tcPr>
          <w:p w14:paraId="4B44EA22"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-2,8</w:t>
            </w:r>
          </w:p>
        </w:tc>
        <w:tc>
          <w:tcPr>
            <w:tcW w:w="573" w:type="pct"/>
            <w:shd w:val="clear" w:color="auto" w:fill="FFFFFF" w:themeFill="background1"/>
            <w:vAlign w:val="center"/>
          </w:tcPr>
          <w:p w14:paraId="2DD700B4"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-0,5</w:t>
            </w:r>
          </w:p>
        </w:tc>
        <w:tc>
          <w:tcPr>
            <w:tcW w:w="573" w:type="pct"/>
            <w:shd w:val="clear" w:color="auto" w:fill="FFFFFF" w:themeFill="background1"/>
            <w:noWrap/>
            <w:vAlign w:val="center"/>
          </w:tcPr>
          <w:p w14:paraId="2C42D7E0"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1,3</w:t>
            </w:r>
          </w:p>
        </w:tc>
        <w:tc>
          <w:tcPr>
            <w:tcW w:w="547" w:type="pct"/>
            <w:shd w:val="clear" w:color="auto" w:fill="FFFFFF" w:themeFill="background1"/>
            <w:noWrap/>
            <w:vAlign w:val="center"/>
          </w:tcPr>
          <w:p w14:paraId="1B608817"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-2,4</w:t>
            </w:r>
          </w:p>
        </w:tc>
      </w:tr>
      <w:tr w:rsidR="00854E01" w:rsidRPr="00092ED7" w14:paraId="5C839614" w14:textId="77777777" w:rsidTr="00854E01">
        <w:trPr>
          <w:trHeight w:hRule="exact" w:val="230"/>
        </w:trPr>
        <w:tc>
          <w:tcPr>
            <w:tcW w:w="473" w:type="pct"/>
            <w:shd w:val="clear" w:color="auto" w:fill="FFFFFF" w:themeFill="background1"/>
            <w:noWrap/>
          </w:tcPr>
          <w:p w14:paraId="129DE054" w14:textId="77777777" w:rsidR="00854E01" w:rsidRPr="00092ED7" w:rsidRDefault="00854E01" w:rsidP="00854E01">
            <w:pPr>
              <w:shd w:val="clear" w:color="auto" w:fill="FFFFFF" w:themeFill="background1"/>
              <w:spacing w:after="0"/>
              <w:rPr>
                <w:rFonts w:eastAsia="MS PGothic" w:cs="Times New Roman"/>
                <w:b/>
                <w:bCs/>
                <w:sz w:val="16"/>
                <w:szCs w:val="16"/>
                <w:lang w:val="sr-Cyrl-CS" w:eastAsia="ja-JP"/>
              </w:rPr>
            </w:pPr>
            <w:r w:rsidRPr="00092ED7">
              <w:rPr>
                <w:rFonts w:eastAsia="MS PGothic" w:cs="Times New Roman"/>
                <w:bCs/>
                <w:sz w:val="16"/>
                <w:szCs w:val="16"/>
                <w:lang w:val="sr-Cyrl-CS" w:eastAsia="ja-JP"/>
              </w:rPr>
              <w:t>2022</w:t>
            </w:r>
          </w:p>
        </w:tc>
        <w:tc>
          <w:tcPr>
            <w:tcW w:w="538" w:type="pct"/>
            <w:shd w:val="clear" w:color="auto" w:fill="FFFFFF" w:themeFill="background1"/>
            <w:vAlign w:val="center"/>
          </w:tcPr>
          <w:p w14:paraId="4DB3A7BE"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0,7</w:t>
            </w:r>
          </w:p>
        </w:tc>
        <w:tc>
          <w:tcPr>
            <w:tcW w:w="547" w:type="pct"/>
            <w:shd w:val="clear" w:color="auto" w:fill="FFFFFF" w:themeFill="background1"/>
            <w:vAlign w:val="center"/>
          </w:tcPr>
          <w:p w14:paraId="00370AD4"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-3,8</w:t>
            </w:r>
          </w:p>
        </w:tc>
        <w:tc>
          <w:tcPr>
            <w:tcW w:w="547" w:type="pct"/>
            <w:shd w:val="clear" w:color="auto" w:fill="FFFFFF" w:themeFill="background1"/>
            <w:vAlign w:val="center"/>
          </w:tcPr>
          <w:p w14:paraId="5AA72295"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-2,2</w:t>
            </w:r>
          </w:p>
        </w:tc>
        <w:tc>
          <w:tcPr>
            <w:tcW w:w="601" w:type="pct"/>
            <w:shd w:val="clear" w:color="auto" w:fill="FFFFFF" w:themeFill="background1"/>
            <w:vAlign w:val="center"/>
          </w:tcPr>
          <w:p w14:paraId="58E6977A"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-4,1</w:t>
            </w:r>
          </w:p>
        </w:tc>
        <w:tc>
          <w:tcPr>
            <w:tcW w:w="601" w:type="pct"/>
            <w:shd w:val="clear" w:color="auto" w:fill="FFFFFF" w:themeFill="background1"/>
            <w:vAlign w:val="center"/>
          </w:tcPr>
          <w:p w14:paraId="214E1A62"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-2,4</w:t>
            </w:r>
          </w:p>
        </w:tc>
        <w:tc>
          <w:tcPr>
            <w:tcW w:w="573" w:type="pct"/>
            <w:shd w:val="clear" w:color="auto" w:fill="FFFFFF" w:themeFill="background1"/>
            <w:vAlign w:val="center"/>
          </w:tcPr>
          <w:p w14:paraId="4C56ED21"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-1,1</w:t>
            </w:r>
          </w:p>
        </w:tc>
        <w:tc>
          <w:tcPr>
            <w:tcW w:w="573" w:type="pct"/>
            <w:shd w:val="clear" w:color="auto" w:fill="FFFFFF" w:themeFill="background1"/>
            <w:noWrap/>
            <w:vAlign w:val="center"/>
          </w:tcPr>
          <w:p w14:paraId="3DD3E86D"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0,5</w:t>
            </w:r>
          </w:p>
        </w:tc>
        <w:tc>
          <w:tcPr>
            <w:tcW w:w="547" w:type="pct"/>
            <w:shd w:val="clear" w:color="auto" w:fill="FFFFFF" w:themeFill="background1"/>
            <w:noWrap/>
            <w:vAlign w:val="center"/>
          </w:tcPr>
          <w:p w14:paraId="0588647C"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-0,4</w:t>
            </w:r>
          </w:p>
        </w:tc>
      </w:tr>
      <w:tr w:rsidR="00854E01" w:rsidRPr="00092ED7" w14:paraId="40AB4994" w14:textId="77777777" w:rsidTr="00854E01">
        <w:trPr>
          <w:trHeight w:hRule="exact" w:val="230"/>
        </w:trPr>
        <w:tc>
          <w:tcPr>
            <w:tcW w:w="473" w:type="pct"/>
            <w:shd w:val="clear" w:color="auto" w:fill="FFFFFF" w:themeFill="background1"/>
            <w:noWrap/>
          </w:tcPr>
          <w:p w14:paraId="3F215D79" w14:textId="77777777" w:rsidR="00854E01" w:rsidRPr="00092ED7" w:rsidRDefault="00854E01" w:rsidP="00854E01">
            <w:pPr>
              <w:shd w:val="clear" w:color="auto" w:fill="FFFFFF" w:themeFill="background1"/>
              <w:spacing w:after="0"/>
              <w:rPr>
                <w:rFonts w:eastAsia="MS PGothic" w:cs="Times New Roman"/>
                <w:b/>
                <w:bCs/>
                <w:sz w:val="16"/>
                <w:szCs w:val="16"/>
                <w:lang w:val="sr-Cyrl-CS" w:eastAsia="ja-JP"/>
              </w:rPr>
            </w:pPr>
            <w:r w:rsidRPr="00092ED7">
              <w:rPr>
                <w:rFonts w:eastAsia="MS PGothic" w:cs="Times New Roman"/>
                <w:bCs/>
                <w:sz w:val="16"/>
                <w:szCs w:val="16"/>
                <w:lang w:val="sr-Cyrl-CS" w:eastAsia="ja-JP"/>
              </w:rPr>
              <w:t>2023</w:t>
            </w:r>
          </w:p>
        </w:tc>
        <w:tc>
          <w:tcPr>
            <w:tcW w:w="538" w:type="pct"/>
            <w:shd w:val="clear" w:color="auto" w:fill="FFFFFF" w:themeFill="background1"/>
            <w:vAlign w:val="center"/>
          </w:tcPr>
          <w:p w14:paraId="7E0BCD7C"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-0,3</w:t>
            </w:r>
          </w:p>
        </w:tc>
        <w:tc>
          <w:tcPr>
            <w:tcW w:w="547" w:type="pct"/>
            <w:shd w:val="clear" w:color="auto" w:fill="FFFFFF" w:themeFill="background1"/>
            <w:vAlign w:val="center"/>
          </w:tcPr>
          <w:p w14:paraId="25D708C8"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-3,3</w:t>
            </w:r>
          </w:p>
        </w:tc>
        <w:tc>
          <w:tcPr>
            <w:tcW w:w="547" w:type="pct"/>
            <w:shd w:val="clear" w:color="auto" w:fill="FFFFFF" w:themeFill="background1"/>
            <w:vAlign w:val="center"/>
          </w:tcPr>
          <w:p w14:paraId="4578A883"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-1,5</w:t>
            </w:r>
          </w:p>
        </w:tc>
        <w:tc>
          <w:tcPr>
            <w:tcW w:w="601" w:type="pct"/>
            <w:shd w:val="clear" w:color="auto" w:fill="FFFFFF" w:themeFill="background1"/>
            <w:vAlign w:val="center"/>
          </w:tcPr>
          <w:p w14:paraId="40E58AD9"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-3,2</w:t>
            </w:r>
          </w:p>
        </w:tc>
        <w:tc>
          <w:tcPr>
            <w:tcW w:w="601" w:type="pct"/>
            <w:shd w:val="clear" w:color="auto" w:fill="FFFFFF" w:themeFill="background1"/>
            <w:vAlign w:val="center"/>
          </w:tcPr>
          <w:p w14:paraId="410C77D4"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-1,4</w:t>
            </w:r>
          </w:p>
        </w:tc>
        <w:tc>
          <w:tcPr>
            <w:tcW w:w="573" w:type="pct"/>
            <w:shd w:val="clear" w:color="auto" w:fill="FFFFFF" w:themeFill="background1"/>
            <w:vAlign w:val="center"/>
          </w:tcPr>
          <w:p w14:paraId="165DE76B"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-1,6</w:t>
            </w:r>
          </w:p>
        </w:tc>
        <w:tc>
          <w:tcPr>
            <w:tcW w:w="573" w:type="pct"/>
            <w:shd w:val="clear" w:color="auto" w:fill="FFFFFF" w:themeFill="background1"/>
            <w:noWrap/>
            <w:vAlign w:val="center"/>
          </w:tcPr>
          <w:p w14:paraId="2B83C0D3"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0,2</w:t>
            </w:r>
          </w:p>
        </w:tc>
        <w:tc>
          <w:tcPr>
            <w:tcW w:w="547" w:type="pct"/>
            <w:shd w:val="clear" w:color="auto" w:fill="FFFFFF" w:themeFill="background1"/>
            <w:noWrap/>
            <w:vAlign w:val="center"/>
          </w:tcPr>
          <w:p w14:paraId="78892708"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-1,0</w:t>
            </w:r>
          </w:p>
        </w:tc>
      </w:tr>
      <w:tr w:rsidR="00854E01" w:rsidRPr="00092ED7" w14:paraId="0F0E6B02" w14:textId="77777777" w:rsidTr="00854E01">
        <w:trPr>
          <w:trHeight w:hRule="exact" w:val="230"/>
        </w:trPr>
        <w:tc>
          <w:tcPr>
            <w:tcW w:w="473" w:type="pct"/>
            <w:shd w:val="clear" w:color="auto" w:fill="FFFFFF" w:themeFill="background1"/>
            <w:noWrap/>
          </w:tcPr>
          <w:p w14:paraId="06328D5C" w14:textId="77777777" w:rsidR="00854E01" w:rsidRPr="00092ED7" w:rsidRDefault="00854E01" w:rsidP="00854E01">
            <w:pPr>
              <w:shd w:val="clear" w:color="auto" w:fill="FFFFFF" w:themeFill="background1"/>
              <w:spacing w:after="0"/>
              <w:rPr>
                <w:rFonts w:eastAsia="MS PGothic" w:cs="Times New Roman"/>
                <w:bCs/>
                <w:sz w:val="16"/>
                <w:szCs w:val="16"/>
                <w:lang w:val="sr-Cyrl-CS" w:eastAsia="ja-JP"/>
              </w:rPr>
            </w:pPr>
            <w:r w:rsidRPr="00092ED7">
              <w:rPr>
                <w:rFonts w:eastAsia="MS PGothic" w:cs="Times New Roman"/>
                <w:bCs/>
                <w:sz w:val="16"/>
                <w:szCs w:val="16"/>
                <w:lang w:val="sr-Cyrl-CS" w:eastAsia="ja-JP"/>
              </w:rPr>
              <w:t>2024</w:t>
            </w:r>
          </w:p>
        </w:tc>
        <w:tc>
          <w:tcPr>
            <w:tcW w:w="538" w:type="pct"/>
            <w:shd w:val="clear" w:color="auto" w:fill="FFFFFF" w:themeFill="background1"/>
            <w:vAlign w:val="center"/>
          </w:tcPr>
          <w:p w14:paraId="5C65A6B0"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-0,4</w:t>
            </w:r>
          </w:p>
        </w:tc>
        <w:tc>
          <w:tcPr>
            <w:tcW w:w="547" w:type="pct"/>
            <w:shd w:val="clear" w:color="auto" w:fill="FFFFFF" w:themeFill="background1"/>
            <w:vAlign w:val="center"/>
          </w:tcPr>
          <w:p w14:paraId="42B8847B"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-2,2</w:t>
            </w:r>
          </w:p>
        </w:tc>
        <w:tc>
          <w:tcPr>
            <w:tcW w:w="547" w:type="pct"/>
            <w:shd w:val="clear" w:color="auto" w:fill="FFFFFF" w:themeFill="background1"/>
            <w:vAlign w:val="center"/>
          </w:tcPr>
          <w:p w14:paraId="3BBF34A8"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-0,1</w:t>
            </w:r>
          </w:p>
        </w:tc>
        <w:tc>
          <w:tcPr>
            <w:tcW w:w="601" w:type="pct"/>
            <w:shd w:val="clear" w:color="auto" w:fill="FFFFFF" w:themeFill="background1"/>
            <w:vAlign w:val="center"/>
          </w:tcPr>
          <w:p w14:paraId="3153DFEF"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-2,0</w:t>
            </w:r>
          </w:p>
        </w:tc>
        <w:tc>
          <w:tcPr>
            <w:tcW w:w="601" w:type="pct"/>
            <w:shd w:val="clear" w:color="auto" w:fill="FFFFFF" w:themeFill="background1"/>
            <w:vAlign w:val="center"/>
          </w:tcPr>
          <w:p w14:paraId="79C29190"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0,0</w:t>
            </w:r>
          </w:p>
        </w:tc>
        <w:tc>
          <w:tcPr>
            <w:tcW w:w="573" w:type="pct"/>
            <w:shd w:val="clear" w:color="auto" w:fill="FFFFFF" w:themeFill="background1"/>
            <w:vAlign w:val="center"/>
          </w:tcPr>
          <w:p w14:paraId="385734ED"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-2,0</w:t>
            </w:r>
          </w:p>
        </w:tc>
        <w:tc>
          <w:tcPr>
            <w:tcW w:w="573" w:type="pct"/>
            <w:shd w:val="clear" w:color="auto" w:fill="FFFFFF" w:themeFill="background1"/>
            <w:noWrap/>
            <w:vAlign w:val="center"/>
          </w:tcPr>
          <w:p w14:paraId="04964C6E"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0,0</w:t>
            </w:r>
          </w:p>
        </w:tc>
        <w:tc>
          <w:tcPr>
            <w:tcW w:w="547" w:type="pct"/>
            <w:shd w:val="clear" w:color="auto" w:fill="FFFFFF" w:themeFill="background1"/>
            <w:noWrap/>
            <w:vAlign w:val="center"/>
          </w:tcPr>
          <w:p w14:paraId="14FED3C2"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-1,4</w:t>
            </w:r>
          </w:p>
        </w:tc>
      </w:tr>
      <w:tr w:rsidR="00854E01" w:rsidRPr="00092ED7" w14:paraId="51451642" w14:textId="77777777" w:rsidTr="00854E01">
        <w:trPr>
          <w:trHeight w:hRule="exact" w:val="230"/>
        </w:trPr>
        <w:tc>
          <w:tcPr>
            <w:tcW w:w="473" w:type="pct"/>
            <w:shd w:val="clear" w:color="auto" w:fill="FFFFFF" w:themeFill="background1"/>
            <w:noWrap/>
          </w:tcPr>
          <w:p w14:paraId="372BE1AD" w14:textId="77777777" w:rsidR="00854E01" w:rsidRPr="00092ED7" w:rsidRDefault="00854E01" w:rsidP="00854E01">
            <w:pPr>
              <w:shd w:val="clear" w:color="auto" w:fill="FFFFFF" w:themeFill="background1"/>
              <w:spacing w:after="0"/>
              <w:rPr>
                <w:rFonts w:eastAsia="MS PGothic" w:cs="Times New Roman"/>
                <w:b/>
                <w:bCs/>
                <w:sz w:val="16"/>
                <w:szCs w:val="16"/>
                <w:lang w:val="sr-Cyrl-CS" w:eastAsia="ja-JP"/>
              </w:rPr>
            </w:pPr>
            <w:r w:rsidRPr="00092ED7">
              <w:rPr>
                <w:rFonts w:eastAsia="MS PGothic" w:cs="Times New Roman"/>
                <w:bCs/>
                <w:sz w:val="16"/>
                <w:szCs w:val="16"/>
                <w:lang w:val="sr-Cyrl-CS" w:eastAsia="ja-JP"/>
              </w:rPr>
              <w:t>2025</w:t>
            </w:r>
          </w:p>
          <w:p w14:paraId="297D7B4C" w14:textId="77777777" w:rsidR="00854E01" w:rsidRPr="00092ED7" w:rsidRDefault="00854E01" w:rsidP="00854E01">
            <w:pPr>
              <w:shd w:val="clear" w:color="auto" w:fill="FFFFFF" w:themeFill="background1"/>
              <w:spacing w:after="0"/>
              <w:rPr>
                <w:rFonts w:eastAsia="MS PGothic" w:cs="Times New Roman"/>
                <w:bCs/>
                <w:sz w:val="16"/>
                <w:szCs w:val="16"/>
                <w:lang w:val="sr-Cyrl-CS" w:eastAsia="ja-JP"/>
              </w:rPr>
            </w:pPr>
          </w:p>
        </w:tc>
        <w:tc>
          <w:tcPr>
            <w:tcW w:w="538" w:type="pct"/>
            <w:shd w:val="clear" w:color="auto" w:fill="FFFFFF" w:themeFill="background1"/>
            <w:vAlign w:val="center"/>
          </w:tcPr>
          <w:p w14:paraId="4DEFD718"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-0,2</w:t>
            </w:r>
          </w:p>
        </w:tc>
        <w:tc>
          <w:tcPr>
            <w:tcW w:w="547" w:type="pct"/>
            <w:shd w:val="clear" w:color="auto" w:fill="FFFFFF" w:themeFill="background1"/>
            <w:vAlign w:val="center"/>
          </w:tcPr>
          <w:p w14:paraId="051B8E50"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-1,4</w:t>
            </w:r>
          </w:p>
        </w:tc>
        <w:tc>
          <w:tcPr>
            <w:tcW w:w="547" w:type="pct"/>
            <w:shd w:val="clear" w:color="auto" w:fill="FFFFFF" w:themeFill="background1"/>
            <w:vAlign w:val="center"/>
          </w:tcPr>
          <w:p w14:paraId="0D2F3755"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0,5</w:t>
            </w:r>
          </w:p>
        </w:tc>
        <w:tc>
          <w:tcPr>
            <w:tcW w:w="601" w:type="pct"/>
            <w:shd w:val="clear" w:color="auto" w:fill="FFFFFF" w:themeFill="background1"/>
            <w:vAlign w:val="center"/>
          </w:tcPr>
          <w:p w14:paraId="676A680E"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-1,3</w:t>
            </w:r>
          </w:p>
        </w:tc>
        <w:tc>
          <w:tcPr>
            <w:tcW w:w="601" w:type="pct"/>
            <w:shd w:val="clear" w:color="auto" w:fill="FFFFFF" w:themeFill="background1"/>
            <w:vAlign w:val="center"/>
          </w:tcPr>
          <w:p w14:paraId="7826D96B"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0,6</w:t>
            </w:r>
          </w:p>
        </w:tc>
        <w:tc>
          <w:tcPr>
            <w:tcW w:w="573" w:type="pct"/>
            <w:shd w:val="clear" w:color="auto" w:fill="FFFFFF" w:themeFill="background1"/>
            <w:vAlign w:val="center"/>
          </w:tcPr>
          <w:p w14:paraId="056FD323"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-1,3</w:t>
            </w:r>
          </w:p>
        </w:tc>
        <w:tc>
          <w:tcPr>
            <w:tcW w:w="573" w:type="pct"/>
            <w:shd w:val="clear" w:color="auto" w:fill="FFFFFF" w:themeFill="background1"/>
            <w:noWrap/>
            <w:vAlign w:val="center"/>
          </w:tcPr>
          <w:p w14:paraId="2E03A388"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0,6</w:t>
            </w:r>
          </w:p>
        </w:tc>
        <w:tc>
          <w:tcPr>
            <w:tcW w:w="547" w:type="pct"/>
            <w:shd w:val="clear" w:color="auto" w:fill="FFFFFF" w:themeFill="background1"/>
            <w:noWrap/>
            <w:vAlign w:val="center"/>
          </w:tcPr>
          <w:p w14:paraId="5CA56CA0" w14:textId="77777777" w:rsidR="00854E01" w:rsidRPr="00092ED7" w:rsidRDefault="00854E01" w:rsidP="00854E01">
            <w:pPr>
              <w:shd w:val="clear" w:color="auto" w:fill="FFFFFF" w:themeFill="background1"/>
              <w:spacing w:after="0"/>
              <w:jc w:val="right"/>
              <w:rPr>
                <w:rFonts w:eastAsia="MS PGothic" w:cs="Times New Roman"/>
                <w:bCs/>
                <w:sz w:val="16"/>
                <w:szCs w:val="16"/>
                <w:lang w:val="sr-Cyrl-CS" w:eastAsia="ja-JP"/>
              </w:rPr>
            </w:pPr>
            <w:r w:rsidRPr="00092ED7">
              <w:rPr>
                <w:rFonts w:eastAsia="MS PGothic" w:cs="Times New Roman"/>
                <w:bCs/>
                <w:sz w:val="16"/>
                <w:szCs w:val="16"/>
                <w:lang w:val="sr-Cyrl-CS" w:eastAsia="ja-JP"/>
              </w:rPr>
              <w:t>-0,6</w:t>
            </w:r>
          </w:p>
        </w:tc>
      </w:tr>
    </w:tbl>
    <w:p w14:paraId="6273BD8A" w14:textId="77777777" w:rsidR="00854E01" w:rsidRPr="00092ED7" w:rsidRDefault="00854E01" w:rsidP="00854E01">
      <w:pPr>
        <w:shd w:val="clear" w:color="auto" w:fill="FFFFFF" w:themeFill="background1"/>
        <w:spacing w:before="60" w:after="0"/>
        <w:rPr>
          <w:rFonts w:eastAsia="MS PGothic" w:cs="Times New Roman"/>
          <w:sz w:val="16"/>
          <w:szCs w:val="16"/>
          <w:lang w:val="sr-Cyrl-CS" w:eastAsia="ja-JP"/>
        </w:rPr>
      </w:pPr>
      <w:r w:rsidRPr="00092ED7">
        <w:rPr>
          <w:rFonts w:eastAsia="MS PGothic" w:cs="Times New Roman"/>
          <w:bCs/>
          <w:sz w:val="16"/>
          <w:szCs w:val="16"/>
          <w:lang w:val="sr-Cyrl-CS" w:eastAsia="ja-JP"/>
        </w:rPr>
        <w:t xml:space="preserve">* </w:t>
      </w:r>
      <w:r w:rsidRPr="00092ED7">
        <w:rPr>
          <w:rFonts w:eastAsia="MS PGothic" w:cs="Times New Roman"/>
          <w:sz w:val="16"/>
          <w:szCs w:val="16"/>
          <w:lang w:val="sr-Cyrl-CS" w:eastAsia="ja-JP"/>
        </w:rPr>
        <w:t>За период 2022–2025. године приказане су пројектоване вредности.</w:t>
      </w:r>
    </w:p>
    <w:p w14:paraId="0D3B2FA0" w14:textId="77777777" w:rsidR="00854E01" w:rsidRPr="00092ED7" w:rsidRDefault="00854E01" w:rsidP="00E255B1">
      <w:pPr>
        <w:shd w:val="clear" w:color="auto" w:fill="FFFFFF" w:themeFill="background1"/>
        <w:spacing w:after="60"/>
        <w:rPr>
          <w:rFonts w:eastAsia="MS PGothic" w:cs="Times New Roman"/>
          <w:sz w:val="16"/>
          <w:szCs w:val="16"/>
          <w:lang w:val="sr-Cyrl-CS" w:eastAsia="ja-JP"/>
        </w:rPr>
      </w:pPr>
      <w:r w:rsidRPr="00092ED7">
        <w:rPr>
          <w:rFonts w:eastAsia="MS PGothic" w:cs="Times New Roman"/>
          <w:bCs/>
          <w:sz w:val="16"/>
          <w:szCs w:val="16"/>
          <w:lang w:val="sr-Cyrl-CS" w:eastAsia="ja-JP"/>
        </w:rPr>
        <w:t>** Структурни примарни биланс добијен је искључивањем процењених једнократних прихода и расхода</w:t>
      </w:r>
      <w:r w:rsidRPr="00092ED7">
        <w:rPr>
          <w:rFonts w:eastAsia="MS PGothic" w:cs="Times New Roman"/>
          <w:sz w:val="16"/>
          <w:szCs w:val="16"/>
          <w:lang w:val="sr-Cyrl-CS" w:eastAsia="ja-JP"/>
        </w:rPr>
        <w:t>. Резултати који приказују промену структурног примарног дефицита не искључују експлицитно ефекте повећања ефикасности наплате прихода, па се оцена структурног прилагођавања у 2015. и 2016. години делимично разликује од претходно приказаних ефеката.</w:t>
      </w:r>
    </w:p>
    <w:p w14:paraId="329ED475" w14:textId="77777777" w:rsidR="00854E01" w:rsidRPr="00092ED7" w:rsidRDefault="00854E01" w:rsidP="00854E01">
      <w:pPr>
        <w:spacing w:after="60"/>
        <w:rPr>
          <w:rFonts w:eastAsia="Calibri" w:cs="Times New Roman"/>
          <w:sz w:val="18"/>
          <w:szCs w:val="18"/>
          <w:lang w:val="sr-Cyrl-CS"/>
        </w:rPr>
      </w:pPr>
      <w:r w:rsidRPr="00092ED7">
        <w:rPr>
          <w:rFonts w:eastAsia="Calibri" w:cs="Times New Roman"/>
          <w:sz w:val="18"/>
          <w:szCs w:val="18"/>
          <w:lang w:val="sr-Cyrl-CS"/>
        </w:rPr>
        <w:t>Извор: Министарство финансија</w:t>
      </w:r>
    </w:p>
    <w:p w14:paraId="12496359" w14:textId="365D11CB" w:rsidR="00854E01" w:rsidRPr="00092ED7" w:rsidRDefault="00854E01" w:rsidP="00854E01">
      <w:pPr>
        <w:spacing w:before="120" w:after="60"/>
        <w:rPr>
          <w:rFonts w:cs="Times New Roman"/>
          <w:szCs w:val="24"/>
          <w:lang w:val="sr-Cyrl-CS" w:eastAsia="sr-Cyrl-RS"/>
        </w:rPr>
      </w:pPr>
      <w:r w:rsidRPr="00092ED7">
        <w:rPr>
          <w:rFonts w:cs="Times New Roman"/>
          <w:szCs w:val="24"/>
          <w:lang w:val="sr-Cyrl-CS"/>
        </w:rPr>
        <w:t>Графикон 10. Производни јаз, циклично прилаг</w:t>
      </w:r>
      <w:r w:rsidR="006D2688" w:rsidRPr="00092ED7">
        <w:rPr>
          <w:rFonts w:cs="Times New Roman"/>
          <w:szCs w:val="24"/>
          <w:lang w:val="sr-Cyrl-CS"/>
        </w:rPr>
        <w:t>ођен</w:t>
      </w:r>
      <w:r w:rsidRPr="00092ED7">
        <w:rPr>
          <w:rFonts w:cs="Times New Roman"/>
          <w:szCs w:val="24"/>
          <w:lang w:val="sr-Cyrl-CS"/>
        </w:rPr>
        <w:t xml:space="preserve"> и структурни фиск</w:t>
      </w:r>
      <w:r w:rsidR="006D2688" w:rsidRPr="00092ED7">
        <w:rPr>
          <w:rFonts w:cs="Times New Roman"/>
          <w:szCs w:val="24"/>
          <w:lang w:val="sr-Cyrl-CS"/>
        </w:rPr>
        <w:t>ални</w:t>
      </w:r>
      <w:r w:rsidRPr="00092ED7">
        <w:rPr>
          <w:rFonts w:cs="Times New Roman"/>
          <w:szCs w:val="24"/>
          <w:lang w:val="sr-Cyrl-CS"/>
        </w:rPr>
        <w:t xml:space="preserve"> биланс у периоду 2005–2025. год, % БДП*</w:t>
      </w:r>
    </w:p>
    <w:p w14:paraId="247514D1" w14:textId="77777777" w:rsidR="00854E01" w:rsidRPr="00092ED7" w:rsidRDefault="00854E01" w:rsidP="00854E01">
      <w:pPr>
        <w:spacing w:after="0"/>
        <w:rPr>
          <w:rFonts w:cs="Times New Roman"/>
          <w:szCs w:val="24"/>
          <w:lang w:val="sr-Cyrl-CS" w:eastAsia="sr-Cyrl-RS"/>
        </w:rPr>
      </w:pPr>
      <w:r w:rsidRPr="00092ED7">
        <w:rPr>
          <w:noProof/>
        </w:rPr>
        <w:drawing>
          <wp:inline distT="0" distB="0" distL="0" distR="0" wp14:anchorId="46931607" wp14:editId="13C0EFED">
            <wp:extent cx="5724525" cy="2118995"/>
            <wp:effectExtent l="0" t="0" r="0" b="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3AAC5457" w14:textId="77777777" w:rsidR="00854E01" w:rsidRPr="00092ED7" w:rsidRDefault="00854E01" w:rsidP="005E5B70">
      <w:pPr>
        <w:spacing w:before="60"/>
        <w:rPr>
          <w:rFonts w:eastAsia="MS PGothic" w:cs="Times New Roman"/>
          <w:sz w:val="18"/>
          <w:szCs w:val="18"/>
          <w:lang w:val="sr-Cyrl-CS" w:eastAsia="ja-JP"/>
        </w:rPr>
      </w:pPr>
      <w:r w:rsidRPr="00092ED7">
        <w:rPr>
          <w:rFonts w:eastAsia="MS PGothic" w:cs="Times New Roman"/>
          <w:sz w:val="18"/>
          <w:szCs w:val="18"/>
          <w:lang w:val="sr-Cyrl-CS" w:eastAsia="ja-JP"/>
        </w:rPr>
        <w:t>*За период 2022–2025. године приказане су пројектоване вредности</w:t>
      </w:r>
    </w:p>
    <w:p w14:paraId="002C7336" w14:textId="77777777" w:rsidR="00A5229A" w:rsidRPr="00092ED7" w:rsidRDefault="00A5229A">
      <w:pPr>
        <w:spacing w:after="160" w:line="259" w:lineRule="auto"/>
        <w:jc w:val="left"/>
        <w:rPr>
          <w:rFonts w:cs="Times New Roman"/>
          <w:szCs w:val="24"/>
          <w:lang w:val="sr-Cyrl-CS"/>
        </w:rPr>
      </w:pPr>
      <w:r w:rsidRPr="00092ED7">
        <w:rPr>
          <w:rFonts w:cs="Times New Roman"/>
          <w:szCs w:val="24"/>
          <w:lang w:val="sr-Cyrl-CS"/>
        </w:rPr>
        <w:br w:type="page"/>
      </w:r>
    </w:p>
    <w:p w14:paraId="444C9DC8" w14:textId="77777777" w:rsidR="00854E01" w:rsidRPr="00092ED7" w:rsidRDefault="00854E01" w:rsidP="00854E01">
      <w:pPr>
        <w:spacing w:before="120" w:after="60"/>
        <w:rPr>
          <w:rFonts w:cs="Times New Roman"/>
          <w:szCs w:val="24"/>
          <w:lang w:val="sr-Cyrl-CS" w:eastAsia="sr-Cyrl-RS"/>
        </w:rPr>
      </w:pPr>
      <w:r w:rsidRPr="00092ED7">
        <w:rPr>
          <w:rFonts w:cs="Times New Roman"/>
          <w:szCs w:val="24"/>
          <w:lang w:val="sr-Cyrl-CS"/>
        </w:rPr>
        <w:lastRenderedPageBreak/>
        <w:t>Графикон 11. Карактер и ефекти фискалне политике у периоду 2006–2024. године, % БДП*</w:t>
      </w:r>
    </w:p>
    <w:p w14:paraId="4A4DE038" w14:textId="77777777" w:rsidR="00854E01" w:rsidRPr="00092ED7" w:rsidRDefault="00854E01" w:rsidP="00854E01">
      <w:pPr>
        <w:spacing w:after="0"/>
        <w:rPr>
          <w:rFonts w:cs="Times New Roman"/>
          <w:bCs/>
          <w:szCs w:val="24"/>
          <w:lang w:val="sr-Cyrl-CS"/>
        </w:rPr>
      </w:pPr>
      <w:r w:rsidRPr="00092ED7">
        <w:rPr>
          <w:noProof/>
        </w:rPr>
        <w:drawing>
          <wp:inline distT="0" distB="0" distL="0" distR="0" wp14:anchorId="6BC1015B" wp14:editId="665DEAFB">
            <wp:extent cx="5848350" cy="2011680"/>
            <wp:effectExtent l="0" t="0" r="0" b="7620"/>
            <wp:docPr id="71" name="Chart 7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289F8F0D" w14:textId="77777777" w:rsidR="00854E01" w:rsidRPr="00092ED7" w:rsidRDefault="00854E01" w:rsidP="005E5B70">
      <w:pPr>
        <w:spacing w:before="60"/>
        <w:rPr>
          <w:sz w:val="18"/>
          <w:szCs w:val="18"/>
          <w:lang w:val="sr-Cyrl-CS" w:eastAsia="ja-JP"/>
        </w:rPr>
      </w:pPr>
      <w:r w:rsidRPr="00092ED7">
        <w:rPr>
          <w:sz w:val="18"/>
          <w:szCs w:val="18"/>
          <w:lang w:val="sr-Cyrl-CS" w:eastAsia="ja-JP"/>
        </w:rPr>
        <w:t>*За период 2022–2025. године приказане су пројектоване вредности.</w:t>
      </w:r>
    </w:p>
    <w:p w14:paraId="0C3F9CE0" w14:textId="77777777" w:rsidR="00854E01" w:rsidRPr="00092ED7" w:rsidRDefault="00854E01" w:rsidP="008B200E">
      <w:pPr>
        <w:spacing w:after="60"/>
        <w:rPr>
          <w:rFonts w:cs="Times New Roman"/>
          <w:szCs w:val="24"/>
          <w:lang w:val="sr-Cyrl-CS" w:eastAsia="ja-JP"/>
        </w:rPr>
      </w:pPr>
      <w:r w:rsidRPr="00092ED7">
        <w:rPr>
          <w:rFonts w:cs="Times New Roman"/>
          <w:szCs w:val="24"/>
          <w:lang w:val="sr-Cyrl-CS" w:eastAsia="ja-JP"/>
        </w:rPr>
        <w:t>Структурна фискална позиција земље није значајно нарушена у периоду између 2020. и 2022. године, због тога што су спроведене мере помоћи привреди из домена фискалне политике биле временски ограниченог карактера. Током 2022. години предвиђен је одређени износ средстава као вид помоћи становништву у висини од 0,92% БДП. Осим тога, енергетска криза условила је значајне интервенције државе у домену обезбеђивања енергетске стабилности. Осим повећаних издатака за енергенте, помоћ становништву и привреди, обезбеђена је и смањењем акциза на нафтне деривате.</w:t>
      </w:r>
    </w:p>
    <w:p w14:paraId="7F71E4DC" w14:textId="77777777" w:rsidR="00854E01" w:rsidRPr="00092ED7" w:rsidRDefault="00854E01" w:rsidP="008B200E">
      <w:pPr>
        <w:spacing w:after="60"/>
        <w:rPr>
          <w:rFonts w:cs="Times New Roman"/>
          <w:szCs w:val="24"/>
          <w:lang w:val="sr-Cyrl-CS" w:eastAsia="ja-JP"/>
        </w:rPr>
      </w:pPr>
      <w:r w:rsidRPr="00092ED7">
        <w:rPr>
          <w:rFonts w:cs="Times New Roman"/>
          <w:szCs w:val="24"/>
          <w:lang w:val="sr-Cyrl-CS" w:eastAsia="ja-JP"/>
        </w:rPr>
        <w:t>Како је фискални импулс дефинисан као разлика два узастопна циклично прилагођена (примарна) резултата, оцењује се да је фискална политика током 2020. године била изразито експанзивно-контрациклична, усмерена на ублажавање негативног економског циклуса. Услед нешто мањег обима пакета мера економске подршке у 2021. години, фискална политика је рестриктивнија него претходне године, а по карактеру такође контрациклична. За 2022. до 2023. године оцењено је да ће фискална политика остати благо рестриктивна, и поред значајних издвајања за ублажавање енергетске кризе.</w:t>
      </w:r>
    </w:p>
    <w:p w14:paraId="4F65C18F" w14:textId="77777777" w:rsidR="00854E01" w:rsidRPr="00092ED7" w:rsidRDefault="00854E01" w:rsidP="005E5B70">
      <w:pPr>
        <w:spacing w:before="120" w:after="60"/>
        <w:rPr>
          <w:rFonts w:cs="Times New Roman"/>
          <w:vanish/>
          <w:szCs w:val="24"/>
          <w:lang w:val="sr-Cyrl-CS" w:eastAsia="sr-Cyrl-RS"/>
        </w:rPr>
      </w:pPr>
      <w:r w:rsidRPr="00092ED7">
        <w:rPr>
          <w:rFonts w:cs="Times New Roman"/>
          <w:szCs w:val="24"/>
          <w:lang w:val="sr-Cyrl-CS"/>
        </w:rPr>
        <w:t>Графикон 12. Карактер и ефекти фискалне политике у периоду 2006–2022. године, % БДП*</w:t>
      </w:r>
    </w:p>
    <w:p w14:paraId="0DBF6BAF" w14:textId="77777777" w:rsidR="00854E01" w:rsidRPr="00092ED7" w:rsidRDefault="00854E01" w:rsidP="00854E01">
      <w:pPr>
        <w:spacing w:after="160" w:line="259" w:lineRule="auto"/>
        <w:jc w:val="left"/>
        <w:rPr>
          <w:rFonts w:eastAsia="Calibri" w:cs="Times New Roman"/>
          <w:szCs w:val="24"/>
          <w:highlight w:val="yellow"/>
          <w:lang w:val="sr-Cyrl-CS"/>
        </w:rPr>
      </w:pPr>
      <w:r w:rsidRPr="00092ED7">
        <w:rPr>
          <w:noProof/>
        </w:rPr>
        <w:drawing>
          <wp:inline distT="0" distB="0" distL="0" distR="0" wp14:anchorId="3C0C80D1" wp14:editId="46B69F67">
            <wp:extent cx="5796501" cy="3133725"/>
            <wp:effectExtent l="0" t="0" r="0" b="9525"/>
            <wp:docPr id="76" name="Chart 76"/>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0392DF29" w14:textId="77777777" w:rsidR="005F26DA" w:rsidRPr="00092ED7" w:rsidRDefault="00735870" w:rsidP="00E02533">
      <w:pPr>
        <w:pStyle w:val="Heading2"/>
        <w:spacing w:before="120" w:after="120"/>
        <w:rPr>
          <w:rFonts w:ascii="Times New Roman" w:eastAsia="Calibri" w:hAnsi="Times New Roman" w:cs="Times New Roman"/>
          <w:b/>
          <w:color w:val="auto"/>
          <w:sz w:val="24"/>
          <w:szCs w:val="24"/>
          <w:lang w:val="sr-Cyrl-CS"/>
        </w:rPr>
      </w:pPr>
      <w:bookmarkStart w:id="26" w:name="_Toc124174798"/>
      <w:r w:rsidRPr="00092ED7">
        <w:rPr>
          <w:rFonts w:ascii="Times New Roman" w:eastAsia="Calibri" w:hAnsi="Times New Roman" w:cs="Times New Roman"/>
          <w:b/>
          <w:color w:val="auto"/>
          <w:sz w:val="24"/>
          <w:szCs w:val="24"/>
          <w:lang w:val="sr-Cyrl-CS"/>
        </w:rPr>
        <w:lastRenderedPageBreak/>
        <w:t>4.</w:t>
      </w:r>
      <w:r w:rsidR="005F26DA" w:rsidRPr="00092ED7">
        <w:rPr>
          <w:rFonts w:ascii="Times New Roman" w:eastAsia="Calibri" w:hAnsi="Times New Roman" w:cs="Times New Roman"/>
          <w:b/>
          <w:color w:val="auto"/>
          <w:sz w:val="24"/>
          <w:szCs w:val="24"/>
          <w:lang w:val="sr-Cyrl-CS"/>
        </w:rPr>
        <w:t>5. УПРАВЉАЊЕ ЈАВНИМ ДУГОМ</w:t>
      </w:r>
      <w:bookmarkEnd w:id="26"/>
    </w:p>
    <w:p w14:paraId="3487DF6B" w14:textId="2B805930" w:rsidR="008B200E" w:rsidRPr="00092ED7" w:rsidRDefault="008B200E" w:rsidP="008B200E">
      <w:pPr>
        <w:spacing w:after="60"/>
        <w:rPr>
          <w:rFonts w:cs="Times New Roman"/>
          <w:szCs w:val="24"/>
          <w:lang w:val="sr-Cyrl-CS" w:eastAsia="ja-JP"/>
        </w:rPr>
      </w:pPr>
      <w:r w:rsidRPr="00092ED7">
        <w:rPr>
          <w:rFonts w:cs="Times New Roman"/>
          <w:szCs w:val="24"/>
          <w:lang w:val="sr-Cyrl-CS" w:eastAsia="ja-JP"/>
        </w:rPr>
        <w:t>У складу са међународном праксом и према Закону о јавном дугу („Сл</w:t>
      </w:r>
      <w:r w:rsidR="00387533" w:rsidRPr="00092ED7">
        <w:rPr>
          <w:rFonts w:cs="Times New Roman"/>
          <w:szCs w:val="24"/>
          <w:lang w:val="sr-Cyrl-CS" w:eastAsia="ja-JP"/>
        </w:rPr>
        <w:t>ужбени</w:t>
      </w:r>
      <w:r w:rsidRPr="00092ED7">
        <w:rPr>
          <w:rFonts w:cs="Times New Roman"/>
          <w:szCs w:val="24"/>
          <w:lang w:val="sr-Cyrl-CS" w:eastAsia="ja-JP"/>
        </w:rPr>
        <w:t xml:space="preserve"> </w:t>
      </w:r>
      <w:r w:rsidR="00387533" w:rsidRPr="00092ED7">
        <w:rPr>
          <w:rFonts w:cs="Times New Roman"/>
          <w:szCs w:val="24"/>
          <w:lang w:val="sr-Cyrl-CS" w:eastAsia="ja-JP"/>
        </w:rPr>
        <w:t>г</w:t>
      </w:r>
      <w:r w:rsidRPr="00092ED7">
        <w:rPr>
          <w:rFonts w:cs="Times New Roman"/>
          <w:szCs w:val="24"/>
          <w:lang w:val="sr-Cyrl-CS" w:eastAsia="ja-JP"/>
        </w:rPr>
        <w:t>ласник РС</w:t>
      </w:r>
      <w:r w:rsidR="00387533" w:rsidRPr="00092ED7">
        <w:rPr>
          <w:rFonts w:cs="Times New Roman"/>
          <w:szCs w:val="24"/>
          <w:lang w:val="sr-Cyrl-CS"/>
        </w:rPr>
        <w:t>”</w:t>
      </w:r>
      <w:r w:rsidRPr="00092ED7">
        <w:rPr>
          <w:rFonts w:cs="Times New Roman"/>
          <w:szCs w:val="24"/>
          <w:lang w:val="sr-Cyrl-CS" w:eastAsia="ja-JP"/>
        </w:rPr>
        <w:t xml:space="preserve">, бр. 61/05, 107/09, 78/11, 68/15, 95/18, 91/19 и 149/20), </w:t>
      </w:r>
      <w:r w:rsidR="00D41467" w:rsidRPr="00092ED7">
        <w:rPr>
          <w:rFonts w:cs="Times New Roman"/>
          <w:szCs w:val="24"/>
          <w:lang w:val="sr-Cyrl-CS" w:eastAsia="ja-JP"/>
        </w:rPr>
        <w:t>с</w:t>
      </w:r>
      <w:r w:rsidRPr="00092ED7">
        <w:rPr>
          <w:rFonts w:cs="Times New Roman"/>
          <w:szCs w:val="24"/>
          <w:lang w:val="sr-Cyrl-CS" w:eastAsia="ja-JP"/>
        </w:rPr>
        <w:t>тратегија управљања јавним дугом за наредни средњорочни период треба да буде подржана и конзистентна са општим Владиним средњорочним макроекономским оквиром и саставни је део Фискалне стратегије. Стратегија управљања јавним дугом заснива се на принципима који дефинишу потребу за транспарентним и предвидивим процесом задуживања, уз перманентан развој тржишта државних хартија од вредности и прихватљив ниво изложености финансијским ризицима.</w:t>
      </w:r>
    </w:p>
    <w:p w14:paraId="5B92D633" w14:textId="47436D8A" w:rsidR="008B200E" w:rsidRPr="00092ED7" w:rsidRDefault="008B200E" w:rsidP="008B200E">
      <w:pPr>
        <w:spacing w:after="60"/>
        <w:rPr>
          <w:rFonts w:cs="Times New Roman"/>
          <w:szCs w:val="24"/>
          <w:lang w:val="sr-Cyrl-CS" w:eastAsia="ja-JP"/>
        </w:rPr>
      </w:pPr>
      <w:r w:rsidRPr="00092ED7">
        <w:rPr>
          <w:rFonts w:cs="Times New Roman"/>
          <w:szCs w:val="24"/>
          <w:lang w:val="sr-Cyrl-CS" w:eastAsia="ja-JP"/>
        </w:rPr>
        <w:t xml:space="preserve">На крају септембра 2022. године укупно стање јавног дуга општег нивоа државе износило је 3.839,8 млрд динара, односно 54,2% БДП. Од тога се на обавезе централног нивоа државе односило 3.803,4 млрд динара, док се 31,2 млрд динара односило на негарантовани дуг </w:t>
      </w:r>
      <w:r w:rsidR="00561CB8" w:rsidRPr="00092ED7">
        <w:rPr>
          <w:rFonts w:cs="Times New Roman"/>
          <w:szCs w:val="24"/>
          <w:lang w:val="sr-Cyrl-CS" w:eastAsia="ja-JP"/>
        </w:rPr>
        <w:t>ЈЛС</w:t>
      </w:r>
      <w:r w:rsidR="00187A88" w:rsidRPr="00092ED7">
        <w:rPr>
          <w:rFonts w:cs="Times New Roman"/>
          <w:szCs w:val="24"/>
          <w:lang w:val="sr-Cyrl-CS" w:eastAsia="ja-JP"/>
        </w:rPr>
        <w:t xml:space="preserve"> </w:t>
      </w:r>
      <w:r w:rsidRPr="00092ED7">
        <w:rPr>
          <w:rFonts w:cs="Times New Roman"/>
          <w:szCs w:val="24"/>
          <w:lang w:val="sr-Cyrl-CS" w:eastAsia="ja-JP"/>
        </w:rPr>
        <w:t xml:space="preserve">и 5,3 млрд динара на негарантовани дуг ЈП </w:t>
      </w:r>
      <w:r w:rsidR="006D2688" w:rsidRPr="00092ED7">
        <w:rPr>
          <w:rFonts w:cs="Times New Roman"/>
          <w:szCs w:val="24"/>
          <w:lang w:val="sr-Cyrl-CS" w:eastAsia="ja-JP"/>
        </w:rPr>
        <w:t>„</w:t>
      </w:r>
      <w:r w:rsidRPr="00092ED7">
        <w:rPr>
          <w:rFonts w:cs="Times New Roman"/>
          <w:szCs w:val="24"/>
          <w:lang w:val="sr-Cyrl-CS" w:eastAsia="ja-JP"/>
        </w:rPr>
        <w:t>Путеви Србије</w:t>
      </w:r>
      <w:r w:rsidR="006D2688" w:rsidRPr="00092ED7">
        <w:rPr>
          <w:rFonts w:cs="Times New Roman"/>
          <w:szCs w:val="24"/>
          <w:lang w:val="sr-Cyrl-CS" w:eastAsia="ja-JP"/>
        </w:rPr>
        <w:t>ˮ</w:t>
      </w:r>
      <w:r w:rsidRPr="00092ED7">
        <w:rPr>
          <w:rFonts w:cs="Times New Roman"/>
          <w:szCs w:val="24"/>
          <w:lang w:val="sr-Cyrl-CS" w:eastAsia="ja-JP"/>
        </w:rPr>
        <w:t xml:space="preserve"> и Коридора Србије</w:t>
      </w:r>
      <w:r w:rsidR="00561CB8" w:rsidRPr="00092ED7">
        <w:rPr>
          <w:rFonts w:cs="Times New Roman"/>
          <w:szCs w:val="24"/>
          <w:lang w:val="sr-Cyrl-CS" w:eastAsia="ja-JP"/>
        </w:rPr>
        <w:t xml:space="preserve"> д.о.о. Београд</w:t>
      </w:r>
      <w:r w:rsidRPr="00092ED7">
        <w:rPr>
          <w:rFonts w:cs="Times New Roman"/>
          <w:szCs w:val="24"/>
          <w:lang w:val="sr-Cyrl-CS" w:eastAsia="ja-JP"/>
        </w:rPr>
        <w:t>. Директне обавезе централног нивоа државе износиле су 3.614,9 млрд динара, а индиректне обавезе централног нивоа власти износиле су 188,5 млрд динара. Унутрашњи јавни дуг централног нивоа власти је износио 1.368,7 млрд динара, а спољни јавни дуг 2.434,7 млрд динара. Према подацима од 30. септeмбра 2022. године, највећи део јавног дуга општег нивоа државе Републике Србије је и даље деноминован у еврима и износи 57,6%. Затим су највише заступљени динар са 25,2 % и амерички долар са 12,4%. Остатак дуга је деноминован у специјалним правима вучења 4,0% и осталим валутама 0,7%. На дан 30. септeмбра 2022. године највећи део јавног дуга општег нивоа државе Републике Србије је са фиксном каматном стопом 81,8%, док се на јавни дуг са варијабилном каматном стопом односи 18,2% укупног јавног дуга. Међу варијабилним каматним стопама највише су заступљени Euribor 74,7%, затим каматна стопа за специјална права вучења 20,9%, Belibor 2,6%, Libor на долар 1,3%, док је учешће обавеза са осталим каматним стопама 0,5%.</w:t>
      </w:r>
    </w:p>
    <w:p w14:paraId="2B304390" w14:textId="7DC4B790" w:rsidR="008B200E" w:rsidRPr="00092ED7" w:rsidRDefault="008B200E" w:rsidP="008B200E">
      <w:pPr>
        <w:spacing w:after="60"/>
        <w:rPr>
          <w:rFonts w:cs="Times New Roman"/>
          <w:szCs w:val="24"/>
          <w:lang w:val="sr-Cyrl-CS" w:eastAsia="ja-JP"/>
        </w:rPr>
      </w:pPr>
      <w:r w:rsidRPr="00092ED7">
        <w:rPr>
          <w:rFonts w:cs="Times New Roman"/>
          <w:szCs w:val="24"/>
          <w:lang w:val="sr-Cyrl-CS" w:eastAsia="ja-JP"/>
        </w:rPr>
        <w:t>Фискални оквир у периоду 2023–2025. године: Економска политика у наредном периоду обликована је изласком из једне и уласком у нову кризу. Изласком из двогодишње кризе, изазване пандемијом, очекивао се један мирнији период који би омогућио економској, пре свега фискалној политици, довољно времена да се врати на одрживу путању. Међутим, сукоб у Украјини интензивирао је постојеће и донео нове ризике који у потпуности мењају и међународно окружење и економску политику у земљи. Глобална, растућа инфлација, интензивирана енергетска криза пред креаторе економске политике постављају велике изазове.</w:t>
      </w:r>
    </w:p>
    <w:p w14:paraId="759CA767" w14:textId="77777777" w:rsidR="008B200E" w:rsidRPr="00092ED7" w:rsidRDefault="008B200E" w:rsidP="008B200E">
      <w:pPr>
        <w:spacing w:after="60"/>
        <w:rPr>
          <w:rFonts w:cs="Times New Roman"/>
          <w:szCs w:val="24"/>
          <w:lang w:val="sr-Cyrl-CS" w:eastAsia="ja-JP"/>
        </w:rPr>
      </w:pPr>
      <w:r w:rsidRPr="00092ED7">
        <w:rPr>
          <w:rFonts w:cs="Times New Roman"/>
          <w:szCs w:val="24"/>
          <w:lang w:val="sr-Cyrl-CS" w:eastAsia="ja-JP"/>
        </w:rPr>
        <w:t>Имајући у виду пројектовани резултат буџета Републике Србије за период 2023–2025. године, укључујући и обим повлачења кредитних средстава за пројектно финансирање од буџетских корисника, ефекте промене девизног курса динара према евру и америчком долару, у основном макроекономском сценарију, стање дуга централног нивоа државе требало би да буде на нивоу од 53,0% БДП на крају 2025. године.</w:t>
      </w:r>
    </w:p>
    <w:p w14:paraId="15CF0E2F" w14:textId="77777777" w:rsidR="008B200E" w:rsidRPr="00092ED7" w:rsidRDefault="008B200E" w:rsidP="008B200E">
      <w:pPr>
        <w:spacing w:before="120" w:after="60"/>
        <w:rPr>
          <w:rFonts w:cs="Times New Roman"/>
          <w:szCs w:val="24"/>
          <w:lang w:val="sr-Cyrl-CS"/>
        </w:rPr>
      </w:pPr>
      <w:r w:rsidRPr="00092ED7">
        <w:rPr>
          <w:rFonts w:cs="Times New Roman"/>
          <w:szCs w:val="24"/>
          <w:lang w:val="sr-Cyrl-CS"/>
        </w:rPr>
        <w:t>Табела 11. Основна пројекција стања јавног дуга општег нивоа државе до 2025. године</w:t>
      </w:r>
    </w:p>
    <w:tbl>
      <w:tblPr>
        <w:tblStyle w:val="LightShading-Accent122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5268"/>
        <w:gridCol w:w="855"/>
        <w:gridCol w:w="967"/>
        <w:gridCol w:w="967"/>
        <w:gridCol w:w="959"/>
      </w:tblGrid>
      <w:tr w:rsidR="008B200E" w:rsidRPr="00092ED7" w14:paraId="143A7B0B" w14:textId="77777777" w:rsidTr="008B200E">
        <w:trPr>
          <w:cnfStyle w:val="100000000000" w:firstRow="1" w:lastRow="0" w:firstColumn="0" w:lastColumn="0" w:oddVBand="0" w:evenVBand="0" w:oddHBand="0" w:evenHBand="0" w:firstRowFirstColumn="0" w:firstRowLastColumn="0" w:lastRowFirstColumn="0" w:lastRowLastColumn="0"/>
          <w:trHeight w:val="280"/>
        </w:trPr>
        <w:tc>
          <w:tcPr>
            <w:tcW w:w="2922" w:type="pct"/>
            <w:tcBorders>
              <w:top w:val="none" w:sz="0" w:space="0" w:color="auto"/>
              <w:left w:val="none" w:sz="0" w:space="0" w:color="auto"/>
              <w:bottom w:val="none" w:sz="0" w:space="0" w:color="auto"/>
              <w:right w:val="none" w:sz="0" w:space="0" w:color="auto"/>
            </w:tcBorders>
            <w:noWrap/>
            <w:hideMark/>
          </w:tcPr>
          <w:p w14:paraId="435FECFA" w14:textId="77777777" w:rsidR="008B200E" w:rsidRPr="00092ED7" w:rsidRDefault="008B200E" w:rsidP="00A06946">
            <w:pPr>
              <w:spacing w:after="0" w:line="256" w:lineRule="auto"/>
              <w:jc w:val="left"/>
              <w:rPr>
                <w:rFonts w:ascii="Calibri" w:hAnsi="Calibri"/>
                <w:color w:val="auto"/>
                <w:sz w:val="20"/>
                <w:lang w:val="sr-Cyrl-CS"/>
              </w:rPr>
            </w:pPr>
          </w:p>
        </w:tc>
        <w:tc>
          <w:tcPr>
            <w:tcW w:w="474" w:type="pct"/>
            <w:tcBorders>
              <w:top w:val="none" w:sz="0" w:space="0" w:color="auto"/>
              <w:left w:val="none" w:sz="0" w:space="0" w:color="auto"/>
              <w:bottom w:val="none" w:sz="0" w:space="0" w:color="auto"/>
              <w:right w:val="none" w:sz="0" w:space="0" w:color="auto"/>
            </w:tcBorders>
            <w:noWrap/>
            <w:hideMark/>
          </w:tcPr>
          <w:p w14:paraId="52130CBC" w14:textId="77777777" w:rsidR="008B200E" w:rsidRPr="00092ED7" w:rsidRDefault="008B200E" w:rsidP="00A06946">
            <w:pPr>
              <w:spacing w:after="0"/>
              <w:jc w:val="right"/>
              <w:rPr>
                <w:color w:val="auto"/>
                <w:sz w:val="18"/>
                <w:szCs w:val="18"/>
                <w:lang w:val="sr-Cyrl-CS"/>
              </w:rPr>
            </w:pPr>
            <w:r w:rsidRPr="00092ED7">
              <w:rPr>
                <w:color w:val="auto"/>
                <w:sz w:val="18"/>
                <w:szCs w:val="18"/>
                <w:lang w:val="sr-Cyrl-CS"/>
              </w:rPr>
              <w:t>2022 п</w:t>
            </w:r>
          </w:p>
        </w:tc>
        <w:tc>
          <w:tcPr>
            <w:tcW w:w="536" w:type="pct"/>
            <w:tcBorders>
              <w:top w:val="none" w:sz="0" w:space="0" w:color="auto"/>
              <w:left w:val="none" w:sz="0" w:space="0" w:color="auto"/>
              <w:bottom w:val="none" w:sz="0" w:space="0" w:color="auto"/>
              <w:right w:val="none" w:sz="0" w:space="0" w:color="auto"/>
            </w:tcBorders>
            <w:noWrap/>
            <w:hideMark/>
          </w:tcPr>
          <w:p w14:paraId="3FDC60F0" w14:textId="77777777" w:rsidR="008B200E" w:rsidRPr="00092ED7" w:rsidRDefault="008B200E" w:rsidP="00A06946">
            <w:pPr>
              <w:spacing w:after="0"/>
              <w:jc w:val="right"/>
              <w:rPr>
                <w:color w:val="auto"/>
                <w:sz w:val="18"/>
                <w:szCs w:val="18"/>
                <w:lang w:val="sr-Cyrl-CS"/>
              </w:rPr>
            </w:pPr>
            <w:r w:rsidRPr="00092ED7">
              <w:rPr>
                <w:color w:val="auto"/>
                <w:sz w:val="18"/>
                <w:szCs w:val="18"/>
                <w:lang w:val="sr-Cyrl-CS"/>
              </w:rPr>
              <w:t>2023 п</w:t>
            </w:r>
          </w:p>
        </w:tc>
        <w:tc>
          <w:tcPr>
            <w:tcW w:w="536" w:type="pct"/>
            <w:tcBorders>
              <w:top w:val="none" w:sz="0" w:space="0" w:color="auto"/>
              <w:left w:val="none" w:sz="0" w:space="0" w:color="auto"/>
              <w:bottom w:val="none" w:sz="0" w:space="0" w:color="auto"/>
              <w:right w:val="none" w:sz="0" w:space="0" w:color="auto"/>
            </w:tcBorders>
            <w:noWrap/>
            <w:hideMark/>
          </w:tcPr>
          <w:p w14:paraId="047FAC76" w14:textId="77777777" w:rsidR="008B200E" w:rsidRPr="00092ED7" w:rsidRDefault="008B200E" w:rsidP="00A06946">
            <w:pPr>
              <w:spacing w:after="0"/>
              <w:jc w:val="right"/>
              <w:rPr>
                <w:color w:val="auto"/>
                <w:sz w:val="18"/>
                <w:szCs w:val="18"/>
                <w:lang w:val="sr-Cyrl-CS"/>
              </w:rPr>
            </w:pPr>
            <w:r w:rsidRPr="00092ED7">
              <w:rPr>
                <w:color w:val="auto"/>
                <w:sz w:val="18"/>
                <w:szCs w:val="18"/>
                <w:lang w:val="sr-Cyrl-CS"/>
              </w:rPr>
              <w:t>2024 п</w:t>
            </w:r>
          </w:p>
        </w:tc>
        <w:tc>
          <w:tcPr>
            <w:tcW w:w="532" w:type="pct"/>
            <w:tcBorders>
              <w:top w:val="none" w:sz="0" w:space="0" w:color="auto"/>
              <w:left w:val="none" w:sz="0" w:space="0" w:color="auto"/>
              <w:bottom w:val="none" w:sz="0" w:space="0" w:color="auto"/>
              <w:right w:val="none" w:sz="0" w:space="0" w:color="auto"/>
            </w:tcBorders>
            <w:noWrap/>
            <w:hideMark/>
          </w:tcPr>
          <w:p w14:paraId="3107D31B" w14:textId="77777777" w:rsidR="008B200E" w:rsidRPr="00092ED7" w:rsidRDefault="008B200E" w:rsidP="00A06946">
            <w:pPr>
              <w:spacing w:after="0"/>
              <w:jc w:val="right"/>
              <w:rPr>
                <w:color w:val="auto"/>
                <w:sz w:val="18"/>
                <w:szCs w:val="18"/>
                <w:lang w:val="sr-Cyrl-CS"/>
              </w:rPr>
            </w:pPr>
            <w:r w:rsidRPr="00092ED7">
              <w:rPr>
                <w:color w:val="auto"/>
                <w:sz w:val="18"/>
                <w:szCs w:val="18"/>
                <w:lang w:val="sr-Cyrl-CS"/>
              </w:rPr>
              <w:t>2025 п</w:t>
            </w:r>
          </w:p>
        </w:tc>
      </w:tr>
      <w:tr w:rsidR="008B200E" w:rsidRPr="00092ED7" w14:paraId="16034029" w14:textId="77777777" w:rsidTr="008B200E">
        <w:trPr>
          <w:cnfStyle w:val="000000100000" w:firstRow="0" w:lastRow="0" w:firstColumn="0" w:lastColumn="0" w:oddVBand="0" w:evenVBand="0" w:oddHBand="1" w:evenHBand="0" w:firstRowFirstColumn="0" w:firstRowLastColumn="0" w:lastRowFirstColumn="0" w:lastRowLastColumn="0"/>
          <w:trHeight w:val="20"/>
        </w:trPr>
        <w:tc>
          <w:tcPr>
            <w:tcW w:w="2922" w:type="pct"/>
            <w:tcBorders>
              <w:left w:val="none" w:sz="0" w:space="0" w:color="auto"/>
              <w:right w:val="none" w:sz="0" w:space="0" w:color="auto"/>
            </w:tcBorders>
            <w:shd w:val="clear" w:color="auto" w:fill="E7E6E6" w:themeFill="background2"/>
            <w:noWrap/>
            <w:hideMark/>
          </w:tcPr>
          <w:p w14:paraId="228F0C5F" w14:textId="77777777" w:rsidR="008B200E" w:rsidRPr="00092ED7" w:rsidRDefault="008B200E" w:rsidP="00A06946">
            <w:pPr>
              <w:spacing w:after="0"/>
              <w:jc w:val="left"/>
              <w:rPr>
                <w:bCs/>
                <w:color w:val="auto"/>
                <w:sz w:val="20"/>
                <w:lang w:val="sr-Cyrl-CS"/>
              </w:rPr>
            </w:pPr>
            <w:r w:rsidRPr="00092ED7">
              <w:rPr>
                <w:bCs/>
                <w:color w:val="auto"/>
                <w:sz w:val="20"/>
                <w:lang w:val="sr-Cyrl-CS"/>
              </w:rPr>
              <w:t>Јавни дуг (централни ниво власти), млрд РСД</w:t>
            </w:r>
          </w:p>
        </w:tc>
        <w:tc>
          <w:tcPr>
            <w:tcW w:w="474" w:type="pct"/>
            <w:tcBorders>
              <w:left w:val="none" w:sz="0" w:space="0" w:color="auto"/>
              <w:right w:val="none" w:sz="0" w:space="0" w:color="auto"/>
            </w:tcBorders>
            <w:shd w:val="clear" w:color="auto" w:fill="E7E6E6" w:themeFill="background2"/>
            <w:noWrap/>
          </w:tcPr>
          <w:p w14:paraId="64DA54E7" w14:textId="77777777" w:rsidR="008B200E" w:rsidRPr="00092ED7" w:rsidRDefault="008B200E" w:rsidP="00A06946">
            <w:pPr>
              <w:spacing w:after="0"/>
              <w:jc w:val="right"/>
              <w:rPr>
                <w:bCs/>
                <w:color w:val="auto"/>
                <w:sz w:val="20"/>
                <w:lang w:val="sr-Cyrl-CS"/>
              </w:rPr>
            </w:pPr>
            <w:r w:rsidRPr="00092ED7">
              <w:rPr>
                <w:bCs/>
                <w:color w:val="auto"/>
                <w:sz w:val="20"/>
                <w:lang w:val="sr-Cyrl-CS"/>
              </w:rPr>
              <w:t>3.973,9</w:t>
            </w:r>
          </w:p>
        </w:tc>
        <w:tc>
          <w:tcPr>
            <w:tcW w:w="536" w:type="pct"/>
            <w:tcBorders>
              <w:left w:val="none" w:sz="0" w:space="0" w:color="auto"/>
              <w:right w:val="none" w:sz="0" w:space="0" w:color="auto"/>
            </w:tcBorders>
            <w:shd w:val="clear" w:color="auto" w:fill="E7E6E6" w:themeFill="background2"/>
            <w:noWrap/>
          </w:tcPr>
          <w:p w14:paraId="26F80B32" w14:textId="77777777" w:rsidR="008B200E" w:rsidRPr="00092ED7" w:rsidRDefault="008B200E" w:rsidP="00A06946">
            <w:pPr>
              <w:spacing w:after="0"/>
              <w:jc w:val="right"/>
              <w:rPr>
                <w:bCs/>
                <w:color w:val="auto"/>
                <w:sz w:val="20"/>
                <w:lang w:val="sr-Cyrl-CS"/>
              </w:rPr>
            </w:pPr>
            <w:r w:rsidRPr="00092ED7">
              <w:rPr>
                <w:bCs/>
                <w:color w:val="auto"/>
                <w:sz w:val="20"/>
                <w:lang w:val="sr-Cyrl-CS"/>
              </w:rPr>
              <w:t>4.419,1</w:t>
            </w:r>
          </w:p>
        </w:tc>
        <w:tc>
          <w:tcPr>
            <w:tcW w:w="536" w:type="pct"/>
            <w:tcBorders>
              <w:left w:val="none" w:sz="0" w:space="0" w:color="auto"/>
              <w:right w:val="none" w:sz="0" w:space="0" w:color="auto"/>
            </w:tcBorders>
            <w:shd w:val="clear" w:color="auto" w:fill="E7E6E6" w:themeFill="background2"/>
            <w:noWrap/>
          </w:tcPr>
          <w:p w14:paraId="14D23883" w14:textId="77777777" w:rsidR="008B200E" w:rsidRPr="00092ED7" w:rsidRDefault="008B200E" w:rsidP="00A06946">
            <w:pPr>
              <w:spacing w:after="0"/>
              <w:jc w:val="right"/>
              <w:rPr>
                <w:bCs/>
                <w:color w:val="auto"/>
                <w:sz w:val="20"/>
                <w:lang w:val="sr-Cyrl-CS"/>
              </w:rPr>
            </w:pPr>
            <w:r w:rsidRPr="00092ED7">
              <w:rPr>
                <w:bCs/>
                <w:color w:val="auto"/>
                <w:sz w:val="20"/>
                <w:lang w:val="sr-Cyrl-CS"/>
              </w:rPr>
              <w:t>4.745,1</w:t>
            </w:r>
          </w:p>
        </w:tc>
        <w:tc>
          <w:tcPr>
            <w:tcW w:w="532" w:type="pct"/>
            <w:tcBorders>
              <w:left w:val="none" w:sz="0" w:space="0" w:color="auto"/>
              <w:right w:val="none" w:sz="0" w:space="0" w:color="auto"/>
            </w:tcBorders>
            <w:shd w:val="clear" w:color="auto" w:fill="E7E6E6" w:themeFill="background2"/>
            <w:noWrap/>
          </w:tcPr>
          <w:p w14:paraId="5FCEA7AB" w14:textId="77777777" w:rsidR="008B200E" w:rsidRPr="00092ED7" w:rsidRDefault="008B200E" w:rsidP="00A06946">
            <w:pPr>
              <w:spacing w:after="0"/>
              <w:jc w:val="right"/>
              <w:rPr>
                <w:bCs/>
                <w:color w:val="auto"/>
                <w:sz w:val="20"/>
                <w:lang w:val="sr-Cyrl-CS"/>
              </w:rPr>
            </w:pPr>
            <w:r w:rsidRPr="00092ED7">
              <w:rPr>
                <w:bCs/>
                <w:color w:val="auto"/>
                <w:sz w:val="20"/>
                <w:lang w:val="sr-Cyrl-CS"/>
              </w:rPr>
              <w:t>5.041,1</w:t>
            </w:r>
          </w:p>
        </w:tc>
      </w:tr>
      <w:tr w:rsidR="008B200E" w:rsidRPr="00092ED7" w14:paraId="2263FC6A" w14:textId="77777777" w:rsidTr="008B200E">
        <w:trPr>
          <w:trHeight w:val="20"/>
        </w:trPr>
        <w:tc>
          <w:tcPr>
            <w:tcW w:w="2922" w:type="pct"/>
            <w:hideMark/>
          </w:tcPr>
          <w:p w14:paraId="15C13419" w14:textId="77777777" w:rsidR="008B200E" w:rsidRPr="00092ED7" w:rsidRDefault="008B200E" w:rsidP="00A06946">
            <w:pPr>
              <w:spacing w:after="0"/>
              <w:jc w:val="left"/>
              <w:rPr>
                <w:bCs/>
                <w:color w:val="auto"/>
                <w:sz w:val="20"/>
                <w:lang w:val="sr-Cyrl-CS"/>
              </w:rPr>
            </w:pPr>
            <w:r w:rsidRPr="00092ED7">
              <w:rPr>
                <w:bCs/>
                <w:color w:val="auto"/>
                <w:sz w:val="20"/>
                <w:lang w:val="sr-Cyrl-CS"/>
              </w:rPr>
              <w:t>Дуг централне државе, у % БДП</w:t>
            </w:r>
          </w:p>
        </w:tc>
        <w:tc>
          <w:tcPr>
            <w:tcW w:w="474" w:type="pct"/>
            <w:noWrap/>
          </w:tcPr>
          <w:p w14:paraId="2FF85656" w14:textId="77777777" w:rsidR="008B200E" w:rsidRPr="00092ED7" w:rsidRDefault="008B200E" w:rsidP="00A06946">
            <w:pPr>
              <w:spacing w:after="0"/>
              <w:jc w:val="right"/>
              <w:rPr>
                <w:bCs/>
                <w:color w:val="auto"/>
                <w:sz w:val="20"/>
                <w:lang w:val="sr-Cyrl-CS"/>
              </w:rPr>
            </w:pPr>
            <w:r w:rsidRPr="00092ED7">
              <w:rPr>
                <w:bCs/>
                <w:color w:val="auto"/>
                <w:sz w:val="20"/>
                <w:lang w:val="sr-Cyrl-CS"/>
              </w:rPr>
              <w:t>56,1%</w:t>
            </w:r>
          </w:p>
        </w:tc>
        <w:tc>
          <w:tcPr>
            <w:tcW w:w="536" w:type="pct"/>
            <w:noWrap/>
          </w:tcPr>
          <w:p w14:paraId="6514DE02" w14:textId="77777777" w:rsidR="008B200E" w:rsidRPr="00092ED7" w:rsidRDefault="008B200E" w:rsidP="00A06946">
            <w:pPr>
              <w:spacing w:after="0"/>
              <w:jc w:val="right"/>
              <w:rPr>
                <w:bCs/>
                <w:color w:val="auto"/>
                <w:sz w:val="20"/>
                <w:lang w:val="sr-Cyrl-CS"/>
              </w:rPr>
            </w:pPr>
            <w:r w:rsidRPr="00092ED7">
              <w:rPr>
                <w:bCs/>
                <w:color w:val="auto"/>
                <w:sz w:val="20"/>
                <w:lang w:val="sr-Cyrl-CS"/>
              </w:rPr>
              <w:t>55,1%</w:t>
            </w:r>
          </w:p>
        </w:tc>
        <w:tc>
          <w:tcPr>
            <w:tcW w:w="536" w:type="pct"/>
            <w:noWrap/>
          </w:tcPr>
          <w:p w14:paraId="6C95D87A" w14:textId="77777777" w:rsidR="008B200E" w:rsidRPr="00092ED7" w:rsidRDefault="008B200E" w:rsidP="00A06946">
            <w:pPr>
              <w:spacing w:after="0"/>
              <w:jc w:val="right"/>
              <w:rPr>
                <w:bCs/>
                <w:color w:val="auto"/>
                <w:sz w:val="20"/>
                <w:lang w:val="sr-Cyrl-CS"/>
              </w:rPr>
            </w:pPr>
            <w:r w:rsidRPr="00092ED7">
              <w:rPr>
                <w:bCs/>
                <w:color w:val="auto"/>
                <w:sz w:val="20"/>
                <w:lang w:val="sr-Cyrl-CS"/>
              </w:rPr>
              <w:t>54,1%</w:t>
            </w:r>
          </w:p>
        </w:tc>
        <w:tc>
          <w:tcPr>
            <w:tcW w:w="532" w:type="pct"/>
            <w:noWrap/>
          </w:tcPr>
          <w:p w14:paraId="4B9EB3C9" w14:textId="77777777" w:rsidR="008B200E" w:rsidRPr="00092ED7" w:rsidRDefault="008B200E" w:rsidP="00A06946">
            <w:pPr>
              <w:spacing w:after="0"/>
              <w:jc w:val="right"/>
              <w:rPr>
                <w:bCs/>
                <w:color w:val="auto"/>
                <w:sz w:val="20"/>
                <w:lang w:val="sr-Cyrl-CS"/>
              </w:rPr>
            </w:pPr>
            <w:r w:rsidRPr="00092ED7">
              <w:rPr>
                <w:bCs/>
                <w:color w:val="auto"/>
                <w:sz w:val="20"/>
                <w:lang w:val="sr-Cyrl-CS"/>
              </w:rPr>
              <w:t>53,0%</w:t>
            </w:r>
          </w:p>
        </w:tc>
      </w:tr>
      <w:tr w:rsidR="008B200E" w:rsidRPr="00092ED7" w14:paraId="6A578DD3" w14:textId="77777777" w:rsidTr="008B200E">
        <w:trPr>
          <w:cnfStyle w:val="000000100000" w:firstRow="0" w:lastRow="0" w:firstColumn="0" w:lastColumn="0" w:oddVBand="0" w:evenVBand="0" w:oddHBand="1" w:evenHBand="0" w:firstRowFirstColumn="0" w:firstRowLastColumn="0" w:lastRowFirstColumn="0" w:lastRowLastColumn="0"/>
          <w:trHeight w:val="20"/>
        </w:trPr>
        <w:tc>
          <w:tcPr>
            <w:tcW w:w="2922" w:type="pct"/>
            <w:tcBorders>
              <w:left w:val="none" w:sz="0" w:space="0" w:color="auto"/>
              <w:right w:val="none" w:sz="0" w:space="0" w:color="auto"/>
            </w:tcBorders>
            <w:shd w:val="clear" w:color="auto" w:fill="E7E6E6" w:themeFill="background2"/>
            <w:hideMark/>
          </w:tcPr>
          <w:p w14:paraId="70D7328A" w14:textId="77777777" w:rsidR="008B200E" w:rsidRPr="00092ED7" w:rsidRDefault="008B200E" w:rsidP="00A06946">
            <w:pPr>
              <w:spacing w:after="0"/>
              <w:jc w:val="left"/>
              <w:rPr>
                <w:bCs/>
                <w:color w:val="auto"/>
                <w:sz w:val="20"/>
                <w:lang w:val="sr-Cyrl-CS"/>
              </w:rPr>
            </w:pPr>
            <w:r w:rsidRPr="00092ED7">
              <w:rPr>
                <w:bCs/>
                <w:color w:val="auto"/>
                <w:sz w:val="20"/>
                <w:lang w:val="sr-Cyrl-CS"/>
              </w:rPr>
              <w:t>Негарантовани дуг јединица локалне самоуправе*, у % БДП</w:t>
            </w:r>
          </w:p>
        </w:tc>
        <w:tc>
          <w:tcPr>
            <w:tcW w:w="474" w:type="pct"/>
            <w:tcBorders>
              <w:left w:val="none" w:sz="0" w:space="0" w:color="auto"/>
              <w:right w:val="none" w:sz="0" w:space="0" w:color="auto"/>
            </w:tcBorders>
            <w:shd w:val="clear" w:color="auto" w:fill="E7E6E6" w:themeFill="background2"/>
            <w:noWrap/>
          </w:tcPr>
          <w:p w14:paraId="0ABAD5A4" w14:textId="77777777" w:rsidR="008B200E" w:rsidRPr="00092ED7" w:rsidRDefault="008B200E" w:rsidP="00A06946">
            <w:pPr>
              <w:spacing w:after="0"/>
              <w:jc w:val="right"/>
              <w:rPr>
                <w:bCs/>
                <w:color w:val="auto"/>
                <w:sz w:val="20"/>
                <w:lang w:val="sr-Cyrl-CS"/>
              </w:rPr>
            </w:pPr>
            <w:r w:rsidRPr="00092ED7">
              <w:rPr>
                <w:bCs/>
                <w:color w:val="auto"/>
                <w:sz w:val="20"/>
                <w:lang w:val="sr-Cyrl-CS"/>
              </w:rPr>
              <w:t>0,8%</w:t>
            </w:r>
          </w:p>
        </w:tc>
        <w:tc>
          <w:tcPr>
            <w:tcW w:w="536" w:type="pct"/>
            <w:tcBorders>
              <w:left w:val="none" w:sz="0" w:space="0" w:color="auto"/>
              <w:right w:val="none" w:sz="0" w:space="0" w:color="auto"/>
            </w:tcBorders>
            <w:shd w:val="clear" w:color="auto" w:fill="E7E6E6" w:themeFill="background2"/>
            <w:noWrap/>
          </w:tcPr>
          <w:p w14:paraId="3CA2B1A5" w14:textId="77777777" w:rsidR="008B200E" w:rsidRPr="00092ED7" w:rsidRDefault="008B200E" w:rsidP="00A06946">
            <w:pPr>
              <w:spacing w:after="0"/>
              <w:jc w:val="right"/>
              <w:rPr>
                <w:bCs/>
                <w:color w:val="auto"/>
                <w:sz w:val="20"/>
                <w:lang w:val="sr-Cyrl-CS"/>
              </w:rPr>
            </w:pPr>
            <w:r w:rsidRPr="00092ED7">
              <w:rPr>
                <w:bCs/>
                <w:color w:val="auto"/>
                <w:sz w:val="20"/>
                <w:lang w:val="sr-Cyrl-CS"/>
              </w:rPr>
              <w:t>1,0%</w:t>
            </w:r>
          </w:p>
        </w:tc>
        <w:tc>
          <w:tcPr>
            <w:tcW w:w="536" w:type="pct"/>
            <w:tcBorders>
              <w:left w:val="none" w:sz="0" w:space="0" w:color="auto"/>
              <w:right w:val="none" w:sz="0" w:space="0" w:color="auto"/>
            </w:tcBorders>
            <w:shd w:val="clear" w:color="auto" w:fill="E7E6E6" w:themeFill="background2"/>
            <w:noWrap/>
          </w:tcPr>
          <w:p w14:paraId="4885E234" w14:textId="77777777" w:rsidR="008B200E" w:rsidRPr="00092ED7" w:rsidRDefault="008B200E" w:rsidP="00A06946">
            <w:pPr>
              <w:spacing w:after="0"/>
              <w:jc w:val="right"/>
              <w:rPr>
                <w:bCs/>
                <w:color w:val="auto"/>
                <w:sz w:val="20"/>
                <w:lang w:val="sr-Cyrl-CS"/>
              </w:rPr>
            </w:pPr>
            <w:r w:rsidRPr="00092ED7">
              <w:rPr>
                <w:bCs/>
                <w:color w:val="auto"/>
                <w:sz w:val="20"/>
                <w:lang w:val="sr-Cyrl-CS"/>
              </w:rPr>
              <w:t>1,0%</w:t>
            </w:r>
          </w:p>
        </w:tc>
        <w:tc>
          <w:tcPr>
            <w:tcW w:w="532" w:type="pct"/>
            <w:tcBorders>
              <w:left w:val="none" w:sz="0" w:space="0" w:color="auto"/>
              <w:right w:val="none" w:sz="0" w:space="0" w:color="auto"/>
            </w:tcBorders>
            <w:shd w:val="clear" w:color="auto" w:fill="E7E6E6" w:themeFill="background2"/>
            <w:noWrap/>
          </w:tcPr>
          <w:p w14:paraId="5343C7DF" w14:textId="77777777" w:rsidR="008B200E" w:rsidRPr="00092ED7" w:rsidRDefault="008B200E" w:rsidP="00A06946">
            <w:pPr>
              <w:spacing w:after="0"/>
              <w:jc w:val="right"/>
              <w:rPr>
                <w:bCs/>
                <w:color w:val="auto"/>
                <w:sz w:val="20"/>
                <w:lang w:val="sr-Cyrl-CS"/>
              </w:rPr>
            </w:pPr>
            <w:r w:rsidRPr="00092ED7">
              <w:rPr>
                <w:bCs/>
                <w:color w:val="auto"/>
                <w:sz w:val="20"/>
                <w:lang w:val="sr-Cyrl-CS"/>
              </w:rPr>
              <w:t>1,0%</w:t>
            </w:r>
          </w:p>
        </w:tc>
      </w:tr>
      <w:tr w:rsidR="008B200E" w:rsidRPr="00092ED7" w14:paraId="1A995A42" w14:textId="77777777" w:rsidTr="008B200E">
        <w:trPr>
          <w:trHeight w:val="20"/>
        </w:trPr>
        <w:tc>
          <w:tcPr>
            <w:tcW w:w="2922" w:type="pct"/>
            <w:hideMark/>
          </w:tcPr>
          <w:p w14:paraId="3BE8D35C" w14:textId="77777777" w:rsidR="008B200E" w:rsidRPr="00092ED7" w:rsidRDefault="008B200E" w:rsidP="00A06946">
            <w:pPr>
              <w:spacing w:after="0"/>
              <w:jc w:val="left"/>
              <w:rPr>
                <w:bCs/>
                <w:color w:val="auto"/>
                <w:sz w:val="20"/>
                <w:lang w:val="sr-Cyrl-CS"/>
              </w:rPr>
            </w:pPr>
            <w:r w:rsidRPr="00092ED7">
              <w:rPr>
                <w:bCs/>
                <w:color w:val="auto"/>
                <w:sz w:val="20"/>
                <w:lang w:val="sr-Cyrl-CS"/>
              </w:rPr>
              <w:t>Дуг опште државе, у % БДП</w:t>
            </w:r>
          </w:p>
        </w:tc>
        <w:tc>
          <w:tcPr>
            <w:tcW w:w="474" w:type="pct"/>
            <w:noWrap/>
          </w:tcPr>
          <w:p w14:paraId="6E0145FD" w14:textId="77777777" w:rsidR="008B200E" w:rsidRPr="00092ED7" w:rsidRDefault="008B200E" w:rsidP="00A06946">
            <w:pPr>
              <w:spacing w:after="0"/>
              <w:jc w:val="right"/>
              <w:rPr>
                <w:bCs/>
                <w:color w:val="auto"/>
                <w:sz w:val="20"/>
                <w:lang w:val="sr-Cyrl-CS"/>
              </w:rPr>
            </w:pPr>
            <w:r w:rsidRPr="00092ED7">
              <w:rPr>
                <w:bCs/>
                <w:color w:val="auto"/>
                <w:sz w:val="20"/>
                <w:lang w:val="sr-Cyrl-CS"/>
              </w:rPr>
              <w:t>56,9%</w:t>
            </w:r>
          </w:p>
        </w:tc>
        <w:tc>
          <w:tcPr>
            <w:tcW w:w="536" w:type="pct"/>
            <w:noWrap/>
          </w:tcPr>
          <w:p w14:paraId="41E6E562" w14:textId="77777777" w:rsidR="008B200E" w:rsidRPr="00092ED7" w:rsidRDefault="008B200E" w:rsidP="00A06946">
            <w:pPr>
              <w:spacing w:after="0"/>
              <w:jc w:val="right"/>
              <w:rPr>
                <w:bCs/>
                <w:color w:val="auto"/>
                <w:sz w:val="20"/>
                <w:lang w:val="sr-Cyrl-CS"/>
              </w:rPr>
            </w:pPr>
            <w:r w:rsidRPr="00092ED7">
              <w:rPr>
                <w:bCs/>
                <w:color w:val="auto"/>
                <w:sz w:val="20"/>
                <w:lang w:val="sr-Cyrl-CS"/>
              </w:rPr>
              <w:t>56,1%</w:t>
            </w:r>
          </w:p>
        </w:tc>
        <w:tc>
          <w:tcPr>
            <w:tcW w:w="536" w:type="pct"/>
            <w:noWrap/>
          </w:tcPr>
          <w:p w14:paraId="51FABEC9" w14:textId="77777777" w:rsidR="008B200E" w:rsidRPr="00092ED7" w:rsidRDefault="008B200E" w:rsidP="00A06946">
            <w:pPr>
              <w:spacing w:after="0"/>
              <w:jc w:val="right"/>
              <w:rPr>
                <w:bCs/>
                <w:color w:val="auto"/>
                <w:sz w:val="20"/>
                <w:lang w:val="sr-Cyrl-CS"/>
              </w:rPr>
            </w:pPr>
            <w:r w:rsidRPr="00092ED7">
              <w:rPr>
                <w:bCs/>
                <w:color w:val="auto"/>
                <w:sz w:val="20"/>
                <w:lang w:val="sr-Cyrl-CS"/>
              </w:rPr>
              <w:t>55,1%</w:t>
            </w:r>
          </w:p>
        </w:tc>
        <w:tc>
          <w:tcPr>
            <w:tcW w:w="532" w:type="pct"/>
            <w:noWrap/>
          </w:tcPr>
          <w:p w14:paraId="1B760B39" w14:textId="77777777" w:rsidR="008B200E" w:rsidRPr="00092ED7" w:rsidRDefault="008B200E" w:rsidP="00A06946">
            <w:pPr>
              <w:spacing w:after="0"/>
              <w:jc w:val="right"/>
              <w:rPr>
                <w:bCs/>
                <w:color w:val="auto"/>
                <w:sz w:val="20"/>
                <w:lang w:val="sr-Cyrl-CS"/>
              </w:rPr>
            </w:pPr>
            <w:r w:rsidRPr="00092ED7">
              <w:rPr>
                <w:bCs/>
                <w:color w:val="auto"/>
                <w:sz w:val="20"/>
                <w:lang w:val="sr-Cyrl-CS"/>
              </w:rPr>
              <w:t>54,0%</w:t>
            </w:r>
          </w:p>
        </w:tc>
      </w:tr>
    </w:tbl>
    <w:p w14:paraId="08285392" w14:textId="77777777" w:rsidR="008B200E" w:rsidRPr="00092ED7" w:rsidRDefault="008B200E" w:rsidP="008B200E">
      <w:pPr>
        <w:spacing w:before="60" w:after="40"/>
        <w:rPr>
          <w:rFonts w:cs="Times New Roman"/>
          <w:sz w:val="16"/>
          <w:szCs w:val="16"/>
          <w:lang w:val="sr-Cyrl-CS" w:eastAsia="ja-JP"/>
        </w:rPr>
      </w:pPr>
      <w:r w:rsidRPr="00092ED7">
        <w:rPr>
          <w:rFonts w:cs="Times New Roman"/>
          <w:sz w:val="16"/>
          <w:szCs w:val="16"/>
          <w:lang w:val="sr-Cyrl-CS" w:eastAsia="ja-JP"/>
        </w:rPr>
        <w:t>*и осталог сектора државе</w:t>
      </w:r>
    </w:p>
    <w:p w14:paraId="0E1AC75B" w14:textId="77777777" w:rsidR="008B200E" w:rsidRPr="00092ED7" w:rsidRDefault="008B200E" w:rsidP="008B200E">
      <w:pPr>
        <w:spacing w:before="60"/>
        <w:rPr>
          <w:rFonts w:cs="Times New Roman"/>
          <w:sz w:val="18"/>
          <w:szCs w:val="18"/>
          <w:lang w:val="sr-Cyrl-CS" w:eastAsia="ja-JP"/>
        </w:rPr>
      </w:pPr>
      <w:r w:rsidRPr="00092ED7">
        <w:rPr>
          <w:rFonts w:cs="Times New Roman"/>
          <w:sz w:val="18"/>
          <w:szCs w:val="18"/>
          <w:lang w:val="sr-Cyrl-CS" w:eastAsia="ja-JP"/>
        </w:rPr>
        <w:t>Извор: Министарство финансија</w:t>
      </w:r>
    </w:p>
    <w:p w14:paraId="345EB431" w14:textId="77777777" w:rsidR="008B200E" w:rsidRPr="00092ED7" w:rsidRDefault="008B200E" w:rsidP="008B200E">
      <w:pPr>
        <w:spacing w:after="60"/>
        <w:rPr>
          <w:rFonts w:eastAsia="MS PGothic" w:cs="Times New Roman"/>
          <w:strike/>
          <w:szCs w:val="24"/>
          <w:lang w:val="sr-Cyrl-CS" w:eastAsia="ja-JP"/>
        </w:rPr>
      </w:pPr>
      <w:r w:rsidRPr="00092ED7">
        <w:rPr>
          <w:rFonts w:eastAsia="MS PGothic" w:cs="Times New Roman"/>
          <w:szCs w:val="24"/>
          <w:lang w:val="sr-Cyrl-CS" w:eastAsia="ja-JP"/>
        </w:rPr>
        <w:lastRenderedPageBreak/>
        <w:t>Предвиђа се да ће негарантовани дуг локалног нивоа власти бити на нивоу од око 1,0% БДП до краја 2025. На крају 2025. године стање јавног дуга општег нивоа државе требало би да буде на нивоу од 54,0% БДП.</w:t>
      </w:r>
    </w:p>
    <w:p w14:paraId="3033963E" w14:textId="3914C2D0" w:rsidR="008B200E" w:rsidRPr="00092ED7" w:rsidRDefault="008B200E" w:rsidP="008B200E">
      <w:pPr>
        <w:spacing w:after="60"/>
        <w:rPr>
          <w:rFonts w:eastAsia="MS PGothic" w:cs="Times New Roman"/>
          <w:szCs w:val="24"/>
          <w:lang w:val="sr-Cyrl-CS" w:eastAsia="ja-JP"/>
        </w:rPr>
      </w:pPr>
      <w:r w:rsidRPr="00092ED7">
        <w:rPr>
          <w:rFonts w:eastAsia="MS PGothic" w:cs="Times New Roman"/>
          <w:szCs w:val="24"/>
          <w:lang w:val="sr-Cyrl-CS" w:eastAsia="ja-JP"/>
        </w:rPr>
        <w:t xml:space="preserve">Финансијски и фискални ризици могу довести до раста јавног дуга већег </w:t>
      </w:r>
      <w:r w:rsidR="006D2688" w:rsidRPr="00092ED7">
        <w:rPr>
          <w:rFonts w:eastAsia="MS PGothic" w:cs="Times New Roman"/>
          <w:szCs w:val="24"/>
          <w:lang w:val="sr-Cyrl-CS" w:eastAsia="ja-JP"/>
        </w:rPr>
        <w:t>од</w:t>
      </w:r>
      <w:r w:rsidRPr="00092ED7">
        <w:rPr>
          <w:rFonts w:eastAsia="MS PGothic" w:cs="Times New Roman"/>
          <w:szCs w:val="24"/>
          <w:lang w:val="sr-Cyrl-CS" w:eastAsia="ja-JP"/>
        </w:rPr>
        <w:t>предвиђ</w:t>
      </w:r>
      <w:r w:rsidR="006D2688" w:rsidRPr="00092ED7">
        <w:rPr>
          <w:rFonts w:eastAsia="MS PGothic" w:cs="Times New Roman"/>
          <w:szCs w:val="24"/>
          <w:lang w:val="sr-Cyrl-CS" w:eastAsia="ja-JP"/>
        </w:rPr>
        <w:t>еног</w:t>
      </w:r>
      <w:r w:rsidRPr="00092ED7">
        <w:rPr>
          <w:rFonts w:eastAsia="MS PGothic" w:cs="Times New Roman"/>
          <w:szCs w:val="24"/>
          <w:lang w:val="sr-Cyrl-CS" w:eastAsia="ja-JP"/>
        </w:rPr>
        <w:t xml:space="preserve"> основни</w:t>
      </w:r>
      <w:r w:rsidR="006D2688" w:rsidRPr="00092ED7">
        <w:rPr>
          <w:rFonts w:eastAsia="MS PGothic" w:cs="Times New Roman"/>
          <w:szCs w:val="24"/>
          <w:lang w:val="sr-Cyrl-CS" w:eastAsia="ja-JP"/>
        </w:rPr>
        <w:t>м</w:t>
      </w:r>
      <w:r w:rsidRPr="00092ED7">
        <w:rPr>
          <w:rFonts w:eastAsia="MS PGothic" w:cs="Times New Roman"/>
          <w:szCs w:val="24"/>
          <w:lang w:val="sr-Cyrl-CS" w:eastAsia="ja-JP"/>
        </w:rPr>
        <w:t xml:space="preserve"> сценари</w:t>
      </w:r>
      <w:r w:rsidR="006D2688" w:rsidRPr="00092ED7">
        <w:rPr>
          <w:rFonts w:eastAsia="MS PGothic" w:cs="Times New Roman"/>
          <w:szCs w:val="24"/>
          <w:lang w:val="sr-Cyrl-CS" w:eastAsia="ja-JP"/>
        </w:rPr>
        <w:t>јем</w:t>
      </w:r>
      <w:r w:rsidRPr="00092ED7">
        <w:rPr>
          <w:rFonts w:eastAsia="MS PGothic" w:cs="Times New Roman"/>
          <w:szCs w:val="24"/>
          <w:lang w:val="sr-Cyrl-CS" w:eastAsia="ja-JP"/>
        </w:rPr>
        <w:t>. Ризици који су присутни и који могу да доведу до раста задужености и трошкова сервисирања јавног дуга су: ризик рефинансирања, девизни ризик, тржишни ризик (ризик каматних стопа, ризик инфлације), ризик ликвидности, кредитни и оперативни ризици и ризици везани за дистрибуцију трошкова сервисирања (структура дуга, концентрација обавеза).</w:t>
      </w:r>
    </w:p>
    <w:p w14:paraId="46178537" w14:textId="77777777" w:rsidR="008B200E" w:rsidRPr="00092ED7" w:rsidRDefault="008B200E" w:rsidP="008B200E">
      <w:pPr>
        <w:spacing w:after="60"/>
        <w:rPr>
          <w:rFonts w:eastAsia="MS PGothic" w:cs="Times New Roman"/>
          <w:szCs w:val="24"/>
          <w:lang w:val="sr-Cyrl-CS" w:eastAsia="ja-JP"/>
        </w:rPr>
      </w:pPr>
      <w:r w:rsidRPr="00092ED7">
        <w:rPr>
          <w:rFonts w:eastAsia="MS PGothic" w:cs="Times New Roman"/>
          <w:szCs w:val="24"/>
          <w:lang w:val="sr-Cyrl-CS" w:eastAsia="ja-JP"/>
        </w:rPr>
        <w:t>Због високог учешћа дуга деноминованог у страној валути (74,6%), евидентно је да ће девизни ризик детерминисати понашање рација јавни дуг/БДП у наредном периоду и битно условљавати успех мера фискалне политике на консолидацији јавних финансија и смањењу учешћа јавног дуга у БДП-у.</w:t>
      </w:r>
    </w:p>
    <w:p w14:paraId="0F5E6DC5" w14:textId="77777777" w:rsidR="008B200E" w:rsidRPr="00092ED7" w:rsidRDefault="008B200E" w:rsidP="008B200E">
      <w:pPr>
        <w:spacing w:before="120" w:after="60"/>
        <w:jc w:val="left"/>
        <w:rPr>
          <w:rFonts w:eastAsia="MS PGothic" w:cs="Times New Roman"/>
          <w:bCs/>
          <w:szCs w:val="24"/>
          <w:lang w:val="sr-Cyrl-CS" w:eastAsia="ja-JP"/>
        </w:rPr>
      </w:pPr>
      <w:r w:rsidRPr="00092ED7">
        <w:rPr>
          <w:rFonts w:eastAsia="MS PGothic" w:cs="Times New Roman"/>
          <w:bCs/>
          <w:szCs w:val="24"/>
          <w:lang w:val="sr-Cyrl-CS" w:eastAsia="ja-JP"/>
        </w:rPr>
        <w:t>Графикон 13. Утицај промена курса динара према корпи валута из портфолија јавног дуга на промену рацио јавног дуга и БДП – Централни ниво власти</w:t>
      </w:r>
    </w:p>
    <w:p w14:paraId="34A5C96D" w14:textId="77777777" w:rsidR="008B200E" w:rsidRPr="00092ED7" w:rsidRDefault="008B200E" w:rsidP="008B200E">
      <w:pPr>
        <w:jc w:val="left"/>
        <w:rPr>
          <w:rFonts w:eastAsia="MS PGothic" w:cs="Times New Roman"/>
          <w:bCs/>
          <w:szCs w:val="24"/>
          <w:lang w:val="sr-Cyrl-CS" w:eastAsia="ja-JP"/>
        </w:rPr>
      </w:pPr>
      <w:r w:rsidRPr="00092ED7">
        <w:rPr>
          <w:rFonts w:asciiTheme="minorHAnsi" w:hAnsiTheme="minorHAnsi"/>
          <w:noProof/>
          <w:sz w:val="22"/>
        </w:rPr>
        <w:drawing>
          <wp:inline distT="0" distB="0" distL="0" distR="0" wp14:anchorId="670E0536" wp14:editId="1FEADDCF">
            <wp:extent cx="5676900" cy="2762250"/>
            <wp:effectExtent l="0" t="0" r="0" b="0"/>
            <wp:docPr id="59" name="Chart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572D308A" w14:textId="77777777" w:rsidR="008B200E" w:rsidRPr="00092ED7" w:rsidRDefault="008B200E" w:rsidP="008B200E">
      <w:pPr>
        <w:spacing w:before="60"/>
        <w:rPr>
          <w:rFonts w:eastAsia="Calibri" w:cs="Times New Roman"/>
          <w:bCs/>
          <w:sz w:val="18"/>
          <w:szCs w:val="18"/>
          <w:lang w:val="sr-Cyrl-CS"/>
        </w:rPr>
      </w:pPr>
      <w:r w:rsidRPr="00092ED7">
        <w:rPr>
          <w:rFonts w:eastAsia="Calibri" w:cs="Times New Roman"/>
          <w:bCs/>
          <w:sz w:val="18"/>
          <w:szCs w:val="18"/>
          <w:lang w:val="sr-Cyrl-CS"/>
        </w:rPr>
        <w:t>Извор: Министарство финансија</w:t>
      </w:r>
    </w:p>
    <w:p w14:paraId="7BAC0515" w14:textId="77777777" w:rsidR="008B200E" w:rsidRPr="00092ED7" w:rsidRDefault="008B200E" w:rsidP="008B200E">
      <w:pPr>
        <w:spacing w:after="60"/>
        <w:rPr>
          <w:rFonts w:cs="Times New Roman"/>
          <w:szCs w:val="24"/>
          <w:lang w:val="sr-Cyrl-CS"/>
        </w:rPr>
      </w:pPr>
      <w:r w:rsidRPr="00092ED7">
        <w:rPr>
          <w:rFonts w:cs="Times New Roman"/>
          <w:szCs w:val="24"/>
          <w:lang w:val="sr-Cyrl-CS"/>
        </w:rPr>
        <w:t>На графикону је представљено кретање рација јавног дуга централног нивоа државе и БДП-а у зависности од промене курса динара према одређеној корпи валута. Приказана је основна пројекција са алтернативним сценаријима у зависности од апрецијације, односно депрецијације курса динара у распону од 10% апрецијације до 10% депрецијације динара у односу на корпу валута. Применом наведених сценарија може се видети да би се рацио за 2025. годину кретао у распону од 49,0% до 56,9%, док би за основни сценарио био на нивоу од 53,0%.</w:t>
      </w:r>
    </w:p>
    <w:p w14:paraId="114BE680" w14:textId="77777777" w:rsidR="008B200E" w:rsidRPr="00092ED7" w:rsidRDefault="008B200E" w:rsidP="008B200E">
      <w:pPr>
        <w:spacing w:after="60"/>
        <w:rPr>
          <w:rFonts w:cs="Times New Roman"/>
          <w:szCs w:val="24"/>
          <w:lang w:val="sr-Cyrl-CS"/>
        </w:rPr>
      </w:pPr>
      <w:r w:rsidRPr="00092ED7">
        <w:rPr>
          <w:rFonts w:cs="Times New Roman"/>
          <w:szCs w:val="24"/>
          <w:lang w:val="sr-Cyrl-CS"/>
        </w:rPr>
        <w:t>У циљу смањивања изложености варијабилним каматним стопама, уговарање нових обавеза се врши по фиксним каматним стопама, тамо где је то могуће, а поготову у домену зајмова намењених за финансирање инвестиционих пројеката.</w:t>
      </w:r>
    </w:p>
    <w:p w14:paraId="27D67752" w14:textId="4681B13D" w:rsidR="008B200E" w:rsidRPr="00092ED7" w:rsidRDefault="008B200E" w:rsidP="00E255B1">
      <w:pPr>
        <w:spacing w:after="60"/>
        <w:rPr>
          <w:rFonts w:cs="Times New Roman"/>
          <w:szCs w:val="24"/>
          <w:lang w:val="sr-Cyrl-CS"/>
        </w:rPr>
      </w:pPr>
      <w:r w:rsidRPr="00092ED7">
        <w:rPr>
          <w:rFonts w:cs="Times New Roman"/>
          <w:szCs w:val="24"/>
          <w:lang w:val="sr-Cyrl-CS"/>
        </w:rPr>
        <w:t>У циљу оптимизације портфолија и ефикаснијег управљања јавним дугом, урађена је анализа трошкова и ризика алтернативних стратегија задуживања, применом модела Светске банке (Medium Term Debt Strategy Model – MTDS), у условима основног сценариjа, али и у условима шокова који могу довести до промене основног сценариjа: девизни курс, промена каматних стопа на међународном и домаћем тржишту, ко</w:t>
      </w:r>
      <w:r w:rsidR="00BF57C3" w:rsidRPr="00092ED7">
        <w:rPr>
          <w:rFonts w:cs="Times New Roman"/>
          <w:szCs w:val="24"/>
          <w:lang w:val="sr-Cyrl-CS"/>
        </w:rPr>
        <w:t>м</w:t>
      </w:r>
      <w:r w:rsidRPr="00092ED7">
        <w:rPr>
          <w:rFonts w:cs="Times New Roman"/>
          <w:szCs w:val="24"/>
          <w:lang w:val="sr-Cyrl-CS"/>
        </w:rPr>
        <w:t>биновани шок.</w:t>
      </w:r>
    </w:p>
    <w:p w14:paraId="69AC4ED1" w14:textId="77777777" w:rsidR="008B200E" w:rsidRPr="00092ED7" w:rsidRDefault="008B200E" w:rsidP="00E255B1">
      <w:pPr>
        <w:spacing w:after="60"/>
        <w:rPr>
          <w:rFonts w:cs="Times New Roman"/>
          <w:szCs w:val="24"/>
          <w:lang w:val="sr-Cyrl-CS"/>
        </w:rPr>
      </w:pPr>
      <w:r w:rsidRPr="00092ED7">
        <w:rPr>
          <w:rFonts w:cs="Times New Roman"/>
          <w:szCs w:val="24"/>
          <w:lang w:val="sr-Cyrl-CS"/>
        </w:rPr>
        <w:lastRenderedPageBreak/>
        <w:t>Стратегија управљања јавним дугом у наредном средњорочном периоду полази од претпоставке да ће финансирање бити обезбеђено задуживањем и на домаћем и на међународном финансијском тржишту. Флексибилност у домену избора тржишта на коме ће се вршити задуживање, валуте задуживања и инструмента финансирања један је од неопходних услова како би финансирање издатака буџета Републике Србије било обезбеђено. Одлука о годишњем задуживању се доноси у оквиру закона о буџету за одређену фискалну годину. У зависности од промене основних фискалних агрегата могућа је корекција плана задуживања током фискалне године.</w:t>
      </w:r>
    </w:p>
    <w:p w14:paraId="12589373" w14:textId="05BB1AFB" w:rsidR="008B200E" w:rsidRPr="00092ED7" w:rsidRDefault="008B200E" w:rsidP="008B200E">
      <w:pPr>
        <w:spacing w:after="60"/>
        <w:rPr>
          <w:rFonts w:cs="Times New Roman"/>
          <w:szCs w:val="24"/>
          <w:lang w:val="sr-Cyrl-CS"/>
        </w:rPr>
      </w:pPr>
      <w:bookmarkStart w:id="27" w:name="_Toc530635112"/>
      <w:bookmarkEnd w:id="27"/>
      <w:r w:rsidRPr="00092ED7">
        <w:rPr>
          <w:rFonts w:cs="Times New Roman"/>
          <w:szCs w:val="24"/>
          <w:lang w:val="sr-Cyrl-CS"/>
        </w:rPr>
        <w:t xml:space="preserve">Током 2022. године активно се радило на усаглашавању законске регулативе и </w:t>
      </w:r>
      <w:r w:rsidR="00187A88" w:rsidRPr="00092ED7">
        <w:rPr>
          <w:rFonts w:cs="Times New Roman"/>
          <w:szCs w:val="24"/>
          <w:lang w:val="sr-Cyrl-CS"/>
        </w:rPr>
        <w:t xml:space="preserve">информационо-технолошке </w:t>
      </w:r>
      <w:r w:rsidRPr="00092ED7">
        <w:rPr>
          <w:rFonts w:cs="Times New Roman"/>
          <w:szCs w:val="24"/>
          <w:lang w:val="sr-Cyrl-CS"/>
        </w:rPr>
        <w:t>инфраструктуре за успостављање међународног линка (i-Link) између Централног регистра, депоа и клиринга хартија од вредности и Euroclear банке, како би се почетком 2023. године олакшале трансакције салдирања државних бенчмарк обвезница преко Euroclear провајдера пост трговинских трансакција. Основне предности приступања Euroclear систему су ширење базе инвеститора кроз лакшу доступност домаћих хартија од вредности страним инвеститорима, што даље смањује трошкове у редукованом ланцу учесника куповине хартија од вредности, а тиме и пад приноса на хартије и ниже трошкове задуживања емитента. Такође, повећава се ликвидност секундарног тржишта ширењем базе инвеститора.</w:t>
      </w:r>
    </w:p>
    <w:p w14:paraId="6B1D6F5A" w14:textId="77777777" w:rsidR="005F26DA" w:rsidRPr="00092ED7" w:rsidRDefault="00735870" w:rsidP="00063909">
      <w:pPr>
        <w:pStyle w:val="Heading2"/>
        <w:spacing w:before="120" w:after="120"/>
        <w:rPr>
          <w:rFonts w:ascii="Times New Roman" w:eastAsia="Calibri" w:hAnsi="Times New Roman" w:cs="Times New Roman"/>
          <w:b/>
          <w:color w:val="auto"/>
          <w:sz w:val="24"/>
          <w:szCs w:val="24"/>
          <w:lang w:val="sr-Cyrl-CS"/>
        </w:rPr>
      </w:pPr>
      <w:bookmarkStart w:id="28" w:name="_Toc124174799"/>
      <w:r w:rsidRPr="00092ED7">
        <w:rPr>
          <w:rFonts w:ascii="Times New Roman" w:eastAsia="Calibri" w:hAnsi="Times New Roman" w:cs="Times New Roman"/>
          <w:b/>
          <w:color w:val="auto"/>
          <w:sz w:val="24"/>
          <w:szCs w:val="24"/>
          <w:lang w:val="sr-Cyrl-CS"/>
        </w:rPr>
        <w:t>4.</w:t>
      </w:r>
      <w:r w:rsidR="005F26DA" w:rsidRPr="00092ED7">
        <w:rPr>
          <w:rFonts w:ascii="Times New Roman" w:eastAsia="Calibri" w:hAnsi="Times New Roman" w:cs="Times New Roman"/>
          <w:b/>
          <w:color w:val="auto"/>
          <w:sz w:val="24"/>
          <w:szCs w:val="24"/>
          <w:lang w:val="sr-Cyrl-CS"/>
        </w:rPr>
        <w:t>6. АНАЛИЗА ОСЕТЉИВОСТИ И ПОРЕЂЕЊЕ СА ПРЕТХОДНИМ ПРОГРАМОМ</w:t>
      </w:r>
      <w:bookmarkEnd w:id="28"/>
    </w:p>
    <w:p w14:paraId="6345C1F6" w14:textId="77777777" w:rsidR="008B200E" w:rsidRPr="00092ED7" w:rsidRDefault="008B200E" w:rsidP="008B200E">
      <w:pPr>
        <w:spacing w:after="60"/>
        <w:rPr>
          <w:rFonts w:eastAsia="MS PGothic" w:cstheme="minorHAnsi"/>
          <w:szCs w:val="20"/>
          <w:lang w:val="sr-Cyrl-CS" w:eastAsia="ja-JP"/>
        </w:rPr>
      </w:pPr>
      <w:r w:rsidRPr="00092ED7">
        <w:rPr>
          <w:rFonts w:eastAsia="MS PGothic" w:cstheme="minorHAnsi"/>
          <w:szCs w:val="20"/>
          <w:lang w:val="sr-Cyrl-CS" w:eastAsia="ja-JP"/>
        </w:rPr>
        <w:t>Фискални ризици представљају изложеност јавних финансија одређеним околностима које могу проузроковати одступања од пројектованог фискалног оквира. До одступања може доћи у приходима, расходима, фискалном резултату, као и у имовини и обавезама државе, у односу на оно што је планирано и очекивано. На спољашње ризике, попут природних катастрофа или глобалних финансијских криза, Влада не може да утиче, али могуће је дефинисати излазне стратегије које би ублажиле њихово дејство (очување стабилности у добрим временима како би у условима рецесије или кризе фискална политика имала простора за адекватан одговор, осигурање у случају природних катастрофа и сл.). Унутрашњи ризици, односно њихова материјализација последица су активности у јавном сектору, те се на вероватноћу њихове реализације може утицати одлукама и политикама Владе.</w:t>
      </w:r>
    </w:p>
    <w:p w14:paraId="062ED45C" w14:textId="77777777" w:rsidR="008B200E" w:rsidRPr="00092ED7" w:rsidRDefault="008B200E" w:rsidP="008B200E">
      <w:pPr>
        <w:spacing w:after="60"/>
        <w:rPr>
          <w:rFonts w:eastAsia="MS PGothic" w:cstheme="minorHAnsi"/>
          <w:szCs w:val="20"/>
          <w:lang w:val="sr-Cyrl-CS" w:eastAsia="ja-JP"/>
        </w:rPr>
      </w:pPr>
      <w:r w:rsidRPr="00092ED7">
        <w:rPr>
          <w:rFonts w:eastAsia="MS PGothic" w:cstheme="minorHAnsi"/>
          <w:szCs w:val="20"/>
          <w:lang w:val="sr-Cyrl-CS" w:eastAsia="ja-JP"/>
        </w:rPr>
        <w:t>Идентификација највећих фискалних ризика који могу утицати на државне финансије у средњем року полазна је тачка у бољем управљању фискалним ризицима. О одређеним фискалним ризицима постоје детаљни подаци и лако се може идентификовати да ли ће и са коликом вероватноћом утицати на фискалне агрегате у средњем року. За друге, пак, не постоје довољно детаљни подаци, али и само њихово идентификовање подиже свест о могућности да у наредном периоду доведу до одступања од планираног фискалног оквира.</w:t>
      </w:r>
    </w:p>
    <w:p w14:paraId="4D9586AB" w14:textId="77777777" w:rsidR="008B200E" w:rsidRPr="00092ED7" w:rsidRDefault="008B200E" w:rsidP="008B200E">
      <w:pPr>
        <w:spacing w:after="60"/>
        <w:rPr>
          <w:rFonts w:eastAsia="MS PGothic" w:cstheme="minorHAnsi"/>
          <w:szCs w:val="20"/>
          <w:lang w:val="sr-Cyrl-CS" w:eastAsia="ja-JP"/>
        </w:rPr>
      </w:pPr>
      <w:r w:rsidRPr="00092ED7">
        <w:rPr>
          <w:rFonts w:eastAsia="MS PGothic" w:cstheme="minorHAnsi"/>
          <w:szCs w:val="20"/>
          <w:lang w:val="sr-Cyrl-CS" w:eastAsia="ja-JP"/>
        </w:rPr>
        <w:t xml:space="preserve">Министарство финансија има водећу улогу у управљању фискалним ризицима. Као кључна институција за средњорочно макроекономско и фискално планирање, формулацију и управљање буџетом, Министарство финансија мора имати и водећу улогу у успостављању институционалне и законске структуре, те изградњи капацитета неопходних за управљање фискалним ризицима. Сектор за праћење фискалних ризика, организациона јединица за управљање фискалним ризицима у Министарству финансија, основан је са циљем да ради на јачању законске регулативе и методолошког оквира, изградњи капацитета, те развијању техничких алата и модела неопходних за праћење и процену фискалних ризика. Намера је да резултат ових активности буде идентификација и процена ризика и предлагање излазних стратегија, као помоћ Влади у очувању </w:t>
      </w:r>
      <w:r w:rsidRPr="00092ED7">
        <w:rPr>
          <w:rFonts w:eastAsia="MS PGothic" w:cstheme="minorHAnsi"/>
          <w:szCs w:val="20"/>
          <w:lang w:val="sr-Cyrl-CS" w:eastAsia="ja-JP"/>
        </w:rPr>
        <w:lastRenderedPageBreak/>
        <w:t>стабилности јавних финансија, што је кључни циљ фискалне политике и један од основних предуслова за динамичнији привредни раст.</w:t>
      </w:r>
    </w:p>
    <w:p w14:paraId="7C5C1F44" w14:textId="786F9D1B" w:rsidR="008B200E" w:rsidRPr="00092ED7" w:rsidRDefault="008B200E" w:rsidP="008B200E">
      <w:pPr>
        <w:spacing w:after="60"/>
        <w:rPr>
          <w:rFonts w:eastAsia="MS PGothic" w:cstheme="minorHAnsi"/>
          <w:szCs w:val="20"/>
          <w:lang w:val="sr-Cyrl-CS" w:eastAsia="ja-JP"/>
        </w:rPr>
      </w:pPr>
      <w:r w:rsidRPr="00092ED7">
        <w:rPr>
          <w:rFonts w:eastAsia="MS PGothic" w:cstheme="minorHAnsi"/>
          <w:szCs w:val="20"/>
          <w:lang w:val="sr-Cyrl-CS" w:eastAsia="ja-JP"/>
        </w:rPr>
        <w:t xml:space="preserve">У циљу спровођења наведеног процеса праћења фискалних ризика, у октобру 2021. године, усвојен је </w:t>
      </w:r>
      <w:r w:rsidR="00F00550" w:rsidRPr="00092ED7">
        <w:rPr>
          <w:rFonts w:eastAsia="MS PGothic" w:cstheme="minorHAnsi"/>
          <w:szCs w:val="20"/>
          <w:lang w:val="sr-Cyrl-CS" w:eastAsia="ja-JP"/>
        </w:rPr>
        <w:t>Закључак о усвајању Јединствене методологије за праћење фискалних ризика у Републици Србији</w:t>
      </w:r>
      <w:r w:rsidRPr="00092ED7">
        <w:rPr>
          <w:rFonts w:eastAsia="MS PGothic" w:cstheme="minorHAnsi"/>
          <w:szCs w:val="20"/>
          <w:lang w:val="sr-Cyrl-CS" w:eastAsia="ja-JP"/>
        </w:rPr>
        <w:t xml:space="preserve">, која је припремљена уз помоћ Светске банке </w:t>
      </w:r>
      <w:r w:rsidR="00F00550" w:rsidRPr="00092ED7">
        <w:rPr>
          <w:rFonts w:eastAsia="MS PGothic" w:cstheme="minorHAnsi"/>
          <w:szCs w:val="20"/>
          <w:lang w:val="sr-Cyrl-CS" w:eastAsia="ja-JP"/>
        </w:rPr>
        <w:t xml:space="preserve">и </w:t>
      </w:r>
      <w:r w:rsidRPr="00092ED7">
        <w:rPr>
          <w:rFonts w:eastAsia="MS PGothic" w:cstheme="minorHAnsi"/>
          <w:szCs w:val="20"/>
          <w:lang w:val="sr-Cyrl-CS" w:eastAsia="ja-JP"/>
        </w:rPr>
        <w:t>обухвата четири основне методологије</w:t>
      </w:r>
      <w:r w:rsidR="00F00550" w:rsidRPr="00092ED7">
        <w:rPr>
          <w:rFonts w:eastAsia="MS PGothic" w:cstheme="minorHAnsi"/>
          <w:szCs w:val="20"/>
          <w:lang w:val="sr-Cyrl-CS" w:eastAsia="ja-JP"/>
        </w:rPr>
        <w:t>,</w:t>
      </w:r>
      <w:r w:rsidRPr="00092ED7">
        <w:rPr>
          <w:rFonts w:eastAsia="MS PGothic" w:cstheme="minorHAnsi"/>
          <w:szCs w:val="20"/>
          <w:lang w:val="sr-Cyrl-CS" w:eastAsia="ja-JP"/>
        </w:rPr>
        <w:t xml:space="preserve"> и то:</w:t>
      </w:r>
    </w:p>
    <w:p w14:paraId="7528690A" w14:textId="77777777" w:rsidR="008B200E" w:rsidRPr="00092ED7" w:rsidRDefault="008B200E" w:rsidP="00071952">
      <w:pPr>
        <w:pStyle w:val="ListParagraph"/>
        <w:numPr>
          <w:ilvl w:val="0"/>
          <w:numId w:val="15"/>
        </w:numPr>
        <w:spacing w:after="60"/>
        <w:rPr>
          <w:rFonts w:cstheme="minorHAnsi"/>
          <w:sz w:val="24"/>
          <w:szCs w:val="24"/>
          <w:lang w:val="sr-Cyrl-CS"/>
        </w:rPr>
      </w:pPr>
      <w:r w:rsidRPr="00092ED7">
        <w:rPr>
          <w:rFonts w:cstheme="minorHAnsi"/>
          <w:sz w:val="24"/>
          <w:szCs w:val="24"/>
          <w:lang w:val="sr-Cyrl-CS"/>
        </w:rPr>
        <w:t>Методологију за праћење фискалних ризика који произлазе из пословања јавних предузећа;</w:t>
      </w:r>
    </w:p>
    <w:p w14:paraId="2A528FDB" w14:textId="6CEB130F" w:rsidR="008B200E" w:rsidRPr="00092ED7" w:rsidRDefault="008B200E" w:rsidP="00071952">
      <w:pPr>
        <w:pStyle w:val="ListParagraph"/>
        <w:numPr>
          <w:ilvl w:val="0"/>
          <w:numId w:val="15"/>
        </w:numPr>
        <w:spacing w:after="60"/>
        <w:rPr>
          <w:rFonts w:cstheme="minorHAnsi"/>
          <w:sz w:val="24"/>
          <w:szCs w:val="24"/>
          <w:lang w:val="sr-Cyrl-CS"/>
        </w:rPr>
      </w:pPr>
      <w:r w:rsidRPr="00092ED7">
        <w:rPr>
          <w:rFonts w:cstheme="minorHAnsi"/>
          <w:sz w:val="24"/>
          <w:szCs w:val="24"/>
          <w:lang w:val="sr-Cyrl-CS"/>
        </w:rPr>
        <w:t xml:space="preserve">Методологију за праћење фискалних ризика по буџет Републике Србије који произлазе из вршења надлежности </w:t>
      </w:r>
      <w:r w:rsidR="00EB5D17" w:rsidRPr="00092ED7">
        <w:rPr>
          <w:rFonts w:cstheme="minorHAnsi"/>
          <w:sz w:val="24"/>
          <w:szCs w:val="24"/>
          <w:lang w:val="sr-Cyrl-CS"/>
        </w:rPr>
        <w:t>ЈЛС</w:t>
      </w:r>
      <w:r w:rsidRPr="00092ED7">
        <w:rPr>
          <w:rFonts w:cstheme="minorHAnsi"/>
          <w:sz w:val="24"/>
          <w:szCs w:val="24"/>
          <w:lang w:val="sr-Cyrl-CS"/>
        </w:rPr>
        <w:t>;</w:t>
      </w:r>
    </w:p>
    <w:p w14:paraId="3C659BB3" w14:textId="77777777" w:rsidR="008B200E" w:rsidRPr="00092ED7" w:rsidRDefault="008B200E" w:rsidP="00071952">
      <w:pPr>
        <w:pStyle w:val="ListParagraph"/>
        <w:numPr>
          <w:ilvl w:val="0"/>
          <w:numId w:val="15"/>
        </w:numPr>
        <w:spacing w:after="60"/>
        <w:rPr>
          <w:rFonts w:cstheme="minorHAnsi"/>
          <w:sz w:val="24"/>
          <w:szCs w:val="24"/>
          <w:lang w:val="sr-Cyrl-CS"/>
        </w:rPr>
      </w:pPr>
      <w:r w:rsidRPr="00092ED7">
        <w:rPr>
          <w:rFonts w:cstheme="minorHAnsi"/>
          <w:sz w:val="24"/>
          <w:szCs w:val="24"/>
          <w:lang w:val="sr-Cyrl-CS"/>
        </w:rPr>
        <w:t>Методологију за праћење фискалних ризика по основу судских поступака;</w:t>
      </w:r>
    </w:p>
    <w:p w14:paraId="21130562" w14:textId="77777777" w:rsidR="008B200E" w:rsidRPr="00092ED7" w:rsidRDefault="008B200E" w:rsidP="00071952">
      <w:pPr>
        <w:pStyle w:val="ListParagraph"/>
        <w:numPr>
          <w:ilvl w:val="0"/>
          <w:numId w:val="15"/>
        </w:numPr>
        <w:spacing w:after="0"/>
        <w:rPr>
          <w:rFonts w:cstheme="minorHAnsi"/>
          <w:sz w:val="24"/>
          <w:szCs w:val="24"/>
          <w:lang w:val="sr-Cyrl-CS"/>
        </w:rPr>
      </w:pPr>
      <w:r w:rsidRPr="00092ED7">
        <w:rPr>
          <w:rFonts w:cstheme="minorHAnsi"/>
          <w:sz w:val="24"/>
          <w:szCs w:val="24"/>
          <w:lang w:val="sr-Cyrl-CS"/>
        </w:rPr>
        <w:t>Методологију за праћење фискалних ризика који се јављају као последица елементарних непогода.</w:t>
      </w:r>
    </w:p>
    <w:p w14:paraId="71C254E5" w14:textId="681A2314" w:rsidR="008B200E" w:rsidRPr="00092ED7" w:rsidRDefault="008B200E" w:rsidP="008B200E">
      <w:pPr>
        <w:spacing w:after="60"/>
        <w:rPr>
          <w:lang w:val="sr-Cyrl-CS" w:eastAsia="ja-JP"/>
        </w:rPr>
      </w:pPr>
      <w:r w:rsidRPr="00092ED7">
        <w:rPr>
          <w:lang w:val="sr-Cyrl-CS" w:eastAsia="ja-JP"/>
        </w:rPr>
        <w:t>Наведена методологија, усвојена у октобру 2021</w:t>
      </w:r>
      <w:r w:rsidR="00561CB8" w:rsidRPr="00092ED7">
        <w:rPr>
          <w:lang w:val="sr-Cyrl-CS" w:eastAsia="ja-JP"/>
        </w:rPr>
        <w:t>. године</w:t>
      </w:r>
      <w:r w:rsidRPr="00092ED7">
        <w:rPr>
          <w:lang w:val="sr-Cyrl-CS" w:eastAsia="ja-JP"/>
        </w:rPr>
        <w:t>, рађена је на основу нацрта методологије који је припремљен од стране Светске банке.</w:t>
      </w:r>
    </w:p>
    <w:p w14:paraId="473FBC4B" w14:textId="11472934" w:rsidR="008B200E" w:rsidRPr="00092ED7" w:rsidRDefault="008B200E" w:rsidP="008B200E">
      <w:pPr>
        <w:spacing w:after="60"/>
        <w:rPr>
          <w:lang w:val="sr-Cyrl-CS" w:eastAsia="ja-JP"/>
        </w:rPr>
      </w:pPr>
      <w:r w:rsidRPr="00092ED7">
        <w:rPr>
          <w:lang w:val="sr-Cyrl-CS" w:eastAsia="ja-JP"/>
        </w:rPr>
        <w:t>У циљу смањења фискалних ризика и одржавању расхода у планираним (пројектованим) оквирима у наредном средњорочном периоду, предузете с</w:t>
      </w:r>
      <w:r w:rsidR="00F00550" w:rsidRPr="00092ED7">
        <w:rPr>
          <w:lang w:val="sr-Cyrl-CS" w:eastAsia="ja-JP"/>
        </w:rPr>
        <w:t>у</w:t>
      </w:r>
      <w:r w:rsidRPr="00092ED7">
        <w:rPr>
          <w:lang w:val="sr-Cyrl-CS" w:eastAsia="ja-JP"/>
        </w:rPr>
        <w:t xml:space="preserve"> следеће активности:</w:t>
      </w:r>
    </w:p>
    <w:p w14:paraId="732760AF" w14:textId="77777777" w:rsidR="008B200E" w:rsidRPr="00092ED7" w:rsidRDefault="008B200E" w:rsidP="0053376A">
      <w:pPr>
        <w:pStyle w:val="ListParagraph"/>
        <w:numPr>
          <w:ilvl w:val="0"/>
          <w:numId w:val="10"/>
        </w:numPr>
        <w:spacing w:after="60" w:line="240" w:lineRule="auto"/>
        <w:ind w:left="714" w:hanging="357"/>
        <w:rPr>
          <w:rFonts w:cs="Times New Roman"/>
          <w:sz w:val="24"/>
          <w:szCs w:val="24"/>
          <w:lang w:val="sr-Cyrl-CS"/>
        </w:rPr>
      </w:pPr>
      <w:r w:rsidRPr="00092ED7">
        <w:rPr>
          <w:rFonts w:cs="Times New Roman"/>
          <w:sz w:val="24"/>
          <w:szCs w:val="24"/>
          <w:lang w:val="sr-Cyrl-CS"/>
        </w:rPr>
        <w:t>Ограничавање издавања нових гаранција: Изменама Закона о јавном дугу забрањено је издавање нових гаранција за кредите за потребе ликвидности. Изменама Закона о Фонду за развој Републике Србије онемогућено је даље давање контрагаранција за гаранције издате од стране Фонда за развој Републике Србије.</w:t>
      </w:r>
    </w:p>
    <w:p w14:paraId="48B518CD" w14:textId="77777777" w:rsidR="008B200E" w:rsidRPr="00092ED7" w:rsidRDefault="008B200E" w:rsidP="0053376A">
      <w:pPr>
        <w:pStyle w:val="ListParagraph"/>
        <w:numPr>
          <w:ilvl w:val="0"/>
          <w:numId w:val="10"/>
        </w:numPr>
        <w:spacing w:after="60" w:line="240" w:lineRule="auto"/>
        <w:ind w:left="714" w:hanging="357"/>
        <w:rPr>
          <w:rFonts w:cs="Times New Roman"/>
          <w:sz w:val="24"/>
          <w:szCs w:val="24"/>
          <w:lang w:val="sr-Cyrl-CS"/>
        </w:rPr>
      </w:pPr>
      <w:r w:rsidRPr="00092ED7">
        <w:rPr>
          <w:rFonts w:cs="Times New Roman"/>
          <w:sz w:val="24"/>
          <w:szCs w:val="24"/>
          <w:lang w:val="sr-Cyrl-CS"/>
        </w:rPr>
        <w:t>Структурне реформе јавних и државних предузећа: Већи број предузећа, која су и највећи корисници гаранција и субвенција, а да би била оспособљена за тржишну утакмицу и финансијску одрживост, те способна да отплаћују кредите, налазе се у процесу реструктурирања, односно спровођења планова реструктурирања.</w:t>
      </w:r>
    </w:p>
    <w:p w14:paraId="66855ACB" w14:textId="77777777" w:rsidR="008B200E" w:rsidRPr="00092ED7" w:rsidRDefault="008B200E" w:rsidP="0053376A">
      <w:pPr>
        <w:pStyle w:val="ListParagraph"/>
        <w:numPr>
          <w:ilvl w:val="0"/>
          <w:numId w:val="10"/>
        </w:numPr>
        <w:spacing w:after="60" w:line="240" w:lineRule="auto"/>
        <w:ind w:left="714" w:hanging="357"/>
        <w:rPr>
          <w:rFonts w:cs="Times New Roman"/>
          <w:sz w:val="24"/>
          <w:szCs w:val="24"/>
          <w:lang w:val="sr-Cyrl-CS"/>
        </w:rPr>
      </w:pPr>
      <w:r w:rsidRPr="00092ED7">
        <w:rPr>
          <w:rFonts w:cs="Times New Roman"/>
          <w:sz w:val="24"/>
          <w:szCs w:val="24"/>
          <w:lang w:val="sr-Cyrl-CS"/>
        </w:rPr>
        <w:t>Наставак реформи у области државних финансијских институција, банкарских институција и осигурања депозита започетих 2012. године, односно 2015. године.</w:t>
      </w:r>
    </w:p>
    <w:p w14:paraId="24F91449" w14:textId="77777777" w:rsidR="008B200E" w:rsidRPr="00092ED7" w:rsidRDefault="008B200E" w:rsidP="0053376A">
      <w:pPr>
        <w:pStyle w:val="ListParagraph"/>
        <w:numPr>
          <w:ilvl w:val="0"/>
          <w:numId w:val="10"/>
        </w:numPr>
        <w:spacing w:after="60" w:line="240" w:lineRule="auto"/>
        <w:ind w:left="714" w:hanging="357"/>
        <w:rPr>
          <w:rFonts w:cs="Times New Roman"/>
          <w:sz w:val="24"/>
          <w:szCs w:val="24"/>
          <w:lang w:val="sr-Cyrl-CS"/>
        </w:rPr>
      </w:pPr>
      <w:r w:rsidRPr="00092ED7">
        <w:rPr>
          <w:rFonts w:cs="Times New Roman"/>
          <w:sz w:val="24"/>
          <w:szCs w:val="24"/>
          <w:lang w:val="sr-Cyrl-CS"/>
        </w:rPr>
        <w:t>Праћење ризика по основу судских поступака и ризика који се јављају као последица елементарних непогода.</w:t>
      </w:r>
    </w:p>
    <w:p w14:paraId="028BF5A3" w14:textId="2D312126" w:rsidR="008B200E" w:rsidRPr="00092ED7" w:rsidRDefault="008B200E" w:rsidP="00613B5B">
      <w:pPr>
        <w:spacing w:after="60"/>
        <w:rPr>
          <w:lang w:val="sr-Cyrl-CS"/>
        </w:rPr>
      </w:pPr>
      <w:r w:rsidRPr="00092ED7">
        <w:rPr>
          <w:rFonts w:eastAsia="MS PGothic" w:cstheme="minorHAnsi"/>
          <w:szCs w:val="20"/>
          <w:lang w:val="sr-Cyrl-CS" w:eastAsia="ja-JP"/>
        </w:rPr>
        <w:t xml:space="preserve">Гаранције издате од стране државе утичу на висину јавног дуга, али и на висину дефицита, уколико отплату по кредиту уместо првобитног дужника преузме држава. Издате гаранције су према дефиницији одређеној Законом о јавном </w:t>
      </w:r>
      <w:r w:rsidRPr="00092ED7">
        <w:rPr>
          <w:rFonts w:eastAsia="MS PGothic" w:cstheme="minorHAnsi"/>
          <w:szCs w:val="24"/>
          <w:lang w:val="sr-Cyrl-CS" w:eastAsia="ja-JP"/>
        </w:rPr>
        <w:t>дугу</w:t>
      </w:r>
      <w:r w:rsidR="008434D8" w:rsidRPr="00092ED7">
        <w:rPr>
          <w:rFonts w:cs="Times New Roman"/>
          <w:szCs w:val="24"/>
          <w:lang w:val="sr-Cyrl-CS"/>
        </w:rPr>
        <w:t>,</w:t>
      </w:r>
      <w:r w:rsidR="00136E4B" w:rsidRPr="00092ED7">
        <w:rPr>
          <w:rFonts w:eastAsia="MS PGothic" w:cstheme="minorHAnsi"/>
          <w:szCs w:val="20"/>
          <w:lang w:val="sr-Cyrl-CS" w:eastAsia="ja-JP"/>
        </w:rPr>
        <w:t xml:space="preserve"> </w:t>
      </w:r>
      <w:r w:rsidRPr="00092ED7">
        <w:rPr>
          <w:rFonts w:eastAsia="MS PGothic" w:cstheme="minorHAnsi"/>
          <w:szCs w:val="20"/>
          <w:lang w:val="sr-Cyrl-CS" w:eastAsia="ja-JP"/>
        </w:rPr>
        <w:t>део индиректних обавеза и у укупном износу се укључују у јавни дуг</w:t>
      </w:r>
      <w:r w:rsidRPr="00092ED7">
        <w:rPr>
          <w:rFonts w:eastAsia="MS PGothic" w:cstheme="minorHAnsi"/>
          <w:szCs w:val="20"/>
          <w:vertAlign w:val="superscript"/>
          <w:lang w:val="sr-Cyrl-CS" w:eastAsia="ja-JP"/>
        </w:rPr>
        <w:footnoteReference w:id="10"/>
      </w:r>
      <w:r w:rsidRPr="00092ED7">
        <w:rPr>
          <w:rFonts w:eastAsia="MS PGothic" w:cstheme="minorHAnsi"/>
          <w:szCs w:val="20"/>
          <w:lang w:val="sr-Cyrl-CS" w:eastAsia="ja-JP"/>
        </w:rPr>
        <w:t>. Ограничења постављена на издавање нових гаранција дала су резултате те се учешће индиректних обавеза у укупном јавном дугу смањује. Индиректне обавезе (издате гаранције од стране Републике Србије) су учествовале са 4,5% у укупном јавном дугу, према националној методологији, на крају 2021. године. Учешће ових обавеза у јавном дугу је на приближно истом нивоу и у текућој години, те на крају септембра 2022. године оне чине 4,9% укупног јавног дуга. Највеће учешће ових обавеза у јавном дугу, нешто изнад 14% у просеку забележено је између 2009. и 2013. године.</w:t>
      </w:r>
    </w:p>
    <w:p w14:paraId="4E5B1BC5" w14:textId="77777777" w:rsidR="008B200E" w:rsidRPr="00092ED7" w:rsidRDefault="008B200E" w:rsidP="00613B5B">
      <w:pPr>
        <w:spacing w:after="60"/>
        <w:rPr>
          <w:rFonts w:eastAsia="MS PGothic" w:cstheme="minorHAnsi"/>
          <w:spacing w:val="-2"/>
          <w:szCs w:val="20"/>
          <w:lang w:val="sr-Cyrl-CS" w:eastAsia="ja-JP"/>
        </w:rPr>
      </w:pPr>
      <w:r w:rsidRPr="00092ED7">
        <w:rPr>
          <w:rFonts w:eastAsia="MS PGothic" w:cstheme="minorHAnsi"/>
          <w:spacing w:val="-2"/>
          <w:szCs w:val="20"/>
          <w:lang w:val="sr-Cyrl-CS" w:eastAsia="ja-JP"/>
        </w:rPr>
        <w:t xml:space="preserve">На крају 2021. године стање дуга по основу издатих гаранција износило је 1,4 млрд евра, односно 2,6% БДП. Стање дуга по овом основу смањено је за близу 41 милион евра у односу на крај 2020. године. До септембра текуће године стање дуга по гаранцијама </w:t>
      </w:r>
      <w:r w:rsidRPr="00092ED7">
        <w:rPr>
          <w:rFonts w:eastAsia="MS PGothic" w:cstheme="minorHAnsi"/>
          <w:spacing w:val="-2"/>
          <w:szCs w:val="20"/>
          <w:lang w:val="sr-Cyrl-CS" w:eastAsia="ja-JP"/>
        </w:rPr>
        <w:lastRenderedPageBreak/>
        <w:t>повећано је за 224,8 милиона евра, у односу на крај 2021. године и износи 1,6 млрд евра на дан 30. септембар 2022. године.</w:t>
      </w:r>
    </w:p>
    <w:p w14:paraId="18453F32" w14:textId="77777777" w:rsidR="008B200E" w:rsidRPr="00092ED7" w:rsidRDefault="008B200E" w:rsidP="00613B5B">
      <w:pPr>
        <w:spacing w:before="120" w:after="60"/>
        <w:rPr>
          <w:rFonts w:eastAsia="Calibri" w:cs="Times New Roman"/>
          <w:szCs w:val="24"/>
          <w:lang w:val="sr-Cyrl-CS" w:eastAsia="ja-JP"/>
        </w:rPr>
      </w:pPr>
      <w:r w:rsidRPr="00092ED7">
        <w:rPr>
          <w:rFonts w:eastAsia="Calibri" w:cs="Times New Roman"/>
          <w:szCs w:val="24"/>
          <w:lang w:val="sr-Cyrl-CS" w:eastAsia="ja-JP"/>
        </w:rPr>
        <w:t>Графикон 14. Учешће индиректног дуга у укупном јавном дугу Републике Србије</w:t>
      </w:r>
    </w:p>
    <w:p w14:paraId="3396177D" w14:textId="77777777" w:rsidR="008B200E" w:rsidRPr="00092ED7" w:rsidRDefault="008B200E" w:rsidP="00A5229A">
      <w:pPr>
        <w:rPr>
          <w:rFonts w:eastAsia="Calibri" w:cs="Times New Roman"/>
          <w:szCs w:val="24"/>
          <w:highlight w:val="yellow"/>
          <w:lang w:val="sr-Cyrl-CS" w:eastAsia="ja-JP"/>
        </w:rPr>
      </w:pPr>
      <w:r w:rsidRPr="00092ED7">
        <w:rPr>
          <w:rFonts w:eastAsia="MS PGothic" w:cstheme="minorHAnsi"/>
          <w:noProof/>
          <w:szCs w:val="20"/>
        </w:rPr>
        <w:drawing>
          <wp:inline distT="0" distB="0" distL="0" distR="0" wp14:anchorId="104C04FA" wp14:editId="4F6795D4">
            <wp:extent cx="5724525" cy="2091193"/>
            <wp:effectExtent l="0" t="0" r="0" b="444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28662" cy="2092704"/>
                    </a:xfrm>
                    <a:prstGeom prst="rect">
                      <a:avLst/>
                    </a:prstGeom>
                    <a:noFill/>
                  </pic:spPr>
                </pic:pic>
              </a:graphicData>
            </a:graphic>
          </wp:inline>
        </w:drawing>
      </w:r>
    </w:p>
    <w:p w14:paraId="200FE456" w14:textId="77777777" w:rsidR="008B200E" w:rsidRPr="00092ED7" w:rsidRDefault="008B200E" w:rsidP="00A5229A">
      <w:pPr>
        <w:spacing w:after="60"/>
        <w:rPr>
          <w:rFonts w:eastAsia="MS PGothic" w:cstheme="minorHAnsi"/>
          <w:spacing w:val="-2"/>
          <w:szCs w:val="20"/>
          <w:lang w:val="sr-Cyrl-CS" w:eastAsia="ja-JP"/>
        </w:rPr>
      </w:pPr>
      <w:r w:rsidRPr="00092ED7">
        <w:rPr>
          <w:rFonts w:eastAsia="MS PGothic" w:cstheme="minorHAnsi"/>
          <w:spacing w:val="-2"/>
          <w:szCs w:val="20"/>
          <w:lang w:val="sr-Cyrl-CS" w:eastAsia="ja-JP"/>
        </w:rPr>
        <w:t>Укупна отплата главнице по основу гарантованих кредита у 2021. години износила је 11,3 млрд динара, од чега 7,7 млрд динара утиче на дефицит. Рачуноводствена методологија, до 2014. године, није у расходе укључивала отплате по основу гаранција</w:t>
      </w:r>
      <w:r w:rsidRPr="00092ED7">
        <w:rPr>
          <w:rFonts w:eastAsia="MS PGothic" w:cstheme="minorHAnsi"/>
          <w:spacing w:val="-2"/>
          <w:szCs w:val="20"/>
          <w:vertAlign w:val="superscript"/>
          <w:lang w:val="sr-Cyrl-CS" w:eastAsia="ja-JP"/>
        </w:rPr>
        <w:footnoteReference w:id="11"/>
      </w:r>
      <w:r w:rsidRPr="00092ED7">
        <w:rPr>
          <w:rFonts w:eastAsia="MS PGothic" w:cstheme="minorHAnsi"/>
          <w:spacing w:val="-2"/>
          <w:szCs w:val="20"/>
          <w:lang w:val="sr-Cyrl-CS" w:eastAsia="ja-JP"/>
        </w:rPr>
        <w:t>. Од 2014. године део ових расхода је укључен у расходе буџета</w:t>
      </w:r>
      <w:r w:rsidRPr="00092ED7">
        <w:rPr>
          <w:rFonts w:eastAsia="MS PGothic" w:cstheme="minorHAnsi"/>
          <w:spacing w:val="-2"/>
          <w:szCs w:val="20"/>
          <w:vertAlign w:val="superscript"/>
          <w:lang w:val="sr-Cyrl-CS" w:eastAsia="ja-JP"/>
        </w:rPr>
        <w:footnoteReference w:id="12"/>
      </w:r>
      <w:r w:rsidRPr="00092ED7">
        <w:rPr>
          <w:rFonts w:eastAsia="MS PGothic" w:cstheme="minorHAnsi"/>
          <w:spacing w:val="-2"/>
          <w:szCs w:val="20"/>
          <w:lang w:val="sr-Cyrl-CS" w:eastAsia="ja-JP"/>
        </w:rPr>
        <w:t>. Независно од буџетског и рачуноводственог приказа, дуг који уместо главног дужника плаћа држава повећава укупне потребе за задуживањем.</w:t>
      </w:r>
    </w:p>
    <w:p w14:paraId="1CB78D7D" w14:textId="77777777" w:rsidR="008B200E" w:rsidRPr="00092ED7" w:rsidRDefault="008B200E" w:rsidP="00613B5B">
      <w:pPr>
        <w:spacing w:before="120" w:after="60"/>
        <w:rPr>
          <w:rFonts w:eastAsia="Calibri" w:cs="Times New Roman"/>
          <w:szCs w:val="24"/>
          <w:lang w:val="sr-Cyrl-CS" w:eastAsia="ja-JP"/>
        </w:rPr>
      </w:pPr>
      <w:r w:rsidRPr="00092ED7">
        <w:rPr>
          <w:rFonts w:eastAsia="Calibri" w:cs="Times New Roman"/>
          <w:szCs w:val="24"/>
          <w:lang w:val="sr-Cyrl-CS" w:eastAsia="ja-JP"/>
        </w:rPr>
        <w:t>Графикон 15. Отплата дуга по основу активираних гаранција, у млрд динара</w:t>
      </w:r>
    </w:p>
    <w:p w14:paraId="48BBAA82" w14:textId="77777777" w:rsidR="008B200E" w:rsidRPr="00092ED7" w:rsidRDefault="008B200E" w:rsidP="00613B5B">
      <w:pPr>
        <w:spacing w:after="0"/>
        <w:rPr>
          <w:rFonts w:eastAsia="Calibri" w:cs="Times New Roman"/>
          <w:szCs w:val="24"/>
          <w:highlight w:val="yellow"/>
          <w:lang w:val="sr-Cyrl-CS" w:eastAsia="ja-JP"/>
        </w:rPr>
      </w:pPr>
      <w:r w:rsidRPr="00092ED7">
        <w:rPr>
          <w:rFonts w:eastAsia="MS PGothic" w:cstheme="minorHAnsi"/>
          <w:b/>
          <w:noProof/>
          <w:color w:val="002060"/>
          <w:szCs w:val="20"/>
        </w:rPr>
        <w:drawing>
          <wp:inline distT="0" distB="0" distL="0" distR="0" wp14:anchorId="53EBC9E5" wp14:editId="17AD34E7">
            <wp:extent cx="5705475" cy="2857500"/>
            <wp:effectExtent l="0" t="0" r="9525"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11571" cy="2860553"/>
                    </a:xfrm>
                    <a:prstGeom prst="rect">
                      <a:avLst/>
                    </a:prstGeom>
                    <a:noFill/>
                  </pic:spPr>
                </pic:pic>
              </a:graphicData>
            </a:graphic>
          </wp:inline>
        </w:drawing>
      </w:r>
    </w:p>
    <w:p w14:paraId="62891C9C" w14:textId="77777777" w:rsidR="008B200E" w:rsidRPr="00092ED7" w:rsidRDefault="008B200E" w:rsidP="00613B5B">
      <w:pPr>
        <w:spacing w:before="120" w:after="60"/>
        <w:rPr>
          <w:rFonts w:eastAsia="MS PGothic" w:cstheme="minorHAnsi"/>
          <w:szCs w:val="20"/>
          <w:lang w:val="sr-Cyrl-CS" w:eastAsia="ja-JP"/>
        </w:rPr>
      </w:pPr>
      <w:r w:rsidRPr="00092ED7">
        <w:rPr>
          <w:rFonts w:eastAsia="MS PGothic" w:cstheme="minorHAnsi"/>
          <w:szCs w:val="20"/>
          <w:lang w:val="sr-Cyrl-CS" w:eastAsia="ja-JP"/>
        </w:rPr>
        <w:t>План отплате по основу гаранција (укупно главница и камата) у ребалансу буџета Републике Србије за 2022. годину износи 24 млрд динара, од чега се у расходе који утичу на резултат укључује 18,2 млрд динара за отплату главнице по гаранцијама.</w:t>
      </w:r>
    </w:p>
    <w:p w14:paraId="411B6F47" w14:textId="660BA327" w:rsidR="008B200E" w:rsidRPr="00092ED7" w:rsidRDefault="008B200E" w:rsidP="00613B5B">
      <w:pPr>
        <w:spacing w:after="60"/>
        <w:rPr>
          <w:rFonts w:eastAsia="MS PGothic" w:cstheme="minorHAnsi"/>
          <w:szCs w:val="20"/>
          <w:lang w:val="sr-Cyrl-CS" w:eastAsia="ja-JP"/>
        </w:rPr>
      </w:pPr>
      <w:r w:rsidRPr="00092ED7">
        <w:rPr>
          <w:rFonts w:eastAsia="MS PGothic" w:cstheme="minorHAnsi"/>
          <w:szCs w:val="20"/>
          <w:lang w:val="sr-Cyrl-CS" w:eastAsia="ja-JP"/>
        </w:rPr>
        <w:lastRenderedPageBreak/>
        <w:t xml:space="preserve">Индиректни дуг, те укључивање дела отплата по основу гаранција у буџетске расходе, и повећање дефицита по том основу, повећали су свест о растућим фискалним ризицима који произилазе по основу издатих гаранција. Стога су предузете активности које ограничавају издавање нових гаранција за кредите за потребе ликвидности </w:t>
      </w:r>
      <w:r w:rsidR="00A252B4" w:rsidRPr="00092ED7">
        <w:rPr>
          <w:rFonts w:eastAsia="MS PGothic" w:cstheme="minorHAnsi"/>
          <w:szCs w:val="20"/>
          <w:lang w:val="sr-Cyrl-CS" w:eastAsia="ja-JP"/>
        </w:rPr>
        <w:t xml:space="preserve">и онемогућавање </w:t>
      </w:r>
      <w:r w:rsidR="00136E4B" w:rsidRPr="00092ED7">
        <w:rPr>
          <w:rFonts w:eastAsia="MS PGothic" w:cstheme="minorHAnsi"/>
          <w:szCs w:val="20"/>
          <w:lang w:val="sr-Cyrl-CS" w:eastAsia="ja-JP"/>
        </w:rPr>
        <w:t>даљег</w:t>
      </w:r>
      <w:r w:rsidRPr="00092ED7">
        <w:rPr>
          <w:rFonts w:eastAsia="MS PGothic" w:cstheme="minorHAnsi"/>
          <w:szCs w:val="20"/>
          <w:lang w:val="sr-Cyrl-CS" w:eastAsia="ja-JP"/>
        </w:rPr>
        <w:t xml:space="preserve"> </w:t>
      </w:r>
      <w:r w:rsidR="00A252B4" w:rsidRPr="00092ED7">
        <w:rPr>
          <w:rFonts w:eastAsia="MS PGothic" w:cstheme="minorHAnsi"/>
          <w:szCs w:val="20"/>
          <w:lang w:val="sr-Cyrl-CS" w:eastAsia="ja-JP"/>
        </w:rPr>
        <w:t xml:space="preserve">давања </w:t>
      </w:r>
      <w:r w:rsidRPr="00092ED7">
        <w:rPr>
          <w:rFonts w:eastAsia="MS PGothic" w:cstheme="minorHAnsi"/>
          <w:szCs w:val="20"/>
          <w:lang w:val="sr-Cyrl-CS" w:eastAsia="ja-JP"/>
        </w:rPr>
        <w:t>контрагаранција за гаранције издате од стране Фонда за развој Републике Србије.</w:t>
      </w:r>
    </w:p>
    <w:p w14:paraId="5488D221" w14:textId="77777777" w:rsidR="008B200E" w:rsidRPr="00092ED7" w:rsidRDefault="008B200E" w:rsidP="00613B5B">
      <w:pPr>
        <w:spacing w:after="60"/>
        <w:rPr>
          <w:rFonts w:eastAsia="MS PGothic" w:cstheme="minorHAnsi"/>
          <w:szCs w:val="20"/>
          <w:lang w:val="sr-Cyrl-CS" w:eastAsia="ja-JP"/>
        </w:rPr>
      </w:pPr>
      <w:r w:rsidRPr="00092ED7">
        <w:rPr>
          <w:rFonts w:eastAsia="MS PGothic" w:cstheme="minorHAnsi"/>
          <w:szCs w:val="20"/>
          <w:lang w:val="sr-Cyrl-CS" w:eastAsia="ja-JP"/>
        </w:rPr>
        <w:t>Поред ограничења у издавању државних гаранција кључни корак у смањењу и отклањању фискалних ризика по овом основу је у реформи државних и јавних предузећа, корисника гаранција, како би били способни да отплаћују своје кредите. Већи број предузећа, која су и највећи корисници гаранција, налазе се у процесу реструктурирања, односно спровођења планова реструктурирања урађених у сарадњи са међународним финансијским институцијама.</w:t>
      </w:r>
    </w:p>
    <w:p w14:paraId="1FF225F0" w14:textId="77777777" w:rsidR="008B200E" w:rsidRPr="00092ED7" w:rsidRDefault="008B200E" w:rsidP="00613B5B">
      <w:pPr>
        <w:spacing w:after="60"/>
        <w:rPr>
          <w:rFonts w:eastAsia="MS PGothic" w:cstheme="minorHAnsi"/>
          <w:szCs w:val="20"/>
          <w:lang w:val="sr-Cyrl-CS" w:eastAsia="ja-JP"/>
        </w:rPr>
      </w:pPr>
      <w:r w:rsidRPr="00092ED7">
        <w:rPr>
          <w:rFonts w:eastAsia="MS PGothic" w:cstheme="minorHAnsi"/>
          <w:szCs w:val="20"/>
          <w:lang w:val="sr-Cyrl-CS" w:eastAsia="ja-JP"/>
        </w:rPr>
        <w:t>Ребалансом буџета Републике Србије за 2022. годину планирано је издавање гаранција највише до 143,1 млрд динара и то за кредите намењене реализацији инфраструктурних пројеката. У наредним годинама није планиран значајнији раст ове категорије расхода. Учешће ових расхода у БДП креће се у просеку око 0,3% БДП у средњем року.</w:t>
      </w:r>
    </w:p>
    <w:p w14:paraId="27A63BE2" w14:textId="77777777" w:rsidR="008B200E" w:rsidRPr="00092ED7" w:rsidRDefault="008B200E" w:rsidP="00613B5B">
      <w:pPr>
        <w:spacing w:after="60"/>
        <w:rPr>
          <w:rFonts w:eastAsia="MS PGothic" w:cstheme="minorHAnsi"/>
          <w:szCs w:val="20"/>
          <w:lang w:val="sr-Cyrl-CS" w:eastAsia="ja-JP"/>
        </w:rPr>
      </w:pPr>
      <w:r w:rsidRPr="00092ED7">
        <w:rPr>
          <w:rFonts w:eastAsia="MS PGothic" w:cstheme="minorHAnsi"/>
          <w:szCs w:val="20"/>
          <w:lang w:val="sr-Cyrl-CS" w:eastAsia="ja-JP"/>
        </w:rPr>
        <w:t>Структурне реформе јавних и државних предузећа, њихово оспособљавање за тржишну утакмицу и финансијску одрживост, с једне стране, и ограничено и циљано издавање нових гаранција, с друге стране, допринеће умањењу фискалних ризика по овом основу и одржавању расхода у планираним, тј. пројектованим оквирима у наредном средњорочном периоду.</w:t>
      </w:r>
    </w:p>
    <w:p w14:paraId="2F5422D2" w14:textId="77777777" w:rsidR="008B200E" w:rsidRPr="00092ED7" w:rsidRDefault="008B200E" w:rsidP="00613B5B">
      <w:pPr>
        <w:spacing w:after="60"/>
        <w:rPr>
          <w:rFonts w:eastAsia="MS PGothic" w:cstheme="minorHAnsi"/>
          <w:szCs w:val="20"/>
          <w:lang w:val="sr-Cyrl-CS" w:eastAsia="ja-JP"/>
        </w:rPr>
      </w:pPr>
      <w:r w:rsidRPr="00092ED7">
        <w:rPr>
          <w:rFonts w:eastAsia="MS PGothic" w:cstheme="minorHAnsi"/>
          <w:szCs w:val="20"/>
          <w:lang w:val="sr-Cyrl-CS" w:eastAsia="ja-JP"/>
        </w:rPr>
        <w:t>Пословање јавних предузећа представља значајан извор фискалних ризика, како на страни буџетских прихода, тако и на страни расхода. Јавна предузећа се у пословању суочавају са бројним проблемима, од наплате потраживања, до редовног измиривања обавеза према повериоцима, држави и запосленима и сл. Држава као оснивач и њихов једини власник је одговорна за пословање и њихово је последње уточиште у случају неликвидности. Постоји неколико канала кроз које се могу материјализовати фискални ризици везани за пословање јавних предузећа. Највећи, али не и једини ризик, су државне гаранције дате за кредите јавних предузећа. Одрживост, ефикасност и профитабилност јавних предузећа утичу на приходе буџета, односно на износ добити коју уплаћују у буџет. Квалитет производа и услуга које обезбеђују јавна предузећа утичу на ефикасност и профитабилност приватног сектора и у крајњој инстанци на ниво пореза које уплаћују у буџет.</w:t>
      </w:r>
    </w:p>
    <w:p w14:paraId="49C8A456" w14:textId="179EB2E9" w:rsidR="008B200E" w:rsidRPr="00092ED7" w:rsidRDefault="008B200E" w:rsidP="00586A27">
      <w:pPr>
        <w:rPr>
          <w:rFonts w:cs="Times New Roman"/>
          <w:szCs w:val="24"/>
          <w:lang w:val="sr-Cyrl-CS"/>
        </w:rPr>
      </w:pPr>
      <w:r w:rsidRPr="00092ED7">
        <w:rPr>
          <w:rFonts w:eastAsia="MS PGothic" w:cstheme="minorHAnsi"/>
          <w:szCs w:val="20"/>
          <w:lang w:val="sr-Cyrl-CS" w:eastAsia="ja-JP"/>
        </w:rPr>
        <w:t xml:space="preserve">Јавна предузећа представљају значајан сегмент привреде </w:t>
      </w:r>
      <w:r w:rsidR="002F42C1" w:rsidRPr="00092ED7">
        <w:rPr>
          <w:rFonts w:eastAsia="MS PGothic" w:cstheme="minorHAnsi"/>
          <w:szCs w:val="20"/>
          <w:lang w:val="sr-Cyrl-CS" w:eastAsia="ja-JP"/>
        </w:rPr>
        <w:t>и</w:t>
      </w:r>
      <w:r w:rsidRPr="00092ED7">
        <w:rPr>
          <w:rFonts w:eastAsia="MS PGothic" w:cstheme="minorHAnsi"/>
          <w:szCs w:val="20"/>
          <w:lang w:val="sr-Cyrl-CS" w:eastAsia="ja-JP"/>
        </w:rPr>
        <w:t xml:space="preserve"> запошљавају око 68 хиљада људи. Јавна предузећа се оснивају као друштва за обављање делатности од општег интереса. Њихов рад уређен је Законом о јавним предузећима</w:t>
      </w:r>
      <w:r w:rsidR="00586A27" w:rsidRPr="00092ED7">
        <w:rPr>
          <w:rFonts w:eastAsia="MS PGothic" w:cstheme="minorHAnsi"/>
          <w:szCs w:val="20"/>
          <w:lang w:val="sr-Cyrl-CS" w:eastAsia="ja-JP"/>
        </w:rPr>
        <w:t xml:space="preserve"> </w:t>
      </w:r>
      <w:r w:rsidR="00586A27" w:rsidRPr="00092ED7">
        <w:rPr>
          <w:rFonts w:cs="Times New Roman"/>
          <w:szCs w:val="24"/>
          <w:lang w:val="sr-Cyrl-CS"/>
        </w:rPr>
        <w:t>(„Службени гласник РС”, бр. 15/16 и 88/19)</w:t>
      </w:r>
      <w:r w:rsidRPr="00092ED7">
        <w:rPr>
          <w:rFonts w:eastAsia="MS PGothic" w:cstheme="minorHAnsi"/>
          <w:szCs w:val="20"/>
          <w:lang w:val="sr-Cyrl-CS" w:eastAsia="ja-JP"/>
        </w:rPr>
        <w:t>, који је усвојен у фебруару 2016. године, као и подсекторским законима који дефинишу специфична подручја која нису обухваћена Законом о јавним предузећима (Закон о енергетици</w:t>
      </w:r>
      <w:r w:rsidR="004B7E54" w:rsidRPr="00092ED7">
        <w:rPr>
          <w:rFonts w:cs="Times New Roman"/>
          <w:szCs w:val="24"/>
          <w:lang w:val="sr-Cyrl-CS"/>
        </w:rPr>
        <w:t>,</w:t>
      </w:r>
      <w:r w:rsidRPr="00092ED7">
        <w:rPr>
          <w:rFonts w:eastAsia="MS PGothic" w:cstheme="minorHAnsi"/>
          <w:szCs w:val="20"/>
          <w:lang w:val="sr-Cyrl-CS" w:eastAsia="ja-JP"/>
        </w:rPr>
        <w:t xml:space="preserve"> Закон о привредним друштвима </w:t>
      </w:r>
      <w:r w:rsidR="00586A27" w:rsidRPr="00092ED7">
        <w:rPr>
          <w:rFonts w:cs="Times New Roman"/>
          <w:szCs w:val="24"/>
          <w:lang w:val="sr-Cyrl-CS"/>
        </w:rPr>
        <w:t>(„Службени гласник РС”, бр.</w:t>
      </w:r>
      <w:r w:rsidR="004B7E54" w:rsidRPr="00092ED7">
        <w:rPr>
          <w:lang w:val="sr-Cyrl-CS"/>
        </w:rPr>
        <w:t xml:space="preserve"> </w:t>
      </w:r>
      <w:hyperlink r:id="rId30" w:tooltip="Zakon o privrednim društvima (27/05/2011)" w:history="1">
        <w:r w:rsidR="004B7E54" w:rsidRPr="00092ED7">
          <w:rPr>
            <w:rStyle w:val="Hyperlink"/>
            <w:rFonts w:cs="Times New Roman"/>
            <w:color w:val="auto"/>
            <w:szCs w:val="24"/>
            <w:u w:val="none"/>
            <w:shd w:val="clear" w:color="auto" w:fill="FFFFFF"/>
            <w:lang w:val="sr-Cyrl-CS"/>
          </w:rPr>
          <w:t>36/11</w:t>
        </w:r>
      </w:hyperlink>
      <w:r w:rsidR="004B7E54" w:rsidRPr="00092ED7">
        <w:rPr>
          <w:rFonts w:cs="Times New Roman"/>
          <w:szCs w:val="24"/>
          <w:shd w:val="clear" w:color="auto" w:fill="FFFFFF"/>
          <w:lang w:val="sr-Cyrl-CS"/>
        </w:rPr>
        <w:t>, </w:t>
      </w:r>
      <w:hyperlink r:id="rId31" w:tooltip="Zakon o izmenama i dopunama Zakona o privrednim društvima (27/12/2011)" w:history="1">
        <w:r w:rsidR="004B7E54" w:rsidRPr="00092ED7">
          <w:rPr>
            <w:rStyle w:val="Hyperlink"/>
            <w:rFonts w:cs="Times New Roman"/>
            <w:color w:val="auto"/>
            <w:szCs w:val="24"/>
            <w:u w:val="none"/>
            <w:shd w:val="clear" w:color="auto" w:fill="FFFFFF"/>
            <w:lang w:val="sr-Cyrl-CS"/>
          </w:rPr>
          <w:t>99/11</w:t>
        </w:r>
      </w:hyperlink>
      <w:r w:rsidR="004B7E54" w:rsidRPr="00092ED7">
        <w:rPr>
          <w:rFonts w:cs="Times New Roman"/>
          <w:szCs w:val="24"/>
          <w:shd w:val="clear" w:color="auto" w:fill="FFFFFF"/>
          <w:lang w:val="sr-Cyrl-CS"/>
        </w:rPr>
        <w:t>, </w:t>
      </w:r>
      <w:hyperlink r:id="rId32" w:tooltip="Zakon o izmenama i dopunama Zakona o stečaju (05/08/2014)" w:history="1">
        <w:r w:rsidR="004B7E54" w:rsidRPr="00092ED7">
          <w:rPr>
            <w:rStyle w:val="Hyperlink"/>
            <w:rFonts w:cs="Times New Roman"/>
            <w:color w:val="auto"/>
            <w:szCs w:val="24"/>
            <w:u w:val="none"/>
            <w:shd w:val="clear" w:color="auto" w:fill="FFFFFF"/>
            <w:lang w:val="sr-Cyrl-CS"/>
          </w:rPr>
          <w:t>83/14</w:t>
        </w:r>
      </w:hyperlink>
      <w:r w:rsidR="004B7E54" w:rsidRPr="00092ED7">
        <w:rPr>
          <w:rFonts w:cs="Times New Roman"/>
          <w:szCs w:val="24"/>
          <w:shd w:val="clear" w:color="auto" w:fill="FFFFFF"/>
          <w:lang w:val="sr-Cyrl-CS"/>
        </w:rPr>
        <w:t> </w:t>
      </w:r>
      <w:r w:rsidR="004B7E54" w:rsidRPr="00092ED7">
        <w:rPr>
          <w:rStyle w:val="trs"/>
          <w:rFonts w:cs="Times New Roman"/>
          <w:szCs w:val="24"/>
          <w:shd w:val="clear" w:color="auto" w:fill="FFFFFF"/>
          <w:lang w:val="sr-Cyrl-CS"/>
        </w:rPr>
        <w:t xml:space="preserve">- </w:t>
      </w:r>
      <w:r w:rsidR="004B7E54" w:rsidRPr="00092ED7">
        <w:rPr>
          <w:rFonts w:cs="Times New Roman"/>
          <w:szCs w:val="24"/>
          <w:lang w:val="sr-Cyrl-CS"/>
        </w:rPr>
        <w:t>др. закон</w:t>
      </w:r>
      <w:r w:rsidR="004B7E54" w:rsidRPr="00092ED7">
        <w:rPr>
          <w:rFonts w:cs="Times New Roman"/>
          <w:szCs w:val="24"/>
          <w:shd w:val="clear" w:color="auto" w:fill="FFFFFF"/>
          <w:lang w:val="sr-Cyrl-CS"/>
        </w:rPr>
        <w:t>, </w:t>
      </w:r>
      <w:hyperlink r:id="rId33" w:tooltip="Zakon o izmenama i dopuni Zakona o privrednim društvima (20/01/2015)" w:history="1">
        <w:r w:rsidR="004B7E54" w:rsidRPr="00092ED7">
          <w:rPr>
            <w:rStyle w:val="Hyperlink"/>
            <w:rFonts w:cs="Times New Roman"/>
            <w:color w:val="auto"/>
            <w:szCs w:val="24"/>
            <w:u w:val="none"/>
            <w:shd w:val="clear" w:color="auto" w:fill="FFFFFF"/>
            <w:lang w:val="sr-Cyrl-CS"/>
          </w:rPr>
          <w:t>5/15</w:t>
        </w:r>
      </w:hyperlink>
      <w:r w:rsidR="004B7E54" w:rsidRPr="00092ED7">
        <w:rPr>
          <w:rFonts w:cs="Times New Roman"/>
          <w:szCs w:val="24"/>
          <w:shd w:val="clear" w:color="auto" w:fill="FFFFFF"/>
          <w:lang w:val="sr-Cyrl-CS"/>
        </w:rPr>
        <w:t>, </w:t>
      </w:r>
      <w:hyperlink r:id="rId34" w:tooltip="Zakon o izmenama i dopunama Zakona o privrednim društvima (08/06/2018)" w:history="1">
        <w:r w:rsidR="004B7E54" w:rsidRPr="00092ED7">
          <w:rPr>
            <w:rStyle w:val="Hyperlink"/>
            <w:rFonts w:cs="Times New Roman"/>
            <w:color w:val="auto"/>
            <w:szCs w:val="24"/>
            <w:u w:val="none"/>
            <w:shd w:val="clear" w:color="auto" w:fill="FFFFFF"/>
            <w:lang w:val="sr-Cyrl-CS"/>
          </w:rPr>
          <w:t>44/18</w:t>
        </w:r>
      </w:hyperlink>
      <w:r w:rsidR="004B7E54" w:rsidRPr="00092ED7">
        <w:rPr>
          <w:rFonts w:cs="Times New Roman"/>
          <w:szCs w:val="24"/>
          <w:shd w:val="clear" w:color="auto" w:fill="FFFFFF"/>
          <w:lang w:val="sr-Cyrl-CS"/>
        </w:rPr>
        <w:t>, </w:t>
      </w:r>
      <w:hyperlink r:id="rId35" w:tooltip="Zakon o izmeni i dopunama Zakona o privrednim društvima (08/12/2018)" w:history="1">
        <w:r w:rsidR="004B7E54" w:rsidRPr="00092ED7">
          <w:rPr>
            <w:rStyle w:val="Hyperlink"/>
            <w:rFonts w:cs="Times New Roman"/>
            <w:color w:val="auto"/>
            <w:szCs w:val="24"/>
            <w:u w:val="none"/>
            <w:shd w:val="clear" w:color="auto" w:fill="FFFFFF"/>
            <w:lang w:val="sr-Cyrl-CS"/>
          </w:rPr>
          <w:t>95/18</w:t>
        </w:r>
      </w:hyperlink>
      <w:r w:rsidR="004B7E54" w:rsidRPr="00092ED7">
        <w:rPr>
          <w:rFonts w:cs="Times New Roman"/>
          <w:szCs w:val="24"/>
          <w:shd w:val="clear" w:color="auto" w:fill="FFFFFF"/>
          <w:lang w:val="sr-Cyrl-CS"/>
        </w:rPr>
        <w:t>, </w:t>
      </w:r>
      <w:hyperlink r:id="rId36" w:tooltip="Zakon o izmenama i dopunama Zakona o privrednim društvima (24/12/2019)" w:history="1">
        <w:r w:rsidR="004B7E54" w:rsidRPr="00092ED7">
          <w:rPr>
            <w:rStyle w:val="Hyperlink"/>
            <w:rFonts w:cs="Times New Roman"/>
            <w:color w:val="auto"/>
            <w:szCs w:val="24"/>
            <w:u w:val="none"/>
            <w:shd w:val="clear" w:color="auto" w:fill="FFFFFF"/>
            <w:lang w:val="sr-Cyrl-CS"/>
          </w:rPr>
          <w:t>91/19</w:t>
        </w:r>
      </w:hyperlink>
      <w:r w:rsidR="004B7E54" w:rsidRPr="00092ED7">
        <w:rPr>
          <w:rFonts w:cs="Times New Roman"/>
          <w:szCs w:val="24"/>
          <w:shd w:val="clear" w:color="auto" w:fill="FFFFFF"/>
          <w:lang w:val="sr-Cyrl-CS"/>
        </w:rPr>
        <w:t xml:space="preserve"> и </w:t>
      </w:r>
      <w:hyperlink r:id="rId37" w:tooltip="Zakon o izmenama i dopunama Zakona o privrednim društvima (19/11/2021)" w:history="1">
        <w:r w:rsidR="004B7E54" w:rsidRPr="00092ED7">
          <w:rPr>
            <w:rStyle w:val="Hyperlink"/>
            <w:rFonts w:cs="Times New Roman"/>
            <w:color w:val="auto"/>
            <w:szCs w:val="24"/>
            <w:u w:val="none"/>
            <w:shd w:val="clear" w:color="auto" w:fill="FFFFFF"/>
            <w:lang w:val="sr-Cyrl-CS"/>
          </w:rPr>
          <w:t>109/21</w:t>
        </w:r>
      </w:hyperlink>
      <w:r w:rsidR="004B7E54" w:rsidRPr="00092ED7">
        <w:rPr>
          <w:rFonts w:cs="Times New Roman"/>
          <w:szCs w:val="24"/>
          <w:shd w:val="clear" w:color="auto" w:fill="FFFFFF"/>
          <w:lang w:val="sr-Cyrl-CS"/>
        </w:rPr>
        <w:t>)</w:t>
      </w:r>
      <w:r w:rsidR="004B7E54" w:rsidRPr="00092ED7">
        <w:rPr>
          <w:rFonts w:cs="Times New Roman"/>
          <w:szCs w:val="24"/>
          <w:lang w:val="sr-Cyrl-CS"/>
        </w:rPr>
        <w:t xml:space="preserve"> </w:t>
      </w:r>
      <w:r w:rsidRPr="00092ED7">
        <w:rPr>
          <w:rFonts w:eastAsia="MS PGothic" w:cstheme="minorHAnsi"/>
          <w:szCs w:val="20"/>
          <w:lang w:val="sr-Cyrl-CS" w:eastAsia="ja-JP"/>
        </w:rPr>
        <w:t>и др).</w:t>
      </w:r>
    </w:p>
    <w:p w14:paraId="31554D1C" w14:textId="42E8B526" w:rsidR="008B200E" w:rsidRPr="00092ED7" w:rsidRDefault="008B200E" w:rsidP="00613B5B">
      <w:pPr>
        <w:spacing w:after="60"/>
        <w:rPr>
          <w:spacing w:val="-4"/>
          <w:lang w:val="sr-Cyrl-CS"/>
        </w:rPr>
      </w:pPr>
      <w:r w:rsidRPr="00092ED7">
        <w:rPr>
          <w:rFonts w:eastAsia="MS PGothic" w:cstheme="minorHAnsi"/>
          <w:spacing w:val="-4"/>
          <w:szCs w:val="20"/>
          <w:lang w:val="sr-Cyrl-CS" w:eastAsia="ja-JP"/>
        </w:rPr>
        <w:t>Током јесени 2021. године десили су се поремећаји на енергетском тржишту у свету. Криза у енергетском сектору се само надовезала на већ постоје</w:t>
      </w:r>
      <w:r w:rsidR="00683C38" w:rsidRPr="00092ED7">
        <w:rPr>
          <w:rFonts w:eastAsia="MS PGothic" w:cstheme="minorHAnsi"/>
          <w:spacing w:val="-4"/>
          <w:szCs w:val="20"/>
          <w:lang w:val="sr-Cyrl-CS" w:eastAsia="ja-JP"/>
        </w:rPr>
        <w:t>ћу кризу изазвану пандемијом</w:t>
      </w:r>
      <w:r w:rsidRPr="00092ED7">
        <w:rPr>
          <w:rFonts w:eastAsia="MS PGothic" w:cstheme="minorHAnsi"/>
          <w:spacing w:val="-4"/>
          <w:szCs w:val="20"/>
          <w:lang w:val="sr-Cyrl-CS" w:eastAsia="ja-JP"/>
        </w:rPr>
        <w:t>. Због повећане тражње узроковане постпандемијским развојем економије и проблема у снабдевању, односно недовољне понуде и недовољних залиха, цене природног гаса су достигле историјске максимуме. Ово је подстакло тражњу за угљем, па су и његове цене изузетно порасле. Високе цене гаса и угља, а у Европи и смањена производња из електрана на ветар и високе цене дозвола за емисију CO</w:t>
      </w:r>
      <w:r w:rsidRPr="00092ED7">
        <w:rPr>
          <w:rFonts w:eastAsia="MS PGothic" w:cstheme="minorHAnsi"/>
          <w:spacing w:val="-4"/>
          <w:szCs w:val="20"/>
          <w:vertAlign w:val="subscript"/>
          <w:lang w:val="sr-Cyrl-CS" w:eastAsia="ja-JP"/>
        </w:rPr>
        <w:t>2</w:t>
      </w:r>
      <w:r w:rsidRPr="00092ED7">
        <w:rPr>
          <w:rFonts w:eastAsia="MS PGothic" w:cstheme="minorHAnsi"/>
          <w:spacing w:val="-4"/>
          <w:szCs w:val="20"/>
          <w:lang w:val="sr-Cyrl-CS" w:eastAsia="ja-JP"/>
        </w:rPr>
        <w:t xml:space="preserve"> изазвале су раст цена електричне енергије, такође до историјских максимума. У таквим условима, порасла је производња електричне енергије из угља, јер је она била повољнија од производње из гаса.</w:t>
      </w:r>
    </w:p>
    <w:p w14:paraId="307C0B28" w14:textId="3DE0AA7A" w:rsidR="008B200E" w:rsidRPr="00092ED7" w:rsidRDefault="008B200E" w:rsidP="00613B5B">
      <w:pPr>
        <w:spacing w:after="60"/>
        <w:rPr>
          <w:spacing w:val="-4"/>
          <w:lang w:val="sr-Cyrl-CS"/>
        </w:rPr>
      </w:pPr>
      <w:r w:rsidRPr="00092ED7">
        <w:rPr>
          <w:spacing w:val="-4"/>
          <w:lang w:val="sr-Cyrl-CS"/>
        </w:rPr>
        <w:lastRenderedPageBreak/>
        <w:t xml:space="preserve">До сада се више пута показало, да раст неког од основних енергената, попут нафте и гаса, доводи до раста осталих цена на тржишту, а на целу ову већ тешку ситуацију се надовезала и криза у Украјини, те се као један од кључних проблема наметнуло питање енергетске сигурности и европске зависности од руских фосилних горива. Овај след догађаја утицао је да цене електричне енергије и природног гаса у свету достигну цене знатно веће од уобичајених у последњих неколико година. Енергетска криза неизбежно се прелила и на </w:t>
      </w:r>
      <w:r w:rsidR="003B5902" w:rsidRPr="00092ED7">
        <w:rPr>
          <w:spacing w:val="-4"/>
          <w:lang w:val="sr-Cyrl-CS"/>
        </w:rPr>
        <w:t xml:space="preserve">Републику </w:t>
      </w:r>
      <w:r w:rsidRPr="00092ED7">
        <w:rPr>
          <w:spacing w:val="-4"/>
          <w:lang w:val="sr-Cyrl-CS"/>
        </w:rPr>
        <w:t xml:space="preserve">Србију, а највише су погођена енергетска предузећа, претежно </w:t>
      </w:r>
      <w:r w:rsidR="00217782" w:rsidRPr="00092ED7">
        <w:rPr>
          <w:rFonts w:eastAsia="MS PGothic" w:cs="Times New Roman"/>
          <w:bCs/>
          <w:iCs/>
          <w:szCs w:val="24"/>
          <w:lang w:val="sr-Cyrl-CS" w:eastAsia="ja-JP"/>
        </w:rPr>
        <w:t xml:space="preserve">ЈП ЕПС </w:t>
      </w:r>
      <w:r w:rsidRPr="00092ED7">
        <w:rPr>
          <w:spacing w:val="-4"/>
          <w:lang w:val="sr-Cyrl-CS"/>
        </w:rPr>
        <w:t>и</w:t>
      </w:r>
      <w:r w:rsidR="00096D22" w:rsidRPr="00092ED7">
        <w:rPr>
          <w:spacing w:val="-4"/>
          <w:lang w:val="sr-Cyrl-CS"/>
        </w:rPr>
        <w:t xml:space="preserve"> </w:t>
      </w:r>
      <w:r w:rsidRPr="00092ED7">
        <w:rPr>
          <w:spacing w:val="-4"/>
          <w:lang w:val="sr-Cyrl-CS"/>
        </w:rPr>
        <w:t>Ј</w:t>
      </w:r>
      <w:r w:rsidR="00096D22" w:rsidRPr="00092ED7">
        <w:rPr>
          <w:spacing w:val="-4"/>
          <w:lang w:val="sr-Cyrl-CS"/>
        </w:rPr>
        <w:t xml:space="preserve">авно предузеће </w:t>
      </w:r>
      <w:r w:rsidRPr="00092ED7">
        <w:rPr>
          <w:spacing w:val="-4"/>
          <w:lang w:val="sr-Cyrl-CS"/>
        </w:rPr>
        <w:t>„Србијагас”</w:t>
      </w:r>
      <w:r w:rsidR="00096D22" w:rsidRPr="00092ED7">
        <w:rPr>
          <w:spacing w:val="-4"/>
          <w:lang w:val="sr-Cyrl-CS"/>
        </w:rPr>
        <w:t xml:space="preserve"> Нови Сад</w:t>
      </w:r>
      <w:r w:rsidR="00217782" w:rsidRPr="00092ED7">
        <w:rPr>
          <w:spacing w:val="-4"/>
          <w:lang w:val="sr-Cyrl-CS"/>
        </w:rPr>
        <w:t xml:space="preserve"> (у даљем те</w:t>
      </w:r>
      <w:r w:rsidR="00683C38" w:rsidRPr="00092ED7">
        <w:rPr>
          <w:spacing w:val="-4"/>
          <w:lang w:val="sr-Cyrl-CS"/>
        </w:rPr>
        <w:t xml:space="preserve">ксту: ЈП </w:t>
      </w:r>
      <w:r w:rsidR="00217782" w:rsidRPr="00092ED7">
        <w:rPr>
          <w:spacing w:val="-4"/>
          <w:lang w:val="sr-Cyrl-CS"/>
        </w:rPr>
        <w:t>„Србијагас”)</w:t>
      </w:r>
      <w:r w:rsidRPr="00092ED7">
        <w:rPr>
          <w:spacing w:val="-4"/>
          <w:lang w:val="sr-Cyrl-CS"/>
        </w:rPr>
        <w:t>. Због виших цена електричне енергије, које би угрозиле пословање привредних субјеката у Р</w:t>
      </w:r>
      <w:r w:rsidR="002F42C1" w:rsidRPr="00092ED7">
        <w:rPr>
          <w:spacing w:val="-4"/>
          <w:lang w:val="sr-Cyrl-CS"/>
        </w:rPr>
        <w:t xml:space="preserve">епублици </w:t>
      </w:r>
      <w:r w:rsidRPr="00092ED7">
        <w:rPr>
          <w:spacing w:val="-4"/>
          <w:lang w:val="sr-Cyrl-CS"/>
        </w:rPr>
        <w:t>С</w:t>
      </w:r>
      <w:r w:rsidR="002F42C1" w:rsidRPr="00092ED7">
        <w:rPr>
          <w:spacing w:val="-4"/>
          <w:lang w:val="sr-Cyrl-CS"/>
        </w:rPr>
        <w:t>рбији</w:t>
      </w:r>
      <w:r w:rsidRPr="00092ED7">
        <w:rPr>
          <w:spacing w:val="-4"/>
          <w:lang w:val="sr-Cyrl-CS"/>
        </w:rPr>
        <w:t>, као и енергетских субјеката који обављају делатност преноса, односно дистрибуције електричне енергије (у вези набавке електричне енергије за губитке), препоручено је да ЈП ЕПС те субјекте снабдева по ценама знатно нижим од тржишних, чиме је ЈП ЕПС изложен финансијском ризику, односно ризик раста цена у потпуности је пребачен на ЈП ЕПС.</w:t>
      </w:r>
    </w:p>
    <w:p w14:paraId="21C4CB29" w14:textId="77777777" w:rsidR="008B200E" w:rsidRPr="00092ED7" w:rsidRDefault="008B200E" w:rsidP="00613B5B">
      <w:pPr>
        <w:spacing w:after="60"/>
        <w:rPr>
          <w:lang w:val="sr-Cyrl-CS"/>
        </w:rPr>
      </w:pPr>
      <w:r w:rsidRPr="00092ED7">
        <w:rPr>
          <w:lang w:val="sr-Cyrl-CS"/>
        </w:rPr>
        <w:t>Tоком целе 2022. године, Република Србија се борила да како финансијским, тако и стратешким мерама, обезбеди и осигура снабдевање кључним енергентима. Поред тога, од 1. септембра, на снази је повећање цене електричне енергије, те ће ефекти такве одлуке бити видљиви у предстојећем периоду. Такође, негативни економски и хидролошки трендови, утицали су на неопходност повратка на производњу електричне енергије из угља, те је максимална пажња посвећена набавци овог енергента.</w:t>
      </w:r>
    </w:p>
    <w:p w14:paraId="15B29E44" w14:textId="4A9A85D5" w:rsidR="008B200E" w:rsidRPr="00092ED7" w:rsidRDefault="008B200E" w:rsidP="00613B5B">
      <w:pPr>
        <w:spacing w:after="60"/>
        <w:rPr>
          <w:lang w:val="sr-Cyrl-CS"/>
        </w:rPr>
      </w:pPr>
      <w:r w:rsidRPr="00092ED7">
        <w:rPr>
          <w:lang w:val="sr-Cyrl-CS"/>
        </w:rPr>
        <w:t xml:space="preserve">Што се тиче </w:t>
      </w:r>
      <w:r w:rsidR="00217782" w:rsidRPr="00092ED7">
        <w:rPr>
          <w:spacing w:val="-4"/>
          <w:lang w:val="sr-Cyrl-CS"/>
        </w:rPr>
        <w:t>ЈП</w:t>
      </w:r>
      <w:r w:rsidR="00655755" w:rsidRPr="00092ED7">
        <w:rPr>
          <w:spacing w:val="-4"/>
          <w:lang w:val="sr-Cyrl-CS"/>
        </w:rPr>
        <w:t xml:space="preserve"> </w:t>
      </w:r>
      <w:r w:rsidRPr="00092ED7">
        <w:rPr>
          <w:spacing w:val="-4"/>
          <w:lang w:val="sr-Cyrl-CS"/>
        </w:rPr>
        <w:t>„Србијагас”</w:t>
      </w:r>
      <w:r w:rsidR="00217782" w:rsidRPr="00092ED7">
        <w:rPr>
          <w:spacing w:val="-4"/>
          <w:lang w:val="sr-Cyrl-CS"/>
        </w:rPr>
        <w:t xml:space="preserve">, </w:t>
      </w:r>
      <w:r w:rsidRPr="00092ED7">
        <w:rPr>
          <w:spacing w:val="-4"/>
          <w:lang w:val="sr-Cyrl-CS"/>
        </w:rPr>
        <w:t>п</w:t>
      </w:r>
      <w:r w:rsidRPr="00092ED7">
        <w:rPr>
          <w:lang w:val="sr-Cyrl-CS"/>
        </w:rPr>
        <w:t>роактивним режимом рада обезбеђени су додатни складишни капацитети за природни гас у Мађарској, те у зимску сезону улазимо са више од 650,0 мил. кубних метара гаса у складишту, што је знатно више у односу на стање у истом кварталу претходне године.</w:t>
      </w:r>
    </w:p>
    <w:p w14:paraId="006E5D4A" w14:textId="77777777" w:rsidR="008B200E" w:rsidRPr="00092ED7" w:rsidRDefault="008B200E" w:rsidP="00613B5B">
      <w:pPr>
        <w:spacing w:after="60"/>
        <w:rPr>
          <w:lang w:val="sr-Cyrl-CS"/>
        </w:rPr>
      </w:pPr>
      <w:r w:rsidRPr="00092ED7">
        <w:rPr>
          <w:lang w:val="sr-Cyrl-CS"/>
        </w:rPr>
        <w:t>Будући да се, због неповољних тржишних кретања, финансијска позиција дистрибутера природног гаса знатно погоршала, Република Србија је финансирала набавку резервних количина гаса, као и суфинансирала редовне набавке.</w:t>
      </w:r>
    </w:p>
    <w:p w14:paraId="24FD9768" w14:textId="3E42547C" w:rsidR="008B200E" w:rsidRPr="00092ED7" w:rsidRDefault="008B200E" w:rsidP="00613B5B">
      <w:pPr>
        <w:spacing w:after="60"/>
        <w:rPr>
          <w:lang w:val="sr-Cyrl-CS"/>
        </w:rPr>
      </w:pPr>
      <w:r w:rsidRPr="00092ED7">
        <w:rPr>
          <w:lang w:val="sr-Cyrl-CS"/>
        </w:rPr>
        <w:t xml:space="preserve">Ефекти енергетске кризе у свету, нису заобишли ни ЈП „Путеви Србије”. Ово јавно предузеће идентификовано </w:t>
      </w:r>
      <w:r w:rsidR="002F42C1" w:rsidRPr="00092ED7">
        <w:rPr>
          <w:lang w:val="sr-Cyrl-CS"/>
        </w:rPr>
        <w:t xml:space="preserve">је </w:t>
      </w:r>
      <w:r w:rsidRPr="00092ED7">
        <w:rPr>
          <w:lang w:val="sr-Cyrl-CS"/>
        </w:rPr>
        <w:t>као носилац високог фискалног ризика. Чињеница је да сопственим приходима, оствареним првенствено из путарина, није у могућности да покрије своје високе трошкове, те да цене основних енергената и главних сировина потребних за обављање основне делатности имају растући тренд, могла би додатно да погорша финансијску позицију овог јавног предузећа, а самим тим и повећа ослањање на буџет Републике Србије у циљу даљег пословања. Поред опредељеног износа субвенција Законом о буџету за 2022. годину, Законом о изменама Закона о буџету за 2022. годину опредељено додатних 12,0 млрд динара. Оптерећење буџета је смањено у односу на 2021. годину, међутим</w:t>
      </w:r>
      <w:r w:rsidR="00683C38" w:rsidRPr="00092ED7">
        <w:rPr>
          <w:lang w:val="sr-Cyrl-CS"/>
        </w:rPr>
        <w:t xml:space="preserve"> и</w:t>
      </w:r>
      <w:r w:rsidRPr="00092ED7">
        <w:rPr>
          <w:lang w:val="sr-Cyrl-CS"/>
        </w:rPr>
        <w:t xml:space="preserve"> даље </w:t>
      </w:r>
      <w:r w:rsidR="004B72CD" w:rsidRPr="00092ED7">
        <w:rPr>
          <w:lang w:val="sr-Cyrl-CS"/>
        </w:rPr>
        <w:t xml:space="preserve">постоје високи трошкови </w:t>
      </w:r>
      <w:r w:rsidRPr="00092ED7">
        <w:rPr>
          <w:lang w:val="sr-Cyrl-CS"/>
        </w:rPr>
        <w:t xml:space="preserve">пословања које </w:t>
      </w:r>
      <w:r w:rsidR="004B72CD" w:rsidRPr="00092ED7">
        <w:rPr>
          <w:lang w:val="sr-Cyrl-CS"/>
        </w:rPr>
        <w:t xml:space="preserve">помеуто предузеће </w:t>
      </w:r>
      <w:r w:rsidRPr="00092ED7">
        <w:rPr>
          <w:lang w:val="sr-Cyrl-CS"/>
        </w:rPr>
        <w:t>није у могућности да покрије сопственим приходима.</w:t>
      </w:r>
    </w:p>
    <w:p w14:paraId="2FA63B1D" w14:textId="20DCFADF" w:rsidR="008B200E" w:rsidRPr="00092ED7" w:rsidRDefault="008B200E" w:rsidP="00613B5B">
      <w:pPr>
        <w:spacing w:after="60"/>
        <w:rPr>
          <w:lang w:val="sr-Cyrl-CS"/>
        </w:rPr>
      </w:pPr>
      <w:r w:rsidRPr="00092ED7">
        <w:rPr>
          <w:lang w:val="sr-Cyrl-CS"/>
        </w:rPr>
        <w:t>Слична ситуација идентификована је и код „Коридори Србије” д.о.о</w:t>
      </w:r>
      <w:r w:rsidR="00826CDD" w:rsidRPr="00092ED7">
        <w:rPr>
          <w:lang w:val="sr-Cyrl-CS"/>
        </w:rPr>
        <w:t>. Београд,</w:t>
      </w:r>
      <w:r w:rsidRPr="00092ED7">
        <w:rPr>
          <w:lang w:val="sr-Cyrl-CS"/>
        </w:rPr>
        <w:t xml:space="preserve"> због високих издатака за капиталне инвестиције које су у надлежности овог друштва, те самим тим, промене основних сировина могу значајно повећати трошкове спровођења пројеката и повећати ослањање на буџет Републике Србије, у циљу континуиране реализације пројекта.</w:t>
      </w:r>
    </w:p>
    <w:p w14:paraId="17368DB5" w14:textId="77777777" w:rsidR="008B200E" w:rsidRPr="00092ED7" w:rsidRDefault="008B200E" w:rsidP="00613B5B">
      <w:pPr>
        <w:spacing w:after="60"/>
        <w:rPr>
          <w:highlight w:val="yellow"/>
          <w:lang w:val="sr-Cyrl-CS" w:eastAsia="ja-JP"/>
        </w:rPr>
      </w:pPr>
      <w:r w:rsidRPr="00092ED7">
        <w:rPr>
          <w:rFonts w:eastAsia="MS PGothic" w:cstheme="minorHAnsi"/>
          <w:szCs w:val="20"/>
          <w:lang w:val="sr-Cyrl-CS" w:eastAsia="ja-JP"/>
        </w:rPr>
        <w:t>Укупна имовина републичких јавних предузећа на крају 2021. године износила је 3.217 млрд динара, док је као крајњи резултат остварен нето губитак у износу од 12,7 млрд динара.</w:t>
      </w:r>
    </w:p>
    <w:p w14:paraId="22E7237F" w14:textId="77777777" w:rsidR="00A5229A" w:rsidRPr="00092ED7" w:rsidRDefault="00A5229A" w:rsidP="00613B5B">
      <w:pPr>
        <w:spacing w:before="120" w:after="60"/>
        <w:rPr>
          <w:rFonts w:eastAsia="Calibri" w:cs="Times New Roman"/>
          <w:szCs w:val="24"/>
          <w:lang w:val="sr-Cyrl-CS" w:eastAsia="ja-JP"/>
        </w:rPr>
      </w:pPr>
    </w:p>
    <w:p w14:paraId="18498CF4" w14:textId="77777777" w:rsidR="00A5229A" w:rsidRPr="00092ED7" w:rsidRDefault="00A5229A" w:rsidP="00613B5B">
      <w:pPr>
        <w:spacing w:before="120" w:after="60"/>
        <w:rPr>
          <w:rFonts w:eastAsia="Calibri" w:cs="Times New Roman"/>
          <w:szCs w:val="24"/>
          <w:lang w:val="sr-Cyrl-CS" w:eastAsia="ja-JP"/>
        </w:rPr>
      </w:pPr>
    </w:p>
    <w:p w14:paraId="58B1253F" w14:textId="77777777" w:rsidR="008B200E" w:rsidRPr="00092ED7" w:rsidRDefault="008B200E" w:rsidP="00613B5B">
      <w:pPr>
        <w:spacing w:before="120" w:after="60"/>
        <w:rPr>
          <w:rFonts w:eastAsia="Calibri" w:cs="Times New Roman"/>
          <w:szCs w:val="24"/>
          <w:lang w:val="sr-Cyrl-CS" w:eastAsia="ja-JP"/>
        </w:rPr>
      </w:pPr>
      <w:r w:rsidRPr="00092ED7">
        <w:rPr>
          <w:rFonts w:eastAsia="Calibri" w:cs="Times New Roman"/>
          <w:szCs w:val="24"/>
          <w:lang w:val="sr-Cyrl-CS" w:eastAsia="ja-JP"/>
        </w:rPr>
        <w:lastRenderedPageBreak/>
        <w:t>Табела 12. Главни финансијски показатељи пословања јавних предузећа, млрд динара</w:t>
      </w:r>
    </w:p>
    <w:tbl>
      <w:tblPr>
        <w:tblW w:w="86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03"/>
        <w:gridCol w:w="1772"/>
        <w:gridCol w:w="1772"/>
      </w:tblGrid>
      <w:tr w:rsidR="008B200E" w:rsidRPr="00092ED7" w14:paraId="2CC86EEA" w14:textId="77777777" w:rsidTr="00613B5B">
        <w:trPr>
          <w:trHeight w:val="25"/>
        </w:trPr>
        <w:tc>
          <w:tcPr>
            <w:tcW w:w="5103" w:type="dxa"/>
            <w:shd w:val="clear" w:color="auto" w:fill="auto"/>
            <w:noWrap/>
            <w:hideMark/>
          </w:tcPr>
          <w:p w14:paraId="1EEED7B7" w14:textId="77777777" w:rsidR="008B200E" w:rsidRPr="00092ED7" w:rsidRDefault="008B200E" w:rsidP="00A06946">
            <w:pPr>
              <w:spacing w:after="0"/>
              <w:rPr>
                <w:rFonts w:eastAsia="Times New Roman" w:cs="Times New Roman"/>
                <w:b/>
                <w:sz w:val="20"/>
                <w:szCs w:val="20"/>
                <w:lang w:val="sr-Cyrl-CS" w:eastAsia="sr-Cyrl-RS"/>
              </w:rPr>
            </w:pPr>
            <w:r w:rsidRPr="00092ED7">
              <w:rPr>
                <w:rFonts w:cs="Times New Roman"/>
                <w:b/>
                <w:sz w:val="20"/>
                <w:szCs w:val="20"/>
                <w:lang w:val="sr-Cyrl-CS"/>
              </w:rPr>
              <w:t>Опис</w:t>
            </w:r>
          </w:p>
        </w:tc>
        <w:tc>
          <w:tcPr>
            <w:tcW w:w="1772" w:type="dxa"/>
            <w:shd w:val="clear" w:color="auto" w:fill="auto"/>
            <w:noWrap/>
            <w:hideMark/>
          </w:tcPr>
          <w:p w14:paraId="4BD63FFA" w14:textId="77777777" w:rsidR="008B200E" w:rsidRPr="00092ED7" w:rsidRDefault="008B200E" w:rsidP="00A06946">
            <w:pPr>
              <w:spacing w:after="0"/>
              <w:jc w:val="right"/>
              <w:rPr>
                <w:rFonts w:eastAsia="Times New Roman" w:cs="Times New Roman"/>
                <w:b/>
                <w:sz w:val="20"/>
                <w:szCs w:val="20"/>
                <w:lang w:val="sr-Cyrl-CS" w:eastAsia="sr-Cyrl-RS"/>
              </w:rPr>
            </w:pPr>
            <w:r w:rsidRPr="00092ED7">
              <w:rPr>
                <w:b/>
                <w:sz w:val="20"/>
                <w:szCs w:val="20"/>
                <w:lang w:val="sr-Cyrl-CS"/>
              </w:rPr>
              <w:t>2020</w:t>
            </w:r>
          </w:p>
        </w:tc>
        <w:tc>
          <w:tcPr>
            <w:tcW w:w="1772" w:type="dxa"/>
            <w:shd w:val="clear" w:color="auto" w:fill="auto"/>
            <w:noWrap/>
            <w:hideMark/>
          </w:tcPr>
          <w:p w14:paraId="75613202" w14:textId="77777777" w:rsidR="008B200E" w:rsidRPr="00092ED7" w:rsidRDefault="008B200E" w:rsidP="00A06946">
            <w:pPr>
              <w:spacing w:after="0"/>
              <w:jc w:val="right"/>
              <w:rPr>
                <w:rFonts w:eastAsia="Times New Roman" w:cs="Times New Roman"/>
                <w:b/>
                <w:sz w:val="20"/>
                <w:szCs w:val="20"/>
                <w:lang w:val="sr-Cyrl-CS" w:eastAsia="sr-Cyrl-RS"/>
              </w:rPr>
            </w:pPr>
            <w:r w:rsidRPr="00092ED7">
              <w:rPr>
                <w:b/>
                <w:sz w:val="20"/>
                <w:szCs w:val="20"/>
                <w:lang w:val="sr-Cyrl-CS"/>
              </w:rPr>
              <w:t>2021</w:t>
            </w:r>
          </w:p>
        </w:tc>
      </w:tr>
      <w:tr w:rsidR="008B200E" w:rsidRPr="00092ED7" w14:paraId="375D2485" w14:textId="77777777" w:rsidTr="00613B5B">
        <w:trPr>
          <w:trHeight w:val="25"/>
        </w:trPr>
        <w:tc>
          <w:tcPr>
            <w:tcW w:w="5103" w:type="dxa"/>
            <w:shd w:val="clear" w:color="auto" w:fill="auto"/>
            <w:noWrap/>
            <w:hideMark/>
          </w:tcPr>
          <w:p w14:paraId="2053C7F9" w14:textId="77777777" w:rsidR="008B200E" w:rsidRPr="00092ED7" w:rsidRDefault="008B200E" w:rsidP="00A06946">
            <w:pPr>
              <w:spacing w:after="0"/>
              <w:rPr>
                <w:rFonts w:eastAsia="Times New Roman" w:cs="Times New Roman"/>
                <w:sz w:val="20"/>
                <w:szCs w:val="20"/>
                <w:lang w:val="sr-Cyrl-CS" w:eastAsia="sr-Cyrl-RS"/>
              </w:rPr>
            </w:pPr>
            <w:r w:rsidRPr="00092ED7">
              <w:rPr>
                <w:rFonts w:cs="Times New Roman"/>
                <w:sz w:val="20"/>
                <w:szCs w:val="20"/>
                <w:lang w:val="sr-Cyrl-CS"/>
              </w:rPr>
              <w:t>Укупна имовина</w:t>
            </w:r>
          </w:p>
        </w:tc>
        <w:tc>
          <w:tcPr>
            <w:tcW w:w="1772" w:type="dxa"/>
            <w:shd w:val="clear" w:color="auto" w:fill="auto"/>
            <w:noWrap/>
            <w:hideMark/>
          </w:tcPr>
          <w:p w14:paraId="492B6171" w14:textId="77777777" w:rsidR="008B200E" w:rsidRPr="00092ED7" w:rsidRDefault="008B200E" w:rsidP="00A06946">
            <w:pPr>
              <w:spacing w:after="0"/>
              <w:jc w:val="right"/>
              <w:rPr>
                <w:rFonts w:eastAsia="Times New Roman" w:cs="Times New Roman"/>
                <w:sz w:val="20"/>
                <w:szCs w:val="20"/>
                <w:lang w:val="sr-Cyrl-CS" w:eastAsia="sr-Cyrl-RS"/>
              </w:rPr>
            </w:pPr>
            <w:r w:rsidRPr="00092ED7">
              <w:rPr>
                <w:sz w:val="20"/>
                <w:szCs w:val="20"/>
                <w:lang w:val="sr-Cyrl-CS"/>
              </w:rPr>
              <w:t>2.654</w:t>
            </w:r>
          </w:p>
        </w:tc>
        <w:tc>
          <w:tcPr>
            <w:tcW w:w="1772" w:type="dxa"/>
            <w:shd w:val="clear" w:color="auto" w:fill="auto"/>
            <w:noWrap/>
            <w:hideMark/>
          </w:tcPr>
          <w:p w14:paraId="2045F88E" w14:textId="77777777" w:rsidR="008B200E" w:rsidRPr="00092ED7" w:rsidRDefault="008B200E" w:rsidP="00A06946">
            <w:pPr>
              <w:spacing w:after="0"/>
              <w:jc w:val="right"/>
              <w:rPr>
                <w:rFonts w:eastAsia="Times New Roman" w:cs="Times New Roman"/>
                <w:sz w:val="20"/>
                <w:szCs w:val="20"/>
                <w:lang w:val="sr-Cyrl-CS" w:eastAsia="sr-Cyrl-RS"/>
              </w:rPr>
            </w:pPr>
            <w:r w:rsidRPr="00092ED7">
              <w:rPr>
                <w:sz w:val="20"/>
                <w:szCs w:val="20"/>
                <w:lang w:val="sr-Cyrl-CS"/>
              </w:rPr>
              <w:t>3.217</w:t>
            </w:r>
          </w:p>
        </w:tc>
      </w:tr>
      <w:tr w:rsidR="008B200E" w:rsidRPr="00092ED7" w14:paraId="386053D0" w14:textId="77777777" w:rsidTr="00613B5B">
        <w:trPr>
          <w:trHeight w:val="25"/>
        </w:trPr>
        <w:tc>
          <w:tcPr>
            <w:tcW w:w="5103" w:type="dxa"/>
            <w:shd w:val="clear" w:color="auto" w:fill="auto"/>
            <w:noWrap/>
            <w:hideMark/>
          </w:tcPr>
          <w:p w14:paraId="0B4EE05B" w14:textId="77777777" w:rsidR="008B200E" w:rsidRPr="00092ED7" w:rsidRDefault="008B200E" w:rsidP="00613B5B">
            <w:pPr>
              <w:spacing w:after="0"/>
              <w:jc w:val="left"/>
              <w:rPr>
                <w:rFonts w:eastAsia="Times New Roman" w:cs="Times New Roman"/>
                <w:sz w:val="20"/>
                <w:szCs w:val="20"/>
                <w:lang w:val="sr-Cyrl-CS" w:eastAsia="sr-Cyrl-RS"/>
              </w:rPr>
            </w:pPr>
            <w:r w:rsidRPr="00092ED7">
              <w:rPr>
                <w:rFonts w:cs="Times New Roman"/>
                <w:sz w:val="20"/>
                <w:szCs w:val="20"/>
                <w:lang w:val="sr-Cyrl-CS"/>
              </w:rPr>
              <w:t>Сопствени капитал</w:t>
            </w:r>
          </w:p>
        </w:tc>
        <w:tc>
          <w:tcPr>
            <w:tcW w:w="1772" w:type="dxa"/>
            <w:shd w:val="clear" w:color="auto" w:fill="auto"/>
            <w:noWrap/>
            <w:hideMark/>
          </w:tcPr>
          <w:p w14:paraId="6C01B4F5" w14:textId="77777777" w:rsidR="008B200E" w:rsidRPr="00092ED7" w:rsidRDefault="008B200E" w:rsidP="00A06946">
            <w:pPr>
              <w:spacing w:after="0"/>
              <w:jc w:val="right"/>
              <w:rPr>
                <w:rFonts w:eastAsia="Times New Roman" w:cs="Times New Roman"/>
                <w:sz w:val="20"/>
                <w:szCs w:val="20"/>
                <w:lang w:val="sr-Cyrl-CS" w:eastAsia="sr-Cyrl-RS"/>
              </w:rPr>
            </w:pPr>
            <w:r w:rsidRPr="00092ED7">
              <w:rPr>
                <w:sz w:val="20"/>
                <w:szCs w:val="20"/>
                <w:lang w:val="sr-Cyrl-CS"/>
              </w:rPr>
              <w:t>1.033</w:t>
            </w:r>
          </w:p>
        </w:tc>
        <w:tc>
          <w:tcPr>
            <w:tcW w:w="1772" w:type="dxa"/>
            <w:shd w:val="clear" w:color="auto" w:fill="auto"/>
            <w:noWrap/>
            <w:hideMark/>
          </w:tcPr>
          <w:p w14:paraId="18881A29" w14:textId="77777777" w:rsidR="008B200E" w:rsidRPr="00092ED7" w:rsidRDefault="008B200E" w:rsidP="00A06946">
            <w:pPr>
              <w:spacing w:after="0"/>
              <w:jc w:val="right"/>
              <w:rPr>
                <w:rFonts w:eastAsia="Times New Roman" w:cs="Times New Roman"/>
                <w:sz w:val="20"/>
                <w:szCs w:val="20"/>
                <w:lang w:val="sr-Cyrl-CS" w:eastAsia="sr-Cyrl-RS"/>
              </w:rPr>
            </w:pPr>
            <w:r w:rsidRPr="00092ED7">
              <w:rPr>
                <w:sz w:val="20"/>
                <w:szCs w:val="20"/>
                <w:lang w:val="sr-Cyrl-CS"/>
              </w:rPr>
              <w:t>1.140</w:t>
            </w:r>
          </w:p>
        </w:tc>
      </w:tr>
      <w:tr w:rsidR="008B200E" w:rsidRPr="00092ED7" w14:paraId="0B673FC1" w14:textId="77777777" w:rsidTr="00613B5B">
        <w:trPr>
          <w:trHeight w:val="25"/>
        </w:trPr>
        <w:tc>
          <w:tcPr>
            <w:tcW w:w="5103" w:type="dxa"/>
            <w:shd w:val="clear" w:color="auto" w:fill="auto"/>
            <w:noWrap/>
            <w:hideMark/>
          </w:tcPr>
          <w:p w14:paraId="627C1FE3" w14:textId="77777777" w:rsidR="008B200E" w:rsidRPr="00092ED7" w:rsidRDefault="008B200E" w:rsidP="00A06946">
            <w:pPr>
              <w:spacing w:after="0"/>
              <w:rPr>
                <w:rFonts w:eastAsia="Times New Roman" w:cs="Times New Roman"/>
                <w:sz w:val="20"/>
                <w:szCs w:val="20"/>
                <w:lang w:val="sr-Cyrl-CS" w:eastAsia="sr-Cyrl-RS"/>
              </w:rPr>
            </w:pPr>
            <w:r w:rsidRPr="00092ED7">
              <w:rPr>
                <w:rFonts w:cs="Times New Roman"/>
                <w:sz w:val="20"/>
                <w:szCs w:val="20"/>
                <w:lang w:val="sr-Cyrl-CS"/>
              </w:rPr>
              <w:t>Укупни приходи</w:t>
            </w:r>
          </w:p>
        </w:tc>
        <w:tc>
          <w:tcPr>
            <w:tcW w:w="1772" w:type="dxa"/>
            <w:shd w:val="clear" w:color="auto" w:fill="auto"/>
            <w:noWrap/>
            <w:hideMark/>
          </w:tcPr>
          <w:p w14:paraId="4EE032B0" w14:textId="77777777" w:rsidR="008B200E" w:rsidRPr="00092ED7" w:rsidRDefault="008B200E" w:rsidP="00A06946">
            <w:pPr>
              <w:spacing w:after="0"/>
              <w:jc w:val="right"/>
              <w:rPr>
                <w:rFonts w:eastAsia="Times New Roman" w:cs="Times New Roman"/>
                <w:sz w:val="20"/>
                <w:szCs w:val="20"/>
                <w:lang w:val="sr-Cyrl-CS" w:eastAsia="sr-Cyrl-RS"/>
              </w:rPr>
            </w:pPr>
            <w:r w:rsidRPr="00092ED7">
              <w:rPr>
                <w:sz w:val="20"/>
                <w:szCs w:val="20"/>
                <w:lang w:val="sr-Cyrl-CS"/>
              </w:rPr>
              <w:t>536,4</w:t>
            </w:r>
          </w:p>
        </w:tc>
        <w:tc>
          <w:tcPr>
            <w:tcW w:w="1772" w:type="dxa"/>
            <w:shd w:val="clear" w:color="auto" w:fill="auto"/>
            <w:noWrap/>
            <w:hideMark/>
          </w:tcPr>
          <w:p w14:paraId="0A056102" w14:textId="77777777" w:rsidR="008B200E" w:rsidRPr="00092ED7" w:rsidRDefault="008B200E" w:rsidP="00A06946">
            <w:pPr>
              <w:spacing w:after="0"/>
              <w:jc w:val="right"/>
              <w:rPr>
                <w:rFonts w:eastAsia="Times New Roman" w:cs="Times New Roman"/>
                <w:sz w:val="20"/>
                <w:szCs w:val="20"/>
                <w:lang w:val="sr-Cyrl-CS" w:eastAsia="sr-Cyrl-RS"/>
              </w:rPr>
            </w:pPr>
            <w:r w:rsidRPr="00092ED7">
              <w:rPr>
                <w:sz w:val="20"/>
                <w:szCs w:val="20"/>
                <w:lang w:val="sr-Cyrl-CS"/>
              </w:rPr>
              <w:t>776</w:t>
            </w:r>
          </w:p>
        </w:tc>
      </w:tr>
      <w:tr w:rsidR="008B200E" w:rsidRPr="00092ED7" w14:paraId="7B19CCB2" w14:textId="77777777" w:rsidTr="00613B5B">
        <w:trPr>
          <w:trHeight w:val="25"/>
        </w:trPr>
        <w:tc>
          <w:tcPr>
            <w:tcW w:w="5103" w:type="dxa"/>
            <w:shd w:val="clear" w:color="auto" w:fill="auto"/>
            <w:noWrap/>
            <w:hideMark/>
          </w:tcPr>
          <w:p w14:paraId="1305812B" w14:textId="77777777" w:rsidR="008B200E" w:rsidRPr="00092ED7" w:rsidRDefault="008B200E" w:rsidP="00A06946">
            <w:pPr>
              <w:spacing w:after="0"/>
              <w:rPr>
                <w:rFonts w:eastAsia="Times New Roman" w:cs="Times New Roman"/>
                <w:sz w:val="20"/>
                <w:szCs w:val="20"/>
                <w:lang w:val="sr-Cyrl-CS" w:eastAsia="sr-Cyrl-RS"/>
              </w:rPr>
            </w:pPr>
            <w:r w:rsidRPr="00092ED7">
              <w:rPr>
                <w:rFonts w:cs="Times New Roman"/>
                <w:sz w:val="20"/>
                <w:szCs w:val="20"/>
                <w:lang w:val="sr-Cyrl-CS"/>
              </w:rPr>
              <w:t>Нето добитак</w:t>
            </w:r>
          </w:p>
        </w:tc>
        <w:tc>
          <w:tcPr>
            <w:tcW w:w="1772" w:type="dxa"/>
            <w:shd w:val="clear" w:color="auto" w:fill="auto"/>
            <w:noWrap/>
            <w:hideMark/>
          </w:tcPr>
          <w:p w14:paraId="55390EFC" w14:textId="77777777" w:rsidR="008B200E" w:rsidRPr="00092ED7" w:rsidRDefault="008B200E" w:rsidP="00A06946">
            <w:pPr>
              <w:spacing w:after="0"/>
              <w:jc w:val="right"/>
              <w:rPr>
                <w:rFonts w:eastAsia="Times New Roman" w:cs="Times New Roman"/>
                <w:sz w:val="20"/>
                <w:szCs w:val="20"/>
                <w:lang w:val="sr-Cyrl-CS" w:eastAsia="sr-Cyrl-RS"/>
              </w:rPr>
            </w:pPr>
            <w:r w:rsidRPr="00092ED7">
              <w:rPr>
                <w:sz w:val="20"/>
                <w:szCs w:val="20"/>
                <w:lang w:val="sr-Cyrl-CS"/>
              </w:rPr>
              <w:t>15,2</w:t>
            </w:r>
          </w:p>
        </w:tc>
        <w:tc>
          <w:tcPr>
            <w:tcW w:w="1772" w:type="dxa"/>
            <w:shd w:val="clear" w:color="auto" w:fill="auto"/>
            <w:noWrap/>
            <w:hideMark/>
          </w:tcPr>
          <w:p w14:paraId="0900B483" w14:textId="77777777" w:rsidR="008B200E" w:rsidRPr="00092ED7" w:rsidRDefault="008B200E" w:rsidP="00A06946">
            <w:pPr>
              <w:spacing w:after="0"/>
              <w:jc w:val="right"/>
              <w:rPr>
                <w:rFonts w:eastAsia="Times New Roman" w:cs="Times New Roman"/>
                <w:sz w:val="20"/>
                <w:szCs w:val="20"/>
                <w:lang w:val="sr-Cyrl-CS" w:eastAsia="sr-Cyrl-RS"/>
              </w:rPr>
            </w:pPr>
            <w:r w:rsidRPr="00092ED7">
              <w:rPr>
                <w:sz w:val="20"/>
                <w:szCs w:val="20"/>
                <w:lang w:val="sr-Cyrl-CS"/>
              </w:rPr>
              <w:t>-12,7</w:t>
            </w:r>
          </w:p>
        </w:tc>
      </w:tr>
      <w:tr w:rsidR="008B200E" w:rsidRPr="00092ED7" w14:paraId="0506A742" w14:textId="77777777" w:rsidTr="00613B5B">
        <w:trPr>
          <w:trHeight w:val="25"/>
        </w:trPr>
        <w:tc>
          <w:tcPr>
            <w:tcW w:w="5103" w:type="dxa"/>
            <w:shd w:val="clear" w:color="auto" w:fill="auto"/>
            <w:noWrap/>
            <w:hideMark/>
          </w:tcPr>
          <w:p w14:paraId="27CEB0F7" w14:textId="77777777" w:rsidR="008B200E" w:rsidRPr="00092ED7" w:rsidRDefault="008B200E" w:rsidP="00A06946">
            <w:pPr>
              <w:spacing w:after="0"/>
              <w:rPr>
                <w:rFonts w:eastAsia="Times New Roman" w:cs="Times New Roman"/>
                <w:sz w:val="20"/>
                <w:szCs w:val="20"/>
                <w:lang w:val="sr-Cyrl-CS" w:eastAsia="sr-Cyrl-RS"/>
              </w:rPr>
            </w:pPr>
            <w:r w:rsidRPr="00092ED7">
              <w:rPr>
                <w:rFonts w:cs="Times New Roman"/>
                <w:sz w:val="20"/>
                <w:szCs w:val="20"/>
                <w:lang w:val="sr-Cyrl-CS"/>
              </w:rPr>
              <w:t>Субвенције</w:t>
            </w:r>
          </w:p>
        </w:tc>
        <w:tc>
          <w:tcPr>
            <w:tcW w:w="1772" w:type="dxa"/>
            <w:shd w:val="clear" w:color="auto" w:fill="auto"/>
            <w:noWrap/>
            <w:hideMark/>
          </w:tcPr>
          <w:p w14:paraId="3F67C793" w14:textId="77777777" w:rsidR="008B200E" w:rsidRPr="00092ED7" w:rsidRDefault="008B200E" w:rsidP="00A06946">
            <w:pPr>
              <w:spacing w:after="0"/>
              <w:jc w:val="right"/>
              <w:rPr>
                <w:rFonts w:eastAsia="Times New Roman" w:cs="Times New Roman"/>
                <w:sz w:val="20"/>
                <w:szCs w:val="20"/>
                <w:lang w:val="sr-Cyrl-CS" w:eastAsia="sr-Cyrl-RS"/>
              </w:rPr>
            </w:pPr>
            <w:r w:rsidRPr="00092ED7">
              <w:rPr>
                <w:sz w:val="20"/>
                <w:szCs w:val="20"/>
                <w:lang w:val="sr-Cyrl-CS"/>
              </w:rPr>
              <w:t>66,7</w:t>
            </w:r>
          </w:p>
        </w:tc>
        <w:tc>
          <w:tcPr>
            <w:tcW w:w="1772" w:type="dxa"/>
            <w:shd w:val="clear" w:color="auto" w:fill="auto"/>
            <w:noWrap/>
            <w:hideMark/>
          </w:tcPr>
          <w:p w14:paraId="0B60360F" w14:textId="77777777" w:rsidR="008B200E" w:rsidRPr="00092ED7" w:rsidRDefault="008B200E" w:rsidP="00A06946">
            <w:pPr>
              <w:spacing w:after="0"/>
              <w:jc w:val="right"/>
              <w:rPr>
                <w:rFonts w:eastAsia="Times New Roman" w:cs="Times New Roman"/>
                <w:sz w:val="20"/>
                <w:szCs w:val="20"/>
                <w:lang w:val="sr-Cyrl-CS" w:eastAsia="sr-Cyrl-RS"/>
              </w:rPr>
            </w:pPr>
            <w:r w:rsidRPr="00092ED7">
              <w:rPr>
                <w:sz w:val="20"/>
                <w:szCs w:val="20"/>
                <w:lang w:val="sr-Cyrl-CS"/>
              </w:rPr>
              <w:t>67,3</w:t>
            </w:r>
          </w:p>
        </w:tc>
      </w:tr>
      <w:tr w:rsidR="008B200E" w:rsidRPr="00092ED7" w14:paraId="625D8F04" w14:textId="77777777" w:rsidTr="00613B5B">
        <w:trPr>
          <w:trHeight w:val="25"/>
        </w:trPr>
        <w:tc>
          <w:tcPr>
            <w:tcW w:w="5103" w:type="dxa"/>
            <w:shd w:val="clear" w:color="auto" w:fill="auto"/>
            <w:noWrap/>
            <w:hideMark/>
          </w:tcPr>
          <w:p w14:paraId="6B4B3F3A" w14:textId="77777777" w:rsidR="008B200E" w:rsidRPr="00092ED7" w:rsidRDefault="008B200E" w:rsidP="00A06946">
            <w:pPr>
              <w:spacing w:after="0"/>
              <w:rPr>
                <w:rFonts w:eastAsia="Times New Roman" w:cs="Times New Roman"/>
                <w:sz w:val="20"/>
                <w:szCs w:val="20"/>
                <w:lang w:val="sr-Cyrl-CS" w:eastAsia="sr-Cyrl-RS"/>
              </w:rPr>
            </w:pPr>
            <w:r w:rsidRPr="00092ED7">
              <w:rPr>
                <w:rFonts w:cs="Times New Roman"/>
                <w:sz w:val="20"/>
                <w:szCs w:val="20"/>
                <w:lang w:val="sr-Cyrl-CS"/>
              </w:rPr>
              <w:t>Субвенције, без ЈП „Путеви Србије”</w:t>
            </w:r>
          </w:p>
        </w:tc>
        <w:tc>
          <w:tcPr>
            <w:tcW w:w="1772" w:type="dxa"/>
            <w:shd w:val="clear" w:color="auto" w:fill="auto"/>
            <w:noWrap/>
            <w:hideMark/>
          </w:tcPr>
          <w:p w14:paraId="40C59360" w14:textId="77777777" w:rsidR="008B200E" w:rsidRPr="00092ED7" w:rsidRDefault="008B200E" w:rsidP="00A06946">
            <w:pPr>
              <w:spacing w:after="0"/>
              <w:jc w:val="right"/>
              <w:rPr>
                <w:rFonts w:eastAsia="Times New Roman" w:cs="Times New Roman"/>
                <w:sz w:val="20"/>
                <w:szCs w:val="20"/>
                <w:lang w:val="sr-Cyrl-CS" w:eastAsia="sr-Cyrl-RS"/>
              </w:rPr>
            </w:pPr>
            <w:r w:rsidRPr="00092ED7">
              <w:rPr>
                <w:sz w:val="20"/>
                <w:szCs w:val="20"/>
                <w:lang w:val="sr-Cyrl-CS"/>
              </w:rPr>
              <w:t>39,8</w:t>
            </w:r>
          </w:p>
        </w:tc>
        <w:tc>
          <w:tcPr>
            <w:tcW w:w="1772" w:type="dxa"/>
            <w:shd w:val="clear" w:color="auto" w:fill="auto"/>
            <w:noWrap/>
            <w:hideMark/>
          </w:tcPr>
          <w:p w14:paraId="76B394BA" w14:textId="77777777" w:rsidR="008B200E" w:rsidRPr="00092ED7" w:rsidRDefault="008B200E" w:rsidP="00A06946">
            <w:pPr>
              <w:spacing w:after="0"/>
              <w:jc w:val="right"/>
              <w:rPr>
                <w:rFonts w:eastAsia="Times New Roman" w:cs="Times New Roman"/>
                <w:sz w:val="20"/>
                <w:szCs w:val="20"/>
                <w:lang w:val="sr-Cyrl-CS" w:eastAsia="sr-Cyrl-RS"/>
              </w:rPr>
            </w:pPr>
            <w:r w:rsidRPr="00092ED7">
              <w:rPr>
                <w:sz w:val="20"/>
                <w:szCs w:val="20"/>
                <w:lang w:val="sr-Cyrl-CS"/>
              </w:rPr>
              <w:t>38,1</w:t>
            </w:r>
          </w:p>
        </w:tc>
      </w:tr>
    </w:tbl>
    <w:p w14:paraId="3A447893" w14:textId="77777777" w:rsidR="008B200E" w:rsidRPr="00092ED7" w:rsidRDefault="008B200E" w:rsidP="00613B5B">
      <w:pPr>
        <w:spacing w:before="60"/>
        <w:rPr>
          <w:rFonts w:eastAsia="Calibri" w:cs="Times New Roman"/>
          <w:bCs/>
          <w:sz w:val="18"/>
          <w:szCs w:val="18"/>
          <w:lang w:val="sr-Cyrl-CS" w:eastAsia="ja-JP"/>
        </w:rPr>
      </w:pPr>
      <w:r w:rsidRPr="00092ED7">
        <w:rPr>
          <w:rFonts w:eastAsia="Calibri" w:cs="Times New Roman"/>
          <w:bCs/>
          <w:sz w:val="18"/>
          <w:szCs w:val="18"/>
          <w:lang w:val="sr-Cyrl-CS" w:eastAsia="ja-JP"/>
        </w:rPr>
        <w:t>Извор: Финансијски извештаји за 2020. и 2021. годину</w:t>
      </w:r>
    </w:p>
    <w:p w14:paraId="6FD27D5C" w14:textId="77777777" w:rsidR="008B200E" w:rsidRPr="00092ED7" w:rsidRDefault="008B200E" w:rsidP="00613B5B">
      <w:pPr>
        <w:spacing w:after="60"/>
        <w:rPr>
          <w:highlight w:val="yellow"/>
          <w:lang w:val="sr-Cyrl-CS" w:eastAsia="ja-JP"/>
        </w:rPr>
      </w:pPr>
      <w:r w:rsidRPr="00092ED7">
        <w:rPr>
          <w:rFonts w:eastAsia="MS PGothic" w:cstheme="minorHAnsi"/>
          <w:szCs w:val="20"/>
          <w:lang w:val="sr-Cyrl-CS" w:eastAsia="ja-JP"/>
        </w:rPr>
        <w:t>У 2021. години субвенције су, изражене у проценту укупних прихода, на нижем нивоу у односу на претходну годину и чине 8,7% укупних прихода јавних предузећа. Одређене субвенције имају капитални карактер, као што су субвенције за ЈП „Путеви Србије</w:t>
      </w:r>
      <w:r w:rsidRPr="00092ED7">
        <w:rPr>
          <w:rFonts w:eastAsia="MS PGothic" w:cstheme="minorHAnsi"/>
          <w:bCs/>
          <w:szCs w:val="20"/>
          <w:lang w:val="sr-Cyrl-CS" w:eastAsia="ja-JP"/>
        </w:rPr>
        <w:t>”</w:t>
      </w:r>
      <w:r w:rsidRPr="00092ED7">
        <w:rPr>
          <w:rFonts w:eastAsia="MS PGothic" w:cstheme="minorHAnsi"/>
          <w:szCs w:val="20"/>
          <w:lang w:val="sr-Cyrl-CS" w:eastAsia="ja-JP"/>
        </w:rPr>
        <w:t>, које су намењене реконструкцији путне инфраструктуре.</w:t>
      </w:r>
    </w:p>
    <w:p w14:paraId="79202A14" w14:textId="7D402454" w:rsidR="008B200E" w:rsidRPr="00092ED7" w:rsidRDefault="008B200E" w:rsidP="00613B5B">
      <w:pPr>
        <w:spacing w:after="60"/>
        <w:rPr>
          <w:highlight w:val="yellow"/>
          <w:lang w:val="sr-Cyrl-CS" w:eastAsia="ja-JP"/>
        </w:rPr>
      </w:pPr>
      <w:r w:rsidRPr="00092ED7">
        <w:rPr>
          <w:rFonts w:eastAsia="MS PGothic" w:cstheme="minorHAnsi"/>
          <w:szCs w:val="20"/>
          <w:lang w:val="sr-Cyrl-CS" w:eastAsia="ja-JP"/>
        </w:rPr>
        <w:t>Укупан нето резултат утврђен у првој половини 2022. године је губитак у износу од 42,9 млрд динара. Резултат текуће године је прецењен за трошкове амортизације ЈП „Путеви Србије</w:t>
      </w:r>
      <w:r w:rsidRPr="00092ED7">
        <w:rPr>
          <w:rFonts w:eastAsia="MS PGothic" w:cstheme="minorHAnsi"/>
          <w:bCs/>
          <w:szCs w:val="20"/>
          <w:lang w:val="sr-Cyrl-CS" w:eastAsia="ja-JP"/>
        </w:rPr>
        <w:t>”</w:t>
      </w:r>
      <w:r w:rsidRPr="00092ED7">
        <w:rPr>
          <w:rFonts w:eastAsia="MS PGothic" w:cstheme="minorHAnsi"/>
          <w:szCs w:val="20"/>
          <w:lang w:val="sr-Cyrl-CS" w:eastAsia="ja-JP"/>
        </w:rPr>
        <w:t xml:space="preserve">, јер предузеће ове трошкове књижи тек на крају године у целокупном износу за дату годину. У првој половини текуће године добит је остварило 24 предузећа у укупном износу од 10,4 млрд динара, то је мање у односу на планирано (планирана вредност износи 19,5 млрд динара). Највећи утицај на позитиван нето резултат у посматраном периоду има </w:t>
      </w:r>
      <w:r w:rsidR="00826CDD" w:rsidRPr="00092ED7">
        <w:rPr>
          <w:rFonts w:eastAsia="MS PGothic" w:cstheme="minorHAnsi"/>
          <w:szCs w:val="20"/>
          <w:lang w:val="sr-Cyrl-CS" w:eastAsia="ja-JP"/>
        </w:rPr>
        <w:t xml:space="preserve">АД </w:t>
      </w:r>
      <w:r w:rsidR="000B339E" w:rsidRPr="00092ED7">
        <w:rPr>
          <w:rFonts w:eastAsia="MS PGothic" w:cstheme="minorHAnsi"/>
          <w:szCs w:val="20"/>
          <w:lang w:val="sr-Cyrl-CS" w:eastAsia="ja-JP"/>
        </w:rPr>
        <w:t>„Електромрежа Србије”</w:t>
      </w:r>
      <w:r w:rsidRPr="00092ED7">
        <w:rPr>
          <w:rFonts w:eastAsia="MS PGothic" w:cstheme="minorHAnsi"/>
          <w:szCs w:val="20"/>
          <w:lang w:val="sr-Cyrl-CS" w:eastAsia="ja-JP"/>
        </w:rPr>
        <w:t xml:space="preserve"> које је остварило нето добит у износу од 3,8 млрд динара. У првој половини текуће године 12 предузећа је остварило нето губитак у укупном износу од 53,3 млрд динара, што је боље у односу на планирану вредност која је негативна и износи 60,7 млрд динарa.</w:t>
      </w:r>
    </w:p>
    <w:p w14:paraId="61FB449D" w14:textId="0A3B6491" w:rsidR="008B200E" w:rsidRPr="00092ED7" w:rsidRDefault="008B200E" w:rsidP="00613B5B">
      <w:pPr>
        <w:spacing w:after="60"/>
        <w:rPr>
          <w:rFonts w:eastAsia="MS PGothic" w:cstheme="minorHAnsi"/>
          <w:szCs w:val="20"/>
          <w:lang w:val="sr-Cyrl-CS" w:eastAsia="ja-JP"/>
        </w:rPr>
      </w:pPr>
      <w:r w:rsidRPr="00092ED7">
        <w:rPr>
          <w:rFonts w:eastAsia="MS PGothic" w:cstheme="minorHAnsi"/>
          <w:szCs w:val="20"/>
          <w:lang w:val="sr-Cyrl-CS" w:eastAsia="ja-JP"/>
        </w:rPr>
        <w:t>У циљу умањења фискалних ризика повезаних са пословањем јавних предузећа у току су процеси реструктурирања највећих јавних предузећа (групе предузећа које се баве железничким саобраћајем – „Железнице Србије” а</w:t>
      </w:r>
      <w:r w:rsidR="00826CDD" w:rsidRPr="00092ED7">
        <w:rPr>
          <w:rFonts w:eastAsia="MS PGothic" w:cstheme="minorHAnsi"/>
          <w:szCs w:val="20"/>
          <w:lang w:val="sr-Cyrl-CS" w:eastAsia="ja-JP"/>
        </w:rPr>
        <w:t>.</w:t>
      </w:r>
      <w:r w:rsidRPr="00092ED7">
        <w:rPr>
          <w:rFonts w:eastAsia="MS PGothic" w:cstheme="minorHAnsi"/>
          <w:szCs w:val="20"/>
          <w:lang w:val="sr-Cyrl-CS" w:eastAsia="ja-JP"/>
        </w:rPr>
        <w:t>д, „Инфраструктура железнице Србије” а.д</w:t>
      </w:r>
      <w:r w:rsidR="00826CDD" w:rsidRPr="00092ED7">
        <w:rPr>
          <w:rFonts w:eastAsia="MS PGothic" w:cstheme="minorHAnsi"/>
          <w:szCs w:val="20"/>
          <w:lang w:val="sr-Cyrl-CS" w:eastAsia="ja-JP"/>
        </w:rPr>
        <w:t xml:space="preserve">, </w:t>
      </w:r>
      <w:r w:rsidRPr="00092ED7">
        <w:rPr>
          <w:rFonts w:eastAsia="MS PGothic" w:cstheme="minorHAnsi"/>
          <w:szCs w:val="20"/>
          <w:lang w:val="sr-Cyrl-CS" w:eastAsia="ja-JP"/>
        </w:rPr>
        <w:t>„Србија Воз” а.д</w:t>
      </w:r>
      <w:r w:rsidR="002F42C1" w:rsidRPr="00092ED7">
        <w:rPr>
          <w:rFonts w:eastAsia="MS PGothic" w:cstheme="minorHAnsi"/>
          <w:szCs w:val="20"/>
          <w:lang w:val="sr-Cyrl-CS" w:eastAsia="ja-JP"/>
        </w:rPr>
        <w:t>,</w:t>
      </w:r>
      <w:r w:rsidRPr="00092ED7">
        <w:rPr>
          <w:rFonts w:eastAsia="MS PGothic" w:cstheme="minorHAnsi"/>
          <w:szCs w:val="20"/>
          <w:lang w:val="sr-Cyrl-CS" w:eastAsia="ja-JP"/>
        </w:rPr>
        <w:t xml:space="preserve"> „Србија Карго” а.д</w:t>
      </w:r>
      <w:r w:rsidR="002F42C1" w:rsidRPr="00092ED7">
        <w:rPr>
          <w:rFonts w:eastAsia="MS PGothic" w:cstheme="minorHAnsi"/>
          <w:szCs w:val="20"/>
          <w:lang w:val="sr-Cyrl-CS" w:eastAsia="ja-JP"/>
        </w:rPr>
        <w:t>,</w:t>
      </w:r>
      <w:r w:rsidR="00217782" w:rsidRPr="00092ED7">
        <w:rPr>
          <w:rFonts w:eastAsia="MS PGothic" w:cstheme="minorHAnsi"/>
          <w:szCs w:val="20"/>
          <w:lang w:val="sr-Cyrl-CS" w:eastAsia="ja-JP"/>
        </w:rPr>
        <w:t xml:space="preserve"> </w:t>
      </w:r>
      <w:r w:rsidRPr="00092ED7">
        <w:rPr>
          <w:rFonts w:eastAsia="MS PGothic" w:cstheme="minorHAnsi"/>
          <w:szCs w:val="20"/>
          <w:lang w:val="sr-Cyrl-CS" w:eastAsia="ja-JP"/>
        </w:rPr>
        <w:t>ЈП ЕПС и ЈП „Србијагас”). Целокупан процес се спроводи у сарадњи за водећим светским финансијским институцијама – ММФ, Светском банком и ЕБРД, како би се ова предузећа поставила на здраве основе и почела да функционишу по тржишном принципу, те умањили потенцијални фискални трошкови који могу проистећи из њиховог пословања.</w:t>
      </w:r>
    </w:p>
    <w:p w14:paraId="7F8424E8" w14:textId="77777777" w:rsidR="008B200E" w:rsidRPr="00092ED7" w:rsidRDefault="008B200E" w:rsidP="00613B5B">
      <w:pPr>
        <w:spacing w:after="60"/>
        <w:rPr>
          <w:highlight w:val="yellow"/>
          <w:lang w:val="sr-Cyrl-CS" w:eastAsia="ja-JP"/>
        </w:rPr>
      </w:pPr>
      <w:r w:rsidRPr="00092ED7">
        <w:rPr>
          <w:lang w:val="sr-Cyrl-CS" w:eastAsia="ja-JP"/>
        </w:rPr>
        <w:t>Уплата добити од стране јавних предузећа и дивиденди друштава капитала у којима држава има власништво представљају значајан део непореских прихода. Обавеза за јавна предузећа да уплате најмање 50% добити остварене у претходној години прописана је и Законом о буџету Републике Србије за 2022. годину.</w:t>
      </w:r>
    </w:p>
    <w:p w14:paraId="0B88CB60" w14:textId="50B0858F" w:rsidR="008B200E" w:rsidRPr="00092ED7" w:rsidRDefault="008B200E" w:rsidP="00613B5B">
      <w:pPr>
        <w:spacing w:after="60"/>
        <w:rPr>
          <w:lang w:val="sr-Cyrl-CS" w:eastAsia="ja-JP"/>
        </w:rPr>
      </w:pPr>
      <w:r w:rsidRPr="00092ED7">
        <w:rPr>
          <w:lang w:val="sr-Cyrl-CS" w:eastAsia="ja-JP"/>
        </w:rPr>
        <w:t>Пре периода фискалне консолидације</w:t>
      </w:r>
      <w:r w:rsidR="008434D8" w:rsidRPr="00092ED7">
        <w:rPr>
          <w:lang w:val="sr-Cyrl-CS" w:eastAsia="ja-JP"/>
        </w:rPr>
        <w:t>,</w:t>
      </w:r>
      <w:r w:rsidRPr="00092ED7">
        <w:rPr>
          <w:lang w:val="sr-Cyrl-CS" w:eastAsia="ja-JP"/>
        </w:rPr>
        <w:t xml:space="preserve"> Република Србија имала је значајне фискалне трошкове спашавања државних банака. Укупни трошкови државних интервенција у банкарском сектору у периоду 2012–2015. године износили су око 900 милиона евра. То је износ издвојен за докапитализацију банака, различите финансијске трансакције приликом припајања неуспешних банака успешнијим, укључујући и исплату осигураних и неосигураних депозита (за шта су коришћена и средства Фонда за осигурање депозита).</w:t>
      </w:r>
    </w:p>
    <w:p w14:paraId="19EED55A" w14:textId="0FC8AA91" w:rsidR="008B200E" w:rsidRPr="00092ED7" w:rsidRDefault="008B200E" w:rsidP="00613B5B">
      <w:pPr>
        <w:spacing w:after="60"/>
        <w:rPr>
          <w:lang w:val="sr-Cyrl-CS" w:eastAsia="ja-JP"/>
        </w:rPr>
      </w:pPr>
      <w:r w:rsidRPr="00092ED7">
        <w:rPr>
          <w:lang w:val="sr-Cyrl-CS" w:eastAsia="ja-JP"/>
        </w:rPr>
        <w:t>Република Србија данас у банкарском сектору има директан удео у капиталу:</w:t>
      </w:r>
    </w:p>
    <w:p w14:paraId="7A7BAF5D" w14:textId="77777777" w:rsidR="008B200E" w:rsidRPr="00092ED7" w:rsidRDefault="008B200E" w:rsidP="005F106E">
      <w:pPr>
        <w:pStyle w:val="ListParagraph"/>
        <w:numPr>
          <w:ilvl w:val="0"/>
          <w:numId w:val="10"/>
        </w:numPr>
        <w:rPr>
          <w:sz w:val="24"/>
          <w:szCs w:val="24"/>
          <w:lang w:val="sr-Cyrl-CS"/>
        </w:rPr>
      </w:pPr>
      <w:r w:rsidRPr="00092ED7">
        <w:rPr>
          <w:sz w:val="24"/>
          <w:szCs w:val="24"/>
          <w:lang w:val="sr-Cyrl-CS"/>
        </w:rPr>
        <w:t>Банке Поштанска штедионица а.д. Београд (72,64%),</w:t>
      </w:r>
    </w:p>
    <w:p w14:paraId="76038289" w14:textId="77777777" w:rsidR="008B200E" w:rsidRPr="00092ED7" w:rsidRDefault="008B200E" w:rsidP="005F106E">
      <w:pPr>
        <w:pStyle w:val="ListParagraph"/>
        <w:numPr>
          <w:ilvl w:val="0"/>
          <w:numId w:val="10"/>
        </w:numPr>
        <w:rPr>
          <w:sz w:val="24"/>
          <w:szCs w:val="24"/>
          <w:lang w:val="sr-Cyrl-CS"/>
        </w:rPr>
      </w:pPr>
      <w:r w:rsidRPr="00092ED7">
        <w:rPr>
          <w:sz w:val="24"/>
          <w:szCs w:val="24"/>
          <w:lang w:val="sr-Cyrl-CS"/>
        </w:rPr>
        <w:t>Српске банке а.д. Београд (76,69%).</w:t>
      </w:r>
    </w:p>
    <w:p w14:paraId="7FB3B66E" w14:textId="77777777" w:rsidR="008B200E" w:rsidRPr="00092ED7" w:rsidRDefault="008B200E" w:rsidP="00613B5B">
      <w:pPr>
        <w:spacing w:after="60"/>
        <w:rPr>
          <w:lang w:val="sr-Cyrl-CS" w:eastAsia="ja-JP"/>
        </w:rPr>
      </w:pPr>
      <w:r w:rsidRPr="00092ED7">
        <w:rPr>
          <w:lang w:val="sr-Cyrl-CS" w:eastAsia="ja-JP"/>
        </w:rPr>
        <w:t>У циљу доследног спровођења излазне стратегије и смањења фискалних ризика по овом основу настављају се реформске активности у области државних финансијских институција започете 2012. године, односно 2015. године.</w:t>
      </w:r>
    </w:p>
    <w:p w14:paraId="2C6A931F" w14:textId="4CDF0B1A" w:rsidR="008B200E" w:rsidRPr="00092ED7" w:rsidRDefault="008B200E" w:rsidP="00613B5B">
      <w:pPr>
        <w:spacing w:after="60"/>
        <w:rPr>
          <w:lang w:val="sr-Cyrl-CS" w:eastAsia="ja-JP"/>
        </w:rPr>
      </w:pPr>
      <w:r w:rsidRPr="00092ED7">
        <w:rPr>
          <w:lang w:val="sr-Cyrl-CS" w:eastAsia="ja-JP"/>
        </w:rPr>
        <w:lastRenderedPageBreak/>
        <w:t>Уз подршку Светске банке наставиће се са спровођењем стратегије за Банку Поштанска штедионица</w:t>
      </w:r>
      <w:r w:rsidR="00217782" w:rsidRPr="00092ED7">
        <w:rPr>
          <w:lang w:val="sr-Cyrl-CS" w:eastAsia="ja-JP"/>
        </w:rPr>
        <w:t xml:space="preserve"> а.д. Београд</w:t>
      </w:r>
      <w:r w:rsidRPr="00092ED7">
        <w:rPr>
          <w:lang w:val="sr-Cyrl-CS" w:eastAsia="ja-JP"/>
        </w:rPr>
        <w:t xml:space="preserve"> са нагласком на преусмеравање пословања са становништвом, предузетницима, микропредузећима и малим предузећима; побољшање интерне организације банке, корпоративног управљања и управљања ризиком; јачање ИТ инфраструктуре, као и план пословања за период 2020–2022. године.</w:t>
      </w:r>
    </w:p>
    <w:p w14:paraId="0F9ADB2A" w14:textId="5F778319" w:rsidR="008B200E" w:rsidRPr="00092ED7" w:rsidRDefault="008B200E" w:rsidP="00613B5B">
      <w:pPr>
        <w:spacing w:after="60"/>
        <w:rPr>
          <w:lang w:val="sr-Cyrl-CS" w:eastAsia="ja-JP"/>
        </w:rPr>
      </w:pPr>
      <w:r w:rsidRPr="00092ED7">
        <w:rPr>
          <w:lang w:val="sr-Cyrl-CS" w:eastAsia="ja-JP"/>
        </w:rPr>
        <w:t>У складу са Владином стратегијом за државне банке, формирана је Стручна радна група за трaнсфoрмaциjу Српске банке</w:t>
      </w:r>
      <w:r w:rsidR="007C22D5" w:rsidRPr="00092ED7">
        <w:rPr>
          <w:lang w:val="sr-Cyrl-CS" w:eastAsia="ja-JP"/>
        </w:rPr>
        <w:t xml:space="preserve"> а.д. Београд</w:t>
      </w:r>
      <w:r w:rsidRPr="00092ED7">
        <w:rPr>
          <w:lang w:val="sr-Cyrl-CS" w:eastAsia="ja-JP"/>
        </w:rPr>
        <w:t xml:space="preserve"> у спeциjaлизoвaну финансијску институцију за пружање свих врста финансијских услуга и подршке нaмeнскoj индустрији Републике Србије дана 21. јануара 2019. године и почела је са формалним радом у марту 2019. године када је одржана конститутивна седница.</w:t>
      </w:r>
    </w:p>
    <w:p w14:paraId="42D69800" w14:textId="764533D1" w:rsidR="008B200E" w:rsidRPr="00092ED7" w:rsidRDefault="008B200E" w:rsidP="00613B5B">
      <w:pPr>
        <w:spacing w:after="60"/>
        <w:rPr>
          <w:highlight w:val="yellow"/>
          <w:lang w:val="sr-Cyrl-CS" w:eastAsia="ja-JP"/>
        </w:rPr>
      </w:pPr>
      <w:r w:rsidRPr="00092ED7">
        <w:rPr>
          <w:lang w:val="sr-Cyrl-CS" w:eastAsia="ja-JP"/>
        </w:rPr>
        <w:t xml:space="preserve">Реформа прописа који уређују финансијски систем спроведена је фебруара 2015. године. Једна од карактеристика те реформе јесте и пренос надлежности праћења резултата пословања и рада органа управљања у банкама, друштвима за осигурање и другим финансијским институцијама чији је акционар Република Србија, као и организовање и спровођење поступка продаје акција у њима, са </w:t>
      </w:r>
      <w:r w:rsidR="00A4749F" w:rsidRPr="00092ED7">
        <w:rPr>
          <w:lang w:val="sr-Cyrl-CS" w:eastAsia="ja-JP"/>
        </w:rPr>
        <w:t>Агенције за осигурање депозита</w:t>
      </w:r>
      <w:r w:rsidRPr="00092ED7">
        <w:rPr>
          <w:lang w:val="sr-Cyrl-CS" w:eastAsia="ja-JP"/>
        </w:rPr>
        <w:t xml:space="preserve"> на Министарство финансија, почев од 1. априла 2015. године. Реформом прописа је у домаћу регулативу транспонована и Директива о реструктурирању банака (</w:t>
      </w:r>
      <w:r w:rsidRPr="00092ED7">
        <w:rPr>
          <w:i/>
          <w:lang w:val="sr-Cyrl-CS" w:eastAsia="ja-JP"/>
        </w:rPr>
        <w:t>Bank Recovery and Resolution Directive</w:t>
      </w:r>
      <w:r w:rsidRPr="00092ED7">
        <w:rPr>
          <w:lang w:val="sr-Cyrl-CS" w:eastAsia="ja-JP"/>
        </w:rPr>
        <w:t xml:space="preserve"> – BRRD) и функција реструктурирања банака поверена је Н</w:t>
      </w:r>
      <w:r w:rsidR="00B151AA" w:rsidRPr="00092ED7">
        <w:rPr>
          <w:lang w:val="sr-Cyrl-CS" w:eastAsia="ja-JP"/>
        </w:rPr>
        <w:t>ародној банци Србије</w:t>
      </w:r>
      <w:r w:rsidRPr="00092ED7">
        <w:rPr>
          <w:lang w:val="sr-Cyrl-CS" w:eastAsia="ja-JP"/>
        </w:rPr>
        <w:t>. У децембру 2016. године усвојен је сет прописа којима се у домаћи регулаторни оквир имплементирају Базел III стандарди, чиме је постигнут значајан степен усклађености домаћих прописа са релевантним прописима ЕУ у овој области, а током 2017. године се наставило са активностима на унапређењу домаћих прописа којима се уређује пословање банака, а у циљу њиховог даљег усклађивања са прописима ЕУ. Основни циљеви усвајања ових прописа су повећање отпорности банкарског сектора повећањем квалитета капитала и увођењем заштитних слојева капитала, боље праћење и контрола изложености банке ризику ликвидности, даље јачање тржишне дисциплине и транспарентности пословања банака у Републици Србији објављивањем свих релевантних информација о пословању банке, као и прилагођавање извештајног система новим регулаторним решењима.</w:t>
      </w:r>
    </w:p>
    <w:p w14:paraId="3D920540" w14:textId="447985E5" w:rsidR="008B200E" w:rsidRPr="00092ED7" w:rsidRDefault="008B200E" w:rsidP="00613B5B">
      <w:pPr>
        <w:spacing w:after="60"/>
        <w:rPr>
          <w:highlight w:val="yellow"/>
          <w:lang w:val="sr-Cyrl-CS" w:eastAsia="ja-JP"/>
        </w:rPr>
      </w:pPr>
      <w:r w:rsidRPr="00092ED7">
        <w:rPr>
          <w:lang w:val="sr-Cyrl-CS" w:eastAsia="ja-JP"/>
        </w:rPr>
        <w:t xml:space="preserve">Један од ограничавајућих фактора за раст кредитне активности представљао је релативно висок ниво проблематичних кредита. У августу 2015. године усвојена је Стратегија за решавање проблематичних кредита која се спроводи </w:t>
      </w:r>
      <w:r w:rsidR="006C154D" w:rsidRPr="00092ED7">
        <w:rPr>
          <w:lang w:val="sr-Cyrl-CS" w:eastAsia="ja-JP"/>
        </w:rPr>
        <w:t xml:space="preserve">путем </w:t>
      </w:r>
      <w:r w:rsidRPr="00092ED7">
        <w:rPr>
          <w:lang w:val="sr-Cyrl-CS" w:eastAsia="ja-JP"/>
        </w:rPr>
        <w:t xml:space="preserve">два трогодишња акциона плана, </w:t>
      </w:r>
      <w:r w:rsidR="006C154D" w:rsidRPr="00092ED7">
        <w:rPr>
          <w:lang w:val="sr-Cyrl-CS" w:eastAsia="ja-JP"/>
        </w:rPr>
        <w:t xml:space="preserve">од којих је </w:t>
      </w:r>
      <w:r w:rsidRPr="00092ED7">
        <w:rPr>
          <w:lang w:val="sr-Cyrl-CS" w:eastAsia="ja-JP"/>
        </w:rPr>
        <w:t>један припремљен од стране Владе и други припремљен од стране Н</w:t>
      </w:r>
      <w:r w:rsidR="00E561DE" w:rsidRPr="00092ED7">
        <w:rPr>
          <w:lang w:val="sr-Cyrl-CS" w:eastAsia="ja-JP"/>
        </w:rPr>
        <w:t>ародне банке</w:t>
      </w:r>
      <w:r w:rsidRPr="00092ED7">
        <w:rPr>
          <w:lang w:val="sr-Cyrl-CS" w:eastAsia="ja-JP"/>
        </w:rPr>
        <w:t>С</w:t>
      </w:r>
      <w:r w:rsidR="00E561DE" w:rsidRPr="00092ED7">
        <w:rPr>
          <w:lang w:val="sr-Cyrl-CS" w:eastAsia="ja-JP"/>
        </w:rPr>
        <w:t>рбије</w:t>
      </w:r>
      <w:r w:rsidRPr="00092ED7">
        <w:rPr>
          <w:lang w:val="sr-Cyrl-CS" w:eastAsia="ja-JP"/>
        </w:rPr>
        <w:t xml:space="preserve">, у циљу спуштања нивоа проблематичних кредита. Кључне области </w:t>
      </w:r>
      <w:r w:rsidR="006C154D" w:rsidRPr="00092ED7">
        <w:rPr>
          <w:lang w:val="sr-Cyrl-CS" w:eastAsia="ja-JP"/>
        </w:rPr>
        <w:t xml:space="preserve">спровођења </w:t>
      </w:r>
      <w:r w:rsidRPr="00092ED7">
        <w:rPr>
          <w:lang w:val="sr-Cyrl-CS" w:eastAsia="ja-JP"/>
        </w:rPr>
        <w:t>подразумевале су јачање капацитета банака за решавање проблематичних кредита, унапређење регулативе за процену вредности средстава обезбеђења, развој тржишта проблематичних кредита и др.</w:t>
      </w:r>
    </w:p>
    <w:p w14:paraId="25E04C82" w14:textId="77777777" w:rsidR="008B200E" w:rsidRPr="00092ED7" w:rsidRDefault="008B200E" w:rsidP="00613B5B">
      <w:pPr>
        <w:spacing w:after="60"/>
        <w:rPr>
          <w:rFonts w:eastAsia="MS PGothic" w:cs="Times New Roman"/>
          <w:szCs w:val="24"/>
          <w:lang w:val="sr-Cyrl-CS" w:eastAsia="ja-JP"/>
        </w:rPr>
      </w:pPr>
      <w:r w:rsidRPr="00092ED7">
        <w:rPr>
          <w:rFonts w:eastAsia="MS PGothic" w:cs="Times New Roman"/>
          <w:szCs w:val="24"/>
          <w:lang w:val="sr-Cyrl-CS" w:eastAsia="ja-JP"/>
        </w:rPr>
        <w:t>Од доношења поменуте стратегије, усвојен је и измењен већи број законских и подзаконских аката, унапређен је институционални капацитет и спроведене су бројне мере за лакши отпис и пренос ненаплативих потраживања. Стварањем стабилних услова пословања, српска економија је ушла у инвестициони циклус 2015. године, и од тада инвестиције по обиму представљају добар део раста економије. Профитабилност привреде расте у условима ниске и стабилне инфлације и релативно</w:t>
      </w:r>
      <w:r w:rsidRPr="00092ED7">
        <w:rPr>
          <w:rFonts w:eastAsia="Calibri" w:cs="Times New Roman"/>
          <w:szCs w:val="24"/>
          <w:lang w:val="sr-Cyrl-CS" w:eastAsia="ja-JP"/>
        </w:rPr>
        <w:t xml:space="preserve"> </w:t>
      </w:r>
      <w:r w:rsidRPr="00092ED7">
        <w:rPr>
          <w:rFonts w:eastAsia="MS PGothic" w:cs="Times New Roman"/>
          <w:szCs w:val="24"/>
          <w:lang w:val="sr-Cyrl-CS" w:eastAsia="ja-JP"/>
        </w:rPr>
        <w:t>стабилног курса. Све су то били кључни фактори за одрживо решавање питања проблематичних кредита. То се јасно види и из чињенице да је у гранама које су и носиоци раста, забележен и највећи пад проблематичних кредита – што је евидентно у прерађивачкој индустрији и грађевинарству.</w:t>
      </w:r>
    </w:p>
    <w:p w14:paraId="28E3CC0E" w14:textId="05126D80" w:rsidR="008B200E" w:rsidRPr="00092ED7" w:rsidRDefault="008B200E" w:rsidP="003E317A">
      <w:pPr>
        <w:rPr>
          <w:rFonts w:cs="Times New Roman"/>
          <w:szCs w:val="24"/>
          <w:lang w:val="sr-Cyrl-CS"/>
        </w:rPr>
      </w:pPr>
      <w:r w:rsidRPr="00092ED7">
        <w:rPr>
          <w:rFonts w:eastAsia="MS PGothic" w:cs="Times New Roman"/>
          <w:szCs w:val="24"/>
          <w:lang w:val="sr-Cyrl-CS" w:eastAsia="ja-JP"/>
        </w:rPr>
        <w:t xml:space="preserve">Осигурање депозита је механизам који доприноси очувању финансијске стабилности и обезбеђује заштиту депонената. Систем осигурања депозита обезбеђује да се сваком </w:t>
      </w:r>
      <w:r w:rsidRPr="00092ED7">
        <w:rPr>
          <w:rFonts w:eastAsia="MS PGothic" w:cs="Times New Roman"/>
          <w:szCs w:val="24"/>
          <w:lang w:val="sr-Cyrl-CS" w:eastAsia="ja-JP"/>
        </w:rPr>
        <w:lastRenderedPageBreak/>
        <w:t>заштићеном депоненту</w:t>
      </w:r>
      <w:r w:rsidRPr="00092ED7">
        <w:rPr>
          <w:rFonts w:eastAsia="MS PGothic" w:cs="Times New Roman"/>
          <w:szCs w:val="24"/>
          <w:vertAlign w:val="superscript"/>
          <w:lang w:val="sr-Cyrl-CS" w:eastAsia="ja-JP"/>
        </w:rPr>
        <w:footnoteReference w:id="13"/>
      </w:r>
      <w:r w:rsidRPr="00092ED7">
        <w:rPr>
          <w:rFonts w:eastAsia="MS PGothic" w:cs="Times New Roman"/>
          <w:szCs w:val="24"/>
          <w:lang w:val="sr-Cyrl-CS" w:eastAsia="ja-JP"/>
        </w:rPr>
        <w:t xml:space="preserve"> исплати целокупан износ улога у свакој банци до осигураног износа од 50.000 евра у случају стечаја или ликвидације банке. Осигурање депозита регулисано је Законом о осигурању депозита</w:t>
      </w:r>
      <w:r w:rsidR="003E317A" w:rsidRPr="00092ED7">
        <w:rPr>
          <w:rFonts w:eastAsia="MS PGothic" w:cs="Times New Roman"/>
          <w:szCs w:val="24"/>
          <w:lang w:val="sr-Cyrl-CS" w:eastAsia="ja-JP"/>
        </w:rPr>
        <w:t xml:space="preserve"> </w:t>
      </w:r>
      <w:r w:rsidR="003E317A" w:rsidRPr="00092ED7">
        <w:rPr>
          <w:rFonts w:cs="Times New Roman"/>
          <w:szCs w:val="24"/>
          <w:lang w:val="sr-Cyrl-CS"/>
        </w:rPr>
        <w:t xml:space="preserve">(„Службени гласник РС”, бр. </w:t>
      </w:r>
      <w:hyperlink r:id="rId38" w:tooltip="Zakon o osiguranju depozita (04/02/2015)" w:history="1">
        <w:r w:rsidR="003E317A" w:rsidRPr="00092ED7">
          <w:rPr>
            <w:rStyle w:val="Hyperlink"/>
            <w:rFonts w:cs="Times New Roman"/>
            <w:color w:val="000000" w:themeColor="text1"/>
            <w:szCs w:val="24"/>
            <w:u w:val="none"/>
            <w:shd w:val="clear" w:color="auto" w:fill="FFFFFF"/>
            <w:lang w:val="sr-Cyrl-CS"/>
          </w:rPr>
          <w:t>14/15</w:t>
        </w:r>
      </w:hyperlink>
      <w:r w:rsidR="003E317A" w:rsidRPr="00092ED7">
        <w:rPr>
          <w:rFonts w:cs="Times New Roman"/>
          <w:color w:val="000000" w:themeColor="text1"/>
          <w:szCs w:val="24"/>
          <w:shd w:val="clear" w:color="auto" w:fill="FFFFFF"/>
          <w:lang w:val="sr-Cyrl-CS"/>
        </w:rPr>
        <w:t>, </w:t>
      </w:r>
      <w:hyperlink r:id="rId39" w:tooltip="Zakon o dopuni Zakona o osiguranju depozita (25/05/2017)" w:history="1">
        <w:r w:rsidR="003E317A" w:rsidRPr="00092ED7">
          <w:rPr>
            <w:rStyle w:val="Hyperlink"/>
            <w:rFonts w:cs="Times New Roman"/>
            <w:color w:val="000000" w:themeColor="text1"/>
            <w:szCs w:val="24"/>
            <w:u w:val="none"/>
            <w:shd w:val="clear" w:color="auto" w:fill="FFFFFF"/>
            <w:lang w:val="sr-Cyrl-CS"/>
          </w:rPr>
          <w:t>51/17</w:t>
        </w:r>
      </w:hyperlink>
      <w:r w:rsidR="003E317A" w:rsidRPr="00092ED7">
        <w:rPr>
          <w:rFonts w:cs="Times New Roman"/>
          <w:color w:val="000000" w:themeColor="text1"/>
          <w:szCs w:val="24"/>
          <w:shd w:val="clear" w:color="auto" w:fill="FFFFFF"/>
          <w:lang w:val="sr-Cyrl-CS"/>
        </w:rPr>
        <w:t xml:space="preserve"> и </w:t>
      </w:r>
      <w:hyperlink r:id="rId40" w:tooltip="Zakon o izmenama i dopunama Zakona o osiguranju depozita (11/10/2019)" w:history="1">
        <w:r w:rsidR="003E317A" w:rsidRPr="00092ED7">
          <w:rPr>
            <w:rStyle w:val="Hyperlink"/>
            <w:rFonts w:cs="Times New Roman"/>
            <w:color w:val="000000" w:themeColor="text1"/>
            <w:szCs w:val="24"/>
            <w:u w:val="none"/>
            <w:shd w:val="clear" w:color="auto" w:fill="FFFFFF"/>
            <w:lang w:val="sr-Cyrl-CS"/>
          </w:rPr>
          <w:t>73/19</w:t>
        </w:r>
      </w:hyperlink>
      <w:r w:rsidR="003E317A" w:rsidRPr="00092ED7">
        <w:rPr>
          <w:rFonts w:cs="Times New Roman"/>
          <w:color w:val="000000" w:themeColor="text1"/>
          <w:szCs w:val="24"/>
          <w:shd w:val="clear" w:color="auto" w:fill="FFFFFF"/>
          <w:lang w:val="sr-Cyrl-CS"/>
        </w:rPr>
        <w:t>)</w:t>
      </w:r>
      <w:r w:rsidRPr="00092ED7">
        <w:rPr>
          <w:rFonts w:eastAsia="MS PGothic" w:cs="Times New Roman"/>
          <w:color w:val="000000" w:themeColor="text1"/>
          <w:szCs w:val="24"/>
          <w:lang w:val="sr-Cyrl-CS" w:eastAsia="ja-JP"/>
        </w:rPr>
        <w:t>.</w:t>
      </w:r>
      <w:r w:rsidRPr="00092ED7">
        <w:rPr>
          <w:rFonts w:eastAsia="MS PGothic" w:cs="Times New Roman"/>
          <w:szCs w:val="24"/>
          <w:lang w:val="sr-Cyrl-CS" w:eastAsia="ja-JP"/>
        </w:rPr>
        <w:t xml:space="preserve"> Гаранција исплате осигураних депозита од стране државе, било директно средствима из буџета, или индиректно издавањем гаранција за задуживање </w:t>
      </w:r>
      <w:r w:rsidR="00A4749F" w:rsidRPr="00092ED7">
        <w:rPr>
          <w:rFonts w:eastAsia="MS PGothic" w:cs="Times New Roman"/>
          <w:szCs w:val="24"/>
          <w:lang w:val="sr-Cyrl-CS" w:eastAsia="ja-JP"/>
        </w:rPr>
        <w:t>Агенције за осигурање депозита</w:t>
      </w:r>
      <w:r w:rsidRPr="00092ED7">
        <w:rPr>
          <w:rFonts w:eastAsia="MS PGothic" w:cs="Times New Roman"/>
          <w:szCs w:val="24"/>
          <w:lang w:val="sr-Cyrl-CS" w:eastAsia="ja-JP"/>
        </w:rPr>
        <w:t>, извор је фискалних ризика и могућих фискалних трошкова. Међутим, захваљујући постигнутој стабилности банкарског сектора, од 2015. године није било потребе за коришћењем средстава фонда за осигурање депозита, нити државе по основу исплата осигураних износа депозита.</w:t>
      </w:r>
    </w:p>
    <w:p w14:paraId="4617EABC" w14:textId="7E351DFF" w:rsidR="008B200E" w:rsidRPr="00092ED7" w:rsidRDefault="008B200E" w:rsidP="00613B5B">
      <w:pPr>
        <w:spacing w:after="60"/>
        <w:rPr>
          <w:lang w:val="sr-Cyrl-CS" w:eastAsia="ja-JP"/>
        </w:rPr>
      </w:pPr>
      <w:r w:rsidRPr="00092ED7">
        <w:rPr>
          <w:lang w:val="sr-Cyrl-CS" w:eastAsia="ja-JP"/>
        </w:rPr>
        <w:t>Имајући у виду ситуацију насталу проглашењем ванредног стања у Републици Србији, како би се омогућило ублажавање економских и финансијских последица насталих услед пандемије</w:t>
      </w:r>
      <w:r w:rsidR="00FB6B1A" w:rsidRPr="00092ED7">
        <w:rPr>
          <w:lang w:val="sr-Cyrl-CS" w:eastAsia="ja-JP"/>
        </w:rPr>
        <w:t>,</w:t>
      </w:r>
      <w:r w:rsidR="000B339E" w:rsidRPr="00092ED7">
        <w:rPr>
          <w:lang w:val="sr-Cyrl-CS" w:eastAsia="ja-JP"/>
        </w:rPr>
        <w:t xml:space="preserve"> </w:t>
      </w:r>
      <w:r w:rsidRPr="00092ED7">
        <w:rPr>
          <w:lang w:val="sr-Cyrl-CS" w:eastAsia="ja-JP"/>
        </w:rPr>
        <w:t xml:space="preserve">предузете су мере подршке привреди које су имале за циљ повећање ликвидности привредних субјеката, укључујућии пољопривредна газдинства, предузетнике, микро, мала и средња </w:t>
      </w:r>
      <w:r w:rsidR="001A5622" w:rsidRPr="00092ED7">
        <w:rPr>
          <w:lang w:val="sr-Cyrl-CS" w:eastAsia="ja-JP"/>
        </w:rPr>
        <w:t xml:space="preserve">привреднa друштвa </w:t>
      </w:r>
      <w:r w:rsidRPr="00092ED7">
        <w:rPr>
          <w:lang w:val="sr-Cyrl-CS" w:eastAsia="ja-JP"/>
        </w:rPr>
        <w:t>у складу са законом којим се уређује рачуноводство.</w:t>
      </w:r>
    </w:p>
    <w:p w14:paraId="1E950A3C" w14:textId="61D1B507" w:rsidR="008B200E" w:rsidRPr="00092ED7" w:rsidRDefault="008B200E" w:rsidP="006814CE">
      <w:pPr>
        <w:rPr>
          <w:rFonts w:eastAsia="MS PGothic" w:cs="Times New Roman"/>
          <w:bCs/>
          <w:iCs/>
          <w:szCs w:val="24"/>
          <w:lang w:val="sr-Cyrl-CS" w:eastAsia="ja-JP"/>
        </w:rPr>
      </w:pPr>
      <w:r w:rsidRPr="00092ED7">
        <w:rPr>
          <w:lang w:val="sr-Cyrl-CS" w:eastAsia="ja-JP"/>
        </w:rPr>
        <w:t>Једна од мера јесте била и доношење Закона о утврђивању гарантне шеме</w:t>
      </w:r>
      <w:r w:rsidR="003E317A" w:rsidRPr="00092ED7">
        <w:rPr>
          <w:lang w:val="sr-Cyrl-CS" w:eastAsia="ja-JP"/>
        </w:rPr>
        <w:t xml:space="preserve"> </w:t>
      </w:r>
      <w:r w:rsidRPr="00092ED7">
        <w:rPr>
          <w:lang w:val="sr-Cyrl-CS" w:eastAsia="ja-JP"/>
        </w:rPr>
        <w:t xml:space="preserve">као мера подршке привреди за ублажавање последица пандемије болести </w:t>
      </w:r>
      <w:r w:rsidR="003E317A" w:rsidRPr="00092ED7">
        <w:rPr>
          <w:szCs w:val="24"/>
          <w:lang w:val="sr-Cyrl-CS"/>
        </w:rPr>
        <w:t>COVID</w:t>
      </w:r>
      <w:r w:rsidRPr="00092ED7">
        <w:rPr>
          <w:lang w:val="sr-Cyrl-CS" w:eastAsia="ja-JP"/>
        </w:rPr>
        <w:t>-19 изазване</w:t>
      </w:r>
      <w:r w:rsidR="006814CE" w:rsidRPr="00092ED7">
        <w:rPr>
          <w:lang w:val="sr-Cyrl-CS" w:eastAsia="ja-JP"/>
        </w:rPr>
        <w:t xml:space="preserve"> </w:t>
      </w:r>
      <w:r w:rsidR="003917D5" w:rsidRPr="00092ED7">
        <w:rPr>
          <w:lang w:val="sr-Cyrl-CS" w:eastAsia="ja-JP"/>
        </w:rPr>
        <w:t xml:space="preserve">вирусом </w:t>
      </w:r>
      <w:r w:rsidR="006814CE" w:rsidRPr="00092ED7">
        <w:rPr>
          <w:lang w:val="sr-Cyrl-CS" w:eastAsia="ja-JP"/>
        </w:rPr>
        <w:t>SARS-CoV-2</w:t>
      </w:r>
      <w:r w:rsidRPr="00092ED7">
        <w:rPr>
          <w:lang w:val="sr-Cyrl-CS" w:eastAsia="ja-JP"/>
        </w:rPr>
        <w:t xml:space="preserve"> </w:t>
      </w:r>
      <w:r w:rsidR="006814CE" w:rsidRPr="00092ED7">
        <w:rPr>
          <w:rFonts w:cs="Times New Roman"/>
          <w:szCs w:val="24"/>
          <w:lang w:val="sr-Cyrl-CS"/>
        </w:rPr>
        <w:t>(„Службени гласник РС”, бр. 153/20 и 40/21)</w:t>
      </w:r>
      <w:r w:rsidRPr="00092ED7">
        <w:rPr>
          <w:lang w:val="sr-Cyrl-CS" w:eastAsia="ja-JP"/>
        </w:rPr>
        <w:t xml:space="preserve">. Република Србија је препознала потребу за одобравањем додатних 500 милиона евра помоћи, у циљу одржавања ликвидности чиме ће укупан износ средстава пласираних путем I гарантне шеме достићи износ од 2,5 милијарде евра. Уговор о гаранцији Републике Србије до сада су потписале 24 банке, којима је пласирано предвиђених 2,5 милијарди евра, док су саме Банке пласирале клијентима око 2,3 милијарди евра. Током 2021. године донет је Закон о утврђивању друге гарантне шеме </w:t>
      </w:r>
      <w:r w:rsidR="006814CE" w:rsidRPr="00092ED7">
        <w:rPr>
          <w:lang w:val="sr-Cyrl-CS" w:eastAsia="ja-JP"/>
        </w:rPr>
        <w:t xml:space="preserve">као мера додатне подршке привреди услед продуженог негативног утицаја пандемије болести </w:t>
      </w:r>
      <w:r w:rsidR="006814CE" w:rsidRPr="00092ED7">
        <w:rPr>
          <w:szCs w:val="24"/>
          <w:lang w:val="sr-Cyrl-CS"/>
        </w:rPr>
        <w:t>COVID</w:t>
      </w:r>
      <w:r w:rsidR="006814CE" w:rsidRPr="00092ED7">
        <w:rPr>
          <w:lang w:val="sr-Cyrl-CS" w:eastAsia="ja-JP"/>
        </w:rPr>
        <w:t xml:space="preserve">-19 изазване </w:t>
      </w:r>
      <w:r w:rsidR="003917D5" w:rsidRPr="00092ED7">
        <w:rPr>
          <w:lang w:val="sr-Cyrl-CS" w:eastAsia="ja-JP"/>
        </w:rPr>
        <w:t xml:space="preserve">вирусом </w:t>
      </w:r>
      <w:r w:rsidR="006814CE" w:rsidRPr="00092ED7">
        <w:rPr>
          <w:lang w:val="sr-Cyrl-CS" w:eastAsia="ja-JP"/>
        </w:rPr>
        <w:t xml:space="preserve">SARS-CoV-2 </w:t>
      </w:r>
      <w:r w:rsidR="006814CE" w:rsidRPr="00092ED7">
        <w:rPr>
          <w:rFonts w:cs="Times New Roman"/>
          <w:szCs w:val="24"/>
          <w:lang w:val="sr-Cyrl-CS"/>
        </w:rPr>
        <w:t xml:space="preserve">(„Службени гласник РС”, бр. </w:t>
      </w:r>
      <w:r w:rsidR="003917D5" w:rsidRPr="00092ED7">
        <w:rPr>
          <w:rFonts w:cs="Times New Roman"/>
          <w:szCs w:val="24"/>
          <w:lang w:val="sr-Cyrl-CS"/>
        </w:rPr>
        <w:t>40</w:t>
      </w:r>
      <w:r w:rsidR="006814CE" w:rsidRPr="00092ED7">
        <w:rPr>
          <w:rFonts w:cs="Times New Roman"/>
          <w:szCs w:val="24"/>
          <w:lang w:val="sr-Cyrl-CS"/>
        </w:rPr>
        <w:t>/2</w:t>
      </w:r>
      <w:r w:rsidR="003917D5" w:rsidRPr="00092ED7">
        <w:rPr>
          <w:rFonts w:cs="Times New Roman"/>
          <w:szCs w:val="24"/>
          <w:lang w:val="sr-Cyrl-CS"/>
        </w:rPr>
        <w:t>1</w:t>
      </w:r>
      <w:r w:rsidR="006814CE" w:rsidRPr="00092ED7">
        <w:rPr>
          <w:rFonts w:cs="Times New Roman"/>
          <w:szCs w:val="24"/>
          <w:lang w:val="sr-Cyrl-CS"/>
        </w:rPr>
        <w:t xml:space="preserve"> и </w:t>
      </w:r>
      <w:r w:rsidR="003917D5" w:rsidRPr="00092ED7">
        <w:rPr>
          <w:rFonts w:cs="Times New Roman"/>
          <w:szCs w:val="24"/>
          <w:lang w:val="sr-Cyrl-CS"/>
        </w:rPr>
        <w:t>129</w:t>
      </w:r>
      <w:r w:rsidR="006814CE" w:rsidRPr="00092ED7">
        <w:rPr>
          <w:rFonts w:cs="Times New Roman"/>
          <w:szCs w:val="24"/>
          <w:lang w:val="sr-Cyrl-CS"/>
        </w:rPr>
        <w:t>/21)</w:t>
      </w:r>
      <w:r w:rsidR="003917D5" w:rsidRPr="00092ED7">
        <w:rPr>
          <w:rFonts w:cs="Times New Roman"/>
          <w:szCs w:val="24"/>
          <w:lang w:val="sr-Cyrl-CS"/>
        </w:rPr>
        <w:t xml:space="preserve"> </w:t>
      </w:r>
      <w:r w:rsidRPr="00092ED7">
        <w:rPr>
          <w:lang w:val="sr-Cyrl-CS" w:eastAsia="ja-JP"/>
        </w:rPr>
        <w:t>којим је одобрено додатних 500 милина евра помоћи. Укупно, у склопу обе гарантне шеме, банке су пласирале око 2,4 млрд евра кредита.</w:t>
      </w:r>
    </w:p>
    <w:p w14:paraId="56B674C4" w14:textId="537B3839" w:rsidR="008B200E" w:rsidRPr="00092ED7" w:rsidRDefault="008B200E" w:rsidP="00613B5B">
      <w:pPr>
        <w:spacing w:after="60"/>
        <w:rPr>
          <w:rFonts w:eastAsia="MS PGothic" w:cstheme="minorHAnsi"/>
          <w:szCs w:val="20"/>
          <w:lang w:val="sr-Cyrl-CS" w:eastAsia="ja-JP"/>
        </w:rPr>
      </w:pPr>
      <w:r w:rsidRPr="00092ED7">
        <w:rPr>
          <w:lang w:val="sr-Cyrl-CS" w:eastAsia="ja-JP"/>
        </w:rPr>
        <w:t xml:space="preserve">Постоје значајни фискални ризици по основу судских одлука, домаћих и међународних судова, казни и накнада штете од стране државних органа. </w:t>
      </w:r>
      <w:r w:rsidRPr="00092ED7">
        <w:rPr>
          <w:rFonts w:eastAsia="MS PGothic" w:cstheme="minorHAnsi"/>
          <w:szCs w:val="20"/>
          <w:lang w:val="sr-Cyrl-CS" w:eastAsia="ja-JP"/>
        </w:rPr>
        <w:t>Република Србија је по основу новчаних казни и пенала по решењу судова и накнаде штете за повреде или штету нанету од стране државних органа у периоду 2009–2020</w:t>
      </w:r>
      <w:r w:rsidR="00E561DE" w:rsidRPr="00092ED7">
        <w:rPr>
          <w:rFonts w:eastAsia="MS PGothic" w:cstheme="minorHAnsi"/>
          <w:szCs w:val="20"/>
          <w:lang w:val="sr-Cyrl-CS" w:eastAsia="ja-JP"/>
        </w:rPr>
        <w:t>.</w:t>
      </w:r>
      <w:r w:rsidRPr="00092ED7">
        <w:rPr>
          <w:rFonts w:eastAsia="MS PGothic" w:cstheme="minorHAnsi"/>
          <w:szCs w:val="20"/>
          <w:lang w:val="sr-Cyrl-CS" w:eastAsia="ja-JP"/>
        </w:rPr>
        <w:t xml:space="preserve"> из републичког буџета укупно платила 121 млрд динара, док је у 2021. години из буџета Републике Србије по том основу плаћено 16,6 млрд динара.</w:t>
      </w:r>
      <w:r w:rsidR="00FB6B1A" w:rsidRPr="00092ED7">
        <w:rPr>
          <w:rFonts w:eastAsia="MS PGothic" w:cstheme="minorHAnsi"/>
          <w:szCs w:val="20"/>
          <w:lang w:val="sr-Cyrl-CS" w:eastAsia="ja-JP"/>
        </w:rPr>
        <w:t xml:space="preserve"> </w:t>
      </w:r>
      <w:r w:rsidRPr="00092ED7">
        <w:rPr>
          <w:lang w:val="sr-Cyrl-CS" w:eastAsia="ja-JP"/>
        </w:rPr>
        <w:t>Одлука Европског суда за људска права обавезала је Републику Србију да исплати јавни дуг по основу неисплаћене девизне штедње коју су држављани бивших република СФРЈ и држављани Републике Србије положили код банака са седиштем на територији Републике Србије и њиховим филијалама на територијама бивших република СФРЈ. Такође, потенцијалне обавезе могу проистећи и из одлука Уставног суда по основу поднетих уставних жалби и одлука Европског суда за људска права по поднетим представкама радника некадашњих друштвених предузећа (неисплаћене зараде, доприноси за обавезно социјално осигурање, затезне камате, трошкови поступка, потраживања по основу комерцијалних трансакција).</w:t>
      </w:r>
    </w:p>
    <w:p w14:paraId="30AA5C4B" w14:textId="128B8971" w:rsidR="008B200E" w:rsidRPr="00092ED7" w:rsidRDefault="008B200E" w:rsidP="003917D5">
      <w:pPr>
        <w:rPr>
          <w:rFonts w:eastAsia="MS PGothic" w:cs="Times New Roman"/>
          <w:bCs/>
          <w:iCs/>
          <w:szCs w:val="24"/>
          <w:lang w:val="sr-Cyrl-CS" w:eastAsia="ja-JP"/>
        </w:rPr>
      </w:pPr>
      <w:r w:rsidRPr="00092ED7">
        <w:rPr>
          <w:lang w:val="sr-Cyrl-CS" w:eastAsia="ja-JP"/>
        </w:rPr>
        <w:t xml:space="preserve">Стално присутан ризик од елементарних непогода и природних катастрофа обавезује улагање у програме превенције како би се умањили потенцијални фискални трошкови за отклањање штета насталих по том основу. Под превенцијом се мисли на укључивање ширег спектра финансијских инструмената (као што су резервни фондови, потенцијалне </w:t>
      </w:r>
      <w:r w:rsidRPr="00092ED7">
        <w:rPr>
          <w:lang w:val="sr-Cyrl-CS" w:eastAsia="ja-JP"/>
        </w:rPr>
        <w:lastRenderedPageBreak/>
        <w:t>кредитне линије, а нарочито осигурање) који треба да буду на располагању држави. Република Србија се у 2014. суочила са катастрофалним последицама поплава, чија је укупна штета (са губицима) процењена на више од 1,7 млрд евра. У оквиру Националног програма, новембра 2018. године је донет још један кровни закон који се бави проблематиком елементарних непогода и катастрофа, Закон о смањењу ризика од катастрофа и управљању ванредним ситуацијама</w:t>
      </w:r>
      <w:r w:rsidR="003917D5" w:rsidRPr="00092ED7">
        <w:rPr>
          <w:lang w:val="sr-Cyrl-CS" w:eastAsia="ja-JP"/>
        </w:rPr>
        <w:t xml:space="preserve"> </w:t>
      </w:r>
      <w:r w:rsidR="003917D5" w:rsidRPr="00092ED7">
        <w:rPr>
          <w:rFonts w:cs="Times New Roman"/>
          <w:szCs w:val="24"/>
          <w:lang w:val="sr-Cyrl-CS"/>
        </w:rPr>
        <w:t>(„Службени гласник РС”, брoj 87/18)</w:t>
      </w:r>
      <w:r w:rsidRPr="00092ED7">
        <w:rPr>
          <w:lang w:val="sr-Cyrl-CS" w:eastAsia="ja-JP"/>
        </w:rPr>
        <w:t>. Република Србија је у 2019. години платила из буџета 4,22 млрд динара за накнаде штете за повреде или штете настале услед елементарних непогода или других природних узрока. У току 2020. године за ову намену издвојено је 2,8 млрд динара, док је за током 2021. године износ потрошен на ове намене износио 520,3 милиона динара. У 2022. години је за првих девет месец издвојено око 94,2 милиона динара за ову намену.</w:t>
      </w:r>
    </w:p>
    <w:p w14:paraId="12A381F7" w14:textId="77777777" w:rsidR="008B200E" w:rsidRPr="00092ED7" w:rsidRDefault="008B200E" w:rsidP="00613B5B">
      <w:pPr>
        <w:spacing w:before="120"/>
        <w:rPr>
          <w:rFonts w:eastAsia="MS PGothic" w:cs="Times New Roman"/>
          <w:b/>
          <w:szCs w:val="24"/>
          <w:lang w:val="sr-Cyrl-CS" w:eastAsia="ja-JP"/>
        </w:rPr>
      </w:pPr>
      <w:r w:rsidRPr="00092ED7">
        <w:rPr>
          <w:rFonts w:eastAsia="MS PGothic" w:cs="Times New Roman"/>
          <w:b/>
          <w:szCs w:val="24"/>
          <w:lang w:val="sr-Cyrl-CS" w:eastAsia="ja-JP"/>
        </w:rPr>
        <w:t>Алтернативни сценарио фискалних кретања у периоду 2022–2025. године</w:t>
      </w:r>
    </w:p>
    <w:p w14:paraId="25BD969B" w14:textId="77777777" w:rsidR="008B200E" w:rsidRPr="00092ED7" w:rsidRDefault="008B200E" w:rsidP="00613B5B">
      <w:pPr>
        <w:spacing w:after="60"/>
        <w:rPr>
          <w:lang w:val="sr-Cyrl-CS" w:eastAsia="ja-JP"/>
        </w:rPr>
      </w:pPr>
      <w:r w:rsidRPr="00092ED7">
        <w:rPr>
          <w:lang w:val="sr-Cyrl-CS" w:eastAsia="ja-JP"/>
        </w:rPr>
        <w:t>На следећем графикону приказано је кретање учешћа дефицита и јавног дуга у БДП на основу алтернативног макроекономског сценарија, а који подразумева стопе раста од 0,5%, 2,5% и 3,5% у наредном трогодишњем периоду.</w:t>
      </w:r>
    </w:p>
    <w:p w14:paraId="754782C9" w14:textId="77777777" w:rsidR="008B200E" w:rsidRPr="00092ED7" w:rsidRDefault="008B200E" w:rsidP="00613B5B">
      <w:pPr>
        <w:spacing w:before="120" w:after="60"/>
        <w:rPr>
          <w:lang w:val="sr-Cyrl-CS" w:eastAsia="ja-JP"/>
        </w:rPr>
      </w:pPr>
      <w:r w:rsidRPr="00092ED7">
        <w:rPr>
          <w:lang w:val="sr-Cyrl-CS" w:eastAsia="ja-JP"/>
        </w:rPr>
        <w:t>Графикон 16. Основни и алтернативни сценарио фискалних кретања у периоду 2022–2025. године</w:t>
      </w:r>
    </w:p>
    <w:p w14:paraId="537147FD" w14:textId="77777777" w:rsidR="008B200E" w:rsidRPr="00092ED7" w:rsidRDefault="008B200E" w:rsidP="008B200E">
      <w:pPr>
        <w:spacing w:line="276" w:lineRule="auto"/>
        <w:rPr>
          <w:rFonts w:eastAsia="MS PGothic" w:cs="Times New Roman"/>
          <w:szCs w:val="24"/>
          <w:lang w:val="sr-Cyrl-CS" w:eastAsia="ja-JP"/>
        </w:rPr>
      </w:pPr>
      <w:r w:rsidRPr="00092ED7">
        <w:rPr>
          <w:noProof/>
        </w:rPr>
        <w:drawing>
          <wp:inline distT="0" distB="0" distL="0" distR="0" wp14:anchorId="6AD34C2B" wp14:editId="471E0E0C">
            <wp:extent cx="5731510" cy="3419061"/>
            <wp:effectExtent l="0" t="0" r="2540" b="1016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3BE38F33" w14:textId="77777777" w:rsidR="008B200E" w:rsidRPr="00092ED7" w:rsidRDefault="008B200E" w:rsidP="00EF262F">
      <w:pPr>
        <w:spacing w:after="60"/>
        <w:rPr>
          <w:lang w:val="sr-Cyrl-CS" w:eastAsia="ja-JP"/>
        </w:rPr>
      </w:pPr>
      <w:r w:rsidRPr="00092ED7">
        <w:rPr>
          <w:lang w:val="sr-Cyrl-CS" w:eastAsia="ja-JP"/>
        </w:rPr>
        <w:t>Спорији раст утицао би, преко својих компоненти, и на остварење фискалних агрегата, превасходно на приходну страну, и то највише на приходе по основу рада и порезе на потрошњу. Оваква динамика БДП довела би до вишег нивоа дефицита и јавног дуга, у односу на основни сценарио. Ниво дефицита би спорије падао, а ниво јавног дуга би чак порастао у односу на ниво из 2022. године, па би се стабилизовао негде испод 58% БДП. Претпоставка у овом сценарију је да би политика кретања плата и пензија, као и номинални износи предвиђени за капиталне инвестиције, били исти као у основном сценарију.</w:t>
      </w:r>
    </w:p>
    <w:p w14:paraId="23F96CA6" w14:textId="77777777" w:rsidR="00E93C51" w:rsidRPr="00092ED7" w:rsidRDefault="00E93C51" w:rsidP="00EF262F">
      <w:pPr>
        <w:spacing w:after="60"/>
        <w:rPr>
          <w:lang w:val="sr-Cyrl-CS" w:eastAsia="ja-JP"/>
        </w:rPr>
      </w:pPr>
    </w:p>
    <w:p w14:paraId="32C9DCF8" w14:textId="77777777" w:rsidR="008B200E" w:rsidRPr="00092ED7" w:rsidRDefault="008B200E" w:rsidP="00613B5B">
      <w:pPr>
        <w:spacing w:before="120"/>
        <w:rPr>
          <w:rFonts w:cs="Times New Roman"/>
          <w:b/>
          <w:bCs/>
          <w:szCs w:val="24"/>
          <w:lang w:val="sr-Cyrl-CS"/>
        </w:rPr>
      </w:pPr>
      <w:r w:rsidRPr="00092ED7">
        <w:rPr>
          <w:rFonts w:cs="Times New Roman"/>
          <w:b/>
          <w:bCs/>
          <w:szCs w:val="24"/>
          <w:lang w:val="sr-Cyrl-CS"/>
        </w:rPr>
        <w:t>Поређење са претходним програмом</w:t>
      </w:r>
    </w:p>
    <w:p w14:paraId="052EE692" w14:textId="77777777" w:rsidR="008B200E" w:rsidRPr="00092ED7" w:rsidRDefault="008B200E" w:rsidP="00613B5B">
      <w:pPr>
        <w:spacing w:after="60"/>
        <w:rPr>
          <w:bCs/>
          <w:lang w:val="sr-Cyrl-CS"/>
        </w:rPr>
      </w:pPr>
      <w:r w:rsidRPr="00092ED7">
        <w:rPr>
          <w:bCs/>
          <w:lang w:val="sr-Cyrl-CS"/>
        </w:rPr>
        <w:lastRenderedPageBreak/>
        <w:t>Средњорочни фискални оквир је значајно промењен у односу на претходни документ</w:t>
      </w:r>
      <w:r w:rsidRPr="00092ED7">
        <w:rPr>
          <w:bCs/>
          <w:vertAlign w:val="superscript"/>
          <w:lang w:val="sr-Cyrl-CS"/>
        </w:rPr>
        <w:footnoteReference w:id="14"/>
      </w:r>
      <w:r w:rsidRPr="00092ED7">
        <w:rPr>
          <w:bCs/>
          <w:lang w:val="sr-Cyrl-CS"/>
        </w:rPr>
        <w:t xml:space="preserve"> с обзиром на размере негативних ефеката које доносе раст цена на међународном тржишту и сукоб у Украјини. Средства намењена за ублажавање ових ефеката су у највећој мери повећала ниво расхода и дефицита у наредном периоду. Истовремено, приходи и расходи ће се постепено смањивати у смислу учешћа у БДП, с тим да, док год траје неизвесност везана за пандемију, цене енергената, сировина и хране и сукоб у Украјини, могуће су фискалне интервенције у циљу амортизовања негативних ефеката. Планирани дефицити омогућавају даље смањивање учешћа јавног дуга у БДП.</w:t>
      </w:r>
    </w:p>
    <w:p w14:paraId="735025A9" w14:textId="77777777" w:rsidR="008B200E" w:rsidRPr="00092ED7" w:rsidRDefault="008B200E" w:rsidP="00613B5B">
      <w:pPr>
        <w:spacing w:before="120" w:after="60"/>
        <w:rPr>
          <w:lang w:val="sr-Cyrl-CS" w:eastAsia="ja-JP"/>
        </w:rPr>
      </w:pPr>
      <w:r w:rsidRPr="00092ED7">
        <w:rPr>
          <w:lang w:val="sr-Cyrl-CS" w:eastAsia="ja-JP"/>
        </w:rPr>
        <w:t>Табела 13. Поређење фискалних показатеља два програма, у % БДП</w:t>
      </w:r>
    </w:p>
    <w:tbl>
      <w:tblPr>
        <w:tblStyle w:val="ListTable6Colorful-Accent6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73"/>
        <w:gridCol w:w="1049"/>
        <w:gridCol w:w="1049"/>
        <w:gridCol w:w="1049"/>
        <w:gridCol w:w="1049"/>
        <w:gridCol w:w="1047"/>
      </w:tblGrid>
      <w:tr w:rsidR="008B200E" w:rsidRPr="00092ED7" w14:paraId="4754BD69" w14:textId="77777777" w:rsidTr="00613B5B">
        <w:trPr>
          <w:cnfStyle w:val="100000000000" w:firstRow="1" w:lastRow="0" w:firstColumn="0" w:lastColumn="0" w:oddVBand="0" w:evenVBand="0" w:oddHBand="0" w:evenHBand="0" w:firstRowFirstColumn="0" w:firstRowLastColumn="0" w:lastRowFirstColumn="0" w:lastRowLastColumn="0"/>
          <w:trHeight w:val="241"/>
        </w:trPr>
        <w:tc>
          <w:tcPr>
            <w:cnfStyle w:val="001000000000" w:firstRow="0" w:lastRow="0" w:firstColumn="1" w:lastColumn="0" w:oddVBand="0" w:evenVBand="0" w:oddHBand="0" w:evenHBand="0" w:firstRowFirstColumn="0" w:firstRowLastColumn="0" w:lastRowFirstColumn="0" w:lastRowLastColumn="0"/>
            <w:tcW w:w="1991" w:type="pct"/>
            <w:tcBorders>
              <w:bottom w:val="none" w:sz="0" w:space="0" w:color="auto"/>
            </w:tcBorders>
            <w:shd w:val="clear" w:color="auto" w:fill="FFFFFF" w:themeFill="background1"/>
            <w:noWrap/>
            <w:hideMark/>
          </w:tcPr>
          <w:p w14:paraId="64C1AE31" w14:textId="77777777" w:rsidR="008B200E" w:rsidRPr="00092ED7" w:rsidRDefault="008B200E" w:rsidP="00613B5B">
            <w:pPr>
              <w:spacing w:after="0"/>
              <w:rPr>
                <w:rFonts w:cs="Times New Roman"/>
                <w:color w:val="auto"/>
                <w:sz w:val="20"/>
                <w:szCs w:val="20"/>
                <w:lang w:val="sr-Cyrl-CS"/>
              </w:rPr>
            </w:pPr>
          </w:p>
        </w:tc>
        <w:tc>
          <w:tcPr>
            <w:tcW w:w="602" w:type="pct"/>
            <w:tcBorders>
              <w:bottom w:val="none" w:sz="0" w:space="0" w:color="auto"/>
            </w:tcBorders>
            <w:shd w:val="clear" w:color="auto" w:fill="FFFFFF" w:themeFill="background1"/>
            <w:noWrap/>
            <w:hideMark/>
          </w:tcPr>
          <w:p w14:paraId="754479EB" w14:textId="77777777" w:rsidR="008B200E" w:rsidRPr="00092ED7" w:rsidRDefault="008B200E" w:rsidP="00613B5B">
            <w:pPr>
              <w:keepNext/>
              <w:widowControl w:val="0"/>
              <w:shd w:val="clear" w:color="auto" w:fill="FFFFFF" w:themeFill="background1"/>
              <w:spacing w:after="0"/>
              <w:jc w:val="right"/>
              <w:cnfStyle w:val="100000000000" w:firstRow="1" w:lastRow="0" w:firstColumn="0" w:lastColumn="0" w:oddVBand="0" w:evenVBand="0" w:oddHBand="0" w:evenHBand="0" w:firstRowFirstColumn="0" w:firstRowLastColumn="0" w:lastRowFirstColumn="0" w:lastRowLastColumn="0"/>
              <w:rPr>
                <w:rFonts w:eastAsia="Times New Roman" w:cs="Times New Roman"/>
                <w:b w:val="0"/>
                <w:color w:val="auto"/>
                <w:sz w:val="20"/>
                <w:szCs w:val="20"/>
                <w:lang w:val="sr-Cyrl-CS"/>
              </w:rPr>
            </w:pPr>
            <w:r w:rsidRPr="00092ED7">
              <w:rPr>
                <w:rFonts w:cs="Times New Roman"/>
                <w:color w:val="auto"/>
                <w:sz w:val="20"/>
                <w:szCs w:val="20"/>
                <w:lang w:val="sr-Cyrl-CS"/>
              </w:rPr>
              <w:t>2021</w:t>
            </w:r>
          </w:p>
        </w:tc>
        <w:tc>
          <w:tcPr>
            <w:tcW w:w="602" w:type="pct"/>
            <w:tcBorders>
              <w:bottom w:val="none" w:sz="0" w:space="0" w:color="auto"/>
            </w:tcBorders>
            <w:shd w:val="clear" w:color="auto" w:fill="FFFFFF" w:themeFill="background1"/>
            <w:noWrap/>
            <w:hideMark/>
          </w:tcPr>
          <w:p w14:paraId="5F0630B1" w14:textId="77777777" w:rsidR="008B200E" w:rsidRPr="00092ED7" w:rsidRDefault="008B200E" w:rsidP="00613B5B">
            <w:pPr>
              <w:keepNext/>
              <w:widowControl w:val="0"/>
              <w:shd w:val="clear" w:color="auto" w:fill="FFFFFF" w:themeFill="background1"/>
              <w:spacing w:after="0"/>
              <w:jc w:val="right"/>
              <w:cnfStyle w:val="100000000000" w:firstRow="1" w:lastRow="0" w:firstColumn="0" w:lastColumn="0" w:oddVBand="0" w:evenVBand="0" w:oddHBand="0" w:evenHBand="0" w:firstRowFirstColumn="0" w:firstRowLastColumn="0" w:lastRowFirstColumn="0" w:lastRowLastColumn="0"/>
              <w:rPr>
                <w:rFonts w:eastAsia="Times New Roman" w:cs="Times New Roman"/>
                <w:b w:val="0"/>
                <w:color w:val="auto"/>
                <w:sz w:val="20"/>
                <w:szCs w:val="20"/>
                <w:lang w:val="sr-Cyrl-CS"/>
              </w:rPr>
            </w:pPr>
            <w:r w:rsidRPr="00092ED7">
              <w:rPr>
                <w:rFonts w:cs="Times New Roman"/>
                <w:color w:val="auto"/>
                <w:sz w:val="20"/>
                <w:szCs w:val="20"/>
                <w:lang w:val="sr-Cyrl-CS"/>
              </w:rPr>
              <w:t>2022</w:t>
            </w:r>
          </w:p>
        </w:tc>
        <w:tc>
          <w:tcPr>
            <w:tcW w:w="602" w:type="pct"/>
            <w:tcBorders>
              <w:bottom w:val="none" w:sz="0" w:space="0" w:color="auto"/>
            </w:tcBorders>
            <w:shd w:val="clear" w:color="auto" w:fill="FFFFFF" w:themeFill="background1"/>
            <w:noWrap/>
            <w:hideMark/>
          </w:tcPr>
          <w:p w14:paraId="0B86EE1D" w14:textId="77777777" w:rsidR="008B200E" w:rsidRPr="00092ED7" w:rsidRDefault="008B200E" w:rsidP="00613B5B">
            <w:pPr>
              <w:keepNext/>
              <w:widowControl w:val="0"/>
              <w:shd w:val="clear" w:color="auto" w:fill="FFFFFF" w:themeFill="background1"/>
              <w:spacing w:after="0"/>
              <w:jc w:val="right"/>
              <w:cnfStyle w:val="100000000000" w:firstRow="1" w:lastRow="0" w:firstColumn="0" w:lastColumn="0" w:oddVBand="0" w:evenVBand="0" w:oddHBand="0" w:evenHBand="0" w:firstRowFirstColumn="0" w:firstRowLastColumn="0" w:lastRowFirstColumn="0" w:lastRowLastColumn="0"/>
              <w:rPr>
                <w:rFonts w:eastAsia="Times New Roman" w:cs="Times New Roman"/>
                <w:b w:val="0"/>
                <w:color w:val="auto"/>
                <w:sz w:val="20"/>
                <w:szCs w:val="20"/>
                <w:lang w:val="sr-Cyrl-CS"/>
              </w:rPr>
            </w:pPr>
            <w:r w:rsidRPr="00092ED7">
              <w:rPr>
                <w:rFonts w:cs="Times New Roman"/>
                <w:color w:val="auto"/>
                <w:sz w:val="20"/>
                <w:szCs w:val="20"/>
                <w:lang w:val="sr-Cyrl-CS"/>
              </w:rPr>
              <w:t>2023</w:t>
            </w:r>
          </w:p>
        </w:tc>
        <w:tc>
          <w:tcPr>
            <w:tcW w:w="602" w:type="pct"/>
            <w:tcBorders>
              <w:bottom w:val="none" w:sz="0" w:space="0" w:color="auto"/>
            </w:tcBorders>
            <w:shd w:val="clear" w:color="auto" w:fill="FFFFFF" w:themeFill="background1"/>
            <w:noWrap/>
            <w:hideMark/>
          </w:tcPr>
          <w:p w14:paraId="52699305" w14:textId="77777777" w:rsidR="008B200E" w:rsidRPr="00092ED7" w:rsidRDefault="008B200E" w:rsidP="00613B5B">
            <w:pPr>
              <w:keepNext/>
              <w:widowControl w:val="0"/>
              <w:shd w:val="clear" w:color="auto" w:fill="FFFFFF" w:themeFill="background1"/>
              <w:spacing w:after="0"/>
              <w:jc w:val="right"/>
              <w:cnfStyle w:val="100000000000" w:firstRow="1" w:lastRow="0" w:firstColumn="0" w:lastColumn="0" w:oddVBand="0" w:evenVBand="0" w:oddHBand="0" w:evenHBand="0" w:firstRowFirstColumn="0" w:firstRowLastColumn="0" w:lastRowFirstColumn="0" w:lastRowLastColumn="0"/>
              <w:rPr>
                <w:rFonts w:eastAsia="Times New Roman" w:cs="Times New Roman"/>
                <w:b w:val="0"/>
                <w:color w:val="auto"/>
                <w:sz w:val="20"/>
                <w:szCs w:val="20"/>
                <w:lang w:val="sr-Cyrl-CS"/>
              </w:rPr>
            </w:pPr>
            <w:r w:rsidRPr="00092ED7">
              <w:rPr>
                <w:rFonts w:cs="Times New Roman"/>
                <w:color w:val="auto"/>
                <w:sz w:val="20"/>
                <w:szCs w:val="20"/>
                <w:lang w:val="sr-Cyrl-CS"/>
              </w:rPr>
              <w:t>2024</w:t>
            </w:r>
          </w:p>
        </w:tc>
        <w:tc>
          <w:tcPr>
            <w:tcW w:w="602" w:type="pct"/>
            <w:tcBorders>
              <w:bottom w:val="none" w:sz="0" w:space="0" w:color="auto"/>
            </w:tcBorders>
            <w:shd w:val="clear" w:color="auto" w:fill="FFFFFF" w:themeFill="background1"/>
            <w:noWrap/>
            <w:hideMark/>
          </w:tcPr>
          <w:p w14:paraId="373A0168" w14:textId="77777777" w:rsidR="008B200E" w:rsidRPr="00092ED7" w:rsidRDefault="008B200E" w:rsidP="00613B5B">
            <w:pPr>
              <w:keepNext/>
              <w:widowControl w:val="0"/>
              <w:shd w:val="clear" w:color="auto" w:fill="FFFFFF" w:themeFill="background1"/>
              <w:spacing w:after="0"/>
              <w:jc w:val="right"/>
              <w:cnfStyle w:val="100000000000" w:firstRow="1" w:lastRow="0" w:firstColumn="0" w:lastColumn="0" w:oddVBand="0" w:evenVBand="0" w:oddHBand="0" w:evenHBand="0" w:firstRowFirstColumn="0" w:firstRowLastColumn="0" w:lastRowFirstColumn="0" w:lastRowLastColumn="0"/>
              <w:rPr>
                <w:rFonts w:eastAsia="Times New Roman" w:cs="Times New Roman"/>
                <w:color w:val="auto"/>
                <w:sz w:val="18"/>
                <w:szCs w:val="18"/>
                <w:lang w:val="sr-Cyrl-CS"/>
              </w:rPr>
            </w:pPr>
            <w:r w:rsidRPr="00092ED7">
              <w:rPr>
                <w:rFonts w:eastAsia="Times New Roman" w:cs="Times New Roman"/>
                <w:color w:val="auto"/>
                <w:sz w:val="18"/>
                <w:szCs w:val="18"/>
                <w:lang w:val="sr-Cyrl-CS"/>
              </w:rPr>
              <w:t>2025</w:t>
            </w:r>
          </w:p>
        </w:tc>
      </w:tr>
      <w:tr w:rsidR="008B200E" w:rsidRPr="00092ED7" w14:paraId="201BE810" w14:textId="77777777" w:rsidTr="00613B5B">
        <w:trPr>
          <w:cnfStyle w:val="000000100000" w:firstRow="0" w:lastRow="0" w:firstColumn="0" w:lastColumn="0" w:oddVBand="0" w:evenVBand="0" w:oddHBand="1" w:evenHBand="0" w:firstRowFirstColumn="0" w:firstRowLastColumn="0" w:lastRowFirstColumn="0" w:lastRowLastColumn="0"/>
          <w:trHeight w:val="241"/>
        </w:trPr>
        <w:tc>
          <w:tcPr>
            <w:cnfStyle w:val="001000000000" w:firstRow="0" w:lastRow="0" w:firstColumn="1" w:lastColumn="0" w:oddVBand="0" w:evenVBand="0" w:oddHBand="0" w:evenHBand="0" w:firstRowFirstColumn="0" w:firstRowLastColumn="0" w:lastRowFirstColumn="0" w:lastRowLastColumn="0"/>
            <w:tcW w:w="1991" w:type="pct"/>
            <w:shd w:val="clear" w:color="auto" w:fill="FFFFFF" w:themeFill="background1"/>
            <w:noWrap/>
            <w:hideMark/>
          </w:tcPr>
          <w:p w14:paraId="18F33BB0" w14:textId="77777777" w:rsidR="008B200E" w:rsidRPr="00092ED7" w:rsidRDefault="008B200E" w:rsidP="00613B5B">
            <w:pPr>
              <w:spacing w:after="0"/>
              <w:rPr>
                <w:rFonts w:cs="Times New Roman"/>
                <w:b w:val="0"/>
                <w:color w:val="auto"/>
                <w:sz w:val="20"/>
                <w:szCs w:val="20"/>
                <w:lang w:val="sr-Cyrl-CS"/>
              </w:rPr>
            </w:pPr>
            <w:r w:rsidRPr="00092ED7">
              <w:rPr>
                <w:rFonts w:cs="Times New Roman"/>
                <w:b w:val="0"/>
                <w:color w:val="auto"/>
                <w:sz w:val="20"/>
                <w:szCs w:val="20"/>
                <w:lang w:val="sr-Cyrl-CS"/>
              </w:rPr>
              <w:t>Програм економских реформи 2022–2024</w:t>
            </w:r>
          </w:p>
        </w:tc>
        <w:tc>
          <w:tcPr>
            <w:tcW w:w="602" w:type="pct"/>
            <w:shd w:val="clear" w:color="auto" w:fill="FFFFFF" w:themeFill="background1"/>
            <w:noWrap/>
            <w:hideMark/>
          </w:tcPr>
          <w:p w14:paraId="4645A0E9" w14:textId="77777777" w:rsidR="008B200E" w:rsidRPr="00092ED7" w:rsidRDefault="008B200E" w:rsidP="00613B5B">
            <w:pPr>
              <w:keepNext/>
              <w:widowControl w:val="0"/>
              <w:shd w:val="clear" w:color="auto" w:fill="FFFFFF" w:themeFill="background1"/>
              <w:spacing w:after="0"/>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0"/>
                <w:szCs w:val="20"/>
                <w:lang w:val="sr-Cyrl-CS"/>
              </w:rPr>
            </w:pPr>
          </w:p>
        </w:tc>
        <w:tc>
          <w:tcPr>
            <w:tcW w:w="602" w:type="pct"/>
            <w:shd w:val="clear" w:color="auto" w:fill="FFFFFF" w:themeFill="background1"/>
            <w:noWrap/>
            <w:hideMark/>
          </w:tcPr>
          <w:p w14:paraId="783AD98A" w14:textId="77777777" w:rsidR="008B200E" w:rsidRPr="00092ED7" w:rsidRDefault="008B200E" w:rsidP="00613B5B">
            <w:pPr>
              <w:keepNext/>
              <w:widowControl w:val="0"/>
              <w:shd w:val="clear" w:color="auto" w:fill="FFFFFF" w:themeFill="background1"/>
              <w:spacing w:after="0"/>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0"/>
                <w:szCs w:val="20"/>
                <w:lang w:val="sr-Cyrl-CS"/>
              </w:rPr>
            </w:pPr>
          </w:p>
        </w:tc>
        <w:tc>
          <w:tcPr>
            <w:tcW w:w="602" w:type="pct"/>
            <w:shd w:val="clear" w:color="auto" w:fill="FFFFFF" w:themeFill="background1"/>
            <w:noWrap/>
            <w:hideMark/>
          </w:tcPr>
          <w:p w14:paraId="04B88D9B" w14:textId="77777777" w:rsidR="008B200E" w:rsidRPr="00092ED7" w:rsidRDefault="008B200E" w:rsidP="00613B5B">
            <w:pPr>
              <w:keepNext/>
              <w:widowControl w:val="0"/>
              <w:shd w:val="clear" w:color="auto" w:fill="FFFFFF" w:themeFill="background1"/>
              <w:spacing w:after="0"/>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0"/>
                <w:szCs w:val="20"/>
                <w:lang w:val="sr-Cyrl-CS"/>
              </w:rPr>
            </w:pPr>
          </w:p>
        </w:tc>
        <w:tc>
          <w:tcPr>
            <w:tcW w:w="602" w:type="pct"/>
            <w:shd w:val="clear" w:color="auto" w:fill="FFFFFF" w:themeFill="background1"/>
            <w:noWrap/>
            <w:hideMark/>
          </w:tcPr>
          <w:p w14:paraId="371D1A32" w14:textId="77777777" w:rsidR="008B200E" w:rsidRPr="00092ED7" w:rsidRDefault="008B200E" w:rsidP="00613B5B">
            <w:pPr>
              <w:keepNext/>
              <w:widowControl w:val="0"/>
              <w:shd w:val="clear" w:color="auto" w:fill="FFFFFF" w:themeFill="background1"/>
              <w:spacing w:after="0"/>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0"/>
                <w:szCs w:val="20"/>
                <w:lang w:val="sr-Cyrl-CS"/>
              </w:rPr>
            </w:pPr>
          </w:p>
        </w:tc>
        <w:tc>
          <w:tcPr>
            <w:tcW w:w="602" w:type="pct"/>
            <w:shd w:val="clear" w:color="auto" w:fill="FFFFFF" w:themeFill="background1"/>
            <w:noWrap/>
            <w:hideMark/>
          </w:tcPr>
          <w:p w14:paraId="7282D46A" w14:textId="77777777" w:rsidR="008B200E" w:rsidRPr="00092ED7" w:rsidRDefault="008B200E" w:rsidP="00613B5B">
            <w:pPr>
              <w:keepNext/>
              <w:widowControl w:val="0"/>
              <w:shd w:val="clear" w:color="auto" w:fill="FFFFFF" w:themeFill="background1"/>
              <w:spacing w:after="0"/>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18"/>
                <w:szCs w:val="18"/>
                <w:lang w:val="sr-Cyrl-CS"/>
              </w:rPr>
            </w:pPr>
          </w:p>
        </w:tc>
      </w:tr>
      <w:tr w:rsidR="008B200E" w:rsidRPr="00092ED7" w14:paraId="5B9B2D1B" w14:textId="77777777" w:rsidTr="00613B5B">
        <w:trPr>
          <w:trHeight w:val="241"/>
        </w:trPr>
        <w:tc>
          <w:tcPr>
            <w:cnfStyle w:val="001000000000" w:firstRow="0" w:lastRow="0" w:firstColumn="1" w:lastColumn="0" w:oddVBand="0" w:evenVBand="0" w:oddHBand="0" w:evenHBand="0" w:firstRowFirstColumn="0" w:firstRowLastColumn="0" w:lastRowFirstColumn="0" w:lastRowLastColumn="0"/>
            <w:tcW w:w="1991" w:type="pct"/>
            <w:shd w:val="clear" w:color="auto" w:fill="FFFFFF" w:themeFill="background1"/>
            <w:noWrap/>
            <w:hideMark/>
          </w:tcPr>
          <w:p w14:paraId="69A26389" w14:textId="77777777" w:rsidR="008B200E" w:rsidRPr="00092ED7" w:rsidRDefault="008B200E" w:rsidP="00613B5B">
            <w:pPr>
              <w:spacing w:after="0"/>
              <w:rPr>
                <w:rFonts w:cs="Times New Roman"/>
                <w:b w:val="0"/>
                <w:color w:val="auto"/>
                <w:sz w:val="20"/>
                <w:szCs w:val="20"/>
                <w:lang w:val="sr-Cyrl-CS"/>
              </w:rPr>
            </w:pPr>
            <w:r w:rsidRPr="00092ED7">
              <w:rPr>
                <w:rFonts w:cs="Times New Roman"/>
                <w:b w:val="0"/>
                <w:color w:val="auto"/>
                <w:sz w:val="20"/>
                <w:szCs w:val="20"/>
                <w:lang w:val="sr-Cyrl-CS"/>
              </w:rPr>
              <w:t>Приходи</w:t>
            </w:r>
          </w:p>
        </w:tc>
        <w:tc>
          <w:tcPr>
            <w:tcW w:w="602" w:type="pct"/>
            <w:shd w:val="clear" w:color="auto" w:fill="FFFFFF" w:themeFill="background1"/>
            <w:noWrap/>
            <w:hideMark/>
          </w:tcPr>
          <w:p w14:paraId="15D161AE" w14:textId="77777777" w:rsidR="008B200E" w:rsidRPr="00092ED7" w:rsidRDefault="008B200E" w:rsidP="00613B5B">
            <w:pPr>
              <w:keepNext/>
              <w:widowControl w:val="0"/>
              <w:shd w:val="clear" w:color="auto" w:fill="FFFFFF" w:themeFill="background1"/>
              <w:spacing w:after="0"/>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0"/>
                <w:szCs w:val="20"/>
                <w:lang w:val="sr-Cyrl-CS"/>
              </w:rPr>
            </w:pPr>
            <w:r w:rsidRPr="00092ED7">
              <w:rPr>
                <w:rFonts w:cs="Times New Roman"/>
                <w:color w:val="auto"/>
                <w:sz w:val="20"/>
                <w:szCs w:val="20"/>
                <w:lang w:val="sr-Cyrl-CS"/>
              </w:rPr>
              <w:t>43,5</w:t>
            </w:r>
          </w:p>
        </w:tc>
        <w:tc>
          <w:tcPr>
            <w:tcW w:w="602" w:type="pct"/>
            <w:shd w:val="clear" w:color="auto" w:fill="FFFFFF" w:themeFill="background1"/>
            <w:noWrap/>
            <w:hideMark/>
          </w:tcPr>
          <w:p w14:paraId="1C9CFAB3" w14:textId="77777777" w:rsidR="008B200E" w:rsidRPr="00092ED7" w:rsidRDefault="008B200E" w:rsidP="00613B5B">
            <w:pPr>
              <w:keepNext/>
              <w:widowControl w:val="0"/>
              <w:shd w:val="clear" w:color="auto" w:fill="FFFFFF" w:themeFill="background1"/>
              <w:spacing w:after="0"/>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0"/>
                <w:szCs w:val="20"/>
                <w:lang w:val="sr-Cyrl-CS"/>
              </w:rPr>
            </w:pPr>
            <w:r w:rsidRPr="00092ED7">
              <w:rPr>
                <w:rFonts w:cs="Times New Roman"/>
                <w:color w:val="auto"/>
                <w:sz w:val="20"/>
                <w:szCs w:val="20"/>
                <w:lang w:val="sr-Cyrl-CS"/>
              </w:rPr>
              <w:t>42,2</w:t>
            </w:r>
          </w:p>
        </w:tc>
        <w:tc>
          <w:tcPr>
            <w:tcW w:w="602" w:type="pct"/>
            <w:shd w:val="clear" w:color="auto" w:fill="FFFFFF" w:themeFill="background1"/>
            <w:noWrap/>
            <w:hideMark/>
          </w:tcPr>
          <w:p w14:paraId="4D4A5821" w14:textId="77777777" w:rsidR="008B200E" w:rsidRPr="00092ED7" w:rsidRDefault="008B200E" w:rsidP="00613B5B">
            <w:pPr>
              <w:keepNext/>
              <w:widowControl w:val="0"/>
              <w:shd w:val="clear" w:color="auto" w:fill="FFFFFF" w:themeFill="background1"/>
              <w:spacing w:after="0"/>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0"/>
                <w:szCs w:val="20"/>
                <w:lang w:val="sr-Cyrl-CS"/>
              </w:rPr>
            </w:pPr>
            <w:r w:rsidRPr="00092ED7">
              <w:rPr>
                <w:rFonts w:cs="Times New Roman"/>
                <w:color w:val="auto"/>
                <w:sz w:val="20"/>
                <w:szCs w:val="20"/>
                <w:lang w:val="sr-Cyrl-CS"/>
              </w:rPr>
              <w:t>41,4</w:t>
            </w:r>
          </w:p>
        </w:tc>
        <w:tc>
          <w:tcPr>
            <w:tcW w:w="602" w:type="pct"/>
            <w:shd w:val="clear" w:color="auto" w:fill="FFFFFF" w:themeFill="background1"/>
            <w:noWrap/>
            <w:hideMark/>
          </w:tcPr>
          <w:p w14:paraId="3823BF2F" w14:textId="77777777" w:rsidR="008B200E" w:rsidRPr="00092ED7" w:rsidRDefault="008B200E" w:rsidP="00613B5B">
            <w:pPr>
              <w:keepNext/>
              <w:widowControl w:val="0"/>
              <w:shd w:val="clear" w:color="auto" w:fill="FFFFFF" w:themeFill="background1"/>
              <w:spacing w:after="0"/>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0"/>
                <w:szCs w:val="20"/>
                <w:lang w:val="sr-Cyrl-CS"/>
              </w:rPr>
            </w:pPr>
            <w:r w:rsidRPr="00092ED7">
              <w:rPr>
                <w:rFonts w:cs="Times New Roman"/>
                <w:color w:val="auto"/>
                <w:sz w:val="20"/>
                <w:szCs w:val="20"/>
                <w:lang w:val="sr-Cyrl-CS"/>
              </w:rPr>
              <w:t>41,1</w:t>
            </w:r>
          </w:p>
        </w:tc>
        <w:tc>
          <w:tcPr>
            <w:tcW w:w="602" w:type="pct"/>
            <w:shd w:val="clear" w:color="auto" w:fill="FFFFFF" w:themeFill="background1"/>
            <w:noWrap/>
            <w:hideMark/>
          </w:tcPr>
          <w:p w14:paraId="4E6A35B5" w14:textId="77777777" w:rsidR="008B200E" w:rsidRPr="00092ED7" w:rsidRDefault="008B200E" w:rsidP="00613B5B">
            <w:pPr>
              <w:keepNext/>
              <w:widowControl w:val="0"/>
              <w:shd w:val="clear" w:color="auto" w:fill="FFFFFF" w:themeFill="background1"/>
              <w:spacing w:after="0"/>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18"/>
                <w:szCs w:val="18"/>
                <w:lang w:val="sr-Cyrl-CS"/>
              </w:rPr>
            </w:pPr>
            <w:r w:rsidRPr="00092ED7">
              <w:rPr>
                <w:rFonts w:eastAsia="Times New Roman" w:cs="Times New Roman"/>
                <w:color w:val="auto"/>
                <w:sz w:val="18"/>
                <w:szCs w:val="18"/>
                <w:lang w:val="sr-Cyrl-CS"/>
              </w:rPr>
              <w:t>–</w:t>
            </w:r>
          </w:p>
        </w:tc>
      </w:tr>
      <w:tr w:rsidR="008B200E" w:rsidRPr="00092ED7" w14:paraId="55138B69" w14:textId="77777777" w:rsidTr="00613B5B">
        <w:trPr>
          <w:cnfStyle w:val="000000100000" w:firstRow="0" w:lastRow="0" w:firstColumn="0" w:lastColumn="0" w:oddVBand="0" w:evenVBand="0" w:oddHBand="1" w:evenHBand="0" w:firstRowFirstColumn="0" w:firstRowLastColumn="0" w:lastRowFirstColumn="0" w:lastRowLastColumn="0"/>
          <w:trHeight w:val="241"/>
        </w:trPr>
        <w:tc>
          <w:tcPr>
            <w:cnfStyle w:val="001000000000" w:firstRow="0" w:lastRow="0" w:firstColumn="1" w:lastColumn="0" w:oddVBand="0" w:evenVBand="0" w:oddHBand="0" w:evenHBand="0" w:firstRowFirstColumn="0" w:firstRowLastColumn="0" w:lastRowFirstColumn="0" w:lastRowLastColumn="0"/>
            <w:tcW w:w="1991" w:type="pct"/>
            <w:shd w:val="clear" w:color="auto" w:fill="FFFFFF" w:themeFill="background1"/>
            <w:noWrap/>
            <w:hideMark/>
          </w:tcPr>
          <w:p w14:paraId="6B1E422B" w14:textId="77777777" w:rsidR="008B200E" w:rsidRPr="00092ED7" w:rsidRDefault="008B200E" w:rsidP="00613B5B">
            <w:pPr>
              <w:spacing w:after="0"/>
              <w:rPr>
                <w:rFonts w:cs="Times New Roman"/>
                <w:b w:val="0"/>
                <w:color w:val="auto"/>
                <w:sz w:val="20"/>
                <w:szCs w:val="20"/>
                <w:lang w:val="sr-Cyrl-CS"/>
              </w:rPr>
            </w:pPr>
            <w:r w:rsidRPr="00092ED7">
              <w:rPr>
                <w:rFonts w:cs="Times New Roman"/>
                <w:b w:val="0"/>
                <w:color w:val="auto"/>
                <w:sz w:val="20"/>
                <w:szCs w:val="20"/>
                <w:lang w:val="sr-Cyrl-CS"/>
              </w:rPr>
              <w:t>Расходи</w:t>
            </w:r>
          </w:p>
        </w:tc>
        <w:tc>
          <w:tcPr>
            <w:tcW w:w="602" w:type="pct"/>
            <w:shd w:val="clear" w:color="auto" w:fill="FFFFFF" w:themeFill="background1"/>
            <w:noWrap/>
            <w:hideMark/>
          </w:tcPr>
          <w:p w14:paraId="02DD51E7" w14:textId="77777777" w:rsidR="008B200E" w:rsidRPr="00092ED7" w:rsidRDefault="008B200E" w:rsidP="00613B5B">
            <w:pPr>
              <w:keepNext/>
              <w:widowControl w:val="0"/>
              <w:shd w:val="clear" w:color="auto" w:fill="FFFFFF" w:themeFill="background1"/>
              <w:spacing w:after="0"/>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0"/>
                <w:szCs w:val="20"/>
                <w:lang w:val="sr-Cyrl-CS"/>
              </w:rPr>
            </w:pPr>
            <w:r w:rsidRPr="00092ED7">
              <w:rPr>
                <w:rFonts w:cs="Times New Roman"/>
                <w:color w:val="auto"/>
                <w:sz w:val="20"/>
                <w:szCs w:val="20"/>
                <w:lang w:val="sr-Cyrl-CS"/>
              </w:rPr>
              <w:t>48,4</w:t>
            </w:r>
          </w:p>
        </w:tc>
        <w:tc>
          <w:tcPr>
            <w:tcW w:w="602" w:type="pct"/>
            <w:shd w:val="clear" w:color="auto" w:fill="FFFFFF" w:themeFill="background1"/>
            <w:noWrap/>
            <w:hideMark/>
          </w:tcPr>
          <w:p w14:paraId="7F9BBC24" w14:textId="77777777" w:rsidR="008B200E" w:rsidRPr="00092ED7" w:rsidRDefault="008B200E" w:rsidP="00613B5B">
            <w:pPr>
              <w:keepNext/>
              <w:widowControl w:val="0"/>
              <w:shd w:val="clear" w:color="auto" w:fill="FFFFFF" w:themeFill="background1"/>
              <w:spacing w:after="0"/>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0"/>
                <w:szCs w:val="20"/>
                <w:lang w:val="sr-Cyrl-CS"/>
              </w:rPr>
            </w:pPr>
            <w:r w:rsidRPr="00092ED7">
              <w:rPr>
                <w:rFonts w:cs="Times New Roman"/>
                <w:color w:val="auto"/>
                <w:sz w:val="20"/>
                <w:szCs w:val="20"/>
                <w:lang w:val="sr-Cyrl-CS"/>
              </w:rPr>
              <w:t>45,3</w:t>
            </w:r>
          </w:p>
        </w:tc>
        <w:tc>
          <w:tcPr>
            <w:tcW w:w="602" w:type="pct"/>
            <w:shd w:val="clear" w:color="auto" w:fill="FFFFFF" w:themeFill="background1"/>
            <w:noWrap/>
            <w:hideMark/>
          </w:tcPr>
          <w:p w14:paraId="148DBE40" w14:textId="77777777" w:rsidR="008B200E" w:rsidRPr="00092ED7" w:rsidRDefault="008B200E" w:rsidP="00613B5B">
            <w:pPr>
              <w:keepNext/>
              <w:widowControl w:val="0"/>
              <w:shd w:val="clear" w:color="auto" w:fill="FFFFFF" w:themeFill="background1"/>
              <w:spacing w:after="0"/>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0"/>
                <w:szCs w:val="20"/>
                <w:lang w:val="sr-Cyrl-CS"/>
              </w:rPr>
            </w:pPr>
            <w:r w:rsidRPr="00092ED7">
              <w:rPr>
                <w:rFonts w:cs="Times New Roman"/>
                <w:color w:val="auto"/>
                <w:sz w:val="20"/>
                <w:szCs w:val="20"/>
                <w:lang w:val="sr-Cyrl-CS"/>
              </w:rPr>
              <w:t>42,9</w:t>
            </w:r>
          </w:p>
        </w:tc>
        <w:tc>
          <w:tcPr>
            <w:tcW w:w="602" w:type="pct"/>
            <w:shd w:val="clear" w:color="auto" w:fill="FFFFFF" w:themeFill="background1"/>
            <w:noWrap/>
            <w:hideMark/>
          </w:tcPr>
          <w:p w14:paraId="1CC84989" w14:textId="77777777" w:rsidR="008B200E" w:rsidRPr="00092ED7" w:rsidRDefault="008B200E" w:rsidP="00613B5B">
            <w:pPr>
              <w:keepNext/>
              <w:widowControl w:val="0"/>
              <w:shd w:val="clear" w:color="auto" w:fill="FFFFFF" w:themeFill="background1"/>
              <w:spacing w:after="0"/>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0"/>
                <w:szCs w:val="20"/>
                <w:lang w:val="sr-Cyrl-CS"/>
              </w:rPr>
            </w:pPr>
            <w:r w:rsidRPr="00092ED7">
              <w:rPr>
                <w:rFonts w:cs="Times New Roman"/>
                <w:color w:val="auto"/>
                <w:sz w:val="20"/>
                <w:szCs w:val="20"/>
                <w:lang w:val="sr-Cyrl-CS"/>
              </w:rPr>
              <w:t>42,1</w:t>
            </w:r>
          </w:p>
        </w:tc>
        <w:tc>
          <w:tcPr>
            <w:tcW w:w="602" w:type="pct"/>
            <w:shd w:val="clear" w:color="auto" w:fill="FFFFFF" w:themeFill="background1"/>
            <w:noWrap/>
            <w:hideMark/>
          </w:tcPr>
          <w:p w14:paraId="4AB9CDA8" w14:textId="77777777" w:rsidR="008B200E" w:rsidRPr="00092ED7" w:rsidRDefault="008B200E" w:rsidP="00613B5B">
            <w:pPr>
              <w:keepNext/>
              <w:widowControl w:val="0"/>
              <w:shd w:val="clear" w:color="auto" w:fill="FFFFFF" w:themeFill="background1"/>
              <w:spacing w:after="0"/>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18"/>
                <w:szCs w:val="18"/>
                <w:lang w:val="sr-Cyrl-CS"/>
              </w:rPr>
            </w:pPr>
            <w:r w:rsidRPr="00092ED7">
              <w:rPr>
                <w:rFonts w:eastAsia="Times New Roman" w:cs="Times New Roman"/>
                <w:color w:val="auto"/>
                <w:sz w:val="18"/>
                <w:szCs w:val="18"/>
                <w:lang w:val="sr-Cyrl-CS"/>
              </w:rPr>
              <w:t>–</w:t>
            </w:r>
          </w:p>
        </w:tc>
      </w:tr>
      <w:tr w:rsidR="008B200E" w:rsidRPr="00092ED7" w14:paraId="26ED81DC" w14:textId="77777777" w:rsidTr="00613B5B">
        <w:trPr>
          <w:trHeight w:val="241"/>
        </w:trPr>
        <w:tc>
          <w:tcPr>
            <w:cnfStyle w:val="001000000000" w:firstRow="0" w:lastRow="0" w:firstColumn="1" w:lastColumn="0" w:oddVBand="0" w:evenVBand="0" w:oddHBand="0" w:evenHBand="0" w:firstRowFirstColumn="0" w:firstRowLastColumn="0" w:lastRowFirstColumn="0" w:lastRowLastColumn="0"/>
            <w:tcW w:w="1991" w:type="pct"/>
            <w:shd w:val="clear" w:color="auto" w:fill="FFFFFF" w:themeFill="background1"/>
            <w:noWrap/>
            <w:hideMark/>
          </w:tcPr>
          <w:p w14:paraId="69D80BC4" w14:textId="77777777" w:rsidR="008B200E" w:rsidRPr="00092ED7" w:rsidRDefault="008B200E" w:rsidP="00613B5B">
            <w:pPr>
              <w:spacing w:after="0"/>
              <w:rPr>
                <w:rFonts w:cs="Times New Roman"/>
                <w:b w:val="0"/>
                <w:color w:val="auto"/>
                <w:sz w:val="20"/>
                <w:szCs w:val="20"/>
                <w:lang w:val="sr-Cyrl-CS"/>
              </w:rPr>
            </w:pPr>
            <w:r w:rsidRPr="00092ED7">
              <w:rPr>
                <w:rFonts w:cs="Times New Roman"/>
                <w:b w:val="0"/>
                <w:color w:val="auto"/>
                <w:sz w:val="20"/>
                <w:szCs w:val="20"/>
                <w:lang w:val="sr-Cyrl-CS"/>
              </w:rPr>
              <w:t>Резултат</w:t>
            </w:r>
          </w:p>
        </w:tc>
        <w:tc>
          <w:tcPr>
            <w:tcW w:w="602" w:type="pct"/>
            <w:shd w:val="clear" w:color="auto" w:fill="FFFFFF" w:themeFill="background1"/>
            <w:noWrap/>
            <w:hideMark/>
          </w:tcPr>
          <w:p w14:paraId="20484921" w14:textId="77777777" w:rsidR="008B200E" w:rsidRPr="00092ED7" w:rsidRDefault="008B200E" w:rsidP="00613B5B">
            <w:pPr>
              <w:keepNext/>
              <w:widowControl w:val="0"/>
              <w:shd w:val="clear" w:color="auto" w:fill="FFFFFF" w:themeFill="background1"/>
              <w:spacing w:after="0"/>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0"/>
                <w:szCs w:val="20"/>
                <w:lang w:val="sr-Cyrl-CS"/>
              </w:rPr>
            </w:pPr>
            <w:r w:rsidRPr="00092ED7">
              <w:rPr>
                <w:rFonts w:cs="Times New Roman"/>
                <w:color w:val="auto"/>
                <w:sz w:val="20"/>
                <w:szCs w:val="20"/>
                <w:lang w:val="sr-Cyrl-CS"/>
              </w:rPr>
              <w:t>-4,9</w:t>
            </w:r>
          </w:p>
        </w:tc>
        <w:tc>
          <w:tcPr>
            <w:tcW w:w="602" w:type="pct"/>
            <w:shd w:val="clear" w:color="auto" w:fill="FFFFFF" w:themeFill="background1"/>
            <w:noWrap/>
            <w:hideMark/>
          </w:tcPr>
          <w:p w14:paraId="102A322F" w14:textId="77777777" w:rsidR="008B200E" w:rsidRPr="00092ED7" w:rsidRDefault="008B200E" w:rsidP="00613B5B">
            <w:pPr>
              <w:keepNext/>
              <w:widowControl w:val="0"/>
              <w:shd w:val="clear" w:color="auto" w:fill="FFFFFF" w:themeFill="background1"/>
              <w:spacing w:after="0"/>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0"/>
                <w:szCs w:val="20"/>
                <w:lang w:val="sr-Cyrl-CS"/>
              </w:rPr>
            </w:pPr>
            <w:r w:rsidRPr="00092ED7">
              <w:rPr>
                <w:rFonts w:cs="Times New Roman"/>
                <w:color w:val="auto"/>
                <w:sz w:val="20"/>
                <w:szCs w:val="20"/>
                <w:lang w:val="sr-Cyrl-CS"/>
              </w:rPr>
              <w:t>-3,0</w:t>
            </w:r>
          </w:p>
        </w:tc>
        <w:tc>
          <w:tcPr>
            <w:tcW w:w="602" w:type="pct"/>
            <w:shd w:val="clear" w:color="auto" w:fill="FFFFFF" w:themeFill="background1"/>
            <w:noWrap/>
            <w:hideMark/>
          </w:tcPr>
          <w:p w14:paraId="3DD3FB95" w14:textId="77777777" w:rsidR="008B200E" w:rsidRPr="00092ED7" w:rsidRDefault="008B200E" w:rsidP="00613B5B">
            <w:pPr>
              <w:keepNext/>
              <w:widowControl w:val="0"/>
              <w:shd w:val="clear" w:color="auto" w:fill="FFFFFF" w:themeFill="background1"/>
              <w:spacing w:after="0"/>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0"/>
                <w:szCs w:val="20"/>
                <w:lang w:val="sr-Cyrl-CS"/>
              </w:rPr>
            </w:pPr>
            <w:r w:rsidRPr="00092ED7">
              <w:rPr>
                <w:rFonts w:cs="Times New Roman"/>
                <w:color w:val="auto"/>
                <w:sz w:val="20"/>
                <w:szCs w:val="20"/>
                <w:lang w:val="sr-Cyrl-CS"/>
              </w:rPr>
              <w:t>-1,5</w:t>
            </w:r>
          </w:p>
        </w:tc>
        <w:tc>
          <w:tcPr>
            <w:tcW w:w="602" w:type="pct"/>
            <w:shd w:val="clear" w:color="auto" w:fill="FFFFFF" w:themeFill="background1"/>
            <w:noWrap/>
            <w:hideMark/>
          </w:tcPr>
          <w:p w14:paraId="08675A0D" w14:textId="77777777" w:rsidR="008B200E" w:rsidRPr="00092ED7" w:rsidRDefault="008B200E" w:rsidP="00613B5B">
            <w:pPr>
              <w:keepNext/>
              <w:widowControl w:val="0"/>
              <w:shd w:val="clear" w:color="auto" w:fill="FFFFFF" w:themeFill="background1"/>
              <w:spacing w:after="0"/>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0"/>
                <w:szCs w:val="20"/>
                <w:lang w:val="sr-Cyrl-CS"/>
              </w:rPr>
            </w:pPr>
            <w:r w:rsidRPr="00092ED7">
              <w:rPr>
                <w:rFonts w:cs="Times New Roman"/>
                <w:color w:val="auto"/>
                <w:sz w:val="20"/>
                <w:szCs w:val="20"/>
                <w:lang w:val="sr-Cyrl-CS"/>
              </w:rPr>
              <w:t>-1,0</w:t>
            </w:r>
          </w:p>
        </w:tc>
        <w:tc>
          <w:tcPr>
            <w:tcW w:w="602" w:type="pct"/>
            <w:shd w:val="clear" w:color="auto" w:fill="FFFFFF" w:themeFill="background1"/>
            <w:noWrap/>
            <w:hideMark/>
          </w:tcPr>
          <w:p w14:paraId="7FF64CCE" w14:textId="77777777" w:rsidR="008B200E" w:rsidRPr="00092ED7" w:rsidRDefault="008B200E" w:rsidP="00613B5B">
            <w:pPr>
              <w:keepNext/>
              <w:widowControl w:val="0"/>
              <w:shd w:val="clear" w:color="auto" w:fill="FFFFFF" w:themeFill="background1"/>
              <w:spacing w:after="0"/>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18"/>
                <w:szCs w:val="18"/>
                <w:lang w:val="sr-Cyrl-CS"/>
              </w:rPr>
            </w:pPr>
            <w:r w:rsidRPr="00092ED7">
              <w:rPr>
                <w:rFonts w:eastAsia="Times New Roman" w:cs="Times New Roman"/>
                <w:color w:val="auto"/>
                <w:sz w:val="18"/>
                <w:szCs w:val="18"/>
                <w:lang w:val="sr-Cyrl-CS"/>
              </w:rPr>
              <w:t>–</w:t>
            </w:r>
          </w:p>
        </w:tc>
      </w:tr>
      <w:tr w:rsidR="008B200E" w:rsidRPr="00092ED7" w14:paraId="1753E2F8" w14:textId="77777777" w:rsidTr="00613B5B">
        <w:trPr>
          <w:cnfStyle w:val="000000100000" w:firstRow="0" w:lastRow="0" w:firstColumn="0" w:lastColumn="0" w:oddVBand="0" w:evenVBand="0" w:oddHBand="1" w:evenHBand="0" w:firstRowFirstColumn="0" w:firstRowLastColumn="0" w:lastRowFirstColumn="0" w:lastRowLastColumn="0"/>
          <w:trHeight w:val="241"/>
        </w:trPr>
        <w:tc>
          <w:tcPr>
            <w:cnfStyle w:val="001000000000" w:firstRow="0" w:lastRow="0" w:firstColumn="1" w:lastColumn="0" w:oddVBand="0" w:evenVBand="0" w:oddHBand="0" w:evenHBand="0" w:firstRowFirstColumn="0" w:firstRowLastColumn="0" w:lastRowFirstColumn="0" w:lastRowLastColumn="0"/>
            <w:tcW w:w="1991" w:type="pct"/>
            <w:shd w:val="clear" w:color="auto" w:fill="FFFFFF" w:themeFill="background1"/>
            <w:noWrap/>
            <w:hideMark/>
          </w:tcPr>
          <w:p w14:paraId="009B94B1" w14:textId="77777777" w:rsidR="008B200E" w:rsidRPr="00092ED7" w:rsidRDefault="008B200E" w:rsidP="00613B5B">
            <w:pPr>
              <w:spacing w:after="0"/>
              <w:rPr>
                <w:rFonts w:cs="Times New Roman"/>
                <w:b w:val="0"/>
                <w:color w:val="auto"/>
                <w:sz w:val="20"/>
                <w:szCs w:val="20"/>
                <w:lang w:val="sr-Cyrl-CS"/>
              </w:rPr>
            </w:pPr>
            <w:r w:rsidRPr="00092ED7">
              <w:rPr>
                <w:rFonts w:cs="Times New Roman"/>
                <w:b w:val="0"/>
                <w:color w:val="auto"/>
                <w:sz w:val="20"/>
                <w:szCs w:val="20"/>
                <w:lang w:val="sr-Cyrl-CS"/>
              </w:rPr>
              <w:t>Програм економских реформи 2023–2025</w:t>
            </w:r>
          </w:p>
        </w:tc>
        <w:tc>
          <w:tcPr>
            <w:tcW w:w="602" w:type="pct"/>
            <w:shd w:val="clear" w:color="auto" w:fill="FFFFFF" w:themeFill="background1"/>
            <w:noWrap/>
            <w:hideMark/>
          </w:tcPr>
          <w:p w14:paraId="6BA3ED84" w14:textId="77777777" w:rsidR="008B200E" w:rsidRPr="00092ED7" w:rsidRDefault="008B200E" w:rsidP="00613B5B">
            <w:pPr>
              <w:keepNext/>
              <w:widowControl w:val="0"/>
              <w:shd w:val="clear" w:color="auto" w:fill="FFFFFF" w:themeFill="background1"/>
              <w:spacing w:after="0"/>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0"/>
                <w:szCs w:val="20"/>
                <w:lang w:val="sr-Cyrl-CS"/>
              </w:rPr>
            </w:pPr>
          </w:p>
        </w:tc>
        <w:tc>
          <w:tcPr>
            <w:tcW w:w="602" w:type="pct"/>
            <w:shd w:val="clear" w:color="auto" w:fill="FFFFFF" w:themeFill="background1"/>
            <w:noWrap/>
            <w:hideMark/>
          </w:tcPr>
          <w:p w14:paraId="0ADBC909" w14:textId="77777777" w:rsidR="008B200E" w:rsidRPr="00092ED7" w:rsidRDefault="008B200E" w:rsidP="00613B5B">
            <w:pPr>
              <w:keepNext/>
              <w:widowControl w:val="0"/>
              <w:shd w:val="clear" w:color="auto" w:fill="FFFFFF" w:themeFill="background1"/>
              <w:spacing w:after="0"/>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0"/>
                <w:szCs w:val="20"/>
                <w:lang w:val="sr-Cyrl-CS"/>
              </w:rPr>
            </w:pPr>
          </w:p>
        </w:tc>
        <w:tc>
          <w:tcPr>
            <w:tcW w:w="602" w:type="pct"/>
            <w:shd w:val="clear" w:color="auto" w:fill="FFFFFF" w:themeFill="background1"/>
            <w:noWrap/>
            <w:hideMark/>
          </w:tcPr>
          <w:p w14:paraId="2CBC0276" w14:textId="77777777" w:rsidR="008B200E" w:rsidRPr="00092ED7" w:rsidRDefault="008B200E" w:rsidP="00613B5B">
            <w:pPr>
              <w:keepNext/>
              <w:widowControl w:val="0"/>
              <w:shd w:val="clear" w:color="auto" w:fill="FFFFFF" w:themeFill="background1"/>
              <w:spacing w:after="0"/>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0"/>
                <w:szCs w:val="20"/>
                <w:lang w:val="sr-Cyrl-CS"/>
              </w:rPr>
            </w:pPr>
          </w:p>
        </w:tc>
        <w:tc>
          <w:tcPr>
            <w:tcW w:w="602" w:type="pct"/>
            <w:shd w:val="clear" w:color="auto" w:fill="FFFFFF" w:themeFill="background1"/>
            <w:noWrap/>
            <w:hideMark/>
          </w:tcPr>
          <w:p w14:paraId="43B73871" w14:textId="77777777" w:rsidR="008B200E" w:rsidRPr="00092ED7" w:rsidRDefault="008B200E" w:rsidP="00613B5B">
            <w:pPr>
              <w:keepNext/>
              <w:widowControl w:val="0"/>
              <w:shd w:val="clear" w:color="auto" w:fill="FFFFFF" w:themeFill="background1"/>
              <w:spacing w:after="0"/>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0"/>
                <w:szCs w:val="20"/>
                <w:lang w:val="sr-Cyrl-CS"/>
              </w:rPr>
            </w:pPr>
          </w:p>
        </w:tc>
        <w:tc>
          <w:tcPr>
            <w:tcW w:w="602" w:type="pct"/>
            <w:shd w:val="clear" w:color="auto" w:fill="FFFFFF" w:themeFill="background1"/>
            <w:noWrap/>
            <w:hideMark/>
          </w:tcPr>
          <w:p w14:paraId="66FD1D24" w14:textId="77777777" w:rsidR="008B200E" w:rsidRPr="00092ED7" w:rsidRDefault="008B200E" w:rsidP="00613B5B">
            <w:pPr>
              <w:keepNext/>
              <w:widowControl w:val="0"/>
              <w:shd w:val="clear" w:color="auto" w:fill="FFFFFF" w:themeFill="background1"/>
              <w:spacing w:after="0"/>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18"/>
                <w:szCs w:val="18"/>
                <w:lang w:val="sr-Cyrl-CS"/>
              </w:rPr>
            </w:pPr>
          </w:p>
        </w:tc>
      </w:tr>
      <w:tr w:rsidR="008B200E" w:rsidRPr="00092ED7" w14:paraId="101BF1ED" w14:textId="77777777" w:rsidTr="00613B5B">
        <w:trPr>
          <w:trHeight w:val="241"/>
        </w:trPr>
        <w:tc>
          <w:tcPr>
            <w:cnfStyle w:val="001000000000" w:firstRow="0" w:lastRow="0" w:firstColumn="1" w:lastColumn="0" w:oddVBand="0" w:evenVBand="0" w:oddHBand="0" w:evenHBand="0" w:firstRowFirstColumn="0" w:firstRowLastColumn="0" w:lastRowFirstColumn="0" w:lastRowLastColumn="0"/>
            <w:tcW w:w="1991" w:type="pct"/>
            <w:shd w:val="clear" w:color="auto" w:fill="FFFFFF" w:themeFill="background1"/>
            <w:noWrap/>
            <w:hideMark/>
          </w:tcPr>
          <w:p w14:paraId="0837055C" w14:textId="77777777" w:rsidR="008B200E" w:rsidRPr="00092ED7" w:rsidRDefault="008B200E" w:rsidP="00613B5B">
            <w:pPr>
              <w:spacing w:after="0"/>
              <w:rPr>
                <w:rFonts w:cs="Times New Roman"/>
                <w:b w:val="0"/>
                <w:color w:val="auto"/>
                <w:sz w:val="20"/>
                <w:szCs w:val="20"/>
                <w:lang w:val="sr-Cyrl-CS"/>
              </w:rPr>
            </w:pPr>
            <w:r w:rsidRPr="00092ED7">
              <w:rPr>
                <w:rFonts w:cs="Times New Roman"/>
                <w:b w:val="0"/>
                <w:color w:val="auto"/>
                <w:sz w:val="20"/>
                <w:szCs w:val="20"/>
                <w:lang w:val="sr-Cyrl-CS"/>
              </w:rPr>
              <w:t>Приходи</w:t>
            </w:r>
          </w:p>
        </w:tc>
        <w:tc>
          <w:tcPr>
            <w:tcW w:w="602" w:type="pct"/>
            <w:shd w:val="clear" w:color="auto" w:fill="FFFFFF" w:themeFill="background1"/>
            <w:noWrap/>
            <w:hideMark/>
          </w:tcPr>
          <w:p w14:paraId="41D555EA" w14:textId="77777777" w:rsidR="008B200E" w:rsidRPr="00092ED7" w:rsidRDefault="008B200E" w:rsidP="00613B5B">
            <w:pPr>
              <w:keepNext/>
              <w:widowControl w:val="0"/>
              <w:shd w:val="clear" w:color="auto" w:fill="FFFFFF" w:themeFill="background1"/>
              <w:spacing w:after="0"/>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0"/>
                <w:szCs w:val="20"/>
                <w:lang w:val="sr-Cyrl-CS"/>
              </w:rPr>
            </w:pPr>
            <w:r w:rsidRPr="00092ED7">
              <w:rPr>
                <w:rFonts w:cs="Times New Roman"/>
                <w:color w:val="auto"/>
                <w:sz w:val="20"/>
                <w:szCs w:val="20"/>
                <w:lang w:val="sr-Cyrl-CS"/>
              </w:rPr>
              <w:t>43,3</w:t>
            </w:r>
          </w:p>
        </w:tc>
        <w:tc>
          <w:tcPr>
            <w:tcW w:w="602" w:type="pct"/>
            <w:shd w:val="clear" w:color="auto" w:fill="FFFFFF" w:themeFill="background1"/>
            <w:noWrap/>
            <w:hideMark/>
          </w:tcPr>
          <w:p w14:paraId="304DD464" w14:textId="77777777" w:rsidR="008B200E" w:rsidRPr="00092ED7" w:rsidRDefault="008B200E" w:rsidP="00613B5B">
            <w:pPr>
              <w:keepNext/>
              <w:widowControl w:val="0"/>
              <w:shd w:val="clear" w:color="auto" w:fill="FFFFFF" w:themeFill="background1"/>
              <w:spacing w:after="0"/>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0"/>
                <w:szCs w:val="20"/>
                <w:lang w:val="sr-Cyrl-CS"/>
              </w:rPr>
            </w:pPr>
            <w:r w:rsidRPr="00092ED7">
              <w:rPr>
                <w:rFonts w:cs="Times New Roman"/>
                <w:color w:val="auto"/>
                <w:sz w:val="20"/>
                <w:szCs w:val="20"/>
                <w:lang w:val="sr-Cyrl-CS"/>
              </w:rPr>
              <w:t>43,0</w:t>
            </w:r>
          </w:p>
        </w:tc>
        <w:tc>
          <w:tcPr>
            <w:tcW w:w="602" w:type="pct"/>
            <w:shd w:val="clear" w:color="auto" w:fill="auto"/>
            <w:noWrap/>
            <w:hideMark/>
          </w:tcPr>
          <w:p w14:paraId="34D9C6C3" w14:textId="77777777" w:rsidR="008B200E" w:rsidRPr="00092ED7" w:rsidRDefault="008B200E" w:rsidP="00613B5B">
            <w:pPr>
              <w:keepNext/>
              <w:widowControl w:val="0"/>
              <w:shd w:val="clear" w:color="auto" w:fill="FFFFFF" w:themeFill="background1"/>
              <w:spacing w:after="0"/>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0"/>
                <w:szCs w:val="20"/>
                <w:lang w:val="sr-Cyrl-CS"/>
              </w:rPr>
            </w:pPr>
            <w:r w:rsidRPr="00092ED7">
              <w:rPr>
                <w:rFonts w:cs="Times New Roman"/>
                <w:color w:val="auto"/>
                <w:sz w:val="20"/>
                <w:szCs w:val="20"/>
                <w:lang w:val="sr-Cyrl-CS"/>
              </w:rPr>
              <w:t>40,9</w:t>
            </w:r>
          </w:p>
        </w:tc>
        <w:tc>
          <w:tcPr>
            <w:tcW w:w="602" w:type="pct"/>
            <w:shd w:val="clear" w:color="auto" w:fill="auto"/>
            <w:noWrap/>
            <w:hideMark/>
          </w:tcPr>
          <w:p w14:paraId="21AAF6CA" w14:textId="77777777" w:rsidR="008B200E" w:rsidRPr="00092ED7" w:rsidRDefault="008B200E" w:rsidP="00613B5B">
            <w:pPr>
              <w:keepNext/>
              <w:widowControl w:val="0"/>
              <w:shd w:val="clear" w:color="auto" w:fill="FFFFFF" w:themeFill="background1"/>
              <w:spacing w:after="0"/>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0"/>
                <w:szCs w:val="20"/>
                <w:lang w:val="sr-Cyrl-CS"/>
              </w:rPr>
            </w:pPr>
            <w:r w:rsidRPr="00092ED7">
              <w:rPr>
                <w:rFonts w:cs="Times New Roman"/>
                <w:color w:val="auto"/>
                <w:sz w:val="20"/>
                <w:szCs w:val="20"/>
                <w:lang w:val="sr-Cyrl-CS"/>
              </w:rPr>
              <w:t>40,4</w:t>
            </w:r>
          </w:p>
        </w:tc>
        <w:tc>
          <w:tcPr>
            <w:tcW w:w="602" w:type="pct"/>
            <w:shd w:val="clear" w:color="auto" w:fill="auto"/>
            <w:noWrap/>
            <w:vAlign w:val="center"/>
            <w:hideMark/>
          </w:tcPr>
          <w:p w14:paraId="36CA75F4" w14:textId="77777777" w:rsidR="008B200E" w:rsidRPr="00092ED7" w:rsidRDefault="008B200E" w:rsidP="00613B5B">
            <w:pPr>
              <w:keepNext/>
              <w:widowControl w:val="0"/>
              <w:shd w:val="clear" w:color="auto" w:fill="FFFFFF" w:themeFill="background1"/>
              <w:spacing w:after="0"/>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18"/>
                <w:szCs w:val="18"/>
                <w:lang w:val="sr-Cyrl-CS"/>
              </w:rPr>
            </w:pPr>
            <w:r w:rsidRPr="00092ED7">
              <w:rPr>
                <w:rFonts w:cs="Times New Roman"/>
                <w:color w:val="auto"/>
                <w:sz w:val="18"/>
                <w:szCs w:val="18"/>
                <w:lang w:val="sr-Cyrl-CS"/>
              </w:rPr>
              <w:t>39,6</w:t>
            </w:r>
          </w:p>
        </w:tc>
      </w:tr>
      <w:tr w:rsidR="008B200E" w:rsidRPr="00092ED7" w14:paraId="5FF2D4A4" w14:textId="77777777" w:rsidTr="00613B5B">
        <w:trPr>
          <w:cnfStyle w:val="000000100000" w:firstRow="0" w:lastRow="0" w:firstColumn="0" w:lastColumn="0" w:oddVBand="0" w:evenVBand="0" w:oddHBand="1" w:evenHBand="0" w:firstRowFirstColumn="0" w:firstRowLastColumn="0" w:lastRowFirstColumn="0" w:lastRowLastColumn="0"/>
          <w:trHeight w:val="241"/>
        </w:trPr>
        <w:tc>
          <w:tcPr>
            <w:cnfStyle w:val="001000000000" w:firstRow="0" w:lastRow="0" w:firstColumn="1" w:lastColumn="0" w:oddVBand="0" w:evenVBand="0" w:oddHBand="0" w:evenHBand="0" w:firstRowFirstColumn="0" w:firstRowLastColumn="0" w:lastRowFirstColumn="0" w:lastRowLastColumn="0"/>
            <w:tcW w:w="1991" w:type="pct"/>
            <w:shd w:val="clear" w:color="auto" w:fill="FFFFFF" w:themeFill="background1"/>
            <w:noWrap/>
            <w:hideMark/>
          </w:tcPr>
          <w:p w14:paraId="1B1CD43C" w14:textId="77777777" w:rsidR="008B200E" w:rsidRPr="00092ED7" w:rsidRDefault="008B200E" w:rsidP="00613B5B">
            <w:pPr>
              <w:spacing w:after="0"/>
              <w:rPr>
                <w:rFonts w:cs="Times New Roman"/>
                <w:b w:val="0"/>
                <w:color w:val="auto"/>
                <w:sz w:val="20"/>
                <w:szCs w:val="20"/>
                <w:lang w:val="sr-Cyrl-CS"/>
              </w:rPr>
            </w:pPr>
            <w:r w:rsidRPr="00092ED7">
              <w:rPr>
                <w:rFonts w:cs="Times New Roman"/>
                <w:b w:val="0"/>
                <w:color w:val="auto"/>
                <w:sz w:val="20"/>
                <w:szCs w:val="20"/>
                <w:lang w:val="sr-Cyrl-CS"/>
              </w:rPr>
              <w:t>Расходи</w:t>
            </w:r>
          </w:p>
        </w:tc>
        <w:tc>
          <w:tcPr>
            <w:tcW w:w="602" w:type="pct"/>
            <w:shd w:val="clear" w:color="auto" w:fill="FFFFFF" w:themeFill="background1"/>
            <w:noWrap/>
            <w:hideMark/>
          </w:tcPr>
          <w:p w14:paraId="3C06D20C" w14:textId="77777777" w:rsidR="008B200E" w:rsidRPr="00092ED7" w:rsidRDefault="008B200E" w:rsidP="00613B5B">
            <w:pPr>
              <w:keepNext/>
              <w:widowControl w:val="0"/>
              <w:shd w:val="clear" w:color="auto" w:fill="FFFFFF" w:themeFill="background1"/>
              <w:spacing w:after="0"/>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0"/>
                <w:szCs w:val="20"/>
                <w:lang w:val="sr-Cyrl-CS"/>
              </w:rPr>
            </w:pPr>
            <w:r w:rsidRPr="00092ED7">
              <w:rPr>
                <w:rFonts w:cs="Times New Roman"/>
                <w:color w:val="auto"/>
                <w:sz w:val="20"/>
                <w:szCs w:val="20"/>
                <w:lang w:val="sr-Cyrl-CS"/>
              </w:rPr>
              <w:t>47,4</w:t>
            </w:r>
          </w:p>
        </w:tc>
        <w:tc>
          <w:tcPr>
            <w:tcW w:w="602" w:type="pct"/>
            <w:shd w:val="clear" w:color="auto" w:fill="FFFFFF" w:themeFill="background1"/>
            <w:noWrap/>
            <w:hideMark/>
          </w:tcPr>
          <w:p w14:paraId="6CB4DE70" w14:textId="77777777" w:rsidR="008B200E" w:rsidRPr="00092ED7" w:rsidRDefault="008B200E" w:rsidP="00613B5B">
            <w:pPr>
              <w:keepNext/>
              <w:widowControl w:val="0"/>
              <w:shd w:val="clear" w:color="auto" w:fill="FFFFFF" w:themeFill="background1"/>
              <w:spacing w:after="0"/>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0"/>
                <w:szCs w:val="20"/>
                <w:lang w:val="sr-Cyrl-CS"/>
              </w:rPr>
            </w:pPr>
            <w:r w:rsidRPr="00092ED7">
              <w:rPr>
                <w:rFonts w:cs="Times New Roman"/>
                <w:color w:val="auto"/>
                <w:sz w:val="20"/>
                <w:szCs w:val="20"/>
                <w:lang w:val="sr-Cyrl-CS"/>
              </w:rPr>
              <w:t>46,8</w:t>
            </w:r>
          </w:p>
        </w:tc>
        <w:tc>
          <w:tcPr>
            <w:tcW w:w="602" w:type="pct"/>
            <w:shd w:val="clear" w:color="auto" w:fill="auto"/>
            <w:noWrap/>
            <w:hideMark/>
          </w:tcPr>
          <w:p w14:paraId="71C664D9" w14:textId="77777777" w:rsidR="008B200E" w:rsidRPr="00092ED7" w:rsidRDefault="008B200E" w:rsidP="00613B5B">
            <w:pPr>
              <w:keepNext/>
              <w:widowControl w:val="0"/>
              <w:shd w:val="clear" w:color="auto" w:fill="FFFFFF" w:themeFill="background1"/>
              <w:spacing w:after="0"/>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0"/>
                <w:szCs w:val="20"/>
                <w:lang w:val="sr-Cyrl-CS"/>
              </w:rPr>
            </w:pPr>
            <w:r w:rsidRPr="00092ED7">
              <w:rPr>
                <w:rFonts w:cs="Times New Roman"/>
                <w:color w:val="auto"/>
                <w:sz w:val="20"/>
                <w:szCs w:val="20"/>
                <w:lang w:val="sr-Cyrl-CS"/>
              </w:rPr>
              <w:t>44,2</w:t>
            </w:r>
          </w:p>
        </w:tc>
        <w:tc>
          <w:tcPr>
            <w:tcW w:w="602" w:type="pct"/>
            <w:shd w:val="clear" w:color="auto" w:fill="auto"/>
            <w:noWrap/>
            <w:hideMark/>
          </w:tcPr>
          <w:p w14:paraId="6317C3E7" w14:textId="77777777" w:rsidR="008B200E" w:rsidRPr="00092ED7" w:rsidRDefault="008B200E" w:rsidP="00613B5B">
            <w:pPr>
              <w:keepNext/>
              <w:widowControl w:val="0"/>
              <w:shd w:val="clear" w:color="auto" w:fill="FFFFFF" w:themeFill="background1"/>
              <w:spacing w:after="0"/>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0"/>
                <w:szCs w:val="20"/>
                <w:lang w:val="sr-Cyrl-CS"/>
              </w:rPr>
            </w:pPr>
            <w:r w:rsidRPr="00092ED7">
              <w:rPr>
                <w:rFonts w:cs="Times New Roman"/>
                <w:color w:val="auto"/>
                <w:sz w:val="20"/>
                <w:szCs w:val="20"/>
                <w:lang w:val="sr-Cyrl-CS"/>
              </w:rPr>
              <w:t>42,5</w:t>
            </w:r>
          </w:p>
        </w:tc>
        <w:tc>
          <w:tcPr>
            <w:tcW w:w="602" w:type="pct"/>
            <w:shd w:val="clear" w:color="auto" w:fill="auto"/>
            <w:noWrap/>
            <w:vAlign w:val="center"/>
            <w:hideMark/>
          </w:tcPr>
          <w:p w14:paraId="21C3647D" w14:textId="77777777" w:rsidR="008B200E" w:rsidRPr="00092ED7" w:rsidRDefault="008B200E" w:rsidP="00613B5B">
            <w:pPr>
              <w:keepNext/>
              <w:widowControl w:val="0"/>
              <w:shd w:val="clear" w:color="auto" w:fill="FFFFFF" w:themeFill="background1"/>
              <w:spacing w:after="0"/>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18"/>
                <w:szCs w:val="18"/>
                <w:lang w:val="sr-Cyrl-CS"/>
              </w:rPr>
            </w:pPr>
            <w:r w:rsidRPr="00092ED7">
              <w:rPr>
                <w:rFonts w:cs="Times New Roman"/>
                <w:color w:val="auto"/>
                <w:sz w:val="18"/>
                <w:szCs w:val="18"/>
                <w:lang w:val="sr-Cyrl-CS"/>
              </w:rPr>
              <w:t>41,0</w:t>
            </w:r>
          </w:p>
        </w:tc>
      </w:tr>
      <w:tr w:rsidR="008B200E" w:rsidRPr="00092ED7" w14:paraId="61857C0D" w14:textId="77777777" w:rsidTr="00613B5B">
        <w:trPr>
          <w:trHeight w:val="241"/>
        </w:trPr>
        <w:tc>
          <w:tcPr>
            <w:cnfStyle w:val="001000000000" w:firstRow="0" w:lastRow="0" w:firstColumn="1" w:lastColumn="0" w:oddVBand="0" w:evenVBand="0" w:oddHBand="0" w:evenHBand="0" w:firstRowFirstColumn="0" w:firstRowLastColumn="0" w:lastRowFirstColumn="0" w:lastRowLastColumn="0"/>
            <w:tcW w:w="1991" w:type="pct"/>
            <w:shd w:val="clear" w:color="auto" w:fill="FFFFFF" w:themeFill="background1"/>
            <w:noWrap/>
            <w:hideMark/>
          </w:tcPr>
          <w:p w14:paraId="01D4917E" w14:textId="77777777" w:rsidR="008B200E" w:rsidRPr="00092ED7" w:rsidRDefault="008B200E" w:rsidP="00613B5B">
            <w:pPr>
              <w:spacing w:after="0"/>
              <w:rPr>
                <w:rFonts w:cs="Times New Roman"/>
                <w:b w:val="0"/>
                <w:color w:val="auto"/>
                <w:sz w:val="20"/>
                <w:szCs w:val="20"/>
                <w:lang w:val="sr-Cyrl-CS"/>
              </w:rPr>
            </w:pPr>
            <w:r w:rsidRPr="00092ED7">
              <w:rPr>
                <w:rFonts w:cs="Times New Roman"/>
                <w:b w:val="0"/>
                <w:color w:val="auto"/>
                <w:sz w:val="20"/>
                <w:szCs w:val="20"/>
                <w:lang w:val="sr-Cyrl-CS"/>
              </w:rPr>
              <w:t>Резултат</w:t>
            </w:r>
          </w:p>
        </w:tc>
        <w:tc>
          <w:tcPr>
            <w:tcW w:w="602" w:type="pct"/>
            <w:shd w:val="clear" w:color="auto" w:fill="FFFFFF" w:themeFill="background1"/>
            <w:noWrap/>
            <w:hideMark/>
          </w:tcPr>
          <w:p w14:paraId="52DE3031" w14:textId="77777777" w:rsidR="008B200E" w:rsidRPr="00092ED7" w:rsidRDefault="008B200E" w:rsidP="00613B5B">
            <w:pPr>
              <w:keepNext/>
              <w:widowControl w:val="0"/>
              <w:shd w:val="clear" w:color="auto" w:fill="FFFFFF" w:themeFill="background1"/>
              <w:spacing w:after="0"/>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0"/>
                <w:szCs w:val="20"/>
                <w:lang w:val="sr-Cyrl-CS"/>
              </w:rPr>
            </w:pPr>
            <w:r w:rsidRPr="00092ED7">
              <w:rPr>
                <w:rFonts w:cs="Times New Roman"/>
                <w:color w:val="auto"/>
                <w:sz w:val="20"/>
                <w:szCs w:val="20"/>
                <w:lang w:val="sr-Cyrl-CS"/>
              </w:rPr>
              <w:t>-4,1</w:t>
            </w:r>
          </w:p>
        </w:tc>
        <w:tc>
          <w:tcPr>
            <w:tcW w:w="602" w:type="pct"/>
            <w:shd w:val="clear" w:color="auto" w:fill="FFFFFF" w:themeFill="background1"/>
            <w:noWrap/>
            <w:hideMark/>
          </w:tcPr>
          <w:p w14:paraId="30EBA218" w14:textId="77777777" w:rsidR="008B200E" w:rsidRPr="00092ED7" w:rsidRDefault="008B200E" w:rsidP="00613B5B">
            <w:pPr>
              <w:keepNext/>
              <w:widowControl w:val="0"/>
              <w:shd w:val="clear" w:color="auto" w:fill="FFFFFF" w:themeFill="background1"/>
              <w:spacing w:after="0"/>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0"/>
                <w:szCs w:val="20"/>
                <w:lang w:val="sr-Cyrl-CS"/>
              </w:rPr>
            </w:pPr>
            <w:r w:rsidRPr="00092ED7">
              <w:rPr>
                <w:rFonts w:cs="Times New Roman"/>
                <w:color w:val="auto"/>
                <w:sz w:val="20"/>
                <w:szCs w:val="20"/>
                <w:lang w:val="sr-Cyrl-CS"/>
              </w:rPr>
              <w:t>-3,8</w:t>
            </w:r>
          </w:p>
        </w:tc>
        <w:tc>
          <w:tcPr>
            <w:tcW w:w="602" w:type="pct"/>
            <w:shd w:val="clear" w:color="auto" w:fill="FFFFFF" w:themeFill="background1"/>
            <w:noWrap/>
            <w:hideMark/>
          </w:tcPr>
          <w:p w14:paraId="5AB6387A" w14:textId="77777777" w:rsidR="008B200E" w:rsidRPr="00092ED7" w:rsidRDefault="008B200E" w:rsidP="00613B5B">
            <w:pPr>
              <w:keepNext/>
              <w:widowControl w:val="0"/>
              <w:shd w:val="clear" w:color="auto" w:fill="FFFFFF" w:themeFill="background1"/>
              <w:spacing w:after="0"/>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0"/>
                <w:szCs w:val="20"/>
                <w:lang w:val="sr-Cyrl-CS"/>
              </w:rPr>
            </w:pPr>
            <w:r w:rsidRPr="00092ED7">
              <w:rPr>
                <w:rFonts w:cs="Times New Roman"/>
                <w:color w:val="auto"/>
                <w:sz w:val="20"/>
                <w:szCs w:val="20"/>
                <w:lang w:val="sr-Cyrl-CS"/>
              </w:rPr>
              <w:t>-3,3</w:t>
            </w:r>
          </w:p>
        </w:tc>
        <w:tc>
          <w:tcPr>
            <w:tcW w:w="602" w:type="pct"/>
            <w:shd w:val="clear" w:color="auto" w:fill="FFFFFF" w:themeFill="background1"/>
            <w:noWrap/>
            <w:hideMark/>
          </w:tcPr>
          <w:p w14:paraId="1BA17E48" w14:textId="77777777" w:rsidR="008B200E" w:rsidRPr="00092ED7" w:rsidRDefault="008B200E" w:rsidP="00613B5B">
            <w:pPr>
              <w:keepNext/>
              <w:widowControl w:val="0"/>
              <w:shd w:val="clear" w:color="auto" w:fill="FFFFFF" w:themeFill="background1"/>
              <w:spacing w:after="0"/>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0"/>
                <w:szCs w:val="20"/>
                <w:lang w:val="sr-Cyrl-CS"/>
              </w:rPr>
            </w:pPr>
            <w:r w:rsidRPr="00092ED7">
              <w:rPr>
                <w:rFonts w:cs="Times New Roman"/>
                <w:color w:val="auto"/>
                <w:sz w:val="20"/>
                <w:szCs w:val="20"/>
                <w:lang w:val="sr-Cyrl-CS"/>
              </w:rPr>
              <w:t>-2,2</w:t>
            </w:r>
          </w:p>
        </w:tc>
        <w:tc>
          <w:tcPr>
            <w:tcW w:w="602" w:type="pct"/>
            <w:shd w:val="clear" w:color="auto" w:fill="FFFFFF" w:themeFill="background1"/>
            <w:noWrap/>
            <w:hideMark/>
          </w:tcPr>
          <w:p w14:paraId="1D766175" w14:textId="77777777" w:rsidR="008B200E" w:rsidRPr="00092ED7" w:rsidRDefault="008B200E" w:rsidP="00613B5B">
            <w:pPr>
              <w:keepNext/>
              <w:widowControl w:val="0"/>
              <w:shd w:val="clear" w:color="auto" w:fill="FFFFFF" w:themeFill="background1"/>
              <w:spacing w:after="0"/>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18"/>
                <w:szCs w:val="18"/>
                <w:lang w:val="sr-Cyrl-CS"/>
              </w:rPr>
            </w:pPr>
            <w:r w:rsidRPr="00092ED7">
              <w:rPr>
                <w:rFonts w:eastAsia="Times New Roman" w:cs="Times New Roman"/>
                <w:color w:val="auto"/>
                <w:sz w:val="18"/>
                <w:szCs w:val="18"/>
                <w:lang w:val="sr-Cyrl-CS"/>
              </w:rPr>
              <w:t>-1,4</w:t>
            </w:r>
          </w:p>
        </w:tc>
      </w:tr>
      <w:tr w:rsidR="008B200E" w:rsidRPr="00092ED7" w14:paraId="403B40D8" w14:textId="77777777" w:rsidTr="00613B5B">
        <w:trPr>
          <w:cnfStyle w:val="000000100000" w:firstRow="0" w:lastRow="0" w:firstColumn="0" w:lastColumn="0" w:oddVBand="0" w:evenVBand="0" w:oddHBand="1" w:evenHBand="0" w:firstRowFirstColumn="0" w:firstRowLastColumn="0" w:lastRowFirstColumn="0" w:lastRowLastColumn="0"/>
          <w:trHeight w:val="241"/>
        </w:trPr>
        <w:tc>
          <w:tcPr>
            <w:cnfStyle w:val="001000000000" w:firstRow="0" w:lastRow="0" w:firstColumn="1" w:lastColumn="0" w:oddVBand="0" w:evenVBand="0" w:oddHBand="0" w:evenHBand="0" w:firstRowFirstColumn="0" w:firstRowLastColumn="0" w:lastRowFirstColumn="0" w:lastRowLastColumn="0"/>
            <w:tcW w:w="1991" w:type="pct"/>
            <w:shd w:val="clear" w:color="auto" w:fill="FFFFFF" w:themeFill="background1"/>
            <w:noWrap/>
            <w:hideMark/>
          </w:tcPr>
          <w:p w14:paraId="58F4E18D" w14:textId="77777777" w:rsidR="008B200E" w:rsidRPr="00092ED7" w:rsidRDefault="008B200E" w:rsidP="00613B5B">
            <w:pPr>
              <w:spacing w:after="0"/>
              <w:rPr>
                <w:rFonts w:cs="Times New Roman"/>
                <w:b w:val="0"/>
                <w:color w:val="auto"/>
                <w:sz w:val="20"/>
                <w:szCs w:val="20"/>
                <w:lang w:val="sr-Cyrl-CS"/>
              </w:rPr>
            </w:pPr>
            <w:r w:rsidRPr="00092ED7">
              <w:rPr>
                <w:rFonts w:cs="Times New Roman"/>
                <w:b w:val="0"/>
                <w:color w:val="auto"/>
                <w:sz w:val="20"/>
                <w:szCs w:val="20"/>
                <w:lang w:val="sr-Cyrl-CS"/>
              </w:rPr>
              <w:t>Разлика</w:t>
            </w:r>
          </w:p>
        </w:tc>
        <w:tc>
          <w:tcPr>
            <w:tcW w:w="602" w:type="pct"/>
            <w:shd w:val="clear" w:color="auto" w:fill="FFFFFF" w:themeFill="background1"/>
            <w:noWrap/>
            <w:hideMark/>
          </w:tcPr>
          <w:p w14:paraId="457DCE77" w14:textId="77777777" w:rsidR="008B200E" w:rsidRPr="00092ED7" w:rsidRDefault="008B200E" w:rsidP="00613B5B">
            <w:pPr>
              <w:keepNext/>
              <w:widowControl w:val="0"/>
              <w:shd w:val="clear" w:color="auto" w:fill="FFFFFF" w:themeFill="background1"/>
              <w:spacing w:after="0"/>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0"/>
                <w:szCs w:val="20"/>
                <w:lang w:val="sr-Cyrl-CS"/>
              </w:rPr>
            </w:pPr>
          </w:p>
        </w:tc>
        <w:tc>
          <w:tcPr>
            <w:tcW w:w="602" w:type="pct"/>
            <w:shd w:val="clear" w:color="auto" w:fill="FFFFFF" w:themeFill="background1"/>
            <w:noWrap/>
            <w:hideMark/>
          </w:tcPr>
          <w:p w14:paraId="066688D2" w14:textId="77777777" w:rsidR="008B200E" w:rsidRPr="00092ED7" w:rsidRDefault="008B200E" w:rsidP="00613B5B">
            <w:pPr>
              <w:keepNext/>
              <w:widowControl w:val="0"/>
              <w:shd w:val="clear" w:color="auto" w:fill="FFFFFF" w:themeFill="background1"/>
              <w:spacing w:after="0"/>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0"/>
                <w:szCs w:val="20"/>
                <w:lang w:val="sr-Cyrl-CS"/>
              </w:rPr>
            </w:pPr>
          </w:p>
        </w:tc>
        <w:tc>
          <w:tcPr>
            <w:tcW w:w="602" w:type="pct"/>
            <w:shd w:val="clear" w:color="auto" w:fill="FFFFFF" w:themeFill="background1"/>
            <w:noWrap/>
            <w:hideMark/>
          </w:tcPr>
          <w:p w14:paraId="269B8EBF" w14:textId="77777777" w:rsidR="008B200E" w:rsidRPr="00092ED7" w:rsidRDefault="008B200E" w:rsidP="00613B5B">
            <w:pPr>
              <w:keepNext/>
              <w:widowControl w:val="0"/>
              <w:shd w:val="clear" w:color="auto" w:fill="FFFFFF" w:themeFill="background1"/>
              <w:spacing w:after="0"/>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0"/>
                <w:szCs w:val="20"/>
                <w:lang w:val="sr-Cyrl-CS"/>
              </w:rPr>
            </w:pPr>
          </w:p>
        </w:tc>
        <w:tc>
          <w:tcPr>
            <w:tcW w:w="602" w:type="pct"/>
            <w:shd w:val="clear" w:color="auto" w:fill="FFFFFF" w:themeFill="background1"/>
            <w:noWrap/>
            <w:hideMark/>
          </w:tcPr>
          <w:p w14:paraId="38C0008A" w14:textId="77777777" w:rsidR="008B200E" w:rsidRPr="00092ED7" w:rsidRDefault="008B200E" w:rsidP="00613B5B">
            <w:pPr>
              <w:keepNext/>
              <w:widowControl w:val="0"/>
              <w:shd w:val="clear" w:color="auto" w:fill="FFFFFF" w:themeFill="background1"/>
              <w:spacing w:after="0"/>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0"/>
                <w:szCs w:val="20"/>
                <w:lang w:val="sr-Cyrl-CS"/>
              </w:rPr>
            </w:pPr>
          </w:p>
        </w:tc>
        <w:tc>
          <w:tcPr>
            <w:tcW w:w="602" w:type="pct"/>
            <w:shd w:val="clear" w:color="auto" w:fill="FFFFFF" w:themeFill="background1"/>
            <w:noWrap/>
            <w:hideMark/>
          </w:tcPr>
          <w:p w14:paraId="38E18F17" w14:textId="77777777" w:rsidR="008B200E" w:rsidRPr="00092ED7" w:rsidRDefault="008B200E" w:rsidP="00613B5B">
            <w:pPr>
              <w:keepNext/>
              <w:widowControl w:val="0"/>
              <w:shd w:val="clear" w:color="auto" w:fill="FFFFFF" w:themeFill="background1"/>
              <w:spacing w:after="0"/>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18"/>
                <w:szCs w:val="18"/>
                <w:lang w:val="sr-Cyrl-CS"/>
              </w:rPr>
            </w:pPr>
          </w:p>
        </w:tc>
      </w:tr>
      <w:tr w:rsidR="008B200E" w:rsidRPr="00092ED7" w14:paraId="75A5A6D0" w14:textId="77777777" w:rsidTr="00613B5B">
        <w:trPr>
          <w:trHeight w:val="241"/>
        </w:trPr>
        <w:tc>
          <w:tcPr>
            <w:cnfStyle w:val="001000000000" w:firstRow="0" w:lastRow="0" w:firstColumn="1" w:lastColumn="0" w:oddVBand="0" w:evenVBand="0" w:oddHBand="0" w:evenHBand="0" w:firstRowFirstColumn="0" w:firstRowLastColumn="0" w:lastRowFirstColumn="0" w:lastRowLastColumn="0"/>
            <w:tcW w:w="1991" w:type="pct"/>
            <w:shd w:val="clear" w:color="auto" w:fill="FFFFFF" w:themeFill="background1"/>
            <w:noWrap/>
            <w:hideMark/>
          </w:tcPr>
          <w:p w14:paraId="3C336FFE" w14:textId="77777777" w:rsidR="008B200E" w:rsidRPr="00092ED7" w:rsidRDefault="008B200E" w:rsidP="00613B5B">
            <w:pPr>
              <w:spacing w:after="0"/>
              <w:rPr>
                <w:rFonts w:cs="Times New Roman"/>
                <w:b w:val="0"/>
                <w:color w:val="auto"/>
                <w:sz w:val="20"/>
                <w:szCs w:val="20"/>
                <w:lang w:val="sr-Cyrl-CS"/>
              </w:rPr>
            </w:pPr>
            <w:r w:rsidRPr="00092ED7">
              <w:rPr>
                <w:rFonts w:cs="Times New Roman"/>
                <w:b w:val="0"/>
                <w:color w:val="auto"/>
                <w:sz w:val="20"/>
                <w:szCs w:val="20"/>
                <w:lang w:val="sr-Cyrl-CS"/>
              </w:rPr>
              <w:t>Приходи</w:t>
            </w:r>
          </w:p>
        </w:tc>
        <w:tc>
          <w:tcPr>
            <w:tcW w:w="602" w:type="pct"/>
            <w:shd w:val="clear" w:color="auto" w:fill="FFFFFF" w:themeFill="background1"/>
            <w:noWrap/>
            <w:hideMark/>
          </w:tcPr>
          <w:p w14:paraId="1C5C2EBB" w14:textId="77777777" w:rsidR="008B200E" w:rsidRPr="00092ED7" w:rsidRDefault="008B200E" w:rsidP="00613B5B">
            <w:pPr>
              <w:keepNext/>
              <w:widowControl w:val="0"/>
              <w:shd w:val="clear" w:color="auto" w:fill="FFFFFF" w:themeFill="background1"/>
              <w:spacing w:after="0"/>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0"/>
                <w:szCs w:val="20"/>
                <w:lang w:val="sr-Cyrl-CS"/>
              </w:rPr>
            </w:pPr>
            <w:r w:rsidRPr="00092ED7">
              <w:rPr>
                <w:rFonts w:cs="Times New Roman"/>
                <w:color w:val="auto"/>
                <w:sz w:val="20"/>
                <w:szCs w:val="20"/>
                <w:lang w:val="sr-Cyrl-CS"/>
              </w:rPr>
              <w:t>-0,2</w:t>
            </w:r>
          </w:p>
        </w:tc>
        <w:tc>
          <w:tcPr>
            <w:tcW w:w="602" w:type="pct"/>
            <w:shd w:val="clear" w:color="auto" w:fill="FFFFFF" w:themeFill="background1"/>
            <w:noWrap/>
            <w:hideMark/>
          </w:tcPr>
          <w:p w14:paraId="17796C0A" w14:textId="77777777" w:rsidR="008B200E" w:rsidRPr="00092ED7" w:rsidRDefault="008B200E" w:rsidP="00613B5B">
            <w:pPr>
              <w:keepNext/>
              <w:widowControl w:val="0"/>
              <w:shd w:val="clear" w:color="auto" w:fill="FFFFFF" w:themeFill="background1"/>
              <w:spacing w:after="0"/>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0"/>
                <w:szCs w:val="20"/>
                <w:lang w:val="sr-Cyrl-CS"/>
              </w:rPr>
            </w:pPr>
            <w:r w:rsidRPr="00092ED7">
              <w:rPr>
                <w:rFonts w:cs="Times New Roman"/>
                <w:color w:val="auto"/>
                <w:sz w:val="20"/>
                <w:szCs w:val="20"/>
                <w:lang w:val="sr-Cyrl-CS"/>
              </w:rPr>
              <w:t>0,8</w:t>
            </w:r>
          </w:p>
        </w:tc>
        <w:tc>
          <w:tcPr>
            <w:tcW w:w="602" w:type="pct"/>
            <w:shd w:val="clear" w:color="auto" w:fill="FFFFFF" w:themeFill="background1"/>
            <w:noWrap/>
            <w:hideMark/>
          </w:tcPr>
          <w:p w14:paraId="283286A3" w14:textId="77777777" w:rsidR="008B200E" w:rsidRPr="00092ED7" w:rsidRDefault="008B200E" w:rsidP="00613B5B">
            <w:pPr>
              <w:keepNext/>
              <w:widowControl w:val="0"/>
              <w:shd w:val="clear" w:color="auto" w:fill="FFFFFF" w:themeFill="background1"/>
              <w:spacing w:after="0"/>
              <w:jc w:val="right"/>
              <w:cnfStyle w:val="000000000000" w:firstRow="0" w:lastRow="0" w:firstColumn="0" w:lastColumn="0" w:oddVBand="0" w:evenVBand="0" w:oddHBand="0" w:evenHBand="0" w:firstRowFirstColumn="0" w:firstRowLastColumn="0" w:lastRowFirstColumn="0" w:lastRowLastColumn="0"/>
              <w:rPr>
                <w:rFonts w:eastAsia="Times New Roman" w:cs="Times New Roman"/>
                <w:bCs/>
                <w:color w:val="auto"/>
                <w:sz w:val="20"/>
                <w:szCs w:val="20"/>
                <w:lang w:val="sr-Cyrl-CS"/>
              </w:rPr>
            </w:pPr>
            <w:r w:rsidRPr="00092ED7">
              <w:rPr>
                <w:rFonts w:cs="Times New Roman"/>
                <w:color w:val="auto"/>
                <w:sz w:val="20"/>
                <w:szCs w:val="20"/>
                <w:lang w:val="sr-Cyrl-CS"/>
              </w:rPr>
              <w:t>-0,5</w:t>
            </w:r>
          </w:p>
        </w:tc>
        <w:tc>
          <w:tcPr>
            <w:tcW w:w="602" w:type="pct"/>
            <w:shd w:val="clear" w:color="auto" w:fill="FFFFFF" w:themeFill="background1"/>
            <w:noWrap/>
            <w:hideMark/>
          </w:tcPr>
          <w:p w14:paraId="3563EE3D" w14:textId="77777777" w:rsidR="008B200E" w:rsidRPr="00092ED7" w:rsidRDefault="008B200E" w:rsidP="00613B5B">
            <w:pPr>
              <w:keepNext/>
              <w:widowControl w:val="0"/>
              <w:shd w:val="clear" w:color="auto" w:fill="FFFFFF" w:themeFill="background1"/>
              <w:spacing w:after="0"/>
              <w:jc w:val="right"/>
              <w:cnfStyle w:val="000000000000" w:firstRow="0" w:lastRow="0" w:firstColumn="0" w:lastColumn="0" w:oddVBand="0" w:evenVBand="0" w:oddHBand="0" w:evenHBand="0" w:firstRowFirstColumn="0" w:firstRowLastColumn="0" w:lastRowFirstColumn="0" w:lastRowLastColumn="0"/>
              <w:rPr>
                <w:rFonts w:eastAsia="Times New Roman" w:cs="Times New Roman"/>
                <w:bCs/>
                <w:color w:val="auto"/>
                <w:sz w:val="20"/>
                <w:szCs w:val="20"/>
                <w:lang w:val="sr-Cyrl-CS"/>
              </w:rPr>
            </w:pPr>
            <w:r w:rsidRPr="00092ED7">
              <w:rPr>
                <w:rFonts w:cs="Times New Roman"/>
                <w:color w:val="auto"/>
                <w:sz w:val="20"/>
                <w:szCs w:val="20"/>
                <w:lang w:val="sr-Cyrl-CS"/>
              </w:rPr>
              <w:t>-0,7</w:t>
            </w:r>
          </w:p>
        </w:tc>
        <w:tc>
          <w:tcPr>
            <w:tcW w:w="602" w:type="pct"/>
            <w:shd w:val="clear" w:color="auto" w:fill="FFFFFF" w:themeFill="background1"/>
            <w:noWrap/>
            <w:hideMark/>
          </w:tcPr>
          <w:p w14:paraId="55B75787" w14:textId="77777777" w:rsidR="008B200E" w:rsidRPr="00092ED7" w:rsidRDefault="008B200E" w:rsidP="00613B5B">
            <w:pPr>
              <w:keepNext/>
              <w:widowControl w:val="0"/>
              <w:shd w:val="clear" w:color="auto" w:fill="FFFFFF" w:themeFill="background1"/>
              <w:spacing w:after="0"/>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18"/>
                <w:szCs w:val="18"/>
                <w:lang w:val="sr-Cyrl-CS"/>
              </w:rPr>
            </w:pPr>
            <w:r w:rsidRPr="00092ED7">
              <w:rPr>
                <w:rFonts w:eastAsia="Times New Roman" w:cs="Times New Roman"/>
                <w:bCs/>
                <w:color w:val="auto"/>
                <w:sz w:val="18"/>
                <w:szCs w:val="18"/>
                <w:lang w:val="sr-Cyrl-CS"/>
              </w:rPr>
              <w:t>–</w:t>
            </w:r>
          </w:p>
        </w:tc>
      </w:tr>
      <w:tr w:rsidR="008B200E" w:rsidRPr="00092ED7" w14:paraId="196CB787" w14:textId="77777777" w:rsidTr="00613B5B">
        <w:trPr>
          <w:cnfStyle w:val="000000100000" w:firstRow="0" w:lastRow="0" w:firstColumn="0" w:lastColumn="0" w:oddVBand="0" w:evenVBand="0" w:oddHBand="1" w:evenHBand="0" w:firstRowFirstColumn="0" w:firstRowLastColumn="0" w:lastRowFirstColumn="0" w:lastRowLastColumn="0"/>
          <w:trHeight w:val="241"/>
        </w:trPr>
        <w:tc>
          <w:tcPr>
            <w:cnfStyle w:val="001000000000" w:firstRow="0" w:lastRow="0" w:firstColumn="1" w:lastColumn="0" w:oddVBand="0" w:evenVBand="0" w:oddHBand="0" w:evenHBand="0" w:firstRowFirstColumn="0" w:firstRowLastColumn="0" w:lastRowFirstColumn="0" w:lastRowLastColumn="0"/>
            <w:tcW w:w="1991" w:type="pct"/>
            <w:shd w:val="clear" w:color="auto" w:fill="FFFFFF" w:themeFill="background1"/>
            <w:noWrap/>
            <w:hideMark/>
          </w:tcPr>
          <w:p w14:paraId="6EFD726B" w14:textId="77777777" w:rsidR="008B200E" w:rsidRPr="00092ED7" w:rsidRDefault="008B200E" w:rsidP="00613B5B">
            <w:pPr>
              <w:spacing w:after="0"/>
              <w:rPr>
                <w:rFonts w:cs="Times New Roman"/>
                <w:b w:val="0"/>
                <w:color w:val="auto"/>
                <w:sz w:val="20"/>
                <w:szCs w:val="20"/>
                <w:lang w:val="sr-Cyrl-CS"/>
              </w:rPr>
            </w:pPr>
            <w:r w:rsidRPr="00092ED7">
              <w:rPr>
                <w:rFonts w:cs="Times New Roman"/>
                <w:b w:val="0"/>
                <w:color w:val="auto"/>
                <w:sz w:val="20"/>
                <w:szCs w:val="20"/>
                <w:lang w:val="sr-Cyrl-CS"/>
              </w:rPr>
              <w:t>Расходи</w:t>
            </w:r>
          </w:p>
        </w:tc>
        <w:tc>
          <w:tcPr>
            <w:tcW w:w="602" w:type="pct"/>
            <w:shd w:val="clear" w:color="auto" w:fill="FFFFFF" w:themeFill="background1"/>
            <w:noWrap/>
            <w:hideMark/>
          </w:tcPr>
          <w:p w14:paraId="0C1B72A1" w14:textId="77777777" w:rsidR="008B200E" w:rsidRPr="00092ED7" w:rsidRDefault="008B200E" w:rsidP="00613B5B">
            <w:pPr>
              <w:keepNext/>
              <w:widowControl w:val="0"/>
              <w:shd w:val="clear" w:color="auto" w:fill="FFFFFF" w:themeFill="background1"/>
              <w:spacing w:after="0"/>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0"/>
                <w:szCs w:val="20"/>
                <w:lang w:val="sr-Cyrl-CS"/>
              </w:rPr>
            </w:pPr>
            <w:r w:rsidRPr="00092ED7">
              <w:rPr>
                <w:rFonts w:cs="Times New Roman"/>
                <w:color w:val="auto"/>
                <w:sz w:val="20"/>
                <w:szCs w:val="20"/>
                <w:lang w:val="sr-Cyrl-CS"/>
              </w:rPr>
              <w:t>-1,0</w:t>
            </w:r>
          </w:p>
        </w:tc>
        <w:tc>
          <w:tcPr>
            <w:tcW w:w="602" w:type="pct"/>
            <w:shd w:val="clear" w:color="auto" w:fill="FFFFFF" w:themeFill="background1"/>
            <w:noWrap/>
            <w:hideMark/>
          </w:tcPr>
          <w:p w14:paraId="1409326E" w14:textId="77777777" w:rsidR="008B200E" w:rsidRPr="00092ED7" w:rsidRDefault="008B200E" w:rsidP="00613B5B">
            <w:pPr>
              <w:keepNext/>
              <w:widowControl w:val="0"/>
              <w:shd w:val="clear" w:color="auto" w:fill="FFFFFF" w:themeFill="background1"/>
              <w:spacing w:after="0"/>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0"/>
                <w:szCs w:val="20"/>
                <w:lang w:val="sr-Cyrl-CS"/>
              </w:rPr>
            </w:pPr>
            <w:r w:rsidRPr="00092ED7">
              <w:rPr>
                <w:rFonts w:cs="Times New Roman"/>
                <w:color w:val="auto"/>
                <w:sz w:val="20"/>
                <w:szCs w:val="20"/>
                <w:lang w:val="sr-Cyrl-CS"/>
              </w:rPr>
              <w:t>1,6</w:t>
            </w:r>
          </w:p>
        </w:tc>
        <w:tc>
          <w:tcPr>
            <w:tcW w:w="602" w:type="pct"/>
            <w:shd w:val="clear" w:color="auto" w:fill="FFFFFF" w:themeFill="background1"/>
            <w:noWrap/>
            <w:hideMark/>
          </w:tcPr>
          <w:p w14:paraId="3FE05252" w14:textId="77777777" w:rsidR="008B200E" w:rsidRPr="00092ED7" w:rsidRDefault="008B200E" w:rsidP="00613B5B">
            <w:pPr>
              <w:keepNext/>
              <w:widowControl w:val="0"/>
              <w:shd w:val="clear" w:color="auto" w:fill="FFFFFF" w:themeFill="background1"/>
              <w:spacing w:after="0"/>
              <w:jc w:val="right"/>
              <w:cnfStyle w:val="000000100000" w:firstRow="0" w:lastRow="0" w:firstColumn="0" w:lastColumn="0" w:oddVBand="0" w:evenVBand="0" w:oddHBand="1" w:evenHBand="0" w:firstRowFirstColumn="0" w:firstRowLastColumn="0" w:lastRowFirstColumn="0" w:lastRowLastColumn="0"/>
              <w:rPr>
                <w:rFonts w:eastAsia="Times New Roman" w:cs="Times New Roman"/>
                <w:bCs/>
                <w:color w:val="auto"/>
                <w:sz w:val="20"/>
                <w:szCs w:val="20"/>
                <w:lang w:val="sr-Cyrl-CS"/>
              </w:rPr>
            </w:pPr>
            <w:r w:rsidRPr="00092ED7">
              <w:rPr>
                <w:rFonts w:cs="Times New Roman"/>
                <w:color w:val="auto"/>
                <w:sz w:val="20"/>
                <w:szCs w:val="20"/>
                <w:lang w:val="sr-Cyrl-CS"/>
              </w:rPr>
              <w:t>1,3</w:t>
            </w:r>
          </w:p>
        </w:tc>
        <w:tc>
          <w:tcPr>
            <w:tcW w:w="602" w:type="pct"/>
            <w:shd w:val="clear" w:color="auto" w:fill="FFFFFF" w:themeFill="background1"/>
            <w:noWrap/>
            <w:hideMark/>
          </w:tcPr>
          <w:p w14:paraId="1BC2DBA6" w14:textId="77777777" w:rsidR="008B200E" w:rsidRPr="00092ED7" w:rsidRDefault="008B200E" w:rsidP="00613B5B">
            <w:pPr>
              <w:keepNext/>
              <w:widowControl w:val="0"/>
              <w:shd w:val="clear" w:color="auto" w:fill="FFFFFF" w:themeFill="background1"/>
              <w:spacing w:after="0"/>
              <w:jc w:val="right"/>
              <w:cnfStyle w:val="000000100000" w:firstRow="0" w:lastRow="0" w:firstColumn="0" w:lastColumn="0" w:oddVBand="0" w:evenVBand="0" w:oddHBand="1" w:evenHBand="0" w:firstRowFirstColumn="0" w:firstRowLastColumn="0" w:lastRowFirstColumn="0" w:lastRowLastColumn="0"/>
              <w:rPr>
                <w:rFonts w:eastAsia="Times New Roman" w:cs="Times New Roman"/>
                <w:bCs/>
                <w:color w:val="auto"/>
                <w:sz w:val="20"/>
                <w:szCs w:val="20"/>
                <w:lang w:val="sr-Cyrl-CS"/>
              </w:rPr>
            </w:pPr>
            <w:r w:rsidRPr="00092ED7">
              <w:rPr>
                <w:rFonts w:cs="Times New Roman"/>
                <w:color w:val="auto"/>
                <w:sz w:val="20"/>
                <w:szCs w:val="20"/>
                <w:lang w:val="sr-Cyrl-CS"/>
              </w:rPr>
              <w:t>0,4</w:t>
            </w:r>
          </w:p>
        </w:tc>
        <w:tc>
          <w:tcPr>
            <w:tcW w:w="602" w:type="pct"/>
            <w:shd w:val="clear" w:color="auto" w:fill="FFFFFF" w:themeFill="background1"/>
            <w:noWrap/>
            <w:hideMark/>
          </w:tcPr>
          <w:p w14:paraId="1D712A33" w14:textId="77777777" w:rsidR="008B200E" w:rsidRPr="00092ED7" w:rsidRDefault="008B200E" w:rsidP="00613B5B">
            <w:pPr>
              <w:keepNext/>
              <w:widowControl w:val="0"/>
              <w:shd w:val="clear" w:color="auto" w:fill="FFFFFF" w:themeFill="background1"/>
              <w:spacing w:after="0"/>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18"/>
                <w:szCs w:val="18"/>
                <w:lang w:val="sr-Cyrl-CS"/>
              </w:rPr>
            </w:pPr>
            <w:r w:rsidRPr="00092ED7">
              <w:rPr>
                <w:rFonts w:eastAsia="Times New Roman" w:cs="Times New Roman"/>
                <w:bCs/>
                <w:color w:val="auto"/>
                <w:sz w:val="18"/>
                <w:szCs w:val="18"/>
                <w:lang w:val="sr-Cyrl-CS"/>
              </w:rPr>
              <w:t>–</w:t>
            </w:r>
          </w:p>
        </w:tc>
      </w:tr>
      <w:tr w:rsidR="008B200E" w:rsidRPr="00092ED7" w14:paraId="29A01990" w14:textId="77777777" w:rsidTr="00613B5B">
        <w:trPr>
          <w:trHeight w:val="241"/>
        </w:trPr>
        <w:tc>
          <w:tcPr>
            <w:cnfStyle w:val="001000000000" w:firstRow="0" w:lastRow="0" w:firstColumn="1" w:lastColumn="0" w:oddVBand="0" w:evenVBand="0" w:oddHBand="0" w:evenHBand="0" w:firstRowFirstColumn="0" w:firstRowLastColumn="0" w:lastRowFirstColumn="0" w:lastRowLastColumn="0"/>
            <w:tcW w:w="1991" w:type="pct"/>
            <w:shd w:val="clear" w:color="auto" w:fill="FFFFFF" w:themeFill="background1"/>
            <w:noWrap/>
            <w:hideMark/>
          </w:tcPr>
          <w:p w14:paraId="7AC97714" w14:textId="77777777" w:rsidR="008B200E" w:rsidRPr="00092ED7" w:rsidRDefault="008B200E" w:rsidP="00613B5B">
            <w:pPr>
              <w:spacing w:after="0"/>
              <w:rPr>
                <w:rFonts w:cs="Times New Roman"/>
                <w:b w:val="0"/>
                <w:color w:val="auto"/>
                <w:sz w:val="20"/>
                <w:szCs w:val="20"/>
                <w:lang w:val="sr-Cyrl-CS"/>
              </w:rPr>
            </w:pPr>
            <w:r w:rsidRPr="00092ED7">
              <w:rPr>
                <w:rFonts w:cs="Times New Roman"/>
                <w:b w:val="0"/>
                <w:color w:val="auto"/>
                <w:sz w:val="20"/>
                <w:szCs w:val="20"/>
                <w:lang w:val="sr-Cyrl-CS"/>
              </w:rPr>
              <w:t>Резултат</w:t>
            </w:r>
          </w:p>
        </w:tc>
        <w:tc>
          <w:tcPr>
            <w:tcW w:w="602" w:type="pct"/>
            <w:shd w:val="clear" w:color="auto" w:fill="FFFFFF" w:themeFill="background1"/>
            <w:noWrap/>
            <w:hideMark/>
          </w:tcPr>
          <w:p w14:paraId="1DEA2D95" w14:textId="77777777" w:rsidR="008B200E" w:rsidRPr="00092ED7" w:rsidRDefault="008B200E" w:rsidP="00613B5B">
            <w:pPr>
              <w:keepNext/>
              <w:widowControl w:val="0"/>
              <w:shd w:val="clear" w:color="auto" w:fill="FFFFFF" w:themeFill="background1"/>
              <w:spacing w:after="0"/>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0"/>
                <w:szCs w:val="20"/>
                <w:lang w:val="sr-Cyrl-CS"/>
              </w:rPr>
            </w:pPr>
            <w:r w:rsidRPr="00092ED7">
              <w:rPr>
                <w:rFonts w:cs="Times New Roman"/>
                <w:color w:val="auto"/>
                <w:sz w:val="20"/>
                <w:szCs w:val="20"/>
                <w:lang w:val="sr-Cyrl-CS"/>
              </w:rPr>
              <w:t>-0,8</w:t>
            </w:r>
          </w:p>
        </w:tc>
        <w:tc>
          <w:tcPr>
            <w:tcW w:w="602" w:type="pct"/>
            <w:shd w:val="clear" w:color="auto" w:fill="FFFFFF" w:themeFill="background1"/>
            <w:noWrap/>
            <w:hideMark/>
          </w:tcPr>
          <w:p w14:paraId="3BE37596" w14:textId="77777777" w:rsidR="008B200E" w:rsidRPr="00092ED7" w:rsidRDefault="008B200E" w:rsidP="00613B5B">
            <w:pPr>
              <w:keepNext/>
              <w:widowControl w:val="0"/>
              <w:shd w:val="clear" w:color="auto" w:fill="FFFFFF" w:themeFill="background1"/>
              <w:spacing w:after="0"/>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0"/>
                <w:szCs w:val="20"/>
                <w:lang w:val="sr-Cyrl-CS"/>
              </w:rPr>
            </w:pPr>
            <w:r w:rsidRPr="00092ED7">
              <w:rPr>
                <w:rFonts w:cs="Times New Roman"/>
                <w:color w:val="auto"/>
                <w:sz w:val="20"/>
                <w:szCs w:val="20"/>
                <w:lang w:val="sr-Cyrl-CS"/>
              </w:rPr>
              <w:t>-0,8</w:t>
            </w:r>
          </w:p>
        </w:tc>
        <w:tc>
          <w:tcPr>
            <w:tcW w:w="602" w:type="pct"/>
            <w:shd w:val="clear" w:color="auto" w:fill="FFFFFF" w:themeFill="background1"/>
            <w:noWrap/>
            <w:hideMark/>
          </w:tcPr>
          <w:p w14:paraId="2022C7C5" w14:textId="77777777" w:rsidR="008B200E" w:rsidRPr="00092ED7" w:rsidRDefault="008B200E" w:rsidP="00613B5B">
            <w:pPr>
              <w:keepNext/>
              <w:widowControl w:val="0"/>
              <w:shd w:val="clear" w:color="auto" w:fill="FFFFFF" w:themeFill="background1"/>
              <w:spacing w:after="0"/>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0"/>
                <w:szCs w:val="20"/>
                <w:lang w:val="sr-Cyrl-CS"/>
              </w:rPr>
            </w:pPr>
            <w:r w:rsidRPr="00092ED7">
              <w:rPr>
                <w:rFonts w:cs="Times New Roman"/>
                <w:color w:val="auto"/>
                <w:sz w:val="20"/>
                <w:szCs w:val="20"/>
                <w:lang w:val="sr-Cyrl-CS"/>
              </w:rPr>
              <w:t>-1,8</w:t>
            </w:r>
          </w:p>
        </w:tc>
        <w:tc>
          <w:tcPr>
            <w:tcW w:w="602" w:type="pct"/>
            <w:shd w:val="clear" w:color="auto" w:fill="FFFFFF" w:themeFill="background1"/>
            <w:noWrap/>
            <w:hideMark/>
          </w:tcPr>
          <w:p w14:paraId="7156A6F5" w14:textId="77777777" w:rsidR="008B200E" w:rsidRPr="00092ED7" w:rsidRDefault="008B200E" w:rsidP="00613B5B">
            <w:pPr>
              <w:keepNext/>
              <w:widowControl w:val="0"/>
              <w:shd w:val="clear" w:color="auto" w:fill="FFFFFF" w:themeFill="background1"/>
              <w:spacing w:after="0"/>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0"/>
                <w:szCs w:val="20"/>
                <w:lang w:val="sr-Cyrl-CS"/>
              </w:rPr>
            </w:pPr>
            <w:r w:rsidRPr="00092ED7">
              <w:rPr>
                <w:rFonts w:cs="Times New Roman"/>
                <w:color w:val="auto"/>
                <w:sz w:val="20"/>
                <w:szCs w:val="20"/>
                <w:lang w:val="sr-Cyrl-CS"/>
              </w:rPr>
              <w:t>-1,2</w:t>
            </w:r>
          </w:p>
        </w:tc>
        <w:tc>
          <w:tcPr>
            <w:tcW w:w="602" w:type="pct"/>
            <w:shd w:val="clear" w:color="auto" w:fill="FFFFFF" w:themeFill="background1"/>
            <w:noWrap/>
            <w:hideMark/>
          </w:tcPr>
          <w:p w14:paraId="244FEF67" w14:textId="77777777" w:rsidR="008B200E" w:rsidRPr="00092ED7" w:rsidRDefault="008B200E" w:rsidP="00613B5B">
            <w:pPr>
              <w:keepNext/>
              <w:widowControl w:val="0"/>
              <w:shd w:val="clear" w:color="auto" w:fill="FFFFFF" w:themeFill="background1"/>
              <w:spacing w:after="0"/>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18"/>
                <w:szCs w:val="18"/>
                <w:lang w:val="sr-Cyrl-CS"/>
              </w:rPr>
            </w:pPr>
            <w:r w:rsidRPr="00092ED7">
              <w:rPr>
                <w:rFonts w:eastAsia="Times New Roman" w:cs="Times New Roman"/>
                <w:bCs/>
                <w:color w:val="auto"/>
                <w:sz w:val="18"/>
                <w:szCs w:val="18"/>
                <w:lang w:val="sr-Cyrl-CS"/>
              </w:rPr>
              <w:t>–</w:t>
            </w:r>
          </w:p>
        </w:tc>
      </w:tr>
    </w:tbl>
    <w:p w14:paraId="7E01664D" w14:textId="77777777" w:rsidR="008B200E" w:rsidRPr="00092ED7" w:rsidRDefault="008B200E" w:rsidP="00613B5B">
      <w:pPr>
        <w:spacing w:before="60"/>
        <w:rPr>
          <w:rFonts w:cs="Times New Roman"/>
          <w:sz w:val="18"/>
          <w:szCs w:val="18"/>
          <w:lang w:val="sr-Cyrl-CS"/>
        </w:rPr>
      </w:pPr>
      <w:r w:rsidRPr="00092ED7">
        <w:rPr>
          <w:rFonts w:eastAsia="Calibri" w:cs="Times New Roman"/>
          <w:bCs/>
          <w:sz w:val="18"/>
          <w:szCs w:val="18"/>
          <w:lang w:val="sr-Cyrl-CS" w:eastAsia="ja-JP"/>
        </w:rPr>
        <w:t xml:space="preserve">Извор: </w:t>
      </w:r>
      <w:r w:rsidRPr="00092ED7">
        <w:rPr>
          <w:rFonts w:cs="Times New Roman"/>
          <w:sz w:val="18"/>
          <w:szCs w:val="18"/>
          <w:lang w:val="sr-Cyrl-CS"/>
        </w:rPr>
        <w:t>Министарство финансија</w:t>
      </w:r>
    </w:p>
    <w:p w14:paraId="16BE92A2" w14:textId="77777777" w:rsidR="000C44D1" w:rsidRPr="00092ED7" w:rsidRDefault="00735870" w:rsidP="00063909">
      <w:pPr>
        <w:keepNext/>
        <w:keepLines/>
        <w:spacing w:before="240" w:line="259" w:lineRule="auto"/>
        <w:jc w:val="left"/>
        <w:outlineLvl w:val="1"/>
        <w:rPr>
          <w:rFonts w:eastAsia="Calibri" w:cs="Times New Roman"/>
          <w:b/>
          <w:szCs w:val="28"/>
          <w:lang w:val="sr-Cyrl-CS"/>
        </w:rPr>
      </w:pPr>
      <w:bookmarkStart w:id="29" w:name="_Toc124174800"/>
      <w:r w:rsidRPr="00092ED7">
        <w:rPr>
          <w:rFonts w:eastAsia="Calibri" w:cs="Times New Roman"/>
          <w:b/>
          <w:szCs w:val="28"/>
          <w:lang w:val="sr-Cyrl-CS"/>
        </w:rPr>
        <w:t>4.</w:t>
      </w:r>
      <w:r w:rsidR="000C44D1" w:rsidRPr="00092ED7">
        <w:rPr>
          <w:rFonts w:eastAsia="Calibri" w:cs="Times New Roman"/>
          <w:b/>
          <w:szCs w:val="28"/>
          <w:lang w:val="sr-Cyrl-CS"/>
        </w:rPr>
        <w:t>7. КВАЛИТЕТ ЈАВНИХ ФИНАНСИЈА</w:t>
      </w:r>
      <w:bookmarkEnd w:id="29"/>
    </w:p>
    <w:p w14:paraId="280C11AB" w14:textId="77777777" w:rsidR="00A06946" w:rsidRPr="00092ED7" w:rsidRDefault="00A06946" w:rsidP="00A06946">
      <w:pPr>
        <w:spacing w:after="60"/>
        <w:rPr>
          <w:lang w:val="sr-Cyrl-CS" w:eastAsia="ja-JP"/>
        </w:rPr>
      </w:pPr>
      <w:r w:rsidRPr="00092ED7">
        <w:rPr>
          <w:lang w:val="sr-Cyrl-CS" w:eastAsia="ja-JP"/>
        </w:rPr>
        <w:t>Након што је почетком прошле године успешно окончан аранжман с ММФ – Република Србија је у јуну 2021. године са овом институцијом склопила нови аранжман саветодавног карактера. Нови програм сарадње – Инструмент за координацију политика (</w:t>
      </w:r>
      <w:r w:rsidRPr="00092ED7">
        <w:rPr>
          <w:i/>
          <w:lang w:val="sr-Cyrl-CS" w:eastAsia="ja-JP"/>
        </w:rPr>
        <w:t>Policy Coordination Instrument</w:t>
      </w:r>
      <w:r w:rsidRPr="00092ED7">
        <w:rPr>
          <w:lang w:val="sr-Cyrl-CS" w:eastAsia="ja-JP"/>
        </w:rPr>
        <w:t xml:space="preserve"> – PCI) потврђен је 18. јуна 2021.</w:t>
      </w:r>
      <w:r w:rsidRPr="00092ED7">
        <w:rPr>
          <w:bCs/>
          <w:lang w:val="sr-Cyrl-CS" w:eastAsia="ja-JP"/>
        </w:rPr>
        <w:t xml:space="preserve"> године</w:t>
      </w:r>
      <w:r w:rsidRPr="00092ED7">
        <w:rPr>
          <w:lang w:val="sr-Cyrl-CS" w:eastAsia="ja-JP"/>
        </w:rPr>
        <w:t xml:space="preserve"> и било је планирано да траје до краја 2023. године, односно 30 месеци.</w:t>
      </w:r>
    </w:p>
    <w:p w14:paraId="720E852A" w14:textId="7AB91816" w:rsidR="00A06946" w:rsidRPr="00092ED7" w:rsidRDefault="00A06946" w:rsidP="00A06946">
      <w:pPr>
        <w:spacing w:after="60"/>
        <w:rPr>
          <w:lang w:val="sr-Cyrl-CS" w:eastAsia="ja-JP"/>
        </w:rPr>
      </w:pPr>
      <w:r w:rsidRPr="00092ED7">
        <w:rPr>
          <w:lang w:val="sr-Cyrl-CS" w:eastAsia="ja-JP"/>
        </w:rPr>
        <w:t xml:space="preserve">Криза у Украјини жестоко погађа ланце снабдевања и ствара додатне инфлаторне притиске на тржиштима хране, енергије, сировина и других добара. Смањење домаће производње електричне енергије повећало је потребе за увозом енергената по значајно вишим ценама, уз погоршавање услова на финансијским тржиштима. У оваквим ванредним околностима Република Србија се одлучила да затражи нови аранжман са ММФ, који </w:t>
      </w:r>
      <w:r w:rsidR="00505E8B" w:rsidRPr="00092ED7">
        <w:rPr>
          <w:lang w:val="sr-Cyrl-CS" w:eastAsia="ja-JP"/>
        </w:rPr>
        <w:t>је потврђен крајем 2022. године</w:t>
      </w:r>
      <w:r w:rsidRPr="00092ED7">
        <w:rPr>
          <w:lang w:val="sr-Cyrl-CS" w:eastAsia="ja-JP"/>
        </w:rPr>
        <w:t>, у трајању од две године и који ће имати карактер аранжмана из предострожности. Програм има за циљ: 1) очување макроекономске и финансијске стабилности прилагођавањем политика на настале економске шокове; 2) јачање отпорности привреде на енергетске шокове спровођењем одговарајућих енергетских политика и реформи за суочавање са изазовима домаћег енергетског сектора, истовремено штитећи најугроженије; 3) давање подстицаја бржем, зеленом и инклузивном одрживом расту у средњем року спровођењем свеобухватних структурних реформи. Циљеви програма су компатибилни с тежњама Републике Србије да се придружи ЕУ.</w:t>
      </w:r>
    </w:p>
    <w:p w14:paraId="3217975E" w14:textId="2EFF69AB" w:rsidR="00A06946" w:rsidRPr="00092ED7" w:rsidRDefault="00A06946" w:rsidP="00A06946">
      <w:pPr>
        <w:spacing w:after="60"/>
        <w:rPr>
          <w:lang w:val="sr-Cyrl-CS" w:eastAsia="ja-JP"/>
        </w:rPr>
      </w:pPr>
      <w:r w:rsidRPr="00092ED7">
        <w:rPr>
          <w:lang w:val="sr-Cyrl-CS" w:eastAsia="ja-JP"/>
        </w:rPr>
        <w:t xml:space="preserve">У наредном периоду очекује се наставак реформи у области запошљавања, управљања кадровима и система плата у </w:t>
      </w:r>
      <w:r w:rsidR="00E561DE" w:rsidRPr="00092ED7">
        <w:rPr>
          <w:lang w:val="sr-Cyrl-CS" w:eastAsia="ja-JP"/>
        </w:rPr>
        <w:t xml:space="preserve">државном </w:t>
      </w:r>
      <w:r w:rsidRPr="00092ED7">
        <w:rPr>
          <w:lang w:val="sr-Cyrl-CS" w:eastAsia="ja-JP"/>
        </w:rPr>
        <w:t xml:space="preserve">сектору. Циљ фискалне политике у средњем року је задржавање расхода за запослене на одрживом нивоу, уз адекватну структуру запослених, како би се обезбедио већи квалитет пружених услуга. У наредном </w:t>
      </w:r>
      <w:r w:rsidRPr="00092ED7">
        <w:rPr>
          <w:lang w:val="sr-Cyrl-CS" w:eastAsia="ja-JP"/>
        </w:rPr>
        <w:lastRenderedPageBreak/>
        <w:t>средњорочном периоду акценат ће бити на структурним мерама, које би преко планирања броја запослених с једне стране, и успостављања новог система плата у сектору државе с друге стране, допринеле повећању ефикасности и квалитету пружених јавних услуга.</w:t>
      </w:r>
    </w:p>
    <w:p w14:paraId="4E16B568" w14:textId="1C6FE264" w:rsidR="00A06946" w:rsidRPr="00092ED7" w:rsidRDefault="00A06946" w:rsidP="002D1D1E">
      <w:pPr>
        <w:rPr>
          <w:rFonts w:eastAsia="MS PGothic" w:cs="Times New Roman"/>
          <w:bCs/>
          <w:iCs/>
          <w:szCs w:val="24"/>
          <w:lang w:val="sr-Cyrl-CS" w:eastAsia="ja-JP"/>
        </w:rPr>
      </w:pPr>
      <w:r w:rsidRPr="00092ED7">
        <w:rPr>
          <w:lang w:val="sr-Cyrl-CS" w:eastAsia="ja-JP"/>
        </w:rPr>
        <w:t xml:space="preserve">Постојећи систем запошљавања, којим руководи Владина Комисија за давање сагласности за ново запошљавање и додатно радно ангажовање код корисника јавних средстава наставиће да функционише у прелазном периоду до 2023. године, односно све док нови систем не буде у потпуности оперативан. Крајем 2020. године </w:t>
      </w:r>
      <w:r w:rsidR="002D1D1E" w:rsidRPr="00092ED7">
        <w:rPr>
          <w:lang w:val="sr-Cyrl-CS" w:eastAsia="ja-JP"/>
        </w:rPr>
        <w:t xml:space="preserve">усвојен је </w:t>
      </w:r>
      <w:r w:rsidRPr="00092ED7">
        <w:rPr>
          <w:lang w:val="sr-Cyrl-CS" w:eastAsia="ja-JP"/>
        </w:rPr>
        <w:t xml:space="preserve">Закон о </w:t>
      </w:r>
      <w:r w:rsidR="003917D5" w:rsidRPr="00092ED7">
        <w:rPr>
          <w:lang w:val="sr-Cyrl-CS" w:eastAsia="ja-JP"/>
        </w:rPr>
        <w:t xml:space="preserve">изменама и допунама Закона о </w:t>
      </w:r>
      <w:r w:rsidRPr="00092ED7">
        <w:rPr>
          <w:lang w:val="sr-Cyrl-CS" w:eastAsia="ja-JP"/>
        </w:rPr>
        <w:t xml:space="preserve">буџетском систему </w:t>
      </w:r>
      <w:r w:rsidR="003917D5" w:rsidRPr="00092ED7">
        <w:rPr>
          <w:rFonts w:cs="Times New Roman"/>
          <w:szCs w:val="24"/>
          <w:lang w:val="sr-Cyrl-CS"/>
        </w:rPr>
        <w:t>(„Службени гласник РС”, број</w:t>
      </w:r>
      <w:r w:rsidR="00655755" w:rsidRPr="00092ED7">
        <w:rPr>
          <w:rFonts w:cs="Times New Roman"/>
          <w:szCs w:val="24"/>
          <w:lang w:val="sr-Cyrl-CS"/>
        </w:rPr>
        <w:t xml:space="preserve"> </w:t>
      </w:r>
      <w:r w:rsidR="002D1D1E" w:rsidRPr="00092ED7">
        <w:rPr>
          <w:rFonts w:cs="Times New Roman"/>
          <w:szCs w:val="24"/>
          <w:lang w:val="sr-Cyrl-CS"/>
        </w:rPr>
        <w:t>149/20)</w:t>
      </w:r>
      <w:r w:rsidR="002D1D1E" w:rsidRPr="00092ED7">
        <w:rPr>
          <w:rFonts w:eastAsia="MS PGothic" w:cs="Times New Roman"/>
          <w:bCs/>
          <w:iCs/>
          <w:szCs w:val="24"/>
          <w:lang w:val="sr-Cyrl-CS" w:eastAsia="ja-JP"/>
        </w:rPr>
        <w:t xml:space="preserve"> </w:t>
      </w:r>
      <w:r w:rsidRPr="00092ED7">
        <w:rPr>
          <w:lang w:val="sr-Cyrl-CS" w:eastAsia="ja-JP"/>
        </w:rPr>
        <w:t>како би било омогућено да у прелазном периоду институције могу да ангажују нова лица до нивоа од 70% оних који напуштају институцију или одлазе у пензију, док је дозвола Комисије потребна уколико број новозапослених пређе 70%. Смисао ове мере је да се обезбеди већа флексибилност у запошљавању на нивоу самих институција, у складу с њиховим потребама за новим кадровима. Такође, постављен је и лимит од 1% за повећање укупног броја запослених на неодређено време у односу на ниво с краја 2020. године. У току је и израда електронског регистра запослених у јавном сектору „Искра”, који би требало да буде имплементиран до краја 2023. године, а пилот пројекат који обухвата запослене у Министарству финансија је већ оперативан. Суштина овог система је боље планирање, извршење и контрола расхода за плате запослених, већа транспарентност и боље управљање људским ресурсима. Системом ће бити обухваћено преко 450.000 запослених у јавном сектору, а ван система ће остати само запослени у сектору одбране, безбедности и унутрашњих послова и институције вишег и високог образовања.</w:t>
      </w:r>
    </w:p>
    <w:p w14:paraId="583A42D4" w14:textId="77777777" w:rsidR="00A06946" w:rsidRPr="00092ED7" w:rsidRDefault="00A06946" w:rsidP="00A06946">
      <w:pPr>
        <w:spacing w:after="60"/>
        <w:rPr>
          <w:lang w:val="sr-Cyrl-CS" w:eastAsia="ja-JP"/>
        </w:rPr>
      </w:pPr>
      <w:r w:rsidRPr="00092ED7">
        <w:rPr>
          <w:lang w:val="sr-Cyrl-CS" w:eastAsia="ja-JP"/>
        </w:rPr>
        <w:t>У циљу смањења различитих облика буџетске подршке јавним и државним предузећима наставља се са њиховим реформама. Смањење буџетске подршке овим предузећима подразумева: а) ограничење директних и индиректних субвенција, б) забрану издавања гаранција за подршку ликвидности (осим у случају осигурања неометаног снабдевања тржишта енергентима за ЈП „Србијагас” и ЈП ЕПС) и в) јачање одговорности и транспарентности у пословању ових предузећа, укључујући и контролу и смањење доцњи у плаћањима, нарочито према ЈП ЕПС и ЈП „Србијагас” и превенцију њиховог гомилања у будућности.</w:t>
      </w:r>
    </w:p>
    <w:p w14:paraId="4E229602" w14:textId="7B33206B" w:rsidR="00A06946" w:rsidRPr="00092ED7" w:rsidRDefault="00A06946" w:rsidP="002D1D1E">
      <w:pPr>
        <w:rPr>
          <w:rFonts w:eastAsia="MS PGothic" w:cs="Times New Roman"/>
          <w:bCs/>
          <w:iCs/>
          <w:szCs w:val="24"/>
          <w:lang w:val="sr-Cyrl-CS" w:eastAsia="ja-JP"/>
        </w:rPr>
      </w:pPr>
      <w:r w:rsidRPr="00092ED7">
        <w:rPr>
          <w:lang w:val="sr-Cyrl-CS" w:eastAsia="ja-JP"/>
        </w:rPr>
        <w:t>Влада је, уз подршку ЕБРД, усвојила Стратегију државног власништва и управљања привредним субјектима који су у власништву Републике Србије за период од 2021. до 2027. године</w:t>
      </w:r>
      <w:r w:rsidR="002D1D1E" w:rsidRPr="00092ED7">
        <w:rPr>
          <w:lang w:val="sr-Cyrl-CS" w:eastAsia="ja-JP"/>
        </w:rPr>
        <w:t xml:space="preserve"> </w:t>
      </w:r>
      <w:r w:rsidR="002D1D1E" w:rsidRPr="00092ED7">
        <w:rPr>
          <w:rFonts w:cs="Times New Roman"/>
          <w:szCs w:val="24"/>
          <w:lang w:val="sr-Cyrl-CS"/>
        </w:rPr>
        <w:t>(„Службени гласник РС”, број 3</w:t>
      </w:r>
      <w:r w:rsidR="00E561DE" w:rsidRPr="00092ED7">
        <w:rPr>
          <w:rFonts w:cs="Times New Roman"/>
          <w:szCs w:val="24"/>
          <w:lang w:val="sr-Cyrl-CS"/>
        </w:rPr>
        <w:t>6</w:t>
      </w:r>
      <w:r w:rsidR="002D1D1E" w:rsidRPr="00092ED7">
        <w:rPr>
          <w:rFonts w:cs="Times New Roman"/>
          <w:szCs w:val="24"/>
          <w:lang w:val="sr-Cyrl-CS"/>
        </w:rPr>
        <w:t>/21)</w:t>
      </w:r>
      <w:r w:rsidR="002D1D1E" w:rsidRPr="00092ED7">
        <w:rPr>
          <w:rFonts w:eastAsia="MS PGothic" w:cs="Times New Roman"/>
          <w:bCs/>
          <w:iCs/>
          <w:szCs w:val="24"/>
          <w:lang w:val="sr-Cyrl-CS" w:eastAsia="ja-JP"/>
        </w:rPr>
        <w:t xml:space="preserve"> </w:t>
      </w:r>
      <w:r w:rsidRPr="00092ED7">
        <w:rPr>
          <w:lang w:val="sr-Cyrl-CS" w:eastAsia="ja-JP"/>
        </w:rPr>
        <w:t>као јединствени акт који пружа стратешку визију и упутства у вези са циљевима власничког управљања, циљевима финансијских и јавних политика, као и принципима корпоративног управљања и праксама надзора у складу са међународним стандардима и најбољом праксом.</w:t>
      </w:r>
    </w:p>
    <w:p w14:paraId="1FE1A026" w14:textId="1A7FF4A4" w:rsidR="00A06946" w:rsidRPr="00092ED7" w:rsidRDefault="00A06946" w:rsidP="00A06946">
      <w:pPr>
        <w:spacing w:after="60"/>
        <w:rPr>
          <w:lang w:val="sr-Cyrl-CS" w:eastAsia="ja-JP"/>
        </w:rPr>
      </w:pPr>
      <w:r w:rsidRPr="00092ED7">
        <w:rPr>
          <w:lang w:val="sr-Cyrl-CS" w:eastAsia="ja-JP"/>
        </w:rPr>
        <w:t>За предузећа која чине стратешке компаније из портфолија бивше Агенције за приватизацију, решење се налази или кроз приватизационе тендере или кроз стечај. За саобраћајно предузеће „Ласта” АД Београд тражиће се компаније заинтересоване за приватизацију или стратешко партнерство. Уз подршку Светске банке дефинисан је акциони план за Ј</w:t>
      </w:r>
      <w:r w:rsidR="002D1D1E" w:rsidRPr="00092ED7">
        <w:rPr>
          <w:lang w:val="sr-Cyrl-CS" w:eastAsia="ja-JP"/>
        </w:rPr>
        <w:t>авно предузеће</w:t>
      </w:r>
      <w:r w:rsidRPr="00092ED7">
        <w:rPr>
          <w:lang w:val="sr-Cyrl-CS" w:eastAsia="ja-JP"/>
        </w:rPr>
        <w:t xml:space="preserve"> </w:t>
      </w:r>
      <w:r w:rsidR="002D1D1E" w:rsidRPr="00092ED7">
        <w:rPr>
          <w:lang w:val="sr-Cyrl-CS" w:eastAsia="ja-JP"/>
        </w:rPr>
        <w:t xml:space="preserve">за подземну експлоатацију угља </w:t>
      </w:r>
      <w:r w:rsidRPr="00092ED7">
        <w:rPr>
          <w:lang w:val="sr-Cyrl-CS" w:eastAsia="ja-JP"/>
        </w:rPr>
        <w:t>„Ресавица”</w:t>
      </w:r>
      <w:r w:rsidR="002D1D1E" w:rsidRPr="00092ED7">
        <w:rPr>
          <w:lang w:val="sr-Cyrl-CS" w:eastAsia="ja-JP"/>
        </w:rPr>
        <w:t xml:space="preserve"> (у даљем тексту: ЈП ПЕУ „Ресавица</w:t>
      </w:r>
      <w:r w:rsidR="00E561DE" w:rsidRPr="00092ED7">
        <w:rPr>
          <w:rFonts w:cs="Times New Roman"/>
          <w:lang w:val="sr-Cyrl-CS" w:eastAsia="ja-JP"/>
        </w:rPr>
        <w:t>ˮ</w:t>
      </w:r>
      <w:r w:rsidR="002D1D1E" w:rsidRPr="00092ED7">
        <w:rPr>
          <w:lang w:val="sr-Cyrl-CS" w:eastAsia="ja-JP"/>
        </w:rPr>
        <w:t>)</w:t>
      </w:r>
      <w:r w:rsidRPr="00092ED7">
        <w:rPr>
          <w:lang w:val="sr-Cyrl-CS" w:eastAsia="ja-JP"/>
        </w:rPr>
        <w:t xml:space="preserve">, чије спровођење укључује проналажење решења за затварање економски неодрживих рудника и план рационализације, уз могућност добровољног одласка уз обезбеђена средства за социјални програм и средства за подршку пословању како не би дошло до гомилања доцњи у плаћањима, нарочито према ЈП ЕПС. За ХИП – Петрохемија </w:t>
      </w:r>
      <w:r w:rsidR="002D1D1E" w:rsidRPr="00092ED7">
        <w:rPr>
          <w:lang w:val="sr-Cyrl-CS" w:eastAsia="ja-JP"/>
        </w:rPr>
        <w:t xml:space="preserve">а.д. Панчево </w:t>
      </w:r>
      <w:r w:rsidRPr="00092ED7">
        <w:rPr>
          <w:lang w:val="sr-Cyrl-CS" w:eastAsia="ja-JP"/>
        </w:rPr>
        <w:t>споразум о приватизацији је постигнут у децембру 2021. године с компанијом НИС, а окончање поступка је планирано до краја ове године.</w:t>
      </w:r>
    </w:p>
    <w:p w14:paraId="2DC987FB" w14:textId="675D9D1F" w:rsidR="00A06946" w:rsidRPr="00092ED7" w:rsidRDefault="00A06946" w:rsidP="00A06946">
      <w:pPr>
        <w:spacing w:after="60"/>
        <w:rPr>
          <w:lang w:val="sr-Cyrl-CS" w:eastAsia="ja-JP"/>
        </w:rPr>
      </w:pPr>
      <w:r w:rsidRPr="00092ED7">
        <w:rPr>
          <w:lang w:val="sr-Cyrl-CS" w:eastAsia="ja-JP"/>
        </w:rPr>
        <w:lastRenderedPageBreak/>
        <w:t>За одређени број компанија у државном власништву се траже стратешки партнери или други модели приватизације, односно спровођење унапред припремљених планова реорганизације.</w:t>
      </w:r>
    </w:p>
    <w:p w14:paraId="2772682D" w14:textId="39D8E702" w:rsidR="00A06946" w:rsidRPr="00092ED7" w:rsidRDefault="00A06946" w:rsidP="00A06946">
      <w:pPr>
        <w:spacing w:after="60"/>
        <w:rPr>
          <w:lang w:val="sr-Cyrl-CS" w:eastAsia="ja-JP"/>
        </w:rPr>
      </w:pPr>
      <w:r w:rsidRPr="00092ED7">
        <w:rPr>
          <w:lang w:val="sr-Cyrl-CS" w:eastAsia="ja-JP"/>
        </w:rPr>
        <w:t>Побољшање управљања јавним финансијама је нужно, не само као подршка мерама фискалне стабилизације и структурним реформама, већ као процес који подиже квалитет државне управе и осигурава привлачан амбијент за инвеститоре. Нови Програм реформе управљања јавним финансијама за период 2021–2025. године</w:t>
      </w:r>
      <w:r w:rsidR="00BF6EA6" w:rsidRPr="00092ED7">
        <w:rPr>
          <w:lang w:val="sr-Cyrl-CS" w:eastAsia="ja-JP"/>
        </w:rPr>
        <w:t xml:space="preserve"> </w:t>
      </w:r>
      <w:r w:rsidR="00BF6EA6" w:rsidRPr="00092ED7">
        <w:rPr>
          <w:rFonts w:cs="Times New Roman"/>
          <w:szCs w:val="24"/>
          <w:lang w:val="sr-Cyrl-CS"/>
        </w:rPr>
        <w:t>(„Службени гласник РС”, број 70/21</w:t>
      </w:r>
      <w:r w:rsidR="00DB6C56" w:rsidRPr="00092ED7">
        <w:rPr>
          <w:rFonts w:cs="Times New Roman"/>
          <w:szCs w:val="24"/>
          <w:lang w:val="sr-Cyrl-CS"/>
        </w:rPr>
        <w:t>, у даљем тексту: ПРУЈФ</w:t>
      </w:r>
      <w:r w:rsidR="00BF6EA6" w:rsidRPr="00092ED7">
        <w:rPr>
          <w:rFonts w:cs="Times New Roman"/>
          <w:szCs w:val="24"/>
          <w:lang w:val="sr-Cyrl-CS"/>
        </w:rPr>
        <w:t xml:space="preserve">) </w:t>
      </w:r>
      <w:r w:rsidRPr="00092ED7">
        <w:rPr>
          <w:lang w:val="sr-Cyrl-CS" w:eastAsia="ja-JP"/>
        </w:rPr>
        <w:t>усвојен је у јуну 2021. године.</w:t>
      </w:r>
      <w:r w:rsidR="00C347D8" w:rsidRPr="00092ED7">
        <w:rPr>
          <w:lang w:val="sr-Cyrl-CS" w:eastAsia="ja-JP"/>
        </w:rPr>
        <w:t xml:space="preserve"> У 2023. години планира се ревизија акционог плана како би, поред осталог, укључио различите активности у области управљања јавним финансијама које се односе на зелену транзицију.</w:t>
      </w:r>
    </w:p>
    <w:p w14:paraId="6B133E77" w14:textId="49461AC5" w:rsidR="00A06946" w:rsidRPr="00092ED7" w:rsidRDefault="00A06946" w:rsidP="00A06946">
      <w:pPr>
        <w:spacing w:after="60"/>
        <w:rPr>
          <w:lang w:val="sr-Cyrl-CS" w:eastAsia="ja-JP"/>
        </w:rPr>
      </w:pPr>
      <w:r w:rsidRPr="00092ED7">
        <w:rPr>
          <w:lang w:val="sr-Cyrl-CS" w:eastAsia="ja-JP"/>
        </w:rPr>
        <w:t>Област управљања јавним финансијама којој је озбиљно посвећена пажња и на чијем се унапређењу ради је управљање јавним инвестицијама. Јачањем оквира управљања јавним инвестицијама интензивирају се нови инфраструктурни пројекти и подиже квалитет постојеће инфраструктуре. У априлу 2018. године усвојен је Закон о планском систему Републике Србије</w:t>
      </w:r>
      <w:r w:rsidR="00BF6EA6" w:rsidRPr="00092ED7">
        <w:rPr>
          <w:rFonts w:cs="Times New Roman"/>
          <w:szCs w:val="24"/>
          <w:lang w:val="sr-Cyrl-CS"/>
        </w:rPr>
        <w:t xml:space="preserve"> </w:t>
      </w:r>
      <w:r w:rsidRPr="00092ED7">
        <w:rPr>
          <w:lang w:val="sr-Cyrl-CS" w:eastAsia="ja-JP"/>
        </w:rPr>
        <w:t>којим је успостављен национални оквир за планирање и којим су дефинисани План развоја и Инвестициони план. Систем управљања јавним инвестицјама, који се развија уз помоћ Светске банке, укључује интегрисану базу података о инвестиционим пројектима, која је тренутно у развоју и успостављену јединствену листу приоритетних пројеката (</w:t>
      </w:r>
      <w:r w:rsidRPr="00092ED7">
        <w:rPr>
          <w:i/>
          <w:lang w:val="sr-Cyrl-CS" w:eastAsia="ja-JP"/>
        </w:rPr>
        <w:t>Single Project Pipeline</w:t>
      </w:r>
      <w:r w:rsidRPr="00092ED7">
        <w:rPr>
          <w:lang w:val="sr-Cyrl-CS" w:eastAsia="ja-JP"/>
        </w:rPr>
        <w:t>). Систем ће почетком 2023. године постати потпуно функционалан за пројекте који су у фази имплементације. У наредном периоду систем ће укључити и пројекте који су у фази која претходи имплементацији, а током 2024. и 2025. године прошириће обухват на национални ниво, укључујући и локалне информационе системе.</w:t>
      </w:r>
    </w:p>
    <w:p w14:paraId="5C505D4E" w14:textId="77777777" w:rsidR="00A06946" w:rsidRPr="00092ED7" w:rsidRDefault="00A06946" w:rsidP="00A06946">
      <w:pPr>
        <w:spacing w:after="60"/>
        <w:rPr>
          <w:lang w:val="sr-Cyrl-CS" w:eastAsia="ja-JP"/>
        </w:rPr>
      </w:pPr>
      <w:r w:rsidRPr="00092ED7">
        <w:rPr>
          <w:lang w:val="sr-Cyrl-CS" w:eastAsia="ja-JP"/>
        </w:rPr>
        <w:t>Јавно-приватна партнерства (</w:t>
      </w:r>
      <w:r w:rsidRPr="00092ED7">
        <w:rPr>
          <w:i/>
          <w:lang w:val="sr-Cyrl-CS" w:eastAsia="ja-JP"/>
        </w:rPr>
        <w:t>Public-Private Partnerships</w:t>
      </w:r>
      <w:r w:rsidRPr="00092ED7">
        <w:rPr>
          <w:lang w:val="sr-Cyrl-CS" w:eastAsia="ja-JP"/>
        </w:rPr>
        <w:t xml:space="preserve"> – PPP), као специфичан вид сарадње државе и приватног сектора захтевају посебну пажњу и опрез, стога ће Министарство финансија и даље пратити пројекте од посебног значаја током њихове имплементације и о томе обавештавати Владу.</w:t>
      </w:r>
    </w:p>
    <w:p w14:paraId="2CEAD972" w14:textId="217DD7ED" w:rsidR="00B23548" w:rsidRPr="00092ED7" w:rsidRDefault="00A06946" w:rsidP="00B640AF">
      <w:pPr>
        <w:rPr>
          <w:rFonts w:eastAsia="Calibri" w:cs="Times New Roman"/>
          <w:b/>
          <w:szCs w:val="28"/>
          <w:lang w:val="sr-Cyrl-CS"/>
        </w:rPr>
      </w:pPr>
      <w:bookmarkStart w:id="30" w:name="_Hlk125530936"/>
      <w:r w:rsidRPr="00092ED7">
        <w:rPr>
          <w:lang w:val="sr-Cyrl-CS" w:eastAsia="ja-JP"/>
        </w:rPr>
        <w:t xml:space="preserve">Нови </w:t>
      </w:r>
      <w:r w:rsidR="00A252B4" w:rsidRPr="00092ED7">
        <w:rPr>
          <w:lang w:val="sr-Cyrl-CS" w:eastAsia="ja-JP"/>
        </w:rPr>
        <w:t xml:space="preserve">Програм </w:t>
      </w:r>
      <w:r w:rsidRPr="00092ED7">
        <w:rPr>
          <w:lang w:val="sr-Cyrl-CS" w:eastAsia="ja-JP"/>
        </w:rPr>
        <w:t xml:space="preserve">трансформације Пореске управе за период 2021–2025. године </w:t>
      </w:r>
      <w:r w:rsidR="00A252B4" w:rsidRPr="00092ED7">
        <w:rPr>
          <w:lang w:val="sr-Cyrl-CS" w:eastAsia="ja-JP"/>
        </w:rPr>
        <w:t xml:space="preserve">који је </w:t>
      </w:r>
      <w:r w:rsidRPr="00092ED7">
        <w:rPr>
          <w:lang w:val="sr-Cyrl-CS" w:eastAsia="ja-JP"/>
        </w:rPr>
        <w:t xml:space="preserve">усвојен </w:t>
      </w:r>
      <w:r w:rsidR="00A252B4" w:rsidRPr="00092ED7">
        <w:rPr>
          <w:lang w:val="sr-Cyrl-CS" w:eastAsia="ja-JP"/>
        </w:rPr>
        <w:t xml:space="preserve">Закључком Владе 05 </w:t>
      </w:r>
      <w:r w:rsidR="00E561DE" w:rsidRPr="00092ED7">
        <w:rPr>
          <w:lang w:val="sr-Cyrl-CS" w:eastAsia="ja-JP"/>
        </w:rPr>
        <w:t>Б</w:t>
      </w:r>
      <w:r w:rsidR="00A252B4" w:rsidRPr="00092ED7">
        <w:rPr>
          <w:lang w:val="sr-Cyrl-CS" w:eastAsia="ja-JP"/>
        </w:rPr>
        <w:t>рој</w:t>
      </w:r>
      <w:r w:rsidR="00E561DE" w:rsidRPr="00092ED7">
        <w:rPr>
          <w:lang w:val="sr-Cyrl-CS" w:eastAsia="ja-JP"/>
        </w:rPr>
        <w:t>:</w:t>
      </w:r>
      <w:r w:rsidR="00A252B4" w:rsidRPr="00092ED7">
        <w:rPr>
          <w:lang w:val="sr-Cyrl-CS" w:eastAsia="ja-JP"/>
        </w:rPr>
        <w:t xml:space="preserve"> 021-4298/2021-3 од 20. маја</w:t>
      </w:r>
      <w:r w:rsidRPr="00092ED7">
        <w:rPr>
          <w:lang w:val="sr-Cyrl-CS" w:eastAsia="ja-JP"/>
        </w:rPr>
        <w:t xml:space="preserve"> 2021</w:t>
      </w:r>
      <w:bookmarkEnd w:id="30"/>
      <w:r w:rsidRPr="00092ED7">
        <w:rPr>
          <w:lang w:val="sr-Cyrl-CS" w:eastAsia="ja-JP"/>
        </w:rPr>
        <w:t xml:space="preserve">. године, дефинише стратешке смернице и временске рокове у којим ће бити спроведене активности потребне за стварање модерне пореске администрације, која ће, уз коришћење савремених електронских процеса, пружити бољу и свеобухватнију услугу пореским обвезницима и бољу контролу и наплату прихода, односно поспешити борбу против сиве економије, заједно са реформом и модернизацијом инспекцијског надзора. Спроведено је организационо раздвајање основних активности од оних које се сматрају споредним, с тим да се основне активности сад обављају у мањем броју организационих јединица, односно извршена је њихова консолидација. Анализа пословних процеса и потребних ресурса, омогућиће развијање адекватне организационе структуре и менаџмента, унапређење управљања пројектима и дизајн адекватне структуре запослених. Следећа фаза реформи је усмерена на информационе системе. У мају </w:t>
      </w:r>
      <w:r w:rsidR="003E15A5" w:rsidRPr="00092ED7">
        <w:rPr>
          <w:lang w:val="sr-Cyrl-CS" w:eastAsia="ja-JP"/>
        </w:rPr>
        <w:t xml:space="preserve">2022. </w:t>
      </w:r>
      <w:r w:rsidRPr="00092ED7">
        <w:rPr>
          <w:lang w:val="sr-Cyrl-CS" w:eastAsia="ja-JP"/>
        </w:rPr>
        <w:t xml:space="preserve">године уведен је нови модел фискализације (е-фискализација), који ће омогућити контролу у реалном времену, смањити трошкове, повећати ефикасност и створити боље пословно окружење. Систем за електронску размену фактура је следећи корак и очекује се да буде имплементиран почетком 2023. године. Усвајањем Закона о утврђивању порекла имовине и посебном порезу </w:t>
      </w:r>
      <w:bookmarkStart w:id="31" w:name="_Hlk125524937"/>
      <w:r w:rsidR="00BF6EA6" w:rsidRPr="00092ED7">
        <w:rPr>
          <w:rFonts w:cs="Times New Roman"/>
          <w:szCs w:val="24"/>
          <w:lang w:val="sr-Cyrl-CS"/>
        </w:rPr>
        <w:t xml:space="preserve">(„Службени гласник РС”, бр. 18/20 </w:t>
      </w:r>
      <w:bookmarkEnd w:id="31"/>
      <w:r w:rsidR="00BF6EA6" w:rsidRPr="00092ED7">
        <w:rPr>
          <w:rFonts w:cs="Times New Roman"/>
          <w:szCs w:val="24"/>
          <w:lang w:val="sr-Cyrl-CS"/>
        </w:rPr>
        <w:t>и 18/21)</w:t>
      </w:r>
      <w:r w:rsidR="00BF6EA6" w:rsidRPr="00092ED7">
        <w:rPr>
          <w:rFonts w:eastAsia="MS PGothic" w:cs="Times New Roman"/>
          <w:bCs/>
          <w:iCs/>
          <w:szCs w:val="24"/>
          <w:lang w:val="sr-Cyrl-CS" w:eastAsia="ja-JP"/>
        </w:rPr>
        <w:t xml:space="preserve"> </w:t>
      </w:r>
      <w:r w:rsidRPr="00092ED7">
        <w:rPr>
          <w:lang w:val="sr-Cyrl-CS" w:eastAsia="ja-JP"/>
        </w:rPr>
        <w:t>и образовањем посебне организационе јединице Пореске управе, створили су се услови за унакрсну анализу имовине и прихода лица, а прве ревизије би требало да почну до краја године.</w:t>
      </w:r>
    </w:p>
    <w:p w14:paraId="4E1E91D6" w14:textId="4F6566A6" w:rsidR="000C44D1" w:rsidRPr="00092ED7" w:rsidRDefault="00735870" w:rsidP="00063909">
      <w:pPr>
        <w:keepNext/>
        <w:keepLines/>
        <w:spacing w:before="120" w:line="259" w:lineRule="auto"/>
        <w:jc w:val="left"/>
        <w:outlineLvl w:val="1"/>
        <w:rPr>
          <w:rFonts w:eastAsia="Calibri" w:cs="Times New Roman"/>
          <w:b/>
          <w:szCs w:val="28"/>
          <w:lang w:val="sr-Cyrl-CS"/>
        </w:rPr>
      </w:pPr>
      <w:bookmarkStart w:id="32" w:name="_Toc124174801"/>
      <w:r w:rsidRPr="00092ED7">
        <w:rPr>
          <w:rFonts w:eastAsia="Calibri" w:cs="Times New Roman"/>
          <w:b/>
          <w:szCs w:val="28"/>
          <w:lang w:val="sr-Cyrl-CS"/>
        </w:rPr>
        <w:lastRenderedPageBreak/>
        <w:t>4.</w:t>
      </w:r>
      <w:r w:rsidR="000C44D1" w:rsidRPr="00092ED7">
        <w:rPr>
          <w:rFonts w:eastAsia="Calibri" w:cs="Times New Roman"/>
          <w:b/>
          <w:szCs w:val="28"/>
          <w:lang w:val="sr-Cyrl-CS"/>
        </w:rPr>
        <w:t>8. ФИСКАЛНО УПРАВЉАЊЕ И БУЏЕТСКИ ОКВИРИ</w:t>
      </w:r>
      <w:bookmarkEnd w:id="32"/>
    </w:p>
    <w:p w14:paraId="05CDA58C" w14:textId="17D51CAC" w:rsidR="00A06946" w:rsidRPr="00092ED7" w:rsidRDefault="00A06946" w:rsidP="00A06946">
      <w:pPr>
        <w:spacing w:after="60"/>
        <w:rPr>
          <w:lang w:val="sr-Cyrl-CS" w:eastAsia="ja-JP"/>
        </w:rPr>
      </w:pPr>
      <w:r w:rsidRPr="00092ED7">
        <w:rPr>
          <w:lang w:val="sr-Cyrl-CS" w:eastAsia="ja-JP"/>
        </w:rPr>
        <w:t xml:space="preserve">Како би се обезбедила стабилност и одрживост јавних финансија на дужи рок потребан је функционалан систем фискалних правила. Фискална правила по први пут су уведена Законом о буџетском систему 2010. године. Република Србија је била једна од првих земаља која је законом утврдила национална фискална правила и оформила независну институцију Фискални савет који оцењује Владину економску и фискалну политику, као и поштовање правила. Како су правила постала важећа у току светске економске кризе, нумеричко правило за дуг прекршено је већ у првој години примене. У међувремену фискална правила уводило је све више земаља, поред националних фискалних правила земље чланице ЕУ примењују и правила дефинисана на нивоу ЕУ и ЕМУ. Европска фискална правила су у неколико наврата мењана и редефинисана имајући у виду примену и ефекте до којих је примена правила доводила. Имајући у виду да је од увођења фискалних правила у Републици Србији протекло </w:t>
      </w:r>
      <w:r w:rsidR="00182335" w:rsidRPr="00092ED7">
        <w:rPr>
          <w:lang w:val="sr-Cyrl-CS" w:eastAsia="ja-JP"/>
        </w:rPr>
        <w:t xml:space="preserve">12 </w:t>
      </w:r>
      <w:r w:rsidRPr="00092ED7">
        <w:rPr>
          <w:lang w:val="sr-Cyrl-CS" w:eastAsia="ja-JP"/>
        </w:rPr>
        <w:t>година, створили су се услови за њихову измену, узимајући у обзир искуства других земаља, праваца у којима су се мењала фискална правила ЕУ, последице и реаговања фискалне политике на велику економску кризу из 2008. године, али и искуство последње, пре свега здравствене, али и економске кризе коју је изазвала пандемија корона</w:t>
      </w:r>
      <w:r w:rsidR="00B94430" w:rsidRPr="00092ED7">
        <w:rPr>
          <w:lang w:val="sr-Cyrl-CS" w:eastAsia="ja-JP"/>
        </w:rPr>
        <w:t xml:space="preserve"> </w:t>
      </w:r>
      <w:r w:rsidRPr="00092ED7">
        <w:rPr>
          <w:lang w:val="sr-Cyrl-CS" w:eastAsia="ja-JP"/>
        </w:rPr>
        <w:t>вируса, а након тога и криза изазвана конфликтом у Украјини.</w:t>
      </w:r>
    </w:p>
    <w:p w14:paraId="3D54A76E" w14:textId="2C53D574" w:rsidR="00A06946" w:rsidRPr="00092ED7" w:rsidRDefault="00FF70FD" w:rsidP="00A06946">
      <w:pPr>
        <w:spacing w:after="60"/>
        <w:rPr>
          <w:lang w:val="sr-Cyrl-CS" w:eastAsia="ja-JP"/>
        </w:rPr>
      </w:pPr>
      <w:r w:rsidRPr="00092ED7">
        <w:rPr>
          <w:lang w:val="sr-Cyrl-CS" w:eastAsia="ja-JP"/>
        </w:rPr>
        <w:t xml:space="preserve">Крајем 2022. године усвојене су измене  </w:t>
      </w:r>
      <w:r w:rsidR="00A06946" w:rsidRPr="00092ED7">
        <w:rPr>
          <w:lang w:val="sr-Cyrl-CS" w:eastAsia="ja-JP"/>
        </w:rPr>
        <w:t xml:space="preserve">Закона о буџетском систему којим </w:t>
      </w:r>
      <w:r w:rsidRPr="00092ED7">
        <w:rPr>
          <w:lang w:val="sr-Cyrl-CS" w:eastAsia="ja-JP"/>
        </w:rPr>
        <w:t xml:space="preserve">је </w:t>
      </w:r>
      <w:r w:rsidR="00A06946" w:rsidRPr="00092ED7">
        <w:rPr>
          <w:lang w:val="sr-Cyrl-CS" w:eastAsia="ja-JP"/>
        </w:rPr>
        <w:t xml:space="preserve">дефинисан нови сет фискалних правила – </w:t>
      </w:r>
      <w:r w:rsidRPr="00092ED7">
        <w:rPr>
          <w:lang w:val="sr-Cyrl-CS" w:eastAsia="ja-JP"/>
        </w:rPr>
        <w:t>фискално правило</w:t>
      </w:r>
      <w:r w:rsidR="00A06946" w:rsidRPr="00092ED7">
        <w:rPr>
          <w:lang w:val="sr-Cyrl-CS" w:eastAsia="ja-JP"/>
        </w:rPr>
        <w:t xml:space="preserve"> којим је прописан ниво дефицита опште државе у зависности од нивоа јавног дуга опште државе, у примени од 2025. године, с обзиром да су нивои дефицита прописани за 2023. и 2024. годину на вишем нивоу, услед енергетске кризе и екстерних фактора, а путања фискалног опоравка одређена у складу с новим аранжманом са ММФ и фискална правила којима се регулише ниво расхода за плате опште државе и пензије која </w:t>
      </w:r>
      <w:r w:rsidR="00E561DE" w:rsidRPr="00092ED7">
        <w:rPr>
          <w:lang w:val="sr-Cyrl-CS" w:eastAsia="ja-JP"/>
        </w:rPr>
        <w:t>су</w:t>
      </w:r>
      <w:r w:rsidR="00A06946" w:rsidRPr="00092ED7">
        <w:rPr>
          <w:lang w:val="sr-Cyrl-CS" w:eastAsia="ja-JP"/>
        </w:rPr>
        <w:t xml:space="preserve"> ступила на снагу заједно са Законом о буџету за 2023. годину. Одступање од ових правила је могуће само изузетно и привремено, и то у случајевима природних катастрофа и екстерних шокова који утичу на угрожавање здравља људи, националне безбедности и значајан пад привредне активности.</w:t>
      </w:r>
    </w:p>
    <w:p w14:paraId="73A7E9F2" w14:textId="77777777" w:rsidR="00A06946" w:rsidRPr="00092ED7" w:rsidRDefault="00A06946" w:rsidP="00A06946">
      <w:pPr>
        <w:spacing w:after="60"/>
        <w:rPr>
          <w:lang w:val="sr-Cyrl-CS" w:eastAsia="ja-JP"/>
        </w:rPr>
      </w:pPr>
      <w:r w:rsidRPr="00092ED7">
        <w:rPr>
          <w:rFonts w:ascii="Calibri" w:eastAsia="Calibri" w:hAnsi="Calibri" w:cs="Calibri"/>
          <w:noProof/>
          <w:color w:val="44546A"/>
          <w:spacing w:val="-2"/>
          <w:szCs w:val="20"/>
        </w:rPr>
        <w:lastRenderedPageBreak/>
        <mc:AlternateContent>
          <mc:Choice Requires="wps">
            <w:drawing>
              <wp:inline distT="0" distB="0" distL="0" distR="0" wp14:anchorId="670DC916" wp14:editId="16E82BF5">
                <wp:extent cx="5715000" cy="6219825"/>
                <wp:effectExtent l="0" t="0" r="19050" b="2857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0" cy="6219825"/>
                        </a:xfrm>
                        <a:prstGeom prst="rect">
                          <a:avLst/>
                        </a:prstGeom>
                        <a:solidFill>
                          <a:srgbClr val="FFFFFF"/>
                        </a:solidFill>
                        <a:ln w="6350">
                          <a:solidFill>
                            <a:schemeClr val="tx1"/>
                          </a:solidFill>
                          <a:miter lim="800000"/>
                          <a:headEnd/>
                          <a:tailEnd/>
                        </a:ln>
                      </wps:spPr>
                      <wps:txbx>
                        <w:txbxContent>
                          <w:p w14:paraId="12E64525" w14:textId="247135D5" w:rsidR="00815ACD" w:rsidRDefault="00815ACD" w:rsidP="00EF262F">
                            <w:pPr>
                              <w:spacing w:before="120"/>
                              <w:rPr>
                                <w:b/>
                                <w:lang w:val="sr-Cyrl-RS"/>
                              </w:rPr>
                            </w:pPr>
                            <w:r>
                              <w:rPr>
                                <w:b/>
                                <w:lang w:val="sr-Cyrl-RS"/>
                              </w:rPr>
                              <w:t>Н</w:t>
                            </w:r>
                            <w:r w:rsidRPr="00E561DE">
                              <w:rPr>
                                <w:b/>
                                <w:lang w:val="sr-Cyrl-RS"/>
                              </w:rPr>
                              <w:t>ов</w:t>
                            </w:r>
                            <w:r>
                              <w:rPr>
                                <w:b/>
                                <w:lang w:val="sr-Cyrl-RS"/>
                              </w:rPr>
                              <w:t>и</w:t>
                            </w:r>
                            <w:r w:rsidRPr="00E561DE">
                              <w:rPr>
                                <w:b/>
                                <w:lang w:val="sr-Cyrl-RS"/>
                              </w:rPr>
                              <w:t xml:space="preserve"> сет фискалних правила:</w:t>
                            </w:r>
                          </w:p>
                          <w:p w14:paraId="26F75B9C" w14:textId="77777777" w:rsidR="00815ACD" w:rsidRDefault="00815ACD" w:rsidP="00A06946">
                            <w:pPr>
                              <w:rPr>
                                <w:lang w:val="sr-Cyrl-RS"/>
                              </w:rPr>
                            </w:pPr>
                            <w:r>
                              <w:rPr>
                                <w:lang w:val="sr-Cyrl-RS"/>
                              </w:rPr>
                              <w:t>Општа фискална правила:</w:t>
                            </w:r>
                          </w:p>
                          <w:p w14:paraId="7A8227DD" w14:textId="77777777" w:rsidR="00815ACD" w:rsidRPr="00E561DE" w:rsidRDefault="00815ACD" w:rsidP="00815ACD">
                            <w:pPr>
                              <w:pStyle w:val="ListParagraph"/>
                              <w:numPr>
                                <w:ilvl w:val="0"/>
                                <w:numId w:val="102"/>
                              </w:numPr>
                              <w:spacing w:after="160" w:line="259" w:lineRule="auto"/>
                              <w:rPr>
                                <w:sz w:val="24"/>
                                <w:szCs w:val="24"/>
                                <w:lang w:val="sr-Cyrl-RS"/>
                              </w:rPr>
                            </w:pPr>
                            <w:r w:rsidRPr="00E561DE">
                              <w:rPr>
                                <w:sz w:val="24"/>
                                <w:szCs w:val="24"/>
                                <w:lang w:val="sr-Cyrl-RS"/>
                              </w:rPr>
                              <w:t>дуг сектора државе, укључујући обавезе по основу реституције, неће бити већи од 60% БДП.</w:t>
                            </w:r>
                          </w:p>
                          <w:p w14:paraId="6E405254" w14:textId="77777777" w:rsidR="00815ACD" w:rsidRPr="00E561DE" w:rsidRDefault="00815ACD" w:rsidP="00815ACD">
                            <w:pPr>
                              <w:pStyle w:val="ListParagraph"/>
                              <w:numPr>
                                <w:ilvl w:val="0"/>
                                <w:numId w:val="102"/>
                              </w:numPr>
                              <w:spacing w:after="160" w:line="259" w:lineRule="auto"/>
                              <w:rPr>
                                <w:sz w:val="24"/>
                                <w:szCs w:val="24"/>
                                <w:lang w:val="sr-Cyrl-RS"/>
                              </w:rPr>
                            </w:pPr>
                            <w:r w:rsidRPr="00E561DE">
                              <w:rPr>
                                <w:sz w:val="24"/>
                                <w:szCs w:val="24"/>
                                <w:lang w:val="sr-Cyrl-RS"/>
                              </w:rPr>
                              <w:t>циљани средњорочни дефицит је 0,5% БДП.</w:t>
                            </w:r>
                          </w:p>
                          <w:p w14:paraId="34A342E6" w14:textId="77777777" w:rsidR="00815ACD" w:rsidRPr="00E561DE" w:rsidRDefault="00815ACD" w:rsidP="00E561DE">
                            <w:pPr>
                              <w:pStyle w:val="ListParagraph"/>
                              <w:rPr>
                                <w:i/>
                                <w:sz w:val="24"/>
                                <w:szCs w:val="24"/>
                                <w:lang w:val="sr-Cyrl-RS"/>
                              </w:rPr>
                            </w:pPr>
                            <w:r w:rsidRPr="00E561DE">
                              <w:rPr>
                                <w:i/>
                                <w:sz w:val="24"/>
                                <w:szCs w:val="24"/>
                                <w:lang w:val="sr-Cyrl-RS"/>
                              </w:rPr>
                              <w:t>Уколико је дуг сектора државе изнад 60% БДП, фискална позиција сектора државе мора бити уравнотежена, тако да дефицит износи највише 0% БДП.</w:t>
                            </w:r>
                          </w:p>
                          <w:p w14:paraId="764A380F" w14:textId="77777777" w:rsidR="00815ACD" w:rsidRPr="00E561DE" w:rsidRDefault="00815ACD" w:rsidP="00E561DE">
                            <w:pPr>
                              <w:pStyle w:val="ListParagraph"/>
                              <w:rPr>
                                <w:i/>
                                <w:sz w:val="24"/>
                                <w:szCs w:val="24"/>
                                <w:lang w:val="sr-Cyrl-RS"/>
                              </w:rPr>
                            </w:pPr>
                            <w:r w:rsidRPr="00E561DE">
                              <w:rPr>
                                <w:i/>
                                <w:sz w:val="24"/>
                                <w:szCs w:val="24"/>
                                <w:lang w:val="sr-Cyrl-RS"/>
                              </w:rPr>
                              <w:t>Уколико је дуг сектора државе између 55% и 60% БДП дефицит износи највише 0,5% БДП.</w:t>
                            </w:r>
                          </w:p>
                          <w:p w14:paraId="185594BB" w14:textId="77777777" w:rsidR="00815ACD" w:rsidRPr="00E561DE" w:rsidRDefault="00815ACD" w:rsidP="00E561DE">
                            <w:pPr>
                              <w:pStyle w:val="ListParagraph"/>
                              <w:rPr>
                                <w:i/>
                                <w:sz w:val="24"/>
                                <w:szCs w:val="24"/>
                                <w:lang w:val="sr-Cyrl-RS"/>
                              </w:rPr>
                            </w:pPr>
                            <w:r w:rsidRPr="00E561DE">
                              <w:rPr>
                                <w:i/>
                                <w:sz w:val="24"/>
                                <w:szCs w:val="24"/>
                                <w:lang w:val="sr-Cyrl-RS"/>
                              </w:rPr>
                              <w:t>Уколико је дуг сектора државе између 45% и 55% БДП дефицит износи највише 1,5% БДП.</w:t>
                            </w:r>
                          </w:p>
                          <w:p w14:paraId="26379863" w14:textId="77777777" w:rsidR="00815ACD" w:rsidRPr="00273498" w:rsidRDefault="00815ACD" w:rsidP="00E561DE">
                            <w:pPr>
                              <w:pStyle w:val="ListParagraph"/>
                              <w:rPr>
                                <w:i/>
                                <w:sz w:val="24"/>
                                <w:szCs w:val="24"/>
                                <w:lang w:val="sr-Cyrl-RS"/>
                              </w:rPr>
                            </w:pPr>
                            <w:r w:rsidRPr="00E561DE">
                              <w:rPr>
                                <w:i/>
                                <w:sz w:val="24"/>
                                <w:szCs w:val="24"/>
                                <w:lang w:val="sr-Cyrl-RS"/>
                              </w:rPr>
                              <w:t>Уколико је дуг сектора државе испод 45% БДП, дефицит неће прећи износ од 3% БДП.</w:t>
                            </w:r>
                          </w:p>
                          <w:p w14:paraId="3DDDC842" w14:textId="77777777" w:rsidR="00815ACD" w:rsidRDefault="00815ACD" w:rsidP="00A06946">
                            <w:pPr>
                              <w:rPr>
                                <w:lang w:val="sr-Cyrl-RS"/>
                              </w:rPr>
                            </w:pPr>
                            <w:r>
                              <w:rPr>
                                <w:lang w:val="sr-Cyrl-RS"/>
                              </w:rPr>
                              <w:t>Посебна фискална правила:</w:t>
                            </w:r>
                          </w:p>
                          <w:p w14:paraId="005871F5" w14:textId="77777777" w:rsidR="00815ACD" w:rsidRPr="00E561DE" w:rsidRDefault="00815ACD" w:rsidP="00815ACD">
                            <w:pPr>
                              <w:pStyle w:val="ListParagraph"/>
                              <w:numPr>
                                <w:ilvl w:val="0"/>
                                <w:numId w:val="103"/>
                              </w:numPr>
                              <w:spacing w:after="160" w:line="259" w:lineRule="auto"/>
                              <w:rPr>
                                <w:sz w:val="24"/>
                                <w:szCs w:val="24"/>
                                <w:lang w:val="sr-Cyrl-RS"/>
                              </w:rPr>
                            </w:pPr>
                            <w:r w:rsidRPr="00E561DE">
                              <w:rPr>
                                <w:sz w:val="24"/>
                                <w:szCs w:val="24"/>
                                <w:lang w:val="sr-Cyrl-RS"/>
                              </w:rPr>
                              <w:t>учешће плата сектора државе у БДП до 10%.</w:t>
                            </w:r>
                          </w:p>
                          <w:p w14:paraId="5C187FA5" w14:textId="77777777" w:rsidR="00815ACD" w:rsidRPr="00E561DE" w:rsidRDefault="00815ACD" w:rsidP="00815ACD">
                            <w:pPr>
                              <w:pStyle w:val="ListParagraph"/>
                              <w:numPr>
                                <w:ilvl w:val="0"/>
                                <w:numId w:val="103"/>
                              </w:numPr>
                              <w:spacing w:after="160" w:line="259" w:lineRule="auto"/>
                              <w:rPr>
                                <w:sz w:val="24"/>
                                <w:szCs w:val="24"/>
                                <w:lang w:val="sr-Cyrl-RS"/>
                              </w:rPr>
                            </w:pPr>
                            <w:r w:rsidRPr="00E561DE">
                              <w:rPr>
                                <w:sz w:val="24"/>
                                <w:szCs w:val="24"/>
                                <w:lang w:val="sr-Cyrl-RS"/>
                              </w:rPr>
                              <w:t>индексирање пензија зависно од њиховог учешћа у БДП.</w:t>
                            </w:r>
                          </w:p>
                          <w:p w14:paraId="32E5CD43" w14:textId="77777777" w:rsidR="00815ACD" w:rsidRPr="00E561DE" w:rsidRDefault="00815ACD" w:rsidP="00E561DE">
                            <w:pPr>
                              <w:pStyle w:val="ListParagraph"/>
                              <w:rPr>
                                <w:i/>
                                <w:sz w:val="24"/>
                                <w:szCs w:val="24"/>
                                <w:lang w:val="sr-Cyrl-RS"/>
                              </w:rPr>
                            </w:pPr>
                            <w:r w:rsidRPr="00E561DE">
                              <w:rPr>
                                <w:i/>
                                <w:sz w:val="24"/>
                                <w:szCs w:val="24"/>
                                <w:lang w:val="sr-Cyrl-RS"/>
                              </w:rPr>
                              <w:t>Уколико су укупни расходи за пензије и новчани износ као увећање за пензију мањи од 10% БДП, пензија ће се ускладити према промени просечне зараде без пореза и доприноса, на начин дефинисан законом који уређује пензијско и инвалидско осигурање.</w:t>
                            </w:r>
                          </w:p>
                          <w:p w14:paraId="35004FEB" w14:textId="77777777" w:rsidR="00815ACD" w:rsidRPr="00E561DE" w:rsidRDefault="00815ACD" w:rsidP="00E561DE">
                            <w:pPr>
                              <w:pStyle w:val="ListParagraph"/>
                              <w:rPr>
                                <w:i/>
                                <w:sz w:val="24"/>
                                <w:szCs w:val="24"/>
                                <w:lang w:val="sr-Cyrl-RS"/>
                              </w:rPr>
                            </w:pPr>
                            <w:r w:rsidRPr="00E561DE">
                              <w:rPr>
                                <w:i/>
                                <w:sz w:val="24"/>
                                <w:szCs w:val="24"/>
                                <w:lang w:val="sr-Cyrl-RS"/>
                              </w:rPr>
                              <w:t>Уколико су укупни расходи за пензије и новчани износ као увећање за пензију 10% или већи од 10%, а мањи од 10,5% БДП, пензија ће се ускладити са збиром половине процента промене просечне зараде без пореза и доприноса</w:t>
                            </w:r>
                            <w:r w:rsidRPr="00E561DE" w:rsidDel="001A681C">
                              <w:rPr>
                                <w:i/>
                                <w:sz w:val="24"/>
                                <w:szCs w:val="24"/>
                                <w:lang w:val="sr-Cyrl-RS"/>
                              </w:rPr>
                              <w:t xml:space="preserve"> </w:t>
                            </w:r>
                            <w:r w:rsidRPr="00E561DE">
                              <w:rPr>
                                <w:i/>
                                <w:sz w:val="24"/>
                                <w:szCs w:val="24"/>
                                <w:lang w:val="sr-Cyrl-RS"/>
                              </w:rPr>
                              <w:t>и половине процента промене потрошачких цена, на начин дефинисан законом који уређује пензијско и инвалидско осигурање.</w:t>
                            </w:r>
                          </w:p>
                          <w:p w14:paraId="6806B645" w14:textId="77777777" w:rsidR="00815ACD" w:rsidRPr="00273498" w:rsidRDefault="00815ACD" w:rsidP="00E561DE">
                            <w:pPr>
                              <w:pStyle w:val="ListParagraph"/>
                              <w:rPr>
                                <w:i/>
                                <w:sz w:val="24"/>
                                <w:szCs w:val="24"/>
                                <w:lang w:val="sr-Cyrl-RS"/>
                              </w:rPr>
                            </w:pPr>
                            <w:r w:rsidRPr="00E561DE">
                              <w:rPr>
                                <w:i/>
                                <w:sz w:val="24"/>
                                <w:szCs w:val="24"/>
                                <w:lang w:val="sr-Cyrl-RS"/>
                              </w:rPr>
                              <w:t>Уколико су укупни расходи за пензије и новчани износ као увећање за пензију једнаки или већи од 10,5% БДП, пензија ће се ускладити према промени потрошачких цена, на начин дефинисан законом који уређује пензијско и инвалидско осигурање.</w:t>
                            </w:r>
                          </w:p>
                        </w:txbxContent>
                      </wps:txbx>
                      <wps:bodyPr rot="0" vert="horz" wrap="square" lIns="91440" tIns="45720" rIns="91440" bIns="45720" anchor="t" anchorCtr="0">
                        <a:noAutofit/>
                      </wps:bodyPr>
                    </wps:wsp>
                  </a:graphicData>
                </a:graphic>
              </wp:inline>
            </w:drawing>
          </mc:Choice>
          <mc:Fallback>
            <w:pict>
              <v:shapetype w14:anchorId="670DC916" id="_x0000_t202" coordsize="21600,21600" o:spt="202" path="m,l,21600r21600,l21600,xe">
                <v:stroke joinstyle="miter"/>
                <v:path gradientshapeok="t" o:connecttype="rect"/>
              </v:shapetype>
              <v:shape id="Text Box 2" o:spid="_x0000_s1026" type="#_x0000_t202" style="width:450pt;height:489.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" strokecolor="black [3213]" strokeweight=".5pt">
                <v:textbox>
                  <w:txbxContent>
                    <w:p w14:paraId="12E64525" w14:textId="247135D5" w:rsidR="00815ACD" w:rsidRDefault="00815ACD" w:rsidP="00EF262F">
                      <w:pPr>
                        <w:spacing w:before="120"/>
                        <w:rPr>
                          <w:b/>
                          <w:lang w:val="sr-Cyrl-RS"/>
                        </w:rPr>
                      </w:pPr>
                      <w:r>
                        <w:rPr>
                          <w:b/>
                          <w:lang w:val="sr-Cyrl-RS"/>
                        </w:rPr>
                        <w:t>Н</w:t>
                      </w:r>
                      <w:r w:rsidRPr="00E561DE">
                        <w:rPr>
                          <w:b/>
                          <w:lang w:val="sr-Cyrl-RS"/>
                        </w:rPr>
                        <w:t>ов</w:t>
                      </w:r>
                      <w:r>
                        <w:rPr>
                          <w:b/>
                          <w:lang w:val="sr-Cyrl-RS"/>
                        </w:rPr>
                        <w:t>и</w:t>
                      </w:r>
                      <w:r w:rsidRPr="00E561DE">
                        <w:rPr>
                          <w:b/>
                          <w:lang w:val="sr-Cyrl-RS"/>
                        </w:rPr>
                        <w:t xml:space="preserve"> сет фискалних правила:</w:t>
                      </w:r>
                    </w:p>
                    <w:p w14:paraId="26F75B9C" w14:textId="77777777" w:rsidR="00815ACD" w:rsidRDefault="00815ACD" w:rsidP="00A06946">
                      <w:pPr>
                        <w:rPr>
                          <w:lang w:val="sr-Cyrl-RS"/>
                        </w:rPr>
                      </w:pPr>
                      <w:r>
                        <w:rPr>
                          <w:lang w:val="sr-Cyrl-RS"/>
                        </w:rPr>
                        <w:t>Општа фискална правила:</w:t>
                      </w:r>
                    </w:p>
                    <w:p w14:paraId="7A8227DD" w14:textId="77777777" w:rsidR="00815ACD" w:rsidRPr="00E561DE" w:rsidRDefault="00815ACD" w:rsidP="00815ACD">
                      <w:pPr>
                        <w:pStyle w:val="ListParagraph"/>
                        <w:numPr>
                          <w:ilvl w:val="0"/>
                          <w:numId w:val="102"/>
                        </w:numPr>
                        <w:spacing w:after="160" w:line="259" w:lineRule="auto"/>
                        <w:rPr>
                          <w:sz w:val="24"/>
                          <w:szCs w:val="24"/>
                          <w:lang w:val="sr-Cyrl-RS"/>
                        </w:rPr>
                      </w:pPr>
                      <w:r w:rsidRPr="00E561DE">
                        <w:rPr>
                          <w:sz w:val="24"/>
                          <w:szCs w:val="24"/>
                          <w:lang w:val="sr-Cyrl-RS"/>
                        </w:rPr>
                        <w:t>дуг сектора државе, укључујући обавезе по основу реституције, неће бити већи од 60% БДП.</w:t>
                      </w:r>
                    </w:p>
                    <w:p w14:paraId="6E405254" w14:textId="77777777" w:rsidR="00815ACD" w:rsidRPr="00E561DE" w:rsidRDefault="00815ACD" w:rsidP="00815ACD">
                      <w:pPr>
                        <w:pStyle w:val="ListParagraph"/>
                        <w:numPr>
                          <w:ilvl w:val="0"/>
                          <w:numId w:val="102"/>
                        </w:numPr>
                        <w:spacing w:after="160" w:line="259" w:lineRule="auto"/>
                        <w:rPr>
                          <w:sz w:val="24"/>
                          <w:szCs w:val="24"/>
                          <w:lang w:val="sr-Cyrl-RS"/>
                        </w:rPr>
                      </w:pPr>
                      <w:r w:rsidRPr="00E561DE">
                        <w:rPr>
                          <w:sz w:val="24"/>
                          <w:szCs w:val="24"/>
                          <w:lang w:val="sr-Cyrl-RS"/>
                        </w:rPr>
                        <w:t>циљани средњорочни дефицит је 0,5% БДП.</w:t>
                      </w:r>
                    </w:p>
                    <w:p w14:paraId="34A342E6" w14:textId="77777777" w:rsidR="00815ACD" w:rsidRPr="00E561DE" w:rsidRDefault="00815ACD" w:rsidP="00E561DE">
                      <w:pPr>
                        <w:pStyle w:val="ListParagraph"/>
                        <w:rPr>
                          <w:i/>
                          <w:sz w:val="24"/>
                          <w:szCs w:val="24"/>
                          <w:lang w:val="sr-Cyrl-RS"/>
                        </w:rPr>
                      </w:pPr>
                      <w:r w:rsidRPr="00E561DE">
                        <w:rPr>
                          <w:i/>
                          <w:sz w:val="24"/>
                          <w:szCs w:val="24"/>
                          <w:lang w:val="sr-Cyrl-RS"/>
                        </w:rPr>
                        <w:t>Уколико је дуг сектора државе изнад 60% БДП, фискална позиција сектора државе мора бити уравнотежена, тако да дефицит износи највише 0% БДП.</w:t>
                      </w:r>
                    </w:p>
                    <w:p w14:paraId="764A380F" w14:textId="77777777" w:rsidR="00815ACD" w:rsidRPr="00E561DE" w:rsidRDefault="00815ACD" w:rsidP="00E561DE">
                      <w:pPr>
                        <w:pStyle w:val="ListParagraph"/>
                        <w:rPr>
                          <w:i/>
                          <w:sz w:val="24"/>
                          <w:szCs w:val="24"/>
                          <w:lang w:val="sr-Cyrl-RS"/>
                        </w:rPr>
                      </w:pPr>
                      <w:r w:rsidRPr="00E561DE">
                        <w:rPr>
                          <w:i/>
                          <w:sz w:val="24"/>
                          <w:szCs w:val="24"/>
                          <w:lang w:val="sr-Cyrl-RS"/>
                        </w:rPr>
                        <w:t>Уколико је дуг сектора државе између 55% и 60% БДП дефицит износи највише 0,5% БДП.</w:t>
                      </w:r>
                    </w:p>
                    <w:p w14:paraId="185594BB" w14:textId="77777777" w:rsidR="00815ACD" w:rsidRPr="00E561DE" w:rsidRDefault="00815ACD" w:rsidP="00E561DE">
                      <w:pPr>
                        <w:pStyle w:val="ListParagraph"/>
                        <w:rPr>
                          <w:i/>
                          <w:sz w:val="24"/>
                          <w:szCs w:val="24"/>
                          <w:lang w:val="sr-Cyrl-RS"/>
                        </w:rPr>
                      </w:pPr>
                      <w:r w:rsidRPr="00E561DE">
                        <w:rPr>
                          <w:i/>
                          <w:sz w:val="24"/>
                          <w:szCs w:val="24"/>
                          <w:lang w:val="sr-Cyrl-RS"/>
                        </w:rPr>
                        <w:t>Уколико је дуг сектора државе између 45% и 55% БДП дефицит износи највише 1,5% БДП.</w:t>
                      </w:r>
                    </w:p>
                    <w:p w14:paraId="26379863" w14:textId="77777777" w:rsidR="00815ACD" w:rsidRPr="00273498" w:rsidRDefault="00815ACD" w:rsidP="00E561DE">
                      <w:pPr>
                        <w:pStyle w:val="ListParagraph"/>
                        <w:rPr>
                          <w:i/>
                          <w:sz w:val="24"/>
                          <w:szCs w:val="24"/>
                          <w:lang w:val="sr-Cyrl-RS"/>
                        </w:rPr>
                      </w:pPr>
                      <w:r w:rsidRPr="00E561DE">
                        <w:rPr>
                          <w:i/>
                          <w:sz w:val="24"/>
                          <w:szCs w:val="24"/>
                          <w:lang w:val="sr-Cyrl-RS"/>
                        </w:rPr>
                        <w:t>Уколико је дуг сектора државе испод 45% БДП, дефицит неће прећи износ од 3% БДП.</w:t>
                      </w:r>
                    </w:p>
                    <w:p w14:paraId="3DDDC842" w14:textId="77777777" w:rsidR="00815ACD" w:rsidRDefault="00815ACD" w:rsidP="00A06946">
                      <w:pPr>
                        <w:rPr>
                          <w:lang w:val="sr-Cyrl-RS"/>
                        </w:rPr>
                      </w:pPr>
                      <w:r>
                        <w:rPr>
                          <w:lang w:val="sr-Cyrl-RS"/>
                        </w:rPr>
                        <w:t>Посебна фискална правила:</w:t>
                      </w:r>
                    </w:p>
                    <w:p w14:paraId="005871F5" w14:textId="77777777" w:rsidR="00815ACD" w:rsidRPr="00E561DE" w:rsidRDefault="00815ACD" w:rsidP="00815ACD">
                      <w:pPr>
                        <w:pStyle w:val="ListParagraph"/>
                        <w:numPr>
                          <w:ilvl w:val="0"/>
                          <w:numId w:val="103"/>
                        </w:numPr>
                        <w:spacing w:after="160" w:line="259" w:lineRule="auto"/>
                        <w:rPr>
                          <w:sz w:val="24"/>
                          <w:szCs w:val="24"/>
                          <w:lang w:val="sr-Cyrl-RS"/>
                        </w:rPr>
                      </w:pPr>
                      <w:r w:rsidRPr="00E561DE">
                        <w:rPr>
                          <w:sz w:val="24"/>
                          <w:szCs w:val="24"/>
                          <w:lang w:val="sr-Cyrl-RS"/>
                        </w:rPr>
                        <w:t>учешће плата сектора државе у БДП до 10%.</w:t>
                      </w:r>
                    </w:p>
                    <w:p w14:paraId="5C187FA5" w14:textId="77777777" w:rsidR="00815ACD" w:rsidRPr="00E561DE" w:rsidRDefault="00815ACD" w:rsidP="00815ACD">
                      <w:pPr>
                        <w:pStyle w:val="ListParagraph"/>
                        <w:numPr>
                          <w:ilvl w:val="0"/>
                          <w:numId w:val="103"/>
                        </w:numPr>
                        <w:spacing w:after="160" w:line="259" w:lineRule="auto"/>
                        <w:rPr>
                          <w:sz w:val="24"/>
                          <w:szCs w:val="24"/>
                          <w:lang w:val="sr-Cyrl-RS"/>
                        </w:rPr>
                      </w:pPr>
                      <w:r w:rsidRPr="00E561DE">
                        <w:rPr>
                          <w:sz w:val="24"/>
                          <w:szCs w:val="24"/>
                          <w:lang w:val="sr-Cyrl-RS"/>
                        </w:rPr>
                        <w:t>индексирање пензија зависно од њиховог учешћа у БДП.</w:t>
                      </w:r>
                    </w:p>
                    <w:p w14:paraId="32E5CD43" w14:textId="77777777" w:rsidR="00815ACD" w:rsidRPr="00E561DE" w:rsidRDefault="00815ACD" w:rsidP="00E561DE">
                      <w:pPr>
                        <w:pStyle w:val="ListParagraph"/>
                        <w:rPr>
                          <w:i/>
                          <w:sz w:val="24"/>
                          <w:szCs w:val="24"/>
                          <w:lang w:val="sr-Cyrl-RS"/>
                        </w:rPr>
                      </w:pPr>
                      <w:r w:rsidRPr="00E561DE">
                        <w:rPr>
                          <w:i/>
                          <w:sz w:val="24"/>
                          <w:szCs w:val="24"/>
                          <w:lang w:val="sr-Cyrl-RS"/>
                        </w:rPr>
                        <w:t>Уколико су укупни расходи за пензије и новчани износ као увећање за пензију мањи од 10% БДП, пензија ће се ускладити према промени просечне зараде без пореза и доприноса, на начин дефинисан законом који уређује пензијско и инвалидско осигурање.</w:t>
                      </w:r>
                    </w:p>
                    <w:p w14:paraId="35004FEB" w14:textId="77777777" w:rsidR="00815ACD" w:rsidRPr="00E561DE" w:rsidRDefault="00815ACD" w:rsidP="00E561DE">
                      <w:pPr>
                        <w:pStyle w:val="ListParagraph"/>
                        <w:rPr>
                          <w:i/>
                          <w:sz w:val="24"/>
                          <w:szCs w:val="24"/>
                          <w:lang w:val="sr-Cyrl-RS"/>
                        </w:rPr>
                      </w:pPr>
                      <w:r w:rsidRPr="00E561DE">
                        <w:rPr>
                          <w:i/>
                          <w:sz w:val="24"/>
                          <w:szCs w:val="24"/>
                          <w:lang w:val="sr-Cyrl-RS"/>
                        </w:rPr>
                        <w:t>Уколико су укупни расходи за пензије и новчани износ као увећање за пензију 10% или већи од 10%, а мањи од 10,5% БДП, пензија ће се ускладити са збиром половине процента промене просечне зараде без пореза и доприноса</w:t>
                      </w:r>
                      <w:r w:rsidRPr="00E561DE" w:rsidDel="001A681C">
                        <w:rPr>
                          <w:i/>
                          <w:sz w:val="24"/>
                          <w:szCs w:val="24"/>
                          <w:lang w:val="sr-Cyrl-RS"/>
                        </w:rPr>
                        <w:t xml:space="preserve"> </w:t>
                      </w:r>
                      <w:r w:rsidRPr="00E561DE">
                        <w:rPr>
                          <w:i/>
                          <w:sz w:val="24"/>
                          <w:szCs w:val="24"/>
                          <w:lang w:val="sr-Cyrl-RS"/>
                        </w:rPr>
                        <w:t>и половине процента промене потрошачких цена, на начин дефинисан законом који уређује пензијско и инвалидско осигурање.</w:t>
                      </w:r>
                    </w:p>
                    <w:p w14:paraId="6806B645" w14:textId="77777777" w:rsidR="00815ACD" w:rsidRPr="00273498" w:rsidRDefault="00815ACD" w:rsidP="00E561DE">
                      <w:pPr>
                        <w:pStyle w:val="ListParagraph"/>
                        <w:rPr>
                          <w:i/>
                          <w:sz w:val="24"/>
                          <w:szCs w:val="24"/>
                          <w:lang w:val="sr-Cyrl-RS"/>
                        </w:rPr>
                      </w:pPr>
                      <w:r w:rsidRPr="00E561DE">
                        <w:rPr>
                          <w:i/>
                          <w:sz w:val="24"/>
                          <w:szCs w:val="24"/>
                          <w:lang w:val="sr-Cyrl-RS"/>
                        </w:rPr>
                        <w:t>Уколико су укупни расходи за пензије и новчани износ као увећање за пензију једнаки или већи од 10,5% БДП, пензија ће се ускладити према промени потрошачких цена, на начин дефинисан законом који уређује пензијско и инвалидско осигурање.</w:t>
                      </w:r>
                    </w:p>
                  </w:txbxContent>
                </v:textbox>
                <w10:anchorlock/>
              </v:shape>
            </w:pict>
          </mc:Fallback>
        </mc:AlternateContent>
      </w:r>
    </w:p>
    <w:p w14:paraId="0BC6D198" w14:textId="0D230487" w:rsidR="00A06946" w:rsidRPr="00092ED7" w:rsidRDefault="00A06946" w:rsidP="0053376A">
      <w:pPr>
        <w:spacing w:after="60"/>
        <w:rPr>
          <w:lang w:val="sr-Cyrl-CS" w:eastAsia="ja-JP"/>
        </w:rPr>
      </w:pPr>
      <w:r w:rsidRPr="00092ED7">
        <w:rPr>
          <w:lang w:val="sr-Cyrl-CS" w:eastAsia="ja-JP"/>
        </w:rPr>
        <w:t>Побољшање квалитета и транспарентности националне статистике се врши кроз унапређење свеобухватне, правовремене и аутоматске размене података између надлежних институција. У априлу 2018. године</w:t>
      </w:r>
      <w:r w:rsidR="00FB6B1A" w:rsidRPr="00092ED7">
        <w:rPr>
          <w:lang w:val="sr-Cyrl-CS" w:eastAsia="ja-JP"/>
        </w:rPr>
        <w:t>,</w:t>
      </w:r>
      <w:r w:rsidRPr="00092ED7">
        <w:rPr>
          <w:lang w:val="sr-Cyrl-CS" w:eastAsia="ja-JP"/>
        </w:rPr>
        <w:t xml:space="preserve"> објављена је листа институција које чине сектор опште државе, као и остале секторе, у складу са Европским системом рачуна (ESA) 2010 и GFSM 2014, на основу чега је РЗС (у сарадњи са Министарством финансија и Н</w:t>
      </w:r>
      <w:r w:rsidR="008B2875" w:rsidRPr="00092ED7">
        <w:rPr>
          <w:lang w:val="sr-Cyrl-CS" w:eastAsia="ja-JP"/>
        </w:rPr>
        <w:t>ародн</w:t>
      </w:r>
      <w:r w:rsidR="00E561DE" w:rsidRPr="00092ED7">
        <w:rPr>
          <w:lang w:val="sr-Cyrl-CS" w:eastAsia="ja-JP"/>
        </w:rPr>
        <w:t>ом</w:t>
      </w:r>
      <w:r w:rsidR="008B2875" w:rsidRPr="00092ED7">
        <w:rPr>
          <w:lang w:val="sr-Cyrl-CS" w:eastAsia="ja-JP"/>
        </w:rPr>
        <w:t xml:space="preserve"> банк</w:t>
      </w:r>
      <w:r w:rsidR="00E561DE" w:rsidRPr="00092ED7">
        <w:rPr>
          <w:lang w:val="sr-Cyrl-CS" w:eastAsia="ja-JP"/>
        </w:rPr>
        <w:t>ом</w:t>
      </w:r>
      <w:r w:rsidR="008B2875" w:rsidRPr="00092ED7">
        <w:rPr>
          <w:lang w:val="sr-Cyrl-CS" w:eastAsia="ja-JP"/>
        </w:rPr>
        <w:t xml:space="preserve"> </w:t>
      </w:r>
      <w:r w:rsidRPr="00092ED7">
        <w:rPr>
          <w:lang w:val="sr-Cyrl-CS" w:eastAsia="ja-JP"/>
        </w:rPr>
        <w:t>С</w:t>
      </w:r>
      <w:r w:rsidR="008B2875" w:rsidRPr="00092ED7">
        <w:rPr>
          <w:lang w:val="sr-Cyrl-CS" w:eastAsia="ja-JP"/>
        </w:rPr>
        <w:t>рбије</w:t>
      </w:r>
      <w:r w:rsidRPr="00092ED7">
        <w:rPr>
          <w:lang w:val="sr-Cyrl-CS" w:eastAsia="ja-JP"/>
        </w:rPr>
        <w:t>) почео с достављањем података у Проширени општи систем дисеминације података (e-GDDS). Ови подаци се објављују у складу са методологијом GFSM 2014. Сектор за макроекономске и фискалне анализе и пројекције Министарства финансија у сарадњи са ММФ је први покренуо поступак конверзије података о јавним финансијама из националне методологије у методологију GFSM 2014 и израду консолидованих извештаја за ниво опште државе и по нивоима власти и њихово публиковање преко националне странице сумарних података (</w:t>
      </w:r>
      <w:r w:rsidRPr="00092ED7">
        <w:rPr>
          <w:i/>
          <w:lang w:val="sr-Cyrl-CS" w:eastAsia="ja-JP"/>
        </w:rPr>
        <w:t>National Summary Data Page</w:t>
      </w:r>
      <w:r w:rsidRPr="00092ED7">
        <w:rPr>
          <w:lang w:val="sr-Cyrl-CS" w:eastAsia="ja-JP"/>
        </w:rPr>
        <w:t xml:space="preserve"> – NSDP), која је доступна на веб-сајту РЗС, као и у билтену ММФ о стандардима дисеминације (</w:t>
      </w:r>
      <w:r w:rsidRPr="00092ED7">
        <w:rPr>
          <w:i/>
          <w:lang w:val="sr-Cyrl-CS" w:eastAsia="ja-JP"/>
        </w:rPr>
        <w:t>Dissemination Standards Bulletin Board</w:t>
      </w:r>
      <w:r w:rsidRPr="00092ED7">
        <w:rPr>
          <w:lang w:val="sr-Cyrl-CS" w:eastAsia="ja-JP"/>
        </w:rPr>
        <w:t xml:space="preserve"> – DSBB).</w:t>
      </w:r>
    </w:p>
    <w:p w14:paraId="65635E40" w14:textId="77777777" w:rsidR="00D210F0" w:rsidRPr="00092ED7" w:rsidRDefault="00D210F0" w:rsidP="00D210F0">
      <w:pPr>
        <w:keepNext/>
        <w:keepLines/>
        <w:spacing w:before="240" w:after="240"/>
        <w:outlineLvl w:val="0"/>
        <w:rPr>
          <w:rFonts w:eastAsia="Calibri" w:cs="Times New Roman"/>
          <w:b/>
          <w:sz w:val="28"/>
          <w:szCs w:val="28"/>
          <w:lang w:val="sr-Cyrl-CS"/>
        </w:rPr>
      </w:pPr>
      <w:bookmarkStart w:id="33" w:name="_Toc124174802"/>
      <w:r w:rsidRPr="00092ED7">
        <w:rPr>
          <w:rFonts w:eastAsia="Calibri" w:cs="Times New Roman"/>
          <w:b/>
          <w:sz w:val="28"/>
          <w:szCs w:val="28"/>
          <w:lang w:val="sr-Cyrl-CS"/>
        </w:rPr>
        <w:lastRenderedPageBreak/>
        <w:t>5. СТРУКТУРНЕ РЕФОРМЕ У ПЕРИОДУ 2023-2025.</w:t>
      </w:r>
      <w:bookmarkEnd w:id="33"/>
    </w:p>
    <w:p w14:paraId="3023B9A2" w14:textId="77777777" w:rsidR="00D210F0" w:rsidRPr="00092ED7" w:rsidRDefault="00D210F0" w:rsidP="00D210F0">
      <w:pPr>
        <w:keepNext/>
        <w:keepLines/>
        <w:spacing w:before="120"/>
        <w:outlineLvl w:val="1"/>
        <w:rPr>
          <w:rFonts w:eastAsia="Times New Roman" w:cs="Times New Roman"/>
          <w:b/>
          <w:bCs/>
          <w:szCs w:val="24"/>
          <w:lang w:val="sr-Cyrl-CS"/>
        </w:rPr>
      </w:pPr>
      <w:bookmarkStart w:id="34" w:name="_Toc124174803"/>
      <w:r w:rsidRPr="00092ED7">
        <w:rPr>
          <w:rFonts w:eastAsia="Times New Roman" w:cs="Times New Roman"/>
          <w:b/>
          <w:bCs/>
          <w:szCs w:val="24"/>
          <w:lang w:val="sr-Cyrl-CS"/>
        </w:rPr>
        <w:t>5.1. ИДЕНТИФИКАЦИЈА ТРИ КЉУЧНА ИЗАЗОВА ЗА КОНКУРЕНТНОСТ И ИНКЛУЗИВНИ РАСТ И ПОВЕЗАНЕ СТРУКТУРНЕ РЕФОРМЕ</w:t>
      </w:r>
      <w:bookmarkEnd w:id="34"/>
    </w:p>
    <w:p w14:paraId="65954368" w14:textId="77777777" w:rsidR="00D210F0" w:rsidRPr="00092ED7" w:rsidRDefault="00D210F0" w:rsidP="00F27707">
      <w:pPr>
        <w:keepNext/>
        <w:keepLines/>
        <w:shd w:val="clear" w:color="auto" w:fill="D9D9D9" w:themeFill="background1" w:themeFillShade="D9"/>
        <w:spacing w:before="120"/>
        <w:outlineLvl w:val="2"/>
        <w:rPr>
          <w:rFonts w:cs="Times New Roman"/>
          <w:b/>
          <w:i/>
          <w:lang w:val="sr-Cyrl-CS"/>
        </w:rPr>
      </w:pPr>
      <w:bookmarkStart w:id="35" w:name="_Toc124174804"/>
      <w:r w:rsidRPr="00092ED7">
        <w:rPr>
          <w:rFonts w:cs="Times New Roman"/>
          <w:b/>
          <w:i/>
          <w:lang w:val="sr-Cyrl-CS"/>
        </w:rPr>
        <w:t>Кључни изазов број 1: Повећање запослености, посебно младих, жена и осетљивих група, и социјална заштита од сиромаштва</w:t>
      </w:r>
      <w:bookmarkEnd w:id="35"/>
    </w:p>
    <w:p w14:paraId="2A47D888" w14:textId="77777777" w:rsidR="00D210F0" w:rsidRPr="00092ED7" w:rsidRDefault="00D210F0" w:rsidP="00D210F0">
      <w:pPr>
        <w:spacing w:after="60"/>
        <w:rPr>
          <w:rFonts w:cs="Times New Roman"/>
          <w:lang w:val="sr-Cyrl-CS"/>
        </w:rPr>
      </w:pPr>
      <w:r w:rsidRPr="00092ED7">
        <w:rPr>
          <w:rFonts w:cs="Times New Roman"/>
          <w:b/>
          <w:lang w:val="sr-Cyrl-CS"/>
        </w:rPr>
        <w:t>Стабилним кретањима на тржишту рада Републике Србије допринели су раст привредне активности и пакет економске подршке.</w:t>
      </w:r>
      <w:r w:rsidRPr="00092ED7">
        <w:rPr>
          <w:rFonts w:cs="Times New Roman"/>
          <w:lang w:val="sr-Cyrl-CS"/>
        </w:rPr>
        <w:t xml:space="preserve"> Очувана су радна места и зараде, како у приватном тако и у јавном сектору, а сви главни показатељи тржишта рада у 2021. години бележе вредности које су боље од нивоа</w:t>
      </w:r>
      <w:r w:rsidR="003E4E2A" w:rsidRPr="00092ED7">
        <w:rPr>
          <w:rFonts w:cs="Times New Roman"/>
          <w:lang w:val="sr-Cyrl-CS"/>
        </w:rPr>
        <w:t xml:space="preserve"> пре пандемије</w:t>
      </w:r>
      <w:r w:rsidRPr="00092ED7">
        <w:rPr>
          <w:rFonts w:cs="Times New Roman"/>
          <w:lang w:val="sr-Cyrl-CS"/>
        </w:rPr>
        <w:t>. Позитивна кретања на тржишту рада настављају се и у 2022. години, пре свега, кроз раст запослености и реалних зарада, али нешто успореније у поређењу са претходним периодом због утицаја геополитичких тензија.</w:t>
      </w:r>
    </w:p>
    <w:p w14:paraId="214A9487" w14:textId="77777777" w:rsidR="00D210F0" w:rsidRPr="00092ED7" w:rsidRDefault="00D210F0" w:rsidP="00D210F0">
      <w:pPr>
        <w:spacing w:after="60"/>
        <w:rPr>
          <w:rFonts w:cs="Times New Roman"/>
          <w:lang w:val="sr-Cyrl-CS"/>
        </w:rPr>
      </w:pPr>
      <w:r w:rsidRPr="00092ED7">
        <w:rPr>
          <w:rFonts w:cs="Times New Roman"/>
          <w:b/>
          <w:lang w:val="sr-Cyrl-CS"/>
        </w:rPr>
        <w:t xml:space="preserve">Стопа запослености </w:t>
      </w:r>
      <w:r w:rsidRPr="00092ED7">
        <w:rPr>
          <w:rFonts w:cs="Times New Roman"/>
          <w:lang w:val="sr-Cyrl-CS"/>
        </w:rPr>
        <w:t xml:space="preserve">(15+) која износи </w:t>
      </w:r>
      <w:r w:rsidRPr="00092ED7">
        <w:rPr>
          <w:rFonts w:cs="Times New Roman"/>
          <w:b/>
          <w:lang w:val="sr-Cyrl-CS"/>
        </w:rPr>
        <w:t>50,</w:t>
      </w:r>
      <w:r w:rsidR="00874A6D" w:rsidRPr="00092ED7">
        <w:rPr>
          <w:rFonts w:cs="Times New Roman"/>
          <w:b/>
          <w:lang w:val="sr-Cyrl-CS"/>
        </w:rPr>
        <w:t>8</w:t>
      </w:r>
      <w:r w:rsidRPr="00092ED7">
        <w:rPr>
          <w:rFonts w:cs="Times New Roman"/>
          <w:b/>
          <w:lang w:val="sr-Cyrl-CS"/>
        </w:rPr>
        <w:t>%</w:t>
      </w:r>
      <w:r w:rsidRPr="00092ED7">
        <w:rPr>
          <w:rStyle w:val="FootnoteReference"/>
          <w:rFonts w:cs="Times New Roman"/>
          <w:b/>
          <w:lang w:val="sr-Cyrl-CS"/>
        </w:rPr>
        <w:footnoteReference w:id="15"/>
      </w:r>
      <w:r w:rsidRPr="00092ED7">
        <w:rPr>
          <w:rFonts w:cs="Times New Roman"/>
          <w:b/>
          <w:lang w:val="sr-Cyrl-CS"/>
        </w:rPr>
        <w:t xml:space="preserve"> </w:t>
      </w:r>
      <w:r w:rsidRPr="00092ED7">
        <w:rPr>
          <w:rFonts w:cs="Times New Roman"/>
          <w:lang w:val="sr-Cyrl-CS"/>
        </w:rPr>
        <w:t xml:space="preserve">у </w:t>
      </w:r>
      <w:r w:rsidR="00874A6D" w:rsidRPr="00092ED7">
        <w:rPr>
          <w:rFonts w:cs="Times New Roman"/>
          <w:b/>
          <w:lang w:val="sr-Cyrl-CS"/>
        </w:rPr>
        <w:t xml:space="preserve">Q3 </w:t>
      </w:r>
      <w:r w:rsidRPr="00092ED7">
        <w:rPr>
          <w:rFonts w:cs="Times New Roman"/>
          <w:b/>
          <w:lang w:val="sr-Cyrl-CS"/>
        </w:rPr>
        <w:t>2022.</w:t>
      </w:r>
      <w:r w:rsidRPr="00092ED7">
        <w:rPr>
          <w:rFonts w:cs="Times New Roman"/>
          <w:lang w:val="sr-Cyrl-CS"/>
        </w:rPr>
        <w:t xml:space="preserve"> (ЕУ-27: 54,3% за становништво 15+, Q2 2022, Eurostat) бележи </w:t>
      </w:r>
      <w:r w:rsidRPr="00092ED7">
        <w:rPr>
          <w:rFonts w:cs="Times New Roman"/>
          <w:b/>
          <w:lang w:val="sr-Cyrl-CS"/>
        </w:rPr>
        <w:t xml:space="preserve">повећање од </w:t>
      </w:r>
      <w:r w:rsidR="00874A6D" w:rsidRPr="00092ED7">
        <w:rPr>
          <w:rFonts w:cs="Times New Roman"/>
          <w:b/>
          <w:lang w:val="sr-Cyrl-CS"/>
        </w:rPr>
        <w:t>0,8</w:t>
      </w:r>
      <w:r w:rsidRPr="00092ED7">
        <w:rPr>
          <w:rFonts w:cs="Times New Roman"/>
          <w:b/>
          <w:lang w:val="sr-Cyrl-CS"/>
        </w:rPr>
        <w:t xml:space="preserve"> п.п. </w:t>
      </w:r>
      <w:r w:rsidRPr="00092ED7">
        <w:rPr>
          <w:rFonts w:cs="Times New Roman"/>
          <w:lang w:val="sr-Cyrl-CS"/>
        </w:rPr>
        <w:t xml:space="preserve">у односу на исти квартал претходне године, док </w:t>
      </w:r>
      <w:r w:rsidRPr="00092ED7">
        <w:rPr>
          <w:rFonts w:cs="Times New Roman"/>
          <w:b/>
          <w:lang w:val="sr-Cyrl-CS"/>
        </w:rPr>
        <w:t xml:space="preserve">број запослених </w:t>
      </w:r>
      <w:r w:rsidRPr="00092ED7">
        <w:rPr>
          <w:rFonts w:cs="Times New Roman"/>
          <w:lang w:val="sr-Cyrl-CS"/>
        </w:rPr>
        <w:t xml:space="preserve">износи </w:t>
      </w:r>
      <w:r w:rsidRPr="00092ED7">
        <w:rPr>
          <w:rFonts w:cs="Times New Roman"/>
          <w:b/>
          <w:lang w:val="sr-Cyrl-CS"/>
        </w:rPr>
        <w:t>2,</w:t>
      </w:r>
      <w:r w:rsidR="00874A6D" w:rsidRPr="00092ED7">
        <w:rPr>
          <w:rFonts w:cs="Times New Roman"/>
          <w:b/>
          <w:lang w:val="sr-Cyrl-CS"/>
        </w:rPr>
        <w:t xml:space="preserve">94 </w:t>
      </w:r>
      <w:r w:rsidRPr="00092ED7">
        <w:rPr>
          <w:rFonts w:cs="Times New Roman"/>
          <w:b/>
          <w:lang w:val="sr-Cyrl-CS"/>
        </w:rPr>
        <w:t xml:space="preserve">милиона </w:t>
      </w:r>
      <w:r w:rsidRPr="00092ED7">
        <w:rPr>
          <w:rFonts w:cs="Times New Roman"/>
          <w:lang w:val="sr-Cyrl-CS"/>
        </w:rPr>
        <w:t xml:space="preserve">(повећање од </w:t>
      </w:r>
      <w:r w:rsidR="00874A6D" w:rsidRPr="00092ED7">
        <w:rPr>
          <w:rFonts w:cs="Times New Roman"/>
          <w:lang w:val="sr-Cyrl-CS"/>
        </w:rPr>
        <w:t>17,5</w:t>
      </w:r>
      <w:r w:rsidRPr="00092ED7">
        <w:rPr>
          <w:rFonts w:cs="Times New Roman"/>
          <w:lang w:val="sr-Cyrl-CS"/>
        </w:rPr>
        <w:t xml:space="preserve"> хиљада међугодишње). </w:t>
      </w:r>
      <w:r w:rsidRPr="00092ED7">
        <w:rPr>
          <w:rFonts w:cs="Times New Roman"/>
          <w:b/>
          <w:lang w:val="sr-Cyrl-CS"/>
        </w:rPr>
        <w:t xml:space="preserve">Стопа незапослености </w:t>
      </w:r>
      <w:r w:rsidRPr="00092ED7">
        <w:rPr>
          <w:rFonts w:cs="Times New Roman"/>
          <w:lang w:val="sr-Cyrl-CS"/>
        </w:rPr>
        <w:t xml:space="preserve">(15+) износи </w:t>
      </w:r>
      <w:r w:rsidRPr="00092ED7">
        <w:rPr>
          <w:rFonts w:cs="Times New Roman"/>
          <w:b/>
          <w:lang w:val="sr-Cyrl-CS"/>
        </w:rPr>
        <w:t xml:space="preserve">8,9% у </w:t>
      </w:r>
      <w:r w:rsidR="00874A6D" w:rsidRPr="00092ED7">
        <w:rPr>
          <w:rFonts w:cs="Times New Roman"/>
          <w:b/>
          <w:lang w:val="sr-Cyrl-CS"/>
        </w:rPr>
        <w:t xml:space="preserve">Q3 </w:t>
      </w:r>
      <w:r w:rsidRPr="00092ED7">
        <w:rPr>
          <w:rFonts w:cs="Times New Roman"/>
          <w:b/>
          <w:lang w:val="sr-Cyrl-CS"/>
        </w:rPr>
        <w:t>2022.</w:t>
      </w:r>
      <w:r w:rsidRPr="00092ED7">
        <w:rPr>
          <w:rFonts w:cs="Times New Roman"/>
          <w:lang w:val="sr-Cyrl-CS"/>
        </w:rPr>
        <w:t xml:space="preserve"> (ЕУ-27: 6% за становништво 15-74, Q2 2022, Eurostat) што представља </w:t>
      </w:r>
      <w:r w:rsidRPr="00092ED7">
        <w:rPr>
          <w:rFonts w:cs="Times New Roman"/>
          <w:b/>
          <w:lang w:val="sr-Cyrl-CS"/>
        </w:rPr>
        <w:t xml:space="preserve">пад од </w:t>
      </w:r>
      <w:r w:rsidR="00874A6D" w:rsidRPr="00092ED7">
        <w:rPr>
          <w:rFonts w:cs="Times New Roman"/>
          <w:b/>
          <w:lang w:val="sr-Cyrl-CS"/>
        </w:rPr>
        <w:t>1,6</w:t>
      </w:r>
      <w:r w:rsidRPr="00092ED7">
        <w:rPr>
          <w:rFonts w:cs="Times New Roman"/>
          <w:b/>
          <w:lang w:val="sr-Cyrl-CS"/>
        </w:rPr>
        <w:t xml:space="preserve"> п.п.</w:t>
      </w:r>
      <w:r w:rsidRPr="00092ED7">
        <w:rPr>
          <w:rFonts w:cs="Times New Roman"/>
          <w:lang w:val="sr-Cyrl-CS"/>
        </w:rPr>
        <w:t xml:space="preserve"> у односу на исти квартал претходне године, док је </w:t>
      </w:r>
      <w:r w:rsidRPr="00092ED7">
        <w:rPr>
          <w:rFonts w:cs="Times New Roman"/>
          <w:b/>
          <w:lang w:val="sr-Cyrl-CS"/>
        </w:rPr>
        <w:t xml:space="preserve">број незапослених </w:t>
      </w:r>
      <w:r w:rsidR="00874A6D" w:rsidRPr="00092ED7">
        <w:rPr>
          <w:rFonts w:cs="Times New Roman"/>
          <w:b/>
          <w:lang w:val="sr-Cyrl-CS"/>
        </w:rPr>
        <w:t>288,9</w:t>
      </w:r>
      <w:r w:rsidRPr="00092ED7">
        <w:rPr>
          <w:rFonts w:cs="Times New Roman"/>
          <w:b/>
          <w:lang w:val="sr-Cyrl-CS"/>
        </w:rPr>
        <w:t xml:space="preserve"> </w:t>
      </w:r>
      <w:r w:rsidR="00874A6D" w:rsidRPr="00092ED7">
        <w:rPr>
          <w:rFonts w:cs="Times New Roman"/>
          <w:b/>
          <w:lang w:val="sr-Cyrl-CS"/>
        </w:rPr>
        <w:t>хиљада</w:t>
      </w:r>
      <w:r w:rsidR="00874A6D" w:rsidRPr="00092ED7">
        <w:rPr>
          <w:rFonts w:cs="Times New Roman"/>
          <w:lang w:val="sr-Cyrl-CS"/>
        </w:rPr>
        <w:t xml:space="preserve"> </w:t>
      </w:r>
      <w:r w:rsidRPr="00092ED7">
        <w:rPr>
          <w:rFonts w:cs="Times New Roman"/>
          <w:lang w:val="sr-Cyrl-CS"/>
        </w:rPr>
        <w:t xml:space="preserve">(пад од </w:t>
      </w:r>
      <w:r w:rsidR="00874A6D" w:rsidRPr="00092ED7">
        <w:rPr>
          <w:rFonts w:cs="Times New Roman"/>
          <w:lang w:val="sr-Cyrl-CS"/>
        </w:rPr>
        <w:t>52,6</w:t>
      </w:r>
      <w:r w:rsidRPr="00092ED7">
        <w:rPr>
          <w:rFonts w:cs="Times New Roman"/>
          <w:lang w:val="sr-Cyrl-CS"/>
        </w:rPr>
        <w:t xml:space="preserve"> хиљада међугодишње</w:t>
      </w:r>
      <w:r w:rsidRPr="00092ED7">
        <w:rPr>
          <w:rStyle w:val="FootnoteReference"/>
          <w:rFonts w:cs="Times New Roman"/>
          <w:lang w:val="sr-Cyrl-CS"/>
        </w:rPr>
        <w:footnoteReference w:id="16"/>
      </w:r>
      <w:r w:rsidRPr="00092ED7">
        <w:rPr>
          <w:rFonts w:cs="Times New Roman"/>
          <w:lang w:val="sr-Cyrl-CS"/>
        </w:rPr>
        <w:t xml:space="preserve">). </w:t>
      </w:r>
    </w:p>
    <w:p w14:paraId="4530BE95" w14:textId="77777777" w:rsidR="00D210F0" w:rsidRPr="00092ED7" w:rsidRDefault="00D210F0" w:rsidP="00D210F0">
      <w:pPr>
        <w:spacing w:after="60"/>
        <w:rPr>
          <w:rFonts w:cs="Times New Roman"/>
          <w:lang w:val="sr-Cyrl-CS"/>
        </w:rPr>
      </w:pPr>
      <w:r w:rsidRPr="00092ED7">
        <w:rPr>
          <w:rFonts w:cs="Times New Roman"/>
          <w:b/>
          <w:lang w:val="sr-Cyrl-CS"/>
        </w:rPr>
        <w:t>Положај младих (15-24) на тржишту рада у Републици Србији се поправља последњих година, али су њихови показатељи и даље испод просека показатеља младих у земљама ЕУ.</w:t>
      </w:r>
      <w:r w:rsidRPr="00092ED7">
        <w:rPr>
          <w:rFonts w:cs="Times New Roman"/>
          <w:lang w:val="sr-Cyrl-CS"/>
        </w:rPr>
        <w:t xml:space="preserve"> Учешће младих у радној снази веома је ниско по европским стандардима - стопа активности младих (15-24) износи </w:t>
      </w:r>
      <w:r w:rsidR="00874A6D" w:rsidRPr="00092ED7">
        <w:rPr>
          <w:rFonts w:cs="Times New Roman"/>
          <w:lang w:val="sr-Cyrl-CS"/>
        </w:rPr>
        <w:t>34,1</w:t>
      </w:r>
      <w:r w:rsidRPr="00092ED7">
        <w:rPr>
          <w:rFonts w:cs="Times New Roman"/>
          <w:lang w:val="sr-Cyrl-CS"/>
        </w:rPr>
        <w:t xml:space="preserve">% у </w:t>
      </w:r>
      <w:r w:rsidR="00874A6D" w:rsidRPr="00092ED7">
        <w:rPr>
          <w:rFonts w:cs="Times New Roman"/>
          <w:lang w:val="sr-Cyrl-CS"/>
        </w:rPr>
        <w:t xml:space="preserve">Q3 </w:t>
      </w:r>
      <w:r w:rsidRPr="00092ED7">
        <w:rPr>
          <w:rFonts w:cs="Times New Roman"/>
          <w:lang w:val="sr-Cyrl-CS"/>
        </w:rPr>
        <w:t xml:space="preserve">2022. што је за </w:t>
      </w:r>
      <w:r w:rsidR="00147DF0" w:rsidRPr="00092ED7">
        <w:rPr>
          <w:rFonts w:cs="Times New Roman"/>
          <w:lang w:val="sr-Cyrl-CS"/>
        </w:rPr>
        <w:t>6,4</w:t>
      </w:r>
      <w:r w:rsidRPr="00092ED7">
        <w:rPr>
          <w:rFonts w:cs="Times New Roman"/>
          <w:lang w:val="sr-Cyrl-CS"/>
        </w:rPr>
        <w:t xml:space="preserve"> п.п. ниже у односу на просек у ЕУ (ЕУ-27: 40,5%, Q2 2022, Eurostat). Стопа запослености младих (15-24) је 25,</w:t>
      </w:r>
      <w:r w:rsidR="00874A6D" w:rsidRPr="00092ED7">
        <w:rPr>
          <w:rFonts w:cs="Times New Roman"/>
          <w:lang w:val="sr-Cyrl-CS"/>
        </w:rPr>
        <w:t>4</w:t>
      </w:r>
      <w:r w:rsidRPr="00092ED7">
        <w:rPr>
          <w:rFonts w:cs="Times New Roman"/>
          <w:lang w:val="sr-Cyrl-CS"/>
        </w:rPr>
        <w:t xml:space="preserve">% у </w:t>
      </w:r>
      <w:r w:rsidR="00874A6D" w:rsidRPr="00092ED7">
        <w:rPr>
          <w:rFonts w:cs="Times New Roman"/>
          <w:lang w:val="sr-Cyrl-CS"/>
        </w:rPr>
        <w:t xml:space="preserve">Q3 </w:t>
      </w:r>
      <w:r w:rsidRPr="00092ED7">
        <w:rPr>
          <w:rFonts w:cs="Times New Roman"/>
          <w:lang w:val="sr-Cyrl-CS"/>
        </w:rPr>
        <w:t xml:space="preserve">2022. што је за </w:t>
      </w:r>
      <w:r w:rsidR="00147DF0" w:rsidRPr="00092ED7">
        <w:rPr>
          <w:rFonts w:cs="Times New Roman"/>
          <w:lang w:val="sr-Cyrl-CS"/>
        </w:rPr>
        <w:t>9,3</w:t>
      </w:r>
      <w:r w:rsidRPr="00092ED7">
        <w:rPr>
          <w:rFonts w:cs="Times New Roman"/>
          <w:lang w:val="sr-Cyrl-CS"/>
        </w:rPr>
        <w:t xml:space="preserve"> п.п. ниже у односу на просек у ЕУ (ЕУ-27: 34,7%, Q2 2022, Eurostat). Стопа незапослености младих</w:t>
      </w:r>
      <w:r w:rsidRPr="00092ED7">
        <w:rPr>
          <w:rFonts w:cs="Times New Roman"/>
          <w:b/>
          <w:lang w:val="sr-Cyrl-CS"/>
        </w:rPr>
        <w:t xml:space="preserve"> </w:t>
      </w:r>
      <w:r w:rsidRPr="00092ED7">
        <w:rPr>
          <w:rFonts w:cs="Times New Roman"/>
          <w:lang w:val="sr-Cyrl-CS"/>
        </w:rPr>
        <w:t xml:space="preserve">(15–24) износи </w:t>
      </w:r>
      <w:r w:rsidR="00874A6D" w:rsidRPr="00092ED7">
        <w:rPr>
          <w:rFonts w:cs="Times New Roman"/>
          <w:lang w:val="sr-Cyrl-CS"/>
        </w:rPr>
        <w:t>25,4</w:t>
      </w:r>
      <w:r w:rsidRPr="00092ED7">
        <w:rPr>
          <w:rFonts w:cs="Times New Roman"/>
          <w:lang w:val="sr-Cyrl-CS"/>
        </w:rPr>
        <w:t>%</w:t>
      </w:r>
      <w:r w:rsidRPr="00092ED7">
        <w:rPr>
          <w:rFonts w:cs="Times New Roman"/>
          <w:b/>
          <w:lang w:val="sr-Cyrl-CS"/>
        </w:rPr>
        <w:t xml:space="preserve"> </w:t>
      </w:r>
      <w:r w:rsidRPr="00092ED7">
        <w:rPr>
          <w:rFonts w:cs="Times New Roman"/>
          <w:lang w:val="sr-Cyrl-CS"/>
        </w:rPr>
        <w:t xml:space="preserve">у </w:t>
      </w:r>
      <w:r w:rsidR="00874A6D" w:rsidRPr="00092ED7">
        <w:rPr>
          <w:rFonts w:cs="Times New Roman"/>
          <w:lang w:val="sr-Cyrl-CS"/>
        </w:rPr>
        <w:t xml:space="preserve">Q3 </w:t>
      </w:r>
      <w:r w:rsidRPr="00092ED7">
        <w:rPr>
          <w:rFonts w:cs="Times New Roman"/>
          <w:lang w:val="sr-Cyrl-CS"/>
        </w:rPr>
        <w:t xml:space="preserve">2022. што је за </w:t>
      </w:r>
      <w:r w:rsidR="00147DF0" w:rsidRPr="00092ED7">
        <w:rPr>
          <w:rFonts w:cs="Times New Roman"/>
          <w:lang w:val="sr-Cyrl-CS"/>
        </w:rPr>
        <w:t>11</w:t>
      </w:r>
      <w:r w:rsidRPr="00092ED7">
        <w:rPr>
          <w:rFonts w:cs="Times New Roman"/>
          <w:lang w:val="sr-Cyrl-CS"/>
        </w:rPr>
        <w:t xml:space="preserve"> п.п. више од стопе незапослености младих у ЕУ (ЕУ-27: 14,4%, Q2 2022, Eurostat). Поред тога што нису запослени, значајан број младих истовремено је и ван процеса образовања и обуке - у Републици Србији </w:t>
      </w:r>
      <w:r w:rsidRPr="00092ED7">
        <w:rPr>
          <w:rFonts w:cs="Times New Roman"/>
          <w:b/>
          <w:i/>
          <w:lang w:val="sr-Cyrl-CS"/>
        </w:rPr>
        <w:t>NEET</w:t>
      </w:r>
      <w:r w:rsidRPr="00092ED7">
        <w:rPr>
          <w:rFonts w:cs="Times New Roman"/>
          <w:b/>
          <w:vertAlign w:val="superscript"/>
          <w:lang w:val="sr-Cyrl-CS"/>
        </w:rPr>
        <w:footnoteReference w:id="17"/>
      </w:r>
      <w:r w:rsidRPr="00092ED7">
        <w:rPr>
          <w:rFonts w:cs="Times New Roman"/>
          <w:b/>
          <w:lang w:val="sr-Cyrl-CS"/>
        </w:rPr>
        <w:t xml:space="preserve"> стопа младих</w:t>
      </w:r>
      <w:r w:rsidRPr="00092ED7">
        <w:rPr>
          <w:rFonts w:cs="Times New Roman"/>
          <w:lang w:val="sr-Cyrl-CS"/>
        </w:rPr>
        <w:t xml:space="preserve"> (15-24) износи </w:t>
      </w:r>
      <w:r w:rsidR="00874A6D" w:rsidRPr="00092ED7">
        <w:rPr>
          <w:rFonts w:cs="Times New Roman"/>
          <w:b/>
          <w:lang w:val="sr-Cyrl-CS"/>
        </w:rPr>
        <w:t>13,5</w:t>
      </w:r>
      <w:r w:rsidRPr="00092ED7">
        <w:rPr>
          <w:rFonts w:cs="Times New Roman"/>
          <w:b/>
          <w:lang w:val="sr-Cyrl-CS"/>
        </w:rPr>
        <w:t>%</w:t>
      </w:r>
      <w:r w:rsidRPr="00092ED7">
        <w:rPr>
          <w:rFonts w:cs="Times New Roman"/>
          <w:lang w:val="sr-Cyrl-CS"/>
        </w:rPr>
        <w:t xml:space="preserve"> у </w:t>
      </w:r>
      <w:r w:rsidR="00874A6D" w:rsidRPr="00092ED7">
        <w:rPr>
          <w:rFonts w:cs="Times New Roman"/>
          <w:lang w:val="sr-Cyrl-CS"/>
        </w:rPr>
        <w:t xml:space="preserve">Q3 </w:t>
      </w:r>
      <w:r w:rsidRPr="00092ED7">
        <w:rPr>
          <w:rFonts w:cs="Times New Roman"/>
          <w:lang w:val="sr-Cyrl-CS"/>
        </w:rPr>
        <w:t xml:space="preserve">2022. што је више од просека у ЕУ (ЕУ-27: </w:t>
      </w:r>
      <w:r w:rsidR="004A4478" w:rsidRPr="00092ED7">
        <w:rPr>
          <w:rFonts w:cs="Times New Roman"/>
          <w:lang w:val="sr-Cyrl-CS"/>
        </w:rPr>
        <w:t>10,2%</w:t>
      </w:r>
      <w:r w:rsidRPr="00092ED7">
        <w:rPr>
          <w:rFonts w:cs="Times New Roman"/>
          <w:lang w:val="sr-Cyrl-CS"/>
        </w:rPr>
        <w:t xml:space="preserve"> </w:t>
      </w:r>
      <w:r w:rsidR="004A4478" w:rsidRPr="00092ED7">
        <w:rPr>
          <w:rFonts w:cs="Times New Roman"/>
          <w:lang w:val="sr-Cyrl-CS"/>
        </w:rPr>
        <w:t xml:space="preserve">у Q3 </w:t>
      </w:r>
      <w:r w:rsidRPr="00092ED7">
        <w:rPr>
          <w:rFonts w:cs="Times New Roman"/>
          <w:lang w:val="sr-Cyrl-CS"/>
        </w:rPr>
        <w:t>2022, Eurostat).</w:t>
      </w:r>
    </w:p>
    <w:p w14:paraId="7A0C352A" w14:textId="45F3E61E" w:rsidR="00D210F0" w:rsidRPr="00092ED7" w:rsidRDefault="00D210F0" w:rsidP="00D210F0">
      <w:pPr>
        <w:spacing w:after="60"/>
        <w:rPr>
          <w:rFonts w:cs="Times New Roman"/>
          <w:lang w:val="sr-Cyrl-CS"/>
        </w:rPr>
      </w:pPr>
      <w:r w:rsidRPr="00092ED7">
        <w:rPr>
          <w:rFonts w:cs="Times New Roman"/>
          <w:lang w:val="sr-Cyrl-CS"/>
        </w:rPr>
        <w:t xml:space="preserve">Република Србија ће </w:t>
      </w:r>
      <w:r w:rsidRPr="00092ED7">
        <w:rPr>
          <w:rFonts w:cs="Times New Roman"/>
          <w:b/>
          <w:lang w:val="sr-Cyrl-CS"/>
        </w:rPr>
        <w:t>подржати запошљавање младих</w:t>
      </w:r>
      <w:r w:rsidRPr="00092ED7">
        <w:rPr>
          <w:rFonts w:cs="Times New Roman"/>
          <w:lang w:val="sr-Cyrl-CS"/>
        </w:rPr>
        <w:t xml:space="preserve">, поред осталих активности и мера, и </w:t>
      </w:r>
      <w:r w:rsidRPr="00092ED7">
        <w:rPr>
          <w:rFonts w:cs="Times New Roman"/>
          <w:b/>
          <w:lang w:val="sr-Cyrl-CS"/>
        </w:rPr>
        <w:t>постепеним успостављањем и имплементацијом</w:t>
      </w:r>
      <w:r w:rsidRPr="00092ED7">
        <w:rPr>
          <w:rFonts w:cs="Times New Roman"/>
          <w:lang w:val="sr-Cyrl-CS"/>
        </w:rPr>
        <w:t xml:space="preserve"> </w:t>
      </w:r>
      <w:r w:rsidRPr="00092ED7">
        <w:rPr>
          <w:rFonts w:cs="Times New Roman"/>
          <w:b/>
          <w:lang w:val="sr-Cyrl-CS"/>
        </w:rPr>
        <w:t>Гаранције за младе</w:t>
      </w:r>
      <w:r w:rsidRPr="00092ED7">
        <w:rPr>
          <w:rFonts w:cs="Times New Roman"/>
          <w:b/>
          <w:vertAlign w:val="superscript"/>
          <w:lang w:val="sr-Cyrl-CS"/>
        </w:rPr>
        <w:footnoteReference w:id="18"/>
      </w:r>
      <w:r w:rsidRPr="00092ED7">
        <w:rPr>
          <w:rFonts w:cs="Times New Roman"/>
          <w:lang w:val="sr-Cyrl-CS"/>
        </w:rPr>
        <w:t xml:space="preserve"> у сарадњи са свим релевантним министарствима, социјалним партнерима и осталим заинтересованим странама, у складу са потврђеном Декларацијом Западног Балкана о одрживој интеграцији младих на тржиште рада</w:t>
      </w:r>
      <w:r w:rsidRPr="00092ED7">
        <w:rPr>
          <w:rFonts w:cs="Times New Roman"/>
          <w:vertAlign w:val="superscript"/>
          <w:lang w:val="sr-Cyrl-CS"/>
        </w:rPr>
        <w:footnoteReference w:id="19"/>
      </w:r>
      <w:r w:rsidRPr="00092ED7">
        <w:rPr>
          <w:rFonts w:cs="Times New Roman"/>
          <w:lang w:val="sr-Cyrl-CS"/>
        </w:rPr>
        <w:t xml:space="preserve">. Увођење Гаранције за младе омогућиће планирање и спровођење низа реформи политика у Републици Србији – у областима образовања и обуке, запошљавања и тржишта рада, које су неопоходне за унапређење преласка из школе на посао на средњорочном и дугорочном плану. План </w:t>
      </w:r>
      <w:r w:rsidRPr="00092ED7">
        <w:rPr>
          <w:rFonts w:cs="Times New Roman"/>
          <w:lang w:val="sr-Cyrl-CS"/>
        </w:rPr>
        <w:lastRenderedPageBreak/>
        <w:t>имплементације Гаранције за младе Републике Србије за период 2023-2025</w:t>
      </w:r>
      <w:r w:rsidR="00E561DE" w:rsidRPr="00092ED7">
        <w:rPr>
          <w:rFonts w:cs="Times New Roman"/>
          <w:lang w:val="sr-Cyrl-CS"/>
        </w:rPr>
        <w:t>.</w:t>
      </w:r>
      <w:r w:rsidRPr="00092ED7">
        <w:rPr>
          <w:rFonts w:cs="Times New Roman"/>
          <w:lang w:val="sr-Cyrl-CS"/>
        </w:rPr>
        <w:t xml:space="preserve"> је у припреми</w:t>
      </w:r>
      <w:r w:rsidR="00CD6FAA" w:rsidRPr="00092ED7">
        <w:rPr>
          <w:rFonts w:cs="Times New Roman"/>
          <w:lang w:val="sr-Cyrl-CS"/>
        </w:rPr>
        <w:t xml:space="preserve"> а</w:t>
      </w:r>
      <w:r w:rsidR="00B52C0F" w:rsidRPr="00092ED7">
        <w:rPr>
          <w:rFonts w:cs="Times New Roman"/>
          <w:lang w:val="sr-Cyrl-CS"/>
        </w:rPr>
        <w:t xml:space="preserve"> његово</w:t>
      </w:r>
      <w:r w:rsidR="00CD6FAA" w:rsidRPr="00092ED7">
        <w:rPr>
          <w:rFonts w:cs="Times New Roman"/>
          <w:lang w:val="sr-Cyrl-CS"/>
        </w:rPr>
        <w:t xml:space="preserve"> усвајање очекује </w:t>
      </w:r>
      <w:r w:rsidR="00B52C0F" w:rsidRPr="00092ED7">
        <w:rPr>
          <w:rFonts w:cs="Times New Roman"/>
          <w:lang w:val="sr-Cyrl-CS"/>
        </w:rPr>
        <w:t xml:space="preserve">се </w:t>
      </w:r>
      <w:r w:rsidR="00CC71EC" w:rsidRPr="00092ED7">
        <w:rPr>
          <w:rFonts w:cs="Times New Roman"/>
          <w:lang w:val="sr-Cyrl-CS"/>
        </w:rPr>
        <w:t>до краја другог</w:t>
      </w:r>
      <w:r w:rsidR="00CD6FAA" w:rsidRPr="00092ED7">
        <w:rPr>
          <w:rFonts w:cs="Times New Roman"/>
          <w:lang w:val="sr-Cyrl-CS"/>
        </w:rPr>
        <w:t xml:space="preserve"> </w:t>
      </w:r>
      <w:r w:rsidR="00CC71EC" w:rsidRPr="00092ED7">
        <w:rPr>
          <w:rFonts w:cs="Times New Roman"/>
          <w:lang w:val="sr-Cyrl-CS"/>
        </w:rPr>
        <w:t xml:space="preserve">квартала </w:t>
      </w:r>
      <w:r w:rsidR="00CD6FAA" w:rsidRPr="00092ED7">
        <w:rPr>
          <w:rFonts w:cs="Times New Roman"/>
          <w:lang w:val="sr-Cyrl-CS"/>
        </w:rPr>
        <w:t>2023. године</w:t>
      </w:r>
      <w:r w:rsidRPr="00092ED7">
        <w:rPr>
          <w:rFonts w:cs="Times New Roman"/>
          <w:lang w:val="sr-Cyrl-CS"/>
        </w:rPr>
        <w:t>.</w:t>
      </w:r>
    </w:p>
    <w:p w14:paraId="416080B2" w14:textId="378A4ACE" w:rsidR="00D210F0" w:rsidRPr="00092ED7" w:rsidRDefault="00D210F0" w:rsidP="00D210F0">
      <w:pPr>
        <w:spacing w:after="60"/>
        <w:rPr>
          <w:rFonts w:cs="Times New Roman"/>
          <w:lang w:val="sr-Cyrl-CS"/>
        </w:rPr>
      </w:pPr>
      <w:r w:rsidRPr="00092ED7">
        <w:rPr>
          <w:rFonts w:cs="Times New Roman"/>
          <w:b/>
          <w:lang w:val="sr-Cyrl-CS"/>
        </w:rPr>
        <w:t>Издвајања за активну политику запошљавања износила су 0,1% БДП у 2021. години</w:t>
      </w:r>
      <w:r w:rsidRPr="00092ED7">
        <w:rPr>
          <w:rFonts w:cs="Times New Roman"/>
          <w:lang w:val="sr-Cyrl-CS"/>
        </w:rPr>
        <w:t>. За реализацију планираних мера активне политике запошљавања обезбеђено је 6,55 милијарди динара</w:t>
      </w:r>
      <w:r w:rsidR="00A52FD9" w:rsidRPr="00092ED7">
        <w:rPr>
          <w:rFonts w:cs="Times New Roman"/>
          <w:lang w:val="sr-Cyrl-CS"/>
        </w:rPr>
        <w:t xml:space="preserve"> (54,6 милиона евра)</w:t>
      </w:r>
      <w:r w:rsidRPr="00092ED7">
        <w:rPr>
          <w:rFonts w:cs="Times New Roman"/>
          <w:lang w:val="sr-Cyrl-CS"/>
        </w:rPr>
        <w:t xml:space="preserve"> у </w:t>
      </w:r>
      <w:r w:rsidR="00C76711" w:rsidRPr="00092ED7">
        <w:rPr>
          <w:rFonts w:cs="Times New Roman"/>
          <w:lang w:val="sr-Cyrl-CS"/>
        </w:rPr>
        <w:t>финансијском плану Н</w:t>
      </w:r>
      <w:r w:rsidR="008B2875" w:rsidRPr="00092ED7">
        <w:rPr>
          <w:rFonts w:cs="Times New Roman"/>
          <w:lang w:val="sr-Cyrl-CS"/>
        </w:rPr>
        <w:t>ационалне службе за запош</w:t>
      </w:r>
      <w:r w:rsidR="00E561DE" w:rsidRPr="00092ED7">
        <w:rPr>
          <w:rFonts w:cs="Times New Roman"/>
          <w:lang w:val="sr-Cyrl-CS"/>
        </w:rPr>
        <w:t>љ</w:t>
      </w:r>
      <w:r w:rsidR="008B2875" w:rsidRPr="00092ED7">
        <w:rPr>
          <w:rFonts w:cs="Times New Roman"/>
          <w:lang w:val="sr-Cyrl-CS"/>
        </w:rPr>
        <w:t xml:space="preserve">авање </w:t>
      </w:r>
      <w:r w:rsidRPr="00092ED7">
        <w:rPr>
          <w:rFonts w:cs="Times New Roman"/>
          <w:lang w:val="sr-Cyrl-CS"/>
        </w:rPr>
        <w:t xml:space="preserve">за 2022. годину. </w:t>
      </w:r>
      <w:r w:rsidR="00440691" w:rsidRPr="00092ED7">
        <w:rPr>
          <w:rFonts w:cs="Times New Roman"/>
          <w:lang w:val="sr-Cyrl-CS"/>
        </w:rPr>
        <w:t>Такође,</w:t>
      </w:r>
      <w:r w:rsidRPr="00092ED7">
        <w:rPr>
          <w:rFonts w:cs="Times New Roman"/>
          <w:lang w:val="sr-Cyrl-CS"/>
        </w:rPr>
        <w:t xml:space="preserve"> за реализацију мера активне политике запошљавања, у оквиру локалних планских документата у области запошљавања, обезбеђују на годишњем нивоу и </w:t>
      </w:r>
      <w:r w:rsidR="00EB5D17" w:rsidRPr="00092ED7">
        <w:rPr>
          <w:rFonts w:cs="Times New Roman"/>
          <w:lang w:val="sr-Cyrl-CS"/>
        </w:rPr>
        <w:t>ЈЛС</w:t>
      </w:r>
      <w:r w:rsidRPr="00092ED7">
        <w:rPr>
          <w:rFonts w:cs="Times New Roman"/>
          <w:lang w:val="sr-Cyrl-CS"/>
        </w:rPr>
        <w:t xml:space="preserve"> (у пројектованом износу од 900 милиона динара</w:t>
      </w:r>
      <w:r w:rsidR="00A52FD9" w:rsidRPr="00092ED7">
        <w:rPr>
          <w:rFonts w:cs="Times New Roman"/>
          <w:lang w:val="sr-Cyrl-CS"/>
        </w:rPr>
        <w:t xml:space="preserve"> односно 7,5 милиона евра</w:t>
      </w:r>
      <w:r w:rsidRPr="00092ED7">
        <w:rPr>
          <w:rFonts w:cs="Times New Roman"/>
          <w:lang w:val="sr-Cyrl-CS"/>
        </w:rPr>
        <w:t>).</w:t>
      </w:r>
    </w:p>
    <w:p w14:paraId="2E3610FF" w14:textId="77777777" w:rsidR="00D210F0" w:rsidRPr="00092ED7" w:rsidRDefault="00D210F0" w:rsidP="00D210F0">
      <w:pPr>
        <w:spacing w:after="60"/>
        <w:rPr>
          <w:rFonts w:cs="Times New Roman"/>
          <w:lang w:val="sr-Cyrl-CS"/>
        </w:rPr>
      </w:pPr>
      <w:r w:rsidRPr="00092ED7">
        <w:rPr>
          <w:rFonts w:cs="Times New Roman"/>
          <w:b/>
          <w:lang w:val="sr-Cyrl-CS"/>
        </w:rPr>
        <w:t>Ученици не располажу практичним и примењивим знањима и вештинама потребним за рад у реалном радном окружењу по завршетку средње стручне школе.</w:t>
      </w:r>
      <w:r w:rsidRPr="00092ED7">
        <w:rPr>
          <w:rFonts w:cs="Times New Roman"/>
          <w:lang w:val="sr-Cyrl-CS"/>
        </w:rPr>
        <w:t xml:space="preserve"> Такође, </w:t>
      </w:r>
      <w:r w:rsidRPr="00092ED7">
        <w:rPr>
          <w:rFonts w:cs="Times New Roman"/>
          <w:b/>
          <w:lang w:val="sr-Cyrl-CS"/>
        </w:rPr>
        <w:t>недостатак радног искуства, једна је од најчешћих препрека за запошљавање младих</w:t>
      </w:r>
      <w:r w:rsidRPr="00092ED7">
        <w:rPr>
          <w:rFonts w:cs="Times New Roman"/>
          <w:lang w:val="sr-Cyrl-CS"/>
        </w:rPr>
        <w:t xml:space="preserve">, тако да је младима неопходно омогућити да још </w:t>
      </w:r>
      <w:r w:rsidRPr="00092ED7">
        <w:rPr>
          <w:rFonts w:cs="Times New Roman"/>
          <w:b/>
          <w:lang w:val="sr-Cyrl-CS"/>
        </w:rPr>
        <w:t>током процеса формалног образовања остваре одређени контакт са тржиштем рада</w:t>
      </w:r>
      <w:r w:rsidRPr="00092ED7">
        <w:rPr>
          <w:rFonts w:cs="Times New Roman"/>
          <w:lang w:val="sr-Cyrl-CS"/>
        </w:rPr>
        <w:t xml:space="preserve">. </w:t>
      </w:r>
      <w:r w:rsidRPr="00092ED7">
        <w:rPr>
          <w:rFonts w:cs="Times New Roman"/>
          <w:bCs/>
          <w:lang w:val="sr-Cyrl-CS"/>
        </w:rPr>
        <w:t>С</w:t>
      </w:r>
      <w:r w:rsidRPr="00092ED7">
        <w:rPr>
          <w:rFonts w:cs="Times New Roman"/>
          <w:lang w:val="sr-Cyrl-CS"/>
        </w:rPr>
        <w:t xml:space="preserve">тицање, усавршавање и развој компетенција у складу са потребама тржишта рада обезбеђени су и </w:t>
      </w:r>
      <w:r w:rsidRPr="00092ED7">
        <w:rPr>
          <w:rFonts w:cs="Times New Roman"/>
          <w:b/>
          <w:lang w:val="sr-Cyrl-CS"/>
        </w:rPr>
        <w:t>дуалним образовањем</w:t>
      </w:r>
      <w:r w:rsidRPr="00092ED7">
        <w:rPr>
          <w:rFonts w:cs="Times New Roman"/>
          <w:bCs/>
          <w:lang w:val="sr-Cyrl-CS"/>
        </w:rPr>
        <w:t>, моделом реализације наставе у оквиру средњег стручног образовања у оквиру кога се теоријска настава и вежбе реализују у школи, а учење кроз рад у компанијама. До сада је системом дуалног образовања обухваћено преко 13.500 ученика. Број дуалних образовних профила нарастао је на 65 у школској 2022/2023 години</w:t>
      </w:r>
      <w:r w:rsidRPr="00092ED7">
        <w:rPr>
          <w:rStyle w:val="FootnoteReference"/>
          <w:rFonts w:cs="Times New Roman"/>
          <w:lang w:val="sr-Cyrl-CS"/>
        </w:rPr>
        <w:footnoteReference w:id="20"/>
      </w:r>
      <w:r w:rsidRPr="00092ED7">
        <w:rPr>
          <w:rFonts w:cs="Times New Roman"/>
          <w:lang w:val="sr-Cyrl-CS"/>
        </w:rPr>
        <w:t xml:space="preserve">, а у реализацију дуалног образовања укључено је око 168 средњих стручних школа. Од укупног броја ученика првог разреда средње стручне школе у школској 2021/2022 години </w:t>
      </w:r>
      <w:r w:rsidRPr="00092ED7">
        <w:rPr>
          <w:rFonts w:cs="Times New Roman"/>
          <w:b/>
          <w:lang w:val="sr-Cyrl-CS"/>
        </w:rPr>
        <w:t>5,16% је у систему дуалног образовања</w:t>
      </w:r>
      <w:r w:rsidRPr="00092ED7">
        <w:rPr>
          <w:rFonts w:cs="Times New Roman"/>
          <w:lang w:val="sr-Cyrl-CS"/>
        </w:rPr>
        <w:t>.</w:t>
      </w:r>
    </w:p>
    <w:p w14:paraId="6B36C26D" w14:textId="5FFF227F" w:rsidR="006C025B" w:rsidRPr="00092ED7" w:rsidRDefault="00D210F0" w:rsidP="00D210F0">
      <w:pPr>
        <w:spacing w:after="60"/>
        <w:rPr>
          <w:lang w:val="sr-Cyrl-CS"/>
        </w:rPr>
      </w:pPr>
      <w:r w:rsidRPr="00092ED7">
        <w:rPr>
          <w:rFonts w:cs="Times New Roman"/>
          <w:b/>
          <w:lang w:val="sr-Cyrl-CS"/>
        </w:rPr>
        <w:t>Увођење дуалног образовања у високом образовању</w:t>
      </w:r>
      <w:r w:rsidRPr="00092ED7">
        <w:rPr>
          <w:rStyle w:val="FootnoteReference"/>
          <w:rFonts w:cs="Times New Roman"/>
          <w:b/>
          <w:lang w:val="sr-Cyrl-CS"/>
        </w:rPr>
        <w:footnoteReference w:id="21"/>
      </w:r>
      <w:r w:rsidRPr="00092ED7">
        <w:rPr>
          <w:rFonts w:cs="Times New Roman"/>
          <w:b/>
          <w:lang w:val="sr-Cyrl-CS"/>
        </w:rPr>
        <w:t xml:space="preserve"> </w:t>
      </w:r>
      <w:r w:rsidRPr="00092ED7">
        <w:rPr>
          <w:rFonts w:cs="Times New Roman"/>
          <w:lang w:val="sr-Cyrl-CS"/>
        </w:rPr>
        <w:t xml:space="preserve">обезбеђено је усвајањем </w:t>
      </w:r>
      <w:r w:rsidRPr="00092ED7">
        <w:rPr>
          <w:rFonts w:cs="Times New Roman"/>
          <w:i/>
          <w:lang w:val="sr-Cyrl-CS"/>
        </w:rPr>
        <w:t>Закона о дуалном моделу студија у високом образовању</w:t>
      </w:r>
      <w:r w:rsidRPr="00092ED7">
        <w:rPr>
          <w:rFonts w:cs="Times New Roman"/>
          <w:lang w:val="sr-Cyrl-CS"/>
        </w:rPr>
        <w:t xml:space="preserve"> („Сл</w:t>
      </w:r>
      <w:r w:rsidR="00D706BE" w:rsidRPr="00092ED7">
        <w:rPr>
          <w:rFonts w:cs="Times New Roman"/>
          <w:lang w:val="sr-Cyrl-CS"/>
        </w:rPr>
        <w:t>ужбени</w:t>
      </w:r>
      <w:r w:rsidR="00576076" w:rsidRPr="00092ED7">
        <w:rPr>
          <w:rFonts w:cs="Times New Roman"/>
          <w:lang w:val="sr-Cyrl-CS"/>
        </w:rPr>
        <w:t xml:space="preserve"> гласник РС</w:t>
      </w:r>
      <w:r w:rsidR="00D706BE" w:rsidRPr="00092ED7">
        <w:rPr>
          <w:rFonts w:cs="Times New Roman"/>
          <w:szCs w:val="24"/>
          <w:lang w:val="sr-Cyrl-CS"/>
        </w:rPr>
        <w:t>”</w:t>
      </w:r>
      <w:r w:rsidR="00576076" w:rsidRPr="00092ED7">
        <w:rPr>
          <w:rFonts w:cs="Times New Roman"/>
          <w:lang w:val="sr-Cyrl-CS"/>
        </w:rPr>
        <w:t>, бр</w:t>
      </w:r>
      <w:r w:rsidR="00D706BE" w:rsidRPr="00092ED7">
        <w:rPr>
          <w:rFonts w:cs="Times New Roman"/>
          <w:lang w:val="sr-Cyrl-CS"/>
        </w:rPr>
        <w:t>ој</w:t>
      </w:r>
      <w:r w:rsidRPr="00092ED7">
        <w:rPr>
          <w:rFonts w:cs="Times New Roman"/>
          <w:lang w:val="sr-Cyrl-CS"/>
        </w:rPr>
        <w:t xml:space="preserve"> 66/19), као одговор на реалне потребе домаћих и иностраних компанија које послују у Републици Србији за адекватним, високообразованим кадром са практичним и применљивим знањима. У академској 2021/2022 години започета је реализација првих студијских програма по </w:t>
      </w:r>
      <w:r w:rsidRPr="00092ED7">
        <w:rPr>
          <w:rFonts w:cs="Times New Roman"/>
          <w:b/>
          <w:lang w:val="sr-Cyrl-CS"/>
        </w:rPr>
        <w:t>дуалном моделу студија у високом образовању</w:t>
      </w:r>
      <w:r w:rsidRPr="00092ED7">
        <w:rPr>
          <w:rFonts w:cs="Times New Roman"/>
          <w:lang w:val="sr-Cyrl-CS"/>
        </w:rPr>
        <w:t xml:space="preserve">. </w:t>
      </w:r>
      <w:r w:rsidR="006C025B" w:rsidRPr="00092ED7">
        <w:rPr>
          <w:rFonts w:cs="Times New Roman"/>
          <w:lang w:val="sr-Cyrl-CS"/>
        </w:rPr>
        <w:t xml:space="preserve">Тренутно постоји </w:t>
      </w:r>
      <w:r w:rsidR="006C025B" w:rsidRPr="00092ED7">
        <w:rPr>
          <w:rFonts w:cs="Times New Roman"/>
          <w:b/>
          <w:lang w:val="sr-Cyrl-CS"/>
        </w:rPr>
        <w:t>36 акредитованих студијских програма</w:t>
      </w:r>
      <w:r w:rsidR="006C025B" w:rsidRPr="00092ED7">
        <w:rPr>
          <w:rFonts w:cs="Times New Roman"/>
          <w:lang w:val="sr-Cyrl-CS"/>
        </w:rPr>
        <w:t xml:space="preserve"> по дуалном моделу студија на </w:t>
      </w:r>
      <w:r w:rsidR="009E0CFF" w:rsidRPr="00092ED7">
        <w:rPr>
          <w:rFonts w:cs="Times New Roman"/>
          <w:b/>
          <w:lang w:val="sr-Cyrl-CS"/>
        </w:rPr>
        <w:t xml:space="preserve">десет </w:t>
      </w:r>
      <w:r w:rsidR="006C025B" w:rsidRPr="00092ED7">
        <w:rPr>
          <w:rFonts w:cs="Times New Roman"/>
          <w:b/>
          <w:lang w:val="sr-Cyrl-CS"/>
        </w:rPr>
        <w:t>високошколских установа,</w:t>
      </w:r>
      <w:r w:rsidR="006C025B" w:rsidRPr="00092ED7">
        <w:rPr>
          <w:rFonts w:cs="Times New Roman"/>
          <w:lang w:val="sr-Cyrl-CS"/>
        </w:rPr>
        <w:t xml:space="preserve"> a 95 компанија које су укључене у овај модел реализације наставе. </w:t>
      </w:r>
      <w:r w:rsidR="00EC1115" w:rsidRPr="00092ED7">
        <w:rPr>
          <w:lang w:val="sr-Cyrl-CS"/>
        </w:rPr>
        <w:t xml:space="preserve">Влада </w:t>
      </w:r>
      <w:r w:rsidR="006235E5" w:rsidRPr="00092ED7">
        <w:rPr>
          <w:lang w:val="sr-Cyrl-CS"/>
        </w:rPr>
        <w:t xml:space="preserve">је </w:t>
      </w:r>
      <w:r w:rsidR="00EC1115" w:rsidRPr="00092ED7">
        <w:rPr>
          <w:lang w:val="sr-Cyrl-CS"/>
        </w:rPr>
        <w:t>основала 10. новембра 2022. године Канцеларију за дуално образовање и Национални оквир квалификација. На тај начин се послови везани за дуално образовање и Национални оквир квалификациј</w:t>
      </w:r>
      <w:r w:rsidR="00290882" w:rsidRPr="00092ED7">
        <w:rPr>
          <w:lang w:val="sr-Cyrl-CS"/>
        </w:rPr>
        <w:t>а</w:t>
      </w:r>
      <w:r w:rsidR="00EC1115" w:rsidRPr="00092ED7">
        <w:rPr>
          <w:lang w:val="sr-Cyrl-CS"/>
        </w:rPr>
        <w:t xml:space="preserve"> </w:t>
      </w:r>
      <w:r w:rsidR="00290882" w:rsidRPr="00092ED7">
        <w:rPr>
          <w:lang w:val="sr-Cyrl-CS"/>
        </w:rPr>
        <w:t xml:space="preserve">(у даљем тексту: НОКС) </w:t>
      </w:r>
      <w:r w:rsidR="00EC1115" w:rsidRPr="00092ED7">
        <w:rPr>
          <w:lang w:val="sr-Cyrl-CS"/>
        </w:rPr>
        <w:t>измештају из делокруга Министарства просвете.</w:t>
      </w:r>
    </w:p>
    <w:p w14:paraId="2ECDCDDA" w14:textId="76111E73" w:rsidR="00D210F0" w:rsidRPr="00092ED7" w:rsidRDefault="00D210F0" w:rsidP="00D210F0">
      <w:pPr>
        <w:spacing w:after="60"/>
        <w:rPr>
          <w:rFonts w:cs="Times New Roman"/>
          <w:lang w:val="sr-Cyrl-CS"/>
        </w:rPr>
      </w:pPr>
      <w:r w:rsidRPr="00092ED7">
        <w:rPr>
          <w:rFonts w:cs="Times New Roman"/>
          <w:b/>
          <w:lang w:val="sr-Cyrl-CS"/>
        </w:rPr>
        <w:t>Праћење усклађености потреба тржишта рада и образовања</w:t>
      </w:r>
      <w:r w:rsidRPr="00092ED7">
        <w:rPr>
          <w:rFonts w:cs="Times New Roman"/>
          <w:lang w:val="sr-Cyrl-CS"/>
        </w:rPr>
        <w:t xml:space="preserve">, као и планирање и вођење јавних политика у области образовања и запошљавања, </w:t>
      </w:r>
      <w:r w:rsidRPr="00092ED7">
        <w:rPr>
          <w:rFonts w:cs="Times New Roman"/>
          <w:b/>
          <w:lang w:val="sr-Cyrl-CS"/>
        </w:rPr>
        <w:t>омогућено</w:t>
      </w:r>
      <w:r w:rsidRPr="00092ED7">
        <w:rPr>
          <w:rFonts w:cs="Times New Roman"/>
          <w:lang w:val="sr-Cyrl-CS"/>
        </w:rPr>
        <w:t xml:space="preserve"> је развојем и објављивањем јединствене </w:t>
      </w:r>
      <w:r w:rsidRPr="00092ED7">
        <w:rPr>
          <w:rFonts w:cs="Times New Roman"/>
          <w:b/>
          <w:lang w:val="sr-Cyrl-CS"/>
        </w:rPr>
        <w:t>Листе квалификација</w:t>
      </w:r>
      <w:r w:rsidRPr="00092ED7">
        <w:rPr>
          <w:rFonts w:cs="Times New Roman"/>
          <w:lang w:val="sr-Cyrl-CS"/>
        </w:rPr>
        <w:t xml:space="preserve"> и применом Шифарника занимања. Листа квалификација представља основну базу података за регистре који су успостављени у оквиру Јединственог информационог система просвете (</w:t>
      </w:r>
      <w:r w:rsidR="008B2875" w:rsidRPr="00092ED7">
        <w:rPr>
          <w:rFonts w:cs="Times New Roman"/>
          <w:lang w:val="sr-Cyrl-CS"/>
        </w:rPr>
        <w:t xml:space="preserve">у даљем тексту: </w:t>
      </w:r>
      <w:r w:rsidRPr="00092ED7">
        <w:rPr>
          <w:rFonts w:cs="Times New Roman"/>
          <w:lang w:val="sr-Cyrl-CS"/>
        </w:rPr>
        <w:t>ЈИСП), а посебно</w:t>
      </w:r>
      <w:r w:rsidRPr="00092ED7">
        <w:rPr>
          <w:rFonts w:cs="Times New Roman"/>
          <w:b/>
          <w:lang w:val="sr-Cyrl-CS"/>
        </w:rPr>
        <w:t xml:space="preserve"> Регистра НОКС</w:t>
      </w:r>
      <w:r w:rsidRPr="00092ED7">
        <w:rPr>
          <w:rFonts w:cs="Times New Roman"/>
          <w:vertAlign w:val="superscript"/>
          <w:lang w:val="sr-Cyrl-CS"/>
        </w:rPr>
        <w:footnoteReference w:id="22"/>
      </w:r>
      <w:r w:rsidRPr="00092ED7">
        <w:rPr>
          <w:rFonts w:cs="Times New Roman"/>
          <w:lang w:val="sr-Cyrl-CS"/>
        </w:rPr>
        <w:t xml:space="preserve"> у коме се тренутно налази </w:t>
      </w:r>
      <w:r w:rsidRPr="00092ED7">
        <w:rPr>
          <w:rFonts w:cs="Times New Roman"/>
          <w:b/>
          <w:lang w:val="sr-Cyrl-CS"/>
        </w:rPr>
        <w:t>4.654 квалификација и 8</w:t>
      </w:r>
      <w:r w:rsidR="00C36798" w:rsidRPr="00092ED7">
        <w:rPr>
          <w:rFonts w:cs="Times New Roman"/>
          <w:b/>
          <w:lang w:val="sr-Cyrl-CS"/>
        </w:rPr>
        <w:t>3</w:t>
      </w:r>
      <w:r w:rsidRPr="00092ED7">
        <w:rPr>
          <w:rFonts w:cs="Times New Roman"/>
          <w:b/>
          <w:lang w:val="sr-Cyrl-CS"/>
        </w:rPr>
        <w:t xml:space="preserve"> стандарда квалификација</w:t>
      </w:r>
      <w:r w:rsidRPr="00092ED7">
        <w:rPr>
          <w:rFonts w:cs="Times New Roman"/>
          <w:lang w:val="sr-Cyrl-CS"/>
        </w:rPr>
        <w:t>. Развој стандарда квалификација заснованих на потребама тржишта рада и друштва у целини обезбеђен је радом 12 секторских већа, а до сада је израђено 8</w:t>
      </w:r>
      <w:r w:rsidR="00C36798" w:rsidRPr="00092ED7">
        <w:rPr>
          <w:rFonts w:cs="Times New Roman"/>
          <w:lang w:val="sr-Cyrl-CS"/>
        </w:rPr>
        <w:t>3</w:t>
      </w:r>
      <w:r w:rsidRPr="00092ED7">
        <w:rPr>
          <w:rFonts w:cs="Times New Roman"/>
          <w:lang w:val="sr-Cyrl-CS"/>
        </w:rPr>
        <w:t xml:space="preserve"> стандарда квалификација у складу са новом методологијом.</w:t>
      </w:r>
    </w:p>
    <w:p w14:paraId="285F0095" w14:textId="0F16C214" w:rsidR="00D210F0" w:rsidRPr="00092ED7" w:rsidRDefault="00D210F0" w:rsidP="00B640AF">
      <w:pPr>
        <w:rPr>
          <w:rFonts w:cs="Times New Roman"/>
          <w:szCs w:val="24"/>
          <w:lang w:val="sr-Cyrl-CS"/>
        </w:rPr>
      </w:pPr>
      <w:r w:rsidRPr="00092ED7">
        <w:rPr>
          <w:rFonts w:cs="Times New Roman"/>
          <w:b/>
          <w:szCs w:val="24"/>
          <w:lang w:val="sr-Cyrl-CS"/>
        </w:rPr>
        <w:lastRenderedPageBreak/>
        <w:t>Да би се олакшао прелаз из школе на посао, креиран је програм „Моја прва плата</w:t>
      </w:r>
      <w:r w:rsidR="001406A9" w:rsidRPr="00092ED7">
        <w:rPr>
          <w:rFonts w:cs="Times New Roman"/>
          <w:b/>
          <w:szCs w:val="24"/>
          <w:lang w:val="sr-Cyrl-CS"/>
        </w:rPr>
        <w:t>”</w:t>
      </w:r>
      <w:r w:rsidRPr="00092ED7">
        <w:rPr>
          <w:rFonts w:cs="Times New Roman"/>
          <w:szCs w:val="24"/>
          <w:vertAlign w:val="superscript"/>
          <w:lang w:val="sr-Cyrl-CS"/>
        </w:rPr>
        <w:footnoteReference w:id="23"/>
      </w:r>
      <w:r w:rsidRPr="00092ED7">
        <w:rPr>
          <w:rFonts w:cs="Times New Roman"/>
          <w:szCs w:val="24"/>
          <w:lang w:val="sr-Cyrl-CS"/>
        </w:rPr>
        <w:t xml:space="preserve"> као мера активне политике запошљавања са циљем да се младима без радног искуства пружи прилика за оспособљавање за самосталан рад и повећање могућности за њихово запошљавање. У другом циклусу спроведеном 2021. године </w:t>
      </w:r>
      <w:r w:rsidRPr="00092ED7">
        <w:rPr>
          <w:szCs w:val="24"/>
          <w:lang w:val="sr-Cyrl-CS"/>
        </w:rPr>
        <w:t xml:space="preserve">програмом је обухваћено 8.743 младих (6.108 лице са средњим образовањем и 2.635 лица са високим образовањем) који су се оспособљавали за самостални рад код 5.194 послодаваца. </w:t>
      </w:r>
      <w:r w:rsidR="00326514" w:rsidRPr="00092ED7">
        <w:rPr>
          <w:rFonts w:cs="Times New Roman"/>
          <w:szCs w:val="24"/>
          <w:lang w:val="sr-Cyrl-CS"/>
        </w:rPr>
        <w:t>Т</w:t>
      </w:r>
      <w:r w:rsidRPr="00092ED7">
        <w:rPr>
          <w:rFonts w:cs="Times New Roman"/>
          <w:szCs w:val="24"/>
          <w:lang w:val="sr-Cyrl-CS"/>
        </w:rPr>
        <w:t>рећ</w:t>
      </w:r>
      <w:r w:rsidR="00326514" w:rsidRPr="00092ED7">
        <w:rPr>
          <w:rFonts w:cs="Times New Roman"/>
          <w:szCs w:val="24"/>
          <w:lang w:val="sr-Cyrl-CS"/>
        </w:rPr>
        <w:t>и</w:t>
      </w:r>
      <w:r w:rsidRPr="00092ED7">
        <w:rPr>
          <w:rFonts w:cs="Times New Roman"/>
          <w:szCs w:val="24"/>
          <w:lang w:val="sr-Cyrl-CS"/>
        </w:rPr>
        <w:t xml:space="preserve"> циклус овог програма</w:t>
      </w:r>
      <w:r w:rsidR="00326514" w:rsidRPr="00092ED7">
        <w:rPr>
          <w:rFonts w:cs="Times New Roman"/>
          <w:szCs w:val="24"/>
          <w:lang w:val="sr-Cyrl-CS"/>
        </w:rPr>
        <w:t xml:space="preserve"> реализован је током 2022. године</w:t>
      </w:r>
      <w:r w:rsidR="00203D61" w:rsidRPr="00092ED7">
        <w:rPr>
          <w:rFonts w:cs="Times New Roman"/>
          <w:szCs w:val="24"/>
          <w:lang w:val="sr-Cyrl-CS"/>
        </w:rPr>
        <w:t xml:space="preserve"> (пријава послодаваца и оглашавање позиција, пријава кандидата на позиције, повезивање кандидата са послодавцима)</w:t>
      </w:r>
      <w:r w:rsidR="008B2875" w:rsidRPr="00092ED7">
        <w:rPr>
          <w:rFonts w:cs="Times New Roman"/>
          <w:szCs w:val="24"/>
          <w:lang w:val="sr-Cyrl-CS"/>
        </w:rPr>
        <w:t>,</w:t>
      </w:r>
      <w:r w:rsidRPr="00092ED7">
        <w:rPr>
          <w:rFonts w:cs="Times New Roman"/>
          <w:szCs w:val="24"/>
          <w:lang w:val="sr-Cyrl-CS"/>
        </w:rPr>
        <w:t xml:space="preserve"> у складу са </w:t>
      </w:r>
      <w:r w:rsidRPr="00092ED7">
        <w:rPr>
          <w:rFonts w:cs="Times New Roman"/>
          <w:b/>
          <w:bCs/>
          <w:i/>
          <w:szCs w:val="24"/>
          <w:lang w:val="sr-Cyrl-CS"/>
        </w:rPr>
        <w:t>Уредбом о измени Уредбе о Програму подстицања запошљавања младих „Моја прва плата</w:t>
      </w:r>
      <w:r w:rsidR="008A2A83" w:rsidRPr="00092ED7">
        <w:rPr>
          <w:rFonts w:cs="Times New Roman"/>
          <w:b/>
          <w:i/>
          <w:szCs w:val="24"/>
          <w:lang w:val="sr-Cyrl-CS"/>
        </w:rPr>
        <w:t>”</w:t>
      </w:r>
      <w:r w:rsidR="00622480" w:rsidRPr="00092ED7">
        <w:rPr>
          <w:rFonts w:cs="Times New Roman"/>
          <w:b/>
          <w:bCs/>
          <w:i/>
          <w:szCs w:val="24"/>
          <w:lang w:val="sr-Cyrl-CS"/>
        </w:rPr>
        <w:t xml:space="preserve"> </w:t>
      </w:r>
      <w:r w:rsidR="00622480" w:rsidRPr="00092ED7">
        <w:rPr>
          <w:rFonts w:cs="Times New Roman"/>
          <w:szCs w:val="24"/>
          <w:lang w:val="sr-Cyrl-CS"/>
        </w:rPr>
        <w:t>(„Службени гласник РС”, број 92/22)</w:t>
      </w:r>
      <w:r w:rsidRPr="00092ED7">
        <w:rPr>
          <w:rFonts w:cs="Times New Roman"/>
          <w:b/>
          <w:bCs/>
          <w:szCs w:val="24"/>
          <w:lang w:val="sr-Cyrl-CS"/>
        </w:rPr>
        <w:t xml:space="preserve">, </w:t>
      </w:r>
      <w:r w:rsidR="00326514" w:rsidRPr="00092ED7">
        <w:rPr>
          <w:rFonts w:cs="Times New Roman"/>
          <w:bCs/>
          <w:szCs w:val="24"/>
          <w:lang w:val="sr-Cyrl-CS"/>
        </w:rPr>
        <w:t>којом су</w:t>
      </w:r>
      <w:r w:rsidR="00326514" w:rsidRPr="00092ED7">
        <w:rPr>
          <w:rFonts w:cs="Times New Roman"/>
          <w:b/>
          <w:bCs/>
          <w:szCs w:val="24"/>
          <w:lang w:val="sr-Cyrl-CS"/>
        </w:rPr>
        <w:t xml:space="preserve"> </w:t>
      </w:r>
      <w:r w:rsidRPr="00092ED7">
        <w:rPr>
          <w:rFonts w:cs="Times New Roman"/>
          <w:bCs/>
          <w:szCs w:val="24"/>
          <w:lang w:val="sr-Cyrl-CS"/>
        </w:rPr>
        <w:t>повећани износи месечне новчане накнаде за полазнике овог програма. М</w:t>
      </w:r>
      <w:r w:rsidRPr="00092ED7">
        <w:rPr>
          <w:rFonts w:cs="Times New Roman"/>
          <w:szCs w:val="24"/>
          <w:lang w:val="sr-Cyrl-CS"/>
        </w:rPr>
        <w:t>ладима са завршеним средњим образовањем обезбеђена је месечна новчана накнада у износу од 25.000 динара, док за оне са завршеним високим образовањем накнада износи 30.000</w:t>
      </w:r>
      <w:r w:rsidRPr="00092ED7">
        <w:rPr>
          <w:rFonts w:cs="Times New Roman"/>
          <w:strike/>
          <w:szCs w:val="24"/>
          <w:lang w:val="sr-Cyrl-CS"/>
        </w:rPr>
        <w:t xml:space="preserve"> </w:t>
      </w:r>
      <w:r w:rsidRPr="00092ED7">
        <w:rPr>
          <w:rFonts w:cs="Times New Roman"/>
          <w:szCs w:val="24"/>
          <w:lang w:val="sr-Cyrl-CS"/>
        </w:rPr>
        <w:t>динара.</w:t>
      </w:r>
    </w:p>
    <w:p w14:paraId="5FA62C8B" w14:textId="77777777" w:rsidR="00D210F0" w:rsidRPr="00092ED7" w:rsidRDefault="00D210F0" w:rsidP="00D210F0">
      <w:pPr>
        <w:spacing w:after="60"/>
        <w:rPr>
          <w:rFonts w:cs="Times New Roman"/>
          <w:lang w:val="sr-Cyrl-CS"/>
        </w:rPr>
      </w:pPr>
      <w:r w:rsidRPr="00092ED7">
        <w:rPr>
          <w:rFonts w:cs="Times New Roman"/>
          <w:b/>
          <w:lang w:val="sr-Cyrl-CS"/>
        </w:rPr>
        <w:t xml:space="preserve">С обзиром на постојећу неусклађеност вештина на тржишту рада, постоји </w:t>
      </w:r>
      <w:r w:rsidRPr="00092ED7">
        <w:rPr>
          <w:rFonts w:cs="Times New Roman"/>
          <w:b/>
          <w:bCs/>
          <w:lang w:val="sr-Cyrl-CS"/>
        </w:rPr>
        <w:t>потреба за значајним улагањима у образовање одраслих</w:t>
      </w:r>
      <w:r w:rsidRPr="00092ED7">
        <w:rPr>
          <w:rFonts w:cs="Times New Roman"/>
          <w:b/>
          <w:lang w:val="sr-Cyrl-CS"/>
        </w:rPr>
        <w:t>.</w:t>
      </w:r>
      <w:r w:rsidRPr="00092ED7">
        <w:rPr>
          <w:rFonts w:cs="Times New Roman"/>
          <w:lang w:val="sr-Cyrl-CS"/>
        </w:rPr>
        <w:t xml:space="preserve"> </w:t>
      </w:r>
      <w:r w:rsidRPr="00092ED7">
        <w:rPr>
          <w:rFonts w:cs="Times New Roman"/>
          <w:b/>
          <w:bCs/>
          <w:lang w:val="sr-Cyrl-CS"/>
        </w:rPr>
        <w:t>Стопа учешћа у образовању и обуци</w:t>
      </w:r>
      <w:r w:rsidRPr="00092ED7">
        <w:rPr>
          <w:rFonts w:cs="Times New Roman"/>
          <w:lang w:val="sr-Cyrl-CS"/>
        </w:rPr>
        <w:t xml:space="preserve"> становништва 25-64 године у Републици Србији износила је </w:t>
      </w:r>
      <w:r w:rsidRPr="00092ED7">
        <w:rPr>
          <w:rFonts w:cs="Times New Roman"/>
          <w:b/>
          <w:bCs/>
          <w:lang w:val="sr-Cyrl-CS"/>
        </w:rPr>
        <w:t>4,8% у 2021.</w:t>
      </w:r>
      <w:r w:rsidRPr="00092ED7">
        <w:rPr>
          <w:rFonts w:cs="Times New Roman"/>
          <w:vertAlign w:val="superscript"/>
          <w:lang w:val="sr-Cyrl-CS"/>
        </w:rPr>
        <w:footnoteReference w:id="24"/>
      </w:r>
      <w:r w:rsidRPr="00092ED7">
        <w:rPr>
          <w:rFonts w:cs="Times New Roman"/>
          <w:lang w:val="sr-Cyrl-CS"/>
        </w:rPr>
        <w:t xml:space="preserve"> што је значајно ниже (око 2,25 пута) од просечне стопе у ЕУ (ЕУ-27 10,8%). Осигурање квалитета у неформалном образовању постиже се кроз систем обучавања код </w:t>
      </w:r>
      <w:r w:rsidRPr="00092ED7">
        <w:rPr>
          <w:rFonts w:cs="Times New Roman"/>
          <w:b/>
          <w:lang w:val="sr-Cyrl-CS"/>
        </w:rPr>
        <w:t>јавно признатог организатора активности образовања одраслих</w:t>
      </w:r>
      <w:r w:rsidRPr="00092ED7">
        <w:rPr>
          <w:rFonts w:cs="Times New Roman"/>
          <w:lang w:val="sr-Cyrl-CS"/>
        </w:rPr>
        <w:t xml:space="preserve">. Овај статус има </w:t>
      </w:r>
      <w:r w:rsidRPr="00092ED7">
        <w:rPr>
          <w:rFonts w:cs="Times New Roman"/>
          <w:b/>
          <w:bCs/>
          <w:lang w:val="sr-Cyrl-CS"/>
        </w:rPr>
        <w:t>108 институција</w:t>
      </w:r>
      <w:r w:rsidRPr="00092ED7">
        <w:rPr>
          <w:rFonts w:cs="Times New Roman"/>
          <w:lang w:val="sr-Cyrl-CS"/>
        </w:rPr>
        <w:t xml:space="preserve"> (21 школа и 87 других организација) за реализацију </w:t>
      </w:r>
      <w:r w:rsidRPr="00092ED7">
        <w:rPr>
          <w:rFonts w:cs="Times New Roman"/>
          <w:b/>
          <w:bCs/>
          <w:lang w:val="sr-Cyrl-CS"/>
        </w:rPr>
        <w:t>433 акредитована програма неформалног образовања</w:t>
      </w:r>
      <w:r w:rsidRPr="00092ED7">
        <w:rPr>
          <w:rFonts w:cs="Times New Roman"/>
          <w:lang w:val="sr-Cyrl-CS"/>
        </w:rPr>
        <w:t xml:space="preserve"> на крају 2021. године.</w:t>
      </w:r>
    </w:p>
    <w:p w14:paraId="0507B73A" w14:textId="47ED5560" w:rsidR="00D210F0" w:rsidRPr="00092ED7" w:rsidRDefault="00D210F0" w:rsidP="00D210F0">
      <w:pPr>
        <w:spacing w:after="60"/>
        <w:rPr>
          <w:rFonts w:cs="Times New Roman"/>
          <w:lang w:val="sr-Cyrl-CS"/>
        </w:rPr>
      </w:pPr>
      <w:r w:rsidRPr="00092ED7">
        <w:rPr>
          <w:rFonts w:cs="Times New Roman"/>
          <w:b/>
          <w:lang w:val="sr-Cyrl-CS"/>
        </w:rPr>
        <w:t>Програм преквалификација за ИКТ сектор</w:t>
      </w:r>
      <w:r w:rsidRPr="00092ED7">
        <w:rPr>
          <w:rFonts w:cs="Times New Roman"/>
          <w:lang w:val="sr-Cyrl-CS"/>
        </w:rPr>
        <w:t>, који се се спроводи од 2017. године, до сада је похађало преко 2.200 полазника. На Позив за учешће у новом онлајн програму „Преквалификације за ИТ</w:t>
      </w:r>
      <w:r w:rsidR="00204FA6" w:rsidRPr="00092ED7">
        <w:rPr>
          <w:rFonts w:cs="Times New Roman"/>
          <w:szCs w:val="24"/>
          <w:lang w:val="sr-Cyrl-CS"/>
        </w:rPr>
        <w:t>”</w:t>
      </w:r>
      <w:r w:rsidRPr="00092ED7">
        <w:rPr>
          <w:rStyle w:val="FootnoteReference"/>
          <w:rFonts w:cs="Times New Roman"/>
          <w:lang w:val="sr-Cyrl-CS"/>
        </w:rPr>
        <w:footnoteReference w:id="25"/>
      </w:r>
      <w:r w:rsidRPr="00092ED7">
        <w:rPr>
          <w:rFonts w:cs="Times New Roman"/>
          <w:lang w:val="sr-Cyrl-CS"/>
        </w:rPr>
        <w:t xml:space="preserve">, који ће се спроводити током 2022. и 2023. године, стигло је близу 1.500 пријава. </w:t>
      </w:r>
      <w:r w:rsidRPr="00092ED7">
        <w:rPr>
          <w:rFonts w:cs="Times New Roman"/>
          <w:b/>
          <w:lang w:val="sr-Cyrl-CS"/>
        </w:rPr>
        <w:t>Иницијатива „Дигитална експедиција</w:t>
      </w:r>
      <w:r w:rsidR="00204FA6" w:rsidRPr="00092ED7">
        <w:rPr>
          <w:rFonts w:cs="Times New Roman"/>
          <w:b/>
          <w:szCs w:val="24"/>
          <w:lang w:val="sr-Cyrl-CS"/>
        </w:rPr>
        <w:t>”</w:t>
      </w:r>
      <w:r w:rsidRPr="00092ED7">
        <w:rPr>
          <w:rStyle w:val="FootnoteReference"/>
          <w:rFonts w:cs="Times New Roman"/>
          <w:b/>
          <w:lang w:val="sr-Cyrl-CS"/>
        </w:rPr>
        <w:footnoteReference w:id="26"/>
      </w:r>
      <w:r w:rsidRPr="00092ED7">
        <w:rPr>
          <w:rFonts w:cs="Times New Roman"/>
          <w:lang w:val="sr-Cyrl-CS"/>
        </w:rPr>
        <w:t xml:space="preserve">, која представља караван дигиталних вештина, писмености и безбедности, </w:t>
      </w:r>
      <w:r w:rsidRPr="00092ED7">
        <w:rPr>
          <w:rFonts w:cs="Times New Roman"/>
          <w:b/>
          <w:lang w:val="sr-Cyrl-CS"/>
        </w:rPr>
        <w:t>добитник је овогодишње награде „Европа у настајању</w:t>
      </w:r>
      <w:r w:rsidR="00E6287C" w:rsidRPr="00092ED7">
        <w:rPr>
          <w:rFonts w:cs="Times New Roman"/>
          <w:b/>
          <w:szCs w:val="24"/>
          <w:lang w:val="sr-Cyrl-CS"/>
        </w:rPr>
        <w:t>”</w:t>
      </w:r>
      <w:r w:rsidRPr="00092ED7">
        <w:rPr>
          <w:rFonts w:cs="Times New Roman"/>
          <w:lang w:val="sr-Cyrl-CS"/>
        </w:rPr>
        <w:t xml:space="preserve"> (</w:t>
      </w:r>
      <w:r w:rsidRPr="00092ED7">
        <w:rPr>
          <w:rFonts w:cs="Times New Roman"/>
          <w:i/>
          <w:lang w:val="sr-Cyrl-CS"/>
        </w:rPr>
        <w:t>Emerging Europe</w:t>
      </w:r>
      <w:r w:rsidRPr="00092ED7">
        <w:rPr>
          <w:rStyle w:val="FootnoteReference"/>
          <w:rFonts w:cs="Times New Roman"/>
          <w:i/>
          <w:lang w:val="sr-Cyrl-CS"/>
        </w:rPr>
        <w:footnoteReference w:id="27"/>
      </w:r>
      <w:r w:rsidRPr="00092ED7">
        <w:rPr>
          <w:rFonts w:cs="Times New Roman"/>
          <w:lang w:val="sr-Cyrl-CS"/>
        </w:rPr>
        <w:t>), као један од три пројекта у категорији „Образовање за будућност</w:t>
      </w:r>
      <w:r w:rsidR="00E36DC8" w:rsidRPr="00092ED7">
        <w:rPr>
          <w:rFonts w:cs="Times New Roman"/>
          <w:szCs w:val="24"/>
          <w:lang w:val="sr-Cyrl-CS"/>
        </w:rPr>
        <w:t>”</w:t>
      </w:r>
      <w:r w:rsidRPr="00092ED7">
        <w:rPr>
          <w:rFonts w:cs="Times New Roman"/>
          <w:lang w:val="sr-Cyrl-CS"/>
        </w:rPr>
        <w:t xml:space="preserve"> (</w:t>
      </w:r>
      <w:r w:rsidRPr="00092ED7">
        <w:rPr>
          <w:rFonts w:cs="Times New Roman"/>
          <w:i/>
          <w:lang w:val="sr-Cyrl-CS"/>
        </w:rPr>
        <w:t>Future-proof Education</w:t>
      </w:r>
      <w:r w:rsidRPr="00092ED7">
        <w:rPr>
          <w:rFonts w:cs="Times New Roman"/>
          <w:lang w:val="sr-Cyrl-CS"/>
        </w:rPr>
        <w:t>).</w:t>
      </w:r>
    </w:p>
    <w:p w14:paraId="140CE0AC" w14:textId="77777777" w:rsidR="00D210F0" w:rsidRPr="00092ED7" w:rsidRDefault="00D210F0" w:rsidP="00D210F0">
      <w:pPr>
        <w:spacing w:after="60"/>
        <w:rPr>
          <w:rFonts w:cs="Times New Roman"/>
          <w:lang w:val="sr-Cyrl-CS"/>
        </w:rPr>
      </w:pPr>
      <w:r w:rsidRPr="00092ED7">
        <w:rPr>
          <w:rFonts w:cs="Times New Roman"/>
          <w:szCs w:val="24"/>
          <w:lang w:val="sr-Cyrl-CS"/>
        </w:rPr>
        <w:t>Прву деценију 21-ог века (2000−2010) карактерише реформа образовања у Републици Србији по препорукама ЕУ (увођење Болоњске декларације у високом образовању 2005. године), раст животног стандарда, увођење безвизног Шенген режима 2009. године. Ефекти наведених фактора одразили су се на велике миграције квалитетне радне снаге у земље ЕУ тек у другој деценији 21-ог века (2010−2019). Добијене дипломе високог образовања биле су међународно признате, а безвизни режим је омогућио већу прекограничну мобилност радне снаге у земље ЕУ, без додатних институционалних радних дозвола.</w:t>
      </w:r>
    </w:p>
    <w:p w14:paraId="4D13ED97" w14:textId="1C163B42" w:rsidR="00D210F0" w:rsidRPr="00092ED7" w:rsidRDefault="00D210F0" w:rsidP="00D210F0">
      <w:pPr>
        <w:spacing w:after="60"/>
        <w:rPr>
          <w:rFonts w:cs="Times New Roman"/>
          <w:szCs w:val="24"/>
          <w:lang w:val="sr-Cyrl-CS"/>
        </w:rPr>
      </w:pPr>
      <w:r w:rsidRPr="00092ED7">
        <w:rPr>
          <w:rFonts w:cs="Times New Roman"/>
          <w:b/>
          <w:lang w:val="sr-Cyrl-CS"/>
        </w:rPr>
        <w:t>Економија и целокупно друштво суочавају се са негативним ефектима емиграције.</w:t>
      </w:r>
      <w:r w:rsidRPr="00092ED7">
        <w:rPr>
          <w:rFonts w:cs="Times New Roman"/>
          <w:lang w:val="sr-Cyrl-CS"/>
        </w:rPr>
        <w:t xml:space="preserve"> Због тога је неопходно спровођење </w:t>
      </w:r>
      <w:r w:rsidR="0035233B" w:rsidRPr="00092ED7">
        <w:rPr>
          <w:rFonts w:cs="Times New Roman"/>
          <w:szCs w:val="24"/>
          <w:lang w:val="sr-Cyrl-CS"/>
        </w:rPr>
        <w:t>Стратегије о економским миграцијама Републике Србије за период 2021–2027. године („Службени гласник РС”, број 21/20)</w:t>
      </w:r>
      <w:r w:rsidR="0035233B" w:rsidRPr="00092ED7">
        <w:rPr>
          <w:rFonts w:cs="Times New Roman"/>
          <w:sz w:val="16"/>
          <w:szCs w:val="16"/>
          <w:lang w:val="sr-Cyrl-CS"/>
        </w:rPr>
        <w:t xml:space="preserve"> </w:t>
      </w:r>
      <w:r w:rsidR="0035233B" w:rsidRPr="00092ED7">
        <w:rPr>
          <w:rFonts w:cs="Times New Roman"/>
          <w:szCs w:val="24"/>
          <w:lang w:val="sr-Cyrl-CS"/>
        </w:rPr>
        <w:t xml:space="preserve">и Акционог плана за период 2021–2023. године за спровођење Стратегије о економским миграцијама </w:t>
      </w:r>
      <w:r w:rsidR="0035233B" w:rsidRPr="00092ED7">
        <w:rPr>
          <w:rFonts w:cs="Times New Roman"/>
          <w:szCs w:val="24"/>
          <w:lang w:val="sr-Cyrl-CS"/>
        </w:rPr>
        <w:lastRenderedPageBreak/>
        <w:t>Републике Србије за период 2021–2027. годинe („Службени гласник РС”, број 89/21)</w:t>
      </w:r>
      <w:r w:rsidRPr="00092ED7">
        <w:rPr>
          <w:rFonts w:cs="Times New Roman"/>
          <w:szCs w:val="24"/>
          <w:lang w:val="sr-Cyrl-CS"/>
        </w:rPr>
        <w:t>,</w:t>
      </w:r>
      <w:r w:rsidRPr="00092ED7">
        <w:rPr>
          <w:rFonts w:cs="Times New Roman"/>
          <w:lang w:val="sr-Cyrl-CS"/>
        </w:rPr>
        <w:t xml:space="preserve"> јер је овим документима предвиђено стварање привредног и друштвеног амбијента за успоравање одласка радно способног становништва, јачање веза са дијаспором и подстицање њиховог повратка, као и привлачење странаца различитих образовних профила.</w:t>
      </w:r>
    </w:p>
    <w:p w14:paraId="108EA229" w14:textId="77777777" w:rsidR="00D210F0" w:rsidRPr="00092ED7" w:rsidRDefault="00D210F0" w:rsidP="00D210F0">
      <w:pPr>
        <w:spacing w:after="60"/>
        <w:rPr>
          <w:rFonts w:cs="Times New Roman"/>
          <w:lang w:val="sr-Cyrl-CS"/>
        </w:rPr>
      </w:pPr>
      <w:r w:rsidRPr="00092ED7">
        <w:rPr>
          <w:rFonts w:cs="Times New Roman"/>
          <w:b/>
          <w:lang w:val="sr-Cyrl-CS"/>
        </w:rPr>
        <w:t>Сиромаштво представља значајан проблем у Републици Србији.</w:t>
      </w:r>
      <w:r w:rsidRPr="00092ED7">
        <w:rPr>
          <w:rFonts w:cs="Times New Roman"/>
          <w:lang w:val="sr-Cyrl-CS"/>
        </w:rPr>
        <w:t xml:space="preserve"> </w:t>
      </w:r>
      <w:r w:rsidRPr="00092ED7">
        <w:rPr>
          <w:rFonts w:cs="Times New Roman"/>
          <w:b/>
          <w:lang w:val="sr-Cyrl-CS"/>
        </w:rPr>
        <w:t>Стопа ризика од сиромаштва</w:t>
      </w:r>
      <w:r w:rsidRPr="00092ED7">
        <w:rPr>
          <w:rStyle w:val="FootnoteReference"/>
          <w:rFonts w:cs="Times New Roman"/>
          <w:lang w:val="sr-Cyrl-CS"/>
        </w:rPr>
        <w:footnoteReference w:id="28"/>
      </w:r>
      <w:r w:rsidRPr="00092ED7">
        <w:rPr>
          <w:rFonts w:cs="Times New Roman"/>
          <w:lang w:val="sr-Cyrl-CS"/>
        </w:rPr>
        <w:t xml:space="preserve"> износила је </w:t>
      </w:r>
      <w:r w:rsidRPr="00092ED7">
        <w:rPr>
          <w:rFonts w:cs="Times New Roman"/>
          <w:b/>
          <w:lang w:val="sr-Cyrl-CS"/>
        </w:rPr>
        <w:t>21,2%</w:t>
      </w:r>
      <w:r w:rsidRPr="00092ED7">
        <w:rPr>
          <w:rFonts w:cs="Times New Roman"/>
          <w:lang w:val="sr-Cyrl-CS"/>
        </w:rPr>
        <w:t xml:space="preserve"> у </w:t>
      </w:r>
      <w:r w:rsidRPr="00092ED7">
        <w:rPr>
          <w:rFonts w:cs="Times New Roman"/>
          <w:b/>
          <w:lang w:val="sr-Cyrl-CS"/>
        </w:rPr>
        <w:t>2021</w:t>
      </w:r>
      <w:r w:rsidRPr="00092ED7">
        <w:rPr>
          <w:rFonts w:cs="Times New Roman"/>
          <w:lang w:val="sr-Cyrl-CS"/>
        </w:rPr>
        <w:t>.</w:t>
      </w:r>
      <w:r w:rsidRPr="00092ED7">
        <w:rPr>
          <w:rStyle w:val="FootnoteReference"/>
          <w:rFonts w:cs="Times New Roman"/>
          <w:lang w:val="sr-Cyrl-CS"/>
        </w:rPr>
        <w:footnoteReference w:id="29"/>
      </w:r>
      <w:r w:rsidRPr="00092ED7">
        <w:rPr>
          <w:rFonts w:cs="Times New Roman"/>
          <w:lang w:val="sr-Cyrl-CS"/>
        </w:rPr>
        <w:t xml:space="preserve"> години, што је значајно више од нивоа ЕУ-27 (16,8%, SILC, 2021</w:t>
      </w:r>
      <w:r w:rsidRPr="00092ED7">
        <w:rPr>
          <w:rStyle w:val="FootnoteReference"/>
          <w:rFonts w:cs="Times New Roman"/>
          <w:lang w:val="sr-Cyrl-CS"/>
        </w:rPr>
        <w:footnoteReference w:id="30"/>
      </w:r>
      <w:r w:rsidRPr="00092ED7">
        <w:rPr>
          <w:rFonts w:cs="Times New Roman"/>
          <w:lang w:val="sr-Cyrl-CS"/>
        </w:rPr>
        <w:t>). Пад стопе ризика од сиромаштва од 0,5 п.п. у односу на претходну годину приписује се, између осталог, подстицајним мерама током пандемије које су увођене у циљу заштите радних места и прихода, мада је у константном паду од 2015. године.</w:t>
      </w:r>
    </w:p>
    <w:p w14:paraId="4AEFAC60" w14:textId="77777777" w:rsidR="00D210F0" w:rsidRPr="00092ED7" w:rsidRDefault="00D210F0" w:rsidP="00D210F0">
      <w:pPr>
        <w:spacing w:after="60"/>
        <w:rPr>
          <w:rFonts w:cs="Times New Roman"/>
          <w:lang w:val="sr-Cyrl-CS"/>
        </w:rPr>
      </w:pPr>
      <w:r w:rsidRPr="00092ED7">
        <w:rPr>
          <w:rFonts w:cs="Times New Roman"/>
          <w:b/>
          <w:lang w:val="sr-Cyrl-CS"/>
        </w:rPr>
        <w:t>Ризик од сиромаштва варира у зависности од старосних група, радног статуса и типа домаћинства</w:t>
      </w:r>
      <w:r w:rsidRPr="00092ED7">
        <w:rPr>
          <w:rFonts w:cs="Times New Roman"/>
          <w:lang w:val="sr-Cyrl-CS"/>
        </w:rPr>
        <w:t xml:space="preserve">. Најугроженија су лица </w:t>
      </w:r>
      <w:r w:rsidRPr="00092ED7">
        <w:rPr>
          <w:rFonts w:cs="Times New Roman"/>
          <w:bCs/>
          <w:lang w:val="sr-Cyrl-CS"/>
        </w:rPr>
        <w:t>старости 18 до 24 године</w:t>
      </w:r>
      <w:r w:rsidRPr="00092ED7">
        <w:rPr>
          <w:rFonts w:cs="Times New Roman"/>
          <w:lang w:val="sr-Cyrl-CS"/>
        </w:rPr>
        <w:t xml:space="preserve"> – </w:t>
      </w:r>
      <w:r w:rsidRPr="00092ED7">
        <w:rPr>
          <w:rFonts w:cs="Times New Roman"/>
          <w:bCs/>
          <w:lang w:val="sr-Cyrl-CS"/>
        </w:rPr>
        <w:t>27,7%</w:t>
      </w:r>
      <w:r w:rsidRPr="00092ED7">
        <w:rPr>
          <w:rFonts w:cs="Times New Roman"/>
          <w:lang w:val="sr-Cyrl-CS"/>
        </w:rPr>
        <w:t xml:space="preserve">, а затим лица старија од 65 година – </w:t>
      </w:r>
      <w:r w:rsidRPr="00092ED7">
        <w:rPr>
          <w:rFonts w:cs="Times New Roman"/>
          <w:bCs/>
          <w:lang w:val="sr-Cyrl-CS"/>
        </w:rPr>
        <w:t>22,7%</w:t>
      </w:r>
      <w:r w:rsidRPr="00092ED7">
        <w:rPr>
          <w:rFonts w:cs="Times New Roman"/>
          <w:lang w:val="sr-Cyrl-CS"/>
        </w:rPr>
        <w:t xml:space="preserve">, док су </w:t>
      </w:r>
      <w:r w:rsidRPr="00092ED7">
        <w:rPr>
          <w:rFonts w:cs="Times New Roman"/>
          <w:bCs/>
          <w:lang w:val="sr-Cyrl-CS"/>
        </w:rPr>
        <w:t>најнижу стопу</w:t>
      </w:r>
      <w:r w:rsidRPr="00092ED7">
        <w:rPr>
          <w:rFonts w:cs="Times New Roman"/>
          <w:lang w:val="sr-Cyrl-CS"/>
        </w:rPr>
        <w:t xml:space="preserve"> ризика од сиромаштва имале особе старости од 25 до 54 година - 19</w:t>
      </w:r>
      <w:r w:rsidRPr="00092ED7">
        <w:rPr>
          <w:rFonts w:cs="Times New Roman"/>
          <w:bCs/>
          <w:lang w:val="sr-Cyrl-CS"/>
        </w:rPr>
        <w:t>,1%</w:t>
      </w:r>
      <w:r w:rsidRPr="00092ED7">
        <w:rPr>
          <w:rFonts w:cs="Times New Roman"/>
          <w:lang w:val="sr-Cyrl-CS"/>
        </w:rPr>
        <w:t xml:space="preserve">. У зависности од радног статуса, код лица </w:t>
      </w:r>
      <w:r w:rsidRPr="00092ED7">
        <w:rPr>
          <w:rFonts w:cs="Times New Roman"/>
          <w:bCs/>
          <w:lang w:val="sr-Cyrl-CS"/>
        </w:rPr>
        <w:t>старијих од 18</w:t>
      </w:r>
      <w:r w:rsidRPr="00092ED7">
        <w:rPr>
          <w:rFonts w:cs="Times New Roman"/>
          <w:lang w:val="sr-Cyrl-CS"/>
        </w:rPr>
        <w:t xml:space="preserve"> година, најизложенија ризику од сиромаштва су била незапослена лица – </w:t>
      </w:r>
      <w:r w:rsidRPr="00092ED7">
        <w:rPr>
          <w:rFonts w:cs="Times New Roman"/>
          <w:bCs/>
          <w:lang w:val="sr-Cyrl-CS"/>
        </w:rPr>
        <w:t>48,6%</w:t>
      </w:r>
      <w:r w:rsidRPr="00092ED7">
        <w:rPr>
          <w:rFonts w:cs="Times New Roman"/>
          <w:lang w:val="sr-Cyrl-CS"/>
        </w:rPr>
        <w:t xml:space="preserve">, док је </w:t>
      </w:r>
      <w:r w:rsidRPr="00092ED7">
        <w:rPr>
          <w:rFonts w:cs="Times New Roman"/>
          <w:bCs/>
          <w:lang w:val="sr-Cyrl-CS"/>
        </w:rPr>
        <w:t>најнижа</w:t>
      </w:r>
      <w:r w:rsidRPr="00092ED7">
        <w:rPr>
          <w:rFonts w:cs="Times New Roman"/>
          <w:lang w:val="sr-Cyrl-CS"/>
        </w:rPr>
        <w:t xml:space="preserve"> стопа ризика од сиромаштва код </w:t>
      </w:r>
      <w:r w:rsidRPr="00092ED7">
        <w:rPr>
          <w:rFonts w:cs="Times New Roman"/>
          <w:bCs/>
          <w:lang w:val="sr-Cyrl-CS"/>
        </w:rPr>
        <w:t>запослених</w:t>
      </w:r>
      <w:r w:rsidRPr="00092ED7">
        <w:rPr>
          <w:rFonts w:cs="Times New Roman"/>
          <w:lang w:val="sr-Cyrl-CS"/>
        </w:rPr>
        <w:t xml:space="preserve"> код послодавца – </w:t>
      </w:r>
      <w:r w:rsidRPr="00092ED7">
        <w:rPr>
          <w:rFonts w:cs="Times New Roman"/>
          <w:bCs/>
          <w:lang w:val="sr-Cyrl-CS"/>
        </w:rPr>
        <w:t>5,4%</w:t>
      </w:r>
      <w:r w:rsidRPr="00092ED7">
        <w:rPr>
          <w:rFonts w:cs="Times New Roman"/>
          <w:lang w:val="sr-Cyrl-CS"/>
        </w:rPr>
        <w:t xml:space="preserve">. Према типу домаћинства, највишу стопу ризика од сиромаштва имала су лица у једночланим женским домаћинствима – 39,4%, а затим лица у домаћинства са две одрасле особе са троје или више издржаване деце – </w:t>
      </w:r>
      <w:r w:rsidRPr="00092ED7">
        <w:rPr>
          <w:rFonts w:cs="Times New Roman"/>
          <w:bCs/>
          <w:lang w:val="sr-Cyrl-CS"/>
        </w:rPr>
        <w:t>38,8%</w:t>
      </w:r>
      <w:r w:rsidRPr="00092ED7">
        <w:rPr>
          <w:rFonts w:cs="Times New Roman"/>
          <w:lang w:val="sr-Cyrl-CS"/>
        </w:rPr>
        <w:t>.</w:t>
      </w:r>
    </w:p>
    <w:p w14:paraId="67B4C287" w14:textId="77777777" w:rsidR="00D210F0" w:rsidRPr="00092ED7" w:rsidRDefault="00D210F0" w:rsidP="00D210F0">
      <w:pPr>
        <w:spacing w:after="60"/>
        <w:rPr>
          <w:rFonts w:cs="Times New Roman"/>
          <w:lang w:val="sr-Cyrl-CS"/>
        </w:rPr>
      </w:pPr>
      <w:r w:rsidRPr="00092ED7">
        <w:rPr>
          <w:rFonts w:cs="Times New Roman"/>
          <w:lang w:val="sr-Cyrl-CS"/>
        </w:rPr>
        <w:t xml:space="preserve">Праг ризика од сиромаштва је износио </w:t>
      </w:r>
      <w:r w:rsidRPr="00092ED7">
        <w:rPr>
          <w:rFonts w:cs="Times New Roman"/>
          <w:bCs/>
          <w:lang w:val="sr-Cyrl-CS"/>
        </w:rPr>
        <w:t>24.064 динара (205 евра)</w:t>
      </w:r>
      <w:r w:rsidRPr="00092ED7">
        <w:rPr>
          <w:rFonts w:cs="Times New Roman"/>
          <w:lang w:val="sr-Cyrl-CS"/>
        </w:rPr>
        <w:t xml:space="preserve"> просечно месечно за </w:t>
      </w:r>
      <w:r w:rsidRPr="00092ED7">
        <w:rPr>
          <w:rFonts w:cs="Times New Roman"/>
          <w:bCs/>
          <w:lang w:val="sr-Cyrl-CS"/>
        </w:rPr>
        <w:t>једночлано домаћинство</w:t>
      </w:r>
      <w:r w:rsidRPr="00092ED7">
        <w:rPr>
          <w:rFonts w:cs="Times New Roman"/>
          <w:lang w:val="sr-Cyrl-CS"/>
        </w:rPr>
        <w:t xml:space="preserve">. </w:t>
      </w:r>
      <w:r w:rsidRPr="00092ED7">
        <w:rPr>
          <w:rFonts w:cs="Times New Roman"/>
          <w:b/>
          <w:lang w:val="sr-Cyrl-CS"/>
        </w:rPr>
        <w:t>Неједнакост расподеле дохотка</w:t>
      </w:r>
      <w:r w:rsidRPr="00092ED7">
        <w:rPr>
          <w:rFonts w:cs="Times New Roman"/>
          <w:lang w:val="sr-Cyrl-CS"/>
        </w:rPr>
        <w:t xml:space="preserve"> је висока, јер је показатељ квинтилног односа (С80/С20) износио 5,9</w:t>
      </w:r>
      <w:r w:rsidRPr="00092ED7">
        <w:rPr>
          <w:rStyle w:val="FootnoteReference"/>
          <w:rFonts w:cs="Times New Roman"/>
          <w:lang w:val="sr-Cyrl-CS"/>
        </w:rPr>
        <w:footnoteReference w:id="31"/>
      </w:r>
      <w:r w:rsidRPr="00092ED7">
        <w:rPr>
          <w:rFonts w:cs="Times New Roman"/>
          <w:lang w:val="sr-Cyrl-CS"/>
        </w:rPr>
        <w:t xml:space="preserve"> у 2021. То значи да је најбогатијих 20% становништва имало 5,9 пута већи доходак у односу на 20% најсиромашнијих. </w:t>
      </w:r>
      <w:r w:rsidR="003E4E2A" w:rsidRPr="00092ED7">
        <w:rPr>
          <w:rFonts w:cs="Times New Roman"/>
          <w:b/>
          <w:lang w:val="sr-Cyrl-CS"/>
        </w:rPr>
        <w:t>Џ</w:t>
      </w:r>
      <w:r w:rsidRPr="00092ED7">
        <w:rPr>
          <w:rFonts w:cs="Times New Roman"/>
          <w:b/>
          <w:lang w:val="sr-Cyrl-CS"/>
        </w:rPr>
        <w:t>ини коефицијент</w:t>
      </w:r>
      <w:r w:rsidRPr="00092ED7">
        <w:rPr>
          <w:rFonts w:cs="Times New Roman"/>
          <w:lang w:val="sr-Cyrl-CS"/>
        </w:rPr>
        <w:t xml:space="preserve"> у Републици Србији је 2021. године износио </w:t>
      </w:r>
      <w:r w:rsidRPr="00092ED7">
        <w:rPr>
          <w:rFonts w:cs="Times New Roman"/>
          <w:bCs/>
          <w:lang w:val="sr-Cyrl-CS"/>
        </w:rPr>
        <w:t>33,3</w:t>
      </w:r>
      <w:r w:rsidRPr="00092ED7">
        <w:rPr>
          <w:rFonts w:cs="Times New Roman"/>
          <w:lang w:val="sr-Cyrl-CS"/>
        </w:rPr>
        <w:t xml:space="preserve">, што је незнатно изнад вредности просека </w:t>
      </w:r>
      <w:r w:rsidRPr="00092ED7">
        <w:rPr>
          <w:rFonts w:cs="Times New Roman"/>
          <w:bCs/>
          <w:lang w:val="sr-Cyrl-CS"/>
        </w:rPr>
        <w:t>ЕУ-27</w:t>
      </w:r>
      <w:r w:rsidRPr="00092ED7">
        <w:rPr>
          <w:rFonts w:cs="Times New Roman"/>
          <w:lang w:val="sr-Cyrl-CS"/>
        </w:rPr>
        <w:t xml:space="preserve"> (</w:t>
      </w:r>
      <w:r w:rsidRPr="00092ED7">
        <w:rPr>
          <w:rFonts w:cs="Times New Roman"/>
          <w:bCs/>
          <w:lang w:val="sr-Cyrl-CS"/>
        </w:rPr>
        <w:t>30,1</w:t>
      </w:r>
      <w:r w:rsidRPr="00092ED7">
        <w:rPr>
          <w:rFonts w:cs="Times New Roman"/>
          <w:lang w:val="sr-Cyrl-CS"/>
        </w:rPr>
        <w:t>)</w:t>
      </w:r>
      <w:r w:rsidRPr="00092ED7">
        <w:rPr>
          <w:rStyle w:val="FootnoteReference"/>
          <w:rFonts w:cs="Times New Roman"/>
          <w:lang w:val="sr-Cyrl-CS"/>
        </w:rPr>
        <w:footnoteReference w:id="32"/>
      </w:r>
      <w:r w:rsidRPr="00092ED7">
        <w:rPr>
          <w:rFonts w:cs="Times New Roman"/>
          <w:lang w:val="sr-Cyrl-CS"/>
        </w:rPr>
        <w:t>.</w:t>
      </w:r>
    </w:p>
    <w:p w14:paraId="1C97A537" w14:textId="77777777" w:rsidR="00D210F0" w:rsidRPr="00092ED7" w:rsidRDefault="00D210F0" w:rsidP="00D210F0">
      <w:pPr>
        <w:spacing w:after="60"/>
        <w:rPr>
          <w:rFonts w:cs="Times New Roman"/>
          <w:lang w:val="sr-Cyrl-CS"/>
        </w:rPr>
      </w:pPr>
      <w:r w:rsidRPr="00092ED7">
        <w:rPr>
          <w:rFonts w:cs="Times New Roman"/>
          <w:b/>
          <w:lang w:val="sr-Cyrl-CS"/>
        </w:rPr>
        <w:t>Учешће јавних расхода за социјалну помоћ и трансфере из буџета у БДП-у</w:t>
      </w:r>
      <w:r w:rsidRPr="00092ED7">
        <w:rPr>
          <w:rFonts w:cs="Times New Roman"/>
          <w:lang w:val="sr-Cyrl-CS"/>
        </w:rPr>
        <w:t xml:space="preserve"> Републике Србије последњих година се постепено смањује, тако да износи 13,6%</w:t>
      </w:r>
      <w:r w:rsidRPr="00092ED7">
        <w:rPr>
          <w:rStyle w:val="FootnoteReference"/>
          <w:rFonts w:cs="Times New Roman"/>
          <w:lang w:val="sr-Cyrl-CS"/>
        </w:rPr>
        <w:footnoteReference w:id="33"/>
      </w:r>
      <w:r w:rsidRPr="00092ED7">
        <w:rPr>
          <w:rFonts w:cs="Times New Roman"/>
          <w:lang w:val="sr-Cyrl-CS"/>
        </w:rPr>
        <w:t xml:space="preserve"> БДП-а у 2021. години. У структури расхода доминирају пензије са 71,6% укупних расхода за социјалну помоћ и трансфере или 9,7% БДП-а. </w:t>
      </w:r>
      <w:r w:rsidRPr="00092ED7">
        <w:rPr>
          <w:rFonts w:cs="Times New Roman"/>
          <w:b/>
          <w:lang w:val="sr-Cyrl-CS"/>
        </w:rPr>
        <w:t>Расходи за социјалну помоћ</w:t>
      </w:r>
      <w:r w:rsidRPr="00092ED7">
        <w:rPr>
          <w:rFonts w:cs="Times New Roman"/>
          <w:lang w:val="sr-Cyrl-CS"/>
        </w:rPr>
        <w:t xml:space="preserve"> износе </w:t>
      </w:r>
      <w:r w:rsidRPr="00092ED7">
        <w:rPr>
          <w:rFonts w:cs="Times New Roman"/>
          <w:b/>
          <w:lang w:val="sr-Cyrl-CS"/>
        </w:rPr>
        <w:t>2,7% БДП-а</w:t>
      </w:r>
      <w:r w:rsidRPr="00092ED7">
        <w:rPr>
          <w:rStyle w:val="FootnoteReference"/>
          <w:rFonts w:cs="Times New Roman"/>
          <w:lang w:val="sr-Cyrl-CS"/>
        </w:rPr>
        <w:footnoteReference w:id="34"/>
      </w:r>
      <w:r w:rsidRPr="00092ED7">
        <w:rPr>
          <w:rFonts w:cs="Times New Roman"/>
          <w:lang w:val="sr-Cyrl-CS"/>
        </w:rPr>
        <w:t xml:space="preserve"> у 2021. години, што је недовољно да би се систематичније усмерили на оне кориснике којима је помоћ најпотребнија</w:t>
      </w:r>
      <w:r w:rsidR="006256AB" w:rsidRPr="00092ED7">
        <w:rPr>
          <w:rFonts w:cs="Times New Roman"/>
          <w:lang w:val="sr-Cyrl-CS"/>
        </w:rPr>
        <w:t>.</w:t>
      </w:r>
      <w:r w:rsidRPr="00092ED7">
        <w:rPr>
          <w:rFonts w:cs="Times New Roman"/>
          <w:lang w:val="sr-Cyrl-CS"/>
        </w:rPr>
        <w:t xml:space="preserve"> Просечна минимална потрошачка корпа за трочлано домаћинство у Републици Србији износила је 39.623,18 динара</w:t>
      </w:r>
      <w:r w:rsidRPr="00092ED7">
        <w:rPr>
          <w:rStyle w:val="FootnoteReference"/>
          <w:rFonts w:cs="Times New Roman"/>
          <w:lang w:val="sr-Cyrl-CS"/>
        </w:rPr>
        <w:footnoteReference w:id="35"/>
      </w:r>
      <w:r w:rsidRPr="00092ED7">
        <w:rPr>
          <w:rFonts w:cs="Times New Roman"/>
          <w:lang w:val="sr-Cyrl-CS"/>
        </w:rPr>
        <w:t xml:space="preserve"> (337 евра) у 2021. години, док је праг ризика од сиромаштва за трочлано домаћинство (двоје одраслих и једно дете старости до 14 година) износио 43.315 динара</w:t>
      </w:r>
      <w:r w:rsidRPr="00092ED7">
        <w:rPr>
          <w:rStyle w:val="FootnoteReference"/>
          <w:rFonts w:cs="Times New Roman"/>
          <w:lang w:val="sr-Cyrl-CS"/>
        </w:rPr>
        <w:footnoteReference w:id="36"/>
      </w:r>
      <w:r w:rsidRPr="00092ED7">
        <w:rPr>
          <w:rFonts w:cs="Times New Roman"/>
          <w:lang w:val="sr-Cyrl-CS"/>
        </w:rPr>
        <w:t xml:space="preserve"> (368 евра). У исто време, </w:t>
      </w:r>
      <w:r w:rsidRPr="00092ED7">
        <w:rPr>
          <w:rFonts w:cs="Times New Roman"/>
          <w:b/>
          <w:lang w:val="sr-Cyrl-CS"/>
        </w:rPr>
        <w:t xml:space="preserve">износ новчане социјалне помоћи </w:t>
      </w:r>
      <w:r w:rsidRPr="00092ED7">
        <w:rPr>
          <w:rFonts w:cs="Times New Roman"/>
          <w:lang w:val="sr-Cyrl-CS"/>
        </w:rPr>
        <w:t xml:space="preserve">коју остварује трочлана породица (носилац права, додатак за одрасло лице и додатак за дете) износи 17.244 динара (147 евра), што је мање од половине како просечне минималне потрошачке корпе тако и прага ризика од сиромаштва. </w:t>
      </w:r>
    </w:p>
    <w:p w14:paraId="00A9DF3D" w14:textId="32E95C70" w:rsidR="00D210F0" w:rsidRPr="00092ED7" w:rsidRDefault="00D210F0" w:rsidP="00D210F0">
      <w:pPr>
        <w:spacing w:after="60"/>
        <w:rPr>
          <w:rFonts w:cs="Times New Roman"/>
          <w:lang w:val="sr-Cyrl-CS"/>
        </w:rPr>
      </w:pPr>
      <w:r w:rsidRPr="00092ED7">
        <w:rPr>
          <w:rFonts w:cs="Times New Roman"/>
          <w:b/>
          <w:lang w:val="sr-Cyrl-CS"/>
        </w:rPr>
        <w:lastRenderedPageBreak/>
        <w:t>Побољшање адекватности социјалних давања</w:t>
      </w:r>
      <w:r w:rsidRPr="00092ED7">
        <w:rPr>
          <w:rFonts w:cs="Times New Roman"/>
          <w:lang w:val="sr-Cyrl-CS"/>
        </w:rPr>
        <w:t xml:space="preserve"> за становништво испод прага сиромаштва и прерасподела средстава између постојећих програма представља изазов већ дуги низ година. Значајан инструмент у поступању центара за социјални рад представља примена </w:t>
      </w:r>
      <w:r w:rsidRPr="00092ED7">
        <w:rPr>
          <w:rFonts w:cs="Times New Roman"/>
          <w:iCs/>
          <w:lang w:val="sr-Cyrl-CS"/>
        </w:rPr>
        <w:t>Закона о социјалној карти</w:t>
      </w:r>
      <w:r w:rsidR="009023C8" w:rsidRPr="00092ED7">
        <w:rPr>
          <w:rFonts w:cs="Times New Roman"/>
          <w:szCs w:val="24"/>
          <w:lang w:val="sr-Cyrl-CS"/>
        </w:rPr>
        <w:t xml:space="preserve"> </w:t>
      </w:r>
      <w:r w:rsidRPr="00092ED7">
        <w:rPr>
          <w:rFonts w:cs="Times New Roman"/>
          <w:szCs w:val="24"/>
          <w:lang w:val="sr-Cyrl-CS"/>
        </w:rPr>
        <w:t>која</w:t>
      </w:r>
      <w:r w:rsidRPr="00092ED7">
        <w:rPr>
          <w:rFonts w:cs="Times New Roman"/>
          <w:lang w:val="sr-Cyrl-CS"/>
        </w:rPr>
        <w:t xml:space="preserve"> је почела априла 2022. године, од када је регистар Социјална карта почео са радом. Регистар обједињује базе свих неопходних државних органа, чиме омогућава бољу контролу социјалних давања и праведнију расподелу новца за социјално најугроженије категорије.</w:t>
      </w:r>
    </w:p>
    <w:p w14:paraId="0FE5D9BD" w14:textId="49615A92" w:rsidR="00D210F0" w:rsidRPr="00092ED7" w:rsidRDefault="00D210F0" w:rsidP="00D210F0">
      <w:pPr>
        <w:spacing w:after="60"/>
        <w:rPr>
          <w:rFonts w:cs="Times New Roman"/>
          <w:lang w:val="sr-Cyrl-CS"/>
        </w:rPr>
      </w:pPr>
      <w:r w:rsidRPr="00092ED7">
        <w:rPr>
          <w:rFonts w:cs="Times New Roman"/>
          <w:lang w:val="sr-Cyrl-CS"/>
        </w:rPr>
        <w:t xml:space="preserve">У току је </w:t>
      </w:r>
      <w:r w:rsidRPr="00092ED7">
        <w:rPr>
          <w:rFonts w:cs="Times New Roman"/>
          <w:b/>
          <w:lang w:val="sr-Cyrl-CS"/>
        </w:rPr>
        <w:t>израда</w:t>
      </w:r>
      <w:r w:rsidRPr="00092ED7">
        <w:rPr>
          <w:rFonts w:cs="Times New Roman"/>
          <w:lang w:val="sr-Cyrl-CS"/>
        </w:rPr>
        <w:t xml:space="preserve"> </w:t>
      </w:r>
      <w:r w:rsidRPr="00092ED7">
        <w:rPr>
          <w:rFonts w:cs="Times New Roman"/>
          <w:b/>
          <w:i/>
          <w:lang w:val="sr-Cyrl-CS"/>
        </w:rPr>
        <w:t>Нацрта закона о изменама и допунама Закона о социјалној заштити</w:t>
      </w:r>
      <w:r w:rsidRPr="00092ED7">
        <w:rPr>
          <w:rFonts w:cs="Times New Roman"/>
          <w:lang w:val="sr-Cyrl-CS"/>
        </w:rPr>
        <w:t xml:space="preserve"> којим се планира </w:t>
      </w:r>
      <w:r w:rsidRPr="00092ED7">
        <w:rPr>
          <w:rFonts w:cs="Times New Roman"/>
          <w:b/>
          <w:lang w:val="sr-Cyrl-CS"/>
        </w:rPr>
        <w:t>реформа социјалне политике</w:t>
      </w:r>
      <w:r w:rsidRPr="00092ED7">
        <w:rPr>
          <w:rFonts w:cs="Times New Roman"/>
          <w:lang w:val="sr-Cyrl-CS"/>
        </w:rPr>
        <w:t xml:space="preserve">. Редефинисаће се одређена права, врсте услуга, установе и пружаоци услуга, корисничке групе, механизми за контролу квалитета, надлежности у оснивању и финансирању, као и новчана социјална помоћ и додатак за помоћ и негу другог лица, </w:t>
      </w:r>
      <w:r w:rsidRPr="00092ED7">
        <w:rPr>
          <w:rFonts w:cs="Times New Roman"/>
          <w:b/>
          <w:lang w:val="sr-Cyrl-CS"/>
        </w:rPr>
        <w:t>у складу са могућностима</w:t>
      </w:r>
      <w:r w:rsidRPr="00092ED7">
        <w:rPr>
          <w:rFonts w:cs="Times New Roman"/>
          <w:lang w:val="sr-Cyrl-CS"/>
        </w:rPr>
        <w:t xml:space="preserve">. Обухваћено је и редефинисање контролно-регулаторних механизама (инспекција и надзора). </w:t>
      </w:r>
    </w:p>
    <w:p w14:paraId="7FDEF270" w14:textId="77777777" w:rsidR="008143FA" w:rsidRPr="00092ED7" w:rsidRDefault="008143FA" w:rsidP="00D210F0">
      <w:pPr>
        <w:spacing w:after="60"/>
        <w:rPr>
          <w:rFonts w:cs="Times New Roman"/>
          <w:lang w:val="sr-Cyrl-CS"/>
        </w:rPr>
      </w:pPr>
      <w:r w:rsidRPr="00092ED7">
        <w:rPr>
          <w:rFonts w:cs="Times New Roman"/>
          <w:lang w:val="sr-Cyrl-CS"/>
        </w:rPr>
        <w:t xml:space="preserve">Планирана реформа социјалне политике у Републици Србији обухватиће и </w:t>
      </w:r>
      <w:r w:rsidRPr="00092ED7">
        <w:rPr>
          <w:rFonts w:cs="Times New Roman"/>
          <w:b/>
          <w:lang w:val="sr-Cyrl-CS"/>
        </w:rPr>
        <w:t>стављање ван снаге</w:t>
      </w:r>
      <w:r w:rsidRPr="00092ED7">
        <w:rPr>
          <w:rFonts w:cs="Times New Roman"/>
          <w:lang w:val="sr-Cyrl-CS"/>
        </w:rPr>
        <w:t xml:space="preserve"> </w:t>
      </w:r>
      <w:r w:rsidRPr="00092ED7">
        <w:rPr>
          <w:rFonts w:cs="Times New Roman"/>
          <w:b/>
          <w:i/>
          <w:lang w:val="sr-Cyrl-CS"/>
        </w:rPr>
        <w:t>Закона о утврђивању катастарског прихода</w:t>
      </w:r>
      <w:r w:rsidRPr="00092ED7">
        <w:rPr>
          <w:rFonts w:cs="Times New Roman"/>
          <w:lang w:val="sr-Cyrl-CS"/>
        </w:rPr>
        <w:t xml:space="preserve"> (</w:t>
      </w:r>
      <w:r w:rsidRPr="00092ED7">
        <w:rPr>
          <w:rFonts w:cs="Times New Roman"/>
          <w:szCs w:val="24"/>
          <w:lang w:val="sr-Cyrl-CS"/>
        </w:rPr>
        <w:t>„</w:t>
      </w:r>
      <w:r w:rsidRPr="00092ED7">
        <w:rPr>
          <w:rFonts w:cs="Times New Roman"/>
          <w:lang w:val="sr-Cyrl-CS"/>
        </w:rPr>
        <w:t>Службени гласник РС</w:t>
      </w:r>
      <w:r w:rsidRPr="00092ED7">
        <w:rPr>
          <w:rFonts w:cs="Times New Roman"/>
          <w:szCs w:val="24"/>
          <w:lang w:val="sr-Cyrl-CS"/>
        </w:rPr>
        <w:t>”, број 49/92), што ће допринети административном растерећењу у области социјалне заштите, као и реалној процени потреба и планирању новчане социјалне помоћи за више категорија корисника.</w:t>
      </w:r>
    </w:p>
    <w:p w14:paraId="2707A2AB" w14:textId="3E4D5C11" w:rsidR="00D210F0" w:rsidRPr="00092ED7" w:rsidRDefault="00D210F0" w:rsidP="00D210F0">
      <w:pPr>
        <w:spacing w:after="60"/>
        <w:rPr>
          <w:rFonts w:cs="Times New Roman"/>
          <w:lang w:val="sr-Cyrl-CS"/>
        </w:rPr>
      </w:pPr>
      <w:r w:rsidRPr="00092ED7">
        <w:rPr>
          <w:rFonts w:cs="Times New Roman"/>
          <w:b/>
          <w:lang w:val="sr-Cyrl-CS"/>
        </w:rPr>
        <w:t>Неопходно је донети стратешки оквир за развој политика социјалне заштите.</w:t>
      </w:r>
      <w:r w:rsidRPr="00092ED7">
        <w:rPr>
          <w:rFonts w:cs="Times New Roman"/>
          <w:lang w:val="sr-Cyrl-CS"/>
        </w:rPr>
        <w:t xml:space="preserve"> У том контексту, након </w:t>
      </w:r>
      <w:r w:rsidRPr="00092ED7">
        <w:rPr>
          <w:rFonts w:cs="Times New Roman"/>
          <w:i/>
          <w:lang w:val="sr-Cyrl-CS"/>
        </w:rPr>
        <w:t>ex-post</w:t>
      </w:r>
      <w:r w:rsidRPr="00092ED7">
        <w:rPr>
          <w:rFonts w:cs="Times New Roman"/>
          <w:lang w:val="sr-Cyrl-CS"/>
        </w:rPr>
        <w:t xml:space="preserve"> анализе </w:t>
      </w:r>
      <w:r w:rsidRPr="00092ED7">
        <w:rPr>
          <w:rFonts w:cs="Times New Roman"/>
          <w:i/>
          <w:lang w:val="sr-Cyrl-CS"/>
        </w:rPr>
        <w:t xml:space="preserve">Стратегије развоја социјалне заштите </w:t>
      </w:r>
      <w:r w:rsidRPr="00092ED7">
        <w:rPr>
          <w:rFonts w:cs="Times New Roman"/>
          <w:lang w:val="sr-Cyrl-CS"/>
        </w:rPr>
        <w:t>(„Сл</w:t>
      </w:r>
      <w:r w:rsidR="00461EE0" w:rsidRPr="00092ED7">
        <w:rPr>
          <w:rFonts w:cs="Times New Roman"/>
          <w:lang w:val="sr-Cyrl-CS"/>
        </w:rPr>
        <w:t>ужбени</w:t>
      </w:r>
      <w:r w:rsidR="00576076" w:rsidRPr="00092ED7">
        <w:rPr>
          <w:rFonts w:cs="Times New Roman"/>
          <w:lang w:val="sr-Cyrl-CS"/>
        </w:rPr>
        <w:t xml:space="preserve"> гласник РС</w:t>
      </w:r>
      <w:r w:rsidR="00461EE0" w:rsidRPr="00092ED7">
        <w:rPr>
          <w:rFonts w:cs="Times New Roman"/>
          <w:szCs w:val="24"/>
          <w:lang w:val="sr-Cyrl-CS"/>
        </w:rPr>
        <w:t>”</w:t>
      </w:r>
      <w:r w:rsidR="00576076" w:rsidRPr="00092ED7">
        <w:rPr>
          <w:rFonts w:cs="Times New Roman"/>
          <w:lang w:val="sr-Cyrl-CS"/>
        </w:rPr>
        <w:t>, бр</w:t>
      </w:r>
      <w:r w:rsidR="00461EE0" w:rsidRPr="00092ED7">
        <w:rPr>
          <w:rFonts w:cs="Times New Roman"/>
          <w:lang w:val="sr-Cyrl-CS"/>
        </w:rPr>
        <w:t>ој</w:t>
      </w:r>
      <w:r w:rsidRPr="00092ED7">
        <w:rPr>
          <w:rFonts w:cs="Times New Roman"/>
          <w:lang w:val="sr-Cyrl-CS"/>
        </w:rPr>
        <w:t xml:space="preserve"> 108/05)</w:t>
      </w:r>
      <w:r w:rsidRPr="00092ED7">
        <w:rPr>
          <w:rFonts w:cs="Times New Roman"/>
          <w:i/>
          <w:lang w:val="sr-Cyrl-CS"/>
        </w:rPr>
        <w:t>,</w:t>
      </w:r>
      <w:r w:rsidRPr="00092ED7">
        <w:rPr>
          <w:rFonts w:cs="Times New Roman"/>
          <w:lang w:val="sr-Cyrl-CS"/>
        </w:rPr>
        <w:t xml:space="preserve"> урађена је и </w:t>
      </w:r>
      <w:r w:rsidRPr="00092ED7">
        <w:rPr>
          <w:rFonts w:cs="Times New Roman"/>
          <w:i/>
          <w:lang w:val="sr-Cyrl-CS"/>
        </w:rPr>
        <w:t>ex-ante</w:t>
      </w:r>
      <w:r w:rsidRPr="00092ED7">
        <w:rPr>
          <w:rFonts w:cs="Times New Roman"/>
          <w:lang w:val="sr-Cyrl-CS"/>
        </w:rPr>
        <w:t xml:space="preserve"> анализа ефеката нове стратегије. У наредном периоду приступиће се образовању радне групе за израду нацрта нове Стратегије социјалне заштите која ће одредити даље правце развоја у овој области.</w:t>
      </w:r>
    </w:p>
    <w:p w14:paraId="6AF8529C" w14:textId="3D8BFD12" w:rsidR="00D210F0" w:rsidRPr="00092ED7" w:rsidRDefault="00D210F0" w:rsidP="00D210F0">
      <w:pPr>
        <w:spacing w:after="60"/>
        <w:rPr>
          <w:rFonts w:cs="Times New Roman"/>
          <w:lang w:val="sr-Cyrl-CS"/>
        </w:rPr>
      </w:pPr>
      <w:r w:rsidRPr="00092ED7">
        <w:rPr>
          <w:rFonts w:cs="Times New Roman"/>
          <w:lang w:val="sr-Cyrl-CS"/>
        </w:rPr>
        <w:t xml:space="preserve">Једно од стратешких опредељења Републике Србије је и </w:t>
      </w:r>
      <w:r w:rsidRPr="00092ED7">
        <w:rPr>
          <w:rFonts w:cs="Times New Roman"/>
          <w:b/>
          <w:lang w:val="sr-Cyrl-CS"/>
        </w:rPr>
        <w:t>деинституционализација</w:t>
      </w:r>
      <w:r w:rsidRPr="00092ED7">
        <w:rPr>
          <w:rFonts w:cs="Times New Roman"/>
          <w:lang w:val="sr-Cyrl-CS"/>
        </w:rPr>
        <w:t xml:space="preserve">, односно смањење броја лица смештених у установе за смештај корисника и њихова интеграција у друштво. Неопходан корак ка том циљу је било усвајање </w:t>
      </w:r>
      <w:r w:rsidRPr="00092ED7">
        <w:rPr>
          <w:rFonts w:cs="Times New Roman"/>
          <w:b/>
          <w:i/>
          <w:lang w:val="sr-Cyrl-CS"/>
        </w:rPr>
        <w:t>Стратегије деинституционализације и развоја услуга социјалне заштите у заједници за период 2022–2026. године</w:t>
      </w:r>
      <w:r w:rsidRPr="00092ED7">
        <w:rPr>
          <w:rFonts w:cs="Times New Roman"/>
          <w:lang w:val="sr-Cyrl-CS"/>
        </w:rPr>
        <w:t xml:space="preserve"> („Сл</w:t>
      </w:r>
      <w:r w:rsidR="00461EE0" w:rsidRPr="00092ED7">
        <w:rPr>
          <w:rFonts w:cs="Times New Roman"/>
          <w:lang w:val="sr-Cyrl-CS"/>
        </w:rPr>
        <w:t>ужбени</w:t>
      </w:r>
      <w:r w:rsidRPr="00092ED7">
        <w:rPr>
          <w:rFonts w:cs="Times New Roman"/>
          <w:lang w:val="sr-Cyrl-CS"/>
        </w:rPr>
        <w:t xml:space="preserve"> гласник РС</w:t>
      </w:r>
      <w:r w:rsidR="00461EE0" w:rsidRPr="00092ED7">
        <w:rPr>
          <w:rFonts w:cs="Times New Roman"/>
          <w:szCs w:val="24"/>
          <w:lang w:val="sr-Cyrl-CS"/>
        </w:rPr>
        <w:t>”</w:t>
      </w:r>
      <w:r w:rsidRPr="00092ED7">
        <w:rPr>
          <w:rFonts w:cs="Times New Roman"/>
          <w:lang w:val="sr-Cyrl-CS"/>
        </w:rPr>
        <w:t>, бр</w:t>
      </w:r>
      <w:r w:rsidR="00461EE0" w:rsidRPr="00092ED7">
        <w:rPr>
          <w:rFonts w:cs="Times New Roman"/>
          <w:lang w:val="sr-Cyrl-CS"/>
        </w:rPr>
        <w:t>ој</w:t>
      </w:r>
      <w:r w:rsidRPr="00092ED7">
        <w:rPr>
          <w:rFonts w:cs="Times New Roman"/>
          <w:lang w:val="sr-Cyrl-CS"/>
        </w:rPr>
        <w:t xml:space="preserve"> 12/22), којом је обухваћен сет посебних циљева и активности које ће кроз развој услуга у заједници, обезбеђивање стабилних извора финансирања и услова за интеграцију, превенирати смештај корисника у институције односно омогућити њихов повратак у локалне заједнице. Примарно је усмерена ка особама са интелектуалним и менталним тешкоћама које су у највећем ризику од институционализације и социјалног искључивања. У току је израда </w:t>
      </w:r>
      <w:r w:rsidRPr="00092ED7">
        <w:rPr>
          <w:rFonts w:cs="Times New Roman"/>
          <w:i/>
          <w:lang w:val="sr-Cyrl-CS"/>
        </w:rPr>
        <w:t>Акционог плана за 2023. годину</w:t>
      </w:r>
      <w:r w:rsidRPr="00092ED7">
        <w:rPr>
          <w:rFonts w:cs="Times New Roman"/>
          <w:lang w:val="sr-Cyrl-CS"/>
        </w:rPr>
        <w:t xml:space="preserve"> за спровођење ове </w:t>
      </w:r>
      <w:r w:rsidR="009E0CFF" w:rsidRPr="00092ED7">
        <w:rPr>
          <w:rFonts w:cs="Times New Roman"/>
          <w:lang w:val="sr-Cyrl-CS"/>
        </w:rPr>
        <w:t>с</w:t>
      </w:r>
      <w:r w:rsidRPr="00092ED7">
        <w:rPr>
          <w:rFonts w:cs="Times New Roman"/>
          <w:lang w:val="sr-Cyrl-CS"/>
        </w:rPr>
        <w:t>тратегије</w:t>
      </w:r>
      <w:r w:rsidR="001A5622" w:rsidRPr="00092ED7">
        <w:rPr>
          <w:rFonts w:cs="Times New Roman"/>
          <w:lang w:val="sr-Cyrl-CS"/>
        </w:rPr>
        <w:t>.</w:t>
      </w:r>
    </w:p>
    <w:p w14:paraId="6ADF128D" w14:textId="702EA808" w:rsidR="009023C8" w:rsidRPr="00092ED7" w:rsidRDefault="00D210F0" w:rsidP="009023C8">
      <w:pPr>
        <w:spacing w:after="0"/>
        <w:rPr>
          <w:rFonts w:cs="Times New Roman"/>
          <w:szCs w:val="24"/>
          <w:lang w:val="sr-Cyrl-CS"/>
        </w:rPr>
      </w:pPr>
      <w:r w:rsidRPr="00092ED7">
        <w:rPr>
          <w:rFonts w:cs="Times New Roman"/>
          <w:lang w:val="sr-Cyrl-CS"/>
        </w:rPr>
        <w:t>Oквир за</w:t>
      </w:r>
      <w:r w:rsidRPr="00092ED7">
        <w:rPr>
          <w:rFonts w:cs="Times New Roman"/>
          <w:b/>
          <w:lang w:val="sr-Cyrl-CS"/>
        </w:rPr>
        <w:t xml:space="preserve"> унапређење положаја особа са инвалидитетом</w:t>
      </w:r>
      <w:r w:rsidRPr="00092ED7">
        <w:rPr>
          <w:rFonts w:cs="Times New Roman"/>
          <w:lang w:val="sr-Cyrl-CS"/>
        </w:rPr>
        <w:t xml:space="preserve"> у Републици Србији дефинисан је усвајањем</w:t>
      </w:r>
      <w:r w:rsidRPr="00092ED7">
        <w:rPr>
          <w:rFonts w:cs="Times New Roman"/>
          <w:b/>
          <w:lang w:val="sr-Cyrl-CS"/>
        </w:rPr>
        <w:t xml:space="preserve"> </w:t>
      </w:r>
      <w:r w:rsidRPr="00092ED7">
        <w:rPr>
          <w:rFonts w:cs="Times New Roman"/>
          <w:b/>
          <w:i/>
          <w:lang w:val="sr-Cyrl-CS"/>
        </w:rPr>
        <w:t xml:space="preserve">Стратегије унапређења положаја особа са инвалидитетом у Републици Србији за период од 2020. до 2024. године </w:t>
      </w:r>
      <w:r w:rsidRPr="00092ED7">
        <w:rPr>
          <w:rFonts w:cs="Times New Roman"/>
          <w:lang w:val="sr-Cyrl-CS"/>
        </w:rPr>
        <w:t>(„Сл</w:t>
      </w:r>
      <w:r w:rsidR="00461EE0" w:rsidRPr="00092ED7">
        <w:rPr>
          <w:rFonts w:cs="Times New Roman"/>
          <w:lang w:val="sr-Cyrl-CS"/>
        </w:rPr>
        <w:t>ужбени</w:t>
      </w:r>
      <w:r w:rsidR="00576076" w:rsidRPr="00092ED7">
        <w:rPr>
          <w:rFonts w:cs="Times New Roman"/>
          <w:lang w:val="sr-Cyrl-CS"/>
        </w:rPr>
        <w:t xml:space="preserve"> гласник РС</w:t>
      </w:r>
      <w:r w:rsidR="00461EE0" w:rsidRPr="00092ED7">
        <w:rPr>
          <w:rFonts w:cs="Times New Roman"/>
          <w:szCs w:val="24"/>
          <w:lang w:val="sr-Cyrl-CS"/>
        </w:rPr>
        <w:t>”</w:t>
      </w:r>
      <w:r w:rsidR="00576076" w:rsidRPr="00092ED7">
        <w:rPr>
          <w:rFonts w:cs="Times New Roman"/>
          <w:lang w:val="sr-Cyrl-CS"/>
        </w:rPr>
        <w:t>, бр</w:t>
      </w:r>
      <w:r w:rsidR="00461EE0" w:rsidRPr="00092ED7">
        <w:rPr>
          <w:rFonts w:cs="Times New Roman"/>
          <w:lang w:val="sr-Cyrl-CS"/>
        </w:rPr>
        <w:t>ој</w:t>
      </w:r>
      <w:r w:rsidRPr="00092ED7">
        <w:rPr>
          <w:rFonts w:cs="Times New Roman"/>
          <w:lang w:val="sr-Cyrl-CS"/>
        </w:rPr>
        <w:t xml:space="preserve"> 44/20), као и </w:t>
      </w:r>
      <w:r w:rsidR="009023C8" w:rsidRPr="00092ED7">
        <w:rPr>
          <w:rFonts w:cs="Times New Roman"/>
          <w:szCs w:val="24"/>
          <w:lang w:val="sr-Cyrl-CS"/>
        </w:rPr>
        <w:t>Акциони план за спровођење Стратегије унапређења положаја особа са инвалидитетом у Републици Србији за период од 2020. до 2024. године, у периоду од 2021. до 2022. године („Службени гласник РС”, број 37/21)</w:t>
      </w:r>
      <w:r w:rsidR="00B16622" w:rsidRPr="00092ED7">
        <w:rPr>
          <w:rFonts w:cs="Times New Roman"/>
          <w:szCs w:val="24"/>
          <w:lang w:val="sr-Cyrl-CS"/>
        </w:rPr>
        <w:t>.</w:t>
      </w:r>
    </w:p>
    <w:p w14:paraId="5386185E" w14:textId="38201D79" w:rsidR="00D210F0" w:rsidRPr="00092ED7" w:rsidRDefault="00D210F0" w:rsidP="00D210F0">
      <w:pPr>
        <w:spacing w:after="60"/>
        <w:rPr>
          <w:rFonts w:cs="Times New Roman"/>
          <w:lang w:val="sr-Cyrl-CS"/>
        </w:rPr>
      </w:pPr>
      <w:r w:rsidRPr="00092ED7">
        <w:rPr>
          <w:rFonts w:cs="Times New Roman"/>
          <w:lang w:val="sr-Cyrl-CS"/>
        </w:rPr>
        <w:t>Дефинисани приоритети су побољшање свеукупног друштвеног и економског положаја особа са инвалидитетом и њихово равноправно учешће у друштву. Предвиђено је да се ови приоритети остваре путем уклањања препрека у области приступачности, партиципације, једнакости, запошљавања, образовања и обуке, социјалне заштите, здравства и других аспеката који доприносе изједначавању њихових могућности и остваривању једнакости. По први пут се предвиђа и успостављање базе података о укупном броју запослених или радно ангажованих особа са инвалидитетом у Републици Србији.</w:t>
      </w:r>
    </w:p>
    <w:p w14:paraId="5A61A4FD" w14:textId="3E7860D9" w:rsidR="00D210F0" w:rsidRPr="00092ED7" w:rsidRDefault="00D210F0" w:rsidP="00D210F0">
      <w:pPr>
        <w:spacing w:after="60"/>
        <w:rPr>
          <w:rFonts w:cs="Times New Roman"/>
          <w:lang w:val="sr-Cyrl-CS"/>
        </w:rPr>
      </w:pPr>
      <w:r w:rsidRPr="00092ED7">
        <w:rPr>
          <w:rFonts w:cs="Times New Roman"/>
          <w:lang w:val="sr-Cyrl-CS"/>
        </w:rPr>
        <w:lastRenderedPageBreak/>
        <w:t xml:space="preserve">Усвојен је </w:t>
      </w:r>
      <w:r w:rsidRPr="00092ED7">
        <w:rPr>
          <w:rFonts w:cs="Times New Roman"/>
          <w:b/>
          <w:i/>
          <w:lang w:val="sr-Cyrl-CS"/>
        </w:rPr>
        <w:t>Закон о социјалном предузетништву</w:t>
      </w:r>
      <w:r w:rsidRPr="00092ED7">
        <w:rPr>
          <w:rFonts w:cs="Times New Roman"/>
          <w:lang w:val="sr-Cyrl-CS"/>
        </w:rPr>
        <w:t xml:space="preserve"> („Сл</w:t>
      </w:r>
      <w:r w:rsidR="00461EE0" w:rsidRPr="00092ED7">
        <w:rPr>
          <w:rFonts w:cs="Times New Roman"/>
          <w:lang w:val="sr-Cyrl-CS"/>
        </w:rPr>
        <w:t>ужбени</w:t>
      </w:r>
      <w:r w:rsidR="00576076" w:rsidRPr="00092ED7">
        <w:rPr>
          <w:rFonts w:cs="Times New Roman"/>
          <w:lang w:val="sr-Cyrl-CS"/>
        </w:rPr>
        <w:t xml:space="preserve"> гласник РС</w:t>
      </w:r>
      <w:r w:rsidR="00461EE0" w:rsidRPr="00092ED7">
        <w:rPr>
          <w:rFonts w:cs="Times New Roman"/>
          <w:szCs w:val="24"/>
          <w:lang w:val="sr-Cyrl-CS"/>
        </w:rPr>
        <w:t>”</w:t>
      </w:r>
      <w:r w:rsidR="00576076" w:rsidRPr="00092ED7">
        <w:rPr>
          <w:rFonts w:cs="Times New Roman"/>
          <w:lang w:val="sr-Cyrl-CS"/>
        </w:rPr>
        <w:t>, бр</w:t>
      </w:r>
      <w:r w:rsidR="00461EE0" w:rsidRPr="00092ED7">
        <w:rPr>
          <w:rFonts w:cs="Times New Roman"/>
          <w:lang w:val="sr-Cyrl-CS"/>
        </w:rPr>
        <w:t>ој</w:t>
      </w:r>
      <w:r w:rsidRPr="00092ED7">
        <w:rPr>
          <w:rFonts w:cs="Times New Roman"/>
          <w:lang w:val="sr-Cyrl-CS"/>
        </w:rPr>
        <w:t xml:space="preserve"> 14/22) почетком фебруара 2022. године. </w:t>
      </w:r>
      <w:r w:rsidR="006C154D" w:rsidRPr="00092ED7">
        <w:rPr>
          <w:rFonts w:cs="Times New Roman"/>
          <w:lang w:val="sr-Cyrl-CS"/>
        </w:rPr>
        <w:t xml:space="preserve">Примена </w:t>
      </w:r>
      <w:r w:rsidRPr="00092ED7">
        <w:rPr>
          <w:rFonts w:cs="Times New Roman"/>
          <w:lang w:val="sr-Cyrl-CS"/>
        </w:rPr>
        <w:t>Закона поч</w:t>
      </w:r>
      <w:r w:rsidR="002C2A99" w:rsidRPr="00092ED7">
        <w:rPr>
          <w:rFonts w:cs="Times New Roman"/>
          <w:lang w:val="sr-Cyrl-CS"/>
        </w:rPr>
        <w:t>ела је</w:t>
      </w:r>
      <w:r w:rsidRPr="00092ED7">
        <w:rPr>
          <w:rFonts w:cs="Times New Roman"/>
          <w:lang w:val="sr-Cyrl-CS"/>
        </w:rPr>
        <w:t xml:space="preserve"> 16. новембра 2022. године када </w:t>
      </w:r>
      <w:r w:rsidR="002C2A99" w:rsidRPr="00092ED7">
        <w:rPr>
          <w:rFonts w:cs="Times New Roman"/>
          <w:lang w:val="sr-Cyrl-CS"/>
        </w:rPr>
        <w:t>су</w:t>
      </w:r>
      <w:r w:rsidRPr="00092ED7">
        <w:rPr>
          <w:rFonts w:cs="Times New Roman"/>
          <w:lang w:val="sr-Cyrl-CS"/>
        </w:rPr>
        <w:t xml:space="preserve"> у Републици Србији регистровани први социјални привредни субјекти</w:t>
      </w:r>
      <w:r w:rsidR="00F601BA" w:rsidRPr="00092ED7">
        <w:rPr>
          <w:rFonts w:cs="Times New Roman"/>
          <w:lang w:val="sr-Cyrl-CS"/>
        </w:rPr>
        <w:t>.</w:t>
      </w:r>
      <w:r w:rsidRPr="00092ED7">
        <w:rPr>
          <w:rFonts w:cs="Times New Roman"/>
          <w:lang w:val="sr-Cyrl-CS"/>
        </w:rPr>
        <w:t xml:space="preserve"> Закон дефинише доношење </w:t>
      </w:r>
      <w:r w:rsidRPr="00092ED7">
        <w:rPr>
          <w:rFonts w:cs="Times New Roman"/>
          <w:b/>
          <w:i/>
          <w:lang w:val="sr-Cyrl-CS"/>
        </w:rPr>
        <w:t>Програма развоја социјалних предузећа</w:t>
      </w:r>
      <w:r w:rsidRPr="00092ED7">
        <w:rPr>
          <w:rStyle w:val="FootnoteReference"/>
          <w:rFonts w:cs="Times New Roman"/>
          <w:b/>
          <w:lang w:val="sr-Cyrl-CS"/>
        </w:rPr>
        <w:footnoteReference w:id="37"/>
      </w:r>
      <w:r w:rsidRPr="00092ED7">
        <w:rPr>
          <w:rFonts w:cs="Times New Roman"/>
          <w:lang w:val="sr-Cyrl-CS"/>
        </w:rPr>
        <w:t xml:space="preserve"> као документ јавне политике који ће детаљније утврдити смернице даљег развоја социјалне економије као веома значајне области у Републици Србији. У овој области кључни изазови су: развој солидарне економије као одрживог и друштвено одговорног пословања које је усклађено са ширим друштвеним интересима а нарочито интересима друштвено осетљивих група; даља афирмација социјалног предузетништва кроз информативне и едукативне мере и програме намењене како широј јавности тако и субјектима социјалног предузетништва, јавној управи, ђацима и студентима; успостављање ефикасне и координисане финансијске и нефинансијске подршке пословању субјеката социјалног предузетништва у домену социјалне економије из различитих извора.</w:t>
      </w:r>
    </w:p>
    <w:p w14:paraId="6F036BC1" w14:textId="5F3BE360" w:rsidR="00D210F0" w:rsidRPr="00092ED7" w:rsidRDefault="00D210F0" w:rsidP="00D210F0">
      <w:pPr>
        <w:spacing w:after="60"/>
        <w:rPr>
          <w:rFonts w:cs="Times New Roman"/>
          <w:lang w:val="sr-Cyrl-CS"/>
        </w:rPr>
      </w:pPr>
      <w:r w:rsidRPr="00092ED7">
        <w:rPr>
          <w:rFonts w:cs="Times New Roman"/>
          <w:b/>
          <w:lang w:val="sr-Cyrl-CS"/>
        </w:rPr>
        <w:t>Ниво родне равноправности у Републици Србији још увек није задовољавајући.</w:t>
      </w:r>
      <w:r w:rsidRPr="00092ED7">
        <w:rPr>
          <w:rFonts w:cs="Times New Roman"/>
          <w:lang w:val="sr-Cyrl-CS"/>
        </w:rPr>
        <w:t xml:space="preserve"> Индекс родне равноправности</w:t>
      </w:r>
      <w:r w:rsidRPr="00092ED7">
        <w:rPr>
          <w:rStyle w:val="FootnoteReference"/>
          <w:rFonts w:cs="Times New Roman"/>
          <w:lang w:val="sr-Cyrl-CS"/>
        </w:rPr>
        <w:footnoteReference w:id="38"/>
      </w:r>
      <w:r w:rsidRPr="00092ED7">
        <w:rPr>
          <w:rFonts w:cs="Times New Roman"/>
          <w:lang w:val="sr-Cyrl-CS"/>
        </w:rPr>
        <w:t xml:space="preserve"> за </w:t>
      </w:r>
      <w:r w:rsidR="003B5902" w:rsidRPr="00092ED7">
        <w:rPr>
          <w:rFonts w:cs="Times New Roman"/>
          <w:lang w:val="sr-Cyrl-CS"/>
        </w:rPr>
        <w:t xml:space="preserve">Републику </w:t>
      </w:r>
      <w:r w:rsidRPr="00092ED7">
        <w:rPr>
          <w:rFonts w:cs="Times New Roman"/>
          <w:lang w:val="sr-Cyrl-CS"/>
        </w:rPr>
        <w:t>Србију износи 58 поена према подацима из 2018.</w:t>
      </w:r>
      <w:r w:rsidRPr="00092ED7">
        <w:rPr>
          <w:rStyle w:val="FootnoteReference"/>
          <w:rFonts w:cs="Times New Roman"/>
          <w:lang w:val="sr-Cyrl-CS"/>
        </w:rPr>
        <w:footnoteReference w:id="39"/>
      </w:r>
      <w:r w:rsidRPr="00092ED7">
        <w:rPr>
          <w:rFonts w:cs="Times New Roman"/>
          <w:lang w:val="sr-Cyrl-CS"/>
        </w:rPr>
        <w:t xml:space="preserve"> године, што представља континуиран, мада спор, напредак у унапређивању родне равноправности. Пораст Индекса износи 2,2 поена у односу на податке из 2016. године. Ипак, </w:t>
      </w:r>
      <w:r w:rsidR="003B5902" w:rsidRPr="00092ED7">
        <w:rPr>
          <w:rFonts w:cs="Times New Roman"/>
          <w:lang w:val="sr-Cyrl-CS"/>
        </w:rPr>
        <w:t xml:space="preserve">Република </w:t>
      </w:r>
      <w:r w:rsidRPr="00092ED7">
        <w:rPr>
          <w:rFonts w:cs="Times New Roman"/>
          <w:lang w:val="sr-Cyrl-CS"/>
        </w:rPr>
        <w:t>Србија и даље бележи нижу вредност индекса у односу на просек ЕУ-27, који износи 68 поена</w:t>
      </w:r>
      <w:r w:rsidRPr="00092ED7">
        <w:rPr>
          <w:rStyle w:val="FootnoteReference"/>
          <w:rFonts w:cs="Times New Roman"/>
          <w:lang w:val="sr-Cyrl-CS"/>
        </w:rPr>
        <w:footnoteReference w:id="40"/>
      </w:r>
      <w:r w:rsidRPr="00092ED7">
        <w:rPr>
          <w:rFonts w:cs="Times New Roman"/>
          <w:lang w:val="sr-Cyrl-CS"/>
        </w:rPr>
        <w:t xml:space="preserve">. Посматрано према доменима, највећи јаз између </w:t>
      </w:r>
      <w:r w:rsidR="00D508CD" w:rsidRPr="00092ED7">
        <w:rPr>
          <w:rFonts w:cs="Times New Roman"/>
          <w:lang w:val="sr-Cyrl-CS"/>
        </w:rPr>
        <w:t xml:space="preserve">Републике </w:t>
      </w:r>
      <w:r w:rsidRPr="00092ED7">
        <w:rPr>
          <w:rFonts w:cs="Times New Roman"/>
          <w:lang w:val="sr-Cyrl-CS"/>
        </w:rPr>
        <w:t>Србије и ЕУ-27 присутан је у домену новца (22,7) и времена</w:t>
      </w:r>
      <w:r w:rsidRPr="00092ED7">
        <w:rPr>
          <w:rStyle w:val="FootnoteReference"/>
          <w:rFonts w:cs="Times New Roman"/>
          <w:lang w:val="sr-Cyrl-CS"/>
        </w:rPr>
        <w:footnoteReference w:id="41"/>
      </w:r>
      <w:r w:rsidRPr="00092ED7">
        <w:rPr>
          <w:lang w:val="sr-Cyrl-CS"/>
        </w:rPr>
        <w:t xml:space="preserve"> </w:t>
      </w:r>
      <w:r w:rsidRPr="00092ED7">
        <w:rPr>
          <w:rFonts w:cs="Times New Roman"/>
          <w:lang w:val="sr-Cyrl-CS"/>
        </w:rPr>
        <w:t xml:space="preserve">(16,2), потом у доменима моћи (8,5) и знања (6,7), а најмањи јаз је присутан у доменима здравља (3,7) и рада (2,2). Домен </w:t>
      </w:r>
      <w:r w:rsidRPr="00092ED7">
        <w:rPr>
          <w:rFonts w:cs="Times New Roman"/>
          <w:b/>
          <w:lang w:val="sr-Cyrl-CS"/>
        </w:rPr>
        <w:t>знања</w:t>
      </w:r>
      <w:r w:rsidRPr="00092ED7">
        <w:rPr>
          <w:rFonts w:cs="Times New Roman"/>
          <w:lang w:val="sr-Cyrl-CS"/>
        </w:rPr>
        <w:t xml:space="preserve"> у Републици Србији показује некозистентне трендове</w:t>
      </w:r>
      <w:r w:rsidRPr="00092ED7">
        <w:rPr>
          <w:rStyle w:val="FootnoteReference"/>
          <w:rFonts w:cs="Times New Roman"/>
          <w:lang w:val="sr-Cyrl-CS"/>
        </w:rPr>
        <w:footnoteReference w:id="42"/>
      </w:r>
      <w:r w:rsidRPr="00092ED7">
        <w:rPr>
          <w:rFonts w:cs="Times New Roman"/>
          <w:lang w:val="sr-Cyrl-CS"/>
        </w:rPr>
        <w:t xml:space="preserve">, и изазива највећу забринутост јер се у укупном скору бележи негативан исход, односно пад вредности индекса од 1,3 поена у односу на 2016. годину. Пад се дугује паду вредности индекса за поддомен образовног достигнућа и учешћа (-0,9) и за поддомен сегрегације према образовним областима (-1,6). Неједнакости су видљиве и у домену </w:t>
      </w:r>
      <w:r w:rsidRPr="00092ED7">
        <w:rPr>
          <w:rFonts w:cs="Times New Roman"/>
          <w:b/>
          <w:lang w:val="sr-Cyrl-CS"/>
        </w:rPr>
        <w:t>новца</w:t>
      </w:r>
      <w:r w:rsidRPr="00092ED7">
        <w:rPr>
          <w:rFonts w:cs="Times New Roman"/>
          <w:lang w:val="sr-Cyrl-CS"/>
        </w:rPr>
        <w:t xml:space="preserve">, јер жене имају ниже приходе од мушкараца, а поједине групе жена изложене су и вишим ризицима од сиромаштва. Неједнакости у домену </w:t>
      </w:r>
      <w:r w:rsidRPr="00092ED7">
        <w:rPr>
          <w:rFonts w:cs="Times New Roman"/>
          <w:b/>
          <w:lang w:val="sr-Cyrl-CS"/>
        </w:rPr>
        <w:t>времена</w:t>
      </w:r>
      <w:r w:rsidRPr="00092ED7">
        <w:rPr>
          <w:rFonts w:cs="Times New Roman"/>
          <w:lang w:val="sr-Cyrl-CS"/>
        </w:rPr>
        <w:t xml:space="preserve"> показују колико жене свог времена и рада троше у бризи о домаћинству и породици, односно обављајући неплаћени кућни рад.</w:t>
      </w:r>
    </w:p>
    <w:p w14:paraId="7149AFE4" w14:textId="77777777" w:rsidR="00D210F0" w:rsidRPr="00092ED7" w:rsidRDefault="00D210F0" w:rsidP="00D210F0">
      <w:pPr>
        <w:spacing w:after="60"/>
        <w:rPr>
          <w:rFonts w:cs="Times New Roman"/>
          <w:lang w:val="sr-Cyrl-CS"/>
        </w:rPr>
      </w:pPr>
      <w:r w:rsidRPr="00092ED7">
        <w:rPr>
          <w:rFonts w:cs="Times New Roman"/>
          <w:b/>
          <w:lang w:val="sr-Cyrl-CS"/>
        </w:rPr>
        <w:t>Родни јаз у економији</w:t>
      </w:r>
      <w:r w:rsidRPr="00092ED7">
        <w:rPr>
          <w:rFonts w:cs="Times New Roman"/>
          <w:lang w:val="sr-Cyrl-CS"/>
        </w:rPr>
        <w:t xml:space="preserve"> у Републици Србији видљив је кроз неједнак положај жена и мушкараца на тржишту рада, разликама у висини зараде, пензије и уопште прихода, разликама у предузетничкој активности, приступу ресурсима за подршку запошљавању и самозапошљавању, учешћу у неформалној економији, разликама у власништву над непокретностима и земљом, као и учешће у одлучивању у економији.</w:t>
      </w:r>
    </w:p>
    <w:p w14:paraId="32EDA382" w14:textId="77777777" w:rsidR="00D210F0" w:rsidRPr="00092ED7" w:rsidRDefault="00D210F0" w:rsidP="00D210F0">
      <w:pPr>
        <w:spacing w:after="60"/>
        <w:rPr>
          <w:rFonts w:cs="Times New Roman"/>
          <w:lang w:val="sr-Cyrl-CS"/>
        </w:rPr>
      </w:pPr>
      <w:r w:rsidRPr="00092ED7">
        <w:rPr>
          <w:rFonts w:cs="Times New Roman"/>
          <w:lang w:val="sr-Cyrl-CS"/>
        </w:rPr>
        <w:t xml:space="preserve">Родни јаз у </w:t>
      </w:r>
      <w:r w:rsidRPr="00092ED7">
        <w:rPr>
          <w:rFonts w:cs="Times New Roman"/>
          <w:b/>
          <w:lang w:val="sr-Cyrl-CS"/>
        </w:rPr>
        <w:t>стопи активности (15+)</w:t>
      </w:r>
      <w:r w:rsidRPr="00092ED7">
        <w:rPr>
          <w:rFonts w:cs="Times New Roman"/>
          <w:lang w:val="sr-Cyrl-CS"/>
        </w:rPr>
        <w:t xml:space="preserve"> на тржишту рада износи </w:t>
      </w:r>
      <w:r w:rsidRPr="00092ED7">
        <w:rPr>
          <w:rFonts w:cs="Times New Roman"/>
          <w:b/>
          <w:lang w:val="sr-Cyrl-CS"/>
        </w:rPr>
        <w:t>15,9 п.п.</w:t>
      </w:r>
      <w:r w:rsidRPr="00092ED7">
        <w:rPr>
          <w:rFonts w:cs="Times New Roman"/>
          <w:lang w:val="sr-Cyrl-CS"/>
        </w:rPr>
        <w:t xml:space="preserve"> у 2021.</w:t>
      </w:r>
      <w:r w:rsidRPr="00092ED7">
        <w:rPr>
          <w:rStyle w:val="FootnoteReference"/>
          <w:rFonts w:cs="Times New Roman"/>
          <w:lang w:val="sr-Cyrl-CS"/>
        </w:rPr>
        <w:footnoteReference w:id="43"/>
      </w:r>
      <w:r w:rsidRPr="00092ED7">
        <w:rPr>
          <w:rFonts w:cs="Times New Roman"/>
          <w:lang w:val="sr-Cyrl-CS"/>
        </w:rPr>
        <w:t xml:space="preserve"> години. Подаци према полу указују да жене имају нижу стопу активности на тржишту рада (47%) </w:t>
      </w:r>
      <w:r w:rsidRPr="00092ED7">
        <w:rPr>
          <w:rFonts w:cs="Times New Roman"/>
          <w:lang w:val="sr-Cyrl-CS"/>
        </w:rPr>
        <w:lastRenderedPageBreak/>
        <w:t>од мушкараца (62,9%). Посматрано по годинама старости, највишу стопу активности имају жене и мушкарци у групи 25–54 године, која за жене износи 78,9%, а за мушкарце 90,4%.</w:t>
      </w:r>
    </w:p>
    <w:p w14:paraId="61A6786F" w14:textId="77777777" w:rsidR="00D210F0" w:rsidRPr="00092ED7" w:rsidRDefault="00D210F0" w:rsidP="00D210F0">
      <w:pPr>
        <w:spacing w:after="60"/>
        <w:rPr>
          <w:rFonts w:cs="Times New Roman"/>
          <w:lang w:val="sr-Cyrl-CS"/>
        </w:rPr>
      </w:pPr>
      <w:r w:rsidRPr="00092ED7">
        <w:rPr>
          <w:rFonts w:cs="Times New Roman"/>
          <w:lang w:val="sr-Cyrl-CS"/>
        </w:rPr>
        <w:t xml:space="preserve">Родни јаз у </w:t>
      </w:r>
      <w:r w:rsidRPr="00092ED7">
        <w:rPr>
          <w:rFonts w:cs="Times New Roman"/>
          <w:b/>
          <w:lang w:val="sr-Cyrl-CS"/>
        </w:rPr>
        <w:t>стопи</w:t>
      </w:r>
      <w:r w:rsidRPr="00092ED7">
        <w:rPr>
          <w:rFonts w:cs="Times New Roman"/>
          <w:lang w:val="sr-Cyrl-CS"/>
        </w:rPr>
        <w:t xml:space="preserve"> </w:t>
      </w:r>
      <w:r w:rsidRPr="00092ED7">
        <w:rPr>
          <w:rFonts w:cs="Times New Roman"/>
          <w:b/>
          <w:lang w:val="sr-Cyrl-CS"/>
        </w:rPr>
        <w:t>запослености (15+)</w:t>
      </w:r>
      <w:r w:rsidRPr="00092ED7">
        <w:rPr>
          <w:rFonts w:cs="Times New Roman"/>
          <w:lang w:val="sr-Cyrl-CS"/>
        </w:rPr>
        <w:t xml:space="preserve"> на тржишту рада износи </w:t>
      </w:r>
      <w:r w:rsidRPr="00092ED7">
        <w:rPr>
          <w:rFonts w:cs="Times New Roman"/>
          <w:b/>
          <w:lang w:val="sr-Cyrl-CS"/>
        </w:rPr>
        <w:t>15,2 п.п.</w:t>
      </w:r>
      <w:r w:rsidRPr="00092ED7">
        <w:rPr>
          <w:rFonts w:cs="Times New Roman"/>
          <w:lang w:val="sr-Cyrl-CS"/>
        </w:rPr>
        <w:t xml:space="preserve"> у 2021.</w:t>
      </w:r>
      <w:r w:rsidRPr="00092ED7">
        <w:rPr>
          <w:rStyle w:val="FootnoteReference"/>
          <w:rFonts w:cs="Times New Roman"/>
          <w:lang w:val="sr-Cyrl-CS"/>
        </w:rPr>
        <w:footnoteReference w:id="44"/>
      </w:r>
      <w:r w:rsidRPr="00092ED7">
        <w:rPr>
          <w:rFonts w:cs="Times New Roman"/>
          <w:lang w:val="sr-Cyrl-CS"/>
        </w:rPr>
        <w:t xml:space="preserve"> години. Радни статус према полу показује да стопа запослености жена износи 41,3% а мушкараца 56,5%. Посматрано по годинама старости, за групу 25–54 године стопе запослености су највише и износе 69,3% код жена и 81,5% код мушкараца. У групи преко 55 година међу запосленима стопе су 18,6% код жена и 32,7% код мушкараца.</w:t>
      </w:r>
    </w:p>
    <w:p w14:paraId="4A671BBB" w14:textId="77777777" w:rsidR="00D210F0" w:rsidRPr="00092ED7" w:rsidRDefault="00D210F0" w:rsidP="00D210F0">
      <w:pPr>
        <w:spacing w:after="60"/>
        <w:rPr>
          <w:rFonts w:cs="Times New Roman"/>
          <w:lang w:val="sr-Cyrl-CS"/>
        </w:rPr>
      </w:pPr>
      <w:r w:rsidRPr="00092ED7">
        <w:rPr>
          <w:rFonts w:cs="Times New Roman"/>
          <w:lang w:val="sr-Cyrl-CS"/>
        </w:rPr>
        <w:t>На побољшање перформанси жена на тржишту рада, пре свега у погледу активности и запослености, дошло је, између осталих разлога, и услед институционалних промена. Најнепосреднији утицај на активност жена на тржишту рада има законска измена у временској граници за остваривање права на пензију, али и увођење пенала за одлазак у превремену пензију. Континуирано повећање старосне границе за одлазак у пензију несумњиво је повећавало активност и запосленост жена продуживши, вољно или невољно, везаност кохорти старијих жена за тржиште рада.</w:t>
      </w:r>
    </w:p>
    <w:p w14:paraId="709FB3DD" w14:textId="77777777" w:rsidR="00D210F0" w:rsidRPr="00092ED7" w:rsidRDefault="00D210F0" w:rsidP="00D210F0">
      <w:pPr>
        <w:spacing w:after="60"/>
        <w:rPr>
          <w:rFonts w:cs="Times New Roman"/>
          <w:lang w:val="sr-Cyrl-CS"/>
        </w:rPr>
      </w:pPr>
      <w:r w:rsidRPr="00092ED7">
        <w:rPr>
          <w:rFonts w:cs="Times New Roman"/>
          <w:lang w:val="sr-Cyrl-CS"/>
        </w:rPr>
        <w:t xml:space="preserve">Посматрано по </w:t>
      </w:r>
      <w:r w:rsidRPr="00092ED7">
        <w:rPr>
          <w:rFonts w:cs="Times New Roman"/>
          <w:b/>
          <w:lang w:val="sr-Cyrl-CS"/>
        </w:rPr>
        <w:t>дужини радног времена</w:t>
      </w:r>
      <w:r w:rsidRPr="00092ED7">
        <w:rPr>
          <w:rFonts w:cs="Times New Roman"/>
          <w:lang w:val="sr-Cyrl-CS"/>
        </w:rPr>
        <w:t xml:space="preserve"> међу запосленима који раде са непуним радним временом жене чине већину (58,3% за рад 1-14 сати; 51% за рад 15-35 сати) у 2021.</w:t>
      </w:r>
      <w:r w:rsidRPr="00092ED7">
        <w:rPr>
          <w:rStyle w:val="FootnoteReference"/>
          <w:rFonts w:cs="Times New Roman"/>
          <w:lang w:val="sr-Cyrl-CS"/>
        </w:rPr>
        <w:footnoteReference w:id="45"/>
      </w:r>
      <w:r w:rsidRPr="00092ED7">
        <w:rPr>
          <w:rFonts w:cs="Times New Roman"/>
          <w:lang w:val="sr-Cyrl-CS"/>
        </w:rPr>
        <w:t xml:space="preserve"> години. Најчешћи разлози због којих жене раде непуно радно време су брига о деци или неспособним старијим лицима (97,9%), породични или лични разлози (63,5%) и болест или инвалидитет (43,3%). Најчешћи разлози због којих мушкарци раде са непуним радним временом су немогућност налажења посла с пуним радним временом (59,9%), школовање или обука (57,7%) и болест или инвалидитет (56,7%).</w:t>
      </w:r>
    </w:p>
    <w:p w14:paraId="39C42ACF" w14:textId="77777777" w:rsidR="00D210F0" w:rsidRPr="00092ED7" w:rsidRDefault="00D210F0" w:rsidP="00D210F0">
      <w:pPr>
        <w:spacing w:after="60"/>
        <w:rPr>
          <w:rFonts w:cs="Times New Roman"/>
          <w:lang w:val="sr-Cyrl-CS"/>
        </w:rPr>
      </w:pPr>
      <w:r w:rsidRPr="00092ED7">
        <w:rPr>
          <w:rFonts w:cs="Times New Roman"/>
          <w:lang w:val="sr-Cyrl-CS"/>
        </w:rPr>
        <w:t xml:space="preserve">Посматрано према </w:t>
      </w:r>
      <w:r w:rsidRPr="00092ED7">
        <w:rPr>
          <w:rFonts w:cs="Times New Roman"/>
          <w:b/>
          <w:lang w:val="sr-Cyrl-CS"/>
        </w:rPr>
        <w:t>радном статусу</w:t>
      </w:r>
      <w:r w:rsidRPr="00092ED7">
        <w:rPr>
          <w:rFonts w:cs="Times New Roman"/>
          <w:lang w:val="sr-Cyrl-CS"/>
        </w:rPr>
        <w:t xml:space="preserve"> самозапослено (са запосленима или без њих) је 22,9% жена и 77,1% мушкараца у 2021.</w:t>
      </w:r>
      <w:r w:rsidRPr="00092ED7">
        <w:rPr>
          <w:rStyle w:val="FootnoteReference"/>
          <w:rFonts w:cs="Times New Roman"/>
          <w:lang w:val="sr-Cyrl-CS"/>
        </w:rPr>
        <w:footnoteReference w:id="46"/>
      </w:r>
      <w:r w:rsidRPr="00092ED7">
        <w:rPr>
          <w:rFonts w:cs="Times New Roman"/>
          <w:lang w:val="sr-Cyrl-CS"/>
        </w:rPr>
        <w:t xml:space="preserve"> години. Када је у питању неплаћени породични рад, жене чине већину са учешћем од 67,8% у укупно неплаћеном породичном раду, док учешће мушкараца износи 32,2%.</w:t>
      </w:r>
    </w:p>
    <w:p w14:paraId="35AB150D" w14:textId="77777777" w:rsidR="00D210F0" w:rsidRPr="00092ED7" w:rsidRDefault="00D210F0" w:rsidP="00D210F0">
      <w:pPr>
        <w:spacing w:after="60"/>
        <w:rPr>
          <w:rFonts w:cs="Times New Roman"/>
          <w:lang w:val="sr-Cyrl-CS"/>
        </w:rPr>
      </w:pPr>
      <w:r w:rsidRPr="00092ED7">
        <w:rPr>
          <w:rFonts w:cs="Times New Roman"/>
          <w:lang w:val="sr-Cyrl-CS"/>
        </w:rPr>
        <w:t>У укупној запослености</w:t>
      </w:r>
      <w:r w:rsidRPr="00092ED7">
        <w:rPr>
          <w:rFonts w:cs="Times New Roman"/>
          <w:b/>
          <w:lang w:val="sr-Cyrl-CS"/>
        </w:rPr>
        <w:t xml:space="preserve"> неформално запослене</w:t>
      </w:r>
      <w:r w:rsidRPr="00092ED7">
        <w:rPr>
          <w:rFonts w:cs="Times New Roman"/>
          <w:lang w:val="sr-Cyrl-CS"/>
        </w:rPr>
        <w:t xml:space="preserve"> жене учествују са 6,2%, док неформално запослени мушкарци представљају 7% укупне запослености у 2021.</w:t>
      </w:r>
      <w:r w:rsidRPr="00092ED7">
        <w:rPr>
          <w:rStyle w:val="FootnoteReference"/>
          <w:rFonts w:cs="Times New Roman"/>
          <w:lang w:val="sr-Cyrl-CS"/>
        </w:rPr>
        <w:footnoteReference w:id="47"/>
      </w:r>
      <w:r w:rsidRPr="00092ED7">
        <w:rPr>
          <w:rFonts w:cs="Times New Roman"/>
          <w:lang w:val="sr-Cyrl-CS"/>
        </w:rPr>
        <w:t xml:space="preserve"> години. Највећи проценат неформално запослених жена је у старосној групи преко 55 година (60%), док је највећи проценат неформално запослених мушкараца међу младима од 15–24 године старости (71,4%).</w:t>
      </w:r>
    </w:p>
    <w:p w14:paraId="7F5362FE" w14:textId="2B283F59" w:rsidR="00D210F0" w:rsidRPr="00092ED7" w:rsidRDefault="00D210F0" w:rsidP="00D210F0">
      <w:pPr>
        <w:spacing w:after="60"/>
        <w:rPr>
          <w:rFonts w:cs="Times New Roman"/>
          <w:lang w:val="sr-Cyrl-CS"/>
        </w:rPr>
      </w:pPr>
      <w:r w:rsidRPr="00092ED7">
        <w:rPr>
          <w:rFonts w:cs="Times New Roman"/>
          <w:lang w:val="sr-Cyrl-CS"/>
        </w:rPr>
        <w:t xml:space="preserve">Родни јаз у </w:t>
      </w:r>
      <w:r w:rsidRPr="00092ED7">
        <w:rPr>
          <w:rFonts w:cs="Times New Roman"/>
          <w:b/>
          <w:lang w:val="sr-Cyrl-CS"/>
        </w:rPr>
        <w:t>стопи незапослености</w:t>
      </w:r>
      <w:r w:rsidRPr="00092ED7">
        <w:rPr>
          <w:rFonts w:cs="Times New Roman"/>
          <w:lang w:val="sr-Cyrl-CS"/>
        </w:rPr>
        <w:t xml:space="preserve"> на тржишту рада износи </w:t>
      </w:r>
      <w:r w:rsidRPr="00092ED7">
        <w:rPr>
          <w:rFonts w:cs="Times New Roman"/>
          <w:b/>
          <w:lang w:val="sr-Cyrl-CS"/>
        </w:rPr>
        <w:t>1,9 п.п.</w:t>
      </w:r>
      <w:r w:rsidRPr="00092ED7">
        <w:rPr>
          <w:rFonts w:cs="Times New Roman"/>
          <w:lang w:val="sr-Cyrl-CS"/>
        </w:rPr>
        <w:t xml:space="preserve"> у 2021.</w:t>
      </w:r>
      <w:r w:rsidRPr="00092ED7">
        <w:rPr>
          <w:rStyle w:val="FootnoteReference"/>
          <w:rFonts w:cs="Times New Roman"/>
          <w:lang w:val="sr-Cyrl-CS"/>
        </w:rPr>
        <w:footnoteReference w:id="48"/>
      </w:r>
      <w:r w:rsidRPr="00092ED7">
        <w:rPr>
          <w:rFonts w:cs="Times New Roman"/>
          <w:lang w:val="sr-Cyrl-CS"/>
        </w:rPr>
        <w:t xml:space="preserve"> години. Стопа незапослености износила је 12,1% за жене и 10,2% за мушкарце. Током п</w:t>
      </w:r>
      <w:r w:rsidRPr="00092ED7">
        <w:rPr>
          <w:rFonts w:eastAsia="Calibri" w:cs="Times New Roman"/>
          <w:szCs w:val="24"/>
          <w:lang w:val="sr-Cyrl-CS"/>
        </w:rPr>
        <w:t xml:space="preserve">андемије </w:t>
      </w:r>
      <w:r w:rsidR="00B94430" w:rsidRPr="00092ED7">
        <w:rPr>
          <w:rFonts w:eastAsia="Calibri" w:cs="Times New Roman"/>
          <w:szCs w:val="24"/>
          <w:lang w:val="sr-Cyrl-CS"/>
        </w:rPr>
        <w:t xml:space="preserve">корона </w:t>
      </w:r>
      <w:r w:rsidRPr="00092ED7">
        <w:rPr>
          <w:rFonts w:eastAsia="Calibri" w:cs="Times New Roman"/>
          <w:szCs w:val="24"/>
          <w:lang w:val="sr-Cyrl-CS"/>
        </w:rPr>
        <w:t>вируса дошло је до повећања контигента становништва ван радне снаге јер појединци, како жене тако и мушкарци, нису могли да траже посао или нису били у могућности да почну да раде због мера спречавања ширења вируса корона. То је довело до смањења стопе незапослености и код жена (10,2%) и код мушкараца (9,4%), а како је смањење стопе било више код жена, родни јаз у стопи незапослености износио је само 0,8 п.п. у 2020.</w:t>
      </w:r>
      <w:r w:rsidRPr="00092ED7">
        <w:rPr>
          <w:rStyle w:val="FootnoteReference"/>
          <w:rFonts w:cs="Times New Roman"/>
          <w:lang w:val="sr-Cyrl-CS"/>
        </w:rPr>
        <w:footnoteReference w:id="49"/>
      </w:r>
      <w:r w:rsidRPr="00092ED7">
        <w:rPr>
          <w:rFonts w:eastAsia="Calibri" w:cs="Times New Roman"/>
          <w:szCs w:val="24"/>
          <w:lang w:val="sr-Cyrl-CS"/>
        </w:rPr>
        <w:t xml:space="preserve"> години.</w:t>
      </w:r>
    </w:p>
    <w:p w14:paraId="3D09B138" w14:textId="77777777" w:rsidR="00D210F0" w:rsidRPr="00092ED7" w:rsidRDefault="00D210F0" w:rsidP="00D210F0">
      <w:pPr>
        <w:spacing w:after="60"/>
        <w:rPr>
          <w:rFonts w:cs="Times New Roman"/>
          <w:lang w:val="sr-Cyrl-CS"/>
        </w:rPr>
      </w:pPr>
      <w:r w:rsidRPr="00092ED7">
        <w:rPr>
          <w:rFonts w:cs="Times New Roman"/>
          <w:b/>
          <w:lang w:val="sr-Cyrl-CS"/>
        </w:rPr>
        <w:t>Платни јаз</w:t>
      </w:r>
      <w:r w:rsidRPr="00092ED7">
        <w:rPr>
          <w:rFonts w:cs="Times New Roman"/>
          <w:lang w:val="sr-Cyrl-CS"/>
        </w:rPr>
        <w:t xml:space="preserve"> износио је 8,8%</w:t>
      </w:r>
      <w:r w:rsidRPr="00092ED7">
        <w:rPr>
          <w:rStyle w:val="FootnoteReference"/>
          <w:rFonts w:cs="Times New Roman"/>
          <w:lang w:val="sr-Cyrl-CS"/>
        </w:rPr>
        <w:footnoteReference w:id="50"/>
      </w:r>
      <w:r w:rsidRPr="00092ED7">
        <w:rPr>
          <w:rFonts w:cs="Times New Roman"/>
          <w:lang w:val="sr-Cyrl-CS"/>
        </w:rPr>
        <w:t xml:space="preserve"> у 2018. години, колико су жене биле мање плаћене од мушкараца у Републици Србији. Међутим, када се подаци анализирају по степену образовања, платни јаз је много дубљи, па тако за жене без школе и са непотпуном </w:t>
      </w:r>
      <w:r w:rsidRPr="00092ED7">
        <w:rPr>
          <w:rFonts w:cs="Times New Roman"/>
          <w:lang w:val="sr-Cyrl-CS"/>
        </w:rPr>
        <w:lastRenderedPageBreak/>
        <w:t>основном школом или основним образовањем износи 21,2%. Посматрано по занимањима највећи платни јаз је у следећим занимањима: занатлије и сродни (23,8%), инжењери, стручни сарадници и техничари (19,3%), стручњаци и уметници (19%), и у једноставним занимањима (15,4%). Посматрано по годинама старости најдубљи платни јаз је за жене од 30–49 година. Чак је и међу младим женама и мушкарцима од 15–29 година присутан платни јаз од 4,6%.</w:t>
      </w:r>
    </w:p>
    <w:p w14:paraId="37E0906E" w14:textId="07DC5554" w:rsidR="00D210F0" w:rsidRPr="00092ED7" w:rsidRDefault="00D210F0" w:rsidP="00D210F0">
      <w:pPr>
        <w:spacing w:after="60"/>
        <w:rPr>
          <w:rFonts w:cs="Times New Roman"/>
          <w:lang w:val="sr-Cyrl-CS"/>
        </w:rPr>
      </w:pPr>
      <w:r w:rsidRPr="00092ED7">
        <w:rPr>
          <w:rFonts w:cs="Times New Roman"/>
          <w:lang w:val="sr-Cyrl-CS"/>
        </w:rPr>
        <w:t>Међу грађанима који пријаве да су на годишњем нивоу приходовали више од три просечне годишње плате највећи је број мушкараца. Од укупног броја пријава годишњег пореза на доходак (34.753) у 2021. години</w:t>
      </w:r>
      <w:r w:rsidRPr="00092ED7">
        <w:rPr>
          <w:rStyle w:val="FootnoteReference"/>
          <w:rFonts w:cs="Times New Roman"/>
          <w:lang w:val="sr-Cyrl-CS"/>
        </w:rPr>
        <w:footnoteReference w:id="51"/>
      </w:r>
      <w:r w:rsidRPr="00092ED7">
        <w:rPr>
          <w:rFonts w:cs="Times New Roman"/>
          <w:lang w:val="sr-Cyrl-CS"/>
        </w:rPr>
        <w:t>, свега је 9% (3.128) пријава жена, а чак 91% (31.625) пријава мушкараца. Ови подаци најбоље одсликавају такозвани „ефекат стакленог плафона</w:t>
      </w:r>
      <w:r w:rsidR="009D6FEF" w:rsidRPr="00092ED7">
        <w:rPr>
          <w:rFonts w:cs="Times New Roman"/>
          <w:szCs w:val="24"/>
          <w:lang w:val="sr-Cyrl-CS"/>
        </w:rPr>
        <w:t>”</w:t>
      </w:r>
      <w:r w:rsidRPr="00092ED7">
        <w:rPr>
          <w:rFonts w:cs="Times New Roman"/>
          <w:lang w:val="sr-Cyrl-CS"/>
        </w:rPr>
        <w:t xml:space="preserve"> што значи да мушкарци брже долазе до виших нивоа у хијерархији фирме него жене, и чак заузимају више позиције, док се жене на неком хијерархијском нивоу зауставе и не могу даље да напредују.</w:t>
      </w:r>
    </w:p>
    <w:p w14:paraId="3D1192B2" w14:textId="77777777" w:rsidR="00D210F0" w:rsidRPr="00092ED7" w:rsidRDefault="00D210F0" w:rsidP="00D210F0">
      <w:pPr>
        <w:spacing w:after="60"/>
        <w:rPr>
          <w:rFonts w:cs="Times New Roman"/>
          <w:lang w:val="sr-Cyrl-CS"/>
        </w:rPr>
      </w:pPr>
      <w:r w:rsidRPr="00092ED7">
        <w:rPr>
          <w:rFonts w:cs="Times New Roman"/>
          <w:b/>
          <w:lang w:val="sr-Cyrl-CS"/>
        </w:rPr>
        <w:t>Родни диспаритети и родна сегрегација у приступу образовању још увек постоје, посебно међу рањивим групама</w:t>
      </w:r>
      <w:r w:rsidRPr="00092ED7">
        <w:rPr>
          <w:rFonts w:cs="Times New Roman"/>
          <w:lang w:val="sr-Cyrl-CS"/>
        </w:rPr>
        <w:t>. Видљиви су, међутим, позитивни помаци у домену интегрисања родне перспективе у образовање</w:t>
      </w:r>
      <w:r w:rsidRPr="00092ED7">
        <w:rPr>
          <w:rStyle w:val="FootnoteReference"/>
          <w:rFonts w:cs="Times New Roman"/>
          <w:lang w:val="sr-Cyrl-CS"/>
        </w:rPr>
        <w:footnoteReference w:id="52"/>
      </w:r>
      <w:r w:rsidRPr="00092ED7">
        <w:rPr>
          <w:rFonts w:cs="Times New Roman"/>
          <w:lang w:val="sr-Cyrl-CS"/>
        </w:rPr>
        <w:t xml:space="preserve">: олакшане процедуре за упис у основну школу и повећање обухвата Ромкиња и Рома основним образовањем; афирмативне мере за упис у средње школе и повећање обухвата средњим образовањем; индивидуални образовни план; педагошки асистенти; обуке за наставнике; стипендије, кредити, смештај и исхрана (10% капацитета за девојчице и дечаке, девојке и младиће из осетљивих група); афирмативне мере за упис Рома и Ромкиња на високошколске установе. </w:t>
      </w:r>
    </w:p>
    <w:p w14:paraId="66357C1F" w14:textId="4212FCFE" w:rsidR="00D210F0" w:rsidRPr="00092ED7" w:rsidRDefault="00D210F0" w:rsidP="00D210F0">
      <w:pPr>
        <w:spacing w:after="60"/>
        <w:rPr>
          <w:rFonts w:cs="Times New Roman"/>
          <w:lang w:val="sr-Cyrl-CS"/>
        </w:rPr>
      </w:pPr>
      <w:r w:rsidRPr="00092ED7">
        <w:rPr>
          <w:rFonts w:cs="Times New Roman"/>
          <w:lang w:val="sr-Cyrl-CS"/>
        </w:rPr>
        <w:t xml:space="preserve">Упркос значајном повећању капацитета </w:t>
      </w:r>
      <w:r w:rsidRPr="00092ED7">
        <w:rPr>
          <w:rFonts w:cs="Times New Roman"/>
          <w:b/>
          <w:lang w:val="sr-Cyrl-CS"/>
        </w:rPr>
        <w:t>предшколских установа</w:t>
      </w:r>
      <w:r w:rsidRPr="00092ED7">
        <w:rPr>
          <w:rFonts w:cs="Times New Roman"/>
          <w:lang w:val="sr-Cyrl-CS"/>
        </w:rPr>
        <w:t xml:space="preserve"> и повећаног броја објеката, 5.736 деце је остало неуписано у предшколско образовање због попуњености капацитета</w:t>
      </w:r>
      <w:r w:rsidRPr="00092ED7">
        <w:rPr>
          <w:rStyle w:val="FootnoteReference"/>
          <w:rFonts w:cs="Times New Roman"/>
          <w:lang w:val="sr-Cyrl-CS"/>
        </w:rPr>
        <w:footnoteReference w:id="53"/>
      </w:r>
      <w:r w:rsidRPr="00092ED7">
        <w:rPr>
          <w:rFonts w:cs="Times New Roman"/>
          <w:lang w:val="sr-Cyrl-CS"/>
        </w:rPr>
        <w:t xml:space="preserve"> у 2021. години. У контексту праведности и даље су приметне две негативне појаве: разлике између </w:t>
      </w:r>
      <w:r w:rsidR="00EB5D17" w:rsidRPr="00092ED7">
        <w:rPr>
          <w:rFonts w:cs="Times New Roman"/>
          <w:lang w:val="sr-Cyrl-CS"/>
        </w:rPr>
        <w:t>ЈЛС</w:t>
      </w:r>
      <w:r w:rsidRPr="00092ED7">
        <w:rPr>
          <w:rFonts w:cs="Times New Roman"/>
          <w:lang w:val="sr-Cyrl-CS"/>
        </w:rPr>
        <w:t xml:space="preserve"> у погледу обухвата деце уопште и обухвата деце из ромских насеља</w:t>
      </w:r>
      <w:r w:rsidRPr="00092ED7">
        <w:rPr>
          <w:rStyle w:val="FootnoteReference"/>
          <w:rFonts w:cs="Times New Roman"/>
          <w:lang w:val="sr-Cyrl-CS"/>
        </w:rPr>
        <w:footnoteReference w:id="54"/>
      </w:r>
      <w:r w:rsidRPr="00092ED7">
        <w:rPr>
          <w:rFonts w:cs="Times New Roman"/>
          <w:lang w:val="sr-Cyrl-CS"/>
        </w:rPr>
        <w:t>. У општој популацији 63% девојчица и 58% дечака обухваћено је образовањем у раном детињству, док је у ромским заједницама само 8% девојчица и 7% дечака обухваћено овим програмима</w:t>
      </w:r>
      <w:r w:rsidRPr="00092ED7">
        <w:rPr>
          <w:rStyle w:val="FootnoteReference"/>
          <w:rFonts w:cs="Times New Roman"/>
          <w:lang w:val="sr-Cyrl-CS"/>
        </w:rPr>
        <w:footnoteReference w:id="55"/>
      </w:r>
      <w:r w:rsidRPr="00092ED7">
        <w:rPr>
          <w:rFonts w:cs="Times New Roman"/>
          <w:lang w:val="sr-Cyrl-CS"/>
        </w:rPr>
        <w:t>. Скоро сва деца из опште популације (96% девојчица и 98% дечака) похађају припремни предшколски програм, али родне разлике постоје код деце из ромских насеља, међу којима је 73% девојчица и 79% дечака обухваћено овим програмом</w:t>
      </w:r>
      <w:r w:rsidRPr="00092ED7">
        <w:rPr>
          <w:rStyle w:val="FootnoteReference"/>
          <w:rFonts w:cs="Times New Roman"/>
          <w:lang w:val="sr-Cyrl-CS"/>
        </w:rPr>
        <w:footnoteReference w:id="56"/>
      </w:r>
      <w:r w:rsidRPr="00092ED7">
        <w:rPr>
          <w:rFonts w:cs="Times New Roman"/>
          <w:lang w:val="sr-Cyrl-CS"/>
        </w:rPr>
        <w:t>.</w:t>
      </w:r>
    </w:p>
    <w:p w14:paraId="2CE799B7" w14:textId="77777777" w:rsidR="00D210F0" w:rsidRPr="00092ED7" w:rsidRDefault="00D210F0" w:rsidP="00D210F0">
      <w:pPr>
        <w:spacing w:after="60"/>
        <w:rPr>
          <w:rFonts w:cs="Times New Roman"/>
          <w:lang w:val="sr-Cyrl-CS"/>
        </w:rPr>
      </w:pPr>
      <w:r w:rsidRPr="00092ED7">
        <w:rPr>
          <w:rFonts w:cs="Times New Roman"/>
          <w:lang w:val="sr-Cyrl-CS"/>
        </w:rPr>
        <w:t xml:space="preserve">Међу младима који завршавају </w:t>
      </w:r>
      <w:r w:rsidRPr="00092ED7">
        <w:rPr>
          <w:rFonts w:cs="Times New Roman"/>
          <w:b/>
          <w:lang w:val="sr-Cyrl-CS"/>
        </w:rPr>
        <w:t>средње четворогодишње опште образовање</w:t>
      </w:r>
      <w:r w:rsidRPr="00092ED7">
        <w:rPr>
          <w:rFonts w:cs="Times New Roman"/>
          <w:lang w:val="sr-Cyrl-CS"/>
        </w:rPr>
        <w:t xml:space="preserve"> (гимназије) више је девојчица (60%) него дечака (40%), док </w:t>
      </w:r>
      <w:r w:rsidRPr="00092ED7">
        <w:rPr>
          <w:rFonts w:cs="Times New Roman"/>
          <w:b/>
          <w:lang w:val="sr-Cyrl-CS"/>
        </w:rPr>
        <w:t>трогодишње средње стручне школе</w:t>
      </w:r>
      <w:r w:rsidRPr="00092ED7">
        <w:rPr>
          <w:rFonts w:cs="Times New Roman"/>
          <w:lang w:val="sr-Cyrl-CS"/>
        </w:rPr>
        <w:t xml:space="preserve"> завршава два пута више дечака него девојчица (31% девојчица према 69% дечака)</w:t>
      </w:r>
      <w:r w:rsidRPr="00092ED7">
        <w:rPr>
          <w:rStyle w:val="FootnoteReference"/>
          <w:rFonts w:cs="Times New Roman"/>
          <w:lang w:val="sr-Cyrl-CS"/>
        </w:rPr>
        <w:footnoteReference w:id="57"/>
      </w:r>
      <w:r w:rsidRPr="00092ED7">
        <w:rPr>
          <w:rFonts w:cs="Times New Roman"/>
          <w:lang w:val="sr-Cyrl-CS"/>
        </w:rPr>
        <w:t xml:space="preserve"> у 2021. години. Избор будућег занимања темељи се на још увек присутној традиционалној подели занимања на мушка и женска. Тако су девојчице бројније у следећим подручјима образовања: Текстилство и кожарство, Личне услуге и Здравство и социјална заштита, док су дечаци бројнији у подручјима образовања: Електротехника, Машинство и обрада метала, Геодезија и грађевинарство, Саобраћај, Шумарство и обрада дрвета и Геологија и рударство</w:t>
      </w:r>
      <w:r w:rsidRPr="00092ED7">
        <w:rPr>
          <w:rStyle w:val="FootnoteReference"/>
          <w:rFonts w:cs="Times New Roman"/>
          <w:lang w:val="sr-Cyrl-CS"/>
        </w:rPr>
        <w:footnoteReference w:id="58"/>
      </w:r>
      <w:r w:rsidRPr="00092ED7">
        <w:rPr>
          <w:rFonts w:cs="Times New Roman"/>
          <w:lang w:val="sr-Cyrl-CS"/>
        </w:rPr>
        <w:t>.</w:t>
      </w:r>
    </w:p>
    <w:p w14:paraId="4C00BCE6" w14:textId="77777777" w:rsidR="00D210F0" w:rsidRPr="00092ED7" w:rsidRDefault="00D210F0" w:rsidP="00D210F0">
      <w:pPr>
        <w:spacing w:after="60"/>
        <w:rPr>
          <w:rFonts w:cs="Times New Roman"/>
          <w:lang w:val="sr-Cyrl-CS"/>
        </w:rPr>
      </w:pPr>
      <w:r w:rsidRPr="00092ED7">
        <w:rPr>
          <w:rFonts w:cs="Times New Roman"/>
          <w:b/>
          <w:lang w:val="sr-Cyrl-CS"/>
        </w:rPr>
        <w:lastRenderedPageBreak/>
        <w:t>Високе школе и факултете више уписују и завршавају жене</w:t>
      </w:r>
      <w:r w:rsidRPr="00092ED7">
        <w:rPr>
          <w:rFonts w:cs="Times New Roman"/>
          <w:lang w:val="sr-Cyrl-CS"/>
        </w:rPr>
        <w:t>: међу студентима жена је 57%, међу дипломиранима 59%, као и међу онима који су докторирали 57% према подацима из 2019. године</w:t>
      </w:r>
      <w:r w:rsidRPr="00092ED7">
        <w:rPr>
          <w:rStyle w:val="FootnoteReference"/>
          <w:rFonts w:cs="Times New Roman"/>
          <w:lang w:val="sr-Cyrl-CS"/>
        </w:rPr>
        <w:footnoteReference w:id="59"/>
      </w:r>
      <w:r w:rsidRPr="00092ED7">
        <w:rPr>
          <w:rFonts w:cs="Times New Roman"/>
          <w:lang w:val="sr-Cyrl-CS"/>
        </w:rPr>
        <w:t>. Жене чине већину у многим подручјима образовања, као што су Здравство (71%), Уметност (68%) и Природне науке (66%), а мушкарци су бројнији у Инжењерству, производњи и грађевинарству (57%), Информационим и комуникационим технологијама (66%) и Услугама (56%).</w:t>
      </w:r>
    </w:p>
    <w:p w14:paraId="535B9EF7" w14:textId="1BC670D5" w:rsidR="00D210F0" w:rsidRPr="00092ED7" w:rsidRDefault="00D210F0" w:rsidP="009023C8">
      <w:pPr>
        <w:spacing w:after="0"/>
        <w:rPr>
          <w:szCs w:val="24"/>
          <w:lang w:val="sr-Cyrl-CS"/>
        </w:rPr>
      </w:pPr>
      <w:r w:rsidRPr="00092ED7">
        <w:rPr>
          <w:rFonts w:cs="Times New Roman"/>
          <w:lang w:val="sr-Cyrl-CS"/>
        </w:rPr>
        <w:t>Системска родна статистика о предузетништву жена још увек не постоји</w:t>
      </w:r>
      <w:r w:rsidR="00F514E3" w:rsidRPr="00092ED7">
        <w:rPr>
          <w:rFonts w:cs="Times New Roman"/>
          <w:lang w:val="sr-Cyrl-CS"/>
        </w:rPr>
        <w:t>,</w:t>
      </w:r>
      <w:r w:rsidRPr="00092ED7">
        <w:rPr>
          <w:rStyle w:val="FootnoteReference"/>
          <w:rFonts w:cs="Times New Roman"/>
          <w:lang w:val="sr-Cyrl-CS"/>
        </w:rPr>
        <w:footnoteReference w:id="60"/>
      </w:r>
      <w:r w:rsidRPr="00092ED7">
        <w:rPr>
          <w:rFonts w:cs="Times New Roman"/>
          <w:lang w:val="sr-Cyrl-CS"/>
        </w:rPr>
        <w:t xml:space="preserve"> али су остварени предуслови за напредак </w:t>
      </w:r>
      <w:r w:rsidR="00D0503A" w:rsidRPr="00092ED7">
        <w:rPr>
          <w:rFonts w:cs="Times New Roman"/>
          <w:lang w:val="sr-Cyrl-CS"/>
        </w:rPr>
        <w:t xml:space="preserve">Законом о </w:t>
      </w:r>
      <w:r w:rsidRPr="00092ED7">
        <w:rPr>
          <w:rFonts w:cs="Times New Roman"/>
          <w:b/>
          <w:lang w:val="sr-Cyrl-CS"/>
        </w:rPr>
        <w:t xml:space="preserve">изменама и допунама </w:t>
      </w:r>
      <w:r w:rsidRPr="00092ED7">
        <w:rPr>
          <w:rFonts w:cs="Times New Roman"/>
          <w:b/>
          <w:i/>
          <w:lang w:val="sr-Cyrl-CS"/>
        </w:rPr>
        <w:t>Закона о привредним друштвима</w:t>
      </w:r>
      <w:r w:rsidR="009023C8" w:rsidRPr="00092ED7">
        <w:rPr>
          <w:rFonts w:cs="Times New Roman"/>
          <w:b/>
          <w:i/>
          <w:lang w:val="sr-Cyrl-CS"/>
        </w:rPr>
        <w:t xml:space="preserve"> (</w:t>
      </w:r>
      <w:r w:rsidR="009023C8" w:rsidRPr="00092ED7">
        <w:rPr>
          <w:sz w:val="16"/>
          <w:szCs w:val="16"/>
          <w:lang w:val="sr-Cyrl-CS"/>
        </w:rPr>
        <w:t>„</w:t>
      </w:r>
      <w:r w:rsidR="009023C8" w:rsidRPr="00092ED7">
        <w:rPr>
          <w:szCs w:val="24"/>
          <w:lang w:val="sr-Cyrl-CS"/>
        </w:rPr>
        <w:t>Службени гласник РС</w:t>
      </w:r>
      <w:r w:rsidR="009023C8" w:rsidRPr="00092ED7">
        <w:rPr>
          <w:rFonts w:cs="Times New Roman"/>
          <w:szCs w:val="24"/>
          <w:lang w:val="sr-Cyrl-CS"/>
        </w:rPr>
        <w:t>”</w:t>
      </w:r>
      <w:r w:rsidR="00F514E3" w:rsidRPr="00092ED7">
        <w:rPr>
          <w:szCs w:val="24"/>
          <w:lang w:val="sr-Cyrl-CS"/>
        </w:rPr>
        <w:t xml:space="preserve">, </w:t>
      </w:r>
      <w:r w:rsidR="009023C8" w:rsidRPr="00092ED7">
        <w:rPr>
          <w:szCs w:val="24"/>
          <w:lang w:val="sr-Cyrl-CS"/>
        </w:rPr>
        <w:t>бр</w:t>
      </w:r>
      <w:r w:rsidR="00D0503A" w:rsidRPr="00092ED7">
        <w:rPr>
          <w:szCs w:val="24"/>
          <w:lang w:val="sr-Cyrl-CS"/>
        </w:rPr>
        <w:t>ој</w:t>
      </w:r>
      <w:r w:rsidR="009023C8" w:rsidRPr="00092ED7">
        <w:rPr>
          <w:szCs w:val="24"/>
          <w:lang w:val="sr-Cyrl-CS"/>
        </w:rPr>
        <w:t xml:space="preserve"> 109/21)</w:t>
      </w:r>
      <w:r w:rsidRPr="00092ED7">
        <w:rPr>
          <w:rFonts w:cs="Times New Roman"/>
          <w:lang w:val="sr-Cyrl-CS"/>
        </w:rPr>
        <w:t>, којим је предмет регистрације у Агенцији за привредне регистре и податак о полу. Неке анализе указују да је удео фирми у власништву жена знатно испод њиховог учешћа у укупној економији. Жене су власнице само 31,7% предузетничких радњи и фирми у Републици Србији, а међу предузећима која добијају средства на конкурсима за подршку развоју бизниса тек је свака пета у њиховом власништву</w:t>
      </w:r>
      <w:r w:rsidRPr="00092ED7">
        <w:rPr>
          <w:rStyle w:val="FootnoteReference"/>
          <w:rFonts w:cs="Times New Roman"/>
          <w:lang w:val="sr-Cyrl-CS"/>
        </w:rPr>
        <w:footnoteReference w:id="61"/>
      </w:r>
      <w:r w:rsidRPr="00092ED7">
        <w:rPr>
          <w:rFonts w:cs="Times New Roman"/>
          <w:lang w:val="sr-Cyrl-CS"/>
        </w:rPr>
        <w:t>. Чињенице указују на то да су баријере са којима се суочавају жене предузетнице често знатно веће него када су у питању мушкарци, јер жене теже приступају кредитима, финансијама и капиталу, имају мање могућности за умрежавање, присутна је родна сегре</w:t>
      </w:r>
      <w:r w:rsidR="003E4E2A" w:rsidRPr="00092ED7">
        <w:rPr>
          <w:rFonts w:cs="Times New Roman"/>
          <w:lang w:val="sr-Cyrl-CS"/>
        </w:rPr>
        <w:t>г</w:t>
      </w:r>
      <w:r w:rsidRPr="00092ED7">
        <w:rPr>
          <w:rFonts w:cs="Times New Roman"/>
          <w:lang w:val="sr-Cyrl-CS"/>
        </w:rPr>
        <w:t xml:space="preserve">ација у образовању, теже усклађују рад, приватни и породични живот и често отежано послују услед предрасуда и стереотипа о женама у бизнису, а нема развијених мера које би системски отклањале ове баријере. Тренутно је у фази израде студија о предузетништву жена у </w:t>
      </w:r>
      <w:r w:rsidR="009023C8" w:rsidRPr="00092ED7">
        <w:rPr>
          <w:rFonts w:cs="Times New Roman"/>
          <w:lang w:val="sr-Cyrl-CS"/>
        </w:rPr>
        <w:t xml:space="preserve">Републици </w:t>
      </w:r>
      <w:r w:rsidRPr="00092ED7">
        <w:rPr>
          <w:rFonts w:cs="Times New Roman"/>
          <w:lang w:val="sr-Cyrl-CS"/>
        </w:rPr>
        <w:t>Србији, која треба да анализира положај жена предузетница и предложи мере које у будућем периоду треба спровести и услове које је неопходно створити да би се жене у већем броју укључиле у предузетништво и успешно пословале.</w:t>
      </w:r>
    </w:p>
    <w:p w14:paraId="7CEE5AA5" w14:textId="77777777" w:rsidR="00D210F0" w:rsidRPr="00092ED7" w:rsidRDefault="00D210F0" w:rsidP="00D210F0">
      <w:pPr>
        <w:spacing w:after="60"/>
        <w:rPr>
          <w:rFonts w:cs="Times New Roman"/>
          <w:lang w:val="sr-Cyrl-CS"/>
        </w:rPr>
      </w:pPr>
      <w:r w:rsidRPr="00092ED7">
        <w:rPr>
          <w:rFonts w:cs="Times New Roman"/>
          <w:lang w:val="sr-Cyrl-CS"/>
        </w:rPr>
        <w:t>Родни дисбаланс је високо изражен у</w:t>
      </w:r>
      <w:r w:rsidRPr="00092ED7">
        <w:rPr>
          <w:rFonts w:cs="Times New Roman"/>
          <w:b/>
          <w:lang w:val="sr-Cyrl-CS"/>
        </w:rPr>
        <w:t xml:space="preserve"> технолошком, односно ИКТ сектору</w:t>
      </w:r>
      <w:r w:rsidRPr="00092ED7">
        <w:rPr>
          <w:rFonts w:cs="Times New Roman"/>
          <w:lang w:val="sr-Cyrl-CS"/>
        </w:rPr>
        <w:t>, који представља најбоље перспективе за напредовање и у економском погледу и у погледу учешћа у креирању будућности. Подаци о родној структури указују на доминантно учешће мушкараца у ИКТ сектору, који чине две трећине запослених у целом сектору.</w:t>
      </w:r>
    </w:p>
    <w:p w14:paraId="5F1861E1" w14:textId="148E3F85" w:rsidR="00D210F0" w:rsidRPr="00092ED7" w:rsidRDefault="00D210F0" w:rsidP="00D210F0">
      <w:pPr>
        <w:spacing w:after="60"/>
        <w:rPr>
          <w:rFonts w:cs="Times New Roman"/>
          <w:lang w:val="sr-Cyrl-CS"/>
        </w:rPr>
      </w:pPr>
      <w:r w:rsidRPr="00092ED7">
        <w:rPr>
          <w:rFonts w:cs="Times New Roman"/>
          <w:lang w:val="sr-Cyrl-CS"/>
        </w:rPr>
        <w:t xml:space="preserve">Родни јаз и даље је присутан у </w:t>
      </w:r>
      <w:r w:rsidRPr="00092ED7">
        <w:rPr>
          <w:rFonts w:cs="Times New Roman"/>
          <w:b/>
          <w:lang w:val="sr-Cyrl-CS"/>
        </w:rPr>
        <w:t>политичком животу</w:t>
      </w:r>
      <w:r w:rsidRPr="00092ED7">
        <w:rPr>
          <w:rFonts w:cs="Times New Roman"/>
          <w:lang w:val="sr-Cyrl-CS"/>
        </w:rPr>
        <w:t xml:space="preserve">, посебно у политичким странкама, приступу руководећим местима у институцијама, јавним установама, највишим позицијама у </w:t>
      </w:r>
      <w:r w:rsidR="00EB5D17" w:rsidRPr="00092ED7">
        <w:rPr>
          <w:rFonts w:cs="Times New Roman"/>
          <w:lang w:val="sr-Cyrl-CS"/>
        </w:rPr>
        <w:t>ЈЛС</w:t>
      </w:r>
      <w:r w:rsidRPr="00092ED7">
        <w:rPr>
          <w:rFonts w:cs="Times New Roman"/>
          <w:lang w:val="sr-Cyrl-CS"/>
        </w:rPr>
        <w:t xml:space="preserve"> и месним заједницама. </w:t>
      </w:r>
      <w:r w:rsidRPr="00092ED7">
        <w:rPr>
          <w:rFonts w:cs="Times New Roman"/>
          <w:b/>
          <w:lang w:val="sr-Cyrl-CS"/>
        </w:rPr>
        <w:t>Квоте</w:t>
      </w:r>
      <w:r w:rsidRPr="00092ED7">
        <w:rPr>
          <w:rFonts w:cs="Times New Roman"/>
          <w:lang w:val="sr-Cyrl-CS"/>
        </w:rPr>
        <w:t xml:space="preserve"> за мање заступљени пол од 40% и резервисана места на изборним листама у Републици Србији регулисане су </w:t>
      </w:r>
      <w:r w:rsidR="00AE3D56" w:rsidRPr="00092ED7">
        <w:rPr>
          <w:rFonts w:cs="Times New Roman"/>
          <w:lang w:val="sr-Cyrl-CS"/>
        </w:rPr>
        <w:t xml:space="preserve">прописима који уређују избор народних посланика, односно одборника на локалним изборима, као </w:t>
      </w:r>
      <w:r w:rsidRPr="00092ED7">
        <w:rPr>
          <w:rFonts w:cs="Times New Roman"/>
          <w:lang w:val="sr-Cyrl-CS"/>
        </w:rPr>
        <w:t xml:space="preserve">и </w:t>
      </w:r>
      <w:r w:rsidR="00AE3D56" w:rsidRPr="00092ED7">
        <w:rPr>
          <w:rFonts w:cs="Times New Roman"/>
          <w:lang w:val="sr-Cyrl-CS"/>
        </w:rPr>
        <w:t xml:space="preserve">посланика  у скупштини </w:t>
      </w:r>
      <w:r w:rsidR="00AE3D56" w:rsidRPr="00092ED7">
        <w:rPr>
          <w:rFonts w:cs="Times New Roman"/>
          <w:iCs/>
          <w:lang w:val="sr-Cyrl-CS"/>
        </w:rPr>
        <w:t xml:space="preserve">Аутономне </w:t>
      </w:r>
      <w:r w:rsidR="00D508CD" w:rsidRPr="00092ED7">
        <w:rPr>
          <w:rFonts w:cs="Times New Roman"/>
          <w:iCs/>
          <w:lang w:val="sr-Cyrl-CS"/>
        </w:rPr>
        <w:t>п</w:t>
      </w:r>
      <w:r w:rsidR="00AE3D56" w:rsidRPr="00092ED7">
        <w:rPr>
          <w:rFonts w:cs="Times New Roman"/>
          <w:iCs/>
          <w:lang w:val="sr-Cyrl-CS"/>
        </w:rPr>
        <w:t>окрајине Војводине</w:t>
      </w:r>
      <w:r w:rsidR="00AE3D56" w:rsidRPr="00092ED7">
        <w:rPr>
          <w:rFonts w:cs="Times New Roman"/>
          <w:i/>
          <w:lang w:val="sr-Cyrl-CS"/>
        </w:rPr>
        <w:t xml:space="preserve"> </w:t>
      </w:r>
      <w:r w:rsidRPr="00092ED7">
        <w:rPr>
          <w:rFonts w:cs="Times New Roman"/>
          <w:lang w:val="sr-Cyrl-CS"/>
        </w:rPr>
        <w:t>током 2020. године. Актуелни сазив Народне скупштине Републике Србије чини 87 посланица (36,6%) и 151 посланик (63,4%). Народна скупштина има 20 одбора</w:t>
      </w:r>
      <w:r w:rsidRPr="00092ED7">
        <w:rPr>
          <w:rStyle w:val="FootnoteReference"/>
          <w:rFonts w:cs="Times New Roman"/>
          <w:lang w:val="sr-Cyrl-CS"/>
        </w:rPr>
        <w:footnoteReference w:id="62"/>
      </w:r>
      <w:r w:rsidRPr="00092ED7">
        <w:rPr>
          <w:rFonts w:cs="Times New Roman"/>
          <w:lang w:val="sr-Cyrl-CS"/>
        </w:rPr>
        <w:t xml:space="preserve">: жене су на челу четири (20%), а мушкарци 16 (80%) одбора. Влада има </w:t>
      </w:r>
      <w:r w:rsidR="00D508CD" w:rsidRPr="00092ED7">
        <w:rPr>
          <w:rFonts w:cs="Times New Roman"/>
          <w:lang w:val="sr-Cyrl-CS"/>
        </w:rPr>
        <w:t>девет</w:t>
      </w:r>
      <w:r w:rsidRPr="00092ED7">
        <w:rPr>
          <w:rFonts w:cs="Times New Roman"/>
          <w:lang w:val="sr-Cyrl-CS"/>
        </w:rPr>
        <w:t xml:space="preserve"> министарки (32%), а на функцији председника Владе налази се жена од 2017. године.</w:t>
      </w:r>
    </w:p>
    <w:p w14:paraId="456FCAFB" w14:textId="77777777" w:rsidR="00D210F0" w:rsidRPr="00092ED7" w:rsidRDefault="00D210F0" w:rsidP="00D210F0">
      <w:pPr>
        <w:spacing w:after="60"/>
        <w:rPr>
          <w:rFonts w:cs="Times New Roman"/>
          <w:lang w:val="sr-Cyrl-CS"/>
        </w:rPr>
      </w:pPr>
      <w:r w:rsidRPr="00092ED7">
        <w:rPr>
          <w:rFonts w:cs="Times New Roman"/>
          <w:b/>
          <w:lang w:val="sr-Cyrl-CS"/>
        </w:rPr>
        <w:t>Институционални механизми за родну равноправност</w:t>
      </w:r>
      <w:r w:rsidRPr="00092ED7">
        <w:rPr>
          <w:rFonts w:cs="Times New Roman"/>
          <w:lang w:val="sr-Cyrl-CS"/>
        </w:rPr>
        <w:t xml:space="preserve"> у Републици Србији постоје на националном, покрајинском и локалном нивоу. Представљају кључну подршку уродњавању јавних политика и спровођењу политике једнаких могућности. Међутим, ове институције нису у довољној мери развијене и оснажене (пре свега узимајући у обзир одговарајуће ресурсе) да могу да координираном акцијом изнесу све одредбе прописане законима.</w:t>
      </w:r>
    </w:p>
    <w:p w14:paraId="6CCADBA5" w14:textId="36233916" w:rsidR="00D210F0" w:rsidRPr="00092ED7" w:rsidRDefault="00D210F0" w:rsidP="00D210F0">
      <w:pPr>
        <w:spacing w:after="60"/>
        <w:rPr>
          <w:rFonts w:cs="Times New Roman"/>
          <w:lang w:val="sr-Cyrl-CS"/>
        </w:rPr>
      </w:pPr>
      <w:r w:rsidRPr="00092ED7">
        <w:rPr>
          <w:rFonts w:cs="Times New Roman"/>
          <w:b/>
          <w:lang w:val="sr-Cyrl-CS"/>
        </w:rPr>
        <w:t>Област родне</w:t>
      </w:r>
      <w:r w:rsidRPr="00092ED7">
        <w:rPr>
          <w:rFonts w:cs="Times New Roman"/>
          <w:lang w:val="sr-Cyrl-CS"/>
        </w:rPr>
        <w:t xml:space="preserve"> </w:t>
      </w:r>
      <w:r w:rsidRPr="00092ED7">
        <w:rPr>
          <w:rFonts w:cs="Times New Roman"/>
          <w:b/>
          <w:lang w:val="sr-Cyrl-CS"/>
        </w:rPr>
        <w:t>равноправности</w:t>
      </w:r>
      <w:r w:rsidRPr="00092ED7">
        <w:rPr>
          <w:rFonts w:cs="Times New Roman"/>
          <w:lang w:val="sr-Cyrl-CS"/>
        </w:rPr>
        <w:t xml:space="preserve"> у Републици Србији регулисана је правним актима који за циљ имају побољшање стања у овој области. Кровни закон који уређује област родне </w:t>
      </w:r>
      <w:r w:rsidRPr="00092ED7">
        <w:rPr>
          <w:rFonts w:cs="Times New Roman"/>
          <w:lang w:val="sr-Cyrl-CS"/>
        </w:rPr>
        <w:lastRenderedPageBreak/>
        <w:t xml:space="preserve">равноправности и у највећој мери утиче на положај жена у Републици Србији, је </w:t>
      </w:r>
      <w:r w:rsidRPr="00092ED7">
        <w:rPr>
          <w:rFonts w:cs="Times New Roman"/>
          <w:b/>
          <w:i/>
          <w:lang w:val="sr-Cyrl-CS"/>
        </w:rPr>
        <w:t>Закон о родној равноправности</w:t>
      </w:r>
      <w:r w:rsidRPr="00092ED7">
        <w:rPr>
          <w:rFonts w:cs="Times New Roman"/>
          <w:b/>
          <w:lang w:val="sr-Cyrl-CS"/>
        </w:rPr>
        <w:t xml:space="preserve"> </w:t>
      </w:r>
      <w:r w:rsidRPr="00092ED7">
        <w:rPr>
          <w:rFonts w:cs="Times New Roman"/>
          <w:lang w:val="sr-Cyrl-CS"/>
        </w:rPr>
        <w:t>(„Службени гласник РС</w:t>
      </w:r>
      <w:r w:rsidR="000B49AA" w:rsidRPr="00092ED7">
        <w:rPr>
          <w:rFonts w:cs="Times New Roman"/>
          <w:szCs w:val="24"/>
          <w:lang w:val="sr-Cyrl-CS"/>
        </w:rPr>
        <w:t>”</w:t>
      </w:r>
      <w:r w:rsidRPr="00092ED7">
        <w:rPr>
          <w:rFonts w:cs="Times New Roman"/>
          <w:lang w:val="sr-Cyrl-CS"/>
        </w:rPr>
        <w:t xml:space="preserve">, број 52/21) </w:t>
      </w:r>
      <w:r w:rsidRPr="00092ED7">
        <w:rPr>
          <w:rFonts w:cs="Times New Roman"/>
          <w:b/>
          <w:lang w:val="sr-Cyrl-CS"/>
        </w:rPr>
        <w:t>усвојен 2021. године</w:t>
      </w:r>
      <w:r w:rsidRPr="00092ED7">
        <w:rPr>
          <w:rFonts w:cs="Times New Roman"/>
          <w:lang w:val="sr-Cyrl-CS"/>
        </w:rPr>
        <w:t xml:space="preserve">. Закон представља још један корак у побољшању положаја жена и спречавању дискриминације приликом запошљавања, остваривања права на зараду, социјалне и здравствене заштите, укључујући и медијске садржаје, који не би смели да подстичу родну дискриминацију, предрасуде и стереотипе према женама, при чему прецизније утврђује обавезе органа јавних власти. Такође, усвојена је и </w:t>
      </w:r>
      <w:r w:rsidRPr="00092ED7">
        <w:rPr>
          <w:rFonts w:cs="Times New Roman"/>
          <w:b/>
          <w:i/>
          <w:lang w:val="sr-Cyrl-CS"/>
        </w:rPr>
        <w:t xml:space="preserve">Стратегија за родну равноправност за период од 2021. до 2030. године </w:t>
      </w:r>
      <w:r w:rsidRPr="00092ED7">
        <w:rPr>
          <w:rFonts w:cs="Times New Roman"/>
          <w:lang w:val="sr-Cyrl-CS"/>
        </w:rPr>
        <w:t>(„Службени гласник РС</w:t>
      </w:r>
      <w:r w:rsidR="000B49AA" w:rsidRPr="00092ED7">
        <w:rPr>
          <w:rFonts w:cs="Times New Roman"/>
          <w:szCs w:val="24"/>
          <w:lang w:val="sr-Cyrl-CS"/>
        </w:rPr>
        <w:t>”</w:t>
      </w:r>
      <w:r w:rsidRPr="00092ED7">
        <w:rPr>
          <w:rFonts w:cs="Times New Roman"/>
          <w:lang w:val="sr-Cyrl-CS"/>
        </w:rPr>
        <w:t xml:space="preserve">, број 103/21) и Акциони план </w:t>
      </w:r>
      <w:r w:rsidR="0008490E" w:rsidRPr="00092ED7">
        <w:rPr>
          <w:rFonts w:cs="Times New Roman"/>
          <w:lang w:val="sr-Cyrl-CS"/>
        </w:rPr>
        <w:t>за 2022. и 2023. годину за спровођење Стратегије за родну равноправност за период од 2021. до 2030. године („Службени гласник РС”, број 99/22)</w:t>
      </w:r>
      <w:r w:rsidRPr="00092ED7">
        <w:rPr>
          <w:rFonts w:cs="Times New Roman"/>
          <w:lang w:val="sr-Cyrl-CS"/>
        </w:rPr>
        <w:t xml:space="preserve">, којом се обезбеђује континуитет у планирању кроз примену политике једнаких могућности и родне равноправности. </w:t>
      </w:r>
    </w:p>
    <w:p w14:paraId="3D592853" w14:textId="4E519045" w:rsidR="00D210F0" w:rsidRPr="00092ED7" w:rsidRDefault="00D210F0" w:rsidP="00D210F0">
      <w:pPr>
        <w:spacing w:after="60"/>
        <w:rPr>
          <w:rFonts w:cs="Times New Roman"/>
          <w:lang w:val="sr-Cyrl-CS"/>
        </w:rPr>
      </w:pPr>
      <w:r w:rsidRPr="00092ED7">
        <w:rPr>
          <w:rFonts w:cs="Times New Roman"/>
          <w:lang w:val="sr-Cyrl-CS"/>
        </w:rPr>
        <w:t xml:space="preserve">За доношење одлука ка достизању родне равноправности од виталног значаја је </w:t>
      </w:r>
      <w:r w:rsidRPr="00092ED7">
        <w:rPr>
          <w:rFonts w:cs="Times New Roman"/>
          <w:b/>
          <w:lang w:val="sr-Cyrl-CS"/>
        </w:rPr>
        <w:t>родно осетљива статистика</w:t>
      </w:r>
      <w:r w:rsidRPr="00092ED7">
        <w:rPr>
          <w:rFonts w:cs="Times New Roman"/>
          <w:lang w:val="sr-Cyrl-CS"/>
        </w:rPr>
        <w:t xml:space="preserve">. Идентификовање потребних података како би се </w:t>
      </w:r>
      <w:r w:rsidRPr="00092ED7">
        <w:rPr>
          <w:rFonts w:cs="Times New Roman"/>
          <w:b/>
          <w:lang w:val="sr-Cyrl-CS"/>
        </w:rPr>
        <w:t xml:space="preserve">разумели проблеми и идентифиовали циљеви </w:t>
      </w:r>
      <w:r w:rsidRPr="00092ED7">
        <w:rPr>
          <w:rFonts w:cs="Times New Roman"/>
          <w:lang w:val="sr-Cyrl-CS"/>
        </w:rPr>
        <w:t xml:space="preserve">повезани са родним питањима од суштинског је значаја за производњу родне статистике. </w:t>
      </w:r>
      <w:r w:rsidRPr="00092ED7">
        <w:rPr>
          <w:rFonts w:cs="Times New Roman"/>
          <w:i/>
          <w:lang w:val="sr-Cyrl-CS"/>
        </w:rPr>
        <w:t>Закон</w:t>
      </w:r>
      <w:r w:rsidR="007A375E" w:rsidRPr="00092ED7">
        <w:rPr>
          <w:rFonts w:cs="Times New Roman"/>
          <w:i/>
          <w:lang w:val="sr-Cyrl-CS"/>
        </w:rPr>
        <w:t>om</w:t>
      </w:r>
      <w:r w:rsidRPr="00092ED7">
        <w:rPr>
          <w:rFonts w:cs="Times New Roman"/>
          <w:i/>
          <w:lang w:val="sr-Cyrl-CS"/>
        </w:rPr>
        <w:t xml:space="preserve"> о родној равноправности</w:t>
      </w:r>
      <w:r w:rsidRPr="00092ED7">
        <w:rPr>
          <w:rFonts w:cs="Times New Roman"/>
          <w:lang w:val="sr-Cyrl-CS"/>
        </w:rPr>
        <w:t xml:space="preserve"> </w:t>
      </w:r>
      <w:r w:rsidR="007A375E" w:rsidRPr="00092ED7">
        <w:rPr>
          <w:rFonts w:cs="Times New Roman"/>
          <w:lang w:val="sr-Cyrl-CS"/>
        </w:rPr>
        <w:t xml:space="preserve">уређују се </w:t>
      </w:r>
      <w:r w:rsidRPr="00092ED7">
        <w:rPr>
          <w:rFonts w:cs="Times New Roman"/>
          <w:lang w:val="sr-Cyrl-CS"/>
        </w:rPr>
        <w:t>родно осетљив</w:t>
      </w:r>
      <w:r w:rsidR="007A375E" w:rsidRPr="00092ED7">
        <w:rPr>
          <w:rFonts w:cs="Times New Roman"/>
          <w:lang w:val="sr-Cyrl-CS"/>
        </w:rPr>
        <w:t>и</w:t>
      </w:r>
      <w:r w:rsidRPr="00092ED7">
        <w:rPr>
          <w:rFonts w:cs="Times New Roman"/>
          <w:lang w:val="sr-Cyrl-CS"/>
        </w:rPr>
        <w:t xml:space="preserve"> пода</w:t>
      </w:r>
      <w:r w:rsidR="007A375E" w:rsidRPr="00092ED7">
        <w:rPr>
          <w:rFonts w:cs="Times New Roman"/>
          <w:lang w:val="sr-Cyrl-CS"/>
        </w:rPr>
        <w:t>ци</w:t>
      </w:r>
      <w:r w:rsidRPr="00092ED7">
        <w:rPr>
          <w:rFonts w:cs="Times New Roman"/>
          <w:lang w:val="sr-Cyrl-CS"/>
        </w:rPr>
        <w:t xml:space="preserve"> које треба прикупљати, </w:t>
      </w:r>
      <w:r w:rsidR="007A375E" w:rsidRPr="00092ED7">
        <w:rPr>
          <w:rFonts w:cs="Times New Roman"/>
          <w:lang w:val="sr-Cyrl-CS"/>
        </w:rPr>
        <w:t xml:space="preserve">а </w:t>
      </w:r>
      <w:r w:rsidRPr="00092ED7">
        <w:rPr>
          <w:rFonts w:cs="Times New Roman"/>
          <w:lang w:val="sr-Cyrl-CS"/>
        </w:rPr>
        <w:t xml:space="preserve">изричито </w:t>
      </w:r>
      <w:r w:rsidR="007A375E" w:rsidRPr="00092ED7">
        <w:rPr>
          <w:rFonts w:cs="Times New Roman"/>
          <w:lang w:val="sr-Cyrl-CS"/>
        </w:rPr>
        <w:t xml:space="preserve">се </w:t>
      </w:r>
      <w:r w:rsidRPr="00092ED7">
        <w:rPr>
          <w:rFonts w:cs="Times New Roman"/>
          <w:lang w:val="sr-Cyrl-CS"/>
        </w:rPr>
        <w:t xml:space="preserve">прописује да је то обавеза органа јавне власти, послодаваца и тела за родну равноправност; прецизира </w:t>
      </w:r>
      <w:r w:rsidR="007A375E" w:rsidRPr="00092ED7">
        <w:rPr>
          <w:rFonts w:cs="Times New Roman"/>
          <w:lang w:val="sr-Cyrl-CS"/>
        </w:rPr>
        <w:t xml:space="preserve">се </w:t>
      </w:r>
      <w:r w:rsidRPr="00092ED7">
        <w:rPr>
          <w:rFonts w:cs="Times New Roman"/>
          <w:lang w:val="sr-Cyrl-CS"/>
        </w:rPr>
        <w:t xml:space="preserve">које податке евидентирају послодавци и органи јавне власти, а које тела за родну равноправност; налаже </w:t>
      </w:r>
      <w:r w:rsidR="007A375E" w:rsidRPr="00092ED7">
        <w:rPr>
          <w:rFonts w:cs="Times New Roman"/>
          <w:lang w:val="sr-Cyrl-CS"/>
        </w:rPr>
        <w:t xml:space="preserve">се </w:t>
      </w:r>
      <w:r w:rsidRPr="00092ED7">
        <w:rPr>
          <w:rFonts w:cs="Times New Roman"/>
          <w:lang w:val="sr-Cyrl-CS"/>
        </w:rPr>
        <w:t>да се подаци исказују бројчано и процентуално, да не могу садржавати податке о личности и да морају бити ажурни.</w:t>
      </w:r>
    </w:p>
    <w:p w14:paraId="206CDAD6" w14:textId="77777777" w:rsidR="00D210F0" w:rsidRPr="00092ED7" w:rsidRDefault="00D210F0" w:rsidP="00D210F0">
      <w:pPr>
        <w:spacing w:before="120"/>
        <w:rPr>
          <w:rFonts w:eastAsia="Times New Roman" w:cs="Times New Roman"/>
          <w:b/>
          <w:bCs/>
          <w:szCs w:val="24"/>
          <w:lang w:val="sr-Cyrl-CS"/>
        </w:rPr>
      </w:pPr>
      <w:r w:rsidRPr="00092ED7">
        <w:rPr>
          <w:rFonts w:eastAsia="Times New Roman" w:cs="Times New Roman"/>
          <w:b/>
          <w:bCs/>
          <w:szCs w:val="24"/>
          <w:lang w:val="sr-Cyrl-CS"/>
        </w:rPr>
        <w:t>а) Реформе</w:t>
      </w:r>
    </w:p>
    <w:p w14:paraId="0B13FFB0" w14:textId="3C0424CF" w:rsidR="00D210F0" w:rsidRPr="00092ED7" w:rsidRDefault="00D210F0" w:rsidP="00D210F0">
      <w:pPr>
        <w:spacing w:before="120"/>
        <w:rPr>
          <w:rFonts w:eastAsia="Calibri" w:cs="Times New Roman"/>
          <w:szCs w:val="24"/>
          <w:lang w:val="sr-Cyrl-CS"/>
        </w:rPr>
      </w:pPr>
      <w:r w:rsidRPr="00092ED7">
        <w:rPr>
          <w:rFonts w:eastAsia="Calibri" w:cs="Times New Roman"/>
          <w:b/>
          <w:szCs w:val="24"/>
          <w:u w:val="single"/>
          <w:lang w:val="sr-Cyrl-CS"/>
        </w:rPr>
        <w:t xml:space="preserve">СТРУКТУРНА РЕФОРМА </w:t>
      </w:r>
      <w:r w:rsidRPr="00092ED7">
        <w:rPr>
          <w:rFonts w:eastAsia="Calibri" w:cs="Times New Roman"/>
          <w:b/>
          <w:i/>
          <w:szCs w:val="24"/>
          <w:u w:val="single"/>
          <w:lang w:val="sr-Cyrl-CS"/>
        </w:rPr>
        <w:fldChar w:fldCharType="begin"/>
      </w:r>
      <w:r w:rsidRPr="00092ED7">
        <w:rPr>
          <w:rFonts w:eastAsia="Calibri" w:cs="Times New Roman"/>
          <w:b/>
          <w:szCs w:val="24"/>
          <w:u w:val="single"/>
          <w:lang w:val="sr-Cyrl-CS"/>
        </w:rPr>
        <w:instrText xml:space="preserve"> SEQ СТРУКТУРНА_РЕФОРМА \* ARABIC </w:instrText>
      </w:r>
      <w:r w:rsidRPr="00092ED7">
        <w:rPr>
          <w:rFonts w:eastAsia="Calibri" w:cs="Times New Roman"/>
          <w:b/>
          <w:i/>
          <w:szCs w:val="24"/>
          <w:u w:val="single"/>
          <w:lang w:val="sr-Cyrl-CS"/>
        </w:rPr>
        <w:fldChar w:fldCharType="separate"/>
      </w:r>
      <w:r w:rsidR="007256C6" w:rsidRPr="00092ED7">
        <w:rPr>
          <w:rFonts w:eastAsia="Calibri" w:cs="Times New Roman"/>
          <w:b/>
          <w:noProof/>
          <w:szCs w:val="24"/>
          <w:u w:val="single"/>
          <w:lang w:val="sr-Cyrl-CS"/>
        </w:rPr>
        <w:t>1</w:t>
      </w:r>
      <w:r w:rsidRPr="00092ED7">
        <w:rPr>
          <w:rFonts w:eastAsia="Calibri" w:cs="Times New Roman"/>
          <w:b/>
          <w:i/>
          <w:szCs w:val="24"/>
          <w:u w:val="single"/>
          <w:lang w:val="sr-Cyrl-CS"/>
        </w:rPr>
        <w:fldChar w:fldCharType="end"/>
      </w:r>
      <w:r w:rsidRPr="00092ED7">
        <w:rPr>
          <w:rFonts w:eastAsia="Calibri" w:cs="Times New Roman"/>
          <w:b/>
          <w:szCs w:val="24"/>
          <w:lang w:val="sr-Cyrl-CS"/>
        </w:rPr>
        <w:t xml:space="preserve">: </w:t>
      </w:r>
      <w:r w:rsidRPr="00092ED7">
        <w:rPr>
          <w:rFonts w:eastAsia="Calibri" w:cs="Times New Roman"/>
          <w:szCs w:val="24"/>
          <w:lang w:val="sr-Cyrl-CS"/>
        </w:rPr>
        <w:t xml:space="preserve">УСПОСТАВЉАЊЕ ОКВИРА ЗА УВОЂЕЊЕ </w:t>
      </w:r>
      <w:r w:rsidR="00A735B6" w:rsidRPr="00092ED7">
        <w:rPr>
          <w:rFonts w:eastAsia="Calibri" w:cs="Times New Roman"/>
          <w:szCs w:val="24"/>
          <w:lang w:val="sr-Cyrl-CS"/>
        </w:rPr>
        <w:t xml:space="preserve">ГАРАНЦИЈЕ </w:t>
      </w:r>
      <w:r w:rsidRPr="00092ED7">
        <w:rPr>
          <w:rFonts w:eastAsia="Calibri" w:cs="Times New Roman"/>
          <w:szCs w:val="24"/>
          <w:lang w:val="sr-Cyrl-CS"/>
        </w:rPr>
        <w:t>ЗА МЛАДЕ У РЕПУБЛИЦИ СРБИЈИ</w:t>
      </w:r>
    </w:p>
    <w:p w14:paraId="1944C268" w14:textId="77777777" w:rsidR="00D210F0" w:rsidRPr="00092ED7" w:rsidRDefault="00D210F0" w:rsidP="00D210F0">
      <w:pPr>
        <w:widowControl w:val="0"/>
        <w:numPr>
          <w:ilvl w:val="0"/>
          <w:numId w:val="11"/>
        </w:numPr>
        <w:spacing w:before="120"/>
        <w:ind w:left="425" w:hanging="425"/>
        <w:rPr>
          <w:rFonts w:eastAsia="Calibri" w:cs="Times New Roman"/>
          <w:b/>
          <w:szCs w:val="24"/>
          <w:lang w:val="sr-Cyrl-CS" w:eastAsia="sr-Cyrl-CS" w:bidi="sr-Cyrl-CS"/>
        </w:rPr>
      </w:pPr>
      <w:r w:rsidRPr="00092ED7">
        <w:rPr>
          <w:rFonts w:eastAsia="Calibri" w:cs="Times New Roman"/>
          <w:b/>
          <w:szCs w:val="24"/>
          <w:lang w:val="sr-Cyrl-CS" w:eastAsia="sr-Cyrl-CS" w:bidi="sr-Cyrl-CS"/>
        </w:rPr>
        <w:t>Опис структурне реформе</w:t>
      </w:r>
    </w:p>
    <w:p w14:paraId="7DE2BD7C" w14:textId="77777777" w:rsidR="00D210F0" w:rsidRPr="00092ED7" w:rsidRDefault="00D210F0" w:rsidP="00D210F0">
      <w:pPr>
        <w:widowControl w:val="0"/>
        <w:spacing w:after="60"/>
        <w:rPr>
          <w:rFonts w:eastAsia="Calibri" w:cs="Times New Roman"/>
          <w:szCs w:val="24"/>
          <w:lang w:val="sr-Cyrl-CS" w:eastAsia="sr-Cyrl-CS" w:bidi="sr-Cyrl-CS"/>
        </w:rPr>
      </w:pPr>
      <w:r w:rsidRPr="00092ED7">
        <w:rPr>
          <w:rFonts w:eastAsia="Calibri" w:cs="Times New Roman"/>
          <w:szCs w:val="24"/>
          <w:lang w:val="sr-Cyrl-CS" w:eastAsia="sr-Cyrl-CS" w:bidi="sr-Cyrl-CS"/>
        </w:rPr>
        <w:t xml:space="preserve">Циљ структурне реформе је да се младима омогући квалитетна понуда за посао, наставак образовања, пракса или обука у року од четири месеца од уласка у статус незапослености или </w:t>
      </w:r>
      <w:r w:rsidR="002126A3" w:rsidRPr="00092ED7">
        <w:rPr>
          <w:rFonts w:eastAsia="Calibri" w:cs="Times New Roman"/>
          <w:szCs w:val="24"/>
          <w:lang w:val="sr-Cyrl-CS" w:eastAsia="sr-Cyrl-CS" w:bidi="sr-Cyrl-CS"/>
        </w:rPr>
        <w:t>напуштања/</w:t>
      </w:r>
      <w:r w:rsidRPr="00092ED7">
        <w:rPr>
          <w:rFonts w:eastAsia="Calibri" w:cs="Times New Roman"/>
          <w:szCs w:val="24"/>
          <w:lang w:val="sr-Cyrl-CS" w:eastAsia="sr-Cyrl-CS" w:bidi="sr-Cyrl-CS"/>
        </w:rPr>
        <w:t>завршетка формалног образовања и да се на тај начин допринесе олакшаној транзицији младих на тржиште рада и подстакне њихово запошљавање.</w:t>
      </w:r>
    </w:p>
    <w:p w14:paraId="7E8C369A" w14:textId="77777777" w:rsidR="00D210F0" w:rsidRPr="00092ED7" w:rsidRDefault="00D210F0" w:rsidP="00D210F0">
      <w:pPr>
        <w:widowControl w:val="0"/>
        <w:spacing w:after="60"/>
        <w:rPr>
          <w:rFonts w:eastAsia="Calibri" w:cs="Times New Roman"/>
          <w:szCs w:val="24"/>
          <w:lang w:val="sr-Cyrl-CS" w:eastAsia="sr-Cyrl-CS" w:bidi="sr-Cyrl-CS"/>
        </w:rPr>
      </w:pPr>
      <w:r w:rsidRPr="00092ED7">
        <w:rPr>
          <w:rFonts w:eastAsia="Calibri" w:cs="Times New Roman"/>
          <w:szCs w:val="24"/>
          <w:lang w:val="sr-Cyrl-CS" w:eastAsia="sr-Cyrl-CS" w:bidi="sr-Cyrl-CS"/>
        </w:rPr>
        <w:t xml:space="preserve">Увођење Гаранције за младе подразумева низ реформи и иницијатива у више области и у фазама које се односе на: мапирање и рану интервенцију, </w:t>
      </w:r>
      <w:r w:rsidR="00D64848" w:rsidRPr="00092ED7">
        <w:rPr>
          <w:rFonts w:eastAsia="Calibri" w:cs="Times New Roman"/>
          <w:szCs w:val="24"/>
          <w:lang w:val="sr-Cyrl-CS" w:eastAsia="sr-Cyrl-CS" w:bidi="sr-Cyrl-CS"/>
        </w:rPr>
        <w:t>досезање</w:t>
      </w:r>
      <w:r w:rsidRPr="00092ED7">
        <w:rPr>
          <w:rFonts w:eastAsia="Calibri" w:cs="Times New Roman"/>
          <w:szCs w:val="24"/>
          <w:lang w:val="sr-Cyrl-CS" w:eastAsia="sr-Cyrl-CS" w:bidi="sr-Cyrl-CS"/>
        </w:rPr>
        <w:t>, припрему/активацију и понуду, које захтевају међусекторску сарадњу и координацију. У претходном периоду формиранe су међуресорнa, стручна и оперативна група за потребе успостављања и управљања Гаранцијом за младе, припремљена је аналитичка основа за израду Плана имплементације Гаранције за мл</w:t>
      </w:r>
      <w:r w:rsidR="00C306F4" w:rsidRPr="00092ED7">
        <w:rPr>
          <w:rFonts w:eastAsia="Calibri" w:cs="Times New Roman"/>
          <w:szCs w:val="24"/>
          <w:lang w:val="sr-Cyrl-CS" w:eastAsia="sr-Cyrl-CS" w:bidi="sr-Cyrl-CS"/>
        </w:rPr>
        <w:t xml:space="preserve">аде за период 2023-2025. године. </w:t>
      </w:r>
      <w:r w:rsidR="00A735B6" w:rsidRPr="00092ED7">
        <w:rPr>
          <w:lang w:val="sr-Cyrl-CS"/>
        </w:rPr>
        <w:t xml:space="preserve"> </w:t>
      </w:r>
      <w:r w:rsidR="00A735B6" w:rsidRPr="00092ED7">
        <w:rPr>
          <w:rFonts w:eastAsia="Calibri" w:cs="Times New Roman"/>
          <w:szCs w:val="24"/>
          <w:lang w:val="sr-Cyrl-CS" w:eastAsia="sr-Cyrl-CS" w:bidi="sr-Cyrl-CS"/>
        </w:rPr>
        <w:t>Очекује се да План имплементације Гаранције за младе за период 2023-2025. године буде израђен до краја првог квартала 2023. године и усвојен до краја другог квартала 2023. године.</w:t>
      </w:r>
    </w:p>
    <w:p w14:paraId="6417BC30" w14:textId="602F2FE4" w:rsidR="00D210F0" w:rsidRPr="00092ED7" w:rsidRDefault="00D210F0" w:rsidP="00F514E3">
      <w:pPr>
        <w:rPr>
          <w:rFonts w:cs="Times New Roman"/>
          <w:szCs w:val="24"/>
          <w:lang w:val="sr-Cyrl-CS"/>
        </w:rPr>
      </w:pPr>
      <w:r w:rsidRPr="00092ED7">
        <w:rPr>
          <w:rFonts w:eastAsia="Calibri" w:cs="Times New Roman"/>
          <w:szCs w:val="24"/>
          <w:lang w:val="sr-Cyrl-CS" w:eastAsia="sr-Cyrl-CS" w:bidi="sr-Cyrl-CS"/>
        </w:rPr>
        <w:t xml:space="preserve">Оквир за увођење Гаранције за младе успоставља се у складу са Економско-инвестиционим планом за Западни Балкан, Стратегијом запошљавања у Републици Србији за период од 2021. до 2026. године </w:t>
      </w:r>
      <w:r w:rsidR="00D508CD" w:rsidRPr="00092ED7">
        <w:rPr>
          <w:rFonts w:eastAsia="Calibri" w:cs="Times New Roman"/>
          <w:szCs w:val="24"/>
          <w:lang w:val="sr-Cyrl-CS" w:eastAsia="sr-Cyrl-CS" w:bidi="sr-Cyrl-CS"/>
        </w:rPr>
        <w:t xml:space="preserve">(„Службени гласник РС”, бр. 18/21 и 36/21-исправка) </w:t>
      </w:r>
      <w:r w:rsidRPr="00092ED7">
        <w:rPr>
          <w:rFonts w:eastAsia="Calibri" w:cs="Times New Roman"/>
          <w:szCs w:val="24"/>
          <w:lang w:val="sr-Cyrl-CS" w:eastAsia="sr-Cyrl-CS" w:bidi="sr-Cyrl-CS"/>
        </w:rPr>
        <w:t xml:space="preserve">и пратећим </w:t>
      </w:r>
      <w:r w:rsidR="00D508CD" w:rsidRPr="00092ED7">
        <w:rPr>
          <w:rFonts w:eastAsia="Calibri" w:cs="Times New Roman"/>
          <w:szCs w:val="24"/>
          <w:lang w:val="sr-Cyrl-CS" w:eastAsia="sr-Cyrl-CS" w:bidi="sr-Cyrl-CS"/>
        </w:rPr>
        <w:t>А</w:t>
      </w:r>
      <w:r w:rsidRPr="00092ED7">
        <w:rPr>
          <w:rFonts w:eastAsia="Calibri" w:cs="Times New Roman"/>
          <w:szCs w:val="24"/>
          <w:lang w:val="sr-Cyrl-CS" w:eastAsia="sr-Cyrl-CS" w:bidi="sr-Cyrl-CS"/>
        </w:rPr>
        <w:t>кционим планом за пе</w:t>
      </w:r>
      <w:r w:rsidR="00CC71EC" w:rsidRPr="00092ED7">
        <w:rPr>
          <w:rFonts w:eastAsia="Calibri" w:cs="Times New Roman"/>
          <w:szCs w:val="24"/>
          <w:lang w:val="sr-Cyrl-CS" w:eastAsia="sr-Cyrl-CS" w:bidi="sr-Cyrl-CS"/>
        </w:rPr>
        <w:t>риод од 2021. до 2023. године</w:t>
      </w:r>
      <w:r w:rsidR="00811143" w:rsidRPr="00092ED7">
        <w:rPr>
          <w:rFonts w:eastAsia="Calibri" w:cs="Times New Roman"/>
          <w:szCs w:val="24"/>
          <w:lang w:val="sr-Cyrl-CS" w:eastAsia="sr-Cyrl-CS" w:bidi="sr-Cyrl-CS"/>
        </w:rPr>
        <w:t xml:space="preserve"> </w:t>
      </w:r>
      <w:r w:rsidR="00B5658C" w:rsidRPr="00092ED7">
        <w:rPr>
          <w:rFonts w:eastAsia="Calibri" w:cs="Times New Roman"/>
          <w:szCs w:val="24"/>
          <w:lang w:val="sr-Cyrl-CS" w:eastAsia="sr-Cyrl-CS" w:bidi="sr-Cyrl-CS"/>
        </w:rPr>
        <w:t xml:space="preserve">за спровођење Стратегије запошљавања у Републици Србији за период од 2021. до 2026. године </w:t>
      </w:r>
      <w:r w:rsidR="00811143" w:rsidRPr="00092ED7">
        <w:rPr>
          <w:rFonts w:cs="Times New Roman"/>
          <w:szCs w:val="24"/>
          <w:lang w:val="sr-Cyrl-CS"/>
        </w:rPr>
        <w:t>(„Службени гласник РС”, бр</w:t>
      </w:r>
      <w:r w:rsidR="00B5658C" w:rsidRPr="00092ED7">
        <w:rPr>
          <w:rFonts w:cs="Times New Roman"/>
          <w:szCs w:val="24"/>
          <w:lang w:val="sr-Cyrl-CS"/>
        </w:rPr>
        <w:t>ој</w:t>
      </w:r>
      <w:r w:rsidR="00811143" w:rsidRPr="00092ED7">
        <w:rPr>
          <w:rFonts w:cs="Times New Roman"/>
          <w:szCs w:val="24"/>
          <w:lang w:val="sr-Cyrl-CS"/>
        </w:rPr>
        <w:t xml:space="preserve"> </w:t>
      </w:r>
      <w:r w:rsidR="00B5658C" w:rsidRPr="00092ED7">
        <w:rPr>
          <w:rFonts w:cs="Times New Roman"/>
          <w:szCs w:val="24"/>
          <w:lang w:val="sr-Cyrl-CS"/>
        </w:rPr>
        <w:t>30</w:t>
      </w:r>
      <w:r w:rsidR="00811143" w:rsidRPr="00092ED7">
        <w:rPr>
          <w:rFonts w:cs="Times New Roman"/>
          <w:szCs w:val="24"/>
          <w:lang w:val="sr-Cyrl-CS"/>
        </w:rPr>
        <w:t>/21).</w:t>
      </w:r>
    </w:p>
    <w:p w14:paraId="7D9B5C38" w14:textId="77777777" w:rsidR="00D210F0" w:rsidRPr="00092ED7" w:rsidRDefault="00D210F0" w:rsidP="00D210F0">
      <w:pPr>
        <w:widowControl w:val="0"/>
        <w:numPr>
          <w:ilvl w:val="0"/>
          <w:numId w:val="11"/>
        </w:numPr>
        <w:spacing w:before="120"/>
        <w:ind w:left="425" w:hanging="425"/>
        <w:rPr>
          <w:rFonts w:eastAsia="Calibri" w:cs="Times New Roman"/>
          <w:b/>
          <w:szCs w:val="24"/>
          <w:lang w:val="sr-Cyrl-CS" w:eastAsia="sr-Cyrl-CS" w:bidi="sr-Cyrl-CS"/>
        </w:rPr>
      </w:pPr>
      <w:r w:rsidRPr="00092ED7">
        <w:rPr>
          <w:rFonts w:eastAsia="Calibri" w:cs="Times New Roman"/>
          <w:b/>
          <w:szCs w:val="24"/>
          <w:lang w:val="sr-Cyrl-CS" w:eastAsia="sr-Cyrl-CS" w:bidi="sr-Cyrl-CS"/>
        </w:rPr>
        <w:t>Планиране активности по годинама</w:t>
      </w:r>
    </w:p>
    <w:tbl>
      <w:tblPr>
        <w:tblW w:w="8997" w:type="dxa"/>
        <w:tblLayout w:type="fixed"/>
        <w:tblCellMar>
          <w:left w:w="0" w:type="dxa"/>
          <w:right w:w="0" w:type="dxa"/>
        </w:tblCellMar>
        <w:tblLook w:val="04A0" w:firstRow="1" w:lastRow="0" w:firstColumn="1" w:lastColumn="0" w:noHBand="0" w:noVBand="1"/>
      </w:tblPr>
      <w:tblGrid>
        <w:gridCol w:w="425"/>
        <w:gridCol w:w="4101"/>
        <w:gridCol w:w="372"/>
        <w:gridCol w:w="373"/>
        <w:gridCol w:w="372"/>
        <w:gridCol w:w="373"/>
        <w:gridCol w:w="372"/>
        <w:gridCol w:w="373"/>
        <w:gridCol w:w="373"/>
        <w:gridCol w:w="372"/>
        <w:gridCol w:w="373"/>
        <w:gridCol w:w="372"/>
        <w:gridCol w:w="373"/>
        <w:gridCol w:w="373"/>
      </w:tblGrid>
      <w:tr w:rsidR="00D210F0" w:rsidRPr="00092ED7" w14:paraId="4E24C85F" w14:textId="77777777" w:rsidTr="00C429AB">
        <w:trPr>
          <w:trHeight w:val="253"/>
        </w:trPr>
        <w:tc>
          <w:tcPr>
            <w:tcW w:w="425" w:type="dxa"/>
            <w:vMerge w:val="restart"/>
            <w:tcBorders>
              <w:top w:val="single" w:sz="8" w:space="0" w:color="auto"/>
              <w:left w:val="single" w:sz="8" w:space="0" w:color="auto"/>
              <w:right w:val="nil"/>
            </w:tcBorders>
            <w:shd w:val="clear" w:color="auto" w:fill="BDD6EE" w:themeFill="accent1" w:themeFillTint="66"/>
            <w:tcMar>
              <w:top w:w="15" w:type="dxa"/>
              <w:left w:w="15" w:type="dxa"/>
              <w:bottom w:w="0" w:type="dxa"/>
              <w:right w:w="15" w:type="dxa"/>
            </w:tcMar>
            <w:vAlign w:val="center"/>
            <w:hideMark/>
          </w:tcPr>
          <w:p w14:paraId="4C2DC7EE" w14:textId="77777777" w:rsidR="00D210F0" w:rsidRPr="00092ED7" w:rsidRDefault="00D210F0" w:rsidP="005D14E2">
            <w:pPr>
              <w:spacing w:after="0"/>
              <w:jc w:val="center"/>
              <w:rPr>
                <w:rFonts w:cs="Times New Roman"/>
                <w:b/>
                <w:bCs/>
                <w:sz w:val="20"/>
                <w:szCs w:val="20"/>
                <w:lang w:val="sr-Cyrl-CS"/>
              </w:rPr>
            </w:pPr>
            <w:r w:rsidRPr="00092ED7">
              <w:rPr>
                <w:rFonts w:cs="Times New Roman"/>
                <w:b/>
                <w:bCs/>
                <w:sz w:val="20"/>
                <w:szCs w:val="20"/>
                <w:lang w:val="sr-Cyrl-CS"/>
              </w:rPr>
              <w:t>РБ</w:t>
            </w:r>
          </w:p>
        </w:tc>
        <w:tc>
          <w:tcPr>
            <w:tcW w:w="4101" w:type="dxa"/>
            <w:vMerge w:val="restart"/>
            <w:tcBorders>
              <w:top w:val="single" w:sz="8" w:space="0" w:color="auto"/>
              <w:left w:val="single" w:sz="8" w:space="0" w:color="auto"/>
              <w:bottom w:val="single" w:sz="8" w:space="0" w:color="000000"/>
              <w:right w:val="nil"/>
            </w:tcBorders>
            <w:shd w:val="clear" w:color="auto" w:fill="BDD6EE" w:themeFill="accent1" w:themeFillTint="66"/>
            <w:tcMar>
              <w:top w:w="15" w:type="dxa"/>
              <w:left w:w="15" w:type="dxa"/>
              <w:bottom w:w="0" w:type="dxa"/>
              <w:right w:w="15" w:type="dxa"/>
            </w:tcMar>
            <w:vAlign w:val="center"/>
            <w:hideMark/>
          </w:tcPr>
          <w:p w14:paraId="135BCB68" w14:textId="77777777" w:rsidR="00D210F0" w:rsidRPr="00092ED7" w:rsidRDefault="00D210F0" w:rsidP="005D14E2">
            <w:pPr>
              <w:spacing w:after="0"/>
              <w:rPr>
                <w:rFonts w:cs="Times New Roman"/>
                <w:smallCaps/>
                <w:sz w:val="20"/>
                <w:szCs w:val="20"/>
                <w:lang w:val="sr-Cyrl-CS"/>
              </w:rPr>
            </w:pPr>
            <w:r w:rsidRPr="00092ED7">
              <w:rPr>
                <w:rFonts w:cs="Times New Roman"/>
                <w:b/>
                <w:bCs/>
                <w:sz w:val="20"/>
                <w:szCs w:val="20"/>
                <w:lang w:val="sr-Cyrl-CS"/>
              </w:rPr>
              <w:t>Планиране активности</w:t>
            </w:r>
          </w:p>
        </w:tc>
        <w:tc>
          <w:tcPr>
            <w:tcW w:w="1490" w:type="dxa"/>
            <w:gridSpan w:val="4"/>
            <w:tcBorders>
              <w:top w:val="single" w:sz="8" w:space="0" w:color="auto"/>
              <w:left w:val="single" w:sz="8" w:space="0" w:color="auto"/>
              <w:bottom w:val="single" w:sz="4" w:space="0" w:color="auto"/>
              <w:right w:val="single" w:sz="8" w:space="0" w:color="000000"/>
            </w:tcBorders>
            <w:shd w:val="clear" w:color="auto" w:fill="BDD6EE" w:themeFill="accent1" w:themeFillTint="66"/>
            <w:tcMar>
              <w:top w:w="15" w:type="dxa"/>
              <w:left w:w="15" w:type="dxa"/>
              <w:bottom w:w="0" w:type="dxa"/>
              <w:right w:w="15" w:type="dxa"/>
            </w:tcMar>
            <w:vAlign w:val="center"/>
            <w:hideMark/>
          </w:tcPr>
          <w:p w14:paraId="4397155F" w14:textId="77777777" w:rsidR="00D210F0" w:rsidRPr="00092ED7" w:rsidRDefault="00D210F0" w:rsidP="005D14E2">
            <w:pPr>
              <w:spacing w:after="0"/>
              <w:jc w:val="center"/>
              <w:rPr>
                <w:rFonts w:cs="Times New Roman"/>
                <w:b/>
                <w:bCs/>
                <w:sz w:val="20"/>
                <w:szCs w:val="20"/>
                <w:lang w:val="sr-Cyrl-CS"/>
              </w:rPr>
            </w:pPr>
            <w:r w:rsidRPr="00092ED7">
              <w:rPr>
                <w:rFonts w:cs="Times New Roman"/>
                <w:b/>
                <w:bCs/>
                <w:sz w:val="20"/>
                <w:szCs w:val="20"/>
                <w:lang w:val="sr-Cyrl-CS"/>
              </w:rPr>
              <w:t>2023</w:t>
            </w:r>
          </w:p>
        </w:tc>
        <w:tc>
          <w:tcPr>
            <w:tcW w:w="1490" w:type="dxa"/>
            <w:gridSpan w:val="4"/>
            <w:tcBorders>
              <w:top w:val="single" w:sz="8" w:space="0" w:color="auto"/>
              <w:left w:val="single" w:sz="8" w:space="0" w:color="auto"/>
              <w:bottom w:val="single" w:sz="4" w:space="0" w:color="auto"/>
              <w:right w:val="single" w:sz="8" w:space="0" w:color="000000"/>
            </w:tcBorders>
            <w:shd w:val="clear" w:color="auto" w:fill="BDD6EE" w:themeFill="accent1" w:themeFillTint="66"/>
            <w:tcMar>
              <w:top w:w="15" w:type="dxa"/>
              <w:left w:w="15" w:type="dxa"/>
              <w:bottom w:w="0" w:type="dxa"/>
              <w:right w:w="15" w:type="dxa"/>
            </w:tcMar>
            <w:vAlign w:val="center"/>
            <w:hideMark/>
          </w:tcPr>
          <w:p w14:paraId="161BA705" w14:textId="77777777" w:rsidR="00D210F0" w:rsidRPr="00092ED7" w:rsidRDefault="00D210F0" w:rsidP="005D14E2">
            <w:pPr>
              <w:spacing w:after="0"/>
              <w:jc w:val="center"/>
              <w:rPr>
                <w:rFonts w:cs="Times New Roman"/>
                <w:b/>
                <w:bCs/>
                <w:sz w:val="20"/>
                <w:szCs w:val="20"/>
                <w:lang w:val="sr-Cyrl-CS"/>
              </w:rPr>
            </w:pPr>
            <w:r w:rsidRPr="00092ED7">
              <w:rPr>
                <w:rFonts w:cs="Times New Roman"/>
                <w:b/>
                <w:bCs/>
                <w:sz w:val="20"/>
                <w:szCs w:val="20"/>
                <w:lang w:val="sr-Cyrl-CS"/>
              </w:rPr>
              <w:t>2024</w:t>
            </w:r>
          </w:p>
        </w:tc>
        <w:tc>
          <w:tcPr>
            <w:tcW w:w="1491" w:type="dxa"/>
            <w:gridSpan w:val="4"/>
            <w:tcBorders>
              <w:top w:val="single" w:sz="8" w:space="0" w:color="auto"/>
              <w:left w:val="nil"/>
              <w:bottom w:val="single" w:sz="4" w:space="0" w:color="auto"/>
              <w:right w:val="single" w:sz="8" w:space="0" w:color="000000"/>
            </w:tcBorders>
            <w:shd w:val="clear" w:color="auto" w:fill="BDD6EE" w:themeFill="accent1" w:themeFillTint="66"/>
            <w:tcMar>
              <w:top w:w="15" w:type="dxa"/>
              <w:left w:w="15" w:type="dxa"/>
              <w:bottom w:w="0" w:type="dxa"/>
              <w:right w:w="15" w:type="dxa"/>
            </w:tcMar>
            <w:vAlign w:val="center"/>
            <w:hideMark/>
          </w:tcPr>
          <w:p w14:paraId="3DE32590" w14:textId="77777777" w:rsidR="00D210F0" w:rsidRPr="00092ED7" w:rsidRDefault="00D210F0" w:rsidP="005D14E2">
            <w:pPr>
              <w:spacing w:after="0"/>
              <w:jc w:val="center"/>
              <w:rPr>
                <w:rFonts w:cs="Times New Roman"/>
                <w:b/>
                <w:bCs/>
                <w:sz w:val="20"/>
                <w:szCs w:val="20"/>
                <w:lang w:val="sr-Cyrl-CS"/>
              </w:rPr>
            </w:pPr>
            <w:r w:rsidRPr="00092ED7">
              <w:rPr>
                <w:rFonts w:cs="Times New Roman"/>
                <w:b/>
                <w:bCs/>
                <w:sz w:val="20"/>
                <w:szCs w:val="20"/>
                <w:lang w:val="sr-Cyrl-CS"/>
              </w:rPr>
              <w:t>2025</w:t>
            </w:r>
          </w:p>
        </w:tc>
      </w:tr>
      <w:tr w:rsidR="00D210F0" w:rsidRPr="00092ED7" w14:paraId="42040110" w14:textId="77777777" w:rsidTr="00C429AB">
        <w:trPr>
          <w:trHeight w:val="301"/>
        </w:trPr>
        <w:tc>
          <w:tcPr>
            <w:tcW w:w="425" w:type="dxa"/>
            <w:vMerge/>
            <w:tcBorders>
              <w:left w:val="single" w:sz="8" w:space="0" w:color="auto"/>
              <w:bottom w:val="single" w:sz="8" w:space="0" w:color="000000"/>
              <w:right w:val="nil"/>
            </w:tcBorders>
            <w:shd w:val="clear" w:color="auto" w:fill="BDD6EE" w:themeFill="accent1" w:themeFillTint="66"/>
            <w:vAlign w:val="center"/>
            <w:hideMark/>
          </w:tcPr>
          <w:p w14:paraId="7427D427" w14:textId="77777777" w:rsidR="00D210F0" w:rsidRPr="00092ED7" w:rsidRDefault="00D210F0" w:rsidP="005D14E2">
            <w:pPr>
              <w:spacing w:after="0"/>
              <w:jc w:val="center"/>
              <w:rPr>
                <w:rFonts w:cs="Times New Roman"/>
                <w:b/>
                <w:bCs/>
                <w:sz w:val="20"/>
                <w:szCs w:val="20"/>
                <w:lang w:val="sr-Cyrl-CS"/>
              </w:rPr>
            </w:pPr>
          </w:p>
        </w:tc>
        <w:tc>
          <w:tcPr>
            <w:tcW w:w="4101" w:type="dxa"/>
            <w:vMerge/>
            <w:tcBorders>
              <w:top w:val="single" w:sz="8" w:space="0" w:color="auto"/>
              <w:left w:val="single" w:sz="8" w:space="0" w:color="auto"/>
              <w:bottom w:val="single" w:sz="8" w:space="0" w:color="000000"/>
              <w:right w:val="nil"/>
            </w:tcBorders>
            <w:shd w:val="clear" w:color="auto" w:fill="BDD6EE" w:themeFill="accent1" w:themeFillTint="66"/>
            <w:vAlign w:val="center"/>
            <w:hideMark/>
          </w:tcPr>
          <w:p w14:paraId="3702CEBC" w14:textId="77777777" w:rsidR="00D210F0" w:rsidRPr="00092ED7" w:rsidRDefault="00D210F0" w:rsidP="005D14E2">
            <w:pPr>
              <w:spacing w:after="0"/>
              <w:rPr>
                <w:rFonts w:cs="Times New Roman"/>
                <w:b/>
                <w:bCs/>
                <w:sz w:val="20"/>
                <w:szCs w:val="20"/>
                <w:lang w:val="sr-Cyrl-CS"/>
              </w:rPr>
            </w:pPr>
          </w:p>
        </w:tc>
        <w:tc>
          <w:tcPr>
            <w:tcW w:w="372" w:type="dxa"/>
            <w:tcBorders>
              <w:top w:val="nil"/>
              <w:left w:val="single" w:sz="8" w:space="0" w:color="auto"/>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01C1D1CD" w14:textId="77777777" w:rsidR="00D210F0" w:rsidRPr="00092ED7" w:rsidRDefault="00D210F0" w:rsidP="005D14E2">
            <w:pPr>
              <w:spacing w:after="0"/>
              <w:jc w:val="center"/>
              <w:rPr>
                <w:rFonts w:cs="Times New Roman"/>
                <w:i/>
                <w:iCs/>
                <w:sz w:val="20"/>
                <w:szCs w:val="20"/>
                <w:lang w:val="sr-Cyrl-CS"/>
              </w:rPr>
            </w:pPr>
            <w:r w:rsidRPr="00092ED7">
              <w:rPr>
                <w:rFonts w:cs="Times New Roman"/>
                <w:i/>
                <w:iCs/>
                <w:sz w:val="20"/>
                <w:szCs w:val="20"/>
                <w:lang w:val="sr-Cyrl-CS"/>
              </w:rPr>
              <w:t>Q1</w:t>
            </w:r>
          </w:p>
        </w:tc>
        <w:tc>
          <w:tcPr>
            <w:tcW w:w="373"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039A4E3D" w14:textId="77777777" w:rsidR="00D210F0" w:rsidRPr="00092ED7" w:rsidRDefault="00D210F0" w:rsidP="005D14E2">
            <w:pPr>
              <w:spacing w:after="0"/>
              <w:jc w:val="center"/>
              <w:rPr>
                <w:rFonts w:cs="Times New Roman"/>
                <w:i/>
                <w:iCs/>
                <w:sz w:val="20"/>
                <w:szCs w:val="20"/>
                <w:lang w:val="sr-Cyrl-CS"/>
              </w:rPr>
            </w:pPr>
            <w:r w:rsidRPr="00092ED7">
              <w:rPr>
                <w:rFonts w:cs="Times New Roman"/>
                <w:i/>
                <w:iCs/>
                <w:sz w:val="20"/>
                <w:szCs w:val="20"/>
                <w:lang w:val="sr-Cyrl-CS"/>
              </w:rPr>
              <w:t>Q2</w:t>
            </w:r>
          </w:p>
        </w:tc>
        <w:tc>
          <w:tcPr>
            <w:tcW w:w="372"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51B82672" w14:textId="77777777" w:rsidR="00D210F0" w:rsidRPr="00092ED7" w:rsidRDefault="00D210F0" w:rsidP="005D14E2">
            <w:pPr>
              <w:spacing w:after="0"/>
              <w:jc w:val="center"/>
              <w:rPr>
                <w:rFonts w:cs="Times New Roman"/>
                <w:i/>
                <w:iCs/>
                <w:sz w:val="20"/>
                <w:szCs w:val="20"/>
                <w:lang w:val="sr-Cyrl-CS"/>
              </w:rPr>
            </w:pPr>
            <w:r w:rsidRPr="00092ED7">
              <w:rPr>
                <w:rFonts w:cs="Times New Roman"/>
                <w:i/>
                <w:iCs/>
                <w:sz w:val="20"/>
                <w:szCs w:val="20"/>
                <w:lang w:val="sr-Cyrl-CS"/>
              </w:rPr>
              <w:t>Q3</w:t>
            </w:r>
          </w:p>
        </w:tc>
        <w:tc>
          <w:tcPr>
            <w:tcW w:w="373" w:type="dxa"/>
            <w:tcBorders>
              <w:top w:val="nil"/>
              <w:left w:val="nil"/>
              <w:bottom w:val="single" w:sz="8" w:space="0" w:color="auto"/>
              <w:right w:val="single" w:sz="8" w:space="0" w:color="auto"/>
            </w:tcBorders>
            <w:shd w:val="clear" w:color="auto" w:fill="BDD6EE" w:themeFill="accent1" w:themeFillTint="66"/>
            <w:tcMar>
              <w:top w:w="15" w:type="dxa"/>
              <w:left w:w="15" w:type="dxa"/>
              <w:bottom w:w="0" w:type="dxa"/>
              <w:right w:w="15" w:type="dxa"/>
            </w:tcMar>
            <w:vAlign w:val="center"/>
            <w:hideMark/>
          </w:tcPr>
          <w:p w14:paraId="20A7BB4C" w14:textId="77777777" w:rsidR="00D210F0" w:rsidRPr="00092ED7" w:rsidRDefault="00D210F0" w:rsidP="005D14E2">
            <w:pPr>
              <w:spacing w:after="0"/>
              <w:jc w:val="center"/>
              <w:rPr>
                <w:rFonts w:cs="Times New Roman"/>
                <w:i/>
                <w:iCs/>
                <w:sz w:val="20"/>
                <w:szCs w:val="20"/>
                <w:lang w:val="sr-Cyrl-CS"/>
              </w:rPr>
            </w:pPr>
            <w:r w:rsidRPr="00092ED7">
              <w:rPr>
                <w:rFonts w:cs="Times New Roman"/>
                <w:i/>
                <w:iCs/>
                <w:sz w:val="20"/>
                <w:szCs w:val="20"/>
                <w:lang w:val="sr-Cyrl-CS"/>
              </w:rPr>
              <w:t>Q4</w:t>
            </w:r>
          </w:p>
        </w:tc>
        <w:tc>
          <w:tcPr>
            <w:tcW w:w="372"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5DC91FA2" w14:textId="77777777" w:rsidR="00D210F0" w:rsidRPr="00092ED7" w:rsidRDefault="00D210F0" w:rsidP="005D14E2">
            <w:pPr>
              <w:spacing w:after="0"/>
              <w:jc w:val="center"/>
              <w:rPr>
                <w:rFonts w:cs="Times New Roman"/>
                <w:i/>
                <w:iCs/>
                <w:sz w:val="20"/>
                <w:szCs w:val="20"/>
                <w:lang w:val="sr-Cyrl-CS"/>
              </w:rPr>
            </w:pPr>
            <w:r w:rsidRPr="00092ED7">
              <w:rPr>
                <w:rFonts w:cs="Times New Roman"/>
                <w:i/>
                <w:iCs/>
                <w:sz w:val="20"/>
                <w:szCs w:val="20"/>
                <w:lang w:val="sr-Cyrl-CS"/>
              </w:rPr>
              <w:t>Q1</w:t>
            </w:r>
          </w:p>
        </w:tc>
        <w:tc>
          <w:tcPr>
            <w:tcW w:w="373"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07CF7F91" w14:textId="77777777" w:rsidR="00D210F0" w:rsidRPr="00092ED7" w:rsidRDefault="00D210F0" w:rsidP="005D14E2">
            <w:pPr>
              <w:spacing w:after="0"/>
              <w:jc w:val="center"/>
              <w:rPr>
                <w:rFonts w:cs="Times New Roman"/>
                <w:i/>
                <w:iCs/>
                <w:sz w:val="20"/>
                <w:szCs w:val="20"/>
                <w:lang w:val="sr-Cyrl-CS"/>
              </w:rPr>
            </w:pPr>
            <w:r w:rsidRPr="00092ED7">
              <w:rPr>
                <w:rFonts w:cs="Times New Roman"/>
                <w:i/>
                <w:iCs/>
                <w:sz w:val="20"/>
                <w:szCs w:val="20"/>
                <w:lang w:val="sr-Cyrl-CS"/>
              </w:rPr>
              <w:t>Q2</w:t>
            </w:r>
          </w:p>
        </w:tc>
        <w:tc>
          <w:tcPr>
            <w:tcW w:w="373"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3E5D9EDD" w14:textId="77777777" w:rsidR="00D210F0" w:rsidRPr="00092ED7" w:rsidRDefault="00D210F0" w:rsidP="005D14E2">
            <w:pPr>
              <w:spacing w:after="0"/>
              <w:jc w:val="center"/>
              <w:rPr>
                <w:rFonts w:cs="Times New Roman"/>
                <w:i/>
                <w:iCs/>
                <w:sz w:val="20"/>
                <w:szCs w:val="20"/>
                <w:lang w:val="sr-Cyrl-CS"/>
              </w:rPr>
            </w:pPr>
            <w:r w:rsidRPr="00092ED7">
              <w:rPr>
                <w:rFonts w:cs="Times New Roman"/>
                <w:i/>
                <w:iCs/>
                <w:sz w:val="20"/>
                <w:szCs w:val="20"/>
                <w:lang w:val="sr-Cyrl-CS"/>
              </w:rPr>
              <w:t>Q3</w:t>
            </w:r>
          </w:p>
        </w:tc>
        <w:tc>
          <w:tcPr>
            <w:tcW w:w="372" w:type="dxa"/>
            <w:tcBorders>
              <w:top w:val="nil"/>
              <w:left w:val="nil"/>
              <w:bottom w:val="single" w:sz="8" w:space="0" w:color="auto"/>
              <w:right w:val="single" w:sz="8" w:space="0" w:color="auto"/>
            </w:tcBorders>
            <w:shd w:val="clear" w:color="auto" w:fill="BDD6EE" w:themeFill="accent1" w:themeFillTint="66"/>
            <w:tcMar>
              <w:top w:w="15" w:type="dxa"/>
              <w:left w:w="15" w:type="dxa"/>
              <w:bottom w:w="0" w:type="dxa"/>
              <w:right w:w="15" w:type="dxa"/>
            </w:tcMar>
            <w:vAlign w:val="center"/>
            <w:hideMark/>
          </w:tcPr>
          <w:p w14:paraId="28A45F2D" w14:textId="77777777" w:rsidR="00D210F0" w:rsidRPr="00092ED7" w:rsidRDefault="00D210F0" w:rsidP="005D14E2">
            <w:pPr>
              <w:spacing w:after="0"/>
              <w:jc w:val="center"/>
              <w:rPr>
                <w:rFonts w:cs="Times New Roman"/>
                <w:i/>
                <w:iCs/>
                <w:sz w:val="20"/>
                <w:szCs w:val="20"/>
                <w:lang w:val="sr-Cyrl-CS"/>
              </w:rPr>
            </w:pPr>
            <w:r w:rsidRPr="00092ED7">
              <w:rPr>
                <w:rFonts w:cs="Times New Roman"/>
                <w:i/>
                <w:iCs/>
                <w:sz w:val="20"/>
                <w:szCs w:val="20"/>
                <w:lang w:val="sr-Cyrl-CS"/>
              </w:rPr>
              <w:t>Q4</w:t>
            </w:r>
          </w:p>
        </w:tc>
        <w:tc>
          <w:tcPr>
            <w:tcW w:w="373"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44E4017C" w14:textId="77777777" w:rsidR="00D210F0" w:rsidRPr="00092ED7" w:rsidRDefault="00D210F0" w:rsidP="005D14E2">
            <w:pPr>
              <w:spacing w:after="0"/>
              <w:jc w:val="center"/>
              <w:rPr>
                <w:rFonts w:cs="Times New Roman"/>
                <w:i/>
                <w:iCs/>
                <w:sz w:val="20"/>
                <w:szCs w:val="20"/>
                <w:lang w:val="sr-Cyrl-CS"/>
              </w:rPr>
            </w:pPr>
            <w:r w:rsidRPr="00092ED7">
              <w:rPr>
                <w:rFonts w:cs="Times New Roman"/>
                <w:i/>
                <w:iCs/>
                <w:sz w:val="20"/>
                <w:szCs w:val="20"/>
                <w:lang w:val="sr-Cyrl-CS"/>
              </w:rPr>
              <w:t>Q1</w:t>
            </w:r>
          </w:p>
        </w:tc>
        <w:tc>
          <w:tcPr>
            <w:tcW w:w="372"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7A19DE77" w14:textId="77777777" w:rsidR="00D210F0" w:rsidRPr="00092ED7" w:rsidRDefault="00D210F0" w:rsidP="005D14E2">
            <w:pPr>
              <w:spacing w:after="0"/>
              <w:jc w:val="center"/>
              <w:rPr>
                <w:rFonts w:cs="Times New Roman"/>
                <w:i/>
                <w:iCs/>
                <w:sz w:val="20"/>
                <w:szCs w:val="20"/>
                <w:lang w:val="sr-Cyrl-CS"/>
              </w:rPr>
            </w:pPr>
            <w:r w:rsidRPr="00092ED7">
              <w:rPr>
                <w:rFonts w:cs="Times New Roman"/>
                <w:i/>
                <w:iCs/>
                <w:sz w:val="20"/>
                <w:szCs w:val="20"/>
                <w:lang w:val="sr-Cyrl-CS"/>
              </w:rPr>
              <w:t>Q2</w:t>
            </w:r>
          </w:p>
        </w:tc>
        <w:tc>
          <w:tcPr>
            <w:tcW w:w="373"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4D787510" w14:textId="77777777" w:rsidR="00D210F0" w:rsidRPr="00092ED7" w:rsidRDefault="00D210F0" w:rsidP="005D14E2">
            <w:pPr>
              <w:spacing w:after="0"/>
              <w:jc w:val="center"/>
              <w:rPr>
                <w:rFonts w:cs="Times New Roman"/>
                <w:i/>
                <w:iCs/>
                <w:sz w:val="20"/>
                <w:szCs w:val="20"/>
                <w:lang w:val="sr-Cyrl-CS"/>
              </w:rPr>
            </w:pPr>
            <w:r w:rsidRPr="00092ED7">
              <w:rPr>
                <w:rFonts w:cs="Times New Roman"/>
                <w:i/>
                <w:iCs/>
                <w:sz w:val="20"/>
                <w:szCs w:val="20"/>
                <w:lang w:val="sr-Cyrl-CS"/>
              </w:rPr>
              <w:t>Q3</w:t>
            </w:r>
          </w:p>
        </w:tc>
        <w:tc>
          <w:tcPr>
            <w:tcW w:w="373" w:type="dxa"/>
            <w:tcBorders>
              <w:top w:val="nil"/>
              <w:left w:val="nil"/>
              <w:bottom w:val="single" w:sz="8" w:space="0" w:color="auto"/>
              <w:right w:val="single" w:sz="8" w:space="0" w:color="auto"/>
            </w:tcBorders>
            <w:shd w:val="clear" w:color="auto" w:fill="BDD6EE" w:themeFill="accent1" w:themeFillTint="66"/>
            <w:tcMar>
              <w:top w:w="15" w:type="dxa"/>
              <w:left w:w="15" w:type="dxa"/>
              <w:bottom w:w="0" w:type="dxa"/>
              <w:right w:w="15" w:type="dxa"/>
            </w:tcMar>
            <w:vAlign w:val="center"/>
            <w:hideMark/>
          </w:tcPr>
          <w:p w14:paraId="212FCE24" w14:textId="77777777" w:rsidR="00D210F0" w:rsidRPr="00092ED7" w:rsidRDefault="00D210F0" w:rsidP="005D14E2">
            <w:pPr>
              <w:spacing w:after="0"/>
              <w:jc w:val="center"/>
              <w:rPr>
                <w:rFonts w:cs="Times New Roman"/>
                <w:i/>
                <w:iCs/>
                <w:sz w:val="20"/>
                <w:szCs w:val="20"/>
                <w:lang w:val="sr-Cyrl-CS"/>
              </w:rPr>
            </w:pPr>
            <w:r w:rsidRPr="00092ED7">
              <w:rPr>
                <w:rFonts w:cs="Times New Roman"/>
                <w:i/>
                <w:iCs/>
                <w:sz w:val="20"/>
                <w:szCs w:val="20"/>
                <w:lang w:val="sr-Cyrl-CS"/>
              </w:rPr>
              <w:t>Q4</w:t>
            </w:r>
          </w:p>
        </w:tc>
      </w:tr>
      <w:tr w:rsidR="00D7672A" w:rsidRPr="00092ED7" w14:paraId="1C917CB8" w14:textId="77777777" w:rsidTr="005C0DE5">
        <w:trPr>
          <w:trHeight w:val="300"/>
        </w:trPr>
        <w:tc>
          <w:tcPr>
            <w:tcW w:w="425" w:type="dxa"/>
            <w:tcBorders>
              <w:top w:val="single" w:sz="4" w:space="0" w:color="auto"/>
              <w:left w:val="single" w:sz="8" w:space="0" w:color="auto"/>
              <w:bottom w:val="single" w:sz="4" w:space="0" w:color="auto"/>
              <w:right w:val="nil"/>
            </w:tcBorders>
            <w:shd w:val="clear" w:color="auto" w:fill="auto"/>
            <w:tcMar>
              <w:top w:w="15" w:type="dxa"/>
              <w:left w:w="15" w:type="dxa"/>
              <w:bottom w:w="0" w:type="dxa"/>
              <w:right w:w="15" w:type="dxa"/>
            </w:tcMar>
          </w:tcPr>
          <w:p w14:paraId="2EA98F51" w14:textId="77777777" w:rsidR="00C306F4" w:rsidRPr="00092ED7" w:rsidRDefault="00C306F4" w:rsidP="005D14E2">
            <w:pPr>
              <w:spacing w:after="0"/>
              <w:jc w:val="center"/>
              <w:rPr>
                <w:rFonts w:cs="Times New Roman"/>
                <w:bCs/>
                <w:sz w:val="20"/>
                <w:szCs w:val="20"/>
                <w:lang w:val="sr-Cyrl-CS"/>
              </w:rPr>
            </w:pPr>
            <w:r w:rsidRPr="00092ED7">
              <w:rPr>
                <w:rFonts w:cs="Times New Roman"/>
                <w:bCs/>
                <w:sz w:val="20"/>
                <w:szCs w:val="20"/>
                <w:lang w:val="sr-Cyrl-CS"/>
              </w:rPr>
              <w:lastRenderedPageBreak/>
              <w:t>1.</w:t>
            </w:r>
          </w:p>
        </w:tc>
        <w:tc>
          <w:tcPr>
            <w:tcW w:w="4101" w:type="dxa"/>
            <w:tcBorders>
              <w:top w:val="single" w:sz="4" w:space="0" w:color="auto"/>
              <w:left w:val="single" w:sz="8" w:space="0" w:color="auto"/>
              <w:bottom w:val="single" w:sz="4" w:space="0" w:color="auto"/>
              <w:right w:val="nil"/>
            </w:tcBorders>
            <w:shd w:val="clear" w:color="auto" w:fill="auto"/>
            <w:tcMar>
              <w:top w:w="15" w:type="dxa"/>
              <w:left w:w="15" w:type="dxa"/>
              <w:bottom w:w="0" w:type="dxa"/>
              <w:right w:w="15" w:type="dxa"/>
            </w:tcMar>
          </w:tcPr>
          <w:p w14:paraId="39EBDB5C" w14:textId="77777777" w:rsidR="00C306F4" w:rsidRPr="00092ED7" w:rsidRDefault="00C306F4" w:rsidP="005D14E2">
            <w:pPr>
              <w:spacing w:after="0"/>
              <w:rPr>
                <w:rFonts w:cs="Times New Roman"/>
                <w:sz w:val="20"/>
                <w:szCs w:val="20"/>
                <w:lang w:val="sr-Cyrl-CS"/>
              </w:rPr>
            </w:pPr>
            <w:r w:rsidRPr="00092ED7">
              <w:rPr>
                <w:rFonts w:cs="Times New Roman"/>
                <w:sz w:val="20"/>
                <w:szCs w:val="20"/>
                <w:lang w:val="sr-Cyrl-CS"/>
              </w:rPr>
              <w:t>Израда и усвајање Плана имплементације</w:t>
            </w:r>
          </w:p>
        </w:tc>
        <w:tc>
          <w:tcPr>
            <w:tcW w:w="372" w:type="dxa"/>
            <w:tcBorders>
              <w:top w:val="single" w:sz="4" w:space="0" w:color="auto"/>
              <w:left w:val="single" w:sz="8"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284B3675" w14:textId="77777777" w:rsidR="00C306F4" w:rsidRPr="00092ED7" w:rsidRDefault="00C306F4" w:rsidP="005D14E2">
            <w:pPr>
              <w:spacing w:after="0"/>
              <w:rPr>
                <w:rFonts w:cs="Times New Roman"/>
                <w:sz w:val="20"/>
                <w:szCs w:val="20"/>
                <w:lang w:val="sr-Cyrl-CS"/>
              </w:rPr>
            </w:pPr>
          </w:p>
        </w:tc>
        <w:tc>
          <w:tcPr>
            <w:tcW w:w="373"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874FEC4" w14:textId="77777777" w:rsidR="00C306F4" w:rsidRPr="00092ED7" w:rsidRDefault="00C306F4" w:rsidP="005D14E2">
            <w:pPr>
              <w:spacing w:after="0"/>
              <w:rPr>
                <w:rFonts w:cs="Times New Roman"/>
                <w:sz w:val="20"/>
                <w:szCs w:val="20"/>
                <w:lang w:val="sr-Cyrl-CS"/>
              </w:rPr>
            </w:pPr>
          </w:p>
        </w:tc>
        <w:tc>
          <w:tcPr>
            <w:tcW w:w="372"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6B5EA45B" w14:textId="77777777" w:rsidR="00C306F4" w:rsidRPr="00092ED7" w:rsidRDefault="00C306F4" w:rsidP="005D14E2">
            <w:pPr>
              <w:spacing w:after="0"/>
              <w:rPr>
                <w:rFonts w:cs="Times New Roman"/>
                <w:sz w:val="20"/>
                <w:szCs w:val="20"/>
                <w:lang w:val="sr-Cyrl-CS"/>
              </w:rPr>
            </w:pPr>
          </w:p>
        </w:tc>
        <w:tc>
          <w:tcPr>
            <w:tcW w:w="373" w:type="dxa"/>
            <w:tcBorders>
              <w:top w:val="single" w:sz="4" w:space="0" w:color="auto"/>
              <w:left w:val="nil"/>
              <w:bottom w:val="single" w:sz="4" w:space="0" w:color="auto"/>
              <w:right w:val="single" w:sz="8" w:space="0" w:color="auto"/>
            </w:tcBorders>
            <w:shd w:val="clear" w:color="auto" w:fill="auto"/>
            <w:tcMar>
              <w:top w:w="15" w:type="dxa"/>
              <w:left w:w="15" w:type="dxa"/>
              <w:bottom w:w="0" w:type="dxa"/>
              <w:right w:w="15" w:type="dxa"/>
            </w:tcMar>
          </w:tcPr>
          <w:p w14:paraId="28D41A44" w14:textId="77777777" w:rsidR="00C306F4" w:rsidRPr="00092ED7" w:rsidRDefault="00C306F4" w:rsidP="005D14E2">
            <w:pPr>
              <w:spacing w:after="0"/>
              <w:rPr>
                <w:rFonts w:cs="Times New Roman"/>
                <w:sz w:val="20"/>
                <w:szCs w:val="20"/>
                <w:lang w:val="sr-Cyrl-CS"/>
              </w:rPr>
            </w:pPr>
          </w:p>
        </w:tc>
        <w:tc>
          <w:tcPr>
            <w:tcW w:w="372"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6C00690F" w14:textId="77777777" w:rsidR="00C306F4" w:rsidRPr="00092ED7" w:rsidRDefault="00C306F4" w:rsidP="005D14E2">
            <w:pPr>
              <w:spacing w:after="0"/>
              <w:rPr>
                <w:rFonts w:cs="Times New Roman"/>
                <w:sz w:val="20"/>
                <w:szCs w:val="20"/>
                <w:lang w:val="sr-Cyrl-CS"/>
              </w:rPr>
            </w:pPr>
          </w:p>
        </w:tc>
        <w:tc>
          <w:tcPr>
            <w:tcW w:w="373"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66CB53CA" w14:textId="77777777" w:rsidR="00C306F4" w:rsidRPr="00092ED7" w:rsidRDefault="00C306F4" w:rsidP="005D14E2">
            <w:pPr>
              <w:spacing w:after="0"/>
              <w:rPr>
                <w:rFonts w:cs="Times New Roman"/>
                <w:sz w:val="20"/>
                <w:szCs w:val="20"/>
                <w:lang w:val="sr-Cyrl-CS"/>
              </w:rPr>
            </w:pPr>
          </w:p>
        </w:tc>
        <w:tc>
          <w:tcPr>
            <w:tcW w:w="373"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215A6997" w14:textId="77777777" w:rsidR="00C306F4" w:rsidRPr="00092ED7" w:rsidRDefault="00C306F4" w:rsidP="005D14E2">
            <w:pPr>
              <w:spacing w:after="0"/>
              <w:rPr>
                <w:rFonts w:cs="Times New Roman"/>
                <w:sz w:val="20"/>
                <w:szCs w:val="20"/>
                <w:lang w:val="sr-Cyrl-CS"/>
              </w:rPr>
            </w:pPr>
          </w:p>
        </w:tc>
        <w:tc>
          <w:tcPr>
            <w:tcW w:w="372" w:type="dxa"/>
            <w:tcBorders>
              <w:top w:val="single" w:sz="4" w:space="0" w:color="auto"/>
              <w:left w:val="nil"/>
              <w:bottom w:val="single" w:sz="4" w:space="0" w:color="auto"/>
              <w:right w:val="single" w:sz="8" w:space="0" w:color="auto"/>
            </w:tcBorders>
            <w:shd w:val="clear" w:color="auto" w:fill="auto"/>
            <w:tcMar>
              <w:top w:w="15" w:type="dxa"/>
              <w:left w:w="15" w:type="dxa"/>
              <w:bottom w:w="0" w:type="dxa"/>
              <w:right w:w="15" w:type="dxa"/>
            </w:tcMar>
          </w:tcPr>
          <w:p w14:paraId="24918D57" w14:textId="77777777" w:rsidR="00C306F4" w:rsidRPr="00092ED7" w:rsidRDefault="00C306F4" w:rsidP="005D14E2">
            <w:pPr>
              <w:spacing w:after="0"/>
              <w:rPr>
                <w:rFonts w:cs="Times New Roman"/>
                <w:sz w:val="20"/>
                <w:szCs w:val="20"/>
                <w:lang w:val="sr-Cyrl-CS"/>
              </w:rPr>
            </w:pPr>
          </w:p>
        </w:tc>
        <w:tc>
          <w:tcPr>
            <w:tcW w:w="373"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7EE80104" w14:textId="77777777" w:rsidR="00C306F4" w:rsidRPr="00092ED7" w:rsidRDefault="00C306F4" w:rsidP="005D14E2">
            <w:pPr>
              <w:spacing w:after="0"/>
              <w:rPr>
                <w:rFonts w:cs="Times New Roman"/>
                <w:sz w:val="20"/>
                <w:szCs w:val="20"/>
                <w:lang w:val="sr-Cyrl-CS"/>
              </w:rPr>
            </w:pPr>
          </w:p>
        </w:tc>
        <w:tc>
          <w:tcPr>
            <w:tcW w:w="372"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257C026C" w14:textId="77777777" w:rsidR="00C306F4" w:rsidRPr="00092ED7" w:rsidRDefault="00C306F4" w:rsidP="005D14E2">
            <w:pPr>
              <w:spacing w:after="0"/>
              <w:rPr>
                <w:rFonts w:cs="Times New Roman"/>
                <w:sz w:val="20"/>
                <w:szCs w:val="20"/>
                <w:lang w:val="sr-Cyrl-CS"/>
              </w:rPr>
            </w:pPr>
          </w:p>
        </w:tc>
        <w:tc>
          <w:tcPr>
            <w:tcW w:w="373"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2175A867" w14:textId="77777777" w:rsidR="00C306F4" w:rsidRPr="00092ED7" w:rsidRDefault="00C306F4" w:rsidP="005D14E2">
            <w:pPr>
              <w:spacing w:after="0"/>
              <w:rPr>
                <w:rFonts w:cs="Times New Roman"/>
                <w:sz w:val="20"/>
                <w:szCs w:val="20"/>
                <w:lang w:val="sr-Cyrl-CS"/>
              </w:rPr>
            </w:pPr>
          </w:p>
        </w:tc>
        <w:tc>
          <w:tcPr>
            <w:tcW w:w="373" w:type="dxa"/>
            <w:tcBorders>
              <w:top w:val="single" w:sz="4" w:space="0" w:color="auto"/>
              <w:left w:val="nil"/>
              <w:bottom w:val="single" w:sz="4" w:space="0" w:color="auto"/>
              <w:right w:val="single" w:sz="8" w:space="0" w:color="auto"/>
            </w:tcBorders>
            <w:shd w:val="clear" w:color="auto" w:fill="auto"/>
            <w:tcMar>
              <w:top w:w="15" w:type="dxa"/>
              <w:left w:w="15" w:type="dxa"/>
              <w:bottom w:w="0" w:type="dxa"/>
              <w:right w:w="15" w:type="dxa"/>
            </w:tcMar>
          </w:tcPr>
          <w:p w14:paraId="39CA2F9D" w14:textId="77777777" w:rsidR="00C306F4" w:rsidRPr="00092ED7" w:rsidRDefault="00C306F4" w:rsidP="005D14E2">
            <w:pPr>
              <w:spacing w:after="0"/>
              <w:rPr>
                <w:rFonts w:cs="Times New Roman"/>
                <w:sz w:val="20"/>
                <w:szCs w:val="20"/>
                <w:lang w:val="sr-Cyrl-CS"/>
              </w:rPr>
            </w:pPr>
          </w:p>
        </w:tc>
      </w:tr>
      <w:tr w:rsidR="00D7672A" w:rsidRPr="00092ED7" w14:paraId="03275830" w14:textId="77777777" w:rsidTr="005C0DE5">
        <w:trPr>
          <w:trHeight w:val="300"/>
        </w:trPr>
        <w:tc>
          <w:tcPr>
            <w:tcW w:w="425" w:type="dxa"/>
            <w:tcBorders>
              <w:top w:val="single" w:sz="4" w:space="0" w:color="auto"/>
              <w:left w:val="single" w:sz="8" w:space="0" w:color="auto"/>
              <w:bottom w:val="single" w:sz="4" w:space="0" w:color="auto"/>
              <w:right w:val="nil"/>
            </w:tcBorders>
            <w:shd w:val="clear" w:color="auto" w:fill="auto"/>
            <w:tcMar>
              <w:top w:w="15" w:type="dxa"/>
              <w:left w:w="15" w:type="dxa"/>
              <w:bottom w:w="0" w:type="dxa"/>
              <w:right w:w="15" w:type="dxa"/>
            </w:tcMar>
          </w:tcPr>
          <w:p w14:paraId="146A5ACA" w14:textId="77777777" w:rsidR="00D210F0" w:rsidRPr="00092ED7" w:rsidRDefault="00C306F4" w:rsidP="005D14E2">
            <w:pPr>
              <w:spacing w:after="0"/>
              <w:jc w:val="center"/>
              <w:rPr>
                <w:rFonts w:cs="Times New Roman"/>
                <w:bCs/>
                <w:sz w:val="20"/>
                <w:szCs w:val="20"/>
                <w:lang w:val="sr-Cyrl-CS"/>
              </w:rPr>
            </w:pPr>
            <w:r w:rsidRPr="00092ED7">
              <w:rPr>
                <w:rFonts w:cs="Times New Roman"/>
                <w:bCs/>
                <w:sz w:val="20"/>
                <w:szCs w:val="20"/>
                <w:lang w:val="sr-Cyrl-CS"/>
              </w:rPr>
              <w:t>2</w:t>
            </w:r>
            <w:r w:rsidR="00D210F0" w:rsidRPr="00092ED7">
              <w:rPr>
                <w:rFonts w:cs="Times New Roman"/>
                <w:bCs/>
                <w:sz w:val="20"/>
                <w:szCs w:val="20"/>
                <w:lang w:val="sr-Cyrl-CS"/>
              </w:rPr>
              <w:t>.</w:t>
            </w:r>
          </w:p>
        </w:tc>
        <w:tc>
          <w:tcPr>
            <w:tcW w:w="4101" w:type="dxa"/>
            <w:tcBorders>
              <w:top w:val="single" w:sz="4" w:space="0" w:color="auto"/>
              <w:left w:val="single" w:sz="8" w:space="0" w:color="auto"/>
              <w:bottom w:val="single" w:sz="4" w:space="0" w:color="auto"/>
              <w:right w:val="nil"/>
            </w:tcBorders>
            <w:shd w:val="clear" w:color="auto" w:fill="auto"/>
            <w:tcMar>
              <w:top w:w="15" w:type="dxa"/>
              <w:left w:w="15" w:type="dxa"/>
              <w:bottom w:w="0" w:type="dxa"/>
              <w:right w:w="15" w:type="dxa"/>
            </w:tcMar>
          </w:tcPr>
          <w:p w14:paraId="4F29B6D9" w14:textId="77777777" w:rsidR="00D210F0" w:rsidRPr="00092ED7" w:rsidRDefault="00D210F0" w:rsidP="005D14E2">
            <w:pPr>
              <w:spacing w:after="0"/>
              <w:rPr>
                <w:rFonts w:cs="Times New Roman"/>
                <w:sz w:val="20"/>
                <w:szCs w:val="20"/>
                <w:lang w:val="sr-Cyrl-CS"/>
              </w:rPr>
            </w:pPr>
            <w:r w:rsidRPr="00092ED7">
              <w:rPr>
                <w:rFonts w:cs="Times New Roman"/>
                <w:sz w:val="20"/>
                <w:szCs w:val="20"/>
                <w:lang w:val="sr-Cyrl-CS"/>
              </w:rPr>
              <w:t>Спровођење припремних радњи за увођење Гаранције за младе у складу са Планом имплементације</w:t>
            </w:r>
          </w:p>
        </w:tc>
        <w:tc>
          <w:tcPr>
            <w:tcW w:w="372" w:type="dxa"/>
            <w:tcBorders>
              <w:top w:val="single" w:sz="4" w:space="0" w:color="auto"/>
              <w:left w:val="single" w:sz="8" w:space="0" w:color="auto"/>
              <w:bottom w:val="single" w:sz="4" w:space="0" w:color="auto"/>
              <w:right w:val="single" w:sz="4" w:space="0" w:color="auto"/>
            </w:tcBorders>
            <w:shd w:val="clear" w:color="auto" w:fill="auto"/>
            <w:tcMar>
              <w:top w:w="15" w:type="dxa"/>
              <w:left w:w="15" w:type="dxa"/>
              <w:bottom w:w="0" w:type="dxa"/>
              <w:right w:w="15" w:type="dxa"/>
            </w:tcMar>
          </w:tcPr>
          <w:p w14:paraId="0E5876E8" w14:textId="77777777" w:rsidR="00D210F0" w:rsidRPr="00092ED7" w:rsidRDefault="00D210F0" w:rsidP="005D14E2">
            <w:pPr>
              <w:spacing w:after="0"/>
              <w:rPr>
                <w:rFonts w:cs="Times New Roman"/>
                <w:sz w:val="20"/>
                <w:szCs w:val="20"/>
                <w:lang w:val="sr-Cyrl-CS"/>
              </w:rPr>
            </w:pPr>
          </w:p>
        </w:tc>
        <w:tc>
          <w:tcPr>
            <w:tcW w:w="373"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72D64E1D" w14:textId="77777777" w:rsidR="00D210F0" w:rsidRPr="00092ED7" w:rsidRDefault="00D210F0" w:rsidP="005D14E2">
            <w:pPr>
              <w:spacing w:after="0"/>
              <w:rPr>
                <w:rFonts w:cs="Times New Roman"/>
                <w:sz w:val="20"/>
                <w:szCs w:val="20"/>
                <w:lang w:val="sr-Cyrl-CS"/>
              </w:rPr>
            </w:pPr>
          </w:p>
        </w:tc>
        <w:tc>
          <w:tcPr>
            <w:tcW w:w="372"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227F9257" w14:textId="77777777" w:rsidR="00D210F0" w:rsidRPr="00092ED7" w:rsidRDefault="00D210F0" w:rsidP="005D14E2">
            <w:pPr>
              <w:spacing w:after="0"/>
              <w:rPr>
                <w:rFonts w:cs="Times New Roman"/>
                <w:sz w:val="20"/>
                <w:szCs w:val="20"/>
                <w:lang w:val="sr-Cyrl-CS"/>
              </w:rPr>
            </w:pPr>
          </w:p>
        </w:tc>
        <w:tc>
          <w:tcPr>
            <w:tcW w:w="373" w:type="dxa"/>
            <w:tcBorders>
              <w:top w:val="single" w:sz="4" w:space="0" w:color="auto"/>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131DEB59" w14:textId="77777777" w:rsidR="00D210F0" w:rsidRPr="00092ED7" w:rsidRDefault="00D210F0" w:rsidP="005D14E2">
            <w:pPr>
              <w:spacing w:after="0"/>
              <w:rPr>
                <w:rFonts w:cs="Times New Roman"/>
                <w:sz w:val="20"/>
                <w:szCs w:val="20"/>
                <w:lang w:val="sr-Cyrl-CS"/>
              </w:rPr>
            </w:pPr>
          </w:p>
        </w:tc>
        <w:tc>
          <w:tcPr>
            <w:tcW w:w="372"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7DDA83B4" w14:textId="77777777" w:rsidR="00D210F0" w:rsidRPr="00092ED7" w:rsidRDefault="00D210F0" w:rsidP="005D14E2">
            <w:pPr>
              <w:spacing w:after="0"/>
              <w:rPr>
                <w:rFonts w:cs="Times New Roman"/>
                <w:sz w:val="20"/>
                <w:szCs w:val="20"/>
                <w:lang w:val="sr-Cyrl-CS"/>
              </w:rPr>
            </w:pPr>
          </w:p>
        </w:tc>
        <w:tc>
          <w:tcPr>
            <w:tcW w:w="373"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42FB9071" w14:textId="77777777" w:rsidR="00D210F0" w:rsidRPr="00092ED7" w:rsidRDefault="00D210F0" w:rsidP="005D14E2">
            <w:pPr>
              <w:spacing w:after="0"/>
              <w:rPr>
                <w:rFonts w:cs="Times New Roman"/>
                <w:sz w:val="20"/>
                <w:szCs w:val="20"/>
                <w:lang w:val="sr-Cyrl-CS"/>
              </w:rPr>
            </w:pPr>
          </w:p>
        </w:tc>
        <w:tc>
          <w:tcPr>
            <w:tcW w:w="373"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47E12939" w14:textId="77777777" w:rsidR="00D210F0" w:rsidRPr="00092ED7" w:rsidRDefault="00D210F0" w:rsidP="005D14E2">
            <w:pPr>
              <w:spacing w:after="0"/>
              <w:rPr>
                <w:rFonts w:cs="Times New Roman"/>
                <w:sz w:val="20"/>
                <w:szCs w:val="20"/>
                <w:lang w:val="sr-Cyrl-CS"/>
              </w:rPr>
            </w:pPr>
          </w:p>
        </w:tc>
        <w:tc>
          <w:tcPr>
            <w:tcW w:w="372" w:type="dxa"/>
            <w:tcBorders>
              <w:top w:val="single" w:sz="4" w:space="0" w:color="auto"/>
              <w:left w:val="nil"/>
              <w:bottom w:val="single" w:sz="4" w:space="0" w:color="auto"/>
              <w:right w:val="single" w:sz="8" w:space="0" w:color="auto"/>
            </w:tcBorders>
            <w:shd w:val="clear" w:color="auto" w:fill="auto"/>
            <w:tcMar>
              <w:top w:w="15" w:type="dxa"/>
              <w:left w:w="15" w:type="dxa"/>
              <w:bottom w:w="0" w:type="dxa"/>
              <w:right w:w="15" w:type="dxa"/>
            </w:tcMar>
          </w:tcPr>
          <w:p w14:paraId="23F7584F" w14:textId="77777777" w:rsidR="00D210F0" w:rsidRPr="00092ED7" w:rsidRDefault="00D210F0" w:rsidP="005D14E2">
            <w:pPr>
              <w:spacing w:after="0"/>
              <w:rPr>
                <w:rFonts w:cs="Times New Roman"/>
                <w:sz w:val="20"/>
                <w:szCs w:val="20"/>
                <w:lang w:val="sr-Cyrl-CS"/>
              </w:rPr>
            </w:pPr>
          </w:p>
        </w:tc>
        <w:tc>
          <w:tcPr>
            <w:tcW w:w="373"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6303980D" w14:textId="77777777" w:rsidR="00D210F0" w:rsidRPr="00092ED7" w:rsidRDefault="00D210F0" w:rsidP="005D14E2">
            <w:pPr>
              <w:spacing w:after="0"/>
              <w:rPr>
                <w:rFonts w:cs="Times New Roman"/>
                <w:sz w:val="20"/>
                <w:szCs w:val="20"/>
                <w:lang w:val="sr-Cyrl-CS"/>
              </w:rPr>
            </w:pPr>
          </w:p>
        </w:tc>
        <w:tc>
          <w:tcPr>
            <w:tcW w:w="372"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1BED2442" w14:textId="77777777" w:rsidR="00D210F0" w:rsidRPr="00092ED7" w:rsidRDefault="00D210F0" w:rsidP="005D14E2">
            <w:pPr>
              <w:spacing w:after="0"/>
              <w:rPr>
                <w:rFonts w:cs="Times New Roman"/>
                <w:sz w:val="20"/>
                <w:szCs w:val="20"/>
                <w:lang w:val="sr-Cyrl-CS"/>
              </w:rPr>
            </w:pPr>
          </w:p>
        </w:tc>
        <w:tc>
          <w:tcPr>
            <w:tcW w:w="373"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7394C347" w14:textId="77777777" w:rsidR="00D210F0" w:rsidRPr="00092ED7" w:rsidRDefault="00D210F0" w:rsidP="005D14E2">
            <w:pPr>
              <w:spacing w:after="0"/>
              <w:rPr>
                <w:rFonts w:cs="Times New Roman"/>
                <w:sz w:val="20"/>
                <w:szCs w:val="20"/>
                <w:lang w:val="sr-Cyrl-CS"/>
              </w:rPr>
            </w:pPr>
          </w:p>
        </w:tc>
        <w:tc>
          <w:tcPr>
            <w:tcW w:w="373" w:type="dxa"/>
            <w:tcBorders>
              <w:top w:val="single" w:sz="4" w:space="0" w:color="auto"/>
              <w:left w:val="nil"/>
              <w:bottom w:val="single" w:sz="4" w:space="0" w:color="auto"/>
              <w:right w:val="single" w:sz="8" w:space="0" w:color="auto"/>
            </w:tcBorders>
            <w:shd w:val="clear" w:color="auto" w:fill="auto"/>
            <w:tcMar>
              <w:top w:w="15" w:type="dxa"/>
              <w:left w:w="15" w:type="dxa"/>
              <w:bottom w:w="0" w:type="dxa"/>
              <w:right w:w="15" w:type="dxa"/>
            </w:tcMar>
          </w:tcPr>
          <w:p w14:paraId="2D1469B0" w14:textId="77777777" w:rsidR="00D210F0" w:rsidRPr="00092ED7" w:rsidRDefault="00D210F0" w:rsidP="005D14E2">
            <w:pPr>
              <w:spacing w:after="0"/>
              <w:rPr>
                <w:rFonts w:cs="Times New Roman"/>
                <w:sz w:val="20"/>
                <w:szCs w:val="20"/>
                <w:lang w:val="sr-Cyrl-CS"/>
              </w:rPr>
            </w:pPr>
          </w:p>
        </w:tc>
      </w:tr>
      <w:tr w:rsidR="00D7672A" w:rsidRPr="00092ED7" w14:paraId="68BEFDC6" w14:textId="77777777" w:rsidTr="00D7672A">
        <w:trPr>
          <w:trHeight w:val="300"/>
        </w:trPr>
        <w:tc>
          <w:tcPr>
            <w:tcW w:w="425" w:type="dxa"/>
            <w:tcBorders>
              <w:top w:val="nil"/>
              <w:left w:val="single" w:sz="8" w:space="0" w:color="auto"/>
              <w:bottom w:val="single" w:sz="4" w:space="0" w:color="auto"/>
              <w:right w:val="nil"/>
            </w:tcBorders>
            <w:shd w:val="clear" w:color="auto" w:fill="auto"/>
            <w:tcMar>
              <w:top w:w="15" w:type="dxa"/>
              <w:left w:w="15" w:type="dxa"/>
              <w:bottom w:w="0" w:type="dxa"/>
              <w:right w:w="15" w:type="dxa"/>
            </w:tcMar>
          </w:tcPr>
          <w:p w14:paraId="176ED559" w14:textId="77777777" w:rsidR="00D210F0" w:rsidRPr="00092ED7" w:rsidRDefault="00C306F4" w:rsidP="005D14E2">
            <w:pPr>
              <w:spacing w:after="0"/>
              <w:jc w:val="center"/>
              <w:rPr>
                <w:rFonts w:cs="Times New Roman"/>
                <w:bCs/>
                <w:sz w:val="20"/>
                <w:szCs w:val="20"/>
                <w:lang w:val="sr-Cyrl-CS"/>
              </w:rPr>
            </w:pPr>
            <w:r w:rsidRPr="00092ED7">
              <w:rPr>
                <w:rFonts w:cs="Times New Roman"/>
                <w:bCs/>
                <w:sz w:val="20"/>
                <w:szCs w:val="20"/>
                <w:lang w:val="sr-Cyrl-CS"/>
              </w:rPr>
              <w:t>3</w:t>
            </w:r>
            <w:r w:rsidR="00D210F0" w:rsidRPr="00092ED7">
              <w:rPr>
                <w:rFonts w:cs="Times New Roman"/>
                <w:bCs/>
                <w:sz w:val="20"/>
                <w:szCs w:val="20"/>
                <w:lang w:val="sr-Cyrl-CS"/>
              </w:rPr>
              <w:t>.</w:t>
            </w:r>
          </w:p>
        </w:tc>
        <w:tc>
          <w:tcPr>
            <w:tcW w:w="4101" w:type="dxa"/>
            <w:tcBorders>
              <w:top w:val="nil"/>
              <w:left w:val="single" w:sz="8" w:space="0" w:color="auto"/>
              <w:bottom w:val="single" w:sz="4" w:space="0" w:color="auto"/>
              <w:right w:val="single" w:sz="4" w:space="0" w:color="auto"/>
            </w:tcBorders>
            <w:shd w:val="clear" w:color="auto" w:fill="auto"/>
            <w:tcMar>
              <w:top w:w="15" w:type="dxa"/>
              <w:left w:w="15" w:type="dxa"/>
              <w:bottom w:w="0" w:type="dxa"/>
              <w:right w:w="15" w:type="dxa"/>
            </w:tcMar>
          </w:tcPr>
          <w:p w14:paraId="11FB7BBF" w14:textId="0D4D2070" w:rsidR="00D210F0" w:rsidRPr="00092ED7" w:rsidRDefault="00D210F0" w:rsidP="002126A3">
            <w:pPr>
              <w:spacing w:after="0"/>
              <w:rPr>
                <w:rFonts w:cs="Times New Roman"/>
                <w:sz w:val="20"/>
                <w:szCs w:val="20"/>
                <w:lang w:val="sr-Cyrl-CS"/>
              </w:rPr>
            </w:pPr>
            <w:r w:rsidRPr="00092ED7">
              <w:rPr>
                <w:rFonts w:cs="Times New Roman"/>
                <w:sz w:val="20"/>
                <w:szCs w:val="20"/>
                <w:lang w:val="sr-Cyrl-CS"/>
              </w:rPr>
              <w:t xml:space="preserve">Пилотирање елемената Гаранције за младе на подручју одабраних филијала </w:t>
            </w:r>
            <w:r w:rsidR="00E443AD" w:rsidRPr="00092ED7">
              <w:rPr>
                <w:rFonts w:cs="Times New Roman"/>
                <w:sz w:val="20"/>
                <w:szCs w:val="20"/>
                <w:lang w:val="sr-Cyrl-CS"/>
              </w:rPr>
              <w:t>Националне службе за запошљавање</w:t>
            </w:r>
            <w:r w:rsidR="002126A3" w:rsidRPr="00092ED7">
              <w:rPr>
                <w:rFonts w:cs="Times New Roman"/>
                <w:sz w:val="20"/>
                <w:szCs w:val="20"/>
                <w:lang w:val="sr-Cyrl-CS"/>
              </w:rPr>
              <w:t xml:space="preserve"> и</w:t>
            </w:r>
            <w:r w:rsidRPr="00092ED7">
              <w:rPr>
                <w:rFonts w:cs="Times New Roman"/>
                <w:sz w:val="20"/>
                <w:szCs w:val="20"/>
                <w:lang w:val="sr-Cyrl-CS"/>
              </w:rPr>
              <w:t xml:space="preserve"> </w:t>
            </w:r>
            <w:r w:rsidR="002126A3" w:rsidRPr="00092ED7">
              <w:rPr>
                <w:rFonts w:cs="Times New Roman"/>
                <w:sz w:val="20"/>
                <w:szCs w:val="20"/>
                <w:lang w:val="sr-Cyrl-CS"/>
              </w:rPr>
              <w:t>праћење спровођења Плана имплементације</w:t>
            </w:r>
          </w:p>
        </w:tc>
        <w:tc>
          <w:tcPr>
            <w:tcW w:w="372" w:type="dxa"/>
            <w:tcBorders>
              <w:top w:val="nil"/>
              <w:left w:val="single" w:sz="8" w:space="0" w:color="auto"/>
              <w:bottom w:val="single" w:sz="4" w:space="0" w:color="auto"/>
              <w:right w:val="single" w:sz="4" w:space="0" w:color="auto"/>
            </w:tcBorders>
            <w:shd w:val="clear" w:color="auto" w:fill="auto"/>
            <w:tcMar>
              <w:top w:w="15" w:type="dxa"/>
              <w:left w:w="15" w:type="dxa"/>
              <w:bottom w:w="0" w:type="dxa"/>
              <w:right w:w="15" w:type="dxa"/>
            </w:tcMar>
          </w:tcPr>
          <w:p w14:paraId="77C712A5" w14:textId="77777777" w:rsidR="00D210F0" w:rsidRPr="00092ED7" w:rsidRDefault="00D210F0" w:rsidP="005D14E2">
            <w:pPr>
              <w:spacing w:after="0"/>
              <w:rPr>
                <w:rFonts w:cs="Times New Roman"/>
                <w:sz w:val="20"/>
                <w:szCs w:val="20"/>
                <w:lang w:val="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2B232FFD" w14:textId="77777777" w:rsidR="00D210F0" w:rsidRPr="00092ED7" w:rsidRDefault="00D210F0" w:rsidP="005D14E2">
            <w:pPr>
              <w:spacing w:after="0"/>
              <w:rPr>
                <w:rFonts w:cs="Times New Roman"/>
                <w:sz w:val="20"/>
                <w:szCs w:val="20"/>
                <w:lang w:val="sr-Cyrl-CS"/>
              </w:rPr>
            </w:pPr>
          </w:p>
        </w:tc>
        <w:tc>
          <w:tcPr>
            <w:tcW w:w="372"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7FF4D40C" w14:textId="77777777" w:rsidR="00D210F0" w:rsidRPr="00092ED7" w:rsidRDefault="00D210F0" w:rsidP="005D14E2">
            <w:pPr>
              <w:spacing w:after="0"/>
              <w:rPr>
                <w:rFonts w:cs="Times New Roman"/>
                <w:sz w:val="20"/>
                <w:szCs w:val="20"/>
                <w:lang w:val="sr-Cyrl-CS"/>
              </w:rPr>
            </w:pPr>
          </w:p>
        </w:tc>
        <w:tc>
          <w:tcPr>
            <w:tcW w:w="373" w:type="dxa"/>
            <w:tcBorders>
              <w:top w:val="nil"/>
              <w:left w:val="nil"/>
              <w:bottom w:val="single" w:sz="4" w:space="0" w:color="auto"/>
              <w:right w:val="single" w:sz="8" w:space="0" w:color="auto"/>
            </w:tcBorders>
            <w:shd w:val="clear" w:color="auto" w:fill="auto"/>
            <w:tcMar>
              <w:top w:w="15" w:type="dxa"/>
              <w:left w:w="15" w:type="dxa"/>
              <w:bottom w:w="0" w:type="dxa"/>
              <w:right w:w="15" w:type="dxa"/>
            </w:tcMar>
          </w:tcPr>
          <w:p w14:paraId="6E77DA13" w14:textId="77777777" w:rsidR="00D210F0" w:rsidRPr="00092ED7" w:rsidRDefault="00D210F0" w:rsidP="005D14E2">
            <w:pPr>
              <w:spacing w:after="0"/>
              <w:rPr>
                <w:rFonts w:cs="Times New Roman"/>
                <w:sz w:val="20"/>
                <w:szCs w:val="20"/>
                <w:lang w:val="sr-Cyrl-CS"/>
              </w:rPr>
            </w:pP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06F605B7" w14:textId="77777777" w:rsidR="00D210F0" w:rsidRPr="00092ED7" w:rsidRDefault="00D210F0" w:rsidP="005D14E2">
            <w:pPr>
              <w:spacing w:after="0"/>
              <w:rPr>
                <w:rFonts w:cs="Times New Roman"/>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2745E5DE" w14:textId="77777777" w:rsidR="00D210F0" w:rsidRPr="00092ED7" w:rsidRDefault="00D210F0" w:rsidP="005D14E2">
            <w:pPr>
              <w:spacing w:after="0"/>
              <w:rPr>
                <w:rFonts w:cs="Times New Roman"/>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3F904BD1" w14:textId="77777777" w:rsidR="00D210F0" w:rsidRPr="00092ED7" w:rsidRDefault="00D210F0" w:rsidP="005D14E2">
            <w:pPr>
              <w:spacing w:after="0"/>
              <w:rPr>
                <w:rFonts w:cs="Times New Roman"/>
                <w:sz w:val="20"/>
                <w:szCs w:val="20"/>
                <w:lang w:val="sr-Cyrl-CS"/>
              </w:rPr>
            </w:pPr>
          </w:p>
        </w:tc>
        <w:tc>
          <w:tcPr>
            <w:tcW w:w="372"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1DB9666C" w14:textId="77777777" w:rsidR="00D210F0" w:rsidRPr="00092ED7" w:rsidRDefault="00D210F0" w:rsidP="005D14E2">
            <w:pPr>
              <w:spacing w:after="0"/>
              <w:rPr>
                <w:rFonts w:cs="Times New Roman"/>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C9AFA60" w14:textId="77777777" w:rsidR="00D210F0" w:rsidRPr="00092ED7" w:rsidRDefault="00D210F0" w:rsidP="005D14E2">
            <w:pPr>
              <w:spacing w:after="0"/>
              <w:rPr>
                <w:rFonts w:cs="Times New Roman"/>
                <w:sz w:val="20"/>
                <w:szCs w:val="20"/>
                <w:lang w:val="sr-Cyrl-CS"/>
              </w:rPr>
            </w:pP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084171C" w14:textId="77777777" w:rsidR="00D210F0" w:rsidRPr="00092ED7" w:rsidRDefault="00D210F0" w:rsidP="005D14E2">
            <w:pPr>
              <w:spacing w:after="0"/>
              <w:rPr>
                <w:rFonts w:cs="Times New Roman"/>
                <w:sz w:val="20"/>
                <w:szCs w:val="20"/>
                <w:lang w:val="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367745BE" w14:textId="77777777" w:rsidR="00D210F0" w:rsidRPr="00092ED7" w:rsidRDefault="00D210F0" w:rsidP="005D14E2">
            <w:pPr>
              <w:spacing w:after="0"/>
              <w:rPr>
                <w:rFonts w:cs="Times New Roman"/>
                <w:sz w:val="20"/>
                <w:szCs w:val="20"/>
                <w:lang w:val="sr-Cyrl-CS"/>
              </w:rPr>
            </w:pPr>
          </w:p>
        </w:tc>
        <w:tc>
          <w:tcPr>
            <w:tcW w:w="373" w:type="dxa"/>
            <w:tcBorders>
              <w:top w:val="nil"/>
              <w:left w:val="nil"/>
              <w:bottom w:val="single" w:sz="4" w:space="0" w:color="auto"/>
              <w:right w:val="single" w:sz="8" w:space="0" w:color="auto"/>
            </w:tcBorders>
            <w:shd w:val="clear" w:color="auto" w:fill="auto"/>
            <w:tcMar>
              <w:top w:w="15" w:type="dxa"/>
              <w:left w:w="15" w:type="dxa"/>
              <w:bottom w:w="0" w:type="dxa"/>
              <w:right w:w="15" w:type="dxa"/>
            </w:tcMar>
          </w:tcPr>
          <w:p w14:paraId="18BB692F" w14:textId="77777777" w:rsidR="00D210F0" w:rsidRPr="00092ED7" w:rsidRDefault="00D210F0" w:rsidP="005D14E2">
            <w:pPr>
              <w:spacing w:after="0"/>
              <w:rPr>
                <w:rFonts w:cs="Times New Roman"/>
                <w:sz w:val="20"/>
                <w:szCs w:val="20"/>
                <w:lang w:val="sr-Cyrl-CS"/>
              </w:rPr>
            </w:pPr>
          </w:p>
        </w:tc>
      </w:tr>
      <w:tr w:rsidR="00D7672A" w:rsidRPr="00092ED7" w14:paraId="25FD0327" w14:textId="77777777" w:rsidTr="00D7672A">
        <w:trPr>
          <w:trHeight w:val="300"/>
        </w:trPr>
        <w:tc>
          <w:tcPr>
            <w:tcW w:w="425" w:type="dxa"/>
            <w:tcBorders>
              <w:top w:val="nil"/>
              <w:left w:val="single" w:sz="8" w:space="0" w:color="auto"/>
              <w:bottom w:val="single" w:sz="4" w:space="0" w:color="auto"/>
              <w:right w:val="single" w:sz="8" w:space="0" w:color="auto"/>
            </w:tcBorders>
            <w:shd w:val="clear" w:color="auto" w:fill="auto"/>
            <w:tcMar>
              <w:top w:w="15" w:type="dxa"/>
              <w:left w:w="15" w:type="dxa"/>
              <w:bottom w:w="0" w:type="dxa"/>
              <w:right w:w="15" w:type="dxa"/>
            </w:tcMar>
          </w:tcPr>
          <w:p w14:paraId="021A7CA2" w14:textId="77777777" w:rsidR="00D210F0" w:rsidRPr="00092ED7" w:rsidRDefault="00C306F4" w:rsidP="005D14E2">
            <w:pPr>
              <w:spacing w:after="0"/>
              <w:jc w:val="center"/>
              <w:rPr>
                <w:rFonts w:cs="Times New Roman"/>
                <w:bCs/>
                <w:sz w:val="20"/>
                <w:szCs w:val="20"/>
                <w:lang w:val="sr-Cyrl-CS"/>
              </w:rPr>
            </w:pPr>
            <w:r w:rsidRPr="00092ED7">
              <w:rPr>
                <w:rFonts w:cs="Times New Roman"/>
                <w:bCs/>
                <w:sz w:val="20"/>
                <w:szCs w:val="20"/>
                <w:lang w:val="sr-Cyrl-CS"/>
              </w:rPr>
              <w:t>4</w:t>
            </w:r>
            <w:r w:rsidR="00D210F0" w:rsidRPr="00092ED7">
              <w:rPr>
                <w:rFonts w:cs="Times New Roman"/>
                <w:bCs/>
                <w:sz w:val="20"/>
                <w:szCs w:val="20"/>
                <w:lang w:val="sr-Cyrl-CS"/>
              </w:rPr>
              <w:t>.</w:t>
            </w:r>
          </w:p>
        </w:tc>
        <w:tc>
          <w:tcPr>
            <w:tcW w:w="4101" w:type="dxa"/>
            <w:tcBorders>
              <w:top w:val="nil"/>
              <w:left w:val="nil"/>
              <w:bottom w:val="single" w:sz="4" w:space="0" w:color="auto"/>
              <w:right w:val="nil"/>
            </w:tcBorders>
            <w:shd w:val="clear" w:color="auto" w:fill="auto"/>
            <w:tcMar>
              <w:top w:w="15" w:type="dxa"/>
              <w:left w:w="15" w:type="dxa"/>
              <w:bottom w:w="0" w:type="dxa"/>
              <w:right w:w="15" w:type="dxa"/>
            </w:tcMar>
          </w:tcPr>
          <w:p w14:paraId="4D2C1550" w14:textId="77777777" w:rsidR="00D210F0" w:rsidRPr="00092ED7" w:rsidRDefault="002126A3" w:rsidP="005D14E2">
            <w:pPr>
              <w:spacing w:after="0"/>
              <w:rPr>
                <w:rFonts w:cs="Times New Roman"/>
                <w:sz w:val="20"/>
                <w:szCs w:val="20"/>
                <w:lang w:val="sr-Cyrl-CS"/>
              </w:rPr>
            </w:pPr>
            <w:r w:rsidRPr="00092ED7">
              <w:rPr>
                <w:rFonts w:cs="Times New Roman"/>
                <w:sz w:val="20"/>
                <w:szCs w:val="20"/>
                <w:lang w:val="sr-Cyrl-CS"/>
              </w:rPr>
              <w:t xml:space="preserve">Вредновање </w:t>
            </w:r>
            <w:r w:rsidR="00D210F0" w:rsidRPr="00092ED7">
              <w:rPr>
                <w:rFonts w:cs="Times New Roman"/>
                <w:sz w:val="20"/>
                <w:szCs w:val="20"/>
                <w:lang w:val="sr-Cyrl-CS"/>
              </w:rPr>
              <w:t>резултата пилотирања</w:t>
            </w:r>
            <w:r w:rsidRPr="00092ED7">
              <w:rPr>
                <w:rFonts w:cs="Times New Roman"/>
                <w:sz w:val="20"/>
                <w:szCs w:val="20"/>
                <w:lang w:val="sr-Cyrl-CS"/>
              </w:rPr>
              <w:t xml:space="preserve"> Плана имплементације</w:t>
            </w:r>
          </w:p>
        </w:tc>
        <w:tc>
          <w:tcPr>
            <w:tcW w:w="372" w:type="dxa"/>
            <w:tcBorders>
              <w:top w:val="nil"/>
              <w:left w:val="single" w:sz="8" w:space="0" w:color="auto"/>
              <w:bottom w:val="single" w:sz="4" w:space="0" w:color="auto"/>
              <w:right w:val="single" w:sz="4" w:space="0" w:color="auto"/>
            </w:tcBorders>
            <w:shd w:val="clear" w:color="auto" w:fill="auto"/>
            <w:tcMar>
              <w:top w:w="15" w:type="dxa"/>
              <w:left w:w="15" w:type="dxa"/>
              <w:bottom w:w="0" w:type="dxa"/>
              <w:right w:w="15" w:type="dxa"/>
            </w:tcMar>
          </w:tcPr>
          <w:p w14:paraId="2F3A7C53" w14:textId="77777777" w:rsidR="00D210F0" w:rsidRPr="00092ED7" w:rsidRDefault="00D210F0" w:rsidP="005D14E2">
            <w:pPr>
              <w:spacing w:after="0"/>
              <w:rPr>
                <w:rFonts w:cs="Times New Roman"/>
                <w:sz w:val="20"/>
                <w:szCs w:val="20"/>
                <w:lang w:val="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71C059F6" w14:textId="77777777" w:rsidR="00D210F0" w:rsidRPr="00092ED7" w:rsidRDefault="00D210F0" w:rsidP="005D14E2">
            <w:pPr>
              <w:spacing w:after="0"/>
              <w:rPr>
                <w:rFonts w:cs="Times New Roman"/>
                <w:sz w:val="20"/>
                <w:szCs w:val="20"/>
                <w:lang w:val="sr-Cyrl-CS"/>
              </w:rPr>
            </w:pPr>
          </w:p>
        </w:tc>
        <w:tc>
          <w:tcPr>
            <w:tcW w:w="372"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7B481C16" w14:textId="77777777" w:rsidR="00D210F0" w:rsidRPr="00092ED7" w:rsidRDefault="00D210F0" w:rsidP="005D14E2">
            <w:pPr>
              <w:spacing w:after="0"/>
              <w:rPr>
                <w:rFonts w:cs="Times New Roman"/>
                <w:sz w:val="20"/>
                <w:szCs w:val="20"/>
                <w:lang w:val="sr-Cyrl-CS"/>
              </w:rPr>
            </w:pPr>
          </w:p>
        </w:tc>
        <w:tc>
          <w:tcPr>
            <w:tcW w:w="373" w:type="dxa"/>
            <w:tcBorders>
              <w:top w:val="nil"/>
              <w:left w:val="nil"/>
              <w:bottom w:val="single" w:sz="4" w:space="0" w:color="auto"/>
              <w:right w:val="single" w:sz="8" w:space="0" w:color="auto"/>
            </w:tcBorders>
            <w:shd w:val="clear" w:color="auto" w:fill="auto"/>
            <w:tcMar>
              <w:top w:w="15" w:type="dxa"/>
              <w:left w:w="15" w:type="dxa"/>
              <w:bottom w:w="0" w:type="dxa"/>
              <w:right w:w="15" w:type="dxa"/>
            </w:tcMar>
          </w:tcPr>
          <w:p w14:paraId="186A8396" w14:textId="77777777" w:rsidR="00D210F0" w:rsidRPr="00092ED7" w:rsidRDefault="00D210F0" w:rsidP="005D14E2">
            <w:pPr>
              <w:spacing w:after="0"/>
              <w:rPr>
                <w:rFonts w:cs="Times New Roman"/>
                <w:sz w:val="20"/>
                <w:szCs w:val="20"/>
                <w:lang w:val="sr-Cyrl-CS"/>
              </w:rPr>
            </w:pPr>
          </w:p>
        </w:tc>
        <w:tc>
          <w:tcPr>
            <w:tcW w:w="372"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4946D441" w14:textId="77777777" w:rsidR="00D210F0" w:rsidRPr="00092ED7" w:rsidRDefault="00D210F0" w:rsidP="005D14E2">
            <w:pPr>
              <w:spacing w:after="0"/>
              <w:rPr>
                <w:rFonts w:cs="Times New Roman"/>
                <w:sz w:val="20"/>
                <w:szCs w:val="20"/>
                <w:lang w:val="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3D499562" w14:textId="77777777" w:rsidR="00D210F0" w:rsidRPr="00092ED7" w:rsidRDefault="00D210F0" w:rsidP="005D14E2">
            <w:pPr>
              <w:spacing w:after="0"/>
              <w:rPr>
                <w:rFonts w:cs="Times New Roman"/>
                <w:sz w:val="20"/>
                <w:szCs w:val="20"/>
                <w:lang w:val="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4AF4AD4A" w14:textId="77777777" w:rsidR="00D210F0" w:rsidRPr="00092ED7" w:rsidRDefault="00D210F0" w:rsidP="005D14E2">
            <w:pPr>
              <w:spacing w:after="0"/>
              <w:rPr>
                <w:rFonts w:cs="Times New Roman"/>
                <w:sz w:val="20"/>
                <w:szCs w:val="20"/>
                <w:lang w:val="sr-Cyrl-CS"/>
              </w:rPr>
            </w:pPr>
          </w:p>
        </w:tc>
        <w:tc>
          <w:tcPr>
            <w:tcW w:w="372" w:type="dxa"/>
            <w:tcBorders>
              <w:top w:val="nil"/>
              <w:left w:val="nil"/>
              <w:bottom w:val="single" w:sz="4" w:space="0" w:color="auto"/>
              <w:right w:val="single" w:sz="8" w:space="0" w:color="auto"/>
            </w:tcBorders>
            <w:shd w:val="clear" w:color="auto" w:fill="auto"/>
            <w:tcMar>
              <w:top w:w="15" w:type="dxa"/>
              <w:left w:w="15" w:type="dxa"/>
              <w:bottom w:w="0" w:type="dxa"/>
              <w:right w:w="15" w:type="dxa"/>
            </w:tcMar>
          </w:tcPr>
          <w:p w14:paraId="27A8BDCF" w14:textId="77777777" w:rsidR="00D210F0" w:rsidRPr="00092ED7" w:rsidRDefault="00D210F0" w:rsidP="005D14E2">
            <w:pPr>
              <w:spacing w:after="0"/>
              <w:rPr>
                <w:rFonts w:cs="Times New Roman"/>
                <w:sz w:val="20"/>
                <w:szCs w:val="20"/>
                <w:lang w:val="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0F868472" w14:textId="77777777" w:rsidR="00D210F0" w:rsidRPr="00092ED7" w:rsidRDefault="00D210F0" w:rsidP="005D14E2">
            <w:pPr>
              <w:spacing w:after="0"/>
              <w:rPr>
                <w:rFonts w:cs="Times New Roman"/>
                <w:sz w:val="20"/>
                <w:szCs w:val="20"/>
                <w:lang w:val="sr-Cyrl-CS"/>
              </w:rPr>
            </w:pPr>
          </w:p>
        </w:tc>
        <w:tc>
          <w:tcPr>
            <w:tcW w:w="372"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3693BF83" w14:textId="77777777" w:rsidR="00D210F0" w:rsidRPr="00092ED7" w:rsidRDefault="00D210F0" w:rsidP="005D14E2">
            <w:pPr>
              <w:spacing w:after="0"/>
              <w:rPr>
                <w:rFonts w:cs="Times New Roman"/>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D26E3F9" w14:textId="77777777" w:rsidR="00D210F0" w:rsidRPr="00092ED7" w:rsidRDefault="00D210F0" w:rsidP="005D14E2">
            <w:pPr>
              <w:spacing w:after="0"/>
              <w:rPr>
                <w:rFonts w:cs="Times New Roman"/>
                <w:sz w:val="20"/>
                <w:szCs w:val="20"/>
                <w:lang w:val="sr-Cyrl-CS"/>
              </w:rPr>
            </w:pPr>
          </w:p>
        </w:tc>
        <w:tc>
          <w:tcPr>
            <w:tcW w:w="373"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3804AA10" w14:textId="77777777" w:rsidR="00D210F0" w:rsidRPr="00092ED7" w:rsidRDefault="00D210F0" w:rsidP="005D14E2">
            <w:pPr>
              <w:spacing w:after="0"/>
              <w:rPr>
                <w:rFonts w:cs="Times New Roman"/>
                <w:sz w:val="20"/>
                <w:szCs w:val="20"/>
                <w:lang w:val="sr-Cyrl-CS"/>
              </w:rPr>
            </w:pPr>
          </w:p>
        </w:tc>
      </w:tr>
    </w:tbl>
    <w:p w14:paraId="766EB2C0" w14:textId="77777777" w:rsidR="00D210F0" w:rsidRPr="00092ED7" w:rsidRDefault="00D210F0" w:rsidP="00D210F0">
      <w:pPr>
        <w:widowControl w:val="0"/>
        <w:numPr>
          <w:ilvl w:val="0"/>
          <w:numId w:val="11"/>
        </w:numPr>
        <w:spacing w:before="120"/>
        <w:ind w:left="425" w:hanging="425"/>
        <w:rPr>
          <w:rFonts w:eastAsia="Calibri" w:cs="Times New Roman"/>
          <w:b/>
          <w:szCs w:val="24"/>
          <w:lang w:val="sr-Cyrl-CS" w:eastAsia="sr-Cyrl-CS" w:bidi="sr-Cyrl-CS"/>
        </w:rPr>
      </w:pPr>
      <w:r w:rsidRPr="00092ED7">
        <w:rPr>
          <w:rFonts w:eastAsia="Calibri" w:cs="Times New Roman"/>
          <w:b/>
          <w:szCs w:val="24"/>
          <w:lang w:val="sr-Cyrl-CS" w:eastAsia="sr-Cyrl-CS" w:bidi="sr-Cyrl-CS"/>
        </w:rPr>
        <w:t>Индикатори рeзултата</w:t>
      </w:r>
    </w:p>
    <w:tbl>
      <w:tblPr>
        <w:tblStyle w:val="TableGrid"/>
        <w:tblW w:w="9072" w:type="dxa"/>
        <w:tblInd w:w="-5" w:type="dxa"/>
        <w:tblLayout w:type="fixed"/>
        <w:tblLook w:val="04A0" w:firstRow="1" w:lastRow="0" w:firstColumn="1" w:lastColumn="0" w:noHBand="0" w:noVBand="1"/>
      </w:tblPr>
      <w:tblGrid>
        <w:gridCol w:w="3685"/>
        <w:gridCol w:w="1795"/>
        <w:gridCol w:w="1796"/>
        <w:gridCol w:w="1796"/>
      </w:tblGrid>
      <w:tr w:rsidR="00D210F0" w:rsidRPr="00092ED7" w14:paraId="038E34DA" w14:textId="77777777" w:rsidTr="00C429AB">
        <w:trPr>
          <w:cnfStyle w:val="100000000000" w:firstRow="1" w:lastRow="0" w:firstColumn="0" w:lastColumn="0" w:oddVBand="0" w:evenVBand="0" w:oddHBand="0" w:evenHBand="0" w:firstRowFirstColumn="0" w:firstRowLastColumn="0" w:lastRowFirstColumn="0" w:lastRowLastColumn="0"/>
          <w:trHeight w:val="286"/>
        </w:trPr>
        <w:tc>
          <w:tcPr>
            <w:tcW w:w="3685" w:type="dxa"/>
          </w:tcPr>
          <w:p w14:paraId="0FCC69D0" w14:textId="77777777" w:rsidR="00D210F0" w:rsidRPr="00092ED7" w:rsidRDefault="00D210F0" w:rsidP="00C429AB">
            <w:pPr>
              <w:spacing w:before="0" w:after="0"/>
              <w:ind w:left="113" w:right="113"/>
              <w:jc w:val="center"/>
              <w:rPr>
                <w:rFonts w:cs="Times New Roman"/>
                <w:b w:val="0"/>
                <w:sz w:val="20"/>
                <w:lang w:val="sr-Cyrl-CS"/>
              </w:rPr>
            </w:pPr>
            <w:r w:rsidRPr="00092ED7">
              <w:rPr>
                <w:rFonts w:cs="Times New Roman"/>
                <w:sz w:val="20"/>
                <w:lang w:val="sr-Cyrl-CS"/>
              </w:rPr>
              <w:t>Показатељ</w:t>
            </w:r>
          </w:p>
        </w:tc>
        <w:tc>
          <w:tcPr>
            <w:tcW w:w="1795" w:type="dxa"/>
          </w:tcPr>
          <w:p w14:paraId="3003FFFE" w14:textId="77777777" w:rsidR="00D210F0" w:rsidRPr="00092ED7" w:rsidRDefault="00D210F0" w:rsidP="00C429AB">
            <w:pPr>
              <w:spacing w:before="0" w:after="0"/>
              <w:ind w:left="113" w:right="113"/>
              <w:jc w:val="center"/>
              <w:rPr>
                <w:rFonts w:cs="Times New Roman"/>
                <w:b w:val="0"/>
                <w:sz w:val="20"/>
                <w:lang w:val="sr-Cyrl-CS"/>
              </w:rPr>
            </w:pPr>
            <w:r w:rsidRPr="00092ED7">
              <w:rPr>
                <w:rFonts w:cs="Times New Roman"/>
                <w:sz w:val="20"/>
                <w:lang w:val="sr-Cyrl-CS"/>
              </w:rPr>
              <w:t>Почетна вредност</w:t>
            </w:r>
            <w:r w:rsidR="00B06106" w:rsidRPr="00092ED7">
              <w:rPr>
                <w:rFonts w:cs="Times New Roman"/>
                <w:sz w:val="20"/>
                <w:lang w:val="sr-Cyrl-CS"/>
              </w:rPr>
              <w:t xml:space="preserve"> (2021)</w:t>
            </w:r>
          </w:p>
        </w:tc>
        <w:tc>
          <w:tcPr>
            <w:tcW w:w="1796" w:type="dxa"/>
          </w:tcPr>
          <w:p w14:paraId="24808C4A" w14:textId="77777777" w:rsidR="00D210F0" w:rsidRPr="00092ED7" w:rsidRDefault="00D210F0" w:rsidP="00C429AB">
            <w:pPr>
              <w:spacing w:before="0" w:after="0"/>
              <w:ind w:left="113" w:right="113"/>
              <w:jc w:val="center"/>
              <w:rPr>
                <w:rFonts w:cs="Times New Roman"/>
                <w:b w:val="0"/>
                <w:sz w:val="20"/>
                <w:lang w:val="sr-Cyrl-CS"/>
              </w:rPr>
            </w:pPr>
            <w:r w:rsidRPr="00092ED7">
              <w:rPr>
                <w:rFonts w:cs="Times New Roman"/>
                <w:sz w:val="20"/>
                <w:lang w:val="sr-Cyrl-CS"/>
              </w:rPr>
              <w:t xml:space="preserve">Међурезултат </w:t>
            </w:r>
          </w:p>
        </w:tc>
        <w:tc>
          <w:tcPr>
            <w:tcW w:w="1796" w:type="dxa"/>
          </w:tcPr>
          <w:p w14:paraId="7292C4A0" w14:textId="77777777" w:rsidR="00D210F0" w:rsidRPr="00092ED7" w:rsidRDefault="00D210F0" w:rsidP="00C429AB">
            <w:pPr>
              <w:spacing w:before="0" w:after="0"/>
              <w:ind w:left="113" w:right="113"/>
              <w:jc w:val="center"/>
              <w:rPr>
                <w:rFonts w:cs="Times New Roman"/>
                <w:b w:val="0"/>
                <w:sz w:val="20"/>
                <w:lang w:val="sr-Cyrl-CS"/>
              </w:rPr>
            </w:pPr>
            <w:r w:rsidRPr="00092ED7">
              <w:rPr>
                <w:rFonts w:cs="Times New Roman"/>
                <w:sz w:val="20"/>
                <w:lang w:val="sr-Cyrl-CS"/>
              </w:rPr>
              <w:t xml:space="preserve">Циљна вредност </w:t>
            </w:r>
          </w:p>
        </w:tc>
      </w:tr>
      <w:tr w:rsidR="00D210F0" w:rsidRPr="00092ED7" w14:paraId="0CD4C096" w14:textId="77777777" w:rsidTr="00C429AB">
        <w:tc>
          <w:tcPr>
            <w:tcW w:w="3685" w:type="dxa"/>
          </w:tcPr>
          <w:p w14:paraId="018E3317" w14:textId="77777777" w:rsidR="00D210F0" w:rsidRPr="00092ED7" w:rsidRDefault="00D210F0" w:rsidP="00C429AB">
            <w:pPr>
              <w:spacing w:before="0" w:after="0"/>
              <w:ind w:left="113" w:right="113"/>
              <w:rPr>
                <w:rFonts w:cs="Times New Roman"/>
                <w:b/>
                <w:sz w:val="20"/>
                <w:lang w:val="sr-Cyrl-CS"/>
              </w:rPr>
            </w:pPr>
            <w:r w:rsidRPr="00092ED7">
              <w:rPr>
                <w:rFonts w:cs="Times New Roman"/>
                <w:sz w:val="20"/>
                <w:lang w:val="sr-Cyrl-CS"/>
              </w:rPr>
              <w:t xml:space="preserve">Развијен модел за обухватање, регистровање и активацију младих који припадају </w:t>
            </w:r>
            <w:r w:rsidRPr="00092ED7">
              <w:rPr>
                <w:rFonts w:cs="Times New Roman"/>
                <w:i/>
                <w:sz w:val="20"/>
                <w:lang w:val="sr-Cyrl-CS"/>
              </w:rPr>
              <w:t>NEET</w:t>
            </w:r>
            <w:r w:rsidRPr="00092ED7">
              <w:rPr>
                <w:rStyle w:val="FootnoteReference"/>
                <w:rFonts w:cs="Times New Roman"/>
                <w:sz w:val="20"/>
                <w:lang w:val="sr-Cyrl-CS"/>
              </w:rPr>
              <w:footnoteReference w:id="63"/>
            </w:r>
            <w:r w:rsidRPr="00092ED7">
              <w:rPr>
                <w:rFonts w:cs="Times New Roman"/>
                <w:sz w:val="20"/>
                <w:lang w:val="sr-Cyrl-CS"/>
              </w:rPr>
              <w:t xml:space="preserve"> категорији, а који су ван институција система</w:t>
            </w:r>
          </w:p>
        </w:tc>
        <w:tc>
          <w:tcPr>
            <w:tcW w:w="1795" w:type="dxa"/>
          </w:tcPr>
          <w:p w14:paraId="474AAD0E" w14:textId="77777777" w:rsidR="00D210F0" w:rsidRPr="00092ED7" w:rsidRDefault="00D210F0" w:rsidP="00B06106">
            <w:pPr>
              <w:spacing w:before="0" w:after="0"/>
              <w:ind w:left="113" w:right="113"/>
              <w:jc w:val="center"/>
              <w:rPr>
                <w:rFonts w:cs="Times New Roman"/>
                <w:b/>
                <w:sz w:val="20"/>
                <w:lang w:val="sr-Cyrl-CS"/>
              </w:rPr>
            </w:pPr>
            <w:r w:rsidRPr="00092ED7">
              <w:rPr>
                <w:rFonts w:cs="Times New Roman"/>
                <w:sz w:val="20"/>
                <w:lang w:val="sr-Cyrl-CS"/>
              </w:rPr>
              <w:t>не</w:t>
            </w:r>
          </w:p>
        </w:tc>
        <w:tc>
          <w:tcPr>
            <w:tcW w:w="1796" w:type="dxa"/>
          </w:tcPr>
          <w:p w14:paraId="16DDD8AB" w14:textId="77777777" w:rsidR="00D210F0" w:rsidRPr="00092ED7" w:rsidRDefault="00D210F0" w:rsidP="00C429AB">
            <w:pPr>
              <w:spacing w:before="0" w:after="0"/>
              <w:ind w:left="113" w:right="113"/>
              <w:jc w:val="center"/>
              <w:rPr>
                <w:rFonts w:cs="Times New Roman"/>
                <w:sz w:val="20"/>
                <w:lang w:val="sr-Cyrl-CS"/>
              </w:rPr>
            </w:pPr>
            <w:r w:rsidRPr="00092ED7">
              <w:rPr>
                <w:rFonts w:cs="Times New Roman"/>
                <w:sz w:val="20"/>
                <w:lang w:val="sr-Cyrl-CS"/>
              </w:rPr>
              <w:t>не (2022)</w:t>
            </w:r>
          </w:p>
        </w:tc>
        <w:tc>
          <w:tcPr>
            <w:tcW w:w="1796" w:type="dxa"/>
          </w:tcPr>
          <w:p w14:paraId="57CDCA3F" w14:textId="77777777" w:rsidR="00D210F0" w:rsidRPr="00092ED7" w:rsidRDefault="00D210F0" w:rsidP="00C429AB">
            <w:pPr>
              <w:spacing w:before="0" w:after="0"/>
              <w:ind w:left="113" w:right="113"/>
              <w:jc w:val="center"/>
              <w:rPr>
                <w:rFonts w:cs="Times New Roman"/>
                <w:sz w:val="20"/>
                <w:lang w:val="sr-Cyrl-CS"/>
              </w:rPr>
            </w:pPr>
            <w:r w:rsidRPr="00092ED7">
              <w:rPr>
                <w:rFonts w:cs="Times New Roman"/>
                <w:sz w:val="20"/>
                <w:lang w:val="sr-Cyrl-CS"/>
              </w:rPr>
              <w:t>да (2023)</w:t>
            </w:r>
          </w:p>
        </w:tc>
      </w:tr>
      <w:tr w:rsidR="00D210F0" w:rsidRPr="00092ED7" w14:paraId="7F5FB767" w14:textId="77777777" w:rsidTr="00D7672A">
        <w:tc>
          <w:tcPr>
            <w:tcW w:w="3685" w:type="dxa"/>
          </w:tcPr>
          <w:p w14:paraId="58ECEAF8" w14:textId="62E21DA9" w:rsidR="00D210F0" w:rsidRPr="00092ED7" w:rsidRDefault="00D210F0" w:rsidP="00C429AB">
            <w:pPr>
              <w:spacing w:before="0" w:after="0"/>
              <w:ind w:left="113" w:right="113"/>
              <w:rPr>
                <w:rFonts w:cs="Times New Roman"/>
                <w:b/>
                <w:sz w:val="20"/>
                <w:lang w:val="sr-Cyrl-CS"/>
              </w:rPr>
            </w:pPr>
            <w:r w:rsidRPr="00092ED7">
              <w:rPr>
                <w:rFonts w:cs="Times New Roman"/>
                <w:sz w:val="20"/>
                <w:lang w:val="sr-Cyrl-CS"/>
              </w:rPr>
              <w:t xml:space="preserve">Успостављена платформа </w:t>
            </w:r>
            <w:r w:rsidR="00E443AD" w:rsidRPr="00092ED7">
              <w:rPr>
                <w:rFonts w:cs="Times New Roman"/>
                <w:sz w:val="20"/>
                <w:lang w:val="sr-Cyrl-CS"/>
              </w:rPr>
              <w:t>Националне службе за запошљавање</w:t>
            </w:r>
            <w:r w:rsidRPr="00092ED7">
              <w:rPr>
                <w:rFonts w:cs="Times New Roman"/>
                <w:sz w:val="20"/>
                <w:lang w:val="sr-Cyrl-CS"/>
              </w:rPr>
              <w:t xml:space="preserve"> за регистрацију и праћење Гаранције за младе</w:t>
            </w:r>
          </w:p>
        </w:tc>
        <w:tc>
          <w:tcPr>
            <w:tcW w:w="1795" w:type="dxa"/>
          </w:tcPr>
          <w:p w14:paraId="13FF19F1" w14:textId="77777777" w:rsidR="00D210F0" w:rsidRPr="00092ED7" w:rsidRDefault="00D210F0" w:rsidP="00B06106">
            <w:pPr>
              <w:spacing w:before="0" w:after="0"/>
              <w:ind w:left="113" w:right="113"/>
              <w:jc w:val="center"/>
              <w:rPr>
                <w:rFonts w:cs="Times New Roman"/>
                <w:b/>
                <w:sz w:val="20"/>
                <w:lang w:val="sr-Cyrl-CS"/>
              </w:rPr>
            </w:pPr>
            <w:r w:rsidRPr="00092ED7">
              <w:rPr>
                <w:rFonts w:cs="Times New Roman"/>
                <w:sz w:val="20"/>
                <w:lang w:val="sr-Cyrl-CS"/>
              </w:rPr>
              <w:t>не</w:t>
            </w:r>
          </w:p>
        </w:tc>
        <w:tc>
          <w:tcPr>
            <w:tcW w:w="1796" w:type="dxa"/>
            <w:shd w:val="clear" w:color="auto" w:fill="auto"/>
          </w:tcPr>
          <w:p w14:paraId="3C92F0F7" w14:textId="77777777" w:rsidR="00D210F0" w:rsidRPr="00092ED7" w:rsidRDefault="00476166" w:rsidP="00C429AB">
            <w:pPr>
              <w:spacing w:before="0" w:after="0"/>
              <w:ind w:left="113" w:right="113"/>
              <w:jc w:val="center"/>
              <w:rPr>
                <w:rFonts w:cs="Times New Roman"/>
                <w:b/>
                <w:sz w:val="20"/>
                <w:lang w:val="sr-Cyrl-CS"/>
              </w:rPr>
            </w:pPr>
            <w:r w:rsidRPr="00092ED7">
              <w:rPr>
                <w:rFonts w:cs="Times New Roman"/>
                <w:sz w:val="20"/>
                <w:lang w:val="sr-Cyrl-CS"/>
              </w:rPr>
              <w:t>не (2022)</w:t>
            </w:r>
          </w:p>
        </w:tc>
        <w:tc>
          <w:tcPr>
            <w:tcW w:w="1796" w:type="dxa"/>
          </w:tcPr>
          <w:p w14:paraId="6C331955" w14:textId="77777777" w:rsidR="00D210F0" w:rsidRPr="00092ED7" w:rsidRDefault="00D210F0" w:rsidP="00C429AB">
            <w:pPr>
              <w:spacing w:before="0" w:after="0"/>
              <w:ind w:left="113" w:right="113"/>
              <w:jc w:val="center"/>
              <w:rPr>
                <w:rFonts w:cs="Times New Roman"/>
                <w:b/>
                <w:sz w:val="20"/>
                <w:lang w:val="sr-Cyrl-CS"/>
              </w:rPr>
            </w:pPr>
            <w:r w:rsidRPr="00092ED7">
              <w:rPr>
                <w:rFonts w:cs="Times New Roman"/>
                <w:sz w:val="20"/>
                <w:lang w:val="sr-Cyrl-CS"/>
              </w:rPr>
              <w:t>да (2023)</w:t>
            </w:r>
          </w:p>
        </w:tc>
      </w:tr>
      <w:tr w:rsidR="00D210F0" w:rsidRPr="00092ED7" w14:paraId="2256FB54" w14:textId="77777777" w:rsidTr="00C429AB">
        <w:tc>
          <w:tcPr>
            <w:tcW w:w="3685" w:type="dxa"/>
          </w:tcPr>
          <w:p w14:paraId="160BEF6B" w14:textId="77777777" w:rsidR="00D210F0" w:rsidRPr="00092ED7" w:rsidRDefault="00D210F0" w:rsidP="00C429AB">
            <w:pPr>
              <w:spacing w:before="0" w:after="0"/>
              <w:ind w:left="113" w:right="113"/>
              <w:rPr>
                <w:rFonts w:cs="Times New Roman"/>
                <w:sz w:val="20"/>
                <w:lang w:val="sr-Cyrl-CS"/>
              </w:rPr>
            </w:pPr>
            <w:r w:rsidRPr="00092ED7">
              <w:rPr>
                <w:rFonts w:cs="Times New Roman"/>
                <w:sz w:val="20"/>
                <w:lang w:val="sr-Cyrl-CS"/>
              </w:rPr>
              <w:t xml:space="preserve">Стопа </w:t>
            </w:r>
            <w:r w:rsidRPr="00092ED7">
              <w:rPr>
                <w:rFonts w:cs="Times New Roman"/>
                <w:i/>
                <w:sz w:val="20"/>
                <w:lang w:val="sr-Cyrl-CS"/>
              </w:rPr>
              <w:t>NЕЕТ</w:t>
            </w:r>
            <w:r w:rsidRPr="00092ED7">
              <w:rPr>
                <w:rFonts w:cs="Times New Roman"/>
                <w:sz w:val="20"/>
                <w:lang w:val="sr-Cyrl-CS"/>
              </w:rPr>
              <w:t xml:space="preserve"> 15-29, у % (SDG индикатор за циљ 8.6)</w:t>
            </w:r>
          </w:p>
        </w:tc>
        <w:tc>
          <w:tcPr>
            <w:tcW w:w="1795" w:type="dxa"/>
          </w:tcPr>
          <w:p w14:paraId="62EC9F3B" w14:textId="77777777" w:rsidR="00D210F0" w:rsidRPr="00092ED7" w:rsidRDefault="006D7293" w:rsidP="00B06106">
            <w:pPr>
              <w:spacing w:before="0" w:after="0"/>
              <w:ind w:left="113" w:right="113"/>
              <w:jc w:val="center"/>
              <w:rPr>
                <w:rFonts w:cs="Times New Roman"/>
                <w:b/>
                <w:sz w:val="20"/>
                <w:lang w:val="sr-Cyrl-CS"/>
              </w:rPr>
            </w:pPr>
            <w:r w:rsidRPr="00092ED7">
              <w:rPr>
                <w:rFonts w:cs="Times New Roman"/>
                <w:sz w:val="20"/>
                <w:lang w:val="sr-Cyrl-CS"/>
              </w:rPr>
              <w:t xml:space="preserve">20,4 </w:t>
            </w:r>
          </w:p>
        </w:tc>
        <w:tc>
          <w:tcPr>
            <w:tcW w:w="1796" w:type="dxa"/>
          </w:tcPr>
          <w:p w14:paraId="2AA57F97" w14:textId="77777777" w:rsidR="00D210F0" w:rsidRPr="00092ED7" w:rsidRDefault="00D210F0" w:rsidP="00C429AB">
            <w:pPr>
              <w:spacing w:before="0" w:after="0"/>
              <w:ind w:left="113" w:right="113"/>
              <w:jc w:val="center"/>
              <w:rPr>
                <w:rFonts w:cs="Times New Roman"/>
                <w:b/>
                <w:sz w:val="20"/>
                <w:lang w:val="sr-Cyrl-CS"/>
              </w:rPr>
            </w:pPr>
            <w:r w:rsidRPr="00092ED7">
              <w:rPr>
                <w:rFonts w:cs="Times New Roman"/>
                <w:sz w:val="20"/>
                <w:lang w:val="sr-Cyrl-CS"/>
              </w:rPr>
              <w:t>15,7 (2023)</w:t>
            </w:r>
          </w:p>
        </w:tc>
        <w:tc>
          <w:tcPr>
            <w:tcW w:w="1796" w:type="dxa"/>
          </w:tcPr>
          <w:p w14:paraId="2A1C7F93" w14:textId="77777777" w:rsidR="00D210F0" w:rsidRPr="00092ED7" w:rsidRDefault="00D210F0" w:rsidP="00C429AB">
            <w:pPr>
              <w:spacing w:before="0" w:after="0"/>
              <w:ind w:left="113" w:right="113"/>
              <w:jc w:val="center"/>
              <w:rPr>
                <w:rFonts w:cs="Times New Roman"/>
                <w:b/>
                <w:sz w:val="20"/>
                <w:lang w:val="sr-Cyrl-CS"/>
              </w:rPr>
            </w:pPr>
            <w:r w:rsidRPr="00092ED7">
              <w:rPr>
                <w:rFonts w:cs="Times New Roman"/>
                <w:sz w:val="20"/>
                <w:lang w:val="sr-Cyrl-CS"/>
              </w:rPr>
              <w:t>13,9 (2025)</w:t>
            </w:r>
          </w:p>
        </w:tc>
      </w:tr>
    </w:tbl>
    <w:p w14:paraId="7DF47F95" w14:textId="77777777" w:rsidR="00D210F0" w:rsidRPr="00092ED7" w:rsidRDefault="00D210F0" w:rsidP="00D210F0">
      <w:pPr>
        <w:pStyle w:val="ListParagraph"/>
        <w:widowControl w:val="0"/>
        <w:numPr>
          <w:ilvl w:val="0"/>
          <w:numId w:val="11"/>
        </w:numPr>
        <w:spacing w:before="120" w:line="240" w:lineRule="auto"/>
        <w:ind w:left="425" w:hanging="425"/>
        <w:contextualSpacing w:val="0"/>
        <w:rPr>
          <w:rFonts w:cs="Times New Roman"/>
          <w:b/>
          <w:sz w:val="24"/>
          <w:szCs w:val="24"/>
          <w:lang w:val="sr-Cyrl-CS" w:eastAsia="sr-Cyrl-CS" w:bidi="sr-Cyrl-CS"/>
        </w:rPr>
      </w:pPr>
      <w:r w:rsidRPr="00092ED7">
        <w:rPr>
          <w:rFonts w:cs="Times New Roman"/>
          <w:b/>
          <w:sz w:val="24"/>
          <w:szCs w:val="24"/>
          <w:lang w:val="sr-Cyrl-CS" w:eastAsia="sr-Cyrl-CS" w:bidi="sr-Cyrl-CS"/>
        </w:rPr>
        <w:t>Очекивани утицај на конкурентност</w:t>
      </w:r>
    </w:p>
    <w:p w14:paraId="27CF6E91" w14:textId="77777777" w:rsidR="00D210F0" w:rsidRPr="00092ED7" w:rsidRDefault="00D210F0" w:rsidP="00D210F0">
      <w:pPr>
        <w:widowControl w:val="0"/>
        <w:spacing w:after="60"/>
        <w:rPr>
          <w:rFonts w:eastAsia="Calibri" w:cs="Times New Roman"/>
          <w:szCs w:val="24"/>
          <w:lang w:val="sr-Cyrl-CS" w:eastAsia="sr-Cyrl-CS" w:bidi="sr-Cyrl-CS"/>
        </w:rPr>
      </w:pPr>
      <w:r w:rsidRPr="00092ED7">
        <w:rPr>
          <w:rFonts w:eastAsia="Calibri" w:cs="Times New Roman"/>
          <w:szCs w:val="24"/>
          <w:lang w:val="sr-Cyrl-CS" w:eastAsia="sr-Cyrl-CS" w:bidi="sr-Cyrl-CS"/>
        </w:rPr>
        <w:t xml:space="preserve">Спровођењем Гаранције за младе, односно уклањањем системских препрека за боље перформансе младих на тржишту рада и континуираном реализацијом активности којима се унапређују њихова знања и вештине и осигурава стицање препознатих квалификација, омогућава се стицање радног искуства, развија предузетништво младих, превенирају неповољни миграторни токови и доприноси се развоју веће искоришћености потенцијалне радне снаге. </w:t>
      </w:r>
    </w:p>
    <w:p w14:paraId="5BD178D5" w14:textId="77777777" w:rsidR="00D210F0" w:rsidRPr="00092ED7" w:rsidRDefault="00D210F0" w:rsidP="00D210F0">
      <w:pPr>
        <w:widowControl w:val="0"/>
        <w:spacing w:after="60"/>
        <w:rPr>
          <w:rFonts w:eastAsia="Calibri" w:cs="Times New Roman"/>
          <w:szCs w:val="24"/>
          <w:lang w:val="sr-Cyrl-CS" w:eastAsia="sr-Cyrl-CS" w:bidi="sr-Cyrl-CS"/>
        </w:rPr>
      </w:pPr>
      <w:r w:rsidRPr="00092ED7">
        <w:rPr>
          <w:rFonts w:eastAsia="Calibri" w:cs="Times New Roman"/>
          <w:szCs w:val="24"/>
          <w:lang w:val="sr-Cyrl-CS" w:eastAsia="sr-Cyrl-CS" w:bidi="sr-Cyrl-CS"/>
        </w:rPr>
        <w:t>Реформа доприноси побољшању квалитета младе радне снаге, што последично утиче и на њихову бољу продуктивност и раст БДП</w:t>
      </w:r>
      <w:r w:rsidR="007B16F2" w:rsidRPr="00092ED7">
        <w:rPr>
          <w:rFonts w:eastAsia="Calibri" w:cs="Times New Roman"/>
          <w:szCs w:val="24"/>
          <w:lang w:val="sr-Cyrl-CS" w:eastAsia="sr-Cyrl-CS" w:bidi="sr-Cyrl-CS"/>
        </w:rPr>
        <w:t>-a</w:t>
      </w:r>
      <w:r w:rsidRPr="00092ED7">
        <w:rPr>
          <w:rFonts w:eastAsia="Calibri" w:cs="Times New Roman"/>
          <w:szCs w:val="24"/>
          <w:lang w:val="sr-Cyrl-CS" w:eastAsia="sr-Cyrl-CS" w:bidi="sr-Cyrl-CS"/>
        </w:rPr>
        <w:t>.</w:t>
      </w:r>
    </w:p>
    <w:p w14:paraId="0E155A26" w14:textId="77777777" w:rsidR="00D210F0" w:rsidRPr="00092ED7" w:rsidRDefault="00D210F0" w:rsidP="00D210F0">
      <w:pPr>
        <w:widowControl w:val="0"/>
        <w:numPr>
          <w:ilvl w:val="0"/>
          <w:numId w:val="11"/>
        </w:numPr>
        <w:spacing w:before="120"/>
        <w:ind w:left="425" w:hanging="425"/>
        <w:rPr>
          <w:rFonts w:eastAsia="Calibri" w:cs="Times New Roman"/>
          <w:b/>
          <w:szCs w:val="24"/>
          <w:lang w:val="sr-Cyrl-CS" w:eastAsia="sr-Cyrl-CS" w:bidi="sr-Cyrl-CS"/>
        </w:rPr>
      </w:pPr>
      <w:r w:rsidRPr="00092ED7">
        <w:rPr>
          <w:rFonts w:eastAsia="Calibri" w:cs="Times New Roman"/>
          <w:b/>
          <w:szCs w:val="24"/>
          <w:lang w:val="sr-Cyrl-CS" w:eastAsia="sr-Cyrl-CS" w:bidi="sr-Cyrl-CS"/>
        </w:rPr>
        <w:t>Процењени трошкови активности и извори финансирања</w:t>
      </w:r>
    </w:p>
    <w:p w14:paraId="64302451" w14:textId="7191CF5F" w:rsidR="00EA1BE0" w:rsidRPr="00092ED7" w:rsidRDefault="00EA1BE0" w:rsidP="00EA1BE0">
      <w:pPr>
        <w:spacing w:before="120"/>
        <w:rPr>
          <w:rFonts w:eastAsia="Times New Roman" w:cs="Times New Roman"/>
          <w:iCs/>
          <w:lang w:val="sr-Cyrl-CS"/>
        </w:rPr>
      </w:pPr>
      <w:r w:rsidRPr="00092ED7">
        <w:rPr>
          <w:rFonts w:cs="Times New Roman"/>
          <w:lang w:val="sr-Cyrl-CS"/>
        </w:rPr>
        <w:t>Планирано је да се Гаранција финансира из буџета Р</w:t>
      </w:r>
      <w:r w:rsidR="001028F8" w:rsidRPr="00092ED7">
        <w:rPr>
          <w:rFonts w:cs="Times New Roman"/>
          <w:lang w:val="sr-Cyrl-CS"/>
        </w:rPr>
        <w:t xml:space="preserve">епублике </w:t>
      </w:r>
      <w:r w:rsidRPr="00092ED7">
        <w:rPr>
          <w:rFonts w:cs="Times New Roman"/>
          <w:lang w:val="sr-Cyrl-CS"/>
        </w:rPr>
        <w:t>С</w:t>
      </w:r>
      <w:r w:rsidR="001028F8" w:rsidRPr="00092ED7">
        <w:rPr>
          <w:rFonts w:cs="Times New Roman"/>
          <w:lang w:val="sr-Cyrl-CS"/>
        </w:rPr>
        <w:t>рбије</w:t>
      </w:r>
      <w:r w:rsidRPr="00092ED7">
        <w:rPr>
          <w:rFonts w:cs="Times New Roman"/>
          <w:lang w:val="sr-Cyrl-CS"/>
        </w:rPr>
        <w:t xml:space="preserve"> и из средстава донатора. Највећим делом финансираће се из донације ЕУ кроз </w:t>
      </w:r>
      <w:r w:rsidR="00584DA2" w:rsidRPr="00092ED7">
        <w:rPr>
          <w:rFonts w:eastAsia="Times New Roman" w:cs="Times New Roman"/>
          <w:iCs/>
          <w:lang w:val="sr-Cyrl-CS"/>
        </w:rPr>
        <w:t xml:space="preserve">ИПА </w:t>
      </w:r>
      <w:r w:rsidRPr="00092ED7">
        <w:rPr>
          <w:rFonts w:cs="Times New Roman"/>
          <w:lang w:val="sr-Cyrl-CS"/>
        </w:rPr>
        <w:t>20</w:t>
      </w:r>
      <w:r w:rsidR="006208EC" w:rsidRPr="00092ED7">
        <w:rPr>
          <w:rFonts w:cs="Times New Roman"/>
          <w:lang w:val="sr-Cyrl-CS"/>
        </w:rPr>
        <w:t>20</w:t>
      </w:r>
      <w:r w:rsidRPr="00092ED7">
        <w:rPr>
          <w:rFonts w:cs="Times New Roman"/>
          <w:lang w:val="sr-Cyrl-CS"/>
        </w:rPr>
        <w:t xml:space="preserve"> директни грант „Спровођење иновативних мера активне политике запошљавања и подршка запошљавању теже запошљивих категоријаˮ у износу од 4.000.000 евра и </w:t>
      </w:r>
      <w:r w:rsidRPr="00092ED7">
        <w:rPr>
          <w:rFonts w:eastAsia="Times New Roman" w:cs="Times New Roman"/>
          <w:iCs/>
          <w:lang w:val="sr-Cyrl-CS"/>
        </w:rPr>
        <w:t>1.500.000 евра национално кофинансирање (средства из буџета Р</w:t>
      </w:r>
      <w:r w:rsidR="001028F8" w:rsidRPr="00092ED7">
        <w:rPr>
          <w:rFonts w:eastAsia="Times New Roman" w:cs="Times New Roman"/>
          <w:iCs/>
          <w:lang w:val="sr-Cyrl-CS"/>
        </w:rPr>
        <w:t xml:space="preserve">епублике </w:t>
      </w:r>
      <w:r w:rsidRPr="00092ED7">
        <w:rPr>
          <w:rFonts w:eastAsia="Times New Roman" w:cs="Times New Roman"/>
          <w:iCs/>
          <w:lang w:val="sr-Cyrl-CS"/>
        </w:rPr>
        <w:t>С</w:t>
      </w:r>
      <w:r w:rsidR="001028F8" w:rsidRPr="00092ED7">
        <w:rPr>
          <w:rFonts w:eastAsia="Times New Roman" w:cs="Times New Roman"/>
          <w:iCs/>
          <w:lang w:val="sr-Cyrl-CS"/>
        </w:rPr>
        <w:t>рбије</w:t>
      </w:r>
      <w:r w:rsidRPr="00092ED7">
        <w:rPr>
          <w:rFonts w:eastAsia="Times New Roman" w:cs="Times New Roman"/>
          <w:iCs/>
          <w:lang w:val="sr-Cyrl-CS"/>
        </w:rPr>
        <w:t>). Такође, за финансирање ове структурне реформе планира се део средстава из пројекта Техничке помоћи из ИПА 2020 укупне вредности 1.500.000 евра.</w:t>
      </w:r>
    </w:p>
    <w:p w14:paraId="25EE2054" w14:textId="77777777" w:rsidR="00EA1BE0" w:rsidRPr="00092ED7" w:rsidRDefault="00EA1BE0" w:rsidP="00EA1BE0">
      <w:pPr>
        <w:widowControl w:val="0"/>
        <w:spacing w:after="60"/>
        <w:rPr>
          <w:rFonts w:eastAsia="Calibri" w:cs="Times New Roman"/>
          <w:szCs w:val="24"/>
          <w:lang w:val="sr-Cyrl-CS" w:eastAsia="sr-Cyrl-CS" w:bidi="sr-Cyrl-CS"/>
        </w:rPr>
      </w:pPr>
      <w:r w:rsidRPr="00092ED7">
        <w:rPr>
          <w:rFonts w:eastAsia="Calibri" w:cs="Times New Roman"/>
          <w:szCs w:val="24"/>
          <w:lang w:val="sr-Cyrl-CS" w:eastAsia="sr-Cyrl-CS" w:bidi="sr-Cyrl-CS"/>
        </w:rPr>
        <w:t xml:space="preserve">За 2023. годину планирана су средства ИПА 2020 (Подршка спровођењу мера активне политике запошљавања) у укупном износу од 2.981.250 </w:t>
      </w:r>
      <w:r w:rsidRPr="00092ED7">
        <w:rPr>
          <w:rFonts w:cs="Times New Roman"/>
          <w:lang w:val="sr-Cyrl-CS"/>
        </w:rPr>
        <w:t>евра</w:t>
      </w:r>
      <w:r w:rsidRPr="00092ED7">
        <w:rPr>
          <w:rFonts w:eastAsia="Calibri" w:cs="Times New Roman"/>
          <w:szCs w:val="24"/>
          <w:lang w:val="sr-Cyrl-CS" w:eastAsia="sr-Cyrl-CS" w:bidi="sr-Cyrl-CS"/>
        </w:rPr>
        <w:t xml:space="preserve">, од чега су средства Европске уније 2.250.000 </w:t>
      </w:r>
      <w:r w:rsidRPr="00092ED7">
        <w:rPr>
          <w:rFonts w:cs="Times New Roman"/>
          <w:lang w:val="sr-Cyrl-CS"/>
        </w:rPr>
        <w:t>евра</w:t>
      </w:r>
      <w:r w:rsidRPr="00092ED7">
        <w:rPr>
          <w:rFonts w:eastAsia="Calibri" w:cs="Times New Roman"/>
          <w:szCs w:val="24"/>
          <w:lang w:val="sr-Cyrl-CS" w:eastAsia="sr-Cyrl-CS" w:bidi="sr-Cyrl-CS"/>
        </w:rPr>
        <w:t xml:space="preserve">, а остатак је суфинансирање из буџета. Ова средства реализоваће се кроз директни грант Националној служби за запошљавање (субвенције и трансфери) у износу од 2.681.250 </w:t>
      </w:r>
      <w:r w:rsidRPr="00092ED7">
        <w:rPr>
          <w:rFonts w:cs="Times New Roman"/>
          <w:lang w:val="sr-Cyrl-CS"/>
        </w:rPr>
        <w:t>евра</w:t>
      </w:r>
      <w:r w:rsidRPr="00092ED7">
        <w:rPr>
          <w:rFonts w:eastAsia="Calibri" w:cs="Times New Roman"/>
          <w:szCs w:val="24"/>
          <w:lang w:val="sr-Cyrl-CS" w:eastAsia="sr-Cyrl-CS" w:bidi="sr-Cyrl-CS"/>
        </w:rPr>
        <w:t xml:space="preserve"> и техничку помоћ (добра и услуге) у износу од 300.000 </w:t>
      </w:r>
      <w:r w:rsidRPr="00092ED7">
        <w:rPr>
          <w:rFonts w:cs="Times New Roman"/>
          <w:lang w:val="sr-Cyrl-CS"/>
        </w:rPr>
        <w:t>евра</w:t>
      </w:r>
      <w:r w:rsidRPr="00092ED7">
        <w:rPr>
          <w:rFonts w:eastAsia="Calibri" w:cs="Times New Roman"/>
          <w:szCs w:val="24"/>
          <w:lang w:val="sr-Cyrl-CS" w:eastAsia="sr-Cyrl-CS" w:bidi="sr-Cyrl-CS"/>
        </w:rPr>
        <w:t>. На сличан начин су планирана средства за 2024. и 2025. годину.</w:t>
      </w:r>
    </w:p>
    <w:p w14:paraId="3B5AF562" w14:textId="77777777" w:rsidR="00D210F0" w:rsidRPr="00092ED7" w:rsidRDefault="00D210F0" w:rsidP="00D210F0">
      <w:pPr>
        <w:widowControl w:val="0"/>
        <w:numPr>
          <w:ilvl w:val="0"/>
          <w:numId w:val="11"/>
        </w:numPr>
        <w:spacing w:before="120"/>
        <w:ind w:left="425" w:hanging="425"/>
        <w:rPr>
          <w:rFonts w:eastAsia="Calibri" w:cs="Times New Roman"/>
          <w:b/>
          <w:szCs w:val="24"/>
          <w:lang w:val="sr-Cyrl-CS" w:eastAsia="sr-Cyrl-CS" w:bidi="sr-Cyrl-CS"/>
        </w:rPr>
      </w:pPr>
      <w:r w:rsidRPr="00092ED7">
        <w:rPr>
          <w:rFonts w:eastAsia="Calibri" w:cs="Times New Roman"/>
          <w:b/>
          <w:szCs w:val="24"/>
          <w:lang w:val="sr-Cyrl-CS" w:eastAsia="sr-Cyrl-CS" w:bidi="sr-Cyrl-CS"/>
        </w:rPr>
        <w:t>Очекивани утицај на социјалне циљеве, као што су запосленост, смањење сиромаштва, родна равноправност и приступ здравственој заштити</w:t>
      </w:r>
    </w:p>
    <w:p w14:paraId="2B84734A" w14:textId="77777777" w:rsidR="00D210F0" w:rsidRPr="00092ED7" w:rsidRDefault="000E4A66" w:rsidP="00D210F0">
      <w:pPr>
        <w:widowControl w:val="0"/>
        <w:spacing w:after="60"/>
        <w:rPr>
          <w:rFonts w:eastAsia="Calibri" w:cs="Times New Roman"/>
          <w:szCs w:val="24"/>
          <w:lang w:val="sr-Cyrl-CS" w:eastAsia="sr-Cyrl-CS" w:bidi="sr-Cyrl-CS"/>
        </w:rPr>
      </w:pPr>
      <w:r w:rsidRPr="00092ED7">
        <w:rPr>
          <w:rFonts w:eastAsia="Calibri" w:cs="Times New Roman"/>
          <w:szCs w:val="24"/>
          <w:lang w:val="sr-Cyrl-CS" w:eastAsia="sr-Cyrl-CS" w:bidi="sr-Cyrl-CS"/>
        </w:rPr>
        <w:lastRenderedPageBreak/>
        <w:t>О</w:t>
      </w:r>
      <w:r w:rsidR="00921DD1" w:rsidRPr="00092ED7">
        <w:rPr>
          <w:rFonts w:eastAsia="Calibri" w:cs="Times New Roman"/>
          <w:szCs w:val="24"/>
          <w:lang w:val="sr-Cyrl-CS" w:eastAsia="sr-Cyrl-CS" w:bidi="sr-Cyrl-CS"/>
        </w:rPr>
        <w:t>лакшавањем транзициј</w:t>
      </w:r>
      <w:r w:rsidRPr="00092ED7">
        <w:rPr>
          <w:rFonts w:eastAsia="Calibri" w:cs="Times New Roman"/>
          <w:szCs w:val="24"/>
          <w:lang w:val="sr-Cyrl-CS" w:eastAsia="sr-Cyrl-CS" w:bidi="sr-Cyrl-CS"/>
        </w:rPr>
        <w:t>е</w:t>
      </w:r>
      <w:r w:rsidR="00921DD1" w:rsidRPr="00092ED7">
        <w:rPr>
          <w:rFonts w:eastAsia="Calibri" w:cs="Times New Roman"/>
          <w:szCs w:val="24"/>
          <w:lang w:val="sr-Cyrl-CS" w:eastAsia="sr-Cyrl-CS" w:bidi="sr-Cyrl-CS"/>
        </w:rPr>
        <w:t xml:space="preserve"> младих на тржиште рада и подстицањем њиховог запошљавања, </w:t>
      </w:r>
      <w:r w:rsidRPr="00092ED7">
        <w:rPr>
          <w:rFonts w:eastAsia="Calibri" w:cs="Times New Roman"/>
          <w:szCs w:val="24"/>
          <w:lang w:val="sr-Cyrl-CS" w:eastAsia="sr-Cyrl-CS" w:bidi="sr-Cyrl-CS"/>
        </w:rPr>
        <w:t>реформа ће утицати</w:t>
      </w:r>
      <w:r w:rsidR="00921DD1" w:rsidRPr="00092ED7">
        <w:rPr>
          <w:rFonts w:eastAsia="Calibri" w:cs="Times New Roman"/>
          <w:szCs w:val="24"/>
          <w:lang w:val="sr-Cyrl-CS" w:eastAsia="sr-Cyrl-CS" w:bidi="sr-Cyrl-CS"/>
        </w:rPr>
        <w:t xml:space="preserve"> на директан начин на повећање запослености ове категорије лица, док ће индиректно утицати и на смањење сиромаштва.</w:t>
      </w:r>
      <w:r w:rsidR="00D210F0" w:rsidRPr="00092ED7">
        <w:rPr>
          <w:rFonts w:eastAsia="Calibri" w:cs="Times New Roman"/>
          <w:szCs w:val="24"/>
          <w:lang w:val="sr-Cyrl-CS" w:eastAsia="sr-Cyrl-CS" w:bidi="sr-Cyrl-CS"/>
        </w:rPr>
        <w:t xml:space="preserve"> </w:t>
      </w:r>
      <w:r w:rsidRPr="00092ED7">
        <w:rPr>
          <w:rFonts w:eastAsia="Calibri" w:cs="Times New Roman"/>
          <w:szCs w:val="24"/>
          <w:lang w:val="sr-Cyrl-CS" w:eastAsia="sr-Cyrl-CS" w:bidi="sr-Cyrl-CS"/>
        </w:rPr>
        <w:t>Структурна реформа ће позитивно утицати на родну равноправност, јер ће се прикупљањем података и процесом анализе потреба младих омогућити развој наменских линија подршке како би се помогло удаљеним младима да постану активнији на тржишту рада и да се на крају прикључе систему пружања услуга Гаранције за младе. На пример, истраживање о усклађивању рада и породичног живота омогућиће добијање информације о породичним обавезама, коришћењу услуга бриге о деци и утицају породичних обавеза на запошљавање, посебно за младе жене које су неактивне на тржишту рада.</w:t>
      </w:r>
    </w:p>
    <w:p w14:paraId="1347AAB0" w14:textId="77777777" w:rsidR="00D210F0" w:rsidRPr="00092ED7" w:rsidRDefault="00D210F0" w:rsidP="00D210F0">
      <w:pPr>
        <w:widowControl w:val="0"/>
        <w:numPr>
          <w:ilvl w:val="0"/>
          <w:numId w:val="11"/>
        </w:numPr>
        <w:spacing w:before="120"/>
        <w:ind w:left="425" w:hanging="425"/>
        <w:rPr>
          <w:rFonts w:eastAsia="Calibri" w:cs="Times New Roman"/>
          <w:b/>
          <w:szCs w:val="24"/>
          <w:lang w:val="sr-Cyrl-CS" w:eastAsia="sr-Cyrl-CS" w:bidi="sr-Cyrl-CS"/>
        </w:rPr>
      </w:pPr>
      <w:r w:rsidRPr="00092ED7">
        <w:rPr>
          <w:rFonts w:eastAsia="Calibri" w:cs="Times New Roman"/>
          <w:b/>
          <w:szCs w:val="24"/>
          <w:lang w:val="sr-Cyrl-CS" w:eastAsia="sr-Cyrl-CS" w:bidi="sr-Cyrl-CS"/>
        </w:rPr>
        <w:t>Очекивани утицај на животну средину и климатске промене</w:t>
      </w:r>
    </w:p>
    <w:p w14:paraId="3F6BDC62" w14:textId="77777777" w:rsidR="00D210F0" w:rsidRPr="00092ED7" w:rsidRDefault="00D210F0" w:rsidP="00D210F0">
      <w:pPr>
        <w:widowControl w:val="0"/>
        <w:spacing w:after="60"/>
        <w:rPr>
          <w:rFonts w:eastAsia="Calibri" w:cs="Times New Roman"/>
          <w:szCs w:val="24"/>
          <w:lang w:val="sr-Cyrl-CS" w:eastAsia="sr-Cyrl-CS" w:bidi="sr-Cyrl-CS"/>
        </w:rPr>
      </w:pPr>
      <w:r w:rsidRPr="00092ED7">
        <w:rPr>
          <w:rFonts w:eastAsia="Calibri" w:cs="Times New Roman"/>
          <w:szCs w:val="24"/>
          <w:lang w:val="sr-Cyrl-CS" w:eastAsia="sr-Cyrl-CS" w:bidi="sr-Cyrl-CS"/>
        </w:rPr>
        <w:t>Реформа је неутрална у односу на животну средину</w:t>
      </w:r>
      <w:r w:rsidR="001F62AF" w:rsidRPr="00092ED7">
        <w:rPr>
          <w:rFonts w:eastAsia="Calibri" w:cs="Times New Roman"/>
          <w:szCs w:val="24"/>
          <w:lang w:val="sr-Cyrl-CS" w:eastAsia="sr-Cyrl-CS" w:bidi="sr-Cyrl-CS"/>
        </w:rPr>
        <w:t xml:space="preserve"> и климатске промене</w:t>
      </w:r>
      <w:r w:rsidRPr="00092ED7">
        <w:rPr>
          <w:rFonts w:eastAsia="Calibri" w:cs="Times New Roman"/>
          <w:szCs w:val="24"/>
          <w:lang w:val="sr-Cyrl-CS" w:eastAsia="sr-Cyrl-CS" w:bidi="sr-Cyrl-CS"/>
        </w:rPr>
        <w:t>.</w:t>
      </w:r>
    </w:p>
    <w:p w14:paraId="27F26927" w14:textId="77777777" w:rsidR="00D210F0" w:rsidRPr="00092ED7" w:rsidRDefault="00D210F0" w:rsidP="00D210F0">
      <w:pPr>
        <w:widowControl w:val="0"/>
        <w:numPr>
          <w:ilvl w:val="0"/>
          <w:numId w:val="11"/>
        </w:numPr>
        <w:spacing w:before="120"/>
        <w:ind w:left="425" w:hanging="425"/>
        <w:rPr>
          <w:rFonts w:eastAsia="Calibri" w:cs="Times New Roman"/>
          <w:b/>
          <w:szCs w:val="24"/>
          <w:lang w:val="sr-Cyrl-CS" w:eastAsia="sr-Cyrl-CS" w:bidi="sr-Cyrl-CS"/>
        </w:rPr>
      </w:pPr>
      <w:r w:rsidRPr="00092ED7">
        <w:rPr>
          <w:rFonts w:eastAsia="Calibri" w:cs="Times New Roman"/>
          <w:b/>
          <w:szCs w:val="24"/>
          <w:lang w:val="sr-Cyrl-CS" w:eastAsia="sr-Cyrl-CS" w:bidi="sr-Cyrl-CS"/>
        </w:rPr>
        <w:t>Потенцијални ризици</w:t>
      </w:r>
    </w:p>
    <w:tbl>
      <w:tblPr>
        <w:tblStyle w:val="TableGrid"/>
        <w:tblW w:w="9067" w:type="dxa"/>
        <w:jc w:val="center"/>
        <w:tblLayout w:type="fixed"/>
        <w:tblLook w:val="04A0" w:firstRow="1" w:lastRow="0" w:firstColumn="1" w:lastColumn="0" w:noHBand="0" w:noVBand="1"/>
      </w:tblPr>
      <w:tblGrid>
        <w:gridCol w:w="3515"/>
        <w:gridCol w:w="2098"/>
        <w:gridCol w:w="3454"/>
      </w:tblGrid>
      <w:tr w:rsidR="00D210F0" w:rsidRPr="00092ED7" w14:paraId="0A1CAE71" w14:textId="77777777" w:rsidTr="00C429AB">
        <w:trPr>
          <w:cnfStyle w:val="100000000000" w:firstRow="1" w:lastRow="0" w:firstColumn="0" w:lastColumn="0" w:oddVBand="0" w:evenVBand="0" w:oddHBand="0" w:evenHBand="0" w:firstRowFirstColumn="0" w:firstRowLastColumn="0" w:lastRowFirstColumn="0" w:lastRowLastColumn="0"/>
          <w:jc w:val="center"/>
        </w:trPr>
        <w:tc>
          <w:tcPr>
            <w:tcW w:w="3515" w:type="dxa"/>
          </w:tcPr>
          <w:p w14:paraId="19B8D6EF" w14:textId="77777777" w:rsidR="00D210F0" w:rsidRPr="00092ED7" w:rsidRDefault="00D210F0" w:rsidP="005D14E2">
            <w:pPr>
              <w:spacing w:before="0" w:after="0"/>
              <w:ind w:left="113" w:right="113"/>
              <w:jc w:val="center"/>
              <w:rPr>
                <w:rFonts w:eastAsia="Calibri" w:cs="Times New Roman"/>
                <w:b w:val="0"/>
                <w:sz w:val="20"/>
                <w:lang w:val="sr-Cyrl-CS" w:eastAsia="sr-Cyrl-CS" w:bidi="sr-Cyrl-CS"/>
              </w:rPr>
            </w:pPr>
            <w:r w:rsidRPr="00092ED7">
              <w:rPr>
                <w:rFonts w:eastAsia="Calibri" w:cs="Times New Roman"/>
                <w:sz w:val="20"/>
                <w:lang w:val="sr-Cyrl-CS" w:eastAsia="sr-Cyrl-CS" w:bidi="sr-Cyrl-CS"/>
              </w:rPr>
              <w:t>Ризик</w:t>
            </w:r>
          </w:p>
        </w:tc>
        <w:tc>
          <w:tcPr>
            <w:tcW w:w="2098" w:type="dxa"/>
          </w:tcPr>
          <w:p w14:paraId="631A5987" w14:textId="77777777" w:rsidR="00D210F0" w:rsidRPr="00092ED7" w:rsidRDefault="00D210F0" w:rsidP="005D14E2">
            <w:pPr>
              <w:spacing w:before="0" w:after="0"/>
              <w:ind w:left="113" w:right="113"/>
              <w:jc w:val="center"/>
              <w:rPr>
                <w:rFonts w:eastAsia="Calibri" w:cs="Times New Roman"/>
                <w:b w:val="0"/>
                <w:sz w:val="20"/>
                <w:lang w:val="sr-Cyrl-CS" w:eastAsia="sr-Cyrl-CS" w:bidi="sr-Cyrl-CS"/>
              </w:rPr>
            </w:pPr>
            <w:r w:rsidRPr="00092ED7">
              <w:rPr>
                <w:rFonts w:eastAsia="Calibri" w:cs="Times New Roman"/>
                <w:sz w:val="20"/>
                <w:lang w:val="sr-Cyrl-CS" w:eastAsia="sr-Cyrl-CS" w:bidi="sr-Cyrl-CS"/>
              </w:rPr>
              <w:t>Вероватноћа за остваривање ризика</w:t>
            </w:r>
          </w:p>
        </w:tc>
        <w:tc>
          <w:tcPr>
            <w:tcW w:w="3454" w:type="dxa"/>
          </w:tcPr>
          <w:p w14:paraId="04E96D8F" w14:textId="77777777" w:rsidR="00D210F0" w:rsidRPr="00092ED7" w:rsidRDefault="00D210F0" w:rsidP="005D14E2">
            <w:pPr>
              <w:spacing w:before="0" w:after="0"/>
              <w:ind w:left="113" w:right="113"/>
              <w:jc w:val="center"/>
              <w:rPr>
                <w:rFonts w:eastAsia="Calibri" w:cs="Times New Roman"/>
                <w:b w:val="0"/>
                <w:sz w:val="20"/>
                <w:lang w:val="sr-Cyrl-CS" w:eastAsia="sr-Cyrl-CS" w:bidi="sr-Cyrl-CS"/>
              </w:rPr>
            </w:pPr>
            <w:r w:rsidRPr="00092ED7">
              <w:rPr>
                <w:rFonts w:eastAsia="Calibri" w:cs="Times New Roman"/>
                <w:sz w:val="20"/>
                <w:lang w:val="sr-Cyrl-CS" w:eastAsia="sr-Cyrl-CS" w:bidi="sr-Cyrl-CS"/>
              </w:rPr>
              <w:t>Планиране активност за ублажавање негативних ефеката ризика</w:t>
            </w:r>
          </w:p>
        </w:tc>
      </w:tr>
      <w:tr w:rsidR="00D210F0" w:rsidRPr="00092ED7" w14:paraId="0863C1A7" w14:textId="77777777" w:rsidTr="00BC16BA">
        <w:trPr>
          <w:jc w:val="center"/>
        </w:trPr>
        <w:tc>
          <w:tcPr>
            <w:tcW w:w="3515" w:type="dxa"/>
          </w:tcPr>
          <w:p w14:paraId="095CCDF7" w14:textId="77777777" w:rsidR="00D210F0" w:rsidRPr="00092ED7" w:rsidRDefault="00D210F0" w:rsidP="005D14E2">
            <w:pPr>
              <w:spacing w:before="0" w:after="0"/>
              <w:ind w:left="113" w:right="113"/>
              <w:rPr>
                <w:rFonts w:eastAsia="Calibri" w:cs="Times New Roman"/>
                <w:sz w:val="20"/>
                <w:lang w:val="sr-Cyrl-CS" w:eastAsia="sr-Cyrl-CS" w:bidi="sr-Cyrl-CS"/>
              </w:rPr>
            </w:pPr>
            <w:r w:rsidRPr="00092ED7">
              <w:rPr>
                <w:rFonts w:eastAsia="Calibri" w:cs="Times New Roman"/>
                <w:sz w:val="20"/>
                <w:lang w:val="sr-Cyrl-CS" w:eastAsia="sr-Cyrl-CS" w:bidi="sr-Cyrl-CS"/>
              </w:rPr>
              <w:t>Недостатак дијалога и координације на високом нивоу, потребних за  реализацију реформе</w:t>
            </w:r>
          </w:p>
        </w:tc>
        <w:tc>
          <w:tcPr>
            <w:tcW w:w="2098" w:type="dxa"/>
            <w:vAlign w:val="top"/>
          </w:tcPr>
          <w:p w14:paraId="485636F3" w14:textId="77777777" w:rsidR="00D210F0" w:rsidRPr="00092ED7" w:rsidRDefault="00D210F0" w:rsidP="00BC16BA">
            <w:pPr>
              <w:spacing w:before="0" w:after="0"/>
              <w:ind w:left="113" w:right="113"/>
              <w:jc w:val="center"/>
              <w:rPr>
                <w:rFonts w:eastAsia="Calibri" w:cs="Times New Roman"/>
                <w:sz w:val="20"/>
                <w:lang w:val="sr-Cyrl-CS" w:eastAsia="sr-Cyrl-CS" w:bidi="sr-Cyrl-CS"/>
              </w:rPr>
            </w:pPr>
            <w:r w:rsidRPr="00092ED7">
              <w:rPr>
                <w:rFonts w:eastAsia="Calibri" w:cs="Times New Roman"/>
                <w:sz w:val="20"/>
                <w:lang w:val="sr-Cyrl-CS" w:eastAsia="sr-Cyrl-CS" w:bidi="sr-Cyrl-CS"/>
              </w:rPr>
              <w:t>Средња</w:t>
            </w:r>
          </w:p>
        </w:tc>
        <w:tc>
          <w:tcPr>
            <w:tcW w:w="3454" w:type="dxa"/>
          </w:tcPr>
          <w:p w14:paraId="2E86E74A" w14:textId="77777777" w:rsidR="00D210F0" w:rsidRPr="00092ED7" w:rsidRDefault="00D210F0" w:rsidP="005D14E2">
            <w:pPr>
              <w:spacing w:before="0" w:after="0"/>
              <w:ind w:left="113" w:right="113"/>
              <w:rPr>
                <w:rFonts w:eastAsia="Calibri" w:cs="Times New Roman"/>
                <w:sz w:val="20"/>
                <w:lang w:val="sr-Cyrl-CS" w:eastAsia="sr-Cyrl-CS" w:bidi="sr-Cyrl-CS"/>
              </w:rPr>
            </w:pPr>
            <w:r w:rsidRPr="00092ED7">
              <w:rPr>
                <w:rFonts w:eastAsia="Calibri" w:cs="Times New Roman"/>
                <w:sz w:val="20"/>
                <w:lang w:val="sr-Cyrl-CS" w:eastAsia="sr-Cyrl-CS" w:bidi="sr-Cyrl-CS"/>
              </w:rPr>
              <w:t xml:space="preserve">Редован дијалог у оквиру формираног Координационог тела и Стручне групе. </w:t>
            </w:r>
          </w:p>
        </w:tc>
      </w:tr>
      <w:tr w:rsidR="00D210F0" w:rsidRPr="00092ED7" w14:paraId="50403B31" w14:textId="77777777" w:rsidTr="00BC16BA">
        <w:trPr>
          <w:jc w:val="center"/>
        </w:trPr>
        <w:tc>
          <w:tcPr>
            <w:tcW w:w="3515" w:type="dxa"/>
          </w:tcPr>
          <w:p w14:paraId="7608C6E2" w14:textId="77777777" w:rsidR="00D210F0" w:rsidRPr="00092ED7" w:rsidRDefault="00D210F0" w:rsidP="005D14E2">
            <w:pPr>
              <w:spacing w:before="0" w:after="0"/>
              <w:ind w:left="113" w:right="113"/>
              <w:rPr>
                <w:rFonts w:eastAsia="Calibri" w:cs="Times New Roman"/>
                <w:sz w:val="20"/>
                <w:lang w:val="sr-Cyrl-CS" w:eastAsia="sr-Cyrl-CS" w:bidi="sr-Cyrl-CS"/>
              </w:rPr>
            </w:pPr>
            <w:r w:rsidRPr="00092ED7">
              <w:rPr>
                <w:rFonts w:eastAsia="Calibri" w:cs="Times New Roman"/>
                <w:sz w:val="20"/>
                <w:lang w:val="sr-Cyrl-CS" w:eastAsia="sr-Cyrl-CS" w:bidi="sr-Cyrl-CS"/>
              </w:rPr>
              <w:t>Недовољни капацитети институција и релевантних актера за реализацију активности на успостављању оквира Гаранције за младе</w:t>
            </w:r>
          </w:p>
        </w:tc>
        <w:tc>
          <w:tcPr>
            <w:tcW w:w="2098" w:type="dxa"/>
            <w:vAlign w:val="top"/>
          </w:tcPr>
          <w:p w14:paraId="49C2B42D" w14:textId="77777777" w:rsidR="00D210F0" w:rsidRPr="00092ED7" w:rsidRDefault="00D210F0" w:rsidP="00BC16BA">
            <w:pPr>
              <w:spacing w:before="0" w:after="0"/>
              <w:ind w:left="113" w:right="113"/>
              <w:jc w:val="center"/>
              <w:rPr>
                <w:rFonts w:eastAsia="Calibri" w:cs="Times New Roman"/>
                <w:sz w:val="20"/>
                <w:lang w:val="sr-Cyrl-CS" w:eastAsia="sr-Cyrl-CS" w:bidi="sr-Cyrl-CS"/>
              </w:rPr>
            </w:pPr>
            <w:r w:rsidRPr="00092ED7">
              <w:rPr>
                <w:rFonts w:eastAsia="Calibri" w:cs="Times New Roman"/>
                <w:sz w:val="20"/>
                <w:lang w:val="sr-Cyrl-CS" w:eastAsia="sr-Cyrl-CS" w:bidi="sr-Cyrl-CS"/>
              </w:rPr>
              <w:t>Средња</w:t>
            </w:r>
          </w:p>
        </w:tc>
        <w:tc>
          <w:tcPr>
            <w:tcW w:w="3454" w:type="dxa"/>
          </w:tcPr>
          <w:p w14:paraId="4D8707BA" w14:textId="5AFDF1AA" w:rsidR="00D210F0" w:rsidRPr="00092ED7" w:rsidRDefault="00D210F0" w:rsidP="005D14E2">
            <w:pPr>
              <w:spacing w:before="0" w:after="0"/>
              <w:ind w:left="113" w:right="113"/>
              <w:rPr>
                <w:rFonts w:eastAsia="Calibri" w:cs="Times New Roman"/>
                <w:sz w:val="20"/>
                <w:lang w:val="sr-Cyrl-CS" w:eastAsia="sr-Cyrl-CS" w:bidi="sr-Cyrl-CS"/>
              </w:rPr>
            </w:pPr>
            <w:r w:rsidRPr="00092ED7">
              <w:rPr>
                <w:rFonts w:eastAsia="Calibri" w:cs="Times New Roman"/>
                <w:sz w:val="20"/>
                <w:lang w:val="sr-Cyrl-CS" w:eastAsia="sr-Cyrl-CS" w:bidi="sr-Cyrl-CS"/>
              </w:rPr>
              <w:t>Повећање броја запослених у оквиру М</w:t>
            </w:r>
            <w:r w:rsidR="00D0503A" w:rsidRPr="00092ED7">
              <w:rPr>
                <w:rFonts w:eastAsia="Calibri" w:cs="Times New Roman"/>
                <w:sz w:val="20"/>
                <w:lang w:val="sr-Cyrl-CS" w:eastAsia="sr-Cyrl-CS" w:bidi="sr-Cyrl-CS"/>
              </w:rPr>
              <w:t>инистарств</w:t>
            </w:r>
            <w:r w:rsidR="00E443AD" w:rsidRPr="00092ED7">
              <w:rPr>
                <w:rFonts w:eastAsia="Calibri" w:cs="Times New Roman"/>
                <w:sz w:val="20"/>
                <w:lang w:val="sr-Cyrl-CS" w:eastAsia="sr-Cyrl-CS" w:bidi="sr-Cyrl-CS"/>
              </w:rPr>
              <w:t>а</w:t>
            </w:r>
            <w:r w:rsidR="00D0503A" w:rsidRPr="00092ED7">
              <w:rPr>
                <w:rFonts w:eastAsia="Calibri" w:cs="Times New Roman"/>
                <w:sz w:val="20"/>
                <w:lang w:val="sr-Cyrl-CS" w:eastAsia="sr-Cyrl-CS" w:bidi="sr-Cyrl-CS"/>
              </w:rPr>
              <w:t xml:space="preserve"> за рад, запошљавање, борачка и социјална питања</w:t>
            </w:r>
            <w:r w:rsidRPr="00092ED7">
              <w:rPr>
                <w:rFonts w:eastAsia="Calibri" w:cs="Times New Roman"/>
                <w:sz w:val="20"/>
                <w:lang w:val="sr-Cyrl-CS" w:eastAsia="sr-Cyrl-CS" w:bidi="sr-Cyrl-CS"/>
              </w:rPr>
              <w:t xml:space="preserve">, </w:t>
            </w:r>
            <w:r w:rsidR="00E443AD" w:rsidRPr="00092ED7">
              <w:rPr>
                <w:rFonts w:eastAsia="Calibri" w:cs="Times New Roman"/>
                <w:sz w:val="20"/>
                <w:lang w:val="sr-Cyrl-CS" w:eastAsia="sr-Cyrl-CS" w:bidi="sr-Cyrl-CS"/>
              </w:rPr>
              <w:t>Националне службе за запошљавање</w:t>
            </w:r>
            <w:r w:rsidRPr="00092ED7">
              <w:rPr>
                <w:rFonts w:eastAsia="Calibri" w:cs="Times New Roman"/>
                <w:sz w:val="20"/>
                <w:lang w:val="sr-Cyrl-CS" w:eastAsia="sr-Cyrl-CS" w:bidi="sr-Cyrl-CS"/>
              </w:rPr>
              <w:t xml:space="preserve"> и обуке за све актере укључене у реализацију активности планираних Планом имплементације.</w:t>
            </w:r>
          </w:p>
        </w:tc>
      </w:tr>
    </w:tbl>
    <w:p w14:paraId="4B2BB1B9" w14:textId="77777777" w:rsidR="00D210F0" w:rsidRPr="00092ED7" w:rsidRDefault="00D210F0" w:rsidP="00D210F0">
      <w:pPr>
        <w:widowControl w:val="0"/>
        <w:spacing w:before="360"/>
        <w:rPr>
          <w:rFonts w:eastAsia="Calibri" w:cs="Times New Roman"/>
          <w:szCs w:val="24"/>
          <w:lang w:val="sr-Cyrl-CS" w:eastAsia="sr-Cyrl-CS" w:bidi="sr-Cyrl-CS"/>
        </w:rPr>
      </w:pPr>
      <w:r w:rsidRPr="00092ED7">
        <w:rPr>
          <w:rFonts w:eastAsia="Calibri" w:cs="Times New Roman"/>
          <w:b/>
          <w:szCs w:val="24"/>
          <w:u w:val="single"/>
          <w:lang w:val="sr-Cyrl-CS"/>
        </w:rPr>
        <w:t>СТРУКТУРНА РЕФОРМА 2</w:t>
      </w:r>
      <w:r w:rsidRPr="00092ED7">
        <w:rPr>
          <w:rFonts w:eastAsia="Calibri" w:cs="Times New Roman"/>
          <w:b/>
          <w:szCs w:val="24"/>
          <w:lang w:val="sr-Cyrl-CS"/>
        </w:rPr>
        <w:t xml:space="preserve">: </w:t>
      </w:r>
      <w:r w:rsidR="006F30BE" w:rsidRPr="00092ED7">
        <w:rPr>
          <w:rFonts w:eastAsia="Calibri" w:cs="Times New Roman"/>
          <w:szCs w:val="24"/>
          <w:lang w:val="sr-Cyrl-CS"/>
        </w:rPr>
        <w:t>РЕФОРМА ФОНДА ЗА МЛАДЕ ТАЛЕНТЕ</w:t>
      </w:r>
    </w:p>
    <w:p w14:paraId="664DE7C3" w14:textId="77777777" w:rsidR="00D210F0" w:rsidRPr="00092ED7" w:rsidRDefault="00D210F0" w:rsidP="00071952">
      <w:pPr>
        <w:pStyle w:val="ListParagraph"/>
        <w:widowControl w:val="0"/>
        <w:numPr>
          <w:ilvl w:val="0"/>
          <w:numId w:val="19"/>
        </w:numPr>
        <w:spacing w:before="120" w:line="240" w:lineRule="auto"/>
        <w:ind w:left="425" w:hanging="425"/>
        <w:contextualSpacing w:val="0"/>
        <w:rPr>
          <w:rFonts w:cs="Times New Roman"/>
          <w:b/>
          <w:sz w:val="24"/>
          <w:szCs w:val="24"/>
          <w:lang w:val="sr-Cyrl-CS" w:eastAsia="sr-Cyrl-CS" w:bidi="sr-Cyrl-CS"/>
        </w:rPr>
      </w:pPr>
      <w:r w:rsidRPr="00092ED7">
        <w:rPr>
          <w:rFonts w:cs="Times New Roman"/>
          <w:b/>
          <w:sz w:val="24"/>
          <w:szCs w:val="24"/>
          <w:lang w:val="sr-Cyrl-CS" w:eastAsia="sr-Cyrl-CS" w:bidi="sr-Cyrl-CS"/>
        </w:rPr>
        <w:t>Опис структурне реформе</w:t>
      </w:r>
    </w:p>
    <w:p w14:paraId="55C110B6" w14:textId="6966F563" w:rsidR="00D210F0" w:rsidRPr="00092ED7" w:rsidRDefault="00D210F0" w:rsidP="00D210F0">
      <w:pPr>
        <w:widowControl w:val="0"/>
        <w:spacing w:after="60"/>
        <w:rPr>
          <w:rFonts w:eastAsia="Calibri" w:cs="Times New Roman"/>
          <w:szCs w:val="24"/>
          <w:lang w:val="sr-Cyrl-CS" w:eastAsia="sr-Cyrl-CS" w:bidi="sr-Cyrl-CS"/>
        </w:rPr>
      </w:pPr>
      <w:r w:rsidRPr="00092ED7">
        <w:rPr>
          <w:rFonts w:eastAsia="Calibri" w:cs="Times New Roman"/>
          <w:szCs w:val="24"/>
          <w:lang w:val="sr-Cyrl-CS" w:eastAsia="sr-Cyrl-CS" w:bidi="sr-Cyrl-CS"/>
        </w:rPr>
        <w:t xml:space="preserve">Циљ реформе је успостављање ефикаснијег модела стипендирања и система за праћење и запошљавање стипендираних талената, пре свега у јавној управи, а потом и у привреди у сарадњи са партнерима. С тим у вези, током 2022. године </w:t>
      </w:r>
      <w:r w:rsidR="006F30BE" w:rsidRPr="00092ED7">
        <w:rPr>
          <w:rFonts w:eastAsia="Calibri" w:cs="Times New Roman"/>
          <w:szCs w:val="24"/>
          <w:lang w:val="sr-Cyrl-CS" w:eastAsia="sr-Cyrl-CS" w:bidi="sr-Cyrl-CS"/>
        </w:rPr>
        <w:t xml:space="preserve">започета </w:t>
      </w:r>
      <w:r w:rsidRPr="00092ED7">
        <w:rPr>
          <w:rFonts w:eastAsia="Calibri" w:cs="Times New Roman"/>
          <w:szCs w:val="24"/>
          <w:lang w:val="sr-Cyrl-CS" w:eastAsia="sr-Cyrl-CS" w:bidi="sr-Cyrl-CS"/>
        </w:rPr>
        <w:t xml:space="preserve">је </w:t>
      </w:r>
      <w:r w:rsidR="004C03FF" w:rsidRPr="00092ED7">
        <w:rPr>
          <w:rFonts w:eastAsia="Calibri" w:cs="Times New Roman"/>
          <w:szCs w:val="24"/>
          <w:lang w:val="sr-Cyrl-CS" w:eastAsia="sr-Cyrl-CS" w:bidi="sr-Cyrl-CS"/>
        </w:rPr>
        <w:t xml:space="preserve">реформа </w:t>
      </w:r>
      <w:r w:rsidRPr="00092ED7">
        <w:rPr>
          <w:rFonts w:eastAsia="Calibri" w:cs="Times New Roman"/>
          <w:szCs w:val="24"/>
          <w:lang w:val="sr-Cyrl-CS" w:eastAsia="sr-Cyrl-CS" w:bidi="sr-Cyrl-CS"/>
        </w:rPr>
        <w:t>Фонд</w:t>
      </w:r>
      <w:r w:rsidR="00D25CE8" w:rsidRPr="00092ED7">
        <w:rPr>
          <w:rFonts w:eastAsia="Calibri" w:cs="Times New Roman"/>
          <w:szCs w:val="24"/>
          <w:lang w:val="sr-Cyrl-CS" w:eastAsia="sr-Cyrl-CS" w:bidi="sr-Cyrl-CS"/>
        </w:rPr>
        <w:t>а</w:t>
      </w:r>
      <w:r w:rsidRPr="00092ED7">
        <w:rPr>
          <w:rFonts w:eastAsia="Calibri" w:cs="Times New Roman"/>
          <w:szCs w:val="24"/>
          <w:lang w:val="sr-Cyrl-CS" w:eastAsia="sr-Cyrl-CS" w:bidi="sr-Cyrl-CS"/>
        </w:rPr>
        <w:t xml:space="preserve"> за младе таленте</w:t>
      </w:r>
      <w:r w:rsidR="00657813" w:rsidRPr="00092ED7">
        <w:rPr>
          <w:rFonts w:eastAsia="Calibri" w:cs="Times New Roman"/>
          <w:szCs w:val="24"/>
          <w:lang w:val="sr-Cyrl-CS" w:eastAsia="sr-Cyrl-CS" w:bidi="sr-Cyrl-CS"/>
        </w:rPr>
        <w:t xml:space="preserve"> </w:t>
      </w:r>
      <w:r w:rsidR="004C03FF" w:rsidRPr="00092ED7">
        <w:rPr>
          <w:rFonts w:eastAsia="Calibri" w:cs="Times New Roman"/>
          <w:szCs w:val="24"/>
          <w:lang w:val="sr-Cyrl-CS" w:eastAsia="sr-Cyrl-CS" w:bidi="sr-Cyrl-CS"/>
        </w:rPr>
        <w:t xml:space="preserve">са циљем оснивања </w:t>
      </w:r>
      <w:r w:rsidR="001028F8" w:rsidRPr="00092ED7">
        <w:rPr>
          <w:rFonts w:eastAsia="Calibri" w:cs="Times New Roman"/>
          <w:szCs w:val="24"/>
          <w:lang w:val="sr-Cyrl-CS" w:eastAsia="sr-Cyrl-CS" w:bidi="sr-Cyrl-CS"/>
        </w:rPr>
        <w:t>тог ф</w:t>
      </w:r>
      <w:r w:rsidR="004C03FF" w:rsidRPr="00092ED7">
        <w:rPr>
          <w:rFonts w:eastAsia="Calibri" w:cs="Times New Roman"/>
          <w:szCs w:val="24"/>
          <w:lang w:val="sr-Cyrl-CS" w:eastAsia="sr-Cyrl-CS" w:bidi="sr-Cyrl-CS"/>
        </w:rPr>
        <w:t xml:space="preserve">онда </w:t>
      </w:r>
      <w:r w:rsidRPr="00092ED7">
        <w:rPr>
          <w:rFonts w:eastAsia="Calibri" w:cs="Times New Roman"/>
          <w:szCs w:val="24"/>
          <w:lang w:val="sr-Cyrl-CS" w:eastAsia="sr-Cyrl-CS" w:bidi="sr-Cyrl-CS"/>
        </w:rPr>
        <w:t xml:space="preserve">као </w:t>
      </w:r>
      <w:r w:rsidR="004C03FF" w:rsidRPr="00092ED7">
        <w:rPr>
          <w:rFonts w:eastAsia="Calibri" w:cs="Times New Roman"/>
          <w:szCs w:val="24"/>
          <w:lang w:val="sr-Cyrl-CS" w:eastAsia="sr-Cyrl-CS" w:bidi="sr-Cyrl-CS"/>
        </w:rPr>
        <w:t>правног лица у 2024. години. Прве активности подразумевају реформу постојећих програма Фонда</w:t>
      </w:r>
      <w:r w:rsidR="001028F8" w:rsidRPr="00092ED7">
        <w:rPr>
          <w:rFonts w:eastAsia="Calibri" w:cs="Times New Roman"/>
          <w:szCs w:val="24"/>
          <w:lang w:val="sr-Cyrl-CS" w:eastAsia="sr-Cyrl-CS" w:bidi="sr-Cyrl-CS"/>
        </w:rPr>
        <w:t xml:space="preserve"> за младе таленте</w:t>
      </w:r>
      <w:r w:rsidR="004C03FF" w:rsidRPr="00092ED7">
        <w:rPr>
          <w:rFonts w:eastAsia="Calibri" w:cs="Times New Roman"/>
          <w:szCs w:val="24"/>
          <w:lang w:val="sr-Cyrl-CS" w:eastAsia="sr-Cyrl-CS" w:bidi="sr-Cyrl-CS"/>
        </w:rPr>
        <w:t xml:space="preserve">, </w:t>
      </w:r>
      <w:r w:rsidRPr="00092ED7">
        <w:rPr>
          <w:rFonts w:eastAsia="Calibri" w:cs="Times New Roman"/>
          <w:szCs w:val="24"/>
          <w:lang w:val="sr-Cyrl-CS" w:eastAsia="sr-Cyrl-CS" w:bidi="sr-Cyrl-CS"/>
        </w:rPr>
        <w:t>рад на дигиталној платформи за пријаву, евалуацију и праћење корисника Фонда</w:t>
      </w:r>
      <w:r w:rsidR="001028F8" w:rsidRPr="00092ED7">
        <w:rPr>
          <w:rFonts w:eastAsia="Calibri" w:cs="Times New Roman"/>
          <w:szCs w:val="24"/>
          <w:lang w:val="sr-Cyrl-CS" w:eastAsia="sr-Cyrl-CS" w:bidi="sr-Cyrl-CS"/>
        </w:rPr>
        <w:t xml:space="preserve"> за младе таленте</w:t>
      </w:r>
      <w:r w:rsidR="004C03FF" w:rsidRPr="00092ED7">
        <w:rPr>
          <w:rFonts w:eastAsia="Calibri" w:cs="Times New Roman"/>
          <w:szCs w:val="24"/>
          <w:lang w:val="sr-Cyrl-CS" w:eastAsia="sr-Cyrl-CS" w:bidi="sr-Cyrl-CS"/>
        </w:rPr>
        <w:t>, као и увођење нових програма</w:t>
      </w:r>
      <w:r w:rsidRPr="00092ED7">
        <w:rPr>
          <w:rFonts w:eastAsia="Calibri" w:cs="Times New Roman"/>
          <w:szCs w:val="24"/>
          <w:lang w:val="sr-Cyrl-CS" w:eastAsia="sr-Cyrl-CS" w:bidi="sr-Cyrl-CS"/>
        </w:rPr>
        <w:t xml:space="preserve">. </w:t>
      </w:r>
      <w:r w:rsidR="004C03FF" w:rsidRPr="00092ED7">
        <w:rPr>
          <w:rFonts w:eastAsia="Calibri" w:cs="Times New Roman"/>
          <w:szCs w:val="24"/>
          <w:lang w:val="sr-Cyrl-CS" w:eastAsia="sr-Cyrl-CS" w:bidi="sr-Cyrl-CS"/>
        </w:rPr>
        <w:t xml:space="preserve">На овај начин, обезбедиће се </w:t>
      </w:r>
      <w:r w:rsidRPr="00092ED7">
        <w:rPr>
          <w:rFonts w:eastAsia="Calibri" w:cs="Times New Roman"/>
          <w:szCs w:val="24"/>
          <w:lang w:val="sr-Cyrl-CS" w:eastAsia="sr-Cyrl-CS" w:bidi="sr-Cyrl-CS"/>
        </w:rPr>
        <w:t>дугорочно планирање и одрживост инвестиције у развој младих талената. Посебна пажња посветиће се и изградњи алумни мреже и мреже партнера</w:t>
      </w:r>
      <w:r w:rsidR="002126A3" w:rsidRPr="00092ED7">
        <w:rPr>
          <w:rFonts w:eastAsia="Calibri" w:cs="Times New Roman"/>
          <w:szCs w:val="24"/>
          <w:lang w:val="sr-Cyrl-CS" w:eastAsia="sr-Cyrl-CS" w:bidi="sr-Cyrl-CS"/>
        </w:rPr>
        <w:t>,</w:t>
      </w:r>
      <w:r w:rsidRPr="00092ED7">
        <w:rPr>
          <w:rFonts w:eastAsia="Calibri" w:cs="Times New Roman"/>
          <w:szCs w:val="24"/>
          <w:lang w:val="sr-Cyrl-CS" w:eastAsia="sr-Cyrl-CS" w:bidi="sr-Cyrl-CS"/>
        </w:rPr>
        <w:t xml:space="preserve"> како би се обезбедили додатни извори финансирања за програме Фонда</w:t>
      </w:r>
      <w:r w:rsidR="001028F8" w:rsidRPr="00092ED7">
        <w:rPr>
          <w:rFonts w:eastAsia="Calibri" w:cs="Times New Roman"/>
          <w:szCs w:val="24"/>
          <w:lang w:val="sr-Cyrl-CS" w:eastAsia="sr-Cyrl-CS" w:bidi="sr-Cyrl-CS"/>
        </w:rPr>
        <w:t xml:space="preserve"> за младе таленте</w:t>
      </w:r>
      <w:r w:rsidRPr="00092ED7">
        <w:rPr>
          <w:rFonts w:eastAsia="Calibri" w:cs="Times New Roman"/>
          <w:szCs w:val="24"/>
          <w:lang w:val="sr-Cyrl-CS" w:eastAsia="sr-Cyrl-CS" w:bidi="sr-Cyrl-CS"/>
        </w:rPr>
        <w:t>.</w:t>
      </w:r>
    </w:p>
    <w:p w14:paraId="6AAAED08" w14:textId="77777777" w:rsidR="00D210F0" w:rsidRPr="00092ED7" w:rsidRDefault="00D210F0" w:rsidP="00071952">
      <w:pPr>
        <w:widowControl w:val="0"/>
        <w:numPr>
          <w:ilvl w:val="0"/>
          <w:numId w:val="19"/>
        </w:numPr>
        <w:spacing w:before="120"/>
        <w:ind w:left="425" w:hanging="425"/>
        <w:rPr>
          <w:rFonts w:eastAsia="Calibri" w:cs="Times New Roman"/>
          <w:b/>
          <w:szCs w:val="24"/>
          <w:lang w:val="sr-Cyrl-CS" w:eastAsia="sr-Cyrl-CS" w:bidi="sr-Cyrl-CS"/>
        </w:rPr>
      </w:pPr>
      <w:r w:rsidRPr="00092ED7">
        <w:rPr>
          <w:rFonts w:eastAsia="Calibri" w:cs="Times New Roman"/>
          <w:b/>
          <w:szCs w:val="24"/>
          <w:lang w:val="sr-Cyrl-CS" w:eastAsia="sr-Cyrl-CS" w:bidi="sr-Cyrl-CS"/>
        </w:rPr>
        <w:t>Планиране активности по годинама</w:t>
      </w:r>
    </w:p>
    <w:tbl>
      <w:tblPr>
        <w:tblW w:w="9139" w:type="dxa"/>
        <w:tblLayout w:type="fixed"/>
        <w:tblCellMar>
          <w:left w:w="0" w:type="dxa"/>
          <w:right w:w="0" w:type="dxa"/>
        </w:tblCellMar>
        <w:tblLook w:val="04A0" w:firstRow="1" w:lastRow="0" w:firstColumn="1" w:lastColumn="0" w:noHBand="0" w:noVBand="1"/>
      </w:tblPr>
      <w:tblGrid>
        <w:gridCol w:w="425"/>
        <w:gridCol w:w="4243"/>
        <w:gridCol w:w="372"/>
        <w:gridCol w:w="373"/>
        <w:gridCol w:w="372"/>
        <w:gridCol w:w="373"/>
        <w:gridCol w:w="372"/>
        <w:gridCol w:w="373"/>
        <w:gridCol w:w="373"/>
        <w:gridCol w:w="372"/>
        <w:gridCol w:w="373"/>
        <w:gridCol w:w="372"/>
        <w:gridCol w:w="373"/>
        <w:gridCol w:w="373"/>
      </w:tblGrid>
      <w:tr w:rsidR="00D210F0" w:rsidRPr="00092ED7" w14:paraId="1F9B413A" w14:textId="77777777" w:rsidTr="00C429AB">
        <w:trPr>
          <w:trHeight w:val="315"/>
        </w:trPr>
        <w:tc>
          <w:tcPr>
            <w:tcW w:w="425" w:type="dxa"/>
            <w:vMerge w:val="restart"/>
            <w:tcBorders>
              <w:top w:val="single" w:sz="8" w:space="0" w:color="auto"/>
              <w:left w:val="single" w:sz="8" w:space="0" w:color="auto"/>
              <w:right w:val="nil"/>
            </w:tcBorders>
            <w:shd w:val="clear" w:color="000000" w:fill="BDD6EE"/>
            <w:tcMar>
              <w:top w:w="15" w:type="dxa"/>
              <w:left w:w="15" w:type="dxa"/>
              <w:bottom w:w="0" w:type="dxa"/>
              <w:right w:w="15" w:type="dxa"/>
            </w:tcMar>
            <w:vAlign w:val="center"/>
            <w:hideMark/>
          </w:tcPr>
          <w:p w14:paraId="3A5440B8" w14:textId="77777777" w:rsidR="00D210F0" w:rsidRPr="00092ED7" w:rsidRDefault="00D210F0" w:rsidP="005D14E2">
            <w:pPr>
              <w:spacing w:after="0"/>
              <w:jc w:val="center"/>
              <w:rPr>
                <w:sz w:val="20"/>
                <w:szCs w:val="20"/>
                <w:lang w:val="sr-Cyrl-CS"/>
              </w:rPr>
            </w:pPr>
            <w:r w:rsidRPr="00092ED7">
              <w:rPr>
                <w:rFonts w:cs="Times New Roman"/>
                <w:b/>
                <w:bCs/>
                <w:color w:val="000000"/>
                <w:sz w:val="20"/>
                <w:szCs w:val="20"/>
                <w:lang w:val="sr-Cyrl-CS"/>
              </w:rPr>
              <w:t>РБ</w:t>
            </w:r>
          </w:p>
        </w:tc>
        <w:tc>
          <w:tcPr>
            <w:tcW w:w="4243" w:type="dxa"/>
            <w:vMerge w:val="restart"/>
            <w:tcBorders>
              <w:top w:val="single" w:sz="8" w:space="0" w:color="auto"/>
              <w:left w:val="single" w:sz="8" w:space="0" w:color="auto"/>
              <w:bottom w:val="single" w:sz="8" w:space="0" w:color="000000"/>
              <w:right w:val="nil"/>
            </w:tcBorders>
            <w:shd w:val="clear" w:color="auto" w:fill="BDD6EE" w:themeFill="accent1" w:themeFillTint="66"/>
            <w:tcMar>
              <w:top w:w="15" w:type="dxa"/>
              <w:left w:w="15" w:type="dxa"/>
              <w:bottom w:w="0" w:type="dxa"/>
              <w:right w:w="15" w:type="dxa"/>
            </w:tcMar>
            <w:vAlign w:val="center"/>
            <w:hideMark/>
          </w:tcPr>
          <w:p w14:paraId="4D43B380" w14:textId="77777777" w:rsidR="00D210F0" w:rsidRPr="00092ED7" w:rsidRDefault="00D210F0" w:rsidP="005D14E2">
            <w:pPr>
              <w:spacing w:after="0"/>
              <w:rPr>
                <w:rFonts w:cs="Times New Roman"/>
                <w:b/>
                <w:bCs/>
                <w:color w:val="000000"/>
                <w:sz w:val="20"/>
                <w:szCs w:val="20"/>
                <w:lang w:val="sr-Cyrl-CS"/>
              </w:rPr>
            </w:pPr>
            <w:r w:rsidRPr="00092ED7">
              <w:rPr>
                <w:rFonts w:cs="Times New Roman"/>
                <w:b/>
                <w:bCs/>
                <w:sz w:val="20"/>
                <w:szCs w:val="20"/>
                <w:lang w:val="sr-Cyrl-CS"/>
              </w:rPr>
              <w:t>Планиране активности</w:t>
            </w:r>
            <w:r w:rsidRPr="00092ED7">
              <w:rPr>
                <w:rFonts w:cs="Times New Roman"/>
                <w:b/>
                <w:bCs/>
                <w:color w:val="000000"/>
                <w:sz w:val="20"/>
                <w:szCs w:val="20"/>
                <w:lang w:val="sr-Cyrl-CS"/>
              </w:rPr>
              <w:t xml:space="preserve"> </w:t>
            </w:r>
          </w:p>
        </w:tc>
        <w:tc>
          <w:tcPr>
            <w:tcW w:w="1490" w:type="dxa"/>
            <w:gridSpan w:val="4"/>
            <w:tcBorders>
              <w:top w:val="single" w:sz="8" w:space="0" w:color="auto"/>
              <w:left w:val="single" w:sz="8" w:space="0" w:color="auto"/>
              <w:bottom w:val="single" w:sz="4" w:space="0" w:color="auto"/>
              <w:right w:val="single" w:sz="8" w:space="0" w:color="000000"/>
            </w:tcBorders>
            <w:shd w:val="clear" w:color="auto" w:fill="BDD6EE" w:themeFill="accent1" w:themeFillTint="66"/>
            <w:tcMar>
              <w:top w:w="15" w:type="dxa"/>
              <w:left w:w="15" w:type="dxa"/>
              <w:bottom w:w="0" w:type="dxa"/>
              <w:right w:w="15" w:type="dxa"/>
            </w:tcMar>
            <w:vAlign w:val="center"/>
            <w:hideMark/>
          </w:tcPr>
          <w:p w14:paraId="394A1B7A" w14:textId="77777777" w:rsidR="00D210F0" w:rsidRPr="00092ED7" w:rsidRDefault="00D210F0" w:rsidP="005D14E2">
            <w:pPr>
              <w:spacing w:after="0"/>
              <w:jc w:val="center"/>
              <w:rPr>
                <w:rFonts w:cs="Times New Roman"/>
                <w:b/>
                <w:bCs/>
                <w:color w:val="000000"/>
                <w:sz w:val="20"/>
                <w:szCs w:val="20"/>
                <w:lang w:val="sr-Cyrl-CS"/>
              </w:rPr>
            </w:pPr>
            <w:r w:rsidRPr="00092ED7">
              <w:rPr>
                <w:rFonts w:cs="Times New Roman"/>
                <w:b/>
                <w:bCs/>
                <w:color w:val="000000"/>
                <w:sz w:val="20"/>
                <w:szCs w:val="20"/>
                <w:lang w:val="sr-Cyrl-CS"/>
              </w:rPr>
              <w:t>2023</w:t>
            </w:r>
          </w:p>
        </w:tc>
        <w:tc>
          <w:tcPr>
            <w:tcW w:w="1490" w:type="dxa"/>
            <w:gridSpan w:val="4"/>
            <w:tcBorders>
              <w:top w:val="single" w:sz="8" w:space="0" w:color="auto"/>
              <w:left w:val="single" w:sz="8" w:space="0" w:color="auto"/>
              <w:bottom w:val="single" w:sz="4" w:space="0" w:color="auto"/>
              <w:right w:val="single" w:sz="8" w:space="0" w:color="000000"/>
            </w:tcBorders>
            <w:shd w:val="clear" w:color="auto" w:fill="BDD6EE" w:themeFill="accent1" w:themeFillTint="66"/>
            <w:tcMar>
              <w:top w:w="15" w:type="dxa"/>
              <w:left w:w="15" w:type="dxa"/>
              <w:bottom w:w="0" w:type="dxa"/>
              <w:right w:w="15" w:type="dxa"/>
            </w:tcMar>
            <w:vAlign w:val="center"/>
            <w:hideMark/>
          </w:tcPr>
          <w:p w14:paraId="6B0CF953" w14:textId="77777777" w:rsidR="00D210F0" w:rsidRPr="00092ED7" w:rsidRDefault="00D210F0" w:rsidP="005D14E2">
            <w:pPr>
              <w:spacing w:after="0"/>
              <w:jc w:val="center"/>
              <w:rPr>
                <w:rFonts w:cs="Times New Roman"/>
                <w:b/>
                <w:bCs/>
                <w:color w:val="000000"/>
                <w:sz w:val="20"/>
                <w:szCs w:val="20"/>
                <w:lang w:val="sr-Cyrl-CS"/>
              </w:rPr>
            </w:pPr>
            <w:r w:rsidRPr="00092ED7">
              <w:rPr>
                <w:rFonts w:cs="Times New Roman"/>
                <w:b/>
                <w:bCs/>
                <w:color w:val="000000"/>
                <w:sz w:val="20"/>
                <w:szCs w:val="20"/>
                <w:lang w:val="sr-Cyrl-CS"/>
              </w:rPr>
              <w:t>2024</w:t>
            </w:r>
          </w:p>
        </w:tc>
        <w:tc>
          <w:tcPr>
            <w:tcW w:w="1491" w:type="dxa"/>
            <w:gridSpan w:val="4"/>
            <w:tcBorders>
              <w:top w:val="single" w:sz="8" w:space="0" w:color="auto"/>
              <w:left w:val="nil"/>
              <w:bottom w:val="single" w:sz="4" w:space="0" w:color="auto"/>
              <w:right w:val="single" w:sz="8" w:space="0" w:color="000000"/>
            </w:tcBorders>
            <w:shd w:val="clear" w:color="auto" w:fill="BDD6EE" w:themeFill="accent1" w:themeFillTint="66"/>
            <w:tcMar>
              <w:top w:w="15" w:type="dxa"/>
              <w:left w:w="15" w:type="dxa"/>
              <w:bottom w:w="0" w:type="dxa"/>
              <w:right w:w="15" w:type="dxa"/>
            </w:tcMar>
            <w:vAlign w:val="center"/>
            <w:hideMark/>
          </w:tcPr>
          <w:p w14:paraId="6BC5D578" w14:textId="77777777" w:rsidR="00D210F0" w:rsidRPr="00092ED7" w:rsidRDefault="00D210F0" w:rsidP="005D14E2">
            <w:pPr>
              <w:spacing w:after="0"/>
              <w:jc w:val="center"/>
              <w:rPr>
                <w:rFonts w:cs="Times New Roman"/>
                <w:b/>
                <w:bCs/>
                <w:color w:val="000000"/>
                <w:sz w:val="20"/>
                <w:szCs w:val="20"/>
                <w:lang w:val="sr-Cyrl-CS"/>
              </w:rPr>
            </w:pPr>
            <w:r w:rsidRPr="00092ED7">
              <w:rPr>
                <w:rFonts w:cs="Times New Roman"/>
                <w:b/>
                <w:bCs/>
                <w:color w:val="000000"/>
                <w:sz w:val="20"/>
                <w:szCs w:val="20"/>
                <w:lang w:val="sr-Cyrl-CS"/>
              </w:rPr>
              <w:t>2025</w:t>
            </w:r>
          </w:p>
        </w:tc>
      </w:tr>
      <w:tr w:rsidR="00D210F0" w:rsidRPr="00092ED7" w14:paraId="330FE2F1" w14:textId="77777777" w:rsidTr="00C429AB">
        <w:trPr>
          <w:trHeight w:val="315"/>
        </w:trPr>
        <w:tc>
          <w:tcPr>
            <w:tcW w:w="425" w:type="dxa"/>
            <w:vMerge/>
            <w:tcBorders>
              <w:left w:val="single" w:sz="8" w:space="0" w:color="auto"/>
              <w:bottom w:val="single" w:sz="8" w:space="0" w:color="000000"/>
              <w:right w:val="nil"/>
            </w:tcBorders>
            <w:shd w:val="clear" w:color="000000" w:fill="BDD6EE"/>
            <w:vAlign w:val="center"/>
            <w:hideMark/>
          </w:tcPr>
          <w:p w14:paraId="2221FF73" w14:textId="77777777" w:rsidR="00D210F0" w:rsidRPr="00092ED7" w:rsidRDefault="00D210F0" w:rsidP="005D14E2">
            <w:pPr>
              <w:spacing w:after="0"/>
              <w:jc w:val="center"/>
              <w:rPr>
                <w:rFonts w:cs="Times New Roman"/>
                <w:b/>
                <w:bCs/>
                <w:color w:val="000000"/>
                <w:sz w:val="20"/>
                <w:szCs w:val="20"/>
                <w:lang w:val="sr-Cyrl-CS"/>
              </w:rPr>
            </w:pPr>
          </w:p>
        </w:tc>
        <w:tc>
          <w:tcPr>
            <w:tcW w:w="4243" w:type="dxa"/>
            <w:vMerge/>
            <w:tcBorders>
              <w:top w:val="single" w:sz="8" w:space="0" w:color="auto"/>
              <w:left w:val="single" w:sz="8" w:space="0" w:color="auto"/>
              <w:bottom w:val="single" w:sz="8" w:space="0" w:color="000000"/>
              <w:right w:val="nil"/>
            </w:tcBorders>
            <w:shd w:val="clear" w:color="auto" w:fill="BDD6EE" w:themeFill="accent1" w:themeFillTint="66"/>
            <w:vAlign w:val="center"/>
            <w:hideMark/>
          </w:tcPr>
          <w:p w14:paraId="0D51AD28" w14:textId="77777777" w:rsidR="00D210F0" w:rsidRPr="00092ED7" w:rsidRDefault="00D210F0" w:rsidP="005D14E2">
            <w:pPr>
              <w:spacing w:after="0"/>
              <w:rPr>
                <w:rFonts w:cs="Times New Roman"/>
                <w:b/>
                <w:bCs/>
                <w:color w:val="000000"/>
                <w:sz w:val="20"/>
                <w:szCs w:val="20"/>
                <w:lang w:val="sr-Cyrl-CS"/>
              </w:rPr>
            </w:pPr>
          </w:p>
        </w:tc>
        <w:tc>
          <w:tcPr>
            <w:tcW w:w="372" w:type="dxa"/>
            <w:tcBorders>
              <w:top w:val="nil"/>
              <w:left w:val="single" w:sz="8" w:space="0" w:color="auto"/>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116C8ADC" w14:textId="77777777" w:rsidR="00D210F0" w:rsidRPr="00092ED7" w:rsidRDefault="00D210F0" w:rsidP="005D14E2">
            <w:pPr>
              <w:spacing w:after="0"/>
              <w:jc w:val="center"/>
              <w:rPr>
                <w:rFonts w:cs="Times New Roman"/>
                <w:i/>
                <w:iCs/>
                <w:color w:val="000000"/>
                <w:sz w:val="20"/>
                <w:szCs w:val="20"/>
                <w:lang w:val="sr-Cyrl-CS"/>
              </w:rPr>
            </w:pPr>
            <w:r w:rsidRPr="00092ED7">
              <w:rPr>
                <w:rFonts w:cs="Times New Roman"/>
                <w:i/>
                <w:iCs/>
                <w:color w:val="000000"/>
                <w:sz w:val="20"/>
                <w:szCs w:val="20"/>
                <w:lang w:val="sr-Cyrl-CS"/>
              </w:rPr>
              <w:t>Q1</w:t>
            </w:r>
          </w:p>
        </w:tc>
        <w:tc>
          <w:tcPr>
            <w:tcW w:w="373"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0C17DDA9" w14:textId="77777777" w:rsidR="00D210F0" w:rsidRPr="00092ED7" w:rsidRDefault="00D210F0" w:rsidP="005D14E2">
            <w:pPr>
              <w:spacing w:after="0"/>
              <w:jc w:val="center"/>
              <w:rPr>
                <w:rFonts w:cs="Times New Roman"/>
                <w:i/>
                <w:iCs/>
                <w:color w:val="000000"/>
                <w:sz w:val="20"/>
                <w:szCs w:val="20"/>
                <w:lang w:val="sr-Cyrl-CS"/>
              </w:rPr>
            </w:pPr>
            <w:r w:rsidRPr="00092ED7">
              <w:rPr>
                <w:rFonts w:cs="Times New Roman"/>
                <w:i/>
                <w:iCs/>
                <w:color w:val="000000"/>
                <w:sz w:val="20"/>
                <w:szCs w:val="20"/>
                <w:lang w:val="sr-Cyrl-CS"/>
              </w:rPr>
              <w:t>Q2</w:t>
            </w:r>
          </w:p>
        </w:tc>
        <w:tc>
          <w:tcPr>
            <w:tcW w:w="372"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0A9F57AB" w14:textId="77777777" w:rsidR="00D210F0" w:rsidRPr="00092ED7" w:rsidRDefault="00D210F0" w:rsidP="005D14E2">
            <w:pPr>
              <w:spacing w:after="0"/>
              <w:jc w:val="center"/>
              <w:rPr>
                <w:rFonts w:cs="Times New Roman"/>
                <w:i/>
                <w:iCs/>
                <w:color w:val="000000"/>
                <w:sz w:val="20"/>
                <w:szCs w:val="20"/>
                <w:lang w:val="sr-Cyrl-CS"/>
              </w:rPr>
            </w:pPr>
            <w:r w:rsidRPr="00092ED7">
              <w:rPr>
                <w:rFonts w:cs="Times New Roman"/>
                <w:i/>
                <w:iCs/>
                <w:color w:val="000000"/>
                <w:sz w:val="20"/>
                <w:szCs w:val="20"/>
                <w:lang w:val="sr-Cyrl-CS"/>
              </w:rPr>
              <w:t>Q3</w:t>
            </w:r>
          </w:p>
        </w:tc>
        <w:tc>
          <w:tcPr>
            <w:tcW w:w="373" w:type="dxa"/>
            <w:tcBorders>
              <w:top w:val="nil"/>
              <w:left w:val="nil"/>
              <w:bottom w:val="single" w:sz="8" w:space="0" w:color="auto"/>
              <w:right w:val="single" w:sz="8" w:space="0" w:color="auto"/>
            </w:tcBorders>
            <w:shd w:val="clear" w:color="auto" w:fill="BDD6EE" w:themeFill="accent1" w:themeFillTint="66"/>
            <w:tcMar>
              <w:top w:w="15" w:type="dxa"/>
              <w:left w:w="15" w:type="dxa"/>
              <w:bottom w:w="0" w:type="dxa"/>
              <w:right w:w="15" w:type="dxa"/>
            </w:tcMar>
            <w:vAlign w:val="center"/>
            <w:hideMark/>
          </w:tcPr>
          <w:p w14:paraId="1DF2E23C" w14:textId="77777777" w:rsidR="00D210F0" w:rsidRPr="00092ED7" w:rsidRDefault="00D210F0" w:rsidP="005D14E2">
            <w:pPr>
              <w:spacing w:after="0"/>
              <w:jc w:val="center"/>
              <w:rPr>
                <w:rFonts w:cs="Times New Roman"/>
                <w:i/>
                <w:iCs/>
                <w:color w:val="000000"/>
                <w:sz w:val="20"/>
                <w:szCs w:val="20"/>
                <w:lang w:val="sr-Cyrl-CS"/>
              </w:rPr>
            </w:pPr>
            <w:r w:rsidRPr="00092ED7">
              <w:rPr>
                <w:rFonts w:cs="Times New Roman"/>
                <w:i/>
                <w:iCs/>
                <w:color w:val="000000"/>
                <w:sz w:val="20"/>
                <w:szCs w:val="20"/>
                <w:lang w:val="sr-Cyrl-CS"/>
              </w:rPr>
              <w:t>Q4</w:t>
            </w:r>
          </w:p>
        </w:tc>
        <w:tc>
          <w:tcPr>
            <w:tcW w:w="372"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09DDEA99" w14:textId="77777777" w:rsidR="00D210F0" w:rsidRPr="00092ED7" w:rsidRDefault="00D210F0" w:rsidP="005D14E2">
            <w:pPr>
              <w:spacing w:after="0"/>
              <w:jc w:val="center"/>
              <w:rPr>
                <w:rFonts w:cs="Times New Roman"/>
                <w:i/>
                <w:iCs/>
                <w:color w:val="000000"/>
                <w:sz w:val="20"/>
                <w:szCs w:val="20"/>
                <w:lang w:val="sr-Cyrl-CS"/>
              </w:rPr>
            </w:pPr>
            <w:r w:rsidRPr="00092ED7">
              <w:rPr>
                <w:rFonts w:cs="Times New Roman"/>
                <w:i/>
                <w:iCs/>
                <w:color w:val="000000"/>
                <w:sz w:val="20"/>
                <w:szCs w:val="20"/>
                <w:lang w:val="sr-Cyrl-CS"/>
              </w:rPr>
              <w:t>Q1</w:t>
            </w:r>
          </w:p>
        </w:tc>
        <w:tc>
          <w:tcPr>
            <w:tcW w:w="373"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217D980C" w14:textId="77777777" w:rsidR="00D210F0" w:rsidRPr="00092ED7" w:rsidRDefault="00D210F0" w:rsidP="005D14E2">
            <w:pPr>
              <w:spacing w:after="0"/>
              <w:jc w:val="center"/>
              <w:rPr>
                <w:rFonts w:cs="Times New Roman"/>
                <w:i/>
                <w:iCs/>
                <w:color w:val="000000"/>
                <w:sz w:val="20"/>
                <w:szCs w:val="20"/>
                <w:lang w:val="sr-Cyrl-CS"/>
              </w:rPr>
            </w:pPr>
            <w:r w:rsidRPr="00092ED7">
              <w:rPr>
                <w:rFonts w:cs="Times New Roman"/>
                <w:i/>
                <w:iCs/>
                <w:color w:val="000000"/>
                <w:sz w:val="20"/>
                <w:szCs w:val="20"/>
                <w:lang w:val="sr-Cyrl-CS"/>
              </w:rPr>
              <w:t>Q2</w:t>
            </w:r>
          </w:p>
        </w:tc>
        <w:tc>
          <w:tcPr>
            <w:tcW w:w="373"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6A3EBB21" w14:textId="77777777" w:rsidR="00D210F0" w:rsidRPr="00092ED7" w:rsidRDefault="00D210F0" w:rsidP="005D14E2">
            <w:pPr>
              <w:spacing w:after="0"/>
              <w:jc w:val="center"/>
              <w:rPr>
                <w:rFonts w:cs="Times New Roman"/>
                <w:i/>
                <w:iCs/>
                <w:color w:val="000000"/>
                <w:sz w:val="20"/>
                <w:szCs w:val="20"/>
                <w:lang w:val="sr-Cyrl-CS"/>
              </w:rPr>
            </w:pPr>
            <w:r w:rsidRPr="00092ED7">
              <w:rPr>
                <w:rFonts w:cs="Times New Roman"/>
                <w:i/>
                <w:iCs/>
                <w:color w:val="000000"/>
                <w:sz w:val="20"/>
                <w:szCs w:val="20"/>
                <w:lang w:val="sr-Cyrl-CS"/>
              </w:rPr>
              <w:t>Q3</w:t>
            </w:r>
          </w:p>
        </w:tc>
        <w:tc>
          <w:tcPr>
            <w:tcW w:w="372" w:type="dxa"/>
            <w:tcBorders>
              <w:top w:val="nil"/>
              <w:left w:val="nil"/>
              <w:bottom w:val="single" w:sz="8" w:space="0" w:color="auto"/>
              <w:right w:val="single" w:sz="8" w:space="0" w:color="auto"/>
            </w:tcBorders>
            <w:shd w:val="clear" w:color="auto" w:fill="BDD6EE" w:themeFill="accent1" w:themeFillTint="66"/>
            <w:tcMar>
              <w:top w:w="15" w:type="dxa"/>
              <w:left w:w="15" w:type="dxa"/>
              <w:bottom w:w="0" w:type="dxa"/>
              <w:right w:w="15" w:type="dxa"/>
            </w:tcMar>
            <w:vAlign w:val="center"/>
            <w:hideMark/>
          </w:tcPr>
          <w:p w14:paraId="039DD8BA" w14:textId="77777777" w:rsidR="00D210F0" w:rsidRPr="00092ED7" w:rsidRDefault="00D210F0" w:rsidP="005D14E2">
            <w:pPr>
              <w:spacing w:after="0"/>
              <w:jc w:val="center"/>
              <w:rPr>
                <w:rFonts w:cs="Times New Roman"/>
                <w:i/>
                <w:iCs/>
                <w:color w:val="000000"/>
                <w:sz w:val="20"/>
                <w:szCs w:val="20"/>
                <w:lang w:val="sr-Cyrl-CS"/>
              </w:rPr>
            </w:pPr>
            <w:r w:rsidRPr="00092ED7">
              <w:rPr>
                <w:rFonts w:cs="Times New Roman"/>
                <w:i/>
                <w:iCs/>
                <w:color w:val="000000"/>
                <w:sz w:val="20"/>
                <w:szCs w:val="20"/>
                <w:lang w:val="sr-Cyrl-CS"/>
              </w:rPr>
              <w:t>Q4</w:t>
            </w:r>
          </w:p>
        </w:tc>
        <w:tc>
          <w:tcPr>
            <w:tcW w:w="373"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59901516" w14:textId="77777777" w:rsidR="00D210F0" w:rsidRPr="00092ED7" w:rsidRDefault="00D210F0" w:rsidP="005D14E2">
            <w:pPr>
              <w:spacing w:after="0"/>
              <w:jc w:val="center"/>
              <w:rPr>
                <w:rFonts w:cs="Times New Roman"/>
                <w:i/>
                <w:iCs/>
                <w:color w:val="000000"/>
                <w:sz w:val="20"/>
                <w:szCs w:val="20"/>
                <w:lang w:val="sr-Cyrl-CS"/>
              </w:rPr>
            </w:pPr>
            <w:r w:rsidRPr="00092ED7">
              <w:rPr>
                <w:rFonts w:cs="Times New Roman"/>
                <w:i/>
                <w:iCs/>
                <w:color w:val="000000"/>
                <w:sz w:val="20"/>
                <w:szCs w:val="20"/>
                <w:lang w:val="sr-Cyrl-CS"/>
              </w:rPr>
              <w:t>Q1</w:t>
            </w:r>
          </w:p>
        </w:tc>
        <w:tc>
          <w:tcPr>
            <w:tcW w:w="372"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0785CBB5" w14:textId="77777777" w:rsidR="00D210F0" w:rsidRPr="00092ED7" w:rsidRDefault="00D210F0" w:rsidP="005D14E2">
            <w:pPr>
              <w:spacing w:after="0"/>
              <w:jc w:val="center"/>
              <w:rPr>
                <w:rFonts w:cs="Times New Roman"/>
                <w:i/>
                <w:iCs/>
                <w:color w:val="000000"/>
                <w:sz w:val="20"/>
                <w:szCs w:val="20"/>
                <w:lang w:val="sr-Cyrl-CS"/>
              </w:rPr>
            </w:pPr>
            <w:r w:rsidRPr="00092ED7">
              <w:rPr>
                <w:rFonts w:cs="Times New Roman"/>
                <w:i/>
                <w:iCs/>
                <w:color w:val="000000"/>
                <w:sz w:val="20"/>
                <w:szCs w:val="20"/>
                <w:lang w:val="sr-Cyrl-CS"/>
              </w:rPr>
              <w:t>Q2</w:t>
            </w:r>
          </w:p>
        </w:tc>
        <w:tc>
          <w:tcPr>
            <w:tcW w:w="373"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32E482A5" w14:textId="77777777" w:rsidR="00D210F0" w:rsidRPr="00092ED7" w:rsidRDefault="00D210F0" w:rsidP="005D14E2">
            <w:pPr>
              <w:spacing w:after="0"/>
              <w:jc w:val="center"/>
              <w:rPr>
                <w:rFonts w:cs="Times New Roman"/>
                <w:i/>
                <w:iCs/>
                <w:color w:val="000000"/>
                <w:sz w:val="20"/>
                <w:szCs w:val="20"/>
                <w:lang w:val="sr-Cyrl-CS"/>
              </w:rPr>
            </w:pPr>
            <w:r w:rsidRPr="00092ED7">
              <w:rPr>
                <w:rFonts w:cs="Times New Roman"/>
                <w:i/>
                <w:iCs/>
                <w:color w:val="000000"/>
                <w:sz w:val="20"/>
                <w:szCs w:val="20"/>
                <w:lang w:val="sr-Cyrl-CS"/>
              </w:rPr>
              <w:t>Q3</w:t>
            </w:r>
          </w:p>
        </w:tc>
        <w:tc>
          <w:tcPr>
            <w:tcW w:w="373" w:type="dxa"/>
            <w:tcBorders>
              <w:top w:val="nil"/>
              <w:left w:val="nil"/>
              <w:bottom w:val="single" w:sz="8" w:space="0" w:color="auto"/>
              <w:right w:val="single" w:sz="8" w:space="0" w:color="auto"/>
            </w:tcBorders>
            <w:shd w:val="clear" w:color="auto" w:fill="BDD6EE" w:themeFill="accent1" w:themeFillTint="66"/>
            <w:tcMar>
              <w:top w:w="15" w:type="dxa"/>
              <w:left w:w="15" w:type="dxa"/>
              <w:bottom w:w="0" w:type="dxa"/>
              <w:right w:w="15" w:type="dxa"/>
            </w:tcMar>
            <w:vAlign w:val="center"/>
            <w:hideMark/>
          </w:tcPr>
          <w:p w14:paraId="0374CE02" w14:textId="77777777" w:rsidR="00D210F0" w:rsidRPr="00092ED7" w:rsidRDefault="00D210F0" w:rsidP="005D14E2">
            <w:pPr>
              <w:spacing w:after="0"/>
              <w:jc w:val="center"/>
              <w:rPr>
                <w:rFonts w:cs="Times New Roman"/>
                <w:i/>
                <w:iCs/>
                <w:color w:val="000000"/>
                <w:sz w:val="20"/>
                <w:szCs w:val="20"/>
                <w:lang w:val="sr-Cyrl-CS"/>
              </w:rPr>
            </w:pPr>
            <w:r w:rsidRPr="00092ED7">
              <w:rPr>
                <w:rFonts w:cs="Times New Roman"/>
                <w:i/>
                <w:iCs/>
                <w:color w:val="000000"/>
                <w:sz w:val="20"/>
                <w:szCs w:val="20"/>
                <w:lang w:val="sr-Cyrl-CS"/>
              </w:rPr>
              <w:t>Q4</w:t>
            </w:r>
          </w:p>
        </w:tc>
      </w:tr>
      <w:tr w:rsidR="00D7672A" w:rsidRPr="00092ED7" w14:paraId="41F8D32B" w14:textId="77777777" w:rsidTr="005C0DE5">
        <w:trPr>
          <w:trHeight w:val="300"/>
        </w:trPr>
        <w:tc>
          <w:tcPr>
            <w:tcW w:w="425" w:type="dxa"/>
            <w:tcBorders>
              <w:top w:val="nil"/>
              <w:left w:val="single" w:sz="8" w:space="0" w:color="auto"/>
              <w:bottom w:val="single" w:sz="4" w:space="0" w:color="auto"/>
              <w:right w:val="nil"/>
            </w:tcBorders>
            <w:shd w:val="clear" w:color="auto" w:fill="auto"/>
            <w:tcMar>
              <w:top w:w="15" w:type="dxa"/>
              <w:left w:w="15" w:type="dxa"/>
              <w:bottom w:w="0" w:type="dxa"/>
              <w:right w:w="15" w:type="dxa"/>
            </w:tcMar>
          </w:tcPr>
          <w:p w14:paraId="03820495" w14:textId="77777777" w:rsidR="004C03FF" w:rsidRPr="00092ED7" w:rsidRDefault="004C03FF" w:rsidP="005D14E2">
            <w:pPr>
              <w:spacing w:after="0"/>
              <w:jc w:val="center"/>
              <w:rPr>
                <w:rFonts w:cs="Times New Roman"/>
                <w:bCs/>
                <w:sz w:val="20"/>
                <w:szCs w:val="20"/>
                <w:lang w:val="sr-Cyrl-CS"/>
              </w:rPr>
            </w:pPr>
            <w:r w:rsidRPr="00092ED7">
              <w:rPr>
                <w:rFonts w:cs="Times New Roman"/>
                <w:bCs/>
                <w:sz w:val="20"/>
                <w:szCs w:val="20"/>
                <w:lang w:val="sr-Cyrl-CS"/>
              </w:rPr>
              <w:t>1.</w:t>
            </w:r>
          </w:p>
        </w:tc>
        <w:tc>
          <w:tcPr>
            <w:tcW w:w="4243" w:type="dxa"/>
            <w:tcBorders>
              <w:top w:val="nil"/>
              <w:left w:val="single" w:sz="8" w:space="0" w:color="auto"/>
              <w:bottom w:val="single" w:sz="4" w:space="0" w:color="auto"/>
              <w:right w:val="single" w:sz="4" w:space="0" w:color="auto"/>
            </w:tcBorders>
            <w:shd w:val="clear" w:color="auto" w:fill="auto"/>
            <w:tcMar>
              <w:top w:w="15" w:type="dxa"/>
              <w:left w:w="15" w:type="dxa"/>
              <w:bottom w:w="0" w:type="dxa"/>
              <w:right w:w="15" w:type="dxa"/>
            </w:tcMar>
          </w:tcPr>
          <w:p w14:paraId="2DF6711E" w14:textId="04B8FBB6" w:rsidR="004C03FF" w:rsidRPr="00092ED7" w:rsidRDefault="004C03FF" w:rsidP="005D14E2">
            <w:pPr>
              <w:spacing w:after="0"/>
              <w:ind w:right="222"/>
              <w:rPr>
                <w:rFonts w:cs="Times New Roman"/>
                <w:sz w:val="20"/>
                <w:szCs w:val="20"/>
                <w:lang w:val="sr-Cyrl-CS"/>
              </w:rPr>
            </w:pPr>
            <w:r w:rsidRPr="00092ED7">
              <w:rPr>
                <w:rFonts w:cs="Times New Roman"/>
                <w:sz w:val="20"/>
                <w:szCs w:val="20"/>
                <w:lang w:val="sr-Cyrl-CS"/>
              </w:rPr>
              <w:t>Анализа постојећих програма и предлог реформе</w:t>
            </w:r>
            <w:r w:rsidR="00295B15" w:rsidRPr="00092ED7">
              <w:rPr>
                <w:rFonts w:cs="Times New Roman"/>
                <w:sz w:val="20"/>
                <w:szCs w:val="20"/>
                <w:lang w:val="sr-Cyrl-CS"/>
              </w:rPr>
              <w:t xml:space="preserve"> Фонда</w:t>
            </w:r>
            <w:r w:rsidR="001028F8" w:rsidRPr="00092ED7">
              <w:rPr>
                <w:rFonts w:cs="Times New Roman"/>
                <w:sz w:val="20"/>
                <w:szCs w:val="20"/>
                <w:lang w:val="sr-Cyrl-CS"/>
              </w:rPr>
              <w:t xml:space="preserve"> за младе таленте</w:t>
            </w:r>
          </w:p>
        </w:tc>
        <w:tc>
          <w:tcPr>
            <w:tcW w:w="372" w:type="dxa"/>
            <w:tcBorders>
              <w:top w:val="nil"/>
              <w:left w:val="single" w:sz="8"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25E4D16" w14:textId="77777777" w:rsidR="004C03FF" w:rsidRPr="00092ED7" w:rsidRDefault="004C03FF"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56C01FE1" w14:textId="77777777" w:rsidR="004C03FF" w:rsidRPr="00092ED7" w:rsidRDefault="004C03FF" w:rsidP="005D14E2">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2393E13E" w14:textId="77777777" w:rsidR="004C03FF" w:rsidRPr="00092ED7" w:rsidRDefault="004C03FF"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8" w:space="0" w:color="auto"/>
            </w:tcBorders>
            <w:shd w:val="clear" w:color="auto" w:fill="auto"/>
            <w:tcMar>
              <w:top w:w="15" w:type="dxa"/>
              <w:left w:w="15" w:type="dxa"/>
              <w:bottom w:w="0" w:type="dxa"/>
              <w:right w:w="15" w:type="dxa"/>
            </w:tcMar>
          </w:tcPr>
          <w:p w14:paraId="7B34CD94" w14:textId="77777777" w:rsidR="004C03FF" w:rsidRPr="00092ED7" w:rsidRDefault="004C03FF" w:rsidP="005D14E2">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33BFA09A" w14:textId="77777777" w:rsidR="004C03FF" w:rsidRPr="00092ED7" w:rsidRDefault="004C03FF"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5980F4E8" w14:textId="77777777" w:rsidR="004C03FF" w:rsidRPr="00092ED7" w:rsidRDefault="004C03FF"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434054A1" w14:textId="77777777" w:rsidR="004C03FF" w:rsidRPr="00092ED7" w:rsidRDefault="004C03FF" w:rsidP="005D14E2">
            <w:pPr>
              <w:spacing w:after="0"/>
              <w:rPr>
                <w:rFonts w:cs="Times New Roman"/>
                <w:color w:val="000000"/>
                <w:sz w:val="20"/>
                <w:szCs w:val="20"/>
                <w:lang w:val="sr-Cyrl-CS"/>
              </w:rPr>
            </w:pPr>
          </w:p>
        </w:tc>
        <w:tc>
          <w:tcPr>
            <w:tcW w:w="372" w:type="dxa"/>
            <w:tcBorders>
              <w:top w:val="nil"/>
              <w:left w:val="nil"/>
              <w:bottom w:val="single" w:sz="4" w:space="0" w:color="auto"/>
              <w:right w:val="single" w:sz="8" w:space="0" w:color="auto"/>
            </w:tcBorders>
            <w:shd w:val="clear" w:color="auto" w:fill="auto"/>
            <w:tcMar>
              <w:top w:w="15" w:type="dxa"/>
              <w:left w:w="15" w:type="dxa"/>
              <w:bottom w:w="0" w:type="dxa"/>
              <w:right w:w="15" w:type="dxa"/>
            </w:tcMar>
          </w:tcPr>
          <w:p w14:paraId="15FB70FE" w14:textId="77777777" w:rsidR="004C03FF" w:rsidRPr="00092ED7" w:rsidRDefault="004C03FF"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6A2A8535" w14:textId="77777777" w:rsidR="004C03FF" w:rsidRPr="00092ED7" w:rsidRDefault="004C03FF" w:rsidP="005D14E2">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7C452049" w14:textId="77777777" w:rsidR="004C03FF" w:rsidRPr="00092ED7" w:rsidRDefault="004C03FF"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02F48F27" w14:textId="77777777" w:rsidR="004C03FF" w:rsidRPr="00092ED7" w:rsidRDefault="004C03FF"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8" w:space="0" w:color="auto"/>
            </w:tcBorders>
            <w:shd w:val="clear" w:color="auto" w:fill="auto"/>
            <w:tcMar>
              <w:top w:w="15" w:type="dxa"/>
              <w:left w:w="15" w:type="dxa"/>
              <w:bottom w:w="0" w:type="dxa"/>
              <w:right w:w="15" w:type="dxa"/>
            </w:tcMar>
          </w:tcPr>
          <w:p w14:paraId="7B247DBE" w14:textId="77777777" w:rsidR="004C03FF" w:rsidRPr="00092ED7" w:rsidRDefault="004C03FF" w:rsidP="005D14E2">
            <w:pPr>
              <w:spacing w:after="0"/>
              <w:rPr>
                <w:rFonts w:cs="Times New Roman"/>
                <w:color w:val="000000"/>
                <w:sz w:val="20"/>
                <w:szCs w:val="20"/>
                <w:lang w:val="sr-Cyrl-CS"/>
              </w:rPr>
            </w:pPr>
          </w:p>
        </w:tc>
      </w:tr>
      <w:tr w:rsidR="00D7672A" w:rsidRPr="00092ED7" w14:paraId="13187DF8" w14:textId="77777777" w:rsidTr="005C0DE5">
        <w:trPr>
          <w:trHeight w:val="300"/>
        </w:trPr>
        <w:tc>
          <w:tcPr>
            <w:tcW w:w="425" w:type="dxa"/>
            <w:tcBorders>
              <w:top w:val="single" w:sz="4" w:space="0" w:color="auto"/>
              <w:left w:val="single" w:sz="8" w:space="0" w:color="auto"/>
              <w:bottom w:val="single" w:sz="4" w:space="0" w:color="auto"/>
              <w:right w:val="nil"/>
            </w:tcBorders>
            <w:shd w:val="clear" w:color="auto" w:fill="auto"/>
            <w:tcMar>
              <w:top w:w="15" w:type="dxa"/>
              <w:left w:w="15" w:type="dxa"/>
              <w:bottom w:w="0" w:type="dxa"/>
              <w:right w:w="15" w:type="dxa"/>
            </w:tcMar>
          </w:tcPr>
          <w:p w14:paraId="01C9EDD2" w14:textId="77777777" w:rsidR="00D210F0" w:rsidRPr="00092ED7" w:rsidRDefault="00AC69CE" w:rsidP="005D14E2">
            <w:pPr>
              <w:spacing w:after="0"/>
              <w:jc w:val="center"/>
              <w:rPr>
                <w:rFonts w:cs="Times New Roman"/>
                <w:bCs/>
                <w:sz w:val="20"/>
                <w:szCs w:val="20"/>
                <w:lang w:val="sr-Cyrl-CS"/>
              </w:rPr>
            </w:pPr>
            <w:r w:rsidRPr="00092ED7">
              <w:rPr>
                <w:rFonts w:cs="Times New Roman"/>
                <w:bCs/>
                <w:sz w:val="20"/>
                <w:szCs w:val="20"/>
                <w:lang w:val="sr-Cyrl-CS"/>
              </w:rPr>
              <w:t>2</w:t>
            </w:r>
            <w:r w:rsidR="00D210F0" w:rsidRPr="00092ED7">
              <w:rPr>
                <w:rFonts w:cs="Times New Roman"/>
                <w:bCs/>
                <w:sz w:val="20"/>
                <w:szCs w:val="20"/>
                <w:lang w:val="sr-Cyrl-CS"/>
              </w:rPr>
              <w:t>.</w:t>
            </w:r>
          </w:p>
        </w:tc>
        <w:tc>
          <w:tcPr>
            <w:tcW w:w="4243" w:type="dxa"/>
            <w:tcBorders>
              <w:top w:val="single" w:sz="4" w:space="0" w:color="auto"/>
              <w:left w:val="single" w:sz="8" w:space="0" w:color="auto"/>
              <w:bottom w:val="single" w:sz="4" w:space="0" w:color="auto"/>
              <w:right w:val="single" w:sz="4" w:space="0" w:color="auto"/>
            </w:tcBorders>
            <w:shd w:val="clear" w:color="auto" w:fill="auto"/>
            <w:tcMar>
              <w:top w:w="15" w:type="dxa"/>
              <w:left w:w="15" w:type="dxa"/>
              <w:bottom w:w="0" w:type="dxa"/>
              <w:right w:w="15" w:type="dxa"/>
            </w:tcMar>
          </w:tcPr>
          <w:p w14:paraId="3AB5328F" w14:textId="77777777" w:rsidR="00D210F0" w:rsidRPr="00092ED7" w:rsidRDefault="00AC69CE" w:rsidP="005D14E2">
            <w:pPr>
              <w:spacing w:after="0"/>
              <w:ind w:right="222"/>
              <w:rPr>
                <w:sz w:val="20"/>
                <w:szCs w:val="20"/>
                <w:lang w:val="sr-Cyrl-CS"/>
              </w:rPr>
            </w:pPr>
            <w:r w:rsidRPr="00092ED7">
              <w:rPr>
                <w:rFonts w:cs="Times New Roman"/>
                <w:sz w:val="20"/>
                <w:szCs w:val="20"/>
                <w:lang w:val="sr-Cyrl-CS"/>
              </w:rPr>
              <w:t>Развој дигиталне платформе</w:t>
            </w:r>
          </w:p>
        </w:tc>
        <w:tc>
          <w:tcPr>
            <w:tcW w:w="372" w:type="dxa"/>
            <w:tcBorders>
              <w:top w:val="single" w:sz="4" w:space="0" w:color="auto"/>
              <w:left w:val="single" w:sz="8"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461644D" w14:textId="77777777" w:rsidR="00D210F0" w:rsidRPr="00092ED7" w:rsidRDefault="00D210F0" w:rsidP="005D14E2">
            <w:pPr>
              <w:spacing w:after="0"/>
              <w:rPr>
                <w:rFonts w:cs="Times New Roman"/>
                <w:color w:val="000000"/>
                <w:sz w:val="20"/>
                <w:szCs w:val="20"/>
                <w:lang w:val="sr-Cyrl-CS"/>
              </w:rPr>
            </w:pPr>
          </w:p>
        </w:tc>
        <w:tc>
          <w:tcPr>
            <w:tcW w:w="373"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3751D256" w14:textId="77777777" w:rsidR="00D210F0" w:rsidRPr="00092ED7" w:rsidRDefault="00D210F0" w:rsidP="005D14E2">
            <w:pPr>
              <w:spacing w:after="0"/>
              <w:rPr>
                <w:rFonts w:cs="Times New Roman"/>
                <w:color w:val="000000"/>
                <w:sz w:val="20"/>
                <w:szCs w:val="20"/>
                <w:lang w:val="sr-Cyrl-CS"/>
              </w:rPr>
            </w:pPr>
          </w:p>
        </w:tc>
        <w:tc>
          <w:tcPr>
            <w:tcW w:w="372"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8FF0A74" w14:textId="77777777" w:rsidR="00D210F0" w:rsidRPr="00092ED7" w:rsidRDefault="00D210F0" w:rsidP="005D14E2">
            <w:pPr>
              <w:spacing w:after="0"/>
              <w:rPr>
                <w:rFonts w:cs="Times New Roman"/>
                <w:color w:val="000000"/>
                <w:sz w:val="20"/>
                <w:szCs w:val="20"/>
                <w:lang w:val="sr-Cyrl-CS"/>
              </w:rPr>
            </w:pPr>
          </w:p>
        </w:tc>
        <w:tc>
          <w:tcPr>
            <w:tcW w:w="373" w:type="dxa"/>
            <w:tcBorders>
              <w:top w:val="single" w:sz="4" w:space="0" w:color="auto"/>
              <w:left w:val="nil"/>
              <w:bottom w:val="single" w:sz="4" w:space="0" w:color="auto"/>
              <w:right w:val="single" w:sz="8" w:space="0" w:color="auto"/>
            </w:tcBorders>
            <w:shd w:val="clear" w:color="auto" w:fill="auto"/>
            <w:tcMar>
              <w:top w:w="15" w:type="dxa"/>
              <w:left w:w="15" w:type="dxa"/>
              <w:bottom w:w="0" w:type="dxa"/>
              <w:right w:w="15" w:type="dxa"/>
            </w:tcMar>
          </w:tcPr>
          <w:p w14:paraId="4B40DC7B" w14:textId="77777777" w:rsidR="00D210F0" w:rsidRPr="00092ED7" w:rsidRDefault="00D210F0" w:rsidP="005D14E2">
            <w:pPr>
              <w:spacing w:after="0"/>
              <w:rPr>
                <w:rFonts w:cs="Times New Roman"/>
                <w:color w:val="000000"/>
                <w:sz w:val="20"/>
                <w:szCs w:val="20"/>
                <w:lang w:val="sr-Cyrl-CS"/>
              </w:rPr>
            </w:pPr>
          </w:p>
        </w:tc>
        <w:tc>
          <w:tcPr>
            <w:tcW w:w="372"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12573A72" w14:textId="77777777" w:rsidR="00D210F0" w:rsidRPr="00092ED7" w:rsidRDefault="00D210F0" w:rsidP="005D14E2">
            <w:pPr>
              <w:spacing w:after="0"/>
              <w:rPr>
                <w:rFonts w:cs="Times New Roman"/>
                <w:color w:val="000000"/>
                <w:sz w:val="20"/>
                <w:szCs w:val="20"/>
                <w:lang w:val="sr-Cyrl-CS"/>
              </w:rPr>
            </w:pPr>
          </w:p>
        </w:tc>
        <w:tc>
          <w:tcPr>
            <w:tcW w:w="373"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3769E023" w14:textId="77777777" w:rsidR="00D210F0" w:rsidRPr="00092ED7" w:rsidRDefault="00D210F0" w:rsidP="005D14E2">
            <w:pPr>
              <w:spacing w:after="0"/>
              <w:rPr>
                <w:rFonts w:cs="Times New Roman"/>
                <w:color w:val="000000"/>
                <w:sz w:val="20"/>
                <w:szCs w:val="20"/>
                <w:lang w:val="sr-Cyrl-CS"/>
              </w:rPr>
            </w:pPr>
          </w:p>
        </w:tc>
        <w:tc>
          <w:tcPr>
            <w:tcW w:w="373"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73C86572" w14:textId="77777777" w:rsidR="00D210F0" w:rsidRPr="00092ED7" w:rsidRDefault="00D210F0" w:rsidP="005D14E2">
            <w:pPr>
              <w:spacing w:after="0"/>
              <w:rPr>
                <w:rFonts w:cs="Times New Roman"/>
                <w:color w:val="000000"/>
                <w:sz w:val="20"/>
                <w:szCs w:val="20"/>
                <w:lang w:val="sr-Cyrl-CS"/>
              </w:rPr>
            </w:pPr>
          </w:p>
        </w:tc>
        <w:tc>
          <w:tcPr>
            <w:tcW w:w="372" w:type="dxa"/>
            <w:tcBorders>
              <w:top w:val="single" w:sz="4" w:space="0" w:color="auto"/>
              <w:left w:val="nil"/>
              <w:bottom w:val="single" w:sz="4" w:space="0" w:color="auto"/>
              <w:right w:val="single" w:sz="8" w:space="0" w:color="auto"/>
            </w:tcBorders>
            <w:shd w:val="clear" w:color="auto" w:fill="auto"/>
            <w:tcMar>
              <w:top w:w="15" w:type="dxa"/>
              <w:left w:w="15" w:type="dxa"/>
              <w:bottom w:w="0" w:type="dxa"/>
              <w:right w:w="15" w:type="dxa"/>
            </w:tcMar>
          </w:tcPr>
          <w:p w14:paraId="69E8B23C" w14:textId="77777777" w:rsidR="00D210F0" w:rsidRPr="00092ED7" w:rsidRDefault="00D210F0" w:rsidP="005D14E2">
            <w:pPr>
              <w:spacing w:after="0"/>
              <w:rPr>
                <w:rFonts w:cs="Times New Roman"/>
                <w:color w:val="000000"/>
                <w:sz w:val="20"/>
                <w:szCs w:val="20"/>
                <w:lang w:val="sr-Cyrl-CS"/>
              </w:rPr>
            </w:pPr>
          </w:p>
        </w:tc>
        <w:tc>
          <w:tcPr>
            <w:tcW w:w="373"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1F0A9053" w14:textId="77777777" w:rsidR="00D210F0" w:rsidRPr="00092ED7" w:rsidRDefault="00D210F0" w:rsidP="005D14E2">
            <w:pPr>
              <w:spacing w:after="0"/>
              <w:rPr>
                <w:rFonts w:cs="Times New Roman"/>
                <w:color w:val="000000"/>
                <w:sz w:val="20"/>
                <w:szCs w:val="20"/>
                <w:lang w:val="sr-Cyrl-CS"/>
              </w:rPr>
            </w:pPr>
          </w:p>
        </w:tc>
        <w:tc>
          <w:tcPr>
            <w:tcW w:w="372"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734F8289" w14:textId="77777777" w:rsidR="00D210F0" w:rsidRPr="00092ED7" w:rsidRDefault="00D210F0" w:rsidP="005D14E2">
            <w:pPr>
              <w:spacing w:after="0"/>
              <w:rPr>
                <w:rFonts w:cs="Times New Roman"/>
                <w:color w:val="000000"/>
                <w:sz w:val="20"/>
                <w:szCs w:val="20"/>
                <w:lang w:val="sr-Cyrl-CS"/>
              </w:rPr>
            </w:pPr>
          </w:p>
        </w:tc>
        <w:tc>
          <w:tcPr>
            <w:tcW w:w="373"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4C4FBF6D" w14:textId="77777777" w:rsidR="00D210F0" w:rsidRPr="00092ED7" w:rsidRDefault="00D210F0" w:rsidP="005D14E2">
            <w:pPr>
              <w:spacing w:after="0"/>
              <w:rPr>
                <w:rFonts w:cs="Times New Roman"/>
                <w:color w:val="000000"/>
                <w:sz w:val="20"/>
                <w:szCs w:val="20"/>
                <w:lang w:val="sr-Cyrl-CS"/>
              </w:rPr>
            </w:pPr>
          </w:p>
        </w:tc>
        <w:tc>
          <w:tcPr>
            <w:tcW w:w="373" w:type="dxa"/>
            <w:tcBorders>
              <w:top w:val="single" w:sz="4" w:space="0" w:color="auto"/>
              <w:left w:val="nil"/>
              <w:bottom w:val="single" w:sz="4" w:space="0" w:color="auto"/>
              <w:right w:val="single" w:sz="8" w:space="0" w:color="auto"/>
            </w:tcBorders>
            <w:shd w:val="clear" w:color="auto" w:fill="auto"/>
            <w:tcMar>
              <w:top w:w="15" w:type="dxa"/>
              <w:left w:w="15" w:type="dxa"/>
              <w:bottom w:w="0" w:type="dxa"/>
              <w:right w:w="15" w:type="dxa"/>
            </w:tcMar>
          </w:tcPr>
          <w:p w14:paraId="2A6F839A" w14:textId="77777777" w:rsidR="00D210F0" w:rsidRPr="00092ED7" w:rsidRDefault="00D210F0" w:rsidP="005D14E2">
            <w:pPr>
              <w:spacing w:after="0"/>
              <w:rPr>
                <w:rFonts w:cs="Times New Roman"/>
                <w:color w:val="000000"/>
                <w:sz w:val="20"/>
                <w:szCs w:val="20"/>
                <w:lang w:val="sr-Cyrl-CS"/>
              </w:rPr>
            </w:pPr>
          </w:p>
        </w:tc>
      </w:tr>
      <w:tr w:rsidR="00D7672A" w:rsidRPr="00092ED7" w14:paraId="2089DF64" w14:textId="77777777" w:rsidTr="00CC71EC">
        <w:trPr>
          <w:trHeight w:val="300"/>
        </w:trPr>
        <w:tc>
          <w:tcPr>
            <w:tcW w:w="425" w:type="dxa"/>
            <w:tcBorders>
              <w:top w:val="single" w:sz="4" w:space="0" w:color="auto"/>
              <w:left w:val="single" w:sz="8" w:space="0" w:color="auto"/>
              <w:bottom w:val="single" w:sz="4" w:space="0" w:color="auto"/>
              <w:right w:val="single" w:sz="8" w:space="0" w:color="auto"/>
            </w:tcBorders>
            <w:shd w:val="clear" w:color="auto" w:fill="auto"/>
            <w:tcMar>
              <w:top w:w="15" w:type="dxa"/>
              <w:left w:w="15" w:type="dxa"/>
              <w:bottom w:w="0" w:type="dxa"/>
              <w:right w:w="15" w:type="dxa"/>
            </w:tcMar>
          </w:tcPr>
          <w:p w14:paraId="2DA55076" w14:textId="77777777" w:rsidR="00D210F0" w:rsidRPr="00092ED7" w:rsidRDefault="00AC69CE" w:rsidP="005D14E2">
            <w:pPr>
              <w:spacing w:after="0"/>
              <w:jc w:val="center"/>
              <w:rPr>
                <w:rFonts w:cs="Times New Roman"/>
                <w:bCs/>
                <w:sz w:val="20"/>
                <w:szCs w:val="20"/>
                <w:lang w:val="sr-Cyrl-CS"/>
              </w:rPr>
            </w:pPr>
            <w:r w:rsidRPr="00092ED7">
              <w:rPr>
                <w:rFonts w:cs="Times New Roman"/>
                <w:bCs/>
                <w:sz w:val="20"/>
                <w:szCs w:val="20"/>
                <w:lang w:val="sr-Cyrl-CS"/>
              </w:rPr>
              <w:t>3</w:t>
            </w:r>
            <w:r w:rsidR="00D210F0" w:rsidRPr="00092ED7">
              <w:rPr>
                <w:rFonts w:cs="Times New Roman"/>
                <w:bCs/>
                <w:sz w:val="20"/>
                <w:szCs w:val="20"/>
                <w:lang w:val="sr-Cyrl-CS"/>
              </w:rPr>
              <w:t>.</w:t>
            </w:r>
          </w:p>
        </w:tc>
        <w:tc>
          <w:tcPr>
            <w:tcW w:w="4243" w:type="dxa"/>
            <w:tcBorders>
              <w:top w:val="nil"/>
              <w:left w:val="nil"/>
              <w:bottom w:val="single" w:sz="4" w:space="0" w:color="auto"/>
              <w:right w:val="single" w:sz="8" w:space="0" w:color="auto"/>
            </w:tcBorders>
            <w:shd w:val="clear" w:color="auto" w:fill="auto"/>
            <w:noWrap/>
            <w:tcMar>
              <w:top w:w="15" w:type="dxa"/>
              <w:left w:w="15" w:type="dxa"/>
              <w:bottom w:w="0" w:type="dxa"/>
              <w:right w:w="15" w:type="dxa"/>
            </w:tcMar>
          </w:tcPr>
          <w:p w14:paraId="3A0C8FA4" w14:textId="2DE0BEAB" w:rsidR="00D210F0" w:rsidRPr="00092ED7" w:rsidRDefault="00D210F0" w:rsidP="005D14E2">
            <w:pPr>
              <w:spacing w:after="0"/>
              <w:ind w:right="222"/>
              <w:rPr>
                <w:sz w:val="20"/>
                <w:szCs w:val="20"/>
                <w:lang w:val="sr-Cyrl-CS"/>
              </w:rPr>
            </w:pPr>
            <w:r w:rsidRPr="00092ED7">
              <w:rPr>
                <w:rFonts w:cs="Times New Roman"/>
                <w:color w:val="000000"/>
                <w:sz w:val="20"/>
                <w:szCs w:val="20"/>
                <w:lang w:val="sr-Cyrl-CS"/>
              </w:rPr>
              <w:t xml:space="preserve">Расписивање програма </w:t>
            </w:r>
            <w:r w:rsidRPr="00092ED7">
              <w:rPr>
                <w:rFonts w:cs="Times New Roman"/>
                <w:sz w:val="20"/>
                <w:szCs w:val="20"/>
                <w:lang w:val="sr-Cyrl-CS"/>
              </w:rPr>
              <w:t xml:space="preserve">и додела стипендија по програму </w:t>
            </w:r>
            <w:r w:rsidRPr="00092ED7">
              <w:rPr>
                <w:rFonts w:cs="Times New Roman"/>
                <w:color w:val="000000"/>
                <w:sz w:val="20"/>
                <w:szCs w:val="20"/>
                <w:lang w:val="sr-Cyrl-CS"/>
              </w:rPr>
              <w:t>за стипендирање талената за студирање у Р</w:t>
            </w:r>
            <w:r w:rsidR="001028F8" w:rsidRPr="00092ED7">
              <w:rPr>
                <w:rFonts w:cs="Times New Roman"/>
                <w:color w:val="000000"/>
                <w:sz w:val="20"/>
                <w:szCs w:val="20"/>
                <w:lang w:val="sr-Cyrl-CS"/>
              </w:rPr>
              <w:t>епублици Србији</w:t>
            </w:r>
          </w:p>
        </w:tc>
        <w:tc>
          <w:tcPr>
            <w:tcW w:w="372"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0EEF5914" w14:textId="77777777" w:rsidR="00D210F0" w:rsidRPr="00092ED7" w:rsidRDefault="00D210F0"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0F390738" w14:textId="77777777" w:rsidR="00D210F0" w:rsidRPr="00092ED7" w:rsidRDefault="00D210F0" w:rsidP="005D14E2">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9D6B69A" w14:textId="77777777" w:rsidR="00D210F0" w:rsidRPr="00092ED7" w:rsidRDefault="00D210F0"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5D2801D1" w14:textId="77777777" w:rsidR="00D210F0" w:rsidRPr="00092ED7" w:rsidRDefault="00D210F0" w:rsidP="005D14E2">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62DAA0E4" w14:textId="77777777" w:rsidR="00D210F0" w:rsidRPr="00092ED7" w:rsidRDefault="00D210F0"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785B2F3B" w14:textId="77777777" w:rsidR="00D210F0" w:rsidRPr="00092ED7" w:rsidRDefault="00D210F0"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5D2FD38E" w14:textId="77777777" w:rsidR="00D210F0" w:rsidRPr="00092ED7" w:rsidRDefault="00D210F0" w:rsidP="005D14E2">
            <w:pPr>
              <w:spacing w:after="0"/>
              <w:rPr>
                <w:rFonts w:cs="Times New Roman"/>
                <w:color w:val="000000"/>
                <w:sz w:val="20"/>
                <w:szCs w:val="20"/>
                <w:lang w:val="sr-Cyrl-CS"/>
              </w:rPr>
            </w:pPr>
          </w:p>
        </w:tc>
        <w:tc>
          <w:tcPr>
            <w:tcW w:w="372" w:type="dxa"/>
            <w:tcBorders>
              <w:top w:val="nil"/>
              <w:left w:val="nil"/>
              <w:bottom w:val="single" w:sz="4" w:space="0" w:color="auto"/>
              <w:right w:val="single" w:sz="8" w:space="0" w:color="auto"/>
            </w:tcBorders>
            <w:shd w:val="clear" w:color="auto" w:fill="auto"/>
            <w:tcMar>
              <w:top w:w="15" w:type="dxa"/>
              <w:left w:w="15" w:type="dxa"/>
              <w:bottom w:w="0" w:type="dxa"/>
              <w:right w:w="15" w:type="dxa"/>
            </w:tcMar>
          </w:tcPr>
          <w:p w14:paraId="0ED3E8CC" w14:textId="77777777" w:rsidR="00D210F0" w:rsidRPr="00092ED7" w:rsidRDefault="00D210F0"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72969766" w14:textId="77777777" w:rsidR="00D210F0" w:rsidRPr="00092ED7" w:rsidRDefault="00D210F0" w:rsidP="005D14E2">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163B143A" w14:textId="77777777" w:rsidR="00D210F0" w:rsidRPr="00092ED7" w:rsidRDefault="00D210F0"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7383A565" w14:textId="77777777" w:rsidR="00D210F0" w:rsidRPr="00092ED7" w:rsidRDefault="00D210F0"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8" w:space="0" w:color="auto"/>
            </w:tcBorders>
            <w:shd w:val="clear" w:color="auto" w:fill="auto"/>
            <w:tcMar>
              <w:top w:w="15" w:type="dxa"/>
              <w:left w:w="15" w:type="dxa"/>
              <w:bottom w:w="0" w:type="dxa"/>
              <w:right w:w="15" w:type="dxa"/>
            </w:tcMar>
          </w:tcPr>
          <w:p w14:paraId="1C6D19F7" w14:textId="77777777" w:rsidR="00D210F0" w:rsidRPr="00092ED7" w:rsidRDefault="00D210F0" w:rsidP="005D14E2">
            <w:pPr>
              <w:spacing w:after="0"/>
              <w:rPr>
                <w:rFonts w:cs="Times New Roman"/>
                <w:color w:val="000000"/>
                <w:sz w:val="20"/>
                <w:szCs w:val="20"/>
                <w:lang w:val="sr-Cyrl-CS"/>
              </w:rPr>
            </w:pPr>
          </w:p>
        </w:tc>
      </w:tr>
      <w:tr w:rsidR="00D7672A" w:rsidRPr="00092ED7" w14:paraId="2E067269" w14:textId="77777777" w:rsidTr="00CC71EC">
        <w:trPr>
          <w:trHeight w:val="300"/>
        </w:trPr>
        <w:tc>
          <w:tcPr>
            <w:tcW w:w="425" w:type="dxa"/>
            <w:tcBorders>
              <w:top w:val="single" w:sz="4" w:space="0" w:color="auto"/>
              <w:left w:val="single" w:sz="8" w:space="0" w:color="auto"/>
              <w:bottom w:val="single" w:sz="4" w:space="0" w:color="auto"/>
              <w:right w:val="nil"/>
            </w:tcBorders>
            <w:shd w:val="clear" w:color="auto" w:fill="auto"/>
            <w:tcMar>
              <w:top w:w="15" w:type="dxa"/>
              <w:left w:w="15" w:type="dxa"/>
              <w:bottom w:w="0" w:type="dxa"/>
              <w:right w:w="15" w:type="dxa"/>
            </w:tcMar>
          </w:tcPr>
          <w:p w14:paraId="644BBDD1" w14:textId="77777777" w:rsidR="00D210F0" w:rsidRPr="00092ED7" w:rsidRDefault="00AC69CE" w:rsidP="005D14E2">
            <w:pPr>
              <w:spacing w:after="0"/>
              <w:jc w:val="center"/>
              <w:rPr>
                <w:rFonts w:cs="Times New Roman"/>
                <w:bCs/>
                <w:sz w:val="20"/>
                <w:szCs w:val="20"/>
                <w:lang w:val="sr-Cyrl-CS"/>
              </w:rPr>
            </w:pPr>
            <w:r w:rsidRPr="00092ED7">
              <w:rPr>
                <w:rFonts w:cs="Times New Roman"/>
                <w:bCs/>
                <w:sz w:val="20"/>
                <w:szCs w:val="20"/>
                <w:lang w:val="sr-Cyrl-CS"/>
              </w:rPr>
              <w:lastRenderedPageBreak/>
              <w:t>4</w:t>
            </w:r>
            <w:r w:rsidR="00D210F0" w:rsidRPr="00092ED7">
              <w:rPr>
                <w:rFonts w:cs="Times New Roman"/>
                <w:bCs/>
                <w:sz w:val="20"/>
                <w:szCs w:val="20"/>
                <w:lang w:val="sr-Cyrl-CS"/>
              </w:rPr>
              <w:t>.</w:t>
            </w:r>
          </w:p>
        </w:tc>
        <w:tc>
          <w:tcPr>
            <w:tcW w:w="4243" w:type="dxa"/>
            <w:tcBorders>
              <w:top w:val="single" w:sz="4" w:space="0" w:color="auto"/>
              <w:left w:val="single" w:sz="8" w:space="0" w:color="auto"/>
              <w:bottom w:val="single" w:sz="4" w:space="0" w:color="auto"/>
              <w:right w:val="nil"/>
            </w:tcBorders>
            <w:shd w:val="clear" w:color="auto" w:fill="auto"/>
            <w:tcMar>
              <w:top w:w="15" w:type="dxa"/>
              <w:left w:w="15" w:type="dxa"/>
              <w:bottom w:w="0" w:type="dxa"/>
              <w:right w:w="15" w:type="dxa"/>
            </w:tcMar>
          </w:tcPr>
          <w:p w14:paraId="48BDE77F" w14:textId="77777777" w:rsidR="00D210F0" w:rsidRPr="00092ED7" w:rsidRDefault="00AC69CE" w:rsidP="005D14E2">
            <w:pPr>
              <w:spacing w:after="0"/>
              <w:ind w:right="222"/>
              <w:rPr>
                <w:sz w:val="20"/>
                <w:szCs w:val="20"/>
                <w:lang w:val="sr-Cyrl-CS"/>
              </w:rPr>
            </w:pPr>
            <w:r w:rsidRPr="00092ED7">
              <w:rPr>
                <w:rFonts w:cs="Times New Roman"/>
                <w:sz w:val="20"/>
                <w:szCs w:val="20"/>
                <w:lang w:val="sr-Cyrl-CS"/>
              </w:rPr>
              <w:t>Оснивање Фонда за младе таленте као правног лица</w:t>
            </w:r>
          </w:p>
        </w:tc>
        <w:tc>
          <w:tcPr>
            <w:tcW w:w="372" w:type="dxa"/>
            <w:tcBorders>
              <w:top w:val="single" w:sz="4" w:space="0" w:color="auto"/>
              <w:left w:val="single" w:sz="8" w:space="0" w:color="auto"/>
              <w:bottom w:val="single" w:sz="4" w:space="0" w:color="auto"/>
              <w:right w:val="single" w:sz="4" w:space="0" w:color="auto"/>
            </w:tcBorders>
            <w:shd w:val="clear" w:color="auto" w:fill="auto"/>
            <w:tcMar>
              <w:top w:w="15" w:type="dxa"/>
              <w:left w:w="15" w:type="dxa"/>
              <w:bottom w:w="0" w:type="dxa"/>
              <w:right w:w="15" w:type="dxa"/>
            </w:tcMar>
          </w:tcPr>
          <w:p w14:paraId="3866D48B" w14:textId="77777777" w:rsidR="00D210F0" w:rsidRPr="00092ED7" w:rsidRDefault="00D210F0" w:rsidP="005D14E2">
            <w:pPr>
              <w:spacing w:after="0"/>
              <w:rPr>
                <w:rFonts w:cs="Times New Roman"/>
                <w:color w:val="000000"/>
                <w:sz w:val="20"/>
                <w:szCs w:val="20"/>
                <w:lang w:val="sr-Cyrl-CS"/>
              </w:rPr>
            </w:pPr>
          </w:p>
        </w:tc>
        <w:tc>
          <w:tcPr>
            <w:tcW w:w="373"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5BF4B76E" w14:textId="77777777" w:rsidR="00D210F0" w:rsidRPr="00092ED7" w:rsidRDefault="00D210F0" w:rsidP="005D14E2">
            <w:pPr>
              <w:spacing w:after="0"/>
              <w:rPr>
                <w:rFonts w:cs="Times New Roman"/>
                <w:color w:val="000000"/>
                <w:sz w:val="20"/>
                <w:szCs w:val="20"/>
                <w:lang w:val="sr-Cyrl-CS"/>
              </w:rPr>
            </w:pPr>
          </w:p>
        </w:tc>
        <w:tc>
          <w:tcPr>
            <w:tcW w:w="372"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562DD61E" w14:textId="77777777" w:rsidR="00D210F0" w:rsidRPr="00092ED7" w:rsidRDefault="00D210F0" w:rsidP="005D14E2">
            <w:pPr>
              <w:spacing w:after="0"/>
              <w:rPr>
                <w:rFonts w:cs="Times New Roman"/>
                <w:color w:val="000000"/>
                <w:sz w:val="20"/>
                <w:szCs w:val="20"/>
                <w:lang w:val="sr-Cyrl-CS"/>
              </w:rPr>
            </w:pPr>
          </w:p>
        </w:tc>
        <w:tc>
          <w:tcPr>
            <w:tcW w:w="373" w:type="dxa"/>
            <w:tcBorders>
              <w:top w:val="single" w:sz="4" w:space="0" w:color="auto"/>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377C30F7" w14:textId="77777777" w:rsidR="00D210F0" w:rsidRPr="00092ED7" w:rsidRDefault="00D210F0" w:rsidP="005D14E2">
            <w:pPr>
              <w:spacing w:after="0"/>
              <w:rPr>
                <w:rFonts w:cs="Times New Roman"/>
                <w:color w:val="000000"/>
                <w:sz w:val="20"/>
                <w:szCs w:val="20"/>
                <w:lang w:val="sr-Cyrl-CS"/>
              </w:rPr>
            </w:pPr>
          </w:p>
        </w:tc>
        <w:tc>
          <w:tcPr>
            <w:tcW w:w="372"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326F3512" w14:textId="77777777" w:rsidR="00D210F0" w:rsidRPr="00092ED7" w:rsidRDefault="00D210F0" w:rsidP="005D14E2">
            <w:pPr>
              <w:spacing w:after="0"/>
              <w:rPr>
                <w:rFonts w:cs="Times New Roman"/>
                <w:color w:val="000000"/>
                <w:sz w:val="20"/>
                <w:szCs w:val="20"/>
                <w:lang w:val="sr-Cyrl-CS"/>
              </w:rPr>
            </w:pPr>
          </w:p>
        </w:tc>
        <w:tc>
          <w:tcPr>
            <w:tcW w:w="373"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6F53B5FF" w14:textId="77777777" w:rsidR="00D210F0" w:rsidRPr="00092ED7" w:rsidRDefault="00D210F0" w:rsidP="005D14E2">
            <w:pPr>
              <w:spacing w:after="0"/>
              <w:rPr>
                <w:rFonts w:cs="Times New Roman"/>
                <w:color w:val="000000"/>
                <w:sz w:val="20"/>
                <w:szCs w:val="20"/>
                <w:lang w:val="sr-Cyrl-CS"/>
              </w:rPr>
            </w:pPr>
          </w:p>
        </w:tc>
        <w:tc>
          <w:tcPr>
            <w:tcW w:w="373"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7979FC42" w14:textId="77777777" w:rsidR="00D210F0" w:rsidRPr="00092ED7" w:rsidRDefault="00D210F0" w:rsidP="005D14E2">
            <w:pPr>
              <w:spacing w:after="0"/>
              <w:rPr>
                <w:rFonts w:cs="Times New Roman"/>
                <w:color w:val="000000"/>
                <w:sz w:val="20"/>
                <w:szCs w:val="20"/>
                <w:lang w:val="sr-Cyrl-CS"/>
              </w:rPr>
            </w:pPr>
          </w:p>
        </w:tc>
        <w:tc>
          <w:tcPr>
            <w:tcW w:w="372" w:type="dxa"/>
            <w:tcBorders>
              <w:top w:val="single" w:sz="4" w:space="0" w:color="auto"/>
              <w:left w:val="nil"/>
              <w:bottom w:val="single" w:sz="4" w:space="0" w:color="auto"/>
              <w:right w:val="single" w:sz="8" w:space="0" w:color="auto"/>
            </w:tcBorders>
            <w:shd w:val="clear" w:color="auto" w:fill="auto"/>
            <w:tcMar>
              <w:top w:w="15" w:type="dxa"/>
              <w:left w:w="15" w:type="dxa"/>
              <w:bottom w:w="0" w:type="dxa"/>
              <w:right w:w="15" w:type="dxa"/>
            </w:tcMar>
          </w:tcPr>
          <w:p w14:paraId="57CF5D4C" w14:textId="77777777" w:rsidR="00D210F0" w:rsidRPr="00092ED7" w:rsidRDefault="00D210F0" w:rsidP="005D14E2">
            <w:pPr>
              <w:spacing w:after="0"/>
              <w:rPr>
                <w:rFonts w:cs="Times New Roman"/>
                <w:color w:val="000000"/>
                <w:sz w:val="20"/>
                <w:szCs w:val="20"/>
                <w:lang w:val="sr-Cyrl-CS"/>
              </w:rPr>
            </w:pPr>
          </w:p>
        </w:tc>
        <w:tc>
          <w:tcPr>
            <w:tcW w:w="373"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493B070C" w14:textId="77777777" w:rsidR="00D210F0" w:rsidRPr="00092ED7" w:rsidRDefault="00D210F0" w:rsidP="005D14E2">
            <w:pPr>
              <w:spacing w:after="0"/>
              <w:rPr>
                <w:rFonts w:cs="Times New Roman"/>
                <w:color w:val="000000"/>
                <w:sz w:val="20"/>
                <w:szCs w:val="20"/>
                <w:lang w:val="sr-Cyrl-CS"/>
              </w:rPr>
            </w:pPr>
          </w:p>
        </w:tc>
        <w:tc>
          <w:tcPr>
            <w:tcW w:w="372"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788A3A69" w14:textId="77777777" w:rsidR="00D210F0" w:rsidRPr="00092ED7" w:rsidRDefault="00D210F0" w:rsidP="005D14E2">
            <w:pPr>
              <w:spacing w:after="0"/>
              <w:rPr>
                <w:rFonts w:cs="Times New Roman"/>
                <w:color w:val="000000"/>
                <w:sz w:val="20"/>
                <w:szCs w:val="20"/>
                <w:lang w:val="sr-Cyrl-CS"/>
              </w:rPr>
            </w:pPr>
          </w:p>
        </w:tc>
        <w:tc>
          <w:tcPr>
            <w:tcW w:w="373"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69EFD34A" w14:textId="77777777" w:rsidR="00D210F0" w:rsidRPr="00092ED7" w:rsidRDefault="00D210F0" w:rsidP="005D14E2">
            <w:pPr>
              <w:spacing w:after="0"/>
              <w:rPr>
                <w:rFonts w:cs="Times New Roman"/>
                <w:color w:val="000000"/>
                <w:sz w:val="20"/>
                <w:szCs w:val="20"/>
                <w:lang w:val="sr-Cyrl-CS"/>
              </w:rPr>
            </w:pPr>
          </w:p>
        </w:tc>
        <w:tc>
          <w:tcPr>
            <w:tcW w:w="373" w:type="dxa"/>
            <w:tcBorders>
              <w:top w:val="single" w:sz="4" w:space="0" w:color="auto"/>
              <w:left w:val="nil"/>
              <w:bottom w:val="single" w:sz="4" w:space="0" w:color="auto"/>
              <w:right w:val="single" w:sz="8" w:space="0" w:color="auto"/>
            </w:tcBorders>
            <w:shd w:val="clear" w:color="auto" w:fill="auto"/>
            <w:tcMar>
              <w:top w:w="15" w:type="dxa"/>
              <w:left w:w="15" w:type="dxa"/>
              <w:bottom w:w="0" w:type="dxa"/>
              <w:right w:w="15" w:type="dxa"/>
            </w:tcMar>
          </w:tcPr>
          <w:p w14:paraId="3089B58B" w14:textId="77777777" w:rsidR="00D210F0" w:rsidRPr="00092ED7" w:rsidRDefault="00D210F0" w:rsidP="005D14E2">
            <w:pPr>
              <w:spacing w:after="0"/>
              <w:rPr>
                <w:rFonts w:cs="Times New Roman"/>
                <w:color w:val="000000"/>
                <w:sz w:val="20"/>
                <w:szCs w:val="20"/>
                <w:lang w:val="sr-Cyrl-CS"/>
              </w:rPr>
            </w:pPr>
          </w:p>
        </w:tc>
      </w:tr>
      <w:tr w:rsidR="00D7672A" w:rsidRPr="00092ED7" w14:paraId="67B4D595" w14:textId="77777777" w:rsidTr="00D7672A">
        <w:trPr>
          <w:trHeight w:val="300"/>
        </w:trPr>
        <w:tc>
          <w:tcPr>
            <w:tcW w:w="425" w:type="dxa"/>
            <w:tcBorders>
              <w:top w:val="nil"/>
              <w:left w:val="single" w:sz="8" w:space="0" w:color="auto"/>
              <w:bottom w:val="single" w:sz="4" w:space="0" w:color="auto"/>
              <w:right w:val="nil"/>
            </w:tcBorders>
            <w:shd w:val="clear" w:color="auto" w:fill="auto"/>
            <w:tcMar>
              <w:top w:w="15" w:type="dxa"/>
              <w:left w:w="15" w:type="dxa"/>
              <w:bottom w:w="0" w:type="dxa"/>
              <w:right w:w="15" w:type="dxa"/>
            </w:tcMar>
          </w:tcPr>
          <w:p w14:paraId="485FE29D" w14:textId="77777777" w:rsidR="00AC69CE" w:rsidRPr="00092ED7" w:rsidRDefault="00AC69CE" w:rsidP="005D14E2">
            <w:pPr>
              <w:spacing w:after="0"/>
              <w:jc w:val="center"/>
              <w:rPr>
                <w:rFonts w:cs="Times New Roman"/>
                <w:bCs/>
                <w:sz w:val="20"/>
                <w:szCs w:val="20"/>
                <w:lang w:val="sr-Cyrl-CS"/>
              </w:rPr>
            </w:pPr>
            <w:r w:rsidRPr="00092ED7">
              <w:rPr>
                <w:rFonts w:cs="Times New Roman"/>
                <w:bCs/>
                <w:sz w:val="20"/>
                <w:szCs w:val="20"/>
                <w:lang w:val="sr-Cyrl-CS"/>
              </w:rPr>
              <w:t>5.</w:t>
            </w:r>
          </w:p>
        </w:tc>
        <w:tc>
          <w:tcPr>
            <w:tcW w:w="4243" w:type="dxa"/>
            <w:tcBorders>
              <w:top w:val="nil"/>
              <w:left w:val="single" w:sz="8" w:space="0" w:color="auto"/>
              <w:bottom w:val="single" w:sz="4" w:space="0" w:color="auto"/>
              <w:right w:val="nil"/>
            </w:tcBorders>
            <w:shd w:val="clear" w:color="auto" w:fill="auto"/>
            <w:tcMar>
              <w:top w:w="15" w:type="dxa"/>
              <w:left w:w="15" w:type="dxa"/>
              <w:bottom w:w="0" w:type="dxa"/>
              <w:right w:w="15" w:type="dxa"/>
            </w:tcMar>
          </w:tcPr>
          <w:p w14:paraId="21856AEB" w14:textId="77777777" w:rsidR="00AC69CE" w:rsidRPr="00092ED7" w:rsidRDefault="00AC69CE" w:rsidP="00AC69CE">
            <w:pPr>
              <w:tabs>
                <w:tab w:val="left" w:pos="945"/>
              </w:tabs>
              <w:spacing w:after="0"/>
              <w:ind w:right="222"/>
              <w:rPr>
                <w:rFonts w:cs="Times New Roman"/>
                <w:sz w:val="20"/>
                <w:szCs w:val="20"/>
                <w:lang w:val="sr-Cyrl-CS"/>
              </w:rPr>
            </w:pPr>
            <w:r w:rsidRPr="00092ED7">
              <w:rPr>
                <w:rFonts w:cs="Times New Roman"/>
                <w:sz w:val="20"/>
                <w:szCs w:val="20"/>
                <w:lang w:val="sr-Cyrl-CS"/>
              </w:rPr>
              <w:t>Расписивање програма и додела стипенд</w:t>
            </w:r>
            <w:r w:rsidR="004130F6" w:rsidRPr="00092ED7">
              <w:rPr>
                <w:rFonts w:cs="Times New Roman"/>
                <w:sz w:val="20"/>
                <w:szCs w:val="20"/>
                <w:lang w:val="sr-Cyrl-CS"/>
              </w:rPr>
              <w:t>ија за студирање у иностранству</w:t>
            </w:r>
          </w:p>
        </w:tc>
        <w:tc>
          <w:tcPr>
            <w:tcW w:w="372" w:type="dxa"/>
            <w:tcBorders>
              <w:top w:val="nil"/>
              <w:left w:val="single" w:sz="8" w:space="0" w:color="auto"/>
              <w:bottom w:val="single" w:sz="4" w:space="0" w:color="auto"/>
              <w:right w:val="single" w:sz="4" w:space="0" w:color="auto"/>
            </w:tcBorders>
            <w:shd w:val="clear" w:color="auto" w:fill="auto"/>
            <w:tcMar>
              <w:top w:w="15" w:type="dxa"/>
              <w:left w:w="15" w:type="dxa"/>
              <w:bottom w:w="0" w:type="dxa"/>
              <w:right w:w="15" w:type="dxa"/>
            </w:tcMar>
          </w:tcPr>
          <w:p w14:paraId="16637099" w14:textId="77777777" w:rsidR="00AC69CE" w:rsidRPr="00092ED7" w:rsidRDefault="00AC69CE"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7FE34C09" w14:textId="77777777" w:rsidR="00AC69CE" w:rsidRPr="00092ED7" w:rsidRDefault="00AC69CE" w:rsidP="005D14E2">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4DE8E6C9" w14:textId="77777777" w:rsidR="00AC69CE" w:rsidRPr="00092ED7" w:rsidRDefault="00AC69CE"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8" w:space="0" w:color="auto"/>
            </w:tcBorders>
            <w:shd w:val="clear" w:color="auto" w:fill="auto"/>
            <w:tcMar>
              <w:top w:w="15" w:type="dxa"/>
              <w:left w:w="15" w:type="dxa"/>
              <w:bottom w:w="0" w:type="dxa"/>
              <w:right w:w="15" w:type="dxa"/>
            </w:tcMar>
          </w:tcPr>
          <w:p w14:paraId="7AEA8E0C" w14:textId="77777777" w:rsidR="00AC69CE" w:rsidRPr="00092ED7" w:rsidRDefault="00AC69CE" w:rsidP="005D14E2">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3586B2E" w14:textId="77777777" w:rsidR="00AC69CE" w:rsidRPr="00092ED7" w:rsidRDefault="00AC69CE"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2149143" w14:textId="77777777" w:rsidR="00AC69CE" w:rsidRPr="00092ED7" w:rsidRDefault="00AC69CE"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2A15911B" w14:textId="77777777" w:rsidR="00AC69CE" w:rsidRPr="00092ED7" w:rsidRDefault="00AC69CE" w:rsidP="005D14E2">
            <w:pPr>
              <w:spacing w:after="0"/>
              <w:rPr>
                <w:rFonts w:cs="Times New Roman"/>
                <w:color w:val="000000"/>
                <w:sz w:val="20"/>
                <w:szCs w:val="20"/>
                <w:lang w:val="sr-Cyrl-CS"/>
              </w:rPr>
            </w:pPr>
          </w:p>
        </w:tc>
        <w:tc>
          <w:tcPr>
            <w:tcW w:w="372" w:type="dxa"/>
            <w:tcBorders>
              <w:top w:val="nil"/>
              <w:left w:val="nil"/>
              <w:bottom w:val="single" w:sz="4" w:space="0" w:color="auto"/>
              <w:right w:val="single" w:sz="8" w:space="0" w:color="auto"/>
            </w:tcBorders>
            <w:shd w:val="clear" w:color="auto" w:fill="auto"/>
            <w:tcMar>
              <w:top w:w="15" w:type="dxa"/>
              <w:left w:w="15" w:type="dxa"/>
              <w:bottom w:w="0" w:type="dxa"/>
              <w:right w:w="15" w:type="dxa"/>
            </w:tcMar>
          </w:tcPr>
          <w:p w14:paraId="186C8384" w14:textId="77777777" w:rsidR="00AC69CE" w:rsidRPr="00092ED7" w:rsidRDefault="00AC69CE"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5FE161A" w14:textId="77777777" w:rsidR="00AC69CE" w:rsidRPr="00092ED7" w:rsidRDefault="00AC69CE" w:rsidP="005D14E2">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FA2B14C" w14:textId="77777777" w:rsidR="00AC69CE" w:rsidRPr="00092ED7" w:rsidRDefault="00AC69CE"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2F787FE3" w14:textId="77777777" w:rsidR="00AC69CE" w:rsidRPr="00092ED7" w:rsidRDefault="00AC69CE"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8" w:space="0" w:color="auto"/>
            </w:tcBorders>
            <w:shd w:val="clear" w:color="auto" w:fill="auto"/>
            <w:tcMar>
              <w:top w:w="15" w:type="dxa"/>
              <w:left w:w="15" w:type="dxa"/>
              <w:bottom w:w="0" w:type="dxa"/>
              <w:right w:w="15" w:type="dxa"/>
            </w:tcMar>
          </w:tcPr>
          <w:p w14:paraId="3CCEE1AF" w14:textId="77777777" w:rsidR="00AC69CE" w:rsidRPr="00092ED7" w:rsidRDefault="00AC69CE" w:rsidP="005D14E2">
            <w:pPr>
              <w:spacing w:after="0"/>
              <w:rPr>
                <w:rFonts w:cs="Times New Roman"/>
                <w:color w:val="000000"/>
                <w:sz w:val="20"/>
                <w:szCs w:val="20"/>
                <w:lang w:val="sr-Cyrl-CS"/>
              </w:rPr>
            </w:pPr>
          </w:p>
        </w:tc>
      </w:tr>
      <w:tr w:rsidR="00D7672A" w:rsidRPr="00092ED7" w14:paraId="2BDA7591" w14:textId="77777777" w:rsidTr="00D7672A">
        <w:trPr>
          <w:trHeight w:val="300"/>
        </w:trPr>
        <w:tc>
          <w:tcPr>
            <w:tcW w:w="425" w:type="dxa"/>
            <w:tcBorders>
              <w:top w:val="nil"/>
              <w:left w:val="single" w:sz="8" w:space="0" w:color="auto"/>
              <w:bottom w:val="single" w:sz="4" w:space="0" w:color="auto"/>
              <w:right w:val="nil"/>
            </w:tcBorders>
            <w:shd w:val="clear" w:color="auto" w:fill="auto"/>
            <w:tcMar>
              <w:top w:w="15" w:type="dxa"/>
              <w:left w:w="15" w:type="dxa"/>
              <w:bottom w:w="0" w:type="dxa"/>
              <w:right w:w="15" w:type="dxa"/>
            </w:tcMar>
          </w:tcPr>
          <w:p w14:paraId="1F729B42" w14:textId="77777777" w:rsidR="00D210F0" w:rsidRPr="00092ED7" w:rsidRDefault="00AC69CE" w:rsidP="005D14E2">
            <w:pPr>
              <w:spacing w:after="0"/>
              <w:jc w:val="center"/>
              <w:rPr>
                <w:rFonts w:cs="Times New Roman"/>
                <w:bCs/>
                <w:sz w:val="20"/>
                <w:szCs w:val="20"/>
                <w:lang w:val="sr-Cyrl-CS"/>
              </w:rPr>
            </w:pPr>
            <w:r w:rsidRPr="00092ED7">
              <w:rPr>
                <w:rFonts w:cs="Times New Roman"/>
                <w:bCs/>
                <w:sz w:val="20"/>
                <w:szCs w:val="20"/>
                <w:lang w:val="sr-Cyrl-CS"/>
              </w:rPr>
              <w:t>6</w:t>
            </w:r>
            <w:r w:rsidR="00D210F0" w:rsidRPr="00092ED7">
              <w:rPr>
                <w:rFonts w:cs="Times New Roman"/>
                <w:bCs/>
                <w:sz w:val="20"/>
                <w:szCs w:val="20"/>
                <w:lang w:val="sr-Cyrl-CS"/>
              </w:rPr>
              <w:t>.</w:t>
            </w:r>
          </w:p>
        </w:tc>
        <w:tc>
          <w:tcPr>
            <w:tcW w:w="4243" w:type="dxa"/>
            <w:tcBorders>
              <w:top w:val="nil"/>
              <w:left w:val="single" w:sz="8" w:space="0" w:color="auto"/>
              <w:bottom w:val="single" w:sz="4" w:space="0" w:color="auto"/>
              <w:right w:val="nil"/>
            </w:tcBorders>
            <w:shd w:val="clear" w:color="auto" w:fill="auto"/>
            <w:tcMar>
              <w:top w:w="15" w:type="dxa"/>
              <w:left w:w="15" w:type="dxa"/>
              <w:bottom w:w="0" w:type="dxa"/>
              <w:right w:w="15" w:type="dxa"/>
            </w:tcMar>
          </w:tcPr>
          <w:p w14:paraId="0ABAFC8F" w14:textId="77777777" w:rsidR="00D210F0" w:rsidRPr="00092ED7" w:rsidRDefault="00D210F0" w:rsidP="005D14E2">
            <w:pPr>
              <w:spacing w:after="0"/>
              <w:ind w:right="222"/>
              <w:rPr>
                <w:sz w:val="20"/>
                <w:szCs w:val="20"/>
                <w:lang w:val="sr-Cyrl-CS"/>
              </w:rPr>
            </w:pPr>
            <w:r w:rsidRPr="00092ED7">
              <w:rPr>
                <w:rFonts w:cs="Times New Roman"/>
                <w:sz w:val="20"/>
                <w:szCs w:val="20"/>
                <w:lang w:val="sr-Cyrl-CS"/>
              </w:rPr>
              <w:t xml:space="preserve">Расписивање програма </w:t>
            </w:r>
            <w:r w:rsidR="00AC69CE" w:rsidRPr="00092ED7">
              <w:rPr>
                <w:rFonts w:cs="Times New Roman"/>
                <w:sz w:val="20"/>
                <w:szCs w:val="20"/>
                <w:lang w:val="sr-Cyrl-CS"/>
              </w:rPr>
              <w:t xml:space="preserve">и додела стипендија </w:t>
            </w:r>
            <w:r w:rsidRPr="00092ED7">
              <w:rPr>
                <w:rFonts w:cs="Times New Roman"/>
                <w:sz w:val="20"/>
                <w:szCs w:val="20"/>
                <w:lang w:val="sr-Cyrl-CS"/>
              </w:rPr>
              <w:t>за финансирање кратких студијских посета и стручних пракси</w:t>
            </w:r>
          </w:p>
        </w:tc>
        <w:tc>
          <w:tcPr>
            <w:tcW w:w="372" w:type="dxa"/>
            <w:tcBorders>
              <w:top w:val="nil"/>
              <w:left w:val="single" w:sz="8" w:space="0" w:color="auto"/>
              <w:bottom w:val="single" w:sz="4" w:space="0" w:color="auto"/>
              <w:right w:val="single" w:sz="4" w:space="0" w:color="auto"/>
            </w:tcBorders>
            <w:shd w:val="clear" w:color="auto" w:fill="auto"/>
            <w:tcMar>
              <w:top w:w="15" w:type="dxa"/>
              <w:left w:w="15" w:type="dxa"/>
              <w:bottom w:w="0" w:type="dxa"/>
              <w:right w:w="15" w:type="dxa"/>
            </w:tcMar>
          </w:tcPr>
          <w:p w14:paraId="4277BBA9" w14:textId="77777777" w:rsidR="00D210F0" w:rsidRPr="00092ED7" w:rsidRDefault="00D210F0"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066727B4" w14:textId="77777777" w:rsidR="00D210F0" w:rsidRPr="00092ED7" w:rsidRDefault="00D210F0" w:rsidP="005D14E2">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3E6AC7AF" w14:textId="77777777" w:rsidR="00D210F0" w:rsidRPr="00092ED7" w:rsidRDefault="00D210F0"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8" w:space="0" w:color="auto"/>
            </w:tcBorders>
            <w:shd w:val="clear" w:color="auto" w:fill="auto"/>
            <w:tcMar>
              <w:top w:w="15" w:type="dxa"/>
              <w:left w:w="15" w:type="dxa"/>
              <w:bottom w:w="0" w:type="dxa"/>
              <w:right w:w="15" w:type="dxa"/>
            </w:tcMar>
          </w:tcPr>
          <w:p w14:paraId="217B4D42" w14:textId="77777777" w:rsidR="00D210F0" w:rsidRPr="00092ED7" w:rsidRDefault="00D210F0" w:rsidP="005D14E2">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124F97CC" w14:textId="77777777" w:rsidR="00D210F0" w:rsidRPr="00092ED7" w:rsidRDefault="00D210F0"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27F3724" w14:textId="77777777" w:rsidR="00D210F0" w:rsidRPr="00092ED7" w:rsidRDefault="00D210F0"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3573253D" w14:textId="77777777" w:rsidR="00D210F0" w:rsidRPr="00092ED7" w:rsidRDefault="00D210F0" w:rsidP="005D14E2">
            <w:pPr>
              <w:spacing w:after="0"/>
              <w:rPr>
                <w:rFonts w:cs="Times New Roman"/>
                <w:color w:val="000000"/>
                <w:sz w:val="20"/>
                <w:szCs w:val="20"/>
                <w:lang w:val="sr-Cyrl-CS"/>
              </w:rPr>
            </w:pPr>
          </w:p>
        </w:tc>
        <w:tc>
          <w:tcPr>
            <w:tcW w:w="372" w:type="dxa"/>
            <w:tcBorders>
              <w:top w:val="nil"/>
              <w:left w:val="nil"/>
              <w:bottom w:val="single" w:sz="4" w:space="0" w:color="auto"/>
              <w:right w:val="single" w:sz="8" w:space="0" w:color="auto"/>
            </w:tcBorders>
            <w:shd w:val="clear" w:color="auto" w:fill="auto"/>
            <w:tcMar>
              <w:top w:w="15" w:type="dxa"/>
              <w:left w:w="15" w:type="dxa"/>
              <w:bottom w:w="0" w:type="dxa"/>
              <w:right w:w="15" w:type="dxa"/>
            </w:tcMar>
          </w:tcPr>
          <w:p w14:paraId="1D6861BD" w14:textId="77777777" w:rsidR="00D210F0" w:rsidRPr="00092ED7" w:rsidRDefault="00D210F0"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487A5B90" w14:textId="77777777" w:rsidR="00D210F0" w:rsidRPr="00092ED7" w:rsidRDefault="00D210F0" w:rsidP="005D14E2">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9177D3B" w14:textId="77777777" w:rsidR="00D210F0" w:rsidRPr="00092ED7" w:rsidRDefault="00D210F0"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352BF2B6" w14:textId="77777777" w:rsidR="00D210F0" w:rsidRPr="00092ED7" w:rsidRDefault="00D210F0"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8" w:space="0" w:color="auto"/>
            </w:tcBorders>
            <w:shd w:val="clear" w:color="auto" w:fill="auto"/>
            <w:tcMar>
              <w:top w:w="15" w:type="dxa"/>
              <w:left w:w="15" w:type="dxa"/>
              <w:bottom w:w="0" w:type="dxa"/>
              <w:right w:w="15" w:type="dxa"/>
            </w:tcMar>
          </w:tcPr>
          <w:p w14:paraId="720B0562" w14:textId="77777777" w:rsidR="00D210F0" w:rsidRPr="00092ED7" w:rsidRDefault="00D210F0" w:rsidP="005D14E2">
            <w:pPr>
              <w:spacing w:after="0"/>
              <w:rPr>
                <w:rFonts w:cs="Times New Roman"/>
                <w:color w:val="000000"/>
                <w:sz w:val="20"/>
                <w:szCs w:val="20"/>
                <w:lang w:val="sr-Cyrl-CS"/>
              </w:rPr>
            </w:pPr>
          </w:p>
        </w:tc>
      </w:tr>
      <w:tr w:rsidR="00D7672A" w:rsidRPr="00092ED7" w14:paraId="77334259" w14:textId="77777777" w:rsidTr="00D7672A">
        <w:trPr>
          <w:trHeight w:val="300"/>
        </w:trPr>
        <w:tc>
          <w:tcPr>
            <w:tcW w:w="425" w:type="dxa"/>
            <w:tcBorders>
              <w:top w:val="nil"/>
              <w:left w:val="single" w:sz="8" w:space="0" w:color="auto"/>
              <w:bottom w:val="single" w:sz="4" w:space="0" w:color="auto"/>
              <w:right w:val="nil"/>
            </w:tcBorders>
            <w:shd w:val="clear" w:color="auto" w:fill="auto"/>
            <w:tcMar>
              <w:top w:w="15" w:type="dxa"/>
              <w:left w:w="15" w:type="dxa"/>
              <w:bottom w:w="0" w:type="dxa"/>
              <w:right w:w="15" w:type="dxa"/>
            </w:tcMar>
          </w:tcPr>
          <w:p w14:paraId="76DD03FB" w14:textId="77777777" w:rsidR="00D210F0" w:rsidRPr="00092ED7" w:rsidRDefault="00AC69CE" w:rsidP="005D14E2">
            <w:pPr>
              <w:spacing w:after="0"/>
              <w:jc w:val="center"/>
              <w:rPr>
                <w:rFonts w:cs="Times New Roman"/>
                <w:bCs/>
                <w:sz w:val="20"/>
                <w:szCs w:val="20"/>
                <w:lang w:val="sr-Cyrl-CS"/>
              </w:rPr>
            </w:pPr>
            <w:r w:rsidRPr="00092ED7">
              <w:rPr>
                <w:rFonts w:cs="Times New Roman"/>
                <w:bCs/>
                <w:sz w:val="20"/>
                <w:szCs w:val="20"/>
                <w:lang w:val="sr-Cyrl-CS"/>
              </w:rPr>
              <w:t>7</w:t>
            </w:r>
            <w:r w:rsidR="00D210F0" w:rsidRPr="00092ED7">
              <w:rPr>
                <w:rFonts w:cs="Times New Roman"/>
                <w:bCs/>
                <w:sz w:val="20"/>
                <w:szCs w:val="20"/>
                <w:lang w:val="sr-Cyrl-CS"/>
              </w:rPr>
              <w:t>.</w:t>
            </w:r>
          </w:p>
        </w:tc>
        <w:tc>
          <w:tcPr>
            <w:tcW w:w="4243" w:type="dxa"/>
            <w:tcBorders>
              <w:top w:val="nil"/>
              <w:left w:val="single" w:sz="8" w:space="0" w:color="auto"/>
              <w:bottom w:val="single" w:sz="4" w:space="0" w:color="auto"/>
              <w:right w:val="nil"/>
            </w:tcBorders>
            <w:shd w:val="clear" w:color="auto" w:fill="auto"/>
            <w:tcMar>
              <w:top w:w="15" w:type="dxa"/>
              <w:left w:w="15" w:type="dxa"/>
              <w:bottom w:w="0" w:type="dxa"/>
              <w:right w:w="15" w:type="dxa"/>
            </w:tcMar>
          </w:tcPr>
          <w:p w14:paraId="17EE98E4" w14:textId="77777777" w:rsidR="00D210F0" w:rsidRPr="00092ED7" w:rsidRDefault="00D210F0" w:rsidP="005D14E2">
            <w:pPr>
              <w:spacing w:after="0"/>
              <w:ind w:right="222"/>
              <w:rPr>
                <w:sz w:val="20"/>
                <w:szCs w:val="20"/>
                <w:lang w:val="sr-Cyrl-CS"/>
              </w:rPr>
            </w:pPr>
            <w:r w:rsidRPr="00092ED7">
              <w:rPr>
                <w:rFonts w:cs="Times New Roman"/>
                <w:sz w:val="20"/>
                <w:szCs w:val="20"/>
                <w:lang w:val="sr-Cyrl-CS"/>
              </w:rPr>
              <w:t>Расписивање програма и додела стипендија по програму за финансирање ученичких пројеката из области науке, иновација и уметности</w:t>
            </w:r>
          </w:p>
        </w:tc>
        <w:tc>
          <w:tcPr>
            <w:tcW w:w="372" w:type="dxa"/>
            <w:tcBorders>
              <w:top w:val="nil"/>
              <w:left w:val="single" w:sz="8" w:space="0" w:color="auto"/>
              <w:bottom w:val="single" w:sz="4" w:space="0" w:color="auto"/>
              <w:right w:val="single" w:sz="4" w:space="0" w:color="auto"/>
            </w:tcBorders>
            <w:shd w:val="clear" w:color="auto" w:fill="auto"/>
            <w:tcMar>
              <w:top w:w="15" w:type="dxa"/>
              <w:left w:w="15" w:type="dxa"/>
              <w:bottom w:w="0" w:type="dxa"/>
              <w:right w:w="15" w:type="dxa"/>
            </w:tcMar>
          </w:tcPr>
          <w:p w14:paraId="376C1B1A" w14:textId="77777777" w:rsidR="00D210F0" w:rsidRPr="00092ED7" w:rsidRDefault="00D210F0"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495877BB" w14:textId="77777777" w:rsidR="00D210F0" w:rsidRPr="00092ED7" w:rsidRDefault="00D210F0" w:rsidP="005D14E2">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61F61F1E" w14:textId="77777777" w:rsidR="00D210F0" w:rsidRPr="00092ED7" w:rsidRDefault="00D210F0"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8" w:space="0" w:color="auto"/>
            </w:tcBorders>
            <w:shd w:val="clear" w:color="auto" w:fill="auto"/>
            <w:tcMar>
              <w:top w:w="15" w:type="dxa"/>
              <w:left w:w="15" w:type="dxa"/>
              <w:bottom w:w="0" w:type="dxa"/>
              <w:right w:w="15" w:type="dxa"/>
            </w:tcMar>
          </w:tcPr>
          <w:p w14:paraId="3A14A81A" w14:textId="77777777" w:rsidR="00D210F0" w:rsidRPr="00092ED7" w:rsidRDefault="00D210F0" w:rsidP="005D14E2">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4581BDFE" w14:textId="77777777" w:rsidR="00D210F0" w:rsidRPr="00092ED7" w:rsidRDefault="00D210F0"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1D629D3B" w14:textId="77777777" w:rsidR="00D210F0" w:rsidRPr="00092ED7" w:rsidRDefault="00D210F0"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6B369FBF" w14:textId="77777777" w:rsidR="00D210F0" w:rsidRPr="00092ED7" w:rsidRDefault="00D210F0" w:rsidP="005D14E2">
            <w:pPr>
              <w:spacing w:after="0"/>
              <w:rPr>
                <w:rFonts w:cs="Times New Roman"/>
                <w:color w:val="000000"/>
                <w:sz w:val="20"/>
                <w:szCs w:val="20"/>
                <w:lang w:val="sr-Cyrl-CS"/>
              </w:rPr>
            </w:pPr>
          </w:p>
        </w:tc>
        <w:tc>
          <w:tcPr>
            <w:tcW w:w="372" w:type="dxa"/>
            <w:tcBorders>
              <w:top w:val="nil"/>
              <w:left w:val="nil"/>
              <w:bottom w:val="single" w:sz="4" w:space="0" w:color="auto"/>
              <w:right w:val="single" w:sz="8" w:space="0" w:color="auto"/>
            </w:tcBorders>
            <w:shd w:val="clear" w:color="auto" w:fill="auto"/>
            <w:tcMar>
              <w:top w:w="15" w:type="dxa"/>
              <w:left w:w="15" w:type="dxa"/>
              <w:bottom w:w="0" w:type="dxa"/>
              <w:right w:w="15" w:type="dxa"/>
            </w:tcMar>
          </w:tcPr>
          <w:p w14:paraId="299B4EE2" w14:textId="77777777" w:rsidR="00D210F0" w:rsidRPr="00092ED7" w:rsidRDefault="00D210F0"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462E0E8A" w14:textId="77777777" w:rsidR="00D210F0" w:rsidRPr="00092ED7" w:rsidRDefault="00D210F0" w:rsidP="005D14E2">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FF0A72F" w14:textId="77777777" w:rsidR="00D210F0" w:rsidRPr="00092ED7" w:rsidRDefault="00D210F0"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E4ABB38" w14:textId="77777777" w:rsidR="00D210F0" w:rsidRPr="00092ED7" w:rsidRDefault="00D210F0"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8" w:space="0" w:color="auto"/>
            </w:tcBorders>
            <w:shd w:val="clear" w:color="auto" w:fill="auto"/>
            <w:tcMar>
              <w:top w:w="15" w:type="dxa"/>
              <w:left w:w="15" w:type="dxa"/>
              <w:bottom w:w="0" w:type="dxa"/>
              <w:right w:w="15" w:type="dxa"/>
            </w:tcMar>
          </w:tcPr>
          <w:p w14:paraId="13FD4B02" w14:textId="77777777" w:rsidR="00D210F0" w:rsidRPr="00092ED7" w:rsidRDefault="00D210F0" w:rsidP="005D14E2">
            <w:pPr>
              <w:spacing w:after="0"/>
              <w:rPr>
                <w:rFonts w:cs="Times New Roman"/>
                <w:color w:val="000000"/>
                <w:sz w:val="20"/>
                <w:szCs w:val="20"/>
                <w:lang w:val="sr-Cyrl-CS"/>
              </w:rPr>
            </w:pPr>
          </w:p>
        </w:tc>
      </w:tr>
    </w:tbl>
    <w:p w14:paraId="04853A22" w14:textId="77777777" w:rsidR="00D210F0" w:rsidRPr="00092ED7" w:rsidRDefault="00D210F0" w:rsidP="00071952">
      <w:pPr>
        <w:pStyle w:val="ListParagraph"/>
        <w:widowControl w:val="0"/>
        <w:numPr>
          <w:ilvl w:val="0"/>
          <w:numId w:val="19"/>
        </w:numPr>
        <w:spacing w:before="120" w:line="240" w:lineRule="auto"/>
        <w:ind w:left="425" w:hanging="425"/>
        <w:contextualSpacing w:val="0"/>
        <w:rPr>
          <w:rFonts w:cs="Times New Roman"/>
          <w:b/>
          <w:sz w:val="24"/>
          <w:szCs w:val="24"/>
          <w:lang w:val="sr-Cyrl-CS" w:eastAsia="sr-Cyrl-CS" w:bidi="sr-Cyrl-CS"/>
        </w:rPr>
      </w:pPr>
      <w:r w:rsidRPr="00092ED7">
        <w:rPr>
          <w:rFonts w:cs="Times New Roman"/>
          <w:b/>
          <w:sz w:val="24"/>
          <w:szCs w:val="24"/>
          <w:lang w:val="sr-Cyrl-CS" w:eastAsia="sr-Cyrl-CS" w:bidi="sr-Cyrl-CS"/>
        </w:rPr>
        <w:t>Индикатори рeзултата</w:t>
      </w:r>
    </w:p>
    <w:tbl>
      <w:tblPr>
        <w:tblStyle w:val="TableGrid"/>
        <w:tblW w:w="9214" w:type="dxa"/>
        <w:tblInd w:w="-5" w:type="dxa"/>
        <w:tblLayout w:type="fixed"/>
        <w:tblLook w:val="04A0" w:firstRow="1" w:lastRow="0" w:firstColumn="1" w:lastColumn="0" w:noHBand="0" w:noVBand="1"/>
      </w:tblPr>
      <w:tblGrid>
        <w:gridCol w:w="3685"/>
        <w:gridCol w:w="1843"/>
        <w:gridCol w:w="1843"/>
        <w:gridCol w:w="1843"/>
      </w:tblGrid>
      <w:tr w:rsidR="00D210F0" w:rsidRPr="00092ED7" w14:paraId="6A99FACF" w14:textId="77777777" w:rsidTr="00C429AB">
        <w:trPr>
          <w:cnfStyle w:val="100000000000" w:firstRow="1" w:lastRow="0" w:firstColumn="0" w:lastColumn="0" w:oddVBand="0" w:evenVBand="0" w:oddHBand="0" w:evenHBand="0" w:firstRowFirstColumn="0" w:firstRowLastColumn="0" w:lastRowFirstColumn="0" w:lastRowLastColumn="0"/>
          <w:trHeight w:val="468"/>
        </w:trPr>
        <w:tc>
          <w:tcPr>
            <w:tcW w:w="3685" w:type="dxa"/>
          </w:tcPr>
          <w:p w14:paraId="0613F01D" w14:textId="77777777" w:rsidR="00D210F0" w:rsidRPr="00092ED7" w:rsidRDefault="00D210F0" w:rsidP="00C429AB">
            <w:pPr>
              <w:spacing w:before="0" w:after="0"/>
              <w:ind w:right="113"/>
              <w:jc w:val="center"/>
              <w:rPr>
                <w:rFonts w:cs="Times New Roman"/>
                <w:sz w:val="20"/>
                <w:lang w:val="sr-Cyrl-CS"/>
              </w:rPr>
            </w:pPr>
            <w:r w:rsidRPr="00092ED7">
              <w:rPr>
                <w:rFonts w:cs="Times New Roman"/>
                <w:sz w:val="20"/>
                <w:lang w:val="sr-Cyrl-CS"/>
              </w:rPr>
              <w:t>Показатељ</w:t>
            </w:r>
          </w:p>
        </w:tc>
        <w:tc>
          <w:tcPr>
            <w:tcW w:w="1843" w:type="dxa"/>
          </w:tcPr>
          <w:p w14:paraId="45EF4022" w14:textId="77777777" w:rsidR="00D210F0" w:rsidRPr="00092ED7" w:rsidRDefault="00D210F0" w:rsidP="00C429AB">
            <w:pPr>
              <w:spacing w:before="0" w:after="0"/>
              <w:ind w:left="0" w:right="113"/>
              <w:jc w:val="center"/>
              <w:rPr>
                <w:rFonts w:cs="Times New Roman"/>
                <w:b w:val="0"/>
                <w:sz w:val="20"/>
                <w:lang w:val="sr-Cyrl-CS"/>
              </w:rPr>
            </w:pPr>
            <w:r w:rsidRPr="00092ED7">
              <w:rPr>
                <w:rFonts w:cs="Times New Roman"/>
                <w:sz w:val="20"/>
                <w:lang w:val="sr-Cyrl-CS"/>
              </w:rPr>
              <w:t>Почетна вредност</w:t>
            </w:r>
            <w:r w:rsidR="00CA0537" w:rsidRPr="00092ED7">
              <w:rPr>
                <w:rFonts w:cs="Times New Roman"/>
                <w:sz w:val="20"/>
                <w:lang w:val="sr-Cyrl-CS"/>
              </w:rPr>
              <w:t xml:space="preserve"> (2022)</w:t>
            </w:r>
          </w:p>
        </w:tc>
        <w:tc>
          <w:tcPr>
            <w:tcW w:w="1843" w:type="dxa"/>
          </w:tcPr>
          <w:p w14:paraId="067C29A7" w14:textId="77777777" w:rsidR="00D210F0" w:rsidRPr="00092ED7" w:rsidRDefault="00D210F0" w:rsidP="00C429AB">
            <w:pPr>
              <w:spacing w:before="0" w:after="0"/>
              <w:ind w:right="113"/>
              <w:jc w:val="center"/>
              <w:rPr>
                <w:rFonts w:cs="Times New Roman"/>
                <w:sz w:val="20"/>
                <w:lang w:val="sr-Cyrl-CS"/>
              </w:rPr>
            </w:pPr>
            <w:r w:rsidRPr="00092ED7">
              <w:rPr>
                <w:rFonts w:cs="Times New Roman"/>
                <w:sz w:val="20"/>
                <w:lang w:val="sr-Cyrl-CS"/>
              </w:rPr>
              <w:t>Међурезултат</w:t>
            </w:r>
            <w:r w:rsidR="00CA0537" w:rsidRPr="00092ED7">
              <w:rPr>
                <w:rFonts w:cs="Times New Roman"/>
                <w:sz w:val="20"/>
                <w:lang w:val="sr-Cyrl-CS"/>
              </w:rPr>
              <w:t xml:space="preserve"> (2024)</w:t>
            </w:r>
          </w:p>
        </w:tc>
        <w:tc>
          <w:tcPr>
            <w:tcW w:w="1843" w:type="dxa"/>
          </w:tcPr>
          <w:p w14:paraId="6456A237" w14:textId="77777777" w:rsidR="00D210F0" w:rsidRPr="00092ED7" w:rsidRDefault="00D210F0" w:rsidP="00C429AB">
            <w:pPr>
              <w:spacing w:before="0" w:after="0"/>
              <w:ind w:right="113"/>
              <w:jc w:val="center"/>
              <w:rPr>
                <w:rFonts w:cs="Times New Roman"/>
                <w:sz w:val="20"/>
                <w:lang w:val="sr-Cyrl-CS"/>
              </w:rPr>
            </w:pPr>
            <w:r w:rsidRPr="00092ED7">
              <w:rPr>
                <w:rFonts w:cs="Times New Roman"/>
                <w:sz w:val="20"/>
                <w:lang w:val="sr-Cyrl-CS"/>
              </w:rPr>
              <w:t>Циљна вредност</w:t>
            </w:r>
            <w:r w:rsidR="00CA0537" w:rsidRPr="00092ED7">
              <w:rPr>
                <w:rFonts w:cs="Times New Roman"/>
                <w:sz w:val="20"/>
                <w:lang w:val="sr-Cyrl-CS"/>
              </w:rPr>
              <w:t xml:space="preserve"> (2025)</w:t>
            </w:r>
          </w:p>
        </w:tc>
      </w:tr>
      <w:tr w:rsidR="00D210F0" w:rsidRPr="00092ED7" w14:paraId="3A226931" w14:textId="77777777" w:rsidTr="00C429AB">
        <w:trPr>
          <w:trHeight w:val="283"/>
        </w:trPr>
        <w:tc>
          <w:tcPr>
            <w:tcW w:w="3685" w:type="dxa"/>
          </w:tcPr>
          <w:p w14:paraId="3037C771" w14:textId="77777777" w:rsidR="00D210F0" w:rsidRPr="00092ED7" w:rsidRDefault="00D210F0" w:rsidP="005D14E2">
            <w:pPr>
              <w:spacing w:before="0" w:after="0"/>
              <w:ind w:right="113"/>
              <w:rPr>
                <w:rFonts w:cs="Times New Roman"/>
                <w:sz w:val="20"/>
                <w:lang w:val="sr-Cyrl-CS"/>
              </w:rPr>
            </w:pPr>
            <w:r w:rsidRPr="00092ED7">
              <w:rPr>
                <w:rFonts w:cs="Times New Roman"/>
                <w:sz w:val="20"/>
                <w:lang w:val="sr-Cyrl-CS"/>
              </w:rPr>
              <w:t>Број запослених талената у јавној управи</w:t>
            </w:r>
          </w:p>
        </w:tc>
        <w:tc>
          <w:tcPr>
            <w:tcW w:w="1843" w:type="dxa"/>
          </w:tcPr>
          <w:p w14:paraId="66EB17A2" w14:textId="77777777" w:rsidR="00D210F0" w:rsidRPr="00092ED7" w:rsidRDefault="00D210F0" w:rsidP="00CA0537">
            <w:pPr>
              <w:spacing w:before="0" w:after="0"/>
              <w:ind w:right="113"/>
              <w:jc w:val="center"/>
              <w:rPr>
                <w:rFonts w:cs="Times New Roman"/>
                <w:sz w:val="20"/>
                <w:lang w:val="sr-Cyrl-CS"/>
              </w:rPr>
            </w:pPr>
            <w:r w:rsidRPr="00092ED7">
              <w:rPr>
                <w:rFonts w:cs="Times New Roman"/>
                <w:sz w:val="20"/>
                <w:lang w:val="sr-Cyrl-CS"/>
              </w:rPr>
              <w:t xml:space="preserve">0 </w:t>
            </w:r>
          </w:p>
        </w:tc>
        <w:tc>
          <w:tcPr>
            <w:tcW w:w="1843" w:type="dxa"/>
          </w:tcPr>
          <w:p w14:paraId="63F69D08" w14:textId="77777777" w:rsidR="00D210F0" w:rsidRPr="00092ED7" w:rsidRDefault="00D210F0" w:rsidP="00CA0537">
            <w:pPr>
              <w:spacing w:before="0" w:after="0"/>
              <w:ind w:right="113"/>
              <w:jc w:val="center"/>
              <w:rPr>
                <w:rFonts w:cs="Times New Roman"/>
                <w:sz w:val="20"/>
                <w:lang w:val="sr-Cyrl-CS"/>
              </w:rPr>
            </w:pPr>
            <w:r w:rsidRPr="00092ED7">
              <w:rPr>
                <w:rFonts w:cs="Times New Roman"/>
                <w:sz w:val="20"/>
                <w:lang w:val="sr-Cyrl-CS"/>
              </w:rPr>
              <w:t xml:space="preserve">10 </w:t>
            </w:r>
          </w:p>
        </w:tc>
        <w:tc>
          <w:tcPr>
            <w:tcW w:w="1843" w:type="dxa"/>
          </w:tcPr>
          <w:p w14:paraId="06F32D6D" w14:textId="77777777" w:rsidR="00D210F0" w:rsidRPr="00092ED7" w:rsidRDefault="00D210F0" w:rsidP="00CA0537">
            <w:pPr>
              <w:spacing w:before="0" w:after="0"/>
              <w:ind w:right="113"/>
              <w:jc w:val="center"/>
              <w:rPr>
                <w:rFonts w:cs="Times New Roman"/>
                <w:sz w:val="20"/>
                <w:lang w:val="sr-Cyrl-CS"/>
              </w:rPr>
            </w:pPr>
            <w:r w:rsidRPr="00092ED7">
              <w:rPr>
                <w:rFonts w:cs="Times New Roman"/>
                <w:sz w:val="20"/>
                <w:lang w:val="sr-Cyrl-CS"/>
              </w:rPr>
              <w:t xml:space="preserve">25 </w:t>
            </w:r>
          </w:p>
        </w:tc>
      </w:tr>
      <w:tr w:rsidR="00D210F0" w:rsidRPr="00092ED7" w14:paraId="491388B5" w14:textId="77777777" w:rsidTr="00C429AB">
        <w:trPr>
          <w:trHeight w:val="283"/>
        </w:trPr>
        <w:tc>
          <w:tcPr>
            <w:tcW w:w="3685" w:type="dxa"/>
          </w:tcPr>
          <w:p w14:paraId="552A584A" w14:textId="77777777" w:rsidR="00D210F0" w:rsidRPr="00092ED7" w:rsidRDefault="00D210F0" w:rsidP="005D14E2">
            <w:pPr>
              <w:spacing w:before="0" w:after="0"/>
              <w:ind w:right="113"/>
              <w:rPr>
                <w:rFonts w:cs="Times New Roman"/>
                <w:sz w:val="20"/>
                <w:highlight w:val="yellow"/>
                <w:lang w:val="sr-Cyrl-CS"/>
              </w:rPr>
            </w:pPr>
            <w:r w:rsidRPr="00092ED7">
              <w:rPr>
                <w:rFonts w:cs="Times New Roman"/>
                <w:sz w:val="20"/>
                <w:lang w:val="sr-Cyrl-CS"/>
              </w:rPr>
              <w:t>Број талената запослен у привреди</w:t>
            </w:r>
          </w:p>
        </w:tc>
        <w:tc>
          <w:tcPr>
            <w:tcW w:w="1843" w:type="dxa"/>
          </w:tcPr>
          <w:p w14:paraId="5489E067" w14:textId="77777777" w:rsidR="00D210F0" w:rsidRPr="00092ED7" w:rsidRDefault="00D210F0" w:rsidP="00CA0537">
            <w:pPr>
              <w:spacing w:before="0" w:after="0"/>
              <w:ind w:right="113"/>
              <w:jc w:val="center"/>
              <w:rPr>
                <w:rFonts w:cs="Times New Roman"/>
                <w:sz w:val="20"/>
                <w:lang w:val="sr-Cyrl-CS"/>
              </w:rPr>
            </w:pPr>
            <w:r w:rsidRPr="00092ED7">
              <w:rPr>
                <w:rFonts w:cs="Times New Roman"/>
                <w:sz w:val="20"/>
                <w:lang w:val="sr-Cyrl-CS"/>
              </w:rPr>
              <w:t xml:space="preserve">0 </w:t>
            </w:r>
          </w:p>
        </w:tc>
        <w:tc>
          <w:tcPr>
            <w:tcW w:w="1843" w:type="dxa"/>
          </w:tcPr>
          <w:p w14:paraId="4872C13C" w14:textId="77777777" w:rsidR="00D210F0" w:rsidRPr="00092ED7" w:rsidRDefault="00D210F0" w:rsidP="00CA0537">
            <w:pPr>
              <w:spacing w:before="0" w:after="0"/>
              <w:ind w:right="113"/>
              <w:jc w:val="center"/>
              <w:rPr>
                <w:rFonts w:cs="Times New Roman"/>
                <w:sz w:val="20"/>
                <w:lang w:val="sr-Cyrl-CS"/>
              </w:rPr>
            </w:pPr>
            <w:r w:rsidRPr="00092ED7">
              <w:rPr>
                <w:rFonts w:cs="Times New Roman"/>
                <w:sz w:val="20"/>
                <w:lang w:val="sr-Cyrl-CS"/>
              </w:rPr>
              <w:t xml:space="preserve">100 </w:t>
            </w:r>
          </w:p>
        </w:tc>
        <w:tc>
          <w:tcPr>
            <w:tcW w:w="1843" w:type="dxa"/>
          </w:tcPr>
          <w:p w14:paraId="756BF143" w14:textId="77777777" w:rsidR="00D210F0" w:rsidRPr="00092ED7" w:rsidRDefault="00D210F0" w:rsidP="00CA0537">
            <w:pPr>
              <w:spacing w:before="0" w:after="0"/>
              <w:ind w:right="113"/>
              <w:jc w:val="center"/>
              <w:rPr>
                <w:rFonts w:cs="Times New Roman"/>
                <w:sz w:val="20"/>
                <w:lang w:val="sr-Cyrl-CS"/>
              </w:rPr>
            </w:pPr>
            <w:r w:rsidRPr="00092ED7">
              <w:rPr>
                <w:rFonts w:cs="Times New Roman"/>
                <w:sz w:val="20"/>
                <w:lang w:val="sr-Cyrl-CS"/>
              </w:rPr>
              <w:t xml:space="preserve">200 </w:t>
            </w:r>
          </w:p>
        </w:tc>
      </w:tr>
    </w:tbl>
    <w:p w14:paraId="0D705ADA" w14:textId="77777777" w:rsidR="00D210F0" w:rsidRPr="00092ED7" w:rsidRDefault="00D210F0" w:rsidP="00071952">
      <w:pPr>
        <w:pStyle w:val="ListParagraph"/>
        <w:widowControl w:val="0"/>
        <w:numPr>
          <w:ilvl w:val="0"/>
          <w:numId w:val="19"/>
        </w:numPr>
        <w:spacing w:before="120" w:line="240" w:lineRule="auto"/>
        <w:ind w:left="425" w:hanging="425"/>
        <w:contextualSpacing w:val="0"/>
        <w:rPr>
          <w:rFonts w:cs="Times New Roman"/>
          <w:b/>
          <w:sz w:val="24"/>
          <w:szCs w:val="24"/>
          <w:lang w:val="sr-Cyrl-CS" w:eastAsia="sr-Cyrl-CS" w:bidi="sr-Cyrl-CS"/>
        </w:rPr>
      </w:pPr>
      <w:r w:rsidRPr="00092ED7">
        <w:rPr>
          <w:rFonts w:cs="Times New Roman"/>
          <w:b/>
          <w:sz w:val="24"/>
          <w:szCs w:val="24"/>
          <w:lang w:val="sr-Cyrl-CS" w:eastAsia="sr-Cyrl-CS" w:bidi="sr-Cyrl-CS"/>
        </w:rPr>
        <w:t>Очекивани утицај на конкурентност</w:t>
      </w:r>
    </w:p>
    <w:p w14:paraId="2A5A2188" w14:textId="77777777" w:rsidR="00D210F0" w:rsidRPr="00092ED7" w:rsidRDefault="00D210F0" w:rsidP="00D210F0">
      <w:pPr>
        <w:widowControl w:val="0"/>
        <w:spacing w:after="60"/>
        <w:rPr>
          <w:rFonts w:eastAsia="Calibri" w:cs="Times New Roman"/>
          <w:b/>
          <w:szCs w:val="24"/>
          <w:lang w:val="sr-Cyrl-CS" w:eastAsia="sr-Cyrl-CS" w:bidi="sr-Cyrl-CS"/>
        </w:rPr>
      </w:pPr>
      <w:r w:rsidRPr="00092ED7">
        <w:rPr>
          <w:rFonts w:cs="Times New Roman"/>
          <w:lang w:val="sr-Cyrl-CS"/>
        </w:rPr>
        <w:t>Ова структурна реформа ће највећи утицај имати на повећање конкурентности радне снаге, с обзиром да је циљна група високо-квалификовани кадар, а тиме и директан утицај на повећање запошљивости младих. Поред тога, кроз програм подршке ученичким пројектима, структурна реформа ће директно утицати на повећање предузетничких компетенција код младих и оснажити их за улазак на тржиште рада и пословања.</w:t>
      </w:r>
    </w:p>
    <w:p w14:paraId="5EC52B0E" w14:textId="77777777" w:rsidR="00D210F0" w:rsidRPr="00092ED7" w:rsidRDefault="00D210F0" w:rsidP="00071952">
      <w:pPr>
        <w:widowControl w:val="0"/>
        <w:numPr>
          <w:ilvl w:val="0"/>
          <w:numId w:val="19"/>
        </w:numPr>
        <w:spacing w:before="120"/>
        <w:ind w:left="425" w:hanging="425"/>
        <w:rPr>
          <w:rFonts w:eastAsia="Calibri" w:cs="Times New Roman"/>
          <w:b/>
          <w:szCs w:val="24"/>
          <w:lang w:val="sr-Cyrl-CS" w:eastAsia="sr-Cyrl-CS" w:bidi="sr-Cyrl-CS"/>
        </w:rPr>
      </w:pPr>
      <w:r w:rsidRPr="00092ED7">
        <w:rPr>
          <w:rFonts w:eastAsia="Calibri" w:cs="Times New Roman"/>
          <w:b/>
          <w:szCs w:val="24"/>
          <w:lang w:val="sr-Cyrl-CS" w:eastAsia="sr-Cyrl-CS" w:bidi="sr-Cyrl-CS"/>
        </w:rPr>
        <w:t>Процењени трошкови активности и извори финансирања</w:t>
      </w:r>
    </w:p>
    <w:p w14:paraId="4D11B152" w14:textId="735BF2C6" w:rsidR="004B1528" w:rsidRPr="00092ED7" w:rsidRDefault="004B1528" w:rsidP="004B1528">
      <w:pPr>
        <w:widowControl w:val="0"/>
        <w:spacing w:after="60"/>
        <w:rPr>
          <w:rFonts w:eastAsia="Calibri" w:cs="Times New Roman"/>
          <w:szCs w:val="24"/>
          <w:lang w:val="sr-Cyrl-CS" w:eastAsia="sr-Cyrl-CS" w:bidi="sr-Cyrl-CS"/>
        </w:rPr>
      </w:pPr>
      <w:r w:rsidRPr="00092ED7">
        <w:rPr>
          <w:rFonts w:eastAsia="Calibri" w:cs="Times New Roman"/>
          <w:szCs w:val="24"/>
          <w:lang w:val="sr-Cyrl-CS" w:eastAsia="sr-Cyrl-CS" w:bidi="sr-Cyrl-CS"/>
        </w:rPr>
        <w:t>Средства за финансирање Фонда за младе таленте у износу од преко 7,9 милиона евра су</w:t>
      </w:r>
      <w:r w:rsidRPr="00092ED7">
        <w:rPr>
          <w:rFonts w:eastAsia="Calibri" w:cs="Times New Roman"/>
          <w:color w:val="FF0000"/>
          <w:szCs w:val="24"/>
          <w:lang w:val="sr-Cyrl-CS" w:eastAsia="sr-Cyrl-CS" w:bidi="sr-Cyrl-CS"/>
        </w:rPr>
        <w:t xml:space="preserve"> </w:t>
      </w:r>
      <w:r w:rsidRPr="00092ED7">
        <w:rPr>
          <w:rFonts w:eastAsia="Calibri" w:cs="Times New Roman"/>
          <w:szCs w:val="24"/>
          <w:lang w:val="sr-Cyrl-CS" w:eastAsia="sr-Cyrl-CS" w:bidi="sr-Cyrl-CS"/>
        </w:rPr>
        <w:t xml:space="preserve">обезбеђена у буџету. Поред тога, обезбеђена је структурна подршка од стране Вестминстерске фондације за демократију у износу од 100.000 ГБП (преко 115 хиљада евра) годишње у периоду октобар 2022. - октобар 2025. године. У наредном периоду, очекује се да ће Фонд </w:t>
      </w:r>
      <w:r w:rsidR="001028F8" w:rsidRPr="00092ED7">
        <w:rPr>
          <w:rFonts w:eastAsia="Calibri" w:cs="Times New Roman"/>
          <w:szCs w:val="24"/>
          <w:lang w:val="sr-Cyrl-CS" w:eastAsia="sr-Cyrl-CS" w:bidi="sr-Cyrl-CS"/>
        </w:rPr>
        <w:t xml:space="preserve">за младе таленте </w:t>
      </w:r>
      <w:r w:rsidRPr="00092ED7">
        <w:rPr>
          <w:rFonts w:eastAsia="Calibri" w:cs="Times New Roman"/>
          <w:szCs w:val="24"/>
          <w:lang w:val="sr-Cyrl-CS" w:eastAsia="sr-Cyrl-CS" w:bidi="sr-Cyrl-CS"/>
        </w:rPr>
        <w:t>привући и друге донаторе за финансирање појединачних програма (конкретно програм ученичких пројеката).</w:t>
      </w:r>
    </w:p>
    <w:p w14:paraId="3ACC6C95" w14:textId="0B354991" w:rsidR="004B1528" w:rsidRPr="00092ED7" w:rsidRDefault="004B1528" w:rsidP="004B1528">
      <w:pPr>
        <w:widowControl w:val="0"/>
        <w:spacing w:after="60"/>
        <w:rPr>
          <w:rFonts w:eastAsia="Calibri" w:cs="Times New Roman"/>
          <w:szCs w:val="24"/>
          <w:lang w:val="sr-Cyrl-CS" w:eastAsia="sr-Cyrl-CS" w:bidi="sr-Cyrl-CS"/>
        </w:rPr>
      </w:pPr>
      <w:r w:rsidRPr="00092ED7">
        <w:rPr>
          <w:rFonts w:eastAsia="Calibri" w:cs="Times New Roman"/>
          <w:szCs w:val="24"/>
          <w:lang w:val="sr-Cyrl-CS" w:eastAsia="sr-Cyrl-CS" w:bidi="sr-Cyrl-CS"/>
        </w:rPr>
        <w:t>У 2023. години укупни трошкови ће износити близу 8,1 милиона евра искључиво за реализацију следећих активности бр. 1. (Анализа постојећих програма и предлог реформе), 2. (Развој дигиталне платформе), 3. (Расписивање програма и додела стипендија по програму за стипендирање талената за студирање у Р</w:t>
      </w:r>
      <w:r w:rsidR="001028F8" w:rsidRPr="00092ED7">
        <w:rPr>
          <w:rFonts w:eastAsia="Calibri" w:cs="Times New Roman"/>
          <w:szCs w:val="24"/>
          <w:lang w:val="sr-Cyrl-CS" w:eastAsia="sr-Cyrl-CS" w:bidi="sr-Cyrl-CS"/>
        </w:rPr>
        <w:t xml:space="preserve">епублици </w:t>
      </w:r>
      <w:r w:rsidRPr="00092ED7">
        <w:rPr>
          <w:rFonts w:eastAsia="Calibri" w:cs="Times New Roman"/>
          <w:szCs w:val="24"/>
          <w:lang w:val="sr-Cyrl-CS" w:eastAsia="sr-Cyrl-CS" w:bidi="sr-Cyrl-CS"/>
        </w:rPr>
        <w:t>С</w:t>
      </w:r>
      <w:r w:rsidR="001028F8" w:rsidRPr="00092ED7">
        <w:rPr>
          <w:rFonts w:eastAsia="Calibri" w:cs="Times New Roman"/>
          <w:szCs w:val="24"/>
          <w:lang w:val="sr-Cyrl-CS" w:eastAsia="sr-Cyrl-CS" w:bidi="sr-Cyrl-CS"/>
        </w:rPr>
        <w:t>рбији</w:t>
      </w:r>
      <w:r w:rsidRPr="00092ED7">
        <w:rPr>
          <w:rFonts w:eastAsia="Calibri" w:cs="Times New Roman"/>
          <w:szCs w:val="24"/>
          <w:lang w:val="sr-Cyrl-CS" w:eastAsia="sr-Cyrl-CS" w:bidi="sr-Cyrl-CS"/>
        </w:rPr>
        <w:t>), 4. (Оснивање Фонда за младе таленте као правног лица). Трошкови ће бити покривени из два извора: Буџет централног нивоа државе у износу од преко 7,9 милиона евра и друга бесповратна средства у износу од преко 115,5 хиљада евра (подршка од стране Вестминстерске фондације за демократију 100.000 ГБП).</w:t>
      </w:r>
    </w:p>
    <w:p w14:paraId="4F6E6925" w14:textId="77777777" w:rsidR="004B1528" w:rsidRPr="00092ED7" w:rsidRDefault="004B1528" w:rsidP="004B1528">
      <w:pPr>
        <w:widowControl w:val="0"/>
        <w:spacing w:after="60"/>
        <w:rPr>
          <w:rFonts w:eastAsia="Calibri" w:cs="Times New Roman"/>
          <w:szCs w:val="24"/>
          <w:lang w:val="sr-Cyrl-CS" w:eastAsia="sr-Cyrl-CS" w:bidi="sr-Cyrl-CS"/>
        </w:rPr>
      </w:pPr>
      <w:r w:rsidRPr="00092ED7">
        <w:rPr>
          <w:rFonts w:eastAsia="Calibri" w:cs="Times New Roman"/>
          <w:szCs w:val="24"/>
          <w:lang w:val="sr-Cyrl-CS" w:eastAsia="sr-Cyrl-CS" w:bidi="sr-Cyrl-CS"/>
        </w:rPr>
        <w:t>У 2024. години укупни трошкови ће износити 8,8 милиона евра искључиво за реализацију следећих активности бр. 5. (Расписивање програма и додела стипендија за студирање у иностранству), 6. (Расписивање програма и додела стипендија за финансирање кратких студијских посета и стручних пракси). Трошкови ће бити покривени из два извора: Буџет централног нивоа државе у износу од преко 8,7 милиона евра и друга бесповратна средства у износу од преко 115,5 хиљада евра (подршка од стране Вестминстерске фондације за демократију 100.000 ГБП).</w:t>
      </w:r>
    </w:p>
    <w:p w14:paraId="59C48230" w14:textId="77777777" w:rsidR="004B1528" w:rsidRPr="00092ED7" w:rsidRDefault="004B1528" w:rsidP="004B1528">
      <w:pPr>
        <w:widowControl w:val="0"/>
        <w:spacing w:after="60"/>
        <w:rPr>
          <w:rFonts w:eastAsia="Calibri" w:cs="Times New Roman"/>
          <w:szCs w:val="24"/>
          <w:lang w:val="sr-Cyrl-CS" w:eastAsia="sr-Cyrl-CS" w:bidi="sr-Cyrl-CS"/>
        </w:rPr>
      </w:pPr>
      <w:r w:rsidRPr="00092ED7">
        <w:rPr>
          <w:rFonts w:eastAsia="Calibri" w:cs="Times New Roman"/>
          <w:szCs w:val="24"/>
          <w:lang w:val="sr-Cyrl-CS" w:eastAsia="sr-Cyrl-CS" w:bidi="sr-Cyrl-CS"/>
        </w:rPr>
        <w:t xml:space="preserve">У 2025. години трошкови ће износити 9,7 милиона евра искључиво за реализацију следећих активности бр. 5. (Расписивање програма и додела стипендија за студирање у иностранству), 6. (Расписивање програма и додела стипендија за финансирање кратких </w:t>
      </w:r>
      <w:r w:rsidRPr="00092ED7">
        <w:rPr>
          <w:rFonts w:eastAsia="Calibri" w:cs="Times New Roman"/>
          <w:szCs w:val="24"/>
          <w:lang w:val="sr-Cyrl-CS" w:eastAsia="sr-Cyrl-CS" w:bidi="sr-Cyrl-CS"/>
        </w:rPr>
        <w:lastRenderedPageBreak/>
        <w:t>студијских посета и стручних пракси), 7. (</w:t>
      </w:r>
      <w:r w:rsidRPr="00092ED7">
        <w:rPr>
          <w:rFonts w:cs="Times New Roman"/>
          <w:szCs w:val="24"/>
          <w:lang w:val="sr-Cyrl-CS"/>
        </w:rPr>
        <w:t xml:space="preserve">Расписивање програма и додела стипендија по програму за финансирање ученичких пројеката из области науке, иновација и уметности). </w:t>
      </w:r>
      <w:r w:rsidRPr="00092ED7">
        <w:rPr>
          <w:rFonts w:eastAsia="Calibri" w:cs="Times New Roman"/>
          <w:szCs w:val="24"/>
          <w:lang w:val="sr-Cyrl-CS" w:eastAsia="sr-Cyrl-CS" w:bidi="sr-Cyrl-CS"/>
        </w:rPr>
        <w:t>Трошкови ће бити покривени из два извора: Буџет централног нивоа државе у износу од преко 9,6 милиона евра и друга бесповратна средства у износу од преко 115,5 хиљада евра (подршка од стране Вестминстерске фондације за демократију 100.000 ГБП).</w:t>
      </w:r>
    </w:p>
    <w:p w14:paraId="62C34BCB" w14:textId="77777777" w:rsidR="00D210F0" w:rsidRPr="00092ED7" w:rsidRDefault="00D210F0" w:rsidP="00071952">
      <w:pPr>
        <w:widowControl w:val="0"/>
        <w:numPr>
          <w:ilvl w:val="0"/>
          <w:numId w:val="19"/>
        </w:numPr>
        <w:spacing w:before="120"/>
        <w:ind w:left="425" w:hanging="425"/>
        <w:rPr>
          <w:rFonts w:eastAsia="Calibri" w:cs="Times New Roman"/>
          <w:b/>
          <w:szCs w:val="24"/>
          <w:lang w:val="sr-Cyrl-CS" w:eastAsia="sr-Cyrl-CS" w:bidi="sr-Cyrl-CS"/>
        </w:rPr>
      </w:pPr>
      <w:r w:rsidRPr="00092ED7">
        <w:rPr>
          <w:rFonts w:eastAsia="Calibri" w:cs="Times New Roman"/>
          <w:b/>
          <w:szCs w:val="24"/>
          <w:lang w:val="sr-Cyrl-CS" w:eastAsia="sr-Cyrl-CS" w:bidi="sr-Cyrl-CS"/>
        </w:rPr>
        <w:t>Очекивани утицај на социјалне циљеве, као што су запосленост, смањење сиромаштва, родна равноправност и приступ здравственој заштити</w:t>
      </w:r>
    </w:p>
    <w:p w14:paraId="793F9B36" w14:textId="32A57A60" w:rsidR="00D210F0" w:rsidRPr="00092ED7" w:rsidRDefault="0041616F" w:rsidP="00D210F0">
      <w:pPr>
        <w:widowControl w:val="0"/>
        <w:spacing w:after="60"/>
        <w:rPr>
          <w:rFonts w:eastAsia="Calibri" w:cs="Times New Roman"/>
          <w:szCs w:val="24"/>
          <w:lang w:val="sr-Cyrl-CS" w:eastAsia="sr-Cyrl-CS" w:bidi="sr-Cyrl-CS"/>
        </w:rPr>
      </w:pPr>
      <w:r w:rsidRPr="00092ED7">
        <w:rPr>
          <w:rFonts w:eastAsia="Calibri" w:cs="Times New Roman"/>
          <w:szCs w:val="24"/>
          <w:lang w:val="sr-Cyrl-CS" w:eastAsia="sr-Cyrl-CS" w:bidi="sr-Cyrl-CS"/>
        </w:rPr>
        <w:t xml:space="preserve">Имплементација структурне реформе директно утиче на запосленост младих талената, и то кроз управљање алумни мрежом и помоћи студентима да пронађу прилике за запошљавање, пре свега у јавној управи, а онда и у привреди. Фонд </w:t>
      </w:r>
      <w:r w:rsidR="001028F8" w:rsidRPr="00092ED7">
        <w:rPr>
          <w:rFonts w:eastAsia="Calibri" w:cs="Times New Roman"/>
          <w:szCs w:val="24"/>
          <w:lang w:val="sr-Cyrl-CS" w:eastAsia="sr-Cyrl-CS" w:bidi="sr-Cyrl-CS"/>
        </w:rPr>
        <w:t xml:space="preserve">за младе таленте </w:t>
      </w:r>
      <w:r w:rsidRPr="00092ED7">
        <w:rPr>
          <w:rFonts w:eastAsia="Calibri" w:cs="Times New Roman"/>
          <w:szCs w:val="24"/>
          <w:lang w:val="sr-Cyrl-CS" w:eastAsia="sr-Cyrl-CS" w:bidi="sr-Cyrl-CS"/>
        </w:rPr>
        <w:t>ће омогућити платформу за повезивање са послодавцима у јавном и приватном сектору коју ће они користити на добровољној бази и у складу са њиховим потребама (за студенте који студирају у Р</w:t>
      </w:r>
      <w:r w:rsidR="00657813" w:rsidRPr="00092ED7">
        <w:rPr>
          <w:rFonts w:eastAsia="Calibri" w:cs="Times New Roman"/>
          <w:szCs w:val="24"/>
          <w:lang w:val="sr-Cyrl-CS" w:eastAsia="sr-Cyrl-CS" w:bidi="sr-Cyrl-CS"/>
        </w:rPr>
        <w:t xml:space="preserve">епублици </w:t>
      </w:r>
      <w:r w:rsidRPr="00092ED7">
        <w:rPr>
          <w:rFonts w:eastAsia="Calibri" w:cs="Times New Roman"/>
          <w:szCs w:val="24"/>
          <w:lang w:val="sr-Cyrl-CS" w:eastAsia="sr-Cyrl-CS" w:bidi="sr-Cyrl-CS"/>
        </w:rPr>
        <w:t>С</w:t>
      </w:r>
      <w:r w:rsidR="00657813" w:rsidRPr="00092ED7">
        <w:rPr>
          <w:rFonts w:eastAsia="Calibri" w:cs="Times New Roman"/>
          <w:szCs w:val="24"/>
          <w:lang w:val="sr-Cyrl-CS" w:eastAsia="sr-Cyrl-CS" w:bidi="sr-Cyrl-CS"/>
        </w:rPr>
        <w:t>рбији</w:t>
      </w:r>
      <w:r w:rsidRPr="00092ED7">
        <w:rPr>
          <w:rFonts w:eastAsia="Calibri" w:cs="Times New Roman"/>
          <w:szCs w:val="24"/>
          <w:lang w:val="sr-Cyrl-CS" w:eastAsia="sr-Cyrl-CS" w:bidi="sr-Cyrl-CS"/>
        </w:rPr>
        <w:t xml:space="preserve">), односно Фонд </w:t>
      </w:r>
      <w:r w:rsidR="001028F8" w:rsidRPr="00092ED7">
        <w:rPr>
          <w:rFonts w:eastAsia="Calibri" w:cs="Times New Roman"/>
          <w:szCs w:val="24"/>
          <w:lang w:val="sr-Cyrl-CS" w:eastAsia="sr-Cyrl-CS" w:bidi="sr-Cyrl-CS"/>
        </w:rPr>
        <w:t xml:space="preserve">за младе таленте </w:t>
      </w:r>
      <w:r w:rsidRPr="00092ED7">
        <w:rPr>
          <w:rFonts w:eastAsia="Calibri" w:cs="Times New Roman"/>
          <w:szCs w:val="24"/>
          <w:lang w:val="sr-Cyrl-CS" w:eastAsia="sr-Cyrl-CS" w:bidi="sr-Cyrl-CS"/>
        </w:rPr>
        <w:t xml:space="preserve">проналази минимум три понуде за запослење, са приоритетом запошљавања у јавној управи (за студенте који су стипендирани у иностранству, са уговорном обавезом да се по завршетку студија врате у </w:t>
      </w:r>
      <w:r w:rsidR="00657813" w:rsidRPr="00092ED7">
        <w:rPr>
          <w:rFonts w:eastAsia="Calibri" w:cs="Times New Roman"/>
          <w:szCs w:val="24"/>
          <w:lang w:val="sr-Cyrl-CS" w:eastAsia="sr-Cyrl-CS" w:bidi="sr-Cyrl-CS"/>
        </w:rPr>
        <w:t>Републику Србију</w:t>
      </w:r>
      <w:r w:rsidRPr="00092ED7">
        <w:rPr>
          <w:rFonts w:eastAsia="Calibri" w:cs="Times New Roman"/>
          <w:szCs w:val="24"/>
          <w:lang w:val="sr-Cyrl-CS" w:eastAsia="sr-Cyrl-CS" w:bidi="sr-Cyrl-CS"/>
        </w:rPr>
        <w:t>). Структурна реформа директно утиче на смањење сиромаштва и позитивно утиче на родну равноправност.</w:t>
      </w:r>
    </w:p>
    <w:p w14:paraId="1832591C" w14:textId="77777777" w:rsidR="00D210F0" w:rsidRPr="00092ED7" w:rsidRDefault="00D210F0" w:rsidP="00071952">
      <w:pPr>
        <w:widowControl w:val="0"/>
        <w:numPr>
          <w:ilvl w:val="0"/>
          <w:numId w:val="19"/>
        </w:numPr>
        <w:spacing w:before="120"/>
        <w:ind w:left="425" w:hanging="425"/>
        <w:rPr>
          <w:rFonts w:eastAsia="Calibri" w:cs="Times New Roman"/>
          <w:b/>
          <w:szCs w:val="24"/>
          <w:lang w:val="sr-Cyrl-CS" w:eastAsia="sr-Cyrl-CS" w:bidi="sr-Cyrl-CS"/>
        </w:rPr>
      </w:pPr>
      <w:r w:rsidRPr="00092ED7">
        <w:rPr>
          <w:rFonts w:eastAsia="Calibri" w:cs="Times New Roman"/>
          <w:b/>
          <w:szCs w:val="24"/>
          <w:lang w:val="sr-Cyrl-CS" w:eastAsia="sr-Cyrl-CS" w:bidi="sr-Cyrl-CS"/>
        </w:rPr>
        <w:t>Очекивани утицај на животну средину и климатске промене</w:t>
      </w:r>
    </w:p>
    <w:p w14:paraId="5E914FA0" w14:textId="77777777" w:rsidR="00D210F0" w:rsidRPr="00092ED7" w:rsidRDefault="00D210F0" w:rsidP="00D210F0">
      <w:pPr>
        <w:widowControl w:val="0"/>
        <w:spacing w:after="60"/>
        <w:rPr>
          <w:rFonts w:eastAsia="Calibri" w:cs="Times New Roman"/>
          <w:szCs w:val="24"/>
          <w:lang w:val="sr-Cyrl-CS" w:eastAsia="sr-Cyrl-CS" w:bidi="sr-Cyrl-CS"/>
        </w:rPr>
      </w:pPr>
      <w:r w:rsidRPr="00092ED7">
        <w:rPr>
          <w:rFonts w:eastAsia="Calibri" w:cs="Times New Roman"/>
          <w:szCs w:val="24"/>
          <w:lang w:val="sr-Cyrl-CS" w:eastAsia="sr-Cyrl-CS" w:bidi="sr-Cyrl-CS"/>
        </w:rPr>
        <w:t>Структурна реформа је неутрална у смислу утицаја на животну средину и климатске промене.</w:t>
      </w:r>
    </w:p>
    <w:p w14:paraId="07A89FC5" w14:textId="77777777" w:rsidR="00D210F0" w:rsidRPr="00092ED7" w:rsidRDefault="00D210F0" w:rsidP="00071952">
      <w:pPr>
        <w:widowControl w:val="0"/>
        <w:numPr>
          <w:ilvl w:val="0"/>
          <w:numId w:val="19"/>
        </w:numPr>
        <w:spacing w:before="120"/>
        <w:ind w:left="425" w:hanging="425"/>
        <w:rPr>
          <w:rFonts w:eastAsia="Calibri" w:cs="Times New Roman"/>
          <w:b/>
          <w:szCs w:val="24"/>
          <w:lang w:val="sr-Cyrl-CS" w:eastAsia="sr-Cyrl-CS" w:bidi="sr-Cyrl-CS"/>
        </w:rPr>
      </w:pPr>
      <w:r w:rsidRPr="00092ED7">
        <w:rPr>
          <w:rFonts w:eastAsia="Calibri" w:cs="Times New Roman"/>
          <w:b/>
          <w:szCs w:val="24"/>
          <w:lang w:val="sr-Cyrl-CS" w:eastAsia="sr-Cyrl-CS" w:bidi="sr-Cyrl-CS"/>
        </w:rPr>
        <w:t>Потенцијални ризици</w:t>
      </w:r>
    </w:p>
    <w:tbl>
      <w:tblPr>
        <w:tblStyle w:val="TableGrid"/>
        <w:tblW w:w="9077" w:type="dxa"/>
        <w:jc w:val="center"/>
        <w:tblLayout w:type="fixed"/>
        <w:tblLook w:val="04A0" w:firstRow="1" w:lastRow="0" w:firstColumn="1" w:lastColumn="0" w:noHBand="0" w:noVBand="1"/>
      </w:tblPr>
      <w:tblGrid>
        <w:gridCol w:w="3241"/>
        <w:gridCol w:w="2098"/>
        <w:gridCol w:w="3738"/>
      </w:tblGrid>
      <w:tr w:rsidR="00D210F0" w:rsidRPr="00092ED7" w14:paraId="438E567D" w14:textId="77777777" w:rsidTr="00CC71EC">
        <w:trPr>
          <w:cnfStyle w:val="100000000000" w:firstRow="1" w:lastRow="0" w:firstColumn="0" w:lastColumn="0" w:oddVBand="0" w:evenVBand="0" w:oddHBand="0" w:evenHBand="0" w:firstRowFirstColumn="0" w:firstRowLastColumn="0" w:lastRowFirstColumn="0" w:lastRowLastColumn="0"/>
          <w:jc w:val="center"/>
        </w:trPr>
        <w:tc>
          <w:tcPr>
            <w:tcW w:w="3241" w:type="dxa"/>
          </w:tcPr>
          <w:p w14:paraId="6B05F898" w14:textId="77777777" w:rsidR="00D210F0" w:rsidRPr="00092ED7" w:rsidRDefault="00D210F0" w:rsidP="00C429AB">
            <w:pPr>
              <w:spacing w:before="0" w:after="0"/>
              <w:ind w:left="284" w:right="113"/>
              <w:jc w:val="center"/>
              <w:rPr>
                <w:b w:val="0"/>
                <w:sz w:val="20"/>
                <w:lang w:val="sr-Cyrl-CS"/>
              </w:rPr>
            </w:pPr>
            <w:r w:rsidRPr="00092ED7">
              <w:rPr>
                <w:rFonts w:cs="Times New Roman"/>
                <w:b w:val="0"/>
                <w:sz w:val="20"/>
                <w:lang w:val="sr-Cyrl-CS"/>
              </w:rPr>
              <w:t>Ризик</w:t>
            </w:r>
          </w:p>
        </w:tc>
        <w:tc>
          <w:tcPr>
            <w:tcW w:w="2098" w:type="dxa"/>
          </w:tcPr>
          <w:p w14:paraId="5F1EC99E" w14:textId="77777777" w:rsidR="00D210F0" w:rsidRPr="00092ED7" w:rsidRDefault="00D210F0" w:rsidP="00C429AB">
            <w:pPr>
              <w:spacing w:before="0" w:after="0"/>
              <w:ind w:left="113" w:right="113"/>
              <w:jc w:val="center"/>
              <w:rPr>
                <w:b w:val="0"/>
                <w:sz w:val="20"/>
                <w:lang w:val="sr-Cyrl-CS"/>
              </w:rPr>
            </w:pPr>
            <w:r w:rsidRPr="00092ED7">
              <w:rPr>
                <w:rFonts w:cs="Times New Roman"/>
                <w:b w:val="0"/>
                <w:sz w:val="20"/>
                <w:lang w:val="sr-Cyrl-CS"/>
              </w:rPr>
              <w:t>Вероватноћа за остваривање ризика</w:t>
            </w:r>
          </w:p>
        </w:tc>
        <w:tc>
          <w:tcPr>
            <w:tcW w:w="3738" w:type="dxa"/>
          </w:tcPr>
          <w:p w14:paraId="3B29898A" w14:textId="77777777" w:rsidR="00D210F0" w:rsidRPr="00092ED7" w:rsidRDefault="00D210F0" w:rsidP="00C429AB">
            <w:pPr>
              <w:spacing w:before="0" w:after="0"/>
              <w:ind w:left="113" w:right="113"/>
              <w:jc w:val="center"/>
              <w:rPr>
                <w:sz w:val="20"/>
                <w:lang w:val="sr-Cyrl-CS"/>
              </w:rPr>
            </w:pPr>
            <w:r w:rsidRPr="00092ED7">
              <w:rPr>
                <w:rFonts w:cs="Times New Roman"/>
                <w:sz w:val="20"/>
                <w:lang w:val="sr-Cyrl-CS"/>
              </w:rPr>
              <w:t>Планиране активност за ублажавање негативних ефеката ризика</w:t>
            </w:r>
          </w:p>
        </w:tc>
      </w:tr>
      <w:tr w:rsidR="00D210F0" w:rsidRPr="00092ED7" w14:paraId="45E42CEC" w14:textId="77777777" w:rsidTr="00CC71EC">
        <w:trPr>
          <w:jc w:val="center"/>
        </w:trPr>
        <w:tc>
          <w:tcPr>
            <w:tcW w:w="3241" w:type="dxa"/>
            <w:vAlign w:val="top"/>
          </w:tcPr>
          <w:p w14:paraId="4698CDB4" w14:textId="77777777" w:rsidR="00D210F0" w:rsidRPr="00092ED7" w:rsidRDefault="00D210F0" w:rsidP="004130F6">
            <w:pPr>
              <w:spacing w:before="0" w:after="0"/>
              <w:ind w:left="113" w:right="113"/>
              <w:jc w:val="left"/>
              <w:rPr>
                <w:rFonts w:eastAsia="Calibri" w:cs="Times New Roman"/>
                <w:sz w:val="20"/>
                <w:lang w:val="sr-Cyrl-CS" w:eastAsia="sr-Cyrl-CS" w:bidi="sr-Cyrl-CS"/>
              </w:rPr>
            </w:pPr>
            <w:r w:rsidRPr="00092ED7">
              <w:rPr>
                <w:rFonts w:eastAsia="Calibri" w:cs="Times New Roman"/>
                <w:sz w:val="20"/>
                <w:lang w:val="sr-Cyrl-CS" w:eastAsia="sr-Cyrl-CS" w:bidi="sr-Cyrl-CS"/>
              </w:rPr>
              <w:t>Репутациони ризик – нестранспарентност, кршење процедуре, занемаривање постављених критеријума</w:t>
            </w:r>
          </w:p>
        </w:tc>
        <w:tc>
          <w:tcPr>
            <w:tcW w:w="2098" w:type="dxa"/>
            <w:vAlign w:val="top"/>
          </w:tcPr>
          <w:p w14:paraId="6F18597D" w14:textId="77777777" w:rsidR="00D210F0" w:rsidRPr="00092ED7" w:rsidRDefault="00D210F0" w:rsidP="004130F6">
            <w:pPr>
              <w:spacing w:before="0" w:after="0"/>
              <w:ind w:left="113" w:right="113"/>
              <w:jc w:val="center"/>
              <w:rPr>
                <w:rFonts w:eastAsia="Calibri" w:cs="Times New Roman"/>
                <w:sz w:val="20"/>
                <w:lang w:val="sr-Cyrl-CS" w:eastAsia="sr-Cyrl-CS" w:bidi="sr-Cyrl-CS"/>
              </w:rPr>
            </w:pPr>
            <w:r w:rsidRPr="00092ED7">
              <w:rPr>
                <w:rFonts w:eastAsia="Calibri" w:cs="Times New Roman"/>
                <w:sz w:val="20"/>
                <w:lang w:val="sr-Cyrl-CS" w:eastAsia="sr-Cyrl-CS" w:bidi="sr-Cyrl-CS"/>
              </w:rPr>
              <w:t>Ниска</w:t>
            </w:r>
          </w:p>
        </w:tc>
        <w:tc>
          <w:tcPr>
            <w:tcW w:w="3738" w:type="dxa"/>
          </w:tcPr>
          <w:p w14:paraId="142E0E38" w14:textId="77777777" w:rsidR="00D210F0" w:rsidRPr="00092ED7" w:rsidRDefault="00D210F0" w:rsidP="00A67EE8">
            <w:pPr>
              <w:spacing w:before="0" w:after="0"/>
              <w:ind w:left="113" w:right="113"/>
              <w:rPr>
                <w:rFonts w:eastAsia="Calibri" w:cs="Times New Roman"/>
                <w:sz w:val="20"/>
                <w:lang w:val="sr-Cyrl-CS" w:eastAsia="sr-Cyrl-CS" w:bidi="sr-Cyrl-CS"/>
              </w:rPr>
            </w:pPr>
            <w:r w:rsidRPr="00092ED7">
              <w:rPr>
                <w:rFonts w:eastAsia="Calibri" w:cs="Times New Roman"/>
                <w:sz w:val="20"/>
                <w:lang w:val="sr-Cyrl-CS" w:eastAsia="sr-Cyrl-CS" w:bidi="sr-Cyrl-CS"/>
              </w:rPr>
              <w:t>Ангажовање кредибилног УО који ће стати именом иза процеса селекције талената за стипендирање. Ангажовање независне комисије која ће радити евалуацију кандидата. Јасно дефинисана процедура и транспарентни критеријуми одабира. Отворена и транспарентна комуникација са потенцијалним корисницима и широм јавношћу.</w:t>
            </w:r>
          </w:p>
        </w:tc>
      </w:tr>
      <w:tr w:rsidR="00D210F0" w:rsidRPr="00092ED7" w14:paraId="01C31CB8" w14:textId="77777777" w:rsidTr="00CC71EC">
        <w:trPr>
          <w:jc w:val="center"/>
        </w:trPr>
        <w:tc>
          <w:tcPr>
            <w:tcW w:w="3241" w:type="dxa"/>
            <w:vAlign w:val="top"/>
          </w:tcPr>
          <w:p w14:paraId="5D9C2483" w14:textId="77777777" w:rsidR="00D210F0" w:rsidRPr="00092ED7" w:rsidRDefault="00D210F0" w:rsidP="004130F6">
            <w:pPr>
              <w:spacing w:before="0" w:after="0"/>
              <w:ind w:left="113" w:right="113"/>
              <w:jc w:val="left"/>
              <w:rPr>
                <w:rFonts w:eastAsia="Calibri" w:cs="Times New Roman"/>
                <w:sz w:val="20"/>
                <w:lang w:val="sr-Cyrl-CS" w:eastAsia="sr-Cyrl-CS" w:bidi="sr-Cyrl-CS"/>
              </w:rPr>
            </w:pPr>
            <w:r w:rsidRPr="00092ED7">
              <w:rPr>
                <w:rFonts w:eastAsia="Calibri" w:cs="Times New Roman"/>
                <w:sz w:val="20"/>
                <w:lang w:val="sr-Cyrl-CS" w:eastAsia="sr-Cyrl-CS" w:bidi="sr-Cyrl-CS"/>
              </w:rPr>
              <w:t>Већа потражња у односу на расположиви буџет – незадовољство одбијених</w:t>
            </w:r>
          </w:p>
        </w:tc>
        <w:tc>
          <w:tcPr>
            <w:tcW w:w="2098" w:type="dxa"/>
            <w:vAlign w:val="top"/>
          </w:tcPr>
          <w:p w14:paraId="4A319A12" w14:textId="77777777" w:rsidR="00D210F0" w:rsidRPr="00092ED7" w:rsidRDefault="00D210F0" w:rsidP="004130F6">
            <w:pPr>
              <w:spacing w:before="0" w:after="0"/>
              <w:ind w:left="113" w:right="113"/>
              <w:jc w:val="center"/>
              <w:rPr>
                <w:rFonts w:eastAsia="Calibri" w:cs="Times New Roman"/>
                <w:sz w:val="20"/>
                <w:lang w:val="sr-Cyrl-CS" w:eastAsia="sr-Cyrl-CS" w:bidi="sr-Cyrl-CS"/>
              </w:rPr>
            </w:pPr>
            <w:r w:rsidRPr="00092ED7">
              <w:rPr>
                <w:rFonts w:eastAsia="Calibri" w:cs="Times New Roman"/>
                <w:sz w:val="20"/>
                <w:lang w:val="sr-Cyrl-CS" w:eastAsia="sr-Cyrl-CS" w:bidi="sr-Cyrl-CS"/>
              </w:rPr>
              <w:t>Ниска</w:t>
            </w:r>
          </w:p>
        </w:tc>
        <w:tc>
          <w:tcPr>
            <w:tcW w:w="3738" w:type="dxa"/>
          </w:tcPr>
          <w:p w14:paraId="6BF06E44" w14:textId="04588682" w:rsidR="00D210F0" w:rsidRPr="00092ED7" w:rsidRDefault="00D210F0" w:rsidP="007D60EC">
            <w:pPr>
              <w:spacing w:before="0" w:after="0"/>
              <w:ind w:left="113" w:right="113"/>
              <w:rPr>
                <w:rFonts w:eastAsia="Calibri" w:cs="Times New Roman"/>
                <w:sz w:val="20"/>
                <w:lang w:val="sr-Cyrl-CS" w:eastAsia="sr-Cyrl-CS" w:bidi="sr-Cyrl-CS"/>
              </w:rPr>
            </w:pPr>
            <w:r w:rsidRPr="00092ED7">
              <w:rPr>
                <w:rFonts w:eastAsia="Calibri" w:cs="Times New Roman"/>
                <w:sz w:val="20"/>
                <w:lang w:val="sr-Cyrl-CS" w:eastAsia="sr-Cyrl-CS" w:bidi="sr-Cyrl-CS"/>
              </w:rPr>
              <w:t>Активно заговарање да се сваке године повећава буџет у складу са могућностима. Активно трагање за алтернативним изворима финансирања, осим буџетског, како би се пружиле додатне прилике.</w:t>
            </w:r>
          </w:p>
        </w:tc>
      </w:tr>
    </w:tbl>
    <w:p w14:paraId="3531759E" w14:textId="77777777" w:rsidR="00D210F0" w:rsidRPr="00092ED7" w:rsidRDefault="00D210F0" w:rsidP="00D210F0">
      <w:pPr>
        <w:spacing w:before="120"/>
        <w:rPr>
          <w:rFonts w:eastAsia="Calibri" w:cs="Times New Roman"/>
          <w:szCs w:val="24"/>
          <w:lang w:val="sr-Cyrl-CS"/>
        </w:rPr>
      </w:pPr>
      <w:r w:rsidRPr="00092ED7">
        <w:rPr>
          <w:rFonts w:eastAsia="Calibri" w:cs="Times New Roman"/>
          <w:b/>
          <w:szCs w:val="24"/>
          <w:u w:val="single"/>
          <w:lang w:val="sr-Cyrl-CS"/>
        </w:rPr>
        <w:t>СТРУКТУРНА РЕФОРМА 3</w:t>
      </w:r>
      <w:r w:rsidRPr="00092ED7">
        <w:rPr>
          <w:rFonts w:eastAsia="Calibri" w:cs="Times New Roman"/>
          <w:b/>
          <w:szCs w:val="24"/>
          <w:lang w:val="sr-Cyrl-CS"/>
        </w:rPr>
        <w:t xml:space="preserve">: </w:t>
      </w:r>
      <w:r w:rsidRPr="00092ED7">
        <w:rPr>
          <w:rFonts w:eastAsia="Calibri" w:cs="Times New Roman"/>
          <w:szCs w:val="24"/>
          <w:lang w:val="sr-Cyrl-CS"/>
        </w:rPr>
        <w:t>КВАЛИФИКАЦИЈЕ ОРИЈЕНТИСАНЕ ПРЕМА ПОТРЕБАМА ТРЖИШТА РАДА</w:t>
      </w:r>
    </w:p>
    <w:p w14:paraId="4579FFC6" w14:textId="77777777" w:rsidR="00D210F0" w:rsidRPr="00092ED7" w:rsidRDefault="00D210F0" w:rsidP="00071952">
      <w:pPr>
        <w:pStyle w:val="ListParagraph"/>
        <w:widowControl w:val="0"/>
        <w:numPr>
          <w:ilvl w:val="0"/>
          <w:numId w:val="20"/>
        </w:numPr>
        <w:spacing w:before="120" w:line="240" w:lineRule="auto"/>
        <w:ind w:left="425" w:hanging="425"/>
        <w:contextualSpacing w:val="0"/>
        <w:rPr>
          <w:rFonts w:cs="Times New Roman"/>
          <w:b/>
          <w:sz w:val="24"/>
          <w:szCs w:val="24"/>
          <w:lang w:val="sr-Cyrl-CS" w:eastAsia="sr-Cyrl-CS" w:bidi="sr-Cyrl-CS"/>
        </w:rPr>
      </w:pPr>
      <w:r w:rsidRPr="00092ED7">
        <w:rPr>
          <w:rFonts w:cs="Times New Roman"/>
          <w:b/>
          <w:sz w:val="24"/>
          <w:szCs w:val="24"/>
          <w:lang w:val="sr-Cyrl-CS" w:eastAsia="sr-Cyrl-CS" w:bidi="sr-Cyrl-CS"/>
        </w:rPr>
        <w:t>Опис структурне реформе</w:t>
      </w:r>
    </w:p>
    <w:p w14:paraId="74562372" w14:textId="09A19524" w:rsidR="00D210F0" w:rsidRPr="00092ED7" w:rsidRDefault="00D210F0" w:rsidP="00D210F0">
      <w:pPr>
        <w:widowControl w:val="0"/>
        <w:spacing w:after="60"/>
        <w:rPr>
          <w:rFonts w:eastAsia="Calibri" w:cs="Times New Roman"/>
          <w:b/>
          <w:szCs w:val="24"/>
          <w:lang w:val="sr-Cyrl-CS" w:eastAsia="sr-Cyrl-CS" w:bidi="sr-Cyrl-CS"/>
        </w:rPr>
      </w:pPr>
      <w:r w:rsidRPr="00092ED7">
        <w:rPr>
          <w:rFonts w:cs="Times New Roman"/>
          <w:lang w:val="sr-Cyrl-CS"/>
        </w:rPr>
        <w:t>Имплементацијом дуалног образовања обезбеђује се ефикаснији одговор система образовања на потребе привреде и тржишта рада, технолошке промене и потребе за новим компетенцијама. У наредном периоду предузимаће се активности у циљу подизања дигиталне дуалне промотивне платформе за кључне учеснике у систему дуалног образовања, наставиће се са успостављањем регионалних тренинг центара, а спроводиће се и активности у циљу унапређивања квалитета услуга каријерног вођења и саветовања (</w:t>
      </w:r>
      <w:r w:rsidR="00657813" w:rsidRPr="00092ED7">
        <w:rPr>
          <w:rFonts w:cs="Times New Roman"/>
          <w:lang w:val="sr-Cyrl-CS"/>
        </w:rPr>
        <w:t xml:space="preserve">у даљем тексту: </w:t>
      </w:r>
      <w:r w:rsidRPr="00092ED7">
        <w:rPr>
          <w:rFonts w:cs="Times New Roman"/>
          <w:lang w:val="sr-Cyrl-CS"/>
        </w:rPr>
        <w:t xml:space="preserve">КВиС) у дуалном образовању. У циљу привлачења </w:t>
      </w:r>
      <w:r w:rsidRPr="00092ED7">
        <w:rPr>
          <w:rFonts w:cs="Times New Roman"/>
          <w:lang w:val="sr-Cyrl-CS"/>
        </w:rPr>
        <w:lastRenderedPageBreak/>
        <w:t>страних инвестиција, израђиваће се анализа кључних елемената дуалног модела образовања у Републици Србији. Даљом имплементацијом НОКС осигурава се диверсификација и унапређење релевантности образовне понуде у систему високог образовања и целоживотног учења, као и обезбеђивање транспарентности система НОКС, упоредивости и препознатљивости квалификација стечених у Републици Србији са квалификацијама стеченим у другим државама.</w:t>
      </w:r>
    </w:p>
    <w:p w14:paraId="279AC86C" w14:textId="77777777" w:rsidR="00D210F0" w:rsidRPr="00092ED7" w:rsidRDefault="00D210F0" w:rsidP="00071952">
      <w:pPr>
        <w:widowControl w:val="0"/>
        <w:numPr>
          <w:ilvl w:val="0"/>
          <w:numId w:val="20"/>
        </w:numPr>
        <w:spacing w:before="120"/>
        <w:ind w:left="425" w:hanging="425"/>
        <w:rPr>
          <w:rFonts w:eastAsia="Calibri" w:cs="Times New Roman"/>
          <w:b/>
          <w:szCs w:val="24"/>
          <w:lang w:val="sr-Cyrl-CS" w:eastAsia="sr-Cyrl-CS" w:bidi="sr-Cyrl-CS"/>
        </w:rPr>
      </w:pPr>
      <w:r w:rsidRPr="00092ED7">
        <w:rPr>
          <w:rFonts w:eastAsia="Calibri" w:cs="Times New Roman"/>
          <w:b/>
          <w:szCs w:val="24"/>
          <w:lang w:val="sr-Cyrl-CS" w:eastAsia="sr-Cyrl-CS" w:bidi="sr-Cyrl-CS"/>
        </w:rPr>
        <w:t>Планиране активности по годинама</w:t>
      </w:r>
    </w:p>
    <w:tbl>
      <w:tblPr>
        <w:tblW w:w="9139" w:type="dxa"/>
        <w:tblLayout w:type="fixed"/>
        <w:tblCellMar>
          <w:left w:w="0" w:type="dxa"/>
          <w:right w:w="0" w:type="dxa"/>
        </w:tblCellMar>
        <w:tblLook w:val="04A0" w:firstRow="1" w:lastRow="0" w:firstColumn="1" w:lastColumn="0" w:noHBand="0" w:noVBand="1"/>
      </w:tblPr>
      <w:tblGrid>
        <w:gridCol w:w="425"/>
        <w:gridCol w:w="4243"/>
        <w:gridCol w:w="372"/>
        <w:gridCol w:w="373"/>
        <w:gridCol w:w="372"/>
        <w:gridCol w:w="373"/>
        <w:gridCol w:w="372"/>
        <w:gridCol w:w="373"/>
        <w:gridCol w:w="373"/>
        <w:gridCol w:w="372"/>
        <w:gridCol w:w="373"/>
        <w:gridCol w:w="372"/>
        <w:gridCol w:w="373"/>
        <w:gridCol w:w="373"/>
      </w:tblGrid>
      <w:tr w:rsidR="00D210F0" w:rsidRPr="00092ED7" w14:paraId="68BC3E56" w14:textId="77777777" w:rsidTr="00C429AB">
        <w:trPr>
          <w:trHeight w:val="315"/>
        </w:trPr>
        <w:tc>
          <w:tcPr>
            <w:tcW w:w="425" w:type="dxa"/>
            <w:vMerge w:val="restart"/>
            <w:tcBorders>
              <w:top w:val="single" w:sz="8" w:space="0" w:color="auto"/>
              <w:left w:val="single" w:sz="8" w:space="0" w:color="auto"/>
              <w:right w:val="nil"/>
            </w:tcBorders>
            <w:shd w:val="clear" w:color="000000" w:fill="BDD6EE"/>
            <w:tcMar>
              <w:top w:w="15" w:type="dxa"/>
              <w:left w:w="15" w:type="dxa"/>
              <w:bottom w:w="0" w:type="dxa"/>
              <w:right w:w="15" w:type="dxa"/>
            </w:tcMar>
            <w:vAlign w:val="center"/>
            <w:hideMark/>
          </w:tcPr>
          <w:p w14:paraId="7807A262" w14:textId="77777777" w:rsidR="00D210F0" w:rsidRPr="00092ED7" w:rsidRDefault="00D210F0" w:rsidP="00D210F0">
            <w:pPr>
              <w:spacing w:after="0"/>
              <w:jc w:val="center"/>
              <w:rPr>
                <w:rFonts w:cs="Times New Roman"/>
                <w:b/>
                <w:bCs/>
                <w:color w:val="000000"/>
                <w:sz w:val="20"/>
                <w:szCs w:val="20"/>
                <w:lang w:val="sr-Cyrl-CS"/>
              </w:rPr>
            </w:pPr>
            <w:r w:rsidRPr="00092ED7">
              <w:rPr>
                <w:rFonts w:cs="Times New Roman"/>
                <w:b/>
                <w:bCs/>
                <w:color w:val="000000"/>
                <w:sz w:val="20"/>
                <w:szCs w:val="20"/>
                <w:lang w:val="sr-Cyrl-CS"/>
              </w:rPr>
              <w:t>РБ</w:t>
            </w:r>
          </w:p>
        </w:tc>
        <w:tc>
          <w:tcPr>
            <w:tcW w:w="4243" w:type="dxa"/>
            <w:vMerge w:val="restart"/>
            <w:tcBorders>
              <w:top w:val="single" w:sz="8" w:space="0" w:color="auto"/>
              <w:left w:val="single" w:sz="8" w:space="0" w:color="auto"/>
              <w:bottom w:val="single" w:sz="8" w:space="0" w:color="000000"/>
              <w:right w:val="nil"/>
            </w:tcBorders>
            <w:shd w:val="clear" w:color="auto" w:fill="BDD6EE" w:themeFill="accent1" w:themeFillTint="66"/>
            <w:tcMar>
              <w:top w:w="15" w:type="dxa"/>
              <w:left w:w="15" w:type="dxa"/>
              <w:bottom w:w="0" w:type="dxa"/>
              <w:right w:w="15" w:type="dxa"/>
            </w:tcMar>
            <w:vAlign w:val="center"/>
            <w:hideMark/>
          </w:tcPr>
          <w:p w14:paraId="57ED90EC" w14:textId="77777777" w:rsidR="00D210F0" w:rsidRPr="00092ED7" w:rsidRDefault="00D210F0" w:rsidP="00D210F0">
            <w:pPr>
              <w:spacing w:after="0"/>
              <w:jc w:val="left"/>
              <w:rPr>
                <w:rFonts w:cs="Times New Roman"/>
                <w:b/>
                <w:bCs/>
                <w:color w:val="000000"/>
                <w:sz w:val="20"/>
                <w:szCs w:val="20"/>
                <w:lang w:val="sr-Cyrl-CS"/>
              </w:rPr>
            </w:pPr>
            <w:r w:rsidRPr="00092ED7">
              <w:rPr>
                <w:rFonts w:cs="Times New Roman"/>
                <w:b/>
                <w:bCs/>
                <w:sz w:val="20"/>
                <w:szCs w:val="20"/>
                <w:lang w:val="sr-Cyrl-CS"/>
              </w:rPr>
              <w:t>Планиране активности</w:t>
            </w:r>
          </w:p>
        </w:tc>
        <w:tc>
          <w:tcPr>
            <w:tcW w:w="1490" w:type="dxa"/>
            <w:gridSpan w:val="4"/>
            <w:tcBorders>
              <w:top w:val="single" w:sz="8" w:space="0" w:color="auto"/>
              <w:left w:val="single" w:sz="8" w:space="0" w:color="auto"/>
              <w:bottom w:val="single" w:sz="4" w:space="0" w:color="auto"/>
              <w:right w:val="single" w:sz="8" w:space="0" w:color="000000"/>
            </w:tcBorders>
            <w:shd w:val="clear" w:color="auto" w:fill="BDD6EE" w:themeFill="accent1" w:themeFillTint="66"/>
            <w:tcMar>
              <w:top w:w="15" w:type="dxa"/>
              <w:left w:w="15" w:type="dxa"/>
              <w:bottom w:w="0" w:type="dxa"/>
              <w:right w:w="15" w:type="dxa"/>
            </w:tcMar>
            <w:vAlign w:val="center"/>
            <w:hideMark/>
          </w:tcPr>
          <w:p w14:paraId="4FDD895F" w14:textId="77777777" w:rsidR="00D210F0" w:rsidRPr="00092ED7" w:rsidRDefault="00D210F0" w:rsidP="00D210F0">
            <w:pPr>
              <w:spacing w:after="0"/>
              <w:jc w:val="center"/>
              <w:rPr>
                <w:rFonts w:cs="Times New Roman"/>
                <w:b/>
                <w:bCs/>
                <w:color w:val="000000"/>
                <w:sz w:val="20"/>
                <w:szCs w:val="20"/>
                <w:lang w:val="sr-Cyrl-CS"/>
              </w:rPr>
            </w:pPr>
            <w:r w:rsidRPr="00092ED7">
              <w:rPr>
                <w:rFonts w:cs="Times New Roman"/>
                <w:b/>
                <w:bCs/>
                <w:color w:val="000000"/>
                <w:sz w:val="20"/>
                <w:szCs w:val="20"/>
                <w:lang w:val="sr-Cyrl-CS"/>
              </w:rPr>
              <w:t>2023</w:t>
            </w:r>
          </w:p>
        </w:tc>
        <w:tc>
          <w:tcPr>
            <w:tcW w:w="1490" w:type="dxa"/>
            <w:gridSpan w:val="4"/>
            <w:tcBorders>
              <w:top w:val="single" w:sz="8" w:space="0" w:color="auto"/>
              <w:left w:val="single" w:sz="8" w:space="0" w:color="auto"/>
              <w:bottom w:val="single" w:sz="4" w:space="0" w:color="auto"/>
              <w:right w:val="single" w:sz="8" w:space="0" w:color="000000"/>
            </w:tcBorders>
            <w:shd w:val="clear" w:color="auto" w:fill="BDD6EE" w:themeFill="accent1" w:themeFillTint="66"/>
            <w:tcMar>
              <w:top w:w="15" w:type="dxa"/>
              <w:left w:w="15" w:type="dxa"/>
              <w:bottom w:w="0" w:type="dxa"/>
              <w:right w:w="15" w:type="dxa"/>
            </w:tcMar>
            <w:vAlign w:val="center"/>
            <w:hideMark/>
          </w:tcPr>
          <w:p w14:paraId="00EBE0F9" w14:textId="77777777" w:rsidR="00D210F0" w:rsidRPr="00092ED7" w:rsidRDefault="00D210F0" w:rsidP="00D210F0">
            <w:pPr>
              <w:spacing w:after="0"/>
              <w:jc w:val="center"/>
              <w:rPr>
                <w:rFonts w:cs="Times New Roman"/>
                <w:b/>
                <w:bCs/>
                <w:color w:val="000000"/>
                <w:sz w:val="20"/>
                <w:szCs w:val="20"/>
                <w:lang w:val="sr-Cyrl-CS"/>
              </w:rPr>
            </w:pPr>
            <w:r w:rsidRPr="00092ED7">
              <w:rPr>
                <w:rFonts w:cs="Times New Roman"/>
                <w:b/>
                <w:bCs/>
                <w:color w:val="000000"/>
                <w:sz w:val="20"/>
                <w:szCs w:val="20"/>
                <w:lang w:val="sr-Cyrl-CS"/>
              </w:rPr>
              <w:t>2024</w:t>
            </w:r>
          </w:p>
        </w:tc>
        <w:tc>
          <w:tcPr>
            <w:tcW w:w="1491" w:type="dxa"/>
            <w:gridSpan w:val="4"/>
            <w:tcBorders>
              <w:top w:val="single" w:sz="8" w:space="0" w:color="auto"/>
              <w:left w:val="nil"/>
              <w:bottom w:val="single" w:sz="4" w:space="0" w:color="auto"/>
              <w:right w:val="single" w:sz="8" w:space="0" w:color="000000"/>
            </w:tcBorders>
            <w:shd w:val="clear" w:color="auto" w:fill="BDD6EE" w:themeFill="accent1" w:themeFillTint="66"/>
            <w:tcMar>
              <w:top w:w="15" w:type="dxa"/>
              <w:left w:w="15" w:type="dxa"/>
              <w:bottom w:w="0" w:type="dxa"/>
              <w:right w:w="15" w:type="dxa"/>
            </w:tcMar>
            <w:vAlign w:val="center"/>
            <w:hideMark/>
          </w:tcPr>
          <w:p w14:paraId="742273AA" w14:textId="77777777" w:rsidR="00D210F0" w:rsidRPr="00092ED7" w:rsidRDefault="00D210F0" w:rsidP="00D210F0">
            <w:pPr>
              <w:spacing w:after="0"/>
              <w:jc w:val="center"/>
              <w:rPr>
                <w:rFonts w:cs="Times New Roman"/>
                <w:b/>
                <w:bCs/>
                <w:color w:val="000000"/>
                <w:sz w:val="20"/>
                <w:szCs w:val="20"/>
                <w:lang w:val="sr-Cyrl-CS"/>
              </w:rPr>
            </w:pPr>
            <w:r w:rsidRPr="00092ED7">
              <w:rPr>
                <w:rFonts w:cs="Times New Roman"/>
                <w:b/>
                <w:bCs/>
                <w:color w:val="000000"/>
                <w:sz w:val="20"/>
                <w:szCs w:val="20"/>
                <w:lang w:val="sr-Cyrl-CS"/>
              </w:rPr>
              <w:t>2025</w:t>
            </w:r>
          </w:p>
        </w:tc>
      </w:tr>
      <w:tr w:rsidR="00D210F0" w:rsidRPr="00092ED7" w14:paraId="104B4130" w14:textId="77777777" w:rsidTr="00C429AB">
        <w:trPr>
          <w:trHeight w:val="315"/>
        </w:trPr>
        <w:tc>
          <w:tcPr>
            <w:tcW w:w="425" w:type="dxa"/>
            <w:vMerge/>
            <w:tcBorders>
              <w:left w:val="single" w:sz="8" w:space="0" w:color="auto"/>
              <w:bottom w:val="single" w:sz="8" w:space="0" w:color="000000"/>
              <w:right w:val="nil"/>
            </w:tcBorders>
            <w:shd w:val="clear" w:color="000000" w:fill="BDD6EE"/>
            <w:vAlign w:val="center"/>
            <w:hideMark/>
          </w:tcPr>
          <w:p w14:paraId="18B05F1B" w14:textId="77777777" w:rsidR="00D210F0" w:rsidRPr="00092ED7" w:rsidRDefault="00D210F0" w:rsidP="00D210F0">
            <w:pPr>
              <w:spacing w:after="0"/>
              <w:jc w:val="center"/>
              <w:rPr>
                <w:rFonts w:cs="Times New Roman"/>
                <w:b/>
                <w:bCs/>
                <w:color w:val="000000"/>
                <w:sz w:val="20"/>
                <w:szCs w:val="20"/>
                <w:lang w:val="sr-Cyrl-CS"/>
              </w:rPr>
            </w:pPr>
          </w:p>
        </w:tc>
        <w:tc>
          <w:tcPr>
            <w:tcW w:w="4243" w:type="dxa"/>
            <w:vMerge/>
            <w:tcBorders>
              <w:top w:val="single" w:sz="8" w:space="0" w:color="auto"/>
              <w:left w:val="single" w:sz="8" w:space="0" w:color="auto"/>
              <w:bottom w:val="single" w:sz="8" w:space="0" w:color="000000"/>
              <w:right w:val="nil"/>
            </w:tcBorders>
            <w:shd w:val="clear" w:color="auto" w:fill="BDD6EE" w:themeFill="accent1" w:themeFillTint="66"/>
            <w:vAlign w:val="center"/>
            <w:hideMark/>
          </w:tcPr>
          <w:p w14:paraId="413D5DEF" w14:textId="77777777" w:rsidR="00D210F0" w:rsidRPr="00092ED7" w:rsidRDefault="00D210F0" w:rsidP="00D210F0">
            <w:pPr>
              <w:spacing w:after="0"/>
              <w:rPr>
                <w:rFonts w:cs="Times New Roman"/>
                <w:b/>
                <w:bCs/>
                <w:color w:val="000000"/>
                <w:sz w:val="20"/>
                <w:szCs w:val="20"/>
                <w:lang w:val="sr-Cyrl-CS"/>
              </w:rPr>
            </w:pPr>
          </w:p>
        </w:tc>
        <w:tc>
          <w:tcPr>
            <w:tcW w:w="372" w:type="dxa"/>
            <w:tcBorders>
              <w:top w:val="nil"/>
              <w:left w:val="single" w:sz="8" w:space="0" w:color="auto"/>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6A496C78"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Q1</w:t>
            </w:r>
          </w:p>
        </w:tc>
        <w:tc>
          <w:tcPr>
            <w:tcW w:w="373"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1DD31ED9"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Q2</w:t>
            </w:r>
          </w:p>
        </w:tc>
        <w:tc>
          <w:tcPr>
            <w:tcW w:w="372"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475329D9"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Q3</w:t>
            </w:r>
          </w:p>
        </w:tc>
        <w:tc>
          <w:tcPr>
            <w:tcW w:w="373" w:type="dxa"/>
            <w:tcBorders>
              <w:top w:val="nil"/>
              <w:left w:val="nil"/>
              <w:bottom w:val="single" w:sz="8" w:space="0" w:color="auto"/>
              <w:right w:val="single" w:sz="8" w:space="0" w:color="auto"/>
            </w:tcBorders>
            <w:shd w:val="clear" w:color="auto" w:fill="BDD6EE" w:themeFill="accent1" w:themeFillTint="66"/>
            <w:tcMar>
              <w:top w:w="15" w:type="dxa"/>
              <w:left w:w="15" w:type="dxa"/>
              <w:bottom w:w="0" w:type="dxa"/>
              <w:right w:w="15" w:type="dxa"/>
            </w:tcMar>
            <w:vAlign w:val="center"/>
            <w:hideMark/>
          </w:tcPr>
          <w:p w14:paraId="5C793A74"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Q4</w:t>
            </w:r>
          </w:p>
        </w:tc>
        <w:tc>
          <w:tcPr>
            <w:tcW w:w="372"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31C45F11"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Q1</w:t>
            </w:r>
          </w:p>
        </w:tc>
        <w:tc>
          <w:tcPr>
            <w:tcW w:w="373"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557FCA5E"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Q2</w:t>
            </w:r>
          </w:p>
        </w:tc>
        <w:tc>
          <w:tcPr>
            <w:tcW w:w="373"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22836505"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Q3</w:t>
            </w:r>
          </w:p>
        </w:tc>
        <w:tc>
          <w:tcPr>
            <w:tcW w:w="372" w:type="dxa"/>
            <w:tcBorders>
              <w:top w:val="nil"/>
              <w:left w:val="nil"/>
              <w:bottom w:val="single" w:sz="8" w:space="0" w:color="auto"/>
              <w:right w:val="single" w:sz="8" w:space="0" w:color="auto"/>
            </w:tcBorders>
            <w:shd w:val="clear" w:color="auto" w:fill="BDD6EE" w:themeFill="accent1" w:themeFillTint="66"/>
            <w:tcMar>
              <w:top w:w="15" w:type="dxa"/>
              <w:left w:w="15" w:type="dxa"/>
              <w:bottom w:w="0" w:type="dxa"/>
              <w:right w:w="15" w:type="dxa"/>
            </w:tcMar>
            <w:vAlign w:val="center"/>
            <w:hideMark/>
          </w:tcPr>
          <w:p w14:paraId="25C747BC"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Q4</w:t>
            </w:r>
          </w:p>
        </w:tc>
        <w:tc>
          <w:tcPr>
            <w:tcW w:w="373"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6917C5BF"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Q1</w:t>
            </w:r>
          </w:p>
        </w:tc>
        <w:tc>
          <w:tcPr>
            <w:tcW w:w="372"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500A110B"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Q2</w:t>
            </w:r>
          </w:p>
        </w:tc>
        <w:tc>
          <w:tcPr>
            <w:tcW w:w="373"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2D3CB8FA"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Q3</w:t>
            </w:r>
          </w:p>
        </w:tc>
        <w:tc>
          <w:tcPr>
            <w:tcW w:w="373" w:type="dxa"/>
            <w:tcBorders>
              <w:top w:val="nil"/>
              <w:left w:val="nil"/>
              <w:bottom w:val="single" w:sz="8" w:space="0" w:color="auto"/>
              <w:right w:val="single" w:sz="8" w:space="0" w:color="auto"/>
            </w:tcBorders>
            <w:shd w:val="clear" w:color="auto" w:fill="BDD6EE" w:themeFill="accent1" w:themeFillTint="66"/>
            <w:tcMar>
              <w:top w:w="15" w:type="dxa"/>
              <w:left w:w="15" w:type="dxa"/>
              <w:bottom w:w="0" w:type="dxa"/>
              <w:right w:w="15" w:type="dxa"/>
            </w:tcMar>
            <w:vAlign w:val="center"/>
            <w:hideMark/>
          </w:tcPr>
          <w:p w14:paraId="0D910A77"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Q4</w:t>
            </w:r>
          </w:p>
        </w:tc>
      </w:tr>
      <w:tr w:rsidR="00D210F0" w:rsidRPr="00092ED7" w14:paraId="1FD434E9" w14:textId="77777777" w:rsidTr="00C429AB">
        <w:trPr>
          <w:trHeight w:val="300"/>
        </w:trPr>
        <w:tc>
          <w:tcPr>
            <w:tcW w:w="425" w:type="dxa"/>
            <w:tcBorders>
              <w:top w:val="single" w:sz="4" w:space="0" w:color="auto"/>
              <w:left w:val="single" w:sz="8" w:space="0" w:color="auto"/>
              <w:bottom w:val="single" w:sz="4" w:space="0" w:color="auto"/>
              <w:right w:val="nil"/>
            </w:tcBorders>
            <w:shd w:val="clear" w:color="auto" w:fill="auto"/>
            <w:tcMar>
              <w:top w:w="15" w:type="dxa"/>
              <w:left w:w="15" w:type="dxa"/>
              <w:bottom w:w="0" w:type="dxa"/>
              <w:right w:w="15" w:type="dxa"/>
            </w:tcMar>
          </w:tcPr>
          <w:p w14:paraId="32108CA1" w14:textId="77777777" w:rsidR="00D210F0" w:rsidRPr="00092ED7" w:rsidRDefault="00D210F0" w:rsidP="00D210F0">
            <w:pPr>
              <w:spacing w:after="0"/>
              <w:jc w:val="center"/>
              <w:rPr>
                <w:rFonts w:cs="Times New Roman"/>
                <w:bCs/>
                <w:sz w:val="20"/>
                <w:szCs w:val="20"/>
                <w:lang w:val="sr-Cyrl-CS"/>
              </w:rPr>
            </w:pPr>
            <w:r w:rsidRPr="00092ED7">
              <w:rPr>
                <w:rFonts w:cs="Times New Roman"/>
                <w:bCs/>
                <w:sz w:val="20"/>
                <w:szCs w:val="20"/>
                <w:lang w:val="sr-Cyrl-CS"/>
              </w:rPr>
              <w:t>1.</w:t>
            </w:r>
          </w:p>
        </w:tc>
        <w:tc>
          <w:tcPr>
            <w:tcW w:w="4243" w:type="dxa"/>
            <w:tcBorders>
              <w:top w:val="single" w:sz="4" w:space="0" w:color="auto"/>
              <w:left w:val="single" w:sz="8" w:space="0" w:color="auto"/>
              <w:bottom w:val="single" w:sz="4" w:space="0" w:color="auto"/>
              <w:right w:val="nil"/>
            </w:tcBorders>
            <w:shd w:val="clear" w:color="auto" w:fill="auto"/>
            <w:tcMar>
              <w:top w:w="15" w:type="dxa"/>
              <w:left w:w="15" w:type="dxa"/>
              <w:bottom w:w="0" w:type="dxa"/>
              <w:right w:w="15" w:type="dxa"/>
            </w:tcMar>
          </w:tcPr>
          <w:p w14:paraId="3FEFCD30" w14:textId="77777777" w:rsidR="00D210F0" w:rsidRPr="00092ED7" w:rsidRDefault="00D210F0" w:rsidP="00D210F0">
            <w:pPr>
              <w:spacing w:after="0"/>
              <w:ind w:right="222"/>
              <w:rPr>
                <w:rFonts w:cs="Times New Roman"/>
                <w:sz w:val="20"/>
                <w:szCs w:val="20"/>
                <w:lang w:val="sr-Cyrl-CS"/>
              </w:rPr>
            </w:pPr>
            <w:r w:rsidRPr="00092ED7">
              <w:rPr>
                <w:rFonts w:cs="Times New Roman"/>
                <w:sz w:val="20"/>
                <w:szCs w:val="20"/>
                <w:lang w:val="sr-Cyrl-CS"/>
              </w:rPr>
              <w:t>Ширење мреже и унапређивање компетенција координатора тимова за КВиС ради унапређивањa квалитета активности КВиС у дуалном образовању</w:t>
            </w:r>
          </w:p>
        </w:tc>
        <w:tc>
          <w:tcPr>
            <w:tcW w:w="372" w:type="dxa"/>
            <w:tcBorders>
              <w:top w:val="single" w:sz="4" w:space="0" w:color="auto"/>
              <w:left w:val="single" w:sz="8" w:space="0" w:color="auto"/>
              <w:bottom w:val="single" w:sz="4" w:space="0" w:color="auto"/>
              <w:right w:val="single" w:sz="4" w:space="0" w:color="auto"/>
            </w:tcBorders>
            <w:shd w:val="clear" w:color="auto" w:fill="auto"/>
            <w:tcMar>
              <w:top w:w="15" w:type="dxa"/>
              <w:left w:w="15" w:type="dxa"/>
              <w:bottom w:w="0" w:type="dxa"/>
              <w:right w:w="15" w:type="dxa"/>
            </w:tcMar>
          </w:tcPr>
          <w:p w14:paraId="6D9F75F6" w14:textId="77777777" w:rsidR="00D210F0" w:rsidRPr="00092ED7" w:rsidRDefault="00D210F0" w:rsidP="00D210F0">
            <w:pPr>
              <w:spacing w:after="0"/>
              <w:rPr>
                <w:rFonts w:cs="Times New Roman"/>
                <w:color w:val="000000"/>
                <w:sz w:val="20"/>
                <w:szCs w:val="20"/>
                <w:lang w:val="sr-Cyrl-CS"/>
              </w:rPr>
            </w:pPr>
          </w:p>
        </w:tc>
        <w:tc>
          <w:tcPr>
            <w:tcW w:w="373"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197D622B" w14:textId="77777777" w:rsidR="00D210F0" w:rsidRPr="00092ED7" w:rsidRDefault="00D210F0" w:rsidP="00D210F0">
            <w:pPr>
              <w:spacing w:after="0"/>
              <w:rPr>
                <w:rFonts w:cs="Times New Roman"/>
                <w:color w:val="000000"/>
                <w:sz w:val="20"/>
                <w:szCs w:val="20"/>
                <w:lang w:val="sr-Cyrl-CS"/>
              </w:rPr>
            </w:pPr>
          </w:p>
        </w:tc>
        <w:tc>
          <w:tcPr>
            <w:tcW w:w="372"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7A2BD293" w14:textId="77777777" w:rsidR="00D210F0" w:rsidRPr="00092ED7" w:rsidRDefault="00D210F0" w:rsidP="00D210F0">
            <w:pPr>
              <w:spacing w:after="0"/>
              <w:rPr>
                <w:rFonts w:cs="Times New Roman"/>
                <w:color w:val="000000"/>
                <w:sz w:val="20"/>
                <w:szCs w:val="20"/>
                <w:lang w:val="sr-Cyrl-CS"/>
              </w:rPr>
            </w:pPr>
          </w:p>
        </w:tc>
        <w:tc>
          <w:tcPr>
            <w:tcW w:w="373" w:type="dxa"/>
            <w:tcBorders>
              <w:top w:val="single" w:sz="4" w:space="0" w:color="auto"/>
              <w:left w:val="nil"/>
              <w:bottom w:val="single" w:sz="4" w:space="0" w:color="auto"/>
              <w:right w:val="single" w:sz="8" w:space="0" w:color="auto"/>
            </w:tcBorders>
            <w:shd w:val="clear" w:color="auto" w:fill="auto"/>
            <w:tcMar>
              <w:top w:w="15" w:type="dxa"/>
              <w:left w:w="15" w:type="dxa"/>
              <w:bottom w:w="0" w:type="dxa"/>
              <w:right w:w="15" w:type="dxa"/>
            </w:tcMar>
          </w:tcPr>
          <w:p w14:paraId="7E3A5220" w14:textId="77777777" w:rsidR="00D210F0" w:rsidRPr="00092ED7" w:rsidRDefault="00D210F0" w:rsidP="00D210F0">
            <w:pPr>
              <w:spacing w:after="0"/>
              <w:rPr>
                <w:rFonts w:cs="Times New Roman"/>
                <w:color w:val="000000"/>
                <w:sz w:val="20"/>
                <w:szCs w:val="20"/>
                <w:lang w:val="sr-Cyrl-CS"/>
              </w:rPr>
            </w:pPr>
          </w:p>
        </w:tc>
        <w:tc>
          <w:tcPr>
            <w:tcW w:w="372"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1E6D983A" w14:textId="77777777" w:rsidR="00D210F0" w:rsidRPr="00092ED7" w:rsidRDefault="00D210F0" w:rsidP="00D210F0">
            <w:pPr>
              <w:spacing w:after="0"/>
              <w:rPr>
                <w:rFonts w:cs="Times New Roman"/>
                <w:color w:val="000000"/>
                <w:sz w:val="20"/>
                <w:szCs w:val="20"/>
                <w:lang w:val="sr-Cyrl-CS"/>
              </w:rPr>
            </w:pPr>
          </w:p>
        </w:tc>
        <w:tc>
          <w:tcPr>
            <w:tcW w:w="373"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6D75B39F" w14:textId="77777777" w:rsidR="00D210F0" w:rsidRPr="00092ED7" w:rsidRDefault="00D210F0" w:rsidP="00D210F0">
            <w:pPr>
              <w:spacing w:after="0"/>
              <w:rPr>
                <w:rFonts w:cs="Times New Roman"/>
                <w:color w:val="000000"/>
                <w:sz w:val="20"/>
                <w:szCs w:val="20"/>
                <w:lang w:val="sr-Cyrl-CS"/>
              </w:rPr>
            </w:pPr>
          </w:p>
        </w:tc>
        <w:tc>
          <w:tcPr>
            <w:tcW w:w="373"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5778D0B3" w14:textId="77777777" w:rsidR="00D210F0" w:rsidRPr="00092ED7" w:rsidRDefault="00D210F0" w:rsidP="00D210F0">
            <w:pPr>
              <w:spacing w:after="0"/>
              <w:rPr>
                <w:rFonts w:cs="Times New Roman"/>
                <w:color w:val="000000"/>
                <w:sz w:val="20"/>
                <w:szCs w:val="20"/>
                <w:lang w:val="sr-Cyrl-CS"/>
              </w:rPr>
            </w:pPr>
          </w:p>
        </w:tc>
        <w:tc>
          <w:tcPr>
            <w:tcW w:w="372" w:type="dxa"/>
            <w:tcBorders>
              <w:top w:val="single" w:sz="4" w:space="0" w:color="auto"/>
              <w:left w:val="nil"/>
              <w:bottom w:val="single" w:sz="4" w:space="0" w:color="auto"/>
              <w:right w:val="single" w:sz="8" w:space="0" w:color="auto"/>
            </w:tcBorders>
            <w:shd w:val="clear" w:color="auto" w:fill="auto"/>
            <w:tcMar>
              <w:top w:w="15" w:type="dxa"/>
              <w:left w:w="15" w:type="dxa"/>
              <w:bottom w:w="0" w:type="dxa"/>
              <w:right w:w="15" w:type="dxa"/>
            </w:tcMar>
          </w:tcPr>
          <w:p w14:paraId="50EB3945" w14:textId="77777777" w:rsidR="00D210F0" w:rsidRPr="00092ED7" w:rsidRDefault="00D210F0" w:rsidP="00D210F0">
            <w:pPr>
              <w:spacing w:after="0"/>
              <w:rPr>
                <w:rFonts w:cs="Times New Roman"/>
                <w:color w:val="000000"/>
                <w:sz w:val="20"/>
                <w:szCs w:val="20"/>
                <w:lang w:val="sr-Cyrl-CS"/>
              </w:rPr>
            </w:pPr>
          </w:p>
        </w:tc>
        <w:tc>
          <w:tcPr>
            <w:tcW w:w="373"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B00E887" w14:textId="77777777" w:rsidR="00D210F0" w:rsidRPr="00092ED7" w:rsidRDefault="00D210F0" w:rsidP="00D210F0">
            <w:pPr>
              <w:spacing w:after="0"/>
              <w:rPr>
                <w:rFonts w:cs="Times New Roman"/>
                <w:color w:val="000000"/>
                <w:sz w:val="20"/>
                <w:szCs w:val="20"/>
                <w:lang w:val="sr-Cyrl-CS"/>
              </w:rPr>
            </w:pPr>
          </w:p>
        </w:tc>
        <w:tc>
          <w:tcPr>
            <w:tcW w:w="372"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CE5626E" w14:textId="77777777" w:rsidR="00D210F0" w:rsidRPr="00092ED7" w:rsidRDefault="00D210F0" w:rsidP="00D210F0">
            <w:pPr>
              <w:spacing w:after="0"/>
              <w:rPr>
                <w:rFonts w:cs="Times New Roman"/>
                <w:color w:val="000000"/>
                <w:sz w:val="20"/>
                <w:szCs w:val="20"/>
                <w:lang w:val="sr-Cyrl-CS"/>
              </w:rPr>
            </w:pPr>
          </w:p>
        </w:tc>
        <w:tc>
          <w:tcPr>
            <w:tcW w:w="373"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26FDD248" w14:textId="77777777" w:rsidR="00D210F0" w:rsidRPr="00092ED7" w:rsidRDefault="00D210F0" w:rsidP="00D210F0">
            <w:pPr>
              <w:spacing w:after="0"/>
              <w:rPr>
                <w:rFonts w:cs="Times New Roman"/>
                <w:color w:val="000000"/>
                <w:sz w:val="20"/>
                <w:szCs w:val="20"/>
                <w:lang w:val="sr-Cyrl-CS"/>
              </w:rPr>
            </w:pPr>
          </w:p>
        </w:tc>
        <w:tc>
          <w:tcPr>
            <w:tcW w:w="373" w:type="dxa"/>
            <w:tcBorders>
              <w:top w:val="single" w:sz="4" w:space="0" w:color="auto"/>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7278D019" w14:textId="77777777" w:rsidR="00D210F0" w:rsidRPr="00092ED7" w:rsidRDefault="00D210F0" w:rsidP="00D210F0">
            <w:pPr>
              <w:spacing w:after="0"/>
              <w:rPr>
                <w:rFonts w:cs="Times New Roman"/>
                <w:color w:val="000000"/>
                <w:sz w:val="20"/>
                <w:szCs w:val="20"/>
                <w:lang w:val="sr-Cyrl-CS"/>
              </w:rPr>
            </w:pPr>
          </w:p>
        </w:tc>
      </w:tr>
      <w:tr w:rsidR="00D210F0" w:rsidRPr="00092ED7" w14:paraId="05891BB1" w14:textId="77777777" w:rsidTr="00C429AB">
        <w:trPr>
          <w:trHeight w:val="300"/>
        </w:trPr>
        <w:tc>
          <w:tcPr>
            <w:tcW w:w="425" w:type="dxa"/>
            <w:tcBorders>
              <w:top w:val="nil"/>
              <w:left w:val="single" w:sz="8" w:space="0" w:color="auto"/>
              <w:bottom w:val="single" w:sz="4" w:space="0" w:color="auto"/>
              <w:right w:val="nil"/>
            </w:tcBorders>
            <w:shd w:val="clear" w:color="auto" w:fill="auto"/>
            <w:tcMar>
              <w:top w:w="15" w:type="dxa"/>
              <w:left w:w="15" w:type="dxa"/>
              <w:bottom w:w="0" w:type="dxa"/>
              <w:right w:w="15" w:type="dxa"/>
            </w:tcMar>
          </w:tcPr>
          <w:p w14:paraId="2AFEA2CA" w14:textId="77777777" w:rsidR="00D210F0" w:rsidRPr="00092ED7" w:rsidRDefault="00D210F0" w:rsidP="00D210F0">
            <w:pPr>
              <w:spacing w:after="0"/>
              <w:jc w:val="center"/>
              <w:rPr>
                <w:rFonts w:cs="Times New Roman"/>
                <w:bCs/>
                <w:sz w:val="20"/>
                <w:szCs w:val="20"/>
                <w:lang w:val="sr-Cyrl-CS"/>
              </w:rPr>
            </w:pPr>
            <w:r w:rsidRPr="00092ED7">
              <w:rPr>
                <w:rFonts w:cs="Times New Roman"/>
                <w:bCs/>
                <w:sz w:val="20"/>
                <w:szCs w:val="20"/>
                <w:lang w:val="sr-Cyrl-CS"/>
              </w:rPr>
              <w:t>2.</w:t>
            </w:r>
          </w:p>
        </w:tc>
        <w:tc>
          <w:tcPr>
            <w:tcW w:w="4243" w:type="dxa"/>
            <w:tcBorders>
              <w:top w:val="nil"/>
              <w:left w:val="single" w:sz="8" w:space="0" w:color="auto"/>
              <w:bottom w:val="single" w:sz="4" w:space="0" w:color="auto"/>
              <w:right w:val="single" w:sz="4" w:space="0" w:color="auto"/>
            </w:tcBorders>
            <w:shd w:val="clear" w:color="auto" w:fill="auto"/>
            <w:tcMar>
              <w:top w:w="15" w:type="dxa"/>
              <w:left w:w="15" w:type="dxa"/>
              <w:bottom w:w="0" w:type="dxa"/>
              <w:right w:w="15" w:type="dxa"/>
            </w:tcMar>
          </w:tcPr>
          <w:p w14:paraId="05B7F88D" w14:textId="77777777" w:rsidR="00D210F0" w:rsidRPr="00092ED7" w:rsidRDefault="00D210F0" w:rsidP="00D210F0">
            <w:pPr>
              <w:spacing w:after="0"/>
              <w:ind w:right="222"/>
              <w:rPr>
                <w:rFonts w:cs="Times New Roman"/>
                <w:sz w:val="20"/>
                <w:szCs w:val="20"/>
                <w:lang w:val="sr-Cyrl-CS"/>
              </w:rPr>
            </w:pPr>
            <w:r w:rsidRPr="00092ED7">
              <w:rPr>
                <w:rFonts w:cs="Times New Roman"/>
                <w:sz w:val="20"/>
                <w:szCs w:val="20"/>
                <w:lang w:val="sr-Cyrl-CS"/>
              </w:rPr>
              <w:t>Креирање дигиталне дуалне промотивне платформе</w:t>
            </w:r>
          </w:p>
        </w:tc>
        <w:tc>
          <w:tcPr>
            <w:tcW w:w="372" w:type="dxa"/>
            <w:tcBorders>
              <w:top w:val="nil"/>
              <w:left w:val="single" w:sz="8"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DC6F28A"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453969C" w14:textId="77777777" w:rsidR="00D210F0" w:rsidRPr="00092ED7" w:rsidRDefault="00D210F0" w:rsidP="00D210F0">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25C5CFE4"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30C522EA" w14:textId="77777777" w:rsidR="00D210F0" w:rsidRPr="00092ED7" w:rsidRDefault="00D210F0" w:rsidP="00D210F0">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FFFFFF" w:themeFill="background1"/>
            <w:tcMar>
              <w:top w:w="15" w:type="dxa"/>
              <w:left w:w="15" w:type="dxa"/>
              <w:bottom w:w="0" w:type="dxa"/>
              <w:right w:w="15" w:type="dxa"/>
            </w:tcMar>
          </w:tcPr>
          <w:p w14:paraId="15D9309E"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FFFFFF" w:themeFill="background1"/>
            <w:tcMar>
              <w:top w:w="15" w:type="dxa"/>
              <w:left w:w="15" w:type="dxa"/>
              <w:bottom w:w="0" w:type="dxa"/>
              <w:right w:w="15" w:type="dxa"/>
            </w:tcMar>
          </w:tcPr>
          <w:p w14:paraId="482AED6C"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FFFFFF" w:themeFill="background1"/>
            <w:tcMar>
              <w:top w:w="15" w:type="dxa"/>
              <w:left w:w="15" w:type="dxa"/>
              <w:bottom w:w="0" w:type="dxa"/>
              <w:right w:w="15" w:type="dxa"/>
            </w:tcMar>
          </w:tcPr>
          <w:p w14:paraId="31E321C6" w14:textId="77777777" w:rsidR="00D210F0" w:rsidRPr="00092ED7" w:rsidRDefault="00D210F0" w:rsidP="00D210F0">
            <w:pPr>
              <w:spacing w:after="0"/>
              <w:rPr>
                <w:rFonts w:cs="Times New Roman"/>
                <w:color w:val="000000"/>
                <w:sz w:val="20"/>
                <w:szCs w:val="20"/>
                <w:lang w:val="sr-Cyrl-CS"/>
              </w:rPr>
            </w:pPr>
          </w:p>
        </w:tc>
        <w:tc>
          <w:tcPr>
            <w:tcW w:w="372" w:type="dxa"/>
            <w:tcBorders>
              <w:top w:val="nil"/>
              <w:left w:val="nil"/>
              <w:bottom w:val="single" w:sz="4" w:space="0" w:color="auto"/>
              <w:right w:val="single" w:sz="8" w:space="0" w:color="auto"/>
            </w:tcBorders>
            <w:shd w:val="clear" w:color="auto" w:fill="FFFFFF" w:themeFill="background1"/>
            <w:tcMar>
              <w:top w:w="15" w:type="dxa"/>
              <w:left w:w="15" w:type="dxa"/>
              <w:bottom w:w="0" w:type="dxa"/>
              <w:right w:w="15" w:type="dxa"/>
            </w:tcMar>
          </w:tcPr>
          <w:p w14:paraId="71938517"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FFFFFF" w:themeFill="background1"/>
            <w:tcMar>
              <w:top w:w="15" w:type="dxa"/>
              <w:left w:w="15" w:type="dxa"/>
              <w:bottom w:w="0" w:type="dxa"/>
              <w:right w:w="15" w:type="dxa"/>
            </w:tcMar>
          </w:tcPr>
          <w:p w14:paraId="4365AD3B" w14:textId="77777777" w:rsidR="00D210F0" w:rsidRPr="00092ED7" w:rsidRDefault="00D210F0" w:rsidP="00D210F0">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FFFFFF" w:themeFill="background1"/>
            <w:tcMar>
              <w:top w:w="15" w:type="dxa"/>
              <w:left w:w="15" w:type="dxa"/>
              <w:bottom w:w="0" w:type="dxa"/>
              <w:right w:w="15" w:type="dxa"/>
            </w:tcMar>
          </w:tcPr>
          <w:p w14:paraId="2EB37D3D"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FFFFFF" w:themeFill="background1"/>
            <w:tcMar>
              <w:top w:w="15" w:type="dxa"/>
              <w:left w:w="15" w:type="dxa"/>
              <w:bottom w:w="0" w:type="dxa"/>
              <w:right w:w="15" w:type="dxa"/>
            </w:tcMar>
          </w:tcPr>
          <w:p w14:paraId="36D8479B"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8" w:space="0" w:color="auto"/>
            </w:tcBorders>
            <w:shd w:val="clear" w:color="auto" w:fill="FFFFFF" w:themeFill="background1"/>
            <w:tcMar>
              <w:top w:w="15" w:type="dxa"/>
              <w:left w:w="15" w:type="dxa"/>
              <w:bottom w:w="0" w:type="dxa"/>
              <w:right w:w="15" w:type="dxa"/>
            </w:tcMar>
          </w:tcPr>
          <w:p w14:paraId="223FD2DD" w14:textId="77777777" w:rsidR="00D210F0" w:rsidRPr="00092ED7" w:rsidRDefault="00D210F0" w:rsidP="00D210F0">
            <w:pPr>
              <w:spacing w:after="0"/>
              <w:rPr>
                <w:rFonts w:cs="Times New Roman"/>
                <w:color w:val="000000"/>
                <w:sz w:val="20"/>
                <w:szCs w:val="20"/>
                <w:lang w:val="sr-Cyrl-CS"/>
              </w:rPr>
            </w:pPr>
          </w:p>
        </w:tc>
      </w:tr>
      <w:tr w:rsidR="00D210F0" w:rsidRPr="00092ED7" w14:paraId="3E80FBD6" w14:textId="77777777" w:rsidTr="00C429AB">
        <w:trPr>
          <w:trHeight w:val="300"/>
        </w:trPr>
        <w:tc>
          <w:tcPr>
            <w:tcW w:w="425" w:type="dxa"/>
            <w:tcBorders>
              <w:top w:val="nil"/>
              <w:left w:val="single" w:sz="8" w:space="0" w:color="auto"/>
              <w:bottom w:val="single" w:sz="4" w:space="0" w:color="auto"/>
              <w:right w:val="single" w:sz="8" w:space="0" w:color="auto"/>
            </w:tcBorders>
            <w:shd w:val="clear" w:color="auto" w:fill="auto"/>
            <w:tcMar>
              <w:top w:w="15" w:type="dxa"/>
              <w:left w:w="15" w:type="dxa"/>
              <w:bottom w:w="0" w:type="dxa"/>
              <w:right w:w="15" w:type="dxa"/>
            </w:tcMar>
          </w:tcPr>
          <w:p w14:paraId="77F7F9A3" w14:textId="77777777" w:rsidR="00D210F0" w:rsidRPr="00092ED7" w:rsidRDefault="00D210F0" w:rsidP="00D210F0">
            <w:pPr>
              <w:spacing w:after="0"/>
              <w:jc w:val="center"/>
              <w:rPr>
                <w:rFonts w:cs="Times New Roman"/>
                <w:bCs/>
                <w:sz w:val="20"/>
                <w:szCs w:val="20"/>
                <w:lang w:val="sr-Cyrl-CS"/>
              </w:rPr>
            </w:pPr>
            <w:r w:rsidRPr="00092ED7">
              <w:rPr>
                <w:rFonts w:cs="Times New Roman"/>
                <w:bCs/>
                <w:sz w:val="20"/>
                <w:szCs w:val="20"/>
                <w:lang w:val="sr-Cyrl-CS"/>
              </w:rPr>
              <w:t>3.</w:t>
            </w:r>
          </w:p>
        </w:tc>
        <w:tc>
          <w:tcPr>
            <w:tcW w:w="4243" w:type="dxa"/>
            <w:tcBorders>
              <w:top w:val="nil"/>
              <w:left w:val="nil"/>
              <w:bottom w:val="single" w:sz="4" w:space="0" w:color="auto"/>
              <w:right w:val="nil"/>
            </w:tcBorders>
            <w:shd w:val="clear" w:color="auto" w:fill="auto"/>
            <w:tcMar>
              <w:top w:w="15" w:type="dxa"/>
              <w:left w:w="15" w:type="dxa"/>
              <w:bottom w:w="0" w:type="dxa"/>
              <w:right w:w="15" w:type="dxa"/>
            </w:tcMar>
          </w:tcPr>
          <w:p w14:paraId="7F30E616" w14:textId="77777777" w:rsidR="00D210F0" w:rsidRPr="00092ED7" w:rsidRDefault="00D210F0" w:rsidP="00D210F0">
            <w:pPr>
              <w:spacing w:after="0"/>
              <w:ind w:right="222"/>
              <w:rPr>
                <w:rFonts w:cs="Times New Roman"/>
                <w:sz w:val="20"/>
                <w:szCs w:val="20"/>
                <w:lang w:val="sr-Cyrl-CS"/>
              </w:rPr>
            </w:pPr>
            <w:r w:rsidRPr="00092ED7">
              <w:rPr>
                <w:rFonts w:cs="Times New Roman"/>
                <w:sz w:val="20"/>
                <w:szCs w:val="20"/>
                <w:lang w:val="sr-Cyrl-CS"/>
              </w:rPr>
              <w:t>Оснивање, инфраструктурно уређење и опремање регионалних тренинг центара</w:t>
            </w:r>
          </w:p>
        </w:tc>
        <w:tc>
          <w:tcPr>
            <w:tcW w:w="372" w:type="dxa"/>
            <w:tcBorders>
              <w:top w:val="nil"/>
              <w:left w:val="single" w:sz="8"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1F7CE36"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AAE969A" w14:textId="77777777" w:rsidR="00D210F0" w:rsidRPr="00092ED7" w:rsidRDefault="00D210F0" w:rsidP="00D210F0">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6D4797F"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6045D806" w14:textId="77777777" w:rsidR="00D210F0" w:rsidRPr="00092ED7" w:rsidRDefault="00D210F0" w:rsidP="00D210F0">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27D44AE"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AC0B3A2"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DB82165" w14:textId="77777777" w:rsidR="00D210F0" w:rsidRPr="00092ED7" w:rsidRDefault="00D210F0" w:rsidP="00D210F0">
            <w:pPr>
              <w:spacing w:after="0"/>
              <w:rPr>
                <w:rFonts w:cs="Times New Roman"/>
                <w:color w:val="000000"/>
                <w:sz w:val="20"/>
                <w:szCs w:val="20"/>
                <w:lang w:val="sr-Cyrl-CS"/>
              </w:rPr>
            </w:pPr>
          </w:p>
        </w:tc>
        <w:tc>
          <w:tcPr>
            <w:tcW w:w="372"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7BE60DD5"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3ADA508" w14:textId="77777777" w:rsidR="00D210F0" w:rsidRPr="00092ED7" w:rsidRDefault="00D210F0" w:rsidP="00D210F0">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7A0F919"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5812213"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7605259D" w14:textId="77777777" w:rsidR="00D210F0" w:rsidRPr="00092ED7" w:rsidRDefault="00D210F0" w:rsidP="00D210F0">
            <w:pPr>
              <w:spacing w:after="0"/>
              <w:rPr>
                <w:rFonts w:cs="Times New Roman"/>
                <w:color w:val="000000"/>
                <w:sz w:val="20"/>
                <w:szCs w:val="20"/>
                <w:lang w:val="sr-Cyrl-CS"/>
              </w:rPr>
            </w:pPr>
          </w:p>
        </w:tc>
      </w:tr>
      <w:tr w:rsidR="00D210F0" w:rsidRPr="00092ED7" w14:paraId="69F1F8AA" w14:textId="77777777" w:rsidTr="00C429AB">
        <w:trPr>
          <w:trHeight w:val="300"/>
        </w:trPr>
        <w:tc>
          <w:tcPr>
            <w:tcW w:w="425" w:type="dxa"/>
            <w:tcBorders>
              <w:top w:val="single" w:sz="4" w:space="0" w:color="auto"/>
              <w:left w:val="single" w:sz="8" w:space="0" w:color="auto"/>
              <w:bottom w:val="single" w:sz="4" w:space="0" w:color="auto"/>
              <w:right w:val="single" w:sz="8" w:space="0" w:color="auto"/>
            </w:tcBorders>
            <w:shd w:val="clear" w:color="auto" w:fill="auto"/>
            <w:tcMar>
              <w:top w:w="15" w:type="dxa"/>
              <w:left w:w="15" w:type="dxa"/>
              <w:bottom w:w="0" w:type="dxa"/>
              <w:right w:w="15" w:type="dxa"/>
            </w:tcMar>
          </w:tcPr>
          <w:p w14:paraId="754A07B2" w14:textId="77777777" w:rsidR="00D210F0" w:rsidRPr="00092ED7" w:rsidRDefault="00D210F0" w:rsidP="00D210F0">
            <w:pPr>
              <w:spacing w:after="0"/>
              <w:jc w:val="center"/>
              <w:rPr>
                <w:rFonts w:cs="Times New Roman"/>
                <w:bCs/>
                <w:sz w:val="20"/>
                <w:szCs w:val="20"/>
                <w:lang w:val="sr-Cyrl-CS"/>
              </w:rPr>
            </w:pPr>
            <w:r w:rsidRPr="00092ED7">
              <w:rPr>
                <w:rFonts w:cs="Times New Roman"/>
                <w:bCs/>
                <w:sz w:val="20"/>
                <w:szCs w:val="20"/>
                <w:lang w:val="sr-Cyrl-CS"/>
              </w:rPr>
              <w:t>4.</w:t>
            </w:r>
          </w:p>
        </w:tc>
        <w:tc>
          <w:tcPr>
            <w:tcW w:w="4243" w:type="dxa"/>
            <w:tcBorders>
              <w:top w:val="nil"/>
              <w:left w:val="nil"/>
              <w:bottom w:val="single" w:sz="4" w:space="0" w:color="auto"/>
              <w:right w:val="single" w:sz="8" w:space="0" w:color="auto"/>
            </w:tcBorders>
            <w:shd w:val="clear" w:color="auto" w:fill="auto"/>
            <w:noWrap/>
            <w:tcMar>
              <w:top w:w="15" w:type="dxa"/>
              <w:left w:w="15" w:type="dxa"/>
              <w:bottom w:w="0" w:type="dxa"/>
              <w:right w:w="15" w:type="dxa"/>
            </w:tcMar>
          </w:tcPr>
          <w:p w14:paraId="34163864" w14:textId="77777777" w:rsidR="00D210F0" w:rsidRPr="00092ED7" w:rsidRDefault="00D210F0" w:rsidP="00D210F0">
            <w:pPr>
              <w:spacing w:after="0"/>
              <w:ind w:right="222"/>
              <w:rPr>
                <w:rFonts w:cs="Times New Roman"/>
                <w:color w:val="000000"/>
                <w:sz w:val="20"/>
                <w:szCs w:val="20"/>
                <w:lang w:val="sr-Cyrl-CS"/>
              </w:rPr>
            </w:pPr>
            <w:r w:rsidRPr="00092ED7">
              <w:rPr>
                <w:rFonts w:cs="Times New Roman"/>
                <w:color w:val="000000"/>
                <w:sz w:val="20"/>
                <w:szCs w:val="20"/>
                <w:lang w:val="sr-Cyrl-CS"/>
              </w:rPr>
              <w:t>Имплементација система праћења и вредновања Националног модела дуалног образовања и дуалних образовних профила</w:t>
            </w: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37E3090"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2B19F528" w14:textId="77777777" w:rsidR="00D210F0" w:rsidRPr="00092ED7" w:rsidRDefault="00D210F0" w:rsidP="00D210F0">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DDEC824"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06B0C0EF" w14:textId="77777777" w:rsidR="00D210F0" w:rsidRPr="00092ED7" w:rsidRDefault="00D210F0" w:rsidP="00D210F0">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5E6389C"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2C16A3D2"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B977F62" w14:textId="77777777" w:rsidR="00D210F0" w:rsidRPr="00092ED7" w:rsidRDefault="00D210F0" w:rsidP="00D210F0">
            <w:pPr>
              <w:spacing w:after="0"/>
              <w:rPr>
                <w:rFonts w:cs="Times New Roman"/>
                <w:color w:val="000000"/>
                <w:sz w:val="20"/>
                <w:szCs w:val="20"/>
                <w:lang w:val="sr-Cyrl-CS"/>
              </w:rPr>
            </w:pPr>
          </w:p>
        </w:tc>
        <w:tc>
          <w:tcPr>
            <w:tcW w:w="372"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7DFED978"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34E9CF00" w14:textId="77777777" w:rsidR="00D210F0" w:rsidRPr="00092ED7" w:rsidRDefault="00D210F0" w:rsidP="00D210F0">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08B6F6F7"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E2D0B8A"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5120949C" w14:textId="77777777" w:rsidR="00D210F0" w:rsidRPr="00092ED7" w:rsidRDefault="00D210F0" w:rsidP="00D210F0">
            <w:pPr>
              <w:spacing w:after="0"/>
              <w:rPr>
                <w:rFonts w:cs="Times New Roman"/>
                <w:color w:val="000000"/>
                <w:sz w:val="20"/>
                <w:szCs w:val="20"/>
                <w:lang w:val="sr-Cyrl-CS"/>
              </w:rPr>
            </w:pPr>
          </w:p>
        </w:tc>
      </w:tr>
      <w:tr w:rsidR="00D210F0" w:rsidRPr="00092ED7" w14:paraId="47DBD96C" w14:textId="77777777" w:rsidTr="00C429AB">
        <w:trPr>
          <w:trHeight w:val="300"/>
        </w:trPr>
        <w:tc>
          <w:tcPr>
            <w:tcW w:w="425" w:type="dxa"/>
            <w:tcBorders>
              <w:top w:val="nil"/>
              <w:left w:val="single" w:sz="8" w:space="0" w:color="auto"/>
              <w:bottom w:val="single" w:sz="4" w:space="0" w:color="auto"/>
              <w:right w:val="nil"/>
            </w:tcBorders>
            <w:shd w:val="clear" w:color="auto" w:fill="auto"/>
            <w:tcMar>
              <w:top w:w="15" w:type="dxa"/>
              <w:left w:w="15" w:type="dxa"/>
              <w:bottom w:w="0" w:type="dxa"/>
              <w:right w:w="15" w:type="dxa"/>
            </w:tcMar>
          </w:tcPr>
          <w:p w14:paraId="02DD835A" w14:textId="77777777" w:rsidR="00D210F0" w:rsidRPr="00092ED7" w:rsidRDefault="00D210F0" w:rsidP="00D210F0">
            <w:pPr>
              <w:spacing w:after="0"/>
              <w:jc w:val="center"/>
              <w:rPr>
                <w:rFonts w:cs="Times New Roman"/>
                <w:bCs/>
                <w:sz w:val="20"/>
                <w:szCs w:val="20"/>
                <w:lang w:val="sr-Cyrl-CS"/>
              </w:rPr>
            </w:pPr>
            <w:r w:rsidRPr="00092ED7">
              <w:rPr>
                <w:rFonts w:cs="Times New Roman"/>
                <w:bCs/>
                <w:sz w:val="20"/>
                <w:szCs w:val="20"/>
                <w:lang w:val="sr-Cyrl-CS"/>
              </w:rPr>
              <w:t>5.</w:t>
            </w:r>
          </w:p>
        </w:tc>
        <w:tc>
          <w:tcPr>
            <w:tcW w:w="4243" w:type="dxa"/>
            <w:tcBorders>
              <w:top w:val="nil"/>
              <w:left w:val="single" w:sz="8" w:space="0" w:color="auto"/>
              <w:bottom w:val="single" w:sz="4" w:space="0" w:color="auto"/>
              <w:right w:val="nil"/>
            </w:tcBorders>
            <w:shd w:val="clear" w:color="auto" w:fill="auto"/>
            <w:tcMar>
              <w:top w:w="15" w:type="dxa"/>
              <w:left w:w="15" w:type="dxa"/>
              <w:bottom w:w="0" w:type="dxa"/>
              <w:right w:w="15" w:type="dxa"/>
            </w:tcMar>
          </w:tcPr>
          <w:p w14:paraId="0704D543" w14:textId="77777777" w:rsidR="00D210F0" w:rsidRPr="00092ED7" w:rsidRDefault="006C025B" w:rsidP="00D210F0">
            <w:pPr>
              <w:spacing w:after="0"/>
              <w:ind w:right="222"/>
              <w:rPr>
                <w:rFonts w:cs="Times New Roman"/>
                <w:sz w:val="20"/>
                <w:szCs w:val="20"/>
                <w:lang w:val="sr-Cyrl-CS"/>
              </w:rPr>
            </w:pPr>
            <w:r w:rsidRPr="00092ED7">
              <w:rPr>
                <w:rFonts w:cs="Times New Roman"/>
                <w:sz w:val="20"/>
                <w:szCs w:val="20"/>
                <w:lang w:val="sr-Cyrl-CS"/>
              </w:rPr>
              <w:t>Анализа кључних елемената у дуалном моделу образовања у Републици Србији у циљу привлачења страних инвестиција</w:t>
            </w:r>
          </w:p>
        </w:tc>
        <w:tc>
          <w:tcPr>
            <w:tcW w:w="372" w:type="dxa"/>
            <w:tcBorders>
              <w:top w:val="nil"/>
              <w:left w:val="single" w:sz="8" w:space="0" w:color="auto"/>
              <w:bottom w:val="single" w:sz="4" w:space="0" w:color="auto"/>
              <w:right w:val="single" w:sz="4" w:space="0" w:color="auto"/>
            </w:tcBorders>
            <w:shd w:val="clear" w:color="auto" w:fill="FFFFFF" w:themeFill="background1"/>
            <w:tcMar>
              <w:top w:w="15" w:type="dxa"/>
              <w:left w:w="15" w:type="dxa"/>
              <w:bottom w:w="0" w:type="dxa"/>
              <w:right w:w="15" w:type="dxa"/>
            </w:tcMar>
          </w:tcPr>
          <w:p w14:paraId="5F761C58"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FFFFFF" w:themeFill="background1"/>
            <w:tcMar>
              <w:top w:w="15" w:type="dxa"/>
              <w:left w:w="15" w:type="dxa"/>
              <w:bottom w:w="0" w:type="dxa"/>
              <w:right w:w="15" w:type="dxa"/>
            </w:tcMar>
          </w:tcPr>
          <w:p w14:paraId="512A44DC" w14:textId="77777777" w:rsidR="00D210F0" w:rsidRPr="00092ED7" w:rsidRDefault="00D210F0" w:rsidP="00D210F0">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FFFFFF" w:themeFill="background1"/>
            <w:tcMar>
              <w:top w:w="15" w:type="dxa"/>
              <w:left w:w="15" w:type="dxa"/>
              <w:bottom w:w="0" w:type="dxa"/>
              <w:right w:w="15" w:type="dxa"/>
            </w:tcMar>
          </w:tcPr>
          <w:p w14:paraId="5DA081DD"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8" w:space="0" w:color="auto"/>
            </w:tcBorders>
            <w:shd w:val="clear" w:color="auto" w:fill="FFFFFF" w:themeFill="background1"/>
            <w:tcMar>
              <w:top w:w="15" w:type="dxa"/>
              <w:left w:w="15" w:type="dxa"/>
              <w:bottom w:w="0" w:type="dxa"/>
              <w:right w:w="15" w:type="dxa"/>
            </w:tcMar>
          </w:tcPr>
          <w:p w14:paraId="71A2E23C" w14:textId="77777777" w:rsidR="00D210F0" w:rsidRPr="00092ED7" w:rsidRDefault="00D210F0" w:rsidP="00D210F0">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0CE07AB"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B08E5F1"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2F6A1895" w14:textId="77777777" w:rsidR="00D210F0" w:rsidRPr="00092ED7" w:rsidRDefault="00D210F0" w:rsidP="00D210F0">
            <w:pPr>
              <w:spacing w:after="0"/>
              <w:rPr>
                <w:rFonts w:cs="Times New Roman"/>
                <w:color w:val="000000"/>
                <w:sz w:val="20"/>
                <w:szCs w:val="20"/>
                <w:lang w:val="sr-Cyrl-CS"/>
              </w:rPr>
            </w:pPr>
          </w:p>
        </w:tc>
        <w:tc>
          <w:tcPr>
            <w:tcW w:w="372"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143DD14A"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FFFFFF" w:themeFill="background1"/>
            <w:tcMar>
              <w:top w:w="15" w:type="dxa"/>
              <w:left w:w="15" w:type="dxa"/>
              <w:bottom w:w="0" w:type="dxa"/>
              <w:right w:w="15" w:type="dxa"/>
            </w:tcMar>
          </w:tcPr>
          <w:p w14:paraId="2292D076" w14:textId="77777777" w:rsidR="00D210F0" w:rsidRPr="00092ED7" w:rsidRDefault="00D210F0" w:rsidP="00D210F0">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FFFFFF" w:themeFill="background1"/>
            <w:tcMar>
              <w:top w:w="15" w:type="dxa"/>
              <w:left w:w="15" w:type="dxa"/>
              <w:bottom w:w="0" w:type="dxa"/>
              <w:right w:w="15" w:type="dxa"/>
            </w:tcMar>
          </w:tcPr>
          <w:p w14:paraId="75540AC4"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FFFFFF" w:themeFill="background1"/>
            <w:tcMar>
              <w:top w:w="15" w:type="dxa"/>
              <w:left w:w="15" w:type="dxa"/>
              <w:bottom w:w="0" w:type="dxa"/>
              <w:right w:w="15" w:type="dxa"/>
            </w:tcMar>
          </w:tcPr>
          <w:p w14:paraId="342E017B"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8" w:space="0" w:color="auto"/>
            </w:tcBorders>
            <w:shd w:val="clear" w:color="auto" w:fill="FFFFFF" w:themeFill="background1"/>
            <w:tcMar>
              <w:top w:w="15" w:type="dxa"/>
              <w:left w:w="15" w:type="dxa"/>
              <w:bottom w:w="0" w:type="dxa"/>
              <w:right w:w="15" w:type="dxa"/>
            </w:tcMar>
          </w:tcPr>
          <w:p w14:paraId="63FBA452" w14:textId="77777777" w:rsidR="00D210F0" w:rsidRPr="00092ED7" w:rsidRDefault="00D210F0" w:rsidP="00D210F0">
            <w:pPr>
              <w:spacing w:after="0"/>
              <w:rPr>
                <w:rFonts w:cs="Times New Roman"/>
                <w:color w:val="000000"/>
                <w:sz w:val="20"/>
                <w:szCs w:val="20"/>
                <w:lang w:val="sr-Cyrl-CS"/>
              </w:rPr>
            </w:pPr>
          </w:p>
        </w:tc>
      </w:tr>
      <w:tr w:rsidR="00D210F0" w:rsidRPr="00092ED7" w14:paraId="6BD18DCE" w14:textId="77777777" w:rsidTr="00C429AB">
        <w:trPr>
          <w:trHeight w:val="300"/>
        </w:trPr>
        <w:tc>
          <w:tcPr>
            <w:tcW w:w="425" w:type="dxa"/>
            <w:tcBorders>
              <w:top w:val="nil"/>
              <w:left w:val="single" w:sz="8" w:space="0" w:color="auto"/>
              <w:bottom w:val="single" w:sz="4" w:space="0" w:color="auto"/>
              <w:right w:val="nil"/>
            </w:tcBorders>
            <w:shd w:val="clear" w:color="auto" w:fill="auto"/>
            <w:tcMar>
              <w:top w:w="15" w:type="dxa"/>
              <w:left w:w="15" w:type="dxa"/>
              <w:bottom w:w="0" w:type="dxa"/>
              <w:right w:w="15" w:type="dxa"/>
            </w:tcMar>
          </w:tcPr>
          <w:p w14:paraId="5830D2D5" w14:textId="77777777" w:rsidR="00D210F0" w:rsidRPr="00092ED7" w:rsidRDefault="00D210F0" w:rsidP="00D210F0">
            <w:pPr>
              <w:spacing w:after="0"/>
              <w:jc w:val="center"/>
              <w:rPr>
                <w:rFonts w:cs="Times New Roman"/>
                <w:bCs/>
                <w:sz w:val="20"/>
                <w:szCs w:val="20"/>
                <w:lang w:val="sr-Cyrl-CS"/>
              </w:rPr>
            </w:pPr>
            <w:r w:rsidRPr="00092ED7">
              <w:rPr>
                <w:rFonts w:cs="Times New Roman"/>
                <w:bCs/>
                <w:sz w:val="20"/>
                <w:szCs w:val="20"/>
                <w:lang w:val="sr-Cyrl-CS"/>
              </w:rPr>
              <w:t>6.</w:t>
            </w:r>
          </w:p>
        </w:tc>
        <w:tc>
          <w:tcPr>
            <w:tcW w:w="4243" w:type="dxa"/>
            <w:tcBorders>
              <w:top w:val="nil"/>
              <w:left w:val="single" w:sz="8" w:space="0" w:color="auto"/>
              <w:bottom w:val="single" w:sz="4" w:space="0" w:color="auto"/>
              <w:right w:val="nil"/>
            </w:tcBorders>
            <w:shd w:val="clear" w:color="auto" w:fill="auto"/>
            <w:tcMar>
              <w:top w:w="15" w:type="dxa"/>
              <w:left w:w="15" w:type="dxa"/>
              <w:bottom w:w="0" w:type="dxa"/>
              <w:right w:w="15" w:type="dxa"/>
            </w:tcMar>
          </w:tcPr>
          <w:p w14:paraId="641523F9" w14:textId="77777777" w:rsidR="00D210F0" w:rsidRPr="00092ED7" w:rsidRDefault="00D210F0" w:rsidP="00D210F0">
            <w:pPr>
              <w:spacing w:after="0"/>
              <w:ind w:right="222"/>
              <w:rPr>
                <w:rFonts w:cs="Times New Roman"/>
                <w:sz w:val="20"/>
                <w:szCs w:val="20"/>
                <w:lang w:val="sr-Cyrl-CS"/>
              </w:rPr>
            </w:pPr>
            <w:r w:rsidRPr="00092ED7">
              <w:rPr>
                <w:rFonts w:cs="Times New Roman"/>
                <w:sz w:val="20"/>
                <w:szCs w:val="20"/>
                <w:lang w:val="sr-Cyrl-CS"/>
              </w:rPr>
              <w:t>Унапређивање методологије за развој стандарда за квалификације у делу који се односи на квалификације у систему високог образовања и пилотирање методологије</w:t>
            </w:r>
          </w:p>
        </w:tc>
        <w:tc>
          <w:tcPr>
            <w:tcW w:w="372" w:type="dxa"/>
            <w:tcBorders>
              <w:top w:val="nil"/>
              <w:left w:val="single" w:sz="8" w:space="0" w:color="auto"/>
              <w:bottom w:val="single" w:sz="4" w:space="0" w:color="auto"/>
              <w:right w:val="single" w:sz="4" w:space="0" w:color="auto"/>
            </w:tcBorders>
            <w:shd w:val="clear" w:color="auto" w:fill="FFFFFF" w:themeFill="background1"/>
            <w:tcMar>
              <w:top w:w="15" w:type="dxa"/>
              <w:left w:w="15" w:type="dxa"/>
              <w:bottom w:w="0" w:type="dxa"/>
              <w:right w:w="15" w:type="dxa"/>
            </w:tcMar>
          </w:tcPr>
          <w:p w14:paraId="1A11E532"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FFFFFF" w:themeFill="background1"/>
            <w:tcMar>
              <w:top w:w="15" w:type="dxa"/>
              <w:left w:w="15" w:type="dxa"/>
              <w:bottom w:w="0" w:type="dxa"/>
              <w:right w:w="15" w:type="dxa"/>
            </w:tcMar>
          </w:tcPr>
          <w:p w14:paraId="3B926B8F" w14:textId="77777777" w:rsidR="00D210F0" w:rsidRPr="00092ED7" w:rsidRDefault="00D210F0" w:rsidP="00D210F0">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FFFFFF" w:themeFill="background1"/>
            <w:tcMar>
              <w:top w:w="15" w:type="dxa"/>
              <w:left w:w="15" w:type="dxa"/>
              <w:bottom w:w="0" w:type="dxa"/>
              <w:right w:w="15" w:type="dxa"/>
            </w:tcMar>
          </w:tcPr>
          <w:p w14:paraId="7B350FDB"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3DAE4CA1" w14:textId="77777777" w:rsidR="00D210F0" w:rsidRPr="00092ED7" w:rsidRDefault="00D210F0" w:rsidP="00D210F0">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2BE90EE"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3CAEF80"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B52D0B3" w14:textId="77777777" w:rsidR="00D210F0" w:rsidRPr="00092ED7" w:rsidRDefault="00D210F0" w:rsidP="00D210F0">
            <w:pPr>
              <w:spacing w:after="0"/>
              <w:rPr>
                <w:rFonts w:cs="Times New Roman"/>
                <w:color w:val="000000"/>
                <w:sz w:val="20"/>
                <w:szCs w:val="20"/>
                <w:lang w:val="sr-Cyrl-CS"/>
              </w:rPr>
            </w:pPr>
          </w:p>
        </w:tc>
        <w:tc>
          <w:tcPr>
            <w:tcW w:w="372"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131D3CA5"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3AC42B5" w14:textId="77777777" w:rsidR="00D210F0" w:rsidRPr="00092ED7" w:rsidRDefault="00D210F0" w:rsidP="00D210F0">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287FF81"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661EB55"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458DCBD5" w14:textId="77777777" w:rsidR="00D210F0" w:rsidRPr="00092ED7" w:rsidRDefault="00D210F0" w:rsidP="00D210F0">
            <w:pPr>
              <w:spacing w:after="0"/>
              <w:rPr>
                <w:rFonts w:cs="Times New Roman"/>
                <w:color w:val="000000"/>
                <w:sz w:val="20"/>
                <w:szCs w:val="20"/>
                <w:lang w:val="sr-Cyrl-CS"/>
              </w:rPr>
            </w:pPr>
          </w:p>
        </w:tc>
      </w:tr>
      <w:tr w:rsidR="00D210F0" w:rsidRPr="00092ED7" w14:paraId="35A3D35D" w14:textId="77777777" w:rsidTr="00C429AB">
        <w:trPr>
          <w:trHeight w:val="300"/>
        </w:trPr>
        <w:tc>
          <w:tcPr>
            <w:tcW w:w="425" w:type="dxa"/>
            <w:tcBorders>
              <w:top w:val="nil"/>
              <w:left w:val="single" w:sz="8" w:space="0" w:color="auto"/>
              <w:bottom w:val="single" w:sz="4" w:space="0" w:color="auto"/>
              <w:right w:val="nil"/>
            </w:tcBorders>
            <w:shd w:val="clear" w:color="auto" w:fill="auto"/>
            <w:tcMar>
              <w:top w:w="15" w:type="dxa"/>
              <w:left w:w="15" w:type="dxa"/>
              <w:bottom w:w="0" w:type="dxa"/>
              <w:right w:w="15" w:type="dxa"/>
            </w:tcMar>
          </w:tcPr>
          <w:p w14:paraId="613A1976" w14:textId="77777777" w:rsidR="00D210F0" w:rsidRPr="00092ED7" w:rsidRDefault="00D210F0" w:rsidP="00D210F0">
            <w:pPr>
              <w:spacing w:after="0"/>
              <w:jc w:val="center"/>
              <w:rPr>
                <w:rFonts w:cs="Times New Roman"/>
                <w:bCs/>
                <w:sz w:val="20"/>
                <w:szCs w:val="20"/>
                <w:lang w:val="sr-Cyrl-CS"/>
              </w:rPr>
            </w:pPr>
            <w:r w:rsidRPr="00092ED7">
              <w:rPr>
                <w:rFonts w:cs="Times New Roman"/>
                <w:bCs/>
                <w:sz w:val="20"/>
                <w:szCs w:val="20"/>
                <w:lang w:val="sr-Cyrl-CS"/>
              </w:rPr>
              <w:t>7.</w:t>
            </w:r>
          </w:p>
        </w:tc>
        <w:tc>
          <w:tcPr>
            <w:tcW w:w="4243" w:type="dxa"/>
            <w:tcBorders>
              <w:top w:val="nil"/>
              <w:left w:val="single" w:sz="8" w:space="0" w:color="auto"/>
              <w:bottom w:val="single" w:sz="4" w:space="0" w:color="auto"/>
              <w:right w:val="nil"/>
            </w:tcBorders>
            <w:shd w:val="clear" w:color="auto" w:fill="auto"/>
            <w:tcMar>
              <w:top w:w="15" w:type="dxa"/>
              <w:left w:w="15" w:type="dxa"/>
              <w:bottom w:w="0" w:type="dxa"/>
              <w:right w:w="15" w:type="dxa"/>
            </w:tcMar>
          </w:tcPr>
          <w:p w14:paraId="0CEFA700" w14:textId="77777777" w:rsidR="00D210F0" w:rsidRPr="00092ED7" w:rsidRDefault="00D210F0" w:rsidP="00D210F0">
            <w:pPr>
              <w:spacing w:after="0"/>
              <w:ind w:right="222"/>
              <w:rPr>
                <w:rFonts w:cs="Times New Roman"/>
                <w:sz w:val="20"/>
                <w:szCs w:val="20"/>
                <w:lang w:val="sr-Cyrl-CS"/>
              </w:rPr>
            </w:pPr>
            <w:r w:rsidRPr="00092ED7">
              <w:rPr>
                <w:rFonts w:cs="Times New Roman"/>
                <w:sz w:val="20"/>
                <w:szCs w:val="20"/>
                <w:lang w:val="sr-Cyrl-CS"/>
              </w:rPr>
              <w:t>Повезивање Регистра НОКС са европским порталом квалификација</w:t>
            </w:r>
          </w:p>
        </w:tc>
        <w:tc>
          <w:tcPr>
            <w:tcW w:w="372" w:type="dxa"/>
            <w:tcBorders>
              <w:top w:val="nil"/>
              <w:left w:val="single" w:sz="8"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0E66A63"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028C4B6F" w14:textId="77777777" w:rsidR="00D210F0" w:rsidRPr="00092ED7" w:rsidRDefault="00D210F0" w:rsidP="00D210F0">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B369147"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57703439" w14:textId="77777777" w:rsidR="00D210F0" w:rsidRPr="00092ED7" w:rsidRDefault="00D210F0" w:rsidP="00D210F0">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FFFFFF" w:themeFill="background1"/>
            <w:tcMar>
              <w:top w:w="15" w:type="dxa"/>
              <w:left w:w="15" w:type="dxa"/>
              <w:bottom w:w="0" w:type="dxa"/>
              <w:right w:w="15" w:type="dxa"/>
            </w:tcMar>
          </w:tcPr>
          <w:p w14:paraId="069060FA"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FFFFFF" w:themeFill="background1"/>
            <w:tcMar>
              <w:top w:w="15" w:type="dxa"/>
              <w:left w:w="15" w:type="dxa"/>
              <w:bottom w:w="0" w:type="dxa"/>
              <w:right w:w="15" w:type="dxa"/>
            </w:tcMar>
          </w:tcPr>
          <w:p w14:paraId="6BE50A5E"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FFFFFF" w:themeFill="background1"/>
            <w:tcMar>
              <w:top w:w="15" w:type="dxa"/>
              <w:left w:w="15" w:type="dxa"/>
              <w:bottom w:w="0" w:type="dxa"/>
              <w:right w:w="15" w:type="dxa"/>
            </w:tcMar>
          </w:tcPr>
          <w:p w14:paraId="4CCBB727" w14:textId="77777777" w:rsidR="00D210F0" w:rsidRPr="00092ED7" w:rsidRDefault="00D210F0" w:rsidP="00D210F0">
            <w:pPr>
              <w:spacing w:after="0"/>
              <w:rPr>
                <w:rFonts w:cs="Times New Roman"/>
                <w:color w:val="000000"/>
                <w:sz w:val="20"/>
                <w:szCs w:val="20"/>
                <w:lang w:val="sr-Cyrl-CS"/>
              </w:rPr>
            </w:pPr>
          </w:p>
        </w:tc>
        <w:tc>
          <w:tcPr>
            <w:tcW w:w="372"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3E3E2883"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FFFFFF" w:themeFill="background1"/>
            <w:tcMar>
              <w:top w:w="15" w:type="dxa"/>
              <w:left w:w="15" w:type="dxa"/>
              <w:bottom w:w="0" w:type="dxa"/>
              <w:right w:w="15" w:type="dxa"/>
            </w:tcMar>
          </w:tcPr>
          <w:p w14:paraId="71A4FF28" w14:textId="77777777" w:rsidR="00D210F0" w:rsidRPr="00092ED7" w:rsidRDefault="00D210F0" w:rsidP="00D210F0">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FFFFFF" w:themeFill="background1"/>
            <w:tcMar>
              <w:top w:w="15" w:type="dxa"/>
              <w:left w:w="15" w:type="dxa"/>
              <w:bottom w:w="0" w:type="dxa"/>
              <w:right w:w="15" w:type="dxa"/>
            </w:tcMar>
          </w:tcPr>
          <w:p w14:paraId="61DD8C01"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FFFFFF" w:themeFill="background1"/>
            <w:tcMar>
              <w:top w:w="15" w:type="dxa"/>
              <w:left w:w="15" w:type="dxa"/>
              <w:bottom w:w="0" w:type="dxa"/>
              <w:right w:w="15" w:type="dxa"/>
            </w:tcMar>
          </w:tcPr>
          <w:p w14:paraId="0B50E08D"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38C34110" w14:textId="77777777" w:rsidR="00D210F0" w:rsidRPr="00092ED7" w:rsidRDefault="00D210F0" w:rsidP="00D210F0">
            <w:pPr>
              <w:spacing w:after="0"/>
              <w:rPr>
                <w:rFonts w:cs="Times New Roman"/>
                <w:color w:val="000000"/>
                <w:sz w:val="20"/>
                <w:szCs w:val="20"/>
                <w:lang w:val="sr-Cyrl-CS"/>
              </w:rPr>
            </w:pPr>
          </w:p>
        </w:tc>
      </w:tr>
      <w:tr w:rsidR="00D210F0" w:rsidRPr="00092ED7" w14:paraId="1B8D40EE" w14:textId="77777777" w:rsidTr="00C429AB">
        <w:trPr>
          <w:trHeight w:val="300"/>
        </w:trPr>
        <w:tc>
          <w:tcPr>
            <w:tcW w:w="4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68F05460" w14:textId="77777777" w:rsidR="00D210F0" w:rsidRPr="00092ED7" w:rsidRDefault="00D210F0" w:rsidP="00D210F0">
            <w:pPr>
              <w:spacing w:after="0"/>
              <w:jc w:val="center"/>
              <w:rPr>
                <w:rFonts w:cs="Times New Roman"/>
                <w:bCs/>
                <w:sz w:val="20"/>
                <w:szCs w:val="20"/>
                <w:lang w:val="sr-Cyrl-CS"/>
              </w:rPr>
            </w:pPr>
            <w:r w:rsidRPr="00092ED7">
              <w:rPr>
                <w:rFonts w:cs="Times New Roman"/>
                <w:bCs/>
                <w:sz w:val="20"/>
                <w:szCs w:val="20"/>
                <w:lang w:val="sr-Cyrl-CS"/>
              </w:rPr>
              <w:t>8.</w:t>
            </w:r>
          </w:p>
        </w:tc>
        <w:tc>
          <w:tcPr>
            <w:tcW w:w="4243"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66E1CC8D" w14:textId="532CEE3C" w:rsidR="00D210F0" w:rsidRPr="00092ED7" w:rsidRDefault="00D210F0" w:rsidP="00D7267E">
            <w:pPr>
              <w:spacing w:after="0"/>
              <w:ind w:right="222"/>
              <w:rPr>
                <w:rFonts w:cs="Times New Roman"/>
                <w:sz w:val="20"/>
                <w:szCs w:val="20"/>
                <w:lang w:val="sr-Cyrl-CS"/>
              </w:rPr>
            </w:pPr>
            <w:r w:rsidRPr="00092ED7">
              <w:rPr>
                <w:rFonts w:cs="Times New Roman"/>
                <w:sz w:val="20"/>
                <w:szCs w:val="20"/>
                <w:lang w:val="sr-Cyrl-CS"/>
              </w:rPr>
              <w:t>Дигитализација поступка акредитације програма неформалног образовања и израде стандарда квалификација</w:t>
            </w:r>
            <w:r w:rsidR="002D211E" w:rsidRPr="00092ED7">
              <w:rPr>
                <w:rFonts w:cs="Times New Roman"/>
                <w:sz w:val="20"/>
                <w:szCs w:val="20"/>
                <w:lang w:val="sr-Cyrl-CS"/>
              </w:rPr>
              <w:t>,</w:t>
            </w:r>
            <w:r w:rsidRPr="00092ED7">
              <w:rPr>
                <w:rFonts w:cs="Times New Roman"/>
                <w:sz w:val="20"/>
                <w:szCs w:val="20"/>
                <w:lang w:val="sr-Cyrl-CS"/>
              </w:rPr>
              <w:t xml:space="preserve"> као и визуелизација података из ЈИСП</w:t>
            </w:r>
            <w:r w:rsidR="00657813" w:rsidRPr="00092ED7">
              <w:rPr>
                <w:rFonts w:cs="Times New Roman"/>
                <w:sz w:val="20"/>
                <w:szCs w:val="20"/>
                <w:lang w:val="sr-Cyrl-CS"/>
              </w:rPr>
              <w:t xml:space="preserve"> </w:t>
            </w:r>
            <w:r w:rsidRPr="00092ED7">
              <w:rPr>
                <w:rFonts w:cs="Times New Roman"/>
                <w:sz w:val="20"/>
                <w:szCs w:val="20"/>
                <w:lang w:val="sr-Cyrl-CS"/>
              </w:rPr>
              <w:t>(за потребе унапређивања транспарентности система образовања и квалификација</w:t>
            </w:r>
          </w:p>
        </w:tc>
        <w:tc>
          <w:tcPr>
            <w:tcW w:w="37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F7129B7" w14:textId="77777777" w:rsidR="00D210F0" w:rsidRPr="00092ED7" w:rsidRDefault="00D210F0" w:rsidP="00D210F0">
            <w:pPr>
              <w:spacing w:after="0"/>
              <w:rPr>
                <w:rFonts w:cs="Times New Roman"/>
                <w:color w:val="000000"/>
                <w:sz w:val="20"/>
                <w:szCs w:val="20"/>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335A5249" w14:textId="77777777" w:rsidR="00D210F0" w:rsidRPr="00092ED7" w:rsidRDefault="00D210F0" w:rsidP="00D210F0">
            <w:pPr>
              <w:spacing w:after="0"/>
              <w:rPr>
                <w:rFonts w:cs="Times New Roman"/>
                <w:color w:val="000000"/>
                <w:sz w:val="20"/>
                <w:szCs w:val="20"/>
                <w:lang w:val="sr-Cyrl-CS"/>
              </w:rPr>
            </w:pPr>
          </w:p>
        </w:tc>
        <w:tc>
          <w:tcPr>
            <w:tcW w:w="37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2B13774A" w14:textId="77777777" w:rsidR="00D210F0" w:rsidRPr="00092ED7" w:rsidRDefault="00D210F0" w:rsidP="00D210F0">
            <w:pPr>
              <w:spacing w:after="0"/>
              <w:rPr>
                <w:rFonts w:cs="Times New Roman"/>
                <w:color w:val="000000"/>
                <w:sz w:val="20"/>
                <w:szCs w:val="20"/>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24D41146" w14:textId="77777777" w:rsidR="00D210F0" w:rsidRPr="00092ED7" w:rsidRDefault="00D210F0" w:rsidP="00D210F0">
            <w:pPr>
              <w:spacing w:after="0"/>
              <w:rPr>
                <w:rFonts w:cs="Times New Roman"/>
                <w:color w:val="000000"/>
                <w:sz w:val="20"/>
                <w:szCs w:val="20"/>
                <w:lang w:val="sr-Cyrl-CS"/>
              </w:rPr>
            </w:pPr>
          </w:p>
        </w:tc>
        <w:tc>
          <w:tcPr>
            <w:tcW w:w="37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6A77787" w14:textId="77777777" w:rsidR="00D210F0" w:rsidRPr="00092ED7" w:rsidRDefault="00D210F0" w:rsidP="00D210F0">
            <w:pPr>
              <w:spacing w:after="0"/>
              <w:rPr>
                <w:rFonts w:cs="Times New Roman"/>
                <w:color w:val="000000"/>
                <w:sz w:val="20"/>
                <w:szCs w:val="20"/>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1A172BA" w14:textId="77777777" w:rsidR="00D210F0" w:rsidRPr="00092ED7" w:rsidRDefault="00D210F0" w:rsidP="00D210F0">
            <w:pPr>
              <w:spacing w:after="0"/>
              <w:rPr>
                <w:rFonts w:cs="Times New Roman"/>
                <w:color w:val="000000"/>
                <w:sz w:val="20"/>
                <w:szCs w:val="20"/>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9BB06A2" w14:textId="77777777" w:rsidR="00D210F0" w:rsidRPr="00092ED7" w:rsidRDefault="00D210F0" w:rsidP="00D210F0">
            <w:pPr>
              <w:spacing w:after="0"/>
              <w:rPr>
                <w:rFonts w:cs="Times New Roman"/>
                <w:color w:val="000000"/>
                <w:sz w:val="20"/>
                <w:szCs w:val="20"/>
                <w:lang w:val="sr-Cyrl-CS"/>
              </w:rPr>
            </w:pPr>
          </w:p>
        </w:tc>
        <w:tc>
          <w:tcPr>
            <w:tcW w:w="37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6FA767B" w14:textId="77777777" w:rsidR="00D210F0" w:rsidRPr="00092ED7" w:rsidRDefault="00D210F0" w:rsidP="00D210F0">
            <w:pPr>
              <w:spacing w:after="0"/>
              <w:rPr>
                <w:rFonts w:cs="Times New Roman"/>
                <w:color w:val="000000"/>
                <w:sz w:val="20"/>
                <w:szCs w:val="20"/>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tcPr>
          <w:p w14:paraId="21A00974" w14:textId="77777777" w:rsidR="00D210F0" w:rsidRPr="00092ED7" w:rsidRDefault="00D210F0" w:rsidP="00D210F0">
            <w:pPr>
              <w:spacing w:after="0"/>
              <w:rPr>
                <w:rFonts w:cs="Times New Roman"/>
                <w:color w:val="000000"/>
                <w:sz w:val="20"/>
                <w:szCs w:val="20"/>
                <w:lang w:val="sr-Cyrl-CS"/>
              </w:rPr>
            </w:pPr>
          </w:p>
        </w:tc>
        <w:tc>
          <w:tcPr>
            <w:tcW w:w="372"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tcPr>
          <w:p w14:paraId="13976688" w14:textId="77777777" w:rsidR="00D210F0" w:rsidRPr="00092ED7" w:rsidRDefault="00D210F0" w:rsidP="00D210F0">
            <w:pPr>
              <w:spacing w:after="0"/>
              <w:rPr>
                <w:rFonts w:cs="Times New Roman"/>
                <w:color w:val="000000"/>
                <w:sz w:val="20"/>
                <w:szCs w:val="20"/>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tcPr>
          <w:p w14:paraId="32453C82" w14:textId="77777777" w:rsidR="00D210F0" w:rsidRPr="00092ED7" w:rsidRDefault="00D210F0" w:rsidP="00D210F0">
            <w:pPr>
              <w:spacing w:after="0"/>
              <w:rPr>
                <w:rFonts w:cs="Times New Roman"/>
                <w:color w:val="000000"/>
                <w:sz w:val="20"/>
                <w:szCs w:val="20"/>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tcPr>
          <w:p w14:paraId="252F1D8C" w14:textId="77777777" w:rsidR="00D210F0" w:rsidRPr="00092ED7" w:rsidRDefault="00D210F0" w:rsidP="00D210F0">
            <w:pPr>
              <w:spacing w:after="0"/>
              <w:rPr>
                <w:rFonts w:cs="Times New Roman"/>
                <w:color w:val="000000"/>
                <w:sz w:val="20"/>
                <w:szCs w:val="20"/>
                <w:lang w:val="sr-Cyrl-CS"/>
              </w:rPr>
            </w:pPr>
          </w:p>
        </w:tc>
      </w:tr>
    </w:tbl>
    <w:p w14:paraId="15009F5D" w14:textId="77777777" w:rsidR="00D210F0" w:rsidRPr="00092ED7" w:rsidRDefault="00D210F0" w:rsidP="00071952">
      <w:pPr>
        <w:widowControl w:val="0"/>
        <w:numPr>
          <w:ilvl w:val="0"/>
          <w:numId w:val="20"/>
        </w:numPr>
        <w:spacing w:before="120"/>
        <w:ind w:left="425" w:hanging="425"/>
        <w:rPr>
          <w:rFonts w:eastAsia="Calibri" w:cs="Times New Roman"/>
          <w:b/>
          <w:szCs w:val="24"/>
          <w:lang w:val="sr-Cyrl-CS" w:eastAsia="sr-Cyrl-CS" w:bidi="sr-Cyrl-CS"/>
        </w:rPr>
      </w:pPr>
      <w:r w:rsidRPr="00092ED7">
        <w:rPr>
          <w:rFonts w:eastAsia="Calibri" w:cs="Times New Roman"/>
          <w:b/>
          <w:szCs w:val="24"/>
          <w:lang w:val="sr-Cyrl-CS" w:eastAsia="sr-Cyrl-CS" w:bidi="sr-Cyrl-CS"/>
        </w:rPr>
        <w:t>Индикатори рeзултата</w:t>
      </w:r>
    </w:p>
    <w:tbl>
      <w:tblPr>
        <w:tblStyle w:val="TableGrid"/>
        <w:tblW w:w="9214" w:type="dxa"/>
        <w:tblInd w:w="-5" w:type="dxa"/>
        <w:tblLayout w:type="fixed"/>
        <w:tblLook w:val="04A0" w:firstRow="1" w:lastRow="0" w:firstColumn="1" w:lastColumn="0" w:noHBand="0" w:noVBand="1"/>
      </w:tblPr>
      <w:tblGrid>
        <w:gridCol w:w="3685"/>
        <w:gridCol w:w="1895"/>
        <w:gridCol w:w="1710"/>
        <w:gridCol w:w="1924"/>
      </w:tblGrid>
      <w:tr w:rsidR="00D210F0" w:rsidRPr="00092ED7" w14:paraId="6BA44348" w14:textId="77777777" w:rsidTr="006C025B">
        <w:trPr>
          <w:cnfStyle w:val="100000000000" w:firstRow="1" w:lastRow="0" w:firstColumn="0" w:lastColumn="0" w:oddVBand="0" w:evenVBand="0" w:oddHBand="0" w:evenHBand="0" w:firstRowFirstColumn="0" w:firstRowLastColumn="0" w:lastRowFirstColumn="0" w:lastRowLastColumn="0"/>
        </w:trPr>
        <w:tc>
          <w:tcPr>
            <w:tcW w:w="3685" w:type="dxa"/>
          </w:tcPr>
          <w:p w14:paraId="53EE6F67" w14:textId="77777777" w:rsidR="00D210F0" w:rsidRPr="00092ED7" w:rsidRDefault="00D210F0" w:rsidP="005D14E2">
            <w:pPr>
              <w:spacing w:before="0" w:after="0"/>
              <w:ind w:right="113"/>
              <w:jc w:val="center"/>
              <w:rPr>
                <w:rFonts w:cs="Times New Roman"/>
                <w:b w:val="0"/>
                <w:sz w:val="20"/>
                <w:lang w:val="sr-Cyrl-CS"/>
              </w:rPr>
            </w:pPr>
            <w:r w:rsidRPr="00092ED7">
              <w:rPr>
                <w:rFonts w:cs="Times New Roman"/>
                <w:sz w:val="20"/>
                <w:lang w:val="sr-Cyrl-CS"/>
              </w:rPr>
              <w:t>Показатељ</w:t>
            </w:r>
          </w:p>
        </w:tc>
        <w:tc>
          <w:tcPr>
            <w:tcW w:w="1895" w:type="dxa"/>
          </w:tcPr>
          <w:p w14:paraId="7D349A3B" w14:textId="77777777" w:rsidR="00D210F0" w:rsidRPr="00092ED7" w:rsidRDefault="00D210F0" w:rsidP="005D14E2">
            <w:pPr>
              <w:spacing w:before="0" w:after="0"/>
              <w:ind w:right="113"/>
              <w:jc w:val="center"/>
              <w:rPr>
                <w:rFonts w:cs="Times New Roman"/>
                <w:b w:val="0"/>
                <w:sz w:val="20"/>
                <w:lang w:val="sr-Cyrl-CS"/>
              </w:rPr>
            </w:pPr>
            <w:r w:rsidRPr="00092ED7">
              <w:rPr>
                <w:rFonts w:cs="Times New Roman"/>
                <w:sz w:val="20"/>
                <w:lang w:val="sr-Cyrl-CS"/>
              </w:rPr>
              <w:t>Почетна вредност (2019)</w:t>
            </w:r>
          </w:p>
        </w:tc>
        <w:tc>
          <w:tcPr>
            <w:tcW w:w="1710" w:type="dxa"/>
          </w:tcPr>
          <w:p w14:paraId="660DC523" w14:textId="77777777" w:rsidR="00D210F0" w:rsidRPr="00092ED7" w:rsidRDefault="00D210F0" w:rsidP="005D14E2">
            <w:pPr>
              <w:spacing w:before="0" w:after="0"/>
              <w:ind w:right="113"/>
              <w:jc w:val="center"/>
              <w:rPr>
                <w:rFonts w:cs="Times New Roman"/>
                <w:b w:val="0"/>
                <w:sz w:val="20"/>
                <w:lang w:val="sr-Cyrl-CS"/>
              </w:rPr>
            </w:pPr>
            <w:r w:rsidRPr="00092ED7">
              <w:rPr>
                <w:rFonts w:cs="Times New Roman"/>
                <w:sz w:val="20"/>
                <w:lang w:val="sr-Cyrl-CS"/>
              </w:rPr>
              <w:t>Међурезултат (2023)</w:t>
            </w:r>
          </w:p>
        </w:tc>
        <w:tc>
          <w:tcPr>
            <w:tcW w:w="1924" w:type="dxa"/>
          </w:tcPr>
          <w:p w14:paraId="3950CBB9" w14:textId="77777777" w:rsidR="00D210F0" w:rsidRPr="00092ED7" w:rsidRDefault="00D210F0" w:rsidP="005D14E2">
            <w:pPr>
              <w:spacing w:before="0" w:after="0"/>
              <w:ind w:right="113"/>
              <w:jc w:val="center"/>
              <w:rPr>
                <w:rFonts w:cs="Times New Roman"/>
                <w:b w:val="0"/>
                <w:sz w:val="20"/>
                <w:lang w:val="sr-Cyrl-CS"/>
              </w:rPr>
            </w:pPr>
            <w:r w:rsidRPr="00092ED7">
              <w:rPr>
                <w:rFonts w:cs="Times New Roman"/>
                <w:sz w:val="20"/>
                <w:lang w:val="sr-Cyrl-CS"/>
              </w:rPr>
              <w:t>Циљна вредност (2025)</w:t>
            </w:r>
          </w:p>
        </w:tc>
      </w:tr>
      <w:tr w:rsidR="00D210F0" w:rsidRPr="00092ED7" w14:paraId="4D7F8DD3" w14:textId="77777777" w:rsidTr="006C025B">
        <w:tc>
          <w:tcPr>
            <w:tcW w:w="3685" w:type="dxa"/>
          </w:tcPr>
          <w:p w14:paraId="17B62183" w14:textId="77777777" w:rsidR="00D210F0" w:rsidRPr="00092ED7" w:rsidRDefault="00D210F0" w:rsidP="005D14E2">
            <w:pPr>
              <w:spacing w:before="0" w:after="0"/>
              <w:ind w:right="113"/>
              <w:rPr>
                <w:rFonts w:cs="Times New Roman"/>
                <w:sz w:val="20"/>
                <w:lang w:val="sr-Cyrl-CS"/>
              </w:rPr>
            </w:pPr>
            <w:r w:rsidRPr="00092ED7">
              <w:rPr>
                <w:rFonts w:cs="Times New Roman"/>
                <w:sz w:val="20"/>
                <w:lang w:val="sr-Cyrl-CS"/>
              </w:rPr>
              <w:t>Број израђених студијских програма по дуалном моделу студија</w:t>
            </w:r>
          </w:p>
        </w:tc>
        <w:tc>
          <w:tcPr>
            <w:tcW w:w="1895" w:type="dxa"/>
          </w:tcPr>
          <w:p w14:paraId="413057E9" w14:textId="77777777" w:rsidR="00D210F0" w:rsidRPr="00092ED7" w:rsidRDefault="00D210F0" w:rsidP="005D14E2">
            <w:pPr>
              <w:spacing w:before="0" w:after="0"/>
              <w:ind w:right="113"/>
              <w:jc w:val="center"/>
              <w:rPr>
                <w:rFonts w:cs="Times New Roman"/>
                <w:sz w:val="20"/>
                <w:lang w:val="sr-Cyrl-CS"/>
              </w:rPr>
            </w:pPr>
            <w:r w:rsidRPr="00092ED7">
              <w:rPr>
                <w:rFonts w:cs="Times New Roman"/>
                <w:sz w:val="20"/>
                <w:lang w:val="sr-Cyrl-CS"/>
              </w:rPr>
              <w:t xml:space="preserve">0 </w:t>
            </w:r>
          </w:p>
        </w:tc>
        <w:tc>
          <w:tcPr>
            <w:tcW w:w="1710" w:type="dxa"/>
          </w:tcPr>
          <w:p w14:paraId="76A95DC2" w14:textId="77777777" w:rsidR="00D210F0" w:rsidRPr="00092ED7" w:rsidRDefault="00D210F0" w:rsidP="005D14E2">
            <w:pPr>
              <w:spacing w:before="0" w:after="0"/>
              <w:ind w:right="113"/>
              <w:jc w:val="center"/>
              <w:rPr>
                <w:rFonts w:cs="Times New Roman"/>
                <w:sz w:val="20"/>
                <w:lang w:val="sr-Cyrl-CS"/>
              </w:rPr>
            </w:pPr>
            <w:r w:rsidRPr="00092ED7">
              <w:rPr>
                <w:rFonts w:cs="Times New Roman"/>
                <w:sz w:val="20"/>
                <w:lang w:val="sr-Cyrl-CS"/>
              </w:rPr>
              <w:t>34</w:t>
            </w:r>
          </w:p>
        </w:tc>
        <w:tc>
          <w:tcPr>
            <w:tcW w:w="1924" w:type="dxa"/>
          </w:tcPr>
          <w:p w14:paraId="5A7ECCB1" w14:textId="77777777" w:rsidR="00D210F0" w:rsidRPr="00092ED7" w:rsidRDefault="00D210F0" w:rsidP="005D14E2">
            <w:pPr>
              <w:spacing w:before="0" w:after="0"/>
              <w:ind w:right="113"/>
              <w:jc w:val="center"/>
              <w:rPr>
                <w:rFonts w:cs="Times New Roman"/>
                <w:sz w:val="20"/>
                <w:lang w:val="sr-Cyrl-CS"/>
              </w:rPr>
            </w:pPr>
            <w:r w:rsidRPr="00092ED7">
              <w:rPr>
                <w:rFonts w:cs="Times New Roman"/>
                <w:sz w:val="20"/>
                <w:lang w:val="sr-Cyrl-CS"/>
              </w:rPr>
              <w:t>38</w:t>
            </w:r>
          </w:p>
        </w:tc>
      </w:tr>
      <w:tr w:rsidR="00D210F0" w:rsidRPr="00092ED7" w14:paraId="7E4A0053" w14:textId="77777777" w:rsidTr="006C025B">
        <w:tc>
          <w:tcPr>
            <w:tcW w:w="3685" w:type="dxa"/>
          </w:tcPr>
          <w:p w14:paraId="3170A43B" w14:textId="77777777" w:rsidR="00D210F0" w:rsidRPr="00092ED7" w:rsidRDefault="00D210F0" w:rsidP="005D14E2">
            <w:pPr>
              <w:spacing w:before="0" w:after="0"/>
              <w:ind w:right="113"/>
              <w:rPr>
                <w:rFonts w:cs="Times New Roman"/>
                <w:sz w:val="20"/>
                <w:lang w:val="sr-Cyrl-CS"/>
              </w:rPr>
            </w:pPr>
            <w:r w:rsidRPr="00092ED7">
              <w:rPr>
                <w:rFonts w:cs="Times New Roman"/>
                <w:sz w:val="20"/>
                <w:lang w:val="sr-Cyrl-CS"/>
              </w:rPr>
              <w:t>Учешће ђака уписаних у прву годину у систему дуалног образовања у односу на укупан број ђака уписаних у прву годину у средњем стручном образовању (%)</w:t>
            </w:r>
          </w:p>
        </w:tc>
        <w:tc>
          <w:tcPr>
            <w:tcW w:w="1895" w:type="dxa"/>
          </w:tcPr>
          <w:p w14:paraId="49593756" w14:textId="77777777" w:rsidR="00D210F0" w:rsidRPr="00092ED7" w:rsidRDefault="00D210F0" w:rsidP="005D14E2">
            <w:pPr>
              <w:spacing w:before="0" w:after="0"/>
              <w:ind w:right="113"/>
              <w:jc w:val="center"/>
              <w:rPr>
                <w:rFonts w:cs="Times New Roman"/>
                <w:sz w:val="20"/>
                <w:lang w:val="sr-Cyrl-CS"/>
              </w:rPr>
            </w:pPr>
            <w:r w:rsidRPr="00092ED7">
              <w:rPr>
                <w:rFonts w:cs="Times New Roman"/>
                <w:sz w:val="20"/>
                <w:lang w:val="sr-Cyrl-CS"/>
              </w:rPr>
              <w:t>5,3</w:t>
            </w:r>
          </w:p>
        </w:tc>
        <w:tc>
          <w:tcPr>
            <w:tcW w:w="1710" w:type="dxa"/>
          </w:tcPr>
          <w:p w14:paraId="7EACB827" w14:textId="77777777" w:rsidR="00D210F0" w:rsidRPr="00092ED7" w:rsidRDefault="00D210F0" w:rsidP="005D14E2">
            <w:pPr>
              <w:spacing w:before="0" w:after="0"/>
              <w:ind w:right="113"/>
              <w:jc w:val="center"/>
              <w:rPr>
                <w:rFonts w:cs="Times New Roman"/>
                <w:sz w:val="20"/>
                <w:lang w:val="sr-Cyrl-CS"/>
              </w:rPr>
            </w:pPr>
            <w:r w:rsidRPr="00092ED7">
              <w:rPr>
                <w:rFonts w:cs="Times New Roman"/>
                <w:sz w:val="20"/>
                <w:lang w:val="sr-Cyrl-CS"/>
              </w:rPr>
              <w:t>9,5</w:t>
            </w:r>
          </w:p>
        </w:tc>
        <w:tc>
          <w:tcPr>
            <w:tcW w:w="1924" w:type="dxa"/>
          </w:tcPr>
          <w:p w14:paraId="4321AF2C" w14:textId="77777777" w:rsidR="00D210F0" w:rsidRPr="00092ED7" w:rsidRDefault="00D210F0" w:rsidP="005D14E2">
            <w:pPr>
              <w:spacing w:before="0" w:after="0"/>
              <w:ind w:right="113"/>
              <w:jc w:val="center"/>
              <w:rPr>
                <w:rFonts w:cs="Times New Roman"/>
                <w:sz w:val="20"/>
                <w:lang w:val="sr-Cyrl-CS"/>
              </w:rPr>
            </w:pPr>
            <w:r w:rsidRPr="00092ED7">
              <w:rPr>
                <w:rFonts w:cs="Times New Roman"/>
                <w:sz w:val="20"/>
                <w:lang w:val="sr-Cyrl-CS"/>
              </w:rPr>
              <w:t>12</w:t>
            </w:r>
          </w:p>
        </w:tc>
      </w:tr>
      <w:tr w:rsidR="00D210F0" w:rsidRPr="00092ED7" w14:paraId="7ABEBC40" w14:textId="77777777" w:rsidTr="006C025B">
        <w:tc>
          <w:tcPr>
            <w:tcW w:w="3685" w:type="dxa"/>
          </w:tcPr>
          <w:p w14:paraId="77FB6C15" w14:textId="77777777" w:rsidR="00D210F0" w:rsidRPr="00092ED7" w:rsidRDefault="00D210F0" w:rsidP="005D14E2">
            <w:pPr>
              <w:spacing w:before="0" w:after="0"/>
              <w:ind w:right="113"/>
              <w:rPr>
                <w:rFonts w:cs="Times New Roman"/>
                <w:sz w:val="20"/>
                <w:lang w:val="sr-Cyrl-CS"/>
              </w:rPr>
            </w:pPr>
            <w:r w:rsidRPr="00092ED7">
              <w:rPr>
                <w:rFonts w:cs="Times New Roman"/>
                <w:sz w:val="20"/>
                <w:lang w:val="sr-Cyrl-CS"/>
              </w:rPr>
              <w:t xml:space="preserve">Број успостављених регионалних тренинг центара </w:t>
            </w:r>
          </w:p>
        </w:tc>
        <w:tc>
          <w:tcPr>
            <w:tcW w:w="1895" w:type="dxa"/>
          </w:tcPr>
          <w:p w14:paraId="036E4C42" w14:textId="77777777" w:rsidR="00D210F0" w:rsidRPr="00092ED7" w:rsidRDefault="00D210F0" w:rsidP="005D14E2">
            <w:pPr>
              <w:spacing w:before="0" w:after="0"/>
              <w:ind w:right="113"/>
              <w:jc w:val="center"/>
              <w:rPr>
                <w:rFonts w:cs="Times New Roman"/>
                <w:sz w:val="20"/>
                <w:lang w:val="sr-Cyrl-CS"/>
              </w:rPr>
            </w:pPr>
            <w:r w:rsidRPr="00092ED7">
              <w:rPr>
                <w:rFonts w:cs="Times New Roman"/>
                <w:sz w:val="20"/>
                <w:lang w:val="sr-Cyrl-CS"/>
              </w:rPr>
              <w:t>0</w:t>
            </w:r>
          </w:p>
        </w:tc>
        <w:tc>
          <w:tcPr>
            <w:tcW w:w="1710" w:type="dxa"/>
          </w:tcPr>
          <w:p w14:paraId="39701F5F" w14:textId="77777777" w:rsidR="00D210F0" w:rsidRPr="00092ED7" w:rsidRDefault="00D210F0" w:rsidP="005D14E2">
            <w:pPr>
              <w:spacing w:before="0" w:after="0"/>
              <w:ind w:right="113"/>
              <w:jc w:val="center"/>
              <w:rPr>
                <w:rFonts w:cs="Times New Roman"/>
                <w:sz w:val="20"/>
                <w:lang w:val="sr-Cyrl-CS"/>
              </w:rPr>
            </w:pPr>
            <w:r w:rsidRPr="00092ED7">
              <w:rPr>
                <w:rFonts w:cs="Times New Roman"/>
                <w:sz w:val="20"/>
                <w:lang w:val="sr-Cyrl-CS"/>
              </w:rPr>
              <w:t>6</w:t>
            </w:r>
          </w:p>
        </w:tc>
        <w:tc>
          <w:tcPr>
            <w:tcW w:w="1924" w:type="dxa"/>
          </w:tcPr>
          <w:p w14:paraId="1D705D79" w14:textId="77777777" w:rsidR="00D210F0" w:rsidRPr="00092ED7" w:rsidRDefault="006C025B" w:rsidP="005D14E2">
            <w:pPr>
              <w:spacing w:before="0" w:after="0"/>
              <w:ind w:right="113"/>
              <w:jc w:val="center"/>
              <w:rPr>
                <w:rFonts w:cs="Times New Roman"/>
                <w:sz w:val="20"/>
                <w:lang w:val="sr-Cyrl-CS"/>
              </w:rPr>
            </w:pPr>
            <w:r w:rsidRPr="00092ED7">
              <w:rPr>
                <w:rFonts w:cs="Times New Roman"/>
                <w:sz w:val="20"/>
                <w:lang w:val="sr-Cyrl-CS"/>
              </w:rPr>
              <w:t>12 (2026)</w:t>
            </w:r>
          </w:p>
        </w:tc>
      </w:tr>
      <w:tr w:rsidR="00D210F0" w:rsidRPr="00092ED7" w14:paraId="6D0EA2D3" w14:textId="77777777" w:rsidTr="006C025B">
        <w:tc>
          <w:tcPr>
            <w:tcW w:w="3685" w:type="dxa"/>
          </w:tcPr>
          <w:p w14:paraId="0248E687" w14:textId="77777777" w:rsidR="00D210F0" w:rsidRPr="00092ED7" w:rsidRDefault="00D210F0" w:rsidP="005D14E2">
            <w:pPr>
              <w:spacing w:before="0" w:after="0"/>
              <w:ind w:right="113"/>
              <w:rPr>
                <w:rFonts w:cs="Times New Roman"/>
                <w:sz w:val="20"/>
                <w:lang w:val="sr-Cyrl-CS"/>
              </w:rPr>
            </w:pPr>
            <w:r w:rsidRPr="00092ED7">
              <w:rPr>
                <w:rFonts w:cs="Times New Roman"/>
                <w:sz w:val="20"/>
                <w:lang w:val="sr-Cyrl-CS"/>
              </w:rPr>
              <w:t>Број квалификација видљивих на Европском порталу квалификација</w:t>
            </w:r>
          </w:p>
        </w:tc>
        <w:tc>
          <w:tcPr>
            <w:tcW w:w="1895" w:type="dxa"/>
          </w:tcPr>
          <w:p w14:paraId="41C08583" w14:textId="77777777" w:rsidR="00D210F0" w:rsidRPr="00092ED7" w:rsidRDefault="00D210F0" w:rsidP="005D14E2">
            <w:pPr>
              <w:spacing w:before="0" w:after="0"/>
              <w:ind w:right="113"/>
              <w:jc w:val="center"/>
              <w:rPr>
                <w:rFonts w:cs="Times New Roman"/>
                <w:sz w:val="20"/>
                <w:lang w:val="sr-Cyrl-CS"/>
              </w:rPr>
            </w:pPr>
            <w:r w:rsidRPr="00092ED7">
              <w:rPr>
                <w:rFonts w:cs="Times New Roman"/>
                <w:sz w:val="20"/>
                <w:lang w:val="sr-Cyrl-CS"/>
              </w:rPr>
              <w:t>0</w:t>
            </w:r>
          </w:p>
        </w:tc>
        <w:tc>
          <w:tcPr>
            <w:tcW w:w="1710" w:type="dxa"/>
          </w:tcPr>
          <w:p w14:paraId="11CEBC7A" w14:textId="77777777" w:rsidR="00D210F0" w:rsidRPr="00092ED7" w:rsidRDefault="00D210F0" w:rsidP="005D14E2">
            <w:pPr>
              <w:spacing w:before="0" w:after="0"/>
              <w:ind w:right="113"/>
              <w:jc w:val="center"/>
              <w:rPr>
                <w:rFonts w:cs="Times New Roman"/>
                <w:sz w:val="20"/>
                <w:lang w:val="sr-Cyrl-CS"/>
              </w:rPr>
            </w:pPr>
            <w:r w:rsidRPr="00092ED7">
              <w:rPr>
                <w:rFonts w:cs="Times New Roman"/>
                <w:sz w:val="20"/>
                <w:lang w:val="sr-Cyrl-CS"/>
              </w:rPr>
              <w:t>80</w:t>
            </w:r>
          </w:p>
        </w:tc>
        <w:tc>
          <w:tcPr>
            <w:tcW w:w="1924" w:type="dxa"/>
          </w:tcPr>
          <w:p w14:paraId="43213C2F" w14:textId="77777777" w:rsidR="00D210F0" w:rsidRPr="00092ED7" w:rsidRDefault="00D210F0" w:rsidP="005D14E2">
            <w:pPr>
              <w:pStyle w:val="ListParagraph"/>
              <w:spacing w:before="0" w:after="0" w:line="240" w:lineRule="auto"/>
              <w:ind w:left="0" w:right="113"/>
              <w:contextualSpacing w:val="0"/>
              <w:jc w:val="center"/>
              <w:rPr>
                <w:rFonts w:cs="Times New Roman"/>
                <w:lang w:val="sr-Cyrl-CS"/>
              </w:rPr>
            </w:pPr>
            <w:r w:rsidRPr="00092ED7">
              <w:rPr>
                <w:rFonts w:cs="Times New Roman"/>
                <w:lang w:val="sr-Cyrl-CS"/>
              </w:rPr>
              <w:t>120</w:t>
            </w:r>
          </w:p>
        </w:tc>
      </w:tr>
    </w:tbl>
    <w:p w14:paraId="65896AFE" w14:textId="77777777" w:rsidR="00D210F0" w:rsidRPr="00092ED7" w:rsidRDefault="00D210F0" w:rsidP="00071952">
      <w:pPr>
        <w:widowControl w:val="0"/>
        <w:numPr>
          <w:ilvl w:val="0"/>
          <w:numId w:val="20"/>
        </w:numPr>
        <w:spacing w:before="120"/>
        <w:ind w:left="425" w:hanging="425"/>
        <w:rPr>
          <w:rFonts w:eastAsia="Calibri" w:cs="Times New Roman"/>
          <w:b/>
          <w:szCs w:val="24"/>
          <w:lang w:val="sr-Cyrl-CS" w:eastAsia="sr-Cyrl-CS" w:bidi="sr-Cyrl-CS"/>
        </w:rPr>
      </w:pPr>
      <w:r w:rsidRPr="00092ED7">
        <w:rPr>
          <w:rFonts w:eastAsia="Calibri" w:cs="Times New Roman"/>
          <w:b/>
          <w:szCs w:val="24"/>
          <w:lang w:val="sr-Cyrl-CS" w:eastAsia="sr-Cyrl-CS" w:bidi="sr-Cyrl-CS"/>
        </w:rPr>
        <w:t>Очекивани утицај на конкурентност</w:t>
      </w:r>
    </w:p>
    <w:p w14:paraId="63DA734E" w14:textId="77777777" w:rsidR="00D210F0" w:rsidRPr="00092ED7" w:rsidRDefault="00D210F0" w:rsidP="00D210F0">
      <w:pPr>
        <w:widowControl w:val="0"/>
        <w:spacing w:after="60"/>
        <w:rPr>
          <w:rFonts w:eastAsia="Calibri" w:cs="Times New Roman"/>
          <w:szCs w:val="24"/>
          <w:lang w:val="sr-Cyrl-CS" w:eastAsia="sr-Cyrl-CS" w:bidi="sr-Cyrl-CS"/>
        </w:rPr>
      </w:pPr>
      <w:r w:rsidRPr="00092ED7">
        <w:rPr>
          <w:rFonts w:eastAsia="Calibri" w:cs="Times New Roman"/>
          <w:szCs w:val="24"/>
          <w:lang w:val="sr-Cyrl-CS" w:eastAsia="sr-Cyrl-CS" w:bidi="sr-Cyrl-CS"/>
        </w:rPr>
        <w:t xml:space="preserve">Дуално образовање доприноси јачању конкурентности привреде Републике Србије и смањењу незапослености младих. Послодавци, инвестирањем у образовање,  дугорочно решавају проблем недостатка компетентних кадрова. Учењем кроз рад, ученици и </w:t>
      </w:r>
      <w:r w:rsidRPr="00092ED7">
        <w:rPr>
          <w:rFonts w:eastAsia="Calibri" w:cs="Times New Roman"/>
          <w:szCs w:val="24"/>
          <w:lang w:val="sr-Cyrl-CS" w:eastAsia="sr-Cyrl-CS" w:bidi="sr-Cyrl-CS"/>
        </w:rPr>
        <w:lastRenderedPageBreak/>
        <w:t xml:space="preserve">студенти имају могућности да остваре све исходе учења који су предвиђени стандардом квалификације. </w:t>
      </w:r>
    </w:p>
    <w:p w14:paraId="4E8659CB" w14:textId="77777777" w:rsidR="00D210F0" w:rsidRPr="00092ED7" w:rsidRDefault="00D210F0" w:rsidP="00D210F0">
      <w:pPr>
        <w:widowControl w:val="0"/>
        <w:spacing w:after="60"/>
        <w:rPr>
          <w:rFonts w:eastAsia="Calibri" w:cs="Times New Roman"/>
          <w:szCs w:val="24"/>
          <w:lang w:val="sr-Cyrl-CS" w:eastAsia="sr-Cyrl-CS" w:bidi="sr-Cyrl-CS"/>
        </w:rPr>
      </w:pPr>
      <w:r w:rsidRPr="00092ED7">
        <w:rPr>
          <w:rFonts w:eastAsia="Calibri" w:cs="Times New Roman"/>
          <w:szCs w:val="24"/>
          <w:lang w:val="sr-Cyrl-CS" w:eastAsia="sr-Cyrl-CS" w:bidi="sr-Cyrl-CS"/>
        </w:rPr>
        <w:t>Имплементација система НОКС доприноси развоју модерног, тржишно релевантног и флексибилног система квалификација прилагођеног потребама појединца и друштва у целини, омогућава примену концепта целоживотног учења и олакшава мобилност радне снаге.</w:t>
      </w:r>
    </w:p>
    <w:p w14:paraId="132F8E26" w14:textId="77777777" w:rsidR="00D210F0" w:rsidRPr="00092ED7" w:rsidRDefault="00D210F0" w:rsidP="00071952">
      <w:pPr>
        <w:widowControl w:val="0"/>
        <w:numPr>
          <w:ilvl w:val="0"/>
          <w:numId w:val="20"/>
        </w:numPr>
        <w:spacing w:before="120"/>
        <w:ind w:left="425" w:hanging="425"/>
        <w:rPr>
          <w:rFonts w:eastAsia="Calibri" w:cs="Times New Roman"/>
          <w:b/>
          <w:szCs w:val="24"/>
          <w:lang w:val="sr-Cyrl-CS" w:eastAsia="sr-Cyrl-CS" w:bidi="sr-Cyrl-CS"/>
        </w:rPr>
      </w:pPr>
      <w:r w:rsidRPr="00092ED7">
        <w:rPr>
          <w:rFonts w:eastAsia="Calibri" w:cs="Times New Roman"/>
          <w:b/>
          <w:szCs w:val="24"/>
          <w:lang w:val="sr-Cyrl-CS" w:eastAsia="sr-Cyrl-CS" w:bidi="sr-Cyrl-CS"/>
        </w:rPr>
        <w:t>Процењени трошкови активности и извори финансирања</w:t>
      </w:r>
    </w:p>
    <w:p w14:paraId="226D13A2" w14:textId="77777777" w:rsidR="004B1528" w:rsidRPr="00092ED7" w:rsidRDefault="004B1528" w:rsidP="00CC71EC">
      <w:pPr>
        <w:widowControl w:val="0"/>
        <w:spacing w:after="60"/>
        <w:rPr>
          <w:rFonts w:eastAsia="Calibri" w:cs="Times New Roman"/>
          <w:lang w:val="sr-Cyrl-CS" w:eastAsia="sr-Cyrl-CS" w:bidi="sr-Cyrl-CS"/>
        </w:rPr>
      </w:pPr>
      <w:r w:rsidRPr="00092ED7">
        <w:rPr>
          <w:rFonts w:eastAsia="Calibri" w:cs="Times New Roman"/>
          <w:lang w:val="sr-Cyrl-CS" w:eastAsia="sr-Cyrl-CS" w:bidi="sr-Cyrl-CS"/>
        </w:rPr>
        <w:t xml:space="preserve">За реализацију активности </w:t>
      </w:r>
      <w:r w:rsidRPr="00092ED7">
        <w:rPr>
          <w:rFonts w:eastAsia="Calibri" w:cs="Times New Roman"/>
          <w:b/>
          <w:lang w:val="sr-Cyrl-CS" w:eastAsia="sr-Cyrl-CS" w:bidi="sr-Cyrl-CS"/>
        </w:rPr>
        <w:t>1, 2, 4, 7 и 8</w:t>
      </w:r>
      <w:r w:rsidRPr="00092ED7">
        <w:rPr>
          <w:rFonts w:eastAsia="Calibri" w:cs="Times New Roman"/>
          <w:lang w:val="sr-Cyrl-CS" w:eastAsia="sr-Cyrl-CS" w:bidi="sr-Cyrl-CS"/>
        </w:rPr>
        <w:t xml:space="preserve"> биће обезбеђена средства са пројекта, у износу од </w:t>
      </w:r>
      <w:r w:rsidRPr="00092ED7">
        <w:rPr>
          <w:rFonts w:eastAsia="Calibri" w:cs="Times New Roman"/>
          <w:szCs w:val="24"/>
          <w:lang w:val="sr-Cyrl-CS" w:eastAsia="sr-Cyrl-CS" w:bidi="sr-Cyrl-CS"/>
        </w:rPr>
        <w:t>210.664 евра за 2023. годину, 67.364 евра за 2024. годину и 29.100 за 2025. годину</w:t>
      </w:r>
      <w:r w:rsidRPr="00092ED7">
        <w:rPr>
          <w:rFonts w:eastAsia="Calibri" w:cs="Times New Roman"/>
          <w:lang w:val="sr-Cyrl-CS" w:eastAsia="sr-Cyrl-CS" w:bidi="sr-Cyrl-CS"/>
        </w:rPr>
        <w:t xml:space="preserve">. </w:t>
      </w:r>
    </w:p>
    <w:p w14:paraId="4D9700CC" w14:textId="46E5BF54" w:rsidR="004B1528" w:rsidRPr="00092ED7" w:rsidRDefault="004B1528" w:rsidP="00CC71EC">
      <w:pPr>
        <w:widowControl w:val="0"/>
        <w:spacing w:after="60"/>
        <w:rPr>
          <w:rFonts w:eastAsia="Calibri" w:cs="Times New Roman"/>
          <w:lang w:val="sr-Cyrl-CS" w:eastAsia="sr-Cyrl-CS" w:bidi="sr-Cyrl-CS"/>
        </w:rPr>
      </w:pPr>
      <w:r w:rsidRPr="00092ED7">
        <w:rPr>
          <w:rFonts w:eastAsia="Calibri" w:cs="Times New Roman"/>
          <w:lang w:val="sr-Cyrl-CS" w:eastAsia="sr-Cyrl-CS" w:bidi="sr-Cyrl-CS"/>
        </w:rPr>
        <w:t xml:space="preserve">Средства за изградњу и реконструкцију регионалних тренинг центара (активност </w:t>
      </w:r>
      <w:r w:rsidRPr="00092ED7">
        <w:rPr>
          <w:rFonts w:eastAsia="Calibri" w:cs="Times New Roman"/>
          <w:b/>
          <w:lang w:val="sr-Cyrl-CS" w:eastAsia="sr-Cyrl-CS" w:bidi="sr-Cyrl-CS"/>
        </w:rPr>
        <w:t>3</w:t>
      </w:r>
      <w:r w:rsidRPr="00092ED7">
        <w:rPr>
          <w:rFonts w:eastAsia="Calibri" w:cs="Times New Roman"/>
          <w:lang w:val="sr-Cyrl-CS" w:eastAsia="sr-Cyrl-CS" w:bidi="sr-Cyrl-CS"/>
        </w:rPr>
        <w:t>) у 2023. години биће обезбеђена преко кредита Европске инвестиционе банке (</w:t>
      </w:r>
      <w:r w:rsidR="00657813" w:rsidRPr="00092ED7">
        <w:rPr>
          <w:rFonts w:eastAsia="Calibri" w:cs="Times New Roman"/>
          <w:lang w:val="sr-Cyrl-CS" w:eastAsia="sr-Cyrl-CS" w:bidi="sr-Cyrl-CS"/>
        </w:rPr>
        <w:t xml:space="preserve">у даљем тексту: </w:t>
      </w:r>
      <w:r w:rsidRPr="00092ED7">
        <w:rPr>
          <w:rFonts w:eastAsia="Calibri" w:cs="Times New Roman"/>
          <w:lang w:val="sr-Cyrl-CS" w:eastAsia="sr-Cyrl-CS" w:bidi="sr-Cyrl-CS"/>
        </w:rPr>
        <w:t>ЕИБ) у износу од 15.400.000 евра, а за 2024. годину 6.923.000 евра</w:t>
      </w:r>
      <w:r w:rsidRPr="00092ED7">
        <w:rPr>
          <w:rFonts w:eastAsia="Calibri" w:cs="Times New Roman"/>
          <w:color w:val="FF0000"/>
          <w:lang w:val="sr-Cyrl-CS" w:eastAsia="sr-Cyrl-CS" w:bidi="sr-Cyrl-CS"/>
        </w:rPr>
        <w:t xml:space="preserve"> </w:t>
      </w:r>
      <w:r w:rsidRPr="00092ED7">
        <w:rPr>
          <w:rFonts w:eastAsia="Calibri" w:cs="Times New Roman"/>
          <w:lang w:val="sr-Cyrl-CS" w:eastAsia="sr-Cyrl-CS" w:bidi="sr-Cyrl-CS"/>
        </w:rPr>
        <w:t>такође преко кредита ЕИБ. Средства за опремање регионалних тренинг центара у 2023. години биће обезбеђена преко кредита ЕИБ у износу од 12.900.000 евра, а за 2024. годину 595.700 евра такође преко кредита ЕИБ.</w:t>
      </w:r>
    </w:p>
    <w:p w14:paraId="35066EDF" w14:textId="74F9FB48" w:rsidR="004B1528" w:rsidRPr="00092ED7" w:rsidRDefault="004B1528" w:rsidP="00CC71EC">
      <w:pPr>
        <w:widowControl w:val="0"/>
        <w:spacing w:after="60"/>
        <w:rPr>
          <w:rFonts w:eastAsia="Calibri" w:cs="Times New Roman"/>
          <w:lang w:val="sr-Cyrl-CS" w:eastAsia="sr-Cyrl-CS" w:bidi="sr-Cyrl-CS"/>
        </w:rPr>
      </w:pPr>
      <w:r w:rsidRPr="00092ED7">
        <w:rPr>
          <w:rFonts w:eastAsia="Calibri" w:cs="Times New Roman"/>
          <w:lang w:val="sr-Cyrl-CS" w:eastAsia="sr-Cyrl-CS" w:bidi="sr-Cyrl-CS"/>
        </w:rPr>
        <w:t xml:space="preserve">За израду анализе кључних елемената у дуалном моделу образовања у Републици Србији у циљу привлачења страних инвестиција (активност </w:t>
      </w:r>
      <w:r w:rsidRPr="00092ED7">
        <w:rPr>
          <w:rFonts w:eastAsia="Calibri" w:cs="Times New Roman"/>
          <w:b/>
          <w:lang w:val="sr-Cyrl-CS" w:eastAsia="sr-Cyrl-CS" w:bidi="sr-Cyrl-CS"/>
        </w:rPr>
        <w:t>5</w:t>
      </w:r>
      <w:r w:rsidRPr="00092ED7">
        <w:rPr>
          <w:rFonts w:eastAsia="Calibri" w:cs="Times New Roman"/>
          <w:lang w:val="sr-Cyrl-CS" w:eastAsia="sr-Cyrl-CS" w:bidi="sr-Cyrl-CS"/>
        </w:rPr>
        <w:t>) биће обезбеђена средства из буџета Р</w:t>
      </w:r>
      <w:r w:rsidR="00B649E2" w:rsidRPr="00092ED7">
        <w:rPr>
          <w:rFonts w:eastAsia="Calibri" w:cs="Times New Roman"/>
          <w:lang w:val="sr-Cyrl-CS" w:eastAsia="sr-Cyrl-CS" w:bidi="sr-Cyrl-CS"/>
        </w:rPr>
        <w:t xml:space="preserve">епублике </w:t>
      </w:r>
      <w:r w:rsidRPr="00092ED7">
        <w:rPr>
          <w:rFonts w:eastAsia="Calibri" w:cs="Times New Roman"/>
          <w:lang w:val="sr-Cyrl-CS" w:eastAsia="sr-Cyrl-CS" w:bidi="sr-Cyrl-CS"/>
        </w:rPr>
        <w:t>С</w:t>
      </w:r>
      <w:r w:rsidR="00B649E2" w:rsidRPr="00092ED7">
        <w:rPr>
          <w:rFonts w:eastAsia="Calibri" w:cs="Times New Roman"/>
          <w:lang w:val="sr-Cyrl-CS" w:eastAsia="sr-Cyrl-CS" w:bidi="sr-Cyrl-CS"/>
        </w:rPr>
        <w:t>рбије</w:t>
      </w:r>
      <w:r w:rsidRPr="00092ED7">
        <w:rPr>
          <w:rFonts w:eastAsia="Calibri" w:cs="Times New Roman"/>
          <w:lang w:val="sr-Cyrl-CS" w:eastAsia="sr-Cyrl-CS" w:bidi="sr-Cyrl-CS"/>
        </w:rPr>
        <w:t>, у износу од 50.000 евра за 2024. годину.</w:t>
      </w:r>
    </w:p>
    <w:p w14:paraId="52D835E8" w14:textId="77777777" w:rsidR="004B1528" w:rsidRPr="00092ED7" w:rsidRDefault="004B1528" w:rsidP="00CC71EC">
      <w:pPr>
        <w:widowControl w:val="0"/>
        <w:spacing w:after="60"/>
        <w:rPr>
          <w:rFonts w:eastAsia="Calibri" w:cs="Times New Roman"/>
          <w:lang w:val="sr-Cyrl-CS" w:eastAsia="sr-Cyrl-CS" w:bidi="sr-Cyrl-CS"/>
        </w:rPr>
      </w:pPr>
      <w:r w:rsidRPr="00092ED7">
        <w:rPr>
          <w:rFonts w:eastAsia="Calibri" w:cs="Times New Roman"/>
          <w:lang w:val="sr-Cyrl-CS" w:eastAsia="sr-Cyrl-CS" w:bidi="sr-Cyrl-CS"/>
        </w:rPr>
        <w:t xml:space="preserve">За реализацију активности </w:t>
      </w:r>
      <w:r w:rsidRPr="00092ED7">
        <w:rPr>
          <w:rFonts w:eastAsia="Calibri" w:cs="Times New Roman"/>
          <w:b/>
          <w:lang w:val="sr-Cyrl-CS" w:eastAsia="sr-Cyrl-CS" w:bidi="sr-Cyrl-CS"/>
        </w:rPr>
        <w:t>6</w:t>
      </w:r>
      <w:r w:rsidRPr="00092ED7">
        <w:rPr>
          <w:rFonts w:eastAsia="Calibri" w:cs="Times New Roman"/>
          <w:lang w:val="sr-Cyrl-CS" w:eastAsia="sr-Cyrl-CS" w:bidi="sr-Cyrl-CS"/>
        </w:rPr>
        <w:t xml:space="preserve"> нису потребна додатна средства за 2023. годину, а за 2024. и 2025. годину треба да се обезбеде средства са пројеката. </w:t>
      </w:r>
    </w:p>
    <w:p w14:paraId="4B98D767" w14:textId="77777777" w:rsidR="00D210F0" w:rsidRPr="00092ED7" w:rsidRDefault="00D210F0" w:rsidP="00071952">
      <w:pPr>
        <w:widowControl w:val="0"/>
        <w:numPr>
          <w:ilvl w:val="0"/>
          <w:numId w:val="20"/>
        </w:numPr>
        <w:spacing w:before="120"/>
        <w:ind w:left="425" w:hanging="425"/>
        <w:rPr>
          <w:rFonts w:eastAsia="Calibri" w:cs="Times New Roman"/>
          <w:b/>
          <w:szCs w:val="24"/>
          <w:lang w:val="sr-Cyrl-CS" w:eastAsia="sr-Cyrl-CS" w:bidi="sr-Cyrl-CS"/>
        </w:rPr>
      </w:pPr>
      <w:r w:rsidRPr="00092ED7">
        <w:rPr>
          <w:rFonts w:eastAsia="Calibri" w:cs="Times New Roman"/>
          <w:b/>
          <w:szCs w:val="24"/>
          <w:lang w:val="sr-Cyrl-CS" w:eastAsia="sr-Cyrl-CS" w:bidi="sr-Cyrl-CS"/>
        </w:rPr>
        <w:t>Очекивани утицај на социјалне циљеве, као што су запосленост, смањење сиромаштва, родна равноправност и приступ здравственој заштити</w:t>
      </w:r>
    </w:p>
    <w:p w14:paraId="418C6741" w14:textId="77777777" w:rsidR="00D210F0" w:rsidRPr="00092ED7" w:rsidRDefault="0041616F" w:rsidP="00D210F0">
      <w:pPr>
        <w:widowControl w:val="0"/>
        <w:spacing w:after="60"/>
        <w:rPr>
          <w:rFonts w:eastAsia="Calibri" w:cs="Times New Roman"/>
          <w:szCs w:val="24"/>
          <w:lang w:val="sr-Cyrl-CS" w:eastAsia="sr-Cyrl-CS" w:bidi="sr-Cyrl-CS"/>
        </w:rPr>
      </w:pPr>
      <w:r w:rsidRPr="00092ED7">
        <w:rPr>
          <w:rFonts w:eastAsia="Calibri" w:cs="Times New Roman"/>
          <w:szCs w:val="24"/>
          <w:lang w:val="sr-Cyrl-CS" w:eastAsia="sr-Cyrl-CS" w:bidi="sr-Cyrl-CS"/>
        </w:rPr>
        <w:t>Структурна реформа директно утиче на запосленост јер омогућава стицање, усавршавање и развој компетенција ученика и студената у складу с потребама тржишта рада, олакшава запошљавање по завршеном школовању, развијање предузимљивости, иновативности и креативности сваког појединца, чиме се значајно повећава њихова конкурентност на тржишту рада и олакшава проналазак посла. Структурна реформа директно утиче и на смањење сиромаштва.</w:t>
      </w:r>
      <w:r w:rsidR="00D210F0" w:rsidRPr="00092ED7">
        <w:rPr>
          <w:rFonts w:eastAsia="Calibri" w:cs="Times New Roman"/>
          <w:szCs w:val="24"/>
          <w:lang w:val="sr-Cyrl-CS" w:eastAsia="sr-Cyrl-CS" w:bidi="sr-Cyrl-CS"/>
        </w:rPr>
        <w:t xml:space="preserve"> Дуално образовање се базира на принципу једнаких могућности – обезбеђивање једнаких услова за стицање образовања без икакве дискриминације, с обзиром на полну, расну, националну, културну, етничку и верску припадност, језик, сексуалну оријентацију, место боравка, материјално стање, инвалидитет и друга лична својства.</w:t>
      </w:r>
    </w:p>
    <w:p w14:paraId="4262047A" w14:textId="77777777" w:rsidR="00D210F0" w:rsidRPr="00092ED7" w:rsidRDefault="00D210F0" w:rsidP="00071952">
      <w:pPr>
        <w:widowControl w:val="0"/>
        <w:numPr>
          <w:ilvl w:val="0"/>
          <w:numId w:val="20"/>
        </w:numPr>
        <w:spacing w:before="120"/>
        <w:ind w:left="425" w:hanging="425"/>
        <w:rPr>
          <w:rFonts w:eastAsia="Calibri" w:cs="Times New Roman"/>
          <w:b/>
          <w:szCs w:val="24"/>
          <w:lang w:val="sr-Cyrl-CS" w:eastAsia="sr-Cyrl-CS" w:bidi="sr-Cyrl-CS"/>
        </w:rPr>
      </w:pPr>
      <w:r w:rsidRPr="00092ED7">
        <w:rPr>
          <w:rFonts w:eastAsia="Calibri" w:cs="Times New Roman"/>
          <w:b/>
          <w:szCs w:val="24"/>
          <w:lang w:val="sr-Cyrl-CS" w:eastAsia="sr-Cyrl-CS" w:bidi="sr-Cyrl-CS"/>
        </w:rPr>
        <w:t>Очекивани утицај на животну средину и климатске промене</w:t>
      </w:r>
    </w:p>
    <w:p w14:paraId="45528A52" w14:textId="77777777" w:rsidR="00D210F0" w:rsidRPr="00092ED7" w:rsidRDefault="00D210F0" w:rsidP="00D210F0">
      <w:pPr>
        <w:widowControl w:val="0"/>
        <w:spacing w:after="60"/>
        <w:rPr>
          <w:rFonts w:eastAsia="Calibri" w:cs="Times New Roman"/>
          <w:b/>
          <w:szCs w:val="24"/>
          <w:lang w:val="sr-Cyrl-CS" w:eastAsia="sr-Cyrl-CS" w:bidi="sr-Cyrl-CS"/>
        </w:rPr>
      </w:pPr>
      <w:r w:rsidRPr="00092ED7">
        <w:rPr>
          <w:rFonts w:cs="Times New Roman"/>
          <w:lang w:val="sr-Cyrl-CS"/>
        </w:rPr>
        <w:t>Структурна реформа је неутрална у смислу утицаја на животну средину</w:t>
      </w:r>
      <w:r w:rsidR="001F62AF" w:rsidRPr="00092ED7">
        <w:rPr>
          <w:rFonts w:cs="Times New Roman"/>
          <w:lang w:val="sr-Cyrl-CS"/>
        </w:rPr>
        <w:t xml:space="preserve"> и климатске промене</w:t>
      </w:r>
      <w:r w:rsidRPr="00092ED7">
        <w:rPr>
          <w:rFonts w:cs="Times New Roman"/>
          <w:lang w:val="sr-Cyrl-CS"/>
        </w:rPr>
        <w:t>.</w:t>
      </w:r>
    </w:p>
    <w:p w14:paraId="0A914901" w14:textId="77777777" w:rsidR="00D210F0" w:rsidRPr="00092ED7" w:rsidRDefault="00D210F0" w:rsidP="00071952">
      <w:pPr>
        <w:widowControl w:val="0"/>
        <w:numPr>
          <w:ilvl w:val="0"/>
          <w:numId w:val="20"/>
        </w:numPr>
        <w:spacing w:before="120"/>
        <w:ind w:left="425" w:hanging="425"/>
        <w:rPr>
          <w:rFonts w:eastAsia="Calibri" w:cs="Times New Roman"/>
          <w:b/>
          <w:szCs w:val="24"/>
          <w:lang w:val="sr-Cyrl-CS" w:eastAsia="sr-Cyrl-CS" w:bidi="sr-Cyrl-CS"/>
        </w:rPr>
      </w:pPr>
      <w:r w:rsidRPr="00092ED7">
        <w:rPr>
          <w:rFonts w:eastAsia="Calibri" w:cs="Times New Roman"/>
          <w:b/>
          <w:szCs w:val="24"/>
          <w:lang w:val="sr-Cyrl-CS" w:eastAsia="sr-Cyrl-CS" w:bidi="sr-Cyrl-CS"/>
        </w:rPr>
        <w:t>Потенцијални ризици</w:t>
      </w:r>
    </w:p>
    <w:tbl>
      <w:tblPr>
        <w:tblStyle w:val="TableGrid"/>
        <w:tblW w:w="9067" w:type="dxa"/>
        <w:jc w:val="center"/>
        <w:tblLayout w:type="fixed"/>
        <w:tblLook w:val="04A0" w:firstRow="1" w:lastRow="0" w:firstColumn="1" w:lastColumn="0" w:noHBand="0" w:noVBand="1"/>
      </w:tblPr>
      <w:tblGrid>
        <w:gridCol w:w="3515"/>
        <w:gridCol w:w="2098"/>
        <w:gridCol w:w="3454"/>
      </w:tblGrid>
      <w:tr w:rsidR="00D210F0" w:rsidRPr="00092ED7" w14:paraId="7AD7E0BE" w14:textId="77777777" w:rsidTr="00C429AB">
        <w:trPr>
          <w:cnfStyle w:val="100000000000" w:firstRow="1" w:lastRow="0" w:firstColumn="0" w:lastColumn="0" w:oddVBand="0" w:evenVBand="0" w:oddHBand="0" w:evenHBand="0" w:firstRowFirstColumn="0" w:firstRowLastColumn="0" w:lastRowFirstColumn="0" w:lastRowLastColumn="0"/>
          <w:jc w:val="center"/>
        </w:trPr>
        <w:tc>
          <w:tcPr>
            <w:tcW w:w="3515" w:type="dxa"/>
          </w:tcPr>
          <w:p w14:paraId="02AA5D58" w14:textId="77777777" w:rsidR="00D210F0" w:rsidRPr="00092ED7" w:rsidRDefault="00D210F0" w:rsidP="005D14E2">
            <w:pPr>
              <w:spacing w:before="0" w:after="0"/>
              <w:ind w:left="113" w:right="113"/>
              <w:jc w:val="center"/>
              <w:rPr>
                <w:rFonts w:cs="Times New Roman"/>
                <w:b w:val="0"/>
                <w:sz w:val="20"/>
                <w:lang w:val="sr-Cyrl-CS"/>
              </w:rPr>
            </w:pPr>
            <w:r w:rsidRPr="00092ED7">
              <w:rPr>
                <w:rFonts w:cs="Times New Roman"/>
                <w:sz w:val="20"/>
                <w:lang w:val="sr-Cyrl-CS"/>
              </w:rPr>
              <w:t>Ризик</w:t>
            </w:r>
          </w:p>
        </w:tc>
        <w:tc>
          <w:tcPr>
            <w:tcW w:w="2098" w:type="dxa"/>
          </w:tcPr>
          <w:p w14:paraId="5CCBB25D" w14:textId="77777777" w:rsidR="00D210F0" w:rsidRPr="00092ED7" w:rsidRDefault="00D210F0" w:rsidP="005D14E2">
            <w:pPr>
              <w:spacing w:before="0" w:after="0"/>
              <w:ind w:left="113" w:right="113"/>
              <w:jc w:val="center"/>
              <w:rPr>
                <w:rFonts w:cs="Times New Roman"/>
                <w:b w:val="0"/>
                <w:sz w:val="20"/>
                <w:lang w:val="sr-Cyrl-CS"/>
              </w:rPr>
            </w:pPr>
            <w:r w:rsidRPr="00092ED7">
              <w:rPr>
                <w:rFonts w:cs="Times New Roman"/>
                <w:sz w:val="20"/>
                <w:lang w:val="sr-Cyrl-CS"/>
              </w:rPr>
              <w:t>Вероватноћа за остваривање ризика</w:t>
            </w:r>
          </w:p>
        </w:tc>
        <w:tc>
          <w:tcPr>
            <w:tcW w:w="3454" w:type="dxa"/>
          </w:tcPr>
          <w:p w14:paraId="0D8678E0" w14:textId="77777777" w:rsidR="00D210F0" w:rsidRPr="00092ED7" w:rsidRDefault="00D210F0" w:rsidP="005D14E2">
            <w:pPr>
              <w:spacing w:before="0" w:after="0"/>
              <w:ind w:left="113" w:right="113"/>
              <w:jc w:val="center"/>
              <w:rPr>
                <w:rFonts w:cs="Times New Roman"/>
                <w:b w:val="0"/>
                <w:sz w:val="20"/>
                <w:lang w:val="sr-Cyrl-CS"/>
              </w:rPr>
            </w:pPr>
            <w:r w:rsidRPr="00092ED7">
              <w:rPr>
                <w:rFonts w:cs="Times New Roman"/>
                <w:sz w:val="20"/>
                <w:lang w:val="sr-Cyrl-CS"/>
              </w:rPr>
              <w:t>Планиране активност за ублажавање негативних ефеката ризика</w:t>
            </w:r>
          </w:p>
        </w:tc>
      </w:tr>
      <w:tr w:rsidR="00D210F0" w:rsidRPr="00092ED7" w14:paraId="71E3E5A4" w14:textId="77777777" w:rsidTr="004130F6">
        <w:trPr>
          <w:jc w:val="center"/>
        </w:trPr>
        <w:tc>
          <w:tcPr>
            <w:tcW w:w="3515" w:type="dxa"/>
            <w:vAlign w:val="top"/>
          </w:tcPr>
          <w:p w14:paraId="46D5E224" w14:textId="24214569" w:rsidR="00D210F0" w:rsidRPr="00092ED7" w:rsidRDefault="00D210F0" w:rsidP="006C154D">
            <w:pPr>
              <w:spacing w:before="0" w:after="0"/>
              <w:ind w:left="113" w:right="113"/>
              <w:rPr>
                <w:rFonts w:cs="Times New Roman"/>
                <w:sz w:val="20"/>
                <w:lang w:val="sr-Cyrl-CS"/>
              </w:rPr>
            </w:pPr>
            <w:r w:rsidRPr="00092ED7">
              <w:rPr>
                <w:rFonts w:cs="Times New Roman"/>
                <w:sz w:val="20"/>
                <w:lang w:val="sr-Cyrl-CS"/>
              </w:rPr>
              <w:t>Отежан</w:t>
            </w:r>
            <w:r w:rsidR="006C154D" w:rsidRPr="00092ED7">
              <w:rPr>
                <w:rFonts w:cs="Times New Roman"/>
                <w:sz w:val="20"/>
                <w:lang w:val="sr-Cyrl-CS"/>
              </w:rPr>
              <w:t>о</w:t>
            </w:r>
            <w:r w:rsidRPr="00092ED7">
              <w:rPr>
                <w:rFonts w:cs="Times New Roman"/>
                <w:sz w:val="20"/>
                <w:lang w:val="sr-Cyrl-CS"/>
              </w:rPr>
              <w:t xml:space="preserve"> </w:t>
            </w:r>
            <w:r w:rsidR="006C154D" w:rsidRPr="00092ED7">
              <w:rPr>
                <w:rFonts w:cs="Times New Roman"/>
                <w:sz w:val="20"/>
                <w:lang w:val="sr-Cyrl-CS"/>
              </w:rPr>
              <w:t xml:space="preserve">спровођење </w:t>
            </w:r>
            <w:r w:rsidRPr="00092ED7">
              <w:rPr>
                <w:rFonts w:cs="Times New Roman"/>
                <w:sz w:val="20"/>
                <w:lang w:val="sr-Cyrl-CS"/>
              </w:rPr>
              <w:t>усвојених измена и допуна Закона о дуалном образовању услед неинформисаности релевантних актера</w:t>
            </w:r>
          </w:p>
        </w:tc>
        <w:tc>
          <w:tcPr>
            <w:tcW w:w="2098" w:type="dxa"/>
            <w:vAlign w:val="top"/>
          </w:tcPr>
          <w:p w14:paraId="16516881" w14:textId="77777777" w:rsidR="00D210F0" w:rsidRPr="00092ED7" w:rsidRDefault="00D210F0" w:rsidP="004130F6">
            <w:pPr>
              <w:spacing w:before="0" w:after="0"/>
              <w:ind w:left="113" w:right="113"/>
              <w:jc w:val="center"/>
              <w:rPr>
                <w:rFonts w:cs="Times New Roman"/>
                <w:sz w:val="20"/>
                <w:lang w:val="sr-Cyrl-CS"/>
              </w:rPr>
            </w:pPr>
            <w:r w:rsidRPr="00092ED7">
              <w:rPr>
                <w:rFonts w:cs="Times New Roman"/>
                <w:sz w:val="20"/>
                <w:lang w:val="sr-Cyrl-CS"/>
              </w:rPr>
              <w:t>Средња</w:t>
            </w:r>
          </w:p>
        </w:tc>
        <w:tc>
          <w:tcPr>
            <w:tcW w:w="3454" w:type="dxa"/>
            <w:vAlign w:val="top"/>
          </w:tcPr>
          <w:p w14:paraId="4C22E625" w14:textId="77777777" w:rsidR="00D210F0" w:rsidRPr="00092ED7" w:rsidRDefault="00D210F0" w:rsidP="004130F6">
            <w:pPr>
              <w:spacing w:before="0" w:after="0"/>
              <w:ind w:left="113" w:right="113"/>
              <w:rPr>
                <w:rFonts w:cs="Times New Roman"/>
                <w:sz w:val="20"/>
                <w:lang w:val="sr-Cyrl-CS"/>
              </w:rPr>
            </w:pPr>
            <w:r w:rsidRPr="00092ED7">
              <w:rPr>
                <w:rFonts w:cs="Times New Roman"/>
                <w:sz w:val="20"/>
                <w:lang w:val="sr-Cyrl-CS"/>
              </w:rPr>
              <w:t>Организовање промотивних активности у виду конференција, радионица и округлих столова ради информисања релевантних актера и потенцијалних учесника у дуалном образовању</w:t>
            </w:r>
            <w:r w:rsidR="00276EBA" w:rsidRPr="00092ED7">
              <w:rPr>
                <w:rFonts w:cs="Times New Roman"/>
                <w:sz w:val="20"/>
                <w:lang w:val="sr-Cyrl-CS"/>
              </w:rPr>
              <w:t>.</w:t>
            </w:r>
          </w:p>
        </w:tc>
      </w:tr>
      <w:tr w:rsidR="00D210F0" w:rsidRPr="00092ED7" w14:paraId="68F6C752" w14:textId="77777777" w:rsidTr="004130F6">
        <w:trPr>
          <w:jc w:val="center"/>
        </w:trPr>
        <w:tc>
          <w:tcPr>
            <w:tcW w:w="3515" w:type="dxa"/>
            <w:vAlign w:val="top"/>
          </w:tcPr>
          <w:p w14:paraId="4EEDBA5D" w14:textId="77777777" w:rsidR="00D210F0" w:rsidRPr="00092ED7" w:rsidRDefault="00D210F0" w:rsidP="004130F6">
            <w:pPr>
              <w:spacing w:before="0" w:after="0"/>
              <w:ind w:left="113" w:right="113"/>
              <w:rPr>
                <w:rFonts w:cs="Times New Roman"/>
                <w:b/>
                <w:sz w:val="20"/>
                <w:lang w:val="sr-Cyrl-CS"/>
              </w:rPr>
            </w:pPr>
            <w:r w:rsidRPr="00092ED7">
              <w:rPr>
                <w:rFonts w:cs="Times New Roman"/>
                <w:sz w:val="20"/>
                <w:lang w:val="sr-Cyrl-CS"/>
              </w:rPr>
              <w:t>Недовољна мотивисаност високошколских установа да развијају стандарде квалификација</w:t>
            </w:r>
          </w:p>
        </w:tc>
        <w:tc>
          <w:tcPr>
            <w:tcW w:w="2098" w:type="dxa"/>
            <w:vAlign w:val="top"/>
          </w:tcPr>
          <w:p w14:paraId="1113704F" w14:textId="77777777" w:rsidR="00D210F0" w:rsidRPr="00092ED7" w:rsidRDefault="00D210F0" w:rsidP="004130F6">
            <w:pPr>
              <w:spacing w:before="0" w:after="0"/>
              <w:ind w:left="113" w:right="113"/>
              <w:jc w:val="center"/>
              <w:rPr>
                <w:rFonts w:cs="Times New Roman"/>
                <w:sz w:val="20"/>
                <w:lang w:val="sr-Cyrl-CS"/>
              </w:rPr>
            </w:pPr>
            <w:r w:rsidRPr="00092ED7">
              <w:rPr>
                <w:rFonts w:cs="Times New Roman"/>
                <w:sz w:val="20"/>
                <w:lang w:val="sr-Cyrl-CS"/>
              </w:rPr>
              <w:t>Средња</w:t>
            </w:r>
          </w:p>
        </w:tc>
        <w:tc>
          <w:tcPr>
            <w:tcW w:w="3454" w:type="dxa"/>
            <w:vAlign w:val="top"/>
          </w:tcPr>
          <w:p w14:paraId="31C8371B" w14:textId="77777777" w:rsidR="00D210F0" w:rsidRPr="00092ED7" w:rsidRDefault="00D210F0" w:rsidP="004130F6">
            <w:pPr>
              <w:spacing w:before="0" w:after="0"/>
              <w:ind w:left="113" w:right="113"/>
              <w:rPr>
                <w:rFonts w:cs="Times New Roman"/>
                <w:b/>
                <w:sz w:val="20"/>
                <w:lang w:val="sr-Cyrl-CS"/>
              </w:rPr>
            </w:pPr>
            <w:r w:rsidRPr="00092ED7">
              <w:rPr>
                <w:rFonts w:cs="Times New Roman"/>
                <w:sz w:val="20"/>
                <w:lang w:val="sr-Cyrl-CS"/>
              </w:rPr>
              <w:t>Организовање скупова и инфо сесија ради информисања и мотивисања високошколских установа</w:t>
            </w:r>
            <w:r w:rsidR="00276EBA" w:rsidRPr="00092ED7">
              <w:rPr>
                <w:rFonts w:cs="Times New Roman"/>
                <w:sz w:val="20"/>
                <w:lang w:val="sr-Cyrl-CS"/>
              </w:rPr>
              <w:t>.</w:t>
            </w:r>
          </w:p>
        </w:tc>
      </w:tr>
    </w:tbl>
    <w:p w14:paraId="5E497DB0" w14:textId="77777777" w:rsidR="00D210F0" w:rsidRPr="00092ED7" w:rsidRDefault="00D210F0" w:rsidP="00D210F0">
      <w:pPr>
        <w:spacing w:before="120"/>
        <w:rPr>
          <w:rFonts w:eastAsia="Calibri" w:cs="Times New Roman"/>
          <w:szCs w:val="24"/>
          <w:lang w:val="sr-Cyrl-CS"/>
        </w:rPr>
      </w:pPr>
      <w:r w:rsidRPr="00092ED7">
        <w:rPr>
          <w:rFonts w:eastAsia="Calibri" w:cs="Times New Roman"/>
          <w:b/>
          <w:szCs w:val="24"/>
          <w:u w:val="single"/>
          <w:lang w:val="sr-Cyrl-CS"/>
        </w:rPr>
        <w:lastRenderedPageBreak/>
        <w:t>СТРУКТУРНА РЕФОРМА 4</w:t>
      </w:r>
      <w:r w:rsidRPr="00092ED7">
        <w:rPr>
          <w:rFonts w:eastAsia="Calibri" w:cs="Times New Roman"/>
          <w:b/>
          <w:szCs w:val="24"/>
          <w:lang w:val="sr-Cyrl-CS"/>
        </w:rPr>
        <w:t xml:space="preserve">: </w:t>
      </w:r>
      <w:r w:rsidRPr="00092ED7">
        <w:rPr>
          <w:rFonts w:eastAsia="Calibri" w:cs="Times New Roman"/>
          <w:szCs w:val="24"/>
          <w:lang w:val="sr-Cyrl-CS"/>
        </w:rPr>
        <w:t>УНАПРЕЂЕЊЕ АМБИЈЕНТА ЗА ПОДСТИЦАЊЕ, ПОДРШКУ И ПРАЋЕЊЕ ЦИРКУЛАРНИХ И ЕКОНОМСКИХ МИГРАЦИЈА</w:t>
      </w:r>
    </w:p>
    <w:p w14:paraId="4467AE2A" w14:textId="77777777" w:rsidR="00D210F0" w:rsidRPr="00092ED7" w:rsidRDefault="00D210F0" w:rsidP="00071952">
      <w:pPr>
        <w:pStyle w:val="ListParagraph"/>
        <w:widowControl w:val="0"/>
        <w:numPr>
          <w:ilvl w:val="0"/>
          <w:numId w:val="21"/>
        </w:numPr>
        <w:spacing w:before="120" w:line="240" w:lineRule="auto"/>
        <w:ind w:left="425" w:hanging="425"/>
        <w:contextualSpacing w:val="0"/>
        <w:rPr>
          <w:rFonts w:cs="Times New Roman"/>
          <w:b/>
          <w:sz w:val="24"/>
          <w:szCs w:val="24"/>
          <w:lang w:val="sr-Cyrl-CS" w:eastAsia="sr-Cyrl-CS" w:bidi="sr-Cyrl-CS"/>
        </w:rPr>
      </w:pPr>
      <w:r w:rsidRPr="00092ED7">
        <w:rPr>
          <w:rFonts w:cs="Times New Roman"/>
          <w:b/>
          <w:sz w:val="24"/>
          <w:szCs w:val="24"/>
          <w:lang w:val="sr-Cyrl-CS" w:eastAsia="sr-Cyrl-CS" w:bidi="sr-Cyrl-CS"/>
        </w:rPr>
        <w:t>Опис структурне реформе</w:t>
      </w:r>
    </w:p>
    <w:p w14:paraId="58916A4E" w14:textId="2B7088F0" w:rsidR="00D210F0" w:rsidRPr="00092ED7" w:rsidRDefault="00D210F0" w:rsidP="00D210F0">
      <w:pPr>
        <w:widowControl w:val="0"/>
        <w:spacing w:after="60"/>
        <w:rPr>
          <w:rFonts w:eastAsia="Calibri" w:cs="Times New Roman"/>
          <w:szCs w:val="24"/>
          <w:lang w:val="sr-Cyrl-CS" w:eastAsia="sr-Cyrl-CS" w:bidi="sr-Cyrl-CS"/>
        </w:rPr>
      </w:pPr>
      <w:r w:rsidRPr="00092ED7">
        <w:rPr>
          <w:rFonts w:eastAsia="Calibri" w:cs="Times New Roman"/>
          <w:szCs w:val="24"/>
          <w:lang w:val="sr-Cyrl-CS" w:eastAsia="sr-Cyrl-CS" w:bidi="sr-Cyrl-CS"/>
        </w:rPr>
        <w:t xml:space="preserve">Циљ структурне реформе је </w:t>
      </w:r>
      <w:r w:rsidR="00A073B0" w:rsidRPr="00092ED7">
        <w:rPr>
          <w:rFonts w:eastAsia="Calibri" w:cs="Times New Roman"/>
          <w:szCs w:val="24"/>
          <w:lang w:val="sr-Cyrl-CS" w:eastAsia="sr-Cyrl-CS" w:bidi="sr-Cyrl-CS"/>
        </w:rPr>
        <w:t xml:space="preserve">унапређење </w:t>
      </w:r>
      <w:r w:rsidRPr="00092ED7">
        <w:rPr>
          <w:rFonts w:eastAsia="Calibri" w:cs="Times New Roman"/>
          <w:szCs w:val="24"/>
          <w:lang w:val="sr-Cyrl-CS" w:eastAsia="sr-Cyrl-CS" w:bidi="sr-Cyrl-CS"/>
        </w:rPr>
        <w:t xml:space="preserve">амбијента за привлачење радно способног становништва, подстицање циркуларних миграција и односа са дијаспором, јачање механизама за праћење миграторних токова и привлачење странаца у складу са Стратегијом о економским миграцијама Републике Србије 2021-2027 и пратећим </w:t>
      </w:r>
      <w:r w:rsidR="00B649E2" w:rsidRPr="00092ED7">
        <w:rPr>
          <w:rFonts w:eastAsia="Calibri" w:cs="Times New Roman"/>
          <w:szCs w:val="24"/>
          <w:lang w:val="sr-Cyrl-CS" w:eastAsia="sr-Cyrl-CS" w:bidi="sr-Cyrl-CS"/>
        </w:rPr>
        <w:t>а</w:t>
      </w:r>
      <w:r w:rsidRPr="00092ED7">
        <w:rPr>
          <w:rFonts w:eastAsia="Calibri" w:cs="Times New Roman"/>
          <w:szCs w:val="24"/>
          <w:lang w:val="sr-Cyrl-CS" w:eastAsia="sr-Cyrl-CS" w:bidi="sr-Cyrl-CS"/>
        </w:rPr>
        <w:t>кционим планом за период 2021–2023. године. Током 2021. године реализоване су све активности предвиђене Акционим планом, формиране су међусекторске радне групе за праћење и спровођење Акционог плана, организован је велики број обука, настављено је са едукативно промотивним активностима, организовани су друштвени дијалози и  сусрети дијаспоре.</w:t>
      </w:r>
    </w:p>
    <w:p w14:paraId="5DA82580" w14:textId="77777777" w:rsidR="00D210F0" w:rsidRPr="00092ED7" w:rsidRDefault="00D210F0" w:rsidP="00071952">
      <w:pPr>
        <w:widowControl w:val="0"/>
        <w:numPr>
          <w:ilvl w:val="0"/>
          <w:numId w:val="21"/>
        </w:numPr>
        <w:spacing w:before="120"/>
        <w:ind w:left="425" w:hanging="425"/>
        <w:rPr>
          <w:rFonts w:eastAsia="Calibri" w:cs="Times New Roman"/>
          <w:b/>
          <w:szCs w:val="24"/>
          <w:lang w:val="sr-Cyrl-CS" w:eastAsia="sr-Cyrl-CS" w:bidi="sr-Cyrl-CS"/>
        </w:rPr>
      </w:pPr>
      <w:r w:rsidRPr="00092ED7">
        <w:rPr>
          <w:rFonts w:eastAsia="Calibri" w:cs="Times New Roman"/>
          <w:b/>
          <w:szCs w:val="24"/>
          <w:lang w:val="sr-Cyrl-CS" w:eastAsia="sr-Cyrl-CS" w:bidi="sr-Cyrl-CS"/>
        </w:rPr>
        <w:t>Планиране активности по годинама</w:t>
      </w:r>
    </w:p>
    <w:tbl>
      <w:tblPr>
        <w:tblW w:w="8997" w:type="dxa"/>
        <w:tblLayout w:type="fixed"/>
        <w:tblCellMar>
          <w:left w:w="0" w:type="dxa"/>
          <w:right w:w="0" w:type="dxa"/>
        </w:tblCellMar>
        <w:tblLook w:val="04A0" w:firstRow="1" w:lastRow="0" w:firstColumn="1" w:lastColumn="0" w:noHBand="0" w:noVBand="1"/>
      </w:tblPr>
      <w:tblGrid>
        <w:gridCol w:w="425"/>
        <w:gridCol w:w="4101"/>
        <w:gridCol w:w="372"/>
        <w:gridCol w:w="373"/>
        <w:gridCol w:w="372"/>
        <w:gridCol w:w="276"/>
        <w:gridCol w:w="469"/>
        <w:gridCol w:w="373"/>
        <w:gridCol w:w="373"/>
        <w:gridCol w:w="372"/>
        <w:gridCol w:w="373"/>
        <w:gridCol w:w="372"/>
        <w:gridCol w:w="373"/>
        <w:gridCol w:w="373"/>
      </w:tblGrid>
      <w:tr w:rsidR="00D210F0" w:rsidRPr="00092ED7" w14:paraId="6877307F" w14:textId="77777777" w:rsidTr="00AE4362">
        <w:trPr>
          <w:trHeight w:val="315"/>
        </w:trPr>
        <w:tc>
          <w:tcPr>
            <w:tcW w:w="425" w:type="dxa"/>
            <w:vMerge w:val="restart"/>
            <w:tcBorders>
              <w:top w:val="single" w:sz="8" w:space="0" w:color="auto"/>
              <w:left w:val="single" w:sz="8" w:space="0" w:color="auto"/>
              <w:right w:val="nil"/>
            </w:tcBorders>
            <w:shd w:val="clear" w:color="000000" w:fill="BDD6EE"/>
            <w:tcMar>
              <w:top w:w="15" w:type="dxa"/>
              <w:left w:w="15" w:type="dxa"/>
              <w:bottom w:w="0" w:type="dxa"/>
              <w:right w:w="15" w:type="dxa"/>
            </w:tcMar>
            <w:vAlign w:val="center"/>
            <w:hideMark/>
          </w:tcPr>
          <w:p w14:paraId="16B3804F" w14:textId="77777777" w:rsidR="00D210F0" w:rsidRPr="00092ED7" w:rsidRDefault="00D210F0" w:rsidP="005D14E2">
            <w:pPr>
              <w:spacing w:after="0"/>
              <w:jc w:val="center"/>
              <w:rPr>
                <w:rFonts w:cs="Times New Roman"/>
                <w:sz w:val="20"/>
                <w:szCs w:val="20"/>
                <w:lang w:val="sr-Cyrl-CS"/>
              </w:rPr>
            </w:pPr>
            <w:r w:rsidRPr="00092ED7">
              <w:rPr>
                <w:rFonts w:cs="Times New Roman"/>
                <w:b/>
                <w:bCs/>
                <w:color w:val="000000"/>
                <w:sz w:val="20"/>
                <w:szCs w:val="20"/>
                <w:lang w:val="sr-Cyrl-CS"/>
              </w:rPr>
              <w:t>РБ</w:t>
            </w:r>
          </w:p>
        </w:tc>
        <w:tc>
          <w:tcPr>
            <w:tcW w:w="4101" w:type="dxa"/>
            <w:vMerge w:val="restart"/>
            <w:tcBorders>
              <w:top w:val="single" w:sz="8" w:space="0" w:color="auto"/>
              <w:left w:val="single" w:sz="8" w:space="0" w:color="auto"/>
              <w:bottom w:val="single" w:sz="8" w:space="0" w:color="000000"/>
              <w:right w:val="nil"/>
            </w:tcBorders>
            <w:shd w:val="clear" w:color="auto" w:fill="BDD6EE" w:themeFill="accent1" w:themeFillTint="66"/>
            <w:tcMar>
              <w:top w:w="15" w:type="dxa"/>
              <w:left w:w="15" w:type="dxa"/>
              <w:bottom w:w="0" w:type="dxa"/>
              <w:right w:w="15" w:type="dxa"/>
            </w:tcMar>
            <w:vAlign w:val="center"/>
            <w:hideMark/>
          </w:tcPr>
          <w:p w14:paraId="7F4E243F" w14:textId="77777777" w:rsidR="00D210F0" w:rsidRPr="00092ED7" w:rsidRDefault="00D210F0" w:rsidP="005D14E2">
            <w:pPr>
              <w:spacing w:after="0"/>
              <w:rPr>
                <w:rFonts w:cs="Times New Roman"/>
                <w:b/>
                <w:bCs/>
                <w:color w:val="000000"/>
                <w:sz w:val="20"/>
                <w:szCs w:val="20"/>
                <w:lang w:val="sr-Cyrl-CS"/>
              </w:rPr>
            </w:pPr>
            <w:r w:rsidRPr="00092ED7">
              <w:rPr>
                <w:rFonts w:cs="Times New Roman"/>
                <w:b/>
                <w:bCs/>
                <w:color w:val="000000"/>
                <w:sz w:val="20"/>
                <w:szCs w:val="20"/>
                <w:lang w:val="sr-Cyrl-CS"/>
              </w:rPr>
              <w:t xml:space="preserve">Планиране активности </w:t>
            </w:r>
          </w:p>
        </w:tc>
        <w:tc>
          <w:tcPr>
            <w:tcW w:w="1393" w:type="dxa"/>
            <w:gridSpan w:val="4"/>
            <w:tcBorders>
              <w:top w:val="single" w:sz="8" w:space="0" w:color="auto"/>
              <w:left w:val="single" w:sz="8" w:space="0" w:color="auto"/>
              <w:bottom w:val="single" w:sz="4" w:space="0" w:color="auto"/>
              <w:right w:val="single" w:sz="8" w:space="0" w:color="000000"/>
            </w:tcBorders>
            <w:shd w:val="clear" w:color="auto" w:fill="BDD6EE" w:themeFill="accent1" w:themeFillTint="66"/>
            <w:tcMar>
              <w:top w:w="15" w:type="dxa"/>
              <w:left w:w="15" w:type="dxa"/>
              <w:bottom w:w="0" w:type="dxa"/>
              <w:right w:w="15" w:type="dxa"/>
            </w:tcMar>
            <w:vAlign w:val="center"/>
            <w:hideMark/>
          </w:tcPr>
          <w:p w14:paraId="73D18503" w14:textId="77777777" w:rsidR="00D210F0" w:rsidRPr="00092ED7" w:rsidRDefault="00D210F0" w:rsidP="005D14E2">
            <w:pPr>
              <w:spacing w:after="0"/>
              <w:jc w:val="center"/>
              <w:rPr>
                <w:rFonts w:cs="Times New Roman"/>
                <w:b/>
                <w:bCs/>
                <w:color w:val="000000"/>
                <w:sz w:val="20"/>
                <w:szCs w:val="20"/>
                <w:lang w:val="sr-Cyrl-CS"/>
              </w:rPr>
            </w:pPr>
            <w:r w:rsidRPr="00092ED7">
              <w:rPr>
                <w:rFonts w:cs="Times New Roman"/>
                <w:b/>
                <w:bCs/>
                <w:color w:val="000000"/>
                <w:sz w:val="20"/>
                <w:szCs w:val="20"/>
                <w:lang w:val="sr-Cyrl-CS"/>
              </w:rPr>
              <w:t>2023</w:t>
            </w:r>
          </w:p>
        </w:tc>
        <w:tc>
          <w:tcPr>
            <w:tcW w:w="1587" w:type="dxa"/>
            <w:gridSpan w:val="4"/>
            <w:tcBorders>
              <w:top w:val="single" w:sz="8" w:space="0" w:color="auto"/>
              <w:left w:val="single" w:sz="8" w:space="0" w:color="auto"/>
              <w:bottom w:val="single" w:sz="4" w:space="0" w:color="auto"/>
              <w:right w:val="single" w:sz="8" w:space="0" w:color="000000"/>
            </w:tcBorders>
            <w:shd w:val="clear" w:color="auto" w:fill="BDD6EE" w:themeFill="accent1" w:themeFillTint="66"/>
            <w:tcMar>
              <w:top w:w="15" w:type="dxa"/>
              <w:left w:w="15" w:type="dxa"/>
              <w:bottom w:w="0" w:type="dxa"/>
              <w:right w:w="15" w:type="dxa"/>
            </w:tcMar>
            <w:vAlign w:val="center"/>
            <w:hideMark/>
          </w:tcPr>
          <w:p w14:paraId="47E8B54E" w14:textId="77777777" w:rsidR="00D210F0" w:rsidRPr="00092ED7" w:rsidRDefault="00D210F0" w:rsidP="005D14E2">
            <w:pPr>
              <w:spacing w:after="0"/>
              <w:jc w:val="center"/>
              <w:rPr>
                <w:rFonts w:cs="Times New Roman"/>
                <w:b/>
                <w:bCs/>
                <w:color w:val="000000"/>
                <w:sz w:val="20"/>
                <w:szCs w:val="20"/>
                <w:lang w:val="sr-Cyrl-CS"/>
              </w:rPr>
            </w:pPr>
            <w:r w:rsidRPr="00092ED7">
              <w:rPr>
                <w:rFonts w:cs="Times New Roman"/>
                <w:b/>
                <w:bCs/>
                <w:color w:val="000000"/>
                <w:sz w:val="20"/>
                <w:szCs w:val="20"/>
                <w:lang w:val="sr-Cyrl-CS"/>
              </w:rPr>
              <w:t>2024</w:t>
            </w:r>
          </w:p>
        </w:tc>
        <w:tc>
          <w:tcPr>
            <w:tcW w:w="1491" w:type="dxa"/>
            <w:gridSpan w:val="4"/>
            <w:tcBorders>
              <w:top w:val="single" w:sz="8" w:space="0" w:color="auto"/>
              <w:left w:val="nil"/>
              <w:bottom w:val="single" w:sz="4" w:space="0" w:color="auto"/>
              <w:right w:val="single" w:sz="8" w:space="0" w:color="000000"/>
            </w:tcBorders>
            <w:shd w:val="clear" w:color="auto" w:fill="BDD6EE" w:themeFill="accent1" w:themeFillTint="66"/>
            <w:tcMar>
              <w:top w:w="15" w:type="dxa"/>
              <w:left w:w="15" w:type="dxa"/>
              <w:bottom w:w="0" w:type="dxa"/>
              <w:right w:w="15" w:type="dxa"/>
            </w:tcMar>
            <w:vAlign w:val="center"/>
            <w:hideMark/>
          </w:tcPr>
          <w:p w14:paraId="45805CDC" w14:textId="77777777" w:rsidR="00D210F0" w:rsidRPr="00092ED7" w:rsidRDefault="00D210F0" w:rsidP="005D14E2">
            <w:pPr>
              <w:spacing w:after="0"/>
              <w:jc w:val="center"/>
              <w:rPr>
                <w:rFonts w:cs="Times New Roman"/>
                <w:b/>
                <w:bCs/>
                <w:color w:val="000000"/>
                <w:sz w:val="20"/>
                <w:szCs w:val="20"/>
                <w:lang w:val="sr-Cyrl-CS"/>
              </w:rPr>
            </w:pPr>
            <w:r w:rsidRPr="00092ED7">
              <w:rPr>
                <w:rFonts w:cs="Times New Roman"/>
                <w:b/>
                <w:bCs/>
                <w:color w:val="000000"/>
                <w:sz w:val="20"/>
                <w:szCs w:val="20"/>
                <w:lang w:val="sr-Cyrl-CS"/>
              </w:rPr>
              <w:t>2025</w:t>
            </w:r>
          </w:p>
        </w:tc>
      </w:tr>
      <w:tr w:rsidR="00D210F0" w:rsidRPr="00092ED7" w14:paraId="0F386FFF" w14:textId="77777777" w:rsidTr="00AE4362">
        <w:trPr>
          <w:trHeight w:val="315"/>
        </w:trPr>
        <w:tc>
          <w:tcPr>
            <w:tcW w:w="425" w:type="dxa"/>
            <w:vMerge/>
            <w:tcBorders>
              <w:left w:val="single" w:sz="8" w:space="0" w:color="auto"/>
              <w:bottom w:val="single" w:sz="8" w:space="0" w:color="000000"/>
              <w:right w:val="nil"/>
            </w:tcBorders>
            <w:shd w:val="clear" w:color="000000" w:fill="BDD6EE"/>
            <w:vAlign w:val="center"/>
            <w:hideMark/>
          </w:tcPr>
          <w:p w14:paraId="3F8C6A67" w14:textId="77777777" w:rsidR="00D210F0" w:rsidRPr="00092ED7" w:rsidRDefault="00D210F0" w:rsidP="005D14E2">
            <w:pPr>
              <w:spacing w:after="0"/>
              <w:jc w:val="center"/>
              <w:rPr>
                <w:rFonts w:cs="Times New Roman"/>
                <w:b/>
                <w:bCs/>
                <w:color w:val="000000"/>
                <w:sz w:val="20"/>
                <w:szCs w:val="20"/>
                <w:lang w:val="sr-Cyrl-CS"/>
              </w:rPr>
            </w:pPr>
          </w:p>
        </w:tc>
        <w:tc>
          <w:tcPr>
            <w:tcW w:w="4101" w:type="dxa"/>
            <w:vMerge/>
            <w:tcBorders>
              <w:top w:val="single" w:sz="8" w:space="0" w:color="auto"/>
              <w:left w:val="single" w:sz="8" w:space="0" w:color="auto"/>
              <w:bottom w:val="single" w:sz="8" w:space="0" w:color="000000"/>
              <w:right w:val="nil"/>
            </w:tcBorders>
            <w:shd w:val="clear" w:color="auto" w:fill="BDD6EE" w:themeFill="accent1" w:themeFillTint="66"/>
            <w:vAlign w:val="center"/>
            <w:hideMark/>
          </w:tcPr>
          <w:p w14:paraId="08DACB56" w14:textId="77777777" w:rsidR="00D210F0" w:rsidRPr="00092ED7" w:rsidRDefault="00D210F0" w:rsidP="005D14E2">
            <w:pPr>
              <w:spacing w:after="0"/>
              <w:rPr>
                <w:rFonts w:cs="Times New Roman"/>
                <w:b/>
                <w:bCs/>
                <w:color w:val="000000"/>
                <w:sz w:val="20"/>
                <w:szCs w:val="20"/>
                <w:lang w:val="sr-Cyrl-CS"/>
              </w:rPr>
            </w:pPr>
          </w:p>
        </w:tc>
        <w:tc>
          <w:tcPr>
            <w:tcW w:w="372" w:type="dxa"/>
            <w:tcBorders>
              <w:top w:val="nil"/>
              <w:left w:val="single" w:sz="8" w:space="0" w:color="auto"/>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4CB75485" w14:textId="77777777" w:rsidR="00D210F0" w:rsidRPr="00092ED7" w:rsidRDefault="00D210F0" w:rsidP="005D14E2">
            <w:pPr>
              <w:spacing w:after="0"/>
              <w:jc w:val="center"/>
              <w:rPr>
                <w:rFonts w:cs="Times New Roman"/>
                <w:i/>
                <w:iCs/>
                <w:color w:val="000000"/>
                <w:sz w:val="20"/>
                <w:szCs w:val="20"/>
                <w:lang w:val="sr-Cyrl-CS"/>
              </w:rPr>
            </w:pPr>
            <w:r w:rsidRPr="00092ED7">
              <w:rPr>
                <w:rFonts w:cs="Times New Roman"/>
                <w:i/>
                <w:iCs/>
                <w:color w:val="000000"/>
                <w:sz w:val="20"/>
                <w:szCs w:val="20"/>
                <w:lang w:val="sr-Cyrl-CS"/>
              </w:rPr>
              <w:t>Q1</w:t>
            </w:r>
          </w:p>
        </w:tc>
        <w:tc>
          <w:tcPr>
            <w:tcW w:w="373"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30324796" w14:textId="77777777" w:rsidR="00D210F0" w:rsidRPr="00092ED7" w:rsidRDefault="00D210F0" w:rsidP="005D14E2">
            <w:pPr>
              <w:spacing w:after="0"/>
              <w:jc w:val="center"/>
              <w:rPr>
                <w:rFonts w:cs="Times New Roman"/>
                <w:i/>
                <w:iCs/>
                <w:color w:val="000000"/>
                <w:sz w:val="20"/>
                <w:szCs w:val="20"/>
                <w:lang w:val="sr-Cyrl-CS"/>
              </w:rPr>
            </w:pPr>
            <w:r w:rsidRPr="00092ED7">
              <w:rPr>
                <w:rFonts w:cs="Times New Roman"/>
                <w:i/>
                <w:iCs/>
                <w:color w:val="000000"/>
                <w:sz w:val="20"/>
                <w:szCs w:val="20"/>
                <w:lang w:val="sr-Cyrl-CS"/>
              </w:rPr>
              <w:t>Q2</w:t>
            </w:r>
          </w:p>
        </w:tc>
        <w:tc>
          <w:tcPr>
            <w:tcW w:w="372"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13F11418" w14:textId="77777777" w:rsidR="00D210F0" w:rsidRPr="00092ED7" w:rsidRDefault="00D210F0" w:rsidP="005D14E2">
            <w:pPr>
              <w:spacing w:after="0"/>
              <w:jc w:val="center"/>
              <w:rPr>
                <w:rFonts w:cs="Times New Roman"/>
                <w:i/>
                <w:iCs/>
                <w:color w:val="000000"/>
                <w:sz w:val="20"/>
                <w:szCs w:val="20"/>
                <w:lang w:val="sr-Cyrl-CS"/>
              </w:rPr>
            </w:pPr>
            <w:r w:rsidRPr="00092ED7">
              <w:rPr>
                <w:rFonts w:cs="Times New Roman"/>
                <w:i/>
                <w:iCs/>
                <w:color w:val="000000"/>
                <w:sz w:val="20"/>
                <w:szCs w:val="20"/>
                <w:lang w:val="sr-Cyrl-CS"/>
              </w:rPr>
              <w:t>Q3</w:t>
            </w:r>
          </w:p>
        </w:tc>
        <w:tc>
          <w:tcPr>
            <w:tcW w:w="276" w:type="dxa"/>
            <w:tcBorders>
              <w:top w:val="nil"/>
              <w:left w:val="nil"/>
              <w:bottom w:val="single" w:sz="8" w:space="0" w:color="auto"/>
              <w:right w:val="single" w:sz="8" w:space="0" w:color="auto"/>
            </w:tcBorders>
            <w:shd w:val="clear" w:color="auto" w:fill="BDD6EE" w:themeFill="accent1" w:themeFillTint="66"/>
            <w:tcMar>
              <w:top w:w="15" w:type="dxa"/>
              <w:left w:w="15" w:type="dxa"/>
              <w:bottom w:w="0" w:type="dxa"/>
              <w:right w:w="15" w:type="dxa"/>
            </w:tcMar>
            <w:vAlign w:val="center"/>
            <w:hideMark/>
          </w:tcPr>
          <w:p w14:paraId="229CA4F4" w14:textId="77777777" w:rsidR="00D210F0" w:rsidRPr="00092ED7" w:rsidRDefault="00D210F0" w:rsidP="005D14E2">
            <w:pPr>
              <w:spacing w:after="0"/>
              <w:jc w:val="center"/>
              <w:rPr>
                <w:rFonts w:cs="Times New Roman"/>
                <w:i/>
                <w:iCs/>
                <w:color w:val="000000"/>
                <w:sz w:val="20"/>
                <w:szCs w:val="20"/>
                <w:lang w:val="sr-Cyrl-CS"/>
              </w:rPr>
            </w:pPr>
            <w:r w:rsidRPr="00092ED7">
              <w:rPr>
                <w:rFonts w:cs="Times New Roman"/>
                <w:i/>
                <w:iCs/>
                <w:color w:val="000000"/>
                <w:sz w:val="20"/>
                <w:szCs w:val="20"/>
                <w:lang w:val="sr-Cyrl-CS"/>
              </w:rPr>
              <w:t>Q4</w:t>
            </w:r>
          </w:p>
        </w:tc>
        <w:tc>
          <w:tcPr>
            <w:tcW w:w="469"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6E70DC03" w14:textId="77777777" w:rsidR="00D210F0" w:rsidRPr="00092ED7" w:rsidRDefault="00D210F0" w:rsidP="005D14E2">
            <w:pPr>
              <w:spacing w:after="0"/>
              <w:jc w:val="center"/>
              <w:rPr>
                <w:rFonts w:cs="Times New Roman"/>
                <w:i/>
                <w:iCs/>
                <w:color w:val="000000"/>
                <w:sz w:val="20"/>
                <w:szCs w:val="20"/>
                <w:lang w:val="sr-Cyrl-CS"/>
              </w:rPr>
            </w:pPr>
            <w:r w:rsidRPr="00092ED7">
              <w:rPr>
                <w:rFonts w:cs="Times New Roman"/>
                <w:i/>
                <w:iCs/>
                <w:color w:val="000000"/>
                <w:sz w:val="20"/>
                <w:szCs w:val="20"/>
                <w:lang w:val="sr-Cyrl-CS"/>
              </w:rPr>
              <w:t>Q1</w:t>
            </w:r>
          </w:p>
        </w:tc>
        <w:tc>
          <w:tcPr>
            <w:tcW w:w="373"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7AB541D8" w14:textId="77777777" w:rsidR="00D210F0" w:rsidRPr="00092ED7" w:rsidRDefault="00D210F0" w:rsidP="005D14E2">
            <w:pPr>
              <w:spacing w:after="0"/>
              <w:jc w:val="center"/>
              <w:rPr>
                <w:rFonts w:cs="Times New Roman"/>
                <w:i/>
                <w:iCs/>
                <w:color w:val="000000"/>
                <w:sz w:val="20"/>
                <w:szCs w:val="20"/>
                <w:lang w:val="sr-Cyrl-CS"/>
              </w:rPr>
            </w:pPr>
            <w:r w:rsidRPr="00092ED7">
              <w:rPr>
                <w:rFonts w:cs="Times New Roman"/>
                <w:i/>
                <w:iCs/>
                <w:color w:val="000000"/>
                <w:sz w:val="20"/>
                <w:szCs w:val="20"/>
                <w:lang w:val="sr-Cyrl-CS"/>
              </w:rPr>
              <w:t>Q2</w:t>
            </w:r>
          </w:p>
        </w:tc>
        <w:tc>
          <w:tcPr>
            <w:tcW w:w="373"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16ABE4E5" w14:textId="77777777" w:rsidR="00D210F0" w:rsidRPr="00092ED7" w:rsidRDefault="00D210F0" w:rsidP="005D14E2">
            <w:pPr>
              <w:spacing w:after="0"/>
              <w:jc w:val="center"/>
              <w:rPr>
                <w:rFonts w:cs="Times New Roman"/>
                <w:i/>
                <w:iCs/>
                <w:color w:val="000000"/>
                <w:sz w:val="20"/>
                <w:szCs w:val="20"/>
                <w:lang w:val="sr-Cyrl-CS"/>
              </w:rPr>
            </w:pPr>
            <w:r w:rsidRPr="00092ED7">
              <w:rPr>
                <w:rFonts w:cs="Times New Roman"/>
                <w:i/>
                <w:iCs/>
                <w:color w:val="000000"/>
                <w:sz w:val="20"/>
                <w:szCs w:val="20"/>
                <w:lang w:val="sr-Cyrl-CS"/>
              </w:rPr>
              <w:t>Q3</w:t>
            </w:r>
          </w:p>
        </w:tc>
        <w:tc>
          <w:tcPr>
            <w:tcW w:w="372" w:type="dxa"/>
            <w:tcBorders>
              <w:top w:val="nil"/>
              <w:left w:val="nil"/>
              <w:bottom w:val="single" w:sz="8" w:space="0" w:color="auto"/>
              <w:right w:val="single" w:sz="8" w:space="0" w:color="auto"/>
            </w:tcBorders>
            <w:shd w:val="clear" w:color="auto" w:fill="BDD6EE" w:themeFill="accent1" w:themeFillTint="66"/>
            <w:tcMar>
              <w:top w:w="15" w:type="dxa"/>
              <w:left w:w="15" w:type="dxa"/>
              <w:bottom w:w="0" w:type="dxa"/>
              <w:right w:w="15" w:type="dxa"/>
            </w:tcMar>
            <w:vAlign w:val="center"/>
            <w:hideMark/>
          </w:tcPr>
          <w:p w14:paraId="5B78EE8B" w14:textId="77777777" w:rsidR="00D210F0" w:rsidRPr="00092ED7" w:rsidRDefault="00D210F0" w:rsidP="005D14E2">
            <w:pPr>
              <w:spacing w:after="0"/>
              <w:jc w:val="center"/>
              <w:rPr>
                <w:rFonts w:cs="Times New Roman"/>
                <w:i/>
                <w:iCs/>
                <w:color w:val="000000"/>
                <w:sz w:val="20"/>
                <w:szCs w:val="20"/>
                <w:lang w:val="sr-Cyrl-CS"/>
              </w:rPr>
            </w:pPr>
            <w:r w:rsidRPr="00092ED7">
              <w:rPr>
                <w:rFonts w:cs="Times New Roman"/>
                <w:i/>
                <w:iCs/>
                <w:color w:val="000000"/>
                <w:sz w:val="20"/>
                <w:szCs w:val="20"/>
                <w:lang w:val="sr-Cyrl-CS"/>
              </w:rPr>
              <w:t>Q4</w:t>
            </w:r>
          </w:p>
        </w:tc>
        <w:tc>
          <w:tcPr>
            <w:tcW w:w="373"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49644408" w14:textId="77777777" w:rsidR="00D210F0" w:rsidRPr="00092ED7" w:rsidRDefault="00D210F0" w:rsidP="005D14E2">
            <w:pPr>
              <w:spacing w:after="0"/>
              <w:jc w:val="center"/>
              <w:rPr>
                <w:rFonts w:cs="Times New Roman"/>
                <w:i/>
                <w:iCs/>
                <w:color w:val="000000"/>
                <w:sz w:val="20"/>
                <w:szCs w:val="20"/>
                <w:lang w:val="sr-Cyrl-CS"/>
              </w:rPr>
            </w:pPr>
            <w:r w:rsidRPr="00092ED7">
              <w:rPr>
                <w:rFonts w:cs="Times New Roman"/>
                <w:i/>
                <w:iCs/>
                <w:color w:val="000000"/>
                <w:sz w:val="20"/>
                <w:szCs w:val="20"/>
                <w:lang w:val="sr-Cyrl-CS"/>
              </w:rPr>
              <w:t>Q1</w:t>
            </w:r>
          </w:p>
        </w:tc>
        <w:tc>
          <w:tcPr>
            <w:tcW w:w="372"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2692B236" w14:textId="77777777" w:rsidR="00D210F0" w:rsidRPr="00092ED7" w:rsidRDefault="00D210F0" w:rsidP="005D14E2">
            <w:pPr>
              <w:spacing w:after="0"/>
              <w:jc w:val="center"/>
              <w:rPr>
                <w:rFonts w:cs="Times New Roman"/>
                <w:i/>
                <w:iCs/>
                <w:color w:val="000000"/>
                <w:sz w:val="20"/>
                <w:szCs w:val="20"/>
                <w:lang w:val="sr-Cyrl-CS"/>
              </w:rPr>
            </w:pPr>
            <w:r w:rsidRPr="00092ED7">
              <w:rPr>
                <w:rFonts w:cs="Times New Roman"/>
                <w:i/>
                <w:iCs/>
                <w:color w:val="000000"/>
                <w:sz w:val="20"/>
                <w:szCs w:val="20"/>
                <w:lang w:val="sr-Cyrl-CS"/>
              </w:rPr>
              <w:t>Q2</w:t>
            </w:r>
          </w:p>
        </w:tc>
        <w:tc>
          <w:tcPr>
            <w:tcW w:w="373"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64CB8A25" w14:textId="77777777" w:rsidR="00D210F0" w:rsidRPr="00092ED7" w:rsidRDefault="00D210F0" w:rsidP="005D14E2">
            <w:pPr>
              <w:spacing w:after="0"/>
              <w:jc w:val="center"/>
              <w:rPr>
                <w:rFonts w:cs="Times New Roman"/>
                <w:i/>
                <w:iCs/>
                <w:color w:val="000000"/>
                <w:sz w:val="20"/>
                <w:szCs w:val="20"/>
                <w:lang w:val="sr-Cyrl-CS"/>
              </w:rPr>
            </w:pPr>
            <w:r w:rsidRPr="00092ED7">
              <w:rPr>
                <w:rFonts w:cs="Times New Roman"/>
                <w:i/>
                <w:iCs/>
                <w:color w:val="000000"/>
                <w:sz w:val="20"/>
                <w:szCs w:val="20"/>
                <w:lang w:val="sr-Cyrl-CS"/>
              </w:rPr>
              <w:t>Q3</w:t>
            </w:r>
          </w:p>
        </w:tc>
        <w:tc>
          <w:tcPr>
            <w:tcW w:w="373" w:type="dxa"/>
            <w:tcBorders>
              <w:top w:val="nil"/>
              <w:left w:val="nil"/>
              <w:bottom w:val="single" w:sz="8" w:space="0" w:color="auto"/>
              <w:right w:val="single" w:sz="8" w:space="0" w:color="auto"/>
            </w:tcBorders>
            <w:shd w:val="clear" w:color="auto" w:fill="BDD6EE" w:themeFill="accent1" w:themeFillTint="66"/>
            <w:tcMar>
              <w:top w:w="15" w:type="dxa"/>
              <w:left w:w="15" w:type="dxa"/>
              <w:bottom w:w="0" w:type="dxa"/>
              <w:right w:w="15" w:type="dxa"/>
            </w:tcMar>
            <w:vAlign w:val="center"/>
            <w:hideMark/>
          </w:tcPr>
          <w:p w14:paraId="6F7FA70C" w14:textId="77777777" w:rsidR="00D210F0" w:rsidRPr="00092ED7" w:rsidRDefault="00D210F0" w:rsidP="005D14E2">
            <w:pPr>
              <w:spacing w:after="0"/>
              <w:jc w:val="center"/>
              <w:rPr>
                <w:rFonts w:cs="Times New Roman"/>
                <w:i/>
                <w:iCs/>
                <w:color w:val="000000"/>
                <w:sz w:val="20"/>
                <w:szCs w:val="20"/>
                <w:lang w:val="sr-Cyrl-CS"/>
              </w:rPr>
            </w:pPr>
            <w:r w:rsidRPr="00092ED7">
              <w:rPr>
                <w:rFonts w:cs="Times New Roman"/>
                <w:i/>
                <w:iCs/>
                <w:color w:val="000000"/>
                <w:sz w:val="20"/>
                <w:szCs w:val="20"/>
                <w:lang w:val="sr-Cyrl-CS"/>
              </w:rPr>
              <w:t>Q4</w:t>
            </w:r>
          </w:p>
        </w:tc>
      </w:tr>
      <w:tr w:rsidR="00D210F0" w:rsidRPr="00092ED7" w14:paraId="6EFB13F8" w14:textId="77777777" w:rsidTr="00AE4362">
        <w:trPr>
          <w:trHeight w:val="300"/>
        </w:trPr>
        <w:tc>
          <w:tcPr>
            <w:tcW w:w="425" w:type="dxa"/>
            <w:tcBorders>
              <w:top w:val="single" w:sz="4" w:space="0" w:color="auto"/>
              <w:left w:val="single" w:sz="8" w:space="0" w:color="auto"/>
              <w:bottom w:val="single" w:sz="4" w:space="0" w:color="auto"/>
              <w:right w:val="nil"/>
            </w:tcBorders>
            <w:shd w:val="clear" w:color="auto" w:fill="auto"/>
            <w:tcMar>
              <w:top w:w="15" w:type="dxa"/>
              <w:left w:w="15" w:type="dxa"/>
              <w:bottom w:w="0" w:type="dxa"/>
              <w:right w:w="15" w:type="dxa"/>
            </w:tcMar>
          </w:tcPr>
          <w:p w14:paraId="032D4E33" w14:textId="77777777" w:rsidR="00D210F0" w:rsidRPr="00092ED7" w:rsidRDefault="00D210F0" w:rsidP="005D14E2">
            <w:pPr>
              <w:spacing w:after="0"/>
              <w:jc w:val="center"/>
              <w:rPr>
                <w:rFonts w:cs="Times New Roman"/>
                <w:bCs/>
                <w:sz w:val="20"/>
                <w:szCs w:val="20"/>
                <w:lang w:val="sr-Cyrl-CS"/>
              </w:rPr>
            </w:pPr>
            <w:r w:rsidRPr="00092ED7">
              <w:rPr>
                <w:rFonts w:cs="Times New Roman"/>
                <w:bCs/>
                <w:sz w:val="20"/>
                <w:szCs w:val="20"/>
                <w:lang w:val="sr-Cyrl-CS"/>
              </w:rPr>
              <w:t>1.</w:t>
            </w:r>
          </w:p>
        </w:tc>
        <w:tc>
          <w:tcPr>
            <w:tcW w:w="4101" w:type="dxa"/>
            <w:tcBorders>
              <w:top w:val="single" w:sz="4" w:space="0" w:color="auto"/>
              <w:left w:val="single" w:sz="8" w:space="0" w:color="auto"/>
              <w:bottom w:val="single" w:sz="4" w:space="0" w:color="auto"/>
              <w:right w:val="nil"/>
            </w:tcBorders>
            <w:shd w:val="clear" w:color="auto" w:fill="auto"/>
            <w:tcMar>
              <w:top w:w="15" w:type="dxa"/>
              <w:left w:w="15" w:type="dxa"/>
              <w:bottom w:w="0" w:type="dxa"/>
              <w:right w:w="15" w:type="dxa"/>
            </w:tcMar>
          </w:tcPr>
          <w:p w14:paraId="7C1DB5B8" w14:textId="77777777" w:rsidR="00D210F0" w:rsidRPr="00092ED7" w:rsidRDefault="00D210F0" w:rsidP="005D14E2">
            <w:pPr>
              <w:spacing w:after="0"/>
              <w:ind w:right="222"/>
              <w:rPr>
                <w:rFonts w:cs="Times New Roman"/>
                <w:sz w:val="20"/>
                <w:szCs w:val="20"/>
                <w:lang w:val="sr-Cyrl-CS"/>
              </w:rPr>
            </w:pPr>
            <w:r w:rsidRPr="00092ED7">
              <w:rPr>
                <w:rFonts w:cs="Times New Roman"/>
                <w:sz w:val="20"/>
                <w:szCs w:val="20"/>
                <w:lang w:val="sr-Cyrl-CS"/>
              </w:rPr>
              <w:t>Израда анализа и предлога мера и активности предвиђених Акционим планом као и спровођење активности за промоцију повратка и укључивања у програме висококвалификоване српске дијаспоре</w:t>
            </w:r>
          </w:p>
        </w:tc>
        <w:tc>
          <w:tcPr>
            <w:tcW w:w="372" w:type="dxa"/>
            <w:tcBorders>
              <w:top w:val="single" w:sz="4" w:space="0" w:color="auto"/>
              <w:left w:val="single" w:sz="8"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AD140B8" w14:textId="77777777" w:rsidR="00D210F0" w:rsidRPr="00092ED7" w:rsidRDefault="00D210F0" w:rsidP="005D14E2">
            <w:pPr>
              <w:spacing w:after="0"/>
              <w:rPr>
                <w:rFonts w:cs="Times New Roman"/>
                <w:color w:val="000000"/>
                <w:sz w:val="20"/>
                <w:szCs w:val="20"/>
                <w:lang w:val="sr-Cyrl-CS"/>
              </w:rPr>
            </w:pPr>
          </w:p>
        </w:tc>
        <w:tc>
          <w:tcPr>
            <w:tcW w:w="373"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8AC9A66" w14:textId="77777777" w:rsidR="00D210F0" w:rsidRPr="00092ED7" w:rsidRDefault="00D210F0" w:rsidP="005D14E2">
            <w:pPr>
              <w:spacing w:after="0"/>
              <w:rPr>
                <w:rFonts w:cs="Times New Roman"/>
                <w:color w:val="000000"/>
                <w:sz w:val="20"/>
                <w:szCs w:val="20"/>
                <w:lang w:val="sr-Cyrl-CS"/>
              </w:rPr>
            </w:pPr>
          </w:p>
        </w:tc>
        <w:tc>
          <w:tcPr>
            <w:tcW w:w="372"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0AC26CD" w14:textId="77777777" w:rsidR="00D210F0" w:rsidRPr="00092ED7" w:rsidRDefault="00D210F0" w:rsidP="005D14E2">
            <w:pPr>
              <w:spacing w:after="0"/>
              <w:rPr>
                <w:rFonts w:cs="Times New Roman"/>
                <w:color w:val="000000"/>
                <w:sz w:val="20"/>
                <w:szCs w:val="20"/>
                <w:lang w:val="sr-Cyrl-CS"/>
              </w:rPr>
            </w:pPr>
          </w:p>
        </w:tc>
        <w:tc>
          <w:tcPr>
            <w:tcW w:w="276" w:type="dxa"/>
            <w:tcBorders>
              <w:top w:val="single" w:sz="4" w:space="0" w:color="auto"/>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275967F5" w14:textId="77777777" w:rsidR="00D210F0" w:rsidRPr="00092ED7" w:rsidRDefault="00D210F0" w:rsidP="005D14E2">
            <w:pPr>
              <w:spacing w:after="0"/>
              <w:rPr>
                <w:rFonts w:cs="Times New Roman"/>
                <w:color w:val="000000"/>
                <w:sz w:val="20"/>
                <w:szCs w:val="20"/>
                <w:lang w:val="sr-Cyrl-CS"/>
              </w:rPr>
            </w:pPr>
          </w:p>
        </w:tc>
        <w:tc>
          <w:tcPr>
            <w:tcW w:w="469"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2BF5E18B" w14:textId="77777777" w:rsidR="00D210F0" w:rsidRPr="00092ED7" w:rsidRDefault="00D210F0" w:rsidP="005D14E2">
            <w:pPr>
              <w:spacing w:after="0"/>
              <w:rPr>
                <w:rFonts w:cs="Times New Roman"/>
                <w:color w:val="000000"/>
                <w:sz w:val="20"/>
                <w:szCs w:val="20"/>
                <w:lang w:val="sr-Cyrl-CS"/>
              </w:rPr>
            </w:pPr>
          </w:p>
        </w:tc>
        <w:tc>
          <w:tcPr>
            <w:tcW w:w="373"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2DA6C89" w14:textId="77777777" w:rsidR="00D210F0" w:rsidRPr="00092ED7" w:rsidRDefault="00D210F0" w:rsidP="005D14E2">
            <w:pPr>
              <w:spacing w:after="0"/>
              <w:rPr>
                <w:rFonts w:cs="Times New Roman"/>
                <w:color w:val="000000"/>
                <w:sz w:val="20"/>
                <w:szCs w:val="20"/>
                <w:lang w:val="sr-Cyrl-CS"/>
              </w:rPr>
            </w:pPr>
          </w:p>
        </w:tc>
        <w:tc>
          <w:tcPr>
            <w:tcW w:w="373"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08291D8" w14:textId="77777777" w:rsidR="00D210F0" w:rsidRPr="00092ED7" w:rsidRDefault="00D210F0" w:rsidP="005D14E2">
            <w:pPr>
              <w:spacing w:after="0"/>
              <w:rPr>
                <w:rFonts w:cs="Times New Roman"/>
                <w:color w:val="000000"/>
                <w:sz w:val="20"/>
                <w:szCs w:val="20"/>
                <w:lang w:val="sr-Cyrl-CS"/>
              </w:rPr>
            </w:pPr>
          </w:p>
        </w:tc>
        <w:tc>
          <w:tcPr>
            <w:tcW w:w="372" w:type="dxa"/>
            <w:tcBorders>
              <w:top w:val="single" w:sz="4" w:space="0" w:color="auto"/>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0C21EFA7" w14:textId="77777777" w:rsidR="00D210F0" w:rsidRPr="00092ED7" w:rsidRDefault="00D210F0" w:rsidP="005D14E2">
            <w:pPr>
              <w:spacing w:after="0"/>
              <w:rPr>
                <w:rFonts w:cs="Times New Roman"/>
                <w:color w:val="000000"/>
                <w:sz w:val="20"/>
                <w:szCs w:val="20"/>
                <w:lang w:val="sr-Cyrl-CS"/>
              </w:rPr>
            </w:pPr>
          </w:p>
        </w:tc>
        <w:tc>
          <w:tcPr>
            <w:tcW w:w="373" w:type="dxa"/>
            <w:tcBorders>
              <w:top w:val="single" w:sz="4" w:space="0" w:color="auto"/>
              <w:left w:val="nil"/>
              <w:bottom w:val="single" w:sz="4" w:space="0" w:color="auto"/>
              <w:right w:val="single" w:sz="4" w:space="0" w:color="auto"/>
            </w:tcBorders>
            <w:shd w:val="clear" w:color="auto" w:fill="FFFFFF" w:themeFill="background1"/>
            <w:tcMar>
              <w:top w:w="15" w:type="dxa"/>
              <w:left w:w="15" w:type="dxa"/>
              <w:bottom w:w="0" w:type="dxa"/>
              <w:right w:w="15" w:type="dxa"/>
            </w:tcMar>
          </w:tcPr>
          <w:p w14:paraId="0CF38787" w14:textId="77777777" w:rsidR="00D210F0" w:rsidRPr="00092ED7" w:rsidRDefault="00D210F0" w:rsidP="005D14E2">
            <w:pPr>
              <w:spacing w:after="0"/>
              <w:rPr>
                <w:rFonts w:cs="Times New Roman"/>
                <w:color w:val="000000"/>
                <w:sz w:val="20"/>
                <w:szCs w:val="20"/>
                <w:lang w:val="sr-Cyrl-CS"/>
              </w:rPr>
            </w:pPr>
          </w:p>
        </w:tc>
        <w:tc>
          <w:tcPr>
            <w:tcW w:w="372" w:type="dxa"/>
            <w:tcBorders>
              <w:top w:val="single" w:sz="4" w:space="0" w:color="auto"/>
              <w:left w:val="nil"/>
              <w:bottom w:val="single" w:sz="4" w:space="0" w:color="auto"/>
              <w:right w:val="single" w:sz="4" w:space="0" w:color="auto"/>
            </w:tcBorders>
            <w:shd w:val="clear" w:color="auto" w:fill="FFFFFF" w:themeFill="background1"/>
            <w:tcMar>
              <w:top w:w="15" w:type="dxa"/>
              <w:left w:w="15" w:type="dxa"/>
              <w:bottom w:w="0" w:type="dxa"/>
              <w:right w:w="15" w:type="dxa"/>
            </w:tcMar>
          </w:tcPr>
          <w:p w14:paraId="75A2FFCF" w14:textId="77777777" w:rsidR="00D210F0" w:rsidRPr="00092ED7" w:rsidRDefault="00D210F0" w:rsidP="005D14E2">
            <w:pPr>
              <w:spacing w:after="0"/>
              <w:rPr>
                <w:rFonts w:cs="Times New Roman"/>
                <w:color w:val="000000"/>
                <w:sz w:val="20"/>
                <w:szCs w:val="20"/>
                <w:lang w:val="sr-Cyrl-CS"/>
              </w:rPr>
            </w:pPr>
          </w:p>
        </w:tc>
        <w:tc>
          <w:tcPr>
            <w:tcW w:w="373" w:type="dxa"/>
            <w:tcBorders>
              <w:top w:val="single" w:sz="4" w:space="0" w:color="auto"/>
              <w:left w:val="nil"/>
              <w:bottom w:val="single" w:sz="4" w:space="0" w:color="auto"/>
              <w:right w:val="single" w:sz="4" w:space="0" w:color="auto"/>
            </w:tcBorders>
            <w:shd w:val="clear" w:color="auto" w:fill="FFFFFF" w:themeFill="background1"/>
            <w:tcMar>
              <w:top w:w="15" w:type="dxa"/>
              <w:left w:w="15" w:type="dxa"/>
              <w:bottom w:w="0" w:type="dxa"/>
              <w:right w:w="15" w:type="dxa"/>
            </w:tcMar>
          </w:tcPr>
          <w:p w14:paraId="093CAA21" w14:textId="77777777" w:rsidR="00D210F0" w:rsidRPr="00092ED7" w:rsidRDefault="00D210F0" w:rsidP="005D14E2">
            <w:pPr>
              <w:spacing w:after="0"/>
              <w:rPr>
                <w:rFonts w:cs="Times New Roman"/>
                <w:color w:val="000000"/>
                <w:sz w:val="20"/>
                <w:szCs w:val="20"/>
                <w:lang w:val="sr-Cyrl-CS"/>
              </w:rPr>
            </w:pPr>
          </w:p>
        </w:tc>
        <w:tc>
          <w:tcPr>
            <w:tcW w:w="373" w:type="dxa"/>
            <w:tcBorders>
              <w:top w:val="single" w:sz="4" w:space="0" w:color="auto"/>
              <w:left w:val="nil"/>
              <w:bottom w:val="single" w:sz="4" w:space="0" w:color="auto"/>
              <w:right w:val="single" w:sz="8" w:space="0" w:color="auto"/>
            </w:tcBorders>
            <w:shd w:val="clear" w:color="auto" w:fill="FFFFFF" w:themeFill="background1"/>
            <w:tcMar>
              <w:top w:w="15" w:type="dxa"/>
              <w:left w:w="15" w:type="dxa"/>
              <w:bottom w:w="0" w:type="dxa"/>
              <w:right w:w="15" w:type="dxa"/>
            </w:tcMar>
          </w:tcPr>
          <w:p w14:paraId="77576643" w14:textId="77777777" w:rsidR="00D210F0" w:rsidRPr="00092ED7" w:rsidRDefault="00D210F0" w:rsidP="005D14E2">
            <w:pPr>
              <w:spacing w:after="0"/>
              <w:rPr>
                <w:rFonts w:cs="Times New Roman"/>
                <w:color w:val="000000"/>
                <w:sz w:val="20"/>
                <w:szCs w:val="20"/>
                <w:lang w:val="sr-Cyrl-CS"/>
              </w:rPr>
            </w:pPr>
          </w:p>
        </w:tc>
      </w:tr>
      <w:tr w:rsidR="00BE2B7C" w:rsidRPr="00092ED7" w14:paraId="6A3AB096" w14:textId="77777777" w:rsidTr="00927C1D">
        <w:trPr>
          <w:trHeight w:val="300"/>
        </w:trPr>
        <w:tc>
          <w:tcPr>
            <w:tcW w:w="425" w:type="dxa"/>
            <w:tcBorders>
              <w:top w:val="nil"/>
              <w:left w:val="single" w:sz="8" w:space="0" w:color="auto"/>
              <w:bottom w:val="single" w:sz="4" w:space="0" w:color="auto"/>
              <w:right w:val="nil"/>
            </w:tcBorders>
            <w:shd w:val="clear" w:color="auto" w:fill="auto"/>
            <w:tcMar>
              <w:top w:w="15" w:type="dxa"/>
              <w:left w:w="15" w:type="dxa"/>
              <w:bottom w:w="0" w:type="dxa"/>
              <w:right w:w="15" w:type="dxa"/>
            </w:tcMar>
          </w:tcPr>
          <w:p w14:paraId="313A0635" w14:textId="77777777" w:rsidR="00D210F0" w:rsidRPr="00092ED7" w:rsidRDefault="00D210F0" w:rsidP="005D14E2">
            <w:pPr>
              <w:spacing w:after="0"/>
              <w:jc w:val="center"/>
              <w:rPr>
                <w:rFonts w:cs="Times New Roman"/>
                <w:bCs/>
                <w:sz w:val="20"/>
                <w:szCs w:val="20"/>
                <w:lang w:val="sr-Cyrl-CS"/>
              </w:rPr>
            </w:pPr>
            <w:r w:rsidRPr="00092ED7">
              <w:rPr>
                <w:rFonts w:cs="Times New Roman"/>
                <w:bCs/>
                <w:sz w:val="20"/>
                <w:szCs w:val="20"/>
                <w:lang w:val="sr-Cyrl-CS"/>
              </w:rPr>
              <w:t>2.</w:t>
            </w:r>
          </w:p>
        </w:tc>
        <w:tc>
          <w:tcPr>
            <w:tcW w:w="4101" w:type="dxa"/>
            <w:tcBorders>
              <w:top w:val="nil"/>
              <w:left w:val="single" w:sz="8" w:space="0" w:color="auto"/>
              <w:bottom w:val="single" w:sz="4" w:space="0" w:color="auto"/>
              <w:right w:val="single" w:sz="4" w:space="0" w:color="auto"/>
            </w:tcBorders>
            <w:shd w:val="clear" w:color="auto" w:fill="auto"/>
            <w:tcMar>
              <w:top w:w="15" w:type="dxa"/>
              <w:left w:w="15" w:type="dxa"/>
              <w:bottom w:w="0" w:type="dxa"/>
              <w:right w:w="15" w:type="dxa"/>
            </w:tcMar>
          </w:tcPr>
          <w:p w14:paraId="1A0CF580" w14:textId="77777777" w:rsidR="00D210F0" w:rsidRPr="00092ED7" w:rsidRDefault="00D210F0" w:rsidP="005D14E2">
            <w:pPr>
              <w:spacing w:after="0"/>
              <w:ind w:right="222"/>
              <w:rPr>
                <w:rFonts w:cs="Times New Roman"/>
                <w:sz w:val="20"/>
                <w:szCs w:val="20"/>
                <w:lang w:val="sr-Cyrl-CS"/>
              </w:rPr>
            </w:pPr>
            <w:r w:rsidRPr="00092ED7">
              <w:rPr>
                <w:rFonts w:cs="Times New Roman"/>
                <w:sz w:val="20"/>
                <w:szCs w:val="20"/>
                <w:lang w:val="sr-Cyrl-CS"/>
              </w:rPr>
              <w:t>Идентификација и измена прописа у циљу олакшаног процеса повратка у Републику Србију и привлачење страних држављана да живе и раде у Републици Србији.</w:t>
            </w:r>
          </w:p>
        </w:tc>
        <w:tc>
          <w:tcPr>
            <w:tcW w:w="372" w:type="dxa"/>
            <w:tcBorders>
              <w:top w:val="nil"/>
              <w:left w:val="single" w:sz="8"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E32E598" w14:textId="77777777" w:rsidR="00D210F0" w:rsidRPr="00092ED7" w:rsidRDefault="00D210F0"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019EFDF8" w14:textId="77777777" w:rsidR="00D210F0" w:rsidRPr="00092ED7" w:rsidRDefault="00D210F0" w:rsidP="005D14E2">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B81CF69" w14:textId="77777777" w:rsidR="00D210F0" w:rsidRPr="00092ED7" w:rsidRDefault="00D210F0" w:rsidP="005D14E2">
            <w:pPr>
              <w:spacing w:after="0"/>
              <w:rPr>
                <w:rFonts w:cs="Times New Roman"/>
                <w:color w:val="000000"/>
                <w:sz w:val="20"/>
                <w:szCs w:val="20"/>
                <w:lang w:val="sr-Cyrl-CS"/>
              </w:rPr>
            </w:pPr>
          </w:p>
        </w:tc>
        <w:tc>
          <w:tcPr>
            <w:tcW w:w="276"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4DFED173" w14:textId="77777777" w:rsidR="00D210F0" w:rsidRPr="00092ED7" w:rsidRDefault="00D210F0" w:rsidP="005D14E2">
            <w:pPr>
              <w:spacing w:after="0"/>
              <w:rPr>
                <w:rFonts w:cs="Times New Roman"/>
                <w:color w:val="000000"/>
                <w:sz w:val="20"/>
                <w:szCs w:val="20"/>
                <w:lang w:val="sr-Cyrl-CS"/>
              </w:rPr>
            </w:pPr>
          </w:p>
        </w:tc>
        <w:tc>
          <w:tcPr>
            <w:tcW w:w="469"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3B61A12" w14:textId="77777777" w:rsidR="00D210F0" w:rsidRPr="00092ED7" w:rsidRDefault="00D210F0"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3C12F098" w14:textId="77777777" w:rsidR="00D210F0" w:rsidRPr="00092ED7" w:rsidRDefault="00D210F0"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3DA4B8B5" w14:textId="77777777" w:rsidR="00D210F0" w:rsidRPr="00092ED7" w:rsidRDefault="00D210F0" w:rsidP="005D14E2">
            <w:pPr>
              <w:spacing w:after="0"/>
              <w:rPr>
                <w:rFonts w:cs="Times New Roman"/>
                <w:color w:val="000000"/>
                <w:sz w:val="20"/>
                <w:szCs w:val="20"/>
                <w:lang w:val="sr-Cyrl-CS"/>
              </w:rPr>
            </w:pPr>
          </w:p>
        </w:tc>
        <w:tc>
          <w:tcPr>
            <w:tcW w:w="372"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734EC826" w14:textId="77777777" w:rsidR="00D210F0" w:rsidRPr="00092ED7" w:rsidRDefault="00D210F0"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30615630" w14:textId="77777777" w:rsidR="00D210F0" w:rsidRPr="00092ED7" w:rsidRDefault="00D210F0" w:rsidP="005D14E2">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213436FF" w14:textId="77777777" w:rsidR="00D210F0" w:rsidRPr="00092ED7" w:rsidRDefault="00D210F0"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B2E9A05" w14:textId="77777777" w:rsidR="00D210F0" w:rsidRPr="00092ED7" w:rsidRDefault="00D210F0"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75D7934C" w14:textId="77777777" w:rsidR="00D210F0" w:rsidRPr="00092ED7" w:rsidRDefault="00D210F0" w:rsidP="005D14E2">
            <w:pPr>
              <w:spacing w:after="0"/>
              <w:rPr>
                <w:rFonts w:cs="Times New Roman"/>
                <w:color w:val="000000"/>
                <w:sz w:val="20"/>
                <w:szCs w:val="20"/>
                <w:lang w:val="sr-Cyrl-CS"/>
              </w:rPr>
            </w:pPr>
          </w:p>
        </w:tc>
      </w:tr>
      <w:tr w:rsidR="00BE2B7C" w:rsidRPr="00092ED7" w14:paraId="5BDA7983" w14:textId="77777777" w:rsidTr="00927C1D">
        <w:trPr>
          <w:trHeight w:val="300"/>
        </w:trPr>
        <w:tc>
          <w:tcPr>
            <w:tcW w:w="425" w:type="dxa"/>
            <w:tcBorders>
              <w:top w:val="nil"/>
              <w:left w:val="single" w:sz="8" w:space="0" w:color="auto"/>
              <w:bottom w:val="single" w:sz="4" w:space="0" w:color="auto"/>
              <w:right w:val="single" w:sz="8" w:space="0" w:color="auto"/>
            </w:tcBorders>
            <w:shd w:val="clear" w:color="auto" w:fill="auto"/>
            <w:tcMar>
              <w:top w:w="15" w:type="dxa"/>
              <w:left w:w="15" w:type="dxa"/>
              <w:bottom w:w="0" w:type="dxa"/>
              <w:right w:w="15" w:type="dxa"/>
            </w:tcMar>
          </w:tcPr>
          <w:p w14:paraId="68954C92" w14:textId="77777777" w:rsidR="00D210F0" w:rsidRPr="00092ED7" w:rsidRDefault="00D210F0" w:rsidP="005D14E2">
            <w:pPr>
              <w:spacing w:after="0"/>
              <w:jc w:val="center"/>
              <w:rPr>
                <w:rFonts w:cs="Times New Roman"/>
                <w:bCs/>
                <w:sz w:val="20"/>
                <w:szCs w:val="20"/>
                <w:lang w:val="sr-Cyrl-CS"/>
              </w:rPr>
            </w:pPr>
            <w:r w:rsidRPr="00092ED7">
              <w:rPr>
                <w:rFonts w:cs="Times New Roman"/>
                <w:bCs/>
                <w:sz w:val="20"/>
                <w:szCs w:val="20"/>
                <w:lang w:val="sr-Cyrl-CS"/>
              </w:rPr>
              <w:t>3.</w:t>
            </w:r>
          </w:p>
        </w:tc>
        <w:tc>
          <w:tcPr>
            <w:tcW w:w="4101" w:type="dxa"/>
            <w:tcBorders>
              <w:top w:val="nil"/>
              <w:left w:val="nil"/>
              <w:bottom w:val="single" w:sz="4" w:space="0" w:color="auto"/>
              <w:right w:val="nil"/>
            </w:tcBorders>
            <w:shd w:val="clear" w:color="auto" w:fill="auto"/>
            <w:tcMar>
              <w:top w:w="15" w:type="dxa"/>
              <w:left w:w="15" w:type="dxa"/>
              <w:bottom w:w="0" w:type="dxa"/>
              <w:right w:w="15" w:type="dxa"/>
            </w:tcMar>
          </w:tcPr>
          <w:p w14:paraId="42A77453" w14:textId="7DBC58CC" w:rsidR="00D210F0" w:rsidRPr="00092ED7" w:rsidRDefault="00D210F0" w:rsidP="005D14E2">
            <w:pPr>
              <w:spacing w:after="0"/>
              <w:ind w:right="222"/>
              <w:rPr>
                <w:rFonts w:cs="Times New Roman"/>
                <w:sz w:val="20"/>
                <w:szCs w:val="20"/>
                <w:lang w:val="sr-Cyrl-CS"/>
              </w:rPr>
            </w:pPr>
            <w:r w:rsidRPr="00092ED7">
              <w:rPr>
                <w:rFonts w:cs="Times New Roman"/>
                <w:sz w:val="20"/>
                <w:szCs w:val="20"/>
                <w:lang w:val="sr-Cyrl-CS"/>
              </w:rPr>
              <w:t>Развој комуникационих, саветодавних и промотивних активности намењених интеграцији повратника и страних држављана као и организација конференције „Таленти на окупу</w:t>
            </w:r>
            <w:r w:rsidR="00D571D4" w:rsidRPr="00092ED7">
              <w:rPr>
                <w:rFonts w:cs="Times New Roman"/>
                <w:sz w:val="20"/>
                <w:szCs w:val="20"/>
                <w:lang w:val="sr-Cyrl-CS"/>
              </w:rPr>
              <w:t>”</w:t>
            </w:r>
            <w:r w:rsidRPr="00092ED7">
              <w:rPr>
                <w:rFonts w:cs="Times New Roman"/>
                <w:sz w:val="20"/>
                <w:szCs w:val="20"/>
                <w:lang w:val="sr-Cyrl-CS"/>
              </w:rPr>
              <w:t xml:space="preserve"> и других конференција и догађаја у циљу изградње поверења са дијаспором.</w:t>
            </w:r>
          </w:p>
        </w:tc>
        <w:tc>
          <w:tcPr>
            <w:tcW w:w="372" w:type="dxa"/>
            <w:tcBorders>
              <w:top w:val="nil"/>
              <w:left w:val="single" w:sz="8"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2D267496" w14:textId="77777777" w:rsidR="00D210F0" w:rsidRPr="00092ED7" w:rsidRDefault="00D210F0"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37536F91" w14:textId="77777777" w:rsidR="00D210F0" w:rsidRPr="00092ED7" w:rsidRDefault="00D210F0" w:rsidP="005D14E2">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6EBD5AF" w14:textId="77777777" w:rsidR="00D210F0" w:rsidRPr="00092ED7" w:rsidRDefault="00D210F0" w:rsidP="005D14E2">
            <w:pPr>
              <w:spacing w:after="0"/>
              <w:rPr>
                <w:rFonts w:cs="Times New Roman"/>
                <w:color w:val="000000"/>
                <w:sz w:val="20"/>
                <w:szCs w:val="20"/>
                <w:lang w:val="sr-Cyrl-CS"/>
              </w:rPr>
            </w:pPr>
          </w:p>
        </w:tc>
        <w:tc>
          <w:tcPr>
            <w:tcW w:w="276"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70716367" w14:textId="77777777" w:rsidR="00D210F0" w:rsidRPr="00092ED7" w:rsidRDefault="00D210F0" w:rsidP="005D14E2">
            <w:pPr>
              <w:spacing w:after="0"/>
              <w:rPr>
                <w:rFonts w:cs="Times New Roman"/>
                <w:color w:val="000000"/>
                <w:sz w:val="20"/>
                <w:szCs w:val="20"/>
                <w:lang w:val="sr-Cyrl-CS"/>
              </w:rPr>
            </w:pPr>
          </w:p>
        </w:tc>
        <w:tc>
          <w:tcPr>
            <w:tcW w:w="469"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8FF5589" w14:textId="77777777" w:rsidR="00D210F0" w:rsidRPr="00092ED7" w:rsidRDefault="00D210F0"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06815100" w14:textId="77777777" w:rsidR="00D210F0" w:rsidRPr="00092ED7" w:rsidRDefault="00D210F0"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2A0D1384" w14:textId="77777777" w:rsidR="00D210F0" w:rsidRPr="00092ED7" w:rsidRDefault="00D210F0" w:rsidP="005D14E2">
            <w:pPr>
              <w:spacing w:after="0"/>
              <w:rPr>
                <w:rFonts w:cs="Times New Roman"/>
                <w:color w:val="000000"/>
                <w:sz w:val="20"/>
                <w:szCs w:val="20"/>
                <w:lang w:val="sr-Cyrl-CS"/>
              </w:rPr>
            </w:pPr>
          </w:p>
        </w:tc>
        <w:tc>
          <w:tcPr>
            <w:tcW w:w="372"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52B2705D" w14:textId="77777777" w:rsidR="00D210F0" w:rsidRPr="00092ED7" w:rsidRDefault="00D210F0"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228D8F95" w14:textId="77777777" w:rsidR="00D210F0" w:rsidRPr="00092ED7" w:rsidRDefault="00D210F0" w:rsidP="005D14E2">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2BC9FAE8" w14:textId="77777777" w:rsidR="00D210F0" w:rsidRPr="00092ED7" w:rsidRDefault="00D210F0"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EAB5D76" w14:textId="77777777" w:rsidR="00D210F0" w:rsidRPr="00092ED7" w:rsidRDefault="00D210F0"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0F2D6724" w14:textId="77777777" w:rsidR="00D210F0" w:rsidRPr="00092ED7" w:rsidRDefault="00D210F0" w:rsidP="005D14E2">
            <w:pPr>
              <w:spacing w:after="0"/>
              <w:rPr>
                <w:rFonts w:cs="Times New Roman"/>
                <w:color w:val="000000"/>
                <w:sz w:val="20"/>
                <w:szCs w:val="20"/>
                <w:lang w:val="sr-Cyrl-CS"/>
              </w:rPr>
            </w:pPr>
          </w:p>
        </w:tc>
      </w:tr>
      <w:tr w:rsidR="00BE2B7C" w:rsidRPr="00092ED7" w14:paraId="33C0DFC3" w14:textId="77777777" w:rsidTr="00927C1D">
        <w:trPr>
          <w:trHeight w:val="300"/>
        </w:trPr>
        <w:tc>
          <w:tcPr>
            <w:tcW w:w="425" w:type="dxa"/>
            <w:tcBorders>
              <w:top w:val="single" w:sz="4" w:space="0" w:color="auto"/>
              <w:left w:val="single" w:sz="8" w:space="0" w:color="auto"/>
              <w:bottom w:val="single" w:sz="4" w:space="0" w:color="auto"/>
              <w:right w:val="single" w:sz="8" w:space="0" w:color="auto"/>
            </w:tcBorders>
            <w:shd w:val="clear" w:color="auto" w:fill="auto"/>
            <w:tcMar>
              <w:top w:w="15" w:type="dxa"/>
              <w:left w:w="15" w:type="dxa"/>
              <w:bottom w:w="0" w:type="dxa"/>
              <w:right w:w="15" w:type="dxa"/>
            </w:tcMar>
          </w:tcPr>
          <w:p w14:paraId="67748196" w14:textId="77777777" w:rsidR="00D210F0" w:rsidRPr="00092ED7" w:rsidRDefault="00D210F0" w:rsidP="005D14E2">
            <w:pPr>
              <w:spacing w:after="0"/>
              <w:jc w:val="center"/>
              <w:rPr>
                <w:rFonts w:cs="Times New Roman"/>
                <w:bCs/>
                <w:sz w:val="20"/>
                <w:szCs w:val="20"/>
                <w:lang w:val="sr-Cyrl-CS"/>
              </w:rPr>
            </w:pPr>
            <w:r w:rsidRPr="00092ED7">
              <w:rPr>
                <w:rFonts w:cs="Times New Roman"/>
                <w:bCs/>
                <w:sz w:val="20"/>
                <w:szCs w:val="20"/>
                <w:lang w:val="sr-Cyrl-CS"/>
              </w:rPr>
              <w:t>4.</w:t>
            </w:r>
          </w:p>
        </w:tc>
        <w:tc>
          <w:tcPr>
            <w:tcW w:w="4101" w:type="dxa"/>
            <w:tcBorders>
              <w:top w:val="nil"/>
              <w:left w:val="nil"/>
              <w:bottom w:val="single" w:sz="4" w:space="0" w:color="auto"/>
              <w:right w:val="single" w:sz="8" w:space="0" w:color="auto"/>
            </w:tcBorders>
            <w:shd w:val="clear" w:color="auto" w:fill="auto"/>
            <w:noWrap/>
            <w:tcMar>
              <w:top w:w="15" w:type="dxa"/>
              <w:left w:w="15" w:type="dxa"/>
              <w:bottom w:w="0" w:type="dxa"/>
              <w:right w:w="15" w:type="dxa"/>
            </w:tcMar>
          </w:tcPr>
          <w:p w14:paraId="7B9C4004" w14:textId="77777777" w:rsidR="00D210F0" w:rsidRPr="00092ED7" w:rsidRDefault="00D210F0" w:rsidP="005D14E2">
            <w:pPr>
              <w:spacing w:after="0"/>
              <w:ind w:right="222"/>
              <w:rPr>
                <w:rFonts w:cs="Times New Roman"/>
                <w:sz w:val="20"/>
                <w:szCs w:val="20"/>
                <w:lang w:val="sr-Cyrl-CS"/>
              </w:rPr>
            </w:pPr>
            <w:r w:rsidRPr="00092ED7">
              <w:rPr>
                <w:rFonts w:cs="Times New Roman"/>
                <w:color w:val="000000"/>
                <w:sz w:val="20"/>
                <w:szCs w:val="20"/>
                <w:lang w:val="sr-Cyrl-CS"/>
              </w:rPr>
              <w:t>Организација догађаја у дијаспори и представљање програма подршке повратку дијаспоре.</w:t>
            </w: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3450C234" w14:textId="77777777" w:rsidR="00D210F0" w:rsidRPr="00092ED7" w:rsidRDefault="00D210F0"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9371C56" w14:textId="77777777" w:rsidR="00D210F0" w:rsidRPr="00092ED7" w:rsidRDefault="00D210F0" w:rsidP="005D14E2">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246C1BE" w14:textId="77777777" w:rsidR="00D210F0" w:rsidRPr="00092ED7" w:rsidRDefault="00D210F0" w:rsidP="005D14E2">
            <w:pPr>
              <w:spacing w:after="0"/>
              <w:rPr>
                <w:rFonts w:cs="Times New Roman"/>
                <w:color w:val="000000"/>
                <w:sz w:val="20"/>
                <w:szCs w:val="20"/>
                <w:lang w:val="sr-Cyrl-CS"/>
              </w:rPr>
            </w:pPr>
          </w:p>
        </w:tc>
        <w:tc>
          <w:tcPr>
            <w:tcW w:w="276"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1F838033" w14:textId="77777777" w:rsidR="00D210F0" w:rsidRPr="00092ED7" w:rsidRDefault="00D210F0" w:rsidP="005D14E2">
            <w:pPr>
              <w:spacing w:after="0"/>
              <w:rPr>
                <w:rFonts w:cs="Times New Roman"/>
                <w:color w:val="000000"/>
                <w:sz w:val="20"/>
                <w:szCs w:val="20"/>
                <w:lang w:val="sr-Cyrl-CS"/>
              </w:rPr>
            </w:pPr>
          </w:p>
        </w:tc>
        <w:tc>
          <w:tcPr>
            <w:tcW w:w="469"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2D9E6D8" w14:textId="77777777" w:rsidR="00D210F0" w:rsidRPr="00092ED7" w:rsidRDefault="00D210F0"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C79966E" w14:textId="77777777" w:rsidR="00D210F0" w:rsidRPr="00092ED7" w:rsidRDefault="00D210F0"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F8CC902" w14:textId="77777777" w:rsidR="00D210F0" w:rsidRPr="00092ED7" w:rsidRDefault="00D210F0" w:rsidP="005D14E2">
            <w:pPr>
              <w:spacing w:after="0"/>
              <w:rPr>
                <w:rFonts w:cs="Times New Roman"/>
                <w:color w:val="000000"/>
                <w:sz w:val="20"/>
                <w:szCs w:val="20"/>
                <w:lang w:val="sr-Cyrl-CS"/>
              </w:rPr>
            </w:pPr>
          </w:p>
        </w:tc>
        <w:tc>
          <w:tcPr>
            <w:tcW w:w="372"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070843C5" w14:textId="77777777" w:rsidR="00D210F0" w:rsidRPr="00092ED7" w:rsidRDefault="00D210F0"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FFFFFF" w:themeFill="background1"/>
            <w:tcMar>
              <w:top w:w="15" w:type="dxa"/>
              <w:left w:w="15" w:type="dxa"/>
              <w:bottom w:w="0" w:type="dxa"/>
              <w:right w:w="15" w:type="dxa"/>
            </w:tcMar>
          </w:tcPr>
          <w:p w14:paraId="631CA1B9" w14:textId="77777777" w:rsidR="00D210F0" w:rsidRPr="00092ED7" w:rsidRDefault="00D210F0" w:rsidP="005D14E2">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C752925" w14:textId="77777777" w:rsidR="00D210F0" w:rsidRPr="00092ED7" w:rsidRDefault="00D210F0"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FFFFFF" w:themeFill="background1"/>
            <w:tcMar>
              <w:top w:w="15" w:type="dxa"/>
              <w:left w:w="15" w:type="dxa"/>
              <w:bottom w:w="0" w:type="dxa"/>
              <w:right w:w="15" w:type="dxa"/>
            </w:tcMar>
          </w:tcPr>
          <w:p w14:paraId="15B862B6" w14:textId="77777777" w:rsidR="00D210F0" w:rsidRPr="00092ED7" w:rsidRDefault="00D210F0"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5DAF93AB" w14:textId="77777777" w:rsidR="00D210F0" w:rsidRPr="00092ED7" w:rsidRDefault="00D210F0" w:rsidP="005D14E2">
            <w:pPr>
              <w:spacing w:after="0"/>
              <w:rPr>
                <w:rFonts w:cs="Times New Roman"/>
                <w:color w:val="000000"/>
                <w:sz w:val="20"/>
                <w:szCs w:val="20"/>
                <w:lang w:val="sr-Cyrl-CS"/>
              </w:rPr>
            </w:pPr>
          </w:p>
        </w:tc>
      </w:tr>
      <w:tr w:rsidR="00BE2B7C" w:rsidRPr="00092ED7" w14:paraId="10D1DA19" w14:textId="77777777" w:rsidTr="00927C1D">
        <w:trPr>
          <w:trHeight w:val="300"/>
        </w:trPr>
        <w:tc>
          <w:tcPr>
            <w:tcW w:w="425" w:type="dxa"/>
            <w:tcBorders>
              <w:top w:val="nil"/>
              <w:left w:val="single" w:sz="8" w:space="0" w:color="auto"/>
              <w:bottom w:val="single" w:sz="4" w:space="0" w:color="auto"/>
              <w:right w:val="nil"/>
            </w:tcBorders>
            <w:shd w:val="clear" w:color="auto" w:fill="auto"/>
            <w:tcMar>
              <w:top w:w="15" w:type="dxa"/>
              <w:left w:w="15" w:type="dxa"/>
              <w:bottom w:w="0" w:type="dxa"/>
              <w:right w:w="15" w:type="dxa"/>
            </w:tcMar>
          </w:tcPr>
          <w:p w14:paraId="0955111D" w14:textId="77777777" w:rsidR="00D210F0" w:rsidRPr="00092ED7" w:rsidRDefault="00D210F0" w:rsidP="005D14E2">
            <w:pPr>
              <w:spacing w:after="0"/>
              <w:jc w:val="center"/>
              <w:rPr>
                <w:rFonts w:cs="Times New Roman"/>
                <w:bCs/>
                <w:sz w:val="20"/>
                <w:szCs w:val="20"/>
                <w:lang w:val="sr-Cyrl-CS"/>
              </w:rPr>
            </w:pPr>
            <w:r w:rsidRPr="00092ED7">
              <w:rPr>
                <w:rFonts w:cs="Times New Roman"/>
                <w:bCs/>
                <w:sz w:val="20"/>
                <w:szCs w:val="20"/>
                <w:lang w:val="sr-Cyrl-CS"/>
              </w:rPr>
              <w:t>5.</w:t>
            </w:r>
          </w:p>
        </w:tc>
        <w:tc>
          <w:tcPr>
            <w:tcW w:w="4101" w:type="dxa"/>
            <w:tcBorders>
              <w:top w:val="nil"/>
              <w:left w:val="single" w:sz="8" w:space="0" w:color="auto"/>
              <w:bottom w:val="single" w:sz="4" w:space="0" w:color="auto"/>
              <w:right w:val="nil"/>
            </w:tcBorders>
            <w:shd w:val="clear" w:color="auto" w:fill="auto"/>
            <w:tcMar>
              <w:top w:w="15" w:type="dxa"/>
              <w:left w:w="15" w:type="dxa"/>
              <w:bottom w:w="0" w:type="dxa"/>
              <w:right w:w="15" w:type="dxa"/>
            </w:tcMar>
          </w:tcPr>
          <w:p w14:paraId="1F7E2DC6" w14:textId="77777777" w:rsidR="00D210F0" w:rsidRPr="00092ED7" w:rsidRDefault="00D210F0" w:rsidP="005D14E2">
            <w:pPr>
              <w:spacing w:after="0"/>
              <w:ind w:right="222"/>
              <w:rPr>
                <w:rFonts w:cs="Times New Roman"/>
                <w:sz w:val="20"/>
                <w:szCs w:val="20"/>
                <w:lang w:val="sr-Cyrl-CS"/>
              </w:rPr>
            </w:pPr>
            <w:r w:rsidRPr="00092ED7">
              <w:rPr>
                <w:rFonts w:cs="Times New Roman"/>
                <w:sz w:val="20"/>
                <w:szCs w:val="20"/>
                <w:lang w:val="sr-Cyrl-CS"/>
              </w:rPr>
              <w:t>Унапређење административног оквира у циљу подстицања доласка домаћих и страних држављана.</w:t>
            </w:r>
          </w:p>
        </w:tc>
        <w:tc>
          <w:tcPr>
            <w:tcW w:w="372" w:type="dxa"/>
            <w:tcBorders>
              <w:top w:val="nil"/>
              <w:left w:val="single" w:sz="8"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6AECD29" w14:textId="77777777" w:rsidR="00D210F0" w:rsidRPr="00092ED7" w:rsidRDefault="00D210F0"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3B017BA1" w14:textId="77777777" w:rsidR="00D210F0" w:rsidRPr="00092ED7" w:rsidRDefault="00D210F0" w:rsidP="005D14E2">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2F0B23E" w14:textId="77777777" w:rsidR="00D210F0" w:rsidRPr="00092ED7" w:rsidRDefault="00D210F0" w:rsidP="005D14E2">
            <w:pPr>
              <w:spacing w:after="0"/>
              <w:rPr>
                <w:rFonts w:cs="Times New Roman"/>
                <w:color w:val="000000"/>
                <w:sz w:val="20"/>
                <w:szCs w:val="20"/>
                <w:lang w:val="sr-Cyrl-CS"/>
              </w:rPr>
            </w:pPr>
          </w:p>
        </w:tc>
        <w:tc>
          <w:tcPr>
            <w:tcW w:w="276"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26F2DDCD" w14:textId="77777777" w:rsidR="00D210F0" w:rsidRPr="00092ED7" w:rsidRDefault="00D210F0" w:rsidP="005D14E2">
            <w:pPr>
              <w:spacing w:after="0"/>
              <w:rPr>
                <w:rFonts w:cs="Times New Roman"/>
                <w:color w:val="000000"/>
                <w:sz w:val="20"/>
                <w:szCs w:val="20"/>
                <w:lang w:val="sr-Cyrl-CS"/>
              </w:rPr>
            </w:pPr>
          </w:p>
        </w:tc>
        <w:tc>
          <w:tcPr>
            <w:tcW w:w="469"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E33BCD1" w14:textId="77777777" w:rsidR="00D210F0" w:rsidRPr="00092ED7" w:rsidRDefault="00D210F0"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31DF725F" w14:textId="77777777" w:rsidR="00D210F0" w:rsidRPr="00092ED7" w:rsidRDefault="00D210F0"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433752F" w14:textId="77777777" w:rsidR="00D210F0" w:rsidRPr="00092ED7" w:rsidRDefault="00D210F0" w:rsidP="005D14E2">
            <w:pPr>
              <w:spacing w:after="0"/>
              <w:rPr>
                <w:rFonts w:cs="Times New Roman"/>
                <w:color w:val="000000"/>
                <w:sz w:val="20"/>
                <w:szCs w:val="20"/>
                <w:lang w:val="sr-Cyrl-CS"/>
              </w:rPr>
            </w:pPr>
          </w:p>
        </w:tc>
        <w:tc>
          <w:tcPr>
            <w:tcW w:w="372"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252381A3" w14:textId="77777777" w:rsidR="00D210F0" w:rsidRPr="00092ED7" w:rsidRDefault="00D210F0"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E3123D4" w14:textId="77777777" w:rsidR="00D210F0" w:rsidRPr="00092ED7" w:rsidRDefault="00D210F0" w:rsidP="005D14E2">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E385F26" w14:textId="77777777" w:rsidR="00D210F0" w:rsidRPr="00092ED7" w:rsidRDefault="00D210F0"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3A6F431" w14:textId="77777777" w:rsidR="00D210F0" w:rsidRPr="00092ED7" w:rsidRDefault="00D210F0"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66F2EF43" w14:textId="77777777" w:rsidR="00D210F0" w:rsidRPr="00092ED7" w:rsidRDefault="00D210F0" w:rsidP="005D14E2">
            <w:pPr>
              <w:spacing w:after="0"/>
              <w:rPr>
                <w:rFonts w:cs="Times New Roman"/>
                <w:color w:val="000000"/>
                <w:sz w:val="20"/>
                <w:szCs w:val="20"/>
                <w:lang w:val="sr-Cyrl-CS"/>
              </w:rPr>
            </w:pPr>
          </w:p>
        </w:tc>
      </w:tr>
      <w:tr w:rsidR="00D210F0" w:rsidRPr="00092ED7" w14:paraId="6A3FAF6B" w14:textId="77777777" w:rsidTr="00AE4362">
        <w:trPr>
          <w:trHeight w:val="300"/>
        </w:trPr>
        <w:tc>
          <w:tcPr>
            <w:tcW w:w="425" w:type="dxa"/>
            <w:tcBorders>
              <w:top w:val="nil"/>
              <w:left w:val="single" w:sz="8" w:space="0" w:color="auto"/>
              <w:bottom w:val="single" w:sz="4" w:space="0" w:color="auto"/>
              <w:right w:val="nil"/>
            </w:tcBorders>
            <w:shd w:val="clear" w:color="auto" w:fill="auto"/>
            <w:tcMar>
              <w:top w:w="15" w:type="dxa"/>
              <w:left w:w="15" w:type="dxa"/>
              <w:bottom w:w="0" w:type="dxa"/>
              <w:right w:w="15" w:type="dxa"/>
            </w:tcMar>
          </w:tcPr>
          <w:p w14:paraId="5DA8B51E" w14:textId="77777777" w:rsidR="00D210F0" w:rsidRPr="00092ED7" w:rsidRDefault="00D210F0" w:rsidP="005D14E2">
            <w:pPr>
              <w:spacing w:after="0"/>
              <w:jc w:val="center"/>
              <w:rPr>
                <w:rFonts w:cs="Times New Roman"/>
                <w:bCs/>
                <w:sz w:val="20"/>
                <w:szCs w:val="20"/>
                <w:lang w:val="sr-Cyrl-CS"/>
              </w:rPr>
            </w:pPr>
            <w:r w:rsidRPr="00092ED7">
              <w:rPr>
                <w:rFonts w:cs="Times New Roman"/>
                <w:bCs/>
                <w:sz w:val="20"/>
                <w:szCs w:val="20"/>
                <w:lang w:val="sr-Cyrl-CS"/>
              </w:rPr>
              <w:t>6.</w:t>
            </w:r>
          </w:p>
        </w:tc>
        <w:tc>
          <w:tcPr>
            <w:tcW w:w="4101" w:type="dxa"/>
            <w:tcBorders>
              <w:top w:val="nil"/>
              <w:left w:val="single" w:sz="8" w:space="0" w:color="auto"/>
              <w:bottom w:val="single" w:sz="4" w:space="0" w:color="auto"/>
              <w:right w:val="nil"/>
            </w:tcBorders>
            <w:shd w:val="clear" w:color="auto" w:fill="auto"/>
            <w:tcMar>
              <w:top w:w="15" w:type="dxa"/>
              <w:left w:w="15" w:type="dxa"/>
              <w:bottom w:w="0" w:type="dxa"/>
              <w:right w:w="15" w:type="dxa"/>
            </w:tcMar>
          </w:tcPr>
          <w:p w14:paraId="2C39170B" w14:textId="77777777" w:rsidR="00D210F0" w:rsidRPr="00092ED7" w:rsidRDefault="00D210F0" w:rsidP="005D14E2">
            <w:pPr>
              <w:spacing w:after="0"/>
              <w:ind w:right="222"/>
              <w:rPr>
                <w:rFonts w:cs="Times New Roman"/>
                <w:sz w:val="20"/>
                <w:szCs w:val="20"/>
                <w:lang w:val="sr-Cyrl-CS"/>
              </w:rPr>
            </w:pPr>
            <w:r w:rsidRPr="00092ED7">
              <w:rPr>
                <w:rFonts w:cs="Times New Roman"/>
                <w:sz w:val="20"/>
                <w:szCs w:val="20"/>
                <w:lang w:val="sr-Cyrl-CS"/>
              </w:rPr>
              <w:t>Израда студија о факторима који утичу на унутрашње миграције радне снаге.</w:t>
            </w:r>
          </w:p>
        </w:tc>
        <w:tc>
          <w:tcPr>
            <w:tcW w:w="372" w:type="dxa"/>
            <w:tcBorders>
              <w:top w:val="nil"/>
              <w:left w:val="single" w:sz="8" w:space="0" w:color="auto"/>
              <w:bottom w:val="single" w:sz="4" w:space="0" w:color="auto"/>
              <w:right w:val="single" w:sz="4" w:space="0" w:color="auto"/>
            </w:tcBorders>
            <w:shd w:val="clear" w:color="auto" w:fill="auto"/>
            <w:tcMar>
              <w:top w:w="15" w:type="dxa"/>
              <w:left w:w="15" w:type="dxa"/>
              <w:bottom w:w="0" w:type="dxa"/>
              <w:right w:w="15" w:type="dxa"/>
            </w:tcMar>
          </w:tcPr>
          <w:p w14:paraId="2535BDFD" w14:textId="77777777" w:rsidR="00D210F0" w:rsidRPr="00092ED7" w:rsidRDefault="00D210F0"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19C66735" w14:textId="77777777" w:rsidR="00D210F0" w:rsidRPr="00092ED7" w:rsidRDefault="00D210F0" w:rsidP="005D14E2">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6B721CFD" w14:textId="77777777" w:rsidR="00D210F0" w:rsidRPr="00092ED7" w:rsidRDefault="00D210F0" w:rsidP="005D14E2">
            <w:pPr>
              <w:spacing w:after="0"/>
              <w:rPr>
                <w:rFonts w:cs="Times New Roman"/>
                <w:color w:val="000000"/>
                <w:sz w:val="20"/>
                <w:szCs w:val="20"/>
                <w:lang w:val="sr-Cyrl-CS"/>
              </w:rPr>
            </w:pPr>
          </w:p>
        </w:tc>
        <w:tc>
          <w:tcPr>
            <w:tcW w:w="276" w:type="dxa"/>
            <w:tcBorders>
              <w:top w:val="nil"/>
              <w:left w:val="nil"/>
              <w:bottom w:val="single" w:sz="4" w:space="0" w:color="auto"/>
              <w:right w:val="single" w:sz="8" w:space="0" w:color="auto"/>
            </w:tcBorders>
            <w:shd w:val="clear" w:color="auto" w:fill="auto"/>
            <w:tcMar>
              <w:top w:w="15" w:type="dxa"/>
              <w:left w:w="15" w:type="dxa"/>
              <w:bottom w:w="0" w:type="dxa"/>
              <w:right w:w="15" w:type="dxa"/>
            </w:tcMar>
          </w:tcPr>
          <w:p w14:paraId="13CF13B8" w14:textId="77777777" w:rsidR="00D210F0" w:rsidRPr="00092ED7" w:rsidRDefault="00D210F0" w:rsidP="005D14E2">
            <w:pPr>
              <w:spacing w:after="0"/>
              <w:rPr>
                <w:rFonts w:cs="Times New Roman"/>
                <w:color w:val="000000"/>
                <w:sz w:val="20"/>
                <w:szCs w:val="20"/>
                <w:lang w:val="sr-Cyrl-CS"/>
              </w:rPr>
            </w:pPr>
          </w:p>
        </w:tc>
        <w:tc>
          <w:tcPr>
            <w:tcW w:w="469"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0A342C6D" w14:textId="77777777" w:rsidR="00D210F0" w:rsidRPr="00092ED7" w:rsidRDefault="00D210F0"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0E98F604" w14:textId="77777777" w:rsidR="00D210F0" w:rsidRPr="00092ED7" w:rsidRDefault="00D210F0"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D22B592" w14:textId="77777777" w:rsidR="00D210F0" w:rsidRPr="00092ED7" w:rsidRDefault="00D210F0" w:rsidP="005D14E2">
            <w:pPr>
              <w:spacing w:after="0"/>
              <w:rPr>
                <w:rFonts w:cs="Times New Roman"/>
                <w:color w:val="000000"/>
                <w:sz w:val="20"/>
                <w:szCs w:val="20"/>
                <w:lang w:val="sr-Cyrl-CS"/>
              </w:rPr>
            </w:pPr>
          </w:p>
        </w:tc>
        <w:tc>
          <w:tcPr>
            <w:tcW w:w="372"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579C6BC4" w14:textId="77777777" w:rsidR="00D210F0" w:rsidRPr="00092ED7" w:rsidRDefault="00D210F0"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26DF3438" w14:textId="77777777" w:rsidR="00D210F0" w:rsidRPr="00092ED7" w:rsidRDefault="00D210F0" w:rsidP="005D14E2">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5BE2FF0A" w14:textId="77777777" w:rsidR="00D210F0" w:rsidRPr="00092ED7" w:rsidRDefault="00D210F0"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2E5F1367" w14:textId="77777777" w:rsidR="00D210F0" w:rsidRPr="00092ED7" w:rsidRDefault="00D210F0"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8" w:space="0" w:color="auto"/>
            </w:tcBorders>
            <w:shd w:val="clear" w:color="auto" w:fill="auto"/>
            <w:tcMar>
              <w:top w:w="15" w:type="dxa"/>
              <w:left w:w="15" w:type="dxa"/>
              <w:bottom w:w="0" w:type="dxa"/>
              <w:right w:w="15" w:type="dxa"/>
            </w:tcMar>
          </w:tcPr>
          <w:p w14:paraId="1078180F" w14:textId="77777777" w:rsidR="00D210F0" w:rsidRPr="00092ED7" w:rsidRDefault="00D210F0" w:rsidP="005D14E2">
            <w:pPr>
              <w:spacing w:after="0"/>
              <w:rPr>
                <w:rFonts w:cs="Times New Roman"/>
                <w:color w:val="000000"/>
                <w:sz w:val="20"/>
                <w:szCs w:val="20"/>
                <w:lang w:val="sr-Cyrl-CS"/>
              </w:rPr>
            </w:pPr>
          </w:p>
        </w:tc>
      </w:tr>
      <w:tr w:rsidR="00D210F0" w:rsidRPr="00092ED7" w14:paraId="57C56550" w14:textId="77777777" w:rsidTr="00AE4362">
        <w:trPr>
          <w:trHeight w:val="300"/>
        </w:trPr>
        <w:tc>
          <w:tcPr>
            <w:tcW w:w="425" w:type="dxa"/>
            <w:tcBorders>
              <w:top w:val="nil"/>
              <w:left w:val="single" w:sz="8" w:space="0" w:color="auto"/>
              <w:bottom w:val="single" w:sz="4" w:space="0" w:color="auto"/>
              <w:right w:val="nil"/>
            </w:tcBorders>
            <w:shd w:val="clear" w:color="auto" w:fill="auto"/>
            <w:tcMar>
              <w:top w:w="15" w:type="dxa"/>
              <w:left w:w="15" w:type="dxa"/>
              <w:bottom w:w="0" w:type="dxa"/>
              <w:right w:w="15" w:type="dxa"/>
            </w:tcMar>
          </w:tcPr>
          <w:p w14:paraId="28399003" w14:textId="77777777" w:rsidR="00D210F0" w:rsidRPr="00092ED7" w:rsidRDefault="00D210F0" w:rsidP="005D14E2">
            <w:pPr>
              <w:spacing w:after="0"/>
              <w:jc w:val="center"/>
              <w:rPr>
                <w:rFonts w:cs="Times New Roman"/>
                <w:bCs/>
                <w:sz w:val="20"/>
                <w:szCs w:val="20"/>
                <w:lang w:val="sr-Cyrl-CS"/>
              </w:rPr>
            </w:pPr>
            <w:r w:rsidRPr="00092ED7">
              <w:rPr>
                <w:rFonts w:cs="Times New Roman"/>
                <w:bCs/>
                <w:sz w:val="20"/>
                <w:szCs w:val="20"/>
                <w:lang w:val="sr-Cyrl-CS"/>
              </w:rPr>
              <w:t>7.</w:t>
            </w:r>
          </w:p>
        </w:tc>
        <w:tc>
          <w:tcPr>
            <w:tcW w:w="4101" w:type="dxa"/>
            <w:tcBorders>
              <w:top w:val="nil"/>
              <w:left w:val="single" w:sz="8" w:space="0" w:color="auto"/>
              <w:bottom w:val="single" w:sz="4" w:space="0" w:color="auto"/>
              <w:right w:val="nil"/>
            </w:tcBorders>
            <w:shd w:val="clear" w:color="auto" w:fill="auto"/>
            <w:tcMar>
              <w:top w:w="15" w:type="dxa"/>
              <w:left w:w="15" w:type="dxa"/>
              <w:bottom w:w="0" w:type="dxa"/>
              <w:right w:w="15" w:type="dxa"/>
            </w:tcMar>
          </w:tcPr>
          <w:p w14:paraId="43568B65" w14:textId="77777777" w:rsidR="00D210F0" w:rsidRPr="00092ED7" w:rsidRDefault="00D210F0" w:rsidP="005D14E2">
            <w:pPr>
              <w:spacing w:after="0"/>
              <w:ind w:right="222"/>
              <w:rPr>
                <w:rFonts w:cs="Times New Roman"/>
                <w:sz w:val="20"/>
                <w:szCs w:val="20"/>
                <w:lang w:val="sr-Cyrl-CS"/>
              </w:rPr>
            </w:pPr>
            <w:r w:rsidRPr="00092ED7">
              <w:rPr>
                <w:rFonts w:cs="Times New Roman"/>
                <w:sz w:val="20"/>
                <w:szCs w:val="20"/>
                <w:lang w:val="sr-Cyrl-CS"/>
              </w:rPr>
              <w:t>Израда анализе о потребама тржишта рада и радне снаге у контексту управљања миграцијама.</w:t>
            </w:r>
          </w:p>
        </w:tc>
        <w:tc>
          <w:tcPr>
            <w:tcW w:w="372" w:type="dxa"/>
            <w:tcBorders>
              <w:top w:val="nil"/>
              <w:left w:val="single" w:sz="8"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A2E8665" w14:textId="77777777" w:rsidR="00D210F0" w:rsidRPr="00092ED7" w:rsidRDefault="00D210F0"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5E6AF54" w14:textId="77777777" w:rsidR="00D210F0" w:rsidRPr="00092ED7" w:rsidRDefault="00D210F0" w:rsidP="005D14E2">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DE0ECCD" w14:textId="77777777" w:rsidR="00D210F0" w:rsidRPr="00092ED7" w:rsidRDefault="00D210F0" w:rsidP="005D14E2">
            <w:pPr>
              <w:spacing w:after="0"/>
              <w:rPr>
                <w:rFonts w:cs="Times New Roman"/>
                <w:color w:val="000000"/>
                <w:sz w:val="20"/>
                <w:szCs w:val="20"/>
                <w:lang w:val="sr-Cyrl-CS"/>
              </w:rPr>
            </w:pPr>
          </w:p>
        </w:tc>
        <w:tc>
          <w:tcPr>
            <w:tcW w:w="276"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48E952A8" w14:textId="77777777" w:rsidR="00D210F0" w:rsidRPr="00092ED7" w:rsidRDefault="00D210F0" w:rsidP="005D14E2">
            <w:pPr>
              <w:spacing w:after="0"/>
              <w:rPr>
                <w:rFonts w:cs="Times New Roman"/>
                <w:color w:val="000000"/>
                <w:sz w:val="20"/>
                <w:szCs w:val="20"/>
                <w:lang w:val="sr-Cyrl-CS"/>
              </w:rPr>
            </w:pPr>
          </w:p>
        </w:tc>
        <w:tc>
          <w:tcPr>
            <w:tcW w:w="469"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3A14DD3C" w14:textId="77777777" w:rsidR="00D210F0" w:rsidRPr="00092ED7" w:rsidRDefault="00D210F0"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4D781758" w14:textId="77777777" w:rsidR="00D210F0" w:rsidRPr="00092ED7" w:rsidRDefault="00D210F0"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13246EED" w14:textId="77777777" w:rsidR="00D210F0" w:rsidRPr="00092ED7" w:rsidRDefault="00D210F0" w:rsidP="005D14E2">
            <w:pPr>
              <w:spacing w:after="0"/>
              <w:rPr>
                <w:rFonts w:cs="Times New Roman"/>
                <w:color w:val="000000"/>
                <w:sz w:val="20"/>
                <w:szCs w:val="20"/>
                <w:lang w:val="sr-Cyrl-CS"/>
              </w:rPr>
            </w:pPr>
          </w:p>
        </w:tc>
        <w:tc>
          <w:tcPr>
            <w:tcW w:w="372" w:type="dxa"/>
            <w:tcBorders>
              <w:top w:val="nil"/>
              <w:left w:val="nil"/>
              <w:bottom w:val="single" w:sz="4" w:space="0" w:color="auto"/>
              <w:right w:val="single" w:sz="8" w:space="0" w:color="auto"/>
            </w:tcBorders>
            <w:shd w:val="clear" w:color="auto" w:fill="auto"/>
            <w:tcMar>
              <w:top w:w="15" w:type="dxa"/>
              <w:left w:w="15" w:type="dxa"/>
              <w:bottom w:w="0" w:type="dxa"/>
              <w:right w:w="15" w:type="dxa"/>
            </w:tcMar>
          </w:tcPr>
          <w:p w14:paraId="77C03969" w14:textId="77777777" w:rsidR="00D210F0" w:rsidRPr="00092ED7" w:rsidRDefault="00D210F0"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24675DA5" w14:textId="77777777" w:rsidR="00D210F0" w:rsidRPr="00092ED7" w:rsidRDefault="00D210F0" w:rsidP="005D14E2">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2C803705" w14:textId="77777777" w:rsidR="00D210F0" w:rsidRPr="00092ED7" w:rsidRDefault="00D210F0"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4DCB7782" w14:textId="77777777" w:rsidR="00D210F0" w:rsidRPr="00092ED7" w:rsidRDefault="00D210F0"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8" w:space="0" w:color="auto"/>
            </w:tcBorders>
            <w:shd w:val="clear" w:color="auto" w:fill="auto"/>
            <w:tcMar>
              <w:top w:w="15" w:type="dxa"/>
              <w:left w:w="15" w:type="dxa"/>
              <w:bottom w:w="0" w:type="dxa"/>
              <w:right w:w="15" w:type="dxa"/>
            </w:tcMar>
          </w:tcPr>
          <w:p w14:paraId="11B49504" w14:textId="77777777" w:rsidR="00D210F0" w:rsidRPr="00092ED7" w:rsidRDefault="00D210F0" w:rsidP="005D14E2">
            <w:pPr>
              <w:spacing w:after="0"/>
              <w:rPr>
                <w:rFonts w:cs="Times New Roman"/>
                <w:color w:val="000000"/>
                <w:sz w:val="20"/>
                <w:szCs w:val="20"/>
                <w:lang w:val="sr-Cyrl-CS"/>
              </w:rPr>
            </w:pPr>
          </w:p>
        </w:tc>
      </w:tr>
      <w:tr w:rsidR="00BE2B7C" w:rsidRPr="00092ED7" w14:paraId="1EE72242" w14:textId="77777777" w:rsidTr="00927C1D">
        <w:trPr>
          <w:trHeight w:val="300"/>
        </w:trPr>
        <w:tc>
          <w:tcPr>
            <w:tcW w:w="425" w:type="dxa"/>
            <w:tcBorders>
              <w:top w:val="nil"/>
              <w:left w:val="single" w:sz="8" w:space="0" w:color="auto"/>
              <w:bottom w:val="single" w:sz="4" w:space="0" w:color="auto"/>
              <w:right w:val="nil"/>
            </w:tcBorders>
            <w:shd w:val="clear" w:color="auto" w:fill="auto"/>
            <w:tcMar>
              <w:top w:w="15" w:type="dxa"/>
              <w:left w:w="15" w:type="dxa"/>
              <w:bottom w:w="0" w:type="dxa"/>
              <w:right w:w="15" w:type="dxa"/>
            </w:tcMar>
          </w:tcPr>
          <w:p w14:paraId="4ACC8401" w14:textId="77777777" w:rsidR="00D210F0" w:rsidRPr="00092ED7" w:rsidRDefault="00D210F0" w:rsidP="005D14E2">
            <w:pPr>
              <w:spacing w:after="0"/>
              <w:jc w:val="center"/>
              <w:rPr>
                <w:rFonts w:cs="Times New Roman"/>
                <w:bCs/>
                <w:sz w:val="20"/>
                <w:szCs w:val="20"/>
                <w:lang w:val="sr-Cyrl-CS"/>
              </w:rPr>
            </w:pPr>
            <w:r w:rsidRPr="00092ED7">
              <w:rPr>
                <w:rFonts w:cs="Times New Roman"/>
                <w:bCs/>
                <w:sz w:val="20"/>
                <w:szCs w:val="20"/>
                <w:lang w:val="sr-Cyrl-CS"/>
              </w:rPr>
              <w:t>8.</w:t>
            </w:r>
          </w:p>
        </w:tc>
        <w:tc>
          <w:tcPr>
            <w:tcW w:w="4101" w:type="dxa"/>
            <w:tcBorders>
              <w:top w:val="nil"/>
              <w:left w:val="single" w:sz="8" w:space="0" w:color="auto"/>
              <w:bottom w:val="single" w:sz="4" w:space="0" w:color="auto"/>
              <w:right w:val="nil"/>
            </w:tcBorders>
            <w:shd w:val="clear" w:color="auto" w:fill="auto"/>
            <w:tcMar>
              <w:top w:w="15" w:type="dxa"/>
              <w:left w:w="15" w:type="dxa"/>
              <w:bottom w:w="0" w:type="dxa"/>
              <w:right w:w="15" w:type="dxa"/>
            </w:tcMar>
          </w:tcPr>
          <w:p w14:paraId="22F10151" w14:textId="3DA7849E" w:rsidR="00D210F0" w:rsidRPr="00092ED7" w:rsidRDefault="00D210F0" w:rsidP="005D14E2">
            <w:pPr>
              <w:spacing w:after="0"/>
              <w:ind w:right="222"/>
              <w:rPr>
                <w:rFonts w:cs="Times New Roman"/>
                <w:sz w:val="20"/>
                <w:szCs w:val="20"/>
                <w:lang w:val="sr-Cyrl-CS"/>
              </w:rPr>
            </w:pPr>
            <w:r w:rsidRPr="00092ED7">
              <w:rPr>
                <w:rFonts w:cs="Times New Roman"/>
                <w:sz w:val="20"/>
                <w:szCs w:val="20"/>
                <w:lang w:val="sr-Cyrl-CS"/>
              </w:rPr>
              <w:t xml:space="preserve">Јачање капацитета институција надлежних за праћење миграционих кретања као и организације </w:t>
            </w:r>
            <w:r w:rsidR="00791C38" w:rsidRPr="00092ED7">
              <w:rPr>
                <w:rFonts w:cs="Times New Roman"/>
                <w:sz w:val="20"/>
                <w:szCs w:val="20"/>
                <w:lang w:val="sr-Cyrl-CS"/>
              </w:rPr>
              <w:t>„</w:t>
            </w:r>
            <w:r w:rsidRPr="00092ED7">
              <w:rPr>
                <w:rFonts w:cs="Times New Roman"/>
                <w:sz w:val="20"/>
                <w:szCs w:val="20"/>
                <w:lang w:val="sr-Cyrl-CS"/>
              </w:rPr>
              <w:t>Тачка повратка</w:t>
            </w:r>
            <w:r w:rsidR="00D571D4" w:rsidRPr="00092ED7">
              <w:rPr>
                <w:rFonts w:cs="Times New Roman"/>
                <w:sz w:val="20"/>
                <w:szCs w:val="20"/>
                <w:lang w:val="sr-Cyrl-CS"/>
              </w:rPr>
              <w:t>”</w:t>
            </w:r>
            <w:r w:rsidRPr="00092ED7">
              <w:rPr>
                <w:rFonts w:cs="Times New Roman"/>
                <w:sz w:val="20"/>
                <w:szCs w:val="20"/>
                <w:lang w:val="sr-Cyrl-CS"/>
              </w:rPr>
              <w:t xml:space="preserve"> за пружање директне и менторске подршке дијаспори приликом повратка и/или сарадње са институцијама Републике Србије.</w:t>
            </w:r>
          </w:p>
        </w:tc>
        <w:tc>
          <w:tcPr>
            <w:tcW w:w="372" w:type="dxa"/>
            <w:tcBorders>
              <w:top w:val="nil"/>
              <w:left w:val="single" w:sz="8"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2CC49EF" w14:textId="77777777" w:rsidR="00D210F0" w:rsidRPr="00092ED7" w:rsidRDefault="00D210F0"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23D1091" w14:textId="77777777" w:rsidR="00D210F0" w:rsidRPr="00092ED7" w:rsidRDefault="00D210F0" w:rsidP="005D14E2">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3BB1741A" w14:textId="77777777" w:rsidR="00D210F0" w:rsidRPr="00092ED7" w:rsidRDefault="00D210F0" w:rsidP="005D14E2">
            <w:pPr>
              <w:spacing w:after="0"/>
              <w:rPr>
                <w:rFonts w:cs="Times New Roman"/>
                <w:color w:val="000000"/>
                <w:sz w:val="20"/>
                <w:szCs w:val="20"/>
                <w:lang w:val="sr-Cyrl-CS"/>
              </w:rPr>
            </w:pPr>
          </w:p>
        </w:tc>
        <w:tc>
          <w:tcPr>
            <w:tcW w:w="276"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21BFD2BA" w14:textId="77777777" w:rsidR="00D210F0" w:rsidRPr="00092ED7" w:rsidRDefault="00D210F0" w:rsidP="005D14E2">
            <w:pPr>
              <w:spacing w:after="0"/>
              <w:rPr>
                <w:rFonts w:cs="Times New Roman"/>
                <w:color w:val="000000"/>
                <w:sz w:val="20"/>
                <w:szCs w:val="20"/>
                <w:lang w:val="sr-Cyrl-CS"/>
              </w:rPr>
            </w:pPr>
          </w:p>
        </w:tc>
        <w:tc>
          <w:tcPr>
            <w:tcW w:w="469"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703F5C5" w14:textId="77777777" w:rsidR="00D210F0" w:rsidRPr="00092ED7" w:rsidRDefault="00D210F0"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DF87C5A" w14:textId="77777777" w:rsidR="00D210F0" w:rsidRPr="00092ED7" w:rsidRDefault="00D210F0"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0C77737" w14:textId="77777777" w:rsidR="00D210F0" w:rsidRPr="00092ED7" w:rsidRDefault="00D210F0" w:rsidP="005D14E2">
            <w:pPr>
              <w:spacing w:after="0"/>
              <w:rPr>
                <w:rFonts w:cs="Times New Roman"/>
                <w:color w:val="000000"/>
                <w:sz w:val="20"/>
                <w:szCs w:val="20"/>
                <w:lang w:val="sr-Cyrl-CS"/>
              </w:rPr>
            </w:pPr>
          </w:p>
        </w:tc>
        <w:tc>
          <w:tcPr>
            <w:tcW w:w="372"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0F354FC0" w14:textId="77777777" w:rsidR="00D210F0" w:rsidRPr="00092ED7" w:rsidRDefault="00D210F0"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0B413944" w14:textId="77777777" w:rsidR="00D210F0" w:rsidRPr="00092ED7" w:rsidRDefault="00D210F0" w:rsidP="005D14E2">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03EA83D" w14:textId="77777777" w:rsidR="00D210F0" w:rsidRPr="00092ED7" w:rsidRDefault="00D210F0"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EC91163" w14:textId="77777777" w:rsidR="00D210F0" w:rsidRPr="00092ED7" w:rsidRDefault="00D210F0" w:rsidP="005D14E2">
            <w:pPr>
              <w:spacing w:after="0"/>
              <w:rPr>
                <w:rFonts w:cs="Times New Roman"/>
                <w:color w:val="000000"/>
                <w:sz w:val="20"/>
                <w:szCs w:val="20"/>
                <w:lang w:val="sr-Cyrl-CS"/>
              </w:rPr>
            </w:pPr>
          </w:p>
        </w:tc>
        <w:tc>
          <w:tcPr>
            <w:tcW w:w="373"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62ACEC03" w14:textId="77777777" w:rsidR="00D210F0" w:rsidRPr="00092ED7" w:rsidRDefault="00D210F0" w:rsidP="005D14E2">
            <w:pPr>
              <w:spacing w:after="0"/>
              <w:rPr>
                <w:rFonts w:cs="Times New Roman"/>
                <w:color w:val="000000"/>
                <w:sz w:val="20"/>
                <w:szCs w:val="20"/>
                <w:lang w:val="sr-Cyrl-CS"/>
              </w:rPr>
            </w:pPr>
          </w:p>
        </w:tc>
      </w:tr>
    </w:tbl>
    <w:p w14:paraId="2419F86C" w14:textId="77777777" w:rsidR="00D210F0" w:rsidRPr="00092ED7" w:rsidRDefault="00D210F0" w:rsidP="00071952">
      <w:pPr>
        <w:pStyle w:val="ListParagraph"/>
        <w:widowControl w:val="0"/>
        <w:numPr>
          <w:ilvl w:val="0"/>
          <w:numId w:val="21"/>
        </w:numPr>
        <w:spacing w:before="120" w:line="240" w:lineRule="auto"/>
        <w:ind w:left="425" w:hanging="425"/>
        <w:contextualSpacing w:val="0"/>
        <w:rPr>
          <w:rFonts w:cs="Times New Roman"/>
          <w:b/>
          <w:sz w:val="24"/>
          <w:szCs w:val="24"/>
          <w:lang w:val="sr-Cyrl-CS" w:eastAsia="sr-Cyrl-CS" w:bidi="sr-Cyrl-CS"/>
        </w:rPr>
      </w:pPr>
      <w:r w:rsidRPr="00092ED7">
        <w:rPr>
          <w:rFonts w:cs="Times New Roman"/>
          <w:b/>
          <w:sz w:val="24"/>
          <w:szCs w:val="24"/>
          <w:lang w:val="sr-Cyrl-CS" w:eastAsia="sr-Cyrl-CS" w:bidi="sr-Cyrl-CS"/>
        </w:rPr>
        <w:t>Индикатори рeзултата</w:t>
      </w:r>
    </w:p>
    <w:tbl>
      <w:tblPr>
        <w:tblStyle w:val="TableGrid"/>
        <w:tblW w:w="9072" w:type="dxa"/>
        <w:tblInd w:w="-5" w:type="dxa"/>
        <w:tblLayout w:type="fixed"/>
        <w:tblLook w:val="04A0" w:firstRow="1" w:lastRow="0" w:firstColumn="1" w:lastColumn="0" w:noHBand="0" w:noVBand="1"/>
      </w:tblPr>
      <w:tblGrid>
        <w:gridCol w:w="3969"/>
        <w:gridCol w:w="1701"/>
        <w:gridCol w:w="1701"/>
        <w:gridCol w:w="1701"/>
      </w:tblGrid>
      <w:tr w:rsidR="00D210F0" w:rsidRPr="00092ED7" w14:paraId="644599C5" w14:textId="77777777" w:rsidTr="00AE4362">
        <w:trPr>
          <w:cnfStyle w:val="100000000000" w:firstRow="1" w:lastRow="0" w:firstColumn="0" w:lastColumn="0" w:oddVBand="0" w:evenVBand="0" w:oddHBand="0" w:evenHBand="0" w:firstRowFirstColumn="0" w:firstRowLastColumn="0" w:lastRowFirstColumn="0" w:lastRowLastColumn="0"/>
          <w:trHeight w:val="557"/>
        </w:trPr>
        <w:tc>
          <w:tcPr>
            <w:tcW w:w="3969" w:type="dxa"/>
          </w:tcPr>
          <w:p w14:paraId="135C14CA" w14:textId="77777777" w:rsidR="00D210F0" w:rsidRPr="00092ED7" w:rsidRDefault="00D210F0" w:rsidP="005D14E2">
            <w:pPr>
              <w:spacing w:before="0" w:after="0"/>
              <w:ind w:left="113" w:right="113"/>
              <w:jc w:val="center"/>
              <w:rPr>
                <w:sz w:val="20"/>
                <w:lang w:val="sr-Cyrl-CS"/>
              </w:rPr>
            </w:pPr>
            <w:r w:rsidRPr="00092ED7">
              <w:rPr>
                <w:rFonts w:cs="Times New Roman"/>
                <w:sz w:val="20"/>
                <w:lang w:val="sr-Cyrl-CS"/>
              </w:rPr>
              <w:t>Показатељ</w:t>
            </w:r>
          </w:p>
        </w:tc>
        <w:tc>
          <w:tcPr>
            <w:tcW w:w="1701" w:type="dxa"/>
          </w:tcPr>
          <w:p w14:paraId="4E963CC8" w14:textId="77777777" w:rsidR="00D210F0" w:rsidRPr="00092ED7" w:rsidRDefault="00D210F0" w:rsidP="005D14E2">
            <w:pPr>
              <w:spacing w:before="0" w:after="0"/>
              <w:ind w:left="113" w:right="113"/>
              <w:jc w:val="center"/>
              <w:rPr>
                <w:rFonts w:cs="Times New Roman"/>
                <w:b w:val="0"/>
                <w:sz w:val="20"/>
                <w:lang w:val="sr-Cyrl-CS"/>
              </w:rPr>
            </w:pPr>
            <w:r w:rsidRPr="00092ED7">
              <w:rPr>
                <w:rFonts w:cs="Times New Roman"/>
                <w:sz w:val="20"/>
                <w:lang w:val="sr-Cyrl-CS"/>
              </w:rPr>
              <w:t xml:space="preserve">Почетна вредност </w:t>
            </w:r>
          </w:p>
          <w:p w14:paraId="74A6B5B8" w14:textId="77777777" w:rsidR="00D210F0" w:rsidRPr="00092ED7" w:rsidRDefault="00D210F0" w:rsidP="005D14E2">
            <w:pPr>
              <w:spacing w:before="0" w:after="0"/>
              <w:ind w:left="113" w:right="113"/>
              <w:jc w:val="center"/>
              <w:rPr>
                <w:sz w:val="20"/>
                <w:lang w:val="sr-Cyrl-CS"/>
              </w:rPr>
            </w:pPr>
            <w:r w:rsidRPr="00092ED7">
              <w:rPr>
                <w:rFonts w:cs="Times New Roman"/>
                <w:sz w:val="20"/>
                <w:lang w:val="sr-Cyrl-CS"/>
              </w:rPr>
              <w:t>(2019)</w:t>
            </w:r>
          </w:p>
        </w:tc>
        <w:tc>
          <w:tcPr>
            <w:tcW w:w="1701" w:type="dxa"/>
          </w:tcPr>
          <w:p w14:paraId="3A9657B8" w14:textId="77777777" w:rsidR="00D210F0" w:rsidRPr="00092ED7" w:rsidRDefault="00D210F0" w:rsidP="005D14E2">
            <w:pPr>
              <w:spacing w:before="0" w:after="0"/>
              <w:ind w:left="113" w:right="113"/>
              <w:jc w:val="center"/>
              <w:rPr>
                <w:sz w:val="20"/>
                <w:lang w:val="sr-Cyrl-CS"/>
              </w:rPr>
            </w:pPr>
            <w:r w:rsidRPr="00092ED7">
              <w:rPr>
                <w:rFonts w:cs="Times New Roman"/>
                <w:sz w:val="20"/>
                <w:lang w:val="sr-Cyrl-CS"/>
              </w:rPr>
              <w:t>Међурезултат (2023)</w:t>
            </w:r>
          </w:p>
        </w:tc>
        <w:tc>
          <w:tcPr>
            <w:tcW w:w="1701" w:type="dxa"/>
          </w:tcPr>
          <w:p w14:paraId="34AFFBB2" w14:textId="77777777" w:rsidR="00D210F0" w:rsidRPr="00092ED7" w:rsidRDefault="00D210F0" w:rsidP="005D14E2">
            <w:pPr>
              <w:spacing w:before="0" w:after="0"/>
              <w:ind w:left="113" w:right="113"/>
              <w:jc w:val="center"/>
              <w:rPr>
                <w:rFonts w:cs="Times New Roman"/>
                <w:b w:val="0"/>
                <w:sz w:val="20"/>
                <w:lang w:val="sr-Cyrl-CS"/>
              </w:rPr>
            </w:pPr>
            <w:r w:rsidRPr="00092ED7">
              <w:rPr>
                <w:rFonts w:cs="Times New Roman"/>
                <w:sz w:val="20"/>
                <w:lang w:val="sr-Cyrl-CS"/>
              </w:rPr>
              <w:t xml:space="preserve">Циљна вредност </w:t>
            </w:r>
          </w:p>
          <w:p w14:paraId="5E57AAF0" w14:textId="77777777" w:rsidR="00D210F0" w:rsidRPr="00092ED7" w:rsidRDefault="00D210F0" w:rsidP="005D14E2">
            <w:pPr>
              <w:spacing w:before="0" w:after="0"/>
              <w:ind w:left="113" w:right="113"/>
              <w:jc w:val="center"/>
              <w:rPr>
                <w:sz w:val="20"/>
                <w:lang w:val="sr-Cyrl-CS"/>
              </w:rPr>
            </w:pPr>
            <w:r w:rsidRPr="00092ED7">
              <w:rPr>
                <w:rFonts w:cs="Times New Roman"/>
                <w:sz w:val="20"/>
                <w:lang w:val="sr-Cyrl-CS"/>
              </w:rPr>
              <w:t>(2025)</w:t>
            </w:r>
          </w:p>
        </w:tc>
      </w:tr>
      <w:tr w:rsidR="00D210F0" w:rsidRPr="00092ED7" w14:paraId="7373BC10" w14:textId="77777777" w:rsidTr="00AE4362">
        <w:tc>
          <w:tcPr>
            <w:tcW w:w="3969" w:type="dxa"/>
          </w:tcPr>
          <w:p w14:paraId="5D28F993" w14:textId="77777777" w:rsidR="00D210F0" w:rsidRPr="00092ED7" w:rsidRDefault="00D210F0" w:rsidP="00D7672A">
            <w:pPr>
              <w:spacing w:before="0" w:after="0"/>
              <w:ind w:left="113" w:right="113"/>
              <w:rPr>
                <w:sz w:val="20"/>
                <w:lang w:val="sr-Cyrl-CS"/>
              </w:rPr>
            </w:pPr>
            <w:r w:rsidRPr="00092ED7">
              <w:rPr>
                <w:rFonts w:cs="Times New Roman"/>
                <w:bCs/>
                <w:sz w:val="20"/>
                <w:lang w:val="sr-Cyrl-CS"/>
              </w:rPr>
              <w:lastRenderedPageBreak/>
              <w:t>Број корисника пореских и других подстицаја намењених повратницима</w:t>
            </w:r>
          </w:p>
        </w:tc>
        <w:tc>
          <w:tcPr>
            <w:tcW w:w="1701" w:type="dxa"/>
          </w:tcPr>
          <w:p w14:paraId="07FB6289" w14:textId="77777777" w:rsidR="00D210F0" w:rsidRPr="00092ED7" w:rsidRDefault="00927C1D" w:rsidP="005D14E2">
            <w:pPr>
              <w:spacing w:before="0" w:after="0"/>
              <w:ind w:left="113" w:right="113"/>
              <w:jc w:val="center"/>
              <w:rPr>
                <w:rFonts w:cs="Times New Roman"/>
                <w:sz w:val="20"/>
                <w:lang w:val="sr-Cyrl-CS"/>
              </w:rPr>
            </w:pPr>
            <w:r w:rsidRPr="00092ED7">
              <w:rPr>
                <w:rFonts w:cs="Times New Roman"/>
                <w:sz w:val="20"/>
                <w:lang w:val="sr-Cyrl-CS"/>
              </w:rPr>
              <w:t>0</w:t>
            </w:r>
          </w:p>
        </w:tc>
        <w:tc>
          <w:tcPr>
            <w:tcW w:w="1701" w:type="dxa"/>
          </w:tcPr>
          <w:p w14:paraId="51FFC4FC" w14:textId="77777777" w:rsidR="00D210F0" w:rsidRPr="00092ED7" w:rsidRDefault="00927C1D" w:rsidP="005D14E2">
            <w:pPr>
              <w:spacing w:before="0" w:after="0"/>
              <w:ind w:left="113" w:right="113"/>
              <w:jc w:val="center"/>
              <w:rPr>
                <w:rFonts w:cs="Times New Roman"/>
                <w:sz w:val="20"/>
                <w:lang w:val="sr-Cyrl-CS"/>
              </w:rPr>
            </w:pPr>
            <w:r w:rsidRPr="00092ED7">
              <w:rPr>
                <w:rFonts w:cs="Times New Roman"/>
                <w:sz w:val="20"/>
                <w:lang w:val="sr-Cyrl-CS"/>
              </w:rPr>
              <w:t>900</w:t>
            </w:r>
          </w:p>
        </w:tc>
        <w:tc>
          <w:tcPr>
            <w:tcW w:w="1701" w:type="dxa"/>
          </w:tcPr>
          <w:p w14:paraId="5C34DF9F" w14:textId="77777777" w:rsidR="00D210F0" w:rsidRPr="00092ED7" w:rsidRDefault="00927C1D" w:rsidP="005D14E2">
            <w:pPr>
              <w:spacing w:before="0" w:after="0"/>
              <w:ind w:left="113" w:right="113"/>
              <w:jc w:val="center"/>
              <w:rPr>
                <w:rFonts w:cs="Times New Roman"/>
                <w:sz w:val="20"/>
                <w:lang w:val="sr-Cyrl-CS"/>
              </w:rPr>
            </w:pPr>
            <w:r w:rsidRPr="00092ED7">
              <w:rPr>
                <w:rFonts w:cs="Times New Roman"/>
                <w:sz w:val="20"/>
                <w:lang w:val="sr-Cyrl-CS"/>
              </w:rPr>
              <w:t>1450</w:t>
            </w:r>
          </w:p>
        </w:tc>
      </w:tr>
      <w:tr w:rsidR="00D210F0" w:rsidRPr="00092ED7" w14:paraId="203DD877" w14:textId="77777777" w:rsidTr="00AE4362">
        <w:tc>
          <w:tcPr>
            <w:tcW w:w="3969" w:type="dxa"/>
          </w:tcPr>
          <w:p w14:paraId="3A02A1D5" w14:textId="77777777" w:rsidR="00D210F0" w:rsidRPr="00092ED7" w:rsidRDefault="00D210F0" w:rsidP="00EE0647">
            <w:pPr>
              <w:spacing w:before="0" w:after="0"/>
              <w:ind w:left="113" w:right="113"/>
              <w:rPr>
                <w:sz w:val="20"/>
                <w:lang w:val="sr-Cyrl-CS"/>
              </w:rPr>
            </w:pPr>
            <w:r w:rsidRPr="00092ED7">
              <w:rPr>
                <w:rFonts w:cs="Times New Roman"/>
                <w:bCs/>
                <w:sz w:val="20"/>
                <w:lang w:val="sr-Cyrl-CS"/>
              </w:rPr>
              <w:t>Број држављана Републике Србије који су користили програме или услуге намењене повратницима</w:t>
            </w:r>
          </w:p>
        </w:tc>
        <w:tc>
          <w:tcPr>
            <w:tcW w:w="1701" w:type="dxa"/>
          </w:tcPr>
          <w:p w14:paraId="12073123" w14:textId="77777777" w:rsidR="00D210F0" w:rsidRPr="00092ED7" w:rsidRDefault="00D210F0" w:rsidP="005D14E2">
            <w:pPr>
              <w:spacing w:before="0" w:after="0"/>
              <w:ind w:left="113" w:right="113"/>
              <w:jc w:val="center"/>
              <w:rPr>
                <w:rFonts w:cs="Times New Roman"/>
                <w:sz w:val="20"/>
                <w:lang w:val="sr-Cyrl-CS"/>
              </w:rPr>
            </w:pPr>
            <w:r w:rsidRPr="00092ED7">
              <w:rPr>
                <w:rFonts w:cs="Times New Roman"/>
                <w:sz w:val="20"/>
                <w:lang w:val="sr-Cyrl-CS"/>
              </w:rPr>
              <w:t>0</w:t>
            </w:r>
          </w:p>
        </w:tc>
        <w:tc>
          <w:tcPr>
            <w:tcW w:w="1701" w:type="dxa"/>
          </w:tcPr>
          <w:p w14:paraId="38F4CD81" w14:textId="77777777" w:rsidR="00D210F0" w:rsidRPr="00092ED7" w:rsidRDefault="00D210F0" w:rsidP="005D14E2">
            <w:pPr>
              <w:spacing w:before="0" w:after="0"/>
              <w:ind w:left="113" w:right="113"/>
              <w:jc w:val="center"/>
              <w:rPr>
                <w:rFonts w:cs="Times New Roman"/>
                <w:sz w:val="20"/>
                <w:lang w:val="sr-Cyrl-CS"/>
              </w:rPr>
            </w:pPr>
            <w:r w:rsidRPr="00092ED7">
              <w:rPr>
                <w:rFonts w:cs="Times New Roman"/>
                <w:sz w:val="20"/>
                <w:lang w:val="sr-Cyrl-CS"/>
              </w:rPr>
              <w:t>3000</w:t>
            </w:r>
          </w:p>
        </w:tc>
        <w:tc>
          <w:tcPr>
            <w:tcW w:w="1701" w:type="dxa"/>
          </w:tcPr>
          <w:p w14:paraId="227C93C6" w14:textId="77777777" w:rsidR="00D210F0" w:rsidRPr="00092ED7" w:rsidRDefault="00D210F0" w:rsidP="005D14E2">
            <w:pPr>
              <w:spacing w:before="0" w:after="0"/>
              <w:ind w:left="113" w:right="113"/>
              <w:jc w:val="center"/>
              <w:rPr>
                <w:rFonts w:cs="Times New Roman"/>
                <w:sz w:val="20"/>
                <w:lang w:val="sr-Cyrl-CS"/>
              </w:rPr>
            </w:pPr>
            <w:r w:rsidRPr="00092ED7">
              <w:rPr>
                <w:rFonts w:cs="Times New Roman"/>
                <w:sz w:val="20"/>
                <w:lang w:val="sr-Cyrl-CS"/>
              </w:rPr>
              <w:t>5000</w:t>
            </w:r>
          </w:p>
        </w:tc>
      </w:tr>
      <w:tr w:rsidR="00D210F0" w:rsidRPr="00092ED7" w14:paraId="5BC2D385" w14:textId="77777777" w:rsidTr="00AE4362">
        <w:tc>
          <w:tcPr>
            <w:tcW w:w="3969" w:type="dxa"/>
          </w:tcPr>
          <w:p w14:paraId="7FA61648" w14:textId="77777777" w:rsidR="00D210F0" w:rsidRPr="00092ED7" w:rsidRDefault="00D210F0" w:rsidP="00EE0647">
            <w:pPr>
              <w:spacing w:before="0" w:after="0"/>
              <w:ind w:left="113" w:right="113"/>
              <w:rPr>
                <w:sz w:val="20"/>
                <w:lang w:val="sr-Cyrl-CS"/>
              </w:rPr>
            </w:pPr>
            <w:r w:rsidRPr="00092ED7">
              <w:rPr>
                <w:rFonts w:cs="Times New Roman"/>
                <w:bCs/>
                <w:sz w:val="20"/>
                <w:lang w:val="sr-Cyrl-CS"/>
              </w:rPr>
              <w:t>Број страних држављана српског порекла који су затражили боравак у Републици Србији</w:t>
            </w:r>
          </w:p>
        </w:tc>
        <w:tc>
          <w:tcPr>
            <w:tcW w:w="1701" w:type="dxa"/>
          </w:tcPr>
          <w:p w14:paraId="21B1CC2F" w14:textId="77777777" w:rsidR="00D210F0" w:rsidRPr="00092ED7" w:rsidRDefault="00D210F0" w:rsidP="005D14E2">
            <w:pPr>
              <w:spacing w:before="0" w:after="0"/>
              <w:ind w:left="113" w:right="113"/>
              <w:jc w:val="center"/>
              <w:rPr>
                <w:rFonts w:cs="Times New Roman"/>
                <w:sz w:val="20"/>
                <w:lang w:val="sr-Cyrl-CS"/>
              </w:rPr>
            </w:pPr>
            <w:r w:rsidRPr="00092ED7">
              <w:rPr>
                <w:rFonts w:cs="Times New Roman"/>
                <w:sz w:val="20"/>
                <w:lang w:val="sr-Cyrl-CS"/>
              </w:rPr>
              <w:t>0</w:t>
            </w:r>
          </w:p>
        </w:tc>
        <w:tc>
          <w:tcPr>
            <w:tcW w:w="1701" w:type="dxa"/>
          </w:tcPr>
          <w:p w14:paraId="3CF2DCA6" w14:textId="77777777" w:rsidR="00D210F0" w:rsidRPr="00092ED7" w:rsidRDefault="00D210F0" w:rsidP="005D14E2">
            <w:pPr>
              <w:spacing w:before="0" w:after="0"/>
              <w:ind w:left="113" w:right="113"/>
              <w:jc w:val="center"/>
              <w:rPr>
                <w:rFonts w:cs="Times New Roman"/>
                <w:sz w:val="20"/>
                <w:lang w:val="sr-Cyrl-CS"/>
              </w:rPr>
            </w:pPr>
            <w:r w:rsidRPr="00092ED7">
              <w:rPr>
                <w:rFonts w:cs="Times New Roman"/>
                <w:sz w:val="20"/>
                <w:lang w:val="sr-Cyrl-CS"/>
              </w:rPr>
              <w:t>200</w:t>
            </w:r>
          </w:p>
        </w:tc>
        <w:tc>
          <w:tcPr>
            <w:tcW w:w="1701" w:type="dxa"/>
          </w:tcPr>
          <w:p w14:paraId="4C07A146" w14:textId="77777777" w:rsidR="00D210F0" w:rsidRPr="00092ED7" w:rsidRDefault="00D210F0" w:rsidP="005D14E2">
            <w:pPr>
              <w:spacing w:before="0" w:after="0"/>
              <w:ind w:left="113" w:right="113"/>
              <w:jc w:val="center"/>
              <w:rPr>
                <w:rFonts w:cs="Times New Roman"/>
                <w:sz w:val="20"/>
                <w:lang w:val="sr-Cyrl-CS"/>
              </w:rPr>
            </w:pPr>
            <w:r w:rsidRPr="00092ED7">
              <w:rPr>
                <w:rFonts w:cs="Times New Roman"/>
                <w:sz w:val="20"/>
                <w:lang w:val="sr-Cyrl-CS"/>
              </w:rPr>
              <w:t>400</w:t>
            </w:r>
          </w:p>
        </w:tc>
      </w:tr>
      <w:tr w:rsidR="00D210F0" w:rsidRPr="00092ED7" w14:paraId="5C8487D1" w14:textId="77777777" w:rsidTr="00AE4362">
        <w:tc>
          <w:tcPr>
            <w:tcW w:w="3969" w:type="dxa"/>
          </w:tcPr>
          <w:p w14:paraId="5C396E08" w14:textId="77777777" w:rsidR="00D210F0" w:rsidRPr="00092ED7" w:rsidRDefault="00D210F0" w:rsidP="00EE0647">
            <w:pPr>
              <w:spacing w:before="0" w:after="0"/>
              <w:ind w:left="113" w:right="113"/>
              <w:rPr>
                <w:sz w:val="20"/>
                <w:lang w:val="sr-Cyrl-CS"/>
              </w:rPr>
            </w:pPr>
            <w:r w:rsidRPr="00092ED7">
              <w:rPr>
                <w:rFonts w:cs="Times New Roman"/>
                <w:bCs/>
                <w:sz w:val="20"/>
                <w:lang w:val="sr-Cyrl-CS"/>
              </w:rPr>
              <w:t>Број ментора који пружају подршку повратку припадницима дијаспоре</w:t>
            </w:r>
          </w:p>
        </w:tc>
        <w:tc>
          <w:tcPr>
            <w:tcW w:w="1701" w:type="dxa"/>
          </w:tcPr>
          <w:p w14:paraId="223F0525" w14:textId="77777777" w:rsidR="00D210F0" w:rsidRPr="00092ED7" w:rsidRDefault="00D210F0" w:rsidP="005D14E2">
            <w:pPr>
              <w:spacing w:before="0" w:after="0"/>
              <w:ind w:left="113" w:right="113"/>
              <w:jc w:val="center"/>
              <w:rPr>
                <w:rFonts w:cs="Times New Roman"/>
                <w:sz w:val="20"/>
                <w:lang w:val="sr-Cyrl-CS"/>
              </w:rPr>
            </w:pPr>
            <w:r w:rsidRPr="00092ED7">
              <w:rPr>
                <w:rFonts w:cs="Times New Roman"/>
                <w:sz w:val="20"/>
                <w:lang w:val="sr-Cyrl-CS"/>
              </w:rPr>
              <w:t>0</w:t>
            </w:r>
          </w:p>
        </w:tc>
        <w:tc>
          <w:tcPr>
            <w:tcW w:w="1701" w:type="dxa"/>
          </w:tcPr>
          <w:p w14:paraId="66B526EB" w14:textId="77777777" w:rsidR="00D210F0" w:rsidRPr="00092ED7" w:rsidRDefault="00927C1D" w:rsidP="005D14E2">
            <w:pPr>
              <w:spacing w:before="0" w:after="0"/>
              <w:ind w:left="113" w:right="113"/>
              <w:jc w:val="center"/>
              <w:rPr>
                <w:rFonts w:cs="Times New Roman"/>
                <w:sz w:val="20"/>
                <w:lang w:val="sr-Cyrl-CS"/>
              </w:rPr>
            </w:pPr>
            <w:r w:rsidRPr="00092ED7">
              <w:rPr>
                <w:rFonts w:cs="Times New Roman"/>
                <w:sz w:val="20"/>
                <w:lang w:val="sr-Cyrl-CS"/>
              </w:rPr>
              <w:t>50</w:t>
            </w:r>
          </w:p>
        </w:tc>
        <w:tc>
          <w:tcPr>
            <w:tcW w:w="1701" w:type="dxa"/>
          </w:tcPr>
          <w:p w14:paraId="4EA2F457" w14:textId="77777777" w:rsidR="00D210F0" w:rsidRPr="00092ED7" w:rsidRDefault="00927C1D" w:rsidP="005D14E2">
            <w:pPr>
              <w:spacing w:before="0" w:after="0"/>
              <w:ind w:left="113" w:right="113"/>
              <w:jc w:val="center"/>
              <w:rPr>
                <w:rFonts w:cs="Times New Roman"/>
                <w:sz w:val="20"/>
                <w:lang w:val="sr-Cyrl-CS"/>
              </w:rPr>
            </w:pPr>
            <w:r w:rsidRPr="00092ED7">
              <w:rPr>
                <w:rFonts w:cs="Times New Roman"/>
                <w:sz w:val="20"/>
                <w:lang w:val="sr-Cyrl-CS"/>
              </w:rPr>
              <w:t>100</w:t>
            </w:r>
          </w:p>
        </w:tc>
      </w:tr>
    </w:tbl>
    <w:p w14:paraId="635B5170" w14:textId="77777777" w:rsidR="00D210F0" w:rsidRPr="00092ED7" w:rsidRDefault="00D210F0" w:rsidP="00071952">
      <w:pPr>
        <w:pStyle w:val="ListParagraph"/>
        <w:widowControl w:val="0"/>
        <w:numPr>
          <w:ilvl w:val="0"/>
          <w:numId w:val="21"/>
        </w:numPr>
        <w:spacing w:before="120" w:line="240" w:lineRule="auto"/>
        <w:ind w:left="425" w:hanging="425"/>
        <w:contextualSpacing w:val="0"/>
        <w:rPr>
          <w:rFonts w:cs="Times New Roman"/>
          <w:b/>
          <w:sz w:val="24"/>
          <w:szCs w:val="24"/>
          <w:lang w:val="sr-Cyrl-CS" w:eastAsia="sr-Cyrl-CS" w:bidi="sr-Cyrl-CS"/>
        </w:rPr>
      </w:pPr>
      <w:r w:rsidRPr="00092ED7">
        <w:rPr>
          <w:rFonts w:cs="Times New Roman"/>
          <w:b/>
          <w:sz w:val="24"/>
          <w:szCs w:val="24"/>
          <w:lang w:val="sr-Cyrl-CS" w:eastAsia="sr-Cyrl-CS" w:bidi="sr-Cyrl-CS"/>
        </w:rPr>
        <w:t>Очекивани утицај на конкурентност</w:t>
      </w:r>
    </w:p>
    <w:p w14:paraId="415020D6" w14:textId="77777777" w:rsidR="00D210F0" w:rsidRPr="00092ED7" w:rsidRDefault="00D210F0" w:rsidP="00D210F0">
      <w:pPr>
        <w:widowControl w:val="0"/>
        <w:spacing w:after="60"/>
        <w:rPr>
          <w:rFonts w:eastAsia="Calibri" w:cs="Times New Roman"/>
          <w:szCs w:val="24"/>
          <w:lang w:val="sr-Cyrl-CS" w:eastAsia="sr-Cyrl-CS" w:bidi="sr-Cyrl-CS"/>
        </w:rPr>
      </w:pPr>
      <w:r w:rsidRPr="00092ED7">
        <w:rPr>
          <w:rFonts w:eastAsia="Calibri" w:cs="Times New Roman"/>
          <w:szCs w:val="24"/>
          <w:lang w:val="sr-Cyrl-CS" w:eastAsia="sr-Cyrl-CS" w:bidi="sr-Cyrl-CS"/>
        </w:rPr>
        <w:t>Привреда Републике Србије је и даље у дефициту са искусним кадровима који поседују савремена знања, а који су кључ глобалне конкурентности. Спровођењем структурне реформе интензивираће се активности на привлачењу наших и страних држављана који, осим знања и искуства, својим контактима могу приближити и отворити многа тржишта. Реформа такође доприноси креирању стимулативног окружења које је пожељно за све индустрије, посебно за развој и примену високе технологије и иновација, као и окружење које је привлачно за научнике и инжењере из целог света. На тај начин ће и привреда бити конкурентнија кроз приступ новим технологијама, као и најмодернијим начинима управљања комплексним пословањем и великим развојним пројектима. Поред тога, мере су усмерене ка привлачењу кадрова за истраживачко-развојне центре института и привреде у Републици Србији.</w:t>
      </w:r>
    </w:p>
    <w:p w14:paraId="3A0881D7" w14:textId="77777777" w:rsidR="00D210F0" w:rsidRPr="00092ED7" w:rsidRDefault="00D210F0" w:rsidP="00071952">
      <w:pPr>
        <w:widowControl w:val="0"/>
        <w:numPr>
          <w:ilvl w:val="0"/>
          <w:numId w:val="21"/>
        </w:numPr>
        <w:spacing w:before="120"/>
        <w:ind w:left="425" w:hanging="425"/>
        <w:rPr>
          <w:rFonts w:eastAsia="Calibri" w:cs="Times New Roman"/>
          <w:b/>
          <w:szCs w:val="24"/>
          <w:lang w:val="sr-Cyrl-CS" w:eastAsia="sr-Cyrl-CS" w:bidi="sr-Cyrl-CS"/>
        </w:rPr>
      </w:pPr>
      <w:r w:rsidRPr="00092ED7">
        <w:rPr>
          <w:rFonts w:eastAsia="Calibri" w:cs="Times New Roman"/>
          <w:b/>
          <w:szCs w:val="24"/>
          <w:lang w:val="sr-Cyrl-CS" w:eastAsia="sr-Cyrl-CS" w:bidi="sr-Cyrl-CS"/>
        </w:rPr>
        <w:t>Процењени трошкови активности и извори финансирања</w:t>
      </w:r>
    </w:p>
    <w:p w14:paraId="7369F59C" w14:textId="36F0D8A9" w:rsidR="000C7942" w:rsidRPr="00092ED7" w:rsidRDefault="000C7942" w:rsidP="00D210F0">
      <w:pPr>
        <w:widowControl w:val="0"/>
        <w:spacing w:after="60"/>
        <w:rPr>
          <w:rFonts w:eastAsia="Calibri" w:cs="Times New Roman"/>
          <w:szCs w:val="24"/>
          <w:lang w:val="sr-Cyrl-CS" w:eastAsia="sr-Cyrl-CS" w:bidi="sr-Cyrl-CS"/>
        </w:rPr>
      </w:pPr>
      <w:r w:rsidRPr="00092ED7">
        <w:rPr>
          <w:rFonts w:eastAsia="Calibri" w:cs="Times New Roman"/>
          <w:szCs w:val="24"/>
          <w:lang w:val="sr-Cyrl-CS" w:eastAsia="sr-Cyrl-CS" w:bidi="sr-Cyrl-CS"/>
        </w:rPr>
        <w:t>Јачање капацитета институција ће се реализовати уз подршку</w:t>
      </w:r>
      <w:r w:rsidR="00B649E2" w:rsidRPr="00092ED7">
        <w:rPr>
          <w:rFonts w:eastAsia="Calibri" w:cs="Times New Roman"/>
          <w:szCs w:val="24"/>
          <w:lang w:val="sr-Cyrl-CS" w:eastAsia="sr-Cyrl-CS" w:bidi="sr-Cyrl-CS"/>
        </w:rPr>
        <w:t xml:space="preserve"> ГИЗ</w:t>
      </w:r>
      <w:r w:rsidRPr="00092ED7">
        <w:rPr>
          <w:rFonts w:eastAsia="Calibri" w:cs="Times New Roman"/>
          <w:szCs w:val="24"/>
          <w:lang w:val="sr-Cyrl-CS" w:eastAsia="sr-Cyrl-CS" w:bidi="sr-Cyrl-CS"/>
        </w:rPr>
        <w:t xml:space="preserve">. Унапређење амбијента за подстицање, подршку и праћење циркуларних и повратних миграција посебно висококвалификоване српске дијаспоре ће се реализовати кроз активности Тачке повратка, а уз подршку како међународних донатора (Програма Уједињених нација за развој </w:t>
      </w:r>
      <w:r w:rsidR="005C0DE5" w:rsidRPr="00092ED7">
        <w:rPr>
          <w:rFonts w:eastAsia="Calibri" w:cs="Times New Roman"/>
          <w:szCs w:val="24"/>
          <w:lang w:val="sr-Cyrl-CS" w:eastAsia="sr-Cyrl-CS" w:bidi="sr-Cyrl-CS"/>
        </w:rPr>
        <w:t xml:space="preserve">- </w:t>
      </w:r>
      <w:r w:rsidRPr="00092ED7">
        <w:rPr>
          <w:rFonts w:eastAsia="Calibri" w:cs="Times New Roman"/>
          <w:szCs w:val="24"/>
          <w:lang w:val="sr-Cyrl-CS" w:eastAsia="sr-Cyrl-CS" w:bidi="sr-Cyrl-CS"/>
        </w:rPr>
        <w:t>UNDP), тако и донација дијаспорских организација и приватног сектора.</w:t>
      </w:r>
    </w:p>
    <w:p w14:paraId="43006013" w14:textId="77777777" w:rsidR="00D210F0" w:rsidRPr="00092ED7" w:rsidRDefault="00D210F0" w:rsidP="00071952">
      <w:pPr>
        <w:widowControl w:val="0"/>
        <w:numPr>
          <w:ilvl w:val="0"/>
          <w:numId w:val="21"/>
        </w:numPr>
        <w:spacing w:before="120"/>
        <w:ind w:left="425" w:hanging="425"/>
        <w:rPr>
          <w:rFonts w:eastAsia="Calibri" w:cs="Times New Roman"/>
          <w:b/>
          <w:szCs w:val="24"/>
          <w:lang w:val="sr-Cyrl-CS" w:eastAsia="sr-Cyrl-CS" w:bidi="sr-Cyrl-CS"/>
        </w:rPr>
      </w:pPr>
      <w:r w:rsidRPr="00092ED7">
        <w:rPr>
          <w:rFonts w:eastAsia="Calibri" w:cs="Times New Roman"/>
          <w:b/>
          <w:szCs w:val="24"/>
          <w:lang w:val="sr-Cyrl-CS" w:eastAsia="sr-Cyrl-CS" w:bidi="sr-Cyrl-CS"/>
        </w:rPr>
        <w:t>Очекивани утицај на социјалне циљеве, као што су запосленост, смањење сиромаштва, родна равноправност и приступ здравственој заштити</w:t>
      </w:r>
    </w:p>
    <w:p w14:paraId="0072A33B" w14:textId="77777777" w:rsidR="00D210F0" w:rsidRPr="00092ED7" w:rsidRDefault="00E4340B" w:rsidP="00D210F0">
      <w:pPr>
        <w:widowControl w:val="0"/>
        <w:spacing w:after="60"/>
        <w:rPr>
          <w:rFonts w:eastAsia="Calibri" w:cs="Times New Roman"/>
          <w:szCs w:val="24"/>
          <w:lang w:val="sr-Cyrl-CS" w:eastAsia="sr-Cyrl-CS" w:bidi="sr-Cyrl-CS"/>
        </w:rPr>
      </w:pPr>
      <w:r w:rsidRPr="00092ED7">
        <w:rPr>
          <w:rFonts w:eastAsia="Calibri" w:cs="Times New Roman"/>
          <w:szCs w:val="24"/>
          <w:lang w:val="sr-Cyrl-CS" w:eastAsia="sr-Cyrl-CS" w:bidi="sr-Cyrl-CS"/>
        </w:rPr>
        <w:t xml:space="preserve">Структурна реформа путем обезбеђивања стручног кадра који је неопходан привреди и привлачењем инвеститора који лоцирају своје истраживачко-развојне капацитете у Републици Србији, на директан начин утиче на повећање запошљавања, што доприноси и директном утицају на смањење сиромаштва. </w:t>
      </w:r>
      <w:r w:rsidR="00D210F0" w:rsidRPr="00092ED7">
        <w:rPr>
          <w:rFonts w:eastAsia="Calibri" w:cs="Times New Roman"/>
          <w:szCs w:val="24"/>
          <w:lang w:val="sr-Cyrl-CS" w:eastAsia="sr-Cyrl-CS" w:bidi="sr-Cyrl-CS"/>
        </w:rPr>
        <w:t>Процењује се да је мера родно неутрална.</w:t>
      </w:r>
    </w:p>
    <w:p w14:paraId="48ECB83E" w14:textId="77777777" w:rsidR="00D210F0" w:rsidRPr="00092ED7" w:rsidRDefault="00D210F0" w:rsidP="00071952">
      <w:pPr>
        <w:widowControl w:val="0"/>
        <w:numPr>
          <w:ilvl w:val="0"/>
          <w:numId w:val="21"/>
        </w:numPr>
        <w:spacing w:before="120"/>
        <w:ind w:left="425" w:hanging="425"/>
        <w:rPr>
          <w:rFonts w:eastAsia="Calibri" w:cs="Times New Roman"/>
          <w:b/>
          <w:szCs w:val="24"/>
          <w:lang w:val="sr-Cyrl-CS" w:eastAsia="sr-Cyrl-CS" w:bidi="sr-Cyrl-CS"/>
        </w:rPr>
      </w:pPr>
      <w:r w:rsidRPr="00092ED7">
        <w:rPr>
          <w:rFonts w:eastAsia="Calibri" w:cs="Times New Roman"/>
          <w:b/>
          <w:szCs w:val="24"/>
          <w:lang w:val="sr-Cyrl-CS" w:eastAsia="sr-Cyrl-CS" w:bidi="sr-Cyrl-CS"/>
        </w:rPr>
        <w:t>Очекивани утицај на животну средину и климатске промене</w:t>
      </w:r>
    </w:p>
    <w:p w14:paraId="3C650A00" w14:textId="77777777" w:rsidR="00D210F0" w:rsidRPr="00092ED7" w:rsidRDefault="00D210F0" w:rsidP="00D210F0">
      <w:pPr>
        <w:widowControl w:val="0"/>
        <w:spacing w:after="60"/>
        <w:rPr>
          <w:rFonts w:eastAsia="Calibri" w:cs="Times New Roman"/>
          <w:szCs w:val="24"/>
          <w:lang w:val="sr-Cyrl-CS" w:eastAsia="sr-Cyrl-CS" w:bidi="sr-Cyrl-CS"/>
        </w:rPr>
      </w:pPr>
      <w:r w:rsidRPr="00092ED7">
        <w:rPr>
          <w:rFonts w:eastAsia="Calibri" w:cs="Times New Roman"/>
          <w:szCs w:val="24"/>
          <w:lang w:val="sr-Cyrl-CS" w:eastAsia="sr-Cyrl-CS" w:bidi="sr-Cyrl-CS"/>
        </w:rPr>
        <w:t>Ова структурна реформа је неутрална у смислу утицаја на животну средину</w:t>
      </w:r>
      <w:r w:rsidR="001F62AF" w:rsidRPr="00092ED7">
        <w:rPr>
          <w:rFonts w:eastAsia="Calibri" w:cs="Times New Roman"/>
          <w:szCs w:val="24"/>
          <w:lang w:val="sr-Cyrl-CS" w:eastAsia="sr-Cyrl-CS" w:bidi="sr-Cyrl-CS"/>
        </w:rPr>
        <w:t xml:space="preserve"> и климатске промене</w:t>
      </w:r>
      <w:r w:rsidRPr="00092ED7">
        <w:rPr>
          <w:rFonts w:eastAsia="Calibri" w:cs="Times New Roman"/>
          <w:szCs w:val="24"/>
          <w:lang w:val="sr-Cyrl-CS" w:eastAsia="sr-Cyrl-CS" w:bidi="sr-Cyrl-CS"/>
        </w:rPr>
        <w:t>.</w:t>
      </w:r>
    </w:p>
    <w:p w14:paraId="0B3D8163" w14:textId="77777777" w:rsidR="00D210F0" w:rsidRPr="00092ED7" w:rsidRDefault="00D210F0" w:rsidP="00071952">
      <w:pPr>
        <w:widowControl w:val="0"/>
        <w:numPr>
          <w:ilvl w:val="0"/>
          <w:numId w:val="21"/>
        </w:numPr>
        <w:spacing w:before="120"/>
        <w:ind w:left="425" w:hanging="425"/>
        <w:rPr>
          <w:rFonts w:eastAsia="Calibri" w:cs="Times New Roman"/>
          <w:b/>
          <w:szCs w:val="24"/>
          <w:lang w:val="sr-Cyrl-CS" w:eastAsia="sr-Cyrl-CS" w:bidi="sr-Cyrl-CS"/>
        </w:rPr>
      </w:pPr>
      <w:r w:rsidRPr="00092ED7">
        <w:rPr>
          <w:rFonts w:eastAsia="Calibri" w:cs="Times New Roman"/>
          <w:b/>
          <w:szCs w:val="24"/>
          <w:lang w:val="sr-Cyrl-CS" w:eastAsia="sr-Cyrl-CS" w:bidi="sr-Cyrl-CS"/>
        </w:rPr>
        <w:t>Потенцијални ризици</w:t>
      </w:r>
    </w:p>
    <w:tbl>
      <w:tblPr>
        <w:tblStyle w:val="TableGrid"/>
        <w:tblW w:w="9067" w:type="dxa"/>
        <w:jc w:val="center"/>
        <w:tblLayout w:type="fixed"/>
        <w:tblLook w:val="04A0" w:firstRow="1" w:lastRow="0" w:firstColumn="1" w:lastColumn="0" w:noHBand="0" w:noVBand="1"/>
      </w:tblPr>
      <w:tblGrid>
        <w:gridCol w:w="3515"/>
        <w:gridCol w:w="2098"/>
        <w:gridCol w:w="3454"/>
      </w:tblGrid>
      <w:tr w:rsidR="00D210F0" w:rsidRPr="00092ED7" w14:paraId="03382B89" w14:textId="77777777" w:rsidTr="00AE4362">
        <w:trPr>
          <w:cnfStyle w:val="100000000000" w:firstRow="1" w:lastRow="0" w:firstColumn="0" w:lastColumn="0" w:oddVBand="0" w:evenVBand="0" w:oddHBand="0" w:evenHBand="0" w:firstRowFirstColumn="0" w:firstRowLastColumn="0" w:lastRowFirstColumn="0" w:lastRowLastColumn="0"/>
          <w:jc w:val="center"/>
        </w:trPr>
        <w:tc>
          <w:tcPr>
            <w:tcW w:w="3515" w:type="dxa"/>
          </w:tcPr>
          <w:p w14:paraId="51996F35" w14:textId="77777777" w:rsidR="00D210F0" w:rsidRPr="00092ED7" w:rsidRDefault="00D210F0" w:rsidP="005D14E2">
            <w:pPr>
              <w:spacing w:before="0" w:after="0"/>
              <w:ind w:left="113" w:right="113"/>
              <w:jc w:val="center"/>
              <w:rPr>
                <w:sz w:val="20"/>
                <w:lang w:val="sr-Cyrl-CS"/>
              </w:rPr>
            </w:pPr>
            <w:r w:rsidRPr="00092ED7">
              <w:rPr>
                <w:rFonts w:cs="Times New Roman"/>
                <w:sz w:val="20"/>
                <w:lang w:val="sr-Cyrl-CS"/>
              </w:rPr>
              <w:t>Ризик</w:t>
            </w:r>
          </w:p>
        </w:tc>
        <w:tc>
          <w:tcPr>
            <w:tcW w:w="2098" w:type="dxa"/>
          </w:tcPr>
          <w:p w14:paraId="064C1F98" w14:textId="77777777" w:rsidR="00D210F0" w:rsidRPr="00092ED7" w:rsidRDefault="00D210F0" w:rsidP="005D14E2">
            <w:pPr>
              <w:spacing w:before="0" w:after="0"/>
              <w:ind w:left="113" w:right="113"/>
              <w:jc w:val="center"/>
              <w:rPr>
                <w:sz w:val="20"/>
                <w:lang w:val="sr-Cyrl-CS"/>
              </w:rPr>
            </w:pPr>
            <w:r w:rsidRPr="00092ED7">
              <w:rPr>
                <w:rFonts w:cs="Times New Roman"/>
                <w:sz w:val="20"/>
                <w:lang w:val="sr-Cyrl-CS"/>
              </w:rPr>
              <w:t>Вероватноћа за остваривање ризика</w:t>
            </w:r>
          </w:p>
        </w:tc>
        <w:tc>
          <w:tcPr>
            <w:tcW w:w="3454" w:type="dxa"/>
          </w:tcPr>
          <w:p w14:paraId="3164CDCE" w14:textId="77777777" w:rsidR="00D210F0" w:rsidRPr="00092ED7" w:rsidRDefault="00D210F0" w:rsidP="005D14E2">
            <w:pPr>
              <w:spacing w:before="0" w:after="0"/>
              <w:ind w:left="113" w:right="113"/>
              <w:jc w:val="center"/>
              <w:rPr>
                <w:sz w:val="20"/>
                <w:lang w:val="sr-Cyrl-CS"/>
              </w:rPr>
            </w:pPr>
            <w:r w:rsidRPr="00092ED7">
              <w:rPr>
                <w:rFonts w:cs="Times New Roman"/>
                <w:sz w:val="20"/>
                <w:lang w:val="sr-Cyrl-CS"/>
              </w:rPr>
              <w:t>Планиране активност за ублажавање негативних ефеката ризика</w:t>
            </w:r>
          </w:p>
        </w:tc>
      </w:tr>
      <w:tr w:rsidR="00D210F0" w:rsidRPr="00092ED7" w14:paraId="5B256C24" w14:textId="77777777" w:rsidTr="004130F6">
        <w:trPr>
          <w:jc w:val="center"/>
        </w:trPr>
        <w:tc>
          <w:tcPr>
            <w:tcW w:w="3515" w:type="dxa"/>
            <w:vAlign w:val="top"/>
          </w:tcPr>
          <w:p w14:paraId="1CEAD620" w14:textId="77777777" w:rsidR="00D210F0" w:rsidRPr="00092ED7" w:rsidRDefault="00D210F0" w:rsidP="004130F6">
            <w:pPr>
              <w:spacing w:before="0" w:after="0"/>
              <w:ind w:left="113" w:right="113"/>
              <w:rPr>
                <w:sz w:val="20"/>
                <w:lang w:val="sr-Cyrl-CS"/>
              </w:rPr>
            </w:pPr>
            <w:r w:rsidRPr="00092ED7">
              <w:rPr>
                <w:rFonts w:cs="Times New Roman"/>
                <w:sz w:val="20"/>
                <w:lang w:val="sr-Cyrl-CS"/>
              </w:rPr>
              <w:t>Мањак средстава за спровођење мера и активности предвиђених Акционим планом за период 2021-2023. године за примену Стратегије о економским миграцијама Републике Србије за период 2021-2027. године у планираним роковима</w:t>
            </w:r>
          </w:p>
        </w:tc>
        <w:tc>
          <w:tcPr>
            <w:tcW w:w="2098" w:type="dxa"/>
            <w:vAlign w:val="top"/>
          </w:tcPr>
          <w:p w14:paraId="78255BAC" w14:textId="77777777" w:rsidR="00D210F0" w:rsidRPr="00092ED7" w:rsidRDefault="00D210F0" w:rsidP="004130F6">
            <w:pPr>
              <w:spacing w:before="0" w:after="0"/>
              <w:ind w:left="113" w:right="113"/>
              <w:jc w:val="center"/>
              <w:rPr>
                <w:rFonts w:cs="Times New Roman"/>
                <w:sz w:val="20"/>
                <w:lang w:val="sr-Cyrl-CS"/>
              </w:rPr>
            </w:pPr>
            <w:r w:rsidRPr="00092ED7">
              <w:rPr>
                <w:rFonts w:cs="Times New Roman"/>
                <w:sz w:val="20"/>
                <w:lang w:val="sr-Cyrl-CS"/>
              </w:rPr>
              <w:t>Ниска</w:t>
            </w:r>
          </w:p>
        </w:tc>
        <w:tc>
          <w:tcPr>
            <w:tcW w:w="3454" w:type="dxa"/>
            <w:vAlign w:val="top"/>
          </w:tcPr>
          <w:p w14:paraId="4C3AC25B" w14:textId="77777777" w:rsidR="00D210F0" w:rsidRPr="00092ED7" w:rsidRDefault="00D210F0" w:rsidP="004130F6">
            <w:pPr>
              <w:spacing w:before="0" w:after="0"/>
              <w:ind w:left="113" w:right="113"/>
              <w:rPr>
                <w:rFonts w:cs="Times New Roman"/>
                <w:sz w:val="20"/>
                <w:lang w:val="sr-Cyrl-CS"/>
              </w:rPr>
            </w:pPr>
            <w:r w:rsidRPr="00092ED7">
              <w:rPr>
                <w:rFonts w:cs="Times New Roman"/>
                <w:sz w:val="20"/>
                <w:lang w:val="sr-Cyrl-CS"/>
              </w:rPr>
              <w:t xml:space="preserve">Обучавање  запослених независно </w:t>
            </w:r>
            <w:r w:rsidR="00AE4362" w:rsidRPr="00092ED7">
              <w:rPr>
                <w:rFonts w:cs="Times New Roman"/>
                <w:sz w:val="20"/>
                <w:lang w:val="sr-Cyrl-CS"/>
              </w:rPr>
              <w:t xml:space="preserve">од Акционог плана, а на основу </w:t>
            </w:r>
            <w:r w:rsidRPr="00092ED7">
              <w:rPr>
                <w:rFonts w:cs="Times New Roman"/>
                <w:sz w:val="20"/>
                <w:lang w:val="sr-Cyrl-CS"/>
              </w:rPr>
              <w:t xml:space="preserve">Имплементационог споразума у вези са програмима „Миграције за развој </w:t>
            </w:r>
            <w:r w:rsidR="00D603D0" w:rsidRPr="00092ED7">
              <w:rPr>
                <w:rFonts w:cs="Times New Roman"/>
                <w:sz w:val="20"/>
                <w:lang w:val="sr-Cyrl-CS"/>
              </w:rPr>
              <w:t>II</w:t>
            </w:r>
            <w:r w:rsidRPr="00092ED7">
              <w:rPr>
                <w:rFonts w:cs="Times New Roman"/>
                <w:sz w:val="20"/>
                <w:lang w:val="sr-Cyrl-CS"/>
              </w:rPr>
              <w:t>” и „Миграције &amp; дијаспора”.</w:t>
            </w:r>
          </w:p>
          <w:p w14:paraId="053EF40E" w14:textId="77777777" w:rsidR="00D210F0" w:rsidRPr="00092ED7" w:rsidRDefault="00D210F0" w:rsidP="004130F6">
            <w:pPr>
              <w:spacing w:before="0" w:after="0"/>
              <w:ind w:left="113" w:right="113"/>
              <w:rPr>
                <w:rFonts w:cs="Times New Roman"/>
                <w:sz w:val="20"/>
                <w:lang w:val="sr-Cyrl-CS"/>
              </w:rPr>
            </w:pPr>
            <w:r w:rsidRPr="00092ED7">
              <w:rPr>
                <w:rFonts w:cs="Times New Roman"/>
                <w:sz w:val="20"/>
                <w:lang w:val="sr-Cyrl-CS"/>
              </w:rPr>
              <w:t xml:space="preserve">Блиска сарадња са Привредном комором Србије, Националном </w:t>
            </w:r>
            <w:r w:rsidRPr="00092ED7">
              <w:rPr>
                <w:rFonts w:cs="Times New Roman"/>
                <w:sz w:val="20"/>
                <w:lang w:val="sr-Cyrl-CS"/>
              </w:rPr>
              <w:lastRenderedPageBreak/>
              <w:t>службом за запошљавање и континуиране консултације са представницима привреде.</w:t>
            </w:r>
          </w:p>
        </w:tc>
      </w:tr>
      <w:tr w:rsidR="00D210F0" w:rsidRPr="00092ED7" w14:paraId="6D1D8190" w14:textId="77777777" w:rsidTr="004130F6">
        <w:trPr>
          <w:jc w:val="center"/>
        </w:trPr>
        <w:tc>
          <w:tcPr>
            <w:tcW w:w="3515" w:type="dxa"/>
            <w:vAlign w:val="top"/>
          </w:tcPr>
          <w:p w14:paraId="45B27D9D" w14:textId="77777777" w:rsidR="00D210F0" w:rsidRPr="00092ED7" w:rsidRDefault="00D210F0" w:rsidP="004130F6">
            <w:pPr>
              <w:spacing w:before="0" w:after="0"/>
              <w:ind w:left="113" w:right="113"/>
              <w:rPr>
                <w:sz w:val="20"/>
                <w:lang w:val="sr-Cyrl-CS"/>
              </w:rPr>
            </w:pPr>
            <w:r w:rsidRPr="00092ED7">
              <w:rPr>
                <w:rFonts w:cs="Times New Roman"/>
                <w:bCs/>
                <w:sz w:val="20"/>
                <w:lang w:val="sr-Cyrl-CS"/>
              </w:rPr>
              <w:lastRenderedPageBreak/>
              <w:t>Смањење интересовања дијаспоре за повратак и сарадњу са Републиком Србијом</w:t>
            </w:r>
          </w:p>
        </w:tc>
        <w:tc>
          <w:tcPr>
            <w:tcW w:w="2098" w:type="dxa"/>
            <w:vAlign w:val="top"/>
          </w:tcPr>
          <w:p w14:paraId="6B89D663" w14:textId="77777777" w:rsidR="00D210F0" w:rsidRPr="00092ED7" w:rsidRDefault="00D210F0" w:rsidP="004130F6">
            <w:pPr>
              <w:spacing w:before="0" w:after="0"/>
              <w:ind w:left="113" w:right="113"/>
              <w:jc w:val="center"/>
              <w:rPr>
                <w:rFonts w:cs="Times New Roman"/>
                <w:sz w:val="20"/>
                <w:lang w:val="sr-Cyrl-CS"/>
              </w:rPr>
            </w:pPr>
            <w:r w:rsidRPr="00092ED7">
              <w:rPr>
                <w:rFonts w:cs="Times New Roman"/>
                <w:sz w:val="20"/>
                <w:lang w:val="sr-Cyrl-CS"/>
              </w:rPr>
              <w:t>Ниска</w:t>
            </w:r>
          </w:p>
        </w:tc>
        <w:tc>
          <w:tcPr>
            <w:tcW w:w="3454" w:type="dxa"/>
            <w:vAlign w:val="top"/>
          </w:tcPr>
          <w:p w14:paraId="21F27274" w14:textId="77777777" w:rsidR="00D210F0" w:rsidRPr="00092ED7" w:rsidRDefault="00D210F0" w:rsidP="004130F6">
            <w:pPr>
              <w:spacing w:before="0" w:after="0"/>
              <w:ind w:left="113" w:right="113"/>
              <w:rPr>
                <w:sz w:val="20"/>
                <w:lang w:val="sr-Cyrl-CS"/>
              </w:rPr>
            </w:pPr>
            <w:r w:rsidRPr="00092ED7">
              <w:rPr>
                <w:rFonts w:cs="Times New Roman"/>
                <w:bCs/>
                <w:sz w:val="20"/>
                <w:lang w:val="sr-Cyrl-CS"/>
              </w:rPr>
              <w:t>Континуирани дијалог са дијаспором у циљу разумевања потреба дијаспоре и проактиван приступ у циљу решавања кључних препознатих проблема.</w:t>
            </w:r>
          </w:p>
        </w:tc>
      </w:tr>
    </w:tbl>
    <w:p w14:paraId="20005EB6" w14:textId="77777777" w:rsidR="00D210F0" w:rsidRPr="00092ED7" w:rsidRDefault="00D210F0" w:rsidP="00F27707">
      <w:pPr>
        <w:keepNext/>
        <w:keepLines/>
        <w:shd w:val="clear" w:color="auto" w:fill="D9D9D9" w:themeFill="background1" w:themeFillShade="D9"/>
        <w:spacing w:before="240"/>
        <w:outlineLvl w:val="2"/>
        <w:rPr>
          <w:rFonts w:eastAsia="Calibri" w:cs="Times New Roman"/>
          <w:b/>
          <w:i/>
          <w:szCs w:val="24"/>
          <w:lang w:val="sr-Cyrl-CS"/>
        </w:rPr>
      </w:pPr>
      <w:bookmarkStart w:id="36" w:name="_Toc124174805"/>
      <w:r w:rsidRPr="00092ED7">
        <w:rPr>
          <w:rFonts w:eastAsia="Calibri" w:cs="Times New Roman"/>
          <w:b/>
          <w:i/>
          <w:szCs w:val="24"/>
          <w:lang w:val="sr-Cyrl-CS"/>
        </w:rPr>
        <w:t>Кључни изазов број 2: Унапређење пословног амбијента повољнијег за инвестиције</w:t>
      </w:r>
      <w:bookmarkEnd w:id="36"/>
    </w:p>
    <w:p w14:paraId="493E2716" w14:textId="304C4DA0" w:rsidR="00D210F0" w:rsidRPr="00092ED7" w:rsidRDefault="00D210F0" w:rsidP="00B640AF">
      <w:pPr>
        <w:rPr>
          <w:rFonts w:cs="Times New Roman"/>
          <w:szCs w:val="24"/>
          <w:lang w:val="sr-Cyrl-CS"/>
        </w:rPr>
      </w:pPr>
      <w:r w:rsidRPr="00092ED7">
        <w:rPr>
          <w:b/>
          <w:lang w:val="sr-Cyrl-CS"/>
        </w:rPr>
        <w:t>Постигнута макроекономска и финансијска стабилност</w:t>
      </w:r>
      <w:r w:rsidRPr="00092ED7">
        <w:rPr>
          <w:b/>
          <w:kern w:val="3"/>
          <w:lang w:val="sr-Cyrl-CS" w:eastAsia="zh-CN" w:bidi="hi-IN"/>
        </w:rPr>
        <w:t xml:space="preserve">, </w:t>
      </w:r>
      <w:r w:rsidRPr="00092ED7">
        <w:rPr>
          <w:b/>
          <w:lang w:val="sr-Cyrl-CS"/>
        </w:rPr>
        <w:t>претходна динамика раста,</w:t>
      </w:r>
      <w:r w:rsidRPr="00092ED7">
        <w:rPr>
          <w:b/>
          <w:kern w:val="3"/>
          <w:lang w:val="sr-Cyrl-CS" w:eastAsia="zh-CN" w:bidi="hi-IN"/>
        </w:rPr>
        <w:t xml:space="preserve"> спроведене структурне реформе</w:t>
      </w:r>
      <w:r w:rsidRPr="00092ED7">
        <w:rPr>
          <w:b/>
          <w:lang w:val="sr-Cyrl-CS"/>
        </w:rPr>
        <w:t xml:space="preserve">, створени фискални простор за правовремени и свеобухватни пакет мера омогућили су да током две године кризе изазване пандемијом, </w:t>
      </w:r>
      <w:r w:rsidRPr="00092ED7">
        <w:rPr>
          <w:b/>
          <w:kern w:val="3"/>
          <w:lang w:val="sr-Cyrl-CS" w:eastAsia="zh-CN" w:bidi="hi-IN"/>
        </w:rPr>
        <w:t>Република Србија</w:t>
      </w:r>
      <w:r w:rsidRPr="00092ED7">
        <w:rPr>
          <w:b/>
          <w:lang w:val="sr-Cyrl-CS"/>
        </w:rPr>
        <w:t xml:space="preserve"> одржи пословање српских предузећа, уз очување нивоа запослености и оствари кумулативни раст БДП од 6,6%. </w:t>
      </w:r>
      <w:r w:rsidRPr="00092ED7">
        <w:rPr>
          <w:kern w:val="3"/>
          <w:lang w:val="sr-Cyrl-CS" w:eastAsia="zh-CN" w:bidi="hi-IN"/>
        </w:rPr>
        <w:t xml:space="preserve">Кроз </w:t>
      </w:r>
      <w:r w:rsidR="005D0747" w:rsidRPr="00092ED7">
        <w:rPr>
          <w:lang w:val="sr-Cyrl-CS" w:eastAsia="ja-JP"/>
        </w:rPr>
        <w:t>пакете мера економске подршке привреди и становништву за превазилажење кризе изазване пандемијом</w:t>
      </w:r>
      <w:r w:rsidRPr="00092ED7">
        <w:rPr>
          <w:rFonts w:eastAsia="SimSun" w:cs="Mangal"/>
          <w:kern w:val="3"/>
          <w:lang w:val="sr-Cyrl-CS" w:eastAsia="zh-CN" w:bidi="hi-IN"/>
        </w:rPr>
        <w:t xml:space="preserve">, уложено је </w:t>
      </w:r>
      <w:r w:rsidR="0072219A" w:rsidRPr="00092ED7">
        <w:rPr>
          <w:rFonts w:eastAsia="SimSun" w:cs="Mangal"/>
          <w:kern w:val="3"/>
          <w:lang w:val="sr-Cyrl-CS" w:eastAsia="zh-CN" w:bidi="hi-IN"/>
        </w:rPr>
        <w:t>15,6</w:t>
      </w:r>
      <w:r w:rsidRPr="00092ED7">
        <w:rPr>
          <w:rFonts w:eastAsia="SimSun" w:cs="Mangal"/>
          <w:kern w:val="3"/>
          <w:lang w:val="sr-Cyrl-CS" w:eastAsia="zh-CN" w:bidi="hi-IN"/>
        </w:rPr>
        <w:t xml:space="preserve">% БДП-а у 2020. </w:t>
      </w:r>
      <w:r w:rsidR="0072219A" w:rsidRPr="00092ED7">
        <w:rPr>
          <w:rFonts w:eastAsia="SimSun" w:cs="Mangal"/>
          <w:kern w:val="3"/>
          <w:lang w:val="sr-Cyrl-CS" w:eastAsia="zh-CN" w:bidi="hi-IN"/>
        </w:rPr>
        <w:t xml:space="preserve">и 2021. </w:t>
      </w:r>
      <w:r w:rsidRPr="00092ED7">
        <w:rPr>
          <w:rFonts w:eastAsia="SimSun" w:cs="Mangal"/>
          <w:kern w:val="3"/>
          <w:lang w:val="sr-Cyrl-CS" w:eastAsia="zh-CN" w:bidi="hi-IN"/>
        </w:rPr>
        <w:t>години. Предузете мере су допринеле повећању ликвидности привредних субјеката и олакшању пословања, док се кроз давања становништву подстицала домаћа тражња и индиректно утицало на економску активност. Такође, дошло је и до структурних побољшања. Активирани су нови и проширени постојећи извозно конктурентни производни капацитети, унапређена путна и железничка инфраструктура, чиме се трајно повећао потенцијал домаће привреде. Захваљујући томе, пад привредне активности у 2020. износио је свега 0,9% мг, уз очување нивоа запослености (раст од 0,1 п</w:t>
      </w:r>
      <w:r w:rsidR="00EB6431" w:rsidRPr="00092ED7">
        <w:rPr>
          <w:rFonts w:eastAsia="SimSun" w:cs="Mangal"/>
          <w:kern w:val="3"/>
          <w:lang w:val="sr-Cyrl-CS" w:eastAsia="zh-CN" w:bidi="hi-IN"/>
        </w:rPr>
        <w:t>.</w:t>
      </w:r>
      <w:r w:rsidRPr="00092ED7">
        <w:rPr>
          <w:rFonts w:eastAsia="SimSun" w:cs="Mangal"/>
          <w:kern w:val="3"/>
          <w:lang w:val="sr-Cyrl-CS" w:eastAsia="zh-CN" w:bidi="hi-IN"/>
        </w:rPr>
        <w:t>п</w:t>
      </w:r>
      <w:r w:rsidR="00EB6431" w:rsidRPr="00092ED7">
        <w:rPr>
          <w:rFonts w:eastAsia="SimSun" w:cs="Mangal"/>
          <w:kern w:val="3"/>
          <w:lang w:val="sr-Cyrl-CS" w:eastAsia="zh-CN" w:bidi="hi-IN"/>
        </w:rPr>
        <w:t>.</w:t>
      </w:r>
      <w:r w:rsidRPr="00092ED7">
        <w:rPr>
          <w:rFonts w:eastAsia="SimSun" w:cs="Mangal"/>
          <w:kern w:val="3"/>
          <w:lang w:val="sr-Cyrl-CS" w:eastAsia="zh-CN" w:bidi="hi-IN"/>
        </w:rPr>
        <w:t xml:space="preserve"> мг у 2020.), да би БДП достигао раст од 7,5% у 2021. мг, уз раст стопе запослености од 1,5 п</w:t>
      </w:r>
      <w:r w:rsidR="00EB6431" w:rsidRPr="00092ED7">
        <w:rPr>
          <w:rFonts w:eastAsia="SimSun" w:cs="Mangal"/>
          <w:kern w:val="3"/>
          <w:lang w:val="sr-Cyrl-CS" w:eastAsia="zh-CN" w:bidi="hi-IN"/>
        </w:rPr>
        <w:t>.</w:t>
      </w:r>
      <w:r w:rsidRPr="00092ED7">
        <w:rPr>
          <w:rFonts w:eastAsia="SimSun" w:cs="Mangal"/>
          <w:kern w:val="3"/>
          <w:lang w:val="sr-Cyrl-CS" w:eastAsia="zh-CN" w:bidi="hi-IN"/>
        </w:rPr>
        <w:t>п</w:t>
      </w:r>
      <w:r w:rsidR="00EB6431" w:rsidRPr="00092ED7">
        <w:rPr>
          <w:rFonts w:eastAsia="SimSun" w:cs="Mangal"/>
          <w:kern w:val="3"/>
          <w:lang w:val="sr-Cyrl-CS" w:eastAsia="zh-CN" w:bidi="hi-IN"/>
        </w:rPr>
        <w:t>.</w:t>
      </w:r>
      <w:r w:rsidRPr="00092ED7">
        <w:rPr>
          <w:rFonts w:eastAsia="SimSun" w:cs="Mangal"/>
          <w:kern w:val="3"/>
          <w:lang w:val="sr-Cyrl-CS" w:eastAsia="zh-CN" w:bidi="hi-IN"/>
        </w:rPr>
        <w:t xml:space="preserve"> мг. Основано је близу 30 хиљада предузећа више него што је угашено, са око 91 хиљадом запослених више након ванредног стања у периоду мај 2020. – мај 2022. Украјинска криза је на глобалном нивоу изазвала раст цена енергената и одређених сировина и производа, што је довело до растућих трошкова производње. У условима растуће глобалне инфлације, Светска банка је кориговала пројекције раста привредне активности </w:t>
      </w:r>
      <w:r w:rsidR="00657813" w:rsidRPr="00092ED7">
        <w:rPr>
          <w:rFonts w:eastAsia="SimSun" w:cs="Mangal"/>
          <w:kern w:val="3"/>
          <w:lang w:val="sr-Cyrl-CS" w:eastAsia="zh-CN" w:bidi="hi-IN"/>
        </w:rPr>
        <w:t xml:space="preserve">Републике </w:t>
      </w:r>
      <w:r w:rsidRPr="00092ED7">
        <w:rPr>
          <w:rFonts w:eastAsia="SimSun" w:cs="Mangal"/>
          <w:kern w:val="3"/>
          <w:lang w:val="sr-Cyrl-CS" w:eastAsia="zh-CN" w:bidi="hi-IN"/>
        </w:rPr>
        <w:t>Србије за 2022. годину, са 4,4% на 3,2% (остварен је раст БДП-а од 4,</w:t>
      </w:r>
      <w:r w:rsidR="001C075D" w:rsidRPr="00092ED7">
        <w:rPr>
          <w:rFonts w:eastAsia="SimSun" w:cs="Mangal"/>
          <w:kern w:val="3"/>
          <w:lang w:val="sr-Cyrl-CS" w:eastAsia="zh-CN" w:bidi="hi-IN"/>
        </w:rPr>
        <w:t>2</w:t>
      </w:r>
      <w:r w:rsidRPr="00092ED7">
        <w:rPr>
          <w:rFonts w:eastAsia="SimSun" w:cs="Mangal"/>
          <w:kern w:val="3"/>
          <w:lang w:val="sr-Cyrl-CS" w:eastAsia="zh-CN" w:bidi="hi-IN"/>
        </w:rPr>
        <w:t>% мг у Q1</w:t>
      </w:r>
      <w:r w:rsidR="001C075D" w:rsidRPr="00092ED7">
        <w:rPr>
          <w:rFonts w:eastAsia="SimSun" w:cs="Mangal"/>
          <w:kern w:val="3"/>
          <w:lang w:val="sr-Cyrl-CS" w:eastAsia="zh-CN" w:bidi="hi-IN"/>
        </w:rPr>
        <w:t>,</w:t>
      </w:r>
      <w:r w:rsidRPr="00092ED7">
        <w:rPr>
          <w:rFonts w:eastAsia="SimSun" w:cs="Mangal"/>
          <w:kern w:val="3"/>
          <w:lang w:val="sr-Cyrl-CS" w:eastAsia="zh-CN" w:bidi="hi-IN"/>
        </w:rPr>
        <w:t xml:space="preserve"> 3,</w:t>
      </w:r>
      <w:r w:rsidR="001C075D" w:rsidRPr="00092ED7">
        <w:rPr>
          <w:rFonts w:eastAsia="SimSun" w:cs="Mangal"/>
          <w:kern w:val="3"/>
          <w:lang w:val="sr-Cyrl-CS" w:eastAsia="zh-CN" w:bidi="hi-IN"/>
        </w:rPr>
        <w:t>8</w:t>
      </w:r>
      <w:r w:rsidRPr="00092ED7">
        <w:rPr>
          <w:rFonts w:eastAsia="SimSun" w:cs="Mangal"/>
          <w:kern w:val="3"/>
          <w:lang w:val="sr-Cyrl-CS" w:eastAsia="zh-CN" w:bidi="hi-IN"/>
        </w:rPr>
        <w:t>% у Q2</w:t>
      </w:r>
      <w:r w:rsidR="001C075D" w:rsidRPr="00092ED7">
        <w:rPr>
          <w:rFonts w:eastAsia="SimSun" w:cs="Mangal"/>
          <w:kern w:val="3"/>
          <w:lang w:val="sr-Cyrl-CS" w:eastAsia="zh-CN" w:bidi="hi-IN"/>
        </w:rPr>
        <w:t xml:space="preserve"> и 1% у Q3</w:t>
      </w:r>
      <w:r w:rsidRPr="00092ED7">
        <w:rPr>
          <w:rFonts w:eastAsia="SimSun" w:cs="Mangal"/>
          <w:kern w:val="3"/>
          <w:lang w:val="sr-Cyrl-CS" w:eastAsia="zh-CN" w:bidi="hi-IN"/>
        </w:rPr>
        <w:t xml:space="preserve"> 2022. године</w:t>
      </w:r>
      <w:r w:rsidR="001C075D" w:rsidRPr="00092ED7">
        <w:rPr>
          <w:rStyle w:val="FootnoteReference"/>
          <w:rFonts w:eastAsia="SimSun" w:cs="Mangal"/>
          <w:kern w:val="3"/>
          <w:lang w:val="sr-Cyrl-CS" w:eastAsia="zh-CN" w:bidi="hi-IN"/>
        </w:rPr>
        <w:footnoteReference w:id="64"/>
      </w:r>
      <w:r w:rsidRPr="00092ED7">
        <w:rPr>
          <w:rFonts w:eastAsia="SimSun" w:cs="Mangal"/>
          <w:kern w:val="3"/>
          <w:lang w:val="sr-Cyrl-CS" w:eastAsia="zh-CN" w:bidi="hi-IN"/>
        </w:rPr>
        <w:t xml:space="preserve">). У циљу олакшаног пословања привреде у новонасталим условима, Влада је усвојила </w:t>
      </w:r>
      <w:r w:rsidRPr="00092ED7">
        <w:rPr>
          <w:rFonts w:eastAsia="SimSun" w:cs="Mangal"/>
          <w:i/>
          <w:kern w:val="3"/>
          <w:lang w:val="sr-Cyrl-CS" w:eastAsia="zh-CN" w:bidi="hi-IN"/>
        </w:rPr>
        <w:t>Одлуку о условима и начину за смањење царинских дажбина на одређену робу, односно за изузимање одређене робе од плаћања царинских дажбина у 2022. години</w:t>
      </w:r>
      <w:r w:rsidRPr="00092ED7">
        <w:rPr>
          <w:rFonts w:eastAsia="SimSun" w:cs="Mangal"/>
          <w:kern w:val="3"/>
          <w:lang w:val="sr-Cyrl-CS" w:eastAsia="zh-CN" w:bidi="hi-IN"/>
        </w:rPr>
        <w:t xml:space="preserve"> (</w:t>
      </w:r>
      <w:r w:rsidR="001F62AF" w:rsidRPr="00092ED7">
        <w:rPr>
          <w:rFonts w:eastAsia="SimSun" w:cs="Mangal"/>
          <w:kern w:val="3"/>
          <w:lang w:val="sr-Cyrl-CS" w:eastAsia="zh-CN" w:bidi="hi-IN"/>
        </w:rPr>
        <w:t>„</w:t>
      </w:r>
      <w:r w:rsidR="00576076" w:rsidRPr="00092ED7">
        <w:rPr>
          <w:rFonts w:eastAsia="SimSun" w:cs="Mangal"/>
          <w:kern w:val="3"/>
          <w:lang w:val="sr-Cyrl-CS" w:eastAsia="zh-CN" w:bidi="hi-IN"/>
        </w:rPr>
        <w:t>Сл</w:t>
      </w:r>
      <w:r w:rsidR="00A75829" w:rsidRPr="00092ED7">
        <w:rPr>
          <w:rFonts w:eastAsia="SimSun" w:cs="Mangal"/>
          <w:kern w:val="3"/>
          <w:lang w:val="sr-Cyrl-CS" w:eastAsia="zh-CN" w:bidi="hi-IN"/>
        </w:rPr>
        <w:t>ужбени</w:t>
      </w:r>
      <w:r w:rsidRPr="00092ED7">
        <w:rPr>
          <w:rFonts w:eastAsia="SimSun" w:cs="Mangal"/>
          <w:kern w:val="3"/>
          <w:lang w:val="sr-Cyrl-CS" w:eastAsia="zh-CN" w:bidi="hi-IN"/>
        </w:rPr>
        <w:t xml:space="preserve"> гласник РС”, бр</w:t>
      </w:r>
      <w:r w:rsidR="00576076" w:rsidRPr="00092ED7">
        <w:rPr>
          <w:rFonts w:eastAsia="SimSun" w:cs="Mangal"/>
          <w:kern w:val="3"/>
          <w:lang w:val="sr-Cyrl-CS" w:eastAsia="zh-CN" w:bidi="hi-IN"/>
        </w:rPr>
        <w:t>.</w:t>
      </w:r>
      <w:r w:rsidRPr="00092ED7">
        <w:rPr>
          <w:rFonts w:eastAsia="SimSun" w:cs="Mangal"/>
          <w:kern w:val="3"/>
          <w:lang w:val="sr-Cyrl-CS" w:eastAsia="zh-CN" w:bidi="hi-IN"/>
        </w:rPr>
        <w:t xml:space="preserve"> 132/21, 9/22, 32/22</w:t>
      </w:r>
      <w:r w:rsidR="008479FB" w:rsidRPr="00092ED7">
        <w:rPr>
          <w:rFonts w:eastAsia="SimSun" w:cs="Mangal"/>
          <w:kern w:val="3"/>
          <w:lang w:val="sr-Cyrl-CS" w:eastAsia="zh-CN" w:bidi="hi-IN"/>
        </w:rPr>
        <w:t xml:space="preserve"> и</w:t>
      </w:r>
      <w:r w:rsidRPr="00092ED7">
        <w:rPr>
          <w:rFonts w:eastAsia="SimSun" w:cs="Mangal"/>
          <w:kern w:val="3"/>
          <w:lang w:val="sr-Cyrl-CS" w:eastAsia="zh-CN" w:bidi="hi-IN"/>
        </w:rPr>
        <w:t xml:space="preserve"> 77/22), којом је омогућен увоз одређене робе по царинској стопи од 0%. Такође, цене акциза на оловни и безоловни бензин и гасна уља се регулишу кроз измене </w:t>
      </w:r>
      <w:r w:rsidRPr="00092ED7">
        <w:rPr>
          <w:rFonts w:eastAsia="SimSun" w:cs="Mangal"/>
          <w:i/>
          <w:kern w:val="3"/>
          <w:lang w:val="sr-Cyrl-CS" w:eastAsia="zh-CN" w:bidi="hi-IN"/>
        </w:rPr>
        <w:t>Одлуке о привременом смањењу износа акциза на деривате нафте из члана 9. став 1 тач. 1), 2), 3) Закона о акцизама</w:t>
      </w:r>
      <w:r w:rsidRPr="00092ED7">
        <w:rPr>
          <w:rFonts w:eastAsia="SimSun" w:cs="Mangal"/>
          <w:kern w:val="3"/>
          <w:lang w:val="sr-Cyrl-CS" w:eastAsia="zh-CN" w:bidi="hi-IN"/>
        </w:rPr>
        <w:t xml:space="preserve"> </w:t>
      </w:r>
      <w:r w:rsidR="00056F47" w:rsidRPr="00092ED7">
        <w:rPr>
          <w:rFonts w:cs="Times New Roman"/>
          <w:szCs w:val="24"/>
          <w:lang w:val="sr-Cyrl-CS"/>
        </w:rPr>
        <w:t>(„Службени гласник РС”, бр.</w:t>
      </w:r>
      <w:r w:rsidR="005E36FC" w:rsidRPr="00092ED7">
        <w:rPr>
          <w:lang w:val="sr-Cyrl-CS"/>
        </w:rPr>
        <w:t xml:space="preserve"> </w:t>
      </w:r>
      <w:r w:rsidR="005E36FC" w:rsidRPr="00092ED7">
        <w:rPr>
          <w:rFonts w:cs="Times New Roman"/>
          <w:szCs w:val="24"/>
          <w:lang w:val="sr-Cyrl-CS"/>
        </w:rPr>
        <w:t>22/01, 73/01, 80/02, 80/02 - др. закон, 43/03, 72/03, 43/04, 55/04, 135/04, 46/05, 101/05 - др. закон, 61/07, 5/09, 31/09, 101/10, 43/11, 101/11, 93/12, 119/12, 47/13, 68/14 - др. закон, 142/14, 55/15, 103/15, 108/16, 30/18, 153/20 и 53/21</w:t>
      </w:r>
      <w:r w:rsidR="00056F47" w:rsidRPr="00092ED7">
        <w:rPr>
          <w:rFonts w:cs="Times New Roman"/>
          <w:szCs w:val="24"/>
          <w:lang w:val="sr-Cyrl-CS"/>
        </w:rPr>
        <w:t>)</w:t>
      </w:r>
      <w:r w:rsidR="00056F47" w:rsidRPr="00092ED7">
        <w:rPr>
          <w:rFonts w:eastAsia="SimSun" w:cs="Mangal"/>
          <w:kern w:val="3"/>
          <w:lang w:val="sr-Cyrl-CS" w:eastAsia="zh-CN" w:bidi="hi-IN"/>
        </w:rPr>
        <w:t xml:space="preserve">, </w:t>
      </w:r>
      <w:r w:rsidRPr="00092ED7">
        <w:rPr>
          <w:rFonts w:eastAsia="SimSun" w:cs="Mangal"/>
          <w:kern w:val="3"/>
          <w:lang w:val="sr-Cyrl-CS" w:eastAsia="zh-CN" w:bidi="hi-IN"/>
        </w:rPr>
        <w:t>у складу са динамиком промена цена на светском тржишту.</w:t>
      </w:r>
    </w:p>
    <w:p w14:paraId="706E4EF5" w14:textId="322185CF" w:rsidR="00D210F0" w:rsidRPr="00092ED7" w:rsidRDefault="00D210F0" w:rsidP="00D210F0">
      <w:pPr>
        <w:pStyle w:val="basic-paragraph"/>
        <w:shd w:val="clear" w:color="auto" w:fill="FFFFFF"/>
        <w:spacing w:before="0" w:beforeAutospacing="0" w:after="60" w:afterAutospacing="0"/>
        <w:jc w:val="both"/>
        <w:rPr>
          <w:b/>
          <w:color w:val="000000"/>
          <w:kern w:val="3"/>
          <w:lang w:val="sr-Cyrl-CS" w:eastAsia="zh-CN" w:bidi="hi-IN"/>
        </w:rPr>
      </w:pPr>
      <w:r w:rsidRPr="00092ED7">
        <w:rPr>
          <w:b/>
          <w:color w:val="000000"/>
          <w:kern w:val="3"/>
          <w:lang w:val="sr-Cyrl-CS" w:eastAsia="zh-CN" w:bidi="hi-IN"/>
        </w:rPr>
        <w:t xml:space="preserve">И поред евидентног напретка у транспарентности и поузданости регулаторног оквира, остају структурни изазови које треба даље унапређивати. </w:t>
      </w:r>
      <w:r w:rsidRPr="00092ED7">
        <w:rPr>
          <w:color w:val="000000"/>
          <w:kern w:val="3"/>
          <w:lang w:val="sr-Cyrl-CS" w:eastAsia="zh-CN" w:bidi="hi-IN"/>
        </w:rPr>
        <w:t>У извештају УН о развоју еУправе за 2022.</w:t>
      </w:r>
      <w:r w:rsidRPr="00092ED7">
        <w:rPr>
          <w:b/>
          <w:color w:val="000000"/>
          <w:kern w:val="3"/>
          <w:lang w:val="sr-Cyrl-CS" w:eastAsia="zh-CN" w:bidi="hi-IN"/>
        </w:rPr>
        <w:t xml:space="preserve"> </w:t>
      </w:r>
      <w:r w:rsidRPr="00092ED7">
        <w:rPr>
          <w:i/>
          <w:color w:val="000000"/>
          <w:kern w:val="3"/>
          <w:lang w:val="sr-Cyrl-CS" w:eastAsia="zh-CN" w:bidi="hi-IN"/>
        </w:rPr>
        <w:t>(United Nations eGovernment Development Survey 2022)</w:t>
      </w:r>
      <w:r w:rsidRPr="00092ED7">
        <w:rPr>
          <w:color w:val="000000"/>
          <w:kern w:val="3"/>
          <w:lang w:val="sr-Cyrl-CS" w:eastAsia="zh-CN" w:bidi="hi-IN"/>
        </w:rPr>
        <w:t>,</w:t>
      </w:r>
      <w:r w:rsidRPr="00092ED7">
        <w:rPr>
          <w:i/>
          <w:color w:val="000000"/>
          <w:kern w:val="3"/>
          <w:lang w:val="sr-Cyrl-CS" w:eastAsia="zh-CN" w:bidi="hi-IN"/>
        </w:rPr>
        <w:t xml:space="preserve"> </w:t>
      </w:r>
      <w:r w:rsidRPr="00092ED7">
        <w:rPr>
          <w:color w:val="000000"/>
          <w:kern w:val="3"/>
          <w:lang w:val="sr-Cyrl-CS" w:eastAsia="zh-CN" w:bidi="hi-IN"/>
        </w:rPr>
        <w:t>који садржи преглед стања и прати развој електронске управе у 193 државе чланице УН,</w:t>
      </w:r>
      <w:r w:rsidRPr="00092ED7">
        <w:rPr>
          <w:b/>
          <w:color w:val="000000"/>
          <w:kern w:val="3"/>
          <w:lang w:val="sr-Cyrl-CS" w:eastAsia="zh-CN" w:bidi="hi-IN"/>
        </w:rPr>
        <w:t xml:space="preserve"> </w:t>
      </w:r>
      <w:r w:rsidR="00657813" w:rsidRPr="00092ED7">
        <w:rPr>
          <w:b/>
          <w:color w:val="000000"/>
          <w:kern w:val="3"/>
          <w:lang w:val="sr-Cyrl-CS" w:eastAsia="zh-CN" w:bidi="hi-IN"/>
        </w:rPr>
        <w:t xml:space="preserve">Република </w:t>
      </w:r>
      <w:r w:rsidRPr="00092ED7">
        <w:rPr>
          <w:b/>
          <w:color w:val="000000"/>
          <w:kern w:val="3"/>
          <w:lang w:val="sr-Cyrl-CS" w:eastAsia="zh-CN" w:bidi="hi-IN"/>
        </w:rPr>
        <w:t xml:space="preserve">Србија се налази на 15. месту према индексу еПартиципације </w:t>
      </w:r>
      <w:r w:rsidRPr="00092ED7">
        <w:rPr>
          <w:color w:val="000000"/>
          <w:kern w:val="3"/>
          <w:lang w:val="sr-Cyrl-CS" w:eastAsia="zh-CN" w:bidi="hi-IN"/>
        </w:rPr>
        <w:t>(скок за 26 позиција), а само три чланице ЕУ (</w:t>
      </w:r>
      <w:r w:rsidR="00056F47" w:rsidRPr="00092ED7">
        <w:rPr>
          <w:color w:val="000000"/>
          <w:kern w:val="3"/>
          <w:lang w:val="sr-Cyrl-CS" w:eastAsia="zh-CN" w:bidi="hi-IN"/>
        </w:rPr>
        <w:t xml:space="preserve">Краљевина </w:t>
      </w:r>
      <w:r w:rsidRPr="00092ED7">
        <w:rPr>
          <w:color w:val="000000" w:themeColor="text1"/>
          <w:kern w:val="3"/>
          <w:lang w:val="sr-Cyrl-CS" w:eastAsia="zh-CN" w:bidi="hi-IN"/>
        </w:rPr>
        <w:t>Данска, Финска</w:t>
      </w:r>
      <w:r w:rsidR="00056F47" w:rsidRPr="00092ED7">
        <w:rPr>
          <w:color w:val="000000" w:themeColor="text1"/>
          <w:kern w:val="3"/>
          <w:lang w:val="sr-Cyrl-CS" w:eastAsia="zh-CN" w:bidi="hi-IN"/>
        </w:rPr>
        <w:t xml:space="preserve"> Република </w:t>
      </w:r>
      <w:r w:rsidRPr="00092ED7">
        <w:rPr>
          <w:color w:val="000000" w:themeColor="text1"/>
          <w:kern w:val="3"/>
          <w:lang w:val="sr-Cyrl-CS" w:eastAsia="zh-CN" w:bidi="hi-IN"/>
        </w:rPr>
        <w:t xml:space="preserve">и </w:t>
      </w:r>
      <w:r w:rsidR="00056F47" w:rsidRPr="00092ED7">
        <w:rPr>
          <w:color w:val="000000" w:themeColor="text1"/>
          <w:kern w:val="3"/>
          <w:lang w:val="sr-Cyrl-CS" w:eastAsia="zh-CN" w:bidi="hi-IN"/>
        </w:rPr>
        <w:t xml:space="preserve">Република </w:t>
      </w:r>
      <w:r w:rsidRPr="00092ED7">
        <w:rPr>
          <w:color w:val="000000" w:themeColor="text1"/>
          <w:kern w:val="3"/>
          <w:lang w:val="sr-Cyrl-CS" w:eastAsia="zh-CN" w:bidi="hi-IN"/>
        </w:rPr>
        <w:t xml:space="preserve">Естонија) </w:t>
      </w:r>
      <w:r w:rsidRPr="00092ED7">
        <w:rPr>
          <w:color w:val="000000"/>
          <w:kern w:val="3"/>
          <w:lang w:val="sr-Cyrl-CS" w:eastAsia="zh-CN" w:bidi="hi-IN"/>
        </w:rPr>
        <w:t>имају партиципативнију онлајн интеракцију државе и грађана</w:t>
      </w:r>
      <w:r w:rsidRPr="00092ED7">
        <w:rPr>
          <w:lang w:val="sr-Cyrl-CS"/>
        </w:rPr>
        <w:t>.</w:t>
      </w:r>
      <w:r w:rsidRPr="00092ED7">
        <w:rPr>
          <w:color w:val="000000"/>
          <w:kern w:val="3"/>
          <w:lang w:val="sr-Cyrl-CS" w:eastAsia="zh-CN" w:bidi="hi-IN"/>
        </w:rPr>
        <w:t xml:space="preserve"> Обавеза </w:t>
      </w:r>
      <w:r w:rsidRPr="00092ED7">
        <w:rPr>
          <w:color w:val="000000"/>
          <w:kern w:val="3"/>
          <w:lang w:val="sr-Cyrl-CS" w:eastAsia="zh-CN" w:bidi="hi-IN"/>
        </w:rPr>
        <w:lastRenderedPageBreak/>
        <w:t xml:space="preserve">транспарентности припреме нацрта закона и других прописа и аката (нових или измењених и допуњених) утврђена је кроз усвајање одређених прописа. Пре свега то су </w:t>
      </w:r>
      <w:r w:rsidRPr="00092ED7">
        <w:rPr>
          <w:i/>
          <w:color w:val="000000"/>
          <w:kern w:val="3"/>
          <w:lang w:val="sr-Cyrl-CS" w:eastAsia="zh-CN" w:bidi="hi-IN"/>
        </w:rPr>
        <w:t>Закон о државној управи</w:t>
      </w:r>
      <w:r w:rsidRPr="00092ED7">
        <w:rPr>
          <w:color w:val="000000"/>
          <w:kern w:val="3"/>
          <w:lang w:val="sr-Cyrl-CS" w:eastAsia="zh-CN" w:bidi="hi-IN"/>
        </w:rPr>
        <w:t xml:space="preserve"> </w:t>
      </w:r>
      <w:r w:rsidRPr="00092ED7">
        <w:rPr>
          <w:rFonts w:eastAsia="Calibri"/>
          <w:lang w:val="sr-Cyrl-CS"/>
        </w:rPr>
        <w:t>(„Сл</w:t>
      </w:r>
      <w:r w:rsidR="00A75829" w:rsidRPr="00092ED7">
        <w:rPr>
          <w:rFonts w:eastAsia="Calibri"/>
          <w:lang w:val="sr-Cyrl-CS"/>
        </w:rPr>
        <w:t>ужбени</w:t>
      </w:r>
      <w:r w:rsidRPr="00092ED7">
        <w:rPr>
          <w:rFonts w:eastAsia="Calibri"/>
          <w:lang w:val="sr-Cyrl-CS"/>
        </w:rPr>
        <w:t xml:space="preserve"> гласник РС</w:t>
      </w:r>
      <w:r w:rsidR="00A75829" w:rsidRPr="00092ED7">
        <w:rPr>
          <w:lang w:val="sr-Cyrl-CS"/>
        </w:rPr>
        <w:t>”</w:t>
      </w:r>
      <w:r w:rsidRPr="00092ED7">
        <w:rPr>
          <w:rFonts w:eastAsia="Calibri"/>
          <w:lang w:val="sr-Cyrl-CS"/>
        </w:rPr>
        <w:t xml:space="preserve">, бр. 79/05, 101/07, 95/10, 99/14, 30/18 – др. закон и </w:t>
      </w:r>
      <w:r w:rsidRPr="00092ED7">
        <w:rPr>
          <w:color w:val="000000"/>
          <w:kern w:val="3"/>
          <w:lang w:val="sr-Cyrl-CS" w:eastAsia="zh-CN" w:bidi="hi-IN"/>
        </w:rPr>
        <w:t xml:space="preserve">47/18), </w:t>
      </w:r>
      <w:r w:rsidRPr="00092ED7">
        <w:rPr>
          <w:i/>
          <w:color w:val="000000"/>
          <w:kern w:val="3"/>
          <w:lang w:val="sr-Cyrl-CS" w:eastAsia="zh-CN" w:bidi="hi-IN"/>
        </w:rPr>
        <w:t>Закон о планском систему Републике Србије</w:t>
      </w:r>
      <w:r w:rsidRPr="00092ED7">
        <w:rPr>
          <w:color w:val="000000"/>
          <w:kern w:val="3"/>
          <w:lang w:val="sr-Cyrl-CS" w:eastAsia="zh-CN" w:bidi="hi-IN"/>
        </w:rPr>
        <w:t xml:space="preserve">, </w:t>
      </w:r>
      <w:r w:rsidRPr="00092ED7">
        <w:rPr>
          <w:i/>
          <w:color w:val="000000"/>
          <w:kern w:val="3"/>
          <w:lang w:val="sr-Cyrl-CS" w:eastAsia="zh-CN" w:bidi="hi-IN"/>
        </w:rPr>
        <w:t>Уредба о методологији управљања јавним политикама</w:t>
      </w:r>
      <w:r w:rsidRPr="00092ED7">
        <w:rPr>
          <w:i/>
          <w:kern w:val="3"/>
          <w:lang w:val="sr-Cyrl-CS" w:eastAsia="zh-CN" w:bidi="hi-IN"/>
        </w:rPr>
        <w:t>,</w:t>
      </w:r>
      <w:r w:rsidRPr="00092ED7">
        <w:rPr>
          <w:i/>
          <w:color w:val="FF0000"/>
          <w:kern w:val="3"/>
          <w:lang w:val="sr-Cyrl-CS" w:eastAsia="zh-CN" w:bidi="hi-IN"/>
        </w:rPr>
        <w:t xml:space="preserve"> </w:t>
      </w:r>
      <w:r w:rsidRPr="00092ED7">
        <w:rPr>
          <w:i/>
          <w:color w:val="000000"/>
          <w:kern w:val="3"/>
          <w:lang w:val="sr-Cyrl-CS" w:eastAsia="zh-CN" w:bidi="hi-IN"/>
        </w:rPr>
        <w:t>анализи ефеката јавних политика и прописа и садржају појединачних докумената јавних политика</w:t>
      </w:r>
      <w:r w:rsidRPr="00092ED7">
        <w:rPr>
          <w:rStyle w:val="FootnoteReference"/>
          <w:i/>
          <w:color w:val="000000"/>
          <w:kern w:val="3"/>
          <w:lang w:val="sr-Cyrl-CS" w:eastAsia="zh-CN" w:bidi="hi-IN"/>
        </w:rPr>
        <w:footnoteReference w:id="65"/>
      </w:r>
      <w:r w:rsidRPr="00092ED7">
        <w:rPr>
          <w:i/>
          <w:color w:val="000000"/>
          <w:kern w:val="3"/>
          <w:lang w:val="sr-Cyrl-CS" w:eastAsia="zh-CN" w:bidi="hi-IN"/>
        </w:rPr>
        <w:t xml:space="preserve"> </w:t>
      </w:r>
      <w:r w:rsidRPr="00092ED7">
        <w:rPr>
          <w:rFonts w:eastAsia="Calibri"/>
          <w:lang w:val="sr-Cyrl-CS"/>
        </w:rPr>
        <w:t>(„Сл</w:t>
      </w:r>
      <w:r w:rsidR="00A75829" w:rsidRPr="00092ED7">
        <w:rPr>
          <w:rFonts w:eastAsia="Calibri"/>
          <w:lang w:val="sr-Cyrl-CS"/>
        </w:rPr>
        <w:t>ужбени</w:t>
      </w:r>
      <w:r w:rsidR="00576076" w:rsidRPr="00092ED7">
        <w:rPr>
          <w:rFonts w:eastAsia="Calibri"/>
          <w:lang w:val="sr-Cyrl-CS"/>
        </w:rPr>
        <w:t xml:space="preserve"> гласник РС</w:t>
      </w:r>
      <w:r w:rsidR="00A75829" w:rsidRPr="00092ED7">
        <w:rPr>
          <w:lang w:val="sr-Cyrl-CS"/>
        </w:rPr>
        <w:t>”</w:t>
      </w:r>
      <w:r w:rsidR="00576076" w:rsidRPr="00092ED7">
        <w:rPr>
          <w:rFonts w:eastAsia="Calibri"/>
          <w:lang w:val="sr-Cyrl-CS"/>
        </w:rPr>
        <w:t>, бр</w:t>
      </w:r>
      <w:r w:rsidR="00A75829" w:rsidRPr="00092ED7">
        <w:rPr>
          <w:rFonts w:eastAsia="Calibri"/>
          <w:lang w:val="sr-Cyrl-CS"/>
        </w:rPr>
        <w:t>ој</w:t>
      </w:r>
      <w:r w:rsidRPr="00092ED7">
        <w:rPr>
          <w:rFonts w:eastAsia="Calibri"/>
          <w:lang w:val="sr-Cyrl-CS"/>
        </w:rPr>
        <w:t xml:space="preserve"> </w:t>
      </w:r>
      <w:r w:rsidRPr="00092ED7">
        <w:rPr>
          <w:color w:val="000000"/>
          <w:kern w:val="3"/>
          <w:lang w:val="sr-Cyrl-CS" w:eastAsia="zh-CN" w:bidi="hi-IN"/>
        </w:rPr>
        <w:t xml:space="preserve">8/19), </w:t>
      </w:r>
      <w:r w:rsidRPr="00092ED7">
        <w:rPr>
          <w:i/>
          <w:color w:val="000000"/>
          <w:kern w:val="3"/>
          <w:lang w:val="sr-Cyrl-CS" w:eastAsia="zh-CN" w:bidi="hi-IN"/>
        </w:rPr>
        <w:t>Правилник о смерницама добре праксе за остваривање учешћа јавности у припреми нацрта закона и других прописа и аката (</w:t>
      </w:r>
      <w:r w:rsidRPr="00092ED7">
        <w:rPr>
          <w:rFonts w:eastAsia="Calibri"/>
          <w:lang w:val="sr-Cyrl-CS"/>
        </w:rPr>
        <w:t>„Сл</w:t>
      </w:r>
      <w:r w:rsidR="00A75829" w:rsidRPr="00092ED7">
        <w:rPr>
          <w:rFonts w:eastAsia="Calibri"/>
          <w:lang w:val="sr-Cyrl-CS"/>
        </w:rPr>
        <w:t>ужбени</w:t>
      </w:r>
      <w:r w:rsidRPr="00092ED7">
        <w:rPr>
          <w:rFonts w:eastAsia="Calibri"/>
          <w:lang w:val="sr-Cyrl-CS"/>
        </w:rPr>
        <w:t xml:space="preserve"> гласник РС</w:t>
      </w:r>
      <w:r w:rsidR="00A75829" w:rsidRPr="00092ED7">
        <w:rPr>
          <w:lang w:val="sr-Cyrl-CS"/>
        </w:rPr>
        <w:t>”</w:t>
      </w:r>
      <w:r w:rsidRPr="00092ED7">
        <w:rPr>
          <w:rFonts w:eastAsia="Calibri"/>
          <w:lang w:val="sr-Cyrl-CS"/>
        </w:rPr>
        <w:t>, бр</w:t>
      </w:r>
      <w:r w:rsidR="00A75829" w:rsidRPr="00092ED7">
        <w:rPr>
          <w:rFonts w:eastAsia="Calibri"/>
          <w:lang w:val="sr-Cyrl-CS"/>
        </w:rPr>
        <w:t>ој</w:t>
      </w:r>
      <w:r w:rsidRPr="00092ED7">
        <w:rPr>
          <w:rFonts w:eastAsia="Calibri"/>
          <w:lang w:val="sr-Cyrl-CS"/>
        </w:rPr>
        <w:t xml:space="preserve"> 51/19</w:t>
      </w:r>
      <w:r w:rsidRPr="00092ED7">
        <w:rPr>
          <w:i/>
          <w:color w:val="000000"/>
          <w:kern w:val="3"/>
          <w:lang w:val="sr-Cyrl-CS" w:eastAsia="zh-CN" w:bidi="hi-IN"/>
        </w:rPr>
        <w:t xml:space="preserve">), </w:t>
      </w:r>
      <w:r w:rsidRPr="00092ED7">
        <w:rPr>
          <w:color w:val="000000"/>
          <w:kern w:val="3"/>
          <w:lang w:val="sr-Cyrl-CS" w:eastAsia="zh-CN" w:bidi="hi-IN"/>
        </w:rPr>
        <w:t>као и</w:t>
      </w:r>
      <w:r w:rsidRPr="00092ED7">
        <w:rPr>
          <w:i/>
          <w:color w:val="000000"/>
          <w:kern w:val="3"/>
          <w:lang w:val="sr-Cyrl-CS" w:eastAsia="zh-CN" w:bidi="hi-IN"/>
        </w:rPr>
        <w:t xml:space="preserve"> Програм унапређења управљања јавним политикама и регулаторном реформом са Акционим планом за период</w:t>
      </w:r>
      <w:r w:rsidR="008479FB" w:rsidRPr="00092ED7">
        <w:rPr>
          <w:i/>
          <w:color w:val="000000"/>
          <w:kern w:val="3"/>
          <w:lang w:val="sr-Cyrl-CS" w:eastAsia="zh-CN" w:bidi="hi-IN"/>
        </w:rPr>
        <w:t xml:space="preserve"> 2021-2025. </w:t>
      </w:r>
      <w:r w:rsidR="008479FB" w:rsidRPr="00092ED7">
        <w:rPr>
          <w:color w:val="000000"/>
          <w:kern w:val="3"/>
          <w:lang w:val="sr-Cyrl-CS" w:eastAsia="zh-CN" w:bidi="hi-IN"/>
        </w:rPr>
        <w:t>(„Службени гласник РС”, број 113/21)</w:t>
      </w:r>
      <w:r w:rsidRPr="00092ED7">
        <w:rPr>
          <w:color w:val="000000"/>
          <w:kern w:val="3"/>
          <w:lang w:val="sr-Cyrl-CS" w:eastAsia="zh-CN" w:bidi="hi-IN"/>
        </w:rPr>
        <w:t xml:space="preserve">. </w:t>
      </w:r>
      <w:r w:rsidRPr="00092ED7">
        <w:rPr>
          <w:kern w:val="3"/>
          <w:lang w:val="sr-Cyrl-CS" w:eastAsia="zh-CN" w:bidi="hi-IN"/>
        </w:rPr>
        <w:t xml:space="preserve">Припремљен је и јавно доступан </w:t>
      </w:r>
      <w:r w:rsidRPr="00092ED7">
        <w:rPr>
          <w:i/>
          <w:kern w:val="3"/>
          <w:lang w:val="sr-Cyrl-CS" w:eastAsia="zh-CN" w:bidi="hi-IN"/>
        </w:rPr>
        <w:t>Приручник за учешће јавности у планирању, изради и праћењу спровођења јавних политика и прописа</w:t>
      </w:r>
      <w:r w:rsidRPr="00092ED7">
        <w:rPr>
          <w:kern w:val="3"/>
          <w:vertAlign w:val="superscript"/>
          <w:lang w:val="sr-Cyrl-CS" w:eastAsia="zh-CN" w:bidi="hi-IN"/>
        </w:rPr>
        <w:footnoteReference w:id="66"/>
      </w:r>
      <w:r w:rsidRPr="00092ED7">
        <w:rPr>
          <w:i/>
          <w:kern w:val="3"/>
          <w:lang w:val="sr-Cyrl-CS" w:eastAsia="zh-CN" w:bidi="hi-IN"/>
        </w:rPr>
        <w:t xml:space="preserve"> </w:t>
      </w:r>
      <w:r w:rsidRPr="00092ED7">
        <w:rPr>
          <w:kern w:val="3"/>
          <w:lang w:val="sr-Cyrl-CS" w:eastAsia="zh-CN" w:bidi="hi-IN"/>
        </w:rPr>
        <w:t xml:space="preserve">уз подршку ЕУ. Иако је за само 44,4% закона усвојених 2021. године спроведен консултативни процес на начин предвиђен регулaторним оквиром, то је ипак за </w:t>
      </w:r>
      <w:r w:rsidR="001C075D" w:rsidRPr="00092ED7">
        <w:rPr>
          <w:kern w:val="3"/>
          <w:lang w:val="sr-Cyrl-CS" w:eastAsia="zh-CN" w:bidi="hi-IN"/>
        </w:rPr>
        <w:t xml:space="preserve">8,4 </w:t>
      </w:r>
      <w:r w:rsidRPr="00092ED7">
        <w:rPr>
          <w:kern w:val="3"/>
          <w:lang w:val="sr-Cyrl-CS" w:eastAsia="zh-CN" w:bidi="hi-IN"/>
        </w:rPr>
        <w:t>п.п. више него 2020. године</w:t>
      </w:r>
      <w:r w:rsidRPr="00092ED7">
        <w:rPr>
          <w:rStyle w:val="FootnoteReference"/>
          <w:kern w:val="3"/>
          <w:lang w:val="sr-Cyrl-CS" w:eastAsia="zh-CN" w:bidi="hi-IN"/>
        </w:rPr>
        <w:footnoteReference w:id="67"/>
      </w:r>
      <w:r w:rsidRPr="00092ED7">
        <w:rPr>
          <w:kern w:val="3"/>
          <w:lang w:val="sr-Cyrl-CS" w:eastAsia="zh-CN" w:bidi="hi-IN"/>
        </w:rPr>
        <w:t xml:space="preserve">. </w:t>
      </w:r>
      <w:r w:rsidRPr="00092ED7">
        <w:rPr>
          <w:b/>
          <w:kern w:val="3"/>
          <w:lang w:val="sr-Cyrl-CS" w:eastAsia="zh-CN" w:bidi="hi-IN"/>
        </w:rPr>
        <w:t>П</w:t>
      </w:r>
      <w:r w:rsidRPr="00092ED7">
        <w:rPr>
          <w:b/>
          <w:lang w:val="sr-Cyrl-CS"/>
        </w:rPr>
        <w:t>ортал еКонсултације</w:t>
      </w:r>
      <w:r w:rsidRPr="00092ED7">
        <w:rPr>
          <w:lang w:val="sr-Cyrl-CS"/>
        </w:rPr>
        <w:t xml:space="preserve"> (саставни део портала еУправа) потпуно је функционалан од децембра 2021. године и доприноси равноправнијем учешћу јавности, пре свега грађана у процесу припреме и усвајања прописа и докумената јавних политика. </w:t>
      </w:r>
    </w:p>
    <w:p w14:paraId="52D7F048" w14:textId="18AF6576" w:rsidR="00D210F0" w:rsidRPr="00092ED7" w:rsidRDefault="00D210F0" w:rsidP="00D210F0">
      <w:pPr>
        <w:tabs>
          <w:tab w:val="left" w:pos="2970"/>
        </w:tabs>
        <w:spacing w:after="60"/>
        <w:rPr>
          <w:rFonts w:eastAsia="Times New Roman" w:cs="Times New Roman"/>
          <w:strike/>
          <w:kern w:val="3"/>
          <w:szCs w:val="24"/>
          <w:lang w:val="sr-Cyrl-CS" w:eastAsia="zh-CN" w:bidi="hi-IN"/>
        </w:rPr>
      </w:pPr>
      <w:r w:rsidRPr="00092ED7">
        <w:rPr>
          <w:rFonts w:eastAsia="Times New Roman" w:cs="Times New Roman"/>
          <w:b/>
          <w:kern w:val="3"/>
          <w:szCs w:val="24"/>
          <w:lang w:val="sr-Cyrl-CS" w:eastAsia="zh-CN" w:bidi="hi-IN"/>
        </w:rPr>
        <w:t>Неопходни су даљи напори на побољшању квалитета и смањења оптерећености правосудног система</w:t>
      </w:r>
      <w:r w:rsidRPr="00092ED7">
        <w:rPr>
          <w:rFonts w:eastAsia="Times New Roman" w:cs="Times New Roman"/>
          <w:kern w:val="3"/>
          <w:szCs w:val="24"/>
          <w:lang w:val="sr-Cyrl-CS" w:eastAsia="zh-CN" w:bidi="hi-IN"/>
        </w:rPr>
        <w:t xml:space="preserve">. </w:t>
      </w:r>
      <w:r w:rsidR="00747FAA" w:rsidRPr="00092ED7">
        <w:rPr>
          <w:rFonts w:eastAsia="Times New Roman" w:cs="Times New Roman"/>
          <w:kern w:val="3"/>
          <w:szCs w:val="24"/>
          <w:lang w:val="sr-Cyrl-CS" w:eastAsia="zh-CN" w:bidi="hi-IN"/>
        </w:rPr>
        <w:t xml:space="preserve">Доношењем Одлуке о проглашењу </w:t>
      </w:r>
      <w:r w:rsidRPr="00092ED7">
        <w:rPr>
          <w:rFonts w:eastAsia="Times New Roman" w:cs="Times New Roman"/>
          <w:i/>
          <w:kern w:val="3"/>
          <w:szCs w:val="24"/>
          <w:lang w:val="sr-Cyrl-CS" w:eastAsia="zh-CN" w:bidi="hi-IN"/>
        </w:rPr>
        <w:t xml:space="preserve">Акта о </w:t>
      </w:r>
      <w:r w:rsidR="00747FAA" w:rsidRPr="00092ED7">
        <w:rPr>
          <w:rFonts w:eastAsia="Times New Roman" w:cs="Times New Roman"/>
          <w:i/>
          <w:kern w:val="3"/>
          <w:szCs w:val="24"/>
          <w:lang w:val="sr-Cyrl-CS" w:eastAsia="zh-CN" w:bidi="hi-IN"/>
        </w:rPr>
        <w:t xml:space="preserve">промени </w:t>
      </w:r>
      <w:r w:rsidRPr="00092ED7">
        <w:rPr>
          <w:rFonts w:eastAsia="Times New Roman" w:cs="Times New Roman"/>
          <w:i/>
          <w:kern w:val="3"/>
          <w:szCs w:val="24"/>
          <w:lang w:val="sr-Cyrl-CS" w:eastAsia="zh-CN" w:bidi="hi-IN"/>
        </w:rPr>
        <w:t xml:space="preserve">Устава </w:t>
      </w:r>
      <w:r w:rsidR="00056F47" w:rsidRPr="00092ED7">
        <w:rPr>
          <w:rFonts w:eastAsia="Times New Roman" w:cs="Times New Roman"/>
          <w:i/>
          <w:kern w:val="3"/>
          <w:szCs w:val="24"/>
          <w:lang w:val="sr-Cyrl-CS" w:eastAsia="zh-CN" w:bidi="hi-IN"/>
        </w:rPr>
        <w:t xml:space="preserve">Републике </w:t>
      </w:r>
      <w:r w:rsidRPr="00092ED7">
        <w:rPr>
          <w:rFonts w:eastAsia="Times New Roman" w:cs="Times New Roman"/>
          <w:i/>
          <w:kern w:val="3"/>
          <w:szCs w:val="24"/>
          <w:lang w:val="sr-Cyrl-CS" w:eastAsia="zh-CN" w:bidi="hi-IN"/>
        </w:rPr>
        <w:t>Србије</w:t>
      </w:r>
      <w:r w:rsidRPr="00092ED7">
        <w:rPr>
          <w:lang w:val="sr-Cyrl-CS"/>
        </w:rPr>
        <w:t xml:space="preserve"> </w:t>
      </w:r>
      <w:r w:rsidR="008479FB" w:rsidRPr="00092ED7">
        <w:rPr>
          <w:i/>
          <w:lang w:val="sr-Cyrl-CS"/>
        </w:rPr>
        <w:t>(</w:t>
      </w:r>
      <w:r w:rsidR="008479FB" w:rsidRPr="00092ED7">
        <w:rPr>
          <w:lang w:val="sr-Cyrl-CS"/>
        </w:rPr>
        <w:t xml:space="preserve">„Службени гласник РС”, број 16/22) </w:t>
      </w:r>
      <w:r w:rsidRPr="00092ED7">
        <w:rPr>
          <w:rFonts w:eastAsia="Times New Roman" w:cs="Times New Roman"/>
          <w:kern w:val="3"/>
          <w:szCs w:val="24"/>
          <w:lang w:val="sr-Cyrl-CS" w:eastAsia="zh-CN" w:bidi="hi-IN"/>
        </w:rPr>
        <w:t>створени су услови за јачање независности и одговорности правосуђа и</w:t>
      </w:r>
      <w:r w:rsidRPr="00092ED7">
        <w:rPr>
          <w:rFonts w:eastAsia="Times New Roman" w:cs="Times New Roman"/>
          <w:b/>
          <w:kern w:val="3"/>
          <w:szCs w:val="24"/>
          <w:lang w:val="sr-Cyrl-CS" w:eastAsia="zh-CN" w:bidi="hi-IN"/>
        </w:rPr>
        <w:t xml:space="preserve"> </w:t>
      </w:r>
      <w:r w:rsidRPr="00092ED7">
        <w:rPr>
          <w:rFonts w:eastAsia="Times New Roman" w:cs="Times New Roman"/>
          <w:kern w:val="3"/>
          <w:szCs w:val="24"/>
          <w:lang w:val="sr-Cyrl-CS" w:eastAsia="zh-CN" w:bidi="hi-IN"/>
        </w:rPr>
        <w:t xml:space="preserve">даље оснаживање владавине права. Међутим, мањак кадрова и недостатак континуираног усавршавања судија доводи </w:t>
      </w:r>
      <w:r w:rsidR="001F62AF" w:rsidRPr="00092ED7">
        <w:rPr>
          <w:rFonts w:eastAsia="Times New Roman" w:cs="Times New Roman"/>
          <w:kern w:val="3"/>
          <w:szCs w:val="24"/>
          <w:lang w:val="sr-Cyrl-CS" w:eastAsia="zh-CN" w:bidi="hi-IN"/>
        </w:rPr>
        <w:t xml:space="preserve">до </w:t>
      </w:r>
      <w:r w:rsidRPr="00092ED7">
        <w:rPr>
          <w:rFonts w:eastAsia="Times New Roman" w:cs="Times New Roman"/>
          <w:kern w:val="3"/>
          <w:szCs w:val="24"/>
          <w:lang w:val="sr-Cyrl-CS" w:eastAsia="zh-CN" w:bidi="hi-IN"/>
        </w:rPr>
        <w:t>великог броја нерешених случајева и до недоследности у пресудама. У Рeпублици Србији постоји 160 судова са систематизованих 3.073 судијских места (ефективно 2.508 судија у 2021. години чија је просечна старост 52 године). Број просечно решених предмета по једном судији износио је 963 у 2021. (784 у 2020. години). Примљено је 2,4 мил</w:t>
      </w:r>
      <w:r w:rsidR="001F62AF" w:rsidRPr="00092ED7">
        <w:rPr>
          <w:rFonts w:eastAsia="Times New Roman" w:cs="Times New Roman"/>
          <w:kern w:val="3"/>
          <w:szCs w:val="24"/>
          <w:lang w:val="sr-Cyrl-CS" w:eastAsia="zh-CN" w:bidi="hi-IN"/>
        </w:rPr>
        <w:t>иона</w:t>
      </w:r>
      <w:r w:rsidRPr="00092ED7">
        <w:rPr>
          <w:rFonts w:eastAsia="Times New Roman" w:cs="Times New Roman"/>
          <w:kern w:val="3"/>
          <w:szCs w:val="24"/>
          <w:lang w:val="sr-Cyrl-CS" w:eastAsia="zh-CN" w:bidi="hi-IN"/>
        </w:rPr>
        <w:t xml:space="preserve"> нових предмета у 2021. (958 по судији), што је више него 2020. (727 нових предмета по судији). Иако је и даље висок, број нерешених предмета континуирано се смањује (мање од 1,5 милиона у 2021. са 3,2 мил. у 2012. години), као и потребно време за решавање предмета (на 226 дана у 2021. са 274 у 2020. години, а 534 дана у 2012. години). У просеку се 67,8% предмета реши у првој години, за 30,7% предмета време решавања је од једне до три године, а за решавање 1,5% судских предмета потребно је више од три године</w:t>
      </w:r>
      <w:r w:rsidRPr="00092ED7">
        <w:rPr>
          <w:rStyle w:val="FootnoteReference"/>
          <w:rFonts w:eastAsia="Times New Roman" w:cs="Times New Roman"/>
          <w:kern w:val="3"/>
          <w:szCs w:val="24"/>
          <w:lang w:val="sr-Cyrl-CS" w:eastAsia="zh-CN" w:bidi="hi-IN"/>
        </w:rPr>
        <w:footnoteReference w:id="68"/>
      </w:r>
      <w:r w:rsidRPr="00092ED7">
        <w:rPr>
          <w:rFonts w:eastAsia="Times New Roman" w:cs="Times New Roman"/>
          <w:kern w:val="3"/>
          <w:szCs w:val="24"/>
          <w:lang w:val="sr-Cyrl-CS" w:eastAsia="zh-CN" w:bidi="hi-IN"/>
        </w:rPr>
        <w:t xml:space="preserve">. У циљу смањења броја нерешених предмета, Врховни касациони суд је донео </w:t>
      </w:r>
      <w:r w:rsidRPr="00092ED7">
        <w:rPr>
          <w:rFonts w:eastAsia="Times New Roman" w:cs="Times New Roman"/>
          <w:i/>
          <w:kern w:val="3"/>
          <w:szCs w:val="24"/>
          <w:lang w:val="sr-Cyrl-CS" w:eastAsia="zh-CN" w:bidi="hi-IN"/>
        </w:rPr>
        <w:t>Јединствени програм решавања старих предмета у Републици Србији</w:t>
      </w:r>
      <w:r w:rsidRPr="00092ED7">
        <w:rPr>
          <w:rFonts w:eastAsia="Times New Roman" w:cs="Times New Roman"/>
          <w:kern w:val="3"/>
          <w:szCs w:val="24"/>
          <w:lang w:val="sr-Cyrl-CS" w:eastAsia="zh-CN" w:bidi="hi-IN"/>
        </w:rPr>
        <w:t xml:space="preserve"> </w:t>
      </w:r>
      <w:r w:rsidRPr="00092ED7">
        <w:rPr>
          <w:rFonts w:eastAsia="Times New Roman" w:cs="Times New Roman"/>
          <w:i/>
          <w:kern w:val="3"/>
          <w:szCs w:val="24"/>
          <w:lang w:val="sr-Cyrl-CS" w:eastAsia="zh-CN" w:bidi="hi-IN"/>
        </w:rPr>
        <w:t>2021-2025</w:t>
      </w:r>
      <w:r w:rsidRPr="00092ED7">
        <w:rPr>
          <w:rFonts w:eastAsia="Times New Roman" w:cs="Times New Roman"/>
          <w:kern w:val="3"/>
          <w:szCs w:val="24"/>
          <w:lang w:val="sr-Cyrl-CS" w:eastAsia="zh-CN" w:bidi="hi-IN"/>
        </w:rPr>
        <w:t xml:space="preserve">. године, којим су обухваћени сви предмети старији од </w:t>
      </w:r>
      <w:r w:rsidR="00571BD7" w:rsidRPr="00092ED7">
        <w:rPr>
          <w:rFonts w:eastAsia="Times New Roman" w:cs="Times New Roman"/>
          <w:kern w:val="3"/>
          <w:szCs w:val="24"/>
          <w:lang w:val="sr-Cyrl-CS" w:eastAsia="zh-CN" w:bidi="hi-IN"/>
        </w:rPr>
        <w:t>три</w:t>
      </w:r>
      <w:r w:rsidRPr="00092ED7">
        <w:rPr>
          <w:rFonts w:eastAsia="Times New Roman" w:cs="Times New Roman"/>
          <w:kern w:val="3"/>
          <w:szCs w:val="24"/>
          <w:lang w:val="sr-Cyrl-CS" w:eastAsia="zh-CN" w:bidi="hi-IN"/>
        </w:rPr>
        <w:t xml:space="preserve"> године од дана подношења иницијалног акта.</w:t>
      </w:r>
    </w:p>
    <w:p w14:paraId="4129EDEC" w14:textId="1BD40DF3" w:rsidR="00D210F0" w:rsidRPr="00092ED7" w:rsidRDefault="00D210F0" w:rsidP="00B640AF">
      <w:pPr>
        <w:rPr>
          <w:rFonts w:cs="Times New Roman"/>
          <w:szCs w:val="24"/>
          <w:lang w:val="sr-Cyrl-CS"/>
        </w:rPr>
      </w:pPr>
      <w:r w:rsidRPr="00092ED7">
        <w:rPr>
          <w:rFonts w:eastAsia="Times New Roman" w:cs="Times New Roman"/>
          <w:b/>
          <w:color w:val="000000"/>
          <w:kern w:val="3"/>
          <w:szCs w:val="24"/>
          <w:lang w:val="sr-Cyrl-CS" w:eastAsia="zh-CN" w:bidi="hi-IN"/>
        </w:rPr>
        <w:t xml:space="preserve">Поред запаженог напретка у смањењу административног терета на привреду последњих година, пословно окружење у Републици Србији и даље је оптерећено трошковима и компликованим административним поступцима, </w:t>
      </w:r>
      <w:r w:rsidRPr="00092ED7">
        <w:rPr>
          <w:rFonts w:eastAsia="Times New Roman" w:cs="Times New Roman"/>
          <w:color w:val="000000"/>
          <w:kern w:val="3"/>
          <w:szCs w:val="24"/>
          <w:lang w:val="sr-Cyrl-CS" w:eastAsia="zh-CN" w:bidi="hi-IN"/>
        </w:rPr>
        <w:t>што неповољно утиче на инвестиције и развој и раст сектора малих и средњих предузећа. Административно оптерећење привреде у Републици Србији смањено је на 2,92% БДП у 2021.</w:t>
      </w:r>
      <w:r w:rsidRPr="00092ED7">
        <w:rPr>
          <w:rFonts w:eastAsia="Times New Roman" w:cs="Times New Roman"/>
          <w:color w:val="000000"/>
          <w:kern w:val="3"/>
          <w:szCs w:val="24"/>
          <w:vertAlign w:val="superscript"/>
          <w:lang w:val="sr-Cyrl-CS" w:eastAsia="zh-CN" w:bidi="hi-IN"/>
        </w:rPr>
        <w:footnoteReference w:id="69"/>
      </w:r>
      <w:r w:rsidRPr="00092ED7">
        <w:rPr>
          <w:rFonts w:eastAsia="Times New Roman" w:cs="Times New Roman"/>
          <w:color w:val="000000"/>
          <w:kern w:val="3"/>
          <w:szCs w:val="24"/>
          <w:lang w:val="sr-Cyrl-CS" w:eastAsia="zh-CN" w:bidi="hi-IN"/>
        </w:rPr>
        <w:t xml:space="preserve"> години, са 4,07% БДП у 2010. години. Доношењем </w:t>
      </w:r>
      <w:r w:rsidRPr="00092ED7">
        <w:rPr>
          <w:rFonts w:eastAsia="Times New Roman" w:cs="Times New Roman"/>
          <w:i/>
          <w:color w:val="000000"/>
          <w:kern w:val="3"/>
          <w:szCs w:val="24"/>
          <w:lang w:val="sr-Cyrl-CS" w:eastAsia="zh-CN" w:bidi="hi-IN"/>
        </w:rPr>
        <w:t xml:space="preserve">Закона о накнадама за коришћење јавних добара </w:t>
      </w:r>
      <w:r w:rsidR="00576076" w:rsidRPr="00092ED7">
        <w:rPr>
          <w:rFonts w:eastAsia="Calibri" w:cs="Times New Roman"/>
          <w:lang w:val="sr-Cyrl-CS"/>
        </w:rPr>
        <w:t>(„Сл</w:t>
      </w:r>
      <w:r w:rsidR="005F40A2" w:rsidRPr="00092ED7">
        <w:rPr>
          <w:rFonts w:eastAsia="Calibri" w:cs="Times New Roman"/>
          <w:lang w:val="sr-Cyrl-CS"/>
        </w:rPr>
        <w:t>ужбени</w:t>
      </w:r>
      <w:r w:rsidRPr="00092ED7">
        <w:rPr>
          <w:rFonts w:eastAsia="Calibri" w:cs="Times New Roman"/>
          <w:lang w:val="sr-Cyrl-CS"/>
        </w:rPr>
        <w:t xml:space="preserve"> гласник РС</w:t>
      </w:r>
      <w:r w:rsidR="005F40A2" w:rsidRPr="00092ED7">
        <w:rPr>
          <w:rFonts w:cs="Times New Roman"/>
          <w:szCs w:val="24"/>
          <w:lang w:val="sr-Cyrl-CS"/>
        </w:rPr>
        <w:t>”</w:t>
      </w:r>
      <w:r w:rsidRPr="00092ED7">
        <w:rPr>
          <w:rFonts w:eastAsia="Calibri" w:cs="Times New Roman"/>
          <w:lang w:val="sr-Cyrl-CS"/>
        </w:rPr>
        <w:t xml:space="preserve">, бр. </w:t>
      </w:r>
      <w:r w:rsidRPr="00092ED7">
        <w:rPr>
          <w:rFonts w:eastAsia="Times New Roman" w:cs="Times New Roman"/>
          <w:color w:val="000000"/>
          <w:kern w:val="3"/>
          <w:szCs w:val="24"/>
          <w:lang w:val="sr-Cyrl-CS" w:eastAsia="zh-CN" w:bidi="hi-IN"/>
        </w:rPr>
        <w:t xml:space="preserve">95/18 и 49/19), обједињене су на једном месту све накнаде које се плаћају за коришћење природних богатстава, добара од општег интереса и добара у општој употреби (ове накнаде су биле предмет уређивања у </w:t>
      </w:r>
      <w:r w:rsidRPr="00092ED7">
        <w:rPr>
          <w:rFonts w:eastAsia="Times New Roman" w:cs="Times New Roman"/>
          <w:color w:val="000000"/>
          <w:kern w:val="3"/>
          <w:szCs w:val="24"/>
          <w:lang w:val="sr-Cyrl-CS" w:eastAsia="zh-CN" w:bidi="hi-IN"/>
        </w:rPr>
        <w:lastRenderedPageBreak/>
        <w:t xml:space="preserve">19 посебних закона), а у току је и успостављање јавног регистра непореских намета. </w:t>
      </w:r>
      <w:r w:rsidRPr="00092ED7">
        <w:rPr>
          <w:rFonts w:eastAsia="Times New Roman" w:cs="Times New Roman"/>
          <w:kern w:val="3"/>
          <w:szCs w:val="24"/>
          <w:lang w:val="sr-Cyrl-CS" w:eastAsia="zh-CN" w:bidi="hi-IN"/>
        </w:rPr>
        <w:t xml:space="preserve">Пописано је и анализирано око 2.600 административних поступака у 93 органа јавне управе у периоду од 2016-2021. године. У оквиру </w:t>
      </w:r>
      <w:r w:rsidRPr="00092ED7">
        <w:rPr>
          <w:rFonts w:eastAsia="Times New Roman" w:cs="Times New Roman"/>
          <w:i/>
          <w:color w:val="000000"/>
          <w:kern w:val="3"/>
          <w:szCs w:val="24"/>
          <w:lang w:val="sr-Cyrl-CS" w:eastAsia="zh-CN" w:bidi="hi-IN"/>
        </w:rPr>
        <w:t>Програма за поједностављење административних поступака и регулативе „еПапир”</w:t>
      </w:r>
      <w:r w:rsidR="00747FAA" w:rsidRPr="00092ED7">
        <w:rPr>
          <w:rFonts w:eastAsia="Times New Roman" w:cs="Times New Roman"/>
          <w:i/>
          <w:color w:val="000000"/>
          <w:kern w:val="3"/>
          <w:szCs w:val="24"/>
          <w:lang w:val="sr-Cyrl-CS" w:eastAsia="zh-CN" w:bidi="hi-IN"/>
        </w:rPr>
        <w:t>за период 2019˗2021</w:t>
      </w:r>
      <w:r w:rsidR="00747FAA" w:rsidRPr="00092ED7">
        <w:rPr>
          <w:rFonts w:eastAsia="Times New Roman" w:cs="Times New Roman"/>
          <w:kern w:val="3"/>
          <w:szCs w:val="24"/>
          <w:lang w:val="sr-Cyrl-CS" w:eastAsia="zh-CN" w:bidi="hi-IN"/>
        </w:rPr>
        <w:t xml:space="preserve">. године </w:t>
      </w:r>
      <w:r w:rsidR="008877A5" w:rsidRPr="00092ED7">
        <w:rPr>
          <w:rFonts w:eastAsia="Times New Roman" w:cs="Times New Roman"/>
          <w:kern w:val="3"/>
          <w:szCs w:val="24"/>
          <w:lang w:val="sr-Cyrl-CS" w:eastAsia="zh-CN" w:bidi="hi-IN"/>
        </w:rPr>
        <w:t xml:space="preserve">(05 </w:t>
      </w:r>
      <w:r w:rsidR="00493D33" w:rsidRPr="00092ED7">
        <w:rPr>
          <w:rFonts w:eastAsia="Times New Roman" w:cs="Times New Roman"/>
          <w:kern w:val="3"/>
          <w:szCs w:val="24"/>
          <w:lang w:val="sr-Cyrl-CS" w:eastAsia="zh-CN" w:bidi="hi-IN"/>
        </w:rPr>
        <w:t>Б</w:t>
      </w:r>
      <w:r w:rsidR="008877A5" w:rsidRPr="00092ED7">
        <w:rPr>
          <w:rFonts w:eastAsia="Times New Roman" w:cs="Times New Roman"/>
          <w:kern w:val="3"/>
          <w:szCs w:val="24"/>
          <w:lang w:val="sr-Cyrl-CS" w:eastAsia="zh-CN" w:bidi="hi-IN"/>
        </w:rPr>
        <w:t>рој</w:t>
      </w:r>
      <w:r w:rsidR="00493D33" w:rsidRPr="00092ED7">
        <w:rPr>
          <w:rFonts w:eastAsia="Times New Roman" w:cs="Times New Roman"/>
          <w:kern w:val="3"/>
          <w:szCs w:val="24"/>
          <w:lang w:val="sr-Cyrl-CS" w:eastAsia="zh-CN" w:bidi="hi-IN"/>
        </w:rPr>
        <w:t>:</w:t>
      </w:r>
      <w:r w:rsidR="008877A5" w:rsidRPr="00092ED7">
        <w:rPr>
          <w:rFonts w:eastAsia="Times New Roman" w:cs="Times New Roman"/>
          <w:kern w:val="3"/>
          <w:szCs w:val="24"/>
          <w:lang w:val="sr-Cyrl-CS" w:eastAsia="zh-CN" w:bidi="hi-IN"/>
        </w:rPr>
        <w:t xml:space="preserve"> 021-6885/2019-1 од 11</w:t>
      </w:r>
      <w:r w:rsidR="006B1007" w:rsidRPr="00092ED7">
        <w:rPr>
          <w:rFonts w:eastAsia="Times New Roman" w:cs="Times New Roman"/>
          <w:kern w:val="3"/>
          <w:szCs w:val="24"/>
          <w:lang w:val="sr-Cyrl-CS" w:eastAsia="zh-CN" w:bidi="hi-IN"/>
        </w:rPr>
        <w:t>.</w:t>
      </w:r>
      <w:r w:rsidR="008877A5" w:rsidRPr="00092ED7">
        <w:rPr>
          <w:rFonts w:eastAsia="Times New Roman" w:cs="Times New Roman"/>
          <w:kern w:val="3"/>
          <w:szCs w:val="24"/>
          <w:lang w:val="sr-Cyrl-CS" w:eastAsia="zh-CN" w:bidi="hi-IN"/>
        </w:rPr>
        <w:t xml:space="preserve"> јула 2019. године)</w:t>
      </w:r>
      <w:r w:rsidR="00E55310" w:rsidRPr="00092ED7">
        <w:rPr>
          <w:rFonts w:eastAsia="Times New Roman" w:cs="Times New Roman"/>
          <w:kern w:val="3"/>
          <w:szCs w:val="24"/>
          <w:lang w:val="sr-Cyrl-CS" w:eastAsia="zh-CN" w:bidi="hi-IN"/>
        </w:rPr>
        <w:t xml:space="preserve"> </w:t>
      </w:r>
      <w:r w:rsidRPr="00092ED7">
        <w:rPr>
          <w:rFonts w:eastAsia="Times New Roman" w:cs="Times New Roman"/>
          <w:kern w:val="3"/>
          <w:szCs w:val="24"/>
          <w:lang w:val="sr-Cyrl-CS" w:eastAsia="zh-CN" w:bidi="hi-IN"/>
        </w:rPr>
        <w:t>дигитализоване су 64 услуге јавне управе, а оптимизована су 38</w:t>
      </w:r>
      <w:r w:rsidR="00571BD7" w:rsidRPr="00092ED7">
        <w:rPr>
          <w:rFonts w:eastAsia="Times New Roman" w:cs="Times New Roman"/>
          <w:kern w:val="3"/>
          <w:szCs w:val="24"/>
          <w:lang w:val="sr-Cyrl-CS" w:eastAsia="zh-CN" w:bidi="hi-IN"/>
        </w:rPr>
        <w:t>0</w:t>
      </w:r>
      <w:r w:rsidRPr="00092ED7">
        <w:rPr>
          <w:rFonts w:eastAsia="Times New Roman" w:cs="Times New Roman"/>
          <w:kern w:val="3"/>
          <w:szCs w:val="24"/>
          <w:lang w:val="sr-Cyrl-CS" w:eastAsia="zh-CN" w:bidi="hi-IN"/>
        </w:rPr>
        <w:t xml:space="preserve"> административна поступака (од којих је 21 поступак укинут), и на тај начин постигнута је уштеда за привреду око 33 мил</w:t>
      </w:r>
      <w:r w:rsidR="00192281" w:rsidRPr="00092ED7">
        <w:rPr>
          <w:rFonts w:eastAsia="Times New Roman" w:cs="Times New Roman"/>
          <w:kern w:val="3"/>
          <w:szCs w:val="24"/>
          <w:lang w:val="sr-Cyrl-CS" w:eastAsia="zh-CN" w:bidi="hi-IN"/>
        </w:rPr>
        <w:t>иона</w:t>
      </w:r>
      <w:r w:rsidRPr="00092ED7">
        <w:rPr>
          <w:rFonts w:eastAsia="Times New Roman" w:cs="Times New Roman"/>
          <w:kern w:val="3"/>
          <w:szCs w:val="24"/>
          <w:lang w:val="sr-Cyrl-CS" w:eastAsia="zh-CN" w:bidi="hi-IN"/>
        </w:rPr>
        <w:t xml:space="preserve"> евра годишње. На основу </w:t>
      </w:r>
      <w:r w:rsidRPr="00092ED7">
        <w:rPr>
          <w:rFonts w:eastAsia="Times New Roman" w:cs="Times New Roman"/>
          <w:i/>
          <w:kern w:val="3"/>
          <w:szCs w:val="24"/>
          <w:lang w:val="sr-Cyrl-CS" w:eastAsia="zh-CN" w:bidi="hi-IN"/>
        </w:rPr>
        <w:t>Закона о Регистру административних поступака</w:t>
      </w:r>
      <w:r w:rsidRPr="00092ED7">
        <w:rPr>
          <w:rFonts w:eastAsia="Times New Roman" w:cs="Times New Roman"/>
          <w:kern w:val="3"/>
          <w:szCs w:val="24"/>
          <w:lang w:val="sr-Cyrl-CS" w:eastAsia="zh-CN" w:bidi="hi-IN"/>
        </w:rPr>
        <w:t xml:space="preserve"> </w:t>
      </w:r>
      <w:r w:rsidR="00576076" w:rsidRPr="00092ED7">
        <w:rPr>
          <w:rFonts w:eastAsia="Calibri" w:cs="Times New Roman"/>
          <w:lang w:val="sr-Cyrl-CS"/>
        </w:rPr>
        <w:t>(„Сл</w:t>
      </w:r>
      <w:r w:rsidR="006A031A" w:rsidRPr="00092ED7">
        <w:rPr>
          <w:rFonts w:eastAsia="Calibri" w:cs="Times New Roman"/>
          <w:lang w:val="sr-Cyrl-CS"/>
        </w:rPr>
        <w:t>ужбени</w:t>
      </w:r>
      <w:r w:rsidR="00576076" w:rsidRPr="00092ED7">
        <w:rPr>
          <w:rFonts w:eastAsia="Calibri" w:cs="Times New Roman"/>
          <w:lang w:val="sr-Cyrl-CS"/>
        </w:rPr>
        <w:t xml:space="preserve"> гласник РС</w:t>
      </w:r>
      <w:r w:rsidR="006A031A" w:rsidRPr="00092ED7">
        <w:rPr>
          <w:rFonts w:cs="Times New Roman"/>
          <w:szCs w:val="24"/>
          <w:lang w:val="sr-Cyrl-CS"/>
        </w:rPr>
        <w:t>”</w:t>
      </w:r>
      <w:r w:rsidR="00576076" w:rsidRPr="00092ED7">
        <w:rPr>
          <w:rFonts w:eastAsia="Calibri" w:cs="Times New Roman"/>
          <w:lang w:val="sr-Cyrl-CS"/>
        </w:rPr>
        <w:t>, бр</w:t>
      </w:r>
      <w:r w:rsidR="006A031A" w:rsidRPr="00092ED7">
        <w:rPr>
          <w:rFonts w:eastAsia="Calibri" w:cs="Times New Roman"/>
          <w:lang w:val="sr-Cyrl-CS"/>
        </w:rPr>
        <w:t>ој</w:t>
      </w:r>
      <w:r w:rsidRPr="00092ED7">
        <w:rPr>
          <w:rFonts w:eastAsia="Calibri" w:cs="Times New Roman"/>
          <w:lang w:val="sr-Cyrl-CS"/>
        </w:rPr>
        <w:t xml:space="preserve"> </w:t>
      </w:r>
      <w:r w:rsidRPr="00092ED7">
        <w:rPr>
          <w:rFonts w:eastAsia="Times New Roman" w:cs="Times New Roman"/>
          <w:kern w:val="3"/>
          <w:szCs w:val="24"/>
          <w:lang w:val="sr-Cyrl-CS" w:eastAsia="zh-CN" w:bidi="hi-IN"/>
        </w:rPr>
        <w:t xml:space="preserve">44/21) и </w:t>
      </w:r>
      <w:r w:rsidRPr="00092ED7">
        <w:rPr>
          <w:rFonts w:eastAsia="Times New Roman" w:cs="Times New Roman"/>
          <w:i/>
          <w:kern w:val="3"/>
          <w:szCs w:val="24"/>
          <w:lang w:val="sr-Cyrl-CS" w:eastAsia="zh-CN" w:bidi="hi-IN"/>
        </w:rPr>
        <w:t>Уредбе о вођењу, функционисању и утврђивању података који се уписују у Регистар административних поступака</w:t>
      </w:r>
      <w:r w:rsidRPr="00092ED7">
        <w:rPr>
          <w:rFonts w:eastAsia="Times New Roman" w:cs="Times New Roman"/>
          <w:kern w:val="3"/>
          <w:szCs w:val="24"/>
          <w:lang w:val="sr-Cyrl-CS" w:eastAsia="zh-CN" w:bidi="hi-IN"/>
        </w:rPr>
        <w:t xml:space="preserve"> (</w:t>
      </w:r>
      <w:r w:rsidR="00576076" w:rsidRPr="00092ED7">
        <w:rPr>
          <w:rFonts w:eastAsia="Calibri" w:cs="Times New Roman"/>
          <w:lang w:val="sr-Cyrl-CS"/>
        </w:rPr>
        <w:t>„Сл</w:t>
      </w:r>
      <w:r w:rsidR="006A031A" w:rsidRPr="00092ED7">
        <w:rPr>
          <w:rFonts w:eastAsia="Calibri" w:cs="Times New Roman"/>
          <w:lang w:val="sr-Cyrl-CS"/>
        </w:rPr>
        <w:t>ужбени</w:t>
      </w:r>
      <w:r w:rsidR="00576076" w:rsidRPr="00092ED7">
        <w:rPr>
          <w:rFonts w:eastAsia="Calibri" w:cs="Times New Roman"/>
          <w:lang w:val="sr-Cyrl-CS"/>
        </w:rPr>
        <w:t xml:space="preserve"> гласник РС</w:t>
      </w:r>
      <w:r w:rsidR="006A031A" w:rsidRPr="00092ED7">
        <w:rPr>
          <w:rFonts w:cs="Times New Roman"/>
          <w:szCs w:val="24"/>
          <w:lang w:val="sr-Cyrl-CS"/>
        </w:rPr>
        <w:t>”</w:t>
      </w:r>
      <w:r w:rsidR="00576076" w:rsidRPr="00092ED7">
        <w:rPr>
          <w:rFonts w:eastAsia="Calibri" w:cs="Times New Roman"/>
          <w:lang w:val="sr-Cyrl-CS"/>
        </w:rPr>
        <w:t>, бр</w:t>
      </w:r>
      <w:r w:rsidR="006A031A" w:rsidRPr="00092ED7">
        <w:rPr>
          <w:rFonts w:eastAsia="Calibri" w:cs="Times New Roman"/>
          <w:lang w:val="sr-Cyrl-CS"/>
        </w:rPr>
        <w:t>ој</w:t>
      </w:r>
      <w:r w:rsidRPr="00092ED7">
        <w:rPr>
          <w:rFonts w:eastAsia="Calibri" w:cs="Times New Roman"/>
          <w:lang w:val="sr-Cyrl-CS"/>
        </w:rPr>
        <w:t xml:space="preserve"> 84/22)</w:t>
      </w:r>
      <w:r w:rsidRPr="00092ED7">
        <w:rPr>
          <w:rFonts w:eastAsia="Times New Roman" w:cs="Times New Roman"/>
          <w:kern w:val="3"/>
          <w:szCs w:val="24"/>
          <w:lang w:val="sr-Cyrl-CS" w:eastAsia="zh-CN" w:bidi="hi-IN"/>
        </w:rPr>
        <w:t xml:space="preserve">, успостављен је </w:t>
      </w:r>
      <w:r w:rsidRPr="00092ED7">
        <w:rPr>
          <w:rFonts w:eastAsia="Times New Roman" w:cs="Times New Roman"/>
          <w:i/>
          <w:kern w:val="3"/>
          <w:szCs w:val="24"/>
          <w:lang w:val="sr-Cyrl-CS" w:eastAsia="zh-CN" w:bidi="hi-IN"/>
        </w:rPr>
        <w:t>Регистар административних поступака</w:t>
      </w:r>
      <w:r w:rsidRPr="00092ED7">
        <w:rPr>
          <w:rFonts w:eastAsia="Times New Roman" w:cs="Times New Roman"/>
          <w:kern w:val="3"/>
          <w:szCs w:val="24"/>
          <w:lang w:val="sr-Cyrl-CS" w:eastAsia="zh-CN" w:bidi="hi-IN"/>
        </w:rPr>
        <w:t>. На</w:t>
      </w:r>
      <w:r w:rsidRPr="00092ED7">
        <w:rPr>
          <w:rFonts w:eastAsia="Times New Roman" w:cs="Times New Roman"/>
          <w:color w:val="000000"/>
          <w:kern w:val="3"/>
          <w:szCs w:val="24"/>
          <w:lang w:val="sr-Cyrl-CS" w:eastAsia="zh-CN" w:bidi="hi-IN"/>
        </w:rPr>
        <w:t xml:space="preserve"> јавно доступном Порталу Регистра тренутно се могу наћи потребне информације за 2.317 поступака (образац захтева и информације о потребној документацији која се прилаже, износу финансијских издатака и броју рачуна на који треба да се изврши уплата, адреси на коју треба упутити захтев, линк за покретање електронске услуге и друго), што омогућава привреди додатну уштеду у времену и новцу и унапређује правну сигурност, предвидљивост и уједначеност поступања целе јавне управе.</w:t>
      </w:r>
    </w:p>
    <w:p w14:paraId="00994291" w14:textId="3127F1F4" w:rsidR="00D210F0" w:rsidRPr="00092ED7" w:rsidRDefault="00D210F0" w:rsidP="00D210F0">
      <w:pPr>
        <w:widowControl w:val="0"/>
        <w:suppressAutoHyphens/>
        <w:autoSpaceDN w:val="0"/>
        <w:spacing w:after="60"/>
        <w:textAlignment w:val="baseline"/>
        <w:rPr>
          <w:rFonts w:eastAsia="Times New Roman" w:cs="Times New Roman"/>
          <w:kern w:val="3"/>
          <w:szCs w:val="24"/>
          <w:lang w:val="sr-Cyrl-CS" w:eastAsia="zh-CN" w:bidi="hi-IN"/>
        </w:rPr>
      </w:pPr>
      <w:r w:rsidRPr="00092ED7">
        <w:rPr>
          <w:rFonts w:eastAsia="SimSun" w:cs="Mangal"/>
          <w:b/>
          <w:kern w:val="3"/>
          <w:szCs w:val="24"/>
          <w:lang w:val="sr-Cyrl-CS" w:eastAsia="zh-CN" w:bidi="hi-IN"/>
        </w:rPr>
        <w:t>Улога државе у привреди се смањује, али остаје значајна.</w:t>
      </w:r>
      <w:r w:rsidRPr="00092ED7">
        <w:rPr>
          <w:rFonts w:eastAsia="SimSun" w:cs="Mangal"/>
          <w:kern w:val="3"/>
          <w:szCs w:val="24"/>
          <w:lang w:val="sr-Cyrl-CS" w:eastAsia="zh-CN" w:bidi="hi-IN"/>
        </w:rPr>
        <w:t xml:space="preserve"> Процес реструктурирања јавних предузећа претходних година дао је резултате али ова предузећа (596 или 0,5% укупног броја предузећа) и даље имају велики утицај на остварене резултате нефинансијског сектора привреде у 2020. години. Tако јавна предузећа бележе следеће уделе у 2020. (у поређењу са 2015. годином): 9,4% (11,6% у 2015.) запослености, 20,9% (25,8%) капитала, 6,1% (6,4%) укупног прихода, 5,4% (5,8%) нето добити и 3,2% (5,8%) нето губитака. Пандемија и енергетска криза успорили су реструктурирање великих државних предузећа пре свега у области енергетике, транспорта и рударства. </w:t>
      </w:r>
      <w:r w:rsidR="00EB4E47" w:rsidRPr="00092ED7">
        <w:rPr>
          <w:rFonts w:eastAsia="SimSun" w:cs="Mangal"/>
          <w:kern w:val="3"/>
          <w:szCs w:val="24"/>
          <w:lang w:val="sr-Cyrl-CS" w:eastAsia="zh-CN" w:bidi="hi-IN"/>
        </w:rPr>
        <w:t xml:space="preserve">У наредном периоду имплементираће се </w:t>
      </w:r>
      <w:r w:rsidRPr="00092ED7">
        <w:rPr>
          <w:rFonts w:eastAsia="SimSun" w:cs="Mangal"/>
          <w:kern w:val="3"/>
          <w:szCs w:val="24"/>
          <w:lang w:val="sr-Cyrl-CS" w:eastAsia="zh-CN" w:bidi="hi-IN"/>
        </w:rPr>
        <w:t>мер</w:t>
      </w:r>
      <w:r w:rsidR="00EB4E47" w:rsidRPr="00092ED7">
        <w:rPr>
          <w:rFonts w:eastAsia="SimSun" w:cs="Mangal"/>
          <w:kern w:val="3"/>
          <w:szCs w:val="24"/>
          <w:lang w:val="sr-Cyrl-CS" w:eastAsia="zh-CN" w:bidi="hi-IN"/>
        </w:rPr>
        <w:t>е</w:t>
      </w:r>
      <w:r w:rsidRPr="00092ED7">
        <w:rPr>
          <w:rFonts w:eastAsia="SimSun" w:cs="Mangal"/>
          <w:kern w:val="3"/>
          <w:szCs w:val="24"/>
          <w:lang w:val="sr-Cyrl-CS" w:eastAsia="zh-CN" w:bidi="hi-IN"/>
        </w:rPr>
        <w:t xml:space="preserve"> из </w:t>
      </w:r>
      <w:r w:rsidRPr="00092ED7">
        <w:rPr>
          <w:rFonts w:eastAsia="SimSun" w:cs="Mangal"/>
          <w:i/>
          <w:kern w:val="3"/>
          <w:szCs w:val="24"/>
          <w:lang w:val="sr-Cyrl-CS" w:eastAsia="zh-CN" w:bidi="hi-IN"/>
        </w:rPr>
        <w:t>Акционог плана за сровођење</w:t>
      </w:r>
      <w:r w:rsidRPr="00092ED7">
        <w:rPr>
          <w:rFonts w:eastAsia="SimSun" w:cs="Mangal"/>
          <w:kern w:val="3"/>
          <w:szCs w:val="24"/>
          <w:lang w:val="sr-Cyrl-CS" w:eastAsia="zh-CN" w:bidi="hi-IN"/>
        </w:rPr>
        <w:t xml:space="preserve"> </w:t>
      </w:r>
      <w:r w:rsidRPr="00092ED7">
        <w:rPr>
          <w:rFonts w:eastAsia="SimSun" w:cs="Mangal"/>
          <w:i/>
          <w:kern w:val="3"/>
          <w:szCs w:val="24"/>
          <w:lang w:val="sr-Cyrl-CS" w:eastAsia="zh-CN" w:bidi="hi-IN"/>
        </w:rPr>
        <w:t>Стратегиј</w:t>
      </w:r>
      <w:r w:rsidR="00192281" w:rsidRPr="00092ED7">
        <w:rPr>
          <w:rFonts w:eastAsia="SimSun" w:cs="Mangal"/>
          <w:i/>
          <w:kern w:val="3"/>
          <w:szCs w:val="24"/>
          <w:lang w:val="sr-Cyrl-CS" w:eastAsia="zh-CN" w:bidi="hi-IN"/>
        </w:rPr>
        <w:t>е</w:t>
      </w:r>
      <w:r w:rsidRPr="00092ED7">
        <w:rPr>
          <w:rFonts w:eastAsia="SimSun" w:cs="Mangal"/>
          <w:i/>
          <w:kern w:val="3"/>
          <w:szCs w:val="24"/>
          <w:lang w:val="sr-Cyrl-CS" w:eastAsia="zh-CN" w:bidi="hi-IN"/>
        </w:rPr>
        <w:t xml:space="preserve"> државног власништва и управљања привредним субјектима који су у власништву Републике Србије за период од 2021. до 2027. године</w:t>
      </w:r>
      <w:r w:rsidR="00D71EE2" w:rsidRPr="00092ED7">
        <w:rPr>
          <w:rFonts w:eastAsia="SimSun" w:cs="Mangal"/>
          <w:i/>
          <w:kern w:val="3"/>
          <w:szCs w:val="24"/>
          <w:lang w:val="sr-Cyrl-CS" w:eastAsia="zh-CN" w:bidi="hi-IN"/>
        </w:rPr>
        <w:t>,</w:t>
      </w:r>
      <w:r w:rsidR="00D71EE2" w:rsidRPr="00092ED7">
        <w:rPr>
          <w:lang w:val="sr-Cyrl-CS"/>
        </w:rPr>
        <w:t xml:space="preserve"> </w:t>
      </w:r>
      <w:r w:rsidR="00D71EE2" w:rsidRPr="00092ED7">
        <w:rPr>
          <w:rFonts w:eastAsia="SimSun" w:cs="Mangal"/>
          <w:i/>
          <w:kern w:val="3"/>
          <w:szCs w:val="24"/>
          <w:lang w:val="sr-Cyrl-CS" w:eastAsia="zh-CN" w:bidi="hi-IN"/>
        </w:rPr>
        <w:t xml:space="preserve">у периоду од 2021. до 2023. године </w:t>
      </w:r>
      <w:r w:rsidR="00576076" w:rsidRPr="00092ED7">
        <w:rPr>
          <w:rFonts w:eastAsia="SimSun" w:cs="Mangal"/>
          <w:kern w:val="3"/>
          <w:szCs w:val="24"/>
          <w:lang w:val="sr-Cyrl-CS" w:eastAsia="zh-CN" w:bidi="hi-IN"/>
        </w:rPr>
        <w:t xml:space="preserve"> („Сл</w:t>
      </w:r>
      <w:r w:rsidR="006B48CE" w:rsidRPr="00092ED7">
        <w:rPr>
          <w:rFonts w:eastAsia="SimSun" w:cs="Mangal"/>
          <w:kern w:val="3"/>
          <w:szCs w:val="24"/>
          <w:lang w:val="sr-Cyrl-CS" w:eastAsia="zh-CN" w:bidi="hi-IN"/>
        </w:rPr>
        <w:t>ужбени</w:t>
      </w:r>
      <w:r w:rsidRPr="00092ED7">
        <w:rPr>
          <w:rFonts w:eastAsia="SimSun" w:cs="Mangal"/>
          <w:kern w:val="3"/>
          <w:szCs w:val="24"/>
          <w:lang w:val="sr-Cyrl-CS" w:eastAsia="zh-CN" w:bidi="hi-IN"/>
        </w:rPr>
        <w:t xml:space="preserve"> гласник РС</w:t>
      </w:r>
      <w:r w:rsidR="006B48CE" w:rsidRPr="00092ED7">
        <w:rPr>
          <w:rFonts w:cs="Times New Roman"/>
          <w:szCs w:val="24"/>
          <w:lang w:val="sr-Cyrl-CS"/>
        </w:rPr>
        <w:t>”</w:t>
      </w:r>
      <w:r w:rsidR="00576076" w:rsidRPr="00092ED7">
        <w:rPr>
          <w:rFonts w:eastAsia="SimSun" w:cs="Mangal"/>
          <w:kern w:val="3"/>
          <w:szCs w:val="24"/>
          <w:lang w:val="sr-Cyrl-CS" w:eastAsia="zh-CN" w:bidi="hi-IN"/>
        </w:rPr>
        <w:t>, бр</w:t>
      </w:r>
      <w:r w:rsidR="006B48CE" w:rsidRPr="00092ED7">
        <w:rPr>
          <w:rFonts w:eastAsia="SimSun" w:cs="Mangal"/>
          <w:kern w:val="3"/>
          <w:szCs w:val="24"/>
          <w:lang w:val="sr-Cyrl-CS" w:eastAsia="zh-CN" w:bidi="hi-IN"/>
        </w:rPr>
        <w:t>ој</w:t>
      </w:r>
      <w:r w:rsidRPr="00092ED7">
        <w:rPr>
          <w:rFonts w:eastAsia="SimSun" w:cs="Mangal"/>
          <w:kern w:val="3"/>
          <w:szCs w:val="24"/>
          <w:lang w:val="sr-Cyrl-CS" w:eastAsia="zh-CN" w:bidi="hi-IN"/>
        </w:rPr>
        <w:t xml:space="preserve"> </w:t>
      </w:r>
      <w:r w:rsidR="00D71EE2" w:rsidRPr="00092ED7">
        <w:rPr>
          <w:rFonts w:eastAsia="SimSun" w:cs="Mangal"/>
          <w:kern w:val="3"/>
          <w:szCs w:val="24"/>
          <w:lang w:val="sr-Cyrl-CS" w:eastAsia="zh-CN" w:bidi="hi-IN"/>
        </w:rPr>
        <w:t>68</w:t>
      </w:r>
      <w:r w:rsidRPr="00092ED7">
        <w:rPr>
          <w:rFonts w:eastAsia="SimSun" w:cs="Mangal"/>
          <w:kern w:val="3"/>
          <w:szCs w:val="24"/>
          <w:lang w:val="sr-Cyrl-CS" w:eastAsia="zh-CN" w:bidi="hi-IN"/>
        </w:rPr>
        <w:t>/21)</w:t>
      </w:r>
      <w:r w:rsidRPr="00092ED7">
        <w:rPr>
          <w:rFonts w:eastAsia="SimSun" w:cs="Mangal"/>
          <w:i/>
          <w:kern w:val="3"/>
          <w:szCs w:val="24"/>
          <w:lang w:val="sr-Cyrl-CS" w:eastAsia="zh-CN" w:bidi="hi-IN"/>
        </w:rPr>
        <w:t xml:space="preserve"> </w:t>
      </w:r>
      <w:r w:rsidRPr="00092ED7">
        <w:rPr>
          <w:rFonts w:eastAsia="SimSun" w:cs="Mangal"/>
          <w:kern w:val="3"/>
          <w:szCs w:val="24"/>
          <w:lang w:val="sr-Cyrl-CS" w:eastAsia="zh-CN" w:bidi="hi-IN"/>
        </w:rPr>
        <w:t>како би се унапредило корпоративно управљање државним предузећима, развио централизовани модел власништва и транспарентнији систем надзора и побољшала њихова ефикасност.</w:t>
      </w:r>
      <w:r w:rsidRPr="00092ED7">
        <w:rPr>
          <w:rFonts w:eastAsia="Times New Roman" w:cs="Times New Roman"/>
          <w:kern w:val="3"/>
          <w:szCs w:val="24"/>
          <w:lang w:val="sr-Cyrl-CS" w:eastAsia="zh-CN" w:bidi="hi-IN"/>
        </w:rPr>
        <w:t xml:space="preserve"> </w:t>
      </w:r>
    </w:p>
    <w:p w14:paraId="129B6143" w14:textId="6479ECD7" w:rsidR="00D210F0" w:rsidRPr="00092ED7" w:rsidRDefault="00D210F0" w:rsidP="00B640AF">
      <w:pPr>
        <w:rPr>
          <w:rFonts w:eastAsia="Times New Roman" w:cs="Times New Roman"/>
          <w:kern w:val="3"/>
          <w:szCs w:val="24"/>
          <w:lang w:val="sr-Cyrl-CS" w:eastAsia="zh-CN" w:bidi="hi-IN"/>
        </w:rPr>
      </w:pPr>
      <w:r w:rsidRPr="00092ED7">
        <w:rPr>
          <w:rFonts w:eastAsia="Times New Roman" w:cs="Times New Roman"/>
          <w:b/>
          <w:kern w:val="3"/>
          <w:szCs w:val="24"/>
          <w:lang w:val="sr-Cyrl-CS" w:eastAsia="zh-CN" w:bidi="hi-IN"/>
        </w:rPr>
        <w:t xml:space="preserve">Тржиште капитала у Републици Србији није довољно развијено и не успева да у довољној мери испуни своју главну функцију </w:t>
      </w:r>
      <w:r w:rsidRPr="00092ED7">
        <w:rPr>
          <w:rFonts w:eastAsia="Times New Roman" w:cs="Times New Roman"/>
          <w:kern w:val="3"/>
          <w:szCs w:val="24"/>
          <w:lang w:val="sr-Cyrl-CS" w:eastAsia="zh-CN" w:bidi="hi-IN"/>
        </w:rPr>
        <w:t xml:space="preserve">- ефикасну алокацију финансијских ресурса штедње и инвеститора ка развоју привредних друштава. Распрострањено је традиционално финансирање кроз банкарске производе (депозити и зајмови), а највеће препреке развоју тржишта капитала у Републици Србији су недовољна финансијска едукованост становништва у погледу могућности и ризика улагања слободних средстава у различите финансијске инструменте што доводи до доминантне усмерености ка штедњи као најједноставнијем облику улагања, недовољно развијена свест привредних друштава о могућности финансирања редовног пословања и истраживања и развоја путем тржишта капитала, као и неадекватна понуда домаћих финансијских инструмената доступних инвеститорима. </w:t>
      </w:r>
      <w:r w:rsidRPr="00092ED7">
        <w:rPr>
          <w:rFonts w:eastAsia="Times New Roman" w:cs="Times New Roman"/>
          <w:i/>
          <w:kern w:val="3"/>
          <w:szCs w:val="24"/>
          <w:lang w:val="sr-Cyrl-CS" w:eastAsia="zh-CN" w:bidi="hi-IN"/>
        </w:rPr>
        <w:t>Стратегија за развој тржишта капитала за период од 2021</w:t>
      </w:r>
      <w:r w:rsidR="001B53A8" w:rsidRPr="00092ED7">
        <w:rPr>
          <w:rFonts w:eastAsia="Times New Roman" w:cs="Times New Roman"/>
          <w:i/>
          <w:kern w:val="3"/>
          <w:szCs w:val="24"/>
          <w:lang w:val="sr-Cyrl-CS" w:eastAsia="zh-CN" w:bidi="hi-IN"/>
        </w:rPr>
        <w:t xml:space="preserve">. до </w:t>
      </w:r>
      <w:r w:rsidRPr="00092ED7">
        <w:rPr>
          <w:rFonts w:eastAsia="Times New Roman" w:cs="Times New Roman"/>
          <w:i/>
          <w:kern w:val="3"/>
          <w:szCs w:val="24"/>
          <w:lang w:val="sr-Cyrl-CS" w:eastAsia="zh-CN" w:bidi="hi-IN"/>
        </w:rPr>
        <w:t xml:space="preserve">2026. године </w:t>
      </w:r>
      <w:r w:rsidRPr="00092ED7">
        <w:rPr>
          <w:rFonts w:eastAsia="Calibri" w:cs="Times New Roman"/>
          <w:lang w:val="sr-Cyrl-CS"/>
        </w:rPr>
        <w:t>(„Сл</w:t>
      </w:r>
      <w:r w:rsidR="000D4FD4" w:rsidRPr="00092ED7">
        <w:rPr>
          <w:rFonts w:eastAsia="Calibri" w:cs="Times New Roman"/>
          <w:lang w:val="sr-Cyrl-CS"/>
        </w:rPr>
        <w:t>ужбени</w:t>
      </w:r>
      <w:r w:rsidR="00576076" w:rsidRPr="00092ED7">
        <w:rPr>
          <w:rFonts w:eastAsia="Calibri" w:cs="Times New Roman"/>
          <w:lang w:val="sr-Cyrl-CS"/>
        </w:rPr>
        <w:t xml:space="preserve"> гласник РС</w:t>
      </w:r>
      <w:r w:rsidR="000D4FD4" w:rsidRPr="00092ED7">
        <w:rPr>
          <w:rFonts w:cs="Times New Roman"/>
          <w:szCs w:val="24"/>
          <w:lang w:val="sr-Cyrl-CS"/>
        </w:rPr>
        <w:t>”</w:t>
      </w:r>
      <w:r w:rsidR="00576076" w:rsidRPr="00092ED7">
        <w:rPr>
          <w:rFonts w:eastAsia="Calibri" w:cs="Times New Roman"/>
          <w:lang w:val="sr-Cyrl-CS"/>
        </w:rPr>
        <w:t>, бр</w:t>
      </w:r>
      <w:r w:rsidR="000D4FD4" w:rsidRPr="00092ED7">
        <w:rPr>
          <w:rFonts w:eastAsia="Calibri" w:cs="Times New Roman"/>
          <w:lang w:val="sr-Cyrl-CS"/>
        </w:rPr>
        <w:t>ој</w:t>
      </w:r>
      <w:r w:rsidRPr="00092ED7">
        <w:rPr>
          <w:rFonts w:eastAsia="Calibri" w:cs="Times New Roman"/>
          <w:lang w:val="sr-Cyrl-CS"/>
        </w:rPr>
        <w:t xml:space="preserve"> </w:t>
      </w:r>
      <w:r w:rsidRPr="00092ED7">
        <w:rPr>
          <w:rFonts w:eastAsia="SimSun" w:cs="Mangal"/>
          <w:kern w:val="3"/>
          <w:szCs w:val="24"/>
          <w:lang w:val="sr-Cyrl-CS" w:eastAsia="zh-CN" w:bidi="hi-IN"/>
        </w:rPr>
        <w:t xml:space="preserve">102/21), </w:t>
      </w:r>
      <w:r w:rsidR="008877A5" w:rsidRPr="00092ED7">
        <w:rPr>
          <w:rFonts w:cs="Times New Roman"/>
          <w:szCs w:val="24"/>
          <w:shd w:val="clear" w:color="auto" w:fill="FFFFFF"/>
          <w:lang w:val="sr-Cyrl-CS"/>
        </w:rPr>
        <w:t>Акциони план за период 2021–2023. године за спровођење Стратегије за развој тржишта капитала за период од 2021. до 2026. године</w:t>
      </w:r>
      <w:r w:rsidR="00E55310" w:rsidRPr="00092ED7">
        <w:rPr>
          <w:rFonts w:cs="Times New Roman"/>
          <w:szCs w:val="24"/>
          <w:shd w:val="clear" w:color="auto" w:fill="FFFFFF"/>
          <w:lang w:val="sr-Cyrl-CS"/>
        </w:rPr>
        <w:t xml:space="preserve"> </w:t>
      </w:r>
      <w:r w:rsidRPr="00092ED7">
        <w:rPr>
          <w:rFonts w:eastAsia="Calibri" w:cs="Times New Roman"/>
          <w:lang w:val="sr-Cyrl-CS"/>
        </w:rPr>
        <w:t>(„Сл</w:t>
      </w:r>
      <w:r w:rsidR="000D4FD4" w:rsidRPr="00092ED7">
        <w:rPr>
          <w:rFonts w:eastAsia="Calibri" w:cs="Times New Roman"/>
          <w:lang w:val="sr-Cyrl-CS"/>
        </w:rPr>
        <w:t>ужбени</w:t>
      </w:r>
      <w:r w:rsidR="00576076" w:rsidRPr="00092ED7">
        <w:rPr>
          <w:rFonts w:eastAsia="Calibri" w:cs="Times New Roman"/>
          <w:lang w:val="sr-Cyrl-CS"/>
        </w:rPr>
        <w:t xml:space="preserve"> гласник РС</w:t>
      </w:r>
      <w:r w:rsidR="000D4FD4" w:rsidRPr="00092ED7">
        <w:rPr>
          <w:rFonts w:cs="Times New Roman"/>
          <w:szCs w:val="24"/>
          <w:lang w:val="sr-Cyrl-CS"/>
        </w:rPr>
        <w:t>”</w:t>
      </w:r>
      <w:r w:rsidR="00576076" w:rsidRPr="00092ED7">
        <w:rPr>
          <w:rFonts w:eastAsia="Calibri" w:cs="Times New Roman"/>
          <w:lang w:val="sr-Cyrl-CS"/>
        </w:rPr>
        <w:t>, бр</w:t>
      </w:r>
      <w:r w:rsidR="000D4FD4" w:rsidRPr="00092ED7">
        <w:rPr>
          <w:rFonts w:eastAsia="Calibri" w:cs="Times New Roman"/>
          <w:lang w:val="sr-Cyrl-CS"/>
        </w:rPr>
        <w:t>ој</w:t>
      </w:r>
      <w:r w:rsidRPr="00092ED7">
        <w:rPr>
          <w:rFonts w:eastAsia="Calibri" w:cs="Times New Roman"/>
          <w:lang w:val="sr-Cyrl-CS"/>
        </w:rPr>
        <w:t xml:space="preserve"> </w:t>
      </w:r>
      <w:r w:rsidRPr="00092ED7">
        <w:rPr>
          <w:rFonts w:eastAsia="SimSun" w:cs="Mangal"/>
          <w:kern w:val="3"/>
          <w:szCs w:val="24"/>
          <w:lang w:val="sr-Cyrl-CS" w:eastAsia="zh-CN" w:bidi="hi-IN"/>
        </w:rPr>
        <w:t>118/21)</w:t>
      </w:r>
      <w:r w:rsidRPr="00092ED7">
        <w:rPr>
          <w:rFonts w:eastAsia="Times New Roman" w:cs="Times New Roman"/>
          <w:kern w:val="3"/>
          <w:szCs w:val="24"/>
          <w:lang w:val="sr-Cyrl-CS" w:eastAsia="zh-CN" w:bidi="hi-IN"/>
        </w:rPr>
        <w:t xml:space="preserve"> </w:t>
      </w:r>
      <w:r w:rsidRPr="00092ED7">
        <w:rPr>
          <w:rFonts w:eastAsia="SimSun" w:cs="Mangal"/>
          <w:kern w:val="3"/>
          <w:szCs w:val="24"/>
          <w:lang w:val="sr-Cyrl-CS" w:eastAsia="zh-CN" w:bidi="hi-IN"/>
        </w:rPr>
        <w:t xml:space="preserve">и нови </w:t>
      </w:r>
      <w:r w:rsidRPr="00092ED7">
        <w:rPr>
          <w:rFonts w:eastAsia="SimSun" w:cs="Mangal"/>
          <w:i/>
          <w:kern w:val="3"/>
          <w:szCs w:val="24"/>
          <w:lang w:val="sr-Cyrl-CS" w:eastAsia="zh-CN" w:bidi="hi-IN"/>
        </w:rPr>
        <w:t>Закон о тржишту капитала</w:t>
      </w:r>
      <w:r w:rsidRPr="00092ED7">
        <w:rPr>
          <w:rFonts w:eastAsia="SimSun" w:cs="Mangal"/>
          <w:kern w:val="3"/>
          <w:szCs w:val="24"/>
          <w:lang w:val="sr-Cyrl-CS" w:eastAsia="zh-CN" w:bidi="hi-IN"/>
        </w:rPr>
        <w:t xml:space="preserve"> („Сл</w:t>
      </w:r>
      <w:r w:rsidR="000D4FD4" w:rsidRPr="00092ED7">
        <w:rPr>
          <w:rFonts w:eastAsia="SimSun" w:cs="Mangal"/>
          <w:kern w:val="3"/>
          <w:szCs w:val="24"/>
          <w:lang w:val="sr-Cyrl-CS" w:eastAsia="zh-CN" w:bidi="hi-IN"/>
        </w:rPr>
        <w:t>ужбени</w:t>
      </w:r>
      <w:r w:rsidRPr="00092ED7">
        <w:rPr>
          <w:rFonts w:eastAsia="SimSun" w:cs="Mangal"/>
          <w:kern w:val="3"/>
          <w:szCs w:val="24"/>
          <w:lang w:val="sr-Cyrl-CS" w:eastAsia="zh-CN" w:bidi="hi-IN"/>
        </w:rPr>
        <w:t xml:space="preserve"> гласник РС</w:t>
      </w:r>
      <w:r w:rsidR="000D4FD4" w:rsidRPr="00092ED7">
        <w:rPr>
          <w:rFonts w:cs="Times New Roman"/>
          <w:szCs w:val="24"/>
          <w:lang w:val="sr-Cyrl-CS"/>
        </w:rPr>
        <w:t>”</w:t>
      </w:r>
      <w:r w:rsidRPr="00092ED7">
        <w:rPr>
          <w:rFonts w:eastAsia="SimSun" w:cs="Mangal"/>
          <w:kern w:val="3"/>
          <w:szCs w:val="24"/>
          <w:lang w:val="sr-Cyrl-CS" w:eastAsia="zh-CN" w:bidi="hi-IN"/>
        </w:rPr>
        <w:t>, бр</w:t>
      </w:r>
      <w:r w:rsidR="000D4FD4" w:rsidRPr="00092ED7">
        <w:rPr>
          <w:rFonts w:eastAsia="SimSun" w:cs="Mangal"/>
          <w:kern w:val="3"/>
          <w:szCs w:val="24"/>
          <w:lang w:val="sr-Cyrl-CS" w:eastAsia="zh-CN" w:bidi="hi-IN"/>
        </w:rPr>
        <w:t>ој</w:t>
      </w:r>
      <w:r w:rsidRPr="00092ED7">
        <w:rPr>
          <w:rFonts w:eastAsia="SimSun" w:cs="Mangal"/>
          <w:kern w:val="3"/>
          <w:szCs w:val="24"/>
          <w:lang w:val="sr-Cyrl-CS" w:eastAsia="zh-CN" w:bidi="hi-IN"/>
        </w:rPr>
        <w:t xml:space="preserve"> 129/21)</w:t>
      </w:r>
      <w:r w:rsidRPr="00092ED7">
        <w:rPr>
          <w:rFonts w:eastAsia="Times New Roman" w:cs="Times New Roman"/>
          <w:kern w:val="3"/>
          <w:szCs w:val="24"/>
          <w:lang w:val="sr-Cyrl-CS" w:eastAsia="zh-CN" w:bidi="hi-IN"/>
        </w:rPr>
        <w:t xml:space="preserve"> представљају основу за унапређење српског тржишта капитала у наредном периоду, стварајући услове за коришћење ширег спектра финансијских инструмената од стране приватног сектора, уз истовремено смањење зависности малих и средњих предузећа од банкарског финансирања и </w:t>
      </w:r>
      <w:r w:rsidRPr="00092ED7">
        <w:rPr>
          <w:rFonts w:eastAsia="Times New Roman" w:cs="Times New Roman"/>
          <w:kern w:val="3"/>
          <w:szCs w:val="24"/>
          <w:lang w:val="sr-Cyrl-CS" w:eastAsia="zh-CN" w:bidi="hi-IN"/>
        </w:rPr>
        <w:lastRenderedPageBreak/>
        <w:t xml:space="preserve">државних субвенција, чиме се остварује значајан допринос убрзању економског раста, повећању броја радних места и додатној подршци улагањима у иновативну индустрију. </w:t>
      </w:r>
    </w:p>
    <w:p w14:paraId="6DEEFDBD" w14:textId="11958D61" w:rsidR="00D210F0" w:rsidRPr="00092ED7" w:rsidRDefault="00D210F0" w:rsidP="00D210F0">
      <w:pPr>
        <w:spacing w:after="60"/>
        <w:rPr>
          <w:sz w:val="22"/>
          <w:lang w:val="sr-Cyrl-CS"/>
        </w:rPr>
      </w:pPr>
      <w:r w:rsidRPr="00092ED7">
        <w:rPr>
          <w:rFonts w:eastAsia="Calibri" w:cs="Times New Roman"/>
          <w:b/>
          <w:bCs/>
          <w:szCs w:val="24"/>
          <w:lang w:val="sr-Cyrl-CS"/>
        </w:rPr>
        <w:t xml:space="preserve">С обзиром на </w:t>
      </w:r>
      <w:r w:rsidR="00C13979" w:rsidRPr="00092ED7">
        <w:rPr>
          <w:rFonts w:eastAsia="Calibri" w:cs="Times New Roman"/>
          <w:b/>
          <w:bCs/>
          <w:szCs w:val="24"/>
          <w:lang w:val="sr-Cyrl-CS"/>
        </w:rPr>
        <w:t xml:space="preserve">потребу за новим и обимним </w:t>
      </w:r>
      <w:r w:rsidRPr="00092ED7">
        <w:rPr>
          <w:rFonts w:eastAsia="Calibri" w:cs="Times New Roman"/>
          <w:b/>
          <w:bCs/>
          <w:szCs w:val="24"/>
          <w:lang w:val="sr-Cyrl-CS"/>
        </w:rPr>
        <w:t>инфраструктурн</w:t>
      </w:r>
      <w:r w:rsidR="00C13979" w:rsidRPr="00092ED7">
        <w:rPr>
          <w:rFonts w:eastAsia="Calibri" w:cs="Times New Roman"/>
          <w:b/>
          <w:bCs/>
          <w:szCs w:val="24"/>
          <w:lang w:val="sr-Cyrl-CS"/>
        </w:rPr>
        <w:t>им</w:t>
      </w:r>
      <w:r w:rsidRPr="00092ED7">
        <w:rPr>
          <w:rFonts w:eastAsia="Calibri" w:cs="Times New Roman"/>
          <w:b/>
          <w:bCs/>
          <w:szCs w:val="24"/>
          <w:lang w:val="sr-Cyrl-CS"/>
        </w:rPr>
        <w:t xml:space="preserve"> </w:t>
      </w:r>
      <w:r w:rsidR="00C13979" w:rsidRPr="00092ED7">
        <w:rPr>
          <w:rFonts w:eastAsia="Calibri" w:cs="Times New Roman"/>
          <w:b/>
          <w:bCs/>
          <w:szCs w:val="24"/>
          <w:lang w:val="sr-Cyrl-CS"/>
        </w:rPr>
        <w:t xml:space="preserve">циклусом </w:t>
      </w:r>
      <w:r w:rsidRPr="00092ED7">
        <w:rPr>
          <w:rFonts w:eastAsia="Calibri" w:cs="Times New Roman"/>
          <w:b/>
          <w:bCs/>
          <w:szCs w:val="24"/>
          <w:lang w:val="sr-Cyrl-CS"/>
        </w:rPr>
        <w:t>Републике Србије, уочена је неопходност обезбеђивања довољно свеобухватних инвестиционих пројеката, са одговарајућим студијама изводљивости, анализом трошкова и користи и реалном проценом утицаја на животну средину.</w:t>
      </w:r>
      <w:r w:rsidRPr="00092ED7">
        <w:rPr>
          <w:rFonts w:eastAsia="Calibri" w:cs="Times New Roman"/>
          <w:szCs w:val="24"/>
          <w:lang w:val="sr-Cyrl-CS"/>
        </w:rPr>
        <w:t xml:space="preserve"> Изазови који су постојали при реализацији капиталних инвестиција (решавање имовинско-правних односа, правовремено прибављање пројектне документације и грађевинских дозвола, пробијање рокова) и даље постоје, али се постепено превазилазе. </w:t>
      </w:r>
      <w:r w:rsidR="00677E21" w:rsidRPr="00092ED7">
        <w:rPr>
          <w:rFonts w:eastAsia="Calibri" w:cs="Times New Roman"/>
          <w:szCs w:val="24"/>
          <w:lang w:val="sr-Cyrl-CS"/>
        </w:rPr>
        <w:t xml:space="preserve">У том циљу неопходно је редовно пратити измене законодавног оквира у области заштите животне средине, са акцентом на процени утицаја пројеката на животну средину, као и унапред и благовремено планирати подношење захтева за процену утицаја. Како би се избегли ризици везани за пробијање рокова, потребно је планирати довољно времена за завршетак процедуре. </w:t>
      </w:r>
      <w:r w:rsidRPr="00092ED7">
        <w:rPr>
          <w:rFonts w:eastAsia="Calibri" w:cs="Times New Roman"/>
          <w:szCs w:val="24"/>
          <w:lang w:val="sr-Cyrl-CS"/>
        </w:rPr>
        <w:t xml:space="preserve">Укупне инвестиције, према </w:t>
      </w:r>
      <w:r w:rsidRPr="00092ED7">
        <w:rPr>
          <w:rFonts w:eastAsia="Calibri" w:cs="Times New Roman"/>
          <w:i/>
          <w:iCs/>
          <w:szCs w:val="24"/>
          <w:lang w:val="sr-Cyrl-CS"/>
        </w:rPr>
        <w:t xml:space="preserve">Закону о буџету Републике Србије за </w:t>
      </w:r>
      <w:r w:rsidR="0072219A" w:rsidRPr="00092ED7">
        <w:rPr>
          <w:rFonts w:eastAsia="Calibri" w:cs="Times New Roman"/>
          <w:i/>
          <w:iCs/>
          <w:szCs w:val="24"/>
          <w:lang w:val="sr-Cyrl-CS"/>
        </w:rPr>
        <w:t>2023</w:t>
      </w:r>
      <w:r w:rsidRPr="00092ED7">
        <w:rPr>
          <w:rFonts w:eastAsia="Calibri" w:cs="Times New Roman"/>
          <w:i/>
          <w:iCs/>
          <w:szCs w:val="24"/>
          <w:lang w:val="sr-Cyrl-CS"/>
        </w:rPr>
        <w:t>.</w:t>
      </w:r>
      <w:r w:rsidRPr="00092ED7">
        <w:rPr>
          <w:rFonts w:eastAsia="Calibri" w:cs="Times New Roman"/>
          <w:szCs w:val="24"/>
          <w:lang w:val="sr-Cyrl-CS"/>
        </w:rPr>
        <w:t xml:space="preserve"> </w:t>
      </w:r>
      <w:r w:rsidRPr="00092ED7">
        <w:rPr>
          <w:rFonts w:eastAsia="Calibri" w:cs="Times New Roman"/>
          <w:i/>
          <w:szCs w:val="24"/>
          <w:lang w:val="sr-Cyrl-CS"/>
        </w:rPr>
        <w:t>годину</w:t>
      </w:r>
      <w:r w:rsidRPr="00092ED7">
        <w:rPr>
          <w:rFonts w:eastAsia="Calibri" w:cs="Times New Roman"/>
          <w:szCs w:val="24"/>
          <w:lang w:val="sr-Cyrl-CS"/>
        </w:rPr>
        <w:t xml:space="preserve"> планиране су у износу од око </w:t>
      </w:r>
      <w:r w:rsidR="0072219A" w:rsidRPr="00092ED7">
        <w:rPr>
          <w:rFonts w:eastAsia="Calibri" w:cs="Times New Roman"/>
          <w:szCs w:val="24"/>
          <w:lang w:val="sr-Cyrl-CS"/>
        </w:rPr>
        <w:t>3,6</w:t>
      </w:r>
      <w:r w:rsidRPr="00092ED7">
        <w:rPr>
          <w:rFonts w:eastAsia="Calibri" w:cs="Times New Roman"/>
          <w:szCs w:val="24"/>
          <w:lang w:val="sr-Cyrl-CS"/>
        </w:rPr>
        <w:t xml:space="preserve"> млрд. евра или око </w:t>
      </w:r>
      <w:r w:rsidR="0072219A" w:rsidRPr="00092ED7">
        <w:rPr>
          <w:rFonts w:eastAsia="Calibri" w:cs="Times New Roman"/>
          <w:szCs w:val="24"/>
          <w:lang w:val="sr-Cyrl-CS"/>
        </w:rPr>
        <w:t>6,8</w:t>
      </w:r>
      <w:r w:rsidRPr="00092ED7">
        <w:rPr>
          <w:rFonts w:eastAsia="Calibri" w:cs="Times New Roman"/>
          <w:szCs w:val="24"/>
          <w:lang w:val="sr-Cyrl-CS"/>
        </w:rPr>
        <w:t>% БДП</w:t>
      </w:r>
      <w:r w:rsidR="00476166" w:rsidRPr="00092ED7">
        <w:rPr>
          <w:rFonts w:eastAsia="Calibri" w:cs="Times New Roman"/>
          <w:szCs w:val="24"/>
          <w:lang w:val="sr-Cyrl-CS"/>
        </w:rPr>
        <w:t>.</w:t>
      </w:r>
      <w:r w:rsidR="00C13979" w:rsidRPr="00092ED7">
        <w:rPr>
          <w:rFonts w:eastAsia="Calibri" w:cs="Times New Roman"/>
          <w:szCs w:val="24"/>
          <w:lang w:val="sr-Cyrl-CS"/>
        </w:rPr>
        <w:t xml:space="preserve"> </w:t>
      </w:r>
      <w:r w:rsidRPr="00092ED7">
        <w:rPr>
          <w:rFonts w:eastAsia="Calibri" w:cs="Times New Roman"/>
          <w:szCs w:val="24"/>
          <w:lang w:val="sr-Cyrl-CS"/>
        </w:rPr>
        <w:t xml:space="preserve">Системски поступак за оцену и одабир пројеката јавних инвестиција додатно је унапређен </w:t>
      </w:r>
      <w:r w:rsidR="006C154D" w:rsidRPr="00092ED7">
        <w:rPr>
          <w:rFonts w:eastAsia="Calibri" w:cs="Times New Roman"/>
          <w:szCs w:val="24"/>
          <w:lang w:val="sr-Cyrl-CS"/>
        </w:rPr>
        <w:t xml:space="preserve">спровођењем </w:t>
      </w:r>
      <w:r w:rsidRPr="00092ED7">
        <w:rPr>
          <w:rFonts w:eastAsia="Calibri" w:cs="Times New Roman"/>
          <w:i/>
          <w:szCs w:val="24"/>
          <w:lang w:val="sr-Cyrl-CS"/>
        </w:rPr>
        <w:t>Уредбе о управљању капиталним пројектима</w:t>
      </w:r>
      <w:r w:rsidRPr="00092ED7">
        <w:rPr>
          <w:rFonts w:eastAsia="Calibri" w:cs="Times New Roman"/>
          <w:szCs w:val="24"/>
          <w:lang w:val="sr-Cyrl-CS"/>
        </w:rPr>
        <w:t xml:space="preserve"> и пратећих правилника</w:t>
      </w:r>
      <w:r w:rsidR="00C13979" w:rsidRPr="00092ED7">
        <w:rPr>
          <w:lang w:val="sr-Cyrl-CS"/>
        </w:rPr>
        <w:t>, а измењена У</w:t>
      </w:r>
      <w:r w:rsidR="003F1566" w:rsidRPr="00092ED7">
        <w:rPr>
          <w:lang w:val="sr-Cyrl-CS"/>
        </w:rPr>
        <w:t xml:space="preserve">редба ступила је на снагу 24. децембра 2022. и примењиваће се од 1. априла </w:t>
      </w:r>
      <w:r w:rsidR="00C13979" w:rsidRPr="00092ED7">
        <w:rPr>
          <w:lang w:val="sr-Cyrl-CS"/>
        </w:rPr>
        <w:t>2023</w:t>
      </w:r>
      <w:r w:rsidRPr="00092ED7">
        <w:rPr>
          <w:rFonts w:eastAsia="Calibri" w:cs="Times New Roman"/>
          <w:szCs w:val="24"/>
          <w:lang w:val="sr-Cyrl-CS"/>
        </w:rPr>
        <w:t>.</w:t>
      </w:r>
      <w:r w:rsidR="003F1566" w:rsidRPr="00092ED7">
        <w:rPr>
          <w:rFonts w:eastAsia="Calibri" w:cs="Times New Roman"/>
          <w:szCs w:val="24"/>
          <w:lang w:val="sr-Cyrl-CS"/>
        </w:rPr>
        <w:t xml:space="preserve"> године.</w:t>
      </w:r>
      <w:r w:rsidRPr="00092ED7">
        <w:rPr>
          <w:rFonts w:eastAsia="Calibri" w:cs="Times New Roman"/>
          <w:szCs w:val="24"/>
          <w:lang w:val="sr-Cyrl-CS"/>
        </w:rPr>
        <w:t xml:space="preserve"> </w:t>
      </w:r>
      <w:r w:rsidR="00C13979" w:rsidRPr="00092ED7">
        <w:rPr>
          <w:lang w:val="sr-Cyrl-CS"/>
        </w:rPr>
        <w:t xml:space="preserve">Циљ доношења измена био је укључивање параметара о утицају пројекта на животну средину у критеријуме за идентификацију, процену спремности и утврђивање степена приоритета код капиталних пројеката. </w:t>
      </w:r>
      <w:r w:rsidR="00C458FD" w:rsidRPr="00092ED7">
        <w:rPr>
          <w:lang w:val="sr-Cyrl-CS"/>
        </w:rPr>
        <w:t>У Републици Србији већ постоји правни оквир који уређује област процене утицаја на животну средину, али је процес управљања капиталним пројектима уређеним Уредбом о управљању капиталним пројектима функционисао паралелно са процесом процене утицаја на животну средину који је прописан Законом о процени утицаја на животну средину („Службени гласник РС</w:t>
      </w:r>
      <w:r w:rsidR="00C458FD" w:rsidRPr="00092ED7">
        <w:rPr>
          <w:rFonts w:cs="Times New Roman"/>
          <w:szCs w:val="24"/>
          <w:lang w:val="sr-Cyrl-CS"/>
        </w:rPr>
        <w:t>”</w:t>
      </w:r>
      <w:r w:rsidR="00C458FD" w:rsidRPr="00092ED7">
        <w:rPr>
          <w:lang w:val="sr-Cyrl-CS"/>
        </w:rPr>
        <w:t xml:space="preserve">, бр. 135/04 и 36/09).  </w:t>
      </w:r>
      <w:r w:rsidR="00C13979" w:rsidRPr="00092ED7">
        <w:rPr>
          <w:lang w:val="sr-Cyrl-CS"/>
        </w:rPr>
        <w:t xml:space="preserve"> Министарство надлежно за послове заштите животне средине, према изменама </w:t>
      </w:r>
      <w:r w:rsidR="008479FB" w:rsidRPr="00092ED7">
        <w:rPr>
          <w:lang w:val="sr-Cyrl-CS"/>
        </w:rPr>
        <w:t>наведене</w:t>
      </w:r>
      <w:r w:rsidR="004B72CD" w:rsidRPr="00092ED7">
        <w:rPr>
          <w:lang w:val="sr-Cyrl-CS"/>
        </w:rPr>
        <w:t xml:space="preserve"> </w:t>
      </w:r>
      <w:r w:rsidR="008479FB" w:rsidRPr="00092ED7">
        <w:rPr>
          <w:lang w:val="sr-Cyrl-CS"/>
        </w:rPr>
        <w:t>у</w:t>
      </w:r>
      <w:r w:rsidR="00C13979" w:rsidRPr="00092ED7">
        <w:rPr>
          <w:lang w:val="sr-Cyrl-CS"/>
        </w:rPr>
        <w:t>редбе, укључује се у процес оцене и праћења капиталних пројеката у мери и на начин сразмеран правном оквиру којим је регулисана област процене утицаја на животну средину</w:t>
      </w:r>
      <w:r w:rsidR="00C458FD" w:rsidRPr="00092ED7">
        <w:rPr>
          <w:lang w:val="sr-Cyrl-CS"/>
        </w:rPr>
        <w:t xml:space="preserve">, а биће усвојен и пропис који ће садржати критеријуме заштите животне средине за потребе рада  Комисије за капиталне инвестиције. </w:t>
      </w:r>
      <w:r w:rsidR="00C13979" w:rsidRPr="00092ED7">
        <w:rPr>
          <w:lang w:val="sr-Cyrl-CS"/>
        </w:rPr>
        <w:t xml:space="preserve"> На тај начин врши се повезивање са постојећим поступком који се води на основу закона који</w:t>
      </w:r>
      <w:r w:rsidR="008479FB" w:rsidRPr="00092ED7">
        <w:rPr>
          <w:lang w:val="sr-Cyrl-CS"/>
        </w:rPr>
        <w:t>м се</w:t>
      </w:r>
      <w:r w:rsidR="00C13979" w:rsidRPr="00092ED7">
        <w:rPr>
          <w:lang w:val="sr-Cyrl-CS"/>
        </w:rPr>
        <w:t xml:space="preserve"> уређује процен</w:t>
      </w:r>
      <w:r w:rsidR="008479FB" w:rsidRPr="00092ED7">
        <w:rPr>
          <w:lang w:val="sr-Cyrl-CS"/>
        </w:rPr>
        <w:t>а</w:t>
      </w:r>
      <w:r w:rsidR="00C13979" w:rsidRPr="00092ED7">
        <w:rPr>
          <w:lang w:val="sr-Cyrl-CS"/>
        </w:rPr>
        <w:t xml:space="preserve"> </w:t>
      </w:r>
      <w:r w:rsidR="008479FB" w:rsidRPr="00092ED7">
        <w:rPr>
          <w:lang w:val="sr-Cyrl-CS"/>
        </w:rPr>
        <w:t xml:space="preserve">утицаја на </w:t>
      </w:r>
      <w:r w:rsidR="00C13979" w:rsidRPr="00092ED7">
        <w:rPr>
          <w:lang w:val="sr-Cyrl-CS"/>
        </w:rPr>
        <w:t xml:space="preserve">животну средину. </w:t>
      </w:r>
      <w:r w:rsidRPr="00092ED7">
        <w:rPr>
          <w:rFonts w:eastAsia="Calibri" w:cs="Times New Roman"/>
          <w:szCs w:val="24"/>
          <w:lang w:val="sr-Cyrl-CS"/>
        </w:rPr>
        <w:t>Комисија за капиталне инвестиције, формирана почетком 2020. године, надлежна је за потврду стратешке релевантности капиталних пројеката и усвајање листе успешно оцењених пројеката.</w:t>
      </w:r>
      <w:r w:rsidR="00C13979" w:rsidRPr="00092ED7">
        <w:rPr>
          <w:rFonts w:eastAsia="Calibri" w:cs="Times New Roman"/>
          <w:szCs w:val="24"/>
          <w:lang w:val="sr-Cyrl-CS"/>
        </w:rPr>
        <w:t xml:space="preserve"> </w:t>
      </w:r>
      <w:r w:rsidR="00C13979" w:rsidRPr="00092ED7">
        <w:rPr>
          <w:lang w:val="sr-Cyrl-CS"/>
        </w:rPr>
        <w:t>Комисија се до децембра 2022. састала седам пута. Група за оцену и праћење капиталних пројеката при Министарству финансија прати 159 пројеката у складу са Уредбом</w:t>
      </w:r>
      <w:r w:rsidR="00B16622" w:rsidRPr="00092ED7">
        <w:rPr>
          <w:lang w:val="sr-Cyrl-CS"/>
        </w:rPr>
        <w:t xml:space="preserve"> о управљању капиталним пројектима</w:t>
      </w:r>
      <w:r w:rsidR="00C13979" w:rsidRPr="00092ED7">
        <w:rPr>
          <w:lang w:val="sr-Cyrl-CS"/>
        </w:rPr>
        <w:t>, и ради на успостављању информационог система</w:t>
      </w:r>
      <w:r w:rsidR="00E15E0E" w:rsidRPr="00092ED7">
        <w:rPr>
          <w:strike/>
          <w:lang w:val="sr-Cyrl-CS"/>
        </w:rPr>
        <w:t xml:space="preserve"> </w:t>
      </w:r>
      <w:r w:rsidR="006B0BA0" w:rsidRPr="00092ED7">
        <w:rPr>
          <w:lang w:val="sr-Cyrl-CS"/>
        </w:rPr>
        <w:t xml:space="preserve">PIMIS, </w:t>
      </w:r>
      <w:r w:rsidR="00C13979" w:rsidRPr="00092ED7">
        <w:rPr>
          <w:lang w:val="sr-Cyrl-CS"/>
        </w:rPr>
        <w:t>чије се пуштање у рад очекује.</w:t>
      </w:r>
    </w:p>
    <w:p w14:paraId="04891C0F" w14:textId="6B3CC130" w:rsidR="00D210F0" w:rsidRPr="00092ED7" w:rsidRDefault="00D210F0" w:rsidP="00D210F0">
      <w:pPr>
        <w:tabs>
          <w:tab w:val="left" w:pos="2970"/>
        </w:tabs>
        <w:spacing w:after="60"/>
        <w:rPr>
          <w:rFonts w:eastAsia="Times New Roman" w:cs="Times New Roman"/>
          <w:kern w:val="3"/>
          <w:szCs w:val="24"/>
          <w:lang w:val="sr-Cyrl-CS" w:eastAsia="zh-CN" w:bidi="hi-IN"/>
        </w:rPr>
      </w:pPr>
      <w:r w:rsidRPr="00092ED7">
        <w:rPr>
          <w:rFonts w:eastAsia="Calibri" w:cs="Times New Roman"/>
          <w:b/>
          <w:szCs w:val="24"/>
          <w:lang w:val="sr-Cyrl-CS"/>
        </w:rPr>
        <w:t>Значајни напори уложени су у борбу против неформалног пословања, али је спровођење реформи успорено</w:t>
      </w:r>
      <w:r w:rsidRPr="00092ED7">
        <w:rPr>
          <w:rFonts w:eastAsia="Calibri" w:cs="Times New Roman"/>
          <w:szCs w:val="24"/>
          <w:lang w:val="sr-Cyrl-CS"/>
        </w:rPr>
        <w:t>.</w:t>
      </w:r>
      <w:r w:rsidRPr="00092ED7">
        <w:rPr>
          <w:rFonts w:eastAsia="Times New Roman" w:cs="Times New Roman"/>
          <w:kern w:val="3"/>
          <w:szCs w:val="24"/>
          <w:lang w:val="sr-Cyrl-CS" w:eastAsia="zh-CN" w:bidi="hi-IN"/>
        </w:rPr>
        <w:t xml:space="preserve"> </w:t>
      </w:r>
      <w:r w:rsidRPr="00092ED7">
        <w:rPr>
          <w:rFonts w:eastAsia="Calibri" w:cs="Times New Roman"/>
          <w:szCs w:val="24"/>
          <w:lang w:val="sr-Cyrl-CS"/>
        </w:rPr>
        <w:t>Према Извештају о реализацији мера из Акционог плана за сузбијање сиве економије 2019-2020. године</w:t>
      </w:r>
      <w:r w:rsidRPr="00092ED7">
        <w:rPr>
          <w:rStyle w:val="FootnoteReference"/>
          <w:rFonts w:eastAsia="Calibri" w:cs="Times New Roman"/>
          <w:szCs w:val="24"/>
          <w:lang w:val="sr-Cyrl-CS"/>
        </w:rPr>
        <w:footnoteReference w:id="70"/>
      </w:r>
      <w:r w:rsidRPr="00092ED7">
        <w:rPr>
          <w:rFonts w:eastAsia="Calibri" w:cs="Times New Roman"/>
          <w:szCs w:val="24"/>
          <w:lang w:val="sr-Cyrl-CS"/>
        </w:rPr>
        <w:t xml:space="preserve">, у потпуности </w:t>
      </w:r>
      <w:r w:rsidR="00261FF7" w:rsidRPr="00092ED7">
        <w:rPr>
          <w:rFonts w:eastAsia="Calibri" w:cs="Times New Roman"/>
          <w:szCs w:val="24"/>
          <w:lang w:val="sr-Cyrl-CS"/>
        </w:rPr>
        <w:t xml:space="preserve">је </w:t>
      </w:r>
      <w:r w:rsidRPr="00092ED7">
        <w:rPr>
          <w:rFonts w:eastAsia="Calibri" w:cs="Times New Roman"/>
          <w:szCs w:val="24"/>
          <w:lang w:val="sr-Cyrl-CS"/>
        </w:rPr>
        <w:t xml:space="preserve">реализовано 49,2% дефинисаних мера и активности. </w:t>
      </w:r>
      <w:r w:rsidR="00261FF7" w:rsidRPr="00092ED7">
        <w:rPr>
          <w:rFonts w:eastAsia="Calibri" w:cs="Times New Roman"/>
          <w:szCs w:val="24"/>
          <w:lang w:val="sr-Cyrl-CS"/>
        </w:rPr>
        <w:t>С</w:t>
      </w:r>
      <w:r w:rsidR="00261FF7" w:rsidRPr="00092ED7">
        <w:rPr>
          <w:rFonts w:eastAsia="Times New Roman" w:cs="Times New Roman"/>
          <w:kern w:val="3"/>
          <w:szCs w:val="24"/>
          <w:lang w:val="sr-Cyrl-CS" w:eastAsia="zh-CN" w:bidi="hi-IN"/>
        </w:rPr>
        <w:t xml:space="preserve">мањено је </w:t>
      </w:r>
      <w:r w:rsidR="00261FF7" w:rsidRPr="00092ED7">
        <w:rPr>
          <w:rFonts w:eastAsia="Calibri" w:cs="Times New Roman"/>
          <w:szCs w:val="24"/>
          <w:lang w:val="sr-Cyrl-CS"/>
        </w:rPr>
        <w:t>у</w:t>
      </w:r>
      <w:r w:rsidR="00261FF7" w:rsidRPr="00092ED7">
        <w:rPr>
          <w:rFonts w:eastAsia="Times New Roman" w:cs="Times New Roman"/>
          <w:kern w:val="3"/>
          <w:szCs w:val="24"/>
          <w:lang w:val="sr-Cyrl-CS" w:eastAsia="zh-CN" w:bidi="hi-IN"/>
        </w:rPr>
        <w:t>чешће неформалне запослености у укупној запослености са 22% у 2016. на 13,2% у 2021. години</w:t>
      </w:r>
      <w:r w:rsidR="00261FF7" w:rsidRPr="00092ED7">
        <w:rPr>
          <w:rFonts w:eastAsia="Times New Roman" w:cs="Times New Roman"/>
          <w:kern w:val="3"/>
          <w:szCs w:val="24"/>
          <w:vertAlign w:val="superscript"/>
          <w:lang w:val="sr-Cyrl-CS" w:eastAsia="zh-CN" w:bidi="hi-IN"/>
        </w:rPr>
        <w:footnoteReference w:id="71"/>
      </w:r>
      <w:r w:rsidR="00261FF7" w:rsidRPr="00092ED7">
        <w:rPr>
          <w:rFonts w:eastAsia="Times New Roman" w:cs="Times New Roman"/>
          <w:kern w:val="3"/>
          <w:szCs w:val="24"/>
          <w:lang w:val="sr-Cyrl-CS" w:eastAsia="zh-CN" w:bidi="hi-IN"/>
        </w:rPr>
        <w:t xml:space="preserve">, између осталих разлога, и због примене </w:t>
      </w:r>
      <w:r w:rsidR="00261FF7" w:rsidRPr="00092ED7">
        <w:rPr>
          <w:rFonts w:eastAsia="Times New Roman" w:cs="Times New Roman"/>
          <w:i/>
          <w:kern w:val="3"/>
          <w:szCs w:val="24"/>
          <w:lang w:val="sr-Cyrl-CS" w:eastAsia="zh-CN" w:bidi="hi-IN"/>
        </w:rPr>
        <w:t xml:space="preserve">Закона о поједностављеном радном ангажовању на сезонским пословима у одређеним делатностима </w:t>
      </w:r>
      <w:r w:rsidR="00261FF7" w:rsidRPr="00092ED7">
        <w:rPr>
          <w:rFonts w:eastAsia="Times New Roman" w:cs="Times New Roman"/>
          <w:kern w:val="3"/>
          <w:szCs w:val="24"/>
          <w:lang w:val="sr-Cyrl-CS" w:eastAsia="zh-CN" w:bidi="hi-IN"/>
        </w:rPr>
        <w:t>(„Сл</w:t>
      </w:r>
      <w:r w:rsidR="005A2DE8" w:rsidRPr="00092ED7">
        <w:rPr>
          <w:rFonts w:eastAsia="Times New Roman" w:cs="Times New Roman"/>
          <w:kern w:val="3"/>
          <w:szCs w:val="24"/>
          <w:lang w:val="sr-Cyrl-CS" w:eastAsia="zh-CN" w:bidi="hi-IN"/>
        </w:rPr>
        <w:t>ужбени</w:t>
      </w:r>
      <w:r w:rsidR="00261FF7" w:rsidRPr="00092ED7">
        <w:rPr>
          <w:rFonts w:eastAsia="Times New Roman" w:cs="Times New Roman"/>
          <w:kern w:val="3"/>
          <w:szCs w:val="24"/>
          <w:lang w:val="sr-Cyrl-CS" w:eastAsia="zh-CN" w:bidi="hi-IN"/>
        </w:rPr>
        <w:t xml:space="preserve"> гласник РС</w:t>
      </w:r>
      <w:r w:rsidR="005A2DE8" w:rsidRPr="00092ED7">
        <w:rPr>
          <w:rFonts w:cs="Times New Roman"/>
          <w:szCs w:val="24"/>
          <w:lang w:val="sr-Cyrl-CS"/>
        </w:rPr>
        <w:t>”</w:t>
      </w:r>
      <w:r w:rsidR="00261FF7" w:rsidRPr="00092ED7">
        <w:rPr>
          <w:rFonts w:eastAsia="Times New Roman" w:cs="Times New Roman"/>
          <w:kern w:val="3"/>
          <w:szCs w:val="24"/>
          <w:lang w:val="sr-Cyrl-CS" w:eastAsia="zh-CN" w:bidi="hi-IN"/>
        </w:rPr>
        <w:t>, бр</w:t>
      </w:r>
      <w:r w:rsidR="005A2DE8" w:rsidRPr="00092ED7">
        <w:rPr>
          <w:rFonts w:eastAsia="Times New Roman" w:cs="Times New Roman"/>
          <w:kern w:val="3"/>
          <w:szCs w:val="24"/>
          <w:lang w:val="sr-Cyrl-CS" w:eastAsia="zh-CN" w:bidi="hi-IN"/>
        </w:rPr>
        <w:t>ој</w:t>
      </w:r>
      <w:r w:rsidR="00261FF7" w:rsidRPr="00092ED7">
        <w:rPr>
          <w:rFonts w:eastAsia="Times New Roman" w:cs="Times New Roman"/>
          <w:kern w:val="3"/>
          <w:szCs w:val="24"/>
          <w:lang w:val="sr-Cyrl-CS" w:eastAsia="zh-CN" w:bidi="hi-IN"/>
        </w:rPr>
        <w:t xml:space="preserve"> 50/18) који обухвата послове у области пољопривреде. У пољопривреди је било легално ангажовано 38.500</w:t>
      </w:r>
      <w:r w:rsidR="00261FF7" w:rsidRPr="00092ED7">
        <w:rPr>
          <w:rStyle w:val="FootnoteReference"/>
          <w:rFonts w:eastAsia="Times New Roman" w:cs="Times New Roman"/>
          <w:kern w:val="3"/>
          <w:szCs w:val="24"/>
          <w:lang w:val="sr-Cyrl-CS" w:eastAsia="zh-CN" w:bidi="hi-IN"/>
        </w:rPr>
        <w:footnoteReference w:id="72"/>
      </w:r>
      <w:r w:rsidR="00261FF7" w:rsidRPr="00092ED7">
        <w:rPr>
          <w:rFonts w:eastAsia="Times New Roman" w:cs="Times New Roman"/>
          <w:kern w:val="3"/>
          <w:szCs w:val="24"/>
          <w:lang w:val="sr-Cyrl-CS" w:eastAsia="zh-CN" w:bidi="hi-IN"/>
        </w:rPr>
        <w:t xml:space="preserve"> </w:t>
      </w:r>
      <w:r w:rsidR="00261FF7" w:rsidRPr="00092ED7">
        <w:rPr>
          <w:rFonts w:eastAsia="Times New Roman" w:cs="Times New Roman"/>
          <w:kern w:val="3"/>
          <w:szCs w:val="24"/>
          <w:lang w:val="sr-Cyrl-CS" w:eastAsia="zh-CN" w:bidi="hi-IN"/>
        </w:rPr>
        <w:lastRenderedPageBreak/>
        <w:t xml:space="preserve">сезонских радника у 2021. години, 17% више него 2020. године. Изменама и допунама овог закона, биће обухваћени послови и у другим делатностима (грађевинарство, угоститељство, туризам, послови помоћи у кући за потребе физичких лица, чишћење за потребе стамбених зграда). </w:t>
      </w:r>
      <w:r w:rsidRPr="00092ED7">
        <w:rPr>
          <w:rFonts w:eastAsia="Calibri" w:cs="Times New Roman"/>
          <w:szCs w:val="24"/>
          <w:lang w:val="sr-Cyrl-CS"/>
        </w:rPr>
        <w:t xml:space="preserve">У току је израда </w:t>
      </w:r>
      <w:r w:rsidR="00261FF7" w:rsidRPr="00092ED7">
        <w:rPr>
          <w:rFonts w:eastAsia="Calibri" w:cs="Times New Roman"/>
          <w:i/>
          <w:szCs w:val="24"/>
          <w:lang w:val="sr-Cyrl-CS"/>
        </w:rPr>
        <w:t xml:space="preserve">Нацрта </w:t>
      </w:r>
      <w:r w:rsidR="00B52C0F" w:rsidRPr="00092ED7">
        <w:rPr>
          <w:rFonts w:eastAsia="Calibri" w:cs="Times New Roman"/>
          <w:i/>
          <w:szCs w:val="24"/>
          <w:lang w:val="sr-Cyrl-CS"/>
        </w:rPr>
        <w:t>п</w:t>
      </w:r>
      <w:r w:rsidRPr="00092ED7">
        <w:rPr>
          <w:rFonts w:eastAsia="Calibri" w:cs="Times New Roman"/>
          <w:i/>
          <w:szCs w:val="24"/>
          <w:lang w:val="sr-Cyrl-CS"/>
        </w:rPr>
        <w:t xml:space="preserve">рограма за сузбијање сиве економије </w:t>
      </w:r>
      <w:r w:rsidRPr="00092ED7">
        <w:rPr>
          <w:rFonts w:eastAsia="Calibri" w:cs="Times New Roman"/>
          <w:szCs w:val="24"/>
          <w:lang w:val="sr-Cyrl-CS"/>
        </w:rPr>
        <w:t>(спроведена јавна расправa</w:t>
      </w:r>
      <w:r w:rsidRPr="00092ED7">
        <w:rPr>
          <w:rStyle w:val="FootnoteReference"/>
          <w:rFonts w:eastAsia="Calibri" w:cs="Times New Roman"/>
          <w:szCs w:val="24"/>
          <w:lang w:val="sr-Cyrl-CS"/>
        </w:rPr>
        <w:footnoteReference w:id="73"/>
      </w:r>
      <w:r w:rsidRPr="00092ED7">
        <w:rPr>
          <w:rFonts w:eastAsia="Calibri" w:cs="Times New Roman"/>
          <w:szCs w:val="24"/>
          <w:lang w:val="sr-Cyrl-CS"/>
        </w:rPr>
        <w:t>), који садржи 24 мере за достизање три циља: јачање инспекцијског надзора, унапређење рада Пореске управе и фискално и административно растерећење привреде</w:t>
      </w:r>
      <w:r w:rsidR="00BC65A9" w:rsidRPr="00092ED7">
        <w:rPr>
          <w:rFonts w:eastAsia="Calibri" w:cs="Times New Roman"/>
          <w:szCs w:val="24"/>
          <w:lang w:val="sr-Cyrl-CS"/>
        </w:rPr>
        <w:t>, а чије усвајање се очекује у првом кварталу 2023. године</w:t>
      </w:r>
      <w:r w:rsidRPr="00092ED7">
        <w:rPr>
          <w:rFonts w:eastAsia="Calibri" w:cs="Times New Roman"/>
          <w:szCs w:val="24"/>
          <w:lang w:val="sr-Cyrl-CS"/>
        </w:rPr>
        <w:t xml:space="preserve">. </w:t>
      </w:r>
    </w:p>
    <w:p w14:paraId="1B0625F9" w14:textId="77777777" w:rsidR="00D210F0" w:rsidRPr="00092ED7" w:rsidRDefault="00D210F0" w:rsidP="00D210F0">
      <w:pPr>
        <w:tabs>
          <w:tab w:val="left" w:pos="2970"/>
        </w:tabs>
        <w:spacing w:after="60"/>
        <w:rPr>
          <w:rFonts w:eastAsia="Calibri" w:cs="Times New Roman"/>
          <w:lang w:val="sr-Cyrl-CS"/>
        </w:rPr>
      </w:pPr>
      <w:r w:rsidRPr="00092ED7">
        <w:rPr>
          <w:rFonts w:eastAsia="Calibri" w:cs="Times New Roman"/>
          <w:b/>
          <w:lang w:val="sr-Cyrl-CS"/>
        </w:rPr>
        <w:t>Транспарентност процеса јавних набавки</w:t>
      </w:r>
      <w:r w:rsidRPr="00092ED7">
        <w:rPr>
          <w:rFonts w:eastAsia="Calibri" w:cs="Times New Roman"/>
          <w:lang w:val="sr-Cyrl-CS"/>
        </w:rPr>
        <w:t xml:space="preserve"> </w:t>
      </w:r>
      <w:r w:rsidRPr="00092ED7">
        <w:rPr>
          <w:rFonts w:eastAsia="Calibri" w:cs="Times New Roman"/>
          <w:b/>
          <w:lang w:val="sr-Cyrl-CS"/>
        </w:rPr>
        <w:t>је ојачана</w:t>
      </w:r>
      <w:r w:rsidRPr="00092ED7">
        <w:rPr>
          <w:rFonts w:eastAsia="Calibri" w:cs="Times New Roman"/>
          <w:lang w:val="sr-Cyrl-CS"/>
        </w:rPr>
        <w:t xml:space="preserve"> доношењем </w:t>
      </w:r>
      <w:r w:rsidRPr="00092ED7">
        <w:rPr>
          <w:rFonts w:eastAsia="Calibri" w:cs="Times New Roman"/>
          <w:i/>
          <w:lang w:val="sr-Cyrl-CS"/>
        </w:rPr>
        <w:t>Закона о јавним набавкама</w:t>
      </w:r>
      <w:r w:rsidRPr="00092ED7">
        <w:rPr>
          <w:rFonts w:eastAsia="Calibri" w:cs="Times New Roman"/>
          <w:lang w:val="sr-Cyrl-CS"/>
        </w:rPr>
        <w:t xml:space="preserve"> у 2019. години, али </w:t>
      </w:r>
      <w:r w:rsidRPr="00092ED7">
        <w:rPr>
          <w:rFonts w:eastAsia="Calibri" w:cs="Times New Roman"/>
          <w:b/>
          <w:lang w:val="sr-Cyrl-CS"/>
        </w:rPr>
        <w:t>треба наставити са повећањем нивоа конкуренције</w:t>
      </w:r>
      <w:r w:rsidRPr="00092ED7">
        <w:rPr>
          <w:rFonts w:eastAsia="Calibri" w:cs="Times New Roman"/>
          <w:lang w:val="sr-Cyrl-CS"/>
        </w:rPr>
        <w:t xml:space="preserve">. Имајући у виду одредбе </w:t>
      </w:r>
      <w:r w:rsidRPr="00092ED7">
        <w:rPr>
          <w:rFonts w:eastAsia="Calibri" w:cs="Times New Roman"/>
          <w:i/>
          <w:lang w:val="sr-Cyrl-CS"/>
        </w:rPr>
        <w:t>Закона о јавним набавкама</w:t>
      </w:r>
      <w:r w:rsidRPr="00092ED7">
        <w:rPr>
          <w:rFonts w:eastAsia="Calibri" w:cs="Times New Roman"/>
          <w:lang w:val="sr-Cyrl-CS"/>
        </w:rPr>
        <w:t xml:space="preserve">, једна од кључних новина је </w:t>
      </w:r>
      <w:r w:rsidRPr="00092ED7">
        <w:rPr>
          <w:rFonts w:eastAsia="Calibri" w:cs="Times New Roman"/>
          <w:b/>
          <w:lang w:val="sr-Cyrl-CS"/>
        </w:rPr>
        <w:t>увођење е-платформе</w:t>
      </w:r>
      <w:r w:rsidRPr="00092ED7">
        <w:rPr>
          <w:rFonts w:eastAsia="Calibri" w:cs="Times New Roman"/>
          <w:lang w:val="sr-Cyrl-CS"/>
        </w:rPr>
        <w:t xml:space="preserve">. Уведена је обавеза електронске комуникације и електронске размене података у поступцима јавних набавки што представља значајан искорак у процесу дигитализације поступака јавних набавки. Портал јавних набавки омогућава наручиоцима да састављају и објављују планове и обавештења на Порталу, објављују конкурсну документацију и одлуке у поступцима јавних набавки, као и многе друге опције и функционалности као што су: </w:t>
      </w:r>
      <w:r w:rsidRPr="00092ED7">
        <w:rPr>
          <w:rFonts w:eastAsia="Calibri" w:cs="Times New Roman"/>
          <w:b/>
          <w:lang w:val="sr-Cyrl-CS"/>
        </w:rPr>
        <w:t>е-подношење понуда, е-аукције</w:t>
      </w:r>
      <w:r w:rsidRPr="00092ED7">
        <w:rPr>
          <w:rFonts w:eastAsia="Calibri" w:cs="Times New Roman"/>
          <w:lang w:val="sr-Cyrl-CS"/>
        </w:rPr>
        <w:t xml:space="preserve">, динамички систем набавке, </w:t>
      </w:r>
      <w:r w:rsidRPr="00092ED7">
        <w:rPr>
          <w:rFonts w:eastAsia="Calibri" w:cs="Times New Roman"/>
          <w:b/>
          <w:lang w:val="sr-Cyrl-CS"/>
        </w:rPr>
        <w:t>е-планирање, е-жалбе и е-каталог</w:t>
      </w:r>
      <w:r w:rsidRPr="00092ED7">
        <w:rPr>
          <w:rFonts w:eastAsia="Calibri" w:cs="Times New Roman"/>
          <w:lang w:val="sr-Cyrl-CS"/>
        </w:rPr>
        <w:t xml:space="preserve">. Преко новог Портала јавних набавки, Канцеларији за јавне набавке је олакшано прикупљање и евидентирање података о свим поступцима покренутим по одредбама овог закона. Закључено је 182.998 уговора у 2021. години укупне вредности 559,7 млрд. </w:t>
      </w:r>
      <w:r w:rsidR="00192281" w:rsidRPr="00092ED7">
        <w:rPr>
          <w:rFonts w:eastAsia="Calibri" w:cs="Times New Roman"/>
          <w:lang w:val="sr-Cyrl-CS"/>
        </w:rPr>
        <w:t xml:space="preserve">динара </w:t>
      </w:r>
      <w:r w:rsidRPr="00092ED7">
        <w:rPr>
          <w:rFonts w:eastAsia="Calibri" w:cs="Times New Roman"/>
          <w:lang w:val="sr-Cyrl-CS"/>
        </w:rPr>
        <w:t>(8,9% БДП), што је највећи број уговора још од 2004. године. Отворених поступака било је 91,3%, а преговарачких поступака без објаве јавног позива</w:t>
      </w:r>
      <w:r w:rsidRPr="00092ED7">
        <w:rPr>
          <w:rStyle w:val="FootnoteReference"/>
          <w:rFonts w:eastAsia="Calibri" w:cs="Times New Roman"/>
          <w:lang w:val="sr-Cyrl-CS"/>
        </w:rPr>
        <w:footnoteReference w:id="74"/>
      </w:r>
      <w:r w:rsidRPr="00092ED7">
        <w:rPr>
          <w:rFonts w:eastAsia="Calibri" w:cs="Times New Roman"/>
          <w:lang w:val="sr-Cyrl-CS"/>
        </w:rPr>
        <w:t xml:space="preserve"> 7,7% укупног броја у 2021. години. Скраћено је просечно трајање отвореног поступка јавне набавке на 48 дана у 2021. (52 у 2020.), али још увек није остварено веће укључивање привредних субјеката у процес јавних набавки, односно просечан број понуда по поступку јавне набавке незнатно је смањен на 2,5 у 2021. (са 2,6 у 2020.)</w:t>
      </w:r>
      <w:r w:rsidRPr="00092ED7">
        <w:rPr>
          <w:rStyle w:val="FootnoteReference"/>
          <w:rFonts w:eastAsia="Calibri" w:cs="Times New Roman"/>
          <w:lang w:val="sr-Cyrl-CS"/>
        </w:rPr>
        <w:footnoteReference w:id="75"/>
      </w:r>
      <w:r w:rsidRPr="00092ED7">
        <w:rPr>
          <w:rFonts w:eastAsia="Calibri" w:cs="Times New Roman"/>
          <w:lang w:val="sr-Cyrl-CS"/>
        </w:rPr>
        <w:t>.</w:t>
      </w:r>
    </w:p>
    <w:p w14:paraId="55EB6F9D" w14:textId="77777777" w:rsidR="00D210F0" w:rsidRPr="00092ED7" w:rsidRDefault="00D210F0" w:rsidP="00D210F0">
      <w:pPr>
        <w:spacing w:before="120"/>
        <w:rPr>
          <w:rFonts w:eastAsia="Times New Roman" w:cs="Times New Roman"/>
          <w:b/>
          <w:bCs/>
          <w:szCs w:val="24"/>
          <w:lang w:val="sr-Cyrl-CS"/>
        </w:rPr>
      </w:pPr>
      <w:r w:rsidRPr="00092ED7">
        <w:rPr>
          <w:rFonts w:eastAsia="Times New Roman" w:cs="Times New Roman"/>
          <w:b/>
          <w:bCs/>
          <w:szCs w:val="24"/>
          <w:lang w:val="sr-Cyrl-CS"/>
        </w:rPr>
        <w:t>а) Реформе</w:t>
      </w:r>
    </w:p>
    <w:p w14:paraId="4425AFAE" w14:textId="77777777" w:rsidR="00D210F0" w:rsidRPr="00092ED7" w:rsidRDefault="00D210F0" w:rsidP="00D210F0">
      <w:pPr>
        <w:spacing w:before="120"/>
        <w:rPr>
          <w:rFonts w:eastAsia="Calibri" w:cs="Times New Roman"/>
          <w:szCs w:val="24"/>
          <w:lang w:val="sr-Cyrl-CS"/>
        </w:rPr>
      </w:pPr>
      <w:r w:rsidRPr="00092ED7">
        <w:rPr>
          <w:rFonts w:eastAsia="Calibri" w:cs="Times New Roman"/>
          <w:b/>
          <w:szCs w:val="24"/>
          <w:u w:val="single"/>
          <w:lang w:val="sr-Cyrl-CS"/>
        </w:rPr>
        <w:t>СТРУКТУРНА РЕФОРМА 5</w:t>
      </w:r>
      <w:r w:rsidRPr="00092ED7">
        <w:rPr>
          <w:rFonts w:eastAsia="Calibri" w:cs="Times New Roman"/>
          <w:b/>
          <w:szCs w:val="24"/>
          <w:lang w:val="sr-Cyrl-CS"/>
        </w:rPr>
        <w:t>:</w:t>
      </w:r>
      <w:r w:rsidRPr="00092ED7">
        <w:rPr>
          <w:rFonts w:eastAsia="Calibri" w:cs="Times New Roman"/>
          <w:szCs w:val="24"/>
          <w:lang w:val="sr-Cyrl-CS"/>
        </w:rPr>
        <w:t xml:space="preserve"> УНАПРЕЂЕЊЕ КВАЛИТЕТА ПРУЖАЊА ЈАВНИХ УСЛУГА КРОЗ ОПТИМИЗАЦИЈУ И ДИГИТАЛИЗАЦИЈУ АДМИНИСТРАТИВНИХ ПОСТУПАКА – Е-ПАПИР</w:t>
      </w:r>
    </w:p>
    <w:p w14:paraId="74D17149" w14:textId="77777777" w:rsidR="00D210F0" w:rsidRPr="00092ED7" w:rsidRDefault="00D210F0" w:rsidP="00071952">
      <w:pPr>
        <w:pStyle w:val="ListParagraph"/>
        <w:widowControl w:val="0"/>
        <w:numPr>
          <w:ilvl w:val="0"/>
          <w:numId w:val="22"/>
        </w:numPr>
        <w:spacing w:before="120" w:line="240" w:lineRule="auto"/>
        <w:ind w:left="425" w:hanging="425"/>
        <w:contextualSpacing w:val="0"/>
        <w:rPr>
          <w:rFonts w:cs="Times New Roman"/>
          <w:b/>
          <w:sz w:val="24"/>
          <w:szCs w:val="24"/>
          <w:lang w:val="sr-Cyrl-CS" w:eastAsia="sr-Cyrl-CS" w:bidi="sr-Cyrl-CS"/>
        </w:rPr>
      </w:pPr>
      <w:r w:rsidRPr="00092ED7">
        <w:rPr>
          <w:rFonts w:cs="Times New Roman"/>
          <w:b/>
          <w:sz w:val="24"/>
          <w:szCs w:val="24"/>
          <w:lang w:val="sr-Cyrl-CS" w:eastAsia="sr-Cyrl-CS" w:bidi="sr-Cyrl-CS"/>
        </w:rPr>
        <w:t>Опис структурне реформе</w:t>
      </w:r>
    </w:p>
    <w:p w14:paraId="21F3FDE0" w14:textId="315D6D06" w:rsidR="00D210F0" w:rsidRPr="00092ED7" w:rsidRDefault="00D210F0" w:rsidP="00B640AF">
      <w:pPr>
        <w:rPr>
          <w:rFonts w:cs="Times New Roman"/>
          <w:szCs w:val="24"/>
          <w:lang w:val="sr-Cyrl-CS"/>
        </w:rPr>
      </w:pPr>
      <w:r w:rsidRPr="00092ED7">
        <w:rPr>
          <w:rFonts w:eastAsia="Times New Roman" w:cs="Times New Roman"/>
          <w:szCs w:val="24"/>
          <w:lang w:val="sr-Cyrl-CS"/>
        </w:rPr>
        <w:t>Унапређење квалитета пружања јавних услуга је вишегодишњи реформски процес који се, између осталог, одвија кроз оптимизацију административних поступака (укидањем непотребних или поједностављењем и дигитализацијом административних поступака), као и кроз развој Регистра административних поступака. Регистар представља</w:t>
      </w:r>
      <w:r w:rsidRPr="00092ED7">
        <w:rPr>
          <w:lang w:val="sr-Cyrl-CS"/>
        </w:rPr>
        <w:t xml:space="preserve"> </w:t>
      </w:r>
      <w:r w:rsidRPr="00092ED7">
        <w:rPr>
          <w:rFonts w:eastAsia="Times New Roman" w:cs="Times New Roman"/>
          <w:szCs w:val="24"/>
          <w:lang w:val="sr-Cyrl-CS"/>
        </w:rPr>
        <w:t>јединствену електронску базу свих административних поступака и осталих услова пословања</w:t>
      </w:r>
      <w:r w:rsidR="005C0DE5" w:rsidRPr="00092ED7">
        <w:rPr>
          <w:rFonts w:eastAsia="Times New Roman" w:cs="Times New Roman"/>
          <w:szCs w:val="24"/>
          <w:lang w:val="sr-Cyrl-CS"/>
        </w:rPr>
        <w:t>,</w:t>
      </w:r>
      <w:r w:rsidRPr="00092ED7">
        <w:rPr>
          <w:rFonts w:eastAsia="Times New Roman" w:cs="Times New Roman"/>
          <w:szCs w:val="24"/>
          <w:lang w:val="sr-Cyrl-CS"/>
        </w:rPr>
        <w:t xml:space="preserve"> које спроводе ограни јавне управе</w:t>
      </w:r>
      <w:r w:rsidR="005C0DE5" w:rsidRPr="00092ED7">
        <w:rPr>
          <w:rFonts w:eastAsia="Times New Roman" w:cs="Times New Roman"/>
          <w:szCs w:val="24"/>
          <w:lang w:val="sr-Cyrl-CS"/>
        </w:rPr>
        <w:t>,</w:t>
      </w:r>
      <w:r w:rsidRPr="00092ED7">
        <w:rPr>
          <w:rFonts w:eastAsia="Times New Roman" w:cs="Times New Roman"/>
          <w:szCs w:val="24"/>
          <w:lang w:val="sr-Cyrl-CS"/>
        </w:rPr>
        <w:t xml:space="preserve"> како би заинтересовани привредници и грађани могли једноставно и лако да буду информисани о свему што им је потребно да би остварили одређено право или испунили неку законску обавезу. Регистар уједно представља полазну основу за формирање Јединствене електронске контактне тачке (</w:t>
      </w:r>
      <w:r w:rsidR="006B0BA0" w:rsidRPr="00092ED7">
        <w:rPr>
          <w:rFonts w:eastAsia="Times New Roman" w:cs="Times New Roman"/>
          <w:szCs w:val="24"/>
          <w:lang w:val="sr-Cyrl-CS"/>
        </w:rPr>
        <w:t xml:space="preserve">у даљем тексту: </w:t>
      </w:r>
      <w:r w:rsidRPr="00092ED7">
        <w:rPr>
          <w:rFonts w:eastAsia="Times New Roman" w:cs="Times New Roman"/>
          <w:szCs w:val="24"/>
          <w:lang w:val="sr-Cyrl-CS"/>
        </w:rPr>
        <w:t>ЈЕКТ), што је обавеза у складу са Директивом о услугама 2006/123/ЕЗ чије је транспоновање предвиђено чланом 59. ССП. Реформа је дефинисана Стратегијом реформе јавне управе у Републици Србији за период од 2021. до 2030. године</w:t>
      </w:r>
      <w:r w:rsidR="008877A5" w:rsidRPr="00092ED7">
        <w:rPr>
          <w:rFonts w:eastAsia="Times New Roman" w:cs="Times New Roman"/>
          <w:szCs w:val="24"/>
          <w:lang w:val="sr-Cyrl-CS"/>
        </w:rPr>
        <w:t xml:space="preserve"> </w:t>
      </w:r>
      <w:r w:rsidR="008877A5" w:rsidRPr="00092ED7">
        <w:rPr>
          <w:rFonts w:cs="Times New Roman"/>
          <w:szCs w:val="24"/>
          <w:lang w:val="sr-Cyrl-CS"/>
        </w:rPr>
        <w:lastRenderedPageBreak/>
        <w:t>(„Службени гласник РС”, бр. 42/21 и 9/22)</w:t>
      </w:r>
      <w:r w:rsidRPr="00092ED7">
        <w:rPr>
          <w:rFonts w:eastAsia="Times New Roman" w:cs="Times New Roman"/>
          <w:szCs w:val="24"/>
          <w:lang w:val="sr-Cyrl-CS"/>
        </w:rPr>
        <w:t>, док је Акционим планом за спровођење Стратегије планирано доношење Програма за поједностављење административних поступака и регулативе „е-Папир</w:t>
      </w:r>
      <w:r w:rsidR="00DD04E6" w:rsidRPr="00092ED7">
        <w:rPr>
          <w:rFonts w:cs="Times New Roman"/>
          <w:szCs w:val="24"/>
          <w:lang w:val="sr-Cyrl-CS"/>
        </w:rPr>
        <w:t>”</w:t>
      </w:r>
      <w:r w:rsidRPr="00092ED7">
        <w:rPr>
          <w:rFonts w:eastAsia="Times New Roman" w:cs="Times New Roman"/>
          <w:szCs w:val="24"/>
          <w:lang w:val="sr-Cyrl-CS"/>
        </w:rPr>
        <w:t xml:space="preserve"> за период након 2021.</w:t>
      </w:r>
      <w:r w:rsidRPr="00092ED7">
        <w:rPr>
          <w:lang w:val="sr-Cyrl-CS"/>
        </w:rPr>
        <w:t xml:space="preserve"> </w:t>
      </w:r>
      <w:r w:rsidRPr="00092ED7">
        <w:rPr>
          <w:rFonts w:eastAsia="Times New Roman" w:cs="Times New Roman"/>
          <w:szCs w:val="24"/>
          <w:lang w:val="sr-Cyrl-CS"/>
        </w:rPr>
        <w:t>године.</w:t>
      </w:r>
    </w:p>
    <w:p w14:paraId="285F33B2" w14:textId="4D8559E5" w:rsidR="00D210F0" w:rsidRPr="00092ED7" w:rsidRDefault="00D210F0" w:rsidP="00D210F0">
      <w:pPr>
        <w:widowControl w:val="0"/>
        <w:spacing w:after="60"/>
        <w:rPr>
          <w:rFonts w:eastAsia="Calibri" w:cs="Times New Roman"/>
          <w:b/>
          <w:szCs w:val="24"/>
          <w:lang w:val="sr-Cyrl-CS" w:eastAsia="sr-Cyrl-CS" w:bidi="sr-Cyrl-CS"/>
        </w:rPr>
      </w:pPr>
      <w:r w:rsidRPr="00092ED7">
        <w:rPr>
          <w:rFonts w:eastAsia="Times New Roman" w:cs="Times New Roman"/>
          <w:szCs w:val="24"/>
          <w:lang w:val="sr-Cyrl-CS"/>
        </w:rPr>
        <w:t>До сада је кроз „е-Папир</w:t>
      </w:r>
      <w:r w:rsidR="00DD04E6" w:rsidRPr="00092ED7">
        <w:rPr>
          <w:rFonts w:cs="Times New Roman"/>
          <w:szCs w:val="24"/>
          <w:lang w:val="sr-Cyrl-CS"/>
        </w:rPr>
        <w:t>”</w:t>
      </w:r>
      <w:r w:rsidRPr="00092ED7">
        <w:rPr>
          <w:rFonts w:eastAsia="Times New Roman" w:cs="Times New Roman"/>
          <w:szCs w:val="24"/>
          <w:lang w:val="sr-Cyrl-CS"/>
        </w:rPr>
        <w:t xml:space="preserve"> успостављен Регистар који садржи податке о </w:t>
      </w:r>
      <w:r w:rsidR="00CB5E01" w:rsidRPr="00092ED7">
        <w:rPr>
          <w:rFonts w:eastAsia="Times New Roman" w:cs="Times New Roman"/>
          <w:szCs w:val="24"/>
          <w:lang w:val="sr-Cyrl-CS"/>
        </w:rPr>
        <w:t xml:space="preserve">скоро </w:t>
      </w:r>
      <w:r w:rsidRPr="00092ED7">
        <w:rPr>
          <w:rFonts w:eastAsia="Times New Roman" w:cs="Times New Roman"/>
          <w:szCs w:val="24"/>
          <w:lang w:val="sr-Cyrl-CS"/>
        </w:rPr>
        <w:t>3</w:t>
      </w:r>
      <w:r w:rsidR="005C0DE5" w:rsidRPr="00092ED7">
        <w:rPr>
          <w:rFonts w:eastAsia="Times New Roman" w:cs="Times New Roman"/>
          <w:szCs w:val="24"/>
          <w:lang w:val="sr-Cyrl-CS"/>
        </w:rPr>
        <w:t>.</w:t>
      </w:r>
      <w:r w:rsidRPr="00092ED7">
        <w:rPr>
          <w:rFonts w:eastAsia="Times New Roman" w:cs="Times New Roman"/>
          <w:szCs w:val="24"/>
          <w:lang w:val="sr-Cyrl-CS"/>
        </w:rPr>
        <w:t>000 административних поступака за привреду и грађане, а у току је и попис административних захтева који представљају</w:t>
      </w:r>
      <w:r w:rsidRPr="00092ED7">
        <w:rPr>
          <w:lang w:val="sr-Cyrl-CS"/>
        </w:rPr>
        <w:t xml:space="preserve"> </w:t>
      </w:r>
      <w:r w:rsidRPr="00092ED7">
        <w:rPr>
          <w:rFonts w:eastAsia="Times New Roman" w:cs="Times New Roman"/>
          <w:szCs w:val="24"/>
          <w:lang w:val="sr-Cyrl-CS"/>
        </w:rPr>
        <w:t>услов за пословање и пословно настањивање у Републици Србији. У потпуности је оптимизовано 38</w:t>
      </w:r>
      <w:r w:rsidR="00CB5E01" w:rsidRPr="00092ED7">
        <w:rPr>
          <w:rFonts w:eastAsia="Times New Roman" w:cs="Times New Roman"/>
          <w:szCs w:val="24"/>
          <w:lang w:val="sr-Cyrl-CS"/>
        </w:rPr>
        <w:t>0</w:t>
      </w:r>
      <w:r w:rsidRPr="00092ED7">
        <w:rPr>
          <w:rFonts w:eastAsia="Times New Roman" w:cs="Times New Roman"/>
          <w:szCs w:val="24"/>
          <w:lang w:val="sr-Cyrl-CS"/>
        </w:rPr>
        <w:t xml:space="preserve"> и започета оптимизација 496 административних поступака; дигитализовано је и јавно доступно 64 услуга за привреду, док је у претпродукцији још 27, а у припреми за дигитализацију још 30 административних поступака за грађане.</w:t>
      </w:r>
    </w:p>
    <w:p w14:paraId="674F0BC7" w14:textId="77777777" w:rsidR="00D210F0" w:rsidRPr="00092ED7" w:rsidRDefault="00D210F0" w:rsidP="00071952">
      <w:pPr>
        <w:widowControl w:val="0"/>
        <w:numPr>
          <w:ilvl w:val="0"/>
          <w:numId w:val="22"/>
        </w:numPr>
        <w:spacing w:before="120"/>
        <w:ind w:left="425" w:hanging="425"/>
        <w:rPr>
          <w:rFonts w:eastAsia="Calibri" w:cs="Times New Roman"/>
          <w:b/>
          <w:szCs w:val="24"/>
          <w:lang w:val="sr-Cyrl-CS" w:eastAsia="sr-Cyrl-CS" w:bidi="sr-Cyrl-CS"/>
        </w:rPr>
      </w:pPr>
      <w:r w:rsidRPr="00092ED7">
        <w:rPr>
          <w:rFonts w:eastAsia="Calibri" w:cs="Times New Roman"/>
          <w:b/>
          <w:szCs w:val="24"/>
          <w:lang w:val="sr-Cyrl-CS" w:eastAsia="sr-Cyrl-CS" w:bidi="sr-Cyrl-CS"/>
        </w:rPr>
        <w:t>Планиране активности по годинама</w:t>
      </w:r>
    </w:p>
    <w:tbl>
      <w:tblPr>
        <w:tblW w:w="9139" w:type="dxa"/>
        <w:tblLayout w:type="fixed"/>
        <w:tblCellMar>
          <w:left w:w="0" w:type="dxa"/>
          <w:right w:w="0" w:type="dxa"/>
        </w:tblCellMar>
        <w:tblLook w:val="04A0" w:firstRow="1" w:lastRow="0" w:firstColumn="1" w:lastColumn="0" w:noHBand="0" w:noVBand="1"/>
      </w:tblPr>
      <w:tblGrid>
        <w:gridCol w:w="425"/>
        <w:gridCol w:w="4243"/>
        <w:gridCol w:w="372"/>
        <w:gridCol w:w="373"/>
        <w:gridCol w:w="372"/>
        <w:gridCol w:w="373"/>
        <w:gridCol w:w="372"/>
        <w:gridCol w:w="373"/>
        <w:gridCol w:w="373"/>
        <w:gridCol w:w="372"/>
        <w:gridCol w:w="373"/>
        <w:gridCol w:w="372"/>
        <w:gridCol w:w="373"/>
        <w:gridCol w:w="373"/>
      </w:tblGrid>
      <w:tr w:rsidR="00D210F0" w:rsidRPr="00092ED7" w14:paraId="2CF5300E" w14:textId="77777777" w:rsidTr="00AE4362">
        <w:trPr>
          <w:trHeight w:val="315"/>
        </w:trPr>
        <w:tc>
          <w:tcPr>
            <w:tcW w:w="425" w:type="dxa"/>
            <w:vMerge w:val="restart"/>
            <w:tcBorders>
              <w:top w:val="single" w:sz="8" w:space="0" w:color="auto"/>
              <w:left w:val="single" w:sz="8" w:space="0" w:color="auto"/>
              <w:right w:val="nil"/>
            </w:tcBorders>
            <w:shd w:val="clear" w:color="000000" w:fill="BDD6EE"/>
            <w:tcMar>
              <w:top w:w="15" w:type="dxa"/>
              <w:left w:w="15" w:type="dxa"/>
              <w:bottom w:w="0" w:type="dxa"/>
              <w:right w:w="15" w:type="dxa"/>
            </w:tcMar>
            <w:vAlign w:val="center"/>
            <w:hideMark/>
          </w:tcPr>
          <w:p w14:paraId="5E83C282" w14:textId="77777777" w:rsidR="00D210F0" w:rsidRPr="00092ED7" w:rsidRDefault="00D210F0" w:rsidP="005D14E2">
            <w:pPr>
              <w:spacing w:after="0"/>
              <w:jc w:val="center"/>
              <w:rPr>
                <w:rFonts w:cs="Times New Roman"/>
                <w:b/>
                <w:bCs/>
                <w:color w:val="000000"/>
                <w:sz w:val="20"/>
                <w:szCs w:val="20"/>
                <w:lang w:val="sr-Cyrl-CS"/>
              </w:rPr>
            </w:pPr>
            <w:r w:rsidRPr="00092ED7">
              <w:rPr>
                <w:rFonts w:cs="Times New Roman"/>
                <w:b/>
                <w:bCs/>
                <w:color w:val="000000"/>
                <w:sz w:val="20"/>
                <w:szCs w:val="20"/>
                <w:lang w:val="sr-Cyrl-CS"/>
              </w:rPr>
              <w:t>РБ</w:t>
            </w:r>
          </w:p>
        </w:tc>
        <w:tc>
          <w:tcPr>
            <w:tcW w:w="4243" w:type="dxa"/>
            <w:vMerge w:val="restart"/>
            <w:tcBorders>
              <w:top w:val="single" w:sz="8" w:space="0" w:color="auto"/>
              <w:left w:val="single" w:sz="8" w:space="0" w:color="auto"/>
              <w:bottom w:val="single" w:sz="8" w:space="0" w:color="000000"/>
              <w:right w:val="nil"/>
            </w:tcBorders>
            <w:shd w:val="clear" w:color="auto" w:fill="BDD6EE" w:themeFill="accent1" w:themeFillTint="66"/>
            <w:tcMar>
              <w:top w:w="15" w:type="dxa"/>
              <w:left w:w="15" w:type="dxa"/>
              <w:bottom w:w="0" w:type="dxa"/>
              <w:right w:w="15" w:type="dxa"/>
            </w:tcMar>
            <w:vAlign w:val="center"/>
            <w:hideMark/>
          </w:tcPr>
          <w:p w14:paraId="7FC9E0AC" w14:textId="77777777" w:rsidR="00D210F0" w:rsidRPr="00092ED7" w:rsidRDefault="00D210F0" w:rsidP="005D14E2">
            <w:pPr>
              <w:spacing w:after="0"/>
              <w:jc w:val="left"/>
              <w:rPr>
                <w:rFonts w:cs="Times New Roman"/>
                <w:b/>
                <w:bCs/>
                <w:color w:val="000000"/>
                <w:sz w:val="20"/>
                <w:szCs w:val="20"/>
                <w:lang w:val="sr-Cyrl-CS"/>
              </w:rPr>
            </w:pPr>
            <w:r w:rsidRPr="00092ED7">
              <w:rPr>
                <w:rFonts w:cs="Times New Roman"/>
                <w:b/>
                <w:bCs/>
                <w:color w:val="000000"/>
                <w:sz w:val="20"/>
                <w:szCs w:val="20"/>
                <w:lang w:val="sr-Cyrl-CS"/>
              </w:rPr>
              <w:t>Планиране активности</w:t>
            </w:r>
          </w:p>
        </w:tc>
        <w:tc>
          <w:tcPr>
            <w:tcW w:w="1490" w:type="dxa"/>
            <w:gridSpan w:val="4"/>
            <w:tcBorders>
              <w:top w:val="single" w:sz="8" w:space="0" w:color="auto"/>
              <w:left w:val="single" w:sz="8" w:space="0" w:color="auto"/>
              <w:bottom w:val="single" w:sz="4" w:space="0" w:color="auto"/>
              <w:right w:val="single" w:sz="8" w:space="0" w:color="000000"/>
            </w:tcBorders>
            <w:shd w:val="clear" w:color="auto" w:fill="BDD6EE" w:themeFill="accent1" w:themeFillTint="66"/>
            <w:tcMar>
              <w:top w:w="15" w:type="dxa"/>
              <w:left w:w="15" w:type="dxa"/>
              <w:bottom w:w="0" w:type="dxa"/>
              <w:right w:w="15" w:type="dxa"/>
            </w:tcMar>
            <w:vAlign w:val="center"/>
            <w:hideMark/>
          </w:tcPr>
          <w:p w14:paraId="7EBD1274" w14:textId="77777777" w:rsidR="00D210F0" w:rsidRPr="00092ED7" w:rsidRDefault="00D210F0" w:rsidP="005D14E2">
            <w:pPr>
              <w:spacing w:after="0"/>
              <w:jc w:val="center"/>
              <w:rPr>
                <w:rFonts w:cs="Times New Roman"/>
                <w:b/>
                <w:bCs/>
                <w:color w:val="000000"/>
                <w:sz w:val="20"/>
                <w:szCs w:val="20"/>
                <w:lang w:val="sr-Cyrl-CS"/>
              </w:rPr>
            </w:pPr>
            <w:r w:rsidRPr="00092ED7">
              <w:rPr>
                <w:rFonts w:cs="Times New Roman"/>
                <w:b/>
                <w:bCs/>
                <w:color w:val="000000"/>
                <w:sz w:val="20"/>
                <w:szCs w:val="20"/>
                <w:lang w:val="sr-Cyrl-CS"/>
              </w:rPr>
              <w:t>2023</w:t>
            </w:r>
          </w:p>
        </w:tc>
        <w:tc>
          <w:tcPr>
            <w:tcW w:w="1490" w:type="dxa"/>
            <w:gridSpan w:val="4"/>
            <w:tcBorders>
              <w:top w:val="single" w:sz="8" w:space="0" w:color="auto"/>
              <w:left w:val="single" w:sz="8" w:space="0" w:color="auto"/>
              <w:bottom w:val="single" w:sz="4" w:space="0" w:color="auto"/>
              <w:right w:val="single" w:sz="8" w:space="0" w:color="000000"/>
            </w:tcBorders>
            <w:shd w:val="clear" w:color="auto" w:fill="BDD6EE" w:themeFill="accent1" w:themeFillTint="66"/>
            <w:tcMar>
              <w:top w:w="15" w:type="dxa"/>
              <w:left w:w="15" w:type="dxa"/>
              <w:bottom w:w="0" w:type="dxa"/>
              <w:right w:w="15" w:type="dxa"/>
            </w:tcMar>
            <w:vAlign w:val="center"/>
            <w:hideMark/>
          </w:tcPr>
          <w:p w14:paraId="3679E29A" w14:textId="77777777" w:rsidR="00D210F0" w:rsidRPr="00092ED7" w:rsidRDefault="00D210F0" w:rsidP="005D14E2">
            <w:pPr>
              <w:spacing w:after="0"/>
              <w:jc w:val="center"/>
              <w:rPr>
                <w:rFonts w:cs="Times New Roman"/>
                <w:b/>
                <w:bCs/>
                <w:color w:val="000000"/>
                <w:sz w:val="20"/>
                <w:szCs w:val="20"/>
                <w:lang w:val="sr-Cyrl-CS"/>
              </w:rPr>
            </w:pPr>
            <w:r w:rsidRPr="00092ED7">
              <w:rPr>
                <w:rFonts w:cs="Times New Roman"/>
                <w:b/>
                <w:bCs/>
                <w:color w:val="000000"/>
                <w:sz w:val="20"/>
                <w:szCs w:val="20"/>
                <w:lang w:val="sr-Cyrl-CS"/>
              </w:rPr>
              <w:t>2024</w:t>
            </w:r>
          </w:p>
        </w:tc>
        <w:tc>
          <w:tcPr>
            <w:tcW w:w="1491" w:type="dxa"/>
            <w:gridSpan w:val="4"/>
            <w:tcBorders>
              <w:top w:val="single" w:sz="8" w:space="0" w:color="auto"/>
              <w:left w:val="nil"/>
              <w:bottom w:val="single" w:sz="4" w:space="0" w:color="auto"/>
              <w:right w:val="single" w:sz="8" w:space="0" w:color="000000"/>
            </w:tcBorders>
            <w:shd w:val="clear" w:color="auto" w:fill="BDD6EE" w:themeFill="accent1" w:themeFillTint="66"/>
            <w:tcMar>
              <w:top w:w="15" w:type="dxa"/>
              <w:left w:w="15" w:type="dxa"/>
              <w:bottom w:w="0" w:type="dxa"/>
              <w:right w:w="15" w:type="dxa"/>
            </w:tcMar>
            <w:vAlign w:val="center"/>
            <w:hideMark/>
          </w:tcPr>
          <w:p w14:paraId="7CF70E86" w14:textId="77777777" w:rsidR="00D210F0" w:rsidRPr="00092ED7" w:rsidRDefault="00D210F0" w:rsidP="005D14E2">
            <w:pPr>
              <w:spacing w:after="0"/>
              <w:jc w:val="center"/>
              <w:rPr>
                <w:rFonts w:cs="Times New Roman"/>
                <w:b/>
                <w:bCs/>
                <w:color w:val="000000"/>
                <w:sz w:val="20"/>
                <w:szCs w:val="20"/>
                <w:lang w:val="sr-Cyrl-CS"/>
              </w:rPr>
            </w:pPr>
            <w:r w:rsidRPr="00092ED7">
              <w:rPr>
                <w:rFonts w:cs="Times New Roman"/>
                <w:b/>
                <w:bCs/>
                <w:color w:val="000000"/>
                <w:sz w:val="20"/>
                <w:szCs w:val="20"/>
                <w:lang w:val="sr-Cyrl-CS"/>
              </w:rPr>
              <w:t>2025</w:t>
            </w:r>
          </w:p>
        </w:tc>
      </w:tr>
      <w:tr w:rsidR="00D210F0" w:rsidRPr="00092ED7" w14:paraId="096B9069" w14:textId="77777777" w:rsidTr="00AE4362">
        <w:trPr>
          <w:trHeight w:val="315"/>
        </w:trPr>
        <w:tc>
          <w:tcPr>
            <w:tcW w:w="425" w:type="dxa"/>
            <w:vMerge/>
            <w:tcBorders>
              <w:left w:val="single" w:sz="8" w:space="0" w:color="auto"/>
              <w:bottom w:val="single" w:sz="8" w:space="0" w:color="000000"/>
              <w:right w:val="nil"/>
            </w:tcBorders>
            <w:shd w:val="clear" w:color="000000" w:fill="BDD6EE"/>
            <w:vAlign w:val="center"/>
            <w:hideMark/>
          </w:tcPr>
          <w:p w14:paraId="554148D9" w14:textId="77777777" w:rsidR="00D210F0" w:rsidRPr="00092ED7" w:rsidRDefault="00D210F0" w:rsidP="005D14E2">
            <w:pPr>
              <w:spacing w:after="0"/>
              <w:jc w:val="center"/>
              <w:rPr>
                <w:rFonts w:cs="Times New Roman"/>
                <w:b/>
                <w:bCs/>
                <w:color w:val="000000"/>
                <w:sz w:val="20"/>
                <w:szCs w:val="20"/>
                <w:lang w:val="sr-Cyrl-CS"/>
              </w:rPr>
            </w:pPr>
          </w:p>
        </w:tc>
        <w:tc>
          <w:tcPr>
            <w:tcW w:w="4243" w:type="dxa"/>
            <w:vMerge/>
            <w:tcBorders>
              <w:top w:val="single" w:sz="8" w:space="0" w:color="auto"/>
              <w:left w:val="single" w:sz="8" w:space="0" w:color="auto"/>
              <w:bottom w:val="single" w:sz="8" w:space="0" w:color="000000"/>
              <w:right w:val="nil"/>
            </w:tcBorders>
            <w:shd w:val="clear" w:color="auto" w:fill="BDD6EE" w:themeFill="accent1" w:themeFillTint="66"/>
            <w:vAlign w:val="center"/>
            <w:hideMark/>
          </w:tcPr>
          <w:p w14:paraId="44949CC6" w14:textId="77777777" w:rsidR="00D210F0" w:rsidRPr="00092ED7" w:rsidRDefault="00D210F0" w:rsidP="005D14E2">
            <w:pPr>
              <w:spacing w:after="0"/>
              <w:rPr>
                <w:rFonts w:cs="Times New Roman"/>
                <w:b/>
                <w:bCs/>
                <w:color w:val="000000"/>
                <w:sz w:val="20"/>
                <w:szCs w:val="20"/>
                <w:lang w:val="sr-Cyrl-CS"/>
              </w:rPr>
            </w:pPr>
          </w:p>
        </w:tc>
        <w:tc>
          <w:tcPr>
            <w:tcW w:w="372" w:type="dxa"/>
            <w:tcBorders>
              <w:top w:val="nil"/>
              <w:left w:val="single" w:sz="8" w:space="0" w:color="auto"/>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144F4002" w14:textId="77777777" w:rsidR="00D210F0" w:rsidRPr="00092ED7" w:rsidRDefault="00D210F0" w:rsidP="005D14E2">
            <w:pPr>
              <w:spacing w:after="0"/>
              <w:jc w:val="center"/>
              <w:rPr>
                <w:rFonts w:cs="Times New Roman"/>
                <w:i/>
                <w:iCs/>
                <w:color w:val="000000"/>
                <w:sz w:val="20"/>
                <w:szCs w:val="20"/>
                <w:lang w:val="sr-Cyrl-CS"/>
              </w:rPr>
            </w:pPr>
            <w:r w:rsidRPr="00092ED7">
              <w:rPr>
                <w:rFonts w:cs="Times New Roman"/>
                <w:i/>
                <w:iCs/>
                <w:color w:val="000000"/>
                <w:sz w:val="20"/>
                <w:szCs w:val="20"/>
                <w:lang w:val="sr-Cyrl-CS"/>
              </w:rPr>
              <w:t>Q1</w:t>
            </w:r>
          </w:p>
        </w:tc>
        <w:tc>
          <w:tcPr>
            <w:tcW w:w="373"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3F574BAB" w14:textId="77777777" w:rsidR="00D210F0" w:rsidRPr="00092ED7" w:rsidRDefault="00D210F0" w:rsidP="005D14E2">
            <w:pPr>
              <w:spacing w:after="0"/>
              <w:jc w:val="center"/>
              <w:rPr>
                <w:rFonts w:cs="Times New Roman"/>
                <w:i/>
                <w:iCs/>
                <w:color w:val="000000"/>
                <w:sz w:val="20"/>
                <w:szCs w:val="20"/>
                <w:lang w:val="sr-Cyrl-CS"/>
              </w:rPr>
            </w:pPr>
            <w:r w:rsidRPr="00092ED7">
              <w:rPr>
                <w:rFonts w:cs="Times New Roman"/>
                <w:i/>
                <w:iCs/>
                <w:color w:val="000000"/>
                <w:sz w:val="20"/>
                <w:szCs w:val="20"/>
                <w:lang w:val="sr-Cyrl-CS"/>
              </w:rPr>
              <w:t>Q2</w:t>
            </w:r>
          </w:p>
        </w:tc>
        <w:tc>
          <w:tcPr>
            <w:tcW w:w="372"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12FEA8C7" w14:textId="77777777" w:rsidR="00D210F0" w:rsidRPr="00092ED7" w:rsidRDefault="00D210F0" w:rsidP="005D14E2">
            <w:pPr>
              <w:spacing w:after="0"/>
              <w:jc w:val="center"/>
              <w:rPr>
                <w:rFonts w:cs="Times New Roman"/>
                <w:i/>
                <w:iCs/>
                <w:color w:val="000000"/>
                <w:sz w:val="20"/>
                <w:szCs w:val="20"/>
                <w:lang w:val="sr-Cyrl-CS"/>
              </w:rPr>
            </w:pPr>
            <w:r w:rsidRPr="00092ED7">
              <w:rPr>
                <w:rFonts w:cs="Times New Roman"/>
                <w:i/>
                <w:iCs/>
                <w:color w:val="000000"/>
                <w:sz w:val="20"/>
                <w:szCs w:val="20"/>
                <w:lang w:val="sr-Cyrl-CS"/>
              </w:rPr>
              <w:t>Q3</w:t>
            </w:r>
          </w:p>
        </w:tc>
        <w:tc>
          <w:tcPr>
            <w:tcW w:w="373" w:type="dxa"/>
            <w:tcBorders>
              <w:top w:val="nil"/>
              <w:left w:val="nil"/>
              <w:bottom w:val="single" w:sz="8" w:space="0" w:color="auto"/>
              <w:right w:val="single" w:sz="8" w:space="0" w:color="auto"/>
            </w:tcBorders>
            <w:shd w:val="clear" w:color="auto" w:fill="BDD6EE" w:themeFill="accent1" w:themeFillTint="66"/>
            <w:tcMar>
              <w:top w:w="15" w:type="dxa"/>
              <w:left w:w="15" w:type="dxa"/>
              <w:bottom w:w="0" w:type="dxa"/>
              <w:right w:w="15" w:type="dxa"/>
            </w:tcMar>
            <w:vAlign w:val="center"/>
            <w:hideMark/>
          </w:tcPr>
          <w:p w14:paraId="4E9DA2F9" w14:textId="77777777" w:rsidR="00D210F0" w:rsidRPr="00092ED7" w:rsidRDefault="00D210F0" w:rsidP="005D14E2">
            <w:pPr>
              <w:spacing w:after="0"/>
              <w:jc w:val="center"/>
              <w:rPr>
                <w:rFonts w:cs="Times New Roman"/>
                <w:i/>
                <w:iCs/>
                <w:color w:val="000000"/>
                <w:sz w:val="20"/>
                <w:szCs w:val="20"/>
                <w:lang w:val="sr-Cyrl-CS"/>
              </w:rPr>
            </w:pPr>
            <w:r w:rsidRPr="00092ED7">
              <w:rPr>
                <w:rFonts w:cs="Times New Roman"/>
                <w:i/>
                <w:iCs/>
                <w:color w:val="000000"/>
                <w:sz w:val="20"/>
                <w:szCs w:val="20"/>
                <w:lang w:val="sr-Cyrl-CS"/>
              </w:rPr>
              <w:t>Q4</w:t>
            </w:r>
          </w:p>
        </w:tc>
        <w:tc>
          <w:tcPr>
            <w:tcW w:w="372"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10820BA4" w14:textId="77777777" w:rsidR="00D210F0" w:rsidRPr="00092ED7" w:rsidRDefault="00D210F0" w:rsidP="005D14E2">
            <w:pPr>
              <w:spacing w:after="0"/>
              <w:jc w:val="center"/>
              <w:rPr>
                <w:rFonts w:cs="Times New Roman"/>
                <w:i/>
                <w:iCs/>
                <w:color w:val="000000"/>
                <w:sz w:val="20"/>
                <w:szCs w:val="20"/>
                <w:lang w:val="sr-Cyrl-CS"/>
              </w:rPr>
            </w:pPr>
            <w:r w:rsidRPr="00092ED7">
              <w:rPr>
                <w:rFonts w:cs="Times New Roman"/>
                <w:i/>
                <w:iCs/>
                <w:color w:val="000000"/>
                <w:sz w:val="20"/>
                <w:szCs w:val="20"/>
                <w:lang w:val="sr-Cyrl-CS"/>
              </w:rPr>
              <w:t>Q1</w:t>
            </w:r>
          </w:p>
        </w:tc>
        <w:tc>
          <w:tcPr>
            <w:tcW w:w="373"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68055C9B" w14:textId="77777777" w:rsidR="00D210F0" w:rsidRPr="00092ED7" w:rsidRDefault="00D210F0" w:rsidP="005D14E2">
            <w:pPr>
              <w:spacing w:after="0"/>
              <w:jc w:val="center"/>
              <w:rPr>
                <w:rFonts w:cs="Times New Roman"/>
                <w:i/>
                <w:iCs/>
                <w:color w:val="000000"/>
                <w:sz w:val="20"/>
                <w:szCs w:val="20"/>
                <w:lang w:val="sr-Cyrl-CS"/>
              </w:rPr>
            </w:pPr>
            <w:r w:rsidRPr="00092ED7">
              <w:rPr>
                <w:rFonts w:cs="Times New Roman"/>
                <w:i/>
                <w:iCs/>
                <w:color w:val="000000"/>
                <w:sz w:val="20"/>
                <w:szCs w:val="20"/>
                <w:lang w:val="sr-Cyrl-CS"/>
              </w:rPr>
              <w:t>Q2</w:t>
            </w:r>
          </w:p>
        </w:tc>
        <w:tc>
          <w:tcPr>
            <w:tcW w:w="373"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30BE91D5" w14:textId="77777777" w:rsidR="00D210F0" w:rsidRPr="00092ED7" w:rsidRDefault="00D210F0" w:rsidP="005D14E2">
            <w:pPr>
              <w:spacing w:after="0"/>
              <w:jc w:val="center"/>
              <w:rPr>
                <w:rFonts w:cs="Times New Roman"/>
                <w:i/>
                <w:iCs/>
                <w:color w:val="000000"/>
                <w:sz w:val="20"/>
                <w:szCs w:val="20"/>
                <w:lang w:val="sr-Cyrl-CS"/>
              </w:rPr>
            </w:pPr>
            <w:r w:rsidRPr="00092ED7">
              <w:rPr>
                <w:rFonts w:cs="Times New Roman"/>
                <w:i/>
                <w:iCs/>
                <w:color w:val="000000"/>
                <w:sz w:val="20"/>
                <w:szCs w:val="20"/>
                <w:lang w:val="sr-Cyrl-CS"/>
              </w:rPr>
              <w:t>Q3</w:t>
            </w:r>
          </w:p>
        </w:tc>
        <w:tc>
          <w:tcPr>
            <w:tcW w:w="372" w:type="dxa"/>
            <w:tcBorders>
              <w:top w:val="nil"/>
              <w:left w:val="nil"/>
              <w:bottom w:val="single" w:sz="8" w:space="0" w:color="auto"/>
              <w:right w:val="single" w:sz="8" w:space="0" w:color="auto"/>
            </w:tcBorders>
            <w:shd w:val="clear" w:color="auto" w:fill="BDD6EE" w:themeFill="accent1" w:themeFillTint="66"/>
            <w:tcMar>
              <w:top w:w="15" w:type="dxa"/>
              <w:left w:w="15" w:type="dxa"/>
              <w:bottom w:w="0" w:type="dxa"/>
              <w:right w:w="15" w:type="dxa"/>
            </w:tcMar>
            <w:vAlign w:val="center"/>
            <w:hideMark/>
          </w:tcPr>
          <w:p w14:paraId="19ED64F5" w14:textId="77777777" w:rsidR="00D210F0" w:rsidRPr="00092ED7" w:rsidRDefault="00D210F0" w:rsidP="005D14E2">
            <w:pPr>
              <w:spacing w:after="0"/>
              <w:jc w:val="center"/>
              <w:rPr>
                <w:rFonts w:cs="Times New Roman"/>
                <w:i/>
                <w:iCs/>
                <w:color w:val="000000"/>
                <w:sz w:val="20"/>
                <w:szCs w:val="20"/>
                <w:lang w:val="sr-Cyrl-CS"/>
              </w:rPr>
            </w:pPr>
            <w:r w:rsidRPr="00092ED7">
              <w:rPr>
                <w:rFonts w:cs="Times New Roman"/>
                <w:i/>
                <w:iCs/>
                <w:color w:val="000000"/>
                <w:sz w:val="20"/>
                <w:szCs w:val="20"/>
                <w:lang w:val="sr-Cyrl-CS"/>
              </w:rPr>
              <w:t>Q4</w:t>
            </w:r>
          </w:p>
        </w:tc>
        <w:tc>
          <w:tcPr>
            <w:tcW w:w="373"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4346D6E8" w14:textId="77777777" w:rsidR="00D210F0" w:rsidRPr="00092ED7" w:rsidRDefault="00D210F0" w:rsidP="005D14E2">
            <w:pPr>
              <w:spacing w:after="0"/>
              <w:jc w:val="center"/>
              <w:rPr>
                <w:rFonts w:cs="Times New Roman"/>
                <w:i/>
                <w:iCs/>
                <w:color w:val="000000"/>
                <w:sz w:val="20"/>
                <w:szCs w:val="20"/>
                <w:lang w:val="sr-Cyrl-CS"/>
              </w:rPr>
            </w:pPr>
            <w:r w:rsidRPr="00092ED7">
              <w:rPr>
                <w:rFonts w:cs="Times New Roman"/>
                <w:i/>
                <w:iCs/>
                <w:color w:val="000000"/>
                <w:sz w:val="20"/>
                <w:szCs w:val="20"/>
                <w:lang w:val="sr-Cyrl-CS"/>
              </w:rPr>
              <w:t>Q1</w:t>
            </w:r>
          </w:p>
        </w:tc>
        <w:tc>
          <w:tcPr>
            <w:tcW w:w="372"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0FAF5C33" w14:textId="77777777" w:rsidR="00D210F0" w:rsidRPr="00092ED7" w:rsidRDefault="00D210F0" w:rsidP="005D14E2">
            <w:pPr>
              <w:spacing w:after="0"/>
              <w:jc w:val="center"/>
              <w:rPr>
                <w:rFonts w:cs="Times New Roman"/>
                <w:i/>
                <w:iCs/>
                <w:color w:val="000000"/>
                <w:sz w:val="20"/>
                <w:szCs w:val="20"/>
                <w:lang w:val="sr-Cyrl-CS"/>
              </w:rPr>
            </w:pPr>
            <w:r w:rsidRPr="00092ED7">
              <w:rPr>
                <w:rFonts w:cs="Times New Roman"/>
                <w:i/>
                <w:iCs/>
                <w:color w:val="000000"/>
                <w:sz w:val="20"/>
                <w:szCs w:val="20"/>
                <w:lang w:val="sr-Cyrl-CS"/>
              </w:rPr>
              <w:t>Q2</w:t>
            </w:r>
          </w:p>
        </w:tc>
        <w:tc>
          <w:tcPr>
            <w:tcW w:w="373"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5570C2CE" w14:textId="77777777" w:rsidR="00D210F0" w:rsidRPr="00092ED7" w:rsidRDefault="00D210F0" w:rsidP="005D14E2">
            <w:pPr>
              <w:spacing w:after="0"/>
              <w:jc w:val="center"/>
              <w:rPr>
                <w:rFonts w:cs="Times New Roman"/>
                <w:i/>
                <w:iCs/>
                <w:color w:val="000000"/>
                <w:sz w:val="20"/>
                <w:szCs w:val="20"/>
                <w:lang w:val="sr-Cyrl-CS"/>
              </w:rPr>
            </w:pPr>
            <w:r w:rsidRPr="00092ED7">
              <w:rPr>
                <w:rFonts w:cs="Times New Roman"/>
                <w:i/>
                <w:iCs/>
                <w:color w:val="000000"/>
                <w:sz w:val="20"/>
                <w:szCs w:val="20"/>
                <w:lang w:val="sr-Cyrl-CS"/>
              </w:rPr>
              <w:t>Q3</w:t>
            </w:r>
          </w:p>
        </w:tc>
        <w:tc>
          <w:tcPr>
            <w:tcW w:w="373" w:type="dxa"/>
            <w:tcBorders>
              <w:top w:val="nil"/>
              <w:left w:val="nil"/>
              <w:bottom w:val="single" w:sz="8" w:space="0" w:color="auto"/>
              <w:right w:val="single" w:sz="8" w:space="0" w:color="auto"/>
            </w:tcBorders>
            <w:shd w:val="clear" w:color="auto" w:fill="BDD6EE" w:themeFill="accent1" w:themeFillTint="66"/>
            <w:tcMar>
              <w:top w:w="15" w:type="dxa"/>
              <w:left w:w="15" w:type="dxa"/>
              <w:bottom w:w="0" w:type="dxa"/>
              <w:right w:w="15" w:type="dxa"/>
            </w:tcMar>
            <w:vAlign w:val="center"/>
            <w:hideMark/>
          </w:tcPr>
          <w:p w14:paraId="61EE2E1A" w14:textId="77777777" w:rsidR="00D210F0" w:rsidRPr="00092ED7" w:rsidRDefault="00D210F0" w:rsidP="005D14E2">
            <w:pPr>
              <w:spacing w:after="0"/>
              <w:jc w:val="center"/>
              <w:rPr>
                <w:rFonts w:cs="Times New Roman"/>
                <w:i/>
                <w:iCs/>
                <w:color w:val="000000"/>
                <w:sz w:val="20"/>
                <w:szCs w:val="20"/>
                <w:lang w:val="sr-Cyrl-CS"/>
              </w:rPr>
            </w:pPr>
            <w:r w:rsidRPr="00092ED7">
              <w:rPr>
                <w:rFonts w:cs="Times New Roman"/>
                <w:i/>
                <w:iCs/>
                <w:color w:val="000000"/>
                <w:sz w:val="20"/>
                <w:szCs w:val="20"/>
                <w:lang w:val="sr-Cyrl-CS"/>
              </w:rPr>
              <w:t>Q4</w:t>
            </w:r>
          </w:p>
        </w:tc>
      </w:tr>
      <w:tr w:rsidR="00D210F0" w:rsidRPr="00092ED7" w14:paraId="5C25C8FF" w14:textId="77777777" w:rsidTr="00AE4362">
        <w:trPr>
          <w:trHeight w:val="300"/>
        </w:trPr>
        <w:tc>
          <w:tcPr>
            <w:tcW w:w="425" w:type="dxa"/>
            <w:tcBorders>
              <w:top w:val="single" w:sz="4" w:space="0" w:color="auto"/>
              <w:left w:val="single" w:sz="8" w:space="0" w:color="auto"/>
              <w:bottom w:val="single" w:sz="4" w:space="0" w:color="auto"/>
              <w:right w:val="nil"/>
            </w:tcBorders>
            <w:shd w:val="clear" w:color="auto" w:fill="auto"/>
            <w:tcMar>
              <w:top w:w="15" w:type="dxa"/>
              <w:left w:w="15" w:type="dxa"/>
              <w:bottom w:w="0" w:type="dxa"/>
              <w:right w:w="15" w:type="dxa"/>
            </w:tcMar>
          </w:tcPr>
          <w:p w14:paraId="7E8FD45F" w14:textId="77777777" w:rsidR="00D210F0" w:rsidRPr="00092ED7" w:rsidRDefault="00D210F0" w:rsidP="005D14E2">
            <w:pPr>
              <w:spacing w:after="0"/>
              <w:jc w:val="center"/>
              <w:rPr>
                <w:rFonts w:cs="Times New Roman"/>
                <w:bCs/>
                <w:sz w:val="20"/>
                <w:szCs w:val="20"/>
                <w:lang w:val="sr-Cyrl-CS"/>
              </w:rPr>
            </w:pPr>
            <w:r w:rsidRPr="00092ED7">
              <w:rPr>
                <w:rFonts w:cs="Times New Roman"/>
                <w:bCs/>
                <w:sz w:val="20"/>
                <w:szCs w:val="20"/>
                <w:lang w:val="sr-Cyrl-CS"/>
              </w:rPr>
              <w:t>1.</w:t>
            </w:r>
          </w:p>
        </w:tc>
        <w:tc>
          <w:tcPr>
            <w:tcW w:w="4243" w:type="dxa"/>
            <w:tcBorders>
              <w:top w:val="single" w:sz="4" w:space="0" w:color="auto"/>
              <w:left w:val="single" w:sz="8" w:space="0" w:color="auto"/>
              <w:bottom w:val="single" w:sz="4" w:space="0" w:color="auto"/>
              <w:right w:val="nil"/>
            </w:tcBorders>
            <w:shd w:val="clear" w:color="auto" w:fill="auto"/>
            <w:tcMar>
              <w:top w:w="15" w:type="dxa"/>
              <w:left w:w="15" w:type="dxa"/>
              <w:bottom w:w="0" w:type="dxa"/>
              <w:right w:w="15" w:type="dxa"/>
            </w:tcMar>
          </w:tcPr>
          <w:p w14:paraId="6ED3449C" w14:textId="77777777" w:rsidR="00D210F0" w:rsidRPr="00092ED7" w:rsidRDefault="00D210F0" w:rsidP="005D14E2">
            <w:pPr>
              <w:spacing w:after="0"/>
              <w:ind w:right="213"/>
              <w:rPr>
                <w:rFonts w:cs="Times New Roman"/>
                <w:sz w:val="20"/>
                <w:szCs w:val="20"/>
                <w:lang w:val="sr-Cyrl-CS"/>
              </w:rPr>
            </w:pPr>
            <w:r w:rsidRPr="00092ED7">
              <w:rPr>
                <w:rFonts w:cs="Times New Roman"/>
                <w:sz w:val="20"/>
                <w:szCs w:val="20"/>
                <w:lang w:val="sr-Cyrl-CS"/>
              </w:rPr>
              <w:t>Попис административних поступака за привреду и грађане на нивоу ЈЛС</w:t>
            </w:r>
          </w:p>
        </w:tc>
        <w:tc>
          <w:tcPr>
            <w:tcW w:w="372" w:type="dxa"/>
            <w:tcBorders>
              <w:top w:val="single" w:sz="4" w:space="0" w:color="auto"/>
              <w:left w:val="single" w:sz="8"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39FBF781" w14:textId="77777777" w:rsidR="00D210F0" w:rsidRPr="00092ED7" w:rsidRDefault="00D210F0" w:rsidP="005D14E2">
            <w:pPr>
              <w:spacing w:after="0"/>
              <w:rPr>
                <w:rFonts w:cs="Times New Roman"/>
                <w:sz w:val="20"/>
                <w:szCs w:val="20"/>
                <w:lang w:val="sr-Cyrl-CS"/>
              </w:rPr>
            </w:pPr>
          </w:p>
        </w:tc>
        <w:tc>
          <w:tcPr>
            <w:tcW w:w="373"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252D9D2" w14:textId="77777777" w:rsidR="00D210F0" w:rsidRPr="00092ED7" w:rsidRDefault="00D210F0" w:rsidP="005D14E2">
            <w:pPr>
              <w:spacing w:after="0"/>
              <w:rPr>
                <w:rFonts w:cs="Times New Roman"/>
                <w:sz w:val="20"/>
                <w:szCs w:val="20"/>
                <w:lang w:val="sr-Cyrl-CS"/>
              </w:rPr>
            </w:pPr>
          </w:p>
        </w:tc>
        <w:tc>
          <w:tcPr>
            <w:tcW w:w="372"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0F7B0B7C" w14:textId="77777777" w:rsidR="00D210F0" w:rsidRPr="00092ED7" w:rsidRDefault="00D210F0" w:rsidP="005D14E2">
            <w:pPr>
              <w:spacing w:after="0"/>
              <w:rPr>
                <w:rFonts w:cs="Times New Roman"/>
                <w:sz w:val="20"/>
                <w:szCs w:val="20"/>
                <w:lang w:val="sr-Cyrl-CS"/>
              </w:rPr>
            </w:pPr>
          </w:p>
        </w:tc>
        <w:tc>
          <w:tcPr>
            <w:tcW w:w="373" w:type="dxa"/>
            <w:tcBorders>
              <w:top w:val="single" w:sz="4" w:space="0" w:color="auto"/>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7E743E61" w14:textId="77777777" w:rsidR="00D210F0" w:rsidRPr="00092ED7" w:rsidRDefault="00D210F0" w:rsidP="005D14E2">
            <w:pPr>
              <w:spacing w:after="0"/>
              <w:rPr>
                <w:rFonts w:cs="Times New Roman"/>
                <w:sz w:val="20"/>
                <w:szCs w:val="20"/>
                <w:lang w:val="sr-Cyrl-CS"/>
              </w:rPr>
            </w:pPr>
          </w:p>
        </w:tc>
        <w:tc>
          <w:tcPr>
            <w:tcW w:w="372"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C8A0121" w14:textId="77777777" w:rsidR="00D210F0" w:rsidRPr="00092ED7" w:rsidRDefault="00D210F0" w:rsidP="005D14E2">
            <w:pPr>
              <w:spacing w:after="0"/>
              <w:rPr>
                <w:rFonts w:cs="Times New Roman"/>
                <w:sz w:val="20"/>
                <w:szCs w:val="20"/>
                <w:lang w:val="sr-Cyrl-CS"/>
              </w:rPr>
            </w:pPr>
          </w:p>
        </w:tc>
        <w:tc>
          <w:tcPr>
            <w:tcW w:w="373"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55A2C6C" w14:textId="77777777" w:rsidR="00D210F0" w:rsidRPr="00092ED7" w:rsidRDefault="00D210F0" w:rsidP="005D14E2">
            <w:pPr>
              <w:spacing w:after="0"/>
              <w:rPr>
                <w:rFonts w:cs="Times New Roman"/>
                <w:sz w:val="20"/>
                <w:szCs w:val="20"/>
                <w:lang w:val="sr-Cyrl-CS"/>
              </w:rPr>
            </w:pPr>
          </w:p>
        </w:tc>
        <w:tc>
          <w:tcPr>
            <w:tcW w:w="373"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F67187B" w14:textId="77777777" w:rsidR="00D210F0" w:rsidRPr="00092ED7" w:rsidRDefault="00D210F0" w:rsidP="005D14E2">
            <w:pPr>
              <w:spacing w:after="0"/>
              <w:rPr>
                <w:rFonts w:cs="Times New Roman"/>
                <w:sz w:val="20"/>
                <w:szCs w:val="20"/>
                <w:lang w:val="sr-Cyrl-CS"/>
              </w:rPr>
            </w:pPr>
          </w:p>
        </w:tc>
        <w:tc>
          <w:tcPr>
            <w:tcW w:w="372" w:type="dxa"/>
            <w:tcBorders>
              <w:top w:val="single" w:sz="4" w:space="0" w:color="auto"/>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4122FA14" w14:textId="77777777" w:rsidR="00D210F0" w:rsidRPr="00092ED7" w:rsidRDefault="00D210F0" w:rsidP="005D14E2">
            <w:pPr>
              <w:spacing w:after="0"/>
              <w:rPr>
                <w:rFonts w:cs="Times New Roman"/>
                <w:sz w:val="20"/>
                <w:szCs w:val="20"/>
                <w:lang w:val="sr-Cyrl-CS"/>
              </w:rPr>
            </w:pPr>
          </w:p>
        </w:tc>
        <w:tc>
          <w:tcPr>
            <w:tcW w:w="373"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75E0B178" w14:textId="77777777" w:rsidR="00D210F0" w:rsidRPr="00092ED7" w:rsidRDefault="00D210F0" w:rsidP="005D14E2">
            <w:pPr>
              <w:spacing w:after="0"/>
              <w:rPr>
                <w:rFonts w:cs="Times New Roman"/>
                <w:sz w:val="20"/>
                <w:szCs w:val="20"/>
                <w:lang w:val="sr-Cyrl-CS"/>
              </w:rPr>
            </w:pPr>
          </w:p>
        </w:tc>
        <w:tc>
          <w:tcPr>
            <w:tcW w:w="372"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4805517D" w14:textId="77777777" w:rsidR="00D210F0" w:rsidRPr="00092ED7" w:rsidRDefault="00D210F0" w:rsidP="005D14E2">
            <w:pPr>
              <w:spacing w:after="0"/>
              <w:rPr>
                <w:rFonts w:cs="Times New Roman"/>
                <w:sz w:val="20"/>
                <w:szCs w:val="20"/>
                <w:lang w:val="sr-Cyrl-CS"/>
              </w:rPr>
            </w:pPr>
          </w:p>
        </w:tc>
        <w:tc>
          <w:tcPr>
            <w:tcW w:w="373"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0F13FCDC" w14:textId="77777777" w:rsidR="00D210F0" w:rsidRPr="00092ED7" w:rsidRDefault="00D210F0" w:rsidP="005D14E2">
            <w:pPr>
              <w:spacing w:after="0"/>
              <w:rPr>
                <w:rFonts w:cs="Times New Roman"/>
                <w:sz w:val="20"/>
                <w:szCs w:val="20"/>
                <w:lang w:val="sr-Cyrl-CS"/>
              </w:rPr>
            </w:pPr>
          </w:p>
        </w:tc>
        <w:tc>
          <w:tcPr>
            <w:tcW w:w="373" w:type="dxa"/>
            <w:tcBorders>
              <w:top w:val="single" w:sz="4" w:space="0" w:color="auto"/>
              <w:left w:val="nil"/>
              <w:bottom w:val="single" w:sz="4" w:space="0" w:color="auto"/>
              <w:right w:val="single" w:sz="8" w:space="0" w:color="auto"/>
            </w:tcBorders>
            <w:shd w:val="clear" w:color="auto" w:fill="auto"/>
            <w:tcMar>
              <w:top w:w="15" w:type="dxa"/>
              <w:left w:w="15" w:type="dxa"/>
              <w:bottom w:w="0" w:type="dxa"/>
              <w:right w:w="15" w:type="dxa"/>
            </w:tcMar>
          </w:tcPr>
          <w:p w14:paraId="0CD82C3D" w14:textId="77777777" w:rsidR="00D210F0" w:rsidRPr="00092ED7" w:rsidRDefault="00D210F0" w:rsidP="005D14E2">
            <w:pPr>
              <w:spacing w:after="0"/>
              <w:rPr>
                <w:rFonts w:cs="Times New Roman"/>
                <w:sz w:val="20"/>
                <w:szCs w:val="20"/>
                <w:lang w:val="sr-Cyrl-CS"/>
              </w:rPr>
            </w:pPr>
          </w:p>
        </w:tc>
      </w:tr>
      <w:tr w:rsidR="00360EBA" w:rsidRPr="00092ED7" w14:paraId="7A201DD3" w14:textId="77777777" w:rsidTr="00095DBE">
        <w:trPr>
          <w:trHeight w:val="300"/>
        </w:trPr>
        <w:tc>
          <w:tcPr>
            <w:tcW w:w="425" w:type="dxa"/>
            <w:tcBorders>
              <w:top w:val="single" w:sz="4" w:space="0" w:color="auto"/>
              <w:left w:val="single" w:sz="8" w:space="0" w:color="auto"/>
              <w:bottom w:val="single" w:sz="4" w:space="0" w:color="auto"/>
              <w:right w:val="nil"/>
            </w:tcBorders>
            <w:shd w:val="clear" w:color="auto" w:fill="auto"/>
            <w:tcMar>
              <w:top w:w="15" w:type="dxa"/>
              <w:left w:w="15" w:type="dxa"/>
              <w:bottom w:w="0" w:type="dxa"/>
              <w:right w:w="15" w:type="dxa"/>
            </w:tcMar>
          </w:tcPr>
          <w:p w14:paraId="309CB841" w14:textId="77777777" w:rsidR="00D210F0" w:rsidRPr="00092ED7" w:rsidRDefault="00D210F0" w:rsidP="005D14E2">
            <w:pPr>
              <w:spacing w:after="0"/>
              <w:jc w:val="center"/>
              <w:rPr>
                <w:rFonts w:cs="Times New Roman"/>
                <w:bCs/>
                <w:sz w:val="20"/>
                <w:szCs w:val="20"/>
                <w:lang w:val="sr-Cyrl-CS"/>
              </w:rPr>
            </w:pPr>
            <w:r w:rsidRPr="00092ED7">
              <w:rPr>
                <w:rFonts w:cs="Times New Roman"/>
                <w:bCs/>
                <w:sz w:val="20"/>
                <w:szCs w:val="20"/>
                <w:lang w:val="sr-Cyrl-CS"/>
              </w:rPr>
              <w:t>2.</w:t>
            </w:r>
          </w:p>
        </w:tc>
        <w:tc>
          <w:tcPr>
            <w:tcW w:w="4243" w:type="dxa"/>
            <w:tcBorders>
              <w:top w:val="single" w:sz="4" w:space="0" w:color="auto"/>
              <w:left w:val="single" w:sz="8" w:space="0" w:color="auto"/>
              <w:bottom w:val="single" w:sz="4" w:space="0" w:color="auto"/>
              <w:right w:val="nil"/>
            </w:tcBorders>
            <w:shd w:val="clear" w:color="auto" w:fill="auto"/>
            <w:tcMar>
              <w:top w:w="15" w:type="dxa"/>
              <w:left w:w="15" w:type="dxa"/>
              <w:bottom w:w="0" w:type="dxa"/>
              <w:right w:w="15" w:type="dxa"/>
            </w:tcMar>
          </w:tcPr>
          <w:p w14:paraId="07555262" w14:textId="77777777" w:rsidR="00D210F0" w:rsidRPr="00092ED7" w:rsidRDefault="00D210F0" w:rsidP="005D14E2">
            <w:pPr>
              <w:spacing w:after="0"/>
              <w:ind w:right="213"/>
              <w:rPr>
                <w:rFonts w:cs="Times New Roman"/>
                <w:sz w:val="20"/>
                <w:szCs w:val="20"/>
                <w:lang w:val="sr-Cyrl-CS"/>
              </w:rPr>
            </w:pPr>
            <w:r w:rsidRPr="00092ED7">
              <w:rPr>
                <w:rFonts w:cs="Times New Roman"/>
                <w:sz w:val="20"/>
                <w:szCs w:val="20"/>
                <w:lang w:val="sr-Cyrl-CS"/>
              </w:rPr>
              <w:t>Оптимизација административних поступака за привреду и грађане</w:t>
            </w:r>
          </w:p>
        </w:tc>
        <w:tc>
          <w:tcPr>
            <w:tcW w:w="372" w:type="dxa"/>
            <w:tcBorders>
              <w:top w:val="single" w:sz="4" w:space="0" w:color="auto"/>
              <w:left w:val="single" w:sz="8"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F4638FD" w14:textId="77777777" w:rsidR="00D210F0" w:rsidRPr="00092ED7" w:rsidRDefault="00D210F0" w:rsidP="005D14E2">
            <w:pPr>
              <w:spacing w:after="0"/>
              <w:rPr>
                <w:rFonts w:cs="Times New Roman"/>
                <w:sz w:val="20"/>
                <w:szCs w:val="20"/>
                <w:lang w:val="sr-Cyrl-CS"/>
              </w:rPr>
            </w:pPr>
          </w:p>
        </w:tc>
        <w:tc>
          <w:tcPr>
            <w:tcW w:w="373"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405355F" w14:textId="77777777" w:rsidR="00D210F0" w:rsidRPr="00092ED7" w:rsidRDefault="00D210F0" w:rsidP="005D14E2">
            <w:pPr>
              <w:spacing w:after="0"/>
              <w:rPr>
                <w:rFonts w:cs="Times New Roman"/>
                <w:sz w:val="20"/>
                <w:szCs w:val="20"/>
                <w:lang w:val="sr-Cyrl-CS"/>
              </w:rPr>
            </w:pPr>
          </w:p>
        </w:tc>
        <w:tc>
          <w:tcPr>
            <w:tcW w:w="372"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06DD7A45" w14:textId="77777777" w:rsidR="00D210F0" w:rsidRPr="00092ED7" w:rsidRDefault="00D210F0" w:rsidP="005D14E2">
            <w:pPr>
              <w:spacing w:after="0"/>
              <w:rPr>
                <w:rFonts w:cs="Times New Roman"/>
                <w:sz w:val="20"/>
                <w:szCs w:val="20"/>
                <w:lang w:val="sr-Cyrl-CS"/>
              </w:rPr>
            </w:pPr>
          </w:p>
        </w:tc>
        <w:tc>
          <w:tcPr>
            <w:tcW w:w="373" w:type="dxa"/>
            <w:tcBorders>
              <w:top w:val="single" w:sz="4" w:space="0" w:color="auto"/>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79A86D2C" w14:textId="77777777" w:rsidR="00D210F0" w:rsidRPr="00092ED7" w:rsidRDefault="00D210F0" w:rsidP="005D14E2">
            <w:pPr>
              <w:spacing w:after="0"/>
              <w:rPr>
                <w:rFonts w:cs="Times New Roman"/>
                <w:sz w:val="20"/>
                <w:szCs w:val="20"/>
                <w:lang w:val="sr-Cyrl-CS"/>
              </w:rPr>
            </w:pPr>
          </w:p>
        </w:tc>
        <w:tc>
          <w:tcPr>
            <w:tcW w:w="372"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D713575" w14:textId="77777777" w:rsidR="00D210F0" w:rsidRPr="00092ED7" w:rsidRDefault="00D210F0" w:rsidP="005D14E2">
            <w:pPr>
              <w:spacing w:after="0"/>
              <w:rPr>
                <w:rFonts w:cs="Times New Roman"/>
                <w:sz w:val="20"/>
                <w:szCs w:val="20"/>
                <w:lang w:val="sr-Cyrl-CS"/>
              </w:rPr>
            </w:pPr>
          </w:p>
        </w:tc>
        <w:tc>
          <w:tcPr>
            <w:tcW w:w="373"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0B1CA8BE" w14:textId="77777777" w:rsidR="00D210F0" w:rsidRPr="00092ED7" w:rsidRDefault="00D210F0" w:rsidP="005D14E2">
            <w:pPr>
              <w:spacing w:after="0"/>
              <w:rPr>
                <w:rFonts w:cs="Times New Roman"/>
                <w:sz w:val="20"/>
                <w:szCs w:val="20"/>
                <w:lang w:val="sr-Cyrl-CS"/>
              </w:rPr>
            </w:pPr>
          </w:p>
        </w:tc>
        <w:tc>
          <w:tcPr>
            <w:tcW w:w="373"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5822F54" w14:textId="77777777" w:rsidR="00D210F0" w:rsidRPr="00092ED7" w:rsidRDefault="00D210F0" w:rsidP="005D14E2">
            <w:pPr>
              <w:spacing w:after="0"/>
              <w:rPr>
                <w:rFonts w:cs="Times New Roman"/>
                <w:sz w:val="20"/>
                <w:szCs w:val="20"/>
                <w:lang w:val="sr-Cyrl-CS"/>
              </w:rPr>
            </w:pPr>
          </w:p>
        </w:tc>
        <w:tc>
          <w:tcPr>
            <w:tcW w:w="372" w:type="dxa"/>
            <w:tcBorders>
              <w:top w:val="single" w:sz="4" w:space="0" w:color="auto"/>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4E5E8D18" w14:textId="77777777" w:rsidR="00D210F0" w:rsidRPr="00092ED7" w:rsidRDefault="00D210F0" w:rsidP="005D14E2">
            <w:pPr>
              <w:spacing w:after="0"/>
              <w:rPr>
                <w:rFonts w:cs="Times New Roman"/>
                <w:sz w:val="20"/>
                <w:szCs w:val="20"/>
                <w:lang w:val="sr-Cyrl-CS"/>
              </w:rPr>
            </w:pPr>
          </w:p>
        </w:tc>
        <w:tc>
          <w:tcPr>
            <w:tcW w:w="373"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C57BAEC" w14:textId="77777777" w:rsidR="00D210F0" w:rsidRPr="00092ED7" w:rsidRDefault="00D210F0" w:rsidP="005D14E2">
            <w:pPr>
              <w:spacing w:after="0"/>
              <w:rPr>
                <w:rFonts w:cs="Times New Roman"/>
                <w:sz w:val="20"/>
                <w:szCs w:val="20"/>
                <w:lang w:val="sr-Cyrl-CS"/>
              </w:rPr>
            </w:pPr>
          </w:p>
        </w:tc>
        <w:tc>
          <w:tcPr>
            <w:tcW w:w="372"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CAAA41B" w14:textId="77777777" w:rsidR="00D210F0" w:rsidRPr="00092ED7" w:rsidRDefault="00D210F0" w:rsidP="005D14E2">
            <w:pPr>
              <w:spacing w:after="0"/>
              <w:rPr>
                <w:rFonts w:cs="Times New Roman"/>
                <w:sz w:val="20"/>
                <w:szCs w:val="20"/>
                <w:lang w:val="sr-Cyrl-CS"/>
              </w:rPr>
            </w:pPr>
          </w:p>
        </w:tc>
        <w:tc>
          <w:tcPr>
            <w:tcW w:w="373"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9669EBC" w14:textId="77777777" w:rsidR="00D210F0" w:rsidRPr="00092ED7" w:rsidRDefault="00D210F0" w:rsidP="005D14E2">
            <w:pPr>
              <w:spacing w:after="0"/>
              <w:rPr>
                <w:rFonts w:cs="Times New Roman"/>
                <w:sz w:val="20"/>
                <w:szCs w:val="20"/>
                <w:lang w:val="sr-Cyrl-CS"/>
              </w:rPr>
            </w:pPr>
          </w:p>
        </w:tc>
        <w:tc>
          <w:tcPr>
            <w:tcW w:w="373" w:type="dxa"/>
            <w:tcBorders>
              <w:top w:val="single" w:sz="4" w:space="0" w:color="auto"/>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20E4871D" w14:textId="77777777" w:rsidR="00D210F0" w:rsidRPr="00092ED7" w:rsidRDefault="00D210F0" w:rsidP="005D14E2">
            <w:pPr>
              <w:spacing w:after="0"/>
              <w:rPr>
                <w:rFonts w:cs="Times New Roman"/>
                <w:sz w:val="20"/>
                <w:szCs w:val="20"/>
                <w:lang w:val="sr-Cyrl-CS"/>
              </w:rPr>
            </w:pPr>
          </w:p>
        </w:tc>
      </w:tr>
      <w:tr w:rsidR="00BE2B7C" w:rsidRPr="00092ED7" w14:paraId="0FA2F524" w14:textId="77777777" w:rsidTr="000B4F8A">
        <w:trPr>
          <w:trHeight w:val="300"/>
        </w:trPr>
        <w:tc>
          <w:tcPr>
            <w:tcW w:w="425" w:type="dxa"/>
            <w:tcBorders>
              <w:top w:val="nil"/>
              <w:left w:val="single" w:sz="8" w:space="0" w:color="auto"/>
              <w:bottom w:val="single" w:sz="4" w:space="0" w:color="auto"/>
              <w:right w:val="nil"/>
            </w:tcBorders>
            <w:shd w:val="clear" w:color="auto" w:fill="auto"/>
            <w:tcMar>
              <w:top w:w="15" w:type="dxa"/>
              <w:left w:w="15" w:type="dxa"/>
              <w:bottom w:w="0" w:type="dxa"/>
              <w:right w:w="15" w:type="dxa"/>
            </w:tcMar>
          </w:tcPr>
          <w:p w14:paraId="3D2533FE" w14:textId="77777777" w:rsidR="00D210F0" w:rsidRPr="00092ED7" w:rsidRDefault="00D210F0" w:rsidP="005D14E2">
            <w:pPr>
              <w:spacing w:after="0"/>
              <w:jc w:val="center"/>
              <w:rPr>
                <w:rFonts w:cs="Times New Roman"/>
                <w:bCs/>
                <w:sz w:val="20"/>
                <w:szCs w:val="20"/>
                <w:lang w:val="sr-Cyrl-CS"/>
              </w:rPr>
            </w:pPr>
            <w:r w:rsidRPr="00092ED7">
              <w:rPr>
                <w:rFonts w:cs="Times New Roman"/>
                <w:bCs/>
                <w:sz w:val="20"/>
                <w:szCs w:val="20"/>
                <w:lang w:val="sr-Cyrl-CS"/>
              </w:rPr>
              <w:t>3.</w:t>
            </w:r>
          </w:p>
        </w:tc>
        <w:tc>
          <w:tcPr>
            <w:tcW w:w="4243" w:type="dxa"/>
            <w:tcBorders>
              <w:top w:val="nil"/>
              <w:left w:val="single" w:sz="8" w:space="0" w:color="auto"/>
              <w:bottom w:val="single" w:sz="4" w:space="0" w:color="auto"/>
              <w:right w:val="single" w:sz="4" w:space="0" w:color="auto"/>
            </w:tcBorders>
            <w:shd w:val="clear" w:color="auto" w:fill="auto"/>
            <w:tcMar>
              <w:top w:w="15" w:type="dxa"/>
              <w:left w:w="15" w:type="dxa"/>
              <w:bottom w:w="0" w:type="dxa"/>
              <w:right w:w="15" w:type="dxa"/>
            </w:tcMar>
          </w:tcPr>
          <w:p w14:paraId="5748795A" w14:textId="77777777" w:rsidR="00D210F0" w:rsidRPr="00092ED7" w:rsidRDefault="00D210F0" w:rsidP="005D14E2">
            <w:pPr>
              <w:spacing w:after="0"/>
              <w:ind w:right="213"/>
              <w:rPr>
                <w:rFonts w:cs="Times New Roman"/>
                <w:sz w:val="20"/>
                <w:szCs w:val="20"/>
                <w:lang w:val="sr-Cyrl-CS"/>
              </w:rPr>
            </w:pPr>
            <w:r w:rsidRPr="00092ED7">
              <w:rPr>
                <w:rFonts w:cs="Times New Roman"/>
                <w:sz w:val="20"/>
                <w:szCs w:val="20"/>
                <w:lang w:val="sr-Cyrl-CS"/>
              </w:rPr>
              <w:t>Дигитализација административних поступака за привреду и грађане и креирање дигиталних пословних епизода</w:t>
            </w:r>
          </w:p>
        </w:tc>
        <w:tc>
          <w:tcPr>
            <w:tcW w:w="372" w:type="dxa"/>
            <w:tcBorders>
              <w:top w:val="nil"/>
              <w:left w:val="single" w:sz="8"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26468FC" w14:textId="77777777" w:rsidR="00D210F0" w:rsidRPr="00092ED7" w:rsidRDefault="00D210F0" w:rsidP="005D14E2">
            <w:pPr>
              <w:spacing w:after="0"/>
              <w:rPr>
                <w:rFonts w:cs="Times New Roman"/>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311C459E" w14:textId="77777777" w:rsidR="00D210F0" w:rsidRPr="00092ED7" w:rsidRDefault="00D210F0" w:rsidP="005D14E2">
            <w:pPr>
              <w:spacing w:after="0"/>
              <w:rPr>
                <w:rFonts w:cs="Times New Roman"/>
                <w:sz w:val="20"/>
                <w:szCs w:val="20"/>
                <w:lang w:val="sr-Cyrl-CS"/>
              </w:rPr>
            </w:pP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24A78F79" w14:textId="77777777" w:rsidR="00D210F0" w:rsidRPr="00092ED7" w:rsidRDefault="00D210F0" w:rsidP="005D14E2">
            <w:pPr>
              <w:spacing w:after="0"/>
              <w:rPr>
                <w:rFonts w:cs="Times New Roman"/>
                <w:sz w:val="20"/>
                <w:szCs w:val="20"/>
                <w:lang w:val="sr-Cyrl-CS"/>
              </w:rPr>
            </w:pPr>
          </w:p>
        </w:tc>
        <w:tc>
          <w:tcPr>
            <w:tcW w:w="373"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4B37DCF6" w14:textId="77777777" w:rsidR="00D210F0" w:rsidRPr="00092ED7" w:rsidRDefault="00D210F0" w:rsidP="005D14E2">
            <w:pPr>
              <w:spacing w:after="0"/>
              <w:rPr>
                <w:rFonts w:cs="Times New Roman"/>
                <w:sz w:val="20"/>
                <w:szCs w:val="20"/>
                <w:lang w:val="sr-Cyrl-CS"/>
              </w:rPr>
            </w:pP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3924B890" w14:textId="77777777" w:rsidR="00D210F0" w:rsidRPr="00092ED7" w:rsidRDefault="00D210F0" w:rsidP="005D14E2">
            <w:pPr>
              <w:spacing w:after="0"/>
              <w:rPr>
                <w:rFonts w:cs="Times New Roman"/>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0C93511" w14:textId="77777777" w:rsidR="00D210F0" w:rsidRPr="00092ED7" w:rsidRDefault="00D210F0" w:rsidP="005D14E2">
            <w:pPr>
              <w:spacing w:after="0"/>
              <w:rPr>
                <w:rFonts w:cs="Times New Roman"/>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205B553" w14:textId="77777777" w:rsidR="00D210F0" w:rsidRPr="00092ED7" w:rsidRDefault="00D210F0" w:rsidP="005D14E2">
            <w:pPr>
              <w:spacing w:after="0"/>
              <w:rPr>
                <w:rFonts w:cs="Times New Roman"/>
                <w:sz w:val="20"/>
                <w:szCs w:val="20"/>
                <w:lang w:val="sr-Cyrl-CS"/>
              </w:rPr>
            </w:pPr>
          </w:p>
        </w:tc>
        <w:tc>
          <w:tcPr>
            <w:tcW w:w="372"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400A1D6D" w14:textId="77777777" w:rsidR="00D210F0" w:rsidRPr="00092ED7" w:rsidRDefault="00D210F0" w:rsidP="005D14E2">
            <w:pPr>
              <w:spacing w:after="0"/>
              <w:rPr>
                <w:rFonts w:cs="Times New Roman"/>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F17A421" w14:textId="77777777" w:rsidR="00D210F0" w:rsidRPr="00092ED7" w:rsidRDefault="00D210F0" w:rsidP="005D14E2">
            <w:pPr>
              <w:spacing w:after="0"/>
              <w:rPr>
                <w:rFonts w:cs="Times New Roman"/>
                <w:sz w:val="20"/>
                <w:szCs w:val="20"/>
                <w:lang w:val="sr-Cyrl-CS"/>
              </w:rPr>
            </w:pP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29007569" w14:textId="77777777" w:rsidR="00D210F0" w:rsidRPr="00092ED7" w:rsidRDefault="00D210F0" w:rsidP="005D14E2">
            <w:pPr>
              <w:spacing w:after="0"/>
              <w:rPr>
                <w:rFonts w:cs="Times New Roman"/>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1A4F472" w14:textId="77777777" w:rsidR="00D210F0" w:rsidRPr="00092ED7" w:rsidRDefault="00D210F0" w:rsidP="005D14E2">
            <w:pPr>
              <w:spacing w:after="0"/>
              <w:rPr>
                <w:rFonts w:cs="Times New Roman"/>
                <w:sz w:val="20"/>
                <w:szCs w:val="20"/>
                <w:lang w:val="sr-Cyrl-CS"/>
              </w:rPr>
            </w:pPr>
          </w:p>
        </w:tc>
        <w:tc>
          <w:tcPr>
            <w:tcW w:w="373"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00426ED8" w14:textId="77777777" w:rsidR="00D210F0" w:rsidRPr="00092ED7" w:rsidRDefault="00D210F0" w:rsidP="005D14E2">
            <w:pPr>
              <w:spacing w:after="0"/>
              <w:rPr>
                <w:rFonts w:cs="Times New Roman"/>
                <w:sz w:val="20"/>
                <w:szCs w:val="20"/>
                <w:lang w:val="sr-Cyrl-CS"/>
              </w:rPr>
            </w:pPr>
          </w:p>
        </w:tc>
      </w:tr>
      <w:tr w:rsidR="00D210F0" w:rsidRPr="00092ED7" w14:paraId="7F402296" w14:textId="77777777" w:rsidTr="00AE4362">
        <w:trPr>
          <w:trHeight w:val="300"/>
        </w:trPr>
        <w:tc>
          <w:tcPr>
            <w:tcW w:w="4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79A3210C" w14:textId="77777777" w:rsidR="00D210F0" w:rsidRPr="00092ED7" w:rsidRDefault="00D210F0" w:rsidP="005D14E2">
            <w:pPr>
              <w:spacing w:after="0"/>
              <w:jc w:val="center"/>
              <w:rPr>
                <w:rFonts w:cs="Times New Roman"/>
                <w:bCs/>
                <w:sz w:val="20"/>
                <w:szCs w:val="20"/>
                <w:lang w:val="sr-Cyrl-CS"/>
              </w:rPr>
            </w:pPr>
            <w:r w:rsidRPr="00092ED7">
              <w:rPr>
                <w:rFonts w:cs="Times New Roman"/>
                <w:bCs/>
                <w:sz w:val="20"/>
                <w:szCs w:val="20"/>
                <w:lang w:val="sr-Cyrl-CS"/>
              </w:rPr>
              <w:t>4.</w:t>
            </w:r>
          </w:p>
        </w:tc>
        <w:tc>
          <w:tcPr>
            <w:tcW w:w="4243"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0237AFB2" w14:textId="77777777" w:rsidR="00D210F0" w:rsidRPr="00092ED7" w:rsidRDefault="00D210F0" w:rsidP="005D14E2">
            <w:pPr>
              <w:spacing w:after="0"/>
              <w:ind w:right="213"/>
              <w:rPr>
                <w:rFonts w:cs="Times New Roman"/>
                <w:sz w:val="20"/>
                <w:szCs w:val="20"/>
                <w:lang w:val="sr-Cyrl-CS"/>
              </w:rPr>
            </w:pPr>
            <w:r w:rsidRPr="00092ED7">
              <w:rPr>
                <w:rFonts w:cs="Times New Roman"/>
                <w:sz w:val="20"/>
                <w:szCs w:val="20"/>
                <w:lang w:val="sr-Cyrl-CS"/>
              </w:rPr>
              <w:t xml:space="preserve">Попис и оптимизација административних захтева (услова пословања) </w:t>
            </w:r>
          </w:p>
        </w:tc>
        <w:tc>
          <w:tcPr>
            <w:tcW w:w="37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2D5BFFBB" w14:textId="77777777" w:rsidR="00D210F0" w:rsidRPr="00092ED7" w:rsidRDefault="00D210F0" w:rsidP="005D14E2">
            <w:pPr>
              <w:spacing w:after="0"/>
              <w:rPr>
                <w:rFonts w:cs="Times New Roman"/>
                <w:sz w:val="20"/>
                <w:szCs w:val="20"/>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3D6E6807" w14:textId="77777777" w:rsidR="00D210F0" w:rsidRPr="00092ED7" w:rsidRDefault="00D210F0" w:rsidP="005D14E2">
            <w:pPr>
              <w:spacing w:after="0"/>
              <w:rPr>
                <w:rFonts w:cs="Times New Roman"/>
                <w:sz w:val="20"/>
                <w:szCs w:val="20"/>
                <w:lang w:val="sr-Cyrl-CS"/>
              </w:rPr>
            </w:pPr>
          </w:p>
        </w:tc>
        <w:tc>
          <w:tcPr>
            <w:tcW w:w="37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F999CC6" w14:textId="77777777" w:rsidR="00D210F0" w:rsidRPr="00092ED7" w:rsidRDefault="00D210F0" w:rsidP="005D14E2">
            <w:pPr>
              <w:spacing w:after="0"/>
              <w:rPr>
                <w:rFonts w:cs="Times New Roman"/>
                <w:sz w:val="20"/>
                <w:szCs w:val="20"/>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32035AA" w14:textId="77777777" w:rsidR="00D210F0" w:rsidRPr="00092ED7" w:rsidRDefault="00D210F0" w:rsidP="005D14E2">
            <w:pPr>
              <w:spacing w:after="0"/>
              <w:rPr>
                <w:rFonts w:cs="Times New Roman"/>
                <w:sz w:val="20"/>
                <w:szCs w:val="20"/>
                <w:lang w:val="sr-Cyrl-CS"/>
              </w:rPr>
            </w:pPr>
          </w:p>
        </w:tc>
        <w:tc>
          <w:tcPr>
            <w:tcW w:w="37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5B79D84" w14:textId="77777777" w:rsidR="00D210F0" w:rsidRPr="00092ED7" w:rsidRDefault="00D210F0" w:rsidP="005D14E2">
            <w:pPr>
              <w:spacing w:after="0"/>
              <w:rPr>
                <w:rFonts w:cs="Times New Roman"/>
                <w:sz w:val="20"/>
                <w:szCs w:val="20"/>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02293DD" w14:textId="77777777" w:rsidR="00D210F0" w:rsidRPr="00092ED7" w:rsidRDefault="00D210F0" w:rsidP="005D14E2">
            <w:pPr>
              <w:spacing w:after="0"/>
              <w:rPr>
                <w:rFonts w:cs="Times New Roman"/>
                <w:sz w:val="20"/>
                <w:szCs w:val="20"/>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098F66FF" w14:textId="77777777" w:rsidR="00D210F0" w:rsidRPr="00092ED7" w:rsidRDefault="00D210F0" w:rsidP="005D14E2">
            <w:pPr>
              <w:spacing w:after="0"/>
              <w:rPr>
                <w:rFonts w:cs="Times New Roman"/>
                <w:sz w:val="20"/>
                <w:szCs w:val="20"/>
                <w:lang w:val="sr-Cyrl-CS"/>
              </w:rPr>
            </w:pPr>
          </w:p>
        </w:tc>
        <w:tc>
          <w:tcPr>
            <w:tcW w:w="37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D6EF2B7" w14:textId="77777777" w:rsidR="00D210F0" w:rsidRPr="00092ED7" w:rsidRDefault="00D210F0" w:rsidP="005D14E2">
            <w:pPr>
              <w:spacing w:after="0"/>
              <w:rPr>
                <w:rFonts w:cs="Times New Roman"/>
                <w:sz w:val="20"/>
                <w:szCs w:val="20"/>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04624B86" w14:textId="77777777" w:rsidR="00D210F0" w:rsidRPr="00092ED7" w:rsidRDefault="00D210F0" w:rsidP="005D14E2">
            <w:pPr>
              <w:spacing w:after="0"/>
              <w:rPr>
                <w:rFonts w:cs="Times New Roman"/>
                <w:sz w:val="20"/>
                <w:szCs w:val="20"/>
                <w:lang w:val="sr-Cyrl-CS"/>
              </w:rPr>
            </w:pPr>
          </w:p>
        </w:tc>
        <w:tc>
          <w:tcPr>
            <w:tcW w:w="372"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49F7FC84" w14:textId="77777777" w:rsidR="00D210F0" w:rsidRPr="00092ED7" w:rsidRDefault="00D210F0" w:rsidP="005D14E2">
            <w:pPr>
              <w:spacing w:after="0"/>
              <w:rPr>
                <w:rFonts w:cs="Times New Roman"/>
                <w:sz w:val="20"/>
                <w:szCs w:val="20"/>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499F2D91" w14:textId="77777777" w:rsidR="00D210F0" w:rsidRPr="00092ED7" w:rsidRDefault="00D210F0" w:rsidP="005D14E2">
            <w:pPr>
              <w:spacing w:after="0"/>
              <w:rPr>
                <w:rFonts w:cs="Times New Roman"/>
                <w:sz w:val="20"/>
                <w:szCs w:val="20"/>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7AA3F6CD" w14:textId="77777777" w:rsidR="00D210F0" w:rsidRPr="00092ED7" w:rsidRDefault="00D210F0" w:rsidP="005D14E2">
            <w:pPr>
              <w:spacing w:after="0"/>
              <w:rPr>
                <w:rFonts w:cs="Times New Roman"/>
                <w:sz w:val="20"/>
                <w:szCs w:val="20"/>
                <w:lang w:val="sr-Cyrl-CS"/>
              </w:rPr>
            </w:pPr>
          </w:p>
        </w:tc>
      </w:tr>
      <w:tr w:rsidR="00D7672A" w:rsidRPr="00092ED7" w14:paraId="01192AC5" w14:textId="77777777" w:rsidTr="00D7672A">
        <w:trPr>
          <w:trHeight w:val="300"/>
        </w:trPr>
        <w:tc>
          <w:tcPr>
            <w:tcW w:w="4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5A7BC81B" w14:textId="77777777" w:rsidR="00D210F0" w:rsidRPr="00092ED7" w:rsidRDefault="00D210F0" w:rsidP="005D14E2">
            <w:pPr>
              <w:spacing w:after="0"/>
              <w:jc w:val="center"/>
              <w:rPr>
                <w:rFonts w:cs="Times New Roman"/>
                <w:bCs/>
                <w:sz w:val="20"/>
                <w:szCs w:val="20"/>
                <w:lang w:val="sr-Cyrl-CS"/>
              </w:rPr>
            </w:pPr>
            <w:r w:rsidRPr="00092ED7">
              <w:rPr>
                <w:rFonts w:cs="Times New Roman"/>
                <w:bCs/>
                <w:sz w:val="20"/>
                <w:szCs w:val="20"/>
                <w:lang w:val="sr-Cyrl-CS"/>
              </w:rPr>
              <w:t>5.</w:t>
            </w:r>
          </w:p>
        </w:tc>
        <w:tc>
          <w:tcPr>
            <w:tcW w:w="4243"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59B89823" w14:textId="77777777" w:rsidR="00D210F0" w:rsidRPr="00092ED7" w:rsidRDefault="00D210F0" w:rsidP="005D14E2">
            <w:pPr>
              <w:spacing w:after="0"/>
              <w:ind w:right="213"/>
              <w:rPr>
                <w:rFonts w:cs="Times New Roman"/>
                <w:sz w:val="20"/>
                <w:szCs w:val="20"/>
                <w:lang w:val="sr-Cyrl-CS"/>
              </w:rPr>
            </w:pPr>
            <w:r w:rsidRPr="00092ED7">
              <w:rPr>
                <w:rFonts w:cs="Times New Roman"/>
                <w:sz w:val="20"/>
                <w:szCs w:val="20"/>
                <w:lang w:val="sr-Cyrl-CS"/>
              </w:rPr>
              <w:t>Унапређење Регистра административних поступака и његовог портала</w:t>
            </w:r>
          </w:p>
        </w:tc>
        <w:tc>
          <w:tcPr>
            <w:tcW w:w="37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9B158E0" w14:textId="77777777" w:rsidR="00D210F0" w:rsidRPr="00092ED7" w:rsidRDefault="00D210F0" w:rsidP="005D14E2">
            <w:pPr>
              <w:spacing w:after="0"/>
              <w:rPr>
                <w:rFonts w:cs="Times New Roman"/>
                <w:sz w:val="20"/>
                <w:szCs w:val="20"/>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3AB3AE7" w14:textId="77777777" w:rsidR="00D210F0" w:rsidRPr="00092ED7" w:rsidRDefault="00D210F0" w:rsidP="005D14E2">
            <w:pPr>
              <w:spacing w:after="0"/>
              <w:rPr>
                <w:rFonts w:cs="Times New Roman"/>
                <w:sz w:val="20"/>
                <w:szCs w:val="20"/>
                <w:lang w:val="sr-Cyrl-CS"/>
              </w:rPr>
            </w:pPr>
          </w:p>
        </w:tc>
        <w:tc>
          <w:tcPr>
            <w:tcW w:w="37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AFF8C3B" w14:textId="77777777" w:rsidR="00D210F0" w:rsidRPr="00092ED7" w:rsidRDefault="00D210F0" w:rsidP="005D14E2">
            <w:pPr>
              <w:spacing w:after="0"/>
              <w:rPr>
                <w:rFonts w:cs="Times New Roman"/>
                <w:sz w:val="20"/>
                <w:szCs w:val="20"/>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8B384E1" w14:textId="77777777" w:rsidR="00D210F0" w:rsidRPr="00092ED7" w:rsidRDefault="00D210F0" w:rsidP="005D14E2">
            <w:pPr>
              <w:spacing w:after="0"/>
              <w:rPr>
                <w:rFonts w:cs="Times New Roman"/>
                <w:sz w:val="20"/>
                <w:szCs w:val="20"/>
                <w:lang w:val="sr-Cyrl-CS"/>
              </w:rPr>
            </w:pPr>
          </w:p>
        </w:tc>
        <w:tc>
          <w:tcPr>
            <w:tcW w:w="37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9FD9695" w14:textId="77777777" w:rsidR="00D210F0" w:rsidRPr="00092ED7" w:rsidRDefault="00D210F0" w:rsidP="005D14E2">
            <w:pPr>
              <w:spacing w:after="0"/>
              <w:rPr>
                <w:rFonts w:cs="Times New Roman"/>
                <w:sz w:val="20"/>
                <w:szCs w:val="20"/>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086D315" w14:textId="77777777" w:rsidR="00D210F0" w:rsidRPr="00092ED7" w:rsidRDefault="00D210F0" w:rsidP="005D14E2">
            <w:pPr>
              <w:spacing w:after="0"/>
              <w:rPr>
                <w:rFonts w:cs="Times New Roman"/>
                <w:sz w:val="20"/>
                <w:szCs w:val="20"/>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F5C9756" w14:textId="77777777" w:rsidR="00D210F0" w:rsidRPr="00092ED7" w:rsidRDefault="00D210F0" w:rsidP="005D14E2">
            <w:pPr>
              <w:spacing w:after="0"/>
              <w:rPr>
                <w:rFonts w:cs="Times New Roman"/>
                <w:sz w:val="20"/>
                <w:szCs w:val="20"/>
                <w:lang w:val="sr-Cyrl-CS"/>
              </w:rPr>
            </w:pPr>
          </w:p>
        </w:tc>
        <w:tc>
          <w:tcPr>
            <w:tcW w:w="37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3E267564" w14:textId="77777777" w:rsidR="00D210F0" w:rsidRPr="00092ED7" w:rsidRDefault="00D210F0" w:rsidP="005D14E2">
            <w:pPr>
              <w:spacing w:after="0"/>
              <w:rPr>
                <w:rFonts w:cs="Times New Roman"/>
                <w:sz w:val="20"/>
                <w:szCs w:val="20"/>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4724B2D" w14:textId="77777777" w:rsidR="00D210F0" w:rsidRPr="00092ED7" w:rsidRDefault="00D210F0" w:rsidP="005D14E2">
            <w:pPr>
              <w:spacing w:after="0"/>
              <w:rPr>
                <w:rFonts w:cs="Times New Roman"/>
                <w:sz w:val="20"/>
                <w:szCs w:val="20"/>
                <w:lang w:val="sr-Cyrl-CS"/>
              </w:rPr>
            </w:pPr>
          </w:p>
        </w:tc>
        <w:tc>
          <w:tcPr>
            <w:tcW w:w="37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0FBAF2FD" w14:textId="77777777" w:rsidR="00D210F0" w:rsidRPr="00092ED7" w:rsidRDefault="00D210F0" w:rsidP="005D14E2">
            <w:pPr>
              <w:spacing w:after="0"/>
              <w:rPr>
                <w:rFonts w:cs="Times New Roman"/>
                <w:sz w:val="20"/>
                <w:szCs w:val="20"/>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12088E22" w14:textId="77777777" w:rsidR="00D210F0" w:rsidRPr="00092ED7" w:rsidRDefault="00D210F0" w:rsidP="005D14E2">
            <w:pPr>
              <w:spacing w:after="0"/>
              <w:rPr>
                <w:rFonts w:cs="Times New Roman"/>
                <w:sz w:val="20"/>
                <w:szCs w:val="20"/>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6D4166FF" w14:textId="77777777" w:rsidR="00D210F0" w:rsidRPr="00092ED7" w:rsidRDefault="00D210F0" w:rsidP="005D14E2">
            <w:pPr>
              <w:spacing w:after="0"/>
              <w:rPr>
                <w:rFonts w:cs="Times New Roman"/>
                <w:sz w:val="20"/>
                <w:szCs w:val="20"/>
                <w:lang w:val="sr-Cyrl-CS"/>
              </w:rPr>
            </w:pPr>
          </w:p>
        </w:tc>
      </w:tr>
      <w:tr w:rsidR="00D210F0" w:rsidRPr="00092ED7" w14:paraId="6B8EDB83" w14:textId="77777777" w:rsidTr="00AE4362">
        <w:trPr>
          <w:trHeight w:val="300"/>
        </w:trPr>
        <w:tc>
          <w:tcPr>
            <w:tcW w:w="4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3D8A6ADC" w14:textId="77777777" w:rsidR="00D210F0" w:rsidRPr="00092ED7" w:rsidRDefault="00D210F0" w:rsidP="005D14E2">
            <w:pPr>
              <w:spacing w:after="0"/>
              <w:jc w:val="center"/>
              <w:rPr>
                <w:rFonts w:cs="Times New Roman"/>
                <w:bCs/>
                <w:sz w:val="20"/>
                <w:szCs w:val="20"/>
                <w:lang w:val="sr-Cyrl-CS"/>
              </w:rPr>
            </w:pPr>
            <w:r w:rsidRPr="00092ED7">
              <w:rPr>
                <w:rFonts w:cs="Times New Roman"/>
                <w:bCs/>
                <w:sz w:val="20"/>
                <w:szCs w:val="20"/>
                <w:lang w:val="sr-Cyrl-CS"/>
              </w:rPr>
              <w:t>6.</w:t>
            </w:r>
          </w:p>
        </w:tc>
        <w:tc>
          <w:tcPr>
            <w:tcW w:w="4243"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0232429C" w14:textId="77777777" w:rsidR="00D210F0" w:rsidRPr="00092ED7" w:rsidRDefault="00D210F0" w:rsidP="005D14E2">
            <w:pPr>
              <w:spacing w:after="0"/>
              <w:ind w:right="213"/>
              <w:rPr>
                <w:rFonts w:cs="Times New Roman"/>
                <w:sz w:val="20"/>
                <w:szCs w:val="20"/>
                <w:lang w:val="sr-Cyrl-CS"/>
              </w:rPr>
            </w:pPr>
            <w:r w:rsidRPr="00092ED7">
              <w:rPr>
                <w:rFonts w:cs="Times New Roman"/>
                <w:sz w:val="20"/>
                <w:szCs w:val="20"/>
                <w:lang w:val="sr-Cyrl-CS"/>
              </w:rPr>
              <w:t>Успостављање онлајн мониторинг алата за претраживање мера и активности од значаја за пословно окружење</w:t>
            </w:r>
          </w:p>
        </w:tc>
        <w:tc>
          <w:tcPr>
            <w:tcW w:w="372"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5D31FA97" w14:textId="77777777" w:rsidR="00D210F0" w:rsidRPr="00092ED7" w:rsidRDefault="00D210F0" w:rsidP="005D14E2">
            <w:pPr>
              <w:spacing w:after="0"/>
              <w:rPr>
                <w:rFonts w:cs="Times New Roman"/>
                <w:sz w:val="20"/>
                <w:szCs w:val="20"/>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61675B3B" w14:textId="77777777" w:rsidR="00D210F0" w:rsidRPr="00092ED7" w:rsidRDefault="00D210F0" w:rsidP="005D14E2">
            <w:pPr>
              <w:spacing w:after="0"/>
              <w:rPr>
                <w:rFonts w:cs="Times New Roman"/>
                <w:sz w:val="20"/>
                <w:szCs w:val="20"/>
                <w:lang w:val="sr-Cyrl-CS"/>
              </w:rPr>
            </w:pPr>
          </w:p>
        </w:tc>
        <w:tc>
          <w:tcPr>
            <w:tcW w:w="37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523D840" w14:textId="77777777" w:rsidR="00D210F0" w:rsidRPr="00092ED7" w:rsidRDefault="00D210F0" w:rsidP="005D14E2">
            <w:pPr>
              <w:spacing w:after="0"/>
              <w:rPr>
                <w:rFonts w:cs="Times New Roman"/>
                <w:sz w:val="20"/>
                <w:szCs w:val="20"/>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B2BE5B7" w14:textId="77777777" w:rsidR="00D210F0" w:rsidRPr="00092ED7" w:rsidRDefault="00D210F0" w:rsidP="005D14E2">
            <w:pPr>
              <w:spacing w:after="0"/>
              <w:rPr>
                <w:rFonts w:cs="Times New Roman"/>
                <w:sz w:val="20"/>
                <w:szCs w:val="20"/>
                <w:lang w:val="sr-Cyrl-CS"/>
              </w:rPr>
            </w:pPr>
          </w:p>
        </w:tc>
        <w:tc>
          <w:tcPr>
            <w:tcW w:w="37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3E188ED9" w14:textId="77777777" w:rsidR="00D210F0" w:rsidRPr="00092ED7" w:rsidRDefault="00D210F0" w:rsidP="005D14E2">
            <w:pPr>
              <w:spacing w:after="0"/>
              <w:rPr>
                <w:rFonts w:cs="Times New Roman"/>
                <w:sz w:val="20"/>
                <w:szCs w:val="20"/>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F2CEDDA" w14:textId="77777777" w:rsidR="00D210F0" w:rsidRPr="00092ED7" w:rsidRDefault="00D210F0" w:rsidP="005D14E2">
            <w:pPr>
              <w:spacing w:after="0"/>
              <w:rPr>
                <w:rFonts w:cs="Times New Roman"/>
                <w:sz w:val="20"/>
                <w:szCs w:val="20"/>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09ADA7EE" w14:textId="77777777" w:rsidR="00D210F0" w:rsidRPr="00092ED7" w:rsidRDefault="00D210F0" w:rsidP="005D14E2">
            <w:pPr>
              <w:spacing w:after="0"/>
              <w:rPr>
                <w:rFonts w:cs="Times New Roman"/>
                <w:sz w:val="20"/>
                <w:szCs w:val="20"/>
                <w:lang w:val="sr-Cyrl-CS"/>
              </w:rPr>
            </w:pPr>
          </w:p>
        </w:tc>
        <w:tc>
          <w:tcPr>
            <w:tcW w:w="37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60FFFDE" w14:textId="77777777" w:rsidR="00D210F0" w:rsidRPr="00092ED7" w:rsidRDefault="00D210F0" w:rsidP="005D14E2">
            <w:pPr>
              <w:spacing w:after="0"/>
              <w:rPr>
                <w:rFonts w:cs="Times New Roman"/>
                <w:sz w:val="20"/>
                <w:szCs w:val="20"/>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0ED7E083" w14:textId="77777777" w:rsidR="00D210F0" w:rsidRPr="00092ED7" w:rsidRDefault="00D210F0" w:rsidP="005D14E2">
            <w:pPr>
              <w:spacing w:after="0"/>
              <w:rPr>
                <w:rFonts w:cs="Times New Roman"/>
                <w:sz w:val="20"/>
                <w:szCs w:val="20"/>
                <w:lang w:val="sr-Cyrl-CS"/>
              </w:rPr>
            </w:pPr>
          </w:p>
        </w:tc>
        <w:tc>
          <w:tcPr>
            <w:tcW w:w="372"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0ACCB48B" w14:textId="77777777" w:rsidR="00D210F0" w:rsidRPr="00092ED7" w:rsidRDefault="00D210F0" w:rsidP="005D14E2">
            <w:pPr>
              <w:spacing w:after="0"/>
              <w:rPr>
                <w:rFonts w:cs="Times New Roman"/>
                <w:sz w:val="20"/>
                <w:szCs w:val="20"/>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6A36FFC0" w14:textId="77777777" w:rsidR="00D210F0" w:rsidRPr="00092ED7" w:rsidRDefault="00D210F0" w:rsidP="005D14E2">
            <w:pPr>
              <w:spacing w:after="0"/>
              <w:rPr>
                <w:rFonts w:cs="Times New Roman"/>
                <w:sz w:val="20"/>
                <w:szCs w:val="20"/>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5AFE5EFC" w14:textId="77777777" w:rsidR="00D210F0" w:rsidRPr="00092ED7" w:rsidRDefault="00D210F0" w:rsidP="005D14E2">
            <w:pPr>
              <w:spacing w:after="0"/>
              <w:rPr>
                <w:rFonts w:cs="Times New Roman"/>
                <w:sz w:val="20"/>
                <w:szCs w:val="20"/>
                <w:lang w:val="sr-Cyrl-CS"/>
              </w:rPr>
            </w:pPr>
          </w:p>
        </w:tc>
      </w:tr>
    </w:tbl>
    <w:p w14:paraId="628814FE" w14:textId="77777777" w:rsidR="00D210F0" w:rsidRPr="00092ED7" w:rsidRDefault="00D210F0" w:rsidP="00071952">
      <w:pPr>
        <w:widowControl w:val="0"/>
        <w:numPr>
          <w:ilvl w:val="0"/>
          <w:numId w:val="22"/>
        </w:numPr>
        <w:spacing w:before="120"/>
        <w:ind w:left="425" w:hanging="425"/>
        <w:rPr>
          <w:rFonts w:eastAsia="Calibri" w:cs="Times New Roman"/>
          <w:b/>
          <w:szCs w:val="24"/>
          <w:lang w:val="sr-Cyrl-CS" w:eastAsia="sr-Cyrl-CS" w:bidi="sr-Cyrl-CS"/>
        </w:rPr>
      </w:pPr>
      <w:r w:rsidRPr="00092ED7">
        <w:rPr>
          <w:rFonts w:eastAsia="Calibri" w:cs="Times New Roman"/>
          <w:b/>
          <w:szCs w:val="24"/>
          <w:lang w:val="sr-Cyrl-CS" w:eastAsia="sr-Cyrl-CS" w:bidi="sr-Cyrl-CS"/>
        </w:rPr>
        <w:t>Индикатори рeзултата</w:t>
      </w:r>
    </w:p>
    <w:tbl>
      <w:tblPr>
        <w:tblStyle w:val="TableGrid"/>
        <w:tblW w:w="9209" w:type="dxa"/>
        <w:tblLayout w:type="fixed"/>
        <w:tblLook w:val="04A0" w:firstRow="1" w:lastRow="0" w:firstColumn="1" w:lastColumn="0" w:noHBand="0" w:noVBand="1"/>
      </w:tblPr>
      <w:tblGrid>
        <w:gridCol w:w="3685"/>
        <w:gridCol w:w="1841"/>
        <w:gridCol w:w="1841"/>
        <w:gridCol w:w="1842"/>
      </w:tblGrid>
      <w:tr w:rsidR="00D210F0" w:rsidRPr="00092ED7" w14:paraId="620D3EA6" w14:textId="77777777" w:rsidTr="00AE4362">
        <w:trPr>
          <w:cnfStyle w:val="100000000000" w:firstRow="1" w:lastRow="0" w:firstColumn="0" w:lastColumn="0" w:oddVBand="0" w:evenVBand="0" w:oddHBand="0" w:evenHBand="0" w:firstRowFirstColumn="0" w:firstRowLastColumn="0" w:lastRowFirstColumn="0" w:lastRowLastColumn="0"/>
        </w:trPr>
        <w:tc>
          <w:tcPr>
            <w:tcW w:w="3685" w:type="dxa"/>
          </w:tcPr>
          <w:p w14:paraId="199A3D67" w14:textId="77777777" w:rsidR="00D210F0" w:rsidRPr="00092ED7" w:rsidRDefault="00D210F0" w:rsidP="005D14E2">
            <w:pPr>
              <w:spacing w:before="0" w:after="0"/>
              <w:ind w:left="113" w:right="113"/>
              <w:jc w:val="center"/>
              <w:rPr>
                <w:rFonts w:cs="Times New Roman"/>
                <w:b w:val="0"/>
                <w:sz w:val="20"/>
                <w:lang w:val="sr-Cyrl-CS"/>
              </w:rPr>
            </w:pPr>
            <w:r w:rsidRPr="00092ED7">
              <w:rPr>
                <w:rFonts w:eastAsia="Calibri" w:cs="Times New Roman"/>
                <w:sz w:val="20"/>
                <w:lang w:val="sr-Cyrl-CS"/>
              </w:rPr>
              <w:t>Показатељ</w:t>
            </w:r>
          </w:p>
        </w:tc>
        <w:tc>
          <w:tcPr>
            <w:tcW w:w="1841" w:type="dxa"/>
          </w:tcPr>
          <w:p w14:paraId="4D3245D3" w14:textId="0FD67924" w:rsidR="00D210F0" w:rsidRPr="00092ED7" w:rsidRDefault="00D210F0" w:rsidP="005D14E2">
            <w:pPr>
              <w:spacing w:before="0" w:after="0"/>
              <w:ind w:left="113" w:right="113"/>
              <w:jc w:val="center"/>
              <w:rPr>
                <w:rFonts w:cs="Times New Roman"/>
                <w:b w:val="0"/>
                <w:sz w:val="20"/>
                <w:lang w:val="sr-Cyrl-CS"/>
              </w:rPr>
            </w:pPr>
            <w:r w:rsidRPr="00092ED7">
              <w:rPr>
                <w:rFonts w:eastAsia="Calibri" w:cs="Times New Roman"/>
                <w:sz w:val="20"/>
                <w:lang w:val="sr-Cyrl-CS"/>
              </w:rPr>
              <w:t>Почетна вредност (201</w:t>
            </w:r>
            <w:r w:rsidR="0026341C" w:rsidRPr="00092ED7">
              <w:rPr>
                <w:rFonts w:eastAsia="Calibri" w:cs="Times New Roman"/>
                <w:sz w:val="20"/>
                <w:lang w:val="sr-Cyrl-CS"/>
              </w:rPr>
              <w:t>8</w:t>
            </w:r>
            <w:r w:rsidRPr="00092ED7">
              <w:rPr>
                <w:rFonts w:eastAsia="Calibri" w:cs="Times New Roman"/>
                <w:sz w:val="20"/>
                <w:lang w:val="sr-Cyrl-CS"/>
              </w:rPr>
              <w:t>)</w:t>
            </w:r>
          </w:p>
        </w:tc>
        <w:tc>
          <w:tcPr>
            <w:tcW w:w="1841" w:type="dxa"/>
          </w:tcPr>
          <w:p w14:paraId="1CAD8C57" w14:textId="77777777" w:rsidR="00D210F0" w:rsidRPr="00092ED7" w:rsidRDefault="00D210F0" w:rsidP="005D14E2">
            <w:pPr>
              <w:spacing w:before="0" w:after="0"/>
              <w:ind w:left="113" w:right="113"/>
              <w:jc w:val="center"/>
              <w:rPr>
                <w:rFonts w:cs="Times New Roman"/>
                <w:b w:val="0"/>
                <w:sz w:val="20"/>
                <w:lang w:val="sr-Cyrl-CS"/>
              </w:rPr>
            </w:pPr>
            <w:r w:rsidRPr="00092ED7">
              <w:rPr>
                <w:rFonts w:eastAsia="Calibri" w:cs="Times New Roman"/>
                <w:sz w:val="20"/>
                <w:lang w:val="sr-Cyrl-CS"/>
              </w:rPr>
              <w:t>Међурезултат (2021)</w:t>
            </w:r>
          </w:p>
        </w:tc>
        <w:tc>
          <w:tcPr>
            <w:tcW w:w="1842" w:type="dxa"/>
          </w:tcPr>
          <w:p w14:paraId="48EDB388" w14:textId="77777777" w:rsidR="00D210F0" w:rsidRPr="00092ED7" w:rsidRDefault="00D210F0" w:rsidP="005D14E2">
            <w:pPr>
              <w:spacing w:before="0" w:after="0"/>
              <w:ind w:left="113" w:right="113"/>
              <w:jc w:val="center"/>
              <w:rPr>
                <w:rFonts w:cs="Times New Roman"/>
                <w:b w:val="0"/>
                <w:sz w:val="20"/>
                <w:lang w:val="sr-Cyrl-CS"/>
              </w:rPr>
            </w:pPr>
            <w:r w:rsidRPr="00092ED7">
              <w:rPr>
                <w:rFonts w:eastAsia="Calibri" w:cs="Times New Roman"/>
                <w:sz w:val="20"/>
                <w:lang w:val="sr-Cyrl-CS"/>
              </w:rPr>
              <w:t>Циљна вредност (2025)</w:t>
            </w:r>
          </w:p>
        </w:tc>
      </w:tr>
      <w:tr w:rsidR="00D210F0" w:rsidRPr="00092ED7" w14:paraId="52EE01D2" w14:textId="77777777" w:rsidTr="00AE4362">
        <w:tc>
          <w:tcPr>
            <w:tcW w:w="3685" w:type="dxa"/>
          </w:tcPr>
          <w:p w14:paraId="312942C4" w14:textId="77777777" w:rsidR="00D210F0" w:rsidRPr="00092ED7" w:rsidRDefault="00D210F0" w:rsidP="005D14E2">
            <w:pPr>
              <w:spacing w:before="0" w:after="0"/>
              <w:ind w:left="113" w:right="113"/>
              <w:jc w:val="left"/>
              <w:rPr>
                <w:rFonts w:cs="Times New Roman"/>
                <w:b/>
                <w:sz w:val="20"/>
                <w:lang w:val="sr-Cyrl-CS"/>
              </w:rPr>
            </w:pPr>
            <w:r w:rsidRPr="00092ED7">
              <w:rPr>
                <w:rFonts w:eastAsia="Times New Roman" w:cs="Times New Roman"/>
                <w:sz w:val="20"/>
                <w:lang w:val="sr-Cyrl-CS"/>
              </w:rPr>
              <w:t>Удео административног оптерећења за грађане и привреду у БДП, у %</w:t>
            </w:r>
          </w:p>
        </w:tc>
        <w:tc>
          <w:tcPr>
            <w:tcW w:w="1841" w:type="dxa"/>
          </w:tcPr>
          <w:p w14:paraId="16F33897" w14:textId="77777777" w:rsidR="00D210F0" w:rsidRPr="00092ED7" w:rsidRDefault="00D210F0" w:rsidP="005D14E2">
            <w:pPr>
              <w:spacing w:before="0" w:after="0"/>
              <w:ind w:left="113" w:right="113"/>
              <w:jc w:val="center"/>
              <w:rPr>
                <w:rFonts w:cs="Times New Roman"/>
                <w:b/>
                <w:sz w:val="20"/>
                <w:lang w:val="sr-Cyrl-CS"/>
              </w:rPr>
            </w:pPr>
            <w:r w:rsidRPr="00092ED7">
              <w:rPr>
                <w:rFonts w:eastAsia="Times New Roman" w:cs="Times New Roman"/>
                <w:sz w:val="20"/>
                <w:lang w:val="sr-Cyrl-CS"/>
              </w:rPr>
              <w:t>3,</w:t>
            </w:r>
            <w:r w:rsidR="007F0E6D" w:rsidRPr="00092ED7">
              <w:rPr>
                <w:rFonts w:eastAsia="Times New Roman" w:cs="Times New Roman"/>
                <w:sz w:val="20"/>
                <w:lang w:val="sr-Cyrl-CS"/>
              </w:rPr>
              <w:t>1</w:t>
            </w:r>
            <w:r w:rsidRPr="00092ED7">
              <w:rPr>
                <w:rFonts w:eastAsia="Times New Roman" w:cs="Times New Roman"/>
                <w:sz w:val="20"/>
                <w:lang w:val="sr-Cyrl-CS"/>
              </w:rPr>
              <w:t>1</w:t>
            </w:r>
          </w:p>
        </w:tc>
        <w:tc>
          <w:tcPr>
            <w:tcW w:w="1841" w:type="dxa"/>
          </w:tcPr>
          <w:p w14:paraId="0BCEB51A" w14:textId="77777777" w:rsidR="00D210F0" w:rsidRPr="00092ED7" w:rsidRDefault="00D210F0" w:rsidP="005D14E2">
            <w:pPr>
              <w:spacing w:before="0" w:after="0"/>
              <w:ind w:left="113" w:right="113"/>
              <w:jc w:val="center"/>
              <w:rPr>
                <w:rFonts w:cs="Times New Roman"/>
                <w:b/>
                <w:sz w:val="20"/>
                <w:lang w:val="sr-Cyrl-CS"/>
              </w:rPr>
            </w:pPr>
            <w:r w:rsidRPr="00092ED7">
              <w:rPr>
                <w:rFonts w:eastAsia="Times New Roman" w:cs="Times New Roman"/>
                <w:sz w:val="20"/>
                <w:lang w:val="sr-Cyrl-CS"/>
              </w:rPr>
              <w:t>2,9</w:t>
            </w:r>
            <w:r w:rsidR="007F0E6D" w:rsidRPr="00092ED7">
              <w:rPr>
                <w:rFonts w:eastAsia="Times New Roman" w:cs="Times New Roman"/>
                <w:sz w:val="20"/>
                <w:lang w:val="sr-Cyrl-CS"/>
              </w:rPr>
              <w:t>5</w:t>
            </w:r>
          </w:p>
        </w:tc>
        <w:tc>
          <w:tcPr>
            <w:tcW w:w="1842" w:type="dxa"/>
          </w:tcPr>
          <w:p w14:paraId="14065B6C" w14:textId="77777777" w:rsidR="00D210F0" w:rsidRPr="00092ED7" w:rsidRDefault="00D210F0" w:rsidP="005D14E2">
            <w:pPr>
              <w:spacing w:before="0" w:after="0"/>
              <w:ind w:left="113" w:right="113"/>
              <w:jc w:val="center"/>
              <w:rPr>
                <w:rFonts w:cs="Times New Roman"/>
                <w:b/>
                <w:sz w:val="20"/>
                <w:lang w:val="sr-Cyrl-CS"/>
              </w:rPr>
            </w:pPr>
            <w:r w:rsidRPr="00092ED7">
              <w:rPr>
                <w:rFonts w:eastAsia="Times New Roman" w:cs="Times New Roman"/>
                <w:sz w:val="20"/>
                <w:lang w:val="sr-Cyrl-CS"/>
              </w:rPr>
              <w:t>2,75</w:t>
            </w:r>
          </w:p>
        </w:tc>
      </w:tr>
      <w:tr w:rsidR="00D210F0" w:rsidRPr="00092ED7" w14:paraId="2EBC9362" w14:textId="77777777" w:rsidTr="00AE4362">
        <w:tc>
          <w:tcPr>
            <w:tcW w:w="3685" w:type="dxa"/>
          </w:tcPr>
          <w:p w14:paraId="0FC8A8FD" w14:textId="77777777" w:rsidR="00D210F0" w:rsidRPr="00092ED7" w:rsidRDefault="00D210F0" w:rsidP="005D14E2">
            <w:pPr>
              <w:spacing w:before="0" w:after="0"/>
              <w:ind w:left="113" w:right="113"/>
              <w:jc w:val="left"/>
              <w:rPr>
                <w:rFonts w:eastAsia="Times New Roman" w:cs="Times New Roman"/>
                <w:sz w:val="20"/>
                <w:lang w:val="sr-Cyrl-CS"/>
              </w:rPr>
            </w:pPr>
            <w:r w:rsidRPr="00092ED7">
              <w:rPr>
                <w:rFonts w:eastAsia="Times New Roman" w:cs="Times New Roman"/>
                <w:sz w:val="20"/>
                <w:lang w:val="sr-Cyrl-CS"/>
              </w:rPr>
              <w:t>Број оптимизованих административних поступака</w:t>
            </w:r>
          </w:p>
        </w:tc>
        <w:tc>
          <w:tcPr>
            <w:tcW w:w="1841" w:type="dxa"/>
          </w:tcPr>
          <w:p w14:paraId="2007A144" w14:textId="77777777" w:rsidR="00D210F0" w:rsidRPr="00092ED7" w:rsidRDefault="007F0E6D" w:rsidP="005D14E2">
            <w:pPr>
              <w:spacing w:before="0" w:after="0"/>
              <w:ind w:left="113" w:right="113"/>
              <w:jc w:val="center"/>
              <w:rPr>
                <w:rFonts w:eastAsia="Times New Roman" w:cs="Times New Roman"/>
                <w:sz w:val="20"/>
                <w:lang w:val="sr-Cyrl-CS"/>
              </w:rPr>
            </w:pPr>
            <w:r w:rsidRPr="00092ED7">
              <w:rPr>
                <w:rFonts w:eastAsia="Times New Roman" w:cs="Times New Roman"/>
                <w:sz w:val="20"/>
                <w:lang w:val="sr-Cyrl-CS"/>
              </w:rPr>
              <w:t>0</w:t>
            </w:r>
          </w:p>
        </w:tc>
        <w:tc>
          <w:tcPr>
            <w:tcW w:w="1841" w:type="dxa"/>
          </w:tcPr>
          <w:p w14:paraId="5FC27FBF" w14:textId="77777777" w:rsidR="00D210F0" w:rsidRPr="00092ED7" w:rsidRDefault="00D210F0" w:rsidP="005D14E2">
            <w:pPr>
              <w:spacing w:before="0" w:after="0"/>
              <w:ind w:left="113" w:right="113"/>
              <w:jc w:val="center"/>
              <w:rPr>
                <w:rFonts w:eastAsia="Times New Roman" w:cs="Times New Roman"/>
                <w:sz w:val="20"/>
                <w:lang w:val="sr-Cyrl-CS"/>
              </w:rPr>
            </w:pPr>
            <w:r w:rsidRPr="00092ED7">
              <w:rPr>
                <w:rFonts w:eastAsia="Times New Roman" w:cs="Times New Roman"/>
                <w:sz w:val="20"/>
                <w:lang w:val="sr-Cyrl-CS"/>
              </w:rPr>
              <w:t>330</w:t>
            </w:r>
          </w:p>
        </w:tc>
        <w:tc>
          <w:tcPr>
            <w:tcW w:w="1842" w:type="dxa"/>
          </w:tcPr>
          <w:p w14:paraId="43ABBE9E" w14:textId="77777777" w:rsidR="00D210F0" w:rsidRPr="00092ED7" w:rsidRDefault="00D210F0" w:rsidP="005D14E2">
            <w:pPr>
              <w:spacing w:before="0" w:after="0"/>
              <w:ind w:left="113" w:right="113"/>
              <w:jc w:val="center"/>
              <w:rPr>
                <w:rFonts w:eastAsia="Times New Roman" w:cs="Times New Roman"/>
                <w:sz w:val="20"/>
                <w:lang w:val="sr-Cyrl-CS"/>
              </w:rPr>
            </w:pPr>
            <w:r w:rsidRPr="00092ED7">
              <w:rPr>
                <w:rFonts w:eastAsia="Times New Roman" w:cs="Times New Roman"/>
                <w:sz w:val="20"/>
                <w:lang w:val="sr-Cyrl-CS"/>
              </w:rPr>
              <w:t>500</w:t>
            </w:r>
          </w:p>
        </w:tc>
      </w:tr>
      <w:tr w:rsidR="00D210F0" w:rsidRPr="00092ED7" w14:paraId="46DAF0CE" w14:textId="77777777" w:rsidTr="00AE4362">
        <w:tc>
          <w:tcPr>
            <w:tcW w:w="3685" w:type="dxa"/>
          </w:tcPr>
          <w:p w14:paraId="136EE43B" w14:textId="77777777" w:rsidR="00D210F0" w:rsidRPr="00092ED7" w:rsidRDefault="00D210F0" w:rsidP="005D14E2">
            <w:pPr>
              <w:spacing w:before="0" w:after="0"/>
              <w:ind w:left="113" w:right="113"/>
              <w:jc w:val="left"/>
              <w:rPr>
                <w:rFonts w:eastAsia="Times New Roman" w:cs="Times New Roman"/>
                <w:sz w:val="20"/>
                <w:lang w:val="sr-Cyrl-CS"/>
              </w:rPr>
            </w:pPr>
            <w:r w:rsidRPr="00092ED7">
              <w:rPr>
                <w:rFonts w:eastAsia="Times New Roman" w:cs="Times New Roman"/>
                <w:sz w:val="20"/>
                <w:lang w:val="sr-Cyrl-CS"/>
              </w:rPr>
              <w:t>Број дигитализованих административних поступака</w:t>
            </w:r>
          </w:p>
        </w:tc>
        <w:tc>
          <w:tcPr>
            <w:tcW w:w="1841" w:type="dxa"/>
          </w:tcPr>
          <w:p w14:paraId="203665CE" w14:textId="77777777" w:rsidR="00D210F0" w:rsidRPr="00092ED7" w:rsidRDefault="00D210F0" w:rsidP="005D14E2">
            <w:pPr>
              <w:spacing w:before="0" w:after="0"/>
              <w:ind w:left="113" w:right="113"/>
              <w:jc w:val="center"/>
              <w:rPr>
                <w:rFonts w:eastAsia="Times New Roman" w:cs="Times New Roman"/>
                <w:sz w:val="20"/>
                <w:lang w:val="sr-Cyrl-CS"/>
              </w:rPr>
            </w:pPr>
            <w:r w:rsidRPr="00092ED7">
              <w:rPr>
                <w:rFonts w:eastAsia="Times New Roman" w:cs="Times New Roman"/>
                <w:sz w:val="20"/>
                <w:lang w:val="sr-Cyrl-CS"/>
              </w:rPr>
              <w:t>0</w:t>
            </w:r>
          </w:p>
        </w:tc>
        <w:tc>
          <w:tcPr>
            <w:tcW w:w="1841" w:type="dxa"/>
          </w:tcPr>
          <w:p w14:paraId="61EC566B" w14:textId="31F2107A" w:rsidR="00D210F0" w:rsidRPr="00092ED7" w:rsidRDefault="0026341C" w:rsidP="005D14E2">
            <w:pPr>
              <w:spacing w:before="0" w:after="0"/>
              <w:ind w:left="113" w:right="113"/>
              <w:jc w:val="center"/>
              <w:rPr>
                <w:rFonts w:eastAsia="Times New Roman" w:cs="Times New Roman"/>
                <w:sz w:val="20"/>
                <w:lang w:val="sr-Cyrl-CS"/>
              </w:rPr>
            </w:pPr>
            <w:r w:rsidRPr="00092ED7">
              <w:rPr>
                <w:rFonts w:eastAsia="Times New Roman" w:cs="Times New Roman"/>
                <w:sz w:val="20"/>
                <w:lang w:val="sr-Cyrl-CS"/>
              </w:rPr>
              <w:t>52</w:t>
            </w:r>
          </w:p>
        </w:tc>
        <w:tc>
          <w:tcPr>
            <w:tcW w:w="1842" w:type="dxa"/>
          </w:tcPr>
          <w:p w14:paraId="42BC24C2" w14:textId="77777777" w:rsidR="00D210F0" w:rsidRPr="00092ED7" w:rsidRDefault="00D210F0" w:rsidP="005D14E2">
            <w:pPr>
              <w:spacing w:before="0" w:after="0"/>
              <w:ind w:left="113" w:right="113"/>
              <w:jc w:val="center"/>
              <w:rPr>
                <w:rFonts w:eastAsia="Times New Roman" w:cs="Times New Roman"/>
                <w:sz w:val="20"/>
                <w:lang w:val="sr-Cyrl-CS"/>
              </w:rPr>
            </w:pPr>
            <w:r w:rsidRPr="00092ED7">
              <w:rPr>
                <w:rFonts w:eastAsia="Times New Roman" w:cs="Times New Roman"/>
                <w:sz w:val="20"/>
                <w:lang w:val="sr-Cyrl-CS"/>
              </w:rPr>
              <w:t>220</w:t>
            </w:r>
          </w:p>
        </w:tc>
      </w:tr>
    </w:tbl>
    <w:p w14:paraId="5854EFDE" w14:textId="77777777" w:rsidR="00D210F0" w:rsidRPr="00092ED7" w:rsidRDefault="00D210F0" w:rsidP="00071952">
      <w:pPr>
        <w:pStyle w:val="ListParagraph"/>
        <w:widowControl w:val="0"/>
        <w:numPr>
          <w:ilvl w:val="0"/>
          <w:numId w:val="22"/>
        </w:numPr>
        <w:spacing w:before="120" w:line="240" w:lineRule="auto"/>
        <w:ind w:left="425" w:hanging="425"/>
        <w:contextualSpacing w:val="0"/>
        <w:rPr>
          <w:rFonts w:cs="Times New Roman"/>
          <w:b/>
          <w:sz w:val="24"/>
          <w:szCs w:val="24"/>
          <w:lang w:val="sr-Cyrl-CS" w:eastAsia="sr-Cyrl-CS" w:bidi="sr-Cyrl-CS"/>
        </w:rPr>
      </w:pPr>
      <w:r w:rsidRPr="00092ED7">
        <w:rPr>
          <w:rFonts w:cs="Times New Roman"/>
          <w:b/>
          <w:sz w:val="24"/>
          <w:szCs w:val="24"/>
          <w:lang w:val="sr-Cyrl-CS" w:eastAsia="sr-Cyrl-CS" w:bidi="sr-Cyrl-CS"/>
        </w:rPr>
        <w:t>Очекивани утицај на конкурентност</w:t>
      </w:r>
    </w:p>
    <w:p w14:paraId="4D82FA1B" w14:textId="32EAEB36" w:rsidR="00D210F0" w:rsidRPr="00092ED7" w:rsidRDefault="00D210F0" w:rsidP="00D210F0">
      <w:pPr>
        <w:widowControl w:val="0"/>
        <w:spacing w:after="60"/>
        <w:rPr>
          <w:rFonts w:eastAsia="Calibri" w:cs="Times New Roman"/>
          <w:b/>
          <w:szCs w:val="24"/>
          <w:lang w:val="sr-Cyrl-CS" w:eastAsia="sr-Cyrl-CS" w:bidi="sr-Cyrl-CS"/>
        </w:rPr>
      </w:pPr>
      <w:r w:rsidRPr="00092ED7">
        <w:rPr>
          <w:rFonts w:cs="Times New Roman"/>
          <w:lang w:val="sr-Cyrl-CS"/>
        </w:rPr>
        <w:t xml:space="preserve">У претходном периоду, </w:t>
      </w:r>
      <w:r w:rsidR="006B0BA0" w:rsidRPr="00092ED7">
        <w:rPr>
          <w:rFonts w:cs="Times New Roman"/>
          <w:lang w:val="sr-Cyrl-CS"/>
        </w:rPr>
        <w:t xml:space="preserve">Република </w:t>
      </w:r>
      <w:r w:rsidRPr="00092ED7">
        <w:rPr>
          <w:rFonts w:cs="Times New Roman"/>
          <w:lang w:val="sr-Cyrl-CS"/>
        </w:rPr>
        <w:t>Србија је остварила значајан напредак на међународним листама конкурентности у области електронске управе</w:t>
      </w:r>
      <w:r w:rsidRPr="00092ED7">
        <w:rPr>
          <w:rStyle w:val="FootnoteReference"/>
          <w:rFonts w:cs="Times New Roman"/>
          <w:lang w:val="sr-Cyrl-CS"/>
        </w:rPr>
        <w:footnoteReference w:id="76"/>
      </w:r>
      <w:r w:rsidRPr="00092ED7">
        <w:rPr>
          <w:rFonts w:cs="Times New Roman"/>
          <w:lang w:val="sr-Cyrl-CS"/>
        </w:rPr>
        <w:t xml:space="preserve"> што је, између осталог, резултат бројних поједностављења и дигитализације услуга које јавна управа пружа привреди и грађанима. Позитивном утицају на конкурентност је битно допринело и успостављање Регистра административних поступака</w:t>
      </w:r>
      <w:r w:rsidRPr="00092ED7">
        <w:rPr>
          <w:rStyle w:val="Hyperlink"/>
          <w:rFonts w:cs="Times New Roman"/>
          <w:color w:val="auto"/>
          <w:u w:val="none"/>
          <w:lang w:val="sr-Cyrl-CS"/>
        </w:rPr>
        <w:t xml:space="preserve"> и </w:t>
      </w:r>
      <w:r w:rsidRPr="00092ED7">
        <w:rPr>
          <w:rFonts w:cs="Times New Roman"/>
          <w:lang w:val="sr-Cyrl-CS"/>
        </w:rPr>
        <w:t xml:space="preserve">јавно доступног </w:t>
      </w:r>
      <w:hyperlink r:id="rId42" w:history="1">
        <w:r w:rsidRPr="00092ED7">
          <w:rPr>
            <w:rStyle w:val="Hyperlink"/>
            <w:rFonts w:cs="Times New Roman"/>
            <w:color w:val="auto"/>
            <w:lang w:val="sr-Cyrl-CS"/>
          </w:rPr>
          <w:t>Портала Регистра</w:t>
        </w:r>
      </w:hyperlink>
      <w:r w:rsidRPr="00092ED7">
        <w:rPr>
          <w:rFonts w:cs="Times New Roman"/>
          <w:lang w:val="sr-Cyrl-CS"/>
        </w:rPr>
        <w:t xml:space="preserve">, са свим потребним информацијама за привреду у поступцима пред јавном управом чиме се ствара сигурније, транспарентније и предвидљивије пословно окружење. Све потребне информације за пословање доступне на једном месту, омогућавају уштеде у времену и новцу и уједно повећавају атрактивност </w:t>
      </w:r>
      <w:r w:rsidR="006B0BA0" w:rsidRPr="00092ED7">
        <w:rPr>
          <w:rFonts w:cs="Times New Roman"/>
          <w:lang w:val="sr-Cyrl-CS"/>
        </w:rPr>
        <w:t xml:space="preserve">Републике </w:t>
      </w:r>
      <w:r w:rsidRPr="00092ED7">
        <w:rPr>
          <w:rFonts w:cs="Times New Roman"/>
          <w:lang w:val="sr-Cyrl-CS"/>
        </w:rPr>
        <w:lastRenderedPageBreak/>
        <w:t>Србије као дестинације за инвестирање.</w:t>
      </w:r>
    </w:p>
    <w:p w14:paraId="34C1AB36" w14:textId="77777777" w:rsidR="00D210F0" w:rsidRPr="00092ED7" w:rsidRDefault="00D210F0" w:rsidP="00071952">
      <w:pPr>
        <w:widowControl w:val="0"/>
        <w:numPr>
          <w:ilvl w:val="0"/>
          <w:numId w:val="22"/>
        </w:numPr>
        <w:spacing w:before="120"/>
        <w:ind w:left="425" w:hanging="425"/>
        <w:rPr>
          <w:rFonts w:eastAsia="Calibri" w:cs="Times New Roman"/>
          <w:b/>
          <w:szCs w:val="24"/>
          <w:lang w:val="sr-Cyrl-CS" w:eastAsia="sr-Cyrl-CS" w:bidi="sr-Cyrl-CS"/>
        </w:rPr>
      </w:pPr>
      <w:r w:rsidRPr="00092ED7">
        <w:rPr>
          <w:rFonts w:eastAsia="Calibri" w:cs="Times New Roman"/>
          <w:b/>
          <w:szCs w:val="24"/>
          <w:lang w:val="sr-Cyrl-CS" w:eastAsia="sr-Cyrl-CS" w:bidi="sr-Cyrl-CS"/>
        </w:rPr>
        <w:t>Процењени трошкови активности и извори финансирања</w:t>
      </w:r>
    </w:p>
    <w:p w14:paraId="04D20273" w14:textId="0F527253" w:rsidR="000C7942" w:rsidRPr="00092ED7" w:rsidRDefault="000C7942" w:rsidP="001C708A">
      <w:pPr>
        <w:widowControl w:val="0"/>
        <w:spacing w:after="60"/>
        <w:rPr>
          <w:rFonts w:cs="Times New Roman"/>
          <w:iCs/>
          <w:lang w:val="sr-Cyrl-CS" w:bidi="sr-Cyrl-CS"/>
        </w:rPr>
      </w:pPr>
      <w:r w:rsidRPr="00092ED7">
        <w:rPr>
          <w:rFonts w:cs="Times New Roman"/>
          <w:iCs/>
          <w:lang w:val="sr-Cyrl-CS"/>
        </w:rPr>
        <w:t>Реформа се спроводи постојећим институционалним и људским капацитетима јавне управе, а техничка под</w:t>
      </w:r>
      <w:r w:rsidR="001028F8" w:rsidRPr="00092ED7">
        <w:rPr>
          <w:rFonts w:cs="Times New Roman"/>
          <w:iCs/>
          <w:lang w:val="sr-Cyrl-CS"/>
        </w:rPr>
        <w:t>р</w:t>
      </w:r>
      <w:r w:rsidRPr="00092ED7">
        <w:rPr>
          <w:rFonts w:cs="Times New Roman"/>
          <w:iCs/>
          <w:lang w:val="sr-Cyrl-CS"/>
        </w:rPr>
        <w:t xml:space="preserve">шка спровођењу мере обезбеђена је </w:t>
      </w:r>
      <w:r w:rsidRPr="00092ED7">
        <w:rPr>
          <w:rFonts w:cs="Times New Roman"/>
          <w:iCs/>
          <w:lang w:val="sr-Cyrl-CS" w:bidi="sr-Cyrl-CS"/>
        </w:rPr>
        <w:t>средствима Европске уније</w:t>
      </w:r>
      <w:r w:rsidRPr="00092ED7">
        <w:rPr>
          <w:rFonts w:cs="Times New Roman"/>
          <w:iCs/>
          <w:lang w:val="sr-Cyrl-CS"/>
        </w:rPr>
        <w:t xml:space="preserve"> (ИПА фондови)</w:t>
      </w:r>
      <w:r w:rsidRPr="00092ED7">
        <w:rPr>
          <w:rFonts w:cs="Times New Roman"/>
          <w:iCs/>
          <w:lang w:val="sr-Cyrl-CS" w:bidi="sr-Cyrl-CS"/>
        </w:rPr>
        <w:t xml:space="preserve">, </w:t>
      </w:r>
      <w:r w:rsidRPr="00092ED7">
        <w:rPr>
          <w:rFonts w:cs="Times New Roman"/>
          <w:iCs/>
          <w:lang w:val="sr-Cyrl-CS"/>
        </w:rPr>
        <w:t>Светске банке у оквиру пројектног кредита за пројекат „Enabling Digital Governance</w:t>
      </w:r>
      <w:r w:rsidR="00DD04E6" w:rsidRPr="00092ED7">
        <w:rPr>
          <w:rFonts w:cs="Times New Roman"/>
          <w:szCs w:val="24"/>
          <w:lang w:val="sr-Cyrl-CS"/>
        </w:rPr>
        <w:t>”</w:t>
      </w:r>
      <w:r w:rsidRPr="00092ED7">
        <w:rPr>
          <w:rFonts w:cs="Times New Roman"/>
          <w:iCs/>
          <w:lang w:val="sr-Cyrl-CS"/>
        </w:rPr>
        <w:t xml:space="preserve"> и</w:t>
      </w:r>
      <w:r w:rsidR="00BE197D" w:rsidRPr="00092ED7">
        <w:rPr>
          <w:rFonts w:cs="Times New Roman"/>
          <w:iCs/>
          <w:lang w:val="sr-Cyrl-CS"/>
        </w:rPr>
        <w:t xml:space="preserve"> донације</w:t>
      </w:r>
      <w:r w:rsidRPr="00092ED7">
        <w:rPr>
          <w:rFonts w:cs="Times New Roman"/>
          <w:iCs/>
          <w:lang w:val="sr-Cyrl-CS"/>
        </w:rPr>
        <w:t xml:space="preserve"> </w:t>
      </w:r>
      <w:r w:rsidRPr="00092ED7">
        <w:rPr>
          <w:iCs/>
          <w:lang w:val="sr-Cyrl-CS"/>
        </w:rPr>
        <w:t>EBRD</w:t>
      </w:r>
      <w:r w:rsidRPr="00092ED7">
        <w:rPr>
          <w:rFonts w:cs="Times New Roman"/>
          <w:iCs/>
          <w:lang w:val="sr-Cyrl-CS"/>
        </w:rPr>
        <w:t>.</w:t>
      </w:r>
      <w:r w:rsidRPr="00092ED7">
        <w:rPr>
          <w:rFonts w:cs="Times New Roman"/>
          <w:iCs/>
          <w:lang w:val="sr-Cyrl-CS" w:bidi="sr-Cyrl-CS"/>
        </w:rPr>
        <w:t xml:space="preserve"> За наведене активности</w:t>
      </w:r>
      <w:r w:rsidRPr="00092ED7">
        <w:rPr>
          <w:rFonts w:cs="Times New Roman"/>
          <w:iCs/>
          <w:lang w:val="sr-Cyrl-CS"/>
        </w:rPr>
        <w:t>,</w:t>
      </w:r>
      <w:r w:rsidRPr="00092ED7">
        <w:rPr>
          <w:rFonts w:cs="Times New Roman"/>
          <w:iCs/>
          <w:lang w:val="sr-Cyrl-CS" w:bidi="sr-Cyrl-CS"/>
        </w:rPr>
        <w:t xml:space="preserve"> </w:t>
      </w:r>
      <w:r w:rsidRPr="00092ED7">
        <w:rPr>
          <w:rFonts w:cs="Times New Roman"/>
          <w:iCs/>
          <w:lang w:val="sr-Cyrl-CS"/>
        </w:rPr>
        <w:t>у периоду 2023-2025,</w:t>
      </w:r>
      <w:r w:rsidRPr="00092ED7">
        <w:rPr>
          <w:rFonts w:cs="Times New Roman"/>
          <w:iCs/>
          <w:lang w:val="sr-Cyrl-CS" w:bidi="sr-Cyrl-CS"/>
        </w:rPr>
        <w:t xml:space="preserve"> </w:t>
      </w:r>
      <w:r w:rsidRPr="00092ED7">
        <w:rPr>
          <w:rFonts w:cs="Times New Roman"/>
          <w:iCs/>
          <w:lang w:val="sr-Cyrl-CS"/>
        </w:rPr>
        <w:t xml:space="preserve">опредељено је 2,2 </w:t>
      </w:r>
      <w:r w:rsidRPr="00092ED7">
        <w:rPr>
          <w:rFonts w:cs="Times New Roman"/>
          <w:iCs/>
          <w:lang w:val="sr-Cyrl-CS" w:bidi="sr-Cyrl-CS"/>
        </w:rPr>
        <w:t xml:space="preserve"> милиона евра</w:t>
      </w:r>
      <w:r w:rsidRPr="00092ED7">
        <w:rPr>
          <w:rFonts w:cs="Times New Roman"/>
          <w:iCs/>
          <w:lang w:val="sr-Cyrl-CS"/>
        </w:rPr>
        <w:t xml:space="preserve"> из ИПА фондова</w:t>
      </w:r>
      <w:r w:rsidRPr="00092ED7">
        <w:rPr>
          <w:rFonts w:cs="Times New Roman"/>
          <w:iCs/>
          <w:lang w:val="sr-Cyrl-CS" w:bidi="sr-Cyrl-CS"/>
        </w:rPr>
        <w:t xml:space="preserve"> </w:t>
      </w:r>
      <w:r w:rsidRPr="00092ED7">
        <w:rPr>
          <w:rFonts w:cs="Times New Roman"/>
          <w:iCs/>
          <w:lang w:val="sr-Cyrl-CS"/>
        </w:rPr>
        <w:t>(</w:t>
      </w:r>
      <w:r w:rsidRPr="00092ED7">
        <w:rPr>
          <w:rFonts w:cs="Times New Roman"/>
          <w:iCs/>
          <w:lang w:val="sr-Cyrl-CS" w:bidi="sr-Cyrl-CS"/>
        </w:rPr>
        <w:t xml:space="preserve">за оптимизацију поступака </w:t>
      </w:r>
      <w:r w:rsidRPr="00092ED7">
        <w:rPr>
          <w:rFonts w:cs="Times New Roman"/>
          <w:iCs/>
          <w:lang w:val="sr-Cyrl-CS"/>
        </w:rPr>
        <w:t>335</w:t>
      </w:r>
      <w:r w:rsidRPr="00092ED7">
        <w:rPr>
          <w:rFonts w:cs="Times New Roman"/>
          <w:iCs/>
          <w:lang w:val="sr-Cyrl-CS" w:bidi="sr-Cyrl-CS"/>
        </w:rPr>
        <w:t xml:space="preserve"> хиљада евра, за дигитализацију поступака</w:t>
      </w:r>
      <w:r w:rsidRPr="00092ED7">
        <w:rPr>
          <w:rFonts w:cs="Times New Roman"/>
          <w:iCs/>
          <w:lang w:val="sr-Cyrl-CS"/>
        </w:rPr>
        <w:t xml:space="preserve"> и пословних епизода</w:t>
      </w:r>
      <w:r w:rsidRPr="00092ED7">
        <w:rPr>
          <w:rFonts w:cs="Times New Roman"/>
          <w:iCs/>
          <w:lang w:val="sr-Cyrl-CS" w:bidi="sr-Cyrl-CS"/>
        </w:rPr>
        <w:t xml:space="preserve"> 1,</w:t>
      </w:r>
      <w:r w:rsidRPr="00092ED7">
        <w:rPr>
          <w:rFonts w:cs="Times New Roman"/>
          <w:iCs/>
          <w:lang w:val="sr-Cyrl-CS"/>
        </w:rPr>
        <w:t>35</w:t>
      </w:r>
      <w:r w:rsidRPr="00092ED7">
        <w:rPr>
          <w:rFonts w:cs="Times New Roman"/>
          <w:iCs/>
          <w:lang w:val="sr-Cyrl-CS" w:bidi="sr-Cyrl-CS"/>
        </w:rPr>
        <w:t xml:space="preserve"> милиона евра</w:t>
      </w:r>
      <w:r w:rsidRPr="00092ED7">
        <w:rPr>
          <w:rFonts w:cs="Times New Roman"/>
          <w:iCs/>
          <w:lang w:val="sr-Cyrl-CS"/>
        </w:rPr>
        <w:t>, за попис административних захтева 290 хиљада</w:t>
      </w:r>
      <w:r w:rsidR="00BE197D" w:rsidRPr="00092ED7">
        <w:rPr>
          <w:rFonts w:cs="Times New Roman"/>
          <w:iCs/>
          <w:lang w:val="sr-Cyrl-CS"/>
        </w:rPr>
        <w:t xml:space="preserve"> евра</w:t>
      </w:r>
      <w:r w:rsidRPr="00092ED7">
        <w:rPr>
          <w:rFonts w:cs="Times New Roman"/>
          <w:iCs/>
          <w:lang w:val="sr-Cyrl-CS"/>
        </w:rPr>
        <w:t>,</w:t>
      </w:r>
      <w:r w:rsidRPr="00092ED7">
        <w:rPr>
          <w:rFonts w:cs="Times New Roman"/>
          <w:iCs/>
          <w:lang w:val="sr-Cyrl-CS" w:bidi="sr-Cyrl-CS"/>
        </w:rPr>
        <w:t xml:space="preserve"> за унапређење Регистра административних поступака</w:t>
      </w:r>
      <w:r w:rsidRPr="00092ED7">
        <w:rPr>
          <w:rFonts w:cs="Times New Roman"/>
          <w:iCs/>
          <w:lang w:val="sr-Cyrl-CS"/>
        </w:rPr>
        <w:t xml:space="preserve"> </w:t>
      </w:r>
      <w:r w:rsidRPr="00092ED7">
        <w:rPr>
          <w:rFonts w:cs="Times New Roman"/>
          <w:iCs/>
          <w:lang w:val="sr-Cyrl-CS" w:bidi="sr-Cyrl-CS"/>
        </w:rPr>
        <w:t>1</w:t>
      </w:r>
      <w:r w:rsidRPr="00092ED7">
        <w:rPr>
          <w:rFonts w:cs="Times New Roman"/>
          <w:iCs/>
          <w:lang w:val="sr-Cyrl-CS"/>
        </w:rPr>
        <w:t>2</w:t>
      </w:r>
      <w:r w:rsidRPr="00092ED7">
        <w:rPr>
          <w:rFonts w:cs="Times New Roman"/>
          <w:iCs/>
          <w:lang w:val="sr-Cyrl-CS" w:bidi="sr-Cyrl-CS"/>
        </w:rPr>
        <w:t xml:space="preserve">0 хиљада евра </w:t>
      </w:r>
      <w:r w:rsidRPr="00092ED7">
        <w:rPr>
          <w:rFonts w:cs="Times New Roman"/>
          <w:iCs/>
          <w:lang w:val="sr-Cyrl-CS"/>
        </w:rPr>
        <w:t xml:space="preserve">и за развој онлајн мониторинг алата за претраживање мера и активности од значаја за пословно окружење које су предвиђене важећим документима јавних политика 100 хиљада евра), </w:t>
      </w:r>
      <w:r w:rsidR="00BE197D" w:rsidRPr="00092ED7">
        <w:rPr>
          <w:rFonts w:cs="Times New Roman"/>
          <w:iCs/>
          <w:lang w:val="sr-Cyrl-CS"/>
        </w:rPr>
        <w:t>2</w:t>
      </w:r>
      <w:r w:rsidRPr="00092ED7">
        <w:rPr>
          <w:rFonts w:cs="Times New Roman"/>
          <w:iCs/>
          <w:lang w:val="sr-Cyrl-CS"/>
        </w:rPr>
        <w:t>,</w:t>
      </w:r>
      <w:r w:rsidR="00BE197D" w:rsidRPr="00092ED7">
        <w:rPr>
          <w:rFonts w:cs="Times New Roman"/>
          <w:iCs/>
          <w:lang w:val="sr-Cyrl-CS"/>
        </w:rPr>
        <w:t>8</w:t>
      </w:r>
      <w:r w:rsidRPr="00092ED7">
        <w:rPr>
          <w:rFonts w:cs="Times New Roman"/>
          <w:iCs/>
          <w:lang w:val="sr-Cyrl-CS"/>
        </w:rPr>
        <w:t xml:space="preserve"> милион евра у оквиру пројектног кредита за пројекат „Enabling Digital Governance</w:t>
      </w:r>
      <w:r w:rsidR="00DD04E6" w:rsidRPr="00092ED7">
        <w:rPr>
          <w:rFonts w:cs="Times New Roman"/>
          <w:szCs w:val="24"/>
          <w:lang w:val="sr-Cyrl-CS"/>
        </w:rPr>
        <w:t>”</w:t>
      </w:r>
      <w:r w:rsidRPr="00092ED7">
        <w:rPr>
          <w:rFonts w:cs="Times New Roman"/>
          <w:iCs/>
          <w:lang w:val="sr-Cyrl-CS"/>
        </w:rPr>
        <w:t xml:space="preserve"> (7</w:t>
      </w:r>
      <w:r w:rsidR="00BE197D" w:rsidRPr="00092ED7">
        <w:rPr>
          <w:rFonts w:cs="Times New Roman"/>
          <w:iCs/>
          <w:lang w:val="sr-Cyrl-CS"/>
        </w:rPr>
        <w:t xml:space="preserve">2 </w:t>
      </w:r>
      <w:r w:rsidRPr="00092ED7">
        <w:rPr>
          <w:rFonts w:cs="Times New Roman"/>
          <w:iCs/>
          <w:lang w:val="sr-Cyrl-CS"/>
        </w:rPr>
        <w:t>хиљад</w:t>
      </w:r>
      <w:r w:rsidR="00BE197D" w:rsidRPr="00092ED7">
        <w:rPr>
          <w:rFonts w:cs="Times New Roman"/>
          <w:iCs/>
          <w:lang w:val="sr-Cyrl-CS"/>
        </w:rPr>
        <w:t>е</w:t>
      </w:r>
      <w:r w:rsidRPr="00092ED7">
        <w:rPr>
          <w:rFonts w:cs="Times New Roman"/>
          <w:iCs/>
          <w:lang w:val="sr-Cyrl-CS"/>
        </w:rPr>
        <w:t xml:space="preserve"> евра за оптимизацију и </w:t>
      </w:r>
      <w:r w:rsidR="00BE197D" w:rsidRPr="00092ED7">
        <w:rPr>
          <w:rFonts w:cs="Times New Roman"/>
          <w:iCs/>
          <w:lang w:val="sr-Cyrl-CS"/>
        </w:rPr>
        <w:t>2,75</w:t>
      </w:r>
      <w:r w:rsidRPr="00092ED7">
        <w:rPr>
          <w:rFonts w:cs="Times New Roman"/>
          <w:iCs/>
          <w:lang w:val="sr-Cyrl-CS"/>
        </w:rPr>
        <w:t xml:space="preserve"> милиона евра за дигитализацију административних поступака) и 215 хиљада евра бесповратних средстава </w:t>
      </w:r>
      <w:r w:rsidRPr="00092ED7">
        <w:rPr>
          <w:iCs/>
          <w:lang w:val="sr-Cyrl-CS"/>
        </w:rPr>
        <w:t xml:space="preserve">EBRD </w:t>
      </w:r>
      <w:r w:rsidRPr="00092ED7">
        <w:rPr>
          <w:rFonts w:cs="Times New Roman"/>
          <w:iCs/>
          <w:lang w:val="sr-Cyrl-CS"/>
        </w:rPr>
        <w:t>(за дигитализацију административних поступака у области обновљивих извора енергије)</w:t>
      </w:r>
      <w:r w:rsidRPr="00092ED7">
        <w:rPr>
          <w:rFonts w:cs="Times New Roman"/>
          <w:iCs/>
          <w:lang w:val="sr-Cyrl-CS" w:bidi="sr-Cyrl-CS"/>
        </w:rPr>
        <w:t xml:space="preserve">. </w:t>
      </w:r>
    </w:p>
    <w:p w14:paraId="07B4A25D" w14:textId="77777777" w:rsidR="00D210F0" w:rsidRPr="00092ED7" w:rsidRDefault="00D210F0" w:rsidP="00D10049">
      <w:pPr>
        <w:widowControl w:val="0"/>
        <w:numPr>
          <w:ilvl w:val="0"/>
          <w:numId w:val="22"/>
        </w:numPr>
        <w:spacing w:before="120"/>
        <w:ind w:left="425" w:hanging="425"/>
        <w:rPr>
          <w:rFonts w:eastAsia="Calibri" w:cs="Times New Roman"/>
          <w:b/>
          <w:szCs w:val="24"/>
          <w:lang w:val="sr-Cyrl-CS" w:eastAsia="sr-Cyrl-CS" w:bidi="sr-Cyrl-CS"/>
        </w:rPr>
      </w:pPr>
      <w:r w:rsidRPr="00092ED7">
        <w:rPr>
          <w:rFonts w:eastAsia="Calibri" w:cs="Times New Roman"/>
          <w:b/>
          <w:szCs w:val="24"/>
          <w:lang w:val="sr-Cyrl-CS" w:eastAsia="sr-Cyrl-CS" w:bidi="sr-Cyrl-CS"/>
        </w:rPr>
        <w:t>Очекивани утицај на социјалне циљеве, као што су запосленост, смањење сиромаштва, родна равноправност и приступ здравственој заштити</w:t>
      </w:r>
    </w:p>
    <w:p w14:paraId="37C5802F" w14:textId="37DAF437" w:rsidR="00D10049" w:rsidRPr="00092ED7" w:rsidRDefault="00B3174B" w:rsidP="00D10049">
      <w:pPr>
        <w:widowControl w:val="0"/>
        <w:spacing w:after="60"/>
        <w:rPr>
          <w:rFonts w:eastAsia="Calibri" w:cs="Times New Roman"/>
          <w:szCs w:val="24"/>
          <w:lang w:val="sr-Cyrl-CS" w:eastAsia="sr-Cyrl-CS" w:bidi="sr-Cyrl-CS"/>
        </w:rPr>
      </w:pPr>
      <w:r w:rsidRPr="00092ED7">
        <w:rPr>
          <w:lang w:val="sr-Cyrl-CS"/>
        </w:rPr>
        <w:t xml:space="preserve"> </w:t>
      </w:r>
      <w:r w:rsidR="00E967CE" w:rsidRPr="00092ED7">
        <w:rPr>
          <w:lang w:val="sr-Cyrl-CS"/>
        </w:rPr>
        <w:t xml:space="preserve">Успостављањем Регистра административних поступака (све потребне информације за пословање доступне на једном месту) може се очекивати индиректни утицај на повећање запослености, јер се смањују трошкови за привреду (уштеда </w:t>
      </w:r>
      <w:r w:rsidR="008E2AAE" w:rsidRPr="00092ED7">
        <w:rPr>
          <w:lang w:val="sr-Cyrl-CS"/>
        </w:rPr>
        <w:t xml:space="preserve">до сада </w:t>
      </w:r>
      <w:r w:rsidR="003917AF" w:rsidRPr="00092ED7">
        <w:rPr>
          <w:lang w:val="sr-Cyrl-CS"/>
        </w:rPr>
        <w:t>ск</w:t>
      </w:r>
      <w:r w:rsidR="00E967CE" w:rsidRPr="00092ED7">
        <w:rPr>
          <w:lang w:val="sr-Cyrl-CS"/>
        </w:rPr>
        <w:t>о</w:t>
      </w:r>
      <w:r w:rsidR="003917AF" w:rsidRPr="00092ED7">
        <w:rPr>
          <w:lang w:val="sr-Cyrl-CS"/>
        </w:rPr>
        <w:t>р</w:t>
      </w:r>
      <w:r w:rsidR="00E967CE" w:rsidRPr="00092ED7">
        <w:rPr>
          <w:lang w:val="sr-Cyrl-CS"/>
        </w:rPr>
        <w:t>о 33 милиона евра годишње)</w:t>
      </w:r>
      <w:r w:rsidR="006B0BA0" w:rsidRPr="00092ED7">
        <w:rPr>
          <w:lang w:val="sr-Cyrl-CS"/>
        </w:rPr>
        <w:t>,</w:t>
      </w:r>
      <w:r w:rsidR="00E967CE" w:rsidRPr="00092ED7">
        <w:rPr>
          <w:lang w:val="sr-Cyrl-CS"/>
        </w:rPr>
        <w:t xml:space="preserve"> а остварене уштеде се могу усмерити на отварање нових радних места. Када говоримо о утицају на родну равноправност, део реформе који се односи на </w:t>
      </w:r>
      <w:r w:rsidR="00E967CE" w:rsidRPr="00092ED7">
        <w:rPr>
          <w:b/>
          <w:lang w:val="sr-Cyrl-CS"/>
        </w:rPr>
        <w:t>укидање и поједностављење административних поступака</w:t>
      </w:r>
      <w:r w:rsidR="00E967CE" w:rsidRPr="00092ED7">
        <w:rPr>
          <w:lang w:val="sr-Cyrl-CS"/>
        </w:rPr>
        <w:t xml:space="preserve"> (оптимизација) нема потенцијал да допринесе унапређењу родне равноправности, јер се с</w:t>
      </w:r>
      <w:r w:rsidR="00E967CE" w:rsidRPr="00092ED7">
        <w:rPr>
          <w:color w:val="000000" w:themeColor="text1"/>
          <w:lang w:val="sr-Cyrl-CS"/>
        </w:rPr>
        <w:t xml:space="preserve">краћује време привреди и грађанима за остваривање права </w:t>
      </w:r>
      <w:r w:rsidR="00E967CE" w:rsidRPr="00092ED7">
        <w:rPr>
          <w:lang w:val="sr-Cyrl-CS"/>
        </w:rPr>
        <w:t xml:space="preserve">утврђених законима у поступцима пред јавном управом независно од пола. </w:t>
      </w:r>
      <w:r w:rsidR="00E967CE" w:rsidRPr="00092ED7">
        <w:rPr>
          <w:color w:val="000000" w:themeColor="text1"/>
          <w:lang w:val="sr-Cyrl-CS"/>
        </w:rPr>
        <w:t xml:space="preserve">Са друге стране, део реформе који се односи на </w:t>
      </w:r>
      <w:r w:rsidR="00E967CE" w:rsidRPr="00092ED7">
        <w:rPr>
          <w:b/>
          <w:lang w:val="sr-Cyrl-CS"/>
        </w:rPr>
        <w:t>дигитализацију административних поступака</w:t>
      </w:r>
      <w:r w:rsidR="00E967CE" w:rsidRPr="00092ED7">
        <w:rPr>
          <w:lang w:val="sr-Cyrl-CS"/>
        </w:rPr>
        <w:t xml:space="preserve"> неће утицати на продубљивање родне неједнакости у погледу остваривања права утврђених законима, јер се пружа могућност избора </w:t>
      </w:r>
      <w:r w:rsidR="00E967CE" w:rsidRPr="00092ED7">
        <w:rPr>
          <w:color w:val="000000" w:themeColor="text1"/>
          <w:lang w:val="sr-Cyrl-CS"/>
        </w:rPr>
        <w:t xml:space="preserve">начина покретања и спровођења административног поступка – електронски или путем поднеска у папирној форми надлежном органу. Такође, сви ови процеси/делови реформе (укидање, </w:t>
      </w:r>
      <w:r w:rsidR="00E967CE" w:rsidRPr="00092ED7">
        <w:rPr>
          <w:lang w:val="sr-Cyrl-CS"/>
        </w:rPr>
        <w:t xml:space="preserve">поједностављење и </w:t>
      </w:r>
      <w:r w:rsidR="00E967CE" w:rsidRPr="00092ED7">
        <w:rPr>
          <w:color w:val="000000" w:themeColor="text1"/>
          <w:lang w:val="sr-Cyrl-CS"/>
        </w:rPr>
        <w:t>дигитализација административних поступака) имаће позитиван ефекат на запослене жене и мушкарце у јавној управи јер ће им олакшати обављање посла.</w:t>
      </w:r>
    </w:p>
    <w:p w14:paraId="2ED35FF8" w14:textId="77777777" w:rsidR="00D210F0" w:rsidRPr="00092ED7" w:rsidRDefault="00D210F0" w:rsidP="00D10049">
      <w:pPr>
        <w:widowControl w:val="0"/>
        <w:numPr>
          <w:ilvl w:val="0"/>
          <w:numId w:val="22"/>
        </w:numPr>
        <w:spacing w:before="120"/>
        <w:ind w:left="425" w:hanging="425"/>
        <w:rPr>
          <w:rFonts w:eastAsia="Calibri" w:cs="Times New Roman"/>
          <w:b/>
          <w:szCs w:val="24"/>
          <w:lang w:val="sr-Cyrl-CS" w:eastAsia="sr-Cyrl-CS" w:bidi="sr-Cyrl-CS"/>
        </w:rPr>
      </w:pPr>
      <w:r w:rsidRPr="00092ED7">
        <w:rPr>
          <w:rFonts w:eastAsia="Calibri" w:cs="Times New Roman"/>
          <w:b/>
          <w:szCs w:val="24"/>
          <w:lang w:val="sr-Cyrl-CS" w:eastAsia="sr-Cyrl-CS" w:bidi="sr-Cyrl-CS"/>
        </w:rPr>
        <w:t>Очекивани утицај на животну средину и климатске промене</w:t>
      </w:r>
    </w:p>
    <w:p w14:paraId="7E157F36" w14:textId="77777777" w:rsidR="00D210F0" w:rsidRPr="00092ED7" w:rsidRDefault="00D210F0" w:rsidP="00D210F0">
      <w:pPr>
        <w:widowControl w:val="0"/>
        <w:spacing w:after="60"/>
        <w:rPr>
          <w:rFonts w:eastAsia="Calibri" w:cs="Times New Roman"/>
          <w:szCs w:val="24"/>
          <w:lang w:val="sr-Cyrl-CS" w:eastAsia="sr-Cyrl-CS" w:bidi="sr-Cyrl-CS"/>
        </w:rPr>
      </w:pPr>
      <w:r w:rsidRPr="00092ED7">
        <w:rPr>
          <w:rFonts w:eastAsia="Calibri" w:cs="Times New Roman"/>
          <w:szCs w:val="24"/>
          <w:lang w:val="sr-Cyrl-CS" w:eastAsia="sr-Cyrl-CS" w:bidi="sr-Cyrl-CS"/>
        </w:rPr>
        <w:t>Оптимизацијом и дигитализацијом административних поступака значајно се смањује употреба докумената у папирном облику, што ће имати позитиван утицај на заштиту животне средине</w:t>
      </w:r>
      <w:r w:rsidR="00192281" w:rsidRPr="00092ED7">
        <w:rPr>
          <w:rFonts w:eastAsia="Calibri" w:cs="Times New Roman"/>
          <w:szCs w:val="24"/>
          <w:lang w:val="sr-Cyrl-CS" w:eastAsia="sr-Cyrl-CS" w:bidi="sr-Cyrl-CS"/>
        </w:rPr>
        <w:t xml:space="preserve"> и климатске промене</w:t>
      </w:r>
      <w:r w:rsidRPr="00092ED7">
        <w:rPr>
          <w:rFonts w:eastAsia="Calibri" w:cs="Times New Roman"/>
          <w:szCs w:val="24"/>
          <w:lang w:val="sr-Cyrl-CS" w:eastAsia="sr-Cyrl-CS" w:bidi="sr-Cyrl-CS"/>
        </w:rPr>
        <w:t>.</w:t>
      </w:r>
    </w:p>
    <w:p w14:paraId="19BE3DD2" w14:textId="77777777" w:rsidR="00D210F0" w:rsidRPr="00092ED7" w:rsidRDefault="00D210F0" w:rsidP="00071952">
      <w:pPr>
        <w:widowControl w:val="0"/>
        <w:numPr>
          <w:ilvl w:val="0"/>
          <w:numId w:val="22"/>
        </w:numPr>
        <w:spacing w:before="120"/>
        <w:ind w:left="425" w:hanging="425"/>
        <w:rPr>
          <w:rFonts w:eastAsia="Calibri" w:cs="Times New Roman"/>
          <w:b/>
          <w:szCs w:val="24"/>
          <w:lang w:val="sr-Cyrl-CS" w:eastAsia="sr-Cyrl-CS" w:bidi="sr-Cyrl-CS"/>
        </w:rPr>
      </w:pPr>
      <w:r w:rsidRPr="00092ED7">
        <w:rPr>
          <w:rFonts w:eastAsia="Calibri" w:cs="Times New Roman"/>
          <w:b/>
          <w:szCs w:val="24"/>
          <w:lang w:val="sr-Cyrl-CS" w:eastAsia="sr-Cyrl-CS" w:bidi="sr-Cyrl-CS"/>
        </w:rPr>
        <w:t>Потенцијални ризици</w:t>
      </w:r>
    </w:p>
    <w:tbl>
      <w:tblPr>
        <w:tblStyle w:val="TableGrid"/>
        <w:tblW w:w="9209" w:type="dxa"/>
        <w:jc w:val="center"/>
        <w:tblLayout w:type="fixed"/>
        <w:tblLook w:val="04A0" w:firstRow="1" w:lastRow="0" w:firstColumn="1" w:lastColumn="0" w:noHBand="0" w:noVBand="1"/>
      </w:tblPr>
      <w:tblGrid>
        <w:gridCol w:w="3515"/>
        <w:gridCol w:w="2098"/>
        <w:gridCol w:w="3596"/>
      </w:tblGrid>
      <w:tr w:rsidR="00AE4362" w:rsidRPr="00092ED7" w14:paraId="2DFAC91B" w14:textId="77777777" w:rsidTr="00AE4362">
        <w:trPr>
          <w:cnfStyle w:val="100000000000" w:firstRow="1" w:lastRow="0" w:firstColumn="0" w:lastColumn="0" w:oddVBand="0" w:evenVBand="0" w:oddHBand="0" w:evenHBand="0" w:firstRowFirstColumn="0" w:firstRowLastColumn="0" w:lastRowFirstColumn="0" w:lastRowLastColumn="0"/>
          <w:jc w:val="center"/>
        </w:trPr>
        <w:tc>
          <w:tcPr>
            <w:tcW w:w="3515" w:type="dxa"/>
          </w:tcPr>
          <w:p w14:paraId="325656DD" w14:textId="77777777" w:rsidR="00AE4362" w:rsidRPr="00092ED7" w:rsidRDefault="00AE4362" w:rsidP="00E44EF2">
            <w:pPr>
              <w:spacing w:before="0" w:after="0"/>
              <w:ind w:left="113" w:right="113"/>
              <w:jc w:val="center"/>
              <w:rPr>
                <w:rFonts w:cs="Times New Roman"/>
                <w:b w:val="0"/>
                <w:sz w:val="20"/>
                <w:lang w:val="sr-Cyrl-CS"/>
              </w:rPr>
            </w:pPr>
            <w:r w:rsidRPr="00092ED7">
              <w:rPr>
                <w:rFonts w:cs="Times New Roman"/>
                <w:sz w:val="20"/>
                <w:lang w:val="sr-Cyrl-CS"/>
              </w:rPr>
              <w:t>Ризик</w:t>
            </w:r>
          </w:p>
        </w:tc>
        <w:tc>
          <w:tcPr>
            <w:tcW w:w="2098" w:type="dxa"/>
          </w:tcPr>
          <w:p w14:paraId="354F3141" w14:textId="77777777" w:rsidR="00AE4362" w:rsidRPr="00092ED7" w:rsidRDefault="00AE4362" w:rsidP="00E44EF2">
            <w:pPr>
              <w:spacing w:before="0" w:after="0"/>
              <w:ind w:left="113" w:right="113"/>
              <w:jc w:val="center"/>
              <w:rPr>
                <w:rFonts w:cs="Times New Roman"/>
                <w:b w:val="0"/>
                <w:sz w:val="20"/>
                <w:lang w:val="sr-Cyrl-CS"/>
              </w:rPr>
            </w:pPr>
            <w:r w:rsidRPr="00092ED7">
              <w:rPr>
                <w:rFonts w:cs="Times New Roman"/>
                <w:sz w:val="20"/>
                <w:lang w:val="sr-Cyrl-CS"/>
              </w:rPr>
              <w:t>Вероватноћа за остваривање ризика</w:t>
            </w:r>
          </w:p>
        </w:tc>
        <w:tc>
          <w:tcPr>
            <w:tcW w:w="3596" w:type="dxa"/>
          </w:tcPr>
          <w:p w14:paraId="3A2163B4" w14:textId="77777777" w:rsidR="00AE4362" w:rsidRPr="00092ED7" w:rsidRDefault="00AE4362" w:rsidP="00E44EF2">
            <w:pPr>
              <w:spacing w:before="0" w:after="0"/>
              <w:ind w:left="113" w:right="113"/>
              <w:jc w:val="center"/>
              <w:rPr>
                <w:rFonts w:cs="Times New Roman"/>
                <w:b w:val="0"/>
                <w:sz w:val="20"/>
                <w:lang w:val="sr-Cyrl-CS"/>
              </w:rPr>
            </w:pPr>
            <w:r w:rsidRPr="00092ED7">
              <w:rPr>
                <w:rFonts w:cs="Times New Roman"/>
                <w:sz w:val="20"/>
                <w:lang w:val="sr-Cyrl-CS"/>
              </w:rPr>
              <w:t>Планиране активност за ублажавање негативних ефеката ризика</w:t>
            </w:r>
          </w:p>
        </w:tc>
      </w:tr>
      <w:tr w:rsidR="00AE4362" w:rsidRPr="00092ED7" w14:paraId="1AE48755" w14:textId="77777777" w:rsidTr="000003B8">
        <w:trPr>
          <w:jc w:val="center"/>
        </w:trPr>
        <w:tc>
          <w:tcPr>
            <w:tcW w:w="3515" w:type="dxa"/>
            <w:vAlign w:val="top"/>
          </w:tcPr>
          <w:p w14:paraId="0901ED0D" w14:textId="7F2C432B" w:rsidR="00AE4362" w:rsidRPr="00092ED7" w:rsidRDefault="008E2AAE" w:rsidP="000003B8">
            <w:pPr>
              <w:spacing w:before="0" w:after="0"/>
              <w:ind w:left="113" w:right="113"/>
              <w:rPr>
                <w:rFonts w:cs="Times New Roman"/>
                <w:b/>
                <w:sz w:val="20"/>
                <w:lang w:val="sr-Cyrl-CS"/>
              </w:rPr>
            </w:pPr>
            <w:r w:rsidRPr="00092ED7">
              <w:rPr>
                <w:rFonts w:eastAsia="Times New Roman" w:cs="Times New Roman"/>
                <w:sz w:val="20"/>
                <w:lang w:val="sr-Cyrl-CS"/>
              </w:rPr>
              <w:t>Неспровођење оптимизације административних поступака у року</w:t>
            </w:r>
          </w:p>
        </w:tc>
        <w:tc>
          <w:tcPr>
            <w:tcW w:w="2098" w:type="dxa"/>
            <w:vAlign w:val="top"/>
          </w:tcPr>
          <w:p w14:paraId="29EFAFD7" w14:textId="77777777" w:rsidR="00AE4362" w:rsidRPr="00092ED7" w:rsidRDefault="00AE4362" w:rsidP="000003B8">
            <w:pPr>
              <w:spacing w:before="0" w:after="0"/>
              <w:ind w:left="113" w:right="113"/>
              <w:jc w:val="center"/>
              <w:rPr>
                <w:rFonts w:cs="Times New Roman"/>
                <w:bCs/>
                <w:sz w:val="20"/>
                <w:lang w:val="sr-Cyrl-CS"/>
              </w:rPr>
            </w:pPr>
            <w:r w:rsidRPr="00092ED7">
              <w:rPr>
                <w:rFonts w:cs="Times New Roman"/>
                <w:bCs/>
                <w:sz w:val="20"/>
                <w:lang w:val="sr-Cyrl-CS"/>
              </w:rPr>
              <w:t>Средња</w:t>
            </w:r>
          </w:p>
        </w:tc>
        <w:tc>
          <w:tcPr>
            <w:tcW w:w="3596" w:type="dxa"/>
            <w:vAlign w:val="top"/>
          </w:tcPr>
          <w:p w14:paraId="6B3993B5" w14:textId="6CD09AAA" w:rsidR="00AE4362" w:rsidRPr="00092ED7" w:rsidRDefault="008E2AAE" w:rsidP="000003B8">
            <w:pPr>
              <w:spacing w:before="0" w:after="0"/>
              <w:ind w:left="113" w:right="113"/>
              <w:rPr>
                <w:rFonts w:cs="Times New Roman"/>
                <w:b/>
                <w:sz w:val="20"/>
                <w:lang w:val="sr-Cyrl-CS"/>
              </w:rPr>
            </w:pPr>
            <w:r w:rsidRPr="00092ED7">
              <w:rPr>
                <w:rFonts w:eastAsia="Times New Roman" w:cs="Times New Roman"/>
                <w:sz w:val="20"/>
                <w:lang w:val="sr-Cyrl-CS"/>
              </w:rPr>
              <w:t xml:space="preserve">Обезбеђен је механизам за праћење спровођења оптимизације административних поступака и Влада усваја Програм </w:t>
            </w:r>
            <w:r w:rsidR="001E5441" w:rsidRPr="00092ED7">
              <w:rPr>
                <w:rFonts w:eastAsia="Times New Roman" w:cs="Times New Roman"/>
                <w:sz w:val="20"/>
                <w:lang w:val="sr-Cyrl-CS"/>
              </w:rPr>
              <w:t xml:space="preserve">за поједностављење административних поступака и регулативе „е-Папир” </w:t>
            </w:r>
            <w:r w:rsidRPr="00092ED7">
              <w:rPr>
                <w:rFonts w:eastAsia="Times New Roman" w:cs="Times New Roman"/>
                <w:sz w:val="20"/>
                <w:lang w:val="sr-Cyrl-CS"/>
              </w:rPr>
              <w:t xml:space="preserve">са Акционим </w:t>
            </w:r>
            <w:r w:rsidRPr="00092ED7">
              <w:rPr>
                <w:rFonts w:eastAsia="Times New Roman" w:cs="Times New Roman"/>
                <w:sz w:val="20"/>
                <w:lang w:val="sr-Cyrl-CS"/>
              </w:rPr>
              <w:lastRenderedPageBreak/>
              <w:t>планом како би се обезбедила динамика спровођења</w:t>
            </w:r>
            <w:r w:rsidRPr="00092ED7" w:rsidDel="008E2AAE">
              <w:rPr>
                <w:rFonts w:eastAsia="Times New Roman" w:cs="Times New Roman"/>
                <w:sz w:val="20"/>
                <w:lang w:val="sr-Cyrl-CS"/>
              </w:rPr>
              <w:t xml:space="preserve"> </w:t>
            </w:r>
            <w:r w:rsidR="00D47BD8" w:rsidRPr="00092ED7">
              <w:rPr>
                <w:rFonts w:cs="Times New Roman"/>
                <w:sz w:val="20"/>
                <w:lang w:val="sr-Cyrl-CS"/>
              </w:rPr>
              <w:t>.</w:t>
            </w:r>
          </w:p>
        </w:tc>
      </w:tr>
      <w:tr w:rsidR="008E2AAE" w:rsidRPr="00092ED7" w14:paraId="7977448F" w14:textId="77777777" w:rsidTr="008B4CAE">
        <w:trPr>
          <w:jc w:val="center"/>
        </w:trPr>
        <w:tc>
          <w:tcPr>
            <w:tcW w:w="3515" w:type="dxa"/>
            <w:vAlign w:val="top"/>
          </w:tcPr>
          <w:p w14:paraId="4C289607" w14:textId="77777777" w:rsidR="008E2AAE" w:rsidRPr="00092ED7" w:rsidRDefault="008E2AAE" w:rsidP="008B4CAE">
            <w:pPr>
              <w:spacing w:before="0" w:after="0"/>
              <w:ind w:left="113" w:right="113"/>
              <w:rPr>
                <w:rFonts w:eastAsia="Times New Roman" w:cs="Times New Roman"/>
                <w:sz w:val="20"/>
                <w:lang w:val="sr-Cyrl-CS"/>
              </w:rPr>
            </w:pPr>
            <w:r w:rsidRPr="00092ED7">
              <w:rPr>
                <w:rFonts w:eastAsia="Times New Roman" w:cs="Times New Roman"/>
                <w:sz w:val="20"/>
                <w:lang w:val="sr-Cyrl-CS"/>
              </w:rPr>
              <w:lastRenderedPageBreak/>
              <w:t>Неспровођење дигитализације административних поступака у року због потребе унапређења дигиталне инфраструктуре</w:t>
            </w:r>
          </w:p>
        </w:tc>
        <w:tc>
          <w:tcPr>
            <w:tcW w:w="2098" w:type="dxa"/>
            <w:vAlign w:val="top"/>
          </w:tcPr>
          <w:p w14:paraId="4C1075B1" w14:textId="77777777" w:rsidR="008E2AAE" w:rsidRPr="00092ED7" w:rsidRDefault="008E2AAE" w:rsidP="008B4CAE">
            <w:pPr>
              <w:spacing w:before="0" w:after="0"/>
              <w:ind w:left="113" w:right="113"/>
              <w:jc w:val="center"/>
              <w:rPr>
                <w:rFonts w:cs="Times New Roman"/>
                <w:bCs/>
                <w:sz w:val="20"/>
                <w:lang w:val="sr-Cyrl-CS"/>
              </w:rPr>
            </w:pPr>
            <w:r w:rsidRPr="00092ED7">
              <w:rPr>
                <w:rFonts w:cs="Times New Roman"/>
                <w:bCs/>
                <w:sz w:val="20"/>
                <w:lang w:val="sr-Cyrl-CS"/>
              </w:rPr>
              <w:t>Средња</w:t>
            </w:r>
          </w:p>
        </w:tc>
        <w:tc>
          <w:tcPr>
            <w:tcW w:w="3596" w:type="dxa"/>
            <w:vAlign w:val="top"/>
          </w:tcPr>
          <w:p w14:paraId="2E7FD767" w14:textId="24470513" w:rsidR="008E2AAE" w:rsidRPr="00092ED7" w:rsidRDefault="008E2AAE" w:rsidP="00DE4389">
            <w:pPr>
              <w:spacing w:before="0" w:after="0"/>
              <w:ind w:left="113" w:right="113"/>
              <w:rPr>
                <w:rFonts w:eastAsia="Times New Roman" w:cs="Times New Roman"/>
                <w:sz w:val="20"/>
                <w:lang w:val="sr-Cyrl-CS"/>
              </w:rPr>
            </w:pPr>
            <w:r w:rsidRPr="00092ED7">
              <w:rPr>
                <w:rFonts w:eastAsia="Times New Roman" w:cs="Times New Roman"/>
                <w:sz w:val="20"/>
                <w:lang w:val="sr-Cyrl-CS"/>
              </w:rPr>
              <w:t xml:space="preserve">Обезбеђен је механизам за праћење спровођења дигитализације административних поступака и Влада усваја Програм </w:t>
            </w:r>
            <w:r w:rsidR="001E5441" w:rsidRPr="00092ED7">
              <w:rPr>
                <w:rFonts w:eastAsia="Times New Roman" w:cs="Times New Roman"/>
                <w:sz w:val="20"/>
                <w:lang w:val="sr-Cyrl-CS"/>
              </w:rPr>
              <w:t xml:space="preserve">за поједностављење административних поступака и регулативе „е-Папир” </w:t>
            </w:r>
            <w:r w:rsidRPr="00092ED7">
              <w:rPr>
                <w:rFonts w:eastAsia="Times New Roman" w:cs="Times New Roman"/>
                <w:sz w:val="20"/>
                <w:lang w:val="sr-Cyrl-CS"/>
              </w:rPr>
              <w:t xml:space="preserve">са Акционим планом како би се обезбедила динамика спровођења. </w:t>
            </w:r>
            <w:r w:rsidR="00A215FA" w:rsidRPr="00092ED7">
              <w:rPr>
                <w:rFonts w:eastAsia="Times New Roman" w:cs="Times New Roman"/>
                <w:sz w:val="20"/>
                <w:lang w:val="sr-Cyrl-CS"/>
              </w:rPr>
              <w:t xml:space="preserve">Канцеларија </w:t>
            </w:r>
            <w:r w:rsidR="00DE4389" w:rsidRPr="00092ED7">
              <w:rPr>
                <w:rFonts w:eastAsia="Times New Roman" w:cs="Times New Roman"/>
                <w:sz w:val="20"/>
                <w:lang w:val="sr-Cyrl-CS"/>
              </w:rPr>
              <w:t xml:space="preserve">за </w:t>
            </w:r>
            <w:r w:rsidR="00A215FA" w:rsidRPr="00092ED7">
              <w:rPr>
                <w:rFonts w:eastAsia="Times New Roman" w:cs="Times New Roman"/>
                <w:sz w:val="20"/>
                <w:lang w:val="sr-Cyrl-CS"/>
              </w:rPr>
              <w:t xml:space="preserve">информационе технологије и електронску управу </w:t>
            </w:r>
            <w:r w:rsidRPr="00092ED7">
              <w:rPr>
                <w:rFonts w:eastAsia="Times New Roman" w:cs="Times New Roman"/>
                <w:sz w:val="20"/>
                <w:lang w:val="sr-Cyrl-CS"/>
              </w:rPr>
              <w:t>је трансформисан</w:t>
            </w:r>
            <w:r w:rsidR="00DE4389" w:rsidRPr="00092ED7">
              <w:rPr>
                <w:rFonts w:eastAsia="Times New Roman" w:cs="Times New Roman"/>
                <w:sz w:val="20"/>
                <w:lang w:val="sr-Cyrl-CS"/>
              </w:rPr>
              <w:t>а</w:t>
            </w:r>
            <w:r w:rsidRPr="00092ED7">
              <w:rPr>
                <w:rFonts w:eastAsia="Times New Roman" w:cs="Times New Roman"/>
                <w:sz w:val="20"/>
                <w:lang w:val="sr-Cyrl-CS"/>
              </w:rPr>
              <w:t xml:space="preserve"> у посебну организацију из службе Владе како би мога</w:t>
            </w:r>
            <w:r w:rsidR="00DE4389" w:rsidRPr="00092ED7">
              <w:rPr>
                <w:rFonts w:eastAsia="Times New Roman" w:cs="Times New Roman"/>
                <w:sz w:val="20"/>
                <w:lang w:val="sr-Cyrl-CS"/>
              </w:rPr>
              <w:t>ла</w:t>
            </w:r>
            <w:r w:rsidRPr="00092ED7">
              <w:rPr>
                <w:rFonts w:eastAsia="Times New Roman" w:cs="Times New Roman"/>
                <w:sz w:val="20"/>
                <w:lang w:val="sr-Cyrl-CS"/>
              </w:rPr>
              <w:t xml:space="preserve"> брже </w:t>
            </w:r>
            <w:r w:rsidR="00DE4389" w:rsidRPr="00092ED7">
              <w:rPr>
                <w:rFonts w:eastAsia="Times New Roman" w:cs="Times New Roman"/>
                <w:sz w:val="20"/>
                <w:lang w:val="sr-Cyrl-CS"/>
              </w:rPr>
              <w:t xml:space="preserve">да </w:t>
            </w:r>
            <w:r w:rsidRPr="00092ED7">
              <w:rPr>
                <w:rFonts w:eastAsia="Times New Roman" w:cs="Times New Roman"/>
                <w:sz w:val="20"/>
                <w:lang w:val="sr-Cyrl-CS"/>
              </w:rPr>
              <w:t>реализује активности на унапређењу потребне инфраструктуре</w:t>
            </w:r>
            <w:r w:rsidR="008B4CAE" w:rsidRPr="00092ED7">
              <w:rPr>
                <w:rFonts w:eastAsia="Times New Roman" w:cs="Times New Roman"/>
                <w:sz w:val="20"/>
                <w:lang w:val="sr-Cyrl-CS"/>
              </w:rPr>
              <w:t>.</w:t>
            </w:r>
          </w:p>
        </w:tc>
      </w:tr>
    </w:tbl>
    <w:p w14:paraId="6F8E205A" w14:textId="77777777" w:rsidR="00D210F0" w:rsidRPr="00092ED7" w:rsidRDefault="00D210F0" w:rsidP="00D210F0">
      <w:pPr>
        <w:spacing w:before="120"/>
        <w:rPr>
          <w:rFonts w:eastAsia="Calibri" w:cs="Times New Roman"/>
          <w:szCs w:val="24"/>
          <w:lang w:val="sr-Cyrl-CS"/>
        </w:rPr>
      </w:pPr>
      <w:r w:rsidRPr="00092ED7">
        <w:rPr>
          <w:rFonts w:eastAsia="Calibri" w:cs="Times New Roman"/>
          <w:b/>
          <w:szCs w:val="24"/>
          <w:u w:val="single"/>
          <w:lang w:val="sr-Cyrl-CS"/>
        </w:rPr>
        <w:t>СТРУКТУРНА РЕФОРМА 6</w:t>
      </w:r>
      <w:r w:rsidRPr="00092ED7">
        <w:rPr>
          <w:rFonts w:eastAsia="Calibri" w:cs="Times New Roman"/>
          <w:b/>
          <w:szCs w:val="24"/>
          <w:lang w:val="sr-Cyrl-CS"/>
        </w:rPr>
        <w:t>:</w:t>
      </w:r>
      <w:r w:rsidRPr="00092ED7">
        <w:rPr>
          <w:rFonts w:eastAsia="Calibri" w:cs="Times New Roman"/>
          <w:szCs w:val="24"/>
          <w:lang w:val="sr-Cyrl-CS"/>
        </w:rPr>
        <w:t xml:space="preserve"> ОДРЖИВО И ЕФИКАСНО УПРАВЉАЊЕ ПРИВРЕДНИМ СУБЈЕКТИМА У ВЛАСНИШТВУ РЕПУБЛИКЕ СРБИЈЕ</w:t>
      </w:r>
    </w:p>
    <w:p w14:paraId="3A7C0705" w14:textId="77777777" w:rsidR="00D210F0" w:rsidRPr="00092ED7" w:rsidRDefault="00D210F0" w:rsidP="00071952">
      <w:pPr>
        <w:pStyle w:val="ListParagraph"/>
        <w:widowControl w:val="0"/>
        <w:numPr>
          <w:ilvl w:val="0"/>
          <w:numId w:val="23"/>
        </w:numPr>
        <w:spacing w:before="120" w:line="240" w:lineRule="auto"/>
        <w:ind w:left="425" w:hanging="425"/>
        <w:contextualSpacing w:val="0"/>
        <w:rPr>
          <w:rFonts w:cs="Times New Roman"/>
          <w:b/>
          <w:sz w:val="24"/>
          <w:szCs w:val="24"/>
          <w:lang w:val="sr-Cyrl-CS" w:eastAsia="sr-Cyrl-CS" w:bidi="sr-Cyrl-CS"/>
        </w:rPr>
      </w:pPr>
      <w:r w:rsidRPr="00092ED7">
        <w:rPr>
          <w:rFonts w:cs="Times New Roman"/>
          <w:b/>
          <w:sz w:val="24"/>
          <w:szCs w:val="24"/>
          <w:lang w:val="sr-Cyrl-CS" w:eastAsia="sr-Cyrl-CS" w:bidi="sr-Cyrl-CS"/>
        </w:rPr>
        <w:t>Опис структурне реформе</w:t>
      </w:r>
    </w:p>
    <w:p w14:paraId="43261B11" w14:textId="7BCB6B83" w:rsidR="00D210F0" w:rsidRPr="00092ED7" w:rsidRDefault="00D210F0" w:rsidP="00B640AF">
      <w:pPr>
        <w:rPr>
          <w:rFonts w:cs="Times New Roman"/>
          <w:szCs w:val="24"/>
          <w:lang w:val="sr-Cyrl-CS"/>
        </w:rPr>
      </w:pPr>
      <w:r w:rsidRPr="00092ED7">
        <w:rPr>
          <w:rFonts w:cs="Times New Roman"/>
          <w:lang w:val="sr-Cyrl-CS"/>
        </w:rPr>
        <w:t xml:space="preserve">Циљ реформе је успостављање ефикаснијег надзора и система контроле пословања привредних субјеката у власништву Републике Србије. Остваривање власничких права државе над привредним субјектима у којима држава има удео, сходно смерницама </w:t>
      </w:r>
      <w:r w:rsidR="00192281" w:rsidRPr="00092ED7">
        <w:rPr>
          <w:lang w:val="sr-Cyrl-CS"/>
        </w:rPr>
        <w:t>OECD</w:t>
      </w:r>
      <w:r w:rsidRPr="00092ED7">
        <w:rPr>
          <w:rFonts w:cs="Times New Roman"/>
          <w:lang w:val="sr-Cyrl-CS"/>
        </w:rPr>
        <w:t xml:space="preserve">, треба да буде јасно идентификовано и, по могућству, централизовано. Влада је донела </w:t>
      </w:r>
      <w:r w:rsidRPr="00092ED7">
        <w:rPr>
          <w:rFonts w:cs="Times New Roman"/>
          <w:i/>
          <w:lang w:val="sr-Cyrl-CS"/>
        </w:rPr>
        <w:t xml:space="preserve">Стратегију државног власништва и управљања привредним субјектима који су у власништву Републике Србије за период </w:t>
      </w:r>
      <w:r w:rsidR="00A2596A" w:rsidRPr="00092ED7">
        <w:rPr>
          <w:rFonts w:cs="Times New Roman"/>
          <w:i/>
          <w:lang w:val="sr-Cyrl-CS"/>
        </w:rPr>
        <w:t xml:space="preserve">од </w:t>
      </w:r>
      <w:r w:rsidRPr="00092ED7">
        <w:rPr>
          <w:rFonts w:cs="Times New Roman"/>
          <w:i/>
          <w:lang w:val="sr-Cyrl-CS"/>
        </w:rPr>
        <w:t>2021. до 2027. го</w:t>
      </w:r>
      <w:r w:rsidRPr="00092ED7">
        <w:rPr>
          <w:rFonts w:cs="Times New Roman"/>
          <w:lang w:val="sr-Cyrl-CS"/>
        </w:rPr>
        <w:t>дине</w:t>
      </w:r>
      <w:r w:rsidR="001D56F3" w:rsidRPr="00092ED7">
        <w:rPr>
          <w:rFonts w:cs="Times New Roman"/>
          <w:szCs w:val="24"/>
          <w:lang w:val="sr-Cyrl-CS"/>
        </w:rPr>
        <w:t xml:space="preserve"> </w:t>
      </w:r>
      <w:r w:rsidRPr="00092ED7">
        <w:rPr>
          <w:rFonts w:cs="Times New Roman"/>
          <w:lang w:val="sr-Cyrl-CS"/>
        </w:rPr>
        <w:t xml:space="preserve">и </w:t>
      </w:r>
      <w:r w:rsidRPr="00092ED7">
        <w:rPr>
          <w:rFonts w:cs="Times New Roman"/>
          <w:i/>
          <w:lang w:val="sr-Cyrl-CS"/>
        </w:rPr>
        <w:t xml:space="preserve">Акциони план </w:t>
      </w:r>
      <w:r w:rsidR="00A215FA" w:rsidRPr="00092ED7">
        <w:rPr>
          <w:rFonts w:cs="Times New Roman"/>
          <w:b/>
          <w:color w:val="333333"/>
          <w:szCs w:val="24"/>
          <w:shd w:val="clear" w:color="auto" w:fill="FFFFFF"/>
          <w:lang w:val="sr-Cyrl-CS"/>
        </w:rPr>
        <w:t xml:space="preserve">за спровођење Стратегије државног власништва и управљања привредним субјектима који су у власништву Републике Србије за период oд 2021. до 2027. године, у периоду од 2021. до 2023. </w:t>
      </w:r>
      <w:r w:rsidR="00BA6F21" w:rsidRPr="00092ED7">
        <w:rPr>
          <w:rFonts w:cs="Times New Roman"/>
          <w:b/>
          <w:color w:val="333333"/>
          <w:szCs w:val="24"/>
          <w:shd w:val="clear" w:color="auto" w:fill="FFFFFF"/>
          <w:lang w:val="sr-Cyrl-CS"/>
        </w:rPr>
        <w:t>г</w:t>
      </w:r>
      <w:r w:rsidR="00A215FA" w:rsidRPr="00092ED7">
        <w:rPr>
          <w:rFonts w:cs="Times New Roman"/>
          <w:b/>
          <w:color w:val="333333"/>
          <w:szCs w:val="24"/>
          <w:shd w:val="clear" w:color="auto" w:fill="FFFFFF"/>
          <w:lang w:val="sr-Cyrl-CS"/>
        </w:rPr>
        <w:t>одине</w:t>
      </w:r>
      <w:r w:rsidRPr="00092ED7">
        <w:rPr>
          <w:rFonts w:cs="Times New Roman"/>
          <w:lang w:val="sr-Cyrl-CS"/>
        </w:rPr>
        <w:t>.</w:t>
      </w:r>
      <w:r w:rsidR="00930145" w:rsidRPr="00092ED7">
        <w:rPr>
          <w:rFonts w:cs="Times New Roman"/>
          <w:lang w:val="sr-Cyrl-CS"/>
        </w:rPr>
        <w:t xml:space="preserve"> </w:t>
      </w:r>
      <w:r w:rsidR="007D5E86" w:rsidRPr="00092ED7">
        <w:rPr>
          <w:rFonts w:cs="Times New Roman"/>
          <w:lang w:val="sr-Cyrl-CS"/>
        </w:rPr>
        <w:t>А</w:t>
      </w:r>
      <w:r w:rsidR="00930145" w:rsidRPr="00092ED7">
        <w:rPr>
          <w:rFonts w:cs="Times New Roman"/>
          <w:lang w:val="sr-Cyrl-CS"/>
        </w:rPr>
        <w:t xml:space="preserve">ктивности након 2023. године </w:t>
      </w:r>
      <w:r w:rsidR="000722E6" w:rsidRPr="00092ED7">
        <w:rPr>
          <w:rFonts w:cs="Times New Roman"/>
          <w:lang w:val="sr-Cyrl-CS"/>
        </w:rPr>
        <w:t xml:space="preserve">ће </w:t>
      </w:r>
      <w:r w:rsidR="00930145" w:rsidRPr="00092ED7">
        <w:rPr>
          <w:rFonts w:cs="Times New Roman"/>
          <w:lang w:val="sr-Cyrl-CS"/>
        </w:rPr>
        <w:t>бити утврђене наредним акционим планом, који ће бити донет до краја 2023. године.</w:t>
      </w:r>
    </w:p>
    <w:p w14:paraId="27E92342" w14:textId="45E88AD5" w:rsidR="00D210F0" w:rsidRPr="00092ED7" w:rsidRDefault="00D210F0" w:rsidP="00D210F0">
      <w:pPr>
        <w:widowControl w:val="0"/>
        <w:spacing w:after="60"/>
        <w:rPr>
          <w:rFonts w:cs="Times New Roman"/>
          <w:lang w:val="sr-Cyrl-CS"/>
        </w:rPr>
      </w:pPr>
      <w:r w:rsidRPr="00092ED7">
        <w:rPr>
          <w:rFonts w:cs="Times New Roman"/>
          <w:lang w:val="sr-Cyrl-CS"/>
        </w:rPr>
        <w:t xml:space="preserve">У складу са наведеном </w:t>
      </w:r>
      <w:r w:rsidR="00DE4389" w:rsidRPr="00092ED7">
        <w:rPr>
          <w:rFonts w:cs="Times New Roman"/>
          <w:lang w:val="sr-Cyrl-CS"/>
        </w:rPr>
        <w:t>с</w:t>
      </w:r>
      <w:r w:rsidRPr="00092ED7">
        <w:rPr>
          <w:rFonts w:cs="Times New Roman"/>
          <w:lang w:val="sr-Cyrl-CS"/>
        </w:rPr>
        <w:t xml:space="preserve">тратегијом, у претходном периоду је формирана база </w:t>
      </w:r>
      <w:r w:rsidR="00BA6F21" w:rsidRPr="00092ED7">
        <w:rPr>
          <w:rFonts w:cs="Times New Roman"/>
          <w:lang w:val="sr-Cyrl-CS"/>
        </w:rPr>
        <w:t xml:space="preserve">правних субјеката у власништву Републике Србије (у даљем тексту: </w:t>
      </w:r>
      <w:r w:rsidRPr="00092ED7">
        <w:rPr>
          <w:rFonts w:cs="Times New Roman"/>
          <w:lang w:val="sr-Cyrl-CS"/>
        </w:rPr>
        <w:t>ПСРС</w:t>
      </w:r>
      <w:r w:rsidR="00BA6F21" w:rsidRPr="00092ED7">
        <w:rPr>
          <w:rFonts w:cs="Times New Roman"/>
          <w:lang w:val="sr-Cyrl-CS"/>
        </w:rPr>
        <w:t>)</w:t>
      </w:r>
      <w:r w:rsidRPr="00092ED7">
        <w:rPr>
          <w:rFonts w:cs="Times New Roman"/>
          <w:lang w:val="sr-Cyrl-CS"/>
        </w:rPr>
        <w:t>, која се ажурира на дневном нивоу, извршена је анализа актуелног правног оквира који се односи на управљање ПСРС и припремљена радна верзија закона, којим ће се наведена област централизовати и уредити тако да се побољша ефикасност надзора и контроле пословања ПСРС.</w:t>
      </w:r>
    </w:p>
    <w:p w14:paraId="35FA6AC7" w14:textId="77777777" w:rsidR="00D210F0" w:rsidRPr="00092ED7" w:rsidRDefault="00D210F0" w:rsidP="00071952">
      <w:pPr>
        <w:widowControl w:val="0"/>
        <w:numPr>
          <w:ilvl w:val="0"/>
          <w:numId w:val="23"/>
        </w:numPr>
        <w:spacing w:before="120"/>
        <w:ind w:left="425" w:hanging="425"/>
        <w:rPr>
          <w:rFonts w:eastAsia="Calibri" w:cs="Times New Roman"/>
          <w:b/>
          <w:szCs w:val="24"/>
          <w:lang w:val="sr-Cyrl-CS" w:eastAsia="sr-Cyrl-CS" w:bidi="sr-Cyrl-CS"/>
        </w:rPr>
      </w:pPr>
      <w:r w:rsidRPr="00092ED7">
        <w:rPr>
          <w:rFonts w:eastAsia="Calibri" w:cs="Times New Roman"/>
          <w:b/>
          <w:szCs w:val="24"/>
          <w:lang w:val="sr-Cyrl-CS" w:eastAsia="sr-Cyrl-CS" w:bidi="sr-Cyrl-CS"/>
        </w:rPr>
        <w:t>Планиране активности по годинама</w:t>
      </w:r>
    </w:p>
    <w:tbl>
      <w:tblPr>
        <w:tblW w:w="9073" w:type="dxa"/>
        <w:tblLayout w:type="fixed"/>
        <w:tblCellMar>
          <w:left w:w="0" w:type="dxa"/>
          <w:right w:w="0" w:type="dxa"/>
        </w:tblCellMar>
        <w:tblLook w:val="04A0" w:firstRow="1" w:lastRow="0" w:firstColumn="1" w:lastColumn="0" w:noHBand="0" w:noVBand="1"/>
      </w:tblPr>
      <w:tblGrid>
        <w:gridCol w:w="411"/>
        <w:gridCol w:w="4399"/>
        <w:gridCol w:w="360"/>
        <w:gridCol w:w="360"/>
        <w:gridCol w:w="360"/>
        <w:gridCol w:w="317"/>
        <w:gridCol w:w="348"/>
        <w:gridCol w:w="360"/>
        <w:gridCol w:w="360"/>
        <w:gridCol w:w="359"/>
        <w:gridCol w:w="360"/>
        <w:gridCol w:w="359"/>
        <w:gridCol w:w="360"/>
        <w:gridCol w:w="360"/>
      </w:tblGrid>
      <w:tr w:rsidR="00D210F0" w:rsidRPr="00092ED7" w14:paraId="3FEAABF5" w14:textId="77777777" w:rsidTr="00AE4362">
        <w:trPr>
          <w:trHeight w:val="315"/>
        </w:trPr>
        <w:tc>
          <w:tcPr>
            <w:tcW w:w="411" w:type="dxa"/>
            <w:vMerge w:val="restart"/>
            <w:tcBorders>
              <w:top w:val="single" w:sz="8" w:space="0" w:color="auto"/>
              <w:left w:val="single" w:sz="8" w:space="0" w:color="auto"/>
              <w:right w:val="nil"/>
            </w:tcBorders>
            <w:shd w:val="clear" w:color="000000" w:fill="BDD6EE"/>
            <w:tcMar>
              <w:top w:w="15" w:type="dxa"/>
              <w:left w:w="15" w:type="dxa"/>
              <w:bottom w:w="0" w:type="dxa"/>
              <w:right w:w="15" w:type="dxa"/>
            </w:tcMar>
            <w:vAlign w:val="center"/>
            <w:hideMark/>
          </w:tcPr>
          <w:p w14:paraId="62DF18ED" w14:textId="77777777" w:rsidR="00D210F0" w:rsidRPr="00092ED7" w:rsidRDefault="00D210F0" w:rsidP="00D210F0">
            <w:pPr>
              <w:spacing w:after="0"/>
              <w:jc w:val="center"/>
              <w:rPr>
                <w:rFonts w:cs="Times New Roman"/>
                <w:b/>
                <w:bCs/>
                <w:color w:val="000000"/>
                <w:sz w:val="20"/>
                <w:szCs w:val="20"/>
                <w:lang w:val="sr-Cyrl-CS"/>
              </w:rPr>
            </w:pPr>
            <w:r w:rsidRPr="00092ED7">
              <w:rPr>
                <w:rFonts w:cs="Times New Roman"/>
                <w:b/>
                <w:bCs/>
                <w:color w:val="000000"/>
                <w:sz w:val="20"/>
                <w:szCs w:val="20"/>
                <w:lang w:val="sr-Cyrl-CS"/>
              </w:rPr>
              <w:t>РБ</w:t>
            </w:r>
          </w:p>
        </w:tc>
        <w:tc>
          <w:tcPr>
            <w:tcW w:w="4399" w:type="dxa"/>
            <w:vMerge w:val="restart"/>
            <w:tcBorders>
              <w:top w:val="single" w:sz="8" w:space="0" w:color="auto"/>
              <w:left w:val="single" w:sz="8" w:space="0" w:color="auto"/>
              <w:bottom w:val="single" w:sz="8" w:space="0" w:color="000000"/>
              <w:right w:val="nil"/>
            </w:tcBorders>
            <w:shd w:val="clear" w:color="auto" w:fill="BDD6EE" w:themeFill="accent1" w:themeFillTint="66"/>
            <w:tcMar>
              <w:top w:w="15" w:type="dxa"/>
              <w:left w:w="15" w:type="dxa"/>
              <w:bottom w:w="0" w:type="dxa"/>
              <w:right w:w="15" w:type="dxa"/>
            </w:tcMar>
            <w:vAlign w:val="center"/>
            <w:hideMark/>
          </w:tcPr>
          <w:p w14:paraId="23CC24A0" w14:textId="77777777" w:rsidR="00D210F0" w:rsidRPr="00092ED7" w:rsidRDefault="00D210F0" w:rsidP="00D210F0">
            <w:pPr>
              <w:spacing w:after="0"/>
              <w:jc w:val="left"/>
              <w:rPr>
                <w:rFonts w:cs="Times New Roman"/>
                <w:b/>
                <w:bCs/>
                <w:color w:val="000000"/>
                <w:sz w:val="20"/>
                <w:szCs w:val="20"/>
                <w:lang w:val="sr-Cyrl-CS"/>
              </w:rPr>
            </w:pPr>
            <w:r w:rsidRPr="00092ED7">
              <w:rPr>
                <w:rFonts w:cs="Times New Roman"/>
                <w:b/>
                <w:bCs/>
                <w:color w:val="000000"/>
                <w:sz w:val="20"/>
                <w:szCs w:val="20"/>
                <w:lang w:val="sr-Cyrl-CS"/>
              </w:rPr>
              <w:t>Планиране активности</w:t>
            </w:r>
          </w:p>
        </w:tc>
        <w:tc>
          <w:tcPr>
            <w:tcW w:w="1397" w:type="dxa"/>
            <w:gridSpan w:val="4"/>
            <w:tcBorders>
              <w:top w:val="single" w:sz="8" w:space="0" w:color="auto"/>
              <w:left w:val="single" w:sz="8" w:space="0" w:color="auto"/>
              <w:bottom w:val="single" w:sz="4" w:space="0" w:color="auto"/>
              <w:right w:val="single" w:sz="8" w:space="0" w:color="000000"/>
            </w:tcBorders>
            <w:shd w:val="clear" w:color="auto" w:fill="BDD6EE" w:themeFill="accent1" w:themeFillTint="66"/>
            <w:tcMar>
              <w:top w:w="15" w:type="dxa"/>
              <w:left w:w="15" w:type="dxa"/>
              <w:bottom w:w="0" w:type="dxa"/>
              <w:right w:w="15" w:type="dxa"/>
            </w:tcMar>
            <w:vAlign w:val="center"/>
            <w:hideMark/>
          </w:tcPr>
          <w:p w14:paraId="69A5D082" w14:textId="77777777" w:rsidR="00D210F0" w:rsidRPr="00092ED7" w:rsidRDefault="00D210F0" w:rsidP="00D210F0">
            <w:pPr>
              <w:spacing w:after="0"/>
              <w:jc w:val="center"/>
              <w:rPr>
                <w:rFonts w:cs="Times New Roman"/>
                <w:b/>
                <w:bCs/>
                <w:color w:val="000000"/>
                <w:sz w:val="20"/>
                <w:szCs w:val="20"/>
                <w:lang w:val="sr-Cyrl-CS"/>
              </w:rPr>
            </w:pPr>
            <w:r w:rsidRPr="00092ED7">
              <w:rPr>
                <w:rFonts w:cs="Times New Roman"/>
                <w:b/>
                <w:bCs/>
                <w:color w:val="000000"/>
                <w:sz w:val="20"/>
                <w:szCs w:val="20"/>
                <w:lang w:val="sr-Cyrl-CS"/>
              </w:rPr>
              <w:t>2023</w:t>
            </w:r>
          </w:p>
        </w:tc>
        <w:tc>
          <w:tcPr>
            <w:tcW w:w="1427" w:type="dxa"/>
            <w:gridSpan w:val="4"/>
            <w:tcBorders>
              <w:top w:val="single" w:sz="8" w:space="0" w:color="auto"/>
              <w:left w:val="single" w:sz="8" w:space="0" w:color="auto"/>
              <w:bottom w:val="single" w:sz="4" w:space="0" w:color="auto"/>
              <w:right w:val="single" w:sz="8" w:space="0" w:color="000000"/>
            </w:tcBorders>
            <w:shd w:val="clear" w:color="auto" w:fill="BDD6EE" w:themeFill="accent1" w:themeFillTint="66"/>
            <w:tcMar>
              <w:top w:w="15" w:type="dxa"/>
              <w:left w:w="15" w:type="dxa"/>
              <w:bottom w:w="0" w:type="dxa"/>
              <w:right w:w="15" w:type="dxa"/>
            </w:tcMar>
            <w:vAlign w:val="center"/>
            <w:hideMark/>
          </w:tcPr>
          <w:p w14:paraId="193D08E2" w14:textId="77777777" w:rsidR="00D210F0" w:rsidRPr="00092ED7" w:rsidRDefault="00D210F0" w:rsidP="00D210F0">
            <w:pPr>
              <w:spacing w:after="0"/>
              <w:jc w:val="center"/>
              <w:rPr>
                <w:rFonts w:cs="Times New Roman"/>
                <w:b/>
                <w:bCs/>
                <w:color w:val="000000"/>
                <w:sz w:val="20"/>
                <w:szCs w:val="20"/>
                <w:lang w:val="sr-Cyrl-CS"/>
              </w:rPr>
            </w:pPr>
            <w:r w:rsidRPr="00092ED7">
              <w:rPr>
                <w:rFonts w:cs="Times New Roman"/>
                <w:b/>
                <w:bCs/>
                <w:color w:val="000000"/>
                <w:sz w:val="20"/>
                <w:szCs w:val="20"/>
                <w:lang w:val="sr-Cyrl-CS"/>
              </w:rPr>
              <w:t>2024</w:t>
            </w:r>
          </w:p>
        </w:tc>
        <w:tc>
          <w:tcPr>
            <w:tcW w:w="1439" w:type="dxa"/>
            <w:gridSpan w:val="4"/>
            <w:tcBorders>
              <w:top w:val="single" w:sz="8" w:space="0" w:color="auto"/>
              <w:left w:val="nil"/>
              <w:bottom w:val="single" w:sz="4" w:space="0" w:color="auto"/>
              <w:right w:val="single" w:sz="8" w:space="0" w:color="000000"/>
            </w:tcBorders>
            <w:shd w:val="clear" w:color="auto" w:fill="BDD6EE" w:themeFill="accent1" w:themeFillTint="66"/>
            <w:tcMar>
              <w:top w:w="15" w:type="dxa"/>
              <w:left w:w="15" w:type="dxa"/>
              <w:bottom w:w="0" w:type="dxa"/>
              <w:right w:w="15" w:type="dxa"/>
            </w:tcMar>
            <w:vAlign w:val="center"/>
            <w:hideMark/>
          </w:tcPr>
          <w:p w14:paraId="558A9107" w14:textId="77777777" w:rsidR="00D210F0" w:rsidRPr="00092ED7" w:rsidRDefault="00D210F0" w:rsidP="00D210F0">
            <w:pPr>
              <w:spacing w:after="0"/>
              <w:jc w:val="center"/>
              <w:rPr>
                <w:rFonts w:cs="Times New Roman"/>
                <w:b/>
                <w:bCs/>
                <w:color w:val="000000"/>
                <w:sz w:val="20"/>
                <w:szCs w:val="20"/>
                <w:lang w:val="sr-Cyrl-CS"/>
              </w:rPr>
            </w:pPr>
            <w:r w:rsidRPr="00092ED7">
              <w:rPr>
                <w:rFonts w:cs="Times New Roman"/>
                <w:b/>
                <w:bCs/>
                <w:color w:val="000000"/>
                <w:sz w:val="20"/>
                <w:szCs w:val="20"/>
                <w:lang w:val="sr-Cyrl-CS"/>
              </w:rPr>
              <w:t>2025</w:t>
            </w:r>
          </w:p>
        </w:tc>
      </w:tr>
      <w:tr w:rsidR="00D210F0" w:rsidRPr="00092ED7" w14:paraId="38ECC513" w14:textId="77777777" w:rsidTr="00AE4362">
        <w:trPr>
          <w:trHeight w:val="315"/>
        </w:trPr>
        <w:tc>
          <w:tcPr>
            <w:tcW w:w="411" w:type="dxa"/>
            <w:vMerge/>
            <w:tcBorders>
              <w:left w:val="single" w:sz="8" w:space="0" w:color="auto"/>
              <w:bottom w:val="single" w:sz="8" w:space="0" w:color="000000"/>
              <w:right w:val="nil"/>
            </w:tcBorders>
            <w:shd w:val="clear" w:color="000000" w:fill="BDD6EE"/>
            <w:vAlign w:val="center"/>
            <w:hideMark/>
          </w:tcPr>
          <w:p w14:paraId="28D3BDDB" w14:textId="77777777" w:rsidR="00D210F0" w:rsidRPr="00092ED7" w:rsidRDefault="00D210F0" w:rsidP="00D210F0">
            <w:pPr>
              <w:spacing w:after="0"/>
              <w:jc w:val="center"/>
              <w:rPr>
                <w:rFonts w:cs="Times New Roman"/>
                <w:b/>
                <w:bCs/>
                <w:color w:val="000000"/>
                <w:sz w:val="20"/>
                <w:szCs w:val="20"/>
                <w:lang w:val="sr-Cyrl-CS"/>
              </w:rPr>
            </w:pPr>
          </w:p>
        </w:tc>
        <w:tc>
          <w:tcPr>
            <w:tcW w:w="4399" w:type="dxa"/>
            <w:vMerge/>
            <w:tcBorders>
              <w:top w:val="single" w:sz="8" w:space="0" w:color="auto"/>
              <w:left w:val="single" w:sz="8" w:space="0" w:color="auto"/>
              <w:bottom w:val="single" w:sz="8" w:space="0" w:color="000000"/>
              <w:right w:val="nil"/>
            </w:tcBorders>
            <w:shd w:val="clear" w:color="auto" w:fill="BDD6EE" w:themeFill="accent1" w:themeFillTint="66"/>
            <w:vAlign w:val="center"/>
            <w:hideMark/>
          </w:tcPr>
          <w:p w14:paraId="5E274AF5" w14:textId="77777777" w:rsidR="00D210F0" w:rsidRPr="00092ED7" w:rsidRDefault="00D210F0" w:rsidP="00D210F0">
            <w:pPr>
              <w:spacing w:after="0"/>
              <w:rPr>
                <w:rFonts w:cs="Times New Roman"/>
                <w:b/>
                <w:bCs/>
                <w:color w:val="000000"/>
                <w:sz w:val="20"/>
                <w:szCs w:val="20"/>
                <w:lang w:val="sr-Cyrl-CS"/>
              </w:rPr>
            </w:pPr>
          </w:p>
        </w:tc>
        <w:tc>
          <w:tcPr>
            <w:tcW w:w="360" w:type="dxa"/>
            <w:tcBorders>
              <w:top w:val="nil"/>
              <w:left w:val="single" w:sz="8" w:space="0" w:color="auto"/>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24736F06"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Q1</w:t>
            </w:r>
          </w:p>
        </w:tc>
        <w:tc>
          <w:tcPr>
            <w:tcW w:w="360"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7B7700BC"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Q2</w:t>
            </w:r>
          </w:p>
        </w:tc>
        <w:tc>
          <w:tcPr>
            <w:tcW w:w="360"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1F64180C"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Q3</w:t>
            </w:r>
          </w:p>
        </w:tc>
        <w:tc>
          <w:tcPr>
            <w:tcW w:w="317" w:type="dxa"/>
            <w:tcBorders>
              <w:top w:val="nil"/>
              <w:left w:val="nil"/>
              <w:bottom w:val="single" w:sz="8" w:space="0" w:color="auto"/>
              <w:right w:val="single" w:sz="8" w:space="0" w:color="auto"/>
            </w:tcBorders>
            <w:shd w:val="clear" w:color="auto" w:fill="BDD6EE" w:themeFill="accent1" w:themeFillTint="66"/>
            <w:tcMar>
              <w:top w:w="15" w:type="dxa"/>
              <w:left w:w="15" w:type="dxa"/>
              <w:bottom w:w="0" w:type="dxa"/>
              <w:right w:w="15" w:type="dxa"/>
            </w:tcMar>
            <w:vAlign w:val="center"/>
            <w:hideMark/>
          </w:tcPr>
          <w:p w14:paraId="5DFB3FA0"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Q4</w:t>
            </w:r>
          </w:p>
        </w:tc>
        <w:tc>
          <w:tcPr>
            <w:tcW w:w="348"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0AC4D0F8"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Q1</w:t>
            </w:r>
          </w:p>
        </w:tc>
        <w:tc>
          <w:tcPr>
            <w:tcW w:w="360"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3B916687"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Q2</w:t>
            </w:r>
          </w:p>
        </w:tc>
        <w:tc>
          <w:tcPr>
            <w:tcW w:w="360"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541717DE"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Q3</w:t>
            </w:r>
          </w:p>
        </w:tc>
        <w:tc>
          <w:tcPr>
            <w:tcW w:w="359" w:type="dxa"/>
            <w:tcBorders>
              <w:top w:val="nil"/>
              <w:left w:val="nil"/>
              <w:bottom w:val="single" w:sz="8" w:space="0" w:color="auto"/>
              <w:right w:val="single" w:sz="8" w:space="0" w:color="auto"/>
            </w:tcBorders>
            <w:shd w:val="clear" w:color="auto" w:fill="BDD6EE" w:themeFill="accent1" w:themeFillTint="66"/>
            <w:tcMar>
              <w:top w:w="15" w:type="dxa"/>
              <w:left w:w="15" w:type="dxa"/>
              <w:bottom w:w="0" w:type="dxa"/>
              <w:right w:w="15" w:type="dxa"/>
            </w:tcMar>
            <w:vAlign w:val="center"/>
            <w:hideMark/>
          </w:tcPr>
          <w:p w14:paraId="14FB7CCA"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Q4</w:t>
            </w:r>
          </w:p>
        </w:tc>
        <w:tc>
          <w:tcPr>
            <w:tcW w:w="360"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0EEEFC65"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Q1</w:t>
            </w:r>
          </w:p>
        </w:tc>
        <w:tc>
          <w:tcPr>
            <w:tcW w:w="359"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01556C36"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Q2</w:t>
            </w:r>
          </w:p>
        </w:tc>
        <w:tc>
          <w:tcPr>
            <w:tcW w:w="360"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45250BF7"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Q3</w:t>
            </w:r>
          </w:p>
        </w:tc>
        <w:tc>
          <w:tcPr>
            <w:tcW w:w="360" w:type="dxa"/>
            <w:tcBorders>
              <w:top w:val="nil"/>
              <w:left w:val="nil"/>
              <w:bottom w:val="single" w:sz="8" w:space="0" w:color="auto"/>
              <w:right w:val="single" w:sz="8" w:space="0" w:color="auto"/>
            </w:tcBorders>
            <w:shd w:val="clear" w:color="auto" w:fill="BDD6EE" w:themeFill="accent1" w:themeFillTint="66"/>
            <w:tcMar>
              <w:top w:w="15" w:type="dxa"/>
              <w:left w:w="15" w:type="dxa"/>
              <w:bottom w:w="0" w:type="dxa"/>
              <w:right w:w="15" w:type="dxa"/>
            </w:tcMar>
            <w:vAlign w:val="center"/>
            <w:hideMark/>
          </w:tcPr>
          <w:p w14:paraId="3948CCFC"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Q4</w:t>
            </w:r>
          </w:p>
        </w:tc>
      </w:tr>
      <w:tr w:rsidR="00D210F0" w:rsidRPr="00092ED7" w14:paraId="424F68D3" w14:textId="77777777" w:rsidTr="00AE4362">
        <w:trPr>
          <w:trHeight w:val="520"/>
        </w:trPr>
        <w:tc>
          <w:tcPr>
            <w:tcW w:w="411" w:type="dxa"/>
            <w:tcBorders>
              <w:top w:val="single" w:sz="4" w:space="0" w:color="auto"/>
              <w:left w:val="single" w:sz="8" w:space="0" w:color="auto"/>
              <w:bottom w:val="single" w:sz="4" w:space="0" w:color="auto"/>
              <w:right w:val="nil"/>
            </w:tcBorders>
            <w:shd w:val="clear" w:color="auto" w:fill="auto"/>
            <w:tcMar>
              <w:top w:w="15" w:type="dxa"/>
              <w:left w:w="15" w:type="dxa"/>
              <w:bottom w:w="0" w:type="dxa"/>
              <w:right w:w="15" w:type="dxa"/>
            </w:tcMar>
          </w:tcPr>
          <w:p w14:paraId="6E514876" w14:textId="77777777" w:rsidR="00D210F0" w:rsidRPr="00092ED7" w:rsidRDefault="00D210F0" w:rsidP="00D210F0">
            <w:pPr>
              <w:spacing w:after="0"/>
              <w:jc w:val="center"/>
              <w:rPr>
                <w:rFonts w:cs="Times New Roman"/>
                <w:b/>
                <w:bCs/>
                <w:sz w:val="20"/>
                <w:szCs w:val="20"/>
                <w:lang w:val="sr-Cyrl-CS"/>
              </w:rPr>
            </w:pPr>
            <w:r w:rsidRPr="00092ED7">
              <w:rPr>
                <w:rFonts w:cs="Times New Roman"/>
                <w:b/>
                <w:bCs/>
                <w:sz w:val="20"/>
                <w:szCs w:val="20"/>
                <w:lang w:val="sr-Cyrl-CS"/>
              </w:rPr>
              <w:t>1.</w:t>
            </w:r>
          </w:p>
        </w:tc>
        <w:tc>
          <w:tcPr>
            <w:tcW w:w="4399" w:type="dxa"/>
            <w:tcBorders>
              <w:top w:val="single" w:sz="4" w:space="0" w:color="auto"/>
              <w:left w:val="single" w:sz="8" w:space="0" w:color="auto"/>
              <w:bottom w:val="single" w:sz="4" w:space="0" w:color="auto"/>
              <w:right w:val="nil"/>
            </w:tcBorders>
            <w:shd w:val="clear" w:color="auto" w:fill="auto"/>
            <w:tcMar>
              <w:top w:w="15" w:type="dxa"/>
              <w:left w:w="15" w:type="dxa"/>
              <w:bottom w:w="0" w:type="dxa"/>
              <w:right w:w="15" w:type="dxa"/>
            </w:tcMar>
          </w:tcPr>
          <w:p w14:paraId="3F55B98C" w14:textId="0522EC2B" w:rsidR="00D210F0" w:rsidRPr="00092ED7" w:rsidRDefault="006C154D" w:rsidP="00D210F0">
            <w:pPr>
              <w:spacing w:after="0"/>
              <w:ind w:right="213"/>
              <w:rPr>
                <w:rFonts w:cs="Times New Roman"/>
                <w:sz w:val="20"/>
                <w:szCs w:val="20"/>
                <w:lang w:val="sr-Cyrl-CS"/>
              </w:rPr>
            </w:pPr>
            <w:r w:rsidRPr="00092ED7">
              <w:rPr>
                <w:rFonts w:cs="Times New Roman"/>
                <w:sz w:val="20"/>
                <w:szCs w:val="20"/>
                <w:lang w:val="sr-Cyrl-CS"/>
              </w:rPr>
              <w:t>Примена</w:t>
            </w:r>
            <w:r w:rsidR="00D210F0" w:rsidRPr="00092ED7">
              <w:rPr>
                <w:rFonts w:cs="Times New Roman"/>
                <w:sz w:val="20"/>
                <w:szCs w:val="20"/>
                <w:lang w:val="sr-Cyrl-CS"/>
              </w:rPr>
              <w:t xml:space="preserve"> новог правног оквира, који се односи на сва ПСРС </w:t>
            </w:r>
          </w:p>
        </w:tc>
        <w:tc>
          <w:tcPr>
            <w:tcW w:w="360" w:type="dxa"/>
            <w:tcBorders>
              <w:top w:val="single" w:sz="4" w:space="0" w:color="auto"/>
              <w:left w:val="single" w:sz="8"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6BC123D" w14:textId="77777777" w:rsidR="00D210F0" w:rsidRPr="00092ED7" w:rsidRDefault="00D210F0" w:rsidP="00D210F0">
            <w:pPr>
              <w:spacing w:after="0"/>
              <w:rPr>
                <w:rFonts w:cs="Times New Roman"/>
                <w:color w:val="000000"/>
                <w:sz w:val="20"/>
                <w:szCs w:val="20"/>
                <w:lang w:val="sr-Cyrl-CS"/>
              </w:rPr>
            </w:pPr>
          </w:p>
        </w:tc>
        <w:tc>
          <w:tcPr>
            <w:tcW w:w="360"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08149AF6" w14:textId="77777777" w:rsidR="00D210F0" w:rsidRPr="00092ED7" w:rsidRDefault="00D210F0" w:rsidP="00D210F0">
            <w:pPr>
              <w:spacing w:after="0"/>
              <w:rPr>
                <w:rFonts w:cs="Times New Roman"/>
                <w:color w:val="000000"/>
                <w:sz w:val="20"/>
                <w:szCs w:val="20"/>
                <w:lang w:val="sr-Cyrl-CS"/>
              </w:rPr>
            </w:pPr>
          </w:p>
        </w:tc>
        <w:tc>
          <w:tcPr>
            <w:tcW w:w="360"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98978F4" w14:textId="77777777" w:rsidR="00D210F0" w:rsidRPr="00092ED7" w:rsidRDefault="00D210F0" w:rsidP="00D210F0">
            <w:pPr>
              <w:spacing w:after="0"/>
              <w:rPr>
                <w:rFonts w:cs="Times New Roman"/>
                <w:color w:val="000000"/>
                <w:sz w:val="20"/>
                <w:szCs w:val="20"/>
                <w:highlight w:val="darkGray"/>
                <w:lang w:val="sr-Cyrl-CS"/>
              </w:rPr>
            </w:pPr>
          </w:p>
        </w:tc>
        <w:tc>
          <w:tcPr>
            <w:tcW w:w="317" w:type="dxa"/>
            <w:tcBorders>
              <w:top w:val="single" w:sz="4" w:space="0" w:color="auto"/>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49F1FB36" w14:textId="77777777" w:rsidR="00D210F0" w:rsidRPr="00092ED7" w:rsidRDefault="00D210F0" w:rsidP="00D210F0">
            <w:pPr>
              <w:spacing w:after="0"/>
              <w:rPr>
                <w:rFonts w:cs="Times New Roman"/>
                <w:color w:val="000000"/>
                <w:sz w:val="20"/>
                <w:szCs w:val="20"/>
                <w:highlight w:val="darkGray"/>
                <w:lang w:val="sr-Cyrl-CS"/>
              </w:rPr>
            </w:pPr>
          </w:p>
        </w:tc>
        <w:tc>
          <w:tcPr>
            <w:tcW w:w="348"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633F26E6" w14:textId="77777777" w:rsidR="00D210F0" w:rsidRPr="00092ED7" w:rsidRDefault="00D210F0" w:rsidP="00D210F0">
            <w:pPr>
              <w:spacing w:after="0"/>
              <w:rPr>
                <w:rFonts w:cs="Times New Roman"/>
                <w:color w:val="000000"/>
                <w:sz w:val="20"/>
                <w:szCs w:val="20"/>
                <w:lang w:val="sr-Cyrl-CS"/>
              </w:rPr>
            </w:pPr>
          </w:p>
        </w:tc>
        <w:tc>
          <w:tcPr>
            <w:tcW w:w="360"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08C42F0F" w14:textId="77777777" w:rsidR="00D210F0" w:rsidRPr="00092ED7" w:rsidRDefault="00D210F0" w:rsidP="00D210F0">
            <w:pPr>
              <w:spacing w:after="0"/>
              <w:rPr>
                <w:rFonts w:cs="Times New Roman"/>
                <w:color w:val="000000"/>
                <w:sz w:val="20"/>
                <w:szCs w:val="20"/>
                <w:lang w:val="sr-Cyrl-CS"/>
              </w:rPr>
            </w:pPr>
          </w:p>
        </w:tc>
        <w:tc>
          <w:tcPr>
            <w:tcW w:w="360"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694DFC55" w14:textId="77777777" w:rsidR="00D210F0" w:rsidRPr="00092ED7" w:rsidRDefault="00D210F0" w:rsidP="00D210F0">
            <w:pPr>
              <w:spacing w:after="0"/>
              <w:rPr>
                <w:rFonts w:cs="Times New Roman"/>
                <w:color w:val="000000"/>
                <w:sz w:val="20"/>
                <w:szCs w:val="20"/>
                <w:lang w:val="sr-Cyrl-CS"/>
              </w:rPr>
            </w:pPr>
          </w:p>
        </w:tc>
        <w:tc>
          <w:tcPr>
            <w:tcW w:w="359" w:type="dxa"/>
            <w:tcBorders>
              <w:top w:val="single" w:sz="4" w:space="0" w:color="auto"/>
              <w:left w:val="nil"/>
              <w:bottom w:val="single" w:sz="4" w:space="0" w:color="auto"/>
              <w:right w:val="single" w:sz="8" w:space="0" w:color="auto"/>
            </w:tcBorders>
            <w:shd w:val="clear" w:color="auto" w:fill="auto"/>
            <w:tcMar>
              <w:top w:w="15" w:type="dxa"/>
              <w:left w:w="15" w:type="dxa"/>
              <w:bottom w:w="0" w:type="dxa"/>
              <w:right w:w="15" w:type="dxa"/>
            </w:tcMar>
          </w:tcPr>
          <w:p w14:paraId="6FD63752" w14:textId="77777777" w:rsidR="00D210F0" w:rsidRPr="00092ED7" w:rsidRDefault="00D210F0" w:rsidP="00D210F0">
            <w:pPr>
              <w:spacing w:after="0"/>
              <w:rPr>
                <w:rFonts w:cs="Times New Roman"/>
                <w:color w:val="000000"/>
                <w:sz w:val="20"/>
                <w:szCs w:val="20"/>
                <w:lang w:val="sr-Cyrl-CS"/>
              </w:rPr>
            </w:pPr>
          </w:p>
        </w:tc>
        <w:tc>
          <w:tcPr>
            <w:tcW w:w="360"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08153AF4" w14:textId="77777777" w:rsidR="00D210F0" w:rsidRPr="00092ED7" w:rsidRDefault="00D210F0" w:rsidP="00D210F0">
            <w:pPr>
              <w:spacing w:after="0"/>
              <w:rPr>
                <w:rFonts w:cs="Times New Roman"/>
                <w:color w:val="000000"/>
                <w:sz w:val="20"/>
                <w:szCs w:val="20"/>
                <w:lang w:val="sr-Cyrl-CS"/>
              </w:rPr>
            </w:pPr>
          </w:p>
        </w:tc>
        <w:tc>
          <w:tcPr>
            <w:tcW w:w="359"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3183675A" w14:textId="77777777" w:rsidR="00D210F0" w:rsidRPr="00092ED7" w:rsidRDefault="00D210F0" w:rsidP="00D210F0">
            <w:pPr>
              <w:spacing w:after="0"/>
              <w:rPr>
                <w:rFonts w:cs="Times New Roman"/>
                <w:color w:val="000000"/>
                <w:sz w:val="20"/>
                <w:szCs w:val="20"/>
                <w:lang w:val="sr-Cyrl-CS"/>
              </w:rPr>
            </w:pPr>
          </w:p>
        </w:tc>
        <w:tc>
          <w:tcPr>
            <w:tcW w:w="360"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1920B0D4" w14:textId="77777777" w:rsidR="00D210F0" w:rsidRPr="00092ED7" w:rsidRDefault="00D210F0" w:rsidP="00D210F0">
            <w:pPr>
              <w:spacing w:after="0"/>
              <w:rPr>
                <w:rFonts w:cs="Times New Roman"/>
                <w:color w:val="000000"/>
                <w:sz w:val="20"/>
                <w:szCs w:val="20"/>
                <w:lang w:val="sr-Cyrl-CS"/>
              </w:rPr>
            </w:pPr>
          </w:p>
        </w:tc>
        <w:tc>
          <w:tcPr>
            <w:tcW w:w="360" w:type="dxa"/>
            <w:tcBorders>
              <w:top w:val="single" w:sz="4" w:space="0" w:color="auto"/>
              <w:left w:val="nil"/>
              <w:bottom w:val="single" w:sz="4" w:space="0" w:color="auto"/>
              <w:right w:val="single" w:sz="8" w:space="0" w:color="auto"/>
            </w:tcBorders>
            <w:shd w:val="clear" w:color="auto" w:fill="auto"/>
            <w:tcMar>
              <w:top w:w="15" w:type="dxa"/>
              <w:left w:w="15" w:type="dxa"/>
              <w:bottom w:w="0" w:type="dxa"/>
              <w:right w:w="15" w:type="dxa"/>
            </w:tcMar>
          </w:tcPr>
          <w:p w14:paraId="162C7349" w14:textId="77777777" w:rsidR="00D210F0" w:rsidRPr="00092ED7" w:rsidRDefault="00D210F0" w:rsidP="00D210F0">
            <w:pPr>
              <w:spacing w:after="0"/>
              <w:rPr>
                <w:rFonts w:cs="Times New Roman"/>
                <w:color w:val="000000"/>
                <w:sz w:val="20"/>
                <w:szCs w:val="20"/>
                <w:lang w:val="sr-Cyrl-CS"/>
              </w:rPr>
            </w:pPr>
          </w:p>
        </w:tc>
      </w:tr>
      <w:tr w:rsidR="00D210F0" w:rsidRPr="00092ED7" w14:paraId="19C1B328" w14:textId="77777777" w:rsidTr="00AE4362">
        <w:trPr>
          <w:trHeight w:val="300"/>
        </w:trPr>
        <w:tc>
          <w:tcPr>
            <w:tcW w:w="411" w:type="dxa"/>
            <w:tcBorders>
              <w:top w:val="nil"/>
              <w:left w:val="single" w:sz="8" w:space="0" w:color="auto"/>
              <w:bottom w:val="single" w:sz="4" w:space="0" w:color="auto"/>
              <w:right w:val="nil"/>
            </w:tcBorders>
            <w:shd w:val="clear" w:color="auto" w:fill="auto"/>
            <w:tcMar>
              <w:top w:w="15" w:type="dxa"/>
              <w:left w:w="15" w:type="dxa"/>
              <w:bottom w:w="0" w:type="dxa"/>
              <w:right w:w="15" w:type="dxa"/>
            </w:tcMar>
          </w:tcPr>
          <w:p w14:paraId="7B752E0E" w14:textId="77777777" w:rsidR="00D210F0" w:rsidRPr="00092ED7" w:rsidRDefault="00D210F0" w:rsidP="00D210F0">
            <w:pPr>
              <w:spacing w:after="0"/>
              <w:jc w:val="center"/>
              <w:rPr>
                <w:rFonts w:cs="Times New Roman"/>
                <w:b/>
                <w:bCs/>
                <w:sz w:val="20"/>
                <w:szCs w:val="20"/>
                <w:lang w:val="sr-Cyrl-CS"/>
              </w:rPr>
            </w:pPr>
            <w:r w:rsidRPr="00092ED7">
              <w:rPr>
                <w:rFonts w:cs="Times New Roman"/>
                <w:b/>
                <w:bCs/>
                <w:sz w:val="20"/>
                <w:szCs w:val="20"/>
                <w:lang w:val="sr-Cyrl-CS"/>
              </w:rPr>
              <w:t>2.</w:t>
            </w:r>
          </w:p>
        </w:tc>
        <w:tc>
          <w:tcPr>
            <w:tcW w:w="4399" w:type="dxa"/>
            <w:tcBorders>
              <w:top w:val="nil"/>
              <w:left w:val="single" w:sz="8" w:space="0" w:color="auto"/>
              <w:bottom w:val="single" w:sz="4" w:space="0" w:color="auto"/>
              <w:right w:val="single" w:sz="4" w:space="0" w:color="auto"/>
            </w:tcBorders>
            <w:shd w:val="clear" w:color="auto" w:fill="auto"/>
            <w:tcMar>
              <w:top w:w="15" w:type="dxa"/>
              <w:left w:w="15" w:type="dxa"/>
              <w:bottom w:w="0" w:type="dxa"/>
              <w:right w:w="15" w:type="dxa"/>
            </w:tcMar>
          </w:tcPr>
          <w:p w14:paraId="5974D342" w14:textId="77777777" w:rsidR="00D210F0" w:rsidRPr="00092ED7" w:rsidRDefault="00D210F0" w:rsidP="00D210F0">
            <w:pPr>
              <w:spacing w:after="0"/>
              <w:ind w:right="213"/>
              <w:rPr>
                <w:rFonts w:cs="Times New Roman"/>
                <w:sz w:val="20"/>
                <w:szCs w:val="20"/>
                <w:lang w:val="sr-Cyrl-CS"/>
              </w:rPr>
            </w:pPr>
            <w:r w:rsidRPr="00092ED7">
              <w:rPr>
                <w:rFonts w:cs="Times New Roman"/>
                <w:sz w:val="20"/>
                <w:szCs w:val="20"/>
                <w:lang w:val="sr-Cyrl-CS"/>
              </w:rPr>
              <w:t>Дигитализација процеса надзора и извештавања ПСРС</w:t>
            </w:r>
          </w:p>
        </w:tc>
        <w:tc>
          <w:tcPr>
            <w:tcW w:w="360" w:type="dxa"/>
            <w:tcBorders>
              <w:top w:val="single" w:sz="4" w:space="0" w:color="auto"/>
              <w:left w:val="single" w:sz="8"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1D974B3" w14:textId="77777777" w:rsidR="00D210F0" w:rsidRPr="00092ED7" w:rsidRDefault="00D210F0" w:rsidP="00D210F0">
            <w:pPr>
              <w:spacing w:after="0"/>
              <w:rPr>
                <w:rFonts w:cs="Times New Roman"/>
                <w:color w:val="000000"/>
                <w:sz w:val="20"/>
                <w:szCs w:val="20"/>
                <w:highlight w:val="darkGray"/>
                <w:lang w:val="sr-Cyrl-CS"/>
              </w:rPr>
            </w:pPr>
          </w:p>
        </w:tc>
        <w:tc>
          <w:tcPr>
            <w:tcW w:w="360"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3E5EDC2E" w14:textId="77777777" w:rsidR="00D210F0" w:rsidRPr="00092ED7" w:rsidRDefault="00D210F0" w:rsidP="00D210F0">
            <w:pPr>
              <w:spacing w:after="0"/>
              <w:rPr>
                <w:rFonts w:cs="Times New Roman"/>
                <w:color w:val="000000"/>
                <w:sz w:val="20"/>
                <w:szCs w:val="20"/>
                <w:highlight w:val="darkGray"/>
                <w:lang w:val="sr-Cyrl-CS"/>
              </w:rPr>
            </w:pPr>
          </w:p>
        </w:tc>
        <w:tc>
          <w:tcPr>
            <w:tcW w:w="360" w:type="dxa"/>
            <w:tcBorders>
              <w:top w:val="single" w:sz="4" w:space="0" w:color="auto"/>
              <w:left w:val="single" w:sz="8"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831B2F1" w14:textId="77777777" w:rsidR="00D210F0" w:rsidRPr="00092ED7" w:rsidRDefault="00D210F0" w:rsidP="00D210F0">
            <w:pPr>
              <w:spacing w:after="0"/>
              <w:rPr>
                <w:rFonts w:cs="Times New Roman"/>
                <w:color w:val="000000"/>
                <w:sz w:val="20"/>
                <w:szCs w:val="20"/>
                <w:highlight w:val="darkGray"/>
                <w:lang w:val="sr-Cyrl-CS"/>
              </w:rPr>
            </w:pPr>
          </w:p>
        </w:tc>
        <w:tc>
          <w:tcPr>
            <w:tcW w:w="317"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05AAA66A" w14:textId="77777777" w:rsidR="00D210F0" w:rsidRPr="00092ED7" w:rsidRDefault="00D210F0" w:rsidP="00D210F0">
            <w:pPr>
              <w:spacing w:after="0"/>
              <w:rPr>
                <w:rFonts w:cs="Times New Roman"/>
                <w:color w:val="000000"/>
                <w:sz w:val="20"/>
                <w:szCs w:val="20"/>
                <w:highlight w:val="darkGray"/>
                <w:lang w:val="sr-Cyrl-CS"/>
              </w:rPr>
            </w:pPr>
          </w:p>
        </w:tc>
        <w:tc>
          <w:tcPr>
            <w:tcW w:w="348"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7EBEE255" w14:textId="77777777" w:rsidR="00D210F0" w:rsidRPr="00092ED7" w:rsidRDefault="00D210F0" w:rsidP="00D210F0">
            <w:pPr>
              <w:spacing w:after="0"/>
              <w:rPr>
                <w:rFonts w:cs="Times New Roman"/>
                <w:color w:val="000000"/>
                <w:sz w:val="20"/>
                <w:szCs w:val="20"/>
                <w:lang w:val="sr-Cyrl-CS"/>
              </w:rPr>
            </w:pPr>
          </w:p>
        </w:tc>
        <w:tc>
          <w:tcPr>
            <w:tcW w:w="360"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7BFDCF10" w14:textId="77777777" w:rsidR="00D210F0" w:rsidRPr="00092ED7" w:rsidRDefault="00D210F0" w:rsidP="00D210F0">
            <w:pPr>
              <w:spacing w:after="0"/>
              <w:rPr>
                <w:rFonts w:cs="Times New Roman"/>
                <w:color w:val="000000"/>
                <w:sz w:val="20"/>
                <w:szCs w:val="20"/>
                <w:lang w:val="sr-Cyrl-CS"/>
              </w:rPr>
            </w:pPr>
          </w:p>
        </w:tc>
        <w:tc>
          <w:tcPr>
            <w:tcW w:w="360"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52FD8023" w14:textId="77777777" w:rsidR="00D210F0" w:rsidRPr="00092ED7" w:rsidRDefault="00D210F0" w:rsidP="00D210F0">
            <w:pPr>
              <w:spacing w:after="0"/>
              <w:rPr>
                <w:rFonts w:cs="Times New Roman"/>
                <w:color w:val="000000"/>
                <w:sz w:val="20"/>
                <w:szCs w:val="20"/>
                <w:lang w:val="sr-Cyrl-CS"/>
              </w:rPr>
            </w:pPr>
          </w:p>
        </w:tc>
        <w:tc>
          <w:tcPr>
            <w:tcW w:w="359" w:type="dxa"/>
            <w:tcBorders>
              <w:top w:val="nil"/>
              <w:left w:val="nil"/>
              <w:bottom w:val="single" w:sz="4" w:space="0" w:color="auto"/>
              <w:right w:val="single" w:sz="8" w:space="0" w:color="auto"/>
            </w:tcBorders>
            <w:shd w:val="clear" w:color="auto" w:fill="auto"/>
            <w:tcMar>
              <w:top w:w="15" w:type="dxa"/>
              <w:left w:w="15" w:type="dxa"/>
              <w:bottom w:w="0" w:type="dxa"/>
              <w:right w:w="15" w:type="dxa"/>
            </w:tcMar>
          </w:tcPr>
          <w:p w14:paraId="6229AB22" w14:textId="77777777" w:rsidR="00D210F0" w:rsidRPr="00092ED7" w:rsidRDefault="00D210F0" w:rsidP="00D210F0">
            <w:pPr>
              <w:spacing w:after="0"/>
              <w:rPr>
                <w:rFonts w:cs="Times New Roman"/>
                <w:color w:val="000000"/>
                <w:sz w:val="20"/>
                <w:szCs w:val="20"/>
                <w:lang w:val="sr-Cyrl-CS"/>
              </w:rPr>
            </w:pPr>
          </w:p>
        </w:tc>
        <w:tc>
          <w:tcPr>
            <w:tcW w:w="360"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7397312F" w14:textId="77777777" w:rsidR="00D210F0" w:rsidRPr="00092ED7" w:rsidRDefault="00D210F0" w:rsidP="00D210F0">
            <w:pPr>
              <w:spacing w:after="0"/>
              <w:rPr>
                <w:rFonts w:cs="Times New Roman"/>
                <w:color w:val="000000"/>
                <w:sz w:val="20"/>
                <w:szCs w:val="20"/>
                <w:lang w:val="sr-Cyrl-CS"/>
              </w:rPr>
            </w:pPr>
          </w:p>
        </w:tc>
        <w:tc>
          <w:tcPr>
            <w:tcW w:w="359"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0A46BF41" w14:textId="77777777" w:rsidR="00D210F0" w:rsidRPr="00092ED7" w:rsidRDefault="00D210F0" w:rsidP="00D210F0">
            <w:pPr>
              <w:spacing w:after="0"/>
              <w:rPr>
                <w:rFonts w:cs="Times New Roman"/>
                <w:color w:val="000000"/>
                <w:sz w:val="20"/>
                <w:szCs w:val="20"/>
                <w:lang w:val="sr-Cyrl-CS"/>
              </w:rPr>
            </w:pPr>
          </w:p>
        </w:tc>
        <w:tc>
          <w:tcPr>
            <w:tcW w:w="360"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5723D8BC" w14:textId="77777777" w:rsidR="00D210F0" w:rsidRPr="00092ED7" w:rsidRDefault="00D210F0" w:rsidP="00D210F0">
            <w:pPr>
              <w:spacing w:after="0"/>
              <w:rPr>
                <w:rFonts w:cs="Times New Roman"/>
                <w:color w:val="000000"/>
                <w:sz w:val="20"/>
                <w:szCs w:val="20"/>
                <w:lang w:val="sr-Cyrl-CS"/>
              </w:rPr>
            </w:pPr>
          </w:p>
        </w:tc>
        <w:tc>
          <w:tcPr>
            <w:tcW w:w="360" w:type="dxa"/>
            <w:tcBorders>
              <w:top w:val="nil"/>
              <w:left w:val="nil"/>
              <w:bottom w:val="single" w:sz="4" w:space="0" w:color="auto"/>
              <w:right w:val="single" w:sz="8" w:space="0" w:color="auto"/>
            </w:tcBorders>
            <w:shd w:val="clear" w:color="auto" w:fill="auto"/>
            <w:tcMar>
              <w:top w:w="15" w:type="dxa"/>
              <w:left w:w="15" w:type="dxa"/>
              <w:bottom w:w="0" w:type="dxa"/>
              <w:right w:w="15" w:type="dxa"/>
            </w:tcMar>
          </w:tcPr>
          <w:p w14:paraId="153E8003" w14:textId="77777777" w:rsidR="00D210F0" w:rsidRPr="00092ED7" w:rsidRDefault="00D210F0" w:rsidP="00D210F0">
            <w:pPr>
              <w:spacing w:after="0"/>
              <w:rPr>
                <w:rFonts w:cs="Times New Roman"/>
                <w:color w:val="000000"/>
                <w:sz w:val="20"/>
                <w:szCs w:val="20"/>
                <w:lang w:val="sr-Cyrl-CS"/>
              </w:rPr>
            </w:pPr>
          </w:p>
        </w:tc>
      </w:tr>
      <w:tr w:rsidR="00D210F0" w:rsidRPr="00092ED7" w14:paraId="10D6A8A3" w14:textId="77777777" w:rsidTr="00AE4362">
        <w:trPr>
          <w:trHeight w:val="300"/>
        </w:trPr>
        <w:tc>
          <w:tcPr>
            <w:tcW w:w="411" w:type="dxa"/>
            <w:tcBorders>
              <w:top w:val="nil"/>
              <w:left w:val="single" w:sz="8" w:space="0" w:color="auto"/>
              <w:bottom w:val="single" w:sz="4" w:space="0" w:color="auto"/>
              <w:right w:val="single" w:sz="8" w:space="0" w:color="auto"/>
            </w:tcBorders>
            <w:shd w:val="clear" w:color="auto" w:fill="auto"/>
            <w:tcMar>
              <w:top w:w="15" w:type="dxa"/>
              <w:left w:w="15" w:type="dxa"/>
              <w:bottom w:w="0" w:type="dxa"/>
              <w:right w:w="15" w:type="dxa"/>
            </w:tcMar>
          </w:tcPr>
          <w:p w14:paraId="3702C49F" w14:textId="77777777" w:rsidR="00D210F0" w:rsidRPr="00092ED7" w:rsidRDefault="00D210F0" w:rsidP="00D210F0">
            <w:pPr>
              <w:spacing w:after="0"/>
              <w:jc w:val="center"/>
              <w:rPr>
                <w:rFonts w:cs="Times New Roman"/>
                <w:b/>
                <w:bCs/>
                <w:sz w:val="20"/>
                <w:szCs w:val="20"/>
                <w:lang w:val="sr-Cyrl-CS"/>
              </w:rPr>
            </w:pPr>
            <w:r w:rsidRPr="00092ED7">
              <w:rPr>
                <w:rFonts w:cs="Times New Roman"/>
                <w:b/>
                <w:bCs/>
                <w:sz w:val="20"/>
                <w:szCs w:val="20"/>
                <w:lang w:val="sr-Cyrl-CS"/>
              </w:rPr>
              <w:t>3.</w:t>
            </w:r>
          </w:p>
        </w:tc>
        <w:tc>
          <w:tcPr>
            <w:tcW w:w="4399" w:type="dxa"/>
            <w:tcBorders>
              <w:top w:val="nil"/>
              <w:left w:val="nil"/>
              <w:bottom w:val="single" w:sz="4" w:space="0" w:color="auto"/>
              <w:right w:val="nil"/>
            </w:tcBorders>
            <w:shd w:val="clear" w:color="auto" w:fill="auto"/>
            <w:tcMar>
              <w:top w:w="15" w:type="dxa"/>
              <w:left w:w="15" w:type="dxa"/>
              <w:bottom w:w="0" w:type="dxa"/>
              <w:right w:w="15" w:type="dxa"/>
            </w:tcMar>
          </w:tcPr>
          <w:p w14:paraId="003DDF5B" w14:textId="77777777" w:rsidR="00D210F0" w:rsidRPr="00092ED7" w:rsidRDefault="00D210F0" w:rsidP="00D210F0">
            <w:pPr>
              <w:spacing w:after="0"/>
              <w:ind w:right="213"/>
              <w:rPr>
                <w:rFonts w:cs="Times New Roman"/>
                <w:sz w:val="20"/>
                <w:szCs w:val="20"/>
                <w:lang w:val="sr-Cyrl-CS"/>
              </w:rPr>
            </w:pPr>
            <w:r w:rsidRPr="00092ED7">
              <w:rPr>
                <w:rFonts w:cs="Times New Roman"/>
                <w:sz w:val="20"/>
                <w:szCs w:val="20"/>
                <w:lang w:val="sr-Cyrl-CS"/>
              </w:rPr>
              <w:t xml:space="preserve">Анализа стања за успостављање јединственог система за корпоративно управљање у ПСРС </w:t>
            </w:r>
          </w:p>
        </w:tc>
        <w:tc>
          <w:tcPr>
            <w:tcW w:w="360" w:type="dxa"/>
            <w:tcBorders>
              <w:top w:val="nil"/>
              <w:left w:val="single" w:sz="8"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0AE667F" w14:textId="77777777" w:rsidR="00D210F0" w:rsidRPr="00092ED7" w:rsidRDefault="00D210F0" w:rsidP="00D210F0">
            <w:pPr>
              <w:spacing w:after="0"/>
              <w:rPr>
                <w:rFonts w:cs="Times New Roman"/>
                <w:color w:val="000000"/>
                <w:sz w:val="20"/>
                <w:szCs w:val="20"/>
                <w:highlight w:val="darkGray"/>
                <w:lang w:val="sr-Cyrl-CS"/>
              </w:rPr>
            </w:pPr>
          </w:p>
        </w:tc>
        <w:tc>
          <w:tcPr>
            <w:tcW w:w="360"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D9EF812" w14:textId="77777777" w:rsidR="00D210F0" w:rsidRPr="00092ED7" w:rsidRDefault="00D210F0" w:rsidP="00D210F0">
            <w:pPr>
              <w:spacing w:after="0"/>
              <w:rPr>
                <w:rFonts w:cs="Times New Roman"/>
                <w:color w:val="000000"/>
                <w:sz w:val="20"/>
                <w:szCs w:val="20"/>
                <w:highlight w:val="darkGray"/>
                <w:lang w:val="sr-Cyrl-CS"/>
              </w:rPr>
            </w:pPr>
          </w:p>
        </w:tc>
        <w:tc>
          <w:tcPr>
            <w:tcW w:w="360"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69F9BE8" w14:textId="77777777" w:rsidR="00D210F0" w:rsidRPr="00092ED7" w:rsidRDefault="00D210F0" w:rsidP="00D210F0">
            <w:pPr>
              <w:spacing w:after="0"/>
              <w:rPr>
                <w:rFonts w:cs="Times New Roman"/>
                <w:color w:val="000000"/>
                <w:sz w:val="20"/>
                <w:szCs w:val="20"/>
                <w:highlight w:val="darkGray"/>
                <w:lang w:val="sr-Cyrl-CS"/>
              </w:rPr>
            </w:pPr>
          </w:p>
        </w:tc>
        <w:tc>
          <w:tcPr>
            <w:tcW w:w="317"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642D1D86" w14:textId="77777777" w:rsidR="00D210F0" w:rsidRPr="00092ED7" w:rsidRDefault="00D210F0" w:rsidP="00D210F0">
            <w:pPr>
              <w:spacing w:after="0"/>
              <w:rPr>
                <w:rFonts w:cs="Times New Roman"/>
                <w:color w:val="000000"/>
                <w:sz w:val="20"/>
                <w:szCs w:val="20"/>
                <w:highlight w:val="darkGray"/>
                <w:lang w:val="sr-Cyrl-CS"/>
              </w:rPr>
            </w:pPr>
          </w:p>
        </w:tc>
        <w:tc>
          <w:tcPr>
            <w:tcW w:w="348"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31D27C77" w14:textId="77777777" w:rsidR="00D210F0" w:rsidRPr="00092ED7" w:rsidRDefault="00D210F0" w:rsidP="00D210F0">
            <w:pPr>
              <w:spacing w:after="0"/>
              <w:rPr>
                <w:rFonts w:cs="Times New Roman"/>
                <w:color w:val="000000"/>
                <w:sz w:val="20"/>
                <w:szCs w:val="20"/>
                <w:lang w:val="sr-Cyrl-CS"/>
              </w:rPr>
            </w:pPr>
          </w:p>
        </w:tc>
        <w:tc>
          <w:tcPr>
            <w:tcW w:w="360"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72FDB273" w14:textId="77777777" w:rsidR="00D210F0" w:rsidRPr="00092ED7" w:rsidRDefault="00D210F0" w:rsidP="00D210F0">
            <w:pPr>
              <w:spacing w:after="0"/>
              <w:rPr>
                <w:rFonts w:cs="Times New Roman"/>
                <w:color w:val="000000"/>
                <w:sz w:val="20"/>
                <w:szCs w:val="20"/>
                <w:lang w:val="sr-Cyrl-CS"/>
              </w:rPr>
            </w:pPr>
          </w:p>
        </w:tc>
        <w:tc>
          <w:tcPr>
            <w:tcW w:w="360"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09B3E216" w14:textId="77777777" w:rsidR="00D210F0" w:rsidRPr="00092ED7" w:rsidRDefault="00D210F0" w:rsidP="00D210F0">
            <w:pPr>
              <w:spacing w:after="0"/>
              <w:rPr>
                <w:rFonts w:cs="Times New Roman"/>
                <w:color w:val="000000"/>
                <w:sz w:val="20"/>
                <w:szCs w:val="20"/>
                <w:lang w:val="sr-Cyrl-CS"/>
              </w:rPr>
            </w:pPr>
          </w:p>
        </w:tc>
        <w:tc>
          <w:tcPr>
            <w:tcW w:w="359" w:type="dxa"/>
            <w:tcBorders>
              <w:top w:val="nil"/>
              <w:left w:val="nil"/>
              <w:bottom w:val="single" w:sz="4" w:space="0" w:color="auto"/>
              <w:right w:val="single" w:sz="8" w:space="0" w:color="auto"/>
            </w:tcBorders>
            <w:shd w:val="clear" w:color="auto" w:fill="auto"/>
            <w:tcMar>
              <w:top w:w="15" w:type="dxa"/>
              <w:left w:w="15" w:type="dxa"/>
              <w:bottom w:w="0" w:type="dxa"/>
              <w:right w:w="15" w:type="dxa"/>
            </w:tcMar>
          </w:tcPr>
          <w:p w14:paraId="54F526A8" w14:textId="77777777" w:rsidR="00D210F0" w:rsidRPr="00092ED7" w:rsidRDefault="00D210F0" w:rsidP="00D210F0">
            <w:pPr>
              <w:spacing w:after="0"/>
              <w:rPr>
                <w:rFonts w:cs="Times New Roman"/>
                <w:color w:val="000000"/>
                <w:sz w:val="20"/>
                <w:szCs w:val="20"/>
                <w:lang w:val="sr-Cyrl-CS"/>
              </w:rPr>
            </w:pPr>
          </w:p>
        </w:tc>
        <w:tc>
          <w:tcPr>
            <w:tcW w:w="360"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5BD8CB81" w14:textId="77777777" w:rsidR="00D210F0" w:rsidRPr="00092ED7" w:rsidRDefault="00D210F0" w:rsidP="00D210F0">
            <w:pPr>
              <w:spacing w:after="0"/>
              <w:rPr>
                <w:rFonts w:cs="Times New Roman"/>
                <w:color w:val="000000"/>
                <w:sz w:val="20"/>
                <w:szCs w:val="20"/>
                <w:lang w:val="sr-Cyrl-CS"/>
              </w:rPr>
            </w:pPr>
          </w:p>
        </w:tc>
        <w:tc>
          <w:tcPr>
            <w:tcW w:w="359"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2703F0DA" w14:textId="77777777" w:rsidR="00D210F0" w:rsidRPr="00092ED7" w:rsidRDefault="00D210F0" w:rsidP="00D210F0">
            <w:pPr>
              <w:spacing w:after="0"/>
              <w:rPr>
                <w:rFonts w:cs="Times New Roman"/>
                <w:color w:val="000000"/>
                <w:sz w:val="20"/>
                <w:szCs w:val="20"/>
                <w:lang w:val="sr-Cyrl-CS"/>
              </w:rPr>
            </w:pPr>
          </w:p>
        </w:tc>
        <w:tc>
          <w:tcPr>
            <w:tcW w:w="360"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5D3B9EA1" w14:textId="77777777" w:rsidR="00D210F0" w:rsidRPr="00092ED7" w:rsidRDefault="00D210F0" w:rsidP="00D210F0">
            <w:pPr>
              <w:spacing w:after="0"/>
              <w:rPr>
                <w:rFonts w:cs="Times New Roman"/>
                <w:color w:val="000000"/>
                <w:sz w:val="20"/>
                <w:szCs w:val="20"/>
                <w:lang w:val="sr-Cyrl-CS"/>
              </w:rPr>
            </w:pPr>
          </w:p>
        </w:tc>
        <w:tc>
          <w:tcPr>
            <w:tcW w:w="360" w:type="dxa"/>
            <w:tcBorders>
              <w:top w:val="nil"/>
              <w:left w:val="nil"/>
              <w:bottom w:val="single" w:sz="4" w:space="0" w:color="auto"/>
              <w:right w:val="single" w:sz="8" w:space="0" w:color="auto"/>
            </w:tcBorders>
            <w:shd w:val="clear" w:color="auto" w:fill="auto"/>
            <w:tcMar>
              <w:top w:w="15" w:type="dxa"/>
              <w:left w:w="15" w:type="dxa"/>
              <w:bottom w:w="0" w:type="dxa"/>
              <w:right w:w="15" w:type="dxa"/>
            </w:tcMar>
          </w:tcPr>
          <w:p w14:paraId="5341729C" w14:textId="77777777" w:rsidR="00D210F0" w:rsidRPr="00092ED7" w:rsidRDefault="00D210F0" w:rsidP="00D210F0">
            <w:pPr>
              <w:spacing w:after="0"/>
              <w:rPr>
                <w:rFonts w:cs="Times New Roman"/>
                <w:color w:val="000000"/>
                <w:sz w:val="20"/>
                <w:szCs w:val="20"/>
                <w:lang w:val="sr-Cyrl-CS"/>
              </w:rPr>
            </w:pPr>
          </w:p>
        </w:tc>
      </w:tr>
    </w:tbl>
    <w:p w14:paraId="16102027" w14:textId="77777777" w:rsidR="00D210F0" w:rsidRPr="00092ED7" w:rsidRDefault="00D210F0" w:rsidP="00071952">
      <w:pPr>
        <w:widowControl w:val="0"/>
        <w:numPr>
          <w:ilvl w:val="0"/>
          <w:numId w:val="23"/>
        </w:numPr>
        <w:spacing w:before="120"/>
        <w:ind w:left="425" w:hanging="425"/>
        <w:rPr>
          <w:rFonts w:eastAsia="Calibri" w:cs="Times New Roman"/>
          <w:b/>
          <w:szCs w:val="24"/>
          <w:lang w:val="sr-Cyrl-CS" w:eastAsia="sr-Cyrl-CS" w:bidi="sr-Cyrl-CS"/>
        </w:rPr>
      </w:pPr>
      <w:r w:rsidRPr="00092ED7">
        <w:rPr>
          <w:rFonts w:eastAsia="Calibri" w:cs="Times New Roman"/>
          <w:b/>
          <w:szCs w:val="24"/>
          <w:lang w:val="sr-Cyrl-CS" w:eastAsia="sr-Cyrl-CS" w:bidi="sr-Cyrl-CS"/>
        </w:rPr>
        <w:t>Индикатори рeзултата</w:t>
      </w:r>
    </w:p>
    <w:tbl>
      <w:tblPr>
        <w:tblStyle w:val="TableGrid"/>
        <w:tblW w:w="9067" w:type="dxa"/>
        <w:tblLayout w:type="fixed"/>
        <w:tblLook w:val="04A0" w:firstRow="1" w:lastRow="0" w:firstColumn="1" w:lastColumn="0" w:noHBand="0" w:noVBand="1"/>
      </w:tblPr>
      <w:tblGrid>
        <w:gridCol w:w="3964"/>
        <w:gridCol w:w="1701"/>
        <w:gridCol w:w="1701"/>
        <w:gridCol w:w="1701"/>
      </w:tblGrid>
      <w:tr w:rsidR="00D210F0" w:rsidRPr="00092ED7" w14:paraId="03F7D18A" w14:textId="77777777" w:rsidTr="00AE4362">
        <w:trPr>
          <w:cnfStyle w:val="100000000000" w:firstRow="1" w:lastRow="0" w:firstColumn="0" w:lastColumn="0" w:oddVBand="0" w:evenVBand="0" w:oddHBand="0" w:evenHBand="0" w:firstRowFirstColumn="0" w:firstRowLastColumn="0" w:lastRowFirstColumn="0" w:lastRowLastColumn="0"/>
          <w:trHeight w:val="488"/>
        </w:trPr>
        <w:tc>
          <w:tcPr>
            <w:tcW w:w="3964" w:type="dxa"/>
          </w:tcPr>
          <w:p w14:paraId="03AE2EB8" w14:textId="77777777" w:rsidR="00D210F0" w:rsidRPr="00092ED7" w:rsidRDefault="00D210F0" w:rsidP="005D14E2">
            <w:pPr>
              <w:spacing w:before="0" w:after="0"/>
              <w:ind w:left="113" w:right="113"/>
              <w:jc w:val="center"/>
              <w:rPr>
                <w:rFonts w:cs="Times New Roman"/>
                <w:b w:val="0"/>
                <w:sz w:val="20"/>
                <w:lang w:val="sr-Cyrl-CS"/>
              </w:rPr>
            </w:pPr>
            <w:r w:rsidRPr="00092ED7">
              <w:rPr>
                <w:rFonts w:cs="Times New Roman"/>
                <w:sz w:val="20"/>
                <w:lang w:val="sr-Cyrl-CS"/>
              </w:rPr>
              <w:t>Показатељ</w:t>
            </w:r>
          </w:p>
        </w:tc>
        <w:tc>
          <w:tcPr>
            <w:tcW w:w="1701" w:type="dxa"/>
          </w:tcPr>
          <w:p w14:paraId="4C43054F" w14:textId="77777777" w:rsidR="00D210F0" w:rsidRPr="00092ED7" w:rsidRDefault="00D210F0" w:rsidP="005D14E2">
            <w:pPr>
              <w:spacing w:before="0" w:after="0"/>
              <w:ind w:left="113" w:right="113"/>
              <w:jc w:val="center"/>
              <w:rPr>
                <w:sz w:val="20"/>
                <w:lang w:val="sr-Cyrl-CS"/>
              </w:rPr>
            </w:pPr>
            <w:r w:rsidRPr="00092ED7">
              <w:rPr>
                <w:rFonts w:cs="Times New Roman"/>
                <w:sz w:val="20"/>
                <w:lang w:val="sr-Cyrl-CS"/>
              </w:rPr>
              <w:t>Почетна вредност (</w:t>
            </w:r>
            <w:r w:rsidR="00930145" w:rsidRPr="00092ED7">
              <w:rPr>
                <w:rFonts w:cs="Times New Roman"/>
                <w:sz w:val="20"/>
                <w:lang w:val="sr-Cyrl-CS"/>
              </w:rPr>
              <w:t>2020</w:t>
            </w:r>
            <w:r w:rsidRPr="00092ED7">
              <w:rPr>
                <w:rFonts w:cs="Times New Roman"/>
                <w:sz w:val="20"/>
                <w:lang w:val="sr-Cyrl-CS"/>
              </w:rPr>
              <w:t>)</w:t>
            </w:r>
          </w:p>
        </w:tc>
        <w:tc>
          <w:tcPr>
            <w:tcW w:w="1701" w:type="dxa"/>
          </w:tcPr>
          <w:p w14:paraId="422F97F1" w14:textId="77777777" w:rsidR="00D210F0" w:rsidRPr="00092ED7" w:rsidRDefault="00D210F0" w:rsidP="005D14E2">
            <w:pPr>
              <w:spacing w:before="0" w:after="0"/>
              <w:ind w:left="113" w:right="113"/>
              <w:jc w:val="center"/>
              <w:rPr>
                <w:sz w:val="20"/>
                <w:lang w:val="sr-Cyrl-CS"/>
              </w:rPr>
            </w:pPr>
            <w:r w:rsidRPr="00092ED7">
              <w:rPr>
                <w:rFonts w:cs="Times New Roman"/>
                <w:sz w:val="20"/>
                <w:lang w:val="sr-Cyrl-CS"/>
              </w:rPr>
              <w:t>Међурезултат</w:t>
            </w:r>
            <w:r w:rsidRPr="00092ED7">
              <w:rPr>
                <w:sz w:val="20"/>
                <w:lang w:val="sr-Cyrl-CS"/>
              </w:rPr>
              <w:t xml:space="preserve"> (</w:t>
            </w:r>
            <w:r w:rsidR="00930145" w:rsidRPr="00092ED7">
              <w:rPr>
                <w:rFonts w:cs="Times New Roman"/>
                <w:sz w:val="20"/>
                <w:lang w:val="sr-Cyrl-CS"/>
              </w:rPr>
              <w:t>2022</w:t>
            </w:r>
            <w:r w:rsidRPr="00092ED7">
              <w:rPr>
                <w:rFonts w:cs="Times New Roman"/>
                <w:sz w:val="20"/>
                <w:lang w:val="sr-Cyrl-CS"/>
              </w:rPr>
              <w:t>)</w:t>
            </w:r>
          </w:p>
        </w:tc>
        <w:tc>
          <w:tcPr>
            <w:tcW w:w="1701" w:type="dxa"/>
          </w:tcPr>
          <w:p w14:paraId="36E4D623" w14:textId="77777777" w:rsidR="00D210F0" w:rsidRPr="00092ED7" w:rsidRDefault="00D210F0" w:rsidP="005D14E2">
            <w:pPr>
              <w:spacing w:before="0" w:after="0"/>
              <w:ind w:left="113" w:right="113"/>
              <w:jc w:val="center"/>
              <w:rPr>
                <w:rFonts w:cs="Times New Roman"/>
                <w:b w:val="0"/>
                <w:sz w:val="20"/>
                <w:lang w:val="sr-Cyrl-CS"/>
              </w:rPr>
            </w:pPr>
            <w:r w:rsidRPr="00092ED7">
              <w:rPr>
                <w:rFonts w:cs="Times New Roman"/>
                <w:sz w:val="20"/>
                <w:lang w:val="sr-Cyrl-CS"/>
              </w:rPr>
              <w:t>Циљна вредност (</w:t>
            </w:r>
            <w:r w:rsidR="00930145" w:rsidRPr="00092ED7">
              <w:rPr>
                <w:rFonts w:cs="Times New Roman"/>
                <w:sz w:val="20"/>
                <w:lang w:val="sr-Cyrl-CS"/>
              </w:rPr>
              <w:t>2023</w:t>
            </w:r>
            <w:r w:rsidRPr="00092ED7">
              <w:rPr>
                <w:rFonts w:cs="Times New Roman"/>
                <w:sz w:val="20"/>
                <w:lang w:val="sr-Cyrl-CS"/>
              </w:rPr>
              <w:t>)</w:t>
            </w:r>
          </w:p>
        </w:tc>
      </w:tr>
      <w:tr w:rsidR="00D210F0" w:rsidRPr="00092ED7" w14:paraId="7B1E5BBB" w14:textId="77777777" w:rsidTr="00AE4362">
        <w:trPr>
          <w:trHeight w:val="283"/>
        </w:trPr>
        <w:tc>
          <w:tcPr>
            <w:tcW w:w="3964" w:type="dxa"/>
          </w:tcPr>
          <w:p w14:paraId="552E3FEC" w14:textId="77777777" w:rsidR="00D210F0" w:rsidRPr="00092ED7" w:rsidRDefault="00930145" w:rsidP="005D14E2">
            <w:pPr>
              <w:spacing w:before="0" w:after="0"/>
              <w:ind w:left="113" w:right="113"/>
              <w:rPr>
                <w:sz w:val="20"/>
                <w:lang w:val="sr-Cyrl-CS"/>
              </w:rPr>
            </w:pPr>
            <w:r w:rsidRPr="00092ED7">
              <w:rPr>
                <w:rFonts w:eastAsia="Calibri" w:cs="Times New Roman"/>
                <w:sz w:val="20"/>
                <w:lang w:val="sr-Cyrl-CS"/>
              </w:rPr>
              <w:t>Успостављање базе података о ПСРС, уз обезбеђење дневног ажурирања</w:t>
            </w:r>
          </w:p>
        </w:tc>
        <w:tc>
          <w:tcPr>
            <w:tcW w:w="1701" w:type="dxa"/>
          </w:tcPr>
          <w:p w14:paraId="6A5721B0" w14:textId="77777777" w:rsidR="00D210F0" w:rsidRPr="00092ED7" w:rsidRDefault="00D210F0" w:rsidP="005D14E2">
            <w:pPr>
              <w:spacing w:before="0" w:after="0"/>
              <w:ind w:left="113" w:right="113"/>
              <w:jc w:val="center"/>
              <w:rPr>
                <w:rFonts w:eastAsia="Calibri" w:cs="Times New Roman"/>
                <w:sz w:val="20"/>
                <w:lang w:val="sr-Cyrl-CS"/>
              </w:rPr>
            </w:pPr>
            <w:r w:rsidRPr="00092ED7">
              <w:rPr>
                <w:rFonts w:eastAsia="Calibri" w:cs="Times New Roman"/>
                <w:sz w:val="20"/>
                <w:lang w:val="sr-Cyrl-CS"/>
              </w:rPr>
              <w:t>не</w:t>
            </w:r>
          </w:p>
        </w:tc>
        <w:tc>
          <w:tcPr>
            <w:tcW w:w="1701" w:type="dxa"/>
          </w:tcPr>
          <w:p w14:paraId="2BB45ECA" w14:textId="77777777" w:rsidR="00D210F0" w:rsidRPr="00092ED7" w:rsidRDefault="00D210F0" w:rsidP="005D14E2">
            <w:pPr>
              <w:spacing w:before="0" w:after="0"/>
              <w:ind w:left="113" w:right="113"/>
              <w:jc w:val="center"/>
              <w:rPr>
                <w:rFonts w:eastAsia="Calibri" w:cs="Times New Roman"/>
                <w:sz w:val="20"/>
                <w:lang w:val="sr-Cyrl-CS"/>
              </w:rPr>
            </w:pPr>
            <w:r w:rsidRPr="00092ED7">
              <w:rPr>
                <w:rFonts w:eastAsia="Calibri" w:cs="Times New Roman"/>
                <w:sz w:val="20"/>
                <w:lang w:val="sr-Cyrl-CS"/>
              </w:rPr>
              <w:t>дa</w:t>
            </w:r>
          </w:p>
        </w:tc>
        <w:tc>
          <w:tcPr>
            <w:tcW w:w="1701" w:type="dxa"/>
          </w:tcPr>
          <w:p w14:paraId="41A53CE8" w14:textId="77777777" w:rsidR="00D210F0" w:rsidRPr="00092ED7" w:rsidRDefault="00D210F0" w:rsidP="005D14E2">
            <w:pPr>
              <w:spacing w:before="0" w:after="0"/>
              <w:ind w:left="113" w:right="113"/>
              <w:jc w:val="center"/>
              <w:rPr>
                <w:rFonts w:eastAsia="Calibri" w:cs="Times New Roman"/>
                <w:sz w:val="20"/>
                <w:lang w:val="sr-Cyrl-CS"/>
              </w:rPr>
            </w:pPr>
            <w:r w:rsidRPr="00092ED7">
              <w:rPr>
                <w:rFonts w:eastAsia="Calibri" w:cs="Times New Roman"/>
                <w:sz w:val="20"/>
                <w:lang w:val="sr-Cyrl-CS"/>
              </w:rPr>
              <w:t>дa</w:t>
            </w:r>
          </w:p>
        </w:tc>
      </w:tr>
      <w:tr w:rsidR="00D210F0" w:rsidRPr="00092ED7" w14:paraId="686B6A25" w14:textId="77777777" w:rsidTr="00AE4362">
        <w:trPr>
          <w:trHeight w:val="283"/>
        </w:trPr>
        <w:tc>
          <w:tcPr>
            <w:tcW w:w="3964" w:type="dxa"/>
          </w:tcPr>
          <w:p w14:paraId="56B211C3" w14:textId="77777777" w:rsidR="00D210F0" w:rsidRPr="00092ED7" w:rsidRDefault="00930145" w:rsidP="005D14E2">
            <w:pPr>
              <w:spacing w:before="0" w:after="0"/>
              <w:ind w:left="113" w:right="113"/>
              <w:rPr>
                <w:sz w:val="20"/>
                <w:lang w:val="sr-Cyrl-CS"/>
              </w:rPr>
            </w:pPr>
            <w:r w:rsidRPr="00092ED7">
              <w:rPr>
                <w:rFonts w:eastAsia="Calibri" w:cs="Times New Roman"/>
                <w:sz w:val="20"/>
                <w:lang w:val="sr-Cyrl-CS"/>
              </w:rPr>
              <w:lastRenderedPageBreak/>
              <w:t>Број јавних предузећа која нису корпоратизована</w:t>
            </w:r>
          </w:p>
        </w:tc>
        <w:tc>
          <w:tcPr>
            <w:tcW w:w="1701" w:type="dxa"/>
          </w:tcPr>
          <w:p w14:paraId="0860575C" w14:textId="77777777" w:rsidR="00D210F0" w:rsidRPr="00092ED7" w:rsidRDefault="00930145" w:rsidP="005D14E2">
            <w:pPr>
              <w:spacing w:before="0" w:after="0"/>
              <w:ind w:left="113" w:right="113"/>
              <w:jc w:val="center"/>
              <w:rPr>
                <w:rFonts w:eastAsia="Calibri" w:cs="Times New Roman"/>
                <w:sz w:val="20"/>
                <w:lang w:val="sr-Cyrl-CS"/>
              </w:rPr>
            </w:pPr>
            <w:r w:rsidRPr="00092ED7">
              <w:rPr>
                <w:rFonts w:eastAsia="Calibri" w:cs="Times New Roman"/>
                <w:sz w:val="20"/>
                <w:lang w:val="sr-Cyrl-CS"/>
              </w:rPr>
              <w:t>26</w:t>
            </w:r>
          </w:p>
        </w:tc>
        <w:tc>
          <w:tcPr>
            <w:tcW w:w="1701" w:type="dxa"/>
          </w:tcPr>
          <w:p w14:paraId="73041F03" w14:textId="77777777" w:rsidR="00D210F0" w:rsidRPr="00092ED7" w:rsidRDefault="00930145" w:rsidP="005D14E2">
            <w:pPr>
              <w:spacing w:before="0" w:after="0"/>
              <w:ind w:left="113" w:right="113"/>
              <w:jc w:val="center"/>
              <w:rPr>
                <w:rFonts w:eastAsia="Calibri" w:cs="Times New Roman"/>
                <w:sz w:val="20"/>
                <w:lang w:val="sr-Cyrl-CS"/>
              </w:rPr>
            </w:pPr>
            <w:r w:rsidRPr="00092ED7">
              <w:rPr>
                <w:rFonts w:eastAsia="Calibri" w:cs="Times New Roman"/>
                <w:sz w:val="20"/>
                <w:lang w:val="sr-Cyrl-CS"/>
              </w:rPr>
              <w:t>23</w:t>
            </w:r>
          </w:p>
        </w:tc>
        <w:tc>
          <w:tcPr>
            <w:tcW w:w="1701" w:type="dxa"/>
          </w:tcPr>
          <w:p w14:paraId="0026B7F2" w14:textId="77777777" w:rsidR="00D210F0" w:rsidRPr="00092ED7" w:rsidRDefault="00930145" w:rsidP="005D14E2">
            <w:pPr>
              <w:spacing w:before="0" w:after="0"/>
              <w:ind w:left="113" w:right="113"/>
              <w:jc w:val="center"/>
              <w:rPr>
                <w:rFonts w:eastAsia="Calibri" w:cs="Times New Roman"/>
                <w:sz w:val="20"/>
                <w:lang w:val="sr-Cyrl-CS"/>
              </w:rPr>
            </w:pPr>
            <w:r w:rsidRPr="00092ED7">
              <w:rPr>
                <w:rFonts w:eastAsia="Calibri" w:cs="Times New Roman"/>
                <w:sz w:val="20"/>
                <w:lang w:val="sr-Cyrl-CS"/>
              </w:rPr>
              <w:t>20</w:t>
            </w:r>
          </w:p>
        </w:tc>
      </w:tr>
    </w:tbl>
    <w:p w14:paraId="7BD40639" w14:textId="77777777" w:rsidR="00D210F0" w:rsidRPr="00092ED7" w:rsidRDefault="00D210F0" w:rsidP="00071952">
      <w:pPr>
        <w:pStyle w:val="ListParagraph"/>
        <w:widowControl w:val="0"/>
        <w:numPr>
          <w:ilvl w:val="0"/>
          <w:numId w:val="23"/>
        </w:numPr>
        <w:spacing w:before="120" w:line="240" w:lineRule="auto"/>
        <w:ind w:left="425" w:hanging="425"/>
        <w:contextualSpacing w:val="0"/>
        <w:rPr>
          <w:rFonts w:cs="Times New Roman"/>
          <w:b/>
          <w:sz w:val="24"/>
          <w:szCs w:val="24"/>
          <w:lang w:val="sr-Cyrl-CS" w:eastAsia="sr-Cyrl-CS" w:bidi="sr-Cyrl-CS"/>
        </w:rPr>
      </w:pPr>
      <w:r w:rsidRPr="00092ED7">
        <w:rPr>
          <w:rFonts w:cs="Times New Roman"/>
          <w:b/>
          <w:sz w:val="24"/>
          <w:szCs w:val="24"/>
          <w:lang w:val="sr-Cyrl-CS" w:eastAsia="sr-Cyrl-CS" w:bidi="sr-Cyrl-CS"/>
        </w:rPr>
        <w:t>Очекивани утицај на конкурентност</w:t>
      </w:r>
    </w:p>
    <w:p w14:paraId="0FFFBFCE" w14:textId="77777777" w:rsidR="00D210F0" w:rsidRPr="00092ED7" w:rsidRDefault="00D210F0" w:rsidP="00D210F0">
      <w:pPr>
        <w:widowControl w:val="0"/>
        <w:spacing w:after="60"/>
        <w:rPr>
          <w:rFonts w:eastAsia="Calibri" w:cs="Times New Roman"/>
          <w:szCs w:val="24"/>
          <w:lang w:val="sr-Cyrl-CS" w:eastAsia="sr-Cyrl-CS" w:bidi="sr-Cyrl-CS"/>
        </w:rPr>
      </w:pPr>
      <w:r w:rsidRPr="00092ED7">
        <w:rPr>
          <w:rFonts w:eastAsia="Calibri" w:cs="Times New Roman"/>
          <w:szCs w:val="24"/>
          <w:lang w:val="sr-Cyrl-CS" w:eastAsia="sr-Cyrl-CS" w:bidi="sr-Cyrl-CS"/>
        </w:rPr>
        <w:t>Уједначеним правним оквиром у коме послују ПСРС ствара се основа за успостављање централизоване власничке функције државе, што ће омогућити транспарентнији систем надзора и ефикасније спровођење јавних политика</w:t>
      </w:r>
      <w:r w:rsidR="00D255A6" w:rsidRPr="00092ED7">
        <w:rPr>
          <w:rFonts w:eastAsia="Calibri" w:cs="Times New Roman"/>
          <w:szCs w:val="24"/>
          <w:lang w:val="sr-Cyrl-CS" w:eastAsia="sr-Cyrl-CS" w:bidi="sr-Cyrl-CS"/>
        </w:rPr>
        <w:t>, као и смањење фискалних ризика</w:t>
      </w:r>
      <w:r w:rsidRPr="00092ED7">
        <w:rPr>
          <w:rFonts w:eastAsia="Calibri" w:cs="Times New Roman"/>
          <w:szCs w:val="24"/>
          <w:lang w:val="sr-Cyrl-CS" w:eastAsia="sr-Cyrl-CS" w:bidi="sr-Cyrl-CS"/>
        </w:rPr>
        <w:t xml:space="preserve">. </w:t>
      </w:r>
    </w:p>
    <w:p w14:paraId="616E087E" w14:textId="77777777" w:rsidR="00D210F0" w:rsidRPr="00092ED7" w:rsidRDefault="00D210F0" w:rsidP="00D210F0">
      <w:pPr>
        <w:widowControl w:val="0"/>
        <w:spacing w:after="60"/>
        <w:rPr>
          <w:rFonts w:eastAsia="Calibri" w:cs="Times New Roman"/>
          <w:szCs w:val="24"/>
          <w:lang w:val="sr-Cyrl-CS" w:eastAsia="sr-Cyrl-CS" w:bidi="sr-Cyrl-CS"/>
        </w:rPr>
      </w:pPr>
      <w:r w:rsidRPr="00092ED7">
        <w:rPr>
          <w:rFonts w:eastAsia="Calibri" w:cs="Times New Roman"/>
          <w:szCs w:val="24"/>
          <w:lang w:val="sr-Cyrl-CS" w:eastAsia="sr-Cyrl-CS" w:bidi="sr-Cyrl-CS"/>
        </w:rPr>
        <w:t>Обзиром на број ПСРС, дигитализација праћења и извештавања о пословању ПСРС ће смањити информациону асиметрију између централног власничког тела и управе, чиме се појачава мониторинг, олакшава процес привлачења капитала, доприноси јачању поверења у финансијски систем.</w:t>
      </w:r>
    </w:p>
    <w:p w14:paraId="5548AEA0" w14:textId="77777777" w:rsidR="00D210F0" w:rsidRPr="00092ED7" w:rsidRDefault="00D210F0" w:rsidP="00071952">
      <w:pPr>
        <w:widowControl w:val="0"/>
        <w:numPr>
          <w:ilvl w:val="0"/>
          <w:numId w:val="23"/>
        </w:numPr>
        <w:spacing w:before="120"/>
        <w:ind w:left="425" w:hanging="425"/>
        <w:rPr>
          <w:rFonts w:eastAsia="Calibri" w:cs="Times New Roman"/>
          <w:b/>
          <w:szCs w:val="24"/>
          <w:lang w:val="sr-Cyrl-CS" w:eastAsia="sr-Cyrl-CS" w:bidi="sr-Cyrl-CS"/>
        </w:rPr>
      </w:pPr>
      <w:r w:rsidRPr="00092ED7">
        <w:rPr>
          <w:rFonts w:eastAsia="Calibri" w:cs="Times New Roman"/>
          <w:b/>
          <w:szCs w:val="24"/>
          <w:lang w:val="sr-Cyrl-CS" w:eastAsia="sr-Cyrl-CS" w:bidi="sr-Cyrl-CS"/>
        </w:rPr>
        <w:t>Процењени трошкови активности и извори финансирања</w:t>
      </w:r>
    </w:p>
    <w:p w14:paraId="60601CB2" w14:textId="77777777" w:rsidR="004A32FF" w:rsidRPr="00092ED7" w:rsidRDefault="004A32FF" w:rsidP="004A32FF">
      <w:pPr>
        <w:widowControl w:val="0"/>
        <w:spacing w:after="60"/>
        <w:rPr>
          <w:rFonts w:eastAsia="Calibri" w:cs="Times New Roman"/>
          <w:szCs w:val="24"/>
          <w:lang w:val="sr-Cyrl-CS" w:eastAsia="sr-Cyrl-CS" w:bidi="sr-Cyrl-CS"/>
        </w:rPr>
      </w:pPr>
      <w:r w:rsidRPr="00092ED7">
        <w:rPr>
          <w:rFonts w:eastAsia="Calibri" w:cs="Times New Roman"/>
          <w:szCs w:val="24"/>
          <w:lang w:val="sr-Cyrl-CS" w:eastAsia="sr-Cyrl-CS" w:bidi="sr-Cyrl-CS"/>
        </w:rPr>
        <w:t>За спровођење ове структурне реформе нису потребна додатна средства из буџета Републике Србије.</w:t>
      </w:r>
    </w:p>
    <w:p w14:paraId="6239BA12" w14:textId="4F06E264" w:rsidR="004A32FF" w:rsidRPr="00092ED7" w:rsidRDefault="004A32FF" w:rsidP="00D210F0">
      <w:pPr>
        <w:widowControl w:val="0"/>
        <w:spacing w:after="60"/>
        <w:rPr>
          <w:rFonts w:eastAsia="Calibri" w:cs="Times New Roman"/>
          <w:szCs w:val="24"/>
          <w:lang w:val="sr-Cyrl-CS" w:eastAsia="sr-Cyrl-CS" w:bidi="sr-Cyrl-CS"/>
        </w:rPr>
      </w:pPr>
      <w:r w:rsidRPr="00092ED7">
        <w:rPr>
          <w:rFonts w:eastAsia="Calibri" w:cs="Times New Roman"/>
          <w:szCs w:val="24"/>
          <w:lang w:val="sr-Cyrl-CS" w:eastAsia="sr-Cyrl-CS" w:bidi="sr-Cyrl-CS"/>
        </w:rPr>
        <w:t>У оквиру Пројекта „Реформа локалних јавних финансија II</w:t>
      </w:r>
      <w:r w:rsidR="005B7265" w:rsidRPr="00092ED7">
        <w:rPr>
          <w:rFonts w:cs="Times New Roman"/>
          <w:szCs w:val="24"/>
          <w:lang w:val="sr-Cyrl-CS"/>
        </w:rPr>
        <w:t>”</w:t>
      </w:r>
      <w:r w:rsidRPr="00092ED7">
        <w:rPr>
          <w:rFonts w:eastAsia="Calibri" w:cs="Times New Roman"/>
          <w:szCs w:val="24"/>
          <w:lang w:val="sr-Cyrl-CS" w:eastAsia="sr-Cyrl-CS" w:bidi="sr-Cyrl-CS"/>
        </w:rPr>
        <w:t xml:space="preserve"> (RELOF 2) који подржава Влада Швајцарске</w:t>
      </w:r>
      <w:r w:rsidR="00DE4389" w:rsidRPr="00092ED7">
        <w:rPr>
          <w:rFonts w:eastAsia="Calibri" w:cs="Times New Roman"/>
          <w:szCs w:val="24"/>
          <w:lang w:val="sr-Cyrl-CS" w:eastAsia="sr-Cyrl-CS" w:bidi="sr-Cyrl-CS"/>
        </w:rPr>
        <w:t xml:space="preserve"> Конфедерације</w:t>
      </w:r>
      <w:r w:rsidRPr="00092ED7">
        <w:rPr>
          <w:rFonts w:eastAsia="Calibri" w:cs="Times New Roman"/>
          <w:szCs w:val="24"/>
          <w:lang w:val="sr-Cyrl-CS" w:eastAsia="sr-Cyrl-CS" w:bidi="sr-Cyrl-CS"/>
        </w:rPr>
        <w:t>, потписан је Уговор о донацији Информационе платформе, у износу од 69.080 CHF, односно 68.504 евра, којим ће се спроводити мера дигитализације проц</w:t>
      </w:r>
      <w:r w:rsidR="00C25CB3" w:rsidRPr="00092ED7">
        <w:rPr>
          <w:rFonts w:eastAsia="Calibri" w:cs="Times New Roman"/>
          <w:szCs w:val="24"/>
          <w:lang w:val="sr-Cyrl-CS" w:eastAsia="sr-Cyrl-CS" w:bidi="sr-Cyrl-CS"/>
        </w:rPr>
        <w:t>еса надзора и извештавања ПСРС.</w:t>
      </w:r>
    </w:p>
    <w:p w14:paraId="5BA42379" w14:textId="77777777" w:rsidR="00D210F0" w:rsidRPr="00092ED7" w:rsidRDefault="00D210F0" w:rsidP="00071952">
      <w:pPr>
        <w:widowControl w:val="0"/>
        <w:numPr>
          <w:ilvl w:val="0"/>
          <w:numId w:val="23"/>
        </w:numPr>
        <w:spacing w:before="120"/>
        <w:ind w:left="425" w:hanging="425"/>
        <w:rPr>
          <w:rFonts w:eastAsia="Calibri" w:cs="Times New Roman"/>
          <w:b/>
          <w:szCs w:val="24"/>
          <w:lang w:val="sr-Cyrl-CS" w:eastAsia="sr-Cyrl-CS" w:bidi="sr-Cyrl-CS"/>
        </w:rPr>
      </w:pPr>
      <w:r w:rsidRPr="00092ED7">
        <w:rPr>
          <w:rFonts w:eastAsia="Calibri" w:cs="Times New Roman"/>
          <w:b/>
          <w:szCs w:val="24"/>
          <w:lang w:val="sr-Cyrl-CS" w:eastAsia="sr-Cyrl-CS" w:bidi="sr-Cyrl-CS"/>
        </w:rPr>
        <w:t>Очекивани утицај на социјалне циљеве, као што су запосленост, смањење сиромаштва, родна равноправност и приступ здравственој заштити</w:t>
      </w:r>
    </w:p>
    <w:p w14:paraId="42F1B81E" w14:textId="77777777" w:rsidR="00D210F0" w:rsidRPr="00092ED7" w:rsidRDefault="00D210F0" w:rsidP="00D210F0">
      <w:pPr>
        <w:widowControl w:val="0"/>
        <w:spacing w:after="60"/>
        <w:rPr>
          <w:rFonts w:eastAsia="Calibri" w:cs="Times New Roman"/>
          <w:szCs w:val="24"/>
          <w:lang w:val="sr-Cyrl-CS" w:eastAsia="sr-Cyrl-CS" w:bidi="sr-Cyrl-CS"/>
        </w:rPr>
      </w:pPr>
      <w:r w:rsidRPr="00092ED7">
        <w:rPr>
          <w:rFonts w:eastAsia="Calibri" w:cs="Times New Roman"/>
          <w:szCs w:val="24"/>
          <w:lang w:val="sr-Cyrl-CS" w:eastAsia="sr-Cyrl-CS" w:bidi="sr-Cyrl-CS"/>
        </w:rPr>
        <w:t>Транспарентнији систем надзора над ПСРС доприноси ефикаснијем спровођењу јавних политика, а самим тим, побољшању конкурентности привреде и порасту животног стандарда. Предложена реформа је неутрална у односу на родну равноправност.</w:t>
      </w:r>
    </w:p>
    <w:p w14:paraId="4E312499" w14:textId="77777777" w:rsidR="00D210F0" w:rsidRPr="00092ED7" w:rsidRDefault="00D210F0" w:rsidP="00071952">
      <w:pPr>
        <w:widowControl w:val="0"/>
        <w:numPr>
          <w:ilvl w:val="0"/>
          <w:numId w:val="23"/>
        </w:numPr>
        <w:spacing w:before="120"/>
        <w:ind w:left="425" w:hanging="425"/>
        <w:rPr>
          <w:rFonts w:eastAsia="Calibri" w:cs="Times New Roman"/>
          <w:b/>
          <w:szCs w:val="24"/>
          <w:lang w:val="sr-Cyrl-CS" w:eastAsia="sr-Cyrl-CS" w:bidi="sr-Cyrl-CS"/>
        </w:rPr>
      </w:pPr>
      <w:r w:rsidRPr="00092ED7">
        <w:rPr>
          <w:rFonts w:eastAsia="Calibri" w:cs="Times New Roman"/>
          <w:b/>
          <w:szCs w:val="24"/>
          <w:lang w:val="sr-Cyrl-CS" w:eastAsia="sr-Cyrl-CS" w:bidi="sr-Cyrl-CS"/>
        </w:rPr>
        <w:t>Очекивани утицај на животну средину и климатске промене</w:t>
      </w:r>
    </w:p>
    <w:p w14:paraId="4E55E948" w14:textId="77777777" w:rsidR="00D210F0" w:rsidRPr="00092ED7" w:rsidRDefault="00D210F0" w:rsidP="00D210F0">
      <w:pPr>
        <w:widowControl w:val="0"/>
        <w:spacing w:after="60"/>
        <w:rPr>
          <w:rFonts w:eastAsia="Calibri" w:cs="Times New Roman"/>
          <w:b/>
          <w:szCs w:val="24"/>
          <w:lang w:val="sr-Cyrl-CS" w:eastAsia="sr-Cyrl-CS" w:bidi="sr-Cyrl-CS"/>
        </w:rPr>
      </w:pPr>
      <w:r w:rsidRPr="00092ED7">
        <w:rPr>
          <w:rFonts w:cs="Times New Roman"/>
          <w:lang w:val="sr-Cyrl-CS"/>
        </w:rPr>
        <w:t>Предложена реформа је неутрална у односу на животну средину и климатске промене.</w:t>
      </w:r>
    </w:p>
    <w:p w14:paraId="50E357FB" w14:textId="77777777" w:rsidR="00D210F0" w:rsidRPr="00092ED7" w:rsidRDefault="00D210F0" w:rsidP="00071952">
      <w:pPr>
        <w:widowControl w:val="0"/>
        <w:numPr>
          <w:ilvl w:val="0"/>
          <w:numId w:val="23"/>
        </w:numPr>
        <w:spacing w:before="120"/>
        <w:ind w:left="425" w:hanging="425"/>
        <w:rPr>
          <w:rFonts w:eastAsia="Calibri" w:cs="Times New Roman"/>
          <w:b/>
          <w:szCs w:val="24"/>
          <w:lang w:val="sr-Cyrl-CS" w:eastAsia="sr-Cyrl-CS" w:bidi="sr-Cyrl-CS"/>
        </w:rPr>
      </w:pPr>
      <w:r w:rsidRPr="00092ED7">
        <w:rPr>
          <w:rFonts w:eastAsia="Calibri" w:cs="Times New Roman"/>
          <w:b/>
          <w:szCs w:val="24"/>
          <w:lang w:val="sr-Cyrl-CS" w:eastAsia="sr-Cyrl-CS" w:bidi="sr-Cyrl-CS"/>
        </w:rPr>
        <w:t>Потенцијални ризици</w:t>
      </w:r>
    </w:p>
    <w:tbl>
      <w:tblPr>
        <w:tblStyle w:val="TableGrid"/>
        <w:tblW w:w="9067" w:type="dxa"/>
        <w:tblLayout w:type="fixed"/>
        <w:tblLook w:val="04A0" w:firstRow="1" w:lastRow="0" w:firstColumn="1" w:lastColumn="0" w:noHBand="0" w:noVBand="1"/>
      </w:tblPr>
      <w:tblGrid>
        <w:gridCol w:w="3685"/>
        <w:gridCol w:w="2098"/>
        <w:gridCol w:w="3284"/>
      </w:tblGrid>
      <w:tr w:rsidR="00D210F0" w:rsidRPr="00092ED7" w14:paraId="5149C1AE" w14:textId="77777777" w:rsidTr="00AE4362">
        <w:trPr>
          <w:cnfStyle w:val="100000000000" w:firstRow="1" w:lastRow="0" w:firstColumn="0" w:lastColumn="0" w:oddVBand="0" w:evenVBand="0" w:oddHBand="0" w:evenHBand="0" w:firstRowFirstColumn="0" w:firstRowLastColumn="0" w:lastRowFirstColumn="0" w:lastRowLastColumn="0"/>
        </w:trPr>
        <w:tc>
          <w:tcPr>
            <w:tcW w:w="3685" w:type="dxa"/>
          </w:tcPr>
          <w:p w14:paraId="3CB31672" w14:textId="77777777" w:rsidR="00D210F0" w:rsidRPr="00092ED7" w:rsidRDefault="00D210F0" w:rsidP="00AE4362">
            <w:pPr>
              <w:spacing w:before="0" w:after="0"/>
              <w:ind w:left="113" w:right="113"/>
              <w:jc w:val="center"/>
              <w:rPr>
                <w:rFonts w:cs="Times New Roman"/>
                <w:b w:val="0"/>
                <w:sz w:val="20"/>
                <w:lang w:val="sr-Cyrl-CS"/>
              </w:rPr>
            </w:pPr>
            <w:r w:rsidRPr="00092ED7">
              <w:rPr>
                <w:rFonts w:cs="Times New Roman"/>
                <w:sz w:val="20"/>
                <w:lang w:val="sr-Cyrl-CS"/>
              </w:rPr>
              <w:t>Ризик</w:t>
            </w:r>
          </w:p>
        </w:tc>
        <w:tc>
          <w:tcPr>
            <w:tcW w:w="2098" w:type="dxa"/>
          </w:tcPr>
          <w:p w14:paraId="3D70DA39" w14:textId="77777777" w:rsidR="00D210F0" w:rsidRPr="00092ED7" w:rsidRDefault="00D210F0" w:rsidP="00AE4362">
            <w:pPr>
              <w:spacing w:before="0" w:after="0"/>
              <w:ind w:left="113" w:right="113"/>
              <w:jc w:val="center"/>
              <w:rPr>
                <w:rFonts w:cs="Times New Roman"/>
                <w:b w:val="0"/>
                <w:sz w:val="20"/>
                <w:lang w:val="sr-Cyrl-CS"/>
              </w:rPr>
            </w:pPr>
            <w:r w:rsidRPr="00092ED7">
              <w:rPr>
                <w:rFonts w:cs="Times New Roman"/>
                <w:sz w:val="20"/>
                <w:lang w:val="sr-Cyrl-CS"/>
              </w:rPr>
              <w:t>Вероватноћа за остваривање ризика</w:t>
            </w:r>
          </w:p>
        </w:tc>
        <w:tc>
          <w:tcPr>
            <w:tcW w:w="3284" w:type="dxa"/>
          </w:tcPr>
          <w:p w14:paraId="2D708923" w14:textId="77777777" w:rsidR="00D210F0" w:rsidRPr="00092ED7" w:rsidRDefault="00D210F0" w:rsidP="00AE4362">
            <w:pPr>
              <w:spacing w:before="0" w:after="0"/>
              <w:ind w:left="113" w:right="113"/>
              <w:jc w:val="center"/>
              <w:rPr>
                <w:rFonts w:cs="Times New Roman"/>
                <w:b w:val="0"/>
                <w:sz w:val="20"/>
                <w:lang w:val="sr-Cyrl-CS"/>
              </w:rPr>
            </w:pPr>
            <w:r w:rsidRPr="00092ED7">
              <w:rPr>
                <w:rFonts w:cs="Times New Roman"/>
                <w:sz w:val="20"/>
                <w:lang w:val="sr-Cyrl-CS"/>
              </w:rPr>
              <w:t>Планиране активности за ублажавање негативних ефеката ризика</w:t>
            </w:r>
          </w:p>
        </w:tc>
      </w:tr>
      <w:tr w:rsidR="00D210F0" w:rsidRPr="00092ED7" w14:paraId="5CCD5C5C" w14:textId="77777777" w:rsidTr="000003B8">
        <w:tc>
          <w:tcPr>
            <w:tcW w:w="3685" w:type="dxa"/>
          </w:tcPr>
          <w:p w14:paraId="1598125F" w14:textId="77777777" w:rsidR="00D210F0" w:rsidRPr="00092ED7" w:rsidRDefault="00D210F0" w:rsidP="00AE4362">
            <w:pPr>
              <w:spacing w:before="0" w:after="0"/>
              <w:ind w:left="113" w:right="113"/>
              <w:rPr>
                <w:rFonts w:cs="Times New Roman"/>
                <w:sz w:val="20"/>
                <w:lang w:val="sr-Cyrl-CS"/>
              </w:rPr>
            </w:pPr>
            <w:r w:rsidRPr="00092ED7">
              <w:rPr>
                <w:rFonts w:cs="Times New Roman"/>
                <w:sz w:val="20"/>
                <w:lang w:val="sr-Cyrl-CS"/>
              </w:rPr>
              <w:t>Изазови у примени новог правног оквира услед постојеће неуједначености и обухвата правног оквира који уређује функционисање ПСРС.</w:t>
            </w:r>
          </w:p>
        </w:tc>
        <w:tc>
          <w:tcPr>
            <w:tcW w:w="2098" w:type="dxa"/>
            <w:vAlign w:val="top"/>
          </w:tcPr>
          <w:p w14:paraId="0605780B" w14:textId="77777777" w:rsidR="00D210F0" w:rsidRPr="00092ED7" w:rsidRDefault="00D210F0" w:rsidP="000003B8">
            <w:pPr>
              <w:spacing w:before="0" w:after="0"/>
              <w:ind w:left="113" w:right="113"/>
              <w:jc w:val="center"/>
              <w:rPr>
                <w:sz w:val="20"/>
                <w:lang w:val="sr-Cyrl-CS"/>
              </w:rPr>
            </w:pPr>
            <w:r w:rsidRPr="00092ED7">
              <w:rPr>
                <w:rFonts w:cs="Times New Roman"/>
                <w:sz w:val="20"/>
                <w:lang w:val="sr-Cyrl-CS"/>
              </w:rPr>
              <w:t>Висока</w:t>
            </w:r>
          </w:p>
        </w:tc>
        <w:tc>
          <w:tcPr>
            <w:tcW w:w="3284" w:type="dxa"/>
            <w:vAlign w:val="top"/>
          </w:tcPr>
          <w:p w14:paraId="1ADAF3F2" w14:textId="77777777" w:rsidR="00D210F0" w:rsidRPr="00092ED7" w:rsidRDefault="00D210F0" w:rsidP="000003B8">
            <w:pPr>
              <w:spacing w:before="0" w:after="0"/>
              <w:ind w:left="113" w:right="113"/>
              <w:rPr>
                <w:sz w:val="20"/>
                <w:lang w:val="sr-Cyrl-CS"/>
              </w:rPr>
            </w:pPr>
            <w:r w:rsidRPr="00092ED7">
              <w:rPr>
                <w:rFonts w:cs="Times New Roman"/>
                <w:sz w:val="20"/>
                <w:lang w:val="sr-Cyrl-CS"/>
              </w:rPr>
              <w:t>Сарадња са надлежним министарствима и органима</w:t>
            </w:r>
            <w:r w:rsidR="00D47BD8" w:rsidRPr="00092ED7">
              <w:rPr>
                <w:rFonts w:cs="Times New Roman"/>
                <w:sz w:val="20"/>
                <w:lang w:val="sr-Cyrl-CS"/>
              </w:rPr>
              <w:t>.</w:t>
            </w:r>
          </w:p>
        </w:tc>
      </w:tr>
      <w:tr w:rsidR="00D210F0" w:rsidRPr="00092ED7" w14:paraId="31CEFDF0" w14:textId="77777777" w:rsidTr="000003B8">
        <w:tc>
          <w:tcPr>
            <w:tcW w:w="3685" w:type="dxa"/>
          </w:tcPr>
          <w:p w14:paraId="4D5D2045" w14:textId="77777777" w:rsidR="00D210F0" w:rsidRPr="00092ED7" w:rsidRDefault="00D210F0" w:rsidP="00AE4362">
            <w:pPr>
              <w:spacing w:before="0" w:after="0"/>
              <w:ind w:left="113" w:right="113"/>
              <w:rPr>
                <w:sz w:val="20"/>
                <w:lang w:val="sr-Cyrl-CS"/>
              </w:rPr>
            </w:pPr>
            <w:r w:rsidRPr="00092ED7">
              <w:rPr>
                <w:rFonts w:cs="Times New Roman"/>
                <w:sz w:val="20"/>
                <w:lang w:val="sr-Cyrl-CS"/>
              </w:rPr>
              <w:t>Техничка ограничења у дигитализованом праћењу и извештавању ПСРС</w:t>
            </w:r>
          </w:p>
        </w:tc>
        <w:tc>
          <w:tcPr>
            <w:tcW w:w="2098" w:type="dxa"/>
            <w:vAlign w:val="top"/>
          </w:tcPr>
          <w:p w14:paraId="08ABD1A9" w14:textId="77777777" w:rsidR="00D210F0" w:rsidRPr="00092ED7" w:rsidRDefault="00D210F0" w:rsidP="000003B8">
            <w:pPr>
              <w:spacing w:before="0" w:after="0"/>
              <w:ind w:left="113" w:right="113"/>
              <w:jc w:val="center"/>
              <w:rPr>
                <w:sz w:val="20"/>
                <w:lang w:val="sr-Cyrl-CS"/>
              </w:rPr>
            </w:pPr>
            <w:r w:rsidRPr="00092ED7">
              <w:rPr>
                <w:rFonts w:cs="Times New Roman"/>
                <w:sz w:val="20"/>
                <w:lang w:val="sr-Cyrl-CS"/>
              </w:rPr>
              <w:t>Средња</w:t>
            </w:r>
          </w:p>
        </w:tc>
        <w:tc>
          <w:tcPr>
            <w:tcW w:w="3284" w:type="dxa"/>
            <w:vAlign w:val="top"/>
          </w:tcPr>
          <w:p w14:paraId="4296E4A9" w14:textId="77777777" w:rsidR="00D210F0" w:rsidRPr="00092ED7" w:rsidRDefault="00D210F0" w:rsidP="000003B8">
            <w:pPr>
              <w:spacing w:before="0" w:after="0"/>
              <w:ind w:left="113" w:right="113"/>
              <w:rPr>
                <w:rFonts w:cs="Times New Roman"/>
                <w:sz w:val="20"/>
                <w:lang w:val="sr-Cyrl-CS"/>
              </w:rPr>
            </w:pPr>
            <w:r w:rsidRPr="00092ED7">
              <w:rPr>
                <w:rFonts w:cs="Times New Roman"/>
                <w:sz w:val="20"/>
                <w:lang w:val="sr-Cyrl-CS"/>
              </w:rPr>
              <w:t>Сарадња са ИТ стручњацима</w:t>
            </w:r>
            <w:r w:rsidR="00D47BD8" w:rsidRPr="00092ED7">
              <w:rPr>
                <w:rFonts w:cs="Times New Roman"/>
                <w:sz w:val="20"/>
                <w:lang w:val="sr-Cyrl-CS"/>
              </w:rPr>
              <w:t>.</w:t>
            </w:r>
          </w:p>
        </w:tc>
      </w:tr>
      <w:tr w:rsidR="00D210F0" w:rsidRPr="00092ED7" w14:paraId="55B15051" w14:textId="77777777" w:rsidTr="000003B8">
        <w:tc>
          <w:tcPr>
            <w:tcW w:w="3685" w:type="dxa"/>
          </w:tcPr>
          <w:p w14:paraId="6CF0B228" w14:textId="77777777" w:rsidR="00D210F0" w:rsidRPr="00092ED7" w:rsidRDefault="00D210F0" w:rsidP="00AE4362">
            <w:pPr>
              <w:spacing w:before="0" w:after="0"/>
              <w:ind w:left="113" w:right="113"/>
              <w:rPr>
                <w:sz w:val="20"/>
                <w:lang w:val="sr-Cyrl-CS"/>
              </w:rPr>
            </w:pPr>
            <w:r w:rsidRPr="00092ED7">
              <w:rPr>
                <w:rFonts w:cs="Times New Roman"/>
                <w:sz w:val="20"/>
                <w:lang w:val="sr-Cyrl-CS"/>
              </w:rPr>
              <w:t>Капацитет и расположивост ресурса у ПСРС неопходних за успостављање јединственог система корпоративног управљања</w:t>
            </w:r>
          </w:p>
        </w:tc>
        <w:tc>
          <w:tcPr>
            <w:tcW w:w="2098" w:type="dxa"/>
            <w:vAlign w:val="top"/>
          </w:tcPr>
          <w:p w14:paraId="68EF9DCB" w14:textId="77777777" w:rsidR="00D210F0" w:rsidRPr="00092ED7" w:rsidRDefault="00D210F0" w:rsidP="000003B8">
            <w:pPr>
              <w:spacing w:before="0" w:after="0"/>
              <w:ind w:left="113" w:right="113"/>
              <w:jc w:val="center"/>
              <w:rPr>
                <w:rFonts w:cs="Times New Roman"/>
                <w:sz w:val="20"/>
                <w:lang w:val="sr-Cyrl-CS"/>
              </w:rPr>
            </w:pPr>
            <w:r w:rsidRPr="00092ED7">
              <w:rPr>
                <w:rFonts w:cs="Times New Roman"/>
                <w:sz w:val="20"/>
                <w:lang w:val="sr-Cyrl-CS"/>
              </w:rPr>
              <w:t>Средња</w:t>
            </w:r>
          </w:p>
        </w:tc>
        <w:tc>
          <w:tcPr>
            <w:tcW w:w="3284" w:type="dxa"/>
            <w:vAlign w:val="top"/>
          </w:tcPr>
          <w:p w14:paraId="4B8558ED" w14:textId="77777777" w:rsidR="00D210F0" w:rsidRPr="00092ED7" w:rsidRDefault="00D210F0" w:rsidP="000003B8">
            <w:pPr>
              <w:spacing w:before="0" w:after="0"/>
              <w:ind w:left="113" w:right="113"/>
              <w:rPr>
                <w:sz w:val="20"/>
                <w:lang w:val="sr-Cyrl-CS"/>
              </w:rPr>
            </w:pPr>
            <w:r w:rsidRPr="00092ED7">
              <w:rPr>
                <w:rFonts w:cs="Times New Roman"/>
                <w:sz w:val="20"/>
                <w:lang w:val="sr-Cyrl-CS"/>
              </w:rPr>
              <w:t>Успостављање система усавршавања из области корпоративног управљања органа управљања ПСРС.</w:t>
            </w:r>
          </w:p>
        </w:tc>
      </w:tr>
    </w:tbl>
    <w:p w14:paraId="0E631390" w14:textId="77777777" w:rsidR="00D210F0" w:rsidRPr="00092ED7" w:rsidRDefault="00D210F0" w:rsidP="00D210F0">
      <w:pPr>
        <w:spacing w:before="120"/>
        <w:rPr>
          <w:rFonts w:eastAsia="Calibri" w:cs="Times New Roman"/>
          <w:szCs w:val="24"/>
          <w:lang w:val="sr-Cyrl-CS"/>
        </w:rPr>
      </w:pPr>
      <w:r w:rsidRPr="00092ED7">
        <w:rPr>
          <w:rFonts w:eastAsia="Calibri" w:cs="Times New Roman"/>
          <w:b/>
          <w:szCs w:val="24"/>
          <w:u w:val="single"/>
          <w:lang w:val="sr-Cyrl-CS"/>
        </w:rPr>
        <w:t>СТРУКТУРНА РЕФОРМА 7</w:t>
      </w:r>
      <w:r w:rsidRPr="00092ED7">
        <w:rPr>
          <w:rFonts w:eastAsia="Calibri" w:cs="Times New Roman"/>
          <w:b/>
          <w:szCs w:val="24"/>
          <w:lang w:val="sr-Cyrl-CS"/>
        </w:rPr>
        <w:t>:</w:t>
      </w:r>
      <w:r w:rsidRPr="00092ED7">
        <w:rPr>
          <w:rFonts w:eastAsia="Calibri" w:cs="Times New Roman"/>
          <w:szCs w:val="24"/>
          <w:lang w:val="sr-Cyrl-CS"/>
        </w:rPr>
        <w:t xml:space="preserve"> РАЗВОЈ ДОМАЋЕГ ТРЖИШТА КАПИТАЛА И ОБЕЗБЕЂИВАЊЕ ВЕЋЕГ СТЕПЕНА ЗАШТИТЕ ИНВЕСТИТОРА</w:t>
      </w:r>
    </w:p>
    <w:p w14:paraId="09F23084" w14:textId="77777777" w:rsidR="00D210F0" w:rsidRPr="00092ED7" w:rsidRDefault="00D210F0" w:rsidP="00071952">
      <w:pPr>
        <w:pStyle w:val="ListParagraph"/>
        <w:widowControl w:val="0"/>
        <w:numPr>
          <w:ilvl w:val="0"/>
          <w:numId w:val="24"/>
        </w:numPr>
        <w:spacing w:before="120" w:line="240" w:lineRule="auto"/>
        <w:ind w:left="425" w:hanging="425"/>
        <w:contextualSpacing w:val="0"/>
        <w:rPr>
          <w:rFonts w:cs="Times New Roman"/>
          <w:b/>
          <w:sz w:val="24"/>
          <w:szCs w:val="24"/>
          <w:lang w:val="sr-Cyrl-CS" w:eastAsia="sr-Cyrl-CS" w:bidi="sr-Cyrl-CS"/>
        </w:rPr>
      </w:pPr>
      <w:r w:rsidRPr="00092ED7">
        <w:rPr>
          <w:rFonts w:cs="Times New Roman"/>
          <w:b/>
          <w:sz w:val="24"/>
          <w:szCs w:val="24"/>
          <w:lang w:val="sr-Cyrl-CS" w:eastAsia="sr-Cyrl-CS" w:bidi="sr-Cyrl-CS"/>
        </w:rPr>
        <w:t>Опис структурне реформе</w:t>
      </w:r>
    </w:p>
    <w:p w14:paraId="2B3BEA15" w14:textId="27CAD87B" w:rsidR="00D210F0" w:rsidRPr="00092ED7" w:rsidRDefault="00D210F0" w:rsidP="005D14E2">
      <w:pPr>
        <w:pStyle w:val="Default"/>
        <w:widowControl w:val="0"/>
        <w:autoSpaceDE/>
        <w:autoSpaceDN/>
        <w:adjustRightInd/>
        <w:spacing w:after="60"/>
        <w:rPr>
          <w:rFonts w:ascii="Times New Roman" w:hAnsi="Times New Roman" w:cs="Times New Roman"/>
          <w:szCs w:val="22"/>
          <w:lang w:val="sr-Cyrl-CS"/>
        </w:rPr>
      </w:pPr>
      <w:r w:rsidRPr="00092ED7">
        <w:rPr>
          <w:rFonts w:ascii="Times New Roman" w:hAnsi="Times New Roman" w:cs="Times New Roman"/>
          <w:szCs w:val="22"/>
          <w:lang w:val="sr-Cyrl-CS"/>
        </w:rPr>
        <w:t xml:space="preserve">У циљу јачања тржишта капитала, побољшања пословног окружења и пружања подршке приватном сектору, предметном структурном реформом допринеће се развоју конкурентног, високо ефикасног, транспарентног и продуктивног националног тржишта капитала са широким спектром финансијских инструмената и услуга, које ће бити </w:t>
      </w:r>
      <w:r w:rsidRPr="00092ED7">
        <w:rPr>
          <w:rFonts w:ascii="Times New Roman" w:hAnsi="Times New Roman" w:cs="Times New Roman"/>
          <w:szCs w:val="22"/>
          <w:lang w:val="sr-Cyrl-CS"/>
        </w:rPr>
        <w:lastRenderedPageBreak/>
        <w:t>упоредиво са водећим регионалним и европским финансијским тржиштима. Циљ ове структурн</w:t>
      </w:r>
      <w:r w:rsidR="00DE4389" w:rsidRPr="00092ED7">
        <w:rPr>
          <w:rFonts w:ascii="Times New Roman" w:hAnsi="Times New Roman" w:cs="Times New Roman"/>
          <w:szCs w:val="22"/>
          <w:lang w:val="sr-Cyrl-CS"/>
        </w:rPr>
        <w:t>е</w:t>
      </w:r>
      <w:r w:rsidRPr="00092ED7">
        <w:rPr>
          <w:rFonts w:ascii="Times New Roman" w:hAnsi="Times New Roman" w:cs="Times New Roman"/>
          <w:szCs w:val="22"/>
          <w:lang w:val="sr-Cyrl-CS"/>
        </w:rPr>
        <w:t xml:space="preserve"> реформе је развој финансијских института на тржишту капитала, повећање атрактивности домаћег тржишта за домаће и стране инвеститоре и активирање тржишта капитала у функцији економског раста, запошљавања и квалитетнијег живота грађана. Повећањем транспарентности и квалитета финансијских инструмената вратиће се поверење инвеститора у тржиште, што ће последично позитивно утицати на повећање броја учесника на домаћем тржишту и на одржив економски раст. </w:t>
      </w:r>
    </w:p>
    <w:p w14:paraId="348FEEF6" w14:textId="0E80AD4E" w:rsidR="00D210F0" w:rsidRPr="00092ED7" w:rsidRDefault="00D210F0" w:rsidP="00B640AF">
      <w:pPr>
        <w:rPr>
          <w:rFonts w:cs="Times New Roman"/>
          <w:lang w:val="sr-Cyrl-CS"/>
        </w:rPr>
      </w:pPr>
      <w:r w:rsidRPr="00092ED7">
        <w:rPr>
          <w:rFonts w:cs="Times New Roman"/>
          <w:lang w:val="sr-Cyrl-CS"/>
        </w:rPr>
        <w:t xml:space="preserve">У децембру 2021. године донет је нови </w:t>
      </w:r>
      <w:r w:rsidRPr="00092ED7">
        <w:rPr>
          <w:rFonts w:cs="Times New Roman"/>
          <w:i/>
          <w:lang w:val="sr-Cyrl-CS"/>
        </w:rPr>
        <w:t>Закон о тржишту капитала</w:t>
      </w:r>
      <w:r w:rsidRPr="00092ED7">
        <w:rPr>
          <w:rFonts w:cs="Times New Roman"/>
          <w:lang w:val="sr-Cyrl-CS"/>
        </w:rPr>
        <w:t xml:space="preserve">. Даље усклађивање са правним тековинама ЕУ Министарство финансија ће наставити у сарадњи са релевантним институцијама из области тржишта капитала, кроз припрему новог закона о преузимању акционарских друштава. Овај закон ће уређивати услове и поступак за преузимање акционарских друштава чије је седиште у Републици Србији, права и обавезе учесника у поступку преузимања и надзор над спровођењем поступка преузимања. </w:t>
      </w:r>
    </w:p>
    <w:p w14:paraId="10CF2A36" w14:textId="77777777" w:rsidR="00D210F0" w:rsidRPr="00092ED7" w:rsidRDefault="00D210F0" w:rsidP="00071952">
      <w:pPr>
        <w:widowControl w:val="0"/>
        <w:numPr>
          <w:ilvl w:val="0"/>
          <w:numId w:val="24"/>
        </w:numPr>
        <w:spacing w:before="120"/>
        <w:ind w:left="425" w:hanging="425"/>
        <w:rPr>
          <w:rFonts w:eastAsia="Calibri" w:cs="Times New Roman"/>
          <w:b/>
          <w:szCs w:val="24"/>
          <w:lang w:val="sr-Cyrl-CS" w:eastAsia="sr-Cyrl-CS" w:bidi="sr-Cyrl-CS"/>
        </w:rPr>
      </w:pPr>
      <w:r w:rsidRPr="00092ED7">
        <w:rPr>
          <w:rFonts w:eastAsia="Calibri" w:cs="Times New Roman"/>
          <w:b/>
          <w:szCs w:val="24"/>
          <w:lang w:val="sr-Cyrl-CS" w:eastAsia="sr-Cyrl-CS" w:bidi="sr-Cyrl-CS"/>
        </w:rPr>
        <w:t>Планиране активности по годинама</w:t>
      </w:r>
    </w:p>
    <w:tbl>
      <w:tblPr>
        <w:tblW w:w="9139" w:type="dxa"/>
        <w:tblLayout w:type="fixed"/>
        <w:tblCellMar>
          <w:left w:w="0" w:type="dxa"/>
          <w:right w:w="0" w:type="dxa"/>
        </w:tblCellMar>
        <w:tblLook w:val="04A0" w:firstRow="1" w:lastRow="0" w:firstColumn="1" w:lastColumn="0" w:noHBand="0" w:noVBand="1"/>
      </w:tblPr>
      <w:tblGrid>
        <w:gridCol w:w="540"/>
        <w:gridCol w:w="4128"/>
        <w:gridCol w:w="372"/>
        <w:gridCol w:w="373"/>
        <w:gridCol w:w="372"/>
        <w:gridCol w:w="373"/>
        <w:gridCol w:w="372"/>
        <w:gridCol w:w="373"/>
        <w:gridCol w:w="373"/>
        <w:gridCol w:w="372"/>
        <w:gridCol w:w="373"/>
        <w:gridCol w:w="372"/>
        <w:gridCol w:w="373"/>
        <w:gridCol w:w="373"/>
      </w:tblGrid>
      <w:tr w:rsidR="00D210F0" w:rsidRPr="00092ED7" w14:paraId="2560CC73" w14:textId="77777777" w:rsidTr="00AE4362">
        <w:trPr>
          <w:trHeight w:val="315"/>
        </w:trPr>
        <w:tc>
          <w:tcPr>
            <w:tcW w:w="540" w:type="dxa"/>
            <w:vMerge w:val="restart"/>
            <w:tcBorders>
              <w:top w:val="single" w:sz="8" w:space="0" w:color="auto"/>
              <w:left w:val="single" w:sz="8" w:space="0" w:color="auto"/>
              <w:right w:val="nil"/>
            </w:tcBorders>
            <w:shd w:val="clear" w:color="000000" w:fill="BDD6EE"/>
            <w:tcMar>
              <w:top w:w="15" w:type="dxa"/>
              <w:left w:w="15" w:type="dxa"/>
              <w:bottom w:w="0" w:type="dxa"/>
              <w:right w:w="15" w:type="dxa"/>
            </w:tcMar>
            <w:vAlign w:val="center"/>
            <w:hideMark/>
          </w:tcPr>
          <w:p w14:paraId="76932119" w14:textId="77777777" w:rsidR="00D210F0" w:rsidRPr="00092ED7" w:rsidRDefault="00D210F0" w:rsidP="00D210F0">
            <w:pPr>
              <w:spacing w:after="0"/>
              <w:jc w:val="center"/>
              <w:rPr>
                <w:rFonts w:cs="Times New Roman"/>
                <w:b/>
                <w:bCs/>
                <w:color w:val="000000"/>
                <w:sz w:val="20"/>
                <w:szCs w:val="20"/>
                <w:lang w:val="sr-Cyrl-CS"/>
              </w:rPr>
            </w:pPr>
            <w:r w:rsidRPr="00092ED7">
              <w:rPr>
                <w:rFonts w:cs="Times New Roman"/>
                <w:b/>
                <w:bCs/>
                <w:color w:val="000000"/>
                <w:sz w:val="20"/>
                <w:szCs w:val="20"/>
                <w:lang w:val="sr-Cyrl-CS"/>
              </w:rPr>
              <w:t>РБ</w:t>
            </w:r>
          </w:p>
        </w:tc>
        <w:tc>
          <w:tcPr>
            <w:tcW w:w="4128" w:type="dxa"/>
            <w:vMerge w:val="restart"/>
            <w:tcBorders>
              <w:top w:val="single" w:sz="8" w:space="0" w:color="auto"/>
              <w:left w:val="single" w:sz="8" w:space="0" w:color="auto"/>
              <w:bottom w:val="single" w:sz="8" w:space="0" w:color="000000"/>
              <w:right w:val="nil"/>
            </w:tcBorders>
            <w:shd w:val="clear" w:color="auto" w:fill="BDD6EE" w:themeFill="accent1" w:themeFillTint="66"/>
            <w:tcMar>
              <w:top w:w="15" w:type="dxa"/>
              <w:left w:w="15" w:type="dxa"/>
              <w:bottom w:w="0" w:type="dxa"/>
              <w:right w:w="15" w:type="dxa"/>
            </w:tcMar>
            <w:vAlign w:val="center"/>
            <w:hideMark/>
          </w:tcPr>
          <w:p w14:paraId="0569A0DD" w14:textId="77777777" w:rsidR="00D210F0" w:rsidRPr="00092ED7" w:rsidRDefault="00D210F0" w:rsidP="00D210F0">
            <w:pPr>
              <w:spacing w:after="0"/>
              <w:jc w:val="left"/>
              <w:rPr>
                <w:rFonts w:cs="Times New Roman"/>
                <w:b/>
                <w:bCs/>
                <w:color w:val="000000"/>
                <w:sz w:val="20"/>
                <w:szCs w:val="20"/>
                <w:lang w:val="sr-Cyrl-CS"/>
              </w:rPr>
            </w:pPr>
            <w:r w:rsidRPr="00092ED7">
              <w:rPr>
                <w:rFonts w:cs="Times New Roman"/>
                <w:b/>
                <w:bCs/>
                <w:color w:val="000000"/>
                <w:sz w:val="20"/>
                <w:szCs w:val="20"/>
                <w:lang w:val="sr-Cyrl-CS"/>
              </w:rPr>
              <w:t>Планиране активности</w:t>
            </w:r>
          </w:p>
        </w:tc>
        <w:tc>
          <w:tcPr>
            <w:tcW w:w="1490" w:type="dxa"/>
            <w:gridSpan w:val="4"/>
            <w:tcBorders>
              <w:top w:val="single" w:sz="8" w:space="0" w:color="auto"/>
              <w:left w:val="single" w:sz="8" w:space="0" w:color="auto"/>
              <w:bottom w:val="single" w:sz="4" w:space="0" w:color="auto"/>
              <w:right w:val="single" w:sz="8" w:space="0" w:color="000000"/>
            </w:tcBorders>
            <w:shd w:val="clear" w:color="auto" w:fill="BDD6EE" w:themeFill="accent1" w:themeFillTint="66"/>
            <w:tcMar>
              <w:top w:w="15" w:type="dxa"/>
              <w:left w:w="15" w:type="dxa"/>
              <w:bottom w:w="0" w:type="dxa"/>
              <w:right w:w="15" w:type="dxa"/>
            </w:tcMar>
            <w:vAlign w:val="center"/>
            <w:hideMark/>
          </w:tcPr>
          <w:p w14:paraId="404CFD9A" w14:textId="77777777" w:rsidR="00D210F0" w:rsidRPr="00092ED7" w:rsidRDefault="00D210F0" w:rsidP="00D210F0">
            <w:pPr>
              <w:spacing w:after="0"/>
              <w:jc w:val="center"/>
              <w:rPr>
                <w:rFonts w:cs="Times New Roman"/>
                <w:b/>
                <w:bCs/>
                <w:color w:val="000000"/>
                <w:sz w:val="20"/>
                <w:szCs w:val="20"/>
                <w:lang w:val="sr-Cyrl-CS"/>
              </w:rPr>
            </w:pPr>
            <w:r w:rsidRPr="00092ED7">
              <w:rPr>
                <w:rFonts w:cs="Times New Roman"/>
                <w:b/>
                <w:bCs/>
                <w:color w:val="000000"/>
                <w:sz w:val="20"/>
                <w:szCs w:val="20"/>
                <w:lang w:val="sr-Cyrl-CS"/>
              </w:rPr>
              <w:t>2023</w:t>
            </w:r>
          </w:p>
        </w:tc>
        <w:tc>
          <w:tcPr>
            <w:tcW w:w="1490" w:type="dxa"/>
            <w:gridSpan w:val="4"/>
            <w:tcBorders>
              <w:top w:val="single" w:sz="8" w:space="0" w:color="auto"/>
              <w:left w:val="single" w:sz="8" w:space="0" w:color="auto"/>
              <w:bottom w:val="single" w:sz="4" w:space="0" w:color="auto"/>
              <w:right w:val="single" w:sz="8" w:space="0" w:color="000000"/>
            </w:tcBorders>
            <w:shd w:val="clear" w:color="auto" w:fill="BDD6EE" w:themeFill="accent1" w:themeFillTint="66"/>
            <w:tcMar>
              <w:top w:w="15" w:type="dxa"/>
              <w:left w:w="15" w:type="dxa"/>
              <w:bottom w:w="0" w:type="dxa"/>
              <w:right w:w="15" w:type="dxa"/>
            </w:tcMar>
            <w:vAlign w:val="center"/>
            <w:hideMark/>
          </w:tcPr>
          <w:p w14:paraId="64A9C314" w14:textId="77777777" w:rsidR="00D210F0" w:rsidRPr="00092ED7" w:rsidRDefault="00D210F0" w:rsidP="00D210F0">
            <w:pPr>
              <w:spacing w:after="0"/>
              <w:jc w:val="center"/>
              <w:rPr>
                <w:rFonts w:cs="Times New Roman"/>
                <w:b/>
                <w:bCs/>
                <w:color w:val="000000"/>
                <w:sz w:val="20"/>
                <w:szCs w:val="20"/>
                <w:lang w:val="sr-Cyrl-CS"/>
              </w:rPr>
            </w:pPr>
            <w:r w:rsidRPr="00092ED7">
              <w:rPr>
                <w:rFonts w:cs="Times New Roman"/>
                <w:b/>
                <w:bCs/>
                <w:color w:val="000000"/>
                <w:sz w:val="20"/>
                <w:szCs w:val="20"/>
                <w:lang w:val="sr-Cyrl-CS"/>
              </w:rPr>
              <w:t>2024</w:t>
            </w:r>
          </w:p>
        </w:tc>
        <w:tc>
          <w:tcPr>
            <w:tcW w:w="1491" w:type="dxa"/>
            <w:gridSpan w:val="4"/>
            <w:tcBorders>
              <w:top w:val="single" w:sz="8" w:space="0" w:color="auto"/>
              <w:left w:val="nil"/>
              <w:bottom w:val="single" w:sz="4" w:space="0" w:color="auto"/>
              <w:right w:val="single" w:sz="8" w:space="0" w:color="000000"/>
            </w:tcBorders>
            <w:shd w:val="clear" w:color="auto" w:fill="BDD6EE" w:themeFill="accent1" w:themeFillTint="66"/>
            <w:tcMar>
              <w:top w:w="15" w:type="dxa"/>
              <w:left w:w="15" w:type="dxa"/>
              <w:bottom w:w="0" w:type="dxa"/>
              <w:right w:w="15" w:type="dxa"/>
            </w:tcMar>
            <w:vAlign w:val="center"/>
            <w:hideMark/>
          </w:tcPr>
          <w:p w14:paraId="5FADB0B4" w14:textId="77777777" w:rsidR="00D210F0" w:rsidRPr="00092ED7" w:rsidRDefault="00D210F0" w:rsidP="00D210F0">
            <w:pPr>
              <w:spacing w:after="0"/>
              <w:jc w:val="center"/>
              <w:rPr>
                <w:rFonts w:cs="Times New Roman"/>
                <w:b/>
                <w:bCs/>
                <w:color w:val="000000"/>
                <w:sz w:val="20"/>
                <w:szCs w:val="20"/>
                <w:lang w:val="sr-Cyrl-CS"/>
              </w:rPr>
            </w:pPr>
            <w:r w:rsidRPr="00092ED7">
              <w:rPr>
                <w:rFonts w:cs="Times New Roman"/>
                <w:b/>
                <w:bCs/>
                <w:color w:val="000000"/>
                <w:sz w:val="20"/>
                <w:szCs w:val="20"/>
                <w:lang w:val="sr-Cyrl-CS"/>
              </w:rPr>
              <w:t>2025</w:t>
            </w:r>
          </w:p>
        </w:tc>
      </w:tr>
      <w:tr w:rsidR="00D210F0" w:rsidRPr="00092ED7" w14:paraId="678AC9EB" w14:textId="77777777" w:rsidTr="00AE4362">
        <w:trPr>
          <w:trHeight w:val="315"/>
        </w:trPr>
        <w:tc>
          <w:tcPr>
            <w:tcW w:w="540" w:type="dxa"/>
            <w:vMerge/>
            <w:tcBorders>
              <w:left w:val="single" w:sz="8" w:space="0" w:color="auto"/>
              <w:bottom w:val="single" w:sz="8" w:space="0" w:color="000000"/>
              <w:right w:val="nil"/>
            </w:tcBorders>
            <w:shd w:val="clear" w:color="000000" w:fill="BDD6EE"/>
            <w:vAlign w:val="center"/>
            <w:hideMark/>
          </w:tcPr>
          <w:p w14:paraId="0D901034" w14:textId="77777777" w:rsidR="00D210F0" w:rsidRPr="00092ED7" w:rsidRDefault="00D210F0" w:rsidP="00D210F0">
            <w:pPr>
              <w:spacing w:after="0"/>
              <w:jc w:val="center"/>
              <w:rPr>
                <w:rFonts w:cs="Times New Roman"/>
                <w:b/>
                <w:bCs/>
                <w:color w:val="000000"/>
                <w:sz w:val="20"/>
                <w:szCs w:val="20"/>
                <w:lang w:val="sr-Cyrl-CS"/>
              </w:rPr>
            </w:pPr>
          </w:p>
        </w:tc>
        <w:tc>
          <w:tcPr>
            <w:tcW w:w="4128" w:type="dxa"/>
            <w:vMerge/>
            <w:tcBorders>
              <w:top w:val="single" w:sz="8" w:space="0" w:color="auto"/>
              <w:left w:val="single" w:sz="8" w:space="0" w:color="auto"/>
              <w:bottom w:val="single" w:sz="8" w:space="0" w:color="000000"/>
              <w:right w:val="nil"/>
            </w:tcBorders>
            <w:shd w:val="clear" w:color="auto" w:fill="BDD6EE" w:themeFill="accent1" w:themeFillTint="66"/>
            <w:vAlign w:val="center"/>
            <w:hideMark/>
          </w:tcPr>
          <w:p w14:paraId="6ACA45BF" w14:textId="77777777" w:rsidR="00D210F0" w:rsidRPr="00092ED7" w:rsidRDefault="00D210F0" w:rsidP="00D210F0">
            <w:pPr>
              <w:spacing w:after="0"/>
              <w:rPr>
                <w:rFonts w:cs="Times New Roman"/>
                <w:b/>
                <w:bCs/>
                <w:color w:val="000000"/>
                <w:sz w:val="20"/>
                <w:szCs w:val="20"/>
                <w:lang w:val="sr-Cyrl-CS"/>
              </w:rPr>
            </w:pPr>
          </w:p>
        </w:tc>
        <w:tc>
          <w:tcPr>
            <w:tcW w:w="372" w:type="dxa"/>
            <w:tcBorders>
              <w:top w:val="nil"/>
              <w:left w:val="single" w:sz="8" w:space="0" w:color="auto"/>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6CE2ACB1"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Q1</w:t>
            </w:r>
          </w:p>
        </w:tc>
        <w:tc>
          <w:tcPr>
            <w:tcW w:w="373"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4F07E954"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Q2</w:t>
            </w:r>
          </w:p>
        </w:tc>
        <w:tc>
          <w:tcPr>
            <w:tcW w:w="372"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7D8F0C0F"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Q3</w:t>
            </w:r>
          </w:p>
        </w:tc>
        <w:tc>
          <w:tcPr>
            <w:tcW w:w="373" w:type="dxa"/>
            <w:tcBorders>
              <w:top w:val="nil"/>
              <w:left w:val="nil"/>
              <w:bottom w:val="single" w:sz="8" w:space="0" w:color="auto"/>
              <w:right w:val="single" w:sz="8" w:space="0" w:color="auto"/>
            </w:tcBorders>
            <w:shd w:val="clear" w:color="auto" w:fill="BDD6EE" w:themeFill="accent1" w:themeFillTint="66"/>
            <w:tcMar>
              <w:top w:w="15" w:type="dxa"/>
              <w:left w:w="15" w:type="dxa"/>
              <w:bottom w:w="0" w:type="dxa"/>
              <w:right w:w="15" w:type="dxa"/>
            </w:tcMar>
            <w:vAlign w:val="center"/>
            <w:hideMark/>
          </w:tcPr>
          <w:p w14:paraId="73CEA5C4"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Q4</w:t>
            </w:r>
          </w:p>
        </w:tc>
        <w:tc>
          <w:tcPr>
            <w:tcW w:w="372"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59BA3608"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Q1</w:t>
            </w:r>
          </w:p>
        </w:tc>
        <w:tc>
          <w:tcPr>
            <w:tcW w:w="373"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57B7A50D"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Q2</w:t>
            </w:r>
          </w:p>
        </w:tc>
        <w:tc>
          <w:tcPr>
            <w:tcW w:w="373"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3B43BCE3"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Q3</w:t>
            </w:r>
          </w:p>
        </w:tc>
        <w:tc>
          <w:tcPr>
            <w:tcW w:w="372" w:type="dxa"/>
            <w:tcBorders>
              <w:top w:val="nil"/>
              <w:left w:val="nil"/>
              <w:bottom w:val="single" w:sz="8" w:space="0" w:color="auto"/>
              <w:right w:val="single" w:sz="8" w:space="0" w:color="auto"/>
            </w:tcBorders>
            <w:shd w:val="clear" w:color="auto" w:fill="BDD6EE" w:themeFill="accent1" w:themeFillTint="66"/>
            <w:tcMar>
              <w:top w:w="15" w:type="dxa"/>
              <w:left w:w="15" w:type="dxa"/>
              <w:bottom w:w="0" w:type="dxa"/>
              <w:right w:w="15" w:type="dxa"/>
            </w:tcMar>
            <w:vAlign w:val="center"/>
            <w:hideMark/>
          </w:tcPr>
          <w:p w14:paraId="30B23026"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Q4</w:t>
            </w:r>
          </w:p>
        </w:tc>
        <w:tc>
          <w:tcPr>
            <w:tcW w:w="373"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3EEDF9EC"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Q1</w:t>
            </w:r>
          </w:p>
        </w:tc>
        <w:tc>
          <w:tcPr>
            <w:tcW w:w="372"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4A999D96"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Q2</w:t>
            </w:r>
          </w:p>
        </w:tc>
        <w:tc>
          <w:tcPr>
            <w:tcW w:w="373"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023F6EF2"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Q3</w:t>
            </w:r>
          </w:p>
        </w:tc>
        <w:tc>
          <w:tcPr>
            <w:tcW w:w="373" w:type="dxa"/>
            <w:tcBorders>
              <w:top w:val="nil"/>
              <w:left w:val="nil"/>
              <w:bottom w:val="single" w:sz="8" w:space="0" w:color="auto"/>
              <w:right w:val="single" w:sz="8" w:space="0" w:color="auto"/>
            </w:tcBorders>
            <w:shd w:val="clear" w:color="auto" w:fill="BDD6EE" w:themeFill="accent1" w:themeFillTint="66"/>
            <w:tcMar>
              <w:top w:w="15" w:type="dxa"/>
              <w:left w:w="15" w:type="dxa"/>
              <w:bottom w:w="0" w:type="dxa"/>
              <w:right w:w="15" w:type="dxa"/>
            </w:tcMar>
            <w:vAlign w:val="center"/>
            <w:hideMark/>
          </w:tcPr>
          <w:p w14:paraId="568FD928"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Q4</w:t>
            </w:r>
          </w:p>
        </w:tc>
      </w:tr>
      <w:tr w:rsidR="00D210F0" w:rsidRPr="00092ED7" w14:paraId="3ACA96FE" w14:textId="77777777" w:rsidTr="00AE4362">
        <w:trPr>
          <w:trHeight w:val="300"/>
        </w:trPr>
        <w:tc>
          <w:tcPr>
            <w:tcW w:w="540" w:type="dxa"/>
            <w:tcBorders>
              <w:top w:val="single" w:sz="4" w:space="0" w:color="auto"/>
              <w:left w:val="single" w:sz="8" w:space="0" w:color="auto"/>
              <w:bottom w:val="single" w:sz="4" w:space="0" w:color="auto"/>
              <w:right w:val="nil"/>
            </w:tcBorders>
            <w:shd w:val="clear" w:color="auto" w:fill="auto"/>
            <w:tcMar>
              <w:top w:w="15" w:type="dxa"/>
              <w:left w:w="15" w:type="dxa"/>
              <w:bottom w:w="0" w:type="dxa"/>
              <w:right w:w="15" w:type="dxa"/>
            </w:tcMar>
          </w:tcPr>
          <w:p w14:paraId="52712CEA" w14:textId="77777777" w:rsidR="00D210F0" w:rsidRPr="00092ED7" w:rsidRDefault="00D210F0" w:rsidP="00D210F0">
            <w:pPr>
              <w:spacing w:after="0"/>
              <w:jc w:val="center"/>
              <w:rPr>
                <w:rFonts w:cs="Times New Roman"/>
                <w:bCs/>
                <w:sz w:val="20"/>
                <w:szCs w:val="20"/>
                <w:lang w:val="sr-Cyrl-CS"/>
              </w:rPr>
            </w:pPr>
            <w:r w:rsidRPr="00092ED7">
              <w:rPr>
                <w:rFonts w:cs="Times New Roman"/>
                <w:bCs/>
                <w:sz w:val="20"/>
                <w:szCs w:val="20"/>
                <w:lang w:val="sr-Cyrl-CS"/>
              </w:rPr>
              <w:t>1.</w:t>
            </w:r>
          </w:p>
        </w:tc>
        <w:tc>
          <w:tcPr>
            <w:tcW w:w="4128" w:type="dxa"/>
            <w:tcBorders>
              <w:top w:val="single" w:sz="4" w:space="0" w:color="auto"/>
              <w:left w:val="single" w:sz="8" w:space="0" w:color="auto"/>
              <w:bottom w:val="single" w:sz="4" w:space="0" w:color="auto"/>
              <w:right w:val="nil"/>
            </w:tcBorders>
            <w:shd w:val="clear" w:color="auto" w:fill="auto"/>
            <w:tcMar>
              <w:top w:w="15" w:type="dxa"/>
              <w:left w:w="15" w:type="dxa"/>
              <w:bottom w:w="0" w:type="dxa"/>
              <w:right w:w="15" w:type="dxa"/>
            </w:tcMar>
          </w:tcPr>
          <w:p w14:paraId="5AD4E01A" w14:textId="77777777" w:rsidR="00D210F0" w:rsidRPr="00092ED7" w:rsidRDefault="00D210F0" w:rsidP="00D210F0">
            <w:pPr>
              <w:spacing w:after="0"/>
              <w:jc w:val="left"/>
              <w:rPr>
                <w:rFonts w:cs="Times New Roman"/>
                <w:sz w:val="20"/>
                <w:szCs w:val="20"/>
                <w:lang w:val="sr-Cyrl-CS"/>
              </w:rPr>
            </w:pPr>
            <w:r w:rsidRPr="00092ED7">
              <w:rPr>
                <w:rFonts w:cs="Times New Roman"/>
                <w:sz w:val="20"/>
                <w:szCs w:val="20"/>
                <w:lang w:val="sr-Cyrl-CS"/>
              </w:rPr>
              <w:t>Доношење Закона о преузимању акционарских друштава</w:t>
            </w:r>
          </w:p>
        </w:tc>
        <w:tc>
          <w:tcPr>
            <w:tcW w:w="372" w:type="dxa"/>
            <w:tcBorders>
              <w:top w:val="single" w:sz="4" w:space="0" w:color="auto"/>
              <w:left w:val="single" w:sz="8"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33A63025" w14:textId="77777777" w:rsidR="00D210F0" w:rsidRPr="00092ED7" w:rsidRDefault="00D210F0" w:rsidP="00D210F0">
            <w:pPr>
              <w:spacing w:after="0"/>
              <w:rPr>
                <w:rFonts w:cs="Times New Roman"/>
                <w:color w:val="000000"/>
                <w:sz w:val="20"/>
                <w:szCs w:val="20"/>
                <w:highlight w:val="darkGray"/>
                <w:lang w:val="sr-Cyrl-CS"/>
              </w:rPr>
            </w:pPr>
          </w:p>
        </w:tc>
        <w:tc>
          <w:tcPr>
            <w:tcW w:w="373"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0991C819" w14:textId="77777777" w:rsidR="00D210F0" w:rsidRPr="00092ED7" w:rsidRDefault="00D210F0" w:rsidP="00D210F0">
            <w:pPr>
              <w:spacing w:after="0"/>
              <w:rPr>
                <w:rFonts w:cs="Times New Roman"/>
                <w:color w:val="000000"/>
                <w:sz w:val="20"/>
                <w:szCs w:val="20"/>
                <w:highlight w:val="darkGray"/>
                <w:lang w:val="sr-Cyrl-CS"/>
              </w:rPr>
            </w:pPr>
          </w:p>
        </w:tc>
        <w:tc>
          <w:tcPr>
            <w:tcW w:w="372"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38B61397" w14:textId="77777777" w:rsidR="00D210F0" w:rsidRPr="00092ED7" w:rsidRDefault="00D210F0" w:rsidP="00D210F0">
            <w:pPr>
              <w:spacing w:after="0"/>
              <w:rPr>
                <w:rFonts w:cs="Times New Roman"/>
                <w:color w:val="000000"/>
                <w:sz w:val="20"/>
                <w:szCs w:val="20"/>
                <w:lang w:val="sr-Cyrl-CS"/>
              </w:rPr>
            </w:pPr>
          </w:p>
        </w:tc>
        <w:tc>
          <w:tcPr>
            <w:tcW w:w="373" w:type="dxa"/>
            <w:tcBorders>
              <w:top w:val="single" w:sz="4" w:space="0" w:color="auto"/>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3C1A5DA6" w14:textId="77777777" w:rsidR="00D210F0" w:rsidRPr="00092ED7" w:rsidRDefault="00D210F0" w:rsidP="00D210F0">
            <w:pPr>
              <w:spacing w:after="0"/>
              <w:rPr>
                <w:rFonts w:cs="Times New Roman"/>
                <w:color w:val="000000"/>
                <w:sz w:val="20"/>
                <w:szCs w:val="20"/>
                <w:lang w:val="sr-Cyrl-CS"/>
              </w:rPr>
            </w:pPr>
          </w:p>
        </w:tc>
        <w:tc>
          <w:tcPr>
            <w:tcW w:w="372"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A878251" w14:textId="77777777" w:rsidR="00D210F0" w:rsidRPr="00092ED7" w:rsidRDefault="00D210F0" w:rsidP="00D210F0">
            <w:pPr>
              <w:spacing w:after="0"/>
              <w:rPr>
                <w:rFonts w:cs="Times New Roman"/>
                <w:color w:val="000000"/>
                <w:sz w:val="20"/>
                <w:szCs w:val="20"/>
                <w:lang w:val="sr-Cyrl-CS"/>
              </w:rPr>
            </w:pPr>
          </w:p>
        </w:tc>
        <w:tc>
          <w:tcPr>
            <w:tcW w:w="373"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B9F558A" w14:textId="77777777" w:rsidR="00D210F0" w:rsidRPr="00092ED7" w:rsidRDefault="00D210F0" w:rsidP="00D210F0">
            <w:pPr>
              <w:spacing w:after="0"/>
              <w:rPr>
                <w:rFonts w:cs="Times New Roman"/>
                <w:color w:val="000000"/>
                <w:sz w:val="20"/>
                <w:szCs w:val="20"/>
                <w:lang w:val="sr-Cyrl-CS"/>
              </w:rPr>
            </w:pPr>
          </w:p>
        </w:tc>
        <w:tc>
          <w:tcPr>
            <w:tcW w:w="373"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AA14921" w14:textId="77777777" w:rsidR="00D210F0" w:rsidRPr="00092ED7" w:rsidRDefault="00D210F0" w:rsidP="00D210F0">
            <w:pPr>
              <w:spacing w:after="0"/>
              <w:rPr>
                <w:rFonts w:cs="Times New Roman"/>
                <w:color w:val="000000"/>
                <w:sz w:val="20"/>
                <w:szCs w:val="20"/>
                <w:lang w:val="sr-Cyrl-CS"/>
              </w:rPr>
            </w:pPr>
          </w:p>
        </w:tc>
        <w:tc>
          <w:tcPr>
            <w:tcW w:w="372" w:type="dxa"/>
            <w:tcBorders>
              <w:top w:val="single" w:sz="4" w:space="0" w:color="auto"/>
              <w:left w:val="nil"/>
              <w:bottom w:val="single" w:sz="4" w:space="0" w:color="auto"/>
              <w:right w:val="single" w:sz="8" w:space="0" w:color="auto"/>
            </w:tcBorders>
            <w:shd w:val="clear" w:color="auto" w:fill="auto"/>
            <w:tcMar>
              <w:top w:w="15" w:type="dxa"/>
              <w:left w:w="15" w:type="dxa"/>
              <w:bottom w:w="0" w:type="dxa"/>
              <w:right w:w="15" w:type="dxa"/>
            </w:tcMar>
          </w:tcPr>
          <w:p w14:paraId="287F4118" w14:textId="77777777" w:rsidR="00D210F0" w:rsidRPr="00092ED7" w:rsidRDefault="00D210F0" w:rsidP="00D210F0">
            <w:pPr>
              <w:spacing w:after="0"/>
              <w:rPr>
                <w:rFonts w:cs="Times New Roman"/>
                <w:color w:val="000000"/>
                <w:sz w:val="20"/>
                <w:szCs w:val="20"/>
                <w:lang w:val="sr-Cyrl-CS"/>
              </w:rPr>
            </w:pPr>
          </w:p>
        </w:tc>
        <w:tc>
          <w:tcPr>
            <w:tcW w:w="373"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34F101D9" w14:textId="77777777" w:rsidR="00D210F0" w:rsidRPr="00092ED7" w:rsidRDefault="00D210F0" w:rsidP="00D210F0">
            <w:pPr>
              <w:spacing w:after="0"/>
              <w:rPr>
                <w:rFonts w:cs="Times New Roman"/>
                <w:color w:val="000000"/>
                <w:sz w:val="20"/>
                <w:szCs w:val="20"/>
                <w:lang w:val="sr-Cyrl-CS"/>
              </w:rPr>
            </w:pPr>
          </w:p>
        </w:tc>
        <w:tc>
          <w:tcPr>
            <w:tcW w:w="372"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1CE0AA4A" w14:textId="77777777" w:rsidR="00D210F0" w:rsidRPr="00092ED7" w:rsidRDefault="00D210F0" w:rsidP="00D210F0">
            <w:pPr>
              <w:spacing w:after="0"/>
              <w:rPr>
                <w:rFonts w:cs="Times New Roman"/>
                <w:color w:val="000000"/>
                <w:sz w:val="20"/>
                <w:szCs w:val="20"/>
                <w:lang w:val="sr-Cyrl-CS"/>
              </w:rPr>
            </w:pPr>
          </w:p>
        </w:tc>
        <w:tc>
          <w:tcPr>
            <w:tcW w:w="373"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71F1A528" w14:textId="77777777" w:rsidR="00D210F0" w:rsidRPr="00092ED7" w:rsidRDefault="00D210F0" w:rsidP="00D210F0">
            <w:pPr>
              <w:spacing w:after="0"/>
              <w:rPr>
                <w:rFonts w:cs="Times New Roman"/>
                <w:color w:val="000000"/>
                <w:sz w:val="20"/>
                <w:szCs w:val="20"/>
                <w:lang w:val="sr-Cyrl-CS"/>
              </w:rPr>
            </w:pPr>
          </w:p>
        </w:tc>
        <w:tc>
          <w:tcPr>
            <w:tcW w:w="373" w:type="dxa"/>
            <w:tcBorders>
              <w:top w:val="single" w:sz="4" w:space="0" w:color="auto"/>
              <w:left w:val="nil"/>
              <w:bottom w:val="single" w:sz="4" w:space="0" w:color="auto"/>
              <w:right w:val="single" w:sz="8" w:space="0" w:color="auto"/>
            </w:tcBorders>
            <w:shd w:val="clear" w:color="auto" w:fill="auto"/>
            <w:tcMar>
              <w:top w:w="15" w:type="dxa"/>
              <w:left w:w="15" w:type="dxa"/>
              <w:bottom w:w="0" w:type="dxa"/>
              <w:right w:w="15" w:type="dxa"/>
            </w:tcMar>
          </w:tcPr>
          <w:p w14:paraId="5E59EC49" w14:textId="77777777" w:rsidR="00D210F0" w:rsidRPr="00092ED7" w:rsidRDefault="00D210F0" w:rsidP="00D210F0">
            <w:pPr>
              <w:spacing w:after="0"/>
              <w:rPr>
                <w:rFonts w:cs="Times New Roman"/>
                <w:color w:val="000000"/>
                <w:sz w:val="20"/>
                <w:szCs w:val="20"/>
                <w:lang w:val="sr-Cyrl-CS"/>
              </w:rPr>
            </w:pPr>
          </w:p>
        </w:tc>
      </w:tr>
      <w:tr w:rsidR="00D210F0" w:rsidRPr="00092ED7" w14:paraId="42C9BA07" w14:textId="77777777" w:rsidTr="00AE4362">
        <w:trPr>
          <w:trHeight w:val="300"/>
        </w:trPr>
        <w:tc>
          <w:tcPr>
            <w:tcW w:w="540" w:type="dxa"/>
            <w:tcBorders>
              <w:top w:val="nil"/>
              <w:left w:val="single" w:sz="8" w:space="0" w:color="auto"/>
              <w:bottom w:val="single" w:sz="4" w:space="0" w:color="auto"/>
              <w:right w:val="nil"/>
            </w:tcBorders>
            <w:shd w:val="clear" w:color="auto" w:fill="auto"/>
            <w:tcMar>
              <w:top w:w="15" w:type="dxa"/>
              <w:left w:w="15" w:type="dxa"/>
              <w:bottom w:w="0" w:type="dxa"/>
              <w:right w:w="15" w:type="dxa"/>
            </w:tcMar>
          </w:tcPr>
          <w:p w14:paraId="090F6C63" w14:textId="77777777" w:rsidR="00D210F0" w:rsidRPr="00092ED7" w:rsidRDefault="00D210F0" w:rsidP="00D210F0">
            <w:pPr>
              <w:spacing w:after="0"/>
              <w:jc w:val="center"/>
              <w:rPr>
                <w:rFonts w:cs="Times New Roman"/>
                <w:bCs/>
                <w:sz w:val="20"/>
                <w:szCs w:val="20"/>
                <w:lang w:val="sr-Cyrl-CS"/>
              </w:rPr>
            </w:pPr>
            <w:r w:rsidRPr="00092ED7">
              <w:rPr>
                <w:rFonts w:cs="Times New Roman"/>
                <w:bCs/>
                <w:sz w:val="20"/>
                <w:szCs w:val="20"/>
                <w:lang w:val="sr-Cyrl-CS"/>
              </w:rPr>
              <w:t>2.</w:t>
            </w:r>
          </w:p>
        </w:tc>
        <w:tc>
          <w:tcPr>
            <w:tcW w:w="4128" w:type="dxa"/>
            <w:tcBorders>
              <w:top w:val="nil"/>
              <w:left w:val="single" w:sz="8" w:space="0" w:color="auto"/>
              <w:bottom w:val="single" w:sz="4" w:space="0" w:color="auto"/>
              <w:right w:val="single" w:sz="4" w:space="0" w:color="auto"/>
            </w:tcBorders>
            <w:shd w:val="clear" w:color="auto" w:fill="auto"/>
            <w:tcMar>
              <w:top w:w="15" w:type="dxa"/>
              <w:left w:w="15" w:type="dxa"/>
              <w:bottom w:w="0" w:type="dxa"/>
              <w:right w:w="15" w:type="dxa"/>
            </w:tcMar>
          </w:tcPr>
          <w:p w14:paraId="2FBDCAD6" w14:textId="77777777" w:rsidR="00D210F0" w:rsidRPr="00092ED7" w:rsidRDefault="00D210F0" w:rsidP="00D210F0">
            <w:pPr>
              <w:spacing w:after="0"/>
              <w:jc w:val="left"/>
              <w:rPr>
                <w:rFonts w:cs="Times New Roman"/>
                <w:sz w:val="20"/>
                <w:szCs w:val="20"/>
                <w:lang w:val="sr-Cyrl-CS"/>
              </w:rPr>
            </w:pPr>
            <w:r w:rsidRPr="00092ED7">
              <w:rPr>
                <w:rFonts w:cs="Times New Roman"/>
                <w:sz w:val="20"/>
                <w:szCs w:val="20"/>
                <w:lang w:val="sr-Cyrl-CS"/>
              </w:rPr>
              <w:t>Јачање институционалних капацитета за обављање нормативних послова у области тржишта капитала</w:t>
            </w:r>
          </w:p>
        </w:tc>
        <w:tc>
          <w:tcPr>
            <w:tcW w:w="372" w:type="dxa"/>
            <w:tcBorders>
              <w:top w:val="nil"/>
              <w:left w:val="single" w:sz="8"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F1B486A"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4B5C7B9" w14:textId="77777777" w:rsidR="00D210F0" w:rsidRPr="00092ED7" w:rsidRDefault="00D210F0" w:rsidP="00D210F0">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CBBED67"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508F8985" w14:textId="77777777" w:rsidR="00D210F0" w:rsidRPr="00092ED7" w:rsidRDefault="00D210F0" w:rsidP="00D210F0">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2D9B8BF5"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3550B46"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309E4B08" w14:textId="77777777" w:rsidR="00D210F0" w:rsidRPr="00092ED7" w:rsidRDefault="00D210F0" w:rsidP="00D210F0">
            <w:pPr>
              <w:spacing w:after="0"/>
              <w:rPr>
                <w:rFonts w:cs="Times New Roman"/>
                <w:color w:val="000000"/>
                <w:sz w:val="20"/>
                <w:szCs w:val="20"/>
                <w:lang w:val="sr-Cyrl-CS"/>
              </w:rPr>
            </w:pPr>
          </w:p>
        </w:tc>
        <w:tc>
          <w:tcPr>
            <w:tcW w:w="372"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43B13A23"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01102E74" w14:textId="77777777" w:rsidR="00D210F0" w:rsidRPr="00092ED7" w:rsidRDefault="00D210F0" w:rsidP="00D210F0">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64D2D488"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07304EAF"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8" w:space="0" w:color="auto"/>
            </w:tcBorders>
            <w:shd w:val="clear" w:color="auto" w:fill="auto"/>
            <w:tcMar>
              <w:top w:w="15" w:type="dxa"/>
              <w:left w:w="15" w:type="dxa"/>
              <w:bottom w:w="0" w:type="dxa"/>
              <w:right w:w="15" w:type="dxa"/>
            </w:tcMar>
          </w:tcPr>
          <w:p w14:paraId="63475661" w14:textId="77777777" w:rsidR="00D210F0" w:rsidRPr="00092ED7" w:rsidRDefault="00D210F0" w:rsidP="00D210F0">
            <w:pPr>
              <w:spacing w:after="0"/>
              <w:rPr>
                <w:rFonts w:cs="Times New Roman"/>
                <w:color w:val="000000"/>
                <w:sz w:val="20"/>
                <w:szCs w:val="20"/>
                <w:lang w:val="sr-Cyrl-CS"/>
              </w:rPr>
            </w:pPr>
          </w:p>
        </w:tc>
      </w:tr>
    </w:tbl>
    <w:p w14:paraId="4FF282DF" w14:textId="77777777" w:rsidR="00D210F0" w:rsidRPr="00092ED7" w:rsidRDefault="00D210F0" w:rsidP="00071952">
      <w:pPr>
        <w:widowControl w:val="0"/>
        <w:numPr>
          <w:ilvl w:val="0"/>
          <w:numId w:val="24"/>
        </w:numPr>
        <w:spacing w:before="120"/>
        <w:ind w:left="425" w:hanging="425"/>
        <w:rPr>
          <w:rFonts w:eastAsia="Calibri" w:cs="Times New Roman"/>
          <w:b/>
          <w:szCs w:val="24"/>
          <w:lang w:val="sr-Cyrl-CS" w:eastAsia="sr-Cyrl-CS" w:bidi="sr-Cyrl-CS"/>
        </w:rPr>
      </w:pPr>
      <w:r w:rsidRPr="00092ED7">
        <w:rPr>
          <w:rFonts w:eastAsia="Calibri" w:cs="Times New Roman"/>
          <w:b/>
          <w:szCs w:val="24"/>
          <w:lang w:val="sr-Cyrl-CS" w:eastAsia="sr-Cyrl-CS" w:bidi="sr-Cyrl-CS"/>
        </w:rPr>
        <w:t>Индикатори рeзултата</w:t>
      </w:r>
    </w:p>
    <w:tbl>
      <w:tblPr>
        <w:tblStyle w:val="TableGrid"/>
        <w:tblW w:w="9209" w:type="dxa"/>
        <w:tblLayout w:type="fixed"/>
        <w:tblLook w:val="04A0" w:firstRow="1" w:lastRow="0" w:firstColumn="1" w:lastColumn="0" w:noHBand="0" w:noVBand="1"/>
      </w:tblPr>
      <w:tblGrid>
        <w:gridCol w:w="4248"/>
        <w:gridCol w:w="1653"/>
        <w:gridCol w:w="1654"/>
        <w:gridCol w:w="1654"/>
      </w:tblGrid>
      <w:tr w:rsidR="00D210F0" w:rsidRPr="00092ED7" w14:paraId="3DC5F6B5" w14:textId="77777777" w:rsidTr="00AE4362">
        <w:trPr>
          <w:cnfStyle w:val="100000000000" w:firstRow="1" w:lastRow="0" w:firstColumn="0" w:lastColumn="0" w:oddVBand="0" w:evenVBand="0" w:oddHBand="0" w:evenHBand="0" w:firstRowFirstColumn="0" w:firstRowLastColumn="0" w:lastRowFirstColumn="0" w:lastRowLastColumn="0"/>
        </w:trPr>
        <w:tc>
          <w:tcPr>
            <w:tcW w:w="4248" w:type="dxa"/>
          </w:tcPr>
          <w:p w14:paraId="2593872B" w14:textId="77777777" w:rsidR="00D210F0" w:rsidRPr="00092ED7" w:rsidRDefault="00D210F0" w:rsidP="005D14E2">
            <w:pPr>
              <w:spacing w:before="0" w:after="0"/>
              <w:ind w:left="113" w:right="113"/>
              <w:jc w:val="center"/>
              <w:rPr>
                <w:rFonts w:cs="Times New Roman"/>
                <w:b w:val="0"/>
                <w:sz w:val="20"/>
                <w:lang w:val="sr-Cyrl-CS"/>
              </w:rPr>
            </w:pPr>
            <w:r w:rsidRPr="00092ED7">
              <w:rPr>
                <w:rFonts w:cs="Times New Roman"/>
                <w:sz w:val="20"/>
                <w:lang w:val="sr-Cyrl-CS"/>
              </w:rPr>
              <w:t>Показатељ</w:t>
            </w:r>
          </w:p>
        </w:tc>
        <w:tc>
          <w:tcPr>
            <w:tcW w:w="1653" w:type="dxa"/>
          </w:tcPr>
          <w:p w14:paraId="27B55484" w14:textId="77777777" w:rsidR="00D210F0" w:rsidRPr="00092ED7" w:rsidRDefault="00D210F0" w:rsidP="005D14E2">
            <w:pPr>
              <w:spacing w:before="0" w:after="0"/>
              <w:ind w:left="113" w:right="113"/>
              <w:jc w:val="center"/>
              <w:rPr>
                <w:rFonts w:cs="Times New Roman"/>
                <w:b w:val="0"/>
                <w:sz w:val="20"/>
                <w:lang w:val="sr-Cyrl-CS"/>
              </w:rPr>
            </w:pPr>
            <w:r w:rsidRPr="00092ED7">
              <w:rPr>
                <w:rFonts w:cs="Times New Roman"/>
                <w:sz w:val="20"/>
                <w:lang w:val="sr-Cyrl-CS"/>
              </w:rPr>
              <w:t>Почетна вредност (2020)</w:t>
            </w:r>
          </w:p>
        </w:tc>
        <w:tc>
          <w:tcPr>
            <w:tcW w:w="1654" w:type="dxa"/>
          </w:tcPr>
          <w:p w14:paraId="727801E6" w14:textId="77777777" w:rsidR="00D210F0" w:rsidRPr="00092ED7" w:rsidRDefault="00D210F0" w:rsidP="005D14E2">
            <w:pPr>
              <w:spacing w:before="0" w:after="0"/>
              <w:ind w:left="113" w:right="113"/>
              <w:jc w:val="center"/>
              <w:rPr>
                <w:rFonts w:cs="Times New Roman"/>
                <w:b w:val="0"/>
                <w:sz w:val="20"/>
                <w:lang w:val="sr-Cyrl-CS"/>
              </w:rPr>
            </w:pPr>
            <w:r w:rsidRPr="00092ED7">
              <w:rPr>
                <w:rFonts w:cs="Times New Roman"/>
                <w:sz w:val="20"/>
                <w:lang w:val="sr-Cyrl-CS"/>
              </w:rPr>
              <w:t>Међурезултат (2023)</w:t>
            </w:r>
          </w:p>
        </w:tc>
        <w:tc>
          <w:tcPr>
            <w:tcW w:w="1654" w:type="dxa"/>
          </w:tcPr>
          <w:p w14:paraId="00EDCC5F" w14:textId="77777777" w:rsidR="00D210F0" w:rsidRPr="00092ED7" w:rsidRDefault="00D210F0" w:rsidP="005D14E2">
            <w:pPr>
              <w:spacing w:before="0" w:after="0"/>
              <w:ind w:left="113" w:right="113"/>
              <w:jc w:val="center"/>
              <w:rPr>
                <w:rFonts w:cs="Times New Roman"/>
                <w:b w:val="0"/>
                <w:sz w:val="20"/>
                <w:lang w:val="sr-Cyrl-CS"/>
              </w:rPr>
            </w:pPr>
            <w:r w:rsidRPr="00092ED7">
              <w:rPr>
                <w:rFonts w:cs="Times New Roman"/>
                <w:sz w:val="20"/>
                <w:lang w:val="sr-Cyrl-CS"/>
              </w:rPr>
              <w:t>Циљна вредност (2024)</w:t>
            </w:r>
          </w:p>
        </w:tc>
      </w:tr>
      <w:tr w:rsidR="00D210F0" w:rsidRPr="00092ED7" w14:paraId="652F639A" w14:textId="77777777" w:rsidTr="00AE4362">
        <w:tc>
          <w:tcPr>
            <w:tcW w:w="4248" w:type="dxa"/>
          </w:tcPr>
          <w:p w14:paraId="6E965F4F" w14:textId="77777777" w:rsidR="00D210F0" w:rsidRPr="00092ED7" w:rsidRDefault="00D210F0" w:rsidP="005D14E2">
            <w:pPr>
              <w:spacing w:before="0" w:after="0"/>
              <w:ind w:left="113" w:right="113"/>
              <w:rPr>
                <w:rFonts w:cs="Times New Roman"/>
                <w:sz w:val="20"/>
                <w:lang w:val="sr-Cyrl-CS"/>
              </w:rPr>
            </w:pPr>
            <w:r w:rsidRPr="00092ED7">
              <w:rPr>
                <w:rFonts w:cs="Times New Roman"/>
                <w:sz w:val="20"/>
                <w:lang w:val="sr-Cyrl-CS"/>
              </w:rPr>
              <w:t>Повећање тржишне капитализације Београдске берзе, у милијардама евра</w:t>
            </w:r>
          </w:p>
        </w:tc>
        <w:tc>
          <w:tcPr>
            <w:tcW w:w="1653" w:type="dxa"/>
          </w:tcPr>
          <w:p w14:paraId="19D35209" w14:textId="77777777" w:rsidR="00D210F0" w:rsidRPr="00092ED7" w:rsidRDefault="00D210F0" w:rsidP="005D14E2">
            <w:pPr>
              <w:spacing w:before="0" w:after="0"/>
              <w:ind w:left="113" w:right="113"/>
              <w:jc w:val="center"/>
              <w:rPr>
                <w:rFonts w:cs="Times New Roman"/>
                <w:sz w:val="20"/>
                <w:lang w:val="sr-Cyrl-CS"/>
              </w:rPr>
            </w:pPr>
            <w:r w:rsidRPr="00092ED7">
              <w:rPr>
                <w:rFonts w:cs="Times New Roman"/>
                <w:sz w:val="20"/>
                <w:lang w:val="sr-Cyrl-CS"/>
              </w:rPr>
              <w:t>4,36</w:t>
            </w:r>
          </w:p>
        </w:tc>
        <w:tc>
          <w:tcPr>
            <w:tcW w:w="1654" w:type="dxa"/>
          </w:tcPr>
          <w:p w14:paraId="5AFEF251" w14:textId="77777777" w:rsidR="00D210F0" w:rsidRPr="00092ED7" w:rsidRDefault="00D210F0" w:rsidP="005D14E2">
            <w:pPr>
              <w:spacing w:before="0" w:after="0"/>
              <w:ind w:left="113" w:right="113"/>
              <w:jc w:val="center"/>
              <w:rPr>
                <w:rFonts w:cs="Times New Roman"/>
                <w:sz w:val="20"/>
                <w:lang w:val="sr-Cyrl-CS"/>
              </w:rPr>
            </w:pPr>
            <w:r w:rsidRPr="00092ED7">
              <w:rPr>
                <w:rFonts w:cs="Times New Roman"/>
                <w:sz w:val="20"/>
                <w:lang w:val="sr-Cyrl-CS"/>
              </w:rPr>
              <w:t>6,25</w:t>
            </w:r>
          </w:p>
        </w:tc>
        <w:tc>
          <w:tcPr>
            <w:tcW w:w="1654" w:type="dxa"/>
          </w:tcPr>
          <w:p w14:paraId="01A2FF79" w14:textId="77777777" w:rsidR="00D210F0" w:rsidRPr="00092ED7" w:rsidRDefault="00D210F0" w:rsidP="005D14E2">
            <w:pPr>
              <w:spacing w:before="0" w:after="0"/>
              <w:ind w:left="113" w:right="113"/>
              <w:jc w:val="center"/>
              <w:rPr>
                <w:rFonts w:cs="Times New Roman"/>
                <w:sz w:val="20"/>
                <w:lang w:val="sr-Cyrl-CS"/>
              </w:rPr>
            </w:pPr>
            <w:r w:rsidRPr="00092ED7">
              <w:rPr>
                <w:rFonts w:cs="Times New Roman"/>
                <w:sz w:val="20"/>
                <w:lang w:val="sr-Cyrl-CS"/>
              </w:rPr>
              <w:t>8,33</w:t>
            </w:r>
          </w:p>
        </w:tc>
      </w:tr>
      <w:tr w:rsidR="00D210F0" w:rsidRPr="00092ED7" w14:paraId="4AC13ECC" w14:textId="77777777" w:rsidTr="00AE4362">
        <w:tc>
          <w:tcPr>
            <w:tcW w:w="4248" w:type="dxa"/>
          </w:tcPr>
          <w:p w14:paraId="660CEFF3" w14:textId="77777777" w:rsidR="00D210F0" w:rsidRPr="00092ED7" w:rsidRDefault="00D210F0" w:rsidP="005D14E2">
            <w:pPr>
              <w:spacing w:before="0" w:after="0"/>
              <w:ind w:left="113" w:right="113"/>
              <w:rPr>
                <w:rFonts w:cs="Times New Roman"/>
                <w:sz w:val="20"/>
                <w:lang w:val="sr-Cyrl-CS"/>
              </w:rPr>
            </w:pPr>
            <w:r w:rsidRPr="00092ED7">
              <w:rPr>
                <w:rFonts w:cs="Times New Roman"/>
                <w:sz w:val="20"/>
                <w:lang w:val="sr-Cyrl-CS"/>
              </w:rPr>
              <w:t>Повећање процента штедње која се пласира на тржишту капитала (улагање у инвестиционе/пензијске фондове или кроз директно инвестирање у ХоВ, у %)</w:t>
            </w:r>
          </w:p>
        </w:tc>
        <w:tc>
          <w:tcPr>
            <w:tcW w:w="1653" w:type="dxa"/>
          </w:tcPr>
          <w:p w14:paraId="195E1CE3" w14:textId="77777777" w:rsidR="00D210F0" w:rsidRPr="00092ED7" w:rsidRDefault="00D210F0" w:rsidP="005D14E2">
            <w:pPr>
              <w:spacing w:before="0" w:after="0"/>
              <w:ind w:left="113" w:right="113"/>
              <w:jc w:val="center"/>
              <w:rPr>
                <w:rFonts w:cs="Times New Roman"/>
                <w:sz w:val="20"/>
                <w:lang w:val="sr-Cyrl-CS"/>
              </w:rPr>
            </w:pPr>
            <w:r w:rsidRPr="00092ED7">
              <w:rPr>
                <w:rFonts w:cs="Times New Roman"/>
                <w:sz w:val="20"/>
                <w:lang w:val="sr-Cyrl-CS"/>
              </w:rPr>
              <w:t>2,32</w:t>
            </w:r>
          </w:p>
        </w:tc>
        <w:tc>
          <w:tcPr>
            <w:tcW w:w="1654" w:type="dxa"/>
          </w:tcPr>
          <w:p w14:paraId="4A87019D" w14:textId="77777777" w:rsidR="00D210F0" w:rsidRPr="00092ED7" w:rsidRDefault="00D210F0" w:rsidP="005D14E2">
            <w:pPr>
              <w:spacing w:before="0" w:after="0"/>
              <w:ind w:left="113" w:right="113"/>
              <w:jc w:val="center"/>
              <w:rPr>
                <w:rFonts w:cs="Times New Roman"/>
                <w:sz w:val="20"/>
                <w:lang w:val="sr-Cyrl-CS"/>
              </w:rPr>
            </w:pPr>
            <w:r w:rsidRPr="00092ED7">
              <w:rPr>
                <w:rFonts w:cs="Times New Roman"/>
                <w:sz w:val="20"/>
                <w:lang w:val="sr-Cyrl-CS"/>
              </w:rPr>
              <w:t>5</w:t>
            </w:r>
          </w:p>
        </w:tc>
        <w:tc>
          <w:tcPr>
            <w:tcW w:w="1654" w:type="dxa"/>
          </w:tcPr>
          <w:p w14:paraId="3855B303" w14:textId="77777777" w:rsidR="00D210F0" w:rsidRPr="00092ED7" w:rsidRDefault="00D210F0" w:rsidP="005D14E2">
            <w:pPr>
              <w:spacing w:before="0" w:after="0"/>
              <w:ind w:left="113" w:right="113"/>
              <w:jc w:val="center"/>
              <w:rPr>
                <w:rFonts w:cs="Times New Roman"/>
                <w:sz w:val="20"/>
                <w:lang w:val="sr-Cyrl-CS"/>
              </w:rPr>
            </w:pPr>
            <w:r w:rsidRPr="00092ED7">
              <w:rPr>
                <w:rFonts w:cs="Times New Roman"/>
                <w:sz w:val="20"/>
                <w:lang w:val="sr-Cyrl-CS"/>
              </w:rPr>
              <w:t>5</w:t>
            </w:r>
          </w:p>
        </w:tc>
      </w:tr>
    </w:tbl>
    <w:p w14:paraId="7293079A" w14:textId="77777777" w:rsidR="00D210F0" w:rsidRPr="00092ED7" w:rsidRDefault="00D210F0" w:rsidP="00071952">
      <w:pPr>
        <w:widowControl w:val="0"/>
        <w:numPr>
          <w:ilvl w:val="0"/>
          <w:numId w:val="24"/>
        </w:numPr>
        <w:spacing w:before="120"/>
        <w:ind w:left="425" w:hanging="425"/>
        <w:rPr>
          <w:rFonts w:cs="Times New Roman"/>
          <w:b/>
          <w:szCs w:val="24"/>
          <w:lang w:val="sr-Cyrl-CS" w:eastAsia="sr-Cyrl-CS" w:bidi="sr-Cyrl-CS"/>
        </w:rPr>
      </w:pPr>
      <w:r w:rsidRPr="00092ED7">
        <w:rPr>
          <w:rFonts w:cs="Times New Roman"/>
          <w:b/>
          <w:szCs w:val="24"/>
          <w:lang w:val="sr-Cyrl-CS" w:eastAsia="sr-Cyrl-CS" w:bidi="sr-Cyrl-CS"/>
        </w:rPr>
        <w:t>Очекивани утицај на конкурентност</w:t>
      </w:r>
    </w:p>
    <w:p w14:paraId="0D978394" w14:textId="77777777" w:rsidR="00D210F0" w:rsidRPr="00092ED7" w:rsidRDefault="00D210F0" w:rsidP="005D14E2">
      <w:pPr>
        <w:pStyle w:val="Default"/>
        <w:spacing w:after="60"/>
        <w:rPr>
          <w:rFonts w:ascii="Times New Roman" w:hAnsi="Times New Roman" w:cs="Times New Roman"/>
          <w:szCs w:val="22"/>
          <w:lang w:val="sr-Cyrl-CS"/>
        </w:rPr>
      </w:pPr>
      <w:r w:rsidRPr="00092ED7">
        <w:rPr>
          <w:rFonts w:ascii="Times New Roman" w:hAnsi="Times New Roman" w:cs="Times New Roman"/>
          <w:szCs w:val="22"/>
          <w:lang w:val="sr-Cyrl-CS"/>
        </w:rPr>
        <w:t xml:space="preserve">Очекивано је да ће унапређење обима и разноврсности понуде финансијских инструмената на тржишту довести до развоја домаћег тржишта капитала, диверсификације извора финансирања, а самим тим и повећања домаћих и страних инвестиција у привреду. Очекује се да ће ова структурна реформа допринети ефикасности пословања како приватног, тако и јавног сектора. </w:t>
      </w:r>
    </w:p>
    <w:p w14:paraId="089F7626" w14:textId="77777777" w:rsidR="00D210F0" w:rsidRPr="00092ED7" w:rsidRDefault="00D210F0" w:rsidP="005D14E2">
      <w:pPr>
        <w:autoSpaceDE w:val="0"/>
        <w:autoSpaceDN w:val="0"/>
        <w:adjustRightInd w:val="0"/>
        <w:spacing w:after="60"/>
        <w:rPr>
          <w:rFonts w:eastAsia="Calibri" w:cs="Times New Roman"/>
          <w:b/>
          <w:szCs w:val="24"/>
          <w:lang w:val="sr-Cyrl-CS" w:eastAsia="sr-Cyrl-CS" w:bidi="sr-Cyrl-CS"/>
        </w:rPr>
      </w:pPr>
      <w:r w:rsidRPr="00092ED7">
        <w:rPr>
          <w:rFonts w:cs="Times New Roman"/>
          <w:lang w:val="sr-Cyrl-CS"/>
        </w:rPr>
        <w:t>Стварањем атрактивнијег привредног окружења и диверсификацијом извора финансирања, заинтересована привредна друштва изласком на тржиште обезбедиће могућност прикупљања капитала за финансирање раста и развоја, док ће се истовремено осигурати виши ниво транспарентности и већа сигурност финансијског система (појачан надзор над применом прописа који уређују пословање субјеката на тржишту; висок квалитет финансијског извештавања и др.), а самим тим и раст поверења инвеститора и њихове заинтересованости за улагања.</w:t>
      </w:r>
    </w:p>
    <w:p w14:paraId="688437D0" w14:textId="77777777" w:rsidR="00D210F0" w:rsidRPr="00092ED7" w:rsidRDefault="00D210F0" w:rsidP="00071952">
      <w:pPr>
        <w:widowControl w:val="0"/>
        <w:numPr>
          <w:ilvl w:val="0"/>
          <w:numId w:val="24"/>
        </w:numPr>
        <w:spacing w:before="120"/>
        <w:ind w:left="425" w:hanging="425"/>
        <w:rPr>
          <w:rFonts w:eastAsia="Calibri" w:cs="Times New Roman"/>
          <w:b/>
          <w:szCs w:val="24"/>
          <w:lang w:val="sr-Cyrl-CS" w:eastAsia="sr-Cyrl-CS" w:bidi="sr-Cyrl-CS"/>
        </w:rPr>
      </w:pPr>
      <w:r w:rsidRPr="00092ED7">
        <w:rPr>
          <w:rFonts w:eastAsia="Calibri" w:cs="Times New Roman"/>
          <w:b/>
          <w:szCs w:val="24"/>
          <w:lang w:val="sr-Cyrl-CS" w:eastAsia="sr-Cyrl-CS" w:bidi="sr-Cyrl-CS"/>
        </w:rPr>
        <w:t>Процењени трошкови активности и извори финансирања</w:t>
      </w:r>
    </w:p>
    <w:p w14:paraId="335E269E" w14:textId="77777777" w:rsidR="004A32FF" w:rsidRPr="00092ED7" w:rsidRDefault="004A32FF" w:rsidP="00D210F0">
      <w:pPr>
        <w:tabs>
          <w:tab w:val="left" w:pos="7112"/>
        </w:tabs>
        <w:autoSpaceDE w:val="0"/>
        <w:autoSpaceDN w:val="0"/>
        <w:adjustRightInd w:val="0"/>
        <w:spacing w:after="60"/>
        <w:rPr>
          <w:rFonts w:cs="Times New Roman"/>
          <w:lang w:val="sr-Cyrl-CS"/>
        </w:rPr>
      </w:pPr>
      <w:r w:rsidRPr="00092ED7">
        <w:rPr>
          <w:rFonts w:cs="Times New Roman"/>
          <w:lang w:val="sr-Cyrl-CS"/>
        </w:rPr>
        <w:t xml:space="preserve">Како би се сачинио адекватан правни оквир који ће допринети развоју конкурентног, високо ефикасног, транспарентног и продуктивног тржишта капитала, потребно је унапредити постојеће административне капацитете Министарства финансија, </w:t>
      </w:r>
      <w:r w:rsidRPr="00092ED7">
        <w:rPr>
          <w:rFonts w:cs="Times New Roman"/>
          <w:lang w:val="sr-Cyrl-CS"/>
        </w:rPr>
        <w:lastRenderedPageBreak/>
        <w:t xml:space="preserve">запошљавањем два додатна службеника током 2023. и 2024. године, у Сектору за финансијски систем, у Групи за хартије од вредности и тржиште капитала. Ово уједно представља једини додатни трошак неопходан за спровођење ове реформе. </w:t>
      </w:r>
    </w:p>
    <w:p w14:paraId="3DFC3F22" w14:textId="77777777" w:rsidR="00D210F0" w:rsidRPr="00092ED7" w:rsidRDefault="00D210F0" w:rsidP="00071952">
      <w:pPr>
        <w:widowControl w:val="0"/>
        <w:numPr>
          <w:ilvl w:val="0"/>
          <w:numId w:val="24"/>
        </w:numPr>
        <w:spacing w:before="120"/>
        <w:ind w:left="425" w:hanging="425"/>
        <w:rPr>
          <w:rFonts w:eastAsia="Calibri" w:cs="Times New Roman"/>
          <w:b/>
          <w:szCs w:val="24"/>
          <w:lang w:val="sr-Cyrl-CS" w:eastAsia="sr-Cyrl-CS" w:bidi="sr-Cyrl-CS"/>
        </w:rPr>
      </w:pPr>
      <w:r w:rsidRPr="00092ED7">
        <w:rPr>
          <w:rFonts w:eastAsia="Calibri" w:cs="Times New Roman"/>
          <w:b/>
          <w:szCs w:val="24"/>
          <w:lang w:val="sr-Cyrl-CS" w:eastAsia="sr-Cyrl-CS" w:bidi="sr-Cyrl-CS"/>
        </w:rPr>
        <w:t>Очекивани утицај на социјалне циљеве, као што су запосленост, смањење сиромаштва, родна равноправност и приступ здравственој заштити</w:t>
      </w:r>
    </w:p>
    <w:p w14:paraId="110EDCFC" w14:textId="42E33FAA" w:rsidR="00D210F0" w:rsidRPr="00092ED7" w:rsidRDefault="00E4340B" w:rsidP="00D210F0">
      <w:pPr>
        <w:autoSpaceDE w:val="0"/>
        <w:autoSpaceDN w:val="0"/>
        <w:adjustRightInd w:val="0"/>
        <w:spacing w:after="60"/>
        <w:rPr>
          <w:rFonts w:eastAsia="Calibri" w:cs="Times New Roman"/>
          <w:b/>
          <w:szCs w:val="24"/>
          <w:lang w:val="sr-Cyrl-CS" w:eastAsia="sr-Cyrl-CS" w:bidi="sr-Cyrl-CS"/>
        </w:rPr>
      </w:pPr>
      <w:r w:rsidRPr="00092ED7">
        <w:rPr>
          <w:rFonts w:cs="Times New Roman"/>
          <w:lang w:val="sr-Cyrl-CS"/>
        </w:rPr>
        <w:t>Имплементацијом структурне реформе активира се тржишт</w:t>
      </w:r>
      <w:r w:rsidR="008A6B24" w:rsidRPr="00092ED7">
        <w:rPr>
          <w:rFonts w:cs="Times New Roman"/>
          <w:lang w:val="sr-Cyrl-CS"/>
        </w:rPr>
        <w:t>е</w:t>
      </w:r>
      <w:r w:rsidRPr="00092ED7">
        <w:rPr>
          <w:rFonts w:cs="Times New Roman"/>
          <w:lang w:val="sr-Cyrl-CS"/>
        </w:rPr>
        <w:t xml:space="preserve"> капитала у функцији економског раста, запошљавања и квалитетнијег живота грађана чиме се на директан начин утиче на смањење стопе незапослености и смањење сиромаштва.</w:t>
      </w:r>
      <w:r w:rsidR="00D210F0" w:rsidRPr="00092ED7">
        <w:rPr>
          <w:rFonts w:cs="Times New Roman"/>
          <w:lang w:val="sr-Cyrl-CS"/>
        </w:rPr>
        <w:t xml:space="preserve"> Структурна реформа је родно неутрална.</w:t>
      </w:r>
    </w:p>
    <w:p w14:paraId="02407D07" w14:textId="77777777" w:rsidR="00D210F0" w:rsidRPr="00092ED7" w:rsidRDefault="00D210F0" w:rsidP="00071952">
      <w:pPr>
        <w:widowControl w:val="0"/>
        <w:numPr>
          <w:ilvl w:val="0"/>
          <w:numId w:val="24"/>
        </w:numPr>
        <w:spacing w:before="120"/>
        <w:ind w:left="425" w:hanging="425"/>
        <w:rPr>
          <w:rFonts w:eastAsia="Calibri" w:cs="Times New Roman"/>
          <w:b/>
          <w:szCs w:val="24"/>
          <w:lang w:val="sr-Cyrl-CS" w:eastAsia="sr-Cyrl-CS" w:bidi="sr-Cyrl-CS"/>
        </w:rPr>
      </w:pPr>
      <w:r w:rsidRPr="00092ED7">
        <w:rPr>
          <w:rFonts w:eastAsia="Calibri" w:cs="Times New Roman"/>
          <w:b/>
          <w:szCs w:val="24"/>
          <w:lang w:val="sr-Cyrl-CS" w:eastAsia="sr-Cyrl-CS" w:bidi="sr-Cyrl-CS"/>
        </w:rPr>
        <w:t>Очекивани утицај на животну средину и климатске промене</w:t>
      </w:r>
    </w:p>
    <w:p w14:paraId="7F0921F9" w14:textId="77777777" w:rsidR="00D210F0" w:rsidRPr="00092ED7" w:rsidRDefault="00D210F0" w:rsidP="00D210F0">
      <w:pPr>
        <w:pStyle w:val="Default"/>
        <w:spacing w:after="60"/>
        <w:rPr>
          <w:rFonts w:ascii="Times New Roman" w:hAnsi="Times New Roman" w:cs="Times New Roman"/>
          <w:lang w:val="sr-Cyrl-CS"/>
        </w:rPr>
      </w:pPr>
      <w:r w:rsidRPr="00092ED7">
        <w:rPr>
          <w:rFonts w:ascii="Times New Roman" w:hAnsi="Times New Roman" w:cs="Times New Roman"/>
          <w:lang w:val="sr-Cyrl-CS"/>
        </w:rPr>
        <w:t xml:space="preserve">Прописивањем нових правних института у Закону о тржишту капитала створена је база за увођење новина на тржишту и очекује се да ће предметна структурна реформа имати позитиван утицај на животну средину и климатске промене. </w:t>
      </w:r>
    </w:p>
    <w:p w14:paraId="1C6942A6" w14:textId="77777777" w:rsidR="00D210F0" w:rsidRPr="00092ED7" w:rsidRDefault="00D210F0" w:rsidP="00D210F0">
      <w:pPr>
        <w:autoSpaceDE w:val="0"/>
        <w:autoSpaceDN w:val="0"/>
        <w:adjustRightInd w:val="0"/>
        <w:spacing w:after="60"/>
        <w:rPr>
          <w:rFonts w:eastAsia="Calibri" w:cs="Times New Roman"/>
          <w:b/>
          <w:szCs w:val="24"/>
          <w:lang w:val="sr-Cyrl-CS" w:eastAsia="sr-Cyrl-CS" w:bidi="sr-Cyrl-CS"/>
        </w:rPr>
      </w:pPr>
      <w:r w:rsidRPr="00092ED7">
        <w:rPr>
          <w:rFonts w:cs="Times New Roman"/>
          <w:szCs w:val="24"/>
          <w:lang w:val="sr-Cyrl-CS"/>
        </w:rPr>
        <w:t>Спровођењем Стратегије за развој тржишта капитала за период од 2021. до 2026. године и Акционог плана предметне стратегије, на које се ослања структурна реформа, активираће се неки до сада некоришћени финансијски институти, попут зелених обвезница, а који ће се користити искључиво за финансирање пројеката из области екологије и заштите животне средине.</w:t>
      </w:r>
    </w:p>
    <w:p w14:paraId="0D2EA829" w14:textId="77777777" w:rsidR="00D210F0" w:rsidRPr="00092ED7" w:rsidRDefault="00D210F0" w:rsidP="00071952">
      <w:pPr>
        <w:widowControl w:val="0"/>
        <w:numPr>
          <w:ilvl w:val="0"/>
          <w:numId w:val="24"/>
        </w:numPr>
        <w:spacing w:before="120"/>
        <w:ind w:left="425" w:hanging="425"/>
        <w:rPr>
          <w:rFonts w:eastAsia="Calibri" w:cs="Times New Roman"/>
          <w:b/>
          <w:szCs w:val="24"/>
          <w:lang w:val="sr-Cyrl-CS" w:eastAsia="sr-Cyrl-CS" w:bidi="sr-Cyrl-CS"/>
        </w:rPr>
      </w:pPr>
      <w:r w:rsidRPr="00092ED7">
        <w:rPr>
          <w:rFonts w:eastAsia="Calibri" w:cs="Times New Roman"/>
          <w:b/>
          <w:szCs w:val="24"/>
          <w:lang w:val="sr-Cyrl-CS" w:eastAsia="sr-Cyrl-CS" w:bidi="sr-Cyrl-CS"/>
        </w:rPr>
        <w:t>Потенцијални ризици</w:t>
      </w:r>
    </w:p>
    <w:tbl>
      <w:tblPr>
        <w:tblStyle w:val="TableGrid"/>
        <w:tblW w:w="9067" w:type="dxa"/>
        <w:jc w:val="center"/>
        <w:tblLayout w:type="fixed"/>
        <w:tblLook w:val="04A0" w:firstRow="1" w:lastRow="0" w:firstColumn="1" w:lastColumn="0" w:noHBand="0" w:noVBand="1"/>
      </w:tblPr>
      <w:tblGrid>
        <w:gridCol w:w="3515"/>
        <w:gridCol w:w="2098"/>
        <w:gridCol w:w="3454"/>
      </w:tblGrid>
      <w:tr w:rsidR="00D210F0" w:rsidRPr="00092ED7" w14:paraId="1889A8DE" w14:textId="77777777" w:rsidTr="00AE4362">
        <w:trPr>
          <w:cnfStyle w:val="100000000000" w:firstRow="1" w:lastRow="0" w:firstColumn="0" w:lastColumn="0" w:oddVBand="0" w:evenVBand="0" w:oddHBand="0" w:evenHBand="0" w:firstRowFirstColumn="0" w:firstRowLastColumn="0" w:lastRowFirstColumn="0" w:lastRowLastColumn="0"/>
          <w:jc w:val="center"/>
        </w:trPr>
        <w:tc>
          <w:tcPr>
            <w:tcW w:w="3515" w:type="dxa"/>
          </w:tcPr>
          <w:p w14:paraId="51F5D5CE" w14:textId="77777777" w:rsidR="00D210F0" w:rsidRPr="00092ED7" w:rsidRDefault="00D210F0" w:rsidP="005D14E2">
            <w:pPr>
              <w:spacing w:before="0" w:after="0"/>
              <w:ind w:left="113" w:right="113"/>
              <w:jc w:val="center"/>
              <w:rPr>
                <w:rFonts w:cs="Times New Roman"/>
                <w:b w:val="0"/>
                <w:sz w:val="20"/>
                <w:lang w:val="sr-Cyrl-CS"/>
              </w:rPr>
            </w:pPr>
            <w:r w:rsidRPr="00092ED7">
              <w:rPr>
                <w:rFonts w:cs="Times New Roman"/>
                <w:sz w:val="20"/>
                <w:lang w:val="sr-Cyrl-CS"/>
              </w:rPr>
              <w:t>Ризик</w:t>
            </w:r>
          </w:p>
        </w:tc>
        <w:tc>
          <w:tcPr>
            <w:tcW w:w="2098" w:type="dxa"/>
          </w:tcPr>
          <w:p w14:paraId="5F18206B" w14:textId="77777777" w:rsidR="00D210F0" w:rsidRPr="00092ED7" w:rsidRDefault="00D210F0" w:rsidP="005D14E2">
            <w:pPr>
              <w:spacing w:before="0" w:after="0"/>
              <w:ind w:left="113" w:right="113"/>
              <w:jc w:val="center"/>
              <w:rPr>
                <w:rFonts w:cs="Times New Roman"/>
                <w:b w:val="0"/>
                <w:sz w:val="20"/>
                <w:lang w:val="sr-Cyrl-CS"/>
              </w:rPr>
            </w:pPr>
            <w:r w:rsidRPr="00092ED7">
              <w:rPr>
                <w:rFonts w:cs="Times New Roman"/>
                <w:sz w:val="20"/>
                <w:lang w:val="sr-Cyrl-CS"/>
              </w:rPr>
              <w:t>Вероватноћа за остваривање ризика</w:t>
            </w:r>
          </w:p>
        </w:tc>
        <w:tc>
          <w:tcPr>
            <w:tcW w:w="3454" w:type="dxa"/>
          </w:tcPr>
          <w:p w14:paraId="3BA087E1" w14:textId="77777777" w:rsidR="00D210F0" w:rsidRPr="00092ED7" w:rsidRDefault="00D210F0" w:rsidP="005D14E2">
            <w:pPr>
              <w:spacing w:before="0" w:after="0"/>
              <w:ind w:left="113" w:right="113"/>
              <w:jc w:val="center"/>
              <w:rPr>
                <w:rFonts w:cs="Times New Roman"/>
                <w:b w:val="0"/>
                <w:sz w:val="20"/>
                <w:lang w:val="sr-Cyrl-CS"/>
              </w:rPr>
            </w:pPr>
            <w:r w:rsidRPr="00092ED7">
              <w:rPr>
                <w:rFonts w:cs="Times New Roman"/>
                <w:sz w:val="20"/>
                <w:lang w:val="sr-Cyrl-CS"/>
              </w:rPr>
              <w:t>Планиране активност за ублажавање негативних ефеката ризика</w:t>
            </w:r>
          </w:p>
        </w:tc>
      </w:tr>
      <w:tr w:rsidR="00D210F0" w:rsidRPr="00092ED7" w14:paraId="023987EA" w14:textId="77777777" w:rsidTr="000003B8">
        <w:trPr>
          <w:jc w:val="center"/>
        </w:trPr>
        <w:tc>
          <w:tcPr>
            <w:tcW w:w="3515" w:type="dxa"/>
          </w:tcPr>
          <w:p w14:paraId="7420163A" w14:textId="77777777" w:rsidR="00D210F0" w:rsidRPr="00092ED7" w:rsidRDefault="00D210F0" w:rsidP="005D14E2">
            <w:pPr>
              <w:pStyle w:val="Default"/>
              <w:autoSpaceDE/>
              <w:autoSpaceDN/>
              <w:adjustRightInd/>
              <w:spacing w:before="0"/>
              <w:ind w:left="113" w:right="113"/>
              <w:rPr>
                <w:rFonts w:ascii="Times New Roman" w:hAnsi="Times New Roman" w:cs="Times New Roman"/>
                <w:sz w:val="20"/>
                <w:szCs w:val="20"/>
                <w:lang w:val="sr-Cyrl-CS"/>
              </w:rPr>
            </w:pPr>
            <w:r w:rsidRPr="00092ED7">
              <w:rPr>
                <w:rFonts w:ascii="Times New Roman" w:hAnsi="Times New Roman" w:cs="Times New Roman"/>
                <w:sz w:val="20"/>
                <w:szCs w:val="20"/>
                <w:lang w:val="sr-Cyrl-CS"/>
              </w:rPr>
              <w:t xml:space="preserve">Стварање недовољно атрактивних финансијских института и стагнација (или опадање) броја учесника тржишта капитала </w:t>
            </w:r>
          </w:p>
        </w:tc>
        <w:tc>
          <w:tcPr>
            <w:tcW w:w="2098" w:type="dxa"/>
            <w:vAlign w:val="top"/>
          </w:tcPr>
          <w:p w14:paraId="0E019726" w14:textId="77777777" w:rsidR="00D210F0" w:rsidRPr="00092ED7" w:rsidRDefault="00D210F0" w:rsidP="000003B8">
            <w:pPr>
              <w:spacing w:before="0" w:after="0"/>
              <w:ind w:left="113" w:right="113"/>
              <w:jc w:val="center"/>
              <w:rPr>
                <w:rFonts w:cs="Times New Roman"/>
                <w:strike/>
                <w:sz w:val="20"/>
                <w:lang w:val="sr-Cyrl-CS"/>
              </w:rPr>
            </w:pPr>
            <w:r w:rsidRPr="00092ED7">
              <w:rPr>
                <w:rFonts w:cs="Times New Roman"/>
                <w:sz w:val="20"/>
                <w:lang w:val="sr-Cyrl-CS"/>
              </w:rPr>
              <w:t>Средња</w:t>
            </w:r>
          </w:p>
        </w:tc>
        <w:tc>
          <w:tcPr>
            <w:tcW w:w="3454" w:type="dxa"/>
          </w:tcPr>
          <w:p w14:paraId="6E104BD1" w14:textId="77777777" w:rsidR="00D210F0" w:rsidRPr="00092ED7" w:rsidRDefault="00D210F0" w:rsidP="005D14E2">
            <w:pPr>
              <w:pStyle w:val="Default"/>
              <w:autoSpaceDE/>
              <w:autoSpaceDN/>
              <w:adjustRightInd/>
              <w:spacing w:before="0"/>
              <w:ind w:left="113" w:right="113"/>
              <w:rPr>
                <w:rFonts w:ascii="Times New Roman" w:hAnsi="Times New Roman" w:cs="Times New Roman"/>
                <w:sz w:val="20"/>
                <w:szCs w:val="20"/>
                <w:lang w:val="sr-Cyrl-CS"/>
              </w:rPr>
            </w:pPr>
            <w:r w:rsidRPr="00092ED7">
              <w:rPr>
                <w:rFonts w:ascii="Times New Roman" w:hAnsi="Times New Roman" w:cs="Times New Roman"/>
                <w:sz w:val="20"/>
                <w:szCs w:val="20"/>
                <w:lang w:val="sr-Cyrl-CS"/>
              </w:rPr>
              <w:t xml:space="preserve">Израда свеобухватне анализе тренутне ситуације на тржишту капитала и анкете потреба учесника на тржишту. </w:t>
            </w:r>
          </w:p>
        </w:tc>
      </w:tr>
      <w:tr w:rsidR="00D210F0" w:rsidRPr="00092ED7" w14:paraId="3B85EF6C" w14:textId="77777777" w:rsidTr="000003B8">
        <w:trPr>
          <w:jc w:val="center"/>
        </w:trPr>
        <w:tc>
          <w:tcPr>
            <w:tcW w:w="3515" w:type="dxa"/>
          </w:tcPr>
          <w:p w14:paraId="741FE090" w14:textId="77777777" w:rsidR="00D210F0" w:rsidRPr="00092ED7" w:rsidRDefault="00D210F0" w:rsidP="005D14E2">
            <w:pPr>
              <w:pStyle w:val="Default"/>
              <w:autoSpaceDE/>
              <w:autoSpaceDN/>
              <w:adjustRightInd/>
              <w:spacing w:before="0"/>
              <w:ind w:left="113" w:right="113"/>
              <w:rPr>
                <w:rFonts w:ascii="Times New Roman" w:hAnsi="Times New Roman" w:cs="Times New Roman"/>
                <w:sz w:val="20"/>
                <w:szCs w:val="20"/>
                <w:lang w:val="sr-Cyrl-CS"/>
              </w:rPr>
            </w:pPr>
            <w:r w:rsidRPr="00092ED7">
              <w:rPr>
                <w:rFonts w:ascii="Times New Roman" w:hAnsi="Times New Roman" w:cs="Times New Roman"/>
                <w:sz w:val="20"/>
                <w:szCs w:val="20"/>
                <w:lang w:val="sr-Cyrl-CS"/>
              </w:rPr>
              <w:t xml:space="preserve">Недовољни капацитети Министарства финансија за обављање планираних нормативних послова </w:t>
            </w:r>
          </w:p>
        </w:tc>
        <w:tc>
          <w:tcPr>
            <w:tcW w:w="2098" w:type="dxa"/>
            <w:vAlign w:val="top"/>
          </w:tcPr>
          <w:p w14:paraId="05F6FC3D" w14:textId="77777777" w:rsidR="00D210F0" w:rsidRPr="00092ED7" w:rsidRDefault="00D210F0" w:rsidP="000003B8">
            <w:pPr>
              <w:spacing w:before="0" w:after="0"/>
              <w:ind w:left="113" w:right="113"/>
              <w:jc w:val="center"/>
              <w:rPr>
                <w:rFonts w:cs="Times New Roman"/>
                <w:sz w:val="20"/>
                <w:lang w:val="sr-Cyrl-CS"/>
              </w:rPr>
            </w:pPr>
            <w:r w:rsidRPr="00092ED7">
              <w:rPr>
                <w:rFonts w:cs="Times New Roman"/>
                <w:sz w:val="20"/>
                <w:lang w:val="sr-Cyrl-CS"/>
              </w:rPr>
              <w:t>Ниска</w:t>
            </w:r>
          </w:p>
        </w:tc>
        <w:tc>
          <w:tcPr>
            <w:tcW w:w="3454" w:type="dxa"/>
          </w:tcPr>
          <w:p w14:paraId="6F376761" w14:textId="77777777" w:rsidR="00D210F0" w:rsidRPr="00092ED7" w:rsidRDefault="00D210F0" w:rsidP="005D14E2">
            <w:pPr>
              <w:pStyle w:val="Default"/>
              <w:autoSpaceDE/>
              <w:autoSpaceDN/>
              <w:adjustRightInd/>
              <w:spacing w:before="0"/>
              <w:ind w:left="113" w:right="113"/>
              <w:rPr>
                <w:rFonts w:ascii="Times New Roman" w:hAnsi="Times New Roman" w:cs="Times New Roman"/>
                <w:sz w:val="20"/>
                <w:szCs w:val="20"/>
                <w:lang w:val="sr-Cyrl-CS"/>
              </w:rPr>
            </w:pPr>
            <w:r w:rsidRPr="00092ED7">
              <w:rPr>
                <w:rFonts w:ascii="Times New Roman" w:hAnsi="Times New Roman" w:cs="Times New Roman"/>
                <w:sz w:val="20"/>
                <w:szCs w:val="20"/>
                <w:lang w:val="sr-Cyrl-CS"/>
              </w:rPr>
              <w:t xml:space="preserve">Запошљавање у организационој јединици која обавља нормативне послове у области тржишта капитала. </w:t>
            </w:r>
          </w:p>
        </w:tc>
      </w:tr>
    </w:tbl>
    <w:p w14:paraId="1C3ECD64" w14:textId="77777777" w:rsidR="00D210F0" w:rsidRPr="00092ED7" w:rsidRDefault="00D210F0" w:rsidP="006C106B">
      <w:pPr>
        <w:keepNext/>
        <w:keepLines/>
        <w:shd w:val="clear" w:color="auto" w:fill="D9D9D9" w:themeFill="background1" w:themeFillShade="D9"/>
        <w:spacing w:before="240"/>
        <w:outlineLvl w:val="2"/>
        <w:rPr>
          <w:rFonts w:eastAsia="Calibri" w:cs="Times New Roman"/>
          <w:b/>
          <w:i/>
          <w:szCs w:val="24"/>
          <w:lang w:val="sr-Cyrl-CS"/>
        </w:rPr>
      </w:pPr>
      <w:bookmarkStart w:id="37" w:name="_Toc124174806"/>
      <w:r w:rsidRPr="00092ED7">
        <w:rPr>
          <w:rFonts w:eastAsiaTheme="majorEastAsia" w:cstheme="majorBidi"/>
          <w:b/>
          <w:i/>
          <w:lang w:val="sr-Cyrl-CS"/>
        </w:rPr>
        <w:t>Кључни</w:t>
      </w:r>
      <w:r w:rsidRPr="00092ED7">
        <w:rPr>
          <w:rFonts w:eastAsia="Calibri" w:cs="Times New Roman"/>
          <w:b/>
          <w:i/>
          <w:szCs w:val="24"/>
          <w:lang w:val="sr-Cyrl-CS"/>
        </w:rPr>
        <w:t xml:space="preserve"> изазов</w:t>
      </w:r>
      <w:r w:rsidR="003E00C3" w:rsidRPr="00092ED7">
        <w:rPr>
          <w:rFonts w:eastAsia="Calibri" w:cs="Times New Roman"/>
          <w:b/>
          <w:i/>
          <w:szCs w:val="24"/>
          <w:lang w:val="sr-Cyrl-CS"/>
        </w:rPr>
        <w:t xml:space="preserve"> број</w:t>
      </w:r>
      <w:r w:rsidRPr="00092ED7">
        <w:rPr>
          <w:rFonts w:eastAsia="Calibri" w:cs="Times New Roman"/>
          <w:b/>
          <w:i/>
          <w:szCs w:val="24"/>
          <w:lang w:val="sr-Cyrl-CS"/>
        </w:rPr>
        <w:t xml:space="preserve"> 3: Озелењавање енергетског сектора и потпуно отварање енергетског тржишта</w:t>
      </w:r>
      <w:bookmarkEnd w:id="37"/>
    </w:p>
    <w:p w14:paraId="305A2FEC" w14:textId="05EE1B16" w:rsidR="00D210F0" w:rsidRPr="00092ED7" w:rsidRDefault="00D210F0" w:rsidP="00D210F0">
      <w:pPr>
        <w:spacing w:after="60"/>
        <w:rPr>
          <w:rFonts w:eastAsia="Calibri" w:cs="Times New Roman"/>
          <w:szCs w:val="24"/>
          <w:lang w:val="sr-Cyrl-CS"/>
        </w:rPr>
      </w:pPr>
      <w:r w:rsidRPr="00092ED7">
        <w:rPr>
          <w:rFonts w:eastAsia="Calibri" w:cs="Times New Roman"/>
          <w:szCs w:val="24"/>
          <w:lang w:val="sr-Cyrl-CS"/>
        </w:rPr>
        <w:t xml:space="preserve">Конфликт у Украјини (крај фебруара 2022) погоршао је енергетску кризу у Европи и већем делу света и довео до </w:t>
      </w:r>
      <w:r w:rsidRPr="00092ED7">
        <w:rPr>
          <w:rFonts w:eastAsia="Calibri" w:cs="Times New Roman"/>
          <w:b/>
          <w:szCs w:val="24"/>
          <w:lang w:val="sr-Cyrl-CS"/>
        </w:rPr>
        <w:t>растућих цена енергије</w:t>
      </w:r>
      <w:r w:rsidRPr="00092ED7">
        <w:rPr>
          <w:rFonts w:eastAsia="Calibri" w:cs="Times New Roman"/>
          <w:szCs w:val="24"/>
          <w:lang w:val="sr-Cyrl-CS"/>
        </w:rPr>
        <w:t xml:space="preserve">. Ограничење извоза природног гаса из </w:t>
      </w:r>
      <w:r w:rsidR="006B0BA0" w:rsidRPr="00092ED7">
        <w:rPr>
          <w:rFonts w:eastAsia="Calibri" w:cs="Times New Roman"/>
          <w:szCs w:val="24"/>
          <w:lang w:val="sr-Cyrl-CS"/>
        </w:rPr>
        <w:t>Русије</w:t>
      </w:r>
      <w:r w:rsidRPr="00092ED7">
        <w:rPr>
          <w:rFonts w:eastAsia="Calibri" w:cs="Times New Roman"/>
          <w:szCs w:val="24"/>
          <w:lang w:val="sr-Cyrl-CS"/>
        </w:rPr>
        <w:t xml:space="preserve"> у Европу од 27. јула 2022. године на 33 милиона m</w:t>
      </w:r>
      <w:r w:rsidRPr="00092ED7">
        <w:rPr>
          <w:rFonts w:eastAsia="Calibri" w:cs="Times New Roman"/>
          <w:szCs w:val="24"/>
          <w:vertAlign w:val="superscript"/>
          <w:lang w:val="sr-Cyrl-CS"/>
        </w:rPr>
        <w:t>3</w:t>
      </w:r>
      <w:r w:rsidRPr="00092ED7">
        <w:rPr>
          <w:rFonts w:eastAsia="Calibri" w:cs="Times New Roman"/>
          <w:szCs w:val="24"/>
          <w:lang w:val="sr-Cyrl-CS"/>
        </w:rPr>
        <w:t xml:space="preserve"> дневно (20% пуног капацитета гасовода), утицало је на повећање цене овог енергента на светским тржиштима до рекордне историјске висине. Са друге стране, Република Србија </w:t>
      </w:r>
      <w:r w:rsidR="00DE4389" w:rsidRPr="00092ED7">
        <w:rPr>
          <w:rFonts w:eastAsia="Calibri" w:cs="Times New Roman"/>
          <w:szCs w:val="24"/>
          <w:lang w:val="sr-Cyrl-CS"/>
        </w:rPr>
        <w:t>не може</w:t>
      </w:r>
      <w:r w:rsidRPr="00092ED7">
        <w:rPr>
          <w:rFonts w:eastAsia="Calibri" w:cs="Times New Roman"/>
          <w:szCs w:val="24"/>
          <w:lang w:val="sr-Cyrl-CS"/>
        </w:rPr>
        <w:t xml:space="preserve"> преко Јадранског нафтовода (ЈАНАФ) </w:t>
      </w:r>
      <w:r w:rsidR="00DE4389" w:rsidRPr="00092ED7">
        <w:rPr>
          <w:rFonts w:eastAsia="Calibri" w:cs="Times New Roman"/>
          <w:szCs w:val="24"/>
          <w:lang w:val="sr-Cyrl-CS"/>
        </w:rPr>
        <w:t xml:space="preserve">да </w:t>
      </w:r>
      <w:r w:rsidRPr="00092ED7">
        <w:rPr>
          <w:rFonts w:eastAsia="Calibri" w:cs="Times New Roman"/>
          <w:szCs w:val="24"/>
          <w:lang w:val="sr-Cyrl-CS"/>
        </w:rPr>
        <w:t>увози руску нафту</w:t>
      </w:r>
      <w:r w:rsidRPr="00092ED7">
        <w:rPr>
          <w:rStyle w:val="FootnoteReference"/>
          <w:rFonts w:eastAsia="Calibri" w:cs="Times New Roman"/>
          <w:szCs w:val="24"/>
          <w:lang w:val="sr-Cyrl-CS"/>
        </w:rPr>
        <w:footnoteReference w:id="77"/>
      </w:r>
      <w:r w:rsidRPr="00092ED7">
        <w:rPr>
          <w:rFonts w:eastAsia="Calibri" w:cs="Times New Roman"/>
          <w:szCs w:val="24"/>
          <w:lang w:val="sr-Cyrl-CS"/>
        </w:rPr>
        <w:t xml:space="preserve"> од децембра 2022. године</w:t>
      </w:r>
      <w:r w:rsidR="00DE4389" w:rsidRPr="00092ED7">
        <w:rPr>
          <w:rFonts w:eastAsia="Calibri" w:cs="Times New Roman"/>
          <w:szCs w:val="24"/>
          <w:lang w:val="sr-Cyrl-CS"/>
        </w:rPr>
        <w:t>,</w:t>
      </w:r>
      <w:r w:rsidRPr="00092ED7">
        <w:rPr>
          <w:rFonts w:eastAsia="Calibri" w:cs="Times New Roman"/>
          <w:szCs w:val="24"/>
          <w:lang w:val="sr-Cyrl-CS"/>
        </w:rPr>
        <w:t xml:space="preserve"> због чега ће морати да се окрене другим начинима добављања нафте, што ће такође утицати на раст цена овог енергента.</w:t>
      </w:r>
    </w:p>
    <w:p w14:paraId="0EED4C3A" w14:textId="77777777" w:rsidR="00D210F0" w:rsidRPr="00092ED7" w:rsidRDefault="00D210F0" w:rsidP="00D210F0">
      <w:pPr>
        <w:spacing w:after="60"/>
        <w:rPr>
          <w:rFonts w:eastAsia="Calibri" w:cs="Times New Roman"/>
          <w:szCs w:val="24"/>
          <w:lang w:val="sr-Cyrl-CS"/>
        </w:rPr>
      </w:pPr>
      <w:r w:rsidRPr="00092ED7">
        <w:rPr>
          <w:rFonts w:eastAsia="Calibri" w:cs="Times New Roman"/>
          <w:b/>
          <w:szCs w:val="24"/>
          <w:lang w:val="sr-Cyrl-CS"/>
        </w:rPr>
        <w:t xml:space="preserve">Енергетски сектор у Републици Србији чини око 4% БДП. </w:t>
      </w:r>
      <w:r w:rsidRPr="00092ED7">
        <w:rPr>
          <w:rFonts w:eastAsia="Calibri" w:cs="Times New Roman"/>
          <w:szCs w:val="24"/>
          <w:lang w:val="sr-Cyrl-CS"/>
        </w:rPr>
        <w:t>Претходних година доста је уложено у ревитализацију електроенергетског система, али га и даље карактерише</w:t>
      </w:r>
      <w:r w:rsidRPr="00092ED7">
        <w:rPr>
          <w:rFonts w:eastAsia="Calibri" w:cs="Times New Roman"/>
          <w:b/>
          <w:szCs w:val="24"/>
          <w:lang w:val="sr-Cyrl-CS"/>
        </w:rPr>
        <w:t xml:space="preserve"> </w:t>
      </w:r>
      <w:r w:rsidRPr="00092ED7">
        <w:rPr>
          <w:rFonts w:eastAsia="Calibri" w:cs="Times New Roman"/>
          <w:szCs w:val="24"/>
          <w:lang w:val="sr-Cyrl-CS"/>
        </w:rPr>
        <w:t xml:space="preserve">низак ниво енергетске ефикасности, застарела инфраструктура, недовољно коришћење обновљивих извора енергије и висока зависност од фосилних горива. У циљу већег доприноса сектора енергетике привредном расту потребно је унапређење енергетске ефикасности, повећање обима инвестиција у изградњу нових капацитета, јачање унутрашњег тржишта, повећање степена енергетске сигурности, прилагођавање цена </w:t>
      </w:r>
      <w:r w:rsidRPr="00092ED7">
        <w:rPr>
          <w:rFonts w:eastAsia="Calibri" w:cs="Times New Roman"/>
          <w:szCs w:val="24"/>
          <w:lang w:val="sr-Cyrl-CS"/>
        </w:rPr>
        <w:lastRenderedPageBreak/>
        <w:t xml:space="preserve">енергије, спровођење процеса декарбонизације и коришћење обновљивих извора енергије (ОИЕ). </w:t>
      </w:r>
    </w:p>
    <w:p w14:paraId="4091F83B" w14:textId="77777777" w:rsidR="00D210F0" w:rsidRPr="00092ED7" w:rsidRDefault="00D210F0" w:rsidP="00D210F0">
      <w:pPr>
        <w:spacing w:after="60"/>
        <w:rPr>
          <w:rFonts w:eastAsia="Calibri" w:cs="Times New Roman"/>
          <w:szCs w:val="24"/>
          <w:lang w:val="sr-Cyrl-CS"/>
        </w:rPr>
      </w:pPr>
      <w:r w:rsidRPr="00092ED7">
        <w:rPr>
          <w:rFonts w:eastAsia="Calibri" w:cs="Times New Roman"/>
          <w:szCs w:val="24"/>
          <w:lang w:val="sr-Cyrl-CS"/>
        </w:rPr>
        <w:t xml:space="preserve">Од укупно произведене електричне енергије у Републици Србији, термоелектране на угаљ су произвеле 60,4%, хидроелектране </w:t>
      </w:r>
      <w:r w:rsidR="00287122" w:rsidRPr="00092ED7">
        <w:rPr>
          <w:rFonts w:eastAsia="Calibri" w:cs="Times New Roman"/>
          <w:szCs w:val="24"/>
          <w:lang w:val="sr-Cyrl-CS"/>
        </w:rPr>
        <w:t>31,3</w:t>
      </w:r>
      <w:r w:rsidRPr="00092ED7">
        <w:rPr>
          <w:rFonts w:eastAsia="Calibri" w:cs="Times New Roman"/>
          <w:szCs w:val="24"/>
          <w:lang w:val="sr-Cyrl-CS"/>
        </w:rPr>
        <w:t xml:space="preserve">%, ветроелектране прикључене на преносни систем 2,8%, термоелектране-топлане </w:t>
      </w:r>
      <w:r w:rsidR="00287122" w:rsidRPr="00092ED7">
        <w:rPr>
          <w:rFonts w:eastAsia="Calibri" w:cs="Times New Roman"/>
          <w:szCs w:val="24"/>
          <w:lang w:val="sr-Cyrl-CS"/>
        </w:rPr>
        <w:t>1,9</w:t>
      </w:r>
      <w:r w:rsidRPr="00092ED7">
        <w:rPr>
          <w:rFonts w:eastAsia="Calibri" w:cs="Times New Roman"/>
          <w:szCs w:val="24"/>
          <w:lang w:val="sr-Cyrl-CS"/>
        </w:rPr>
        <w:t xml:space="preserve">%, а остале електране </w:t>
      </w:r>
      <w:r w:rsidR="00287122" w:rsidRPr="00092ED7">
        <w:rPr>
          <w:rFonts w:eastAsia="Calibri" w:cs="Times New Roman"/>
          <w:szCs w:val="24"/>
          <w:lang w:val="sr-Cyrl-CS"/>
        </w:rPr>
        <w:t>1,8</w:t>
      </w:r>
      <w:r w:rsidRPr="00092ED7">
        <w:rPr>
          <w:rFonts w:eastAsia="Calibri" w:cs="Times New Roman"/>
          <w:szCs w:val="24"/>
          <w:lang w:val="sr-Cyrl-CS"/>
        </w:rPr>
        <w:t xml:space="preserve">% електричне енергије (ЈП ЕПС произведе </w:t>
      </w:r>
      <w:r w:rsidR="00287122" w:rsidRPr="00092ED7">
        <w:rPr>
          <w:rFonts w:eastAsia="Calibri" w:cs="Times New Roman"/>
          <w:szCs w:val="24"/>
          <w:lang w:val="sr-Cyrl-CS"/>
        </w:rPr>
        <w:t>95,05</w:t>
      </w:r>
      <w:r w:rsidRPr="00092ED7">
        <w:rPr>
          <w:rFonts w:eastAsia="Calibri" w:cs="Times New Roman"/>
          <w:szCs w:val="24"/>
          <w:lang w:val="sr-Cyrl-CS"/>
        </w:rPr>
        <w:t>% укупне електричне енергије)</w:t>
      </w:r>
      <w:r w:rsidRPr="00092ED7">
        <w:rPr>
          <w:rFonts w:eastAsia="Calibri" w:cs="Times New Roman"/>
          <w:szCs w:val="24"/>
          <w:vertAlign w:val="superscript"/>
          <w:lang w:val="sr-Cyrl-CS"/>
        </w:rPr>
        <w:footnoteReference w:id="78"/>
      </w:r>
      <w:r w:rsidRPr="00092ED7">
        <w:rPr>
          <w:rFonts w:eastAsia="Calibri" w:cs="Times New Roman"/>
          <w:szCs w:val="24"/>
          <w:lang w:val="sr-Cyrl-CS"/>
        </w:rPr>
        <w:t>.  Губици у дистрибутивној мрежи су и даље високи и износе 11,73% електричне енергије преузете у дистрибутивни систем у 2021. Поузданост испоруке електричне енергије је на нивоу петогодишњег просека и износи SAIFI – 8,27 у 2021. (8,2 у 2020.) и SAIDI – 892 у 2021. (804 у 2020.)</w:t>
      </w:r>
      <w:r w:rsidRPr="00092ED7">
        <w:rPr>
          <w:rFonts w:eastAsia="Calibri" w:cs="Times New Roman"/>
          <w:szCs w:val="24"/>
          <w:vertAlign w:val="superscript"/>
          <w:lang w:val="sr-Cyrl-CS"/>
        </w:rPr>
        <w:footnoteReference w:id="79"/>
      </w:r>
      <w:r w:rsidRPr="00092ED7">
        <w:rPr>
          <w:rFonts w:eastAsia="Calibri" w:cs="Times New Roman"/>
          <w:szCs w:val="24"/>
          <w:lang w:val="sr-Cyrl-CS"/>
        </w:rPr>
        <w:t>.</w:t>
      </w:r>
    </w:p>
    <w:p w14:paraId="3AECBAE3" w14:textId="77777777" w:rsidR="00D210F0" w:rsidRPr="00092ED7" w:rsidRDefault="00D210F0" w:rsidP="00D210F0">
      <w:pPr>
        <w:spacing w:after="60"/>
        <w:rPr>
          <w:rFonts w:eastAsia="Calibri" w:cs="Times New Roman"/>
          <w:szCs w:val="24"/>
          <w:lang w:val="sr-Cyrl-CS"/>
        </w:rPr>
      </w:pPr>
      <w:r w:rsidRPr="00092ED7">
        <w:rPr>
          <w:rFonts w:eastAsia="Calibri" w:cs="Times New Roman"/>
          <w:b/>
          <w:szCs w:val="24"/>
          <w:lang w:val="sr-Cyrl-CS"/>
        </w:rPr>
        <w:t xml:space="preserve">Неопходно је усвојити дугорочне стратешке документе који ће утврдити енергетске и климатске циљеве. </w:t>
      </w:r>
      <w:r w:rsidRPr="00092ED7">
        <w:rPr>
          <w:rFonts w:eastAsia="Calibri" w:cs="Times New Roman"/>
          <w:szCs w:val="24"/>
          <w:lang w:val="sr-Cyrl-CS"/>
        </w:rPr>
        <w:t xml:space="preserve">У току је израда два најважнија стратешка документа за енергетски сектор: </w:t>
      </w:r>
      <w:r w:rsidRPr="00092ED7">
        <w:rPr>
          <w:rFonts w:eastAsia="Calibri" w:cs="Times New Roman"/>
          <w:i/>
          <w:szCs w:val="24"/>
          <w:lang w:val="sr-Cyrl-CS"/>
        </w:rPr>
        <w:t>Интегрисани национални енергетски и климатски план Републике Србије за период до 2030. године са пројекцијама до 2050. године</w:t>
      </w:r>
      <w:r w:rsidRPr="00092ED7">
        <w:rPr>
          <w:rFonts w:eastAsia="Calibri" w:cs="Times New Roman"/>
          <w:szCs w:val="24"/>
          <w:lang w:val="sr-Cyrl-CS"/>
        </w:rPr>
        <w:t xml:space="preserve">, као и </w:t>
      </w:r>
      <w:r w:rsidRPr="00092ED7">
        <w:rPr>
          <w:rFonts w:eastAsia="Calibri" w:cs="Times New Roman"/>
          <w:i/>
          <w:szCs w:val="24"/>
          <w:lang w:val="sr-Cyrl-CS"/>
        </w:rPr>
        <w:t>Стратегија развоја енергетике Републике Србије за период до 2040. године са пројекцијама до 2050. године</w:t>
      </w:r>
      <w:r w:rsidRPr="00092ED7">
        <w:rPr>
          <w:rFonts w:eastAsia="Calibri" w:cs="Times New Roman"/>
          <w:szCs w:val="24"/>
          <w:lang w:val="sr-Cyrl-CS"/>
        </w:rPr>
        <w:t>. Нацртима ових докумената је предвиђено озелењавање енергетског сектора, изградња нове инфраструктуре, заштита животне средине, већа употреба ОИЕ и повећање енергетске ефикасности.</w:t>
      </w:r>
      <w:r w:rsidRPr="00092ED7">
        <w:rPr>
          <w:lang w:val="sr-Cyrl-CS"/>
        </w:rPr>
        <w:t xml:space="preserve"> </w:t>
      </w:r>
      <w:r w:rsidRPr="00092ED7">
        <w:rPr>
          <w:rFonts w:eastAsia="Calibri" w:cs="Times New Roman"/>
          <w:szCs w:val="24"/>
          <w:lang w:val="sr-Cyrl-CS"/>
        </w:rPr>
        <w:t>За реализацију ових стратешких циљева неопходно је утврдити услове за успостављање економски и социјално одрживу енергетску транзицију.</w:t>
      </w:r>
    </w:p>
    <w:p w14:paraId="26CA6CEF" w14:textId="38A2B7A2" w:rsidR="00D210F0" w:rsidRPr="00092ED7" w:rsidRDefault="00D210F0" w:rsidP="00D210F0">
      <w:pPr>
        <w:spacing w:after="60"/>
        <w:rPr>
          <w:rFonts w:eastAsia="Calibri" w:cs="Times New Roman"/>
          <w:szCs w:val="24"/>
          <w:lang w:val="sr-Cyrl-CS"/>
        </w:rPr>
      </w:pPr>
      <w:r w:rsidRPr="00092ED7">
        <w:rPr>
          <w:rFonts w:eastAsia="Calibri" w:cs="Times New Roman"/>
          <w:b/>
          <w:szCs w:val="24"/>
          <w:lang w:val="sr-Cyrl-CS"/>
        </w:rPr>
        <w:t xml:space="preserve">Постојећа енергетска постројења емитују велике количине штетних гасова укључујући и гасове са ефектом стаклене баште, што се одражава на животну средину и здравље људи. </w:t>
      </w:r>
      <w:r w:rsidRPr="00092ED7">
        <w:rPr>
          <w:rFonts w:cs="Times New Roman"/>
          <w:szCs w:val="24"/>
          <w:lang w:val="sr-Cyrl-CS"/>
        </w:rPr>
        <w:t xml:space="preserve">Енергетски сектор је један од највећих загађивача ваздуха у </w:t>
      </w:r>
      <w:r w:rsidR="00DE4389" w:rsidRPr="00092ED7">
        <w:rPr>
          <w:rFonts w:cs="Times New Roman"/>
          <w:szCs w:val="24"/>
          <w:lang w:val="sr-Cyrl-CS"/>
        </w:rPr>
        <w:t xml:space="preserve">Републици </w:t>
      </w:r>
      <w:r w:rsidRPr="00092ED7">
        <w:rPr>
          <w:rFonts w:cs="Times New Roman"/>
          <w:szCs w:val="24"/>
          <w:lang w:val="sr-Cyrl-CS"/>
        </w:rPr>
        <w:t>Србији. Највећи део енергије се производи на бази угља, док индивидуална ложишта у великој мери користе дрво и угаљ као гориво. Енергетски сектор доприноси стварању око 80% гасова са ефектом стаклене баште на националном нивоу. Емисија сумпордиоксида (SО</w:t>
      </w:r>
      <w:r w:rsidRPr="00092ED7">
        <w:rPr>
          <w:rFonts w:cs="Times New Roman"/>
          <w:szCs w:val="24"/>
          <w:vertAlign w:val="subscript"/>
          <w:lang w:val="sr-Cyrl-CS"/>
        </w:rPr>
        <w:t>2</w:t>
      </w:r>
      <w:r w:rsidRPr="00092ED7">
        <w:rPr>
          <w:rFonts w:cs="Times New Roman"/>
          <w:szCs w:val="24"/>
          <w:lang w:val="sr-Cyrl-CS"/>
        </w:rPr>
        <w:t>) у 2020. години износила је 417,6 килотона (Gg), што је за 5,1% више у односу 2019. (20,4% у односу на 2018. годину). Највећа емисија SO</w:t>
      </w:r>
      <w:r w:rsidRPr="00092ED7">
        <w:rPr>
          <w:rFonts w:cs="Times New Roman"/>
          <w:szCs w:val="24"/>
          <w:vertAlign w:val="subscript"/>
          <w:lang w:val="sr-Cyrl-CS"/>
        </w:rPr>
        <w:t>2</w:t>
      </w:r>
      <w:r w:rsidRPr="00092ED7">
        <w:rPr>
          <w:rFonts w:cs="Times New Roman"/>
          <w:szCs w:val="24"/>
          <w:lang w:val="sr-Cyrl-CS"/>
        </w:rPr>
        <w:t xml:space="preserve"> потиче из сектора Снабдевање електричном енергијом, гасом и паром (пре свега термоелектрана у саставу </w:t>
      </w:r>
      <w:r w:rsidR="00DE4389" w:rsidRPr="00092ED7">
        <w:rPr>
          <w:rFonts w:cs="Times New Roman"/>
          <w:szCs w:val="24"/>
          <w:lang w:val="sr-Cyrl-CS"/>
        </w:rPr>
        <w:t xml:space="preserve">ЈП </w:t>
      </w:r>
      <w:r w:rsidRPr="00092ED7">
        <w:rPr>
          <w:rFonts w:cs="Times New Roman"/>
          <w:szCs w:val="24"/>
          <w:lang w:val="sr-Cyrl-CS"/>
        </w:rPr>
        <w:t>ЕПС које користе лигнит) са уделом од 91,3% и растом од 5,4% у поређењу са 2019. годином</w:t>
      </w:r>
      <w:r w:rsidRPr="00092ED7">
        <w:rPr>
          <w:rFonts w:cs="Times New Roman"/>
          <w:szCs w:val="24"/>
          <w:vertAlign w:val="superscript"/>
          <w:lang w:val="sr-Cyrl-CS"/>
        </w:rPr>
        <w:footnoteReference w:id="80"/>
      </w:r>
      <w:r w:rsidRPr="00092ED7">
        <w:rPr>
          <w:rFonts w:cs="Times New Roman"/>
          <w:szCs w:val="24"/>
          <w:lang w:val="sr-Cyrl-CS"/>
        </w:rPr>
        <w:t xml:space="preserve"> </w:t>
      </w:r>
      <w:r w:rsidRPr="00092ED7">
        <w:rPr>
          <w:rStyle w:val="FootnoteReference"/>
          <w:rFonts w:cs="Times New Roman"/>
          <w:szCs w:val="24"/>
          <w:lang w:val="sr-Cyrl-CS"/>
        </w:rPr>
        <w:footnoteReference w:id="81"/>
      </w:r>
      <w:r w:rsidRPr="00092ED7">
        <w:rPr>
          <w:rFonts w:cs="Times New Roman"/>
          <w:szCs w:val="24"/>
          <w:lang w:val="sr-Cyrl-CS"/>
        </w:rPr>
        <w:t>. ТЕ „Костолац Б</w:t>
      </w:r>
      <w:r w:rsidR="006C523D" w:rsidRPr="00092ED7">
        <w:rPr>
          <w:rFonts w:cs="Times New Roman"/>
          <w:szCs w:val="24"/>
          <w:lang w:val="sr-Cyrl-CS"/>
        </w:rPr>
        <w:t>”</w:t>
      </w:r>
      <w:r w:rsidRPr="00092ED7">
        <w:rPr>
          <w:rFonts w:cs="Times New Roman"/>
          <w:szCs w:val="24"/>
          <w:lang w:val="sr-Cyrl-CS"/>
        </w:rPr>
        <w:t xml:space="preserve"> је једина термоелектрана у Републици Србији која има постројење за одсумпоравање димних гасова. Неопходно је интензивирати радове на изградњи </w:t>
      </w:r>
      <w:r w:rsidR="00DE4389" w:rsidRPr="00092ED7">
        <w:rPr>
          <w:rFonts w:cs="Times New Roman"/>
          <w:szCs w:val="24"/>
          <w:lang w:val="sr-Cyrl-CS"/>
        </w:rPr>
        <w:t>постројења за одсумпоравање димних гасова</w:t>
      </w:r>
      <w:r w:rsidRPr="00092ED7">
        <w:rPr>
          <w:rFonts w:cs="Times New Roman"/>
          <w:szCs w:val="24"/>
          <w:lang w:val="sr-Cyrl-CS"/>
        </w:rPr>
        <w:t xml:space="preserve"> у ТЕ Никола Тесла А и Б. Уграђена је опрема за смањење</w:t>
      </w:r>
      <w:r w:rsidRPr="00092ED7">
        <w:rPr>
          <w:lang w:val="sr-Cyrl-CS"/>
        </w:rPr>
        <w:t xml:space="preserve"> </w:t>
      </w:r>
      <w:r w:rsidRPr="00092ED7">
        <w:rPr>
          <w:rFonts w:cs="Times New Roman"/>
          <w:szCs w:val="24"/>
          <w:lang w:val="sr-Cyrl-CS"/>
        </w:rPr>
        <w:t>азотних оксида (NОx) у ТЕ Никола Тесла Б1 и постројење је пуштено у рад. На оба блока термоелектране ТЕ „Костолац Б</w:t>
      </w:r>
      <w:r w:rsidR="006C523D" w:rsidRPr="00092ED7">
        <w:rPr>
          <w:rFonts w:cs="Times New Roman"/>
          <w:szCs w:val="24"/>
          <w:lang w:val="sr-Cyrl-CS"/>
        </w:rPr>
        <w:t>”</w:t>
      </w:r>
      <w:r w:rsidRPr="00092ED7">
        <w:rPr>
          <w:rFonts w:cs="Times New Roman"/>
          <w:szCs w:val="24"/>
          <w:lang w:val="sr-Cyrl-CS"/>
        </w:rPr>
        <w:t xml:space="preserve"> постоје ниско азотни горионици, а у току су радови на увођењу секундарих мера денитрификације кроз додавање амонијака за додатно смањење емисија. Настављена је пракса наплате накнаде за заштиту и унапређење животне средине у складу са </w:t>
      </w:r>
      <w:r w:rsidRPr="00092ED7">
        <w:rPr>
          <w:rFonts w:cs="Times New Roman"/>
          <w:i/>
          <w:szCs w:val="24"/>
          <w:lang w:val="sr-Cyrl-CS"/>
        </w:rPr>
        <w:t xml:space="preserve">Законом о накнадама за коришћење јавних добара. </w:t>
      </w:r>
    </w:p>
    <w:p w14:paraId="3EC1D7D4" w14:textId="1852943D" w:rsidR="00D210F0" w:rsidRPr="00092ED7" w:rsidRDefault="00D210F0" w:rsidP="00D210F0">
      <w:pPr>
        <w:spacing w:after="60"/>
        <w:rPr>
          <w:rFonts w:cs="Times New Roman"/>
          <w:szCs w:val="24"/>
          <w:lang w:val="sr-Cyrl-CS"/>
        </w:rPr>
      </w:pPr>
      <w:r w:rsidRPr="00092ED7">
        <w:rPr>
          <w:rFonts w:cs="Times New Roman"/>
          <w:b/>
          <w:szCs w:val="24"/>
          <w:lang w:val="sr-Cyrl-CS"/>
        </w:rPr>
        <w:t xml:space="preserve">Услед постојања високе енергетске интензивности неопходна је имплементација мера енергетске ефикасности и успостављање одрживог система финансирања. </w:t>
      </w:r>
      <w:r w:rsidRPr="00092ED7">
        <w:rPr>
          <w:rFonts w:cs="Times New Roman"/>
          <w:szCs w:val="24"/>
          <w:lang w:val="sr-Cyrl-CS"/>
        </w:rPr>
        <w:t xml:space="preserve">Енергетска интензивност у Републици Србији је четири пута већа од просека земаља </w:t>
      </w:r>
      <w:r w:rsidR="00192281" w:rsidRPr="00092ED7">
        <w:rPr>
          <w:szCs w:val="24"/>
          <w:lang w:val="sr-Cyrl-CS"/>
        </w:rPr>
        <w:t>OECD</w:t>
      </w:r>
      <w:r w:rsidRPr="00092ED7">
        <w:rPr>
          <w:rFonts w:cs="Times New Roman"/>
          <w:szCs w:val="24"/>
          <w:lang w:val="sr-Cyrl-CS"/>
        </w:rPr>
        <w:t>.</w:t>
      </w:r>
      <w:r w:rsidRPr="00092ED7">
        <w:rPr>
          <w:rFonts w:eastAsia="Calibri" w:cs="Times New Roman"/>
          <w:szCs w:val="24"/>
          <w:lang w:val="sr-Cyrl-CS"/>
        </w:rPr>
        <w:t xml:space="preserve"> </w:t>
      </w:r>
      <w:r w:rsidRPr="00092ED7">
        <w:rPr>
          <w:rFonts w:cs="Times New Roman"/>
          <w:szCs w:val="24"/>
          <w:lang w:val="sr-Cyrl-CS"/>
        </w:rPr>
        <w:t>Oко 34% од укупне потрошње енергије у домаћинствима утроши се у облику електричне енергије (у ЕУ око 25%)</w:t>
      </w:r>
      <w:r w:rsidRPr="00092ED7">
        <w:rPr>
          <w:rStyle w:val="FootnoteReference"/>
          <w:rFonts w:cs="Times New Roman"/>
          <w:szCs w:val="24"/>
          <w:lang w:val="sr-Cyrl-CS"/>
        </w:rPr>
        <w:footnoteReference w:id="82"/>
      </w:r>
      <w:r w:rsidRPr="00092ED7">
        <w:rPr>
          <w:rFonts w:cs="Times New Roman"/>
          <w:szCs w:val="24"/>
          <w:lang w:val="sr-Cyrl-CS"/>
        </w:rPr>
        <w:t>.</w:t>
      </w:r>
      <w:r w:rsidRPr="00092ED7">
        <w:rPr>
          <w:lang w:val="sr-Cyrl-CS"/>
        </w:rPr>
        <w:t xml:space="preserve"> </w:t>
      </w:r>
      <w:r w:rsidRPr="00092ED7">
        <w:rPr>
          <w:rFonts w:cs="Times New Roman"/>
          <w:szCs w:val="24"/>
          <w:lang w:val="sr-Cyrl-CS"/>
        </w:rPr>
        <w:t xml:space="preserve">Процењује се да је просечна потрошња топлотне </w:t>
      </w:r>
      <w:r w:rsidRPr="00092ED7">
        <w:rPr>
          <w:rFonts w:cs="Times New Roman"/>
          <w:szCs w:val="24"/>
          <w:lang w:val="sr-Cyrl-CS"/>
        </w:rPr>
        <w:lastRenderedPageBreak/>
        <w:t>енергије по метру квадратном у домаћинствима у Републици Србији 2,5 пута виша од просечне потрошње у ЕУ. Како би се смањила енергетска интензивност,</w:t>
      </w:r>
      <w:r w:rsidRPr="00092ED7">
        <w:rPr>
          <w:rFonts w:cs="Times New Roman"/>
          <w:i/>
          <w:szCs w:val="24"/>
          <w:lang w:val="sr-Cyrl-CS"/>
        </w:rPr>
        <w:t xml:space="preserve"> Уредбом о обвезницима система енергетског менаџмента</w:t>
      </w:r>
      <w:r w:rsidRPr="00092ED7">
        <w:rPr>
          <w:rFonts w:cs="Times New Roman"/>
          <w:szCs w:val="24"/>
          <w:lang w:val="sr-Cyrl-CS"/>
        </w:rPr>
        <w:t xml:space="preserve"> („Сл</w:t>
      </w:r>
      <w:r w:rsidR="00A734D0" w:rsidRPr="00092ED7">
        <w:rPr>
          <w:rFonts w:cs="Times New Roman"/>
          <w:szCs w:val="24"/>
          <w:lang w:val="sr-Cyrl-CS"/>
        </w:rPr>
        <w:t>ужбени</w:t>
      </w:r>
      <w:r w:rsidRPr="00092ED7">
        <w:rPr>
          <w:rFonts w:cs="Times New Roman"/>
          <w:szCs w:val="24"/>
          <w:lang w:val="sr-Cyrl-CS"/>
        </w:rPr>
        <w:t xml:space="preserve"> гласник РС</w:t>
      </w:r>
      <w:r w:rsidR="00A734D0" w:rsidRPr="00092ED7">
        <w:rPr>
          <w:rFonts w:cs="Times New Roman"/>
          <w:szCs w:val="24"/>
          <w:lang w:val="sr-Cyrl-CS"/>
        </w:rPr>
        <w:t>”</w:t>
      </w:r>
      <w:r w:rsidR="009C5AE4" w:rsidRPr="00092ED7">
        <w:rPr>
          <w:rFonts w:cs="Times New Roman"/>
          <w:szCs w:val="24"/>
          <w:lang w:val="sr-Cyrl-CS"/>
        </w:rPr>
        <w:t>, бр</w:t>
      </w:r>
      <w:r w:rsidR="00A734D0" w:rsidRPr="00092ED7">
        <w:rPr>
          <w:rFonts w:cs="Times New Roman"/>
          <w:szCs w:val="24"/>
          <w:lang w:val="sr-Cyrl-CS"/>
        </w:rPr>
        <w:t>ој</w:t>
      </w:r>
      <w:r w:rsidRPr="00092ED7">
        <w:rPr>
          <w:rFonts w:cs="Times New Roman"/>
          <w:szCs w:val="24"/>
          <w:lang w:val="sr-Cyrl-CS"/>
        </w:rPr>
        <w:t xml:space="preserve"> 59/22) утврђена је уштеда у текућој години на нивоу од 1% примарне енергије која је утрошена у претходној години. У наредном периоду ће се изградити и унапређивати капацитети </w:t>
      </w:r>
      <w:r w:rsidRPr="00092ED7">
        <w:rPr>
          <w:rFonts w:cs="Times New Roman"/>
          <w:i/>
          <w:szCs w:val="24"/>
          <w:lang w:val="sr-Cyrl-CS"/>
        </w:rPr>
        <w:t>Управе за финансирање и подстицање енергетске ефикасности</w:t>
      </w:r>
      <w:r w:rsidRPr="00092ED7">
        <w:rPr>
          <w:rFonts w:cs="Times New Roman"/>
          <w:szCs w:val="24"/>
          <w:lang w:val="sr-Cyrl-CS"/>
        </w:rPr>
        <w:t>.</w:t>
      </w:r>
    </w:p>
    <w:p w14:paraId="2D81B30A" w14:textId="0641862B" w:rsidR="00D210F0" w:rsidRPr="00092ED7" w:rsidRDefault="00D210F0" w:rsidP="00D210F0">
      <w:pPr>
        <w:spacing w:after="60"/>
        <w:rPr>
          <w:rFonts w:cs="Times New Roman"/>
          <w:szCs w:val="24"/>
          <w:lang w:val="sr-Cyrl-CS"/>
        </w:rPr>
      </w:pPr>
      <w:r w:rsidRPr="00092ED7">
        <w:rPr>
          <w:rFonts w:cs="Times New Roman"/>
          <w:szCs w:val="24"/>
          <w:lang w:val="sr-Cyrl-CS"/>
        </w:rPr>
        <w:t xml:space="preserve">Донета је </w:t>
      </w:r>
      <w:r w:rsidRPr="00092ED7">
        <w:rPr>
          <w:rFonts w:cs="Times New Roman"/>
          <w:i/>
          <w:szCs w:val="24"/>
          <w:lang w:val="sr-Cyrl-CS"/>
        </w:rPr>
        <w:t>Уредба о минималним захтевима енергетске ефикасности које морају да испуњавају нови и реконструисани енергетски објекти</w:t>
      </w:r>
      <w:r w:rsidR="009A4C22" w:rsidRPr="00092ED7">
        <w:rPr>
          <w:rFonts w:cs="Times New Roman"/>
          <w:szCs w:val="24"/>
          <w:lang w:val="sr-Cyrl-CS"/>
        </w:rPr>
        <w:t xml:space="preserve"> („Сл</w:t>
      </w:r>
      <w:r w:rsidR="00A734D0" w:rsidRPr="00092ED7">
        <w:rPr>
          <w:rFonts w:cs="Times New Roman"/>
          <w:szCs w:val="24"/>
          <w:lang w:val="sr-Cyrl-CS"/>
        </w:rPr>
        <w:t>ужбени</w:t>
      </w:r>
      <w:r w:rsidRPr="00092ED7">
        <w:rPr>
          <w:rFonts w:cs="Times New Roman"/>
          <w:szCs w:val="24"/>
          <w:lang w:val="sr-Cyrl-CS"/>
        </w:rPr>
        <w:t xml:space="preserve"> гласник РС</w:t>
      </w:r>
      <w:r w:rsidR="00A734D0" w:rsidRPr="00092ED7">
        <w:rPr>
          <w:rFonts w:cs="Times New Roman"/>
          <w:szCs w:val="24"/>
          <w:lang w:val="sr-Cyrl-CS"/>
        </w:rPr>
        <w:t>”</w:t>
      </w:r>
      <w:r w:rsidR="00E8000F" w:rsidRPr="00092ED7">
        <w:rPr>
          <w:rFonts w:cs="Times New Roman"/>
          <w:szCs w:val="24"/>
          <w:lang w:val="sr-Cyrl-CS"/>
        </w:rPr>
        <w:t>,</w:t>
      </w:r>
      <w:r w:rsidR="009A4C22" w:rsidRPr="00092ED7">
        <w:rPr>
          <w:rFonts w:cs="Times New Roman"/>
          <w:szCs w:val="24"/>
          <w:lang w:val="sr-Cyrl-CS"/>
        </w:rPr>
        <w:t xml:space="preserve"> бр</w:t>
      </w:r>
      <w:r w:rsidR="00A734D0" w:rsidRPr="00092ED7">
        <w:rPr>
          <w:rFonts w:cs="Times New Roman"/>
          <w:szCs w:val="24"/>
          <w:lang w:val="sr-Cyrl-CS"/>
        </w:rPr>
        <w:t>ој</w:t>
      </w:r>
      <w:r w:rsidRPr="00092ED7">
        <w:rPr>
          <w:rFonts w:cs="Times New Roman"/>
          <w:szCs w:val="24"/>
          <w:lang w:val="sr-Cyrl-CS"/>
        </w:rPr>
        <w:t xml:space="preserve"> 44/22)</w:t>
      </w:r>
      <w:r w:rsidR="00147385" w:rsidRPr="00092ED7">
        <w:rPr>
          <w:rFonts w:cs="Times New Roman"/>
          <w:szCs w:val="24"/>
          <w:lang w:val="sr-Cyrl-CS"/>
        </w:rPr>
        <w:t>,</w:t>
      </w:r>
      <w:r w:rsidRPr="00092ED7">
        <w:rPr>
          <w:rFonts w:cs="Times New Roman"/>
          <w:szCs w:val="24"/>
          <w:lang w:val="sr-Cyrl-CS"/>
        </w:rPr>
        <w:t xml:space="preserve"> како би се унапредила енергетска ефикасност објеката за производњу, пренос и дистрибуцију електричне и топлотне енергије. У протеклим деценијама, недовољна пажња је посвећивана енергетској ефикасности стамбених зграда и кућа (недостатак/неадекватност топлотне изолације на објектима, уграђивање дрвених прозора лошег квалитета, коришћење нестандардизованих, енергетски неефикасних и застарелих уређаја за грејање на угаљ/дрва), што представља један од узрока који могу довести до енергетског сиромаштва. Као последица тога, индивидуална потрошња енергије у домаћинствима има значајан удео у емисији штетних гасова одговорних за стварање ефекта стаклене баште. Примена мера које повећавају енергетску ефикасност у стамбеном сектору је кључни фактор за покретање енергетске транзиције, остваривање циљева енергетске политике и смањења енергетског сиромаштва. То захтева постављање топлотне изолације у стамбеним објектима, замену прозора и спољних врата у њима, замену котлова на угаљ котловима са енергетски ефикаснијим начином за загрејање и уградњу соларних колектора за загревање воде, као и постављање кровних соларних фотонапонских панела (PV). Започета је реализација пројекта доделе субвенција за уградњу соларних панела за производњу електричне енергије за сопствене потребе у којем </w:t>
      </w:r>
      <w:r w:rsidR="00045F19" w:rsidRPr="00092ED7">
        <w:rPr>
          <w:rFonts w:cs="Times New Roman"/>
          <w:szCs w:val="24"/>
          <w:lang w:val="sr-Cyrl-CS"/>
        </w:rPr>
        <w:t xml:space="preserve">је </w:t>
      </w:r>
      <w:r w:rsidRPr="00092ED7">
        <w:rPr>
          <w:rFonts w:cs="Times New Roman"/>
          <w:szCs w:val="24"/>
          <w:lang w:val="sr-Cyrl-CS"/>
        </w:rPr>
        <w:t>учеств</w:t>
      </w:r>
      <w:r w:rsidR="00045F19" w:rsidRPr="00092ED7">
        <w:rPr>
          <w:rFonts w:cs="Times New Roman"/>
          <w:szCs w:val="24"/>
          <w:lang w:val="sr-Cyrl-CS"/>
        </w:rPr>
        <w:t>овало</w:t>
      </w:r>
      <w:r w:rsidRPr="00092ED7">
        <w:rPr>
          <w:rFonts w:cs="Times New Roman"/>
          <w:szCs w:val="24"/>
          <w:lang w:val="sr-Cyrl-CS"/>
        </w:rPr>
        <w:t xml:space="preserve"> 37 ЈЛС у 2021. Очекивана уштеда енергије је 1.956.000 kWh годишње а смањење емисије CO</w:t>
      </w:r>
      <w:r w:rsidRPr="00092ED7">
        <w:rPr>
          <w:rFonts w:cs="Times New Roman"/>
          <w:szCs w:val="24"/>
          <w:vertAlign w:val="subscript"/>
          <w:lang w:val="sr-Cyrl-CS"/>
        </w:rPr>
        <w:t>2</w:t>
      </w:r>
      <w:r w:rsidRPr="00092ED7">
        <w:rPr>
          <w:rFonts w:cs="Times New Roman"/>
          <w:szCs w:val="24"/>
          <w:lang w:val="sr-Cyrl-CS"/>
        </w:rPr>
        <w:t xml:space="preserve"> 1.082,11 тона годишње. У пројекту повећања енергетске ефикасности кроз унапређење термичког омотача, унапређење термотехничких система и уградњу соларних колектора у инсталацију за централну припрему потрошне топле воде, учествовало је 67 ЈЛС и субвенције ће остварити око 4.200 домаћинстава. Очекује се уштеда енергије од 38.054.413 kWh годишње и смањење емисије CO</w:t>
      </w:r>
      <w:r w:rsidRPr="00092ED7">
        <w:rPr>
          <w:rFonts w:cs="Times New Roman"/>
          <w:szCs w:val="24"/>
          <w:vertAlign w:val="subscript"/>
          <w:lang w:val="sr-Cyrl-CS"/>
        </w:rPr>
        <w:t xml:space="preserve">2 </w:t>
      </w:r>
      <w:r w:rsidRPr="00092ED7">
        <w:rPr>
          <w:rFonts w:cs="Times New Roman"/>
          <w:szCs w:val="24"/>
          <w:lang w:val="sr-Cyrl-CS"/>
        </w:rPr>
        <w:t>12.452,20 тона годишње, што ће се одразити и на смањење рачуна за електричну енергију за 20-30% на нивоу домаћинства. У буџету за 2022. годину Управе</w:t>
      </w:r>
      <w:r w:rsidR="00AA5776" w:rsidRPr="00092ED7">
        <w:rPr>
          <w:rFonts w:cs="Times New Roman"/>
          <w:szCs w:val="24"/>
          <w:lang w:val="sr-Cyrl-CS"/>
        </w:rPr>
        <w:t xml:space="preserve"> </w:t>
      </w:r>
      <w:r w:rsidR="00C31648" w:rsidRPr="00092ED7">
        <w:rPr>
          <w:rFonts w:cs="Times New Roman"/>
          <w:szCs w:val="24"/>
          <w:lang w:val="sr-Cyrl-CS"/>
        </w:rPr>
        <w:t>за финансирање и подстицање енергетске ефикасности</w:t>
      </w:r>
      <w:r w:rsidRPr="00092ED7">
        <w:rPr>
          <w:rFonts w:cs="Times New Roman"/>
          <w:szCs w:val="24"/>
          <w:lang w:val="sr-Cyrl-CS"/>
        </w:rPr>
        <w:t xml:space="preserve"> обезбеђено је близу </w:t>
      </w:r>
      <w:r w:rsidR="00C31648" w:rsidRPr="00092ED7">
        <w:rPr>
          <w:rFonts w:cs="Times New Roman"/>
          <w:szCs w:val="24"/>
          <w:lang w:val="sr-Cyrl-CS"/>
        </w:rPr>
        <w:t xml:space="preserve">две </w:t>
      </w:r>
      <w:r w:rsidRPr="00092ED7">
        <w:rPr>
          <w:rFonts w:cs="Times New Roman"/>
          <w:szCs w:val="24"/>
          <w:lang w:val="sr-Cyrl-CS"/>
        </w:rPr>
        <w:t>милијарде динара за реализацију програма суфинансирања мера енергетске ефикасности.</w:t>
      </w:r>
      <w:r w:rsidR="00D222D1" w:rsidRPr="00092ED7">
        <w:rPr>
          <w:rFonts w:eastAsia="MS PGothic" w:cs="Times New Roman"/>
          <w:bCs/>
          <w:iCs/>
          <w:szCs w:val="24"/>
          <w:lang w:val="sr-Cyrl-CS" w:eastAsia="ja-JP"/>
        </w:rPr>
        <w:t xml:space="preserve"> Расположива средства из буџета за 2023. годину биће додатно увећана средствима зајма Светске банке и EBRD.</w:t>
      </w:r>
      <w:r w:rsidRPr="00092ED7">
        <w:rPr>
          <w:rFonts w:cs="Times New Roman"/>
          <w:szCs w:val="24"/>
          <w:lang w:val="sr-Cyrl-CS"/>
        </w:rPr>
        <w:t xml:space="preserve"> У марту 2022. године потписани су уговори са 151 ЈЛС за финансирање </w:t>
      </w:r>
      <w:r w:rsidRPr="00092ED7">
        <w:rPr>
          <w:rFonts w:cs="Times New Roman"/>
          <w:i/>
          <w:szCs w:val="24"/>
          <w:lang w:val="sr-Cyrl-CS"/>
        </w:rPr>
        <w:t>Програма енергетске санације стамбених зграда, породичних кућа и станова</w:t>
      </w:r>
      <w:r w:rsidRPr="00092ED7">
        <w:rPr>
          <w:rFonts w:cs="Times New Roman"/>
          <w:szCs w:val="24"/>
          <w:lang w:val="sr-Cyrl-CS"/>
        </w:rPr>
        <w:t xml:space="preserve"> који спроводе </w:t>
      </w:r>
      <w:r w:rsidR="00EB5D17" w:rsidRPr="00092ED7">
        <w:rPr>
          <w:rFonts w:cs="Times New Roman"/>
          <w:szCs w:val="24"/>
          <w:lang w:val="sr-Cyrl-CS"/>
        </w:rPr>
        <w:t>ЈЛС</w:t>
      </w:r>
      <w:r w:rsidRPr="00092ED7">
        <w:rPr>
          <w:rFonts w:cs="Times New Roman"/>
          <w:szCs w:val="24"/>
          <w:lang w:val="sr-Cyrl-CS"/>
        </w:rPr>
        <w:t xml:space="preserve"> као и градске општине, где се очекује да ће субвенције остварити око 20.000 домаћинстава. Очекивана уштеда енергије је око 196.276.070 kWh годишње а смањење емисије CO</w:t>
      </w:r>
      <w:r w:rsidRPr="00092ED7">
        <w:rPr>
          <w:rFonts w:cs="Times New Roman"/>
          <w:szCs w:val="24"/>
          <w:vertAlign w:val="subscript"/>
          <w:lang w:val="sr-Cyrl-CS"/>
        </w:rPr>
        <w:t>2</w:t>
      </w:r>
      <w:r w:rsidRPr="00092ED7">
        <w:rPr>
          <w:rFonts w:cs="Times New Roman"/>
          <w:szCs w:val="24"/>
          <w:lang w:val="sr-Cyrl-CS"/>
        </w:rPr>
        <w:t xml:space="preserve"> 87.913 тона годишње. Модел суфинансирања мера енергетске санације јесте да М</w:t>
      </w:r>
      <w:r w:rsidR="00045F19" w:rsidRPr="00092ED7">
        <w:rPr>
          <w:rFonts w:cs="Times New Roman"/>
          <w:szCs w:val="24"/>
          <w:lang w:val="sr-Cyrl-CS"/>
        </w:rPr>
        <w:t>инистарство рударства и енергетике</w:t>
      </w:r>
      <w:r w:rsidRPr="00092ED7">
        <w:rPr>
          <w:rFonts w:cs="Times New Roman"/>
          <w:szCs w:val="24"/>
          <w:lang w:val="sr-Cyrl-CS"/>
        </w:rPr>
        <w:t>/Управа</w:t>
      </w:r>
      <w:r w:rsidR="00C31648" w:rsidRPr="00092ED7">
        <w:rPr>
          <w:rFonts w:cs="Times New Roman"/>
          <w:szCs w:val="24"/>
          <w:lang w:val="sr-Cyrl-CS"/>
        </w:rPr>
        <w:t xml:space="preserve"> </w:t>
      </w:r>
      <w:r w:rsidR="00045F19" w:rsidRPr="00092ED7">
        <w:rPr>
          <w:rFonts w:cs="Times New Roman"/>
          <w:bCs/>
          <w:iCs/>
          <w:szCs w:val="24"/>
          <w:lang w:val="sr-Cyrl-CS"/>
        </w:rPr>
        <w:t>за финансирање и подстицање енергетске ефикасности</w:t>
      </w:r>
      <w:r w:rsidRPr="00092ED7">
        <w:rPr>
          <w:rFonts w:cs="Times New Roman"/>
          <w:szCs w:val="24"/>
          <w:lang w:val="sr-Cyrl-CS"/>
        </w:rPr>
        <w:t xml:space="preserve"> и ЈЛС обезбеђују до максимално 50% средстава (М</w:t>
      </w:r>
      <w:r w:rsidR="00045F19" w:rsidRPr="00092ED7">
        <w:rPr>
          <w:rFonts w:cs="Times New Roman"/>
          <w:szCs w:val="24"/>
          <w:lang w:val="sr-Cyrl-CS"/>
        </w:rPr>
        <w:t>инистарство рударства и енергетике</w:t>
      </w:r>
      <w:r w:rsidRPr="00092ED7">
        <w:rPr>
          <w:rFonts w:cs="Times New Roman"/>
          <w:szCs w:val="24"/>
          <w:lang w:val="sr-Cyrl-CS"/>
        </w:rPr>
        <w:t xml:space="preserve"> 25%, ЈЛС 25%), док грађани учествују са другом половином. У јулу 2022. године потписани су уговори са 38 ЈЛС ради финансирања пројеката унапређења енергетске ефикасности у објектима од јавног значаја у </w:t>
      </w:r>
      <w:r w:rsidR="00A03723" w:rsidRPr="00092ED7">
        <w:rPr>
          <w:rFonts w:cs="Times New Roman"/>
          <w:szCs w:val="24"/>
          <w:lang w:val="sr-Cyrl-CS"/>
        </w:rPr>
        <w:t>ЈЛС</w:t>
      </w:r>
      <w:r w:rsidRPr="00092ED7">
        <w:rPr>
          <w:rFonts w:cs="Times New Roman"/>
          <w:szCs w:val="24"/>
          <w:lang w:val="sr-Cyrl-CS"/>
        </w:rPr>
        <w:t>, као и градским општинама. Модел по којем се реализује овај програм је: максималан износ средстава који додељује Управа</w:t>
      </w:r>
      <w:r w:rsidR="00C31648" w:rsidRPr="00092ED7">
        <w:rPr>
          <w:rFonts w:cs="Times New Roman"/>
          <w:szCs w:val="24"/>
          <w:lang w:val="sr-Cyrl-CS"/>
        </w:rPr>
        <w:t xml:space="preserve"> </w:t>
      </w:r>
      <w:r w:rsidR="00045F19" w:rsidRPr="00092ED7">
        <w:rPr>
          <w:rFonts w:cs="Times New Roman"/>
          <w:bCs/>
          <w:iCs/>
          <w:szCs w:val="24"/>
          <w:lang w:val="sr-Cyrl-CS"/>
        </w:rPr>
        <w:t>за финансирање и подстицање енергетске ефикасности</w:t>
      </w:r>
      <w:r w:rsidRPr="00092ED7">
        <w:rPr>
          <w:rFonts w:cs="Times New Roman"/>
          <w:szCs w:val="24"/>
          <w:lang w:val="sr-Cyrl-CS"/>
        </w:rPr>
        <w:t xml:space="preserve">је 30 милиона динара, а максимално 70% износа укупне вредности пројекта; девастиране ЈЛС су имале могућност да добију 100% средстава, а максимално 30 милиона динара; за меру модернизације јавног осветљења, максимално </w:t>
      </w:r>
      <w:r w:rsidRPr="00092ED7">
        <w:rPr>
          <w:rFonts w:cs="Times New Roman"/>
          <w:szCs w:val="24"/>
          <w:lang w:val="sr-Cyrl-CS"/>
        </w:rPr>
        <w:lastRenderedPageBreak/>
        <w:t>учешће Управе</w:t>
      </w:r>
      <w:r w:rsidR="00C31648" w:rsidRPr="00092ED7">
        <w:rPr>
          <w:rFonts w:cs="Times New Roman"/>
          <w:szCs w:val="24"/>
          <w:lang w:val="sr-Cyrl-CS"/>
        </w:rPr>
        <w:t xml:space="preserve"> </w:t>
      </w:r>
      <w:r w:rsidR="00045F19" w:rsidRPr="00092ED7">
        <w:rPr>
          <w:rFonts w:cs="Times New Roman"/>
          <w:bCs/>
          <w:iCs/>
          <w:szCs w:val="24"/>
          <w:lang w:val="sr-Cyrl-CS"/>
        </w:rPr>
        <w:t>за финансирање и подстицање енергетске ефикасности</w:t>
      </w:r>
      <w:r w:rsidRPr="00092ED7">
        <w:rPr>
          <w:rFonts w:cs="Times New Roman"/>
          <w:szCs w:val="24"/>
          <w:lang w:val="sr-Cyrl-CS"/>
        </w:rPr>
        <w:t xml:space="preserve"> је 20%, а максимално 4.500.000,00 динара. Процена је да ће реализацијом ових пројеката уштеде бити око 9 милиона kWh на годишњем нивоу, а смањење емисије CO</w:t>
      </w:r>
      <w:r w:rsidRPr="00092ED7">
        <w:rPr>
          <w:rFonts w:cs="Times New Roman"/>
          <w:szCs w:val="24"/>
          <w:vertAlign w:val="subscript"/>
          <w:lang w:val="sr-Cyrl-CS"/>
        </w:rPr>
        <w:t>2</w:t>
      </w:r>
      <w:r w:rsidRPr="00092ED7">
        <w:rPr>
          <w:rFonts w:cs="Times New Roman"/>
          <w:szCs w:val="24"/>
          <w:lang w:val="sr-Cyrl-CS"/>
        </w:rPr>
        <w:t xml:space="preserve"> око 4.500 тона годишње.</w:t>
      </w:r>
    </w:p>
    <w:p w14:paraId="63BE43FF" w14:textId="5E929938" w:rsidR="00D210F0" w:rsidRPr="00092ED7" w:rsidRDefault="00D210F0" w:rsidP="00D210F0">
      <w:pPr>
        <w:spacing w:after="60"/>
        <w:rPr>
          <w:rFonts w:cs="Times New Roman"/>
          <w:szCs w:val="24"/>
          <w:lang w:val="sr-Cyrl-CS"/>
        </w:rPr>
      </w:pPr>
      <w:r w:rsidRPr="00092ED7">
        <w:rPr>
          <w:rFonts w:cs="Times New Roman"/>
          <w:szCs w:val="24"/>
          <w:lang w:val="sr-Cyrl-CS"/>
        </w:rPr>
        <w:t>Кроз реализацију пројекта ,,Чиста енергија и енергетска ефикасност за грађане у Србији</w:t>
      </w:r>
      <w:r w:rsidR="004E5581" w:rsidRPr="00092ED7">
        <w:rPr>
          <w:rFonts w:cs="Times New Roman"/>
          <w:szCs w:val="24"/>
          <w:lang w:val="sr-Cyrl-CS"/>
        </w:rPr>
        <w:t>”</w:t>
      </w:r>
      <w:r w:rsidRPr="00092ED7">
        <w:rPr>
          <w:rFonts w:cs="Times New Roman"/>
          <w:szCs w:val="24"/>
          <w:lang w:val="sr-Cyrl-CS"/>
        </w:rPr>
        <w:t xml:space="preserve"> предвиђена је уштеда енергије од око 5,5 TWh уз очекивано учешће око 25.000 домаћинстава, од чега око 2.500 социјално угрожених домаћинстава и око 3.000 домаћинстава која ће са грејања на чврста горива прећи на други вид грејања. Осим тога, програм предвиђа уградњу кровних соларних панела у домаћинствима капацитета око 4 MW.</w:t>
      </w:r>
    </w:p>
    <w:p w14:paraId="154384C7" w14:textId="0CD78CC4" w:rsidR="00D210F0" w:rsidRPr="00092ED7" w:rsidRDefault="00D210F0" w:rsidP="005D14E2">
      <w:pPr>
        <w:spacing w:after="60"/>
        <w:rPr>
          <w:rFonts w:cs="Times New Roman"/>
          <w:szCs w:val="24"/>
          <w:lang w:val="sr-Cyrl-CS"/>
        </w:rPr>
      </w:pPr>
      <w:r w:rsidRPr="00092ED7">
        <w:rPr>
          <w:rFonts w:cs="Times New Roman"/>
          <w:b/>
          <w:szCs w:val="24"/>
          <w:lang w:val="sr-Cyrl-CS"/>
        </w:rPr>
        <w:t xml:space="preserve">Потребна је изградња нових производних капацитета уз прелазак на коришћење обновљивих извора енергије. </w:t>
      </w:r>
      <w:r w:rsidRPr="00092ED7">
        <w:rPr>
          <w:rFonts w:cs="Times New Roman"/>
          <w:szCs w:val="24"/>
          <w:lang w:val="sr-Cyrl-CS"/>
        </w:rPr>
        <w:t>Присутан је раст учешћа обновљивих извора у бруто финалној потрошњи енергије на нивоу од 26,3% у 2020. (21,4% у 2019.)</w:t>
      </w:r>
      <w:r w:rsidRPr="00092ED7">
        <w:rPr>
          <w:rStyle w:val="FootnoteReference"/>
          <w:rFonts w:cs="Times New Roman"/>
          <w:szCs w:val="24"/>
          <w:lang w:val="sr-Cyrl-CS"/>
        </w:rPr>
        <w:footnoteReference w:id="83"/>
      </w:r>
      <w:r w:rsidRPr="00092ED7">
        <w:rPr>
          <w:rFonts w:cs="Times New Roman"/>
          <w:szCs w:val="24"/>
          <w:lang w:val="sr-Cyrl-CS"/>
        </w:rPr>
        <w:t xml:space="preserve">. Производни капацитети електроенергетског сектора су просечне старости преко 30 година, што ограничава развој овог сектора, тржишта енергије и умањује степен регионалног повезивања. Домаћа тражња за електричном енергијом је у порасту што указује на неопходност изградње нових инфраструктурних капацитета. Удео производње из обновљивих извора у укупној производњи електричне енергије износио је </w:t>
      </w:r>
      <w:r w:rsidR="00BA2C80" w:rsidRPr="00092ED7">
        <w:rPr>
          <w:rFonts w:cs="Times New Roman"/>
          <w:szCs w:val="24"/>
          <w:lang w:val="sr-Cyrl-CS"/>
        </w:rPr>
        <w:t>30,70</w:t>
      </w:r>
      <w:r w:rsidRPr="00092ED7">
        <w:rPr>
          <w:rFonts w:cs="Times New Roman"/>
          <w:szCs w:val="24"/>
          <w:lang w:val="sr-Cyrl-CS"/>
        </w:rPr>
        <w:t xml:space="preserve">% у </w:t>
      </w:r>
      <w:r w:rsidR="00BA2C80" w:rsidRPr="00092ED7">
        <w:rPr>
          <w:rFonts w:cs="Times New Roman"/>
          <w:szCs w:val="24"/>
          <w:lang w:val="sr-Cyrl-CS"/>
        </w:rPr>
        <w:t>2020</w:t>
      </w:r>
      <w:r w:rsidRPr="00092ED7">
        <w:rPr>
          <w:rFonts w:cs="Times New Roman"/>
          <w:szCs w:val="24"/>
          <w:lang w:val="sr-Cyrl-CS"/>
        </w:rPr>
        <w:t>. години (</w:t>
      </w:r>
      <w:r w:rsidR="00BA2C80" w:rsidRPr="00092ED7">
        <w:rPr>
          <w:rFonts w:cs="Times New Roman"/>
          <w:szCs w:val="24"/>
          <w:lang w:val="sr-Cyrl-CS"/>
        </w:rPr>
        <w:t>30.11</w:t>
      </w:r>
      <w:r w:rsidRPr="00092ED7">
        <w:rPr>
          <w:rFonts w:cs="Times New Roman"/>
          <w:szCs w:val="24"/>
          <w:lang w:val="sr-Cyrl-CS"/>
        </w:rPr>
        <w:t xml:space="preserve">% у 2019). Изградњом две реверзибилне </w:t>
      </w:r>
      <w:r w:rsidR="00C31648" w:rsidRPr="00092ED7">
        <w:rPr>
          <w:rFonts w:cs="Times New Roman"/>
          <w:szCs w:val="24"/>
          <w:lang w:val="sr-Cyrl-CS"/>
        </w:rPr>
        <w:t>хидроелектране</w:t>
      </w:r>
      <w:r w:rsidRPr="00092ED7">
        <w:rPr>
          <w:rFonts w:cs="Times New Roman"/>
          <w:szCs w:val="24"/>
          <w:lang w:val="sr-Cyrl-CS"/>
        </w:rPr>
        <w:t xml:space="preserve"> („Бистрица</w:t>
      </w:r>
      <w:r w:rsidR="00DE5AF3" w:rsidRPr="00092ED7">
        <w:rPr>
          <w:rFonts w:cs="Times New Roman"/>
          <w:szCs w:val="24"/>
          <w:lang w:val="sr-Cyrl-CS"/>
        </w:rPr>
        <w:t>”</w:t>
      </w:r>
      <w:r w:rsidRPr="00092ED7">
        <w:rPr>
          <w:rFonts w:cs="Times New Roman"/>
          <w:szCs w:val="24"/>
          <w:lang w:val="sr-Cyrl-CS"/>
        </w:rPr>
        <w:t xml:space="preserve"> снаге 628 MW и „Ђердап 3</w:t>
      </w:r>
      <w:r w:rsidR="00DE5AF3" w:rsidRPr="00092ED7">
        <w:rPr>
          <w:rFonts w:cs="Times New Roman"/>
          <w:szCs w:val="24"/>
          <w:lang w:val="sr-Cyrl-CS"/>
        </w:rPr>
        <w:t>”</w:t>
      </w:r>
      <w:r w:rsidRPr="00092ED7">
        <w:rPr>
          <w:rFonts w:cs="Times New Roman"/>
          <w:szCs w:val="24"/>
          <w:lang w:val="sr-Cyrl-CS"/>
        </w:rPr>
        <w:t xml:space="preserve"> снаге 2.400 MW) у наредном периоду, поред повећања произведене енергије, створиће се услови за интеграцију нових капацитета из ОИЕ веће инсталиране снаге. Пуштена је у рад термоелектрана-топлана (ТЕ-ТО) Панчево снаге 200 MW, прва високоефикасна топлана у </w:t>
      </w:r>
      <w:r w:rsidR="00C31648" w:rsidRPr="00092ED7">
        <w:rPr>
          <w:rFonts w:cs="Times New Roman"/>
          <w:szCs w:val="24"/>
          <w:lang w:val="sr-Cyrl-CS"/>
        </w:rPr>
        <w:t xml:space="preserve">Републици </w:t>
      </w:r>
      <w:r w:rsidRPr="00092ED7">
        <w:rPr>
          <w:rFonts w:cs="Times New Roman"/>
          <w:szCs w:val="24"/>
          <w:lang w:val="sr-Cyrl-CS"/>
        </w:rPr>
        <w:t>Србији и региону, која ће користити природни гас као гориво за производњу електричне и топлотне енергије. Настављена је изградња новог блока Б3 у ТЕ „Костолац Б</w:t>
      </w:r>
      <w:r w:rsidR="00DE5AF3" w:rsidRPr="00092ED7">
        <w:rPr>
          <w:rFonts w:cs="Times New Roman"/>
          <w:szCs w:val="24"/>
          <w:lang w:val="sr-Cyrl-CS"/>
        </w:rPr>
        <w:t>”</w:t>
      </w:r>
      <w:r w:rsidRPr="00092ED7">
        <w:rPr>
          <w:rFonts w:cs="Times New Roman"/>
          <w:szCs w:val="24"/>
          <w:lang w:val="sr-Cyrl-CS"/>
        </w:rPr>
        <w:t>снаге 350 MW.</w:t>
      </w:r>
    </w:p>
    <w:p w14:paraId="5A49726D" w14:textId="29A7E1E6" w:rsidR="00D210F0" w:rsidRPr="00092ED7" w:rsidRDefault="00D210F0" w:rsidP="005D14E2">
      <w:pPr>
        <w:spacing w:after="60"/>
        <w:rPr>
          <w:rFonts w:cs="Times New Roman"/>
          <w:szCs w:val="24"/>
          <w:lang w:val="sr-Cyrl-CS"/>
        </w:rPr>
      </w:pPr>
      <w:r w:rsidRPr="00092ED7">
        <w:rPr>
          <w:rFonts w:cs="Times New Roman"/>
          <w:szCs w:val="24"/>
          <w:lang w:val="sr-Cyrl-CS"/>
        </w:rPr>
        <w:t xml:space="preserve">До сада је изграђено укупно девет ветроелектранa укупне снаге око </w:t>
      </w:r>
      <w:r w:rsidR="00BA2C80" w:rsidRPr="00092ED7">
        <w:rPr>
          <w:rFonts w:cs="Times New Roman"/>
          <w:szCs w:val="24"/>
          <w:lang w:val="sr-Cyrl-CS"/>
        </w:rPr>
        <w:t xml:space="preserve">400 </w:t>
      </w:r>
      <w:r w:rsidRPr="00092ED7">
        <w:rPr>
          <w:rFonts w:cs="Times New Roman"/>
          <w:szCs w:val="24"/>
          <w:lang w:val="sr-Cyrl-CS"/>
        </w:rPr>
        <w:t>MW. Започета је изградња ветропарка ,,Кула 2</w:t>
      </w:r>
      <w:r w:rsidR="00DE5AF3" w:rsidRPr="00092ED7">
        <w:rPr>
          <w:rFonts w:cs="Times New Roman"/>
          <w:szCs w:val="24"/>
          <w:lang w:val="sr-Cyrl-CS"/>
        </w:rPr>
        <w:t>”</w:t>
      </w:r>
      <w:r w:rsidRPr="00092ED7">
        <w:rPr>
          <w:rFonts w:cs="Times New Roman"/>
          <w:szCs w:val="24"/>
          <w:lang w:val="sr-Cyrl-CS"/>
        </w:rPr>
        <w:t xml:space="preserve"> капацитета 10 MW. Планиран је почетак радова на изградњи ветропарка Пупин снаге 95,5 MW и  ветроелектране Црни врх снаге 150 MW. Отпочели су радови на изградњи ветроелектране у Костолцу укупне снаге 66 MW чији је инвеститор ЈП ЕПС. Настављени су радови на изградњи биогасних електрана, што ће обезбедити </w:t>
      </w:r>
      <w:r w:rsidR="00BA2C80" w:rsidRPr="00092ED7">
        <w:rPr>
          <w:rFonts w:cs="Times New Roman"/>
          <w:szCs w:val="24"/>
          <w:lang w:val="sr-Cyrl-CS"/>
        </w:rPr>
        <w:t xml:space="preserve">приближно 75 </w:t>
      </w:r>
      <w:r w:rsidRPr="00092ED7">
        <w:rPr>
          <w:rFonts w:cs="Times New Roman"/>
          <w:szCs w:val="24"/>
          <w:lang w:val="sr-Cyrl-CS"/>
        </w:rPr>
        <w:t>МW инсталисаних капацитета. Изграђене су нове топлане на биомасу у Прибоју и Малом Зворнику, у току су радови у Новом Пазару и очекује се почетак радова у Мајданпеку.</w:t>
      </w:r>
    </w:p>
    <w:p w14:paraId="4EB798E9" w14:textId="0E8BF633" w:rsidR="00D210F0" w:rsidRPr="00092ED7" w:rsidRDefault="00D210F0" w:rsidP="005D14E2">
      <w:pPr>
        <w:spacing w:after="60"/>
        <w:rPr>
          <w:rFonts w:eastAsia="Calibri" w:cs="Times New Roman"/>
          <w:szCs w:val="24"/>
          <w:lang w:val="sr-Cyrl-CS"/>
        </w:rPr>
      </w:pPr>
      <w:r w:rsidRPr="00092ED7">
        <w:rPr>
          <w:rFonts w:cs="Times New Roman"/>
          <w:szCs w:val="24"/>
          <w:lang w:val="sr-Cyrl-CS"/>
        </w:rPr>
        <w:t xml:space="preserve">Настављена је реализација пројекта рехабилитације система даљинског грејања који се реализује заједно са немачком развојном банком KfW. Спроводи се рехабилитација и модернизација постојећих топлана у циљу преласка на даљинско грејање и веће употребе ОИЕ. Пројекат </w:t>
      </w:r>
      <w:r w:rsidR="00A11618" w:rsidRPr="00092ED7">
        <w:rPr>
          <w:rFonts w:cs="Times New Roman"/>
          <w:szCs w:val="24"/>
          <w:lang w:val="sr-Cyrl-CS"/>
        </w:rPr>
        <w:t xml:space="preserve">укупне вредности 32 милиона евра </w:t>
      </w:r>
      <w:r w:rsidRPr="00092ED7">
        <w:rPr>
          <w:rFonts w:cs="Times New Roman"/>
          <w:szCs w:val="24"/>
          <w:lang w:val="sr-Cyrl-CS"/>
        </w:rPr>
        <w:t xml:space="preserve">се реализује у </w:t>
      </w:r>
      <w:r w:rsidR="00BA2C80" w:rsidRPr="00092ED7">
        <w:rPr>
          <w:rFonts w:cs="Times New Roman"/>
          <w:szCs w:val="24"/>
          <w:lang w:val="sr-Cyrl-CS"/>
        </w:rPr>
        <w:t xml:space="preserve">седам </w:t>
      </w:r>
      <w:r w:rsidRPr="00092ED7">
        <w:rPr>
          <w:rFonts w:cs="Times New Roman"/>
          <w:szCs w:val="24"/>
          <w:lang w:val="sr-Cyrl-CS"/>
        </w:rPr>
        <w:t>градова.</w:t>
      </w:r>
      <w:r w:rsidRPr="00092ED7">
        <w:rPr>
          <w:rFonts w:eastAsia="Calibri" w:cs="Times New Roman"/>
          <w:szCs w:val="24"/>
          <w:lang w:val="sr-Cyrl-CS"/>
        </w:rPr>
        <w:t xml:space="preserve"> </w:t>
      </w:r>
    </w:p>
    <w:p w14:paraId="74721043" w14:textId="2891FC0A" w:rsidR="00D210F0" w:rsidRPr="00092ED7" w:rsidRDefault="00D210F0" w:rsidP="00D210F0">
      <w:pPr>
        <w:spacing w:after="60"/>
        <w:rPr>
          <w:rFonts w:eastAsia="Calibri" w:cs="Times New Roman"/>
          <w:b/>
          <w:szCs w:val="24"/>
          <w:lang w:val="sr-Cyrl-CS"/>
        </w:rPr>
      </w:pPr>
      <w:r w:rsidRPr="00092ED7">
        <w:rPr>
          <w:rFonts w:eastAsia="Calibri" w:cs="Times New Roman"/>
          <w:szCs w:val="24"/>
          <w:lang w:val="sr-Cyrl-CS"/>
        </w:rPr>
        <w:t>Државни пројекти соларних електрана реализовали би се на државном земљишту где доминира више од 200.000 хектара упарложеног пољопривредног земљишта на коме је могућа градња око 2.000 MW соларних електрана (у оквиру овог плана потписан је Споразум о сарадњи са компанијом UGT Renewables LLC, са којом се преговара о изградњи соларних панела укупне снаге око 1.000 MW, на површини од око 2.000 хектара и десетак локација широм Републике Србије, чиме би се добио додатни капацитет од једног гигавата електричне енергије и смањила емисија угљен-диоксида за 1,9 мил</w:t>
      </w:r>
      <w:r w:rsidR="00A2596A" w:rsidRPr="00092ED7">
        <w:rPr>
          <w:rFonts w:eastAsia="Calibri" w:cs="Times New Roman"/>
          <w:szCs w:val="24"/>
          <w:lang w:val="sr-Cyrl-CS"/>
        </w:rPr>
        <w:t>иона</w:t>
      </w:r>
      <w:r w:rsidRPr="00092ED7">
        <w:rPr>
          <w:rFonts w:eastAsia="Calibri" w:cs="Times New Roman"/>
          <w:szCs w:val="24"/>
          <w:lang w:val="sr-Cyrl-CS"/>
        </w:rPr>
        <w:t xml:space="preserve"> тона годишње). На земљишту које припада ЈП ЕПС (депоније термоелектрана) могућа је изградња око 400 MW соларних електрана укупне вредности око 300 милиона евра и додатна изградња соларних електрана на одлагалиштима </w:t>
      </w:r>
      <w:r w:rsidRPr="00092ED7">
        <w:rPr>
          <w:rFonts w:eastAsia="Calibri" w:cs="Times New Roman"/>
          <w:szCs w:val="24"/>
          <w:lang w:val="sr-Cyrl-CS"/>
        </w:rPr>
        <w:lastRenderedPageBreak/>
        <w:t>површинских копова (процене у току). У оквиру реализације државног пројекта промовисања новог института купац-произвођач, извршена је процена укупне површине кровова у Републици Србији која износи око 600 km</w:t>
      </w:r>
      <w:r w:rsidRPr="00092ED7">
        <w:rPr>
          <w:rFonts w:eastAsia="Calibri" w:cs="Times New Roman"/>
          <w:szCs w:val="24"/>
          <w:vertAlign w:val="superscript"/>
          <w:lang w:val="sr-Cyrl-CS"/>
        </w:rPr>
        <w:t>2</w:t>
      </w:r>
      <w:r w:rsidRPr="00092ED7">
        <w:rPr>
          <w:rFonts w:eastAsia="Calibri" w:cs="Times New Roman"/>
          <w:szCs w:val="24"/>
          <w:lang w:val="sr-Cyrl-CS"/>
        </w:rPr>
        <w:t xml:space="preserve">. Постављање кровних соларних панела на 10% ове површине обезбедило би инсталисану снагу од 6.000 MW (70% укупно инсталисане снаге данас), односно годишњу производњу од 7 ТWh (око 20% укупне актуелне годишње производње). </w:t>
      </w:r>
      <w:r w:rsidRPr="00092ED7">
        <w:rPr>
          <w:rFonts w:cs="Times New Roman"/>
          <w:szCs w:val="24"/>
          <w:lang w:val="sr-Cyrl-CS"/>
        </w:rPr>
        <w:t>Домаћинствима која су стекла статус купац-произвођач (</w:t>
      </w:r>
      <w:r w:rsidRPr="00092ED7">
        <w:rPr>
          <w:rFonts w:cs="Times New Roman"/>
          <w:i/>
          <w:szCs w:val="24"/>
          <w:lang w:val="sr-Cyrl-CS"/>
        </w:rPr>
        <w:t>prosumer</w:t>
      </w:r>
      <w:r w:rsidRPr="00092ED7">
        <w:rPr>
          <w:rFonts w:cs="Times New Roman"/>
          <w:szCs w:val="24"/>
          <w:lang w:val="sr-Cyrl-CS"/>
        </w:rPr>
        <w:t>) која производе електричну енергију за сопствену потрошњу помоћу соларних панела, омогућено је да вишак произведене енергије током лета „складиште</w:t>
      </w:r>
      <w:r w:rsidR="005C7C81" w:rsidRPr="00092ED7">
        <w:rPr>
          <w:rFonts w:cs="Times New Roman"/>
          <w:szCs w:val="24"/>
          <w:lang w:val="sr-Cyrl-CS"/>
        </w:rPr>
        <w:t>”</w:t>
      </w:r>
      <w:r w:rsidRPr="00092ED7">
        <w:rPr>
          <w:rFonts w:cs="Times New Roman"/>
          <w:szCs w:val="24"/>
          <w:lang w:val="sr-Cyrl-CS"/>
        </w:rPr>
        <w:t xml:space="preserve"> у електроенергетској мрежи</w:t>
      </w:r>
      <w:r w:rsidRPr="00092ED7">
        <w:rPr>
          <w:rStyle w:val="FootnoteReference"/>
          <w:rFonts w:cs="Times New Roman"/>
          <w:szCs w:val="24"/>
          <w:lang w:val="sr-Cyrl-CS"/>
        </w:rPr>
        <w:footnoteReference w:id="84"/>
      </w:r>
      <w:r w:rsidRPr="00092ED7">
        <w:rPr>
          <w:rFonts w:cs="Times New Roman"/>
          <w:szCs w:val="24"/>
          <w:lang w:val="sr-Cyrl-CS"/>
        </w:rPr>
        <w:t>, а да тај вишак током зиме повлаче када је производња производног објекта мања.</w:t>
      </w:r>
    </w:p>
    <w:p w14:paraId="56E6D093" w14:textId="77777777" w:rsidR="00D210F0" w:rsidRPr="00092ED7" w:rsidRDefault="00D210F0" w:rsidP="00D210F0">
      <w:pPr>
        <w:spacing w:after="60"/>
        <w:rPr>
          <w:rFonts w:cs="Times New Roman"/>
          <w:szCs w:val="24"/>
          <w:lang w:val="sr-Cyrl-CS"/>
        </w:rPr>
      </w:pPr>
      <w:r w:rsidRPr="00092ED7">
        <w:rPr>
          <w:rFonts w:cs="Times New Roman"/>
          <w:b/>
          <w:szCs w:val="24"/>
          <w:lang w:val="sr-Cyrl-CS"/>
        </w:rPr>
        <w:t>Инсталирање савремене опреме и увођење савременог управљачког и надзорног система су неопходни како би се унапредила дистрибутивна мрежа енергената.</w:t>
      </w:r>
      <w:r w:rsidRPr="00092ED7">
        <w:rPr>
          <w:rFonts w:cs="Times New Roman"/>
          <w:szCs w:val="24"/>
          <w:lang w:val="sr-Cyrl-CS"/>
        </w:rPr>
        <w:t xml:space="preserve"> Потребна су додатна улагања у дистрибутивни систем (модернизацију нисконапонске мреже) како би се обезбедило поуздано снабдевање електричном енергијом и смањили губици на мрежи. Укупни губици у преносу и дистрибуцији електричне енергије у односу на бруто потрошњу електричне енергије износе 12,7% у 2021. (13% у 2020. години)</w:t>
      </w:r>
      <w:r w:rsidRPr="00092ED7">
        <w:rPr>
          <w:rFonts w:cs="Times New Roman"/>
          <w:szCs w:val="24"/>
          <w:vertAlign w:val="superscript"/>
          <w:lang w:val="sr-Cyrl-CS"/>
        </w:rPr>
        <w:t xml:space="preserve"> </w:t>
      </w:r>
      <w:r w:rsidRPr="00092ED7">
        <w:rPr>
          <w:rFonts w:cs="Times New Roman"/>
          <w:szCs w:val="24"/>
          <w:vertAlign w:val="superscript"/>
          <w:lang w:val="sr-Cyrl-CS"/>
        </w:rPr>
        <w:footnoteReference w:id="85"/>
      </w:r>
      <w:r w:rsidRPr="00092ED7">
        <w:rPr>
          <w:rFonts w:cs="Times New Roman"/>
          <w:szCs w:val="24"/>
          <w:vertAlign w:val="superscript"/>
          <w:lang w:val="sr-Cyrl-CS"/>
        </w:rPr>
        <w:t xml:space="preserve"> </w:t>
      </w:r>
      <w:r w:rsidRPr="00092ED7">
        <w:rPr>
          <w:rFonts w:cs="Times New Roman"/>
          <w:szCs w:val="24"/>
          <w:lang w:val="sr-Cyrl-CS"/>
        </w:rPr>
        <w:t>и коштају годишње око 200 мил</w:t>
      </w:r>
      <w:r w:rsidR="00192281" w:rsidRPr="00092ED7">
        <w:rPr>
          <w:rFonts w:cs="Times New Roman"/>
          <w:szCs w:val="24"/>
          <w:lang w:val="sr-Cyrl-CS"/>
        </w:rPr>
        <w:t>иона</w:t>
      </w:r>
      <w:r w:rsidRPr="00092ED7">
        <w:rPr>
          <w:rFonts w:cs="Times New Roman"/>
          <w:szCs w:val="24"/>
          <w:lang w:val="sr-Cyrl-CS"/>
        </w:rPr>
        <w:t xml:space="preserve"> </w:t>
      </w:r>
      <w:r w:rsidR="00192281" w:rsidRPr="00092ED7">
        <w:rPr>
          <w:rFonts w:cs="Times New Roman"/>
          <w:szCs w:val="24"/>
          <w:lang w:val="sr-Cyrl-CS"/>
        </w:rPr>
        <w:t>евра</w:t>
      </w:r>
      <w:r w:rsidRPr="00092ED7">
        <w:rPr>
          <w:rFonts w:cs="Times New Roman"/>
          <w:szCs w:val="24"/>
          <w:lang w:val="sr-Cyrl-CS"/>
        </w:rPr>
        <w:t>. Очекује се спровођење пројекта паметних бројила (</w:t>
      </w:r>
      <w:r w:rsidRPr="00092ED7">
        <w:rPr>
          <w:rFonts w:cs="Times New Roman"/>
          <w:i/>
          <w:szCs w:val="24"/>
          <w:lang w:val="sr-Cyrl-CS"/>
        </w:rPr>
        <w:t>Smart Metering</w:t>
      </w:r>
      <w:r w:rsidRPr="00092ED7">
        <w:rPr>
          <w:rFonts w:cs="Times New Roman"/>
          <w:szCs w:val="24"/>
          <w:lang w:val="sr-Cyrl-CS"/>
        </w:rPr>
        <w:t>) и аутоматизација средњенапонске дистрибутивне мреже у наредном периоду. Изградња Трансбалканског коридора за пренос електричне енергије допринеће смањењу губитака електричне енергије и редукцији оптерећења постојећих преносних капацитета. До сада је изграђен далековод између Крагујевца и Краљева дужине 60 километара, чиме је завршена друга секција овог коридора. У сектору гаса укупни губици у испоруци, дисрибуцији и за сопствену потрошњу износе 30 милиона m</w:t>
      </w:r>
      <w:r w:rsidRPr="00092ED7">
        <w:rPr>
          <w:rFonts w:cs="Times New Roman"/>
          <w:szCs w:val="24"/>
          <w:vertAlign w:val="superscript"/>
          <w:lang w:val="sr-Cyrl-CS"/>
        </w:rPr>
        <w:t xml:space="preserve">3 </w:t>
      </w:r>
      <w:r w:rsidRPr="00092ED7">
        <w:rPr>
          <w:rFonts w:cs="Times New Roman"/>
          <w:szCs w:val="24"/>
          <w:lang w:val="sr-Cyrl-CS"/>
        </w:rPr>
        <w:t>у 2021.</w:t>
      </w:r>
      <w:r w:rsidRPr="00092ED7">
        <w:rPr>
          <w:rFonts w:cs="Times New Roman"/>
          <w:szCs w:val="24"/>
          <w:vertAlign w:val="superscript"/>
          <w:lang w:val="sr-Cyrl-CS"/>
        </w:rPr>
        <w:t xml:space="preserve"> </w:t>
      </w:r>
      <w:r w:rsidRPr="00092ED7">
        <w:rPr>
          <w:rFonts w:cs="Times New Roman"/>
          <w:szCs w:val="24"/>
          <w:lang w:val="sr-Cyrl-CS"/>
        </w:rPr>
        <w:t>(22 милиона m</w:t>
      </w:r>
      <w:r w:rsidRPr="00092ED7">
        <w:rPr>
          <w:rFonts w:cs="Times New Roman"/>
          <w:szCs w:val="24"/>
          <w:vertAlign w:val="superscript"/>
          <w:lang w:val="sr-Cyrl-CS"/>
        </w:rPr>
        <w:t xml:space="preserve">3 </w:t>
      </w:r>
      <w:r w:rsidRPr="00092ED7">
        <w:rPr>
          <w:rFonts w:cs="Times New Roman"/>
          <w:szCs w:val="24"/>
          <w:lang w:val="sr-Cyrl-CS"/>
        </w:rPr>
        <w:t>у 2020. години)</w:t>
      </w:r>
      <w:r w:rsidRPr="00092ED7">
        <w:rPr>
          <w:rFonts w:cs="Times New Roman"/>
          <w:szCs w:val="24"/>
          <w:vertAlign w:val="superscript"/>
          <w:lang w:val="sr-Cyrl-CS"/>
        </w:rPr>
        <w:footnoteReference w:id="86"/>
      </w:r>
      <w:r w:rsidRPr="00092ED7">
        <w:rPr>
          <w:rFonts w:cs="Times New Roman"/>
          <w:szCs w:val="24"/>
          <w:lang w:val="sr-Cyrl-CS"/>
        </w:rPr>
        <w:t>.</w:t>
      </w:r>
    </w:p>
    <w:p w14:paraId="6FDC8984" w14:textId="65A3289C" w:rsidR="00D210F0" w:rsidRPr="00092ED7" w:rsidRDefault="00D210F0" w:rsidP="00D210F0">
      <w:pPr>
        <w:spacing w:after="60"/>
        <w:rPr>
          <w:rFonts w:eastAsia="Calibri" w:cs="Times New Roman"/>
          <w:szCs w:val="24"/>
          <w:lang w:val="sr-Cyrl-CS"/>
        </w:rPr>
      </w:pPr>
      <w:r w:rsidRPr="00092ED7">
        <w:rPr>
          <w:rFonts w:eastAsia="Calibri" w:cs="Times New Roman"/>
          <w:szCs w:val="24"/>
          <w:lang w:val="sr-Cyrl-CS"/>
        </w:rPr>
        <w:t xml:space="preserve">У сектору електричне енергије присутно је </w:t>
      </w:r>
      <w:r w:rsidRPr="00092ED7">
        <w:rPr>
          <w:rFonts w:eastAsia="Calibri" w:cs="Times New Roman"/>
          <w:b/>
          <w:szCs w:val="24"/>
          <w:lang w:val="sr-Cyrl-CS"/>
        </w:rPr>
        <w:t>повећање степена либерализације и изградње тржишта.</w:t>
      </w:r>
      <w:r w:rsidRPr="00092ED7">
        <w:rPr>
          <w:rFonts w:eastAsia="Calibri" w:cs="Times New Roman"/>
          <w:szCs w:val="24"/>
          <w:lang w:val="sr-Cyrl-CS"/>
        </w:rPr>
        <w:t xml:space="preserve"> Завршен је поступак раздвајања АД </w:t>
      </w:r>
      <w:r w:rsidR="001D27D0" w:rsidRPr="00092ED7">
        <w:rPr>
          <w:rFonts w:eastAsia="Calibri" w:cs="Times New Roman"/>
          <w:szCs w:val="24"/>
          <w:lang w:val="sr-Cyrl-CS"/>
        </w:rPr>
        <w:t>„</w:t>
      </w:r>
      <w:r w:rsidRPr="00092ED7">
        <w:rPr>
          <w:rFonts w:eastAsia="Calibri" w:cs="Times New Roman"/>
          <w:szCs w:val="24"/>
          <w:lang w:val="sr-Cyrl-CS"/>
        </w:rPr>
        <w:t>Електромрежа Србије</w:t>
      </w:r>
      <w:r w:rsidR="001D27D0" w:rsidRPr="00092ED7">
        <w:rPr>
          <w:rFonts w:cs="Times New Roman"/>
          <w:szCs w:val="24"/>
          <w:lang w:val="sr-Cyrl-CS"/>
        </w:rPr>
        <w:t>”</w:t>
      </w:r>
      <w:r w:rsidRPr="00092ED7">
        <w:rPr>
          <w:rFonts w:eastAsia="Calibri" w:cs="Times New Roman"/>
          <w:szCs w:val="24"/>
          <w:lang w:val="sr-Cyrl-CS"/>
        </w:rPr>
        <w:t xml:space="preserve"> као оператора преносног система електричне енергије и </w:t>
      </w:r>
      <w:r w:rsidR="008B3E66" w:rsidRPr="00092ED7">
        <w:rPr>
          <w:rFonts w:eastAsia="Calibri" w:cs="Times New Roman"/>
          <w:szCs w:val="24"/>
          <w:lang w:val="sr-Cyrl-CS"/>
        </w:rPr>
        <w:t xml:space="preserve">његовог сертификовања од стране </w:t>
      </w:r>
      <w:r w:rsidRPr="00092ED7">
        <w:rPr>
          <w:rFonts w:eastAsia="Calibri" w:cs="Times New Roman"/>
          <w:szCs w:val="24"/>
          <w:lang w:val="sr-Cyrl-CS"/>
        </w:rPr>
        <w:t>АЕРС по моделу власничког раздвајања. Оснивач Електродистрибуције Србије д.о.о Београд са 100% удела је Република Србија, којој је АЕРС издала лиценцу за обављање енергетске делатности дистрибуције електричне енергије и управљање дистрибутивним системом електричне енергије у 2021. години. У истој години АЕРС је дала и сагласност на Програм усклађености Електродистрибуција Србије д.о.о.</w:t>
      </w:r>
      <w:r w:rsidR="001C6CFD" w:rsidRPr="00092ED7">
        <w:rPr>
          <w:rFonts w:eastAsia="Calibri" w:cs="Times New Roman"/>
          <w:szCs w:val="24"/>
          <w:lang w:val="sr-Cyrl-CS"/>
        </w:rPr>
        <w:t xml:space="preserve"> Београд</w:t>
      </w:r>
      <w:r w:rsidRPr="00092ED7">
        <w:rPr>
          <w:rFonts w:eastAsia="Calibri" w:cs="Times New Roman"/>
          <w:szCs w:val="24"/>
          <w:lang w:val="sr-Cyrl-CS"/>
        </w:rPr>
        <w:t>, а у 2022. години АЕРС је дала сагласност и на услове за именовање и трајање мандата Лица одговорног за праћ</w:t>
      </w:r>
      <w:r w:rsidR="00024EA0" w:rsidRPr="00092ED7">
        <w:rPr>
          <w:rFonts w:eastAsia="Calibri" w:cs="Times New Roman"/>
          <w:szCs w:val="24"/>
          <w:lang w:val="sr-Cyrl-CS"/>
        </w:rPr>
        <w:t>е</w:t>
      </w:r>
      <w:r w:rsidRPr="00092ED7">
        <w:rPr>
          <w:rFonts w:eastAsia="Calibri" w:cs="Times New Roman"/>
          <w:szCs w:val="24"/>
          <w:lang w:val="sr-Cyrl-CS"/>
        </w:rPr>
        <w:t>ње усклађености и претходну сагласност за његово именовање.</w:t>
      </w:r>
    </w:p>
    <w:p w14:paraId="7A947F4A" w14:textId="1A9C213C" w:rsidR="00D210F0" w:rsidRPr="00092ED7" w:rsidRDefault="00D210F0" w:rsidP="00D210F0">
      <w:pPr>
        <w:spacing w:after="60"/>
        <w:rPr>
          <w:rFonts w:eastAsia="Calibri" w:cs="Times New Roman"/>
          <w:strike/>
          <w:szCs w:val="24"/>
          <w:lang w:val="sr-Cyrl-CS"/>
        </w:rPr>
      </w:pPr>
      <w:r w:rsidRPr="00092ED7">
        <w:rPr>
          <w:rFonts w:eastAsia="Calibri" w:cs="Times New Roman"/>
          <w:b/>
          <w:szCs w:val="24"/>
          <w:lang w:val="sr-Cyrl-CS"/>
        </w:rPr>
        <w:t xml:space="preserve">Потребно је интензивирати активности у вези са функционалним раздвајањима у сектору природног гаса. </w:t>
      </w:r>
      <w:r w:rsidRPr="00092ED7">
        <w:rPr>
          <w:rFonts w:eastAsia="Calibri" w:cs="Times New Roman"/>
          <w:szCs w:val="24"/>
          <w:lang w:val="sr-Cyrl-CS"/>
        </w:rPr>
        <w:t xml:space="preserve">У сектору гаса није у потпуности спроведено реструктурирање ЈП </w:t>
      </w:r>
      <w:r w:rsidR="001C6CFD" w:rsidRPr="00092ED7">
        <w:rPr>
          <w:rFonts w:eastAsia="Calibri" w:cs="Times New Roman"/>
          <w:szCs w:val="24"/>
          <w:lang w:val="sr-Cyrl-CS"/>
        </w:rPr>
        <w:t>„</w:t>
      </w:r>
      <w:r w:rsidRPr="00092ED7">
        <w:rPr>
          <w:rFonts w:eastAsia="Calibri" w:cs="Times New Roman"/>
          <w:szCs w:val="24"/>
          <w:lang w:val="sr-Cyrl-CS"/>
        </w:rPr>
        <w:t>Србијагас</w:t>
      </w:r>
      <w:r w:rsidR="001C6CFD" w:rsidRPr="00092ED7">
        <w:rPr>
          <w:rFonts w:eastAsia="Calibri" w:cs="Times New Roman"/>
          <w:szCs w:val="24"/>
          <w:lang w:val="sr-Cyrl-CS"/>
        </w:rPr>
        <w:t>ˮ</w:t>
      </w:r>
      <w:r w:rsidRPr="00092ED7">
        <w:rPr>
          <w:rFonts w:eastAsia="Calibri" w:cs="Times New Roman"/>
          <w:szCs w:val="24"/>
          <w:lang w:val="sr-Cyrl-CS"/>
        </w:rPr>
        <w:t xml:space="preserve"> нити омогућен приступ треће стране. АЕРС je издала сертификат </w:t>
      </w:r>
      <w:r w:rsidR="001C6CFD" w:rsidRPr="00092ED7">
        <w:rPr>
          <w:rFonts w:eastAsia="Calibri" w:cs="Times New Roman"/>
          <w:bCs/>
          <w:iCs/>
          <w:szCs w:val="24"/>
          <w:lang w:val="sr-Cyrl-CS"/>
        </w:rPr>
        <w:t>„Гастрансˮ д.о.о. Нови Сад</w:t>
      </w:r>
      <w:r w:rsidRPr="00092ED7">
        <w:rPr>
          <w:rFonts w:eastAsia="Calibri" w:cs="Times New Roman"/>
          <w:szCs w:val="24"/>
          <w:lang w:val="sr-Cyrl-CS"/>
        </w:rPr>
        <w:t xml:space="preserve">као независном оператеру транспорта гаса. Није завршена сертификација предузећа </w:t>
      </w:r>
      <w:r w:rsidR="001C6CFD" w:rsidRPr="00092ED7">
        <w:rPr>
          <w:rFonts w:eastAsia="Calibri" w:cs="Times New Roman"/>
          <w:bCs/>
          <w:iCs/>
          <w:szCs w:val="24"/>
          <w:lang w:val="sr-Cyrl-CS"/>
        </w:rPr>
        <w:t>„Транспортгас Србија</w:t>
      </w:r>
      <w:r w:rsidR="001C6CFD" w:rsidRPr="00092ED7">
        <w:rPr>
          <w:rFonts w:eastAsia="Calibri" w:cs="Times New Roman"/>
          <w:szCs w:val="24"/>
          <w:lang w:val="sr-Cyrl-CS"/>
        </w:rPr>
        <w:t>”</w:t>
      </w:r>
      <w:r w:rsidR="001C6CFD" w:rsidRPr="00092ED7">
        <w:rPr>
          <w:rFonts w:eastAsia="Calibri" w:cs="Times New Roman"/>
          <w:bCs/>
          <w:iCs/>
          <w:szCs w:val="24"/>
          <w:lang w:val="sr-Cyrl-CS"/>
        </w:rPr>
        <w:t xml:space="preserve"> д.о.о. Нови Сад</w:t>
      </w:r>
      <w:r w:rsidRPr="00092ED7">
        <w:rPr>
          <w:rFonts w:eastAsia="Calibri" w:cs="Times New Roman"/>
          <w:szCs w:val="24"/>
          <w:lang w:val="sr-Cyrl-CS"/>
        </w:rPr>
        <w:t xml:space="preserve">као оператера преносног система. АЕРС је обуставио поступак сертификације због одустанка предузећа </w:t>
      </w:r>
      <w:r w:rsidR="001C6CFD" w:rsidRPr="00092ED7">
        <w:rPr>
          <w:rFonts w:eastAsia="Calibri" w:cs="Times New Roman"/>
          <w:bCs/>
          <w:iCs/>
          <w:szCs w:val="24"/>
          <w:lang w:val="sr-Cyrl-CS"/>
        </w:rPr>
        <w:t>„Транспортгас Србија</w:t>
      </w:r>
      <w:r w:rsidR="001C6CFD" w:rsidRPr="00092ED7">
        <w:rPr>
          <w:rFonts w:eastAsia="Calibri" w:cs="Times New Roman"/>
          <w:szCs w:val="24"/>
          <w:lang w:val="sr-Cyrl-CS"/>
        </w:rPr>
        <w:t>”</w:t>
      </w:r>
      <w:r w:rsidR="001C6CFD" w:rsidRPr="00092ED7">
        <w:rPr>
          <w:rFonts w:eastAsia="Calibri" w:cs="Times New Roman"/>
          <w:bCs/>
          <w:iCs/>
          <w:szCs w:val="24"/>
          <w:lang w:val="sr-Cyrl-CS"/>
        </w:rPr>
        <w:t xml:space="preserve"> д.о.о. Нови Сад</w:t>
      </w:r>
      <w:r w:rsidR="001C6CFD" w:rsidRPr="00092ED7">
        <w:rPr>
          <w:rFonts w:eastAsia="Calibri" w:cs="Times New Roman"/>
          <w:szCs w:val="24"/>
          <w:lang w:val="sr-Cyrl-CS"/>
        </w:rPr>
        <w:t xml:space="preserve"> </w:t>
      </w:r>
      <w:r w:rsidRPr="00092ED7">
        <w:rPr>
          <w:rFonts w:eastAsia="Calibri" w:cs="Times New Roman"/>
          <w:szCs w:val="24"/>
          <w:lang w:val="sr-Cyrl-CS"/>
        </w:rPr>
        <w:t xml:space="preserve">од захтева у 2022. години, док предузеће Yugorosgaz–Транспорт д.о.о. </w:t>
      </w:r>
      <w:r w:rsidR="00A12F87" w:rsidRPr="00092ED7">
        <w:rPr>
          <w:rFonts w:eastAsia="Calibri" w:cs="Times New Roman"/>
          <w:szCs w:val="24"/>
          <w:lang w:val="sr-Cyrl-CS"/>
        </w:rPr>
        <w:t xml:space="preserve">Нови Сад </w:t>
      </w:r>
      <w:r w:rsidRPr="00092ED7">
        <w:rPr>
          <w:rFonts w:eastAsia="Calibri" w:cs="Times New Roman"/>
          <w:szCs w:val="24"/>
          <w:lang w:val="sr-Cyrl-CS"/>
        </w:rPr>
        <w:t xml:space="preserve">није поднело захтев за сертификацију. Настављена је имплементација Плана реорганизације ЈП </w:t>
      </w:r>
      <w:r w:rsidR="00A12F87" w:rsidRPr="00092ED7">
        <w:rPr>
          <w:spacing w:val="-4"/>
          <w:lang w:val="sr-Cyrl-CS"/>
        </w:rPr>
        <w:t>„Србијагас”</w:t>
      </w:r>
      <w:r w:rsidRPr="00092ED7">
        <w:rPr>
          <w:rFonts w:eastAsia="Calibri" w:cs="Times New Roman"/>
          <w:szCs w:val="24"/>
          <w:lang w:val="sr-Cyrl-CS"/>
        </w:rPr>
        <w:t xml:space="preserve">. ЈП </w:t>
      </w:r>
      <w:r w:rsidR="00A12F87" w:rsidRPr="00092ED7">
        <w:rPr>
          <w:spacing w:val="-4"/>
          <w:lang w:val="sr-Cyrl-CS"/>
        </w:rPr>
        <w:t>„</w:t>
      </w:r>
      <w:r w:rsidRPr="00092ED7">
        <w:rPr>
          <w:rFonts w:eastAsia="Calibri" w:cs="Times New Roman"/>
          <w:szCs w:val="24"/>
          <w:lang w:val="sr-Cyrl-CS"/>
        </w:rPr>
        <w:t>Србијагас</w:t>
      </w:r>
      <w:r w:rsidR="00A12F87" w:rsidRPr="00092ED7">
        <w:rPr>
          <w:spacing w:val="-4"/>
          <w:lang w:val="sr-Cyrl-CS"/>
        </w:rPr>
        <w:t>”</w:t>
      </w:r>
      <w:r w:rsidRPr="00092ED7">
        <w:rPr>
          <w:rFonts w:eastAsia="Calibri" w:cs="Times New Roman"/>
          <w:szCs w:val="24"/>
          <w:lang w:val="sr-Cyrl-CS"/>
        </w:rPr>
        <w:t xml:space="preserve"> обавља делатност на 59,39% укупне дистрибутивне мреже у Републици Србији. ЈП </w:t>
      </w:r>
      <w:r w:rsidR="00A12F87" w:rsidRPr="00092ED7">
        <w:rPr>
          <w:spacing w:val="-4"/>
          <w:lang w:val="sr-Cyrl-CS"/>
        </w:rPr>
        <w:lastRenderedPageBreak/>
        <w:t>„</w:t>
      </w:r>
      <w:r w:rsidRPr="00092ED7">
        <w:rPr>
          <w:rFonts w:eastAsia="Calibri" w:cs="Times New Roman"/>
          <w:szCs w:val="24"/>
          <w:lang w:val="sr-Cyrl-CS"/>
        </w:rPr>
        <w:t>Србијагас</w:t>
      </w:r>
      <w:r w:rsidR="00A12F87" w:rsidRPr="00092ED7">
        <w:rPr>
          <w:spacing w:val="-4"/>
          <w:lang w:val="sr-Cyrl-CS"/>
        </w:rPr>
        <w:t>”</w:t>
      </w:r>
      <w:r w:rsidRPr="00092ED7">
        <w:rPr>
          <w:rFonts w:eastAsia="Calibri" w:cs="Times New Roman"/>
          <w:szCs w:val="24"/>
          <w:lang w:val="sr-Cyrl-CS"/>
        </w:rPr>
        <w:t xml:space="preserve"> је продао крајњим купцима 80,9% укупно продатих количина гаса у 2021. години. </w:t>
      </w:r>
    </w:p>
    <w:p w14:paraId="2DE44148" w14:textId="77777777" w:rsidR="00D210F0" w:rsidRPr="00092ED7" w:rsidRDefault="00D210F0" w:rsidP="00D210F0">
      <w:pPr>
        <w:spacing w:after="60"/>
        <w:rPr>
          <w:rFonts w:eastAsia="Calibri" w:cs="Times New Roman"/>
          <w:b/>
          <w:szCs w:val="24"/>
          <w:lang w:val="sr-Cyrl-CS"/>
        </w:rPr>
      </w:pPr>
      <w:r w:rsidRPr="00092ED7">
        <w:rPr>
          <w:rFonts w:eastAsia="Calibri" w:cs="Times New Roman"/>
          <w:szCs w:val="24"/>
          <w:lang w:val="sr-Cyrl-CS"/>
        </w:rPr>
        <w:t>Услед прекида рада на блоковима Б1 и Б2 ТЕНТ, хаварији у Колубари и недовољне количине и калоричне вредности угља, увезене су додатне количине електричне енергије</w:t>
      </w:r>
      <w:r w:rsidRPr="00092ED7">
        <w:rPr>
          <w:rStyle w:val="FootnoteReference"/>
          <w:rFonts w:eastAsia="Calibri" w:cs="Times New Roman"/>
          <w:szCs w:val="24"/>
          <w:lang w:val="sr-Cyrl-CS"/>
        </w:rPr>
        <w:footnoteReference w:id="87"/>
      </w:r>
      <w:r w:rsidRPr="00092ED7">
        <w:rPr>
          <w:rFonts w:eastAsia="Calibri" w:cs="Times New Roman"/>
          <w:szCs w:val="24"/>
          <w:lang w:val="sr-Cyrl-CS"/>
        </w:rPr>
        <w:t xml:space="preserve"> почетком 2022. године. Увезено је 15-20% од укупне потрошње електричне енергије током децембра 2021. и почетком 2022. године. Очекује се да од 2024. године ЕПС оствари производњу електричне енергије којом би се задовољиле потребе на националном нивоу.</w:t>
      </w:r>
    </w:p>
    <w:p w14:paraId="28A92353" w14:textId="73C3F2FE" w:rsidR="00D210F0" w:rsidRPr="00092ED7" w:rsidRDefault="00D210F0" w:rsidP="00D210F0">
      <w:pPr>
        <w:spacing w:after="60"/>
        <w:rPr>
          <w:rFonts w:eastAsia="Calibri" w:cs="Times New Roman"/>
          <w:bCs/>
          <w:szCs w:val="24"/>
          <w:lang w:val="sr-Cyrl-CS"/>
        </w:rPr>
      </w:pPr>
      <w:r w:rsidRPr="00092ED7">
        <w:rPr>
          <w:rFonts w:cs="Times New Roman"/>
          <w:b/>
          <w:szCs w:val="24"/>
          <w:lang w:val="sr-Cyrl-CS"/>
        </w:rPr>
        <w:t>Потребно је повећати степен гасификације и извршити диверсификацију правца и извора снабдевања гасом.</w:t>
      </w:r>
      <w:r w:rsidRPr="00092ED7">
        <w:rPr>
          <w:rFonts w:cs="Times New Roman"/>
          <w:szCs w:val="24"/>
          <w:lang w:val="sr-Cyrl-CS"/>
        </w:rPr>
        <w:t xml:space="preserve"> Гасификовано је око 60% територије Републике Србије, док је свега 11,7% домаћинства прикључено на гас</w:t>
      </w:r>
      <w:r w:rsidRPr="00092ED7">
        <w:rPr>
          <w:rStyle w:val="FootnoteReference"/>
          <w:rFonts w:cs="Times New Roman"/>
          <w:szCs w:val="24"/>
          <w:lang w:val="sr-Cyrl-CS"/>
        </w:rPr>
        <w:footnoteReference w:id="88"/>
      </w:r>
      <w:r w:rsidRPr="00092ED7">
        <w:rPr>
          <w:rFonts w:cs="Times New Roman"/>
          <w:szCs w:val="24"/>
          <w:lang w:val="sr-Cyrl-CS"/>
        </w:rPr>
        <w:t xml:space="preserve">. </w:t>
      </w:r>
      <w:r w:rsidR="006719E4" w:rsidRPr="00092ED7">
        <w:rPr>
          <w:rFonts w:cs="Times New Roman"/>
          <w:szCs w:val="24"/>
          <w:lang w:val="sr-Cyrl-CS"/>
        </w:rPr>
        <w:t xml:space="preserve">У 2021. години остварен </w:t>
      </w:r>
      <w:r w:rsidRPr="00092ED7">
        <w:rPr>
          <w:rFonts w:cs="Times New Roman"/>
          <w:szCs w:val="24"/>
          <w:lang w:val="sr-Cyrl-CS"/>
        </w:rPr>
        <w:t xml:space="preserve">је раст потрошње природног гаса за 15%. Домаћом производњом је задовољено свега 7,6% потреба за природним гасом, док је остатак гаса прибављен из </w:t>
      </w:r>
      <w:r w:rsidR="00A12F87" w:rsidRPr="00092ED7">
        <w:rPr>
          <w:rFonts w:cs="Times New Roman"/>
          <w:szCs w:val="24"/>
          <w:lang w:val="sr-Cyrl-CS"/>
        </w:rPr>
        <w:t>Русије</w:t>
      </w:r>
      <w:r w:rsidRPr="00092ED7">
        <w:rPr>
          <w:rFonts w:cs="Times New Roman"/>
          <w:szCs w:val="24"/>
          <w:lang w:val="sr-Cyrl-CS"/>
        </w:rPr>
        <w:t xml:space="preserve">. Започети су радови на изградњи гасне интерконекције између </w:t>
      </w:r>
      <w:r w:rsidR="00A12F87" w:rsidRPr="00092ED7">
        <w:rPr>
          <w:rFonts w:cs="Times New Roman"/>
          <w:szCs w:val="24"/>
          <w:lang w:val="sr-Cyrl-CS"/>
        </w:rPr>
        <w:t xml:space="preserve">Републике </w:t>
      </w:r>
      <w:r w:rsidRPr="00092ED7">
        <w:rPr>
          <w:rFonts w:cs="Times New Roman"/>
          <w:szCs w:val="24"/>
          <w:lang w:val="sr-Cyrl-CS"/>
        </w:rPr>
        <w:t xml:space="preserve">Србије и </w:t>
      </w:r>
      <w:r w:rsidR="008D24BA" w:rsidRPr="00092ED7">
        <w:rPr>
          <w:rFonts w:cs="Times New Roman"/>
          <w:szCs w:val="24"/>
          <w:lang w:val="sr-Cyrl-CS"/>
        </w:rPr>
        <w:t xml:space="preserve">Републике </w:t>
      </w:r>
      <w:r w:rsidRPr="00092ED7">
        <w:rPr>
          <w:rFonts w:cs="Times New Roman"/>
          <w:szCs w:val="24"/>
          <w:lang w:val="sr-Cyrl-CS"/>
        </w:rPr>
        <w:t xml:space="preserve">Бугарске у фебруару 2022. </w:t>
      </w:r>
      <w:r w:rsidRPr="00092ED7">
        <w:rPr>
          <w:rFonts w:eastAsia="Calibri" w:cs="Times New Roman"/>
          <w:szCs w:val="24"/>
          <w:lang w:val="sr-Cyrl-CS"/>
        </w:rPr>
        <w:t>годин</w:t>
      </w:r>
      <w:r w:rsidR="00024EA0" w:rsidRPr="00092ED7">
        <w:rPr>
          <w:rFonts w:eastAsia="Calibri" w:cs="Times New Roman"/>
          <w:szCs w:val="24"/>
          <w:lang w:val="sr-Cyrl-CS"/>
        </w:rPr>
        <w:t>е</w:t>
      </w:r>
      <w:r w:rsidRPr="00092ED7">
        <w:rPr>
          <w:rFonts w:cs="Times New Roman"/>
          <w:szCs w:val="24"/>
          <w:lang w:val="sr-Cyrl-CS"/>
        </w:rPr>
        <w:t xml:space="preserve">, што даје могућност диверзификације праваца и извора снабдевања и повезивање на Јужни гасни коридор. Ова веза ће Републици Србији омогућити снабдевање природним гасом из Каспијског региона, Средњег истока и са ЛНГ терминала у </w:t>
      </w:r>
      <w:r w:rsidR="008D24BA" w:rsidRPr="00092ED7">
        <w:rPr>
          <w:rFonts w:cs="Times New Roman"/>
          <w:szCs w:val="24"/>
          <w:lang w:val="sr-Cyrl-CS"/>
        </w:rPr>
        <w:t xml:space="preserve">Републици </w:t>
      </w:r>
      <w:r w:rsidRPr="00092ED7">
        <w:rPr>
          <w:rFonts w:cs="Times New Roman"/>
          <w:szCs w:val="24"/>
          <w:lang w:val="sr-Cyrl-CS"/>
        </w:rPr>
        <w:t>Грчкој. Нови гасовод имаће капацитет од 1,8 млрд. m</w:t>
      </w:r>
      <w:r w:rsidRPr="00092ED7">
        <w:rPr>
          <w:rFonts w:cs="Times New Roman"/>
          <w:szCs w:val="24"/>
          <w:vertAlign w:val="superscript"/>
          <w:lang w:val="sr-Cyrl-CS"/>
        </w:rPr>
        <w:t>3</w:t>
      </w:r>
      <w:r w:rsidRPr="00092ED7">
        <w:rPr>
          <w:rFonts w:cs="Times New Roman"/>
          <w:szCs w:val="24"/>
          <w:lang w:val="sr-Cyrl-CS"/>
        </w:rPr>
        <w:t xml:space="preserve"> гаса и биће оперативан од септембра 2023. године. Радови се изводе уз подршку ИПА фондова и кредита ЕИБ. Кроз планирану изградњу транспортног гасовода Мокрин - румунска граница (дужине 12,8 км), повезаће се српски гасовод са гасним системом „Трансгаз</w:t>
      </w:r>
      <w:r w:rsidR="005C7C81" w:rsidRPr="00092ED7">
        <w:rPr>
          <w:rFonts w:cs="Times New Roman"/>
          <w:szCs w:val="24"/>
          <w:lang w:val="sr-Cyrl-CS"/>
        </w:rPr>
        <w:t>”</w:t>
      </w:r>
      <w:r w:rsidRPr="00092ED7">
        <w:rPr>
          <w:rFonts w:cs="Times New Roman"/>
          <w:szCs w:val="24"/>
          <w:lang w:val="sr-Cyrl-CS"/>
        </w:rPr>
        <w:t xml:space="preserve"> и гасоводом ,,Бруа</w:t>
      </w:r>
      <w:r w:rsidR="005C7C81" w:rsidRPr="00092ED7">
        <w:rPr>
          <w:rFonts w:cs="Times New Roman"/>
          <w:szCs w:val="24"/>
          <w:lang w:val="sr-Cyrl-CS"/>
        </w:rPr>
        <w:t>”</w:t>
      </w:r>
      <w:r w:rsidRPr="00092ED7">
        <w:rPr>
          <w:rFonts w:cs="Times New Roman"/>
          <w:szCs w:val="24"/>
          <w:lang w:val="sr-Cyrl-CS"/>
        </w:rPr>
        <w:t xml:space="preserve"> у Румунији до краја 2023. године. </w:t>
      </w:r>
      <w:r w:rsidRPr="00092ED7">
        <w:rPr>
          <w:rFonts w:eastAsia="Calibri" w:cs="Times New Roman"/>
          <w:szCs w:val="24"/>
          <w:lang w:val="sr-Cyrl-CS"/>
        </w:rPr>
        <w:t>Планирано проширење складишта у Банатском Двору, почетак изградње новог подземног складишта у Итебеју до 2025. године, израда регионалног кризног плана и стварање стратешких резерви овог енергента обезбедила би се сигурност снабдевања гасом</w:t>
      </w:r>
      <w:r w:rsidRPr="00092ED7">
        <w:rPr>
          <w:rFonts w:eastAsia="Calibri" w:cs="Times New Roman"/>
          <w:szCs w:val="24"/>
          <w:vertAlign w:val="superscript"/>
          <w:lang w:val="sr-Cyrl-CS"/>
        </w:rPr>
        <w:footnoteReference w:id="89"/>
      </w:r>
      <w:r w:rsidRPr="00092ED7">
        <w:rPr>
          <w:rFonts w:eastAsia="Calibri" w:cs="Times New Roman"/>
          <w:szCs w:val="24"/>
          <w:lang w:val="sr-Cyrl-CS"/>
        </w:rPr>
        <w:t>. У циљу очувања стабилности на тржишту гаса</w:t>
      </w:r>
      <w:r w:rsidRPr="00092ED7">
        <w:rPr>
          <w:rFonts w:eastAsia="Calibri" w:cs="Times New Roman"/>
          <w:bCs/>
          <w:szCs w:val="24"/>
          <w:lang w:val="sr-Cyrl-CS"/>
        </w:rPr>
        <w:t xml:space="preserve"> у условима енергетске кризе</w:t>
      </w:r>
      <w:r w:rsidRPr="00092ED7">
        <w:rPr>
          <w:rFonts w:eastAsia="Calibri" w:cs="Times New Roman"/>
          <w:szCs w:val="24"/>
          <w:lang w:val="sr-Cyrl-CS"/>
        </w:rPr>
        <w:t xml:space="preserve">, донета је </w:t>
      </w:r>
      <w:r w:rsidRPr="00092ED7">
        <w:rPr>
          <w:rFonts w:eastAsia="Calibri" w:cs="Times New Roman"/>
          <w:i/>
          <w:szCs w:val="24"/>
          <w:lang w:val="sr-Cyrl-CS"/>
        </w:rPr>
        <w:t xml:space="preserve">Уредба </w:t>
      </w:r>
      <w:bookmarkStart w:id="38" w:name="_Hlk91523219"/>
      <w:r w:rsidRPr="00092ED7">
        <w:rPr>
          <w:rFonts w:eastAsia="Calibri" w:cs="Times New Roman"/>
          <w:bCs/>
          <w:i/>
          <w:szCs w:val="24"/>
          <w:lang w:val="sr-Cyrl-CS"/>
        </w:rPr>
        <w:t>о привремeној мери ограничавања цене гаса и надокнади разлике у цени природног гаса набављеног из увоза или произведеног у Републици Србији у случају поремећаја на тржишту природног гаса</w:t>
      </w:r>
      <w:r w:rsidRPr="00092ED7">
        <w:rPr>
          <w:rFonts w:eastAsia="Calibri" w:cs="Times New Roman"/>
          <w:bCs/>
          <w:szCs w:val="24"/>
          <w:lang w:val="sr-Cyrl-CS"/>
        </w:rPr>
        <w:t xml:space="preserve"> („Сл</w:t>
      </w:r>
      <w:r w:rsidR="006A7C3F" w:rsidRPr="00092ED7">
        <w:rPr>
          <w:rFonts w:eastAsia="Calibri" w:cs="Times New Roman"/>
          <w:bCs/>
          <w:szCs w:val="24"/>
          <w:lang w:val="sr-Cyrl-CS"/>
        </w:rPr>
        <w:t>ужбени</w:t>
      </w:r>
      <w:r w:rsidR="009A4C22" w:rsidRPr="00092ED7">
        <w:rPr>
          <w:rFonts w:eastAsia="Calibri" w:cs="Times New Roman"/>
          <w:bCs/>
          <w:szCs w:val="24"/>
          <w:lang w:val="sr-Cyrl-CS"/>
        </w:rPr>
        <w:t xml:space="preserve"> гласник РС</w:t>
      </w:r>
      <w:r w:rsidR="006A7C3F" w:rsidRPr="00092ED7">
        <w:rPr>
          <w:rFonts w:cs="Times New Roman"/>
          <w:szCs w:val="24"/>
          <w:lang w:val="sr-Cyrl-CS"/>
        </w:rPr>
        <w:t>”</w:t>
      </w:r>
      <w:r w:rsidR="009A4C22" w:rsidRPr="00092ED7">
        <w:rPr>
          <w:rFonts w:eastAsia="Calibri" w:cs="Times New Roman"/>
          <w:bCs/>
          <w:szCs w:val="24"/>
          <w:lang w:val="sr-Cyrl-CS"/>
        </w:rPr>
        <w:t>, бр</w:t>
      </w:r>
      <w:r w:rsidR="006A7C3F" w:rsidRPr="00092ED7">
        <w:rPr>
          <w:rFonts w:eastAsia="Calibri" w:cs="Times New Roman"/>
          <w:bCs/>
          <w:szCs w:val="24"/>
          <w:lang w:val="sr-Cyrl-CS"/>
        </w:rPr>
        <w:t>ој</w:t>
      </w:r>
      <w:r w:rsidRPr="00092ED7">
        <w:rPr>
          <w:rFonts w:eastAsia="Calibri" w:cs="Times New Roman"/>
          <w:bCs/>
          <w:szCs w:val="24"/>
          <w:lang w:val="sr-Cyrl-CS"/>
        </w:rPr>
        <w:t xml:space="preserve"> </w:t>
      </w:r>
      <w:r w:rsidR="00BA2C80" w:rsidRPr="00092ED7">
        <w:rPr>
          <w:rFonts w:eastAsia="Calibri" w:cs="Times New Roman"/>
          <w:bCs/>
          <w:szCs w:val="24"/>
          <w:lang w:val="sr-Cyrl-CS"/>
        </w:rPr>
        <w:t>139</w:t>
      </w:r>
      <w:r w:rsidRPr="00092ED7">
        <w:rPr>
          <w:rFonts w:eastAsia="Calibri" w:cs="Times New Roman"/>
          <w:bCs/>
          <w:szCs w:val="24"/>
          <w:lang w:val="sr-Cyrl-CS"/>
        </w:rPr>
        <w:t xml:space="preserve">/22) ради ублажавања флуктуације цена гаса и несметаног снабдевања гасом. </w:t>
      </w:r>
    </w:p>
    <w:p w14:paraId="7BBCFB85" w14:textId="19401D8E" w:rsidR="00BA2C80" w:rsidRPr="00092ED7" w:rsidRDefault="00BA2C80" w:rsidP="00D210F0">
      <w:pPr>
        <w:spacing w:after="60"/>
        <w:rPr>
          <w:rFonts w:eastAsia="Calibri" w:cs="Times New Roman"/>
          <w:bCs/>
          <w:szCs w:val="24"/>
          <w:lang w:val="sr-Cyrl-CS"/>
        </w:rPr>
      </w:pPr>
      <w:r w:rsidRPr="00092ED7">
        <w:rPr>
          <w:rFonts w:eastAsia="Calibri" w:cs="Times New Roman"/>
          <w:bCs/>
          <w:szCs w:val="24"/>
          <w:lang w:val="sr-Cyrl-CS"/>
        </w:rPr>
        <w:t>Влада је донела и нову Уредбу о условима испоруке и снабдевања природним гасом („Сл</w:t>
      </w:r>
      <w:r w:rsidR="006A7C3F" w:rsidRPr="00092ED7">
        <w:rPr>
          <w:rFonts w:eastAsia="Calibri" w:cs="Times New Roman"/>
          <w:bCs/>
          <w:szCs w:val="24"/>
          <w:lang w:val="sr-Cyrl-CS"/>
        </w:rPr>
        <w:t>ужбени</w:t>
      </w:r>
      <w:r w:rsidRPr="00092ED7">
        <w:rPr>
          <w:rFonts w:eastAsia="Calibri" w:cs="Times New Roman"/>
          <w:bCs/>
          <w:szCs w:val="24"/>
          <w:lang w:val="sr-Cyrl-CS"/>
        </w:rPr>
        <w:t xml:space="preserve"> гласник РС</w:t>
      </w:r>
      <w:r w:rsidR="006A7C3F" w:rsidRPr="00092ED7">
        <w:rPr>
          <w:rFonts w:cs="Times New Roman"/>
          <w:szCs w:val="24"/>
          <w:lang w:val="sr-Cyrl-CS"/>
        </w:rPr>
        <w:t>”</w:t>
      </w:r>
      <w:r w:rsidRPr="00092ED7">
        <w:rPr>
          <w:rFonts w:eastAsia="Calibri" w:cs="Times New Roman"/>
          <w:bCs/>
          <w:szCs w:val="24"/>
          <w:lang w:val="sr-Cyrl-CS"/>
        </w:rPr>
        <w:t>, бр</w:t>
      </w:r>
      <w:r w:rsidR="006A7C3F" w:rsidRPr="00092ED7">
        <w:rPr>
          <w:rFonts w:eastAsia="Calibri" w:cs="Times New Roman"/>
          <w:bCs/>
          <w:szCs w:val="24"/>
          <w:lang w:val="sr-Cyrl-CS"/>
        </w:rPr>
        <w:t>ој</w:t>
      </w:r>
      <w:r w:rsidRPr="00092ED7">
        <w:rPr>
          <w:rFonts w:eastAsia="Calibri" w:cs="Times New Roman"/>
          <w:bCs/>
          <w:szCs w:val="24"/>
          <w:lang w:val="sr-Cyrl-CS"/>
        </w:rPr>
        <w:t xml:space="preserve"> 49/22),</w:t>
      </w:r>
      <w:r w:rsidRPr="00092ED7">
        <w:rPr>
          <w:lang w:val="sr-Cyrl-CS"/>
        </w:rPr>
        <w:t xml:space="preserve"> </w:t>
      </w:r>
      <w:r w:rsidRPr="00092ED7">
        <w:rPr>
          <w:rFonts w:eastAsia="Calibri" w:cs="Times New Roman"/>
          <w:bCs/>
          <w:szCs w:val="24"/>
          <w:lang w:val="sr-Cyrl-CS"/>
        </w:rPr>
        <w:t>којом се ближе прописују услови испоруке и снабдевања природним гасом купцима, као и мере које се предузимају у случају да је угрожена сигурност испоруке природног гаса купцима услед поремећаја у раду транспортног или дистрибутивног система или поремећаја на тржишту.</w:t>
      </w:r>
    </w:p>
    <w:bookmarkEnd w:id="38"/>
    <w:p w14:paraId="1C0A0B63" w14:textId="77777777" w:rsidR="00D210F0" w:rsidRPr="00092ED7" w:rsidRDefault="00D210F0" w:rsidP="00D210F0">
      <w:pPr>
        <w:spacing w:after="60"/>
        <w:rPr>
          <w:rFonts w:eastAsia="Calibri" w:cs="Times New Roman"/>
          <w:szCs w:val="24"/>
          <w:lang w:val="sr-Cyrl-CS"/>
        </w:rPr>
      </w:pPr>
      <w:r w:rsidRPr="00092ED7">
        <w:rPr>
          <w:rFonts w:eastAsia="Calibri" w:cs="Times New Roman"/>
          <w:b/>
          <w:szCs w:val="24"/>
          <w:lang w:val="sr-Cyrl-CS"/>
        </w:rPr>
        <w:t>Остварен је висок ниво усклађености са правним тековинама ЕУ у погледу сигурности снабдевања,</w:t>
      </w:r>
      <w:r w:rsidRPr="00092ED7">
        <w:rPr>
          <w:rFonts w:eastAsia="Calibri" w:cs="Times New Roman"/>
          <w:szCs w:val="24"/>
          <w:lang w:val="sr-Cyrl-CS"/>
        </w:rPr>
        <w:t xml:space="preserve"> укључујући минималне резерве нафте. Настављено је редовно снабдевање нафтом и нафтним енергентима путем Јадранског нафтовода. Гас се допрема редовно преко Балканског тока. Присутне су додатне количине гаса у оквиру подземног складишта гаса Банатски Двор. Повећавају се резерве енергената како би, у складу са регулативом ЕУ, Република Србија имала у резервама енергенте за више од 60 дана просечне дневне потрошње до краја 2022. године.</w:t>
      </w:r>
    </w:p>
    <w:p w14:paraId="4863A85C" w14:textId="6C3AEB46" w:rsidR="00D210F0" w:rsidRPr="00092ED7" w:rsidRDefault="00D210F0" w:rsidP="00D210F0">
      <w:pPr>
        <w:spacing w:after="60"/>
        <w:rPr>
          <w:rFonts w:cs="Times New Roman"/>
          <w:szCs w:val="24"/>
          <w:lang w:val="sr-Cyrl-CS"/>
        </w:rPr>
      </w:pPr>
      <w:r w:rsidRPr="00092ED7">
        <w:rPr>
          <w:rFonts w:eastAsia="Calibri" w:cs="Times New Roman"/>
          <w:b/>
          <w:szCs w:val="24"/>
          <w:lang w:val="sr-Cyrl-CS"/>
        </w:rPr>
        <w:t xml:space="preserve">Потребно је успоставити цену електричне енергије тако да одражава трошкове регулисаних делатности (мрежарине), као и тржишне цене за електричну </w:t>
      </w:r>
      <w:r w:rsidRPr="00092ED7">
        <w:rPr>
          <w:rFonts w:eastAsia="Calibri" w:cs="Times New Roman"/>
          <w:b/>
          <w:szCs w:val="24"/>
          <w:lang w:val="sr-Cyrl-CS"/>
        </w:rPr>
        <w:lastRenderedPageBreak/>
        <w:t>енергију</w:t>
      </w:r>
      <w:r w:rsidRPr="00092ED7">
        <w:rPr>
          <w:rStyle w:val="FootnoteReference"/>
          <w:rFonts w:eastAsia="Calibri" w:cs="Times New Roman"/>
          <w:b/>
          <w:szCs w:val="24"/>
          <w:lang w:val="sr-Cyrl-CS"/>
        </w:rPr>
        <w:footnoteReference w:id="90"/>
      </w:r>
      <w:r w:rsidRPr="00092ED7">
        <w:rPr>
          <w:rFonts w:eastAsia="Calibri" w:cs="Times New Roman"/>
          <w:b/>
          <w:szCs w:val="24"/>
          <w:lang w:val="sr-Cyrl-CS"/>
        </w:rPr>
        <w:t xml:space="preserve">, водећи рачуна о животном стандарду и заштити енергетски угрожених купаца. </w:t>
      </w:r>
      <w:r w:rsidRPr="00092ED7">
        <w:rPr>
          <w:rFonts w:cs="Times New Roman"/>
          <w:szCs w:val="24"/>
          <w:lang w:val="sr-Cyrl-CS"/>
        </w:rPr>
        <w:t>Цена електричне енергије за домаћинства са порезима и таксама износи</w:t>
      </w:r>
      <w:r w:rsidR="00C1699A" w:rsidRPr="00092ED7">
        <w:rPr>
          <w:rFonts w:cs="Times New Roman"/>
          <w:szCs w:val="24"/>
          <w:lang w:val="sr-Cyrl-CS"/>
        </w:rPr>
        <w:t>ла је</w:t>
      </w:r>
      <w:r w:rsidRPr="00092ED7">
        <w:rPr>
          <w:rFonts w:cs="Times New Roman"/>
          <w:szCs w:val="24"/>
          <w:lang w:val="sr-Cyrl-CS"/>
        </w:rPr>
        <w:t xml:space="preserve"> 8,01 евроценти по киловат-часу у 2021. (22,86 просек ЕУ-27)</w:t>
      </w:r>
      <w:r w:rsidRPr="00092ED7">
        <w:rPr>
          <w:rStyle w:val="FootnoteReference"/>
          <w:rFonts w:cs="Times New Roman"/>
          <w:szCs w:val="24"/>
          <w:lang w:val="sr-Cyrl-CS"/>
        </w:rPr>
        <w:footnoteReference w:id="91"/>
      </w:r>
      <w:r w:rsidRPr="00092ED7">
        <w:rPr>
          <w:rFonts w:cs="Times New Roman"/>
          <w:szCs w:val="24"/>
          <w:lang w:val="sr-Cyrl-CS"/>
        </w:rPr>
        <w:t>. У просеку je нижа за 20-45% од цене у другим земљама Југоисточне Европе. Цена електричне енергије за индустрију је нешто виша и износи</w:t>
      </w:r>
      <w:r w:rsidR="00C1699A" w:rsidRPr="00092ED7">
        <w:rPr>
          <w:rFonts w:cs="Times New Roman"/>
          <w:szCs w:val="24"/>
          <w:lang w:val="sr-Cyrl-CS"/>
        </w:rPr>
        <w:t>ла је</w:t>
      </w:r>
      <w:r w:rsidRPr="00092ED7">
        <w:rPr>
          <w:rFonts w:cs="Times New Roman"/>
          <w:szCs w:val="24"/>
          <w:lang w:val="sr-Cyrl-CS"/>
        </w:rPr>
        <w:t xml:space="preserve"> 10,01 евроценти по киловат-часу у 2021. (16,75 просек ЕУ-27). Нерегулисано тржиште је чинило 50,1% укупне потрошње електричне енергије и 82,7% укупне потрошње гаса од стране крајњих потрошача у 2021. години</w:t>
      </w:r>
      <w:r w:rsidRPr="00092ED7">
        <w:rPr>
          <w:rStyle w:val="FootnoteReference"/>
          <w:rFonts w:cs="Times New Roman"/>
          <w:szCs w:val="24"/>
          <w:lang w:val="sr-Cyrl-CS"/>
        </w:rPr>
        <w:footnoteReference w:id="92"/>
      </w:r>
      <w:r w:rsidRPr="00092ED7">
        <w:rPr>
          <w:rFonts w:cs="Times New Roman"/>
          <w:szCs w:val="24"/>
          <w:lang w:val="sr-Cyrl-CS"/>
        </w:rPr>
        <w:t xml:space="preserve">. Број заштићених купаца који су користили право на умањење рачуна за електричну енергију </w:t>
      </w:r>
      <w:r w:rsidR="00C1699A" w:rsidRPr="00092ED7">
        <w:rPr>
          <w:rFonts w:cs="Times New Roman"/>
          <w:szCs w:val="24"/>
          <w:lang w:val="sr-Cyrl-CS"/>
        </w:rPr>
        <w:t xml:space="preserve">био </w:t>
      </w:r>
      <w:r w:rsidRPr="00092ED7">
        <w:rPr>
          <w:rFonts w:cs="Times New Roman"/>
          <w:szCs w:val="24"/>
          <w:lang w:val="sr-Cyrl-CS"/>
        </w:rPr>
        <w:t>је на нивоу од око 68.000 у 2021. години (процењено је да више од 300.000 корисника може да оствари ово право)</w:t>
      </w:r>
      <w:r w:rsidRPr="00092ED7">
        <w:rPr>
          <w:rFonts w:cs="Times New Roman"/>
          <w:szCs w:val="24"/>
          <w:vertAlign w:val="superscript"/>
          <w:lang w:val="sr-Cyrl-CS"/>
        </w:rPr>
        <w:footnoteReference w:id="93"/>
      </w:r>
      <w:r w:rsidRPr="00092ED7">
        <w:rPr>
          <w:rFonts w:cs="Times New Roman"/>
          <w:szCs w:val="24"/>
          <w:lang w:val="sr-Cyrl-CS"/>
        </w:rPr>
        <w:t>.</w:t>
      </w:r>
    </w:p>
    <w:p w14:paraId="323EB1A2" w14:textId="2F80BBB7" w:rsidR="00D210F0" w:rsidRPr="00092ED7" w:rsidRDefault="00D210F0" w:rsidP="00B640AF">
      <w:pPr>
        <w:rPr>
          <w:rFonts w:cs="Times New Roman"/>
          <w:szCs w:val="24"/>
          <w:lang w:val="sr-Cyrl-CS"/>
        </w:rPr>
      </w:pPr>
      <w:r w:rsidRPr="00092ED7">
        <w:rPr>
          <w:rFonts w:cs="Times New Roman"/>
          <w:szCs w:val="24"/>
          <w:lang w:val="sr-Cyrl-CS"/>
        </w:rPr>
        <w:t xml:space="preserve">Цена електричне енергије повећана је </w:t>
      </w:r>
      <w:r w:rsidR="00BB279D" w:rsidRPr="00092ED7">
        <w:rPr>
          <w:rFonts w:cs="Times New Roman"/>
          <w:szCs w:val="24"/>
          <w:lang w:val="sr-Cyrl-CS"/>
        </w:rPr>
        <w:t>8</w:t>
      </w:r>
      <w:r w:rsidRPr="00092ED7">
        <w:rPr>
          <w:rFonts w:cs="Times New Roman"/>
          <w:szCs w:val="24"/>
          <w:lang w:val="sr-Cyrl-CS"/>
        </w:rPr>
        <w:t xml:space="preserve">% (у односу на ранију просечну цену) од 1. </w:t>
      </w:r>
      <w:r w:rsidR="00BB279D" w:rsidRPr="00092ED7">
        <w:rPr>
          <w:rFonts w:cs="Times New Roman"/>
          <w:szCs w:val="24"/>
          <w:lang w:val="sr-Cyrl-CS"/>
        </w:rPr>
        <w:t>јануара 2023</w:t>
      </w:r>
      <w:r w:rsidRPr="00092ED7">
        <w:rPr>
          <w:rFonts w:cs="Times New Roman"/>
          <w:szCs w:val="24"/>
          <w:lang w:val="sr-Cyrl-CS"/>
        </w:rPr>
        <w:t>. године. Нова цена природног гаса за групу мала потрошња у којој се налазе домаћинства одобрена је свим јавним снабдевачима природног гаса почев од 1.</w:t>
      </w:r>
      <w:r w:rsidR="00E96557" w:rsidRPr="00092ED7">
        <w:rPr>
          <w:rFonts w:cs="Times New Roman"/>
          <w:szCs w:val="24"/>
          <w:lang w:val="sr-Cyrl-CS"/>
        </w:rPr>
        <w:t xml:space="preserve"> </w:t>
      </w:r>
      <w:r w:rsidR="00BB279D" w:rsidRPr="00092ED7">
        <w:rPr>
          <w:rFonts w:cs="Times New Roman"/>
          <w:szCs w:val="24"/>
          <w:lang w:val="sr-Cyrl-CS"/>
        </w:rPr>
        <w:t>јануара 2023</w:t>
      </w:r>
      <w:r w:rsidRPr="00092ED7">
        <w:rPr>
          <w:rFonts w:cs="Times New Roman"/>
          <w:szCs w:val="24"/>
          <w:lang w:val="sr-Cyrl-CS"/>
        </w:rPr>
        <w:t xml:space="preserve">. године, која је виша за </w:t>
      </w:r>
      <w:r w:rsidR="00BB279D" w:rsidRPr="00092ED7">
        <w:rPr>
          <w:rFonts w:cs="Times New Roman"/>
          <w:szCs w:val="24"/>
          <w:lang w:val="sr-Cyrl-CS"/>
        </w:rPr>
        <w:t>10</w:t>
      </w:r>
      <w:r w:rsidRPr="00092ED7">
        <w:rPr>
          <w:rFonts w:cs="Times New Roman"/>
          <w:szCs w:val="24"/>
          <w:lang w:val="sr-Cyrl-CS"/>
        </w:rPr>
        <w:t xml:space="preserve">8% у односу на ранију просечну одобрену цену природног гаса за домаћинства. У наредном периоду се очекује додатно повећање цене електричне енергије услед повећања цене енергената на светском тржишту. </w:t>
      </w:r>
      <w:r w:rsidR="00BB279D" w:rsidRPr="00092ED7">
        <w:rPr>
          <w:rFonts w:cs="Times New Roman"/>
          <w:szCs w:val="24"/>
          <w:lang w:val="sr-Cyrl-CS"/>
        </w:rPr>
        <w:t xml:space="preserve">Усвојена </w:t>
      </w:r>
      <w:r w:rsidRPr="00092ED7">
        <w:rPr>
          <w:rFonts w:cs="Times New Roman"/>
          <w:szCs w:val="24"/>
          <w:lang w:val="sr-Cyrl-CS"/>
        </w:rPr>
        <w:t xml:space="preserve">је нова </w:t>
      </w:r>
      <w:r w:rsidR="000003B8" w:rsidRPr="00092ED7">
        <w:rPr>
          <w:rFonts w:cs="Times New Roman"/>
          <w:i/>
          <w:szCs w:val="24"/>
          <w:lang w:val="sr-Cyrl-CS"/>
        </w:rPr>
        <w:t xml:space="preserve">Уредба </w:t>
      </w:r>
      <w:r w:rsidRPr="00092ED7">
        <w:rPr>
          <w:rFonts w:cs="Times New Roman"/>
          <w:i/>
          <w:szCs w:val="24"/>
          <w:lang w:val="sr-Cyrl-CS"/>
        </w:rPr>
        <w:t>о енергетски угроженом купцу</w:t>
      </w:r>
      <w:r w:rsidR="008D24BA" w:rsidRPr="00092ED7">
        <w:rPr>
          <w:rFonts w:cs="Times New Roman"/>
          <w:i/>
          <w:szCs w:val="24"/>
          <w:lang w:val="sr-Cyrl-CS"/>
        </w:rPr>
        <w:t xml:space="preserve"> </w:t>
      </w:r>
      <w:r w:rsidR="008D24BA" w:rsidRPr="00092ED7">
        <w:rPr>
          <w:rFonts w:cs="Times New Roman"/>
          <w:szCs w:val="24"/>
          <w:lang w:val="sr-Cyrl-CS"/>
        </w:rPr>
        <w:t>(„Службени гласник РС”, број 137/22)</w:t>
      </w:r>
      <w:r w:rsidRPr="00092ED7">
        <w:rPr>
          <w:rFonts w:cs="Times New Roman"/>
          <w:szCs w:val="24"/>
          <w:lang w:val="sr-Cyrl-CS"/>
        </w:rPr>
        <w:t xml:space="preserve">, у којој </w:t>
      </w:r>
      <w:r w:rsidR="00BB279D" w:rsidRPr="00092ED7">
        <w:rPr>
          <w:rFonts w:cs="Times New Roman"/>
          <w:szCs w:val="24"/>
          <w:lang w:val="sr-Cyrl-CS"/>
        </w:rPr>
        <w:t xml:space="preserve">је повећан лимит </w:t>
      </w:r>
      <w:r w:rsidRPr="00092ED7">
        <w:rPr>
          <w:rFonts w:cs="Times New Roman"/>
          <w:szCs w:val="24"/>
          <w:lang w:val="sr-Cyrl-CS"/>
        </w:rPr>
        <w:t>прихода домаћинства за стицање бесплатних киловата струје, топлотне енергије и гаса, што ће, према процени, обухватити око 200.000 домаћинства која користе електричну енергију, око 15.000 домаћинства која троше гас и 50.000 домаћинства која користе топлотну енергију. Процењује се да је око 500.000 домаћинстава изложено ризику од енергетског сиромаштва</w:t>
      </w:r>
      <w:r w:rsidRPr="00092ED7">
        <w:rPr>
          <w:rStyle w:val="FootnoteReference"/>
          <w:rFonts w:cs="Times New Roman"/>
          <w:szCs w:val="24"/>
          <w:lang w:val="sr-Cyrl-CS"/>
        </w:rPr>
        <w:footnoteReference w:id="94"/>
      </w:r>
      <w:r w:rsidRPr="00092ED7">
        <w:rPr>
          <w:rFonts w:cs="Times New Roman"/>
          <w:szCs w:val="24"/>
          <w:lang w:val="sr-Cyrl-CS"/>
        </w:rPr>
        <w:t>.</w:t>
      </w:r>
    </w:p>
    <w:p w14:paraId="2A315005" w14:textId="0F3D01A6" w:rsidR="00D210F0" w:rsidRPr="00092ED7" w:rsidRDefault="00D210F0" w:rsidP="00D210F0">
      <w:pPr>
        <w:spacing w:after="60"/>
        <w:rPr>
          <w:rFonts w:cs="Times New Roman"/>
          <w:szCs w:val="24"/>
          <w:lang w:val="sr-Cyrl-CS"/>
        </w:rPr>
      </w:pPr>
      <w:r w:rsidRPr="00092ED7">
        <w:rPr>
          <w:rFonts w:cs="Times New Roman"/>
          <w:szCs w:val="24"/>
          <w:lang w:val="sr-Cyrl-CS"/>
        </w:rPr>
        <w:t xml:space="preserve">Услед раста цене енергената на глобалном тржишту, </w:t>
      </w:r>
      <w:r w:rsidR="00871074" w:rsidRPr="00092ED7">
        <w:rPr>
          <w:rFonts w:cs="Times New Roman"/>
          <w:szCs w:val="24"/>
          <w:lang w:val="sr-Cyrl-CS"/>
        </w:rPr>
        <w:t xml:space="preserve">у складу са </w:t>
      </w:r>
      <w:r w:rsidRPr="00092ED7">
        <w:rPr>
          <w:rFonts w:cs="Times New Roman"/>
          <w:i/>
          <w:szCs w:val="24"/>
          <w:lang w:val="sr-Cyrl-CS"/>
        </w:rPr>
        <w:t>Уредб</w:t>
      </w:r>
      <w:r w:rsidR="00871074" w:rsidRPr="00092ED7">
        <w:rPr>
          <w:rFonts w:cs="Times New Roman"/>
          <w:i/>
          <w:szCs w:val="24"/>
          <w:lang w:val="sr-Cyrl-CS"/>
        </w:rPr>
        <w:t>ом</w:t>
      </w:r>
      <w:r w:rsidRPr="00092ED7">
        <w:rPr>
          <w:rFonts w:cs="Times New Roman"/>
          <w:i/>
          <w:szCs w:val="24"/>
          <w:lang w:val="sr-Cyrl-CS"/>
        </w:rPr>
        <w:t xml:space="preserve"> о ограничењу висине цена деривата нафте</w:t>
      </w:r>
      <w:r w:rsidRPr="00092ED7">
        <w:rPr>
          <w:rFonts w:cs="Times New Roman"/>
          <w:szCs w:val="24"/>
          <w:lang w:val="sr-Cyrl-CS"/>
        </w:rPr>
        <w:t xml:space="preserve"> (</w:t>
      </w:r>
      <w:r w:rsidRPr="00092ED7">
        <w:rPr>
          <w:rFonts w:eastAsia="Calibri" w:cs="Times New Roman"/>
          <w:bCs/>
          <w:szCs w:val="24"/>
          <w:lang w:val="sr-Cyrl-CS"/>
        </w:rPr>
        <w:t>„Сл</w:t>
      </w:r>
      <w:r w:rsidR="00570468" w:rsidRPr="00092ED7">
        <w:rPr>
          <w:rFonts w:eastAsia="Calibri" w:cs="Times New Roman"/>
          <w:bCs/>
          <w:szCs w:val="24"/>
          <w:lang w:val="sr-Cyrl-CS"/>
        </w:rPr>
        <w:t>ужбени</w:t>
      </w:r>
      <w:r w:rsidRPr="00092ED7">
        <w:rPr>
          <w:rFonts w:eastAsia="Calibri" w:cs="Times New Roman"/>
          <w:bCs/>
          <w:szCs w:val="24"/>
          <w:lang w:val="sr-Cyrl-CS"/>
        </w:rPr>
        <w:t xml:space="preserve"> гласник РС</w:t>
      </w:r>
      <w:r w:rsidR="00570468" w:rsidRPr="00092ED7">
        <w:rPr>
          <w:rFonts w:cs="Times New Roman"/>
          <w:szCs w:val="24"/>
          <w:lang w:val="sr-Cyrl-CS"/>
        </w:rPr>
        <w:t>”</w:t>
      </w:r>
      <w:r w:rsidRPr="00092ED7">
        <w:rPr>
          <w:rFonts w:eastAsia="Calibri" w:cs="Times New Roman"/>
          <w:bCs/>
          <w:szCs w:val="24"/>
          <w:lang w:val="sr-Cyrl-CS"/>
        </w:rPr>
        <w:t>, бр</w:t>
      </w:r>
      <w:r w:rsidR="00045F19" w:rsidRPr="00092ED7">
        <w:rPr>
          <w:rFonts w:eastAsia="Calibri" w:cs="Times New Roman"/>
          <w:bCs/>
          <w:szCs w:val="24"/>
          <w:lang w:val="sr-Cyrl-CS"/>
        </w:rPr>
        <w:t>.</w:t>
      </w:r>
      <w:r w:rsidRPr="00092ED7">
        <w:rPr>
          <w:rFonts w:cs="Times New Roman"/>
          <w:szCs w:val="24"/>
          <w:lang w:val="sr-Cyrl-CS"/>
        </w:rPr>
        <w:t xml:space="preserve"> </w:t>
      </w:r>
      <w:r w:rsidR="00045F19" w:rsidRPr="00092ED7">
        <w:rPr>
          <w:rFonts w:cs="Times New Roman"/>
          <w:szCs w:val="24"/>
          <w:lang w:val="sr-Cyrl-CS"/>
        </w:rPr>
        <w:t>97/22, 110/22, 121/22, 130/22, 133/22, 144/22 и 6/23</w:t>
      </w:r>
      <w:r w:rsidRPr="00092ED7">
        <w:rPr>
          <w:rFonts w:cs="Times New Roman"/>
          <w:szCs w:val="24"/>
          <w:lang w:val="sr-Cyrl-CS"/>
        </w:rPr>
        <w:t xml:space="preserve">) </w:t>
      </w:r>
      <w:r w:rsidR="00871074" w:rsidRPr="00092ED7">
        <w:rPr>
          <w:rFonts w:cs="Times New Roman"/>
          <w:szCs w:val="24"/>
          <w:lang w:val="sr-Cyrl-CS"/>
        </w:rPr>
        <w:t xml:space="preserve">и Правилником о обрачуну просечне велепродајне цене деривата нафте EVRO DIZEL и EVRO PREMIJUM BMB 95 </w:t>
      </w:r>
      <w:r w:rsidR="00045F19" w:rsidRPr="00092ED7">
        <w:rPr>
          <w:rFonts w:cs="Times New Roman"/>
          <w:szCs w:val="24"/>
          <w:lang w:val="sr-Cyrl-CS"/>
        </w:rPr>
        <w:t>(</w:t>
      </w:r>
      <w:r w:rsidR="00045F19" w:rsidRPr="00092ED7">
        <w:rPr>
          <w:rFonts w:cs="Times New Roman"/>
          <w:bCs/>
          <w:szCs w:val="24"/>
          <w:lang w:val="sr-Cyrl-CS"/>
        </w:rPr>
        <w:t>„Службени гласник РС</w:t>
      </w:r>
      <w:r w:rsidR="00045F19" w:rsidRPr="00092ED7">
        <w:rPr>
          <w:rFonts w:cs="Times New Roman"/>
          <w:szCs w:val="24"/>
          <w:lang w:val="sr-Cyrl-CS"/>
        </w:rPr>
        <w:t>”</w:t>
      </w:r>
      <w:r w:rsidR="00045F19" w:rsidRPr="00092ED7">
        <w:rPr>
          <w:rFonts w:cs="Times New Roman"/>
          <w:bCs/>
          <w:szCs w:val="24"/>
          <w:lang w:val="sr-Cyrl-CS"/>
        </w:rPr>
        <w:t xml:space="preserve">, број 98/22) </w:t>
      </w:r>
      <w:r w:rsidRPr="00092ED7">
        <w:rPr>
          <w:rFonts w:cs="Times New Roman"/>
          <w:szCs w:val="24"/>
          <w:lang w:val="sr-Cyrl-CS"/>
        </w:rPr>
        <w:t>врши се усклађивање цена евродизела и бензина сваких седам дана како би се заштитили потрошачи и привреда. Смањене су акцизе у висини од 20% на гориво. Цена горива за пољопривреднике ограничена је на око 1,5 евра за литар, чиме је обезбеђено несметано одвијање пољопривредних радова. У циљу јачања регионалне сарадње успостављена је прва регионална берза електричне енергије за Централну и Источну Европу.</w:t>
      </w:r>
    </w:p>
    <w:p w14:paraId="40D7A430" w14:textId="51398A0F" w:rsidR="00D210F0" w:rsidRPr="00092ED7" w:rsidRDefault="00D210F0" w:rsidP="00185703">
      <w:pPr>
        <w:spacing w:after="0"/>
        <w:rPr>
          <w:rFonts w:eastAsia="Calibri" w:cs="Times New Roman"/>
          <w:szCs w:val="24"/>
          <w:lang w:val="sr-Cyrl-CS"/>
        </w:rPr>
      </w:pPr>
      <w:r w:rsidRPr="00092ED7">
        <w:rPr>
          <w:rFonts w:eastAsia="Calibri" w:cs="Times New Roman"/>
          <w:b/>
          <w:szCs w:val="24"/>
          <w:lang w:val="sr-Cyrl-CS"/>
        </w:rPr>
        <w:t xml:space="preserve">Поједностављени су и убрзани поступци за остваривање права у области енергетике. </w:t>
      </w:r>
      <w:r w:rsidR="00A12F87" w:rsidRPr="00092ED7">
        <w:rPr>
          <w:rFonts w:eastAsia="Calibri" w:cs="Times New Roman"/>
          <w:b/>
          <w:szCs w:val="24"/>
          <w:lang w:val="sr-Cyrl-CS"/>
        </w:rPr>
        <w:t>Законом о изменама и допунама Закона о енергетици</w:t>
      </w:r>
      <w:r w:rsidR="00A12F87" w:rsidRPr="00092ED7">
        <w:rPr>
          <w:rFonts w:cs="Times New Roman"/>
          <w:sz w:val="16"/>
          <w:szCs w:val="16"/>
          <w:lang w:val="sr-Cyrl-CS"/>
        </w:rPr>
        <w:t xml:space="preserve"> </w:t>
      </w:r>
      <w:r w:rsidR="00A12F87" w:rsidRPr="00092ED7">
        <w:rPr>
          <w:rFonts w:cs="Times New Roman"/>
          <w:szCs w:val="24"/>
          <w:lang w:val="sr-Cyrl-CS"/>
        </w:rPr>
        <w:t>(Службени гласник РС”, број 40/21)</w:t>
      </w:r>
      <w:r w:rsidR="00A12F87" w:rsidRPr="00092ED7">
        <w:rPr>
          <w:rFonts w:eastAsia="Calibri" w:cs="Times New Roman"/>
          <w:szCs w:val="24"/>
          <w:lang w:val="sr-Cyrl-CS"/>
        </w:rPr>
        <w:t xml:space="preserve"> </w:t>
      </w:r>
      <w:r w:rsidRPr="00092ED7">
        <w:rPr>
          <w:rFonts w:eastAsia="Calibri" w:cs="Times New Roman"/>
          <w:szCs w:val="24"/>
          <w:lang w:val="sr-Cyrl-CS"/>
        </w:rPr>
        <w:t>омогућено је брже и једноставније издавање дозвола и сагласности кроз систем електронског пословања (</w:t>
      </w:r>
      <w:r w:rsidRPr="00092ED7">
        <w:rPr>
          <w:rFonts w:eastAsia="Calibri" w:cs="Times New Roman"/>
          <w:b/>
          <w:szCs w:val="24"/>
          <w:lang w:val="sr-Cyrl-CS"/>
        </w:rPr>
        <w:t>е-енергетика</w:t>
      </w:r>
      <w:r w:rsidRPr="00092ED7">
        <w:rPr>
          <w:rFonts w:eastAsia="Calibri" w:cs="Times New Roman"/>
          <w:szCs w:val="24"/>
          <w:lang w:val="sr-Cyrl-CS"/>
        </w:rPr>
        <w:t xml:space="preserve">). Уведен је правни основ за е-енергетику, као и мера прибављања документације из службених евиденција, чиме ће се поступци знатно убрзати и смањити трошкови за привреду и грађане. </w:t>
      </w:r>
      <w:r w:rsidR="00A12F87" w:rsidRPr="00092ED7">
        <w:rPr>
          <w:rFonts w:eastAsia="Calibri" w:cs="Times New Roman"/>
          <w:szCs w:val="24"/>
          <w:lang w:val="sr-Cyrl-CS"/>
        </w:rPr>
        <w:t xml:space="preserve">Законом о изменама и допунама Закона о рударству и геолошким истраживањима </w:t>
      </w:r>
      <w:r w:rsidR="00C1699A" w:rsidRPr="00092ED7">
        <w:rPr>
          <w:rFonts w:eastAsia="Calibri" w:cs="Times New Roman"/>
          <w:szCs w:val="24"/>
          <w:lang w:val="sr-Cyrl-CS"/>
        </w:rPr>
        <w:t>(</w:t>
      </w:r>
      <w:r w:rsidR="00A12F87" w:rsidRPr="00092ED7">
        <w:rPr>
          <w:rFonts w:cs="Times New Roman"/>
          <w:szCs w:val="24"/>
          <w:lang w:val="sr-Cyrl-CS"/>
        </w:rPr>
        <w:t>Службени гласник РС”, број 40/21)</w:t>
      </w:r>
      <w:r w:rsidR="00A12F87" w:rsidRPr="00092ED7">
        <w:rPr>
          <w:rFonts w:eastAsia="Calibri" w:cs="Times New Roman"/>
          <w:szCs w:val="24"/>
          <w:lang w:val="sr-Cyrl-CS"/>
        </w:rPr>
        <w:t xml:space="preserve"> </w:t>
      </w:r>
      <w:r w:rsidRPr="00092ED7">
        <w:rPr>
          <w:rFonts w:eastAsia="Calibri" w:cs="Times New Roman"/>
          <w:szCs w:val="24"/>
          <w:lang w:val="sr-Cyrl-CS"/>
        </w:rPr>
        <w:t xml:space="preserve">створена је основа за брже подношења захтева и ефикасније издавање дозвола, праћење и контролу геолошких истраживања и експлоатације минералних </w:t>
      </w:r>
      <w:r w:rsidRPr="00092ED7">
        <w:rPr>
          <w:rFonts w:eastAsia="Calibri" w:cs="Times New Roman"/>
          <w:szCs w:val="24"/>
          <w:lang w:val="sr-Cyrl-CS"/>
        </w:rPr>
        <w:lastRenderedPageBreak/>
        <w:t>сировина, подземних вода и геотермалних ресурса (</w:t>
      </w:r>
      <w:r w:rsidRPr="00092ED7">
        <w:rPr>
          <w:rFonts w:eastAsia="Calibri" w:cs="Times New Roman"/>
          <w:b/>
          <w:szCs w:val="24"/>
          <w:lang w:val="sr-Cyrl-CS"/>
        </w:rPr>
        <w:t>е-рударство</w:t>
      </w:r>
      <w:r w:rsidRPr="00092ED7">
        <w:rPr>
          <w:rFonts w:eastAsia="Calibri" w:cs="Times New Roman"/>
          <w:szCs w:val="24"/>
          <w:lang w:val="sr-Cyrl-CS"/>
        </w:rPr>
        <w:t xml:space="preserve">). Увођењем е-рударства планирано је смањење времена издавања одобрења са актуелних 150 дана на 15-20 дана. </w:t>
      </w:r>
    </w:p>
    <w:p w14:paraId="2BC28D25" w14:textId="32750191" w:rsidR="00185703" w:rsidRPr="00092ED7" w:rsidRDefault="00185703" w:rsidP="00185703">
      <w:pPr>
        <w:shd w:val="clear" w:color="auto" w:fill="FFFFFF"/>
        <w:spacing w:after="0"/>
        <w:rPr>
          <w:rFonts w:eastAsia="Calibri" w:cs="Times New Roman"/>
          <w:szCs w:val="24"/>
          <w:lang w:val="sr-Cyrl-CS"/>
        </w:rPr>
      </w:pPr>
      <w:r w:rsidRPr="00092ED7">
        <w:rPr>
          <w:rFonts w:eastAsia="Calibri" w:cs="Times New Roman"/>
          <w:szCs w:val="24"/>
          <w:lang w:val="sr-Cyrl-CS"/>
        </w:rPr>
        <w:t xml:space="preserve">Влада </w:t>
      </w:r>
      <w:r w:rsidR="002415E2" w:rsidRPr="00092ED7">
        <w:rPr>
          <w:rFonts w:eastAsia="Calibri" w:cs="Times New Roman"/>
          <w:szCs w:val="24"/>
          <w:lang w:val="sr-Cyrl-CS"/>
        </w:rPr>
        <w:t xml:space="preserve">је </w:t>
      </w:r>
      <w:r w:rsidR="00C1699A" w:rsidRPr="00092ED7">
        <w:rPr>
          <w:rFonts w:eastAsia="Calibri" w:cs="Times New Roman"/>
          <w:szCs w:val="24"/>
          <w:lang w:val="sr-Cyrl-CS"/>
        </w:rPr>
        <w:t xml:space="preserve">у </w:t>
      </w:r>
      <w:r w:rsidRPr="00092ED7">
        <w:rPr>
          <w:rFonts w:eastAsia="Calibri" w:cs="Times New Roman"/>
          <w:szCs w:val="24"/>
          <w:lang w:val="sr-Cyrl-CS"/>
        </w:rPr>
        <w:t>децембр</w:t>
      </w:r>
      <w:r w:rsidR="00C1699A" w:rsidRPr="00092ED7">
        <w:rPr>
          <w:rFonts w:eastAsia="Calibri" w:cs="Times New Roman"/>
          <w:szCs w:val="24"/>
          <w:lang w:val="sr-Cyrl-CS"/>
        </w:rPr>
        <w:t>у</w:t>
      </w:r>
      <w:r w:rsidRPr="00092ED7">
        <w:rPr>
          <w:rFonts w:eastAsia="Calibri" w:cs="Times New Roman"/>
          <w:szCs w:val="24"/>
          <w:lang w:val="sr-Cyrl-CS"/>
        </w:rPr>
        <w:t xml:space="preserve"> 2022. године </w:t>
      </w:r>
      <w:r w:rsidR="002415E2" w:rsidRPr="00092ED7">
        <w:rPr>
          <w:rFonts w:eastAsia="Calibri" w:cs="Times New Roman"/>
          <w:szCs w:val="24"/>
          <w:lang w:val="sr-Cyrl-CS"/>
        </w:rPr>
        <w:t xml:space="preserve">усвојила </w:t>
      </w:r>
      <w:r w:rsidRPr="00092ED7">
        <w:rPr>
          <w:rFonts w:eastAsia="Calibri" w:cs="Times New Roman"/>
          <w:szCs w:val="24"/>
          <w:lang w:val="sr-Cyrl-CS"/>
        </w:rPr>
        <w:t>„Мапу пута за подршку енергетици</w:t>
      </w:r>
      <w:r w:rsidR="006A7CA1" w:rsidRPr="00092ED7">
        <w:rPr>
          <w:rFonts w:cs="Times New Roman"/>
          <w:szCs w:val="24"/>
          <w:lang w:val="sr-Cyrl-CS"/>
        </w:rPr>
        <w:t>”</w:t>
      </w:r>
      <w:r w:rsidRPr="00092ED7">
        <w:rPr>
          <w:rFonts w:eastAsia="Calibri" w:cs="Times New Roman"/>
          <w:szCs w:val="24"/>
          <w:lang w:val="sr-Cyrl-CS"/>
        </w:rPr>
        <w:t xml:space="preserve">, чиме су се стекли услови за потписивање Финансијског споразума за ИПА 2023 којим ће бити обезбеђено 165 милиона евра директне секторске буџетске подршке за енергетику. Мапа пута је усредсређена на подршку најугоженијим домаћинствима и малим и средњим предузећима, али и наставку енергетске транзиције и даље унапређење енергетске стабилности. </w:t>
      </w:r>
    </w:p>
    <w:p w14:paraId="61AD97C3" w14:textId="77777777" w:rsidR="00D210F0" w:rsidRPr="00092ED7" w:rsidRDefault="00D210F0" w:rsidP="00D210F0">
      <w:pPr>
        <w:spacing w:before="120"/>
        <w:rPr>
          <w:rFonts w:eastAsia="Times New Roman" w:cs="Times New Roman"/>
          <w:b/>
          <w:bCs/>
          <w:szCs w:val="24"/>
          <w:lang w:val="sr-Cyrl-CS"/>
        </w:rPr>
      </w:pPr>
      <w:r w:rsidRPr="00092ED7">
        <w:rPr>
          <w:rFonts w:eastAsia="Times New Roman" w:cs="Times New Roman"/>
          <w:b/>
          <w:bCs/>
          <w:szCs w:val="24"/>
          <w:lang w:val="sr-Cyrl-CS"/>
        </w:rPr>
        <w:t>а) Реформе</w:t>
      </w:r>
    </w:p>
    <w:p w14:paraId="5BA3ED14" w14:textId="77777777" w:rsidR="00D210F0" w:rsidRPr="00092ED7" w:rsidRDefault="00D210F0" w:rsidP="00D210F0">
      <w:pPr>
        <w:spacing w:before="120"/>
        <w:rPr>
          <w:rFonts w:eastAsia="Calibri" w:cs="Times New Roman"/>
          <w:szCs w:val="24"/>
          <w:lang w:val="sr-Cyrl-CS"/>
        </w:rPr>
      </w:pPr>
      <w:r w:rsidRPr="00092ED7">
        <w:rPr>
          <w:rFonts w:eastAsia="Calibri" w:cs="Times New Roman"/>
          <w:b/>
          <w:szCs w:val="24"/>
          <w:u w:val="single"/>
          <w:lang w:val="sr-Cyrl-CS"/>
        </w:rPr>
        <w:t>СТРУКТУРНА РЕФОРМА 8</w:t>
      </w:r>
      <w:r w:rsidRPr="00092ED7">
        <w:rPr>
          <w:rFonts w:eastAsia="Calibri" w:cs="Times New Roman"/>
          <w:b/>
          <w:szCs w:val="24"/>
          <w:lang w:val="sr-Cyrl-CS"/>
        </w:rPr>
        <w:t xml:space="preserve">: </w:t>
      </w:r>
      <w:r w:rsidRPr="00092ED7">
        <w:rPr>
          <w:rFonts w:eastAsia="Calibri" w:cs="Times New Roman"/>
          <w:szCs w:val="24"/>
          <w:lang w:val="sr-Cyrl-CS"/>
        </w:rPr>
        <w:t>УНАПРЕЂЕЊЕ УСЛОВА ЗА ПОВЕЋАЊЕ ЕНЕРГЕТСКЕ ЕФИКАСНОСТИ КРОЗ СТВАРАЊЕ УСЛОВА ЗА ПРИМЕНУ ЕНЕРГЕТСКОГ ОЗНАЧАВАЊА И ЕКОДИЗАЈНА, КАО И КРОЗ ПОДСТИЦАЈЕ ЗА УНАПРЕЂЕЊЕ ЕНЕРГЕТСКЕ ЕФИКАСНОСТИ</w:t>
      </w:r>
    </w:p>
    <w:p w14:paraId="3ACAFEEB" w14:textId="77777777" w:rsidR="00D210F0" w:rsidRPr="00092ED7" w:rsidRDefault="00D210F0" w:rsidP="00071952">
      <w:pPr>
        <w:pStyle w:val="ListParagraph"/>
        <w:widowControl w:val="0"/>
        <w:numPr>
          <w:ilvl w:val="0"/>
          <w:numId w:val="25"/>
        </w:numPr>
        <w:spacing w:before="120" w:line="240" w:lineRule="auto"/>
        <w:ind w:left="425" w:hanging="425"/>
        <w:contextualSpacing w:val="0"/>
        <w:rPr>
          <w:rFonts w:cs="Times New Roman"/>
          <w:b/>
          <w:sz w:val="24"/>
          <w:szCs w:val="24"/>
          <w:lang w:val="sr-Cyrl-CS" w:eastAsia="sr-Cyrl-CS" w:bidi="sr-Cyrl-CS"/>
        </w:rPr>
      </w:pPr>
      <w:r w:rsidRPr="00092ED7">
        <w:rPr>
          <w:rFonts w:cs="Times New Roman"/>
          <w:b/>
          <w:sz w:val="24"/>
          <w:szCs w:val="24"/>
          <w:lang w:val="sr-Cyrl-CS" w:eastAsia="sr-Cyrl-CS" w:bidi="sr-Cyrl-CS"/>
        </w:rPr>
        <w:t>Опис структурне реформе</w:t>
      </w:r>
    </w:p>
    <w:p w14:paraId="18A2515E" w14:textId="46F12E60" w:rsidR="00D210F0" w:rsidRPr="00092ED7" w:rsidRDefault="00740C58" w:rsidP="00B640AF">
      <w:pPr>
        <w:rPr>
          <w:rFonts w:cs="Times New Roman"/>
          <w:szCs w:val="24"/>
          <w:lang w:val="sr-Cyrl-CS"/>
        </w:rPr>
      </w:pPr>
      <w:r w:rsidRPr="00092ED7">
        <w:rPr>
          <w:rFonts w:eastAsia="Calibri" w:cs="Times New Roman"/>
          <w:szCs w:val="24"/>
          <w:lang w:val="sr-Cyrl-CS" w:eastAsia="sr-Cyrl-CS" w:bidi="sr-Cyrl-CS"/>
        </w:rPr>
        <w:t>Циљ структурне реформе је унапређење енергетске ефикасности у Републици Србији. У претходном периоду донет је Закон о енергетској ефикасности и рационалној употреби енергије</w:t>
      </w:r>
      <w:r w:rsidR="008D24BA" w:rsidRPr="00092ED7">
        <w:rPr>
          <w:rFonts w:eastAsia="Calibri" w:cs="Times New Roman"/>
          <w:szCs w:val="24"/>
          <w:lang w:val="sr-Cyrl-CS" w:eastAsia="sr-Cyrl-CS" w:bidi="sr-Cyrl-CS"/>
        </w:rPr>
        <w:t xml:space="preserve"> </w:t>
      </w:r>
      <w:r w:rsidR="008D24BA" w:rsidRPr="00092ED7">
        <w:rPr>
          <w:rFonts w:cs="Times New Roman"/>
          <w:szCs w:val="24"/>
          <w:lang w:val="sr-Cyrl-CS"/>
        </w:rPr>
        <w:t>(„Службени гласник РС”, број 40/21</w:t>
      </w:r>
      <w:r w:rsidR="00C1699A" w:rsidRPr="00092ED7">
        <w:rPr>
          <w:rFonts w:cs="Times New Roman"/>
          <w:szCs w:val="24"/>
          <w:lang w:val="sr-Cyrl-CS"/>
        </w:rPr>
        <w:t>,</w:t>
      </w:r>
      <w:r w:rsidR="00792CBF" w:rsidRPr="00092ED7">
        <w:rPr>
          <w:rFonts w:cs="Times New Roman"/>
          <w:szCs w:val="24"/>
          <w:lang w:val="sr-Cyrl-CS"/>
        </w:rPr>
        <w:t xml:space="preserve"> </w:t>
      </w:r>
      <w:r w:rsidR="004B1308" w:rsidRPr="00092ED7">
        <w:rPr>
          <w:rFonts w:eastAsia="Calibri" w:cs="Times New Roman"/>
          <w:szCs w:val="24"/>
          <w:lang w:val="sr-Cyrl-CS" w:eastAsia="sr-Cyrl-CS" w:bidi="sr-Cyrl-CS"/>
        </w:rPr>
        <w:t xml:space="preserve">у даљем тексту: </w:t>
      </w:r>
      <w:r w:rsidRPr="00092ED7">
        <w:rPr>
          <w:rFonts w:eastAsia="Calibri" w:cs="Times New Roman"/>
          <w:szCs w:val="24"/>
          <w:lang w:val="sr-Cyrl-CS" w:eastAsia="sr-Cyrl-CS" w:bidi="sr-Cyrl-CS"/>
        </w:rPr>
        <w:t xml:space="preserve">ЗЕЕРУЕ), припремљен већи број подзаконских аката и успостављена Управа </w:t>
      </w:r>
      <w:r w:rsidR="00045F19" w:rsidRPr="00092ED7">
        <w:rPr>
          <w:rFonts w:eastAsia="Calibri" w:cs="Times New Roman"/>
          <w:bCs/>
          <w:iCs/>
          <w:szCs w:val="24"/>
          <w:lang w:val="sr-Cyrl-CS" w:eastAsia="sr-Cyrl-CS" w:bidi="sr-Cyrl-CS"/>
        </w:rPr>
        <w:t>за финансирање и подстицање енергетске ефикасности</w:t>
      </w:r>
      <w:r w:rsidRPr="00092ED7">
        <w:rPr>
          <w:rFonts w:eastAsia="Calibri" w:cs="Times New Roman"/>
          <w:szCs w:val="24"/>
          <w:lang w:val="sr-Cyrl-CS" w:eastAsia="sr-Cyrl-CS" w:bidi="sr-Cyrl-CS"/>
        </w:rPr>
        <w:t xml:space="preserve">. Реформа ће обухватити активности које доприносе спровођењу енергетског означавања производа и еко-дизајна кроз доношење техничких прописа у складу са ЗЕЕРУЕ и ЕУ регулативом. За спровођење ове реформе од великог је значаја да се ојачају капацитети тела која врше тржишни надзор над спровођењем ових прописа као и да се подржи успостављање и развој капацитета тела за оцену усаглашености, па ће се структурна реформа фокусирати на то да се обезбеди техничка помоћ за изградњу капацитета укључујући пилот тестирања производа који се налазе на тржишту. Посебна пажња ће се посветити подизању свести свих учесника на тржишту, посебно крајњих купаца производа, о користима </w:t>
      </w:r>
      <w:r w:rsidR="00C1699A" w:rsidRPr="00092ED7">
        <w:rPr>
          <w:rFonts w:eastAsia="Calibri" w:cs="Times New Roman"/>
          <w:szCs w:val="24"/>
          <w:lang w:val="sr-Cyrl-CS" w:eastAsia="sr-Cyrl-CS" w:bidi="sr-Cyrl-CS"/>
        </w:rPr>
        <w:t xml:space="preserve">доношења </w:t>
      </w:r>
      <w:r w:rsidRPr="00092ED7">
        <w:rPr>
          <w:rFonts w:eastAsia="Calibri" w:cs="Times New Roman"/>
          <w:szCs w:val="24"/>
          <w:lang w:val="sr-Cyrl-CS" w:eastAsia="sr-Cyrl-CS" w:bidi="sr-Cyrl-CS"/>
        </w:rPr>
        <w:t xml:space="preserve">техничких прописа којима се постиже смањење потрошње енергије и смањење негативних утицаја коришћења енергије на животну средину као и дужи животни век производа. Осим тога, реформа ће обухватити и јачање капацитета Управе </w:t>
      </w:r>
      <w:r w:rsidR="00045F19" w:rsidRPr="00092ED7">
        <w:rPr>
          <w:rFonts w:eastAsia="Calibri" w:cs="Times New Roman"/>
          <w:bCs/>
          <w:iCs/>
          <w:szCs w:val="24"/>
          <w:lang w:val="sr-Cyrl-CS" w:eastAsia="sr-Cyrl-CS" w:bidi="sr-Cyrl-CS"/>
        </w:rPr>
        <w:t>за финансирање и подстицање енергетске ефикасности</w:t>
      </w:r>
      <w:r w:rsidRPr="00092ED7">
        <w:rPr>
          <w:rFonts w:eastAsia="Calibri" w:cs="Times New Roman"/>
          <w:szCs w:val="24"/>
          <w:lang w:val="sr-Cyrl-CS" w:eastAsia="sr-Cyrl-CS" w:bidi="sr-Cyrl-CS"/>
        </w:rPr>
        <w:t xml:space="preserve"> за доделу подстицаја за енергетску ефикасност и обезбеђење већих средстава подстицаја са посебним фокусом на сектор зграда као и санацију стамбених објеката и уградњу соларних панела у сектору домаћинстава. За јачање капацитета Управе </w:t>
      </w:r>
      <w:r w:rsidR="00045F19" w:rsidRPr="00092ED7">
        <w:rPr>
          <w:rFonts w:eastAsia="Calibri" w:cs="Times New Roman"/>
          <w:bCs/>
          <w:iCs/>
          <w:szCs w:val="24"/>
          <w:lang w:val="sr-Cyrl-CS" w:eastAsia="sr-Cyrl-CS" w:bidi="sr-Cyrl-CS"/>
        </w:rPr>
        <w:t>за финансирање и подстицање енергетске ефикасности</w:t>
      </w:r>
      <w:r w:rsidRPr="00092ED7">
        <w:rPr>
          <w:rFonts w:eastAsia="Calibri" w:cs="Times New Roman"/>
          <w:szCs w:val="24"/>
          <w:lang w:val="sr-Cyrl-CS" w:eastAsia="sr-Cyrl-CS" w:bidi="sr-Cyrl-CS"/>
        </w:rPr>
        <w:t xml:space="preserve"> биће обезбеђена техничка помоћ која треба да омогући даље унапређење механизама подстицаја које спроводи Управа </w:t>
      </w:r>
      <w:r w:rsidR="00045F19" w:rsidRPr="00092ED7">
        <w:rPr>
          <w:rFonts w:eastAsia="Calibri" w:cs="Times New Roman"/>
          <w:bCs/>
          <w:iCs/>
          <w:szCs w:val="24"/>
          <w:lang w:val="sr-Cyrl-CS" w:eastAsia="sr-Cyrl-CS" w:bidi="sr-Cyrl-CS"/>
        </w:rPr>
        <w:t>за финансирање и подстицање енергетске ефикасности</w:t>
      </w:r>
      <w:r w:rsidRPr="00092ED7">
        <w:rPr>
          <w:rFonts w:eastAsia="Calibri" w:cs="Times New Roman"/>
          <w:szCs w:val="24"/>
          <w:lang w:val="sr-Cyrl-CS" w:eastAsia="sr-Cyrl-CS" w:bidi="sr-Cyrl-CS"/>
        </w:rPr>
        <w:t xml:space="preserve"> са посебним фокусом на санацију стамбених објеката и уградњу соларних панела у сектору домаћинстава.</w:t>
      </w:r>
    </w:p>
    <w:p w14:paraId="26184E61" w14:textId="77777777" w:rsidR="00D210F0" w:rsidRPr="00092ED7" w:rsidRDefault="00D210F0" w:rsidP="00071952">
      <w:pPr>
        <w:widowControl w:val="0"/>
        <w:numPr>
          <w:ilvl w:val="0"/>
          <w:numId w:val="25"/>
        </w:numPr>
        <w:spacing w:before="120"/>
        <w:ind w:left="425" w:hanging="425"/>
        <w:rPr>
          <w:rFonts w:eastAsia="Calibri" w:cs="Times New Roman"/>
          <w:b/>
          <w:szCs w:val="24"/>
          <w:lang w:val="sr-Cyrl-CS" w:eastAsia="sr-Cyrl-CS" w:bidi="sr-Cyrl-CS"/>
        </w:rPr>
      </w:pPr>
      <w:r w:rsidRPr="00092ED7">
        <w:rPr>
          <w:rFonts w:eastAsia="Calibri" w:cs="Times New Roman"/>
          <w:b/>
          <w:szCs w:val="24"/>
          <w:lang w:val="sr-Cyrl-CS" w:eastAsia="sr-Cyrl-CS" w:bidi="sr-Cyrl-CS"/>
        </w:rPr>
        <w:t>Планиране активности по годинама</w:t>
      </w:r>
    </w:p>
    <w:tbl>
      <w:tblPr>
        <w:tblW w:w="9139" w:type="dxa"/>
        <w:tblLayout w:type="fixed"/>
        <w:tblCellMar>
          <w:left w:w="0" w:type="dxa"/>
          <w:right w:w="0" w:type="dxa"/>
        </w:tblCellMar>
        <w:tblLook w:val="04A0" w:firstRow="1" w:lastRow="0" w:firstColumn="1" w:lastColumn="0" w:noHBand="0" w:noVBand="1"/>
      </w:tblPr>
      <w:tblGrid>
        <w:gridCol w:w="425"/>
        <w:gridCol w:w="4243"/>
        <w:gridCol w:w="372"/>
        <w:gridCol w:w="373"/>
        <w:gridCol w:w="372"/>
        <w:gridCol w:w="373"/>
        <w:gridCol w:w="372"/>
        <w:gridCol w:w="373"/>
        <w:gridCol w:w="373"/>
        <w:gridCol w:w="372"/>
        <w:gridCol w:w="373"/>
        <w:gridCol w:w="372"/>
        <w:gridCol w:w="373"/>
        <w:gridCol w:w="373"/>
      </w:tblGrid>
      <w:tr w:rsidR="00D210F0" w:rsidRPr="00092ED7" w14:paraId="5A644ED5" w14:textId="77777777" w:rsidTr="00AE4362">
        <w:trPr>
          <w:trHeight w:val="315"/>
        </w:trPr>
        <w:tc>
          <w:tcPr>
            <w:tcW w:w="425" w:type="dxa"/>
            <w:vMerge w:val="restart"/>
            <w:tcBorders>
              <w:top w:val="single" w:sz="8" w:space="0" w:color="auto"/>
              <w:left w:val="single" w:sz="8" w:space="0" w:color="auto"/>
              <w:right w:val="nil"/>
            </w:tcBorders>
            <w:shd w:val="clear" w:color="000000" w:fill="BDD6EE"/>
            <w:tcMar>
              <w:top w:w="15" w:type="dxa"/>
              <w:left w:w="15" w:type="dxa"/>
              <w:bottom w:w="0" w:type="dxa"/>
              <w:right w:w="15" w:type="dxa"/>
            </w:tcMar>
            <w:vAlign w:val="center"/>
            <w:hideMark/>
          </w:tcPr>
          <w:p w14:paraId="0D83A0CE" w14:textId="77777777" w:rsidR="00D210F0" w:rsidRPr="00092ED7" w:rsidRDefault="00D210F0" w:rsidP="00D210F0">
            <w:pPr>
              <w:spacing w:after="0"/>
              <w:jc w:val="center"/>
              <w:rPr>
                <w:rFonts w:cs="Times New Roman"/>
                <w:sz w:val="20"/>
                <w:szCs w:val="20"/>
                <w:lang w:val="sr-Cyrl-CS"/>
              </w:rPr>
            </w:pPr>
            <w:r w:rsidRPr="00092ED7">
              <w:rPr>
                <w:rFonts w:cs="Times New Roman"/>
                <w:b/>
                <w:bCs/>
                <w:color w:val="000000"/>
                <w:sz w:val="20"/>
                <w:szCs w:val="20"/>
                <w:lang w:val="sr-Cyrl-CS"/>
              </w:rPr>
              <w:t>РБ</w:t>
            </w:r>
          </w:p>
        </w:tc>
        <w:tc>
          <w:tcPr>
            <w:tcW w:w="4243" w:type="dxa"/>
            <w:vMerge w:val="restart"/>
            <w:tcBorders>
              <w:top w:val="single" w:sz="8" w:space="0" w:color="auto"/>
              <w:left w:val="single" w:sz="8" w:space="0" w:color="auto"/>
              <w:bottom w:val="single" w:sz="8" w:space="0" w:color="000000"/>
              <w:right w:val="nil"/>
            </w:tcBorders>
            <w:shd w:val="clear" w:color="auto" w:fill="BDD6EE" w:themeFill="accent1" w:themeFillTint="66"/>
            <w:tcMar>
              <w:top w:w="15" w:type="dxa"/>
              <w:left w:w="15" w:type="dxa"/>
              <w:bottom w:w="0" w:type="dxa"/>
              <w:right w:w="15" w:type="dxa"/>
            </w:tcMar>
            <w:vAlign w:val="center"/>
            <w:hideMark/>
          </w:tcPr>
          <w:p w14:paraId="0DBCAFD8" w14:textId="77777777" w:rsidR="00D210F0" w:rsidRPr="00092ED7" w:rsidRDefault="00D210F0" w:rsidP="00D210F0">
            <w:pPr>
              <w:spacing w:after="0"/>
              <w:jc w:val="left"/>
              <w:rPr>
                <w:rFonts w:cs="Times New Roman"/>
                <w:b/>
                <w:bCs/>
                <w:color w:val="000000"/>
                <w:sz w:val="20"/>
                <w:szCs w:val="20"/>
                <w:lang w:val="sr-Cyrl-CS"/>
              </w:rPr>
            </w:pPr>
            <w:r w:rsidRPr="00092ED7">
              <w:rPr>
                <w:rFonts w:cs="Times New Roman"/>
                <w:b/>
                <w:bCs/>
                <w:color w:val="000000"/>
                <w:sz w:val="20"/>
                <w:szCs w:val="20"/>
                <w:lang w:val="sr-Cyrl-CS"/>
              </w:rPr>
              <w:t>Планиране активности</w:t>
            </w:r>
          </w:p>
        </w:tc>
        <w:tc>
          <w:tcPr>
            <w:tcW w:w="1490" w:type="dxa"/>
            <w:gridSpan w:val="4"/>
            <w:tcBorders>
              <w:top w:val="single" w:sz="8" w:space="0" w:color="auto"/>
              <w:left w:val="single" w:sz="8" w:space="0" w:color="auto"/>
              <w:bottom w:val="single" w:sz="4" w:space="0" w:color="auto"/>
              <w:right w:val="single" w:sz="8" w:space="0" w:color="000000"/>
            </w:tcBorders>
            <w:shd w:val="clear" w:color="auto" w:fill="BDD6EE" w:themeFill="accent1" w:themeFillTint="66"/>
            <w:tcMar>
              <w:top w:w="15" w:type="dxa"/>
              <w:left w:w="15" w:type="dxa"/>
              <w:bottom w:w="0" w:type="dxa"/>
              <w:right w:w="15" w:type="dxa"/>
            </w:tcMar>
            <w:vAlign w:val="center"/>
            <w:hideMark/>
          </w:tcPr>
          <w:p w14:paraId="1AB29D01" w14:textId="77777777" w:rsidR="00D210F0" w:rsidRPr="00092ED7" w:rsidRDefault="00D210F0" w:rsidP="00D210F0">
            <w:pPr>
              <w:spacing w:after="0"/>
              <w:jc w:val="center"/>
              <w:rPr>
                <w:rFonts w:cs="Times New Roman"/>
                <w:b/>
                <w:bCs/>
                <w:color w:val="000000"/>
                <w:sz w:val="20"/>
                <w:szCs w:val="20"/>
                <w:lang w:val="sr-Cyrl-CS"/>
              </w:rPr>
            </w:pPr>
            <w:r w:rsidRPr="00092ED7">
              <w:rPr>
                <w:rFonts w:cs="Times New Roman"/>
                <w:b/>
                <w:bCs/>
                <w:color w:val="000000"/>
                <w:sz w:val="20"/>
                <w:szCs w:val="20"/>
                <w:lang w:val="sr-Cyrl-CS"/>
              </w:rPr>
              <w:t>2023</w:t>
            </w:r>
          </w:p>
        </w:tc>
        <w:tc>
          <w:tcPr>
            <w:tcW w:w="1490" w:type="dxa"/>
            <w:gridSpan w:val="4"/>
            <w:tcBorders>
              <w:top w:val="single" w:sz="8" w:space="0" w:color="auto"/>
              <w:left w:val="single" w:sz="8" w:space="0" w:color="auto"/>
              <w:bottom w:val="single" w:sz="4" w:space="0" w:color="auto"/>
              <w:right w:val="single" w:sz="8" w:space="0" w:color="000000"/>
            </w:tcBorders>
            <w:shd w:val="clear" w:color="auto" w:fill="BDD6EE" w:themeFill="accent1" w:themeFillTint="66"/>
            <w:tcMar>
              <w:top w:w="15" w:type="dxa"/>
              <w:left w:w="15" w:type="dxa"/>
              <w:bottom w:w="0" w:type="dxa"/>
              <w:right w:w="15" w:type="dxa"/>
            </w:tcMar>
            <w:vAlign w:val="center"/>
            <w:hideMark/>
          </w:tcPr>
          <w:p w14:paraId="513DF74B" w14:textId="77777777" w:rsidR="00D210F0" w:rsidRPr="00092ED7" w:rsidRDefault="00D210F0" w:rsidP="00D210F0">
            <w:pPr>
              <w:spacing w:after="0"/>
              <w:jc w:val="center"/>
              <w:rPr>
                <w:rFonts w:cs="Times New Roman"/>
                <w:b/>
                <w:bCs/>
                <w:color w:val="000000"/>
                <w:sz w:val="20"/>
                <w:szCs w:val="20"/>
                <w:lang w:val="sr-Cyrl-CS"/>
              </w:rPr>
            </w:pPr>
            <w:r w:rsidRPr="00092ED7">
              <w:rPr>
                <w:rFonts w:cs="Times New Roman"/>
                <w:b/>
                <w:bCs/>
                <w:color w:val="000000"/>
                <w:sz w:val="20"/>
                <w:szCs w:val="20"/>
                <w:lang w:val="sr-Cyrl-CS"/>
              </w:rPr>
              <w:t>2024</w:t>
            </w:r>
          </w:p>
        </w:tc>
        <w:tc>
          <w:tcPr>
            <w:tcW w:w="1491" w:type="dxa"/>
            <w:gridSpan w:val="4"/>
            <w:tcBorders>
              <w:top w:val="single" w:sz="8" w:space="0" w:color="auto"/>
              <w:left w:val="nil"/>
              <w:bottom w:val="single" w:sz="4" w:space="0" w:color="auto"/>
              <w:right w:val="single" w:sz="8" w:space="0" w:color="000000"/>
            </w:tcBorders>
            <w:shd w:val="clear" w:color="auto" w:fill="BDD6EE" w:themeFill="accent1" w:themeFillTint="66"/>
            <w:tcMar>
              <w:top w:w="15" w:type="dxa"/>
              <w:left w:w="15" w:type="dxa"/>
              <w:bottom w:w="0" w:type="dxa"/>
              <w:right w:w="15" w:type="dxa"/>
            </w:tcMar>
            <w:vAlign w:val="center"/>
            <w:hideMark/>
          </w:tcPr>
          <w:p w14:paraId="5144E078" w14:textId="77777777" w:rsidR="00D210F0" w:rsidRPr="00092ED7" w:rsidRDefault="00D210F0" w:rsidP="00D210F0">
            <w:pPr>
              <w:spacing w:after="0"/>
              <w:jc w:val="center"/>
              <w:rPr>
                <w:rFonts w:cs="Times New Roman"/>
                <w:b/>
                <w:bCs/>
                <w:color w:val="000000"/>
                <w:sz w:val="20"/>
                <w:szCs w:val="20"/>
                <w:lang w:val="sr-Cyrl-CS"/>
              </w:rPr>
            </w:pPr>
            <w:r w:rsidRPr="00092ED7">
              <w:rPr>
                <w:rFonts w:cs="Times New Roman"/>
                <w:b/>
                <w:bCs/>
                <w:color w:val="000000"/>
                <w:sz w:val="20"/>
                <w:szCs w:val="20"/>
                <w:lang w:val="sr-Cyrl-CS"/>
              </w:rPr>
              <w:t>2025</w:t>
            </w:r>
          </w:p>
        </w:tc>
      </w:tr>
      <w:tr w:rsidR="00D210F0" w:rsidRPr="00092ED7" w14:paraId="44A810F0" w14:textId="77777777" w:rsidTr="00AE4362">
        <w:trPr>
          <w:trHeight w:val="315"/>
        </w:trPr>
        <w:tc>
          <w:tcPr>
            <w:tcW w:w="425" w:type="dxa"/>
            <w:vMerge/>
            <w:tcBorders>
              <w:left w:val="single" w:sz="8" w:space="0" w:color="auto"/>
              <w:bottom w:val="single" w:sz="8" w:space="0" w:color="000000"/>
              <w:right w:val="nil"/>
            </w:tcBorders>
            <w:shd w:val="clear" w:color="000000" w:fill="BDD6EE"/>
            <w:vAlign w:val="center"/>
            <w:hideMark/>
          </w:tcPr>
          <w:p w14:paraId="55312927" w14:textId="77777777" w:rsidR="00D210F0" w:rsidRPr="00092ED7" w:rsidRDefault="00D210F0" w:rsidP="00D210F0">
            <w:pPr>
              <w:spacing w:after="0"/>
              <w:jc w:val="center"/>
              <w:rPr>
                <w:rFonts w:cs="Times New Roman"/>
                <w:b/>
                <w:bCs/>
                <w:color w:val="000000"/>
                <w:sz w:val="20"/>
                <w:szCs w:val="20"/>
                <w:lang w:val="sr-Cyrl-CS"/>
              </w:rPr>
            </w:pPr>
          </w:p>
        </w:tc>
        <w:tc>
          <w:tcPr>
            <w:tcW w:w="4243" w:type="dxa"/>
            <w:vMerge/>
            <w:tcBorders>
              <w:top w:val="single" w:sz="8" w:space="0" w:color="auto"/>
              <w:left w:val="single" w:sz="8" w:space="0" w:color="auto"/>
              <w:bottom w:val="single" w:sz="8" w:space="0" w:color="000000"/>
              <w:right w:val="nil"/>
            </w:tcBorders>
            <w:shd w:val="clear" w:color="auto" w:fill="BDD6EE" w:themeFill="accent1" w:themeFillTint="66"/>
            <w:vAlign w:val="center"/>
            <w:hideMark/>
          </w:tcPr>
          <w:p w14:paraId="5A04ACF6" w14:textId="77777777" w:rsidR="00D210F0" w:rsidRPr="00092ED7" w:rsidRDefault="00D210F0" w:rsidP="00D210F0">
            <w:pPr>
              <w:spacing w:after="0"/>
              <w:rPr>
                <w:rFonts w:cs="Times New Roman"/>
                <w:b/>
                <w:bCs/>
                <w:color w:val="000000"/>
                <w:sz w:val="20"/>
                <w:szCs w:val="20"/>
                <w:lang w:val="sr-Cyrl-CS"/>
              </w:rPr>
            </w:pPr>
          </w:p>
        </w:tc>
        <w:tc>
          <w:tcPr>
            <w:tcW w:w="372" w:type="dxa"/>
            <w:tcBorders>
              <w:top w:val="nil"/>
              <w:left w:val="single" w:sz="8" w:space="0" w:color="auto"/>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006C3383"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Q1</w:t>
            </w:r>
          </w:p>
        </w:tc>
        <w:tc>
          <w:tcPr>
            <w:tcW w:w="373"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5200C968"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Q2</w:t>
            </w:r>
          </w:p>
        </w:tc>
        <w:tc>
          <w:tcPr>
            <w:tcW w:w="372"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033B8A0E"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Q3</w:t>
            </w:r>
          </w:p>
        </w:tc>
        <w:tc>
          <w:tcPr>
            <w:tcW w:w="373" w:type="dxa"/>
            <w:tcBorders>
              <w:top w:val="nil"/>
              <w:left w:val="nil"/>
              <w:bottom w:val="single" w:sz="8" w:space="0" w:color="auto"/>
              <w:right w:val="single" w:sz="8" w:space="0" w:color="auto"/>
            </w:tcBorders>
            <w:shd w:val="clear" w:color="auto" w:fill="BDD6EE" w:themeFill="accent1" w:themeFillTint="66"/>
            <w:tcMar>
              <w:top w:w="15" w:type="dxa"/>
              <w:left w:w="15" w:type="dxa"/>
              <w:bottom w:w="0" w:type="dxa"/>
              <w:right w:w="15" w:type="dxa"/>
            </w:tcMar>
            <w:vAlign w:val="center"/>
            <w:hideMark/>
          </w:tcPr>
          <w:p w14:paraId="1E2BEFEA"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Q4</w:t>
            </w:r>
          </w:p>
        </w:tc>
        <w:tc>
          <w:tcPr>
            <w:tcW w:w="372"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169F99A9"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Q1</w:t>
            </w:r>
          </w:p>
        </w:tc>
        <w:tc>
          <w:tcPr>
            <w:tcW w:w="373"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03D6B4FA"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Q2</w:t>
            </w:r>
          </w:p>
        </w:tc>
        <w:tc>
          <w:tcPr>
            <w:tcW w:w="373"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5EE9805C"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Q3</w:t>
            </w:r>
          </w:p>
        </w:tc>
        <w:tc>
          <w:tcPr>
            <w:tcW w:w="372" w:type="dxa"/>
            <w:tcBorders>
              <w:top w:val="nil"/>
              <w:left w:val="nil"/>
              <w:bottom w:val="single" w:sz="8" w:space="0" w:color="auto"/>
              <w:right w:val="single" w:sz="8" w:space="0" w:color="auto"/>
            </w:tcBorders>
            <w:shd w:val="clear" w:color="auto" w:fill="BDD6EE" w:themeFill="accent1" w:themeFillTint="66"/>
            <w:tcMar>
              <w:top w:w="15" w:type="dxa"/>
              <w:left w:w="15" w:type="dxa"/>
              <w:bottom w:w="0" w:type="dxa"/>
              <w:right w:w="15" w:type="dxa"/>
            </w:tcMar>
            <w:vAlign w:val="center"/>
            <w:hideMark/>
          </w:tcPr>
          <w:p w14:paraId="3EEE2356"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Q4</w:t>
            </w:r>
          </w:p>
        </w:tc>
        <w:tc>
          <w:tcPr>
            <w:tcW w:w="373"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50CE72E2"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Q1</w:t>
            </w:r>
          </w:p>
        </w:tc>
        <w:tc>
          <w:tcPr>
            <w:tcW w:w="372"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1B1A1D5F"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Q2</w:t>
            </w:r>
          </w:p>
        </w:tc>
        <w:tc>
          <w:tcPr>
            <w:tcW w:w="373"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53E5941C"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Q3</w:t>
            </w:r>
          </w:p>
        </w:tc>
        <w:tc>
          <w:tcPr>
            <w:tcW w:w="373" w:type="dxa"/>
            <w:tcBorders>
              <w:top w:val="nil"/>
              <w:left w:val="nil"/>
              <w:bottom w:val="single" w:sz="8" w:space="0" w:color="auto"/>
              <w:right w:val="single" w:sz="8" w:space="0" w:color="auto"/>
            </w:tcBorders>
            <w:shd w:val="clear" w:color="auto" w:fill="BDD6EE" w:themeFill="accent1" w:themeFillTint="66"/>
            <w:tcMar>
              <w:top w:w="15" w:type="dxa"/>
              <w:left w:w="15" w:type="dxa"/>
              <w:bottom w:w="0" w:type="dxa"/>
              <w:right w:w="15" w:type="dxa"/>
            </w:tcMar>
            <w:vAlign w:val="center"/>
            <w:hideMark/>
          </w:tcPr>
          <w:p w14:paraId="296FE4C5"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Q4</w:t>
            </w:r>
          </w:p>
        </w:tc>
      </w:tr>
      <w:tr w:rsidR="00D210F0" w:rsidRPr="00092ED7" w14:paraId="7531CB01" w14:textId="77777777" w:rsidTr="00AE4362">
        <w:trPr>
          <w:trHeight w:val="300"/>
        </w:trPr>
        <w:tc>
          <w:tcPr>
            <w:tcW w:w="425" w:type="dxa"/>
            <w:tcBorders>
              <w:top w:val="single" w:sz="4" w:space="0" w:color="auto"/>
              <w:left w:val="single" w:sz="8" w:space="0" w:color="auto"/>
              <w:bottom w:val="single" w:sz="4" w:space="0" w:color="auto"/>
              <w:right w:val="nil"/>
            </w:tcBorders>
            <w:shd w:val="clear" w:color="auto" w:fill="auto"/>
            <w:tcMar>
              <w:top w:w="15" w:type="dxa"/>
              <w:left w:w="15" w:type="dxa"/>
              <w:bottom w:w="0" w:type="dxa"/>
              <w:right w:w="15" w:type="dxa"/>
            </w:tcMar>
          </w:tcPr>
          <w:p w14:paraId="7E9EA9F1" w14:textId="77777777" w:rsidR="00D210F0" w:rsidRPr="00092ED7" w:rsidRDefault="00D210F0" w:rsidP="00D210F0">
            <w:pPr>
              <w:spacing w:after="0"/>
              <w:jc w:val="center"/>
              <w:rPr>
                <w:rFonts w:cs="Times New Roman"/>
                <w:bCs/>
                <w:sz w:val="20"/>
                <w:szCs w:val="20"/>
                <w:lang w:val="sr-Cyrl-CS"/>
              </w:rPr>
            </w:pPr>
            <w:r w:rsidRPr="00092ED7">
              <w:rPr>
                <w:rFonts w:cs="Times New Roman"/>
                <w:bCs/>
                <w:sz w:val="20"/>
                <w:szCs w:val="20"/>
                <w:lang w:val="sr-Cyrl-CS"/>
              </w:rPr>
              <w:t>1.</w:t>
            </w:r>
          </w:p>
        </w:tc>
        <w:tc>
          <w:tcPr>
            <w:tcW w:w="4243" w:type="dxa"/>
            <w:tcBorders>
              <w:top w:val="single" w:sz="4" w:space="0" w:color="auto"/>
              <w:left w:val="single" w:sz="8" w:space="0" w:color="auto"/>
              <w:bottom w:val="single" w:sz="4" w:space="0" w:color="auto"/>
              <w:right w:val="nil"/>
            </w:tcBorders>
            <w:shd w:val="clear" w:color="auto" w:fill="auto"/>
            <w:tcMar>
              <w:top w:w="15" w:type="dxa"/>
              <w:left w:w="15" w:type="dxa"/>
              <w:bottom w:w="0" w:type="dxa"/>
              <w:right w:w="15" w:type="dxa"/>
            </w:tcMar>
          </w:tcPr>
          <w:p w14:paraId="27EA6BD4" w14:textId="77777777" w:rsidR="00D210F0" w:rsidRPr="00092ED7" w:rsidRDefault="00D210F0" w:rsidP="00D210F0">
            <w:pPr>
              <w:spacing w:after="0"/>
              <w:ind w:right="222"/>
              <w:rPr>
                <w:rFonts w:cs="Times New Roman"/>
                <w:sz w:val="20"/>
                <w:szCs w:val="20"/>
                <w:lang w:val="sr-Cyrl-CS"/>
              </w:rPr>
            </w:pPr>
            <w:r w:rsidRPr="00092ED7">
              <w:rPr>
                <w:rFonts w:cs="Times New Roman"/>
                <w:sz w:val="20"/>
                <w:szCs w:val="20"/>
                <w:lang w:val="sr-Cyrl-CS"/>
              </w:rPr>
              <w:t>Доношење техничких прописа из области енергетског означавања производа и еко-дизајна</w:t>
            </w:r>
          </w:p>
        </w:tc>
        <w:tc>
          <w:tcPr>
            <w:tcW w:w="372" w:type="dxa"/>
            <w:tcBorders>
              <w:top w:val="single" w:sz="4" w:space="0" w:color="auto"/>
              <w:left w:val="single" w:sz="8"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7375F6F" w14:textId="77777777" w:rsidR="00D210F0" w:rsidRPr="00092ED7" w:rsidRDefault="00D210F0" w:rsidP="00D210F0">
            <w:pPr>
              <w:spacing w:after="0"/>
              <w:rPr>
                <w:rFonts w:cs="Times New Roman"/>
                <w:color w:val="000000"/>
                <w:sz w:val="20"/>
                <w:szCs w:val="20"/>
                <w:lang w:val="sr-Cyrl-CS"/>
              </w:rPr>
            </w:pPr>
          </w:p>
        </w:tc>
        <w:tc>
          <w:tcPr>
            <w:tcW w:w="373"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25500BC" w14:textId="77777777" w:rsidR="00D210F0" w:rsidRPr="00092ED7" w:rsidRDefault="00D210F0" w:rsidP="00D210F0">
            <w:pPr>
              <w:spacing w:after="0"/>
              <w:rPr>
                <w:rFonts w:cs="Times New Roman"/>
                <w:color w:val="000000"/>
                <w:sz w:val="20"/>
                <w:szCs w:val="20"/>
                <w:lang w:val="sr-Cyrl-CS"/>
              </w:rPr>
            </w:pPr>
          </w:p>
        </w:tc>
        <w:tc>
          <w:tcPr>
            <w:tcW w:w="372"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220A1D37" w14:textId="77777777" w:rsidR="00D210F0" w:rsidRPr="00092ED7" w:rsidRDefault="00D210F0" w:rsidP="00D210F0">
            <w:pPr>
              <w:spacing w:after="0"/>
              <w:rPr>
                <w:rFonts w:cs="Times New Roman"/>
                <w:color w:val="000000"/>
                <w:sz w:val="20"/>
                <w:szCs w:val="20"/>
                <w:lang w:val="sr-Cyrl-CS"/>
              </w:rPr>
            </w:pPr>
          </w:p>
        </w:tc>
        <w:tc>
          <w:tcPr>
            <w:tcW w:w="373" w:type="dxa"/>
            <w:tcBorders>
              <w:top w:val="single" w:sz="4" w:space="0" w:color="auto"/>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790F968D" w14:textId="77777777" w:rsidR="00D210F0" w:rsidRPr="00092ED7" w:rsidRDefault="00D210F0" w:rsidP="00D210F0">
            <w:pPr>
              <w:spacing w:after="0"/>
              <w:rPr>
                <w:rFonts w:cs="Times New Roman"/>
                <w:color w:val="000000"/>
                <w:sz w:val="20"/>
                <w:szCs w:val="20"/>
                <w:lang w:val="sr-Cyrl-CS"/>
              </w:rPr>
            </w:pPr>
          </w:p>
        </w:tc>
        <w:tc>
          <w:tcPr>
            <w:tcW w:w="372"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60F9BAD" w14:textId="77777777" w:rsidR="00D210F0" w:rsidRPr="00092ED7" w:rsidRDefault="00D210F0" w:rsidP="00D210F0">
            <w:pPr>
              <w:spacing w:after="0"/>
              <w:rPr>
                <w:rFonts w:cs="Times New Roman"/>
                <w:color w:val="000000"/>
                <w:sz w:val="20"/>
                <w:szCs w:val="20"/>
                <w:lang w:val="sr-Cyrl-CS"/>
              </w:rPr>
            </w:pPr>
          </w:p>
        </w:tc>
        <w:tc>
          <w:tcPr>
            <w:tcW w:w="373"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FD430CF" w14:textId="77777777" w:rsidR="00D210F0" w:rsidRPr="00092ED7" w:rsidRDefault="00D210F0" w:rsidP="00D210F0">
            <w:pPr>
              <w:spacing w:after="0"/>
              <w:rPr>
                <w:rFonts w:cs="Times New Roman"/>
                <w:color w:val="000000"/>
                <w:sz w:val="20"/>
                <w:szCs w:val="20"/>
                <w:lang w:val="sr-Cyrl-CS"/>
              </w:rPr>
            </w:pPr>
          </w:p>
        </w:tc>
        <w:tc>
          <w:tcPr>
            <w:tcW w:w="373"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0A6163CC" w14:textId="77777777" w:rsidR="00D210F0" w:rsidRPr="00092ED7" w:rsidRDefault="00D210F0" w:rsidP="00D210F0">
            <w:pPr>
              <w:spacing w:after="0"/>
              <w:rPr>
                <w:rFonts w:cs="Times New Roman"/>
                <w:color w:val="000000"/>
                <w:sz w:val="20"/>
                <w:szCs w:val="20"/>
                <w:lang w:val="sr-Cyrl-CS"/>
              </w:rPr>
            </w:pPr>
          </w:p>
        </w:tc>
        <w:tc>
          <w:tcPr>
            <w:tcW w:w="372" w:type="dxa"/>
            <w:tcBorders>
              <w:top w:val="single" w:sz="4" w:space="0" w:color="auto"/>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553E407B" w14:textId="77777777" w:rsidR="00D210F0" w:rsidRPr="00092ED7" w:rsidRDefault="00D210F0" w:rsidP="00D210F0">
            <w:pPr>
              <w:spacing w:after="0"/>
              <w:rPr>
                <w:rFonts w:cs="Times New Roman"/>
                <w:color w:val="000000"/>
                <w:sz w:val="20"/>
                <w:szCs w:val="20"/>
                <w:lang w:val="sr-Cyrl-CS"/>
              </w:rPr>
            </w:pPr>
          </w:p>
        </w:tc>
        <w:tc>
          <w:tcPr>
            <w:tcW w:w="373"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503C9170" w14:textId="77777777" w:rsidR="00D210F0" w:rsidRPr="00092ED7" w:rsidRDefault="00D210F0" w:rsidP="00D210F0">
            <w:pPr>
              <w:spacing w:after="0"/>
              <w:rPr>
                <w:rFonts w:cs="Times New Roman"/>
                <w:color w:val="000000"/>
                <w:sz w:val="20"/>
                <w:szCs w:val="20"/>
                <w:lang w:val="sr-Cyrl-CS"/>
              </w:rPr>
            </w:pPr>
          </w:p>
        </w:tc>
        <w:tc>
          <w:tcPr>
            <w:tcW w:w="372"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3EA45EF6" w14:textId="77777777" w:rsidR="00D210F0" w:rsidRPr="00092ED7" w:rsidRDefault="00D210F0" w:rsidP="00D210F0">
            <w:pPr>
              <w:spacing w:after="0"/>
              <w:rPr>
                <w:rFonts w:cs="Times New Roman"/>
                <w:color w:val="000000"/>
                <w:sz w:val="20"/>
                <w:szCs w:val="20"/>
                <w:lang w:val="sr-Cyrl-CS"/>
              </w:rPr>
            </w:pPr>
          </w:p>
        </w:tc>
        <w:tc>
          <w:tcPr>
            <w:tcW w:w="373"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42DBE513" w14:textId="77777777" w:rsidR="00D210F0" w:rsidRPr="00092ED7" w:rsidRDefault="00D210F0" w:rsidP="00D210F0">
            <w:pPr>
              <w:spacing w:after="0"/>
              <w:rPr>
                <w:rFonts w:cs="Times New Roman"/>
                <w:color w:val="000000"/>
                <w:sz w:val="20"/>
                <w:szCs w:val="20"/>
                <w:lang w:val="sr-Cyrl-CS"/>
              </w:rPr>
            </w:pPr>
          </w:p>
        </w:tc>
        <w:tc>
          <w:tcPr>
            <w:tcW w:w="373" w:type="dxa"/>
            <w:tcBorders>
              <w:top w:val="single" w:sz="4" w:space="0" w:color="auto"/>
              <w:left w:val="nil"/>
              <w:bottom w:val="single" w:sz="4" w:space="0" w:color="auto"/>
              <w:right w:val="single" w:sz="8" w:space="0" w:color="auto"/>
            </w:tcBorders>
            <w:shd w:val="clear" w:color="auto" w:fill="auto"/>
            <w:tcMar>
              <w:top w:w="15" w:type="dxa"/>
              <w:left w:w="15" w:type="dxa"/>
              <w:bottom w:w="0" w:type="dxa"/>
              <w:right w:w="15" w:type="dxa"/>
            </w:tcMar>
          </w:tcPr>
          <w:p w14:paraId="08EFDE5A" w14:textId="77777777" w:rsidR="00D210F0" w:rsidRPr="00092ED7" w:rsidRDefault="00D210F0" w:rsidP="00D210F0">
            <w:pPr>
              <w:spacing w:after="0"/>
              <w:rPr>
                <w:rFonts w:cs="Times New Roman"/>
                <w:color w:val="000000"/>
                <w:sz w:val="20"/>
                <w:szCs w:val="20"/>
                <w:lang w:val="sr-Cyrl-CS"/>
              </w:rPr>
            </w:pPr>
          </w:p>
        </w:tc>
      </w:tr>
      <w:tr w:rsidR="00D210F0" w:rsidRPr="00092ED7" w14:paraId="5774E27A" w14:textId="77777777" w:rsidTr="00AE4362">
        <w:trPr>
          <w:trHeight w:val="300"/>
        </w:trPr>
        <w:tc>
          <w:tcPr>
            <w:tcW w:w="425" w:type="dxa"/>
            <w:tcBorders>
              <w:top w:val="nil"/>
              <w:left w:val="single" w:sz="8" w:space="0" w:color="auto"/>
              <w:bottom w:val="single" w:sz="4" w:space="0" w:color="auto"/>
              <w:right w:val="nil"/>
            </w:tcBorders>
            <w:shd w:val="clear" w:color="auto" w:fill="auto"/>
            <w:tcMar>
              <w:top w:w="15" w:type="dxa"/>
              <w:left w:w="15" w:type="dxa"/>
              <w:bottom w:w="0" w:type="dxa"/>
              <w:right w:w="15" w:type="dxa"/>
            </w:tcMar>
          </w:tcPr>
          <w:p w14:paraId="1245DAEE" w14:textId="77777777" w:rsidR="00D210F0" w:rsidRPr="00092ED7" w:rsidRDefault="00D210F0" w:rsidP="00D210F0">
            <w:pPr>
              <w:spacing w:after="0"/>
              <w:jc w:val="center"/>
              <w:rPr>
                <w:rFonts w:cs="Times New Roman"/>
                <w:bCs/>
                <w:sz w:val="20"/>
                <w:szCs w:val="20"/>
                <w:lang w:val="sr-Cyrl-CS"/>
              </w:rPr>
            </w:pPr>
            <w:r w:rsidRPr="00092ED7">
              <w:rPr>
                <w:rFonts w:cs="Times New Roman"/>
                <w:bCs/>
                <w:sz w:val="20"/>
                <w:szCs w:val="20"/>
                <w:lang w:val="sr-Cyrl-CS"/>
              </w:rPr>
              <w:t>2.</w:t>
            </w:r>
          </w:p>
        </w:tc>
        <w:tc>
          <w:tcPr>
            <w:tcW w:w="4243" w:type="dxa"/>
            <w:tcBorders>
              <w:top w:val="nil"/>
              <w:left w:val="single" w:sz="8" w:space="0" w:color="auto"/>
              <w:bottom w:val="single" w:sz="4" w:space="0" w:color="auto"/>
              <w:right w:val="single" w:sz="4" w:space="0" w:color="auto"/>
            </w:tcBorders>
            <w:shd w:val="clear" w:color="auto" w:fill="auto"/>
            <w:tcMar>
              <w:top w:w="15" w:type="dxa"/>
              <w:left w:w="15" w:type="dxa"/>
              <w:bottom w:w="0" w:type="dxa"/>
              <w:right w:w="15" w:type="dxa"/>
            </w:tcMar>
          </w:tcPr>
          <w:p w14:paraId="1CEC8FCA" w14:textId="77777777" w:rsidR="00D210F0" w:rsidRPr="00092ED7" w:rsidRDefault="00D210F0" w:rsidP="00D210F0">
            <w:pPr>
              <w:spacing w:after="0"/>
              <w:ind w:right="222"/>
              <w:rPr>
                <w:rFonts w:cs="Times New Roman"/>
                <w:sz w:val="20"/>
                <w:szCs w:val="20"/>
                <w:lang w:val="sr-Cyrl-CS"/>
              </w:rPr>
            </w:pPr>
            <w:r w:rsidRPr="00092ED7">
              <w:rPr>
                <w:rFonts w:cs="Times New Roman"/>
                <w:sz w:val="20"/>
                <w:szCs w:val="20"/>
                <w:lang w:val="sr-Cyrl-CS"/>
              </w:rPr>
              <w:t xml:space="preserve">Јачање капацитета државне управе и тела за оцену усаглашености за спровођење техничких прописа из области енергетског означавања производа и еко-дизајна I и </w:t>
            </w:r>
            <w:r w:rsidRPr="00092ED7">
              <w:rPr>
                <w:rFonts w:cs="Times New Roman"/>
                <w:sz w:val="20"/>
                <w:szCs w:val="20"/>
                <w:lang w:val="sr-Cyrl-CS"/>
              </w:rPr>
              <w:lastRenderedPageBreak/>
              <w:t>спровођење пилот тестирања производа на тржишту</w:t>
            </w:r>
          </w:p>
        </w:tc>
        <w:tc>
          <w:tcPr>
            <w:tcW w:w="372" w:type="dxa"/>
            <w:tcBorders>
              <w:top w:val="nil"/>
              <w:left w:val="single" w:sz="8" w:space="0" w:color="auto"/>
              <w:bottom w:val="single" w:sz="4" w:space="0" w:color="auto"/>
              <w:right w:val="single" w:sz="4" w:space="0" w:color="auto"/>
            </w:tcBorders>
            <w:shd w:val="clear" w:color="auto" w:fill="auto"/>
            <w:tcMar>
              <w:top w:w="15" w:type="dxa"/>
              <w:left w:w="15" w:type="dxa"/>
              <w:bottom w:w="0" w:type="dxa"/>
              <w:right w:w="15" w:type="dxa"/>
            </w:tcMar>
          </w:tcPr>
          <w:p w14:paraId="3A54FC1E"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958EC87" w14:textId="77777777" w:rsidR="00D210F0" w:rsidRPr="00092ED7" w:rsidRDefault="00D210F0" w:rsidP="00D210F0">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376EAE3"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541DB2E5" w14:textId="77777777" w:rsidR="00D210F0" w:rsidRPr="00092ED7" w:rsidRDefault="00D210F0" w:rsidP="00D210F0">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264F062"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5669660"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0BA3B240" w14:textId="77777777" w:rsidR="00D210F0" w:rsidRPr="00092ED7" w:rsidRDefault="00D210F0" w:rsidP="00D210F0">
            <w:pPr>
              <w:spacing w:after="0"/>
              <w:rPr>
                <w:rFonts w:cs="Times New Roman"/>
                <w:color w:val="000000"/>
                <w:sz w:val="20"/>
                <w:szCs w:val="20"/>
                <w:lang w:val="sr-Cyrl-CS"/>
              </w:rPr>
            </w:pPr>
          </w:p>
        </w:tc>
        <w:tc>
          <w:tcPr>
            <w:tcW w:w="372"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21F9FEC5"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0EAF83EA" w14:textId="77777777" w:rsidR="00D210F0" w:rsidRPr="00092ED7" w:rsidRDefault="00D210F0" w:rsidP="00D210F0">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7E647242"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6E804E67"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8" w:space="0" w:color="auto"/>
            </w:tcBorders>
            <w:shd w:val="clear" w:color="auto" w:fill="auto"/>
            <w:tcMar>
              <w:top w:w="15" w:type="dxa"/>
              <w:left w:w="15" w:type="dxa"/>
              <w:bottom w:w="0" w:type="dxa"/>
              <w:right w:w="15" w:type="dxa"/>
            </w:tcMar>
          </w:tcPr>
          <w:p w14:paraId="4B4CAC25" w14:textId="77777777" w:rsidR="00D210F0" w:rsidRPr="00092ED7" w:rsidRDefault="00D210F0" w:rsidP="00D210F0">
            <w:pPr>
              <w:spacing w:after="0"/>
              <w:rPr>
                <w:rFonts w:cs="Times New Roman"/>
                <w:color w:val="000000"/>
                <w:sz w:val="20"/>
                <w:szCs w:val="20"/>
                <w:lang w:val="sr-Cyrl-CS"/>
              </w:rPr>
            </w:pPr>
          </w:p>
        </w:tc>
      </w:tr>
      <w:tr w:rsidR="00D210F0" w:rsidRPr="00092ED7" w14:paraId="4A93F47B" w14:textId="77777777" w:rsidTr="00AE4362">
        <w:trPr>
          <w:trHeight w:val="300"/>
        </w:trPr>
        <w:tc>
          <w:tcPr>
            <w:tcW w:w="425" w:type="dxa"/>
            <w:tcBorders>
              <w:top w:val="nil"/>
              <w:left w:val="single" w:sz="8" w:space="0" w:color="auto"/>
              <w:bottom w:val="single" w:sz="4" w:space="0" w:color="auto"/>
              <w:right w:val="nil"/>
            </w:tcBorders>
            <w:shd w:val="clear" w:color="auto" w:fill="auto"/>
            <w:tcMar>
              <w:top w:w="15" w:type="dxa"/>
              <w:left w:w="15" w:type="dxa"/>
              <w:bottom w:w="0" w:type="dxa"/>
              <w:right w:w="15" w:type="dxa"/>
            </w:tcMar>
          </w:tcPr>
          <w:p w14:paraId="3A2156C2" w14:textId="77777777" w:rsidR="00D210F0" w:rsidRPr="00092ED7" w:rsidRDefault="00D210F0" w:rsidP="00D210F0">
            <w:pPr>
              <w:spacing w:after="0"/>
              <w:jc w:val="center"/>
              <w:rPr>
                <w:rFonts w:cs="Times New Roman"/>
                <w:bCs/>
                <w:sz w:val="20"/>
                <w:szCs w:val="20"/>
                <w:lang w:val="sr-Cyrl-CS"/>
              </w:rPr>
            </w:pPr>
            <w:r w:rsidRPr="00092ED7">
              <w:rPr>
                <w:rFonts w:cs="Times New Roman"/>
                <w:bCs/>
                <w:sz w:val="20"/>
                <w:szCs w:val="20"/>
                <w:lang w:val="sr-Cyrl-CS"/>
              </w:rPr>
              <w:t>3.</w:t>
            </w:r>
          </w:p>
        </w:tc>
        <w:tc>
          <w:tcPr>
            <w:tcW w:w="4243" w:type="dxa"/>
            <w:tcBorders>
              <w:top w:val="nil"/>
              <w:left w:val="single" w:sz="8" w:space="0" w:color="auto"/>
              <w:bottom w:val="single" w:sz="4" w:space="0" w:color="auto"/>
              <w:right w:val="single" w:sz="4" w:space="0" w:color="auto"/>
            </w:tcBorders>
            <w:shd w:val="clear" w:color="auto" w:fill="auto"/>
            <w:tcMar>
              <w:top w:w="15" w:type="dxa"/>
              <w:left w:w="15" w:type="dxa"/>
              <w:bottom w:w="0" w:type="dxa"/>
              <w:right w:w="15" w:type="dxa"/>
            </w:tcMar>
          </w:tcPr>
          <w:p w14:paraId="2C0A34A8" w14:textId="2D8CF497" w:rsidR="00D210F0" w:rsidRPr="00092ED7" w:rsidRDefault="00D210F0" w:rsidP="00D210F0">
            <w:pPr>
              <w:spacing w:after="0"/>
              <w:ind w:right="222"/>
              <w:rPr>
                <w:rFonts w:cs="Times New Roman"/>
                <w:sz w:val="20"/>
                <w:szCs w:val="20"/>
                <w:lang w:val="sr-Cyrl-CS"/>
              </w:rPr>
            </w:pPr>
            <w:r w:rsidRPr="00092ED7">
              <w:rPr>
                <w:rFonts w:cs="Times New Roman"/>
                <w:sz w:val="20"/>
                <w:szCs w:val="20"/>
                <w:lang w:val="sr-Cyrl-CS"/>
              </w:rPr>
              <w:t xml:space="preserve">Унапређење процедура и механизма за доделу подстицаја Управе </w:t>
            </w:r>
            <w:r w:rsidR="00045F19" w:rsidRPr="00092ED7">
              <w:rPr>
                <w:rFonts w:cs="Times New Roman"/>
                <w:bCs/>
                <w:iCs/>
                <w:sz w:val="20"/>
                <w:szCs w:val="20"/>
                <w:lang w:val="sr-Cyrl-CS"/>
              </w:rPr>
              <w:t>за финансирање и подстицање енергетске ефикасности</w:t>
            </w:r>
            <w:r w:rsidRPr="00092ED7">
              <w:rPr>
                <w:rFonts w:cs="Times New Roman"/>
                <w:sz w:val="20"/>
                <w:szCs w:val="20"/>
                <w:lang w:val="sr-Cyrl-CS"/>
              </w:rPr>
              <w:t xml:space="preserve"> и </w:t>
            </w:r>
            <w:r w:rsidR="00174158" w:rsidRPr="00092ED7">
              <w:rPr>
                <w:rFonts w:cs="Times New Roman"/>
                <w:sz w:val="20"/>
                <w:szCs w:val="20"/>
                <w:lang w:val="sr-Cyrl-CS"/>
              </w:rPr>
              <w:t>додељена средства подстицаја крајњим корисницима.</w:t>
            </w:r>
          </w:p>
        </w:tc>
        <w:tc>
          <w:tcPr>
            <w:tcW w:w="372" w:type="dxa"/>
            <w:tcBorders>
              <w:top w:val="nil"/>
              <w:left w:val="single" w:sz="8" w:space="0" w:color="auto"/>
              <w:bottom w:val="single" w:sz="4" w:space="0" w:color="auto"/>
              <w:right w:val="single" w:sz="4" w:space="0" w:color="auto"/>
            </w:tcBorders>
            <w:shd w:val="clear" w:color="auto" w:fill="auto"/>
            <w:tcMar>
              <w:top w:w="15" w:type="dxa"/>
              <w:left w:w="15" w:type="dxa"/>
              <w:bottom w:w="0" w:type="dxa"/>
              <w:right w:w="15" w:type="dxa"/>
            </w:tcMar>
          </w:tcPr>
          <w:p w14:paraId="1E92E541"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FFFFFF" w:themeFill="background1"/>
            <w:tcMar>
              <w:top w:w="15" w:type="dxa"/>
              <w:left w:w="15" w:type="dxa"/>
              <w:bottom w:w="0" w:type="dxa"/>
              <w:right w:w="15" w:type="dxa"/>
            </w:tcMar>
          </w:tcPr>
          <w:p w14:paraId="0471A863" w14:textId="77777777" w:rsidR="00D210F0" w:rsidRPr="00092ED7" w:rsidRDefault="00D210F0" w:rsidP="00D210F0">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755932B"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48FB8ABF" w14:textId="77777777" w:rsidR="00D210F0" w:rsidRPr="00092ED7" w:rsidRDefault="00D210F0" w:rsidP="00D210F0">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506AF14"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C778F79"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31C7DC84" w14:textId="77777777" w:rsidR="00D210F0" w:rsidRPr="00092ED7" w:rsidRDefault="00D210F0" w:rsidP="00D210F0">
            <w:pPr>
              <w:spacing w:after="0"/>
              <w:rPr>
                <w:rFonts w:cs="Times New Roman"/>
                <w:color w:val="000000"/>
                <w:sz w:val="20"/>
                <w:szCs w:val="20"/>
                <w:lang w:val="sr-Cyrl-CS"/>
              </w:rPr>
            </w:pPr>
          </w:p>
        </w:tc>
        <w:tc>
          <w:tcPr>
            <w:tcW w:w="372"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5B637956"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232B9BA" w14:textId="77777777" w:rsidR="00D210F0" w:rsidRPr="00092ED7" w:rsidRDefault="00D210F0" w:rsidP="00D210F0">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3F0BD41C"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43D51136"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8" w:space="0" w:color="auto"/>
            </w:tcBorders>
            <w:shd w:val="clear" w:color="auto" w:fill="auto"/>
            <w:tcMar>
              <w:top w:w="15" w:type="dxa"/>
              <w:left w:w="15" w:type="dxa"/>
              <w:bottom w:w="0" w:type="dxa"/>
              <w:right w:w="15" w:type="dxa"/>
            </w:tcMar>
          </w:tcPr>
          <w:p w14:paraId="600212B1" w14:textId="77777777" w:rsidR="00D210F0" w:rsidRPr="00092ED7" w:rsidRDefault="00D210F0" w:rsidP="00D210F0">
            <w:pPr>
              <w:spacing w:after="0"/>
              <w:rPr>
                <w:rFonts w:cs="Times New Roman"/>
                <w:color w:val="000000"/>
                <w:sz w:val="20"/>
                <w:szCs w:val="20"/>
                <w:lang w:val="sr-Cyrl-CS"/>
              </w:rPr>
            </w:pPr>
          </w:p>
        </w:tc>
      </w:tr>
      <w:tr w:rsidR="00D210F0" w:rsidRPr="00092ED7" w14:paraId="74720A76" w14:textId="77777777" w:rsidTr="00AE4362">
        <w:trPr>
          <w:trHeight w:val="300"/>
        </w:trPr>
        <w:tc>
          <w:tcPr>
            <w:tcW w:w="425" w:type="dxa"/>
            <w:tcBorders>
              <w:top w:val="nil"/>
              <w:left w:val="single" w:sz="8" w:space="0" w:color="auto"/>
              <w:bottom w:val="single" w:sz="4" w:space="0" w:color="auto"/>
              <w:right w:val="nil"/>
            </w:tcBorders>
            <w:shd w:val="clear" w:color="auto" w:fill="auto"/>
            <w:tcMar>
              <w:top w:w="15" w:type="dxa"/>
              <w:left w:w="15" w:type="dxa"/>
              <w:bottom w:w="0" w:type="dxa"/>
              <w:right w:w="15" w:type="dxa"/>
            </w:tcMar>
          </w:tcPr>
          <w:p w14:paraId="2916E6E8" w14:textId="77777777" w:rsidR="00D210F0" w:rsidRPr="00092ED7" w:rsidRDefault="00D210F0" w:rsidP="00D210F0">
            <w:pPr>
              <w:spacing w:after="0"/>
              <w:jc w:val="center"/>
              <w:rPr>
                <w:rFonts w:cs="Times New Roman"/>
                <w:bCs/>
                <w:sz w:val="20"/>
                <w:szCs w:val="20"/>
                <w:lang w:val="sr-Cyrl-CS"/>
              </w:rPr>
            </w:pPr>
            <w:r w:rsidRPr="00092ED7">
              <w:rPr>
                <w:rFonts w:cs="Times New Roman"/>
                <w:bCs/>
                <w:sz w:val="20"/>
                <w:szCs w:val="20"/>
                <w:lang w:val="sr-Cyrl-CS"/>
              </w:rPr>
              <w:t>4.</w:t>
            </w:r>
          </w:p>
        </w:tc>
        <w:tc>
          <w:tcPr>
            <w:tcW w:w="4243" w:type="dxa"/>
            <w:tcBorders>
              <w:top w:val="nil"/>
              <w:left w:val="single" w:sz="8" w:space="0" w:color="auto"/>
              <w:bottom w:val="single" w:sz="4" w:space="0" w:color="auto"/>
              <w:right w:val="nil"/>
            </w:tcBorders>
            <w:shd w:val="clear" w:color="auto" w:fill="auto"/>
            <w:tcMar>
              <w:top w:w="15" w:type="dxa"/>
              <w:left w:w="15" w:type="dxa"/>
              <w:bottom w:w="0" w:type="dxa"/>
              <w:right w:w="15" w:type="dxa"/>
            </w:tcMar>
          </w:tcPr>
          <w:p w14:paraId="6EA50C0C" w14:textId="139004EC" w:rsidR="00D210F0" w:rsidRPr="00092ED7" w:rsidRDefault="00D210F0" w:rsidP="00D210F0">
            <w:pPr>
              <w:spacing w:after="0"/>
              <w:ind w:right="222"/>
              <w:rPr>
                <w:rFonts w:cs="Times New Roman"/>
                <w:sz w:val="20"/>
                <w:szCs w:val="20"/>
                <w:lang w:val="sr-Cyrl-CS"/>
              </w:rPr>
            </w:pPr>
            <w:r w:rsidRPr="00092ED7">
              <w:rPr>
                <w:rFonts w:cs="Times New Roman"/>
                <w:sz w:val="20"/>
                <w:szCs w:val="20"/>
                <w:lang w:val="sr-Cyrl-CS"/>
              </w:rPr>
              <w:t xml:space="preserve">Урађена анализа потребних корака за акредитацију Управе </w:t>
            </w:r>
            <w:r w:rsidR="00045F19" w:rsidRPr="00092ED7">
              <w:rPr>
                <w:rFonts w:cs="Times New Roman"/>
                <w:bCs/>
                <w:iCs/>
                <w:sz w:val="20"/>
                <w:szCs w:val="20"/>
                <w:lang w:val="sr-Cyrl-CS"/>
              </w:rPr>
              <w:t>за финансирање и подстицање енергетске ефикасности</w:t>
            </w:r>
            <w:r w:rsidRPr="00092ED7">
              <w:rPr>
                <w:rFonts w:cs="Times New Roman"/>
                <w:sz w:val="20"/>
                <w:szCs w:val="20"/>
                <w:lang w:val="sr-Cyrl-CS"/>
              </w:rPr>
              <w:t xml:space="preserve"> за коришћење средстава ЕУ</w:t>
            </w:r>
          </w:p>
        </w:tc>
        <w:tc>
          <w:tcPr>
            <w:tcW w:w="372" w:type="dxa"/>
            <w:tcBorders>
              <w:top w:val="nil"/>
              <w:left w:val="single" w:sz="8" w:space="0" w:color="auto"/>
              <w:bottom w:val="single" w:sz="4" w:space="0" w:color="auto"/>
              <w:right w:val="single" w:sz="4" w:space="0" w:color="auto"/>
            </w:tcBorders>
            <w:shd w:val="clear" w:color="auto" w:fill="FFFFFF" w:themeFill="background1"/>
            <w:tcMar>
              <w:top w:w="15" w:type="dxa"/>
              <w:left w:w="15" w:type="dxa"/>
              <w:bottom w:w="0" w:type="dxa"/>
              <w:right w:w="15" w:type="dxa"/>
            </w:tcMar>
          </w:tcPr>
          <w:p w14:paraId="4CCC2A49"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FFFFFF" w:themeFill="background1"/>
            <w:tcMar>
              <w:top w:w="15" w:type="dxa"/>
              <w:left w:w="15" w:type="dxa"/>
              <w:bottom w:w="0" w:type="dxa"/>
              <w:right w:w="15" w:type="dxa"/>
            </w:tcMar>
          </w:tcPr>
          <w:p w14:paraId="4F7F0B29" w14:textId="77777777" w:rsidR="00D210F0" w:rsidRPr="00092ED7" w:rsidRDefault="00D210F0" w:rsidP="00D210F0">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FFFFFF" w:themeFill="background1"/>
            <w:tcMar>
              <w:top w:w="15" w:type="dxa"/>
              <w:left w:w="15" w:type="dxa"/>
              <w:bottom w:w="0" w:type="dxa"/>
              <w:right w:w="15" w:type="dxa"/>
            </w:tcMar>
          </w:tcPr>
          <w:p w14:paraId="57DBF929"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8" w:space="0" w:color="auto"/>
            </w:tcBorders>
            <w:shd w:val="clear" w:color="auto" w:fill="FFFFFF" w:themeFill="background1"/>
            <w:tcMar>
              <w:top w:w="15" w:type="dxa"/>
              <w:left w:w="15" w:type="dxa"/>
              <w:bottom w:w="0" w:type="dxa"/>
              <w:right w:w="15" w:type="dxa"/>
            </w:tcMar>
          </w:tcPr>
          <w:p w14:paraId="2CF28EDC" w14:textId="77777777" w:rsidR="00D210F0" w:rsidRPr="00092ED7" w:rsidRDefault="00D210F0" w:rsidP="00D210F0">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05F5626"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478F3E8"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F31C7BF" w14:textId="77777777" w:rsidR="00D210F0" w:rsidRPr="00092ED7" w:rsidRDefault="00D210F0" w:rsidP="00D210F0">
            <w:pPr>
              <w:spacing w:after="0"/>
              <w:rPr>
                <w:rFonts w:cs="Times New Roman"/>
                <w:color w:val="000000"/>
                <w:sz w:val="20"/>
                <w:szCs w:val="20"/>
                <w:lang w:val="sr-Cyrl-CS"/>
              </w:rPr>
            </w:pPr>
          </w:p>
        </w:tc>
        <w:tc>
          <w:tcPr>
            <w:tcW w:w="372"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33C8DAA1"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3B783039" w14:textId="77777777" w:rsidR="00D210F0" w:rsidRPr="00092ED7" w:rsidRDefault="00D210F0" w:rsidP="00D210F0">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0CDEDD77"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5CE2E124"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8" w:space="0" w:color="auto"/>
            </w:tcBorders>
            <w:shd w:val="clear" w:color="auto" w:fill="auto"/>
            <w:tcMar>
              <w:top w:w="15" w:type="dxa"/>
              <w:left w:w="15" w:type="dxa"/>
              <w:bottom w:w="0" w:type="dxa"/>
              <w:right w:w="15" w:type="dxa"/>
            </w:tcMar>
          </w:tcPr>
          <w:p w14:paraId="06E403CA" w14:textId="77777777" w:rsidR="00D210F0" w:rsidRPr="00092ED7" w:rsidRDefault="00D210F0" w:rsidP="00D210F0">
            <w:pPr>
              <w:spacing w:after="0"/>
              <w:rPr>
                <w:rFonts w:cs="Times New Roman"/>
                <w:color w:val="000000"/>
                <w:sz w:val="20"/>
                <w:szCs w:val="20"/>
                <w:lang w:val="sr-Cyrl-CS"/>
              </w:rPr>
            </w:pPr>
          </w:p>
        </w:tc>
      </w:tr>
    </w:tbl>
    <w:p w14:paraId="560845E7" w14:textId="77777777" w:rsidR="00D210F0" w:rsidRPr="00092ED7" w:rsidRDefault="00D210F0" w:rsidP="00071952">
      <w:pPr>
        <w:pStyle w:val="ListParagraph"/>
        <w:widowControl w:val="0"/>
        <w:numPr>
          <w:ilvl w:val="0"/>
          <w:numId w:val="25"/>
        </w:numPr>
        <w:spacing w:before="120" w:line="240" w:lineRule="auto"/>
        <w:ind w:left="425" w:hanging="425"/>
        <w:contextualSpacing w:val="0"/>
        <w:rPr>
          <w:rFonts w:cs="Times New Roman"/>
          <w:b/>
          <w:sz w:val="24"/>
          <w:szCs w:val="24"/>
          <w:lang w:val="sr-Cyrl-CS" w:eastAsia="sr-Cyrl-CS" w:bidi="sr-Cyrl-CS"/>
        </w:rPr>
      </w:pPr>
      <w:r w:rsidRPr="00092ED7">
        <w:rPr>
          <w:rFonts w:cs="Times New Roman"/>
          <w:b/>
          <w:sz w:val="24"/>
          <w:szCs w:val="24"/>
          <w:lang w:val="sr-Cyrl-CS" w:eastAsia="sr-Cyrl-CS" w:bidi="sr-Cyrl-CS"/>
        </w:rPr>
        <w:t>Индикатори рeзултата</w:t>
      </w:r>
    </w:p>
    <w:tbl>
      <w:tblPr>
        <w:tblStyle w:val="TableGrid"/>
        <w:tblW w:w="9214" w:type="dxa"/>
        <w:tblInd w:w="-5" w:type="dxa"/>
        <w:tblLayout w:type="fixed"/>
        <w:tblLook w:val="04A0" w:firstRow="1" w:lastRow="0" w:firstColumn="1" w:lastColumn="0" w:noHBand="0" w:noVBand="1"/>
      </w:tblPr>
      <w:tblGrid>
        <w:gridCol w:w="4253"/>
        <w:gridCol w:w="1653"/>
        <w:gridCol w:w="1654"/>
        <w:gridCol w:w="1654"/>
      </w:tblGrid>
      <w:tr w:rsidR="00D210F0" w:rsidRPr="00092ED7" w14:paraId="3490F859" w14:textId="77777777" w:rsidTr="00AE4362">
        <w:trPr>
          <w:cnfStyle w:val="100000000000" w:firstRow="1" w:lastRow="0" w:firstColumn="0" w:lastColumn="0" w:oddVBand="0" w:evenVBand="0" w:oddHBand="0" w:evenHBand="0" w:firstRowFirstColumn="0" w:firstRowLastColumn="0" w:lastRowFirstColumn="0" w:lastRowLastColumn="0"/>
        </w:trPr>
        <w:tc>
          <w:tcPr>
            <w:tcW w:w="4253" w:type="dxa"/>
          </w:tcPr>
          <w:p w14:paraId="166EA4A2" w14:textId="77777777" w:rsidR="00D210F0" w:rsidRPr="00092ED7" w:rsidRDefault="00D210F0" w:rsidP="005D14E2">
            <w:pPr>
              <w:spacing w:before="0" w:after="0"/>
              <w:ind w:left="113" w:right="113"/>
              <w:jc w:val="center"/>
              <w:rPr>
                <w:rFonts w:cs="Times New Roman"/>
                <w:sz w:val="20"/>
                <w:lang w:val="sr-Cyrl-CS"/>
              </w:rPr>
            </w:pPr>
            <w:r w:rsidRPr="00092ED7">
              <w:rPr>
                <w:rFonts w:cs="Times New Roman"/>
                <w:sz w:val="20"/>
                <w:lang w:val="sr-Cyrl-CS"/>
              </w:rPr>
              <w:t>Показатељ</w:t>
            </w:r>
          </w:p>
        </w:tc>
        <w:tc>
          <w:tcPr>
            <w:tcW w:w="1653" w:type="dxa"/>
          </w:tcPr>
          <w:p w14:paraId="2DAE9C0A" w14:textId="77777777" w:rsidR="00D210F0" w:rsidRPr="00092ED7" w:rsidRDefault="00D210F0" w:rsidP="005D14E2">
            <w:pPr>
              <w:spacing w:before="0" w:after="0"/>
              <w:ind w:left="113" w:right="113"/>
              <w:jc w:val="center"/>
              <w:rPr>
                <w:rFonts w:cs="Times New Roman"/>
                <w:sz w:val="20"/>
                <w:lang w:val="sr-Cyrl-CS"/>
              </w:rPr>
            </w:pPr>
            <w:r w:rsidRPr="00092ED7">
              <w:rPr>
                <w:rFonts w:cs="Times New Roman"/>
                <w:sz w:val="20"/>
                <w:lang w:val="sr-Cyrl-CS"/>
              </w:rPr>
              <w:t>Почетна вредност (2022)</w:t>
            </w:r>
          </w:p>
        </w:tc>
        <w:tc>
          <w:tcPr>
            <w:tcW w:w="1654" w:type="dxa"/>
          </w:tcPr>
          <w:p w14:paraId="1EA50686" w14:textId="77777777" w:rsidR="00D210F0" w:rsidRPr="00092ED7" w:rsidRDefault="00D210F0" w:rsidP="005D14E2">
            <w:pPr>
              <w:spacing w:before="0" w:after="0"/>
              <w:ind w:left="113" w:right="113"/>
              <w:jc w:val="center"/>
              <w:rPr>
                <w:rFonts w:cs="Times New Roman"/>
                <w:sz w:val="20"/>
                <w:lang w:val="sr-Cyrl-CS"/>
              </w:rPr>
            </w:pPr>
            <w:r w:rsidRPr="00092ED7">
              <w:rPr>
                <w:rFonts w:cs="Times New Roman"/>
                <w:sz w:val="20"/>
                <w:lang w:val="sr-Cyrl-CS"/>
              </w:rPr>
              <w:t>Међурезултат (2023)</w:t>
            </w:r>
          </w:p>
        </w:tc>
        <w:tc>
          <w:tcPr>
            <w:tcW w:w="1654" w:type="dxa"/>
          </w:tcPr>
          <w:p w14:paraId="3BF802D2" w14:textId="77777777" w:rsidR="00D210F0" w:rsidRPr="00092ED7" w:rsidRDefault="00D210F0" w:rsidP="005D14E2">
            <w:pPr>
              <w:spacing w:before="0" w:after="0"/>
              <w:ind w:left="113" w:right="113"/>
              <w:jc w:val="center"/>
              <w:rPr>
                <w:rFonts w:cs="Times New Roman"/>
                <w:sz w:val="20"/>
                <w:lang w:val="sr-Cyrl-CS"/>
              </w:rPr>
            </w:pPr>
            <w:r w:rsidRPr="00092ED7">
              <w:rPr>
                <w:rFonts w:cs="Times New Roman"/>
                <w:sz w:val="20"/>
                <w:lang w:val="sr-Cyrl-CS"/>
              </w:rPr>
              <w:t>Циљна вредност (2025)</w:t>
            </w:r>
          </w:p>
        </w:tc>
      </w:tr>
      <w:tr w:rsidR="00D210F0" w:rsidRPr="00092ED7" w14:paraId="02856C42" w14:textId="77777777" w:rsidTr="00AE4362">
        <w:tc>
          <w:tcPr>
            <w:tcW w:w="4253" w:type="dxa"/>
          </w:tcPr>
          <w:p w14:paraId="389441CE" w14:textId="77777777" w:rsidR="00D210F0" w:rsidRPr="00092ED7" w:rsidRDefault="00174158" w:rsidP="005D14E2">
            <w:pPr>
              <w:spacing w:before="0" w:after="0"/>
              <w:ind w:left="113" w:right="113"/>
              <w:rPr>
                <w:rFonts w:cs="Times New Roman"/>
                <w:sz w:val="20"/>
                <w:lang w:val="sr-Cyrl-CS"/>
              </w:rPr>
            </w:pPr>
            <w:r w:rsidRPr="00092ED7">
              <w:rPr>
                <w:rFonts w:cs="Times New Roman"/>
                <w:sz w:val="20"/>
                <w:lang w:val="sr-Cyrl-CS"/>
              </w:rPr>
              <w:t>Максимална дозвољена потрошња финалне енергије у домаћинствима у Мtoe</w:t>
            </w:r>
          </w:p>
        </w:tc>
        <w:tc>
          <w:tcPr>
            <w:tcW w:w="1653" w:type="dxa"/>
          </w:tcPr>
          <w:p w14:paraId="2AAD3CA7" w14:textId="77777777" w:rsidR="00D210F0" w:rsidRPr="00092ED7" w:rsidRDefault="00174158" w:rsidP="005D14E2">
            <w:pPr>
              <w:spacing w:before="0" w:after="0"/>
              <w:ind w:left="113" w:right="113"/>
              <w:jc w:val="center"/>
              <w:rPr>
                <w:rFonts w:cs="Times New Roman"/>
                <w:sz w:val="20"/>
                <w:lang w:val="sr-Cyrl-CS"/>
              </w:rPr>
            </w:pPr>
            <w:r w:rsidRPr="00092ED7">
              <w:rPr>
                <w:rFonts w:cs="Times New Roman"/>
                <w:sz w:val="20"/>
                <w:lang w:val="sr-Cyrl-CS"/>
              </w:rPr>
              <w:t>3,478</w:t>
            </w:r>
          </w:p>
        </w:tc>
        <w:tc>
          <w:tcPr>
            <w:tcW w:w="1654" w:type="dxa"/>
          </w:tcPr>
          <w:p w14:paraId="52FC8AB7" w14:textId="77777777" w:rsidR="00D210F0" w:rsidRPr="00092ED7" w:rsidRDefault="00174158" w:rsidP="005D14E2">
            <w:pPr>
              <w:spacing w:before="0" w:after="0"/>
              <w:ind w:left="113" w:right="113"/>
              <w:jc w:val="center"/>
              <w:rPr>
                <w:rFonts w:cs="Times New Roman"/>
                <w:sz w:val="20"/>
                <w:lang w:val="sr-Cyrl-CS"/>
              </w:rPr>
            </w:pPr>
            <w:r w:rsidRPr="00092ED7">
              <w:rPr>
                <w:rFonts w:cs="Times New Roman"/>
                <w:sz w:val="20"/>
                <w:lang w:val="sr-Cyrl-CS"/>
              </w:rPr>
              <w:t>/</w:t>
            </w:r>
          </w:p>
        </w:tc>
        <w:tc>
          <w:tcPr>
            <w:tcW w:w="1654" w:type="dxa"/>
          </w:tcPr>
          <w:p w14:paraId="3D62633A" w14:textId="77777777" w:rsidR="00D210F0" w:rsidRPr="00092ED7" w:rsidRDefault="00174158" w:rsidP="005D14E2">
            <w:pPr>
              <w:spacing w:before="0" w:after="0"/>
              <w:ind w:left="113" w:right="113"/>
              <w:jc w:val="center"/>
              <w:rPr>
                <w:rFonts w:cs="Times New Roman"/>
                <w:sz w:val="20"/>
                <w:lang w:val="sr-Cyrl-CS"/>
              </w:rPr>
            </w:pPr>
            <w:r w:rsidRPr="00092ED7">
              <w:rPr>
                <w:rFonts w:cs="Times New Roman"/>
                <w:sz w:val="20"/>
                <w:lang w:val="sr-Cyrl-CS"/>
              </w:rPr>
              <w:t>3,534</w:t>
            </w:r>
          </w:p>
        </w:tc>
      </w:tr>
      <w:tr w:rsidR="00D210F0" w:rsidRPr="00092ED7" w14:paraId="36B9CA42" w14:textId="77777777" w:rsidTr="00AE4362">
        <w:tc>
          <w:tcPr>
            <w:tcW w:w="4253" w:type="dxa"/>
          </w:tcPr>
          <w:p w14:paraId="5396DEB1" w14:textId="77777777" w:rsidR="00D210F0" w:rsidRPr="00092ED7" w:rsidRDefault="00174158" w:rsidP="005D14E2">
            <w:pPr>
              <w:spacing w:before="0" w:after="0"/>
              <w:ind w:left="113" w:right="113"/>
              <w:rPr>
                <w:rFonts w:cs="Times New Roman"/>
                <w:sz w:val="20"/>
                <w:lang w:val="sr-Cyrl-CS"/>
              </w:rPr>
            </w:pPr>
            <w:r w:rsidRPr="00092ED7">
              <w:rPr>
                <w:rFonts w:cs="Times New Roman"/>
                <w:sz w:val="20"/>
                <w:lang w:val="sr-Cyrl-CS"/>
              </w:rPr>
              <w:t>Број нових домаћинстава која су добила субвенције за унапређење енергетске ефикасности на годишњем нивоу</w:t>
            </w:r>
          </w:p>
        </w:tc>
        <w:tc>
          <w:tcPr>
            <w:tcW w:w="1653" w:type="dxa"/>
          </w:tcPr>
          <w:p w14:paraId="5DEA076A" w14:textId="52CC609A" w:rsidR="00D210F0" w:rsidRPr="00092ED7" w:rsidRDefault="00174158" w:rsidP="005D14E2">
            <w:pPr>
              <w:spacing w:before="0" w:after="0"/>
              <w:ind w:left="113" w:right="113"/>
              <w:jc w:val="center"/>
              <w:rPr>
                <w:rFonts w:cs="Times New Roman"/>
                <w:sz w:val="20"/>
                <w:lang w:val="sr-Cyrl-CS"/>
              </w:rPr>
            </w:pPr>
            <w:r w:rsidRPr="00092ED7">
              <w:rPr>
                <w:rFonts w:cs="Times New Roman"/>
                <w:sz w:val="20"/>
                <w:lang w:val="sr-Cyrl-CS"/>
              </w:rPr>
              <w:t>5</w:t>
            </w:r>
            <w:r w:rsidR="00C1699A" w:rsidRPr="00092ED7">
              <w:rPr>
                <w:rFonts w:cs="Times New Roman"/>
                <w:sz w:val="20"/>
                <w:lang w:val="sr-Cyrl-CS"/>
              </w:rPr>
              <w:t>.</w:t>
            </w:r>
            <w:r w:rsidRPr="00092ED7">
              <w:rPr>
                <w:rFonts w:cs="Times New Roman"/>
                <w:sz w:val="20"/>
                <w:lang w:val="sr-Cyrl-CS"/>
              </w:rPr>
              <w:t>000</w:t>
            </w:r>
          </w:p>
        </w:tc>
        <w:tc>
          <w:tcPr>
            <w:tcW w:w="1654" w:type="dxa"/>
          </w:tcPr>
          <w:p w14:paraId="762B598D" w14:textId="040CAAF5" w:rsidR="00D210F0" w:rsidRPr="00092ED7" w:rsidRDefault="00174158" w:rsidP="005D14E2">
            <w:pPr>
              <w:spacing w:before="0" w:after="0"/>
              <w:ind w:left="113" w:right="113"/>
              <w:jc w:val="center"/>
              <w:rPr>
                <w:rFonts w:cs="Times New Roman"/>
                <w:sz w:val="20"/>
                <w:lang w:val="sr-Cyrl-CS"/>
              </w:rPr>
            </w:pPr>
            <w:r w:rsidRPr="00092ED7">
              <w:rPr>
                <w:rFonts w:cs="Times New Roman"/>
                <w:sz w:val="20"/>
                <w:lang w:val="sr-Cyrl-CS"/>
              </w:rPr>
              <w:t>5</w:t>
            </w:r>
            <w:r w:rsidR="00C1699A" w:rsidRPr="00092ED7">
              <w:rPr>
                <w:rFonts w:cs="Times New Roman"/>
                <w:sz w:val="20"/>
                <w:lang w:val="sr-Cyrl-CS"/>
              </w:rPr>
              <w:t>.</w:t>
            </w:r>
            <w:r w:rsidRPr="00092ED7">
              <w:rPr>
                <w:rFonts w:cs="Times New Roman"/>
                <w:sz w:val="20"/>
                <w:lang w:val="sr-Cyrl-CS"/>
              </w:rPr>
              <w:t>000</w:t>
            </w:r>
          </w:p>
        </w:tc>
        <w:tc>
          <w:tcPr>
            <w:tcW w:w="1654" w:type="dxa"/>
          </w:tcPr>
          <w:p w14:paraId="78177393" w14:textId="687F7445" w:rsidR="00D210F0" w:rsidRPr="00092ED7" w:rsidRDefault="00174158" w:rsidP="005D14E2">
            <w:pPr>
              <w:spacing w:before="0" w:after="0"/>
              <w:ind w:left="113" w:right="113"/>
              <w:jc w:val="center"/>
              <w:rPr>
                <w:rFonts w:cs="Times New Roman"/>
                <w:sz w:val="20"/>
                <w:lang w:val="sr-Cyrl-CS"/>
              </w:rPr>
            </w:pPr>
            <w:r w:rsidRPr="00092ED7">
              <w:rPr>
                <w:rFonts w:cs="Times New Roman"/>
                <w:sz w:val="20"/>
                <w:lang w:val="sr-Cyrl-CS"/>
              </w:rPr>
              <w:t>5</w:t>
            </w:r>
            <w:r w:rsidR="00C1699A" w:rsidRPr="00092ED7">
              <w:rPr>
                <w:rFonts w:cs="Times New Roman"/>
                <w:sz w:val="20"/>
                <w:lang w:val="sr-Cyrl-CS"/>
              </w:rPr>
              <w:t>.</w:t>
            </w:r>
            <w:r w:rsidRPr="00092ED7">
              <w:rPr>
                <w:rFonts w:cs="Times New Roman"/>
                <w:sz w:val="20"/>
                <w:lang w:val="sr-Cyrl-CS"/>
              </w:rPr>
              <w:t>000</w:t>
            </w:r>
          </w:p>
        </w:tc>
      </w:tr>
    </w:tbl>
    <w:p w14:paraId="1091298F" w14:textId="77777777" w:rsidR="00D210F0" w:rsidRPr="00092ED7" w:rsidRDefault="00D210F0" w:rsidP="00071952">
      <w:pPr>
        <w:pStyle w:val="ListParagraph"/>
        <w:widowControl w:val="0"/>
        <w:numPr>
          <w:ilvl w:val="0"/>
          <w:numId w:val="25"/>
        </w:numPr>
        <w:spacing w:before="120" w:line="240" w:lineRule="auto"/>
        <w:ind w:left="425" w:hanging="425"/>
        <w:contextualSpacing w:val="0"/>
        <w:rPr>
          <w:rFonts w:cs="Times New Roman"/>
          <w:b/>
          <w:sz w:val="24"/>
          <w:szCs w:val="24"/>
          <w:lang w:val="sr-Cyrl-CS" w:eastAsia="sr-Cyrl-CS" w:bidi="sr-Cyrl-CS"/>
        </w:rPr>
      </w:pPr>
      <w:r w:rsidRPr="00092ED7">
        <w:rPr>
          <w:rFonts w:cs="Times New Roman"/>
          <w:b/>
          <w:sz w:val="24"/>
          <w:szCs w:val="24"/>
          <w:lang w:val="sr-Cyrl-CS" w:eastAsia="sr-Cyrl-CS" w:bidi="sr-Cyrl-CS"/>
        </w:rPr>
        <w:t>Очекивани утицај на конкурентност</w:t>
      </w:r>
    </w:p>
    <w:p w14:paraId="2BF415C9" w14:textId="4AD5C63E" w:rsidR="00D210F0" w:rsidRPr="00092ED7" w:rsidRDefault="00D210F0" w:rsidP="00D210F0">
      <w:pPr>
        <w:widowControl w:val="0"/>
        <w:spacing w:after="60"/>
        <w:rPr>
          <w:rFonts w:eastAsia="Calibri" w:cs="Times New Roman"/>
          <w:szCs w:val="24"/>
          <w:lang w:val="sr-Cyrl-CS" w:eastAsia="sr-Cyrl-CS" w:bidi="sr-Cyrl-CS"/>
        </w:rPr>
      </w:pPr>
      <w:r w:rsidRPr="00092ED7">
        <w:rPr>
          <w:rFonts w:eastAsia="Calibri" w:cs="Times New Roman"/>
          <w:szCs w:val="24"/>
          <w:lang w:val="sr-Cyrl-CS" w:eastAsia="sr-Cyrl-CS" w:bidi="sr-Cyrl-CS"/>
        </w:rPr>
        <w:t xml:space="preserve">Унапређење енергетске ефикасности једна је од кључних мера политике у борби против климатских промена. Циљеви у овој области биће утврђени у оквиру Интегрисаног енергетског и климатског плана. Повећање енергетске ефикасности у сектору индустрије и комерцијалном сектору доводи до смањења потрошње енергије по јединици производа што значи да доприноси и њиховој конкурентности. С обзиром да је енергетски интензитет у </w:t>
      </w:r>
      <w:r w:rsidR="004B1308" w:rsidRPr="00092ED7">
        <w:rPr>
          <w:rFonts w:eastAsia="Calibri" w:cs="Times New Roman"/>
          <w:szCs w:val="24"/>
          <w:lang w:val="sr-Cyrl-CS" w:eastAsia="sr-Cyrl-CS" w:bidi="sr-Cyrl-CS"/>
        </w:rPr>
        <w:t xml:space="preserve">Републици </w:t>
      </w:r>
      <w:r w:rsidRPr="00092ED7">
        <w:rPr>
          <w:rFonts w:eastAsia="Calibri" w:cs="Times New Roman"/>
          <w:szCs w:val="24"/>
          <w:lang w:val="sr-Cyrl-CS" w:eastAsia="sr-Cyrl-CS" w:bidi="sr-Cyrl-CS"/>
        </w:rPr>
        <w:t xml:space="preserve">Србији око </w:t>
      </w:r>
      <w:r w:rsidR="00C1699A" w:rsidRPr="00092ED7">
        <w:rPr>
          <w:rFonts w:eastAsia="Calibri" w:cs="Times New Roman"/>
          <w:szCs w:val="24"/>
          <w:lang w:val="sr-Cyrl-CS" w:eastAsia="sr-Cyrl-CS" w:bidi="sr-Cyrl-CS"/>
        </w:rPr>
        <w:t xml:space="preserve">четири </w:t>
      </w:r>
      <w:r w:rsidRPr="00092ED7">
        <w:rPr>
          <w:rFonts w:eastAsia="Calibri" w:cs="Times New Roman"/>
          <w:szCs w:val="24"/>
          <w:lang w:val="sr-Cyrl-CS" w:eastAsia="sr-Cyrl-CS" w:bidi="sr-Cyrl-CS"/>
        </w:rPr>
        <w:t>пута већи од просека ЕУ (</w:t>
      </w:r>
      <w:r w:rsidR="004B1308" w:rsidRPr="00092ED7">
        <w:rPr>
          <w:rFonts w:eastAsia="Calibri" w:cs="Times New Roman"/>
          <w:szCs w:val="24"/>
          <w:lang w:val="sr-Cyrl-CS" w:eastAsia="sr-Cyrl-CS" w:bidi="sr-Cyrl-CS"/>
        </w:rPr>
        <w:t xml:space="preserve">Републици </w:t>
      </w:r>
      <w:r w:rsidRPr="00092ED7">
        <w:rPr>
          <w:rFonts w:eastAsia="Calibri" w:cs="Times New Roman"/>
          <w:szCs w:val="24"/>
          <w:lang w:val="sr-Cyrl-CS" w:eastAsia="sr-Cyrl-CS" w:bidi="sr-Cyrl-CS"/>
        </w:rPr>
        <w:t xml:space="preserve">Србија потроши </w:t>
      </w:r>
      <w:r w:rsidR="00C1699A" w:rsidRPr="00092ED7">
        <w:rPr>
          <w:rFonts w:eastAsia="Calibri" w:cs="Times New Roman"/>
          <w:szCs w:val="24"/>
          <w:lang w:val="sr-Cyrl-CS" w:eastAsia="sr-Cyrl-CS" w:bidi="sr-Cyrl-CS"/>
        </w:rPr>
        <w:t xml:space="preserve">четири </w:t>
      </w:r>
      <w:r w:rsidRPr="00092ED7">
        <w:rPr>
          <w:rFonts w:eastAsia="Calibri" w:cs="Times New Roman"/>
          <w:szCs w:val="24"/>
          <w:lang w:val="sr-Cyrl-CS" w:eastAsia="sr-Cyrl-CS" w:bidi="sr-Cyrl-CS"/>
        </w:rPr>
        <w:t>пута више енергије за стварање јединице БДП) евидентно је да постоји велики потенцијал за унапређење енергетске ефикасности.</w:t>
      </w:r>
    </w:p>
    <w:p w14:paraId="4DF49AC2" w14:textId="77777777" w:rsidR="00D210F0" w:rsidRPr="00092ED7" w:rsidRDefault="00D210F0" w:rsidP="00071952">
      <w:pPr>
        <w:widowControl w:val="0"/>
        <w:numPr>
          <w:ilvl w:val="0"/>
          <w:numId w:val="25"/>
        </w:numPr>
        <w:spacing w:before="120"/>
        <w:ind w:left="425" w:hanging="425"/>
        <w:rPr>
          <w:rFonts w:eastAsia="Calibri" w:cs="Times New Roman"/>
          <w:b/>
          <w:szCs w:val="24"/>
          <w:lang w:val="sr-Cyrl-CS" w:eastAsia="sr-Cyrl-CS" w:bidi="sr-Cyrl-CS"/>
        </w:rPr>
      </w:pPr>
      <w:r w:rsidRPr="00092ED7">
        <w:rPr>
          <w:rFonts w:eastAsia="Calibri" w:cs="Times New Roman"/>
          <w:b/>
          <w:szCs w:val="24"/>
          <w:lang w:val="sr-Cyrl-CS" w:eastAsia="sr-Cyrl-CS" w:bidi="sr-Cyrl-CS"/>
        </w:rPr>
        <w:t>Процењени трошкови активности и извори финансирања</w:t>
      </w:r>
    </w:p>
    <w:p w14:paraId="3BE1DD0B" w14:textId="387BC713" w:rsidR="00CA0E52" w:rsidRPr="00092ED7" w:rsidRDefault="00CA0E52" w:rsidP="001760BE">
      <w:pPr>
        <w:widowControl w:val="0"/>
        <w:tabs>
          <w:tab w:val="left" w:pos="7112"/>
        </w:tabs>
        <w:spacing w:after="60"/>
        <w:rPr>
          <w:rFonts w:eastAsia="Times New Roman" w:cs="Times New Roman"/>
          <w:szCs w:val="24"/>
          <w:lang w:val="sr-Cyrl-CS"/>
        </w:rPr>
      </w:pPr>
      <w:r w:rsidRPr="00092ED7">
        <w:rPr>
          <w:rFonts w:eastAsia="Times New Roman" w:cs="Times New Roman"/>
          <w:szCs w:val="24"/>
          <w:lang w:val="sr-Cyrl-CS"/>
        </w:rPr>
        <w:t xml:space="preserve">За спровођење активности 1 у 2023. години обезбеђена је техничка помоћ кроз „PLAC” пројекат. За спровођење активности 1 и 2 потребно је обезбедити из ИПА или других фондова 1 милион евра у 2024. години. </w:t>
      </w:r>
    </w:p>
    <w:p w14:paraId="62E9BD4B" w14:textId="5BDE1372" w:rsidR="000634BE" w:rsidRPr="00092ED7" w:rsidRDefault="000634BE" w:rsidP="001760BE">
      <w:pPr>
        <w:widowControl w:val="0"/>
        <w:tabs>
          <w:tab w:val="left" w:pos="7112"/>
        </w:tabs>
        <w:spacing w:after="60"/>
        <w:rPr>
          <w:rFonts w:eastAsia="Times New Roman" w:cs="Times New Roman"/>
          <w:szCs w:val="24"/>
          <w:lang w:val="sr-Cyrl-CS"/>
        </w:rPr>
      </w:pPr>
      <w:r w:rsidRPr="00092ED7">
        <w:rPr>
          <w:rFonts w:eastAsia="Times New Roman" w:cs="Times New Roman"/>
          <w:szCs w:val="24"/>
          <w:lang w:val="sr-Cyrl-CS"/>
        </w:rPr>
        <w:t xml:space="preserve">За спровођење активности 2 и 3 у наредном периоду </w:t>
      </w:r>
      <w:r w:rsidR="00CA0E52" w:rsidRPr="00092ED7">
        <w:rPr>
          <w:rFonts w:eastAsia="Times New Roman" w:cs="Times New Roman"/>
          <w:szCs w:val="24"/>
          <w:lang w:val="sr-Cyrl-CS"/>
        </w:rPr>
        <w:t>потребна су следећа средства</w:t>
      </w:r>
      <w:r w:rsidRPr="00092ED7">
        <w:rPr>
          <w:rFonts w:eastAsia="Times New Roman" w:cs="Times New Roman"/>
          <w:szCs w:val="24"/>
          <w:lang w:val="sr-Cyrl-CS"/>
        </w:rPr>
        <w:t>:</w:t>
      </w:r>
    </w:p>
    <w:p w14:paraId="3C0FDF55" w14:textId="15E52FFB" w:rsidR="000634BE" w:rsidRPr="00092ED7" w:rsidRDefault="000634BE" w:rsidP="001760BE">
      <w:pPr>
        <w:pStyle w:val="ListParagraph"/>
        <w:widowControl w:val="0"/>
        <w:numPr>
          <w:ilvl w:val="0"/>
          <w:numId w:val="51"/>
        </w:numPr>
        <w:tabs>
          <w:tab w:val="left" w:pos="7112"/>
        </w:tabs>
        <w:spacing w:after="60" w:line="240" w:lineRule="auto"/>
        <w:rPr>
          <w:rFonts w:eastAsia="Times New Roman" w:cs="Times New Roman"/>
          <w:sz w:val="24"/>
          <w:szCs w:val="24"/>
          <w:lang w:val="sr-Cyrl-CS"/>
        </w:rPr>
      </w:pPr>
      <w:r w:rsidRPr="00092ED7">
        <w:rPr>
          <w:rFonts w:eastAsia="Times New Roman" w:cs="Times New Roman"/>
          <w:sz w:val="24"/>
          <w:szCs w:val="24"/>
          <w:lang w:val="sr-Cyrl-CS"/>
        </w:rPr>
        <w:t xml:space="preserve">у 2023. години </w:t>
      </w:r>
      <w:r w:rsidR="00CA0E52" w:rsidRPr="00092ED7">
        <w:rPr>
          <w:rFonts w:eastAsia="Times New Roman" w:cs="Times New Roman"/>
          <w:sz w:val="24"/>
          <w:szCs w:val="24"/>
          <w:lang w:val="sr-Cyrl-CS"/>
        </w:rPr>
        <w:t xml:space="preserve">обезбеђена су </w:t>
      </w:r>
      <w:r w:rsidRPr="00092ED7">
        <w:rPr>
          <w:rFonts w:eastAsia="Times New Roman" w:cs="Times New Roman"/>
          <w:sz w:val="24"/>
          <w:szCs w:val="24"/>
          <w:lang w:val="sr-Cyrl-CS"/>
        </w:rPr>
        <w:t xml:space="preserve">средства </w:t>
      </w:r>
      <w:r w:rsidR="00616441" w:rsidRPr="00092ED7">
        <w:rPr>
          <w:rFonts w:eastAsia="Times New Roman" w:cs="Times New Roman"/>
          <w:sz w:val="24"/>
          <w:szCs w:val="24"/>
          <w:lang w:val="sr-Cyrl-CS"/>
        </w:rPr>
        <w:t xml:space="preserve">Управи </w:t>
      </w:r>
      <w:r w:rsidR="00045F19" w:rsidRPr="00092ED7">
        <w:rPr>
          <w:rFonts w:eastAsia="Times New Roman" w:cs="Times New Roman"/>
          <w:bCs/>
          <w:iCs/>
          <w:sz w:val="24"/>
          <w:szCs w:val="24"/>
          <w:lang w:val="sr-Cyrl-CS"/>
        </w:rPr>
        <w:t>за финансирање и подстицање енергетске ефикасности</w:t>
      </w:r>
      <w:r w:rsidR="00CA0E52" w:rsidRPr="00092ED7">
        <w:rPr>
          <w:rFonts w:eastAsia="Times New Roman" w:cs="Times New Roman"/>
          <w:sz w:val="24"/>
          <w:szCs w:val="24"/>
          <w:lang w:val="sr-Cyrl-CS"/>
        </w:rPr>
        <w:t xml:space="preserve"> </w:t>
      </w:r>
      <w:r w:rsidRPr="00092ED7">
        <w:rPr>
          <w:rFonts w:eastAsia="Times New Roman" w:cs="Times New Roman"/>
          <w:sz w:val="24"/>
          <w:szCs w:val="24"/>
          <w:lang w:val="sr-Cyrl-CS"/>
        </w:rPr>
        <w:t xml:space="preserve">из </w:t>
      </w:r>
      <w:r w:rsidR="001760BE" w:rsidRPr="00092ED7">
        <w:rPr>
          <w:rFonts w:eastAsia="Times New Roman" w:cs="Times New Roman"/>
          <w:sz w:val="24"/>
          <w:szCs w:val="24"/>
          <w:lang w:val="sr-Cyrl-CS"/>
        </w:rPr>
        <w:t xml:space="preserve">буџета </w:t>
      </w:r>
      <w:r w:rsidRPr="00092ED7">
        <w:rPr>
          <w:rFonts w:eastAsia="Times New Roman" w:cs="Times New Roman"/>
          <w:sz w:val="24"/>
          <w:szCs w:val="24"/>
          <w:lang w:val="sr-Cyrl-CS"/>
        </w:rPr>
        <w:t xml:space="preserve">у висини од </w:t>
      </w:r>
      <w:r w:rsidR="00CA0E52" w:rsidRPr="00092ED7">
        <w:rPr>
          <w:rFonts w:eastAsia="Times New Roman" w:cs="Times New Roman"/>
          <w:sz w:val="24"/>
          <w:szCs w:val="24"/>
          <w:lang w:val="sr-Cyrl-CS"/>
        </w:rPr>
        <w:t xml:space="preserve">4,28 </w:t>
      </w:r>
      <w:r w:rsidRPr="00092ED7">
        <w:rPr>
          <w:rFonts w:eastAsia="Times New Roman" w:cs="Times New Roman"/>
          <w:sz w:val="24"/>
          <w:szCs w:val="24"/>
          <w:lang w:val="sr-Cyrl-CS"/>
        </w:rPr>
        <w:t xml:space="preserve">милиона евра и око 1,6 милиона евра као </w:t>
      </w:r>
      <w:r w:rsidR="00CA0E52" w:rsidRPr="00092ED7">
        <w:rPr>
          <w:rFonts w:eastAsia="Times New Roman" w:cs="Times New Roman"/>
          <w:sz w:val="24"/>
          <w:szCs w:val="24"/>
          <w:lang w:val="sr-Cyrl-CS"/>
        </w:rPr>
        <w:t xml:space="preserve">контрибуција </w:t>
      </w:r>
      <w:r w:rsidR="00A03723" w:rsidRPr="00092ED7">
        <w:rPr>
          <w:rFonts w:eastAsia="Times New Roman" w:cs="Times New Roman"/>
          <w:sz w:val="24"/>
          <w:szCs w:val="24"/>
          <w:lang w:val="sr-Cyrl-CS"/>
        </w:rPr>
        <w:t>ЈЛС</w:t>
      </w:r>
      <w:r w:rsidRPr="00092ED7">
        <w:rPr>
          <w:rFonts w:eastAsia="Times New Roman" w:cs="Times New Roman"/>
          <w:sz w:val="24"/>
          <w:szCs w:val="24"/>
          <w:lang w:val="sr-Cyrl-CS"/>
        </w:rPr>
        <w:t xml:space="preserve"> које </w:t>
      </w:r>
      <w:r w:rsidR="00CA0E52" w:rsidRPr="00092ED7">
        <w:rPr>
          <w:rFonts w:eastAsia="Times New Roman" w:cs="Times New Roman"/>
          <w:sz w:val="24"/>
          <w:szCs w:val="24"/>
          <w:lang w:val="sr-Cyrl-CS"/>
        </w:rPr>
        <w:t xml:space="preserve">су </w:t>
      </w:r>
      <w:r w:rsidRPr="00092ED7">
        <w:rPr>
          <w:rFonts w:eastAsia="Times New Roman" w:cs="Times New Roman"/>
          <w:sz w:val="24"/>
          <w:szCs w:val="24"/>
          <w:lang w:val="sr-Cyrl-CS"/>
        </w:rPr>
        <w:t xml:space="preserve">укључене </w:t>
      </w:r>
      <w:r w:rsidR="008324AA" w:rsidRPr="00092ED7">
        <w:rPr>
          <w:rFonts w:eastAsia="Times New Roman" w:cs="Times New Roman"/>
          <w:sz w:val="24"/>
          <w:szCs w:val="24"/>
          <w:lang w:val="sr-Cyrl-CS"/>
        </w:rPr>
        <w:t xml:space="preserve">у </w:t>
      </w:r>
      <w:r w:rsidRPr="00092ED7">
        <w:rPr>
          <w:rFonts w:eastAsia="Times New Roman" w:cs="Times New Roman"/>
          <w:sz w:val="24"/>
          <w:szCs w:val="24"/>
          <w:lang w:val="sr-Cyrl-CS"/>
        </w:rPr>
        <w:t xml:space="preserve">реализацију активности </w:t>
      </w:r>
      <w:r w:rsidR="004626B3" w:rsidRPr="00092ED7">
        <w:rPr>
          <w:rFonts w:eastAsia="Times New Roman" w:cs="Times New Roman"/>
          <w:sz w:val="24"/>
          <w:szCs w:val="24"/>
          <w:lang w:val="sr-Cyrl-CS"/>
        </w:rPr>
        <w:t>ове у</w:t>
      </w:r>
      <w:r w:rsidRPr="00092ED7">
        <w:rPr>
          <w:rFonts w:eastAsia="Times New Roman" w:cs="Times New Roman"/>
          <w:sz w:val="24"/>
          <w:szCs w:val="24"/>
          <w:lang w:val="sr-Cyrl-CS"/>
        </w:rPr>
        <w:t xml:space="preserve">праве, средства ИПА </w:t>
      </w:r>
      <w:r w:rsidR="00CA0E52" w:rsidRPr="00092ED7">
        <w:rPr>
          <w:rFonts w:eastAsia="Times New Roman" w:cs="Times New Roman"/>
          <w:sz w:val="24"/>
          <w:szCs w:val="24"/>
          <w:lang w:val="sr-Cyrl-CS"/>
        </w:rPr>
        <w:t xml:space="preserve">2021 </w:t>
      </w:r>
      <w:r w:rsidRPr="00092ED7">
        <w:rPr>
          <w:rFonts w:eastAsia="Times New Roman" w:cs="Times New Roman"/>
          <w:sz w:val="24"/>
          <w:szCs w:val="24"/>
          <w:lang w:val="sr-Cyrl-CS"/>
        </w:rPr>
        <w:t>фондова у висини од 1 милион евра</w:t>
      </w:r>
      <w:r w:rsidR="00CA0E52" w:rsidRPr="00092ED7">
        <w:rPr>
          <w:rFonts w:eastAsia="Times New Roman" w:cs="Times New Roman"/>
          <w:sz w:val="24"/>
          <w:szCs w:val="24"/>
          <w:lang w:val="sr-Cyrl-CS"/>
        </w:rPr>
        <w:t>, које спроводи ЕБРД</w:t>
      </w:r>
      <w:r w:rsidRPr="00092ED7">
        <w:rPr>
          <w:rFonts w:eastAsia="Times New Roman" w:cs="Times New Roman"/>
          <w:sz w:val="24"/>
          <w:szCs w:val="24"/>
          <w:lang w:val="sr-Cyrl-CS"/>
        </w:rPr>
        <w:t xml:space="preserve">, </w:t>
      </w:r>
      <w:r w:rsidR="00CA0E52" w:rsidRPr="00092ED7">
        <w:rPr>
          <w:rFonts w:eastAsia="Times New Roman" w:cs="Times New Roman"/>
          <w:sz w:val="24"/>
          <w:szCs w:val="24"/>
          <w:lang w:val="sr-Cyrl-CS"/>
        </w:rPr>
        <w:t xml:space="preserve">део </w:t>
      </w:r>
      <w:r w:rsidRPr="00092ED7">
        <w:rPr>
          <w:rFonts w:eastAsia="Times New Roman" w:cs="Times New Roman"/>
          <w:sz w:val="24"/>
          <w:szCs w:val="24"/>
          <w:lang w:val="sr-Cyrl-CS"/>
        </w:rPr>
        <w:t xml:space="preserve">из развојних средстава зајма Светске банке 6,735 милиона евра (пројекат </w:t>
      </w:r>
      <w:r w:rsidR="008D24BA" w:rsidRPr="00092ED7">
        <w:rPr>
          <w:rFonts w:eastAsia="Times New Roman" w:cs="Times New Roman"/>
          <w:sz w:val="24"/>
          <w:szCs w:val="24"/>
          <w:lang w:val="sr-Cyrl-CS"/>
        </w:rPr>
        <w:t xml:space="preserve">SURCE) </w:t>
      </w:r>
      <w:r w:rsidRPr="00092ED7">
        <w:rPr>
          <w:rFonts w:eastAsia="Times New Roman" w:cs="Times New Roman"/>
          <w:sz w:val="24"/>
          <w:szCs w:val="24"/>
          <w:lang w:val="sr-Cyrl-CS"/>
        </w:rPr>
        <w:t xml:space="preserve">и </w:t>
      </w:r>
      <w:r w:rsidR="00FD5D4D" w:rsidRPr="00092ED7">
        <w:rPr>
          <w:rFonts w:eastAsia="Times New Roman" w:cs="Times New Roman"/>
          <w:sz w:val="24"/>
          <w:szCs w:val="24"/>
          <w:lang w:val="sr-Cyrl-CS"/>
        </w:rPr>
        <w:t xml:space="preserve">део </w:t>
      </w:r>
      <w:r w:rsidRPr="00092ED7">
        <w:rPr>
          <w:rFonts w:eastAsia="Times New Roman" w:cs="Times New Roman"/>
          <w:sz w:val="24"/>
          <w:szCs w:val="24"/>
          <w:lang w:val="sr-Cyrl-CS"/>
        </w:rPr>
        <w:t>из зајма EBRD 5 милиона евра (пројекат „Енергетске ефикасност у стамбеним и јавним зградама прикљученим на даљинско грејање</w:t>
      </w:r>
      <w:r w:rsidR="00FD5D4D" w:rsidRPr="00092ED7">
        <w:rPr>
          <w:rFonts w:eastAsia="Times New Roman" w:cs="Times New Roman"/>
          <w:sz w:val="24"/>
          <w:szCs w:val="24"/>
          <w:lang w:val="sr-Cyrl-CS"/>
        </w:rPr>
        <w:t>”</w:t>
      </w:r>
      <w:r w:rsidRPr="00092ED7">
        <w:rPr>
          <w:rFonts w:eastAsia="Times New Roman" w:cs="Times New Roman"/>
          <w:sz w:val="24"/>
          <w:szCs w:val="24"/>
          <w:lang w:val="sr-Cyrl-CS"/>
        </w:rPr>
        <w:t>).</w:t>
      </w:r>
    </w:p>
    <w:p w14:paraId="47F787BC" w14:textId="6C2B4275" w:rsidR="000634BE" w:rsidRPr="00092ED7" w:rsidRDefault="000634BE" w:rsidP="001760BE">
      <w:pPr>
        <w:pStyle w:val="ListParagraph"/>
        <w:widowControl w:val="0"/>
        <w:numPr>
          <w:ilvl w:val="0"/>
          <w:numId w:val="51"/>
        </w:numPr>
        <w:tabs>
          <w:tab w:val="left" w:pos="7112"/>
        </w:tabs>
        <w:spacing w:after="60" w:line="240" w:lineRule="auto"/>
        <w:rPr>
          <w:rFonts w:eastAsia="Times New Roman" w:cs="Times New Roman"/>
          <w:sz w:val="24"/>
          <w:szCs w:val="24"/>
          <w:lang w:val="sr-Cyrl-CS"/>
        </w:rPr>
      </w:pPr>
      <w:r w:rsidRPr="00092ED7">
        <w:rPr>
          <w:rFonts w:eastAsia="Times New Roman" w:cs="Times New Roman"/>
          <w:sz w:val="24"/>
          <w:szCs w:val="24"/>
          <w:lang w:val="sr-Cyrl-CS"/>
        </w:rPr>
        <w:t xml:space="preserve">у 2024. години </w:t>
      </w:r>
      <w:r w:rsidR="00FD5D4D" w:rsidRPr="00092ED7">
        <w:rPr>
          <w:rFonts w:eastAsia="Times New Roman" w:cs="Times New Roman"/>
          <w:sz w:val="24"/>
          <w:szCs w:val="24"/>
          <w:lang w:val="sr-Cyrl-CS"/>
        </w:rPr>
        <w:t xml:space="preserve">потребно је планирати </w:t>
      </w:r>
      <w:r w:rsidRPr="00092ED7">
        <w:rPr>
          <w:rFonts w:eastAsia="Times New Roman" w:cs="Times New Roman"/>
          <w:sz w:val="24"/>
          <w:szCs w:val="24"/>
          <w:lang w:val="sr-Cyrl-CS"/>
        </w:rPr>
        <w:t xml:space="preserve">средства </w:t>
      </w:r>
      <w:r w:rsidR="00FD5D4D" w:rsidRPr="00092ED7">
        <w:rPr>
          <w:rFonts w:eastAsia="Times New Roman" w:cs="Times New Roman"/>
          <w:sz w:val="24"/>
          <w:szCs w:val="24"/>
          <w:lang w:val="sr-Cyrl-CS"/>
        </w:rPr>
        <w:t xml:space="preserve">Управе </w:t>
      </w:r>
      <w:r w:rsidR="00045F19" w:rsidRPr="00092ED7">
        <w:rPr>
          <w:rFonts w:eastAsia="Times New Roman" w:cs="Times New Roman"/>
          <w:bCs/>
          <w:iCs/>
          <w:sz w:val="24"/>
          <w:szCs w:val="24"/>
          <w:lang w:val="sr-Cyrl-CS"/>
        </w:rPr>
        <w:t>за финансирање и подстицање енергетске ефикасности</w:t>
      </w:r>
      <w:r w:rsidR="00FD5D4D" w:rsidRPr="00092ED7">
        <w:rPr>
          <w:rFonts w:eastAsia="Times New Roman" w:cs="Times New Roman"/>
          <w:sz w:val="24"/>
          <w:szCs w:val="24"/>
          <w:lang w:val="sr-Cyrl-CS"/>
        </w:rPr>
        <w:t xml:space="preserve"> </w:t>
      </w:r>
      <w:r w:rsidRPr="00092ED7">
        <w:rPr>
          <w:rFonts w:eastAsia="Times New Roman" w:cs="Times New Roman"/>
          <w:sz w:val="24"/>
          <w:szCs w:val="24"/>
          <w:lang w:val="sr-Cyrl-CS"/>
        </w:rPr>
        <w:t xml:space="preserve">из </w:t>
      </w:r>
      <w:r w:rsidR="001760BE" w:rsidRPr="00092ED7">
        <w:rPr>
          <w:rFonts w:eastAsia="Times New Roman" w:cs="Times New Roman"/>
          <w:sz w:val="24"/>
          <w:szCs w:val="24"/>
          <w:lang w:val="sr-Cyrl-CS"/>
        </w:rPr>
        <w:t xml:space="preserve">буџета </w:t>
      </w:r>
      <w:r w:rsidRPr="00092ED7">
        <w:rPr>
          <w:rFonts w:eastAsia="Times New Roman" w:cs="Times New Roman"/>
          <w:sz w:val="24"/>
          <w:szCs w:val="24"/>
          <w:lang w:val="sr-Cyrl-CS"/>
        </w:rPr>
        <w:t xml:space="preserve">најмање у висини од </w:t>
      </w:r>
      <w:r w:rsidR="00FD5D4D" w:rsidRPr="00092ED7">
        <w:rPr>
          <w:rFonts w:eastAsia="Times New Roman" w:cs="Times New Roman"/>
          <w:sz w:val="24"/>
          <w:szCs w:val="24"/>
          <w:lang w:val="sr-Cyrl-CS"/>
        </w:rPr>
        <w:t xml:space="preserve">најмање </w:t>
      </w:r>
      <w:r w:rsidRPr="00092ED7">
        <w:rPr>
          <w:rFonts w:eastAsia="Times New Roman" w:cs="Times New Roman"/>
          <w:sz w:val="24"/>
          <w:szCs w:val="24"/>
          <w:lang w:val="sr-Cyrl-CS"/>
        </w:rPr>
        <w:t xml:space="preserve">4.025 милиона евра и око 1,6 милиона евра као контрибуцију </w:t>
      </w:r>
      <w:r w:rsidR="00A03723" w:rsidRPr="00092ED7">
        <w:rPr>
          <w:rFonts w:eastAsia="Times New Roman" w:cs="Times New Roman"/>
          <w:sz w:val="24"/>
          <w:szCs w:val="24"/>
          <w:lang w:val="sr-Cyrl-CS"/>
        </w:rPr>
        <w:t>ЈЛС</w:t>
      </w:r>
      <w:r w:rsidRPr="00092ED7">
        <w:rPr>
          <w:rFonts w:eastAsia="Times New Roman" w:cs="Times New Roman"/>
          <w:sz w:val="24"/>
          <w:szCs w:val="24"/>
          <w:lang w:val="sr-Cyrl-CS"/>
        </w:rPr>
        <w:t xml:space="preserve"> које буду укључене реализацију активности Управе, средства ИПА </w:t>
      </w:r>
      <w:r w:rsidR="00FD5D4D" w:rsidRPr="00092ED7">
        <w:rPr>
          <w:rFonts w:eastAsia="Times New Roman" w:cs="Times New Roman"/>
          <w:sz w:val="24"/>
          <w:szCs w:val="24"/>
          <w:lang w:val="sr-Cyrl-CS"/>
        </w:rPr>
        <w:t xml:space="preserve">2021 </w:t>
      </w:r>
      <w:r w:rsidRPr="00092ED7">
        <w:rPr>
          <w:rFonts w:eastAsia="Times New Roman" w:cs="Times New Roman"/>
          <w:sz w:val="24"/>
          <w:szCs w:val="24"/>
          <w:lang w:val="sr-Cyrl-CS"/>
        </w:rPr>
        <w:t>фондова у висини од 2,5 милион евра</w:t>
      </w:r>
      <w:r w:rsidR="00FD5D4D" w:rsidRPr="00092ED7">
        <w:rPr>
          <w:rFonts w:eastAsia="Times New Roman" w:cs="Times New Roman"/>
          <w:sz w:val="24"/>
          <w:szCs w:val="24"/>
          <w:lang w:val="sr-Cyrl-CS"/>
        </w:rPr>
        <w:t>, која спроводи ЕБРД</w:t>
      </w:r>
      <w:r w:rsidRPr="00092ED7">
        <w:rPr>
          <w:rFonts w:eastAsia="Times New Roman" w:cs="Times New Roman"/>
          <w:sz w:val="24"/>
          <w:szCs w:val="24"/>
          <w:lang w:val="sr-Cyrl-CS"/>
        </w:rPr>
        <w:t xml:space="preserve">, </w:t>
      </w:r>
      <w:r w:rsidR="00FD5D4D" w:rsidRPr="00092ED7">
        <w:rPr>
          <w:rFonts w:eastAsia="Times New Roman" w:cs="Times New Roman"/>
          <w:sz w:val="24"/>
          <w:szCs w:val="24"/>
          <w:lang w:val="sr-Cyrl-CS"/>
        </w:rPr>
        <w:t xml:space="preserve">део </w:t>
      </w:r>
      <w:r w:rsidRPr="00092ED7">
        <w:rPr>
          <w:rFonts w:eastAsia="Times New Roman" w:cs="Times New Roman"/>
          <w:sz w:val="24"/>
          <w:szCs w:val="24"/>
          <w:lang w:val="sr-Cyrl-CS"/>
        </w:rPr>
        <w:t>из развојних средстава зајма Светске банке 8,98 милиона евра (</w:t>
      </w:r>
      <w:r w:rsidR="00846C55" w:rsidRPr="00092ED7">
        <w:rPr>
          <w:rFonts w:eastAsia="Times New Roman" w:cs="Times New Roman"/>
          <w:sz w:val="24"/>
          <w:szCs w:val="24"/>
          <w:lang w:val="sr-Cyrl-CS"/>
        </w:rPr>
        <w:t>SURCE</w:t>
      </w:r>
      <w:r w:rsidRPr="00092ED7">
        <w:rPr>
          <w:rFonts w:eastAsia="Times New Roman" w:cs="Times New Roman"/>
          <w:sz w:val="24"/>
          <w:szCs w:val="24"/>
          <w:lang w:val="sr-Cyrl-CS"/>
        </w:rPr>
        <w:t xml:space="preserve">), и </w:t>
      </w:r>
      <w:r w:rsidR="00FD5D4D" w:rsidRPr="00092ED7">
        <w:rPr>
          <w:rFonts w:eastAsia="Times New Roman" w:cs="Times New Roman"/>
          <w:sz w:val="24"/>
          <w:szCs w:val="24"/>
          <w:lang w:val="sr-Cyrl-CS"/>
        </w:rPr>
        <w:t xml:space="preserve">део </w:t>
      </w:r>
      <w:r w:rsidRPr="00092ED7">
        <w:rPr>
          <w:rFonts w:eastAsia="Times New Roman" w:cs="Times New Roman"/>
          <w:sz w:val="24"/>
          <w:szCs w:val="24"/>
          <w:lang w:val="sr-Cyrl-CS"/>
        </w:rPr>
        <w:t>из зајма EBRD 10 милиона евра</w:t>
      </w:r>
      <w:r w:rsidR="00FD5D4D" w:rsidRPr="00092ED7">
        <w:rPr>
          <w:rFonts w:eastAsia="Times New Roman" w:cs="Times New Roman"/>
          <w:sz w:val="24"/>
          <w:szCs w:val="24"/>
          <w:lang w:val="sr-Cyrl-CS"/>
        </w:rPr>
        <w:t xml:space="preserve"> (за пројекат „Енергетске ефикасности у стамбеним и јавним зградама прикљученим на даљинско грејање”)</w:t>
      </w:r>
      <w:r w:rsidRPr="00092ED7">
        <w:rPr>
          <w:rFonts w:eastAsia="Times New Roman" w:cs="Times New Roman"/>
          <w:sz w:val="24"/>
          <w:szCs w:val="24"/>
          <w:lang w:val="sr-Cyrl-CS"/>
        </w:rPr>
        <w:t>.</w:t>
      </w:r>
    </w:p>
    <w:p w14:paraId="7E1F188D" w14:textId="6BFA7DD3" w:rsidR="000634BE" w:rsidRPr="00092ED7" w:rsidRDefault="000634BE" w:rsidP="001760BE">
      <w:pPr>
        <w:pStyle w:val="ListParagraph"/>
        <w:widowControl w:val="0"/>
        <w:numPr>
          <w:ilvl w:val="0"/>
          <w:numId w:val="51"/>
        </w:numPr>
        <w:tabs>
          <w:tab w:val="left" w:pos="7112"/>
        </w:tabs>
        <w:spacing w:after="60" w:line="240" w:lineRule="auto"/>
        <w:rPr>
          <w:rFonts w:eastAsia="Times New Roman" w:cs="Times New Roman"/>
          <w:sz w:val="24"/>
          <w:szCs w:val="24"/>
          <w:lang w:val="sr-Cyrl-CS"/>
        </w:rPr>
      </w:pPr>
      <w:r w:rsidRPr="00092ED7">
        <w:rPr>
          <w:rFonts w:eastAsia="Times New Roman" w:cs="Times New Roman"/>
          <w:sz w:val="24"/>
          <w:szCs w:val="24"/>
          <w:lang w:val="sr-Cyrl-CS"/>
        </w:rPr>
        <w:t xml:space="preserve">у 2025. години </w:t>
      </w:r>
      <w:r w:rsidR="00FD5D4D" w:rsidRPr="00092ED7">
        <w:rPr>
          <w:rFonts w:eastAsia="Times New Roman" w:cs="Times New Roman"/>
          <w:sz w:val="24"/>
          <w:szCs w:val="24"/>
          <w:lang w:val="sr-Cyrl-CS"/>
        </w:rPr>
        <w:t xml:space="preserve">потребно је планирати </w:t>
      </w:r>
      <w:r w:rsidRPr="00092ED7">
        <w:rPr>
          <w:rFonts w:eastAsia="Times New Roman" w:cs="Times New Roman"/>
          <w:sz w:val="24"/>
          <w:szCs w:val="24"/>
          <w:lang w:val="sr-Cyrl-CS"/>
        </w:rPr>
        <w:t xml:space="preserve">средства </w:t>
      </w:r>
      <w:r w:rsidR="00FD5D4D" w:rsidRPr="00092ED7">
        <w:rPr>
          <w:rFonts w:eastAsia="Times New Roman" w:cs="Times New Roman"/>
          <w:sz w:val="24"/>
          <w:szCs w:val="24"/>
          <w:lang w:val="sr-Cyrl-CS"/>
        </w:rPr>
        <w:t xml:space="preserve">за Управу </w:t>
      </w:r>
      <w:r w:rsidR="00045F19" w:rsidRPr="00092ED7">
        <w:rPr>
          <w:rFonts w:eastAsia="Times New Roman" w:cs="Times New Roman"/>
          <w:bCs/>
          <w:iCs/>
          <w:sz w:val="24"/>
          <w:szCs w:val="24"/>
          <w:lang w:val="sr-Cyrl-CS"/>
        </w:rPr>
        <w:t>за финансирање и подстицање енергетске ефикасности</w:t>
      </w:r>
      <w:r w:rsidR="00FD5D4D" w:rsidRPr="00092ED7">
        <w:rPr>
          <w:rFonts w:eastAsia="Times New Roman" w:cs="Times New Roman"/>
          <w:sz w:val="24"/>
          <w:szCs w:val="24"/>
          <w:lang w:val="sr-Cyrl-CS"/>
        </w:rPr>
        <w:t xml:space="preserve"> </w:t>
      </w:r>
      <w:r w:rsidRPr="00092ED7">
        <w:rPr>
          <w:rFonts w:eastAsia="Times New Roman" w:cs="Times New Roman"/>
          <w:sz w:val="24"/>
          <w:szCs w:val="24"/>
          <w:lang w:val="sr-Cyrl-CS"/>
        </w:rPr>
        <w:t xml:space="preserve">из </w:t>
      </w:r>
      <w:r w:rsidR="001760BE" w:rsidRPr="00092ED7">
        <w:rPr>
          <w:rFonts w:eastAsia="Times New Roman" w:cs="Times New Roman"/>
          <w:sz w:val="24"/>
          <w:szCs w:val="24"/>
          <w:lang w:val="sr-Cyrl-CS"/>
        </w:rPr>
        <w:t xml:space="preserve">буџета </w:t>
      </w:r>
      <w:r w:rsidRPr="00092ED7">
        <w:rPr>
          <w:rFonts w:eastAsia="Times New Roman" w:cs="Times New Roman"/>
          <w:sz w:val="24"/>
          <w:szCs w:val="24"/>
          <w:lang w:val="sr-Cyrl-CS"/>
        </w:rPr>
        <w:t xml:space="preserve">у висини од </w:t>
      </w:r>
      <w:r w:rsidR="00FD5D4D" w:rsidRPr="00092ED7">
        <w:rPr>
          <w:rFonts w:eastAsia="Times New Roman" w:cs="Times New Roman"/>
          <w:sz w:val="24"/>
          <w:szCs w:val="24"/>
          <w:lang w:val="sr-Cyrl-CS"/>
        </w:rPr>
        <w:t xml:space="preserve">најмање 4,28 </w:t>
      </w:r>
      <w:r w:rsidRPr="00092ED7">
        <w:rPr>
          <w:rFonts w:eastAsia="Times New Roman" w:cs="Times New Roman"/>
          <w:sz w:val="24"/>
          <w:szCs w:val="24"/>
          <w:lang w:val="sr-Cyrl-CS"/>
        </w:rPr>
        <w:t xml:space="preserve">милиона евра и око 1,6 милиона евра као контрибуцију </w:t>
      </w:r>
      <w:r w:rsidR="00A03723" w:rsidRPr="00092ED7">
        <w:rPr>
          <w:rFonts w:eastAsia="Times New Roman" w:cs="Times New Roman"/>
          <w:sz w:val="24"/>
          <w:szCs w:val="24"/>
          <w:lang w:val="sr-Cyrl-CS"/>
        </w:rPr>
        <w:t>ЈЛС</w:t>
      </w:r>
      <w:r w:rsidRPr="00092ED7">
        <w:rPr>
          <w:rFonts w:eastAsia="Times New Roman" w:cs="Times New Roman"/>
          <w:sz w:val="24"/>
          <w:szCs w:val="24"/>
          <w:lang w:val="sr-Cyrl-CS"/>
        </w:rPr>
        <w:t xml:space="preserve"> које буду укључене </w:t>
      </w:r>
      <w:r w:rsidR="004626B3" w:rsidRPr="00092ED7">
        <w:rPr>
          <w:rFonts w:eastAsia="Times New Roman" w:cs="Times New Roman"/>
          <w:sz w:val="24"/>
          <w:szCs w:val="24"/>
          <w:lang w:val="sr-Cyrl-CS"/>
        </w:rPr>
        <w:t xml:space="preserve">у </w:t>
      </w:r>
      <w:r w:rsidRPr="00092ED7">
        <w:rPr>
          <w:rFonts w:eastAsia="Times New Roman" w:cs="Times New Roman"/>
          <w:sz w:val="24"/>
          <w:szCs w:val="24"/>
          <w:lang w:val="sr-Cyrl-CS"/>
        </w:rPr>
        <w:t xml:space="preserve">реализацију </w:t>
      </w:r>
      <w:r w:rsidRPr="00092ED7">
        <w:rPr>
          <w:rFonts w:eastAsia="Times New Roman" w:cs="Times New Roman"/>
          <w:sz w:val="24"/>
          <w:szCs w:val="24"/>
          <w:lang w:val="sr-Cyrl-CS"/>
        </w:rPr>
        <w:lastRenderedPageBreak/>
        <w:t xml:space="preserve">активности </w:t>
      </w:r>
      <w:r w:rsidR="004626B3" w:rsidRPr="00092ED7">
        <w:rPr>
          <w:rFonts w:eastAsia="Times New Roman" w:cs="Times New Roman"/>
          <w:sz w:val="24"/>
          <w:szCs w:val="24"/>
          <w:lang w:val="sr-Cyrl-CS"/>
        </w:rPr>
        <w:t>ове у</w:t>
      </w:r>
      <w:r w:rsidRPr="00092ED7">
        <w:rPr>
          <w:rFonts w:eastAsia="Times New Roman" w:cs="Times New Roman"/>
          <w:sz w:val="24"/>
          <w:szCs w:val="24"/>
          <w:lang w:val="sr-Cyrl-CS"/>
        </w:rPr>
        <w:t xml:space="preserve">праве, средства ИПА </w:t>
      </w:r>
      <w:r w:rsidR="00CC276A" w:rsidRPr="00092ED7">
        <w:rPr>
          <w:rFonts w:eastAsia="Times New Roman" w:cs="Times New Roman"/>
          <w:sz w:val="24"/>
          <w:szCs w:val="24"/>
          <w:lang w:val="sr-Cyrl-CS"/>
        </w:rPr>
        <w:t xml:space="preserve">2021 </w:t>
      </w:r>
      <w:r w:rsidRPr="00092ED7">
        <w:rPr>
          <w:rFonts w:eastAsia="Times New Roman" w:cs="Times New Roman"/>
          <w:sz w:val="24"/>
          <w:szCs w:val="24"/>
          <w:lang w:val="sr-Cyrl-CS"/>
        </w:rPr>
        <w:t xml:space="preserve">фондова у висини од 1,5 милион евра, </w:t>
      </w:r>
      <w:r w:rsidR="00CC276A" w:rsidRPr="00092ED7">
        <w:rPr>
          <w:rFonts w:eastAsia="Times New Roman" w:cs="Times New Roman"/>
          <w:sz w:val="24"/>
          <w:szCs w:val="24"/>
          <w:lang w:val="sr-Cyrl-CS"/>
        </w:rPr>
        <w:t xml:space="preserve">које спроводи ЕБРД, део </w:t>
      </w:r>
      <w:r w:rsidRPr="00092ED7">
        <w:rPr>
          <w:rFonts w:eastAsia="Times New Roman" w:cs="Times New Roman"/>
          <w:sz w:val="24"/>
          <w:szCs w:val="24"/>
          <w:lang w:val="sr-Cyrl-CS"/>
        </w:rPr>
        <w:t>из развојних средстава зајма Светске банке 11,225 милиона евра (</w:t>
      </w:r>
      <w:r w:rsidR="00846C55" w:rsidRPr="00092ED7">
        <w:rPr>
          <w:rFonts w:eastAsia="Times New Roman" w:cs="Times New Roman"/>
          <w:sz w:val="24"/>
          <w:szCs w:val="24"/>
          <w:lang w:val="sr-Cyrl-CS"/>
        </w:rPr>
        <w:t>SURCE</w:t>
      </w:r>
      <w:r w:rsidRPr="00092ED7">
        <w:rPr>
          <w:rFonts w:eastAsia="Times New Roman" w:cs="Times New Roman"/>
          <w:sz w:val="24"/>
          <w:szCs w:val="24"/>
          <w:lang w:val="sr-Cyrl-CS"/>
        </w:rPr>
        <w:t xml:space="preserve">), и </w:t>
      </w:r>
      <w:r w:rsidR="00CC276A" w:rsidRPr="00092ED7">
        <w:rPr>
          <w:rFonts w:eastAsia="Times New Roman" w:cs="Times New Roman"/>
          <w:sz w:val="24"/>
          <w:szCs w:val="24"/>
          <w:lang w:val="sr-Cyrl-CS"/>
        </w:rPr>
        <w:t xml:space="preserve">део </w:t>
      </w:r>
      <w:r w:rsidRPr="00092ED7">
        <w:rPr>
          <w:rFonts w:eastAsia="Times New Roman" w:cs="Times New Roman"/>
          <w:sz w:val="24"/>
          <w:szCs w:val="24"/>
          <w:lang w:val="sr-Cyrl-CS"/>
        </w:rPr>
        <w:t>из зајма EBRD 25 милиона евра</w:t>
      </w:r>
      <w:r w:rsidR="004C6B13" w:rsidRPr="00092ED7">
        <w:rPr>
          <w:rFonts w:eastAsia="Times New Roman" w:cs="Times New Roman"/>
          <w:sz w:val="24"/>
          <w:szCs w:val="24"/>
          <w:lang w:val="sr-Cyrl-CS"/>
        </w:rPr>
        <w:t xml:space="preserve"> </w:t>
      </w:r>
      <w:r w:rsidR="00CC276A" w:rsidRPr="00092ED7">
        <w:rPr>
          <w:rFonts w:eastAsia="Times New Roman" w:cs="Times New Roman"/>
          <w:sz w:val="24"/>
          <w:szCs w:val="24"/>
          <w:lang w:val="sr-Cyrl-CS"/>
        </w:rPr>
        <w:t>(за пројекат „Енергетске ефикасности у стамбеним и јавним зградама прикљученим на даљинско грејање</w:t>
      </w:r>
      <w:r w:rsidR="00CC276A" w:rsidRPr="00092ED7">
        <w:rPr>
          <w:rFonts w:eastAsia="Times New Roman" w:cs="Times New Roman"/>
          <w:szCs w:val="24"/>
          <w:lang w:val="sr-Cyrl-CS"/>
        </w:rPr>
        <w:t>”</w:t>
      </w:r>
      <w:r w:rsidR="00CC276A" w:rsidRPr="00092ED7">
        <w:rPr>
          <w:rFonts w:eastAsia="Times New Roman" w:cs="Times New Roman"/>
          <w:sz w:val="24"/>
          <w:szCs w:val="24"/>
          <w:lang w:val="sr-Cyrl-CS"/>
        </w:rPr>
        <w:t>)</w:t>
      </w:r>
      <w:r w:rsidRPr="00092ED7">
        <w:rPr>
          <w:rFonts w:eastAsia="Times New Roman" w:cs="Times New Roman"/>
          <w:sz w:val="24"/>
          <w:szCs w:val="24"/>
          <w:lang w:val="sr-Cyrl-CS"/>
        </w:rPr>
        <w:t>.</w:t>
      </w:r>
    </w:p>
    <w:p w14:paraId="311CB339" w14:textId="3C8A2F21" w:rsidR="00846C55" w:rsidRPr="00092ED7" w:rsidRDefault="00D54C4C" w:rsidP="001760BE">
      <w:pPr>
        <w:widowControl w:val="0"/>
        <w:tabs>
          <w:tab w:val="left" w:pos="7112"/>
        </w:tabs>
        <w:spacing w:after="60"/>
        <w:rPr>
          <w:rFonts w:eastAsia="Times New Roman" w:cs="Times New Roman"/>
          <w:szCs w:val="24"/>
          <w:lang w:val="sr-Cyrl-CS"/>
        </w:rPr>
      </w:pPr>
      <w:r w:rsidRPr="00092ED7">
        <w:rPr>
          <w:rFonts w:eastAsia="Times New Roman" w:cs="Times New Roman"/>
          <w:szCs w:val="24"/>
          <w:lang w:val="sr-Cyrl-CS"/>
        </w:rPr>
        <w:t xml:space="preserve">У наредном периоду очекује се да се из средстава донација и ИПА средстава обезбеде и додатна средства која могу допринети спровођењу реформе. </w:t>
      </w:r>
      <w:r w:rsidR="00846C55" w:rsidRPr="00092ED7">
        <w:rPr>
          <w:rFonts w:eastAsia="MS PGothic" w:cs="Times New Roman"/>
          <w:bCs/>
          <w:iCs/>
          <w:szCs w:val="24"/>
          <w:lang w:val="sr-Cyrl-CS" w:eastAsia="ja-JP"/>
        </w:rPr>
        <w:t xml:space="preserve">Зајам Светске банке за имплементацију пројекта SURCE је преговаран у фебруару 2022. године, потврђен </w:t>
      </w:r>
      <w:r w:rsidR="00846C55" w:rsidRPr="00092ED7">
        <w:rPr>
          <w:rFonts w:eastAsia="Times New Roman" w:cs="Times New Roman"/>
          <w:kern w:val="36"/>
          <w:szCs w:val="24"/>
          <w:lang w:val="sr-Cyrl-CS"/>
        </w:rPr>
        <w:t>Законом о потврђивању споразума о зајму (Пројекат чисте енергије и енергетске ефикасности за грађане) између Републике Србије и Међународне банке за обнову и развој</w:t>
      </w:r>
      <w:r w:rsidR="00846C55" w:rsidRPr="00092ED7">
        <w:rPr>
          <w:rFonts w:eastAsia="Times New Roman" w:cs="Times New Roman"/>
          <w:szCs w:val="24"/>
          <w:lang w:val="sr-Cyrl-CS"/>
        </w:rPr>
        <w:t xml:space="preserve"> који је ступио на снагу 20. децембра 2022. године.</w:t>
      </w:r>
      <w:r w:rsidR="00F950DC" w:rsidRPr="00092ED7">
        <w:rPr>
          <w:rFonts w:eastAsia="Times New Roman" w:cs="Times New Roman"/>
          <w:szCs w:val="24"/>
          <w:lang w:val="sr-Cyrl-CS"/>
        </w:rPr>
        <w:t xml:space="preserve"> </w:t>
      </w:r>
      <w:r w:rsidR="000634BE" w:rsidRPr="00092ED7">
        <w:rPr>
          <w:rFonts w:eastAsia="Times New Roman" w:cs="Times New Roman"/>
          <w:szCs w:val="24"/>
          <w:lang w:val="sr-Cyrl-CS"/>
        </w:rPr>
        <w:t>Реал</w:t>
      </w:r>
      <w:r w:rsidR="001760BE" w:rsidRPr="00092ED7">
        <w:rPr>
          <w:rFonts w:eastAsia="Times New Roman" w:cs="Times New Roman"/>
          <w:szCs w:val="24"/>
          <w:lang w:val="sr-Cyrl-CS"/>
        </w:rPr>
        <w:t>и</w:t>
      </w:r>
      <w:r w:rsidR="000634BE" w:rsidRPr="00092ED7">
        <w:rPr>
          <w:rFonts w:eastAsia="Times New Roman" w:cs="Times New Roman"/>
          <w:szCs w:val="24"/>
          <w:lang w:val="sr-Cyrl-CS"/>
        </w:rPr>
        <w:t>зација пројект</w:t>
      </w:r>
      <w:r w:rsidR="001760BE" w:rsidRPr="00092ED7">
        <w:rPr>
          <w:rFonts w:eastAsia="Times New Roman" w:cs="Times New Roman"/>
          <w:szCs w:val="24"/>
          <w:lang w:val="sr-Cyrl-CS"/>
        </w:rPr>
        <w:t>а</w:t>
      </w:r>
      <w:r w:rsidR="000634BE" w:rsidRPr="00092ED7">
        <w:rPr>
          <w:rFonts w:eastAsia="Times New Roman" w:cs="Times New Roman"/>
          <w:szCs w:val="24"/>
          <w:lang w:val="sr-Cyrl-CS"/>
        </w:rPr>
        <w:t xml:space="preserve"> предвиђена је да траје</w:t>
      </w:r>
      <w:r w:rsidR="004B1308" w:rsidRPr="00092ED7">
        <w:rPr>
          <w:rFonts w:eastAsia="Times New Roman" w:cs="Times New Roman"/>
          <w:szCs w:val="24"/>
          <w:lang w:val="sr-Cyrl-CS"/>
        </w:rPr>
        <w:t xml:space="preserve"> пет</w:t>
      </w:r>
      <w:r w:rsidR="000634BE" w:rsidRPr="00092ED7">
        <w:rPr>
          <w:rFonts w:eastAsia="Times New Roman" w:cs="Times New Roman"/>
          <w:szCs w:val="24"/>
          <w:lang w:val="sr-Cyrl-CS"/>
        </w:rPr>
        <w:t xml:space="preserve"> година</w:t>
      </w:r>
      <w:r w:rsidR="004B1308" w:rsidRPr="00092ED7">
        <w:rPr>
          <w:rFonts w:eastAsia="Times New Roman" w:cs="Times New Roman"/>
          <w:szCs w:val="24"/>
          <w:lang w:val="sr-Cyrl-CS"/>
        </w:rPr>
        <w:t>,</w:t>
      </w:r>
      <w:r w:rsidR="000634BE" w:rsidRPr="00092ED7">
        <w:rPr>
          <w:rFonts w:eastAsia="Times New Roman" w:cs="Times New Roman"/>
          <w:szCs w:val="24"/>
          <w:lang w:val="sr-Cyrl-CS"/>
        </w:rPr>
        <w:t xml:space="preserve"> а прве инвестиције се очекују 2023. године. Кроз пројекат ће се обезбедити грантови ка домаћинствима за унапређење енергетске ефи</w:t>
      </w:r>
      <w:r w:rsidR="00BD3BBA" w:rsidRPr="00092ED7">
        <w:rPr>
          <w:rFonts w:eastAsia="Times New Roman" w:cs="Times New Roman"/>
          <w:szCs w:val="24"/>
          <w:lang w:val="sr-Cyrl-CS"/>
        </w:rPr>
        <w:t>ка</w:t>
      </w:r>
      <w:r w:rsidR="000634BE" w:rsidRPr="00092ED7">
        <w:rPr>
          <w:rFonts w:eastAsia="Times New Roman" w:cs="Times New Roman"/>
          <w:szCs w:val="24"/>
          <w:lang w:val="sr-Cyrl-CS"/>
        </w:rPr>
        <w:t>сности.</w:t>
      </w:r>
    </w:p>
    <w:p w14:paraId="13F014B2" w14:textId="1C3EDAB5" w:rsidR="000634BE" w:rsidRPr="00092ED7" w:rsidRDefault="000634BE" w:rsidP="00616441">
      <w:pPr>
        <w:widowControl w:val="0"/>
        <w:tabs>
          <w:tab w:val="left" w:pos="7112"/>
        </w:tabs>
        <w:spacing w:after="60"/>
        <w:rPr>
          <w:rFonts w:eastAsia="Times New Roman" w:cs="Times New Roman"/>
          <w:szCs w:val="24"/>
          <w:lang w:val="sr-Cyrl-CS"/>
        </w:rPr>
      </w:pPr>
      <w:r w:rsidRPr="00092ED7">
        <w:rPr>
          <w:rFonts w:eastAsia="Times New Roman" w:cs="Times New Roman"/>
          <w:szCs w:val="24"/>
          <w:lang w:val="sr-Cyrl-CS"/>
        </w:rPr>
        <w:t xml:space="preserve">У 2023. години очекује се и </w:t>
      </w:r>
      <w:r w:rsidR="002E3C4D" w:rsidRPr="00092ED7">
        <w:rPr>
          <w:rFonts w:eastAsia="Times New Roman" w:cs="Times New Roman"/>
          <w:szCs w:val="24"/>
          <w:lang w:val="sr-Cyrl-CS"/>
        </w:rPr>
        <w:t xml:space="preserve">потврђивање </w:t>
      </w:r>
      <w:r w:rsidRPr="00092ED7">
        <w:rPr>
          <w:rFonts w:eastAsia="Times New Roman" w:cs="Times New Roman"/>
          <w:szCs w:val="24"/>
          <w:lang w:val="sr-Cyrl-CS"/>
        </w:rPr>
        <w:t>зајма са EBRD у вредности од 50 милиона евра. Кроз пројекат ће се обезбедити средства за ун</w:t>
      </w:r>
      <w:r w:rsidR="002E3C4D" w:rsidRPr="00092ED7">
        <w:rPr>
          <w:rFonts w:eastAsia="Times New Roman" w:cs="Times New Roman"/>
          <w:szCs w:val="24"/>
          <w:lang w:val="sr-Cyrl-CS"/>
        </w:rPr>
        <w:t>а</w:t>
      </w:r>
      <w:r w:rsidRPr="00092ED7">
        <w:rPr>
          <w:rFonts w:eastAsia="Times New Roman" w:cs="Times New Roman"/>
          <w:szCs w:val="24"/>
          <w:lang w:val="sr-Cyrl-CS"/>
        </w:rPr>
        <w:t>пређење енрегетске ефик</w:t>
      </w:r>
      <w:r w:rsidR="00616441" w:rsidRPr="00092ED7">
        <w:rPr>
          <w:rFonts w:eastAsia="Times New Roman" w:cs="Times New Roman"/>
          <w:szCs w:val="24"/>
          <w:lang w:val="sr-Cyrl-CS"/>
        </w:rPr>
        <w:t>а</w:t>
      </w:r>
      <w:r w:rsidRPr="00092ED7">
        <w:rPr>
          <w:rFonts w:eastAsia="Times New Roman" w:cs="Times New Roman"/>
          <w:szCs w:val="24"/>
          <w:lang w:val="sr-Cyrl-CS"/>
        </w:rPr>
        <w:t>сности у зградама са више станова који су прикључени на систем даљинског грејања.</w:t>
      </w:r>
    </w:p>
    <w:p w14:paraId="7C56B658" w14:textId="325923CD" w:rsidR="000634BE" w:rsidRPr="00092ED7" w:rsidRDefault="000634BE" w:rsidP="00616441">
      <w:pPr>
        <w:widowControl w:val="0"/>
        <w:spacing w:after="60"/>
        <w:rPr>
          <w:rFonts w:eastAsia="Calibri" w:cs="Times New Roman"/>
          <w:b/>
          <w:szCs w:val="24"/>
          <w:lang w:val="sr-Cyrl-CS" w:eastAsia="sr-Cyrl-CS" w:bidi="sr-Cyrl-CS"/>
        </w:rPr>
      </w:pPr>
      <w:r w:rsidRPr="00092ED7">
        <w:rPr>
          <w:rFonts w:eastAsia="Times New Roman" w:cs="Times New Roman"/>
          <w:szCs w:val="24"/>
          <w:lang w:val="sr-Cyrl-CS"/>
        </w:rPr>
        <w:t>За реализацију активности изградње капацитета Управе</w:t>
      </w:r>
      <w:r w:rsidR="004B1308" w:rsidRPr="00092ED7">
        <w:rPr>
          <w:rFonts w:eastAsia="Times New Roman" w:cs="Times New Roman"/>
          <w:szCs w:val="24"/>
          <w:lang w:val="sr-Cyrl-CS"/>
        </w:rPr>
        <w:t xml:space="preserve"> </w:t>
      </w:r>
      <w:r w:rsidR="00045F19" w:rsidRPr="00092ED7">
        <w:rPr>
          <w:rFonts w:eastAsia="Times New Roman" w:cs="Times New Roman"/>
          <w:bCs/>
          <w:iCs/>
          <w:szCs w:val="24"/>
          <w:lang w:val="sr-Cyrl-CS"/>
        </w:rPr>
        <w:t>за финансирање и подстицање енергетске ефикасности</w:t>
      </w:r>
      <w:r w:rsidRPr="00092ED7">
        <w:rPr>
          <w:rFonts w:eastAsia="Times New Roman" w:cs="Times New Roman"/>
          <w:szCs w:val="24"/>
          <w:lang w:val="sr-Cyrl-CS"/>
        </w:rPr>
        <w:t xml:space="preserve"> биће обезбеђена средства у износу од </w:t>
      </w:r>
      <w:r w:rsidR="00A60127" w:rsidRPr="00092ED7">
        <w:rPr>
          <w:rFonts w:eastAsia="Times New Roman" w:cs="Times New Roman"/>
          <w:szCs w:val="24"/>
          <w:lang w:val="sr-Cyrl-CS"/>
        </w:rPr>
        <w:t xml:space="preserve">пет </w:t>
      </w:r>
      <w:r w:rsidRPr="00092ED7">
        <w:rPr>
          <w:rFonts w:eastAsia="Times New Roman" w:cs="Times New Roman"/>
          <w:szCs w:val="24"/>
          <w:lang w:val="sr-Cyrl-CS"/>
        </w:rPr>
        <w:t>милиона евра из ИПА средстава. Имплементација овог пројекта реализо</w:t>
      </w:r>
      <w:r w:rsidR="00616441" w:rsidRPr="00092ED7">
        <w:rPr>
          <w:rFonts w:eastAsia="Times New Roman" w:cs="Times New Roman"/>
          <w:szCs w:val="24"/>
          <w:lang w:val="sr-Cyrl-CS"/>
        </w:rPr>
        <w:t>в</w:t>
      </w:r>
      <w:r w:rsidRPr="00092ED7">
        <w:rPr>
          <w:rFonts w:eastAsia="Times New Roman" w:cs="Times New Roman"/>
          <w:szCs w:val="24"/>
          <w:lang w:val="sr-Cyrl-CS"/>
        </w:rPr>
        <w:t>аће се преко EBRD. Почетак реализације планиран је за 2023. годину. Очекивано трајање</w:t>
      </w:r>
      <w:r w:rsidR="00616441" w:rsidRPr="00092ED7">
        <w:rPr>
          <w:rFonts w:eastAsia="Times New Roman" w:cs="Times New Roman"/>
          <w:szCs w:val="24"/>
          <w:lang w:val="sr-Cyrl-CS"/>
        </w:rPr>
        <w:t xml:space="preserve"> </w:t>
      </w:r>
      <w:r w:rsidR="00FB7C56" w:rsidRPr="00092ED7">
        <w:rPr>
          <w:rFonts w:eastAsia="Times New Roman" w:cs="Times New Roman"/>
          <w:szCs w:val="24"/>
          <w:lang w:val="sr-Cyrl-CS"/>
        </w:rPr>
        <w:t xml:space="preserve">пројекта </w:t>
      </w:r>
      <w:r w:rsidR="00616441" w:rsidRPr="00092ED7">
        <w:rPr>
          <w:rFonts w:eastAsia="Times New Roman" w:cs="Times New Roman"/>
          <w:szCs w:val="24"/>
          <w:lang w:val="sr-Cyrl-CS"/>
        </w:rPr>
        <w:t>је</w:t>
      </w:r>
      <w:r w:rsidRPr="00092ED7">
        <w:rPr>
          <w:rFonts w:eastAsia="Times New Roman" w:cs="Times New Roman"/>
          <w:szCs w:val="24"/>
          <w:lang w:val="sr-Cyrl-CS"/>
        </w:rPr>
        <w:t xml:space="preserve"> 30-36 месеци.</w:t>
      </w:r>
    </w:p>
    <w:p w14:paraId="259E4B53" w14:textId="77777777" w:rsidR="00D210F0" w:rsidRPr="00092ED7" w:rsidRDefault="00D210F0" w:rsidP="00071952">
      <w:pPr>
        <w:widowControl w:val="0"/>
        <w:numPr>
          <w:ilvl w:val="0"/>
          <w:numId w:val="25"/>
        </w:numPr>
        <w:spacing w:before="120"/>
        <w:ind w:left="425" w:hanging="425"/>
        <w:rPr>
          <w:rFonts w:eastAsia="Calibri" w:cs="Times New Roman"/>
          <w:b/>
          <w:szCs w:val="24"/>
          <w:lang w:val="sr-Cyrl-CS" w:eastAsia="sr-Cyrl-CS" w:bidi="sr-Cyrl-CS"/>
        </w:rPr>
      </w:pPr>
      <w:r w:rsidRPr="00092ED7">
        <w:rPr>
          <w:rFonts w:eastAsia="Calibri" w:cs="Times New Roman"/>
          <w:b/>
          <w:szCs w:val="24"/>
          <w:lang w:val="sr-Cyrl-CS" w:eastAsia="sr-Cyrl-CS" w:bidi="sr-Cyrl-CS"/>
        </w:rPr>
        <w:t>Очекивани утицај на социјалне циљеве, као што су запосленост, смањење сиромаштва, родна равноправност и приступ здравственој заштити</w:t>
      </w:r>
    </w:p>
    <w:p w14:paraId="44BC84A5" w14:textId="1186E9D0" w:rsidR="00D210F0" w:rsidRPr="00092ED7" w:rsidRDefault="00E4340B" w:rsidP="00616441">
      <w:pPr>
        <w:widowControl w:val="0"/>
        <w:spacing w:after="60"/>
        <w:rPr>
          <w:rFonts w:eastAsia="Times New Roman" w:cs="Times New Roman"/>
          <w:szCs w:val="24"/>
          <w:lang w:val="sr-Cyrl-CS"/>
        </w:rPr>
      </w:pPr>
      <w:r w:rsidRPr="00092ED7">
        <w:rPr>
          <w:rFonts w:eastAsia="Times New Roman" w:cs="Times New Roman"/>
          <w:szCs w:val="24"/>
          <w:lang w:val="sr-Cyrl-CS"/>
        </w:rPr>
        <w:t>Структурна реформа на индиректан начин утиче на смањење незапослености јер њено спровођење има потентијал да повећа потребу за радном снагом ради реализације већег броја пр</w:t>
      </w:r>
      <w:r w:rsidR="008C5DCE" w:rsidRPr="00092ED7">
        <w:rPr>
          <w:rFonts w:eastAsia="Times New Roman" w:cs="Times New Roman"/>
          <w:szCs w:val="24"/>
          <w:lang w:val="sr-Cyrl-CS"/>
        </w:rPr>
        <w:t>ојеката енергетске ефикасности.</w:t>
      </w:r>
      <w:r w:rsidR="00D210F0" w:rsidRPr="00092ED7">
        <w:rPr>
          <w:rFonts w:eastAsia="Times New Roman" w:cs="Times New Roman"/>
          <w:szCs w:val="24"/>
          <w:lang w:val="sr-Cyrl-CS"/>
        </w:rPr>
        <w:t xml:space="preserve"> Процењује се да се на сваких милион евра инвестиција у санацију стамбених објеката може отворити </w:t>
      </w:r>
      <w:r w:rsidR="00FB7C56" w:rsidRPr="00092ED7">
        <w:rPr>
          <w:rFonts w:eastAsia="Times New Roman" w:cs="Times New Roman"/>
          <w:szCs w:val="24"/>
          <w:lang w:val="sr-Cyrl-CS"/>
        </w:rPr>
        <w:t>седам</w:t>
      </w:r>
      <w:r w:rsidR="00D210F0" w:rsidRPr="00092ED7">
        <w:rPr>
          <w:rFonts w:eastAsia="Times New Roman" w:cs="Times New Roman"/>
          <w:szCs w:val="24"/>
          <w:lang w:val="sr-Cyrl-CS"/>
        </w:rPr>
        <w:t xml:space="preserve"> нових радних места. Осим тога, реализацијом пројеката енергетске ефикасности смањују се трошкови за енергенте, па се на тај начин доприноси и борби против сиромаштва. </w:t>
      </w:r>
    </w:p>
    <w:p w14:paraId="0F399173" w14:textId="77777777" w:rsidR="00D210F0" w:rsidRPr="00092ED7" w:rsidRDefault="00D210F0" w:rsidP="00071952">
      <w:pPr>
        <w:widowControl w:val="0"/>
        <w:numPr>
          <w:ilvl w:val="0"/>
          <w:numId w:val="25"/>
        </w:numPr>
        <w:spacing w:before="120"/>
        <w:ind w:left="425" w:hanging="425"/>
        <w:rPr>
          <w:rFonts w:eastAsia="Calibri" w:cs="Times New Roman"/>
          <w:b/>
          <w:szCs w:val="24"/>
          <w:lang w:val="sr-Cyrl-CS" w:eastAsia="sr-Cyrl-CS" w:bidi="sr-Cyrl-CS"/>
        </w:rPr>
      </w:pPr>
      <w:r w:rsidRPr="00092ED7">
        <w:rPr>
          <w:rFonts w:eastAsia="Calibri" w:cs="Times New Roman"/>
          <w:b/>
          <w:szCs w:val="24"/>
          <w:lang w:val="sr-Cyrl-CS" w:eastAsia="sr-Cyrl-CS" w:bidi="sr-Cyrl-CS"/>
        </w:rPr>
        <w:t>Очекивани утицај на животну средину и климатске промене</w:t>
      </w:r>
    </w:p>
    <w:p w14:paraId="2E8DA4A5" w14:textId="77777777" w:rsidR="00D210F0" w:rsidRPr="00092ED7" w:rsidRDefault="00D210F0" w:rsidP="00616441">
      <w:pPr>
        <w:widowControl w:val="0"/>
        <w:spacing w:after="60"/>
        <w:rPr>
          <w:szCs w:val="24"/>
          <w:lang w:val="sr-Cyrl-CS"/>
        </w:rPr>
      </w:pPr>
      <w:r w:rsidRPr="00092ED7">
        <w:rPr>
          <w:rFonts w:cs="Times New Roman"/>
          <w:szCs w:val="24"/>
          <w:lang w:val="sr-Cyrl-CS"/>
        </w:rPr>
        <w:t>Циљеви за енергетску ефикасност до 2030. године биће утврђени у оквиру Интегрисаног националног енергетског и климатског плана. Уз годишњу инвестицију од око 150 милиона евра у санацију зграда у сектору домаћинстава процењује се да се могу остварити уштеде енергије од 120.000 тона CO</w:t>
      </w:r>
      <w:r w:rsidRPr="00092ED7">
        <w:rPr>
          <w:rFonts w:cs="Times New Roman"/>
          <w:szCs w:val="24"/>
          <w:vertAlign w:val="subscript"/>
          <w:lang w:val="sr-Cyrl-CS"/>
        </w:rPr>
        <w:t>2</w:t>
      </w:r>
      <w:r w:rsidRPr="00092ED7">
        <w:rPr>
          <w:rFonts w:cs="Times New Roman"/>
          <w:szCs w:val="24"/>
          <w:lang w:val="sr-Cyrl-CS"/>
        </w:rPr>
        <w:t xml:space="preserve"> годишње.</w:t>
      </w:r>
    </w:p>
    <w:p w14:paraId="0AF22CCE" w14:textId="77777777" w:rsidR="00D210F0" w:rsidRPr="00092ED7" w:rsidRDefault="00D210F0" w:rsidP="00071952">
      <w:pPr>
        <w:widowControl w:val="0"/>
        <w:numPr>
          <w:ilvl w:val="0"/>
          <w:numId w:val="25"/>
        </w:numPr>
        <w:spacing w:before="120"/>
        <w:ind w:left="425" w:hanging="425"/>
        <w:rPr>
          <w:rFonts w:eastAsia="Calibri" w:cs="Times New Roman"/>
          <w:b/>
          <w:szCs w:val="24"/>
          <w:lang w:val="sr-Cyrl-CS" w:eastAsia="sr-Cyrl-CS" w:bidi="sr-Cyrl-CS"/>
        </w:rPr>
      </w:pPr>
      <w:r w:rsidRPr="00092ED7">
        <w:rPr>
          <w:rFonts w:eastAsia="Calibri" w:cs="Times New Roman"/>
          <w:b/>
          <w:szCs w:val="24"/>
          <w:lang w:val="sr-Cyrl-CS" w:eastAsia="sr-Cyrl-CS" w:bidi="sr-Cyrl-CS"/>
        </w:rPr>
        <w:t>Потенцијални ризици</w:t>
      </w:r>
    </w:p>
    <w:tbl>
      <w:tblPr>
        <w:tblStyle w:val="TableGrid"/>
        <w:tblW w:w="9209" w:type="dxa"/>
        <w:jc w:val="center"/>
        <w:tblLayout w:type="fixed"/>
        <w:tblLook w:val="04A0" w:firstRow="1" w:lastRow="0" w:firstColumn="1" w:lastColumn="0" w:noHBand="0" w:noVBand="1"/>
      </w:tblPr>
      <w:tblGrid>
        <w:gridCol w:w="3515"/>
        <w:gridCol w:w="2098"/>
        <w:gridCol w:w="3596"/>
      </w:tblGrid>
      <w:tr w:rsidR="00D210F0" w:rsidRPr="00092ED7" w14:paraId="57209EB3" w14:textId="77777777" w:rsidTr="00AE4362">
        <w:trPr>
          <w:cnfStyle w:val="100000000000" w:firstRow="1" w:lastRow="0" w:firstColumn="0" w:lastColumn="0" w:oddVBand="0" w:evenVBand="0" w:oddHBand="0" w:evenHBand="0" w:firstRowFirstColumn="0" w:firstRowLastColumn="0" w:lastRowFirstColumn="0" w:lastRowLastColumn="0"/>
          <w:jc w:val="center"/>
        </w:trPr>
        <w:tc>
          <w:tcPr>
            <w:tcW w:w="3515" w:type="dxa"/>
          </w:tcPr>
          <w:p w14:paraId="07AD8CAB" w14:textId="77777777" w:rsidR="00D210F0" w:rsidRPr="00092ED7" w:rsidRDefault="00D210F0" w:rsidP="005D14E2">
            <w:pPr>
              <w:spacing w:before="0" w:after="0"/>
              <w:ind w:left="113" w:right="113"/>
              <w:jc w:val="center"/>
              <w:rPr>
                <w:rFonts w:cs="Times New Roman"/>
                <w:sz w:val="20"/>
                <w:lang w:val="sr-Cyrl-CS"/>
              </w:rPr>
            </w:pPr>
            <w:r w:rsidRPr="00092ED7">
              <w:rPr>
                <w:rFonts w:cs="Times New Roman"/>
                <w:sz w:val="20"/>
                <w:lang w:val="sr-Cyrl-CS"/>
              </w:rPr>
              <w:t>Ризик</w:t>
            </w:r>
          </w:p>
        </w:tc>
        <w:tc>
          <w:tcPr>
            <w:tcW w:w="2098" w:type="dxa"/>
          </w:tcPr>
          <w:p w14:paraId="27FA2795" w14:textId="77777777" w:rsidR="00D210F0" w:rsidRPr="00092ED7" w:rsidRDefault="00D210F0" w:rsidP="005D14E2">
            <w:pPr>
              <w:spacing w:before="0" w:after="0"/>
              <w:ind w:left="113" w:right="113"/>
              <w:jc w:val="center"/>
              <w:rPr>
                <w:rFonts w:cs="Times New Roman"/>
                <w:sz w:val="20"/>
                <w:lang w:val="sr-Cyrl-CS"/>
              </w:rPr>
            </w:pPr>
            <w:r w:rsidRPr="00092ED7">
              <w:rPr>
                <w:rFonts w:cs="Times New Roman"/>
                <w:sz w:val="20"/>
                <w:lang w:val="sr-Cyrl-CS"/>
              </w:rPr>
              <w:t>Вероватноћа за остваривање ризика</w:t>
            </w:r>
          </w:p>
        </w:tc>
        <w:tc>
          <w:tcPr>
            <w:tcW w:w="3596" w:type="dxa"/>
          </w:tcPr>
          <w:p w14:paraId="42CD4018" w14:textId="77777777" w:rsidR="00D210F0" w:rsidRPr="00092ED7" w:rsidRDefault="00D210F0" w:rsidP="005D14E2">
            <w:pPr>
              <w:spacing w:before="0" w:after="0"/>
              <w:ind w:left="113" w:right="113"/>
              <w:jc w:val="center"/>
              <w:rPr>
                <w:rFonts w:cs="Times New Roman"/>
                <w:sz w:val="20"/>
                <w:lang w:val="sr-Cyrl-CS"/>
              </w:rPr>
            </w:pPr>
            <w:r w:rsidRPr="00092ED7">
              <w:rPr>
                <w:rFonts w:cs="Times New Roman"/>
                <w:sz w:val="20"/>
                <w:lang w:val="sr-Cyrl-CS"/>
              </w:rPr>
              <w:t>Планиране активност за ублажавање негативних ефеката ризика</w:t>
            </w:r>
          </w:p>
        </w:tc>
      </w:tr>
      <w:tr w:rsidR="00D210F0" w:rsidRPr="00092ED7" w14:paraId="0EBEADAA" w14:textId="77777777" w:rsidTr="00616441">
        <w:trPr>
          <w:jc w:val="center"/>
        </w:trPr>
        <w:tc>
          <w:tcPr>
            <w:tcW w:w="3515" w:type="dxa"/>
          </w:tcPr>
          <w:p w14:paraId="19752BE5" w14:textId="77777777" w:rsidR="00D210F0" w:rsidRPr="00092ED7" w:rsidRDefault="00D210F0" w:rsidP="005D14E2">
            <w:pPr>
              <w:spacing w:before="0" w:after="0"/>
              <w:ind w:left="113" w:right="113"/>
              <w:rPr>
                <w:rFonts w:cs="Times New Roman"/>
                <w:sz w:val="20"/>
                <w:lang w:val="sr-Cyrl-CS"/>
              </w:rPr>
            </w:pPr>
            <w:r w:rsidRPr="00092ED7">
              <w:rPr>
                <w:rFonts w:eastAsia="Calibri" w:cs="Times New Roman"/>
                <w:sz w:val="20"/>
                <w:lang w:val="sr-Cyrl-CS"/>
              </w:rPr>
              <w:t>Недовољна финансијска средства у буџету</w:t>
            </w:r>
          </w:p>
        </w:tc>
        <w:tc>
          <w:tcPr>
            <w:tcW w:w="2098" w:type="dxa"/>
            <w:vAlign w:val="top"/>
          </w:tcPr>
          <w:p w14:paraId="3F21B520" w14:textId="77777777" w:rsidR="00D210F0" w:rsidRPr="00092ED7" w:rsidRDefault="00D210F0" w:rsidP="00616441">
            <w:pPr>
              <w:spacing w:before="0" w:after="0"/>
              <w:ind w:left="113" w:right="113"/>
              <w:jc w:val="center"/>
              <w:rPr>
                <w:rFonts w:eastAsia="Calibri" w:cs="Times New Roman"/>
                <w:sz w:val="20"/>
                <w:lang w:val="sr-Cyrl-CS"/>
              </w:rPr>
            </w:pPr>
            <w:r w:rsidRPr="00092ED7">
              <w:rPr>
                <w:rFonts w:eastAsia="Calibri" w:cs="Times New Roman"/>
                <w:sz w:val="20"/>
                <w:lang w:val="sr-Cyrl-CS"/>
              </w:rPr>
              <w:t>Средња</w:t>
            </w:r>
          </w:p>
        </w:tc>
        <w:tc>
          <w:tcPr>
            <w:tcW w:w="3596" w:type="dxa"/>
          </w:tcPr>
          <w:p w14:paraId="0B2E6AAA" w14:textId="77777777" w:rsidR="00D210F0" w:rsidRPr="00092ED7" w:rsidRDefault="00D210F0" w:rsidP="00D94E30">
            <w:pPr>
              <w:spacing w:before="0" w:after="0"/>
              <w:ind w:left="113" w:right="113"/>
              <w:rPr>
                <w:rFonts w:eastAsia="Calibri" w:cs="Times New Roman"/>
                <w:sz w:val="20"/>
                <w:lang w:val="sr-Cyrl-CS"/>
              </w:rPr>
            </w:pPr>
            <w:r w:rsidRPr="00092ED7">
              <w:rPr>
                <w:rFonts w:eastAsia="Calibri" w:cs="Times New Roman"/>
                <w:sz w:val="20"/>
                <w:lang w:val="sr-Cyrl-CS"/>
              </w:rPr>
              <w:t>Обезбеђење зајмова МФИ и донација ИПА, WBIF и других донатора</w:t>
            </w:r>
            <w:r w:rsidR="00D47BD8" w:rsidRPr="00092ED7">
              <w:rPr>
                <w:rFonts w:eastAsia="Calibri" w:cs="Times New Roman"/>
                <w:sz w:val="20"/>
                <w:lang w:val="sr-Cyrl-CS"/>
              </w:rPr>
              <w:t>.</w:t>
            </w:r>
            <w:r w:rsidRPr="00092ED7">
              <w:rPr>
                <w:rFonts w:eastAsia="Calibri" w:cs="Times New Roman"/>
                <w:sz w:val="20"/>
                <w:lang w:val="sr-Cyrl-CS"/>
              </w:rPr>
              <w:t xml:space="preserve"> </w:t>
            </w:r>
          </w:p>
        </w:tc>
      </w:tr>
      <w:tr w:rsidR="00D210F0" w:rsidRPr="00092ED7" w14:paraId="7CD0D7EE" w14:textId="77777777" w:rsidTr="00616441">
        <w:trPr>
          <w:jc w:val="center"/>
        </w:trPr>
        <w:tc>
          <w:tcPr>
            <w:tcW w:w="3515" w:type="dxa"/>
          </w:tcPr>
          <w:p w14:paraId="4419052F" w14:textId="77777777" w:rsidR="00D210F0" w:rsidRPr="00092ED7" w:rsidRDefault="00D210F0" w:rsidP="005D14E2">
            <w:pPr>
              <w:spacing w:before="0" w:after="0"/>
              <w:ind w:left="113" w:right="113"/>
              <w:rPr>
                <w:rFonts w:cs="Times New Roman"/>
                <w:sz w:val="20"/>
                <w:lang w:val="sr-Cyrl-CS"/>
              </w:rPr>
            </w:pPr>
            <w:r w:rsidRPr="00092ED7">
              <w:rPr>
                <w:rFonts w:eastAsia="Calibri" w:cs="Times New Roman"/>
                <w:sz w:val="20"/>
                <w:lang w:val="sr-Cyrl-CS"/>
              </w:rPr>
              <w:t>Недовољни капацитети тела за оцену усаглашености са захтевима енергетског означавања и екодизајна</w:t>
            </w:r>
            <w:r w:rsidRPr="00092ED7" w:rsidDel="007529A4">
              <w:rPr>
                <w:rFonts w:eastAsia="Calibri" w:cs="Times New Roman"/>
                <w:sz w:val="20"/>
                <w:lang w:val="sr-Cyrl-CS"/>
              </w:rPr>
              <w:t xml:space="preserve"> </w:t>
            </w:r>
          </w:p>
        </w:tc>
        <w:tc>
          <w:tcPr>
            <w:tcW w:w="2098" w:type="dxa"/>
            <w:vAlign w:val="top"/>
          </w:tcPr>
          <w:p w14:paraId="0EE8BF48" w14:textId="77777777" w:rsidR="00D210F0" w:rsidRPr="00092ED7" w:rsidRDefault="00D210F0" w:rsidP="00616441">
            <w:pPr>
              <w:spacing w:before="0" w:after="0"/>
              <w:ind w:left="113" w:right="113"/>
              <w:jc w:val="center"/>
              <w:rPr>
                <w:rFonts w:cs="Times New Roman"/>
                <w:sz w:val="20"/>
                <w:lang w:val="sr-Cyrl-CS"/>
              </w:rPr>
            </w:pPr>
            <w:r w:rsidRPr="00092ED7">
              <w:rPr>
                <w:rFonts w:eastAsia="Calibri" w:cs="Times New Roman"/>
                <w:sz w:val="20"/>
                <w:lang w:val="sr-Cyrl-CS"/>
              </w:rPr>
              <w:t>Средња</w:t>
            </w:r>
          </w:p>
        </w:tc>
        <w:tc>
          <w:tcPr>
            <w:tcW w:w="3596" w:type="dxa"/>
          </w:tcPr>
          <w:p w14:paraId="11FEF384" w14:textId="77777777" w:rsidR="00D210F0" w:rsidRPr="00092ED7" w:rsidRDefault="00D210F0" w:rsidP="00D7672A">
            <w:pPr>
              <w:spacing w:before="0" w:after="0"/>
              <w:ind w:left="113" w:right="113"/>
              <w:rPr>
                <w:rFonts w:cs="Times New Roman"/>
                <w:sz w:val="20"/>
                <w:lang w:val="sr-Cyrl-CS"/>
              </w:rPr>
            </w:pPr>
            <w:r w:rsidRPr="00092ED7">
              <w:rPr>
                <w:rFonts w:eastAsia="Calibri" w:cs="Times New Roman"/>
                <w:sz w:val="20"/>
                <w:lang w:val="sr-Cyrl-CS"/>
              </w:rPr>
              <w:t>Обезбеђена техничка помоћ</w:t>
            </w:r>
            <w:r w:rsidR="00D47BD8" w:rsidRPr="00092ED7">
              <w:rPr>
                <w:rFonts w:eastAsia="Calibri" w:cs="Times New Roman"/>
                <w:sz w:val="20"/>
                <w:lang w:val="sr-Cyrl-CS"/>
              </w:rPr>
              <w:t>.</w:t>
            </w:r>
          </w:p>
        </w:tc>
      </w:tr>
      <w:tr w:rsidR="00D94E30" w:rsidRPr="00092ED7" w14:paraId="3658092B" w14:textId="77777777" w:rsidTr="00053B2B">
        <w:trPr>
          <w:jc w:val="center"/>
        </w:trPr>
        <w:tc>
          <w:tcPr>
            <w:tcW w:w="3515" w:type="dxa"/>
            <w:vAlign w:val="top"/>
          </w:tcPr>
          <w:p w14:paraId="72F8C283" w14:textId="77777777" w:rsidR="00D94E30" w:rsidRPr="00092ED7" w:rsidRDefault="00D94E30" w:rsidP="00D94E30">
            <w:pPr>
              <w:spacing w:after="0"/>
              <w:ind w:left="113" w:right="113"/>
              <w:rPr>
                <w:rFonts w:eastAsia="Calibri" w:cs="Times New Roman"/>
                <w:sz w:val="20"/>
                <w:lang w:val="sr-Cyrl-CS"/>
              </w:rPr>
            </w:pPr>
            <w:r w:rsidRPr="00092ED7">
              <w:rPr>
                <w:sz w:val="20"/>
                <w:lang w:val="sr-Cyrl-CS"/>
              </w:rPr>
              <w:t xml:space="preserve">Недовољни капацитети тржишног надзора </w:t>
            </w:r>
          </w:p>
        </w:tc>
        <w:tc>
          <w:tcPr>
            <w:tcW w:w="2098" w:type="dxa"/>
            <w:vAlign w:val="top"/>
          </w:tcPr>
          <w:p w14:paraId="4C4B21F0" w14:textId="77777777" w:rsidR="00D94E30" w:rsidRPr="00092ED7" w:rsidRDefault="00D94E30" w:rsidP="00D94E30">
            <w:pPr>
              <w:spacing w:after="0"/>
              <w:ind w:left="113" w:right="113"/>
              <w:jc w:val="center"/>
              <w:rPr>
                <w:rFonts w:eastAsia="Calibri" w:cs="Times New Roman"/>
                <w:sz w:val="20"/>
                <w:lang w:val="sr-Cyrl-CS"/>
              </w:rPr>
            </w:pPr>
            <w:r w:rsidRPr="00092ED7">
              <w:rPr>
                <w:sz w:val="20"/>
                <w:lang w:val="sr-Cyrl-CS"/>
              </w:rPr>
              <w:t>Средња</w:t>
            </w:r>
          </w:p>
        </w:tc>
        <w:tc>
          <w:tcPr>
            <w:tcW w:w="3596" w:type="dxa"/>
            <w:vAlign w:val="top"/>
          </w:tcPr>
          <w:p w14:paraId="7961C1E3" w14:textId="77777777" w:rsidR="00D94E30" w:rsidRPr="00092ED7" w:rsidRDefault="00D94E30" w:rsidP="00D94E30">
            <w:pPr>
              <w:spacing w:after="0"/>
              <w:ind w:left="113" w:right="113"/>
              <w:rPr>
                <w:rFonts w:eastAsia="Calibri" w:cs="Times New Roman"/>
                <w:sz w:val="20"/>
                <w:lang w:val="sr-Cyrl-CS"/>
              </w:rPr>
            </w:pPr>
            <w:r w:rsidRPr="00092ED7">
              <w:rPr>
                <w:sz w:val="20"/>
                <w:lang w:val="sr-Cyrl-CS"/>
              </w:rPr>
              <w:t>Обезбеђена техничка помоћ, као и већи буџет за ову намену</w:t>
            </w:r>
          </w:p>
        </w:tc>
      </w:tr>
    </w:tbl>
    <w:p w14:paraId="6A647915" w14:textId="47C7DBD0" w:rsidR="00D210F0" w:rsidRPr="00092ED7" w:rsidRDefault="00D210F0" w:rsidP="00D210F0">
      <w:pPr>
        <w:spacing w:before="120"/>
        <w:rPr>
          <w:rFonts w:eastAsia="Calibri" w:cs="Times New Roman"/>
          <w:szCs w:val="24"/>
          <w:lang w:val="sr-Cyrl-CS"/>
        </w:rPr>
      </w:pPr>
      <w:r w:rsidRPr="00092ED7">
        <w:rPr>
          <w:rFonts w:eastAsia="Calibri" w:cs="Times New Roman"/>
          <w:b/>
          <w:szCs w:val="24"/>
          <w:u w:val="single"/>
          <w:lang w:val="sr-Cyrl-CS"/>
        </w:rPr>
        <w:t>СТРУКТУРНА РЕФОРМА 9</w:t>
      </w:r>
      <w:r w:rsidRPr="00092ED7">
        <w:rPr>
          <w:rFonts w:eastAsia="Calibri" w:cs="Times New Roman"/>
          <w:b/>
          <w:szCs w:val="24"/>
          <w:lang w:val="sr-Cyrl-CS"/>
        </w:rPr>
        <w:t xml:space="preserve">: </w:t>
      </w:r>
      <w:r w:rsidRPr="00092ED7">
        <w:rPr>
          <w:rFonts w:eastAsia="Calibri" w:cs="Times New Roman"/>
          <w:szCs w:val="24"/>
          <w:lang w:val="sr-Cyrl-CS"/>
        </w:rPr>
        <w:t xml:space="preserve">ИНТЕГРАЦИЈА ОБНОВЉИВИХ ИЗВОРА ЕЛЕКТРИЧНЕ ЕНЕРГИЈЕ КРОЗ ПРОЈЕКАТ </w:t>
      </w:r>
      <w:r w:rsidRPr="00092ED7">
        <w:rPr>
          <w:rFonts w:cs="Times New Roman"/>
          <w:bCs/>
          <w:lang w:val="sr-Cyrl-CS"/>
        </w:rPr>
        <w:t>„БЕОГРИД 2025</w:t>
      </w:r>
      <w:r w:rsidR="00D07D1F" w:rsidRPr="00092ED7">
        <w:rPr>
          <w:lang w:val="sr-Cyrl-CS"/>
        </w:rPr>
        <w:t>”</w:t>
      </w:r>
    </w:p>
    <w:p w14:paraId="2B85F8E4" w14:textId="77777777" w:rsidR="00D210F0" w:rsidRPr="00092ED7" w:rsidRDefault="00D210F0" w:rsidP="00071952">
      <w:pPr>
        <w:pStyle w:val="ListParagraph"/>
        <w:widowControl w:val="0"/>
        <w:numPr>
          <w:ilvl w:val="0"/>
          <w:numId w:val="26"/>
        </w:numPr>
        <w:spacing w:before="120" w:line="240" w:lineRule="auto"/>
        <w:ind w:left="425" w:hanging="425"/>
        <w:contextualSpacing w:val="0"/>
        <w:rPr>
          <w:rFonts w:cs="Times New Roman"/>
          <w:b/>
          <w:sz w:val="24"/>
          <w:szCs w:val="24"/>
          <w:lang w:val="sr-Cyrl-CS" w:eastAsia="sr-Cyrl-CS" w:bidi="sr-Cyrl-CS"/>
        </w:rPr>
      </w:pPr>
      <w:r w:rsidRPr="00092ED7">
        <w:rPr>
          <w:rFonts w:cs="Times New Roman"/>
          <w:b/>
          <w:sz w:val="24"/>
          <w:szCs w:val="24"/>
          <w:lang w:val="sr-Cyrl-CS" w:eastAsia="sr-Cyrl-CS" w:bidi="sr-Cyrl-CS"/>
        </w:rPr>
        <w:t>Опис структурне реформе</w:t>
      </w:r>
    </w:p>
    <w:p w14:paraId="4DAA09A3" w14:textId="594889FC" w:rsidR="00D210F0" w:rsidRPr="00092ED7" w:rsidRDefault="00D210F0" w:rsidP="00616441">
      <w:pPr>
        <w:widowControl w:val="0"/>
        <w:spacing w:after="60"/>
        <w:rPr>
          <w:rFonts w:cs="Times New Roman"/>
          <w:lang w:val="sr-Cyrl-CS"/>
        </w:rPr>
      </w:pPr>
      <w:r w:rsidRPr="00092ED7">
        <w:rPr>
          <w:rFonts w:cs="Times New Roman"/>
          <w:lang w:val="sr-Cyrl-CS"/>
        </w:rPr>
        <w:lastRenderedPageBreak/>
        <w:t xml:space="preserve">Пројекат </w:t>
      </w:r>
      <w:r w:rsidR="007B1C6C" w:rsidRPr="00092ED7">
        <w:rPr>
          <w:rFonts w:cs="Times New Roman"/>
          <w:lang w:val="sr-Cyrl-CS"/>
        </w:rPr>
        <w:t>„</w:t>
      </w:r>
      <w:r w:rsidRPr="00092ED7">
        <w:rPr>
          <w:rFonts w:cs="Times New Roman"/>
          <w:lang w:val="sr-Cyrl-CS"/>
        </w:rPr>
        <w:t>Беогрид 2025</w:t>
      </w:r>
      <w:r w:rsidR="00D07D1F" w:rsidRPr="00092ED7">
        <w:rPr>
          <w:lang w:val="sr-Cyrl-CS"/>
        </w:rPr>
        <w:t>”</w:t>
      </w:r>
      <w:r w:rsidRPr="00092ED7">
        <w:rPr>
          <w:rFonts w:cs="Times New Roman"/>
          <w:lang w:val="sr-Cyrl-CS"/>
        </w:rPr>
        <w:t xml:space="preserve"> као циљ има омогућавање веће интеграције електричне енергије произведене из обновљивих извора (ветроелектрана), који се налазе у региону Јужног Баната, као и растерећење ТС 220/110/35 kV Београд 5, која напаја електричном енергијом велики део Београда, посебно делове Новог Београда и Земуна.</w:t>
      </w:r>
    </w:p>
    <w:p w14:paraId="0F407EA5" w14:textId="20BF4558" w:rsidR="00D210F0" w:rsidRPr="00092ED7" w:rsidRDefault="00D210F0" w:rsidP="00616441">
      <w:pPr>
        <w:widowControl w:val="0"/>
        <w:spacing w:after="60"/>
        <w:rPr>
          <w:rFonts w:cs="Times New Roman"/>
          <w:lang w:val="sr-Cyrl-CS"/>
        </w:rPr>
      </w:pPr>
      <w:r w:rsidRPr="00092ED7">
        <w:rPr>
          <w:rFonts w:cs="Times New Roman"/>
          <w:lang w:val="sr-Cyrl-CS"/>
        </w:rPr>
        <w:t xml:space="preserve">Пројекат чини шест функционалних целина (Лот 1 – Лот 6), тј. пројеката који ће се паралелно </w:t>
      </w:r>
      <w:r w:rsidR="008856D7" w:rsidRPr="00092ED7">
        <w:rPr>
          <w:rFonts w:cs="Times New Roman"/>
          <w:lang w:val="sr-Cyrl-CS"/>
        </w:rPr>
        <w:t xml:space="preserve">реализовати </w:t>
      </w:r>
      <w:r w:rsidRPr="00092ED7">
        <w:rPr>
          <w:rFonts w:cs="Times New Roman"/>
          <w:lang w:val="sr-Cyrl-CS"/>
        </w:rPr>
        <w:t xml:space="preserve">у складу са </w:t>
      </w:r>
      <w:r w:rsidRPr="00092ED7">
        <w:rPr>
          <w:rFonts w:cs="Times New Roman"/>
          <w:i/>
          <w:lang w:val="sr-Cyrl-CS"/>
        </w:rPr>
        <w:t>Законом о планирању и изградњи</w:t>
      </w:r>
      <w:r w:rsidRPr="00092ED7">
        <w:rPr>
          <w:rFonts w:cs="Times New Roman"/>
          <w:lang w:val="sr-Cyrl-CS"/>
        </w:rPr>
        <w:t xml:space="preserve"> </w:t>
      </w:r>
      <w:r w:rsidR="008856D7" w:rsidRPr="00092ED7">
        <w:rPr>
          <w:rFonts w:cs="Times New Roman"/>
          <w:lang w:val="sr-Cyrl-CS"/>
        </w:rPr>
        <w:t>(</w:t>
      </w:r>
      <w:r w:rsidR="008856D7" w:rsidRPr="00092ED7">
        <w:rPr>
          <w:rFonts w:cs="Times New Roman"/>
          <w:bCs/>
          <w:lang w:val="sr-Cyrl-CS"/>
        </w:rPr>
        <w:t>„Службени гласник РС</w:t>
      </w:r>
      <w:r w:rsidR="008856D7" w:rsidRPr="00092ED7">
        <w:rPr>
          <w:rFonts w:cs="Times New Roman"/>
          <w:lang w:val="sr-Cyrl-CS"/>
        </w:rPr>
        <w:t>”</w:t>
      </w:r>
      <w:r w:rsidR="008856D7" w:rsidRPr="00092ED7">
        <w:rPr>
          <w:rFonts w:cs="Times New Roman"/>
          <w:bCs/>
          <w:lang w:val="sr-Cyrl-CS"/>
        </w:rPr>
        <w:t>, бр. 72/09, 81/09, 64/10-УС, 24/11, 121/12, 42/13-УС, 50/13-УС, 98/</w:t>
      </w:r>
      <w:r w:rsidR="008D25BF" w:rsidRPr="00092ED7">
        <w:rPr>
          <w:rFonts w:cs="Times New Roman"/>
          <w:bCs/>
          <w:lang w:val="sr-Cyrl-CS"/>
        </w:rPr>
        <w:t>13-УС, 132/14, 145/14, 83/18, 31/19,  37/19-др. закон, 9/20 и 52/</w:t>
      </w:r>
      <w:r w:rsidR="008856D7" w:rsidRPr="00092ED7">
        <w:rPr>
          <w:rFonts w:cs="Times New Roman"/>
          <w:bCs/>
          <w:lang w:val="sr-Cyrl-CS"/>
        </w:rPr>
        <w:t>21</w:t>
      </w:r>
      <w:r w:rsidR="008D25BF" w:rsidRPr="00092ED7">
        <w:rPr>
          <w:rFonts w:cs="Times New Roman"/>
          <w:bCs/>
          <w:lang w:val="sr-Cyrl-CS"/>
        </w:rPr>
        <w:t>),</w:t>
      </w:r>
      <w:r w:rsidR="008856D7" w:rsidRPr="00092ED7" w:rsidDel="008856D7">
        <w:rPr>
          <w:rFonts w:cs="Times New Roman"/>
          <w:bCs/>
          <w:lang w:val="sr-Cyrl-CS"/>
        </w:rPr>
        <w:t xml:space="preserve"> </w:t>
      </w:r>
      <w:r w:rsidRPr="00092ED7">
        <w:rPr>
          <w:rFonts w:cs="Times New Roman"/>
          <w:lang w:val="sr-Cyrl-CS"/>
        </w:rPr>
        <w:t>и то изградња: ТС 400/110 kV Београд 50; - двосистемски 400 kV далековод ТС Београд 50 – ПРП Чибук 1 са опремањем 400 kV поља у ПРП Чибук 1; - једносистемски 400 kV далеководи за увођење ДВ бр. 450 (РП Младост – ТС Нови Сад 3) у ТС Београд 50; - два двосистемска 110 kV далековода за увођење ДВ бр. 104/8 (ТС Стара Пазова – ТС Инђија 2) у ТС Београд 50; - два двосистемска 110 kV далековода за увођење ДВ бр. 1178 АБ (ТС Београд 5 – ТС Београд 9) у ТС Београд 50; - двосистемски кабл 110 kV ТС Београд 50 – ТС Београд 49 (Аеродром).</w:t>
      </w:r>
    </w:p>
    <w:p w14:paraId="38473DE8" w14:textId="77777777" w:rsidR="007B12BB" w:rsidRPr="00092ED7" w:rsidRDefault="00D210F0" w:rsidP="00616441">
      <w:pPr>
        <w:widowControl w:val="0"/>
        <w:spacing w:after="60"/>
        <w:rPr>
          <w:rFonts w:cs="Times New Roman"/>
          <w:lang w:val="sr-Cyrl-CS"/>
        </w:rPr>
      </w:pPr>
      <w:r w:rsidRPr="00092ED7">
        <w:rPr>
          <w:rFonts w:cs="Times New Roman"/>
          <w:lang w:val="sr-Cyrl-CS"/>
        </w:rPr>
        <w:t>Пројекат је део ширег пројекта Северни коридор (</w:t>
      </w:r>
      <w:r w:rsidRPr="00092ED7">
        <w:rPr>
          <w:rFonts w:cs="Times New Roman"/>
          <w:i/>
          <w:lang w:val="sr-Cyrl-CS"/>
        </w:rPr>
        <w:t>North CSE corridor</w:t>
      </w:r>
      <w:r w:rsidRPr="00092ED7">
        <w:rPr>
          <w:rFonts w:cs="Times New Roman"/>
          <w:lang w:val="sr-Cyrl-CS"/>
        </w:rPr>
        <w:t>), који, поред наведеног</w:t>
      </w:r>
      <w:r w:rsidR="00D42D84" w:rsidRPr="00092ED7">
        <w:rPr>
          <w:rFonts w:cs="Times New Roman"/>
          <w:lang w:val="sr-Cyrl-CS"/>
        </w:rPr>
        <w:t>,</w:t>
      </w:r>
      <w:r w:rsidRPr="00092ED7">
        <w:rPr>
          <w:rFonts w:cs="Times New Roman"/>
          <w:lang w:val="sr-Cyrl-CS"/>
        </w:rPr>
        <w:t xml:space="preserve"> обухвата и дуплирање постојећег интерконективног 400 </w:t>
      </w:r>
      <w:r w:rsidR="00BB279D" w:rsidRPr="00092ED7">
        <w:rPr>
          <w:rFonts w:cs="Times New Roman"/>
          <w:lang w:val="sr-Cyrl-CS"/>
        </w:rPr>
        <w:t xml:space="preserve">kV </w:t>
      </w:r>
      <w:r w:rsidRPr="00092ED7">
        <w:rPr>
          <w:rFonts w:cs="Times New Roman"/>
          <w:lang w:val="sr-Cyrl-CS"/>
        </w:rPr>
        <w:t xml:space="preserve">далековода Ђердап 1 - Портиле Де Фиер (Румунија). </w:t>
      </w:r>
      <w:r w:rsidR="007B12BB" w:rsidRPr="00092ED7">
        <w:rPr>
          <w:rFonts w:cs="Times New Roman"/>
          <w:lang w:val="sr-Cyrl-CS"/>
        </w:rPr>
        <w:t>Уз ојачавање коридора за пренос електричне енергије преко Балканског полуострва у смеру од истока према западу и последични допринос интеграцији тржишта електричне енергије у региону Југоисточне Европе, овај пројекат ће такође омогућити прикључење великог броја нових произвођача ОИЕ у области Јужног Баната. Ово ће, уз трансформацију 400/110 kV у ТС Београд 50, значајно допринети сигурности напајања конзума у сремској области, што ће направити погодан амбијент за долазак нових инвеститора и даљи индустријски развој ове регије. Поред тога, изградњом ТС 400/110 kV Београд 50, значајно ће се растеретити постојећа ТС 220/110/35 kV Београд 5, која тренутно напаја велики део београдског конзума.</w:t>
      </w:r>
    </w:p>
    <w:p w14:paraId="201ECF71" w14:textId="45B1C274" w:rsidR="00D210F0" w:rsidRPr="00092ED7" w:rsidRDefault="00D210F0" w:rsidP="00616441">
      <w:pPr>
        <w:widowControl w:val="0"/>
        <w:spacing w:after="60"/>
        <w:rPr>
          <w:rFonts w:ascii="Calibri" w:hAnsi="Calibri" w:cs="Times New Roman"/>
          <w:lang w:val="sr-Cyrl-CS"/>
        </w:rPr>
      </w:pPr>
      <w:r w:rsidRPr="00092ED7">
        <w:rPr>
          <w:rFonts w:cs="Times New Roman"/>
          <w:lang w:val="sr-Cyrl-CS"/>
        </w:rPr>
        <w:t>Пројекат Северни коридор је део европског десетогодишњег плана развоја преносног система TYNDP 2020, регионалног инвестиционог плана (RgIP</w:t>
      </w:r>
      <w:r w:rsidRPr="00092ED7">
        <w:rPr>
          <w:rFonts w:ascii="Calibri" w:hAnsi="Calibri" w:cs="Times New Roman"/>
          <w:lang w:val="sr-Cyrl-CS"/>
        </w:rPr>
        <w:t xml:space="preserve"> </w:t>
      </w:r>
      <w:r w:rsidRPr="00092ED7">
        <w:rPr>
          <w:rFonts w:cs="Times New Roman"/>
          <w:lang w:val="sr-Cyrl-CS"/>
        </w:rPr>
        <w:t>2020), подржан је од стране румунског оператора преносног система (</w:t>
      </w:r>
      <w:r w:rsidRPr="00092ED7">
        <w:rPr>
          <w:rFonts w:cs="Times New Roman"/>
          <w:i/>
          <w:lang w:val="sr-Cyrl-CS"/>
        </w:rPr>
        <w:t>Transelectrica</w:t>
      </w:r>
      <w:r w:rsidRPr="00092ED7">
        <w:rPr>
          <w:rFonts w:cs="Times New Roman"/>
          <w:lang w:val="sr-Cyrl-CS"/>
        </w:rPr>
        <w:t>), као и Немачке развојне банке КfW.</w:t>
      </w:r>
      <w:r w:rsidRPr="00092ED7">
        <w:rPr>
          <w:rFonts w:ascii="Calibri" w:hAnsi="Calibri" w:cs="Times New Roman"/>
          <w:lang w:val="sr-Cyrl-CS"/>
        </w:rPr>
        <w:t xml:space="preserve"> </w:t>
      </w:r>
      <w:r w:rsidR="007B12BB" w:rsidRPr="00092ED7">
        <w:rPr>
          <w:rFonts w:cs="Times New Roman"/>
          <w:lang w:val="sr-Cyrl-CS"/>
        </w:rPr>
        <w:t xml:space="preserve">На основу члана 15а Закона о енергетици, за предметни пројекат је усвојен </w:t>
      </w:r>
      <w:r w:rsidR="00E86746" w:rsidRPr="00092ED7">
        <w:rPr>
          <w:rFonts w:cs="Times New Roman"/>
          <w:lang w:val="sr-Cyrl-CS"/>
        </w:rPr>
        <w:t>З</w:t>
      </w:r>
      <w:r w:rsidR="007B12BB" w:rsidRPr="00092ED7">
        <w:rPr>
          <w:rFonts w:cs="Times New Roman"/>
          <w:lang w:val="sr-Cyrl-CS"/>
        </w:rPr>
        <w:t xml:space="preserve">акључак Владе </w:t>
      </w:r>
      <w:r w:rsidR="00493D33" w:rsidRPr="00092ED7">
        <w:rPr>
          <w:rFonts w:cs="Times New Roman"/>
          <w:lang w:val="sr-Cyrl-CS"/>
        </w:rPr>
        <w:t xml:space="preserve">05 Број: 312-10334/2021-1 </w:t>
      </w:r>
      <w:r w:rsidR="007B12BB" w:rsidRPr="00092ED7">
        <w:rPr>
          <w:rFonts w:cs="Times New Roman"/>
          <w:lang w:val="sr-Cyrl-CS"/>
        </w:rPr>
        <w:t>од 2.</w:t>
      </w:r>
      <w:r w:rsidR="00E86746" w:rsidRPr="00092ED7">
        <w:rPr>
          <w:rFonts w:cs="Times New Roman"/>
          <w:lang w:val="sr-Cyrl-CS"/>
        </w:rPr>
        <w:t xml:space="preserve"> децембра </w:t>
      </w:r>
      <w:r w:rsidR="007B12BB" w:rsidRPr="00092ED7">
        <w:rPr>
          <w:rFonts w:cs="Times New Roman"/>
          <w:lang w:val="sr-Cyrl-CS"/>
        </w:rPr>
        <w:t>2021. године којим је дефинисан као пројекат од посебног значаја за Републику Србију.</w:t>
      </w:r>
    </w:p>
    <w:p w14:paraId="5908D394" w14:textId="77777777" w:rsidR="00D210F0" w:rsidRPr="00092ED7" w:rsidRDefault="00D210F0" w:rsidP="00071952">
      <w:pPr>
        <w:widowControl w:val="0"/>
        <w:numPr>
          <w:ilvl w:val="0"/>
          <w:numId w:val="26"/>
        </w:numPr>
        <w:spacing w:before="120"/>
        <w:ind w:left="425" w:hanging="425"/>
        <w:rPr>
          <w:rFonts w:eastAsia="Calibri" w:cs="Times New Roman"/>
          <w:b/>
          <w:szCs w:val="24"/>
          <w:lang w:val="sr-Cyrl-CS" w:eastAsia="sr-Cyrl-CS" w:bidi="sr-Cyrl-CS"/>
        </w:rPr>
      </w:pPr>
      <w:r w:rsidRPr="00092ED7">
        <w:rPr>
          <w:rFonts w:eastAsia="Calibri" w:cs="Times New Roman"/>
          <w:b/>
          <w:szCs w:val="24"/>
          <w:lang w:val="sr-Cyrl-CS" w:eastAsia="sr-Cyrl-CS" w:bidi="sr-Cyrl-CS"/>
        </w:rPr>
        <w:t>Планиране активности по годинама</w:t>
      </w:r>
    </w:p>
    <w:tbl>
      <w:tblPr>
        <w:tblW w:w="9139" w:type="dxa"/>
        <w:tblLayout w:type="fixed"/>
        <w:tblCellMar>
          <w:left w:w="0" w:type="dxa"/>
          <w:right w:w="0" w:type="dxa"/>
        </w:tblCellMar>
        <w:tblLook w:val="04A0" w:firstRow="1" w:lastRow="0" w:firstColumn="1" w:lastColumn="0" w:noHBand="0" w:noVBand="1"/>
      </w:tblPr>
      <w:tblGrid>
        <w:gridCol w:w="425"/>
        <w:gridCol w:w="4243"/>
        <w:gridCol w:w="372"/>
        <w:gridCol w:w="373"/>
        <w:gridCol w:w="372"/>
        <w:gridCol w:w="373"/>
        <w:gridCol w:w="372"/>
        <w:gridCol w:w="373"/>
        <w:gridCol w:w="373"/>
        <w:gridCol w:w="372"/>
        <w:gridCol w:w="373"/>
        <w:gridCol w:w="372"/>
        <w:gridCol w:w="373"/>
        <w:gridCol w:w="373"/>
      </w:tblGrid>
      <w:tr w:rsidR="00D210F0" w:rsidRPr="00092ED7" w14:paraId="11A786B7" w14:textId="77777777" w:rsidTr="00AE4362">
        <w:trPr>
          <w:trHeight w:val="315"/>
        </w:trPr>
        <w:tc>
          <w:tcPr>
            <w:tcW w:w="425" w:type="dxa"/>
            <w:vMerge w:val="restart"/>
            <w:tcBorders>
              <w:top w:val="single" w:sz="8" w:space="0" w:color="auto"/>
              <w:left w:val="single" w:sz="8" w:space="0" w:color="auto"/>
              <w:right w:val="nil"/>
            </w:tcBorders>
            <w:shd w:val="clear" w:color="000000" w:fill="BDD6EE"/>
            <w:tcMar>
              <w:top w:w="15" w:type="dxa"/>
              <w:left w:w="15" w:type="dxa"/>
              <w:bottom w:w="0" w:type="dxa"/>
              <w:right w:w="15" w:type="dxa"/>
            </w:tcMar>
            <w:vAlign w:val="center"/>
            <w:hideMark/>
          </w:tcPr>
          <w:p w14:paraId="42A9B114" w14:textId="77777777" w:rsidR="00D210F0" w:rsidRPr="00092ED7" w:rsidRDefault="00D210F0" w:rsidP="00E44EF2">
            <w:pPr>
              <w:spacing w:after="0"/>
              <w:jc w:val="center"/>
              <w:rPr>
                <w:sz w:val="20"/>
                <w:szCs w:val="20"/>
                <w:lang w:val="sr-Cyrl-CS"/>
              </w:rPr>
            </w:pPr>
            <w:r w:rsidRPr="00092ED7">
              <w:rPr>
                <w:rFonts w:cs="Times New Roman"/>
                <w:b/>
                <w:bCs/>
                <w:color w:val="000000"/>
                <w:sz w:val="20"/>
                <w:szCs w:val="20"/>
                <w:lang w:val="sr-Cyrl-CS"/>
              </w:rPr>
              <w:t>РБ</w:t>
            </w:r>
          </w:p>
        </w:tc>
        <w:tc>
          <w:tcPr>
            <w:tcW w:w="4243" w:type="dxa"/>
            <w:vMerge w:val="restart"/>
            <w:tcBorders>
              <w:top w:val="single" w:sz="8" w:space="0" w:color="auto"/>
              <w:left w:val="single" w:sz="8" w:space="0" w:color="auto"/>
              <w:bottom w:val="single" w:sz="8" w:space="0" w:color="000000"/>
              <w:right w:val="nil"/>
            </w:tcBorders>
            <w:shd w:val="clear" w:color="auto" w:fill="BDD6EE" w:themeFill="accent1" w:themeFillTint="66"/>
            <w:tcMar>
              <w:top w:w="15" w:type="dxa"/>
              <w:left w:w="15" w:type="dxa"/>
              <w:bottom w:w="0" w:type="dxa"/>
              <w:right w:w="15" w:type="dxa"/>
            </w:tcMar>
            <w:vAlign w:val="center"/>
            <w:hideMark/>
          </w:tcPr>
          <w:p w14:paraId="02FB1DB7" w14:textId="77777777" w:rsidR="00D210F0" w:rsidRPr="00092ED7" w:rsidRDefault="00D210F0" w:rsidP="00E44EF2">
            <w:pPr>
              <w:spacing w:after="0"/>
              <w:jc w:val="left"/>
              <w:rPr>
                <w:rFonts w:cs="Times New Roman"/>
                <w:b/>
                <w:bCs/>
                <w:color w:val="000000"/>
                <w:sz w:val="20"/>
                <w:szCs w:val="20"/>
                <w:lang w:val="sr-Cyrl-CS"/>
              </w:rPr>
            </w:pPr>
            <w:r w:rsidRPr="00092ED7">
              <w:rPr>
                <w:rFonts w:cs="Times New Roman"/>
                <w:b/>
                <w:bCs/>
                <w:color w:val="000000"/>
                <w:sz w:val="20"/>
                <w:szCs w:val="20"/>
                <w:lang w:val="sr-Cyrl-CS"/>
              </w:rPr>
              <w:t>Планиране активности</w:t>
            </w:r>
          </w:p>
        </w:tc>
        <w:tc>
          <w:tcPr>
            <w:tcW w:w="1490" w:type="dxa"/>
            <w:gridSpan w:val="4"/>
            <w:tcBorders>
              <w:top w:val="single" w:sz="8" w:space="0" w:color="auto"/>
              <w:left w:val="single" w:sz="8" w:space="0" w:color="auto"/>
              <w:bottom w:val="single" w:sz="4" w:space="0" w:color="auto"/>
              <w:right w:val="single" w:sz="8" w:space="0" w:color="000000"/>
            </w:tcBorders>
            <w:shd w:val="clear" w:color="auto" w:fill="BDD6EE" w:themeFill="accent1" w:themeFillTint="66"/>
            <w:tcMar>
              <w:top w:w="15" w:type="dxa"/>
              <w:left w:w="15" w:type="dxa"/>
              <w:bottom w:w="0" w:type="dxa"/>
              <w:right w:w="15" w:type="dxa"/>
            </w:tcMar>
            <w:vAlign w:val="center"/>
            <w:hideMark/>
          </w:tcPr>
          <w:p w14:paraId="76AFB9F6" w14:textId="77777777" w:rsidR="00D210F0" w:rsidRPr="00092ED7" w:rsidRDefault="00D210F0" w:rsidP="00E44EF2">
            <w:pPr>
              <w:spacing w:after="0"/>
              <w:jc w:val="center"/>
              <w:rPr>
                <w:rFonts w:cs="Times New Roman"/>
                <w:b/>
                <w:bCs/>
                <w:color w:val="000000"/>
                <w:sz w:val="20"/>
                <w:szCs w:val="20"/>
                <w:lang w:val="sr-Cyrl-CS"/>
              </w:rPr>
            </w:pPr>
            <w:r w:rsidRPr="00092ED7">
              <w:rPr>
                <w:rFonts w:cs="Times New Roman"/>
                <w:b/>
                <w:bCs/>
                <w:color w:val="000000"/>
                <w:sz w:val="20"/>
                <w:szCs w:val="20"/>
                <w:lang w:val="sr-Cyrl-CS"/>
              </w:rPr>
              <w:t>2023</w:t>
            </w:r>
          </w:p>
        </w:tc>
        <w:tc>
          <w:tcPr>
            <w:tcW w:w="1490" w:type="dxa"/>
            <w:gridSpan w:val="4"/>
            <w:tcBorders>
              <w:top w:val="single" w:sz="8" w:space="0" w:color="auto"/>
              <w:left w:val="single" w:sz="8" w:space="0" w:color="auto"/>
              <w:bottom w:val="single" w:sz="4" w:space="0" w:color="auto"/>
              <w:right w:val="single" w:sz="8" w:space="0" w:color="000000"/>
            </w:tcBorders>
            <w:shd w:val="clear" w:color="auto" w:fill="BDD6EE" w:themeFill="accent1" w:themeFillTint="66"/>
            <w:tcMar>
              <w:top w:w="15" w:type="dxa"/>
              <w:left w:w="15" w:type="dxa"/>
              <w:bottom w:w="0" w:type="dxa"/>
              <w:right w:w="15" w:type="dxa"/>
            </w:tcMar>
            <w:vAlign w:val="center"/>
            <w:hideMark/>
          </w:tcPr>
          <w:p w14:paraId="4E7E1352" w14:textId="77777777" w:rsidR="00D210F0" w:rsidRPr="00092ED7" w:rsidRDefault="00D210F0" w:rsidP="00E44EF2">
            <w:pPr>
              <w:spacing w:after="0"/>
              <w:jc w:val="center"/>
              <w:rPr>
                <w:rFonts w:cs="Times New Roman"/>
                <w:b/>
                <w:bCs/>
                <w:color w:val="000000"/>
                <w:sz w:val="20"/>
                <w:szCs w:val="20"/>
                <w:lang w:val="sr-Cyrl-CS"/>
              </w:rPr>
            </w:pPr>
            <w:r w:rsidRPr="00092ED7">
              <w:rPr>
                <w:rFonts w:cs="Times New Roman"/>
                <w:b/>
                <w:bCs/>
                <w:color w:val="000000"/>
                <w:sz w:val="20"/>
                <w:szCs w:val="20"/>
                <w:lang w:val="sr-Cyrl-CS"/>
              </w:rPr>
              <w:t>2024</w:t>
            </w:r>
          </w:p>
        </w:tc>
        <w:tc>
          <w:tcPr>
            <w:tcW w:w="1491" w:type="dxa"/>
            <w:gridSpan w:val="4"/>
            <w:tcBorders>
              <w:top w:val="single" w:sz="8" w:space="0" w:color="auto"/>
              <w:left w:val="nil"/>
              <w:bottom w:val="single" w:sz="4" w:space="0" w:color="auto"/>
              <w:right w:val="single" w:sz="8" w:space="0" w:color="000000"/>
            </w:tcBorders>
            <w:shd w:val="clear" w:color="auto" w:fill="BDD6EE" w:themeFill="accent1" w:themeFillTint="66"/>
            <w:tcMar>
              <w:top w:w="15" w:type="dxa"/>
              <w:left w:w="15" w:type="dxa"/>
              <w:bottom w:w="0" w:type="dxa"/>
              <w:right w:w="15" w:type="dxa"/>
            </w:tcMar>
            <w:vAlign w:val="center"/>
            <w:hideMark/>
          </w:tcPr>
          <w:p w14:paraId="55B8126B" w14:textId="77777777" w:rsidR="00D210F0" w:rsidRPr="00092ED7" w:rsidRDefault="00D210F0" w:rsidP="00E44EF2">
            <w:pPr>
              <w:spacing w:after="0"/>
              <w:jc w:val="center"/>
              <w:rPr>
                <w:rFonts w:cs="Times New Roman"/>
                <w:b/>
                <w:bCs/>
                <w:color w:val="000000"/>
                <w:sz w:val="20"/>
                <w:szCs w:val="20"/>
                <w:lang w:val="sr-Cyrl-CS"/>
              </w:rPr>
            </w:pPr>
            <w:r w:rsidRPr="00092ED7">
              <w:rPr>
                <w:rFonts w:cs="Times New Roman"/>
                <w:b/>
                <w:bCs/>
                <w:color w:val="000000"/>
                <w:sz w:val="20"/>
                <w:szCs w:val="20"/>
                <w:lang w:val="sr-Cyrl-CS"/>
              </w:rPr>
              <w:t>2025</w:t>
            </w:r>
          </w:p>
        </w:tc>
      </w:tr>
      <w:tr w:rsidR="00D210F0" w:rsidRPr="00092ED7" w14:paraId="00AFB429" w14:textId="77777777" w:rsidTr="00AE4362">
        <w:trPr>
          <w:trHeight w:val="315"/>
        </w:trPr>
        <w:tc>
          <w:tcPr>
            <w:tcW w:w="425" w:type="dxa"/>
            <w:vMerge/>
            <w:tcBorders>
              <w:left w:val="single" w:sz="8" w:space="0" w:color="auto"/>
              <w:bottom w:val="single" w:sz="8" w:space="0" w:color="000000"/>
              <w:right w:val="nil"/>
            </w:tcBorders>
            <w:shd w:val="clear" w:color="000000" w:fill="BDD6EE"/>
            <w:vAlign w:val="center"/>
            <w:hideMark/>
          </w:tcPr>
          <w:p w14:paraId="62E7C6E9" w14:textId="77777777" w:rsidR="00D210F0" w:rsidRPr="00092ED7" w:rsidRDefault="00D210F0" w:rsidP="00E44EF2">
            <w:pPr>
              <w:spacing w:after="0"/>
              <w:jc w:val="center"/>
              <w:rPr>
                <w:rFonts w:cs="Times New Roman"/>
                <w:b/>
                <w:bCs/>
                <w:color w:val="000000"/>
                <w:sz w:val="20"/>
                <w:szCs w:val="20"/>
                <w:lang w:val="sr-Cyrl-CS"/>
              </w:rPr>
            </w:pPr>
          </w:p>
        </w:tc>
        <w:tc>
          <w:tcPr>
            <w:tcW w:w="4243" w:type="dxa"/>
            <w:vMerge/>
            <w:tcBorders>
              <w:top w:val="single" w:sz="8" w:space="0" w:color="auto"/>
              <w:left w:val="single" w:sz="8" w:space="0" w:color="auto"/>
              <w:bottom w:val="single" w:sz="8" w:space="0" w:color="000000"/>
              <w:right w:val="nil"/>
            </w:tcBorders>
            <w:shd w:val="clear" w:color="auto" w:fill="BDD6EE" w:themeFill="accent1" w:themeFillTint="66"/>
            <w:vAlign w:val="center"/>
            <w:hideMark/>
          </w:tcPr>
          <w:p w14:paraId="70C6CDD4" w14:textId="77777777" w:rsidR="00D210F0" w:rsidRPr="00092ED7" w:rsidRDefault="00D210F0" w:rsidP="00E44EF2">
            <w:pPr>
              <w:spacing w:after="0"/>
              <w:rPr>
                <w:rFonts w:cs="Times New Roman"/>
                <w:b/>
                <w:bCs/>
                <w:color w:val="000000"/>
                <w:sz w:val="20"/>
                <w:szCs w:val="20"/>
                <w:lang w:val="sr-Cyrl-CS"/>
              </w:rPr>
            </w:pPr>
          </w:p>
        </w:tc>
        <w:tc>
          <w:tcPr>
            <w:tcW w:w="372" w:type="dxa"/>
            <w:tcBorders>
              <w:top w:val="nil"/>
              <w:left w:val="single" w:sz="8" w:space="0" w:color="auto"/>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15D34185" w14:textId="77777777" w:rsidR="00D210F0" w:rsidRPr="00092ED7" w:rsidRDefault="00D210F0" w:rsidP="00E44EF2">
            <w:pPr>
              <w:spacing w:after="0"/>
              <w:jc w:val="center"/>
              <w:rPr>
                <w:rFonts w:cs="Times New Roman"/>
                <w:i/>
                <w:iCs/>
                <w:color w:val="000000"/>
                <w:sz w:val="20"/>
                <w:szCs w:val="20"/>
                <w:lang w:val="sr-Cyrl-CS"/>
              </w:rPr>
            </w:pPr>
            <w:r w:rsidRPr="00092ED7">
              <w:rPr>
                <w:rFonts w:cs="Times New Roman"/>
                <w:i/>
                <w:iCs/>
                <w:color w:val="000000"/>
                <w:sz w:val="20"/>
                <w:szCs w:val="20"/>
                <w:lang w:val="sr-Cyrl-CS"/>
              </w:rPr>
              <w:t>Q1</w:t>
            </w:r>
          </w:p>
        </w:tc>
        <w:tc>
          <w:tcPr>
            <w:tcW w:w="373"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64853666" w14:textId="77777777" w:rsidR="00D210F0" w:rsidRPr="00092ED7" w:rsidRDefault="00D210F0" w:rsidP="00E44EF2">
            <w:pPr>
              <w:spacing w:after="0"/>
              <w:jc w:val="center"/>
              <w:rPr>
                <w:rFonts w:cs="Times New Roman"/>
                <w:i/>
                <w:iCs/>
                <w:color w:val="000000"/>
                <w:sz w:val="20"/>
                <w:szCs w:val="20"/>
                <w:lang w:val="sr-Cyrl-CS"/>
              </w:rPr>
            </w:pPr>
            <w:r w:rsidRPr="00092ED7">
              <w:rPr>
                <w:rFonts w:cs="Times New Roman"/>
                <w:i/>
                <w:iCs/>
                <w:color w:val="000000"/>
                <w:sz w:val="20"/>
                <w:szCs w:val="20"/>
                <w:lang w:val="sr-Cyrl-CS"/>
              </w:rPr>
              <w:t>Q2</w:t>
            </w:r>
          </w:p>
        </w:tc>
        <w:tc>
          <w:tcPr>
            <w:tcW w:w="372"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6584D1E7" w14:textId="77777777" w:rsidR="00D210F0" w:rsidRPr="00092ED7" w:rsidRDefault="00D210F0" w:rsidP="00E44EF2">
            <w:pPr>
              <w:spacing w:after="0"/>
              <w:jc w:val="center"/>
              <w:rPr>
                <w:rFonts w:cs="Times New Roman"/>
                <w:i/>
                <w:iCs/>
                <w:color w:val="000000"/>
                <w:sz w:val="20"/>
                <w:szCs w:val="20"/>
                <w:lang w:val="sr-Cyrl-CS"/>
              </w:rPr>
            </w:pPr>
            <w:r w:rsidRPr="00092ED7">
              <w:rPr>
                <w:rFonts w:cs="Times New Roman"/>
                <w:i/>
                <w:iCs/>
                <w:color w:val="000000"/>
                <w:sz w:val="20"/>
                <w:szCs w:val="20"/>
                <w:lang w:val="sr-Cyrl-CS"/>
              </w:rPr>
              <w:t>Q3</w:t>
            </w:r>
          </w:p>
        </w:tc>
        <w:tc>
          <w:tcPr>
            <w:tcW w:w="373" w:type="dxa"/>
            <w:tcBorders>
              <w:top w:val="nil"/>
              <w:left w:val="nil"/>
              <w:bottom w:val="single" w:sz="8" w:space="0" w:color="auto"/>
              <w:right w:val="single" w:sz="8" w:space="0" w:color="auto"/>
            </w:tcBorders>
            <w:shd w:val="clear" w:color="auto" w:fill="BDD6EE" w:themeFill="accent1" w:themeFillTint="66"/>
            <w:tcMar>
              <w:top w:w="15" w:type="dxa"/>
              <w:left w:w="15" w:type="dxa"/>
              <w:bottom w:w="0" w:type="dxa"/>
              <w:right w:w="15" w:type="dxa"/>
            </w:tcMar>
            <w:vAlign w:val="center"/>
            <w:hideMark/>
          </w:tcPr>
          <w:p w14:paraId="33756582" w14:textId="77777777" w:rsidR="00D210F0" w:rsidRPr="00092ED7" w:rsidRDefault="00D210F0" w:rsidP="00E44EF2">
            <w:pPr>
              <w:spacing w:after="0"/>
              <w:jc w:val="center"/>
              <w:rPr>
                <w:rFonts w:cs="Times New Roman"/>
                <w:i/>
                <w:iCs/>
                <w:color w:val="000000"/>
                <w:sz w:val="20"/>
                <w:szCs w:val="20"/>
                <w:lang w:val="sr-Cyrl-CS"/>
              </w:rPr>
            </w:pPr>
            <w:r w:rsidRPr="00092ED7">
              <w:rPr>
                <w:rFonts w:cs="Times New Roman"/>
                <w:i/>
                <w:iCs/>
                <w:color w:val="000000"/>
                <w:sz w:val="20"/>
                <w:szCs w:val="20"/>
                <w:lang w:val="sr-Cyrl-CS"/>
              </w:rPr>
              <w:t>Q4</w:t>
            </w:r>
          </w:p>
        </w:tc>
        <w:tc>
          <w:tcPr>
            <w:tcW w:w="372"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39C3F6DB" w14:textId="77777777" w:rsidR="00D210F0" w:rsidRPr="00092ED7" w:rsidRDefault="00D210F0" w:rsidP="00E44EF2">
            <w:pPr>
              <w:spacing w:after="0"/>
              <w:jc w:val="center"/>
              <w:rPr>
                <w:rFonts w:cs="Times New Roman"/>
                <w:i/>
                <w:iCs/>
                <w:color w:val="000000"/>
                <w:sz w:val="20"/>
                <w:szCs w:val="20"/>
                <w:lang w:val="sr-Cyrl-CS"/>
              </w:rPr>
            </w:pPr>
            <w:r w:rsidRPr="00092ED7">
              <w:rPr>
                <w:rFonts w:cs="Times New Roman"/>
                <w:i/>
                <w:iCs/>
                <w:color w:val="000000"/>
                <w:sz w:val="20"/>
                <w:szCs w:val="20"/>
                <w:lang w:val="sr-Cyrl-CS"/>
              </w:rPr>
              <w:t>Q1</w:t>
            </w:r>
          </w:p>
        </w:tc>
        <w:tc>
          <w:tcPr>
            <w:tcW w:w="373"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2DE2061A" w14:textId="77777777" w:rsidR="00D210F0" w:rsidRPr="00092ED7" w:rsidRDefault="00D210F0" w:rsidP="00E44EF2">
            <w:pPr>
              <w:spacing w:after="0"/>
              <w:jc w:val="center"/>
              <w:rPr>
                <w:rFonts w:cs="Times New Roman"/>
                <w:i/>
                <w:iCs/>
                <w:color w:val="000000"/>
                <w:sz w:val="20"/>
                <w:szCs w:val="20"/>
                <w:lang w:val="sr-Cyrl-CS"/>
              </w:rPr>
            </w:pPr>
            <w:r w:rsidRPr="00092ED7">
              <w:rPr>
                <w:rFonts w:cs="Times New Roman"/>
                <w:i/>
                <w:iCs/>
                <w:color w:val="000000"/>
                <w:sz w:val="20"/>
                <w:szCs w:val="20"/>
                <w:lang w:val="sr-Cyrl-CS"/>
              </w:rPr>
              <w:t>Q2</w:t>
            </w:r>
          </w:p>
        </w:tc>
        <w:tc>
          <w:tcPr>
            <w:tcW w:w="373"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5310E56B" w14:textId="77777777" w:rsidR="00D210F0" w:rsidRPr="00092ED7" w:rsidRDefault="00D210F0" w:rsidP="00E44EF2">
            <w:pPr>
              <w:spacing w:after="0"/>
              <w:jc w:val="center"/>
              <w:rPr>
                <w:rFonts w:cs="Times New Roman"/>
                <w:i/>
                <w:iCs/>
                <w:color w:val="000000"/>
                <w:sz w:val="20"/>
                <w:szCs w:val="20"/>
                <w:lang w:val="sr-Cyrl-CS"/>
              </w:rPr>
            </w:pPr>
            <w:r w:rsidRPr="00092ED7">
              <w:rPr>
                <w:rFonts w:cs="Times New Roman"/>
                <w:i/>
                <w:iCs/>
                <w:color w:val="000000"/>
                <w:sz w:val="20"/>
                <w:szCs w:val="20"/>
                <w:lang w:val="sr-Cyrl-CS"/>
              </w:rPr>
              <w:t>Q3</w:t>
            </w:r>
          </w:p>
        </w:tc>
        <w:tc>
          <w:tcPr>
            <w:tcW w:w="372" w:type="dxa"/>
            <w:tcBorders>
              <w:top w:val="nil"/>
              <w:left w:val="nil"/>
              <w:bottom w:val="single" w:sz="8" w:space="0" w:color="auto"/>
              <w:right w:val="single" w:sz="8" w:space="0" w:color="auto"/>
            </w:tcBorders>
            <w:shd w:val="clear" w:color="auto" w:fill="BDD6EE" w:themeFill="accent1" w:themeFillTint="66"/>
            <w:tcMar>
              <w:top w:w="15" w:type="dxa"/>
              <w:left w:w="15" w:type="dxa"/>
              <w:bottom w:w="0" w:type="dxa"/>
              <w:right w:w="15" w:type="dxa"/>
            </w:tcMar>
            <w:vAlign w:val="center"/>
            <w:hideMark/>
          </w:tcPr>
          <w:p w14:paraId="4A3E08C5" w14:textId="77777777" w:rsidR="00D210F0" w:rsidRPr="00092ED7" w:rsidRDefault="00D210F0" w:rsidP="00E44EF2">
            <w:pPr>
              <w:spacing w:after="0"/>
              <w:jc w:val="center"/>
              <w:rPr>
                <w:rFonts w:cs="Times New Roman"/>
                <w:i/>
                <w:iCs/>
                <w:color w:val="000000"/>
                <w:sz w:val="20"/>
                <w:szCs w:val="20"/>
                <w:lang w:val="sr-Cyrl-CS"/>
              </w:rPr>
            </w:pPr>
            <w:r w:rsidRPr="00092ED7">
              <w:rPr>
                <w:rFonts w:cs="Times New Roman"/>
                <w:i/>
                <w:iCs/>
                <w:color w:val="000000"/>
                <w:sz w:val="20"/>
                <w:szCs w:val="20"/>
                <w:lang w:val="sr-Cyrl-CS"/>
              </w:rPr>
              <w:t>Q4</w:t>
            </w:r>
          </w:p>
        </w:tc>
        <w:tc>
          <w:tcPr>
            <w:tcW w:w="373"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48E351AC" w14:textId="77777777" w:rsidR="00D210F0" w:rsidRPr="00092ED7" w:rsidRDefault="00D210F0" w:rsidP="00E44EF2">
            <w:pPr>
              <w:spacing w:after="0"/>
              <w:jc w:val="center"/>
              <w:rPr>
                <w:rFonts w:cs="Times New Roman"/>
                <w:i/>
                <w:iCs/>
                <w:color w:val="000000"/>
                <w:sz w:val="20"/>
                <w:szCs w:val="20"/>
                <w:lang w:val="sr-Cyrl-CS"/>
              </w:rPr>
            </w:pPr>
            <w:r w:rsidRPr="00092ED7">
              <w:rPr>
                <w:rFonts w:cs="Times New Roman"/>
                <w:i/>
                <w:iCs/>
                <w:color w:val="000000"/>
                <w:sz w:val="20"/>
                <w:szCs w:val="20"/>
                <w:lang w:val="sr-Cyrl-CS"/>
              </w:rPr>
              <w:t>Q1</w:t>
            </w:r>
          </w:p>
        </w:tc>
        <w:tc>
          <w:tcPr>
            <w:tcW w:w="372"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53C100BC" w14:textId="77777777" w:rsidR="00D210F0" w:rsidRPr="00092ED7" w:rsidRDefault="00D210F0" w:rsidP="00E44EF2">
            <w:pPr>
              <w:spacing w:after="0"/>
              <w:jc w:val="center"/>
              <w:rPr>
                <w:rFonts w:cs="Times New Roman"/>
                <w:i/>
                <w:iCs/>
                <w:color w:val="000000"/>
                <w:sz w:val="20"/>
                <w:szCs w:val="20"/>
                <w:lang w:val="sr-Cyrl-CS"/>
              </w:rPr>
            </w:pPr>
            <w:r w:rsidRPr="00092ED7">
              <w:rPr>
                <w:rFonts w:cs="Times New Roman"/>
                <w:i/>
                <w:iCs/>
                <w:color w:val="000000"/>
                <w:sz w:val="20"/>
                <w:szCs w:val="20"/>
                <w:lang w:val="sr-Cyrl-CS"/>
              </w:rPr>
              <w:t>Q2</w:t>
            </w:r>
          </w:p>
        </w:tc>
        <w:tc>
          <w:tcPr>
            <w:tcW w:w="373"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2E46108D" w14:textId="77777777" w:rsidR="00D210F0" w:rsidRPr="00092ED7" w:rsidRDefault="00D210F0" w:rsidP="00E44EF2">
            <w:pPr>
              <w:spacing w:after="0"/>
              <w:jc w:val="center"/>
              <w:rPr>
                <w:rFonts w:cs="Times New Roman"/>
                <w:i/>
                <w:iCs/>
                <w:color w:val="000000"/>
                <w:sz w:val="20"/>
                <w:szCs w:val="20"/>
                <w:lang w:val="sr-Cyrl-CS"/>
              </w:rPr>
            </w:pPr>
            <w:r w:rsidRPr="00092ED7">
              <w:rPr>
                <w:rFonts w:cs="Times New Roman"/>
                <w:i/>
                <w:iCs/>
                <w:color w:val="000000"/>
                <w:sz w:val="20"/>
                <w:szCs w:val="20"/>
                <w:lang w:val="sr-Cyrl-CS"/>
              </w:rPr>
              <w:t>Q3</w:t>
            </w:r>
          </w:p>
        </w:tc>
        <w:tc>
          <w:tcPr>
            <w:tcW w:w="373" w:type="dxa"/>
            <w:tcBorders>
              <w:top w:val="nil"/>
              <w:left w:val="nil"/>
              <w:bottom w:val="single" w:sz="8" w:space="0" w:color="auto"/>
              <w:right w:val="single" w:sz="8" w:space="0" w:color="auto"/>
            </w:tcBorders>
            <w:shd w:val="clear" w:color="auto" w:fill="BDD6EE" w:themeFill="accent1" w:themeFillTint="66"/>
            <w:tcMar>
              <w:top w:w="15" w:type="dxa"/>
              <w:left w:w="15" w:type="dxa"/>
              <w:bottom w:w="0" w:type="dxa"/>
              <w:right w:w="15" w:type="dxa"/>
            </w:tcMar>
            <w:vAlign w:val="center"/>
            <w:hideMark/>
          </w:tcPr>
          <w:p w14:paraId="50F5CC69" w14:textId="77777777" w:rsidR="00D210F0" w:rsidRPr="00092ED7" w:rsidRDefault="00D210F0" w:rsidP="00E44EF2">
            <w:pPr>
              <w:spacing w:after="0"/>
              <w:jc w:val="center"/>
              <w:rPr>
                <w:rFonts w:cs="Times New Roman"/>
                <w:i/>
                <w:iCs/>
                <w:color w:val="000000"/>
                <w:sz w:val="20"/>
                <w:szCs w:val="20"/>
                <w:lang w:val="sr-Cyrl-CS"/>
              </w:rPr>
            </w:pPr>
            <w:r w:rsidRPr="00092ED7">
              <w:rPr>
                <w:rFonts w:cs="Times New Roman"/>
                <w:i/>
                <w:iCs/>
                <w:color w:val="000000"/>
                <w:sz w:val="20"/>
                <w:szCs w:val="20"/>
                <w:lang w:val="sr-Cyrl-CS"/>
              </w:rPr>
              <w:t>Q4</w:t>
            </w:r>
          </w:p>
        </w:tc>
      </w:tr>
      <w:tr w:rsidR="00D210F0" w:rsidRPr="00092ED7" w14:paraId="20ABBF80" w14:textId="77777777" w:rsidTr="00AE4362">
        <w:trPr>
          <w:trHeight w:val="300"/>
        </w:trPr>
        <w:tc>
          <w:tcPr>
            <w:tcW w:w="425" w:type="dxa"/>
            <w:tcBorders>
              <w:top w:val="single" w:sz="4" w:space="0" w:color="auto"/>
              <w:left w:val="single" w:sz="8" w:space="0" w:color="auto"/>
              <w:bottom w:val="single" w:sz="4" w:space="0" w:color="auto"/>
              <w:right w:val="nil"/>
            </w:tcBorders>
            <w:shd w:val="clear" w:color="auto" w:fill="auto"/>
            <w:tcMar>
              <w:top w:w="15" w:type="dxa"/>
              <w:left w:w="15" w:type="dxa"/>
              <w:bottom w:w="0" w:type="dxa"/>
              <w:right w:w="15" w:type="dxa"/>
            </w:tcMar>
          </w:tcPr>
          <w:p w14:paraId="6F9F3E77" w14:textId="77777777" w:rsidR="00D210F0" w:rsidRPr="00092ED7" w:rsidRDefault="00D210F0" w:rsidP="00E44EF2">
            <w:pPr>
              <w:spacing w:after="0"/>
              <w:jc w:val="center"/>
              <w:rPr>
                <w:rFonts w:cs="Times New Roman"/>
                <w:bCs/>
                <w:sz w:val="20"/>
                <w:szCs w:val="20"/>
                <w:lang w:val="sr-Cyrl-CS"/>
              </w:rPr>
            </w:pPr>
            <w:r w:rsidRPr="00092ED7">
              <w:rPr>
                <w:rFonts w:cs="Times New Roman"/>
                <w:bCs/>
                <w:sz w:val="20"/>
                <w:szCs w:val="20"/>
                <w:lang w:val="sr-Cyrl-CS"/>
              </w:rPr>
              <w:t>1.</w:t>
            </w:r>
          </w:p>
        </w:tc>
        <w:tc>
          <w:tcPr>
            <w:tcW w:w="4243" w:type="dxa"/>
            <w:tcBorders>
              <w:top w:val="single" w:sz="4" w:space="0" w:color="auto"/>
              <w:left w:val="single" w:sz="8" w:space="0" w:color="auto"/>
              <w:bottom w:val="single" w:sz="4" w:space="0" w:color="auto"/>
              <w:right w:val="nil"/>
            </w:tcBorders>
            <w:shd w:val="clear" w:color="auto" w:fill="auto"/>
            <w:tcMar>
              <w:top w:w="15" w:type="dxa"/>
              <w:left w:w="15" w:type="dxa"/>
              <w:bottom w:w="0" w:type="dxa"/>
              <w:right w:w="15" w:type="dxa"/>
            </w:tcMar>
          </w:tcPr>
          <w:p w14:paraId="4B2C5690" w14:textId="77777777" w:rsidR="00D210F0" w:rsidRPr="00092ED7" w:rsidRDefault="00D210F0" w:rsidP="00E44EF2">
            <w:pPr>
              <w:spacing w:after="0"/>
              <w:rPr>
                <w:rFonts w:cs="Times New Roman"/>
                <w:sz w:val="20"/>
                <w:szCs w:val="20"/>
                <w:lang w:val="sr-Cyrl-CS"/>
              </w:rPr>
            </w:pPr>
            <w:r w:rsidRPr="00092ED7">
              <w:rPr>
                <w:rFonts w:cs="Times New Roman"/>
                <w:sz w:val="20"/>
                <w:szCs w:val="20"/>
                <w:lang w:val="sr-Cyrl-CS"/>
              </w:rPr>
              <w:t>Израда потребне урбанистичко-планске и пројектно-техничке документације за изградњу објеката</w:t>
            </w:r>
          </w:p>
        </w:tc>
        <w:tc>
          <w:tcPr>
            <w:tcW w:w="372" w:type="dxa"/>
            <w:tcBorders>
              <w:top w:val="single" w:sz="4" w:space="0" w:color="auto"/>
              <w:left w:val="single" w:sz="8"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F01B6F0" w14:textId="77777777" w:rsidR="00D210F0" w:rsidRPr="00092ED7" w:rsidRDefault="00D210F0" w:rsidP="00E44EF2">
            <w:pPr>
              <w:spacing w:after="0"/>
              <w:rPr>
                <w:rFonts w:cs="Times New Roman"/>
                <w:color w:val="000000"/>
                <w:sz w:val="20"/>
                <w:szCs w:val="20"/>
                <w:lang w:val="sr-Cyrl-CS"/>
              </w:rPr>
            </w:pPr>
          </w:p>
        </w:tc>
        <w:tc>
          <w:tcPr>
            <w:tcW w:w="373"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FD41337" w14:textId="77777777" w:rsidR="00D210F0" w:rsidRPr="00092ED7" w:rsidRDefault="00D210F0" w:rsidP="00E44EF2">
            <w:pPr>
              <w:spacing w:after="0"/>
              <w:rPr>
                <w:rFonts w:cs="Times New Roman"/>
                <w:color w:val="000000"/>
                <w:sz w:val="20"/>
                <w:szCs w:val="20"/>
                <w:lang w:val="sr-Cyrl-CS"/>
              </w:rPr>
            </w:pPr>
          </w:p>
        </w:tc>
        <w:tc>
          <w:tcPr>
            <w:tcW w:w="372"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05F212E7" w14:textId="77777777" w:rsidR="00D210F0" w:rsidRPr="00092ED7" w:rsidRDefault="00D210F0" w:rsidP="00E44EF2">
            <w:pPr>
              <w:spacing w:after="0"/>
              <w:rPr>
                <w:rFonts w:cs="Times New Roman"/>
                <w:color w:val="000000"/>
                <w:sz w:val="20"/>
                <w:szCs w:val="20"/>
                <w:lang w:val="sr-Cyrl-CS"/>
              </w:rPr>
            </w:pPr>
          </w:p>
        </w:tc>
        <w:tc>
          <w:tcPr>
            <w:tcW w:w="373" w:type="dxa"/>
            <w:tcBorders>
              <w:top w:val="single" w:sz="4" w:space="0" w:color="auto"/>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32CBED61" w14:textId="77777777" w:rsidR="00D210F0" w:rsidRPr="00092ED7" w:rsidRDefault="00D210F0" w:rsidP="00E44EF2">
            <w:pPr>
              <w:spacing w:after="0"/>
              <w:rPr>
                <w:rFonts w:cs="Times New Roman"/>
                <w:color w:val="000000"/>
                <w:sz w:val="20"/>
                <w:szCs w:val="20"/>
                <w:lang w:val="sr-Cyrl-CS"/>
              </w:rPr>
            </w:pPr>
          </w:p>
        </w:tc>
        <w:tc>
          <w:tcPr>
            <w:tcW w:w="372"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45E6453" w14:textId="77777777" w:rsidR="00D210F0" w:rsidRPr="00092ED7" w:rsidRDefault="00D210F0" w:rsidP="00E44EF2">
            <w:pPr>
              <w:spacing w:after="0"/>
              <w:rPr>
                <w:rFonts w:cs="Times New Roman"/>
                <w:color w:val="000000"/>
                <w:sz w:val="20"/>
                <w:szCs w:val="20"/>
                <w:lang w:val="sr-Cyrl-CS"/>
              </w:rPr>
            </w:pPr>
          </w:p>
        </w:tc>
        <w:tc>
          <w:tcPr>
            <w:tcW w:w="373"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43BA5EF" w14:textId="77777777" w:rsidR="00D210F0" w:rsidRPr="00092ED7" w:rsidRDefault="00D210F0" w:rsidP="00E44EF2">
            <w:pPr>
              <w:spacing w:after="0"/>
              <w:rPr>
                <w:rFonts w:cs="Times New Roman"/>
                <w:color w:val="000000"/>
                <w:sz w:val="20"/>
                <w:szCs w:val="20"/>
                <w:lang w:val="sr-Cyrl-CS"/>
              </w:rPr>
            </w:pPr>
          </w:p>
        </w:tc>
        <w:tc>
          <w:tcPr>
            <w:tcW w:w="373"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3F599D3D" w14:textId="77777777" w:rsidR="00D210F0" w:rsidRPr="00092ED7" w:rsidRDefault="00D210F0" w:rsidP="00E44EF2">
            <w:pPr>
              <w:spacing w:after="0"/>
              <w:rPr>
                <w:rFonts w:cs="Times New Roman"/>
                <w:color w:val="000000"/>
                <w:sz w:val="20"/>
                <w:szCs w:val="20"/>
                <w:lang w:val="sr-Cyrl-CS"/>
              </w:rPr>
            </w:pPr>
          </w:p>
        </w:tc>
        <w:tc>
          <w:tcPr>
            <w:tcW w:w="372" w:type="dxa"/>
            <w:tcBorders>
              <w:top w:val="single" w:sz="4" w:space="0" w:color="auto"/>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6BF1F7B6" w14:textId="77777777" w:rsidR="00D210F0" w:rsidRPr="00092ED7" w:rsidRDefault="00D210F0" w:rsidP="00E44EF2">
            <w:pPr>
              <w:spacing w:after="0"/>
              <w:rPr>
                <w:rFonts w:cs="Times New Roman"/>
                <w:color w:val="000000"/>
                <w:sz w:val="20"/>
                <w:szCs w:val="20"/>
                <w:lang w:val="sr-Cyrl-CS"/>
              </w:rPr>
            </w:pPr>
          </w:p>
        </w:tc>
        <w:tc>
          <w:tcPr>
            <w:tcW w:w="373"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3CB8F70E" w14:textId="77777777" w:rsidR="00D210F0" w:rsidRPr="00092ED7" w:rsidRDefault="00D210F0" w:rsidP="00E44EF2">
            <w:pPr>
              <w:spacing w:after="0"/>
              <w:rPr>
                <w:rFonts w:cs="Times New Roman"/>
                <w:color w:val="000000"/>
                <w:sz w:val="20"/>
                <w:szCs w:val="20"/>
                <w:lang w:val="sr-Cyrl-CS"/>
              </w:rPr>
            </w:pPr>
          </w:p>
        </w:tc>
        <w:tc>
          <w:tcPr>
            <w:tcW w:w="372"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1EEAAA55" w14:textId="77777777" w:rsidR="00D210F0" w:rsidRPr="00092ED7" w:rsidRDefault="00D210F0" w:rsidP="00E44EF2">
            <w:pPr>
              <w:spacing w:after="0"/>
              <w:rPr>
                <w:rFonts w:cs="Times New Roman"/>
                <w:color w:val="000000"/>
                <w:sz w:val="20"/>
                <w:szCs w:val="20"/>
                <w:lang w:val="sr-Cyrl-CS"/>
              </w:rPr>
            </w:pPr>
          </w:p>
        </w:tc>
        <w:tc>
          <w:tcPr>
            <w:tcW w:w="373"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2B9534FB" w14:textId="77777777" w:rsidR="00D210F0" w:rsidRPr="00092ED7" w:rsidRDefault="00D210F0" w:rsidP="00E44EF2">
            <w:pPr>
              <w:spacing w:after="0"/>
              <w:rPr>
                <w:rFonts w:cs="Times New Roman"/>
                <w:color w:val="000000"/>
                <w:sz w:val="20"/>
                <w:szCs w:val="20"/>
                <w:lang w:val="sr-Cyrl-CS"/>
              </w:rPr>
            </w:pPr>
          </w:p>
        </w:tc>
        <w:tc>
          <w:tcPr>
            <w:tcW w:w="373" w:type="dxa"/>
            <w:tcBorders>
              <w:top w:val="single" w:sz="4" w:space="0" w:color="auto"/>
              <w:left w:val="nil"/>
              <w:bottom w:val="single" w:sz="4" w:space="0" w:color="auto"/>
              <w:right w:val="single" w:sz="8" w:space="0" w:color="auto"/>
            </w:tcBorders>
            <w:shd w:val="clear" w:color="auto" w:fill="auto"/>
            <w:tcMar>
              <w:top w:w="15" w:type="dxa"/>
              <w:left w:w="15" w:type="dxa"/>
              <w:bottom w:w="0" w:type="dxa"/>
              <w:right w:w="15" w:type="dxa"/>
            </w:tcMar>
          </w:tcPr>
          <w:p w14:paraId="161E3A35" w14:textId="77777777" w:rsidR="00D210F0" w:rsidRPr="00092ED7" w:rsidRDefault="00D210F0" w:rsidP="00E44EF2">
            <w:pPr>
              <w:spacing w:after="0"/>
              <w:rPr>
                <w:rFonts w:cs="Times New Roman"/>
                <w:color w:val="000000"/>
                <w:sz w:val="20"/>
                <w:szCs w:val="20"/>
                <w:lang w:val="sr-Cyrl-CS"/>
              </w:rPr>
            </w:pPr>
          </w:p>
        </w:tc>
      </w:tr>
      <w:tr w:rsidR="00D210F0" w:rsidRPr="00092ED7" w14:paraId="2DE1C96F" w14:textId="77777777" w:rsidTr="00616441">
        <w:trPr>
          <w:trHeight w:val="300"/>
        </w:trPr>
        <w:tc>
          <w:tcPr>
            <w:tcW w:w="425" w:type="dxa"/>
            <w:tcBorders>
              <w:top w:val="nil"/>
              <w:left w:val="single" w:sz="8" w:space="0" w:color="auto"/>
              <w:bottom w:val="single" w:sz="4" w:space="0" w:color="auto"/>
              <w:right w:val="nil"/>
            </w:tcBorders>
            <w:shd w:val="clear" w:color="auto" w:fill="auto"/>
            <w:tcMar>
              <w:top w:w="15" w:type="dxa"/>
              <w:left w:w="15" w:type="dxa"/>
              <w:bottom w:w="0" w:type="dxa"/>
              <w:right w:w="15" w:type="dxa"/>
            </w:tcMar>
          </w:tcPr>
          <w:p w14:paraId="77DE4679" w14:textId="77777777" w:rsidR="00D210F0" w:rsidRPr="00092ED7" w:rsidRDefault="00D210F0" w:rsidP="00E44EF2">
            <w:pPr>
              <w:spacing w:after="0"/>
              <w:jc w:val="center"/>
              <w:rPr>
                <w:rFonts w:cs="Times New Roman"/>
                <w:bCs/>
                <w:sz w:val="20"/>
                <w:szCs w:val="20"/>
                <w:lang w:val="sr-Cyrl-CS"/>
              </w:rPr>
            </w:pPr>
            <w:r w:rsidRPr="00092ED7">
              <w:rPr>
                <w:rFonts w:cs="Times New Roman"/>
                <w:bCs/>
                <w:sz w:val="20"/>
                <w:szCs w:val="20"/>
                <w:lang w:val="sr-Cyrl-CS"/>
              </w:rPr>
              <w:t>2.</w:t>
            </w:r>
          </w:p>
        </w:tc>
        <w:tc>
          <w:tcPr>
            <w:tcW w:w="4243" w:type="dxa"/>
            <w:tcBorders>
              <w:top w:val="nil"/>
              <w:left w:val="single" w:sz="8" w:space="0" w:color="auto"/>
              <w:bottom w:val="single" w:sz="4" w:space="0" w:color="auto"/>
              <w:right w:val="single" w:sz="4" w:space="0" w:color="auto"/>
            </w:tcBorders>
            <w:shd w:val="clear" w:color="auto" w:fill="auto"/>
            <w:tcMar>
              <w:top w:w="15" w:type="dxa"/>
              <w:left w:w="15" w:type="dxa"/>
              <w:bottom w:w="0" w:type="dxa"/>
              <w:right w:w="15" w:type="dxa"/>
            </w:tcMar>
          </w:tcPr>
          <w:p w14:paraId="254279E8" w14:textId="77777777" w:rsidR="00D210F0" w:rsidRPr="00092ED7" w:rsidRDefault="00D210F0" w:rsidP="00E44EF2">
            <w:pPr>
              <w:spacing w:after="0"/>
              <w:rPr>
                <w:sz w:val="20"/>
                <w:szCs w:val="20"/>
                <w:lang w:val="sr-Cyrl-CS"/>
              </w:rPr>
            </w:pPr>
            <w:r w:rsidRPr="00092ED7">
              <w:rPr>
                <w:rFonts w:cs="Times New Roman"/>
                <w:sz w:val="20"/>
                <w:szCs w:val="20"/>
                <w:lang w:val="sr-Cyrl-CS"/>
              </w:rPr>
              <w:t>Исходовање дозвола</w:t>
            </w:r>
          </w:p>
        </w:tc>
        <w:tc>
          <w:tcPr>
            <w:tcW w:w="372" w:type="dxa"/>
            <w:tcBorders>
              <w:top w:val="nil"/>
              <w:left w:val="single" w:sz="8" w:space="0" w:color="auto"/>
              <w:bottom w:val="single" w:sz="4" w:space="0" w:color="auto"/>
              <w:right w:val="single" w:sz="4" w:space="0" w:color="auto"/>
            </w:tcBorders>
            <w:shd w:val="clear" w:color="auto" w:fill="auto"/>
            <w:tcMar>
              <w:top w:w="15" w:type="dxa"/>
              <w:left w:w="15" w:type="dxa"/>
              <w:bottom w:w="0" w:type="dxa"/>
              <w:right w:w="15" w:type="dxa"/>
            </w:tcMar>
          </w:tcPr>
          <w:p w14:paraId="024B8D21" w14:textId="77777777" w:rsidR="00D210F0" w:rsidRPr="00092ED7" w:rsidRDefault="00D210F0" w:rsidP="00E44EF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2771E848" w14:textId="77777777" w:rsidR="00D210F0" w:rsidRPr="00092ED7" w:rsidRDefault="00D210F0" w:rsidP="00E44EF2">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7E8DBF6" w14:textId="77777777" w:rsidR="00D210F0" w:rsidRPr="00092ED7" w:rsidRDefault="00D210F0" w:rsidP="00E44EF2">
            <w:pPr>
              <w:spacing w:after="0"/>
              <w:rPr>
                <w:rFonts w:cs="Times New Roman"/>
                <w:color w:val="000000"/>
                <w:sz w:val="20"/>
                <w:szCs w:val="20"/>
                <w:lang w:val="sr-Cyrl-CS"/>
              </w:rPr>
            </w:pPr>
          </w:p>
        </w:tc>
        <w:tc>
          <w:tcPr>
            <w:tcW w:w="373"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1B4B59FD" w14:textId="77777777" w:rsidR="00D210F0" w:rsidRPr="00092ED7" w:rsidRDefault="00D210F0" w:rsidP="00E44EF2">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34C80EC9" w14:textId="77777777" w:rsidR="00D210F0" w:rsidRPr="00092ED7" w:rsidRDefault="00D210F0" w:rsidP="00E44EF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9EC009E" w14:textId="77777777" w:rsidR="00D210F0" w:rsidRPr="00092ED7" w:rsidRDefault="00D210F0" w:rsidP="00E44EF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DE0B82A" w14:textId="77777777" w:rsidR="00D210F0" w:rsidRPr="00092ED7" w:rsidRDefault="00D210F0" w:rsidP="00E44EF2">
            <w:pPr>
              <w:spacing w:after="0"/>
              <w:rPr>
                <w:rFonts w:cs="Times New Roman"/>
                <w:color w:val="000000"/>
                <w:sz w:val="20"/>
                <w:szCs w:val="20"/>
                <w:lang w:val="sr-Cyrl-CS"/>
              </w:rPr>
            </w:pPr>
          </w:p>
        </w:tc>
        <w:tc>
          <w:tcPr>
            <w:tcW w:w="372"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61060C61" w14:textId="77777777" w:rsidR="00D210F0" w:rsidRPr="00092ED7" w:rsidRDefault="00D210F0" w:rsidP="00E44EF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015DF72" w14:textId="77777777" w:rsidR="00D210F0" w:rsidRPr="00092ED7" w:rsidRDefault="00D210F0" w:rsidP="00E44EF2">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2229FC12" w14:textId="77777777" w:rsidR="00D210F0" w:rsidRPr="00092ED7" w:rsidRDefault="00D210F0" w:rsidP="00E44EF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3FB80858" w14:textId="77777777" w:rsidR="00D210F0" w:rsidRPr="00092ED7" w:rsidRDefault="00D210F0" w:rsidP="00E44EF2">
            <w:pPr>
              <w:spacing w:after="0"/>
              <w:rPr>
                <w:rFonts w:cs="Times New Roman"/>
                <w:color w:val="000000"/>
                <w:sz w:val="20"/>
                <w:szCs w:val="20"/>
                <w:lang w:val="sr-Cyrl-CS"/>
              </w:rPr>
            </w:pPr>
          </w:p>
        </w:tc>
        <w:tc>
          <w:tcPr>
            <w:tcW w:w="373" w:type="dxa"/>
            <w:tcBorders>
              <w:top w:val="nil"/>
              <w:left w:val="nil"/>
              <w:bottom w:val="single" w:sz="4" w:space="0" w:color="auto"/>
              <w:right w:val="single" w:sz="8" w:space="0" w:color="auto"/>
            </w:tcBorders>
            <w:shd w:val="clear" w:color="auto" w:fill="auto"/>
            <w:tcMar>
              <w:top w:w="15" w:type="dxa"/>
              <w:left w:w="15" w:type="dxa"/>
              <w:bottom w:w="0" w:type="dxa"/>
              <w:right w:w="15" w:type="dxa"/>
            </w:tcMar>
          </w:tcPr>
          <w:p w14:paraId="1224EE97" w14:textId="77777777" w:rsidR="00D210F0" w:rsidRPr="00092ED7" w:rsidRDefault="00D210F0" w:rsidP="00E44EF2">
            <w:pPr>
              <w:spacing w:after="0"/>
              <w:rPr>
                <w:rFonts w:cs="Times New Roman"/>
                <w:color w:val="000000"/>
                <w:sz w:val="20"/>
                <w:szCs w:val="20"/>
                <w:lang w:val="sr-Cyrl-CS"/>
              </w:rPr>
            </w:pPr>
          </w:p>
        </w:tc>
      </w:tr>
      <w:tr w:rsidR="00D210F0" w:rsidRPr="00092ED7" w14:paraId="3F03ECCB" w14:textId="77777777" w:rsidTr="00616441">
        <w:trPr>
          <w:trHeight w:val="300"/>
        </w:trPr>
        <w:tc>
          <w:tcPr>
            <w:tcW w:w="425" w:type="dxa"/>
            <w:tcBorders>
              <w:top w:val="single" w:sz="4" w:space="0" w:color="auto"/>
              <w:left w:val="single" w:sz="8" w:space="0" w:color="auto"/>
              <w:bottom w:val="single" w:sz="4" w:space="0" w:color="auto"/>
              <w:right w:val="single" w:sz="8" w:space="0" w:color="auto"/>
            </w:tcBorders>
            <w:shd w:val="clear" w:color="auto" w:fill="auto"/>
            <w:tcMar>
              <w:top w:w="15" w:type="dxa"/>
              <w:left w:w="15" w:type="dxa"/>
              <w:bottom w:w="0" w:type="dxa"/>
              <w:right w:w="15" w:type="dxa"/>
            </w:tcMar>
          </w:tcPr>
          <w:p w14:paraId="49F9721A" w14:textId="77777777" w:rsidR="00D210F0" w:rsidRPr="00092ED7" w:rsidRDefault="00D210F0" w:rsidP="00E44EF2">
            <w:pPr>
              <w:spacing w:after="0"/>
              <w:jc w:val="center"/>
              <w:rPr>
                <w:rFonts w:cs="Times New Roman"/>
                <w:bCs/>
                <w:sz w:val="20"/>
                <w:szCs w:val="20"/>
                <w:lang w:val="sr-Cyrl-CS"/>
              </w:rPr>
            </w:pPr>
            <w:r w:rsidRPr="00092ED7">
              <w:rPr>
                <w:rFonts w:cs="Times New Roman"/>
                <w:bCs/>
                <w:sz w:val="20"/>
                <w:szCs w:val="20"/>
                <w:lang w:val="sr-Cyrl-CS"/>
              </w:rPr>
              <w:t>3.</w:t>
            </w:r>
          </w:p>
        </w:tc>
        <w:tc>
          <w:tcPr>
            <w:tcW w:w="4243" w:type="dxa"/>
            <w:tcBorders>
              <w:top w:val="single" w:sz="4" w:space="0" w:color="auto"/>
              <w:left w:val="nil"/>
              <w:bottom w:val="single" w:sz="4" w:space="0" w:color="auto"/>
              <w:right w:val="nil"/>
            </w:tcBorders>
            <w:shd w:val="clear" w:color="auto" w:fill="auto"/>
            <w:tcMar>
              <w:top w:w="15" w:type="dxa"/>
              <w:left w:w="15" w:type="dxa"/>
              <w:bottom w:w="0" w:type="dxa"/>
              <w:right w:w="15" w:type="dxa"/>
            </w:tcMar>
          </w:tcPr>
          <w:p w14:paraId="019B33EE" w14:textId="77777777" w:rsidR="00D210F0" w:rsidRPr="00092ED7" w:rsidRDefault="00D210F0" w:rsidP="00E44EF2">
            <w:pPr>
              <w:spacing w:after="0"/>
              <w:rPr>
                <w:sz w:val="20"/>
                <w:szCs w:val="20"/>
                <w:lang w:val="sr-Cyrl-CS"/>
              </w:rPr>
            </w:pPr>
            <w:r w:rsidRPr="00092ED7">
              <w:rPr>
                <w:rFonts w:cs="Times New Roman"/>
                <w:sz w:val="20"/>
                <w:szCs w:val="20"/>
                <w:lang w:val="sr-Cyrl-CS"/>
              </w:rPr>
              <w:t>Потписивање уговора за радове и набавку опреме</w:t>
            </w:r>
          </w:p>
        </w:tc>
        <w:tc>
          <w:tcPr>
            <w:tcW w:w="372" w:type="dxa"/>
            <w:tcBorders>
              <w:top w:val="single" w:sz="4" w:space="0" w:color="auto"/>
              <w:left w:val="single" w:sz="8" w:space="0" w:color="auto"/>
              <w:bottom w:val="single" w:sz="4" w:space="0" w:color="auto"/>
              <w:right w:val="single" w:sz="4" w:space="0" w:color="auto"/>
            </w:tcBorders>
            <w:shd w:val="clear" w:color="auto" w:fill="auto"/>
            <w:tcMar>
              <w:top w:w="15" w:type="dxa"/>
              <w:left w:w="15" w:type="dxa"/>
              <w:bottom w:w="0" w:type="dxa"/>
              <w:right w:w="15" w:type="dxa"/>
            </w:tcMar>
          </w:tcPr>
          <w:p w14:paraId="3A23D4D4" w14:textId="77777777" w:rsidR="00D210F0" w:rsidRPr="00092ED7" w:rsidRDefault="00D210F0" w:rsidP="00E44EF2">
            <w:pPr>
              <w:spacing w:after="0"/>
              <w:rPr>
                <w:rFonts w:cs="Times New Roman"/>
                <w:color w:val="000000"/>
                <w:sz w:val="20"/>
                <w:szCs w:val="20"/>
                <w:lang w:val="sr-Cyrl-CS"/>
              </w:rPr>
            </w:pPr>
          </w:p>
        </w:tc>
        <w:tc>
          <w:tcPr>
            <w:tcW w:w="373"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0BA898AB" w14:textId="77777777" w:rsidR="00D210F0" w:rsidRPr="00092ED7" w:rsidRDefault="00D210F0" w:rsidP="00E44EF2">
            <w:pPr>
              <w:spacing w:after="0"/>
              <w:rPr>
                <w:rFonts w:cs="Times New Roman"/>
                <w:color w:val="000000"/>
                <w:sz w:val="20"/>
                <w:szCs w:val="20"/>
                <w:lang w:val="sr-Cyrl-CS"/>
              </w:rPr>
            </w:pPr>
          </w:p>
        </w:tc>
        <w:tc>
          <w:tcPr>
            <w:tcW w:w="372"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5DF59A48" w14:textId="77777777" w:rsidR="00D210F0" w:rsidRPr="00092ED7" w:rsidRDefault="00D210F0" w:rsidP="00E44EF2">
            <w:pPr>
              <w:spacing w:after="0"/>
              <w:rPr>
                <w:rFonts w:cs="Times New Roman"/>
                <w:color w:val="000000"/>
                <w:sz w:val="20"/>
                <w:szCs w:val="20"/>
                <w:lang w:val="sr-Cyrl-CS"/>
              </w:rPr>
            </w:pPr>
          </w:p>
        </w:tc>
        <w:tc>
          <w:tcPr>
            <w:tcW w:w="373" w:type="dxa"/>
            <w:tcBorders>
              <w:top w:val="single" w:sz="4" w:space="0" w:color="auto"/>
              <w:left w:val="nil"/>
              <w:bottom w:val="single" w:sz="4" w:space="0" w:color="auto"/>
              <w:right w:val="single" w:sz="8" w:space="0" w:color="auto"/>
            </w:tcBorders>
            <w:shd w:val="clear" w:color="auto" w:fill="auto"/>
            <w:tcMar>
              <w:top w:w="15" w:type="dxa"/>
              <w:left w:w="15" w:type="dxa"/>
              <w:bottom w:w="0" w:type="dxa"/>
              <w:right w:w="15" w:type="dxa"/>
            </w:tcMar>
          </w:tcPr>
          <w:p w14:paraId="322CA4E8" w14:textId="77777777" w:rsidR="00D210F0" w:rsidRPr="00092ED7" w:rsidRDefault="00D210F0" w:rsidP="00E44EF2">
            <w:pPr>
              <w:spacing w:after="0"/>
              <w:rPr>
                <w:rFonts w:cs="Times New Roman"/>
                <w:color w:val="000000"/>
                <w:sz w:val="20"/>
                <w:szCs w:val="20"/>
                <w:lang w:val="sr-Cyrl-CS"/>
              </w:rPr>
            </w:pPr>
          </w:p>
        </w:tc>
        <w:tc>
          <w:tcPr>
            <w:tcW w:w="372"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75BF2F92" w14:textId="77777777" w:rsidR="00D210F0" w:rsidRPr="00092ED7" w:rsidRDefault="00D210F0" w:rsidP="00E44EF2">
            <w:pPr>
              <w:spacing w:after="0"/>
              <w:rPr>
                <w:rFonts w:cs="Times New Roman"/>
                <w:color w:val="000000"/>
                <w:sz w:val="20"/>
                <w:szCs w:val="20"/>
                <w:lang w:val="sr-Cyrl-CS"/>
              </w:rPr>
            </w:pPr>
          </w:p>
        </w:tc>
        <w:tc>
          <w:tcPr>
            <w:tcW w:w="373"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290E555" w14:textId="77777777" w:rsidR="00D210F0" w:rsidRPr="00092ED7" w:rsidRDefault="00D210F0" w:rsidP="00E44EF2">
            <w:pPr>
              <w:spacing w:after="0"/>
              <w:rPr>
                <w:rFonts w:cs="Times New Roman"/>
                <w:color w:val="000000"/>
                <w:sz w:val="20"/>
                <w:szCs w:val="20"/>
                <w:lang w:val="sr-Cyrl-CS"/>
              </w:rPr>
            </w:pPr>
          </w:p>
        </w:tc>
        <w:tc>
          <w:tcPr>
            <w:tcW w:w="373"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BBAB9EE" w14:textId="77777777" w:rsidR="00D210F0" w:rsidRPr="00092ED7" w:rsidRDefault="00D210F0" w:rsidP="00E44EF2">
            <w:pPr>
              <w:spacing w:after="0"/>
              <w:rPr>
                <w:rFonts w:cs="Times New Roman"/>
                <w:color w:val="000000"/>
                <w:sz w:val="20"/>
                <w:szCs w:val="20"/>
                <w:lang w:val="sr-Cyrl-CS"/>
              </w:rPr>
            </w:pPr>
          </w:p>
        </w:tc>
        <w:tc>
          <w:tcPr>
            <w:tcW w:w="372" w:type="dxa"/>
            <w:tcBorders>
              <w:top w:val="single" w:sz="4" w:space="0" w:color="auto"/>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557BC750" w14:textId="77777777" w:rsidR="00D210F0" w:rsidRPr="00092ED7" w:rsidRDefault="00D210F0" w:rsidP="00E44EF2">
            <w:pPr>
              <w:spacing w:after="0"/>
              <w:rPr>
                <w:rFonts w:cs="Times New Roman"/>
                <w:color w:val="000000"/>
                <w:sz w:val="20"/>
                <w:szCs w:val="20"/>
                <w:lang w:val="sr-Cyrl-CS"/>
              </w:rPr>
            </w:pPr>
          </w:p>
        </w:tc>
        <w:tc>
          <w:tcPr>
            <w:tcW w:w="373"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089A1877" w14:textId="77777777" w:rsidR="00D210F0" w:rsidRPr="00092ED7" w:rsidRDefault="00D210F0" w:rsidP="00E44EF2">
            <w:pPr>
              <w:spacing w:after="0"/>
              <w:rPr>
                <w:rFonts w:cs="Times New Roman"/>
                <w:color w:val="000000"/>
                <w:sz w:val="20"/>
                <w:szCs w:val="20"/>
                <w:lang w:val="sr-Cyrl-CS"/>
              </w:rPr>
            </w:pPr>
          </w:p>
        </w:tc>
        <w:tc>
          <w:tcPr>
            <w:tcW w:w="372"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AA93CE3" w14:textId="77777777" w:rsidR="00D210F0" w:rsidRPr="00092ED7" w:rsidRDefault="00D210F0" w:rsidP="00E44EF2">
            <w:pPr>
              <w:spacing w:after="0"/>
              <w:rPr>
                <w:rFonts w:cs="Times New Roman"/>
                <w:color w:val="000000"/>
                <w:sz w:val="20"/>
                <w:szCs w:val="20"/>
                <w:lang w:val="sr-Cyrl-CS"/>
              </w:rPr>
            </w:pPr>
          </w:p>
        </w:tc>
        <w:tc>
          <w:tcPr>
            <w:tcW w:w="373"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9919805" w14:textId="77777777" w:rsidR="00D210F0" w:rsidRPr="00092ED7" w:rsidRDefault="00D210F0" w:rsidP="00E44EF2">
            <w:pPr>
              <w:spacing w:after="0"/>
              <w:rPr>
                <w:rFonts w:cs="Times New Roman"/>
                <w:color w:val="000000"/>
                <w:sz w:val="20"/>
                <w:szCs w:val="20"/>
                <w:lang w:val="sr-Cyrl-CS"/>
              </w:rPr>
            </w:pPr>
          </w:p>
        </w:tc>
        <w:tc>
          <w:tcPr>
            <w:tcW w:w="373" w:type="dxa"/>
            <w:tcBorders>
              <w:top w:val="single" w:sz="4" w:space="0" w:color="auto"/>
              <w:left w:val="nil"/>
              <w:bottom w:val="single" w:sz="4" w:space="0" w:color="auto"/>
              <w:right w:val="single" w:sz="8" w:space="0" w:color="auto"/>
            </w:tcBorders>
            <w:shd w:val="clear" w:color="auto" w:fill="auto"/>
            <w:tcMar>
              <w:top w:w="15" w:type="dxa"/>
              <w:left w:w="15" w:type="dxa"/>
              <w:bottom w:w="0" w:type="dxa"/>
              <w:right w:w="15" w:type="dxa"/>
            </w:tcMar>
          </w:tcPr>
          <w:p w14:paraId="1181E391" w14:textId="77777777" w:rsidR="00D210F0" w:rsidRPr="00092ED7" w:rsidRDefault="00D210F0" w:rsidP="00E44EF2">
            <w:pPr>
              <w:spacing w:after="0"/>
              <w:rPr>
                <w:rFonts w:cs="Times New Roman"/>
                <w:color w:val="000000"/>
                <w:sz w:val="20"/>
                <w:szCs w:val="20"/>
                <w:lang w:val="sr-Cyrl-CS"/>
              </w:rPr>
            </w:pPr>
          </w:p>
        </w:tc>
      </w:tr>
      <w:tr w:rsidR="00D210F0" w:rsidRPr="00092ED7" w14:paraId="5424BB96" w14:textId="77777777" w:rsidTr="00AE4362">
        <w:trPr>
          <w:trHeight w:val="300"/>
        </w:trPr>
        <w:tc>
          <w:tcPr>
            <w:tcW w:w="425" w:type="dxa"/>
            <w:tcBorders>
              <w:top w:val="nil"/>
              <w:left w:val="single" w:sz="8" w:space="0" w:color="auto"/>
              <w:bottom w:val="single" w:sz="4" w:space="0" w:color="auto"/>
              <w:right w:val="nil"/>
            </w:tcBorders>
            <w:shd w:val="clear" w:color="auto" w:fill="auto"/>
            <w:tcMar>
              <w:top w:w="15" w:type="dxa"/>
              <w:left w:w="15" w:type="dxa"/>
              <w:bottom w:w="0" w:type="dxa"/>
              <w:right w:w="15" w:type="dxa"/>
            </w:tcMar>
          </w:tcPr>
          <w:p w14:paraId="14A00DA7" w14:textId="77777777" w:rsidR="00D210F0" w:rsidRPr="00092ED7" w:rsidRDefault="00D210F0" w:rsidP="00E44EF2">
            <w:pPr>
              <w:spacing w:after="0"/>
              <w:jc w:val="center"/>
              <w:rPr>
                <w:rFonts w:cs="Times New Roman"/>
                <w:bCs/>
                <w:sz w:val="20"/>
                <w:szCs w:val="20"/>
                <w:lang w:val="sr-Cyrl-CS"/>
              </w:rPr>
            </w:pPr>
            <w:r w:rsidRPr="00092ED7">
              <w:rPr>
                <w:rFonts w:cs="Times New Roman"/>
                <w:bCs/>
                <w:sz w:val="20"/>
                <w:szCs w:val="20"/>
                <w:lang w:val="sr-Cyrl-CS"/>
              </w:rPr>
              <w:t>4.</w:t>
            </w:r>
          </w:p>
        </w:tc>
        <w:tc>
          <w:tcPr>
            <w:tcW w:w="4243" w:type="dxa"/>
            <w:tcBorders>
              <w:top w:val="nil"/>
              <w:left w:val="single" w:sz="8" w:space="0" w:color="auto"/>
              <w:bottom w:val="single" w:sz="4" w:space="0" w:color="auto"/>
              <w:right w:val="nil"/>
            </w:tcBorders>
            <w:shd w:val="clear" w:color="auto" w:fill="auto"/>
            <w:tcMar>
              <w:top w:w="15" w:type="dxa"/>
              <w:left w:w="15" w:type="dxa"/>
              <w:bottom w:w="0" w:type="dxa"/>
              <w:right w:w="15" w:type="dxa"/>
            </w:tcMar>
          </w:tcPr>
          <w:p w14:paraId="5B387457" w14:textId="77777777" w:rsidR="00D210F0" w:rsidRPr="00092ED7" w:rsidRDefault="00D210F0" w:rsidP="00E44EF2">
            <w:pPr>
              <w:spacing w:after="0"/>
              <w:rPr>
                <w:sz w:val="20"/>
                <w:szCs w:val="20"/>
                <w:lang w:val="sr-Cyrl-CS"/>
              </w:rPr>
            </w:pPr>
            <w:r w:rsidRPr="00092ED7">
              <w:rPr>
                <w:rFonts w:cs="Times New Roman"/>
                <w:sz w:val="20"/>
                <w:szCs w:val="20"/>
                <w:lang w:val="sr-Cyrl-CS"/>
              </w:rPr>
              <w:t xml:space="preserve">Изградња  </w:t>
            </w:r>
          </w:p>
        </w:tc>
        <w:tc>
          <w:tcPr>
            <w:tcW w:w="372" w:type="dxa"/>
            <w:tcBorders>
              <w:top w:val="nil"/>
              <w:left w:val="single" w:sz="8" w:space="0" w:color="auto"/>
              <w:bottom w:val="single" w:sz="4" w:space="0" w:color="auto"/>
              <w:right w:val="single" w:sz="4" w:space="0" w:color="auto"/>
            </w:tcBorders>
            <w:shd w:val="clear" w:color="auto" w:fill="auto"/>
            <w:tcMar>
              <w:top w:w="15" w:type="dxa"/>
              <w:left w:w="15" w:type="dxa"/>
              <w:bottom w:w="0" w:type="dxa"/>
              <w:right w:w="15" w:type="dxa"/>
            </w:tcMar>
          </w:tcPr>
          <w:p w14:paraId="1FD4220C" w14:textId="77777777" w:rsidR="00D210F0" w:rsidRPr="00092ED7" w:rsidRDefault="00D210F0" w:rsidP="00E44EF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282AE42D" w14:textId="77777777" w:rsidR="00D210F0" w:rsidRPr="00092ED7" w:rsidRDefault="00D210F0" w:rsidP="00E44EF2">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10806692" w14:textId="77777777" w:rsidR="00D210F0" w:rsidRPr="00092ED7" w:rsidRDefault="00D210F0" w:rsidP="00E44EF2">
            <w:pPr>
              <w:spacing w:after="0"/>
              <w:rPr>
                <w:rFonts w:cs="Times New Roman"/>
                <w:color w:val="000000"/>
                <w:sz w:val="20"/>
                <w:szCs w:val="20"/>
                <w:lang w:val="sr-Cyrl-CS"/>
              </w:rPr>
            </w:pPr>
          </w:p>
        </w:tc>
        <w:tc>
          <w:tcPr>
            <w:tcW w:w="373" w:type="dxa"/>
            <w:tcBorders>
              <w:top w:val="nil"/>
              <w:left w:val="nil"/>
              <w:bottom w:val="single" w:sz="4" w:space="0" w:color="auto"/>
              <w:right w:val="single" w:sz="8" w:space="0" w:color="auto"/>
            </w:tcBorders>
            <w:shd w:val="clear" w:color="auto" w:fill="auto"/>
            <w:tcMar>
              <w:top w:w="15" w:type="dxa"/>
              <w:left w:w="15" w:type="dxa"/>
              <w:bottom w:w="0" w:type="dxa"/>
              <w:right w:w="15" w:type="dxa"/>
            </w:tcMar>
          </w:tcPr>
          <w:p w14:paraId="28EBA8CF" w14:textId="77777777" w:rsidR="00D210F0" w:rsidRPr="00092ED7" w:rsidRDefault="00D210F0" w:rsidP="00E44EF2">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73B7E8C2" w14:textId="77777777" w:rsidR="00D210F0" w:rsidRPr="00092ED7" w:rsidRDefault="00D210F0" w:rsidP="00E44EF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71695954" w14:textId="77777777" w:rsidR="00D210F0" w:rsidRPr="00092ED7" w:rsidRDefault="00D210F0" w:rsidP="00E44EF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194D948" w14:textId="77777777" w:rsidR="00D210F0" w:rsidRPr="00092ED7" w:rsidRDefault="00D210F0" w:rsidP="00E44EF2">
            <w:pPr>
              <w:spacing w:after="0"/>
              <w:rPr>
                <w:rFonts w:cs="Times New Roman"/>
                <w:color w:val="000000"/>
                <w:sz w:val="20"/>
                <w:szCs w:val="20"/>
                <w:lang w:val="sr-Cyrl-CS"/>
              </w:rPr>
            </w:pPr>
          </w:p>
        </w:tc>
        <w:tc>
          <w:tcPr>
            <w:tcW w:w="372"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7660A367" w14:textId="77777777" w:rsidR="00D210F0" w:rsidRPr="00092ED7" w:rsidRDefault="00D210F0" w:rsidP="00E44EF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469972F" w14:textId="77777777" w:rsidR="00D210F0" w:rsidRPr="00092ED7" w:rsidRDefault="00D210F0" w:rsidP="00E44EF2">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1D9CE27" w14:textId="77777777" w:rsidR="00D210F0" w:rsidRPr="00092ED7" w:rsidRDefault="00D210F0" w:rsidP="00E44EF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BC66D2E" w14:textId="77777777" w:rsidR="00D210F0" w:rsidRPr="00092ED7" w:rsidRDefault="00D210F0" w:rsidP="00E44EF2">
            <w:pPr>
              <w:spacing w:after="0"/>
              <w:rPr>
                <w:rFonts w:cs="Times New Roman"/>
                <w:color w:val="000000"/>
                <w:sz w:val="20"/>
                <w:szCs w:val="20"/>
                <w:lang w:val="sr-Cyrl-CS"/>
              </w:rPr>
            </w:pPr>
          </w:p>
        </w:tc>
        <w:tc>
          <w:tcPr>
            <w:tcW w:w="373"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365774B3" w14:textId="77777777" w:rsidR="00D210F0" w:rsidRPr="00092ED7" w:rsidRDefault="00D210F0" w:rsidP="00E44EF2">
            <w:pPr>
              <w:spacing w:after="0"/>
              <w:rPr>
                <w:rFonts w:cs="Times New Roman"/>
                <w:color w:val="000000"/>
                <w:sz w:val="20"/>
                <w:szCs w:val="20"/>
                <w:lang w:val="sr-Cyrl-CS"/>
              </w:rPr>
            </w:pPr>
          </w:p>
        </w:tc>
      </w:tr>
    </w:tbl>
    <w:p w14:paraId="203D4B0D" w14:textId="77777777" w:rsidR="00D210F0" w:rsidRPr="00092ED7" w:rsidRDefault="00D210F0" w:rsidP="00071952">
      <w:pPr>
        <w:pStyle w:val="ListParagraph"/>
        <w:widowControl w:val="0"/>
        <w:numPr>
          <w:ilvl w:val="0"/>
          <w:numId w:val="26"/>
        </w:numPr>
        <w:spacing w:before="120" w:line="240" w:lineRule="auto"/>
        <w:ind w:left="425" w:hanging="425"/>
        <w:contextualSpacing w:val="0"/>
        <w:rPr>
          <w:rFonts w:cs="Times New Roman"/>
          <w:b/>
          <w:sz w:val="24"/>
          <w:szCs w:val="24"/>
          <w:lang w:val="sr-Cyrl-CS" w:eastAsia="sr-Cyrl-CS" w:bidi="sr-Cyrl-CS"/>
        </w:rPr>
      </w:pPr>
      <w:r w:rsidRPr="00092ED7">
        <w:rPr>
          <w:rFonts w:cs="Times New Roman"/>
          <w:b/>
          <w:sz w:val="24"/>
          <w:szCs w:val="24"/>
          <w:lang w:val="sr-Cyrl-CS" w:eastAsia="sr-Cyrl-CS" w:bidi="sr-Cyrl-CS"/>
        </w:rPr>
        <w:t>Индикатори рeзултата</w:t>
      </w:r>
    </w:p>
    <w:tbl>
      <w:tblPr>
        <w:tblStyle w:val="TableGrid"/>
        <w:tblW w:w="9214" w:type="dxa"/>
        <w:tblInd w:w="-5" w:type="dxa"/>
        <w:tblLayout w:type="fixed"/>
        <w:tblLook w:val="04A0" w:firstRow="1" w:lastRow="0" w:firstColumn="1" w:lastColumn="0" w:noHBand="0" w:noVBand="1"/>
      </w:tblPr>
      <w:tblGrid>
        <w:gridCol w:w="4111"/>
        <w:gridCol w:w="1701"/>
        <w:gridCol w:w="1701"/>
        <w:gridCol w:w="1701"/>
      </w:tblGrid>
      <w:tr w:rsidR="00D210F0" w:rsidRPr="00092ED7" w14:paraId="2D70A210" w14:textId="77777777" w:rsidTr="00AE4362">
        <w:trPr>
          <w:cnfStyle w:val="100000000000" w:firstRow="1" w:lastRow="0" w:firstColumn="0" w:lastColumn="0" w:oddVBand="0" w:evenVBand="0" w:oddHBand="0" w:evenHBand="0" w:firstRowFirstColumn="0" w:firstRowLastColumn="0" w:lastRowFirstColumn="0" w:lastRowLastColumn="0"/>
        </w:trPr>
        <w:tc>
          <w:tcPr>
            <w:tcW w:w="4111" w:type="dxa"/>
          </w:tcPr>
          <w:p w14:paraId="6A74F83A" w14:textId="77777777" w:rsidR="00D210F0" w:rsidRPr="00092ED7" w:rsidRDefault="00D210F0" w:rsidP="005D14E2">
            <w:pPr>
              <w:spacing w:before="0" w:after="0"/>
              <w:ind w:left="113" w:right="113"/>
              <w:jc w:val="center"/>
              <w:rPr>
                <w:sz w:val="20"/>
                <w:lang w:val="sr-Cyrl-CS"/>
              </w:rPr>
            </w:pPr>
            <w:r w:rsidRPr="00092ED7">
              <w:rPr>
                <w:rFonts w:cs="Times New Roman"/>
                <w:sz w:val="20"/>
                <w:lang w:val="sr-Cyrl-CS"/>
              </w:rPr>
              <w:t>Показатељ</w:t>
            </w:r>
          </w:p>
        </w:tc>
        <w:tc>
          <w:tcPr>
            <w:tcW w:w="1701" w:type="dxa"/>
          </w:tcPr>
          <w:p w14:paraId="2463C65A" w14:textId="77777777" w:rsidR="00D210F0" w:rsidRPr="00092ED7" w:rsidRDefault="00D210F0" w:rsidP="005D14E2">
            <w:pPr>
              <w:spacing w:before="0" w:after="0"/>
              <w:ind w:left="113" w:right="113"/>
              <w:jc w:val="center"/>
              <w:rPr>
                <w:sz w:val="20"/>
                <w:lang w:val="sr-Cyrl-CS"/>
              </w:rPr>
            </w:pPr>
            <w:r w:rsidRPr="00092ED7">
              <w:rPr>
                <w:rFonts w:cs="Times New Roman"/>
                <w:sz w:val="20"/>
                <w:lang w:val="sr-Cyrl-CS"/>
              </w:rPr>
              <w:t>Почетна вредност (</w:t>
            </w:r>
            <w:r w:rsidR="00234B69" w:rsidRPr="00092ED7">
              <w:rPr>
                <w:rFonts w:cs="Times New Roman"/>
                <w:sz w:val="20"/>
                <w:lang w:val="sr-Cyrl-CS"/>
              </w:rPr>
              <w:t>2022</w:t>
            </w:r>
            <w:r w:rsidRPr="00092ED7">
              <w:rPr>
                <w:rFonts w:cs="Times New Roman"/>
                <w:sz w:val="20"/>
                <w:lang w:val="sr-Cyrl-CS"/>
              </w:rPr>
              <w:t>)</w:t>
            </w:r>
          </w:p>
        </w:tc>
        <w:tc>
          <w:tcPr>
            <w:tcW w:w="1701" w:type="dxa"/>
          </w:tcPr>
          <w:p w14:paraId="22BD3926" w14:textId="77777777" w:rsidR="00D210F0" w:rsidRPr="00092ED7" w:rsidRDefault="00D210F0" w:rsidP="005D14E2">
            <w:pPr>
              <w:spacing w:before="0" w:after="0"/>
              <w:ind w:left="113" w:right="113"/>
              <w:jc w:val="center"/>
              <w:rPr>
                <w:sz w:val="20"/>
                <w:lang w:val="sr-Cyrl-CS"/>
              </w:rPr>
            </w:pPr>
            <w:r w:rsidRPr="00092ED7">
              <w:rPr>
                <w:rFonts w:cs="Times New Roman"/>
                <w:sz w:val="20"/>
                <w:lang w:val="sr-Cyrl-CS"/>
              </w:rPr>
              <w:t>Међурезултат (</w:t>
            </w:r>
            <w:r w:rsidR="00234B69" w:rsidRPr="00092ED7">
              <w:rPr>
                <w:rFonts w:cs="Times New Roman"/>
                <w:sz w:val="20"/>
                <w:lang w:val="sr-Cyrl-CS"/>
              </w:rPr>
              <w:t>2024</w:t>
            </w:r>
            <w:r w:rsidRPr="00092ED7">
              <w:rPr>
                <w:rFonts w:cs="Times New Roman"/>
                <w:sz w:val="20"/>
                <w:lang w:val="sr-Cyrl-CS"/>
              </w:rPr>
              <w:t>)</w:t>
            </w:r>
          </w:p>
        </w:tc>
        <w:tc>
          <w:tcPr>
            <w:tcW w:w="1701" w:type="dxa"/>
          </w:tcPr>
          <w:p w14:paraId="50462119" w14:textId="77777777" w:rsidR="00D210F0" w:rsidRPr="00092ED7" w:rsidRDefault="00D210F0" w:rsidP="005D14E2">
            <w:pPr>
              <w:spacing w:before="0" w:after="0"/>
              <w:ind w:left="113" w:right="113"/>
              <w:jc w:val="center"/>
              <w:rPr>
                <w:sz w:val="20"/>
                <w:lang w:val="sr-Cyrl-CS"/>
              </w:rPr>
            </w:pPr>
            <w:r w:rsidRPr="00092ED7">
              <w:rPr>
                <w:rFonts w:cs="Times New Roman"/>
                <w:sz w:val="20"/>
                <w:lang w:val="sr-Cyrl-CS"/>
              </w:rPr>
              <w:t xml:space="preserve">Циљна вредност </w:t>
            </w:r>
            <w:r w:rsidR="00234B69" w:rsidRPr="00092ED7">
              <w:rPr>
                <w:rFonts w:cs="Times New Roman"/>
                <w:sz w:val="20"/>
                <w:lang w:val="sr-Cyrl-CS"/>
              </w:rPr>
              <w:t>(2026</w:t>
            </w:r>
            <w:r w:rsidRPr="00092ED7">
              <w:rPr>
                <w:rFonts w:cs="Times New Roman"/>
                <w:sz w:val="20"/>
                <w:lang w:val="sr-Cyrl-CS"/>
              </w:rPr>
              <w:t>)</w:t>
            </w:r>
          </w:p>
        </w:tc>
      </w:tr>
      <w:tr w:rsidR="00D210F0" w:rsidRPr="00092ED7" w14:paraId="3FCE6755" w14:textId="77777777" w:rsidTr="00AE4362">
        <w:tc>
          <w:tcPr>
            <w:tcW w:w="4111" w:type="dxa"/>
          </w:tcPr>
          <w:p w14:paraId="5505FB74" w14:textId="77777777" w:rsidR="00D210F0" w:rsidRPr="00092ED7" w:rsidRDefault="00234B69" w:rsidP="005D14E2">
            <w:pPr>
              <w:spacing w:before="0" w:after="0"/>
              <w:ind w:left="113" w:right="113"/>
              <w:rPr>
                <w:sz w:val="20"/>
                <w:lang w:val="sr-Cyrl-CS"/>
              </w:rPr>
            </w:pPr>
            <w:r w:rsidRPr="00092ED7">
              <w:rPr>
                <w:rFonts w:cs="Times New Roman"/>
                <w:sz w:val="20"/>
                <w:lang w:val="sr-Cyrl-CS"/>
              </w:rPr>
              <w:t>Повећање исталисане снаге електрана на ОИЕ у региону Јужног Баната која се може интегрисати без ограничења</w:t>
            </w:r>
          </w:p>
        </w:tc>
        <w:tc>
          <w:tcPr>
            <w:tcW w:w="1701" w:type="dxa"/>
          </w:tcPr>
          <w:p w14:paraId="618C8175" w14:textId="77777777" w:rsidR="00D210F0" w:rsidRPr="00092ED7" w:rsidRDefault="00234B69" w:rsidP="005D14E2">
            <w:pPr>
              <w:spacing w:before="0" w:after="0"/>
              <w:ind w:left="113" w:right="113"/>
              <w:jc w:val="center"/>
              <w:rPr>
                <w:rFonts w:cs="Times New Roman"/>
                <w:sz w:val="20"/>
                <w:lang w:val="sr-Cyrl-CS"/>
              </w:rPr>
            </w:pPr>
            <w:r w:rsidRPr="00092ED7">
              <w:rPr>
                <w:rFonts w:cs="Times New Roman"/>
                <w:sz w:val="20"/>
                <w:lang w:val="sr-Cyrl-CS"/>
              </w:rPr>
              <w:t>0 MW</w:t>
            </w:r>
          </w:p>
        </w:tc>
        <w:tc>
          <w:tcPr>
            <w:tcW w:w="1701" w:type="dxa"/>
          </w:tcPr>
          <w:p w14:paraId="664F4A0E" w14:textId="77777777" w:rsidR="00D210F0" w:rsidRPr="00092ED7" w:rsidRDefault="00234B69" w:rsidP="005D14E2">
            <w:pPr>
              <w:spacing w:before="0" w:after="0"/>
              <w:ind w:left="113" w:right="113"/>
              <w:jc w:val="center"/>
              <w:rPr>
                <w:rFonts w:cs="Times New Roman"/>
                <w:sz w:val="20"/>
                <w:lang w:val="sr-Cyrl-CS"/>
              </w:rPr>
            </w:pPr>
            <w:r w:rsidRPr="00092ED7">
              <w:rPr>
                <w:rFonts w:cs="Times New Roman"/>
                <w:sz w:val="20"/>
                <w:lang w:val="sr-Cyrl-CS"/>
              </w:rPr>
              <w:t>0 MW</w:t>
            </w:r>
          </w:p>
        </w:tc>
        <w:tc>
          <w:tcPr>
            <w:tcW w:w="1701" w:type="dxa"/>
          </w:tcPr>
          <w:p w14:paraId="0AD8F227" w14:textId="77777777" w:rsidR="00D210F0" w:rsidRPr="00092ED7" w:rsidRDefault="00BB279D" w:rsidP="00BB279D">
            <w:pPr>
              <w:spacing w:before="0" w:after="0"/>
              <w:ind w:left="113" w:right="113"/>
              <w:jc w:val="center"/>
              <w:rPr>
                <w:rFonts w:cs="Times New Roman"/>
                <w:sz w:val="20"/>
                <w:lang w:val="sr-Cyrl-CS"/>
              </w:rPr>
            </w:pPr>
            <w:r w:rsidRPr="00092ED7">
              <w:rPr>
                <w:rFonts w:eastAsiaTheme="minorHAnsi" w:cs="Times New Roman"/>
                <w:sz w:val="20"/>
                <w:szCs w:val="22"/>
                <w:lang w:val="sr-Cyrl-CS" w:eastAsia="en-US"/>
              </w:rPr>
              <w:t>&gt;1000 MW</w:t>
            </w:r>
          </w:p>
        </w:tc>
      </w:tr>
      <w:tr w:rsidR="00D210F0" w:rsidRPr="00092ED7" w14:paraId="414AF369" w14:textId="77777777" w:rsidTr="00AE4362">
        <w:tc>
          <w:tcPr>
            <w:tcW w:w="4111" w:type="dxa"/>
          </w:tcPr>
          <w:p w14:paraId="6C5F0550" w14:textId="77777777" w:rsidR="00D210F0" w:rsidRPr="00092ED7" w:rsidRDefault="00234B69" w:rsidP="005D14E2">
            <w:pPr>
              <w:spacing w:before="0" w:after="0"/>
              <w:ind w:left="113" w:right="113"/>
              <w:rPr>
                <w:sz w:val="20"/>
                <w:lang w:val="sr-Cyrl-CS"/>
              </w:rPr>
            </w:pPr>
            <w:r w:rsidRPr="00092ED7">
              <w:rPr>
                <w:rFonts w:cs="Times New Roman"/>
                <w:sz w:val="20"/>
                <w:lang w:val="sr-Cyrl-CS"/>
              </w:rPr>
              <w:lastRenderedPageBreak/>
              <w:t>Смањење губитака енергије у преносном систему на годишњем нивоу</w:t>
            </w:r>
          </w:p>
        </w:tc>
        <w:tc>
          <w:tcPr>
            <w:tcW w:w="1701" w:type="dxa"/>
          </w:tcPr>
          <w:p w14:paraId="145BBB50" w14:textId="77777777" w:rsidR="00D210F0" w:rsidRPr="00092ED7" w:rsidRDefault="00234B69" w:rsidP="005D14E2">
            <w:pPr>
              <w:spacing w:before="0" w:after="0"/>
              <w:ind w:left="113" w:right="113"/>
              <w:jc w:val="center"/>
              <w:rPr>
                <w:rFonts w:cs="Times New Roman"/>
                <w:sz w:val="20"/>
                <w:lang w:val="sr-Cyrl-CS"/>
              </w:rPr>
            </w:pPr>
            <w:r w:rsidRPr="00092ED7">
              <w:rPr>
                <w:rFonts w:cs="Times New Roman"/>
                <w:sz w:val="20"/>
                <w:lang w:val="sr-Cyrl-CS"/>
              </w:rPr>
              <w:t>0 GWh</w:t>
            </w:r>
          </w:p>
        </w:tc>
        <w:tc>
          <w:tcPr>
            <w:tcW w:w="1701" w:type="dxa"/>
          </w:tcPr>
          <w:p w14:paraId="1E2D993F" w14:textId="77777777" w:rsidR="00D210F0" w:rsidRPr="00092ED7" w:rsidRDefault="00234B69" w:rsidP="005D14E2">
            <w:pPr>
              <w:spacing w:before="0" w:after="0"/>
              <w:ind w:left="113" w:right="113"/>
              <w:jc w:val="center"/>
              <w:rPr>
                <w:rFonts w:cs="Times New Roman"/>
                <w:sz w:val="20"/>
                <w:lang w:val="sr-Cyrl-CS"/>
              </w:rPr>
            </w:pPr>
            <w:r w:rsidRPr="00092ED7">
              <w:rPr>
                <w:rFonts w:cs="Times New Roman"/>
                <w:sz w:val="20"/>
                <w:lang w:val="sr-Cyrl-CS"/>
              </w:rPr>
              <w:t>0 GWh</w:t>
            </w:r>
          </w:p>
        </w:tc>
        <w:tc>
          <w:tcPr>
            <w:tcW w:w="1701" w:type="dxa"/>
          </w:tcPr>
          <w:p w14:paraId="565CCDAB" w14:textId="77777777" w:rsidR="00D210F0" w:rsidRPr="00092ED7" w:rsidRDefault="00BB279D" w:rsidP="00BB279D">
            <w:pPr>
              <w:spacing w:before="0" w:after="0"/>
              <w:ind w:left="113" w:right="113"/>
              <w:jc w:val="center"/>
              <w:rPr>
                <w:rFonts w:cs="Times New Roman"/>
                <w:sz w:val="20"/>
                <w:lang w:val="sr-Cyrl-CS"/>
              </w:rPr>
            </w:pPr>
            <w:r w:rsidRPr="00092ED7">
              <w:rPr>
                <w:rFonts w:eastAsiaTheme="minorHAnsi" w:cs="Times New Roman"/>
                <w:sz w:val="20"/>
                <w:szCs w:val="22"/>
                <w:lang w:val="sr-Cyrl-CS" w:eastAsia="en-US"/>
              </w:rPr>
              <w:t>33 GWh</w:t>
            </w:r>
          </w:p>
        </w:tc>
      </w:tr>
    </w:tbl>
    <w:p w14:paraId="7368D843" w14:textId="77777777" w:rsidR="00D210F0" w:rsidRPr="00092ED7" w:rsidRDefault="00D210F0" w:rsidP="00071952">
      <w:pPr>
        <w:pStyle w:val="ListParagraph"/>
        <w:widowControl w:val="0"/>
        <w:numPr>
          <w:ilvl w:val="0"/>
          <w:numId w:val="26"/>
        </w:numPr>
        <w:spacing w:before="120" w:line="240" w:lineRule="auto"/>
        <w:ind w:left="425" w:hanging="425"/>
        <w:contextualSpacing w:val="0"/>
        <w:rPr>
          <w:rFonts w:cs="Times New Roman"/>
          <w:b/>
          <w:sz w:val="24"/>
          <w:szCs w:val="24"/>
          <w:lang w:val="sr-Cyrl-CS" w:eastAsia="sr-Cyrl-CS" w:bidi="sr-Cyrl-CS"/>
        </w:rPr>
      </w:pPr>
      <w:r w:rsidRPr="00092ED7">
        <w:rPr>
          <w:rFonts w:cs="Times New Roman"/>
          <w:b/>
          <w:sz w:val="24"/>
          <w:szCs w:val="24"/>
          <w:lang w:val="sr-Cyrl-CS" w:eastAsia="sr-Cyrl-CS" w:bidi="sr-Cyrl-CS"/>
        </w:rPr>
        <w:t>Очекивани утицај на конкурентност</w:t>
      </w:r>
    </w:p>
    <w:p w14:paraId="183D695E" w14:textId="4F7DBA06" w:rsidR="00A2596A" w:rsidRPr="00092ED7" w:rsidRDefault="00A2596A" w:rsidP="00D210F0">
      <w:pPr>
        <w:widowControl w:val="0"/>
        <w:spacing w:after="60"/>
        <w:rPr>
          <w:b/>
          <w:szCs w:val="24"/>
          <w:lang w:val="sr-Cyrl-CS" w:eastAsia="sr-Cyrl-CS" w:bidi="sr-Cyrl-CS"/>
        </w:rPr>
      </w:pPr>
      <w:r w:rsidRPr="00092ED7">
        <w:rPr>
          <w:lang w:val="sr-Cyrl-CS"/>
        </w:rPr>
        <w:t xml:space="preserve">Пројекат </w:t>
      </w:r>
      <w:r w:rsidR="00E86746" w:rsidRPr="00092ED7">
        <w:rPr>
          <w:lang w:val="sr-Cyrl-CS"/>
        </w:rPr>
        <w:t>„</w:t>
      </w:r>
      <w:r w:rsidRPr="00092ED7">
        <w:rPr>
          <w:lang w:val="sr-Cyrl-CS"/>
        </w:rPr>
        <w:t>Беогрид 2025</w:t>
      </w:r>
      <w:r w:rsidR="00E86746" w:rsidRPr="00092ED7">
        <w:rPr>
          <w:rFonts w:cs="Times New Roman"/>
          <w:lang w:val="sr-Cyrl-CS"/>
        </w:rPr>
        <w:t>ˮ</w:t>
      </w:r>
      <w:r w:rsidRPr="00092ED7">
        <w:rPr>
          <w:lang w:val="sr-Cyrl-CS"/>
        </w:rPr>
        <w:t xml:space="preserve"> је приоритетни инфраструктурни пројекат </w:t>
      </w:r>
      <w:r w:rsidR="00E86746" w:rsidRPr="00092ED7">
        <w:rPr>
          <w:lang w:val="sr-Cyrl-CS"/>
        </w:rPr>
        <w:t>Републике Србије</w:t>
      </w:r>
      <w:r w:rsidRPr="00092ED7">
        <w:rPr>
          <w:lang w:val="sr-Cyrl-CS"/>
        </w:rPr>
        <w:t xml:space="preserve"> и као такав директно утиче на повећање конкурентности државе уз унапређење целокупне енергетске ефикасности </w:t>
      </w:r>
      <w:r w:rsidR="00FB7C56" w:rsidRPr="00092ED7">
        <w:rPr>
          <w:lang w:val="sr-Cyrl-CS"/>
        </w:rPr>
        <w:t>Републике Србије</w:t>
      </w:r>
      <w:r w:rsidRPr="00092ED7">
        <w:rPr>
          <w:lang w:val="sr-Cyrl-CS"/>
        </w:rPr>
        <w:t>.</w:t>
      </w:r>
    </w:p>
    <w:p w14:paraId="07000BB3" w14:textId="77777777" w:rsidR="00D210F0" w:rsidRPr="00092ED7" w:rsidRDefault="00D210F0" w:rsidP="00071952">
      <w:pPr>
        <w:widowControl w:val="0"/>
        <w:numPr>
          <w:ilvl w:val="0"/>
          <w:numId w:val="26"/>
        </w:numPr>
        <w:spacing w:before="120"/>
        <w:ind w:left="425" w:hanging="425"/>
        <w:rPr>
          <w:rFonts w:eastAsia="Calibri" w:cs="Times New Roman"/>
          <w:b/>
          <w:szCs w:val="24"/>
          <w:lang w:val="sr-Cyrl-CS" w:eastAsia="sr-Cyrl-CS" w:bidi="sr-Cyrl-CS"/>
        </w:rPr>
      </w:pPr>
      <w:r w:rsidRPr="00092ED7">
        <w:rPr>
          <w:rFonts w:eastAsia="Calibri" w:cs="Times New Roman"/>
          <w:b/>
          <w:szCs w:val="24"/>
          <w:lang w:val="sr-Cyrl-CS" w:eastAsia="sr-Cyrl-CS" w:bidi="sr-Cyrl-CS"/>
        </w:rPr>
        <w:t>Процењени трошкови активности и извори финансирања</w:t>
      </w:r>
    </w:p>
    <w:p w14:paraId="27CD8F9F" w14:textId="77777777" w:rsidR="005C49FA" w:rsidRPr="00092ED7" w:rsidRDefault="005C49FA" w:rsidP="005C49FA">
      <w:pPr>
        <w:spacing w:after="60"/>
        <w:rPr>
          <w:sz w:val="22"/>
          <w:lang w:val="sr-Cyrl-CS" w:eastAsia="sr-Cyrl-CS"/>
        </w:rPr>
      </w:pPr>
      <w:r w:rsidRPr="00092ED7">
        <w:rPr>
          <w:lang w:val="sr-Cyrl-CS"/>
        </w:rPr>
        <w:t>Процењена укупна вредност пројекта „Беогрид 2025” је 80 милиона евра, а реализација се планира у периоду од 2022. до 2026. године. Tрошкови су искључиво из категорије „капитални расходи”.</w:t>
      </w:r>
    </w:p>
    <w:p w14:paraId="140B8614" w14:textId="7F02140A" w:rsidR="00964E65" w:rsidRPr="00092ED7" w:rsidRDefault="00964E65" w:rsidP="00B640AF">
      <w:pPr>
        <w:rPr>
          <w:sz w:val="22"/>
          <w:lang w:val="sr-Cyrl-CS"/>
        </w:rPr>
      </w:pPr>
      <w:r w:rsidRPr="00092ED7">
        <w:rPr>
          <w:rFonts w:eastAsia="Times New Roman" w:cs="Times New Roman"/>
          <w:lang w:val="sr-Cyrl-CS"/>
        </w:rPr>
        <w:t>Реализација пројекта финансираће се средствима из буџета Републике Србије у периоду 2023-2025, са следећом планираном дина</w:t>
      </w:r>
      <w:r w:rsidR="00D42D84" w:rsidRPr="00092ED7">
        <w:rPr>
          <w:rFonts w:eastAsia="Times New Roman" w:cs="Times New Roman"/>
          <w:lang w:val="sr-Cyrl-CS"/>
        </w:rPr>
        <w:t>ми</w:t>
      </w:r>
      <w:r w:rsidRPr="00092ED7">
        <w:rPr>
          <w:rFonts w:eastAsia="Times New Roman" w:cs="Times New Roman"/>
          <w:lang w:val="sr-Cyrl-CS"/>
        </w:rPr>
        <w:t>ком</w:t>
      </w:r>
      <w:r w:rsidR="00C41036" w:rsidRPr="00092ED7">
        <w:rPr>
          <w:rFonts w:eastAsia="Times New Roman" w:cs="Times New Roman"/>
          <w:lang w:val="sr-Cyrl-CS"/>
        </w:rPr>
        <w:t xml:space="preserve"> </w:t>
      </w:r>
      <w:r w:rsidR="005C49FA" w:rsidRPr="00092ED7">
        <w:rPr>
          <w:lang w:val="sr-Cyrl-CS"/>
        </w:rPr>
        <w:t>према Закљ</w:t>
      </w:r>
      <w:r w:rsidR="00C51A0B" w:rsidRPr="00092ED7">
        <w:rPr>
          <w:lang w:val="sr-Cyrl-CS"/>
        </w:rPr>
        <w:t xml:space="preserve">учку Владе </w:t>
      </w:r>
      <w:r w:rsidR="004B72CD" w:rsidRPr="00092ED7">
        <w:rPr>
          <w:lang w:val="sr-Cyrl-CS"/>
        </w:rPr>
        <w:t xml:space="preserve">05 </w:t>
      </w:r>
      <w:r w:rsidR="00111A31" w:rsidRPr="00092ED7">
        <w:rPr>
          <w:lang w:val="sr-Cyrl-CS"/>
        </w:rPr>
        <w:t>Б</w:t>
      </w:r>
      <w:r w:rsidR="004B72CD" w:rsidRPr="00092ED7">
        <w:rPr>
          <w:lang w:val="sr-Cyrl-CS"/>
        </w:rPr>
        <w:t>рој</w:t>
      </w:r>
      <w:r w:rsidR="00111A31" w:rsidRPr="00092ED7">
        <w:rPr>
          <w:lang w:val="sr-Cyrl-CS"/>
        </w:rPr>
        <w:t>:</w:t>
      </w:r>
      <w:r w:rsidR="004B72CD" w:rsidRPr="00092ED7">
        <w:rPr>
          <w:lang w:val="sr-Cyrl-CS"/>
        </w:rPr>
        <w:t xml:space="preserve"> 312-10334/202</w:t>
      </w:r>
      <w:r w:rsidR="00493D33" w:rsidRPr="00092ED7">
        <w:rPr>
          <w:lang w:val="sr-Cyrl-CS"/>
        </w:rPr>
        <w:t>1</w:t>
      </w:r>
      <w:r w:rsidR="004B72CD" w:rsidRPr="00092ED7">
        <w:rPr>
          <w:lang w:val="sr-Cyrl-CS"/>
        </w:rPr>
        <w:t xml:space="preserve">-1 </w:t>
      </w:r>
      <w:r w:rsidR="00C51A0B" w:rsidRPr="00092ED7">
        <w:rPr>
          <w:lang w:val="sr-Cyrl-CS"/>
        </w:rPr>
        <w:t xml:space="preserve">од 2. децембра </w:t>
      </w:r>
      <w:r w:rsidR="005C49FA" w:rsidRPr="00092ED7">
        <w:rPr>
          <w:lang w:val="sr-Cyrl-CS"/>
        </w:rPr>
        <w:t>2021. године</w:t>
      </w:r>
      <w:r w:rsidRPr="00092ED7">
        <w:rPr>
          <w:rFonts w:eastAsia="Times New Roman" w:cs="Times New Roman"/>
          <w:lang w:val="sr-Cyrl-CS"/>
        </w:rPr>
        <w:t>:</w:t>
      </w:r>
    </w:p>
    <w:p w14:paraId="19237367" w14:textId="558C9A3A" w:rsidR="00964E65" w:rsidRPr="00092ED7" w:rsidRDefault="00964E65" w:rsidP="00964E65">
      <w:pPr>
        <w:widowControl w:val="0"/>
        <w:spacing w:after="60"/>
        <w:rPr>
          <w:rFonts w:eastAsia="Times New Roman" w:cs="Times New Roman"/>
          <w:lang w:val="sr-Cyrl-CS"/>
        </w:rPr>
      </w:pPr>
      <w:r w:rsidRPr="00092ED7">
        <w:rPr>
          <w:rFonts w:eastAsia="Times New Roman" w:cs="Times New Roman"/>
          <w:lang w:val="sr-Cyrl-CS"/>
        </w:rPr>
        <w:t>2023 –</w:t>
      </w:r>
      <w:r w:rsidRPr="00092ED7">
        <w:rPr>
          <w:lang w:val="sr-Cyrl-CS"/>
        </w:rPr>
        <w:t xml:space="preserve"> </w:t>
      </w:r>
      <w:r w:rsidR="00494B2E" w:rsidRPr="00092ED7">
        <w:rPr>
          <w:lang w:val="sr-Cyrl-CS"/>
        </w:rPr>
        <w:t xml:space="preserve">2.275.320 </w:t>
      </w:r>
      <w:r w:rsidRPr="00092ED7">
        <w:rPr>
          <w:rFonts w:eastAsia="Times New Roman" w:cs="Times New Roman"/>
          <w:lang w:val="sr-Cyrl-CS"/>
        </w:rPr>
        <w:t>евра;</w:t>
      </w:r>
    </w:p>
    <w:p w14:paraId="000EEA7F" w14:textId="0710F73B" w:rsidR="00964E65" w:rsidRPr="00092ED7" w:rsidRDefault="00964E65" w:rsidP="00964E65">
      <w:pPr>
        <w:widowControl w:val="0"/>
        <w:spacing w:after="60"/>
        <w:rPr>
          <w:rFonts w:eastAsia="Times New Roman" w:cs="Times New Roman"/>
          <w:lang w:val="sr-Cyrl-CS"/>
        </w:rPr>
      </w:pPr>
      <w:r w:rsidRPr="00092ED7">
        <w:rPr>
          <w:rFonts w:eastAsia="Times New Roman" w:cs="Times New Roman"/>
          <w:lang w:val="sr-Cyrl-CS"/>
        </w:rPr>
        <w:t xml:space="preserve">2024 – </w:t>
      </w:r>
      <w:r w:rsidR="00494B2E" w:rsidRPr="00092ED7">
        <w:rPr>
          <w:lang w:val="sr-Cyrl-CS"/>
        </w:rPr>
        <w:t xml:space="preserve">21 милион </w:t>
      </w:r>
      <w:r w:rsidRPr="00092ED7">
        <w:rPr>
          <w:rFonts w:eastAsia="Times New Roman" w:cs="Times New Roman"/>
          <w:lang w:val="sr-Cyrl-CS"/>
        </w:rPr>
        <w:t>евра;</w:t>
      </w:r>
    </w:p>
    <w:p w14:paraId="5746C6D4" w14:textId="2CFA028F" w:rsidR="00964E65" w:rsidRPr="00092ED7" w:rsidRDefault="00964E65" w:rsidP="00964E65">
      <w:pPr>
        <w:widowControl w:val="0"/>
        <w:spacing w:after="60"/>
        <w:rPr>
          <w:rFonts w:eastAsia="Times New Roman" w:cs="Times New Roman"/>
          <w:lang w:val="sr-Cyrl-CS"/>
        </w:rPr>
      </w:pPr>
      <w:r w:rsidRPr="00092ED7">
        <w:rPr>
          <w:rFonts w:eastAsia="Times New Roman" w:cs="Times New Roman"/>
          <w:lang w:val="sr-Cyrl-CS"/>
        </w:rPr>
        <w:t xml:space="preserve">2025 – </w:t>
      </w:r>
      <w:r w:rsidR="00494B2E" w:rsidRPr="00092ED7">
        <w:rPr>
          <w:lang w:val="sr-Cyrl-CS"/>
        </w:rPr>
        <w:t>33 милиона евра</w:t>
      </w:r>
      <w:r w:rsidRPr="00092ED7">
        <w:rPr>
          <w:rFonts w:eastAsia="Times New Roman" w:cs="Times New Roman"/>
          <w:lang w:val="sr-Cyrl-CS"/>
        </w:rPr>
        <w:t>.</w:t>
      </w:r>
    </w:p>
    <w:p w14:paraId="1B544456" w14:textId="44FB4BB1" w:rsidR="00D210F0" w:rsidRPr="00092ED7" w:rsidRDefault="00494B2E" w:rsidP="00071952">
      <w:pPr>
        <w:widowControl w:val="0"/>
        <w:numPr>
          <w:ilvl w:val="0"/>
          <w:numId w:val="26"/>
        </w:numPr>
        <w:spacing w:before="120"/>
        <w:ind w:left="425" w:hanging="425"/>
        <w:rPr>
          <w:rFonts w:eastAsia="Calibri" w:cs="Times New Roman"/>
          <w:b/>
          <w:szCs w:val="24"/>
          <w:lang w:val="sr-Cyrl-CS" w:eastAsia="sr-Cyrl-CS" w:bidi="sr-Cyrl-CS"/>
        </w:rPr>
      </w:pPr>
      <w:r w:rsidRPr="00092ED7">
        <w:rPr>
          <w:lang w:val="sr-Cyrl-CS" w:eastAsia="ja-JP"/>
        </w:rPr>
        <w:t xml:space="preserve">Годишњим програмом пословања </w:t>
      </w:r>
      <w:r w:rsidR="00846C55" w:rsidRPr="00092ED7">
        <w:rPr>
          <w:rFonts w:cs="Times New Roman"/>
          <w:bCs/>
          <w:iCs/>
          <w:szCs w:val="24"/>
          <w:lang w:val="sr-Cyrl-CS"/>
        </w:rPr>
        <w:t>АД „Електромрежа Србије</w:t>
      </w:r>
      <w:r w:rsidR="00111A31" w:rsidRPr="00092ED7">
        <w:rPr>
          <w:rFonts w:cs="Times New Roman"/>
          <w:bCs/>
          <w:iCs/>
          <w:szCs w:val="24"/>
          <w:lang w:val="sr-Cyrl-CS"/>
        </w:rPr>
        <w:t xml:space="preserve">ˮ </w:t>
      </w:r>
      <w:r w:rsidRPr="00092ED7">
        <w:rPr>
          <w:lang w:val="sr-Cyrl-CS" w:eastAsia="ja-JP"/>
        </w:rPr>
        <w:t xml:space="preserve">за 2023. годину иновирана </w:t>
      </w:r>
      <w:r w:rsidR="00111A31" w:rsidRPr="00092ED7">
        <w:rPr>
          <w:lang w:val="sr-Cyrl-CS" w:eastAsia="ja-JP"/>
        </w:rPr>
        <w:t xml:space="preserve">је </w:t>
      </w:r>
      <w:r w:rsidRPr="00092ED7">
        <w:rPr>
          <w:lang w:val="sr-Cyrl-CS" w:eastAsia="ja-JP"/>
        </w:rPr>
        <w:t>динамика финансирања овог пројекта  у складу са његовим актуелним статусом.</w:t>
      </w:r>
      <w:r w:rsidR="00111A31" w:rsidRPr="00092ED7">
        <w:rPr>
          <w:lang w:val="sr-Cyrl-CS" w:eastAsia="ja-JP"/>
        </w:rPr>
        <w:t xml:space="preserve"> </w:t>
      </w:r>
      <w:r w:rsidR="00D210F0" w:rsidRPr="00092ED7">
        <w:rPr>
          <w:rFonts w:eastAsia="Calibri" w:cs="Times New Roman"/>
          <w:b/>
          <w:szCs w:val="24"/>
          <w:lang w:val="sr-Cyrl-CS" w:eastAsia="sr-Cyrl-CS" w:bidi="sr-Cyrl-CS"/>
        </w:rPr>
        <w:t>Очекивани утицај на социјалне циљеве, као што су запосленост, смањење сиромаштва, родна равноправност и приступ здравственој заштити</w:t>
      </w:r>
    </w:p>
    <w:p w14:paraId="0ACE4913" w14:textId="77777777" w:rsidR="00047A62" w:rsidRPr="00092ED7" w:rsidRDefault="008C5DCE" w:rsidP="00616441">
      <w:pPr>
        <w:widowControl w:val="0"/>
        <w:spacing w:after="60"/>
        <w:rPr>
          <w:rFonts w:eastAsia="Calibri" w:cs="Times New Roman"/>
          <w:szCs w:val="24"/>
          <w:lang w:val="sr-Cyrl-CS" w:eastAsia="sr-Cyrl-CS" w:bidi="sr-Cyrl-CS"/>
        </w:rPr>
      </w:pPr>
      <w:r w:rsidRPr="00092ED7">
        <w:rPr>
          <w:rFonts w:eastAsia="Calibri" w:cs="Times New Roman"/>
          <w:szCs w:val="24"/>
          <w:lang w:val="sr-Cyrl-CS" w:eastAsia="sr-Cyrl-CS" w:bidi="sr-Cyrl-CS"/>
        </w:rPr>
        <w:t xml:space="preserve">Структурна реформа не утиче директно на социјалне циљеве и родно је неутрална. Ипак, повећање преносног капацитета и последично повећавање поузданости рада система, ствара повољне услове за потенцијално прикључење нових корисника у будућности, што може довести до отварања нових радних места. </w:t>
      </w:r>
      <w:r w:rsidR="00047A62" w:rsidRPr="00092ED7">
        <w:rPr>
          <w:rFonts w:eastAsia="Calibri" w:cs="Times New Roman"/>
          <w:szCs w:val="24"/>
          <w:lang w:val="sr-Cyrl-CS" w:eastAsia="sr-Cyrl-CS" w:bidi="sr-Cyrl-CS"/>
        </w:rPr>
        <w:t xml:space="preserve"> </w:t>
      </w:r>
    </w:p>
    <w:p w14:paraId="26D6095D" w14:textId="77777777" w:rsidR="00D210F0" w:rsidRPr="00092ED7" w:rsidRDefault="00D210F0" w:rsidP="00071952">
      <w:pPr>
        <w:widowControl w:val="0"/>
        <w:numPr>
          <w:ilvl w:val="0"/>
          <w:numId w:val="26"/>
        </w:numPr>
        <w:spacing w:before="120"/>
        <w:ind w:left="425" w:hanging="425"/>
        <w:rPr>
          <w:rFonts w:eastAsia="Calibri" w:cs="Times New Roman"/>
          <w:b/>
          <w:szCs w:val="24"/>
          <w:lang w:val="sr-Cyrl-CS" w:eastAsia="sr-Cyrl-CS" w:bidi="sr-Cyrl-CS"/>
        </w:rPr>
      </w:pPr>
      <w:r w:rsidRPr="00092ED7">
        <w:rPr>
          <w:rFonts w:eastAsia="Calibri" w:cs="Times New Roman"/>
          <w:b/>
          <w:szCs w:val="24"/>
          <w:lang w:val="sr-Cyrl-CS" w:eastAsia="sr-Cyrl-CS" w:bidi="sr-Cyrl-CS"/>
        </w:rPr>
        <w:t>Очекивани утицај на животну средину и климатске промене</w:t>
      </w:r>
    </w:p>
    <w:p w14:paraId="7C31F5BF" w14:textId="77777777" w:rsidR="00D210F0" w:rsidRPr="00092ED7" w:rsidRDefault="00D210F0" w:rsidP="00616441">
      <w:pPr>
        <w:widowControl w:val="0"/>
        <w:spacing w:after="60"/>
        <w:rPr>
          <w:rFonts w:eastAsia="Calibri" w:cs="Times New Roman"/>
          <w:szCs w:val="24"/>
          <w:lang w:val="sr-Cyrl-CS" w:eastAsia="sr-Cyrl-CS" w:bidi="sr-Cyrl-CS"/>
        </w:rPr>
      </w:pPr>
      <w:r w:rsidRPr="00092ED7">
        <w:rPr>
          <w:rFonts w:eastAsia="Calibri" w:cs="Times New Roman"/>
          <w:szCs w:val="24"/>
          <w:lang w:val="sr-Cyrl-CS" w:eastAsia="sr-Cyrl-CS" w:bidi="sr-Cyrl-CS"/>
        </w:rPr>
        <w:t>На напонском нивоу од 400 kV изражена су електрична пражњења (ефекат короне) која могу да створе звук специфичне фреквенције (100 Hz). Такође је на овом напонском нивоу ниво електричног поља близак граничним вредностима.</w:t>
      </w:r>
    </w:p>
    <w:p w14:paraId="23AD8CBC" w14:textId="77777777" w:rsidR="00D210F0" w:rsidRPr="00092ED7" w:rsidRDefault="00D210F0" w:rsidP="00616441">
      <w:pPr>
        <w:widowControl w:val="0"/>
        <w:spacing w:after="60"/>
        <w:rPr>
          <w:rFonts w:eastAsia="Calibri" w:cs="Times New Roman"/>
          <w:szCs w:val="24"/>
          <w:lang w:val="sr-Cyrl-CS" w:eastAsia="sr-Cyrl-CS" w:bidi="sr-Cyrl-CS"/>
        </w:rPr>
      </w:pPr>
      <w:r w:rsidRPr="00092ED7">
        <w:rPr>
          <w:rFonts w:eastAsia="Calibri" w:cs="Times New Roman"/>
          <w:szCs w:val="24"/>
          <w:lang w:val="sr-Cyrl-CS" w:eastAsia="sr-Cyrl-CS" w:bidi="sr-Cyrl-CS"/>
        </w:rPr>
        <w:t>Мере које ће се применити како би се редуковао ефекат короне су примена више проводника по фази и повећана висина проводника изнад земље у зонама повећане осетљивости</w:t>
      </w:r>
      <w:r w:rsidR="00047A62" w:rsidRPr="00092ED7">
        <w:rPr>
          <w:rFonts w:eastAsia="Calibri" w:cs="Times New Roman"/>
          <w:szCs w:val="24"/>
          <w:lang w:val="sr-Cyrl-CS" w:eastAsia="sr-Cyrl-CS" w:bidi="sr-Cyrl-CS"/>
        </w:rPr>
        <w:t xml:space="preserve"> (</w:t>
      </w:r>
      <w:r w:rsidR="00047A62" w:rsidRPr="00092ED7">
        <w:rPr>
          <w:rFonts w:eastAsia="Calibri" w:cs="Times New Roman"/>
          <w:i/>
          <w:szCs w:val="24"/>
          <w:lang w:val="sr-Cyrl-CS" w:eastAsia="sr-Cyrl-CS" w:bidi="sr-Cyrl-CS"/>
        </w:rPr>
        <w:t>WBIF Infrastructure Project Facility Technical Assistance 7 (IPF 7), WB25-SRB-ENE-01 Technical Assessment Report</w:t>
      </w:r>
      <w:r w:rsidR="00047A62" w:rsidRPr="00092ED7">
        <w:rPr>
          <w:rFonts w:eastAsia="Calibri" w:cs="Times New Roman"/>
          <w:szCs w:val="24"/>
          <w:lang w:val="sr-Cyrl-CS" w:eastAsia="sr-Cyrl-CS" w:bidi="sr-Cyrl-CS"/>
        </w:rPr>
        <w:t xml:space="preserve">). </w:t>
      </w:r>
      <w:r w:rsidRPr="00092ED7">
        <w:rPr>
          <w:rFonts w:eastAsia="Calibri" w:cs="Times New Roman"/>
          <w:szCs w:val="24"/>
          <w:lang w:val="sr-Cyrl-CS" w:eastAsia="sr-Cyrl-CS" w:bidi="sr-Cyrl-CS"/>
        </w:rPr>
        <w:t>Због утицаја који далековод може имати на фауну, предвиђене су и мере за боље уочавање далековода.</w:t>
      </w:r>
    </w:p>
    <w:p w14:paraId="53FCD4F3" w14:textId="77777777" w:rsidR="00D210F0" w:rsidRPr="00092ED7" w:rsidRDefault="00D210F0" w:rsidP="00071952">
      <w:pPr>
        <w:widowControl w:val="0"/>
        <w:numPr>
          <w:ilvl w:val="0"/>
          <w:numId w:val="26"/>
        </w:numPr>
        <w:spacing w:before="120"/>
        <w:ind w:left="425" w:hanging="425"/>
        <w:rPr>
          <w:rFonts w:eastAsia="Calibri" w:cs="Times New Roman"/>
          <w:b/>
          <w:szCs w:val="24"/>
          <w:lang w:val="sr-Cyrl-CS" w:eastAsia="sr-Cyrl-CS" w:bidi="sr-Cyrl-CS"/>
        </w:rPr>
      </w:pPr>
      <w:r w:rsidRPr="00092ED7">
        <w:rPr>
          <w:rFonts w:eastAsia="Calibri" w:cs="Times New Roman"/>
          <w:b/>
          <w:szCs w:val="24"/>
          <w:lang w:val="sr-Cyrl-CS" w:eastAsia="sr-Cyrl-CS" w:bidi="sr-Cyrl-CS"/>
        </w:rPr>
        <w:t>Потенцијални ризици</w:t>
      </w:r>
    </w:p>
    <w:tbl>
      <w:tblPr>
        <w:tblStyle w:val="TableGrid"/>
        <w:tblW w:w="9209" w:type="dxa"/>
        <w:jc w:val="center"/>
        <w:tblLayout w:type="fixed"/>
        <w:tblLook w:val="04A0" w:firstRow="1" w:lastRow="0" w:firstColumn="1" w:lastColumn="0" w:noHBand="0" w:noVBand="1"/>
      </w:tblPr>
      <w:tblGrid>
        <w:gridCol w:w="3515"/>
        <w:gridCol w:w="2098"/>
        <w:gridCol w:w="3596"/>
      </w:tblGrid>
      <w:tr w:rsidR="00D210F0" w:rsidRPr="00092ED7" w14:paraId="0010F155" w14:textId="77777777" w:rsidTr="00AE4362">
        <w:trPr>
          <w:cnfStyle w:val="100000000000" w:firstRow="1" w:lastRow="0" w:firstColumn="0" w:lastColumn="0" w:oddVBand="0" w:evenVBand="0" w:oddHBand="0" w:evenHBand="0" w:firstRowFirstColumn="0" w:firstRowLastColumn="0" w:lastRowFirstColumn="0" w:lastRowLastColumn="0"/>
          <w:jc w:val="center"/>
        </w:trPr>
        <w:tc>
          <w:tcPr>
            <w:tcW w:w="3515" w:type="dxa"/>
          </w:tcPr>
          <w:p w14:paraId="25824126" w14:textId="77777777" w:rsidR="00D210F0" w:rsidRPr="00092ED7" w:rsidRDefault="00D210F0" w:rsidP="005D14E2">
            <w:pPr>
              <w:spacing w:before="0" w:after="0"/>
              <w:ind w:left="113" w:right="113"/>
              <w:jc w:val="center"/>
              <w:rPr>
                <w:sz w:val="20"/>
                <w:lang w:val="sr-Cyrl-CS"/>
              </w:rPr>
            </w:pPr>
            <w:r w:rsidRPr="00092ED7">
              <w:rPr>
                <w:rFonts w:cs="Times New Roman"/>
                <w:sz w:val="20"/>
                <w:lang w:val="sr-Cyrl-CS"/>
              </w:rPr>
              <w:t>Ризик</w:t>
            </w:r>
          </w:p>
        </w:tc>
        <w:tc>
          <w:tcPr>
            <w:tcW w:w="2098" w:type="dxa"/>
          </w:tcPr>
          <w:p w14:paraId="110A249A" w14:textId="77777777" w:rsidR="00D210F0" w:rsidRPr="00092ED7" w:rsidRDefault="00D210F0" w:rsidP="005D14E2">
            <w:pPr>
              <w:spacing w:before="0" w:after="0"/>
              <w:ind w:left="113" w:right="113"/>
              <w:jc w:val="center"/>
              <w:rPr>
                <w:sz w:val="20"/>
                <w:lang w:val="sr-Cyrl-CS"/>
              </w:rPr>
            </w:pPr>
            <w:r w:rsidRPr="00092ED7">
              <w:rPr>
                <w:rFonts w:cs="Times New Roman"/>
                <w:sz w:val="20"/>
                <w:lang w:val="sr-Cyrl-CS"/>
              </w:rPr>
              <w:t>Вероватноћа за остваривање ризика</w:t>
            </w:r>
          </w:p>
        </w:tc>
        <w:tc>
          <w:tcPr>
            <w:tcW w:w="3596" w:type="dxa"/>
          </w:tcPr>
          <w:p w14:paraId="4D2ADA99" w14:textId="77777777" w:rsidR="00D210F0" w:rsidRPr="00092ED7" w:rsidRDefault="00D210F0" w:rsidP="005D14E2">
            <w:pPr>
              <w:spacing w:before="0" w:after="0"/>
              <w:ind w:left="113" w:right="113"/>
              <w:jc w:val="center"/>
              <w:rPr>
                <w:sz w:val="20"/>
                <w:lang w:val="sr-Cyrl-CS"/>
              </w:rPr>
            </w:pPr>
            <w:r w:rsidRPr="00092ED7">
              <w:rPr>
                <w:rFonts w:cs="Times New Roman"/>
                <w:sz w:val="20"/>
                <w:lang w:val="sr-Cyrl-CS"/>
              </w:rPr>
              <w:t>Планиране активност за ублажавање негативних ефеката ризика</w:t>
            </w:r>
          </w:p>
        </w:tc>
      </w:tr>
      <w:tr w:rsidR="00D210F0" w:rsidRPr="00092ED7" w14:paraId="3C3AB07B" w14:textId="77777777" w:rsidTr="00616441">
        <w:trPr>
          <w:jc w:val="center"/>
        </w:trPr>
        <w:tc>
          <w:tcPr>
            <w:tcW w:w="3515" w:type="dxa"/>
            <w:vAlign w:val="top"/>
          </w:tcPr>
          <w:p w14:paraId="250703E0" w14:textId="77777777" w:rsidR="00D210F0" w:rsidRPr="00092ED7" w:rsidRDefault="00D210F0" w:rsidP="00616441">
            <w:pPr>
              <w:spacing w:before="0" w:after="0"/>
              <w:ind w:left="113" w:right="113"/>
              <w:rPr>
                <w:sz w:val="20"/>
                <w:lang w:val="sr-Cyrl-CS"/>
              </w:rPr>
            </w:pPr>
            <w:r w:rsidRPr="00092ED7">
              <w:rPr>
                <w:rFonts w:cs="Times New Roman"/>
                <w:sz w:val="20"/>
                <w:lang w:val="sr-Cyrl-CS"/>
              </w:rPr>
              <w:t>Необезбеђена средства за финансирање пројекта</w:t>
            </w:r>
          </w:p>
        </w:tc>
        <w:tc>
          <w:tcPr>
            <w:tcW w:w="2098" w:type="dxa"/>
            <w:vAlign w:val="top"/>
          </w:tcPr>
          <w:p w14:paraId="192C727C" w14:textId="77777777" w:rsidR="00D210F0" w:rsidRPr="00092ED7" w:rsidRDefault="00D210F0" w:rsidP="00616441">
            <w:pPr>
              <w:spacing w:before="0" w:after="0"/>
              <w:ind w:left="113" w:right="113"/>
              <w:jc w:val="center"/>
              <w:rPr>
                <w:sz w:val="20"/>
                <w:lang w:val="sr-Cyrl-CS"/>
              </w:rPr>
            </w:pPr>
            <w:r w:rsidRPr="00092ED7">
              <w:rPr>
                <w:rFonts w:cs="Times New Roman"/>
                <w:sz w:val="20"/>
                <w:lang w:val="sr-Cyrl-CS"/>
              </w:rPr>
              <w:t>Ниска</w:t>
            </w:r>
          </w:p>
        </w:tc>
        <w:tc>
          <w:tcPr>
            <w:tcW w:w="3596" w:type="dxa"/>
            <w:vAlign w:val="top"/>
          </w:tcPr>
          <w:p w14:paraId="5930B272" w14:textId="77777777" w:rsidR="00D210F0" w:rsidRPr="00092ED7" w:rsidRDefault="00D210F0" w:rsidP="00616441">
            <w:pPr>
              <w:spacing w:before="0" w:after="0"/>
              <w:ind w:left="113" w:right="113"/>
              <w:rPr>
                <w:sz w:val="20"/>
                <w:lang w:val="sr-Cyrl-CS"/>
              </w:rPr>
            </w:pPr>
            <w:r w:rsidRPr="00092ED7">
              <w:rPr>
                <w:rFonts w:cs="Times New Roman"/>
                <w:sz w:val="20"/>
                <w:lang w:val="sr-Cyrl-CS"/>
              </w:rPr>
              <w:t>Праворевемено планирање и обезбеђивање финансијских средстава из буџета Републике Србије</w:t>
            </w:r>
            <w:r w:rsidR="00D47BD8" w:rsidRPr="00092ED7">
              <w:rPr>
                <w:rFonts w:cs="Times New Roman"/>
                <w:sz w:val="20"/>
                <w:lang w:val="sr-Cyrl-CS"/>
              </w:rPr>
              <w:t>.</w:t>
            </w:r>
          </w:p>
        </w:tc>
      </w:tr>
      <w:tr w:rsidR="00D210F0" w:rsidRPr="00092ED7" w14:paraId="47396027" w14:textId="77777777" w:rsidTr="00616441">
        <w:trPr>
          <w:jc w:val="center"/>
        </w:trPr>
        <w:tc>
          <w:tcPr>
            <w:tcW w:w="3515" w:type="dxa"/>
            <w:vAlign w:val="top"/>
          </w:tcPr>
          <w:p w14:paraId="32913C32" w14:textId="77777777" w:rsidR="00D210F0" w:rsidRPr="00092ED7" w:rsidRDefault="00D210F0" w:rsidP="00616441">
            <w:pPr>
              <w:spacing w:before="0" w:after="0"/>
              <w:ind w:left="113" w:right="113"/>
              <w:rPr>
                <w:sz w:val="20"/>
                <w:lang w:val="sr-Cyrl-CS"/>
              </w:rPr>
            </w:pPr>
            <w:r w:rsidRPr="00092ED7">
              <w:rPr>
                <w:rFonts w:cs="Times New Roman"/>
                <w:sz w:val="20"/>
                <w:lang w:val="sr-Cyrl-CS"/>
              </w:rPr>
              <w:t>Решавање имовинско правних питања</w:t>
            </w:r>
          </w:p>
        </w:tc>
        <w:tc>
          <w:tcPr>
            <w:tcW w:w="2098" w:type="dxa"/>
            <w:vAlign w:val="top"/>
          </w:tcPr>
          <w:p w14:paraId="08BF1805" w14:textId="77777777" w:rsidR="00D210F0" w:rsidRPr="00092ED7" w:rsidRDefault="00D210F0" w:rsidP="00616441">
            <w:pPr>
              <w:spacing w:before="0" w:after="0"/>
              <w:ind w:left="113" w:right="113"/>
              <w:jc w:val="center"/>
              <w:rPr>
                <w:sz w:val="20"/>
                <w:lang w:val="sr-Cyrl-CS"/>
              </w:rPr>
            </w:pPr>
            <w:r w:rsidRPr="00092ED7">
              <w:rPr>
                <w:rFonts w:cs="Times New Roman"/>
                <w:sz w:val="20"/>
                <w:lang w:val="sr-Cyrl-CS"/>
              </w:rPr>
              <w:t>Средња</w:t>
            </w:r>
          </w:p>
        </w:tc>
        <w:tc>
          <w:tcPr>
            <w:tcW w:w="3596" w:type="dxa"/>
            <w:vAlign w:val="top"/>
          </w:tcPr>
          <w:p w14:paraId="260920BB" w14:textId="77777777" w:rsidR="00D210F0" w:rsidRPr="00092ED7" w:rsidRDefault="00D210F0" w:rsidP="00616441">
            <w:pPr>
              <w:spacing w:before="0" w:after="0"/>
              <w:ind w:left="113" w:right="113"/>
              <w:rPr>
                <w:sz w:val="20"/>
                <w:lang w:val="sr-Cyrl-CS"/>
              </w:rPr>
            </w:pPr>
            <w:r w:rsidRPr="00092ED7">
              <w:rPr>
                <w:rFonts w:cs="Times New Roman"/>
                <w:sz w:val="20"/>
                <w:lang w:val="sr-Cyrl-CS"/>
              </w:rPr>
              <w:t>Правовремена комуникација са локалним заједницама</w:t>
            </w:r>
            <w:r w:rsidR="00D47BD8" w:rsidRPr="00092ED7">
              <w:rPr>
                <w:rFonts w:cs="Times New Roman"/>
                <w:sz w:val="20"/>
                <w:lang w:val="sr-Cyrl-CS"/>
              </w:rPr>
              <w:t>.</w:t>
            </w:r>
          </w:p>
        </w:tc>
      </w:tr>
      <w:tr w:rsidR="00D210F0" w:rsidRPr="00092ED7" w14:paraId="3BB4C6AF" w14:textId="77777777" w:rsidTr="00616441">
        <w:trPr>
          <w:jc w:val="center"/>
        </w:trPr>
        <w:tc>
          <w:tcPr>
            <w:tcW w:w="3515" w:type="dxa"/>
            <w:vAlign w:val="top"/>
          </w:tcPr>
          <w:p w14:paraId="7F2A972C" w14:textId="36CFAA53" w:rsidR="00D210F0" w:rsidRPr="00092ED7" w:rsidRDefault="00D210F0" w:rsidP="00B94430">
            <w:pPr>
              <w:spacing w:before="0" w:after="0"/>
              <w:ind w:left="113" w:right="113"/>
              <w:rPr>
                <w:sz w:val="20"/>
                <w:lang w:val="sr-Cyrl-CS"/>
              </w:rPr>
            </w:pPr>
            <w:r w:rsidRPr="00092ED7">
              <w:rPr>
                <w:rFonts w:cs="Times New Roman"/>
                <w:sz w:val="20"/>
                <w:lang w:val="sr-Cyrl-CS"/>
              </w:rPr>
              <w:t xml:space="preserve">Промена цена и рокова испоруке материјала и услуга на тржишу услед пандемије </w:t>
            </w:r>
            <w:r w:rsidR="00B94430" w:rsidRPr="00092ED7">
              <w:rPr>
                <w:rFonts w:cs="Times New Roman"/>
                <w:bCs/>
                <w:iCs/>
                <w:sz w:val="20"/>
                <w:lang w:val="sr-Cyrl-CS"/>
              </w:rPr>
              <w:t>COVID</w:t>
            </w:r>
            <w:r w:rsidRPr="00092ED7">
              <w:rPr>
                <w:rFonts w:cs="Times New Roman"/>
                <w:sz w:val="20"/>
                <w:lang w:val="sr-Cyrl-CS"/>
              </w:rPr>
              <w:t xml:space="preserve">-19 и </w:t>
            </w:r>
            <w:r w:rsidR="00CF7989" w:rsidRPr="00092ED7">
              <w:rPr>
                <w:rFonts w:cs="Times New Roman"/>
                <w:sz w:val="20"/>
                <w:lang w:val="sr-Cyrl-CS"/>
              </w:rPr>
              <w:t xml:space="preserve">конфликта </w:t>
            </w:r>
            <w:r w:rsidRPr="00092ED7">
              <w:rPr>
                <w:rFonts w:cs="Times New Roman"/>
                <w:sz w:val="20"/>
                <w:lang w:val="sr-Cyrl-CS"/>
              </w:rPr>
              <w:t>у Украјини</w:t>
            </w:r>
          </w:p>
        </w:tc>
        <w:tc>
          <w:tcPr>
            <w:tcW w:w="2098" w:type="dxa"/>
            <w:vAlign w:val="top"/>
          </w:tcPr>
          <w:p w14:paraId="1FF67F7A" w14:textId="77777777" w:rsidR="00D210F0" w:rsidRPr="00092ED7" w:rsidRDefault="00D210F0" w:rsidP="00616441">
            <w:pPr>
              <w:spacing w:before="0" w:after="0"/>
              <w:ind w:left="113" w:right="113"/>
              <w:jc w:val="center"/>
              <w:rPr>
                <w:sz w:val="20"/>
                <w:lang w:val="sr-Cyrl-CS"/>
              </w:rPr>
            </w:pPr>
            <w:r w:rsidRPr="00092ED7">
              <w:rPr>
                <w:rFonts w:cs="Times New Roman"/>
                <w:sz w:val="20"/>
                <w:lang w:val="sr-Cyrl-CS"/>
              </w:rPr>
              <w:t>Висок</w:t>
            </w:r>
          </w:p>
        </w:tc>
        <w:tc>
          <w:tcPr>
            <w:tcW w:w="3596" w:type="dxa"/>
            <w:vAlign w:val="top"/>
          </w:tcPr>
          <w:p w14:paraId="4E8534F9" w14:textId="77777777" w:rsidR="00D210F0" w:rsidRPr="00092ED7" w:rsidRDefault="00D210F0" w:rsidP="00616441">
            <w:pPr>
              <w:spacing w:before="0" w:after="0"/>
              <w:ind w:left="113" w:right="113"/>
              <w:rPr>
                <w:rFonts w:cs="Times New Roman"/>
                <w:sz w:val="20"/>
                <w:lang w:val="sr-Cyrl-CS"/>
              </w:rPr>
            </w:pPr>
            <w:r w:rsidRPr="00092ED7">
              <w:rPr>
                <w:rFonts w:cs="Times New Roman"/>
                <w:sz w:val="20"/>
                <w:lang w:val="sr-Cyrl-CS"/>
              </w:rPr>
              <w:t>Редовно праћење цена и стања на тржишту.</w:t>
            </w:r>
          </w:p>
          <w:p w14:paraId="674E2380" w14:textId="77777777" w:rsidR="00D210F0" w:rsidRPr="00092ED7" w:rsidRDefault="00D210F0" w:rsidP="00616441">
            <w:pPr>
              <w:spacing w:before="0" w:after="0"/>
              <w:ind w:left="113" w:right="113"/>
              <w:rPr>
                <w:sz w:val="20"/>
                <w:lang w:val="sr-Cyrl-CS"/>
              </w:rPr>
            </w:pPr>
            <w:r w:rsidRPr="00092ED7">
              <w:rPr>
                <w:rFonts w:cs="Times New Roman"/>
                <w:sz w:val="20"/>
                <w:lang w:val="sr-Cyrl-CS"/>
              </w:rPr>
              <w:t>Благовремено реаговање на промене кроз управљање пројектом.</w:t>
            </w:r>
          </w:p>
        </w:tc>
      </w:tr>
    </w:tbl>
    <w:p w14:paraId="2136F19B" w14:textId="77777777" w:rsidR="00D210F0" w:rsidRPr="00092ED7" w:rsidRDefault="00D210F0" w:rsidP="00D210F0">
      <w:pPr>
        <w:spacing w:before="240"/>
        <w:rPr>
          <w:rFonts w:eastAsia="Calibri" w:cs="Times New Roman"/>
          <w:szCs w:val="24"/>
          <w:lang w:val="sr-Cyrl-CS"/>
        </w:rPr>
      </w:pPr>
      <w:r w:rsidRPr="00092ED7">
        <w:rPr>
          <w:rFonts w:eastAsia="Calibri" w:cs="Times New Roman"/>
          <w:b/>
          <w:szCs w:val="24"/>
          <w:u w:val="single"/>
          <w:lang w:val="sr-Cyrl-CS"/>
        </w:rPr>
        <w:lastRenderedPageBreak/>
        <w:t>СТРУКТУРНА РЕФОРМА 10</w:t>
      </w:r>
      <w:r w:rsidRPr="00092ED7">
        <w:rPr>
          <w:rFonts w:eastAsia="Calibri" w:cs="Times New Roman"/>
          <w:b/>
          <w:szCs w:val="24"/>
          <w:lang w:val="sr-Cyrl-CS"/>
        </w:rPr>
        <w:t xml:space="preserve">: </w:t>
      </w:r>
      <w:r w:rsidRPr="00092ED7">
        <w:rPr>
          <w:rFonts w:eastAsia="Calibri" w:cs="Times New Roman"/>
          <w:szCs w:val="24"/>
          <w:lang w:val="sr-Cyrl-CS"/>
        </w:rPr>
        <w:t>РАЗВОЈ ЕНЕРГЕТСКОГ ТРЖИШТА УЗ ИЗГРАДЊУ ЕНЕРГЕТСКЕ ИНФРАСТРУКТУРЕ</w:t>
      </w:r>
    </w:p>
    <w:p w14:paraId="53DF8C77" w14:textId="77777777" w:rsidR="00D210F0" w:rsidRPr="00092ED7" w:rsidRDefault="00D210F0" w:rsidP="00071952">
      <w:pPr>
        <w:pStyle w:val="ListParagraph"/>
        <w:widowControl w:val="0"/>
        <w:numPr>
          <w:ilvl w:val="0"/>
          <w:numId w:val="27"/>
        </w:numPr>
        <w:spacing w:before="120" w:line="240" w:lineRule="auto"/>
        <w:ind w:left="425" w:hanging="425"/>
        <w:contextualSpacing w:val="0"/>
        <w:rPr>
          <w:rFonts w:cs="Times New Roman"/>
          <w:b/>
          <w:sz w:val="24"/>
          <w:szCs w:val="24"/>
          <w:lang w:val="sr-Cyrl-CS" w:eastAsia="sr-Cyrl-CS" w:bidi="sr-Cyrl-CS"/>
        </w:rPr>
      </w:pPr>
      <w:r w:rsidRPr="00092ED7">
        <w:rPr>
          <w:rFonts w:cs="Times New Roman"/>
          <w:b/>
          <w:sz w:val="24"/>
          <w:szCs w:val="24"/>
          <w:lang w:val="sr-Cyrl-CS" w:eastAsia="sr-Cyrl-CS" w:bidi="sr-Cyrl-CS"/>
        </w:rPr>
        <w:t>Опис структурне реформе</w:t>
      </w:r>
    </w:p>
    <w:p w14:paraId="421CA42C" w14:textId="6309297B" w:rsidR="00D210F0" w:rsidRPr="00092ED7" w:rsidRDefault="00D210F0" w:rsidP="00616441">
      <w:pPr>
        <w:widowControl w:val="0"/>
        <w:spacing w:after="60"/>
        <w:rPr>
          <w:rFonts w:eastAsia="Calibri" w:cs="Times New Roman"/>
          <w:szCs w:val="24"/>
          <w:lang w:val="sr-Cyrl-CS" w:eastAsia="sr-Cyrl-CS" w:bidi="sr-Cyrl-CS"/>
        </w:rPr>
      </w:pPr>
      <w:r w:rsidRPr="00092ED7">
        <w:rPr>
          <w:rFonts w:eastAsia="Calibri" w:cs="Times New Roman"/>
          <w:szCs w:val="24"/>
          <w:lang w:val="sr-Cyrl-CS" w:eastAsia="sr-Cyrl-CS" w:bidi="sr-Cyrl-CS"/>
        </w:rPr>
        <w:t xml:space="preserve">Пројекат </w:t>
      </w:r>
      <w:r w:rsidR="00910F2A" w:rsidRPr="00092ED7">
        <w:rPr>
          <w:rFonts w:eastAsia="Calibri" w:cs="Times New Roman"/>
          <w:szCs w:val="24"/>
          <w:lang w:val="sr-Cyrl-CS" w:eastAsia="sr-Cyrl-CS" w:bidi="sr-Cyrl-CS"/>
        </w:rPr>
        <w:t>Т</w:t>
      </w:r>
      <w:r w:rsidRPr="00092ED7">
        <w:rPr>
          <w:rFonts w:eastAsia="Calibri" w:cs="Times New Roman"/>
          <w:szCs w:val="24"/>
          <w:lang w:val="sr-Cyrl-CS" w:eastAsia="sr-Cyrl-CS" w:bidi="sr-Cyrl-CS"/>
        </w:rPr>
        <w:t>рансбалкански коридор (I фаза) се састоји од четири секције и као циљ има повећање преносног капацитета мреже Западне Србије, повећање сигурности и поузданости напајања електричном енергијом потрошача у Републици Србији, као и изградњу нових интерконективних далековода (на границама са Румунијом, Б</w:t>
      </w:r>
      <w:r w:rsidR="00021DC9" w:rsidRPr="00092ED7">
        <w:rPr>
          <w:rFonts w:eastAsia="Calibri" w:cs="Times New Roman"/>
          <w:szCs w:val="24"/>
          <w:lang w:val="sr-Cyrl-CS" w:eastAsia="sr-Cyrl-CS" w:bidi="sr-Cyrl-CS"/>
        </w:rPr>
        <w:t>осн</w:t>
      </w:r>
      <w:r w:rsidR="00111A31" w:rsidRPr="00092ED7">
        <w:rPr>
          <w:rFonts w:eastAsia="Calibri" w:cs="Times New Roman"/>
          <w:szCs w:val="24"/>
          <w:lang w:val="sr-Cyrl-CS" w:eastAsia="sr-Cyrl-CS" w:bidi="sr-Cyrl-CS"/>
        </w:rPr>
        <w:t>ом</w:t>
      </w:r>
      <w:r w:rsidR="00021DC9" w:rsidRPr="00092ED7">
        <w:rPr>
          <w:rFonts w:eastAsia="Calibri" w:cs="Times New Roman"/>
          <w:szCs w:val="24"/>
          <w:lang w:val="sr-Cyrl-CS" w:eastAsia="sr-Cyrl-CS" w:bidi="sr-Cyrl-CS"/>
        </w:rPr>
        <w:t xml:space="preserve"> и Херцеговин</w:t>
      </w:r>
      <w:r w:rsidR="00111A31" w:rsidRPr="00092ED7">
        <w:rPr>
          <w:rFonts w:eastAsia="Calibri" w:cs="Times New Roman"/>
          <w:szCs w:val="24"/>
          <w:lang w:val="sr-Cyrl-CS" w:eastAsia="sr-Cyrl-CS" w:bidi="sr-Cyrl-CS"/>
        </w:rPr>
        <w:t>ом</w:t>
      </w:r>
      <w:r w:rsidRPr="00092ED7">
        <w:rPr>
          <w:rFonts w:eastAsia="Calibri" w:cs="Times New Roman"/>
          <w:szCs w:val="24"/>
          <w:lang w:val="sr-Cyrl-CS" w:eastAsia="sr-Cyrl-CS" w:bidi="sr-Cyrl-CS"/>
        </w:rPr>
        <w:t xml:space="preserve"> и Црном Гором). Прва секција (двосистемски далековод 400 kV Панчево – граница са Румунијом) је већ изграђена и пуш</w:t>
      </w:r>
      <w:r w:rsidR="00FC5953" w:rsidRPr="00092ED7">
        <w:rPr>
          <w:rFonts w:eastAsia="Calibri" w:cs="Times New Roman"/>
          <w:szCs w:val="24"/>
          <w:lang w:val="sr-Cyrl-CS" w:eastAsia="sr-Cyrl-CS" w:bidi="sr-Cyrl-CS"/>
        </w:rPr>
        <w:t>т</w:t>
      </w:r>
      <w:r w:rsidRPr="00092ED7">
        <w:rPr>
          <w:rFonts w:eastAsia="Calibri" w:cs="Times New Roman"/>
          <w:szCs w:val="24"/>
          <w:lang w:val="sr-Cyrl-CS" w:eastAsia="sr-Cyrl-CS" w:bidi="sr-Cyrl-CS"/>
        </w:rPr>
        <w:t xml:space="preserve">ена у погон са стране </w:t>
      </w:r>
      <w:r w:rsidR="00111A31" w:rsidRPr="00092ED7">
        <w:rPr>
          <w:rFonts w:eastAsia="Calibri" w:cs="Times New Roman"/>
          <w:szCs w:val="24"/>
          <w:lang w:val="sr-Cyrl-CS" w:eastAsia="sr-Cyrl-CS" w:bidi="sr-Cyrl-CS"/>
        </w:rPr>
        <w:t xml:space="preserve">Републике </w:t>
      </w:r>
      <w:r w:rsidRPr="00092ED7">
        <w:rPr>
          <w:rFonts w:eastAsia="Calibri" w:cs="Times New Roman"/>
          <w:szCs w:val="24"/>
          <w:lang w:val="sr-Cyrl-CS" w:eastAsia="sr-Cyrl-CS" w:bidi="sr-Cyrl-CS"/>
        </w:rPr>
        <w:t xml:space="preserve">Србије крајем 2017. године. Друга секција коју чине далековод 400 kV ТС Крагујевац 2 – ТС Краљево 3 са подизањем напонског нивоа у ТС Краљево 3 на 400 kV, је изграђена у јуну 2022. године. </w:t>
      </w:r>
    </w:p>
    <w:p w14:paraId="5FD2F7E3" w14:textId="71893084" w:rsidR="00D210F0" w:rsidRPr="00092ED7" w:rsidRDefault="00D210F0" w:rsidP="00616441">
      <w:pPr>
        <w:widowControl w:val="0"/>
        <w:spacing w:after="60"/>
        <w:rPr>
          <w:rFonts w:eastAsia="Calibri" w:cs="Times New Roman"/>
          <w:szCs w:val="24"/>
          <w:lang w:val="sr-Cyrl-CS" w:eastAsia="sr-Cyrl-CS" w:bidi="sr-Cyrl-CS"/>
        </w:rPr>
      </w:pPr>
      <w:r w:rsidRPr="00092ED7">
        <w:rPr>
          <w:rFonts w:eastAsia="Calibri" w:cs="Times New Roman"/>
          <w:szCs w:val="24"/>
          <w:lang w:val="sr-Cyrl-CS" w:eastAsia="sr-Cyrl-CS" w:bidi="sr-Cyrl-CS"/>
        </w:rPr>
        <w:t>Секцију III чини двоструки вод 400 kV ТС Бајина Башта – ТС Обреновац и пројекат доградње ТС Бајина Башта на 400 kV напонском нивоу. Исходоване су све потребне грађевинске дозволе. У току је решавање имовинско</w:t>
      </w:r>
      <w:r w:rsidR="006D400E" w:rsidRPr="00092ED7">
        <w:rPr>
          <w:rFonts w:eastAsia="Calibri" w:cs="Times New Roman"/>
          <w:szCs w:val="24"/>
          <w:lang w:val="sr-Cyrl-CS" w:eastAsia="sr-Cyrl-CS" w:bidi="sr-Cyrl-CS"/>
        </w:rPr>
        <w:t>-</w:t>
      </w:r>
      <w:r w:rsidRPr="00092ED7">
        <w:rPr>
          <w:rFonts w:eastAsia="Calibri" w:cs="Times New Roman"/>
          <w:szCs w:val="24"/>
          <w:lang w:val="sr-Cyrl-CS" w:eastAsia="sr-Cyrl-CS" w:bidi="sr-Cyrl-CS"/>
        </w:rPr>
        <w:t xml:space="preserve">правних питања. Почетак градње је предвиђен у другом кварталу 2024. године, док је завршетак предвиђен 2026. године. </w:t>
      </w:r>
    </w:p>
    <w:p w14:paraId="3B7C9961" w14:textId="37173A2E" w:rsidR="00D210F0" w:rsidRPr="00092ED7" w:rsidRDefault="00D210F0" w:rsidP="00616441">
      <w:pPr>
        <w:widowControl w:val="0"/>
        <w:spacing w:after="60"/>
        <w:rPr>
          <w:rFonts w:eastAsia="Calibri" w:cs="Times New Roman"/>
          <w:szCs w:val="24"/>
          <w:lang w:val="sr-Cyrl-CS" w:eastAsia="sr-Cyrl-CS" w:bidi="sr-Cyrl-CS"/>
        </w:rPr>
      </w:pPr>
      <w:r w:rsidRPr="00092ED7">
        <w:rPr>
          <w:rFonts w:eastAsia="Calibri" w:cs="Times New Roman"/>
          <w:szCs w:val="24"/>
          <w:lang w:val="sr-Cyrl-CS" w:eastAsia="sr-Cyrl-CS" w:bidi="sr-Cyrl-CS"/>
        </w:rPr>
        <w:t>Секцију IV чини двосистемски 400 kV далековод ТС Бајина Башта - граница Црне Горе - граница Б</w:t>
      </w:r>
      <w:r w:rsidR="00111A31" w:rsidRPr="00092ED7">
        <w:rPr>
          <w:rFonts w:eastAsia="Calibri" w:cs="Times New Roman"/>
          <w:szCs w:val="24"/>
          <w:lang w:val="sr-Cyrl-CS" w:eastAsia="sr-Cyrl-CS" w:bidi="sr-Cyrl-CS"/>
        </w:rPr>
        <w:t>осне и Херцеговине</w:t>
      </w:r>
      <w:r w:rsidRPr="00092ED7">
        <w:rPr>
          <w:rFonts w:eastAsia="Calibri" w:cs="Times New Roman"/>
          <w:szCs w:val="24"/>
          <w:lang w:val="sr-Cyrl-CS" w:eastAsia="sr-Cyrl-CS" w:bidi="sr-Cyrl-CS"/>
        </w:rPr>
        <w:t xml:space="preserve">. За ову секцију је </w:t>
      </w:r>
      <w:r w:rsidR="00BB279D" w:rsidRPr="00092ED7">
        <w:rPr>
          <w:rFonts w:eastAsia="Calibri" w:cs="Times New Roman"/>
          <w:szCs w:val="24"/>
          <w:lang w:val="sr-Cyrl-CS" w:eastAsia="sr-Cyrl-CS" w:bidi="sr-Cyrl-CS"/>
        </w:rPr>
        <w:t>у октобру 2022. године исходонована грађевинска дозвола</w:t>
      </w:r>
      <w:r w:rsidRPr="00092ED7">
        <w:rPr>
          <w:rFonts w:eastAsia="Calibri" w:cs="Times New Roman"/>
          <w:szCs w:val="24"/>
          <w:lang w:val="sr-Cyrl-CS" w:eastAsia="sr-Cyrl-CS" w:bidi="sr-Cyrl-CS"/>
        </w:rPr>
        <w:t xml:space="preserve">. Почетак градње је предвиђен у другом кварталу 2025. године, док је завршетак предвиђен </w:t>
      </w:r>
      <w:r w:rsidR="00BB279D" w:rsidRPr="00092ED7">
        <w:rPr>
          <w:rFonts w:eastAsia="Calibri" w:cs="Times New Roman"/>
          <w:szCs w:val="24"/>
          <w:lang w:val="sr-Cyrl-CS" w:eastAsia="sr-Cyrl-CS" w:bidi="sr-Cyrl-CS"/>
        </w:rPr>
        <w:t>2027</w:t>
      </w:r>
      <w:r w:rsidRPr="00092ED7">
        <w:rPr>
          <w:rFonts w:eastAsia="Calibri" w:cs="Times New Roman"/>
          <w:szCs w:val="24"/>
          <w:lang w:val="sr-Cyrl-CS" w:eastAsia="sr-Cyrl-CS" w:bidi="sr-Cyrl-CS"/>
        </w:rPr>
        <w:t>. године.</w:t>
      </w:r>
    </w:p>
    <w:p w14:paraId="3614F6E1" w14:textId="77777777" w:rsidR="00D210F0" w:rsidRPr="00092ED7" w:rsidRDefault="00D210F0" w:rsidP="00071952">
      <w:pPr>
        <w:widowControl w:val="0"/>
        <w:numPr>
          <w:ilvl w:val="0"/>
          <w:numId w:val="27"/>
        </w:numPr>
        <w:spacing w:before="120"/>
        <w:ind w:left="425" w:hanging="425"/>
        <w:rPr>
          <w:rFonts w:eastAsia="Calibri" w:cs="Times New Roman"/>
          <w:b/>
          <w:szCs w:val="24"/>
          <w:lang w:val="sr-Cyrl-CS" w:eastAsia="sr-Cyrl-CS" w:bidi="sr-Cyrl-CS"/>
        </w:rPr>
      </w:pPr>
      <w:r w:rsidRPr="00092ED7">
        <w:rPr>
          <w:rFonts w:eastAsia="Calibri" w:cs="Times New Roman"/>
          <w:b/>
          <w:szCs w:val="24"/>
          <w:lang w:val="sr-Cyrl-CS" w:eastAsia="sr-Cyrl-CS" w:bidi="sr-Cyrl-CS"/>
        </w:rPr>
        <w:t>Планиране активности по годинама</w:t>
      </w:r>
    </w:p>
    <w:tbl>
      <w:tblPr>
        <w:tblW w:w="9074" w:type="dxa"/>
        <w:tblLayout w:type="fixed"/>
        <w:tblCellMar>
          <w:left w:w="0" w:type="dxa"/>
          <w:right w:w="0" w:type="dxa"/>
        </w:tblCellMar>
        <w:tblLook w:val="04A0" w:firstRow="1" w:lastRow="0" w:firstColumn="1" w:lastColumn="0" w:noHBand="0" w:noVBand="1"/>
      </w:tblPr>
      <w:tblGrid>
        <w:gridCol w:w="425"/>
        <w:gridCol w:w="4243"/>
        <w:gridCol w:w="307"/>
        <w:gridCol w:w="373"/>
        <w:gridCol w:w="372"/>
        <w:gridCol w:w="373"/>
        <w:gridCol w:w="372"/>
        <w:gridCol w:w="373"/>
        <w:gridCol w:w="373"/>
        <w:gridCol w:w="372"/>
        <w:gridCol w:w="373"/>
        <w:gridCol w:w="372"/>
        <w:gridCol w:w="373"/>
        <w:gridCol w:w="373"/>
      </w:tblGrid>
      <w:tr w:rsidR="00D210F0" w:rsidRPr="00092ED7" w14:paraId="1E8A5F9A" w14:textId="77777777" w:rsidTr="00B640AF">
        <w:trPr>
          <w:trHeight w:val="315"/>
        </w:trPr>
        <w:tc>
          <w:tcPr>
            <w:tcW w:w="425" w:type="dxa"/>
            <w:vMerge w:val="restart"/>
            <w:tcBorders>
              <w:top w:val="single" w:sz="4" w:space="0" w:color="auto"/>
              <w:left w:val="single" w:sz="4" w:space="0" w:color="auto"/>
              <w:bottom w:val="single" w:sz="4" w:space="0" w:color="auto"/>
              <w:right w:val="single" w:sz="4" w:space="0" w:color="auto"/>
            </w:tcBorders>
            <w:shd w:val="clear" w:color="000000" w:fill="BDD6EE"/>
            <w:tcMar>
              <w:top w:w="15" w:type="dxa"/>
              <w:left w:w="15" w:type="dxa"/>
              <w:bottom w:w="0" w:type="dxa"/>
              <w:right w:w="15" w:type="dxa"/>
            </w:tcMar>
            <w:vAlign w:val="center"/>
            <w:hideMark/>
          </w:tcPr>
          <w:p w14:paraId="5D4FEB01" w14:textId="77777777" w:rsidR="00D210F0" w:rsidRPr="00092ED7" w:rsidRDefault="00D210F0" w:rsidP="00E44EF2">
            <w:pPr>
              <w:spacing w:after="0"/>
              <w:jc w:val="center"/>
              <w:rPr>
                <w:rFonts w:cs="Times New Roman"/>
                <w:sz w:val="20"/>
                <w:szCs w:val="20"/>
                <w:lang w:val="sr-Cyrl-CS"/>
              </w:rPr>
            </w:pPr>
            <w:r w:rsidRPr="00092ED7">
              <w:rPr>
                <w:rFonts w:cs="Times New Roman"/>
                <w:b/>
                <w:bCs/>
                <w:color w:val="000000"/>
                <w:sz w:val="20"/>
                <w:szCs w:val="20"/>
                <w:lang w:val="sr-Cyrl-CS"/>
              </w:rPr>
              <w:t>РБ</w:t>
            </w:r>
          </w:p>
        </w:tc>
        <w:tc>
          <w:tcPr>
            <w:tcW w:w="4243" w:type="dxa"/>
            <w:vMerge w:val="restart"/>
            <w:tcBorders>
              <w:top w:val="single" w:sz="4" w:space="0" w:color="auto"/>
              <w:left w:val="single" w:sz="4" w:space="0" w:color="auto"/>
              <w:bottom w:val="single" w:sz="4"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5DF77A53" w14:textId="77777777" w:rsidR="00D210F0" w:rsidRPr="00092ED7" w:rsidRDefault="00D210F0" w:rsidP="00E44EF2">
            <w:pPr>
              <w:spacing w:after="0"/>
              <w:jc w:val="left"/>
              <w:rPr>
                <w:rFonts w:cs="Times New Roman"/>
                <w:sz w:val="20"/>
                <w:szCs w:val="20"/>
                <w:lang w:val="sr-Cyrl-CS"/>
              </w:rPr>
            </w:pPr>
            <w:r w:rsidRPr="00092ED7">
              <w:rPr>
                <w:rFonts w:cs="Times New Roman"/>
                <w:b/>
                <w:bCs/>
                <w:color w:val="000000"/>
                <w:sz w:val="20"/>
                <w:szCs w:val="20"/>
                <w:lang w:val="sr-Cyrl-CS"/>
              </w:rPr>
              <w:t>Планиране активности</w:t>
            </w:r>
          </w:p>
        </w:tc>
        <w:tc>
          <w:tcPr>
            <w:tcW w:w="1425" w:type="dxa"/>
            <w:gridSpan w:val="4"/>
            <w:tcBorders>
              <w:top w:val="single" w:sz="8" w:space="0" w:color="auto"/>
              <w:left w:val="single" w:sz="4" w:space="0" w:color="auto"/>
              <w:bottom w:val="single" w:sz="4" w:space="0" w:color="auto"/>
              <w:right w:val="single" w:sz="8" w:space="0" w:color="000000"/>
            </w:tcBorders>
            <w:shd w:val="clear" w:color="auto" w:fill="BDD6EE" w:themeFill="accent1" w:themeFillTint="66"/>
            <w:tcMar>
              <w:top w:w="15" w:type="dxa"/>
              <w:left w:w="15" w:type="dxa"/>
              <w:bottom w:w="0" w:type="dxa"/>
              <w:right w:w="15" w:type="dxa"/>
            </w:tcMar>
            <w:vAlign w:val="center"/>
            <w:hideMark/>
          </w:tcPr>
          <w:p w14:paraId="7A1CB0BE" w14:textId="77777777" w:rsidR="00D210F0" w:rsidRPr="00092ED7" w:rsidRDefault="00D210F0" w:rsidP="00E44EF2">
            <w:pPr>
              <w:spacing w:after="0"/>
              <w:jc w:val="center"/>
              <w:rPr>
                <w:rFonts w:cs="Times New Roman"/>
                <w:b/>
                <w:bCs/>
                <w:color w:val="000000"/>
                <w:sz w:val="20"/>
                <w:szCs w:val="20"/>
                <w:lang w:val="sr-Cyrl-CS"/>
              </w:rPr>
            </w:pPr>
            <w:r w:rsidRPr="00092ED7">
              <w:rPr>
                <w:rFonts w:cs="Times New Roman"/>
                <w:b/>
                <w:bCs/>
                <w:color w:val="000000"/>
                <w:sz w:val="20"/>
                <w:szCs w:val="20"/>
                <w:lang w:val="sr-Cyrl-CS"/>
              </w:rPr>
              <w:t>2023</w:t>
            </w:r>
          </w:p>
        </w:tc>
        <w:tc>
          <w:tcPr>
            <w:tcW w:w="1490" w:type="dxa"/>
            <w:gridSpan w:val="4"/>
            <w:tcBorders>
              <w:top w:val="single" w:sz="8" w:space="0" w:color="auto"/>
              <w:left w:val="single" w:sz="8" w:space="0" w:color="auto"/>
              <w:bottom w:val="single" w:sz="4" w:space="0" w:color="auto"/>
              <w:right w:val="single" w:sz="8" w:space="0" w:color="000000"/>
            </w:tcBorders>
            <w:shd w:val="clear" w:color="auto" w:fill="BDD6EE" w:themeFill="accent1" w:themeFillTint="66"/>
            <w:tcMar>
              <w:top w:w="15" w:type="dxa"/>
              <w:left w:w="15" w:type="dxa"/>
              <w:bottom w:w="0" w:type="dxa"/>
              <w:right w:w="15" w:type="dxa"/>
            </w:tcMar>
            <w:vAlign w:val="center"/>
            <w:hideMark/>
          </w:tcPr>
          <w:p w14:paraId="39B56D1F" w14:textId="77777777" w:rsidR="00D210F0" w:rsidRPr="00092ED7" w:rsidRDefault="00D210F0" w:rsidP="00E44EF2">
            <w:pPr>
              <w:spacing w:after="0"/>
              <w:jc w:val="center"/>
              <w:rPr>
                <w:rFonts w:cs="Times New Roman"/>
                <w:b/>
                <w:bCs/>
                <w:color w:val="000000"/>
                <w:sz w:val="20"/>
                <w:szCs w:val="20"/>
                <w:lang w:val="sr-Cyrl-CS"/>
              </w:rPr>
            </w:pPr>
            <w:r w:rsidRPr="00092ED7">
              <w:rPr>
                <w:rFonts w:cs="Times New Roman"/>
                <w:b/>
                <w:bCs/>
                <w:color w:val="000000"/>
                <w:sz w:val="20"/>
                <w:szCs w:val="20"/>
                <w:lang w:val="sr-Cyrl-CS"/>
              </w:rPr>
              <w:t>2024</w:t>
            </w:r>
          </w:p>
        </w:tc>
        <w:tc>
          <w:tcPr>
            <w:tcW w:w="1491" w:type="dxa"/>
            <w:gridSpan w:val="4"/>
            <w:tcBorders>
              <w:top w:val="single" w:sz="8" w:space="0" w:color="auto"/>
              <w:left w:val="nil"/>
              <w:bottom w:val="single" w:sz="4" w:space="0" w:color="auto"/>
              <w:right w:val="single" w:sz="8" w:space="0" w:color="000000"/>
            </w:tcBorders>
            <w:shd w:val="clear" w:color="auto" w:fill="BDD6EE" w:themeFill="accent1" w:themeFillTint="66"/>
            <w:tcMar>
              <w:top w:w="15" w:type="dxa"/>
              <w:left w:w="15" w:type="dxa"/>
              <w:bottom w:w="0" w:type="dxa"/>
              <w:right w:w="15" w:type="dxa"/>
            </w:tcMar>
            <w:vAlign w:val="center"/>
            <w:hideMark/>
          </w:tcPr>
          <w:p w14:paraId="00282119" w14:textId="77777777" w:rsidR="00D210F0" w:rsidRPr="00092ED7" w:rsidRDefault="00D210F0" w:rsidP="00E44EF2">
            <w:pPr>
              <w:spacing w:after="0"/>
              <w:jc w:val="center"/>
              <w:rPr>
                <w:rFonts w:cs="Times New Roman"/>
                <w:b/>
                <w:bCs/>
                <w:color w:val="000000"/>
                <w:sz w:val="20"/>
                <w:szCs w:val="20"/>
                <w:lang w:val="sr-Cyrl-CS"/>
              </w:rPr>
            </w:pPr>
            <w:r w:rsidRPr="00092ED7">
              <w:rPr>
                <w:rFonts w:cs="Times New Roman"/>
                <w:b/>
                <w:bCs/>
                <w:color w:val="000000"/>
                <w:sz w:val="20"/>
                <w:szCs w:val="20"/>
                <w:lang w:val="sr-Cyrl-CS"/>
              </w:rPr>
              <w:t>2025</w:t>
            </w:r>
          </w:p>
        </w:tc>
      </w:tr>
      <w:tr w:rsidR="00D210F0" w:rsidRPr="00092ED7" w14:paraId="2397B2C8" w14:textId="77777777" w:rsidTr="00B640AF">
        <w:trPr>
          <w:trHeight w:val="315"/>
        </w:trPr>
        <w:tc>
          <w:tcPr>
            <w:tcW w:w="425" w:type="dxa"/>
            <w:vMerge/>
            <w:tcBorders>
              <w:top w:val="single" w:sz="4" w:space="0" w:color="auto"/>
              <w:left w:val="single" w:sz="4" w:space="0" w:color="auto"/>
              <w:bottom w:val="single" w:sz="4" w:space="0" w:color="auto"/>
              <w:right w:val="single" w:sz="4" w:space="0" w:color="auto"/>
            </w:tcBorders>
            <w:shd w:val="clear" w:color="000000" w:fill="BDD6EE"/>
            <w:vAlign w:val="center"/>
            <w:hideMark/>
          </w:tcPr>
          <w:p w14:paraId="3D824E2B" w14:textId="77777777" w:rsidR="00D210F0" w:rsidRPr="00092ED7" w:rsidRDefault="00D210F0" w:rsidP="00E44EF2">
            <w:pPr>
              <w:spacing w:after="0"/>
              <w:jc w:val="center"/>
              <w:rPr>
                <w:rFonts w:cs="Times New Roman"/>
                <w:b/>
                <w:bCs/>
                <w:color w:val="000000"/>
                <w:sz w:val="20"/>
                <w:szCs w:val="20"/>
                <w:lang w:val="sr-Cyrl-CS"/>
              </w:rPr>
            </w:pPr>
          </w:p>
        </w:tc>
        <w:tc>
          <w:tcPr>
            <w:tcW w:w="4243" w:type="dxa"/>
            <w:vMerge/>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4AFDAAD3" w14:textId="77777777" w:rsidR="00D210F0" w:rsidRPr="00092ED7" w:rsidRDefault="00D210F0" w:rsidP="00E44EF2">
            <w:pPr>
              <w:spacing w:after="0"/>
              <w:rPr>
                <w:rFonts w:cs="Times New Roman"/>
                <w:b/>
                <w:bCs/>
                <w:color w:val="000000"/>
                <w:sz w:val="20"/>
                <w:szCs w:val="20"/>
                <w:lang w:val="sr-Cyrl-CS"/>
              </w:rPr>
            </w:pPr>
          </w:p>
        </w:tc>
        <w:tc>
          <w:tcPr>
            <w:tcW w:w="307" w:type="dxa"/>
            <w:tcBorders>
              <w:top w:val="single" w:sz="4" w:space="0" w:color="auto"/>
              <w:left w:val="single" w:sz="4" w:space="0" w:color="auto"/>
              <w:bottom w:val="single" w:sz="4"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008F4D61" w14:textId="77777777" w:rsidR="00D210F0" w:rsidRPr="00092ED7" w:rsidRDefault="00D210F0" w:rsidP="00E44EF2">
            <w:pPr>
              <w:spacing w:after="0"/>
              <w:jc w:val="center"/>
              <w:rPr>
                <w:rFonts w:cs="Times New Roman"/>
                <w:i/>
                <w:iCs/>
                <w:color w:val="000000"/>
                <w:sz w:val="20"/>
                <w:szCs w:val="20"/>
                <w:lang w:val="sr-Cyrl-CS"/>
              </w:rPr>
            </w:pPr>
            <w:r w:rsidRPr="00092ED7">
              <w:rPr>
                <w:rFonts w:cs="Times New Roman"/>
                <w:i/>
                <w:iCs/>
                <w:color w:val="000000"/>
                <w:sz w:val="20"/>
                <w:szCs w:val="20"/>
                <w:lang w:val="sr-Cyrl-CS"/>
              </w:rPr>
              <w:t>Q1</w:t>
            </w:r>
          </w:p>
        </w:tc>
        <w:tc>
          <w:tcPr>
            <w:tcW w:w="373" w:type="dxa"/>
            <w:tcBorders>
              <w:top w:val="single" w:sz="4" w:space="0" w:color="auto"/>
              <w:left w:val="single" w:sz="4" w:space="0" w:color="auto"/>
              <w:bottom w:val="single" w:sz="4"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149824DC" w14:textId="77777777" w:rsidR="00D210F0" w:rsidRPr="00092ED7" w:rsidRDefault="00D210F0" w:rsidP="00E44EF2">
            <w:pPr>
              <w:spacing w:after="0"/>
              <w:jc w:val="center"/>
              <w:rPr>
                <w:rFonts w:cs="Times New Roman"/>
                <w:i/>
                <w:iCs/>
                <w:color w:val="000000"/>
                <w:sz w:val="20"/>
                <w:szCs w:val="20"/>
                <w:lang w:val="sr-Cyrl-CS"/>
              </w:rPr>
            </w:pPr>
            <w:r w:rsidRPr="00092ED7">
              <w:rPr>
                <w:rFonts w:cs="Times New Roman"/>
                <w:i/>
                <w:iCs/>
                <w:color w:val="000000"/>
                <w:sz w:val="20"/>
                <w:szCs w:val="20"/>
                <w:lang w:val="sr-Cyrl-CS"/>
              </w:rPr>
              <w:t>Q2</w:t>
            </w:r>
          </w:p>
        </w:tc>
        <w:tc>
          <w:tcPr>
            <w:tcW w:w="372" w:type="dxa"/>
            <w:tcBorders>
              <w:top w:val="single" w:sz="4" w:space="0" w:color="auto"/>
              <w:left w:val="single" w:sz="4" w:space="0" w:color="auto"/>
              <w:bottom w:val="single" w:sz="4"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2BCABC41" w14:textId="77777777" w:rsidR="00D210F0" w:rsidRPr="00092ED7" w:rsidRDefault="00D210F0" w:rsidP="00E44EF2">
            <w:pPr>
              <w:spacing w:after="0"/>
              <w:jc w:val="center"/>
              <w:rPr>
                <w:rFonts w:cs="Times New Roman"/>
                <w:i/>
                <w:iCs/>
                <w:color w:val="000000"/>
                <w:sz w:val="20"/>
                <w:szCs w:val="20"/>
                <w:lang w:val="sr-Cyrl-CS"/>
              </w:rPr>
            </w:pPr>
            <w:r w:rsidRPr="00092ED7">
              <w:rPr>
                <w:rFonts w:cs="Times New Roman"/>
                <w:i/>
                <w:iCs/>
                <w:color w:val="000000"/>
                <w:sz w:val="20"/>
                <w:szCs w:val="20"/>
                <w:lang w:val="sr-Cyrl-CS"/>
              </w:rPr>
              <w:t>Q3</w:t>
            </w:r>
          </w:p>
        </w:tc>
        <w:tc>
          <w:tcPr>
            <w:tcW w:w="373" w:type="dxa"/>
            <w:tcBorders>
              <w:top w:val="single" w:sz="4" w:space="0" w:color="auto"/>
              <w:left w:val="single" w:sz="4" w:space="0" w:color="auto"/>
              <w:bottom w:val="single" w:sz="4"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1BA4CEAA" w14:textId="77777777" w:rsidR="00D210F0" w:rsidRPr="00092ED7" w:rsidRDefault="00D210F0" w:rsidP="00E44EF2">
            <w:pPr>
              <w:spacing w:after="0"/>
              <w:jc w:val="center"/>
              <w:rPr>
                <w:rFonts w:cs="Times New Roman"/>
                <w:i/>
                <w:iCs/>
                <w:color w:val="000000"/>
                <w:sz w:val="20"/>
                <w:szCs w:val="20"/>
                <w:lang w:val="sr-Cyrl-CS"/>
              </w:rPr>
            </w:pPr>
            <w:r w:rsidRPr="00092ED7">
              <w:rPr>
                <w:rFonts w:cs="Times New Roman"/>
                <w:i/>
                <w:iCs/>
                <w:color w:val="000000"/>
                <w:sz w:val="20"/>
                <w:szCs w:val="20"/>
                <w:lang w:val="sr-Cyrl-CS"/>
              </w:rPr>
              <w:t>Q4</w:t>
            </w:r>
          </w:p>
        </w:tc>
        <w:tc>
          <w:tcPr>
            <w:tcW w:w="372" w:type="dxa"/>
            <w:tcBorders>
              <w:top w:val="single" w:sz="4" w:space="0" w:color="auto"/>
              <w:left w:val="single" w:sz="4" w:space="0" w:color="auto"/>
              <w:bottom w:val="single" w:sz="4"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1C98FEB4" w14:textId="77777777" w:rsidR="00D210F0" w:rsidRPr="00092ED7" w:rsidRDefault="00D210F0" w:rsidP="00E44EF2">
            <w:pPr>
              <w:spacing w:after="0"/>
              <w:jc w:val="center"/>
              <w:rPr>
                <w:rFonts w:cs="Times New Roman"/>
                <w:i/>
                <w:iCs/>
                <w:color w:val="000000"/>
                <w:sz w:val="20"/>
                <w:szCs w:val="20"/>
                <w:lang w:val="sr-Cyrl-CS"/>
              </w:rPr>
            </w:pPr>
            <w:r w:rsidRPr="00092ED7">
              <w:rPr>
                <w:rFonts w:cs="Times New Roman"/>
                <w:i/>
                <w:iCs/>
                <w:color w:val="000000"/>
                <w:sz w:val="20"/>
                <w:szCs w:val="20"/>
                <w:lang w:val="sr-Cyrl-CS"/>
              </w:rPr>
              <w:t>Q1</w:t>
            </w:r>
          </w:p>
        </w:tc>
        <w:tc>
          <w:tcPr>
            <w:tcW w:w="373" w:type="dxa"/>
            <w:tcBorders>
              <w:top w:val="single" w:sz="4" w:space="0" w:color="auto"/>
              <w:left w:val="single" w:sz="4" w:space="0" w:color="auto"/>
              <w:bottom w:val="single" w:sz="4"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346FFE4B" w14:textId="77777777" w:rsidR="00D210F0" w:rsidRPr="00092ED7" w:rsidRDefault="00D210F0" w:rsidP="00E44EF2">
            <w:pPr>
              <w:spacing w:after="0"/>
              <w:jc w:val="center"/>
              <w:rPr>
                <w:rFonts w:cs="Times New Roman"/>
                <w:i/>
                <w:iCs/>
                <w:color w:val="000000"/>
                <w:sz w:val="20"/>
                <w:szCs w:val="20"/>
                <w:lang w:val="sr-Cyrl-CS"/>
              </w:rPr>
            </w:pPr>
            <w:r w:rsidRPr="00092ED7">
              <w:rPr>
                <w:rFonts w:cs="Times New Roman"/>
                <w:i/>
                <w:iCs/>
                <w:color w:val="000000"/>
                <w:sz w:val="20"/>
                <w:szCs w:val="20"/>
                <w:lang w:val="sr-Cyrl-CS"/>
              </w:rPr>
              <w:t>Q2</w:t>
            </w:r>
          </w:p>
        </w:tc>
        <w:tc>
          <w:tcPr>
            <w:tcW w:w="373" w:type="dxa"/>
            <w:tcBorders>
              <w:top w:val="single" w:sz="4" w:space="0" w:color="auto"/>
              <w:left w:val="single" w:sz="4" w:space="0" w:color="auto"/>
              <w:bottom w:val="single" w:sz="4"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477B5C99" w14:textId="77777777" w:rsidR="00D210F0" w:rsidRPr="00092ED7" w:rsidRDefault="00D210F0" w:rsidP="00E44EF2">
            <w:pPr>
              <w:spacing w:after="0"/>
              <w:jc w:val="center"/>
              <w:rPr>
                <w:rFonts w:cs="Times New Roman"/>
                <w:i/>
                <w:iCs/>
                <w:color w:val="000000"/>
                <w:sz w:val="20"/>
                <w:szCs w:val="20"/>
                <w:lang w:val="sr-Cyrl-CS"/>
              </w:rPr>
            </w:pPr>
            <w:r w:rsidRPr="00092ED7">
              <w:rPr>
                <w:rFonts w:cs="Times New Roman"/>
                <w:i/>
                <w:iCs/>
                <w:color w:val="000000"/>
                <w:sz w:val="20"/>
                <w:szCs w:val="20"/>
                <w:lang w:val="sr-Cyrl-CS"/>
              </w:rPr>
              <w:t>Q3</w:t>
            </w:r>
          </w:p>
        </w:tc>
        <w:tc>
          <w:tcPr>
            <w:tcW w:w="372" w:type="dxa"/>
            <w:tcBorders>
              <w:top w:val="single" w:sz="4" w:space="0" w:color="auto"/>
              <w:left w:val="single" w:sz="4" w:space="0" w:color="auto"/>
              <w:bottom w:val="single" w:sz="4"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629C3781" w14:textId="77777777" w:rsidR="00D210F0" w:rsidRPr="00092ED7" w:rsidRDefault="00D210F0" w:rsidP="00E44EF2">
            <w:pPr>
              <w:spacing w:after="0"/>
              <w:jc w:val="center"/>
              <w:rPr>
                <w:rFonts w:cs="Times New Roman"/>
                <w:i/>
                <w:iCs/>
                <w:color w:val="000000"/>
                <w:sz w:val="20"/>
                <w:szCs w:val="20"/>
                <w:lang w:val="sr-Cyrl-CS"/>
              </w:rPr>
            </w:pPr>
            <w:r w:rsidRPr="00092ED7">
              <w:rPr>
                <w:rFonts w:cs="Times New Roman"/>
                <w:i/>
                <w:iCs/>
                <w:color w:val="000000"/>
                <w:sz w:val="20"/>
                <w:szCs w:val="20"/>
                <w:lang w:val="sr-Cyrl-CS"/>
              </w:rPr>
              <w:t>Q4</w:t>
            </w:r>
          </w:p>
        </w:tc>
        <w:tc>
          <w:tcPr>
            <w:tcW w:w="373" w:type="dxa"/>
            <w:tcBorders>
              <w:top w:val="single" w:sz="4" w:space="0" w:color="auto"/>
              <w:left w:val="single" w:sz="4" w:space="0" w:color="auto"/>
              <w:bottom w:val="single" w:sz="4"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1E0A30D3" w14:textId="77777777" w:rsidR="00D210F0" w:rsidRPr="00092ED7" w:rsidRDefault="00D210F0" w:rsidP="00E44EF2">
            <w:pPr>
              <w:spacing w:after="0"/>
              <w:jc w:val="center"/>
              <w:rPr>
                <w:rFonts w:cs="Times New Roman"/>
                <w:i/>
                <w:iCs/>
                <w:color w:val="000000"/>
                <w:sz w:val="20"/>
                <w:szCs w:val="20"/>
                <w:lang w:val="sr-Cyrl-CS"/>
              </w:rPr>
            </w:pPr>
            <w:r w:rsidRPr="00092ED7">
              <w:rPr>
                <w:rFonts w:cs="Times New Roman"/>
                <w:i/>
                <w:iCs/>
                <w:color w:val="000000"/>
                <w:sz w:val="20"/>
                <w:szCs w:val="20"/>
                <w:lang w:val="sr-Cyrl-CS"/>
              </w:rPr>
              <w:t>Q1</w:t>
            </w:r>
          </w:p>
        </w:tc>
        <w:tc>
          <w:tcPr>
            <w:tcW w:w="372" w:type="dxa"/>
            <w:tcBorders>
              <w:top w:val="single" w:sz="4" w:space="0" w:color="auto"/>
              <w:left w:val="single" w:sz="4" w:space="0" w:color="auto"/>
              <w:bottom w:val="single" w:sz="4"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07FFC3C8" w14:textId="77777777" w:rsidR="00D210F0" w:rsidRPr="00092ED7" w:rsidRDefault="00D210F0" w:rsidP="00E44EF2">
            <w:pPr>
              <w:spacing w:after="0"/>
              <w:jc w:val="center"/>
              <w:rPr>
                <w:rFonts w:cs="Times New Roman"/>
                <w:i/>
                <w:iCs/>
                <w:color w:val="000000"/>
                <w:sz w:val="20"/>
                <w:szCs w:val="20"/>
                <w:lang w:val="sr-Cyrl-CS"/>
              </w:rPr>
            </w:pPr>
            <w:r w:rsidRPr="00092ED7">
              <w:rPr>
                <w:rFonts w:cs="Times New Roman"/>
                <w:i/>
                <w:iCs/>
                <w:color w:val="000000"/>
                <w:sz w:val="20"/>
                <w:szCs w:val="20"/>
                <w:lang w:val="sr-Cyrl-CS"/>
              </w:rPr>
              <w:t>Q2</w:t>
            </w:r>
          </w:p>
        </w:tc>
        <w:tc>
          <w:tcPr>
            <w:tcW w:w="373" w:type="dxa"/>
            <w:tcBorders>
              <w:top w:val="single" w:sz="4" w:space="0" w:color="auto"/>
              <w:left w:val="single" w:sz="4" w:space="0" w:color="auto"/>
              <w:bottom w:val="single" w:sz="4"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7A067AD0" w14:textId="77777777" w:rsidR="00D210F0" w:rsidRPr="00092ED7" w:rsidRDefault="00D210F0" w:rsidP="00E44EF2">
            <w:pPr>
              <w:spacing w:after="0"/>
              <w:jc w:val="center"/>
              <w:rPr>
                <w:rFonts w:cs="Times New Roman"/>
                <w:i/>
                <w:iCs/>
                <w:color w:val="000000"/>
                <w:sz w:val="20"/>
                <w:szCs w:val="20"/>
                <w:lang w:val="sr-Cyrl-CS"/>
              </w:rPr>
            </w:pPr>
            <w:r w:rsidRPr="00092ED7">
              <w:rPr>
                <w:rFonts w:cs="Times New Roman"/>
                <w:i/>
                <w:iCs/>
                <w:color w:val="000000"/>
                <w:sz w:val="20"/>
                <w:szCs w:val="20"/>
                <w:lang w:val="sr-Cyrl-CS"/>
              </w:rPr>
              <w:t>Q3</w:t>
            </w:r>
          </w:p>
        </w:tc>
        <w:tc>
          <w:tcPr>
            <w:tcW w:w="373" w:type="dxa"/>
            <w:tcBorders>
              <w:top w:val="single" w:sz="4" w:space="0" w:color="auto"/>
              <w:left w:val="single" w:sz="4" w:space="0" w:color="auto"/>
              <w:bottom w:val="single" w:sz="4"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65A26F60" w14:textId="77777777" w:rsidR="00D210F0" w:rsidRPr="00092ED7" w:rsidRDefault="00D210F0" w:rsidP="00E44EF2">
            <w:pPr>
              <w:spacing w:after="0"/>
              <w:jc w:val="center"/>
              <w:rPr>
                <w:rFonts w:cs="Times New Roman"/>
                <w:i/>
                <w:iCs/>
                <w:color w:val="000000"/>
                <w:sz w:val="20"/>
                <w:szCs w:val="20"/>
                <w:lang w:val="sr-Cyrl-CS"/>
              </w:rPr>
            </w:pPr>
            <w:r w:rsidRPr="00092ED7">
              <w:rPr>
                <w:rFonts w:cs="Times New Roman"/>
                <w:i/>
                <w:iCs/>
                <w:color w:val="000000"/>
                <w:sz w:val="20"/>
                <w:szCs w:val="20"/>
                <w:lang w:val="sr-Cyrl-CS"/>
              </w:rPr>
              <w:t>Q4</w:t>
            </w:r>
          </w:p>
        </w:tc>
      </w:tr>
      <w:tr w:rsidR="00D210F0" w:rsidRPr="00092ED7" w14:paraId="63B8F572" w14:textId="77777777" w:rsidTr="00B640AF">
        <w:trPr>
          <w:trHeight w:val="300"/>
        </w:trPr>
        <w:tc>
          <w:tcPr>
            <w:tcW w:w="425" w:type="dxa"/>
            <w:tcBorders>
              <w:top w:val="single" w:sz="4" w:space="0" w:color="auto"/>
              <w:left w:val="single" w:sz="8" w:space="0" w:color="auto"/>
              <w:bottom w:val="single" w:sz="4" w:space="0" w:color="auto"/>
              <w:right w:val="nil"/>
            </w:tcBorders>
            <w:shd w:val="clear" w:color="auto" w:fill="auto"/>
            <w:tcMar>
              <w:top w:w="15" w:type="dxa"/>
              <w:left w:w="15" w:type="dxa"/>
              <w:bottom w:w="0" w:type="dxa"/>
              <w:right w:w="15" w:type="dxa"/>
            </w:tcMar>
          </w:tcPr>
          <w:p w14:paraId="0DB274A2" w14:textId="77777777" w:rsidR="00D210F0" w:rsidRPr="00092ED7" w:rsidRDefault="00D210F0" w:rsidP="00D42D84">
            <w:pPr>
              <w:spacing w:after="0"/>
              <w:jc w:val="center"/>
              <w:rPr>
                <w:rFonts w:cs="Times New Roman"/>
                <w:bCs/>
                <w:sz w:val="20"/>
                <w:szCs w:val="20"/>
                <w:lang w:val="sr-Cyrl-CS"/>
              </w:rPr>
            </w:pPr>
            <w:r w:rsidRPr="00092ED7">
              <w:rPr>
                <w:rFonts w:cs="Times New Roman"/>
                <w:bCs/>
                <w:sz w:val="20"/>
                <w:szCs w:val="20"/>
                <w:lang w:val="sr-Cyrl-CS"/>
              </w:rPr>
              <w:t>1.</w:t>
            </w:r>
          </w:p>
        </w:tc>
        <w:tc>
          <w:tcPr>
            <w:tcW w:w="4243" w:type="dxa"/>
            <w:tcBorders>
              <w:top w:val="single" w:sz="4" w:space="0" w:color="auto"/>
              <w:left w:val="single" w:sz="8" w:space="0" w:color="auto"/>
              <w:bottom w:val="single" w:sz="4" w:space="0" w:color="auto"/>
              <w:right w:val="nil"/>
            </w:tcBorders>
            <w:shd w:val="clear" w:color="auto" w:fill="auto"/>
            <w:tcMar>
              <w:top w:w="15" w:type="dxa"/>
              <w:left w:w="15" w:type="dxa"/>
              <w:bottom w:w="0" w:type="dxa"/>
              <w:right w:w="15" w:type="dxa"/>
            </w:tcMar>
          </w:tcPr>
          <w:p w14:paraId="12311364" w14:textId="77777777" w:rsidR="00D210F0" w:rsidRPr="00092ED7" w:rsidRDefault="00D210F0" w:rsidP="00E44EF2">
            <w:pPr>
              <w:spacing w:after="0"/>
              <w:ind w:right="162"/>
              <w:rPr>
                <w:rFonts w:cs="Times New Roman"/>
                <w:sz w:val="20"/>
                <w:szCs w:val="20"/>
                <w:lang w:val="sr-Cyrl-CS"/>
              </w:rPr>
            </w:pPr>
            <w:r w:rsidRPr="00092ED7">
              <w:rPr>
                <w:rFonts w:cs="Times New Roman"/>
                <w:bCs/>
                <w:sz w:val="20"/>
                <w:szCs w:val="20"/>
                <w:lang w:val="sr-Cyrl-CS"/>
              </w:rPr>
              <w:t xml:space="preserve">Израда тендерске документације са техничким спецификацијама за фазу претквалификације и коначну фазу избора извођача радова </w:t>
            </w:r>
            <w:r w:rsidRPr="00092ED7">
              <w:rPr>
                <w:rFonts w:cs="Times New Roman"/>
                <w:sz w:val="20"/>
                <w:szCs w:val="20"/>
                <w:lang w:val="sr-Cyrl-CS"/>
              </w:rPr>
              <w:t xml:space="preserve">(секција </w:t>
            </w:r>
            <w:r w:rsidR="00D42D84" w:rsidRPr="00092ED7">
              <w:rPr>
                <w:rFonts w:cs="Times New Roman"/>
                <w:sz w:val="20"/>
                <w:szCs w:val="20"/>
                <w:lang w:val="sr-Cyrl-CS"/>
              </w:rPr>
              <w:t>III</w:t>
            </w:r>
            <w:r w:rsidRPr="00092ED7">
              <w:rPr>
                <w:rFonts w:cs="Times New Roman"/>
                <w:sz w:val="20"/>
                <w:szCs w:val="20"/>
                <w:lang w:val="sr-Cyrl-CS"/>
              </w:rPr>
              <w:t>)</w:t>
            </w:r>
          </w:p>
        </w:tc>
        <w:tc>
          <w:tcPr>
            <w:tcW w:w="307" w:type="dxa"/>
            <w:tcBorders>
              <w:top w:val="single" w:sz="4" w:space="0" w:color="auto"/>
              <w:left w:val="single" w:sz="8"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FC1A111" w14:textId="77777777" w:rsidR="00D210F0" w:rsidRPr="00092ED7" w:rsidRDefault="00D210F0" w:rsidP="00E44EF2">
            <w:pPr>
              <w:spacing w:after="0"/>
              <w:rPr>
                <w:rFonts w:cs="Times New Roman"/>
                <w:color w:val="000000"/>
                <w:sz w:val="20"/>
                <w:szCs w:val="20"/>
                <w:lang w:val="sr-Cyrl-CS"/>
              </w:rPr>
            </w:pPr>
          </w:p>
        </w:tc>
        <w:tc>
          <w:tcPr>
            <w:tcW w:w="373"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24CFCCA" w14:textId="77777777" w:rsidR="00D210F0" w:rsidRPr="00092ED7" w:rsidRDefault="00D210F0" w:rsidP="00E44EF2">
            <w:pPr>
              <w:spacing w:after="0"/>
              <w:rPr>
                <w:rFonts w:cs="Times New Roman"/>
                <w:color w:val="000000"/>
                <w:sz w:val="20"/>
                <w:szCs w:val="20"/>
                <w:lang w:val="sr-Cyrl-CS"/>
              </w:rPr>
            </w:pPr>
          </w:p>
        </w:tc>
        <w:tc>
          <w:tcPr>
            <w:tcW w:w="372"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E8AB5B7" w14:textId="77777777" w:rsidR="00D210F0" w:rsidRPr="00092ED7" w:rsidRDefault="00D210F0" w:rsidP="00E44EF2">
            <w:pPr>
              <w:spacing w:after="0"/>
              <w:rPr>
                <w:rFonts w:cs="Times New Roman"/>
                <w:color w:val="000000"/>
                <w:sz w:val="20"/>
                <w:szCs w:val="20"/>
                <w:lang w:val="sr-Cyrl-CS"/>
              </w:rPr>
            </w:pPr>
          </w:p>
        </w:tc>
        <w:tc>
          <w:tcPr>
            <w:tcW w:w="373" w:type="dxa"/>
            <w:tcBorders>
              <w:top w:val="single" w:sz="4" w:space="0" w:color="auto"/>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4A69E946" w14:textId="77777777" w:rsidR="00D210F0" w:rsidRPr="00092ED7" w:rsidRDefault="00D210F0" w:rsidP="00E44EF2">
            <w:pPr>
              <w:spacing w:after="0"/>
              <w:rPr>
                <w:rFonts w:cs="Times New Roman"/>
                <w:color w:val="000000"/>
                <w:sz w:val="20"/>
                <w:szCs w:val="20"/>
                <w:lang w:val="sr-Cyrl-CS"/>
              </w:rPr>
            </w:pPr>
          </w:p>
        </w:tc>
        <w:tc>
          <w:tcPr>
            <w:tcW w:w="372"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5C26FA52" w14:textId="77777777" w:rsidR="00D210F0" w:rsidRPr="00092ED7" w:rsidRDefault="00D210F0" w:rsidP="00E44EF2">
            <w:pPr>
              <w:spacing w:after="0"/>
              <w:rPr>
                <w:rFonts w:cs="Times New Roman"/>
                <w:color w:val="000000"/>
                <w:sz w:val="20"/>
                <w:szCs w:val="20"/>
                <w:lang w:val="sr-Cyrl-CS"/>
              </w:rPr>
            </w:pPr>
          </w:p>
        </w:tc>
        <w:tc>
          <w:tcPr>
            <w:tcW w:w="373"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5E5DF819" w14:textId="77777777" w:rsidR="00D210F0" w:rsidRPr="00092ED7" w:rsidRDefault="00D210F0" w:rsidP="00E44EF2">
            <w:pPr>
              <w:spacing w:after="0"/>
              <w:rPr>
                <w:rFonts w:cs="Times New Roman"/>
                <w:color w:val="000000"/>
                <w:sz w:val="20"/>
                <w:szCs w:val="20"/>
                <w:lang w:val="sr-Cyrl-CS"/>
              </w:rPr>
            </w:pPr>
          </w:p>
        </w:tc>
        <w:tc>
          <w:tcPr>
            <w:tcW w:w="373"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5603CEE4" w14:textId="77777777" w:rsidR="00D210F0" w:rsidRPr="00092ED7" w:rsidRDefault="00D210F0" w:rsidP="00E44EF2">
            <w:pPr>
              <w:spacing w:after="0"/>
              <w:rPr>
                <w:rFonts w:cs="Times New Roman"/>
                <w:color w:val="000000"/>
                <w:sz w:val="20"/>
                <w:szCs w:val="20"/>
                <w:lang w:val="sr-Cyrl-CS"/>
              </w:rPr>
            </w:pPr>
          </w:p>
        </w:tc>
        <w:tc>
          <w:tcPr>
            <w:tcW w:w="372" w:type="dxa"/>
            <w:tcBorders>
              <w:top w:val="single" w:sz="4" w:space="0" w:color="auto"/>
              <w:left w:val="nil"/>
              <w:bottom w:val="single" w:sz="4" w:space="0" w:color="auto"/>
              <w:right w:val="single" w:sz="8" w:space="0" w:color="auto"/>
            </w:tcBorders>
            <w:shd w:val="clear" w:color="auto" w:fill="auto"/>
            <w:tcMar>
              <w:top w:w="15" w:type="dxa"/>
              <w:left w:w="15" w:type="dxa"/>
              <w:bottom w:w="0" w:type="dxa"/>
              <w:right w:w="15" w:type="dxa"/>
            </w:tcMar>
          </w:tcPr>
          <w:p w14:paraId="6B24EBAC" w14:textId="77777777" w:rsidR="00D210F0" w:rsidRPr="00092ED7" w:rsidRDefault="00D210F0" w:rsidP="00E44EF2">
            <w:pPr>
              <w:spacing w:after="0"/>
              <w:rPr>
                <w:rFonts w:cs="Times New Roman"/>
                <w:color w:val="000000"/>
                <w:sz w:val="20"/>
                <w:szCs w:val="20"/>
                <w:lang w:val="sr-Cyrl-CS"/>
              </w:rPr>
            </w:pPr>
          </w:p>
        </w:tc>
        <w:tc>
          <w:tcPr>
            <w:tcW w:w="373"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02722671" w14:textId="77777777" w:rsidR="00D210F0" w:rsidRPr="00092ED7" w:rsidRDefault="00D210F0" w:rsidP="00E44EF2">
            <w:pPr>
              <w:spacing w:after="0"/>
              <w:rPr>
                <w:rFonts w:cs="Times New Roman"/>
                <w:color w:val="000000"/>
                <w:sz w:val="20"/>
                <w:szCs w:val="20"/>
                <w:lang w:val="sr-Cyrl-CS"/>
              </w:rPr>
            </w:pPr>
          </w:p>
        </w:tc>
        <w:tc>
          <w:tcPr>
            <w:tcW w:w="372"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70396163" w14:textId="77777777" w:rsidR="00D210F0" w:rsidRPr="00092ED7" w:rsidRDefault="00D210F0" w:rsidP="00E44EF2">
            <w:pPr>
              <w:spacing w:after="0"/>
              <w:rPr>
                <w:rFonts w:cs="Times New Roman"/>
                <w:color w:val="000000"/>
                <w:sz w:val="20"/>
                <w:szCs w:val="20"/>
                <w:lang w:val="sr-Cyrl-CS"/>
              </w:rPr>
            </w:pPr>
          </w:p>
        </w:tc>
        <w:tc>
          <w:tcPr>
            <w:tcW w:w="373"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645A16D7" w14:textId="77777777" w:rsidR="00D210F0" w:rsidRPr="00092ED7" w:rsidRDefault="00D210F0" w:rsidP="00E44EF2">
            <w:pPr>
              <w:spacing w:after="0"/>
              <w:rPr>
                <w:rFonts w:cs="Times New Roman"/>
                <w:color w:val="000000"/>
                <w:sz w:val="20"/>
                <w:szCs w:val="20"/>
                <w:lang w:val="sr-Cyrl-CS"/>
              </w:rPr>
            </w:pPr>
          </w:p>
        </w:tc>
        <w:tc>
          <w:tcPr>
            <w:tcW w:w="373" w:type="dxa"/>
            <w:tcBorders>
              <w:top w:val="single" w:sz="4" w:space="0" w:color="auto"/>
              <w:left w:val="nil"/>
              <w:bottom w:val="single" w:sz="4" w:space="0" w:color="auto"/>
              <w:right w:val="single" w:sz="8" w:space="0" w:color="auto"/>
            </w:tcBorders>
            <w:shd w:val="clear" w:color="auto" w:fill="auto"/>
            <w:tcMar>
              <w:top w:w="15" w:type="dxa"/>
              <w:left w:w="15" w:type="dxa"/>
              <w:bottom w:w="0" w:type="dxa"/>
              <w:right w:w="15" w:type="dxa"/>
            </w:tcMar>
          </w:tcPr>
          <w:p w14:paraId="6F2B1B08" w14:textId="77777777" w:rsidR="00D210F0" w:rsidRPr="00092ED7" w:rsidRDefault="00D210F0" w:rsidP="00E44EF2">
            <w:pPr>
              <w:spacing w:after="0"/>
              <w:rPr>
                <w:rFonts w:cs="Times New Roman"/>
                <w:color w:val="000000"/>
                <w:sz w:val="20"/>
                <w:szCs w:val="20"/>
                <w:lang w:val="sr-Cyrl-CS"/>
              </w:rPr>
            </w:pPr>
          </w:p>
        </w:tc>
      </w:tr>
      <w:tr w:rsidR="00D210F0" w:rsidRPr="00092ED7" w14:paraId="2F99B552" w14:textId="77777777" w:rsidTr="00D42D84">
        <w:trPr>
          <w:trHeight w:val="300"/>
        </w:trPr>
        <w:tc>
          <w:tcPr>
            <w:tcW w:w="425" w:type="dxa"/>
            <w:tcBorders>
              <w:top w:val="nil"/>
              <w:left w:val="single" w:sz="8" w:space="0" w:color="auto"/>
              <w:bottom w:val="single" w:sz="4" w:space="0" w:color="auto"/>
              <w:right w:val="nil"/>
            </w:tcBorders>
            <w:shd w:val="clear" w:color="auto" w:fill="auto"/>
            <w:tcMar>
              <w:top w:w="15" w:type="dxa"/>
              <w:left w:w="15" w:type="dxa"/>
              <w:bottom w:w="0" w:type="dxa"/>
              <w:right w:w="15" w:type="dxa"/>
            </w:tcMar>
          </w:tcPr>
          <w:p w14:paraId="49ACF3D9" w14:textId="77777777" w:rsidR="00D210F0" w:rsidRPr="00092ED7" w:rsidRDefault="00D210F0" w:rsidP="00D42D84">
            <w:pPr>
              <w:spacing w:after="0"/>
              <w:jc w:val="center"/>
              <w:rPr>
                <w:rFonts w:cs="Times New Roman"/>
                <w:bCs/>
                <w:sz w:val="20"/>
                <w:szCs w:val="20"/>
                <w:lang w:val="sr-Cyrl-CS"/>
              </w:rPr>
            </w:pPr>
            <w:r w:rsidRPr="00092ED7">
              <w:rPr>
                <w:rFonts w:cs="Times New Roman"/>
                <w:bCs/>
                <w:sz w:val="20"/>
                <w:szCs w:val="20"/>
                <w:lang w:val="sr-Cyrl-CS"/>
              </w:rPr>
              <w:t>2.</w:t>
            </w:r>
          </w:p>
        </w:tc>
        <w:tc>
          <w:tcPr>
            <w:tcW w:w="4243" w:type="dxa"/>
            <w:tcBorders>
              <w:top w:val="nil"/>
              <w:left w:val="single" w:sz="8" w:space="0" w:color="auto"/>
              <w:bottom w:val="single" w:sz="4" w:space="0" w:color="auto"/>
              <w:right w:val="single" w:sz="4" w:space="0" w:color="auto"/>
            </w:tcBorders>
            <w:shd w:val="clear" w:color="auto" w:fill="auto"/>
            <w:tcMar>
              <w:top w:w="15" w:type="dxa"/>
              <w:left w:w="15" w:type="dxa"/>
              <w:bottom w:w="0" w:type="dxa"/>
              <w:right w:w="15" w:type="dxa"/>
            </w:tcMar>
          </w:tcPr>
          <w:p w14:paraId="0B13B915" w14:textId="77777777" w:rsidR="00D210F0" w:rsidRPr="00092ED7" w:rsidRDefault="00D210F0" w:rsidP="00E44EF2">
            <w:pPr>
              <w:spacing w:after="0"/>
              <w:ind w:right="162"/>
              <w:rPr>
                <w:rFonts w:cs="Times New Roman"/>
                <w:sz w:val="20"/>
                <w:szCs w:val="20"/>
                <w:lang w:val="sr-Cyrl-CS"/>
              </w:rPr>
            </w:pPr>
            <w:r w:rsidRPr="00092ED7">
              <w:rPr>
                <w:rFonts w:cs="Times New Roman"/>
                <w:sz w:val="20"/>
                <w:szCs w:val="20"/>
                <w:lang w:val="sr-Cyrl-CS"/>
              </w:rPr>
              <w:t xml:space="preserve">Изградња (секција </w:t>
            </w:r>
            <w:r w:rsidR="00D42D84" w:rsidRPr="00092ED7">
              <w:rPr>
                <w:rFonts w:cs="Times New Roman"/>
                <w:sz w:val="20"/>
                <w:szCs w:val="20"/>
                <w:lang w:val="sr-Cyrl-CS"/>
              </w:rPr>
              <w:t>III</w:t>
            </w:r>
            <w:r w:rsidRPr="00092ED7">
              <w:rPr>
                <w:rFonts w:cs="Times New Roman"/>
                <w:sz w:val="20"/>
                <w:szCs w:val="20"/>
                <w:lang w:val="sr-Cyrl-CS"/>
              </w:rPr>
              <w:t>)</w:t>
            </w:r>
          </w:p>
        </w:tc>
        <w:tc>
          <w:tcPr>
            <w:tcW w:w="307" w:type="dxa"/>
            <w:tcBorders>
              <w:top w:val="nil"/>
              <w:left w:val="single" w:sz="8" w:space="0" w:color="auto"/>
              <w:bottom w:val="single" w:sz="4" w:space="0" w:color="auto"/>
              <w:right w:val="single" w:sz="4" w:space="0" w:color="auto"/>
            </w:tcBorders>
            <w:shd w:val="clear" w:color="auto" w:fill="auto"/>
            <w:tcMar>
              <w:top w:w="15" w:type="dxa"/>
              <w:left w:w="15" w:type="dxa"/>
              <w:bottom w:w="0" w:type="dxa"/>
              <w:right w:w="15" w:type="dxa"/>
            </w:tcMar>
          </w:tcPr>
          <w:p w14:paraId="0EB007AA" w14:textId="77777777" w:rsidR="00D210F0" w:rsidRPr="00092ED7" w:rsidRDefault="00D210F0" w:rsidP="00E44EF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1222BE9B" w14:textId="77777777" w:rsidR="00D210F0" w:rsidRPr="00092ED7" w:rsidRDefault="00D210F0" w:rsidP="00E44EF2">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59F6FC7A" w14:textId="77777777" w:rsidR="00D210F0" w:rsidRPr="00092ED7" w:rsidRDefault="00D210F0" w:rsidP="00E44EF2">
            <w:pPr>
              <w:spacing w:after="0"/>
              <w:rPr>
                <w:rFonts w:cs="Times New Roman"/>
                <w:color w:val="000000"/>
                <w:sz w:val="20"/>
                <w:szCs w:val="20"/>
                <w:lang w:val="sr-Cyrl-CS"/>
              </w:rPr>
            </w:pPr>
          </w:p>
        </w:tc>
        <w:tc>
          <w:tcPr>
            <w:tcW w:w="373" w:type="dxa"/>
            <w:tcBorders>
              <w:top w:val="nil"/>
              <w:left w:val="nil"/>
              <w:bottom w:val="single" w:sz="4" w:space="0" w:color="auto"/>
              <w:right w:val="single" w:sz="8" w:space="0" w:color="auto"/>
            </w:tcBorders>
            <w:shd w:val="clear" w:color="auto" w:fill="auto"/>
            <w:tcMar>
              <w:top w:w="15" w:type="dxa"/>
              <w:left w:w="15" w:type="dxa"/>
              <w:bottom w:w="0" w:type="dxa"/>
              <w:right w:w="15" w:type="dxa"/>
            </w:tcMar>
          </w:tcPr>
          <w:p w14:paraId="7340A8B0" w14:textId="77777777" w:rsidR="00D210F0" w:rsidRPr="00092ED7" w:rsidRDefault="00D210F0" w:rsidP="00E44EF2">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FFFFFF" w:themeFill="background1"/>
            <w:tcMar>
              <w:top w:w="15" w:type="dxa"/>
              <w:left w:w="15" w:type="dxa"/>
              <w:bottom w:w="0" w:type="dxa"/>
              <w:right w:w="15" w:type="dxa"/>
            </w:tcMar>
          </w:tcPr>
          <w:p w14:paraId="12945603" w14:textId="77777777" w:rsidR="00D210F0" w:rsidRPr="00092ED7" w:rsidRDefault="00D210F0" w:rsidP="00E44EF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FB45E1F" w14:textId="77777777" w:rsidR="00D210F0" w:rsidRPr="00092ED7" w:rsidRDefault="00D210F0" w:rsidP="00E44EF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258BAB79" w14:textId="77777777" w:rsidR="00D210F0" w:rsidRPr="00092ED7" w:rsidRDefault="00D210F0" w:rsidP="00E44EF2">
            <w:pPr>
              <w:spacing w:after="0"/>
              <w:rPr>
                <w:rFonts w:cs="Times New Roman"/>
                <w:color w:val="000000"/>
                <w:sz w:val="20"/>
                <w:szCs w:val="20"/>
                <w:lang w:val="sr-Cyrl-CS"/>
              </w:rPr>
            </w:pPr>
          </w:p>
        </w:tc>
        <w:tc>
          <w:tcPr>
            <w:tcW w:w="372"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7A3DFD1F" w14:textId="77777777" w:rsidR="00D210F0" w:rsidRPr="00092ED7" w:rsidRDefault="00D210F0" w:rsidP="00E44EF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372488FF" w14:textId="77777777" w:rsidR="00D210F0" w:rsidRPr="00092ED7" w:rsidRDefault="00D210F0" w:rsidP="00E44EF2">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0FA8667F" w14:textId="77777777" w:rsidR="00D210F0" w:rsidRPr="00092ED7" w:rsidRDefault="00D210F0" w:rsidP="00E44EF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A70D108" w14:textId="77777777" w:rsidR="00D210F0" w:rsidRPr="00092ED7" w:rsidRDefault="00D210F0" w:rsidP="00E44EF2">
            <w:pPr>
              <w:spacing w:after="0"/>
              <w:rPr>
                <w:rFonts w:cs="Times New Roman"/>
                <w:color w:val="000000"/>
                <w:sz w:val="20"/>
                <w:szCs w:val="20"/>
                <w:lang w:val="sr-Cyrl-CS"/>
              </w:rPr>
            </w:pPr>
          </w:p>
        </w:tc>
        <w:tc>
          <w:tcPr>
            <w:tcW w:w="373"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650FF0E7" w14:textId="77777777" w:rsidR="00D210F0" w:rsidRPr="00092ED7" w:rsidRDefault="00D210F0" w:rsidP="00E44EF2">
            <w:pPr>
              <w:spacing w:after="0"/>
              <w:rPr>
                <w:rFonts w:cs="Times New Roman"/>
                <w:color w:val="000000"/>
                <w:sz w:val="20"/>
                <w:szCs w:val="20"/>
                <w:lang w:val="sr-Cyrl-CS"/>
              </w:rPr>
            </w:pPr>
          </w:p>
        </w:tc>
      </w:tr>
      <w:tr w:rsidR="00D210F0" w:rsidRPr="00092ED7" w14:paraId="6DD20782" w14:textId="77777777" w:rsidTr="00D42D84">
        <w:trPr>
          <w:trHeight w:val="292"/>
        </w:trPr>
        <w:tc>
          <w:tcPr>
            <w:tcW w:w="425" w:type="dxa"/>
            <w:tcBorders>
              <w:top w:val="nil"/>
              <w:left w:val="single" w:sz="8" w:space="0" w:color="auto"/>
              <w:bottom w:val="single" w:sz="4" w:space="0" w:color="auto"/>
              <w:right w:val="single" w:sz="8" w:space="0" w:color="auto"/>
            </w:tcBorders>
            <w:shd w:val="clear" w:color="auto" w:fill="auto"/>
            <w:tcMar>
              <w:top w:w="15" w:type="dxa"/>
              <w:left w:w="15" w:type="dxa"/>
              <w:bottom w:w="0" w:type="dxa"/>
              <w:right w:w="15" w:type="dxa"/>
            </w:tcMar>
          </w:tcPr>
          <w:p w14:paraId="36CDD7BE" w14:textId="77777777" w:rsidR="00D210F0" w:rsidRPr="00092ED7" w:rsidRDefault="00D210F0" w:rsidP="00D42D84">
            <w:pPr>
              <w:spacing w:after="0"/>
              <w:jc w:val="center"/>
              <w:rPr>
                <w:rFonts w:cs="Times New Roman"/>
                <w:bCs/>
                <w:sz w:val="20"/>
                <w:szCs w:val="20"/>
                <w:lang w:val="sr-Cyrl-CS"/>
              </w:rPr>
            </w:pPr>
            <w:r w:rsidRPr="00092ED7">
              <w:rPr>
                <w:rFonts w:cs="Times New Roman"/>
                <w:bCs/>
                <w:sz w:val="20"/>
                <w:szCs w:val="20"/>
                <w:lang w:val="sr-Cyrl-CS"/>
              </w:rPr>
              <w:t>3.</w:t>
            </w:r>
          </w:p>
        </w:tc>
        <w:tc>
          <w:tcPr>
            <w:tcW w:w="4243" w:type="dxa"/>
            <w:tcBorders>
              <w:top w:val="nil"/>
              <w:left w:val="nil"/>
              <w:bottom w:val="single" w:sz="4" w:space="0" w:color="auto"/>
              <w:right w:val="nil"/>
            </w:tcBorders>
            <w:shd w:val="clear" w:color="auto" w:fill="auto"/>
            <w:tcMar>
              <w:top w:w="15" w:type="dxa"/>
              <w:left w:w="15" w:type="dxa"/>
              <w:bottom w:w="0" w:type="dxa"/>
              <w:right w:w="15" w:type="dxa"/>
            </w:tcMar>
          </w:tcPr>
          <w:p w14:paraId="11DA5C68" w14:textId="77777777" w:rsidR="00D210F0" w:rsidRPr="00092ED7" w:rsidRDefault="00D210F0" w:rsidP="00E44EF2">
            <w:pPr>
              <w:spacing w:after="0"/>
              <w:ind w:right="162"/>
              <w:rPr>
                <w:rFonts w:cs="Times New Roman"/>
                <w:sz w:val="20"/>
                <w:szCs w:val="20"/>
                <w:lang w:val="sr-Cyrl-CS"/>
              </w:rPr>
            </w:pPr>
            <w:r w:rsidRPr="00092ED7">
              <w:rPr>
                <w:rFonts w:cs="Times New Roman"/>
                <w:sz w:val="20"/>
                <w:szCs w:val="20"/>
                <w:lang w:val="sr-Cyrl-CS"/>
              </w:rPr>
              <w:t xml:space="preserve">Спровођење тендерске процедуре за избор консултанта (секција </w:t>
            </w:r>
            <w:r w:rsidR="00D42D84" w:rsidRPr="00092ED7">
              <w:rPr>
                <w:rFonts w:cs="Times New Roman"/>
                <w:sz w:val="20"/>
                <w:szCs w:val="20"/>
                <w:lang w:val="sr-Cyrl-CS"/>
              </w:rPr>
              <w:t>IV</w:t>
            </w:r>
            <w:r w:rsidRPr="00092ED7">
              <w:rPr>
                <w:rFonts w:cs="Times New Roman"/>
                <w:sz w:val="20"/>
                <w:szCs w:val="20"/>
                <w:lang w:val="sr-Cyrl-CS"/>
              </w:rPr>
              <w:t>)</w:t>
            </w:r>
          </w:p>
        </w:tc>
        <w:tc>
          <w:tcPr>
            <w:tcW w:w="307" w:type="dxa"/>
            <w:tcBorders>
              <w:top w:val="nil"/>
              <w:left w:val="single" w:sz="8" w:space="0" w:color="auto"/>
              <w:bottom w:val="single" w:sz="4" w:space="0" w:color="auto"/>
              <w:right w:val="single" w:sz="4" w:space="0" w:color="auto"/>
            </w:tcBorders>
            <w:shd w:val="clear" w:color="auto" w:fill="auto"/>
            <w:tcMar>
              <w:top w:w="15" w:type="dxa"/>
              <w:left w:w="15" w:type="dxa"/>
              <w:bottom w:w="0" w:type="dxa"/>
              <w:right w:w="15" w:type="dxa"/>
            </w:tcMar>
          </w:tcPr>
          <w:p w14:paraId="0117C718" w14:textId="77777777" w:rsidR="00D210F0" w:rsidRPr="00092ED7" w:rsidRDefault="00D210F0" w:rsidP="00E44EF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083D97DF" w14:textId="77777777" w:rsidR="00D210F0" w:rsidRPr="00092ED7" w:rsidRDefault="00D210F0" w:rsidP="00E44EF2">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3DF809AC" w14:textId="77777777" w:rsidR="00D210F0" w:rsidRPr="00092ED7" w:rsidRDefault="00D210F0" w:rsidP="00E44EF2">
            <w:pPr>
              <w:spacing w:after="0"/>
              <w:rPr>
                <w:rFonts w:cs="Times New Roman"/>
                <w:color w:val="000000"/>
                <w:sz w:val="20"/>
                <w:szCs w:val="20"/>
                <w:lang w:val="sr-Cyrl-CS"/>
              </w:rPr>
            </w:pPr>
          </w:p>
        </w:tc>
        <w:tc>
          <w:tcPr>
            <w:tcW w:w="373"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6F97F1A6" w14:textId="77777777" w:rsidR="00D210F0" w:rsidRPr="00092ED7" w:rsidRDefault="00D210F0" w:rsidP="00E44EF2">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331E4D84" w14:textId="77777777" w:rsidR="00D210F0" w:rsidRPr="00092ED7" w:rsidRDefault="00D210F0" w:rsidP="00E44EF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2C907D1F" w14:textId="77777777" w:rsidR="00D210F0" w:rsidRPr="00092ED7" w:rsidRDefault="00D210F0" w:rsidP="00E44EF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3E1CE2A2" w14:textId="77777777" w:rsidR="00D210F0" w:rsidRPr="00092ED7" w:rsidRDefault="00D210F0" w:rsidP="00E44EF2">
            <w:pPr>
              <w:spacing w:after="0"/>
              <w:rPr>
                <w:rFonts w:cs="Times New Roman"/>
                <w:color w:val="000000"/>
                <w:sz w:val="20"/>
                <w:szCs w:val="20"/>
                <w:lang w:val="sr-Cyrl-CS"/>
              </w:rPr>
            </w:pPr>
          </w:p>
        </w:tc>
        <w:tc>
          <w:tcPr>
            <w:tcW w:w="372" w:type="dxa"/>
            <w:tcBorders>
              <w:top w:val="nil"/>
              <w:left w:val="nil"/>
              <w:bottom w:val="single" w:sz="4" w:space="0" w:color="auto"/>
              <w:right w:val="single" w:sz="8" w:space="0" w:color="auto"/>
            </w:tcBorders>
            <w:shd w:val="clear" w:color="auto" w:fill="auto"/>
            <w:tcMar>
              <w:top w:w="15" w:type="dxa"/>
              <w:left w:w="15" w:type="dxa"/>
              <w:bottom w:w="0" w:type="dxa"/>
              <w:right w:w="15" w:type="dxa"/>
            </w:tcMar>
          </w:tcPr>
          <w:p w14:paraId="752F288E" w14:textId="77777777" w:rsidR="00D210F0" w:rsidRPr="00092ED7" w:rsidRDefault="00D210F0" w:rsidP="00E44EF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2D33C945" w14:textId="77777777" w:rsidR="00D210F0" w:rsidRPr="00092ED7" w:rsidRDefault="00D210F0" w:rsidP="00E44EF2">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36BD354F" w14:textId="77777777" w:rsidR="00D210F0" w:rsidRPr="00092ED7" w:rsidRDefault="00D210F0" w:rsidP="00E44EF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13B2D7FE" w14:textId="77777777" w:rsidR="00D210F0" w:rsidRPr="00092ED7" w:rsidRDefault="00D210F0" w:rsidP="00E44EF2">
            <w:pPr>
              <w:spacing w:after="0"/>
              <w:rPr>
                <w:rFonts w:cs="Times New Roman"/>
                <w:color w:val="000000"/>
                <w:sz w:val="20"/>
                <w:szCs w:val="20"/>
                <w:lang w:val="sr-Cyrl-CS"/>
              </w:rPr>
            </w:pPr>
          </w:p>
        </w:tc>
        <w:tc>
          <w:tcPr>
            <w:tcW w:w="373" w:type="dxa"/>
            <w:tcBorders>
              <w:top w:val="nil"/>
              <w:left w:val="nil"/>
              <w:bottom w:val="single" w:sz="4" w:space="0" w:color="auto"/>
              <w:right w:val="single" w:sz="8" w:space="0" w:color="auto"/>
            </w:tcBorders>
            <w:shd w:val="clear" w:color="auto" w:fill="auto"/>
            <w:tcMar>
              <w:top w:w="15" w:type="dxa"/>
              <w:left w:w="15" w:type="dxa"/>
              <w:bottom w:w="0" w:type="dxa"/>
              <w:right w:w="15" w:type="dxa"/>
            </w:tcMar>
          </w:tcPr>
          <w:p w14:paraId="4F14D8E7" w14:textId="77777777" w:rsidR="00D210F0" w:rsidRPr="00092ED7" w:rsidRDefault="00D210F0" w:rsidP="00E44EF2">
            <w:pPr>
              <w:spacing w:after="0"/>
              <w:rPr>
                <w:rFonts w:cs="Times New Roman"/>
                <w:color w:val="000000"/>
                <w:sz w:val="20"/>
                <w:szCs w:val="20"/>
                <w:lang w:val="sr-Cyrl-CS"/>
              </w:rPr>
            </w:pPr>
          </w:p>
        </w:tc>
      </w:tr>
      <w:tr w:rsidR="00D210F0" w:rsidRPr="00092ED7" w14:paraId="41C3375D" w14:textId="77777777" w:rsidTr="00D42D84">
        <w:trPr>
          <w:trHeight w:val="292"/>
        </w:trPr>
        <w:tc>
          <w:tcPr>
            <w:tcW w:w="425" w:type="dxa"/>
            <w:tcBorders>
              <w:top w:val="nil"/>
              <w:left w:val="single" w:sz="8" w:space="0" w:color="auto"/>
              <w:bottom w:val="single" w:sz="4" w:space="0" w:color="auto"/>
              <w:right w:val="single" w:sz="8" w:space="0" w:color="auto"/>
            </w:tcBorders>
            <w:shd w:val="clear" w:color="auto" w:fill="auto"/>
            <w:tcMar>
              <w:top w:w="15" w:type="dxa"/>
              <w:left w:w="15" w:type="dxa"/>
              <w:bottom w:w="0" w:type="dxa"/>
              <w:right w:w="15" w:type="dxa"/>
            </w:tcMar>
          </w:tcPr>
          <w:p w14:paraId="2D76EE27" w14:textId="77777777" w:rsidR="00D210F0" w:rsidRPr="00092ED7" w:rsidRDefault="00D210F0" w:rsidP="00D42D84">
            <w:pPr>
              <w:spacing w:after="0"/>
              <w:jc w:val="center"/>
              <w:rPr>
                <w:rFonts w:cs="Times New Roman"/>
                <w:bCs/>
                <w:sz w:val="20"/>
                <w:szCs w:val="20"/>
                <w:lang w:val="sr-Cyrl-CS"/>
              </w:rPr>
            </w:pPr>
            <w:r w:rsidRPr="00092ED7">
              <w:rPr>
                <w:rFonts w:cs="Times New Roman"/>
                <w:bCs/>
                <w:sz w:val="20"/>
                <w:szCs w:val="20"/>
                <w:lang w:val="sr-Cyrl-CS"/>
              </w:rPr>
              <w:t>4.</w:t>
            </w:r>
          </w:p>
        </w:tc>
        <w:tc>
          <w:tcPr>
            <w:tcW w:w="4243" w:type="dxa"/>
            <w:tcBorders>
              <w:top w:val="nil"/>
              <w:left w:val="nil"/>
              <w:bottom w:val="single" w:sz="4" w:space="0" w:color="auto"/>
              <w:right w:val="nil"/>
            </w:tcBorders>
            <w:shd w:val="clear" w:color="auto" w:fill="auto"/>
            <w:tcMar>
              <w:top w:w="15" w:type="dxa"/>
              <w:left w:w="15" w:type="dxa"/>
              <w:bottom w:w="0" w:type="dxa"/>
              <w:right w:w="15" w:type="dxa"/>
            </w:tcMar>
          </w:tcPr>
          <w:p w14:paraId="469B259C" w14:textId="77777777" w:rsidR="00D210F0" w:rsidRPr="00092ED7" w:rsidRDefault="00D210F0" w:rsidP="00D42D84">
            <w:pPr>
              <w:spacing w:after="0"/>
              <w:ind w:right="162"/>
              <w:rPr>
                <w:rFonts w:cs="Times New Roman"/>
                <w:sz w:val="20"/>
                <w:szCs w:val="20"/>
                <w:lang w:val="sr-Cyrl-CS"/>
              </w:rPr>
            </w:pPr>
            <w:r w:rsidRPr="00092ED7">
              <w:rPr>
                <w:rFonts w:cs="Times New Roman"/>
                <w:bCs/>
                <w:sz w:val="20"/>
                <w:szCs w:val="20"/>
                <w:lang w:val="sr-Cyrl-CS"/>
              </w:rPr>
              <w:t xml:space="preserve">Израда тендерске документације са техничким спецификацијама за фазу претквалификације и коначну фазу избора извођача радова (секција </w:t>
            </w:r>
            <w:r w:rsidR="00D42D84" w:rsidRPr="00092ED7">
              <w:rPr>
                <w:rFonts w:cs="Times New Roman"/>
                <w:bCs/>
                <w:sz w:val="20"/>
                <w:szCs w:val="20"/>
                <w:lang w:val="sr-Cyrl-CS"/>
              </w:rPr>
              <w:t>IV</w:t>
            </w:r>
            <w:r w:rsidRPr="00092ED7">
              <w:rPr>
                <w:rFonts w:cs="Times New Roman"/>
                <w:bCs/>
                <w:sz w:val="20"/>
                <w:szCs w:val="20"/>
                <w:lang w:val="sr-Cyrl-CS"/>
              </w:rPr>
              <w:t>)</w:t>
            </w:r>
          </w:p>
        </w:tc>
        <w:tc>
          <w:tcPr>
            <w:tcW w:w="307" w:type="dxa"/>
            <w:tcBorders>
              <w:top w:val="nil"/>
              <w:left w:val="single" w:sz="8" w:space="0" w:color="auto"/>
              <w:bottom w:val="single" w:sz="4" w:space="0" w:color="auto"/>
              <w:right w:val="single" w:sz="4" w:space="0" w:color="auto"/>
            </w:tcBorders>
            <w:shd w:val="clear" w:color="auto" w:fill="auto"/>
            <w:tcMar>
              <w:top w:w="15" w:type="dxa"/>
              <w:left w:w="15" w:type="dxa"/>
              <w:bottom w:w="0" w:type="dxa"/>
              <w:right w:w="15" w:type="dxa"/>
            </w:tcMar>
          </w:tcPr>
          <w:p w14:paraId="48FEAA89" w14:textId="77777777" w:rsidR="00D210F0" w:rsidRPr="00092ED7" w:rsidRDefault="00D210F0" w:rsidP="00E44EF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6CE133F1" w14:textId="77777777" w:rsidR="00D210F0" w:rsidRPr="00092ED7" w:rsidRDefault="00D210F0" w:rsidP="00E44EF2">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16928D27" w14:textId="77777777" w:rsidR="00D210F0" w:rsidRPr="00092ED7" w:rsidRDefault="00D210F0" w:rsidP="00E44EF2">
            <w:pPr>
              <w:spacing w:after="0"/>
              <w:rPr>
                <w:rFonts w:cs="Times New Roman"/>
                <w:color w:val="000000"/>
                <w:sz w:val="20"/>
                <w:szCs w:val="20"/>
                <w:lang w:val="sr-Cyrl-CS"/>
              </w:rPr>
            </w:pPr>
          </w:p>
        </w:tc>
        <w:tc>
          <w:tcPr>
            <w:tcW w:w="373" w:type="dxa"/>
            <w:tcBorders>
              <w:top w:val="nil"/>
              <w:left w:val="nil"/>
              <w:bottom w:val="single" w:sz="4" w:space="0" w:color="auto"/>
              <w:right w:val="single" w:sz="8" w:space="0" w:color="auto"/>
            </w:tcBorders>
            <w:shd w:val="clear" w:color="auto" w:fill="auto"/>
            <w:tcMar>
              <w:top w:w="15" w:type="dxa"/>
              <w:left w:w="15" w:type="dxa"/>
              <w:bottom w:w="0" w:type="dxa"/>
              <w:right w:w="15" w:type="dxa"/>
            </w:tcMar>
          </w:tcPr>
          <w:p w14:paraId="0F3DDA87" w14:textId="77777777" w:rsidR="00D210F0" w:rsidRPr="00092ED7" w:rsidRDefault="00D210F0" w:rsidP="00E44EF2">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52F519D9" w14:textId="77777777" w:rsidR="00D210F0" w:rsidRPr="00092ED7" w:rsidRDefault="00D210F0" w:rsidP="00E44EF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FED8B80" w14:textId="77777777" w:rsidR="00D210F0" w:rsidRPr="00092ED7" w:rsidRDefault="00D210F0" w:rsidP="00E44EF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70D7607" w14:textId="77777777" w:rsidR="00D210F0" w:rsidRPr="00092ED7" w:rsidRDefault="00D210F0" w:rsidP="00E44EF2">
            <w:pPr>
              <w:spacing w:after="0"/>
              <w:rPr>
                <w:rFonts w:cs="Times New Roman"/>
                <w:color w:val="000000"/>
                <w:sz w:val="20"/>
                <w:szCs w:val="20"/>
                <w:lang w:val="sr-Cyrl-CS"/>
              </w:rPr>
            </w:pPr>
          </w:p>
        </w:tc>
        <w:tc>
          <w:tcPr>
            <w:tcW w:w="372"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5A75E426" w14:textId="77777777" w:rsidR="00D210F0" w:rsidRPr="00092ED7" w:rsidRDefault="00D210F0" w:rsidP="00E44EF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7BE7E83" w14:textId="77777777" w:rsidR="00D210F0" w:rsidRPr="00092ED7" w:rsidRDefault="00D210F0" w:rsidP="00E44EF2">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62085954" w14:textId="77777777" w:rsidR="00D210F0" w:rsidRPr="00092ED7" w:rsidRDefault="00D210F0" w:rsidP="00E44EF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7557E186" w14:textId="77777777" w:rsidR="00D210F0" w:rsidRPr="00092ED7" w:rsidRDefault="00D210F0" w:rsidP="00E44EF2">
            <w:pPr>
              <w:spacing w:after="0"/>
              <w:rPr>
                <w:rFonts w:cs="Times New Roman"/>
                <w:color w:val="000000"/>
                <w:sz w:val="20"/>
                <w:szCs w:val="20"/>
                <w:lang w:val="sr-Cyrl-CS"/>
              </w:rPr>
            </w:pPr>
          </w:p>
        </w:tc>
        <w:tc>
          <w:tcPr>
            <w:tcW w:w="373" w:type="dxa"/>
            <w:tcBorders>
              <w:top w:val="nil"/>
              <w:left w:val="nil"/>
              <w:bottom w:val="single" w:sz="4" w:space="0" w:color="auto"/>
              <w:right w:val="single" w:sz="8" w:space="0" w:color="auto"/>
            </w:tcBorders>
            <w:shd w:val="clear" w:color="auto" w:fill="auto"/>
            <w:tcMar>
              <w:top w:w="15" w:type="dxa"/>
              <w:left w:w="15" w:type="dxa"/>
              <w:bottom w:w="0" w:type="dxa"/>
              <w:right w:w="15" w:type="dxa"/>
            </w:tcMar>
          </w:tcPr>
          <w:p w14:paraId="4773D51B" w14:textId="77777777" w:rsidR="00D210F0" w:rsidRPr="00092ED7" w:rsidRDefault="00D210F0" w:rsidP="00E44EF2">
            <w:pPr>
              <w:spacing w:after="0"/>
              <w:rPr>
                <w:rFonts w:cs="Times New Roman"/>
                <w:color w:val="000000"/>
                <w:sz w:val="20"/>
                <w:szCs w:val="20"/>
                <w:lang w:val="sr-Cyrl-CS"/>
              </w:rPr>
            </w:pPr>
          </w:p>
        </w:tc>
      </w:tr>
      <w:tr w:rsidR="00D210F0" w:rsidRPr="00092ED7" w14:paraId="4AA91C6B" w14:textId="77777777" w:rsidTr="00D42D84">
        <w:trPr>
          <w:trHeight w:val="300"/>
        </w:trPr>
        <w:tc>
          <w:tcPr>
            <w:tcW w:w="425" w:type="dxa"/>
            <w:tcBorders>
              <w:top w:val="nil"/>
              <w:left w:val="single" w:sz="8" w:space="0" w:color="auto"/>
              <w:bottom w:val="single" w:sz="4" w:space="0" w:color="auto"/>
              <w:right w:val="nil"/>
            </w:tcBorders>
            <w:shd w:val="clear" w:color="auto" w:fill="auto"/>
            <w:tcMar>
              <w:top w:w="15" w:type="dxa"/>
              <w:left w:w="15" w:type="dxa"/>
              <w:bottom w:w="0" w:type="dxa"/>
              <w:right w:w="15" w:type="dxa"/>
            </w:tcMar>
          </w:tcPr>
          <w:p w14:paraId="792FBA5B" w14:textId="77777777" w:rsidR="00D210F0" w:rsidRPr="00092ED7" w:rsidRDefault="00D210F0" w:rsidP="00D42D84">
            <w:pPr>
              <w:spacing w:after="0"/>
              <w:jc w:val="center"/>
              <w:rPr>
                <w:rFonts w:cs="Times New Roman"/>
                <w:bCs/>
                <w:sz w:val="20"/>
                <w:szCs w:val="20"/>
                <w:lang w:val="sr-Cyrl-CS"/>
              </w:rPr>
            </w:pPr>
            <w:r w:rsidRPr="00092ED7">
              <w:rPr>
                <w:rFonts w:cs="Times New Roman"/>
                <w:bCs/>
                <w:sz w:val="20"/>
                <w:szCs w:val="20"/>
                <w:lang w:val="sr-Cyrl-CS"/>
              </w:rPr>
              <w:t>5.</w:t>
            </w:r>
          </w:p>
        </w:tc>
        <w:tc>
          <w:tcPr>
            <w:tcW w:w="4243" w:type="dxa"/>
            <w:tcBorders>
              <w:top w:val="nil"/>
              <w:left w:val="single" w:sz="8" w:space="0" w:color="auto"/>
              <w:bottom w:val="single" w:sz="4" w:space="0" w:color="auto"/>
              <w:right w:val="nil"/>
            </w:tcBorders>
            <w:shd w:val="clear" w:color="auto" w:fill="auto"/>
            <w:tcMar>
              <w:top w:w="15" w:type="dxa"/>
              <w:left w:w="15" w:type="dxa"/>
              <w:bottom w:w="0" w:type="dxa"/>
              <w:right w:w="15" w:type="dxa"/>
            </w:tcMar>
          </w:tcPr>
          <w:p w14:paraId="370D3184" w14:textId="7FA4073B" w:rsidR="00D210F0" w:rsidRPr="00092ED7" w:rsidRDefault="00D210F0" w:rsidP="00E44EF2">
            <w:pPr>
              <w:spacing w:after="0"/>
              <w:ind w:right="162"/>
              <w:rPr>
                <w:rFonts w:cs="Times New Roman"/>
                <w:sz w:val="20"/>
                <w:szCs w:val="20"/>
                <w:lang w:val="sr-Cyrl-CS"/>
              </w:rPr>
            </w:pPr>
            <w:r w:rsidRPr="00092ED7">
              <w:rPr>
                <w:rFonts w:cs="Times New Roman"/>
                <w:sz w:val="20"/>
                <w:szCs w:val="20"/>
                <w:lang w:val="sr-Cyrl-CS"/>
              </w:rPr>
              <w:t xml:space="preserve">Изградња (секција </w:t>
            </w:r>
            <w:r w:rsidR="008A6B24" w:rsidRPr="00092ED7">
              <w:rPr>
                <w:rFonts w:cs="Times New Roman"/>
                <w:sz w:val="20"/>
                <w:szCs w:val="20"/>
                <w:lang w:val="sr-Cyrl-CS"/>
              </w:rPr>
              <w:t>IV</w:t>
            </w:r>
            <w:r w:rsidRPr="00092ED7">
              <w:rPr>
                <w:rFonts w:cs="Times New Roman"/>
                <w:sz w:val="20"/>
                <w:szCs w:val="20"/>
                <w:lang w:val="sr-Cyrl-CS"/>
              </w:rPr>
              <w:t>)</w:t>
            </w:r>
          </w:p>
        </w:tc>
        <w:tc>
          <w:tcPr>
            <w:tcW w:w="307" w:type="dxa"/>
            <w:tcBorders>
              <w:top w:val="nil"/>
              <w:left w:val="single" w:sz="8" w:space="0" w:color="auto"/>
              <w:bottom w:val="single" w:sz="4" w:space="0" w:color="auto"/>
              <w:right w:val="single" w:sz="4" w:space="0" w:color="auto"/>
            </w:tcBorders>
            <w:shd w:val="clear" w:color="auto" w:fill="auto"/>
            <w:tcMar>
              <w:top w:w="15" w:type="dxa"/>
              <w:left w:w="15" w:type="dxa"/>
              <w:bottom w:w="0" w:type="dxa"/>
              <w:right w:w="15" w:type="dxa"/>
            </w:tcMar>
          </w:tcPr>
          <w:p w14:paraId="1031638E" w14:textId="77777777" w:rsidR="00D210F0" w:rsidRPr="00092ED7" w:rsidRDefault="00D210F0" w:rsidP="00E44EF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51C506D1" w14:textId="77777777" w:rsidR="00D210F0" w:rsidRPr="00092ED7" w:rsidRDefault="00D210F0" w:rsidP="00E44EF2">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0EA35DAA" w14:textId="77777777" w:rsidR="00D210F0" w:rsidRPr="00092ED7" w:rsidRDefault="00D210F0" w:rsidP="00E44EF2">
            <w:pPr>
              <w:spacing w:after="0"/>
              <w:rPr>
                <w:rFonts w:cs="Times New Roman"/>
                <w:color w:val="000000"/>
                <w:sz w:val="20"/>
                <w:szCs w:val="20"/>
                <w:lang w:val="sr-Cyrl-CS"/>
              </w:rPr>
            </w:pPr>
          </w:p>
        </w:tc>
        <w:tc>
          <w:tcPr>
            <w:tcW w:w="373" w:type="dxa"/>
            <w:tcBorders>
              <w:top w:val="nil"/>
              <w:left w:val="nil"/>
              <w:bottom w:val="single" w:sz="4" w:space="0" w:color="auto"/>
              <w:right w:val="single" w:sz="8" w:space="0" w:color="auto"/>
            </w:tcBorders>
            <w:shd w:val="clear" w:color="auto" w:fill="auto"/>
            <w:tcMar>
              <w:top w:w="15" w:type="dxa"/>
              <w:left w:w="15" w:type="dxa"/>
              <w:bottom w:w="0" w:type="dxa"/>
              <w:right w:w="15" w:type="dxa"/>
            </w:tcMar>
          </w:tcPr>
          <w:p w14:paraId="2C4CFF27" w14:textId="77777777" w:rsidR="00D210F0" w:rsidRPr="00092ED7" w:rsidRDefault="00D210F0" w:rsidP="00E44EF2">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20E53E15" w14:textId="77777777" w:rsidR="00D210F0" w:rsidRPr="00092ED7" w:rsidRDefault="00D210F0" w:rsidP="00E44EF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158B66FA" w14:textId="77777777" w:rsidR="00D210F0" w:rsidRPr="00092ED7" w:rsidRDefault="00D210F0" w:rsidP="00E44EF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1FFA32E7" w14:textId="77777777" w:rsidR="00D210F0" w:rsidRPr="00092ED7" w:rsidRDefault="00D210F0" w:rsidP="00E44EF2">
            <w:pPr>
              <w:spacing w:after="0"/>
              <w:rPr>
                <w:rFonts w:cs="Times New Roman"/>
                <w:color w:val="000000"/>
                <w:sz w:val="20"/>
                <w:szCs w:val="20"/>
                <w:lang w:val="sr-Cyrl-CS"/>
              </w:rPr>
            </w:pPr>
          </w:p>
        </w:tc>
        <w:tc>
          <w:tcPr>
            <w:tcW w:w="372" w:type="dxa"/>
            <w:tcBorders>
              <w:top w:val="nil"/>
              <w:left w:val="nil"/>
              <w:bottom w:val="single" w:sz="4" w:space="0" w:color="auto"/>
              <w:right w:val="single" w:sz="8" w:space="0" w:color="auto"/>
            </w:tcBorders>
            <w:shd w:val="clear" w:color="auto" w:fill="auto"/>
            <w:tcMar>
              <w:top w:w="15" w:type="dxa"/>
              <w:left w:w="15" w:type="dxa"/>
              <w:bottom w:w="0" w:type="dxa"/>
              <w:right w:w="15" w:type="dxa"/>
            </w:tcMar>
          </w:tcPr>
          <w:p w14:paraId="5C7F9697" w14:textId="77777777" w:rsidR="00D210F0" w:rsidRPr="00092ED7" w:rsidRDefault="00D210F0" w:rsidP="00E44EF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25C1146B" w14:textId="77777777" w:rsidR="00D210F0" w:rsidRPr="00092ED7" w:rsidRDefault="00D210F0" w:rsidP="00E44EF2">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B39267B" w14:textId="77777777" w:rsidR="00D210F0" w:rsidRPr="00092ED7" w:rsidRDefault="00D210F0" w:rsidP="00E44EF2">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A86462D" w14:textId="77777777" w:rsidR="00D210F0" w:rsidRPr="00092ED7" w:rsidRDefault="00D210F0" w:rsidP="00E44EF2">
            <w:pPr>
              <w:spacing w:after="0"/>
              <w:rPr>
                <w:rFonts w:cs="Times New Roman"/>
                <w:color w:val="000000"/>
                <w:sz w:val="20"/>
                <w:szCs w:val="20"/>
                <w:lang w:val="sr-Cyrl-CS"/>
              </w:rPr>
            </w:pPr>
          </w:p>
        </w:tc>
        <w:tc>
          <w:tcPr>
            <w:tcW w:w="373"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6C3F122C" w14:textId="77777777" w:rsidR="00D210F0" w:rsidRPr="00092ED7" w:rsidRDefault="00D210F0" w:rsidP="00E44EF2">
            <w:pPr>
              <w:spacing w:after="0"/>
              <w:rPr>
                <w:rFonts w:cs="Times New Roman"/>
                <w:color w:val="000000"/>
                <w:sz w:val="20"/>
                <w:szCs w:val="20"/>
                <w:lang w:val="sr-Cyrl-CS"/>
              </w:rPr>
            </w:pPr>
          </w:p>
        </w:tc>
      </w:tr>
    </w:tbl>
    <w:p w14:paraId="54B40737" w14:textId="77777777" w:rsidR="00D210F0" w:rsidRPr="00092ED7" w:rsidRDefault="00D210F0" w:rsidP="00071952">
      <w:pPr>
        <w:widowControl w:val="0"/>
        <w:numPr>
          <w:ilvl w:val="0"/>
          <w:numId w:val="27"/>
        </w:numPr>
        <w:spacing w:before="120"/>
        <w:ind w:left="425" w:hanging="425"/>
        <w:rPr>
          <w:rFonts w:eastAsia="Calibri" w:cs="Times New Roman"/>
          <w:b/>
          <w:szCs w:val="24"/>
          <w:lang w:val="sr-Cyrl-CS" w:eastAsia="sr-Cyrl-CS" w:bidi="sr-Cyrl-CS"/>
        </w:rPr>
      </w:pPr>
      <w:r w:rsidRPr="00092ED7">
        <w:rPr>
          <w:rFonts w:eastAsia="Calibri" w:cs="Times New Roman"/>
          <w:b/>
          <w:szCs w:val="24"/>
          <w:lang w:val="sr-Cyrl-CS" w:eastAsia="sr-Cyrl-CS" w:bidi="sr-Cyrl-CS"/>
        </w:rPr>
        <w:t>Индикатори рeзултата</w:t>
      </w:r>
    </w:p>
    <w:tbl>
      <w:tblPr>
        <w:tblStyle w:val="TableGrid"/>
        <w:tblW w:w="9072" w:type="dxa"/>
        <w:tblInd w:w="-5" w:type="dxa"/>
        <w:tblLayout w:type="fixed"/>
        <w:tblLook w:val="04A0" w:firstRow="1" w:lastRow="0" w:firstColumn="1" w:lastColumn="0" w:noHBand="0" w:noVBand="1"/>
      </w:tblPr>
      <w:tblGrid>
        <w:gridCol w:w="3969"/>
        <w:gridCol w:w="1701"/>
        <w:gridCol w:w="1701"/>
        <w:gridCol w:w="1701"/>
      </w:tblGrid>
      <w:tr w:rsidR="00D210F0" w:rsidRPr="00092ED7" w14:paraId="709D18DA" w14:textId="77777777" w:rsidTr="00AE4362">
        <w:trPr>
          <w:cnfStyle w:val="100000000000" w:firstRow="1" w:lastRow="0" w:firstColumn="0" w:lastColumn="0" w:oddVBand="0" w:evenVBand="0" w:oddHBand="0" w:evenHBand="0" w:firstRowFirstColumn="0" w:firstRowLastColumn="0" w:lastRowFirstColumn="0" w:lastRowLastColumn="0"/>
        </w:trPr>
        <w:tc>
          <w:tcPr>
            <w:tcW w:w="3969" w:type="dxa"/>
          </w:tcPr>
          <w:p w14:paraId="1985BAB9" w14:textId="77777777" w:rsidR="00D210F0" w:rsidRPr="00092ED7" w:rsidRDefault="00D210F0" w:rsidP="005D14E2">
            <w:pPr>
              <w:spacing w:before="0" w:after="0"/>
              <w:ind w:left="113" w:right="113"/>
              <w:jc w:val="center"/>
              <w:rPr>
                <w:sz w:val="20"/>
                <w:lang w:val="sr-Cyrl-CS"/>
              </w:rPr>
            </w:pPr>
            <w:r w:rsidRPr="00092ED7">
              <w:rPr>
                <w:rFonts w:cs="Times New Roman"/>
                <w:sz w:val="20"/>
                <w:lang w:val="sr-Cyrl-CS"/>
              </w:rPr>
              <w:t>Показатељ</w:t>
            </w:r>
          </w:p>
        </w:tc>
        <w:tc>
          <w:tcPr>
            <w:tcW w:w="1701" w:type="dxa"/>
          </w:tcPr>
          <w:p w14:paraId="3A591AB5" w14:textId="77777777" w:rsidR="00D210F0" w:rsidRPr="00092ED7" w:rsidRDefault="00D210F0" w:rsidP="005D14E2">
            <w:pPr>
              <w:spacing w:before="0" w:after="0"/>
              <w:ind w:left="113" w:right="113"/>
              <w:jc w:val="center"/>
              <w:rPr>
                <w:sz w:val="20"/>
                <w:lang w:val="sr-Cyrl-CS"/>
              </w:rPr>
            </w:pPr>
            <w:r w:rsidRPr="00092ED7">
              <w:rPr>
                <w:rFonts w:cs="Times New Roman"/>
                <w:sz w:val="20"/>
                <w:lang w:val="sr-Cyrl-CS"/>
              </w:rPr>
              <w:t>Почетна вредност (202</w:t>
            </w:r>
            <w:r w:rsidR="006321C0" w:rsidRPr="00092ED7">
              <w:rPr>
                <w:rFonts w:cs="Times New Roman"/>
                <w:sz w:val="20"/>
                <w:lang w:val="sr-Cyrl-CS"/>
              </w:rPr>
              <w:t>2</w:t>
            </w:r>
            <w:r w:rsidRPr="00092ED7">
              <w:rPr>
                <w:rFonts w:cs="Times New Roman"/>
                <w:sz w:val="20"/>
                <w:lang w:val="sr-Cyrl-CS"/>
              </w:rPr>
              <w:t>)</w:t>
            </w:r>
          </w:p>
        </w:tc>
        <w:tc>
          <w:tcPr>
            <w:tcW w:w="1701" w:type="dxa"/>
          </w:tcPr>
          <w:p w14:paraId="076260E2" w14:textId="77777777" w:rsidR="00D210F0" w:rsidRPr="00092ED7" w:rsidRDefault="00D210F0" w:rsidP="005D14E2">
            <w:pPr>
              <w:spacing w:before="0" w:after="0"/>
              <w:ind w:left="113" w:right="113"/>
              <w:jc w:val="center"/>
              <w:rPr>
                <w:sz w:val="20"/>
                <w:lang w:val="sr-Cyrl-CS"/>
              </w:rPr>
            </w:pPr>
            <w:r w:rsidRPr="00092ED7">
              <w:rPr>
                <w:rFonts w:cs="Times New Roman"/>
                <w:sz w:val="20"/>
                <w:lang w:val="sr-Cyrl-CS"/>
              </w:rPr>
              <w:t>Међурезултат (2024)</w:t>
            </w:r>
          </w:p>
        </w:tc>
        <w:tc>
          <w:tcPr>
            <w:tcW w:w="1701" w:type="dxa"/>
          </w:tcPr>
          <w:p w14:paraId="642B6A62" w14:textId="77777777" w:rsidR="00D210F0" w:rsidRPr="00092ED7" w:rsidRDefault="00D210F0" w:rsidP="005D14E2">
            <w:pPr>
              <w:spacing w:before="0" w:after="0"/>
              <w:ind w:left="113" w:right="113"/>
              <w:jc w:val="center"/>
              <w:rPr>
                <w:sz w:val="20"/>
                <w:lang w:val="sr-Cyrl-CS"/>
              </w:rPr>
            </w:pPr>
            <w:r w:rsidRPr="00092ED7">
              <w:rPr>
                <w:rFonts w:cs="Times New Roman"/>
                <w:sz w:val="20"/>
                <w:lang w:val="sr-Cyrl-CS"/>
              </w:rPr>
              <w:t>Циљна вредност (202</w:t>
            </w:r>
            <w:r w:rsidR="006321C0" w:rsidRPr="00092ED7">
              <w:rPr>
                <w:rFonts w:cs="Times New Roman"/>
                <w:sz w:val="20"/>
                <w:lang w:val="sr-Cyrl-CS"/>
              </w:rPr>
              <w:t>7</w:t>
            </w:r>
            <w:r w:rsidRPr="00092ED7">
              <w:rPr>
                <w:rFonts w:cs="Times New Roman"/>
                <w:sz w:val="20"/>
                <w:lang w:val="sr-Cyrl-CS"/>
              </w:rPr>
              <w:t>)</w:t>
            </w:r>
          </w:p>
        </w:tc>
      </w:tr>
      <w:tr w:rsidR="00D210F0" w:rsidRPr="00092ED7" w14:paraId="0DC1A114" w14:textId="77777777" w:rsidTr="00AE4362">
        <w:trPr>
          <w:trHeight w:val="283"/>
        </w:trPr>
        <w:tc>
          <w:tcPr>
            <w:tcW w:w="3969" w:type="dxa"/>
          </w:tcPr>
          <w:p w14:paraId="55CF4893" w14:textId="111FC4DD" w:rsidR="00D210F0" w:rsidRPr="00092ED7" w:rsidRDefault="006321C0" w:rsidP="005D14E2">
            <w:pPr>
              <w:spacing w:before="0" w:after="0"/>
              <w:ind w:left="113" w:right="113"/>
              <w:rPr>
                <w:sz w:val="20"/>
                <w:lang w:val="sr-Cyrl-CS"/>
              </w:rPr>
            </w:pPr>
            <w:r w:rsidRPr="00092ED7">
              <w:rPr>
                <w:rFonts w:cs="Times New Roman"/>
                <w:sz w:val="20"/>
                <w:lang w:val="sr-Cyrl-CS"/>
              </w:rPr>
              <w:t xml:space="preserve">Повећање вредности нето преносних капацитета (NTC) на граници са </w:t>
            </w:r>
            <w:r w:rsidR="006D400E" w:rsidRPr="00092ED7">
              <w:rPr>
                <w:rFonts w:cs="Times New Roman"/>
                <w:sz w:val="20"/>
                <w:lang w:val="sr-Cyrl-CS"/>
              </w:rPr>
              <w:t>Босном и Херцеговином</w:t>
            </w:r>
          </w:p>
        </w:tc>
        <w:tc>
          <w:tcPr>
            <w:tcW w:w="1701" w:type="dxa"/>
          </w:tcPr>
          <w:p w14:paraId="0C20001B" w14:textId="77777777" w:rsidR="00D210F0" w:rsidRPr="00092ED7" w:rsidRDefault="00277983" w:rsidP="005D14E2">
            <w:pPr>
              <w:spacing w:before="0" w:after="0"/>
              <w:ind w:left="113" w:right="113"/>
              <w:jc w:val="center"/>
              <w:rPr>
                <w:rFonts w:cs="Times New Roman"/>
                <w:sz w:val="20"/>
                <w:lang w:val="sr-Cyrl-CS"/>
              </w:rPr>
            </w:pPr>
            <w:r w:rsidRPr="00092ED7">
              <w:rPr>
                <w:rFonts w:cs="Times New Roman"/>
                <w:sz w:val="20"/>
                <w:lang w:val="sr-Cyrl-CS"/>
              </w:rPr>
              <w:t>0 MW</w:t>
            </w:r>
          </w:p>
        </w:tc>
        <w:tc>
          <w:tcPr>
            <w:tcW w:w="1701" w:type="dxa"/>
          </w:tcPr>
          <w:p w14:paraId="42B0B0F9" w14:textId="77777777" w:rsidR="00D210F0" w:rsidRPr="00092ED7" w:rsidRDefault="00277983" w:rsidP="005D14E2">
            <w:pPr>
              <w:spacing w:before="0" w:after="0"/>
              <w:ind w:left="113" w:right="113"/>
              <w:jc w:val="center"/>
              <w:rPr>
                <w:rFonts w:cs="Times New Roman"/>
                <w:sz w:val="20"/>
                <w:lang w:val="sr-Cyrl-CS"/>
              </w:rPr>
            </w:pPr>
            <w:r w:rsidRPr="00092ED7">
              <w:rPr>
                <w:rFonts w:cs="Times New Roman"/>
                <w:sz w:val="20"/>
                <w:lang w:val="sr-Cyrl-CS"/>
              </w:rPr>
              <w:t>0 MW</w:t>
            </w:r>
          </w:p>
        </w:tc>
        <w:tc>
          <w:tcPr>
            <w:tcW w:w="1701" w:type="dxa"/>
          </w:tcPr>
          <w:p w14:paraId="0F821DE5" w14:textId="77777777" w:rsidR="00D210F0" w:rsidRPr="00092ED7" w:rsidRDefault="00BB279D" w:rsidP="00BB279D">
            <w:pPr>
              <w:spacing w:before="0" w:after="0"/>
              <w:ind w:left="113" w:right="113"/>
              <w:jc w:val="center"/>
              <w:rPr>
                <w:rFonts w:cs="Times New Roman"/>
                <w:sz w:val="20"/>
                <w:lang w:val="sr-Cyrl-CS"/>
              </w:rPr>
            </w:pPr>
            <w:r w:rsidRPr="00092ED7">
              <w:rPr>
                <w:rFonts w:eastAsiaTheme="minorHAnsi" w:cs="Times New Roman"/>
                <w:sz w:val="20"/>
                <w:szCs w:val="22"/>
                <w:lang w:val="sr-Cyrl-CS" w:eastAsia="en-US"/>
              </w:rPr>
              <w:t>710 MW</w:t>
            </w:r>
          </w:p>
        </w:tc>
      </w:tr>
      <w:tr w:rsidR="00D210F0" w:rsidRPr="00092ED7" w14:paraId="3245613B" w14:textId="77777777" w:rsidTr="00AE4362">
        <w:trPr>
          <w:trHeight w:val="283"/>
        </w:trPr>
        <w:tc>
          <w:tcPr>
            <w:tcW w:w="3969" w:type="dxa"/>
          </w:tcPr>
          <w:p w14:paraId="584D294C" w14:textId="77777777" w:rsidR="00D210F0" w:rsidRPr="00092ED7" w:rsidRDefault="006321C0" w:rsidP="005D14E2">
            <w:pPr>
              <w:spacing w:before="0" w:after="0"/>
              <w:ind w:left="113" w:right="113"/>
              <w:rPr>
                <w:sz w:val="20"/>
                <w:lang w:val="sr-Cyrl-CS"/>
              </w:rPr>
            </w:pPr>
            <w:r w:rsidRPr="00092ED7">
              <w:rPr>
                <w:rFonts w:cs="Times New Roman"/>
                <w:sz w:val="20"/>
                <w:lang w:val="sr-Cyrl-CS"/>
              </w:rPr>
              <w:t>Повећање вредности нето преносних капацитета (NTC) на граници са Црном Гором</w:t>
            </w:r>
          </w:p>
        </w:tc>
        <w:tc>
          <w:tcPr>
            <w:tcW w:w="1701" w:type="dxa"/>
          </w:tcPr>
          <w:p w14:paraId="233628D2" w14:textId="77777777" w:rsidR="00D210F0" w:rsidRPr="00092ED7" w:rsidRDefault="00277983" w:rsidP="005D14E2">
            <w:pPr>
              <w:spacing w:before="0" w:after="0"/>
              <w:ind w:left="113" w:right="113"/>
              <w:jc w:val="center"/>
              <w:rPr>
                <w:rFonts w:cs="Times New Roman"/>
                <w:sz w:val="20"/>
                <w:lang w:val="sr-Cyrl-CS"/>
              </w:rPr>
            </w:pPr>
            <w:r w:rsidRPr="00092ED7">
              <w:rPr>
                <w:rFonts w:cs="Times New Roman"/>
                <w:sz w:val="20"/>
                <w:lang w:val="sr-Cyrl-CS"/>
              </w:rPr>
              <w:t>0 MW</w:t>
            </w:r>
          </w:p>
        </w:tc>
        <w:tc>
          <w:tcPr>
            <w:tcW w:w="1701" w:type="dxa"/>
          </w:tcPr>
          <w:p w14:paraId="6FC8BC74" w14:textId="77777777" w:rsidR="00D210F0" w:rsidRPr="00092ED7" w:rsidRDefault="00277983" w:rsidP="005D14E2">
            <w:pPr>
              <w:spacing w:before="0" w:after="0"/>
              <w:ind w:left="113" w:right="113"/>
              <w:jc w:val="center"/>
              <w:rPr>
                <w:rFonts w:cs="Times New Roman"/>
                <w:sz w:val="20"/>
                <w:lang w:val="sr-Cyrl-CS"/>
              </w:rPr>
            </w:pPr>
            <w:r w:rsidRPr="00092ED7">
              <w:rPr>
                <w:rFonts w:cs="Times New Roman"/>
                <w:sz w:val="20"/>
                <w:lang w:val="sr-Cyrl-CS"/>
              </w:rPr>
              <w:t>0 MW</w:t>
            </w:r>
          </w:p>
        </w:tc>
        <w:tc>
          <w:tcPr>
            <w:tcW w:w="1701" w:type="dxa"/>
          </w:tcPr>
          <w:p w14:paraId="02F2A8E1" w14:textId="77777777" w:rsidR="00D210F0" w:rsidRPr="00092ED7" w:rsidRDefault="0025143A" w:rsidP="0025143A">
            <w:pPr>
              <w:spacing w:before="0" w:after="0"/>
              <w:ind w:left="113" w:right="113"/>
              <w:jc w:val="center"/>
              <w:rPr>
                <w:rFonts w:cs="Times New Roman"/>
                <w:sz w:val="20"/>
                <w:lang w:val="sr-Cyrl-CS"/>
              </w:rPr>
            </w:pPr>
            <w:r w:rsidRPr="00092ED7">
              <w:rPr>
                <w:rFonts w:eastAsiaTheme="minorHAnsi" w:cs="Times New Roman"/>
                <w:sz w:val="20"/>
                <w:szCs w:val="22"/>
                <w:lang w:val="sr-Cyrl-CS" w:eastAsia="en-US"/>
              </w:rPr>
              <w:t>430 MW</w:t>
            </w:r>
          </w:p>
        </w:tc>
      </w:tr>
      <w:tr w:rsidR="00D210F0" w:rsidRPr="00092ED7" w14:paraId="434B77A0" w14:textId="77777777" w:rsidTr="00AE4362">
        <w:trPr>
          <w:trHeight w:val="283"/>
        </w:trPr>
        <w:tc>
          <w:tcPr>
            <w:tcW w:w="3969" w:type="dxa"/>
          </w:tcPr>
          <w:p w14:paraId="2AAFF5B2" w14:textId="77777777" w:rsidR="00D210F0" w:rsidRPr="00092ED7" w:rsidRDefault="006321C0" w:rsidP="005D14E2">
            <w:pPr>
              <w:spacing w:before="0" w:after="0"/>
              <w:ind w:left="113" w:right="113"/>
              <w:rPr>
                <w:sz w:val="20"/>
                <w:lang w:val="sr-Cyrl-CS"/>
              </w:rPr>
            </w:pPr>
            <w:r w:rsidRPr="00092ED7">
              <w:rPr>
                <w:rFonts w:cs="Times New Roman"/>
                <w:sz w:val="20"/>
                <w:lang w:val="sr-Cyrl-CS"/>
              </w:rPr>
              <w:t>Oмогућавање прикључења нових производних капацитета за потребе балансирања система</w:t>
            </w:r>
          </w:p>
        </w:tc>
        <w:tc>
          <w:tcPr>
            <w:tcW w:w="1701" w:type="dxa"/>
          </w:tcPr>
          <w:p w14:paraId="3B716F4D" w14:textId="77777777" w:rsidR="00D210F0" w:rsidRPr="00092ED7" w:rsidRDefault="00277983" w:rsidP="005D14E2">
            <w:pPr>
              <w:spacing w:before="0" w:after="0"/>
              <w:ind w:left="113" w:right="113"/>
              <w:jc w:val="center"/>
              <w:rPr>
                <w:rFonts w:cs="Times New Roman"/>
                <w:sz w:val="20"/>
                <w:lang w:val="sr-Cyrl-CS"/>
              </w:rPr>
            </w:pPr>
            <w:r w:rsidRPr="00092ED7">
              <w:rPr>
                <w:rFonts w:cs="Times New Roman"/>
                <w:sz w:val="20"/>
                <w:lang w:val="sr-Cyrl-CS"/>
              </w:rPr>
              <w:t>0 MW</w:t>
            </w:r>
          </w:p>
        </w:tc>
        <w:tc>
          <w:tcPr>
            <w:tcW w:w="1701" w:type="dxa"/>
          </w:tcPr>
          <w:p w14:paraId="09C7BB50" w14:textId="77777777" w:rsidR="00D210F0" w:rsidRPr="00092ED7" w:rsidRDefault="00277983" w:rsidP="005D14E2">
            <w:pPr>
              <w:spacing w:before="0" w:after="0"/>
              <w:ind w:left="113" w:right="113"/>
              <w:jc w:val="center"/>
              <w:rPr>
                <w:rFonts w:cs="Times New Roman"/>
                <w:sz w:val="20"/>
                <w:lang w:val="sr-Cyrl-CS"/>
              </w:rPr>
            </w:pPr>
            <w:r w:rsidRPr="00092ED7">
              <w:rPr>
                <w:rFonts w:cs="Times New Roman"/>
                <w:sz w:val="20"/>
                <w:lang w:val="sr-Cyrl-CS"/>
              </w:rPr>
              <w:t>0 MW</w:t>
            </w:r>
          </w:p>
        </w:tc>
        <w:tc>
          <w:tcPr>
            <w:tcW w:w="1701" w:type="dxa"/>
          </w:tcPr>
          <w:p w14:paraId="4E699379" w14:textId="77777777" w:rsidR="00D210F0" w:rsidRPr="00092ED7" w:rsidRDefault="0025143A" w:rsidP="0025143A">
            <w:pPr>
              <w:spacing w:before="0" w:after="0"/>
              <w:ind w:left="113" w:right="113"/>
              <w:jc w:val="center"/>
              <w:rPr>
                <w:rFonts w:cs="Times New Roman"/>
                <w:sz w:val="20"/>
                <w:lang w:val="sr-Cyrl-CS"/>
              </w:rPr>
            </w:pPr>
            <w:r w:rsidRPr="00092ED7">
              <w:rPr>
                <w:rFonts w:eastAsiaTheme="minorHAnsi" w:cs="Times New Roman"/>
                <w:sz w:val="20"/>
                <w:szCs w:val="22"/>
                <w:lang w:val="sr-Cyrl-CS" w:eastAsia="en-US"/>
              </w:rPr>
              <w:t>&gt;700 MW</w:t>
            </w:r>
          </w:p>
        </w:tc>
      </w:tr>
      <w:tr w:rsidR="00D210F0" w:rsidRPr="00092ED7" w14:paraId="1868E3DB" w14:textId="77777777" w:rsidTr="00AE4362">
        <w:trPr>
          <w:trHeight w:val="283"/>
        </w:trPr>
        <w:tc>
          <w:tcPr>
            <w:tcW w:w="3969" w:type="dxa"/>
          </w:tcPr>
          <w:p w14:paraId="413919D4" w14:textId="77777777" w:rsidR="00D210F0" w:rsidRPr="00092ED7" w:rsidRDefault="006321C0" w:rsidP="005D14E2">
            <w:pPr>
              <w:spacing w:before="0" w:after="0"/>
              <w:ind w:left="113" w:right="113"/>
              <w:rPr>
                <w:sz w:val="20"/>
                <w:lang w:val="sr-Cyrl-CS"/>
              </w:rPr>
            </w:pPr>
            <w:r w:rsidRPr="00092ED7">
              <w:rPr>
                <w:rFonts w:cs="Times New Roman"/>
                <w:sz w:val="20"/>
                <w:lang w:val="sr-Cyrl-CS"/>
              </w:rPr>
              <w:t>Смањење губитака енергије у преносном систему на годишњем нивоу</w:t>
            </w:r>
          </w:p>
        </w:tc>
        <w:tc>
          <w:tcPr>
            <w:tcW w:w="1701" w:type="dxa"/>
          </w:tcPr>
          <w:p w14:paraId="46A0B8A6" w14:textId="77777777" w:rsidR="00D210F0" w:rsidRPr="00092ED7" w:rsidRDefault="00277983" w:rsidP="005D14E2">
            <w:pPr>
              <w:spacing w:before="0" w:after="0"/>
              <w:ind w:left="113" w:right="113"/>
              <w:jc w:val="center"/>
              <w:rPr>
                <w:rFonts w:cs="Times New Roman"/>
                <w:sz w:val="20"/>
                <w:lang w:val="sr-Cyrl-CS"/>
              </w:rPr>
            </w:pPr>
            <w:r w:rsidRPr="00092ED7">
              <w:rPr>
                <w:rFonts w:cs="Times New Roman"/>
                <w:sz w:val="20"/>
                <w:lang w:val="sr-Cyrl-CS"/>
              </w:rPr>
              <w:t>0 GWh</w:t>
            </w:r>
          </w:p>
        </w:tc>
        <w:tc>
          <w:tcPr>
            <w:tcW w:w="1701" w:type="dxa"/>
          </w:tcPr>
          <w:p w14:paraId="1ED8A1F5" w14:textId="77777777" w:rsidR="00D210F0" w:rsidRPr="00092ED7" w:rsidRDefault="00277983" w:rsidP="005D14E2">
            <w:pPr>
              <w:spacing w:before="0" w:after="0"/>
              <w:ind w:left="113" w:right="113"/>
              <w:jc w:val="center"/>
              <w:rPr>
                <w:rFonts w:cs="Times New Roman"/>
                <w:sz w:val="20"/>
                <w:lang w:val="sr-Cyrl-CS"/>
              </w:rPr>
            </w:pPr>
            <w:r w:rsidRPr="00092ED7">
              <w:rPr>
                <w:rFonts w:cs="Times New Roman"/>
                <w:sz w:val="20"/>
                <w:lang w:val="sr-Cyrl-CS"/>
              </w:rPr>
              <w:t>0 GWh</w:t>
            </w:r>
          </w:p>
        </w:tc>
        <w:tc>
          <w:tcPr>
            <w:tcW w:w="1701" w:type="dxa"/>
          </w:tcPr>
          <w:p w14:paraId="77C9EBD3" w14:textId="77777777" w:rsidR="00D210F0" w:rsidRPr="00092ED7" w:rsidRDefault="0025143A" w:rsidP="0025143A">
            <w:pPr>
              <w:spacing w:before="0" w:after="0"/>
              <w:ind w:left="113" w:right="113"/>
              <w:jc w:val="center"/>
              <w:rPr>
                <w:rFonts w:cs="Times New Roman"/>
                <w:sz w:val="20"/>
                <w:lang w:val="sr-Cyrl-CS"/>
              </w:rPr>
            </w:pPr>
            <w:r w:rsidRPr="00092ED7">
              <w:rPr>
                <w:rFonts w:eastAsiaTheme="minorHAnsi" w:cs="Times New Roman"/>
                <w:sz w:val="20"/>
                <w:szCs w:val="22"/>
                <w:lang w:val="sr-Cyrl-CS" w:eastAsia="en-US"/>
              </w:rPr>
              <w:t>11 GWh</w:t>
            </w:r>
          </w:p>
        </w:tc>
      </w:tr>
    </w:tbl>
    <w:p w14:paraId="0AFA191C" w14:textId="77777777" w:rsidR="00D210F0" w:rsidRPr="00092ED7" w:rsidRDefault="00D210F0" w:rsidP="00071952">
      <w:pPr>
        <w:pStyle w:val="ListParagraph"/>
        <w:widowControl w:val="0"/>
        <w:numPr>
          <w:ilvl w:val="0"/>
          <w:numId w:val="27"/>
        </w:numPr>
        <w:spacing w:before="120" w:line="240" w:lineRule="auto"/>
        <w:ind w:left="425" w:hanging="425"/>
        <w:contextualSpacing w:val="0"/>
        <w:rPr>
          <w:rFonts w:cs="Times New Roman"/>
          <w:b/>
          <w:sz w:val="24"/>
          <w:szCs w:val="24"/>
          <w:lang w:val="sr-Cyrl-CS" w:eastAsia="sr-Cyrl-CS" w:bidi="sr-Cyrl-CS"/>
        </w:rPr>
      </w:pPr>
      <w:r w:rsidRPr="00092ED7">
        <w:rPr>
          <w:rFonts w:cs="Times New Roman"/>
          <w:b/>
          <w:sz w:val="24"/>
          <w:szCs w:val="24"/>
          <w:lang w:val="sr-Cyrl-CS" w:eastAsia="sr-Cyrl-CS" w:bidi="sr-Cyrl-CS"/>
        </w:rPr>
        <w:lastRenderedPageBreak/>
        <w:t>Очекивани утицај на конкурентност</w:t>
      </w:r>
    </w:p>
    <w:p w14:paraId="37A204C4" w14:textId="77777777" w:rsidR="00D210F0" w:rsidRPr="00092ED7" w:rsidRDefault="00D210F0" w:rsidP="00D210F0">
      <w:pPr>
        <w:widowControl w:val="0"/>
        <w:spacing w:after="60"/>
        <w:rPr>
          <w:rFonts w:eastAsia="Calibri" w:cs="Times New Roman"/>
          <w:szCs w:val="24"/>
          <w:lang w:val="sr-Cyrl-CS" w:eastAsia="sr-Cyrl-CS" w:bidi="sr-Cyrl-CS"/>
        </w:rPr>
      </w:pPr>
      <w:r w:rsidRPr="00092ED7">
        <w:rPr>
          <w:rFonts w:eastAsia="Calibri" w:cs="Times New Roman"/>
          <w:szCs w:val="24"/>
          <w:lang w:val="sr-Cyrl-CS" w:eastAsia="sr-Cyrl-CS" w:bidi="sr-Cyrl-CS"/>
        </w:rPr>
        <w:t>Ова мера може да има утицаја на умањење разлика у велепродајној цени електричне енергије између Западног Балкана и Италије. На умањење разлика у цени, велики утицај има и динамика изградње друге жиле подморског кабла између Црне Горе и Италије. Прва фаза изградње овог кабла је завршена, и кабл капацитета 600 МW је пуштен у погон у новембру 2019. године.</w:t>
      </w:r>
    </w:p>
    <w:p w14:paraId="5D9D9284" w14:textId="77777777" w:rsidR="00D210F0" w:rsidRPr="00092ED7" w:rsidRDefault="00D210F0" w:rsidP="00071952">
      <w:pPr>
        <w:widowControl w:val="0"/>
        <w:numPr>
          <w:ilvl w:val="0"/>
          <w:numId w:val="27"/>
        </w:numPr>
        <w:spacing w:before="120"/>
        <w:ind w:left="425" w:hanging="425"/>
        <w:rPr>
          <w:rFonts w:eastAsia="Calibri" w:cs="Times New Roman"/>
          <w:b/>
          <w:szCs w:val="24"/>
          <w:lang w:val="sr-Cyrl-CS" w:eastAsia="sr-Cyrl-CS" w:bidi="sr-Cyrl-CS"/>
        </w:rPr>
      </w:pPr>
      <w:r w:rsidRPr="00092ED7">
        <w:rPr>
          <w:rFonts w:eastAsia="Calibri" w:cs="Times New Roman"/>
          <w:b/>
          <w:szCs w:val="24"/>
          <w:lang w:val="sr-Cyrl-CS" w:eastAsia="sr-Cyrl-CS" w:bidi="sr-Cyrl-CS"/>
        </w:rPr>
        <w:t>Процењени трошкови активности и извори финансирања</w:t>
      </w:r>
    </w:p>
    <w:p w14:paraId="010ABE74" w14:textId="0AD01713" w:rsidR="00A450D4" w:rsidRPr="00092ED7" w:rsidRDefault="00A450D4" w:rsidP="00616441">
      <w:pPr>
        <w:widowControl w:val="0"/>
        <w:spacing w:after="60"/>
        <w:rPr>
          <w:rFonts w:eastAsia="Calibri" w:cs="Times New Roman"/>
          <w:szCs w:val="24"/>
          <w:lang w:val="sr-Cyrl-CS" w:eastAsia="sr-Cyrl-CS" w:bidi="sr-Cyrl-CS"/>
        </w:rPr>
      </w:pPr>
      <w:r w:rsidRPr="00092ED7">
        <w:rPr>
          <w:rFonts w:eastAsia="Times New Roman" w:cs="Times New Roman"/>
          <w:lang w:val="sr-Cyrl-CS"/>
        </w:rPr>
        <w:t xml:space="preserve">Изградња система за пренос електричне енергије Трансбалкански коридор (III и IV секција) </w:t>
      </w:r>
      <w:r w:rsidRPr="00092ED7">
        <w:rPr>
          <w:rFonts w:eastAsia="Calibri" w:cs="Times New Roman"/>
          <w:szCs w:val="24"/>
          <w:lang w:val="sr-Cyrl-CS" w:eastAsia="sr-Cyrl-CS" w:bidi="sr-Cyrl-CS"/>
        </w:rPr>
        <w:t xml:space="preserve">финансираће се из сопствених средстава </w:t>
      </w:r>
      <w:r w:rsidR="00B16622" w:rsidRPr="00092ED7">
        <w:rPr>
          <w:rFonts w:eastAsia="MS PGothic" w:cs="Times New Roman"/>
          <w:bCs/>
          <w:iCs/>
          <w:szCs w:val="24"/>
          <w:lang w:val="sr-Cyrl-CS" w:eastAsia="ja-JP"/>
        </w:rPr>
        <w:t>АД „Електромрежа Србије</w:t>
      </w:r>
      <w:r w:rsidR="00DB6C56" w:rsidRPr="00092ED7">
        <w:rPr>
          <w:rFonts w:eastAsia="MS PGothic" w:cs="Times New Roman"/>
          <w:bCs/>
          <w:iCs/>
          <w:szCs w:val="24"/>
          <w:lang w:val="sr-Cyrl-CS" w:eastAsia="ja-JP"/>
        </w:rPr>
        <w:t>ˮ</w:t>
      </w:r>
      <w:r w:rsidRPr="00092ED7">
        <w:rPr>
          <w:rFonts w:eastAsia="Calibri" w:cs="Times New Roman"/>
          <w:szCs w:val="24"/>
          <w:lang w:val="sr-Cyrl-CS" w:eastAsia="sr-Cyrl-CS" w:bidi="sr-Cyrl-CS"/>
        </w:rPr>
        <w:t>, WBIF донација и кредита.</w:t>
      </w:r>
    </w:p>
    <w:p w14:paraId="14391C38" w14:textId="047096BA" w:rsidR="00A450D4" w:rsidRPr="00092ED7" w:rsidRDefault="00A450D4" w:rsidP="00616441">
      <w:pPr>
        <w:widowControl w:val="0"/>
        <w:spacing w:after="60"/>
        <w:rPr>
          <w:rFonts w:eastAsia="Calibri" w:cs="Times New Roman"/>
          <w:szCs w:val="24"/>
          <w:lang w:val="sr-Cyrl-CS" w:eastAsia="sr-Cyrl-CS" w:bidi="sr-Cyrl-CS"/>
        </w:rPr>
      </w:pPr>
      <w:r w:rsidRPr="00092ED7">
        <w:rPr>
          <w:rFonts w:eastAsia="Calibri" w:cs="Times New Roman"/>
          <w:szCs w:val="24"/>
          <w:lang w:val="sr-Cyrl-CS" w:eastAsia="sr-Cyrl-CS" w:bidi="sr-Cyrl-CS"/>
        </w:rPr>
        <w:t>Укупна планирана вредност пројекта изградње секциј</w:t>
      </w:r>
      <w:r w:rsidR="004B25FB" w:rsidRPr="00092ED7">
        <w:rPr>
          <w:rFonts w:eastAsia="Calibri" w:cs="Times New Roman"/>
          <w:szCs w:val="24"/>
          <w:lang w:val="sr-Cyrl-CS" w:eastAsia="sr-Cyrl-CS" w:bidi="sr-Cyrl-CS"/>
        </w:rPr>
        <w:t xml:space="preserve">а 3 и 4 </w:t>
      </w:r>
      <w:r w:rsidRPr="00092ED7">
        <w:rPr>
          <w:rFonts w:eastAsia="Calibri" w:cs="Times New Roman"/>
          <w:szCs w:val="24"/>
          <w:lang w:val="sr-Cyrl-CS" w:eastAsia="sr-Cyrl-CS" w:bidi="sr-Cyrl-CS"/>
        </w:rPr>
        <w:t xml:space="preserve"> износи 130,5 милиона евра (III секција 89,68 милиона евра, односно IV секција 40,8 милиона евра).</w:t>
      </w:r>
    </w:p>
    <w:p w14:paraId="6DFC4D09" w14:textId="6E530F3F" w:rsidR="00A450D4" w:rsidRPr="00092ED7" w:rsidRDefault="00A450D4" w:rsidP="00616441">
      <w:pPr>
        <w:widowControl w:val="0"/>
        <w:spacing w:after="60"/>
        <w:rPr>
          <w:rFonts w:eastAsia="Calibri" w:cs="Times New Roman"/>
          <w:szCs w:val="24"/>
          <w:lang w:val="sr-Cyrl-CS" w:eastAsia="sr-Cyrl-CS" w:bidi="sr-Cyrl-CS"/>
        </w:rPr>
      </w:pPr>
      <w:r w:rsidRPr="00092ED7">
        <w:rPr>
          <w:rFonts w:eastAsia="Calibri" w:cs="Times New Roman"/>
          <w:szCs w:val="24"/>
          <w:lang w:val="sr-Cyrl-CS" w:eastAsia="sr-Cyrl-CS" w:bidi="sr-Cyrl-CS"/>
        </w:rPr>
        <w:t xml:space="preserve">До 2023 – планирана сопствена средства </w:t>
      </w:r>
      <w:r w:rsidR="00B16622" w:rsidRPr="00092ED7">
        <w:rPr>
          <w:rFonts w:eastAsia="MS PGothic" w:cs="Times New Roman"/>
          <w:bCs/>
          <w:iCs/>
          <w:szCs w:val="24"/>
          <w:lang w:val="sr-Cyrl-CS" w:eastAsia="ja-JP"/>
        </w:rPr>
        <w:t>АД „Електромрежа Србије</w:t>
      </w:r>
      <w:r w:rsidR="00DB6C56" w:rsidRPr="00092ED7">
        <w:rPr>
          <w:rFonts w:eastAsia="MS PGothic" w:cs="Times New Roman"/>
          <w:bCs/>
          <w:iCs/>
          <w:szCs w:val="24"/>
          <w:lang w:val="sr-Cyrl-CS" w:eastAsia="ja-JP"/>
        </w:rPr>
        <w:t xml:space="preserve">ˮ </w:t>
      </w:r>
      <w:r w:rsidRPr="00092ED7">
        <w:rPr>
          <w:rFonts w:eastAsia="Calibri" w:cs="Times New Roman"/>
          <w:szCs w:val="24"/>
          <w:lang w:val="sr-Cyrl-CS" w:eastAsia="sr-Cyrl-CS" w:bidi="sr-Cyrl-CS"/>
        </w:rPr>
        <w:t>950.000 евра, донација 4.174.000 евра;</w:t>
      </w:r>
    </w:p>
    <w:p w14:paraId="03243C8F" w14:textId="037CCE24" w:rsidR="00A450D4" w:rsidRPr="00092ED7" w:rsidRDefault="00A450D4" w:rsidP="00616441">
      <w:pPr>
        <w:widowControl w:val="0"/>
        <w:spacing w:after="60"/>
        <w:rPr>
          <w:rFonts w:eastAsia="Calibri" w:cs="Times New Roman"/>
          <w:szCs w:val="24"/>
          <w:lang w:val="sr-Cyrl-CS" w:eastAsia="sr-Cyrl-CS" w:bidi="sr-Cyrl-CS"/>
        </w:rPr>
      </w:pPr>
      <w:r w:rsidRPr="00092ED7">
        <w:rPr>
          <w:rFonts w:eastAsia="Calibri" w:cs="Times New Roman"/>
          <w:szCs w:val="24"/>
          <w:lang w:val="sr-Cyrl-CS" w:eastAsia="sr-Cyrl-CS" w:bidi="sr-Cyrl-CS"/>
        </w:rPr>
        <w:t>Укупни трошкови реализације секција 3 и 4 у периоду 2023 – 2027</w:t>
      </w:r>
      <w:r w:rsidR="00DB6C56" w:rsidRPr="00092ED7">
        <w:rPr>
          <w:rFonts w:eastAsia="Calibri" w:cs="Times New Roman"/>
          <w:szCs w:val="24"/>
          <w:lang w:val="sr-Cyrl-CS" w:eastAsia="sr-Cyrl-CS" w:bidi="sr-Cyrl-CS"/>
        </w:rPr>
        <w:t>.</w:t>
      </w:r>
      <w:r w:rsidRPr="00092ED7">
        <w:rPr>
          <w:rFonts w:eastAsia="Calibri" w:cs="Times New Roman"/>
          <w:szCs w:val="24"/>
          <w:lang w:val="sr-Cyrl-CS" w:eastAsia="sr-Cyrl-CS" w:bidi="sr-Cyrl-CS"/>
        </w:rPr>
        <w:t xml:space="preserve"> године износиће 125,3 милиона евра при чему су процењени трошкови за наредни трогодишњи период</w:t>
      </w:r>
      <w:r w:rsidR="008934ED" w:rsidRPr="00092ED7">
        <w:rPr>
          <w:rFonts w:eastAsia="Calibri" w:cs="Times New Roman"/>
          <w:szCs w:val="24"/>
          <w:lang w:val="sr-Cyrl-CS" w:eastAsia="sr-Cyrl-CS" w:bidi="sr-Cyrl-CS"/>
        </w:rPr>
        <w:t>,</w:t>
      </w:r>
      <w:r w:rsidR="008934ED" w:rsidRPr="00092ED7">
        <w:rPr>
          <w:rFonts w:eastAsia="Times New Roman" w:cs="Times New Roman"/>
          <w:lang w:val="sr-Cyrl-CS"/>
        </w:rPr>
        <w:t xml:space="preserve"> према предлогу Годишњег програма пословања </w:t>
      </w:r>
      <w:r w:rsidR="00846C55" w:rsidRPr="00092ED7">
        <w:rPr>
          <w:rFonts w:cs="Times New Roman"/>
          <w:bCs/>
          <w:iCs/>
          <w:szCs w:val="24"/>
          <w:lang w:val="sr-Cyrl-CS"/>
        </w:rPr>
        <w:t>АД „Електромрежа Србије</w:t>
      </w:r>
      <w:r w:rsidR="004B25FB" w:rsidRPr="00092ED7">
        <w:rPr>
          <w:rFonts w:cs="Times New Roman"/>
          <w:bCs/>
          <w:iCs/>
          <w:szCs w:val="24"/>
          <w:lang w:val="sr-Cyrl-CS"/>
        </w:rPr>
        <w:t>ˮ</w:t>
      </w:r>
      <w:r w:rsidR="004B24D4" w:rsidRPr="00092ED7">
        <w:rPr>
          <w:rFonts w:cs="Times New Roman"/>
          <w:bCs/>
          <w:iCs/>
          <w:szCs w:val="24"/>
          <w:lang w:val="sr-Cyrl-CS"/>
        </w:rPr>
        <w:t xml:space="preserve"> </w:t>
      </w:r>
      <w:r w:rsidR="008934ED" w:rsidRPr="00092ED7">
        <w:rPr>
          <w:rFonts w:eastAsia="Times New Roman" w:cs="Times New Roman"/>
          <w:lang w:val="sr-Cyrl-CS"/>
        </w:rPr>
        <w:t>за 2023</w:t>
      </w:r>
      <w:r w:rsidRPr="00092ED7">
        <w:rPr>
          <w:rFonts w:eastAsia="Calibri" w:cs="Times New Roman"/>
          <w:szCs w:val="24"/>
          <w:lang w:val="sr-Cyrl-CS" w:eastAsia="sr-Cyrl-CS" w:bidi="sr-Cyrl-CS"/>
        </w:rPr>
        <w:t>:</w:t>
      </w:r>
    </w:p>
    <w:p w14:paraId="2033F392" w14:textId="65FCDE11" w:rsidR="00A450D4" w:rsidRPr="00092ED7" w:rsidRDefault="00A450D4" w:rsidP="00616441">
      <w:pPr>
        <w:pStyle w:val="ListParagraph"/>
        <w:widowControl w:val="0"/>
        <w:numPr>
          <w:ilvl w:val="0"/>
          <w:numId w:val="52"/>
        </w:numPr>
        <w:spacing w:after="60"/>
        <w:rPr>
          <w:rFonts w:eastAsia="Calibri" w:cs="Times New Roman"/>
          <w:sz w:val="24"/>
          <w:szCs w:val="24"/>
          <w:lang w:val="sr-Cyrl-CS" w:eastAsia="sr-Cyrl-CS" w:bidi="sr-Cyrl-CS"/>
        </w:rPr>
      </w:pPr>
      <w:r w:rsidRPr="00092ED7">
        <w:rPr>
          <w:rFonts w:eastAsia="Calibri" w:cs="Times New Roman"/>
          <w:sz w:val="24"/>
          <w:szCs w:val="24"/>
          <w:lang w:val="sr-Cyrl-CS" w:eastAsia="sr-Cyrl-CS" w:bidi="sr-Cyrl-CS"/>
        </w:rPr>
        <w:t xml:space="preserve">2023 – планирана сопствена средства </w:t>
      </w:r>
      <w:r w:rsidR="00B16622" w:rsidRPr="00092ED7">
        <w:rPr>
          <w:rFonts w:cs="Times New Roman"/>
          <w:bCs/>
          <w:iCs/>
          <w:sz w:val="24"/>
          <w:szCs w:val="24"/>
          <w:lang w:val="sr-Cyrl-CS"/>
        </w:rPr>
        <w:t>АД „Електромрежа Србије</w:t>
      </w:r>
      <w:r w:rsidR="00DB6C56" w:rsidRPr="00092ED7">
        <w:rPr>
          <w:rFonts w:cs="Times New Roman"/>
          <w:bCs/>
          <w:iCs/>
          <w:sz w:val="24"/>
          <w:szCs w:val="24"/>
          <w:lang w:val="sr-Cyrl-CS"/>
        </w:rPr>
        <w:t>ˮ</w:t>
      </w:r>
      <w:r w:rsidR="004B24D4" w:rsidRPr="00092ED7">
        <w:rPr>
          <w:rFonts w:cs="Times New Roman"/>
          <w:bCs/>
          <w:iCs/>
          <w:sz w:val="24"/>
          <w:szCs w:val="24"/>
          <w:lang w:val="sr-Cyrl-CS"/>
        </w:rPr>
        <w:t xml:space="preserve"> </w:t>
      </w:r>
      <w:r w:rsidRPr="00092ED7">
        <w:rPr>
          <w:rFonts w:eastAsia="Calibri" w:cs="Times New Roman"/>
          <w:sz w:val="24"/>
          <w:szCs w:val="24"/>
          <w:lang w:val="sr-Cyrl-CS" w:eastAsia="sr-Cyrl-CS" w:bidi="sr-Cyrl-CS"/>
        </w:rPr>
        <w:t>298.739 евра;</w:t>
      </w:r>
    </w:p>
    <w:p w14:paraId="0413F5AC" w14:textId="77777777" w:rsidR="00A450D4" w:rsidRPr="00092ED7" w:rsidRDefault="00A450D4" w:rsidP="00616441">
      <w:pPr>
        <w:pStyle w:val="ListParagraph"/>
        <w:widowControl w:val="0"/>
        <w:numPr>
          <w:ilvl w:val="0"/>
          <w:numId w:val="52"/>
        </w:numPr>
        <w:spacing w:after="60"/>
        <w:rPr>
          <w:rFonts w:eastAsia="Calibri" w:cs="Times New Roman"/>
          <w:sz w:val="24"/>
          <w:szCs w:val="24"/>
          <w:lang w:val="sr-Cyrl-CS" w:eastAsia="sr-Cyrl-CS" w:bidi="sr-Cyrl-CS"/>
        </w:rPr>
      </w:pPr>
      <w:r w:rsidRPr="00092ED7">
        <w:rPr>
          <w:rFonts w:eastAsia="Calibri" w:cs="Times New Roman"/>
          <w:sz w:val="24"/>
          <w:szCs w:val="24"/>
          <w:lang w:val="sr-Cyrl-CS" w:eastAsia="sr-Cyrl-CS" w:bidi="sr-Cyrl-CS"/>
        </w:rPr>
        <w:t>2024 – планирана кредитна средства 23.698.886 евра, донација 7.511.704 евра;</w:t>
      </w:r>
    </w:p>
    <w:p w14:paraId="0CC4727F" w14:textId="30E02BB6" w:rsidR="00A450D4" w:rsidRPr="00092ED7" w:rsidRDefault="00A450D4" w:rsidP="00616441">
      <w:pPr>
        <w:pStyle w:val="ListParagraph"/>
        <w:widowControl w:val="0"/>
        <w:numPr>
          <w:ilvl w:val="0"/>
          <w:numId w:val="52"/>
        </w:numPr>
        <w:spacing w:after="60"/>
        <w:rPr>
          <w:rFonts w:eastAsia="Calibri" w:cs="Times New Roman"/>
          <w:sz w:val="24"/>
          <w:szCs w:val="24"/>
          <w:lang w:val="sr-Cyrl-CS" w:eastAsia="sr-Cyrl-CS" w:bidi="sr-Cyrl-CS"/>
        </w:rPr>
      </w:pPr>
      <w:r w:rsidRPr="00092ED7">
        <w:rPr>
          <w:rFonts w:eastAsia="Calibri" w:cs="Times New Roman"/>
          <w:sz w:val="24"/>
          <w:szCs w:val="24"/>
          <w:lang w:val="sr-Cyrl-CS" w:eastAsia="sr-Cyrl-CS" w:bidi="sr-Cyrl-CS"/>
        </w:rPr>
        <w:t xml:space="preserve">2025 – планирана сопствена средства </w:t>
      </w:r>
      <w:r w:rsidR="00B16622" w:rsidRPr="00092ED7">
        <w:rPr>
          <w:rFonts w:cs="Times New Roman"/>
          <w:bCs/>
          <w:iCs/>
          <w:sz w:val="24"/>
          <w:szCs w:val="24"/>
          <w:lang w:val="sr-Cyrl-CS"/>
        </w:rPr>
        <w:t>АД „Електромрежа Србије</w:t>
      </w:r>
      <w:r w:rsidR="00DB6C56" w:rsidRPr="00092ED7">
        <w:rPr>
          <w:rFonts w:cs="Times New Roman"/>
          <w:bCs/>
          <w:iCs/>
          <w:szCs w:val="24"/>
          <w:lang w:val="sr-Cyrl-CS"/>
        </w:rPr>
        <w:t>ˮ</w:t>
      </w:r>
      <w:r w:rsidR="004B24D4" w:rsidRPr="00092ED7">
        <w:rPr>
          <w:rFonts w:cs="Times New Roman"/>
          <w:bCs/>
          <w:iCs/>
          <w:szCs w:val="24"/>
          <w:lang w:val="sr-Cyrl-CS"/>
        </w:rPr>
        <w:t xml:space="preserve"> </w:t>
      </w:r>
      <w:r w:rsidRPr="00092ED7">
        <w:rPr>
          <w:rFonts w:eastAsia="Calibri" w:cs="Times New Roman"/>
          <w:sz w:val="24"/>
          <w:szCs w:val="24"/>
          <w:lang w:val="sr-Cyrl-CS" w:eastAsia="sr-Cyrl-CS" w:bidi="sr-Cyrl-CS"/>
        </w:rPr>
        <w:t>336.134 евра, кредитна средства 36.158.891 евра, донација 10.399.705 евра.</w:t>
      </w:r>
      <w:r w:rsidR="00081A94" w:rsidRPr="00092ED7">
        <w:rPr>
          <w:rFonts w:eastAsia="Times New Roman" w:cs="Times New Roman"/>
          <w:sz w:val="24"/>
          <w:szCs w:val="24"/>
          <w:lang w:val="sr-Cyrl-CS"/>
        </w:rPr>
        <w:t xml:space="preserve"> </w:t>
      </w:r>
      <w:r w:rsidRPr="00092ED7">
        <w:rPr>
          <w:rFonts w:eastAsia="Times New Roman" w:cs="Times New Roman"/>
          <w:sz w:val="24"/>
          <w:szCs w:val="24"/>
          <w:lang w:val="sr-Cyrl-CS"/>
        </w:rPr>
        <w:t>Tрошкови су искључиво из категорије „капитал</w:t>
      </w:r>
      <w:r w:rsidR="008112B8" w:rsidRPr="00092ED7">
        <w:rPr>
          <w:rFonts w:eastAsia="Times New Roman" w:cs="Times New Roman"/>
          <w:sz w:val="24"/>
          <w:szCs w:val="24"/>
          <w:lang w:val="sr-Cyrl-CS"/>
        </w:rPr>
        <w:t>ни</w:t>
      </w:r>
      <w:r w:rsidRPr="00092ED7">
        <w:rPr>
          <w:rFonts w:eastAsia="Times New Roman" w:cs="Times New Roman"/>
          <w:sz w:val="24"/>
          <w:szCs w:val="24"/>
          <w:lang w:val="sr-Cyrl-CS"/>
        </w:rPr>
        <w:t xml:space="preserve"> расход</w:t>
      </w:r>
      <w:r w:rsidR="008112B8" w:rsidRPr="00092ED7">
        <w:rPr>
          <w:rFonts w:eastAsia="Times New Roman" w:cs="Times New Roman"/>
          <w:sz w:val="24"/>
          <w:szCs w:val="24"/>
          <w:lang w:val="sr-Cyrl-CS"/>
        </w:rPr>
        <w:t>и</w:t>
      </w:r>
      <w:r w:rsidR="0076192C" w:rsidRPr="00092ED7">
        <w:rPr>
          <w:rFonts w:cs="Times New Roman"/>
          <w:sz w:val="24"/>
          <w:szCs w:val="24"/>
          <w:lang w:val="sr-Cyrl-CS"/>
        </w:rPr>
        <w:t>”</w:t>
      </w:r>
      <w:r w:rsidRPr="00092ED7">
        <w:rPr>
          <w:rFonts w:eastAsia="Times New Roman" w:cs="Times New Roman"/>
          <w:sz w:val="24"/>
          <w:szCs w:val="24"/>
          <w:lang w:val="sr-Cyrl-CS"/>
        </w:rPr>
        <w:t>.</w:t>
      </w:r>
    </w:p>
    <w:p w14:paraId="67692FA7" w14:textId="77777777" w:rsidR="00D210F0" w:rsidRPr="00092ED7" w:rsidRDefault="00D210F0" w:rsidP="00071952">
      <w:pPr>
        <w:widowControl w:val="0"/>
        <w:numPr>
          <w:ilvl w:val="0"/>
          <w:numId w:val="27"/>
        </w:numPr>
        <w:spacing w:before="120"/>
        <w:ind w:left="425" w:hanging="425"/>
        <w:rPr>
          <w:rFonts w:eastAsia="Calibri" w:cs="Times New Roman"/>
          <w:b/>
          <w:szCs w:val="24"/>
          <w:lang w:val="sr-Cyrl-CS" w:eastAsia="sr-Cyrl-CS" w:bidi="sr-Cyrl-CS"/>
        </w:rPr>
      </w:pPr>
      <w:r w:rsidRPr="00092ED7">
        <w:rPr>
          <w:rFonts w:eastAsia="Calibri" w:cs="Times New Roman"/>
          <w:b/>
          <w:szCs w:val="24"/>
          <w:lang w:val="sr-Cyrl-CS" w:eastAsia="sr-Cyrl-CS" w:bidi="sr-Cyrl-CS"/>
        </w:rPr>
        <w:t>Очекивани утицај на социјалне циљеве, као што су запосленост, смањење сиромаштва, родна равноправност и приступ здравственој заштити</w:t>
      </w:r>
    </w:p>
    <w:p w14:paraId="4955F861" w14:textId="77777777" w:rsidR="000E1787" w:rsidRPr="00092ED7" w:rsidRDefault="008C5DCE" w:rsidP="00616441">
      <w:pPr>
        <w:widowControl w:val="0"/>
        <w:spacing w:after="60"/>
        <w:rPr>
          <w:rFonts w:cs="Times New Roman"/>
          <w:szCs w:val="24"/>
          <w:lang w:val="sr-Cyrl-CS" w:eastAsia="sr-Cyrl-CS" w:bidi="sr-Cyrl-CS"/>
        </w:rPr>
      </w:pPr>
      <w:r w:rsidRPr="00092ED7">
        <w:rPr>
          <w:rFonts w:cs="Times New Roman"/>
          <w:szCs w:val="24"/>
          <w:lang w:val="sr-Cyrl-CS" w:eastAsia="sr-Cyrl-CS" w:bidi="sr-Cyrl-CS"/>
        </w:rPr>
        <w:t>Структурна реформа не утиче директно на социјалне циљеве и родно је неутрална. Ипак, повећање преносног капацитета и последично повећавање поузданости рада система, ствара повољне услове за потенцијално прикључење нових корисника у будућности, што може довести до отварања нових радних места.</w:t>
      </w:r>
      <w:r w:rsidR="000E1787" w:rsidRPr="00092ED7">
        <w:rPr>
          <w:rFonts w:cs="Times New Roman"/>
          <w:szCs w:val="24"/>
          <w:lang w:val="sr-Cyrl-CS" w:eastAsia="sr-Cyrl-CS" w:bidi="sr-Cyrl-CS"/>
        </w:rPr>
        <w:t xml:space="preserve"> </w:t>
      </w:r>
    </w:p>
    <w:p w14:paraId="02266B7F" w14:textId="77777777" w:rsidR="00D210F0" w:rsidRPr="00092ED7" w:rsidRDefault="00D210F0" w:rsidP="00071952">
      <w:pPr>
        <w:pStyle w:val="ListParagraph"/>
        <w:widowControl w:val="0"/>
        <w:numPr>
          <w:ilvl w:val="0"/>
          <w:numId w:val="27"/>
        </w:numPr>
        <w:spacing w:before="120" w:line="240" w:lineRule="auto"/>
        <w:ind w:left="425" w:hanging="425"/>
        <w:contextualSpacing w:val="0"/>
        <w:rPr>
          <w:rFonts w:cs="Times New Roman"/>
          <w:b/>
          <w:sz w:val="24"/>
          <w:szCs w:val="24"/>
          <w:lang w:val="sr-Cyrl-CS" w:eastAsia="sr-Cyrl-CS" w:bidi="sr-Cyrl-CS"/>
        </w:rPr>
      </w:pPr>
      <w:r w:rsidRPr="00092ED7">
        <w:rPr>
          <w:rFonts w:cs="Times New Roman"/>
          <w:b/>
          <w:sz w:val="24"/>
          <w:szCs w:val="24"/>
          <w:lang w:val="sr-Cyrl-CS" w:eastAsia="sr-Cyrl-CS" w:bidi="sr-Cyrl-CS"/>
        </w:rPr>
        <w:t>Очекивани утицај на животну средину и климатске промене</w:t>
      </w:r>
    </w:p>
    <w:p w14:paraId="16F69AD7" w14:textId="77777777" w:rsidR="00D210F0" w:rsidRPr="00092ED7" w:rsidRDefault="00D210F0" w:rsidP="00616441">
      <w:pPr>
        <w:widowControl w:val="0"/>
        <w:spacing w:after="60"/>
        <w:rPr>
          <w:rFonts w:cs="Times New Roman"/>
          <w:szCs w:val="24"/>
          <w:lang w:val="sr-Cyrl-CS" w:eastAsia="sr-Cyrl-CS" w:bidi="sr-Cyrl-CS"/>
        </w:rPr>
      </w:pPr>
      <w:r w:rsidRPr="00092ED7">
        <w:rPr>
          <w:rFonts w:cs="Times New Roman"/>
          <w:szCs w:val="24"/>
          <w:lang w:val="sr-Cyrl-CS" w:eastAsia="sr-Cyrl-CS" w:bidi="sr-Cyrl-CS"/>
        </w:rPr>
        <w:t>На напонском нивоу од 400 kV изражена су електрична пражњења (ефекат короне) која могу да створе звук специфичне фреквенције (100 Hz). Такође је на овом напонском нивоу ниво електричног поља близак граничним вредностима.</w:t>
      </w:r>
    </w:p>
    <w:p w14:paraId="0D9EEA53" w14:textId="77777777" w:rsidR="00D210F0" w:rsidRPr="00092ED7" w:rsidRDefault="00D210F0" w:rsidP="00047167">
      <w:pPr>
        <w:widowControl w:val="0"/>
        <w:spacing w:after="60"/>
        <w:rPr>
          <w:rFonts w:cs="Times New Roman"/>
          <w:szCs w:val="24"/>
          <w:lang w:val="sr-Cyrl-CS" w:eastAsia="sr-Cyrl-CS" w:bidi="sr-Cyrl-CS"/>
        </w:rPr>
      </w:pPr>
      <w:r w:rsidRPr="00092ED7">
        <w:rPr>
          <w:rFonts w:cs="Times New Roman"/>
          <w:szCs w:val="24"/>
          <w:lang w:val="sr-Cyrl-CS" w:eastAsia="sr-Cyrl-CS" w:bidi="sr-Cyrl-CS"/>
        </w:rPr>
        <w:t>Мере које ће се применити како би се редуковао ефекат короне су примена више проводника по фази и повећана висина проводника изнад земље у зонама повећане осетљивости. Због утицаја који далековод може имати на фауну, предвиђене су и мере за боље уочавање далековода.</w:t>
      </w:r>
    </w:p>
    <w:p w14:paraId="24902FD2" w14:textId="77777777" w:rsidR="00D210F0" w:rsidRPr="00092ED7" w:rsidRDefault="00D210F0" w:rsidP="00071952">
      <w:pPr>
        <w:widowControl w:val="0"/>
        <w:numPr>
          <w:ilvl w:val="0"/>
          <w:numId w:val="27"/>
        </w:numPr>
        <w:spacing w:before="120"/>
        <w:ind w:left="425" w:hanging="425"/>
        <w:rPr>
          <w:rFonts w:eastAsia="Calibri" w:cs="Times New Roman"/>
          <w:b/>
          <w:szCs w:val="24"/>
          <w:lang w:val="sr-Cyrl-CS" w:eastAsia="sr-Cyrl-CS" w:bidi="sr-Cyrl-CS"/>
        </w:rPr>
      </w:pPr>
      <w:r w:rsidRPr="00092ED7">
        <w:rPr>
          <w:rFonts w:eastAsia="Calibri" w:cs="Times New Roman"/>
          <w:b/>
          <w:szCs w:val="24"/>
          <w:lang w:val="sr-Cyrl-CS" w:eastAsia="sr-Cyrl-CS" w:bidi="sr-Cyrl-CS"/>
        </w:rPr>
        <w:t>Потенцијални ризици</w:t>
      </w:r>
    </w:p>
    <w:tbl>
      <w:tblPr>
        <w:tblStyle w:val="TableGrid"/>
        <w:tblW w:w="9209" w:type="dxa"/>
        <w:jc w:val="center"/>
        <w:tblLayout w:type="fixed"/>
        <w:tblLook w:val="04A0" w:firstRow="1" w:lastRow="0" w:firstColumn="1" w:lastColumn="0" w:noHBand="0" w:noVBand="1"/>
      </w:tblPr>
      <w:tblGrid>
        <w:gridCol w:w="3515"/>
        <w:gridCol w:w="2098"/>
        <w:gridCol w:w="3596"/>
      </w:tblGrid>
      <w:tr w:rsidR="00D210F0" w:rsidRPr="00092ED7" w14:paraId="1B393853" w14:textId="77777777" w:rsidTr="00AE4362">
        <w:trPr>
          <w:cnfStyle w:val="100000000000" w:firstRow="1" w:lastRow="0" w:firstColumn="0" w:lastColumn="0" w:oddVBand="0" w:evenVBand="0" w:oddHBand="0" w:evenHBand="0" w:firstRowFirstColumn="0" w:firstRowLastColumn="0" w:lastRowFirstColumn="0" w:lastRowLastColumn="0"/>
          <w:jc w:val="center"/>
        </w:trPr>
        <w:tc>
          <w:tcPr>
            <w:tcW w:w="3515" w:type="dxa"/>
          </w:tcPr>
          <w:p w14:paraId="4A875192" w14:textId="77777777" w:rsidR="00D210F0" w:rsidRPr="00092ED7" w:rsidRDefault="00D210F0" w:rsidP="00A37A7A">
            <w:pPr>
              <w:spacing w:before="0" w:after="0"/>
              <w:ind w:left="113" w:right="113"/>
              <w:jc w:val="center"/>
              <w:rPr>
                <w:sz w:val="20"/>
                <w:lang w:val="sr-Cyrl-CS"/>
              </w:rPr>
            </w:pPr>
            <w:r w:rsidRPr="00092ED7">
              <w:rPr>
                <w:rFonts w:cs="Times New Roman"/>
                <w:sz w:val="20"/>
                <w:lang w:val="sr-Cyrl-CS"/>
              </w:rPr>
              <w:t>Ризик</w:t>
            </w:r>
          </w:p>
        </w:tc>
        <w:tc>
          <w:tcPr>
            <w:tcW w:w="2098" w:type="dxa"/>
          </w:tcPr>
          <w:p w14:paraId="4451366A" w14:textId="77777777" w:rsidR="00D210F0" w:rsidRPr="00092ED7" w:rsidRDefault="00D210F0" w:rsidP="00A37A7A">
            <w:pPr>
              <w:spacing w:before="0" w:after="0"/>
              <w:ind w:left="113" w:right="113"/>
              <w:jc w:val="center"/>
              <w:rPr>
                <w:sz w:val="20"/>
                <w:lang w:val="sr-Cyrl-CS"/>
              </w:rPr>
            </w:pPr>
            <w:r w:rsidRPr="00092ED7">
              <w:rPr>
                <w:rFonts w:cs="Times New Roman"/>
                <w:sz w:val="20"/>
                <w:lang w:val="sr-Cyrl-CS"/>
              </w:rPr>
              <w:t>Вероватноћа за остваривање ризика</w:t>
            </w:r>
          </w:p>
        </w:tc>
        <w:tc>
          <w:tcPr>
            <w:tcW w:w="3596" w:type="dxa"/>
          </w:tcPr>
          <w:p w14:paraId="7AA15B51" w14:textId="77777777" w:rsidR="00D210F0" w:rsidRPr="00092ED7" w:rsidRDefault="00D210F0" w:rsidP="00A37A7A">
            <w:pPr>
              <w:spacing w:before="0" w:after="0"/>
              <w:ind w:left="113" w:right="113"/>
              <w:jc w:val="center"/>
              <w:rPr>
                <w:sz w:val="20"/>
                <w:lang w:val="sr-Cyrl-CS"/>
              </w:rPr>
            </w:pPr>
            <w:r w:rsidRPr="00092ED7">
              <w:rPr>
                <w:rFonts w:cs="Times New Roman"/>
                <w:sz w:val="20"/>
                <w:lang w:val="sr-Cyrl-CS"/>
              </w:rPr>
              <w:t>Планиране активност за ублажавање негативних ефеката ризика</w:t>
            </w:r>
          </w:p>
        </w:tc>
      </w:tr>
      <w:tr w:rsidR="00D210F0" w:rsidRPr="00092ED7" w14:paraId="15176B21" w14:textId="77777777" w:rsidTr="00616441">
        <w:trPr>
          <w:jc w:val="center"/>
        </w:trPr>
        <w:tc>
          <w:tcPr>
            <w:tcW w:w="3515" w:type="dxa"/>
            <w:vAlign w:val="top"/>
          </w:tcPr>
          <w:p w14:paraId="7D329267" w14:textId="77777777" w:rsidR="00D210F0" w:rsidRPr="00092ED7" w:rsidRDefault="00D210F0" w:rsidP="00616441">
            <w:pPr>
              <w:spacing w:before="0" w:after="0"/>
              <w:ind w:left="113" w:right="113"/>
              <w:rPr>
                <w:sz w:val="20"/>
                <w:lang w:val="sr-Cyrl-CS"/>
              </w:rPr>
            </w:pPr>
            <w:r w:rsidRPr="00092ED7">
              <w:rPr>
                <w:rFonts w:cs="Times New Roman"/>
                <w:sz w:val="20"/>
                <w:lang w:val="sr-Cyrl-CS"/>
              </w:rPr>
              <w:t>Необезбеђење финансирања пројекта</w:t>
            </w:r>
          </w:p>
        </w:tc>
        <w:tc>
          <w:tcPr>
            <w:tcW w:w="2098" w:type="dxa"/>
            <w:vAlign w:val="top"/>
          </w:tcPr>
          <w:p w14:paraId="182779D9" w14:textId="77777777" w:rsidR="00D210F0" w:rsidRPr="00092ED7" w:rsidRDefault="00D210F0" w:rsidP="00616441">
            <w:pPr>
              <w:spacing w:before="0" w:after="0"/>
              <w:ind w:left="113" w:right="113"/>
              <w:jc w:val="center"/>
              <w:rPr>
                <w:sz w:val="20"/>
                <w:lang w:val="sr-Cyrl-CS"/>
              </w:rPr>
            </w:pPr>
            <w:r w:rsidRPr="00092ED7">
              <w:rPr>
                <w:rFonts w:cs="Times New Roman"/>
                <w:sz w:val="20"/>
                <w:lang w:val="sr-Cyrl-CS"/>
              </w:rPr>
              <w:t>Средња</w:t>
            </w:r>
          </w:p>
        </w:tc>
        <w:tc>
          <w:tcPr>
            <w:tcW w:w="3596" w:type="dxa"/>
            <w:vAlign w:val="top"/>
          </w:tcPr>
          <w:p w14:paraId="3D7A3A32" w14:textId="77777777" w:rsidR="00D210F0" w:rsidRPr="00092ED7" w:rsidRDefault="00D210F0" w:rsidP="00616441">
            <w:pPr>
              <w:spacing w:before="0" w:after="0"/>
              <w:ind w:left="113" w:right="113"/>
              <w:rPr>
                <w:sz w:val="20"/>
                <w:lang w:val="sr-Cyrl-CS"/>
              </w:rPr>
            </w:pPr>
            <w:r w:rsidRPr="00092ED7">
              <w:rPr>
                <w:rFonts w:cs="Times New Roman"/>
                <w:sz w:val="20"/>
                <w:lang w:val="sr-Cyrl-CS"/>
              </w:rPr>
              <w:t>Сопствено финансирање уз потписивање уговора о кредиту</w:t>
            </w:r>
            <w:r w:rsidR="00D47BD8" w:rsidRPr="00092ED7">
              <w:rPr>
                <w:rFonts w:cs="Times New Roman"/>
                <w:sz w:val="20"/>
                <w:lang w:val="sr-Cyrl-CS"/>
              </w:rPr>
              <w:t>.</w:t>
            </w:r>
          </w:p>
        </w:tc>
      </w:tr>
      <w:tr w:rsidR="00D210F0" w:rsidRPr="00092ED7" w14:paraId="0024DF0E" w14:textId="77777777" w:rsidTr="00616441">
        <w:trPr>
          <w:jc w:val="center"/>
        </w:trPr>
        <w:tc>
          <w:tcPr>
            <w:tcW w:w="3515" w:type="dxa"/>
            <w:vAlign w:val="top"/>
          </w:tcPr>
          <w:p w14:paraId="3E759818" w14:textId="77777777" w:rsidR="00D210F0" w:rsidRPr="00092ED7" w:rsidRDefault="00D210F0" w:rsidP="00616441">
            <w:pPr>
              <w:spacing w:before="0" w:after="0"/>
              <w:ind w:left="113" w:right="113"/>
              <w:rPr>
                <w:sz w:val="20"/>
                <w:lang w:val="sr-Cyrl-CS"/>
              </w:rPr>
            </w:pPr>
            <w:r w:rsidRPr="00092ED7">
              <w:rPr>
                <w:rFonts w:cs="Times New Roman"/>
                <w:sz w:val="20"/>
                <w:lang w:val="sr-Cyrl-CS"/>
              </w:rPr>
              <w:t>Обезбеђивање кредитних средстава</w:t>
            </w:r>
          </w:p>
        </w:tc>
        <w:tc>
          <w:tcPr>
            <w:tcW w:w="2098" w:type="dxa"/>
            <w:vAlign w:val="top"/>
          </w:tcPr>
          <w:p w14:paraId="4058B905" w14:textId="77777777" w:rsidR="00D210F0" w:rsidRPr="00092ED7" w:rsidRDefault="00D210F0" w:rsidP="00616441">
            <w:pPr>
              <w:spacing w:before="0" w:after="0"/>
              <w:ind w:left="113" w:right="113"/>
              <w:jc w:val="center"/>
              <w:rPr>
                <w:sz w:val="20"/>
                <w:lang w:val="sr-Cyrl-CS"/>
              </w:rPr>
            </w:pPr>
            <w:r w:rsidRPr="00092ED7">
              <w:rPr>
                <w:rFonts w:cs="Times New Roman"/>
                <w:sz w:val="20"/>
                <w:lang w:val="sr-Cyrl-CS"/>
              </w:rPr>
              <w:t>Ниска</w:t>
            </w:r>
          </w:p>
        </w:tc>
        <w:tc>
          <w:tcPr>
            <w:tcW w:w="3596" w:type="dxa"/>
            <w:vAlign w:val="top"/>
          </w:tcPr>
          <w:p w14:paraId="26BEC8AA" w14:textId="77777777" w:rsidR="00D210F0" w:rsidRPr="00092ED7" w:rsidRDefault="00D210F0" w:rsidP="00616441">
            <w:pPr>
              <w:spacing w:before="0" w:after="0"/>
              <w:ind w:left="113" w:right="113"/>
              <w:rPr>
                <w:sz w:val="20"/>
                <w:lang w:val="sr-Cyrl-CS"/>
              </w:rPr>
            </w:pPr>
            <w:r w:rsidRPr="00092ED7">
              <w:rPr>
                <w:rFonts w:cs="Times New Roman"/>
                <w:sz w:val="20"/>
                <w:lang w:val="sr-Cyrl-CS"/>
              </w:rPr>
              <w:t>Диверсификација захтева према међународним финансијским институцијама</w:t>
            </w:r>
            <w:r w:rsidR="00D47BD8" w:rsidRPr="00092ED7">
              <w:rPr>
                <w:rFonts w:cs="Times New Roman"/>
                <w:sz w:val="20"/>
                <w:lang w:val="sr-Cyrl-CS"/>
              </w:rPr>
              <w:t>.</w:t>
            </w:r>
          </w:p>
        </w:tc>
      </w:tr>
      <w:tr w:rsidR="00D210F0" w:rsidRPr="00092ED7" w14:paraId="5C27A530" w14:textId="77777777" w:rsidTr="00616441">
        <w:trPr>
          <w:jc w:val="center"/>
        </w:trPr>
        <w:tc>
          <w:tcPr>
            <w:tcW w:w="3515" w:type="dxa"/>
            <w:vAlign w:val="top"/>
          </w:tcPr>
          <w:p w14:paraId="218DBF87" w14:textId="77777777" w:rsidR="00D210F0" w:rsidRPr="00092ED7" w:rsidRDefault="00D210F0" w:rsidP="00616441">
            <w:pPr>
              <w:spacing w:before="0" w:after="0"/>
              <w:ind w:left="113" w:right="113"/>
              <w:rPr>
                <w:sz w:val="20"/>
                <w:lang w:val="sr-Cyrl-CS"/>
              </w:rPr>
            </w:pPr>
            <w:r w:rsidRPr="00092ED7">
              <w:rPr>
                <w:rFonts w:cs="Times New Roman"/>
                <w:sz w:val="20"/>
                <w:lang w:val="sr-Cyrl-CS"/>
              </w:rPr>
              <w:lastRenderedPageBreak/>
              <w:t>Решавање имовинско правних питања</w:t>
            </w:r>
          </w:p>
        </w:tc>
        <w:tc>
          <w:tcPr>
            <w:tcW w:w="2098" w:type="dxa"/>
            <w:vAlign w:val="top"/>
          </w:tcPr>
          <w:p w14:paraId="55F974A9" w14:textId="77777777" w:rsidR="00D210F0" w:rsidRPr="00092ED7" w:rsidRDefault="00D210F0" w:rsidP="00616441">
            <w:pPr>
              <w:spacing w:before="0" w:after="0"/>
              <w:ind w:left="113" w:right="113"/>
              <w:jc w:val="center"/>
              <w:rPr>
                <w:sz w:val="20"/>
                <w:lang w:val="sr-Cyrl-CS"/>
              </w:rPr>
            </w:pPr>
            <w:r w:rsidRPr="00092ED7">
              <w:rPr>
                <w:rFonts w:cs="Times New Roman"/>
                <w:sz w:val="20"/>
                <w:lang w:val="sr-Cyrl-CS"/>
              </w:rPr>
              <w:t>Средња</w:t>
            </w:r>
          </w:p>
        </w:tc>
        <w:tc>
          <w:tcPr>
            <w:tcW w:w="3596" w:type="dxa"/>
            <w:vAlign w:val="top"/>
          </w:tcPr>
          <w:p w14:paraId="5DFD5EB8" w14:textId="77777777" w:rsidR="00D210F0" w:rsidRPr="00092ED7" w:rsidRDefault="00D210F0" w:rsidP="00616441">
            <w:pPr>
              <w:spacing w:before="0" w:after="0"/>
              <w:ind w:left="113" w:right="113"/>
              <w:rPr>
                <w:sz w:val="20"/>
                <w:lang w:val="sr-Cyrl-CS"/>
              </w:rPr>
            </w:pPr>
            <w:r w:rsidRPr="00092ED7">
              <w:rPr>
                <w:rFonts w:cs="Times New Roman"/>
                <w:sz w:val="20"/>
                <w:lang w:val="sr-Cyrl-CS"/>
              </w:rPr>
              <w:t>Правовремена комуникација са локалним заједницама</w:t>
            </w:r>
            <w:r w:rsidR="00D47BD8" w:rsidRPr="00092ED7">
              <w:rPr>
                <w:rFonts w:cs="Times New Roman"/>
                <w:sz w:val="20"/>
                <w:lang w:val="sr-Cyrl-CS"/>
              </w:rPr>
              <w:t>.</w:t>
            </w:r>
          </w:p>
        </w:tc>
      </w:tr>
      <w:tr w:rsidR="00D210F0" w:rsidRPr="00092ED7" w14:paraId="3A53D2E8" w14:textId="77777777" w:rsidTr="00616441">
        <w:trPr>
          <w:jc w:val="center"/>
        </w:trPr>
        <w:tc>
          <w:tcPr>
            <w:tcW w:w="3515" w:type="dxa"/>
            <w:vAlign w:val="top"/>
          </w:tcPr>
          <w:p w14:paraId="77F9154D" w14:textId="5FF1E7C3" w:rsidR="00D210F0" w:rsidRPr="00092ED7" w:rsidRDefault="00D210F0" w:rsidP="00B94430">
            <w:pPr>
              <w:spacing w:before="0" w:after="0"/>
              <w:ind w:left="113" w:right="113"/>
              <w:rPr>
                <w:sz w:val="20"/>
                <w:lang w:val="sr-Cyrl-CS"/>
              </w:rPr>
            </w:pPr>
            <w:r w:rsidRPr="00092ED7">
              <w:rPr>
                <w:rFonts w:cs="Times New Roman"/>
                <w:sz w:val="20"/>
                <w:lang w:val="sr-Cyrl-CS"/>
              </w:rPr>
              <w:t xml:space="preserve">Промена цена и рокова испоруке материјала и услуга на тржишу услед пандемије </w:t>
            </w:r>
            <w:r w:rsidR="00B94430" w:rsidRPr="00092ED7">
              <w:rPr>
                <w:rFonts w:cs="Times New Roman"/>
                <w:bCs/>
                <w:iCs/>
                <w:sz w:val="20"/>
                <w:lang w:val="sr-Cyrl-CS"/>
              </w:rPr>
              <w:t>COVID</w:t>
            </w:r>
            <w:r w:rsidR="001C2A20" w:rsidRPr="00092ED7">
              <w:rPr>
                <w:rFonts w:cs="Times New Roman"/>
                <w:sz w:val="20"/>
                <w:lang w:val="sr-Cyrl-CS"/>
              </w:rPr>
              <w:t>-</w:t>
            </w:r>
            <w:r w:rsidRPr="00092ED7">
              <w:rPr>
                <w:rFonts w:cs="Times New Roman"/>
                <w:sz w:val="20"/>
                <w:lang w:val="sr-Cyrl-CS"/>
              </w:rPr>
              <w:t xml:space="preserve">19 и </w:t>
            </w:r>
            <w:r w:rsidR="00CF7989" w:rsidRPr="00092ED7">
              <w:rPr>
                <w:rFonts w:cs="Times New Roman"/>
                <w:sz w:val="20"/>
                <w:lang w:val="sr-Cyrl-CS"/>
              </w:rPr>
              <w:t xml:space="preserve">конфликта </w:t>
            </w:r>
            <w:r w:rsidRPr="00092ED7">
              <w:rPr>
                <w:rFonts w:cs="Times New Roman"/>
                <w:sz w:val="20"/>
                <w:lang w:val="sr-Cyrl-CS"/>
              </w:rPr>
              <w:t>у Украјини</w:t>
            </w:r>
          </w:p>
        </w:tc>
        <w:tc>
          <w:tcPr>
            <w:tcW w:w="2098" w:type="dxa"/>
            <w:vAlign w:val="top"/>
          </w:tcPr>
          <w:p w14:paraId="29B31646" w14:textId="77777777" w:rsidR="00D210F0" w:rsidRPr="00092ED7" w:rsidRDefault="00D210F0" w:rsidP="00616441">
            <w:pPr>
              <w:spacing w:before="0" w:after="0"/>
              <w:ind w:left="113" w:right="113"/>
              <w:jc w:val="center"/>
              <w:rPr>
                <w:sz w:val="20"/>
                <w:lang w:val="sr-Cyrl-CS"/>
              </w:rPr>
            </w:pPr>
            <w:r w:rsidRPr="00092ED7">
              <w:rPr>
                <w:rFonts w:cs="Times New Roman"/>
                <w:sz w:val="20"/>
                <w:lang w:val="sr-Cyrl-CS"/>
              </w:rPr>
              <w:t>Висока</w:t>
            </w:r>
          </w:p>
        </w:tc>
        <w:tc>
          <w:tcPr>
            <w:tcW w:w="3596" w:type="dxa"/>
            <w:vAlign w:val="top"/>
          </w:tcPr>
          <w:p w14:paraId="566A331A" w14:textId="77777777" w:rsidR="00D210F0" w:rsidRPr="00092ED7" w:rsidRDefault="00D210F0" w:rsidP="00616441">
            <w:pPr>
              <w:spacing w:before="0" w:after="0"/>
              <w:ind w:left="113" w:right="113"/>
              <w:rPr>
                <w:rFonts w:cs="Times New Roman"/>
                <w:sz w:val="20"/>
                <w:lang w:val="sr-Cyrl-CS"/>
              </w:rPr>
            </w:pPr>
            <w:r w:rsidRPr="00092ED7">
              <w:rPr>
                <w:rFonts w:cs="Times New Roman"/>
                <w:sz w:val="20"/>
                <w:lang w:val="sr-Cyrl-CS"/>
              </w:rPr>
              <w:t>Редовно праћење цена и стања на тржишту.</w:t>
            </w:r>
          </w:p>
          <w:p w14:paraId="433744B6" w14:textId="77777777" w:rsidR="00D210F0" w:rsidRPr="00092ED7" w:rsidRDefault="00D210F0" w:rsidP="00616441">
            <w:pPr>
              <w:spacing w:before="0" w:after="0"/>
              <w:ind w:left="113" w:right="113"/>
              <w:rPr>
                <w:sz w:val="20"/>
                <w:lang w:val="sr-Cyrl-CS"/>
              </w:rPr>
            </w:pPr>
            <w:r w:rsidRPr="00092ED7">
              <w:rPr>
                <w:rFonts w:cs="Times New Roman"/>
                <w:sz w:val="20"/>
                <w:lang w:val="sr-Cyrl-CS"/>
              </w:rPr>
              <w:t>Благовремено реговање на промене кроз управљање пројектом.</w:t>
            </w:r>
          </w:p>
        </w:tc>
      </w:tr>
    </w:tbl>
    <w:p w14:paraId="3CCEF17D" w14:textId="77777777" w:rsidR="00D210F0" w:rsidRPr="00092ED7" w:rsidRDefault="00D210F0" w:rsidP="00D210F0">
      <w:pPr>
        <w:keepNext/>
        <w:keepLines/>
        <w:spacing w:before="360"/>
        <w:outlineLvl w:val="1"/>
        <w:rPr>
          <w:rFonts w:eastAsia="Times New Roman" w:cs="Times New Roman"/>
          <w:b/>
          <w:bCs/>
          <w:szCs w:val="24"/>
          <w:lang w:val="sr-Cyrl-CS"/>
        </w:rPr>
      </w:pPr>
      <w:bookmarkStart w:id="39" w:name="_Toc124174807"/>
      <w:r w:rsidRPr="00092ED7">
        <w:rPr>
          <w:rFonts w:eastAsia="Times New Roman" w:cs="Times New Roman"/>
          <w:b/>
          <w:bCs/>
          <w:szCs w:val="24"/>
          <w:lang w:val="sr-Cyrl-CS"/>
        </w:rPr>
        <w:t>5.2.</w:t>
      </w:r>
      <w:bookmarkStart w:id="40" w:name="_bookmark24"/>
      <w:bookmarkEnd w:id="40"/>
      <w:r w:rsidRPr="00092ED7">
        <w:rPr>
          <w:rFonts w:eastAsia="Times New Roman" w:cs="Times New Roman"/>
          <w:b/>
          <w:bCs/>
          <w:szCs w:val="24"/>
          <w:lang w:val="sr-Cyrl-CS"/>
        </w:rPr>
        <w:t xml:space="preserve"> АНАЛИЗА ПРЕПРЕКА У ДРУГИМ ОБЛАСТИМА (КОЈЕ НИСУ ПОКРИВЕНЕ У ОДЕЉКУ 5.1) И ОДГОВАРАЈУЋЕ СТРУКТУРНЕ РЕФОРМЕ</w:t>
      </w:r>
      <w:bookmarkEnd w:id="39"/>
    </w:p>
    <w:p w14:paraId="6A130EC4" w14:textId="77777777" w:rsidR="00D210F0" w:rsidRPr="00092ED7" w:rsidRDefault="00D210F0" w:rsidP="00D210F0">
      <w:pPr>
        <w:keepNext/>
        <w:keepLines/>
        <w:shd w:val="clear" w:color="auto" w:fill="D9D9D9" w:themeFill="background1" w:themeFillShade="D9"/>
        <w:spacing w:before="120"/>
        <w:outlineLvl w:val="2"/>
        <w:rPr>
          <w:rFonts w:eastAsiaTheme="majorEastAsia" w:cstheme="majorBidi"/>
          <w:b/>
          <w:shd w:val="clear" w:color="auto" w:fill="D9D9D9" w:themeFill="background1" w:themeFillShade="D9"/>
          <w:lang w:val="sr-Cyrl-CS"/>
        </w:rPr>
      </w:pPr>
      <w:bookmarkStart w:id="41" w:name="_Toc124174808"/>
      <w:r w:rsidRPr="00092ED7">
        <w:rPr>
          <w:rFonts w:eastAsiaTheme="majorEastAsia" w:cstheme="majorBidi"/>
          <w:b/>
          <w:lang w:val="sr-Cyrl-CS"/>
        </w:rPr>
        <w:t>5.2.1. Област УПРАВЉАЊЕ ЈАВНИМ ФИНАНСИЈАМА</w:t>
      </w:r>
      <w:bookmarkEnd w:id="41"/>
    </w:p>
    <w:p w14:paraId="782A648B" w14:textId="611F109F" w:rsidR="00D210F0" w:rsidRPr="00092ED7" w:rsidRDefault="00D210F0" w:rsidP="00D210F0">
      <w:pPr>
        <w:spacing w:before="120"/>
        <w:rPr>
          <w:rFonts w:eastAsia="Times New Roman" w:cs="Times New Roman"/>
          <w:b/>
          <w:szCs w:val="24"/>
          <w:lang w:val="sr-Cyrl-CS"/>
        </w:rPr>
      </w:pPr>
      <w:r w:rsidRPr="00092ED7">
        <w:rPr>
          <w:rFonts w:eastAsia="Times New Roman" w:cs="Times New Roman"/>
          <w:b/>
          <w:szCs w:val="24"/>
          <w:lang w:val="sr-Cyrl-CS"/>
        </w:rPr>
        <w:t xml:space="preserve">а) Анализа главних </w:t>
      </w:r>
      <w:r w:rsidR="00770309" w:rsidRPr="00092ED7">
        <w:rPr>
          <w:rFonts w:eastAsia="Times New Roman" w:cs="Times New Roman"/>
          <w:b/>
          <w:szCs w:val="24"/>
          <w:lang w:val="sr-Cyrl-CS"/>
        </w:rPr>
        <w:t>изазова</w:t>
      </w:r>
    </w:p>
    <w:p w14:paraId="0D60258E" w14:textId="0257970D" w:rsidR="001E32DF" w:rsidRPr="00092ED7" w:rsidRDefault="001E32DF" w:rsidP="001E32DF">
      <w:pPr>
        <w:adjustRightInd w:val="0"/>
        <w:spacing w:after="60"/>
        <w:rPr>
          <w:lang w:val="sr-Cyrl-CS"/>
        </w:rPr>
      </w:pPr>
      <w:r w:rsidRPr="00092ED7">
        <w:rPr>
          <w:b/>
          <w:lang w:val="sr-Cyrl-CS"/>
        </w:rPr>
        <w:t>И поред неповољне ситуације на глобалном нивоу (пандемија, енергетска криза и раст инфлације, руско-украјински сукоб) очувана је стабилност јавних финансија</w:t>
      </w:r>
      <w:r w:rsidRPr="00092ED7">
        <w:rPr>
          <w:lang w:val="sr-Cyrl-CS"/>
        </w:rPr>
        <w:t xml:space="preserve">, са учешћем јавног дуга од 53,4% у БДП на крају августа 2022. (за 3,1 п.п. мање у односу на крај 2021. године). Укупни порески приходи су већи за 26,1% (приходи ПДВ за 31,2%) у првих </w:t>
      </w:r>
      <w:r w:rsidR="00DB6C56" w:rsidRPr="00092ED7">
        <w:rPr>
          <w:lang w:val="sr-Cyrl-CS"/>
        </w:rPr>
        <w:t xml:space="preserve">пет </w:t>
      </w:r>
      <w:r w:rsidRPr="00092ED7">
        <w:rPr>
          <w:lang w:val="sr-Cyrl-CS"/>
        </w:rPr>
        <w:t>месеци 2022. године у односу на исти период 2021. године (због наплате одложених пореских обавеза), док су укупни текући расходи у истом периоду смањени за 1,1% (уз раст капиталних расхода од 42,5%)</w:t>
      </w:r>
      <w:r w:rsidRPr="00092ED7">
        <w:rPr>
          <w:rStyle w:val="FootnoteReference"/>
          <w:lang w:val="sr-Cyrl-CS"/>
        </w:rPr>
        <w:footnoteReference w:id="95"/>
      </w:r>
      <w:r w:rsidRPr="00092ED7">
        <w:rPr>
          <w:lang w:val="sr-Cyrl-CS"/>
        </w:rPr>
        <w:t xml:space="preserve">, чиме је ојачана фискална позиција. Даље фискалне интервенције државе у циљу минимизирања ефеката кризе настојаће да не утичу на развојне програме и инфраструктурне пројекте финансиране из буџета, како би се обезбедио стабилан привредни раст. </w:t>
      </w:r>
      <w:r w:rsidRPr="00092ED7">
        <w:rPr>
          <w:lang w:val="sr-Cyrl-CS" w:eastAsia="ja-JP"/>
        </w:rPr>
        <w:t>Унапређење система управљања јавним финансијама је нужно, не само као подршка мерама фискалне стабилизације и структурним реформама, већ и као процес који доприноси реформи јавне управе у целини и осигурава привлачан амбијент за инвеститоре.</w:t>
      </w:r>
    </w:p>
    <w:p w14:paraId="3C8D7235" w14:textId="236EBF97" w:rsidR="001E32DF" w:rsidRPr="00092ED7" w:rsidRDefault="001E32DF" w:rsidP="001E32DF">
      <w:pPr>
        <w:adjustRightInd w:val="0"/>
        <w:spacing w:after="60"/>
        <w:rPr>
          <w:lang w:val="sr-Cyrl-CS"/>
        </w:rPr>
      </w:pPr>
      <w:r w:rsidRPr="00092ED7">
        <w:rPr>
          <w:b/>
          <w:lang w:val="sr-Cyrl-CS"/>
        </w:rPr>
        <w:t xml:space="preserve">Спровођењем </w:t>
      </w:r>
      <w:r w:rsidRPr="00092ED7">
        <w:rPr>
          <w:b/>
          <w:i/>
          <w:lang w:val="sr-Cyrl-CS"/>
        </w:rPr>
        <w:t>Програма реформе управљања јавним финансијама (</w:t>
      </w:r>
      <w:r w:rsidR="00B431FA" w:rsidRPr="00092ED7">
        <w:rPr>
          <w:b/>
          <w:i/>
          <w:lang w:val="sr-Cyrl-CS"/>
        </w:rPr>
        <w:t xml:space="preserve">у даљем тексту: </w:t>
      </w:r>
      <w:r w:rsidRPr="00092ED7">
        <w:rPr>
          <w:b/>
          <w:i/>
          <w:lang w:val="sr-Cyrl-CS"/>
        </w:rPr>
        <w:t>ПРУЈФ) за период 2021-2025. године</w:t>
      </w:r>
      <w:r w:rsidRPr="00092ED7">
        <w:rPr>
          <w:b/>
          <w:lang w:val="sr-Cyrl-CS"/>
        </w:rPr>
        <w:t xml:space="preserve"> са Акционим планом</w:t>
      </w:r>
      <w:r w:rsidRPr="00092ED7">
        <w:rPr>
          <w:lang w:val="sr-Cyrl-CS"/>
        </w:rPr>
        <w:t>, додатно су ојачани капацитети надлежних институција које учествују у буџетском циклусу, док сам ПРУЈФ</w:t>
      </w:r>
      <w:r w:rsidRPr="00092ED7" w:rsidDel="00A5603C">
        <w:rPr>
          <w:lang w:val="sr-Cyrl-CS"/>
        </w:rPr>
        <w:t xml:space="preserve"> </w:t>
      </w:r>
      <w:r w:rsidRPr="00092ED7">
        <w:rPr>
          <w:lang w:val="sr-Cyrl-CS"/>
        </w:rPr>
        <w:t>садржи читав низ мера које се тичу дигитализације јавних финансија. У претходном периоду остварен је усклађени развој области и напредак у свим сегментима покривеним ПРУЈФ, о чему сведочи и успешна реализација 11 од 12 планираних активности (стопа реализације 92%) из Акционог плана ПРУЈФ 2021-2025 за 2021. годину</w:t>
      </w:r>
      <w:r w:rsidRPr="00092ED7">
        <w:rPr>
          <w:rStyle w:val="FootnoteReference"/>
          <w:lang w:val="sr-Cyrl-CS"/>
        </w:rPr>
        <w:footnoteReference w:id="96"/>
      </w:r>
      <w:r w:rsidRPr="00092ED7">
        <w:rPr>
          <w:lang w:val="sr-Cyrl-CS"/>
        </w:rPr>
        <w:t>. Унапређење програмског буџетирања, средњорочног планирања, управљања капиталним пројектима и праћење фискалних ризика, трансформација Пореске управе и унапређење рада других управа у саставу М</w:t>
      </w:r>
      <w:r w:rsidR="00B431FA" w:rsidRPr="00092ED7">
        <w:rPr>
          <w:lang w:val="sr-Cyrl-CS"/>
        </w:rPr>
        <w:t>инистарства финансија</w:t>
      </w:r>
      <w:r w:rsidRPr="00092ED7">
        <w:rPr>
          <w:lang w:val="sr-Cyrl-CS"/>
        </w:rPr>
        <w:t>, дигитализација у јавним финансијама, унапређење система јавних набавки, јачање буџетске инспекције, управљачка одговорност и примена рачуноводствених стандарда, представљају кључне фокусе ПРУЈФ.</w:t>
      </w:r>
    </w:p>
    <w:p w14:paraId="196328E2" w14:textId="77777777" w:rsidR="001E32DF" w:rsidRPr="00092ED7" w:rsidRDefault="001E32DF" w:rsidP="001E32DF">
      <w:pPr>
        <w:spacing w:after="60"/>
        <w:rPr>
          <w:lang w:val="sr-Cyrl-CS"/>
        </w:rPr>
      </w:pPr>
      <w:r w:rsidRPr="00092ED7">
        <w:rPr>
          <w:b/>
          <w:lang w:val="sr-Cyrl-CS"/>
        </w:rPr>
        <w:t xml:space="preserve">Настављене су активности на унапређењу квалитета програмског буџетирања на свим нивоима власти. </w:t>
      </w:r>
      <w:r w:rsidRPr="00092ED7">
        <w:rPr>
          <w:lang w:val="sr-Cyrl-CS"/>
        </w:rPr>
        <w:t xml:space="preserve">Будући да је извештавање о учинку, при чему корисници имају обавезу да известе о реализацији показатеља учинка, програма и програмских активности, анализа програмске структуре, као и циљеви и показатељи учинка појединих министарстава. Формулисане су препоруке које ће корисници јавних средстава применити приликом дефинисања приоритетних области финансирања у периоду од 2023. до 2025. године, што ће довести до делотворнијег планирања буџетских средстава. Ојачани су капацитети ресорних министарстава у процесу израде </w:t>
      </w:r>
      <w:r w:rsidRPr="00092ED7">
        <w:rPr>
          <w:lang w:val="sr-Cyrl-CS"/>
        </w:rPr>
        <w:lastRenderedPageBreak/>
        <w:t>програмских буџета и унапређено је повезивање буџета корисника јавних средстава са релевантним планским документима. Усвојени средњорочни планови омогућили су боље сагледавање вишегодишњих обавеза из планских докумената, усмеравање пажње на остваривању показатеља учинка и извештавање засновано на показатељима, бољем планирању јавних политика и ефикаснијој реализацији буџета.</w:t>
      </w:r>
    </w:p>
    <w:p w14:paraId="0C242079" w14:textId="6AB8D60D" w:rsidR="001E32DF" w:rsidRPr="00092ED7" w:rsidRDefault="001E32DF" w:rsidP="001E32DF">
      <w:pPr>
        <w:spacing w:after="60"/>
        <w:rPr>
          <w:lang w:val="sr-Cyrl-CS"/>
        </w:rPr>
      </w:pPr>
      <w:r w:rsidRPr="00092ED7">
        <w:rPr>
          <w:b/>
          <w:lang w:val="sr-Cyrl-CS"/>
        </w:rPr>
        <w:t>Управљање јавним инвестицијама представља један од приоритета управљања јавним финансијама,</w:t>
      </w:r>
      <w:r w:rsidRPr="00092ED7">
        <w:rPr>
          <w:lang w:val="sr-Cyrl-CS"/>
        </w:rPr>
        <w:t xml:space="preserve"> са фокусом на набавци и успостављању информационог система PIMIS, на пуној примени </w:t>
      </w:r>
      <w:r w:rsidRPr="00092ED7">
        <w:rPr>
          <w:i/>
          <w:lang w:val="sr-Cyrl-CS"/>
        </w:rPr>
        <w:t>Уредбе о управљању капиталним пројектима и свеобухватнијем праћењу капиталних пројеката без обзира на извор финансирања</w:t>
      </w:r>
      <w:r w:rsidRPr="00092ED7">
        <w:rPr>
          <w:lang w:val="sr-Cyrl-CS"/>
        </w:rPr>
        <w:t>.</w:t>
      </w:r>
    </w:p>
    <w:p w14:paraId="60FE888A" w14:textId="4FF89487" w:rsidR="001E32DF" w:rsidRPr="00092ED7" w:rsidRDefault="001E32DF" w:rsidP="001E32DF">
      <w:pPr>
        <w:spacing w:after="60"/>
        <w:rPr>
          <w:lang w:val="sr-Cyrl-CS"/>
        </w:rPr>
      </w:pPr>
      <w:r w:rsidRPr="00092ED7">
        <w:rPr>
          <w:b/>
          <w:lang w:val="sr-Cyrl-CS"/>
        </w:rPr>
        <w:t>Даља реформа Пореске управе уз пуну транспарентност и предвидљивост промене пореских прописа, кључни су за повећање буџетских прихода и унапређење управљања јавним финансијама, смањење сиве економије и унапређење пословног амбијента.</w:t>
      </w:r>
      <w:r w:rsidRPr="00092ED7">
        <w:rPr>
          <w:lang w:val="sr-Cyrl-CS"/>
        </w:rPr>
        <w:t xml:space="preserve"> Иако су спроведене значајне реформске активности у протеклом периоду, што се огледа у већој наплати јавних прихода, планирана је даља модернизација пореске администрације и аутоматизација поступака. Рад Пореске управе био је у највећој мери усмерен на реинжењеринг пословних процеса, процесе централизације, дигитализације, аутоматизације и развој ИТ система. У оквиру новог модела фискализације успостављена је централизована дигитална платформа и у оквиру ње напредна аналитичка платформа (НАП) у Пореској управи, као и пренос и верификовање података који се шаљу са фискалних каса у Пореску управу у реалном времену, чиме је омогућена већа наплата ПДВ, као и ефикаснији процес пореске контроле. У наредном периоду планирано је усвајање детаљног редизајнираног пословног модела и његова имплементација, уз набавку информационог система који ће подржати такве нове пословне процесе. Припремљена је и усвојена Преговарачка позиција за Поглавље 16 – Опорезивање.</w:t>
      </w:r>
    </w:p>
    <w:p w14:paraId="1FC8F405" w14:textId="4736BEE0" w:rsidR="001E32DF" w:rsidRPr="00092ED7" w:rsidRDefault="001E32DF" w:rsidP="00663528">
      <w:pPr>
        <w:spacing w:after="60"/>
        <w:rPr>
          <w:lang w:val="sr-Cyrl-CS"/>
        </w:rPr>
      </w:pPr>
      <w:r w:rsidRPr="00092ED7">
        <w:rPr>
          <w:lang w:val="sr-Cyrl-CS"/>
        </w:rPr>
        <w:t>У 2023. години планирана је реализација активности ПРУЈФ које се односе на даље унапређење буџетског процеса кроз анализу процеса припреме буџета земаља чланица ЕУ и обавеза Републике Србије приликом припреме буџета, менторска подршка изради средњорочних планова обвезника средњорочног планирања на републичком нивоу. Поред тога, у</w:t>
      </w:r>
      <w:r w:rsidRPr="00092ED7">
        <w:rPr>
          <w:lang w:val="sr-Cyrl-CS" w:eastAsia="ja-JP"/>
        </w:rPr>
        <w:t xml:space="preserve"> току је и израда електронског регистра запослених у јавном сектору „Искра”, који би требало да буде имплементиран до краја 2023. године.</w:t>
      </w:r>
      <w:r w:rsidRPr="00092ED7">
        <w:rPr>
          <w:lang w:val="sr-Cyrl-CS"/>
        </w:rPr>
        <w:t xml:space="preserve"> У области управљања капиталним пројектима, акценат ће бити на изради програма обуке за релевантне учеснике у процесу и израд</w:t>
      </w:r>
      <w:r w:rsidR="001B0269" w:rsidRPr="00092ED7">
        <w:rPr>
          <w:lang w:val="sr-Cyrl-CS"/>
        </w:rPr>
        <w:t>и</w:t>
      </w:r>
      <w:r w:rsidRPr="00092ED7">
        <w:rPr>
          <w:lang w:val="sr-Cyrl-CS"/>
        </w:rPr>
        <w:t xml:space="preserve"> приручника о методологији</w:t>
      </w:r>
      <w:r w:rsidR="001B0269" w:rsidRPr="00092ED7">
        <w:rPr>
          <w:lang w:val="sr-Cyrl-CS"/>
        </w:rPr>
        <w:t xml:space="preserve"> управљања капиталним пројектима</w:t>
      </w:r>
      <w:r w:rsidRPr="00092ED7">
        <w:rPr>
          <w:lang w:val="sr-Cyrl-CS"/>
        </w:rPr>
        <w:t>, као и даље унапређење модела за праћење фискалних ризика на основу Јединствене методологије</w:t>
      </w:r>
      <w:r w:rsidR="00904330" w:rsidRPr="00092ED7">
        <w:rPr>
          <w:lang w:val="sr-Cyrl-CS"/>
        </w:rPr>
        <w:t xml:space="preserve"> за праћење фискалних ризика у Републици Србији</w:t>
      </w:r>
      <w:r w:rsidRPr="00092ED7">
        <w:rPr>
          <w:lang w:val="sr-Cyrl-CS"/>
        </w:rPr>
        <w:t xml:space="preserve">. Наставак реформи укључује увођење система електронских отпремница – анализу законског и административног оквира, и увођење ИТ система за управљање непокретном имовином Министарства финансија и управа у саставу. У Управи царина планирана је реализација пројеката увозних и извозних аутоматизованих система (AIS-AES) и система управљања одлукама (CDMS). Такође, у области јавних набавки планирано је да се даље унапреде административни капацитети везани за наручиоце и понуђаче као и да се изради и усваји документ јавне политике за развој јавних набавки за период 2024-2028. Планиран је и почетак израде софтвера за интерну финансијску контролу у јавном сектору и унапређење сертификације интерних ревизора. Започета је модернизација обука Централне јединице за хармонизацију, као и доношење унапређених </w:t>
      </w:r>
      <w:r w:rsidR="00107BD4" w:rsidRPr="00092ED7">
        <w:rPr>
          <w:lang w:val="sr-Cyrl-CS"/>
        </w:rPr>
        <w:t>п</w:t>
      </w:r>
      <w:r w:rsidRPr="00092ED7">
        <w:rPr>
          <w:lang w:val="sr-Cyrl-CS"/>
        </w:rPr>
        <w:t xml:space="preserve">равилника из области </w:t>
      </w:r>
      <w:r w:rsidR="00572A59" w:rsidRPr="00092ED7">
        <w:rPr>
          <w:lang w:val="sr-Cyrl-CS"/>
        </w:rPr>
        <w:t>интерне ревизије</w:t>
      </w:r>
      <w:r w:rsidRPr="00092ED7">
        <w:rPr>
          <w:lang w:val="sr-Cyrl-CS"/>
        </w:rPr>
        <w:t>. Управа за трезор биће окренута ка унапређењу комплетности и обухвата рачуноводствених података кроз адекватно увођење рачуноводствених стандарда.</w:t>
      </w:r>
      <w:r w:rsidRPr="00092ED7">
        <w:rPr>
          <w:bCs/>
          <w:lang w:val="sr-Cyrl-CS"/>
        </w:rPr>
        <w:t xml:space="preserve"> </w:t>
      </w:r>
      <w:r w:rsidRPr="00092ED7">
        <w:rPr>
          <w:lang w:val="sr-Cyrl-CS"/>
        </w:rPr>
        <w:t xml:space="preserve">Коначно, предвиђена је израда нових процедура поступања, методолошких смерница </w:t>
      </w:r>
      <w:r w:rsidR="00107BD4" w:rsidRPr="00092ED7">
        <w:rPr>
          <w:lang w:val="sr-Cyrl-CS"/>
        </w:rPr>
        <w:t>и</w:t>
      </w:r>
      <w:r w:rsidRPr="00092ED7">
        <w:rPr>
          <w:lang w:val="sr-Cyrl-CS"/>
        </w:rPr>
        <w:t xml:space="preserve"> додатних помоћних алата за институције </w:t>
      </w:r>
      <w:r w:rsidRPr="00092ED7">
        <w:rPr>
          <w:lang w:val="sr-Cyrl-CS"/>
        </w:rPr>
        <w:lastRenderedPageBreak/>
        <w:t>надлежне за управљање средствима ЕУ са циљем повећања ефикасности извршених контрола и смањења административног оптерећења.</w:t>
      </w:r>
    </w:p>
    <w:p w14:paraId="7B462E24" w14:textId="32FCE4F3" w:rsidR="001E32DF" w:rsidRPr="00092ED7" w:rsidRDefault="001E32DF" w:rsidP="00663528">
      <w:pPr>
        <w:adjustRightInd w:val="0"/>
        <w:spacing w:after="60"/>
        <w:rPr>
          <w:lang w:val="sr-Cyrl-CS" w:eastAsia="ja-JP"/>
        </w:rPr>
      </w:pPr>
      <w:r w:rsidRPr="00092ED7">
        <w:rPr>
          <w:lang w:val="sr-Cyrl-CS" w:eastAsia="ja-JP"/>
        </w:rPr>
        <w:t>У циљу даљег унапређења управљања јавним финансијама, како би се адекватно одговорило на изазове зелене трансформације у актуелним околностима, Република Србија је посвећена реформама управљања јавним финансијама у области зелене транзиције. Циљ је примена „зелених</w:t>
      </w:r>
      <w:r w:rsidR="00D86CAC" w:rsidRPr="00092ED7">
        <w:rPr>
          <w:rFonts w:cs="Times New Roman"/>
          <w:szCs w:val="24"/>
          <w:lang w:val="sr-Cyrl-CS"/>
        </w:rPr>
        <w:t>”</w:t>
      </w:r>
      <w:r w:rsidRPr="00092ED7">
        <w:rPr>
          <w:lang w:val="sr-Cyrl-CS" w:eastAsia="ja-JP"/>
        </w:rPr>
        <w:t xml:space="preserve"> критеријума у системима стратешког планирања, буџетирања, управљања капиталним инвестицијама, као и у области јавних набавки, као кључне расходне елементе буџетског циклуса. У 2023. години предвиђена је ревизија ПРУЈФ како би, поред осталог, укључио и активности у области управљања јавним финансијама које се односе на зелену транзицију.</w:t>
      </w:r>
    </w:p>
    <w:p w14:paraId="4E652279" w14:textId="77777777" w:rsidR="00D210F0" w:rsidRPr="00092ED7" w:rsidRDefault="001E32DF" w:rsidP="00663528">
      <w:pPr>
        <w:spacing w:after="60"/>
        <w:rPr>
          <w:lang w:val="sr-Cyrl-CS"/>
        </w:rPr>
      </w:pPr>
      <w:r w:rsidRPr="00092ED7">
        <w:rPr>
          <w:lang w:val="sr-Cyrl-CS"/>
        </w:rPr>
        <w:t>Наставком реализације планираних реформских мера систем управљања јавним финансијама биће додатно оснажен, што ће допринети његовој стабилности, предвидивости и отпорности, што је веома значајно у кризним ситуацијама. На тај начин остварује се стабилна основа за реформу јавне управе, реализацију структурних реформи и у другим областима, а привреди обезбеђује стабилно пословно окружење.</w:t>
      </w:r>
    </w:p>
    <w:p w14:paraId="18E85E7E" w14:textId="77777777" w:rsidR="00D210F0" w:rsidRPr="00092ED7" w:rsidRDefault="00D210F0" w:rsidP="00D210F0">
      <w:pPr>
        <w:spacing w:before="120"/>
        <w:rPr>
          <w:rFonts w:eastAsia="Times New Roman" w:cs="Times New Roman"/>
          <w:b/>
          <w:bCs/>
          <w:szCs w:val="24"/>
          <w:lang w:val="sr-Cyrl-CS"/>
        </w:rPr>
      </w:pPr>
      <w:r w:rsidRPr="00092ED7">
        <w:rPr>
          <w:rFonts w:eastAsia="Times New Roman" w:cs="Times New Roman"/>
          <w:b/>
          <w:bCs/>
          <w:szCs w:val="24"/>
          <w:lang w:val="sr-Cyrl-CS"/>
        </w:rPr>
        <w:t>б) Реформе</w:t>
      </w:r>
    </w:p>
    <w:p w14:paraId="257DB5C8" w14:textId="77777777" w:rsidR="00D210F0" w:rsidRPr="00092ED7" w:rsidRDefault="00D210F0" w:rsidP="00D210F0">
      <w:pPr>
        <w:rPr>
          <w:rFonts w:cs="Times New Roman"/>
          <w:bCs/>
          <w:szCs w:val="24"/>
          <w:lang w:val="sr-Cyrl-CS"/>
        </w:rPr>
      </w:pPr>
      <w:r w:rsidRPr="00092ED7">
        <w:rPr>
          <w:rFonts w:cs="Times New Roman"/>
          <w:b/>
          <w:bCs/>
          <w:szCs w:val="24"/>
          <w:u w:val="single"/>
          <w:lang w:val="sr-Cyrl-CS"/>
        </w:rPr>
        <w:t>СТРУКТУРНА РЕФОРМА 11</w:t>
      </w:r>
      <w:r w:rsidRPr="00092ED7">
        <w:rPr>
          <w:rFonts w:cs="Times New Roman"/>
          <w:b/>
          <w:bCs/>
          <w:szCs w:val="24"/>
          <w:lang w:val="sr-Cyrl-CS"/>
        </w:rPr>
        <w:t xml:space="preserve">: </w:t>
      </w:r>
      <w:r w:rsidRPr="00092ED7">
        <w:rPr>
          <w:rFonts w:cs="Times New Roman"/>
          <w:bCs/>
          <w:smallCaps/>
          <w:szCs w:val="24"/>
          <w:lang w:val="sr-Cyrl-CS"/>
        </w:rPr>
        <w:t>ТРАНСФОРМАЦИЈА</w:t>
      </w:r>
      <w:r w:rsidRPr="00092ED7">
        <w:rPr>
          <w:rFonts w:cs="Times New Roman"/>
          <w:b/>
          <w:smallCaps/>
          <w:szCs w:val="24"/>
          <w:lang w:val="sr-Cyrl-CS"/>
        </w:rPr>
        <w:t xml:space="preserve"> </w:t>
      </w:r>
      <w:r w:rsidRPr="00092ED7">
        <w:rPr>
          <w:rFonts w:cs="Times New Roman"/>
          <w:bCs/>
          <w:smallCaps/>
          <w:szCs w:val="24"/>
          <w:lang w:val="sr-Cyrl-CS"/>
        </w:rPr>
        <w:t xml:space="preserve">ПОРЕСКЕ </w:t>
      </w:r>
      <w:r w:rsidRPr="00092ED7">
        <w:rPr>
          <w:rFonts w:cs="Times New Roman"/>
          <w:bCs/>
          <w:szCs w:val="24"/>
          <w:lang w:val="sr-Cyrl-CS"/>
        </w:rPr>
        <w:t>УПРАВE</w:t>
      </w:r>
    </w:p>
    <w:p w14:paraId="62B3815C" w14:textId="77777777" w:rsidR="00D210F0" w:rsidRPr="00092ED7" w:rsidRDefault="00D210F0" w:rsidP="00071952">
      <w:pPr>
        <w:widowControl w:val="0"/>
        <w:numPr>
          <w:ilvl w:val="0"/>
          <w:numId w:val="28"/>
        </w:numPr>
        <w:spacing w:before="120"/>
        <w:ind w:left="425" w:hanging="425"/>
        <w:rPr>
          <w:rFonts w:cs="Times New Roman"/>
          <w:b/>
          <w:bCs/>
          <w:szCs w:val="24"/>
          <w:lang w:val="sr-Cyrl-CS"/>
        </w:rPr>
      </w:pPr>
      <w:r w:rsidRPr="00092ED7">
        <w:rPr>
          <w:rFonts w:cs="Times New Roman"/>
          <w:b/>
          <w:bCs/>
          <w:szCs w:val="24"/>
          <w:lang w:val="sr-Cyrl-CS"/>
        </w:rPr>
        <w:t>Опис структурне реформе</w:t>
      </w:r>
    </w:p>
    <w:p w14:paraId="1B76A01C" w14:textId="2EEBC4F5" w:rsidR="00D210F0" w:rsidRPr="00092ED7" w:rsidRDefault="00D210F0" w:rsidP="00663528">
      <w:pPr>
        <w:widowControl w:val="0"/>
        <w:spacing w:after="60"/>
        <w:rPr>
          <w:rFonts w:cs="Times New Roman"/>
          <w:szCs w:val="24"/>
          <w:lang w:val="sr-Cyrl-CS"/>
        </w:rPr>
      </w:pPr>
      <w:r w:rsidRPr="00092ED7">
        <w:rPr>
          <w:rFonts w:cs="Times New Roman"/>
          <w:szCs w:val="24"/>
          <w:lang w:val="sr-Cyrl-CS"/>
        </w:rPr>
        <w:t xml:space="preserve">Реформа подразумева реализацију </w:t>
      </w:r>
      <w:r w:rsidRPr="00092ED7">
        <w:rPr>
          <w:rFonts w:cs="Times New Roman"/>
          <w:i/>
          <w:iCs/>
          <w:szCs w:val="24"/>
          <w:lang w:val="sr-Cyrl-CS"/>
        </w:rPr>
        <w:t>Програма трансформације Пореске управе за период 2021-2025. године</w:t>
      </w:r>
      <w:r w:rsidRPr="00092ED7">
        <w:rPr>
          <w:rFonts w:cs="Times New Roman"/>
          <w:szCs w:val="24"/>
          <w:lang w:val="sr-Cyrl-CS"/>
        </w:rPr>
        <w:t>, који представља оквир и дефинише пут који води до модерне и ефикасне Пореске управе 2025. године – која обезбеђује одрживе и предвидиве јавне финансије, тако да је присутна, доступна и интегрисана у природно окружење пореског обвезника; институција која артикулише интересе и потребе пословне заједнице ка</w:t>
      </w:r>
      <w:r w:rsidR="008A08D5" w:rsidRPr="00092ED7">
        <w:rPr>
          <w:rFonts w:cs="Times New Roman"/>
          <w:szCs w:val="24"/>
          <w:lang w:val="sr-Cyrl-CS"/>
        </w:rPr>
        <w:t xml:space="preserve"> Министарству финансија и Влади</w:t>
      </w:r>
      <w:r w:rsidRPr="00092ED7">
        <w:rPr>
          <w:rFonts w:cs="Times New Roman"/>
          <w:szCs w:val="24"/>
          <w:lang w:val="sr-Cyrl-CS"/>
        </w:rPr>
        <w:t xml:space="preserve">. Кроз рад са модерном </w:t>
      </w:r>
      <w:r w:rsidR="00E150E9" w:rsidRPr="00092ED7">
        <w:rPr>
          <w:rFonts w:cs="Times New Roman"/>
          <w:szCs w:val="24"/>
          <w:lang w:val="sr-Cyrl-CS"/>
        </w:rPr>
        <w:t>Пореском управом</w:t>
      </w:r>
      <w:r w:rsidRPr="00092ED7">
        <w:rPr>
          <w:rFonts w:cs="Times New Roman"/>
          <w:szCs w:val="24"/>
          <w:lang w:val="sr-Cyrl-CS"/>
        </w:rPr>
        <w:t>, пореским обвезницима ће бити поједностављено испуњење пореских обавеза, што уз адекватно вођење пореске политике представља основни предуслов за раст добровољног поштовања пореских прописа, сузбијање сиве економије и здрав и конкурентан привредни развој у Републици Србији.</w:t>
      </w:r>
    </w:p>
    <w:p w14:paraId="30E9050D" w14:textId="4AA87FE6" w:rsidR="00D210F0" w:rsidRPr="00092ED7" w:rsidRDefault="00D210F0" w:rsidP="00663528">
      <w:pPr>
        <w:widowControl w:val="0"/>
        <w:spacing w:after="60"/>
        <w:rPr>
          <w:rFonts w:cs="Times New Roman"/>
          <w:szCs w:val="24"/>
          <w:lang w:val="sr-Cyrl-CS"/>
        </w:rPr>
      </w:pPr>
      <w:r w:rsidRPr="00092ED7">
        <w:rPr>
          <w:rFonts w:cs="Times New Roman"/>
          <w:szCs w:val="24"/>
          <w:lang w:val="sr-Cyrl-CS"/>
        </w:rPr>
        <w:t xml:space="preserve">Програм трансформације има три стратешка циља: 1. Успостављање пословних процеса и организације у складу са најбољом међународном праксом, а у циљу повећања наплате јавних прихода; 2. Унапређење квалитета постојећих и увођење нових врста услуга прилагођених потребама пореских обвезника и 3. Развој функције људских ресурса који за резултат има профилисање новог пореског службеника изузетног нивоа професионалности и компетентности, чијом реализацијом се стварају темељи нове архитектуре </w:t>
      </w:r>
      <w:r w:rsidR="00E150E9" w:rsidRPr="00092ED7">
        <w:rPr>
          <w:rFonts w:cs="Times New Roman"/>
          <w:szCs w:val="24"/>
          <w:lang w:val="sr-Cyrl-CS"/>
        </w:rPr>
        <w:t xml:space="preserve">Пореске управе </w:t>
      </w:r>
      <w:r w:rsidRPr="00092ED7">
        <w:rPr>
          <w:rFonts w:cs="Times New Roman"/>
          <w:szCs w:val="24"/>
          <w:lang w:val="sr-Cyrl-CS"/>
        </w:rPr>
        <w:t>који су видљиви кроз три „производа</w:t>
      </w:r>
      <w:r w:rsidR="00D36EEE" w:rsidRPr="00092ED7">
        <w:rPr>
          <w:rFonts w:cs="Times New Roman"/>
          <w:szCs w:val="24"/>
          <w:lang w:val="sr-Cyrl-CS"/>
        </w:rPr>
        <w:t>”</w:t>
      </w:r>
      <w:r w:rsidRPr="00092ED7">
        <w:rPr>
          <w:rFonts w:cs="Times New Roman"/>
          <w:szCs w:val="24"/>
          <w:lang w:val="sr-Cyrl-CS"/>
        </w:rPr>
        <w:t xml:space="preserve">, односно компоненте: 1. Интегрисан информациони систем базиран на готовом комерцијалном решењу (COTS), који укршта и проверава податке </w:t>
      </w:r>
      <w:r w:rsidR="00E150E9" w:rsidRPr="00092ED7">
        <w:rPr>
          <w:rFonts w:cs="Times New Roman"/>
          <w:szCs w:val="24"/>
          <w:lang w:val="sr-Cyrl-CS"/>
        </w:rPr>
        <w:t xml:space="preserve">Пореске управе </w:t>
      </w:r>
      <w:r w:rsidRPr="00092ED7">
        <w:rPr>
          <w:rFonts w:cs="Times New Roman"/>
          <w:szCs w:val="24"/>
          <w:lang w:val="sr-Cyrl-CS"/>
        </w:rPr>
        <w:t xml:space="preserve">и трећих страна у циљу откривања пореских обвезника који не послују у складу са прописима; 2. Лични е-Портал пореског обвезника који представља модел за директну комуникацију са </w:t>
      </w:r>
      <w:r w:rsidR="00E150E9" w:rsidRPr="00092ED7">
        <w:rPr>
          <w:rFonts w:cs="Times New Roman"/>
          <w:szCs w:val="24"/>
          <w:lang w:val="sr-Cyrl-CS"/>
        </w:rPr>
        <w:t xml:space="preserve">Пореском управом </w:t>
      </w:r>
      <w:r w:rsidRPr="00092ED7">
        <w:rPr>
          <w:rFonts w:cs="Times New Roman"/>
          <w:szCs w:val="24"/>
          <w:lang w:val="sr-Cyrl-CS"/>
        </w:rPr>
        <w:t>и који у суштини представља дигиталну услугу прилагођену пореском обвезнику и 3. Формирање новог профила пореског службеника изузетног нивоа професионалности и компетентности.</w:t>
      </w:r>
    </w:p>
    <w:p w14:paraId="76738402" w14:textId="77777777" w:rsidR="00D210F0" w:rsidRPr="00092ED7" w:rsidRDefault="00D210F0" w:rsidP="00071952">
      <w:pPr>
        <w:widowControl w:val="0"/>
        <w:numPr>
          <w:ilvl w:val="0"/>
          <w:numId w:val="28"/>
        </w:numPr>
        <w:spacing w:before="120"/>
        <w:ind w:left="425" w:hanging="425"/>
        <w:rPr>
          <w:rFonts w:cs="Times New Roman"/>
          <w:b/>
          <w:bCs/>
          <w:szCs w:val="24"/>
          <w:lang w:val="sr-Cyrl-CS"/>
        </w:rPr>
      </w:pPr>
      <w:r w:rsidRPr="00092ED7">
        <w:rPr>
          <w:rFonts w:cs="Times New Roman"/>
          <w:b/>
          <w:bCs/>
          <w:szCs w:val="24"/>
          <w:lang w:val="sr-Cyrl-CS"/>
        </w:rPr>
        <w:t>Планиране активности по годинама</w:t>
      </w:r>
    </w:p>
    <w:tbl>
      <w:tblPr>
        <w:tblW w:w="9139" w:type="dxa"/>
        <w:tblLayout w:type="fixed"/>
        <w:tblCellMar>
          <w:left w:w="0" w:type="dxa"/>
          <w:right w:w="0" w:type="dxa"/>
        </w:tblCellMar>
        <w:tblLook w:val="04A0" w:firstRow="1" w:lastRow="0" w:firstColumn="1" w:lastColumn="0" w:noHBand="0" w:noVBand="1"/>
      </w:tblPr>
      <w:tblGrid>
        <w:gridCol w:w="425"/>
        <w:gridCol w:w="4243"/>
        <w:gridCol w:w="372"/>
        <w:gridCol w:w="373"/>
        <w:gridCol w:w="372"/>
        <w:gridCol w:w="373"/>
        <w:gridCol w:w="372"/>
        <w:gridCol w:w="373"/>
        <w:gridCol w:w="373"/>
        <w:gridCol w:w="372"/>
        <w:gridCol w:w="373"/>
        <w:gridCol w:w="372"/>
        <w:gridCol w:w="373"/>
        <w:gridCol w:w="373"/>
      </w:tblGrid>
      <w:tr w:rsidR="00D210F0" w:rsidRPr="00092ED7" w14:paraId="5CEF4E28" w14:textId="77777777" w:rsidTr="00AE4362">
        <w:trPr>
          <w:trHeight w:val="315"/>
        </w:trPr>
        <w:tc>
          <w:tcPr>
            <w:tcW w:w="425" w:type="dxa"/>
            <w:vMerge w:val="restart"/>
            <w:tcBorders>
              <w:top w:val="single" w:sz="8" w:space="0" w:color="auto"/>
              <w:left w:val="single" w:sz="8" w:space="0" w:color="auto"/>
              <w:right w:val="nil"/>
            </w:tcBorders>
            <w:shd w:val="clear" w:color="000000" w:fill="BDD6EE"/>
            <w:tcMar>
              <w:top w:w="15" w:type="dxa"/>
              <w:left w:w="15" w:type="dxa"/>
              <w:bottom w:w="0" w:type="dxa"/>
              <w:right w:w="15" w:type="dxa"/>
            </w:tcMar>
            <w:vAlign w:val="center"/>
            <w:hideMark/>
          </w:tcPr>
          <w:p w14:paraId="489C3B16" w14:textId="77777777" w:rsidR="00D210F0" w:rsidRPr="00092ED7" w:rsidRDefault="00D210F0" w:rsidP="00E44EF2">
            <w:pPr>
              <w:spacing w:after="0"/>
              <w:jc w:val="center"/>
              <w:rPr>
                <w:rFonts w:cs="Times New Roman"/>
                <w:b/>
                <w:bCs/>
                <w:color w:val="000000"/>
                <w:sz w:val="20"/>
                <w:szCs w:val="20"/>
                <w:lang w:val="sr-Cyrl-CS"/>
              </w:rPr>
            </w:pPr>
            <w:r w:rsidRPr="00092ED7">
              <w:rPr>
                <w:rFonts w:cs="Times New Roman"/>
                <w:b/>
                <w:bCs/>
                <w:color w:val="000000"/>
                <w:sz w:val="20"/>
                <w:szCs w:val="20"/>
                <w:lang w:val="sr-Cyrl-CS"/>
              </w:rPr>
              <w:t>РБ</w:t>
            </w:r>
          </w:p>
        </w:tc>
        <w:tc>
          <w:tcPr>
            <w:tcW w:w="4243" w:type="dxa"/>
            <w:vMerge w:val="restart"/>
            <w:tcBorders>
              <w:top w:val="single" w:sz="8" w:space="0" w:color="auto"/>
              <w:left w:val="single" w:sz="8" w:space="0" w:color="auto"/>
              <w:bottom w:val="single" w:sz="8" w:space="0" w:color="000000"/>
              <w:right w:val="nil"/>
            </w:tcBorders>
            <w:shd w:val="clear" w:color="auto" w:fill="BDD6EE" w:themeFill="accent1" w:themeFillTint="66"/>
            <w:tcMar>
              <w:top w:w="15" w:type="dxa"/>
              <w:left w:w="15" w:type="dxa"/>
              <w:bottom w:w="0" w:type="dxa"/>
              <w:right w:w="15" w:type="dxa"/>
            </w:tcMar>
            <w:vAlign w:val="center"/>
            <w:hideMark/>
          </w:tcPr>
          <w:p w14:paraId="2C93864C" w14:textId="77777777" w:rsidR="00D210F0" w:rsidRPr="00092ED7" w:rsidRDefault="00D210F0" w:rsidP="00E44EF2">
            <w:pPr>
              <w:spacing w:after="0"/>
              <w:rPr>
                <w:rFonts w:cs="Times New Roman"/>
                <w:b/>
                <w:bCs/>
                <w:color w:val="000000"/>
                <w:sz w:val="20"/>
                <w:szCs w:val="20"/>
                <w:lang w:val="sr-Cyrl-CS"/>
              </w:rPr>
            </w:pPr>
            <w:r w:rsidRPr="00092ED7">
              <w:rPr>
                <w:rFonts w:cs="Times New Roman"/>
                <w:b/>
                <w:bCs/>
                <w:color w:val="000000"/>
                <w:sz w:val="20"/>
                <w:szCs w:val="20"/>
                <w:lang w:val="sr-Cyrl-CS"/>
              </w:rPr>
              <w:t>Планиране активности</w:t>
            </w:r>
          </w:p>
        </w:tc>
        <w:tc>
          <w:tcPr>
            <w:tcW w:w="1490" w:type="dxa"/>
            <w:gridSpan w:val="4"/>
            <w:tcBorders>
              <w:top w:val="single" w:sz="8" w:space="0" w:color="auto"/>
              <w:left w:val="single" w:sz="8" w:space="0" w:color="auto"/>
              <w:bottom w:val="single" w:sz="4" w:space="0" w:color="auto"/>
              <w:right w:val="single" w:sz="8" w:space="0" w:color="000000"/>
            </w:tcBorders>
            <w:shd w:val="clear" w:color="auto" w:fill="BDD6EE" w:themeFill="accent1" w:themeFillTint="66"/>
            <w:tcMar>
              <w:top w:w="15" w:type="dxa"/>
              <w:left w:w="15" w:type="dxa"/>
              <w:bottom w:w="0" w:type="dxa"/>
              <w:right w:w="15" w:type="dxa"/>
            </w:tcMar>
            <w:vAlign w:val="center"/>
            <w:hideMark/>
          </w:tcPr>
          <w:p w14:paraId="3293DA24" w14:textId="77777777" w:rsidR="00D210F0" w:rsidRPr="00092ED7" w:rsidRDefault="00D210F0" w:rsidP="00E44EF2">
            <w:pPr>
              <w:spacing w:after="0"/>
              <w:jc w:val="center"/>
              <w:rPr>
                <w:rFonts w:cs="Times New Roman"/>
                <w:b/>
                <w:bCs/>
                <w:color w:val="000000"/>
                <w:sz w:val="20"/>
                <w:szCs w:val="20"/>
                <w:lang w:val="sr-Cyrl-CS"/>
              </w:rPr>
            </w:pPr>
            <w:r w:rsidRPr="00092ED7">
              <w:rPr>
                <w:rFonts w:cs="Times New Roman"/>
                <w:b/>
                <w:bCs/>
                <w:color w:val="000000"/>
                <w:sz w:val="20"/>
                <w:szCs w:val="20"/>
                <w:lang w:val="sr-Cyrl-CS"/>
              </w:rPr>
              <w:t>2023</w:t>
            </w:r>
          </w:p>
        </w:tc>
        <w:tc>
          <w:tcPr>
            <w:tcW w:w="1490" w:type="dxa"/>
            <w:gridSpan w:val="4"/>
            <w:tcBorders>
              <w:top w:val="single" w:sz="8" w:space="0" w:color="auto"/>
              <w:left w:val="single" w:sz="8" w:space="0" w:color="auto"/>
              <w:bottom w:val="single" w:sz="4" w:space="0" w:color="auto"/>
              <w:right w:val="single" w:sz="8" w:space="0" w:color="000000"/>
            </w:tcBorders>
            <w:shd w:val="clear" w:color="auto" w:fill="BDD6EE" w:themeFill="accent1" w:themeFillTint="66"/>
            <w:tcMar>
              <w:top w:w="15" w:type="dxa"/>
              <w:left w:w="15" w:type="dxa"/>
              <w:bottom w:w="0" w:type="dxa"/>
              <w:right w:w="15" w:type="dxa"/>
            </w:tcMar>
            <w:vAlign w:val="center"/>
            <w:hideMark/>
          </w:tcPr>
          <w:p w14:paraId="6D246A52" w14:textId="77777777" w:rsidR="00D210F0" w:rsidRPr="00092ED7" w:rsidRDefault="00D210F0" w:rsidP="00E44EF2">
            <w:pPr>
              <w:spacing w:after="0"/>
              <w:jc w:val="center"/>
              <w:rPr>
                <w:rFonts w:cs="Times New Roman"/>
                <w:b/>
                <w:bCs/>
                <w:color w:val="000000"/>
                <w:sz w:val="20"/>
                <w:szCs w:val="20"/>
                <w:lang w:val="sr-Cyrl-CS"/>
              </w:rPr>
            </w:pPr>
            <w:r w:rsidRPr="00092ED7">
              <w:rPr>
                <w:rFonts w:cs="Times New Roman"/>
                <w:b/>
                <w:bCs/>
                <w:color w:val="000000"/>
                <w:sz w:val="20"/>
                <w:szCs w:val="20"/>
                <w:lang w:val="sr-Cyrl-CS"/>
              </w:rPr>
              <w:t>2024</w:t>
            </w:r>
          </w:p>
        </w:tc>
        <w:tc>
          <w:tcPr>
            <w:tcW w:w="1491" w:type="dxa"/>
            <w:gridSpan w:val="4"/>
            <w:tcBorders>
              <w:top w:val="single" w:sz="8" w:space="0" w:color="auto"/>
              <w:left w:val="nil"/>
              <w:bottom w:val="single" w:sz="4" w:space="0" w:color="auto"/>
              <w:right w:val="single" w:sz="8" w:space="0" w:color="000000"/>
            </w:tcBorders>
            <w:shd w:val="clear" w:color="auto" w:fill="BDD6EE" w:themeFill="accent1" w:themeFillTint="66"/>
            <w:tcMar>
              <w:top w:w="15" w:type="dxa"/>
              <w:left w:w="15" w:type="dxa"/>
              <w:bottom w:w="0" w:type="dxa"/>
              <w:right w:w="15" w:type="dxa"/>
            </w:tcMar>
            <w:vAlign w:val="center"/>
            <w:hideMark/>
          </w:tcPr>
          <w:p w14:paraId="290FC46D" w14:textId="77777777" w:rsidR="00D210F0" w:rsidRPr="00092ED7" w:rsidRDefault="00D210F0" w:rsidP="00E44EF2">
            <w:pPr>
              <w:spacing w:after="0"/>
              <w:jc w:val="center"/>
              <w:rPr>
                <w:rFonts w:cs="Times New Roman"/>
                <w:b/>
                <w:bCs/>
                <w:color w:val="000000"/>
                <w:sz w:val="20"/>
                <w:szCs w:val="20"/>
                <w:lang w:val="sr-Cyrl-CS"/>
              </w:rPr>
            </w:pPr>
            <w:r w:rsidRPr="00092ED7">
              <w:rPr>
                <w:rFonts w:cs="Times New Roman"/>
                <w:b/>
                <w:bCs/>
                <w:color w:val="000000"/>
                <w:sz w:val="20"/>
                <w:szCs w:val="20"/>
                <w:lang w:val="sr-Cyrl-CS"/>
              </w:rPr>
              <w:t>2025</w:t>
            </w:r>
            <w:r w:rsidR="00AB722F" w:rsidRPr="00092ED7">
              <w:rPr>
                <w:rFonts w:cs="Times New Roman"/>
                <w:b/>
                <w:bCs/>
                <w:color w:val="000000"/>
                <w:sz w:val="20"/>
                <w:szCs w:val="20"/>
                <w:lang w:val="sr-Cyrl-CS"/>
              </w:rPr>
              <w:t>*</w:t>
            </w:r>
          </w:p>
        </w:tc>
      </w:tr>
      <w:tr w:rsidR="00D210F0" w:rsidRPr="00092ED7" w14:paraId="64B75DBA" w14:textId="77777777" w:rsidTr="00AE4362">
        <w:trPr>
          <w:trHeight w:hRule="exact" w:val="272"/>
        </w:trPr>
        <w:tc>
          <w:tcPr>
            <w:tcW w:w="425" w:type="dxa"/>
            <w:vMerge/>
            <w:tcBorders>
              <w:left w:val="single" w:sz="8" w:space="0" w:color="auto"/>
              <w:bottom w:val="single" w:sz="8" w:space="0" w:color="000000"/>
              <w:right w:val="nil"/>
            </w:tcBorders>
            <w:shd w:val="clear" w:color="000000" w:fill="BDD6EE"/>
            <w:vAlign w:val="center"/>
            <w:hideMark/>
          </w:tcPr>
          <w:p w14:paraId="63963616" w14:textId="77777777" w:rsidR="00D210F0" w:rsidRPr="00092ED7" w:rsidRDefault="00D210F0" w:rsidP="00E44EF2">
            <w:pPr>
              <w:spacing w:after="0"/>
              <w:jc w:val="center"/>
              <w:rPr>
                <w:rFonts w:cs="Times New Roman"/>
                <w:b/>
                <w:bCs/>
                <w:color w:val="000000"/>
                <w:sz w:val="21"/>
                <w:szCs w:val="21"/>
                <w:lang w:val="sr-Cyrl-CS"/>
              </w:rPr>
            </w:pPr>
          </w:p>
        </w:tc>
        <w:tc>
          <w:tcPr>
            <w:tcW w:w="4243" w:type="dxa"/>
            <w:vMerge/>
            <w:tcBorders>
              <w:top w:val="single" w:sz="8" w:space="0" w:color="auto"/>
              <w:left w:val="single" w:sz="8" w:space="0" w:color="auto"/>
              <w:bottom w:val="single" w:sz="8" w:space="0" w:color="000000"/>
              <w:right w:val="nil"/>
            </w:tcBorders>
            <w:shd w:val="clear" w:color="auto" w:fill="BDD6EE" w:themeFill="accent1" w:themeFillTint="66"/>
            <w:vAlign w:val="center"/>
            <w:hideMark/>
          </w:tcPr>
          <w:p w14:paraId="14A5D6DE" w14:textId="77777777" w:rsidR="00D210F0" w:rsidRPr="00092ED7" w:rsidRDefault="00D210F0" w:rsidP="00E44EF2">
            <w:pPr>
              <w:spacing w:after="0"/>
              <w:rPr>
                <w:rFonts w:cs="Times New Roman"/>
                <w:b/>
                <w:bCs/>
                <w:color w:val="000000"/>
                <w:sz w:val="21"/>
                <w:szCs w:val="21"/>
                <w:lang w:val="sr-Cyrl-CS"/>
              </w:rPr>
            </w:pPr>
          </w:p>
        </w:tc>
        <w:tc>
          <w:tcPr>
            <w:tcW w:w="372" w:type="dxa"/>
            <w:tcBorders>
              <w:top w:val="nil"/>
              <w:left w:val="single" w:sz="8" w:space="0" w:color="auto"/>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3930B334" w14:textId="77777777" w:rsidR="00D210F0" w:rsidRPr="00092ED7" w:rsidRDefault="00D210F0" w:rsidP="00E44EF2">
            <w:pPr>
              <w:spacing w:after="0"/>
              <w:jc w:val="center"/>
              <w:rPr>
                <w:rFonts w:cs="Times New Roman"/>
                <w:i/>
                <w:iCs/>
                <w:color w:val="000000"/>
                <w:sz w:val="18"/>
                <w:szCs w:val="18"/>
                <w:lang w:val="sr-Cyrl-CS"/>
              </w:rPr>
            </w:pPr>
            <w:r w:rsidRPr="00092ED7">
              <w:rPr>
                <w:rFonts w:cs="Times New Roman"/>
                <w:i/>
                <w:iCs/>
                <w:color w:val="000000"/>
                <w:sz w:val="18"/>
                <w:szCs w:val="18"/>
                <w:lang w:val="sr-Cyrl-CS"/>
              </w:rPr>
              <w:t>Q1</w:t>
            </w:r>
          </w:p>
        </w:tc>
        <w:tc>
          <w:tcPr>
            <w:tcW w:w="373"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1C57A058" w14:textId="77777777" w:rsidR="00D210F0" w:rsidRPr="00092ED7" w:rsidRDefault="00D210F0" w:rsidP="00E44EF2">
            <w:pPr>
              <w:spacing w:after="0"/>
              <w:jc w:val="center"/>
              <w:rPr>
                <w:rFonts w:cs="Times New Roman"/>
                <w:i/>
                <w:iCs/>
                <w:color w:val="000000"/>
                <w:sz w:val="18"/>
                <w:szCs w:val="18"/>
                <w:lang w:val="sr-Cyrl-CS"/>
              </w:rPr>
            </w:pPr>
            <w:r w:rsidRPr="00092ED7">
              <w:rPr>
                <w:rFonts w:cs="Times New Roman"/>
                <w:i/>
                <w:iCs/>
                <w:color w:val="000000"/>
                <w:sz w:val="18"/>
                <w:szCs w:val="18"/>
                <w:lang w:val="sr-Cyrl-CS"/>
              </w:rPr>
              <w:t>Q2</w:t>
            </w:r>
          </w:p>
        </w:tc>
        <w:tc>
          <w:tcPr>
            <w:tcW w:w="372"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68AF0A43" w14:textId="77777777" w:rsidR="00D210F0" w:rsidRPr="00092ED7" w:rsidRDefault="00D210F0" w:rsidP="00E44EF2">
            <w:pPr>
              <w:spacing w:after="0"/>
              <w:jc w:val="center"/>
              <w:rPr>
                <w:rFonts w:cs="Times New Roman"/>
                <w:i/>
                <w:iCs/>
                <w:color w:val="000000"/>
                <w:sz w:val="18"/>
                <w:szCs w:val="18"/>
                <w:lang w:val="sr-Cyrl-CS"/>
              </w:rPr>
            </w:pPr>
            <w:r w:rsidRPr="00092ED7">
              <w:rPr>
                <w:rFonts w:cs="Times New Roman"/>
                <w:i/>
                <w:iCs/>
                <w:color w:val="000000"/>
                <w:sz w:val="18"/>
                <w:szCs w:val="18"/>
                <w:lang w:val="sr-Cyrl-CS"/>
              </w:rPr>
              <w:t>Q3</w:t>
            </w:r>
          </w:p>
        </w:tc>
        <w:tc>
          <w:tcPr>
            <w:tcW w:w="373" w:type="dxa"/>
            <w:tcBorders>
              <w:top w:val="nil"/>
              <w:left w:val="nil"/>
              <w:bottom w:val="single" w:sz="8" w:space="0" w:color="auto"/>
              <w:right w:val="single" w:sz="8" w:space="0" w:color="auto"/>
            </w:tcBorders>
            <w:shd w:val="clear" w:color="auto" w:fill="BDD6EE" w:themeFill="accent1" w:themeFillTint="66"/>
            <w:tcMar>
              <w:top w:w="15" w:type="dxa"/>
              <w:left w:w="15" w:type="dxa"/>
              <w:bottom w:w="0" w:type="dxa"/>
              <w:right w:w="15" w:type="dxa"/>
            </w:tcMar>
            <w:vAlign w:val="center"/>
            <w:hideMark/>
          </w:tcPr>
          <w:p w14:paraId="1E299252" w14:textId="77777777" w:rsidR="00D210F0" w:rsidRPr="00092ED7" w:rsidRDefault="00D210F0" w:rsidP="00E44EF2">
            <w:pPr>
              <w:spacing w:after="0"/>
              <w:jc w:val="center"/>
              <w:rPr>
                <w:rFonts w:cs="Times New Roman"/>
                <w:i/>
                <w:iCs/>
                <w:color w:val="000000"/>
                <w:sz w:val="18"/>
                <w:szCs w:val="18"/>
                <w:lang w:val="sr-Cyrl-CS"/>
              </w:rPr>
            </w:pPr>
            <w:r w:rsidRPr="00092ED7">
              <w:rPr>
                <w:rFonts w:cs="Times New Roman"/>
                <w:i/>
                <w:iCs/>
                <w:color w:val="000000"/>
                <w:sz w:val="18"/>
                <w:szCs w:val="18"/>
                <w:lang w:val="sr-Cyrl-CS"/>
              </w:rPr>
              <w:t>Q4</w:t>
            </w:r>
          </w:p>
        </w:tc>
        <w:tc>
          <w:tcPr>
            <w:tcW w:w="372"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3BDF0F6F" w14:textId="77777777" w:rsidR="00D210F0" w:rsidRPr="00092ED7" w:rsidRDefault="00D210F0" w:rsidP="00E44EF2">
            <w:pPr>
              <w:spacing w:after="0"/>
              <w:jc w:val="center"/>
              <w:rPr>
                <w:rFonts w:cs="Times New Roman"/>
                <w:i/>
                <w:iCs/>
                <w:color w:val="000000"/>
                <w:sz w:val="18"/>
                <w:szCs w:val="18"/>
                <w:lang w:val="sr-Cyrl-CS"/>
              </w:rPr>
            </w:pPr>
            <w:r w:rsidRPr="00092ED7">
              <w:rPr>
                <w:rFonts w:cs="Times New Roman"/>
                <w:i/>
                <w:iCs/>
                <w:color w:val="000000"/>
                <w:sz w:val="18"/>
                <w:szCs w:val="18"/>
                <w:lang w:val="sr-Cyrl-CS"/>
              </w:rPr>
              <w:t>Q1</w:t>
            </w:r>
          </w:p>
        </w:tc>
        <w:tc>
          <w:tcPr>
            <w:tcW w:w="373"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775FDF47" w14:textId="77777777" w:rsidR="00D210F0" w:rsidRPr="00092ED7" w:rsidRDefault="00D210F0" w:rsidP="00E44EF2">
            <w:pPr>
              <w:spacing w:after="0"/>
              <w:jc w:val="center"/>
              <w:rPr>
                <w:rFonts w:cs="Times New Roman"/>
                <w:i/>
                <w:iCs/>
                <w:color w:val="000000"/>
                <w:sz w:val="18"/>
                <w:szCs w:val="18"/>
                <w:lang w:val="sr-Cyrl-CS"/>
              </w:rPr>
            </w:pPr>
            <w:r w:rsidRPr="00092ED7">
              <w:rPr>
                <w:rFonts w:cs="Times New Roman"/>
                <w:i/>
                <w:iCs/>
                <w:color w:val="000000"/>
                <w:sz w:val="18"/>
                <w:szCs w:val="18"/>
                <w:lang w:val="sr-Cyrl-CS"/>
              </w:rPr>
              <w:t>Q2</w:t>
            </w:r>
          </w:p>
        </w:tc>
        <w:tc>
          <w:tcPr>
            <w:tcW w:w="373"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34058B59" w14:textId="77777777" w:rsidR="00D210F0" w:rsidRPr="00092ED7" w:rsidRDefault="00D210F0" w:rsidP="00E44EF2">
            <w:pPr>
              <w:spacing w:after="0"/>
              <w:jc w:val="center"/>
              <w:rPr>
                <w:rFonts w:cs="Times New Roman"/>
                <w:i/>
                <w:iCs/>
                <w:color w:val="000000"/>
                <w:sz w:val="18"/>
                <w:szCs w:val="18"/>
                <w:lang w:val="sr-Cyrl-CS"/>
              </w:rPr>
            </w:pPr>
            <w:r w:rsidRPr="00092ED7">
              <w:rPr>
                <w:rFonts w:cs="Times New Roman"/>
                <w:i/>
                <w:iCs/>
                <w:color w:val="000000"/>
                <w:sz w:val="18"/>
                <w:szCs w:val="18"/>
                <w:lang w:val="sr-Cyrl-CS"/>
              </w:rPr>
              <w:t>Q3</w:t>
            </w:r>
          </w:p>
        </w:tc>
        <w:tc>
          <w:tcPr>
            <w:tcW w:w="372" w:type="dxa"/>
            <w:tcBorders>
              <w:top w:val="nil"/>
              <w:left w:val="nil"/>
              <w:bottom w:val="single" w:sz="8" w:space="0" w:color="auto"/>
              <w:right w:val="single" w:sz="8" w:space="0" w:color="auto"/>
            </w:tcBorders>
            <w:shd w:val="clear" w:color="auto" w:fill="BDD6EE" w:themeFill="accent1" w:themeFillTint="66"/>
            <w:tcMar>
              <w:top w:w="15" w:type="dxa"/>
              <w:left w:w="15" w:type="dxa"/>
              <w:bottom w:w="0" w:type="dxa"/>
              <w:right w:w="15" w:type="dxa"/>
            </w:tcMar>
            <w:vAlign w:val="center"/>
            <w:hideMark/>
          </w:tcPr>
          <w:p w14:paraId="53BFA62E" w14:textId="77777777" w:rsidR="00D210F0" w:rsidRPr="00092ED7" w:rsidRDefault="00D210F0" w:rsidP="00E44EF2">
            <w:pPr>
              <w:spacing w:after="0"/>
              <w:jc w:val="center"/>
              <w:rPr>
                <w:rFonts w:cs="Times New Roman"/>
                <w:i/>
                <w:iCs/>
                <w:color w:val="000000"/>
                <w:sz w:val="18"/>
                <w:szCs w:val="18"/>
                <w:lang w:val="sr-Cyrl-CS"/>
              </w:rPr>
            </w:pPr>
            <w:r w:rsidRPr="00092ED7">
              <w:rPr>
                <w:rFonts w:cs="Times New Roman"/>
                <w:i/>
                <w:iCs/>
                <w:color w:val="000000"/>
                <w:sz w:val="18"/>
                <w:szCs w:val="18"/>
                <w:lang w:val="sr-Cyrl-CS"/>
              </w:rPr>
              <w:t>Q4</w:t>
            </w:r>
          </w:p>
        </w:tc>
        <w:tc>
          <w:tcPr>
            <w:tcW w:w="373"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7A570C2C" w14:textId="77777777" w:rsidR="00D210F0" w:rsidRPr="00092ED7" w:rsidRDefault="00D210F0" w:rsidP="00E44EF2">
            <w:pPr>
              <w:spacing w:after="0"/>
              <w:jc w:val="center"/>
              <w:rPr>
                <w:rFonts w:cs="Times New Roman"/>
                <w:i/>
                <w:iCs/>
                <w:color w:val="000000"/>
                <w:sz w:val="18"/>
                <w:szCs w:val="18"/>
                <w:lang w:val="sr-Cyrl-CS"/>
              </w:rPr>
            </w:pPr>
            <w:r w:rsidRPr="00092ED7">
              <w:rPr>
                <w:rFonts w:cs="Times New Roman"/>
                <w:i/>
                <w:iCs/>
                <w:color w:val="000000"/>
                <w:sz w:val="18"/>
                <w:szCs w:val="18"/>
                <w:lang w:val="sr-Cyrl-CS"/>
              </w:rPr>
              <w:t>Q1</w:t>
            </w:r>
          </w:p>
        </w:tc>
        <w:tc>
          <w:tcPr>
            <w:tcW w:w="372"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787AEF8A" w14:textId="77777777" w:rsidR="00D210F0" w:rsidRPr="00092ED7" w:rsidRDefault="00D210F0" w:rsidP="00E44EF2">
            <w:pPr>
              <w:spacing w:after="0"/>
              <w:jc w:val="center"/>
              <w:rPr>
                <w:rFonts w:cs="Times New Roman"/>
                <w:i/>
                <w:iCs/>
                <w:color w:val="000000"/>
                <w:sz w:val="18"/>
                <w:szCs w:val="18"/>
                <w:lang w:val="sr-Cyrl-CS"/>
              </w:rPr>
            </w:pPr>
            <w:r w:rsidRPr="00092ED7">
              <w:rPr>
                <w:rFonts w:cs="Times New Roman"/>
                <w:i/>
                <w:iCs/>
                <w:color w:val="000000"/>
                <w:sz w:val="18"/>
                <w:szCs w:val="18"/>
                <w:lang w:val="sr-Cyrl-CS"/>
              </w:rPr>
              <w:t>Q2</w:t>
            </w:r>
          </w:p>
        </w:tc>
        <w:tc>
          <w:tcPr>
            <w:tcW w:w="373"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1F446F34" w14:textId="77777777" w:rsidR="00D210F0" w:rsidRPr="00092ED7" w:rsidRDefault="00D210F0" w:rsidP="00E44EF2">
            <w:pPr>
              <w:spacing w:after="0"/>
              <w:jc w:val="center"/>
              <w:rPr>
                <w:rFonts w:cs="Times New Roman"/>
                <w:i/>
                <w:iCs/>
                <w:color w:val="000000"/>
                <w:sz w:val="18"/>
                <w:szCs w:val="18"/>
                <w:lang w:val="sr-Cyrl-CS"/>
              </w:rPr>
            </w:pPr>
            <w:r w:rsidRPr="00092ED7">
              <w:rPr>
                <w:rFonts w:cs="Times New Roman"/>
                <w:i/>
                <w:iCs/>
                <w:color w:val="000000"/>
                <w:sz w:val="18"/>
                <w:szCs w:val="18"/>
                <w:lang w:val="sr-Cyrl-CS"/>
              </w:rPr>
              <w:t>Q3</w:t>
            </w:r>
          </w:p>
        </w:tc>
        <w:tc>
          <w:tcPr>
            <w:tcW w:w="373" w:type="dxa"/>
            <w:tcBorders>
              <w:top w:val="nil"/>
              <w:left w:val="nil"/>
              <w:bottom w:val="single" w:sz="8" w:space="0" w:color="auto"/>
              <w:right w:val="single" w:sz="8" w:space="0" w:color="auto"/>
            </w:tcBorders>
            <w:shd w:val="clear" w:color="auto" w:fill="BDD6EE" w:themeFill="accent1" w:themeFillTint="66"/>
            <w:tcMar>
              <w:top w:w="15" w:type="dxa"/>
              <w:left w:w="15" w:type="dxa"/>
              <w:bottom w:w="0" w:type="dxa"/>
              <w:right w:w="15" w:type="dxa"/>
            </w:tcMar>
            <w:vAlign w:val="center"/>
            <w:hideMark/>
          </w:tcPr>
          <w:p w14:paraId="1F6AF14A" w14:textId="77777777" w:rsidR="00D210F0" w:rsidRPr="00092ED7" w:rsidRDefault="00D210F0" w:rsidP="00E44EF2">
            <w:pPr>
              <w:spacing w:after="0"/>
              <w:jc w:val="center"/>
              <w:rPr>
                <w:rFonts w:cs="Times New Roman"/>
                <w:i/>
                <w:iCs/>
                <w:color w:val="000000"/>
                <w:sz w:val="18"/>
                <w:szCs w:val="18"/>
                <w:lang w:val="sr-Cyrl-CS"/>
              </w:rPr>
            </w:pPr>
            <w:r w:rsidRPr="00092ED7">
              <w:rPr>
                <w:rFonts w:cs="Times New Roman"/>
                <w:i/>
                <w:iCs/>
                <w:color w:val="000000"/>
                <w:sz w:val="18"/>
                <w:szCs w:val="18"/>
                <w:lang w:val="sr-Cyrl-CS"/>
              </w:rPr>
              <w:t>Q4</w:t>
            </w:r>
          </w:p>
        </w:tc>
      </w:tr>
      <w:tr w:rsidR="00D210F0" w:rsidRPr="00092ED7" w14:paraId="05201E56" w14:textId="77777777" w:rsidTr="00AE4362">
        <w:trPr>
          <w:trHeight w:val="300"/>
        </w:trPr>
        <w:tc>
          <w:tcPr>
            <w:tcW w:w="425" w:type="dxa"/>
            <w:tcBorders>
              <w:top w:val="single" w:sz="4" w:space="0" w:color="auto"/>
              <w:left w:val="single" w:sz="8" w:space="0" w:color="auto"/>
              <w:bottom w:val="single" w:sz="4" w:space="0" w:color="auto"/>
              <w:right w:val="nil"/>
            </w:tcBorders>
            <w:shd w:val="clear" w:color="auto" w:fill="auto"/>
            <w:tcMar>
              <w:top w:w="15" w:type="dxa"/>
              <w:left w:w="15" w:type="dxa"/>
              <w:bottom w:w="0" w:type="dxa"/>
              <w:right w:w="15" w:type="dxa"/>
            </w:tcMar>
          </w:tcPr>
          <w:p w14:paraId="69938B19" w14:textId="77777777" w:rsidR="00D210F0" w:rsidRPr="00092ED7" w:rsidRDefault="00D210F0" w:rsidP="00E44EF2">
            <w:pPr>
              <w:spacing w:after="0"/>
              <w:jc w:val="center"/>
              <w:rPr>
                <w:rFonts w:cs="Times New Roman"/>
                <w:bCs/>
                <w:sz w:val="18"/>
                <w:szCs w:val="18"/>
                <w:lang w:val="sr-Cyrl-CS"/>
              </w:rPr>
            </w:pPr>
            <w:r w:rsidRPr="00092ED7">
              <w:rPr>
                <w:rFonts w:eastAsia="Times New Roman" w:cs="Times New Roman"/>
                <w:bCs/>
                <w:sz w:val="20"/>
                <w:szCs w:val="20"/>
                <w:lang w:val="sr-Cyrl-CS"/>
              </w:rPr>
              <w:t>1.</w:t>
            </w:r>
          </w:p>
        </w:tc>
        <w:tc>
          <w:tcPr>
            <w:tcW w:w="4243" w:type="dxa"/>
            <w:tcBorders>
              <w:top w:val="single" w:sz="4" w:space="0" w:color="auto"/>
              <w:left w:val="single" w:sz="8" w:space="0" w:color="auto"/>
              <w:bottom w:val="single" w:sz="4" w:space="0" w:color="auto"/>
              <w:right w:val="nil"/>
            </w:tcBorders>
            <w:shd w:val="clear" w:color="auto" w:fill="auto"/>
            <w:tcMar>
              <w:top w:w="15" w:type="dxa"/>
              <w:left w:w="15" w:type="dxa"/>
              <w:bottom w:w="0" w:type="dxa"/>
              <w:right w:w="15" w:type="dxa"/>
            </w:tcMar>
          </w:tcPr>
          <w:p w14:paraId="5C4C38D0" w14:textId="33AF0134" w:rsidR="00D210F0" w:rsidRPr="00092ED7" w:rsidRDefault="00D210F0" w:rsidP="00E150E9">
            <w:pPr>
              <w:spacing w:after="0"/>
              <w:rPr>
                <w:rFonts w:cs="Times New Roman"/>
                <w:sz w:val="18"/>
                <w:szCs w:val="18"/>
                <w:lang w:val="sr-Cyrl-CS"/>
              </w:rPr>
            </w:pPr>
            <w:r w:rsidRPr="00092ED7">
              <w:rPr>
                <w:rFonts w:cs="Times New Roman"/>
                <w:sz w:val="20"/>
                <w:szCs w:val="20"/>
                <w:lang w:val="sr-Cyrl-CS"/>
              </w:rPr>
              <w:t xml:space="preserve">Реинжењеринг пословних процеса у пореским пословима укључујући обуку тренера за увођење </w:t>
            </w:r>
            <w:r w:rsidRPr="00092ED7">
              <w:rPr>
                <w:rFonts w:cs="Times New Roman"/>
                <w:sz w:val="20"/>
                <w:szCs w:val="20"/>
                <w:lang w:val="sr-Cyrl-CS"/>
              </w:rPr>
              <w:lastRenderedPageBreak/>
              <w:t xml:space="preserve">нових функција у организационе јединице </w:t>
            </w:r>
            <w:r w:rsidR="00E150E9" w:rsidRPr="00092ED7">
              <w:rPr>
                <w:rFonts w:cs="Times New Roman"/>
                <w:sz w:val="20"/>
                <w:szCs w:val="20"/>
                <w:lang w:val="sr-Cyrl-CS"/>
              </w:rPr>
              <w:t>Пореске управе</w:t>
            </w:r>
          </w:p>
        </w:tc>
        <w:tc>
          <w:tcPr>
            <w:tcW w:w="372" w:type="dxa"/>
            <w:tcBorders>
              <w:top w:val="single" w:sz="4" w:space="0" w:color="auto"/>
              <w:left w:val="single" w:sz="8"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center"/>
          </w:tcPr>
          <w:p w14:paraId="732C71A1" w14:textId="77777777" w:rsidR="00D210F0" w:rsidRPr="00092ED7" w:rsidRDefault="00D210F0" w:rsidP="00E44EF2">
            <w:pPr>
              <w:spacing w:after="0"/>
              <w:rPr>
                <w:rFonts w:cs="Times New Roman"/>
                <w:color w:val="000000"/>
                <w:sz w:val="18"/>
                <w:szCs w:val="18"/>
                <w:lang w:val="sr-Cyrl-CS"/>
              </w:rPr>
            </w:pPr>
          </w:p>
        </w:tc>
        <w:tc>
          <w:tcPr>
            <w:tcW w:w="373"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center"/>
          </w:tcPr>
          <w:p w14:paraId="0B10272D" w14:textId="77777777" w:rsidR="00D210F0" w:rsidRPr="00092ED7" w:rsidRDefault="00D210F0" w:rsidP="00E44EF2">
            <w:pPr>
              <w:spacing w:after="0"/>
              <w:rPr>
                <w:rFonts w:cs="Times New Roman"/>
                <w:color w:val="000000"/>
                <w:sz w:val="18"/>
                <w:szCs w:val="18"/>
                <w:lang w:val="sr-Cyrl-CS"/>
              </w:rPr>
            </w:pPr>
          </w:p>
        </w:tc>
        <w:tc>
          <w:tcPr>
            <w:tcW w:w="372"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center"/>
          </w:tcPr>
          <w:p w14:paraId="05BB9C3A" w14:textId="77777777" w:rsidR="00D210F0" w:rsidRPr="00092ED7" w:rsidRDefault="00D210F0" w:rsidP="00E44EF2">
            <w:pPr>
              <w:spacing w:after="0"/>
              <w:rPr>
                <w:rFonts w:cs="Times New Roman"/>
                <w:color w:val="000000"/>
                <w:sz w:val="18"/>
                <w:szCs w:val="18"/>
                <w:lang w:val="sr-Cyrl-CS"/>
              </w:rPr>
            </w:pPr>
          </w:p>
        </w:tc>
        <w:tc>
          <w:tcPr>
            <w:tcW w:w="373" w:type="dxa"/>
            <w:tcBorders>
              <w:top w:val="single" w:sz="4" w:space="0" w:color="auto"/>
              <w:left w:val="nil"/>
              <w:bottom w:val="single" w:sz="4" w:space="0" w:color="auto"/>
              <w:right w:val="single" w:sz="8" w:space="0" w:color="auto"/>
            </w:tcBorders>
            <w:shd w:val="clear" w:color="auto" w:fill="auto"/>
            <w:tcMar>
              <w:top w:w="15" w:type="dxa"/>
              <w:left w:w="15" w:type="dxa"/>
              <w:bottom w:w="0" w:type="dxa"/>
              <w:right w:w="15" w:type="dxa"/>
            </w:tcMar>
          </w:tcPr>
          <w:p w14:paraId="09651D5D" w14:textId="77777777" w:rsidR="00D210F0" w:rsidRPr="00092ED7" w:rsidRDefault="00D210F0" w:rsidP="00E44EF2">
            <w:pPr>
              <w:spacing w:after="0"/>
              <w:rPr>
                <w:rFonts w:cs="Times New Roman"/>
                <w:color w:val="000000"/>
                <w:sz w:val="18"/>
                <w:szCs w:val="18"/>
                <w:lang w:val="sr-Cyrl-CS"/>
              </w:rPr>
            </w:pPr>
          </w:p>
        </w:tc>
        <w:tc>
          <w:tcPr>
            <w:tcW w:w="372"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0724266C" w14:textId="77777777" w:rsidR="00D210F0" w:rsidRPr="00092ED7" w:rsidRDefault="00D210F0" w:rsidP="00E44EF2">
            <w:pPr>
              <w:spacing w:after="0"/>
              <w:rPr>
                <w:rFonts w:cs="Times New Roman"/>
                <w:color w:val="000000"/>
                <w:sz w:val="18"/>
                <w:szCs w:val="18"/>
                <w:lang w:val="sr-Cyrl-CS"/>
              </w:rPr>
            </w:pPr>
          </w:p>
        </w:tc>
        <w:tc>
          <w:tcPr>
            <w:tcW w:w="373"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10E2A21A" w14:textId="77777777" w:rsidR="00D210F0" w:rsidRPr="00092ED7" w:rsidRDefault="00D210F0" w:rsidP="00E44EF2">
            <w:pPr>
              <w:spacing w:after="0"/>
              <w:rPr>
                <w:rFonts w:cs="Times New Roman"/>
                <w:color w:val="000000"/>
                <w:sz w:val="18"/>
                <w:szCs w:val="18"/>
                <w:lang w:val="sr-Cyrl-CS"/>
              </w:rPr>
            </w:pPr>
          </w:p>
        </w:tc>
        <w:tc>
          <w:tcPr>
            <w:tcW w:w="373"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61718101" w14:textId="77777777" w:rsidR="00D210F0" w:rsidRPr="00092ED7" w:rsidRDefault="00D210F0" w:rsidP="00E44EF2">
            <w:pPr>
              <w:spacing w:after="0"/>
              <w:rPr>
                <w:rFonts w:cs="Times New Roman"/>
                <w:color w:val="000000"/>
                <w:sz w:val="18"/>
                <w:szCs w:val="18"/>
                <w:lang w:val="sr-Cyrl-CS"/>
              </w:rPr>
            </w:pPr>
          </w:p>
        </w:tc>
        <w:tc>
          <w:tcPr>
            <w:tcW w:w="372" w:type="dxa"/>
            <w:tcBorders>
              <w:top w:val="single" w:sz="4" w:space="0" w:color="auto"/>
              <w:left w:val="nil"/>
              <w:bottom w:val="single" w:sz="4" w:space="0" w:color="auto"/>
              <w:right w:val="single" w:sz="8" w:space="0" w:color="auto"/>
            </w:tcBorders>
            <w:shd w:val="clear" w:color="auto" w:fill="auto"/>
            <w:tcMar>
              <w:top w:w="15" w:type="dxa"/>
              <w:left w:w="15" w:type="dxa"/>
              <w:bottom w:w="0" w:type="dxa"/>
              <w:right w:w="15" w:type="dxa"/>
            </w:tcMar>
          </w:tcPr>
          <w:p w14:paraId="5A6F0117" w14:textId="77777777" w:rsidR="00D210F0" w:rsidRPr="00092ED7" w:rsidRDefault="00D210F0" w:rsidP="00E44EF2">
            <w:pPr>
              <w:spacing w:after="0"/>
              <w:rPr>
                <w:rFonts w:cs="Times New Roman"/>
                <w:color w:val="000000"/>
                <w:sz w:val="18"/>
                <w:szCs w:val="18"/>
                <w:lang w:val="sr-Cyrl-CS"/>
              </w:rPr>
            </w:pPr>
          </w:p>
        </w:tc>
        <w:tc>
          <w:tcPr>
            <w:tcW w:w="373"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6F89C79D" w14:textId="77777777" w:rsidR="00D210F0" w:rsidRPr="00092ED7" w:rsidRDefault="00D210F0" w:rsidP="00E44EF2">
            <w:pPr>
              <w:spacing w:after="0"/>
              <w:rPr>
                <w:rFonts w:cs="Times New Roman"/>
                <w:color w:val="000000"/>
                <w:sz w:val="18"/>
                <w:szCs w:val="18"/>
                <w:lang w:val="sr-Cyrl-CS"/>
              </w:rPr>
            </w:pPr>
          </w:p>
        </w:tc>
        <w:tc>
          <w:tcPr>
            <w:tcW w:w="372"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13BBC055" w14:textId="77777777" w:rsidR="00D210F0" w:rsidRPr="00092ED7" w:rsidRDefault="00D210F0" w:rsidP="00E44EF2">
            <w:pPr>
              <w:spacing w:after="0"/>
              <w:rPr>
                <w:rFonts w:cs="Times New Roman"/>
                <w:color w:val="000000"/>
                <w:sz w:val="18"/>
                <w:szCs w:val="18"/>
                <w:lang w:val="sr-Cyrl-CS"/>
              </w:rPr>
            </w:pPr>
          </w:p>
        </w:tc>
        <w:tc>
          <w:tcPr>
            <w:tcW w:w="373"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24CE3EBE" w14:textId="77777777" w:rsidR="00D210F0" w:rsidRPr="00092ED7" w:rsidRDefault="00D210F0" w:rsidP="00E44EF2">
            <w:pPr>
              <w:spacing w:after="0"/>
              <w:rPr>
                <w:rFonts w:cs="Times New Roman"/>
                <w:color w:val="000000"/>
                <w:sz w:val="18"/>
                <w:szCs w:val="18"/>
                <w:lang w:val="sr-Cyrl-CS"/>
              </w:rPr>
            </w:pPr>
          </w:p>
        </w:tc>
        <w:tc>
          <w:tcPr>
            <w:tcW w:w="373" w:type="dxa"/>
            <w:tcBorders>
              <w:top w:val="single" w:sz="4" w:space="0" w:color="auto"/>
              <w:left w:val="nil"/>
              <w:bottom w:val="single" w:sz="4" w:space="0" w:color="auto"/>
              <w:right w:val="single" w:sz="8" w:space="0" w:color="auto"/>
            </w:tcBorders>
            <w:shd w:val="clear" w:color="auto" w:fill="auto"/>
            <w:tcMar>
              <w:top w:w="15" w:type="dxa"/>
              <w:left w:w="15" w:type="dxa"/>
              <w:bottom w:w="0" w:type="dxa"/>
              <w:right w:w="15" w:type="dxa"/>
            </w:tcMar>
          </w:tcPr>
          <w:p w14:paraId="1749CBE7" w14:textId="77777777" w:rsidR="00D210F0" w:rsidRPr="00092ED7" w:rsidRDefault="00D210F0" w:rsidP="00E44EF2">
            <w:pPr>
              <w:spacing w:after="0"/>
              <w:rPr>
                <w:rFonts w:cs="Times New Roman"/>
                <w:color w:val="000000"/>
                <w:sz w:val="18"/>
                <w:szCs w:val="18"/>
                <w:lang w:val="sr-Cyrl-CS"/>
              </w:rPr>
            </w:pPr>
          </w:p>
        </w:tc>
      </w:tr>
      <w:tr w:rsidR="00D210F0" w:rsidRPr="00092ED7" w14:paraId="134B4DC3" w14:textId="77777777" w:rsidTr="00B640AF">
        <w:trPr>
          <w:trHeight w:val="300"/>
        </w:trPr>
        <w:tc>
          <w:tcPr>
            <w:tcW w:w="425" w:type="dxa"/>
            <w:tcBorders>
              <w:top w:val="nil"/>
              <w:left w:val="single" w:sz="8" w:space="0" w:color="auto"/>
              <w:bottom w:val="single" w:sz="4" w:space="0" w:color="auto"/>
              <w:right w:val="nil"/>
            </w:tcBorders>
            <w:shd w:val="clear" w:color="auto" w:fill="auto"/>
            <w:tcMar>
              <w:top w:w="15" w:type="dxa"/>
              <w:left w:w="15" w:type="dxa"/>
              <w:bottom w:w="0" w:type="dxa"/>
              <w:right w:w="15" w:type="dxa"/>
            </w:tcMar>
          </w:tcPr>
          <w:p w14:paraId="3C386C4F" w14:textId="77777777" w:rsidR="00D210F0" w:rsidRPr="00092ED7" w:rsidRDefault="00D210F0" w:rsidP="00E44EF2">
            <w:pPr>
              <w:spacing w:after="0"/>
              <w:jc w:val="center"/>
              <w:rPr>
                <w:rFonts w:cs="Times New Roman"/>
                <w:bCs/>
                <w:sz w:val="18"/>
                <w:szCs w:val="18"/>
                <w:lang w:val="sr-Cyrl-CS"/>
              </w:rPr>
            </w:pPr>
            <w:r w:rsidRPr="00092ED7">
              <w:rPr>
                <w:rFonts w:eastAsia="Times New Roman" w:cs="Times New Roman"/>
                <w:bCs/>
                <w:sz w:val="20"/>
                <w:szCs w:val="20"/>
                <w:lang w:val="sr-Cyrl-CS"/>
              </w:rPr>
              <w:t>2.</w:t>
            </w:r>
          </w:p>
        </w:tc>
        <w:tc>
          <w:tcPr>
            <w:tcW w:w="4243" w:type="dxa"/>
            <w:tcBorders>
              <w:top w:val="nil"/>
              <w:left w:val="single" w:sz="8" w:space="0" w:color="auto"/>
              <w:bottom w:val="single" w:sz="4" w:space="0" w:color="auto"/>
              <w:right w:val="single" w:sz="4" w:space="0" w:color="auto"/>
            </w:tcBorders>
            <w:shd w:val="clear" w:color="auto" w:fill="auto"/>
            <w:tcMar>
              <w:top w:w="15" w:type="dxa"/>
              <w:left w:w="15" w:type="dxa"/>
              <w:bottom w:w="0" w:type="dxa"/>
              <w:right w:w="15" w:type="dxa"/>
            </w:tcMar>
          </w:tcPr>
          <w:p w14:paraId="5B9FECD6" w14:textId="77777777" w:rsidR="00D210F0" w:rsidRPr="00092ED7" w:rsidRDefault="00D210F0" w:rsidP="00E44EF2">
            <w:pPr>
              <w:spacing w:after="0"/>
              <w:rPr>
                <w:rFonts w:cs="Times New Roman"/>
                <w:lang w:val="sr-Cyrl-CS"/>
              </w:rPr>
            </w:pPr>
            <w:r w:rsidRPr="00092ED7">
              <w:rPr>
                <w:rFonts w:cs="Times New Roman"/>
                <w:sz w:val="20"/>
                <w:szCs w:val="20"/>
                <w:lang w:val="sr-Cyrl-CS"/>
              </w:rPr>
              <w:t xml:space="preserve">Реализација Плана набавке </w:t>
            </w:r>
            <w:r w:rsidR="000E06AF" w:rsidRPr="00092ED7">
              <w:rPr>
                <w:rFonts w:cs="Times New Roman"/>
                <w:sz w:val="20"/>
                <w:szCs w:val="20"/>
                <w:lang w:val="sr-Cyrl-CS"/>
              </w:rPr>
              <w:t xml:space="preserve">пројекта </w:t>
            </w:r>
            <w:r w:rsidRPr="00092ED7">
              <w:rPr>
                <w:rFonts w:cs="Times New Roman"/>
                <w:sz w:val="20"/>
                <w:szCs w:val="20"/>
                <w:lang w:val="sr-Cyrl-CS"/>
              </w:rPr>
              <w:t>TAM</w:t>
            </w:r>
            <w:r w:rsidR="000E06AF" w:rsidRPr="00092ED7">
              <w:rPr>
                <w:rFonts w:cs="Times New Roman"/>
                <w:sz w:val="20"/>
                <w:szCs w:val="20"/>
                <w:lang w:val="sr-Cyrl-CS"/>
              </w:rPr>
              <w:t>П</w:t>
            </w:r>
          </w:p>
          <w:p w14:paraId="214DBB4A" w14:textId="5BCDF344" w:rsidR="00D210F0" w:rsidRPr="00092ED7" w:rsidRDefault="00D210F0" w:rsidP="00E150E9">
            <w:pPr>
              <w:spacing w:after="0"/>
              <w:rPr>
                <w:rFonts w:cs="Times New Roman"/>
                <w:lang w:val="sr-Cyrl-CS"/>
              </w:rPr>
            </w:pPr>
            <w:r w:rsidRPr="00092ED7">
              <w:rPr>
                <w:rFonts w:cs="Times New Roman"/>
                <w:sz w:val="20"/>
                <w:szCs w:val="20"/>
                <w:lang w:val="sr-Cyrl-CS"/>
              </w:rPr>
              <w:t xml:space="preserve">(Пројекат модернизације </w:t>
            </w:r>
            <w:r w:rsidR="00E150E9" w:rsidRPr="00092ED7">
              <w:rPr>
                <w:rFonts w:cs="Times New Roman"/>
                <w:sz w:val="20"/>
                <w:szCs w:val="20"/>
                <w:lang w:val="sr-Cyrl-CS"/>
              </w:rPr>
              <w:t>Пореске управе</w:t>
            </w:r>
            <w:r w:rsidRPr="00092ED7">
              <w:rPr>
                <w:rFonts w:cs="Times New Roman"/>
                <w:sz w:val="20"/>
                <w:szCs w:val="20"/>
                <w:lang w:val="sr-Cyrl-CS"/>
              </w:rPr>
              <w:t>)</w:t>
            </w:r>
          </w:p>
        </w:tc>
        <w:tc>
          <w:tcPr>
            <w:tcW w:w="372" w:type="dxa"/>
            <w:tcBorders>
              <w:top w:val="nil"/>
              <w:left w:val="single" w:sz="8"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3E16CECA" w14:textId="77777777" w:rsidR="00D210F0" w:rsidRPr="00092ED7" w:rsidRDefault="00D210F0" w:rsidP="00E44EF2">
            <w:pPr>
              <w:spacing w:after="0"/>
              <w:rPr>
                <w:rFonts w:cs="Times New Roman"/>
                <w:color w:val="000000"/>
                <w:sz w:val="18"/>
                <w:szCs w:val="18"/>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0C07EB1C" w14:textId="77777777" w:rsidR="00D210F0" w:rsidRPr="00092ED7" w:rsidRDefault="00D210F0" w:rsidP="00E44EF2">
            <w:pPr>
              <w:spacing w:after="0"/>
              <w:rPr>
                <w:rFonts w:cs="Times New Roman"/>
                <w:color w:val="000000"/>
                <w:sz w:val="18"/>
                <w:szCs w:val="18"/>
                <w:lang w:val="sr-Cyrl-CS"/>
              </w:rPr>
            </w:pP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26D34ED7" w14:textId="77777777" w:rsidR="00D210F0" w:rsidRPr="00092ED7" w:rsidRDefault="00D210F0" w:rsidP="00E44EF2">
            <w:pPr>
              <w:spacing w:after="0"/>
              <w:rPr>
                <w:rFonts w:cs="Times New Roman"/>
                <w:color w:val="000000"/>
                <w:sz w:val="18"/>
                <w:szCs w:val="18"/>
                <w:lang w:val="sr-Cyrl-CS"/>
              </w:rPr>
            </w:pPr>
          </w:p>
        </w:tc>
        <w:tc>
          <w:tcPr>
            <w:tcW w:w="373"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13845464" w14:textId="77777777" w:rsidR="00D210F0" w:rsidRPr="00092ED7" w:rsidRDefault="00D210F0" w:rsidP="00E44EF2">
            <w:pPr>
              <w:spacing w:after="0"/>
              <w:rPr>
                <w:rFonts w:cs="Times New Roman"/>
                <w:color w:val="000000"/>
                <w:sz w:val="18"/>
                <w:szCs w:val="18"/>
                <w:lang w:val="sr-Cyrl-CS"/>
              </w:rPr>
            </w:pP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6A64257" w14:textId="77777777" w:rsidR="00D210F0" w:rsidRPr="00092ED7" w:rsidRDefault="00D210F0" w:rsidP="00E44EF2">
            <w:pPr>
              <w:spacing w:after="0"/>
              <w:rPr>
                <w:rFonts w:cs="Times New Roman"/>
                <w:color w:val="000000"/>
                <w:sz w:val="18"/>
                <w:szCs w:val="18"/>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34BDE6B" w14:textId="77777777" w:rsidR="00D210F0" w:rsidRPr="00092ED7" w:rsidRDefault="00D210F0" w:rsidP="00E44EF2">
            <w:pPr>
              <w:spacing w:after="0"/>
              <w:rPr>
                <w:rFonts w:cs="Times New Roman"/>
                <w:color w:val="000000"/>
                <w:sz w:val="18"/>
                <w:szCs w:val="18"/>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0A08E67" w14:textId="77777777" w:rsidR="00D210F0" w:rsidRPr="00092ED7" w:rsidRDefault="00D210F0" w:rsidP="00E44EF2">
            <w:pPr>
              <w:spacing w:after="0"/>
              <w:rPr>
                <w:rFonts w:cs="Times New Roman"/>
                <w:color w:val="000000"/>
                <w:sz w:val="18"/>
                <w:szCs w:val="18"/>
                <w:lang w:val="sr-Cyrl-CS"/>
              </w:rPr>
            </w:pPr>
          </w:p>
        </w:tc>
        <w:tc>
          <w:tcPr>
            <w:tcW w:w="372"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3A83F5F6" w14:textId="77777777" w:rsidR="00D210F0" w:rsidRPr="00092ED7" w:rsidRDefault="00D210F0" w:rsidP="00E44EF2">
            <w:pPr>
              <w:spacing w:after="0"/>
              <w:rPr>
                <w:rFonts w:cs="Times New Roman"/>
                <w:color w:val="000000"/>
                <w:sz w:val="18"/>
                <w:szCs w:val="18"/>
                <w:lang w:val="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737FB176" w14:textId="77777777" w:rsidR="00D210F0" w:rsidRPr="00092ED7" w:rsidRDefault="00D210F0" w:rsidP="00E44EF2">
            <w:pPr>
              <w:spacing w:after="0"/>
              <w:rPr>
                <w:rFonts w:cs="Times New Roman"/>
                <w:color w:val="000000"/>
                <w:sz w:val="18"/>
                <w:szCs w:val="18"/>
                <w:lang w:val="sr-Cyrl-CS"/>
              </w:rPr>
            </w:pPr>
          </w:p>
        </w:tc>
        <w:tc>
          <w:tcPr>
            <w:tcW w:w="372"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04C7E692" w14:textId="77777777" w:rsidR="00D210F0" w:rsidRPr="00092ED7" w:rsidRDefault="00D210F0" w:rsidP="00E44EF2">
            <w:pPr>
              <w:spacing w:after="0"/>
              <w:rPr>
                <w:rFonts w:cs="Times New Roman"/>
                <w:color w:val="000000"/>
                <w:sz w:val="18"/>
                <w:szCs w:val="18"/>
                <w:lang w:val="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03E51555" w14:textId="77777777" w:rsidR="00D210F0" w:rsidRPr="00092ED7" w:rsidRDefault="00D210F0" w:rsidP="00E44EF2">
            <w:pPr>
              <w:spacing w:after="0"/>
              <w:rPr>
                <w:rFonts w:cs="Times New Roman"/>
                <w:color w:val="000000"/>
                <w:sz w:val="18"/>
                <w:szCs w:val="18"/>
                <w:lang w:val="sr-Cyrl-CS"/>
              </w:rPr>
            </w:pPr>
          </w:p>
        </w:tc>
        <w:tc>
          <w:tcPr>
            <w:tcW w:w="373" w:type="dxa"/>
            <w:tcBorders>
              <w:top w:val="nil"/>
              <w:left w:val="nil"/>
              <w:bottom w:val="single" w:sz="4" w:space="0" w:color="auto"/>
              <w:right w:val="single" w:sz="8" w:space="0" w:color="auto"/>
            </w:tcBorders>
            <w:shd w:val="clear" w:color="auto" w:fill="auto"/>
            <w:tcMar>
              <w:top w:w="15" w:type="dxa"/>
              <w:left w:w="15" w:type="dxa"/>
              <w:bottom w:w="0" w:type="dxa"/>
              <w:right w:w="15" w:type="dxa"/>
            </w:tcMar>
          </w:tcPr>
          <w:p w14:paraId="06700A64" w14:textId="77777777" w:rsidR="00D210F0" w:rsidRPr="00092ED7" w:rsidRDefault="00D210F0" w:rsidP="00E44EF2">
            <w:pPr>
              <w:spacing w:after="0"/>
              <w:rPr>
                <w:rFonts w:cs="Times New Roman"/>
                <w:color w:val="000000"/>
                <w:sz w:val="18"/>
                <w:szCs w:val="18"/>
                <w:lang w:val="sr-Cyrl-CS"/>
              </w:rPr>
            </w:pPr>
          </w:p>
        </w:tc>
      </w:tr>
      <w:tr w:rsidR="00D210F0" w:rsidRPr="00092ED7" w14:paraId="21CC3518" w14:textId="77777777" w:rsidTr="00B640AF">
        <w:trPr>
          <w:trHeight w:val="300"/>
        </w:trPr>
        <w:tc>
          <w:tcPr>
            <w:tcW w:w="4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4AF2E47E" w14:textId="77777777" w:rsidR="00D210F0" w:rsidRPr="00092ED7" w:rsidRDefault="00D210F0" w:rsidP="00E44EF2">
            <w:pPr>
              <w:spacing w:after="0"/>
              <w:jc w:val="center"/>
              <w:rPr>
                <w:rFonts w:cs="Times New Roman"/>
                <w:bCs/>
                <w:sz w:val="18"/>
                <w:szCs w:val="18"/>
                <w:lang w:val="sr-Cyrl-CS"/>
              </w:rPr>
            </w:pPr>
            <w:r w:rsidRPr="00092ED7">
              <w:rPr>
                <w:rFonts w:eastAsia="Times New Roman" w:cs="Times New Roman"/>
                <w:bCs/>
                <w:sz w:val="20"/>
                <w:szCs w:val="20"/>
                <w:lang w:val="sr-Cyrl-CS"/>
              </w:rPr>
              <w:t>3.</w:t>
            </w:r>
          </w:p>
        </w:tc>
        <w:tc>
          <w:tcPr>
            <w:tcW w:w="4243"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63348785" w14:textId="77777777" w:rsidR="00D210F0" w:rsidRPr="00092ED7" w:rsidRDefault="00D210F0" w:rsidP="00E44EF2">
            <w:pPr>
              <w:spacing w:after="0"/>
              <w:rPr>
                <w:rFonts w:cs="Times New Roman"/>
                <w:sz w:val="18"/>
                <w:szCs w:val="18"/>
                <w:lang w:val="sr-Cyrl-CS"/>
              </w:rPr>
            </w:pPr>
            <w:r w:rsidRPr="00092ED7">
              <w:rPr>
                <w:rFonts w:cs="Times New Roman"/>
                <w:sz w:val="20"/>
                <w:szCs w:val="20"/>
                <w:lang w:val="sr-Cyrl-CS"/>
              </w:rPr>
              <w:t>Анализа и увођење новог система за управљање евиденцијама кроз свеобухватни модел управљања информацијама</w:t>
            </w:r>
          </w:p>
        </w:tc>
        <w:tc>
          <w:tcPr>
            <w:tcW w:w="37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13FD9AC" w14:textId="77777777" w:rsidR="00D210F0" w:rsidRPr="00092ED7" w:rsidRDefault="00D210F0" w:rsidP="00E44EF2">
            <w:pPr>
              <w:spacing w:after="0"/>
              <w:rPr>
                <w:rFonts w:cs="Times New Roman"/>
                <w:color w:val="000000"/>
                <w:sz w:val="18"/>
                <w:szCs w:val="18"/>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398E8BF4" w14:textId="77777777" w:rsidR="00D210F0" w:rsidRPr="00092ED7" w:rsidRDefault="00D210F0" w:rsidP="00E44EF2">
            <w:pPr>
              <w:spacing w:after="0"/>
              <w:rPr>
                <w:rFonts w:cs="Times New Roman"/>
                <w:color w:val="000000"/>
                <w:sz w:val="18"/>
                <w:szCs w:val="18"/>
                <w:lang w:val="sr-Cyrl-CS"/>
              </w:rPr>
            </w:pPr>
          </w:p>
        </w:tc>
        <w:tc>
          <w:tcPr>
            <w:tcW w:w="37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2C9BDBD8" w14:textId="77777777" w:rsidR="00D210F0" w:rsidRPr="00092ED7" w:rsidRDefault="00D210F0" w:rsidP="00E44EF2">
            <w:pPr>
              <w:spacing w:after="0"/>
              <w:rPr>
                <w:rFonts w:cs="Times New Roman"/>
                <w:color w:val="000000"/>
                <w:sz w:val="18"/>
                <w:szCs w:val="18"/>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24DBCE4" w14:textId="77777777" w:rsidR="00D210F0" w:rsidRPr="00092ED7" w:rsidRDefault="00D210F0" w:rsidP="00E44EF2">
            <w:pPr>
              <w:spacing w:after="0"/>
              <w:rPr>
                <w:rFonts w:cs="Times New Roman"/>
                <w:color w:val="000000"/>
                <w:sz w:val="18"/>
                <w:szCs w:val="18"/>
                <w:lang w:val="sr-Cyrl-CS"/>
              </w:rPr>
            </w:pPr>
          </w:p>
        </w:tc>
        <w:tc>
          <w:tcPr>
            <w:tcW w:w="37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2B546559" w14:textId="77777777" w:rsidR="00D210F0" w:rsidRPr="00092ED7" w:rsidRDefault="00D210F0" w:rsidP="00E44EF2">
            <w:pPr>
              <w:spacing w:after="0"/>
              <w:rPr>
                <w:rFonts w:cs="Times New Roman"/>
                <w:color w:val="000000"/>
                <w:sz w:val="18"/>
                <w:szCs w:val="18"/>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FC0DE2C" w14:textId="77777777" w:rsidR="00D210F0" w:rsidRPr="00092ED7" w:rsidRDefault="00D210F0" w:rsidP="00E44EF2">
            <w:pPr>
              <w:spacing w:after="0"/>
              <w:rPr>
                <w:rFonts w:cs="Times New Roman"/>
                <w:color w:val="000000"/>
                <w:sz w:val="18"/>
                <w:szCs w:val="18"/>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05182BD5" w14:textId="77777777" w:rsidR="00D210F0" w:rsidRPr="00092ED7" w:rsidRDefault="00D210F0" w:rsidP="00E44EF2">
            <w:pPr>
              <w:spacing w:after="0"/>
              <w:rPr>
                <w:rFonts w:cs="Times New Roman"/>
                <w:color w:val="000000"/>
                <w:sz w:val="18"/>
                <w:szCs w:val="18"/>
                <w:lang w:val="sr-Cyrl-CS"/>
              </w:rPr>
            </w:pPr>
          </w:p>
        </w:tc>
        <w:tc>
          <w:tcPr>
            <w:tcW w:w="37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0B5648CC" w14:textId="77777777" w:rsidR="00D210F0" w:rsidRPr="00092ED7" w:rsidRDefault="00D210F0" w:rsidP="00E44EF2">
            <w:pPr>
              <w:spacing w:after="0"/>
              <w:rPr>
                <w:rFonts w:cs="Times New Roman"/>
                <w:color w:val="000000"/>
                <w:sz w:val="18"/>
                <w:szCs w:val="18"/>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0833795A" w14:textId="77777777" w:rsidR="00D210F0" w:rsidRPr="00092ED7" w:rsidRDefault="00D210F0" w:rsidP="00E44EF2">
            <w:pPr>
              <w:spacing w:after="0"/>
              <w:rPr>
                <w:rFonts w:cs="Times New Roman"/>
                <w:color w:val="000000"/>
                <w:sz w:val="18"/>
                <w:szCs w:val="18"/>
                <w:lang w:val="sr-Cyrl-CS"/>
              </w:rPr>
            </w:pPr>
          </w:p>
        </w:tc>
        <w:tc>
          <w:tcPr>
            <w:tcW w:w="372"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39C330DC" w14:textId="77777777" w:rsidR="00D210F0" w:rsidRPr="00092ED7" w:rsidRDefault="00D210F0" w:rsidP="00E44EF2">
            <w:pPr>
              <w:spacing w:after="0"/>
              <w:rPr>
                <w:rFonts w:cs="Times New Roman"/>
                <w:color w:val="000000"/>
                <w:sz w:val="18"/>
                <w:szCs w:val="18"/>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1036467C" w14:textId="77777777" w:rsidR="00D210F0" w:rsidRPr="00092ED7" w:rsidRDefault="00D210F0" w:rsidP="00E44EF2">
            <w:pPr>
              <w:spacing w:after="0"/>
              <w:rPr>
                <w:rFonts w:cs="Times New Roman"/>
                <w:color w:val="000000"/>
                <w:sz w:val="18"/>
                <w:szCs w:val="18"/>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0D3ABF5E" w14:textId="77777777" w:rsidR="00D210F0" w:rsidRPr="00092ED7" w:rsidRDefault="00D210F0" w:rsidP="00E44EF2">
            <w:pPr>
              <w:spacing w:after="0"/>
              <w:rPr>
                <w:rFonts w:cs="Times New Roman"/>
                <w:color w:val="000000"/>
                <w:sz w:val="18"/>
                <w:szCs w:val="18"/>
                <w:lang w:val="sr-Cyrl-CS"/>
              </w:rPr>
            </w:pPr>
          </w:p>
        </w:tc>
      </w:tr>
      <w:tr w:rsidR="00D210F0" w:rsidRPr="00092ED7" w14:paraId="1C743A6E" w14:textId="77777777" w:rsidTr="00AE4362">
        <w:trPr>
          <w:trHeight w:val="300"/>
        </w:trPr>
        <w:tc>
          <w:tcPr>
            <w:tcW w:w="425" w:type="dxa"/>
            <w:tcBorders>
              <w:top w:val="single" w:sz="4" w:space="0" w:color="auto"/>
              <w:left w:val="single" w:sz="8" w:space="0" w:color="auto"/>
              <w:bottom w:val="single" w:sz="4" w:space="0" w:color="auto"/>
              <w:right w:val="single" w:sz="4" w:space="0" w:color="auto"/>
            </w:tcBorders>
            <w:shd w:val="clear" w:color="auto" w:fill="auto"/>
            <w:tcMar>
              <w:top w:w="15" w:type="dxa"/>
              <w:left w:w="15" w:type="dxa"/>
              <w:bottom w:w="0" w:type="dxa"/>
              <w:right w:w="15" w:type="dxa"/>
            </w:tcMar>
          </w:tcPr>
          <w:p w14:paraId="321D992F" w14:textId="77777777" w:rsidR="00D210F0" w:rsidRPr="00092ED7" w:rsidRDefault="00D210F0" w:rsidP="00E44EF2">
            <w:pPr>
              <w:spacing w:after="0"/>
              <w:jc w:val="center"/>
              <w:rPr>
                <w:rFonts w:cs="Times New Roman"/>
                <w:bCs/>
                <w:sz w:val="18"/>
                <w:szCs w:val="18"/>
                <w:lang w:val="sr-Cyrl-CS"/>
              </w:rPr>
            </w:pPr>
            <w:r w:rsidRPr="00092ED7">
              <w:rPr>
                <w:rFonts w:eastAsia="Times New Roman" w:cs="Times New Roman"/>
                <w:bCs/>
                <w:sz w:val="20"/>
                <w:szCs w:val="20"/>
                <w:lang w:val="sr-Cyrl-CS"/>
              </w:rPr>
              <w:t>4.</w:t>
            </w:r>
          </w:p>
        </w:tc>
        <w:tc>
          <w:tcPr>
            <w:tcW w:w="4243"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tcPr>
          <w:p w14:paraId="348A7425" w14:textId="77777777" w:rsidR="00D210F0" w:rsidRPr="00092ED7" w:rsidRDefault="00D210F0" w:rsidP="00E44EF2">
            <w:pPr>
              <w:spacing w:after="0"/>
              <w:rPr>
                <w:rFonts w:cs="Times New Roman"/>
                <w:color w:val="000000"/>
                <w:sz w:val="18"/>
                <w:szCs w:val="18"/>
                <w:lang w:val="sr-Cyrl-CS"/>
              </w:rPr>
            </w:pPr>
            <w:r w:rsidRPr="00092ED7">
              <w:rPr>
                <w:rFonts w:cs="Times New Roman"/>
                <w:sz w:val="20"/>
                <w:szCs w:val="20"/>
                <w:lang w:val="sr-Cyrl-CS"/>
              </w:rPr>
              <w:t xml:space="preserve">Набавка система за нову платформу ИКТ </w:t>
            </w:r>
          </w:p>
        </w:tc>
        <w:tc>
          <w:tcPr>
            <w:tcW w:w="37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3E9681A3" w14:textId="77777777" w:rsidR="00D210F0" w:rsidRPr="00092ED7" w:rsidRDefault="00D210F0" w:rsidP="00E44EF2">
            <w:pPr>
              <w:spacing w:after="0"/>
              <w:rPr>
                <w:rFonts w:cs="Times New Roman"/>
                <w:color w:val="000000"/>
                <w:sz w:val="18"/>
                <w:szCs w:val="18"/>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2EF82E05" w14:textId="77777777" w:rsidR="00D210F0" w:rsidRPr="00092ED7" w:rsidRDefault="00D210F0" w:rsidP="00E44EF2">
            <w:pPr>
              <w:spacing w:after="0"/>
              <w:rPr>
                <w:rFonts w:cs="Times New Roman"/>
                <w:color w:val="000000"/>
                <w:sz w:val="18"/>
                <w:szCs w:val="18"/>
                <w:lang w:val="sr-Cyrl-CS"/>
              </w:rPr>
            </w:pPr>
          </w:p>
        </w:tc>
        <w:tc>
          <w:tcPr>
            <w:tcW w:w="37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020A4D90" w14:textId="77777777" w:rsidR="00D210F0" w:rsidRPr="00092ED7" w:rsidRDefault="00D210F0" w:rsidP="00E44EF2">
            <w:pPr>
              <w:spacing w:after="0"/>
              <w:rPr>
                <w:rFonts w:cs="Times New Roman"/>
                <w:color w:val="000000"/>
                <w:sz w:val="18"/>
                <w:szCs w:val="18"/>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04E3553" w14:textId="77777777" w:rsidR="00D210F0" w:rsidRPr="00092ED7" w:rsidRDefault="00D210F0" w:rsidP="00E44EF2">
            <w:pPr>
              <w:spacing w:after="0"/>
              <w:rPr>
                <w:rFonts w:cs="Times New Roman"/>
                <w:color w:val="000000"/>
                <w:sz w:val="18"/>
                <w:szCs w:val="18"/>
                <w:lang w:val="sr-Cyrl-CS"/>
              </w:rPr>
            </w:pPr>
          </w:p>
        </w:tc>
        <w:tc>
          <w:tcPr>
            <w:tcW w:w="37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33608AD8" w14:textId="77777777" w:rsidR="00D210F0" w:rsidRPr="00092ED7" w:rsidRDefault="00D210F0" w:rsidP="00E44EF2">
            <w:pPr>
              <w:spacing w:after="0"/>
              <w:rPr>
                <w:rFonts w:cs="Times New Roman"/>
                <w:color w:val="000000"/>
                <w:sz w:val="18"/>
                <w:szCs w:val="18"/>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9BB5B36" w14:textId="77777777" w:rsidR="00D210F0" w:rsidRPr="00092ED7" w:rsidRDefault="00D210F0" w:rsidP="00E44EF2">
            <w:pPr>
              <w:spacing w:after="0"/>
              <w:rPr>
                <w:rFonts w:cs="Times New Roman"/>
                <w:color w:val="000000"/>
                <w:sz w:val="18"/>
                <w:szCs w:val="18"/>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3A6D8D2" w14:textId="77777777" w:rsidR="00D210F0" w:rsidRPr="00092ED7" w:rsidRDefault="00D210F0" w:rsidP="00E44EF2">
            <w:pPr>
              <w:spacing w:after="0"/>
              <w:rPr>
                <w:rFonts w:cs="Times New Roman"/>
                <w:color w:val="000000"/>
                <w:sz w:val="18"/>
                <w:szCs w:val="18"/>
                <w:lang w:val="sr-Cyrl-CS"/>
              </w:rPr>
            </w:pPr>
          </w:p>
        </w:tc>
        <w:tc>
          <w:tcPr>
            <w:tcW w:w="37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2D8BE96" w14:textId="77777777" w:rsidR="00D210F0" w:rsidRPr="00092ED7" w:rsidRDefault="00D210F0" w:rsidP="00E44EF2">
            <w:pPr>
              <w:spacing w:after="0"/>
              <w:rPr>
                <w:rFonts w:cs="Times New Roman"/>
                <w:color w:val="000000"/>
                <w:sz w:val="18"/>
                <w:szCs w:val="18"/>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00147995" w14:textId="77777777" w:rsidR="00D210F0" w:rsidRPr="00092ED7" w:rsidRDefault="00D210F0" w:rsidP="00E44EF2">
            <w:pPr>
              <w:spacing w:after="0"/>
              <w:rPr>
                <w:rFonts w:cs="Times New Roman"/>
                <w:color w:val="000000"/>
                <w:sz w:val="18"/>
                <w:szCs w:val="18"/>
                <w:lang w:val="sr-Cyrl-CS"/>
              </w:rPr>
            </w:pPr>
          </w:p>
        </w:tc>
        <w:tc>
          <w:tcPr>
            <w:tcW w:w="372"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2C88EAA0" w14:textId="77777777" w:rsidR="00D210F0" w:rsidRPr="00092ED7" w:rsidRDefault="00D210F0" w:rsidP="00E44EF2">
            <w:pPr>
              <w:spacing w:after="0"/>
              <w:rPr>
                <w:rFonts w:cs="Times New Roman"/>
                <w:color w:val="000000"/>
                <w:sz w:val="18"/>
                <w:szCs w:val="18"/>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1B9DB706" w14:textId="77777777" w:rsidR="00D210F0" w:rsidRPr="00092ED7" w:rsidRDefault="00D210F0" w:rsidP="00E44EF2">
            <w:pPr>
              <w:spacing w:after="0"/>
              <w:rPr>
                <w:rFonts w:cs="Times New Roman"/>
                <w:color w:val="000000"/>
                <w:sz w:val="18"/>
                <w:szCs w:val="18"/>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0C831974" w14:textId="77777777" w:rsidR="00D210F0" w:rsidRPr="00092ED7" w:rsidRDefault="00D210F0" w:rsidP="00E44EF2">
            <w:pPr>
              <w:spacing w:after="0"/>
              <w:rPr>
                <w:rFonts w:cs="Times New Roman"/>
                <w:color w:val="000000"/>
                <w:sz w:val="18"/>
                <w:szCs w:val="18"/>
                <w:lang w:val="sr-Cyrl-CS"/>
              </w:rPr>
            </w:pPr>
          </w:p>
        </w:tc>
      </w:tr>
      <w:tr w:rsidR="00D210F0" w:rsidRPr="00092ED7" w14:paraId="40861488" w14:textId="77777777" w:rsidTr="00AE4362">
        <w:trPr>
          <w:trHeight w:val="300"/>
        </w:trPr>
        <w:tc>
          <w:tcPr>
            <w:tcW w:w="4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31F245C9" w14:textId="77777777" w:rsidR="00D210F0" w:rsidRPr="00092ED7" w:rsidRDefault="00D210F0" w:rsidP="00E44EF2">
            <w:pPr>
              <w:spacing w:after="0"/>
              <w:jc w:val="center"/>
              <w:rPr>
                <w:rFonts w:cs="Times New Roman"/>
                <w:sz w:val="18"/>
                <w:szCs w:val="18"/>
                <w:lang w:val="sr-Cyrl-CS"/>
              </w:rPr>
            </w:pPr>
            <w:r w:rsidRPr="00092ED7">
              <w:rPr>
                <w:rFonts w:cs="Times New Roman"/>
                <w:sz w:val="18"/>
                <w:szCs w:val="18"/>
                <w:lang w:val="sr-Cyrl-CS"/>
              </w:rPr>
              <w:t>5.</w:t>
            </w:r>
          </w:p>
        </w:tc>
        <w:tc>
          <w:tcPr>
            <w:tcW w:w="4243"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366BEFDC" w14:textId="77777777" w:rsidR="00D210F0" w:rsidRPr="00092ED7" w:rsidRDefault="00D210F0" w:rsidP="00E44EF2">
            <w:pPr>
              <w:spacing w:after="0"/>
              <w:rPr>
                <w:rFonts w:cs="Times New Roman"/>
                <w:sz w:val="20"/>
                <w:szCs w:val="20"/>
                <w:lang w:val="sr-Cyrl-CS"/>
              </w:rPr>
            </w:pPr>
            <w:r w:rsidRPr="00092ED7">
              <w:rPr>
                <w:rFonts w:cs="Times New Roman"/>
                <w:sz w:val="20"/>
                <w:szCs w:val="20"/>
                <w:lang w:val="sr-Cyrl-CS"/>
              </w:rPr>
              <w:t>Институционални развој функције људских ресурса – кроз спровођење активности које обухватају реинжењеринг пословних процеса  функције људских ресурса, развој политика и управљачке праксе</w:t>
            </w:r>
          </w:p>
        </w:tc>
        <w:tc>
          <w:tcPr>
            <w:tcW w:w="37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5DD9B78" w14:textId="77777777" w:rsidR="00D210F0" w:rsidRPr="00092ED7" w:rsidRDefault="00D210F0" w:rsidP="00E44EF2">
            <w:pPr>
              <w:spacing w:after="0"/>
              <w:rPr>
                <w:rFonts w:cs="Times New Roman"/>
                <w:color w:val="000000"/>
                <w:sz w:val="18"/>
                <w:szCs w:val="18"/>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01A22E8D" w14:textId="77777777" w:rsidR="00D210F0" w:rsidRPr="00092ED7" w:rsidRDefault="00D210F0" w:rsidP="00E44EF2">
            <w:pPr>
              <w:spacing w:after="0"/>
              <w:rPr>
                <w:rFonts w:cs="Times New Roman"/>
                <w:color w:val="000000"/>
                <w:sz w:val="18"/>
                <w:szCs w:val="18"/>
                <w:lang w:val="sr-Cyrl-CS"/>
              </w:rPr>
            </w:pPr>
          </w:p>
        </w:tc>
        <w:tc>
          <w:tcPr>
            <w:tcW w:w="37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5E09689" w14:textId="77777777" w:rsidR="00D210F0" w:rsidRPr="00092ED7" w:rsidRDefault="00D210F0" w:rsidP="00E44EF2">
            <w:pPr>
              <w:spacing w:after="0"/>
              <w:rPr>
                <w:rFonts w:cs="Times New Roman"/>
                <w:color w:val="000000"/>
                <w:sz w:val="18"/>
                <w:szCs w:val="18"/>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3FBF244" w14:textId="77777777" w:rsidR="00D210F0" w:rsidRPr="00092ED7" w:rsidRDefault="00D210F0" w:rsidP="00E44EF2">
            <w:pPr>
              <w:spacing w:after="0"/>
              <w:rPr>
                <w:rFonts w:cs="Times New Roman"/>
                <w:color w:val="000000"/>
                <w:sz w:val="18"/>
                <w:szCs w:val="18"/>
                <w:lang w:val="sr-Cyrl-CS"/>
              </w:rPr>
            </w:pPr>
          </w:p>
        </w:tc>
        <w:tc>
          <w:tcPr>
            <w:tcW w:w="37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038A009C" w14:textId="77777777" w:rsidR="00D210F0" w:rsidRPr="00092ED7" w:rsidRDefault="00D210F0" w:rsidP="00E44EF2">
            <w:pPr>
              <w:spacing w:after="0"/>
              <w:rPr>
                <w:rFonts w:cs="Times New Roman"/>
                <w:color w:val="000000"/>
                <w:sz w:val="18"/>
                <w:szCs w:val="18"/>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0461558" w14:textId="77777777" w:rsidR="00D210F0" w:rsidRPr="00092ED7" w:rsidRDefault="00D210F0" w:rsidP="00E44EF2">
            <w:pPr>
              <w:spacing w:after="0"/>
              <w:rPr>
                <w:rFonts w:cs="Times New Roman"/>
                <w:color w:val="000000"/>
                <w:sz w:val="18"/>
                <w:szCs w:val="18"/>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BADC567" w14:textId="77777777" w:rsidR="00D210F0" w:rsidRPr="00092ED7" w:rsidRDefault="00D210F0" w:rsidP="00E44EF2">
            <w:pPr>
              <w:spacing w:after="0"/>
              <w:rPr>
                <w:rFonts w:cs="Times New Roman"/>
                <w:color w:val="000000"/>
                <w:sz w:val="18"/>
                <w:szCs w:val="18"/>
                <w:lang w:val="sr-Cyrl-CS"/>
              </w:rPr>
            </w:pPr>
          </w:p>
        </w:tc>
        <w:tc>
          <w:tcPr>
            <w:tcW w:w="37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47B0AF6" w14:textId="77777777" w:rsidR="00D210F0" w:rsidRPr="00092ED7" w:rsidRDefault="00D210F0" w:rsidP="00E44EF2">
            <w:pPr>
              <w:spacing w:after="0"/>
              <w:rPr>
                <w:rFonts w:cs="Times New Roman"/>
                <w:color w:val="000000"/>
                <w:sz w:val="18"/>
                <w:szCs w:val="18"/>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0F6053AA" w14:textId="77777777" w:rsidR="00D210F0" w:rsidRPr="00092ED7" w:rsidRDefault="00D210F0" w:rsidP="00E44EF2">
            <w:pPr>
              <w:spacing w:after="0"/>
              <w:rPr>
                <w:rFonts w:cs="Times New Roman"/>
                <w:color w:val="000000"/>
                <w:sz w:val="18"/>
                <w:szCs w:val="18"/>
                <w:lang w:val="sr-Cyrl-CS"/>
              </w:rPr>
            </w:pPr>
          </w:p>
        </w:tc>
        <w:tc>
          <w:tcPr>
            <w:tcW w:w="372"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7D76617E" w14:textId="77777777" w:rsidR="00D210F0" w:rsidRPr="00092ED7" w:rsidRDefault="00D210F0" w:rsidP="00E44EF2">
            <w:pPr>
              <w:spacing w:after="0"/>
              <w:rPr>
                <w:rFonts w:cs="Times New Roman"/>
                <w:color w:val="000000"/>
                <w:sz w:val="18"/>
                <w:szCs w:val="18"/>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41871C94" w14:textId="77777777" w:rsidR="00D210F0" w:rsidRPr="00092ED7" w:rsidRDefault="00D210F0" w:rsidP="00E44EF2">
            <w:pPr>
              <w:spacing w:after="0"/>
              <w:rPr>
                <w:rFonts w:cs="Times New Roman"/>
                <w:color w:val="000000"/>
                <w:sz w:val="18"/>
                <w:szCs w:val="18"/>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776032B4" w14:textId="77777777" w:rsidR="00D210F0" w:rsidRPr="00092ED7" w:rsidRDefault="00D210F0" w:rsidP="00E44EF2">
            <w:pPr>
              <w:spacing w:after="0"/>
              <w:rPr>
                <w:rFonts w:cs="Times New Roman"/>
                <w:color w:val="000000"/>
                <w:sz w:val="18"/>
                <w:szCs w:val="18"/>
                <w:lang w:val="sr-Cyrl-CS"/>
              </w:rPr>
            </w:pPr>
          </w:p>
        </w:tc>
      </w:tr>
      <w:tr w:rsidR="00D210F0" w:rsidRPr="00092ED7" w14:paraId="5663F291" w14:textId="77777777" w:rsidTr="00AE4362">
        <w:trPr>
          <w:trHeight w:val="300"/>
        </w:trPr>
        <w:tc>
          <w:tcPr>
            <w:tcW w:w="4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72CE8A08" w14:textId="77777777" w:rsidR="00D210F0" w:rsidRPr="00092ED7" w:rsidRDefault="00D210F0" w:rsidP="00E44EF2">
            <w:pPr>
              <w:spacing w:after="0"/>
              <w:jc w:val="center"/>
              <w:rPr>
                <w:rFonts w:cs="Times New Roman"/>
                <w:sz w:val="18"/>
                <w:szCs w:val="18"/>
                <w:lang w:val="sr-Cyrl-CS"/>
              </w:rPr>
            </w:pPr>
            <w:r w:rsidRPr="00092ED7">
              <w:rPr>
                <w:rFonts w:cs="Times New Roman"/>
                <w:sz w:val="18"/>
                <w:szCs w:val="18"/>
                <w:lang w:val="sr-Cyrl-CS"/>
              </w:rPr>
              <w:t>6.</w:t>
            </w:r>
          </w:p>
        </w:tc>
        <w:tc>
          <w:tcPr>
            <w:tcW w:w="4243"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789252EF" w14:textId="77777777" w:rsidR="00D210F0" w:rsidRPr="00092ED7" w:rsidRDefault="00D210F0" w:rsidP="00E44EF2">
            <w:pPr>
              <w:spacing w:after="0"/>
              <w:rPr>
                <w:rFonts w:cs="Times New Roman"/>
                <w:sz w:val="20"/>
                <w:szCs w:val="20"/>
                <w:lang w:val="sr-Cyrl-CS"/>
              </w:rPr>
            </w:pPr>
            <w:r w:rsidRPr="00092ED7">
              <w:rPr>
                <w:rFonts w:cs="Times New Roman"/>
                <w:sz w:val="20"/>
                <w:szCs w:val="20"/>
                <w:lang w:val="sr-Cyrl-CS"/>
              </w:rPr>
              <w:t>Унапређење постојећег централизованог  информационог система за управљање људским ресурсима до потпуне централизације и аутоматизације процеса управљања људским ресурсима</w:t>
            </w:r>
          </w:p>
        </w:tc>
        <w:tc>
          <w:tcPr>
            <w:tcW w:w="37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208488BF" w14:textId="77777777" w:rsidR="00D210F0" w:rsidRPr="00092ED7" w:rsidRDefault="00D210F0" w:rsidP="00E44EF2">
            <w:pPr>
              <w:spacing w:after="0"/>
              <w:rPr>
                <w:rFonts w:cs="Times New Roman"/>
                <w:color w:val="000000"/>
                <w:sz w:val="18"/>
                <w:szCs w:val="18"/>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77ECCD9" w14:textId="77777777" w:rsidR="00D210F0" w:rsidRPr="00092ED7" w:rsidRDefault="00D210F0" w:rsidP="00E44EF2">
            <w:pPr>
              <w:spacing w:after="0"/>
              <w:rPr>
                <w:rFonts w:cs="Times New Roman"/>
                <w:color w:val="000000"/>
                <w:sz w:val="18"/>
                <w:szCs w:val="18"/>
                <w:lang w:val="sr-Cyrl-CS"/>
              </w:rPr>
            </w:pPr>
          </w:p>
        </w:tc>
        <w:tc>
          <w:tcPr>
            <w:tcW w:w="37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68562EA" w14:textId="77777777" w:rsidR="00D210F0" w:rsidRPr="00092ED7" w:rsidRDefault="00D210F0" w:rsidP="00E44EF2">
            <w:pPr>
              <w:spacing w:after="0"/>
              <w:rPr>
                <w:rFonts w:cs="Times New Roman"/>
                <w:color w:val="000000"/>
                <w:sz w:val="18"/>
                <w:szCs w:val="18"/>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630B326" w14:textId="77777777" w:rsidR="00D210F0" w:rsidRPr="00092ED7" w:rsidRDefault="00D210F0" w:rsidP="00E44EF2">
            <w:pPr>
              <w:spacing w:after="0"/>
              <w:rPr>
                <w:rFonts w:cs="Times New Roman"/>
                <w:color w:val="000000"/>
                <w:sz w:val="18"/>
                <w:szCs w:val="18"/>
                <w:lang w:val="sr-Cyrl-CS"/>
              </w:rPr>
            </w:pPr>
          </w:p>
        </w:tc>
        <w:tc>
          <w:tcPr>
            <w:tcW w:w="37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555BAA8" w14:textId="77777777" w:rsidR="00D210F0" w:rsidRPr="00092ED7" w:rsidRDefault="00D210F0" w:rsidP="00E44EF2">
            <w:pPr>
              <w:spacing w:after="0"/>
              <w:rPr>
                <w:rFonts w:cs="Times New Roman"/>
                <w:color w:val="000000"/>
                <w:sz w:val="18"/>
                <w:szCs w:val="18"/>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04E690A2" w14:textId="77777777" w:rsidR="00D210F0" w:rsidRPr="00092ED7" w:rsidRDefault="00D210F0" w:rsidP="00E44EF2">
            <w:pPr>
              <w:spacing w:after="0"/>
              <w:rPr>
                <w:rFonts w:cs="Times New Roman"/>
                <w:color w:val="000000"/>
                <w:sz w:val="18"/>
                <w:szCs w:val="18"/>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C4742E9" w14:textId="77777777" w:rsidR="00D210F0" w:rsidRPr="00092ED7" w:rsidRDefault="00D210F0" w:rsidP="00E44EF2">
            <w:pPr>
              <w:spacing w:after="0"/>
              <w:rPr>
                <w:rFonts w:cs="Times New Roman"/>
                <w:color w:val="000000"/>
                <w:sz w:val="18"/>
                <w:szCs w:val="18"/>
                <w:lang w:val="sr-Cyrl-CS"/>
              </w:rPr>
            </w:pPr>
          </w:p>
        </w:tc>
        <w:tc>
          <w:tcPr>
            <w:tcW w:w="37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4DEB6FD" w14:textId="77777777" w:rsidR="00D210F0" w:rsidRPr="00092ED7" w:rsidRDefault="00D210F0" w:rsidP="00E44EF2">
            <w:pPr>
              <w:spacing w:after="0"/>
              <w:rPr>
                <w:rFonts w:cs="Times New Roman"/>
                <w:color w:val="000000"/>
                <w:sz w:val="18"/>
                <w:szCs w:val="18"/>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1F1EF9A7" w14:textId="77777777" w:rsidR="00D210F0" w:rsidRPr="00092ED7" w:rsidRDefault="00D210F0" w:rsidP="00E44EF2">
            <w:pPr>
              <w:spacing w:after="0"/>
              <w:rPr>
                <w:rFonts w:cs="Times New Roman"/>
                <w:color w:val="000000"/>
                <w:sz w:val="18"/>
                <w:szCs w:val="18"/>
                <w:lang w:val="sr-Cyrl-CS"/>
              </w:rPr>
            </w:pPr>
          </w:p>
        </w:tc>
        <w:tc>
          <w:tcPr>
            <w:tcW w:w="372"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025C4B52" w14:textId="77777777" w:rsidR="00D210F0" w:rsidRPr="00092ED7" w:rsidRDefault="00D210F0" w:rsidP="00E44EF2">
            <w:pPr>
              <w:spacing w:after="0"/>
              <w:rPr>
                <w:rFonts w:cs="Times New Roman"/>
                <w:color w:val="000000"/>
                <w:sz w:val="18"/>
                <w:szCs w:val="18"/>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29C23F7D" w14:textId="77777777" w:rsidR="00D210F0" w:rsidRPr="00092ED7" w:rsidRDefault="00D210F0" w:rsidP="00E44EF2">
            <w:pPr>
              <w:spacing w:after="0"/>
              <w:rPr>
                <w:rFonts w:cs="Times New Roman"/>
                <w:color w:val="000000"/>
                <w:sz w:val="18"/>
                <w:szCs w:val="18"/>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1C0A68D2" w14:textId="77777777" w:rsidR="00D210F0" w:rsidRPr="00092ED7" w:rsidRDefault="00D210F0" w:rsidP="00E44EF2">
            <w:pPr>
              <w:spacing w:after="0"/>
              <w:rPr>
                <w:rFonts w:cs="Times New Roman"/>
                <w:color w:val="000000"/>
                <w:sz w:val="18"/>
                <w:szCs w:val="18"/>
                <w:lang w:val="sr-Cyrl-CS"/>
              </w:rPr>
            </w:pPr>
          </w:p>
        </w:tc>
      </w:tr>
      <w:tr w:rsidR="00D210F0" w:rsidRPr="00092ED7" w14:paraId="36CFF99E" w14:textId="77777777" w:rsidTr="00AE4362">
        <w:trPr>
          <w:trHeight w:val="300"/>
        </w:trPr>
        <w:tc>
          <w:tcPr>
            <w:tcW w:w="4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535D79F1" w14:textId="77777777" w:rsidR="00D210F0" w:rsidRPr="00092ED7" w:rsidRDefault="00D210F0" w:rsidP="00E44EF2">
            <w:pPr>
              <w:spacing w:after="0"/>
              <w:jc w:val="center"/>
              <w:rPr>
                <w:rFonts w:cs="Times New Roman"/>
                <w:sz w:val="18"/>
                <w:szCs w:val="18"/>
                <w:lang w:val="sr-Cyrl-CS"/>
              </w:rPr>
            </w:pPr>
            <w:r w:rsidRPr="00092ED7">
              <w:rPr>
                <w:rFonts w:cs="Times New Roman"/>
                <w:sz w:val="18"/>
                <w:szCs w:val="18"/>
                <w:lang w:val="sr-Cyrl-CS"/>
              </w:rPr>
              <w:t>7.</w:t>
            </w:r>
          </w:p>
        </w:tc>
        <w:tc>
          <w:tcPr>
            <w:tcW w:w="4243"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441C0784" w14:textId="77777777" w:rsidR="00D210F0" w:rsidRPr="00092ED7" w:rsidRDefault="00D210F0" w:rsidP="00E44EF2">
            <w:pPr>
              <w:spacing w:after="0"/>
              <w:rPr>
                <w:rFonts w:cs="Times New Roman"/>
                <w:sz w:val="20"/>
                <w:szCs w:val="20"/>
                <w:lang w:val="sr-Cyrl-CS"/>
              </w:rPr>
            </w:pPr>
            <w:r w:rsidRPr="00092ED7">
              <w:rPr>
                <w:rFonts w:cs="Times New Roman"/>
                <w:sz w:val="20"/>
                <w:szCs w:val="20"/>
                <w:lang w:val="sr-Cyrl-CS"/>
              </w:rPr>
              <w:t>Унапређење посебног стручног усавршавања пореских службеника, уз подршку одговарајућег организационог облика за изградњу капацитета пореских службеника.</w:t>
            </w:r>
          </w:p>
        </w:tc>
        <w:tc>
          <w:tcPr>
            <w:tcW w:w="37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02591B30" w14:textId="77777777" w:rsidR="00D210F0" w:rsidRPr="00092ED7" w:rsidRDefault="00D210F0" w:rsidP="00E44EF2">
            <w:pPr>
              <w:spacing w:after="0"/>
              <w:rPr>
                <w:rFonts w:cs="Times New Roman"/>
                <w:color w:val="000000"/>
                <w:sz w:val="18"/>
                <w:szCs w:val="18"/>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2F74B7D0" w14:textId="77777777" w:rsidR="00D210F0" w:rsidRPr="00092ED7" w:rsidRDefault="00D210F0" w:rsidP="00E44EF2">
            <w:pPr>
              <w:spacing w:after="0"/>
              <w:rPr>
                <w:rFonts w:cs="Times New Roman"/>
                <w:color w:val="000000"/>
                <w:sz w:val="18"/>
                <w:szCs w:val="18"/>
                <w:lang w:val="sr-Cyrl-CS"/>
              </w:rPr>
            </w:pPr>
          </w:p>
        </w:tc>
        <w:tc>
          <w:tcPr>
            <w:tcW w:w="37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2BBC62F5" w14:textId="77777777" w:rsidR="00D210F0" w:rsidRPr="00092ED7" w:rsidRDefault="00D210F0" w:rsidP="00E44EF2">
            <w:pPr>
              <w:spacing w:after="0"/>
              <w:rPr>
                <w:rFonts w:cs="Times New Roman"/>
                <w:color w:val="000000"/>
                <w:sz w:val="18"/>
                <w:szCs w:val="18"/>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52D2AEA" w14:textId="77777777" w:rsidR="00D210F0" w:rsidRPr="00092ED7" w:rsidRDefault="00D210F0" w:rsidP="00E44EF2">
            <w:pPr>
              <w:spacing w:after="0"/>
              <w:rPr>
                <w:rFonts w:cs="Times New Roman"/>
                <w:color w:val="000000"/>
                <w:sz w:val="18"/>
                <w:szCs w:val="18"/>
                <w:lang w:val="sr-Cyrl-CS"/>
              </w:rPr>
            </w:pPr>
          </w:p>
        </w:tc>
        <w:tc>
          <w:tcPr>
            <w:tcW w:w="37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0D45202" w14:textId="77777777" w:rsidR="00D210F0" w:rsidRPr="00092ED7" w:rsidRDefault="00D210F0" w:rsidP="00E44EF2">
            <w:pPr>
              <w:spacing w:after="0"/>
              <w:rPr>
                <w:rFonts w:cs="Times New Roman"/>
                <w:color w:val="000000"/>
                <w:sz w:val="18"/>
                <w:szCs w:val="18"/>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C5B126F" w14:textId="77777777" w:rsidR="00D210F0" w:rsidRPr="00092ED7" w:rsidRDefault="00D210F0" w:rsidP="00E44EF2">
            <w:pPr>
              <w:spacing w:after="0"/>
              <w:rPr>
                <w:rFonts w:cs="Times New Roman"/>
                <w:color w:val="000000"/>
                <w:sz w:val="18"/>
                <w:szCs w:val="18"/>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CDF01E4" w14:textId="77777777" w:rsidR="00D210F0" w:rsidRPr="00092ED7" w:rsidRDefault="00D210F0" w:rsidP="00E44EF2">
            <w:pPr>
              <w:spacing w:after="0"/>
              <w:rPr>
                <w:rFonts w:cs="Times New Roman"/>
                <w:color w:val="000000"/>
                <w:sz w:val="18"/>
                <w:szCs w:val="18"/>
                <w:lang w:val="sr-Cyrl-CS"/>
              </w:rPr>
            </w:pPr>
          </w:p>
        </w:tc>
        <w:tc>
          <w:tcPr>
            <w:tcW w:w="37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258724C" w14:textId="77777777" w:rsidR="00D210F0" w:rsidRPr="00092ED7" w:rsidRDefault="00D210F0" w:rsidP="00E44EF2">
            <w:pPr>
              <w:spacing w:after="0"/>
              <w:rPr>
                <w:rFonts w:cs="Times New Roman"/>
                <w:color w:val="000000"/>
                <w:sz w:val="18"/>
                <w:szCs w:val="18"/>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4625D215" w14:textId="77777777" w:rsidR="00D210F0" w:rsidRPr="00092ED7" w:rsidRDefault="00D210F0" w:rsidP="00E44EF2">
            <w:pPr>
              <w:spacing w:after="0"/>
              <w:rPr>
                <w:rFonts w:cs="Times New Roman"/>
                <w:color w:val="000000"/>
                <w:sz w:val="18"/>
                <w:szCs w:val="18"/>
                <w:lang w:val="sr-Cyrl-CS"/>
              </w:rPr>
            </w:pPr>
          </w:p>
        </w:tc>
        <w:tc>
          <w:tcPr>
            <w:tcW w:w="372"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33F94EDD" w14:textId="77777777" w:rsidR="00D210F0" w:rsidRPr="00092ED7" w:rsidRDefault="00D210F0" w:rsidP="00E44EF2">
            <w:pPr>
              <w:spacing w:after="0"/>
              <w:rPr>
                <w:rFonts w:cs="Times New Roman"/>
                <w:color w:val="000000"/>
                <w:sz w:val="18"/>
                <w:szCs w:val="18"/>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7E5348F3" w14:textId="77777777" w:rsidR="00D210F0" w:rsidRPr="00092ED7" w:rsidRDefault="00D210F0" w:rsidP="00E44EF2">
            <w:pPr>
              <w:spacing w:after="0"/>
              <w:rPr>
                <w:rFonts w:cs="Times New Roman"/>
                <w:color w:val="000000"/>
                <w:sz w:val="18"/>
                <w:szCs w:val="18"/>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5C229C38" w14:textId="77777777" w:rsidR="00D210F0" w:rsidRPr="00092ED7" w:rsidRDefault="00D210F0" w:rsidP="00E44EF2">
            <w:pPr>
              <w:spacing w:after="0"/>
              <w:rPr>
                <w:rFonts w:cs="Times New Roman"/>
                <w:color w:val="000000"/>
                <w:sz w:val="18"/>
                <w:szCs w:val="18"/>
                <w:lang w:val="sr-Cyrl-CS"/>
              </w:rPr>
            </w:pPr>
          </w:p>
        </w:tc>
      </w:tr>
    </w:tbl>
    <w:p w14:paraId="63A8041A" w14:textId="06FA6D92" w:rsidR="00CE6286" w:rsidRPr="00092ED7" w:rsidRDefault="00CE6286" w:rsidP="00FB0EB9">
      <w:pPr>
        <w:tabs>
          <w:tab w:val="left" w:pos="360"/>
        </w:tabs>
        <w:spacing w:after="0"/>
        <w:contextualSpacing/>
        <w:rPr>
          <w:rFonts w:cs="Times New Roman"/>
          <w:bCs/>
          <w:sz w:val="16"/>
          <w:szCs w:val="16"/>
          <w:lang w:val="sr-Cyrl-CS"/>
        </w:rPr>
      </w:pPr>
      <w:r w:rsidRPr="00092ED7">
        <w:rPr>
          <w:rFonts w:cs="Times New Roman"/>
          <w:bCs/>
          <w:sz w:val="16"/>
          <w:szCs w:val="16"/>
          <w:lang w:val="sr-Cyrl-CS"/>
        </w:rPr>
        <w:t>*Реализација активности у 2025. години није означена у гантограму с обзиром да је рок завршетка пројекта ТАМП 31.</w:t>
      </w:r>
      <w:r w:rsidR="00E150E9" w:rsidRPr="00092ED7">
        <w:rPr>
          <w:rFonts w:cs="Times New Roman"/>
          <w:bCs/>
          <w:sz w:val="16"/>
          <w:szCs w:val="16"/>
          <w:lang w:val="sr-Cyrl-CS"/>
        </w:rPr>
        <w:t xml:space="preserve"> октобар </w:t>
      </w:r>
      <w:r w:rsidRPr="00092ED7">
        <w:rPr>
          <w:rFonts w:cs="Times New Roman"/>
          <w:bCs/>
          <w:sz w:val="16"/>
          <w:szCs w:val="16"/>
          <w:lang w:val="sr-Cyrl-CS"/>
        </w:rPr>
        <w:t xml:space="preserve">2024. године, </w:t>
      </w:r>
      <w:r w:rsidR="0034459D" w:rsidRPr="00092ED7">
        <w:rPr>
          <w:rFonts w:cs="Times New Roman"/>
          <w:bCs/>
          <w:sz w:val="16"/>
          <w:szCs w:val="16"/>
          <w:lang w:val="sr-Cyrl-CS"/>
        </w:rPr>
        <w:t xml:space="preserve">уз напомену да </w:t>
      </w:r>
      <w:r w:rsidRPr="00092ED7">
        <w:rPr>
          <w:rFonts w:cs="Times New Roman"/>
          <w:bCs/>
          <w:sz w:val="16"/>
          <w:szCs w:val="16"/>
          <w:lang w:val="sr-Cyrl-CS"/>
        </w:rPr>
        <w:t>постоји могућност да ће се реализација пројекта ТАМП продужити и у 2025. години.</w:t>
      </w:r>
    </w:p>
    <w:p w14:paraId="3FB25441" w14:textId="77777777" w:rsidR="00D210F0" w:rsidRPr="00092ED7" w:rsidRDefault="00D210F0" w:rsidP="00071952">
      <w:pPr>
        <w:widowControl w:val="0"/>
        <w:numPr>
          <w:ilvl w:val="0"/>
          <w:numId w:val="28"/>
        </w:numPr>
        <w:spacing w:before="120"/>
        <w:ind w:left="425" w:hanging="425"/>
        <w:rPr>
          <w:rFonts w:cs="Times New Roman"/>
          <w:b/>
          <w:bCs/>
          <w:szCs w:val="24"/>
          <w:lang w:val="sr-Cyrl-CS"/>
        </w:rPr>
      </w:pPr>
      <w:r w:rsidRPr="00092ED7">
        <w:rPr>
          <w:rFonts w:cs="Times New Roman"/>
          <w:b/>
          <w:bCs/>
          <w:szCs w:val="24"/>
          <w:lang w:val="sr-Cyrl-CS"/>
        </w:rPr>
        <w:t>Индикатори резултата</w:t>
      </w:r>
    </w:p>
    <w:tbl>
      <w:tblPr>
        <w:tblStyle w:val="TableGrid"/>
        <w:tblW w:w="9214" w:type="dxa"/>
        <w:tblInd w:w="-5" w:type="dxa"/>
        <w:tblLayout w:type="fixed"/>
        <w:tblLook w:val="04A0" w:firstRow="1" w:lastRow="0" w:firstColumn="1" w:lastColumn="0" w:noHBand="0" w:noVBand="1"/>
      </w:tblPr>
      <w:tblGrid>
        <w:gridCol w:w="4253"/>
        <w:gridCol w:w="1653"/>
        <w:gridCol w:w="1654"/>
        <w:gridCol w:w="1654"/>
      </w:tblGrid>
      <w:tr w:rsidR="00D210F0" w:rsidRPr="00092ED7" w14:paraId="07600A6D" w14:textId="77777777" w:rsidTr="00AE4362">
        <w:trPr>
          <w:cnfStyle w:val="100000000000" w:firstRow="1" w:lastRow="0" w:firstColumn="0" w:lastColumn="0" w:oddVBand="0" w:evenVBand="0" w:oddHBand="0" w:evenHBand="0" w:firstRowFirstColumn="0" w:firstRowLastColumn="0" w:lastRowFirstColumn="0" w:lastRowLastColumn="0"/>
        </w:trPr>
        <w:tc>
          <w:tcPr>
            <w:tcW w:w="4253" w:type="dxa"/>
          </w:tcPr>
          <w:p w14:paraId="3757104A" w14:textId="77777777" w:rsidR="00D210F0" w:rsidRPr="00092ED7" w:rsidRDefault="00D210F0" w:rsidP="00A37A7A">
            <w:pPr>
              <w:spacing w:before="0" w:after="0"/>
              <w:ind w:left="113" w:right="113"/>
              <w:jc w:val="center"/>
              <w:rPr>
                <w:rFonts w:cs="Times New Roman"/>
                <w:b w:val="0"/>
                <w:sz w:val="20"/>
                <w:lang w:val="sr-Cyrl-CS"/>
              </w:rPr>
            </w:pPr>
            <w:r w:rsidRPr="00092ED7">
              <w:rPr>
                <w:rFonts w:cs="Times New Roman"/>
                <w:sz w:val="20"/>
                <w:lang w:val="sr-Cyrl-CS"/>
              </w:rPr>
              <w:t>Пoказатељ</w:t>
            </w:r>
          </w:p>
        </w:tc>
        <w:tc>
          <w:tcPr>
            <w:tcW w:w="1653" w:type="dxa"/>
          </w:tcPr>
          <w:p w14:paraId="2218B616" w14:textId="77777777" w:rsidR="00D210F0" w:rsidRPr="00092ED7" w:rsidRDefault="00D210F0" w:rsidP="00A37A7A">
            <w:pPr>
              <w:spacing w:before="0" w:after="0"/>
              <w:ind w:left="113" w:right="113"/>
              <w:jc w:val="center"/>
              <w:rPr>
                <w:rFonts w:cs="Times New Roman"/>
                <w:b w:val="0"/>
                <w:sz w:val="20"/>
                <w:lang w:val="sr-Cyrl-CS"/>
              </w:rPr>
            </w:pPr>
            <w:r w:rsidRPr="00092ED7">
              <w:rPr>
                <w:rFonts w:cs="Times New Roman"/>
                <w:sz w:val="20"/>
                <w:lang w:val="sr-Cyrl-CS"/>
              </w:rPr>
              <w:t>Почетна вредност (</w:t>
            </w:r>
            <w:r w:rsidR="009C1B27" w:rsidRPr="00092ED7">
              <w:rPr>
                <w:rFonts w:cs="Times New Roman"/>
                <w:sz w:val="20"/>
                <w:lang w:val="sr-Cyrl-CS"/>
              </w:rPr>
              <w:t>2014</w:t>
            </w:r>
            <w:r w:rsidRPr="00092ED7">
              <w:rPr>
                <w:rFonts w:cs="Times New Roman"/>
                <w:sz w:val="20"/>
                <w:lang w:val="sr-Cyrl-CS"/>
              </w:rPr>
              <w:t>)</w:t>
            </w:r>
          </w:p>
        </w:tc>
        <w:tc>
          <w:tcPr>
            <w:tcW w:w="1654" w:type="dxa"/>
          </w:tcPr>
          <w:p w14:paraId="290E1D3F" w14:textId="77777777" w:rsidR="00D210F0" w:rsidRPr="00092ED7" w:rsidRDefault="00D210F0" w:rsidP="00A37A7A">
            <w:pPr>
              <w:spacing w:before="0" w:after="0"/>
              <w:ind w:left="113" w:right="113"/>
              <w:jc w:val="center"/>
              <w:rPr>
                <w:rFonts w:cs="Times New Roman"/>
                <w:b w:val="0"/>
                <w:sz w:val="20"/>
                <w:lang w:val="sr-Cyrl-CS"/>
              </w:rPr>
            </w:pPr>
            <w:r w:rsidRPr="00092ED7">
              <w:rPr>
                <w:rFonts w:cs="Times New Roman"/>
                <w:sz w:val="20"/>
                <w:lang w:val="sr-Cyrl-CS"/>
              </w:rPr>
              <w:t>Међурезултат (2021)</w:t>
            </w:r>
          </w:p>
        </w:tc>
        <w:tc>
          <w:tcPr>
            <w:tcW w:w="1654" w:type="dxa"/>
          </w:tcPr>
          <w:p w14:paraId="1D84B6A8" w14:textId="77777777" w:rsidR="00D210F0" w:rsidRPr="00092ED7" w:rsidRDefault="00D210F0" w:rsidP="00A37A7A">
            <w:pPr>
              <w:spacing w:before="0" w:after="0"/>
              <w:ind w:left="113" w:right="113"/>
              <w:jc w:val="center"/>
              <w:rPr>
                <w:rFonts w:cs="Times New Roman"/>
                <w:b w:val="0"/>
                <w:sz w:val="20"/>
                <w:lang w:val="sr-Cyrl-CS"/>
              </w:rPr>
            </w:pPr>
            <w:r w:rsidRPr="00092ED7">
              <w:rPr>
                <w:rFonts w:cs="Times New Roman"/>
                <w:sz w:val="20"/>
                <w:lang w:val="sr-Cyrl-CS"/>
              </w:rPr>
              <w:t>Циљна вредност (2025)</w:t>
            </w:r>
          </w:p>
        </w:tc>
      </w:tr>
      <w:tr w:rsidR="00D210F0" w:rsidRPr="00092ED7" w14:paraId="2601997B" w14:textId="77777777" w:rsidTr="00AE4362">
        <w:tc>
          <w:tcPr>
            <w:tcW w:w="4253" w:type="dxa"/>
          </w:tcPr>
          <w:p w14:paraId="0A7C9E57" w14:textId="77777777" w:rsidR="00D210F0" w:rsidRPr="00092ED7" w:rsidRDefault="00D210F0" w:rsidP="00AE4362">
            <w:pPr>
              <w:spacing w:before="0" w:after="0"/>
              <w:ind w:left="113" w:right="113"/>
              <w:rPr>
                <w:rFonts w:cs="Times New Roman"/>
                <w:bCs/>
                <w:sz w:val="20"/>
                <w:lang w:val="sr-Cyrl-CS"/>
              </w:rPr>
            </w:pPr>
            <w:r w:rsidRPr="00092ED7">
              <w:rPr>
                <w:rFonts w:cs="Times New Roman"/>
                <w:bCs/>
                <w:sz w:val="20"/>
                <w:lang w:val="sr-Cyrl-CS"/>
              </w:rPr>
              <w:t xml:space="preserve">Новорегистровани порески обвезници у календарској години </w:t>
            </w:r>
            <w:r w:rsidR="00AE4362" w:rsidRPr="00092ED7">
              <w:rPr>
                <w:rFonts w:cs="Times New Roman"/>
                <w:bCs/>
                <w:sz w:val="20"/>
                <w:lang w:val="sr-Cyrl-CS"/>
              </w:rPr>
              <w:t>(</w:t>
            </w:r>
            <w:r w:rsidRPr="00092ED7">
              <w:rPr>
                <w:rFonts w:cs="Times New Roman"/>
                <w:bCs/>
                <w:sz w:val="20"/>
                <w:lang w:val="sr-Cyrl-CS"/>
              </w:rPr>
              <w:t>у %)</w:t>
            </w:r>
            <w:r w:rsidRPr="00092ED7">
              <w:rPr>
                <w:rFonts w:cs="Times New Roman"/>
                <w:sz w:val="20"/>
                <w:lang w:val="sr-Cyrl-CS"/>
              </w:rPr>
              <w:t>*</w:t>
            </w:r>
          </w:p>
        </w:tc>
        <w:tc>
          <w:tcPr>
            <w:tcW w:w="1653" w:type="dxa"/>
          </w:tcPr>
          <w:p w14:paraId="69D31F8F" w14:textId="77777777" w:rsidR="00D210F0" w:rsidRPr="00092ED7" w:rsidRDefault="009C1B27" w:rsidP="00A37A7A">
            <w:pPr>
              <w:spacing w:before="0" w:after="0"/>
              <w:ind w:left="113" w:right="113"/>
              <w:jc w:val="center"/>
              <w:rPr>
                <w:rFonts w:cs="Times New Roman"/>
                <w:sz w:val="20"/>
                <w:lang w:val="sr-Cyrl-CS"/>
              </w:rPr>
            </w:pPr>
            <w:r w:rsidRPr="00092ED7">
              <w:rPr>
                <w:rFonts w:cs="Times New Roman"/>
                <w:sz w:val="20"/>
                <w:lang w:val="sr-Cyrl-CS"/>
              </w:rPr>
              <w:t>96,77</w:t>
            </w:r>
          </w:p>
        </w:tc>
        <w:tc>
          <w:tcPr>
            <w:tcW w:w="1654" w:type="dxa"/>
          </w:tcPr>
          <w:p w14:paraId="636E9461" w14:textId="77777777" w:rsidR="00D210F0" w:rsidRPr="00092ED7" w:rsidRDefault="00D210F0" w:rsidP="00A37A7A">
            <w:pPr>
              <w:spacing w:before="0" w:after="0"/>
              <w:ind w:left="113" w:right="113"/>
              <w:jc w:val="center"/>
              <w:rPr>
                <w:rFonts w:cs="Times New Roman"/>
                <w:sz w:val="20"/>
                <w:lang w:val="sr-Cyrl-CS"/>
              </w:rPr>
            </w:pPr>
            <w:r w:rsidRPr="00092ED7">
              <w:rPr>
                <w:rFonts w:cs="Times New Roman"/>
                <w:sz w:val="20"/>
                <w:lang w:val="sr-Cyrl-CS"/>
              </w:rPr>
              <w:t>110,31</w:t>
            </w:r>
          </w:p>
        </w:tc>
        <w:tc>
          <w:tcPr>
            <w:tcW w:w="1654" w:type="dxa"/>
          </w:tcPr>
          <w:p w14:paraId="243F2881" w14:textId="77777777" w:rsidR="00D210F0" w:rsidRPr="00092ED7" w:rsidRDefault="00D210F0" w:rsidP="00A37A7A">
            <w:pPr>
              <w:spacing w:before="0" w:after="0"/>
              <w:ind w:left="113" w:right="113"/>
              <w:jc w:val="center"/>
              <w:rPr>
                <w:rFonts w:cs="Times New Roman"/>
                <w:sz w:val="20"/>
                <w:lang w:val="sr-Cyrl-CS"/>
              </w:rPr>
            </w:pPr>
            <w:r w:rsidRPr="00092ED7">
              <w:rPr>
                <w:rFonts w:cs="Times New Roman"/>
                <w:sz w:val="20"/>
                <w:lang w:val="sr-Cyrl-CS"/>
              </w:rPr>
              <w:t>104,63</w:t>
            </w:r>
          </w:p>
        </w:tc>
      </w:tr>
      <w:tr w:rsidR="00D210F0" w:rsidRPr="00092ED7" w14:paraId="65AC5C35" w14:textId="77777777" w:rsidTr="00AE4362">
        <w:tc>
          <w:tcPr>
            <w:tcW w:w="4253" w:type="dxa"/>
            <w:tcBorders>
              <w:bottom w:val="single" w:sz="4" w:space="0" w:color="auto"/>
            </w:tcBorders>
          </w:tcPr>
          <w:p w14:paraId="2669DB80" w14:textId="77777777" w:rsidR="00D210F0" w:rsidRPr="00092ED7" w:rsidRDefault="00D210F0" w:rsidP="00AE4362">
            <w:pPr>
              <w:spacing w:before="0" w:after="0"/>
              <w:ind w:left="113" w:right="113"/>
              <w:rPr>
                <w:rFonts w:cs="Times New Roman"/>
                <w:bCs/>
                <w:sz w:val="20"/>
                <w:lang w:val="sr-Cyrl-CS"/>
              </w:rPr>
            </w:pPr>
            <w:r w:rsidRPr="00092ED7">
              <w:rPr>
                <w:rFonts w:cs="Times New Roman"/>
                <w:bCs/>
                <w:sz w:val="20"/>
                <w:lang w:val="sr-Cyrl-CS"/>
              </w:rPr>
              <w:t>Раст новооткривених прихода по годинама (у %)</w:t>
            </w:r>
            <w:r w:rsidRPr="00092ED7">
              <w:rPr>
                <w:rFonts w:cs="Times New Roman"/>
                <w:sz w:val="20"/>
                <w:lang w:val="sr-Cyrl-CS"/>
              </w:rPr>
              <w:t>**</w:t>
            </w:r>
          </w:p>
        </w:tc>
        <w:tc>
          <w:tcPr>
            <w:tcW w:w="1653" w:type="dxa"/>
            <w:tcBorders>
              <w:bottom w:val="single" w:sz="4" w:space="0" w:color="auto"/>
            </w:tcBorders>
          </w:tcPr>
          <w:p w14:paraId="461692D8" w14:textId="77777777" w:rsidR="00D210F0" w:rsidRPr="00092ED7" w:rsidRDefault="009C1B27" w:rsidP="00A37A7A">
            <w:pPr>
              <w:spacing w:before="0" w:after="0"/>
              <w:ind w:left="113" w:right="113"/>
              <w:jc w:val="center"/>
              <w:rPr>
                <w:rFonts w:cs="Times New Roman"/>
                <w:sz w:val="20"/>
                <w:lang w:val="sr-Cyrl-CS"/>
              </w:rPr>
            </w:pPr>
            <w:r w:rsidRPr="00092ED7">
              <w:rPr>
                <w:rFonts w:cs="Times New Roman"/>
                <w:sz w:val="20"/>
                <w:lang w:val="sr-Cyrl-CS"/>
              </w:rPr>
              <w:t>56,42</w:t>
            </w:r>
          </w:p>
        </w:tc>
        <w:tc>
          <w:tcPr>
            <w:tcW w:w="1654" w:type="dxa"/>
            <w:tcBorders>
              <w:bottom w:val="single" w:sz="4" w:space="0" w:color="auto"/>
            </w:tcBorders>
          </w:tcPr>
          <w:p w14:paraId="6B0C3E09" w14:textId="77777777" w:rsidR="00D210F0" w:rsidRPr="00092ED7" w:rsidRDefault="00D210F0" w:rsidP="00A37A7A">
            <w:pPr>
              <w:spacing w:before="0" w:after="0"/>
              <w:ind w:left="113" w:right="113"/>
              <w:jc w:val="center"/>
              <w:rPr>
                <w:rFonts w:cs="Times New Roman"/>
                <w:sz w:val="20"/>
                <w:lang w:val="sr-Cyrl-CS"/>
              </w:rPr>
            </w:pPr>
            <w:r w:rsidRPr="00092ED7">
              <w:rPr>
                <w:rFonts w:cs="Times New Roman"/>
                <w:sz w:val="20"/>
                <w:lang w:val="sr-Cyrl-CS"/>
              </w:rPr>
              <w:t>139,06</w:t>
            </w:r>
          </w:p>
        </w:tc>
        <w:tc>
          <w:tcPr>
            <w:tcW w:w="1654" w:type="dxa"/>
            <w:tcBorders>
              <w:bottom w:val="single" w:sz="4" w:space="0" w:color="auto"/>
            </w:tcBorders>
          </w:tcPr>
          <w:p w14:paraId="4FB4C9BE" w14:textId="77777777" w:rsidR="00D210F0" w:rsidRPr="00092ED7" w:rsidRDefault="00D210F0" w:rsidP="00A37A7A">
            <w:pPr>
              <w:spacing w:before="0" w:after="0"/>
              <w:ind w:left="113" w:right="113"/>
              <w:jc w:val="center"/>
              <w:rPr>
                <w:rFonts w:cs="Times New Roman"/>
                <w:sz w:val="20"/>
                <w:lang w:val="sr-Cyrl-CS"/>
              </w:rPr>
            </w:pPr>
            <w:r w:rsidRPr="00092ED7">
              <w:rPr>
                <w:rFonts w:cs="Times New Roman"/>
                <w:sz w:val="20"/>
                <w:lang w:val="sr-Cyrl-CS"/>
              </w:rPr>
              <w:t>104,01</w:t>
            </w:r>
          </w:p>
        </w:tc>
      </w:tr>
      <w:tr w:rsidR="00D210F0" w:rsidRPr="00092ED7" w14:paraId="4AD0C140" w14:textId="77777777" w:rsidTr="00AE4362">
        <w:tc>
          <w:tcPr>
            <w:tcW w:w="4253" w:type="dxa"/>
            <w:tcBorders>
              <w:bottom w:val="single" w:sz="4" w:space="0" w:color="auto"/>
            </w:tcBorders>
          </w:tcPr>
          <w:p w14:paraId="205A4375" w14:textId="77777777" w:rsidR="00D210F0" w:rsidRPr="00092ED7" w:rsidRDefault="00D210F0" w:rsidP="00AE4362">
            <w:pPr>
              <w:spacing w:before="0" w:after="0"/>
              <w:ind w:left="113" w:right="113"/>
              <w:rPr>
                <w:rFonts w:cs="Times New Roman"/>
                <w:bCs/>
                <w:sz w:val="20"/>
                <w:lang w:val="sr-Cyrl-CS"/>
              </w:rPr>
            </w:pPr>
            <w:r w:rsidRPr="00092ED7">
              <w:rPr>
                <w:rFonts w:cs="Times New Roman"/>
                <w:bCs/>
                <w:sz w:val="20"/>
                <w:lang w:val="sr-Cyrl-CS"/>
              </w:rPr>
              <w:t>Степен остварења наплатног задатка (у %)</w:t>
            </w:r>
            <w:r w:rsidRPr="00092ED7">
              <w:rPr>
                <w:rFonts w:cs="Times New Roman"/>
                <w:sz w:val="20"/>
                <w:lang w:val="sr-Cyrl-CS"/>
              </w:rPr>
              <w:t>***</w:t>
            </w:r>
          </w:p>
        </w:tc>
        <w:tc>
          <w:tcPr>
            <w:tcW w:w="1653" w:type="dxa"/>
            <w:tcBorders>
              <w:bottom w:val="single" w:sz="4" w:space="0" w:color="auto"/>
            </w:tcBorders>
          </w:tcPr>
          <w:p w14:paraId="41DAB00D" w14:textId="77777777" w:rsidR="00D210F0" w:rsidRPr="00092ED7" w:rsidRDefault="009C1B27" w:rsidP="00A37A7A">
            <w:pPr>
              <w:spacing w:before="0" w:after="0"/>
              <w:ind w:left="113" w:right="113"/>
              <w:jc w:val="center"/>
              <w:rPr>
                <w:rFonts w:cs="Times New Roman"/>
                <w:sz w:val="20"/>
                <w:lang w:val="sr-Cyrl-CS"/>
              </w:rPr>
            </w:pPr>
            <w:r w:rsidRPr="00092ED7">
              <w:rPr>
                <w:rFonts w:cs="Times New Roman"/>
                <w:sz w:val="20"/>
                <w:lang w:val="sr-Cyrl-CS"/>
              </w:rPr>
              <w:t>101,3</w:t>
            </w:r>
          </w:p>
        </w:tc>
        <w:tc>
          <w:tcPr>
            <w:tcW w:w="1654" w:type="dxa"/>
            <w:tcBorders>
              <w:bottom w:val="single" w:sz="4" w:space="0" w:color="auto"/>
            </w:tcBorders>
          </w:tcPr>
          <w:p w14:paraId="7DA0C6AC" w14:textId="77777777" w:rsidR="00D210F0" w:rsidRPr="00092ED7" w:rsidRDefault="00D210F0" w:rsidP="00A37A7A">
            <w:pPr>
              <w:spacing w:before="0" w:after="0"/>
              <w:ind w:left="113" w:right="113"/>
              <w:jc w:val="center"/>
              <w:rPr>
                <w:rFonts w:cs="Times New Roman"/>
                <w:sz w:val="20"/>
                <w:lang w:val="sr-Cyrl-CS"/>
              </w:rPr>
            </w:pPr>
            <w:r w:rsidRPr="00092ED7">
              <w:rPr>
                <w:rFonts w:cs="Times New Roman"/>
                <w:sz w:val="20"/>
                <w:lang w:val="sr-Cyrl-CS"/>
              </w:rPr>
              <w:t>107,8</w:t>
            </w:r>
          </w:p>
        </w:tc>
        <w:tc>
          <w:tcPr>
            <w:tcW w:w="1654" w:type="dxa"/>
            <w:tcBorders>
              <w:bottom w:val="single" w:sz="4" w:space="0" w:color="auto"/>
            </w:tcBorders>
          </w:tcPr>
          <w:p w14:paraId="1BF2C087" w14:textId="77777777" w:rsidR="00D210F0" w:rsidRPr="00092ED7" w:rsidRDefault="00D210F0" w:rsidP="00A37A7A">
            <w:pPr>
              <w:spacing w:before="0" w:after="0"/>
              <w:ind w:left="113" w:right="113"/>
              <w:jc w:val="center"/>
              <w:rPr>
                <w:rFonts w:cs="Times New Roman"/>
                <w:sz w:val="20"/>
                <w:lang w:val="sr-Cyrl-CS"/>
              </w:rPr>
            </w:pPr>
            <w:r w:rsidRPr="00092ED7">
              <w:rPr>
                <w:rFonts w:cs="Times New Roman"/>
                <w:sz w:val="20"/>
                <w:lang w:val="sr-Cyrl-CS"/>
              </w:rPr>
              <w:t>101</w:t>
            </w:r>
          </w:p>
        </w:tc>
      </w:tr>
    </w:tbl>
    <w:p w14:paraId="459295A8" w14:textId="77777777" w:rsidR="00D210F0" w:rsidRPr="00092ED7" w:rsidRDefault="00D210F0" w:rsidP="00D210F0">
      <w:pPr>
        <w:tabs>
          <w:tab w:val="left" w:pos="360"/>
        </w:tabs>
        <w:spacing w:after="0"/>
        <w:contextualSpacing/>
        <w:rPr>
          <w:rFonts w:cs="Times New Roman"/>
          <w:bCs/>
          <w:sz w:val="16"/>
          <w:szCs w:val="16"/>
          <w:lang w:val="sr-Cyrl-CS"/>
        </w:rPr>
      </w:pPr>
      <w:r w:rsidRPr="00092ED7">
        <w:rPr>
          <w:rFonts w:cs="Times New Roman"/>
          <w:bCs/>
          <w:sz w:val="16"/>
          <w:szCs w:val="16"/>
          <w:lang w:val="sr-Cyrl-CS"/>
        </w:rPr>
        <w:t xml:space="preserve">* Показатељ представља индекс године коју посматрамо у односу на претходну годину израчунат  на основу стварних вредности, укупног броја новорегистрованих пореских обвезника, док циљна вредност представља индекс две узастопне године на основу прогнозираног броја новорегистрованих пореских обвезника. </w:t>
      </w:r>
    </w:p>
    <w:p w14:paraId="23842CF8" w14:textId="77777777" w:rsidR="00D210F0" w:rsidRPr="00092ED7" w:rsidRDefault="00D210F0" w:rsidP="00D210F0">
      <w:pPr>
        <w:tabs>
          <w:tab w:val="left" w:pos="360"/>
        </w:tabs>
        <w:spacing w:after="0"/>
        <w:contextualSpacing/>
        <w:rPr>
          <w:rFonts w:cs="Times New Roman"/>
          <w:bCs/>
          <w:sz w:val="16"/>
          <w:szCs w:val="16"/>
          <w:lang w:val="sr-Cyrl-CS"/>
        </w:rPr>
      </w:pPr>
      <w:r w:rsidRPr="00092ED7">
        <w:rPr>
          <w:rFonts w:cs="Times New Roman"/>
          <w:bCs/>
          <w:sz w:val="16"/>
          <w:szCs w:val="16"/>
          <w:lang w:val="sr-Cyrl-CS"/>
        </w:rPr>
        <w:t>** Показатељ представља индекс године коју посматрамо у односу на претходну годину израчунат на основу евидентираних новооткривених прихода, док циљна вредност представља индекс две узастопне године  израчунат на основу прогнозираних новооткривених прихода.</w:t>
      </w:r>
    </w:p>
    <w:p w14:paraId="20BDDEE4" w14:textId="77777777" w:rsidR="00D210F0" w:rsidRPr="00092ED7" w:rsidRDefault="00D210F0" w:rsidP="00D210F0">
      <w:pPr>
        <w:tabs>
          <w:tab w:val="left" w:pos="360"/>
        </w:tabs>
        <w:spacing w:after="0"/>
        <w:contextualSpacing/>
        <w:rPr>
          <w:rFonts w:cs="Times New Roman"/>
          <w:bCs/>
          <w:sz w:val="16"/>
          <w:szCs w:val="16"/>
          <w:lang w:val="sr-Cyrl-CS"/>
        </w:rPr>
      </w:pPr>
      <w:r w:rsidRPr="00092ED7">
        <w:rPr>
          <w:rFonts w:cs="Times New Roman"/>
          <w:bCs/>
          <w:sz w:val="16"/>
          <w:szCs w:val="16"/>
          <w:lang w:val="sr-Cyrl-CS"/>
        </w:rPr>
        <w:t>***Показатељ представља однос остварене наплате најважнијих прихода буџета Републике Србије у датој години, у односу на буџетом планиране износе за ту годину.</w:t>
      </w:r>
    </w:p>
    <w:p w14:paraId="2F1C9E88" w14:textId="77777777" w:rsidR="00D210F0" w:rsidRPr="00092ED7" w:rsidRDefault="00D210F0" w:rsidP="00071952">
      <w:pPr>
        <w:widowControl w:val="0"/>
        <w:numPr>
          <w:ilvl w:val="0"/>
          <w:numId w:val="28"/>
        </w:numPr>
        <w:spacing w:before="120"/>
        <w:ind w:left="425" w:hanging="425"/>
        <w:rPr>
          <w:rFonts w:cs="Times New Roman"/>
          <w:b/>
          <w:szCs w:val="24"/>
          <w:lang w:val="sr-Cyrl-CS"/>
        </w:rPr>
      </w:pPr>
      <w:r w:rsidRPr="00092ED7">
        <w:rPr>
          <w:rFonts w:cs="Times New Roman"/>
          <w:b/>
          <w:szCs w:val="24"/>
          <w:lang w:val="sr-Cyrl-CS"/>
        </w:rPr>
        <w:t>Очекивани утицај на конкурентност</w:t>
      </w:r>
    </w:p>
    <w:p w14:paraId="77FA88BE" w14:textId="77777777" w:rsidR="00D210F0" w:rsidRPr="00092ED7" w:rsidRDefault="00D210F0" w:rsidP="00663528">
      <w:pPr>
        <w:widowControl w:val="0"/>
        <w:tabs>
          <w:tab w:val="left" w:pos="360"/>
        </w:tabs>
        <w:spacing w:after="60"/>
        <w:rPr>
          <w:rFonts w:cs="Times New Roman"/>
          <w:szCs w:val="24"/>
          <w:lang w:val="sr-Cyrl-CS"/>
        </w:rPr>
      </w:pPr>
      <w:r w:rsidRPr="00092ED7">
        <w:rPr>
          <w:rFonts w:cs="Times New Roman"/>
          <w:szCs w:val="24"/>
          <w:lang w:val="sr-Cyrl-CS"/>
        </w:rPr>
        <w:t>Један од значајних ефеката реализације структурне реформе је стварање услова за фер пословање и лојалну конкурентност привредних субјеката. Спровођење ове реформе</w:t>
      </w:r>
      <w:r w:rsidRPr="00092ED7">
        <w:rPr>
          <w:rFonts w:cs="Times New Roman"/>
          <w:lang w:val="sr-Cyrl-CS"/>
        </w:rPr>
        <w:t xml:space="preserve"> </w:t>
      </w:r>
      <w:r w:rsidRPr="00092ED7">
        <w:rPr>
          <w:rFonts w:cs="Times New Roman"/>
          <w:szCs w:val="24"/>
          <w:lang w:val="sr-Cyrl-CS"/>
        </w:rPr>
        <w:t>индиректно утиче на јачање конкурентности домаћих предузећа. Путем аутоматских/електронских, једноставних и бесплатних пореских процедура, администрирање пореских обавеза оставља привредним субјектима више средстава и времена да се посвете побољшању квалитета производа и услуга, што директно утиче на повећање конкурентности. Смањењем сиве економије повећава се конкурентност привредних субјеката који послују уз поштовање пореских прописа.</w:t>
      </w:r>
    </w:p>
    <w:p w14:paraId="615CC9D9" w14:textId="77777777" w:rsidR="00D210F0" w:rsidRPr="00092ED7" w:rsidRDefault="00D210F0" w:rsidP="00071952">
      <w:pPr>
        <w:widowControl w:val="0"/>
        <w:numPr>
          <w:ilvl w:val="0"/>
          <w:numId w:val="28"/>
        </w:numPr>
        <w:spacing w:before="120"/>
        <w:ind w:left="425" w:hanging="425"/>
        <w:rPr>
          <w:rFonts w:cs="Times New Roman"/>
          <w:b/>
          <w:szCs w:val="24"/>
          <w:lang w:val="sr-Cyrl-CS"/>
        </w:rPr>
      </w:pPr>
      <w:r w:rsidRPr="00092ED7">
        <w:rPr>
          <w:rFonts w:cs="Times New Roman"/>
          <w:b/>
          <w:szCs w:val="24"/>
          <w:lang w:val="sr-Cyrl-CS"/>
        </w:rPr>
        <w:t xml:space="preserve">Процењени трошкови спровођења структурне реформе и предвиђени извори њиховог финансирања </w:t>
      </w:r>
    </w:p>
    <w:p w14:paraId="3FB8682B" w14:textId="4725E51E" w:rsidR="007A395B" w:rsidRPr="00092ED7" w:rsidRDefault="007A395B" w:rsidP="00663528">
      <w:pPr>
        <w:widowControl w:val="0"/>
        <w:tabs>
          <w:tab w:val="left" w:pos="360"/>
        </w:tabs>
        <w:spacing w:after="60"/>
        <w:rPr>
          <w:rFonts w:eastAsia="TimesNewRomanPSMT" w:cs="Times New Roman"/>
          <w:color w:val="000000"/>
          <w:szCs w:val="24"/>
          <w:lang w:val="sr-Cyrl-CS"/>
        </w:rPr>
      </w:pPr>
      <w:r w:rsidRPr="00092ED7">
        <w:rPr>
          <w:rFonts w:eastAsia="TimesNewRomanPSMT" w:cs="Times New Roman"/>
          <w:color w:val="000000"/>
          <w:szCs w:val="24"/>
          <w:lang w:val="sr-Cyrl-CS"/>
        </w:rPr>
        <w:t>Структурна реформа се наставља из претходних година. Све планиране активности биће финансиране из кредитне линије Светске банке (</w:t>
      </w:r>
      <w:r w:rsidRPr="00092ED7">
        <w:rPr>
          <w:rFonts w:cs="Times New Roman"/>
          <w:szCs w:val="24"/>
          <w:lang w:val="sr-Cyrl-CS"/>
        </w:rPr>
        <w:t>TAMP</w:t>
      </w:r>
      <w:r w:rsidRPr="00092ED7">
        <w:rPr>
          <w:rFonts w:eastAsia="TimesNewRomanPSMT" w:cs="Times New Roman"/>
          <w:color w:val="000000"/>
          <w:szCs w:val="24"/>
          <w:lang w:val="sr-Cyrl-CS"/>
        </w:rPr>
        <w:t xml:space="preserve">). Процењени су трошкови од око </w:t>
      </w:r>
      <w:r w:rsidR="00AD44D0" w:rsidRPr="00092ED7">
        <w:rPr>
          <w:rFonts w:eastAsia="TimesNewRomanPSMT" w:cs="Times New Roman"/>
          <w:color w:val="000000"/>
          <w:szCs w:val="24"/>
          <w:lang w:val="sr-Cyrl-CS"/>
        </w:rPr>
        <w:t xml:space="preserve">8,3 </w:t>
      </w:r>
      <w:r w:rsidRPr="00092ED7">
        <w:rPr>
          <w:rFonts w:eastAsia="TimesNewRomanPSMT" w:cs="Times New Roman"/>
          <w:color w:val="000000"/>
          <w:szCs w:val="24"/>
          <w:lang w:val="sr-Cyrl-CS"/>
        </w:rPr>
        <w:t xml:space="preserve">милиона евра за 2023. годину и то: 190 хиљада евра за реинжењеринг пословних процеса; </w:t>
      </w:r>
      <w:r w:rsidR="00AD44D0" w:rsidRPr="00092ED7">
        <w:rPr>
          <w:rFonts w:eastAsia="TimesNewRomanPSMT" w:cs="Times New Roman"/>
          <w:color w:val="000000"/>
          <w:szCs w:val="24"/>
          <w:lang w:val="sr-Cyrl-CS"/>
        </w:rPr>
        <w:t>4,3</w:t>
      </w:r>
      <w:r w:rsidRPr="00092ED7">
        <w:rPr>
          <w:rFonts w:eastAsia="TimesNewRomanPSMT" w:cs="Times New Roman"/>
          <w:color w:val="000000"/>
          <w:szCs w:val="24"/>
          <w:lang w:val="sr-Cyrl-CS"/>
        </w:rPr>
        <w:t xml:space="preserve"> милиона евра за набавку система за нову платформу ИКТ; </w:t>
      </w:r>
      <w:r w:rsidR="00AD44D0" w:rsidRPr="00092ED7">
        <w:rPr>
          <w:rFonts w:eastAsia="TimesNewRomanPSMT" w:cs="Times New Roman"/>
          <w:color w:val="000000"/>
          <w:szCs w:val="24"/>
          <w:lang w:val="sr-Cyrl-CS"/>
        </w:rPr>
        <w:t>1,7</w:t>
      </w:r>
      <w:r w:rsidRPr="00092ED7">
        <w:rPr>
          <w:rFonts w:eastAsia="TimesNewRomanPSMT" w:cs="Times New Roman"/>
          <w:color w:val="000000"/>
          <w:szCs w:val="24"/>
          <w:lang w:val="sr-Cyrl-CS"/>
        </w:rPr>
        <w:t xml:space="preserve"> милиона евра </w:t>
      </w:r>
      <w:r w:rsidRPr="00092ED7">
        <w:rPr>
          <w:rFonts w:eastAsia="TimesNewRomanPSMT" w:cs="Times New Roman"/>
          <w:color w:val="000000"/>
          <w:szCs w:val="24"/>
          <w:lang w:val="sr-Cyrl-CS"/>
        </w:rPr>
        <w:lastRenderedPageBreak/>
        <w:t xml:space="preserve">за реализацију активности из Плана набавке </w:t>
      </w:r>
      <w:r w:rsidRPr="00092ED7">
        <w:rPr>
          <w:rFonts w:cs="Times New Roman"/>
          <w:szCs w:val="24"/>
          <w:lang w:val="sr-Cyrl-CS"/>
        </w:rPr>
        <w:t>TAMP</w:t>
      </w:r>
      <w:r w:rsidRPr="00092ED7">
        <w:rPr>
          <w:rFonts w:eastAsia="TimesNewRomanPSMT" w:cs="Times New Roman"/>
          <w:color w:val="000000"/>
          <w:szCs w:val="24"/>
          <w:lang w:val="sr-Cyrl-CS"/>
        </w:rPr>
        <w:t xml:space="preserve">; </w:t>
      </w:r>
      <w:r w:rsidR="00AD44D0" w:rsidRPr="00092ED7">
        <w:rPr>
          <w:rFonts w:eastAsia="TimesNewRomanPSMT" w:cs="Times New Roman"/>
          <w:color w:val="000000"/>
          <w:szCs w:val="24"/>
          <w:lang w:val="sr-Cyrl-CS"/>
        </w:rPr>
        <w:t xml:space="preserve">1,6 </w:t>
      </w:r>
      <w:r w:rsidRPr="00092ED7">
        <w:rPr>
          <w:rFonts w:eastAsia="TimesNewRomanPSMT" w:cs="Times New Roman"/>
          <w:color w:val="000000"/>
          <w:szCs w:val="24"/>
          <w:lang w:val="sr-Cyrl-CS"/>
        </w:rPr>
        <w:t xml:space="preserve">милиона евра за анализу и увођење савременог система за управљање евиденцијама и за Институционални развој функције људских ресурса око 500 хиљада евра. Поред тога су планирани трошкови од </w:t>
      </w:r>
      <w:r w:rsidR="00AD44D0" w:rsidRPr="00092ED7">
        <w:rPr>
          <w:rFonts w:eastAsia="TimesNewRomanPSMT" w:cs="Times New Roman"/>
          <w:color w:val="000000"/>
          <w:szCs w:val="24"/>
          <w:lang w:val="sr-Cyrl-CS"/>
        </w:rPr>
        <w:t xml:space="preserve">32 </w:t>
      </w:r>
      <w:r w:rsidRPr="00092ED7">
        <w:rPr>
          <w:rFonts w:eastAsia="TimesNewRomanPSMT" w:cs="Times New Roman"/>
          <w:color w:val="000000"/>
          <w:szCs w:val="24"/>
          <w:lang w:val="sr-Cyrl-CS"/>
        </w:rPr>
        <w:t xml:space="preserve">милиона евра у 2024. години, од чега за спровођење активности: анализа и увођење савременог система за управљање евиденцијама </w:t>
      </w:r>
      <w:r w:rsidR="00AD44D0" w:rsidRPr="00092ED7">
        <w:rPr>
          <w:rFonts w:eastAsia="TimesNewRomanPSMT" w:cs="Times New Roman"/>
          <w:color w:val="000000"/>
          <w:szCs w:val="24"/>
          <w:lang w:val="sr-Cyrl-CS"/>
        </w:rPr>
        <w:t xml:space="preserve">5,6 </w:t>
      </w:r>
      <w:r w:rsidRPr="00092ED7">
        <w:rPr>
          <w:rFonts w:eastAsia="TimesNewRomanPSMT" w:cs="Times New Roman"/>
          <w:color w:val="000000"/>
          <w:szCs w:val="24"/>
          <w:lang w:val="sr-Cyrl-CS"/>
        </w:rPr>
        <w:t xml:space="preserve"> милиона евра, за набавку система за нову ИКТ платформу </w:t>
      </w:r>
      <w:r w:rsidR="00AD44D0" w:rsidRPr="00092ED7">
        <w:rPr>
          <w:rFonts w:eastAsia="TimesNewRomanPSMT" w:cs="Times New Roman"/>
          <w:color w:val="000000"/>
          <w:szCs w:val="24"/>
          <w:lang w:val="sr-Cyrl-CS"/>
        </w:rPr>
        <w:t xml:space="preserve">19 </w:t>
      </w:r>
      <w:r w:rsidRPr="00092ED7">
        <w:rPr>
          <w:rFonts w:eastAsia="TimesNewRomanPSMT" w:cs="Times New Roman"/>
          <w:color w:val="000000"/>
          <w:szCs w:val="24"/>
          <w:lang w:val="sr-Cyrl-CS"/>
        </w:rPr>
        <w:t xml:space="preserve">милиона евра, за реализацију активности из Плана набавке </w:t>
      </w:r>
      <w:r w:rsidRPr="00092ED7">
        <w:rPr>
          <w:rFonts w:cs="Times New Roman"/>
          <w:szCs w:val="24"/>
          <w:lang w:val="sr-Cyrl-CS"/>
        </w:rPr>
        <w:t>TAMP</w:t>
      </w:r>
      <w:r w:rsidRPr="00092ED7">
        <w:rPr>
          <w:rFonts w:eastAsia="TimesNewRomanPSMT" w:cs="Times New Roman"/>
          <w:color w:val="000000"/>
          <w:szCs w:val="24"/>
          <w:lang w:val="sr-Cyrl-CS"/>
        </w:rPr>
        <w:t xml:space="preserve"> </w:t>
      </w:r>
      <w:r w:rsidR="00AD44D0" w:rsidRPr="00092ED7">
        <w:rPr>
          <w:rFonts w:eastAsia="TimesNewRomanPSMT" w:cs="Times New Roman"/>
          <w:color w:val="000000"/>
          <w:szCs w:val="24"/>
          <w:lang w:val="sr-Cyrl-CS"/>
        </w:rPr>
        <w:t xml:space="preserve">7,3 </w:t>
      </w:r>
      <w:r w:rsidRPr="00092ED7">
        <w:rPr>
          <w:rFonts w:eastAsia="TimesNewRomanPSMT" w:cs="Times New Roman"/>
          <w:color w:val="000000"/>
          <w:szCs w:val="24"/>
          <w:lang w:val="sr-Cyrl-CS"/>
        </w:rPr>
        <w:t xml:space="preserve">милиона евра и за Институционални развој функције људских ресурса </w:t>
      </w:r>
      <w:r w:rsidR="00AD44D0" w:rsidRPr="00092ED7">
        <w:rPr>
          <w:rFonts w:eastAsia="TimesNewRomanPSMT" w:cs="Times New Roman"/>
          <w:color w:val="000000"/>
          <w:szCs w:val="24"/>
          <w:lang w:val="sr-Cyrl-CS"/>
        </w:rPr>
        <w:t xml:space="preserve"> 135</w:t>
      </w:r>
      <w:r w:rsidRPr="00092ED7">
        <w:rPr>
          <w:rFonts w:eastAsia="TimesNewRomanPSMT" w:cs="Times New Roman"/>
          <w:color w:val="000000"/>
          <w:szCs w:val="24"/>
          <w:lang w:val="sr-Cyrl-CS"/>
        </w:rPr>
        <w:t xml:space="preserve"> хиљада евра.</w:t>
      </w:r>
    </w:p>
    <w:p w14:paraId="20810766" w14:textId="77777777" w:rsidR="00D210F0" w:rsidRPr="00092ED7" w:rsidRDefault="00D210F0" w:rsidP="00071952">
      <w:pPr>
        <w:widowControl w:val="0"/>
        <w:numPr>
          <w:ilvl w:val="0"/>
          <w:numId w:val="28"/>
        </w:numPr>
        <w:spacing w:before="120"/>
        <w:ind w:left="425" w:hanging="425"/>
        <w:rPr>
          <w:rFonts w:cs="Times New Roman"/>
          <w:b/>
          <w:szCs w:val="24"/>
          <w:lang w:val="sr-Cyrl-CS"/>
        </w:rPr>
      </w:pPr>
      <w:r w:rsidRPr="00092ED7">
        <w:rPr>
          <w:rFonts w:cs="Times New Roman"/>
          <w:b/>
          <w:szCs w:val="24"/>
          <w:lang w:val="sr-Cyrl-CS"/>
        </w:rPr>
        <w:t xml:space="preserve">Очекивани утицај на социјалне циљеве, као што су запосленост, смањење сиромаштва, родна равноправност и приступ здравственој заштити </w:t>
      </w:r>
    </w:p>
    <w:p w14:paraId="11059C5D" w14:textId="13D39727" w:rsidR="00D210F0" w:rsidRPr="00092ED7" w:rsidRDefault="008C5DCE" w:rsidP="00663528">
      <w:pPr>
        <w:widowControl w:val="0"/>
        <w:tabs>
          <w:tab w:val="left" w:pos="360"/>
        </w:tabs>
        <w:spacing w:after="60"/>
        <w:rPr>
          <w:rFonts w:cs="Times New Roman"/>
          <w:szCs w:val="24"/>
          <w:lang w:val="sr-Cyrl-CS"/>
        </w:rPr>
      </w:pPr>
      <w:r w:rsidRPr="00092ED7">
        <w:rPr>
          <w:rFonts w:cs="Times New Roman"/>
          <w:szCs w:val="24"/>
          <w:lang w:val="sr-Cyrl-CS"/>
        </w:rPr>
        <w:t xml:space="preserve">Структурном реформом уводе се јасна пореска правила која охрабрују грађане у намери да започну сопствени посао, </w:t>
      </w:r>
      <w:r w:rsidR="00E150E9" w:rsidRPr="00092ED7">
        <w:rPr>
          <w:rFonts w:cs="Times New Roman"/>
          <w:szCs w:val="24"/>
          <w:lang w:val="sr-Cyrl-CS"/>
        </w:rPr>
        <w:t xml:space="preserve">чиме се </w:t>
      </w:r>
      <w:r w:rsidRPr="00092ED7">
        <w:rPr>
          <w:rFonts w:cs="Times New Roman"/>
          <w:szCs w:val="24"/>
          <w:lang w:val="sr-Cyrl-CS"/>
        </w:rPr>
        <w:t>на индиректан начин утиче на повећање запослености, као и укупног друштвеног раста, односно смањења сиромаштва.  Бољом наплатом пореза веће су могућности буџетских издвајања за социјалну заштиту, образовање и здравство.</w:t>
      </w:r>
      <w:r w:rsidR="00D210F0" w:rsidRPr="00092ED7">
        <w:rPr>
          <w:rFonts w:cs="Times New Roman"/>
          <w:szCs w:val="24"/>
          <w:lang w:val="sr-Cyrl-CS"/>
        </w:rPr>
        <w:t xml:space="preserve"> Реформа ће имати подједнак позитиван утицај на оба пола.</w:t>
      </w:r>
    </w:p>
    <w:p w14:paraId="1F4C5A21" w14:textId="77777777" w:rsidR="00D210F0" w:rsidRPr="00092ED7" w:rsidRDefault="00D210F0" w:rsidP="00071952">
      <w:pPr>
        <w:widowControl w:val="0"/>
        <w:numPr>
          <w:ilvl w:val="0"/>
          <w:numId w:val="28"/>
        </w:numPr>
        <w:spacing w:before="120"/>
        <w:ind w:left="425" w:hanging="425"/>
        <w:rPr>
          <w:rFonts w:cs="Times New Roman"/>
          <w:b/>
          <w:szCs w:val="24"/>
          <w:lang w:val="sr-Cyrl-CS"/>
        </w:rPr>
      </w:pPr>
      <w:r w:rsidRPr="00092ED7">
        <w:rPr>
          <w:rFonts w:cs="Times New Roman"/>
          <w:b/>
          <w:szCs w:val="24"/>
          <w:lang w:val="sr-Cyrl-CS"/>
        </w:rPr>
        <w:t xml:space="preserve">Очекивани утицај на животну средину и климатске промене </w:t>
      </w:r>
    </w:p>
    <w:p w14:paraId="4F2A5C42" w14:textId="375A722F" w:rsidR="00D210F0" w:rsidRPr="00092ED7" w:rsidRDefault="00E150E9" w:rsidP="00663528">
      <w:pPr>
        <w:widowControl w:val="0"/>
        <w:tabs>
          <w:tab w:val="left" w:pos="360"/>
        </w:tabs>
        <w:spacing w:after="60"/>
        <w:rPr>
          <w:rFonts w:cs="Times New Roman"/>
          <w:szCs w:val="24"/>
          <w:lang w:val="sr-Cyrl-CS"/>
        </w:rPr>
      </w:pPr>
      <w:r w:rsidRPr="00092ED7">
        <w:rPr>
          <w:rFonts w:cs="Times New Roman"/>
          <w:szCs w:val="24"/>
          <w:lang w:val="sr-Cyrl-CS"/>
        </w:rPr>
        <w:t xml:space="preserve">Пореска управа </w:t>
      </w:r>
      <w:r w:rsidR="00D210F0" w:rsidRPr="00092ED7">
        <w:rPr>
          <w:rFonts w:cs="Times New Roman"/>
          <w:szCs w:val="24"/>
          <w:lang w:val="sr-Cyrl-CS"/>
        </w:rPr>
        <w:t>успешно имплементира и надгледа пројектне активности које подлежу ризицима заштите животне средине и да управља њиховим утицајима. У склопу тога је и припрема специфичних планова управљања животном средином (који укључују планове ублажавања и праћења стања животне средине за потпројекте) како би се осигурала ефективна заштита животне средине, здравље и безбедност на раду.</w:t>
      </w:r>
    </w:p>
    <w:p w14:paraId="272239A1" w14:textId="77777777" w:rsidR="00D210F0" w:rsidRPr="00092ED7" w:rsidRDefault="00D210F0" w:rsidP="00071952">
      <w:pPr>
        <w:widowControl w:val="0"/>
        <w:numPr>
          <w:ilvl w:val="0"/>
          <w:numId w:val="28"/>
        </w:numPr>
        <w:spacing w:before="120"/>
        <w:ind w:left="425" w:hanging="425"/>
        <w:rPr>
          <w:rFonts w:cs="Times New Roman"/>
          <w:b/>
          <w:bCs/>
          <w:szCs w:val="24"/>
          <w:lang w:val="sr-Cyrl-CS"/>
        </w:rPr>
      </w:pPr>
      <w:r w:rsidRPr="00092ED7">
        <w:rPr>
          <w:rFonts w:cs="Times New Roman"/>
          <w:b/>
          <w:bCs/>
          <w:szCs w:val="24"/>
          <w:lang w:val="sr-Cyrl-CS"/>
        </w:rPr>
        <w:t>Потенцијални ризици</w:t>
      </w:r>
    </w:p>
    <w:tbl>
      <w:tblPr>
        <w:tblStyle w:val="TableGrid"/>
        <w:tblW w:w="9072" w:type="dxa"/>
        <w:tblInd w:w="-5" w:type="dxa"/>
        <w:tblLayout w:type="fixed"/>
        <w:tblLook w:val="04A0" w:firstRow="1" w:lastRow="0" w:firstColumn="1" w:lastColumn="0" w:noHBand="0" w:noVBand="1"/>
      </w:tblPr>
      <w:tblGrid>
        <w:gridCol w:w="3685"/>
        <w:gridCol w:w="2098"/>
        <w:gridCol w:w="3289"/>
      </w:tblGrid>
      <w:tr w:rsidR="00D210F0" w:rsidRPr="00092ED7" w14:paraId="033D0C44" w14:textId="77777777" w:rsidTr="00AE4362">
        <w:trPr>
          <w:cnfStyle w:val="100000000000" w:firstRow="1" w:lastRow="0" w:firstColumn="0" w:lastColumn="0" w:oddVBand="0" w:evenVBand="0" w:oddHBand="0" w:evenHBand="0" w:firstRowFirstColumn="0" w:firstRowLastColumn="0" w:lastRowFirstColumn="0" w:lastRowLastColumn="0"/>
          <w:trHeight w:val="421"/>
        </w:trPr>
        <w:tc>
          <w:tcPr>
            <w:tcW w:w="3685" w:type="dxa"/>
          </w:tcPr>
          <w:p w14:paraId="67098D4F" w14:textId="77777777" w:rsidR="00D210F0" w:rsidRPr="00092ED7" w:rsidRDefault="00D210F0" w:rsidP="00A37A7A">
            <w:pPr>
              <w:spacing w:before="0" w:after="0"/>
              <w:ind w:left="113" w:right="113"/>
              <w:jc w:val="center"/>
              <w:rPr>
                <w:rFonts w:cs="Times New Roman"/>
                <w:b w:val="0"/>
                <w:sz w:val="20"/>
                <w:lang w:val="sr-Cyrl-CS"/>
              </w:rPr>
            </w:pPr>
            <w:r w:rsidRPr="00092ED7">
              <w:rPr>
                <w:rFonts w:cs="Times New Roman"/>
                <w:sz w:val="20"/>
                <w:lang w:val="sr-Cyrl-CS"/>
              </w:rPr>
              <w:t>Ризик</w:t>
            </w:r>
          </w:p>
        </w:tc>
        <w:tc>
          <w:tcPr>
            <w:tcW w:w="2098" w:type="dxa"/>
          </w:tcPr>
          <w:p w14:paraId="747EF5E6" w14:textId="77777777" w:rsidR="00D210F0" w:rsidRPr="00092ED7" w:rsidRDefault="00D210F0" w:rsidP="00A37A7A">
            <w:pPr>
              <w:spacing w:before="0" w:after="0"/>
              <w:ind w:left="113" w:right="113"/>
              <w:jc w:val="center"/>
              <w:rPr>
                <w:rFonts w:cs="Times New Roman"/>
                <w:b w:val="0"/>
                <w:sz w:val="20"/>
                <w:lang w:val="sr-Cyrl-CS"/>
              </w:rPr>
            </w:pPr>
            <w:r w:rsidRPr="00092ED7">
              <w:rPr>
                <w:rFonts w:cs="Times New Roman"/>
                <w:sz w:val="20"/>
                <w:lang w:val="sr-Cyrl-CS"/>
              </w:rPr>
              <w:t>Вероватноћа за остваривање ризика</w:t>
            </w:r>
          </w:p>
        </w:tc>
        <w:tc>
          <w:tcPr>
            <w:tcW w:w="3289" w:type="dxa"/>
          </w:tcPr>
          <w:p w14:paraId="45AC6F77" w14:textId="77777777" w:rsidR="00D210F0" w:rsidRPr="00092ED7" w:rsidRDefault="00D210F0" w:rsidP="00E44EF2">
            <w:pPr>
              <w:spacing w:before="0" w:after="0"/>
              <w:ind w:left="113" w:right="113"/>
              <w:jc w:val="center"/>
              <w:rPr>
                <w:rFonts w:cs="Times New Roman"/>
                <w:b w:val="0"/>
                <w:sz w:val="20"/>
                <w:lang w:val="sr-Cyrl-CS"/>
              </w:rPr>
            </w:pPr>
            <w:r w:rsidRPr="00092ED7">
              <w:rPr>
                <w:rFonts w:cs="Times New Roman"/>
                <w:sz w:val="20"/>
                <w:lang w:val="sr-Cyrl-CS"/>
              </w:rPr>
              <w:t>Активност за ублажавање негативних</w:t>
            </w:r>
            <w:r w:rsidR="00E44EF2" w:rsidRPr="00092ED7">
              <w:rPr>
                <w:rFonts w:cs="Times New Roman"/>
                <w:sz w:val="20"/>
                <w:lang w:val="sr-Cyrl-CS"/>
              </w:rPr>
              <w:t xml:space="preserve"> </w:t>
            </w:r>
            <w:r w:rsidRPr="00092ED7">
              <w:rPr>
                <w:rFonts w:cs="Times New Roman"/>
                <w:sz w:val="20"/>
                <w:lang w:val="sr-Cyrl-CS"/>
              </w:rPr>
              <w:t>ефеката ризика</w:t>
            </w:r>
          </w:p>
        </w:tc>
      </w:tr>
      <w:tr w:rsidR="00D210F0" w:rsidRPr="00092ED7" w14:paraId="551D1FDF" w14:textId="77777777" w:rsidTr="00663528">
        <w:trPr>
          <w:trHeight w:val="340"/>
        </w:trPr>
        <w:tc>
          <w:tcPr>
            <w:tcW w:w="3685" w:type="dxa"/>
            <w:vAlign w:val="top"/>
          </w:tcPr>
          <w:p w14:paraId="580C2C9F" w14:textId="23DB45B3" w:rsidR="00D210F0" w:rsidRPr="00092ED7" w:rsidRDefault="00D210F0" w:rsidP="00E150E9">
            <w:pPr>
              <w:spacing w:before="0" w:after="0"/>
              <w:ind w:left="113" w:right="113"/>
              <w:rPr>
                <w:rFonts w:cs="Times New Roman"/>
                <w:sz w:val="20"/>
                <w:lang w:val="sr-Cyrl-CS"/>
              </w:rPr>
            </w:pPr>
            <w:r w:rsidRPr="00092ED7">
              <w:rPr>
                <w:rFonts w:eastAsia="Calibri" w:cs="Times New Roman"/>
                <w:sz w:val="20"/>
                <w:lang w:val="sr-Cyrl-CS"/>
              </w:rPr>
              <w:t xml:space="preserve">Кашњење нових законодавних оквира заснованих на ИКТ и потребама реформе </w:t>
            </w:r>
            <w:r w:rsidR="00E150E9" w:rsidRPr="00092ED7">
              <w:rPr>
                <w:rFonts w:eastAsia="Calibri" w:cs="Times New Roman"/>
                <w:sz w:val="20"/>
                <w:lang w:val="sr-Cyrl-CS"/>
              </w:rPr>
              <w:t>Пореске управе</w:t>
            </w:r>
            <w:r w:rsidRPr="00092ED7">
              <w:rPr>
                <w:rFonts w:eastAsia="Calibri" w:cs="Times New Roman"/>
                <w:sz w:val="20"/>
                <w:lang w:val="sr-Cyrl-CS"/>
              </w:rPr>
              <w:t>, или неприхватање измена за постојеће</w:t>
            </w:r>
          </w:p>
        </w:tc>
        <w:tc>
          <w:tcPr>
            <w:tcW w:w="2098" w:type="dxa"/>
            <w:vAlign w:val="top"/>
          </w:tcPr>
          <w:p w14:paraId="6618B823" w14:textId="77777777" w:rsidR="00D210F0" w:rsidRPr="00092ED7" w:rsidRDefault="00D210F0" w:rsidP="00663528">
            <w:pPr>
              <w:spacing w:before="0" w:after="0"/>
              <w:ind w:left="113" w:right="113"/>
              <w:jc w:val="center"/>
              <w:rPr>
                <w:rFonts w:cs="Times New Roman"/>
                <w:sz w:val="20"/>
                <w:lang w:val="sr-Cyrl-CS"/>
              </w:rPr>
            </w:pPr>
            <w:r w:rsidRPr="00092ED7">
              <w:rPr>
                <w:rFonts w:cs="Times New Roman"/>
                <w:sz w:val="20"/>
                <w:lang w:val="sr-Cyrl-CS"/>
              </w:rPr>
              <w:t>Средња</w:t>
            </w:r>
          </w:p>
        </w:tc>
        <w:tc>
          <w:tcPr>
            <w:tcW w:w="3289" w:type="dxa"/>
            <w:vAlign w:val="top"/>
          </w:tcPr>
          <w:p w14:paraId="5D5D0888" w14:textId="77777777" w:rsidR="00D210F0" w:rsidRPr="00092ED7" w:rsidRDefault="00D210F0" w:rsidP="00663528">
            <w:pPr>
              <w:spacing w:before="0" w:after="0"/>
              <w:ind w:left="113" w:right="113"/>
              <w:rPr>
                <w:rFonts w:cs="Times New Roman"/>
                <w:sz w:val="20"/>
                <w:lang w:val="sr-Cyrl-CS"/>
              </w:rPr>
            </w:pPr>
            <w:r w:rsidRPr="00092ED7">
              <w:rPr>
                <w:rFonts w:cs="Times New Roman"/>
                <w:sz w:val="20"/>
                <w:lang w:val="sr-Cyrl-CS"/>
              </w:rPr>
              <w:t>Унапређена сарадња са свим релевантним институцијама</w:t>
            </w:r>
            <w:r w:rsidR="00D47BD8" w:rsidRPr="00092ED7">
              <w:rPr>
                <w:rFonts w:cs="Times New Roman"/>
                <w:sz w:val="20"/>
                <w:lang w:val="sr-Cyrl-CS"/>
              </w:rPr>
              <w:t>.</w:t>
            </w:r>
          </w:p>
        </w:tc>
      </w:tr>
      <w:tr w:rsidR="00D210F0" w:rsidRPr="00092ED7" w14:paraId="1B669287" w14:textId="77777777" w:rsidTr="00663528">
        <w:trPr>
          <w:trHeight w:val="340"/>
        </w:trPr>
        <w:tc>
          <w:tcPr>
            <w:tcW w:w="3685" w:type="dxa"/>
            <w:vAlign w:val="top"/>
          </w:tcPr>
          <w:p w14:paraId="595C9F61" w14:textId="77777777" w:rsidR="00D210F0" w:rsidRPr="00092ED7" w:rsidRDefault="00D210F0" w:rsidP="00663528">
            <w:pPr>
              <w:spacing w:before="0" w:after="0"/>
              <w:ind w:left="113" w:right="113"/>
              <w:rPr>
                <w:rFonts w:cs="Times New Roman"/>
                <w:sz w:val="20"/>
                <w:lang w:val="sr-Cyrl-CS"/>
              </w:rPr>
            </w:pPr>
            <w:r w:rsidRPr="00092ED7">
              <w:rPr>
                <w:rFonts w:eastAsia="Calibri" w:cs="Times New Roman"/>
                <w:sz w:val="20"/>
                <w:lang w:val="sr-Cyrl-CS"/>
              </w:rPr>
              <w:t>Недостатак координације/ комуникације између државних институција</w:t>
            </w:r>
          </w:p>
        </w:tc>
        <w:tc>
          <w:tcPr>
            <w:tcW w:w="2098" w:type="dxa"/>
            <w:vAlign w:val="top"/>
          </w:tcPr>
          <w:p w14:paraId="515B1F42" w14:textId="77777777" w:rsidR="00D210F0" w:rsidRPr="00092ED7" w:rsidRDefault="00D210F0" w:rsidP="00663528">
            <w:pPr>
              <w:spacing w:before="0" w:after="0"/>
              <w:ind w:left="113" w:right="113"/>
              <w:jc w:val="center"/>
              <w:rPr>
                <w:rFonts w:cs="Times New Roman"/>
                <w:sz w:val="20"/>
                <w:lang w:val="sr-Cyrl-CS"/>
              </w:rPr>
            </w:pPr>
            <w:r w:rsidRPr="00092ED7">
              <w:rPr>
                <w:rFonts w:cs="Times New Roman"/>
                <w:sz w:val="20"/>
                <w:lang w:val="sr-Cyrl-CS"/>
              </w:rPr>
              <w:t>Средња</w:t>
            </w:r>
          </w:p>
        </w:tc>
        <w:tc>
          <w:tcPr>
            <w:tcW w:w="3289" w:type="dxa"/>
            <w:vAlign w:val="top"/>
          </w:tcPr>
          <w:p w14:paraId="2FCB0AB5" w14:textId="77777777" w:rsidR="00D210F0" w:rsidRPr="00092ED7" w:rsidRDefault="00D210F0" w:rsidP="00663528">
            <w:pPr>
              <w:spacing w:before="0" w:after="0"/>
              <w:ind w:left="113" w:right="113"/>
              <w:rPr>
                <w:rFonts w:cs="Times New Roman"/>
                <w:sz w:val="20"/>
                <w:lang w:val="sr-Cyrl-CS"/>
              </w:rPr>
            </w:pPr>
            <w:r w:rsidRPr="00092ED7">
              <w:rPr>
                <w:rFonts w:cs="Times New Roman"/>
                <w:sz w:val="20"/>
                <w:lang w:val="sr-Cyrl-CS"/>
              </w:rPr>
              <w:t xml:space="preserve">Рад на унапређењу </w:t>
            </w:r>
            <w:r w:rsidRPr="00092ED7">
              <w:rPr>
                <w:rFonts w:eastAsia="Calibri" w:cs="Times New Roman"/>
                <w:sz w:val="20"/>
                <w:lang w:val="sr-Cyrl-CS"/>
              </w:rPr>
              <w:t>координације/ комуникације између државних институција</w:t>
            </w:r>
            <w:r w:rsidR="00D47BD8" w:rsidRPr="00092ED7">
              <w:rPr>
                <w:rFonts w:eastAsia="Calibri" w:cs="Times New Roman"/>
                <w:sz w:val="20"/>
                <w:lang w:val="sr-Cyrl-CS"/>
              </w:rPr>
              <w:t>.</w:t>
            </w:r>
          </w:p>
        </w:tc>
      </w:tr>
      <w:tr w:rsidR="00D210F0" w:rsidRPr="00092ED7" w14:paraId="24ADB225" w14:textId="77777777" w:rsidTr="00663528">
        <w:trPr>
          <w:trHeight w:val="340"/>
        </w:trPr>
        <w:tc>
          <w:tcPr>
            <w:tcW w:w="3685" w:type="dxa"/>
            <w:vAlign w:val="top"/>
          </w:tcPr>
          <w:p w14:paraId="4910178A" w14:textId="77777777" w:rsidR="00D210F0" w:rsidRPr="00092ED7" w:rsidRDefault="00D210F0" w:rsidP="00663528">
            <w:pPr>
              <w:spacing w:before="0" w:after="0"/>
              <w:ind w:left="113" w:right="113"/>
              <w:rPr>
                <w:rFonts w:cs="Times New Roman"/>
                <w:sz w:val="20"/>
                <w:lang w:val="sr-Cyrl-CS"/>
              </w:rPr>
            </w:pPr>
            <w:r w:rsidRPr="00092ED7">
              <w:rPr>
                <w:rFonts w:eastAsia="Calibri" w:cs="Times New Roman"/>
                <w:sz w:val="20"/>
                <w:lang w:val="sr-Cyrl-CS"/>
              </w:rPr>
              <w:t>Неповерење пореских обвезника услед страха од новина</w:t>
            </w:r>
          </w:p>
        </w:tc>
        <w:tc>
          <w:tcPr>
            <w:tcW w:w="2098" w:type="dxa"/>
            <w:vAlign w:val="top"/>
          </w:tcPr>
          <w:p w14:paraId="0963E273" w14:textId="77777777" w:rsidR="00D210F0" w:rsidRPr="00092ED7" w:rsidRDefault="00D210F0" w:rsidP="00663528">
            <w:pPr>
              <w:spacing w:before="0" w:after="0"/>
              <w:ind w:left="113" w:right="113"/>
              <w:jc w:val="center"/>
              <w:rPr>
                <w:rFonts w:cs="Times New Roman"/>
                <w:sz w:val="20"/>
                <w:lang w:val="sr-Cyrl-CS"/>
              </w:rPr>
            </w:pPr>
            <w:r w:rsidRPr="00092ED7">
              <w:rPr>
                <w:rFonts w:cs="Times New Roman"/>
                <w:sz w:val="20"/>
                <w:lang w:val="sr-Cyrl-CS"/>
              </w:rPr>
              <w:t>Средња</w:t>
            </w:r>
          </w:p>
        </w:tc>
        <w:tc>
          <w:tcPr>
            <w:tcW w:w="3289" w:type="dxa"/>
            <w:vAlign w:val="top"/>
          </w:tcPr>
          <w:p w14:paraId="57F31D08" w14:textId="77777777" w:rsidR="00D210F0" w:rsidRPr="00092ED7" w:rsidRDefault="00D210F0" w:rsidP="00663528">
            <w:pPr>
              <w:spacing w:before="0" w:after="0"/>
              <w:ind w:left="113" w:right="113"/>
              <w:rPr>
                <w:rFonts w:cs="Times New Roman"/>
                <w:sz w:val="20"/>
                <w:lang w:val="sr-Cyrl-CS"/>
              </w:rPr>
            </w:pPr>
            <w:r w:rsidRPr="00092ED7">
              <w:rPr>
                <w:rFonts w:cs="Times New Roman"/>
                <w:sz w:val="20"/>
                <w:lang w:val="sr-Cyrl-CS"/>
              </w:rPr>
              <w:t>Едукација и информисање пореских обвезника</w:t>
            </w:r>
            <w:r w:rsidR="00D47BD8" w:rsidRPr="00092ED7">
              <w:rPr>
                <w:rFonts w:cs="Times New Roman"/>
                <w:sz w:val="20"/>
                <w:lang w:val="sr-Cyrl-CS"/>
              </w:rPr>
              <w:t>.</w:t>
            </w:r>
          </w:p>
        </w:tc>
      </w:tr>
      <w:tr w:rsidR="00D210F0" w:rsidRPr="00092ED7" w14:paraId="38CA417C" w14:textId="77777777" w:rsidTr="00663528">
        <w:trPr>
          <w:trHeight w:val="340"/>
        </w:trPr>
        <w:tc>
          <w:tcPr>
            <w:tcW w:w="3685" w:type="dxa"/>
            <w:vAlign w:val="top"/>
          </w:tcPr>
          <w:p w14:paraId="3698010C" w14:textId="77777777" w:rsidR="00D210F0" w:rsidRPr="00092ED7" w:rsidRDefault="00D210F0" w:rsidP="00663528">
            <w:pPr>
              <w:spacing w:before="0" w:after="0"/>
              <w:ind w:left="113" w:right="113"/>
              <w:rPr>
                <w:rFonts w:cs="Times New Roman"/>
                <w:b/>
                <w:sz w:val="20"/>
                <w:lang w:val="sr-Cyrl-CS"/>
              </w:rPr>
            </w:pPr>
            <w:r w:rsidRPr="00092ED7">
              <w:rPr>
                <w:rFonts w:eastAsia="Calibri" w:cs="Times New Roman"/>
                <w:sz w:val="20"/>
                <w:lang w:val="sr-Cyrl-CS"/>
              </w:rPr>
              <w:t>Недовољно ИТ ресурса и вештина за реализацију реформe</w:t>
            </w:r>
          </w:p>
        </w:tc>
        <w:tc>
          <w:tcPr>
            <w:tcW w:w="2098" w:type="dxa"/>
            <w:vAlign w:val="top"/>
          </w:tcPr>
          <w:p w14:paraId="006CE767" w14:textId="77777777" w:rsidR="00D210F0" w:rsidRPr="00092ED7" w:rsidRDefault="00D210F0" w:rsidP="00663528">
            <w:pPr>
              <w:spacing w:before="0" w:after="0"/>
              <w:ind w:left="113" w:right="113"/>
              <w:jc w:val="center"/>
              <w:rPr>
                <w:rFonts w:cs="Times New Roman"/>
                <w:b/>
                <w:sz w:val="20"/>
                <w:lang w:val="sr-Cyrl-CS"/>
              </w:rPr>
            </w:pPr>
            <w:r w:rsidRPr="00092ED7">
              <w:rPr>
                <w:rFonts w:cs="Times New Roman"/>
                <w:sz w:val="20"/>
                <w:lang w:val="sr-Cyrl-CS"/>
              </w:rPr>
              <w:t>Висока</w:t>
            </w:r>
          </w:p>
        </w:tc>
        <w:tc>
          <w:tcPr>
            <w:tcW w:w="3289" w:type="dxa"/>
            <w:vAlign w:val="top"/>
          </w:tcPr>
          <w:p w14:paraId="6CF61D2D" w14:textId="77777777" w:rsidR="00D210F0" w:rsidRPr="00092ED7" w:rsidRDefault="00D210F0" w:rsidP="00663528">
            <w:pPr>
              <w:spacing w:before="0" w:after="0"/>
              <w:ind w:left="113" w:right="113"/>
              <w:rPr>
                <w:rFonts w:cs="Times New Roman"/>
                <w:b/>
                <w:sz w:val="20"/>
                <w:lang w:val="sr-Cyrl-CS"/>
              </w:rPr>
            </w:pPr>
            <w:r w:rsidRPr="00092ED7">
              <w:rPr>
                <w:rFonts w:cs="Times New Roman"/>
                <w:sz w:val="20"/>
                <w:lang w:val="sr-Cyrl-CS"/>
              </w:rPr>
              <w:t>Повећање броја запослених у ИТ и активнија сарадња са Јединицом за имплементацију стратешких пројеката</w:t>
            </w:r>
            <w:r w:rsidR="00D47BD8" w:rsidRPr="00092ED7">
              <w:rPr>
                <w:rFonts w:cs="Times New Roman"/>
                <w:sz w:val="20"/>
                <w:lang w:val="sr-Cyrl-CS"/>
              </w:rPr>
              <w:t>.</w:t>
            </w:r>
            <w:r w:rsidRPr="00092ED7">
              <w:rPr>
                <w:rFonts w:cs="Times New Roman"/>
                <w:sz w:val="20"/>
                <w:lang w:val="sr-Cyrl-CS"/>
              </w:rPr>
              <w:t xml:space="preserve"> </w:t>
            </w:r>
          </w:p>
        </w:tc>
      </w:tr>
      <w:tr w:rsidR="00D210F0" w:rsidRPr="00092ED7" w14:paraId="33668E26" w14:textId="77777777" w:rsidTr="00663528">
        <w:trPr>
          <w:trHeight w:val="340"/>
        </w:trPr>
        <w:tc>
          <w:tcPr>
            <w:tcW w:w="3685" w:type="dxa"/>
            <w:vAlign w:val="top"/>
          </w:tcPr>
          <w:p w14:paraId="423EF3E9" w14:textId="2E0DA897" w:rsidR="00D210F0" w:rsidRPr="00092ED7" w:rsidRDefault="00D210F0" w:rsidP="00E150E9">
            <w:pPr>
              <w:spacing w:before="0" w:after="0"/>
              <w:ind w:left="113" w:right="113"/>
              <w:rPr>
                <w:rFonts w:cs="Times New Roman"/>
                <w:sz w:val="18"/>
                <w:szCs w:val="18"/>
                <w:lang w:val="sr-Cyrl-CS"/>
              </w:rPr>
            </w:pPr>
            <w:r w:rsidRPr="00092ED7">
              <w:rPr>
                <w:rFonts w:eastAsia="Calibri" w:cs="Times New Roman"/>
                <w:sz w:val="20"/>
                <w:lang w:val="sr-Cyrl-CS"/>
              </w:rPr>
              <w:t xml:space="preserve">Недостатак људских ресурса и знања неопходних за функционисање реформисане </w:t>
            </w:r>
            <w:r w:rsidR="00E150E9" w:rsidRPr="00092ED7">
              <w:rPr>
                <w:rFonts w:eastAsia="Calibri" w:cs="Times New Roman"/>
                <w:sz w:val="20"/>
                <w:lang w:val="sr-Cyrl-CS"/>
              </w:rPr>
              <w:t>Пореске управе</w:t>
            </w:r>
          </w:p>
        </w:tc>
        <w:tc>
          <w:tcPr>
            <w:tcW w:w="2098" w:type="dxa"/>
            <w:vAlign w:val="top"/>
          </w:tcPr>
          <w:p w14:paraId="041FFE86" w14:textId="77777777" w:rsidR="00D210F0" w:rsidRPr="00092ED7" w:rsidRDefault="00D210F0" w:rsidP="00663528">
            <w:pPr>
              <w:spacing w:before="0" w:after="0"/>
              <w:ind w:left="113" w:right="113"/>
              <w:jc w:val="center"/>
              <w:rPr>
                <w:rFonts w:cs="Times New Roman"/>
                <w:sz w:val="20"/>
                <w:lang w:val="sr-Cyrl-CS"/>
              </w:rPr>
            </w:pPr>
            <w:r w:rsidRPr="00092ED7">
              <w:rPr>
                <w:rFonts w:cs="Times New Roman"/>
                <w:sz w:val="20"/>
                <w:lang w:val="sr-Cyrl-CS"/>
              </w:rPr>
              <w:t>Висока</w:t>
            </w:r>
          </w:p>
        </w:tc>
        <w:tc>
          <w:tcPr>
            <w:tcW w:w="3289" w:type="dxa"/>
            <w:vAlign w:val="top"/>
          </w:tcPr>
          <w:p w14:paraId="5A741C17" w14:textId="77777777" w:rsidR="00D210F0" w:rsidRPr="00092ED7" w:rsidRDefault="00D210F0" w:rsidP="00663528">
            <w:pPr>
              <w:spacing w:before="0" w:after="0"/>
              <w:ind w:left="113" w:right="113"/>
              <w:rPr>
                <w:rFonts w:cs="Times New Roman"/>
                <w:sz w:val="18"/>
                <w:szCs w:val="18"/>
                <w:lang w:val="sr-Cyrl-CS"/>
              </w:rPr>
            </w:pPr>
            <w:r w:rsidRPr="00092ED7">
              <w:rPr>
                <w:rFonts w:cs="Times New Roman"/>
                <w:sz w:val="20"/>
                <w:lang w:val="sr-Cyrl-CS"/>
              </w:rPr>
              <w:t>Додатно запошљавање у 2023. и обука запослених за функције које су декапацитиране</w:t>
            </w:r>
            <w:r w:rsidR="00D47BD8" w:rsidRPr="00092ED7">
              <w:rPr>
                <w:rFonts w:cs="Times New Roman"/>
                <w:sz w:val="20"/>
                <w:lang w:val="sr-Cyrl-CS"/>
              </w:rPr>
              <w:t>.</w:t>
            </w:r>
          </w:p>
        </w:tc>
      </w:tr>
    </w:tbl>
    <w:p w14:paraId="006821F3" w14:textId="77777777" w:rsidR="00D210F0" w:rsidRPr="00092ED7" w:rsidRDefault="00D210F0" w:rsidP="00D210F0">
      <w:pPr>
        <w:keepNext/>
        <w:keepLines/>
        <w:shd w:val="clear" w:color="auto" w:fill="D9D9D9" w:themeFill="background1" w:themeFillShade="D9"/>
        <w:spacing w:before="360"/>
        <w:outlineLvl w:val="2"/>
        <w:rPr>
          <w:rFonts w:eastAsiaTheme="majorEastAsia" w:cstheme="majorBidi"/>
          <w:b/>
          <w:shd w:val="clear" w:color="auto" w:fill="D9D9D9" w:themeFill="background1" w:themeFillShade="D9"/>
          <w:lang w:val="sr-Cyrl-CS"/>
        </w:rPr>
      </w:pPr>
      <w:bookmarkStart w:id="42" w:name="_Toc62458645"/>
      <w:bookmarkStart w:id="43" w:name="_Toc124174809"/>
      <w:r w:rsidRPr="00092ED7">
        <w:rPr>
          <w:rFonts w:eastAsiaTheme="majorEastAsia" w:cstheme="majorBidi"/>
          <w:b/>
          <w:lang w:val="sr-Cyrl-CS"/>
        </w:rPr>
        <w:t xml:space="preserve">5.2.2. Област </w:t>
      </w:r>
      <w:bookmarkEnd w:id="42"/>
      <w:r w:rsidRPr="00092ED7">
        <w:rPr>
          <w:rFonts w:eastAsiaTheme="majorEastAsia" w:cstheme="majorBidi"/>
          <w:b/>
          <w:lang w:val="sr-Cyrl-CS"/>
        </w:rPr>
        <w:t>ЗЕЛЕНА ТРАНЗИЦИЈА</w:t>
      </w:r>
      <w:bookmarkEnd w:id="43"/>
    </w:p>
    <w:p w14:paraId="35EB0819" w14:textId="56401F00" w:rsidR="00D210F0" w:rsidRPr="00092ED7" w:rsidRDefault="00D210F0" w:rsidP="00D210F0">
      <w:pPr>
        <w:spacing w:before="120"/>
        <w:rPr>
          <w:rFonts w:eastAsia="Times New Roman" w:cs="Times New Roman"/>
          <w:i/>
          <w:szCs w:val="24"/>
          <w:lang w:val="sr-Cyrl-CS"/>
        </w:rPr>
      </w:pPr>
      <w:r w:rsidRPr="00092ED7">
        <w:rPr>
          <w:rFonts w:eastAsia="Times New Roman" w:cs="Times New Roman"/>
          <w:b/>
          <w:szCs w:val="24"/>
          <w:lang w:val="sr-Cyrl-CS"/>
        </w:rPr>
        <w:t xml:space="preserve">а) Анализа главних </w:t>
      </w:r>
      <w:r w:rsidR="00515D4D" w:rsidRPr="00092ED7">
        <w:rPr>
          <w:rFonts w:eastAsia="Times New Roman" w:cs="Times New Roman"/>
          <w:b/>
          <w:szCs w:val="24"/>
          <w:lang w:val="sr-Cyrl-CS"/>
        </w:rPr>
        <w:t>изазова</w:t>
      </w:r>
    </w:p>
    <w:p w14:paraId="14A26FFE" w14:textId="433FA855" w:rsidR="00D210F0" w:rsidRPr="00092ED7" w:rsidRDefault="00D210F0" w:rsidP="00D210F0">
      <w:pPr>
        <w:spacing w:after="60"/>
        <w:rPr>
          <w:rFonts w:cs="Times New Roman"/>
          <w:szCs w:val="24"/>
          <w:highlight w:val="yellow"/>
          <w:lang w:val="sr-Cyrl-CS"/>
        </w:rPr>
      </w:pPr>
      <w:r w:rsidRPr="00092ED7">
        <w:rPr>
          <w:rFonts w:cs="Times New Roman"/>
          <w:b/>
          <w:szCs w:val="24"/>
          <w:lang w:val="sr-Cyrl-CS"/>
        </w:rPr>
        <w:t>Осетљивост привреде на климатске промене и висок степен загађења животне средине неповољно утичу на укупну конкурентност Републике Србије на глобалном тржишту.</w:t>
      </w:r>
      <w:r w:rsidRPr="00092ED7">
        <w:rPr>
          <w:rFonts w:cs="Times New Roman"/>
          <w:szCs w:val="24"/>
          <w:lang w:val="sr-Cyrl-CS"/>
        </w:rPr>
        <w:t xml:space="preserve"> </w:t>
      </w:r>
      <w:bookmarkStart w:id="44" w:name="_Hlk124426057"/>
      <w:r w:rsidR="00820429" w:rsidRPr="00092ED7">
        <w:rPr>
          <w:rFonts w:cs="Times New Roman"/>
          <w:szCs w:val="24"/>
          <w:lang w:val="sr-Cyrl-CS"/>
        </w:rPr>
        <w:t>Док је глобална температура порасла за око 1</w:t>
      </w:r>
      <w:r w:rsidR="00862096" w:rsidRPr="00092ED7">
        <w:rPr>
          <w:rFonts w:cs="Times New Roman"/>
          <w:szCs w:val="24"/>
          <w:shd w:val="clear" w:color="auto" w:fill="FFFFFF"/>
          <w:lang w:val="sr-Cyrl-CS"/>
        </w:rPr>
        <w:t>°C</w:t>
      </w:r>
      <w:r w:rsidR="00820429" w:rsidRPr="00092ED7">
        <w:rPr>
          <w:rFonts w:cs="Times New Roman"/>
          <w:szCs w:val="24"/>
          <w:lang w:val="sr-Cyrl-CS"/>
        </w:rPr>
        <w:t xml:space="preserve">, средња температура у </w:t>
      </w:r>
      <w:r w:rsidR="00B010FF" w:rsidRPr="00092ED7">
        <w:rPr>
          <w:rFonts w:cs="Times New Roman"/>
          <w:szCs w:val="24"/>
          <w:lang w:val="sr-Cyrl-CS"/>
        </w:rPr>
        <w:t>Репуб</w:t>
      </w:r>
      <w:r w:rsidR="00BA7C2E" w:rsidRPr="00092ED7">
        <w:rPr>
          <w:rFonts w:cs="Times New Roman"/>
          <w:szCs w:val="24"/>
          <w:lang w:val="sr-Cyrl-CS"/>
        </w:rPr>
        <w:t>лици</w:t>
      </w:r>
      <w:r w:rsidR="00B010FF" w:rsidRPr="00092ED7">
        <w:rPr>
          <w:rFonts w:cs="Times New Roman"/>
          <w:szCs w:val="24"/>
          <w:lang w:val="sr-Cyrl-CS"/>
        </w:rPr>
        <w:t xml:space="preserve"> </w:t>
      </w:r>
      <w:r w:rsidR="00820429" w:rsidRPr="00092ED7">
        <w:rPr>
          <w:rFonts w:cs="Times New Roman"/>
          <w:szCs w:val="24"/>
          <w:lang w:val="sr-Cyrl-CS"/>
        </w:rPr>
        <w:t>Србији је порасла скоро за 2</w:t>
      </w:r>
      <w:r w:rsidR="00862096" w:rsidRPr="00092ED7">
        <w:rPr>
          <w:rFonts w:cs="Times New Roman"/>
          <w:szCs w:val="24"/>
          <w:shd w:val="clear" w:color="auto" w:fill="FFFFFF"/>
          <w:lang w:val="sr-Cyrl-CS"/>
        </w:rPr>
        <w:t>°C</w:t>
      </w:r>
      <w:r w:rsidR="00820429" w:rsidRPr="00092ED7">
        <w:rPr>
          <w:rFonts w:cs="Times New Roman"/>
          <w:szCs w:val="24"/>
          <w:lang w:val="sr-Cyrl-CS"/>
        </w:rPr>
        <w:t>, а очекује се да ће пораст до средине 21. века достићи вредност око 3</w:t>
      </w:r>
      <w:r w:rsidR="00862096" w:rsidRPr="00092ED7">
        <w:rPr>
          <w:rFonts w:cs="Times New Roman"/>
          <w:szCs w:val="24"/>
          <w:shd w:val="clear" w:color="auto" w:fill="FFFFFF"/>
          <w:lang w:val="sr-Cyrl-CS"/>
        </w:rPr>
        <w:t>°C</w:t>
      </w:r>
      <w:r w:rsidR="00820429" w:rsidRPr="00092ED7">
        <w:rPr>
          <w:rFonts w:cs="Times New Roman"/>
          <w:szCs w:val="24"/>
          <w:lang w:val="sr-Cyrl-CS"/>
        </w:rPr>
        <w:t xml:space="preserve">. </w:t>
      </w:r>
      <w:bookmarkEnd w:id="44"/>
      <w:r w:rsidRPr="00092ED7">
        <w:rPr>
          <w:rFonts w:cs="Times New Roman"/>
          <w:i/>
          <w:szCs w:val="24"/>
          <w:lang w:val="sr-Cyrl-CS"/>
        </w:rPr>
        <w:t>Законом о климатским променама</w:t>
      </w:r>
      <w:r w:rsidRPr="00092ED7">
        <w:rPr>
          <w:rFonts w:cs="Times New Roman"/>
          <w:szCs w:val="24"/>
          <w:lang w:val="sr-Cyrl-CS"/>
        </w:rPr>
        <w:t xml:space="preserve"> створен </w:t>
      </w:r>
      <w:r w:rsidRPr="00092ED7">
        <w:rPr>
          <w:rFonts w:cs="Times New Roman"/>
          <w:szCs w:val="24"/>
          <w:lang w:val="sr-Cyrl-CS"/>
        </w:rPr>
        <w:lastRenderedPageBreak/>
        <w:t xml:space="preserve">је правни оквир за успостављање система за смањење емисије гасова са ефектом стаклене баште на исплатив и економски ефикасан начин, како би се минимизирали неповољни ефекти измењених климатских услова. Овим законом је утврђено доношење </w:t>
      </w:r>
      <w:r w:rsidRPr="00092ED7">
        <w:rPr>
          <w:rFonts w:cs="Times New Roman"/>
          <w:i/>
          <w:szCs w:val="24"/>
          <w:lang w:val="sr-Cyrl-CS"/>
        </w:rPr>
        <w:t>Стратегије нискоугљеничног развоја са Акционим планом</w:t>
      </w:r>
      <w:r w:rsidRPr="00092ED7">
        <w:rPr>
          <w:rFonts w:cs="Times New Roman"/>
          <w:szCs w:val="24"/>
          <w:lang w:val="sr-Cyrl-CS"/>
        </w:rPr>
        <w:t xml:space="preserve"> и </w:t>
      </w:r>
      <w:r w:rsidRPr="00092ED7">
        <w:rPr>
          <w:rFonts w:cs="Times New Roman"/>
          <w:i/>
          <w:szCs w:val="24"/>
          <w:lang w:val="sr-Cyrl-CS"/>
        </w:rPr>
        <w:t>Програма прилагођавања на измењене климатске услове</w:t>
      </w:r>
      <w:r w:rsidRPr="00092ED7">
        <w:rPr>
          <w:rFonts w:cs="Times New Roman"/>
          <w:szCs w:val="24"/>
          <w:lang w:val="sr-Cyrl-CS"/>
        </w:rPr>
        <w:t xml:space="preserve"> (израда у току), као и мониторинг и извештавање о емисијама </w:t>
      </w:r>
      <w:r w:rsidR="00A13754" w:rsidRPr="00092ED7">
        <w:rPr>
          <w:rFonts w:cs="Times New Roman"/>
          <w:szCs w:val="24"/>
          <w:lang w:val="sr-Cyrl-CS"/>
        </w:rPr>
        <w:t>гасова са ефектом стаклене баште</w:t>
      </w:r>
      <w:r w:rsidRPr="00092ED7">
        <w:rPr>
          <w:rFonts w:cs="Times New Roman"/>
          <w:szCs w:val="24"/>
          <w:lang w:val="sr-Cyrl-CS"/>
        </w:rPr>
        <w:t xml:space="preserve">. На основу успостављеног </w:t>
      </w:r>
      <w:r w:rsidRPr="00092ED7">
        <w:rPr>
          <w:rFonts w:cs="Times New Roman"/>
          <w:i/>
          <w:szCs w:val="24"/>
          <w:lang w:val="sr-Cyrl-CS"/>
        </w:rPr>
        <w:t>Националног и локалног регистара извора загађивања</w:t>
      </w:r>
      <w:r w:rsidRPr="00092ED7">
        <w:rPr>
          <w:rStyle w:val="FootnoteReference"/>
          <w:rFonts w:cs="Times New Roman"/>
          <w:i/>
          <w:szCs w:val="24"/>
          <w:lang w:val="sr-Cyrl-CS"/>
        </w:rPr>
        <w:footnoteReference w:id="97"/>
      </w:r>
      <w:r w:rsidRPr="00092ED7">
        <w:rPr>
          <w:rFonts w:cs="Times New Roman"/>
          <w:szCs w:val="24"/>
          <w:lang w:val="sr-Cyrl-CS"/>
        </w:rPr>
        <w:t>, који садржи скуп систематизованих информација и података о изворима загађивања животне средине, надлежне локалне институције доносе мере за спречавање и смањење загађења животне средине и очување природних ресурса.</w:t>
      </w:r>
    </w:p>
    <w:p w14:paraId="36AF1B05" w14:textId="6444C44E" w:rsidR="00D210F0" w:rsidRPr="00092ED7" w:rsidRDefault="00D210F0" w:rsidP="00D210F0">
      <w:pPr>
        <w:spacing w:after="60"/>
        <w:rPr>
          <w:rFonts w:cs="Times New Roman"/>
          <w:szCs w:val="24"/>
          <w:lang w:val="sr-Cyrl-CS"/>
        </w:rPr>
      </w:pPr>
      <w:r w:rsidRPr="00092ED7">
        <w:rPr>
          <w:rFonts w:cs="Times New Roman"/>
          <w:b/>
          <w:szCs w:val="24"/>
          <w:lang w:val="sr-Cyrl-CS"/>
        </w:rPr>
        <w:t xml:space="preserve">Концентрације </w:t>
      </w:r>
      <w:r w:rsidR="00820429" w:rsidRPr="00092ED7">
        <w:rPr>
          <w:rFonts w:cs="Times New Roman"/>
          <w:b/>
          <w:szCs w:val="24"/>
          <w:lang w:val="sr-Cyrl-CS"/>
        </w:rPr>
        <w:t xml:space="preserve">загађујућих материја </w:t>
      </w:r>
      <w:r w:rsidR="00D3546B" w:rsidRPr="00092ED7">
        <w:rPr>
          <w:rFonts w:cs="Times New Roman"/>
          <w:b/>
          <w:szCs w:val="24"/>
          <w:lang w:val="sr-Cyrl-CS"/>
        </w:rPr>
        <w:t xml:space="preserve">у ваздуху </w:t>
      </w:r>
      <w:r w:rsidRPr="00092ED7">
        <w:rPr>
          <w:rFonts w:cs="Times New Roman"/>
          <w:b/>
          <w:szCs w:val="24"/>
          <w:lang w:val="sr-Cyrl-CS"/>
        </w:rPr>
        <w:t xml:space="preserve">у градовима, </w:t>
      </w:r>
      <w:r w:rsidRPr="00092ED7">
        <w:rPr>
          <w:rFonts w:cs="Times New Roman"/>
          <w:szCs w:val="24"/>
          <w:lang w:val="sr-Cyrl-CS"/>
        </w:rPr>
        <w:t xml:space="preserve">посебно </w:t>
      </w:r>
      <w:r w:rsidR="00820429" w:rsidRPr="00092ED7">
        <w:rPr>
          <w:rFonts w:cs="Times New Roman"/>
          <w:szCs w:val="24"/>
          <w:lang w:val="sr-Cyrl-CS"/>
        </w:rPr>
        <w:t xml:space="preserve">суспендованих </w:t>
      </w:r>
      <w:r w:rsidRPr="00092ED7">
        <w:rPr>
          <w:rFonts w:cs="Times New Roman"/>
          <w:szCs w:val="24"/>
          <w:lang w:val="sr-Cyrl-CS"/>
        </w:rPr>
        <w:t>честица (</w:t>
      </w:r>
      <w:r w:rsidR="00820429" w:rsidRPr="00092ED7">
        <w:rPr>
          <w:rFonts w:cs="Times New Roman"/>
          <w:szCs w:val="24"/>
          <w:lang w:val="sr-Cyrl-CS"/>
        </w:rPr>
        <w:t>PM</w:t>
      </w:r>
      <w:r w:rsidRPr="00092ED7">
        <w:rPr>
          <w:rFonts w:cs="Times New Roman"/>
          <w:szCs w:val="24"/>
          <w:lang w:val="sr-Cyrl-CS"/>
        </w:rPr>
        <w:t xml:space="preserve">), </w:t>
      </w:r>
      <w:r w:rsidRPr="00092ED7">
        <w:rPr>
          <w:rFonts w:cs="Times New Roman"/>
          <w:b/>
          <w:szCs w:val="24"/>
          <w:lang w:val="sr-Cyrl-CS"/>
        </w:rPr>
        <w:t>редовно прелазе нивое препоручене у смерницама С</w:t>
      </w:r>
      <w:r w:rsidR="002A4877" w:rsidRPr="00092ED7">
        <w:rPr>
          <w:rFonts w:cs="Times New Roman"/>
          <w:b/>
          <w:szCs w:val="24"/>
          <w:lang w:val="sr-Cyrl-CS"/>
        </w:rPr>
        <w:t>ветске здравствене организације</w:t>
      </w:r>
      <w:r w:rsidRPr="00092ED7">
        <w:rPr>
          <w:rFonts w:cs="Times New Roman"/>
          <w:b/>
          <w:szCs w:val="24"/>
          <w:lang w:val="sr-Cyrl-CS"/>
        </w:rPr>
        <w:t xml:space="preserve"> о квалитету ваздуха. </w:t>
      </w:r>
      <w:r w:rsidRPr="00092ED7">
        <w:rPr>
          <w:rFonts w:cs="Times New Roman"/>
          <w:szCs w:val="24"/>
          <w:lang w:val="sr-Cyrl-CS"/>
        </w:rPr>
        <w:t>Повећана је емисија сумпор-диоксида (SO</w:t>
      </w:r>
      <w:r w:rsidRPr="00092ED7">
        <w:rPr>
          <w:rFonts w:cs="Times New Roman"/>
          <w:szCs w:val="24"/>
          <w:vertAlign w:val="subscript"/>
          <w:lang w:val="sr-Cyrl-CS"/>
        </w:rPr>
        <w:t>2</w:t>
      </w:r>
      <w:r w:rsidRPr="00092ED7">
        <w:rPr>
          <w:rFonts w:cs="Times New Roman"/>
          <w:szCs w:val="24"/>
          <w:lang w:val="sr-Cyrl-CS"/>
        </w:rPr>
        <w:t xml:space="preserve">) за 5,1%, а угљен-моноксида (CO) за 29,3% </w:t>
      </w:r>
      <w:r w:rsidR="00820429" w:rsidRPr="00092ED7">
        <w:rPr>
          <w:rFonts w:cs="Times New Roman"/>
          <w:szCs w:val="24"/>
          <w:lang w:val="sr-Cyrl-CS"/>
        </w:rPr>
        <w:t xml:space="preserve"> </w:t>
      </w:r>
      <w:r w:rsidRPr="00092ED7">
        <w:rPr>
          <w:rFonts w:cs="Times New Roman"/>
          <w:szCs w:val="24"/>
          <w:lang w:val="sr-Cyrl-CS"/>
        </w:rPr>
        <w:t>у 2020. години (сектор домаћинства емитује 84,8% укупног CO и то углавном због грејања). Оксиди азота (NOx) бележе раст од 4,4% , а највећа емисија долази из сектора Снабдевања електричном, енергијом, гасом и паром (41,6% укупне количине NOx)</w:t>
      </w:r>
      <w:r w:rsidRPr="00092ED7">
        <w:rPr>
          <w:rStyle w:val="FootnoteReference"/>
          <w:rFonts w:cs="Times New Roman"/>
          <w:szCs w:val="24"/>
          <w:lang w:val="sr-Cyrl-CS"/>
        </w:rPr>
        <w:footnoteReference w:id="98"/>
      </w:r>
      <w:r w:rsidRPr="00092ED7">
        <w:rPr>
          <w:rFonts w:cs="Times New Roman"/>
          <w:szCs w:val="24"/>
          <w:lang w:val="sr-Cyrl-CS"/>
        </w:rPr>
        <w:t xml:space="preserve">. Ниска енергетска ефикасност и застарела енергетска инфраструктура у </w:t>
      </w:r>
      <w:r w:rsidR="002A4877" w:rsidRPr="00092ED7">
        <w:rPr>
          <w:rFonts w:cs="Times New Roman"/>
          <w:szCs w:val="24"/>
          <w:lang w:val="sr-Cyrl-CS"/>
        </w:rPr>
        <w:t>с</w:t>
      </w:r>
      <w:r w:rsidRPr="00092ED7">
        <w:rPr>
          <w:rFonts w:cs="Times New Roman"/>
          <w:szCs w:val="24"/>
          <w:lang w:val="sr-Cyrl-CS"/>
        </w:rPr>
        <w:t xml:space="preserve">ектору снабдевања електричном енергијом, гасом и паром разлози су што овај сектор највише доприноси загађењу ваздуха. </w:t>
      </w:r>
    </w:p>
    <w:p w14:paraId="76AC6E0C" w14:textId="4A8F9149" w:rsidR="00D210F0" w:rsidRPr="00092ED7" w:rsidRDefault="00D210F0" w:rsidP="00D210F0">
      <w:pPr>
        <w:spacing w:after="60"/>
        <w:rPr>
          <w:rFonts w:cs="Times New Roman"/>
          <w:szCs w:val="24"/>
          <w:lang w:val="sr-Cyrl-CS"/>
        </w:rPr>
      </w:pPr>
      <w:r w:rsidRPr="00092ED7">
        <w:rPr>
          <w:rFonts w:cs="Times New Roman"/>
          <w:b/>
          <w:szCs w:val="24"/>
          <w:lang w:val="sr-Cyrl-CS"/>
        </w:rPr>
        <w:t>Непречишћени канализациони муљ и отпадне воде који се директно испуштају у речне токове широм земље и даље су главни извор загађења воде.</w:t>
      </w:r>
      <w:r w:rsidRPr="00092ED7">
        <w:rPr>
          <w:rFonts w:cs="Times New Roman"/>
          <w:szCs w:val="24"/>
          <w:lang w:val="sr-Cyrl-CS"/>
        </w:rPr>
        <w:t xml:space="preserve"> Од укупне количине отпадних вода испуштене у јавну канализацију (308 м</w:t>
      </w:r>
      <w:r w:rsidRPr="00092ED7">
        <w:rPr>
          <w:rFonts w:cs="Times New Roman"/>
          <w:szCs w:val="24"/>
          <w:vertAlign w:val="superscript"/>
          <w:lang w:val="sr-Cyrl-CS"/>
        </w:rPr>
        <w:t>3</w:t>
      </w:r>
      <w:r w:rsidRPr="00092ED7">
        <w:rPr>
          <w:rFonts w:cs="Times New Roman"/>
          <w:szCs w:val="24"/>
          <w:lang w:val="sr-Cyrl-CS"/>
        </w:rPr>
        <w:t>)</w:t>
      </w:r>
      <w:r w:rsidRPr="00092ED7">
        <w:rPr>
          <w:rFonts w:cs="Times New Roman"/>
          <w:szCs w:val="24"/>
          <w:vertAlign w:val="superscript"/>
          <w:lang w:val="sr-Cyrl-CS"/>
        </w:rPr>
        <w:t xml:space="preserve"> </w:t>
      </w:r>
      <w:r w:rsidRPr="00092ED7">
        <w:rPr>
          <w:rFonts w:cs="Times New Roman"/>
          <w:szCs w:val="24"/>
          <w:lang w:val="sr-Cyrl-CS"/>
        </w:rPr>
        <w:t>у 2021. години, пречишћено је свега 18,8%</w:t>
      </w:r>
      <w:r w:rsidRPr="00092ED7">
        <w:rPr>
          <w:rFonts w:cs="Times New Roman"/>
          <w:szCs w:val="24"/>
          <w:vertAlign w:val="superscript"/>
          <w:lang w:val="sr-Cyrl-CS"/>
        </w:rPr>
        <w:footnoteReference w:id="99"/>
      </w:r>
      <w:r w:rsidRPr="00092ED7">
        <w:rPr>
          <w:rFonts w:cs="Times New Roman"/>
          <w:szCs w:val="24"/>
          <w:lang w:val="sr-Cyrl-CS"/>
        </w:rPr>
        <w:t xml:space="preserve"> (раст од 3,8% у односу на 2020. годину), а најзаступљенији начин пречишћавања отпадних вода био је секундарни третман (55,2%). Иако сектор домаћинства испушта 73,6% отпадних вода, водене токове највише загађује сектор индустрије (нарочито фосфором и азотом). Пројектом сакупљања и пречишћавања отпадних вода централног канализационог система града Београда, планирано је постављање мрежа интерцептора за прихват отпадних вода и кишних канализација и изградња постројења за третман отпадних вода, чиме ће број испуста у Саву и Дунав бити смањен за 80%. Такође, планирана је изградња више од 60 постројења за прераду отпадних вода у наредне </w:t>
      </w:r>
      <w:r w:rsidR="00B010FF" w:rsidRPr="00092ED7">
        <w:rPr>
          <w:rFonts w:cs="Times New Roman"/>
          <w:szCs w:val="24"/>
          <w:lang w:val="sr-Cyrl-CS"/>
        </w:rPr>
        <w:t xml:space="preserve">четири </w:t>
      </w:r>
      <w:r w:rsidRPr="00092ED7">
        <w:rPr>
          <w:rFonts w:cs="Times New Roman"/>
          <w:szCs w:val="24"/>
          <w:lang w:val="sr-Cyrl-CS"/>
        </w:rPr>
        <w:t>године.</w:t>
      </w:r>
    </w:p>
    <w:p w14:paraId="5006BD64" w14:textId="56F9DEAB" w:rsidR="00D210F0" w:rsidRPr="00092ED7" w:rsidRDefault="00D210F0" w:rsidP="00D210F0">
      <w:pPr>
        <w:spacing w:after="60"/>
        <w:rPr>
          <w:rFonts w:cs="Times New Roman"/>
          <w:szCs w:val="24"/>
          <w:lang w:val="sr-Cyrl-CS"/>
        </w:rPr>
      </w:pPr>
      <w:r w:rsidRPr="00092ED7">
        <w:rPr>
          <w:rFonts w:cs="Times New Roman"/>
          <w:b/>
          <w:szCs w:val="24"/>
          <w:lang w:val="sr-Cyrl-CS"/>
        </w:rPr>
        <w:t xml:space="preserve">Унапређење управљања отпадом и уклањање дивљих депонија су кључни за очување животне средине. </w:t>
      </w:r>
      <w:r w:rsidRPr="00092ED7">
        <w:rPr>
          <w:rFonts w:cs="Times New Roman"/>
          <w:szCs w:val="24"/>
          <w:lang w:val="sr-Cyrl-CS"/>
        </w:rPr>
        <w:t>Економске делатности су створиле 69,6 милиона тона отпада у 2021. (23% више него 2020. године), од чега 79,6% чини неопасни, а 20,4% опасни отпад</w:t>
      </w:r>
      <w:r w:rsidRPr="00092ED7">
        <w:rPr>
          <w:rFonts w:cs="Times New Roman"/>
          <w:szCs w:val="24"/>
          <w:vertAlign w:val="superscript"/>
          <w:lang w:val="sr-Cyrl-CS"/>
        </w:rPr>
        <w:footnoteReference w:id="100"/>
      </w:r>
      <w:r w:rsidRPr="00092ED7">
        <w:rPr>
          <w:rFonts w:cs="Times New Roman"/>
          <w:szCs w:val="24"/>
          <w:lang w:val="sr-Cyrl-CS"/>
        </w:rPr>
        <w:t>. Највише отпада креирано је у рударству (85,5%). Од укупно створеног отпада, одложено је 96%, а поново искоришћено само 4%. Са створених 324 кг отпада на 1.000 евра БДП-а у 2020. години Република Србија је веома удаљена од просека ЕУ (66 кг)</w:t>
      </w:r>
      <w:r w:rsidRPr="00092ED7">
        <w:rPr>
          <w:rFonts w:cs="Times New Roman"/>
          <w:szCs w:val="24"/>
          <w:vertAlign w:val="superscript"/>
          <w:lang w:val="sr-Cyrl-CS"/>
        </w:rPr>
        <w:footnoteReference w:id="101"/>
      </w:r>
      <w:r w:rsidRPr="00092ED7">
        <w:rPr>
          <w:rFonts w:cs="Times New Roman"/>
          <w:szCs w:val="24"/>
          <w:lang w:val="sr-Cyrl-CS"/>
        </w:rPr>
        <w:t xml:space="preserve">. Од регистрованих око 3.500 дивљих депонија, очишћено је око 500 у 2021. години, </w:t>
      </w:r>
      <w:r w:rsidR="0021103E" w:rsidRPr="00092ED7">
        <w:rPr>
          <w:rFonts w:cs="Times New Roman"/>
          <w:szCs w:val="24"/>
          <w:lang w:val="sr-Cyrl-CS"/>
        </w:rPr>
        <w:t>док је у 2022. години уклоњено 233 дивљих депонија кроз јавни конкурс за доделу средстава за суфинансирање реализације пројеката превенције нелегалног одлагања отпада</w:t>
      </w:r>
      <w:r w:rsidRPr="00092ED7">
        <w:rPr>
          <w:rFonts w:cs="Times New Roman"/>
          <w:szCs w:val="24"/>
          <w:lang w:val="sr-Cyrl-CS"/>
        </w:rPr>
        <w:t xml:space="preserve">. У току је успостављање примарне сепарације комуналног отпада у четири региона: Дубоко, Срем-Мачва, Панчево и Пирот, што ће допринети повећању </w:t>
      </w:r>
      <w:r w:rsidR="001E32DF" w:rsidRPr="00092ED7">
        <w:rPr>
          <w:rFonts w:cs="Times New Roman"/>
          <w:szCs w:val="24"/>
          <w:lang w:val="sr-Cyrl-CS"/>
        </w:rPr>
        <w:t xml:space="preserve">стопе </w:t>
      </w:r>
      <w:r w:rsidRPr="00092ED7">
        <w:rPr>
          <w:rFonts w:cs="Times New Roman"/>
          <w:szCs w:val="24"/>
          <w:lang w:val="sr-Cyrl-CS"/>
        </w:rPr>
        <w:t xml:space="preserve">рециклаже, односно смањењу количине отпада који завршава на депонијама. </w:t>
      </w:r>
      <w:r w:rsidRPr="00092ED7">
        <w:rPr>
          <w:rFonts w:cs="Times New Roman"/>
          <w:i/>
          <w:szCs w:val="24"/>
          <w:lang w:val="sr-Cyrl-CS"/>
        </w:rPr>
        <w:t>Програмом управљања отпадом у Републици Србији за период 2022-2031</w:t>
      </w:r>
      <w:r w:rsidR="002A4877" w:rsidRPr="00092ED7">
        <w:rPr>
          <w:rFonts w:cs="Times New Roman"/>
          <w:i/>
          <w:szCs w:val="24"/>
          <w:lang w:val="sr-Cyrl-CS"/>
        </w:rPr>
        <w:t>.</w:t>
      </w:r>
      <w:r w:rsidRPr="00092ED7">
        <w:rPr>
          <w:rFonts w:cs="Times New Roman"/>
          <w:i/>
          <w:szCs w:val="24"/>
          <w:lang w:val="sr-Cyrl-CS"/>
        </w:rPr>
        <w:t xml:space="preserve"> </w:t>
      </w:r>
      <w:r w:rsidR="002A4877" w:rsidRPr="00092ED7">
        <w:rPr>
          <w:rFonts w:cs="Times New Roman"/>
          <w:i/>
          <w:szCs w:val="24"/>
          <w:lang w:val="sr-Cyrl-CS"/>
        </w:rPr>
        <w:t xml:space="preserve">године </w:t>
      </w:r>
      <w:r w:rsidRPr="00092ED7">
        <w:rPr>
          <w:rFonts w:cs="Times New Roman"/>
          <w:szCs w:val="24"/>
          <w:lang w:val="sr-Cyrl-CS"/>
        </w:rPr>
        <w:lastRenderedPageBreak/>
        <w:t>(„Сл</w:t>
      </w:r>
      <w:r w:rsidR="005218AE" w:rsidRPr="00092ED7">
        <w:rPr>
          <w:rFonts w:cs="Times New Roman"/>
          <w:szCs w:val="24"/>
          <w:lang w:val="sr-Cyrl-CS"/>
        </w:rPr>
        <w:t>ужбени</w:t>
      </w:r>
      <w:r w:rsidRPr="00092ED7">
        <w:rPr>
          <w:rFonts w:cs="Times New Roman"/>
          <w:szCs w:val="24"/>
          <w:lang w:val="sr-Cyrl-CS"/>
        </w:rPr>
        <w:t xml:space="preserve"> </w:t>
      </w:r>
      <w:r w:rsidR="00755AF5" w:rsidRPr="00092ED7">
        <w:rPr>
          <w:rFonts w:cs="Times New Roman"/>
          <w:szCs w:val="24"/>
          <w:lang w:val="sr-Cyrl-CS"/>
        </w:rPr>
        <w:t>гласник РС</w:t>
      </w:r>
      <w:r w:rsidR="005218AE" w:rsidRPr="00092ED7">
        <w:rPr>
          <w:rFonts w:cs="Times New Roman"/>
          <w:szCs w:val="24"/>
          <w:lang w:val="sr-Cyrl-CS"/>
        </w:rPr>
        <w:t>”</w:t>
      </w:r>
      <w:r w:rsidR="00755AF5" w:rsidRPr="00092ED7">
        <w:rPr>
          <w:rFonts w:cs="Times New Roman"/>
          <w:szCs w:val="24"/>
          <w:lang w:val="sr-Cyrl-CS"/>
        </w:rPr>
        <w:t>, бр</w:t>
      </w:r>
      <w:r w:rsidR="005218AE" w:rsidRPr="00092ED7">
        <w:rPr>
          <w:rFonts w:cs="Times New Roman"/>
          <w:szCs w:val="24"/>
          <w:lang w:val="sr-Cyrl-CS"/>
        </w:rPr>
        <w:t>ој</w:t>
      </w:r>
      <w:r w:rsidRPr="00092ED7">
        <w:rPr>
          <w:rFonts w:cs="Times New Roman"/>
          <w:szCs w:val="24"/>
          <w:lang w:val="sr-Cyrl-CS"/>
        </w:rPr>
        <w:t xml:space="preserve"> 12/22) </w:t>
      </w:r>
      <w:r w:rsidR="00F8535C" w:rsidRPr="00092ED7">
        <w:rPr>
          <w:rFonts w:cs="Times New Roman"/>
          <w:szCs w:val="24"/>
          <w:lang w:val="sr-Cyrl-CS"/>
        </w:rPr>
        <w:t xml:space="preserve">и Акционим планом </w:t>
      </w:r>
      <w:r w:rsidR="00F8535C" w:rsidRPr="00092ED7">
        <w:rPr>
          <w:rFonts w:cs="Times New Roman"/>
          <w:szCs w:val="24"/>
          <w:u w:val="single"/>
          <w:lang w:val="sr-Cyrl-CS"/>
        </w:rPr>
        <w:t>за период 2022-2024.</w:t>
      </w:r>
      <w:r w:rsidR="00F8535C" w:rsidRPr="00092ED7">
        <w:rPr>
          <w:rFonts w:cs="Times New Roman"/>
          <w:szCs w:val="24"/>
          <w:lang w:val="sr-Cyrl-CS"/>
        </w:rPr>
        <w:t xml:space="preserve"> за спровођење Програма управљања отпадом у Републици Србији за период од 2022-2031. године 05 Број: 353-3445/2022-2 од 28. априла 2022. године </w:t>
      </w:r>
      <w:r w:rsidR="000E6959" w:rsidRPr="00092ED7">
        <w:rPr>
          <w:rFonts w:cs="Times New Roman"/>
          <w:szCs w:val="24"/>
          <w:lang w:val="sr-Cyrl-CS"/>
        </w:rPr>
        <w:t>п</w:t>
      </w:r>
      <w:r w:rsidRPr="00092ED7">
        <w:rPr>
          <w:rFonts w:cs="Times New Roman"/>
          <w:szCs w:val="24"/>
          <w:lang w:val="sr-Cyrl-CS"/>
        </w:rPr>
        <w:t>редвиђена је превенција настајања отпада, смањење количина рециклабилног отпада који се одлаже на депоније, смањење удела биоразградивог отпада у одложеном комуналном отпаду, смањење негативног утицаја одложеног отпада на животну средину, климу и људско здравље и управљање насталим отпадом по принципима циркуларне економије.</w:t>
      </w:r>
    </w:p>
    <w:p w14:paraId="2D9C890F" w14:textId="4AE02069" w:rsidR="00D210F0" w:rsidRPr="00092ED7" w:rsidRDefault="00D210F0" w:rsidP="00D210F0">
      <w:pPr>
        <w:spacing w:after="60"/>
        <w:rPr>
          <w:rFonts w:cs="Times New Roman"/>
          <w:szCs w:val="24"/>
          <w:lang w:val="sr-Cyrl-CS"/>
        </w:rPr>
      </w:pPr>
      <w:r w:rsidRPr="00092ED7">
        <w:rPr>
          <w:rFonts w:cs="Times New Roman"/>
          <w:b/>
          <w:szCs w:val="24"/>
          <w:lang w:val="sr-Cyrl-CS"/>
        </w:rPr>
        <w:t>Како би се повећала отпорност земљишта на промене климатских услова,</w:t>
      </w:r>
      <w:r w:rsidRPr="00092ED7">
        <w:rPr>
          <w:b/>
          <w:lang w:val="sr-Cyrl-CS"/>
        </w:rPr>
        <w:t xml:space="preserve"> </w:t>
      </w:r>
      <w:r w:rsidRPr="00092ED7">
        <w:rPr>
          <w:rFonts w:cs="Times New Roman"/>
          <w:b/>
          <w:szCs w:val="24"/>
          <w:lang w:val="sr-Cyrl-CS"/>
        </w:rPr>
        <w:t>потребно је кроз пољопривредну политику даље инвестирати у изградњу нове и модернизацију постојеће инфраструктуре за наводњавање, у противградне мреже, субвенционисање премија осигурања, пошумљавање и др.</w:t>
      </w:r>
      <w:r w:rsidRPr="00092ED7">
        <w:rPr>
          <w:rFonts w:cs="Times New Roman"/>
          <w:szCs w:val="24"/>
          <w:lang w:val="sr-Cyrl-CS"/>
        </w:rPr>
        <w:t xml:space="preserve"> На територији Републике Србије тренутно се наводњава свега 4,6% коришћеног пољопривредног земљишта (7-8% у Европи). Кроз започете и планиране инвестиционе пројекте стварају се услови за наводњавање близу 100.000 ha додатних површина пољопривредног земљишта до 2025. године. Под шумама се налази око 25% територије Републике Србије (2,26 мил</w:t>
      </w:r>
      <w:r w:rsidR="000E6959" w:rsidRPr="00092ED7">
        <w:rPr>
          <w:rFonts w:cs="Times New Roman"/>
          <w:szCs w:val="24"/>
          <w:lang w:val="sr-Cyrl-CS"/>
        </w:rPr>
        <w:t>иона</w:t>
      </w:r>
      <w:r w:rsidRPr="00092ED7">
        <w:rPr>
          <w:rFonts w:cs="Times New Roman"/>
          <w:szCs w:val="24"/>
          <w:lang w:val="sr-Cyrl-CS"/>
        </w:rPr>
        <w:t xml:space="preserve"> ha), што је знатно испод просека ЕУ (39%, извор </w:t>
      </w:r>
      <w:r w:rsidR="002A4877" w:rsidRPr="00092ED7">
        <w:rPr>
          <w:rFonts w:cs="Times New Roman"/>
          <w:szCs w:val="24"/>
          <w:lang w:val="sr-Cyrl-CS"/>
        </w:rPr>
        <w:t>EUROSTAT</w:t>
      </w:r>
      <w:r w:rsidRPr="00092ED7">
        <w:rPr>
          <w:rFonts w:cs="Times New Roman"/>
          <w:szCs w:val="24"/>
          <w:lang w:val="sr-Cyrl-CS"/>
        </w:rPr>
        <w:t>),</w:t>
      </w:r>
      <w:r w:rsidR="000E6959" w:rsidRPr="00092ED7">
        <w:rPr>
          <w:rFonts w:cs="Times New Roman"/>
          <w:szCs w:val="24"/>
          <w:lang w:val="sr-Cyrl-CS"/>
        </w:rPr>
        <w:t xml:space="preserve"> </w:t>
      </w:r>
      <w:r w:rsidRPr="00092ED7">
        <w:rPr>
          <w:rFonts w:cs="Times New Roman"/>
          <w:szCs w:val="24"/>
          <w:lang w:val="sr-Cyrl-CS"/>
        </w:rPr>
        <w:t>а површина пошумљеног земљишта повећана је за 3% у 2020. у односу на 2017. годину</w:t>
      </w:r>
      <w:r w:rsidRPr="00092ED7">
        <w:rPr>
          <w:rStyle w:val="FootnoteReference"/>
          <w:rFonts w:cs="Times New Roman"/>
          <w:szCs w:val="24"/>
          <w:lang w:val="sr-Cyrl-CS"/>
        </w:rPr>
        <w:footnoteReference w:id="102"/>
      </w:r>
      <w:r w:rsidRPr="00092ED7">
        <w:rPr>
          <w:rFonts w:cs="Times New Roman"/>
          <w:szCs w:val="24"/>
          <w:lang w:val="sr-Cyrl-CS"/>
        </w:rPr>
        <w:t>. Међутим, смањен је обим радова на пошумљавању за 52% мг у 2020. и 19% мг у 2021</w:t>
      </w:r>
      <w:r w:rsidRPr="00092ED7">
        <w:rPr>
          <w:rFonts w:cs="Times New Roman"/>
          <w:szCs w:val="24"/>
          <w:vertAlign w:val="superscript"/>
          <w:lang w:val="sr-Cyrl-CS"/>
        </w:rPr>
        <w:footnoteReference w:id="103"/>
      </w:r>
      <w:r w:rsidRPr="00092ED7">
        <w:rPr>
          <w:rFonts w:cs="Times New Roman"/>
          <w:szCs w:val="24"/>
          <w:lang w:val="sr-Cyrl-CS"/>
        </w:rPr>
        <w:t>. Такође, у правни оквир у области пољопривреде треба имплементирати одредбе Европског зеленог договора, кроз активности смањења употребе пестицида, вештачког ђубрива и антибиотика, односно смањења ризика њиховог коришћења с једне стране, и очувања биодиверзитета, с друге стране.</w:t>
      </w:r>
    </w:p>
    <w:p w14:paraId="6942D538" w14:textId="383DD1C9" w:rsidR="00D210F0" w:rsidRPr="00092ED7" w:rsidRDefault="00D210F0" w:rsidP="00D210F0">
      <w:pPr>
        <w:spacing w:after="60"/>
        <w:rPr>
          <w:rFonts w:cs="Times New Roman"/>
          <w:szCs w:val="24"/>
          <w:lang w:val="sr-Cyrl-CS"/>
        </w:rPr>
      </w:pPr>
      <w:r w:rsidRPr="00092ED7">
        <w:rPr>
          <w:rFonts w:cs="Times New Roman"/>
          <w:b/>
          <w:szCs w:val="24"/>
          <w:lang w:val="sr-Cyrl-CS"/>
        </w:rPr>
        <w:t xml:space="preserve">Процес зелене трансформације захтева додатна улагања, како за државни, тако и за привредни сектор. </w:t>
      </w:r>
      <w:r w:rsidRPr="00092ED7">
        <w:rPr>
          <w:rFonts w:eastAsia="Calibri" w:cs="Times New Roman"/>
          <w:szCs w:val="24"/>
          <w:lang w:val="sr-Cyrl-CS"/>
        </w:rPr>
        <w:t>У области финансирања зелене транзиције, користе се средстава буџета Републике Србије, билатералне донације, ИПА фондови, WBIF и кредити међународних финансијских институција</w:t>
      </w:r>
      <w:r w:rsidRPr="00092ED7">
        <w:rPr>
          <w:rFonts w:cs="Times New Roman"/>
          <w:szCs w:val="24"/>
          <w:lang w:val="sr-Cyrl-CS"/>
        </w:rPr>
        <w:t xml:space="preserve">. У складу са </w:t>
      </w:r>
      <w:r w:rsidRPr="00092ED7">
        <w:rPr>
          <w:rFonts w:cs="Times New Roman"/>
          <w:i/>
          <w:szCs w:val="24"/>
          <w:lang w:val="sr-Cyrl-CS"/>
        </w:rPr>
        <w:t>Законом о накнадама за коришћење јавних добара</w:t>
      </w:r>
      <w:r w:rsidRPr="00092ED7">
        <w:rPr>
          <w:rFonts w:cs="Times New Roman"/>
          <w:szCs w:val="24"/>
          <w:lang w:val="sr-Cyrl-CS"/>
        </w:rPr>
        <w:t>загађивачи плаћају накнаду за заштиту и унапређење животне средине у зависности од врсте и количине загађења.</w:t>
      </w:r>
      <w:r w:rsidRPr="00092ED7">
        <w:rPr>
          <w:rFonts w:cs="Times New Roman"/>
          <w:b/>
          <w:i/>
          <w:szCs w:val="24"/>
          <w:lang w:val="sr-Cyrl-CS"/>
        </w:rPr>
        <w:t xml:space="preserve"> Остварени приходи</w:t>
      </w:r>
      <w:r w:rsidRPr="00092ED7">
        <w:rPr>
          <w:rFonts w:cs="Times New Roman"/>
          <w:i/>
          <w:szCs w:val="24"/>
          <w:lang w:val="sr-Cyrl-CS"/>
        </w:rPr>
        <w:t xml:space="preserve"> </w:t>
      </w:r>
      <w:r w:rsidRPr="00092ED7">
        <w:rPr>
          <w:rFonts w:cs="Times New Roman"/>
          <w:b/>
          <w:i/>
          <w:szCs w:val="24"/>
          <w:lang w:val="sr-Cyrl-CS"/>
        </w:rPr>
        <w:t>од накнада у области животне средине</w:t>
      </w:r>
      <w:r w:rsidRPr="00092ED7">
        <w:rPr>
          <w:rFonts w:cs="Times New Roman"/>
          <w:szCs w:val="24"/>
          <w:lang w:val="sr-Cyrl-CS"/>
        </w:rPr>
        <w:t xml:space="preserve"> износе 1,86 млрд. </w:t>
      </w:r>
      <w:r w:rsidR="000E6959" w:rsidRPr="00092ED7">
        <w:rPr>
          <w:rFonts w:cs="Times New Roman"/>
          <w:szCs w:val="24"/>
          <w:lang w:val="sr-Cyrl-CS"/>
        </w:rPr>
        <w:t xml:space="preserve">евра </w:t>
      </w:r>
      <w:r w:rsidRPr="00092ED7">
        <w:rPr>
          <w:rFonts w:cs="Times New Roman"/>
          <w:szCs w:val="24"/>
          <w:lang w:val="sr-Cyrl-CS"/>
        </w:rPr>
        <w:t>(4% БДП) у 2020. години и за 2,6% су виши у односу на претходну годину</w:t>
      </w:r>
      <w:r w:rsidRPr="00092ED7">
        <w:rPr>
          <w:rFonts w:cs="Times New Roman"/>
          <w:szCs w:val="24"/>
          <w:vertAlign w:val="superscript"/>
          <w:lang w:val="sr-Cyrl-CS"/>
        </w:rPr>
        <w:footnoteReference w:id="104"/>
      </w:r>
      <w:r w:rsidRPr="00092ED7">
        <w:rPr>
          <w:rFonts w:cs="Times New Roman"/>
          <w:szCs w:val="24"/>
          <w:lang w:val="sr-Cyrl-CS"/>
        </w:rPr>
        <w:t>. Највеће учешће у структури прихода имали су енергетск</w:t>
      </w:r>
      <w:r w:rsidR="000E6959" w:rsidRPr="00092ED7">
        <w:rPr>
          <w:rFonts w:cs="Times New Roman"/>
          <w:szCs w:val="24"/>
          <w:lang w:val="sr-Cyrl-CS"/>
        </w:rPr>
        <w:t>е</w:t>
      </w:r>
      <w:r w:rsidRPr="00092ED7">
        <w:rPr>
          <w:rFonts w:cs="Times New Roman"/>
          <w:szCs w:val="24"/>
          <w:lang w:val="sr-Cyrl-CS"/>
        </w:rPr>
        <w:t xml:space="preserve"> накнаде (87%) и накнаде из области саобраћаја (7,5%), док су накнаде за загађење и накнаде за коришћење ресурса учествовале са 4,2% и 1,4%, респективно. </w:t>
      </w:r>
      <w:r w:rsidRPr="00092ED7">
        <w:rPr>
          <w:rFonts w:cs="Times New Roman"/>
          <w:b/>
          <w:i/>
          <w:szCs w:val="24"/>
          <w:lang w:val="sr-Cyrl-CS"/>
        </w:rPr>
        <w:t>Укупни трошкови за заштиту животне средине</w:t>
      </w:r>
      <w:r w:rsidRPr="00092ED7">
        <w:rPr>
          <w:rFonts w:cs="Times New Roman"/>
          <w:b/>
          <w:i/>
          <w:szCs w:val="24"/>
          <w:vertAlign w:val="superscript"/>
          <w:lang w:val="sr-Cyrl-CS"/>
        </w:rPr>
        <w:footnoteReference w:id="105"/>
      </w:r>
      <w:r w:rsidRPr="00092ED7">
        <w:rPr>
          <w:rFonts w:cs="Times New Roman"/>
          <w:szCs w:val="24"/>
          <w:lang w:val="sr-Cyrl-CS"/>
        </w:rPr>
        <w:t xml:space="preserve"> износили су </w:t>
      </w:r>
      <w:r w:rsidR="00B77A81" w:rsidRPr="00092ED7">
        <w:rPr>
          <w:rFonts w:cs="Times New Roman"/>
          <w:szCs w:val="24"/>
          <w:lang w:val="sr-Cyrl-CS"/>
        </w:rPr>
        <w:t>515</w:t>
      </w:r>
      <w:r w:rsidR="002F0018" w:rsidRPr="00092ED7">
        <w:rPr>
          <w:rFonts w:cs="Times New Roman"/>
          <w:szCs w:val="24"/>
          <w:lang w:val="sr-Cyrl-CS"/>
        </w:rPr>
        <w:t xml:space="preserve"> </w:t>
      </w:r>
      <w:r w:rsidRPr="00092ED7">
        <w:rPr>
          <w:rFonts w:cs="Times New Roman"/>
          <w:szCs w:val="24"/>
          <w:lang w:val="sr-Cyrl-CS"/>
        </w:rPr>
        <w:t xml:space="preserve">милиона </w:t>
      </w:r>
      <w:r w:rsidR="00B77A81" w:rsidRPr="00092ED7">
        <w:rPr>
          <w:rFonts w:cs="Times New Roman"/>
          <w:szCs w:val="24"/>
          <w:lang w:val="sr-Cyrl-CS"/>
        </w:rPr>
        <w:t>евра</w:t>
      </w:r>
      <w:r w:rsidR="002F0018" w:rsidRPr="00092ED7">
        <w:rPr>
          <w:rFonts w:cs="Times New Roman"/>
          <w:szCs w:val="24"/>
          <w:lang w:val="sr-Cyrl-CS"/>
        </w:rPr>
        <w:t xml:space="preserve"> </w:t>
      </w:r>
      <w:r w:rsidRPr="00092ED7">
        <w:rPr>
          <w:rFonts w:cs="Times New Roman"/>
          <w:szCs w:val="24"/>
          <w:lang w:val="sr-Cyrl-CS"/>
        </w:rPr>
        <w:t xml:space="preserve">у </w:t>
      </w:r>
      <w:r w:rsidR="002F0018" w:rsidRPr="00092ED7">
        <w:rPr>
          <w:rFonts w:cs="Times New Roman"/>
          <w:szCs w:val="24"/>
          <w:lang w:val="sr-Cyrl-CS"/>
        </w:rPr>
        <w:t>2021</w:t>
      </w:r>
      <w:r w:rsidRPr="00092ED7">
        <w:rPr>
          <w:rFonts w:cs="Times New Roman"/>
          <w:szCs w:val="24"/>
          <w:lang w:val="sr-Cyrl-CS"/>
        </w:rPr>
        <w:t xml:space="preserve">. години што је за </w:t>
      </w:r>
      <w:r w:rsidR="002F0018" w:rsidRPr="00092ED7">
        <w:rPr>
          <w:rFonts w:cs="Times New Roman"/>
          <w:szCs w:val="24"/>
          <w:lang w:val="sr-Cyrl-CS"/>
        </w:rPr>
        <w:t>32,3</w:t>
      </w:r>
      <w:r w:rsidRPr="00092ED7">
        <w:rPr>
          <w:rFonts w:cs="Times New Roman"/>
          <w:szCs w:val="24"/>
          <w:lang w:val="sr-Cyrl-CS"/>
        </w:rPr>
        <w:t xml:space="preserve">% више него претходне године. У структури </w:t>
      </w:r>
      <w:r w:rsidR="00B77A81" w:rsidRPr="00092ED7">
        <w:rPr>
          <w:rFonts w:cs="Times New Roman"/>
          <w:szCs w:val="24"/>
          <w:lang w:val="sr-Cyrl-CS"/>
        </w:rPr>
        <w:t xml:space="preserve">ових </w:t>
      </w:r>
      <w:r w:rsidRPr="00092ED7">
        <w:rPr>
          <w:rFonts w:cs="Times New Roman"/>
          <w:szCs w:val="24"/>
          <w:lang w:val="sr-Cyrl-CS"/>
        </w:rPr>
        <w:t xml:space="preserve">трошкова, инвестиције за заштиту животне средине чине </w:t>
      </w:r>
      <w:r w:rsidR="002F0018" w:rsidRPr="00092ED7">
        <w:rPr>
          <w:rFonts w:cs="Times New Roman"/>
          <w:szCs w:val="24"/>
          <w:lang w:val="sr-Cyrl-CS"/>
        </w:rPr>
        <w:t>55,4</w:t>
      </w:r>
      <w:r w:rsidRPr="00092ED7">
        <w:rPr>
          <w:rFonts w:cs="Times New Roman"/>
          <w:szCs w:val="24"/>
          <w:lang w:val="sr-Cyrl-CS"/>
        </w:rPr>
        <w:t xml:space="preserve">% (од чега </w:t>
      </w:r>
      <w:r w:rsidR="002F0018" w:rsidRPr="00092ED7">
        <w:rPr>
          <w:rFonts w:cs="Times New Roman"/>
          <w:szCs w:val="24"/>
          <w:lang w:val="sr-Cyrl-CS"/>
        </w:rPr>
        <w:t>64,7</w:t>
      </w:r>
      <w:r w:rsidRPr="00092ED7">
        <w:rPr>
          <w:rFonts w:cs="Times New Roman"/>
          <w:szCs w:val="24"/>
          <w:lang w:val="sr-Cyrl-CS"/>
        </w:rPr>
        <w:t xml:space="preserve">% у области заштите ваздуха), док је учешће текућих издатака </w:t>
      </w:r>
      <w:r w:rsidR="002F0018" w:rsidRPr="00092ED7">
        <w:rPr>
          <w:rFonts w:cs="Times New Roman"/>
          <w:szCs w:val="24"/>
          <w:lang w:val="sr-Cyrl-CS"/>
        </w:rPr>
        <w:t>44,6</w:t>
      </w:r>
      <w:r w:rsidRPr="00092ED7">
        <w:rPr>
          <w:rFonts w:cs="Times New Roman"/>
          <w:szCs w:val="24"/>
          <w:lang w:val="sr-Cyrl-CS"/>
        </w:rPr>
        <w:t xml:space="preserve">%. Инвестиције у заштиту животну средине од </w:t>
      </w:r>
      <w:r w:rsidR="00B77A81" w:rsidRPr="00092ED7">
        <w:rPr>
          <w:rFonts w:cs="Times New Roman"/>
          <w:szCs w:val="24"/>
          <w:lang w:val="sr-Cyrl-CS"/>
        </w:rPr>
        <w:t>285</w:t>
      </w:r>
      <w:r w:rsidRPr="00092ED7">
        <w:rPr>
          <w:rFonts w:cs="Times New Roman"/>
          <w:szCs w:val="24"/>
          <w:lang w:val="sr-Cyrl-CS"/>
        </w:rPr>
        <w:t xml:space="preserve"> милиона евра (0,</w:t>
      </w:r>
      <w:r w:rsidR="00B77A81" w:rsidRPr="00092ED7">
        <w:rPr>
          <w:rFonts w:cs="Times New Roman"/>
          <w:szCs w:val="24"/>
          <w:lang w:val="sr-Cyrl-CS"/>
        </w:rPr>
        <w:t>48</w:t>
      </w:r>
      <w:r w:rsidRPr="00092ED7">
        <w:rPr>
          <w:rFonts w:cs="Times New Roman"/>
          <w:szCs w:val="24"/>
          <w:lang w:val="sr-Cyrl-CS"/>
        </w:rPr>
        <w:t xml:space="preserve">% БДП) у </w:t>
      </w:r>
      <w:r w:rsidR="00B77A81" w:rsidRPr="00092ED7">
        <w:rPr>
          <w:rFonts w:cs="Times New Roman"/>
          <w:szCs w:val="24"/>
          <w:lang w:val="sr-Cyrl-CS"/>
        </w:rPr>
        <w:t>2021</w:t>
      </w:r>
      <w:r w:rsidRPr="00092ED7">
        <w:rPr>
          <w:rFonts w:cs="Times New Roman"/>
          <w:szCs w:val="24"/>
          <w:lang w:val="sr-Cyrl-CS"/>
        </w:rPr>
        <w:t xml:space="preserve">. години, номинално су веће за </w:t>
      </w:r>
      <w:r w:rsidR="00B77A81" w:rsidRPr="00092ED7">
        <w:rPr>
          <w:rFonts w:cs="Times New Roman"/>
          <w:szCs w:val="24"/>
          <w:lang w:val="sr-Cyrl-CS"/>
        </w:rPr>
        <w:t>85,2</w:t>
      </w:r>
      <w:r w:rsidRPr="00092ED7">
        <w:rPr>
          <w:rFonts w:cs="Times New Roman"/>
          <w:szCs w:val="24"/>
          <w:lang w:val="sr-Cyrl-CS"/>
        </w:rPr>
        <w:t>% мг. Иако се остварени приходи од накнада највећим делом не користе за пројекте у области заштите животне средине, улагања из буџета Републике Србије у сектор заштите животне средине се годинама повећавају (планирана буџетска средства од 185 милиона евра (0,33% БДП) у 2022. су већа за 83,8% у односу на 2020. годину). Поред финансијске подршке за спровођење зелене транзиције, неопходно је даље јачање и координација институционалних и административних капацитета на националном и локалном нивоу, као и усклађивање са политикама ЕУ и обавезама у процесу европских интеграција.</w:t>
      </w:r>
    </w:p>
    <w:p w14:paraId="43FABE34" w14:textId="77777777" w:rsidR="00D210F0" w:rsidRPr="00092ED7" w:rsidRDefault="00D210F0" w:rsidP="00D210F0">
      <w:pPr>
        <w:spacing w:after="60"/>
        <w:rPr>
          <w:rFonts w:cs="Times New Roman"/>
          <w:szCs w:val="24"/>
          <w:lang w:val="sr-Cyrl-CS"/>
        </w:rPr>
      </w:pPr>
      <w:r w:rsidRPr="00092ED7">
        <w:rPr>
          <w:rFonts w:cs="Times New Roman"/>
          <w:szCs w:val="24"/>
          <w:lang w:val="sr-Cyrl-CS"/>
        </w:rPr>
        <w:lastRenderedPageBreak/>
        <w:t xml:space="preserve">Успостављен је јединствен </w:t>
      </w:r>
      <w:r w:rsidRPr="00092ED7">
        <w:rPr>
          <w:rFonts w:cs="Times New Roman"/>
          <w:b/>
          <w:szCs w:val="24"/>
          <w:lang w:val="sr-Cyrl-CS"/>
        </w:rPr>
        <w:t>еколошки информациони систем</w:t>
      </w:r>
      <w:r w:rsidRPr="00092ED7">
        <w:rPr>
          <w:rFonts w:cs="Times New Roman"/>
          <w:szCs w:val="24"/>
          <w:lang w:val="sr-Cyrl-CS"/>
        </w:rPr>
        <w:t xml:space="preserve"> у 2022. години. Кроз овај систем грађани могу да пријављују еколошке проблеме са којима се сусрећу. Овим системом предвиђено је и праћење локација очишћених дивљих депонија на којима су постављене камере. На овај начин биће прикупљене информације потребне за ефикасније мапирање и решавање еколошких проблема у Републици Србији. Око 70% пристиглих пријава грађана кроз систем се односе на локације где постоји проблем са чврстим отпадом.</w:t>
      </w:r>
    </w:p>
    <w:p w14:paraId="055FAA36" w14:textId="44F8AE44" w:rsidR="000465E0" w:rsidRPr="00092ED7" w:rsidRDefault="004A67B0" w:rsidP="004A67B0">
      <w:pPr>
        <w:spacing w:after="60"/>
        <w:rPr>
          <w:rFonts w:cs="Times New Roman"/>
          <w:szCs w:val="24"/>
          <w:lang w:val="sr-Cyrl-CS"/>
        </w:rPr>
      </w:pPr>
      <w:r w:rsidRPr="00092ED7">
        <w:rPr>
          <w:b/>
          <w:i/>
          <w:lang w:val="sr-Cyrl-CS"/>
        </w:rPr>
        <w:t>Програм развоја циркуларне економије у Републици Србији за период 2022-2024. године</w:t>
      </w:r>
      <w:r w:rsidRPr="00092ED7">
        <w:rPr>
          <w:b/>
          <w:lang w:val="sr-Cyrl-CS"/>
        </w:rPr>
        <w:t xml:space="preserve"> </w:t>
      </w:r>
      <w:r w:rsidRPr="00092ED7">
        <w:rPr>
          <w:rFonts w:cs="Times New Roman"/>
          <w:b/>
          <w:szCs w:val="24"/>
          <w:lang w:val="sr-Cyrl-CS"/>
        </w:rPr>
        <w:t>(„Сл</w:t>
      </w:r>
      <w:r w:rsidR="003148DB" w:rsidRPr="00092ED7">
        <w:rPr>
          <w:rFonts w:cs="Times New Roman"/>
          <w:b/>
          <w:szCs w:val="24"/>
          <w:lang w:val="sr-Cyrl-CS"/>
        </w:rPr>
        <w:t>ужбени</w:t>
      </w:r>
      <w:r w:rsidRPr="00092ED7">
        <w:rPr>
          <w:rFonts w:cs="Times New Roman"/>
          <w:b/>
          <w:szCs w:val="24"/>
          <w:lang w:val="sr-Cyrl-CS"/>
        </w:rPr>
        <w:t xml:space="preserve"> гласник РС</w:t>
      </w:r>
      <w:r w:rsidR="003148DB" w:rsidRPr="00092ED7">
        <w:rPr>
          <w:rFonts w:cs="Times New Roman"/>
          <w:b/>
          <w:szCs w:val="24"/>
          <w:lang w:val="sr-Cyrl-CS"/>
        </w:rPr>
        <w:t>”</w:t>
      </w:r>
      <w:r w:rsidRPr="00092ED7">
        <w:rPr>
          <w:rFonts w:cs="Times New Roman"/>
          <w:b/>
          <w:szCs w:val="24"/>
          <w:lang w:val="sr-Cyrl-CS"/>
        </w:rPr>
        <w:t>, бр</w:t>
      </w:r>
      <w:r w:rsidR="003148DB" w:rsidRPr="00092ED7">
        <w:rPr>
          <w:rFonts w:cs="Times New Roman"/>
          <w:b/>
          <w:szCs w:val="24"/>
          <w:lang w:val="sr-Cyrl-CS"/>
        </w:rPr>
        <w:t>ој</w:t>
      </w:r>
      <w:r w:rsidRPr="00092ED7">
        <w:rPr>
          <w:b/>
          <w:lang w:val="sr-Cyrl-CS"/>
        </w:rPr>
        <w:t xml:space="preserve"> 137/22)</w:t>
      </w:r>
      <w:r w:rsidR="00951ACC" w:rsidRPr="00092ED7">
        <w:rPr>
          <w:b/>
          <w:lang w:val="sr-Cyrl-CS"/>
        </w:rPr>
        <w:t xml:space="preserve"> са акционим планом за исти временски период</w:t>
      </w:r>
      <w:r w:rsidRPr="00092ED7">
        <w:rPr>
          <w:b/>
          <w:lang w:val="sr-Cyrl-CS"/>
        </w:rPr>
        <w:t xml:space="preserve"> усвојен </w:t>
      </w:r>
      <w:r w:rsidR="000465E0" w:rsidRPr="00092ED7">
        <w:rPr>
          <w:b/>
          <w:lang w:val="sr-Cyrl-CS"/>
        </w:rPr>
        <w:t>је</w:t>
      </w:r>
      <w:r w:rsidR="006D0854" w:rsidRPr="00092ED7">
        <w:rPr>
          <w:b/>
          <w:lang w:val="sr-Cyrl-CS"/>
        </w:rPr>
        <w:t xml:space="preserve"> децембра</w:t>
      </w:r>
      <w:r w:rsidR="000465E0" w:rsidRPr="00092ED7">
        <w:rPr>
          <w:b/>
          <w:lang w:val="sr-Cyrl-CS"/>
        </w:rPr>
        <w:t xml:space="preserve"> 2022. </w:t>
      </w:r>
      <w:r w:rsidR="006D0854" w:rsidRPr="00092ED7">
        <w:rPr>
          <w:b/>
          <w:lang w:val="sr-Cyrl-CS"/>
        </w:rPr>
        <w:t>године</w:t>
      </w:r>
      <w:r w:rsidR="000465E0" w:rsidRPr="00092ED7">
        <w:rPr>
          <w:b/>
          <w:lang w:val="sr-Cyrl-CS"/>
        </w:rPr>
        <w:t>.</w:t>
      </w:r>
      <w:r w:rsidR="000465E0" w:rsidRPr="00092ED7">
        <w:rPr>
          <w:lang w:val="sr-Cyrl-CS"/>
        </w:rPr>
        <w:t xml:space="preserve"> Циркуларна економија је препознатa као важан стратешки концепт за зелену транзицију Републике Србије, која је последњих година постављена високо на лествици приоритета. Програмом су обухваћене најважније области од значаја за циркуларну економију: управљање отпадом; управљање водама; обновљиви извори енергије и енергетска ефикасност; управљање хемикалијама; зелене јавне набавке и добровољни инструменти; привредна политика; иновације и подизање јавне свести. </w:t>
      </w:r>
      <w:r w:rsidR="00F47767" w:rsidRPr="00092ED7">
        <w:rPr>
          <w:lang w:val="sr-Cyrl-CS"/>
        </w:rPr>
        <w:t xml:space="preserve">Један од доказаних механизама којим држава може да промовише и поспеши прелазак привреде на модел циркуларне економије је </w:t>
      </w:r>
      <w:r w:rsidR="00F47767" w:rsidRPr="00092ED7">
        <w:rPr>
          <w:b/>
          <w:lang w:val="sr-Cyrl-CS"/>
        </w:rPr>
        <w:t>примена зелених јавних набавки</w:t>
      </w:r>
      <w:r w:rsidR="00F47767" w:rsidRPr="00092ED7">
        <w:rPr>
          <w:lang w:val="sr-Cyrl-CS"/>
        </w:rPr>
        <w:t>. Постављањем захтева у погледу потрошње сировина и енергената и утицаја на животну средину у документацији за набавку, може се ефикасно пружити подршка привредним субјектима који усвајају принципе циркуларне економије у своје пословање и развијају производе и услуге у складу са њима.</w:t>
      </w:r>
      <w:r w:rsidR="00330B8F" w:rsidRPr="00092ED7">
        <w:rPr>
          <w:lang w:val="sr-Cyrl-CS"/>
        </w:rPr>
        <w:t xml:space="preserve"> </w:t>
      </w:r>
      <w:r w:rsidR="000465E0" w:rsidRPr="00092ED7">
        <w:rPr>
          <w:rFonts w:eastAsia="Times New Roman" w:cs="Times New Roman"/>
          <w:szCs w:val="24"/>
          <w:lang w:val="sr-Cyrl-CS"/>
        </w:rPr>
        <w:t>А</w:t>
      </w:r>
      <w:r w:rsidR="000465E0" w:rsidRPr="00092ED7">
        <w:rPr>
          <w:rFonts w:cs="Times New Roman"/>
          <w:noProof/>
          <w:szCs w:val="24"/>
          <w:lang w:val="sr-Cyrl-CS"/>
        </w:rPr>
        <w:t>нализа података доступних на Порталу за јавне набавке коју је спровела Канцеларија за јавне набавке, је показала да је током 2021. године спроведено 650 поступака зелених јавних набавки у Републици Србији.</w:t>
      </w:r>
    </w:p>
    <w:p w14:paraId="42117A83" w14:textId="77777777" w:rsidR="00D210F0" w:rsidRPr="00092ED7" w:rsidRDefault="00D210F0" w:rsidP="00D210F0">
      <w:pPr>
        <w:spacing w:before="120"/>
        <w:rPr>
          <w:rFonts w:eastAsia="Times New Roman" w:cs="Times New Roman"/>
          <w:b/>
          <w:bCs/>
          <w:szCs w:val="24"/>
          <w:lang w:val="sr-Cyrl-CS"/>
        </w:rPr>
      </w:pPr>
      <w:r w:rsidRPr="00092ED7">
        <w:rPr>
          <w:rFonts w:eastAsia="Times New Roman" w:cs="Times New Roman"/>
          <w:b/>
          <w:bCs/>
          <w:szCs w:val="24"/>
          <w:lang w:val="sr-Cyrl-CS"/>
        </w:rPr>
        <w:t>б) Реформе</w:t>
      </w:r>
    </w:p>
    <w:p w14:paraId="3395C377" w14:textId="77777777" w:rsidR="00D210F0" w:rsidRPr="00092ED7" w:rsidRDefault="00D210F0" w:rsidP="00D210F0">
      <w:pPr>
        <w:spacing w:before="120"/>
        <w:rPr>
          <w:rFonts w:cs="Times New Roman"/>
          <w:bCs/>
          <w:smallCaps/>
          <w:szCs w:val="24"/>
          <w:lang w:val="sr-Cyrl-CS"/>
        </w:rPr>
      </w:pPr>
      <w:r w:rsidRPr="00092ED7">
        <w:rPr>
          <w:rFonts w:cs="Times New Roman"/>
          <w:b/>
          <w:bCs/>
          <w:szCs w:val="24"/>
          <w:u w:val="single"/>
          <w:lang w:val="sr-Cyrl-CS"/>
        </w:rPr>
        <w:t>СТРУКТУРНА РЕФОРМА 12</w:t>
      </w:r>
      <w:r w:rsidRPr="00092ED7">
        <w:rPr>
          <w:rFonts w:cs="Times New Roman"/>
          <w:b/>
          <w:bCs/>
          <w:szCs w:val="24"/>
          <w:lang w:val="sr-Cyrl-CS"/>
        </w:rPr>
        <w:t xml:space="preserve">: </w:t>
      </w:r>
      <w:r w:rsidRPr="00092ED7">
        <w:rPr>
          <w:rFonts w:cs="Times New Roman"/>
          <w:bCs/>
          <w:smallCaps/>
          <w:szCs w:val="24"/>
          <w:lang w:val="sr-Cyrl-CS"/>
        </w:rPr>
        <w:t>ПРИМЕНА ЦИРКУЛАРНЕ ЕКОНОМИЈЕ У СТВАРАЊУ ПОВОЉНОГ ОКРУЖЕЊА ЗА ЗЕЛЕНУ ТРАНЗИЦИЈУ</w:t>
      </w:r>
    </w:p>
    <w:p w14:paraId="137877D6" w14:textId="77777777" w:rsidR="00D210F0" w:rsidRPr="00092ED7" w:rsidRDefault="00D210F0" w:rsidP="00071952">
      <w:pPr>
        <w:widowControl w:val="0"/>
        <w:numPr>
          <w:ilvl w:val="0"/>
          <w:numId w:val="29"/>
        </w:numPr>
        <w:spacing w:before="120"/>
        <w:ind w:left="425" w:hanging="425"/>
        <w:rPr>
          <w:rFonts w:cs="Times New Roman"/>
          <w:b/>
          <w:bCs/>
          <w:szCs w:val="24"/>
          <w:lang w:val="sr-Cyrl-CS"/>
        </w:rPr>
      </w:pPr>
      <w:r w:rsidRPr="00092ED7">
        <w:rPr>
          <w:rFonts w:cs="Times New Roman"/>
          <w:b/>
          <w:bCs/>
          <w:szCs w:val="24"/>
          <w:lang w:val="sr-Cyrl-CS"/>
        </w:rPr>
        <w:t>Опис структурне реформе</w:t>
      </w:r>
    </w:p>
    <w:p w14:paraId="0F9A0AC9" w14:textId="36A5E0D7" w:rsidR="00DE6DB9" w:rsidRPr="00092ED7" w:rsidRDefault="00D210F0" w:rsidP="00B640AF">
      <w:pPr>
        <w:rPr>
          <w:rFonts w:cs="Times New Roman"/>
          <w:szCs w:val="24"/>
          <w:lang w:val="sr-Cyrl-CS"/>
        </w:rPr>
      </w:pPr>
      <w:r w:rsidRPr="00092ED7">
        <w:rPr>
          <w:rFonts w:eastAsia="Times New Roman" w:cs="Times New Roman"/>
          <w:szCs w:val="24"/>
          <w:lang w:val="sr-Cyrl-CS"/>
        </w:rPr>
        <w:t xml:space="preserve">Концепт циркуларне економије који повезује многе области, има за циљ покретање зелене привредне транзиције Републике Србије, уз ефикасно коришћење ресурса и енергије и очување и унапређење животне средине и здравља људи. Развојем иновативног дизајна, дигитализације и нових технолошких достигнућа, допринеће се стварању модерног, конкурентног и климатски неутралног друштва. Циркуларна економија је један од кључних алата за достизање циљева одрживог развоја УН - Агенда 2030 и циљева </w:t>
      </w:r>
      <w:r w:rsidR="00AF5731" w:rsidRPr="00092ED7">
        <w:rPr>
          <w:rFonts w:eastAsia="Times New Roman" w:cs="Times New Roman"/>
          <w:szCs w:val="24"/>
          <w:lang w:val="sr-Cyrl-CS"/>
        </w:rPr>
        <w:t>Споразума из Париза</w:t>
      </w:r>
      <w:r w:rsidR="00572A59" w:rsidRPr="00092ED7">
        <w:rPr>
          <w:rFonts w:eastAsia="Times New Roman" w:cs="Times New Roman"/>
          <w:szCs w:val="24"/>
          <w:lang w:val="sr-Cyrl-CS"/>
        </w:rPr>
        <w:t xml:space="preserve"> који је потврђен Законом о потврђивању Споразума из Париза </w:t>
      </w:r>
      <w:r w:rsidR="00572A59" w:rsidRPr="00092ED7">
        <w:rPr>
          <w:rFonts w:cs="Times New Roman"/>
          <w:szCs w:val="24"/>
          <w:lang w:val="sr-Cyrl-CS"/>
        </w:rPr>
        <w:t>(„Службени гласник РС</w:t>
      </w:r>
      <w:r w:rsidR="001571AD" w:rsidRPr="00092ED7">
        <w:rPr>
          <w:rFonts w:cs="Times New Roman"/>
          <w:szCs w:val="24"/>
          <w:lang w:val="sr-Cyrl-CS"/>
        </w:rPr>
        <w:t xml:space="preserve"> </w:t>
      </w:r>
      <w:r w:rsidR="00572A59" w:rsidRPr="00092ED7">
        <w:rPr>
          <w:rFonts w:eastAsia="Times New Roman" w:cs="Times New Roman"/>
          <w:szCs w:val="24"/>
          <w:lang w:val="sr-Cyrl-CS"/>
        </w:rPr>
        <w:t xml:space="preserve">- </w:t>
      </w:r>
      <w:r w:rsidR="001571AD" w:rsidRPr="00092ED7">
        <w:rPr>
          <w:rFonts w:eastAsia="Times New Roman" w:cs="Times New Roman"/>
          <w:szCs w:val="24"/>
          <w:lang w:val="sr-Cyrl-CS"/>
        </w:rPr>
        <w:t>М</w:t>
      </w:r>
      <w:r w:rsidR="00572A59" w:rsidRPr="00092ED7">
        <w:rPr>
          <w:rFonts w:eastAsia="Times New Roman" w:cs="Times New Roman"/>
          <w:szCs w:val="24"/>
          <w:lang w:val="sr-Cyrl-CS"/>
        </w:rPr>
        <w:t>еђународни уговори</w:t>
      </w:r>
      <w:r w:rsidR="00572A59" w:rsidRPr="00092ED7">
        <w:rPr>
          <w:rFonts w:cs="Times New Roman"/>
          <w:szCs w:val="24"/>
          <w:lang w:val="sr-Cyrl-CS"/>
        </w:rPr>
        <w:t>”</w:t>
      </w:r>
      <w:r w:rsidR="00572A59" w:rsidRPr="00092ED7">
        <w:rPr>
          <w:rFonts w:eastAsia="Times New Roman" w:cs="Times New Roman"/>
          <w:szCs w:val="24"/>
          <w:lang w:val="sr-Cyrl-CS"/>
        </w:rPr>
        <w:t>, брoj 4/17)</w:t>
      </w:r>
      <w:r w:rsidR="008A08D5" w:rsidRPr="00092ED7">
        <w:rPr>
          <w:rFonts w:eastAsia="Times New Roman" w:cs="Times New Roman"/>
          <w:szCs w:val="24"/>
          <w:lang w:val="sr-Cyrl-CS"/>
        </w:rPr>
        <w:t xml:space="preserve">. </w:t>
      </w:r>
      <w:r w:rsidRPr="00092ED7">
        <w:rPr>
          <w:rFonts w:eastAsia="Times New Roman" w:cs="Times New Roman"/>
          <w:szCs w:val="24"/>
          <w:lang w:val="sr-Cyrl-CS"/>
        </w:rPr>
        <w:t xml:space="preserve">Циркуларна економија знатно доприноси и смањењу утицаја климатских промена, односно спречавању да се температура повећа за више од 1,5°С у односу на преиндустријски период, на шта обавезују </w:t>
      </w:r>
      <w:r w:rsidR="00AF5731" w:rsidRPr="00092ED7">
        <w:rPr>
          <w:rFonts w:eastAsia="Times New Roman" w:cs="Times New Roman"/>
          <w:szCs w:val="24"/>
          <w:lang w:val="sr-Cyrl-CS"/>
        </w:rPr>
        <w:t xml:space="preserve">Оквирна конвенција </w:t>
      </w:r>
      <w:r w:rsidRPr="00092ED7">
        <w:rPr>
          <w:rFonts w:eastAsia="Times New Roman" w:cs="Times New Roman"/>
          <w:szCs w:val="24"/>
          <w:lang w:val="sr-Cyrl-CS"/>
        </w:rPr>
        <w:t xml:space="preserve">УН о промени климе и </w:t>
      </w:r>
      <w:r w:rsidR="00AF5731" w:rsidRPr="00092ED7">
        <w:rPr>
          <w:rFonts w:eastAsia="Times New Roman" w:cs="Times New Roman"/>
          <w:szCs w:val="24"/>
          <w:lang w:val="sr-Cyrl-CS"/>
        </w:rPr>
        <w:t>Споразум из Париза</w:t>
      </w:r>
      <w:r w:rsidRPr="00092ED7">
        <w:rPr>
          <w:rFonts w:eastAsia="Times New Roman" w:cs="Times New Roman"/>
          <w:szCs w:val="24"/>
          <w:lang w:val="sr-Cyrl-CS"/>
        </w:rPr>
        <w:t xml:space="preserve">. </w:t>
      </w:r>
      <w:r w:rsidRPr="00092ED7">
        <w:rPr>
          <w:rFonts w:eastAsia="Times New Roman" w:cs="Times New Roman"/>
          <w:i/>
          <w:szCs w:val="24"/>
          <w:lang w:val="sr-Cyrl-CS"/>
        </w:rPr>
        <w:t>Програм развоја  циркуларне економије у Републици Србији за период 2022-2024. године</w:t>
      </w:r>
      <w:r w:rsidRPr="00092ED7">
        <w:rPr>
          <w:rFonts w:eastAsia="Times New Roman" w:cs="Times New Roman"/>
          <w:szCs w:val="24"/>
          <w:lang w:val="sr-Cyrl-CS"/>
        </w:rPr>
        <w:t xml:space="preserve"> (са акционим планом за три године), усвојен </w:t>
      </w:r>
      <w:r w:rsidR="00895FF6" w:rsidRPr="00092ED7">
        <w:rPr>
          <w:rFonts w:eastAsia="Times New Roman" w:cs="Times New Roman"/>
          <w:szCs w:val="24"/>
          <w:lang w:val="sr-Cyrl-CS"/>
        </w:rPr>
        <w:t xml:space="preserve">је 1. децембра </w:t>
      </w:r>
      <w:r w:rsidRPr="00092ED7">
        <w:rPr>
          <w:rFonts w:eastAsia="Times New Roman" w:cs="Times New Roman"/>
          <w:szCs w:val="24"/>
          <w:lang w:val="sr-Cyrl-CS"/>
        </w:rPr>
        <w:t>2022. године</w:t>
      </w:r>
      <w:r w:rsidR="00895FF6" w:rsidRPr="00092ED7">
        <w:rPr>
          <w:rFonts w:eastAsia="Times New Roman" w:cs="Times New Roman"/>
          <w:szCs w:val="24"/>
          <w:lang w:val="sr-Cyrl-CS"/>
        </w:rPr>
        <w:t xml:space="preserve">. Усвајање </w:t>
      </w:r>
      <w:r w:rsidR="0084242A" w:rsidRPr="00092ED7">
        <w:rPr>
          <w:rFonts w:eastAsia="Times New Roman" w:cs="Times New Roman"/>
          <w:szCs w:val="24"/>
          <w:lang w:val="sr-Cyrl-CS"/>
        </w:rPr>
        <w:t xml:space="preserve">планског </w:t>
      </w:r>
      <w:r w:rsidR="00895FF6" w:rsidRPr="00092ED7">
        <w:rPr>
          <w:rFonts w:eastAsia="Times New Roman" w:cs="Times New Roman"/>
          <w:szCs w:val="24"/>
          <w:lang w:val="sr-Cyrl-CS"/>
        </w:rPr>
        <w:t>документа за област циркуларне економије</w:t>
      </w:r>
      <w:r w:rsidRPr="00092ED7">
        <w:rPr>
          <w:rFonts w:eastAsia="Times New Roman" w:cs="Times New Roman"/>
          <w:szCs w:val="24"/>
          <w:lang w:val="sr-Cyrl-CS"/>
        </w:rPr>
        <w:t xml:space="preserve"> је предвиђено у Зеленој агенди за Западни Балкан, у оквиру стуба 2 који се односи на циркуларну економију. </w:t>
      </w:r>
      <w:r w:rsidR="00F47767" w:rsidRPr="00092ED7">
        <w:rPr>
          <w:rFonts w:eastAsia="Times New Roman" w:cs="Times New Roman"/>
          <w:szCs w:val="24"/>
          <w:lang w:val="sr-Cyrl-CS"/>
        </w:rPr>
        <w:t xml:space="preserve">Структурна реформа обухвата подршку привредним субјектима и локалним самоуправама у области циркуларне економије, унапређење сарадње пословне и академске заједнице, и </w:t>
      </w:r>
      <w:r w:rsidR="00F47767" w:rsidRPr="00092ED7">
        <w:rPr>
          <w:lang w:val="sr-Cyrl-CS"/>
        </w:rPr>
        <w:t xml:space="preserve">пружање подршке јавном сектору и привреди за успешну примену зелених јавних набавки у </w:t>
      </w:r>
      <w:r w:rsidR="00B010FF" w:rsidRPr="00092ED7">
        <w:rPr>
          <w:lang w:val="sr-Cyrl-CS"/>
        </w:rPr>
        <w:t xml:space="preserve">Републици </w:t>
      </w:r>
      <w:r w:rsidR="00F47767" w:rsidRPr="00092ED7">
        <w:rPr>
          <w:lang w:val="sr-Cyrl-CS"/>
        </w:rPr>
        <w:t>Србији.</w:t>
      </w:r>
    </w:p>
    <w:p w14:paraId="239C83C8" w14:textId="77777777" w:rsidR="00D210F0" w:rsidRPr="00092ED7" w:rsidRDefault="00D210F0" w:rsidP="00071952">
      <w:pPr>
        <w:widowControl w:val="0"/>
        <w:numPr>
          <w:ilvl w:val="0"/>
          <w:numId w:val="29"/>
        </w:numPr>
        <w:spacing w:before="120"/>
        <w:rPr>
          <w:rFonts w:cs="Times New Roman"/>
          <w:b/>
          <w:bCs/>
          <w:szCs w:val="24"/>
          <w:lang w:val="sr-Cyrl-CS"/>
        </w:rPr>
      </w:pPr>
      <w:r w:rsidRPr="00092ED7">
        <w:rPr>
          <w:rFonts w:cs="Times New Roman"/>
          <w:b/>
          <w:bCs/>
          <w:szCs w:val="24"/>
          <w:lang w:val="sr-Cyrl-CS"/>
        </w:rPr>
        <w:t>Планиране активности по годинама</w:t>
      </w:r>
    </w:p>
    <w:tbl>
      <w:tblPr>
        <w:tblW w:w="9023" w:type="dxa"/>
        <w:tblLayout w:type="fixed"/>
        <w:tblCellMar>
          <w:left w:w="57" w:type="dxa"/>
          <w:right w:w="57" w:type="dxa"/>
        </w:tblCellMar>
        <w:tblLook w:val="04A0" w:firstRow="1" w:lastRow="0" w:firstColumn="1" w:lastColumn="0" w:noHBand="0" w:noVBand="1"/>
      </w:tblPr>
      <w:tblGrid>
        <w:gridCol w:w="426"/>
        <w:gridCol w:w="3533"/>
        <w:gridCol w:w="422"/>
        <w:gridCol w:w="422"/>
        <w:gridCol w:w="422"/>
        <w:gridCol w:w="422"/>
        <w:gridCol w:w="422"/>
        <w:gridCol w:w="422"/>
        <w:gridCol w:w="422"/>
        <w:gridCol w:w="422"/>
        <w:gridCol w:w="422"/>
        <w:gridCol w:w="422"/>
        <w:gridCol w:w="422"/>
        <w:gridCol w:w="422"/>
      </w:tblGrid>
      <w:tr w:rsidR="00D210F0" w:rsidRPr="00092ED7" w14:paraId="1345B829" w14:textId="77777777" w:rsidTr="00532A5F">
        <w:trPr>
          <w:trHeight w:val="315"/>
        </w:trPr>
        <w:tc>
          <w:tcPr>
            <w:tcW w:w="426" w:type="dxa"/>
            <w:vMerge w:val="restart"/>
            <w:tcBorders>
              <w:top w:val="single" w:sz="8" w:space="0" w:color="auto"/>
              <w:left w:val="single" w:sz="8" w:space="0" w:color="auto"/>
              <w:bottom w:val="single" w:sz="8" w:space="0" w:color="000000"/>
              <w:right w:val="nil"/>
            </w:tcBorders>
            <w:shd w:val="clear" w:color="auto" w:fill="BDD6EE" w:themeFill="accent1" w:themeFillTint="66"/>
            <w:vAlign w:val="center"/>
            <w:hideMark/>
          </w:tcPr>
          <w:p w14:paraId="4678636D" w14:textId="77777777" w:rsidR="00D210F0" w:rsidRPr="00092ED7" w:rsidRDefault="00D210F0" w:rsidP="00E44EF2">
            <w:pPr>
              <w:spacing w:after="0"/>
              <w:jc w:val="left"/>
              <w:rPr>
                <w:rFonts w:eastAsia="Times New Roman" w:cs="Times New Roman"/>
                <w:b/>
                <w:bCs/>
                <w:sz w:val="20"/>
                <w:szCs w:val="20"/>
                <w:lang w:val="sr-Cyrl-CS"/>
              </w:rPr>
            </w:pPr>
            <w:r w:rsidRPr="00092ED7">
              <w:rPr>
                <w:rFonts w:eastAsia="Times New Roman" w:cs="Times New Roman"/>
                <w:b/>
                <w:bCs/>
                <w:sz w:val="20"/>
                <w:szCs w:val="20"/>
                <w:lang w:val="sr-Cyrl-CS"/>
              </w:rPr>
              <w:lastRenderedPageBreak/>
              <w:t>РБ</w:t>
            </w:r>
          </w:p>
        </w:tc>
        <w:tc>
          <w:tcPr>
            <w:tcW w:w="3533" w:type="dxa"/>
            <w:vMerge w:val="restart"/>
            <w:tcBorders>
              <w:top w:val="single" w:sz="8" w:space="0" w:color="auto"/>
              <w:left w:val="single" w:sz="8" w:space="0" w:color="auto"/>
              <w:bottom w:val="single" w:sz="8" w:space="0" w:color="000000"/>
              <w:right w:val="nil"/>
            </w:tcBorders>
            <w:shd w:val="clear" w:color="auto" w:fill="BDD6EE" w:themeFill="accent1" w:themeFillTint="66"/>
            <w:vAlign w:val="center"/>
            <w:hideMark/>
          </w:tcPr>
          <w:p w14:paraId="138B2949" w14:textId="77777777" w:rsidR="00D210F0" w:rsidRPr="00092ED7" w:rsidRDefault="00D210F0" w:rsidP="00E44EF2">
            <w:pPr>
              <w:spacing w:after="0"/>
              <w:rPr>
                <w:rFonts w:eastAsia="Times New Roman" w:cs="Times New Roman"/>
                <w:b/>
                <w:bCs/>
                <w:sz w:val="20"/>
                <w:szCs w:val="20"/>
                <w:lang w:val="sr-Cyrl-CS"/>
              </w:rPr>
            </w:pPr>
            <w:r w:rsidRPr="00092ED7">
              <w:rPr>
                <w:rFonts w:eastAsia="Times New Roman" w:cs="Times New Roman"/>
                <w:b/>
                <w:bCs/>
                <w:sz w:val="20"/>
                <w:szCs w:val="20"/>
                <w:lang w:val="sr-Cyrl-CS"/>
              </w:rPr>
              <w:t>Планиране активности</w:t>
            </w:r>
          </w:p>
        </w:tc>
        <w:tc>
          <w:tcPr>
            <w:tcW w:w="1688" w:type="dxa"/>
            <w:gridSpan w:val="4"/>
            <w:tcBorders>
              <w:top w:val="single" w:sz="8" w:space="0" w:color="auto"/>
              <w:left w:val="single" w:sz="8" w:space="0" w:color="auto"/>
              <w:bottom w:val="single" w:sz="4" w:space="0" w:color="auto"/>
              <w:right w:val="single" w:sz="8" w:space="0" w:color="000000"/>
            </w:tcBorders>
            <w:shd w:val="clear" w:color="auto" w:fill="BDD6EE" w:themeFill="accent1" w:themeFillTint="66"/>
            <w:vAlign w:val="center"/>
            <w:hideMark/>
          </w:tcPr>
          <w:p w14:paraId="5CBBA372" w14:textId="77777777" w:rsidR="00D210F0" w:rsidRPr="00092ED7" w:rsidRDefault="00D210F0" w:rsidP="00E44EF2">
            <w:pPr>
              <w:spacing w:after="0"/>
              <w:jc w:val="center"/>
              <w:rPr>
                <w:rFonts w:cs="Times New Roman"/>
                <w:b/>
                <w:bCs/>
                <w:color w:val="000000"/>
                <w:sz w:val="20"/>
                <w:szCs w:val="20"/>
                <w:lang w:val="sr-Cyrl-CS"/>
              </w:rPr>
            </w:pPr>
            <w:r w:rsidRPr="00092ED7">
              <w:rPr>
                <w:rFonts w:cs="Times New Roman"/>
                <w:b/>
                <w:bCs/>
                <w:color w:val="000000"/>
                <w:sz w:val="20"/>
                <w:szCs w:val="20"/>
                <w:lang w:val="sr-Cyrl-CS"/>
              </w:rPr>
              <w:t>2023</w:t>
            </w:r>
          </w:p>
        </w:tc>
        <w:tc>
          <w:tcPr>
            <w:tcW w:w="1688" w:type="dxa"/>
            <w:gridSpan w:val="4"/>
            <w:tcBorders>
              <w:top w:val="single" w:sz="8" w:space="0" w:color="auto"/>
              <w:left w:val="nil"/>
              <w:bottom w:val="single" w:sz="4" w:space="0" w:color="auto"/>
              <w:right w:val="single" w:sz="8" w:space="0" w:color="000000"/>
            </w:tcBorders>
            <w:shd w:val="clear" w:color="auto" w:fill="BDD6EE" w:themeFill="accent1" w:themeFillTint="66"/>
            <w:vAlign w:val="center"/>
            <w:hideMark/>
          </w:tcPr>
          <w:p w14:paraId="257A22A9" w14:textId="77777777" w:rsidR="00D210F0" w:rsidRPr="00092ED7" w:rsidRDefault="00D210F0" w:rsidP="00E44EF2">
            <w:pPr>
              <w:spacing w:after="0"/>
              <w:jc w:val="center"/>
              <w:rPr>
                <w:rFonts w:cs="Times New Roman"/>
                <w:b/>
                <w:bCs/>
                <w:color w:val="000000"/>
                <w:sz w:val="20"/>
                <w:szCs w:val="20"/>
                <w:lang w:val="sr-Cyrl-CS"/>
              </w:rPr>
            </w:pPr>
            <w:r w:rsidRPr="00092ED7">
              <w:rPr>
                <w:rFonts w:cs="Times New Roman"/>
                <w:b/>
                <w:bCs/>
                <w:color w:val="000000"/>
                <w:sz w:val="20"/>
                <w:szCs w:val="20"/>
                <w:lang w:val="sr-Cyrl-CS"/>
              </w:rPr>
              <w:t>2024</w:t>
            </w:r>
          </w:p>
        </w:tc>
        <w:tc>
          <w:tcPr>
            <w:tcW w:w="1688" w:type="dxa"/>
            <w:gridSpan w:val="4"/>
            <w:tcBorders>
              <w:top w:val="single" w:sz="8" w:space="0" w:color="auto"/>
              <w:left w:val="nil"/>
              <w:bottom w:val="single" w:sz="4" w:space="0" w:color="auto"/>
              <w:right w:val="single" w:sz="8" w:space="0" w:color="000000"/>
            </w:tcBorders>
            <w:shd w:val="clear" w:color="auto" w:fill="BDD6EE" w:themeFill="accent1" w:themeFillTint="66"/>
            <w:vAlign w:val="center"/>
            <w:hideMark/>
          </w:tcPr>
          <w:p w14:paraId="5990637E" w14:textId="77777777" w:rsidR="00D210F0" w:rsidRPr="00092ED7" w:rsidRDefault="00D210F0" w:rsidP="00E44EF2">
            <w:pPr>
              <w:spacing w:after="0"/>
              <w:jc w:val="center"/>
              <w:rPr>
                <w:rFonts w:cs="Times New Roman"/>
                <w:b/>
                <w:bCs/>
                <w:color w:val="000000"/>
                <w:sz w:val="20"/>
                <w:szCs w:val="20"/>
                <w:lang w:val="sr-Cyrl-CS"/>
              </w:rPr>
            </w:pPr>
            <w:r w:rsidRPr="00092ED7">
              <w:rPr>
                <w:rFonts w:cs="Times New Roman"/>
                <w:b/>
                <w:bCs/>
                <w:color w:val="000000"/>
                <w:sz w:val="20"/>
                <w:szCs w:val="20"/>
                <w:lang w:val="sr-Cyrl-CS"/>
              </w:rPr>
              <w:t>2025</w:t>
            </w:r>
          </w:p>
        </w:tc>
      </w:tr>
      <w:tr w:rsidR="00D210F0" w:rsidRPr="00092ED7" w14:paraId="57656439" w14:textId="77777777" w:rsidTr="00532A5F">
        <w:trPr>
          <w:trHeight w:val="299"/>
        </w:trPr>
        <w:tc>
          <w:tcPr>
            <w:tcW w:w="426" w:type="dxa"/>
            <w:vMerge/>
            <w:tcBorders>
              <w:top w:val="single" w:sz="8" w:space="0" w:color="auto"/>
              <w:left w:val="single" w:sz="8" w:space="0" w:color="auto"/>
              <w:bottom w:val="single" w:sz="8" w:space="0" w:color="000000"/>
              <w:right w:val="nil"/>
            </w:tcBorders>
            <w:shd w:val="clear" w:color="auto" w:fill="BDD6EE" w:themeFill="accent1" w:themeFillTint="66"/>
            <w:vAlign w:val="center"/>
            <w:hideMark/>
          </w:tcPr>
          <w:p w14:paraId="74B6B922" w14:textId="77777777" w:rsidR="00D210F0" w:rsidRPr="00092ED7" w:rsidRDefault="00D210F0" w:rsidP="00E44EF2">
            <w:pPr>
              <w:spacing w:after="0"/>
              <w:rPr>
                <w:rFonts w:eastAsia="Times New Roman" w:cs="Times New Roman"/>
                <w:b/>
                <w:bCs/>
                <w:sz w:val="20"/>
                <w:szCs w:val="20"/>
                <w:lang w:val="sr-Cyrl-CS"/>
              </w:rPr>
            </w:pPr>
          </w:p>
        </w:tc>
        <w:tc>
          <w:tcPr>
            <w:tcW w:w="3533" w:type="dxa"/>
            <w:vMerge/>
            <w:tcBorders>
              <w:top w:val="single" w:sz="8" w:space="0" w:color="auto"/>
              <w:left w:val="single" w:sz="8" w:space="0" w:color="auto"/>
              <w:bottom w:val="single" w:sz="8" w:space="0" w:color="000000"/>
              <w:right w:val="single" w:sz="4" w:space="0" w:color="auto"/>
            </w:tcBorders>
            <w:shd w:val="clear" w:color="auto" w:fill="BDD6EE" w:themeFill="accent1" w:themeFillTint="66"/>
            <w:vAlign w:val="center"/>
            <w:hideMark/>
          </w:tcPr>
          <w:p w14:paraId="20E94F0E" w14:textId="77777777" w:rsidR="00D210F0" w:rsidRPr="00092ED7" w:rsidRDefault="00D210F0" w:rsidP="00E44EF2">
            <w:pPr>
              <w:spacing w:after="0"/>
              <w:rPr>
                <w:rFonts w:eastAsia="Times New Roman" w:cs="Times New Roman"/>
                <w:b/>
                <w:bCs/>
                <w:sz w:val="20"/>
                <w:szCs w:val="20"/>
                <w:lang w:val="sr-Cyrl-CS"/>
              </w:rPr>
            </w:pPr>
          </w:p>
        </w:tc>
        <w:tc>
          <w:tcPr>
            <w:tcW w:w="422"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318A8FBF" w14:textId="77777777" w:rsidR="00D210F0" w:rsidRPr="00092ED7" w:rsidRDefault="00D210F0" w:rsidP="00E44EF2">
            <w:pPr>
              <w:spacing w:after="0"/>
              <w:jc w:val="center"/>
              <w:rPr>
                <w:rFonts w:cs="Times New Roman"/>
                <w:bCs/>
                <w:i/>
                <w:color w:val="000000"/>
                <w:sz w:val="20"/>
                <w:szCs w:val="20"/>
                <w:lang w:val="sr-Cyrl-CS"/>
              </w:rPr>
            </w:pPr>
            <w:r w:rsidRPr="00092ED7">
              <w:rPr>
                <w:rFonts w:cs="Times New Roman"/>
                <w:bCs/>
                <w:i/>
                <w:color w:val="000000"/>
                <w:sz w:val="20"/>
                <w:szCs w:val="20"/>
                <w:lang w:val="sr-Cyrl-CS"/>
              </w:rPr>
              <w:t>Q1</w:t>
            </w:r>
          </w:p>
        </w:tc>
        <w:tc>
          <w:tcPr>
            <w:tcW w:w="422"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2BB96D0D" w14:textId="77777777" w:rsidR="00D210F0" w:rsidRPr="00092ED7" w:rsidRDefault="00D210F0" w:rsidP="00E44EF2">
            <w:pPr>
              <w:spacing w:after="0"/>
              <w:jc w:val="center"/>
              <w:rPr>
                <w:rFonts w:cs="Times New Roman"/>
                <w:bCs/>
                <w:i/>
                <w:color w:val="000000"/>
                <w:sz w:val="20"/>
                <w:szCs w:val="20"/>
                <w:lang w:val="sr-Cyrl-CS"/>
              </w:rPr>
            </w:pPr>
            <w:r w:rsidRPr="00092ED7">
              <w:rPr>
                <w:rFonts w:cs="Times New Roman"/>
                <w:bCs/>
                <w:i/>
                <w:color w:val="000000"/>
                <w:sz w:val="20"/>
                <w:szCs w:val="20"/>
                <w:lang w:val="sr-Cyrl-CS"/>
              </w:rPr>
              <w:t>Q2</w:t>
            </w:r>
          </w:p>
        </w:tc>
        <w:tc>
          <w:tcPr>
            <w:tcW w:w="422"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03995D53" w14:textId="77777777" w:rsidR="00D210F0" w:rsidRPr="00092ED7" w:rsidRDefault="00D210F0" w:rsidP="00E44EF2">
            <w:pPr>
              <w:spacing w:after="0"/>
              <w:jc w:val="center"/>
              <w:rPr>
                <w:rFonts w:cs="Times New Roman"/>
                <w:bCs/>
                <w:i/>
                <w:color w:val="000000"/>
                <w:sz w:val="20"/>
                <w:szCs w:val="20"/>
                <w:lang w:val="sr-Cyrl-CS"/>
              </w:rPr>
            </w:pPr>
            <w:r w:rsidRPr="00092ED7">
              <w:rPr>
                <w:rFonts w:cs="Times New Roman"/>
                <w:bCs/>
                <w:i/>
                <w:color w:val="000000"/>
                <w:sz w:val="20"/>
                <w:szCs w:val="20"/>
                <w:lang w:val="sr-Cyrl-CS"/>
              </w:rPr>
              <w:t>Q3</w:t>
            </w:r>
          </w:p>
        </w:tc>
        <w:tc>
          <w:tcPr>
            <w:tcW w:w="422"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2D9DE536" w14:textId="77777777" w:rsidR="00D210F0" w:rsidRPr="00092ED7" w:rsidRDefault="00D210F0" w:rsidP="00E44EF2">
            <w:pPr>
              <w:spacing w:after="0"/>
              <w:jc w:val="center"/>
              <w:rPr>
                <w:rFonts w:cs="Times New Roman"/>
                <w:bCs/>
                <w:i/>
                <w:color w:val="000000"/>
                <w:sz w:val="20"/>
                <w:szCs w:val="20"/>
                <w:lang w:val="sr-Cyrl-CS"/>
              </w:rPr>
            </w:pPr>
            <w:r w:rsidRPr="00092ED7">
              <w:rPr>
                <w:rFonts w:cs="Times New Roman"/>
                <w:bCs/>
                <w:i/>
                <w:color w:val="000000"/>
                <w:sz w:val="20"/>
                <w:szCs w:val="20"/>
                <w:lang w:val="sr-Cyrl-CS"/>
              </w:rPr>
              <w:t>Q4</w:t>
            </w:r>
          </w:p>
        </w:tc>
        <w:tc>
          <w:tcPr>
            <w:tcW w:w="422"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1D6F1AF7" w14:textId="77777777" w:rsidR="00D210F0" w:rsidRPr="00092ED7" w:rsidRDefault="00D210F0" w:rsidP="00E44EF2">
            <w:pPr>
              <w:spacing w:after="0"/>
              <w:jc w:val="center"/>
              <w:rPr>
                <w:rFonts w:cs="Times New Roman"/>
                <w:bCs/>
                <w:i/>
                <w:color w:val="000000"/>
                <w:sz w:val="20"/>
                <w:szCs w:val="20"/>
                <w:lang w:val="sr-Cyrl-CS"/>
              </w:rPr>
            </w:pPr>
            <w:r w:rsidRPr="00092ED7">
              <w:rPr>
                <w:rFonts w:cs="Times New Roman"/>
                <w:bCs/>
                <w:i/>
                <w:color w:val="000000"/>
                <w:sz w:val="20"/>
                <w:szCs w:val="20"/>
                <w:lang w:val="sr-Cyrl-CS"/>
              </w:rPr>
              <w:t>Q1</w:t>
            </w:r>
          </w:p>
        </w:tc>
        <w:tc>
          <w:tcPr>
            <w:tcW w:w="422"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4A6A411C" w14:textId="77777777" w:rsidR="00D210F0" w:rsidRPr="00092ED7" w:rsidRDefault="00D210F0" w:rsidP="00E44EF2">
            <w:pPr>
              <w:spacing w:after="0"/>
              <w:jc w:val="center"/>
              <w:rPr>
                <w:rFonts w:cs="Times New Roman"/>
                <w:bCs/>
                <w:i/>
                <w:color w:val="000000"/>
                <w:sz w:val="20"/>
                <w:szCs w:val="20"/>
                <w:lang w:val="sr-Cyrl-CS"/>
              </w:rPr>
            </w:pPr>
            <w:r w:rsidRPr="00092ED7">
              <w:rPr>
                <w:rFonts w:cs="Times New Roman"/>
                <w:bCs/>
                <w:i/>
                <w:color w:val="000000"/>
                <w:sz w:val="20"/>
                <w:szCs w:val="20"/>
                <w:lang w:val="sr-Cyrl-CS"/>
              </w:rPr>
              <w:t>Q2</w:t>
            </w:r>
          </w:p>
        </w:tc>
        <w:tc>
          <w:tcPr>
            <w:tcW w:w="422"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69509EAB" w14:textId="77777777" w:rsidR="00D210F0" w:rsidRPr="00092ED7" w:rsidRDefault="00D210F0" w:rsidP="00E44EF2">
            <w:pPr>
              <w:spacing w:after="0"/>
              <w:jc w:val="center"/>
              <w:rPr>
                <w:rFonts w:cs="Times New Roman"/>
                <w:bCs/>
                <w:i/>
                <w:color w:val="000000"/>
                <w:sz w:val="20"/>
                <w:szCs w:val="20"/>
                <w:lang w:val="sr-Cyrl-CS"/>
              </w:rPr>
            </w:pPr>
            <w:r w:rsidRPr="00092ED7">
              <w:rPr>
                <w:rFonts w:cs="Times New Roman"/>
                <w:bCs/>
                <w:i/>
                <w:color w:val="000000"/>
                <w:sz w:val="20"/>
                <w:szCs w:val="20"/>
                <w:lang w:val="sr-Cyrl-CS"/>
              </w:rPr>
              <w:t>Q3</w:t>
            </w:r>
          </w:p>
        </w:tc>
        <w:tc>
          <w:tcPr>
            <w:tcW w:w="422"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54E3FB9C" w14:textId="77777777" w:rsidR="00D210F0" w:rsidRPr="00092ED7" w:rsidRDefault="00D210F0" w:rsidP="00E44EF2">
            <w:pPr>
              <w:spacing w:after="0"/>
              <w:jc w:val="center"/>
              <w:rPr>
                <w:rFonts w:cs="Times New Roman"/>
                <w:bCs/>
                <w:i/>
                <w:color w:val="000000"/>
                <w:sz w:val="20"/>
                <w:szCs w:val="20"/>
                <w:lang w:val="sr-Cyrl-CS"/>
              </w:rPr>
            </w:pPr>
            <w:r w:rsidRPr="00092ED7">
              <w:rPr>
                <w:rFonts w:cs="Times New Roman"/>
                <w:bCs/>
                <w:i/>
                <w:color w:val="000000"/>
                <w:sz w:val="20"/>
                <w:szCs w:val="20"/>
                <w:lang w:val="sr-Cyrl-CS"/>
              </w:rPr>
              <w:t>Q4</w:t>
            </w:r>
          </w:p>
        </w:tc>
        <w:tc>
          <w:tcPr>
            <w:tcW w:w="422"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49386251" w14:textId="77777777" w:rsidR="00D210F0" w:rsidRPr="00092ED7" w:rsidRDefault="00D210F0" w:rsidP="00E44EF2">
            <w:pPr>
              <w:spacing w:after="0"/>
              <w:jc w:val="center"/>
              <w:rPr>
                <w:rFonts w:cs="Times New Roman"/>
                <w:bCs/>
                <w:i/>
                <w:color w:val="000000"/>
                <w:sz w:val="20"/>
                <w:szCs w:val="20"/>
                <w:lang w:val="sr-Cyrl-CS"/>
              </w:rPr>
            </w:pPr>
            <w:r w:rsidRPr="00092ED7">
              <w:rPr>
                <w:rFonts w:cs="Times New Roman"/>
                <w:bCs/>
                <w:i/>
                <w:color w:val="000000"/>
                <w:sz w:val="20"/>
                <w:szCs w:val="20"/>
                <w:lang w:val="sr-Cyrl-CS"/>
              </w:rPr>
              <w:t>Q1</w:t>
            </w:r>
          </w:p>
        </w:tc>
        <w:tc>
          <w:tcPr>
            <w:tcW w:w="422"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1320A4AE" w14:textId="77777777" w:rsidR="00D210F0" w:rsidRPr="00092ED7" w:rsidRDefault="00D210F0" w:rsidP="00E44EF2">
            <w:pPr>
              <w:spacing w:after="0"/>
              <w:jc w:val="center"/>
              <w:rPr>
                <w:rFonts w:cs="Times New Roman"/>
                <w:bCs/>
                <w:i/>
                <w:color w:val="000000"/>
                <w:sz w:val="20"/>
                <w:szCs w:val="20"/>
                <w:lang w:val="sr-Cyrl-CS"/>
              </w:rPr>
            </w:pPr>
            <w:r w:rsidRPr="00092ED7">
              <w:rPr>
                <w:rFonts w:cs="Times New Roman"/>
                <w:bCs/>
                <w:i/>
                <w:color w:val="000000"/>
                <w:sz w:val="20"/>
                <w:szCs w:val="20"/>
                <w:lang w:val="sr-Cyrl-CS"/>
              </w:rPr>
              <w:t>Q2</w:t>
            </w:r>
          </w:p>
        </w:tc>
        <w:tc>
          <w:tcPr>
            <w:tcW w:w="422"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665A6639" w14:textId="77777777" w:rsidR="00D210F0" w:rsidRPr="00092ED7" w:rsidRDefault="00D210F0" w:rsidP="00E44EF2">
            <w:pPr>
              <w:spacing w:after="0"/>
              <w:jc w:val="center"/>
              <w:rPr>
                <w:rFonts w:cs="Times New Roman"/>
                <w:bCs/>
                <w:i/>
                <w:color w:val="000000"/>
                <w:sz w:val="20"/>
                <w:szCs w:val="20"/>
                <w:lang w:val="sr-Cyrl-CS"/>
              </w:rPr>
            </w:pPr>
            <w:r w:rsidRPr="00092ED7">
              <w:rPr>
                <w:rFonts w:cs="Times New Roman"/>
                <w:bCs/>
                <w:i/>
                <w:color w:val="000000"/>
                <w:sz w:val="20"/>
                <w:szCs w:val="20"/>
                <w:lang w:val="sr-Cyrl-CS"/>
              </w:rPr>
              <w:t>Q3</w:t>
            </w:r>
          </w:p>
        </w:tc>
        <w:tc>
          <w:tcPr>
            <w:tcW w:w="422"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35108FB2" w14:textId="77777777" w:rsidR="00D210F0" w:rsidRPr="00092ED7" w:rsidRDefault="00D210F0" w:rsidP="00E44EF2">
            <w:pPr>
              <w:spacing w:after="0"/>
              <w:jc w:val="center"/>
              <w:rPr>
                <w:rFonts w:cs="Times New Roman"/>
                <w:bCs/>
                <w:i/>
                <w:color w:val="000000"/>
                <w:sz w:val="20"/>
                <w:szCs w:val="20"/>
                <w:lang w:val="sr-Cyrl-CS"/>
              </w:rPr>
            </w:pPr>
            <w:r w:rsidRPr="00092ED7">
              <w:rPr>
                <w:rFonts w:cs="Times New Roman"/>
                <w:bCs/>
                <w:i/>
                <w:color w:val="000000"/>
                <w:sz w:val="20"/>
                <w:szCs w:val="20"/>
                <w:lang w:val="sr-Cyrl-CS"/>
              </w:rPr>
              <w:t>Q4</w:t>
            </w:r>
          </w:p>
        </w:tc>
      </w:tr>
      <w:tr w:rsidR="00D210F0" w:rsidRPr="00092ED7" w14:paraId="19647D0F" w14:textId="77777777" w:rsidTr="00532A5F">
        <w:trPr>
          <w:trHeight w:val="300"/>
        </w:trPr>
        <w:tc>
          <w:tcPr>
            <w:tcW w:w="426" w:type="dxa"/>
            <w:tcBorders>
              <w:top w:val="nil"/>
              <w:left w:val="single" w:sz="8" w:space="0" w:color="auto"/>
              <w:bottom w:val="single" w:sz="4" w:space="0" w:color="auto"/>
              <w:right w:val="nil"/>
            </w:tcBorders>
            <w:shd w:val="clear" w:color="auto" w:fill="auto"/>
          </w:tcPr>
          <w:p w14:paraId="67C2C043" w14:textId="77777777" w:rsidR="00D210F0" w:rsidRPr="00092ED7" w:rsidRDefault="00D210F0" w:rsidP="00AB722F">
            <w:pPr>
              <w:spacing w:after="0"/>
              <w:jc w:val="center"/>
              <w:rPr>
                <w:rFonts w:eastAsia="Times New Roman" w:cs="Times New Roman"/>
                <w:bCs/>
                <w:sz w:val="20"/>
                <w:szCs w:val="20"/>
                <w:lang w:val="sr-Cyrl-CS"/>
              </w:rPr>
            </w:pPr>
            <w:r w:rsidRPr="00092ED7">
              <w:rPr>
                <w:rFonts w:eastAsia="Times New Roman" w:cs="Times New Roman"/>
                <w:bCs/>
                <w:sz w:val="20"/>
                <w:szCs w:val="20"/>
                <w:lang w:val="sr-Cyrl-CS"/>
              </w:rPr>
              <w:t>1.</w:t>
            </w:r>
          </w:p>
        </w:tc>
        <w:tc>
          <w:tcPr>
            <w:tcW w:w="3533" w:type="dxa"/>
            <w:tcBorders>
              <w:top w:val="nil"/>
              <w:left w:val="single" w:sz="8" w:space="0" w:color="auto"/>
              <w:bottom w:val="single" w:sz="4" w:space="0" w:color="auto"/>
              <w:right w:val="nil"/>
            </w:tcBorders>
            <w:shd w:val="clear" w:color="auto" w:fill="auto"/>
          </w:tcPr>
          <w:p w14:paraId="3556B736" w14:textId="77777777" w:rsidR="00D210F0" w:rsidRPr="00092ED7" w:rsidRDefault="00D210F0" w:rsidP="00E44EF2">
            <w:pPr>
              <w:spacing w:after="0"/>
              <w:rPr>
                <w:rFonts w:eastAsia="Times New Roman" w:cs="Times New Roman"/>
                <w:sz w:val="20"/>
                <w:szCs w:val="20"/>
                <w:lang w:val="sr-Cyrl-CS"/>
              </w:rPr>
            </w:pPr>
            <w:r w:rsidRPr="00092ED7">
              <w:rPr>
                <w:rFonts w:eastAsia="Times New Roman" w:cs="Times New Roman"/>
                <w:sz w:val="20"/>
                <w:szCs w:val="20"/>
                <w:lang w:val="sr-Cyrl-CS"/>
              </w:rPr>
              <w:t>Подршка привредним субјектима у транзицији на моделе пословања засноване на принципима циркуларне економије</w:t>
            </w:r>
          </w:p>
        </w:tc>
        <w:tc>
          <w:tcPr>
            <w:tcW w:w="422" w:type="dxa"/>
            <w:tcBorders>
              <w:top w:val="single" w:sz="4" w:space="0" w:color="auto"/>
              <w:left w:val="single" w:sz="8" w:space="0" w:color="auto"/>
              <w:bottom w:val="single" w:sz="4" w:space="0" w:color="auto"/>
              <w:right w:val="single" w:sz="4" w:space="0" w:color="auto"/>
            </w:tcBorders>
            <w:shd w:val="clear" w:color="auto" w:fill="D9D9D9" w:themeFill="background1" w:themeFillShade="D9"/>
            <w:vAlign w:val="center"/>
          </w:tcPr>
          <w:p w14:paraId="5ABF6988" w14:textId="77777777" w:rsidR="00D210F0" w:rsidRPr="00092ED7" w:rsidRDefault="00D210F0" w:rsidP="00E44EF2">
            <w:pPr>
              <w:spacing w:after="0"/>
              <w:jc w:val="center"/>
              <w:rPr>
                <w:rFonts w:eastAsia="Times New Roman" w:cs="Times New Roman"/>
                <w:sz w:val="20"/>
                <w:szCs w:val="20"/>
                <w:highlight w:val="lightGray"/>
                <w:lang w:val="sr-Cyrl-CS"/>
              </w:rPr>
            </w:pPr>
          </w:p>
        </w:tc>
        <w:tc>
          <w:tcPr>
            <w:tcW w:w="422"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7C407B37" w14:textId="77777777" w:rsidR="00D210F0" w:rsidRPr="00092ED7" w:rsidRDefault="00D210F0" w:rsidP="00E44EF2">
            <w:pPr>
              <w:spacing w:after="0"/>
              <w:jc w:val="center"/>
              <w:rPr>
                <w:rFonts w:eastAsia="Times New Roman" w:cs="Times New Roman"/>
                <w:sz w:val="20"/>
                <w:szCs w:val="20"/>
                <w:highlight w:val="lightGray"/>
                <w:lang w:val="sr-Cyrl-CS"/>
              </w:rPr>
            </w:pPr>
          </w:p>
        </w:tc>
        <w:tc>
          <w:tcPr>
            <w:tcW w:w="422"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50C3F400" w14:textId="77777777" w:rsidR="00D210F0" w:rsidRPr="00092ED7" w:rsidRDefault="00D210F0" w:rsidP="00E44EF2">
            <w:pPr>
              <w:spacing w:after="0"/>
              <w:jc w:val="center"/>
              <w:rPr>
                <w:rFonts w:eastAsia="Times New Roman" w:cs="Times New Roman"/>
                <w:sz w:val="20"/>
                <w:szCs w:val="20"/>
                <w:highlight w:val="lightGray"/>
                <w:lang w:val="sr-Cyrl-CS"/>
              </w:rPr>
            </w:pPr>
          </w:p>
        </w:tc>
        <w:tc>
          <w:tcPr>
            <w:tcW w:w="422" w:type="dxa"/>
            <w:tcBorders>
              <w:top w:val="single" w:sz="4" w:space="0" w:color="auto"/>
              <w:left w:val="nil"/>
              <w:bottom w:val="single" w:sz="4" w:space="0" w:color="auto"/>
              <w:right w:val="single" w:sz="8" w:space="0" w:color="auto"/>
            </w:tcBorders>
            <w:shd w:val="clear" w:color="auto" w:fill="D9D9D9" w:themeFill="background1" w:themeFillShade="D9"/>
            <w:vAlign w:val="center"/>
          </w:tcPr>
          <w:p w14:paraId="08748A22" w14:textId="77777777" w:rsidR="00D210F0" w:rsidRPr="00092ED7" w:rsidRDefault="00D210F0" w:rsidP="00E44EF2">
            <w:pPr>
              <w:spacing w:after="0"/>
              <w:jc w:val="center"/>
              <w:rPr>
                <w:rFonts w:eastAsia="Times New Roman" w:cs="Times New Roman"/>
                <w:sz w:val="20"/>
                <w:szCs w:val="20"/>
                <w:highlight w:val="lightGray"/>
                <w:lang w:val="sr-Cyrl-CS"/>
              </w:rPr>
            </w:pPr>
          </w:p>
        </w:tc>
        <w:tc>
          <w:tcPr>
            <w:tcW w:w="422"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79E3DD91" w14:textId="77777777" w:rsidR="00D210F0" w:rsidRPr="00092ED7" w:rsidRDefault="00D210F0" w:rsidP="00E44EF2">
            <w:pPr>
              <w:spacing w:after="0"/>
              <w:jc w:val="center"/>
              <w:rPr>
                <w:rFonts w:eastAsia="Times New Roman" w:cs="Times New Roman"/>
                <w:sz w:val="20"/>
                <w:szCs w:val="20"/>
                <w:lang w:val="sr-Cyrl-CS"/>
              </w:rPr>
            </w:pPr>
          </w:p>
        </w:tc>
        <w:tc>
          <w:tcPr>
            <w:tcW w:w="422"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35B7EBC1" w14:textId="77777777" w:rsidR="00D210F0" w:rsidRPr="00092ED7" w:rsidRDefault="00D210F0" w:rsidP="00E44EF2">
            <w:pPr>
              <w:spacing w:after="0"/>
              <w:jc w:val="center"/>
              <w:rPr>
                <w:rFonts w:eastAsia="Times New Roman" w:cs="Times New Roman"/>
                <w:sz w:val="20"/>
                <w:szCs w:val="20"/>
                <w:lang w:val="sr-Cyrl-CS"/>
              </w:rPr>
            </w:pPr>
          </w:p>
        </w:tc>
        <w:tc>
          <w:tcPr>
            <w:tcW w:w="422"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6BDC0A20" w14:textId="77777777" w:rsidR="00D210F0" w:rsidRPr="00092ED7" w:rsidRDefault="00D210F0" w:rsidP="00E44EF2">
            <w:pPr>
              <w:spacing w:after="0"/>
              <w:jc w:val="center"/>
              <w:rPr>
                <w:rFonts w:eastAsia="Times New Roman" w:cs="Times New Roman"/>
                <w:sz w:val="20"/>
                <w:szCs w:val="20"/>
                <w:lang w:val="sr-Cyrl-CS"/>
              </w:rPr>
            </w:pPr>
          </w:p>
        </w:tc>
        <w:tc>
          <w:tcPr>
            <w:tcW w:w="422" w:type="dxa"/>
            <w:tcBorders>
              <w:top w:val="single" w:sz="4" w:space="0" w:color="auto"/>
              <w:left w:val="nil"/>
              <w:bottom w:val="single" w:sz="4" w:space="0" w:color="auto"/>
              <w:right w:val="single" w:sz="8" w:space="0" w:color="auto"/>
            </w:tcBorders>
            <w:shd w:val="clear" w:color="auto" w:fill="D9D9D9" w:themeFill="background1" w:themeFillShade="D9"/>
            <w:vAlign w:val="center"/>
          </w:tcPr>
          <w:p w14:paraId="737D649C" w14:textId="77777777" w:rsidR="00D210F0" w:rsidRPr="00092ED7" w:rsidRDefault="00D210F0" w:rsidP="00E44EF2">
            <w:pPr>
              <w:spacing w:after="0"/>
              <w:jc w:val="center"/>
              <w:rPr>
                <w:rFonts w:eastAsia="Times New Roman" w:cs="Times New Roman"/>
                <w:sz w:val="20"/>
                <w:szCs w:val="20"/>
                <w:lang w:val="sr-Cyrl-CS"/>
              </w:rPr>
            </w:pPr>
          </w:p>
        </w:tc>
        <w:tc>
          <w:tcPr>
            <w:tcW w:w="422" w:type="dxa"/>
            <w:tcBorders>
              <w:top w:val="single" w:sz="4" w:space="0" w:color="auto"/>
              <w:left w:val="nil"/>
              <w:bottom w:val="single" w:sz="4" w:space="0" w:color="auto"/>
              <w:right w:val="single" w:sz="4" w:space="0" w:color="auto"/>
            </w:tcBorders>
            <w:shd w:val="clear" w:color="auto" w:fill="FFFFFF" w:themeFill="background1"/>
            <w:vAlign w:val="center"/>
          </w:tcPr>
          <w:p w14:paraId="2C899F99" w14:textId="77777777" w:rsidR="00D210F0" w:rsidRPr="00092ED7" w:rsidRDefault="00D210F0" w:rsidP="00E44EF2">
            <w:pPr>
              <w:spacing w:after="0"/>
              <w:jc w:val="center"/>
              <w:rPr>
                <w:rFonts w:eastAsia="Times New Roman" w:cs="Times New Roman"/>
                <w:sz w:val="20"/>
                <w:szCs w:val="20"/>
                <w:lang w:val="sr-Cyrl-CS"/>
              </w:rPr>
            </w:pPr>
          </w:p>
        </w:tc>
        <w:tc>
          <w:tcPr>
            <w:tcW w:w="422" w:type="dxa"/>
            <w:tcBorders>
              <w:top w:val="single" w:sz="4" w:space="0" w:color="auto"/>
              <w:left w:val="nil"/>
              <w:bottom w:val="single" w:sz="4" w:space="0" w:color="auto"/>
              <w:right w:val="single" w:sz="4" w:space="0" w:color="auto"/>
            </w:tcBorders>
            <w:shd w:val="clear" w:color="auto" w:fill="FFFFFF" w:themeFill="background1"/>
            <w:vAlign w:val="center"/>
          </w:tcPr>
          <w:p w14:paraId="36BC6BDA" w14:textId="77777777" w:rsidR="00D210F0" w:rsidRPr="00092ED7" w:rsidRDefault="00D210F0" w:rsidP="00E44EF2">
            <w:pPr>
              <w:spacing w:after="0"/>
              <w:jc w:val="center"/>
              <w:rPr>
                <w:rFonts w:eastAsia="Times New Roman" w:cs="Times New Roman"/>
                <w:sz w:val="20"/>
                <w:szCs w:val="20"/>
                <w:lang w:val="sr-Cyrl-CS"/>
              </w:rPr>
            </w:pPr>
          </w:p>
        </w:tc>
        <w:tc>
          <w:tcPr>
            <w:tcW w:w="422" w:type="dxa"/>
            <w:tcBorders>
              <w:top w:val="single" w:sz="4" w:space="0" w:color="auto"/>
              <w:left w:val="nil"/>
              <w:bottom w:val="single" w:sz="4" w:space="0" w:color="auto"/>
              <w:right w:val="single" w:sz="4" w:space="0" w:color="auto"/>
            </w:tcBorders>
            <w:shd w:val="clear" w:color="auto" w:fill="FFFFFF" w:themeFill="background1"/>
            <w:vAlign w:val="center"/>
          </w:tcPr>
          <w:p w14:paraId="758257AB" w14:textId="77777777" w:rsidR="00D210F0" w:rsidRPr="00092ED7" w:rsidRDefault="00D210F0" w:rsidP="00E44EF2">
            <w:pPr>
              <w:spacing w:after="0"/>
              <w:jc w:val="center"/>
              <w:rPr>
                <w:rFonts w:eastAsia="Times New Roman" w:cs="Times New Roman"/>
                <w:sz w:val="20"/>
                <w:szCs w:val="20"/>
                <w:lang w:val="sr-Cyrl-CS"/>
              </w:rPr>
            </w:pPr>
          </w:p>
        </w:tc>
        <w:tc>
          <w:tcPr>
            <w:tcW w:w="422" w:type="dxa"/>
            <w:tcBorders>
              <w:top w:val="single" w:sz="4" w:space="0" w:color="auto"/>
              <w:left w:val="nil"/>
              <w:bottom w:val="single" w:sz="4" w:space="0" w:color="auto"/>
              <w:right w:val="single" w:sz="8" w:space="0" w:color="auto"/>
            </w:tcBorders>
            <w:shd w:val="clear" w:color="auto" w:fill="FFFFFF" w:themeFill="background1"/>
            <w:vAlign w:val="center"/>
          </w:tcPr>
          <w:p w14:paraId="246A3448" w14:textId="77777777" w:rsidR="00D210F0" w:rsidRPr="00092ED7" w:rsidRDefault="00D210F0" w:rsidP="00E44EF2">
            <w:pPr>
              <w:spacing w:after="0"/>
              <w:jc w:val="center"/>
              <w:rPr>
                <w:rFonts w:eastAsia="Times New Roman" w:cs="Times New Roman"/>
                <w:sz w:val="20"/>
                <w:szCs w:val="20"/>
                <w:lang w:val="sr-Cyrl-CS"/>
              </w:rPr>
            </w:pPr>
          </w:p>
        </w:tc>
      </w:tr>
      <w:tr w:rsidR="002E61FD" w:rsidRPr="00092ED7" w14:paraId="4029FDF2" w14:textId="77777777" w:rsidTr="00AB722F">
        <w:trPr>
          <w:trHeight w:val="300"/>
        </w:trPr>
        <w:tc>
          <w:tcPr>
            <w:tcW w:w="426" w:type="dxa"/>
            <w:tcBorders>
              <w:top w:val="nil"/>
              <w:left w:val="single" w:sz="8" w:space="0" w:color="auto"/>
              <w:bottom w:val="single" w:sz="4" w:space="0" w:color="auto"/>
              <w:right w:val="nil"/>
            </w:tcBorders>
            <w:shd w:val="clear" w:color="auto" w:fill="auto"/>
          </w:tcPr>
          <w:p w14:paraId="3F1E6631" w14:textId="77777777" w:rsidR="00D210F0" w:rsidRPr="00092ED7" w:rsidRDefault="00D210F0" w:rsidP="00AB722F">
            <w:pPr>
              <w:spacing w:after="0"/>
              <w:jc w:val="center"/>
              <w:rPr>
                <w:rFonts w:eastAsia="Times New Roman" w:cs="Times New Roman"/>
                <w:bCs/>
                <w:sz w:val="20"/>
                <w:szCs w:val="20"/>
                <w:lang w:val="sr-Cyrl-CS"/>
              </w:rPr>
            </w:pPr>
            <w:r w:rsidRPr="00092ED7">
              <w:rPr>
                <w:rFonts w:eastAsia="Times New Roman" w:cs="Times New Roman"/>
                <w:bCs/>
                <w:sz w:val="20"/>
                <w:szCs w:val="20"/>
                <w:lang w:val="sr-Cyrl-CS"/>
              </w:rPr>
              <w:t>2.</w:t>
            </w:r>
          </w:p>
        </w:tc>
        <w:tc>
          <w:tcPr>
            <w:tcW w:w="3533" w:type="dxa"/>
            <w:tcBorders>
              <w:top w:val="nil"/>
              <w:left w:val="single" w:sz="8" w:space="0" w:color="auto"/>
              <w:bottom w:val="single" w:sz="4" w:space="0" w:color="auto"/>
              <w:right w:val="nil"/>
            </w:tcBorders>
            <w:shd w:val="clear" w:color="auto" w:fill="auto"/>
          </w:tcPr>
          <w:p w14:paraId="0C43330E" w14:textId="77777777" w:rsidR="00D210F0" w:rsidRPr="00092ED7" w:rsidRDefault="00D210F0" w:rsidP="00E44EF2">
            <w:pPr>
              <w:spacing w:after="0"/>
              <w:rPr>
                <w:rFonts w:eastAsia="Times New Roman" w:cs="Times New Roman"/>
                <w:sz w:val="20"/>
                <w:szCs w:val="20"/>
                <w:lang w:val="sr-Cyrl-CS"/>
              </w:rPr>
            </w:pPr>
            <w:r w:rsidRPr="00092ED7">
              <w:rPr>
                <w:rFonts w:eastAsia="Times New Roman" w:cs="Times New Roman"/>
                <w:sz w:val="20"/>
                <w:szCs w:val="20"/>
                <w:lang w:val="sr-Cyrl-CS"/>
              </w:rPr>
              <w:t>Подршка локалним самоуправама у изради локалних мапа пута за циркуларну економију</w:t>
            </w:r>
          </w:p>
        </w:tc>
        <w:tc>
          <w:tcPr>
            <w:tcW w:w="422" w:type="dxa"/>
            <w:tcBorders>
              <w:top w:val="nil"/>
              <w:left w:val="single" w:sz="8" w:space="0" w:color="auto"/>
              <w:bottom w:val="single" w:sz="4" w:space="0" w:color="auto"/>
              <w:right w:val="single" w:sz="4" w:space="0" w:color="auto"/>
            </w:tcBorders>
            <w:shd w:val="clear" w:color="auto" w:fill="D9D9D9" w:themeFill="background1" w:themeFillShade="D9"/>
            <w:vAlign w:val="center"/>
          </w:tcPr>
          <w:p w14:paraId="090A5DFB" w14:textId="77777777" w:rsidR="00D210F0" w:rsidRPr="00092ED7" w:rsidRDefault="00D210F0" w:rsidP="00E44EF2">
            <w:pPr>
              <w:spacing w:after="0"/>
              <w:jc w:val="center"/>
              <w:rPr>
                <w:rFonts w:eastAsia="Times New Roman" w:cs="Times New Roman"/>
                <w:sz w:val="20"/>
                <w:szCs w:val="20"/>
                <w:highlight w:val="lightGray"/>
                <w:lang w:val="sr-Cyrl-CS"/>
              </w:rPr>
            </w:pPr>
          </w:p>
        </w:tc>
        <w:tc>
          <w:tcPr>
            <w:tcW w:w="422" w:type="dxa"/>
            <w:tcBorders>
              <w:top w:val="nil"/>
              <w:left w:val="nil"/>
              <w:bottom w:val="single" w:sz="4" w:space="0" w:color="auto"/>
              <w:right w:val="single" w:sz="4" w:space="0" w:color="auto"/>
            </w:tcBorders>
            <w:shd w:val="clear" w:color="auto" w:fill="D9D9D9" w:themeFill="background1" w:themeFillShade="D9"/>
            <w:vAlign w:val="center"/>
          </w:tcPr>
          <w:p w14:paraId="6DC41B01" w14:textId="77777777" w:rsidR="00D210F0" w:rsidRPr="00092ED7" w:rsidRDefault="00D210F0" w:rsidP="00E44EF2">
            <w:pPr>
              <w:spacing w:after="0"/>
              <w:jc w:val="center"/>
              <w:rPr>
                <w:rFonts w:eastAsia="Times New Roman" w:cs="Times New Roman"/>
                <w:sz w:val="20"/>
                <w:szCs w:val="20"/>
                <w:highlight w:val="lightGray"/>
                <w:lang w:val="sr-Cyrl-CS"/>
              </w:rPr>
            </w:pPr>
          </w:p>
        </w:tc>
        <w:tc>
          <w:tcPr>
            <w:tcW w:w="422" w:type="dxa"/>
            <w:tcBorders>
              <w:top w:val="nil"/>
              <w:left w:val="nil"/>
              <w:bottom w:val="single" w:sz="4" w:space="0" w:color="auto"/>
              <w:right w:val="single" w:sz="4" w:space="0" w:color="auto"/>
            </w:tcBorders>
            <w:shd w:val="clear" w:color="auto" w:fill="D9D9D9" w:themeFill="background1" w:themeFillShade="D9"/>
            <w:vAlign w:val="center"/>
          </w:tcPr>
          <w:p w14:paraId="174CF7BE" w14:textId="77777777" w:rsidR="00D210F0" w:rsidRPr="00092ED7" w:rsidRDefault="00D210F0" w:rsidP="00E44EF2">
            <w:pPr>
              <w:spacing w:after="0"/>
              <w:jc w:val="center"/>
              <w:rPr>
                <w:rFonts w:eastAsia="Times New Roman" w:cs="Times New Roman"/>
                <w:sz w:val="20"/>
                <w:szCs w:val="20"/>
                <w:highlight w:val="lightGray"/>
                <w:lang w:val="sr-Cyrl-CS"/>
              </w:rPr>
            </w:pPr>
          </w:p>
        </w:tc>
        <w:tc>
          <w:tcPr>
            <w:tcW w:w="422" w:type="dxa"/>
            <w:tcBorders>
              <w:top w:val="nil"/>
              <w:left w:val="nil"/>
              <w:bottom w:val="single" w:sz="4" w:space="0" w:color="auto"/>
              <w:right w:val="single" w:sz="8" w:space="0" w:color="auto"/>
            </w:tcBorders>
            <w:shd w:val="clear" w:color="auto" w:fill="D9D9D9" w:themeFill="background1" w:themeFillShade="D9"/>
            <w:vAlign w:val="center"/>
          </w:tcPr>
          <w:p w14:paraId="7EC8E998" w14:textId="77777777" w:rsidR="00D210F0" w:rsidRPr="00092ED7" w:rsidRDefault="00D210F0" w:rsidP="00E44EF2">
            <w:pPr>
              <w:spacing w:after="0"/>
              <w:jc w:val="center"/>
              <w:rPr>
                <w:rFonts w:eastAsia="Times New Roman" w:cs="Times New Roman"/>
                <w:sz w:val="20"/>
                <w:szCs w:val="20"/>
                <w:highlight w:val="lightGray"/>
                <w:lang w:val="sr-Cyrl-CS"/>
              </w:rPr>
            </w:pPr>
          </w:p>
        </w:tc>
        <w:tc>
          <w:tcPr>
            <w:tcW w:w="422" w:type="dxa"/>
            <w:tcBorders>
              <w:top w:val="nil"/>
              <w:left w:val="nil"/>
              <w:bottom w:val="single" w:sz="4" w:space="0" w:color="auto"/>
              <w:right w:val="single" w:sz="4" w:space="0" w:color="auto"/>
            </w:tcBorders>
            <w:shd w:val="clear" w:color="auto" w:fill="D9D9D9" w:themeFill="background1" w:themeFillShade="D9"/>
            <w:vAlign w:val="center"/>
          </w:tcPr>
          <w:p w14:paraId="7CB6678C" w14:textId="77777777" w:rsidR="00D210F0" w:rsidRPr="00092ED7" w:rsidRDefault="00D210F0" w:rsidP="00E44EF2">
            <w:pPr>
              <w:spacing w:after="0"/>
              <w:jc w:val="center"/>
              <w:rPr>
                <w:rFonts w:eastAsia="Times New Roman" w:cs="Times New Roman"/>
                <w:sz w:val="20"/>
                <w:szCs w:val="20"/>
                <w:lang w:val="sr-Cyrl-CS"/>
              </w:rPr>
            </w:pPr>
          </w:p>
        </w:tc>
        <w:tc>
          <w:tcPr>
            <w:tcW w:w="422" w:type="dxa"/>
            <w:tcBorders>
              <w:top w:val="nil"/>
              <w:left w:val="nil"/>
              <w:bottom w:val="single" w:sz="4" w:space="0" w:color="auto"/>
              <w:right w:val="single" w:sz="4" w:space="0" w:color="auto"/>
            </w:tcBorders>
            <w:shd w:val="clear" w:color="auto" w:fill="D9D9D9" w:themeFill="background1" w:themeFillShade="D9"/>
            <w:vAlign w:val="center"/>
          </w:tcPr>
          <w:p w14:paraId="7CAF6575" w14:textId="77777777" w:rsidR="00D210F0" w:rsidRPr="00092ED7" w:rsidRDefault="00D210F0" w:rsidP="00E44EF2">
            <w:pPr>
              <w:spacing w:after="0"/>
              <w:jc w:val="center"/>
              <w:rPr>
                <w:rFonts w:eastAsia="Times New Roman" w:cs="Times New Roman"/>
                <w:sz w:val="20"/>
                <w:szCs w:val="20"/>
                <w:lang w:val="sr-Cyrl-CS"/>
              </w:rPr>
            </w:pPr>
          </w:p>
        </w:tc>
        <w:tc>
          <w:tcPr>
            <w:tcW w:w="422" w:type="dxa"/>
            <w:tcBorders>
              <w:top w:val="nil"/>
              <w:left w:val="nil"/>
              <w:bottom w:val="single" w:sz="4" w:space="0" w:color="auto"/>
              <w:right w:val="single" w:sz="4" w:space="0" w:color="auto"/>
            </w:tcBorders>
            <w:shd w:val="clear" w:color="auto" w:fill="D9D9D9" w:themeFill="background1" w:themeFillShade="D9"/>
            <w:vAlign w:val="center"/>
          </w:tcPr>
          <w:p w14:paraId="6FD44697" w14:textId="77777777" w:rsidR="00D210F0" w:rsidRPr="00092ED7" w:rsidRDefault="00D210F0" w:rsidP="00E44EF2">
            <w:pPr>
              <w:spacing w:after="0"/>
              <w:jc w:val="center"/>
              <w:rPr>
                <w:rFonts w:eastAsia="Times New Roman" w:cs="Times New Roman"/>
                <w:sz w:val="20"/>
                <w:szCs w:val="20"/>
                <w:lang w:val="sr-Cyrl-CS"/>
              </w:rPr>
            </w:pPr>
          </w:p>
        </w:tc>
        <w:tc>
          <w:tcPr>
            <w:tcW w:w="422" w:type="dxa"/>
            <w:tcBorders>
              <w:top w:val="nil"/>
              <w:left w:val="nil"/>
              <w:bottom w:val="single" w:sz="4" w:space="0" w:color="auto"/>
              <w:right w:val="single" w:sz="8" w:space="0" w:color="auto"/>
            </w:tcBorders>
            <w:shd w:val="clear" w:color="auto" w:fill="D9D9D9" w:themeFill="background1" w:themeFillShade="D9"/>
            <w:vAlign w:val="center"/>
          </w:tcPr>
          <w:p w14:paraId="3DA51042" w14:textId="77777777" w:rsidR="00D210F0" w:rsidRPr="00092ED7" w:rsidRDefault="00D210F0" w:rsidP="00E44EF2">
            <w:pPr>
              <w:spacing w:after="0"/>
              <w:jc w:val="center"/>
              <w:rPr>
                <w:rFonts w:eastAsia="Times New Roman" w:cs="Times New Roman"/>
                <w:sz w:val="20"/>
                <w:szCs w:val="20"/>
                <w:lang w:val="sr-Cyrl-CS"/>
              </w:rPr>
            </w:pPr>
          </w:p>
        </w:tc>
        <w:tc>
          <w:tcPr>
            <w:tcW w:w="422" w:type="dxa"/>
            <w:tcBorders>
              <w:top w:val="nil"/>
              <w:left w:val="nil"/>
              <w:bottom w:val="single" w:sz="4" w:space="0" w:color="auto"/>
              <w:right w:val="single" w:sz="4" w:space="0" w:color="auto"/>
            </w:tcBorders>
            <w:shd w:val="clear" w:color="auto" w:fill="D9D9D9" w:themeFill="background1" w:themeFillShade="D9"/>
            <w:vAlign w:val="center"/>
          </w:tcPr>
          <w:p w14:paraId="006D8222" w14:textId="77777777" w:rsidR="00D210F0" w:rsidRPr="00092ED7" w:rsidRDefault="00D210F0" w:rsidP="00E44EF2">
            <w:pPr>
              <w:spacing w:after="0"/>
              <w:jc w:val="center"/>
              <w:rPr>
                <w:rFonts w:eastAsia="Times New Roman" w:cs="Times New Roman"/>
                <w:sz w:val="20"/>
                <w:szCs w:val="20"/>
                <w:lang w:val="sr-Cyrl-CS"/>
              </w:rPr>
            </w:pPr>
          </w:p>
        </w:tc>
        <w:tc>
          <w:tcPr>
            <w:tcW w:w="422" w:type="dxa"/>
            <w:tcBorders>
              <w:top w:val="nil"/>
              <w:left w:val="nil"/>
              <w:bottom w:val="single" w:sz="4" w:space="0" w:color="auto"/>
              <w:right w:val="single" w:sz="4" w:space="0" w:color="auto"/>
            </w:tcBorders>
            <w:shd w:val="clear" w:color="auto" w:fill="D9D9D9" w:themeFill="background1" w:themeFillShade="D9"/>
            <w:vAlign w:val="center"/>
          </w:tcPr>
          <w:p w14:paraId="0425F0C7" w14:textId="77777777" w:rsidR="00D210F0" w:rsidRPr="00092ED7" w:rsidRDefault="00D210F0" w:rsidP="00E44EF2">
            <w:pPr>
              <w:spacing w:after="0"/>
              <w:jc w:val="center"/>
              <w:rPr>
                <w:rFonts w:eastAsia="Times New Roman" w:cs="Times New Roman"/>
                <w:sz w:val="20"/>
                <w:szCs w:val="20"/>
                <w:lang w:val="sr-Cyrl-CS"/>
              </w:rPr>
            </w:pPr>
          </w:p>
        </w:tc>
        <w:tc>
          <w:tcPr>
            <w:tcW w:w="422" w:type="dxa"/>
            <w:tcBorders>
              <w:top w:val="nil"/>
              <w:left w:val="nil"/>
              <w:bottom w:val="single" w:sz="4" w:space="0" w:color="auto"/>
              <w:right w:val="single" w:sz="4" w:space="0" w:color="auto"/>
            </w:tcBorders>
            <w:shd w:val="clear" w:color="auto" w:fill="D9D9D9" w:themeFill="background1" w:themeFillShade="D9"/>
            <w:vAlign w:val="center"/>
          </w:tcPr>
          <w:p w14:paraId="3E92AC08" w14:textId="77777777" w:rsidR="00D210F0" w:rsidRPr="00092ED7" w:rsidRDefault="00D210F0" w:rsidP="00E44EF2">
            <w:pPr>
              <w:spacing w:after="0"/>
              <w:jc w:val="center"/>
              <w:rPr>
                <w:rFonts w:eastAsia="Times New Roman" w:cs="Times New Roman"/>
                <w:sz w:val="20"/>
                <w:szCs w:val="20"/>
                <w:lang w:val="sr-Cyrl-CS"/>
              </w:rPr>
            </w:pPr>
          </w:p>
        </w:tc>
        <w:tc>
          <w:tcPr>
            <w:tcW w:w="422" w:type="dxa"/>
            <w:tcBorders>
              <w:top w:val="nil"/>
              <w:left w:val="nil"/>
              <w:bottom w:val="single" w:sz="4" w:space="0" w:color="auto"/>
              <w:right w:val="single" w:sz="8" w:space="0" w:color="auto"/>
            </w:tcBorders>
            <w:shd w:val="clear" w:color="auto" w:fill="D9D9D9" w:themeFill="background1" w:themeFillShade="D9"/>
            <w:vAlign w:val="center"/>
          </w:tcPr>
          <w:p w14:paraId="1BDE748D" w14:textId="77777777" w:rsidR="00D210F0" w:rsidRPr="00092ED7" w:rsidRDefault="00D210F0" w:rsidP="00E44EF2">
            <w:pPr>
              <w:spacing w:after="0"/>
              <w:jc w:val="center"/>
              <w:rPr>
                <w:rFonts w:eastAsia="Times New Roman" w:cs="Times New Roman"/>
                <w:sz w:val="20"/>
                <w:szCs w:val="20"/>
                <w:lang w:val="sr-Cyrl-CS"/>
              </w:rPr>
            </w:pPr>
          </w:p>
        </w:tc>
      </w:tr>
      <w:tr w:rsidR="00BE2B7C" w:rsidRPr="00092ED7" w14:paraId="297F81B9" w14:textId="77777777" w:rsidTr="00AB722F">
        <w:trPr>
          <w:trHeight w:val="300"/>
        </w:trPr>
        <w:tc>
          <w:tcPr>
            <w:tcW w:w="426" w:type="dxa"/>
            <w:tcBorders>
              <w:top w:val="nil"/>
              <w:left w:val="single" w:sz="8" w:space="0" w:color="auto"/>
              <w:bottom w:val="single" w:sz="4" w:space="0" w:color="auto"/>
              <w:right w:val="nil"/>
            </w:tcBorders>
            <w:shd w:val="clear" w:color="auto" w:fill="auto"/>
          </w:tcPr>
          <w:p w14:paraId="25FFF3A6" w14:textId="77777777" w:rsidR="00D210F0" w:rsidRPr="00092ED7" w:rsidRDefault="00D210F0" w:rsidP="00AB722F">
            <w:pPr>
              <w:spacing w:after="0"/>
              <w:jc w:val="center"/>
              <w:rPr>
                <w:rFonts w:eastAsia="Times New Roman" w:cs="Times New Roman"/>
                <w:bCs/>
                <w:sz w:val="20"/>
                <w:szCs w:val="20"/>
                <w:lang w:val="sr-Cyrl-CS"/>
              </w:rPr>
            </w:pPr>
            <w:r w:rsidRPr="00092ED7">
              <w:rPr>
                <w:rFonts w:eastAsia="Times New Roman" w:cs="Times New Roman"/>
                <w:bCs/>
                <w:sz w:val="20"/>
                <w:szCs w:val="20"/>
                <w:lang w:val="sr-Cyrl-CS"/>
              </w:rPr>
              <w:t>3.</w:t>
            </w:r>
          </w:p>
        </w:tc>
        <w:tc>
          <w:tcPr>
            <w:tcW w:w="3533" w:type="dxa"/>
            <w:tcBorders>
              <w:top w:val="nil"/>
              <w:left w:val="single" w:sz="8" w:space="0" w:color="auto"/>
              <w:bottom w:val="single" w:sz="4" w:space="0" w:color="auto"/>
              <w:right w:val="nil"/>
            </w:tcBorders>
            <w:shd w:val="clear" w:color="auto" w:fill="auto"/>
          </w:tcPr>
          <w:p w14:paraId="6732ECC3" w14:textId="77777777" w:rsidR="00D210F0" w:rsidRPr="00092ED7" w:rsidRDefault="00D210F0" w:rsidP="00E44EF2">
            <w:pPr>
              <w:spacing w:after="0"/>
              <w:rPr>
                <w:rFonts w:eastAsia="Times New Roman" w:cs="Times New Roman"/>
                <w:sz w:val="20"/>
                <w:szCs w:val="20"/>
                <w:lang w:val="sr-Cyrl-CS"/>
              </w:rPr>
            </w:pPr>
            <w:r w:rsidRPr="00092ED7">
              <w:rPr>
                <w:rFonts w:eastAsia="Times New Roman" w:cs="Times New Roman"/>
                <w:sz w:val="20"/>
                <w:szCs w:val="20"/>
                <w:lang w:val="sr-Cyrl-CS"/>
              </w:rPr>
              <w:t>Унапређење сарадње бизнис и научно-истраживачког сектора кроз доделу циркуларних ваучера за технолошке иновације које доприносе примени концепта циркуларне економије</w:t>
            </w:r>
          </w:p>
        </w:tc>
        <w:tc>
          <w:tcPr>
            <w:tcW w:w="422" w:type="dxa"/>
            <w:tcBorders>
              <w:top w:val="nil"/>
              <w:left w:val="single" w:sz="8" w:space="0" w:color="auto"/>
              <w:bottom w:val="single" w:sz="4" w:space="0" w:color="auto"/>
              <w:right w:val="single" w:sz="4" w:space="0" w:color="auto"/>
            </w:tcBorders>
            <w:shd w:val="clear" w:color="auto" w:fill="D9D9D9" w:themeFill="background1" w:themeFillShade="D9"/>
            <w:vAlign w:val="center"/>
          </w:tcPr>
          <w:p w14:paraId="27B1DD4B" w14:textId="77777777" w:rsidR="00D210F0" w:rsidRPr="00092ED7" w:rsidRDefault="00D210F0" w:rsidP="00E44EF2">
            <w:pPr>
              <w:spacing w:after="0"/>
              <w:jc w:val="center"/>
              <w:rPr>
                <w:rFonts w:eastAsia="Times New Roman" w:cs="Times New Roman"/>
                <w:sz w:val="20"/>
                <w:szCs w:val="20"/>
                <w:lang w:val="sr-Cyrl-CS"/>
              </w:rPr>
            </w:pPr>
          </w:p>
        </w:tc>
        <w:tc>
          <w:tcPr>
            <w:tcW w:w="422" w:type="dxa"/>
            <w:tcBorders>
              <w:top w:val="nil"/>
              <w:left w:val="nil"/>
              <w:bottom w:val="single" w:sz="4" w:space="0" w:color="auto"/>
              <w:right w:val="single" w:sz="4" w:space="0" w:color="auto"/>
            </w:tcBorders>
            <w:shd w:val="clear" w:color="auto" w:fill="D9D9D9" w:themeFill="background1" w:themeFillShade="D9"/>
            <w:vAlign w:val="center"/>
          </w:tcPr>
          <w:p w14:paraId="6D8341A9" w14:textId="77777777" w:rsidR="00D210F0" w:rsidRPr="00092ED7" w:rsidRDefault="00D210F0" w:rsidP="00E44EF2">
            <w:pPr>
              <w:spacing w:after="0"/>
              <w:jc w:val="center"/>
              <w:rPr>
                <w:rFonts w:eastAsia="Times New Roman" w:cs="Times New Roman"/>
                <w:sz w:val="20"/>
                <w:szCs w:val="20"/>
                <w:lang w:val="sr-Cyrl-CS"/>
              </w:rPr>
            </w:pPr>
          </w:p>
        </w:tc>
        <w:tc>
          <w:tcPr>
            <w:tcW w:w="422" w:type="dxa"/>
            <w:tcBorders>
              <w:top w:val="nil"/>
              <w:left w:val="nil"/>
              <w:bottom w:val="single" w:sz="4" w:space="0" w:color="auto"/>
              <w:right w:val="single" w:sz="4" w:space="0" w:color="auto"/>
            </w:tcBorders>
            <w:shd w:val="clear" w:color="auto" w:fill="D9D9D9" w:themeFill="background1" w:themeFillShade="D9"/>
            <w:vAlign w:val="center"/>
          </w:tcPr>
          <w:p w14:paraId="5F7AF22B" w14:textId="77777777" w:rsidR="00D210F0" w:rsidRPr="00092ED7" w:rsidRDefault="00D210F0" w:rsidP="00E44EF2">
            <w:pPr>
              <w:spacing w:after="0"/>
              <w:jc w:val="center"/>
              <w:rPr>
                <w:rFonts w:eastAsia="Times New Roman" w:cs="Times New Roman"/>
                <w:sz w:val="20"/>
                <w:szCs w:val="20"/>
                <w:lang w:val="sr-Cyrl-CS"/>
              </w:rPr>
            </w:pPr>
          </w:p>
        </w:tc>
        <w:tc>
          <w:tcPr>
            <w:tcW w:w="422" w:type="dxa"/>
            <w:tcBorders>
              <w:top w:val="nil"/>
              <w:left w:val="nil"/>
              <w:bottom w:val="single" w:sz="4" w:space="0" w:color="auto"/>
              <w:right w:val="single" w:sz="8" w:space="0" w:color="auto"/>
            </w:tcBorders>
            <w:shd w:val="clear" w:color="auto" w:fill="D9D9D9" w:themeFill="background1" w:themeFillShade="D9"/>
            <w:vAlign w:val="center"/>
          </w:tcPr>
          <w:p w14:paraId="0AA94C8B" w14:textId="77777777" w:rsidR="00D210F0" w:rsidRPr="00092ED7" w:rsidRDefault="00D210F0" w:rsidP="00E44EF2">
            <w:pPr>
              <w:spacing w:after="0"/>
              <w:jc w:val="center"/>
              <w:rPr>
                <w:rFonts w:eastAsia="Times New Roman" w:cs="Times New Roman"/>
                <w:sz w:val="20"/>
                <w:szCs w:val="20"/>
                <w:lang w:val="sr-Cyrl-CS"/>
              </w:rPr>
            </w:pPr>
          </w:p>
        </w:tc>
        <w:tc>
          <w:tcPr>
            <w:tcW w:w="422" w:type="dxa"/>
            <w:tcBorders>
              <w:top w:val="nil"/>
              <w:left w:val="nil"/>
              <w:bottom w:val="single" w:sz="4" w:space="0" w:color="auto"/>
              <w:right w:val="single" w:sz="4" w:space="0" w:color="auto"/>
            </w:tcBorders>
            <w:shd w:val="clear" w:color="auto" w:fill="D9D9D9" w:themeFill="background1" w:themeFillShade="D9"/>
            <w:vAlign w:val="center"/>
          </w:tcPr>
          <w:p w14:paraId="1BEA19B6" w14:textId="77777777" w:rsidR="00D210F0" w:rsidRPr="00092ED7" w:rsidRDefault="00D210F0" w:rsidP="00E44EF2">
            <w:pPr>
              <w:spacing w:after="0"/>
              <w:jc w:val="center"/>
              <w:rPr>
                <w:rFonts w:eastAsia="Times New Roman" w:cs="Times New Roman"/>
                <w:sz w:val="20"/>
                <w:szCs w:val="20"/>
                <w:lang w:val="sr-Cyrl-CS"/>
              </w:rPr>
            </w:pPr>
          </w:p>
        </w:tc>
        <w:tc>
          <w:tcPr>
            <w:tcW w:w="422" w:type="dxa"/>
            <w:tcBorders>
              <w:top w:val="nil"/>
              <w:left w:val="nil"/>
              <w:bottom w:val="single" w:sz="4" w:space="0" w:color="auto"/>
              <w:right w:val="single" w:sz="4" w:space="0" w:color="auto"/>
            </w:tcBorders>
            <w:shd w:val="clear" w:color="auto" w:fill="D9D9D9" w:themeFill="background1" w:themeFillShade="D9"/>
            <w:vAlign w:val="center"/>
          </w:tcPr>
          <w:p w14:paraId="7EE90AD8" w14:textId="77777777" w:rsidR="00D210F0" w:rsidRPr="00092ED7" w:rsidRDefault="00D210F0" w:rsidP="00E44EF2">
            <w:pPr>
              <w:spacing w:after="0"/>
              <w:jc w:val="center"/>
              <w:rPr>
                <w:rFonts w:eastAsia="Times New Roman" w:cs="Times New Roman"/>
                <w:sz w:val="20"/>
                <w:szCs w:val="20"/>
                <w:lang w:val="sr-Cyrl-CS"/>
              </w:rPr>
            </w:pPr>
          </w:p>
        </w:tc>
        <w:tc>
          <w:tcPr>
            <w:tcW w:w="422" w:type="dxa"/>
            <w:tcBorders>
              <w:top w:val="nil"/>
              <w:left w:val="nil"/>
              <w:bottom w:val="single" w:sz="4" w:space="0" w:color="auto"/>
              <w:right w:val="single" w:sz="4" w:space="0" w:color="auto"/>
            </w:tcBorders>
            <w:shd w:val="clear" w:color="auto" w:fill="D9D9D9" w:themeFill="background1" w:themeFillShade="D9"/>
            <w:vAlign w:val="center"/>
          </w:tcPr>
          <w:p w14:paraId="4D51F55B" w14:textId="77777777" w:rsidR="00D210F0" w:rsidRPr="00092ED7" w:rsidRDefault="00D210F0" w:rsidP="00E44EF2">
            <w:pPr>
              <w:spacing w:after="0"/>
              <w:jc w:val="center"/>
              <w:rPr>
                <w:rFonts w:eastAsia="Times New Roman" w:cs="Times New Roman"/>
                <w:sz w:val="20"/>
                <w:szCs w:val="20"/>
                <w:lang w:val="sr-Cyrl-CS"/>
              </w:rPr>
            </w:pPr>
          </w:p>
        </w:tc>
        <w:tc>
          <w:tcPr>
            <w:tcW w:w="422" w:type="dxa"/>
            <w:tcBorders>
              <w:top w:val="nil"/>
              <w:left w:val="nil"/>
              <w:bottom w:val="single" w:sz="4" w:space="0" w:color="auto"/>
              <w:right w:val="single" w:sz="8" w:space="0" w:color="auto"/>
            </w:tcBorders>
            <w:shd w:val="clear" w:color="auto" w:fill="D9D9D9" w:themeFill="background1" w:themeFillShade="D9"/>
            <w:vAlign w:val="center"/>
          </w:tcPr>
          <w:p w14:paraId="5C3E8BAF" w14:textId="77777777" w:rsidR="00D210F0" w:rsidRPr="00092ED7" w:rsidRDefault="00D210F0" w:rsidP="00E44EF2">
            <w:pPr>
              <w:spacing w:after="0"/>
              <w:jc w:val="center"/>
              <w:rPr>
                <w:rFonts w:eastAsia="Times New Roman" w:cs="Times New Roman"/>
                <w:sz w:val="20"/>
                <w:szCs w:val="20"/>
                <w:lang w:val="sr-Cyrl-CS"/>
              </w:rPr>
            </w:pPr>
          </w:p>
        </w:tc>
        <w:tc>
          <w:tcPr>
            <w:tcW w:w="422" w:type="dxa"/>
            <w:tcBorders>
              <w:top w:val="nil"/>
              <w:left w:val="nil"/>
              <w:bottom w:val="single" w:sz="4" w:space="0" w:color="auto"/>
              <w:right w:val="single" w:sz="4" w:space="0" w:color="auto"/>
            </w:tcBorders>
            <w:shd w:val="clear" w:color="auto" w:fill="D9D9D9" w:themeFill="background1" w:themeFillShade="D9"/>
            <w:vAlign w:val="center"/>
          </w:tcPr>
          <w:p w14:paraId="66819A6E" w14:textId="77777777" w:rsidR="00D210F0" w:rsidRPr="00092ED7" w:rsidRDefault="00D210F0" w:rsidP="00E44EF2">
            <w:pPr>
              <w:spacing w:after="0"/>
              <w:jc w:val="center"/>
              <w:rPr>
                <w:rFonts w:eastAsia="Times New Roman" w:cs="Times New Roman"/>
                <w:sz w:val="20"/>
                <w:szCs w:val="20"/>
                <w:lang w:val="sr-Cyrl-CS"/>
              </w:rPr>
            </w:pPr>
          </w:p>
        </w:tc>
        <w:tc>
          <w:tcPr>
            <w:tcW w:w="422" w:type="dxa"/>
            <w:tcBorders>
              <w:top w:val="nil"/>
              <w:left w:val="nil"/>
              <w:bottom w:val="single" w:sz="4" w:space="0" w:color="auto"/>
              <w:right w:val="single" w:sz="4" w:space="0" w:color="auto"/>
            </w:tcBorders>
            <w:shd w:val="clear" w:color="auto" w:fill="D9D9D9" w:themeFill="background1" w:themeFillShade="D9"/>
            <w:vAlign w:val="center"/>
          </w:tcPr>
          <w:p w14:paraId="150E5058" w14:textId="77777777" w:rsidR="00D210F0" w:rsidRPr="00092ED7" w:rsidRDefault="00D210F0" w:rsidP="00E44EF2">
            <w:pPr>
              <w:spacing w:after="0"/>
              <w:jc w:val="center"/>
              <w:rPr>
                <w:rFonts w:eastAsia="Times New Roman" w:cs="Times New Roman"/>
                <w:sz w:val="20"/>
                <w:szCs w:val="20"/>
                <w:lang w:val="sr-Cyrl-CS"/>
              </w:rPr>
            </w:pPr>
          </w:p>
        </w:tc>
        <w:tc>
          <w:tcPr>
            <w:tcW w:w="422" w:type="dxa"/>
            <w:tcBorders>
              <w:top w:val="nil"/>
              <w:left w:val="nil"/>
              <w:bottom w:val="single" w:sz="4" w:space="0" w:color="auto"/>
              <w:right w:val="single" w:sz="4" w:space="0" w:color="auto"/>
            </w:tcBorders>
            <w:shd w:val="clear" w:color="auto" w:fill="D9D9D9" w:themeFill="background1" w:themeFillShade="D9"/>
            <w:vAlign w:val="center"/>
          </w:tcPr>
          <w:p w14:paraId="612D0666" w14:textId="77777777" w:rsidR="00D210F0" w:rsidRPr="00092ED7" w:rsidRDefault="00D210F0" w:rsidP="00E44EF2">
            <w:pPr>
              <w:spacing w:after="0"/>
              <w:jc w:val="center"/>
              <w:rPr>
                <w:rFonts w:eastAsia="Times New Roman" w:cs="Times New Roman"/>
                <w:sz w:val="20"/>
                <w:szCs w:val="20"/>
                <w:lang w:val="sr-Cyrl-CS"/>
              </w:rPr>
            </w:pPr>
          </w:p>
        </w:tc>
        <w:tc>
          <w:tcPr>
            <w:tcW w:w="422" w:type="dxa"/>
            <w:tcBorders>
              <w:top w:val="nil"/>
              <w:left w:val="nil"/>
              <w:bottom w:val="single" w:sz="4" w:space="0" w:color="auto"/>
              <w:right w:val="single" w:sz="8" w:space="0" w:color="auto"/>
            </w:tcBorders>
            <w:shd w:val="clear" w:color="auto" w:fill="D9D9D9" w:themeFill="background1" w:themeFillShade="D9"/>
            <w:vAlign w:val="center"/>
          </w:tcPr>
          <w:p w14:paraId="175B6D5F" w14:textId="77777777" w:rsidR="00D210F0" w:rsidRPr="00092ED7" w:rsidRDefault="00D210F0" w:rsidP="00E44EF2">
            <w:pPr>
              <w:spacing w:after="0"/>
              <w:jc w:val="center"/>
              <w:rPr>
                <w:rFonts w:eastAsia="Times New Roman" w:cs="Times New Roman"/>
                <w:sz w:val="20"/>
                <w:szCs w:val="20"/>
                <w:lang w:val="sr-Cyrl-CS"/>
              </w:rPr>
            </w:pPr>
          </w:p>
        </w:tc>
      </w:tr>
      <w:tr w:rsidR="00DE6DB9" w:rsidRPr="00092ED7" w14:paraId="1F566C6D" w14:textId="77777777" w:rsidTr="00AB722F">
        <w:trPr>
          <w:trHeight w:val="300"/>
        </w:trPr>
        <w:tc>
          <w:tcPr>
            <w:tcW w:w="426" w:type="dxa"/>
            <w:tcBorders>
              <w:top w:val="single" w:sz="4" w:space="0" w:color="auto"/>
              <w:left w:val="single" w:sz="4" w:space="0" w:color="auto"/>
              <w:bottom w:val="single" w:sz="4" w:space="0" w:color="auto"/>
              <w:right w:val="single" w:sz="4" w:space="0" w:color="auto"/>
            </w:tcBorders>
            <w:shd w:val="clear" w:color="auto" w:fill="auto"/>
          </w:tcPr>
          <w:p w14:paraId="1BA05021" w14:textId="77777777" w:rsidR="00DE6DB9" w:rsidRPr="00092ED7" w:rsidRDefault="00DE6DB9" w:rsidP="00AB722F">
            <w:pPr>
              <w:spacing w:after="0"/>
              <w:jc w:val="center"/>
              <w:rPr>
                <w:rFonts w:eastAsia="Times New Roman" w:cs="Times New Roman"/>
                <w:bCs/>
                <w:sz w:val="20"/>
                <w:szCs w:val="20"/>
                <w:lang w:val="sr-Cyrl-CS"/>
              </w:rPr>
            </w:pPr>
            <w:r w:rsidRPr="00092ED7">
              <w:rPr>
                <w:rFonts w:eastAsia="Times New Roman" w:cs="Times New Roman"/>
                <w:bCs/>
                <w:sz w:val="20"/>
                <w:szCs w:val="20"/>
                <w:lang w:val="sr-Cyrl-CS"/>
              </w:rPr>
              <w:t>4.</w:t>
            </w:r>
          </w:p>
        </w:tc>
        <w:tc>
          <w:tcPr>
            <w:tcW w:w="3533" w:type="dxa"/>
            <w:tcBorders>
              <w:top w:val="single" w:sz="4" w:space="0" w:color="auto"/>
              <w:left w:val="single" w:sz="4" w:space="0" w:color="auto"/>
              <w:bottom w:val="single" w:sz="4" w:space="0" w:color="auto"/>
              <w:right w:val="single" w:sz="4" w:space="0" w:color="auto"/>
            </w:tcBorders>
            <w:shd w:val="clear" w:color="auto" w:fill="auto"/>
          </w:tcPr>
          <w:p w14:paraId="702EC51F" w14:textId="77777777" w:rsidR="00DE6DB9" w:rsidRPr="00092ED7" w:rsidRDefault="00DE6DB9" w:rsidP="00E44EF2">
            <w:pPr>
              <w:spacing w:after="0"/>
              <w:rPr>
                <w:rFonts w:eastAsia="Times New Roman" w:cs="Times New Roman"/>
                <w:sz w:val="20"/>
                <w:szCs w:val="20"/>
                <w:lang w:val="sr-Cyrl-CS"/>
              </w:rPr>
            </w:pPr>
            <w:r w:rsidRPr="00092ED7">
              <w:rPr>
                <w:rFonts w:eastAsia="Times New Roman" w:cs="Times New Roman"/>
                <w:sz w:val="20"/>
                <w:szCs w:val="20"/>
                <w:lang w:val="sr-Cyrl-CS"/>
              </w:rPr>
              <w:t>Подршка примени зелених јавних набавки</w:t>
            </w:r>
          </w:p>
        </w:tc>
        <w:tc>
          <w:tcPr>
            <w:tcW w:w="42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D4D2CDF" w14:textId="77777777" w:rsidR="00DE6DB9" w:rsidRPr="00092ED7" w:rsidRDefault="00DE6DB9" w:rsidP="00E44EF2">
            <w:pPr>
              <w:spacing w:after="0"/>
              <w:jc w:val="center"/>
              <w:rPr>
                <w:rFonts w:eastAsia="Times New Roman" w:cs="Times New Roman"/>
                <w:sz w:val="20"/>
                <w:szCs w:val="20"/>
                <w:lang w:val="sr-Cyrl-CS"/>
              </w:rPr>
            </w:pPr>
          </w:p>
        </w:tc>
        <w:tc>
          <w:tcPr>
            <w:tcW w:w="42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BF5588" w14:textId="77777777" w:rsidR="00DE6DB9" w:rsidRPr="00092ED7" w:rsidRDefault="00DE6DB9" w:rsidP="00E44EF2">
            <w:pPr>
              <w:spacing w:after="0"/>
              <w:jc w:val="center"/>
              <w:rPr>
                <w:rFonts w:eastAsia="Times New Roman" w:cs="Times New Roman"/>
                <w:sz w:val="20"/>
                <w:szCs w:val="20"/>
                <w:lang w:val="sr-Cyrl-CS"/>
              </w:rPr>
            </w:pPr>
          </w:p>
        </w:tc>
        <w:tc>
          <w:tcPr>
            <w:tcW w:w="42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41192C" w14:textId="77777777" w:rsidR="00DE6DB9" w:rsidRPr="00092ED7" w:rsidRDefault="00DE6DB9" w:rsidP="00E44EF2">
            <w:pPr>
              <w:spacing w:after="0"/>
              <w:jc w:val="center"/>
              <w:rPr>
                <w:rFonts w:eastAsia="Times New Roman" w:cs="Times New Roman"/>
                <w:sz w:val="20"/>
                <w:szCs w:val="20"/>
                <w:lang w:val="sr-Cyrl-CS"/>
              </w:rPr>
            </w:pPr>
          </w:p>
        </w:tc>
        <w:tc>
          <w:tcPr>
            <w:tcW w:w="42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B6F93DC" w14:textId="77777777" w:rsidR="00DE6DB9" w:rsidRPr="00092ED7" w:rsidRDefault="00DE6DB9" w:rsidP="00E44EF2">
            <w:pPr>
              <w:spacing w:after="0"/>
              <w:jc w:val="center"/>
              <w:rPr>
                <w:rFonts w:eastAsia="Times New Roman" w:cs="Times New Roman"/>
                <w:sz w:val="20"/>
                <w:szCs w:val="20"/>
                <w:lang w:val="sr-Cyrl-CS"/>
              </w:rPr>
            </w:pPr>
          </w:p>
        </w:tc>
        <w:tc>
          <w:tcPr>
            <w:tcW w:w="42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28847D3" w14:textId="77777777" w:rsidR="00DE6DB9" w:rsidRPr="00092ED7" w:rsidRDefault="00DE6DB9" w:rsidP="00E44EF2">
            <w:pPr>
              <w:spacing w:after="0"/>
              <w:jc w:val="center"/>
              <w:rPr>
                <w:rFonts w:eastAsia="Times New Roman" w:cs="Times New Roman"/>
                <w:sz w:val="20"/>
                <w:szCs w:val="20"/>
                <w:lang w:val="sr-Cyrl-CS"/>
              </w:rPr>
            </w:pPr>
          </w:p>
        </w:tc>
        <w:tc>
          <w:tcPr>
            <w:tcW w:w="42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1382885" w14:textId="77777777" w:rsidR="00DE6DB9" w:rsidRPr="00092ED7" w:rsidRDefault="00DE6DB9" w:rsidP="00E44EF2">
            <w:pPr>
              <w:spacing w:after="0"/>
              <w:jc w:val="center"/>
              <w:rPr>
                <w:rFonts w:eastAsia="Times New Roman" w:cs="Times New Roman"/>
                <w:sz w:val="20"/>
                <w:szCs w:val="20"/>
                <w:lang w:val="sr-Cyrl-CS"/>
              </w:rPr>
            </w:pPr>
          </w:p>
        </w:tc>
        <w:tc>
          <w:tcPr>
            <w:tcW w:w="42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2773900" w14:textId="77777777" w:rsidR="00DE6DB9" w:rsidRPr="00092ED7" w:rsidRDefault="00DE6DB9" w:rsidP="00E44EF2">
            <w:pPr>
              <w:spacing w:after="0"/>
              <w:jc w:val="center"/>
              <w:rPr>
                <w:rFonts w:eastAsia="Times New Roman" w:cs="Times New Roman"/>
                <w:sz w:val="20"/>
                <w:szCs w:val="20"/>
                <w:lang w:val="sr-Cyrl-CS"/>
              </w:rPr>
            </w:pPr>
          </w:p>
        </w:tc>
        <w:tc>
          <w:tcPr>
            <w:tcW w:w="42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D2A82A" w14:textId="77777777" w:rsidR="00DE6DB9" w:rsidRPr="00092ED7" w:rsidRDefault="00DE6DB9" w:rsidP="00E44EF2">
            <w:pPr>
              <w:spacing w:after="0"/>
              <w:jc w:val="center"/>
              <w:rPr>
                <w:rFonts w:eastAsia="Times New Roman" w:cs="Times New Roman"/>
                <w:sz w:val="20"/>
                <w:szCs w:val="20"/>
                <w:lang w:val="sr-Cyrl-CS"/>
              </w:rPr>
            </w:pPr>
          </w:p>
        </w:tc>
        <w:tc>
          <w:tcPr>
            <w:tcW w:w="422" w:type="dxa"/>
            <w:tcBorders>
              <w:top w:val="single" w:sz="4" w:space="0" w:color="auto"/>
              <w:left w:val="single" w:sz="4" w:space="0" w:color="auto"/>
              <w:bottom w:val="single" w:sz="4" w:space="0" w:color="auto"/>
              <w:right w:val="single" w:sz="4" w:space="0" w:color="auto"/>
            </w:tcBorders>
            <w:shd w:val="clear" w:color="auto" w:fill="auto"/>
            <w:vAlign w:val="center"/>
          </w:tcPr>
          <w:p w14:paraId="268A3411" w14:textId="77777777" w:rsidR="00DE6DB9" w:rsidRPr="00092ED7" w:rsidRDefault="00DE6DB9" w:rsidP="00E44EF2">
            <w:pPr>
              <w:spacing w:after="0"/>
              <w:jc w:val="center"/>
              <w:rPr>
                <w:rFonts w:eastAsia="Times New Roman" w:cs="Times New Roman"/>
                <w:sz w:val="20"/>
                <w:szCs w:val="20"/>
                <w:lang w:val="sr-Cyrl-CS"/>
              </w:rPr>
            </w:pPr>
          </w:p>
        </w:tc>
        <w:tc>
          <w:tcPr>
            <w:tcW w:w="422" w:type="dxa"/>
            <w:tcBorders>
              <w:top w:val="single" w:sz="4" w:space="0" w:color="auto"/>
              <w:left w:val="single" w:sz="4" w:space="0" w:color="auto"/>
              <w:bottom w:val="single" w:sz="4" w:space="0" w:color="auto"/>
              <w:right w:val="single" w:sz="4" w:space="0" w:color="auto"/>
            </w:tcBorders>
            <w:shd w:val="clear" w:color="auto" w:fill="auto"/>
            <w:vAlign w:val="center"/>
          </w:tcPr>
          <w:p w14:paraId="1EFC3DBB" w14:textId="77777777" w:rsidR="00DE6DB9" w:rsidRPr="00092ED7" w:rsidRDefault="00DE6DB9" w:rsidP="00E44EF2">
            <w:pPr>
              <w:spacing w:after="0"/>
              <w:jc w:val="center"/>
              <w:rPr>
                <w:rFonts w:eastAsia="Times New Roman" w:cs="Times New Roman"/>
                <w:sz w:val="20"/>
                <w:szCs w:val="20"/>
                <w:lang w:val="sr-Cyrl-CS"/>
              </w:rPr>
            </w:pPr>
          </w:p>
        </w:tc>
        <w:tc>
          <w:tcPr>
            <w:tcW w:w="422" w:type="dxa"/>
            <w:tcBorders>
              <w:top w:val="single" w:sz="4" w:space="0" w:color="auto"/>
              <w:left w:val="single" w:sz="4" w:space="0" w:color="auto"/>
              <w:bottom w:val="single" w:sz="4" w:space="0" w:color="auto"/>
              <w:right w:val="single" w:sz="4" w:space="0" w:color="auto"/>
            </w:tcBorders>
            <w:shd w:val="clear" w:color="auto" w:fill="auto"/>
            <w:vAlign w:val="center"/>
          </w:tcPr>
          <w:p w14:paraId="4DD8E255" w14:textId="77777777" w:rsidR="00DE6DB9" w:rsidRPr="00092ED7" w:rsidRDefault="00DE6DB9" w:rsidP="00E44EF2">
            <w:pPr>
              <w:spacing w:after="0"/>
              <w:jc w:val="center"/>
              <w:rPr>
                <w:rFonts w:eastAsia="Times New Roman" w:cs="Times New Roman"/>
                <w:sz w:val="20"/>
                <w:szCs w:val="20"/>
                <w:lang w:val="sr-Cyrl-CS"/>
              </w:rPr>
            </w:pPr>
          </w:p>
        </w:tc>
        <w:tc>
          <w:tcPr>
            <w:tcW w:w="422" w:type="dxa"/>
            <w:tcBorders>
              <w:top w:val="single" w:sz="4" w:space="0" w:color="auto"/>
              <w:left w:val="single" w:sz="4" w:space="0" w:color="auto"/>
              <w:bottom w:val="single" w:sz="4" w:space="0" w:color="auto"/>
              <w:right w:val="single" w:sz="4" w:space="0" w:color="auto"/>
            </w:tcBorders>
            <w:shd w:val="clear" w:color="auto" w:fill="auto"/>
            <w:vAlign w:val="center"/>
          </w:tcPr>
          <w:p w14:paraId="146FC7F3" w14:textId="77777777" w:rsidR="00DE6DB9" w:rsidRPr="00092ED7" w:rsidRDefault="00DE6DB9" w:rsidP="00E44EF2">
            <w:pPr>
              <w:spacing w:after="0"/>
              <w:jc w:val="center"/>
              <w:rPr>
                <w:rFonts w:eastAsia="Times New Roman" w:cs="Times New Roman"/>
                <w:sz w:val="20"/>
                <w:szCs w:val="20"/>
                <w:lang w:val="sr-Cyrl-CS"/>
              </w:rPr>
            </w:pPr>
          </w:p>
        </w:tc>
      </w:tr>
    </w:tbl>
    <w:p w14:paraId="518A5F73" w14:textId="77777777" w:rsidR="00D210F0" w:rsidRPr="00092ED7" w:rsidRDefault="00D210F0" w:rsidP="00E8000F">
      <w:pPr>
        <w:widowControl w:val="0"/>
        <w:numPr>
          <w:ilvl w:val="0"/>
          <w:numId w:val="29"/>
        </w:numPr>
        <w:spacing w:before="120"/>
        <w:ind w:left="425" w:hanging="425"/>
        <w:rPr>
          <w:rFonts w:cs="Times New Roman"/>
          <w:b/>
          <w:bCs/>
          <w:szCs w:val="24"/>
          <w:lang w:val="sr-Cyrl-CS"/>
        </w:rPr>
      </w:pPr>
      <w:r w:rsidRPr="00092ED7">
        <w:rPr>
          <w:rFonts w:cs="Times New Roman"/>
          <w:b/>
          <w:bCs/>
          <w:szCs w:val="24"/>
          <w:lang w:val="sr-Cyrl-CS"/>
        </w:rPr>
        <w:t>Индикатори резултата</w:t>
      </w:r>
    </w:p>
    <w:tbl>
      <w:tblPr>
        <w:tblStyle w:val="TableGrid12"/>
        <w:tblW w:w="9067" w:type="dxa"/>
        <w:tblLayout w:type="fixed"/>
        <w:tblLook w:val="04A0" w:firstRow="1" w:lastRow="0" w:firstColumn="1" w:lastColumn="0" w:noHBand="0" w:noVBand="1"/>
      </w:tblPr>
      <w:tblGrid>
        <w:gridCol w:w="4106"/>
        <w:gridCol w:w="1653"/>
        <w:gridCol w:w="1654"/>
        <w:gridCol w:w="1654"/>
      </w:tblGrid>
      <w:tr w:rsidR="00D210F0" w:rsidRPr="00092ED7" w14:paraId="379DDAAA" w14:textId="77777777" w:rsidTr="00E44EF2">
        <w:tc>
          <w:tcPr>
            <w:tcW w:w="4106" w:type="dxa"/>
            <w:vAlign w:val="center"/>
          </w:tcPr>
          <w:p w14:paraId="447C8E0D" w14:textId="77777777" w:rsidR="00D210F0" w:rsidRPr="00092ED7" w:rsidRDefault="00D210F0" w:rsidP="00A37A7A">
            <w:pPr>
              <w:spacing w:after="0"/>
              <w:jc w:val="center"/>
              <w:rPr>
                <w:rFonts w:eastAsia="Calibri"/>
                <w:b/>
                <w:sz w:val="20"/>
                <w:szCs w:val="20"/>
              </w:rPr>
            </w:pPr>
            <w:r w:rsidRPr="00092ED7">
              <w:rPr>
                <w:rFonts w:eastAsia="Calibri"/>
                <w:b/>
                <w:sz w:val="20"/>
                <w:szCs w:val="20"/>
              </w:rPr>
              <w:t>Показатељ</w:t>
            </w:r>
          </w:p>
        </w:tc>
        <w:tc>
          <w:tcPr>
            <w:tcW w:w="1653" w:type="dxa"/>
            <w:vAlign w:val="center"/>
          </w:tcPr>
          <w:p w14:paraId="7962694D" w14:textId="77777777" w:rsidR="00D210F0" w:rsidRPr="00092ED7" w:rsidRDefault="00D210F0" w:rsidP="00FB1FCD">
            <w:pPr>
              <w:spacing w:after="0"/>
              <w:jc w:val="center"/>
              <w:rPr>
                <w:rFonts w:eastAsia="Calibri"/>
                <w:b/>
                <w:sz w:val="20"/>
                <w:szCs w:val="20"/>
              </w:rPr>
            </w:pPr>
            <w:r w:rsidRPr="00092ED7">
              <w:rPr>
                <w:rFonts w:eastAsia="Calibri"/>
                <w:b/>
                <w:sz w:val="20"/>
                <w:szCs w:val="20"/>
              </w:rPr>
              <w:t xml:space="preserve">Почетна вредност </w:t>
            </w:r>
          </w:p>
        </w:tc>
        <w:tc>
          <w:tcPr>
            <w:tcW w:w="1654" w:type="dxa"/>
            <w:vAlign w:val="center"/>
          </w:tcPr>
          <w:p w14:paraId="4F6EB458" w14:textId="77777777" w:rsidR="00D210F0" w:rsidRPr="00092ED7" w:rsidRDefault="00D210F0" w:rsidP="00A37A7A">
            <w:pPr>
              <w:spacing w:after="0"/>
              <w:jc w:val="center"/>
              <w:rPr>
                <w:rFonts w:eastAsia="Calibri"/>
                <w:b/>
                <w:sz w:val="20"/>
                <w:szCs w:val="20"/>
              </w:rPr>
            </w:pPr>
            <w:r w:rsidRPr="00092ED7">
              <w:rPr>
                <w:rFonts w:eastAsia="Calibri"/>
                <w:b/>
                <w:sz w:val="20"/>
                <w:szCs w:val="20"/>
              </w:rPr>
              <w:t xml:space="preserve">Међурезултат </w:t>
            </w:r>
          </w:p>
        </w:tc>
        <w:tc>
          <w:tcPr>
            <w:tcW w:w="1654" w:type="dxa"/>
            <w:vAlign w:val="center"/>
          </w:tcPr>
          <w:p w14:paraId="65097A18" w14:textId="77777777" w:rsidR="00D210F0" w:rsidRPr="00092ED7" w:rsidRDefault="00D210F0" w:rsidP="003C76A4">
            <w:pPr>
              <w:spacing w:after="0"/>
              <w:jc w:val="center"/>
              <w:rPr>
                <w:rFonts w:eastAsia="Calibri"/>
                <w:b/>
                <w:sz w:val="20"/>
                <w:szCs w:val="20"/>
              </w:rPr>
            </w:pPr>
            <w:r w:rsidRPr="00092ED7">
              <w:rPr>
                <w:rFonts w:eastAsia="Calibri"/>
                <w:b/>
                <w:sz w:val="20"/>
                <w:szCs w:val="20"/>
              </w:rPr>
              <w:t xml:space="preserve">Циљна вредност </w:t>
            </w:r>
          </w:p>
        </w:tc>
      </w:tr>
      <w:tr w:rsidR="00D210F0" w:rsidRPr="00092ED7" w14:paraId="0CCFEAAA" w14:textId="77777777" w:rsidTr="00E44EF2">
        <w:trPr>
          <w:trHeight w:val="284"/>
        </w:trPr>
        <w:tc>
          <w:tcPr>
            <w:tcW w:w="4106" w:type="dxa"/>
          </w:tcPr>
          <w:p w14:paraId="3DDA6D78" w14:textId="77777777" w:rsidR="00D210F0" w:rsidRPr="00092ED7" w:rsidRDefault="00D210F0" w:rsidP="00A37A7A">
            <w:pPr>
              <w:spacing w:after="0"/>
              <w:rPr>
                <w:rFonts w:eastAsia="Calibri"/>
                <w:sz w:val="20"/>
                <w:szCs w:val="20"/>
              </w:rPr>
            </w:pPr>
            <w:r w:rsidRPr="00092ED7">
              <w:rPr>
                <w:rFonts w:eastAsia="Calibri"/>
                <w:sz w:val="20"/>
                <w:szCs w:val="20"/>
              </w:rPr>
              <w:t>Број привредних субјеката који су прешли на пословне моделе засноване на приницпима циркуларне економије</w:t>
            </w:r>
          </w:p>
        </w:tc>
        <w:tc>
          <w:tcPr>
            <w:tcW w:w="1653" w:type="dxa"/>
            <w:tcBorders>
              <w:top w:val="single" w:sz="4" w:space="0" w:color="auto"/>
              <w:left w:val="single" w:sz="4" w:space="0" w:color="auto"/>
              <w:bottom w:val="single" w:sz="4" w:space="0" w:color="auto"/>
              <w:right w:val="single" w:sz="4" w:space="0" w:color="auto"/>
            </w:tcBorders>
            <w:vAlign w:val="center"/>
          </w:tcPr>
          <w:p w14:paraId="7FA679E5" w14:textId="77777777" w:rsidR="00D210F0" w:rsidRPr="00092ED7" w:rsidRDefault="00FB1FCD" w:rsidP="00E44EF2">
            <w:pPr>
              <w:spacing w:after="0"/>
              <w:jc w:val="center"/>
              <w:rPr>
                <w:rFonts w:eastAsia="Calibri"/>
                <w:sz w:val="20"/>
                <w:szCs w:val="20"/>
              </w:rPr>
            </w:pPr>
            <w:r w:rsidRPr="00092ED7">
              <w:rPr>
                <w:rFonts w:eastAsia="Calibri"/>
                <w:sz w:val="20"/>
                <w:szCs w:val="20"/>
              </w:rPr>
              <w:t>0 (2022)</w:t>
            </w:r>
          </w:p>
        </w:tc>
        <w:tc>
          <w:tcPr>
            <w:tcW w:w="1654" w:type="dxa"/>
            <w:tcBorders>
              <w:top w:val="single" w:sz="4" w:space="0" w:color="auto"/>
              <w:left w:val="single" w:sz="4" w:space="0" w:color="auto"/>
              <w:bottom w:val="single" w:sz="4" w:space="0" w:color="auto"/>
              <w:right w:val="single" w:sz="4" w:space="0" w:color="auto"/>
            </w:tcBorders>
            <w:vAlign w:val="center"/>
          </w:tcPr>
          <w:p w14:paraId="309F3636" w14:textId="77777777" w:rsidR="00D210F0" w:rsidRPr="00092ED7" w:rsidRDefault="003C76A4" w:rsidP="00A37A7A">
            <w:pPr>
              <w:spacing w:after="0"/>
              <w:jc w:val="center"/>
              <w:rPr>
                <w:rFonts w:eastAsia="Calibri"/>
                <w:sz w:val="20"/>
                <w:szCs w:val="20"/>
              </w:rPr>
            </w:pPr>
            <w:r w:rsidRPr="00092ED7">
              <w:rPr>
                <w:rFonts w:eastAsia="Calibri"/>
                <w:sz w:val="20"/>
                <w:szCs w:val="20"/>
              </w:rPr>
              <w:t>5 (2023)</w:t>
            </w:r>
          </w:p>
        </w:tc>
        <w:tc>
          <w:tcPr>
            <w:tcW w:w="1654" w:type="dxa"/>
            <w:tcBorders>
              <w:top w:val="single" w:sz="4" w:space="0" w:color="auto"/>
              <w:left w:val="single" w:sz="4" w:space="0" w:color="auto"/>
              <w:bottom w:val="single" w:sz="4" w:space="0" w:color="auto"/>
              <w:right w:val="single" w:sz="4" w:space="0" w:color="auto"/>
            </w:tcBorders>
            <w:vAlign w:val="center"/>
          </w:tcPr>
          <w:p w14:paraId="66EF7E5F" w14:textId="77777777" w:rsidR="00D210F0" w:rsidRPr="00092ED7" w:rsidRDefault="003C76A4" w:rsidP="00E44EF2">
            <w:pPr>
              <w:spacing w:after="0"/>
              <w:jc w:val="center"/>
              <w:rPr>
                <w:rFonts w:eastAsia="Calibri"/>
                <w:sz w:val="20"/>
                <w:szCs w:val="20"/>
              </w:rPr>
            </w:pPr>
            <w:r w:rsidRPr="00092ED7">
              <w:rPr>
                <w:rFonts w:eastAsia="Calibri"/>
                <w:sz w:val="20"/>
                <w:szCs w:val="20"/>
              </w:rPr>
              <w:t>10 (202</w:t>
            </w:r>
            <w:r w:rsidR="00336DD6" w:rsidRPr="00092ED7">
              <w:rPr>
                <w:rFonts w:eastAsia="Calibri"/>
                <w:sz w:val="20"/>
                <w:szCs w:val="20"/>
              </w:rPr>
              <w:t>4</w:t>
            </w:r>
            <w:r w:rsidRPr="00092ED7">
              <w:rPr>
                <w:rFonts w:eastAsia="Calibri"/>
                <w:sz w:val="20"/>
                <w:szCs w:val="20"/>
              </w:rPr>
              <w:t>)</w:t>
            </w:r>
          </w:p>
        </w:tc>
      </w:tr>
      <w:tr w:rsidR="00D210F0" w:rsidRPr="00092ED7" w14:paraId="0314F776" w14:textId="77777777" w:rsidTr="00E44EF2">
        <w:trPr>
          <w:trHeight w:val="332"/>
        </w:trPr>
        <w:tc>
          <w:tcPr>
            <w:tcW w:w="4106" w:type="dxa"/>
          </w:tcPr>
          <w:p w14:paraId="1F6A41AB" w14:textId="77777777" w:rsidR="00D210F0" w:rsidRPr="00092ED7" w:rsidRDefault="00D210F0" w:rsidP="00A37A7A">
            <w:pPr>
              <w:spacing w:after="0"/>
              <w:rPr>
                <w:rFonts w:eastAsia="Calibri"/>
                <w:b/>
                <w:sz w:val="20"/>
                <w:szCs w:val="20"/>
              </w:rPr>
            </w:pPr>
            <w:r w:rsidRPr="00092ED7">
              <w:rPr>
                <w:rFonts w:eastAsia="Calibri"/>
                <w:sz w:val="20"/>
                <w:szCs w:val="20"/>
              </w:rPr>
              <w:t>Број локалних самоуправа за које ће бити израђене локалне мапе пута</w:t>
            </w:r>
          </w:p>
        </w:tc>
        <w:tc>
          <w:tcPr>
            <w:tcW w:w="1653" w:type="dxa"/>
            <w:tcBorders>
              <w:top w:val="single" w:sz="4" w:space="0" w:color="auto"/>
              <w:left w:val="single" w:sz="4" w:space="0" w:color="auto"/>
              <w:bottom w:val="single" w:sz="4" w:space="0" w:color="auto"/>
              <w:right w:val="single" w:sz="4" w:space="0" w:color="auto"/>
            </w:tcBorders>
            <w:vAlign w:val="center"/>
          </w:tcPr>
          <w:p w14:paraId="4A6602A7" w14:textId="77777777" w:rsidR="00D210F0" w:rsidRPr="00092ED7" w:rsidRDefault="00FB1FCD" w:rsidP="00E44EF2">
            <w:pPr>
              <w:spacing w:after="0"/>
              <w:jc w:val="center"/>
              <w:rPr>
                <w:rFonts w:eastAsia="Calibri"/>
                <w:b/>
                <w:sz w:val="20"/>
                <w:szCs w:val="20"/>
              </w:rPr>
            </w:pPr>
            <w:r w:rsidRPr="00092ED7">
              <w:rPr>
                <w:rFonts w:eastAsia="Calibri"/>
                <w:sz w:val="20"/>
                <w:szCs w:val="20"/>
              </w:rPr>
              <w:t>0 (2022)</w:t>
            </w:r>
          </w:p>
        </w:tc>
        <w:tc>
          <w:tcPr>
            <w:tcW w:w="1654" w:type="dxa"/>
            <w:tcBorders>
              <w:top w:val="single" w:sz="4" w:space="0" w:color="auto"/>
              <w:left w:val="single" w:sz="4" w:space="0" w:color="auto"/>
              <w:bottom w:val="single" w:sz="4" w:space="0" w:color="auto"/>
              <w:right w:val="single" w:sz="4" w:space="0" w:color="auto"/>
            </w:tcBorders>
            <w:vAlign w:val="center"/>
          </w:tcPr>
          <w:p w14:paraId="4680B016" w14:textId="77777777" w:rsidR="00D210F0" w:rsidRPr="00092ED7" w:rsidRDefault="003C76A4" w:rsidP="00A37A7A">
            <w:pPr>
              <w:spacing w:after="0"/>
              <w:jc w:val="center"/>
              <w:rPr>
                <w:rFonts w:eastAsia="Calibri"/>
                <w:sz w:val="20"/>
                <w:szCs w:val="20"/>
              </w:rPr>
            </w:pPr>
            <w:r w:rsidRPr="00092ED7">
              <w:rPr>
                <w:rFonts w:eastAsia="Calibri"/>
                <w:sz w:val="20"/>
                <w:szCs w:val="20"/>
              </w:rPr>
              <w:t>5</w:t>
            </w:r>
            <w:r w:rsidR="00BB515C" w:rsidRPr="00092ED7">
              <w:rPr>
                <w:rFonts w:eastAsia="Calibri"/>
                <w:sz w:val="20"/>
                <w:szCs w:val="20"/>
              </w:rPr>
              <w:t xml:space="preserve"> </w:t>
            </w:r>
            <w:r w:rsidRPr="00092ED7">
              <w:rPr>
                <w:rFonts w:eastAsia="Calibri"/>
                <w:sz w:val="20"/>
                <w:szCs w:val="20"/>
              </w:rPr>
              <w:t>(2023)</w:t>
            </w:r>
          </w:p>
        </w:tc>
        <w:tc>
          <w:tcPr>
            <w:tcW w:w="1654" w:type="dxa"/>
            <w:tcBorders>
              <w:top w:val="single" w:sz="4" w:space="0" w:color="auto"/>
              <w:left w:val="single" w:sz="4" w:space="0" w:color="auto"/>
              <w:bottom w:val="single" w:sz="4" w:space="0" w:color="auto"/>
              <w:right w:val="single" w:sz="4" w:space="0" w:color="auto"/>
            </w:tcBorders>
            <w:vAlign w:val="center"/>
          </w:tcPr>
          <w:p w14:paraId="51F019A7" w14:textId="77777777" w:rsidR="00D210F0" w:rsidRPr="00092ED7" w:rsidRDefault="003C76A4" w:rsidP="00E44EF2">
            <w:pPr>
              <w:spacing w:after="0"/>
              <w:jc w:val="center"/>
              <w:rPr>
                <w:rFonts w:eastAsia="Calibri"/>
                <w:b/>
                <w:sz w:val="20"/>
                <w:szCs w:val="20"/>
              </w:rPr>
            </w:pPr>
            <w:r w:rsidRPr="00092ED7">
              <w:rPr>
                <w:rFonts w:eastAsia="Calibri"/>
                <w:sz w:val="20"/>
                <w:szCs w:val="20"/>
              </w:rPr>
              <w:t>10 (2025)</w:t>
            </w:r>
          </w:p>
        </w:tc>
      </w:tr>
      <w:tr w:rsidR="00D210F0" w:rsidRPr="00092ED7" w14:paraId="153E7E5C" w14:textId="77777777" w:rsidTr="00E44EF2">
        <w:trPr>
          <w:trHeight w:val="284"/>
        </w:trPr>
        <w:tc>
          <w:tcPr>
            <w:tcW w:w="4106" w:type="dxa"/>
          </w:tcPr>
          <w:p w14:paraId="56660A89" w14:textId="77777777" w:rsidR="00D210F0" w:rsidRPr="00092ED7" w:rsidRDefault="00D210F0" w:rsidP="00A37A7A">
            <w:pPr>
              <w:spacing w:after="0"/>
              <w:rPr>
                <w:rFonts w:eastAsia="Calibri"/>
                <w:sz w:val="20"/>
                <w:szCs w:val="20"/>
              </w:rPr>
            </w:pPr>
            <w:r w:rsidRPr="00092ED7">
              <w:rPr>
                <w:rFonts w:eastAsia="Calibri"/>
                <w:sz w:val="20"/>
                <w:szCs w:val="20"/>
              </w:rPr>
              <w:t xml:space="preserve">Број додељених циркуларних ваучера  </w:t>
            </w:r>
          </w:p>
        </w:tc>
        <w:tc>
          <w:tcPr>
            <w:tcW w:w="1653" w:type="dxa"/>
            <w:tcBorders>
              <w:top w:val="single" w:sz="4" w:space="0" w:color="auto"/>
              <w:left w:val="single" w:sz="4" w:space="0" w:color="auto"/>
              <w:bottom w:val="single" w:sz="4" w:space="0" w:color="auto"/>
              <w:right w:val="single" w:sz="4" w:space="0" w:color="auto"/>
            </w:tcBorders>
            <w:vAlign w:val="center"/>
          </w:tcPr>
          <w:p w14:paraId="23AF0B1B" w14:textId="77777777" w:rsidR="00D210F0" w:rsidRPr="00092ED7" w:rsidRDefault="00FB1FCD" w:rsidP="00E44EF2">
            <w:pPr>
              <w:spacing w:after="0"/>
              <w:jc w:val="center"/>
              <w:rPr>
                <w:rFonts w:eastAsia="Calibri"/>
                <w:sz w:val="20"/>
                <w:szCs w:val="20"/>
              </w:rPr>
            </w:pPr>
            <w:r w:rsidRPr="00092ED7">
              <w:rPr>
                <w:rFonts w:eastAsia="Calibri"/>
                <w:sz w:val="20"/>
                <w:szCs w:val="20"/>
              </w:rPr>
              <w:t>0 (2021)</w:t>
            </w:r>
          </w:p>
        </w:tc>
        <w:tc>
          <w:tcPr>
            <w:tcW w:w="1654" w:type="dxa"/>
            <w:tcBorders>
              <w:top w:val="single" w:sz="4" w:space="0" w:color="auto"/>
              <w:left w:val="single" w:sz="4" w:space="0" w:color="auto"/>
              <w:bottom w:val="single" w:sz="4" w:space="0" w:color="auto"/>
              <w:right w:val="single" w:sz="4" w:space="0" w:color="auto"/>
            </w:tcBorders>
            <w:vAlign w:val="center"/>
          </w:tcPr>
          <w:p w14:paraId="0D49D36B" w14:textId="77777777" w:rsidR="00D210F0" w:rsidRPr="00092ED7" w:rsidRDefault="003C76A4" w:rsidP="00A37A7A">
            <w:pPr>
              <w:spacing w:after="0"/>
              <w:jc w:val="center"/>
              <w:rPr>
                <w:rFonts w:eastAsia="Calibri"/>
                <w:sz w:val="20"/>
                <w:szCs w:val="20"/>
              </w:rPr>
            </w:pPr>
            <w:r w:rsidRPr="00092ED7">
              <w:rPr>
                <w:rFonts w:eastAsia="Calibri"/>
                <w:sz w:val="20"/>
                <w:szCs w:val="20"/>
              </w:rPr>
              <w:t>10</w:t>
            </w:r>
            <w:r w:rsidR="00BB515C" w:rsidRPr="00092ED7">
              <w:rPr>
                <w:rFonts w:eastAsia="Calibri"/>
                <w:sz w:val="20"/>
                <w:szCs w:val="20"/>
              </w:rPr>
              <w:t xml:space="preserve"> </w:t>
            </w:r>
            <w:r w:rsidRPr="00092ED7">
              <w:rPr>
                <w:rFonts w:eastAsia="Calibri"/>
                <w:sz w:val="20"/>
                <w:szCs w:val="20"/>
              </w:rPr>
              <w:t>(2022)</w:t>
            </w:r>
          </w:p>
        </w:tc>
        <w:tc>
          <w:tcPr>
            <w:tcW w:w="1654" w:type="dxa"/>
            <w:tcBorders>
              <w:top w:val="single" w:sz="4" w:space="0" w:color="auto"/>
              <w:left w:val="single" w:sz="4" w:space="0" w:color="auto"/>
              <w:bottom w:val="single" w:sz="4" w:space="0" w:color="auto"/>
              <w:right w:val="single" w:sz="4" w:space="0" w:color="auto"/>
            </w:tcBorders>
            <w:vAlign w:val="center"/>
          </w:tcPr>
          <w:p w14:paraId="644063B8" w14:textId="77777777" w:rsidR="00D210F0" w:rsidRPr="00092ED7" w:rsidRDefault="003C76A4" w:rsidP="00E44EF2">
            <w:pPr>
              <w:spacing w:after="0"/>
              <w:jc w:val="center"/>
              <w:rPr>
                <w:rFonts w:eastAsia="Calibri"/>
                <w:sz w:val="20"/>
                <w:szCs w:val="20"/>
              </w:rPr>
            </w:pPr>
            <w:r w:rsidRPr="00092ED7">
              <w:rPr>
                <w:rFonts w:eastAsia="Calibri"/>
                <w:sz w:val="20"/>
                <w:szCs w:val="20"/>
              </w:rPr>
              <w:t>20 (2025)</w:t>
            </w:r>
          </w:p>
        </w:tc>
      </w:tr>
      <w:tr w:rsidR="003E6646" w:rsidRPr="00092ED7" w14:paraId="3779CCC9" w14:textId="77777777" w:rsidTr="00E44EF2">
        <w:trPr>
          <w:trHeight w:val="284"/>
        </w:trPr>
        <w:tc>
          <w:tcPr>
            <w:tcW w:w="4106" w:type="dxa"/>
          </w:tcPr>
          <w:p w14:paraId="19825435" w14:textId="77777777" w:rsidR="003E6646" w:rsidRPr="00092ED7" w:rsidRDefault="003E6646" w:rsidP="0038742E">
            <w:pPr>
              <w:spacing w:after="0"/>
              <w:rPr>
                <w:rFonts w:eastAsia="Calibri"/>
                <w:sz w:val="20"/>
                <w:szCs w:val="20"/>
              </w:rPr>
            </w:pPr>
            <w:r w:rsidRPr="00092ED7">
              <w:rPr>
                <w:rFonts w:eastAsia="Calibri"/>
                <w:sz w:val="20"/>
                <w:szCs w:val="20"/>
              </w:rPr>
              <w:t>Број годишње реализованих додатних обука/семинара и стручних консултација из области зелених јавних набавки за наручиоце</w:t>
            </w:r>
          </w:p>
        </w:tc>
        <w:tc>
          <w:tcPr>
            <w:tcW w:w="1653" w:type="dxa"/>
            <w:tcBorders>
              <w:top w:val="single" w:sz="4" w:space="0" w:color="auto"/>
              <w:left w:val="single" w:sz="4" w:space="0" w:color="auto"/>
              <w:bottom w:val="single" w:sz="4" w:space="0" w:color="auto"/>
              <w:right w:val="single" w:sz="4" w:space="0" w:color="auto"/>
            </w:tcBorders>
            <w:vAlign w:val="center"/>
          </w:tcPr>
          <w:p w14:paraId="37E5455A" w14:textId="77777777" w:rsidR="003E6646" w:rsidRPr="00092ED7" w:rsidRDefault="003E6646" w:rsidP="00E44EF2">
            <w:pPr>
              <w:spacing w:after="0"/>
              <w:jc w:val="center"/>
              <w:rPr>
                <w:rFonts w:eastAsia="Calibri"/>
                <w:sz w:val="20"/>
                <w:szCs w:val="20"/>
              </w:rPr>
            </w:pPr>
            <w:r w:rsidRPr="00092ED7">
              <w:rPr>
                <w:rFonts w:eastAsia="Calibri"/>
                <w:sz w:val="20"/>
                <w:szCs w:val="20"/>
              </w:rPr>
              <w:t>1 (2022)</w:t>
            </w:r>
          </w:p>
        </w:tc>
        <w:tc>
          <w:tcPr>
            <w:tcW w:w="1654" w:type="dxa"/>
            <w:tcBorders>
              <w:top w:val="single" w:sz="4" w:space="0" w:color="auto"/>
              <w:left w:val="single" w:sz="4" w:space="0" w:color="auto"/>
              <w:bottom w:val="single" w:sz="4" w:space="0" w:color="auto"/>
              <w:right w:val="single" w:sz="4" w:space="0" w:color="auto"/>
            </w:tcBorders>
            <w:vAlign w:val="center"/>
          </w:tcPr>
          <w:p w14:paraId="71A26E33" w14:textId="77777777" w:rsidR="003E6646" w:rsidRPr="00092ED7" w:rsidRDefault="003E6646" w:rsidP="00A37A7A">
            <w:pPr>
              <w:spacing w:after="0"/>
              <w:jc w:val="center"/>
              <w:rPr>
                <w:rFonts w:eastAsia="Calibri"/>
                <w:sz w:val="20"/>
                <w:szCs w:val="20"/>
              </w:rPr>
            </w:pPr>
            <w:r w:rsidRPr="00092ED7">
              <w:rPr>
                <w:rFonts w:eastAsia="Calibri"/>
                <w:sz w:val="20"/>
                <w:szCs w:val="20"/>
              </w:rPr>
              <w:t>2 (2023)</w:t>
            </w:r>
          </w:p>
        </w:tc>
        <w:tc>
          <w:tcPr>
            <w:tcW w:w="1654" w:type="dxa"/>
            <w:tcBorders>
              <w:top w:val="single" w:sz="4" w:space="0" w:color="auto"/>
              <w:left w:val="single" w:sz="4" w:space="0" w:color="auto"/>
              <w:bottom w:val="single" w:sz="4" w:space="0" w:color="auto"/>
              <w:right w:val="single" w:sz="4" w:space="0" w:color="auto"/>
            </w:tcBorders>
            <w:vAlign w:val="center"/>
          </w:tcPr>
          <w:p w14:paraId="7F6A98EE" w14:textId="77777777" w:rsidR="003E6646" w:rsidRPr="00092ED7" w:rsidRDefault="003E6646" w:rsidP="00E44EF2">
            <w:pPr>
              <w:spacing w:after="0"/>
              <w:jc w:val="center"/>
              <w:rPr>
                <w:rFonts w:eastAsia="Calibri"/>
                <w:sz w:val="20"/>
                <w:szCs w:val="20"/>
              </w:rPr>
            </w:pPr>
            <w:r w:rsidRPr="00092ED7">
              <w:rPr>
                <w:rFonts w:eastAsia="Calibri"/>
                <w:sz w:val="20"/>
                <w:szCs w:val="20"/>
              </w:rPr>
              <w:t>3 (2024)</w:t>
            </w:r>
          </w:p>
        </w:tc>
      </w:tr>
    </w:tbl>
    <w:p w14:paraId="56B20B44" w14:textId="77777777" w:rsidR="00D210F0" w:rsidRPr="00092ED7" w:rsidRDefault="00D210F0" w:rsidP="00E8000F">
      <w:pPr>
        <w:widowControl w:val="0"/>
        <w:numPr>
          <w:ilvl w:val="0"/>
          <w:numId w:val="29"/>
        </w:numPr>
        <w:spacing w:before="120"/>
        <w:ind w:left="425" w:hanging="425"/>
        <w:rPr>
          <w:rFonts w:cs="Times New Roman"/>
          <w:b/>
          <w:bCs/>
          <w:szCs w:val="24"/>
          <w:lang w:val="sr-Cyrl-CS"/>
        </w:rPr>
      </w:pPr>
      <w:r w:rsidRPr="00092ED7">
        <w:rPr>
          <w:rFonts w:cs="Times New Roman"/>
          <w:b/>
          <w:bCs/>
          <w:szCs w:val="24"/>
          <w:lang w:val="sr-Cyrl-CS"/>
        </w:rPr>
        <w:t xml:space="preserve">Очекивани утицај на конкурентност </w:t>
      </w:r>
    </w:p>
    <w:p w14:paraId="07671E27" w14:textId="77777777" w:rsidR="00D210F0" w:rsidRPr="00092ED7" w:rsidRDefault="00D210F0" w:rsidP="0038742E">
      <w:pPr>
        <w:spacing w:after="60"/>
        <w:rPr>
          <w:lang w:val="sr-Cyrl-CS"/>
        </w:rPr>
      </w:pPr>
      <w:r w:rsidRPr="00092ED7">
        <w:rPr>
          <w:rFonts w:eastAsia="Times New Roman" w:cs="Times New Roman"/>
          <w:szCs w:val="24"/>
          <w:lang w:val="sr-Cyrl-CS"/>
        </w:rPr>
        <w:t xml:space="preserve">Применом концепта циркуларне економије штеде се ресурси и енергија, што може довести до нових инвестиционих улагања и подстицања развоја </w:t>
      </w:r>
      <w:r w:rsidR="008F0E1D" w:rsidRPr="00092ED7">
        <w:rPr>
          <w:rFonts w:eastAsia="Times New Roman" w:cs="Times New Roman"/>
          <w:szCs w:val="24"/>
          <w:lang w:val="sr-Cyrl-CS"/>
        </w:rPr>
        <w:t xml:space="preserve">пословног </w:t>
      </w:r>
      <w:r w:rsidRPr="00092ED7">
        <w:rPr>
          <w:rFonts w:eastAsia="Times New Roman" w:cs="Times New Roman"/>
          <w:szCs w:val="24"/>
          <w:lang w:val="sr-Cyrl-CS"/>
        </w:rPr>
        <w:t>сектора. Циркуларна економија доприноси креирању просперитетнијег и конкурентнијег друштва кроз подстицаје за оснивање микро, малих и средњих предузећа и развој технологија које штеде ресурсе и енергију и не загађују животну средину. Компаније окренуте ка циркуларном моделу пословања могу постати конкурентније, јер нови начин производње доводи до сировинске и енергетске ефикасности и смањења настајања отпада.</w:t>
      </w:r>
      <w:r w:rsidR="003E6646" w:rsidRPr="00092ED7">
        <w:rPr>
          <w:rFonts w:cs="Times New Roman"/>
          <w:noProof/>
          <w:szCs w:val="24"/>
          <w:lang w:val="sr-Cyrl-CS"/>
        </w:rPr>
        <w:t xml:space="preserve"> Зелене јавне набавке, као алат за циркуларну економију,  такође могу да допринесу повећању конкурентности</w:t>
      </w:r>
      <w:r w:rsidR="00EE16E2" w:rsidRPr="00092ED7">
        <w:rPr>
          <w:rFonts w:cs="Times New Roman"/>
          <w:noProof/>
          <w:szCs w:val="24"/>
          <w:lang w:val="sr-Cyrl-CS"/>
        </w:rPr>
        <w:t>,</w:t>
      </w:r>
      <w:r w:rsidR="003E6646" w:rsidRPr="00092ED7">
        <w:rPr>
          <w:rFonts w:cs="Times New Roman"/>
          <w:noProof/>
          <w:szCs w:val="24"/>
          <w:lang w:val="sr-Cyrl-CS"/>
        </w:rPr>
        <w:t xml:space="preserve"> јер ће се повећањем захтева наручиоца приликом јавних набавки за еколошким критеријумима утицати на пораст броја компанија које задовољавају ове критеријуме. </w:t>
      </w:r>
      <w:r w:rsidR="000465E0" w:rsidRPr="00092ED7">
        <w:rPr>
          <w:lang w:val="sr-Cyrl-CS"/>
        </w:rPr>
        <w:t xml:space="preserve">Применом зелених јавних набавки, наручиоци (на које се примењује </w:t>
      </w:r>
      <w:r w:rsidR="000465E0" w:rsidRPr="00092ED7">
        <w:rPr>
          <w:i/>
          <w:lang w:val="sr-Cyrl-CS"/>
        </w:rPr>
        <w:t>Закон о јавним набавкама</w:t>
      </w:r>
      <w:r w:rsidR="000465E0" w:rsidRPr="00092ED7">
        <w:rPr>
          <w:lang w:val="sr-Cyrl-CS"/>
        </w:rPr>
        <w:t xml:space="preserve">), као највећи купци подстичу развој понуде добара, услуга и радова са бољим перформансама по животну средину, подстиче се увођење добровољних инструмената из области животне средине, стварање нових ,,зелених” послова, иновативност и креирање нових пословних модела. </w:t>
      </w:r>
    </w:p>
    <w:p w14:paraId="19FC679B" w14:textId="77777777" w:rsidR="00D210F0" w:rsidRPr="00092ED7" w:rsidRDefault="00D210F0" w:rsidP="00E8000F">
      <w:pPr>
        <w:widowControl w:val="0"/>
        <w:numPr>
          <w:ilvl w:val="0"/>
          <w:numId w:val="29"/>
        </w:numPr>
        <w:spacing w:before="120"/>
        <w:ind w:left="425" w:hanging="425"/>
        <w:rPr>
          <w:rFonts w:cs="Times New Roman"/>
          <w:b/>
          <w:bCs/>
          <w:szCs w:val="24"/>
          <w:lang w:val="sr-Cyrl-CS"/>
        </w:rPr>
      </w:pPr>
      <w:r w:rsidRPr="00092ED7">
        <w:rPr>
          <w:rFonts w:cs="Times New Roman"/>
          <w:b/>
          <w:bCs/>
          <w:szCs w:val="24"/>
          <w:lang w:val="sr-Cyrl-CS"/>
        </w:rPr>
        <w:t>Процењени трошкови спровођења структурне реформе и предвиђени извори њиховог финансирања</w:t>
      </w:r>
    </w:p>
    <w:p w14:paraId="031F69F2" w14:textId="6A599B4F" w:rsidR="007750E3" w:rsidRPr="00092ED7" w:rsidRDefault="007750E3" w:rsidP="0038742E">
      <w:pPr>
        <w:spacing w:after="60"/>
        <w:rPr>
          <w:rFonts w:eastAsia="Times New Roman" w:cs="Times New Roman"/>
          <w:szCs w:val="24"/>
          <w:lang w:val="sr-Cyrl-CS"/>
        </w:rPr>
      </w:pPr>
      <w:r w:rsidRPr="00092ED7">
        <w:rPr>
          <w:rFonts w:eastAsia="Times New Roman" w:cs="Times New Roman"/>
          <w:szCs w:val="24"/>
          <w:lang w:val="sr-Cyrl-CS"/>
        </w:rPr>
        <w:t>За спровођење активности „Подршка привредним субјектима у транзицији на циркуларни модел пословања</w:t>
      </w:r>
      <w:r w:rsidR="00D36EEE" w:rsidRPr="00092ED7">
        <w:rPr>
          <w:rFonts w:cs="Times New Roman"/>
          <w:szCs w:val="24"/>
          <w:lang w:val="sr-Cyrl-CS"/>
        </w:rPr>
        <w:t>”</w:t>
      </w:r>
      <w:r w:rsidRPr="00092ED7">
        <w:rPr>
          <w:rFonts w:eastAsia="Times New Roman" w:cs="Times New Roman"/>
          <w:szCs w:val="24"/>
          <w:lang w:val="sr-Cyrl-CS"/>
        </w:rPr>
        <w:t xml:space="preserve"> за 2023. годину средства ће бити обезбеђена од међународних донатора кроз пројекте који су у току. Предвиђена средства за 2023. годину су 60.533,3 евра, а за 2024. годину 50.175 евра. Реализација активности „Подршка локалним самоуправама за увођење концепта циркуларне економије кроз израду </w:t>
      </w:r>
      <w:r w:rsidRPr="00092ED7">
        <w:rPr>
          <w:rFonts w:eastAsia="Times New Roman" w:cs="Times New Roman"/>
          <w:szCs w:val="24"/>
          <w:lang w:val="sr-Cyrl-CS"/>
        </w:rPr>
        <w:lastRenderedPageBreak/>
        <w:t>локалних мапа пута за циркуларну економију</w:t>
      </w:r>
      <w:r w:rsidR="00D36EEE" w:rsidRPr="00092ED7">
        <w:rPr>
          <w:rFonts w:cs="Times New Roman"/>
          <w:szCs w:val="24"/>
          <w:lang w:val="sr-Cyrl-CS"/>
        </w:rPr>
        <w:t>”</w:t>
      </w:r>
      <w:r w:rsidRPr="00092ED7">
        <w:rPr>
          <w:rFonts w:eastAsia="Times New Roman" w:cs="Times New Roman"/>
          <w:szCs w:val="24"/>
          <w:lang w:val="sr-Cyrl-CS"/>
        </w:rPr>
        <w:t>, финансираће се из међународног пројекта Глобалног фонда за животну средину (ГЕФ) „Смањење угљеничног отиска локалних заједница применом принципа циркуларне економије</w:t>
      </w:r>
      <w:r w:rsidR="00D36EEE" w:rsidRPr="00092ED7">
        <w:rPr>
          <w:rFonts w:cs="Times New Roman"/>
          <w:szCs w:val="24"/>
          <w:lang w:val="sr-Cyrl-CS"/>
        </w:rPr>
        <w:t>”</w:t>
      </w:r>
      <w:r w:rsidRPr="00092ED7">
        <w:rPr>
          <w:rFonts w:eastAsia="Times New Roman" w:cs="Times New Roman"/>
          <w:szCs w:val="24"/>
          <w:lang w:val="sr-Cyrl-CS"/>
        </w:rPr>
        <w:t xml:space="preserve"> који спроводе Програм развоја Уједињених нација - УНДП и Министарство заштите животне средине као имплементациони партнер. Средства за 2023. годину су предвиђена у износу од 13.333 евра</w:t>
      </w:r>
      <w:r w:rsidR="004A67B0" w:rsidRPr="00092ED7">
        <w:rPr>
          <w:rFonts w:eastAsia="Times New Roman" w:cs="Times New Roman"/>
          <w:szCs w:val="24"/>
          <w:lang w:val="sr-Cyrl-CS"/>
        </w:rPr>
        <w:t>,</w:t>
      </w:r>
      <w:r w:rsidRPr="00092ED7">
        <w:rPr>
          <w:rFonts w:eastAsia="Times New Roman" w:cs="Times New Roman"/>
          <w:szCs w:val="24"/>
          <w:lang w:val="sr-Cyrl-CS"/>
        </w:rPr>
        <w:t xml:space="preserve"> а за 2024. годину у износу од 14.166 евра. За 2025. годину средства ће бити накнадно одређена. За реализацију активности „Унапређење сарадње бизнис и научно-истраживачког сектора кроз доделу циркуларних ваучера за технолошке иновације које доприносе примени концепта циркуларне економије</w:t>
      </w:r>
      <w:r w:rsidR="00D36EEE" w:rsidRPr="00092ED7">
        <w:rPr>
          <w:rFonts w:cs="Times New Roman"/>
          <w:szCs w:val="24"/>
          <w:lang w:val="sr-Cyrl-CS"/>
        </w:rPr>
        <w:t>”</w:t>
      </w:r>
      <w:r w:rsidRPr="00092ED7">
        <w:rPr>
          <w:rFonts w:eastAsia="Times New Roman" w:cs="Times New Roman"/>
          <w:szCs w:val="24"/>
          <w:lang w:val="sr-Cyrl-CS"/>
        </w:rPr>
        <w:t xml:space="preserve"> обезбеђена су средства од међународног донатора у износу од 120.000 евра за 2022. годину. За реализацију поменуте активности средства за 2023, 2024. и 2025. годину биће обезбеђена од међународних донатора, а накнадно ће се дефинисати у којем износу. </w:t>
      </w:r>
    </w:p>
    <w:p w14:paraId="67302B13" w14:textId="77777777" w:rsidR="00D210F0" w:rsidRPr="00092ED7" w:rsidRDefault="00D210F0" w:rsidP="00E8000F">
      <w:pPr>
        <w:widowControl w:val="0"/>
        <w:numPr>
          <w:ilvl w:val="0"/>
          <w:numId w:val="29"/>
        </w:numPr>
        <w:spacing w:before="120"/>
        <w:ind w:left="425" w:hanging="425"/>
        <w:rPr>
          <w:rFonts w:cs="Times New Roman"/>
          <w:b/>
          <w:bCs/>
          <w:szCs w:val="24"/>
          <w:lang w:val="sr-Cyrl-CS"/>
        </w:rPr>
      </w:pPr>
      <w:r w:rsidRPr="00092ED7">
        <w:rPr>
          <w:rFonts w:cs="Times New Roman"/>
          <w:b/>
          <w:bCs/>
          <w:szCs w:val="24"/>
          <w:lang w:val="sr-Cyrl-CS"/>
        </w:rPr>
        <w:t>Очекивани утицај на социјалне циљеве, као што су запосленост, смањење сиромаштва, родна равноправност и приступ здравственој заштити</w:t>
      </w:r>
    </w:p>
    <w:p w14:paraId="3DF160A8" w14:textId="77777777" w:rsidR="00D210F0" w:rsidRPr="00092ED7" w:rsidRDefault="008C5DCE" w:rsidP="004A67B0">
      <w:pPr>
        <w:spacing w:after="60"/>
        <w:rPr>
          <w:rFonts w:eastAsia="Times New Roman" w:cs="Times New Roman"/>
          <w:szCs w:val="24"/>
          <w:lang w:val="sr-Cyrl-CS"/>
        </w:rPr>
      </w:pPr>
      <w:r w:rsidRPr="00092ED7">
        <w:rPr>
          <w:rFonts w:eastAsia="Times New Roman" w:cs="Times New Roman"/>
          <w:szCs w:val="24"/>
          <w:lang w:val="sr-Cyrl-CS"/>
        </w:rPr>
        <w:t>Структурна реформа потенцијално утиче на повећање запослености услед развоја циркуларне економије и повећања привредног раста, а у зависности од висине јавних улагања потребних за споровођење овог концепта. Крајњи исход ове реформе је побољшање квалитета животне средине и квалитета живота свих грађана, што се позитивно одражава и на здравље људи.</w:t>
      </w:r>
    </w:p>
    <w:p w14:paraId="7015D4F6" w14:textId="77777777" w:rsidR="00D210F0" w:rsidRPr="00092ED7" w:rsidRDefault="00D210F0" w:rsidP="00E8000F">
      <w:pPr>
        <w:widowControl w:val="0"/>
        <w:numPr>
          <w:ilvl w:val="0"/>
          <w:numId w:val="29"/>
        </w:numPr>
        <w:spacing w:before="120"/>
        <w:ind w:left="425" w:hanging="425"/>
        <w:rPr>
          <w:rFonts w:cs="Times New Roman"/>
          <w:b/>
          <w:bCs/>
          <w:szCs w:val="24"/>
          <w:lang w:val="sr-Cyrl-CS"/>
        </w:rPr>
      </w:pPr>
      <w:r w:rsidRPr="00092ED7">
        <w:rPr>
          <w:rFonts w:cs="Times New Roman"/>
          <w:b/>
          <w:bCs/>
          <w:szCs w:val="24"/>
          <w:lang w:val="sr-Cyrl-CS"/>
        </w:rPr>
        <w:t>Очекивани утицај на животну средину и климатске промене</w:t>
      </w:r>
    </w:p>
    <w:p w14:paraId="1097C998" w14:textId="77777777" w:rsidR="00D210F0" w:rsidRPr="00092ED7" w:rsidRDefault="00D210F0" w:rsidP="0038742E">
      <w:pPr>
        <w:spacing w:after="60"/>
        <w:rPr>
          <w:rFonts w:cs="Times New Roman"/>
          <w:noProof/>
          <w:szCs w:val="24"/>
          <w:lang w:val="sr-Cyrl-CS"/>
        </w:rPr>
      </w:pPr>
      <w:r w:rsidRPr="00092ED7">
        <w:rPr>
          <w:rFonts w:eastAsia="Calibri" w:cs="Times New Roman"/>
          <w:szCs w:val="24"/>
          <w:lang w:val="sr-Cyrl-CS"/>
        </w:rPr>
        <w:t>Примена концепта циркуларне економије директно утиче на остваривање стратешких циљева и достизање одговарајућих стандарда у области заштите животне средине у кратком, средњем и дужем року. Циркуларна економија има важну улогу у развоју конкурентне економије која штеди ресурсе и утиче на смањење свих врста загађења, а посебно на смањење емисија</w:t>
      </w:r>
      <w:r w:rsidR="001E32DF" w:rsidRPr="00092ED7">
        <w:rPr>
          <w:rFonts w:eastAsia="Calibri" w:cs="Times New Roman"/>
          <w:szCs w:val="24"/>
          <w:lang w:val="sr-Cyrl-CS"/>
        </w:rPr>
        <w:t xml:space="preserve"> гасова</w:t>
      </w:r>
      <w:r w:rsidRPr="00092ED7">
        <w:rPr>
          <w:rFonts w:eastAsia="Calibri" w:cs="Times New Roman"/>
          <w:szCs w:val="24"/>
          <w:lang w:val="sr-Cyrl-CS"/>
        </w:rPr>
        <w:t xml:space="preserve"> са ефектом стаклене баште, што даље утиче на нискоугљенични развој, којем се тежи на глобалном нивоу.</w:t>
      </w:r>
      <w:r w:rsidR="003E6646" w:rsidRPr="00092ED7">
        <w:rPr>
          <w:rFonts w:eastAsia="Calibri" w:cs="Times New Roman"/>
          <w:szCs w:val="24"/>
          <w:lang w:val="sr-Cyrl-CS"/>
        </w:rPr>
        <w:t xml:space="preserve"> </w:t>
      </w:r>
      <w:r w:rsidR="003E6646" w:rsidRPr="00092ED7">
        <w:rPr>
          <w:rFonts w:cs="Times New Roman"/>
          <w:noProof/>
          <w:szCs w:val="24"/>
          <w:lang w:val="sr-Cyrl-CS"/>
        </w:rPr>
        <w:t>Применом зелених јавних набавки, ресурси се користе ефикасније и сврсисходније, уз остваривање одговарајућих уштеда и бољих перформанси за животну средину кроз све фазе животног циклуса добара, услуга и радова.</w:t>
      </w:r>
    </w:p>
    <w:p w14:paraId="2A1D992C" w14:textId="77777777" w:rsidR="00D210F0" w:rsidRPr="00092ED7" w:rsidRDefault="00D210F0" w:rsidP="00E8000F">
      <w:pPr>
        <w:widowControl w:val="0"/>
        <w:numPr>
          <w:ilvl w:val="0"/>
          <w:numId w:val="29"/>
        </w:numPr>
        <w:spacing w:before="120"/>
        <w:ind w:left="425" w:hanging="425"/>
        <w:rPr>
          <w:rFonts w:cs="Times New Roman"/>
          <w:b/>
          <w:bCs/>
          <w:szCs w:val="24"/>
          <w:lang w:val="sr-Cyrl-CS"/>
        </w:rPr>
      </w:pPr>
      <w:r w:rsidRPr="00092ED7">
        <w:rPr>
          <w:rFonts w:cs="Times New Roman"/>
          <w:b/>
          <w:bCs/>
          <w:szCs w:val="24"/>
          <w:lang w:val="sr-Cyrl-CS"/>
        </w:rPr>
        <w:t>Потенцијални ризици</w:t>
      </w:r>
    </w:p>
    <w:tbl>
      <w:tblPr>
        <w:tblStyle w:val="TableGrid12"/>
        <w:tblW w:w="9072" w:type="dxa"/>
        <w:tblInd w:w="-5" w:type="dxa"/>
        <w:tblLayout w:type="fixed"/>
        <w:tblLook w:val="04A0" w:firstRow="1" w:lastRow="0" w:firstColumn="1" w:lastColumn="0" w:noHBand="0" w:noVBand="1"/>
      </w:tblPr>
      <w:tblGrid>
        <w:gridCol w:w="3329"/>
        <w:gridCol w:w="2200"/>
        <w:gridCol w:w="3543"/>
      </w:tblGrid>
      <w:tr w:rsidR="00D210F0" w:rsidRPr="00092ED7" w14:paraId="2DA8367A" w14:textId="77777777" w:rsidTr="00AE4362">
        <w:trPr>
          <w:trHeight w:val="421"/>
        </w:trPr>
        <w:tc>
          <w:tcPr>
            <w:tcW w:w="3329" w:type="dxa"/>
            <w:vAlign w:val="center"/>
          </w:tcPr>
          <w:p w14:paraId="4C89F55D" w14:textId="77777777" w:rsidR="00D210F0" w:rsidRPr="00092ED7" w:rsidRDefault="00D210F0" w:rsidP="00A37A7A">
            <w:pPr>
              <w:spacing w:after="0"/>
              <w:jc w:val="center"/>
              <w:rPr>
                <w:rFonts w:eastAsia="Calibri"/>
                <w:b/>
                <w:sz w:val="20"/>
                <w:szCs w:val="20"/>
              </w:rPr>
            </w:pPr>
            <w:r w:rsidRPr="00092ED7">
              <w:rPr>
                <w:rFonts w:eastAsia="Calibri"/>
                <w:b/>
                <w:sz w:val="20"/>
                <w:szCs w:val="20"/>
              </w:rPr>
              <w:t>Ризик</w:t>
            </w:r>
          </w:p>
        </w:tc>
        <w:tc>
          <w:tcPr>
            <w:tcW w:w="2200" w:type="dxa"/>
            <w:vAlign w:val="center"/>
          </w:tcPr>
          <w:p w14:paraId="6396DC75" w14:textId="77777777" w:rsidR="00D210F0" w:rsidRPr="00092ED7" w:rsidRDefault="00D210F0" w:rsidP="00A37A7A">
            <w:pPr>
              <w:spacing w:after="0"/>
              <w:jc w:val="center"/>
              <w:rPr>
                <w:rFonts w:eastAsia="Calibri"/>
                <w:b/>
                <w:sz w:val="20"/>
                <w:szCs w:val="20"/>
              </w:rPr>
            </w:pPr>
            <w:r w:rsidRPr="00092ED7">
              <w:rPr>
                <w:rFonts w:eastAsia="Calibri"/>
                <w:b/>
                <w:sz w:val="20"/>
                <w:szCs w:val="20"/>
              </w:rPr>
              <w:t>Вероватноћа за остваривање ризика</w:t>
            </w:r>
          </w:p>
        </w:tc>
        <w:tc>
          <w:tcPr>
            <w:tcW w:w="3543" w:type="dxa"/>
            <w:vAlign w:val="center"/>
          </w:tcPr>
          <w:p w14:paraId="2D944F05" w14:textId="77777777" w:rsidR="00D210F0" w:rsidRPr="00092ED7" w:rsidRDefault="00D210F0" w:rsidP="00A37A7A">
            <w:pPr>
              <w:spacing w:after="0"/>
              <w:jc w:val="center"/>
              <w:rPr>
                <w:rFonts w:eastAsia="Calibri"/>
                <w:b/>
                <w:sz w:val="20"/>
                <w:szCs w:val="20"/>
              </w:rPr>
            </w:pPr>
            <w:r w:rsidRPr="00092ED7">
              <w:rPr>
                <w:rFonts w:eastAsia="Calibri"/>
                <w:b/>
                <w:sz w:val="20"/>
                <w:szCs w:val="20"/>
              </w:rPr>
              <w:t>Планиране активности за ублажавање негативних ефеката ризика</w:t>
            </w:r>
          </w:p>
        </w:tc>
      </w:tr>
      <w:tr w:rsidR="00D210F0" w:rsidRPr="00092ED7" w14:paraId="1C9976A2" w14:textId="77777777" w:rsidTr="004A67B0">
        <w:trPr>
          <w:trHeight w:val="429"/>
        </w:trPr>
        <w:tc>
          <w:tcPr>
            <w:tcW w:w="3329" w:type="dxa"/>
          </w:tcPr>
          <w:p w14:paraId="293EC0FC" w14:textId="77777777" w:rsidR="00D210F0" w:rsidRPr="00092ED7" w:rsidRDefault="00D210F0" w:rsidP="00A37A7A">
            <w:pPr>
              <w:spacing w:after="0"/>
              <w:rPr>
                <w:rFonts w:eastAsia="Calibri"/>
                <w:sz w:val="20"/>
                <w:szCs w:val="20"/>
              </w:rPr>
            </w:pPr>
            <w:r w:rsidRPr="00092ED7">
              <w:rPr>
                <w:rFonts w:eastAsia="Calibri"/>
                <w:sz w:val="20"/>
                <w:szCs w:val="20"/>
              </w:rPr>
              <w:t>Непрепознавање користи од примене концепта циркуларне економије од стране привредних субјеката, локалних самоуправа</w:t>
            </w:r>
            <w:r w:rsidR="00283BB0" w:rsidRPr="00092ED7">
              <w:rPr>
                <w:rFonts w:eastAsia="Calibri"/>
                <w:sz w:val="20"/>
                <w:szCs w:val="20"/>
              </w:rPr>
              <w:t xml:space="preserve">, </w:t>
            </w:r>
            <w:r w:rsidRPr="00092ED7">
              <w:rPr>
                <w:rFonts w:eastAsia="Calibri"/>
                <w:sz w:val="20"/>
                <w:szCs w:val="20"/>
              </w:rPr>
              <w:t>научно-истраживачког сектора</w:t>
            </w:r>
            <w:r w:rsidR="00283BB0" w:rsidRPr="00092ED7">
              <w:rPr>
                <w:rFonts w:eastAsia="Calibri" w:cstheme="minorBidi"/>
                <w:sz w:val="20"/>
                <w:szCs w:val="20"/>
              </w:rPr>
              <w:t xml:space="preserve"> </w:t>
            </w:r>
            <w:r w:rsidR="00283BB0" w:rsidRPr="00092ED7">
              <w:rPr>
                <w:rFonts w:eastAsia="Calibri"/>
                <w:sz w:val="20"/>
                <w:szCs w:val="20"/>
              </w:rPr>
              <w:t>и цивилног сектора за зелену транзцију Републике Србије</w:t>
            </w:r>
          </w:p>
        </w:tc>
        <w:tc>
          <w:tcPr>
            <w:tcW w:w="2200" w:type="dxa"/>
          </w:tcPr>
          <w:p w14:paraId="677E5524" w14:textId="77777777" w:rsidR="00D210F0" w:rsidRPr="00092ED7" w:rsidRDefault="00D210F0" w:rsidP="004A67B0">
            <w:pPr>
              <w:spacing w:after="0"/>
              <w:jc w:val="center"/>
              <w:rPr>
                <w:rFonts w:eastAsia="Calibri"/>
                <w:sz w:val="20"/>
                <w:szCs w:val="20"/>
              </w:rPr>
            </w:pPr>
            <w:r w:rsidRPr="00092ED7">
              <w:rPr>
                <w:rFonts w:eastAsia="Calibri"/>
                <w:sz w:val="20"/>
                <w:szCs w:val="20"/>
              </w:rPr>
              <w:t>Ниска</w:t>
            </w:r>
          </w:p>
        </w:tc>
        <w:tc>
          <w:tcPr>
            <w:tcW w:w="3543" w:type="dxa"/>
          </w:tcPr>
          <w:p w14:paraId="74953EDC" w14:textId="54BAC469" w:rsidR="00D210F0" w:rsidRPr="00092ED7" w:rsidRDefault="00D210F0" w:rsidP="00B010FF">
            <w:pPr>
              <w:spacing w:after="0"/>
              <w:rPr>
                <w:rFonts w:eastAsia="Calibri"/>
                <w:sz w:val="20"/>
                <w:szCs w:val="20"/>
              </w:rPr>
            </w:pPr>
            <w:r w:rsidRPr="00092ED7">
              <w:rPr>
                <w:rFonts w:eastAsia="Calibri"/>
                <w:sz w:val="20"/>
                <w:szCs w:val="20"/>
              </w:rPr>
              <w:t xml:space="preserve">Програмом развоја циркуларне економије </w:t>
            </w:r>
            <w:r w:rsidR="00283BB0" w:rsidRPr="00092ED7">
              <w:rPr>
                <w:rFonts w:eastAsia="Calibri"/>
                <w:sz w:val="20"/>
                <w:szCs w:val="20"/>
              </w:rPr>
              <w:t xml:space="preserve">дефинисан је </w:t>
            </w:r>
            <w:r w:rsidRPr="00092ED7">
              <w:rPr>
                <w:rFonts w:eastAsia="Calibri"/>
                <w:sz w:val="20"/>
                <w:szCs w:val="20"/>
              </w:rPr>
              <w:t xml:space="preserve">правац деловања </w:t>
            </w:r>
            <w:r w:rsidR="00B010FF" w:rsidRPr="00092ED7">
              <w:rPr>
                <w:rFonts w:eastAsia="Calibri"/>
                <w:sz w:val="20"/>
                <w:szCs w:val="20"/>
              </w:rPr>
              <w:t xml:space="preserve">Републике Србије </w:t>
            </w:r>
            <w:r w:rsidRPr="00092ED7">
              <w:rPr>
                <w:rFonts w:eastAsia="Calibri"/>
                <w:sz w:val="20"/>
                <w:szCs w:val="20"/>
              </w:rPr>
              <w:t>у области циркуларне економије и одрживог развоја. Планирано је да се сви идентификовани актери укључе у препознавање користи које им циркуларна економија може донети.</w:t>
            </w:r>
          </w:p>
        </w:tc>
      </w:tr>
      <w:tr w:rsidR="004A3679" w:rsidRPr="00092ED7" w14:paraId="7BDB561F" w14:textId="77777777" w:rsidTr="004A67B0">
        <w:trPr>
          <w:trHeight w:val="429"/>
        </w:trPr>
        <w:tc>
          <w:tcPr>
            <w:tcW w:w="3329" w:type="dxa"/>
          </w:tcPr>
          <w:p w14:paraId="4668F04E" w14:textId="77777777" w:rsidR="004A3679" w:rsidRPr="00092ED7" w:rsidRDefault="004A3679" w:rsidP="0096782F">
            <w:pPr>
              <w:spacing w:after="0"/>
              <w:rPr>
                <w:rFonts w:eastAsia="Calibri"/>
                <w:sz w:val="20"/>
                <w:szCs w:val="20"/>
              </w:rPr>
            </w:pPr>
            <w:r w:rsidRPr="00092ED7">
              <w:rPr>
                <w:rFonts w:eastAsia="Calibri"/>
                <w:sz w:val="20"/>
                <w:szCs w:val="20"/>
              </w:rPr>
              <w:t>Недовољни подстицај</w:t>
            </w:r>
            <w:r w:rsidR="0096782F" w:rsidRPr="00092ED7">
              <w:rPr>
                <w:rFonts w:eastAsia="Calibri"/>
                <w:sz w:val="20"/>
                <w:szCs w:val="20"/>
              </w:rPr>
              <w:t>и</w:t>
            </w:r>
            <w:r w:rsidRPr="00092ED7">
              <w:rPr>
                <w:rFonts w:eastAsia="Calibri"/>
                <w:sz w:val="20"/>
                <w:szCs w:val="20"/>
              </w:rPr>
              <w:t xml:space="preserve"> привреди за интегрисање циркуларних пословних модела</w:t>
            </w:r>
          </w:p>
        </w:tc>
        <w:tc>
          <w:tcPr>
            <w:tcW w:w="2200" w:type="dxa"/>
          </w:tcPr>
          <w:p w14:paraId="42D7B6CE" w14:textId="77777777" w:rsidR="004A3679" w:rsidRPr="00092ED7" w:rsidRDefault="004A3679" w:rsidP="004A67B0">
            <w:pPr>
              <w:spacing w:after="0"/>
              <w:jc w:val="center"/>
              <w:rPr>
                <w:rFonts w:eastAsia="Calibri"/>
                <w:sz w:val="20"/>
                <w:szCs w:val="20"/>
              </w:rPr>
            </w:pPr>
            <w:r w:rsidRPr="00092ED7">
              <w:rPr>
                <w:rFonts w:eastAsia="Calibri"/>
                <w:sz w:val="20"/>
                <w:szCs w:val="20"/>
              </w:rPr>
              <w:t>Ниска</w:t>
            </w:r>
          </w:p>
        </w:tc>
        <w:tc>
          <w:tcPr>
            <w:tcW w:w="3543" w:type="dxa"/>
          </w:tcPr>
          <w:p w14:paraId="688CC7D6" w14:textId="77777777" w:rsidR="004A3679" w:rsidRPr="00092ED7" w:rsidRDefault="004A3679" w:rsidP="00A37A7A">
            <w:pPr>
              <w:spacing w:after="0"/>
              <w:rPr>
                <w:rFonts w:eastAsia="Calibri"/>
                <w:sz w:val="20"/>
                <w:szCs w:val="20"/>
              </w:rPr>
            </w:pPr>
            <w:r w:rsidRPr="00092ED7">
              <w:rPr>
                <w:rFonts w:eastAsia="Calibri"/>
                <w:sz w:val="20"/>
                <w:szCs w:val="20"/>
              </w:rPr>
              <w:t>Планирано је да се кроз више  активности обезбеде подстицаји привреди како би усвојили циркуларне бизнис моделе. Активности које ће се спроводити су обуке и израда акционих планова за транзицију на цирклуарни бизнис модел пословања.</w:t>
            </w:r>
          </w:p>
        </w:tc>
      </w:tr>
    </w:tbl>
    <w:p w14:paraId="2883ED5B" w14:textId="77777777" w:rsidR="00D210F0" w:rsidRPr="00092ED7" w:rsidRDefault="00D210F0" w:rsidP="00D210F0">
      <w:pPr>
        <w:keepNext/>
        <w:keepLines/>
        <w:shd w:val="clear" w:color="auto" w:fill="D9D9D9" w:themeFill="background1" w:themeFillShade="D9"/>
        <w:spacing w:before="360"/>
        <w:outlineLvl w:val="2"/>
        <w:rPr>
          <w:rFonts w:eastAsiaTheme="majorEastAsia" w:cstheme="majorBidi"/>
          <w:b/>
          <w:shd w:val="clear" w:color="auto" w:fill="D9D9D9" w:themeFill="background1" w:themeFillShade="D9"/>
          <w:lang w:val="sr-Cyrl-CS"/>
        </w:rPr>
      </w:pPr>
      <w:bookmarkStart w:id="45" w:name="_Toc124174810"/>
      <w:r w:rsidRPr="00092ED7">
        <w:rPr>
          <w:rFonts w:eastAsiaTheme="majorEastAsia" w:cstheme="majorBidi"/>
          <w:b/>
          <w:lang w:val="sr-Cyrl-CS"/>
        </w:rPr>
        <w:lastRenderedPageBreak/>
        <w:t>5.2.3. Област ДИГИТАЛНА ТРАНСФОРМАЦИЈА</w:t>
      </w:r>
      <w:bookmarkEnd w:id="45"/>
    </w:p>
    <w:p w14:paraId="68358CE7" w14:textId="1C0DC364" w:rsidR="00D210F0" w:rsidRPr="00092ED7" w:rsidRDefault="00D210F0" w:rsidP="00D210F0">
      <w:pPr>
        <w:spacing w:before="120"/>
        <w:rPr>
          <w:rFonts w:eastAsia="Calibri" w:cs="Times New Roman"/>
          <w:szCs w:val="24"/>
          <w:lang w:val="sr-Cyrl-CS"/>
        </w:rPr>
      </w:pPr>
      <w:r w:rsidRPr="00092ED7">
        <w:rPr>
          <w:rFonts w:eastAsia="Times New Roman" w:cs="Times New Roman"/>
          <w:b/>
          <w:szCs w:val="24"/>
          <w:lang w:val="sr-Cyrl-CS"/>
        </w:rPr>
        <w:t xml:space="preserve">а) Анализа главних </w:t>
      </w:r>
      <w:r w:rsidR="00515D4D" w:rsidRPr="00092ED7">
        <w:rPr>
          <w:rFonts w:eastAsia="Times New Roman" w:cs="Times New Roman"/>
          <w:b/>
          <w:szCs w:val="24"/>
          <w:lang w:val="sr-Cyrl-CS"/>
        </w:rPr>
        <w:t>изазова</w:t>
      </w:r>
    </w:p>
    <w:p w14:paraId="696B79BE" w14:textId="6E83CEF1" w:rsidR="00D210F0" w:rsidRPr="00092ED7" w:rsidRDefault="00D210F0" w:rsidP="00D210F0">
      <w:pPr>
        <w:spacing w:after="60"/>
        <w:rPr>
          <w:rFonts w:eastAsia="Calibri" w:cs="Times New Roman"/>
          <w:szCs w:val="24"/>
          <w:lang w:val="sr-Cyrl-CS"/>
        </w:rPr>
      </w:pPr>
      <w:r w:rsidRPr="00092ED7">
        <w:rPr>
          <w:rFonts w:eastAsia="Calibri" w:cs="Times New Roman"/>
          <w:b/>
          <w:szCs w:val="24"/>
          <w:lang w:val="sr-Cyrl-CS"/>
        </w:rPr>
        <w:t xml:space="preserve">Најдинамичнији сектор у Републици Србији у последњих </w:t>
      </w:r>
      <w:r w:rsidR="001571AD" w:rsidRPr="00092ED7">
        <w:rPr>
          <w:rFonts w:eastAsia="Calibri" w:cs="Times New Roman"/>
          <w:b/>
          <w:szCs w:val="24"/>
          <w:lang w:val="sr-Cyrl-CS"/>
        </w:rPr>
        <w:t xml:space="preserve">десет </w:t>
      </w:r>
      <w:r w:rsidRPr="00092ED7">
        <w:rPr>
          <w:rFonts w:eastAsia="Calibri" w:cs="Times New Roman"/>
          <w:b/>
          <w:szCs w:val="24"/>
          <w:lang w:val="sr-Cyrl-CS"/>
        </w:rPr>
        <w:t>година је сектор ИКТ, чиме овај сектор постаје носилац развоја и економског раста.</w:t>
      </w:r>
      <w:r w:rsidRPr="00092ED7">
        <w:rPr>
          <w:rFonts w:eastAsia="Calibri" w:cs="Times New Roman"/>
          <w:szCs w:val="24"/>
          <w:lang w:val="sr-Cyrl-CS"/>
        </w:rPr>
        <w:t xml:space="preserve"> Извоз ИКТ услуга бележи континуиран раст од преко 20% у периоду од 2015-2019.</w:t>
      </w:r>
      <w:r w:rsidRPr="00092ED7">
        <w:rPr>
          <w:rFonts w:eastAsia="Calibri" w:cs="Times New Roman"/>
          <w:szCs w:val="24"/>
          <w:vertAlign w:val="superscript"/>
          <w:lang w:val="sr-Cyrl-CS"/>
        </w:rPr>
        <w:footnoteReference w:id="106"/>
      </w:r>
      <w:r w:rsidRPr="00092ED7">
        <w:rPr>
          <w:rFonts w:eastAsia="Calibri" w:cs="Times New Roman"/>
          <w:szCs w:val="24"/>
          <w:lang w:val="sr-Cyrl-CS"/>
        </w:rPr>
        <w:t xml:space="preserve"> године. Избијањем глобалне пандемије долази до смањења тражње у свим секторима, па је извоз ИКТ услуга порастао за само 1,2% мг у 2020.</w:t>
      </w:r>
      <w:r w:rsidRPr="00092ED7">
        <w:rPr>
          <w:rFonts w:eastAsia="Calibri" w:cs="Times New Roman"/>
          <w:szCs w:val="24"/>
          <w:vertAlign w:val="superscript"/>
          <w:lang w:val="sr-Cyrl-CS"/>
        </w:rPr>
        <w:footnoteReference w:id="107"/>
      </w:r>
      <w:r w:rsidRPr="00092ED7">
        <w:rPr>
          <w:rFonts w:eastAsia="Calibri" w:cs="Times New Roman"/>
          <w:szCs w:val="24"/>
          <w:lang w:val="sr-Cyrl-CS"/>
        </w:rPr>
        <w:t xml:space="preserve"> години као последица везаности за страна тржишта. Међутим, након релативне нормализације односа на међународном тржишту бележи се раст извоза ИКТ од 29% мг (на 1,86 милијарди евра) у 2021. години, а његово учешће у укупном извоз</w:t>
      </w:r>
      <w:r w:rsidR="001571AD" w:rsidRPr="00092ED7">
        <w:rPr>
          <w:rFonts w:eastAsia="Calibri" w:cs="Times New Roman"/>
          <w:szCs w:val="24"/>
          <w:lang w:val="sr-Cyrl-CS"/>
        </w:rPr>
        <w:t>у</w:t>
      </w:r>
      <w:r w:rsidRPr="00092ED7">
        <w:rPr>
          <w:rFonts w:eastAsia="Calibri" w:cs="Times New Roman"/>
          <w:szCs w:val="24"/>
          <w:lang w:val="sr-Cyrl-CS"/>
        </w:rPr>
        <w:t xml:space="preserve"> услуга износи 23,8%. Остварени суфицит у размени ИКТ услуга од 1,3 милијарде евра представља повећање од 45% у односу на 2020. годину (треба имати у виду чињеницу да је 2020. година била година пандемије). Упркос паду прихода и броја пројеката, ИТ компаније у Републици Србији успеле су да очувају ликвидност и људске ресурсе, тако да извоз ИКТ услуга бележи раст од 43,1% у периоду јануар-август 2022. у односу на исти период претходне године. Иако запослени у ИКТ сектору представљају само 2,9% укупне регистроване запослености</w:t>
      </w:r>
      <w:r w:rsidRPr="00092ED7">
        <w:rPr>
          <w:rFonts w:eastAsia="Calibri" w:cs="Times New Roman"/>
          <w:szCs w:val="24"/>
          <w:vertAlign w:val="superscript"/>
          <w:lang w:val="sr-Cyrl-CS"/>
        </w:rPr>
        <w:footnoteReference w:id="108"/>
      </w:r>
      <w:r w:rsidRPr="00092ED7">
        <w:rPr>
          <w:rFonts w:eastAsia="Calibri" w:cs="Times New Roman"/>
          <w:szCs w:val="24"/>
          <w:lang w:val="sr-Cyrl-CS"/>
        </w:rPr>
        <w:t>, број запослених у овом сектору значајно расте из године у годину (14% у 2021, 12% у 2020, 7% у 2019. и 10% у 2018).</w:t>
      </w:r>
    </w:p>
    <w:p w14:paraId="5B2A6994" w14:textId="4196C95B" w:rsidR="00D210F0" w:rsidRPr="00092ED7" w:rsidRDefault="00D210F0" w:rsidP="00D210F0">
      <w:pPr>
        <w:widowControl w:val="0"/>
        <w:spacing w:after="60"/>
        <w:rPr>
          <w:rFonts w:eastAsia="Calibri" w:cs="Times New Roman"/>
          <w:szCs w:val="24"/>
          <w:lang w:val="sr-Cyrl-CS"/>
        </w:rPr>
      </w:pPr>
      <w:r w:rsidRPr="00092ED7">
        <w:rPr>
          <w:rFonts w:eastAsia="Times New Roman" w:cs="Times New Roman"/>
          <w:color w:val="000000"/>
          <w:szCs w:val="24"/>
          <w:lang w:val="sr-Cyrl-CS"/>
        </w:rPr>
        <w:t xml:space="preserve">Према </w:t>
      </w:r>
      <w:r w:rsidRPr="00092ED7">
        <w:rPr>
          <w:rFonts w:eastAsia="Times New Roman" w:cs="Times New Roman"/>
          <w:b/>
          <w:color w:val="000000"/>
          <w:szCs w:val="24"/>
          <w:lang w:val="sr-Cyrl-CS"/>
        </w:rPr>
        <w:t>индексу мрежне спремности</w:t>
      </w:r>
      <w:r w:rsidRPr="00092ED7">
        <w:rPr>
          <w:rFonts w:eastAsia="Times New Roman" w:cs="Times New Roman"/>
          <w:color w:val="000000"/>
          <w:szCs w:val="24"/>
          <w:lang w:val="sr-Cyrl-CS"/>
        </w:rPr>
        <w:t xml:space="preserve"> (</w:t>
      </w:r>
      <w:r w:rsidRPr="00092ED7">
        <w:rPr>
          <w:rFonts w:eastAsia="Times New Roman" w:cs="Times New Roman"/>
          <w:i/>
          <w:color w:val="000000"/>
          <w:szCs w:val="24"/>
          <w:lang w:val="sr-Cyrl-CS"/>
        </w:rPr>
        <w:t>Network Readiness Index 2021</w:t>
      </w:r>
      <w:r w:rsidRPr="00092ED7">
        <w:rPr>
          <w:rFonts w:eastAsia="Times New Roman" w:cs="Times New Roman"/>
          <w:i/>
          <w:color w:val="000000"/>
          <w:szCs w:val="24"/>
          <w:vertAlign w:val="superscript"/>
          <w:lang w:val="sr-Cyrl-CS"/>
        </w:rPr>
        <w:footnoteReference w:id="109"/>
      </w:r>
      <w:r w:rsidRPr="00092ED7">
        <w:rPr>
          <w:rFonts w:eastAsia="Times New Roman" w:cs="Times New Roman"/>
          <w:color w:val="000000"/>
          <w:szCs w:val="24"/>
          <w:lang w:val="sr-Cyrl-CS"/>
        </w:rPr>
        <w:t xml:space="preserve">), као индикатору развоја дигиталне економије односно </w:t>
      </w:r>
      <w:r w:rsidRPr="00092ED7">
        <w:rPr>
          <w:rFonts w:eastAsia="Times New Roman" w:cs="Times New Roman"/>
          <w:b/>
          <w:color w:val="000000"/>
          <w:szCs w:val="24"/>
          <w:lang w:val="sr-Cyrl-CS"/>
        </w:rPr>
        <w:t>спремности земље за укључење у</w:t>
      </w:r>
      <w:r w:rsidR="006E4DE0" w:rsidRPr="00092ED7">
        <w:rPr>
          <w:rFonts w:eastAsia="Times New Roman" w:cs="Times New Roman"/>
          <w:b/>
          <w:color w:val="000000"/>
          <w:szCs w:val="24"/>
          <w:lang w:val="sr-Cyrl-CS"/>
        </w:rPr>
        <w:t xml:space="preserve"> информационо-технолошки</w:t>
      </w:r>
      <w:r w:rsidRPr="00092ED7">
        <w:rPr>
          <w:rFonts w:eastAsia="Times New Roman" w:cs="Times New Roman"/>
          <w:b/>
          <w:color w:val="000000"/>
          <w:szCs w:val="24"/>
          <w:lang w:val="sr-Cyrl-CS"/>
        </w:rPr>
        <w:t xml:space="preserve"> сектор</w:t>
      </w:r>
      <w:r w:rsidRPr="00092ED7">
        <w:rPr>
          <w:rFonts w:eastAsia="Times New Roman" w:cs="Times New Roman"/>
          <w:color w:val="000000"/>
          <w:szCs w:val="24"/>
          <w:lang w:val="sr-Cyrl-CS"/>
        </w:rPr>
        <w:t xml:space="preserve">, Република Србија је заузела 57. позицију од укупно 134 рангиране земље у 2021. години, што представља пад од </w:t>
      </w:r>
      <w:r w:rsidR="00B010FF" w:rsidRPr="00092ED7">
        <w:rPr>
          <w:rFonts w:eastAsia="Times New Roman" w:cs="Times New Roman"/>
          <w:color w:val="000000"/>
          <w:szCs w:val="24"/>
          <w:lang w:val="sr-Cyrl-CS"/>
        </w:rPr>
        <w:t xml:space="preserve">пет </w:t>
      </w:r>
      <w:r w:rsidRPr="00092ED7">
        <w:rPr>
          <w:rFonts w:eastAsia="Times New Roman" w:cs="Times New Roman"/>
          <w:color w:val="000000"/>
          <w:szCs w:val="24"/>
          <w:lang w:val="sr-Cyrl-CS"/>
        </w:rPr>
        <w:t>места. Највиши напредак остварен је у дигиталној трансформацији у области доприноса Циљевима одрживог развоја и поверења, док је највећи силазни тренд уочен у сегменту доступности и пословном окружењу.</w:t>
      </w:r>
    </w:p>
    <w:p w14:paraId="052140C4" w14:textId="73838F11" w:rsidR="00D210F0" w:rsidRPr="00092ED7" w:rsidRDefault="00D210F0" w:rsidP="00D210F0">
      <w:pPr>
        <w:widowControl w:val="0"/>
        <w:spacing w:after="60"/>
        <w:rPr>
          <w:rFonts w:eastAsia="Calibri" w:cs="Times New Roman"/>
          <w:szCs w:val="24"/>
          <w:lang w:val="sr-Cyrl-CS"/>
        </w:rPr>
      </w:pPr>
      <w:r w:rsidRPr="00092ED7">
        <w:rPr>
          <w:rFonts w:eastAsia="Calibri" w:cs="Times New Roman"/>
          <w:b/>
          <w:szCs w:val="24"/>
          <w:lang w:val="sr-Cyrl-CS"/>
        </w:rPr>
        <w:t>Република Србијa је посвећена развоју дигиталне трансформације, па је у претходном периоду знатно унапређен законодавни</w:t>
      </w:r>
      <w:r w:rsidRPr="00092ED7">
        <w:rPr>
          <w:rStyle w:val="FootnoteReference"/>
          <w:rFonts w:eastAsia="Calibri" w:cs="Times New Roman"/>
          <w:b/>
          <w:szCs w:val="24"/>
          <w:lang w:val="sr-Cyrl-CS"/>
        </w:rPr>
        <w:footnoteReference w:id="110"/>
      </w:r>
      <w:r w:rsidRPr="00092ED7">
        <w:rPr>
          <w:rFonts w:eastAsia="Calibri" w:cs="Times New Roman"/>
          <w:b/>
          <w:szCs w:val="24"/>
          <w:lang w:val="sr-Cyrl-CS"/>
        </w:rPr>
        <w:t xml:space="preserve"> и стратешки</w:t>
      </w:r>
      <w:r w:rsidRPr="00092ED7">
        <w:rPr>
          <w:rStyle w:val="FootnoteReference"/>
          <w:rFonts w:eastAsia="Calibri" w:cs="Times New Roman"/>
          <w:b/>
          <w:szCs w:val="24"/>
          <w:lang w:val="sr-Cyrl-CS"/>
        </w:rPr>
        <w:footnoteReference w:id="111"/>
      </w:r>
      <w:r w:rsidRPr="00092ED7">
        <w:rPr>
          <w:rFonts w:eastAsia="Calibri" w:cs="Times New Roman"/>
          <w:b/>
          <w:szCs w:val="24"/>
          <w:lang w:val="sr-Cyrl-CS"/>
        </w:rPr>
        <w:t xml:space="preserve"> оквир, </w:t>
      </w:r>
      <w:r w:rsidRPr="00092ED7">
        <w:rPr>
          <w:rFonts w:eastAsia="Calibri" w:cs="Times New Roman"/>
          <w:szCs w:val="24"/>
          <w:lang w:val="sr-Cyrl-CS"/>
        </w:rPr>
        <w:t xml:space="preserve">захваљујући чему је </w:t>
      </w:r>
      <w:r w:rsidR="00B010FF" w:rsidRPr="00092ED7">
        <w:rPr>
          <w:rFonts w:eastAsia="Calibri" w:cs="Times New Roman"/>
          <w:szCs w:val="24"/>
          <w:lang w:val="sr-Cyrl-CS"/>
        </w:rPr>
        <w:t xml:space="preserve">Република </w:t>
      </w:r>
      <w:r w:rsidRPr="00092ED7">
        <w:rPr>
          <w:rFonts w:eastAsia="Calibri" w:cs="Times New Roman"/>
          <w:szCs w:val="24"/>
          <w:lang w:val="sr-Cyrl-CS"/>
        </w:rPr>
        <w:t xml:space="preserve">Србија постала лидер дигиталне трансформације у региону. За </w:t>
      </w:r>
      <w:r w:rsidRPr="00092ED7">
        <w:rPr>
          <w:rFonts w:eastAsia="Times New Roman" w:cs="Times New Roman"/>
          <w:color w:val="000000"/>
          <w:szCs w:val="24"/>
          <w:lang w:val="sr-Cyrl-CS"/>
        </w:rPr>
        <w:t>завршетак хармонизације са регулаторним оквиром ЕУ у области електронских комуникација</w:t>
      </w:r>
      <w:r w:rsidRPr="00092ED7">
        <w:rPr>
          <w:rFonts w:eastAsia="Calibri" w:cs="Times New Roman"/>
          <w:szCs w:val="24"/>
          <w:lang w:val="sr-Cyrl-CS"/>
        </w:rPr>
        <w:t xml:space="preserve"> потребно је усвојити </w:t>
      </w:r>
      <w:r w:rsidR="00303328" w:rsidRPr="00092ED7">
        <w:rPr>
          <w:rFonts w:eastAsia="Calibri" w:cs="Times New Roman"/>
          <w:szCs w:val="24"/>
          <w:lang w:val="sr-Cyrl-CS"/>
        </w:rPr>
        <w:t>нови</w:t>
      </w:r>
      <w:r w:rsidR="00303328" w:rsidRPr="00092ED7">
        <w:rPr>
          <w:rFonts w:eastAsia="Calibri" w:cs="Times New Roman"/>
          <w:i/>
          <w:szCs w:val="24"/>
          <w:lang w:val="sr-Cyrl-CS"/>
        </w:rPr>
        <w:t xml:space="preserve"> з</w:t>
      </w:r>
      <w:r w:rsidRPr="00092ED7">
        <w:rPr>
          <w:rFonts w:eastAsia="Calibri" w:cs="Times New Roman"/>
          <w:i/>
          <w:szCs w:val="24"/>
          <w:lang w:val="sr-Cyrl-CS"/>
        </w:rPr>
        <w:t>акон о електронским комуникацијама</w:t>
      </w:r>
      <w:r w:rsidRPr="00092ED7">
        <w:rPr>
          <w:rFonts w:eastAsia="Calibri" w:cs="Times New Roman"/>
          <w:szCs w:val="24"/>
          <w:lang w:val="sr-Cyrl-CS"/>
        </w:rPr>
        <w:t>, који обухвата</w:t>
      </w:r>
      <w:r w:rsidRPr="00092ED7">
        <w:rPr>
          <w:rFonts w:ascii="Calibri" w:eastAsia="Calibri" w:hAnsi="Calibri" w:cs="Times New Roman"/>
          <w:lang w:val="sr-Cyrl-CS"/>
        </w:rPr>
        <w:t xml:space="preserve"> </w:t>
      </w:r>
      <w:r w:rsidRPr="00092ED7">
        <w:rPr>
          <w:rFonts w:eastAsia="Calibri" w:cs="Times New Roman"/>
          <w:szCs w:val="24"/>
          <w:lang w:val="sr-Cyrl-CS"/>
        </w:rPr>
        <w:t>транспоновање одредби Европског законика електронских комуникација.</w:t>
      </w:r>
    </w:p>
    <w:p w14:paraId="67BE4531" w14:textId="45BCBE73" w:rsidR="00D210F0" w:rsidRPr="00092ED7" w:rsidRDefault="00D210F0" w:rsidP="00D210F0">
      <w:pPr>
        <w:widowControl w:val="0"/>
        <w:spacing w:after="60"/>
        <w:rPr>
          <w:rFonts w:eastAsia="Calibri" w:cs="Times New Roman"/>
          <w:szCs w:val="24"/>
          <w:lang w:val="sr-Cyrl-CS"/>
        </w:rPr>
      </w:pPr>
      <w:r w:rsidRPr="00092ED7">
        <w:rPr>
          <w:rFonts w:eastAsia="Calibri" w:cs="Times New Roman"/>
          <w:szCs w:val="24"/>
          <w:lang w:val="sr-Cyrl-CS"/>
        </w:rPr>
        <w:t>Индекс развоја електронске управе (</w:t>
      </w:r>
      <w:r w:rsidRPr="00092ED7">
        <w:rPr>
          <w:rFonts w:eastAsia="Calibri" w:cs="Times New Roman"/>
          <w:i/>
          <w:szCs w:val="24"/>
          <w:lang w:val="sr-Cyrl-CS"/>
        </w:rPr>
        <w:t>eGovernment Development Index</w:t>
      </w:r>
      <w:r w:rsidRPr="00092ED7">
        <w:rPr>
          <w:rStyle w:val="FootnoteReference"/>
          <w:rFonts w:eastAsia="Calibri" w:cs="Times New Roman"/>
          <w:i/>
          <w:szCs w:val="24"/>
          <w:lang w:val="sr-Cyrl-CS"/>
        </w:rPr>
        <w:footnoteReference w:id="112"/>
      </w:r>
      <w:r w:rsidRPr="00092ED7">
        <w:rPr>
          <w:rFonts w:eastAsia="Calibri" w:cs="Times New Roman"/>
          <w:szCs w:val="24"/>
          <w:lang w:val="sr-Cyrl-CS"/>
        </w:rPr>
        <w:t>) Републике Србије оцењен је највишом оценом у 2021. години, као „веома висок</w:t>
      </w:r>
      <w:r w:rsidR="00281038" w:rsidRPr="00092ED7">
        <w:rPr>
          <w:rFonts w:cs="Times New Roman"/>
          <w:szCs w:val="24"/>
          <w:lang w:val="sr-Cyrl-CS"/>
        </w:rPr>
        <w:t>”</w:t>
      </w:r>
      <w:r w:rsidRPr="00092ED7">
        <w:rPr>
          <w:rFonts w:eastAsia="Calibri" w:cs="Times New Roman"/>
          <w:szCs w:val="24"/>
          <w:lang w:val="sr-Cyrl-CS"/>
        </w:rPr>
        <w:t xml:space="preserve">, што је </w:t>
      </w:r>
      <w:r w:rsidR="001571AD" w:rsidRPr="00092ED7">
        <w:rPr>
          <w:rFonts w:eastAsia="Calibri" w:cs="Times New Roman"/>
          <w:szCs w:val="24"/>
          <w:lang w:val="sr-Cyrl-CS"/>
        </w:rPr>
        <w:t xml:space="preserve">Републику </w:t>
      </w:r>
      <w:r w:rsidRPr="00092ED7">
        <w:rPr>
          <w:rFonts w:eastAsia="Calibri" w:cs="Times New Roman"/>
          <w:szCs w:val="24"/>
          <w:lang w:val="sr-Cyrl-CS"/>
        </w:rPr>
        <w:t xml:space="preserve">Србију позиционирало на 40. место (од 193 земље) и сврстало у три земље са највећим напретком у области еУправе у Европи (позиција </w:t>
      </w:r>
      <w:r w:rsidR="001571AD" w:rsidRPr="00092ED7">
        <w:rPr>
          <w:rFonts w:eastAsia="Calibri" w:cs="Times New Roman"/>
          <w:szCs w:val="24"/>
          <w:lang w:val="sr-Cyrl-CS"/>
        </w:rPr>
        <w:t xml:space="preserve">Републике </w:t>
      </w:r>
      <w:r w:rsidRPr="00092ED7">
        <w:rPr>
          <w:rFonts w:eastAsia="Calibri" w:cs="Times New Roman"/>
          <w:szCs w:val="24"/>
          <w:lang w:val="sr-Cyrl-CS"/>
        </w:rPr>
        <w:t xml:space="preserve">Србије је унапређена за 18 </w:t>
      </w:r>
      <w:r w:rsidRPr="00092ED7">
        <w:rPr>
          <w:rFonts w:eastAsia="Calibri" w:cs="Times New Roman"/>
          <w:szCs w:val="24"/>
          <w:lang w:val="sr-Cyrl-CS"/>
        </w:rPr>
        <w:lastRenderedPageBreak/>
        <w:t xml:space="preserve">места у односу на извештај из 2020. године). У истом извештају, по вредности индекса онлајн услуга </w:t>
      </w:r>
      <w:r w:rsidR="00B010FF" w:rsidRPr="00092ED7">
        <w:rPr>
          <w:rFonts w:eastAsia="Calibri" w:cs="Times New Roman"/>
          <w:szCs w:val="24"/>
          <w:lang w:val="sr-Cyrl-CS"/>
        </w:rPr>
        <w:t xml:space="preserve">Република </w:t>
      </w:r>
      <w:r w:rsidRPr="00092ED7">
        <w:rPr>
          <w:rFonts w:eastAsia="Calibri" w:cs="Times New Roman"/>
          <w:szCs w:val="24"/>
          <w:lang w:val="sr-Cyrl-CS"/>
        </w:rPr>
        <w:t>Србија се нашла на 26. месту.</w:t>
      </w:r>
    </w:p>
    <w:p w14:paraId="0971462A" w14:textId="77777777" w:rsidR="00D210F0" w:rsidRPr="00092ED7" w:rsidRDefault="00D210F0" w:rsidP="00D210F0">
      <w:pPr>
        <w:widowControl w:val="0"/>
        <w:spacing w:after="60"/>
        <w:rPr>
          <w:rFonts w:eastAsia="Calibri" w:cs="Times New Roman"/>
          <w:szCs w:val="24"/>
          <w:lang w:val="sr-Cyrl-CS"/>
        </w:rPr>
      </w:pPr>
      <w:r w:rsidRPr="00092ED7">
        <w:rPr>
          <w:rFonts w:eastAsia="Calibri" w:cs="Times New Roman"/>
          <w:b/>
          <w:szCs w:val="24"/>
          <w:lang w:val="sr-Cyrl-CS"/>
        </w:rPr>
        <w:t>Глобални трендови као што су дигитална трансформација пословних модела, све више имају утицај на све индустрије и секторе у Републици Србији.</w:t>
      </w:r>
      <w:r w:rsidRPr="00092ED7">
        <w:rPr>
          <w:rFonts w:eastAsia="Calibri" w:cs="Times New Roman"/>
          <w:szCs w:val="24"/>
          <w:lang w:val="sr-Cyrl-CS"/>
        </w:rPr>
        <w:t xml:space="preserve"> Подршку дигиталној трансформацији малих и средњих предузећа обезбеђује </w:t>
      </w:r>
      <w:r w:rsidRPr="00092ED7">
        <w:rPr>
          <w:rFonts w:eastAsia="Calibri" w:cs="Times New Roman"/>
          <w:b/>
          <w:szCs w:val="24"/>
          <w:lang w:val="sr-Cyrl-CS"/>
        </w:rPr>
        <w:t>StarTech програм</w:t>
      </w:r>
      <w:r w:rsidRPr="00092ED7">
        <w:rPr>
          <w:rFonts w:eastAsia="Calibri" w:cs="Times New Roman"/>
          <w:b/>
          <w:szCs w:val="24"/>
          <w:vertAlign w:val="superscript"/>
          <w:lang w:val="sr-Cyrl-CS"/>
        </w:rPr>
        <w:footnoteReference w:id="113"/>
      </w:r>
      <w:r w:rsidRPr="00092ED7">
        <w:rPr>
          <w:rFonts w:eastAsia="Calibri" w:cs="Times New Roman"/>
          <w:szCs w:val="24"/>
          <w:lang w:val="sr-Cyrl-CS"/>
        </w:rPr>
        <w:t xml:space="preserve"> са циљем убрзања раста српских компанија и традиционалне економије засноване на пољопривреди и прерађивачкој индустрији у дигиталну, извозно оријентисану економију засновану на знању и иновацијама</w:t>
      </w:r>
      <w:r w:rsidRPr="00092ED7">
        <w:rPr>
          <w:rFonts w:eastAsia="Calibri" w:cs="Times New Roman"/>
          <w:szCs w:val="24"/>
          <w:vertAlign w:val="superscript"/>
          <w:lang w:val="sr-Cyrl-CS"/>
        </w:rPr>
        <w:footnoteReference w:id="114"/>
      </w:r>
      <w:r w:rsidRPr="00092ED7">
        <w:rPr>
          <w:rFonts w:eastAsia="Calibri" w:cs="Times New Roman"/>
          <w:szCs w:val="24"/>
          <w:lang w:val="sr-Cyrl-CS"/>
        </w:rPr>
        <w:t>. Други годишњи јавни позив</w:t>
      </w:r>
      <w:r w:rsidRPr="00092ED7">
        <w:rPr>
          <w:rStyle w:val="FootnoteReference"/>
          <w:rFonts w:eastAsia="Calibri" w:cs="Times New Roman"/>
          <w:szCs w:val="24"/>
          <w:lang w:val="sr-Cyrl-CS"/>
        </w:rPr>
        <w:footnoteReference w:id="115"/>
      </w:r>
      <w:r w:rsidRPr="00092ED7">
        <w:rPr>
          <w:rFonts w:eastAsia="Calibri" w:cs="Times New Roman"/>
          <w:szCs w:val="24"/>
          <w:lang w:val="sr-Cyrl-CS"/>
        </w:rPr>
        <w:t xml:space="preserve"> за доделу милион долара бесповратних финансијских средстава (вредност појединачних грантова 15.000-100.000 долара) и до 1.000 сати експертске подршке за реализацију бизнис планова, објављен је у марту 2022. године</w:t>
      </w:r>
      <w:r w:rsidRPr="00092ED7">
        <w:rPr>
          <w:rStyle w:val="FootnoteReference"/>
          <w:rFonts w:eastAsia="Calibri" w:cs="Times New Roman"/>
          <w:szCs w:val="24"/>
          <w:lang w:val="sr-Cyrl-CS"/>
        </w:rPr>
        <w:footnoteReference w:id="116"/>
      </w:r>
      <w:r w:rsidRPr="00092ED7">
        <w:rPr>
          <w:rFonts w:eastAsia="Calibri" w:cs="Times New Roman"/>
          <w:szCs w:val="24"/>
          <w:lang w:val="sr-Cyrl-CS"/>
        </w:rPr>
        <w:t>.</w:t>
      </w:r>
    </w:p>
    <w:p w14:paraId="599D792C" w14:textId="77777777" w:rsidR="00D210F0" w:rsidRPr="00092ED7" w:rsidRDefault="00D210F0" w:rsidP="00D210F0">
      <w:pPr>
        <w:widowControl w:val="0"/>
        <w:spacing w:after="60"/>
        <w:rPr>
          <w:rFonts w:eastAsia="Times New Roman" w:cs="Times New Roman"/>
          <w:color w:val="000000"/>
          <w:szCs w:val="24"/>
          <w:lang w:val="sr-Cyrl-CS"/>
        </w:rPr>
      </w:pPr>
      <w:r w:rsidRPr="00092ED7">
        <w:rPr>
          <w:rFonts w:eastAsia="Times New Roman" w:cs="Times New Roman"/>
          <w:b/>
          <w:color w:val="000000"/>
          <w:szCs w:val="24"/>
          <w:lang w:val="sr-Cyrl-CS"/>
        </w:rPr>
        <w:t>Комуникациону инфраструктуру у Републици Србији потребно је и даље унапређивати</w:t>
      </w:r>
      <w:r w:rsidRPr="00092ED7">
        <w:rPr>
          <w:rFonts w:eastAsia="Times New Roman" w:cs="Times New Roman"/>
          <w:color w:val="000000"/>
          <w:szCs w:val="24"/>
          <w:lang w:val="sr-Cyrl-CS"/>
        </w:rPr>
        <w:t xml:space="preserve">. </w:t>
      </w:r>
      <w:r w:rsidRPr="00092ED7">
        <w:rPr>
          <w:rFonts w:eastAsia="Times New Roman" w:cs="Times New Roman"/>
          <w:b/>
          <w:color w:val="000000"/>
          <w:szCs w:val="24"/>
          <w:lang w:val="sr-Cyrl-CS"/>
        </w:rPr>
        <w:t>Развој комуникационе инфраструктуре у руралним пределима</w:t>
      </w:r>
      <w:r w:rsidRPr="00092ED7">
        <w:rPr>
          <w:rFonts w:eastAsia="Times New Roman" w:cs="Times New Roman"/>
          <w:color w:val="000000"/>
          <w:szCs w:val="24"/>
          <w:lang w:val="sr-Cyrl-CS"/>
        </w:rPr>
        <w:t xml:space="preserve"> („белим или сивим зонама”) одвија се кроз</w:t>
      </w:r>
      <w:r w:rsidRPr="00092ED7">
        <w:rPr>
          <w:rFonts w:ascii="Calibri" w:eastAsia="Calibri" w:hAnsi="Calibri" w:cs="Times New Roman"/>
          <w:lang w:val="sr-Cyrl-CS"/>
        </w:rPr>
        <w:t xml:space="preserve"> </w:t>
      </w:r>
      <w:r w:rsidRPr="00092ED7">
        <w:rPr>
          <w:rFonts w:eastAsia="Times New Roman" w:cs="Times New Roman"/>
          <w:color w:val="000000"/>
          <w:szCs w:val="24"/>
          <w:lang w:val="sr-Cyrl-CS"/>
        </w:rPr>
        <w:t xml:space="preserve">пројекат „Изградња широкопојасне ИКТ у руралним пределима Републике Србије – Фаза 1”. Уговори са операторима електронских комуникација за изградњу широкопојасне приступне комуникационе инфраструктуре за 400 насеља закључени су до јула 2021. године, чиме су створени услови за изградњу приступне комуникационе инфраструктуре укупне дужине 1.500 км. </w:t>
      </w:r>
      <w:r w:rsidRPr="00092ED7">
        <w:rPr>
          <w:rFonts w:eastAsia="Times New Roman" w:cs="Times New Roman"/>
          <w:b/>
          <w:color w:val="000000"/>
          <w:szCs w:val="24"/>
          <w:lang w:val="sr-Cyrl-CS"/>
        </w:rPr>
        <w:t>Информационо-комуникациона инфраструктура у основним и средњим школама</w:t>
      </w:r>
      <w:r w:rsidRPr="00092ED7">
        <w:rPr>
          <w:rFonts w:eastAsia="Times New Roman" w:cs="Times New Roman"/>
          <w:color w:val="000000"/>
          <w:szCs w:val="24"/>
          <w:lang w:val="sr-Cyrl-CS"/>
        </w:rPr>
        <w:t xml:space="preserve"> у Републици Србији, која се одвија се кроз Пројекат „Повезане школе”, биће </w:t>
      </w:r>
      <w:r w:rsidRPr="00092ED7">
        <w:rPr>
          <w:rFonts w:eastAsia="Times New Roman" w:cs="Times New Roman"/>
          <w:b/>
          <w:color w:val="000000"/>
          <w:szCs w:val="24"/>
          <w:lang w:val="sr-Cyrl-CS"/>
        </w:rPr>
        <w:t xml:space="preserve">унапређена </w:t>
      </w:r>
      <w:r w:rsidRPr="00092ED7">
        <w:rPr>
          <w:rFonts w:eastAsia="Times New Roman" w:cs="Times New Roman"/>
          <w:color w:val="000000"/>
          <w:szCs w:val="24"/>
          <w:lang w:val="sr-Cyrl-CS"/>
        </w:rPr>
        <w:t xml:space="preserve">увођењем брзог и поузданог интернета </w:t>
      </w:r>
      <w:r w:rsidRPr="00092ED7">
        <w:rPr>
          <w:rFonts w:eastAsia="Times New Roman" w:cs="Times New Roman"/>
          <w:b/>
          <w:color w:val="000000"/>
          <w:szCs w:val="24"/>
          <w:lang w:val="sr-Cyrl-CS"/>
        </w:rPr>
        <w:t>у око 1.800 школа.</w:t>
      </w:r>
    </w:p>
    <w:p w14:paraId="093E6481" w14:textId="42A6BB24" w:rsidR="00D210F0" w:rsidRPr="00092ED7" w:rsidRDefault="00D210F0" w:rsidP="00D210F0">
      <w:pPr>
        <w:widowControl w:val="0"/>
        <w:spacing w:after="60"/>
        <w:rPr>
          <w:rFonts w:eastAsia="Calibri" w:cs="Times New Roman"/>
          <w:szCs w:val="24"/>
          <w:lang w:val="sr-Cyrl-CS"/>
        </w:rPr>
      </w:pPr>
      <w:r w:rsidRPr="00092ED7">
        <w:rPr>
          <w:rFonts w:eastAsia="Calibri" w:cs="Times New Roman"/>
          <w:b/>
          <w:szCs w:val="24"/>
          <w:lang w:val="sr-Cyrl-CS"/>
        </w:rPr>
        <w:t>Електронске услуге</w:t>
      </w:r>
      <w:r w:rsidRPr="00092ED7">
        <w:rPr>
          <w:rFonts w:eastAsia="Calibri" w:cs="Times New Roman"/>
          <w:szCs w:val="24"/>
          <w:lang w:val="sr-Cyrl-CS"/>
        </w:rPr>
        <w:t xml:space="preserve"> препознате као кључни катализатори дигиталне трансформације јавне управе - </w:t>
      </w:r>
      <w:r w:rsidRPr="00092ED7">
        <w:rPr>
          <w:rFonts w:eastAsia="Calibri" w:cs="Times New Roman"/>
          <w:b/>
          <w:szCs w:val="24"/>
          <w:lang w:val="sr-Cyrl-CS"/>
        </w:rPr>
        <w:t>„Потпис у клауду</w:t>
      </w:r>
      <w:r w:rsidR="007731E9" w:rsidRPr="00092ED7">
        <w:rPr>
          <w:rFonts w:cs="Times New Roman"/>
          <w:b/>
          <w:szCs w:val="24"/>
          <w:lang w:val="sr-Cyrl-CS"/>
        </w:rPr>
        <w:t>”</w:t>
      </w:r>
      <w:r w:rsidRPr="00092ED7">
        <w:rPr>
          <w:rFonts w:eastAsia="Calibri" w:cs="Times New Roman"/>
          <w:b/>
          <w:szCs w:val="24"/>
          <w:lang w:val="sr-Cyrl-CS"/>
        </w:rPr>
        <w:t xml:space="preserve"> и Портал за плаћање административних такси</w:t>
      </w:r>
      <w:r w:rsidRPr="00092ED7">
        <w:rPr>
          <w:rFonts w:eastAsia="Calibri" w:cs="Times New Roman"/>
          <w:szCs w:val="24"/>
          <w:lang w:val="sr-Cyrl-CS"/>
        </w:rPr>
        <w:t xml:space="preserve">, развијене су од стране </w:t>
      </w:r>
      <w:r w:rsidR="00DE4389" w:rsidRPr="00092ED7">
        <w:rPr>
          <w:rFonts w:eastAsia="Calibri" w:cs="Times New Roman"/>
          <w:szCs w:val="24"/>
          <w:lang w:val="sr-Cyrl-CS"/>
        </w:rPr>
        <w:t>Канцеларије за информационе технологије и електронску управу</w:t>
      </w:r>
      <w:r w:rsidRPr="00092ED7">
        <w:rPr>
          <w:rFonts w:eastAsia="Calibri" w:cs="Times New Roman"/>
          <w:szCs w:val="24"/>
          <w:lang w:val="sr-Cyrl-CS"/>
        </w:rPr>
        <w:t xml:space="preserve">. За развој ових услуга, Канцеларија </w:t>
      </w:r>
      <w:r w:rsidR="00DE4389" w:rsidRPr="00092ED7">
        <w:rPr>
          <w:rFonts w:eastAsia="Calibri" w:cs="Times New Roman"/>
          <w:szCs w:val="24"/>
          <w:lang w:val="sr-Cyrl-CS"/>
        </w:rPr>
        <w:t xml:space="preserve">за информационе технологије и електронску управу </w:t>
      </w:r>
      <w:r w:rsidRPr="00092ED7">
        <w:rPr>
          <w:rFonts w:eastAsia="Calibri" w:cs="Times New Roman"/>
          <w:szCs w:val="24"/>
          <w:lang w:val="sr-Cyrl-CS"/>
        </w:rPr>
        <w:t xml:space="preserve">је добила </w:t>
      </w:r>
      <w:r w:rsidRPr="00092ED7">
        <w:rPr>
          <w:rFonts w:eastAsia="Calibri" w:cs="Times New Roman"/>
          <w:b/>
          <w:szCs w:val="24"/>
          <w:lang w:val="sr-Cyrl-CS"/>
        </w:rPr>
        <w:t>Награду за јавну управу 2022</w:t>
      </w:r>
      <w:r w:rsidRPr="00092ED7">
        <w:rPr>
          <w:rFonts w:eastAsia="Calibri" w:cs="Times New Roman"/>
          <w:szCs w:val="24"/>
          <w:lang w:val="sr-Cyrl-CS"/>
        </w:rPr>
        <w:t xml:space="preserve"> (</w:t>
      </w:r>
      <w:r w:rsidRPr="00092ED7">
        <w:rPr>
          <w:rFonts w:eastAsia="Calibri" w:cs="Times New Roman"/>
          <w:i/>
          <w:szCs w:val="24"/>
          <w:lang w:val="sr-Cyrl-CS"/>
        </w:rPr>
        <w:t>Public Administration Awards</w:t>
      </w:r>
      <w:r w:rsidRPr="00092ED7">
        <w:rPr>
          <w:rFonts w:eastAsia="Calibri" w:cs="Times New Roman"/>
          <w:szCs w:val="24"/>
          <w:lang w:val="sr-Cyrl-CS"/>
        </w:rPr>
        <w:t xml:space="preserve"> 2022) од стране ReSPA и OECD/SIGMA</w:t>
      </w:r>
      <w:r w:rsidRPr="00092ED7">
        <w:rPr>
          <w:rStyle w:val="FootnoteReference"/>
          <w:rFonts w:eastAsia="Calibri" w:cs="Times New Roman"/>
          <w:szCs w:val="24"/>
          <w:lang w:val="sr-Cyrl-CS"/>
        </w:rPr>
        <w:footnoteReference w:id="117"/>
      </w:r>
      <w:r w:rsidRPr="00092ED7">
        <w:rPr>
          <w:rFonts w:eastAsia="Calibri" w:cs="Times New Roman"/>
          <w:szCs w:val="24"/>
          <w:lang w:val="sr-Cyrl-CS"/>
        </w:rPr>
        <w:t xml:space="preserve"> као организатора ове иницијативе.</w:t>
      </w:r>
    </w:p>
    <w:p w14:paraId="39A26256" w14:textId="11662681" w:rsidR="00D210F0" w:rsidRPr="00092ED7" w:rsidRDefault="00D210F0" w:rsidP="00D210F0">
      <w:pPr>
        <w:widowControl w:val="0"/>
        <w:spacing w:after="60"/>
        <w:rPr>
          <w:rFonts w:eastAsia="Times New Roman" w:cs="Times New Roman"/>
          <w:color w:val="000000"/>
          <w:szCs w:val="24"/>
          <w:lang w:val="sr-Cyrl-CS"/>
        </w:rPr>
      </w:pPr>
      <w:r w:rsidRPr="00092ED7">
        <w:rPr>
          <w:rFonts w:eastAsia="Times New Roman" w:cs="Times New Roman"/>
          <w:b/>
          <w:color w:val="000000"/>
          <w:szCs w:val="24"/>
          <w:lang w:val="sr-Cyrl-CS"/>
        </w:rPr>
        <w:t>Фокус Владе је на позиционирању националног портала еУправа као централног места за пружање е-услуга.</w:t>
      </w:r>
      <w:r w:rsidRPr="00092ED7">
        <w:rPr>
          <w:rFonts w:eastAsia="Times New Roman" w:cs="Times New Roman"/>
          <w:color w:val="000000"/>
          <w:szCs w:val="24"/>
          <w:lang w:val="sr-Cyrl-CS"/>
        </w:rPr>
        <w:t xml:space="preserve"> </w:t>
      </w:r>
      <w:r w:rsidRPr="00092ED7">
        <w:rPr>
          <w:rFonts w:eastAsia="Calibri" w:cs="Times New Roman"/>
          <w:szCs w:val="24"/>
          <w:lang w:val="sr-Cyrl-CS"/>
        </w:rPr>
        <w:t xml:space="preserve">Канцеларија </w:t>
      </w:r>
      <w:r w:rsidR="00DE4389" w:rsidRPr="00092ED7">
        <w:rPr>
          <w:rFonts w:eastAsia="Calibri" w:cs="Times New Roman"/>
          <w:szCs w:val="24"/>
          <w:lang w:val="sr-Cyrl-CS"/>
        </w:rPr>
        <w:t xml:space="preserve">за информационе технологије и електронску управу </w:t>
      </w:r>
      <w:r w:rsidRPr="00092ED7">
        <w:rPr>
          <w:rFonts w:eastAsia="Calibri" w:cs="Times New Roman"/>
          <w:szCs w:val="24"/>
          <w:lang w:val="sr-Cyrl-CS"/>
        </w:rPr>
        <w:t xml:space="preserve">у кратком периоду је успела да допринесе интензивном развоју услуга и инфраструктуре електронске управе, дигиталној трансформацији јавне управе, напретку дигиталне економије, али и препознатљивости и поверењу грађана у еУправу. </w:t>
      </w:r>
    </w:p>
    <w:p w14:paraId="25A33CEF" w14:textId="1BE60F06" w:rsidR="00D210F0" w:rsidRPr="00092ED7" w:rsidRDefault="00D210F0" w:rsidP="00D210F0">
      <w:pPr>
        <w:widowControl w:val="0"/>
        <w:spacing w:after="60"/>
        <w:rPr>
          <w:rFonts w:eastAsia="Times New Roman" w:cs="Times New Roman"/>
          <w:color w:val="000000"/>
          <w:szCs w:val="24"/>
          <w:lang w:val="sr-Cyrl-CS"/>
        </w:rPr>
      </w:pPr>
      <w:r w:rsidRPr="00092ED7">
        <w:rPr>
          <w:rFonts w:eastAsia="Times New Roman" w:cs="Times New Roman"/>
          <w:b/>
          <w:color w:val="000000"/>
          <w:szCs w:val="24"/>
          <w:lang w:val="sr-Cyrl-CS"/>
        </w:rPr>
        <w:t xml:space="preserve">Комплекс </w:t>
      </w:r>
      <w:r w:rsidR="00814682" w:rsidRPr="00092ED7">
        <w:rPr>
          <w:rFonts w:eastAsia="Times New Roman" w:cs="Times New Roman"/>
          <w:b/>
          <w:color w:val="000000"/>
          <w:szCs w:val="24"/>
          <w:lang w:val="sr-Cyrl-CS"/>
        </w:rPr>
        <w:t xml:space="preserve">Државног дата центра за управљање и чување података у Крагујевцу (у даљем тексту: ДДЦ) </w:t>
      </w:r>
      <w:r w:rsidRPr="00092ED7">
        <w:rPr>
          <w:rFonts w:eastAsia="Times New Roman" w:cs="Times New Roman"/>
          <w:color w:val="000000"/>
          <w:szCs w:val="24"/>
          <w:lang w:val="sr-Cyrl-CS"/>
        </w:rPr>
        <w:t xml:space="preserve">заокружен је отварањем објекта </w:t>
      </w:r>
      <w:r w:rsidR="001571AD" w:rsidRPr="00092ED7">
        <w:rPr>
          <w:rFonts w:eastAsia="Times New Roman" w:cs="Times New Roman"/>
          <w:color w:val="000000"/>
          <w:szCs w:val="24"/>
          <w:lang w:val="sr-Cyrl-CS"/>
        </w:rPr>
        <w:t xml:space="preserve">2 </w:t>
      </w:r>
      <w:r w:rsidRPr="00092ED7">
        <w:rPr>
          <w:rFonts w:eastAsia="Times New Roman" w:cs="Times New Roman"/>
          <w:color w:val="000000"/>
          <w:szCs w:val="24"/>
          <w:lang w:val="sr-Cyrl-CS"/>
        </w:rPr>
        <w:t>са посебним техничким функционалностима у складу са потребама безбедносних служби јула 2022. године, поред већ постојећег објекта 1, који је намењен државној управи, локалној самоуправи, као и комерцијалним корисницима. Његовом и</w:t>
      </w:r>
      <w:r w:rsidRPr="00092ED7">
        <w:rPr>
          <w:rFonts w:eastAsia="Calibri" w:cs="Times New Roman"/>
          <w:szCs w:val="24"/>
          <w:lang w:val="sr-Cyrl-CS"/>
        </w:rPr>
        <w:t xml:space="preserve">зградњом, као и имплементацијом многих електронских услуга (Бебо, добро дошла на свет; еВртић; еУпис; Моја средња школа; еСандуче; електронски потпис у клауду и друге), обезбеђен је даљи убрзан развој у дигитализацији јавне управе у </w:t>
      </w:r>
      <w:r w:rsidR="00F66084" w:rsidRPr="00092ED7">
        <w:rPr>
          <w:rFonts w:eastAsia="Calibri" w:cs="Times New Roman"/>
          <w:szCs w:val="24"/>
          <w:lang w:val="sr-Cyrl-CS"/>
        </w:rPr>
        <w:t xml:space="preserve">Републици </w:t>
      </w:r>
      <w:r w:rsidRPr="00092ED7">
        <w:rPr>
          <w:rFonts w:eastAsia="Calibri" w:cs="Times New Roman"/>
          <w:szCs w:val="24"/>
          <w:lang w:val="sr-Cyrl-CS"/>
        </w:rPr>
        <w:t>Србији.</w:t>
      </w:r>
      <w:r w:rsidRPr="00092ED7">
        <w:rPr>
          <w:rFonts w:eastAsia="Times New Roman" w:cs="Times New Roman"/>
          <w:color w:val="000000"/>
          <w:szCs w:val="24"/>
          <w:lang w:val="sr-Cyrl-CS"/>
        </w:rPr>
        <w:t xml:space="preserve"> На порталу за аутентикацију корисника електронске управе (еИД) регистровано је 1.498.908 налога грађана (еГрађани) до новембра 2022. године (у просеку се дневно региструје 1.316 грађана).</w:t>
      </w:r>
    </w:p>
    <w:p w14:paraId="02655F71" w14:textId="63DB2BD3" w:rsidR="00191E06" w:rsidRPr="00092ED7" w:rsidRDefault="00F66084" w:rsidP="00D210F0">
      <w:pPr>
        <w:widowControl w:val="0"/>
        <w:spacing w:after="60"/>
        <w:rPr>
          <w:rFonts w:eastAsia="Calibri" w:cs="Times New Roman"/>
          <w:szCs w:val="24"/>
          <w:lang w:val="sr-Cyrl-CS"/>
        </w:rPr>
      </w:pPr>
      <w:r w:rsidRPr="00092ED7">
        <w:rPr>
          <w:rFonts w:eastAsia="Times New Roman" w:cs="Times New Roman"/>
          <w:color w:val="000000"/>
          <w:szCs w:val="24"/>
          <w:lang w:val="sr-Cyrl-CS"/>
        </w:rPr>
        <w:lastRenderedPageBreak/>
        <w:t xml:space="preserve">Република </w:t>
      </w:r>
      <w:r w:rsidR="00191E06" w:rsidRPr="00092ED7">
        <w:rPr>
          <w:rFonts w:eastAsia="Times New Roman" w:cs="Times New Roman"/>
          <w:color w:val="000000"/>
          <w:szCs w:val="24"/>
          <w:lang w:val="sr-Cyrl-CS"/>
        </w:rPr>
        <w:t xml:space="preserve">Србија је четврта у Европи (после </w:t>
      </w:r>
      <w:r w:rsidR="006E4DE0" w:rsidRPr="00092ED7">
        <w:rPr>
          <w:rFonts w:eastAsia="Times New Roman" w:cs="Times New Roman"/>
          <w:color w:val="000000"/>
          <w:szCs w:val="24"/>
          <w:lang w:val="sr-Cyrl-CS"/>
        </w:rPr>
        <w:t xml:space="preserve">Република </w:t>
      </w:r>
      <w:r w:rsidR="00191E06" w:rsidRPr="00092ED7">
        <w:rPr>
          <w:rFonts w:eastAsia="Times New Roman" w:cs="Times New Roman"/>
          <w:color w:val="000000"/>
          <w:szCs w:val="24"/>
          <w:lang w:val="sr-Cyrl-CS"/>
        </w:rPr>
        <w:t>Естоније, Француске</w:t>
      </w:r>
      <w:r w:rsidR="006E4DE0" w:rsidRPr="00092ED7">
        <w:rPr>
          <w:rFonts w:eastAsia="Times New Roman" w:cs="Times New Roman"/>
          <w:color w:val="000000"/>
          <w:szCs w:val="24"/>
          <w:lang w:val="sr-Cyrl-CS"/>
        </w:rPr>
        <w:t xml:space="preserve"> Републике </w:t>
      </w:r>
      <w:r w:rsidR="00191E06" w:rsidRPr="00092ED7">
        <w:rPr>
          <w:rFonts w:eastAsia="Times New Roman" w:cs="Times New Roman"/>
          <w:color w:val="000000"/>
          <w:szCs w:val="24"/>
          <w:lang w:val="sr-Cyrl-CS"/>
        </w:rPr>
        <w:t xml:space="preserve"> и </w:t>
      </w:r>
      <w:r w:rsidR="006E4DE0" w:rsidRPr="00092ED7">
        <w:rPr>
          <w:rFonts w:eastAsia="Times New Roman" w:cs="Times New Roman"/>
          <w:color w:val="000000"/>
          <w:szCs w:val="24"/>
          <w:lang w:val="sr-Cyrl-CS"/>
        </w:rPr>
        <w:t>Литванске Републике</w:t>
      </w:r>
      <w:r w:rsidR="00191E06" w:rsidRPr="00092ED7">
        <w:rPr>
          <w:rFonts w:eastAsia="Times New Roman" w:cs="Times New Roman"/>
          <w:color w:val="000000"/>
          <w:szCs w:val="24"/>
          <w:lang w:val="sr-Cyrl-CS"/>
        </w:rPr>
        <w:t xml:space="preserve">) и 11. у свету (од 198 држава) по </w:t>
      </w:r>
      <w:r w:rsidR="00191E06" w:rsidRPr="00092ED7">
        <w:rPr>
          <w:rFonts w:eastAsia="Times New Roman" w:cs="Times New Roman"/>
          <w:b/>
          <w:i/>
          <w:color w:val="000000"/>
          <w:szCs w:val="24"/>
          <w:lang w:val="sr-Cyrl-CS"/>
        </w:rPr>
        <w:t>GovTech индексу зрелости технологија у јавној управи</w:t>
      </w:r>
      <w:r w:rsidR="00191E06" w:rsidRPr="00092ED7">
        <w:rPr>
          <w:rFonts w:eastAsia="Times New Roman" w:cs="Times New Roman"/>
          <w:color w:val="000000"/>
          <w:szCs w:val="24"/>
          <w:lang w:val="sr-Cyrl-CS"/>
        </w:rPr>
        <w:t xml:space="preserve"> који утврђује Светска банка, а који мери унапређење свих аспеката државне управе кроз дигитализацију. </w:t>
      </w:r>
      <w:r w:rsidRPr="00092ED7">
        <w:rPr>
          <w:rFonts w:eastAsia="Times New Roman" w:cs="Times New Roman"/>
          <w:color w:val="000000"/>
          <w:szCs w:val="24"/>
          <w:lang w:val="sr-Cyrl-CS"/>
        </w:rPr>
        <w:t xml:space="preserve">Република </w:t>
      </w:r>
      <w:r w:rsidR="00191E06" w:rsidRPr="00092ED7">
        <w:rPr>
          <w:rFonts w:eastAsia="Times New Roman" w:cs="Times New Roman"/>
          <w:color w:val="000000"/>
          <w:szCs w:val="24"/>
          <w:lang w:val="sr-Cyrl-CS"/>
        </w:rPr>
        <w:t>Србија је за само две године напредовала 40 позиција, што је сврстава у најуспешније у свету.</w:t>
      </w:r>
    </w:p>
    <w:p w14:paraId="060B1186" w14:textId="6A2D24E7" w:rsidR="00D210F0" w:rsidRPr="00092ED7" w:rsidRDefault="00D210F0" w:rsidP="00D210F0">
      <w:pPr>
        <w:widowControl w:val="0"/>
        <w:spacing w:after="60"/>
        <w:rPr>
          <w:rFonts w:eastAsia="Calibri" w:cs="Times New Roman"/>
          <w:szCs w:val="24"/>
          <w:lang w:val="sr-Cyrl-CS"/>
        </w:rPr>
      </w:pPr>
      <w:r w:rsidRPr="00092ED7">
        <w:rPr>
          <w:rFonts w:eastAsia="Calibri" w:cs="Times New Roman"/>
          <w:szCs w:val="24"/>
          <w:lang w:val="sr-Cyrl-CS"/>
        </w:rPr>
        <w:t>Централни информациони систем у области угоститељства и туризма</w:t>
      </w:r>
      <w:r w:rsidRPr="00092ED7">
        <w:rPr>
          <w:rFonts w:eastAsia="Calibri" w:cs="Times New Roman"/>
          <w:b/>
          <w:szCs w:val="24"/>
          <w:lang w:val="sr-Cyrl-CS"/>
        </w:rPr>
        <w:t xml:space="preserve"> еТуриста</w:t>
      </w:r>
      <w:r w:rsidRPr="00092ED7">
        <w:rPr>
          <w:rFonts w:eastAsia="Calibri" w:cs="Times New Roman"/>
          <w:szCs w:val="24"/>
          <w:lang w:val="sr-Cyrl-CS"/>
        </w:rPr>
        <w:t xml:space="preserve"> од почетка 2022. године је извор податка о туристичком промету (број долазака и ноћења туриста) и смештајним капацитетима, које објављује </w:t>
      </w:r>
      <w:r w:rsidR="00F66084" w:rsidRPr="00092ED7">
        <w:rPr>
          <w:rFonts w:eastAsia="Calibri" w:cs="Times New Roman"/>
          <w:szCs w:val="24"/>
          <w:lang w:val="sr-Cyrl-CS"/>
        </w:rPr>
        <w:t>РЗ</w:t>
      </w:r>
      <w:r w:rsidR="001571AD" w:rsidRPr="00092ED7">
        <w:rPr>
          <w:rFonts w:eastAsia="Calibri" w:cs="Times New Roman"/>
          <w:szCs w:val="24"/>
          <w:lang w:val="sr-Cyrl-CS"/>
        </w:rPr>
        <w:t>С</w:t>
      </w:r>
      <w:r w:rsidRPr="00092ED7">
        <w:rPr>
          <w:rFonts w:eastAsia="Calibri" w:cs="Times New Roman"/>
          <w:szCs w:val="24"/>
          <w:lang w:val="sr-Cyrl-CS"/>
        </w:rPr>
        <w:t xml:space="preserve">. Укупно је </w:t>
      </w:r>
      <w:r w:rsidR="007F63ED" w:rsidRPr="00092ED7">
        <w:rPr>
          <w:rFonts w:eastAsia="Calibri" w:cs="Times New Roman"/>
          <w:szCs w:val="24"/>
          <w:lang w:val="sr-Cyrl-CS"/>
        </w:rPr>
        <w:t xml:space="preserve">евидентирано </w:t>
      </w:r>
      <w:r w:rsidR="005F450F" w:rsidRPr="00092ED7">
        <w:rPr>
          <w:rFonts w:eastAsia="Calibri" w:cs="Times New Roman"/>
          <w:szCs w:val="24"/>
          <w:lang w:val="sr-Cyrl-CS"/>
        </w:rPr>
        <w:t>21.690</w:t>
      </w:r>
      <w:r w:rsidRPr="00092ED7">
        <w:rPr>
          <w:rFonts w:eastAsia="Calibri" w:cs="Times New Roman"/>
          <w:szCs w:val="24"/>
          <w:lang w:val="sr-Cyrl-CS"/>
        </w:rPr>
        <w:t xml:space="preserve"> објеката са 66.</w:t>
      </w:r>
      <w:r w:rsidR="005F450F" w:rsidRPr="00092ED7">
        <w:rPr>
          <w:rFonts w:eastAsia="Calibri" w:cs="Times New Roman"/>
          <w:szCs w:val="24"/>
          <w:lang w:val="sr-Cyrl-CS"/>
        </w:rPr>
        <w:t xml:space="preserve">389 </w:t>
      </w:r>
      <w:r w:rsidRPr="00092ED7">
        <w:rPr>
          <w:rFonts w:eastAsia="Calibri" w:cs="Times New Roman"/>
          <w:szCs w:val="24"/>
          <w:lang w:val="sr-Cyrl-CS"/>
        </w:rPr>
        <w:t>смештајном јединицом и 15</w:t>
      </w:r>
      <w:r w:rsidR="005F450F" w:rsidRPr="00092ED7">
        <w:rPr>
          <w:rFonts w:eastAsia="Calibri" w:cs="Times New Roman"/>
          <w:szCs w:val="24"/>
          <w:lang w:val="sr-Cyrl-CS"/>
        </w:rPr>
        <w:t>8</w:t>
      </w:r>
      <w:r w:rsidRPr="00092ED7">
        <w:rPr>
          <w:rFonts w:eastAsia="Calibri" w:cs="Times New Roman"/>
          <w:szCs w:val="24"/>
          <w:lang w:val="sr-Cyrl-CS"/>
        </w:rPr>
        <w:t>.</w:t>
      </w:r>
      <w:r w:rsidR="005F450F" w:rsidRPr="00092ED7">
        <w:rPr>
          <w:rFonts w:eastAsia="Calibri" w:cs="Times New Roman"/>
          <w:szCs w:val="24"/>
          <w:lang w:val="sr-Cyrl-CS"/>
        </w:rPr>
        <w:t xml:space="preserve">587 </w:t>
      </w:r>
      <w:r w:rsidR="004259F1" w:rsidRPr="00092ED7">
        <w:rPr>
          <w:rFonts w:eastAsia="Calibri" w:cs="Times New Roman"/>
          <w:szCs w:val="24"/>
          <w:lang w:val="sr-Cyrl-CS"/>
        </w:rPr>
        <w:t xml:space="preserve">индивидуалних </w:t>
      </w:r>
      <w:r w:rsidRPr="00092ED7">
        <w:rPr>
          <w:rFonts w:eastAsia="Calibri" w:cs="Times New Roman"/>
          <w:szCs w:val="24"/>
          <w:lang w:val="sr-Cyrl-CS"/>
        </w:rPr>
        <w:t xml:space="preserve">лежаја закључно са </w:t>
      </w:r>
      <w:r w:rsidR="005F450F" w:rsidRPr="00092ED7">
        <w:rPr>
          <w:rFonts w:eastAsia="Calibri" w:cs="Times New Roman"/>
          <w:szCs w:val="24"/>
          <w:lang w:val="sr-Cyrl-CS"/>
        </w:rPr>
        <w:t xml:space="preserve">децембром </w:t>
      </w:r>
      <w:r w:rsidRPr="00092ED7">
        <w:rPr>
          <w:rFonts w:eastAsia="Calibri" w:cs="Times New Roman"/>
          <w:szCs w:val="24"/>
          <w:lang w:val="sr-Cyrl-CS"/>
        </w:rPr>
        <w:t>2022. године.</w:t>
      </w:r>
    </w:p>
    <w:p w14:paraId="71AC003F" w14:textId="5784A49E" w:rsidR="00D210F0" w:rsidRPr="00092ED7" w:rsidRDefault="00D210F0" w:rsidP="00D210F0">
      <w:pPr>
        <w:widowControl w:val="0"/>
        <w:spacing w:after="60"/>
        <w:rPr>
          <w:rFonts w:eastAsia="Calibri" w:cs="Times New Roman"/>
          <w:szCs w:val="24"/>
          <w:lang w:val="sr-Cyrl-CS"/>
        </w:rPr>
      </w:pPr>
      <w:r w:rsidRPr="00092ED7">
        <w:rPr>
          <w:rFonts w:eastAsia="Calibri" w:cs="Times New Roman"/>
          <w:szCs w:val="24"/>
          <w:lang w:val="sr-Cyrl-CS"/>
        </w:rPr>
        <w:t xml:space="preserve">Република Србија је почела да ради на </w:t>
      </w:r>
      <w:r w:rsidRPr="00092ED7">
        <w:rPr>
          <w:rFonts w:eastAsia="Calibri" w:cs="Times New Roman"/>
          <w:b/>
          <w:szCs w:val="24"/>
          <w:lang w:val="sr-Cyrl-CS"/>
        </w:rPr>
        <w:t xml:space="preserve">дигитализацији процеса припреме документа </w:t>
      </w:r>
      <w:r w:rsidRPr="00092ED7">
        <w:rPr>
          <w:rFonts w:eastAsia="Calibri" w:cs="Times New Roman"/>
          <w:szCs w:val="24"/>
          <w:lang w:val="sr-Cyrl-CS"/>
        </w:rPr>
        <w:t>ЕРП</w:t>
      </w:r>
      <w:r w:rsidR="00397651" w:rsidRPr="00092ED7">
        <w:rPr>
          <w:rFonts w:eastAsia="Calibri" w:cs="Times New Roman"/>
          <w:szCs w:val="24"/>
          <w:lang w:val="sr-Cyrl-CS"/>
        </w:rPr>
        <w:t xml:space="preserve"> </w:t>
      </w:r>
      <w:r w:rsidRPr="00092ED7">
        <w:rPr>
          <w:rFonts w:eastAsia="Calibri" w:cs="Times New Roman"/>
          <w:szCs w:val="24"/>
          <w:lang w:val="sr-Cyrl-CS"/>
        </w:rPr>
        <w:t xml:space="preserve">кроз пилот пројекат. </w:t>
      </w:r>
      <w:r w:rsidRPr="00092ED7">
        <w:rPr>
          <w:rFonts w:eastAsia="Calibri" w:cs="Times New Roman"/>
          <w:b/>
          <w:szCs w:val="24"/>
          <w:lang w:val="sr-Cyrl-CS"/>
        </w:rPr>
        <w:t>ЕРП Портал</w:t>
      </w:r>
      <w:r w:rsidRPr="00092ED7">
        <w:rPr>
          <w:rFonts w:eastAsia="Calibri" w:cs="Times New Roman"/>
          <w:szCs w:val="24"/>
          <w:lang w:val="sr-Cyrl-CS"/>
        </w:rPr>
        <w:t xml:space="preserve"> ће дигитализовати процес израде документа, од анализе главних препрека по областима, предлагања структурних реформи</w:t>
      </w:r>
      <w:r w:rsidR="0038742E" w:rsidRPr="00092ED7">
        <w:rPr>
          <w:rFonts w:eastAsia="Calibri" w:cs="Times New Roman"/>
          <w:szCs w:val="24"/>
          <w:lang w:val="sr-Cyrl-CS"/>
        </w:rPr>
        <w:t>,</w:t>
      </w:r>
      <w:r w:rsidRPr="00092ED7">
        <w:rPr>
          <w:rFonts w:eastAsia="Calibri" w:cs="Times New Roman"/>
          <w:szCs w:val="24"/>
          <w:lang w:val="sr-Cyrl-CS"/>
        </w:rPr>
        <w:t xml:space="preserve"> до дефинисања трошкова и извора финансирања. Очекује се да ће од следећег ЕРП циклуса портал бити оперативан.</w:t>
      </w:r>
    </w:p>
    <w:p w14:paraId="6E92550E" w14:textId="122B6EBF" w:rsidR="00D210F0" w:rsidRPr="00092ED7" w:rsidRDefault="00D210F0" w:rsidP="00D210F0">
      <w:pPr>
        <w:widowControl w:val="0"/>
        <w:spacing w:after="60"/>
        <w:rPr>
          <w:rFonts w:eastAsia="Calibri" w:cs="Times New Roman"/>
          <w:szCs w:val="24"/>
          <w:lang w:val="sr-Cyrl-CS"/>
        </w:rPr>
      </w:pPr>
      <w:r w:rsidRPr="00092ED7">
        <w:rPr>
          <w:rFonts w:eastAsia="Calibri" w:cs="Times New Roman"/>
          <w:b/>
          <w:szCs w:val="24"/>
          <w:lang w:val="sr-Cyrl-CS"/>
        </w:rPr>
        <w:t>Портал еКонсултације</w:t>
      </w:r>
      <w:r w:rsidRPr="00092ED7">
        <w:rPr>
          <w:rFonts w:eastAsia="Calibri" w:cs="Times New Roman"/>
          <w:szCs w:val="24"/>
          <w:lang w:val="sr-Cyrl-CS"/>
        </w:rPr>
        <w:t xml:space="preserve"> (саставни део портала еУправа) доприноси равноправнијем учешћу јавности, пре свега грађана у процесу припреме и усвајања прописа и докумената јавних политика. (</w:t>
      </w:r>
      <w:r w:rsidRPr="00092ED7">
        <w:rPr>
          <w:rFonts w:eastAsia="Times New Roman" w:cs="Times New Roman"/>
          <w:color w:val="000000"/>
          <w:szCs w:val="24"/>
          <w:lang w:val="sr-Cyrl-CS"/>
        </w:rPr>
        <w:t xml:space="preserve">више у Кључном изазову </w:t>
      </w:r>
      <w:r w:rsidRPr="00092ED7">
        <w:rPr>
          <w:rFonts w:eastAsia="Calibri" w:cs="Times New Roman"/>
          <w:szCs w:val="24"/>
          <w:lang w:val="sr-Cyrl-CS"/>
        </w:rPr>
        <w:t xml:space="preserve">2: </w:t>
      </w:r>
      <w:r w:rsidRPr="00092ED7">
        <w:rPr>
          <w:rFonts w:eastAsia="Calibri" w:cs="Times New Roman"/>
          <w:i/>
          <w:szCs w:val="24"/>
          <w:lang w:val="sr-Cyrl-CS"/>
        </w:rPr>
        <w:t>Унапређење пословног амбијента повољнијег за инвестиције,</w:t>
      </w:r>
      <w:r w:rsidRPr="00092ED7">
        <w:rPr>
          <w:rFonts w:eastAsia="Times New Roman" w:cs="Times New Roman"/>
          <w:color w:val="000000"/>
          <w:szCs w:val="24"/>
          <w:lang w:val="sr-Cyrl-CS"/>
        </w:rPr>
        <w:t xml:space="preserve"> стр. </w:t>
      </w:r>
      <w:r w:rsidR="00F51079" w:rsidRPr="00092ED7">
        <w:rPr>
          <w:rFonts w:eastAsia="Times New Roman" w:cs="Times New Roman"/>
          <w:color w:val="000000"/>
          <w:szCs w:val="24"/>
          <w:lang w:val="sr-Cyrl-CS"/>
        </w:rPr>
        <w:t>88</w:t>
      </w:r>
      <w:r w:rsidRPr="00092ED7">
        <w:rPr>
          <w:rFonts w:eastAsia="Calibri" w:cs="Times New Roman"/>
          <w:szCs w:val="24"/>
          <w:lang w:val="sr-Cyrl-CS"/>
        </w:rPr>
        <w:t>)</w:t>
      </w:r>
    </w:p>
    <w:p w14:paraId="7ED5E574" w14:textId="274456BA" w:rsidR="00D210F0" w:rsidRPr="00092ED7" w:rsidRDefault="00D210F0" w:rsidP="00D210F0">
      <w:pPr>
        <w:widowControl w:val="0"/>
        <w:spacing w:after="60"/>
        <w:rPr>
          <w:rFonts w:eastAsia="Calibri" w:cs="Times New Roman"/>
          <w:szCs w:val="24"/>
          <w:lang w:val="sr-Cyrl-CS"/>
        </w:rPr>
      </w:pPr>
      <w:r w:rsidRPr="00092ED7">
        <w:rPr>
          <w:rFonts w:eastAsia="Calibri" w:cs="Times New Roman"/>
          <w:szCs w:val="24"/>
          <w:lang w:val="sr-Cyrl-CS"/>
        </w:rPr>
        <w:t>Обавеза електронске комуникације и електронске размене података у поступцима јавних набавки (</w:t>
      </w:r>
      <w:r w:rsidRPr="00092ED7">
        <w:rPr>
          <w:rFonts w:eastAsia="Calibri" w:cs="Times New Roman"/>
          <w:b/>
          <w:szCs w:val="24"/>
          <w:lang w:val="sr-Cyrl-CS"/>
        </w:rPr>
        <w:t>е-подношење понуда, е-аукције, е-планирање, е-жалбе, е-каталог</w:t>
      </w:r>
      <w:r w:rsidRPr="00092ED7">
        <w:rPr>
          <w:rFonts w:eastAsia="Calibri" w:cs="Times New Roman"/>
          <w:szCs w:val="24"/>
          <w:lang w:val="sr-Cyrl-CS"/>
        </w:rPr>
        <w:t xml:space="preserve">) представља значајан искорак у процесу дигитализације поступака јавних набавки. (више у Кључном изазову 2: </w:t>
      </w:r>
      <w:r w:rsidRPr="00092ED7">
        <w:rPr>
          <w:rFonts w:eastAsia="Calibri" w:cs="Times New Roman"/>
          <w:i/>
          <w:szCs w:val="24"/>
          <w:lang w:val="sr-Cyrl-CS"/>
        </w:rPr>
        <w:t>Унапређење пословног амбијента повољнијег за инвестиције,</w:t>
      </w:r>
      <w:r w:rsidRPr="00092ED7">
        <w:rPr>
          <w:rFonts w:eastAsia="Times New Roman" w:cs="Times New Roman"/>
          <w:color w:val="000000"/>
          <w:szCs w:val="24"/>
          <w:lang w:val="sr-Cyrl-CS"/>
        </w:rPr>
        <w:t xml:space="preserve"> стр. </w:t>
      </w:r>
      <w:r w:rsidR="00F51079" w:rsidRPr="00092ED7">
        <w:rPr>
          <w:rFonts w:eastAsia="Times New Roman" w:cs="Times New Roman"/>
          <w:color w:val="000000"/>
          <w:szCs w:val="24"/>
          <w:lang w:val="sr-Cyrl-CS"/>
        </w:rPr>
        <w:t>88</w:t>
      </w:r>
      <w:r w:rsidRPr="00092ED7">
        <w:rPr>
          <w:rFonts w:eastAsia="Calibri" w:cs="Times New Roman"/>
          <w:szCs w:val="24"/>
          <w:lang w:val="sr-Cyrl-CS"/>
        </w:rPr>
        <w:t>)</w:t>
      </w:r>
    </w:p>
    <w:p w14:paraId="6ED09E94" w14:textId="60ED974B" w:rsidR="00D210F0" w:rsidRPr="00092ED7" w:rsidRDefault="00D210F0" w:rsidP="00D210F0">
      <w:pPr>
        <w:widowControl w:val="0"/>
        <w:spacing w:after="60"/>
        <w:rPr>
          <w:rFonts w:eastAsia="Times New Roman" w:cs="Times New Roman"/>
          <w:color w:val="000000"/>
          <w:szCs w:val="24"/>
          <w:lang w:val="sr-Cyrl-CS"/>
        </w:rPr>
      </w:pPr>
      <w:r w:rsidRPr="00092ED7">
        <w:rPr>
          <w:rFonts w:eastAsia="Times New Roman" w:cs="Times New Roman"/>
          <w:b/>
          <w:color w:val="000000"/>
          <w:szCs w:val="24"/>
          <w:lang w:val="sr-Cyrl-CS"/>
        </w:rPr>
        <w:t>Дигитална трансформација у области енергетике</w:t>
      </w:r>
      <w:r w:rsidRPr="00092ED7">
        <w:rPr>
          <w:rFonts w:eastAsia="Times New Roman" w:cs="Times New Roman"/>
          <w:color w:val="000000"/>
          <w:szCs w:val="24"/>
          <w:lang w:val="sr-Cyrl-CS"/>
        </w:rPr>
        <w:t xml:space="preserve"> доноси поједностављење поступака у остваривању права у овој области. Уведен је правни основ за </w:t>
      </w:r>
      <w:r w:rsidRPr="00092ED7">
        <w:rPr>
          <w:rFonts w:eastAsia="Calibri" w:cs="Times New Roman"/>
          <w:szCs w:val="24"/>
          <w:lang w:val="sr-Cyrl-CS"/>
        </w:rPr>
        <w:t>е-енергетику и е-рударство чиме је омогућено брж</w:t>
      </w:r>
      <w:r w:rsidR="001571AD" w:rsidRPr="00092ED7">
        <w:rPr>
          <w:rFonts w:eastAsia="Calibri" w:cs="Times New Roman"/>
          <w:szCs w:val="24"/>
          <w:lang w:val="sr-Cyrl-CS"/>
        </w:rPr>
        <w:t>е</w:t>
      </w:r>
      <w:r w:rsidRPr="00092ED7">
        <w:rPr>
          <w:rFonts w:eastAsia="Calibri" w:cs="Times New Roman"/>
          <w:szCs w:val="24"/>
          <w:lang w:val="sr-Cyrl-CS"/>
        </w:rPr>
        <w:t xml:space="preserve"> и једноставније издавање дозвола</w:t>
      </w:r>
      <w:r w:rsidRPr="00092ED7">
        <w:rPr>
          <w:rFonts w:eastAsia="Times New Roman" w:cs="Times New Roman"/>
          <w:color w:val="000000"/>
          <w:szCs w:val="24"/>
          <w:lang w:val="sr-Cyrl-CS"/>
        </w:rPr>
        <w:t xml:space="preserve"> </w:t>
      </w:r>
      <w:r w:rsidRPr="00092ED7">
        <w:rPr>
          <w:rFonts w:eastAsia="Calibri" w:cs="Times New Roman"/>
          <w:szCs w:val="24"/>
          <w:lang w:val="sr-Cyrl-CS"/>
        </w:rPr>
        <w:t>кроз систем електронског пословања.</w:t>
      </w:r>
      <w:r w:rsidRPr="00092ED7">
        <w:rPr>
          <w:rFonts w:eastAsia="Times New Roman" w:cs="Times New Roman"/>
          <w:color w:val="000000"/>
          <w:szCs w:val="24"/>
          <w:lang w:val="sr-Cyrl-CS"/>
        </w:rPr>
        <w:t xml:space="preserve"> (више у Кључном изазову 3. </w:t>
      </w:r>
      <w:r w:rsidRPr="00092ED7">
        <w:rPr>
          <w:rFonts w:eastAsia="Times New Roman" w:cs="Times New Roman"/>
          <w:i/>
          <w:szCs w:val="24"/>
          <w:lang w:val="sr-Cyrl-CS"/>
        </w:rPr>
        <w:t xml:space="preserve">Озелењавање енергетског сектора и потпуно отварање енергетског тржишта, </w:t>
      </w:r>
      <w:r w:rsidRPr="00092ED7">
        <w:rPr>
          <w:rFonts w:eastAsia="Times New Roman" w:cs="Times New Roman"/>
          <w:color w:val="000000"/>
          <w:szCs w:val="24"/>
          <w:lang w:val="sr-Cyrl-CS"/>
        </w:rPr>
        <w:t xml:space="preserve">стр. </w:t>
      </w:r>
      <w:r w:rsidR="00F51079" w:rsidRPr="00092ED7">
        <w:rPr>
          <w:rFonts w:eastAsia="Times New Roman" w:cs="Times New Roman"/>
          <w:color w:val="000000"/>
          <w:szCs w:val="24"/>
          <w:lang w:val="sr-Cyrl-CS"/>
        </w:rPr>
        <w:t>98</w:t>
      </w:r>
      <w:r w:rsidRPr="00092ED7">
        <w:rPr>
          <w:rFonts w:eastAsia="Times New Roman" w:cs="Times New Roman"/>
          <w:color w:val="000000"/>
          <w:szCs w:val="24"/>
          <w:lang w:val="sr-Cyrl-CS"/>
        </w:rPr>
        <w:t>)</w:t>
      </w:r>
    </w:p>
    <w:p w14:paraId="54609551" w14:textId="7302712A" w:rsidR="00D210F0" w:rsidRPr="00092ED7" w:rsidRDefault="00D210F0" w:rsidP="00D210F0">
      <w:pPr>
        <w:widowControl w:val="0"/>
        <w:spacing w:after="60"/>
        <w:rPr>
          <w:rFonts w:eastAsia="Times New Roman" w:cs="Times New Roman"/>
          <w:color w:val="000000"/>
          <w:szCs w:val="24"/>
          <w:lang w:val="sr-Cyrl-CS"/>
        </w:rPr>
      </w:pPr>
      <w:r w:rsidRPr="00092ED7">
        <w:rPr>
          <w:rFonts w:eastAsia="Times New Roman" w:cs="Times New Roman"/>
          <w:color w:val="000000"/>
          <w:szCs w:val="24"/>
          <w:lang w:val="sr-Cyrl-CS"/>
        </w:rPr>
        <w:t xml:space="preserve">Успостављањем свеобухватног информационог система науке </w:t>
      </w:r>
      <w:r w:rsidRPr="00092ED7">
        <w:rPr>
          <w:rFonts w:eastAsia="Times New Roman" w:cs="Times New Roman"/>
          <w:b/>
          <w:color w:val="000000"/>
          <w:szCs w:val="24"/>
          <w:lang w:val="sr-Cyrl-CS"/>
        </w:rPr>
        <w:t>еНаука</w:t>
      </w:r>
      <w:r w:rsidRPr="00092ED7">
        <w:rPr>
          <w:rFonts w:eastAsia="Times New Roman" w:cs="Times New Roman"/>
          <w:color w:val="000000"/>
          <w:szCs w:val="24"/>
          <w:lang w:val="sr-Cyrl-CS"/>
        </w:rPr>
        <w:t xml:space="preserve"> омогућиће се већа видљивост и доступност научних резултата и истраживачке инфраструктуре академској и привредној заједници у националним и међународним оквирима. (више у области </w:t>
      </w:r>
      <w:r w:rsidRPr="00092ED7">
        <w:rPr>
          <w:rFonts w:eastAsia="Times New Roman" w:cs="Times New Roman"/>
          <w:i/>
          <w:color w:val="000000"/>
          <w:szCs w:val="24"/>
          <w:lang w:val="sr-Cyrl-CS"/>
        </w:rPr>
        <w:t>Истраживање, развој и иновације</w:t>
      </w:r>
      <w:r w:rsidRPr="00092ED7">
        <w:rPr>
          <w:rFonts w:eastAsia="Times New Roman" w:cs="Times New Roman"/>
          <w:color w:val="000000"/>
          <w:szCs w:val="24"/>
          <w:lang w:val="sr-Cyrl-CS"/>
        </w:rPr>
        <w:t xml:space="preserve">, стр. </w:t>
      </w:r>
      <w:r w:rsidR="00F51079" w:rsidRPr="00092ED7">
        <w:rPr>
          <w:rFonts w:eastAsia="Times New Roman" w:cs="Times New Roman"/>
          <w:color w:val="000000"/>
          <w:szCs w:val="24"/>
          <w:lang w:val="sr-Cyrl-CS"/>
        </w:rPr>
        <w:t>130</w:t>
      </w:r>
      <w:r w:rsidRPr="00092ED7">
        <w:rPr>
          <w:rFonts w:eastAsia="Times New Roman" w:cs="Times New Roman"/>
          <w:color w:val="000000"/>
          <w:szCs w:val="24"/>
          <w:lang w:val="sr-Cyrl-CS"/>
        </w:rPr>
        <w:t>)</w:t>
      </w:r>
    </w:p>
    <w:p w14:paraId="184D2084" w14:textId="3FBC456E" w:rsidR="00D210F0" w:rsidRPr="00092ED7" w:rsidRDefault="00D210F0" w:rsidP="00D210F0">
      <w:pPr>
        <w:widowControl w:val="0"/>
        <w:spacing w:after="60"/>
        <w:rPr>
          <w:rFonts w:eastAsia="Times New Roman" w:cs="Times New Roman"/>
          <w:color w:val="000000"/>
          <w:szCs w:val="24"/>
          <w:lang w:val="sr-Cyrl-CS"/>
        </w:rPr>
      </w:pPr>
      <w:r w:rsidRPr="00092ED7">
        <w:rPr>
          <w:rFonts w:eastAsia="Times New Roman" w:cs="Times New Roman"/>
          <w:color w:val="000000"/>
          <w:szCs w:val="24"/>
          <w:lang w:val="sr-Cyrl-CS"/>
        </w:rPr>
        <w:t xml:space="preserve">Значај процеса </w:t>
      </w:r>
      <w:r w:rsidRPr="00092ED7">
        <w:rPr>
          <w:rFonts w:eastAsia="Times New Roman" w:cs="Times New Roman"/>
          <w:b/>
          <w:color w:val="000000"/>
          <w:szCs w:val="24"/>
          <w:lang w:val="sr-Cyrl-CS"/>
        </w:rPr>
        <w:t>дигитализације у трговини</w:t>
      </w:r>
      <w:r w:rsidRPr="00092ED7">
        <w:rPr>
          <w:rFonts w:eastAsia="Times New Roman" w:cs="Times New Roman"/>
          <w:color w:val="000000"/>
          <w:szCs w:val="24"/>
          <w:lang w:val="sr-Cyrl-CS"/>
        </w:rPr>
        <w:t xml:space="preserve"> посебно је дошао до изражаја у условима ванредног стања због пандемије. Електронска трговинa наставља да бележи значајан раст и током 2021. године. (више у области </w:t>
      </w:r>
      <w:r w:rsidRPr="00092ED7">
        <w:rPr>
          <w:rFonts w:eastAsia="Times New Roman" w:cs="Times New Roman"/>
          <w:i/>
          <w:color w:val="000000"/>
          <w:szCs w:val="24"/>
          <w:lang w:val="sr-Cyrl-CS"/>
        </w:rPr>
        <w:t>Пољопривреда, индустрија и услуге</w:t>
      </w:r>
      <w:r w:rsidRPr="00092ED7">
        <w:rPr>
          <w:rFonts w:eastAsia="Times New Roman" w:cs="Times New Roman"/>
          <w:color w:val="000000"/>
          <w:szCs w:val="24"/>
          <w:lang w:val="sr-Cyrl-CS"/>
        </w:rPr>
        <w:t xml:space="preserve">, стр. </w:t>
      </w:r>
      <w:r w:rsidR="00F51079" w:rsidRPr="00092ED7">
        <w:rPr>
          <w:rFonts w:eastAsia="Times New Roman" w:cs="Times New Roman"/>
          <w:color w:val="000000"/>
          <w:szCs w:val="24"/>
          <w:lang w:val="sr-Cyrl-CS"/>
        </w:rPr>
        <w:t>148</w:t>
      </w:r>
      <w:r w:rsidRPr="00092ED7">
        <w:rPr>
          <w:rFonts w:eastAsia="Times New Roman" w:cs="Times New Roman"/>
          <w:color w:val="000000"/>
          <w:szCs w:val="24"/>
          <w:lang w:val="sr-Cyrl-CS"/>
        </w:rPr>
        <w:t>)</w:t>
      </w:r>
    </w:p>
    <w:p w14:paraId="61E5247E" w14:textId="5B8004E8" w:rsidR="00D210F0" w:rsidRPr="00092ED7" w:rsidRDefault="00D210F0" w:rsidP="00D210F0">
      <w:pPr>
        <w:widowControl w:val="0"/>
        <w:spacing w:after="60"/>
        <w:rPr>
          <w:rFonts w:eastAsia="Times New Roman" w:cs="Times New Roman"/>
          <w:color w:val="000000"/>
          <w:szCs w:val="24"/>
          <w:lang w:val="sr-Cyrl-CS"/>
        </w:rPr>
      </w:pPr>
      <w:r w:rsidRPr="00092ED7">
        <w:rPr>
          <w:rFonts w:eastAsia="Times New Roman" w:cs="Times New Roman"/>
          <w:color w:val="000000"/>
          <w:szCs w:val="24"/>
          <w:lang w:val="sr-Cyrl-CS"/>
        </w:rPr>
        <w:t xml:space="preserve">Дигитализација у области образовања пружа основ за спровођење најзначајнијих реформи у овом сектору. </w:t>
      </w:r>
      <w:r w:rsidRPr="00092ED7">
        <w:rPr>
          <w:rFonts w:eastAsia="Calibri" w:cs="Times New Roman"/>
          <w:szCs w:val="24"/>
          <w:lang w:val="sr-Cyrl-CS"/>
        </w:rPr>
        <w:t xml:space="preserve">ЈИСП </w:t>
      </w:r>
      <w:r w:rsidR="00814682" w:rsidRPr="00092ED7">
        <w:rPr>
          <w:rFonts w:eastAsia="Calibri" w:cs="Times New Roman"/>
          <w:szCs w:val="24"/>
          <w:lang w:val="sr-Cyrl-CS"/>
        </w:rPr>
        <w:t xml:space="preserve">је </w:t>
      </w:r>
      <w:r w:rsidRPr="00092ED7">
        <w:rPr>
          <w:rFonts w:eastAsia="Calibri" w:cs="Times New Roman"/>
          <w:szCs w:val="24"/>
          <w:lang w:val="sr-Cyrl-CS"/>
        </w:rPr>
        <w:t>пуштен у продукцију марта 2022. године. (в</w:t>
      </w:r>
      <w:r w:rsidRPr="00092ED7">
        <w:rPr>
          <w:rFonts w:eastAsia="Times New Roman" w:cs="Times New Roman"/>
          <w:color w:val="000000"/>
          <w:szCs w:val="24"/>
          <w:lang w:val="sr-Cyrl-CS"/>
        </w:rPr>
        <w:t xml:space="preserve">ише у области </w:t>
      </w:r>
      <w:r w:rsidRPr="00092ED7">
        <w:rPr>
          <w:rFonts w:eastAsia="Times New Roman" w:cs="Times New Roman"/>
          <w:i/>
          <w:color w:val="000000"/>
          <w:szCs w:val="24"/>
          <w:lang w:val="sr-Cyrl-CS"/>
        </w:rPr>
        <w:t>Образовање и вештине</w:t>
      </w:r>
      <w:r w:rsidRPr="00092ED7">
        <w:rPr>
          <w:rFonts w:eastAsia="Times New Roman" w:cs="Times New Roman"/>
          <w:color w:val="000000"/>
          <w:szCs w:val="24"/>
          <w:lang w:val="sr-Cyrl-CS"/>
        </w:rPr>
        <w:t xml:space="preserve">, стр. </w:t>
      </w:r>
      <w:r w:rsidR="00F51079" w:rsidRPr="00092ED7">
        <w:rPr>
          <w:rFonts w:eastAsia="Times New Roman" w:cs="Times New Roman"/>
          <w:color w:val="000000"/>
          <w:szCs w:val="24"/>
          <w:lang w:val="sr-Cyrl-CS"/>
        </w:rPr>
        <w:t>160</w:t>
      </w:r>
      <w:r w:rsidRPr="00092ED7">
        <w:rPr>
          <w:rFonts w:eastAsia="Times New Roman" w:cs="Times New Roman"/>
          <w:color w:val="000000"/>
          <w:szCs w:val="24"/>
          <w:lang w:val="sr-Cyrl-CS"/>
        </w:rPr>
        <w:t>)</w:t>
      </w:r>
    </w:p>
    <w:p w14:paraId="2EB5ECFC" w14:textId="59490F32" w:rsidR="00D210F0" w:rsidRPr="00092ED7" w:rsidRDefault="00D210F0" w:rsidP="00D210F0">
      <w:pPr>
        <w:widowControl w:val="0"/>
        <w:spacing w:after="60"/>
        <w:rPr>
          <w:rFonts w:eastAsia="Times New Roman" w:cs="Times New Roman"/>
          <w:color w:val="000000"/>
          <w:szCs w:val="24"/>
          <w:lang w:val="sr-Cyrl-CS"/>
        </w:rPr>
      </w:pPr>
      <w:r w:rsidRPr="00092ED7">
        <w:rPr>
          <w:rFonts w:eastAsia="Times New Roman" w:cs="Times New Roman"/>
          <w:color w:val="000000"/>
          <w:szCs w:val="24"/>
          <w:lang w:val="sr-Cyrl-CS"/>
        </w:rPr>
        <w:t xml:space="preserve">Значај процеса </w:t>
      </w:r>
      <w:r w:rsidRPr="00092ED7">
        <w:rPr>
          <w:rFonts w:eastAsia="Times New Roman" w:cs="Times New Roman"/>
          <w:b/>
          <w:color w:val="000000"/>
          <w:szCs w:val="24"/>
          <w:lang w:val="sr-Cyrl-CS"/>
        </w:rPr>
        <w:t>дигитализације услуга здравствене заштите (е-Картон, еБоловање,</w:t>
      </w:r>
      <w:r w:rsidRPr="00092ED7">
        <w:rPr>
          <w:b/>
          <w:szCs w:val="24"/>
          <w:lang w:val="sr-Cyrl-CS"/>
        </w:rPr>
        <w:t xml:space="preserve"> еРецепт)</w:t>
      </w:r>
      <w:r w:rsidRPr="00092ED7">
        <w:rPr>
          <w:rFonts w:eastAsia="Times New Roman" w:cs="Times New Roman"/>
          <w:color w:val="000000"/>
          <w:szCs w:val="24"/>
          <w:lang w:val="sr-Cyrl-CS"/>
        </w:rPr>
        <w:t xml:space="preserve"> посебно је дошао до изражаја услед пандемије </w:t>
      </w:r>
      <w:r w:rsidR="00B94430" w:rsidRPr="00092ED7">
        <w:rPr>
          <w:rFonts w:eastAsia="Times New Roman" w:cs="Times New Roman"/>
          <w:bCs/>
          <w:iCs/>
          <w:color w:val="000000"/>
          <w:szCs w:val="24"/>
          <w:lang w:val="sr-Cyrl-CS"/>
        </w:rPr>
        <w:t>COVID</w:t>
      </w:r>
      <w:r w:rsidRPr="00092ED7">
        <w:rPr>
          <w:rFonts w:eastAsia="Times New Roman" w:cs="Times New Roman"/>
          <w:color w:val="000000"/>
          <w:szCs w:val="24"/>
          <w:lang w:val="sr-Cyrl-CS"/>
        </w:rPr>
        <w:t xml:space="preserve">-19, али и касније. (више у области </w:t>
      </w:r>
      <w:r w:rsidRPr="00092ED7">
        <w:rPr>
          <w:rFonts w:eastAsia="Times New Roman" w:cs="Times New Roman"/>
          <w:i/>
          <w:color w:val="000000"/>
          <w:szCs w:val="24"/>
          <w:lang w:val="sr-Cyrl-CS"/>
        </w:rPr>
        <w:t>Систем</w:t>
      </w:r>
      <w:r w:rsidRPr="00092ED7">
        <w:rPr>
          <w:rFonts w:eastAsia="Times New Roman" w:cs="Times New Roman"/>
          <w:color w:val="000000"/>
          <w:szCs w:val="24"/>
          <w:lang w:val="sr-Cyrl-CS"/>
        </w:rPr>
        <w:t xml:space="preserve"> з</w:t>
      </w:r>
      <w:r w:rsidRPr="00092ED7">
        <w:rPr>
          <w:rFonts w:eastAsia="Times New Roman" w:cs="Times New Roman"/>
          <w:i/>
          <w:color w:val="000000"/>
          <w:szCs w:val="24"/>
          <w:lang w:val="sr-Cyrl-CS"/>
        </w:rPr>
        <w:t>дравствене заштите</w:t>
      </w:r>
      <w:r w:rsidRPr="00092ED7">
        <w:rPr>
          <w:rFonts w:eastAsia="Times New Roman" w:cs="Times New Roman"/>
          <w:color w:val="000000"/>
          <w:szCs w:val="24"/>
          <w:lang w:val="sr-Cyrl-CS"/>
        </w:rPr>
        <w:t xml:space="preserve">, стр. </w:t>
      </w:r>
      <w:r w:rsidR="00F51079" w:rsidRPr="00092ED7">
        <w:rPr>
          <w:rFonts w:eastAsia="Times New Roman" w:cs="Times New Roman"/>
          <w:color w:val="000000"/>
          <w:szCs w:val="24"/>
          <w:lang w:val="sr-Cyrl-CS"/>
        </w:rPr>
        <w:t>162</w:t>
      </w:r>
      <w:r w:rsidRPr="00092ED7">
        <w:rPr>
          <w:rFonts w:eastAsia="Times New Roman" w:cs="Times New Roman"/>
          <w:color w:val="000000"/>
          <w:szCs w:val="24"/>
          <w:lang w:val="sr-Cyrl-CS"/>
        </w:rPr>
        <w:t>)</w:t>
      </w:r>
    </w:p>
    <w:p w14:paraId="14515904" w14:textId="77777777" w:rsidR="00181C36" w:rsidRPr="00092ED7" w:rsidRDefault="00181C36" w:rsidP="00D210F0">
      <w:pPr>
        <w:widowControl w:val="0"/>
        <w:spacing w:after="60"/>
        <w:rPr>
          <w:rFonts w:eastAsia="Calibri" w:cs="Times New Roman"/>
          <w:szCs w:val="24"/>
          <w:lang w:val="sr-Cyrl-CS"/>
        </w:rPr>
      </w:pPr>
    </w:p>
    <w:p w14:paraId="0FD09D49" w14:textId="77777777" w:rsidR="00D210F0" w:rsidRPr="00092ED7" w:rsidRDefault="00D210F0" w:rsidP="00D210F0">
      <w:pPr>
        <w:spacing w:before="120"/>
        <w:rPr>
          <w:rFonts w:eastAsia="Times New Roman" w:cs="Times New Roman"/>
          <w:b/>
          <w:bCs/>
          <w:szCs w:val="24"/>
          <w:lang w:val="sr-Cyrl-CS"/>
        </w:rPr>
      </w:pPr>
      <w:r w:rsidRPr="00092ED7">
        <w:rPr>
          <w:rFonts w:eastAsia="Times New Roman" w:cs="Times New Roman"/>
          <w:b/>
          <w:bCs/>
          <w:szCs w:val="24"/>
          <w:lang w:val="sr-Cyrl-CS"/>
        </w:rPr>
        <w:t>б) Реформе</w:t>
      </w:r>
    </w:p>
    <w:p w14:paraId="512EC126" w14:textId="77777777" w:rsidR="00D210F0" w:rsidRPr="00092ED7" w:rsidRDefault="00D210F0" w:rsidP="00D210F0">
      <w:pPr>
        <w:rPr>
          <w:rFonts w:cs="Times New Roman"/>
          <w:bCs/>
          <w:szCs w:val="24"/>
          <w:lang w:val="sr-Cyrl-CS"/>
        </w:rPr>
      </w:pPr>
      <w:r w:rsidRPr="00092ED7">
        <w:rPr>
          <w:rFonts w:cs="Times New Roman"/>
          <w:b/>
          <w:bCs/>
          <w:szCs w:val="24"/>
          <w:u w:val="single"/>
          <w:lang w:val="sr-Cyrl-CS"/>
        </w:rPr>
        <w:t>СТРУКТУРНА РЕФОРМА 13</w:t>
      </w:r>
      <w:r w:rsidRPr="00092ED7">
        <w:rPr>
          <w:rFonts w:cs="Times New Roman"/>
          <w:b/>
          <w:bCs/>
          <w:szCs w:val="24"/>
          <w:lang w:val="sr-Cyrl-CS"/>
        </w:rPr>
        <w:t xml:space="preserve">: </w:t>
      </w:r>
      <w:r w:rsidRPr="00092ED7">
        <w:rPr>
          <w:rFonts w:cs="Times New Roman"/>
          <w:bCs/>
          <w:smallCaps/>
          <w:szCs w:val="24"/>
          <w:lang w:val="sr-Cyrl-CS"/>
        </w:rPr>
        <w:t>РАЗВОЈ И УНАПРЕЂЕЊЕ НАЦИОНАЛНЕ ИНФОРМАЦИОНО-КОМУНИКАЦИОНЕ ИНФРАСТРУКТУРЕ</w:t>
      </w:r>
    </w:p>
    <w:p w14:paraId="09B4C186" w14:textId="77777777" w:rsidR="00D210F0" w:rsidRPr="00092ED7" w:rsidRDefault="00D210F0" w:rsidP="00071952">
      <w:pPr>
        <w:widowControl w:val="0"/>
        <w:numPr>
          <w:ilvl w:val="0"/>
          <w:numId w:val="41"/>
        </w:numPr>
        <w:spacing w:before="120"/>
        <w:ind w:left="425" w:hanging="425"/>
        <w:rPr>
          <w:rFonts w:cs="Times New Roman"/>
          <w:b/>
          <w:bCs/>
          <w:szCs w:val="24"/>
          <w:lang w:val="sr-Cyrl-CS"/>
        </w:rPr>
      </w:pPr>
      <w:r w:rsidRPr="00092ED7">
        <w:rPr>
          <w:rFonts w:cs="Times New Roman"/>
          <w:b/>
          <w:bCs/>
          <w:szCs w:val="24"/>
          <w:lang w:val="sr-Cyrl-CS"/>
        </w:rPr>
        <w:t>Опис структурне реформе</w:t>
      </w:r>
    </w:p>
    <w:p w14:paraId="7670E8AD" w14:textId="3A26A183" w:rsidR="005F5D34" w:rsidRPr="00092ED7" w:rsidRDefault="005F5D34" w:rsidP="00191E06">
      <w:pPr>
        <w:widowControl w:val="0"/>
        <w:spacing w:after="60"/>
        <w:rPr>
          <w:rFonts w:cs="Times New Roman"/>
          <w:i/>
          <w:iCs/>
          <w:szCs w:val="24"/>
          <w:lang w:val="sr-Cyrl-CS"/>
        </w:rPr>
      </w:pPr>
      <w:r w:rsidRPr="00092ED7">
        <w:rPr>
          <w:rFonts w:cs="Times New Roman"/>
          <w:szCs w:val="24"/>
          <w:lang w:val="sr-Cyrl-CS"/>
        </w:rPr>
        <w:lastRenderedPageBreak/>
        <w:t xml:space="preserve">Најважнији циљеви ове структурне реформе су развој широкопојасних мрежа за приступ, израда детаљних мапа доступности услуга широкопојасног приступа у Републици Србији и побољшање услова образовања и повећање коришћења сервиса електронске управе. Реализацијом ове структурне реформе кроз </w:t>
      </w:r>
      <w:r w:rsidR="00813CC2" w:rsidRPr="00092ED7">
        <w:rPr>
          <w:rFonts w:cs="Times New Roman"/>
          <w:szCs w:val="24"/>
          <w:lang w:val="sr-Cyrl-CS"/>
        </w:rPr>
        <w:t>„</w:t>
      </w:r>
      <w:r w:rsidRPr="00092ED7">
        <w:rPr>
          <w:rFonts w:cs="Times New Roman"/>
          <w:i/>
          <w:iCs/>
          <w:szCs w:val="24"/>
          <w:lang w:val="sr-Cyrl-CS"/>
        </w:rPr>
        <w:t>Пројекат изградње широкопојасне комуникационе инфраструктуре у руралним пределима Републике Србије</w:t>
      </w:r>
      <w:r w:rsidR="003C6666" w:rsidRPr="00092ED7">
        <w:rPr>
          <w:rFonts w:cs="Times New Roman"/>
          <w:i/>
          <w:szCs w:val="24"/>
          <w:lang w:val="sr-Cyrl-CS"/>
        </w:rPr>
        <w:t>”</w:t>
      </w:r>
      <w:r w:rsidRPr="00092ED7">
        <w:rPr>
          <w:rFonts w:cs="Times New Roman"/>
          <w:szCs w:val="24"/>
          <w:lang w:val="sr-Cyrl-CS"/>
        </w:rPr>
        <w:t xml:space="preserve"> унапредиће се широкопојасна комуникациона инфраструктура изградњом недостајуће приступне инфраструктуре у руралним насељима и повезивање јавних установа (пре свега основних школа) и домаћинстава на широкопојасну мрежу до 2025. године. Путем </w:t>
      </w:r>
      <w:r w:rsidR="00813CC2" w:rsidRPr="00092ED7">
        <w:rPr>
          <w:rFonts w:cs="Times New Roman"/>
          <w:szCs w:val="24"/>
          <w:lang w:val="sr-Cyrl-CS"/>
        </w:rPr>
        <w:t>„</w:t>
      </w:r>
      <w:r w:rsidRPr="00092ED7">
        <w:rPr>
          <w:rFonts w:cs="Times New Roman"/>
          <w:i/>
          <w:iCs/>
          <w:szCs w:val="24"/>
          <w:lang w:val="sr-Cyrl-CS"/>
        </w:rPr>
        <w:t>Пројекта повезане школе</w:t>
      </w:r>
      <w:r w:rsidR="003C6666" w:rsidRPr="00092ED7">
        <w:rPr>
          <w:rFonts w:cs="Times New Roman"/>
          <w:i/>
          <w:szCs w:val="24"/>
          <w:lang w:val="sr-Cyrl-CS"/>
        </w:rPr>
        <w:t>”</w:t>
      </w:r>
      <w:r w:rsidRPr="00092ED7">
        <w:rPr>
          <w:rFonts w:cs="Times New Roman"/>
          <w:szCs w:val="24"/>
          <w:lang w:val="sr-Cyrl-CS"/>
        </w:rPr>
        <w:t>, који је у завршној фази, омогућиће се потпуна дигитализација образовног система, укључујући дигиталне учионице и дигитална наставна средства, а тиме ће се створити предуслови за потпуно савремени приступ образовању.</w:t>
      </w:r>
    </w:p>
    <w:p w14:paraId="649B1B1F" w14:textId="77777777" w:rsidR="00D210F0" w:rsidRPr="00092ED7" w:rsidRDefault="00D210F0" w:rsidP="00071952">
      <w:pPr>
        <w:widowControl w:val="0"/>
        <w:numPr>
          <w:ilvl w:val="0"/>
          <w:numId w:val="41"/>
        </w:numPr>
        <w:spacing w:before="120"/>
        <w:ind w:left="425" w:hanging="425"/>
        <w:rPr>
          <w:rFonts w:cs="Times New Roman"/>
          <w:b/>
          <w:bCs/>
          <w:szCs w:val="24"/>
          <w:lang w:val="sr-Cyrl-CS"/>
        </w:rPr>
      </w:pPr>
      <w:r w:rsidRPr="00092ED7">
        <w:rPr>
          <w:rFonts w:cs="Times New Roman"/>
          <w:b/>
          <w:bCs/>
          <w:szCs w:val="24"/>
          <w:lang w:val="sr-Cyrl-CS"/>
        </w:rPr>
        <w:t>Планиране активности по годинама</w:t>
      </w:r>
    </w:p>
    <w:tbl>
      <w:tblPr>
        <w:tblW w:w="9188" w:type="dxa"/>
        <w:tblLayout w:type="fixed"/>
        <w:tblCellMar>
          <w:left w:w="0" w:type="dxa"/>
          <w:right w:w="0" w:type="dxa"/>
        </w:tblCellMar>
        <w:tblLook w:val="04A0" w:firstRow="1" w:lastRow="0" w:firstColumn="1" w:lastColumn="0" w:noHBand="0" w:noVBand="1"/>
      </w:tblPr>
      <w:tblGrid>
        <w:gridCol w:w="425"/>
        <w:gridCol w:w="4385"/>
        <w:gridCol w:w="372"/>
        <w:gridCol w:w="373"/>
        <w:gridCol w:w="372"/>
        <w:gridCol w:w="373"/>
        <w:gridCol w:w="372"/>
        <w:gridCol w:w="373"/>
        <w:gridCol w:w="373"/>
        <w:gridCol w:w="372"/>
        <w:gridCol w:w="373"/>
        <w:gridCol w:w="372"/>
        <w:gridCol w:w="373"/>
        <w:gridCol w:w="280"/>
      </w:tblGrid>
      <w:tr w:rsidR="00D210F0" w:rsidRPr="00092ED7" w14:paraId="743153FA" w14:textId="77777777" w:rsidTr="00AE4362">
        <w:trPr>
          <w:trHeight w:val="315"/>
        </w:trPr>
        <w:tc>
          <w:tcPr>
            <w:tcW w:w="425" w:type="dxa"/>
            <w:vMerge w:val="restart"/>
            <w:tcBorders>
              <w:top w:val="single" w:sz="8" w:space="0" w:color="auto"/>
              <w:left w:val="single" w:sz="8" w:space="0" w:color="auto"/>
              <w:right w:val="nil"/>
            </w:tcBorders>
            <w:shd w:val="clear" w:color="000000" w:fill="BDD6EE"/>
            <w:tcMar>
              <w:top w:w="15" w:type="dxa"/>
              <w:left w:w="15" w:type="dxa"/>
              <w:bottom w:w="0" w:type="dxa"/>
              <w:right w:w="15" w:type="dxa"/>
            </w:tcMar>
            <w:vAlign w:val="center"/>
            <w:hideMark/>
          </w:tcPr>
          <w:p w14:paraId="2D6C7238" w14:textId="77777777" w:rsidR="00D210F0" w:rsidRPr="00092ED7" w:rsidRDefault="00D210F0" w:rsidP="00D210F0">
            <w:pPr>
              <w:spacing w:after="0"/>
              <w:rPr>
                <w:sz w:val="20"/>
                <w:szCs w:val="20"/>
                <w:lang w:val="sr-Cyrl-CS"/>
              </w:rPr>
            </w:pPr>
            <w:r w:rsidRPr="00092ED7">
              <w:rPr>
                <w:rFonts w:cs="Times New Roman"/>
                <w:b/>
                <w:bCs/>
                <w:color w:val="000000"/>
                <w:sz w:val="20"/>
                <w:szCs w:val="20"/>
                <w:lang w:val="sr-Cyrl-CS"/>
              </w:rPr>
              <w:t>РБ</w:t>
            </w:r>
          </w:p>
        </w:tc>
        <w:tc>
          <w:tcPr>
            <w:tcW w:w="4385" w:type="dxa"/>
            <w:vMerge w:val="restart"/>
            <w:tcBorders>
              <w:top w:val="single" w:sz="8" w:space="0" w:color="auto"/>
              <w:left w:val="single" w:sz="8" w:space="0" w:color="auto"/>
              <w:bottom w:val="single" w:sz="8" w:space="0" w:color="000000"/>
              <w:right w:val="nil"/>
            </w:tcBorders>
            <w:shd w:val="clear" w:color="auto" w:fill="BDD6EE" w:themeFill="accent1" w:themeFillTint="66"/>
            <w:tcMar>
              <w:top w:w="15" w:type="dxa"/>
              <w:left w:w="15" w:type="dxa"/>
              <w:bottom w:w="0" w:type="dxa"/>
              <w:right w:w="15" w:type="dxa"/>
            </w:tcMar>
            <w:vAlign w:val="center"/>
            <w:hideMark/>
          </w:tcPr>
          <w:p w14:paraId="34668EC8" w14:textId="77777777" w:rsidR="00D210F0" w:rsidRPr="00092ED7" w:rsidRDefault="00D210F0" w:rsidP="00D210F0">
            <w:pPr>
              <w:spacing w:after="0"/>
              <w:rPr>
                <w:rFonts w:cs="Times New Roman"/>
                <w:b/>
                <w:bCs/>
                <w:color w:val="000000"/>
                <w:sz w:val="20"/>
                <w:szCs w:val="20"/>
                <w:lang w:val="sr-Cyrl-CS"/>
              </w:rPr>
            </w:pPr>
            <w:r w:rsidRPr="00092ED7">
              <w:rPr>
                <w:rFonts w:cs="Times New Roman"/>
                <w:b/>
                <w:bCs/>
                <w:sz w:val="20"/>
                <w:szCs w:val="20"/>
                <w:lang w:val="sr-Cyrl-CS"/>
              </w:rPr>
              <w:t>Планиране активности</w:t>
            </w:r>
          </w:p>
        </w:tc>
        <w:tc>
          <w:tcPr>
            <w:tcW w:w="1490" w:type="dxa"/>
            <w:gridSpan w:val="4"/>
            <w:tcBorders>
              <w:top w:val="single" w:sz="8" w:space="0" w:color="auto"/>
              <w:left w:val="single" w:sz="8" w:space="0" w:color="auto"/>
              <w:bottom w:val="single" w:sz="4" w:space="0" w:color="auto"/>
              <w:right w:val="single" w:sz="8" w:space="0" w:color="000000"/>
            </w:tcBorders>
            <w:shd w:val="clear" w:color="auto" w:fill="BDD6EE" w:themeFill="accent1" w:themeFillTint="66"/>
            <w:tcMar>
              <w:top w:w="15" w:type="dxa"/>
              <w:left w:w="15" w:type="dxa"/>
              <w:bottom w:w="0" w:type="dxa"/>
              <w:right w:w="15" w:type="dxa"/>
            </w:tcMar>
            <w:vAlign w:val="center"/>
            <w:hideMark/>
          </w:tcPr>
          <w:p w14:paraId="5D807096" w14:textId="77777777" w:rsidR="00D210F0" w:rsidRPr="00092ED7" w:rsidRDefault="00D210F0" w:rsidP="00D210F0">
            <w:pPr>
              <w:spacing w:after="0"/>
              <w:jc w:val="center"/>
              <w:rPr>
                <w:rFonts w:cs="Times New Roman"/>
                <w:b/>
                <w:bCs/>
                <w:color w:val="000000"/>
                <w:sz w:val="20"/>
                <w:szCs w:val="20"/>
                <w:lang w:val="sr-Cyrl-CS"/>
              </w:rPr>
            </w:pPr>
            <w:r w:rsidRPr="00092ED7">
              <w:rPr>
                <w:rFonts w:cs="Times New Roman"/>
                <w:b/>
                <w:bCs/>
                <w:color w:val="000000"/>
                <w:sz w:val="20"/>
                <w:szCs w:val="20"/>
                <w:lang w:val="sr-Cyrl-CS"/>
              </w:rPr>
              <w:t>2023</w:t>
            </w:r>
          </w:p>
        </w:tc>
        <w:tc>
          <w:tcPr>
            <w:tcW w:w="1490" w:type="dxa"/>
            <w:gridSpan w:val="4"/>
            <w:tcBorders>
              <w:top w:val="single" w:sz="8" w:space="0" w:color="auto"/>
              <w:left w:val="single" w:sz="8" w:space="0" w:color="auto"/>
              <w:bottom w:val="single" w:sz="4" w:space="0" w:color="auto"/>
              <w:right w:val="single" w:sz="8" w:space="0" w:color="000000"/>
            </w:tcBorders>
            <w:shd w:val="clear" w:color="auto" w:fill="BDD6EE" w:themeFill="accent1" w:themeFillTint="66"/>
            <w:tcMar>
              <w:top w:w="15" w:type="dxa"/>
              <w:left w:w="15" w:type="dxa"/>
              <w:bottom w:w="0" w:type="dxa"/>
              <w:right w:w="15" w:type="dxa"/>
            </w:tcMar>
            <w:vAlign w:val="center"/>
            <w:hideMark/>
          </w:tcPr>
          <w:p w14:paraId="236C13D8" w14:textId="77777777" w:rsidR="00D210F0" w:rsidRPr="00092ED7" w:rsidRDefault="00D210F0" w:rsidP="00D210F0">
            <w:pPr>
              <w:spacing w:after="0"/>
              <w:jc w:val="center"/>
              <w:rPr>
                <w:rFonts w:cs="Times New Roman"/>
                <w:b/>
                <w:bCs/>
                <w:color w:val="000000"/>
                <w:sz w:val="20"/>
                <w:szCs w:val="20"/>
                <w:lang w:val="sr-Cyrl-CS"/>
              </w:rPr>
            </w:pPr>
            <w:r w:rsidRPr="00092ED7">
              <w:rPr>
                <w:rFonts w:cs="Times New Roman"/>
                <w:b/>
                <w:bCs/>
                <w:color w:val="000000"/>
                <w:sz w:val="20"/>
                <w:szCs w:val="20"/>
                <w:lang w:val="sr-Cyrl-CS"/>
              </w:rPr>
              <w:t>2024</w:t>
            </w:r>
          </w:p>
        </w:tc>
        <w:tc>
          <w:tcPr>
            <w:tcW w:w="1398" w:type="dxa"/>
            <w:gridSpan w:val="4"/>
            <w:tcBorders>
              <w:top w:val="single" w:sz="8" w:space="0" w:color="auto"/>
              <w:left w:val="nil"/>
              <w:bottom w:val="single" w:sz="4" w:space="0" w:color="auto"/>
              <w:right w:val="single" w:sz="8" w:space="0" w:color="000000"/>
            </w:tcBorders>
            <w:shd w:val="clear" w:color="auto" w:fill="BDD6EE" w:themeFill="accent1" w:themeFillTint="66"/>
            <w:tcMar>
              <w:top w:w="15" w:type="dxa"/>
              <w:left w:w="15" w:type="dxa"/>
              <w:bottom w:w="0" w:type="dxa"/>
              <w:right w:w="15" w:type="dxa"/>
            </w:tcMar>
            <w:vAlign w:val="center"/>
            <w:hideMark/>
          </w:tcPr>
          <w:p w14:paraId="044207C9" w14:textId="77777777" w:rsidR="00D210F0" w:rsidRPr="00092ED7" w:rsidRDefault="00D210F0" w:rsidP="00D210F0">
            <w:pPr>
              <w:spacing w:after="0"/>
              <w:jc w:val="center"/>
              <w:rPr>
                <w:rFonts w:cs="Times New Roman"/>
                <w:b/>
                <w:bCs/>
                <w:color w:val="000000"/>
                <w:sz w:val="20"/>
                <w:szCs w:val="20"/>
                <w:lang w:val="sr-Cyrl-CS"/>
              </w:rPr>
            </w:pPr>
            <w:r w:rsidRPr="00092ED7">
              <w:rPr>
                <w:rFonts w:cs="Times New Roman"/>
                <w:b/>
                <w:bCs/>
                <w:color w:val="000000"/>
                <w:sz w:val="20"/>
                <w:szCs w:val="20"/>
                <w:lang w:val="sr-Cyrl-CS"/>
              </w:rPr>
              <w:t>2025</w:t>
            </w:r>
          </w:p>
        </w:tc>
      </w:tr>
      <w:tr w:rsidR="00D210F0" w:rsidRPr="00092ED7" w14:paraId="4AF999C2" w14:textId="77777777" w:rsidTr="00AE4362">
        <w:trPr>
          <w:trHeight w:val="315"/>
        </w:trPr>
        <w:tc>
          <w:tcPr>
            <w:tcW w:w="425" w:type="dxa"/>
            <w:vMerge/>
            <w:tcBorders>
              <w:left w:val="single" w:sz="8" w:space="0" w:color="auto"/>
              <w:bottom w:val="single" w:sz="8" w:space="0" w:color="000000"/>
              <w:right w:val="nil"/>
            </w:tcBorders>
            <w:shd w:val="clear" w:color="000000" w:fill="BDD6EE"/>
            <w:vAlign w:val="center"/>
            <w:hideMark/>
          </w:tcPr>
          <w:p w14:paraId="236F933C" w14:textId="77777777" w:rsidR="00D210F0" w:rsidRPr="00092ED7" w:rsidRDefault="00D210F0" w:rsidP="00D210F0">
            <w:pPr>
              <w:spacing w:after="0"/>
              <w:jc w:val="center"/>
              <w:rPr>
                <w:rFonts w:cs="Times New Roman"/>
                <w:b/>
                <w:bCs/>
                <w:color w:val="000000"/>
                <w:sz w:val="20"/>
                <w:szCs w:val="20"/>
                <w:lang w:val="sr-Cyrl-CS"/>
              </w:rPr>
            </w:pPr>
          </w:p>
        </w:tc>
        <w:tc>
          <w:tcPr>
            <w:tcW w:w="4385" w:type="dxa"/>
            <w:vMerge/>
            <w:tcBorders>
              <w:top w:val="single" w:sz="8" w:space="0" w:color="auto"/>
              <w:left w:val="single" w:sz="8" w:space="0" w:color="auto"/>
              <w:bottom w:val="single" w:sz="8" w:space="0" w:color="000000"/>
              <w:right w:val="nil"/>
            </w:tcBorders>
            <w:shd w:val="clear" w:color="auto" w:fill="BDD6EE" w:themeFill="accent1" w:themeFillTint="66"/>
            <w:vAlign w:val="center"/>
            <w:hideMark/>
          </w:tcPr>
          <w:p w14:paraId="0A70308E" w14:textId="77777777" w:rsidR="00D210F0" w:rsidRPr="00092ED7" w:rsidRDefault="00D210F0" w:rsidP="00D210F0">
            <w:pPr>
              <w:spacing w:after="0"/>
              <w:rPr>
                <w:rFonts w:cs="Times New Roman"/>
                <w:b/>
                <w:bCs/>
                <w:color w:val="000000"/>
                <w:sz w:val="20"/>
                <w:szCs w:val="20"/>
                <w:lang w:val="sr-Cyrl-CS"/>
              </w:rPr>
            </w:pPr>
          </w:p>
        </w:tc>
        <w:tc>
          <w:tcPr>
            <w:tcW w:w="372" w:type="dxa"/>
            <w:tcBorders>
              <w:top w:val="nil"/>
              <w:left w:val="single" w:sz="8" w:space="0" w:color="auto"/>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0D035D34"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Q1</w:t>
            </w:r>
          </w:p>
        </w:tc>
        <w:tc>
          <w:tcPr>
            <w:tcW w:w="373"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551B4E69"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Q2</w:t>
            </w:r>
          </w:p>
        </w:tc>
        <w:tc>
          <w:tcPr>
            <w:tcW w:w="372"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139BE6AB"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Q3</w:t>
            </w:r>
          </w:p>
        </w:tc>
        <w:tc>
          <w:tcPr>
            <w:tcW w:w="373" w:type="dxa"/>
            <w:tcBorders>
              <w:top w:val="nil"/>
              <w:left w:val="nil"/>
              <w:bottom w:val="single" w:sz="8" w:space="0" w:color="auto"/>
              <w:right w:val="single" w:sz="8" w:space="0" w:color="auto"/>
            </w:tcBorders>
            <w:shd w:val="clear" w:color="auto" w:fill="BDD6EE" w:themeFill="accent1" w:themeFillTint="66"/>
            <w:tcMar>
              <w:top w:w="15" w:type="dxa"/>
              <w:left w:w="15" w:type="dxa"/>
              <w:bottom w:w="0" w:type="dxa"/>
              <w:right w:w="15" w:type="dxa"/>
            </w:tcMar>
            <w:vAlign w:val="center"/>
            <w:hideMark/>
          </w:tcPr>
          <w:p w14:paraId="5EECDD66"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Q4</w:t>
            </w:r>
          </w:p>
        </w:tc>
        <w:tc>
          <w:tcPr>
            <w:tcW w:w="372"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3FF6837F"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Q1</w:t>
            </w:r>
          </w:p>
        </w:tc>
        <w:tc>
          <w:tcPr>
            <w:tcW w:w="373"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6F1F7920"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Q2</w:t>
            </w:r>
          </w:p>
        </w:tc>
        <w:tc>
          <w:tcPr>
            <w:tcW w:w="373"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2576A03C"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Q3</w:t>
            </w:r>
          </w:p>
        </w:tc>
        <w:tc>
          <w:tcPr>
            <w:tcW w:w="372" w:type="dxa"/>
            <w:tcBorders>
              <w:top w:val="nil"/>
              <w:left w:val="nil"/>
              <w:bottom w:val="single" w:sz="8" w:space="0" w:color="auto"/>
              <w:right w:val="single" w:sz="8" w:space="0" w:color="auto"/>
            </w:tcBorders>
            <w:shd w:val="clear" w:color="auto" w:fill="BDD6EE" w:themeFill="accent1" w:themeFillTint="66"/>
            <w:tcMar>
              <w:top w:w="15" w:type="dxa"/>
              <w:left w:w="15" w:type="dxa"/>
              <w:bottom w:w="0" w:type="dxa"/>
              <w:right w:w="15" w:type="dxa"/>
            </w:tcMar>
            <w:vAlign w:val="center"/>
            <w:hideMark/>
          </w:tcPr>
          <w:p w14:paraId="52EDEEF2"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Q4</w:t>
            </w:r>
          </w:p>
        </w:tc>
        <w:tc>
          <w:tcPr>
            <w:tcW w:w="373"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0CF488E4"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Q1</w:t>
            </w:r>
          </w:p>
        </w:tc>
        <w:tc>
          <w:tcPr>
            <w:tcW w:w="372"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1C34578A"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Q2</w:t>
            </w:r>
          </w:p>
        </w:tc>
        <w:tc>
          <w:tcPr>
            <w:tcW w:w="373"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1F0F1244"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Q3</w:t>
            </w:r>
          </w:p>
        </w:tc>
        <w:tc>
          <w:tcPr>
            <w:tcW w:w="280" w:type="dxa"/>
            <w:tcBorders>
              <w:top w:val="nil"/>
              <w:left w:val="nil"/>
              <w:bottom w:val="single" w:sz="8" w:space="0" w:color="auto"/>
              <w:right w:val="single" w:sz="8" w:space="0" w:color="auto"/>
            </w:tcBorders>
            <w:shd w:val="clear" w:color="auto" w:fill="BDD6EE" w:themeFill="accent1" w:themeFillTint="66"/>
            <w:tcMar>
              <w:top w:w="15" w:type="dxa"/>
              <w:left w:w="15" w:type="dxa"/>
              <w:bottom w:w="0" w:type="dxa"/>
              <w:right w:w="15" w:type="dxa"/>
            </w:tcMar>
            <w:vAlign w:val="center"/>
            <w:hideMark/>
          </w:tcPr>
          <w:p w14:paraId="203C78F9"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Q4</w:t>
            </w:r>
          </w:p>
        </w:tc>
      </w:tr>
      <w:tr w:rsidR="00D210F0" w:rsidRPr="00092ED7" w14:paraId="374377AC" w14:textId="77777777" w:rsidTr="00AE4362">
        <w:trPr>
          <w:trHeight w:val="300"/>
        </w:trPr>
        <w:tc>
          <w:tcPr>
            <w:tcW w:w="425" w:type="dxa"/>
            <w:tcBorders>
              <w:top w:val="single" w:sz="4" w:space="0" w:color="auto"/>
              <w:left w:val="single" w:sz="8" w:space="0" w:color="auto"/>
              <w:bottom w:val="single" w:sz="4" w:space="0" w:color="auto"/>
              <w:right w:val="nil"/>
            </w:tcBorders>
            <w:shd w:val="clear" w:color="auto" w:fill="auto"/>
            <w:tcMar>
              <w:top w:w="15" w:type="dxa"/>
              <w:left w:w="15" w:type="dxa"/>
              <w:bottom w:w="0" w:type="dxa"/>
              <w:right w:w="15" w:type="dxa"/>
            </w:tcMar>
          </w:tcPr>
          <w:p w14:paraId="648C953F" w14:textId="77777777" w:rsidR="00D210F0" w:rsidRPr="00092ED7" w:rsidRDefault="00D210F0" w:rsidP="00D210F0">
            <w:pPr>
              <w:spacing w:after="0"/>
              <w:jc w:val="center"/>
              <w:rPr>
                <w:rFonts w:cs="Times New Roman"/>
                <w:bCs/>
                <w:sz w:val="18"/>
                <w:szCs w:val="18"/>
                <w:lang w:val="sr-Cyrl-CS"/>
              </w:rPr>
            </w:pPr>
            <w:r w:rsidRPr="00092ED7">
              <w:rPr>
                <w:rFonts w:cs="Times New Roman"/>
                <w:bCs/>
                <w:sz w:val="18"/>
                <w:szCs w:val="18"/>
                <w:lang w:val="sr-Cyrl-CS"/>
              </w:rPr>
              <w:t>1.</w:t>
            </w:r>
          </w:p>
        </w:tc>
        <w:tc>
          <w:tcPr>
            <w:tcW w:w="4385" w:type="dxa"/>
            <w:tcBorders>
              <w:top w:val="single" w:sz="4" w:space="0" w:color="auto"/>
              <w:left w:val="single" w:sz="8" w:space="0" w:color="auto"/>
              <w:bottom w:val="single" w:sz="4" w:space="0" w:color="auto"/>
              <w:right w:val="nil"/>
            </w:tcBorders>
            <w:shd w:val="clear" w:color="auto" w:fill="auto"/>
            <w:tcMar>
              <w:top w:w="15" w:type="dxa"/>
              <w:left w:w="15" w:type="dxa"/>
              <w:bottom w:w="0" w:type="dxa"/>
              <w:right w:w="15" w:type="dxa"/>
            </w:tcMar>
          </w:tcPr>
          <w:p w14:paraId="00466FB3" w14:textId="770EF760" w:rsidR="00D210F0" w:rsidRPr="00092ED7" w:rsidRDefault="00D210F0" w:rsidP="00D210F0">
            <w:pPr>
              <w:spacing w:after="0"/>
              <w:ind w:right="222"/>
              <w:rPr>
                <w:sz w:val="20"/>
                <w:szCs w:val="20"/>
                <w:lang w:val="sr-Cyrl-CS"/>
              </w:rPr>
            </w:pPr>
            <w:r w:rsidRPr="00092ED7">
              <w:rPr>
                <w:rFonts w:eastAsia="Times New Roman" w:cs="Times New Roman"/>
                <w:color w:val="000000"/>
                <w:sz w:val="20"/>
                <w:szCs w:val="20"/>
                <w:lang w:val="sr-Cyrl-CS"/>
              </w:rPr>
              <w:t>Повезивање установа образовања и културе на</w:t>
            </w:r>
            <w:r w:rsidR="00D46029" w:rsidRPr="00092ED7">
              <w:rPr>
                <w:rFonts w:cs="Times New Roman"/>
                <w:sz w:val="20"/>
                <w:lang w:val="sr-Cyrl-CS"/>
              </w:rPr>
              <w:t xml:space="preserve"> Академску мрежу Републике Србије (у даљем тексту: АМРЕС мрежа</w:t>
            </w:r>
            <w:r w:rsidR="00B92325" w:rsidRPr="00092ED7">
              <w:rPr>
                <w:rFonts w:cs="Times New Roman"/>
                <w:sz w:val="20"/>
                <w:lang w:val="sr-Cyrl-CS"/>
              </w:rPr>
              <w:t xml:space="preserve"> </w:t>
            </w:r>
            <w:r w:rsidR="00B92325" w:rsidRPr="00092ED7">
              <w:rPr>
                <w:rFonts w:eastAsia="Times New Roman" w:cs="Times New Roman"/>
                <w:color w:val="000000"/>
                <w:sz w:val="20"/>
                <w:szCs w:val="20"/>
                <w:lang w:val="sr-Cyrl-CS"/>
              </w:rPr>
              <w:t>(унапређење квалитета и брзине)</w:t>
            </w:r>
            <w:r w:rsidR="00D46029" w:rsidRPr="00092ED7">
              <w:rPr>
                <w:rFonts w:cs="Times New Roman"/>
                <w:sz w:val="20"/>
                <w:lang w:val="sr-Cyrl-CS"/>
              </w:rPr>
              <w:t>)</w:t>
            </w:r>
            <w:r w:rsidRPr="00092ED7">
              <w:rPr>
                <w:rFonts w:eastAsia="Times New Roman" w:cs="Times New Roman"/>
                <w:color w:val="000000"/>
                <w:sz w:val="20"/>
                <w:szCs w:val="20"/>
                <w:lang w:val="sr-Cyrl-CS"/>
              </w:rPr>
              <w:t xml:space="preserve"> </w:t>
            </w:r>
          </w:p>
        </w:tc>
        <w:tc>
          <w:tcPr>
            <w:tcW w:w="372" w:type="dxa"/>
            <w:tcBorders>
              <w:top w:val="single" w:sz="4" w:space="0" w:color="auto"/>
              <w:left w:val="single" w:sz="8"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2937E964" w14:textId="77777777" w:rsidR="00D210F0" w:rsidRPr="00092ED7" w:rsidRDefault="00D210F0" w:rsidP="00D210F0">
            <w:pPr>
              <w:spacing w:after="0"/>
              <w:rPr>
                <w:rFonts w:cs="Times New Roman"/>
                <w:color w:val="000000"/>
                <w:sz w:val="18"/>
                <w:szCs w:val="18"/>
                <w:lang w:val="sr-Cyrl-CS"/>
              </w:rPr>
            </w:pPr>
          </w:p>
        </w:tc>
        <w:tc>
          <w:tcPr>
            <w:tcW w:w="373"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101601E" w14:textId="77777777" w:rsidR="00D210F0" w:rsidRPr="00092ED7" w:rsidRDefault="00D210F0" w:rsidP="00D210F0">
            <w:pPr>
              <w:spacing w:after="0"/>
              <w:rPr>
                <w:rFonts w:cs="Times New Roman"/>
                <w:color w:val="000000"/>
                <w:sz w:val="18"/>
                <w:szCs w:val="18"/>
                <w:lang w:val="sr-Cyrl-CS"/>
              </w:rPr>
            </w:pPr>
          </w:p>
        </w:tc>
        <w:tc>
          <w:tcPr>
            <w:tcW w:w="372"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0CD14F5F" w14:textId="77777777" w:rsidR="00D210F0" w:rsidRPr="00092ED7" w:rsidRDefault="00D210F0" w:rsidP="00D210F0">
            <w:pPr>
              <w:spacing w:after="0"/>
              <w:rPr>
                <w:rFonts w:cs="Times New Roman"/>
                <w:color w:val="000000"/>
                <w:sz w:val="18"/>
                <w:szCs w:val="18"/>
                <w:lang w:val="sr-Cyrl-CS"/>
              </w:rPr>
            </w:pPr>
          </w:p>
        </w:tc>
        <w:tc>
          <w:tcPr>
            <w:tcW w:w="373" w:type="dxa"/>
            <w:tcBorders>
              <w:top w:val="single" w:sz="4" w:space="0" w:color="auto"/>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54DE9546" w14:textId="77777777" w:rsidR="00D210F0" w:rsidRPr="00092ED7" w:rsidRDefault="00D210F0" w:rsidP="00D210F0">
            <w:pPr>
              <w:spacing w:after="0"/>
              <w:rPr>
                <w:rFonts w:cs="Times New Roman"/>
                <w:color w:val="000000"/>
                <w:sz w:val="18"/>
                <w:szCs w:val="18"/>
                <w:lang w:val="sr-Cyrl-CS"/>
              </w:rPr>
            </w:pPr>
          </w:p>
        </w:tc>
        <w:tc>
          <w:tcPr>
            <w:tcW w:w="372"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A118D3F" w14:textId="77777777" w:rsidR="00D210F0" w:rsidRPr="00092ED7" w:rsidRDefault="00D210F0" w:rsidP="00D210F0">
            <w:pPr>
              <w:spacing w:after="0"/>
              <w:rPr>
                <w:rFonts w:cs="Times New Roman"/>
                <w:color w:val="000000"/>
                <w:sz w:val="18"/>
                <w:szCs w:val="18"/>
                <w:lang w:val="sr-Cyrl-CS"/>
              </w:rPr>
            </w:pPr>
          </w:p>
        </w:tc>
        <w:tc>
          <w:tcPr>
            <w:tcW w:w="373"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0E649C88" w14:textId="77777777" w:rsidR="00D210F0" w:rsidRPr="00092ED7" w:rsidRDefault="00D210F0" w:rsidP="00D210F0">
            <w:pPr>
              <w:spacing w:after="0"/>
              <w:rPr>
                <w:rFonts w:cs="Times New Roman"/>
                <w:color w:val="000000"/>
                <w:sz w:val="18"/>
                <w:szCs w:val="18"/>
                <w:lang w:val="sr-Cyrl-CS"/>
              </w:rPr>
            </w:pPr>
          </w:p>
        </w:tc>
        <w:tc>
          <w:tcPr>
            <w:tcW w:w="373"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4D5BD96" w14:textId="77777777" w:rsidR="00D210F0" w:rsidRPr="00092ED7" w:rsidRDefault="00D210F0" w:rsidP="00D210F0">
            <w:pPr>
              <w:spacing w:after="0"/>
              <w:rPr>
                <w:rFonts w:cs="Times New Roman"/>
                <w:color w:val="000000"/>
                <w:sz w:val="18"/>
                <w:szCs w:val="18"/>
                <w:lang w:val="sr-Cyrl-CS"/>
              </w:rPr>
            </w:pPr>
          </w:p>
        </w:tc>
        <w:tc>
          <w:tcPr>
            <w:tcW w:w="372" w:type="dxa"/>
            <w:tcBorders>
              <w:top w:val="single" w:sz="4" w:space="0" w:color="auto"/>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56D6F576" w14:textId="77777777" w:rsidR="00D210F0" w:rsidRPr="00092ED7" w:rsidRDefault="00D210F0" w:rsidP="00D210F0">
            <w:pPr>
              <w:spacing w:after="0"/>
              <w:rPr>
                <w:rFonts w:cs="Times New Roman"/>
                <w:color w:val="000000"/>
                <w:sz w:val="18"/>
                <w:szCs w:val="18"/>
                <w:lang w:val="sr-Cyrl-CS"/>
              </w:rPr>
            </w:pPr>
          </w:p>
        </w:tc>
        <w:tc>
          <w:tcPr>
            <w:tcW w:w="373"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0F93A522" w14:textId="77777777" w:rsidR="00D210F0" w:rsidRPr="00092ED7" w:rsidRDefault="00D210F0" w:rsidP="00D210F0">
            <w:pPr>
              <w:spacing w:after="0"/>
              <w:rPr>
                <w:rFonts w:cs="Times New Roman"/>
                <w:color w:val="000000"/>
                <w:sz w:val="18"/>
                <w:szCs w:val="18"/>
                <w:lang w:val="sr-Cyrl-CS"/>
              </w:rPr>
            </w:pPr>
          </w:p>
        </w:tc>
        <w:tc>
          <w:tcPr>
            <w:tcW w:w="372"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2E32C718" w14:textId="77777777" w:rsidR="00D210F0" w:rsidRPr="00092ED7" w:rsidRDefault="00D210F0" w:rsidP="00D210F0">
            <w:pPr>
              <w:spacing w:after="0"/>
              <w:rPr>
                <w:rFonts w:cs="Times New Roman"/>
                <w:color w:val="000000"/>
                <w:sz w:val="18"/>
                <w:szCs w:val="18"/>
                <w:lang w:val="sr-Cyrl-CS"/>
              </w:rPr>
            </w:pPr>
          </w:p>
        </w:tc>
        <w:tc>
          <w:tcPr>
            <w:tcW w:w="373"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D0CB0F8" w14:textId="77777777" w:rsidR="00D210F0" w:rsidRPr="00092ED7" w:rsidRDefault="00D210F0" w:rsidP="00D210F0">
            <w:pPr>
              <w:spacing w:after="0"/>
              <w:rPr>
                <w:rFonts w:cs="Times New Roman"/>
                <w:color w:val="000000"/>
                <w:sz w:val="18"/>
                <w:szCs w:val="18"/>
                <w:lang w:val="sr-Cyrl-CS"/>
              </w:rPr>
            </w:pPr>
          </w:p>
        </w:tc>
        <w:tc>
          <w:tcPr>
            <w:tcW w:w="280" w:type="dxa"/>
            <w:tcBorders>
              <w:top w:val="single" w:sz="4" w:space="0" w:color="auto"/>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1AEDFE5A" w14:textId="77777777" w:rsidR="00D210F0" w:rsidRPr="00092ED7" w:rsidRDefault="00D210F0" w:rsidP="00D210F0">
            <w:pPr>
              <w:spacing w:after="0"/>
              <w:rPr>
                <w:rFonts w:cs="Times New Roman"/>
                <w:color w:val="000000"/>
                <w:sz w:val="18"/>
                <w:szCs w:val="18"/>
                <w:lang w:val="sr-Cyrl-CS"/>
              </w:rPr>
            </w:pPr>
          </w:p>
        </w:tc>
      </w:tr>
      <w:tr w:rsidR="00D210F0" w:rsidRPr="00092ED7" w14:paraId="20126183" w14:textId="77777777" w:rsidTr="00AE4362">
        <w:trPr>
          <w:trHeight w:val="300"/>
        </w:trPr>
        <w:tc>
          <w:tcPr>
            <w:tcW w:w="425" w:type="dxa"/>
            <w:tcBorders>
              <w:top w:val="nil"/>
              <w:left w:val="single" w:sz="8" w:space="0" w:color="auto"/>
              <w:bottom w:val="single" w:sz="4" w:space="0" w:color="auto"/>
              <w:right w:val="nil"/>
            </w:tcBorders>
            <w:shd w:val="clear" w:color="auto" w:fill="auto"/>
            <w:tcMar>
              <w:top w:w="15" w:type="dxa"/>
              <w:left w:w="15" w:type="dxa"/>
              <w:bottom w:w="0" w:type="dxa"/>
              <w:right w:w="15" w:type="dxa"/>
            </w:tcMar>
          </w:tcPr>
          <w:p w14:paraId="3252C512" w14:textId="77777777" w:rsidR="00D210F0" w:rsidRPr="00092ED7" w:rsidRDefault="00D210F0" w:rsidP="00D210F0">
            <w:pPr>
              <w:spacing w:after="0"/>
              <w:jc w:val="center"/>
              <w:rPr>
                <w:rFonts w:cs="Times New Roman"/>
                <w:bCs/>
                <w:sz w:val="18"/>
                <w:szCs w:val="18"/>
                <w:lang w:val="sr-Cyrl-CS"/>
              </w:rPr>
            </w:pPr>
            <w:r w:rsidRPr="00092ED7">
              <w:rPr>
                <w:rFonts w:cs="Times New Roman"/>
                <w:bCs/>
                <w:sz w:val="18"/>
                <w:szCs w:val="18"/>
                <w:lang w:val="sr-Cyrl-CS"/>
              </w:rPr>
              <w:t>2.</w:t>
            </w:r>
          </w:p>
        </w:tc>
        <w:tc>
          <w:tcPr>
            <w:tcW w:w="4385" w:type="dxa"/>
            <w:tcBorders>
              <w:top w:val="nil"/>
              <w:left w:val="single" w:sz="8" w:space="0" w:color="auto"/>
              <w:bottom w:val="single" w:sz="4" w:space="0" w:color="auto"/>
              <w:right w:val="single" w:sz="4" w:space="0" w:color="auto"/>
            </w:tcBorders>
            <w:shd w:val="clear" w:color="auto" w:fill="auto"/>
            <w:tcMar>
              <w:top w:w="15" w:type="dxa"/>
              <w:left w:w="15" w:type="dxa"/>
              <w:bottom w:w="0" w:type="dxa"/>
              <w:right w:w="15" w:type="dxa"/>
            </w:tcMar>
          </w:tcPr>
          <w:p w14:paraId="2C5F173C" w14:textId="62D8E5FA" w:rsidR="00D210F0" w:rsidRPr="00092ED7" w:rsidRDefault="00D210F0" w:rsidP="00D210F0">
            <w:pPr>
              <w:spacing w:after="0"/>
              <w:ind w:right="222"/>
              <w:rPr>
                <w:sz w:val="20"/>
                <w:szCs w:val="20"/>
                <w:lang w:val="sr-Cyrl-CS"/>
              </w:rPr>
            </w:pPr>
            <w:r w:rsidRPr="00092ED7">
              <w:rPr>
                <w:rFonts w:cs="Times New Roman"/>
                <w:sz w:val="20"/>
                <w:szCs w:val="20"/>
                <w:lang w:val="sr-Cyrl-CS"/>
              </w:rPr>
              <w:t>Активности на унапређењу информационо-комуникационе инфраструктуре у свим основним и средњим школама у Р</w:t>
            </w:r>
            <w:r w:rsidR="00F66084" w:rsidRPr="00092ED7">
              <w:rPr>
                <w:rFonts w:cs="Times New Roman"/>
                <w:sz w:val="20"/>
                <w:szCs w:val="20"/>
                <w:lang w:val="sr-Cyrl-CS"/>
              </w:rPr>
              <w:t xml:space="preserve">епублици </w:t>
            </w:r>
            <w:r w:rsidRPr="00092ED7">
              <w:rPr>
                <w:rFonts w:cs="Times New Roman"/>
                <w:sz w:val="20"/>
                <w:szCs w:val="20"/>
                <w:lang w:val="sr-Cyrl-CS"/>
              </w:rPr>
              <w:t>С</w:t>
            </w:r>
            <w:r w:rsidR="00F66084" w:rsidRPr="00092ED7">
              <w:rPr>
                <w:rFonts w:cs="Times New Roman"/>
                <w:sz w:val="20"/>
                <w:szCs w:val="20"/>
                <w:lang w:val="sr-Cyrl-CS"/>
              </w:rPr>
              <w:t>рцији</w:t>
            </w:r>
            <w:r w:rsidRPr="00092ED7">
              <w:rPr>
                <w:rFonts w:eastAsia="Times New Roman" w:cs="Times New Roman"/>
                <w:color w:val="000000"/>
                <w:sz w:val="20"/>
                <w:szCs w:val="20"/>
                <w:lang w:val="sr-Cyrl-CS"/>
              </w:rPr>
              <w:t xml:space="preserve"> – „Повезане школе</w:t>
            </w:r>
            <w:r w:rsidR="00814682" w:rsidRPr="00092ED7">
              <w:rPr>
                <w:rFonts w:eastAsia="Times New Roman" w:cs="Times New Roman"/>
                <w:color w:val="000000"/>
                <w:sz w:val="20"/>
                <w:szCs w:val="20"/>
                <w:lang w:val="sr-Cyrl-CS"/>
              </w:rPr>
              <w:t>ˮ</w:t>
            </w:r>
            <w:r w:rsidRPr="00092ED7">
              <w:rPr>
                <w:rFonts w:eastAsia="Times New Roman" w:cs="Times New Roman"/>
                <w:color w:val="000000"/>
                <w:sz w:val="20"/>
                <w:szCs w:val="20"/>
                <w:lang w:val="sr-Cyrl-CS"/>
              </w:rPr>
              <w:t xml:space="preserve"> – фаза 3</w:t>
            </w:r>
          </w:p>
        </w:tc>
        <w:tc>
          <w:tcPr>
            <w:tcW w:w="372" w:type="dxa"/>
            <w:tcBorders>
              <w:top w:val="nil"/>
              <w:left w:val="single" w:sz="8"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70B2E84" w14:textId="77777777" w:rsidR="00D210F0" w:rsidRPr="00092ED7" w:rsidRDefault="00D210F0" w:rsidP="00D210F0">
            <w:pPr>
              <w:spacing w:after="0"/>
              <w:rPr>
                <w:rFonts w:cs="Times New Roman"/>
                <w:color w:val="000000"/>
                <w:sz w:val="18"/>
                <w:szCs w:val="18"/>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3044FFF" w14:textId="77777777" w:rsidR="00D210F0" w:rsidRPr="00092ED7" w:rsidRDefault="00D210F0" w:rsidP="00D210F0">
            <w:pPr>
              <w:spacing w:after="0"/>
              <w:rPr>
                <w:rFonts w:cs="Times New Roman"/>
                <w:color w:val="000000"/>
                <w:sz w:val="18"/>
                <w:szCs w:val="18"/>
                <w:lang w:val="sr-Cyrl-CS"/>
              </w:rPr>
            </w:pP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377DE5DE" w14:textId="77777777" w:rsidR="00D210F0" w:rsidRPr="00092ED7" w:rsidRDefault="00D210F0" w:rsidP="00D210F0">
            <w:pPr>
              <w:spacing w:after="0"/>
              <w:rPr>
                <w:rFonts w:cs="Times New Roman"/>
                <w:color w:val="000000"/>
                <w:sz w:val="18"/>
                <w:szCs w:val="18"/>
                <w:lang w:val="sr-Cyrl-CS"/>
              </w:rPr>
            </w:pPr>
          </w:p>
        </w:tc>
        <w:tc>
          <w:tcPr>
            <w:tcW w:w="373"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73E855A1" w14:textId="77777777" w:rsidR="00D210F0" w:rsidRPr="00092ED7" w:rsidRDefault="00D210F0" w:rsidP="00D210F0">
            <w:pPr>
              <w:spacing w:after="0"/>
              <w:rPr>
                <w:rFonts w:cs="Times New Roman"/>
                <w:color w:val="000000"/>
                <w:sz w:val="18"/>
                <w:szCs w:val="18"/>
                <w:lang w:val="sr-Cyrl-CS"/>
              </w:rPr>
            </w:pPr>
          </w:p>
        </w:tc>
        <w:tc>
          <w:tcPr>
            <w:tcW w:w="372"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3329F57A" w14:textId="77777777" w:rsidR="00D210F0" w:rsidRPr="00092ED7" w:rsidRDefault="00D210F0" w:rsidP="00D210F0">
            <w:pPr>
              <w:spacing w:after="0"/>
              <w:rPr>
                <w:rFonts w:cs="Times New Roman"/>
                <w:color w:val="000000"/>
                <w:sz w:val="18"/>
                <w:szCs w:val="18"/>
                <w:lang w:val="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6BBB2A0D" w14:textId="77777777" w:rsidR="00D210F0" w:rsidRPr="00092ED7" w:rsidRDefault="00D210F0" w:rsidP="00D210F0">
            <w:pPr>
              <w:spacing w:after="0"/>
              <w:rPr>
                <w:rFonts w:cs="Times New Roman"/>
                <w:color w:val="000000"/>
                <w:sz w:val="18"/>
                <w:szCs w:val="18"/>
                <w:lang w:val="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064921AC" w14:textId="77777777" w:rsidR="00D210F0" w:rsidRPr="00092ED7" w:rsidRDefault="00D210F0" w:rsidP="00D210F0">
            <w:pPr>
              <w:spacing w:after="0"/>
              <w:rPr>
                <w:rFonts w:cs="Times New Roman"/>
                <w:color w:val="000000"/>
                <w:sz w:val="18"/>
                <w:szCs w:val="18"/>
                <w:lang w:val="sr-Cyrl-CS"/>
              </w:rPr>
            </w:pPr>
          </w:p>
        </w:tc>
        <w:tc>
          <w:tcPr>
            <w:tcW w:w="372" w:type="dxa"/>
            <w:tcBorders>
              <w:top w:val="nil"/>
              <w:left w:val="nil"/>
              <w:bottom w:val="single" w:sz="4" w:space="0" w:color="auto"/>
              <w:right w:val="single" w:sz="8" w:space="0" w:color="auto"/>
            </w:tcBorders>
            <w:shd w:val="clear" w:color="auto" w:fill="auto"/>
            <w:tcMar>
              <w:top w:w="15" w:type="dxa"/>
              <w:left w:w="15" w:type="dxa"/>
              <w:bottom w:w="0" w:type="dxa"/>
              <w:right w:w="15" w:type="dxa"/>
            </w:tcMar>
          </w:tcPr>
          <w:p w14:paraId="3E9D7B28" w14:textId="77777777" w:rsidR="00D210F0" w:rsidRPr="00092ED7" w:rsidRDefault="00D210F0" w:rsidP="00D210F0">
            <w:pPr>
              <w:spacing w:after="0"/>
              <w:rPr>
                <w:rFonts w:cs="Times New Roman"/>
                <w:color w:val="000000"/>
                <w:sz w:val="18"/>
                <w:szCs w:val="18"/>
                <w:lang w:val="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3A8A85CC" w14:textId="77777777" w:rsidR="00D210F0" w:rsidRPr="00092ED7" w:rsidRDefault="00D210F0" w:rsidP="00D210F0">
            <w:pPr>
              <w:spacing w:after="0"/>
              <w:rPr>
                <w:rFonts w:cs="Times New Roman"/>
                <w:color w:val="000000"/>
                <w:sz w:val="18"/>
                <w:szCs w:val="18"/>
                <w:lang w:val="sr-Cyrl-CS"/>
              </w:rPr>
            </w:pPr>
          </w:p>
        </w:tc>
        <w:tc>
          <w:tcPr>
            <w:tcW w:w="372"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6F3BBBE6" w14:textId="77777777" w:rsidR="00D210F0" w:rsidRPr="00092ED7" w:rsidRDefault="00D210F0" w:rsidP="00D210F0">
            <w:pPr>
              <w:spacing w:after="0"/>
              <w:rPr>
                <w:rFonts w:cs="Times New Roman"/>
                <w:color w:val="000000"/>
                <w:sz w:val="18"/>
                <w:szCs w:val="18"/>
                <w:lang w:val="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61A449C2" w14:textId="77777777" w:rsidR="00D210F0" w:rsidRPr="00092ED7" w:rsidRDefault="00D210F0" w:rsidP="00D210F0">
            <w:pPr>
              <w:spacing w:after="0"/>
              <w:rPr>
                <w:rFonts w:cs="Times New Roman"/>
                <w:color w:val="000000"/>
                <w:sz w:val="18"/>
                <w:szCs w:val="18"/>
                <w:lang w:val="sr-Cyrl-CS"/>
              </w:rPr>
            </w:pPr>
          </w:p>
        </w:tc>
        <w:tc>
          <w:tcPr>
            <w:tcW w:w="280" w:type="dxa"/>
            <w:tcBorders>
              <w:top w:val="nil"/>
              <w:left w:val="nil"/>
              <w:bottom w:val="single" w:sz="4" w:space="0" w:color="auto"/>
              <w:right w:val="single" w:sz="8" w:space="0" w:color="auto"/>
            </w:tcBorders>
            <w:shd w:val="clear" w:color="auto" w:fill="auto"/>
            <w:tcMar>
              <w:top w:w="15" w:type="dxa"/>
              <w:left w:w="15" w:type="dxa"/>
              <w:bottom w:w="0" w:type="dxa"/>
              <w:right w:w="15" w:type="dxa"/>
            </w:tcMar>
          </w:tcPr>
          <w:p w14:paraId="76AE8432" w14:textId="77777777" w:rsidR="00D210F0" w:rsidRPr="00092ED7" w:rsidRDefault="00D210F0" w:rsidP="00D210F0">
            <w:pPr>
              <w:spacing w:after="0"/>
              <w:rPr>
                <w:rFonts w:cs="Times New Roman"/>
                <w:color w:val="000000"/>
                <w:sz w:val="18"/>
                <w:szCs w:val="18"/>
                <w:lang w:val="sr-Cyrl-CS"/>
              </w:rPr>
            </w:pPr>
          </w:p>
        </w:tc>
      </w:tr>
      <w:tr w:rsidR="00D210F0" w:rsidRPr="00092ED7" w14:paraId="2403992F" w14:textId="77777777" w:rsidTr="00AE4362">
        <w:trPr>
          <w:trHeight w:val="300"/>
        </w:trPr>
        <w:tc>
          <w:tcPr>
            <w:tcW w:w="425" w:type="dxa"/>
            <w:tcBorders>
              <w:top w:val="nil"/>
              <w:left w:val="single" w:sz="8" w:space="0" w:color="auto"/>
              <w:bottom w:val="single" w:sz="4" w:space="0" w:color="auto"/>
              <w:right w:val="nil"/>
            </w:tcBorders>
            <w:shd w:val="clear" w:color="auto" w:fill="auto"/>
            <w:tcMar>
              <w:top w:w="15" w:type="dxa"/>
              <w:left w:w="15" w:type="dxa"/>
              <w:bottom w:w="0" w:type="dxa"/>
              <w:right w:w="15" w:type="dxa"/>
            </w:tcMar>
          </w:tcPr>
          <w:p w14:paraId="7C338F11" w14:textId="3B76A75F" w:rsidR="00D210F0" w:rsidRPr="00092ED7" w:rsidRDefault="00F66084" w:rsidP="00D210F0">
            <w:pPr>
              <w:spacing w:after="0"/>
              <w:jc w:val="center"/>
              <w:rPr>
                <w:rFonts w:cs="Times New Roman"/>
                <w:bCs/>
                <w:sz w:val="18"/>
                <w:szCs w:val="18"/>
                <w:lang w:val="sr-Cyrl-CS"/>
              </w:rPr>
            </w:pPr>
            <w:r w:rsidRPr="00092ED7">
              <w:rPr>
                <w:rFonts w:cs="Times New Roman"/>
                <w:bCs/>
                <w:sz w:val="18"/>
                <w:szCs w:val="18"/>
                <w:lang w:val="sr-Cyrl-CS"/>
              </w:rPr>
              <w:t>?</w:t>
            </w:r>
            <w:r w:rsidR="00D210F0" w:rsidRPr="00092ED7">
              <w:rPr>
                <w:rFonts w:cs="Times New Roman"/>
                <w:bCs/>
                <w:sz w:val="18"/>
                <w:szCs w:val="18"/>
                <w:lang w:val="sr-Cyrl-CS"/>
              </w:rPr>
              <w:t>3.</w:t>
            </w:r>
          </w:p>
        </w:tc>
        <w:tc>
          <w:tcPr>
            <w:tcW w:w="4385" w:type="dxa"/>
            <w:tcBorders>
              <w:top w:val="nil"/>
              <w:left w:val="single" w:sz="8" w:space="0" w:color="auto"/>
              <w:bottom w:val="single" w:sz="4" w:space="0" w:color="auto"/>
              <w:right w:val="nil"/>
            </w:tcBorders>
            <w:shd w:val="clear" w:color="auto" w:fill="auto"/>
            <w:tcMar>
              <w:top w:w="15" w:type="dxa"/>
              <w:left w:w="15" w:type="dxa"/>
              <w:bottom w:w="0" w:type="dxa"/>
              <w:right w:w="15" w:type="dxa"/>
            </w:tcMar>
          </w:tcPr>
          <w:p w14:paraId="61046D05" w14:textId="04E2FAB3" w:rsidR="00D210F0" w:rsidRPr="00092ED7" w:rsidRDefault="00D210F0" w:rsidP="00D210F0">
            <w:pPr>
              <w:spacing w:after="0"/>
              <w:ind w:right="222"/>
              <w:rPr>
                <w:sz w:val="20"/>
                <w:szCs w:val="20"/>
                <w:lang w:val="sr-Cyrl-CS"/>
              </w:rPr>
            </w:pPr>
            <w:r w:rsidRPr="00092ED7">
              <w:rPr>
                <w:rFonts w:cs="Times New Roman"/>
                <w:sz w:val="20"/>
                <w:szCs w:val="20"/>
                <w:lang w:val="sr-Cyrl-CS"/>
              </w:rPr>
              <w:t>П</w:t>
            </w:r>
            <w:r w:rsidRPr="00092ED7">
              <w:rPr>
                <w:rFonts w:cs="Times New Roman"/>
                <w:iCs/>
                <w:sz w:val="20"/>
                <w:szCs w:val="20"/>
                <w:lang w:val="sr-Cyrl-CS"/>
              </w:rPr>
              <w:t xml:space="preserve">рипрема и изградња оптичке широкопојасне мреже у руралним областима </w:t>
            </w:r>
            <w:r w:rsidR="00F66084" w:rsidRPr="00092ED7">
              <w:rPr>
                <w:rFonts w:cs="Times New Roman"/>
                <w:iCs/>
                <w:sz w:val="20"/>
                <w:szCs w:val="20"/>
                <w:lang w:val="sr-Cyrl-CS"/>
              </w:rPr>
              <w:t xml:space="preserve">Републике </w:t>
            </w:r>
            <w:r w:rsidRPr="00092ED7">
              <w:rPr>
                <w:rFonts w:cs="Times New Roman"/>
                <w:iCs/>
                <w:sz w:val="20"/>
                <w:szCs w:val="20"/>
                <w:lang w:val="sr-Cyrl-CS"/>
              </w:rPr>
              <w:t>Србије – фазе 1 и 2</w:t>
            </w:r>
          </w:p>
        </w:tc>
        <w:tc>
          <w:tcPr>
            <w:tcW w:w="372" w:type="dxa"/>
            <w:tcBorders>
              <w:top w:val="nil"/>
              <w:left w:val="single" w:sz="8"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01D73DC0" w14:textId="77777777" w:rsidR="00D210F0" w:rsidRPr="00092ED7" w:rsidRDefault="00D210F0" w:rsidP="00D210F0">
            <w:pPr>
              <w:spacing w:after="0"/>
              <w:rPr>
                <w:rFonts w:cs="Times New Roman"/>
                <w:color w:val="000000"/>
                <w:sz w:val="18"/>
                <w:szCs w:val="18"/>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39689590" w14:textId="77777777" w:rsidR="00D210F0" w:rsidRPr="00092ED7" w:rsidRDefault="00D210F0" w:rsidP="00D210F0">
            <w:pPr>
              <w:spacing w:after="0"/>
              <w:rPr>
                <w:rFonts w:cs="Times New Roman"/>
                <w:color w:val="000000"/>
                <w:sz w:val="18"/>
                <w:szCs w:val="18"/>
                <w:lang w:val="sr-Cyrl-CS"/>
              </w:rPr>
            </w:pP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C3E9299" w14:textId="77777777" w:rsidR="00D210F0" w:rsidRPr="00092ED7" w:rsidRDefault="00D210F0" w:rsidP="00D210F0">
            <w:pPr>
              <w:spacing w:after="0"/>
              <w:rPr>
                <w:rFonts w:cs="Times New Roman"/>
                <w:color w:val="000000"/>
                <w:sz w:val="18"/>
                <w:szCs w:val="18"/>
                <w:lang w:val="sr-Cyrl-CS"/>
              </w:rPr>
            </w:pPr>
          </w:p>
        </w:tc>
        <w:tc>
          <w:tcPr>
            <w:tcW w:w="373"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078AEDE6" w14:textId="77777777" w:rsidR="00D210F0" w:rsidRPr="00092ED7" w:rsidRDefault="00D210F0" w:rsidP="00D210F0">
            <w:pPr>
              <w:spacing w:after="0"/>
              <w:rPr>
                <w:rFonts w:cs="Times New Roman"/>
                <w:color w:val="000000"/>
                <w:sz w:val="18"/>
                <w:szCs w:val="18"/>
                <w:lang w:val="sr-Cyrl-CS"/>
              </w:rPr>
            </w:pP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7D53CD6" w14:textId="77777777" w:rsidR="00D210F0" w:rsidRPr="00092ED7" w:rsidRDefault="00D210F0" w:rsidP="00D210F0">
            <w:pPr>
              <w:spacing w:after="0"/>
              <w:rPr>
                <w:rFonts w:cs="Times New Roman"/>
                <w:color w:val="000000"/>
                <w:sz w:val="18"/>
                <w:szCs w:val="18"/>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A8BC4FE" w14:textId="77777777" w:rsidR="00D210F0" w:rsidRPr="00092ED7" w:rsidRDefault="00D210F0" w:rsidP="00D210F0">
            <w:pPr>
              <w:spacing w:after="0"/>
              <w:rPr>
                <w:rFonts w:cs="Times New Roman"/>
                <w:color w:val="000000"/>
                <w:sz w:val="18"/>
                <w:szCs w:val="18"/>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F1129CC" w14:textId="77777777" w:rsidR="00D210F0" w:rsidRPr="00092ED7" w:rsidRDefault="00D210F0" w:rsidP="00D210F0">
            <w:pPr>
              <w:spacing w:after="0"/>
              <w:rPr>
                <w:rFonts w:cs="Times New Roman"/>
                <w:color w:val="000000"/>
                <w:sz w:val="18"/>
                <w:szCs w:val="18"/>
                <w:lang w:val="sr-Cyrl-CS"/>
              </w:rPr>
            </w:pPr>
          </w:p>
        </w:tc>
        <w:tc>
          <w:tcPr>
            <w:tcW w:w="372"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007D7C09" w14:textId="77777777" w:rsidR="00D210F0" w:rsidRPr="00092ED7" w:rsidRDefault="00D210F0" w:rsidP="00D210F0">
            <w:pPr>
              <w:spacing w:after="0"/>
              <w:rPr>
                <w:rFonts w:cs="Times New Roman"/>
                <w:color w:val="000000"/>
                <w:sz w:val="18"/>
                <w:szCs w:val="18"/>
                <w:lang w:val="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690C21BC" w14:textId="77777777" w:rsidR="00D210F0" w:rsidRPr="00092ED7" w:rsidRDefault="00D210F0" w:rsidP="00D210F0">
            <w:pPr>
              <w:spacing w:after="0"/>
              <w:rPr>
                <w:rFonts w:cs="Times New Roman"/>
                <w:color w:val="000000"/>
                <w:sz w:val="18"/>
                <w:szCs w:val="18"/>
                <w:lang w:val="sr-Cyrl-CS"/>
              </w:rPr>
            </w:pPr>
          </w:p>
        </w:tc>
        <w:tc>
          <w:tcPr>
            <w:tcW w:w="372"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1177198B" w14:textId="77777777" w:rsidR="00D210F0" w:rsidRPr="00092ED7" w:rsidRDefault="00D210F0" w:rsidP="00D210F0">
            <w:pPr>
              <w:spacing w:after="0"/>
              <w:rPr>
                <w:rFonts w:cs="Times New Roman"/>
                <w:color w:val="000000"/>
                <w:sz w:val="18"/>
                <w:szCs w:val="18"/>
                <w:lang w:val="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211BAC2F" w14:textId="77777777" w:rsidR="00D210F0" w:rsidRPr="00092ED7" w:rsidRDefault="00D210F0" w:rsidP="00D210F0">
            <w:pPr>
              <w:spacing w:after="0"/>
              <w:rPr>
                <w:rFonts w:cs="Times New Roman"/>
                <w:color w:val="000000"/>
                <w:sz w:val="18"/>
                <w:szCs w:val="18"/>
                <w:lang w:val="sr-Cyrl-CS"/>
              </w:rPr>
            </w:pPr>
          </w:p>
        </w:tc>
        <w:tc>
          <w:tcPr>
            <w:tcW w:w="280" w:type="dxa"/>
            <w:tcBorders>
              <w:top w:val="nil"/>
              <w:left w:val="nil"/>
              <w:bottom w:val="single" w:sz="4" w:space="0" w:color="auto"/>
              <w:right w:val="single" w:sz="8" w:space="0" w:color="auto"/>
            </w:tcBorders>
            <w:shd w:val="clear" w:color="auto" w:fill="auto"/>
            <w:tcMar>
              <w:top w:w="15" w:type="dxa"/>
              <w:left w:w="15" w:type="dxa"/>
              <w:bottom w:w="0" w:type="dxa"/>
              <w:right w:w="15" w:type="dxa"/>
            </w:tcMar>
          </w:tcPr>
          <w:p w14:paraId="3DA953E0" w14:textId="77777777" w:rsidR="00D210F0" w:rsidRPr="00092ED7" w:rsidRDefault="00D210F0" w:rsidP="00D210F0">
            <w:pPr>
              <w:spacing w:after="0"/>
              <w:rPr>
                <w:rFonts w:cs="Times New Roman"/>
                <w:color w:val="000000"/>
                <w:sz w:val="18"/>
                <w:szCs w:val="18"/>
                <w:lang w:val="sr-Cyrl-CS"/>
              </w:rPr>
            </w:pPr>
          </w:p>
        </w:tc>
      </w:tr>
      <w:tr w:rsidR="00D210F0" w:rsidRPr="00092ED7" w14:paraId="49F14C06" w14:textId="77777777" w:rsidTr="00AE4362">
        <w:trPr>
          <w:trHeight w:val="300"/>
        </w:trPr>
        <w:tc>
          <w:tcPr>
            <w:tcW w:w="425" w:type="dxa"/>
            <w:tcBorders>
              <w:top w:val="single" w:sz="4" w:space="0" w:color="auto"/>
              <w:left w:val="single" w:sz="8" w:space="0" w:color="auto"/>
              <w:bottom w:val="single" w:sz="4" w:space="0" w:color="auto"/>
              <w:right w:val="nil"/>
            </w:tcBorders>
            <w:shd w:val="clear" w:color="auto" w:fill="auto"/>
            <w:tcMar>
              <w:top w:w="15" w:type="dxa"/>
              <w:left w:w="15" w:type="dxa"/>
              <w:bottom w:w="0" w:type="dxa"/>
              <w:right w:w="15" w:type="dxa"/>
            </w:tcMar>
          </w:tcPr>
          <w:p w14:paraId="39186DA0" w14:textId="77777777" w:rsidR="00D210F0" w:rsidRPr="00092ED7" w:rsidRDefault="00D210F0" w:rsidP="00D210F0">
            <w:pPr>
              <w:spacing w:after="0"/>
              <w:jc w:val="center"/>
              <w:rPr>
                <w:rFonts w:cs="Times New Roman"/>
                <w:bCs/>
                <w:sz w:val="18"/>
                <w:szCs w:val="18"/>
                <w:lang w:val="sr-Cyrl-CS"/>
              </w:rPr>
            </w:pPr>
            <w:r w:rsidRPr="00092ED7">
              <w:rPr>
                <w:rFonts w:cs="Times New Roman"/>
                <w:bCs/>
                <w:sz w:val="18"/>
                <w:szCs w:val="18"/>
                <w:lang w:val="sr-Cyrl-CS"/>
              </w:rPr>
              <w:t>4.</w:t>
            </w:r>
          </w:p>
        </w:tc>
        <w:tc>
          <w:tcPr>
            <w:tcW w:w="4385" w:type="dxa"/>
            <w:tcBorders>
              <w:top w:val="single" w:sz="4" w:space="0" w:color="auto"/>
              <w:left w:val="single" w:sz="8" w:space="0" w:color="auto"/>
              <w:bottom w:val="single" w:sz="4" w:space="0" w:color="auto"/>
              <w:right w:val="nil"/>
            </w:tcBorders>
            <w:shd w:val="clear" w:color="auto" w:fill="auto"/>
            <w:noWrap/>
            <w:tcMar>
              <w:top w:w="15" w:type="dxa"/>
              <w:left w:w="15" w:type="dxa"/>
              <w:bottom w:w="0" w:type="dxa"/>
              <w:right w:w="15" w:type="dxa"/>
            </w:tcMar>
          </w:tcPr>
          <w:p w14:paraId="79326CE3" w14:textId="588E59C8" w:rsidR="00D210F0" w:rsidRPr="00092ED7" w:rsidRDefault="00D210F0" w:rsidP="00D210F0">
            <w:pPr>
              <w:spacing w:after="0"/>
              <w:ind w:right="222"/>
              <w:rPr>
                <w:sz w:val="20"/>
                <w:szCs w:val="20"/>
                <w:lang w:val="sr-Cyrl-CS"/>
              </w:rPr>
            </w:pPr>
            <w:r w:rsidRPr="00092ED7">
              <w:rPr>
                <w:rFonts w:cs="Times New Roman"/>
                <w:sz w:val="20"/>
                <w:szCs w:val="20"/>
                <w:lang w:val="sr-Cyrl-CS"/>
              </w:rPr>
              <w:t>П</w:t>
            </w:r>
            <w:r w:rsidRPr="00092ED7">
              <w:rPr>
                <w:rFonts w:cs="Times New Roman"/>
                <w:iCs/>
                <w:sz w:val="20"/>
                <w:szCs w:val="20"/>
                <w:lang w:val="sr-Cyrl-CS"/>
              </w:rPr>
              <w:t xml:space="preserve">рипрема и изградња оптичке широкопојасне мреже у руралним областима </w:t>
            </w:r>
            <w:r w:rsidR="00F66084" w:rsidRPr="00092ED7">
              <w:rPr>
                <w:rFonts w:cs="Times New Roman"/>
                <w:iCs/>
                <w:sz w:val="20"/>
                <w:szCs w:val="20"/>
                <w:lang w:val="sr-Cyrl-CS"/>
              </w:rPr>
              <w:t xml:space="preserve">Републике </w:t>
            </w:r>
            <w:r w:rsidRPr="00092ED7">
              <w:rPr>
                <w:rFonts w:cs="Times New Roman"/>
                <w:iCs/>
                <w:sz w:val="20"/>
                <w:szCs w:val="20"/>
                <w:lang w:val="sr-Cyrl-CS"/>
              </w:rPr>
              <w:t xml:space="preserve">Србије – фаза 3 </w:t>
            </w:r>
          </w:p>
        </w:tc>
        <w:tc>
          <w:tcPr>
            <w:tcW w:w="372" w:type="dxa"/>
            <w:tcBorders>
              <w:top w:val="single" w:sz="4" w:space="0" w:color="auto"/>
              <w:left w:val="single" w:sz="8" w:space="0" w:color="auto"/>
              <w:bottom w:val="single" w:sz="4" w:space="0" w:color="auto"/>
              <w:right w:val="single" w:sz="4" w:space="0" w:color="auto"/>
            </w:tcBorders>
            <w:shd w:val="clear" w:color="auto" w:fill="auto"/>
            <w:tcMar>
              <w:top w:w="15" w:type="dxa"/>
              <w:left w:w="15" w:type="dxa"/>
              <w:bottom w:w="0" w:type="dxa"/>
              <w:right w:w="15" w:type="dxa"/>
            </w:tcMar>
          </w:tcPr>
          <w:p w14:paraId="1E883189" w14:textId="77777777" w:rsidR="00D210F0" w:rsidRPr="00092ED7" w:rsidRDefault="00D210F0" w:rsidP="00D210F0">
            <w:pPr>
              <w:spacing w:after="0"/>
              <w:rPr>
                <w:rFonts w:cs="Times New Roman"/>
                <w:color w:val="000000"/>
                <w:sz w:val="18"/>
                <w:szCs w:val="18"/>
                <w:lang w:val="sr-Cyrl-CS"/>
              </w:rPr>
            </w:pPr>
          </w:p>
        </w:tc>
        <w:tc>
          <w:tcPr>
            <w:tcW w:w="373"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69E10BFD" w14:textId="77777777" w:rsidR="00D210F0" w:rsidRPr="00092ED7" w:rsidRDefault="00D210F0" w:rsidP="00D210F0">
            <w:pPr>
              <w:spacing w:after="0"/>
              <w:rPr>
                <w:rFonts w:cs="Times New Roman"/>
                <w:color w:val="000000"/>
                <w:sz w:val="18"/>
                <w:szCs w:val="18"/>
                <w:lang w:val="sr-Cyrl-CS"/>
              </w:rPr>
            </w:pPr>
          </w:p>
        </w:tc>
        <w:tc>
          <w:tcPr>
            <w:tcW w:w="372"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7995E417" w14:textId="77777777" w:rsidR="00D210F0" w:rsidRPr="00092ED7" w:rsidRDefault="00D210F0" w:rsidP="00D210F0">
            <w:pPr>
              <w:spacing w:after="0"/>
              <w:rPr>
                <w:rFonts w:cs="Times New Roman"/>
                <w:color w:val="000000"/>
                <w:sz w:val="18"/>
                <w:szCs w:val="18"/>
                <w:lang w:val="sr-Cyrl-CS"/>
              </w:rPr>
            </w:pPr>
          </w:p>
        </w:tc>
        <w:tc>
          <w:tcPr>
            <w:tcW w:w="373" w:type="dxa"/>
            <w:tcBorders>
              <w:top w:val="single" w:sz="4" w:space="0" w:color="auto"/>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065C37E0" w14:textId="77777777" w:rsidR="00D210F0" w:rsidRPr="00092ED7" w:rsidRDefault="00D210F0" w:rsidP="00D210F0">
            <w:pPr>
              <w:spacing w:after="0"/>
              <w:rPr>
                <w:rFonts w:cs="Times New Roman"/>
                <w:color w:val="000000"/>
                <w:sz w:val="18"/>
                <w:szCs w:val="18"/>
                <w:lang w:val="sr-Cyrl-CS"/>
              </w:rPr>
            </w:pPr>
          </w:p>
        </w:tc>
        <w:tc>
          <w:tcPr>
            <w:tcW w:w="372"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AD8470C" w14:textId="77777777" w:rsidR="00D210F0" w:rsidRPr="00092ED7" w:rsidRDefault="00D210F0" w:rsidP="00D210F0">
            <w:pPr>
              <w:spacing w:after="0"/>
              <w:rPr>
                <w:rFonts w:cs="Times New Roman"/>
                <w:color w:val="000000"/>
                <w:sz w:val="18"/>
                <w:szCs w:val="18"/>
                <w:lang w:val="sr-Cyrl-CS"/>
              </w:rPr>
            </w:pPr>
          </w:p>
        </w:tc>
        <w:tc>
          <w:tcPr>
            <w:tcW w:w="373"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62A5373" w14:textId="77777777" w:rsidR="00D210F0" w:rsidRPr="00092ED7" w:rsidRDefault="00D210F0" w:rsidP="00D210F0">
            <w:pPr>
              <w:spacing w:after="0"/>
              <w:rPr>
                <w:rFonts w:cs="Times New Roman"/>
                <w:color w:val="000000"/>
                <w:sz w:val="18"/>
                <w:szCs w:val="18"/>
                <w:lang w:val="sr-Cyrl-CS"/>
              </w:rPr>
            </w:pPr>
          </w:p>
        </w:tc>
        <w:tc>
          <w:tcPr>
            <w:tcW w:w="373"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0D0568A" w14:textId="77777777" w:rsidR="00D210F0" w:rsidRPr="00092ED7" w:rsidRDefault="00D210F0" w:rsidP="00D210F0">
            <w:pPr>
              <w:spacing w:after="0"/>
              <w:rPr>
                <w:rFonts w:cs="Times New Roman"/>
                <w:color w:val="000000"/>
                <w:sz w:val="18"/>
                <w:szCs w:val="18"/>
                <w:lang w:val="sr-Cyrl-CS"/>
              </w:rPr>
            </w:pPr>
          </w:p>
        </w:tc>
        <w:tc>
          <w:tcPr>
            <w:tcW w:w="372" w:type="dxa"/>
            <w:tcBorders>
              <w:top w:val="single" w:sz="4" w:space="0" w:color="auto"/>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6394DE66" w14:textId="77777777" w:rsidR="00D210F0" w:rsidRPr="00092ED7" w:rsidRDefault="00D210F0" w:rsidP="00D210F0">
            <w:pPr>
              <w:spacing w:after="0"/>
              <w:rPr>
                <w:rFonts w:cs="Times New Roman"/>
                <w:color w:val="000000"/>
                <w:sz w:val="18"/>
                <w:szCs w:val="18"/>
                <w:lang w:val="sr-Cyrl-CS"/>
              </w:rPr>
            </w:pPr>
          </w:p>
        </w:tc>
        <w:tc>
          <w:tcPr>
            <w:tcW w:w="373"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124C8F8" w14:textId="77777777" w:rsidR="00D210F0" w:rsidRPr="00092ED7" w:rsidRDefault="00D210F0" w:rsidP="00D210F0">
            <w:pPr>
              <w:spacing w:after="0"/>
              <w:rPr>
                <w:rFonts w:cs="Times New Roman"/>
                <w:color w:val="000000"/>
                <w:sz w:val="18"/>
                <w:szCs w:val="18"/>
                <w:lang w:val="sr-Cyrl-CS"/>
              </w:rPr>
            </w:pPr>
          </w:p>
        </w:tc>
        <w:tc>
          <w:tcPr>
            <w:tcW w:w="372"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B3EAABC" w14:textId="77777777" w:rsidR="00D210F0" w:rsidRPr="00092ED7" w:rsidRDefault="00D210F0" w:rsidP="00D210F0">
            <w:pPr>
              <w:spacing w:after="0"/>
              <w:rPr>
                <w:rFonts w:cs="Times New Roman"/>
                <w:color w:val="000000"/>
                <w:sz w:val="18"/>
                <w:szCs w:val="18"/>
                <w:lang w:val="sr-Cyrl-CS"/>
              </w:rPr>
            </w:pPr>
          </w:p>
        </w:tc>
        <w:tc>
          <w:tcPr>
            <w:tcW w:w="373"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0E28C392" w14:textId="77777777" w:rsidR="00D210F0" w:rsidRPr="00092ED7" w:rsidRDefault="00D210F0" w:rsidP="00D210F0">
            <w:pPr>
              <w:spacing w:after="0"/>
              <w:rPr>
                <w:rFonts w:cs="Times New Roman"/>
                <w:color w:val="000000"/>
                <w:sz w:val="18"/>
                <w:szCs w:val="18"/>
                <w:lang w:val="sr-Cyrl-CS"/>
              </w:rPr>
            </w:pPr>
          </w:p>
        </w:tc>
        <w:tc>
          <w:tcPr>
            <w:tcW w:w="280" w:type="dxa"/>
            <w:tcBorders>
              <w:top w:val="single" w:sz="4" w:space="0" w:color="auto"/>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4CE36046" w14:textId="77777777" w:rsidR="00D210F0" w:rsidRPr="00092ED7" w:rsidRDefault="00D210F0" w:rsidP="00D210F0">
            <w:pPr>
              <w:spacing w:after="0"/>
              <w:rPr>
                <w:rFonts w:cs="Times New Roman"/>
                <w:color w:val="000000"/>
                <w:sz w:val="18"/>
                <w:szCs w:val="18"/>
                <w:lang w:val="sr-Cyrl-CS"/>
              </w:rPr>
            </w:pPr>
          </w:p>
        </w:tc>
      </w:tr>
    </w:tbl>
    <w:p w14:paraId="48FE5FEA" w14:textId="77777777" w:rsidR="00D210F0" w:rsidRPr="00092ED7" w:rsidRDefault="00D210F0" w:rsidP="00071952">
      <w:pPr>
        <w:widowControl w:val="0"/>
        <w:numPr>
          <w:ilvl w:val="0"/>
          <w:numId w:val="41"/>
        </w:numPr>
        <w:spacing w:before="120"/>
        <w:ind w:left="425" w:hanging="425"/>
        <w:rPr>
          <w:rFonts w:cs="Times New Roman"/>
          <w:b/>
          <w:bCs/>
          <w:szCs w:val="24"/>
          <w:lang w:val="sr-Cyrl-CS"/>
        </w:rPr>
      </w:pPr>
      <w:r w:rsidRPr="00092ED7">
        <w:rPr>
          <w:rFonts w:cs="Times New Roman"/>
          <w:b/>
          <w:bCs/>
          <w:szCs w:val="24"/>
          <w:lang w:val="sr-Cyrl-CS"/>
        </w:rPr>
        <w:t>Индикатори ризика</w:t>
      </w:r>
    </w:p>
    <w:tbl>
      <w:tblPr>
        <w:tblStyle w:val="TableGrid"/>
        <w:tblW w:w="9214" w:type="dxa"/>
        <w:tblInd w:w="-5" w:type="dxa"/>
        <w:tblLayout w:type="fixed"/>
        <w:tblLook w:val="04A0" w:firstRow="1" w:lastRow="0" w:firstColumn="1" w:lastColumn="0" w:noHBand="0" w:noVBand="1"/>
      </w:tblPr>
      <w:tblGrid>
        <w:gridCol w:w="3969"/>
        <w:gridCol w:w="1985"/>
        <w:gridCol w:w="1511"/>
        <w:gridCol w:w="1749"/>
      </w:tblGrid>
      <w:tr w:rsidR="00D210F0" w:rsidRPr="00092ED7" w14:paraId="419668C5" w14:textId="77777777" w:rsidTr="00AE4362">
        <w:trPr>
          <w:cnfStyle w:val="100000000000" w:firstRow="1" w:lastRow="0" w:firstColumn="0" w:lastColumn="0" w:oddVBand="0" w:evenVBand="0" w:oddHBand="0" w:evenHBand="0" w:firstRowFirstColumn="0" w:firstRowLastColumn="0" w:lastRowFirstColumn="0" w:lastRowLastColumn="0"/>
          <w:trHeight w:val="353"/>
        </w:trPr>
        <w:tc>
          <w:tcPr>
            <w:tcW w:w="3969" w:type="dxa"/>
          </w:tcPr>
          <w:p w14:paraId="61B276C3" w14:textId="77777777" w:rsidR="00D210F0" w:rsidRPr="00092ED7" w:rsidRDefault="00D210F0" w:rsidP="00C429AB">
            <w:pPr>
              <w:spacing w:before="0" w:after="0"/>
              <w:ind w:left="113" w:right="113"/>
              <w:jc w:val="center"/>
              <w:rPr>
                <w:sz w:val="20"/>
                <w:lang w:val="sr-Cyrl-CS"/>
              </w:rPr>
            </w:pPr>
            <w:r w:rsidRPr="00092ED7">
              <w:rPr>
                <w:rFonts w:cs="Times New Roman"/>
                <w:sz w:val="20"/>
                <w:lang w:val="sr-Cyrl-CS"/>
              </w:rPr>
              <w:t>Показатељ</w:t>
            </w:r>
          </w:p>
        </w:tc>
        <w:tc>
          <w:tcPr>
            <w:tcW w:w="1985" w:type="dxa"/>
          </w:tcPr>
          <w:p w14:paraId="1683001E" w14:textId="77777777" w:rsidR="00D210F0" w:rsidRPr="00092ED7" w:rsidRDefault="00D210F0" w:rsidP="00C429AB">
            <w:pPr>
              <w:spacing w:before="0" w:after="0"/>
              <w:ind w:left="113" w:right="113"/>
              <w:jc w:val="center"/>
              <w:rPr>
                <w:sz w:val="20"/>
                <w:lang w:val="sr-Cyrl-CS"/>
              </w:rPr>
            </w:pPr>
            <w:r w:rsidRPr="00092ED7">
              <w:rPr>
                <w:rFonts w:cs="Times New Roman"/>
                <w:sz w:val="20"/>
                <w:lang w:val="sr-Cyrl-CS"/>
              </w:rPr>
              <w:t>Почетна вредност</w:t>
            </w:r>
          </w:p>
        </w:tc>
        <w:tc>
          <w:tcPr>
            <w:tcW w:w="1511" w:type="dxa"/>
          </w:tcPr>
          <w:p w14:paraId="3AA83A3E" w14:textId="77777777" w:rsidR="00D210F0" w:rsidRPr="00092ED7" w:rsidRDefault="00D210F0" w:rsidP="00C429AB">
            <w:pPr>
              <w:spacing w:before="0" w:after="0"/>
              <w:ind w:left="113" w:right="113"/>
              <w:jc w:val="center"/>
              <w:rPr>
                <w:sz w:val="20"/>
                <w:lang w:val="sr-Cyrl-CS"/>
              </w:rPr>
            </w:pPr>
            <w:r w:rsidRPr="00092ED7">
              <w:rPr>
                <w:rFonts w:cs="Times New Roman"/>
                <w:sz w:val="20"/>
                <w:lang w:val="sr-Cyrl-CS"/>
              </w:rPr>
              <w:t>Међурезултат</w:t>
            </w:r>
          </w:p>
        </w:tc>
        <w:tc>
          <w:tcPr>
            <w:tcW w:w="1749" w:type="dxa"/>
          </w:tcPr>
          <w:p w14:paraId="62CF30F7" w14:textId="77777777" w:rsidR="00D210F0" w:rsidRPr="00092ED7" w:rsidRDefault="00D210F0" w:rsidP="00C429AB">
            <w:pPr>
              <w:spacing w:before="0" w:after="0"/>
              <w:ind w:left="113" w:right="113"/>
              <w:jc w:val="center"/>
              <w:rPr>
                <w:sz w:val="20"/>
                <w:lang w:val="sr-Cyrl-CS"/>
              </w:rPr>
            </w:pPr>
            <w:r w:rsidRPr="00092ED7">
              <w:rPr>
                <w:rFonts w:cs="Times New Roman"/>
                <w:sz w:val="20"/>
                <w:lang w:val="sr-Cyrl-CS"/>
              </w:rPr>
              <w:t>Циљна вредност</w:t>
            </w:r>
          </w:p>
        </w:tc>
      </w:tr>
      <w:tr w:rsidR="00D210F0" w:rsidRPr="00092ED7" w14:paraId="6AB5DC5B" w14:textId="77777777" w:rsidTr="00AE4362">
        <w:tc>
          <w:tcPr>
            <w:tcW w:w="3969" w:type="dxa"/>
          </w:tcPr>
          <w:p w14:paraId="423E1CC4" w14:textId="77777777" w:rsidR="00D210F0" w:rsidRPr="00092ED7" w:rsidRDefault="00D210F0" w:rsidP="00C429AB">
            <w:pPr>
              <w:spacing w:before="0" w:after="0"/>
              <w:ind w:left="113" w:right="113"/>
              <w:rPr>
                <w:sz w:val="20"/>
                <w:lang w:val="sr-Cyrl-CS"/>
              </w:rPr>
            </w:pPr>
            <w:r w:rsidRPr="00092ED7">
              <w:rPr>
                <w:rFonts w:cs="Times New Roman"/>
                <w:sz w:val="20"/>
                <w:lang w:val="sr-Cyrl-CS"/>
              </w:rPr>
              <w:t>Број руралних насеља којима је омогућен приступ широкопојасном интернету</w:t>
            </w:r>
          </w:p>
        </w:tc>
        <w:tc>
          <w:tcPr>
            <w:tcW w:w="1985" w:type="dxa"/>
          </w:tcPr>
          <w:p w14:paraId="63E264D1" w14:textId="77777777" w:rsidR="00D210F0" w:rsidRPr="00092ED7" w:rsidRDefault="00D210F0" w:rsidP="00C429AB">
            <w:pPr>
              <w:spacing w:before="0" w:after="0"/>
              <w:ind w:left="113" w:right="113"/>
              <w:jc w:val="center"/>
              <w:rPr>
                <w:rFonts w:cs="Times New Roman"/>
                <w:sz w:val="20"/>
                <w:lang w:val="sr-Cyrl-CS"/>
              </w:rPr>
            </w:pPr>
            <w:r w:rsidRPr="00092ED7">
              <w:rPr>
                <w:rFonts w:cs="Times New Roman"/>
                <w:sz w:val="20"/>
                <w:lang w:val="sr-Cyrl-CS"/>
              </w:rPr>
              <w:t>0</w:t>
            </w:r>
            <w:r w:rsidR="001515BF" w:rsidRPr="00092ED7">
              <w:rPr>
                <w:rFonts w:cs="Times New Roman"/>
                <w:sz w:val="20"/>
                <w:lang w:val="sr-Cyrl-CS"/>
              </w:rPr>
              <w:t xml:space="preserve"> </w:t>
            </w:r>
            <w:r w:rsidR="008723CF" w:rsidRPr="00092ED7">
              <w:rPr>
                <w:rFonts w:cs="Times New Roman"/>
                <w:sz w:val="20"/>
                <w:lang w:val="sr-Cyrl-CS"/>
              </w:rPr>
              <w:t>(2022</w:t>
            </w:r>
            <w:r w:rsidRPr="00092ED7">
              <w:rPr>
                <w:rFonts w:cs="Times New Roman"/>
                <w:sz w:val="20"/>
                <w:lang w:val="sr-Cyrl-CS"/>
              </w:rPr>
              <w:t>)</w:t>
            </w:r>
          </w:p>
        </w:tc>
        <w:tc>
          <w:tcPr>
            <w:tcW w:w="1511" w:type="dxa"/>
          </w:tcPr>
          <w:p w14:paraId="7F42890D" w14:textId="77777777" w:rsidR="00D210F0" w:rsidRPr="00092ED7" w:rsidRDefault="008723CF" w:rsidP="00C429AB">
            <w:pPr>
              <w:spacing w:before="0" w:after="0"/>
              <w:ind w:left="113" w:right="113"/>
              <w:jc w:val="center"/>
              <w:rPr>
                <w:rFonts w:cs="Times New Roman"/>
                <w:sz w:val="20"/>
                <w:lang w:val="sr-Cyrl-CS"/>
              </w:rPr>
            </w:pPr>
            <w:r w:rsidRPr="00092ED7">
              <w:rPr>
                <w:rFonts w:cs="Times New Roman"/>
                <w:sz w:val="20"/>
                <w:lang w:val="sr-Cyrl-CS"/>
              </w:rPr>
              <w:t xml:space="preserve">250 </w:t>
            </w:r>
            <w:r w:rsidR="00D210F0" w:rsidRPr="00092ED7">
              <w:rPr>
                <w:rFonts w:cs="Times New Roman"/>
                <w:sz w:val="20"/>
                <w:lang w:val="sr-Cyrl-CS"/>
              </w:rPr>
              <w:t>(2023)</w:t>
            </w:r>
          </w:p>
        </w:tc>
        <w:tc>
          <w:tcPr>
            <w:tcW w:w="1749" w:type="dxa"/>
          </w:tcPr>
          <w:p w14:paraId="3690C3D7" w14:textId="77777777" w:rsidR="00D210F0" w:rsidRPr="00092ED7" w:rsidRDefault="008723CF" w:rsidP="00C429AB">
            <w:pPr>
              <w:spacing w:before="0" w:after="0"/>
              <w:ind w:left="113" w:right="113"/>
              <w:jc w:val="center"/>
              <w:rPr>
                <w:rFonts w:cs="Times New Roman"/>
                <w:sz w:val="20"/>
                <w:lang w:val="sr-Cyrl-CS"/>
              </w:rPr>
            </w:pPr>
            <w:r w:rsidRPr="00092ED7">
              <w:rPr>
                <w:rFonts w:cs="Times New Roman"/>
                <w:sz w:val="20"/>
                <w:lang w:val="sr-Cyrl-CS"/>
              </w:rPr>
              <w:t xml:space="preserve">1000 </w:t>
            </w:r>
            <w:r w:rsidR="00D210F0" w:rsidRPr="00092ED7">
              <w:rPr>
                <w:rFonts w:cs="Times New Roman"/>
                <w:sz w:val="20"/>
                <w:lang w:val="sr-Cyrl-CS"/>
              </w:rPr>
              <w:t>(2025)</w:t>
            </w:r>
          </w:p>
        </w:tc>
      </w:tr>
      <w:tr w:rsidR="00D210F0" w:rsidRPr="00092ED7" w14:paraId="02366CC4" w14:textId="77777777" w:rsidTr="00AE4362">
        <w:tc>
          <w:tcPr>
            <w:tcW w:w="3969" w:type="dxa"/>
          </w:tcPr>
          <w:p w14:paraId="5DD37350" w14:textId="77777777" w:rsidR="00D210F0" w:rsidRPr="00092ED7" w:rsidRDefault="008723CF" w:rsidP="00C429AB">
            <w:pPr>
              <w:spacing w:before="0" w:after="0"/>
              <w:ind w:left="113" w:right="113"/>
              <w:rPr>
                <w:sz w:val="20"/>
                <w:lang w:val="sr-Cyrl-CS"/>
              </w:rPr>
            </w:pPr>
            <w:r w:rsidRPr="00092ED7">
              <w:rPr>
                <w:rFonts w:cs="Times New Roman"/>
                <w:sz w:val="20"/>
                <w:lang w:val="sr-Cyrl-CS"/>
              </w:rPr>
              <w:t>Број школских објеката у којима је изграђена бежична локална рачунарска мрежа</w:t>
            </w:r>
          </w:p>
        </w:tc>
        <w:tc>
          <w:tcPr>
            <w:tcW w:w="1985" w:type="dxa"/>
          </w:tcPr>
          <w:p w14:paraId="13FB9F41" w14:textId="77777777" w:rsidR="00D210F0" w:rsidRPr="00092ED7" w:rsidRDefault="008723CF" w:rsidP="00C429AB">
            <w:pPr>
              <w:spacing w:before="0" w:after="0"/>
              <w:ind w:left="113" w:right="113"/>
              <w:jc w:val="center"/>
              <w:rPr>
                <w:sz w:val="20"/>
                <w:lang w:val="sr-Cyrl-CS"/>
              </w:rPr>
            </w:pPr>
            <w:r w:rsidRPr="00092ED7">
              <w:rPr>
                <w:rFonts w:cs="Times New Roman"/>
                <w:sz w:val="20"/>
                <w:lang w:val="sr-Cyrl-CS"/>
              </w:rPr>
              <w:t xml:space="preserve">0 </w:t>
            </w:r>
            <w:r w:rsidR="00D210F0" w:rsidRPr="00092ED7">
              <w:rPr>
                <w:rFonts w:cs="Times New Roman"/>
                <w:sz w:val="20"/>
                <w:lang w:val="sr-Cyrl-CS"/>
              </w:rPr>
              <w:t>(</w:t>
            </w:r>
            <w:r w:rsidRPr="00092ED7">
              <w:rPr>
                <w:rFonts w:cs="Times New Roman"/>
                <w:sz w:val="20"/>
                <w:lang w:val="sr-Cyrl-CS"/>
              </w:rPr>
              <w:t>2018</w:t>
            </w:r>
            <w:r w:rsidR="00D210F0" w:rsidRPr="00092ED7">
              <w:rPr>
                <w:rFonts w:cs="Times New Roman"/>
                <w:sz w:val="20"/>
                <w:lang w:val="sr-Cyrl-CS"/>
              </w:rPr>
              <w:t>)</w:t>
            </w:r>
          </w:p>
        </w:tc>
        <w:tc>
          <w:tcPr>
            <w:tcW w:w="1511" w:type="dxa"/>
          </w:tcPr>
          <w:p w14:paraId="37193643" w14:textId="77777777" w:rsidR="00D210F0" w:rsidRPr="00092ED7" w:rsidRDefault="008723CF" w:rsidP="00C429AB">
            <w:pPr>
              <w:spacing w:before="0" w:after="0"/>
              <w:ind w:left="113" w:right="113"/>
              <w:jc w:val="center"/>
              <w:rPr>
                <w:sz w:val="20"/>
                <w:lang w:val="sr-Cyrl-CS"/>
              </w:rPr>
            </w:pPr>
            <w:r w:rsidRPr="00092ED7">
              <w:rPr>
                <w:rFonts w:cs="Times New Roman"/>
                <w:sz w:val="20"/>
                <w:lang w:val="sr-Cyrl-CS"/>
              </w:rPr>
              <w:t>1900</w:t>
            </w:r>
            <w:r w:rsidR="00D210F0" w:rsidRPr="00092ED7">
              <w:rPr>
                <w:rFonts w:cs="Times New Roman"/>
                <w:sz w:val="20"/>
                <w:lang w:val="sr-Cyrl-CS"/>
              </w:rPr>
              <w:t xml:space="preserve"> (2023)</w:t>
            </w:r>
          </w:p>
        </w:tc>
        <w:tc>
          <w:tcPr>
            <w:tcW w:w="1749" w:type="dxa"/>
          </w:tcPr>
          <w:p w14:paraId="5D438447" w14:textId="77777777" w:rsidR="00D210F0" w:rsidRPr="00092ED7" w:rsidRDefault="008723CF" w:rsidP="00C429AB">
            <w:pPr>
              <w:spacing w:before="0" w:after="0"/>
              <w:ind w:left="113" w:right="113"/>
              <w:jc w:val="center"/>
              <w:rPr>
                <w:rFonts w:cs="Times New Roman"/>
                <w:sz w:val="20"/>
                <w:lang w:val="sr-Cyrl-CS"/>
              </w:rPr>
            </w:pPr>
            <w:r w:rsidRPr="00092ED7">
              <w:rPr>
                <w:rFonts w:cs="Times New Roman"/>
                <w:sz w:val="20"/>
                <w:lang w:val="sr-Cyrl-CS"/>
              </w:rPr>
              <w:t>1900 (2025)</w:t>
            </w:r>
          </w:p>
        </w:tc>
      </w:tr>
      <w:tr w:rsidR="00275B59" w:rsidRPr="00092ED7" w14:paraId="0E128964" w14:textId="77777777" w:rsidTr="00AE4362">
        <w:tc>
          <w:tcPr>
            <w:tcW w:w="3969" w:type="dxa"/>
          </w:tcPr>
          <w:p w14:paraId="7CF74DED" w14:textId="763F4AFC" w:rsidR="00275B59" w:rsidRPr="00092ED7" w:rsidDel="002F0F47" w:rsidRDefault="00275B59" w:rsidP="00460F4E">
            <w:pPr>
              <w:spacing w:before="0" w:after="0"/>
              <w:ind w:left="113" w:right="113"/>
              <w:rPr>
                <w:rFonts w:cs="Times New Roman"/>
                <w:sz w:val="20"/>
                <w:lang w:val="sr-Cyrl-CS"/>
              </w:rPr>
            </w:pPr>
            <w:r w:rsidRPr="00092ED7">
              <w:rPr>
                <w:rFonts w:cs="Times New Roman"/>
                <w:sz w:val="20"/>
                <w:lang w:val="sr-Cyrl-CS"/>
              </w:rPr>
              <w:t>Број школских објеката повезаних на</w:t>
            </w:r>
            <w:r w:rsidR="006E4DE0" w:rsidRPr="00092ED7">
              <w:rPr>
                <w:rFonts w:cs="Times New Roman"/>
                <w:sz w:val="20"/>
                <w:lang w:val="sr-Cyrl-CS"/>
              </w:rPr>
              <w:t xml:space="preserve"> </w:t>
            </w:r>
            <w:r w:rsidRPr="00092ED7">
              <w:rPr>
                <w:rFonts w:cs="Times New Roman"/>
                <w:sz w:val="20"/>
                <w:lang w:val="sr-Cyrl-CS"/>
              </w:rPr>
              <w:t>АМРЕС</w:t>
            </w:r>
            <w:r w:rsidR="006E4DE0" w:rsidRPr="00092ED7">
              <w:rPr>
                <w:rFonts w:cs="Times New Roman"/>
                <w:sz w:val="20"/>
                <w:lang w:val="sr-Cyrl-CS"/>
              </w:rPr>
              <w:t xml:space="preserve"> мреж</w:t>
            </w:r>
            <w:r w:rsidR="00B92325" w:rsidRPr="00092ED7">
              <w:rPr>
                <w:rFonts w:cs="Times New Roman"/>
                <w:sz w:val="20"/>
                <w:lang w:val="sr-Cyrl-CS"/>
              </w:rPr>
              <w:t xml:space="preserve">у </w:t>
            </w:r>
            <w:r w:rsidR="00B92325" w:rsidRPr="00092ED7">
              <w:rPr>
                <w:rFonts w:eastAsia="Times New Roman" w:cs="Times New Roman"/>
                <w:color w:val="000000"/>
                <w:sz w:val="20"/>
                <w:lang w:val="sr-Cyrl-CS"/>
              </w:rPr>
              <w:t>(унапређење квалитета и брзине</w:t>
            </w:r>
            <w:r w:rsidR="006E4DE0" w:rsidRPr="00092ED7">
              <w:rPr>
                <w:rFonts w:cs="Times New Roman"/>
                <w:sz w:val="20"/>
                <w:lang w:val="sr-Cyrl-CS"/>
              </w:rPr>
              <w:t>)</w:t>
            </w:r>
          </w:p>
        </w:tc>
        <w:tc>
          <w:tcPr>
            <w:tcW w:w="1985" w:type="dxa"/>
          </w:tcPr>
          <w:p w14:paraId="36757C2E" w14:textId="77777777" w:rsidR="00275B59" w:rsidRPr="00092ED7" w:rsidDel="002F0F47" w:rsidRDefault="00275B59" w:rsidP="00251168">
            <w:pPr>
              <w:spacing w:before="0" w:after="0"/>
              <w:ind w:left="113" w:right="113"/>
              <w:jc w:val="center"/>
              <w:rPr>
                <w:rFonts w:cs="Times New Roman"/>
                <w:sz w:val="20"/>
                <w:lang w:val="sr-Cyrl-CS"/>
              </w:rPr>
            </w:pPr>
            <w:r w:rsidRPr="00092ED7">
              <w:rPr>
                <w:rFonts w:cs="Times New Roman"/>
                <w:sz w:val="20"/>
                <w:lang w:val="sr-Cyrl-CS"/>
              </w:rPr>
              <w:t>1700 (2021)</w:t>
            </w:r>
          </w:p>
        </w:tc>
        <w:tc>
          <w:tcPr>
            <w:tcW w:w="1511" w:type="dxa"/>
          </w:tcPr>
          <w:p w14:paraId="5429BDA9" w14:textId="77777777" w:rsidR="00275B59" w:rsidRPr="00092ED7" w:rsidDel="002F0F47" w:rsidRDefault="00275B59" w:rsidP="00251168">
            <w:pPr>
              <w:spacing w:before="0" w:after="0"/>
              <w:ind w:left="113" w:right="113"/>
              <w:jc w:val="center"/>
              <w:rPr>
                <w:rFonts w:cs="Times New Roman"/>
                <w:sz w:val="20"/>
                <w:lang w:val="sr-Cyrl-CS"/>
              </w:rPr>
            </w:pPr>
            <w:r w:rsidRPr="00092ED7">
              <w:rPr>
                <w:rFonts w:cs="Times New Roman"/>
                <w:sz w:val="20"/>
                <w:lang w:val="sr-Cyrl-CS"/>
              </w:rPr>
              <w:t>4000 (2023)</w:t>
            </w:r>
          </w:p>
        </w:tc>
        <w:tc>
          <w:tcPr>
            <w:tcW w:w="1749" w:type="dxa"/>
          </w:tcPr>
          <w:p w14:paraId="605DEB23" w14:textId="77777777" w:rsidR="00275B59" w:rsidRPr="00092ED7" w:rsidRDefault="00275B59" w:rsidP="00251168">
            <w:pPr>
              <w:spacing w:before="0" w:after="0"/>
              <w:ind w:left="113" w:right="113"/>
              <w:jc w:val="center"/>
              <w:rPr>
                <w:rFonts w:cs="Times New Roman"/>
                <w:sz w:val="20"/>
                <w:lang w:val="sr-Cyrl-CS"/>
              </w:rPr>
            </w:pPr>
            <w:r w:rsidRPr="00092ED7">
              <w:rPr>
                <w:rFonts w:cs="Times New Roman"/>
                <w:sz w:val="20"/>
                <w:lang w:val="sr-Cyrl-CS"/>
              </w:rPr>
              <w:t>4000 (2025)</w:t>
            </w:r>
          </w:p>
        </w:tc>
      </w:tr>
    </w:tbl>
    <w:p w14:paraId="782D757A" w14:textId="77777777" w:rsidR="00D210F0" w:rsidRPr="00092ED7" w:rsidRDefault="00D210F0" w:rsidP="00071952">
      <w:pPr>
        <w:widowControl w:val="0"/>
        <w:numPr>
          <w:ilvl w:val="0"/>
          <w:numId w:val="41"/>
        </w:numPr>
        <w:spacing w:before="120"/>
        <w:ind w:left="425" w:hanging="425"/>
        <w:rPr>
          <w:rFonts w:cs="Times New Roman"/>
          <w:b/>
          <w:bCs/>
          <w:szCs w:val="24"/>
          <w:lang w:val="sr-Cyrl-CS"/>
        </w:rPr>
      </w:pPr>
      <w:r w:rsidRPr="00092ED7">
        <w:rPr>
          <w:rFonts w:cs="Times New Roman"/>
          <w:b/>
          <w:szCs w:val="24"/>
          <w:lang w:val="sr-Cyrl-CS"/>
        </w:rPr>
        <w:t>Oчекивани утицај на конкурентност</w:t>
      </w:r>
    </w:p>
    <w:p w14:paraId="0300B359" w14:textId="77777777" w:rsidR="00813CC2" w:rsidRPr="00092ED7" w:rsidRDefault="00F14A72" w:rsidP="00191E06">
      <w:pPr>
        <w:widowControl w:val="0"/>
        <w:spacing w:after="60"/>
        <w:rPr>
          <w:rFonts w:cs="Times New Roman"/>
          <w:szCs w:val="24"/>
          <w:lang w:val="sr-Cyrl-CS"/>
        </w:rPr>
      </w:pPr>
      <w:r w:rsidRPr="00092ED7">
        <w:rPr>
          <w:rFonts w:cs="Times New Roman"/>
          <w:szCs w:val="24"/>
          <w:lang w:val="sr-Cyrl-CS"/>
        </w:rPr>
        <w:t>Позитиван ефекат реализације реформе огледа се кроз развој руралних области, повезивање привредних региона, развој индустријских зона, као и повећање употребе нових технологија и иновација у пословању и образовању. Развој информационе-комуникационе инфраструктуре је база развоја дигиталне економије чиме се стварају предуслови за брже, сигурније и ефикасније пословање привредних субјеката што доводи до повећања конкурентности свих учесника у сфери пословања.</w:t>
      </w:r>
    </w:p>
    <w:p w14:paraId="4CED11B5" w14:textId="77777777" w:rsidR="00D210F0" w:rsidRPr="00092ED7" w:rsidRDefault="00D210F0" w:rsidP="00813CC2">
      <w:pPr>
        <w:widowControl w:val="0"/>
        <w:numPr>
          <w:ilvl w:val="0"/>
          <w:numId w:val="41"/>
        </w:numPr>
        <w:spacing w:before="120"/>
        <w:ind w:left="425" w:hanging="425"/>
        <w:rPr>
          <w:rFonts w:cs="Times New Roman"/>
          <w:b/>
          <w:szCs w:val="24"/>
          <w:lang w:val="sr-Cyrl-CS"/>
        </w:rPr>
      </w:pPr>
      <w:r w:rsidRPr="00092ED7">
        <w:rPr>
          <w:rFonts w:cs="Times New Roman"/>
          <w:b/>
          <w:szCs w:val="24"/>
          <w:lang w:val="sr-Cyrl-CS"/>
        </w:rPr>
        <w:t>Процењени трошкови спровођења структурне реформе и предвиђени извори њиховог финансирања</w:t>
      </w:r>
    </w:p>
    <w:p w14:paraId="3DCD2552" w14:textId="5A9EA8AB" w:rsidR="007750E3" w:rsidRPr="00092ED7" w:rsidRDefault="007750E3" w:rsidP="00191E06">
      <w:pPr>
        <w:widowControl w:val="0"/>
        <w:spacing w:after="60"/>
        <w:rPr>
          <w:rFonts w:cs="Times New Roman"/>
          <w:iCs/>
          <w:szCs w:val="24"/>
          <w:lang w:val="sr-Cyrl-CS"/>
        </w:rPr>
      </w:pPr>
      <w:r w:rsidRPr="00092ED7">
        <w:rPr>
          <w:rFonts w:cs="Times New Roman"/>
          <w:iCs/>
          <w:szCs w:val="24"/>
          <w:lang w:val="sr-Cyrl-CS"/>
        </w:rPr>
        <w:t>У 2023. години за повезивање установа образовања и културе на АМРЕС</w:t>
      </w:r>
      <w:r w:rsidR="00B92325" w:rsidRPr="00092ED7">
        <w:rPr>
          <w:rFonts w:cs="Times New Roman"/>
          <w:iCs/>
          <w:szCs w:val="24"/>
          <w:lang w:val="sr-Cyrl-CS"/>
        </w:rPr>
        <w:t xml:space="preserve"> мрежу</w:t>
      </w:r>
      <w:r w:rsidRPr="00092ED7">
        <w:rPr>
          <w:rFonts w:cs="Times New Roman"/>
          <w:iCs/>
          <w:szCs w:val="24"/>
          <w:lang w:val="sr-Cyrl-CS"/>
        </w:rPr>
        <w:t xml:space="preserve"> </w:t>
      </w:r>
      <w:r w:rsidRPr="00092ED7">
        <w:rPr>
          <w:rFonts w:eastAsia="Times New Roman" w:cs="Times New Roman"/>
          <w:color w:val="000000"/>
          <w:szCs w:val="24"/>
          <w:lang w:val="sr-Cyrl-CS"/>
        </w:rPr>
        <w:lastRenderedPageBreak/>
        <w:t xml:space="preserve">(унапређење квалитета и брзине) </w:t>
      </w:r>
      <w:r w:rsidRPr="00092ED7">
        <w:rPr>
          <w:rFonts w:cs="Times New Roman"/>
          <w:iCs/>
          <w:szCs w:val="24"/>
          <w:lang w:val="sr-Cyrl-CS"/>
        </w:rPr>
        <w:t xml:space="preserve">биће обезбеђено 1.952.663 евра буџетских средстава, за реализацију пројекта „Повезане школе”- </w:t>
      </w:r>
      <w:r w:rsidR="00460F4E" w:rsidRPr="00092ED7">
        <w:rPr>
          <w:rFonts w:cs="Times New Roman"/>
          <w:iCs/>
          <w:szCs w:val="24"/>
          <w:lang w:val="sr-Cyrl-CS"/>
        </w:rPr>
        <w:t xml:space="preserve">фаза 3 биће издвојено </w:t>
      </w:r>
      <w:r w:rsidR="005701C0" w:rsidRPr="00092ED7">
        <w:rPr>
          <w:rFonts w:cs="Times New Roman"/>
          <w:iCs/>
          <w:szCs w:val="24"/>
          <w:lang w:val="sr-Cyrl-CS"/>
        </w:rPr>
        <w:t xml:space="preserve">пет </w:t>
      </w:r>
      <w:r w:rsidRPr="00092ED7">
        <w:rPr>
          <w:rFonts w:cs="Times New Roman"/>
          <w:iCs/>
          <w:szCs w:val="24"/>
          <w:lang w:val="sr-Cyrl-CS"/>
        </w:rPr>
        <w:t>милиона евра из пројектног зајма. Активности на припреми и изградњи оптичке широкопојасне мреже у руралним областима – фазе 1 и 2 финансираће се у износу од 84.800.000 евра из пројектног зајма и финансијске помоћи ЕУ (WBIF грант). Активности на припреми и изградњи оптичке широкопојасне мреже у руралним областима – фаза 3 финансираће се из пројектног зајма и финансијске помоћи ЕУ у износу од 15 милиона евра.</w:t>
      </w:r>
    </w:p>
    <w:p w14:paraId="021DA019" w14:textId="77777777" w:rsidR="007750E3" w:rsidRPr="00092ED7" w:rsidRDefault="007750E3" w:rsidP="00191E06">
      <w:pPr>
        <w:widowControl w:val="0"/>
        <w:spacing w:after="60"/>
        <w:rPr>
          <w:rFonts w:cs="Times New Roman"/>
          <w:iCs/>
          <w:szCs w:val="24"/>
          <w:lang w:val="sr-Cyrl-CS"/>
        </w:rPr>
      </w:pPr>
      <w:r w:rsidRPr="00092ED7">
        <w:rPr>
          <w:rFonts w:cs="Times New Roman"/>
          <w:iCs/>
          <w:szCs w:val="24"/>
          <w:lang w:val="sr-Cyrl-CS"/>
        </w:rPr>
        <w:t xml:space="preserve">У 2024. години планирана су буџетска средства у износу од 2.207.734 евра за повезивање установа образовања и културе на АМРЕС мрежу </w:t>
      </w:r>
      <w:r w:rsidRPr="00092ED7">
        <w:rPr>
          <w:rFonts w:eastAsia="Times New Roman" w:cs="Times New Roman"/>
          <w:color w:val="000000"/>
          <w:szCs w:val="24"/>
          <w:lang w:val="sr-Cyrl-CS"/>
        </w:rPr>
        <w:t>(унапређење квалитета и брзине)</w:t>
      </w:r>
      <w:r w:rsidRPr="00092ED7">
        <w:rPr>
          <w:rFonts w:cs="Times New Roman"/>
          <w:iCs/>
          <w:szCs w:val="24"/>
          <w:lang w:val="sr-Cyrl-CS"/>
        </w:rPr>
        <w:t>. Активности на припреми и изградњи оптичке широкопојасне мреже у руралним областима – фазе 1 и 2 финансираће се из пројектног зајма и финансијске помоћи ЕУ у износу од 49.000.000 евра. Активности на припреми и изградњи оптичке широкопојасне мреже у руралним областима – фаза 3 финансираће се из пројектног зајма и финансијске помоћи ЕУ у износу од 77.500.000 евра.</w:t>
      </w:r>
    </w:p>
    <w:p w14:paraId="45938260" w14:textId="77777777" w:rsidR="00FB05B7" w:rsidRPr="00092ED7" w:rsidRDefault="007750E3" w:rsidP="00191E06">
      <w:pPr>
        <w:widowControl w:val="0"/>
        <w:spacing w:after="60"/>
        <w:rPr>
          <w:rFonts w:cs="Times New Roman"/>
          <w:iCs/>
          <w:szCs w:val="24"/>
          <w:lang w:val="sr-Cyrl-CS"/>
        </w:rPr>
      </w:pPr>
      <w:r w:rsidRPr="00092ED7">
        <w:rPr>
          <w:rFonts w:cs="Times New Roman"/>
          <w:iCs/>
          <w:szCs w:val="24"/>
          <w:lang w:val="sr-Cyrl-CS"/>
        </w:rPr>
        <w:t xml:space="preserve">У 2025. години планирана су буџетска средства у износу од 2.207.734 евра за повезивање установа образовања и културе на АМРЕС мрежу </w:t>
      </w:r>
      <w:r w:rsidRPr="00092ED7">
        <w:rPr>
          <w:rFonts w:eastAsia="Times New Roman" w:cs="Times New Roman"/>
          <w:color w:val="000000"/>
          <w:szCs w:val="24"/>
          <w:lang w:val="sr-Cyrl-CS"/>
        </w:rPr>
        <w:t>(унапређење квалитета и брзине)</w:t>
      </w:r>
      <w:r w:rsidRPr="00092ED7">
        <w:rPr>
          <w:rFonts w:cs="Times New Roman"/>
          <w:iCs/>
          <w:szCs w:val="24"/>
          <w:lang w:val="sr-Cyrl-CS"/>
        </w:rPr>
        <w:t>. Активности на припреми и изградњи оптичке широкопојасне мреже у руралним областима – фаза 3 финансираће се из пројектног зајма и финансијске помоћи ЕУ у износу од 92.500.000 евра.</w:t>
      </w:r>
    </w:p>
    <w:p w14:paraId="46FD658F" w14:textId="77777777" w:rsidR="00D210F0" w:rsidRPr="00092ED7" w:rsidRDefault="00D210F0" w:rsidP="00071952">
      <w:pPr>
        <w:widowControl w:val="0"/>
        <w:numPr>
          <w:ilvl w:val="0"/>
          <w:numId w:val="41"/>
        </w:numPr>
        <w:spacing w:before="120"/>
        <w:ind w:left="425" w:hanging="425"/>
        <w:rPr>
          <w:rFonts w:cs="Times New Roman"/>
          <w:b/>
          <w:szCs w:val="24"/>
          <w:lang w:val="sr-Cyrl-CS"/>
        </w:rPr>
      </w:pPr>
      <w:r w:rsidRPr="00092ED7">
        <w:rPr>
          <w:rFonts w:cs="Times New Roman"/>
          <w:b/>
          <w:szCs w:val="24"/>
          <w:lang w:val="sr-Cyrl-CS"/>
        </w:rPr>
        <w:t>Очекивани утицај на социјалне циљеве, као што су запосленост, смањење сиромаштва, родна равноправност и приступ здравственој заштити</w:t>
      </w:r>
    </w:p>
    <w:p w14:paraId="022DF0C6" w14:textId="14352772" w:rsidR="00F14A72" w:rsidRPr="00092ED7" w:rsidRDefault="00D50025" w:rsidP="00191E06">
      <w:pPr>
        <w:widowControl w:val="0"/>
        <w:tabs>
          <w:tab w:val="left" w:pos="2550"/>
        </w:tabs>
        <w:spacing w:after="60"/>
        <w:rPr>
          <w:rFonts w:eastAsia="Times New Roman" w:cs="Times New Roman"/>
          <w:color w:val="000000"/>
          <w:szCs w:val="24"/>
          <w:lang w:val="sr-Cyrl-CS"/>
        </w:rPr>
      </w:pPr>
      <w:r w:rsidRPr="00092ED7">
        <w:rPr>
          <w:rFonts w:cs="Times New Roman"/>
          <w:szCs w:val="24"/>
          <w:lang w:val="sr-Cyrl-CS"/>
        </w:rPr>
        <w:t xml:space="preserve">Изградња широкопојасних комуникационих мрежа ствара услове за несметани рад преко интернета и пораст броја радних места у практично свим секторима, укључујући и сектор информационе˗комуникационе технологије. Подизање нивоа знања, компетенција и вештина у области информационо-комуникационих технологија доприноси могућностима запошљавања у ИТ области, али и другим областима у којима долази до увођења или повећања коришћења нових технологија у пословању, водећи рачуна о смањењу родног јаза у овим областима. Обезбеђењем широкопојасног приступа нове генерације смањиле би се регионалне разлике између руралних и градских и приградских насеља и омогућио би се уједначен развој свих региона Републике Србије што би дало подршку </w:t>
      </w:r>
      <w:r w:rsidR="006E44CA" w:rsidRPr="00092ED7">
        <w:rPr>
          <w:lang w:val="sr-Cyrl-CS"/>
        </w:rPr>
        <w:t>мерама за смањење депопулације</w:t>
      </w:r>
      <w:r w:rsidR="00A53F13" w:rsidRPr="00092ED7">
        <w:rPr>
          <w:lang w:val="sr-Cyrl-CS"/>
        </w:rPr>
        <w:t xml:space="preserve"> </w:t>
      </w:r>
      <w:r w:rsidRPr="00092ED7">
        <w:rPr>
          <w:rFonts w:cs="Times New Roman"/>
          <w:szCs w:val="24"/>
          <w:lang w:val="sr-Cyrl-CS"/>
        </w:rPr>
        <w:t>руралних средина и утицало би на смањење сиромаштва.</w:t>
      </w:r>
    </w:p>
    <w:p w14:paraId="377A9CE5" w14:textId="77777777" w:rsidR="00D210F0" w:rsidRPr="00092ED7" w:rsidRDefault="00D210F0" w:rsidP="00071952">
      <w:pPr>
        <w:widowControl w:val="0"/>
        <w:numPr>
          <w:ilvl w:val="0"/>
          <w:numId w:val="41"/>
        </w:numPr>
        <w:spacing w:before="120"/>
        <w:ind w:left="425" w:hanging="425"/>
        <w:rPr>
          <w:rFonts w:cs="Times New Roman"/>
          <w:b/>
          <w:szCs w:val="24"/>
          <w:lang w:val="sr-Cyrl-CS"/>
        </w:rPr>
      </w:pPr>
      <w:r w:rsidRPr="00092ED7">
        <w:rPr>
          <w:rFonts w:cs="Times New Roman"/>
          <w:b/>
          <w:szCs w:val="24"/>
          <w:lang w:val="sr-Cyrl-CS"/>
        </w:rPr>
        <w:t>Очекивани утицај на животну средину и климатске промене</w:t>
      </w:r>
    </w:p>
    <w:p w14:paraId="75E1C32C" w14:textId="436FE2B7" w:rsidR="00D210F0" w:rsidRPr="00092ED7" w:rsidRDefault="0092730B" w:rsidP="0092730B">
      <w:pPr>
        <w:widowControl w:val="0"/>
        <w:tabs>
          <w:tab w:val="left" w:pos="360"/>
        </w:tabs>
        <w:spacing w:after="60"/>
        <w:rPr>
          <w:rFonts w:eastAsia="Times New Roman" w:cs="Times New Roman"/>
          <w:color w:val="000000"/>
          <w:szCs w:val="24"/>
          <w:lang w:val="sr-Cyrl-CS"/>
        </w:rPr>
      </w:pPr>
      <w:r w:rsidRPr="00092ED7">
        <w:rPr>
          <w:rFonts w:eastAsia="Times New Roman" w:cs="Times New Roman"/>
          <w:color w:val="000000"/>
          <w:szCs w:val="24"/>
          <w:lang w:val="sr-Cyrl-CS"/>
        </w:rPr>
        <w:t xml:space="preserve">Спровођење пројектних активности омогућиће повезивање објеката јавне намене, а нарочито установа образовања, и унапређење сервиса електронске управе. Дигитализацијом </w:t>
      </w:r>
      <w:r w:rsidR="009E45BB" w:rsidRPr="00092ED7">
        <w:rPr>
          <w:rFonts w:eastAsia="Times New Roman" w:cs="Times New Roman"/>
          <w:color w:val="000000"/>
          <w:szCs w:val="24"/>
          <w:lang w:val="sr-Cyrl-CS"/>
        </w:rPr>
        <w:t xml:space="preserve">се </w:t>
      </w:r>
      <w:r w:rsidRPr="00092ED7">
        <w:rPr>
          <w:rFonts w:eastAsia="Times New Roman" w:cs="Times New Roman"/>
          <w:color w:val="000000"/>
          <w:szCs w:val="24"/>
          <w:lang w:val="sr-Cyrl-CS"/>
        </w:rPr>
        <w:t>чува</w:t>
      </w:r>
      <w:r w:rsidR="009E45BB" w:rsidRPr="00092ED7">
        <w:rPr>
          <w:rFonts w:eastAsia="Times New Roman" w:cs="Times New Roman"/>
          <w:color w:val="000000"/>
          <w:szCs w:val="24"/>
          <w:lang w:val="sr-Cyrl-CS"/>
        </w:rPr>
        <w:t xml:space="preserve"> </w:t>
      </w:r>
      <w:r w:rsidRPr="00092ED7">
        <w:rPr>
          <w:rFonts w:eastAsia="Times New Roman" w:cs="Times New Roman"/>
          <w:color w:val="000000"/>
          <w:szCs w:val="24"/>
          <w:lang w:val="sr-Cyrl-CS"/>
        </w:rPr>
        <w:t>животни простор и животн</w:t>
      </w:r>
      <w:r w:rsidR="009E45BB" w:rsidRPr="00092ED7">
        <w:rPr>
          <w:rFonts w:eastAsia="Times New Roman" w:cs="Times New Roman"/>
          <w:color w:val="000000"/>
          <w:szCs w:val="24"/>
          <w:lang w:val="sr-Cyrl-CS"/>
        </w:rPr>
        <w:t>а</w:t>
      </w:r>
      <w:r w:rsidRPr="00092ED7">
        <w:rPr>
          <w:rFonts w:eastAsia="Times New Roman" w:cs="Times New Roman"/>
          <w:color w:val="000000"/>
          <w:szCs w:val="24"/>
          <w:lang w:val="sr-Cyrl-CS"/>
        </w:rPr>
        <w:t xml:space="preserve"> средин</w:t>
      </w:r>
      <w:r w:rsidR="009E45BB" w:rsidRPr="00092ED7">
        <w:rPr>
          <w:rFonts w:eastAsia="Times New Roman" w:cs="Times New Roman"/>
          <w:color w:val="000000"/>
          <w:szCs w:val="24"/>
          <w:lang w:val="sr-Cyrl-CS"/>
        </w:rPr>
        <w:t>а</w:t>
      </w:r>
      <w:r w:rsidRPr="00092ED7">
        <w:rPr>
          <w:rFonts w:eastAsia="Times New Roman" w:cs="Times New Roman"/>
          <w:color w:val="000000"/>
          <w:szCs w:val="24"/>
          <w:lang w:val="sr-Cyrl-CS"/>
        </w:rPr>
        <w:t xml:space="preserve">. </w:t>
      </w:r>
      <w:r w:rsidR="00D210F0" w:rsidRPr="00092ED7">
        <w:rPr>
          <w:rFonts w:eastAsia="Times New Roman" w:cs="Times New Roman"/>
          <w:color w:val="000000"/>
          <w:szCs w:val="24"/>
          <w:lang w:val="sr-Cyrl-CS"/>
        </w:rPr>
        <w:t>Изградња планиране комуникационе инфраструктуре не представља опасност по здравље људи и нема</w:t>
      </w:r>
      <w:r w:rsidRPr="00092ED7">
        <w:rPr>
          <w:rFonts w:eastAsia="Times New Roman" w:cs="Times New Roman"/>
          <w:color w:val="000000"/>
          <w:szCs w:val="24"/>
          <w:lang w:val="sr-Cyrl-CS"/>
        </w:rPr>
        <w:t xml:space="preserve"> негативан</w:t>
      </w:r>
      <w:r w:rsidR="00D210F0" w:rsidRPr="00092ED7">
        <w:rPr>
          <w:rFonts w:eastAsia="Times New Roman" w:cs="Times New Roman"/>
          <w:color w:val="000000"/>
          <w:szCs w:val="24"/>
          <w:lang w:val="sr-Cyrl-CS"/>
        </w:rPr>
        <w:t xml:space="preserve"> утицај на животн</w:t>
      </w:r>
      <w:r w:rsidR="00E63AE6" w:rsidRPr="00092ED7">
        <w:rPr>
          <w:rFonts w:eastAsia="Times New Roman" w:cs="Times New Roman"/>
          <w:color w:val="000000"/>
          <w:szCs w:val="24"/>
          <w:lang w:val="sr-Cyrl-CS"/>
        </w:rPr>
        <w:t>у</w:t>
      </w:r>
      <w:r w:rsidR="00D210F0" w:rsidRPr="00092ED7">
        <w:rPr>
          <w:rFonts w:eastAsia="Times New Roman" w:cs="Times New Roman"/>
          <w:color w:val="000000"/>
          <w:szCs w:val="24"/>
          <w:lang w:val="sr-Cyrl-CS"/>
        </w:rPr>
        <w:t xml:space="preserve"> средин</w:t>
      </w:r>
      <w:r w:rsidR="00E63AE6" w:rsidRPr="00092ED7">
        <w:rPr>
          <w:rFonts w:eastAsia="Times New Roman" w:cs="Times New Roman"/>
          <w:color w:val="000000"/>
          <w:szCs w:val="24"/>
          <w:lang w:val="sr-Cyrl-CS"/>
        </w:rPr>
        <w:t>у</w:t>
      </w:r>
      <w:r w:rsidRPr="00092ED7">
        <w:rPr>
          <w:rFonts w:eastAsia="Times New Roman" w:cs="Times New Roman"/>
          <w:color w:val="000000"/>
          <w:szCs w:val="24"/>
          <w:lang w:val="sr-Cyrl-CS"/>
        </w:rPr>
        <w:t>, као</w:t>
      </w:r>
      <w:r w:rsidR="00E63AE6" w:rsidRPr="00092ED7">
        <w:rPr>
          <w:rFonts w:eastAsia="Times New Roman" w:cs="Times New Roman"/>
          <w:color w:val="000000"/>
          <w:szCs w:val="24"/>
          <w:lang w:val="sr-Cyrl-CS"/>
        </w:rPr>
        <w:t xml:space="preserve"> </w:t>
      </w:r>
      <w:r w:rsidR="00814682" w:rsidRPr="00092ED7">
        <w:rPr>
          <w:rFonts w:eastAsia="Times New Roman" w:cs="Times New Roman"/>
          <w:color w:val="000000"/>
          <w:szCs w:val="24"/>
          <w:lang w:val="sr-Cyrl-CS"/>
        </w:rPr>
        <w:t>н</w:t>
      </w:r>
      <w:r w:rsidR="00E63AE6" w:rsidRPr="00092ED7">
        <w:rPr>
          <w:rFonts w:eastAsia="Times New Roman" w:cs="Times New Roman"/>
          <w:color w:val="000000"/>
          <w:szCs w:val="24"/>
          <w:lang w:val="sr-Cyrl-CS"/>
        </w:rPr>
        <w:t>и</w:t>
      </w:r>
      <w:r w:rsidRPr="00092ED7">
        <w:rPr>
          <w:rFonts w:eastAsia="Times New Roman" w:cs="Times New Roman"/>
          <w:color w:val="000000"/>
          <w:szCs w:val="24"/>
          <w:lang w:val="sr-Cyrl-CS"/>
        </w:rPr>
        <w:t xml:space="preserve"> на</w:t>
      </w:r>
      <w:r w:rsidR="00E63AE6" w:rsidRPr="00092ED7">
        <w:rPr>
          <w:rFonts w:eastAsia="Times New Roman" w:cs="Times New Roman"/>
          <w:color w:val="000000"/>
          <w:szCs w:val="24"/>
          <w:lang w:val="sr-Cyrl-CS"/>
        </w:rPr>
        <w:t xml:space="preserve"> климатске промене</w:t>
      </w:r>
      <w:r w:rsidR="00D210F0" w:rsidRPr="00092ED7">
        <w:rPr>
          <w:rFonts w:eastAsia="Times New Roman" w:cs="Times New Roman"/>
          <w:color w:val="000000"/>
          <w:szCs w:val="24"/>
          <w:lang w:val="sr-Cyrl-CS"/>
        </w:rPr>
        <w:t>.</w:t>
      </w:r>
      <w:r w:rsidR="00F1218E" w:rsidRPr="00092ED7">
        <w:rPr>
          <w:rFonts w:eastAsia="Times New Roman" w:cs="Times New Roman"/>
          <w:color w:val="000000"/>
          <w:szCs w:val="24"/>
          <w:lang w:val="sr-Cyrl-CS"/>
        </w:rPr>
        <w:t xml:space="preserve"> </w:t>
      </w:r>
    </w:p>
    <w:p w14:paraId="710978DA" w14:textId="77777777" w:rsidR="00D210F0" w:rsidRPr="00092ED7" w:rsidRDefault="00D210F0" w:rsidP="00071952">
      <w:pPr>
        <w:widowControl w:val="0"/>
        <w:numPr>
          <w:ilvl w:val="0"/>
          <w:numId w:val="41"/>
        </w:numPr>
        <w:spacing w:before="120"/>
        <w:rPr>
          <w:rFonts w:cs="Times New Roman"/>
          <w:b/>
          <w:szCs w:val="24"/>
          <w:lang w:val="sr-Cyrl-CS"/>
        </w:rPr>
      </w:pPr>
      <w:r w:rsidRPr="00092ED7">
        <w:rPr>
          <w:rFonts w:cs="Times New Roman"/>
          <w:b/>
          <w:szCs w:val="24"/>
          <w:lang w:val="sr-Cyrl-CS"/>
        </w:rPr>
        <w:t>Потенцијални ризици</w:t>
      </w:r>
    </w:p>
    <w:tbl>
      <w:tblPr>
        <w:tblStyle w:val="TableGrid"/>
        <w:tblW w:w="9209" w:type="dxa"/>
        <w:jc w:val="center"/>
        <w:tblLayout w:type="fixed"/>
        <w:tblLook w:val="04A0" w:firstRow="1" w:lastRow="0" w:firstColumn="1" w:lastColumn="0" w:noHBand="0" w:noVBand="1"/>
      </w:tblPr>
      <w:tblGrid>
        <w:gridCol w:w="3515"/>
        <w:gridCol w:w="2098"/>
        <w:gridCol w:w="3596"/>
      </w:tblGrid>
      <w:tr w:rsidR="00D210F0" w:rsidRPr="00092ED7" w14:paraId="78175560" w14:textId="77777777" w:rsidTr="00E44EF2">
        <w:trPr>
          <w:cnfStyle w:val="100000000000" w:firstRow="1" w:lastRow="0" w:firstColumn="0" w:lastColumn="0" w:oddVBand="0" w:evenVBand="0" w:oddHBand="0" w:evenHBand="0" w:firstRowFirstColumn="0" w:firstRowLastColumn="0" w:lastRowFirstColumn="0" w:lastRowLastColumn="0"/>
          <w:jc w:val="center"/>
        </w:trPr>
        <w:tc>
          <w:tcPr>
            <w:tcW w:w="3515" w:type="dxa"/>
          </w:tcPr>
          <w:p w14:paraId="136E256E" w14:textId="77777777" w:rsidR="00D210F0" w:rsidRPr="00092ED7" w:rsidRDefault="00D210F0" w:rsidP="00C429AB">
            <w:pPr>
              <w:spacing w:before="0" w:after="0"/>
              <w:ind w:left="113" w:right="113"/>
              <w:jc w:val="center"/>
              <w:rPr>
                <w:sz w:val="20"/>
                <w:lang w:val="sr-Cyrl-CS"/>
              </w:rPr>
            </w:pPr>
            <w:r w:rsidRPr="00092ED7">
              <w:rPr>
                <w:rFonts w:cs="Times New Roman"/>
                <w:sz w:val="20"/>
                <w:lang w:val="sr-Cyrl-CS"/>
              </w:rPr>
              <w:t>Ризик</w:t>
            </w:r>
          </w:p>
        </w:tc>
        <w:tc>
          <w:tcPr>
            <w:tcW w:w="2098" w:type="dxa"/>
          </w:tcPr>
          <w:p w14:paraId="039EA589" w14:textId="77777777" w:rsidR="00D210F0" w:rsidRPr="00092ED7" w:rsidRDefault="00D210F0" w:rsidP="00C429AB">
            <w:pPr>
              <w:spacing w:before="0" w:after="0"/>
              <w:ind w:left="113" w:right="113"/>
              <w:jc w:val="center"/>
              <w:rPr>
                <w:sz w:val="20"/>
                <w:lang w:val="sr-Cyrl-CS"/>
              </w:rPr>
            </w:pPr>
            <w:r w:rsidRPr="00092ED7">
              <w:rPr>
                <w:rFonts w:cs="Times New Roman"/>
                <w:sz w:val="20"/>
                <w:lang w:val="sr-Cyrl-CS"/>
              </w:rPr>
              <w:t>Вероватноћа за остваривање ризика</w:t>
            </w:r>
          </w:p>
        </w:tc>
        <w:tc>
          <w:tcPr>
            <w:tcW w:w="3596" w:type="dxa"/>
          </w:tcPr>
          <w:p w14:paraId="78413190" w14:textId="77777777" w:rsidR="00D210F0" w:rsidRPr="00092ED7" w:rsidRDefault="00D210F0" w:rsidP="00C429AB">
            <w:pPr>
              <w:spacing w:before="0" w:after="0"/>
              <w:ind w:left="113" w:right="113"/>
              <w:jc w:val="center"/>
              <w:rPr>
                <w:sz w:val="20"/>
                <w:lang w:val="sr-Cyrl-CS"/>
              </w:rPr>
            </w:pPr>
            <w:r w:rsidRPr="00092ED7">
              <w:rPr>
                <w:rFonts w:cs="Times New Roman"/>
                <w:sz w:val="20"/>
                <w:lang w:val="sr-Cyrl-CS"/>
              </w:rPr>
              <w:t>Планиране активност за ублажавање негативних ефеката ризика</w:t>
            </w:r>
          </w:p>
        </w:tc>
      </w:tr>
      <w:tr w:rsidR="00D210F0" w:rsidRPr="00092ED7" w14:paraId="25F177C8" w14:textId="77777777" w:rsidTr="00757D8D">
        <w:trPr>
          <w:jc w:val="center"/>
        </w:trPr>
        <w:tc>
          <w:tcPr>
            <w:tcW w:w="3515" w:type="dxa"/>
            <w:vAlign w:val="top"/>
          </w:tcPr>
          <w:p w14:paraId="32332BA7" w14:textId="77777777" w:rsidR="00D210F0" w:rsidRPr="00092ED7" w:rsidRDefault="00D210F0" w:rsidP="00757D8D">
            <w:pPr>
              <w:spacing w:before="0" w:after="0"/>
              <w:ind w:left="113" w:right="113"/>
              <w:rPr>
                <w:sz w:val="20"/>
                <w:lang w:val="sr-Cyrl-CS"/>
              </w:rPr>
            </w:pPr>
            <w:r w:rsidRPr="00092ED7">
              <w:rPr>
                <w:rFonts w:eastAsia="Times New Roman" w:cs="Times New Roman"/>
                <w:sz w:val="20"/>
                <w:lang w:val="sr-Cyrl-CS"/>
              </w:rPr>
              <w:t>Неправовремено проналажење стабилних извора финансирања</w:t>
            </w:r>
          </w:p>
        </w:tc>
        <w:tc>
          <w:tcPr>
            <w:tcW w:w="2098" w:type="dxa"/>
            <w:vAlign w:val="top"/>
          </w:tcPr>
          <w:p w14:paraId="701E6F2C" w14:textId="77777777" w:rsidR="00D210F0" w:rsidRPr="00092ED7" w:rsidRDefault="00D210F0" w:rsidP="00757D8D">
            <w:pPr>
              <w:spacing w:before="0" w:after="0"/>
              <w:ind w:left="113" w:right="113"/>
              <w:jc w:val="center"/>
              <w:rPr>
                <w:sz w:val="20"/>
                <w:lang w:val="sr-Cyrl-CS"/>
              </w:rPr>
            </w:pPr>
            <w:r w:rsidRPr="00092ED7">
              <w:rPr>
                <w:rFonts w:cs="Times New Roman"/>
                <w:sz w:val="20"/>
                <w:lang w:val="sr-Cyrl-CS"/>
              </w:rPr>
              <w:t>Висока</w:t>
            </w:r>
          </w:p>
        </w:tc>
        <w:tc>
          <w:tcPr>
            <w:tcW w:w="3596" w:type="dxa"/>
          </w:tcPr>
          <w:p w14:paraId="5A9BCC17" w14:textId="77777777" w:rsidR="00D210F0" w:rsidRPr="00092ED7" w:rsidRDefault="00D210F0" w:rsidP="00C429AB">
            <w:pPr>
              <w:spacing w:before="0" w:after="0"/>
              <w:ind w:left="113" w:right="113"/>
              <w:rPr>
                <w:sz w:val="20"/>
                <w:lang w:val="sr-Cyrl-CS"/>
              </w:rPr>
            </w:pPr>
            <w:r w:rsidRPr="00092ED7">
              <w:rPr>
                <w:rFonts w:cs="Times New Roman"/>
                <w:sz w:val="20"/>
                <w:lang w:val="sr-Cyrl-CS"/>
              </w:rPr>
              <w:t>Благовремено планирање и аплицирање код међународних финансијских институција</w:t>
            </w:r>
            <w:r w:rsidR="00D47BD8" w:rsidRPr="00092ED7">
              <w:rPr>
                <w:rFonts w:cs="Times New Roman"/>
                <w:sz w:val="20"/>
                <w:lang w:val="sr-Cyrl-CS"/>
              </w:rPr>
              <w:t>.</w:t>
            </w:r>
          </w:p>
        </w:tc>
      </w:tr>
      <w:tr w:rsidR="00D210F0" w:rsidRPr="00092ED7" w14:paraId="6D457A44" w14:textId="77777777" w:rsidTr="00757D8D">
        <w:trPr>
          <w:jc w:val="center"/>
        </w:trPr>
        <w:tc>
          <w:tcPr>
            <w:tcW w:w="3515" w:type="dxa"/>
            <w:vAlign w:val="top"/>
          </w:tcPr>
          <w:p w14:paraId="3B8CFCF0" w14:textId="77777777" w:rsidR="00D210F0" w:rsidRPr="00092ED7" w:rsidRDefault="00D210F0" w:rsidP="00757D8D">
            <w:pPr>
              <w:spacing w:before="0" w:after="0"/>
              <w:ind w:left="113" w:right="113"/>
              <w:rPr>
                <w:sz w:val="20"/>
                <w:lang w:val="sr-Cyrl-CS"/>
              </w:rPr>
            </w:pPr>
            <w:r w:rsidRPr="00092ED7">
              <w:rPr>
                <w:rFonts w:eastAsia="Times New Roman" w:cs="Times New Roman"/>
                <w:sz w:val="20"/>
                <w:lang w:val="sr-Cyrl-CS"/>
              </w:rPr>
              <w:t>Низак ниво сарадње оператора у погледу достављања података о доступности широкопојасних сервиса</w:t>
            </w:r>
          </w:p>
        </w:tc>
        <w:tc>
          <w:tcPr>
            <w:tcW w:w="2098" w:type="dxa"/>
            <w:vAlign w:val="top"/>
          </w:tcPr>
          <w:p w14:paraId="2AD04F64" w14:textId="77777777" w:rsidR="00D210F0" w:rsidRPr="00092ED7" w:rsidRDefault="00D210F0" w:rsidP="00757D8D">
            <w:pPr>
              <w:spacing w:before="0" w:after="0"/>
              <w:ind w:left="113" w:right="113"/>
              <w:jc w:val="center"/>
              <w:rPr>
                <w:sz w:val="20"/>
                <w:lang w:val="sr-Cyrl-CS"/>
              </w:rPr>
            </w:pPr>
            <w:r w:rsidRPr="00092ED7">
              <w:rPr>
                <w:rFonts w:cs="Times New Roman"/>
                <w:sz w:val="20"/>
                <w:lang w:val="sr-Cyrl-CS"/>
              </w:rPr>
              <w:t>Ниска</w:t>
            </w:r>
          </w:p>
        </w:tc>
        <w:tc>
          <w:tcPr>
            <w:tcW w:w="3596" w:type="dxa"/>
          </w:tcPr>
          <w:p w14:paraId="14827EC1" w14:textId="77777777" w:rsidR="00D210F0" w:rsidRPr="00092ED7" w:rsidRDefault="00D210F0" w:rsidP="00C429AB">
            <w:pPr>
              <w:spacing w:before="0" w:after="0"/>
              <w:ind w:left="113" w:right="113"/>
              <w:rPr>
                <w:sz w:val="20"/>
                <w:lang w:val="sr-Cyrl-CS"/>
              </w:rPr>
            </w:pPr>
            <w:r w:rsidRPr="00092ED7">
              <w:rPr>
                <w:rFonts w:cs="Times New Roman"/>
                <w:sz w:val="20"/>
                <w:lang w:val="sr-Cyrl-CS"/>
              </w:rPr>
              <w:t xml:space="preserve">Ангажовање добављача ради онлајн и теренског прикупљања података у руралним областима / доношење регулативе која утврђује обавезу </w:t>
            </w:r>
            <w:r w:rsidRPr="00092ED7">
              <w:rPr>
                <w:rFonts w:cs="Times New Roman"/>
                <w:sz w:val="20"/>
                <w:lang w:val="sr-Cyrl-CS"/>
              </w:rPr>
              <w:lastRenderedPageBreak/>
              <w:t xml:space="preserve">оператора да достављају податке </w:t>
            </w:r>
            <w:r w:rsidR="00BE7331" w:rsidRPr="00092ED7">
              <w:rPr>
                <w:rFonts w:cs="Times New Roman"/>
                <w:sz w:val="20"/>
                <w:lang w:val="sr-Cyrl-CS"/>
              </w:rPr>
              <w:t>м</w:t>
            </w:r>
            <w:r w:rsidRPr="00092ED7">
              <w:rPr>
                <w:rFonts w:cs="Times New Roman"/>
                <w:sz w:val="20"/>
                <w:lang w:val="sr-Cyrl-CS"/>
              </w:rPr>
              <w:t>инистарству</w:t>
            </w:r>
            <w:r w:rsidR="00D47BD8" w:rsidRPr="00092ED7">
              <w:rPr>
                <w:rFonts w:cs="Times New Roman"/>
                <w:sz w:val="20"/>
                <w:lang w:val="sr-Cyrl-CS"/>
              </w:rPr>
              <w:t>.</w:t>
            </w:r>
          </w:p>
        </w:tc>
      </w:tr>
      <w:tr w:rsidR="00D210F0" w:rsidRPr="00092ED7" w14:paraId="6A3105BF" w14:textId="77777777" w:rsidTr="00757D8D">
        <w:trPr>
          <w:jc w:val="center"/>
        </w:trPr>
        <w:tc>
          <w:tcPr>
            <w:tcW w:w="3515" w:type="dxa"/>
            <w:vAlign w:val="top"/>
          </w:tcPr>
          <w:p w14:paraId="1D707FD6" w14:textId="77777777" w:rsidR="00D210F0" w:rsidRPr="00092ED7" w:rsidRDefault="00D210F0" w:rsidP="00757D8D">
            <w:pPr>
              <w:spacing w:before="0" w:after="0"/>
              <w:ind w:left="113" w:right="113"/>
              <w:rPr>
                <w:sz w:val="20"/>
                <w:lang w:val="sr-Cyrl-CS"/>
              </w:rPr>
            </w:pPr>
            <w:r w:rsidRPr="00092ED7">
              <w:rPr>
                <w:rFonts w:eastAsia="Times New Roman" w:cs="Times New Roman"/>
                <w:sz w:val="20"/>
                <w:lang w:val="sr-Cyrl-CS"/>
              </w:rPr>
              <w:lastRenderedPageBreak/>
              <w:t>Недовољна заинтересованост оператора за заједничку изградњу инфраструктуре</w:t>
            </w:r>
          </w:p>
        </w:tc>
        <w:tc>
          <w:tcPr>
            <w:tcW w:w="2098" w:type="dxa"/>
            <w:vAlign w:val="top"/>
          </w:tcPr>
          <w:p w14:paraId="7FE4F567" w14:textId="77777777" w:rsidR="00D210F0" w:rsidRPr="00092ED7" w:rsidRDefault="00D210F0" w:rsidP="00757D8D">
            <w:pPr>
              <w:spacing w:before="0" w:after="0"/>
              <w:ind w:left="113" w:right="113"/>
              <w:jc w:val="center"/>
              <w:rPr>
                <w:sz w:val="20"/>
                <w:lang w:val="sr-Cyrl-CS"/>
              </w:rPr>
            </w:pPr>
            <w:r w:rsidRPr="00092ED7">
              <w:rPr>
                <w:rFonts w:cs="Times New Roman"/>
                <w:sz w:val="20"/>
                <w:lang w:val="sr-Cyrl-CS"/>
              </w:rPr>
              <w:t>Висока</w:t>
            </w:r>
          </w:p>
        </w:tc>
        <w:tc>
          <w:tcPr>
            <w:tcW w:w="3596" w:type="dxa"/>
          </w:tcPr>
          <w:p w14:paraId="0DA76742" w14:textId="77777777" w:rsidR="00D210F0" w:rsidRPr="00092ED7" w:rsidRDefault="00D210F0" w:rsidP="00C429AB">
            <w:pPr>
              <w:spacing w:before="0" w:after="0"/>
              <w:ind w:left="113" w:right="113"/>
              <w:rPr>
                <w:sz w:val="20"/>
                <w:lang w:val="sr-Cyrl-CS"/>
              </w:rPr>
            </w:pPr>
            <w:r w:rsidRPr="00092ED7">
              <w:rPr>
                <w:rFonts w:cs="Times New Roman"/>
                <w:sz w:val="20"/>
                <w:lang w:val="sr-Cyrl-CS"/>
              </w:rPr>
              <w:t>Повећање удела министарства у финансирању заједничке изградње инфраструктуре</w:t>
            </w:r>
            <w:r w:rsidR="00D47BD8" w:rsidRPr="00092ED7">
              <w:rPr>
                <w:rFonts w:cs="Times New Roman"/>
                <w:sz w:val="20"/>
                <w:lang w:val="sr-Cyrl-CS"/>
              </w:rPr>
              <w:t>.</w:t>
            </w:r>
          </w:p>
        </w:tc>
      </w:tr>
      <w:tr w:rsidR="00D210F0" w:rsidRPr="00092ED7" w14:paraId="167BDF96" w14:textId="77777777" w:rsidTr="00757D8D">
        <w:trPr>
          <w:jc w:val="center"/>
        </w:trPr>
        <w:tc>
          <w:tcPr>
            <w:tcW w:w="3515" w:type="dxa"/>
            <w:vAlign w:val="top"/>
          </w:tcPr>
          <w:p w14:paraId="75B6681F" w14:textId="77777777" w:rsidR="00D210F0" w:rsidRPr="00092ED7" w:rsidRDefault="00D210F0" w:rsidP="00757D8D">
            <w:pPr>
              <w:spacing w:before="0" w:after="0"/>
              <w:ind w:left="113" w:right="113"/>
              <w:rPr>
                <w:sz w:val="20"/>
                <w:lang w:val="sr-Cyrl-CS"/>
              </w:rPr>
            </w:pPr>
            <w:r w:rsidRPr="00092ED7">
              <w:rPr>
                <w:rFonts w:eastAsia="Times New Roman" w:cs="Times New Roman"/>
                <w:sz w:val="20"/>
                <w:lang w:val="sr-Cyrl-CS"/>
              </w:rPr>
              <w:t>Благовремено исходовање потребних грађевинских дозвола</w:t>
            </w:r>
          </w:p>
        </w:tc>
        <w:tc>
          <w:tcPr>
            <w:tcW w:w="2098" w:type="dxa"/>
            <w:vAlign w:val="top"/>
          </w:tcPr>
          <w:p w14:paraId="71C55123" w14:textId="77777777" w:rsidR="00D210F0" w:rsidRPr="00092ED7" w:rsidRDefault="00D210F0" w:rsidP="00757D8D">
            <w:pPr>
              <w:spacing w:before="0" w:after="0"/>
              <w:ind w:left="113" w:right="113"/>
              <w:jc w:val="center"/>
              <w:rPr>
                <w:sz w:val="20"/>
                <w:lang w:val="sr-Cyrl-CS"/>
              </w:rPr>
            </w:pPr>
            <w:r w:rsidRPr="00092ED7">
              <w:rPr>
                <w:rFonts w:cs="Times New Roman"/>
                <w:sz w:val="20"/>
                <w:lang w:val="sr-Cyrl-CS"/>
              </w:rPr>
              <w:t>Висока</w:t>
            </w:r>
          </w:p>
        </w:tc>
        <w:tc>
          <w:tcPr>
            <w:tcW w:w="3596" w:type="dxa"/>
          </w:tcPr>
          <w:p w14:paraId="39C6B0DD" w14:textId="35FB887B" w:rsidR="00D210F0" w:rsidRPr="00092ED7" w:rsidRDefault="00D210F0" w:rsidP="00833B80">
            <w:pPr>
              <w:spacing w:before="0" w:after="0"/>
              <w:ind w:left="113" w:right="113"/>
              <w:rPr>
                <w:sz w:val="20"/>
                <w:lang w:val="sr-Cyrl-CS"/>
              </w:rPr>
            </w:pPr>
            <w:r w:rsidRPr="00092ED7">
              <w:rPr>
                <w:rFonts w:cs="Times New Roman"/>
                <w:sz w:val="20"/>
                <w:lang w:val="sr-Cyrl-CS"/>
              </w:rPr>
              <w:t xml:space="preserve">Ангажовање консултанта за координацију са другим државним органима и </w:t>
            </w:r>
            <w:r w:rsidR="00A03723" w:rsidRPr="00092ED7">
              <w:rPr>
                <w:rFonts w:cs="Times New Roman"/>
                <w:sz w:val="20"/>
                <w:lang w:val="sr-Cyrl-CS"/>
              </w:rPr>
              <w:t>ЈЛС</w:t>
            </w:r>
            <w:r w:rsidR="00D47BD8" w:rsidRPr="00092ED7">
              <w:rPr>
                <w:rFonts w:cs="Times New Roman"/>
                <w:sz w:val="20"/>
                <w:lang w:val="sr-Cyrl-CS"/>
              </w:rPr>
              <w:t>.</w:t>
            </w:r>
          </w:p>
        </w:tc>
      </w:tr>
    </w:tbl>
    <w:p w14:paraId="293D340B" w14:textId="77777777" w:rsidR="00D210F0" w:rsidRPr="00092ED7" w:rsidRDefault="00D210F0" w:rsidP="00D210F0">
      <w:pPr>
        <w:spacing w:before="360"/>
        <w:rPr>
          <w:rFonts w:cs="Times New Roman"/>
          <w:bCs/>
          <w:szCs w:val="24"/>
          <w:lang w:val="sr-Cyrl-CS"/>
        </w:rPr>
      </w:pPr>
      <w:r w:rsidRPr="00092ED7">
        <w:rPr>
          <w:rFonts w:cs="Times New Roman"/>
          <w:b/>
          <w:bCs/>
          <w:szCs w:val="24"/>
          <w:u w:val="single"/>
          <w:lang w:val="sr-Cyrl-CS"/>
        </w:rPr>
        <w:t>СТРУКТУРНА РЕФОРМА 14</w:t>
      </w:r>
      <w:r w:rsidRPr="00092ED7">
        <w:rPr>
          <w:rFonts w:cs="Times New Roman"/>
          <w:b/>
          <w:bCs/>
          <w:szCs w:val="24"/>
          <w:lang w:val="sr-Cyrl-CS"/>
        </w:rPr>
        <w:t xml:space="preserve">: </w:t>
      </w:r>
      <w:r w:rsidRPr="00092ED7">
        <w:rPr>
          <w:rFonts w:cs="Times New Roman"/>
          <w:bCs/>
          <w:szCs w:val="24"/>
          <w:lang w:val="sr-Cyrl-CS"/>
        </w:rPr>
        <w:t>УСПОСТАВЉАЊЕ ИНФРАСТРУКТУРЕ И ОКРУЖЕЊА ЗА КРЕИРАЊЕ И ПРИМЕНУ ИНОВАТИВНИХ ИТ РЕШЕЊА</w:t>
      </w:r>
    </w:p>
    <w:p w14:paraId="2C024677" w14:textId="77777777" w:rsidR="00D210F0" w:rsidRPr="00092ED7" w:rsidRDefault="00D210F0" w:rsidP="00071952">
      <w:pPr>
        <w:widowControl w:val="0"/>
        <w:numPr>
          <w:ilvl w:val="0"/>
          <w:numId w:val="30"/>
        </w:numPr>
        <w:spacing w:before="120"/>
        <w:ind w:left="425" w:hanging="425"/>
        <w:rPr>
          <w:rFonts w:cs="Times New Roman"/>
          <w:b/>
          <w:bCs/>
          <w:szCs w:val="24"/>
          <w:lang w:val="sr-Cyrl-CS"/>
        </w:rPr>
      </w:pPr>
      <w:r w:rsidRPr="00092ED7">
        <w:rPr>
          <w:rFonts w:cs="Times New Roman"/>
          <w:b/>
          <w:bCs/>
          <w:szCs w:val="24"/>
          <w:lang w:val="sr-Cyrl-CS"/>
        </w:rPr>
        <w:t>Опис структурне реформе</w:t>
      </w:r>
    </w:p>
    <w:p w14:paraId="6E560D1B" w14:textId="78A76F45" w:rsidR="00D210F0" w:rsidRPr="00092ED7" w:rsidRDefault="00B64601" w:rsidP="008A6DAE">
      <w:pPr>
        <w:widowControl w:val="0"/>
        <w:spacing w:after="60"/>
        <w:rPr>
          <w:rFonts w:eastAsia="Times New Roman" w:cs="Times New Roman"/>
          <w:b/>
          <w:bCs/>
          <w:szCs w:val="24"/>
          <w:lang w:val="sr-Cyrl-CS"/>
        </w:rPr>
      </w:pPr>
      <w:r w:rsidRPr="00092ED7">
        <w:rPr>
          <w:rFonts w:eastAsia="Times New Roman" w:cs="Times New Roman"/>
          <w:szCs w:val="24"/>
          <w:lang w:val="sr-Cyrl-CS"/>
        </w:rPr>
        <w:t xml:space="preserve">Програм дигитализације спроводи се највећим делом кроз Пројекат </w:t>
      </w:r>
      <w:r w:rsidRPr="00092ED7">
        <w:rPr>
          <w:rFonts w:eastAsia="Times New Roman" w:cs="Times New Roman"/>
          <w:i/>
          <w:iCs/>
          <w:szCs w:val="24"/>
          <w:lang w:val="sr-Cyrl-CS"/>
        </w:rPr>
        <w:t>„Србија на дохват руке – Дигитална трансформација за развој</w:t>
      </w:r>
      <w:r w:rsidR="00E90CB7" w:rsidRPr="00092ED7">
        <w:rPr>
          <w:rFonts w:cs="Times New Roman"/>
          <w:i/>
          <w:szCs w:val="24"/>
          <w:lang w:val="sr-Cyrl-CS"/>
        </w:rPr>
        <w:t>”</w:t>
      </w:r>
      <w:r w:rsidRPr="00092ED7">
        <w:rPr>
          <w:rFonts w:eastAsia="Times New Roman" w:cs="Times New Roman"/>
          <w:szCs w:val="24"/>
          <w:lang w:val="sr-Cyrl-CS"/>
        </w:rPr>
        <w:t xml:space="preserve">, који укључује и подршку за реализацију великих инфраструктурних пројеката. Предложена реформа садржи две компоненте: Пројекат </w:t>
      </w:r>
      <w:r w:rsidRPr="00092ED7">
        <w:rPr>
          <w:rFonts w:eastAsia="Times New Roman" w:cs="Times New Roman"/>
          <w:i/>
          <w:szCs w:val="24"/>
          <w:lang w:val="sr-Cyrl-CS"/>
        </w:rPr>
        <w:t>Smart City</w:t>
      </w:r>
      <w:r w:rsidRPr="00092ED7">
        <w:rPr>
          <w:rFonts w:eastAsia="Times New Roman" w:cs="Times New Roman"/>
          <w:szCs w:val="24"/>
          <w:lang w:val="sr-Cyrl-CS"/>
        </w:rPr>
        <w:t xml:space="preserve"> и Фазу 3 – „Иновациони дистрикт</w:t>
      </w:r>
      <w:r w:rsidR="001E2457" w:rsidRPr="00092ED7">
        <w:rPr>
          <w:rFonts w:cs="Times New Roman"/>
          <w:szCs w:val="24"/>
          <w:lang w:val="sr-Cyrl-CS"/>
        </w:rPr>
        <w:t>”</w:t>
      </w:r>
      <w:r w:rsidRPr="00092ED7">
        <w:rPr>
          <w:rFonts w:eastAsia="Times New Roman" w:cs="Times New Roman"/>
          <w:szCs w:val="24"/>
          <w:lang w:val="sr-Cyrl-CS"/>
        </w:rPr>
        <w:t xml:space="preserve"> у оквиру ДДЦ. Реализација пројекта </w:t>
      </w:r>
      <w:r w:rsidRPr="00092ED7">
        <w:rPr>
          <w:rFonts w:eastAsia="Times New Roman" w:cs="Times New Roman"/>
          <w:i/>
          <w:szCs w:val="24"/>
          <w:lang w:val="sr-Cyrl-CS"/>
        </w:rPr>
        <w:t>Smart City</w:t>
      </w:r>
      <w:r w:rsidRPr="00092ED7">
        <w:rPr>
          <w:rFonts w:eastAsia="Times New Roman" w:cs="Times New Roman"/>
          <w:szCs w:val="24"/>
          <w:lang w:val="sr-Cyrl-CS"/>
        </w:rPr>
        <w:t xml:space="preserve"> омогућиће боље и квалитетније функционисање </w:t>
      </w:r>
      <w:r w:rsidR="00A03723" w:rsidRPr="00092ED7">
        <w:rPr>
          <w:rFonts w:eastAsia="Times New Roman" w:cs="Times New Roman"/>
          <w:szCs w:val="24"/>
          <w:lang w:val="sr-Cyrl-CS"/>
        </w:rPr>
        <w:t>ЈЛС</w:t>
      </w:r>
      <w:r w:rsidRPr="00092ED7">
        <w:rPr>
          <w:rFonts w:eastAsia="Times New Roman" w:cs="Times New Roman"/>
          <w:szCs w:val="24"/>
          <w:lang w:val="sr-Cyrl-CS"/>
        </w:rPr>
        <w:t xml:space="preserve"> употребом иновативних ИТ решења. Паметне сензорске мреже и предиктивни управљачки алгоритми су алати који ће трансформисати урбане средине у атрактивније и одрживије, привлачније за иновативну привреду и инвестиције, уз повећање квалитета живота грађана. Предност ће имати она решења која ће се бавити социјалном инклузијом и заштитом животне средине и која ће утицати на свеобухватни друштвено-економски раст. „Иновациони дистрикт</w:t>
      </w:r>
      <w:r w:rsidR="00BC3948" w:rsidRPr="00092ED7">
        <w:rPr>
          <w:rFonts w:cs="Times New Roman"/>
          <w:szCs w:val="24"/>
          <w:lang w:val="sr-Cyrl-CS"/>
        </w:rPr>
        <w:t>”</w:t>
      </w:r>
      <w:r w:rsidRPr="00092ED7">
        <w:rPr>
          <w:rFonts w:eastAsia="Times New Roman" w:cs="Times New Roman"/>
          <w:szCs w:val="24"/>
          <w:lang w:val="sr-Cyrl-CS"/>
        </w:rPr>
        <w:t xml:space="preserve"> као трећа фаза пројекта изградње ДДЦ (прве две фазе пројекта које су подразумевале изградњу два </w:t>
      </w:r>
      <w:r w:rsidR="00D91CC9" w:rsidRPr="00092ED7">
        <w:rPr>
          <w:rFonts w:eastAsia="Times New Roman" w:cs="Times New Roman"/>
          <w:szCs w:val="24"/>
          <w:lang w:val="sr-Cyrl-CS"/>
        </w:rPr>
        <w:t xml:space="preserve">одвојена </w:t>
      </w:r>
      <w:r w:rsidRPr="00092ED7">
        <w:rPr>
          <w:rFonts w:eastAsia="Times New Roman" w:cs="Times New Roman"/>
          <w:szCs w:val="24"/>
          <w:lang w:val="sr-Cyrl-CS"/>
        </w:rPr>
        <w:t>објекта, инсталацију клауд технологије и платформе за вештачку интелигенцију као и осталих капацитета су завршене) је тренутно у фази планирања, а подразумева и изградњу објекта на 3,5 хектара површине. „Иновациони дистрикт</w:t>
      </w:r>
      <w:r w:rsidR="00BC3948" w:rsidRPr="00092ED7">
        <w:rPr>
          <w:rFonts w:cs="Times New Roman"/>
          <w:szCs w:val="24"/>
          <w:lang w:val="sr-Cyrl-CS"/>
        </w:rPr>
        <w:t>”</w:t>
      </w:r>
      <w:r w:rsidRPr="00092ED7">
        <w:rPr>
          <w:rFonts w:eastAsia="Times New Roman" w:cs="Times New Roman"/>
          <w:szCs w:val="24"/>
          <w:lang w:val="sr-Cyrl-CS"/>
        </w:rPr>
        <w:t xml:space="preserve"> ће омогућити развој ученика и студената, пружити могућност да тестирају и промовишу своје идеје, да се повезују са домаћим и страним привредним субјектима који већ користе или ће у будућности користити капацитете ДДЦ (клауд, AI платформа, итд.). Са друге стране, привредним субјектима ће бити омогућено да дођу до нових идеја и решења и да се упознају са потенцијалом талентованих ученика и студената. </w:t>
      </w:r>
    </w:p>
    <w:p w14:paraId="7641C8C1" w14:textId="77777777" w:rsidR="00D210F0" w:rsidRPr="00092ED7" w:rsidRDefault="00D210F0" w:rsidP="00071952">
      <w:pPr>
        <w:widowControl w:val="0"/>
        <w:numPr>
          <w:ilvl w:val="0"/>
          <w:numId w:val="30"/>
        </w:numPr>
        <w:spacing w:before="120"/>
        <w:ind w:left="425" w:hanging="425"/>
        <w:rPr>
          <w:rFonts w:cs="Times New Roman"/>
          <w:b/>
          <w:smallCaps/>
          <w:szCs w:val="24"/>
          <w:lang w:val="sr-Cyrl-CS"/>
        </w:rPr>
      </w:pPr>
      <w:r w:rsidRPr="00092ED7">
        <w:rPr>
          <w:rFonts w:cs="Times New Roman"/>
          <w:b/>
          <w:bCs/>
          <w:szCs w:val="24"/>
          <w:lang w:val="sr-Cyrl-CS"/>
        </w:rPr>
        <w:t>Планиране активности по годинама</w:t>
      </w:r>
    </w:p>
    <w:tbl>
      <w:tblPr>
        <w:tblW w:w="9204" w:type="dxa"/>
        <w:jc w:val="center"/>
        <w:tblLayout w:type="fixed"/>
        <w:tblCellMar>
          <w:left w:w="0" w:type="dxa"/>
          <w:right w:w="0" w:type="dxa"/>
        </w:tblCellMar>
        <w:tblLook w:val="04A0" w:firstRow="1" w:lastRow="0" w:firstColumn="1" w:lastColumn="0" w:noHBand="0" w:noVBand="1"/>
      </w:tblPr>
      <w:tblGrid>
        <w:gridCol w:w="416"/>
        <w:gridCol w:w="4394"/>
        <w:gridCol w:w="366"/>
        <w:gridCol w:w="367"/>
        <w:gridCol w:w="366"/>
        <w:gridCol w:w="369"/>
        <w:gridCol w:w="366"/>
        <w:gridCol w:w="367"/>
        <w:gridCol w:w="367"/>
        <w:gridCol w:w="368"/>
        <w:gridCol w:w="367"/>
        <w:gridCol w:w="366"/>
        <w:gridCol w:w="367"/>
        <w:gridCol w:w="358"/>
      </w:tblGrid>
      <w:tr w:rsidR="00D210F0" w:rsidRPr="00092ED7" w14:paraId="3FF5578A" w14:textId="77777777" w:rsidTr="00E44EF2">
        <w:trPr>
          <w:trHeight w:val="291"/>
          <w:jc w:val="center"/>
        </w:trPr>
        <w:tc>
          <w:tcPr>
            <w:tcW w:w="416" w:type="dxa"/>
            <w:vMerge w:val="restart"/>
            <w:tcBorders>
              <w:top w:val="single" w:sz="8" w:space="0" w:color="auto"/>
              <w:left w:val="single" w:sz="8" w:space="0" w:color="auto"/>
              <w:bottom w:val="single" w:sz="8" w:space="0" w:color="000000"/>
              <w:right w:val="nil"/>
            </w:tcBorders>
            <w:shd w:val="clear" w:color="auto" w:fill="BDD6EE"/>
            <w:tcMar>
              <w:top w:w="15" w:type="dxa"/>
              <w:left w:w="15" w:type="dxa"/>
              <w:bottom w:w="0" w:type="dxa"/>
              <w:right w:w="15" w:type="dxa"/>
            </w:tcMar>
            <w:vAlign w:val="center"/>
            <w:hideMark/>
          </w:tcPr>
          <w:p w14:paraId="54BF8F5F" w14:textId="77777777" w:rsidR="00D210F0" w:rsidRPr="00092ED7" w:rsidRDefault="00D210F0" w:rsidP="00D210F0">
            <w:pPr>
              <w:spacing w:after="0"/>
              <w:jc w:val="center"/>
              <w:rPr>
                <w:rFonts w:cs="Times New Roman"/>
                <w:b/>
                <w:bCs/>
                <w:color w:val="000000"/>
                <w:sz w:val="20"/>
                <w:szCs w:val="20"/>
                <w:lang w:val="sr-Cyrl-CS"/>
              </w:rPr>
            </w:pPr>
            <w:r w:rsidRPr="00092ED7">
              <w:rPr>
                <w:rFonts w:cs="Times New Roman"/>
                <w:b/>
                <w:bCs/>
                <w:color w:val="000000"/>
                <w:sz w:val="20"/>
                <w:szCs w:val="20"/>
                <w:lang w:val="sr-Cyrl-CS"/>
              </w:rPr>
              <w:t>РБ</w:t>
            </w:r>
          </w:p>
        </w:tc>
        <w:tc>
          <w:tcPr>
            <w:tcW w:w="4394" w:type="dxa"/>
            <w:vMerge w:val="restart"/>
            <w:tcBorders>
              <w:top w:val="single" w:sz="8" w:space="0" w:color="auto"/>
              <w:left w:val="single" w:sz="8" w:space="0" w:color="auto"/>
              <w:bottom w:val="single" w:sz="8" w:space="0" w:color="000000"/>
              <w:right w:val="nil"/>
            </w:tcBorders>
            <w:shd w:val="clear" w:color="auto" w:fill="BDD6EE" w:themeFill="accent1" w:themeFillTint="66"/>
            <w:tcMar>
              <w:top w:w="15" w:type="dxa"/>
              <w:left w:w="15" w:type="dxa"/>
              <w:bottom w:w="0" w:type="dxa"/>
              <w:right w:w="15" w:type="dxa"/>
            </w:tcMar>
            <w:vAlign w:val="center"/>
            <w:hideMark/>
          </w:tcPr>
          <w:p w14:paraId="53EC01B5" w14:textId="77777777" w:rsidR="00D210F0" w:rsidRPr="00092ED7" w:rsidRDefault="00D210F0" w:rsidP="00D210F0">
            <w:pPr>
              <w:spacing w:after="0"/>
              <w:rPr>
                <w:rFonts w:cs="Times New Roman"/>
                <w:b/>
                <w:bCs/>
                <w:color w:val="000000"/>
                <w:sz w:val="20"/>
                <w:szCs w:val="20"/>
                <w:lang w:val="sr-Cyrl-CS" w:eastAsia="sr-Cyrl-CS" w:bidi="sr-Cyrl-CS"/>
              </w:rPr>
            </w:pPr>
            <w:r w:rsidRPr="00092ED7">
              <w:rPr>
                <w:rFonts w:cs="Times New Roman"/>
                <w:b/>
                <w:bCs/>
                <w:sz w:val="20"/>
                <w:szCs w:val="20"/>
                <w:lang w:val="sr-Cyrl-CS"/>
              </w:rPr>
              <w:t>Планиране активности</w:t>
            </w:r>
          </w:p>
        </w:tc>
        <w:tc>
          <w:tcPr>
            <w:tcW w:w="1468" w:type="dxa"/>
            <w:gridSpan w:val="4"/>
            <w:tcBorders>
              <w:top w:val="single" w:sz="8" w:space="0" w:color="auto"/>
              <w:left w:val="single" w:sz="8" w:space="0" w:color="auto"/>
              <w:bottom w:val="single" w:sz="4" w:space="0" w:color="auto"/>
              <w:right w:val="single" w:sz="8" w:space="0" w:color="000000"/>
            </w:tcBorders>
            <w:shd w:val="clear" w:color="auto" w:fill="BDD6EE" w:themeFill="accent1" w:themeFillTint="66"/>
            <w:tcMar>
              <w:top w:w="15" w:type="dxa"/>
              <w:left w:w="15" w:type="dxa"/>
              <w:bottom w:w="0" w:type="dxa"/>
              <w:right w:w="15" w:type="dxa"/>
            </w:tcMar>
            <w:vAlign w:val="center"/>
            <w:hideMark/>
          </w:tcPr>
          <w:p w14:paraId="200A6090" w14:textId="77777777" w:rsidR="00D210F0" w:rsidRPr="00092ED7" w:rsidRDefault="00D210F0" w:rsidP="00D210F0">
            <w:pPr>
              <w:spacing w:after="0"/>
              <w:jc w:val="center"/>
              <w:rPr>
                <w:rFonts w:cs="Times New Roman"/>
                <w:b/>
                <w:bCs/>
                <w:color w:val="000000"/>
                <w:sz w:val="20"/>
                <w:szCs w:val="20"/>
                <w:lang w:val="sr-Cyrl-CS"/>
              </w:rPr>
            </w:pPr>
            <w:r w:rsidRPr="00092ED7">
              <w:rPr>
                <w:rFonts w:cs="Times New Roman"/>
                <w:b/>
                <w:bCs/>
                <w:color w:val="000000"/>
                <w:sz w:val="20"/>
                <w:szCs w:val="20"/>
                <w:lang w:val="sr-Cyrl-CS"/>
              </w:rPr>
              <w:t>2023</w:t>
            </w:r>
          </w:p>
        </w:tc>
        <w:tc>
          <w:tcPr>
            <w:tcW w:w="1468" w:type="dxa"/>
            <w:gridSpan w:val="4"/>
            <w:tcBorders>
              <w:top w:val="single" w:sz="8" w:space="0" w:color="auto"/>
              <w:left w:val="single" w:sz="8" w:space="0" w:color="auto"/>
              <w:bottom w:val="single" w:sz="4" w:space="0" w:color="auto"/>
              <w:right w:val="single" w:sz="8" w:space="0" w:color="000000"/>
            </w:tcBorders>
            <w:shd w:val="clear" w:color="auto" w:fill="BDD6EE" w:themeFill="accent1" w:themeFillTint="66"/>
            <w:tcMar>
              <w:top w:w="15" w:type="dxa"/>
              <w:left w:w="15" w:type="dxa"/>
              <w:bottom w:w="0" w:type="dxa"/>
              <w:right w:w="15" w:type="dxa"/>
            </w:tcMar>
            <w:vAlign w:val="center"/>
            <w:hideMark/>
          </w:tcPr>
          <w:p w14:paraId="492725B1" w14:textId="77777777" w:rsidR="00D210F0" w:rsidRPr="00092ED7" w:rsidRDefault="00D210F0" w:rsidP="00D210F0">
            <w:pPr>
              <w:spacing w:after="0"/>
              <w:jc w:val="center"/>
              <w:rPr>
                <w:rFonts w:cs="Times New Roman"/>
                <w:b/>
                <w:bCs/>
                <w:color w:val="000000"/>
                <w:sz w:val="20"/>
                <w:szCs w:val="20"/>
                <w:lang w:val="sr-Cyrl-CS"/>
              </w:rPr>
            </w:pPr>
            <w:r w:rsidRPr="00092ED7">
              <w:rPr>
                <w:rFonts w:cs="Times New Roman"/>
                <w:b/>
                <w:bCs/>
                <w:color w:val="000000"/>
                <w:sz w:val="20"/>
                <w:szCs w:val="20"/>
                <w:lang w:val="sr-Cyrl-CS"/>
              </w:rPr>
              <w:t>2024</w:t>
            </w:r>
          </w:p>
        </w:tc>
        <w:tc>
          <w:tcPr>
            <w:tcW w:w="1458" w:type="dxa"/>
            <w:gridSpan w:val="4"/>
            <w:tcBorders>
              <w:top w:val="single" w:sz="8" w:space="0" w:color="auto"/>
              <w:left w:val="nil"/>
              <w:bottom w:val="single" w:sz="4" w:space="0" w:color="auto"/>
              <w:right w:val="single" w:sz="8" w:space="0" w:color="000000"/>
            </w:tcBorders>
            <w:shd w:val="clear" w:color="auto" w:fill="BDD6EE" w:themeFill="accent1" w:themeFillTint="66"/>
            <w:tcMar>
              <w:top w:w="15" w:type="dxa"/>
              <w:left w:w="15" w:type="dxa"/>
              <w:bottom w:w="0" w:type="dxa"/>
              <w:right w:w="15" w:type="dxa"/>
            </w:tcMar>
            <w:vAlign w:val="center"/>
            <w:hideMark/>
          </w:tcPr>
          <w:p w14:paraId="7DDDC5AC" w14:textId="77777777" w:rsidR="00D210F0" w:rsidRPr="00092ED7" w:rsidRDefault="00D210F0" w:rsidP="00D210F0">
            <w:pPr>
              <w:spacing w:after="0"/>
              <w:jc w:val="center"/>
              <w:rPr>
                <w:rFonts w:cs="Times New Roman"/>
                <w:b/>
                <w:bCs/>
                <w:color w:val="000000"/>
                <w:sz w:val="20"/>
                <w:szCs w:val="20"/>
                <w:lang w:val="sr-Cyrl-CS"/>
              </w:rPr>
            </w:pPr>
            <w:r w:rsidRPr="00092ED7">
              <w:rPr>
                <w:rFonts w:cs="Times New Roman"/>
                <w:b/>
                <w:bCs/>
                <w:color w:val="000000"/>
                <w:sz w:val="20"/>
                <w:szCs w:val="20"/>
                <w:lang w:val="sr-Cyrl-CS"/>
              </w:rPr>
              <w:t>2025</w:t>
            </w:r>
          </w:p>
        </w:tc>
      </w:tr>
      <w:tr w:rsidR="00D210F0" w:rsidRPr="00092ED7" w14:paraId="6D354148" w14:textId="77777777" w:rsidTr="00E44EF2">
        <w:trPr>
          <w:trHeight w:val="291"/>
          <w:jc w:val="center"/>
        </w:trPr>
        <w:tc>
          <w:tcPr>
            <w:tcW w:w="416" w:type="dxa"/>
            <w:vMerge/>
            <w:tcBorders>
              <w:top w:val="single" w:sz="8" w:space="0" w:color="auto"/>
              <w:left w:val="single" w:sz="8" w:space="0" w:color="auto"/>
              <w:bottom w:val="single" w:sz="8" w:space="0" w:color="000000"/>
              <w:right w:val="nil"/>
            </w:tcBorders>
            <w:vAlign w:val="center"/>
            <w:hideMark/>
          </w:tcPr>
          <w:p w14:paraId="422C0CF1" w14:textId="77777777" w:rsidR="00D210F0" w:rsidRPr="00092ED7" w:rsidRDefault="00D210F0" w:rsidP="00D210F0">
            <w:pPr>
              <w:spacing w:after="0"/>
              <w:rPr>
                <w:rFonts w:cs="Times New Roman"/>
                <w:b/>
                <w:bCs/>
                <w:color w:val="000000"/>
                <w:sz w:val="20"/>
                <w:szCs w:val="20"/>
                <w:lang w:val="sr-Cyrl-CS"/>
              </w:rPr>
            </w:pPr>
          </w:p>
        </w:tc>
        <w:tc>
          <w:tcPr>
            <w:tcW w:w="4394" w:type="dxa"/>
            <w:vMerge/>
            <w:tcBorders>
              <w:top w:val="single" w:sz="8" w:space="0" w:color="auto"/>
              <w:left w:val="single" w:sz="8" w:space="0" w:color="auto"/>
              <w:bottom w:val="single" w:sz="8" w:space="0" w:color="000000"/>
              <w:right w:val="nil"/>
            </w:tcBorders>
            <w:shd w:val="clear" w:color="auto" w:fill="BDD6EE" w:themeFill="accent1" w:themeFillTint="66"/>
            <w:vAlign w:val="center"/>
            <w:hideMark/>
          </w:tcPr>
          <w:p w14:paraId="2EF96227" w14:textId="77777777" w:rsidR="00D210F0" w:rsidRPr="00092ED7" w:rsidRDefault="00D210F0" w:rsidP="00D210F0">
            <w:pPr>
              <w:spacing w:after="0"/>
              <w:rPr>
                <w:rFonts w:cs="Times New Roman"/>
                <w:b/>
                <w:bCs/>
                <w:color w:val="000000"/>
                <w:sz w:val="20"/>
                <w:szCs w:val="20"/>
                <w:lang w:val="sr-Cyrl-CS" w:eastAsia="sr-Cyrl-CS" w:bidi="sr-Cyrl-CS"/>
              </w:rPr>
            </w:pPr>
          </w:p>
        </w:tc>
        <w:tc>
          <w:tcPr>
            <w:tcW w:w="366" w:type="dxa"/>
            <w:tcBorders>
              <w:top w:val="nil"/>
              <w:left w:val="single" w:sz="8" w:space="0" w:color="auto"/>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30373B86"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Q1</w:t>
            </w:r>
          </w:p>
        </w:tc>
        <w:tc>
          <w:tcPr>
            <w:tcW w:w="367"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51F356D9"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Q2</w:t>
            </w:r>
          </w:p>
        </w:tc>
        <w:tc>
          <w:tcPr>
            <w:tcW w:w="366"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7F57B47F"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Q3</w:t>
            </w:r>
          </w:p>
        </w:tc>
        <w:tc>
          <w:tcPr>
            <w:tcW w:w="369" w:type="dxa"/>
            <w:tcBorders>
              <w:top w:val="nil"/>
              <w:left w:val="nil"/>
              <w:bottom w:val="single" w:sz="8" w:space="0" w:color="auto"/>
              <w:right w:val="single" w:sz="8" w:space="0" w:color="auto"/>
            </w:tcBorders>
            <w:shd w:val="clear" w:color="auto" w:fill="BDD6EE" w:themeFill="accent1" w:themeFillTint="66"/>
            <w:tcMar>
              <w:top w:w="15" w:type="dxa"/>
              <w:left w:w="15" w:type="dxa"/>
              <w:bottom w:w="0" w:type="dxa"/>
              <w:right w:w="15" w:type="dxa"/>
            </w:tcMar>
            <w:vAlign w:val="center"/>
            <w:hideMark/>
          </w:tcPr>
          <w:p w14:paraId="62B45B07"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Q4</w:t>
            </w:r>
          </w:p>
        </w:tc>
        <w:tc>
          <w:tcPr>
            <w:tcW w:w="366"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3C151527"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Q1</w:t>
            </w:r>
          </w:p>
        </w:tc>
        <w:tc>
          <w:tcPr>
            <w:tcW w:w="367"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0FD94B71"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Q2</w:t>
            </w:r>
          </w:p>
        </w:tc>
        <w:tc>
          <w:tcPr>
            <w:tcW w:w="367"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1E2FF276"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Q3</w:t>
            </w:r>
          </w:p>
        </w:tc>
        <w:tc>
          <w:tcPr>
            <w:tcW w:w="368" w:type="dxa"/>
            <w:tcBorders>
              <w:top w:val="nil"/>
              <w:left w:val="nil"/>
              <w:bottom w:val="single" w:sz="8" w:space="0" w:color="auto"/>
              <w:right w:val="single" w:sz="8" w:space="0" w:color="auto"/>
            </w:tcBorders>
            <w:shd w:val="clear" w:color="auto" w:fill="BDD6EE" w:themeFill="accent1" w:themeFillTint="66"/>
            <w:tcMar>
              <w:top w:w="15" w:type="dxa"/>
              <w:left w:w="15" w:type="dxa"/>
              <w:bottom w:w="0" w:type="dxa"/>
              <w:right w:w="15" w:type="dxa"/>
            </w:tcMar>
            <w:vAlign w:val="center"/>
            <w:hideMark/>
          </w:tcPr>
          <w:p w14:paraId="30756C7D"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Q4</w:t>
            </w:r>
          </w:p>
        </w:tc>
        <w:tc>
          <w:tcPr>
            <w:tcW w:w="367"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23CFC629"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Q1</w:t>
            </w:r>
          </w:p>
        </w:tc>
        <w:tc>
          <w:tcPr>
            <w:tcW w:w="366"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74F1E90F"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Q2</w:t>
            </w:r>
          </w:p>
        </w:tc>
        <w:tc>
          <w:tcPr>
            <w:tcW w:w="367"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7F86E04D"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Q3</w:t>
            </w:r>
          </w:p>
        </w:tc>
        <w:tc>
          <w:tcPr>
            <w:tcW w:w="358" w:type="dxa"/>
            <w:tcBorders>
              <w:top w:val="nil"/>
              <w:left w:val="nil"/>
              <w:bottom w:val="single" w:sz="8" w:space="0" w:color="auto"/>
              <w:right w:val="single" w:sz="8" w:space="0" w:color="auto"/>
            </w:tcBorders>
            <w:shd w:val="clear" w:color="auto" w:fill="BDD6EE" w:themeFill="accent1" w:themeFillTint="66"/>
            <w:tcMar>
              <w:top w:w="15" w:type="dxa"/>
              <w:left w:w="15" w:type="dxa"/>
              <w:bottom w:w="0" w:type="dxa"/>
              <w:right w:w="15" w:type="dxa"/>
            </w:tcMar>
            <w:vAlign w:val="center"/>
            <w:hideMark/>
          </w:tcPr>
          <w:p w14:paraId="7457F3EA"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Q4</w:t>
            </w:r>
          </w:p>
        </w:tc>
      </w:tr>
      <w:tr w:rsidR="00D210F0" w:rsidRPr="00092ED7" w14:paraId="170B4866" w14:textId="77777777" w:rsidTr="00E44EF2">
        <w:trPr>
          <w:trHeight w:val="277"/>
          <w:jc w:val="center"/>
        </w:trPr>
        <w:tc>
          <w:tcPr>
            <w:tcW w:w="416" w:type="dxa"/>
            <w:tcBorders>
              <w:top w:val="single" w:sz="4" w:space="0" w:color="auto"/>
              <w:left w:val="single" w:sz="8" w:space="0" w:color="auto"/>
              <w:bottom w:val="single" w:sz="4" w:space="0" w:color="auto"/>
              <w:right w:val="nil"/>
            </w:tcBorders>
            <w:tcMar>
              <w:top w:w="15" w:type="dxa"/>
              <w:left w:w="15" w:type="dxa"/>
              <w:bottom w:w="0" w:type="dxa"/>
              <w:right w:w="15" w:type="dxa"/>
            </w:tcMar>
            <w:hideMark/>
          </w:tcPr>
          <w:p w14:paraId="2F1648F0" w14:textId="77777777" w:rsidR="00D210F0" w:rsidRPr="00092ED7" w:rsidRDefault="00D210F0" w:rsidP="00D210F0">
            <w:pPr>
              <w:spacing w:after="0"/>
              <w:jc w:val="center"/>
              <w:rPr>
                <w:rFonts w:cs="Times New Roman"/>
                <w:b/>
                <w:sz w:val="20"/>
                <w:szCs w:val="20"/>
                <w:lang w:val="sr-Cyrl-CS"/>
              </w:rPr>
            </w:pPr>
            <w:r w:rsidRPr="00092ED7">
              <w:rPr>
                <w:rFonts w:cs="Times New Roman"/>
                <w:b/>
                <w:sz w:val="20"/>
                <w:szCs w:val="20"/>
                <w:lang w:val="sr-Cyrl-CS"/>
              </w:rPr>
              <w:t>1.</w:t>
            </w:r>
          </w:p>
        </w:tc>
        <w:tc>
          <w:tcPr>
            <w:tcW w:w="4394" w:type="dxa"/>
            <w:tcBorders>
              <w:top w:val="single" w:sz="4" w:space="0" w:color="auto"/>
              <w:left w:val="single" w:sz="8" w:space="0" w:color="auto"/>
              <w:bottom w:val="single" w:sz="4" w:space="0" w:color="auto"/>
              <w:right w:val="nil"/>
            </w:tcBorders>
            <w:tcMar>
              <w:top w:w="15" w:type="dxa"/>
              <w:left w:w="15" w:type="dxa"/>
              <w:bottom w:w="0" w:type="dxa"/>
              <w:right w:w="15" w:type="dxa"/>
            </w:tcMar>
          </w:tcPr>
          <w:p w14:paraId="04F8FAAE" w14:textId="77777777" w:rsidR="00D210F0" w:rsidRPr="00092ED7" w:rsidRDefault="00736556" w:rsidP="00D210F0">
            <w:pPr>
              <w:spacing w:after="0"/>
              <w:rPr>
                <w:rFonts w:eastAsia="Times New Roman" w:cs="Times New Roman"/>
                <w:sz w:val="20"/>
                <w:szCs w:val="20"/>
                <w:lang w:val="sr-Cyrl-CS"/>
              </w:rPr>
            </w:pPr>
            <w:r w:rsidRPr="00092ED7">
              <w:rPr>
                <w:rFonts w:eastAsia="Times New Roman" w:cs="Times New Roman"/>
                <w:sz w:val="20"/>
                <w:szCs w:val="20"/>
                <w:lang w:val="sr-Cyrl-CS"/>
              </w:rPr>
              <w:t xml:space="preserve">Спровођење Јавног позива на годишњој основи за градове/ЈЛС за учешће у пројекту </w:t>
            </w:r>
            <w:r w:rsidRPr="00092ED7">
              <w:rPr>
                <w:rFonts w:eastAsia="Times New Roman" w:cs="Times New Roman"/>
                <w:i/>
                <w:sz w:val="20"/>
                <w:szCs w:val="20"/>
                <w:lang w:val="sr-Cyrl-CS"/>
              </w:rPr>
              <w:t>Smart City</w:t>
            </w:r>
            <w:r w:rsidRPr="00092ED7">
              <w:rPr>
                <w:rFonts w:eastAsia="Times New Roman" w:cs="Times New Roman"/>
                <w:sz w:val="20"/>
                <w:szCs w:val="20"/>
                <w:lang w:val="sr-Cyrl-CS"/>
              </w:rPr>
              <w:t>, у партнерству са привредом и академском заједницом</w:t>
            </w:r>
          </w:p>
        </w:tc>
        <w:tc>
          <w:tcPr>
            <w:tcW w:w="366" w:type="dxa"/>
            <w:tcBorders>
              <w:top w:val="single" w:sz="4" w:space="0" w:color="auto"/>
              <w:left w:val="single" w:sz="8"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EB5905E" w14:textId="77777777" w:rsidR="00D210F0" w:rsidRPr="00092ED7" w:rsidRDefault="00D210F0" w:rsidP="00D210F0">
            <w:pPr>
              <w:spacing w:after="0"/>
              <w:rPr>
                <w:rFonts w:cs="Times New Roman"/>
                <w:color w:val="000000"/>
                <w:sz w:val="20"/>
                <w:szCs w:val="20"/>
                <w:lang w:val="sr-Cyrl-CS"/>
              </w:rPr>
            </w:pPr>
          </w:p>
        </w:tc>
        <w:tc>
          <w:tcPr>
            <w:tcW w:w="367"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67057F6" w14:textId="77777777" w:rsidR="00D210F0" w:rsidRPr="00092ED7" w:rsidRDefault="00D210F0" w:rsidP="00D210F0">
            <w:pPr>
              <w:spacing w:after="0"/>
              <w:rPr>
                <w:rFonts w:cs="Times New Roman"/>
                <w:color w:val="000000"/>
                <w:sz w:val="20"/>
                <w:szCs w:val="20"/>
                <w:lang w:val="sr-Cyrl-CS"/>
              </w:rPr>
            </w:pPr>
          </w:p>
        </w:tc>
        <w:tc>
          <w:tcPr>
            <w:tcW w:w="366"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EEB7532" w14:textId="77777777" w:rsidR="00D210F0" w:rsidRPr="00092ED7" w:rsidRDefault="00D210F0" w:rsidP="00D210F0">
            <w:pPr>
              <w:spacing w:after="0"/>
              <w:rPr>
                <w:rFonts w:cs="Times New Roman"/>
                <w:color w:val="000000"/>
                <w:sz w:val="20"/>
                <w:szCs w:val="20"/>
                <w:lang w:val="sr-Cyrl-CS"/>
              </w:rPr>
            </w:pPr>
          </w:p>
        </w:tc>
        <w:tc>
          <w:tcPr>
            <w:tcW w:w="369" w:type="dxa"/>
            <w:tcBorders>
              <w:top w:val="single" w:sz="4" w:space="0" w:color="auto"/>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39FBF0AE" w14:textId="77777777" w:rsidR="00D210F0" w:rsidRPr="00092ED7" w:rsidRDefault="00D210F0" w:rsidP="00D210F0">
            <w:pPr>
              <w:spacing w:after="0"/>
              <w:rPr>
                <w:rFonts w:cs="Times New Roman"/>
                <w:color w:val="000000"/>
                <w:sz w:val="20"/>
                <w:szCs w:val="20"/>
                <w:lang w:val="sr-Cyrl-CS"/>
              </w:rPr>
            </w:pPr>
          </w:p>
        </w:tc>
        <w:tc>
          <w:tcPr>
            <w:tcW w:w="366"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14D242C" w14:textId="77777777" w:rsidR="00D210F0" w:rsidRPr="00092ED7" w:rsidRDefault="00D210F0" w:rsidP="00D210F0">
            <w:pPr>
              <w:spacing w:after="0"/>
              <w:rPr>
                <w:rFonts w:cs="Times New Roman"/>
                <w:color w:val="000000"/>
                <w:sz w:val="20"/>
                <w:szCs w:val="20"/>
                <w:lang w:val="sr-Cyrl-CS"/>
              </w:rPr>
            </w:pPr>
          </w:p>
        </w:tc>
        <w:tc>
          <w:tcPr>
            <w:tcW w:w="367"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771611C" w14:textId="77777777" w:rsidR="00D210F0" w:rsidRPr="00092ED7" w:rsidRDefault="00D210F0" w:rsidP="00D210F0">
            <w:pPr>
              <w:spacing w:after="0"/>
              <w:rPr>
                <w:rFonts w:cs="Times New Roman"/>
                <w:color w:val="000000"/>
                <w:sz w:val="20"/>
                <w:szCs w:val="20"/>
                <w:lang w:val="sr-Cyrl-CS"/>
              </w:rPr>
            </w:pPr>
          </w:p>
        </w:tc>
        <w:tc>
          <w:tcPr>
            <w:tcW w:w="367"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33A740B2" w14:textId="77777777" w:rsidR="00D210F0" w:rsidRPr="00092ED7" w:rsidRDefault="00D210F0" w:rsidP="00D210F0">
            <w:pPr>
              <w:spacing w:after="0"/>
              <w:rPr>
                <w:rFonts w:cs="Times New Roman"/>
                <w:color w:val="000000"/>
                <w:sz w:val="20"/>
                <w:szCs w:val="20"/>
                <w:lang w:val="sr-Cyrl-CS"/>
              </w:rPr>
            </w:pPr>
          </w:p>
        </w:tc>
        <w:tc>
          <w:tcPr>
            <w:tcW w:w="368" w:type="dxa"/>
            <w:tcBorders>
              <w:top w:val="single" w:sz="4" w:space="0" w:color="auto"/>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3269B81E" w14:textId="77777777" w:rsidR="00D210F0" w:rsidRPr="00092ED7" w:rsidRDefault="00D210F0" w:rsidP="00D210F0">
            <w:pPr>
              <w:spacing w:after="0"/>
              <w:rPr>
                <w:rFonts w:cs="Times New Roman"/>
                <w:color w:val="000000"/>
                <w:sz w:val="20"/>
                <w:szCs w:val="20"/>
                <w:lang w:val="sr-Cyrl-CS"/>
              </w:rPr>
            </w:pPr>
          </w:p>
        </w:tc>
        <w:tc>
          <w:tcPr>
            <w:tcW w:w="367"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CC92D5E" w14:textId="77777777" w:rsidR="00D210F0" w:rsidRPr="00092ED7" w:rsidRDefault="00D210F0" w:rsidP="00D210F0">
            <w:pPr>
              <w:spacing w:after="0"/>
              <w:rPr>
                <w:rFonts w:cs="Times New Roman"/>
                <w:color w:val="000000"/>
                <w:sz w:val="20"/>
                <w:szCs w:val="20"/>
                <w:lang w:val="sr-Cyrl-CS"/>
              </w:rPr>
            </w:pPr>
          </w:p>
        </w:tc>
        <w:tc>
          <w:tcPr>
            <w:tcW w:w="366"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CDE3A26" w14:textId="77777777" w:rsidR="00D210F0" w:rsidRPr="00092ED7" w:rsidRDefault="00D210F0" w:rsidP="00D210F0">
            <w:pPr>
              <w:spacing w:after="0"/>
              <w:rPr>
                <w:rFonts w:cs="Times New Roman"/>
                <w:color w:val="000000"/>
                <w:sz w:val="20"/>
                <w:szCs w:val="20"/>
                <w:lang w:val="sr-Cyrl-CS"/>
              </w:rPr>
            </w:pPr>
          </w:p>
        </w:tc>
        <w:tc>
          <w:tcPr>
            <w:tcW w:w="367"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2469BD31" w14:textId="77777777" w:rsidR="00D210F0" w:rsidRPr="00092ED7" w:rsidRDefault="00D210F0" w:rsidP="00D210F0">
            <w:pPr>
              <w:spacing w:after="0"/>
              <w:rPr>
                <w:rFonts w:cs="Times New Roman"/>
                <w:color w:val="000000"/>
                <w:sz w:val="20"/>
                <w:szCs w:val="20"/>
                <w:lang w:val="sr-Cyrl-CS"/>
              </w:rPr>
            </w:pPr>
          </w:p>
        </w:tc>
        <w:tc>
          <w:tcPr>
            <w:tcW w:w="358" w:type="dxa"/>
            <w:tcBorders>
              <w:top w:val="single" w:sz="4" w:space="0" w:color="auto"/>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078BBE2C" w14:textId="77777777" w:rsidR="00D210F0" w:rsidRPr="00092ED7" w:rsidRDefault="00D210F0" w:rsidP="00D210F0">
            <w:pPr>
              <w:spacing w:after="0"/>
              <w:rPr>
                <w:rFonts w:cs="Times New Roman"/>
                <w:color w:val="000000"/>
                <w:sz w:val="20"/>
                <w:szCs w:val="20"/>
                <w:lang w:val="sr-Cyrl-CS"/>
              </w:rPr>
            </w:pPr>
          </w:p>
        </w:tc>
      </w:tr>
      <w:tr w:rsidR="00BE2B7C" w:rsidRPr="00092ED7" w14:paraId="1339172A" w14:textId="77777777" w:rsidTr="00736556">
        <w:trPr>
          <w:trHeight w:val="277"/>
          <w:jc w:val="center"/>
        </w:trPr>
        <w:tc>
          <w:tcPr>
            <w:tcW w:w="416" w:type="dxa"/>
            <w:tcBorders>
              <w:top w:val="single" w:sz="4" w:space="0" w:color="auto"/>
              <w:left w:val="single" w:sz="8" w:space="0" w:color="auto"/>
              <w:bottom w:val="single" w:sz="4" w:space="0" w:color="auto"/>
              <w:right w:val="nil"/>
            </w:tcBorders>
            <w:tcMar>
              <w:top w:w="15" w:type="dxa"/>
              <w:left w:w="15" w:type="dxa"/>
              <w:bottom w:w="0" w:type="dxa"/>
              <w:right w:w="15" w:type="dxa"/>
            </w:tcMar>
            <w:hideMark/>
          </w:tcPr>
          <w:p w14:paraId="26E51D30" w14:textId="77777777" w:rsidR="00D210F0" w:rsidRPr="00092ED7" w:rsidRDefault="00D210F0" w:rsidP="00D210F0">
            <w:pPr>
              <w:spacing w:after="0"/>
              <w:jc w:val="center"/>
              <w:rPr>
                <w:rFonts w:cs="Times New Roman"/>
                <w:b/>
                <w:sz w:val="20"/>
                <w:szCs w:val="20"/>
                <w:lang w:val="sr-Cyrl-CS"/>
              </w:rPr>
            </w:pPr>
            <w:r w:rsidRPr="00092ED7">
              <w:rPr>
                <w:rFonts w:cs="Times New Roman"/>
                <w:b/>
                <w:sz w:val="20"/>
                <w:szCs w:val="20"/>
                <w:lang w:val="sr-Cyrl-CS"/>
              </w:rPr>
              <w:t>2.</w:t>
            </w:r>
          </w:p>
        </w:tc>
        <w:tc>
          <w:tcPr>
            <w:tcW w:w="4394" w:type="dxa"/>
            <w:tcBorders>
              <w:top w:val="single" w:sz="4" w:space="0" w:color="auto"/>
              <w:left w:val="single" w:sz="8" w:space="0" w:color="auto"/>
              <w:bottom w:val="single" w:sz="4" w:space="0" w:color="auto"/>
              <w:right w:val="nil"/>
            </w:tcBorders>
            <w:tcMar>
              <w:top w:w="15" w:type="dxa"/>
              <w:left w:w="15" w:type="dxa"/>
              <w:bottom w:w="0" w:type="dxa"/>
              <w:right w:w="15" w:type="dxa"/>
            </w:tcMar>
          </w:tcPr>
          <w:p w14:paraId="3E9D93C1" w14:textId="2E077569" w:rsidR="00D210F0" w:rsidRPr="00092ED7" w:rsidRDefault="00736556" w:rsidP="00460F4E">
            <w:pPr>
              <w:spacing w:after="0"/>
              <w:rPr>
                <w:rFonts w:eastAsia="Times New Roman" w:cs="Times New Roman"/>
                <w:sz w:val="20"/>
                <w:szCs w:val="20"/>
                <w:lang w:val="sr-Cyrl-CS"/>
              </w:rPr>
            </w:pPr>
            <w:r w:rsidRPr="00092ED7">
              <w:rPr>
                <w:rFonts w:eastAsia="Times New Roman" w:cs="Times New Roman"/>
                <w:sz w:val="20"/>
                <w:szCs w:val="20"/>
                <w:lang w:val="sr-Cyrl-CS"/>
              </w:rPr>
              <w:t xml:space="preserve">Фаза 3 Иновациони дистрикт – Пројектовање и изградња објекта 3 </w:t>
            </w:r>
            <w:r w:rsidR="005701C0" w:rsidRPr="00092ED7">
              <w:rPr>
                <w:rFonts w:eastAsia="Times New Roman" w:cs="Times New Roman"/>
                <w:sz w:val="20"/>
                <w:szCs w:val="20"/>
                <w:lang w:val="sr-Cyrl-CS"/>
              </w:rPr>
              <w:t>ДДЦ</w:t>
            </w:r>
          </w:p>
        </w:tc>
        <w:tc>
          <w:tcPr>
            <w:tcW w:w="366" w:type="dxa"/>
            <w:tcBorders>
              <w:top w:val="single" w:sz="4" w:space="0" w:color="auto"/>
              <w:left w:val="single" w:sz="8"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3E3A1A5F" w14:textId="77777777" w:rsidR="00D210F0" w:rsidRPr="00092ED7" w:rsidRDefault="00D210F0" w:rsidP="00D210F0">
            <w:pPr>
              <w:spacing w:after="0"/>
              <w:rPr>
                <w:rFonts w:cs="Times New Roman"/>
                <w:color w:val="000000"/>
                <w:sz w:val="20"/>
                <w:szCs w:val="20"/>
                <w:lang w:val="sr-Cyrl-CS"/>
              </w:rPr>
            </w:pPr>
          </w:p>
        </w:tc>
        <w:tc>
          <w:tcPr>
            <w:tcW w:w="367"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6127E62" w14:textId="77777777" w:rsidR="00D210F0" w:rsidRPr="00092ED7" w:rsidRDefault="00D210F0" w:rsidP="00D210F0">
            <w:pPr>
              <w:spacing w:after="0"/>
              <w:rPr>
                <w:rFonts w:cs="Times New Roman"/>
                <w:color w:val="000000"/>
                <w:sz w:val="20"/>
                <w:szCs w:val="20"/>
                <w:lang w:val="sr-Cyrl-CS"/>
              </w:rPr>
            </w:pPr>
          </w:p>
        </w:tc>
        <w:tc>
          <w:tcPr>
            <w:tcW w:w="366"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E876792" w14:textId="77777777" w:rsidR="00D210F0" w:rsidRPr="00092ED7" w:rsidRDefault="00D210F0" w:rsidP="00D210F0">
            <w:pPr>
              <w:spacing w:after="0"/>
              <w:rPr>
                <w:rFonts w:cs="Times New Roman"/>
                <w:color w:val="000000"/>
                <w:sz w:val="20"/>
                <w:szCs w:val="20"/>
                <w:lang w:val="sr-Cyrl-CS"/>
              </w:rPr>
            </w:pPr>
          </w:p>
        </w:tc>
        <w:tc>
          <w:tcPr>
            <w:tcW w:w="369" w:type="dxa"/>
            <w:tcBorders>
              <w:top w:val="single" w:sz="4" w:space="0" w:color="auto"/>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4B9D0A14" w14:textId="77777777" w:rsidR="00D210F0" w:rsidRPr="00092ED7" w:rsidRDefault="00D210F0" w:rsidP="00D210F0">
            <w:pPr>
              <w:spacing w:after="0"/>
              <w:rPr>
                <w:rFonts w:cs="Times New Roman"/>
                <w:color w:val="000000"/>
                <w:sz w:val="20"/>
                <w:szCs w:val="20"/>
                <w:lang w:val="sr-Cyrl-CS"/>
              </w:rPr>
            </w:pPr>
          </w:p>
        </w:tc>
        <w:tc>
          <w:tcPr>
            <w:tcW w:w="366"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2988A63" w14:textId="77777777" w:rsidR="00D210F0" w:rsidRPr="00092ED7" w:rsidRDefault="00D210F0" w:rsidP="00D210F0">
            <w:pPr>
              <w:spacing w:after="0"/>
              <w:rPr>
                <w:rFonts w:cs="Times New Roman"/>
                <w:color w:val="000000"/>
                <w:sz w:val="20"/>
                <w:szCs w:val="20"/>
                <w:lang w:val="sr-Cyrl-CS"/>
              </w:rPr>
            </w:pPr>
          </w:p>
        </w:tc>
        <w:tc>
          <w:tcPr>
            <w:tcW w:w="367"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101F21A" w14:textId="77777777" w:rsidR="00D210F0" w:rsidRPr="00092ED7" w:rsidRDefault="00D210F0" w:rsidP="00D210F0">
            <w:pPr>
              <w:spacing w:after="0"/>
              <w:rPr>
                <w:rFonts w:cs="Times New Roman"/>
                <w:color w:val="000000"/>
                <w:sz w:val="20"/>
                <w:szCs w:val="20"/>
                <w:lang w:val="sr-Cyrl-CS"/>
              </w:rPr>
            </w:pPr>
          </w:p>
        </w:tc>
        <w:tc>
          <w:tcPr>
            <w:tcW w:w="367"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2B185C5" w14:textId="77777777" w:rsidR="00D210F0" w:rsidRPr="00092ED7" w:rsidRDefault="00D210F0" w:rsidP="00D210F0">
            <w:pPr>
              <w:spacing w:after="0"/>
              <w:rPr>
                <w:rFonts w:cs="Times New Roman"/>
                <w:color w:val="000000"/>
                <w:sz w:val="20"/>
                <w:szCs w:val="20"/>
                <w:lang w:val="sr-Cyrl-CS"/>
              </w:rPr>
            </w:pPr>
          </w:p>
        </w:tc>
        <w:tc>
          <w:tcPr>
            <w:tcW w:w="368" w:type="dxa"/>
            <w:tcBorders>
              <w:top w:val="single" w:sz="4" w:space="0" w:color="auto"/>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3F65A47E" w14:textId="77777777" w:rsidR="00D210F0" w:rsidRPr="00092ED7" w:rsidRDefault="00D210F0" w:rsidP="00D210F0">
            <w:pPr>
              <w:spacing w:after="0"/>
              <w:rPr>
                <w:rFonts w:cs="Times New Roman"/>
                <w:color w:val="000000"/>
                <w:sz w:val="20"/>
                <w:szCs w:val="20"/>
                <w:lang w:val="sr-Cyrl-CS"/>
              </w:rPr>
            </w:pPr>
          </w:p>
        </w:tc>
        <w:tc>
          <w:tcPr>
            <w:tcW w:w="367"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39644C04" w14:textId="77777777" w:rsidR="00D210F0" w:rsidRPr="00092ED7" w:rsidRDefault="00D210F0" w:rsidP="00D210F0">
            <w:pPr>
              <w:spacing w:after="0"/>
              <w:rPr>
                <w:rFonts w:cs="Times New Roman"/>
                <w:color w:val="000000"/>
                <w:sz w:val="20"/>
                <w:szCs w:val="20"/>
                <w:lang w:val="sr-Cyrl-CS"/>
              </w:rPr>
            </w:pPr>
          </w:p>
        </w:tc>
        <w:tc>
          <w:tcPr>
            <w:tcW w:w="366"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7C511EA" w14:textId="77777777" w:rsidR="00D210F0" w:rsidRPr="00092ED7" w:rsidRDefault="00D210F0" w:rsidP="00D210F0">
            <w:pPr>
              <w:spacing w:after="0"/>
              <w:rPr>
                <w:rFonts w:cs="Times New Roman"/>
                <w:color w:val="000000"/>
                <w:sz w:val="20"/>
                <w:szCs w:val="20"/>
                <w:lang w:val="sr-Cyrl-CS"/>
              </w:rPr>
            </w:pPr>
          </w:p>
        </w:tc>
        <w:tc>
          <w:tcPr>
            <w:tcW w:w="367"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3E4D1D64" w14:textId="77777777" w:rsidR="00D210F0" w:rsidRPr="00092ED7" w:rsidRDefault="00D210F0" w:rsidP="00D210F0">
            <w:pPr>
              <w:spacing w:after="0"/>
              <w:rPr>
                <w:rFonts w:cs="Times New Roman"/>
                <w:color w:val="000000"/>
                <w:sz w:val="20"/>
                <w:szCs w:val="20"/>
                <w:lang w:val="sr-Cyrl-CS"/>
              </w:rPr>
            </w:pPr>
          </w:p>
        </w:tc>
        <w:tc>
          <w:tcPr>
            <w:tcW w:w="358" w:type="dxa"/>
            <w:tcBorders>
              <w:top w:val="single" w:sz="4" w:space="0" w:color="auto"/>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2F6D67EF" w14:textId="77777777" w:rsidR="00D210F0" w:rsidRPr="00092ED7" w:rsidRDefault="00D210F0" w:rsidP="00D210F0">
            <w:pPr>
              <w:spacing w:after="0"/>
              <w:rPr>
                <w:rFonts w:cs="Times New Roman"/>
                <w:color w:val="000000"/>
                <w:sz w:val="20"/>
                <w:szCs w:val="20"/>
                <w:lang w:val="sr-Cyrl-CS"/>
              </w:rPr>
            </w:pPr>
          </w:p>
        </w:tc>
      </w:tr>
    </w:tbl>
    <w:p w14:paraId="103A69D9" w14:textId="77777777" w:rsidR="00D210F0" w:rsidRPr="00092ED7" w:rsidRDefault="00D210F0" w:rsidP="00071952">
      <w:pPr>
        <w:widowControl w:val="0"/>
        <w:numPr>
          <w:ilvl w:val="0"/>
          <w:numId w:val="30"/>
        </w:numPr>
        <w:spacing w:before="120"/>
        <w:ind w:left="425" w:hanging="425"/>
        <w:rPr>
          <w:rFonts w:cs="Times New Roman"/>
          <w:b/>
          <w:bCs/>
          <w:szCs w:val="24"/>
          <w:lang w:val="sr-Cyrl-CS"/>
        </w:rPr>
      </w:pPr>
      <w:r w:rsidRPr="00092ED7">
        <w:rPr>
          <w:rFonts w:cs="Times New Roman"/>
          <w:b/>
          <w:bCs/>
          <w:szCs w:val="24"/>
          <w:lang w:val="sr-Cyrl-CS"/>
        </w:rPr>
        <w:t>Индикатори ризика</w:t>
      </w:r>
    </w:p>
    <w:tbl>
      <w:tblPr>
        <w:tblStyle w:val="TableGrid"/>
        <w:tblW w:w="9209" w:type="dxa"/>
        <w:jc w:val="center"/>
        <w:tblLayout w:type="fixed"/>
        <w:tblLook w:val="04A0" w:firstRow="1" w:lastRow="0" w:firstColumn="1" w:lastColumn="0" w:noHBand="0" w:noVBand="1"/>
      </w:tblPr>
      <w:tblGrid>
        <w:gridCol w:w="3685"/>
        <w:gridCol w:w="1980"/>
        <w:gridCol w:w="1702"/>
        <w:gridCol w:w="1842"/>
      </w:tblGrid>
      <w:tr w:rsidR="00D210F0" w:rsidRPr="00092ED7" w14:paraId="44F148F0" w14:textId="77777777" w:rsidTr="00E44EF2">
        <w:trPr>
          <w:cnfStyle w:val="100000000000" w:firstRow="1" w:lastRow="0" w:firstColumn="0" w:lastColumn="0" w:oddVBand="0" w:evenVBand="0" w:oddHBand="0" w:evenHBand="0" w:firstRowFirstColumn="0" w:firstRowLastColumn="0" w:lastRowFirstColumn="0" w:lastRowLastColumn="0"/>
          <w:trHeight w:val="358"/>
          <w:jc w:val="center"/>
        </w:trPr>
        <w:tc>
          <w:tcPr>
            <w:tcW w:w="3685" w:type="dxa"/>
            <w:tcBorders>
              <w:top w:val="single" w:sz="4" w:space="0" w:color="auto"/>
              <w:left w:val="single" w:sz="4" w:space="0" w:color="auto"/>
              <w:bottom w:val="single" w:sz="4" w:space="0" w:color="auto"/>
              <w:right w:val="single" w:sz="4" w:space="0" w:color="auto"/>
            </w:tcBorders>
          </w:tcPr>
          <w:p w14:paraId="2BFB572A" w14:textId="77777777" w:rsidR="00D210F0" w:rsidRPr="00092ED7" w:rsidRDefault="00D210F0" w:rsidP="00C429AB">
            <w:pPr>
              <w:spacing w:before="0" w:after="0"/>
              <w:ind w:left="113" w:right="113"/>
              <w:jc w:val="center"/>
              <w:rPr>
                <w:rFonts w:cs="Times New Roman"/>
                <w:sz w:val="20"/>
                <w:lang w:val="sr-Cyrl-CS"/>
              </w:rPr>
            </w:pPr>
            <w:r w:rsidRPr="00092ED7">
              <w:rPr>
                <w:rFonts w:cs="Times New Roman"/>
                <w:sz w:val="20"/>
                <w:lang w:val="sr-Cyrl-CS"/>
              </w:rPr>
              <w:t>Показатељ</w:t>
            </w:r>
          </w:p>
        </w:tc>
        <w:tc>
          <w:tcPr>
            <w:tcW w:w="1980" w:type="dxa"/>
            <w:tcBorders>
              <w:top w:val="single" w:sz="4" w:space="0" w:color="auto"/>
              <w:left w:val="single" w:sz="4" w:space="0" w:color="auto"/>
              <w:bottom w:val="single" w:sz="4" w:space="0" w:color="auto"/>
              <w:right w:val="single" w:sz="4" w:space="0" w:color="auto"/>
            </w:tcBorders>
            <w:hideMark/>
          </w:tcPr>
          <w:p w14:paraId="644BBBF9" w14:textId="77777777" w:rsidR="00D210F0" w:rsidRPr="00092ED7" w:rsidRDefault="00D210F0" w:rsidP="00C429AB">
            <w:pPr>
              <w:spacing w:before="0" w:after="0"/>
              <w:ind w:left="113" w:right="113"/>
              <w:jc w:val="center"/>
              <w:rPr>
                <w:rFonts w:cs="Times New Roman"/>
                <w:b w:val="0"/>
                <w:sz w:val="20"/>
                <w:lang w:val="sr-Cyrl-CS"/>
              </w:rPr>
            </w:pPr>
            <w:r w:rsidRPr="00092ED7">
              <w:rPr>
                <w:rFonts w:cs="Times New Roman"/>
                <w:sz w:val="20"/>
                <w:lang w:val="sr-Cyrl-CS"/>
              </w:rPr>
              <w:t>Почетна вредност</w:t>
            </w:r>
            <w:r w:rsidR="00736556" w:rsidRPr="00092ED7">
              <w:rPr>
                <w:rFonts w:cs="Times New Roman"/>
                <w:sz w:val="20"/>
                <w:lang w:val="sr-Cyrl-CS"/>
              </w:rPr>
              <w:t xml:space="preserve"> (2021)</w:t>
            </w:r>
          </w:p>
        </w:tc>
        <w:tc>
          <w:tcPr>
            <w:tcW w:w="1702" w:type="dxa"/>
            <w:tcBorders>
              <w:top w:val="single" w:sz="4" w:space="0" w:color="auto"/>
              <w:left w:val="single" w:sz="4" w:space="0" w:color="auto"/>
              <w:bottom w:val="single" w:sz="4" w:space="0" w:color="auto"/>
              <w:right w:val="single" w:sz="4" w:space="0" w:color="auto"/>
            </w:tcBorders>
            <w:hideMark/>
          </w:tcPr>
          <w:p w14:paraId="487737DE" w14:textId="77777777" w:rsidR="00D210F0" w:rsidRPr="00092ED7" w:rsidRDefault="00D210F0" w:rsidP="00C429AB">
            <w:pPr>
              <w:spacing w:before="0" w:after="0"/>
              <w:ind w:left="113" w:right="113"/>
              <w:jc w:val="center"/>
              <w:rPr>
                <w:rFonts w:cs="Times New Roman"/>
                <w:b w:val="0"/>
                <w:sz w:val="20"/>
                <w:lang w:val="sr-Cyrl-CS"/>
              </w:rPr>
            </w:pPr>
            <w:r w:rsidRPr="00092ED7">
              <w:rPr>
                <w:rFonts w:cs="Times New Roman"/>
                <w:sz w:val="20"/>
                <w:lang w:val="sr-Cyrl-CS"/>
              </w:rPr>
              <w:t>Међурезултат</w:t>
            </w:r>
            <w:r w:rsidR="00E44EF2" w:rsidRPr="00092ED7">
              <w:rPr>
                <w:rFonts w:cs="Times New Roman"/>
                <w:sz w:val="20"/>
                <w:lang w:val="sr-Cyrl-CS"/>
              </w:rPr>
              <w:t xml:space="preserve"> </w:t>
            </w:r>
            <w:r w:rsidR="00E44EF2" w:rsidRPr="00092ED7">
              <w:rPr>
                <w:rFonts w:eastAsia="Times New Roman" w:cs="Times New Roman"/>
                <w:sz w:val="20"/>
                <w:lang w:val="sr-Cyrl-CS"/>
              </w:rPr>
              <w:t>(2024)</w:t>
            </w:r>
          </w:p>
        </w:tc>
        <w:tc>
          <w:tcPr>
            <w:tcW w:w="1842" w:type="dxa"/>
            <w:tcBorders>
              <w:top w:val="single" w:sz="4" w:space="0" w:color="auto"/>
              <w:left w:val="single" w:sz="4" w:space="0" w:color="auto"/>
              <w:bottom w:val="single" w:sz="4" w:space="0" w:color="auto"/>
              <w:right w:val="single" w:sz="4" w:space="0" w:color="auto"/>
            </w:tcBorders>
            <w:hideMark/>
          </w:tcPr>
          <w:p w14:paraId="20A71585" w14:textId="77777777" w:rsidR="00D210F0" w:rsidRPr="00092ED7" w:rsidRDefault="00D210F0" w:rsidP="00C429AB">
            <w:pPr>
              <w:spacing w:before="0" w:after="0"/>
              <w:ind w:left="113" w:right="113"/>
              <w:jc w:val="center"/>
              <w:rPr>
                <w:rFonts w:cs="Times New Roman"/>
                <w:b w:val="0"/>
                <w:sz w:val="20"/>
                <w:lang w:val="sr-Cyrl-CS"/>
              </w:rPr>
            </w:pPr>
            <w:r w:rsidRPr="00092ED7">
              <w:rPr>
                <w:rFonts w:cs="Times New Roman"/>
                <w:sz w:val="20"/>
                <w:lang w:val="sr-Cyrl-CS"/>
              </w:rPr>
              <w:t>Циљна вредност</w:t>
            </w:r>
            <w:r w:rsidR="00E44EF2" w:rsidRPr="00092ED7">
              <w:rPr>
                <w:rFonts w:cs="Times New Roman"/>
                <w:sz w:val="20"/>
                <w:lang w:val="sr-Cyrl-CS"/>
              </w:rPr>
              <w:t xml:space="preserve"> </w:t>
            </w:r>
            <w:r w:rsidR="00E44EF2" w:rsidRPr="00092ED7">
              <w:rPr>
                <w:rFonts w:eastAsia="Times New Roman" w:cs="Times New Roman"/>
                <w:sz w:val="20"/>
                <w:lang w:val="sr-Cyrl-CS"/>
              </w:rPr>
              <w:t>(2025)</w:t>
            </w:r>
          </w:p>
        </w:tc>
      </w:tr>
      <w:tr w:rsidR="00D210F0" w:rsidRPr="00092ED7" w14:paraId="6DC5B728" w14:textId="77777777" w:rsidTr="00E44EF2">
        <w:trPr>
          <w:trHeight w:val="20"/>
          <w:jc w:val="center"/>
        </w:trPr>
        <w:tc>
          <w:tcPr>
            <w:tcW w:w="3685" w:type="dxa"/>
            <w:tcBorders>
              <w:top w:val="single" w:sz="4" w:space="0" w:color="auto"/>
              <w:left w:val="single" w:sz="4" w:space="0" w:color="auto"/>
              <w:bottom w:val="single" w:sz="4" w:space="0" w:color="auto"/>
              <w:right w:val="single" w:sz="4" w:space="0" w:color="auto"/>
            </w:tcBorders>
            <w:hideMark/>
          </w:tcPr>
          <w:p w14:paraId="7787ECCF" w14:textId="77777777" w:rsidR="00D210F0" w:rsidRPr="00092ED7" w:rsidRDefault="00D210F0" w:rsidP="00C429AB">
            <w:pPr>
              <w:spacing w:before="0" w:after="0"/>
              <w:ind w:left="113" w:right="113"/>
              <w:rPr>
                <w:rFonts w:cs="Times New Roman"/>
                <w:b/>
                <w:sz w:val="20"/>
                <w:lang w:val="sr-Cyrl-CS"/>
              </w:rPr>
            </w:pPr>
            <w:r w:rsidRPr="00092ED7">
              <w:rPr>
                <w:rFonts w:eastAsia="Times New Roman" w:cs="Times New Roman"/>
                <w:sz w:val="20"/>
                <w:lang w:val="sr-Cyrl-CS"/>
              </w:rPr>
              <w:t xml:space="preserve">Број реализованих решења за паметне градове (кумулатив) </w:t>
            </w:r>
          </w:p>
        </w:tc>
        <w:tc>
          <w:tcPr>
            <w:tcW w:w="1980" w:type="dxa"/>
            <w:tcBorders>
              <w:top w:val="single" w:sz="4" w:space="0" w:color="auto"/>
              <w:left w:val="single" w:sz="4" w:space="0" w:color="auto"/>
              <w:bottom w:val="single" w:sz="4" w:space="0" w:color="auto"/>
              <w:right w:val="single" w:sz="4" w:space="0" w:color="auto"/>
            </w:tcBorders>
            <w:hideMark/>
          </w:tcPr>
          <w:p w14:paraId="3494C84C" w14:textId="77777777" w:rsidR="00D210F0" w:rsidRPr="00092ED7" w:rsidRDefault="00D210F0" w:rsidP="00736556">
            <w:pPr>
              <w:spacing w:before="0" w:after="0"/>
              <w:ind w:left="113" w:right="113"/>
              <w:jc w:val="center"/>
              <w:rPr>
                <w:rFonts w:eastAsia="Times New Roman" w:cs="Times New Roman"/>
                <w:sz w:val="20"/>
                <w:lang w:val="sr-Cyrl-CS"/>
              </w:rPr>
            </w:pPr>
            <w:r w:rsidRPr="00092ED7">
              <w:rPr>
                <w:rFonts w:eastAsia="Times New Roman" w:cs="Times New Roman"/>
                <w:sz w:val="20"/>
                <w:lang w:val="sr-Cyrl-CS"/>
              </w:rPr>
              <w:t xml:space="preserve">0 </w:t>
            </w:r>
          </w:p>
        </w:tc>
        <w:tc>
          <w:tcPr>
            <w:tcW w:w="1702" w:type="dxa"/>
            <w:tcBorders>
              <w:top w:val="single" w:sz="4" w:space="0" w:color="auto"/>
              <w:left w:val="single" w:sz="4" w:space="0" w:color="auto"/>
              <w:bottom w:val="single" w:sz="4" w:space="0" w:color="auto"/>
              <w:right w:val="single" w:sz="4" w:space="0" w:color="auto"/>
            </w:tcBorders>
            <w:hideMark/>
          </w:tcPr>
          <w:p w14:paraId="4AD4D244" w14:textId="77777777" w:rsidR="00D210F0" w:rsidRPr="00092ED7" w:rsidRDefault="00D210F0" w:rsidP="00E44EF2">
            <w:pPr>
              <w:spacing w:before="0" w:after="0"/>
              <w:ind w:left="113" w:right="113"/>
              <w:jc w:val="center"/>
              <w:rPr>
                <w:rFonts w:cs="Times New Roman"/>
                <w:b/>
                <w:sz w:val="20"/>
                <w:lang w:val="sr-Cyrl-CS"/>
              </w:rPr>
            </w:pPr>
            <w:r w:rsidRPr="00092ED7">
              <w:rPr>
                <w:rFonts w:eastAsia="Times New Roman" w:cs="Times New Roman"/>
                <w:sz w:val="20"/>
                <w:lang w:val="sr-Cyrl-CS"/>
              </w:rPr>
              <w:t>2</w:t>
            </w:r>
          </w:p>
        </w:tc>
        <w:tc>
          <w:tcPr>
            <w:tcW w:w="1842" w:type="dxa"/>
            <w:tcBorders>
              <w:top w:val="single" w:sz="4" w:space="0" w:color="auto"/>
              <w:left w:val="single" w:sz="4" w:space="0" w:color="auto"/>
              <w:bottom w:val="single" w:sz="4" w:space="0" w:color="auto"/>
              <w:right w:val="single" w:sz="4" w:space="0" w:color="auto"/>
            </w:tcBorders>
            <w:hideMark/>
          </w:tcPr>
          <w:p w14:paraId="61935F8E" w14:textId="77777777" w:rsidR="00D210F0" w:rsidRPr="00092ED7" w:rsidRDefault="00D210F0" w:rsidP="00E44EF2">
            <w:pPr>
              <w:spacing w:before="0" w:after="0"/>
              <w:ind w:left="113" w:right="113"/>
              <w:jc w:val="center"/>
              <w:rPr>
                <w:rFonts w:cs="Times New Roman"/>
                <w:b/>
                <w:sz w:val="20"/>
                <w:lang w:val="sr-Cyrl-CS"/>
              </w:rPr>
            </w:pPr>
            <w:r w:rsidRPr="00092ED7">
              <w:rPr>
                <w:rFonts w:eastAsia="Times New Roman" w:cs="Times New Roman"/>
                <w:sz w:val="20"/>
                <w:lang w:val="sr-Cyrl-CS"/>
              </w:rPr>
              <w:t>3</w:t>
            </w:r>
          </w:p>
        </w:tc>
      </w:tr>
      <w:tr w:rsidR="00D210F0" w:rsidRPr="00092ED7" w14:paraId="450E5044" w14:textId="77777777" w:rsidTr="00E44EF2">
        <w:trPr>
          <w:trHeight w:val="20"/>
          <w:jc w:val="center"/>
        </w:trPr>
        <w:tc>
          <w:tcPr>
            <w:tcW w:w="3685" w:type="dxa"/>
            <w:tcBorders>
              <w:top w:val="single" w:sz="4" w:space="0" w:color="auto"/>
              <w:left w:val="single" w:sz="4" w:space="0" w:color="auto"/>
              <w:bottom w:val="single" w:sz="4" w:space="0" w:color="auto"/>
              <w:right w:val="single" w:sz="4" w:space="0" w:color="auto"/>
            </w:tcBorders>
            <w:hideMark/>
          </w:tcPr>
          <w:p w14:paraId="55105AF0" w14:textId="742628D3" w:rsidR="00D210F0" w:rsidRPr="00092ED7" w:rsidRDefault="00D210F0" w:rsidP="00C429AB">
            <w:pPr>
              <w:spacing w:before="0" w:after="0"/>
              <w:ind w:left="113" w:right="113"/>
              <w:rPr>
                <w:rFonts w:cs="Times New Roman"/>
                <w:b/>
                <w:sz w:val="20"/>
                <w:lang w:val="sr-Cyrl-CS"/>
              </w:rPr>
            </w:pPr>
            <w:r w:rsidRPr="00092ED7">
              <w:rPr>
                <w:rFonts w:eastAsia="Times New Roman" w:cs="Times New Roman"/>
                <w:sz w:val="20"/>
                <w:lang w:val="sr-Cyrl-CS"/>
              </w:rPr>
              <w:t>Број образовних институција и привредних субјеката која користе капацитете „Иновационог дистрикта</w:t>
            </w:r>
            <w:r w:rsidR="0015547E" w:rsidRPr="00092ED7">
              <w:rPr>
                <w:rFonts w:cs="Times New Roman"/>
                <w:sz w:val="20"/>
                <w:lang w:val="sr-Cyrl-CS"/>
              </w:rPr>
              <w:t>”</w:t>
            </w:r>
          </w:p>
        </w:tc>
        <w:tc>
          <w:tcPr>
            <w:tcW w:w="1980" w:type="dxa"/>
            <w:tcBorders>
              <w:top w:val="single" w:sz="4" w:space="0" w:color="auto"/>
              <w:left w:val="single" w:sz="4" w:space="0" w:color="auto"/>
              <w:bottom w:val="single" w:sz="4" w:space="0" w:color="auto"/>
              <w:right w:val="single" w:sz="4" w:space="0" w:color="auto"/>
            </w:tcBorders>
            <w:hideMark/>
          </w:tcPr>
          <w:p w14:paraId="6F7D881E" w14:textId="77777777" w:rsidR="00D210F0" w:rsidRPr="00092ED7" w:rsidRDefault="00D210F0" w:rsidP="00736556">
            <w:pPr>
              <w:spacing w:before="0" w:after="0"/>
              <w:ind w:left="113" w:right="113"/>
              <w:jc w:val="center"/>
              <w:rPr>
                <w:rFonts w:cs="Times New Roman"/>
                <w:b/>
                <w:sz w:val="20"/>
                <w:lang w:val="sr-Cyrl-CS"/>
              </w:rPr>
            </w:pPr>
            <w:r w:rsidRPr="00092ED7">
              <w:rPr>
                <w:rFonts w:eastAsia="Times New Roman" w:cs="Times New Roman"/>
                <w:sz w:val="20"/>
                <w:lang w:val="sr-Cyrl-CS"/>
              </w:rPr>
              <w:t xml:space="preserve">0 </w:t>
            </w:r>
          </w:p>
        </w:tc>
        <w:tc>
          <w:tcPr>
            <w:tcW w:w="1702" w:type="dxa"/>
            <w:tcBorders>
              <w:top w:val="single" w:sz="4" w:space="0" w:color="auto"/>
              <w:left w:val="single" w:sz="4" w:space="0" w:color="auto"/>
              <w:bottom w:val="single" w:sz="4" w:space="0" w:color="auto"/>
              <w:right w:val="single" w:sz="4" w:space="0" w:color="auto"/>
            </w:tcBorders>
            <w:hideMark/>
          </w:tcPr>
          <w:p w14:paraId="3DDBEC6C" w14:textId="77777777" w:rsidR="00D210F0" w:rsidRPr="00092ED7" w:rsidRDefault="00E44EF2" w:rsidP="00E44EF2">
            <w:pPr>
              <w:spacing w:before="0" w:after="0"/>
              <w:ind w:left="113" w:right="113"/>
              <w:jc w:val="center"/>
              <w:rPr>
                <w:rFonts w:cs="Times New Roman"/>
                <w:b/>
                <w:sz w:val="20"/>
                <w:lang w:val="sr-Cyrl-CS"/>
              </w:rPr>
            </w:pPr>
            <w:r w:rsidRPr="00092ED7">
              <w:rPr>
                <w:rFonts w:eastAsia="Times New Roman" w:cs="Times New Roman"/>
                <w:sz w:val="20"/>
                <w:lang w:val="sr-Cyrl-CS"/>
              </w:rPr>
              <w:t>0</w:t>
            </w:r>
          </w:p>
        </w:tc>
        <w:tc>
          <w:tcPr>
            <w:tcW w:w="1842" w:type="dxa"/>
            <w:tcBorders>
              <w:top w:val="single" w:sz="4" w:space="0" w:color="auto"/>
              <w:left w:val="single" w:sz="4" w:space="0" w:color="auto"/>
              <w:bottom w:val="single" w:sz="4" w:space="0" w:color="auto"/>
              <w:right w:val="single" w:sz="4" w:space="0" w:color="auto"/>
            </w:tcBorders>
            <w:hideMark/>
          </w:tcPr>
          <w:p w14:paraId="3909B916" w14:textId="77777777" w:rsidR="00D210F0" w:rsidRPr="00092ED7" w:rsidRDefault="00E44EF2" w:rsidP="00E44EF2">
            <w:pPr>
              <w:spacing w:before="0" w:after="0"/>
              <w:ind w:left="113" w:right="113"/>
              <w:jc w:val="center"/>
              <w:rPr>
                <w:rFonts w:cs="Times New Roman"/>
                <w:b/>
                <w:sz w:val="20"/>
                <w:lang w:val="sr-Cyrl-CS"/>
              </w:rPr>
            </w:pPr>
            <w:r w:rsidRPr="00092ED7">
              <w:rPr>
                <w:rFonts w:eastAsia="Times New Roman" w:cs="Times New Roman"/>
                <w:sz w:val="20"/>
                <w:lang w:val="sr-Cyrl-CS"/>
              </w:rPr>
              <w:t>10</w:t>
            </w:r>
          </w:p>
        </w:tc>
      </w:tr>
    </w:tbl>
    <w:p w14:paraId="512A2149" w14:textId="77777777" w:rsidR="00D210F0" w:rsidRPr="00092ED7" w:rsidRDefault="00D210F0" w:rsidP="00071952">
      <w:pPr>
        <w:widowControl w:val="0"/>
        <w:numPr>
          <w:ilvl w:val="0"/>
          <w:numId w:val="30"/>
        </w:numPr>
        <w:spacing w:before="120"/>
        <w:ind w:left="425" w:hanging="425"/>
        <w:rPr>
          <w:rFonts w:cs="Times New Roman"/>
          <w:b/>
          <w:bCs/>
          <w:szCs w:val="24"/>
          <w:lang w:val="sr-Cyrl-CS"/>
        </w:rPr>
      </w:pPr>
      <w:r w:rsidRPr="00092ED7">
        <w:rPr>
          <w:b/>
          <w:szCs w:val="24"/>
          <w:lang w:val="sr-Cyrl-CS"/>
        </w:rPr>
        <w:lastRenderedPageBreak/>
        <w:t>Oчекивани утицај на конкурентност</w:t>
      </w:r>
    </w:p>
    <w:p w14:paraId="584BCC87" w14:textId="100DAB9C" w:rsidR="00BE7331" w:rsidRPr="00092ED7" w:rsidRDefault="002102A7" w:rsidP="008A6DAE">
      <w:pPr>
        <w:widowControl w:val="0"/>
        <w:spacing w:after="60"/>
        <w:rPr>
          <w:rFonts w:eastAsia="Times New Roman" w:cs="Times New Roman"/>
          <w:color w:val="000000" w:themeColor="text1"/>
          <w:szCs w:val="24"/>
          <w:lang w:val="sr-Cyrl-CS"/>
        </w:rPr>
      </w:pPr>
      <w:r w:rsidRPr="00092ED7">
        <w:rPr>
          <w:rFonts w:eastAsia="Times New Roman" w:cs="Times New Roman"/>
          <w:color w:val="000000" w:themeColor="text1"/>
          <w:szCs w:val="24"/>
          <w:lang w:val="sr-Cyrl-CS"/>
        </w:rPr>
        <w:t>Све активности ове реформе усмерене су на стварање стимулативног окружења за развој иновативних ИТ решења путем неопходне техничке инфраструктуре</w:t>
      </w:r>
      <w:r w:rsidR="003F4432" w:rsidRPr="00092ED7">
        <w:rPr>
          <w:rFonts w:eastAsia="Times New Roman" w:cs="Times New Roman"/>
          <w:color w:val="000000" w:themeColor="text1"/>
          <w:szCs w:val="24"/>
          <w:lang w:val="sr-Cyrl-CS"/>
        </w:rPr>
        <w:t>,</w:t>
      </w:r>
      <w:r w:rsidRPr="00092ED7">
        <w:rPr>
          <w:rFonts w:eastAsia="Times New Roman" w:cs="Times New Roman"/>
          <w:color w:val="000000" w:themeColor="text1"/>
          <w:szCs w:val="24"/>
          <w:lang w:val="sr-Cyrl-CS"/>
        </w:rPr>
        <w:t xml:space="preserve"> </w:t>
      </w:r>
      <w:r w:rsidR="003F4432" w:rsidRPr="00092ED7">
        <w:rPr>
          <w:rFonts w:eastAsia="Times New Roman" w:cs="Times New Roman"/>
          <w:color w:val="000000" w:themeColor="text1"/>
          <w:szCs w:val="24"/>
          <w:lang w:val="sr-Cyrl-CS"/>
        </w:rPr>
        <w:t>што</w:t>
      </w:r>
      <w:r w:rsidRPr="00092ED7">
        <w:rPr>
          <w:rFonts w:eastAsia="Times New Roman" w:cs="Times New Roman"/>
          <w:color w:val="000000" w:themeColor="text1"/>
          <w:szCs w:val="24"/>
          <w:lang w:val="sr-Cyrl-CS"/>
        </w:rPr>
        <w:t xml:space="preserve"> има значајан утицај на конкурентност у овој области, обзиром да је технолошки напредак неминован, а ИТ услуге и производи повећавају свој удео у БДП-у, из године у годину.</w:t>
      </w:r>
      <w:r w:rsidR="00B72A28" w:rsidRPr="00092ED7">
        <w:rPr>
          <w:rFonts w:eastAsia="Times New Roman" w:cs="Times New Roman"/>
          <w:color w:val="000000" w:themeColor="text1"/>
          <w:szCs w:val="24"/>
          <w:lang w:val="sr-Cyrl-CS"/>
        </w:rPr>
        <w:t xml:space="preserve"> </w:t>
      </w:r>
      <w:r w:rsidRPr="00092ED7">
        <w:rPr>
          <w:rFonts w:eastAsia="Times New Roman" w:cs="Times New Roman"/>
          <w:color w:val="000000" w:themeColor="text1"/>
          <w:szCs w:val="24"/>
          <w:lang w:val="sr-Cyrl-CS"/>
        </w:rPr>
        <w:t>Све активности предвиђене овом мером имају за циљ да обезбеде неопходну техничку инфрастуктуру, али и да створе стимулативно окружење за развој иновативних ИТ решења. Извоз ИТ услуга и производа у претходној години износио је 1,5 милијарди евра. Процене су да ће тај сектор ускоро имати удео у БДП-у у висини од око 10%, и да ће престићи пољопривредни сектор.</w:t>
      </w:r>
    </w:p>
    <w:p w14:paraId="6EF23D2B" w14:textId="77777777" w:rsidR="00D210F0" w:rsidRPr="00092ED7" w:rsidRDefault="00D210F0" w:rsidP="00BE7331">
      <w:pPr>
        <w:widowControl w:val="0"/>
        <w:numPr>
          <w:ilvl w:val="0"/>
          <w:numId w:val="30"/>
        </w:numPr>
        <w:spacing w:before="120"/>
        <w:ind w:left="425" w:hanging="425"/>
        <w:rPr>
          <w:b/>
          <w:szCs w:val="24"/>
          <w:lang w:val="sr-Cyrl-CS"/>
        </w:rPr>
      </w:pPr>
      <w:r w:rsidRPr="00092ED7">
        <w:rPr>
          <w:b/>
          <w:szCs w:val="24"/>
          <w:lang w:val="sr-Cyrl-CS"/>
        </w:rPr>
        <w:t>Процењени трошкови спровођења структурне реформе и предвиђени извори њиховог финансирања</w:t>
      </w:r>
    </w:p>
    <w:p w14:paraId="5E218A90" w14:textId="52CB1D1A" w:rsidR="00C178AA" w:rsidRPr="00092ED7" w:rsidRDefault="00C178AA" w:rsidP="008A6DAE">
      <w:pPr>
        <w:widowControl w:val="0"/>
        <w:spacing w:after="60"/>
        <w:rPr>
          <w:rFonts w:eastAsia="Times New Roman" w:cs="Times New Roman"/>
          <w:color w:val="000000" w:themeColor="text1"/>
          <w:szCs w:val="24"/>
          <w:lang w:val="sr-Cyrl-CS"/>
        </w:rPr>
      </w:pPr>
      <w:r w:rsidRPr="00092ED7">
        <w:rPr>
          <w:rFonts w:eastAsia="Times New Roman" w:cs="Times New Roman"/>
          <w:color w:val="000000" w:themeColor="text1"/>
          <w:szCs w:val="24"/>
          <w:lang w:val="sr-Cyrl-CS"/>
        </w:rPr>
        <w:t>За реализацију пројекта Smart City, који је почео у 2022. години, укупно планирана средства износе 13,79 милиона евра, по годинама: 1,29 милиона евра за 2023, 6,25 милиона евра за 2024. и 6,25 милиона евра за 2025. годину. За реализацију пројекта „Фаза 3 Иновациони дистрикт</w:t>
      </w:r>
      <w:r w:rsidR="003F69E2" w:rsidRPr="00092ED7">
        <w:rPr>
          <w:rFonts w:cs="Times New Roman"/>
          <w:szCs w:val="24"/>
          <w:lang w:val="sr-Cyrl-CS"/>
        </w:rPr>
        <w:t>”</w:t>
      </w:r>
      <w:r w:rsidRPr="00092ED7">
        <w:rPr>
          <w:rFonts w:eastAsia="Times New Roman" w:cs="Times New Roman"/>
          <w:color w:val="000000" w:themeColor="text1"/>
          <w:szCs w:val="24"/>
          <w:lang w:val="sr-Cyrl-CS"/>
        </w:rPr>
        <w:t xml:space="preserve"> </w:t>
      </w:r>
      <w:r w:rsidR="005701C0" w:rsidRPr="00092ED7">
        <w:rPr>
          <w:rFonts w:eastAsia="Times New Roman" w:cs="Times New Roman"/>
          <w:color w:val="000000" w:themeColor="text1"/>
          <w:szCs w:val="24"/>
          <w:lang w:val="sr-Cyrl-CS"/>
        </w:rPr>
        <w:t>ДДЦ</w:t>
      </w:r>
      <w:r w:rsidRPr="00092ED7">
        <w:rPr>
          <w:rFonts w:eastAsia="Times New Roman" w:cs="Times New Roman"/>
          <w:color w:val="000000" w:themeColor="text1"/>
          <w:szCs w:val="24"/>
          <w:lang w:val="sr-Cyrl-CS"/>
        </w:rPr>
        <w:t xml:space="preserve">, који ће започети у 2023. години, и чија ће реализација трајати до краја 2025. године, планирана су укупна средства у износу од </w:t>
      </w:r>
      <w:r w:rsidR="00FD4C33" w:rsidRPr="00092ED7">
        <w:rPr>
          <w:lang w:val="sr-Cyrl-CS"/>
        </w:rPr>
        <w:t xml:space="preserve">22,95 </w:t>
      </w:r>
      <w:r w:rsidRPr="00092ED7">
        <w:rPr>
          <w:rFonts w:eastAsia="Times New Roman" w:cs="Times New Roman"/>
          <w:color w:val="000000" w:themeColor="text1"/>
          <w:szCs w:val="24"/>
          <w:lang w:val="sr-Cyrl-CS"/>
        </w:rPr>
        <w:t xml:space="preserve">милиона евра, по годинама: 6,29 милиона евра за 2023, </w:t>
      </w:r>
      <w:r w:rsidR="00FD4C33" w:rsidRPr="00092ED7">
        <w:rPr>
          <w:lang w:val="sr-Cyrl-CS"/>
        </w:rPr>
        <w:t xml:space="preserve">5,83 </w:t>
      </w:r>
      <w:r w:rsidRPr="00092ED7">
        <w:rPr>
          <w:rFonts w:eastAsia="Times New Roman" w:cs="Times New Roman"/>
          <w:color w:val="000000" w:themeColor="text1"/>
          <w:szCs w:val="24"/>
          <w:lang w:val="sr-Cyrl-CS"/>
        </w:rPr>
        <w:t>милиона евра за 2024. и 10,83 милиона евра за 2025. годину. Извор финансирања за оба пројекта и све планиране активности је буџет Р</w:t>
      </w:r>
      <w:r w:rsidR="005701C0" w:rsidRPr="00092ED7">
        <w:rPr>
          <w:rFonts w:eastAsia="Times New Roman" w:cs="Times New Roman"/>
          <w:color w:val="000000" w:themeColor="text1"/>
          <w:szCs w:val="24"/>
          <w:lang w:val="sr-Cyrl-CS"/>
        </w:rPr>
        <w:t xml:space="preserve">епублике </w:t>
      </w:r>
      <w:r w:rsidRPr="00092ED7">
        <w:rPr>
          <w:rFonts w:eastAsia="Times New Roman" w:cs="Times New Roman"/>
          <w:color w:val="000000" w:themeColor="text1"/>
          <w:szCs w:val="24"/>
          <w:lang w:val="sr-Cyrl-CS"/>
        </w:rPr>
        <w:t>С</w:t>
      </w:r>
      <w:r w:rsidR="005701C0" w:rsidRPr="00092ED7">
        <w:rPr>
          <w:rFonts w:eastAsia="Times New Roman" w:cs="Times New Roman"/>
          <w:color w:val="000000" w:themeColor="text1"/>
          <w:szCs w:val="24"/>
          <w:lang w:val="sr-Cyrl-CS"/>
        </w:rPr>
        <w:t>рбије</w:t>
      </w:r>
      <w:r w:rsidRPr="00092ED7">
        <w:rPr>
          <w:rFonts w:eastAsia="Times New Roman" w:cs="Times New Roman"/>
          <w:color w:val="000000" w:themeColor="text1"/>
          <w:szCs w:val="24"/>
          <w:lang w:val="sr-Cyrl-CS"/>
        </w:rPr>
        <w:t>. Две су базне године – 2018. и 2022.</w:t>
      </w:r>
    </w:p>
    <w:p w14:paraId="47CD9E8A" w14:textId="77777777" w:rsidR="00D210F0" w:rsidRPr="00092ED7" w:rsidRDefault="00D210F0" w:rsidP="008C38F5">
      <w:pPr>
        <w:widowControl w:val="0"/>
        <w:numPr>
          <w:ilvl w:val="0"/>
          <w:numId w:val="30"/>
        </w:numPr>
        <w:spacing w:before="120"/>
        <w:ind w:left="425" w:hanging="425"/>
        <w:rPr>
          <w:b/>
          <w:szCs w:val="24"/>
          <w:lang w:val="sr-Cyrl-CS"/>
        </w:rPr>
      </w:pPr>
      <w:r w:rsidRPr="00092ED7">
        <w:rPr>
          <w:b/>
          <w:szCs w:val="24"/>
          <w:lang w:val="sr-Cyrl-CS"/>
        </w:rPr>
        <w:t>Очекивани утицај на социјалне циљеве, као што су запосленост, смањење сиромаштва, родна равноправност и приступ здравственој заштити</w:t>
      </w:r>
    </w:p>
    <w:p w14:paraId="3647E103" w14:textId="77777777" w:rsidR="00D06BBD" w:rsidRPr="00092ED7" w:rsidRDefault="00D50025" w:rsidP="008A6DAE">
      <w:pPr>
        <w:widowControl w:val="0"/>
        <w:spacing w:after="60"/>
        <w:rPr>
          <w:rFonts w:eastAsia="Times New Roman" w:cs="Times New Roman"/>
          <w:color w:val="000000" w:themeColor="text1"/>
          <w:szCs w:val="24"/>
          <w:lang w:val="sr-Cyrl-CS"/>
        </w:rPr>
      </w:pPr>
      <w:r w:rsidRPr="00092ED7">
        <w:rPr>
          <w:rFonts w:eastAsia="Times New Roman" w:cs="Times New Roman"/>
          <w:color w:val="000000" w:themeColor="text1"/>
          <w:szCs w:val="24"/>
          <w:lang w:val="sr-Cyrl-CS"/>
        </w:rPr>
        <w:t>Реформа ствара услове за повећање обима посла и запослености, посебно у области ИТ услуга и производа јер директно утиче на развој талената ученика и студената који своје идеје и знање могу да пласирају на тржишту и да се адекватно запосле. Самим тим, ова реформа на индиректан начин утуче и на смањење сиромаштва, пре свега кроз смањење незапослености поменутих категорија. Кроз јачање конкурентности и примену иновативних решења утиче се и на квалитет живота. Мера позитивно утиче на родну равноправност.</w:t>
      </w:r>
    </w:p>
    <w:p w14:paraId="7E8FF180" w14:textId="77777777" w:rsidR="00D210F0" w:rsidRPr="00092ED7" w:rsidRDefault="00D210F0" w:rsidP="00071952">
      <w:pPr>
        <w:widowControl w:val="0"/>
        <w:numPr>
          <w:ilvl w:val="0"/>
          <w:numId w:val="30"/>
        </w:numPr>
        <w:spacing w:before="120"/>
        <w:ind w:left="425" w:hanging="425"/>
        <w:rPr>
          <w:rFonts w:cs="Times New Roman"/>
          <w:b/>
          <w:szCs w:val="24"/>
          <w:lang w:val="sr-Cyrl-CS"/>
        </w:rPr>
      </w:pPr>
      <w:r w:rsidRPr="00092ED7">
        <w:rPr>
          <w:rFonts w:cs="Times New Roman"/>
          <w:b/>
          <w:szCs w:val="24"/>
          <w:lang w:val="sr-Cyrl-CS"/>
        </w:rPr>
        <w:t>Очекивани утицај на животну средину и климатске промене</w:t>
      </w:r>
    </w:p>
    <w:p w14:paraId="7330AB4A" w14:textId="77777777" w:rsidR="00D210F0" w:rsidRPr="00092ED7" w:rsidRDefault="00F1218E" w:rsidP="008A6DAE">
      <w:pPr>
        <w:widowControl w:val="0"/>
        <w:tabs>
          <w:tab w:val="left" w:pos="360"/>
        </w:tabs>
        <w:spacing w:after="60"/>
        <w:rPr>
          <w:rFonts w:eastAsia="Calibri" w:cs="Times New Roman"/>
          <w:szCs w:val="24"/>
          <w:lang w:val="sr-Cyrl-CS"/>
        </w:rPr>
      </w:pPr>
      <w:r w:rsidRPr="00092ED7">
        <w:rPr>
          <w:rFonts w:eastAsia="Times New Roman" w:cs="Times New Roman"/>
          <w:szCs w:val="24"/>
          <w:lang w:val="sr-Cyrl-CS"/>
        </w:rPr>
        <w:t xml:space="preserve">Предност ће имати она </w:t>
      </w:r>
      <w:r w:rsidR="00067265" w:rsidRPr="00092ED7">
        <w:rPr>
          <w:rFonts w:eastAsia="Times New Roman" w:cs="Times New Roman"/>
          <w:szCs w:val="24"/>
          <w:lang w:val="sr-Cyrl-CS"/>
        </w:rPr>
        <w:t xml:space="preserve">иновативна ИТ </w:t>
      </w:r>
      <w:r w:rsidRPr="00092ED7">
        <w:rPr>
          <w:rFonts w:eastAsia="Times New Roman" w:cs="Times New Roman"/>
          <w:szCs w:val="24"/>
          <w:lang w:val="sr-Cyrl-CS"/>
        </w:rPr>
        <w:t xml:space="preserve">решења која ће се бавити заштитом животне средине и која ће утицати на свеобухватни друштвено-економски раст. </w:t>
      </w:r>
    </w:p>
    <w:p w14:paraId="2D283663" w14:textId="77777777" w:rsidR="00D210F0" w:rsidRPr="00092ED7" w:rsidRDefault="00D210F0" w:rsidP="00071952">
      <w:pPr>
        <w:widowControl w:val="0"/>
        <w:numPr>
          <w:ilvl w:val="0"/>
          <w:numId w:val="30"/>
        </w:numPr>
        <w:spacing w:before="120"/>
        <w:ind w:left="425" w:hanging="425"/>
        <w:rPr>
          <w:rFonts w:cs="Times New Roman"/>
          <w:b/>
          <w:szCs w:val="24"/>
          <w:lang w:val="sr-Cyrl-CS"/>
        </w:rPr>
      </w:pPr>
      <w:r w:rsidRPr="00092ED7">
        <w:rPr>
          <w:rFonts w:cs="Times New Roman"/>
          <w:b/>
          <w:szCs w:val="24"/>
          <w:lang w:val="sr-Cyrl-CS"/>
        </w:rPr>
        <w:t>Потенцијални ризици</w:t>
      </w:r>
    </w:p>
    <w:tbl>
      <w:tblPr>
        <w:tblStyle w:val="TableGrid"/>
        <w:tblW w:w="9067" w:type="dxa"/>
        <w:tblLayout w:type="fixed"/>
        <w:tblLook w:val="04A0" w:firstRow="1" w:lastRow="0" w:firstColumn="1" w:lastColumn="0" w:noHBand="0" w:noVBand="1"/>
      </w:tblPr>
      <w:tblGrid>
        <w:gridCol w:w="3231"/>
        <w:gridCol w:w="2098"/>
        <w:gridCol w:w="3738"/>
      </w:tblGrid>
      <w:tr w:rsidR="00D210F0" w:rsidRPr="00092ED7" w14:paraId="2780BE28" w14:textId="77777777" w:rsidTr="00E44EF2">
        <w:trPr>
          <w:cnfStyle w:val="100000000000" w:firstRow="1" w:lastRow="0" w:firstColumn="0" w:lastColumn="0" w:oddVBand="0" w:evenVBand="0" w:oddHBand="0" w:evenHBand="0" w:firstRowFirstColumn="0" w:firstRowLastColumn="0" w:lastRowFirstColumn="0" w:lastRowLastColumn="0"/>
          <w:trHeight w:val="479"/>
        </w:trPr>
        <w:tc>
          <w:tcPr>
            <w:tcW w:w="3231" w:type="dxa"/>
            <w:tcBorders>
              <w:top w:val="single" w:sz="4" w:space="0" w:color="auto"/>
              <w:left w:val="single" w:sz="4" w:space="0" w:color="auto"/>
              <w:bottom w:val="single" w:sz="4" w:space="0" w:color="auto"/>
              <w:right w:val="single" w:sz="4" w:space="0" w:color="auto"/>
            </w:tcBorders>
            <w:hideMark/>
          </w:tcPr>
          <w:p w14:paraId="7ABB3B38" w14:textId="77777777" w:rsidR="00D210F0" w:rsidRPr="00092ED7" w:rsidRDefault="00D210F0" w:rsidP="00C429AB">
            <w:pPr>
              <w:spacing w:before="0" w:after="0"/>
              <w:ind w:left="113" w:right="113"/>
              <w:jc w:val="center"/>
              <w:rPr>
                <w:rFonts w:cs="Times New Roman"/>
                <w:b w:val="0"/>
                <w:sz w:val="20"/>
                <w:lang w:val="sr-Cyrl-CS"/>
              </w:rPr>
            </w:pPr>
            <w:r w:rsidRPr="00092ED7">
              <w:rPr>
                <w:rFonts w:cs="Times New Roman"/>
                <w:sz w:val="20"/>
                <w:lang w:val="sr-Cyrl-CS"/>
              </w:rPr>
              <w:t>Ризик</w:t>
            </w:r>
          </w:p>
        </w:tc>
        <w:tc>
          <w:tcPr>
            <w:tcW w:w="2098" w:type="dxa"/>
            <w:tcBorders>
              <w:top w:val="single" w:sz="4" w:space="0" w:color="auto"/>
              <w:left w:val="single" w:sz="4" w:space="0" w:color="auto"/>
              <w:bottom w:val="single" w:sz="4" w:space="0" w:color="auto"/>
              <w:right w:val="single" w:sz="4" w:space="0" w:color="auto"/>
            </w:tcBorders>
            <w:hideMark/>
          </w:tcPr>
          <w:p w14:paraId="7BDBC994" w14:textId="77777777" w:rsidR="00D210F0" w:rsidRPr="00092ED7" w:rsidRDefault="00D210F0" w:rsidP="00C429AB">
            <w:pPr>
              <w:spacing w:before="0" w:after="0"/>
              <w:ind w:left="113" w:right="113"/>
              <w:jc w:val="center"/>
              <w:rPr>
                <w:rFonts w:cs="Times New Roman"/>
                <w:b w:val="0"/>
                <w:sz w:val="20"/>
                <w:lang w:val="sr-Cyrl-CS"/>
              </w:rPr>
            </w:pPr>
            <w:r w:rsidRPr="00092ED7">
              <w:rPr>
                <w:rFonts w:cs="Times New Roman"/>
                <w:sz w:val="20"/>
                <w:lang w:val="sr-Cyrl-CS"/>
              </w:rPr>
              <w:t>Вероватноћа за остваривање ризика</w:t>
            </w:r>
          </w:p>
        </w:tc>
        <w:tc>
          <w:tcPr>
            <w:tcW w:w="3738" w:type="dxa"/>
            <w:tcBorders>
              <w:top w:val="single" w:sz="4" w:space="0" w:color="auto"/>
              <w:left w:val="single" w:sz="4" w:space="0" w:color="auto"/>
              <w:bottom w:val="single" w:sz="4" w:space="0" w:color="auto"/>
              <w:right w:val="single" w:sz="4" w:space="0" w:color="auto"/>
            </w:tcBorders>
            <w:hideMark/>
          </w:tcPr>
          <w:p w14:paraId="39D124E2" w14:textId="77777777" w:rsidR="00D210F0" w:rsidRPr="00092ED7" w:rsidRDefault="00D210F0" w:rsidP="00C429AB">
            <w:pPr>
              <w:spacing w:before="0" w:after="0"/>
              <w:ind w:left="113" w:right="113"/>
              <w:jc w:val="center"/>
              <w:rPr>
                <w:rFonts w:cs="Times New Roman"/>
                <w:b w:val="0"/>
                <w:sz w:val="20"/>
                <w:lang w:val="sr-Cyrl-CS"/>
              </w:rPr>
            </w:pPr>
            <w:r w:rsidRPr="00092ED7">
              <w:rPr>
                <w:rFonts w:cs="Times New Roman"/>
                <w:sz w:val="20"/>
                <w:lang w:val="sr-Cyrl-CS"/>
              </w:rPr>
              <w:t>Планиране активност за ублажавање негативних ефеката ризика</w:t>
            </w:r>
          </w:p>
        </w:tc>
      </w:tr>
      <w:tr w:rsidR="00D210F0" w:rsidRPr="00092ED7" w14:paraId="7D8DF98E" w14:textId="77777777" w:rsidTr="00757D8D">
        <w:trPr>
          <w:trHeight w:val="20"/>
        </w:trPr>
        <w:tc>
          <w:tcPr>
            <w:tcW w:w="3231" w:type="dxa"/>
            <w:tcBorders>
              <w:top w:val="single" w:sz="4" w:space="0" w:color="auto"/>
              <w:left w:val="single" w:sz="4" w:space="0" w:color="auto"/>
              <w:bottom w:val="single" w:sz="4" w:space="0" w:color="auto"/>
              <w:right w:val="single" w:sz="4" w:space="0" w:color="auto"/>
            </w:tcBorders>
            <w:vAlign w:val="top"/>
            <w:hideMark/>
          </w:tcPr>
          <w:p w14:paraId="110BC606" w14:textId="77777777" w:rsidR="00D210F0" w:rsidRPr="00092ED7" w:rsidRDefault="00D210F0" w:rsidP="00757D8D">
            <w:pPr>
              <w:spacing w:before="0" w:after="0"/>
              <w:ind w:left="113" w:right="113"/>
              <w:rPr>
                <w:rFonts w:cs="Times New Roman"/>
                <w:b/>
                <w:sz w:val="20"/>
                <w:lang w:val="sr-Cyrl-CS"/>
              </w:rPr>
            </w:pPr>
            <w:r w:rsidRPr="00092ED7">
              <w:rPr>
                <w:rFonts w:eastAsia="Times New Roman" w:cs="Times New Roman"/>
                <w:sz w:val="20"/>
                <w:lang w:val="sr-Cyrl-CS"/>
              </w:rPr>
              <w:t>Потешкоће у набавци потребне опреме</w:t>
            </w:r>
          </w:p>
        </w:tc>
        <w:tc>
          <w:tcPr>
            <w:tcW w:w="2098" w:type="dxa"/>
            <w:tcBorders>
              <w:top w:val="single" w:sz="4" w:space="0" w:color="auto"/>
              <w:left w:val="single" w:sz="4" w:space="0" w:color="auto"/>
              <w:bottom w:val="single" w:sz="4" w:space="0" w:color="auto"/>
              <w:right w:val="single" w:sz="4" w:space="0" w:color="auto"/>
            </w:tcBorders>
            <w:vAlign w:val="top"/>
            <w:hideMark/>
          </w:tcPr>
          <w:p w14:paraId="0BB87E38" w14:textId="77777777" w:rsidR="00D210F0" w:rsidRPr="00092ED7" w:rsidRDefault="00D210F0" w:rsidP="00757D8D">
            <w:pPr>
              <w:spacing w:before="0" w:after="0"/>
              <w:ind w:left="113" w:right="113"/>
              <w:jc w:val="center"/>
              <w:rPr>
                <w:rFonts w:cs="Times New Roman"/>
                <w:b/>
                <w:sz w:val="20"/>
                <w:lang w:val="sr-Cyrl-CS"/>
              </w:rPr>
            </w:pPr>
            <w:r w:rsidRPr="00092ED7">
              <w:rPr>
                <w:rFonts w:eastAsia="Times New Roman" w:cs="Times New Roman"/>
                <w:sz w:val="20"/>
                <w:lang w:val="sr-Cyrl-CS"/>
              </w:rPr>
              <w:t>Ниска</w:t>
            </w:r>
          </w:p>
        </w:tc>
        <w:tc>
          <w:tcPr>
            <w:tcW w:w="3738" w:type="dxa"/>
            <w:tcBorders>
              <w:top w:val="single" w:sz="4" w:space="0" w:color="auto"/>
              <w:left w:val="single" w:sz="4" w:space="0" w:color="auto"/>
              <w:bottom w:val="single" w:sz="4" w:space="0" w:color="auto"/>
              <w:right w:val="single" w:sz="4" w:space="0" w:color="auto"/>
            </w:tcBorders>
            <w:vAlign w:val="top"/>
            <w:hideMark/>
          </w:tcPr>
          <w:p w14:paraId="3FCEDA00" w14:textId="777D4773" w:rsidR="00D210F0" w:rsidRPr="00092ED7" w:rsidRDefault="00D210F0" w:rsidP="00757D8D">
            <w:pPr>
              <w:spacing w:before="0" w:after="0"/>
              <w:ind w:left="113" w:right="113"/>
              <w:rPr>
                <w:rFonts w:eastAsia="Times New Roman" w:cs="Times New Roman"/>
                <w:sz w:val="20"/>
                <w:lang w:val="sr-Cyrl-CS"/>
              </w:rPr>
            </w:pPr>
            <w:r w:rsidRPr="00092ED7">
              <w:rPr>
                <w:rFonts w:eastAsia="Times New Roman" w:cs="Times New Roman"/>
                <w:sz w:val="20"/>
                <w:lang w:val="sr-Cyrl-CS"/>
              </w:rPr>
              <w:t xml:space="preserve">Поштовање уговорних одредаба и процедура набавки. Поновно покретање производње код иностраних добављача и несметана дистрибуција опреме до места испоруке зависиће од пандемије </w:t>
            </w:r>
            <w:r w:rsidR="00B94430" w:rsidRPr="00092ED7">
              <w:rPr>
                <w:rFonts w:eastAsia="Times New Roman" w:cs="Times New Roman"/>
                <w:bCs/>
                <w:iCs/>
                <w:sz w:val="20"/>
                <w:lang w:val="sr-Cyrl-CS"/>
              </w:rPr>
              <w:t>COVID</w:t>
            </w:r>
            <w:r w:rsidR="00B94430" w:rsidRPr="00092ED7" w:rsidDel="00B94430">
              <w:rPr>
                <w:rFonts w:eastAsia="Times New Roman" w:cs="Times New Roman"/>
                <w:sz w:val="20"/>
                <w:lang w:val="sr-Cyrl-CS"/>
              </w:rPr>
              <w:t xml:space="preserve"> </w:t>
            </w:r>
            <w:r w:rsidRPr="00092ED7">
              <w:rPr>
                <w:rFonts w:eastAsia="Times New Roman" w:cs="Times New Roman"/>
                <w:sz w:val="20"/>
                <w:lang w:val="sr-Cyrl-CS"/>
              </w:rPr>
              <w:t>-19</w:t>
            </w:r>
            <w:r w:rsidR="00D47BD8" w:rsidRPr="00092ED7">
              <w:rPr>
                <w:rFonts w:eastAsia="Times New Roman" w:cs="Times New Roman"/>
                <w:sz w:val="20"/>
                <w:lang w:val="sr-Cyrl-CS"/>
              </w:rPr>
              <w:t>.</w:t>
            </w:r>
          </w:p>
        </w:tc>
      </w:tr>
      <w:tr w:rsidR="00D210F0" w:rsidRPr="00092ED7" w14:paraId="61AF07F8" w14:textId="77777777" w:rsidTr="00757D8D">
        <w:trPr>
          <w:trHeight w:val="20"/>
        </w:trPr>
        <w:tc>
          <w:tcPr>
            <w:tcW w:w="3231" w:type="dxa"/>
            <w:tcBorders>
              <w:top w:val="single" w:sz="4" w:space="0" w:color="auto"/>
              <w:left w:val="single" w:sz="4" w:space="0" w:color="auto"/>
              <w:bottom w:val="single" w:sz="4" w:space="0" w:color="auto"/>
              <w:right w:val="single" w:sz="4" w:space="0" w:color="auto"/>
            </w:tcBorders>
            <w:vAlign w:val="top"/>
            <w:hideMark/>
          </w:tcPr>
          <w:p w14:paraId="4AABA855" w14:textId="77777777" w:rsidR="00D210F0" w:rsidRPr="00092ED7" w:rsidRDefault="00D210F0" w:rsidP="00757D8D">
            <w:pPr>
              <w:spacing w:before="0" w:after="0"/>
              <w:ind w:left="113" w:right="113"/>
              <w:rPr>
                <w:rFonts w:cs="Times New Roman"/>
                <w:sz w:val="20"/>
                <w:lang w:val="sr-Cyrl-CS"/>
              </w:rPr>
            </w:pPr>
            <w:r w:rsidRPr="00092ED7">
              <w:rPr>
                <w:rFonts w:eastAsia="Times New Roman" w:cs="Times New Roman"/>
                <w:sz w:val="20"/>
                <w:lang w:val="sr-Cyrl-CS"/>
              </w:rPr>
              <w:t>Дуготрајни инсталацијски радови и спремност извођача послова за</w:t>
            </w:r>
            <w:r w:rsidRPr="00092ED7">
              <w:rPr>
                <w:rFonts w:cs="Times New Roman"/>
                <w:sz w:val="20"/>
                <w:lang w:val="sr-Cyrl-CS"/>
              </w:rPr>
              <w:t xml:space="preserve"> </w:t>
            </w:r>
            <w:r w:rsidRPr="00092ED7">
              <w:rPr>
                <w:rFonts w:eastAsia="Times New Roman" w:cs="Times New Roman"/>
                <w:sz w:val="20"/>
                <w:lang w:val="sr-Cyrl-CS"/>
              </w:rPr>
              <w:t>друге кораке процеса</w:t>
            </w:r>
          </w:p>
        </w:tc>
        <w:tc>
          <w:tcPr>
            <w:tcW w:w="2098" w:type="dxa"/>
            <w:tcBorders>
              <w:top w:val="single" w:sz="4" w:space="0" w:color="auto"/>
              <w:left w:val="single" w:sz="4" w:space="0" w:color="auto"/>
              <w:bottom w:val="single" w:sz="4" w:space="0" w:color="auto"/>
              <w:right w:val="single" w:sz="4" w:space="0" w:color="auto"/>
            </w:tcBorders>
            <w:vAlign w:val="top"/>
            <w:hideMark/>
          </w:tcPr>
          <w:p w14:paraId="3665A683" w14:textId="77777777" w:rsidR="00D210F0" w:rsidRPr="00092ED7" w:rsidRDefault="00D210F0" w:rsidP="00757D8D">
            <w:pPr>
              <w:spacing w:before="0" w:after="0"/>
              <w:ind w:left="113" w:right="113"/>
              <w:jc w:val="center"/>
              <w:rPr>
                <w:rFonts w:cs="Times New Roman"/>
                <w:b/>
                <w:sz w:val="20"/>
                <w:lang w:val="sr-Cyrl-CS"/>
              </w:rPr>
            </w:pPr>
            <w:r w:rsidRPr="00092ED7">
              <w:rPr>
                <w:rFonts w:eastAsia="Times New Roman" w:cs="Times New Roman"/>
                <w:sz w:val="20"/>
                <w:lang w:val="sr-Cyrl-CS"/>
              </w:rPr>
              <w:t>Ниска</w:t>
            </w:r>
          </w:p>
        </w:tc>
        <w:tc>
          <w:tcPr>
            <w:tcW w:w="3738" w:type="dxa"/>
            <w:tcBorders>
              <w:top w:val="single" w:sz="4" w:space="0" w:color="auto"/>
              <w:left w:val="single" w:sz="4" w:space="0" w:color="auto"/>
              <w:bottom w:val="single" w:sz="4" w:space="0" w:color="auto"/>
              <w:right w:val="single" w:sz="4" w:space="0" w:color="auto"/>
            </w:tcBorders>
            <w:vAlign w:val="top"/>
            <w:hideMark/>
          </w:tcPr>
          <w:p w14:paraId="74B1BD10" w14:textId="77777777" w:rsidR="00D210F0" w:rsidRPr="00092ED7" w:rsidRDefault="00D210F0" w:rsidP="00757D8D">
            <w:pPr>
              <w:spacing w:before="0" w:after="0"/>
              <w:ind w:left="113" w:right="113"/>
              <w:rPr>
                <w:rFonts w:eastAsia="Times New Roman" w:cs="Times New Roman"/>
                <w:sz w:val="20"/>
                <w:lang w:val="sr-Cyrl-CS"/>
              </w:rPr>
            </w:pPr>
            <w:r w:rsidRPr="00092ED7">
              <w:rPr>
                <w:rFonts w:eastAsia="Times New Roman" w:cs="Times New Roman"/>
                <w:sz w:val="20"/>
                <w:lang w:val="sr-Cyrl-CS"/>
              </w:rPr>
              <w:t>Појачано праћење спровођења планираних активности у складу са предвиђеним роковима</w:t>
            </w:r>
            <w:r w:rsidR="00D47BD8" w:rsidRPr="00092ED7">
              <w:rPr>
                <w:rFonts w:eastAsia="Times New Roman" w:cs="Times New Roman"/>
                <w:sz w:val="20"/>
                <w:lang w:val="sr-Cyrl-CS"/>
              </w:rPr>
              <w:t>.</w:t>
            </w:r>
          </w:p>
        </w:tc>
      </w:tr>
    </w:tbl>
    <w:p w14:paraId="12D1AA5C" w14:textId="77777777" w:rsidR="00D210F0" w:rsidRPr="00092ED7" w:rsidRDefault="00D210F0" w:rsidP="00D210F0">
      <w:pPr>
        <w:spacing w:before="360"/>
        <w:rPr>
          <w:rFonts w:cs="Times New Roman"/>
          <w:b/>
          <w:bCs/>
          <w:szCs w:val="24"/>
          <w:lang w:val="sr-Cyrl-CS"/>
        </w:rPr>
      </w:pPr>
      <w:r w:rsidRPr="00092ED7">
        <w:rPr>
          <w:rFonts w:cs="Times New Roman"/>
          <w:b/>
          <w:bCs/>
          <w:szCs w:val="24"/>
          <w:u w:val="single"/>
          <w:lang w:val="sr-Cyrl-CS"/>
        </w:rPr>
        <w:lastRenderedPageBreak/>
        <w:t>СТРУКТУРНА РЕФОРМА 15</w:t>
      </w:r>
      <w:r w:rsidRPr="00092ED7">
        <w:rPr>
          <w:rFonts w:cs="Times New Roman"/>
          <w:b/>
          <w:bCs/>
          <w:szCs w:val="24"/>
          <w:lang w:val="sr-Cyrl-CS"/>
        </w:rPr>
        <w:t xml:space="preserve">: </w:t>
      </w:r>
      <w:r w:rsidRPr="00092ED7">
        <w:rPr>
          <w:rFonts w:cs="Times New Roman"/>
          <w:szCs w:val="24"/>
          <w:lang w:val="sr-Cyrl-CS"/>
        </w:rPr>
        <w:t>ПОДРШКА РАЗВОЈУ ТАЛЕНАТА И КРЕАТИВНИХ ИНДУСТРИЈА ОСНИВАЊЕМ МУЛТИФУНКЦИОНАЛНОГ ИНОВАТИВНО-КРЕАТИВНОГ ЦЕНТРА ЛОЖИОНИЦА</w:t>
      </w:r>
    </w:p>
    <w:p w14:paraId="1081492A" w14:textId="77777777" w:rsidR="00D210F0" w:rsidRPr="00092ED7" w:rsidRDefault="00D210F0" w:rsidP="00071952">
      <w:pPr>
        <w:widowControl w:val="0"/>
        <w:numPr>
          <w:ilvl w:val="0"/>
          <w:numId w:val="31"/>
        </w:numPr>
        <w:spacing w:before="120"/>
        <w:ind w:left="425" w:hanging="425"/>
        <w:rPr>
          <w:rFonts w:cs="Times New Roman"/>
          <w:b/>
          <w:bCs/>
          <w:szCs w:val="24"/>
          <w:lang w:val="sr-Cyrl-CS"/>
        </w:rPr>
      </w:pPr>
      <w:r w:rsidRPr="00092ED7">
        <w:rPr>
          <w:rFonts w:cs="Times New Roman"/>
          <w:b/>
          <w:bCs/>
          <w:szCs w:val="24"/>
          <w:lang w:val="sr-Cyrl-CS"/>
        </w:rPr>
        <w:t>Опис структурне реформе</w:t>
      </w:r>
    </w:p>
    <w:p w14:paraId="4AE09D82" w14:textId="0769C19D" w:rsidR="00D210F0" w:rsidRPr="00092ED7" w:rsidRDefault="00D210F0" w:rsidP="008A6DAE">
      <w:pPr>
        <w:widowControl w:val="0"/>
        <w:spacing w:after="60"/>
        <w:rPr>
          <w:rFonts w:cs="Times New Roman"/>
          <w:szCs w:val="24"/>
          <w:lang w:val="sr-Cyrl-CS"/>
        </w:rPr>
      </w:pPr>
      <w:r w:rsidRPr="00092ED7">
        <w:rPr>
          <w:rFonts w:cs="Times New Roman"/>
          <w:szCs w:val="24"/>
          <w:lang w:val="sr-Cyrl-CS"/>
        </w:rPr>
        <w:t>Циљ мере је успостављање јединственог простора осмишљеног тако да пружи сву неопходну (техничку) подршку развоју талената и креативних индустрија. Овај будући мултифункционални центар пројектован је тако да омогући: локално и интернационално умрежавање, едукације кроз преношење знања, презентовање примера добре праксе и могућност тестирања својих идеја и решења, као и њихову презентацију заинтересованим привредним субјектима, појединцима, групама и организацијама. Концептом урбане ревитализације који подразумева реконструкцију постојеће зграде Ложионице са водоторњем и изградњу нове анекс пословне зграде као део целине „Београда на води</w:t>
      </w:r>
      <w:r w:rsidR="003F69E2" w:rsidRPr="00092ED7">
        <w:rPr>
          <w:rFonts w:cs="Times New Roman"/>
          <w:szCs w:val="24"/>
          <w:lang w:val="sr-Cyrl-CS"/>
        </w:rPr>
        <w:t>”</w:t>
      </w:r>
      <w:r w:rsidRPr="00092ED7">
        <w:rPr>
          <w:rFonts w:cs="Times New Roman"/>
          <w:szCs w:val="24"/>
          <w:lang w:val="sr-Cyrl-CS"/>
        </w:rPr>
        <w:t xml:space="preserve">, створиће се јавни мултифункционални простор посвећен промовисању иновативности и стваралаштва са могућношћу повезивања и реализације одрживих пословних идеја, док ће анекс пословна зграда бити намењена ИТ индустрији. Осим радова на реконструкцији, планира </w:t>
      </w:r>
      <w:r w:rsidR="00E63AE6" w:rsidRPr="00092ED7">
        <w:rPr>
          <w:rFonts w:cs="Times New Roman"/>
          <w:szCs w:val="24"/>
          <w:lang w:val="sr-Cyrl-CS"/>
        </w:rPr>
        <w:t xml:space="preserve">се </w:t>
      </w:r>
      <w:r w:rsidRPr="00092ED7">
        <w:rPr>
          <w:rFonts w:cs="Times New Roman"/>
          <w:szCs w:val="24"/>
          <w:lang w:val="sr-Cyrl-CS"/>
        </w:rPr>
        <w:t xml:space="preserve">и покретање програма подршке професионалним удружењима и образовних програма за професионалце из области креативних индустрија, затим покретање талент хаба – образовних програма за основце и средњошколце, као и успостављање инкубатора за креативне индустрије. Наратив наслеђа и асоцијација на авангардност железнице у периоду њене изградње у </w:t>
      </w:r>
      <w:r w:rsidR="005701C0" w:rsidRPr="00092ED7">
        <w:rPr>
          <w:rFonts w:cs="Times New Roman"/>
          <w:szCs w:val="24"/>
          <w:lang w:val="sr-Cyrl-CS"/>
        </w:rPr>
        <w:t xml:space="preserve">Републици </w:t>
      </w:r>
      <w:r w:rsidRPr="00092ED7">
        <w:rPr>
          <w:rFonts w:cs="Times New Roman"/>
          <w:szCs w:val="24"/>
          <w:lang w:val="sr-Cyrl-CS"/>
        </w:rPr>
        <w:t>Србији поред тога што доприносе аутентичности објекта истовремено пружају и значајан потенцијал за његово брендирање на националном, регионалном и глобалном нивоу.</w:t>
      </w:r>
    </w:p>
    <w:p w14:paraId="2607687C" w14:textId="77777777" w:rsidR="00D210F0" w:rsidRPr="00092ED7" w:rsidRDefault="00D210F0" w:rsidP="00071952">
      <w:pPr>
        <w:widowControl w:val="0"/>
        <w:numPr>
          <w:ilvl w:val="0"/>
          <w:numId w:val="31"/>
        </w:numPr>
        <w:spacing w:before="120"/>
        <w:ind w:left="425" w:hanging="425"/>
        <w:rPr>
          <w:rFonts w:cs="Times New Roman"/>
          <w:b/>
          <w:smallCaps/>
          <w:lang w:val="sr-Cyrl-CS"/>
        </w:rPr>
      </w:pPr>
      <w:r w:rsidRPr="00092ED7">
        <w:rPr>
          <w:rFonts w:cs="Times New Roman"/>
          <w:b/>
          <w:bCs/>
          <w:szCs w:val="24"/>
          <w:lang w:val="sr-Cyrl-CS"/>
        </w:rPr>
        <w:t>Планиране активности по годинама</w:t>
      </w:r>
    </w:p>
    <w:tbl>
      <w:tblPr>
        <w:tblW w:w="9139" w:type="dxa"/>
        <w:tblLayout w:type="fixed"/>
        <w:tblCellMar>
          <w:left w:w="0" w:type="dxa"/>
          <w:right w:w="0" w:type="dxa"/>
        </w:tblCellMar>
        <w:tblLook w:val="04A0" w:firstRow="1" w:lastRow="0" w:firstColumn="1" w:lastColumn="0" w:noHBand="0" w:noVBand="1"/>
      </w:tblPr>
      <w:tblGrid>
        <w:gridCol w:w="425"/>
        <w:gridCol w:w="4243"/>
        <w:gridCol w:w="372"/>
        <w:gridCol w:w="373"/>
        <w:gridCol w:w="372"/>
        <w:gridCol w:w="373"/>
        <w:gridCol w:w="372"/>
        <w:gridCol w:w="373"/>
        <w:gridCol w:w="373"/>
        <w:gridCol w:w="372"/>
        <w:gridCol w:w="373"/>
        <w:gridCol w:w="372"/>
        <w:gridCol w:w="373"/>
        <w:gridCol w:w="373"/>
      </w:tblGrid>
      <w:tr w:rsidR="00D210F0" w:rsidRPr="00092ED7" w14:paraId="1E181D1E" w14:textId="77777777" w:rsidTr="00E44EF2">
        <w:trPr>
          <w:trHeight w:val="315"/>
        </w:trPr>
        <w:tc>
          <w:tcPr>
            <w:tcW w:w="425" w:type="dxa"/>
            <w:vMerge w:val="restart"/>
            <w:tcBorders>
              <w:top w:val="single" w:sz="8" w:space="0" w:color="auto"/>
              <w:left w:val="single" w:sz="8" w:space="0" w:color="auto"/>
              <w:right w:val="nil"/>
            </w:tcBorders>
            <w:shd w:val="clear" w:color="000000" w:fill="BDD6EE"/>
            <w:tcMar>
              <w:top w:w="15" w:type="dxa"/>
              <w:left w:w="15" w:type="dxa"/>
              <w:bottom w:w="0" w:type="dxa"/>
              <w:right w:w="15" w:type="dxa"/>
            </w:tcMar>
            <w:vAlign w:val="center"/>
            <w:hideMark/>
          </w:tcPr>
          <w:p w14:paraId="054011E0" w14:textId="77777777" w:rsidR="00D210F0" w:rsidRPr="00092ED7" w:rsidRDefault="00D210F0" w:rsidP="00D210F0">
            <w:pPr>
              <w:spacing w:after="0"/>
              <w:jc w:val="center"/>
              <w:rPr>
                <w:rFonts w:cs="Times New Roman"/>
                <w:b/>
                <w:bCs/>
                <w:color w:val="000000"/>
                <w:sz w:val="20"/>
                <w:szCs w:val="20"/>
                <w:lang w:val="sr-Cyrl-CS"/>
              </w:rPr>
            </w:pPr>
            <w:r w:rsidRPr="00092ED7">
              <w:rPr>
                <w:rFonts w:cs="Times New Roman"/>
                <w:b/>
                <w:bCs/>
                <w:color w:val="000000"/>
                <w:sz w:val="20"/>
                <w:szCs w:val="20"/>
                <w:lang w:val="sr-Cyrl-CS"/>
              </w:rPr>
              <w:t>РБ</w:t>
            </w:r>
          </w:p>
        </w:tc>
        <w:tc>
          <w:tcPr>
            <w:tcW w:w="4243" w:type="dxa"/>
            <w:vMerge w:val="restart"/>
            <w:tcBorders>
              <w:top w:val="single" w:sz="8" w:space="0" w:color="auto"/>
              <w:left w:val="single" w:sz="8" w:space="0" w:color="auto"/>
              <w:bottom w:val="single" w:sz="8" w:space="0" w:color="000000"/>
              <w:right w:val="nil"/>
            </w:tcBorders>
            <w:shd w:val="clear" w:color="auto" w:fill="BDD6EE" w:themeFill="accent1" w:themeFillTint="66"/>
            <w:tcMar>
              <w:top w:w="15" w:type="dxa"/>
              <w:left w:w="15" w:type="dxa"/>
              <w:bottom w:w="0" w:type="dxa"/>
              <w:right w:w="15" w:type="dxa"/>
            </w:tcMar>
            <w:vAlign w:val="center"/>
            <w:hideMark/>
          </w:tcPr>
          <w:p w14:paraId="05FA7407" w14:textId="77777777" w:rsidR="00D210F0" w:rsidRPr="00092ED7" w:rsidRDefault="00D210F0" w:rsidP="00D210F0">
            <w:pPr>
              <w:spacing w:after="0"/>
              <w:rPr>
                <w:rFonts w:cs="Times New Roman"/>
                <w:b/>
                <w:bCs/>
                <w:color w:val="000000"/>
                <w:sz w:val="20"/>
                <w:szCs w:val="20"/>
                <w:lang w:val="sr-Cyrl-CS"/>
              </w:rPr>
            </w:pPr>
            <w:r w:rsidRPr="00092ED7">
              <w:rPr>
                <w:rFonts w:cs="Times New Roman"/>
                <w:b/>
                <w:bCs/>
                <w:sz w:val="20"/>
                <w:szCs w:val="20"/>
                <w:lang w:val="sr-Cyrl-CS"/>
              </w:rPr>
              <w:t>Планиране активности</w:t>
            </w:r>
          </w:p>
        </w:tc>
        <w:tc>
          <w:tcPr>
            <w:tcW w:w="1490" w:type="dxa"/>
            <w:gridSpan w:val="4"/>
            <w:tcBorders>
              <w:top w:val="single" w:sz="8" w:space="0" w:color="auto"/>
              <w:left w:val="single" w:sz="8" w:space="0" w:color="auto"/>
              <w:bottom w:val="single" w:sz="4" w:space="0" w:color="auto"/>
              <w:right w:val="single" w:sz="8" w:space="0" w:color="000000"/>
            </w:tcBorders>
            <w:shd w:val="clear" w:color="auto" w:fill="BDD6EE" w:themeFill="accent1" w:themeFillTint="66"/>
            <w:tcMar>
              <w:top w:w="15" w:type="dxa"/>
              <w:left w:w="15" w:type="dxa"/>
              <w:bottom w:w="0" w:type="dxa"/>
              <w:right w:w="15" w:type="dxa"/>
            </w:tcMar>
            <w:vAlign w:val="center"/>
            <w:hideMark/>
          </w:tcPr>
          <w:p w14:paraId="7441E61D" w14:textId="77777777" w:rsidR="00D210F0" w:rsidRPr="00092ED7" w:rsidRDefault="00D210F0" w:rsidP="00D210F0">
            <w:pPr>
              <w:spacing w:after="0"/>
              <w:jc w:val="center"/>
              <w:rPr>
                <w:rFonts w:cs="Times New Roman"/>
                <w:b/>
                <w:bCs/>
                <w:color w:val="000000"/>
                <w:sz w:val="20"/>
                <w:szCs w:val="20"/>
                <w:lang w:val="sr-Cyrl-CS"/>
              </w:rPr>
            </w:pPr>
            <w:r w:rsidRPr="00092ED7">
              <w:rPr>
                <w:rFonts w:cs="Times New Roman"/>
                <w:b/>
                <w:bCs/>
                <w:color w:val="000000"/>
                <w:sz w:val="20"/>
                <w:szCs w:val="20"/>
                <w:lang w:val="sr-Cyrl-CS"/>
              </w:rPr>
              <w:t>2023</w:t>
            </w:r>
          </w:p>
        </w:tc>
        <w:tc>
          <w:tcPr>
            <w:tcW w:w="1490" w:type="dxa"/>
            <w:gridSpan w:val="4"/>
            <w:tcBorders>
              <w:top w:val="single" w:sz="8" w:space="0" w:color="auto"/>
              <w:left w:val="single" w:sz="8" w:space="0" w:color="auto"/>
              <w:bottom w:val="single" w:sz="4" w:space="0" w:color="auto"/>
              <w:right w:val="single" w:sz="8" w:space="0" w:color="000000"/>
            </w:tcBorders>
            <w:shd w:val="clear" w:color="auto" w:fill="BDD6EE" w:themeFill="accent1" w:themeFillTint="66"/>
            <w:tcMar>
              <w:top w:w="15" w:type="dxa"/>
              <w:left w:w="15" w:type="dxa"/>
              <w:bottom w:w="0" w:type="dxa"/>
              <w:right w:w="15" w:type="dxa"/>
            </w:tcMar>
            <w:vAlign w:val="center"/>
            <w:hideMark/>
          </w:tcPr>
          <w:p w14:paraId="1F25E1DF" w14:textId="77777777" w:rsidR="00D210F0" w:rsidRPr="00092ED7" w:rsidRDefault="00D210F0" w:rsidP="00D210F0">
            <w:pPr>
              <w:spacing w:after="0"/>
              <w:jc w:val="center"/>
              <w:rPr>
                <w:rFonts w:cs="Times New Roman"/>
                <w:b/>
                <w:bCs/>
                <w:color w:val="000000"/>
                <w:sz w:val="20"/>
                <w:szCs w:val="20"/>
                <w:lang w:val="sr-Cyrl-CS"/>
              </w:rPr>
            </w:pPr>
            <w:r w:rsidRPr="00092ED7">
              <w:rPr>
                <w:rFonts w:cs="Times New Roman"/>
                <w:b/>
                <w:bCs/>
                <w:color w:val="000000"/>
                <w:sz w:val="20"/>
                <w:szCs w:val="20"/>
                <w:lang w:val="sr-Cyrl-CS"/>
              </w:rPr>
              <w:t>2024</w:t>
            </w:r>
          </w:p>
        </w:tc>
        <w:tc>
          <w:tcPr>
            <w:tcW w:w="1491" w:type="dxa"/>
            <w:gridSpan w:val="4"/>
            <w:tcBorders>
              <w:top w:val="single" w:sz="8" w:space="0" w:color="auto"/>
              <w:left w:val="nil"/>
              <w:bottom w:val="single" w:sz="4" w:space="0" w:color="auto"/>
              <w:right w:val="single" w:sz="8" w:space="0" w:color="000000"/>
            </w:tcBorders>
            <w:shd w:val="clear" w:color="auto" w:fill="BDD6EE" w:themeFill="accent1" w:themeFillTint="66"/>
            <w:tcMar>
              <w:top w:w="15" w:type="dxa"/>
              <w:left w:w="15" w:type="dxa"/>
              <w:bottom w:w="0" w:type="dxa"/>
              <w:right w:w="15" w:type="dxa"/>
            </w:tcMar>
            <w:vAlign w:val="center"/>
            <w:hideMark/>
          </w:tcPr>
          <w:p w14:paraId="0B56DAE4" w14:textId="77777777" w:rsidR="00D210F0" w:rsidRPr="00092ED7" w:rsidRDefault="00D210F0" w:rsidP="00D210F0">
            <w:pPr>
              <w:spacing w:after="0"/>
              <w:jc w:val="center"/>
              <w:rPr>
                <w:rFonts w:cs="Times New Roman"/>
                <w:b/>
                <w:bCs/>
                <w:color w:val="000000"/>
                <w:sz w:val="20"/>
                <w:szCs w:val="20"/>
                <w:lang w:val="sr-Cyrl-CS"/>
              </w:rPr>
            </w:pPr>
            <w:r w:rsidRPr="00092ED7">
              <w:rPr>
                <w:rFonts w:cs="Times New Roman"/>
                <w:b/>
                <w:bCs/>
                <w:color w:val="000000"/>
                <w:sz w:val="20"/>
                <w:szCs w:val="20"/>
                <w:lang w:val="sr-Cyrl-CS"/>
              </w:rPr>
              <w:t>2025</w:t>
            </w:r>
          </w:p>
        </w:tc>
      </w:tr>
      <w:tr w:rsidR="00D210F0" w:rsidRPr="00092ED7" w14:paraId="32DCB5D8" w14:textId="77777777" w:rsidTr="00E44EF2">
        <w:trPr>
          <w:trHeight w:val="315"/>
        </w:trPr>
        <w:tc>
          <w:tcPr>
            <w:tcW w:w="425" w:type="dxa"/>
            <w:vMerge/>
            <w:tcBorders>
              <w:left w:val="single" w:sz="8" w:space="0" w:color="auto"/>
              <w:bottom w:val="single" w:sz="8" w:space="0" w:color="000000"/>
              <w:right w:val="nil"/>
            </w:tcBorders>
            <w:shd w:val="clear" w:color="000000" w:fill="BDD6EE"/>
            <w:vAlign w:val="center"/>
            <w:hideMark/>
          </w:tcPr>
          <w:p w14:paraId="1E21DBE5" w14:textId="77777777" w:rsidR="00D210F0" w:rsidRPr="00092ED7" w:rsidRDefault="00D210F0" w:rsidP="00D210F0">
            <w:pPr>
              <w:spacing w:after="0"/>
              <w:jc w:val="center"/>
              <w:rPr>
                <w:rFonts w:cs="Times New Roman"/>
                <w:b/>
                <w:bCs/>
                <w:color w:val="000000"/>
                <w:sz w:val="20"/>
                <w:szCs w:val="20"/>
                <w:lang w:val="sr-Cyrl-CS"/>
              </w:rPr>
            </w:pPr>
          </w:p>
        </w:tc>
        <w:tc>
          <w:tcPr>
            <w:tcW w:w="4243" w:type="dxa"/>
            <w:vMerge/>
            <w:tcBorders>
              <w:top w:val="single" w:sz="8" w:space="0" w:color="auto"/>
              <w:left w:val="single" w:sz="8" w:space="0" w:color="auto"/>
              <w:bottom w:val="single" w:sz="8" w:space="0" w:color="000000"/>
              <w:right w:val="nil"/>
            </w:tcBorders>
            <w:shd w:val="clear" w:color="auto" w:fill="BDD6EE" w:themeFill="accent1" w:themeFillTint="66"/>
            <w:vAlign w:val="center"/>
            <w:hideMark/>
          </w:tcPr>
          <w:p w14:paraId="13FDAB6C" w14:textId="77777777" w:rsidR="00D210F0" w:rsidRPr="00092ED7" w:rsidRDefault="00D210F0" w:rsidP="00D210F0">
            <w:pPr>
              <w:spacing w:after="0"/>
              <w:rPr>
                <w:rFonts w:cs="Times New Roman"/>
                <w:b/>
                <w:bCs/>
                <w:color w:val="000000"/>
                <w:sz w:val="20"/>
                <w:szCs w:val="20"/>
                <w:lang w:val="sr-Cyrl-CS"/>
              </w:rPr>
            </w:pPr>
          </w:p>
        </w:tc>
        <w:tc>
          <w:tcPr>
            <w:tcW w:w="372" w:type="dxa"/>
            <w:tcBorders>
              <w:top w:val="nil"/>
              <w:left w:val="single" w:sz="8" w:space="0" w:color="auto"/>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05A60FCD"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Q1</w:t>
            </w:r>
          </w:p>
        </w:tc>
        <w:tc>
          <w:tcPr>
            <w:tcW w:w="373"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4EB8DC7A"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Q2</w:t>
            </w:r>
          </w:p>
        </w:tc>
        <w:tc>
          <w:tcPr>
            <w:tcW w:w="372"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24EF0638"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Q3</w:t>
            </w:r>
          </w:p>
        </w:tc>
        <w:tc>
          <w:tcPr>
            <w:tcW w:w="373" w:type="dxa"/>
            <w:tcBorders>
              <w:top w:val="nil"/>
              <w:left w:val="nil"/>
              <w:bottom w:val="single" w:sz="8" w:space="0" w:color="auto"/>
              <w:right w:val="single" w:sz="8" w:space="0" w:color="auto"/>
            </w:tcBorders>
            <w:shd w:val="clear" w:color="auto" w:fill="BDD6EE" w:themeFill="accent1" w:themeFillTint="66"/>
            <w:tcMar>
              <w:top w:w="15" w:type="dxa"/>
              <w:left w:w="15" w:type="dxa"/>
              <w:bottom w:w="0" w:type="dxa"/>
              <w:right w:w="15" w:type="dxa"/>
            </w:tcMar>
            <w:vAlign w:val="center"/>
            <w:hideMark/>
          </w:tcPr>
          <w:p w14:paraId="00CE5A47"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Q4</w:t>
            </w:r>
          </w:p>
        </w:tc>
        <w:tc>
          <w:tcPr>
            <w:tcW w:w="372"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076A17A9"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Q1</w:t>
            </w:r>
          </w:p>
        </w:tc>
        <w:tc>
          <w:tcPr>
            <w:tcW w:w="373"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0C1A54EA"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Q2</w:t>
            </w:r>
          </w:p>
        </w:tc>
        <w:tc>
          <w:tcPr>
            <w:tcW w:w="373"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69383B8E"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Q3</w:t>
            </w:r>
          </w:p>
        </w:tc>
        <w:tc>
          <w:tcPr>
            <w:tcW w:w="372" w:type="dxa"/>
            <w:tcBorders>
              <w:top w:val="nil"/>
              <w:left w:val="nil"/>
              <w:bottom w:val="single" w:sz="8" w:space="0" w:color="auto"/>
              <w:right w:val="single" w:sz="8" w:space="0" w:color="auto"/>
            </w:tcBorders>
            <w:shd w:val="clear" w:color="auto" w:fill="BDD6EE" w:themeFill="accent1" w:themeFillTint="66"/>
            <w:tcMar>
              <w:top w:w="15" w:type="dxa"/>
              <w:left w:w="15" w:type="dxa"/>
              <w:bottom w:w="0" w:type="dxa"/>
              <w:right w:w="15" w:type="dxa"/>
            </w:tcMar>
            <w:vAlign w:val="center"/>
            <w:hideMark/>
          </w:tcPr>
          <w:p w14:paraId="2D51B507"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Q4</w:t>
            </w:r>
          </w:p>
        </w:tc>
        <w:tc>
          <w:tcPr>
            <w:tcW w:w="373"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329AA80F"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Q1</w:t>
            </w:r>
          </w:p>
        </w:tc>
        <w:tc>
          <w:tcPr>
            <w:tcW w:w="372"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722E0B1B"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Q2</w:t>
            </w:r>
          </w:p>
        </w:tc>
        <w:tc>
          <w:tcPr>
            <w:tcW w:w="373"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6B6D0BD5"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Q3</w:t>
            </w:r>
          </w:p>
        </w:tc>
        <w:tc>
          <w:tcPr>
            <w:tcW w:w="373" w:type="dxa"/>
            <w:tcBorders>
              <w:top w:val="nil"/>
              <w:left w:val="nil"/>
              <w:bottom w:val="single" w:sz="8" w:space="0" w:color="auto"/>
              <w:right w:val="single" w:sz="8" w:space="0" w:color="auto"/>
            </w:tcBorders>
            <w:shd w:val="clear" w:color="auto" w:fill="BDD6EE" w:themeFill="accent1" w:themeFillTint="66"/>
            <w:tcMar>
              <w:top w:w="15" w:type="dxa"/>
              <w:left w:w="15" w:type="dxa"/>
              <w:bottom w:w="0" w:type="dxa"/>
              <w:right w:w="15" w:type="dxa"/>
            </w:tcMar>
            <w:vAlign w:val="center"/>
            <w:hideMark/>
          </w:tcPr>
          <w:p w14:paraId="516BE27D"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Q4</w:t>
            </w:r>
          </w:p>
        </w:tc>
      </w:tr>
      <w:tr w:rsidR="00D210F0" w:rsidRPr="00092ED7" w14:paraId="3F8E83A9" w14:textId="77777777" w:rsidTr="00B640AF">
        <w:trPr>
          <w:trHeight w:val="300"/>
        </w:trPr>
        <w:tc>
          <w:tcPr>
            <w:tcW w:w="425" w:type="dxa"/>
            <w:tcBorders>
              <w:top w:val="nil"/>
              <w:left w:val="single" w:sz="8" w:space="0" w:color="auto"/>
              <w:bottom w:val="single" w:sz="4" w:space="0" w:color="auto"/>
              <w:right w:val="nil"/>
            </w:tcBorders>
            <w:shd w:val="clear" w:color="auto" w:fill="auto"/>
            <w:tcMar>
              <w:top w:w="15" w:type="dxa"/>
              <w:left w:w="15" w:type="dxa"/>
              <w:bottom w:w="0" w:type="dxa"/>
              <w:right w:w="15" w:type="dxa"/>
            </w:tcMar>
          </w:tcPr>
          <w:p w14:paraId="5838F08A" w14:textId="77777777" w:rsidR="00D210F0" w:rsidRPr="00092ED7" w:rsidRDefault="00D210F0" w:rsidP="00D210F0">
            <w:pPr>
              <w:spacing w:after="0"/>
              <w:jc w:val="center"/>
              <w:rPr>
                <w:rFonts w:cs="Times New Roman"/>
                <w:bCs/>
                <w:sz w:val="20"/>
                <w:szCs w:val="20"/>
                <w:lang w:val="sr-Cyrl-CS"/>
              </w:rPr>
            </w:pPr>
            <w:r w:rsidRPr="00092ED7">
              <w:rPr>
                <w:rFonts w:cs="Times New Roman"/>
                <w:bCs/>
                <w:sz w:val="20"/>
                <w:szCs w:val="20"/>
                <w:lang w:val="sr-Cyrl-CS"/>
              </w:rPr>
              <w:t>1.</w:t>
            </w:r>
          </w:p>
        </w:tc>
        <w:tc>
          <w:tcPr>
            <w:tcW w:w="4243" w:type="dxa"/>
            <w:tcBorders>
              <w:top w:val="nil"/>
              <w:left w:val="single" w:sz="8" w:space="0" w:color="auto"/>
              <w:bottom w:val="single" w:sz="4" w:space="0" w:color="auto"/>
              <w:right w:val="single" w:sz="4" w:space="0" w:color="auto"/>
            </w:tcBorders>
            <w:shd w:val="clear" w:color="auto" w:fill="auto"/>
            <w:tcMar>
              <w:top w:w="15" w:type="dxa"/>
              <w:left w:w="15" w:type="dxa"/>
              <w:bottom w:w="0" w:type="dxa"/>
              <w:right w:w="15" w:type="dxa"/>
            </w:tcMar>
          </w:tcPr>
          <w:p w14:paraId="1B70CC81" w14:textId="77777777" w:rsidR="00D210F0" w:rsidRPr="00092ED7" w:rsidRDefault="00D210F0" w:rsidP="00E44EF2">
            <w:pPr>
              <w:spacing w:after="0"/>
              <w:ind w:right="122"/>
              <w:rPr>
                <w:rFonts w:cs="Times New Roman"/>
                <w:sz w:val="20"/>
                <w:szCs w:val="20"/>
                <w:lang w:val="sr-Cyrl-CS"/>
              </w:rPr>
            </w:pPr>
            <w:r w:rsidRPr="00092ED7">
              <w:rPr>
                <w:rFonts w:cs="Times New Roman"/>
                <w:sz w:val="20"/>
                <w:szCs w:val="20"/>
                <w:lang w:val="sr-Cyrl-CS"/>
              </w:rPr>
              <w:t>Реконструкција објекта Ложионица са водоторњем и изградња анекс пословне зграде</w:t>
            </w:r>
          </w:p>
        </w:tc>
        <w:tc>
          <w:tcPr>
            <w:tcW w:w="372" w:type="dxa"/>
            <w:tcBorders>
              <w:top w:val="nil"/>
              <w:left w:val="single" w:sz="8"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16239B1"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04C2A6B" w14:textId="77777777" w:rsidR="00D210F0" w:rsidRPr="00092ED7" w:rsidRDefault="00D210F0" w:rsidP="00D210F0">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5043305"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4D263316" w14:textId="77777777" w:rsidR="00D210F0" w:rsidRPr="00092ED7" w:rsidRDefault="00D210F0" w:rsidP="00D210F0">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D82BEE3"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2BE1F9E2"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73C30C4" w14:textId="77777777" w:rsidR="00D210F0" w:rsidRPr="00092ED7" w:rsidRDefault="00D210F0" w:rsidP="00D210F0">
            <w:pPr>
              <w:spacing w:after="0"/>
              <w:rPr>
                <w:rFonts w:cs="Times New Roman"/>
                <w:color w:val="000000"/>
                <w:sz w:val="20"/>
                <w:szCs w:val="20"/>
                <w:lang w:val="sr-Cyrl-CS"/>
              </w:rPr>
            </w:pPr>
          </w:p>
        </w:tc>
        <w:tc>
          <w:tcPr>
            <w:tcW w:w="372"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7B2784A0"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3617DB85" w14:textId="77777777" w:rsidR="00D210F0" w:rsidRPr="00092ED7" w:rsidRDefault="00D210F0" w:rsidP="00D210F0">
            <w:pPr>
              <w:spacing w:after="0"/>
              <w:rPr>
                <w:rFonts w:cs="Times New Roman"/>
                <w:color w:val="000000"/>
                <w:sz w:val="20"/>
                <w:szCs w:val="20"/>
                <w:lang w:val="sr-Cyrl-CS"/>
              </w:rPr>
            </w:pPr>
          </w:p>
        </w:tc>
        <w:tc>
          <w:tcPr>
            <w:tcW w:w="372"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4C4D5EA6"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4F34DE45" w14:textId="77777777" w:rsidR="00D210F0" w:rsidRPr="00092ED7" w:rsidRDefault="00D210F0" w:rsidP="00D210F0">
            <w:pPr>
              <w:spacing w:after="0"/>
              <w:rPr>
                <w:rFonts w:cs="Times New Roman"/>
                <w:color w:val="000000"/>
                <w:sz w:val="20"/>
                <w:szCs w:val="20"/>
                <w:lang w:val="sr-Cyrl-CS"/>
              </w:rPr>
            </w:pPr>
          </w:p>
        </w:tc>
        <w:tc>
          <w:tcPr>
            <w:tcW w:w="373" w:type="dxa"/>
            <w:tcBorders>
              <w:top w:val="nil"/>
              <w:left w:val="nil"/>
              <w:bottom w:val="single" w:sz="4" w:space="0" w:color="auto"/>
              <w:right w:val="single" w:sz="8" w:space="0" w:color="auto"/>
            </w:tcBorders>
            <w:shd w:val="clear" w:color="auto" w:fill="auto"/>
            <w:tcMar>
              <w:top w:w="15" w:type="dxa"/>
              <w:left w:w="15" w:type="dxa"/>
              <w:bottom w:w="0" w:type="dxa"/>
              <w:right w:w="15" w:type="dxa"/>
            </w:tcMar>
          </w:tcPr>
          <w:p w14:paraId="3A3FE059" w14:textId="77777777" w:rsidR="00D210F0" w:rsidRPr="00092ED7" w:rsidRDefault="00D210F0" w:rsidP="00D210F0">
            <w:pPr>
              <w:spacing w:after="0"/>
              <w:rPr>
                <w:rFonts w:cs="Times New Roman"/>
                <w:color w:val="000000"/>
                <w:sz w:val="20"/>
                <w:szCs w:val="20"/>
                <w:lang w:val="sr-Cyrl-CS"/>
              </w:rPr>
            </w:pPr>
          </w:p>
        </w:tc>
      </w:tr>
      <w:tr w:rsidR="00D210F0" w:rsidRPr="00092ED7" w14:paraId="47D42C40" w14:textId="77777777" w:rsidTr="00B640AF">
        <w:trPr>
          <w:trHeight w:val="300"/>
        </w:trPr>
        <w:tc>
          <w:tcPr>
            <w:tcW w:w="4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595DAF41" w14:textId="77777777" w:rsidR="00D210F0" w:rsidRPr="00092ED7" w:rsidRDefault="00D210F0" w:rsidP="00D210F0">
            <w:pPr>
              <w:spacing w:after="0"/>
              <w:jc w:val="center"/>
              <w:rPr>
                <w:rFonts w:cs="Times New Roman"/>
                <w:bCs/>
                <w:sz w:val="20"/>
                <w:szCs w:val="20"/>
                <w:lang w:val="sr-Cyrl-CS"/>
              </w:rPr>
            </w:pPr>
            <w:r w:rsidRPr="00092ED7">
              <w:rPr>
                <w:rFonts w:cs="Times New Roman"/>
                <w:bCs/>
                <w:sz w:val="20"/>
                <w:szCs w:val="20"/>
                <w:lang w:val="sr-Cyrl-CS"/>
              </w:rPr>
              <w:t>2.</w:t>
            </w:r>
          </w:p>
        </w:tc>
        <w:tc>
          <w:tcPr>
            <w:tcW w:w="4243"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7A1927AD" w14:textId="391428A7" w:rsidR="00D210F0" w:rsidRPr="00092ED7" w:rsidRDefault="0096044C" w:rsidP="0096044C">
            <w:pPr>
              <w:rPr>
                <w:rFonts w:cs="Times New Roman"/>
                <w:sz w:val="20"/>
                <w:szCs w:val="20"/>
                <w:lang w:val="sr-Cyrl-CS"/>
              </w:rPr>
            </w:pPr>
            <w:r w:rsidRPr="00092ED7">
              <w:rPr>
                <w:rFonts w:cs="Times New Roman"/>
                <w:sz w:val="20"/>
                <w:szCs w:val="20"/>
                <w:lang w:val="sr-Cyrl-CS"/>
              </w:rPr>
              <w:t xml:space="preserve">Пружање подршке развоју професионалних удружења, образовних програма из области креативних индустрија, талент хаба (образовних програма за основце и средњошколце), инкубатора за креативне индустрије и </w:t>
            </w:r>
            <w:r w:rsidR="007044BF" w:rsidRPr="00092ED7">
              <w:rPr>
                <w:rFonts w:cs="Times New Roman"/>
                <w:sz w:val="20"/>
                <w:szCs w:val="20"/>
                <w:lang w:val="sr-Cyrl-CS"/>
              </w:rPr>
              <w:t>G</w:t>
            </w:r>
            <w:r w:rsidRPr="00092ED7">
              <w:rPr>
                <w:rFonts w:cs="Times New Roman"/>
                <w:sz w:val="20"/>
                <w:szCs w:val="20"/>
                <w:lang w:val="sr-Cyrl-CS"/>
              </w:rPr>
              <w:t>ov</w:t>
            </w:r>
            <w:r w:rsidR="007044BF" w:rsidRPr="00092ED7">
              <w:rPr>
                <w:rFonts w:cs="Times New Roman"/>
                <w:sz w:val="20"/>
                <w:szCs w:val="20"/>
                <w:lang w:val="sr-Cyrl-CS"/>
              </w:rPr>
              <w:t>T</w:t>
            </w:r>
            <w:r w:rsidRPr="00092ED7">
              <w:rPr>
                <w:rFonts w:cs="Times New Roman"/>
                <w:sz w:val="20"/>
                <w:szCs w:val="20"/>
                <w:lang w:val="sr-Cyrl-CS"/>
              </w:rPr>
              <w:t>ech хаба опремањем објекта „Ложионица</w:t>
            </w:r>
            <w:r w:rsidR="003F69E2" w:rsidRPr="00092ED7">
              <w:rPr>
                <w:rFonts w:cs="Times New Roman"/>
                <w:sz w:val="20"/>
                <w:szCs w:val="20"/>
                <w:lang w:val="sr-Cyrl-CS"/>
              </w:rPr>
              <w:t>”</w:t>
            </w:r>
          </w:p>
        </w:tc>
        <w:tc>
          <w:tcPr>
            <w:tcW w:w="372"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32141A99" w14:textId="77777777" w:rsidR="00D210F0" w:rsidRPr="00092ED7" w:rsidRDefault="00D210F0" w:rsidP="00D210F0">
            <w:pPr>
              <w:spacing w:after="0"/>
              <w:rPr>
                <w:rFonts w:cs="Times New Roman"/>
                <w:color w:val="000000"/>
                <w:sz w:val="20"/>
                <w:szCs w:val="20"/>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484D3812" w14:textId="77777777" w:rsidR="00D210F0" w:rsidRPr="00092ED7" w:rsidRDefault="00D210F0" w:rsidP="00D210F0">
            <w:pPr>
              <w:spacing w:after="0"/>
              <w:rPr>
                <w:rFonts w:cs="Times New Roman"/>
                <w:color w:val="000000"/>
                <w:sz w:val="20"/>
                <w:szCs w:val="20"/>
                <w:lang w:val="sr-Cyrl-CS"/>
              </w:rPr>
            </w:pPr>
          </w:p>
        </w:tc>
        <w:tc>
          <w:tcPr>
            <w:tcW w:w="372"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556CF83C" w14:textId="77777777" w:rsidR="00D210F0" w:rsidRPr="00092ED7" w:rsidRDefault="00D210F0" w:rsidP="00D210F0">
            <w:pPr>
              <w:spacing w:after="0"/>
              <w:rPr>
                <w:rFonts w:cs="Times New Roman"/>
                <w:color w:val="000000"/>
                <w:sz w:val="20"/>
                <w:szCs w:val="20"/>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tcPr>
          <w:p w14:paraId="507BECA3" w14:textId="77777777" w:rsidR="00D210F0" w:rsidRPr="00092ED7" w:rsidRDefault="00D210F0" w:rsidP="00D210F0">
            <w:pPr>
              <w:spacing w:after="0"/>
              <w:rPr>
                <w:rFonts w:cs="Times New Roman"/>
                <w:color w:val="000000"/>
                <w:sz w:val="20"/>
                <w:szCs w:val="20"/>
                <w:lang w:val="sr-Cyrl-CS"/>
              </w:rPr>
            </w:pPr>
          </w:p>
        </w:tc>
        <w:tc>
          <w:tcPr>
            <w:tcW w:w="372"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tcPr>
          <w:p w14:paraId="3D32170F" w14:textId="77777777" w:rsidR="00D210F0" w:rsidRPr="00092ED7" w:rsidRDefault="00D210F0" w:rsidP="00D210F0">
            <w:pPr>
              <w:spacing w:after="0"/>
              <w:rPr>
                <w:rFonts w:cs="Times New Roman"/>
                <w:color w:val="000000"/>
                <w:sz w:val="20"/>
                <w:szCs w:val="20"/>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tcPr>
          <w:p w14:paraId="45AB7F3A" w14:textId="77777777" w:rsidR="00D210F0" w:rsidRPr="00092ED7" w:rsidRDefault="00D210F0" w:rsidP="00D210F0">
            <w:pPr>
              <w:spacing w:after="0"/>
              <w:rPr>
                <w:rFonts w:cs="Times New Roman"/>
                <w:color w:val="000000"/>
                <w:sz w:val="20"/>
                <w:szCs w:val="20"/>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tcPr>
          <w:p w14:paraId="5F3CB9AC" w14:textId="77777777" w:rsidR="00D210F0" w:rsidRPr="00092ED7" w:rsidRDefault="00D210F0" w:rsidP="00D210F0">
            <w:pPr>
              <w:spacing w:after="0"/>
              <w:rPr>
                <w:rFonts w:cs="Times New Roman"/>
                <w:color w:val="000000"/>
                <w:sz w:val="20"/>
                <w:szCs w:val="20"/>
                <w:lang w:val="sr-Cyrl-CS"/>
              </w:rPr>
            </w:pPr>
          </w:p>
        </w:tc>
        <w:tc>
          <w:tcPr>
            <w:tcW w:w="37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37ABE103" w14:textId="77777777" w:rsidR="00D210F0" w:rsidRPr="00092ED7" w:rsidRDefault="00D210F0" w:rsidP="00D210F0">
            <w:pPr>
              <w:spacing w:after="0"/>
              <w:rPr>
                <w:rFonts w:cs="Times New Roman"/>
                <w:color w:val="000000"/>
                <w:sz w:val="20"/>
                <w:szCs w:val="20"/>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7E40EA6" w14:textId="77777777" w:rsidR="00D210F0" w:rsidRPr="00092ED7" w:rsidRDefault="00D210F0" w:rsidP="00D210F0">
            <w:pPr>
              <w:spacing w:after="0"/>
              <w:rPr>
                <w:rFonts w:cs="Times New Roman"/>
                <w:color w:val="000000"/>
                <w:sz w:val="20"/>
                <w:szCs w:val="20"/>
                <w:lang w:val="sr-Cyrl-CS"/>
              </w:rPr>
            </w:pPr>
          </w:p>
        </w:tc>
        <w:tc>
          <w:tcPr>
            <w:tcW w:w="37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312D8FC" w14:textId="77777777" w:rsidR="00D210F0" w:rsidRPr="00092ED7" w:rsidRDefault="00D210F0" w:rsidP="00D210F0">
            <w:pPr>
              <w:spacing w:after="0"/>
              <w:rPr>
                <w:rFonts w:cs="Times New Roman"/>
                <w:color w:val="000000"/>
                <w:sz w:val="20"/>
                <w:szCs w:val="20"/>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51B1DDA" w14:textId="77777777" w:rsidR="00D210F0" w:rsidRPr="00092ED7" w:rsidRDefault="00D210F0" w:rsidP="00D210F0">
            <w:pPr>
              <w:spacing w:after="0"/>
              <w:rPr>
                <w:rFonts w:cs="Times New Roman"/>
                <w:color w:val="000000"/>
                <w:sz w:val="20"/>
                <w:szCs w:val="20"/>
                <w:lang w:val="sr-Cyrl-CS"/>
              </w:rPr>
            </w:pPr>
          </w:p>
        </w:tc>
        <w:tc>
          <w:tcPr>
            <w:tcW w:w="3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C551A05" w14:textId="77777777" w:rsidR="00D210F0" w:rsidRPr="00092ED7" w:rsidRDefault="00D210F0" w:rsidP="00D210F0">
            <w:pPr>
              <w:spacing w:after="0"/>
              <w:rPr>
                <w:rFonts w:cs="Times New Roman"/>
                <w:color w:val="000000"/>
                <w:sz w:val="20"/>
                <w:szCs w:val="20"/>
                <w:lang w:val="sr-Cyrl-CS"/>
              </w:rPr>
            </w:pPr>
          </w:p>
        </w:tc>
      </w:tr>
    </w:tbl>
    <w:p w14:paraId="31B26573" w14:textId="77777777" w:rsidR="00D210F0" w:rsidRPr="00092ED7" w:rsidRDefault="00D210F0" w:rsidP="00071952">
      <w:pPr>
        <w:widowControl w:val="0"/>
        <w:numPr>
          <w:ilvl w:val="0"/>
          <w:numId w:val="31"/>
        </w:numPr>
        <w:spacing w:before="120"/>
        <w:ind w:left="425" w:hanging="425"/>
        <w:rPr>
          <w:rFonts w:cs="Times New Roman"/>
          <w:b/>
          <w:bCs/>
          <w:szCs w:val="24"/>
          <w:lang w:val="sr-Cyrl-CS"/>
        </w:rPr>
      </w:pPr>
      <w:r w:rsidRPr="00092ED7">
        <w:rPr>
          <w:rFonts w:cs="Times New Roman"/>
          <w:b/>
          <w:bCs/>
          <w:szCs w:val="24"/>
          <w:lang w:val="sr-Cyrl-CS"/>
        </w:rPr>
        <w:t>Индикатори ризика</w:t>
      </w:r>
    </w:p>
    <w:tbl>
      <w:tblPr>
        <w:tblStyle w:val="TableGrid"/>
        <w:tblW w:w="9209" w:type="dxa"/>
        <w:tblLayout w:type="fixed"/>
        <w:tblLook w:val="04A0" w:firstRow="1" w:lastRow="0" w:firstColumn="1" w:lastColumn="0" w:noHBand="0" w:noVBand="1"/>
      </w:tblPr>
      <w:tblGrid>
        <w:gridCol w:w="3685"/>
        <w:gridCol w:w="1980"/>
        <w:gridCol w:w="1702"/>
        <w:gridCol w:w="1842"/>
      </w:tblGrid>
      <w:tr w:rsidR="00D210F0" w:rsidRPr="00092ED7" w14:paraId="0B90EE96" w14:textId="77777777" w:rsidTr="00E44EF2">
        <w:trPr>
          <w:cnfStyle w:val="100000000000" w:firstRow="1" w:lastRow="0" w:firstColumn="0" w:lastColumn="0" w:oddVBand="0" w:evenVBand="0" w:oddHBand="0" w:evenHBand="0" w:firstRowFirstColumn="0" w:firstRowLastColumn="0" w:lastRowFirstColumn="0" w:lastRowLastColumn="0"/>
          <w:trHeight w:val="283"/>
        </w:trPr>
        <w:tc>
          <w:tcPr>
            <w:tcW w:w="3685" w:type="dxa"/>
          </w:tcPr>
          <w:p w14:paraId="23EAAA38" w14:textId="77777777" w:rsidR="00D210F0" w:rsidRPr="00092ED7" w:rsidRDefault="00D210F0" w:rsidP="00C429AB">
            <w:pPr>
              <w:spacing w:before="0" w:after="0"/>
              <w:ind w:left="113" w:right="113"/>
              <w:jc w:val="center"/>
              <w:rPr>
                <w:rFonts w:cs="Times New Roman"/>
                <w:b w:val="0"/>
                <w:sz w:val="20"/>
                <w:lang w:val="sr-Cyrl-CS"/>
              </w:rPr>
            </w:pPr>
            <w:r w:rsidRPr="00092ED7">
              <w:rPr>
                <w:rFonts w:cs="Times New Roman"/>
                <w:sz w:val="20"/>
                <w:lang w:val="sr-Cyrl-CS"/>
              </w:rPr>
              <w:t>Показатељ</w:t>
            </w:r>
          </w:p>
        </w:tc>
        <w:tc>
          <w:tcPr>
            <w:tcW w:w="1980" w:type="dxa"/>
          </w:tcPr>
          <w:p w14:paraId="7C90FE15" w14:textId="77777777" w:rsidR="00D210F0" w:rsidRPr="00092ED7" w:rsidRDefault="00D210F0" w:rsidP="00C429AB">
            <w:pPr>
              <w:spacing w:before="0" w:after="0"/>
              <w:ind w:left="113" w:right="113"/>
              <w:jc w:val="center"/>
              <w:rPr>
                <w:rFonts w:cs="Times New Roman"/>
                <w:b w:val="0"/>
                <w:sz w:val="20"/>
                <w:lang w:val="sr-Cyrl-CS"/>
              </w:rPr>
            </w:pPr>
            <w:r w:rsidRPr="00092ED7">
              <w:rPr>
                <w:rFonts w:cs="Times New Roman"/>
                <w:sz w:val="20"/>
                <w:lang w:val="sr-Cyrl-CS"/>
              </w:rPr>
              <w:t>Почетна вредност</w:t>
            </w:r>
            <w:r w:rsidR="00E44EF2" w:rsidRPr="00092ED7">
              <w:rPr>
                <w:rFonts w:cs="Times New Roman"/>
                <w:sz w:val="20"/>
                <w:lang w:val="sr-Cyrl-CS"/>
              </w:rPr>
              <w:t xml:space="preserve"> </w:t>
            </w:r>
            <w:r w:rsidR="00E44EF2" w:rsidRPr="00092ED7">
              <w:rPr>
                <w:rFonts w:eastAsia="Times New Roman" w:cs="Times New Roman"/>
                <w:sz w:val="20"/>
                <w:lang w:val="sr-Cyrl-CS"/>
              </w:rPr>
              <w:t>(2021)</w:t>
            </w:r>
          </w:p>
        </w:tc>
        <w:tc>
          <w:tcPr>
            <w:tcW w:w="1702" w:type="dxa"/>
          </w:tcPr>
          <w:p w14:paraId="6170605E" w14:textId="77777777" w:rsidR="00D210F0" w:rsidRPr="00092ED7" w:rsidRDefault="00D210F0" w:rsidP="00C429AB">
            <w:pPr>
              <w:spacing w:before="0" w:after="0"/>
              <w:ind w:left="113" w:right="113"/>
              <w:jc w:val="center"/>
              <w:rPr>
                <w:rFonts w:cs="Times New Roman"/>
                <w:b w:val="0"/>
                <w:sz w:val="20"/>
                <w:lang w:val="sr-Cyrl-CS"/>
              </w:rPr>
            </w:pPr>
            <w:r w:rsidRPr="00092ED7">
              <w:rPr>
                <w:rFonts w:cs="Times New Roman"/>
                <w:sz w:val="20"/>
                <w:lang w:val="sr-Cyrl-CS"/>
              </w:rPr>
              <w:t>Међурезултат</w:t>
            </w:r>
            <w:r w:rsidR="00E44EF2" w:rsidRPr="00092ED7">
              <w:rPr>
                <w:rFonts w:cs="Times New Roman"/>
                <w:sz w:val="20"/>
                <w:lang w:val="sr-Cyrl-CS"/>
              </w:rPr>
              <w:t xml:space="preserve"> </w:t>
            </w:r>
            <w:r w:rsidR="00E44EF2" w:rsidRPr="00092ED7">
              <w:rPr>
                <w:rFonts w:eastAsia="Times New Roman" w:cs="Times New Roman"/>
                <w:sz w:val="20"/>
                <w:lang w:val="sr-Cyrl-CS"/>
              </w:rPr>
              <w:t>(2024)</w:t>
            </w:r>
          </w:p>
        </w:tc>
        <w:tc>
          <w:tcPr>
            <w:tcW w:w="1842" w:type="dxa"/>
          </w:tcPr>
          <w:p w14:paraId="2F2DCFFD" w14:textId="77777777" w:rsidR="00D210F0" w:rsidRPr="00092ED7" w:rsidRDefault="00D210F0" w:rsidP="00C429AB">
            <w:pPr>
              <w:spacing w:before="0" w:after="0"/>
              <w:ind w:left="113" w:right="113"/>
              <w:jc w:val="center"/>
              <w:rPr>
                <w:rFonts w:cs="Times New Roman"/>
                <w:b w:val="0"/>
                <w:sz w:val="20"/>
                <w:lang w:val="sr-Cyrl-CS"/>
              </w:rPr>
            </w:pPr>
            <w:r w:rsidRPr="00092ED7">
              <w:rPr>
                <w:rFonts w:cs="Times New Roman"/>
                <w:sz w:val="20"/>
                <w:lang w:val="sr-Cyrl-CS"/>
              </w:rPr>
              <w:t>Циљна вредност</w:t>
            </w:r>
            <w:r w:rsidR="00E44EF2" w:rsidRPr="00092ED7">
              <w:rPr>
                <w:rFonts w:cs="Times New Roman"/>
                <w:sz w:val="20"/>
                <w:lang w:val="sr-Cyrl-CS"/>
              </w:rPr>
              <w:t xml:space="preserve"> </w:t>
            </w:r>
            <w:r w:rsidR="00E44EF2" w:rsidRPr="00092ED7">
              <w:rPr>
                <w:rFonts w:eastAsia="Times New Roman" w:cs="Times New Roman"/>
                <w:sz w:val="20"/>
                <w:lang w:val="sr-Cyrl-CS"/>
              </w:rPr>
              <w:t>(2025)</w:t>
            </w:r>
          </w:p>
        </w:tc>
      </w:tr>
      <w:tr w:rsidR="00D210F0" w:rsidRPr="00092ED7" w14:paraId="2ABAE7F4" w14:textId="77777777" w:rsidTr="00E44EF2">
        <w:trPr>
          <w:trHeight w:val="283"/>
        </w:trPr>
        <w:tc>
          <w:tcPr>
            <w:tcW w:w="3685" w:type="dxa"/>
          </w:tcPr>
          <w:p w14:paraId="521DA385" w14:textId="7F355B07" w:rsidR="00D210F0" w:rsidRPr="00092ED7" w:rsidRDefault="00D8424B" w:rsidP="00C429AB">
            <w:pPr>
              <w:spacing w:before="0" w:after="0"/>
              <w:ind w:left="113" w:right="113"/>
              <w:jc w:val="left"/>
              <w:rPr>
                <w:rFonts w:eastAsia="Times New Roman" w:cs="Times New Roman"/>
                <w:sz w:val="20"/>
                <w:lang w:val="sr-Cyrl-CS"/>
              </w:rPr>
            </w:pPr>
            <w:r w:rsidRPr="00092ED7">
              <w:rPr>
                <w:rFonts w:eastAsia="Times New Roman" w:cs="Times New Roman"/>
                <w:sz w:val="20"/>
                <w:lang w:val="sr-Cyrl-CS"/>
              </w:rPr>
              <w:t xml:space="preserve">Број нових иновативних предузећа у инкубатору за </w:t>
            </w:r>
            <w:r w:rsidR="003F4432" w:rsidRPr="00092ED7">
              <w:rPr>
                <w:rFonts w:eastAsia="Times New Roman" w:cs="Times New Roman"/>
                <w:sz w:val="20"/>
                <w:lang w:val="sr-Cyrl-CS"/>
              </w:rPr>
              <w:t>креативне индустрије</w:t>
            </w:r>
          </w:p>
        </w:tc>
        <w:tc>
          <w:tcPr>
            <w:tcW w:w="1980" w:type="dxa"/>
          </w:tcPr>
          <w:p w14:paraId="5616F38A" w14:textId="77777777" w:rsidR="00D210F0" w:rsidRPr="00092ED7" w:rsidRDefault="00D210F0" w:rsidP="00E44EF2">
            <w:pPr>
              <w:spacing w:before="0" w:after="0"/>
              <w:ind w:left="113" w:right="113"/>
              <w:jc w:val="center"/>
              <w:rPr>
                <w:rFonts w:eastAsia="Times New Roman" w:cs="Times New Roman"/>
                <w:sz w:val="20"/>
                <w:lang w:val="sr-Cyrl-CS"/>
              </w:rPr>
            </w:pPr>
            <w:r w:rsidRPr="00092ED7">
              <w:rPr>
                <w:rFonts w:eastAsia="Times New Roman" w:cs="Times New Roman"/>
                <w:sz w:val="20"/>
                <w:lang w:val="sr-Cyrl-CS"/>
              </w:rPr>
              <w:t>0</w:t>
            </w:r>
          </w:p>
        </w:tc>
        <w:tc>
          <w:tcPr>
            <w:tcW w:w="1702" w:type="dxa"/>
          </w:tcPr>
          <w:p w14:paraId="4989E740" w14:textId="77777777" w:rsidR="00D210F0" w:rsidRPr="00092ED7" w:rsidRDefault="00E44EF2" w:rsidP="00E44EF2">
            <w:pPr>
              <w:spacing w:before="0" w:after="0"/>
              <w:ind w:left="113" w:right="113"/>
              <w:jc w:val="center"/>
              <w:rPr>
                <w:rFonts w:eastAsia="Times New Roman" w:cs="Times New Roman"/>
                <w:sz w:val="20"/>
                <w:lang w:val="sr-Cyrl-CS"/>
              </w:rPr>
            </w:pPr>
            <w:r w:rsidRPr="00092ED7">
              <w:rPr>
                <w:rFonts w:eastAsia="Times New Roman" w:cs="Times New Roman"/>
                <w:sz w:val="20"/>
                <w:lang w:val="sr-Cyrl-CS"/>
              </w:rPr>
              <w:t>2</w:t>
            </w:r>
          </w:p>
        </w:tc>
        <w:tc>
          <w:tcPr>
            <w:tcW w:w="1842" w:type="dxa"/>
          </w:tcPr>
          <w:p w14:paraId="4A794E3A" w14:textId="77777777" w:rsidR="00D210F0" w:rsidRPr="00092ED7" w:rsidRDefault="00D210F0" w:rsidP="00E44EF2">
            <w:pPr>
              <w:spacing w:before="0" w:after="0"/>
              <w:ind w:left="113" w:right="113"/>
              <w:jc w:val="center"/>
              <w:rPr>
                <w:rFonts w:eastAsia="Times New Roman" w:cs="Times New Roman"/>
                <w:sz w:val="20"/>
                <w:lang w:val="sr-Cyrl-CS"/>
              </w:rPr>
            </w:pPr>
            <w:r w:rsidRPr="00092ED7">
              <w:rPr>
                <w:rFonts w:eastAsia="Times New Roman" w:cs="Times New Roman"/>
                <w:sz w:val="20"/>
                <w:lang w:val="sr-Cyrl-CS"/>
              </w:rPr>
              <w:t>10</w:t>
            </w:r>
          </w:p>
        </w:tc>
      </w:tr>
      <w:tr w:rsidR="00D210F0" w:rsidRPr="00092ED7" w14:paraId="4673D9EB" w14:textId="77777777" w:rsidTr="00E44EF2">
        <w:trPr>
          <w:trHeight w:val="283"/>
        </w:trPr>
        <w:tc>
          <w:tcPr>
            <w:tcW w:w="3685" w:type="dxa"/>
          </w:tcPr>
          <w:p w14:paraId="5F615028" w14:textId="77777777" w:rsidR="00D210F0" w:rsidRPr="00092ED7" w:rsidRDefault="00D8424B" w:rsidP="00C429AB">
            <w:pPr>
              <w:spacing w:before="0" w:after="0"/>
              <w:ind w:left="113" w:right="113"/>
              <w:jc w:val="left"/>
              <w:rPr>
                <w:rFonts w:eastAsia="Times New Roman" w:cs="Times New Roman"/>
                <w:sz w:val="20"/>
                <w:lang w:val="sr-Cyrl-CS"/>
              </w:rPr>
            </w:pPr>
            <w:r w:rsidRPr="00092ED7">
              <w:rPr>
                <w:rFonts w:eastAsia="Times New Roman" w:cs="Times New Roman"/>
                <w:sz w:val="20"/>
                <w:lang w:val="sr-Cyrl-CS"/>
              </w:rPr>
              <w:t>Број нових иновативних предузећа у GovTech хабу</w:t>
            </w:r>
          </w:p>
        </w:tc>
        <w:tc>
          <w:tcPr>
            <w:tcW w:w="1980" w:type="dxa"/>
          </w:tcPr>
          <w:p w14:paraId="334D0A8A" w14:textId="77777777" w:rsidR="00D210F0" w:rsidRPr="00092ED7" w:rsidRDefault="00D210F0" w:rsidP="00C429AB">
            <w:pPr>
              <w:spacing w:before="0" w:after="0"/>
              <w:ind w:left="113" w:right="113"/>
              <w:jc w:val="center"/>
              <w:rPr>
                <w:rFonts w:eastAsia="Times New Roman" w:cs="Times New Roman"/>
                <w:sz w:val="20"/>
                <w:lang w:val="sr-Cyrl-CS"/>
              </w:rPr>
            </w:pPr>
            <w:r w:rsidRPr="00092ED7">
              <w:rPr>
                <w:rFonts w:eastAsia="Times New Roman" w:cs="Times New Roman"/>
                <w:sz w:val="20"/>
                <w:lang w:val="sr-Cyrl-CS"/>
              </w:rPr>
              <w:t>0</w:t>
            </w:r>
          </w:p>
        </w:tc>
        <w:tc>
          <w:tcPr>
            <w:tcW w:w="1702" w:type="dxa"/>
          </w:tcPr>
          <w:p w14:paraId="2D9A1B36" w14:textId="77777777" w:rsidR="00D210F0" w:rsidRPr="00092ED7" w:rsidRDefault="00E44EF2" w:rsidP="00E44EF2">
            <w:pPr>
              <w:spacing w:before="0" w:after="0"/>
              <w:ind w:left="113" w:right="113"/>
              <w:jc w:val="center"/>
              <w:rPr>
                <w:rFonts w:eastAsia="Times New Roman" w:cs="Times New Roman"/>
                <w:sz w:val="20"/>
                <w:lang w:val="sr-Cyrl-CS"/>
              </w:rPr>
            </w:pPr>
            <w:r w:rsidRPr="00092ED7">
              <w:rPr>
                <w:rFonts w:eastAsia="Times New Roman" w:cs="Times New Roman"/>
                <w:sz w:val="20"/>
                <w:lang w:val="sr-Cyrl-CS"/>
              </w:rPr>
              <w:t>1</w:t>
            </w:r>
          </w:p>
        </w:tc>
        <w:tc>
          <w:tcPr>
            <w:tcW w:w="1842" w:type="dxa"/>
          </w:tcPr>
          <w:p w14:paraId="0C12C09C" w14:textId="77777777" w:rsidR="00D210F0" w:rsidRPr="00092ED7" w:rsidRDefault="00D210F0" w:rsidP="00E44EF2">
            <w:pPr>
              <w:spacing w:before="0" w:after="0"/>
              <w:ind w:left="113" w:right="113"/>
              <w:jc w:val="center"/>
              <w:rPr>
                <w:rFonts w:eastAsia="Times New Roman" w:cs="Times New Roman"/>
                <w:sz w:val="20"/>
                <w:lang w:val="sr-Cyrl-CS"/>
              </w:rPr>
            </w:pPr>
            <w:r w:rsidRPr="00092ED7">
              <w:rPr>
                <w:rFonts w:eastAsia="Times New Roman" w:cs="Times New Roman"/>
                <w:sz w:val="20"/>
                <w:lang w:val="sr-Cyrl-CS"/>
              </w:rPr>
              <w:t>5</w:t>
            </w:r>
          </w:p>
        </w:tc>
      </w:tr>
    </w:tbl>
    <w:p w14:paraId="657BDD84" w14:textId="77777777" w:rsidR="00D210F0" w:rsidRPr="00092ED7" w:rsidRDefault="00D210F0" w:rsidP="00071952">
      <w:pPr>
        <w:widowControl w:val="0"/>
        <w:numPr>
          <w:ilvl w:val="0"/>
          <w:numId w:val="31"/>
        </w:numPr>
        <w:spacing w:before="120"/>
        <w:ind w:left="425" w:hanging="425"/>
        <w:rPr>
          <w:rFonts w:cs="Times New Roman"/>
          <w:b/>
          <w:bCs/>
          <w:szCs w:val="24"/>
          <w:lang w:val="sr-Cyrl-CS"/>
        </w:rPr>
      </w:pPr>
      <w:r w:rsidRPr="00092ED7">
        <w:rPr>
          <w:rFonts w:cs="Times New Roman"/>
          <w:b/>
          <w:szCs w:val="24"/>
          <w:lang w:val="sr-Cyrl-CS"/>
        </w:rPr>
        <w:t>Oчекивани утицај на конкурентност</w:t>
      </w:r>
    </w:p>
    <w:p w14:paraId="5BEE064A" w14:textId="77777777" w:rsidR="00D210F0" w:rsidRPr="00092ED7" w:rsidRDefault="00D210F0" w:rsidP="008A6DAE">
      <w:pPr>
        <w:widowControl w:val="0"/>
        <w:tabs>
          <w:tab w:val="left" w:pos="360"/>
        </w:tabs>
        <w:spacing w:after="60"/>
        <w:rPr>
          <w:rFonts w:cs="Times New Roman"/>
          <w:b/>
          <w:bCs/>
          <w:szCs w:val="24"/>
          <w:lang w:val="sr-Cyrl-CS"/>
        </w:rPr>
      </w:pPr>
      <w:r w:rsidRPr="00092ED7">
        <w:rPr>
          <w:rFonts w:cs="Times New Roman"/>
          <w:iCs/>
          <w:szCs w:val="24"/>
          <w:lang w:val="sr-Cyrl-CS"/>
        </w:rPr>
        <w:t>Ова структурна реформа ће највећи утицај имати на повећање конкурентности домаћих извозних производа из области креативних индустрија. Кроз рад са појединцима и компанијама на развоју и презентацији производа, Ложионица ће повећати конкурентност домаћих производа на страном тржишту, али уједно и допринети јачању домаћег тржишта креативних индустрија и привлачењу страних инвестиција у овој области.</w:t>
      </w:r>
    </w:p>
    <w:p w14:paraId="55742FF4" w14:textId="77777777" w:rsidR="00D210F0" w:rsidRPr="00092ED7" w:rsidRDefault="00D210F0" w:rsidP="00071952">
      <w:pPr>
        <w:widowControl w:val="0"/>
        <w:numPr>
          <w:ilvl w:val="0"/>
          <w:numId w:val="31"/>
        </w:numPr>
        <w:spacing w:before="120"/>
        <w:ind w:left="425" w:hanging="425"/>
        <w:rPr>
          <w:rFonts w:cs="Times New Roman"/>
          <w:b/>
          <w:bCs/>
          <w:szCs w:val="24"/>
          <w:lang w:val="sr-Cyrl-CS"/>
        </w:rPr>
      </w:pPr>
      <w:r w:rsidRPr="00092ED7">
        <w:rPr>
          <w:rFonts w:cs="Times New Roman"/>
          <w:b/>
          <w:szCs w:val="24"/>
          <w:lang w:val="sr-Cyrl-CS"/>
        </w:rPr>
        <w:lastRenderedPageBreak/>
        <w:t>Процењени трошкови спровођења структурне реформе и предвиђени извори њиховог финансирања</w:t>
      </w:r>
    </w:p>
    <w:p w14:paraId="65609322" w14:textId="6D924FAF" w:rsidR="00A978F7" w:rsidRPr="00092ED7" w:rsidRDefault="00A978F7" w:rsidP="008A6DAE">
      <w:pPr>
        <w:widowControl w:val="0"/>
        <w:tabs>
          <w:tab w:val="left" w:pos="270"/>
          <w:tab w:val="left" w:pos="360"/>
        </w:tabs>
        <w:spacing w:after="60"/>
        <w:rPr>
          <w:rFonts w:cs="Times New Roman"/>
          <w:b/>
          <w:bCs/>
          <w:szCs w:val="24"/>
          <w:lang w:val="sr-Cyrl-CS"/>
        </w:rPr>
      </w:pPr>
      <w:r w:rsidRPr="00092ED7">
        <w:rPr>
          <w:rFonts w:eastAsia="Times New Roman" w:cs="Times New Roman"/>
          <w:color w:val="000000" w:themeColor="text1"/>
          <w:szCs w:val="24"/>
          <w:lang w:val="sr-Cyrl-CS"/>
        </w:rPr>
        <w:t xml:space="preserve">За реализацију мере, која је започела у 2022. години, укупна планирана средства износе 62,5 милиона евра, по годинама: </w:t>
      </w:r>
      <w:r w:rsidR="00E20CC4" w:rsidRPr="00092ED7">
        <w:rPr>
          <w:lang w:val="sr-Cyrl-CS"/>
        </w:rPr>
        <w:t xml:space="preserve">15,42 </w:t>
      </w:r>
      <w:r w:rsidRPr="00092ED7">
        <w:rPr>
          <w:rFonts w:eastAsia="Times New Roman" w:cs="Times New Roman"/>
          <w:color w:val="000000" w:themeColor="text1"/>
          <w:szCs w:val="24"/>
          <w:lang w:val="sr-Cyrl-CS"/>
        </w:rPr>
        <w:t xml:space="preserve">милиона евра за 2023. годину, </w:t>
      </w:r>
      <w:r w:rsidR="00E20CC4" w:rsidRPr="00092ED7">
        <w:rPr>
          <w:lang w:val="sr-Cyrl-CS"/>
        </w:rPr>
        <w:t xml:space="preserve">27,08 </w:t>
      </w:r>
      <w:r w:rsidRPr="00092ED7">
        <w:rPr>
          <w:rFonts w:eastAsia="Times New Roman" w:cs="Times New Roman"/>
          <w:color w:val="000000" w:themeColor="text1"/>
          <w:szCs w:val="24"/>
          <w:lang w:val="sr-Cyrl-CS"/>
        </w:rPr>
        <w:t>милиона евра за 2024. и 20 милиона евра за 2025. годину. Извор финансирања за овај пројекат, односно све планиране активности је буџет Р</w:t>
      </w:r>
      <w:r w:rsidR="005701C0" w:rsidRPr="00092ED7">
        <w:rPr>
          <w:rFonts w:eastAsia="Times New Roman" w:cs="Times New Roman"/>
          <w:color w:val="000000" w:themeColor="text1"/>
          <w:szCs w:val="24"/>
          <w:lang w:val="sr-Cyrl-CS"/>
        </w:rPr>
        <w:t xml:space="preserve">епублике </w:t>
      </w:r>
      <w:r w:rsidRPr="00092ED7">
        <w:rPr>
          <w:rFonts w:eastAsia="Times New Roman" w:cs="Times New Roman"/>
          <w:color w:val="000000" w:themeColor="text1"/>
          <w:szCs w:val="24"/>
          <w:lang w:val="sr-Cyrl-CS"/>
        </w:rPr>
        <w:t>С</w:t>
      </w:r>
      <w:r w:rsidR="005701C0" w:rsidRPr="00092ED7">
        <w:rPr>
          <w:rFonts w:eastAsia="Times New Roman" w:cs="Times New Roman"/>
          <w:color w:val="000000" w:themeColor="text1"/>
          <w:szCs w:val="24"/>
          <w:lang w:val="sr-Cyrl-CS"/>
        </w:rPr>
        <w:t>рбије</w:t>
      </w:r>
      <w:r w:rsidRPr="00092ED7">
        <w:rPr>
          <w:rFonts w:eastAsia="Times New Roman" w:cs="Times New Roman"/>
          <w:color w:val="000000" w:themeColor="text1"/>
          <w:szCs w:val="24"/>
          <w:lang w:val="sr-Cyrl-CS"/>
        </w:rPr>
        <w:t xml:space="preserve">. </w:t>
      </w:r>
    </w:p>
    <w:p w14:paraId="44F963FB" w14:textId="77777777" w:rsidR="00D210F0" w:rsidRPr="00092ED7" w:rsidRDefault="00D210F0" w:rsidP="00071952">
      <w:pPr>
        <w:widowControl w:val="0"/>
        <w:numPr>
          <w:ilvl w:val="0"/>
          <w:numId w:val="31"/>
        </w:numPr>
        <w:spacing w:before="120"/>
        <w:ind w:left="425" w:hanging="425"/>
        <w:rPr>
          <w:rFonts w:cs="Times New Roman"/>
          <w:b/>
          <w:szCs w:val="24"/>
          <w:lang w:val="sr-Cyrl-CS"/>
        </w:rPr>
      </w:pPr>
      <w:r w:rsidRPr="00092ED7">
        <w:rPr>
          <w:rFonts w:cs="Times New Roman"/>
          <w:b/>
          <w:szCs w:val="24"/>
          <w:lang w:val="sr-Cyrl-CS"/>
        </w:rPr>
        <w:t>Очекивани утицај на социјалне циљеве, као што су запосленост, смањење сиромаштва, родна равноправност и приступ здравственој заштити</w:t>
      </w:r>
    </w:p>
    <w:p w14:paraId="2E7D6BDA" w14:textId="77777777" w:rsidR="00D210F0" w:rsidRPr="00092ED7" w:rsidRDefault="00D50025" w:rsidP="008A6DAE">
      <w:pPr>
        <w:widowControl w:val="0"/>
        <w:tabs>
          <w:tab w:val="left" w:pos="360"/>
        </w:tabs>
        <w:spacing w:after="60"/>
        <w:rPr>
          <w:rFonts w:cs="Times New Roman"/>
          <w:b/>
          <w:szCs w:val="24"/>
          <w:lang w:val="sr-Cyrl-CS"/>
        </w:rPr>
      </w:pPr>
      <w:r w:rsidRPr="00092ED7">
        <w:rPr>
          <w:rFonts w:eastAsia="Times New Roman" w:cs="Times New Roman"/>
          <w:color w:val="000000" w:themeColor="text1"/>
          <w:szCs w:val="24"/>
          <w:lang w:val="sr-Cyrl-CS"/>
        </w:rPr>
        <w:t xml:space="preserve">Структурна реформа има позитиван утицај на стварање нових производа и услуга, развој талената, социјалних и економских мрежа односно умрежавање, регионално истраживање и иновативне моделе организације, што на директан начин може утицати на повећање запослености. Кроз јачање конкурентности домаћих компанија и примену иновативних решења, посредно се утиче и на квалитет живота грађана, односно на смањење сиромаштва. </w:t>
      </w:r>
      <w:r w:rsidR="00D210F0" w:rsidRPr="00092ED7">
        <w:rPr>
          <w:rFonts w:eastAsia="Times New Roman" w:cs="Times New Roman"/>
          <w:color w:val="000000" w:themeColor="text1"/>
          <w:szCs w:val="24"/>
          <w:lang w:val="sr-Cyrl-CS"/>
        </w:rPr>
        <w:t xml:space="preserve"> Мера је неутрална у смислу родне равноправности.</w:t>
      </w:r>
    </w:p>
    <w:p w14:paraId="1C9F519B" w14:textId="77777777" w:rsidR="00D210F0" w:rsidRPr="00092ED7" w:rsidRDefault="00D210F0" w:rsidP="00071952">
      <w:pPr>
        <w:widowControl w:val="0"/>
        <w:numPr>
          <w:ilvl w:val="0"/>
          <w:numId w:val="31"/>
        </w:numPr>
        <w:spacing w:before="120"/>
        <w:ind w:left="425" w:hanging="425"/>
        <w:rPr>
          <w:rFonts w:cs="Times New Roman"/>
          <w:b/>
          <w:szCs w:val="24"/>
          <w:lang w:val="sr-Cyrl-CS"/>
        </w:rPr>
      </w:pPr>
      <w:r w:rsidRPr="00092ED7">
        <w:rPr>
          <w:rFonts w:cs="Times New Roman"/>
          <w:b/>
          <w:szCs w:val="24"/>
          <w:lang w:val="sr-Cyrl-CS"/>
        </w:rPr>
        <w:t>Очекивани утицај на животну средину и климатске промене</w:t>
      </w:r>
    </w:p>
    <w:p w14:paraId="270A5EC2" w14:textId="77777777" w:rsidR="00D210F0" w:rsidRPr="00092ED7" w:rsidRDefault="00D210F0" w:rsidP="00D210F0">
      <w:pPr>
        <w:widowControl w:val="0"/>
        <w:tabs>
          <w:tab w:val="left" w:pos="360"/>
        </w:tabs>
        <w:spacing w:after="60"/>
        <w:rPr>
          <w:rFonts w:cs="Times New Roman"/>
          <w:b/>
          <w:szCs w:val="24"/>
          <w:lang w:val="sr-Cyrl-CS"/>
        </w:rPr>
      </w:pPr>
      <w:r w:rsidRPr="00092ED7">
        <w:rPr>
          <w:rFonts w:eastAsia="Calibri" w:cs="Times New Roman"/>
          <w:szCs w:val="24"/>
          <w:lang w:val="sr-Cyrl-CS"/>
        </w:rPr>
        <w:t>Утицај на животну средину</w:t>
      </w:r>
      <w:r w:rsidR="00E63AE6" w:rsidRPr="00092ED7">
        <w:rPr>
          <w:rFonts w:eastAsia="Calibri" w:cs="Times New Roman"/>
          <w:szCs w:val="24"/>
          <w:lang w:val="sr-Cyrl-CS"/>
        </w:rPr>
        <w:t xml:space="preserve"> и климатске промене</w:t>
      </w:r>
      <w:r w:rsidRPr="00092ED7">
        <w:rPr>
          <w:rFonts w:eastAsia="Calibri" w:cs="Times New Roman"/>
          <w:szCs w:val="24"/>
          <w:lang w:val="sr-Cyrl-CS"/>
        </w:rPr>
        <w:t xml:space="preserve"> је неутралан.</w:t>
      </w:r>
    </w:p>
    <w:p w14:paraId="53E1FBD6" w14:textId="77777777" w:rsidR="00D210F0" w:rsidRPr="00092ED7" w:rsidRDefault="00D210F0" w:rsidP="00071952">
      <w:pPr>
        <w:widowControl w:val="0"/>
        <w:numPr>
          <w:ilvl w:val="0"/>
          <w:numId w:val="31"/>
        </w:numPr>
        <w:spacing w:before="120"/>
        <w:ind w:left="425" w:hanging="425"/>
        <w:rPr>
          <w:rFonts w:cs="Times New Roman"/>
          <w:b/>
          <w:szCs w:val="24"/>
          <w:lang w:val="sr-Cyrl-CS"/>
        </w:rPr>
      </w:pPr>
      <w:r w:rsidRPr="00092ED7">
        <w:rPr>
          <w:rFonts w:cs="Times New Roman"/>
          <w:b/>
          <w:szCs w:val="24"/>
          <w:lang w:val="sr-Cyrl-CS"/>
        </w:rPr>
        <w:t>Потенцијални ризици</w:t>
      </w:r>
    </w:p>
    <w:tbl>
      <w:tblPr>
        <w:tblStyle w:val="TableGrid"/>
        <w:tblW w:w="9067" w:type="dxa"/>
        <w:jc w:val="center"/>
        <w:tblLayout w:type="fixed"/>
        <w:tblLook w:val="04A0" w:firstRow="1" w:lastRow="0" w:firstColumn="1" w:lastColumn="0" w:noHBand="0" w:noVBand="1"/>
      </w:tblPr>
      <w:tblGrid>
        <w:gridCol w:w="3515"/>
        <w:gridCol w:w="2098"/>
        <w:gridCol w:w="3454"/>
      </w:tblGrid>
      <w:tr w:rsidR="00D210F0" w:rsidRPr="00092ED7" w14:paraId="57677720" w14:textId="77777777" w:rsidTr="00E44EF2">
        <w:trPr>
          <w:cnfStyle w:val="100000000000" w:firstRow="1" w:lastRow="0" w:firstColumn="0" w:lastColumn="0" w:oddVBand="0" w:evenVBand="0" w:oddHBand="0" w:evenHBand="0" w:firstRowFirstColumn="0" w:firstRowLastColumn="0" w:lastRowFirstColumn="0" w:lastRowLastColumn="0"/>
          <w:jc w:val="center"/>
        </w:trPr>
        <w:tc>
          <w:tcPr>
            <w:tcW w:w="3515" w:type="dxa"/>
          </w:tcPr>
          <w:p w14:paraId="1F8725E6" w14:textId="77777777" w:rsidR="00D210F0" w:rsidRPr="00092ED7" w:rsidRDefault="00D210F0" w:rsidP="00836984">
            <w:pPr>
              <w:spacing w:before="0" w:after="0"/>
              <w:ind w:left="113" w:right="113"/>
              <w:jc w:val="center"/>
              <w:rPr>
                <w:rFonts w:cs="Times New Roman"/>
                <w:b w:val="0"/>
                <w:sz w:val="20"/>
                <w:lang w:val="sr-Cyrl-CS"/>
              </w:rPr>
            </w:pPr>
            <w:r w:rsidRPr="00092ED7">
              <w:rPr>
                <w:rFonts w:cs="Times New Roman"/>
                <w:sz w:val="20"/>
                <w:lang w:val="sr-Cyrl-CS"/>
              </w:rPr>
              <w:t>Ризик</w:t>
            </w:r>
          </w:p>
        </w:tc>
        <w:tc>
          <w:tcPr>
            <w:tcW w:w="2098" w:type="dxa"/>
          </w:tcPr>
          <w:p w14:paraId="1EC5A446" w14:textId="77777777" w:rsidR="00D210F0" w:rsidRPr="00092ED7" w:rsidRDefault="00D210F0" w:rsidP="00836984">
            <w:pPr>
              <w:spacing w:before="0" w:after="0"/>
              <w:ind w:left="113" w:right="113"/>
              <w:jc w:val="center"/>
              <w:rPr>
                <w:rFonts w:cs="Times New Roman"/>
                <w:b w:val="0"/>
                <w:sz w:val="20"/>
                <w:lang w:val="sr-Cyrl-CS"/>
              </w:rPr>
            </w:pPr>
            <w:r w:rsidRPr="00092ED7">
              <w:rPr>
                <w:rFonts w:cs="Times New Roman"/>
                <w:sz w:val="20"/>
                <w:lang w:val="sr-Cyrl-CS"/>
              </w:rPr>
              <w:t>Вероватноћа за остваривање ризика</w:t>
            </w:r>
          </w:p>
        </w:tc>
        <w:tc>
          <w:tcPr>
            <w:tcW w:w="3454" w:type="dxa"/>
          </w:tcPr>
          <w:p w14:paraId="1F3BE25B" w14:textId="77777777" w:rsidR="00D210F0" w:rsidRPr="00092ED7" w:rsidRDefault="00D210F0" w:rsidP="00836984">
            <w:pPr>
              <w:spacing w:before="0" w:after="0"/>
              <w:ind w:left="113" w:right="113"/>
              <w:jc w:val="center"/>
              <w:rPr>
                <w:rFonts w:cs="Times New Roman"/>
                <w:b w:val="0"/>
                <w:sz w:val="20"/>
                <w:lang w:val="sr-Cyrl-CS"/>
              </w:rPr>
            </w:pPr>
            <w:r w:rsidRPr="00092ED7">
              <w:rPr>
                <w:rFonts w:cs="Times New Roman"/>
                <w:sz w:val="20"/>
                <w:lang w:val="sr-Cyrl-CS"/>
              </w:rPr>
              <w:t>Планиране активност за ублажавање негативних ефеката ризика</w:t>
            </w:r>
          </w:p>
        </w:tc>
      </w:tr>
      <w:tr w:rsidR="00D210F0" w:rsidRPr="00092ED7" w14:paraId="0EF85605" w14:textId="77777777" w:rsidTr="008A6DAE">
        <w:trPr>
          <w:jc w:val="center"/>
        </w:trPr>
        <w:tc>
          <w:tcPr>
            <w:tcW w:w="3515" w:type="dxa"/>
          </w:tcPr>
          <w:p w14:paraId="3751FE10" w14:textId="77777777" w:rsidR="00D210F0" w:rsidRPr="00092ED7" w:rsidRDefault="00D210F0" w:rsidP="00836984">
            <w:pPr>
              <w:spacing w:before="0" w:after="0"/>
              <w:ind w:left="113" w:right="113"/>
              <w:rPr>
                <w:rFonts w:eastAsia="Times New Roman" w:cs="Times New Roman"/>
                <w:sz w:val="20"/>
                <w:lang w:val="sr-Cyrl-CS"/>
              </w:rPr>
            </w:pPr>
            <w:r w:rsidRPr="00092ED7">
              <w:rPr>
                <w:rFonts w:eastAsia="Times New Roman" w:cs="Times New Roman"/>
                <w:sz w:val="20"/>
                <w:lang w:val="sr-Cyrl-CS"/>
              </w:rPr>
              <w:t>Дуготрајни инсталацијски радови и спремност извођача посла за друге кораке процеса</w:t>
            </w:r>
          </w:p>
        </w:tc>
        <w:tc>
          <w:tcPr>
            <w:tcW w:w="2098" w:type="dxa"/>
            <w:vAlign w:val="top"/>
          </w:tcPr>
          <w:p w14:paraId="5F8C73D1" w14:textId="77777777" w:rsidR="00D210F0" w:rsidRPr="00092ED7" w:rsidRDefault="00D210F0" w:rsidP="008A6DAE">
            <w:pPr>
              <w:spacing w:before="0" w:after="0"/>
              <w:ind w:left="113" w:right="113"/>
              <w:jc w:val="center"/>
              <w:rPr>
                <w:rFonts w:eastAsia="Times New Roman" w:cs="Times New Roman"/>
                <w:sz w:val="20"/>
                <w:lang w:val="sr-Cyrl-CS"/>
              </w:rPr>
            </w:pPr>
            <w:r w:rsidRPr="00092ED7">
              <w:rPr>
                <w:rFonts w:eastAsia="Times New Roman" w:cs="Times New Roman"/>
                <w:sz w:val="20"/>
                <w:lang w:val="sr-Cyrl-CS"/>
              </w:rPr>
              <w:t>Ниска</w:t>
            </w:r>
          </w:p>
        </w:tc>
        <w:tc>
          <w:tcPr>
            <w:tcW w:w="3454" w:type="dxa"/>
          </w:tcPr>
          <w:p w14:paraId="2A44081F" w14:textId="77777777" w:rsidR="00D210F0" w:rsidRPr="00092ED7" w:rsidRDefault="00D210F0" w:rsidP="00836984">
            <w:pPr>
              <w:spacing w:before="0" w:after="0"/>
              <w:ind w:left="113" w:right="113"/>
              <w:rPr>
                <w:rFonts w:eastAsia="Times New Roman" w:cs="Times New Roman"/>
                <w:sz w:val="20"/>
                <w:lang w:val="sr-Cyrl-CS"/>
              </w:rPr>
            </w:pPr>
            <w:r w:rsidRPr="00092ED7">
              <w:rPr>
                <w:rFonts w:eastAsia="Times New Roman" w:cs="Times New Roman"/>
                <w:sz w:val="20"/>
                <w:lang w:val="sr-Cyrl-CS"/>
              </w:rPr>
              <w:t>Појачано праћење спровођења планираних активности у складу са предвиђеним роковима</w:t>
            </w:r>
            <w:r w:rsidR="00D47BD8" w:rsidRPr="00092ED7">
              <w:rPr>
                <w:rFonts w:eastAsia="Times New Roman" w:cs="Times New Roman"/>
                <w:sz w:val="20"/>
                <w:lang w:val="sr-Cyrl-CS"/>
              </w:rPr>
              <w:t>.</w:t>
            </w:r>
          </w:p>
        </w:tc>
      </w:tr>
      <w:tr w:rsidR="00D210F0" w:rsidRPr="00092ED7" w14:paraId="439C20CB" w14:textId="77777777" w:rsidTr="008A6DAE">
        <w:trPr>
          <w:jc w:val="center"/>
        </w:trPr>
        <w:tc>
          <w:tcPr>
            <w:tcW w:w="3515" w:type="dxa"/>
          </w:tcPr>
          <w:p w14:paraId="6808BF9A" w14:textId="77777777" w:rsidR="00D210F0" w:rsidRPr="00092ED7" w:rsidRDefault="00D210F0" w:rsidP="00836984">
            <w:pPr>
              <w:spacing w:before="0" w:after="0"/>
              <w:ind w:left="113" w:right="113"/>
              <w:rPr>
                <w:rFonts w:eastAsia="Times New Roman" w:cs="Times New Roman"/>
                <w:sz w:val="20"/>
                <w:lang w:val="sr-Cyrl-CS"/>
              </w:rPr>
            </w:pPr>
            <w:r w:rsidRPr="00092ED7">
              <w:rPr>
                <w:rFonts w:eastAsia="Times New Roman" w:cs="Times New Roman"/>
                <w:sz w:val="20"/>
                <w:lang w:val="sr-Cyrl-CS"/>
              </w:rPr>
              <w:t>Потешкоће у исходовању неопходних дозвола</w:t>
            </w:r>
          </w:p>
        </w:tc>
        <w:tc>
          <w:tcPr>
            <w:tcW w:w="2098" w:type="dxa"/>
            <w:vAlign w:val="top"/>
          </w:tcPr>
          <w:p w14:paraId="32AB6338" w14:textId="77777777" w:rsidR="00D210F0" w:rsidRPr="00092ED7" w:rsidRDefault="00D210F0" w:rsidP="008A6DAE">
            <w:pPr>
              <w:spacing w:before="0" w:after="0"/>
              <w:ind w:left="113" w:right="113"/>
              <w:jc w:val="center"/>
              <w:rPr>
                <w:rFonts w:eastAsia="Times New Roman" w:cs="Times New Roman"/>
                <w:sz w:val="20"/>
                <w:lang w:val="sr-Cyrl-CS"/>
              </w:rPr>
            </w:pPr>
            <w:r w:rsidRPr="00092ED7">
              <w:rPr>
                <w:rFonts w:eastAsia="Times New Roman" w:cs="Times New Roman"/>
                <w:sz w:val="20"/>
                <w:lang w:val="sr-Cyrl-CS"/>
              </w:rPr>
              <w:t>Ниска</w:t>
            </w:r>
          </w:p>
        </w:tc>
        <w:tc>
          <w:tcPr>
            <w:tcW w:w="3454" w:type="dxa"/>
          </w:tcPr>
          <w:p w14:paraId="740A20E0" w14:textId="77777777" w:rsidR="00D210F0" w:rsidRPr="00092ED7" w:rsidRDefault="00D210F0" w:rsidP="00836984">
            <w:pPr>
              <w:spacing w:before="0" w:after="0"/>
              <w:ind w:left="113" w:right="113"/>
              <w:rPr>
                <w:rFonts w:eastAsia="Times New Roman" w:cs="Times New Roman"/>
                <w:sz w:val="20"/>
                <w:lang w:val="sr-Cyrl-CS"/>
              </w:rPr>
            </w:pPr>
            <w:r w:rsidRPr="00092ED7">
              <w:rPr>
                <w:rFonts w:eastAsia="Times New Roman" w:cs="Times New Roman"/>
                <w:sz w:val="20"/>
                <w:lang w:val="sr-Cyrl-CS"/>
              </w:rPr>
              <w:t>Поштовање законских одредаба и процедура. Добро временско планирање.</w:t>
            </w:r>
          </w:p>
        </w:tc>
      </w:tr>
    </w:tbl>
    <w:p w14:paraId="57A2E97B" w14:textId="77777777" w:rsidR="00D210F0" w:rsidRPr="00092ED7" w:rsidRDefault="00D210F0" w:rsidP="00D210F0">
      <w:pPr>
        <w:keepNext/>
        <w:keepLines/>
        <w:shd w:val="clear" w:color="auto" w:fill="D9D9D9" w:themeFill="background1" w:themeFillShade="D9"/>
        <w:spacing w:before="360"/>
        <w:outlineLvl w:val="2"/>
        <w:rPr>
          <w:rFonts w:eastAsiaTheme="majorEastAsia" w:cstheme="majorBidi"/>
          <w:b/>
          <w:shd w:val="clear" w:color="auto" w:fill="D9D9D9" w:themeFill="background1" w:themeFillShade="D9"/>
          <w:lang w:val="sr-Cyrl-CS"/>
        </w:rPr>
      </w:pPr>
      <w:bookmarkStart w:id="46" w:name="_Toc93385980"/>
      <w:bookmarkStart w:id="47" w:name="_Toc124174811"/>
      <w:r w:rsidRPr="00092ED7">
        <w:rPr>
          <w:rFonts w:eastAsiaTheme="majorEastAsia" w:cstheme="majorBidi"/>
          <w:b/>
          <w:lang w:val="sr-Cyrl-CS"/>
        </w:rPr>
        <w:t>5.2.4. Област ПОСЛОВНО ОКРУЖЕЊЕ И СМАЊЕЊЕ СИВЕ ЕКОНОМИЈЕ</w:t>
      </w:r>
      <w:bookmarkEnd w:id="46"/>
      <w:bookmarkEnd w:id="47"/>
    </w:p>
    <w:p w14:paraId="1FE3F671" w14:textId="77777777" w:rsidR="00D210F0" w:rsidRPr="00092ED7" w:rsidRDefault="00D210F0" w:rsidP="00D210F0">
      <w:pPr>
        <w:widowControl w:val="0"/>
        <w:spacing w:after="60"/>
        <w:rPr>
          <w:rFonts w:cs="Times New Roman"/>
          <w:noProof/>
          <w:szCs w:val="24"/>
          <w:lang w:val="sr-Cyrl-CS"/>
        </w:rPr>
      </w:pPr>
      <w:r w:rsidRPr="00092ED7">
        <w:rPr>
          <w:rFonts w:cs="Times New Roman"/>
          <w:noProof/>
          <w:szCs w:val="24"/>
          <w:lang w:val="sr-Cyrl-CS"/>
        </w:rPr>
        <w:t xml:space="preserve">Ова област и релевантне реформе анализирани су у одељку 5.1. под </w:t>
      </w:r>
      <w:r w:rsidRPr="00092ED7">
        <w:rPr>
          <w:rFonts w:cs="Times New Roman"/>
          <w:i/>
          <w:noProof/>
          <w:szCs w:val="24"/>
          <w:lang w:val="sr-Cyrl-CS"/>
        </w:rPr>
        <w:t>Кључним изазовом број 2. Унапређење пословног амбијента повољнијег за инвестиције</w:t>
      </w:r>
      <w:r w:rsidRPr="00092ED7">
        <w:rPr>
          <w:rFonts w:cs="Times New Roman"/>
          <w:noProof/>
          <w:szCs w:val="24"/>
          <w:lang w:val="sr-Cyrl-CS"/>
        </w:rPr>
        <w:t>.</w:t>
      </w:r>
    </w:p>
    <w:p w14:paraId="07720FF7" w14:textId="77777777" w:rsidR="00D210F0" w:rsidRPr="00092ED7" w:rsidRDefault="00D210F0" w:rsidP="00D210F0">
      <w:pPr>
        <w:keepNext/>
        <w:keepLines/>
        <w:shd w:val="clear" w:color="auto" w:fill="D9D9D9" w:themeFill="background1" w:themeFillShade="D9"/>
        <w:spacing w:before="360"/>
        <w:outlineLvl w:val="2"/>
        <w:rPr>
          <w:rFonts w:eastAsiaTheme="majorEastAsia" w:cstheme="majorBidi"/>
          <w:b/>
          <w:shd w:val="clear" w:color="auto" w:fill="D9D9D9" w:themeFill="background1" w:themeFillShade="D9"/>
          <w:lang w:val="sr-Cyrl-CS"/>
        </w:rPr>
      </w:pPr>
      <w:bookmarkStart w:id="48" w:name="_Toc93385981"/>
      <w:bookmarkStart w:id="49" w:name="_Toc124174812"/>
      <w:r w:rsidRPr="00092ED7">
        <w:rPr>
          <w:rFonts w:eastAsiaTheme="majorEastAsia" w:cstheme="majorBidi"/>
          <w:b/>
          <w:lang w:val="sr-Cyrl-CS"/>
        </w:rPr>
        <w:t>5.2.5. Област ИСТРАЖИВАЊЕ, РАЗВОЈ И ИНОВАЦИЈЕ</w:t>
      </w:r>
      <w:bookmarkEnd w:id="48"/>
      <w:bookmarkEnd w:id="49"/>
    </w:p>
    <w:p w14:paraId="3DDB3213" w14:textId="2107EF54" w:rsidR="00D210F0" w:rsidRPr="00092ED7" w:rsidRDefault="00D210F0" w:rsidP="00D210F0">
      <w:pPr>
        <w:spacing w:before="120"/>
        <w:rPr>
          <w:rFonts w:cs="Times New Roman"/>
          <w:szCs w:val="24"/>
          <w:lang w:val="sr-Cyrl-CS"/>
        </w:rPr>
      </w:pPr>
      <w:r w:rsidRPr="00092ED7">
        <w:rPr>
          <w:rFonts w:eastAsia="Times New Roman" w:cs="Times New Roman"/>
          <w:b/>
          <w:szCs w:val="24"/>
          <w:lang w:val="sr-Cyrl-CS"/>
        </w:rPr>
        <w:t xml:space="preserve">а) Анализа главних </w:t>
      </w:r>
      <w:r w:rsidR="00515D4D" w:rsidRPr="00092ED7">
        <w:rPr>
          <w:rFonts w:eastAsia="Times New Roman" w:cs="Times New Roman"/>
          <w:b/>
          <w:szCs w:val="24"/>
          <w:lang w:val="sr-Cyrl-CS"/>
        </w:rPr>
        <w:t>изазова</w:t>
      </w:r>
    </w:p>
    <w:p w14:paraId="1D1CD759" w14:textId="3F42B394" w:rsidR="00D210F0" w:rsidRPr="00092ED7" w:rsidRDefault="00D210F0" w:rsidP="00D210F0">
      <w:pPr>
        <w:widowControl w:val="0"/>
        <w:spacing w:after="60"/>
        <w:rPr>
          <w:rFonts w:eastAsia="Times New Roman" w:cs="Times New Roman"/>
          <w:b/>
          <w:szCs w:val="24"/>
          <w:lang w:val="sr-Cyrl-CS"/>
        </w:rPr>
      </w:pPr>
      <w:r w:rsidRPr="00092ED7">
        <w:rPr>
          <w:rFonts w:eastAsia="Times New Roman" w:cs="Times New Roman"/>
          <w:b/>
          <w:szCs w:val="24"/>
          <w:lang w:val="sr-Cyrl-CS"/>
        </w:rPr>
        <w:t xml:space="preserve">Иновациони екосистем у Републици Србији у значајној мери је унапређен, а у прилог томе говоре подаци међународних индекса иновативности на којима </w:t>
      </w:r>
      <w:r w:rsidR="005701C0" w:rsidRPr="00092ED7">
        <w:rPr>
          <w:rFonts w:eastAsia="Times New Roman" w:cs="Times New Roman"/>
          <w:b/>
          <w:szCs w:val="24"/>
          <w:lang w:val="sr-Cyrl-CS"/>
        </w:rPr>
        <w:t xml:space="preserve">Република </w:t>
      </w:r>
      <w:r w:rsidRPr="00092ED7">
        <w:rPr>
          <w:rFonts w:eastAsia="Times New Roman" w:cs="Times New Roman"/>
          <w:b/>
          <w:szCs w:val="24"/>
          <w:lang w:val="sr-Cyrl-CS"/>
        </w:rPr>
        <w:t>Србија генерално напредује.</w:t>
      </w:r>
    </w:p>
    <w:p w14:paraId="767E4001" w14:textId="77777777" w:rsidR="00D210F0" w:rsidRPr="00092ED7" w:rsidRDefault="00D210F0" w:rsidP="00D210F0">
      <w:pPr>
        <w:widowControl w:val="0"/>
        <w:spacing w:after="60"/>
        <w:rPr>
          <w:rFonts w:eastAsia="Times New Roman" w:cs="Times New Roman"/>
          <w:szCs w:val="24"/>
          <w:lang w:val="sr-Cyrl-CS"/>
        </w:rPr>
      </w:pPr>
      <w:r w:rsidRPr="00092ED7">
        <w:rPr>
          <w:rFonts w:eastAsia="Times New Roman" w:cs="Times New Roman"/>
          <w:szCs w:val="24"/>
          <w:lang w:val="sr-Cyrl-CS"/>
        </w:rPr>
        <w:t xml:space="preserve">Република Србија виђена је као </w:t>
      </w:r>
      <w:r w:rsidRPr="00092ED7">
        <w:rPr>
          <w:rFonts w:eastAsia="Times New Roman" w:cs="Times New Roman"/>
          <w:b/>
          <w:szCs w:val="24"/>
          <w:lang w:val="sr-Cyrl-CS"/>
        </w:rPr>
        <w:t>иноватор у успону</w:t>
      </w:r>
      <w:r w:rsidRPr="00092ED7">
        <w:rPr>
          <w:rFonts w:eastAsia="Times New Roman" w:cs="Times New Roman"/>
          <w:szCs w:val="24"/>
          <w:lang w:val="sr-Cyrl-CS"/>
        </w:rPr>
        <w:t xml:space="preserve"> (</w:t>
      </w:r>
      <w:r w:rsidRPr="00092ED7">
        <w:rPr>
          <w:rFonts w:eastAsia="Times New Roman" w:cs="Times New Roman"/>
          <w:i/>
          <w:szCs w:val="24"/>
          <w:lang w:val="sr-Cyrl-CS"/>
        </w:rPr>
        <w:t>emerging innovator</w:t>
      </w:r>
      <w:r w:rsidRPr="00092ED7">
        <w:rPr>
          <w:rFonts w:eastAsia="Times New Roman" w:cs="Times New Roman"/>
          <w:szCs w:val="24"/>
          <w:lang w:val="sr-Cyrl-CS"/>
        </w:rPr>
        <w:t>) мерено сумарним индексом иновативности</w:t>
      </w:r>
      <w:r w:rsidRPr="00092ED7">
        <w:rPr>
          <w:rStyle w:val="FootnoteReference"/>
          <w:rFonts w:cs="Times New Roman"/>
          <w:szCs w:val="24"/>
          <w:lang w:val="sr-Cyrl-CS"/>
        </w:rPr>
        <w:footnoteReference w:id="118"/>
      </w:r>
      <w:r w:rsidRPr="00092ED7">
        <w:rPr>
          <w:rFonts w:eastAsia="Times New Roman" w:cs="Times New Roman"/>
          <w:szCs w:val="24"/>
          <w:lang w:val="sr-Cyrl-CS"/>
        </w:rPr>
        <w:t xml:space="preserve"> (</w:t>
      </w:r>
      <w:r w:rsidRPr="00092ED7">
        <w:rPr>
          <w:rFonts w:eastAsia="Times New Roman" w:cs="Times New Roman"/>
          <w:i/>
          <w:szCs w:val="24"/>
          <w:lang w:val="sr-Cyrl-CS"/>
        </w:rPr>
        <w:t>European Innovation Scoreboard 2022</w:t>
      </w:r>
      <w:r w:rsidRPr="00092ED7">
        <w:rPr>
          <w:rStyle w:val="FootnoteReference"/>
          <w:rFonts w:cs="Times New Roman"/>
          <w:i/>
          <w:szCs w:val="24"/>
          <w:lang w:val="sr-Cyrl-CS"/>
        </w:rPr>
        <w:footnoteReference w:id="119"/>
      </w:r>
      <w:r w:rsidRPr="00092ED7">
        <w:rPr>
          <w:rFonts w:eastAsia="Times New Roman" w:cs="Times New Roman"/>
          <w:szCs w:val="24"/>
          <w:lang w:val="sr-Cyrl-CS"/>
        </w:rPr>
        <w:t xml:space="preserve">), који износи 61,8 у односу на просек ЕУ у 2022. години. Индекс иновативности за Републику Србију је повећан за 15,6 п.п. у периоду 2015-2022. (у односу на резултате ЕУ у 2015), што је више од повећања овог индекса за ЕУ који износи 9,9 п.п. у истом временском периоду, чиме </w:t>
      </w:r>
      <w:r w:rsidRPr="00092ED7">
        <w:rPr>
          <w:rFonts w:eastAsia="Times New Roman" w:cs="Times New Roman"/>
          <w:b/>
          <w:szCs w:val="24"/>
          <w:lang w:val="sr-Cyrl-CS"/>
        </w:rPr>
        <w:t xml:space="preserve">разлика у перформансама Републике Србије у односу на просек ЕУ </w:t>
      </w:r>
      <w:r w:rsidRPr="00092ED7">
        <w:rPr>
          <w:rFonts w:eastAsia="Times New Roman" w:cs="Times New Roman"/>
          <w:b/>
          <w:szCs w:val="24"/>
          <w:lang w:val="sr-Cyrl-CS"/>
        </w:rPr>
        <w:lastRenderedPageBreak/>
        <w:t>постаје све мања</w:t>
      </w:r>
      <w:r w:rsidRPr="00092ED7">
        <w:rPr>
          <w:rFonts w:eastAsia="Times New Roman" w:cs="Times New Roman"/>
          <w:szCs w:val="24"/>
          <w:lang w:val="sr-Cyrl-CS"/>
        </w:rPr>
        <w:t>.</w:t>
      </w:r>
    </w:p>
    <w:p w14:paraId="646A5BED" w14:textId="30FC6AAB" w:rsidR="00D210F0" w:rsidRPr="00092ED7" w:rsidRDefault="00D210F0" w:rsidP="00D210F0">
      <w:pPr>
        <w:widowControl w:val="0"/>
        <w:spacing w:after="60"/>
        <w:rPr>
          <w:rFonts w:eastAsia="Times New Roman" w:cs="Times New Roman"/>
          <w:szCs w:val="24"/>
          <w:lang w:val="sr-Cyrl-CS"/>
        </w:rPr>
      </w:pPr>
      <w:r w:rsidRPr="00092ED7">
        <w:rPr>
          <w:rFonts w:eastAsia="Times New Roman" w:cs="Times New Roman"/>
          <w:szCs w:val="24"/>
          <w:lang w:val="sr-Cyrl-CS"/>
        </w:rPr>
        <w:t>Република Србија се налази на 55. месту, од 132 земље, мерено глобалним индексом иновативности</w:t>
      </w:r>
      <w:r w:rsidRPr="00092ED7">
        <w:rPr>
          <w:rStyle w:val="FootnoteReference"/>
          <w:rFonts w:cs="Times New Roman"/>
          <w:szCs w:val="24"/>
          <w:lang w:val="sr-Cyrl-CS"/>
        </w:rPr>
        <w:footnoteReference w:id="120"/>
      </w:r>
      <w:r w:rsidRPr="00092ED7">
        <w:rPr>
          <w:rFonts w:eastAsia="Times New Roman" w:cs="Times New Roman"/>
          <w:szCs w:val="24"/>
          <w:lang w:val="sr-Cyrl-CS"/>
        </w:rPr>
        <w:t xml:space="preserve"> (</w:t>
      </w:r>
      <w:r w:rsidRPr="00092ED7">
        <w:rPr>
          <w:rFonts w:eastAsia="Times New Roman" w:cs="Times New Roman"/>
          <w:i/>
          <w:szCs w:val="24"/>
          <w:lang w:val="sr-Cyrl-CS"/>
        </w:rPr>
        <w:t>The Global Innovation Index 2022</w:t>
      </w:r>
      <w:r w:rsidRPr="00092ED7">
        <w:rPr>
          <w:rStyle w:val="FootnoteReference"/>
          <w:rFonts w:cs="Times New Roman"/>
          <w:i/>
          <w:szCs w:val="24"/>
          <w:lang w:val="sr-Cyrl-CS"/>
        </w:rPr>
        <w:footnoteReference w:id="121"/>
      </w:r>
      <w:r w:rsidRPr="00092ED7">
        <w:rPr>
          <w:rFonts w:eastAsia="Times New Roman" w:cs="Times New Roman"/>
          <w:szCs w:val="24"/>
          <w:lang w:val="sr-Cyrl-CS"/>
        </w:rPr>
        <w:t xml:space="preserve">) у извештају за 2022. годину. У односу на претходну годину, бележи се пад за једно место. Међутим, </w:t>
      </w:r>
      <w:r w:rsidR="005701C0" w:rsidRPr="00092ED7">
        <w:rPr>
          <w:rFonts w:eastAsia="Times New Roman" w:cs="Times New Roman"/>
          <w:szCs w:val="24"/>
          <w:lang w:val="sr-Cyrl-CS"/>
        </w:rPr>
        <w:t xml:space="preserve">Република </w:t>
      </w:r>
      <w:r w:rsidRPr="00092ED7">
        <w:rPr>
          <w:rFonts w:eastAsia="Times New Roman" w:cs="Times New Roman"/>
          <w:szCs w:val="24"/>
          <w:lang w:val="sr-Cyrl-CS"/>
        </w:rPr>
        <w:t xml:space="preserve">Србија је на 32. месту у Европи, од 39 земаља, што је </w:t>
      </w:r>
      <w:r w:rsidR="00F17635" w:rsidRPr="00092ED7">
        <w:rPr>
          <w:rFonts w:eastAsia="Times New Roman" w:cs="Times New Roman"/>
          <w:szCs w:val="24"/>
          <w:lang w:val="sr-Cyrl-CS"/>
        </w:rPr>
        <w:t xml:space="preserve">добар резултат имајући у виду да </w:t>
      </w:r>
      <w:r w:rsidRPr="00092ED7">
        <w:rPr>
          <w:rFonts w:eastAsia="Times New Roman" w:cs="Times New Roman"/>
          <w:szCs w:val="24"/>
          <w:lang w:val="sr-Cyrl-CS"/>
        </w:rPr>
        <w:t xml:space="preserve">је </w:t>
      </w:r>
      <w:r w:rsidR="00F17635" w:rsidRPr="00092ED7">
        <w:rPr>
          <w:rFonts w:eastAsia="Times New Roman" w:cs="Times New Roman"/>
          <w:szCs w:val="24"/>
          <w:lang w:val="sr-Cyrl-CS"/>
        </w:rPr>
        <w:t xml:space="preserve">то </w:t>
      </w:r>
      <w:r w:rsidRPr="00092ED7">
        <w:rPr>
          <w:rFonts w:eastAsia="Times New Roman" w:cs="Times New Roman"/>
          <w:szCs w:val="24"/>
          <w:lang w:val="sr-Cyrl-CS"/>
        </w:rPr>
        <w:t xml:space="preserve">део света са највећом концентрацијом земаља са високоразвијеним иновационим екосистемима – 15 глобалних иновационих лидера долази одавде. </w:t>
      </w:r>
      <w:r w:rsidRPr="00092ED7">
        <w:rPr>
          <w:rFonts w:eastAsia="Times New Roman" w:cs="Times New Roman"/>
          <w:b/>
          <w:szCs w:val="24"/>
          <w:lang w:val="sr-Cyrl-CS"/>
        </w:rPr>
        <w:t>У категорији земаља са вишим средњим нивоом дохотка</w:t>
      </w:r>
      <w:r w:rsidRPr="00092ED7">
        <w:rPr>
          <w:rFonts w:eastAsia="Times New Roman" w:cs="Times New Roman"/>
          <w:szCs w:val="24"/>
          <w:lang w:val="sr-Cyrl-CS"/>
        </w:rPr>
        <w:t xml:space="preserve"> (</w:t>
      </w:r>
      <w:r w:rsidRPr="00092ED7">
        <w:rPr>
          <w:rFonts w:eastAsia="Times New Roman" w:cs="Times New Roman"/>
          <w:i/>
          <w:szCs w:val="24"/>
          <w:lang w:val="sr-Cyrl-CS"/>
        </w:rPr>
        <w:t>upper middle-income</w:t>
      </w:r>
      <w:r w:rsidRPr="00092ED7">
        <w:rPr>
          <w:rFonts w:eastAsia="Times New Roman" w:cs="Times New Roman"/>
          <w:szCs w:val="24"/>
          <w:lang w:val="sr-Cyrl-CS"/>
        </w:rPr>
        <w:t xml:space="preserve">), коју чине 36 земаља, </w:t>
      </w:r>
      <w:r w:rsidR="009D7689" w:rsidRPr="00092ED7">
        <w:rPr>
          <w:rFonts w:eastAsia="Times New Roman" w:cs="Times New Roman"/>
          <w:szCs w:val="24"/>
          <w:lang w:val="sr-Cyrl-CS"/>
        </w:rPr>
        <w:t xml:space="preserve">Република </w:t>
      </w:r>
      <w:r w:rsidRPr="00092ED7">
        <w:rPr>
          <w:rFonts w:eastAsia="Times New Roman" w:cs="Times New Roman"/>
          <w:b/>
          <w:szCs w:val="24"/>
          <w:lang w:val="sr-Cyrl-CS"/>
        </w:rPr>
        <w:t xml:space="preserve">Србија је у </w:t>
      </w:r>
      <w:r w:rsidR="009D7689" w:rsidRPr="00092ED7">
        <w:rPr>
          <w:rFonts w:eastAsia="Times New Roman" w:cs="Times New Roman"/>
          <w:b/>
          <w:szCs w:val="24"/>
          <w:lang w:val="sr-Cyrl-CS"/>
        </w:rPr>
        <w:t>првих</w:t>
      </w:r>
      <w:r w:rsidRPr="00092ED7">
        <w:rPr>
          <w:rFonts w:eastAsia="Times New Roman" w:cs="Times New Roman"/>
          <w:b/>
          <w:szCs w:val="24"/>
          <w:lang w:val="sr-Cyrl-CS"/>
        </w:rPr>
        <w:t xml:space="preserve"> </w:t>
      </w:r>
      <w:r w:rsidR="009D7689" w:rsidRPr="00092ED7">
        <w:rPr>
          <w:rFonts w:eastAsia="Times New Roman" w:cs="Times New Roman"/>
          <w:b/>
          <w:szCs w:val="24"/>
          <w:lang w:val="sr-Cyrl-CS"/>
        </w:rPr>
        <w:t>десет</w:t>
      </w:r>
      <w:r w:rsidRPr="00092ED7">
        <w:rPr>
          <w:rFonts w:eastAsia="Times New Roman" w:cs="Times New Roman"/>
          <w:b/>
          <w:szCs w:val="24"/>
          <w:lang w:val="sr-Cyrl-CS"/>
        </w:rPr>
        <w:t xml:space="preserve"> земаља</w:t>
      </w:r>
      <w:r w:rsidRPr="00092ED7">
        <w:rPr>
          <w:rFonts w:eastAsia="Times New Roman" w:cs="Times New Roman"/>
          <w:szCs w:val="24"/>
          <w:lang w:val="sr-Cyrl-CS"/>
        </w:rPr>
        <w:t>.</w:t>
      </w:r>
    </w:p>
    <w:p w14:paraId="5F556CC9" w14:textId="77777777" w:rsidR="00D210F0" w:rsidRPr="00092ED7" w:rsidRDefault="00D210F0" w:rsidP="00D210F0">
      <w:pPr>
        <w:widowControl w:val="0"/>
        <w:spacing w:after="60"/>
        <w:rPr>
          <w:rFonts w:eastAsia="Times New Roman" w:cs="Times New Roman"/>
          <w:b/>
          <w:szCs w:val="24"/>
          <w:lang w:val="sr-Cyrl-CS"/>
        </w:rPr>
      </w:pPr>
      <w:r w:rsidRPr="00092ED7">
        <w:rPr>
          <w:rFonts w:eastAsia="Times New Roman" w:cs="Times New Roman"/>
          <w:b/>
          <w:szCs w:val="24"/>
          <w:lang w:val="sr-Cyrl-CS"/>
        </w:rPr>
        <w:t>Реформе научно-истраживачког и иновационог система у Републици Србији</w:t>
      </w:r>
      <w:r w:rsidRPr="00092ED7">
        <w:rPr>
          <w:rFonts w:eastAsia="Times New Roman" w:cs="Times New Roman"/>
          <w:szCs w:val="24"/>
          <w:lang w:val="sr-Cyrl-CS"/>
        </w:rPr>
        <w:t xml:space="preserve"> претходних година, подржане су усвајањем релевантног законодавног оквира</w:t>
      </w:r>
      <w:r w:rsidRPr="00092ED7">
        <w:rPr>
          <w:rStyle w:val="FootnoteReference"/>
          <w:rFonts w:cs="Times New Roman"/>
          <w:szCs w:val="24"/>
          <w:lang w:val="sr-Cyrl-CS"/>
        </w:rPr>
        <w:footnoteReference w:id="122"/>
      </w:r>
      <w:r w:rsidRPr="00092ED7">
        <w:rPr>
          <w:rFonts w:eastAsia="Times New Roman" w:cs="Times New Roman"/>
          <w:szCs w:val="24"/>
          <w:lang w:val="sr-Cyrl-CS"/>
        </w:rPr>
        <w:t>, стратегија и акционих планова</w:t>
      </w:r>
      <w:r w:rsidRPr="00092ED7">
        <w:rPr>
          <w:rStyle w:val="FootnoteReference"/>
          <w:rFonts w:cs="Times New Roman"/>
          <w:szCs w:val="24"/>
          <w:lang w:val="sr-Cyrl-CS"/>
        </w:rPr>
        <w:footnoteReference w:id="123"/>
      </w:r>
      <w:r w:rsidRPr="00092ED7">
        <w:rPr>
          <w:rFonts w:eastAsia="Times New Roman" w:cs="Times New Roman"/>
          <w:szCs w:val="24"/>
          <w:lang w:val="sr-Cyrl-CS"/>
        </w:rPr>
        <w:t xml:space="preserve">. Препознате </w:t>
      </w:r>
      <w:r w:rsidRPr="00092ED7">
        <w:rPr>
          <w:rFonts w:eastAsia="Times New Roman" w:cs="Times New Roman"/>
          <w:b/>
          <w:szCs w:val="24"/>
          <w:lang w:val="sr-Cyrl-CS"/>
        </w:rPr>
        <w:t>слабости и претње</w:t>
      </w:r>
      <w:r w:rsidRPr="00092ED7">
        <w:rPr>
          <w:rFonts w:eastAsia="Times New Roman" w:cs="Times New Roman"/>
          <w:szCs w:val="24"/>
          <w:lang w:val="sr-Cyrl-CS"/>
        </w:rPr>
        <w:t xml:space="preserve"> у овом домену, </w:t>
      </w:r>
      <w:r w:rsidRPr="00092ED7">
        <w:rPr>
          <w:rFonts w:eastAsia="Times New Roman" w:cs="Times New Roman"/>
          <w:b/>
          <w:szCs w:val="24"/>
          <w:lang w:val="sr-Cyrl-CS"/>
        </w:rPr>
        <w:t>отклањају се променом система финансирања науке и истраживања, значајним улагањима у научно-истраживачку инфраструктуру, као и већом оријентисаношћу научних истраживања ка привреди.</w:t>
      </w:r>
    </w:p>
    <w:p w14:paraId="6B3B451E" w14:textId="77777777" w:rsidR="00D210F0" w:rsidRPr="00092ED7" w:rsidRDefault="00D210F0" w:rsidP="00D210F0">
      <w:pPr>
        <w:widowControl w:val="0"/>
        <w:spacing w:after="60"/>
        <w:rPr>
          <w:rFonts w:eastAsia="Times New Roman" w:cs="Times New Roman"/>
          <w:szCs w:val="24"/>
          <w:lang w:val="sr-Cyrl-CS"/>
        </w:rPr>
      </w:pPr>
      <w:r w:rsidRPr="00092ED7">
        <w:rPr>
          <w:rFonts w:eastAsia="Times New Roman" w:cs="Times New Roman"/>
          <w:b/>
          <w:szCs w:val="24"/>
          <w:lang w:val="sr-Cyrl-CS"/>
        </w:rPr>
        <w:t xml:space="preserve">Средства за интеграцију истраживачке мреже Републике Србије у европске и глобалне мреже и даље су недовољна, иако се последњих година повећавају улагања у истраживање и развој. </w:t>
      </w:r>
      <w:r w:rsidRPr="00092ED7">
        <w:rPr>
          <w:rFonts w:eastAsia="Times New Roman" w:cs="Times New Roman"/>
          <w:szCs w:val="24"/>
          <w:lang w:val="sr-Cyrl-CS"/>
        </w:rPr>
        <w:t>Укупна издвајања за науку у Републици Србији износила су 0,99%</w:t>
      </w:r>
      <w:r w:rsidRPr="00092ED7">
        <w:rPr>
          <w:rStyle w:val="FootnoteReference"/>
          <w:rFonts w:cs="Times New Roman"/>
          <w:szCs w:val="24"/>
          <w:lang w:val="sr-Cyrl-CS"/>
        </w:rPr>
        <w:footnoteReference w:id="124"/>
      </w:r>
      <w:r w:rsidRPr="00092ED7">
        <w:rPr>
          <w:rFonts w:eastAsia="Times New Roman" w:cs="Times New Roman"/>
          <w:szCs w:val="24"/>
          <w:lang w:val="sr-Cyrl-CS"/>
        </w:rPr>
        <w:t xml:space="preserve"> БДП-а у 2021. (за 0,08 п.п. више у односу на претходну годину) и дупло су нижа од просека у ЕУ-27 (2,</w:t>
      </w:r>
      <w:r w:rsidR="008A6DAE" w:rsidRPr="00092ED7">
        <w:rPr>
          <w:rFonts w:eastAsia="Times New Roman" w:cs="Times New Roman"/>
          <w:szCs w:val="24"/>
          <w:lang w:val="sr-Cyrl-CS"/>
        </w:rPr>
        <w:t>27</w:t>
      </w:r>
      <w:r w:rsidRPr="00092ED7">
        <w:rPr>
          <w:rFonts w:eastAsia="Times New Roman" w:cs="Times New Roman"/>
          <w:szCs w:val="24"/>
          <w:lang w:val="sr-Cyrl-CS"/>
        </w:rPr>
        <w:t>%</w:t>
      </w:r>
      <w:r w:rsidRPr="00092ED7">
        <w:rPr>
          <w:rStyle w:val="FootnoteReference"/>
          <w:rFonts w:cs="Times New Roman"/>
          <w:szCs w:val="24"/>
          <w:lang w:val="sr-Cyrl-CS"/>
        </w:rPr>
        <w:footnoteReference w:id="125"/>
      </w:r>
      <w:r w:rsidRPr="00092ED7">
        <w:rPr>
          <w:rFonts w:eastAsia="Times New Roman" w:cs="Times New Roman"/>
          <w:szCs w:val="24"/>
          <w:lang w:val="sr-Cyrl-CS"/>
        </w:rPr>
        <w:t xml:space="preserve"> БДП у </w:t>
      </w:r>
      <w:r w:rsidR="008A6DAE" w:rsidRPr="00092ED7">
        <w:rPr>
          <w:rFonts w:eastAsia="Times New Roman" w:cs="Times New Roman"/>
          <w:szCs w:val="24"/>
          <w:lang w:val="sr-Cyrl-CS"/>
        </w:rPr>
        <w:t>2021</w:t>
      </w:r>
      <w:r w:rsidRPr="00092ED7">
        <w:rPr>
          <w:rFonts w:eastAsia="Times New Roman" w:cs="Times New Roman"/>
          <w:szCs w:val="24"/>
          <w:lang w:val="sr-Cyrl-CS"/>
        </w:rPr>
        <w:t xml:space="preserve">). Улагања пословног сектора износе 0,45% БДП-а што је знатно испод просека ЕУ-27 (1,5% БДП у </w:t>
      </w:r>
      <w:r w:rsidR="008A6DAE" w:rsidRPr="00092ED7">
        <w:rPr>
          <w:rFonts w:eastAsia="Times New Roman" w:cs="Times New Roman"/>
          <w:szCs w:val="24"/>
          <w:lang w:val="sr-Cyrl-CS"/>
        </w:rPr>
        <w:t>2021</w:t>
      </w:r>
      <w:r w:rsidRPr="00092ED7">
        <w:rPr>
          <w:rFonts w:eastAsia="Times New Roman" w:cs="Times New Roman"/>
          <w:szCs w:val="24"/>
          <w:lang w:val="sr-Cyrl-CS"/>
        </w:rPr>
        <w:t>).</w:t>
      </w:r>
    </w:p>
    <w:p w14:paraId="5BD77187" w14:textId="1E79EC25" w:rsidR="00D210F0" w:rsidRPr="00092ED7" w:rsidRDefault="00D210F0" w:rsidP="00D210F0">
      <w:pPr>
        <w:spacing w:after="60"/>
        <w:rPr>
          <w:rFonts w:eastAsia="Times New Roman" w:cs="Times New Roman"/>
          <w:szCs w:val="24"/>
          <w:lang w:val="sr-Cyrl-CS"/>
        </w:rPr>
      </w:pPr>
      <w:r w:rsidRPr="00092ED7">
        <w:rPr>
          <w:rFonts w:eastAsia="Times New Roman" w:cs="Times New Roman"/>
          <w:b/>
          <w:szCs w:val="24"/>
          <w:lang w:val="sr-Cyrl-CS"/>
        </w:rPr>
        <w:t>Отворене су и бројне могућности институцијама и компанијама у Републици Србији за учествовање у програму Хоризонт Европа</w:t>
      </w:r>
      <w:r w:rsidRPr="00092ED7">
        <w:rPr>
          <w:rStyle w:val="FootnoteReference"/>
          <w:rFonts w:cs="Times New Roman"/>
          <w:szCs w:val="24"/>
          <w:lang w:val="sr-Cyrl-CS"/>
        </w:rPr>
        <w:footnoteReference w:id="126"/>
      </w:r>
      <w:r w:rsidRPr="00092ED7">
        <w:rPr>
          <w:rFonts w:eastAsia="Times New Roman" w:cs="Times New Roman"/>
          <w:b/>
          <w:szCs w:val="24"/>
          <w:lang w:val="sr-Cyrl-CS"/>
        </w:rPr>
        <w:t xml:space="preserve"> и другим програмима ЕУ (EUREKA </w:t>
      </w:r>
      <w:r w:rsidRPr="00092ED7">
        <w:rPr>
          <w:rFonts w:eastAsia="Times New Roman" w:cs="Times New Roman"/>
          <w:szCs w:val="24"/>
          <w:lang w:val="sr-Cyrl-CS"/>
        </w:rPr>
        <w:t>и</w:t>
      </w:r>
      <w:r w:rsidRPr="00092ED7">
        <w:rPr>
          <w:rFonts w:eastAsia="Times New Roman" w:cs="Times New Roman"/>
          <w:b/>
          <w:szCs w:val="24"/>
          <w:lang w:val="sr-Cyrl-CS"/>
        </w:rPr>
        <w:t xml:space="preserve"> COST). </w:t>
      </w:r>
      <w:r w:rsidRPr="00092ED7">
        <w:rPr>
          <w:rFonts w:eastAsia="Times New Roman" w:cs="Times New Roman"/>
          <w:szCs w:val="24"/>
          <w:lang w:val="sr-Cyrl-CS"/>
        </w:rPr>
        <w:t xml:space="preserve">Хоризонт Европа пружа бројне могућности за борбу против климатских промена, дигитализацију Европе и остваривање УН циљева одрживог развоја, као што су одговорна потрошња и производња и подстицање раста и конкурентности. Од почетка реализације програма Хоризонт Европа, </w:t>
      </w:r>
      <w:r w:rsidR="003E6C6B" w:rsidRPr="00092ED7">
        <w:rPr>
          <w:rFonts w:eastAsia="Times New Roman" w:cs="Times New Roman"/>
          <w:szCs w:val="24"/>
          <w:lang w:val="sr-Cyrl-CS"/>
        </w:rPr>
        <w:t xml:space="preserve">161 </w:t>
      </w:r>
      <w:r w:rsidRPr="00092ED7">
        <w:rPr>
          <w:rFonts w:eastAsia="Times New Roman" w:cs="Times New Roman"/>
          <w:szCs w:val="24"/>
          <w:lang w:val="sr-Cyrl-CS"/>
        </w:rPr>
        <w:t>институциј</w:t>
      </w:r>
      <w:r w:rsidR="00CF3C6C" w:rsidRPr="00092ED7">
        <w:rPr>
          <w:rFonts w:eastAsia="Times New Roman" w:cs="Times New Roman"/>
          <w:szCs w:val="24"/>
          <w:lang w:val="sr-Cyrl-CS"/>
        </w:rPr>
        <w:t>а</w:t>
      </w:r>
      <w:r w:rsidRPr="00092ED7">
        <w:rPr>
          <w:rFonts w:eastAsia="Times New Roman" w:cs="Times New Roman"/>
          <w:szCs w:val="24"/>
          <w:lang w:val="sr-Cyrl-CS"/>
        </w:rPr>
        <w:t>/организациј</w:t>
      </w:r>
      <w:r w:rsidR="00CF3C6C" w:rsidRPr="00092ED7">
        <w:rPr>
          <w:rFonts w:eastAsia="Times New Roman" w:cs="Times New Roman"/>
          <w:szCs w:val="24"/>
          <w:lang w:val="sr-Cyrl-CS"/>
        </w:rPr>
        <w:t>а</w:t>
      </w:r>
      <w:r w:rsidRPr="00092ED7">
        <w:rPr>
          <w:rFonts w:eastAsia="Times New Roman" w:cs="Times New Roman"/>
          <w:szCs w:val="24"/>
          <w:lang w:val="sr-Cyrl-CS"/>
        </w:rPr>
        <w:t xml:space="preserve"> из Републике Србије </w:t>
      </w:r>
      <w:r w:rsidR="00CF3C6C" w:rsidRPr="00092ED7">
        <w:rPr>
          <w:rFonts w:eastAsia="Times New Roman" w:cs="Times New Roman"/>
          <w:szCs w:val="24"/>
          <w:lang w:val="sr-Cyrl-CS"/>
        </w:rPr>
        <w:t xml:space="preserve">је </w:t>
      </w:r>
      <w:r w:rsidRPr="00092ED7">
        <w:rPr>
          <w:rFonts w:eastAsia="Times New Roman" w:cs="Times New Roman"/>
          <w:szCs w:val="24"/>
          <w:lang w:val="sr-Cyrl-CS"/>
        </w:rPr>
        <w:t>добил</w:t>
      </w:r>
      <w:r w:rsidR="00CF3C6C" w:rsidRPr="00092ED7">
        <w:rPr>
          <w:rFonts w:eastAsia="Times New Roman" w:cs="Times New Roman"/>
          <w:szCs w:val="24"/>
          <w:lang w:val="sr-Cyrl-CS"/>
        </w:rPr>
        <w:t>а</w:t>
      </w:r>
      <w:r w:rsidRPr="00092ED7">
        <w:rPr>
          <w:rFonts w:eastAsia="Times New Roman" w:cs="Times New Roman"/>
          <w:szCs w:val="24"/>
          <w:lang w:val="sr-Cyrl-CS"/>
        </w:rPr>
        <w:t xml:space="preserve"> финансирање за </w:t>
      </w:r>
      <w:r w:rsidR="003E6C6B" w:rsidRPr="00092ED7">
        <w:rPr>
          <w:rFonts w:eastAsia="Times New Roman" w:cs="Times New Roman"/>
          <w:szCs w:val="24"/>
          <w:lang w:val="sr-Cyrl-CS"/>
        </w:rPr>
        <w:t xml:space="preserve">128 </w:t>
      </w:r>
      <w:r w:rsidRPr="00092ED7">
        <w:rPr>
          <w:rFonts w:eastAsia="Times New Roman" w:cs="Times New Roman"/>
          <w:szCs w:val="24"/>
          <w:lang w:val="sr-Cyrl-CS"/>
        </w:rPr>
        <w:t xml:space="preserve">пројекта са укупним буџетом од </w:t>
      </w:r>
      <w:r w:rsidR="003E6C6B" w:rsidRPr="00092ED7">
        <w:rPr>
          <w:rFonts w:eastAsia="Times New Roman" w:cs="Times New Roman"/>
          <w:szCs w:val="24"/>
          <w:lang w:val="sr-Cyrl-CS"/>
        </w:rPr>
        <w:t xml:space="preserve">41,58 </w:t>
      </w:r>
      <w:r w:rsidRPr="00092ED7">
        <w:rPr>
          <w:rFonts w:eastAsia="Times New Roman" w:cs="Times New Roman"/>
          <w:szCs w:val="24"/>
          <w:lang w:val="sr-Cyrl-CS"/>
        </w:rPr>
        <w:t xml:space="preserve">милиона евра, док је стопа успеха </w:t>
      </w:r>
      <w:r w:rsidR="003E6C6B" w:rsidRPr="00092ED7">
        <w:rPr>
          <w:rFonts w:eastAsia="Times New Roman" w:cs="Times New Roman"/>
          <w:szCs w:val="24"/>
          <w:lang w:val="sr-Cyrl-CS"/>
        </w:rPr>
        <w:t>20,69</w:t>
      </w:r>
      <w:r w:rsidRPr="00092ED7">
        <w:rPr>
          <w:rFonts w:eastAsia="Times New Roman" w:cs="Times New Roman"/>
          <w:szCs w:val="24"/>
          <w:lang w:val="sr-Cyrl-CS"/>
        </w:rPr>
        <w:t>%.</w:t>
      </w:r>
    </w:p>
    <w:p w14:paraId="732B3BF4" w14:textId="69A222AA" w:rsidR="00D210F0" w:rsidRPr="00092ED7" w:rsidRDefault="00D210F0" w:rsidP="00D210F0">
      <w:pPr>
        <w:widowControl w:val="0"/>
        <w:spacing w:after="60"/>
        <w:rPr>
          <w:rFonts w:eastAsia="Times New Roman" w:cs="Times New Roman"/>
          <w:szCs w:val="24"/>
          <w:lang w:val="sr-Cyrl-CS"/>
        </w:rPr>
      </w:pPr>
      <w:r w:rsidRPr="00092ED7">
        <w:rPr>
          <w:rFonts w:eastAsia="Times New Roman" w:cs="Times New Roman"/>
          <w:b/>
          <w:szCs w:val="24"/>
          <w:lang w:val="sr-Cyrl-CS"/>
        </w:rPr>
        <w:t>Уведен комбиновани институционално-пројектни модел финансирања омогућио је вишегодишње планирање активности научноистраживачких институција.</w:t>
      </w:r>
      <w:r w:rsidRPr="00092ED7">
        <w:rPr>
          <w:rFonts w:eastAsia="Times New Roman" w:cs="Times New Roman"/>
          <w:szCs w:val="24"/>
          <w:lang w:val="sr-Cyrl-CS"/>
        </w:rPr>
        <w:t xml:space="preserve"> Подршка научноистраживачкој делатности се пружа кроз активности</w:t>
      </w:r>
      <w:r w:rsidRPr="00092ED7">
        <w:rPr>
          <w:rFonts w:eastAsia="Times New Roman" w:cs="Times New Roman"/>
          <w:b/>
          <w:szCs w:val="24"/>
          <w:lang w:val="sr-Cyrl-CS"/>
        </w:rPr>
        <w:t xml:space="preserve"> Фонда за науку</w:t>
      </w:r>
      <w:r w:rsidRPr="00092ED7">
        <w:rPr>
          <w:rFonts w:eastAsia="Times New Roman" w:cs="Times New Roman"/>
          <w:szCs w:val="24"/>
          <w:lang w:val="sr-Cyrl-CS"/>
        </w:rPr>
        <w:t xml:space="preserve"> који</w:t>
      </w:r>
      <w:r w:rsidRPr="00092ED7">
        <w:rPr>
          <w:rFonts w:eastAsia="Times New Roman" w:cs="Times New Roman"/>
          <w:b/>
          <w:szCs w:val="24"/>
          <w:lang w:val="sr-Cyrl-CS"/>
        </w:rPr>
        <w:t xml:space="preserve"> управља компетитивним пројектним позивима</w:t>
      </w:r>
      <w:r w:rsidRPr="00092ED7">
        <w:rPr>
          <w:rFonts w:eastAsia="Times New Roman" w:cs="Times New Roman"/>
          <w:szCs w:val="24"/>
          <w:lang w:val="sr-Cyrl-CS"/>
        </w:rPr>
        <w:t xml:space="preserve"> на основу који</w:t>
      </w:r>
      <w:r w:rsidR="00497A1F" w:rsidRPr="00092ED7">
        <w:rPr>
          <w:rFonts w:eastAsia="Times New Roman" w:cs="Times New Roman"/>
          <w:szCs w:val="24"/>
          <w:lang w:val="sr-Cyrl-CS"/>
        </w:rPr>
        <w:t>х</w:t>
      </w:r>
      <w:r w:rsidRPr="00092ED7">
        <w:rPr>
          <w:rFonts w:eastAsia="Times New Roman" w:cs="Times New Roman"/>
          <w:szCs w:val="24"/>
          <w:lang w:val="sr-Cyrl-CS"/>
        </w:rPr>
        <w:t xml:space="preserve"> је до сада подржано 282 пројекта на којима учествује 1.737 истраживача, са 74,5 милиона евра. Фонд за науку тренутно спроводи реализацију </w:t>
      </w:r>
      <w:r w:rsidR="006C154D" w:rsidRPr="00092ED7">
        <w:rPr>
          <w:rFonts w:eastAsia="Times New Roman" w:cs="Times New Roman"/>
          <w:szCs w:val="24"/>
          <w:lang w:val="sr-Cyrl-CS"/>
        </w:rPr>
        <w:t>осам</w:t>
      </w:r>
      <w:r w:rsidRPr="00092ED7">
        <w:rPr>
          <w:rFonts w:eastAsia="Times New Roman" w:cs="Times New Roman"/>
          <w:szCs w:val="24"/>
          <w:lang w:val="sr-Cyrl-CS"/>
        </w:rPr>
        <w:t xml:space="preserve"> програма, од којих је </w:t>
      </w:r>
      <w:r w:rsidR="006C154D" w:rsidRPr="00092ED7">
        <w:rPr>
          <w:rFonts w:eastAsia="Times New Roman" w:cs="Times New Roman"/>
          <w:szCs w:val="24"/>
          <w:lang w:val="sr-Cyrl-CS"/>
        </w:rPr>
        <w:t>пет</w:t>
      </w:r>
      <w:r w:rsidRPr="00092ED7">
        <w:rPr>
          <w:rFonts w:eastAsia="Times New Roman" w:cs="Times New Roman"/>
          <w:szCs w:val="24"/>
          <w:lang w:val="sr-Cyrl-CS"/>
        </w:rPr>
        <w:t xml:space="preserve"> у фази </w:t>
      </w:r>
      <w:r w:rsidRPr="00092ED7">
        <w:rPr>
          <w:rFonts w:eastAsia="Times New Roman" w:cs="Times New Roman"/>
          <w:szCs w:val="24"/>
          <w:lang w:val="sr-Cyrl-CS"/>
        </w:rPr>
        <w:lastRenderedPageBreak/>
        <w:t xml:space="preserve">имплементације, а </w:t>
      </w:r>
      <w:r w:rsidR="006C154D" w:rsidRPr="00092ED7">
        <w:rPr>
          <w:rFonts w:eastAsia="Times New Roman" w:cs="Times New Roman"/>
          <w:szCs w:val="24"/>
          <w:lang w:val="sr-Cyrl-CS"/>
        </w:rPr>
        <w:t>три</w:t>
      </w:r>
      <w:r w:rsidRPr="00092ED7">
        <w:rPr>
          <w:rFonts w:eastAsia="Times New Roman" w:cs="Times New Roman"/>
          <w:szCs w:val="24"/>
          <w:lang w:val="sr-Cyrl-CS"/>
        </w:rPr>
        <w:t xml:space="preserve"> у фази административне провере и евалуације предлога пројеката</w:t>
      </w:r>
      <w:r w:rsidRPr="00092ED7">
        <w:rPr>
          <w:rStyle w:val="FootnoteReference"/>
          <w:rFonts w:cs="Times New Roman"/>
          <w:szCs w:val="24"/>
          <w:lang w:val="sr-Cyrl-CS"/>
        </w:rPr>
        <w:footnoteReference w:id="127"/>
      </w:r>
      <w:r w:rsidRPr="00092ED7">
        <w:rPr>
          <w:rFonts w:eastAsia="Times New Roman" w:cs="Times New Roman"/>
          <w:szCs w:val="24"/>
          <w:lang w:val="sr-Cyrl-CS"/>
        </w:rPr>
        <w:t>: П</w:t>
      </w:r>
      <w:r w:rsidRPr="00092ED7">
        <w:rPr>
          <w:rFonts w:eastAsia="Times New Roman" w:cs="Times New Roman"/>
          <w:i/>
          <w:szCs w:val="24"/>
          <w:lang w:val="sr-Cyrl-CS"/>
        </w:rPr>
        <w:t>рограм за изврсне пројекте младих истраживача</w:t>
      </w:r>
      <w:r w:rsidRPr="00092ED7">
        <w:rPr>
          <w:rFonts w:eastAsia="Times New Roman" w:cs="Times New Roman"/>
          <w:szCs w:val="24"/>
          <w:lang w:val="sr-Cyrl-CS"/>
        </w:rPr>
        <w:t xml:space="preserve"> (ПРОМИС) - 59 пројеката oсновних и примењених истраживања укупне вредности око 9 милиона евра; </w:t>
      </w:r>
      <w:r w:rsidRPr="00092ED7">
        <w:rPr>
          <w:rFonts w:eastAsia="Times New Roman" w:cs="Times New Roman"/>
          <w:i/>
          <w:szCs w:val="24"/>
          <w:lang w:val="sr-Cyrl-CS"/>
        </w:rPr>
        <w:t>Програм за развој пројеката из области вештачке интелигенције</w:t>
      </w:r>
      <w:r w:rsidRPr="00092ED7">
        <w:rPr>
          <w:rFonts w:eastAsia="Times New Roman" w:cs="Times New Roman"/>
          <w:szCs w:val="24"/>
          <w:lang w:val="sr-Cyrl-CS"/>
        </w:rPr>
        <w:t xml:space="preserve"> - 12 пројеката вредности 2,2 милиона евра; </w:t>
      </w:r>
      <w:r w:rsidRPr="00092ED7">
        <w:rPr>
          <w:rFonts w:eastAsia="Times New Roman" w:cs="Times New Roman"/>
          <w:i/>
          <w:szCs w:val="24"/>
          <w:lang w:val="sr-Cyrl-CS"/>
        </w:rPr>
        <w:t>Програм сарадње српске науке са дијаспором</w:t>
      </w:r>
      <w:r w:rsidRPr="00092ED7">
        <w:rPr>
          <w:rFonts w:eastAsia="Times New Roman" w:cs="Times New Roman"/>
          <w:szCs w:val="24"/>
          <w:lang w:val="sr-Cyrl-CS"/>
        </w:rPr>
        <w:t xml:space="preserve"> - 92 пројекта вредности 798 хиљада евра; </w:t>
      </w:r>
      <w:r w:rsidRPr="00092ED7">
        <w:rPr>
          <w:rFonts w:eastAsia="Times New Roman" w:cs="Times New Roman"/>
          <w:i/>
          <w:szCs w:val="24"/>
          <w:lang w:val="sr-Cyrl-CS"/>
        </w:rPr>
        <w:t xml:space="preserve">Специјални програм истраживања </w:t>
      </w:r>
      <w:r w:rsidR="00497A1F" w:rsidRPr="00092ED7">
        <w:rPr>
          <w:rFonts w:eastAsia="Times New Roman" w:cs="Times New Roman"/>
          <w:i/>
          <w:szCs w:val="24"/>
          <w:lang w:val="sr-Cyrl-CS"/>
        </w:rPr>
        <w:t>COVID</w:t>
      </w:r>
      <w:r w:rsidRPr="00092ED7">
        <w:rPr>
          <w:rFonts w:eastAsia="Times New Roman" w:cs="Times New Roman"/>
          <w:i/>
          <w:szCs w:val="24"/>
          <w:lang w:val="sr-Cyrl-CS"/>
        </w:rPr>
        <w:t>-19</w:t>
      </w:r>
      <w:r w:rsidRPr="00092ED7">
        <w:rPr>
          <w:rFonts w:eastAsia="Times New Roman" w:cs="Times New Roman"/>
          <w:szCs w:val="24"/>
          <w:lang w:val="sr-Cyrl-CS"/>
        </w:rPr>
        <w:t xml:space="preserve"> - 14 пројеката вредности око 2 милиона евра; </w:t>
      </w:r>
      <w:r w:rsidRPr="00092ED7">
        <w:rPr>
          <w:rFonts w:eastAsia="Times New Roman" w:cs="Times New Roman"/>
          <w:i/>
          <w:szCs w:val="24"/>
          <w:lang w:val="sr-Cyrl-CS"/>
        </w:rPr>
        <w:t>Програм ИДЕЈЕ</w:t>
      </w:r>
      <w:r w:rsidRPr="00092ED7">
        <w:rPr>
          <w:rFonts w:eastAsia="Times New Roman" w:cs="Times New Roman"/>
          <w:szCs w:val="24"/>
          <w:lang w:val="sr-Cyrl-CS"/>
        </w:rPr>
        <w:t xml:space="preserve"> - 105 пројеката (1.064 истраживача) вредности 30 милиона евра. За </w:t>
      </w:r>
      <w:r w:rsidRPr="00092ED7">
        <w:rPr>
          <w:rFonts w:eastAsia="Times New Roman" w:cs="Times New Roman"/>
          <w:i/>
          <w:szCs w:val="24"/>
          <w:lang w:val="sr-Cyrl-CS"/>
        </w:rPr>
        <w:t>Програм ИДЕНТИТЕТИ</w:t>
      </w:r>
      <w:r w:rsidRPr="00092ED7">
        <w:rPr>
          <w:rFonts w:eastAsia="Times New Roman" w:cs="Times New Roman"/>
          <w:szCs w:val="24"/>
          <w:lang w:val="sr-Cyrl-CS"/>
        </w:rPr>
        <w:t>, намењен развоју научних истраживања из области друштвено–хуманистичких наука, у току је прва фаза евалуације предлога пројеката</w:t>
      </w:r>
      <w:r w:rsidRPr="00092ED7">
        <w:rPr>
          <w:rStyle w:val="FootnoteReference"/>
          <w:rFonts w:cs="Times New Roman"/>
          <w:szCs w:val="24"/>
          <w:lang w:val="sr-Cyrl-CS"/>
        </w:rPr>
        <w:footnoteReference w:id="128"/>
      </w:r>
      <w:r w:rsidRPr="00092ED7">
        <w:rPr>
          <w:rFonts w:eastAsia="Times New Roman" w:cs="Times New Roman"/>
          <w:szCs w:val="24"/>
          <w:lang w:val="sr-Cyrl-CS"/>
        </w:rPr>
        <w:t xml:space="preserve">, док су за </w:t>
      </w:r>
      <w:r w:rsidRPr="00092ED7">
        <w:rPr>
          <w:rFonts w:eastAsia="Times New Roman" w:cs="Times New Roman"/>
          <w:i/>
          <w:szCs w:val="24"/>
          <w:lang w:val="sr-Cyrl-CS"/>
        </w:rPr>
        <w:t>Програм ПРИЗМА</w:t>
      </w:r>
      <w:r w:rsidRPr="00092ED7">
        <w:rPr>
          <w:rStyle w:val="FootnoteReference"/>
          <w:rFonts w:cs="Times New Roman"/>
          <w:szCs w:val="24"/>
          <w:lang w:val="sr-Cyrl-CS"/>
        </w:rPr>
        <w:footnoteReference w:id="129"/>
      </w:r>
      <w:r w:rsidRPr="00092ED7">
        <w:rPr>
          <w:rFonts w:eastAsia="Times New Roman" w:cs="Times New Roman"/>
          <w:szCs w:val="24"/>
          <w:lang w:val="sr-Cyrl-CS"/>
        </w:rPr>
        <w:t xml:space="preserve"> и </w:t>
      </w:r>
      <w:r w:rsidRPr="00092ED7">
        <w:rPr>
          <w:rFonts w:eastAsia="Times New Roman" w:cs="Times New Roman"/>
          <w:i/>
          <w:szCs w:val="24"/>
          <w:lang w:val="sr-Cyrl-CS"/>
        </w:rPr>
        <w:t>Зелени програм сарадње науке и привреде</w:t>
      </w:r>
      <w:r w:rsidRPr="00092ED7">
        <w:rPr>
          <w:rStyle w:val="FootnoteReference"/>
          <w:rFonts w:cs="Times New Roman"/>
          <w:szCs w:val="24"/>
          <w:lang w:val="sr-Cyrl-CS"/>
        </w:rPr>
        <w:footnoteReference w:id="130"/>
      </w:r>
      <w:r w:rsidRPr="00092ED7">
        <w:rPr>
          <w:rFonts w:eastAsia="Times New Roman" w:cs="Times New Roman"/>
          <w:szCs w:val="24"/>
          <w:lang w:val="sr-Cyrl-CS"/>
        </w:rPr>
        <w:t xml:space="preserve"> у току административне провере предлога пројеката.</w:t>
      </w:r>
    </w:p>
    <w:p w14:paraId="5CA7FFC4" w14:textId="3F86DE65" w:rsidR="00D210F0" w:rsidRPr="00092ED7" w:rsidRDefault="00D210F0" w:rsidP="00D210F0">
      <w:pPr>
        <w:widowControl w:val="0"/>
        <w:spacing w:after="60"/>
        <w:rPr>
          <w:rFonts w:eastAsia="Times New Roman" w:cs="Times New Roman"/>
          <w:szCs w:val="24"/>
          <w:lang w:val="sr-Cyrl-CS"/>
        </w:rPr>
      </w:pPr>
      <w:r w:rsidRPr="00092ED7">
        <w:rPr>
          <w:rFonts w:eastAsia="Times New Roman" w:cs="Times New Roman"/>
          <w:b/>
          <w:szCs w:val="24"/>
          <w:lang w:val="sr-Cyrl-CS"/>
        </w:rPr>
        <w:t>Стварање иновација, јачање везе између науке и привреде, оснивање нових и оснаживање постојећих предузећа са иновативним потенцијалом,</w:t>
      </w:r>
      <w:r w:rsidRPr="00092ED7">
        <w:rPr>
          <w:rFonts w:eastAsia="Times New Roman" w:cs="Times New Roman"/>
          <w:szCs w:val="24"/>
          <w:lang w:val="sr-Cyrl-CS"/>
        </w:rPr>
        <w:t xml:space="preserve"> различитим финансијским инструментима</w:t>
      </w:r>
      <w:r w:rsidRPr="00092ED7">
        <w:rPr>
          <w:rFonts w:eastAsia="Times New Roman" w:cs="Times New Roman"/>
          <w:b/>
          <w:szCs w:val="24"/>
          <w:lang w:val="sr-Cyrl-CS"/>
        </w:rPr>
        <w:t xml:space="preserve"> подржава Фонд за иновациону делатност.</w:t>
      </w:r>
      <w:r w:rsidRPr="00092ED7">
        <w:rPr>
          <w:rFonts w:eastAsia="Times New Roman" w:cs="Times New Roman"/>
          <w:szCs w:val="24"/>
          <w:lang w:val="sr-Cyrl-CS"/>
        </w:rPr>
        <w:t xml:space="preserve"> Од оснивања до сада, више од 1.</w:t>
      </w:r>
      <w:r w:rsidR="00EF2F8F" w:rsidRPr="00092ED7">
        <w:rPr>
          <w:rFonts w:eastAsia="Times New Roman" w:cs="Times New Roman"/>
          <w:szCs w:val="24"/>
          <w:lang w:val="sr-Cyrl-CS"/>
        </w:rPr>
        <w:t xml:space="preserve">465 </w:t>
      </w:r>
      <w:r w:rsidRPr="00092ED7">
        <w:rPr>
          <w:rFonts w:eastAsia="Times New Roman" w:cs="Times New Roman"/>
          <w:szCs w:val="24"/>
          <w:lang w:val="sr-Cyrl-CS"/>
        </w:rPr>
        <w:t>пројеката је финансирано са 60</w:t>
      </w:r>
      <w:r w:rsidR="00EF2F8F" w:rsidRPr="00092ED7">
        <w:rPr>
          <w:rFonts w:eastAsia="Times New Roman" w:cs="Times New Roman"/>
          <w:szCs w:val="24"/>
          <w:lang w:val="sr-Cyrl-CS"/>
        </w:rPr>
        <w:t>,6</w:t>
      </w:r>
      <w:r w:rsidRPr="00092ED7">
        <w:rPr>
          <w:rFonts w:eastAsia="Times New Roman" w:cs="Times New Roman"/>
          <w:szCs w:val="24"/>
          <w:lang w:val="sr-Cyrl-CS"/>
        </w:rPr>
        <w:t xml:space="preserve"> милиона евра</w:t>
      </w:r>
      <w:r w:rsidRPr="00092ED7">
        <w:rPr>
          <w:rStyle w:val="FootnoteReference"/>
          <w:rFonts w:cs="Times New Roman"/>
          <w:szCs w:val="24"/>
          <w:lang w:val="sr-Cyrl-CS"/>
        </w:rPr>
        <w:footnoteReference w:id="131"/>
      </w:r>
      <w:r w:rsidRPr="00092ED7">
        <w:rPr>
          <w:rFonts w:eastAsia="Times New Roman" w:cs="Times New Roman"/>
          <w:szCs w:val="24"/>
          <w:lang w:val="sr-Cyrl-CS"/>
        </w:rPr>
        <w:t>. Одобрено је: 50 милиона евра за 351 иновативни пројекат; 4,</w:t>
      </w:r>
      <w:r w:rsidR="00EF2F8F" w:rsidRPr="00092ED7">
        <w:rPr>
          <w:rFonts w:eastAsia="Times New Roman" w:cs="Times New Roman"/>
          <w:szCs w:val="24"/>
          <w:lang w:val="sr-Cyrl-CS"/>
        </w:rPr>
        <w:t xml:space="preserve">4 </w:t>
      </w:r>
      <w:r w:rsidRPr="00092ED7">
        <w:rPr>
          <w:rFonts w:eastAsia="Times New Roman" w:cs="Times New Roman"/>
          <w:szCs w:val="24"/>
          <w:lang w:val="sr-Cyrl-CS"/>
        </w:rPr>
        <w:t xml:space="preserve">милиона евра за </w:t>
      </w:r>
      <w:r w:rsidR="00EF2F8F" w:rsidRPr="00092ED7">
        <w:rPr>
          <w:rFonts w:eastAsia="Times New Roman" w:cs="Times New Roman"/>
          <w:szCs w:val="24"/>
          <w:lang w:val="sr-Cyrl-CS"/>
        </w:rPr>
        <w:t xml:space="preserve">907 </w:t>
      </w:r>
      <w:r w:rsidRPr="00092ED7">
        <w:rPr>
          <w:rFonts w:eastAsia="Times New Roman" w:cs="Times New Roman"/>
          <w:szCs w:val="24"/>
          <w:lang w:val="sr-Cyrl-CS"/>
        </w:rPr>
        <w:t>иновациона ваучера; 0,</w:t>
      </w:r>
      <w:r w:rsidR="00EF2F8F" w:rsidRPr="00092ED7">
        <w:rPr>
          <w:rFonts w:eastAsia="Times New Roman" w:cs="Times New Roman"/>
          <w:szCs w:val="24"/>
          <w:lang w:val="sr-Cyrl-CS"/>
        </w:rPr>
        <w:t>9</w:t>
      </w:r>
      <w:r w:rsidRPr="00092ED7">
        <w:rPr>
          <w:rFonts w:eastAsia="Times New Roman" w:cs="Times New Roman"/>
          <w:szCs w:val="24"/>
          <w:lang w:val="sr-Cyrl-CS"/>
        </w:rPr>
        <w:t xml:space="preserve"> милиона евра за подршку 27 стартапа у најранијој фази развоја; </w:t>
      </w:r>
      <w:r w:rsidR="00564BDA" w:rsidRPr="00092ED7">
        <w:rPr>
          <w:rFonts w:eastAsia="Times New Roman" w:cs="Times New Roman"/>
          <w:szCs w:val="24"/>
          <w:lang w:val="sr-Cyrl-CS"/>
        </w:rPr>
        <w:t xml:space="preserve">два </w:t>
      </w:r>
      <w:r w:rsidRPr="00092ED7">
        <w:rPr>
          <w:rFonts w:eastAsia="Times New Roman" w:cs="Times New Roman"/>
          <w:szCs w:val="24"/>
          <w:lang w:val="sr-Cyrl-CS"/>
        </w:rPr>
        <w:t xml:space="preserve">милиона евра за 19 стартапа учесника акцелератора Катапулт; 2,8 милиона евра подршке за </w:t>
      </w:r>
      <w:r w:rsidR="00EF2F8F" w:rsidRPr="00092ED7">
        <w:rPr>
          <w:rFonts w:eastAsia="Times New Roman" w:cs="Times New Roman"/>
          <w:szCs w:val="24"/>
          <w:lang w:val="sr-Cyrl-CS"/>
        </w:rPr>
        <w:t xml:space="preserve">149 </w:t>
      </w:r>
      <w:r w:rsidRPr="00092ED7">
        <w:rPr>
          <w:rFonts w:eastAsia="Times New Roman" w:cs="Times New Roman"/>
          <w:szCs w:val="24"/>
          <w:lang w:val="sr-Cyrl-CS"/>
        </w:rPr>
        <w:t>пројекат</w:t>
      </w:r>
      <w:r w:rsidR="00EF2F8F" w:rsidRPr="00092ED7">
        <w:rPr>
          <w:rFonts w:eastAsia="Times New Roman" w:cs="Times New Roman"/>
          <w:szCs w:val="24"/>
          <w:lang w:val="sr-Cyrl-CS"/>
        </w:rPr>
        <w:t>а</w:t>
      </w:r>
      <w:r w:rsidRPr="00092ED7">
        <w:rPr>
          <w:rFonts w:eastAsia="Times New Roman" w:cs="Times New Roman"/>
          <w:szCs w:val="24"/>
          <w:lang w:val="sr-Cyrl-CS"/>
        </w:rPr>
        <w:t xml:space="preserve"> трансфера технологије; 0,5 милиона евра за 12 пројеката за решења у борби против пандемије.</w:t>
      </w:r>
    </w:p>
    <w:p w14:paraId="340BF36C" w14:textId="77777777" w:rsidR="00D210F0" w:rsidRPr="00092ED7" w:rsidRDefault="00D210F0" w:rsidP="00D210F0">
      <w:pPr>
        <w:widowControl w:val="0"/>
        <w:spacing w:after="60"/>
        <w:rPr>
          <w:rFonts w:eastAsia="Times New Roman" w:cs="Times New Roman"/>
          <w:szCs w:val="24"/>
          <w:lang w:val="sr-Cyrl-CS"/>
        </w:rPr>
      </w:pPr>
      <w:r w:rsidRPr="00092ED7">
        <w:rPr>
          <w:rFonts w:eastAsia="Times New Roman" w:cs="Times New Roman"/>
          <w:b/>
          <w:szCs w:val="24"/>
          <w:lang w:val="sr-Cyrl-CS"/>
        </w:rPr>
        <w:t>Улагањем у иновациону инфраструктуру шири се мрежа научно-технолошки паркова</w:t>
      </w:r>
      <w:r w:rsidRPr="00092ED7">
        <w:rPr>
          <w:rFonts w:eastAsia="Times New Roman" w:cs="Times New Roman"/>
          <w:szCs w:val="24"/>
          <w:lang w:val="sr-Cyrl-CS"/>
        </w:rPr>
        <w:t xml:space="preserve"> који пружају инфраструктурну и стручну подршку иновационој делатности. Иноваторима су на располагању лабораторије за развој производа, мрежа ментора, окружење високотехнолошких компанија, повезивање са потенцијалним партнерима и инвеститорима, размена знања и друга неопходна помоћ за бржи развој у четири најсавременија научно-технолошка парка у Београду, Новом Саду, Нишу и Чачку.</w:t>
      </w:r>
    </w:p>
    <w:p w14:paraId="49863B51" w14:textId="0C18CA73" w:rsidR="00D210F0" w:rsidRPr="00092ED7" w:rsidRDefault="00D210F0" w:rsidP="00D210F0">
      <w:pPr>
        <w:widowControl w:val="0"/>
        <w:spacing w:after="60"/>
        <w:rPr>
          <w:rFonts w:eastAsia="Times New Roman" w:cs="Times New Roman"/>
          <w:szCs w:val="24"/>
          <w:lang w:val="sr-Cyrl-CS"/>
        </w:rPr>
      </w:pPr>
      <w:r w:rsidRPr="00092ED7">
        <w:rPr>
          <w:rFonts w:eastAsia="Times New Roman" w:cs="Times New Roman"/>
          <w:b/>
          <w:szCs w:val="24"/>
          <w:lang w:val="sr-Cyrl-CS"/>
        </w:rPr>
        <w:t xml:space="preserve">Истраживачко-развојни институт за вештачку интелигенцију Србије, </w:t>
      </w:r>
      <w:r w:rsidRPr="00092ED7">
        <w:rPr>
          <w:rFonts w:eastAsia="Times New Roman" w:cs="Times New Roman"/>
          <w:szCs w:val="24"/>
          <w:lang w:val="sr-Cyrl-CS"/>
        </w:rPr>
        <w:t xml:space="preserve">који је у потпуности оперативан, тежи да </w:t>
      </w:r>
      <w:r w:rsidRPr="00092ED7">
        <w:rPr>
          <w:rFonts w:eastAsia="Times New Roman" w:cs="Times New Roman"/>
          <w:b/>
          <w:szCs w:val="24"/>
          <w:lang w:val="sr-Cyrl-CS"/>
        </w:rPr>
        <w:t>споји науку и привреду</w:t>
      </w:r>
      <w:r w:rsidRPr="00092ED7">
        <w:rPr>
          <w:rFonts w:eastAsia="Times New Roman" w:cs="Times New Roman"/>
          <w:szCs w:val="24"/>
          <w:lang w:val="sr-Cyrl-CS"/>
        </w:rPr>
        <w:t xml:space="preserve"> и допринесе развоју и трансферу технологије из домена вештачке интелигенције и машинског учења у Републици Србији. Како би унапредил</w:t>
      </w:r>
      <w:r w:rsidR="00497A1F" w:rsidRPr="00092ED7">
        <w:rPr>
          <w:rFonts w:eastAsia="Times New Roman" w:cs="Times New Roman"/>
          <w:szCs w:val="24"/>
          <w:lang w:val="sr-Cyrl-CS"/>
        </w:rPr>
        <w:t>о</w:t>
      </w:r>
      <w:r w:rsidRPr="00092ED7">
        <w:rPr>
          <w:rFonts w:eastAsia="Times New Roman" w:cs="Times New Roman"/>
          <w:szCs w:val="24"/>
          <w:lang w:val="sr-Cyrl-CS"/>
        </w:rPr>
        <w:t xml:space="preserve"> јавно здравље у </w:t>
      </w:r>
      <w:r w:rsidR="00564BDA" w:rsidRPr="00092ED7">
        <w:rPr>
          <w:rFonts w:eastAsia="Times New Roman" w:cs="Times New Roman"/>
          <w:szCs w:val="24"/>
          <w:lang w:val="sr-Cyrl-CS"/>
        </w:rPr>
        <w:t xml:space="preserve">Републици </w:t>
      </w:r>
      <w:r w:rsidRPr="00092ED7">
        <w:rPr>
          <w:rFonts w:eastAsia="Times New Roman" w:cs="Times New Roman"/>
          <w:szCs w:val="24"/>
          <w:lang w:val="sr-Cyrl-CS"/>
        </w:rPr>
        <w:t>Србији, истраживања и примену вештачке интелигенције у медицини спроводиће заједно са Институтом за јавно здравље Србије „Др Милан Јовановић Батут</w:t>
      </w:r>
      <w:r w:rsidR="00086E58" w:rsidRPr="00092ED7">
        <w:rPr>
          <w:rFonts w:cs="Times New Roman"/>
          <w:szCs w:val="24"/>
          <w:lang w:val="sr-Cyrl-CS"/>
        </w:rPr>
        <w:t>”</w:t>
      </w:r>
      <w:r w:rsidRPr="00092ED7">
        <w:rPr>
          <w:rFonts w:eastAsia="Times New Roman" w:cs="Times New Roman"/>
          <w:szCs w:val="24"/>
          <w:lang w:val="sr-Cyrl-CS"/>
        </w:rPr>
        <w:t xml:space="preserve">. Покренута је и сарадња са компанијама </w:t>
      </w:r>
      <w:r w:rsidRPr="00092ED7">
        <w:rPr>
          <w:rFonts w:eastAsia="Times New Roman" w:cs="Times New Roman"/>
          <w:i/>
          <w:szCs w:val="24"/>
          <w:lang w:val="sr-Cyrl-CS"/>
        </w:rPr>
        <w:t>Continental Automotive Serbia</w:t>
      </w:r>
      <w:r w:rsidRPr="00092ED7">
        <w:rPr>
          <w:rFonts w:eastAsia="Times New Roman" w:cs="Times New Roman"/>
          <w:szCs w:val="24"/>
          <w:lang w:val="sr-Cyrl-CS"/>
        </w:rPr>
        <w:t xml:space="preserve"> (развој најиновативнијих технологија за аутомобилску индустрију) и </w:t>
      </w:r>
      <w:r w:rsidRPr="00092ED7">
        <w:rPr>
          <w:rFonts w:eastAsia="Times New Roman" w:cs="Times New Roman"/>
          <w:i/>
          <w:szCs w:val="24"/>
          <w:lang w:val="sr-Cyrl-CS"/>
        </w:rPr>
        <w:t xml:space="preserve">NTT Data </w:t>
      </w:r>
      <w:r w:rsidRPr="00092ED7">
        <w:rPr>
          <w:rFonts w:eastAsia="Times New Roman" w:cs="Times New Roman"/>
          <w:szCs w:val="24"/>
          <w:lang w:val="sr-Cyrl-CS"/>
        </w:rPr>
        <w:t xml:space="preserve">(глобални иноватор ИТ и пословних услуга). Потписан је уговор о сарадњи са </w:t>
      </w:r>
      <w:r w:rsidR="00727AFD" w:rsidRPr="00092ED7">
        <w:rPr>
          <w:rFonts w:eastAsia="Times New Roman" w:cs="Times New Roman"/>
          <w:szCs w:val="24"/>
          <w:lang w:val="sr-Cyrl-CS"/>
        </w:rPr>
        <w:t>г</w:t>
      </w:r>
      <w:r w:rsidRPr="00092ED7">
        <w:rPr>
          <w:rFonts w:eastAsia="Times New Roman" w:cs="Times New Roman"/>
          <w:szCs w:val="24"/>
          <w:lang w:val="sr-Cyrl-CS"/>
        </w:rPr>
        <w:t xml:space="preserve">радом Београдом, који има за циљ заједнички рад на развојним пројектима. Такође, у </w:t>
      </w:r>
      <w:r w:rsidR="00282877" w:rsidRPr="00092ED7">
        <w:rPr>
          <w:rFonts w:eastAsia="Times New Roman" w:cs="Times New Roman"/>
          <w:color w:val="000000" w:themeColor="text1"/>
          <w:szCs w:val="24"/>
          <w:lang w:val="sr-Cyrl-CS"/>
        </w:rPr>
        <w:t>ДДЦ</w:t>
      </w:r>
      <w:r w:rsidR="00282877" w:rsidRPr="00092ED7">
        <w:rPr>
          <w:rFonts w:eastAsia="Times New Roman" w:cs="Times New Roman"/>
          <w:szCs w:val="24"/>
          <w:lang w:val="sr-Cyrl-CS"/>
        </w:rPr>
        <w:t xml:space="preserve"> </w:t>
      </w:r>
      <w:r w:rsidRPr="00092ED7">
        <w:rPr>
          <w:rFonts w:eastAsia="Times New Roman" w:cs="Times New Roman"/>
          <w:szCs w:val="24"/>
          <w:lang w:val="sr-Cyrl-CS"/>
        </w:rPr>
        <w:t xml:space="preserve">у Крагујевцу почела је са радом </w:t>
      </w:r>
      <w:r w:rsidRPr="00092ED7">
        <w:rPr>
          <w:rFonts w:eastAsia="Times New Roman" w:cs="Times New Roman"/>
          <w:b/>
          <w:szCs w:val="24"/>
          <w:lang w:val="sr-Cyrl-CS"/>
        </w:rPr>
        <w:t>Национална платформа за вештачку интелигенцију</w:t>
      </w:r>
      <w:r w:rsidRPr="00092ED7">
        <w:rPr>
          <w:rStyle w:val="FootnoteReference"/>
          <w:rFonts w:cs="Times New Roman"/>
          <w:b/>
          <w:szCs w:val="24"/>
          <w:lang w:val="sr-Cyrl-CS"/>
        </w:rPr>
        <w:footnoteReference w:id="132"/>
      </w:r>
      <w:r w:rsidRPr="00092ED7">
        <w:rPr>
          <w:rFonts w:eastAsia="Times New Roman" w:cs="Times New Roman"/>
          <w:szCs w:val="24"/>
          <w:lang w:val="sr-Cyrl-CS"/>
        </w:rPr>
        <w:t xml:space="preserve"> децембра 2021. године.</w:t>
      </w:r>
    </w:p>
    <w:p w14:paraId="3D9E7E66" w14:textId="2E1B4677" w:rsidR="00D210F0" w:rsidRPr="00092ED7" w:rsidRDefault="00D210F0" w:rsidP="00D210F0">
      <w:pPr>
        <w:widowControl w:val="0"/>
        <w:spacing w:after="60"/>
        <w:rPr>
          <w:rFonts w:eastAsia="Times New Roman" w:cs="Times New Roman"/>
          <w:szCs w:val="24"/>
          <w:lang w:val="sr-Cyrl-CS"/>
        </w:rPr>
      </w:pPr>
      <w:r w:rsidRPr="00092ED7">
        <w:rPr>
          <w:rFonts w:eastAsia="Times New Roman" w:cs="Times New Roman"/>
          <w:b/>
          <w:szCs w:val="24"/>
          <w:lang w:val="sr-Cyrl-CS"/>
        </w:rPr>
        <w:t>Центар за четврту индустријску револуцију у Републици Србији основан</w:t>
      </w:r>
      <w:r w:rsidRPr="00092ED7">
        <w:rPr>
          <w:rStyle w:val="FootnoteReference"/>
          <w:rFonts w:cs="Times New Roman"/>
          <w:b/>
          <w:szCs w:val="24"/>
          <w:lang w:val="sr-Cyrl-CS"/>
        </w:rPr>
        <w:footnoteReference w:id="133"/>
      </w:r>
      <w:r w:rsidRPr="00092ED7">
        <w:rPr>
          <w:rFonts w:eastAsia="Times New Roman" w:cs="Times New Roman"/>
          <w:b/>
          <w:szCs w:val="24"/>
          <w:lang w:val="sr-Cyrl-CS"/>
        </w:rPr>
        <w:t xml:space="preserve"> је </w:t>
      </w:r>
      <w:r w:rsidR="00497A1F" w:rsidRPr="00092ED7">
        <w:rPr>
          <w:rFonts w:eastAsia="Times New Roman" w:cs="Times New Roman"/>
          <w:b/>
          <w:szCs w:val="24"/>
          <w:lang w:val="sr-Cyrl-CS"/>
        </w:rPr>
        <w:t xml:space="preserve">у </w:t>
      </w:r>
      <w:r w:rsidRPr="00092ED7">
        <w:rPr>
          <w:rFonts w:eastAsia="Times New Roman" w:cs="Times New Roman"/>
          <w:b/>
          <w:szCs w:val="24"/>
          <w:lang w:val="sr-Cyrl-CS"/>
        </w:rPr>
        <w:t>мај</w:t>
      </w:r>
      <w:r w:rsidR="00497A1F" w:rsidRPr="00092ED7">
        <w:rPr>
          <w:rFonts w:eastAsia="Times New Roman" w:cs="Times New Roman"/>
          <w:b/>
          <w:szCs w:val="24"/>
          <w:lang w:val="sr-Cyrl-CS"/>
        </w:rPr>
        <w:t>у</w:t>
      </w:r>
      <w:r w:rsidRPr="00092ED7">
        <w:rPr>
          <w:rFonts w:eastAsia="Times New Roman" w:cs="Times New Roman"/>
          <w:b/>
          <w:szCs w:val="24"/>
          <w:lang w:val="sr-Cyrl-CS"/>
        </w:rPr>
        <w:t xml:space="preserve"> 2022. године</w:t>
      </w:r>
      <w:r w:rsidRPr="00092ED7">
        <w:rPr>
          <w:rFonts w:eastAsia="Times New Roman" w:cs="Times New Roman"/>
          <w:szCs w:val="24"/>
          <w:lang w:val="sr-Cyrl-CS"/>
        </w:rPr>
        <w:t xml:space="preserve"> са фокусом у две приоритетне области - биотехнологији и вештачкој интелигенцији у здравству. Овај Центар омогућиће да се фундаментална истраживања у области биотехнологије, молекуларне биологије и медицине користе за развој привреде.</w:t>
      </w:r>
    </w:p>
    <w:p w14:paraId="0463DF15" w14:textId="77777777" w:rsidR="00D210F0" w:rsidRPr="00092ED7" w:rsidRDefault="00D210F0" w:rsidP="00D210F0">
      <w:pPr>
        <w:widowControl w:val="0"/>
        <w:spacing w:after="60"/>
        <w:rPr>
          <w:rFonts w:eastAsia="Times New Roman" w:cs="Times New Roman"/>
          <w:szCs w:val="24"/>
          <w:lang w:val="sr-Cyrl-CS"/>
        </w:rPr>
      </w:pPr>
      <w:r w:rsidRPr="00092ED7">
        <w:rPr>
          <w:rFonts w:eastAsia="Times New Roman" w:cs="Times New Roman"/>
          <w:b/>
          <w:szCs w:val="24"/>
          <w:lang w:val="sr-Cyrl-CS"/>
        </w:rPr>
        <w:lastRenderedPageBreak/>
        <w:t>Република Србија постала је члан европске организације за рачунарство високих перформанси (</w:t>
      </w:r>
      <w:r w:rsidRPr="00092ED7">
        <w:rPr>
          <w:rFonts w:eastAsia="Times New Roman" w:cs="Times New Roman"/>
          <w:b/>
          <w:i/>
          <w:szCs w:val="24"/>
          <w:lang w:val="sr-Cyrl-CS"/>
        </w:rPr>
        <w:t>EuroHPC JU</w:t>
      </w:r>
      <w:r w:rsidRPr="00092ED7">
        <w:rPr>
          <w:rFonts w:eastAsia="Times New Roman" w:cs="Times New Roman"/>
          <w:b/>
          <w:szCs w:val="24"/>
          <w:lang w:val="sr-Cyrl-CS"/>
        </w:rPr>
        <w:t>)</w:t>
      </w:r>
      <w:r w:rsidRPr="00092ED7">
        <w:rPr>
          <w:rFonts w:eastAsia="Times New Roman" w:cs="Times New Roman"/>
          <w:szCs w:val="24"/>
          <w:lang w:val="sr-Cyrl-CS"/>
        </w:rPr>
        <w:t xml:space="preserve"> 2022. године, која окупља чланице Европске уније, европске земље, као и приватне партнере са циљем развоја еко-система суперрачунарства у Европи. Прикључивање овој иницијативи омогућава научној и истраживачкој заједници, да користи ресурсе ове организације, као и </w:t>
      </w:r>
      <w:r w:rsidR="00E63AE6" w:rsidRPr="00092ED7">
        <w:rPr>
          <w:rFonts w:eastAsia="Times New Roman" w:cs="Times New Roman"/>
          <w:szCs w:val="24"/>
          <w:lang w:val="sr-Cyrl-CS"/>
        </w:rPr>
        <w:t xml:space="preserve">да </w:t>
      </w:r>
      <w:r w:rsidRPr="00092ED7">
        <w:rPr>
          <w:rFonts w:eastAsia="Times New Roman" w:cs="Times New Roman"/>
          <w:szCs w:val="24"/>
          <w:lang w:val="sr-Cyrl-CS"/>
        </w:rPr>
        <w:t>учествује у новим пројектима са циљем даљег развоја вештачке интелигенције и суперрачунарства.</w:t>
      </w:r>
    </w:p>
    <w:p w14:paraId="0671DBCF" w14:textId="77777777" w:rsidR="00D210F0" w:rsidRPr="00092ED7" w:rsidRDefault="00D210F0" w:rsidP="00D210F0">
      <w:pPr>
        <w:widowControl w:val="0"/>
        <w:spacing w:after="60"/>
        <w:rPr>
          <w:rFonts w:eastAsia="Calibri" w:cs="Times New Roman"/>
          <w:szCs w:val="24"/>
          <w:lang w:val="sr-Cyrl-CS"/>
        </w:rPr>
      </w:pPr>
      <w:r w:rsidRPr="00092ED7">
        <w:rPr>
          <w:rFonts w:eastAsia="Calibri" w:cs="Times New Roman"/>
          <w:b/>
          <w:szCs w:val="24"/>
          <w:lang w:val="sr-Cyrl-CS"/>
        </w:rPr>
        <w:t>Изградњом БИО4</w:t>
      </w:r>
      <w:r w:rsidRPr="00092ED7">
        <w:rPr>
          <w:rStyle w:val="FootnoteReference"/>
          <w:rFonts w:eastAsia="Calibri" w:cs="Times New Roman"/>
          <w:b/>
          <w:szCs w:val="24"/>
          <w:lang w:val="sr-Cyrl-CS"/>
        </w:rPr>
        <w:footnoteReference w:id="134"/>
      </w:r>
      <w:r w:rsidRPr="00092ED7">
        <w:rPr>
          <w:rFonts w:eastAsia="Calibri" w:cs="Times New Roman"/>
          <w:b/>
          <w:szCs w:val="24"/>
          <w:lang w:val="sr-Cyrl-CS"/>
        </w:rPr>
        <w:t xml:space="preserve"> Кампуса Београд постаје</w:t>
      </w:r>
      <w:r w:rsidRPr="00092ED7">
        <w:rPr>
          <w:rFonts w:eastAsia="Calibri" w:cs="Times New Roman"/>
          <w:szCs w:val="24"/>
          <w:lang w:val="sr-Cyrl-CS"/>
        </w:rPr>
        <w:t xml:space="preserve"> </w:t>
      </w:r>
      <w:r w:rsidRPr="00092ED7">
        <w:rPr>
          <w:rFonts w:eastAsia="Calibri" w:cs="Times New Roman"/>
          <w:b/>
          <w:szCs w:val="24"/>
          <w:lang w:val="sr-Cyrl-CS"/>
        </w:rPr>
        <w:t xml:space="preserve">препознатљива тачка истраживања и развоја Југоисточне Европе. </w:t>
      </w:r>
      <w:r w:rsidRPr="00092ED7">
        <w:rPr>
          <w:rFonts w:eastAsia="Calibri" w:cs="Times New Roman"/>
          <w:szCs w:val="24"/>
          <w:lang w:val="sr-Cyrl-CS"/>
        </w:rPr>
        <w:t>Идејно решење израђено је током 2022. године, док се почетак градње очекује у 2023. години. БИО4 Кампус ће омогућити бржу и ефикаснију транзицију здравственог система ка модернoj, иновативној дијагностици и третманима, базираним на подацима и најновијим научним сазнањима. У Кампусу ће бити смештена четири факултета, девет научних института, екстензија Научно-технолошког парка Београд и истраживачко-развојни центри домаћих и страних компанија. У току су преговори са још неколико институција које су потенцијални станари Кампуса.</w:t>
      </w:r>
    </w:p>
    <w:p w14:paraId="590A49FF" w14:textId="1127C5A8" w:rsidR="00D210F0" w:rsidRPr="00092ED7" w:rsidRDefault="00D210F0" w:rsidP="00D210F0">
      <w:pPr>
        <w:widowControl w:val="0"/>
        <w:spacing w:after="60"/>
        <w:rPr>
          <w:rFonts w:eastAsia="Times New Roman" w:cs="Times New Roman"/>
          <w:b/>
          <w:szCs w:val="24"/>
          <w:lang w:val="sr-Cyrl-CS"/>
        </w:rPr>
      </w:pPr>
      <w:r w:rsidRPr="00092ED7">
        <w:rPr>
          <w:rFonts w:cs="Times New Roman"/>
          <w:szCs w:val="24"/>
          <w:lang w:val="sr-Cyrl-CS"/>
        </w:rPr>
        <w:t xml:space="preserve">Успостављање </w:t>
      </w:r>
      <w:r w:rsidRPr="00092ED7">
        <w:rPr>
          <w:rFonts w:cs="Times New Roman"/>
          <w:b/>
          <w:szCs w:val="24"/>
          <w:lang w:val="sr-Cyrl-CS"/>
        </w:rPr>
        <w:t>свеобухватног информационог система науке еНаука</w:t>
      </w:r>
      <w:r w:rsidRPr="00092ED7">
        <w:rPr>
          <w:rFonts w:cs="Times New Roman"/>
          <w:szCs w:val="24"/>
          <w:lang w:val="sr-Cyrl-CS"/>
        </w:rPr>
        <w:t xml:space="preserve"> започето је у децембру 2021. године. Систем ће омогућити већу видљивост и доступност научних резултата и истраживачке инфраструктуре академској и привредној заједници у националним и међународним оквирима. Дефинисан је кључни оквир за успостављање будућег информационог система, утврђени су модели процедура акредитације научно-истраживачких организација и процедура избора у научна звања, које спроводе надлежн</w:t>
      </w:r>
      <w:r w:rsidR="00EB68B5" w:rsidRPr="00092ED7">
        <w:rPr>
          <w:rFonts w:cs="Times New Roman"/>
          <w:szCs w:val="24"/>
          <w:lang w:val="sr-Cyrl-CS"/>
        </w:rPr>
        <w:t>и</w:t>
      </w:r>
      <w:r w:rsidRPr="00092ED7">
        <w:rPr>
          <w:rFonts w:cs="Times New Roman"/>
          <w:szCs w:val="24"/>
          <w:lang w:val="sr-Cyrl-CS"/>
        </w:rPr>
        <w:t xml:space="preserve"> </w:t>
      </w:r>
      <w:r w:rsidR="00EB68B5" w:rsidRPr="00092ED7">
        <w:rPr>
          <w:rFonts w:cs="Times New Roman"/>
          <w:szCs w:val="24"/>
          <w:lang w:val="sr-Cyrl-CS"/>
        </w:rPr>
        <w:t>органи</w:t>
      </w:r>
      <w:r w:rsidRPr="00092ED7">
        <w:rPr>
          <w:rFonts w:cs="Times New Roman"/>
          <w:szCs w:val="24"/>
          <w:lang w:val="sr-Cyrl-CS"/>
        </w:rPr>
        <w:t>, као и изглед и садржај Регистра научноистраживачких организација и Регистра истраживача. Спроводе се активности прибављања података о одг</w:t>
      </w:r>
      <w:r w:rsidR="00282877" w:rsidRPr="00092ED7">
        <w:rPr>
          <w:rFonts w:cs="Times New Roman"/>
          <w:szCs w:val="24"/>
          <w:lang w:val="sr-Cyrl-CS"/>
        </w:rPr>
        <w:t>о</w:t>
      </w:r>
      <w:r w:rsidRPr="00092ED7">
        <w:rPr>
          <w:rFonts w:cs="Times New Roman"/>
          <w:szCs w:val="24"/>
          <w:lang w:val="sr-Cyrl-CS"/>
        </w:rPr>
        <w:t xml:space="preserve">ворним лицима </w:t>
      </w:r>
      <w:r w:rsidR="00282877" w:rsidRPr="00092ED7">
        <w:rPr>
          <w:rFonts w:cs="Times New Roman"/>
          <w:szCs w:val="24"/>
          <w:lang w:val="sr-Cyrl-CS"/>
        </w:rPr>
        <w:t xml:space="preserve">научно истраживачких организација </w:t>
      </w:r>
      <w:r w:rsidRPr="00092ED7">
        <w:rPr>
          <w:rFonts w:cs="Times New Roman"/>
          <w:szCs w:val="24"/>
          <w:lang w:val="sr-Cyrl-CS"/>
        </w:rPr>
        <w:t>и др. Тим извођача активно ради на унапређењу функционалности.</w:t>
      </w:r>
    </w:p>
    <w:p w14:paraId="7AC5A582" w14:textId="27C0A5AC" w:rsidR="00D210F0" w:rsidRPr="00092ED7" w:rsidRDefault="00D210F0" w:rsidP="00D210F0">
      <w:pPr>
        <w:spacing w:after="60"/>
        <w:rPr>
          <w:rFonts w:eastAsia="Times New Roman" w:cs="Times New Roman"/>
          <w:szCs w:val="24"/>
          <w:lang w:val="sr-Cyrl-CS"/>
        </w:rPr>
      </w:pPr>
      <w:r w:rsidRPr="00092ED7">
        <w:rPr>
          <w:rFonts w:eastAsia="Times New Roman" w:cs="Times New Roman"/>
          <w:szCs w:val="24"/>
          <w:lang w:val="sr-Cyrl-CS"/>
        </w:rPr>
        <w:t xml:space="preserve">Унапређењe оквира за пословање стартапа подразумева, између осталих активности, и </w:t>
      </w:r>
      <w:r w:rsidRPr="00092ED7">
        <w:rPr>
          <w:rFonts w:eastAsia="Times New Roman" w:cs="Times New Roman"/>
          <w:b/>
          <w:szCs w:val="24"/>
          <w:lang w:val="sr-Cyrl-CS"/>
        </w:rPr>
        <w:t>успостављање Регистра субјеката националног иновационог система</w:t>
      </w:r>
      <w:r w:rsidRPr="00092ED7">
        <w:rPr>
          <w:rFonts w:eastAsia="Times New Roman" w:cs="Times New Roman"/>
          <w:szCs w:val="24"/>
          <w:lang w:val="sr-Cyrl-CS"/>
        </w:rPr>
        <w:t xml:space="preserve"> који ће водити Фонд за иновациону делатност. Функција овог регистра јесте вођење евиденције субјеката националног иновационог система, као и олакшано финансирање иновационе делатности, спровођење економских подстицајних мера и стимулативних процедура и поступака. </w:t>
      </w:r>
      <w:r w:rsidR="00735583" w:rsidRPr="00092ED7">
        <w:rPr>
          <w:rFonts w:eastAsia="Times New Roman" w:cs="Times New Roman"/>
          <w:szCs w:val="24"/>
          <w:lang w:val="sr-Cyrl-CS"/>
        </w:rPr>
        <w:t xml:space="preserve">Уговорена је израда </w:t>
      </w:r>
      <w:r w:rsidRPr="00092ED7">
        <w:rPr>
          <w:rFonts w:eastAsia="Times New Roman" w:cs="Times New Roman"/>
          <w:szCs w:val="24"/>
          <w:lang w:val="sr-Cyrl-CS"/>
        </w:rPr>
        <w:t xml:space="preserve">софтверског решења за регистар </w:t>
      </w:r>
      <w:r w:rsidR="00735583" w:rsidRPr="00092ED7">
        <w:rPr>
          <w:rFonts w:eastAsia="Times New Roman" w:cs="Times New Roman"/>
          <w:szCs w:val="24"/>
          <w:lang w:val="sr-Cyrl-CS"/>
        </w:rPr>
        <w:t>која се очекује у другој половини 2023. године</w:t>
      </w:r>
      <w:r w:rsidRPr="00092ED7">
        <w:rPr>
          <w:rFonts w:eastAsia="Times New Roman" w:cs="Times New Roman"/>
          <w:szCs w:val="24"/>
          <w:lang w:val="sr-Cyrl-CS"/>
        </w:rPr>
        <w:t>.</w:t>
      </w:r>
      <w:r w:rsidR="006D5549" w:rsidRPr="00092ED7">
        <w:rPr>
          <w:rFonts w:eastAsia="Times New Roman" w:cs="Times New Roman"/>
          <w:szCs w:val="24"/>
          <w:lang w:val="sr-Cyrl-CS"/>
        </w:rPr>
        <w:t xml:space="preserve"> Према подацима Стартап Џинома (eng. </w:t>
      </w:r>
      <w:r w:rsidR="006D5549" w:rsidRPr="00092ED7">
        <w:rPr>
          <w:rFonts w:eastAsia="Times New Roman" w:cs="Times New Roman"/>
          <w:i/>
          <w:szCs w:val="24"/>
          <w:lang w:val="sr-Cyrl-CS"/>
        </w:rPr>
        <w:t>Startup Genome</w:t>
      </w:r>
      <w:r w:rsidR="006D5549" w:rsidRPr="00092ED7">
        <w:rPr>
          <w:rFonts w:eastAsia="Times New Roman" w:cs="Times New Roman"/>
          <w:szCs w:val="24"/>
          <w:lang w:val="sr-Cyrl-CS"/>
        </w:rPr>
        <w:t>) из 2022. године, вредност стартап екосистема у Београду и Новом Саду је процењена на 677 милиона долара. Према запажању Стартап Џинома процењена вредност би могла бити и до три пута виша од наведене.</w:t>
      </w:r>
    </w:p>
    <w:p w14:paraId="0B6B5F52" w14:textId="3DD67CAC" w:rsidR="00D210F0" w:rsidRPr="00092ED7" w:rsidRDefault="00D210F0" w:rsidP="00B640AF">
      <w:pPr>
        <w:rPr>
          <w:rFonts w:cs="Times New Roman"/>
          <w:szCs w:val="24"/>
          <w:lang w:val="sr-Cyrl-CS"/>
        </w:rPr>
      </w:pPr>
      <w:r w:rsidRPr="00092ED7">
        <w:rPr>
          <w:rFonts w:eastAsia="Times New Roman" w:cs="Times New Roman"/>
          <w:b/>
          <w:szCs w:val="24"/>
          <w:lang w:val="sr-Cyrl-CS"/>
        </w:rPr>
        <w:t>Иако је оријентисаност научних истраживања ка привреди релативно ниска,</w:t>
      </w:r>
      <w:r w:rsidRPr="00092ED7">
        <w:rPr>
          <w:rFonts w:eastAsia="Times New Roman" w:cs="Times New Roman"/>
          <w:szCs w:val="24"/>
          <w:lang w:val="sr-Cyrl-CS"/>
        </w:rPr>
        <w:t xml:space="preserve"> сарадња академске заједнице са привредним сектором у Републици Србији одвија се кроз непрекидан дијалог са свим заинтересованим странама и институцијама које имплементирају мере из </w:t>
      </w:r>
      <w:r w:rsidRPr="00092ED7">
        <w:rPr>
          <w:rFonts w:eastAsia="Times New Roman" w:cs="Times New Roman"/>
          <w:i/>
          <w:szCs w:val="24"/>
          <w:lang w:val="sr-Cyrl-CS"/>
        </w:rPr>
        <w:t>Стратегије паметне специјализације у Републици Србији за период од 2020. до 2027. године</w:t>
      </w:r>
      <w:r w:rsidRPr="00092ED7">
        <w:rPr>
          <w:rFonts w:eastAsia="Times New Roman" w:cs="Times New Roman"/>
          <w:szCs w:val="24"/>
          <w:lang w:val="sr-Cyrl-CS"/>
        </w:rPr>
        <w:t xml:space="preserve"> </w:t>
      </w:r>
      <w:r w:rsidR="00282877" w:rsidRPr="00092ED7">
        <w:rPr>
          <w:rFonts w:cs="Times New Roman"/>
          <w:szCs w:val="24"/>
          <w:lang w:val="sr-Cyrl-CS"/>
        </w:rPr>
        <w:t xml:space="preserve">(„Службени гласник РС”, број 21/20), </w:t>
      </w:r>
      <w:r w:rsidRPr="00092ED7">
        <w:rPr>
          <w:rFonts w:eastAsia="Times New Roman" w:cs="Times New Roman"/>
          <w:szCs w:val="24"/>
          <w:lang w:val="sr-Cyrl-CS"/>
        </w:rPr>
        <w:t xml:space="preserve">односно </w:t>
      </w:r>
      <w:r w:rsidRPr="00092ED7">
        <w:rPr>
          <w:rFonts w:eastAsia="Times New Roman" w:cs="Times New Roman"/>
          <w:i/>
          <w:szCs w:val="24"/>
          <w:lang w:val="sr-Cyrl-CS"/>
        </w:rPr>
        <w:t>Акционог плана за период од 2021. до 2022. године</w:t>
      </w:r>
      <w:r w:rsidR="00282877" w:rsidRPr="00092ED7">
        <w:rPr>
          <w:rFonts w:eastAsia="Times New Roman" w:cs="Times New Roman"/>
          <w:i/>
          <w:szCs w:val="24"/>
          <w:lang w:val="sr-Cyrl-CS"/>
        </w:rPr>
        <w:t>,</w:t>
      </w:r>
      <w:r w:rsidRPr="00092ED7">
        <w:rPr>
          <w:rFonts w:eastAsia="Times New Roman" w:cs="Times New Roman"/>
          <w:szCs w:val="24"/>
          <w:lang w:val="sr-Cyrl-CS"/>
        </w:rPr>
        <w:t xml:space="preserve"> за спровођење</w:t>
      </w:r>
      <w:r w:rsidR="00282877" w:rsidRPr="00092ED7">
        <w:rPr>
          <w:rFonts w:eastAsia="Times New Roman" w:cs="Times New Roman"/>
          <w:i/>
          <w:szCs w:val="24"/>
          <w:lang w:val="sr-Cyrl-CS"/>
        </w:rPr>
        <w:t xml:space="preserve"> Стратегије паметне специјализације у Републици Србији за период од 2020. до 2027. године </w:t>
      </w:r>
      <w:r w:rsidR="00282877" w:rsidRPr="00092ED7">
        <w:rPr>
          <w:rFonts w:cs="Times New Roman"/>
          <w:szCs w:val="24"/>
          <w:lang w:val="sr-Cyrl-CS"/>
        </w:rPr>
        <w:t>(„Службени гласник РС”, број 42/2</w:t>
      </w:r>
      <w:r w:rsidR="001E5441" w:rsidRPr="00092ED7">
        <w:rPr>
          <w:rFonts w:cs="Times New Roman"/>
          <w:szCs w:val="24"/>
          <w:lang w:val="sr-Cyrl-CS"/>
        </w:rPr>
        <w:t>1</w:t>
      </w:r>
      <w:r w:rsidR="00282877" w:rsidRPr="00092ED7">
        <w:rPr>
          <w:rFonts w:cs="Times New Roman"/>
          <w:szCs w:val="24"/>
          <w:lang w:val="sr-Cyrl-CS"/>
        </w:rPr>
        <w:t>).</w:t>
      </w:r>
    </w:p>
    <w:p w14:paraId="31348044" w14:textId="77777777" w:rsidR="00D210F0" w:rsidRPr="00092ED7" w:rsidRDefault="00D210F0" w:rsidP="00D210F0">
      <w:pPr>
        <w:widowControl w:val="0"/>
        <w:spacing w:after="60"/>
        <w:rPr>
          <w:rFonts w:eastAsia="Times New Roman" w:cs="Times New Roman"/>
          <w:szCs w:val="24"/>
          <w:lang w:val="sr-Cyrl-CS"/>
        </w:rPr>
      </w:pPr>
      <w:r w:rsidRPr="00092ED7">
        <w:rPr>
          <w:rFonts w:eastAsia="Times New Roman" w:cs="Times New Roman"/>
          <w:b/>
          <w:szCs w:val="24"/>
          <w:lang w:val="sr-Cyrl-CS"/>
        </w:rPr>
        <w:t xml:space="preserve">И даље постоји недостатак људских ресурса у области истраживања и развоја, што ограничава економски раст и иновативност. </w:t>
      </w:r>
      <w:r w:rsidRPr="00092ED7">
        <w:rPr>
          <w:rFonts w:eastAsia="Times New Roman" w:cs="Times New Roman"/>
          <w:szCs w:val="24"/>
          <w:lang w:val="sr-Cyrl-CS"/>
        </w:rPr>
        <w:t>У Републици Србији има 3.510 запослених на пословима истраживања и развоја</w:t>
      </w:r>
      <w:r w:rsidRPr="00092ED7">
        <w:rPr>
          <w:rFonts w:eastAsia="Times New Roman" w:cs="Times New Roman"/>
          <w:szCs w:val="24"/>
          <w:vertAlign w:val="superscript"/>
          <w:lang w:val="sr-Cyrl-CS"/>
        </w:rPr>
        <w:footnoteReference w:id="135"/>
      </w:r>
      <w:r w:rsidRPr="00092ED7">
        <w:rPr>
          <w:rFonts w:eastAsia="Times New Roman" w:cs="Times New Roman"/>
          <w:szCs w:val="24"/>
          <w:lang w:val="sr-Cyrl-CS"/>
        </w:rPr>
        <w:t xml:space="preserve"> на милион становника у 2021. години, док њихово учешће у регистрованој запослености износи 1,05%, што је мање </w:t>
      </w:r>
      <w:r w:rsidRPr="00092ED7">
        <w:rPr>
          <w:rFonts w:eastAsia="Times New Roman" w:cs="Times New Roman"/>
          <w:szCs w:val="24"/>
          <w:lang w:val="sr-Cyrl-CS"/>
        </w:rPr>
        <w:lastRenderedPageBreak/>
        <w:t>када се пореди са просеком ЕУ-27 од 1,</w:t>
      </w:r>
      <w:r w:rsidR="00943F16" w:rsidRPr="00092ED7">
        <w:rPr>
          <w:rFonts w:eastAsia="Times New Roman" w:cs="Times New Roman"/>
          <w:szCs w:val="24"/>
          <w:lang w:val="sr-Cyrl-CS"/>
        </w:rPr>
        <w:t>62</w:t>
      </w:r>
      <w:r w:rsidRPr="00092ED7">
        <w:rPr>
          <w:rFonts w:eastAsia="Times New Roman" w:cs="Times New Roman"/>
          <w:szCs w:val="24"/>
          <w:lang w:val="sr-Cyrl-CS"/>
        </w:rPr>
        <w:t>%</w:t>
      </w:r>
      <w:r w:rsidRPr="00092ED7">
        <w:rPr>
          <w:rStyle w:val="FootnoteReference"/>
          <w:rFonts w:cs="Times New Roman"/>
          <w:szCs w:val="24"/>
          <w:lang w:val="sr-Cyrl-CS"/>
        </w:rPr>
        <w:footnoteReference w:id="136"/>
      </w:r>
      <w:r w:rsidRPr="00092ED7">
        <w:rPr>
          <w:rFonts w:eastAsia="Times New Roman" w:cs="Times New Roman"/>
          <w:szCs w:val="24"/>
          <w:lang w:val="sr-Cyrl-CS"/>
        </w:rPr>
        <w:t xml:space="preserve"> у </w:t>
      </w:r>
      <w:r w:rsidR="00943F16" w:rsidRPr="00092ED7">
        <w:rPr>
          <w:rFonts w:eastAsia="Times New Roman" w:cs="Times New Roman"/>
          <w:szCs w:val="24"/>
          <w:lang w:val="sr-Cyrl-CS"/>
        </w:rPr>
        <w:t>2021</w:t>
      </w:r>
      <w:r w:rsidRPr="00092ED7">
        <w:rPr>
          <w:rFonts w:eastAsia="Times New Roman" w:cs="Times New Roman"/>
          <w:szCs w:val="24"/>
          <w:lang w:val="sr-Cyrl-CS"/>
        </w:rPr>
        <w:t>. години. Науком се бави 16.962 истраживача (52,3% су жене), што представља учешће од 70,7% у укупном броју запослених на пословима истраживања и развоја. У пословном сектору запослено је само 10,4%</w:t>
      </w:r>
      <w:r w:rsidRPr="00092ED7">
        <w:rPr>
          <w:rStyle w:val="FootnoteReference"/>
          <w:rFonts w:cs="Times New Roman"/>
          <w:szCs w:val="24"/>
          <w:lang w:val="sr-Cyrl-CS"/>
        </w:rPr>
        <w:footnoteReference w:id="137"/>
      </w:r>
      <w:r w:rsidRPr="00092ED7">
        <w:rPr>
          <w:rFonts w:eastAsia="Times New Roman" w:cs="Times New Roman"/>
          <w:szCs w:val="24"/>
          <w:lang w:val="sr-Cyrl-CS"/>
        </w:rPr>
        <w:t xml:space="preserve"> истраживача. Нерегулисана реинтеграција истраживача повратника један је од разлога ниске конкурентности Републике Србије у области науке.</w:t>
      </w:r>
    </w:p>
    <w:p w14:paraId="46298260" w14:textId="77777777" w:rsidR="00E85B43" w:rsidRPr="00092ED7" w:rsidRDefault="00E85B43" w:rsidP="00E85B43">
      <w:pPr>
        <w:widowControl w:val="0"/>
        <w:spacing w:after="60"/>
        <w:rPr>
          <w:rFonts w:eastAsia="Times New Roman" w:cs="Times New Roman"/>
          <w:szCs w:val="24"/>
          <w:lang w:val="sr-Cyrl-CS"/>
        </w:rPr>
      </w:pPr>
    </w:p>
    <w:p w14:paraId="417B7644" w14:textId="77777777" w:rsidR="00D210F0" w:rsidRPr="00092ED7" w:rsidRDefault="00D210F0" w:rsidP="00D210F0">
      <w:pPr>
        <w:spacing w:before="120"/>
        <w:rPr>
          <w:rFonts w:eastAsia="Times New Roman" w:cs="Times New Roman"/>
          <w:b/>
          <w:bCs/>
          <w:szCs w:val="24"/>
          <w:lang w:val="sr-Cyrl-CS"/>
        </w:rPr>
      </w:pPr>
      <w:r w:rsidRPr="00092ED7">
        <w:rPr>
          <w:rFonts w:eastAsia="Times New Roman" w:cs="Times New Roman"/>
          <w:b/>
          <w:bCs/>
          <w:szCs w:val="24"/>
          <w:lang w:val="sr-Cyrl-CS"/>
        </w:rPr>
        <w:t>б) Реформе</w:t>
      </w:r>
    </w:p>
    <w:p w14:paraId="3874DCEE" w14:textId="77777777" w:rsidR="00D210F0" w:rsidRPr="00092ED7" w:rsidRDefault="00D210F0" w:rsidP="00D210F0">
      <w:pPr>
        <w:spacing w:before="120"/>
        <w:rPr>
          <w:rFonts w:cs="Times New Roman"/>
          <w:smallCaps/>
          <w:szCs w:val="24"/>
          <w:lang w:val="sr-Cyrl-CS"/>
        </w:rPr>
      </w:pPr>
      <w:r w:rsidRPr="00092ED7">
        <w:rPr>
          <w:rFonts w:cs="Times New Roman"/>
          <w:b/>
          <w:bCs/>
          <w:szCs w:val="24"/>
          <w:u w:val="single"/>
          <w:lang w:val="sr-Cyrl-CS"/>
        </w:rPr>
        <w:t>СТРУКТУРНА РЕФОРМА 16</w:t>
      </w:r>
      <w:r w:rsidRPr="00092ED7">
        <w:rPr>
          <w:rFonts w:cs="Times New Roman"/>
          <w:b/>
          <w:bCs/>
          <w:szCs w:val="24"/>
          <w:lang w:val="sr-Cyrl-CS"/>
        </w:rPr>
        <w:t xml:space="preserve">: </w:t>
      </w:r>
      <w:r w:rsidRPr="00092ED7">
        <w:rPr>
          <w:rFonts w:cs="Times New Roman"/>
          <w:szCs w:val="24"/>
          <w:lang w:val="sr-Cyrl-CS"/>
        </w:rPr>
        <w:t>РАЗВОЈ СТАРТАП ЕКОСИСТЕМА</w:t>
      </w:r>
    </w:p>
    <w:p w14:paraId="764C6236" w14:textId="77777777" w:rsidR="00D210F0" w:rsidRPr="00092ED7" w:rsidRDefault="00D210F0" w:rsidP="00071952">
      <w:pPr>
        <w:widowControl w:val="0"/>
        <w:numPr>
          <w:ilvl w:val="0"/>
          <w:numId w:val="32"/>
        </w:numPr>
        <w:spacing w:before="120"/>
        <w:ind w:left="425" w:hanging="425"/>
        <w:rPr>
          <w:rFonts w:cs="Times New Roman"/>
          <w:b/>
          <w:bCs/>
          <w:szCs w:val="24"/>
          <w:lang w:val="sr-Cyrl-CS"/>
        </w:rPr>
      </w:pPr>
      <w:r w:rsidRPr="00092ED7">
        <w:rPr>
          <w:rFonts w:cs="Times New Roman"/>
          <w:b/>
          <w:bCs/>
          <w:szCs w:val="24"/>
          <w:lang w:val="sr-Cyrl-CS"/>
        </w:rPr>
        <w:t>Опис структурне реформе</w:t>
      </w:r>
    </w:p>
    <w:p w14:paraId="6B60A3F5" w14:textId="259B94F5" w:rsidR="00D210F0" w:rsidRPr="00092ED7" w:rsidRDefault="00D210F0" w:rsidP="00B640AF">
      <w:pPr>
        <w:rPr>
          <w:i/>
          <w:iCs/>
          <w:lang w:val="sr-Cyrl-CS"/>
        </w:rPr>
      </w:pPr>
      <w:r w:rsidRPr="00092ED7">
        <w:rPr>
          <w:rFonts w:eastAsia="Times New Roman" w:cs="Times New Roman"/>
          <w:szCs w:val="24"/>
          <w:lang w:val="sr-Cyrl-CS"/>
        </w:rPr>
        <w:t xml:space="preserve">Стартапи, као посебна врста иновативних микро, малих и средњих предузећа са потенцијалом брзог и великог раста, имају вишеструко позитиван утицај, како на економију, тако и на друштво у ком се оснивају и развијају и као такви су творци нових пословних модела 21. века. </w:t>
      </w:r>
      <w:r w:rsidR="004B72CD" w:rsidRPr="00092ED7">
        <w:rPr>
          <w:i/>
          <w:iCs/>
          <w:lang w:val="sr-Cyrl-CS"/>
        </w:rPr>
        <w:t>Стратегија развоја стартап екосистема Републике Србије за период од 2021. до 2025. године</w:t>
      </w:r>
      <w:r w:rsidR="004B72CD" w:rsidRPr="00092ED7">
        <w:rPr>
          <w:lang w:val="sr-Cyrl-CS"/>
        </w:rPr>
        <w:t xml:space="preserve"> („Службени гласник РС</w:t>
      </w:r>
      <w:r w:rsidR="004B72CD" w:rsidRPr="00092ED7">
        <w:rPr>
          <w:szCs w:val="24"/>
          <w:lang w:val="sr-Cyrl-CS"/>
        </w:rPr>
        <w:t xml:space="preserve">”, број 125/21) </w:t>
      </w:r>
      <w:r w:rsidR="004B72CD" w:rsidRPr="00092ED7">
        <w:rPr>
          <w:i/>
          <w:iCs/>
          <w:szCs w:val="24"/>
          <w:lang w:val="sr-Cyrl-CS"/>
        </w:rPr>
        <w:t xml:space="preserve">и Акциони план за период од 31. децембра 2022. године за реализацију Стратегије </w:t>
      </w:r>
      <w:r w:rsidR="004B72CD" w:rsidRPr="00092ED7">
        <w:rPr>
          <w:i/>
          <w:iCs/>
          <w:lang w:val="sr-Cyrl-CS"/>
        </w:rPr>
        <w:t>развоја стартап екосистема Републике Србије за период од 2021. до 2025. године</w:t>
      </w:r>
      <w:r w:rsidR="004B72CD" w:rsidRPr="00092ED7">
        <w:rPr>
          <w:lang w:val="sr-Cyrl-CS"/>
        </w:rPr>
        <w:t xml:space="preserve"> (05 Број: 023-12110/2021-1 од 23. децембра 2021. године)</w:t>
      </w:r>
      <w:r w:rsidRPr="00092ED7">
        <w:rPr>
          <w:rFonts w:eastAsia="Times New Roman" w:cs="Times New Roman"/>
          <w:szCs w:val="24"/>
          <w:lang w:val="sr-Cyrl-CS"/>
        </w:rPr>
        <w:t xml:space="preserve">, уз друге стратегије и </w:t>
      </w:r>
      <w:r w:rsidRPr="00092ED7">
        <w:rPr>
          <w:rFonts w:eastAsia="Times New Roman" w:cs="Times New Roman"/>
          <w:i/>
          <w:szCs w:val="24"/>
          <w:lang w:val="sr-Cyrl-CS"/>
        </w:rPr>
        <w:t>Закон о иновационој делатности</w:t>
      </w:r>
      <w:r w:rsidR="005B484F" w:rsidRPr="00092ED7">
        <w:rPr>
          <w:rFonts w:eastAsia="Times New Roman" w:cs="Times New Roman"/>
          <w:i/>
          <w:szCs w:val="24"/>
          <w:lang w:val="sr-Cyrl-CS"/>
        </w:rPr>
        <w:t xml:space="preserve"> </w:t>
      </w:r>
      <w:r w:rsidR="005B484F" w:rsidRPr="00092ED7">
        <w:rPr>
          <w:rFonts w:cs="Times New Roman"/>
          <w:szCs w:val="24"/>
          <w:lang w:val="sr-Cyrl-CS"/>
        </w:rPr>
        <w:t>(„Службени гласник РС”, број 129/21)</w:t>
      </w:r>
      <w:r w:rsidR="00497A1F" w:rsidRPr="00092ED7">
        <w:rPr>
          <w:rFonts w:cs="Times New Roman"/>
          <w:szCs w:val="24"/>
          <w:lang w:val="sr-Cyrl-CS"/>
        </w:rPr>
        <w:t xml:space="preserve"> </w:t>
      </w:r>
      <w:r w:rsidRPr="00092ED7">
        <w:rPr>
          <w:rFonts w:eastAsia="Times New Roman" w:cs="Times New Roman"/>
          <w:szCs w:val="24"/>
          <w:lang w:val="sr-Cyrl-CS"/>
        </w:rPr>
        <w:t xml:space="preserve">доводе до унапређења оквира за пословање стартапа. Фонд за иновациону делатност више од </w:t>
      </w:r>
      <w:r w:rsidR="00497A1F" w:rsidRPr="00092ED7">
        <w:rPr>
          <w:rFonts w:eastAsia="Times New Roman" w:cs="Times New Roman"/>
          <w:szCs w:val="24"/>
          <w:lang w:val="sr-Cyrl-CS"/>
        </w:rPr>
        <w:t xml:space="preserve">десет </w:t>
      </w:r>
      <w:r w:rsidRPr="00092ED7">
        <w:rPr>
          <w:rFonts w:eastAsia="Times New Roman" w:cs="Times New Roman"/>
          <w:szCs w:val="24"/>
          <w:lang w:val="sr-Cyrl-CS"/>
        </w:rPr>
        <w:t>година успешно пружа подршку развоју привредног сектора кроз различите програме.</w:t>
      </w:r>
    </w:p>
    <w:p w14:paraId="757ECF08" w14:textId="5CAE409C" w:rsidR="00D210F0" w:rsidRPr="00092ED7" w:rsidRDefault="00D210F0" w:rsidP="00D210F0">
      <w:pPr>
        <w:widowControl w:val="0"/>
        <w:spacing w:after="60"/>
        <w:rPr>
          <w:szCs w:val="24"/>
          <w:lang w:val="sr-Cyrl-CS"/>
        </w:rPr>
      </w:pPr>
      <w:r w:rsidRPr="00092ED7">
        <w:rPr>
          <w:rFonts w:eastAsia="Times New Roman" w:cs="Times New Roman"/>
          <w:szCs w:val="24"/>
          <w:lang w:val="sr-Cyrl-CS"/>
        </w:rPr>
        <w:t xml:space="preserve">Током претходног периода успешно је спроведен позив </w:t>
      </w:r>
      <w:r w:rsidR="001028F8" w:rsidRPr="00092ED7">
        <w:rPr>
          <w:rFonts w:eastAsia="Times New Roman" w:cs="Times New Roman"/>
          <w:szCs w:val="24"/>
          <w:lang w:val="sr-Cyrl-CS"/>
        </w:rPr>
        <w:t xml:space="preserve">Фонда за иновациону делатност </w:t>
      </w:r>
      <w:r w:rsidRPr="00092ED7">
        <w:rPr>
          <w:rFonts w:eastAsia="Times New Roman" w:cs="Times New Roman"/>
          <w:szCs w:val="24"/>
          <w:lang w:val="sr-Cyrl-CS"/>
        </w:rPr>
        <w:t>за суфинансирање фондова предузетничког капитала и инвестиција „пословних анђела</w:t>
      </w:r>
      <w:r w:rsidR="00086E58" w:rsidRPr="00092ED7">
        <w:rPr>
          <w:rFonts w:cs="Times New Roman"/>
          <w:szCs w:val="24"/>
          <w:lang w:val="sr-Cyrl-CS"/>
        </w:rPr>
        <w:t>”</w:t>
      </w:r>
      <w:r w:rsidRPr="00092ED7">
        <w:rPr>
          <w:rFonts w:eastAsia="Times New Roman" w:cs="Times New Roman"/>
          <w:szCs w:val="24"/>
          <w:lang w:val="sr-Cyrl-CS"/>
        </w:rPr>
        <w:t xml:space="preserve">, и одабрана су два тима која ће бити подржана. </w:t>
      </w:r>
      <w:r w:rsidR="00534DDE" w:rsidRPr="00092ED7">
        <w:rPr>
          <w:rFonts w:eastAsia="Times New Roman" w:cs="Times New Roman"/>
          <w:szCs w:val="24"/>
          <w:lang w:val="sr-Cyrl-CS"/>
        </w:rPr>
        <w:t xml:space="preserve">Уговорена је израда </w:t>
      </w:r>
      <w:r w:rsidRPr="00092ED7">
        <w:rPr>
          <w:rFonts w:eastAsia="Times New Roman" w:cs="Times New Roman"/>
          <w:szCs w:val="24"/>
          <w:lang w:val="sr-Cyrl-CS"/>
        </w:rPr>
        <w:t>софтверског решења и припремљен</w:t>
      </w:r>
      <w:r w:rsidR="004E365A" w:rsidRPr="00092ED7">
        <w:rPr>
          <w:rFonts w:eastAsia="Times New Roman" w:cs="Times New Roman"/>
          <w:szCs w:val="24"/>
          <w:lang w:val="sr-Cyrl-CS"/>
        </w:rPr>
        <w:t xml:space="preserve"> је </w:t>
      </w:r>
      <w:r w:rsidRPr="00092ED7">
        <w:rPr>
          <w:rFonts w:eastAsia="Times New Roman" w:cs="Times New Roman"/>
          <w:szCs w:val="24"/>
          <w:lang w:val="sr-Cyrl-CS"/>
        </w:rPr>
        <w:t xml:space="preserve">оквир за успостављање Регистра субјеката националног иновационог система. Урађена је компаративна анализа како би се нашло право решење за екосистем у </w:t>
      </w:r>
      <w:r w:rsidR="00564BDA" w:rsidRPr="00092ED7">
        <w:rPr>
          <w:rFonts w:eastAsia="Times New Roman" w:cs="Times New Roman"/>
          <w:szCs w:val="24"/>
          <w:lang w:val="sr-Cyrl-CS"/>
        </w:rPr>
        <w:t xml:space="preserve">Републици </w:t>
      </w:r>
      <w:r w:rsidRPr="00092ED7">
        <w:rPr>
          <w:rFonts w:eastAsia="Times New Roman" w:cs="Times New Roman"/>
          <w:szCs w:val="24"/>
          <w:lang w:val="sr-Cyrl-CS"/>
        </w:rPr>
        <w:t xml:space="preserve">Србији и направљена је подлога на основу које ће се ући у имплементацију GovTech програма. </w:t>
      </w:r>
      <w:r w:rsidR="00995A1B" w:rsidRPr="00092ED7">
        <w:rPr>
          <w:rFonts w:eastAsia="Times New Roman" w:cs="Times New Roman"/>
          <w:szCs w:val="24"/>
          <w:lang w:val="sr-Cyrl-CS"/>
        </w:rPr>
        <w:t xml:space="preserve">Сачињени </w:t>
      </w:r>
      <w:r w:rsidRPr="00092ED7">
        <w:rPr>
          <w:rFonts w:eastAsia="Times New Roman" w:cs="Times New Roman"/>
          <w:szCs w:val="24"/>
          <w:lang w:val="sr-Cyrl-CS"/>
        </w:rPr>
        <w:t xml:space="preserve">су и планови и програм обука за државне службенике које треба да буду спроведене током </w:t>
      </w:r>
      <w:r w:rsidR="00995A1B" w:rsidRPr="00092ED7">
        <w:rPr>
          <w:rFonts w:eastAsia="Times New Roman" w:cs="Times New Roman"/>
          <w:szCs w:val="24"/>
          <w:lang w:val="sr-Cyrl-CS"/>
        </w:rPr>
        <w:t xml:space="preserve">2023. </w:t>
      </w:r>
      <w:r w:rsidRPr="00092ED7">
        <w:rPr>
          <w:rFonts w:eastAsia="Times New Roman" w:cs="Times New Roman"/>
          <w:szCs w:val="24"/>
          <w:lang w:val="sr-Cyrl-CS"/>
        </w:rPr>
        <w:t>године.</w:t>
      </w:r>
      <w:r w:rsidRPr="00092ED7">
        <w:rPr>
          <w:rFonts w:cs="Times New Roman"/>
          <w:szCs w:val="24"/>
          <w:lang w:val="sr-Cyrl-CS"/>
        </w:rPr>
        <w:t xml:space="preserve"> </w:t>
      </w:r>
    </w:p>
    <w:p w14:paraId="1CD96ECD" w14:textId="77777777" w:rsidR="00D210F0" w:rsidRPr="00092ED7" w:rsidRDefault="00D210F0" w:rsidP="00071952">
      <w:pPr>
        <w:widowControl w:val="0"/>
        <w:numPr>
          <w:ilvl w:val="0"/>
          <w:numId w:val="32"/>
        </w:numPr>
        <w:spacing w:before="120"/>
        <w:ind w:left="425" w:hanging="425"/>
        <w:rPr>
          <w:rFonts w:cs="Times New Roman"/>
          <w:b/>
          <w:smallCaps/>
          <w:lang w:val="sr-Cyrl-CS"/>
        </w:rPr>
      </w:pPr>
      <w:r w:rsidRPr="00092ED7">
        <w:rPr>
          <w:rFonts w:cs="Times New Roman"/>
          <w:b/>
          <w:bCs/>
          <w:szCs w:val="24"/>
          <w:lang w:val="sr-Cyrl-CS"/>
        </w:rPr>
        <w:t>Планиране активности по годинама</w:t>
      </w:r>
    </w:p>
    <w:tbl>
      <w:tblPr>
        <w:tblW w:w="9096" w:type="dxa"/>
        <w:tblLayout w:type="fixed"/>
        <w:tblCellMar>
          <w:left w:w="0" w:type="dxa"/>
          <w:right w:w="0" w:type="dxa"/>
        </w:tblCellMar>
        <w:tblLook w:val="04A0" w:firstRow="1" w:lastRow="0" w:firstColumn="1" w:lastColumn="0" w:noHBand="0" w:noVBand="1"/>
      </w:tblPr>
      <w:tblGrid>
        <w:gridCol w:w="421"/>
        <w:gridCol w:w="4247"/>
        <w:gridCol w:w="369"/>
        <w:gridCol w:w="370"/>
        <w:gridCol w:w="368"/>
        <w:gridCol w:w="370"/>
        <w:gridCol w:w="368"/>
        <w:gridCol w:w="369"/>
        <w:gridCol w:w="369"/>
        <w:gridCol w:w="369"/>
        <w:gridCol w:w="369"/>
        <w:gridCol w:w="368"/>
        <w:gridCol w:w="369"/>
        <w:gridCol w:w="370"/>
      </w:tblGrid>
      <w:tr w:rsidR="00D210F0" w:rsidRPr="00092ED7" w14:paraId="0A5E15CF" w14:textId="77777777" w:rsidTr="00B57FE8">
        <w:trPr>
          <w:trHeight w:val="321"/>
        </w:trPr>
        <w:tc>
          <w:tcPr>
            <w:tcW w:w="421" w:type="dxa"/>
            <w:vMerge w:val="restart"/>
            <w:tcBorders>
              <w:top w:val="single" w:sz="8" w:space="0" w:color="auto"/>
              <w:left w:val="single" w:sz="8" w:space="0" w:color="auto"/>
              <w:bottom w:val="single" w:sz="8" w:space="0" w:color="000000"/>
              <w:right w:val="nil"/>
            </w:tcBorders>
            <w:shd w:val="clear" w:color="auto" w:fill="BDD6EE"/>
            <w:tcMar>
              <w:top w:w="15" w:type="dxa"/>
              <w:left w:w="15" w:type="dxa"/>
              <w:bottom w:w="0" w:type="dxa"/>
              <w:right w:w="15" w:type="dxa"/>
            </w:tcMar>
            <w:vAlign w:val="center"/>
            <w:hideMark/>
          </w:tcPr>
          <w:p w14:paraId="5C7C82EA" w14:textId="77777777" w:rsidR="00D210F0" w:rsidRPr="00092ED7" w:rsidRDefault="00D210F0" w:rsidP="00D210F0">
            <w:pPr>
              <w:spacing w:after="0"/>
              <w:rPr>
                <w:rFonts w:cs="Times New Roman"/>
                <w:sz w:val="20"/>
                <w:szCs w:val="20"/>
                <w:lang w:val="sr-Cyrl-CS"/>
              </w:rPr>
            </w:pPr>
            <w:r w:rsidRPr="00092ED7">
              <w:rPr>
                <w:rFonts w:cs="Times New Roman"/>
                <w:b/>
                <w:bCs/>
                <w:color w:val="000000"/>
                <w:sz w:val="20"/>
                <w:szCs w:val="20"/>
                <w:lang w:val="sr-Cyrl-CS"/>
              </w:rPr>
              <w:t>РБ</w:t>
            </w:r>
          </w:p>
        </w:tc>
        <w:tc>
          <w:tcPr>
            <w:tcW w:w="4247" w:type="dxa"/>
            <w:vMerge w:val="restart"/>
            <w:tcBorders>
              <w:top w:val="single" w:sz="8" w:space="0" w:color="auto"/>
              <w:left w:val="single" w:sz="8" w:space="0" w:color="auto"/>
              <w:bottom w:val="single" w:sz="8" w:space="0" w:color="000000"/>
              <w:right w:val="nil"/>
            </w:tcBorders>
            <w:shd w:val="clear" w:color="auto" w:fill="BDD6EE" w:themeFill="accent1" w:themeFillTint="66"/>
            <w:tcMar>
              <w:top w:w="15" w:type="dxa"/>
              <w:left w:w="15" w:type="dxa"/>
              <w:bottom w:w="0" w:type="dxa"/>
              <w:right w:w="15" w:type="dxa"/>
            </w:tcMar>
            <w:vAlign w:val="center"/>
            <w:hideMark/>
          </w:tcPr>
          <w:p w14:paraId="2FB7400C" w14:textId="77777777" w:rsidR="00D210F0" w:rsidRPr="00092ED7" w:rsidRDefault="00D210F0" w:rsidP="00D210F0">
            <w:pPr>
              <w:spacing w:after="0"/>
              <w:rPr>
                <w:rFonts w:cs="Times New Roman"/>
                <w:sz w:val="20"/>
                <w:szCs w:val="20"/>
                <w:lang w:val="sr-Cyrl-CS"/>
              </w:rPr>
            </w:pPr>
            <w:r w:rsidRPr="00092ED7">
              <w:rPr>
                <w:rFonts w:cs="Times New Roman"/>
                <w:b/>
                <w:bCs/>
                <w:color w:val="000000"/>
                <w:sz w:val="20"/>
                <w:szCs w:val="20"/>
                <w:lang w:val="sr-Cyrl-CS"/>
              </w:rPr>
              <w:t>Планиране активности</w:t>
            </w:r>
          </w:p>
        </w:tc>
        <w:tc>
          <w:tcPr>
            <w:tcW w:w="1477" w:type="dxa"/>
            <w:gridSpan w:val="4"/>
            <w:tcBorders>
              <w:top w:val="single" w:sz="8" w:space="0" w:color="auto"/>
              <w:left w:val="single" w:sz="8" w:space="0" w:color="auto"/>
              <w:bottom w:val="single" w:sz="4" w:space="0" w:color="auto"/>
              <w:right w:val="single" w:sz="8" w:space="0" w:color="000000"/>
            </w:tcBorders>
            <w:shd w:val="clear" w:color="auto" w:fill="BDD6EE" w:themeFill="accent1" w:themeFillTint="66"/>
            <w:tcMar>
              <w:top w:w="15" w:type="dxa"/>
              <w:left w:w="15" w:type="dxa"/>
              <w:bottom w:w="0" w:type="dxa"/>
              <w:right w:w="15" w:type="dxa"/>
            </w:tcMar>
            <w:vAlign w:val="center"/>
            <w:hideMark/>
          </w:tcPr>
          <w:p w14:paraId="2420DB90" w14:textId="77777777" w:rsidR="00D210F0" w:rsidRPr="00092ED7" w:rsidRDefault="00D210F0" w:rsidP="00D210F0">
            <w:pPr>
              <w:spacing w:after="0"/>
              <w:jc w:val="center"/>
              <w:rPr>
                <w:rFonts w:cs="Times New Roman"/>
                <w:b/>
                <w:bCs/>
                <w:color w:val="000000"/>
                <w:sz w:val="20"/>
                <w:szCs w:val="20"/>
                <w:lang w:val="sr-Cyrl-CS"/>
              </w:rPr>
            </w:pPr>
            <w:r w:rsidRPr="00092ED7">
              <w:rPr>
                <w:rFonts w:cs="Times New Roman"/>
                <w:b/>
                <w:bCs/>
                <w:color w:val="000000"/>
                <w:sz w:val="20"/>
                <w:szCs w:val="20"/>
                <w:lang w:val="sr-Cyrl-CS"/>
              </w:rPr>
              <w:t>2023</w:t>
            </w:r>
          </w:p>
        </w:tc>
        <w:tc>
          <w:tcPr>
            <w:tcW w:w="1475" w:type="dxa"/>
            <w:gridSpan w:val="4"/>
            <w:tcBorders>
              <w:top w:val="single" w:sz="8" w:space="0" w:color="auto"/>
              <w:left w:val="single" w:sz="8" w:space="0" w:color="auto"/>
              <w:bottom w:val="single" w:sz="4" w:space="0" w:color="auto"/>
              <w:right w:val="single" w:sz="8" w:space="0" w:color="000000"/>
            </w:tcBorders>
            <w:shd w:val="clear" w:color="auto" w:fill="BDD6EE" w:themeFill="accent1" w:themeFillTint="66"/>
            <w:tcMar>
              <w:top w:w="15" w:type="dxa"/>
              <w:left w:w="15" w:type="dxa"/>
              <w:bottom w:w="0" w:type="dxa"/>
              <w:right w:w="15" w:type="dxa"/>
            </w:tcMar>
            <w:vAlign w:val="center"/>
            <w:hideMark/>
          </w:tcPr>
          <w:p w14:paraId="1B93D691" w14:textId="77777777" w:rsidR="00D210F0" w:rsidRPr="00092ED7" w:rsidRDefault="00D210F0" w:rsidP="00D210F0">
            <w:pPr>
              <w:spacing w:after="0"/>
              <w:jc w:val="center"/>
              <w:rPr>
                <w:rFonts w:cs="Times New Roman"/>
                <w:b/>
                <w:bCs/>
                <w:color w:val="000000"/>
                <w:sz w:val="20"/>
                <w:szCs w:val="20"/>
                <w:lang w:val="sr-Cyrl-CS"/>
              </w:rPr>
            </w:pPr>
            <w:r w:rsidRPr="00092ED7">
              <w:rPr>
                <w:rFonts w:cs="Times New Roman"/>
                <w:b/>
                <w:bCs/>
                <w:color w:val="000000"/>
                <w:sz w:val="20"/>
                <w:szCs w:val="20"/>
                <w:lang w:val="sr-Cyrl-CS"/>
              </w:rPr>
              <w:t>2024</w:t>
            </w:r>
          </w:p>
        </w:tc>
        <w:tc>
          <w:tcPr>
            <w:tcW w:w="1476" w:type="dxa"/>
            <w:gridSpan w:val="4"/>
            <w:tcBorders>
              <w:top w:val="single" w:sz="8" w:space="0" w:color="auto"/>
              <w:left w:val="nil"/>
              <w:bottom w:val="single" w:sz="4" w:space="0" w:color="auto"/>
              <w:right w:val="single" w:sz="8" w:space="0" w:color="000000"/>
            </w:tcBorders>
            <w:shd w:val="clear" w:color="auto" w:fill="BDD6EE" w:themeFill="accent1" w:themeFillTint="66"/>
            <w:tcMar>
              <w:top w:w="15" w:type="dxa"/>
              <w:left w:w="15" w:type="dxa"/>
              <w:bottom w:w="0" w:type="dxa"/>
              <w:right w:w="15" w:type="dxa"/>
            </w:tcMar>
            <w:vAlign w:val="center"/>
            <w:hideMark/>
          </w:tcPr>
          <w:p w14:paraId="119B3572" w14:textId="77777777" w:rsidR="00D210F0" w:rsidRPr="00092ED7" w:rsidRDefault="00D210F0" w:rsidP="00D210F0">
            <w:pPr>
              <w:spacing w:after="0"/>
              <w:jc w:val="center"/>
              <w:rPr>
                <w:rFonts w:cs="Times New Roman"/>
                <w:b/>
                <w:bCs/>
                <w:color w:val="000000"/>
                <w:sz w:val="20"/>
                <w:szCs w:val="20"/>
                <w:lang w:val="sr-Cyrl-CS"/>
              </w:rPr>
            </w:pPr>
            <w:r w:rsidRPr="00092ED7">
              <w:rPr>
                <w:rFonts w:cs="Times New Roman"/>
                <w:b/>
                <w:bCs/>
                <w:color w:val="000000"/>
                <w:sz w:val="20"/>
                <w:szCs w:val="20"/>
                <w:lang w:val="sr-Cyrl-CS"/>
              </w:rPr>
              <w:t>2025</w:t>
            </w:r>
          </w:p>
        </w:tc>
      </w:tr>
      <w:tr w:rsidR="00D210F0" w:rsidRPr="00092ED7" w14:paraId="65A53BB4" w14:textId="77777777" w:rsidTr="00B57FE8">
        <w:trPr>
          <w:trHeight w:val="321"/>
        </w:trPr>
        <w:tc>
          <w:tcPr>
            <w:tcW w:w="421" w:type="dxa"/>
            <w:vMerge/>
            <w:tcBorders>
              <w:top w:val="single" w:sz="8" w:space="0" w:color="auto"/>
              <w:left w:val="single" w:sz="8" w:space="0" w:color="auto"/>
              <w:bottom w:val="single" w:sz="8" w:space="0" w:color="000000"/>
              <w:right w:val="nil"/>
            </w:tcBorders>
            <w:vAlign w:val="center"/>
            <w:hideMark/>
          </w:tcPr>
          <w:p w14:paraId="56774CF0" w14:textId="77777777" w:rsidR="00D210F0" w:rsidRPr="00092ED7" w:rsidRDefault="00D210F0" w:rsidP="00D210F0">
            <w:pPr>
              <w:spacing w:after="0"/>
              <w:rPr>
                <w:rFonts w:cs="Times New Roman"/>
                <w:sz w:val="20"/>
                <w:szCs w:val="20"/>
                <w:lang w:val="sr-Cyrl-CS" w:eastAsia="sr-Cyrl-CS" w:bidi="sr-Cyrl-CS"/>
              </w:rPr>
            </w:pPr>
          </w:p>
        </w:tc>
        <w:tc>
          <w:tcPr>
            <w:tcW w:w="4247" w:type="dxa"/>
            <w:vMerge/>
            <w:tcBorders>
              <w:top w:val="single" w:sz="8" w:space="0" w:color="auto"/>
              <w:left w:val="single" w:sz="8" w:space="0" w:color="auto"/>
              <w:bottom w:val="single" w:sz="8" w:space="0" w:color="000000"/>
              <w:right w:val="nil"/>
            </w:tcBorders>
            <w:shd w:val="clear" w:color="auto" w:fill="BDD6EE" w:themeFill="accent1" w:themeFillTint="66"/>
            <w:vAlign w:val="center"/>
            <w:hideMark/>
          </w:tcPr>
          <w:p w14:paraId="39CF6981" w14:textId="77777777" w:rsidR="00D210F0" w:rsidRPr="00092ED7" w:rsidRDefault="00D210F0" w:rsidP="00D210F0">
            <w:pPr>
              <w:spacing w:after="0"/>
              <w:rPr>
                <w:rFonts w:cs="Times New Roman"/>
                <w:sz w:val="20"/>
                <w:szCs w:val="20"/>
                <w:lang w:val="sr-Cyrl-CS" w:eastAsia="sr-Cyrl-CS" w:bidi="sr-Cyrl-CS"/>
              </w:rPr>
            </w:pPr>
          </w:p>
        </w:tc>
        <w:tc>
          <w:tcPr>
            <w:tcW w:w="369" w:type="dxa"/>
            <w:tcBorders>
              <w:top w:val="nil"/>
              <w:left w:val="single" w:sz="8" w:space="0" w:color="auto"/>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650F5D4B"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Q1</w:t>
            </w:r>
          </w:p>
        </w:tc>
        <w:tc>
          <w:tcPr>
            <w:tcW w:w="370"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197AE183"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Q2</w:t>
            </w:r>
          </w:p>
        </w:tc>
        <w:tc>
          <w:tcPr>
            <w:tcW w:w="368"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1A2A1B36"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Q3</w:t>
            </w:r>
          </w:p>
        </w:tc>
        <w:tc>
          <w:tcPr>
            <w:tcW w:w="370" w:type="dxa"/>
            <w:tcBorders>
              <w:top w:val="nil"/>
              <w:left w:val="nil"/>
              <w:bottom w:val="single" w:sz="8" w:space="0" w:color="auto"/>
              <w:right w:val="single" w:sz="8" w:space="0" w:color="auto"/>
            </w:tcBorders>
            <w:shd w:val="clear" w:color="auto" w:fill="BDD6EE" w:themeFill="accent1" w:themeFillTint="66"/>
            <w:tcMar>
              <w:top w:w="15" w:type="dxa"/>
              <w:left w:w="15" w:type="dxa"/>
              <w:bottom w:w="0" w:type="dxa"/>
              <w:right w:w="15" w:type="dxa"/>
            </w:tcMar>
            <w:vAlign w:val="center"/>
            <w:hideMark/>
          </w:tcPr>
          <w:p w14:paraId="5C629812"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Q4</w:t>
            </w:r>
          </w:p>
        </w:tc>
        <w:tc>
          <w:tcPr>
            <w:tcW w:w="368"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4D70BFE2"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Q1</w:t>
            </w:r>
          </w:p>
        </w:tc>
        <w:tc>
          <w:tcPr>
            <w:tcW w:w="369"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797E16AB"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Q2</w:t>
            </w:r>
          </w:p>
        </w:tc>
        <w:tc>
          <w:tcPr>
            <w:tcW w:w="369"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75388897"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Q3</w:t>
            </w:r>
          </w:p>
        </w:tc>
        <w:tc>
          <w:tcPr>
            <w:tcW w:w="369" w:type="dxa"/>
            <w:tcBorders>
              <w:top w:val="nil"/>
              <w:left w:val="nil"/>
              <w:bottom w:val="single" w:sz="8" w:space="0" w:color="auto"/>
              <w:right w:val="single" w:sz="8" w:space="0" w:color="auto"/>
            </w:tcBorders>
            <w:shd w:val="clear" w:color="auto" w:fill="BDD6EE" w:themeFill="accent1" w:themeFillTint="66"/>
            <w:tcMar>
              <w:top w:w="15" w:type="dxa"/>
              <w:left w:w="15" w:type="dxa"/>
              <w:bottom w:w="0" w:type="dxa"/>
              <w:right w:w="15" w:type="dxa"/>
            </w:tcMar>
            <w:vAlign w:val="center"/>
            <w:hideMark/>
          </w:tcPr>
          <w:p w14:paraId="14DD0D68"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Q4</w:t>
            </w:r>
          </w:p>
        </w:tc>
        <w:tc>
          <w:tcPr>
            <w:tcW w:w="369"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7F580EB1"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Q1</w:t>
            </w:r>
          </w:p>
        </w:tc>
        <w:tc>
          <w:tcPr>
            <w:tcW w:w="368"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70389A2D"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Q2</w:t>
            </w:r>
          </w:p>
        </w:tc>
        <w:tc>
          <w:tcPr>
            <w:tcW w:w="369"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467FB68B"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Q3</w:t>
            </w:r>
          </w:p>
        </w:tc>
        <w:tc>
          <w:tcPr>
            <w:tcW w:w="370" w:type="dxa"/>
            <w:tcBorders>
              <w:top w:val="nil"/>
              <w:left w:val="nil"/>
              <w:bottom w:val="single" w:sz="8" w:space="0" w:color="auto"/>
              <w:right w:val="single" w:sz="8" w:space="0" w:color="auto"/>
            </w:tcBorders>
            <w:shd w:val="clear" w:color="auto" w:fill="BDD6EE" w:themeFill="accent1" w:themeFillTint="66"/>
            <w:tcMar>
              <w:top w:w="15" w:type="dxa"/>
              <w:left w:w="15" w:type="dxa"/>
              <w:bottom w:w="0" w:type="dxa"/>
              <w:right w:w="15" w:type="dxa"/>
            </w:tcMar>
            <w:vAlign w:val="center"/>
            <w:hideMark/>
          </w:tcPr>
          <w:p w14:paraId="2C8AD8A0" w14:textId="77777777" w:rsidR="00D210F0" w:rsidRPr="00092ED7" w:rsidRDefault="00D210F0" w:rsidP="00D210F0">
            <w:pPr>
              <w:spacing w:after="0"/>
              <w:jc w:val="center"/>
              <w:rPr>
                <w:rFonts w:cs="Times New Roman"/>
                <w:i/>
                <w:iCs/>
                <w:color w:val="000000"/>
                <w:sz w:val="18"/>
                <w:szCs w:val="18"/>
                <w:lang w:val="sr-Cyrl-CS"/>
              </w:rPr>
            </w:pPr>
            <w:r w:rsidRPr="00092ED7">
              <w:rPr>
                <w:rFonts w:cs="Times New Roman"/>
                <w:i/>
                <w:iCs/>
                <w:color w:val="000000"/>
                <w:sz w:val="18"/>
                <w:szCs w:val="18"/>
                <w:lang w:val="sr-Cyrl-CS"/>
              </w:rPr>
              <w:t>Q4</w:t>
            </w:r>
          </w:p>
        </w:tc>
      </w:tr>
      <w:tr w:rsidR="00D210F0" w:rsidRPr="00092ED7" w14:paraId="38BE46DE" w14:textId="77777777" w:rsidTr="00B57FE8">
        <w:trPr>
          <w:trHeight w:val="526"/>
        </w:trPr>
        <w:tc>
          <w:tcPr>
            <w:tcW w:w="421" w:type="dxa"/>
            <w:tcBorders>
              <w:top w:val="single" w:sz="4" w:space="0" w:color="auto"/>
              <w:left w:val="single" w:sz="8" w:space="0" w:color="auto"/>
              <w:bottom w:val="single" w:sz="4" w:space="0" w:color="auto"/>
              <w:right w:val="nil"/>
            </w:tcBorders>
            <w:tcMar>
              <w:top w:w="15" w:type="dxa"/>
              <w:left w:w="15" w:type="dxa"/>
              <w:bottom w:w="0" w:type="dxa"/>
              <w:right w:w="15" w:type="dxa"/>
            </w:tcMar>
            <w:hideMark/>
          </w:tcPr>
          <w:p w14:paraId="0EF05078" w14:textId="77777777" w:rsidR="00D210F0" w:rsidRPr="00092ED7" w:rsidRDefault="00D210F0" w:rsidP="00D210F0">
            <w:pPr>
              <w:spacing w:after="0"/>
              <w:jc w:val="center"/>
              <w:rPr>
                <w:rFonts w:cs="Times New Roman"/>
                <w:sz w:val="20"/>
                <w:szCs w:val="20"/>
                <w:lang w:val="sr-Cyrl-CS"/>
              </w:rPr>
            </w:pPr>
            <w:r w:rsidRPr="00092ED7">
              <w:rPr>
                <w:rFonts w:cs="Times New Roman"/>
                <w:sz w:val="20"/>
                <w:szCs w:val="20"/>
                <w:lang w:val="sr-Cyrl-CS"/>
              </w:rPr>
              <w:t>1.</w:t>
            </w:r>
          </w:p>
        </w:tc>
        <w:tc>
          <w:tcPr>
            <w:tcW w:w="4247" w:type="dxa"/>
            <w:tcBorders>
              <w:top w:val="single" w:sz="4" w:space="0" w:color="auto"/>
              <w:left w:val="single" w:sz="8" w:space="0" w:color="auto"/>
              <w:bottom w:val="single" w:sz="4" w:space="0" w:color="auto"/>
              <w:right w:val="nil"/>
            </w:tcBorders>
            <w:tcMar>
              <w:top w:w="15" w:type="dxa"/>
              <w:left w:w="15" w:type="dxa"/>
              <w:bottom w:w="0" w:type="dxa"/>
              <w:right w:w="15" w:type="dxa"/>
            </w:tcMar>
            <w:hideMark/>
          </w:tcPr>
          <w:p w14:paraId="344BCA89" w14:textId="77777777" w:rsidR="00D210F0" w:rsidRPr="00092ED7" w:rsidRDefault="00D210F0" w:rsidP="00D210F0">
            <w:pPr>
              <w:spacing w:after="0"/>
              <w:ind w:right="222"/>
              <w:rPr>
                <w:rFonts w:cs="Times New Roman"/>
                <w:sz w:val="20"/>
                <w:szCs w:val="20"/>
                <w:lang w:val="sr-Cyrl-CS"/>
              </w:rPr>
            </w:pPr>
            <w:r w:rsidRPr="00092ED7">
              <w:rPr>
                <w:rFonts w:cs="Times New Roman"/>
                <w:sz w:val="20"/>
                <w:szCs w:val="20"/>
                <w:lang w:val="sr-Cyrl-CS"/>
              </w:rPr>
              <w:t>Успостављање Регистра субјеката националног иновационог система</w:t>
            </w:r>
          </w:p>
        </w:tc>
        <w:tc>
          <w:tcPr>
            <w:tcW w:w="369" w:type="dxa"/>
            <w:tcBorders>
              <w:top w:val="single" w:sz="4" w:space="0" w:color="auto"/>
              <w:left w:val="single" w:sz="8"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AA5B36C" w14:textId="77777777" w:rsidR="00D210F0" w:rsidRPr="00092ED7" w:rsidRDefault="00D210F0" w:rsidP="00D210F0">
            <w:pPr>
              <w:spacing w:after="0"/>
              <w:rPr>
                <w:rFonts w:cs="Times New Roman"/>
                <w:color w:val="000000"/>
                <w:sz w:val="20"/>
                <w:szCs w:val="20"/>
                <w:lang w:val="sr-Cyrl-CS"/>
              </w:rPr>
            </w:pPr>
          </w:p>
        </w:tc>
        <w:tc>
          <w:tcPr>
            <w:tcW w:w="370"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21E12548" w14:textId="77777777" w:rsidR="00D210F0" w:rsidRPr="00092ED7" w:rsidRDefault="00D210F0" w:rsidP="00D210F0">
            <w:pPr>
              <w:spacing w:after="0"/>
              <w:rPr>
                <w:rFonts w:cs="Times New Roman"/>
                <w:color w:val="000000"/>
                <w:sz w:val="20"/>
                <w:szCs w:val="20"/>
                <w:lang w:val="sr-Cyrl-CS"/>
              </w:rPr>
            </w:pPr>
          </w:p>
        </w:tc>
        <w:tc>
          <w:tcPr>
            <w:tcW w:w="368" w:type="dxa"/>
            <w:tcBorders>
              <w:top w:val="single" w:sz="4" w:space="0" w:color="auto"/>
              <w:left w:val="nil"/>
              <w:bottom w:val="single" w:sz="4" w:space="0" w:color="auto"/>
              <w:right w:val="single" w:sz="4" w:space="0" w:color="auto"/>
            </w:tcBorders>
            <w:tcMar>
              <w:top w:w="15" w:type="dxa"/>
              <w:left w:w="15" w:type="dxa"/>
              <w:bottom w:w="0" w:type="dxa"/>
              <w:right w:w="15" w:type="dxa"/>
            </w:tcMar>
          </w:tcPr>
          <w:p w14:paraId="555FF5F9" w14:textId="77777777" w:rsidR="00D210F0" w:rsidRPr="00092ED7" w:rsidRDefault="00D210F0" w:rsidP="00D210F0">
            <w:pPr>
              <w:spacing w:after="0"/>
              <w:rPr>
                <w:rFonts w:cs="Times New Roman"/>
                <w:color w:val="000000"/>
                <w:sz w:val="20"/>
                <w:szCs w:val="20"/>
                <w:lang w:val="sr-Cyrl-CS"/>
              </w:rPr>
            </w:pPr>
          </w:p>
        </w:tc>
        <w:tc>
          <w:tcPr>
            <w:tcW w:w="370" w:type="dxa"/>
            <w:tcBorders>
              <w:top w:val="single" w:sz="4" w:space="0" w:color="auto"/>
              <w:left w:val="nil"/>
              <w:bottom w:val="single" w:sz="4" w:space="0" w:color="auto"/>
              <w:right w:val="single" w:sz="8" w:space="0" w:color="auto"/>
            </w:tcBorders>
            <w:tcMar>
              <w:top w:w="15" w:type="dxa"/>
              <w:left w:w="15" w:type="dxa"/>
              <w:bottom w:w="0" w:type="dxa"/>
              <w:right w:w="15" w:type="dxa"/>
            </w:tcMar>
          </w:tcPr>
          <w:p w14:paraId="5D6C41D9" w14:textId="77777777" w:rsidR="00D210F0" w:rsidRPr="00092ED7" w:rsidRDefault="00D210F0" w:rsidP="00D210F0">
            <w:pPr>
              <w:spacing w:after="0"/>
              <w:rPr>
                <w:rFonts w:cs="Times New Roman"/>
                <w:color w:val="000000"/>
                <w:sz w:val="20"/>
                <w:szCs w:val="20"/>
                <w:lang w:val="sr-Cyrl-CS"/>
              </w:rPr>
            </w:pPr>
          </w:p>
        </w:tc>
        <w:tc>
          <w:tcPr>
            <w:tcW w:w="368" w:type="dxa"/>
            <w:tcBorders>
              <w:top w:val="single" w:sz="4" w:space="0" w:color="auto"/>
              <w:left w:val="nil"/>
              <w:bottom w:val="single" w:sz="4" w:space="0" w:color="auto"/>
              <w:right w:val="single" w:sz="4" w:space="0" w:color="auto"/>
            </w:tcBorders>
            <w:tcMar>
              <w:top w:w="15" w:type="dxa"/>
              <w:left w:w="15" w:type="dxa"/>
              <w:bottom w:w="0" w:type="dxa"/>
              <w:right w:w="15" w:type="dxa"/>
            </w:tcMar>
          </w:tcPr>
          <w:p w14:paraId="1D270D5B" w14:textId="77777777" w:rsidR="00D210F0" w:rsidRPr="00092ED7" w:rsidRDefault="00D210F0" w:rsidP="00D210F0">
            <w:pPr>
              <w:spacing w:after="0"/>
              <w:rPr>
                <w:rFonts w:cs="Times New Roman"/>
                <w:color w:val="000000"/>
                <w:sz w:val="20"/>
                <w:szCs w:val="20"/>
                <w:lang w:val="sr-Cyrl-CS"/>
              </w:rPr>
            </w:pPr>
          </w:p>
        </w:tc>
        <w:tc>
          <w:tcPr>
            <w:tcW w:w="369" w:type="dxa"/>
            <w:tcBorders>
              <w:top w:val="single" w:sz="4" w:space="0" w:color="auto"/>
              <w:left w:val="nil"/>
              <w:bottom w:val="single" w:sz="4" w:space="0" w:color="auto"/>
              <w:right w:val="single" w:sz="4" w:space="0" w:color="auto"/>
            </w:tcBorders>
            <w:tcMar>
              <w:top w:w="15" w:type="dxa"/>
              <w:left w:w="15" w:type="dxa"/>
              <w:bottom w:w="0" w:type="dxa"/>
              <w:right w:w="15" w:type="dxa"/>
            </w:tcMar>
          </w:tcPr>
          <w:p w14:paraId="7E3828A2" w14:textId="77777777" w:rsidR="00D210F0" w:rsidRPr="00092ED7" w:rsidRDefault="00D210F0" w:rsidP="00D210F0">
            <w:pPr>
              <w:spacing w:after="0"/>
              <w:rPr>
                <w:rFonts w:cs="Times New Roman"/>
                <w:color w:val="000000"/>
                <w:sz w:val="20"/>
                <w:szCs w:val="20"/>
                <w:lang w:val="sr-Cyrl-CS"/>
              </w:rPr>
            </w:pPr>
          </w:p>
        </w:tc>
        <w:tc>
          <w:tcPr>
            <w:tcW w:w="369" w:type="dxa"/>
            <w:tcBorders>
              <w:top w:val="single" w:sz="4" w:space="0" w:color="auto"/>
              <w:left w:val="nil"/>
              <w:bottom w:val="single" w:sz="4" w:space="0" w:color="auto"/>
              <w:right w:val="single" w:sz="4" w:space="0" w:color="auto"/>
            </w:tcBorders>
            <w:tcMar>
              <w:top w:w="15" w:type="dxa"/>
              <w:left w:w="15" w:type="dxa"/>
              <w:bottom w:w="0" w:type="dxa"/>
              <w:right w:w="15" w:type="dxa"/>
            </w:tcMar>
          </w:tcPr>
          <w:p w14:paraId="4B7BC11E" w14:textId="77777777" w:rsidR="00D210F0" w:rsidRPr="00092ED7" w:rsidRDefault="00D210F0" w:rsidP="00D210F0">
            <w:pPr>
              <w:spacing w:after="0"/>
              <w:rPr>
                <w:rFonts w:cs="Times New Roman"/>
                <w:color w:val="000000"/>
                <w:sz w:val="20"/>
                <w:szCs w:val="20"/>
                <w:lang w:val="sr-Cyrl-CS"/>
              </w:rPr>
            </w:pPr>
          </w:p>
        </w:tc>
        <w:tc>
          <w:tcPr>
            <w:tcW w:w="369" w:type="dxa"/>
            <w:tcBorders>
              <w:top w:val="single" w:sz="4" w:space="0" w:color="auto"/>
              <w:left w:val="nil"/>
              <w:bottom w:val="single" w:sz="4" w:space="0" w:color="auto"/>
              <w:right w:val="single" w:sz="8" w:space="0" w:color="auto"/>
            </w:tcBorders>
            <w:tcMar>
              <w:top w:w="15" w:type="dxa"/>
              <w:left w:w="15" w:type="dxa"/>
              <w:bottom w:w="0" w:type="dxa"/>
              <w:right w:w="15" w:type="dxa"/>
            </w:tcMar>
          </w:tcPr>
          <w:p w14:paraId="65AC75E3" w14:textId="77777777" w:rsidR="00D210F0" w:rsidRPr="00092ED7" w:rsidRDefault="00D210F0" w:rsidP="00D210F0">
            <w:pPr>
              <w:spacing w:after="0"/>
              <w:rPr>
                <w:rFonts w:cs="Times New Roman"/>
                <w:color w:val="000000"/>
                <w:sz w:val="20"/>
                <w:szCs w:val="20"/>
                <w:lang w:val="sr-Cyrl-CS"/>
              </w:rPr>
            </w:pPr>
          </w:p>
        </w:tc>
        <w:tc>
          <w:tcPr>
            <w:tcW w:w="369" w:type="dxa"/>
            <w:tcBorders>
              <w:top w:val="single" w:sz="4" w:space="0" w:color="auto"/>
              <w:left w:val="nil"/>
              <w:bottom w:val="single" w:sz="4" w:space="0" w:color="auto"/>
              <w:right w:val="single" w:sz="4" w:space="0" w:color="auto"/>
            </w:tcBorders>
            <w:tcMar>
              <w:top w:w="15" w:type="dxa"/>
              <w:left w:w="15" w:type="dxa"/>
              <w:bottom w:w="0" w:type="dxa"/>
              <w:right w:w="15" w:type="dxa"/>
            </w:tcMar>
          </w:tcPr>
          <w:p w14:paraId="24336513" w14:textId="77777777" w:rsidR="00D210F0" w:rsidRPr="00092ED7" w:rsidRDefault="00D210F0" w:rsidP="00D210F0">
            <w:pPr>
              <w:spacing w:after="0"/>
              <w:rPr>
                <w:rFonts w:cs="Times New Roman"/>
                <w:color w:val="000000"/>
                <w:sz w:val="20"/>
                <w:szCs w:val="20"/>
                <w:lang w:val="sr-Cyrl-CS"/>
              </w:rPr>
            </w:pPr>
          </w:p>
        </w:tc>
        <w:tc>
          <w:tcPr>
            <w:tcW w:w="368" w:type="dxa"/>
            <w:tcBorders>
              <w:top w:val="single" w:sz="4" w:space="0" w:color="auto"/>
              <w:left w:val="nil"/>
              <w:bottom w:val="single" w:sz="4" w:space="0" w:color="auto"/>
              <w:right w:val="single" w:sz="4" w:space="0" w:color="auto"/>
            </w:tcBorders>
            <w:tcMar>
              <w:top w:w="15" w:type="dxa"/>
              <w:left w:w="15" w:type="dxa"/>
              <w:bottom w:w="0" w:type="dxa"/>
              <w:right w:w="15" w:type="dxa"/>
            </w:tcMar>
          </w:tcPr>
          <w:p w14:paraId="62B95B0C" w14:textId="77777777" w:rsidR="00D210F0" w:rsidRPr="00092ED7" w:rsidRDefault="00D210F0" w:rsidP="00D210F0">
            <w:pPr>
              <w:spacing w:after="0"/>
              <w:rPr>
                <w:rFonts w:cs="Times New Roman"/>
                <w:color w:val="000000"/>
                <w:sz w:val="20"/>
                <w:szCs w:val="20"/>
                <w:lang w:val="sr-Cyrl-CS"/>
              </w:rPr>
            </w:pPr>
          </w:p>
        </w:tc>
        <w:tc>
          <w:tcPr>
            <w:tcW w:w="369" w:type="dxa"/>
            <w:tcBorders>
              <w:top w:val="single" w:sz="4" w:space="0" w:color="auto"/>
              <w:left w:val="nil"/>
              <w:bottom w:val="single" w:sz="4" w:space="0" w:color="auto"/>
              <w:right w:val="single" w:sz="4" w:space="0" w:color="auto"/>
            </w:tcBorders>
            <w:tcMar>
              <w:top w:w="15" w:type="dxa"/>
              <w:left w:w="15" w:type="dxa"/>
              <w:bottom w:w="0" w:type="dxa"/>
              <w:right w:w="15" w:type="dxa"/>
            </w:tcMar>
          </w:tcPr>
          <w:p w14:paraId="7BE6D0B2" w14:textId="77777777" w:rsidR="00D210F0" w:rsidRPr="00092ED7" w:rsidRDefault="00D210F0" w:rsidP="00D210F0">
            <w:pPr>
              <w:spacing w:after="0"/>
              <w:rPr>
                <w:rFonts w:cs="Times New Roman"/>
                <w:color w:val="000000"/>
                <w:sz w:val="20"/>
                <w:szCs w:val="20"/>
                <w:lang w:val="sr-Cyrl-CS"/>
              </w:rPr>
            </w:pPr>
          </w:p>
        </w:tc>
        <w:tc>
          <w:tcPr>
            <w:tcW w:w="370" w:type="dxa"/>
            <w:tcBorders>
              <w:top w:val="single" w:sz="4" w:space="0" w:color="auto"/>
              <w:left w:val="nil"/>
              <w:bottom w:val="single" w:sz="4" w:space="0" w:color="auto"/>
              <w:right w:val="single" w:sz="8" w:space="0" w:color="auto"/>
            </w:tcBorders>
            <w:tcMar>
              <w:top w:w="15" w:type="dxa"/>
              <w:left w:w="15" w:type="dxa"/>
              <w:bottom w:w="0" w:type="dxa"/>
              <w:right w:w="15" w:type="dxa"/>
            </w:tcMar>
          </w:tcPr>
          <w:p w14:paraId="60E127BC" w14:textId="77777777" w:rsidR="00D210F0" w:rsidRPr="00092ED7" w:rsidRDefault="00D210F0" w:rsidP="00D210F0">
            <w:pPr>
              <w:spacing w:after="0"/>
              <w:rPr>
                <w:rFonts w:cs="Times New Roman"/>
                <w:color w:val="000000"/>
                <w:sz w:val="18"/>
                <w:szCs w:val="18"/>
                <w:lang w:val="sr-Cyrl-CS"/>
              </w:rPr>
            </w:pPr>
          </w:p>
        </w:tc>
      </w:tr>
      <w:tr w:rsidR="00D210F0" w:rsidRPr="00092ED7" w14:paraId="67E4BB8F" w14:textId="77777777" w:rsidTr="00B57FE8">
        <w:trPr>
          <w:trHeight w:val="306"/>
        </w:trPr>
        <w:tc>
          <w:tcPr>
            <w:tcW w:w="421" w:type="dxa"/>
            <w:tcBorders>
              <w:top w:val="nil"/>
              <w:left w:val="single" w:sz="8" w:space="0" w:color="auto"/>
              <w:bottom w:val="single" w:sz="4" w:space="0" w:color="auto"/>
              <w:right w:val="nil"/>
            </w:tcBorders>
            <w:tcMar>
              <w:top w:w="15" w:type="dxa"/>
              <w:left w:w="15" w:type="dxa"/>
              <w:bottom w:w="0" w:type="dxa"/>
              <w:right w:w="15" w:type="dxa"/>
            </w:tcMar>
            <w:hideMark/>
          </w:tcPr>
          <w:p w14:paraId="76B177E1" w14:textId="77777777" w:rsidR="00D210F0" w:rsidRPr="00092ED7" w:rsidRDefault="00D210F0" w:rsidP="00D210F0">
            <w:pPr>
              <w:spacing w:after="0"/>
              <w:jc w:val="center"/>
              <w:rPr>
                <w:rFonts w:cs="Times New Roman"/>
                <w:sz w:val="20"/>
                <w:szCs w:val="20"/>
                <w:lang w:val="sr-Cyrl-CS"/>
              </w:rPr>
            </w:pPr>
            <w:r w:rsidRPr="00092ED7">
              <w:rPr>
                <w:rFonts w:cs="Times New Roman"/>
                <w:sz w:val="20"/>
                <w:szCs w:val="20"/>
                <w:lang w:val="sr-Cyrl-CS"/>
              </w:rPr>
              <w:t>2.</w:t>
            </w:r>
          </w:p>
        </w:tc>
        <w:tc>
          <w:tcPr>
            <w:tcW w:w="4247" w:type="dxa"/>
            <w:tcBorders>
              <w:top w:val="nil"/>
              <w:left w:val="single" w:sz="8" w:space="0" w:color="auto"/>
              <w:bottom w:val="single" w:sz="4" w:space="0" w:color="auto"/>
              <w:right w:val="single" w:sz="4" w:space="0" w:color="auto"/>
            </w:tcBorders>
            <w:tcMar>
              <w:top w:w="15" w:type="dxa"/>
              <w:left w:w="15" w:type="dxa"/>
              <w:bottom w:w="0" w:type="dxa"/>
              <w:right w:w="15" w:type="dxa"/>
            </w:tcMar>
            <w:hideMark/>
          </w:tcPr>
          <w:p w14:paraId="1150ECA6" w14:textId="77777777" w:rsidR="00D210F0" w:rsidRPr="00092ED7" w:rsidRDefault="00D210F0" w:rsidP="00D210F0">
            <w:pPr>
              <w:spacing w:after="0"/>
              <w:ind w:right="222"/>
              <w:rPr>
                <w:rFonts w:cs="Times New Roman"/>
                <w:sz w:val="20"/>
                <w:szCs w:val="20"/>
                <w:lang w:val="sr-Cyrl-CS"/>
              </w:rPr>
            </w:pPr>
            <w:r w:rsidRPr="00092ED7">
              <w:rPr>
                <w:rFonts w:cs="Times New Roman"/>
                <w:sz w:val="20"/>
                <w:szCs w:val="20"/>
                <w:lang w:val="sr-Cyrl-CS"/>
              </w:rPr>
              <w:t>Припрема и реализација обука за рад са стартапима за државне службенике</w:t>
            </w:r>
          </w:p>
        </w:tc>
        <w:tc>
          <w:tcPr>
            <w:tcW w:w="369" w:type="dxa"/>
            <w:tcBorders>
              <w:top w:val="nil"/>
              <w:left w:val="single" w:sz="8"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8936429" w14:textId="77777777" w:rsidR="00D210F0" w:rsidRPr="00092ED7" w:rsidRDefault="00D210F0" w:rsidP="00D210F0">
            <w:pPr>
              <w:spacing w:after="0"/>
              <w:rPr>
                <w:rFonts w:cs="Times New Roman"/>
                <w:color w:val="000000"/>
                <w:sz w:val="20"/>
                <w:szCs w:val="20"/>
                <w:lang w:val="sr-Cyrl-CS"/>
              </w:rPr>
            </w:pPr>
          </w:p>
        </w:tc>
        <w:tc>
          <w:tcPr>
            <w:tcW w:w="370"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9765A26" w14:textId="77777777" w:rsidR="00D210F0" w:rsidRPr="00092ED7" w:rsidRDefault="00D210F0" w:rsidP="00D210F0">
            <w:pPr>
              <w:spacing w:after="0"/>
              <w:rPr>
                <w:rFonts w:cs="Times New Roman"/>
                <w:color w:val="000000"/>
                <w:sz w:val="20"/>
                <w:szCs w:val="20"/>
                <w:lang w:val="sr-Cyrl-CS"/>
              </w:rPr>
            </w:pPr>
          </w:p>
        </w:tc>
        <w:tc>
          <w:tcPr>
            <w:tcW w:w="368"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C6D5B2A" w14:textId="77777777" w:rsidR="00D210F0" w:rsidRPr="00092ED7" w:rsidRDefault="00D210F0" w:rsidP="00D210F0">
            <w:pPr>
              <w:spacing w:after="0"/>
              <w:rPr>
                <w:rFonts w:cs="Times New Roman"/>
                <w:color w:val="000000"/>
                <w:sz w:val="20"/>
                <w:szCs w:val="20"/>
                <w:lang w:val="sr-Cyrl-CS"/>
              </w:rPr>
            </w:pPr>
          </w:p>
        </w:tc>
        <w:tc>
          <w:tcPr>
            <w:tcW w:w="370" w:type="dxa"/>
            <w:tcBorders>
              <w:top w:val="nil"/>
              <w:left w:val="nil"/>
              <w:bottom w:val="single" w:sz="4" w:space="0" w:color="auto"/>
              <w:right w:val="single" w:sz="8" w:space="0" w:color="auto"/>
            </w:tcBorders>
            <w:tcMar>
              <w:top w:w="15" w:type="dxa"/>
              <w:left w:w="15" w:type="dxa"/>
              <w:bottom w:w="0" w:type="dxa"/>
              <w:right w:w="15" w:type="dxa"/>
            </w:tcMar>
          </w:tcPr>
          <w:p w14:paraId="1A4F41BD" w14:textId="77777777" w:rsidR="00D210F0" w:rsidRPr="00092ED7" w:rsidRDefault="00D210F0" w:rsidP="00D210F0">
            <w:pPr>
              <w:spacing w:after="0"/>
              <w:rPr>
                <w:rFonts w:cs="Times New Roman"/>
                <w:color w:val="000000"/>
                <w:sz w:val="20"/>
                <w:szCs w:val="20"/>
                <w:lang w:val="sr-Cyrl-CS"/>
              </w:rPr>
            </w:pPr>
          </w:p>
        </w:tc>
        <w:tc>
          <w:tcPr>
            <w:tcW w:w="368" w:type="dxa"/>
            <w:tcBorders>
              <w:top w:val="nil"/>
              <w:left w:val="nil"/>
              <w:bottom w:val="single" w:sz="4" w:space="0" w:color="auto"/>
              <w:right w:val="single" w:sz="4" w:space="0" w:color="auto"/>
            </w:tcBorders>
            <w:tcMar>
              <w:top w:w="15" w:type="dxa"/>
              <w:left w:w="15" w:type="dxa"/>
              <w:bottom w:w="0" w:type="dxa"/>
              <w:right w:w="15" w:type="dxa"/>
            </w:tcMar>
          </w:tcPr>
          <w:p w14:paraId="6D999D37" w14:textId="77777777" w:rsidR="00D210F0" w:rsidRPr="00092ED7" w:rsidRDefault="00D210F0" w:rsidP="00D210F0">
            <w:pPr>
              <w:spacing w:after="0"/>
              <w:rPr>
                <w:rFonts w:cs="Times New Roman"/>
                <w:color w:val="000000"/>
                <w:sz w:val="20"/>
                <w:szCs w:val="20"/>
                <w:lang w:val="sr-Cyrl-CS"/>
              </w:rPr>
            </w:pPr>
          </w:p>
        </w:tc>
        <w:tc>
          <w:tcPr>
            <w:tcW w:w="369" w:type="dxa"/>
            <w:tcBorders>
              <w:top w:val="nil"/>
              <w:left w:val="nil"/>
              <w:bottom w:val="single" w:sz="4" w:space="0" w:color="auto"/>
              <w:right w:val="single" w:sz="4" w:space="0" w:color="auto"/>
            </w:tcBorders>
            <w:tcMar>
              <w:top w:w="15" w:type="dxa"/>
              <w:left w:w="15" w:type="dxa"/>
              <w:bottom w:w="0" w:type="dxa"/>
              <w:right w:w="15" w:type="dxa"/>
            </w:tcMar>
          </w:tcPr>
          <w:p w14:paraId="3931319B" w14:textId="77777777" w:rsidR="00D210F0" w:rsidRPr="00092ED7" w:rsidRDefault="00D210F0" w:rsidP="00D210F0">
            <w:pPr>
              <w:spacing w:after="0"/>
              <w:rPr>
                <w:rFonts w:cs="Times New Roman"/>
                <w:color w:val="000000"/>
                <w:sz w:val="20"/>
                <w:szCs w:val="20"/>
                <w:lang w:val="sr-Cyrl-CS"/>
              </w:rPr>
            </w:pPr>
          </w:p>
        </w:tc>
        <w:tc>
          <w:tcPr>
            <w:tcW w:w="369" w:type="dxa"/>
            <w:tcBorders>
              <w:top w:val="nil"/>
              <w:left w:val="nil"/>
              <w:bottom w:val="single" w:sz="4" w:space="0" w:color="auto"/>
              <w:right w:val="single" w:sz="4" w:space="0" w:color="auto"/>
            </w:tcBorders>
            <w:tcMar>
              <w:top w:w="15" w:type="dxa"/>
              <w:left w:w="15" w:type="dxa"/>
              <w:bottom w:w="0" w:type="dxa"/>
              <w:right w:w="15" w:type="dxa"/>
            </w:tcMar>
          </w:tcPr>
          <w:p w14:paraId="2F48CD11" w14:textId="77777777" w:rsidR="00D210F0" w:rsidRPr="00092ED7" w:rsidRDefault="00D210F0" w:rsidP="00D210F0">
            <w:pPr>
              <w:spacing w:after="0"/>
              <w:rPr>
                <w:rFonts w:cs="Times New Roman"/>
                <w:color w:val="000000"/>
                <w:sz w:val="20"/>
                <w:szCs w:val="20"/>
                <w:lang w:val="sr-Cyrl-CS"/>
              </w:rPr>
            </w:pPr>
          </w:p>
        </w:tc>
        <w:tc>
          <w:tcPr>
            <w:tcW w:w="369" w:type="dxa"/>
            <w:tcBorders>
              <w:top w:val="nil"/>
              <w:left w:val="nil"/>
              <w:bottom w:val="single" w:sz="4" w:space="0" w:color="auto"/>
              <w:right w:val="single" w:sz="8" w:space="0" w:color="auto"/>
            </w:tcBorders>
            <w:tcMar>
              <w:top w:w="15" w:type="dxa"/>
              <w:left w:w="15" w:type="dxa"/>
              <w:bottom w:w="0" w:type="dxa"/>
              <w:right w:w="15" w:type="dxa"/>
            </w:tcMar>
          </w:tcPr>
          <w:p w14:paraId="16EFE324" w14:textId="77777777" w:rsidR="00D210F0" w:rsidRPr="00092ED7" w:rsidRDefault="00D210F0" w:rsidP="00D210F0">
            <w:pPr>
              <w:spacing w:after="0"/>
              <w:rPr>
                <w:rFonts w:cs="Times New Roman"/>
                <w:color w:val="000000"/>
                <w:sz w:val="20"/>
                <w:szCs w:val="20"/>
                <w:lang w:val="sr-Cyrl-CS"/>
              </w:rPr>
            </w:pPr>
          </w:p>
        </w:tc>
        <w:tc>
          <w:tcPr>
            <w:tcW w:w="369" w:type="dxa"/>
            <w:tcBorders>
              <w:top w:val="nil"/>
              <w:left w:val="nil"/>
              <w:bottom w:val="single" w:sz="4" w:space="0" w:color="auto"/>
              <w:right w:val="single" w:sz="4" w:space="0" w:color="auto"/>
            </w:tcBorders>
            <w:tcMar>
              <w:top w:w="15" w:type="dxa"/>
              <w:left w:w="15" w:type="dxa"/>
              <w:bottom w:w="0" w:type="dxa"/>
              <w:right w:w="15" w:type="dxa"/>
            </w:tcMar>
          </w:tcPr>
          <w:p w14:paraId="0BE98704" w14:textId="77777777" w:rsidR="00D210F0" w:rsidRPr="00092ED7" w:rsidRDefault="00D210F0" w:rsidP="00D210F0">
            <w:pPr>
              <w:spacing w:after="0"/>
              <w:rPr>
                <w:rFonts w:cs="Times New Roman"/>
                <w:color w:val="000000"/>
                <w:sz w:val="20"/>
                <w:szCs w:val="20"/>
                <w:lang w:val="sr-Cyrl-CS"/>
              </w:rPr>
            </w:pPr>
          </w:p>
        </w:tc>
        <w:tc>
          <w:tcPr>
            <w:tcW w:w="368" w:type="dxa"/>
            <w:tcBorders>
              <w:top w:val="nil"/>
              <w:left w:val="nil"/>
              <w:bottom w:val="single" w:sz="4" w:space="0" w:color="auto"/>
              <w:right w:val="single" w:sz="4" w:space="0" w:color="auto"/>
            </w:tcBorders>
            <w:tcMar>
              <w:top w:w="15" w:type="dxa"/>
              <w:left w:w="15" w:type="dxa"/>
              <w:bottom w:w="0" w:type="dxa"/>
              <w:right w:w="15" w:type="dxa"/>
            </w:tcMar>
          </w:tcPr>
          <w:p w14:paraId="18ED5B01" w14:textId="77777777" w:rsidR="00D210F0" w:rsidRPr="00092ED7" w:rsidRDefault="00D210F0" w:rsidP="00D210F0">
            <w:pPr>
              <w:spacing w:after="0"/>
              <w:rPr>
                <w:rFonts w:cs="Times New Roman"/>
                <w:color w:val="000000"/>
                <w:sz w:val="20"/>
                <w:szCs w:val="20"/>
                <w:lang w:val="sr-Cyrl-CS"/>
              </w:rPr>
            </w:pPr>
          </w:p>
        </w:tc>
        <w:tc>
          <w:tcPr>
            <w:tcW w:w="369" w:type="dxa"/>
            <w:tcBorders>
              <w:top w:val="nil"/>
              <w:left w:val="nil"/>
              <w:bottom w:val="single" w:sz="4" w:space="0" w:color="auto"/>
              <w:right w:val="single" w:sz="4" w:space="0" w:color="auto"/>
            </w:tcBorders>
            <w:tcMar>
              <w:top w:w="15" w:type="dxa"/>
              <w:left w:w="15" w:type="dxa"/>
              <w:bottom w:w="0" w:type="dxa"/>
              <w:right w:w="15" w:type="dxa"/>
            </w:tcMar>
          </w:tcPr>
          <w:p w14:paraId="64C8F1D4" w14:textId="77777777" w:rsidR="00D210F0" w:rsidRPr="00092ED7" w:rsidRDefault="00D210F0" w:rsidP="00D210F0">
            <w:pPr>
              <w:spacing w:after="0"/>
              <w:rPr>
                <w:rFonts w:cs="Times New Roman"/>
                <w:color w:val="000000"/>
                <w:sz w:val="20"/>
                <w:szCs w:val="20"/>
                <w:lang w:val="sr-Cyrl-CS"/>
              </w:rPr>
            </w:pPr>
          </w:p>
        </w:tc>
        <w:tc>
          <w:tcPr>
            <w:tcW w:w="370" w:type="dxa"/>
            <w:tcBorders>
              <w:top w:val="nil"/>
              <w:left w:val="nil"/>
              <w:bottom w:val="single" w:sz="4" w:space="0" w:color="auto"/>
              <w:right w:val="single" w:sz="8" w:space="0" w:color="auto"/>
            </w:tcBorders>
            <w:tcMar>
              <w:top w:w="15" w:type="dxa"/>
              <w:left w:w="15" w:type="dxa"/>
              <w:bottom w:w="0" w:type="dxa"/>
              <w:right w:w="15" w:type="dxa"/>
            </w:tcMar>
          </w:tcPr>
          <w:p w14:paraId="0BF24243" w14:textId="77777777" w:rsidR="00D210F0" w:rsidRPr="00092ED7" w:rsidRDefault="00D210F0" w:rsidP="00D210F0">
            <w:pPr>
              <w:spacing w:after="0"/>
              <w:rPr>
                <w:rFonts w:cs="Times New Roman"/>
                <w:color w:val="000000"/>
                <w:sz w:val="18"/>
                <w:szCs w:val="18"/>
                <w:lang w:val="sr-Cyrl-CS"/>
              </w:rPr>
            </w:pPr>
          </w:p>
        </w:tc>
      </w:tr>
      <w:tr w:rsidR="00EF67D6" w:rsidRPr="00092ED7" w14:paraId="215AEF91" w14:textId="77777777" w:rsidTr="006D5549">
        <w:trPr>
          <w:trHeight w:val="306"/>
        </w:trPr>
        <w:tc>
          <w:tcPr>
            <w:tcW w:w="421" w:type="dxa"/>
            <w:tcBorders>
              <w:top w:val="nil"/>
              <w:left w:val="single" w:sz="8" w:space="0" w:color="auto"/>
              <w:bottom w:val="single" w:sz="4" w:space="0" w:color="auto"/>
              <w:right w:val="single" w:sz="8" w:space="0" w:color="auto"/>
            </w:tcBorders>
            <w:tcMar>
              <w:top w:w="15" w:type="dxa"/>
              <w:left w:w="15" w:type="dxa"/>
              <w:bottom w:w="0" w:type="dxa"/>
              <w:right w:w="15" w:type="dxa"/>
            </w:tcMar>
            <w:hideMark/>
          </w:tcPr>
          <w:p w14:paraId="4CFC5822" w14:textId="77777777" w:rsidR="00D210F0" w:rsidRPr="00092ED7" w:rsidRDefault="00D210F0" w:rsidP="00D210F0">
            <w:pPr>
              <w:spacing w:after="0"/>
              <w:jc w:val="center"/>
              <w:rPr>
                <w:rFonts w:cs="Times New Roman"/>
                <w:sz w:val="20"/>
                <w:szCs w:val="20"/>
                <w:lang w:val="sr-Cyrl-CS"/>
              </w:rPr>
            </w:pPr>
            <w:r w:rsidRPr="00092ED7">
              <w:rPr>
                <w:rFonts w:cs="Times New Roman"/>
                <w:sz w:val="20"/>
                <w:szCs w:val="20"/>
                <w:lang w:val="sr-Cyrl-CS"/>
              </w:rPr>
              <w:t>3.</w:t>
            </w:r>
          </w:p>
        </w:tc>
        <w:tc>
          <w:tcPr>
            <w:tcW w:w="4247" w:type="dxa"/>
            <w:tcBorders>
              <w:top w:val="nil"/>
              <w:left w:val="nil"/>
              <w:bottom w:val="single" w:sz="4" w:space="0" w:color="auto"/>
              <w:right w:val="nil"/>
            </w:tcBorders>
            <w:tcMar>
              <w:top w:w="15" w:type="dxa"/>
              <w:left w:w="15" w:type="dxa"/>
              <w:bottom w:w="0" w:type="dxa"/>
              <w:right w:w="15" w:type="dxa"/>
            </w:tcMar>
            <w:hideMark/>
          </w:tcPr>
          <w:p w14:paraId="07CDDB82" w14:textId="77777777" w:rsidR="00D210F0" w:rsidRPr="00092ED7" w:rsidRDefault="00D210F0" w:rsidP="00D210F0">
            <w:pPr>
              <w:spacing w:after="0"/>
              <w:ind w:right="222"/>
              <w:rPr>
                <w:rFonts w:cs="Times New Roman"/>
                <w:sz w:val="20"/>
                <w:szCs w:val="20"/>
                <w:lang w:val="sr-Cyrl-CS"/>
              </w:rPr>
            </w:pPr>
            <w:r w:rsidRPr="00092ED7">
              <w:rPr>
                <w:rFonts w:cs="Times New Roman"/>
                <w:sz w:val="20"/>
                <w:szCs w:val="20"/>
                <w:lang w:val="sr-Cyrl-CS"/>
              </w:rPr>
              <w:t>Имплементација GovTech програма</w:t>
            </w:r>
          </w:p>
        </w:tc>
        <w:tc>
          <w:tcPr>
            <w:tcW w:w="369" w:type="dxa"/>
            <w:tcBorders>
              <w:top w:val="nil"/>
              <w:left w:val="single" w:sz="8"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F6AC4D1" w14:textId="77777777" w:rsidR="00D210F0" w:rsidRPr="00092ED7" w:rsidRDefault="00D210F0" w:rsidP="00D210F0">
            <w:pPr>
              <w:spacing w:after="0"/>
              <w:rPr>
                <w:rFonts w:cs="Times New Roman"/>
                <w:color w:val="000000"/>
                <w:sz w:val="20"/>
                <w:szCs w:val="20"/>
                <w:lang w:val="sr-Cyrl-CS"/>
              </w:rPr>
            </w:pPr>
          </w:p>
        </w:tc>
        <w:tc>
          <w:tcPr>
            <w:tcW w:w="370"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3E0D87C7" w14:textId="77777777" w:rsidR="00D210F0" w:rsidRPr="00092ED7" w:rsidRDefault="00D210F0" w:rsidP="00D210F0">
            <w:pPr>
              <w:spacing w:after="0"/>
              <w:rPr>
                <w:rFonts w:cs="Times New Roman"/>
                <w:color w:val="000000"/>
                <w:sz w:val="20"/>
                <w:szCs w:val="20"/>
                <w:lang w:val="sr-Cyrl-CS"/>
              </w:rPr>
            </w:pPr>
          </w:p>
        </w:tc>
        <w:tc>
          <w:tcPr>
            <w:tcW w:w="368"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281EAEE4" w14:textId="77777777" w:rsidR="00D210F0" w:rsidRPr="00092ED7" w:rsidRDefault="00D210F0" w:rsidP="00D210F0">
            <w:pPr>
              <w:spacing w:after="0"/>
              <w:rPr>
                <w:rFonts w:cs="Times New Roman"/>
                <w:color w:val="000000"/>
                <w:sz w:val="20"/>
                <w:szCs w:val="20"/>
                <w:lang w:val="sr-Cyrl-CS"/>
              </w:rPr>
            </w:pPr>
          </w:p>
        </w:tc>
        <w:tc>
          <w:tcPr>
            <w:tcW w:w="370"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3C283340" w14:textId="77777777" w:rsidR="00D210F0" w:rsidRPr="00092ED7" w:rsidRDefault="00D210F0" w:rsidP="00D210F0">
            <w:pPr>
              <w:spacing w:after="0"/>
              <w:rPr>
                <w:rFonts w:cs="Times New Roman"/>
                <w:color w:val="000000"/>
                <w:sz w:val="20"/>
                <w:szCs w:val="20"/>
                <w:lang w:val="sr-Cyrl-CS"/>
              </w:rPr>
            </w:pPr>
          </w:p>
        </w:tc>
        <w:tc>
          <w:tcPr>
            <w:tcW w:w="368"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D42F098" w14:textId="77777777" w:rsidR="00D210F0" w:rsidRPr="00092ED7" w:rsidRDefault="00D210F0" w:rsidP="00D210F0">
            <w:pPr>
              <w:spacing w:after="0"/>
              <w:rPr>
                <w:rFonts w:cs="Times New Roman"/>
                <w:color w:val="000000"/>
                <w:sz w:val="20"/>
                <w:szCs w:val="20"/>
                <w:lang w:val="sr-Cyrl-CS"/>
              </w:rPr>
            </w:pPr>
          </w:p>
        </w:tc>
        <w:tc>
          <w:tcPr>
            <w:tcW w:w="369"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3C14E8F6" w14:textId="77777777" w:rsidR="00D210F0" w:rsidRPr="00092ED7" w:rsidRDefault="00D210F0" w:rsidP="00D210F0">
            <w:pPr>
              <w:spacing w:after="0"/>
              <w:rPr>
                <w:rFonts w:cs="Times New Roman"/>
                <w:color w:val="000000"/>
                <w:sz w:val="20"/>
                <w:szCs w:val="20"/>
                <w:lang w:val="sr-Cyrl-CS"/>
              </w:rPr>
            </w:pPr>
          </w:p>
        </w:tc>
        <w:tc>
          <w:tcPr>
            <w:tcW w:w="369"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0939F505" w14:textId="77777777" w:rsidR="00D210F0" w:rsidRPr="00092ED7" w:rsidRDefault="00D210F0" w:rsidP="00D210F0">
            <w:pPr>
              <w:spacing w:after="0"/>
              <w:rPr>
                <w:rFonts w:cs="Times New Roman"/>
                <w:color w:val="000000"/>
                <w:sz w:val="20"/>
                <w:szCs w:val="20"/>
                <w:lang w:val="sr-Cyrl-CS"/>
              </w:rPr>
            </w:pPr>
          </w:p>
        </w:tc>
        <w:tc>
          <w:tcPr>
            <w:tcW w:w="369"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0F797784" w14:textId="77777777" w:rsidR="00D210F0" w:rsidRPr="00092ED7" w:rsidRDefault="00D210F0" w:rsidP="00D210F0">
            <w:pPr>
              <w:spacing w:after="0"/>
              <w:rPr>
                <w:rFonts w:cs="Times New Roman"/>
                <w:color w:val="000000"/>
                <w:sz w:val="20"/>
                <w:szCs w:val="20"/>
                <w:lang w:val="sr-Cyrl-CS"/>
              </w:rPr>
            </w:pPr>
          </w:p>
        </w:tc>
        <w:tc>
          <w:tcPr>
            <w:tcW w:w="369"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1EACD5B" w14:textId="77777777" w:rsidR="00D210F0" w:rsidRPr="00092ED7" w:rsidRDefault="00D210F0" w:rsidP="00D210F0">
            <w:pPr>
              <w:spacing w:after="0"/>
              <w:rPr>
                <w:rFonts w:cs="Times New Roman"/>
                <w:color w:val="000000"/>
                <w:sz w:val="20"/>
                <w:szCs w:val="20"/>
                <w:lang w:val="sr-Cyrl-CS"/>
              </w:rPr>
            </w:pPr>
          </w:p>
        </w:tc>
        <w:tc>
          <w:tcPr>
            <w:tcW w:w="368"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7D5040F" w14:textId="77777777" w:rsidR="00D210F0" w:rsidRPr="00092ED7" w:rsidRDefault="00D210F0" w:rsidP="00D210F0">
            <w:pPr>
              <w:spacing w:after="0"/>
              <w:rPr>
                <w:rFonts w:cs="Times New Roman"/>
                <w:color w:val="000000"/>
                <w:sz w:val="20"/>
                <w:szCs w:val="20"/>
                <w:lang w:val="sr-Cyrl-CS"/>
              </w:rPr>
            </w:pPr>
          </w:p>
        </w:tc>
        <w:tc>
          <w:tcPr>
            <w:tcW w:w="369"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20991C8" w14:textId="77777777" w:rsidR="00D210F0" w:rsidRPr="00092ED7" w:rsidRDefault="00D210F0" w:rsidP="00D210F0">
            <w:pPr>
              <w:spacing w:after="0"/>
              <w:rPr>
                <w:rFonts w:cs="Times New Roman"/>
                <w:color w:val="000000"/>
                <w:sz w:val="20"/>
                <w:szCs w:val="20"/>
                <w:lang w:val="sr-Cyrl-CS"/>
              </w:rPr>
            </w:pPr>
          </w:p>
        </w:tc>
        <w:tc>
          <w:tcPr>
            <w:tcW w:w="370"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742A99CB" w14:textId="77777777" w:rsidR="00D210F0" w:rsidRPr="00092ED7" w:rsidRDefault="00D210F0" w:rsidP="00D210F0">
            <w:pPr>
              <w:spacing w:after="0"/>
              <w:rPr>
                <w:rFonts w:cs="Times New Roman"/>
                <w:color w:val="000000"/>
                <w:sz w:val="18"/>
                <w:szCs w:val="18"/>
                <w:lang w:val="sr-Cyrl-CS"/>
              </w:rPr>
            </w:pPr>
          </w:p>
        </w:tc>
      </w:tr>
      <w:tr w:rsidR="00EF67D6" w:rsidRPr="00092ED7" w14:paraId="550DC766" w14:textId="77777777" w:rsidTr="006D5549">
        <w:trPr>
          <w:trHeight w:val="306"/>
        </w:trPr>
        <w:tc>
          <w:tcPr>
            <w:tcW w:w="421" w:type="dxa"/>
            <w:tcBorders>
              <w:top w:val="single" w:sz="4" w:space="0" w:color="auto"/>
              <w:left w:val="single" w:sz="8" w:space="0" w:color="auto"/>
              <w:bottom w:val="single" w:sz="4" w:space="0" w:color="auto"/>
              <w:right w:val="single" w:sz="8" w:space="0" w:color="auto"/>
            </w:tcBorders>
            <w:tcMar>
              <w:top w:w="15" w:type="dxa"/>
              <w:left w:w="15" w:type="dxa"/>
              <w:bottom w:w="0" w:type="dxa"/>
              <w:right w:w="15" w:type="dxa"/>
            </w:tcMar>
            <w:hideMark/>
          </w:tcPr>
          <w:p w14:paraId="38A55A07" w14:textId="77777777" w:rsidR="00D210F0" w:rsidRPr="00092ED7" w:rsidRDefault="00D210F0" w:rsidP="00D210F0">
            <w:pPr>
              <w:spacing w:after="0"/>
              <w:jc w:val="center"/>
              <w:rPr>
                <w:rFonts w:cs="Times New Roman"/>
                <w:sz w:val="20"/>
                <w:szCs w:val="20"/>
                <w:lang w:val="sr-Cyrl-CS"/>
              </w:rPr>
            </w:pPr>
            <w:r w:rsidRPr="00092ED7">
              <w:rPr>
                <w:rFonts w:cs="Times New Roman"/>
                <w:sz w:val="20"/>
                <w:szCs w:val="20"/>
                <w:lang w:val="sr-Cyrl-CS"/>
              </w:rPr>
              <w:t>4.</w:t>
            </w:r>
          </w:p>
        </w:tc>
        <w:tc>
          <w:tcPr>
            <w:tcW w:w="4247" w:type="dxa"/>
            <w:tcBorders>
              <w:top w:val="single" w:sz="4" w:space="0" w:color="auto"/>
              <w:left w:val="nil"/>
              <w:bottom w:val="single" w:sz="4" w:space="0" w:color="auto"/>
              <w:right w:val="single" w:sz="8" w:space="0" w:color="auto"/>
            </w:tcBorders>
            <w:noWrap/>
            <w:tcMar>
              <w:top w:w="15" w:type="dxa"/>
              <w:left w:w="15" w:type="dxa"/>
              <w:bottom w:w="0" w:type="dxa"/>
              <w:right w:w="15" w:type="dxa"/>
            </w:tcMar>
            <w:hideMark/>
          </w:tcPr>
          <w:p w14:paraId="3A7B9BE7" w14:textId="77777777" w:rsidR="00D210F0" w:rsidRPr="00092ED7" w:rsidRDefault="00D210F0" w:rsidP="00D210F0">
            <w:pPr>
              <w:spacing w:after="0"/>
              <w:ind w:right="222"/>
              <w:rPr>
                <w:rFonts w:cs="Times New Roman"/>
                <w:sz w:val="20"/>
                <w:szCs w:val="20"/>
                <w:lang w:val="sr-Cyrl-CS"/>
              </w:rPr>
            </w:pPr>
            <w:r w:rsidRPr="00092ED7">
              <w:rPr>
                <w:rFonts w:cs="Times New Roman"/>
                <w:color w:val="000000"/>
                <w:sz w:val="20"/>
                <w:szCs w:val="20"/>
                <w:lang w:val="sr-Cyrl-CS"/>
              </w:rPr>
              <w:t xml:space="preserve">Повезивање </w:t>
            </w:r>
            <w:r w:rsidR="0011557F" w:rsidRPr="00092ED7">
              <w:rPr>
                <w:rFonts w:cs="Times New Roman"/>
                <w:color w:val="000000"/>
                <w:sz w:val="20"/>
                <w:szCs w:val="20"/>
                <w:lang w:val="sr-Cyrl-CS"/>
              </w:rPr>
              <w:t xml:space="preserve">домаћих </w:t>
            </w:r>
            <w:r w:rsidRPr="00092ED7">
              <w:rPr>
                <w:rFonts w:cs="Times New Roman"/>
                <w:color w:val="000000"/>
                <w:sz w:val="20"/>
                <w:szCs w:val="20"/>
                <w:lang w:val="sr-Cyrl-CS"/>
              </w:rPr>
              <w:t>актера стартап екосистема са међународним, са посебним фокусом на менторе и инвеститоре</w:t>
            </w:r>
          </w:p>
        </w:tc>
        <w:tc>
          <w:tcPr>
            <w:tcW w:w="369"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3318D332" w14:textId="77777777" w:rsidR="00D210F0" w:rsidRPr="00092ED7" w:rsidRDefault="00D210F0" w:rsidP="00D210F0">
            <w:pPr>
              <w:spacing w:after="0"/>
              <w:rPr>
                <w:rFonts w:cs="Times New Roman"/>
                <w:color w:val="000000"/>
                <w:sz w:val="20"/>
                <w:szCs w:val="20"/>
                <w:lang w:val="sr-Cyrl-CS"/>
              </w:rPr>
            </w:pPr>
          </w:p>
        </w:tc>
        <w:tc>
          <w:tcPr>
            <w:tcW w:w="370"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A6AFCAE" w14:textId="77777777" w:rsidR="00D210F0" w:rsidRPr="00092ED7" w:rsidRDefault="00D210F0" w:rsidP="00D210F0">
            <w:pPr>
              <w:spacing w:after="0"/>
              <w:rPr>
                <w:rFonts w:cs="Times New Roman"/>
                <w:color w:val="000000"/>
                <w:sz w:val="20"/>
                <w:szCs w:val="20"/>
                <w:lang w:val="sr-Cyrl-CS"/>
              </w:rPr>
            </w:pPr>
          </w:p>
        </w:tc>
        <w:tc>
          <w:tcPr>
            <w:tcW w:w="368"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56C7F0B" w14:textId="77777777" w:rsidR="00D210F0" w:rsidRPr="00092ED7" w:rsidRDefault="00D210F0" w:rsidP="00D210F0">
            <w:pPr>
              <w:spacing w:after="0"/>
              <w:rPr>
                <w:rFonts w:cs="Times New Roman"/>
                <w:color w:val="000000"/>
                <w:sz w:val="20"/>
                <w:szCs w:val="20"/>
                <w:lang w:val="sr-Cyrl-CS"/>
              </w:rPr>
            </w:pPr>
          </w:p>
        </w:tc>
        <w:tc>
          <w:tcPr>
            <w:tcW w:w="370" w:type="dxa"/>
            <w:tcBorders>
              <w:top w:val="single" w:sz="4" w:space="0" w:color="auto"/>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3E52AF0D" w14:textId="77777777" w:rsidR="00D210F0" w:rsidRPr="00092ED7" w:rsidRDefault="00D210F0" w:rsidP="00D210F0">
            <w:pPr>
              <w:spacing w:after="0"/>
              <w:rPr>
                <w:rFonts w:cs="Times New Roman"/>
                <w:color w:val="000000"/>
                <w:sz w:val="20"/>
                <w:szCs w:val="20"/>
                <w:lang w:val="sr-Cyrl-CS"/>
              </w:rPr>
            </w:pPr>
          </w:p>
        </w:tc>
        <w:tc>
          <w:tcPr>
            <w:tcW w:w="368"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05124856" w14:textId="77777777" w:rsidR="00D210F0" w:rsidRPr="00092ED7" w:rsidRDefault="00D210F0" w:rsidP="00D210F0">
            <w:pPr>
              <w:spacing w:after="0"/>
              <w:rPr>
                <w:rFonts w:cs="Times New Roman"/>
                <w:color w:val="000000"/>
                <w:sz w:val="20"/>
                <w:szCs w:val="20"/>
                <w:lang w:val="sr-Cyrl-CS"/>
              </w:rPr>
            </w:pPr>
          </w:p>
        </w:tc>
        <w:tc>
          <w:tcPr>
            <w:tcW w:w="369"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296DD114" w14:textId="77777777" w:rsidR="00D210F0" w:rsidRPr="00092ED7" w:rsidRDefault="00D210F0" w:rsidP="00D210F0">
            <w:pPr>
              <w:spacing w:after="0"/>
              <w:rPr>
                <w:rFonts w:cs="Times New Roman"/>
                <w:color w:val="000000"/>
                <w:sz w:val="20"/>
                <w:szCs w:val="20"/>
                <w:lang w:val="sr-Cyrl-CS"/>
              </w:rPr>
            </w:pPr>
          </w:p>
        </w:tc>
        <w:tc>
          <w:tcPr>
            <w:tcW w:w="369"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4FAAAD4" w14:textId="77777777" w:rsidR="00D210F0" w:rsidRPr="00092ED7" w:rsidRDefault="00D210F0" w:rsidP="00D210F0">
            <w:pPr>
              <w:spacing w:after="0"/>
              <w:rPr>
                <w:rFonts w:cs="Times New Roman"/>
                <w:color w:val="000000"/>
                <w:sz w:val="20"/>
                <w:szCs w:val="20"/>
                <w:lang w:val="sr-Cyrl-CS"/>
              </w:rPr>
            </w:pPr>
          </w:p>
        </w:tc>
        <w:tc>
          <w:tcPr>
            <w:tcW w:w="369" w:type="dxa"/>
            <w:tcBorders>
              <w:top w:val="single" w:sz="4" w:space="0" w:color="auto"/>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4F787A8E" w14:textId="77777777" w:rsidR="00D210F0" w:rsidRPr="00092ED7" w:rsidRDefault="00D210F0" w:rsidP="00D210F0">
            <w:pPr>
              <w:spacing w:after="0"/>
              <w:rPr>
                <w:rFonts w:cs="Times New Roman"/>
                <w:color w:val="000000"/>
                <w:sz w:val="20"/>
                <w:szCs w:val="20"/>
                <w:lang w:val="sr-Cyrl-CS"/>
              </w:rPr>
            </w:pPr>
          </w:p>
        </w:tc>
        <w:tc>
          <w:tcPr>
            <w:tcW w:w="369"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C027705" w14:textId="77777777" w:rsidR="00D210F0" w:rsidRPr="00092ED7" w:rsidRDefault="00D210F0" w:rsidP="00D210F0">
            <w:pPr>
              <w:spacing w:after="0"/>
              <w:rPr>
                <w:rFonts w:cs="Times New Roman"/>
                <w:color w:val="000000"/>
                <w:sz w:val="20"/>
                <w:szCs w:val="20"/>
                <w:lang w:val="sr-Cyrl-CS"/>
              </w:rPr>
            </w:pPr>
          </w:p>
        </w:tc>
        <w:tc>
          <w:tcPr>
            <w:tcW w:w="368"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59CE80F" w14:textId="77777777" w:rsidR="00D210F0" w:rsidRPr="00092ED7" w:rsidRDefault="00D210F0" w:rsidP="00D210F0">
            <w:pPr>
              <w:spacing w:after="0"/>
              <w:rPr>
                <w:rFonts w:cs="Times New Roman"/>
                <w:color w:val="000000"/>
                <w:sz w:val="20"/>
                <w:szCs w:val="20"/>
                <w:lang w:val="sr-Cyrl-CS"/>
              </w:rPr>
            </w:pPr>
          </w:p>
        </w:tc>
        <w:tc>
          <w:tcPr>
            <w:tcW w:w="369"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F7F8135" w14:textId="77777777" w:rsidR="00D210F0" w:rsidRPr="00092ED7" w:rsidRDefault="00D210F0" w:rsidP="00D210F0">
            <w:pPr>
              <w:spacing w:after="0"/>
              <w:rPr>
                <w:rFonts w:cs="Times New Roman"/>
                <w:color w:val="000000"/>
                <w:sz w:val="20"/>
                <w:szCs w:val="20"/>
                <w:lang w:val="sr-Cyrl-CS"/>
              </w:rPr>
            </w:pPr>
          </w:p>
        </w:tc>
        <w:tc>
          <w:tcPr>
            <w:tcW w:w="370" w:type="dxa"/>
            <w:tcBorders>
              <w:top w:val="single" w:sz="4" w:space="0" w:color="auto"/>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698CAE76" w14:textId="77777777" w:rsidR="00D210F0" w:rsidRPr="00092ED7" w:rsidRDefault="00D210F0" w:rsidP="00D210F0">
            <w:pPr>
              <w:spacing w:after="0"/>
              <w:rPr>
                <w:rFonts w:cs="Times New Roman"/>
                <w:color w:val="000000"/>
                <w:sz w:val="18"/>
                <w:szCs w:val="18"/>
                <w:lang w:val="sr-Cyrl-CS"/>
              </w:rPr>
            </w:pPr>
          </w:p>
        </w:tc>
      </w:tr>
      <w:tr w:rsidR="00D210F0" w:rsidRPr="00092ED7" w14:paraId="2D90F825" w14:textId="77777777" w:rsidTr="00943F16">
        <w:trPr>
          <w:trHeight w:val="306"/>
        </w:trPr>
        <w:tc>
          <w:tcPr>
            <w:tcW w:w="421" w:type="dxa"/>
            <w:tcBorders>
              <w:top w:val="nil"/>
              <w:left w:val="single" w:sz="8" w:space="0" w:color="auto"/>
              <w:bottom w:val="single" w:sz="4" w:space="0" w:color="auto"/>
              <w:right w:val="nil"/>
            </w:tcBorders>
            <w:tcMar>
              <w:top w:w="15" w:type="dxa"/>
              <w:left w:w="15" w:type="dxa"/>
              <w:bottom w:w="0" w:type="dxa"/>
              <w:right w:w="15" w:type="dxa"/>
            </w:tcMar>
            <w:hideMark/>
          </w:tcPr>
          <w:p w14:paraId="0CA7686D" w14:textId="77777777" w:rsidR="00D210F0" w:rsidRPr="00092ED7" w:rsidRDefault="00D210F0" w:rsidP="00D210F0">
            <w:pPr>
              <w:spacing w:after="0"/>
              <w:jc w:val="center"/>
              <w:rPr>
                <w:rFonts w:cs="Times New Roman"/>
                <w:sz w:val="20"/>
                <w:szCs w:val="20"/>
                <w:lang w:val="sr-Cyrl-CS"/>
              </w:rPr>
            </w:pPr>
            <w:r w:rsidRPr="00092ED7">
              <w:rPr>
                <w:rFonts w:cs="Times New Roman"/>
                <w:sz w:val="20"/>
                <w:szCs w:val="20"/>
                <w:lang w:val="sr-Cyrl-CS"/>
              </w:rPr>
              <w:t>5.</w:t>
            </w:r>
          </w:p>
        </w:tc>
        <w:tc>
          <w:tcPr>
            <w:tcW w:w="4247" w:type="dxa"/>
            <w:tcBorders>
              <w:top w:val="nil"/>
              <w:left w:val="single" w:sz="8" w:space="0" w:color="auto"/>
              <w:bottom w:val="single" w:sz="4" w:space="0" w:color="auto"/>
              <w:right w:val="nil"/>
            </w:tcBorders>
            <w:tcMar>
              <w:top w:w="15" w:type="dxa"/>
              <w:left w:w="15" w:type="dxa"/>
              <w:bottom w:w="0" w:type="dxa"/>
              <w:right w:w="15" w:type="dxa"/>
            </w:tcMar>
            <w:hideMark/>
          </w:tcPr>
          <w:p w14:paraId="0D5DE54F" w14:textId="77777777" w:rsidR="00D210F0" w:rsidRPr="00092ED7" w:rsidRDefault="00D210F0" w:rsidP="00D210F0">
            <w:pPr>
              <w:spacing w:after="0"/>
              <w:ind w:right="222"/>
              <w:rPr>
                <w:rFonts w:cs="Times New Roman"/>
                <w:sz w:val="20"/>
                <w:szCs w:val="20"/>
                <w:lang w:val="sr-Cyrl-CS"/>
              </w:rPr>
            </w:pPr>
            <w:r w:rsidRPr="00092ED7">
              <w:rPr>
                <w:rFonts w:cs="Times New Roman"/>
                <w:color w:val="000000"/>
                <w:sz w:val="20"/>
                <w:szCs w:val="20"/>
                <w:lang w:val="sr-Cyrl-CS"/>
              </w:rPr>
              <w:t>Оснаживање стартапова за привлачење инвестиција кроз укључивање у програм акцелерације Фонда за иновациону делатност (SAIGE</w:t>
            </w:r>
            <w:r w:rsidR="00C53E50" w:rsidRPr="00092ED7">
              <w:rPr>
                <w:rFonts w:cs="Times New Roman"/>
                <w:color w:val="000000"/>
                <w:sz w:val="20"/>
                <w:szCs w:val="20"/>
                <w:lang w:val="sr-Cyrl-CS"/>
              </w:rPr>
              <w:t xml:space="preserve"> пројекат</w:t>
            </w:r>
            <w:r w:rsidRPr="00092ED7">
              <w:rPr>
                <w:rFonts w:cs="Times New Roman"/>
                <w:color w:val="000000"/>
                <w:sz w:val="20"/>
                <w:szCs w:val="20"/>
                <w:lang w:val="sr-Cyrl-CS"/>
              </w:rPr>
              <w:t>)</w:t>
            </w:r>
          </w:p>
        </w:tc>
        <w:tc>
          <w:tcPr>
            <w:tcW w:w="369" w:type="dxa"/>
            <w:tcBorders>
              <w:top w:val="nil"/>
              <w:left w:val="single" w:sz="8"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632B4A7" w14:textId="77777777" w:rsidR="00D210F0" w:rsidRPr="00092ED7" w:rsidRDefault="00D210F0" w:rsidP="00D210F0">
            <w:pPr>
              <w:spacing w:after="0"/>
              <w:rPr>
                <w:rFonts w:cs="Times New Roman"/>
                <w:color w:val="000000"/>
                <w:sz w:val="20"/>
                <w:szCs w:val="20"/>
                <w:lang w:val="sr-Cyrl-CS"/>
              </w:rPr>
            </w:pPr>
          </w:p>
        </w:tc>
        <w:tc>
          <w:tcPr>
            <w:tcW w:w="370"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2496A45" w14:textId="77777777" w:rsidR="00D210F0" w:rsidRPr="00092ED7" w:rsidRDefault="00D210F0" w:rsidP="00D210F0">
            <w:pPr>
              <w:spacing w:after="0"/>
              <w:rPr>
                <w:rFonts w:cs="Times New Roman"/>
                <w:color w:val="000000"/>
                <w:sz w:val="20"/>
                <w:szCs w:val="20"/>
                <w:lang w:val="sr-Cyrl-CS"/>
              </w:rPr>
            </w:pPr>
          </w:p>
        </w:tc>
        <w:tc>
          <w:tcPr>
            <w:tcW w:w="368"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57EBFB9" w14:textId="77777777" w:rsidR="00D210F0" w:rsidRPr="00092ED7" w:rsidRDefault="00D210F0" w:rsidP="00D210F0">
            <w:pPr>
              <w:spacing w:after="0"/>
              <w:rPr>
                <w:rFonts w:cs="Times New Roman"/>
                <w:color w:val="000000"/>
                <w:sz w:val="20"/>
                <w:szCs w:val="20"/>
                <w:lang w:val="sr-Cyrl-CS"/>
              </w:rPr>
            </w:pPr>
          </w:p>
        </w:tc>
        <w:tc>
          <w:tcPr>
            <w:tcW w:w="370"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3A8DC9D7" w14:textId="77777777" w:rsidR="00D210F0" w:rsidRPr="00092ED7" w:rsidRDefault="00D210F0" w:rsidP="00D210F0">
            <w:pPr>
              <w:spacing w:after="0"/>
              <w:rPr>
                <w:rFonts w:cs="Times New Roman"/>
                <w:color w:val="000000"/>
                <w:sz w:val="20"/>
                <w:szCs w:val="20"/>
                <w:lang w:val="sr-Cyrl-CS"/>
              </w:rPr>
            </w:pPr>
          </w:p>
        </w:tc>
        <w:tc>
          <w:tcPr>
            <w:tcW w:w="368"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C850855" w14:textId="77777777" w:rsidR="00D210F0" w:rsidRPr="00092ED7" w:rsidRDefault="00D210F0" w:rsidP="00D210F0">
            <w:pPr>
              <w:spacing w:after="0"/>
              <w:rPr>
                <w:rFonts w:cs="Times New Roman"/>
                <w:color w:val="000000"/>
                <w:sz w:val="20"/>
                <w:szCs w:val="20"/>
                <w:lang w:val="sr-Cyrl-CS"/>
              </w:rPr>
            </w:pPr>
          </w:p>
        </w:tc>
        <w:tc>
          <w:tcPr>
            <w:tcW w:w="369"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69D8CCE" w14:textId="77777777" w:rsidR="00D210F0" w:rsidRPr="00092ED7" w:rsidRDefault="00D210F0" w:rsidP="00D210F0">
            <w:pPr>
              <w:spacing w:after="0"/>
              <w:rPr>
                <w:rFonts w:cs="Times New Roman"/>
                <w:color w:val="000000"/>
                <w:sz w:val="20"/>
                <w:szCs w:val="20"/>
                <w:lang w:val="sr-Cyrl-CS"/>
              </w:rPr>
            </w:pPr>
          </w:p>
        </w:tc>
        <w:tc>
          <w:tcPr>
            <w:tcW w:w="369"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252F9247" w14:textId="77777777" w:rsidR="00D210F0" w:rsidRPr="00092ED7" w:rsidRDefault="00D210F0" w:rsidP="00D210F0">
            <w:pPr>
              <w:spacing w:after="0"/>
              <w:rPr>
                <w:rFonts w:cs="Times New Roman"/>
                <w:color w:val="000000"/>
                <w:sz w:val="20"/>
                <w:szCs w:val="20"/>
                <w:lang w:val="sr-Cyrl-CS"/>
              </w:rPr>
            </w:pPr>
          </w:p>
        </w:tc>
        <w:tc>
          <w:tcPr>
            <w:tcW w:w="369"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2D0B86A9" w14:textId="77777777" w:rsidR="00D210F0" w:rsidRPr="00092ED7" w:rsidRDefault="00D210F0" w:rsidP="00D210F0">
            <w:pPr>
              <w:spacing w:after="0"/>
              <w:rPr>
                <w:rFonts w:cs="Times New Roman"/>
                <w:color w:val="000000"/>
                <w:sz w:val="20"/>
                <w:szCs w:val="20"/>
                <w:lang w:val="sr-Cyrl-CS"/>
              </w:rPr>
            </w:pPr>
          </w:p>
        </w:tc>
        <w:tc>
          <w:tcPr>
            <w:tcW w:w="369" w:type="dxa"/>
            <w:tcBorders>
              <w:top w:val="nil"/>
              <w:left w:val="nil"/>
              <w:bottom w:val="single" w:sz="4" w:space="0" w:color="auto"/>
              <w:right w:val="single" w:sz="4" w:space="0" w:color="auto"/>
            </w:tcBorders>
            <w:tcMar>
              <w:top w:w="15" w:type="dxa"/>
              <w:left w:w="15" w:type="dxa"/>
              <w:bottom w:w="0" w:type="dxa"/>
              <w:right w:w="15" w:type="dxa"/>
            </w:tcMar>
          </w:tcPr>
          <w:p w14:paraId="2E39C535" w14:textId="77777777" w:rsidR="00D210F0" w:rsidRPr="00092ED7" w:rsidRDefault="00D210F0" w:rsidP="00D210F0">
            <w:pPr>
              <w:spacing w:after="0"/>
              <w:rPr>
                <w:rFonts w:cs="Times New Roman"/>
                <w:color w:val="000000"/>
                <w:sz w:val="20"/>
                <w:szCs w:val="20"/>
                <w:lang w:val="sr-Cyrl-CS"/>
              </w:rPr>
            </w:pPr>
          </w:p>
        </w:tc>
        <w:tc>
          <w:tcPr>
            <w:tcW w:w="368" w:type="dxa"/>
            <w:tcBorders>
              <w:top w:val="nil"/>
              <w:left w:val="nil"/>
              <w:bottom w:val="single" w:sz="4" w:space="0" w:color="auto"/>
              <w:right w:val="single" w:sz="4" w:space="0" w:color="auto"/>
            </w:tcBorders>
            <w:tcMar>
              <w:top w:w="15" w:type="dxa"/>
              <w:left w:w="15" w:type="dxa"/>
              <w:bottom w:w="0" w:type="dxa"/>
              <w:right w:w="15" w:type="dxa"/>
            </w:tcMar>
          </w:tcPr>
          <w:p w14:paraId="794F447D" w14:textId="77777777" w:rsidR="00D210F0" w:rsidRPr="00092ED7" w:rsidRDefault="00D210F0" w:rsidP="00D210F0">
            <w:pPr>
              <w:spacing w:after="0"/>
              <w:rPr>
                <w:rFonts w:cs="Times New Roman"/>
                <w:color w:val="000000"/>
                <w:sz w:val="20"/>
                <w:szCs w:val="20"/>
                <w:lang w:val="sr-Cyrl-CS"/>
              </w:rPr>
            </w:pPr>
          </w:p>
        </w:tc>
        <w:tc>
          <w:tcPr>
            <w:tcW w:w="369" w:type="dxa"/>
            <w:tcBorders>
              <w:top w:val="nil"/>
              <w:left w:val="nil"/>
              <w:bottom w:val="single" w:sz="4" w:space="0" w:color="auto"/>
              <w:right w:val="single" w:sz="4" w:space="0" w:color="auto"/>
            </w:tcBorders>
            <w:tcMar>
              <w:top w:w="15" w:type="dxa"/>
              <w:left w:w="15" w:type="dxa"/>
              <w:bottom w:w="0" w:type="dxa"/>
              <w:right w:w="15" w:type="dxa"/>
            </w:tcMar>
          </w:tcPr>
          <w:p w14:paraId="71035F20" w14:textId="77777777" w:rsidR="00D210F0" w:rsidRPr="00092ED7" w:rsidRDefault="00D210F0" w:rsidP="00D210F0">
            <w:pPr>
              <w:spacing w:after="0"/>
              <w:rPr>
                <w:rFonts w:cs="Times New Roman"/>
                <w:color w:val="000000"/>
                <w:sz w:val="20"/>
                <w:szCs w:val="20"/>
                <w:lang w:val="sr-Cyrl-CS"/>
              </w:rPr>
            </w:pPr>
          </w:p>
        </w:tc>
        <w:tc>
          <w:tcPr>
            <w:tcW w:w="370" w:type="dxa"/>
            <w:tcBorders>
              <w:top w:val="nil"/>
              <w:left w:val="nil"/>
              <w:bottom w:val="single" w:sz="4" w:space="0" w:color="auto"/>
              <w:right w:val="single" w:sz="8" w:space="0" w:color="auto"/>
            </w:tcBorders>
            <w:tcMar>
              <w:top w:w="15" w:type="dxa"/>
              <w:left w:w="15" w:type="dxa"/>
              <w:bottom w:w="0" w:type="dxa"/>
              <w:right w:w="15" w:type="dxa"/>
            </w:tcMar>
          </w:tcPr>
          <w:p w14:paraId="2965483C" w14:textId="77777777" w:rsidR="00D210F0" w:rsidRPr="00092ED7" w:rsidRDefault="00D210F0" w:rsidP="00D210F0">
            <w:pPr>
              <w:spacing w:after="0"/>
              <w:rPr>
                <w:rFonts w:cs="Times New Roman"/>
                <w:color w:val="000000"/>
                <w:sz w:val="18"/>
                <w:szCs w:val="18"/>
                <w:lang w:val="sr-Cyrl-CS"/>
              </w:rPr>
            </w:pPr>
          </w:p>
        </w:tc>
      </w:tr>
      <w:tr w:rsidR="00D210F0" w:rsidRPr="00092ED7" w14:paraId="433E8081" w14:textId="77777777" w:rsidTr="00943F16">
        <w:trPr>
          <w:trHeight w:val="306"/>
        </w:trPr>
        <w:tc>
          <w:tcPr>
            <w:tcW w:w="421" w:type="dxa"/>
            <w:tcBorders>
              <w:top w:val="single" w:sz="4" w:space="0" w:color="auto"/>
              <w:left w:val="single" w:sz="8" w:space="0" w:color="auto"/>
              <w:bottom w:val="single" w:sz="4" w:space="0" w:color="auto"/>
              <w:right w:val="nil"/>
            </w:tcBorders>
            <w:tcMar>
              <w:top w:w="15" w:type="dxa"/>
              <w:left w:w="15" w:type="dxa"/>
              <w:bottom w:w="0" w:type="dxa"/>
              <w:right w:w="15" w:type="dxa"/>
            </w:tcMar>
            <w:hideMark/>
          </w:tcPr>
          <w:p w14:paraId="2D8C6ED2" w14:textId="77777777" w:rsidR="00D210F0" w:rsidRPr="00092ED7" w:rsidRDefault="00D210F0" w:rsidP="00D210F0">
            <w:pPr>
              <w:spacing w:after="0"/>
              <w:jc w:val="center"/>
              <w:rPr>
                <w:rFonts w:cs="Times New Roman"/>
                <w:sz w:val="20"/>
                <w:szCs w:val="20"/>
                <w:lang w:val="sr-Cyrl-CS"/>
              </w:rPr>
            </w:pPr>
            <w:r w:rsidRPr="00092ED7">
              <w:rPr>
                <w:rFonts w:cs="Times New Roman"/>
                <w:sz w:val="20"/>
                <w:szCs w:val="20"/>
                <w:lang w:val="sr-Cyrl-CS"/>
              </w:rPr>
              <w:t>6.</w:t>
            </w:r>
          </w:p>
        </w:tc>
        <w:tc>
          <w:tcPr>
            <w:tcW w:w="4247" w:type="dxa"/>
            <w:tcBorders>
              <w:top w:val="single" w:sz="4" w:space="0" w:color="auto"/>
              <w:left w:val="single" w:sz="8" w:space="0" w:color="auto"/>
              <w:bottom w:val="single" w:sz="4" w:space="0" w:color="auto"/>
              <w:right w:val="nil"/>
            </w:tcBorders>
            <w:tcMar>
              <w:top w:w="15" w:type="dxa"/>
              <w:left w:w="15" w:type="dxa"/>
              <w:bottom w:w="0" w:type="dxa"/>
              <w:right w:w="15" w:type="dxa"/>
            </w:tcMar>
            <w:hideMark/>
          </w:tcPr>
          <w:p w14:paraId="7F843DC9" w14:textId="77777777" w:rsidR="00D210F0" w:rsidRPr="00092ED7" w:rsidRDefault="00D210F0" w:rsidP="00D210F0">
            <w:pPr>
              <w:spacing w:after="0"/>
              <w:ind w:right="222"/>
              <w:rPr>
                <w:rFonts w:cs="Times New Roman"/>
                <w:sz w:val="20"/>
                <w:szCs w:val="20"/>
                <w:lang w:val="sr-Cyrl-CS"/>
              </w:rPr>
            </w:pPr>
            <w:r w:rsidRPr="00092ED7">
              <w:rPr>
                <w:rFonts w:cs="Times New Roman"/>
                <w:sz w:val="20"/>
                <w:szCs w:val="20"/>
                <w:lang w:val="sr-Cyrl-CS"/>
              </w:rPr>
              <w:t>Развој екосистема за стартапе у области биотехнологије</w:t>
            </w:r>
          </w:p>
        </w:tc>
        <w:tc>
          <w:tcPr>
            <w:tcW w:w="369" w:type="dxa"/>
            <w:tcBorders>
              <w:top w:val="single" w:sz="4" w:space="0" w:color="auto"/>
              <w:left w:val="single" w:sz="8"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0F433D83" w14:textId="77777777" w:rsidR="00D210F0" w:rsidRPr="00092ED7" w:rsidRDefault="00D210F0" w:rsidP="00D210F0">
            <w:pPr>
              <w:spacing w:after="0"/>
              <w:rPr>
                <w:rFonts w:cs="Times New Roman"/>
                <w:color w:val="000000"/>
                <w:sz w:val="20"/>
                <w:szCs w:val="20"/>
                <w:lang w:val="sr-Cyrl-CS"/>
              </w:rPr>
            </w:pPr>
          </w:p>
        </w:tc>
        <w:tc>
          <w:tcPr>
            <w:tcW w:w="370"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219B76E0" w14:textId="77777777" w:rsidR="00D210F0" w:rsidRPr="00092ED7" w:rsidRDefault="00D210F0" w:rsidP="00D210F0">
            <w:pPr>
              <w:spacing w:after="0"/>
              <w:rPr>
                <w:rFonts w:cs="Times New Roman"/>
                <w:color w:val="000000"/>
                <w:sz w:val="20"/>
                <w:szCs w:val="20"/>
                <w:lang w:val="sr-Cyrl-CS"/>
              </w:rPr>
            </w:pPr>
          </w:p>
        </w:tc>
        <w:tc>
          <w:tcPr>
            <w:tcW w:w="368"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42C3043" w14:textId="77777777" w:rsidR="00D210F0" w:rsidRPr="00092ED7" w:rsidRDefault="00D210F0" w:rsidP="00D210F0">
            <w:pPr>
              <w:spacing w:after="0"/>
              <w:rPr>
                <w:rFonts w:cs="Times New Roman"/>
                <w:color w:val="000000"/>
                <w:sz w:val="20"/>
                <w:szCs w:val="20"/>
                <w:lang w:val="sr-Cyrl-CS"/>
              </w:rPr>
            </w:pPr>
          </w:p>
        </w:tc>
        <w:tc>
          <w:tcPr>
            <w:tcW w:w="370" w:type="dxa"/>
            <w:tcBorders>
              <w:top w:val="single" w:sz="4" w:space="0" w:color="auto"/>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0E445FB9" w14:textId="77777777" w:rsidR="00D210F0" w:rsidRPr="00092ED7" w:rsidRDefault="00D210F0" w:rsidP="00D210F0">
            <w:pPr>
              <w:spacing w:after="0"/>
              <w:rPr>
                <w:rFonts w:cs="Times New Roman"/>
                <w:color w:val="000000"/>
                <w:sz w:val="20"/>
                <w:szCs w:val="20"/>
                <w:lang w:val="sr-Cyrl-CS"/>
              </w:rPr>
            </w:pPr>
          </w:p>
        </w:tc>
        <w:tc>
          <w:tcPr>
            <w:tcW w:w="368"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018E677" w14:textId="77777777" w:rsidR="00D210F0" w:rsidRPr="00092ED7" w:rsidRDefault="00D210F0" w:rsidP="00D210F0">
            <w:pPr>
              <w:spacing w:after="0"/>
              <w:rPr>
                <w:rFonts w:cs="Times New Roman"/>
                <w:color w:val="000000"/>
                <w:sz w:val="20"/>
                <w:szCs w:val="20"/>
                <w:lang w:val="sr-Cyrl-CS"/>
              </w:rPr>
            </w:pPr>
          </w:p>
        </w:tc>
        <w:tc>
          <w:tcPr>
            <w:tcW w:w="369"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064E4E28" w14:textId="77777777" w:rsidR="00D210F0" w:rsidRPr="00092ED7" w:rsidRDefault="00D210F0" w:rsidP="00D210F0">
            <w:pPr>
              <w:spacing w:after="0"/>
              <w:rPr>
                <w:rFonts w:cs="Times New Roman"/>
                <w:color w:val="000000"/>
                <w:sz w:val="20"/>
                <w:szCs w:val="20"/>
                <w:lang w:val="sr-Cyrl-CS"/>
              </w:rPr>
            </w:pPr>
          </w:p>
        </w:tc>
        <w:tc>
          <w:tcPr>
            <w:tcW w:w="369"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05190FCE" w14:textId="77777777" w:rsidR="00D210F0" w:rsidRPr="00092ED7" w:rsidRDefault="00D210F0" w:rsidP="00D210F0">
            <w:pPr>
              <w:spacing w:after="0"/>
              <w:rPr>
                <w:rFonts w:cs="Times New Roman"/>
                <w:color w:val="000000"/>
                <w:sz w:val="20"/>
                <w:szCs w:val="20"/>
                <w:lang w:val="sr-Cyrl-CS"/>
              </w:rPr>
            </w:pPr>
          </w:p>
        </w:tc>
        <w:tc>
          <w:tcPr>
            <w:tcW w:w="369" w:type="dxa"/>
            <w:tcBorders>
              <w:top w:val="single" w:sz="4" w:space="0" w:color="auto"/>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2D7FF8F3" w14:textId="77777777" w:rsidR="00D210F0" w:rsidRPr="00092ED7" w:rsidRDefault="00D210F0" w:rsidP="00D210F0">
            <w:pPr>
              <w:spacing w:after="0"/>
              <w:rPr>
                <w:rFonts w:cs="Times New Roman"/>
                <w:color w:val="000000"/>
                <w:sz w:val="20"/>
                <w:szCs w:val="20"/>
                <w:lang w:val="sr-Cyrl-CS"/>
              </w:rPr>
            </w:pPr>
          </w:p>
        </w:tc>
        <w:tc>
          <w:tcPr>
            <w:tcW w:w="369"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217E5513" w14:textId="77777777" w:rsidR="00D210F0" w:rsidRPr="00092ED7" w:rsidRDefault="00D210F0" w:rsidP="00D210F0">
            <w:pPr>
              <w:spacing w:after="0"/>
              <w:rPr>
                <w:rFonts w:cs="Times New Roman"/>
                <w:color w:val="000000"/>
                <w:sz w:val="20"/>
                <w:szCs w:val="20"/>
                <w:lang w:val="sr-Cyrl-CS"/>
              </w:rPr>
            </w:pPr>
          </w:p>
        </w:tc>
        <w:tc>
          <w:tcPr>
            <w:tcW w:w="368"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069288BB" w14:textId="77777777" w:rsidR="00D210F0" w:rsidRPr="00092ED7" w:rsidRDefault="00D210F0" w:rsidP="00D210F0">
            <w:pPr>
              <w:spacing w:after="0"/>
              <w:rPr>
                <w:rFonts w:cs="Times New Roman"/>
                <w:color w:val="000000"/>
                <w:sz w:val="20"/>
                <w:szCs w:val="20"/>
                <w:lang w:val="sr-Cyrl-CS"/>
              </w:rPr>
            </w:pPr>
          </w:p>
        </w:tc>
        <w:tc>
          <w:tcPr>
            <w:tcW w:w="369"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3E9424B5" w14:textId="77777777" w:rsidR="00D210F0" w:rsidRPr="00092ED7" w:rsidRDefault="00D210F0" w:rsidP="00D210F0">
            <w:pPr>
              <w:spacing w:after="0"/>
              <w:rPr>
                <w:rFonts w:cs="Times New Roman"/>
                <w:color w:val="000000"/>
                <w:sz w:val="20"/>
                <w:szCs w:val="20"/>
                <w:lang w:val="sr-Cyrl-CS"/>
              </w:rPr>
            </w:pPr>
          </w:p>
        </w:tc>
        <w:tc>
          <w:tcPr>
            <w:tcW w:w="370" w:type="dxa"/>
            <w:tcBorders>
              <w:top w:val="single" w:sz="4" w:space="0" w:color="auto"/>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54510520" w14:textId="77777777" w:rsidR="00D210F0" w:rsidRPr="00092ED7" w:rsidRDefault="00D210F0" w:rsidP="00D210F0">
            <w:pPr>
              <w:spacing w:after="0"/>
              <w:rPr>
                <w:rFonts w:cs="Times New Roman"/>
                <w:color w:val="000000"/>
                <w:sz w:val="18"/>
                <w:szCs w:val="18"/>
                <w:lang w:val="sr-Cyrl-CS"/>
              </w:rPr>
            </w:pPr>
          </w:p>
        </w:tc>
      </w:tr>
    </w:tbl>
    <w:p w14:paraId="4FD4B392" w14:textId="77777777" w:rsidR="00D210F0" w:rsidRPr="00092ED7" w:rsidRDefault="00D210F0" w:rsidP="00071952">
      <w:pPr>
        <w:widowControl w:val="0"/>
        <w:numPr>
          <w:ilvl w:val="0"/>
          <w:numId w:val="32"/>
        </w:numPr>
        <w:spacing w:before="120"/>
        <w:ind w:left="425" w:hanging="425"/>
        <w:rPr>
          <w:rFonts w:cs="Times New Roman"/>
          <w:b/>
          <w:bCs/>
          <w:szCs w:val="24"/>
          <w:lang w:val="sr-Cyrl-CS"/>
        </w:rPr>
      </w:pPr>
      <w:r w:rsidRPr="00092ED7">
        <w:rPr>
          <w:rFonts w:cs="Times New Roman"/>
          <w:b/>
          <w:bCs/>
          <w:szCs w:val="24"/>
          <w:lang w:val="sr-Cyrl-CS"/>
        </w:rPr>
        <w:lastRenderedPageBreak/>
        <w:t>Индикатори ризика</w:t>
      </w:r>
    </w:p>
    <w:tbl>
      <w:tblPr>
        <w:tblStyle w:val="TableGrid"/>
        <w:tblW w:w="8982" w:type="dxa"/>
        <w:tblInd w:w="85" w:type="dxa"/>
        <w:tblLayout w:type="fixed"/>
        <w:tblLook w:val="04A0" w:firstRow="1" w:lastRow="0" w:firstColumn="1" w:lastColumn="0" w:noHBand="0" w:noVBand="1"/>
      </w:tblPr>
      <w:tblGrid>
        <w:gridCol w:w="3685"/>
        <w:gridCol w:w="1765"/>
        <w:gridCol w:w="1766"/>
        <w:gridCol w:w="1766"/>
      </w:tblGrid>
      <w:tr w:rsidR="00D210F0" w:rsidRPr="00092ED7" w14:paraId="49DCDE90" w14:textId="77777777" w:rsidTr="00B57FE8">
        <w:trPr>
          <w:cnfStyle w:val="100000000000" w:firstRow="1" w:lastRow="0" w:firstColumn="0" w:lastColumn="0" w:oddVBand="0" w:evenVBand="0" w:oddHBand="0" w:evenHBand="0" w:firstRowFirstColumn="0" w:firstRowLastColumn="0" w:lastRowFirstColumn="0" w:lastRowLastColumn="0"/>
          <w:trHeight w:val="378"/>
        </w:trPr>
        <w:tc>
          <w:tcPr>
            <w:tcW w:w="3685" w:type="dxa"/>
            <w:tcBorders>
              <w:top w:val="single" w:sz="4" w:space="0" w:color="auto"/>
              <w:left w:val="single" w:sz="4" w:space="0" w:color="auto"/>
              <w:bottom w:val="single" w:sz="4" w:space="0" w:color="auto"/>
              <w:right w:val="single" w:sz="4" w:space="0" w:color="auto"/>
            </w:tcBorders>
          </w:tcPr>
          <w:p w14:paraId="2DF9D8A8" w14:textId="77777777" w:rsidR="00D210F0" w:rsidRPr="00092ED7" w:rsidRDefault="00D210F0" w:rsidP="00B57FE8">
            <w:pPr>
              <w:spacing w:before="0" w:after="0"/>
              <w:ind w:left="113" w:right="113"/>
              <w:jc w:val="center"/>
              <w:rPr>
                <w:sz w:val="20"/>
                <w:lang w:val="sr-Cyrl-CS"/>
              </w:rPr>
            </w:pPr>
            <w:r w:rsidRPr="00092ED7">
              <w:rPr>
                <w:rFonts w:cs="Times New Roman"/>
                <w:sz w:val="20"/>
                <w:lang w:val="sr-Cyrl-CS"/>
              </w:rPr>
              <w:t>Показатељ</w:t>
            </w:r>
          </w:p>
        </w:tc>
        <w:tc>
          <w:tcPr>
            <w:tcW w:w="1765" w:type="dxa"/>
            <w:tcBorders>
              <w:top w:val="single" w:sz="4" w:space="0" w:color="auto"/>
              <w:left w:val="single" w:sz="4" w:space="0" w:color="auto"/>
              <w:bottom w:val="single" w:sz="4" w:space="0" w:color="auto"/>
              <w:right w:val="single" w:sz="4" w:space="0" w:color="auto"/>
            </w:tcBorders>
          </w:tcPr>
          <w:p w14:paraId="64F97F18" w14:textId="77777777" w:rsidR="00D210F0" w:rsidRPr="00092ED7" w:rsidRDefault="00D210F0" w:rsidP="00B57FE8">
            <w:pPr>
              <w:spacing w:before="0" w:after="0"/>
              <w:ind w:left="113" w:right="113"/>
              <w:jc w:val="center"/>
              <w:rPr>
                <w:sz w:val="20"/>
                <w:lang w:val="sr-Cyrl-CS"/>
              </w:rPr>
            </w:pPr>
            <w:r w:rsidRPr="00092ED7">
              <w:rPr>
                <w:rFonts w:cs="Times New Roman"/>
                <w:sz w:val="20"/>
                <w:lang w:val="sr-Cyrl-CS"/>
              </w:rPr>
              <w:t>Почетна вредност</w:t>
            </w:r>
          </w:p>
        </w:tc>
        <w:tc>
          <w:tcPr>
            <w:tcW w:w="1766" w:type="dxa"/>
            <w:tcBorders>
              <w:top w:val="single" w:sz="4" w:space="0" w:color="auto"/>
              <w:left w:val="single" w:sz="4" w:space="0" w:color="auto"/>
              <w:bottom w:val="single" w:sz="4" w:space="0" w:color="auto"/>
              <w:right w:val="single" w:sz="4" w:space="0" w:color="auto"/>
            </w:tcBorders>
          </w:tcPr>
          <w:p w14:paraId="528DA24B" w14:textId="77777777" w:rsidR="00D210F0" w:rsidRPr="00092ED7" w:rsidRDefault="00D210F0" w:rsidP="00B57FE8">
            <w:pPr>
              <w:spacing w:before="0" w:after="0"/>
              <w:ind w:left="113" w:right="113"/>
              <w:jc w:val="center"/>
              <w:rPr>
                <w:sz w:val="20"/>
                <w:lang w:val="sr-Cyrl-CS"/>
              </w:rPr>
            </w:pPr>
            <w:r w:rsidRPr="00092ED7">
              <w:rPr>
                <w:rFonts w:cs="Times New Roman"/>
                <w:sz w:val="20"/>
                <w:lang w:val="sr-Cyrl-CS"/>
              </w:rPr>
              <w:t>Међурезултат</w:t>
            </w:r>
          </w:p>
        </w:tc>
        <w:tc>
          <w:tcPr>
            <w:tcW w:w="1766" w:type="dxa"/>
            <w:tcBorders>
              <w:top w:val="single" w:sz="4" w:space="0" w:color="auto"/>
              <w:left w:val="single" w:sz="4" w:space="0" w:color="auto"/>
              <w:bottom w:val="single" w:sz="4" w:space="0" w:color="auto"/>
              <w:right w:val="single" w:sz="4" w:space="0" w:color="auto"/>
            </w:tcBorders>
          </w:tcPr>
          <w:p w14:paraId="1E980AA3" w14:textId="77777777" w:rsidR="00D210F0" w:rsidRPr="00092ED7" w:rsidRDefault="00D210F0" w:rsidP="00B57FE8">
            <w:pPr>
              <w:spacing w:before="0" w:after="0"/>
              <w:ind w:left="113" w:right="113"/>
              <w:jc w:val="center"/>
              <w:rPr>
                <w:sz w:val="20"/>
                <w:lang w:val="sr-Cyrl-CS"/>
              </w:rPr>
            </w:pPr>
            <w:r w:rsidRPr="00092ED7">
              <w:rPr>
                <w:rFonts w:cs="Times New Roman"/>
                <w:sz w:val="20"/>
                <w:lang w:val="sr-Cyrl-CS"/>
              </w:rPr>
              <w:t>Циљна вредност</w:t>
            </w:r>
          </w:p>
        </w:tc>
      </w:tr>
      <w:tr w:rsidR="00D210F0" w:rsidRPr="00092ED7" w14:paraId="579D6810" w14:textId="77777777" w:rsidTr="00B57FE8">
        <w:tc>
          <w:tcPr>
            <w:tcW w:w="3685" w:type="dxa"/>
            <w:tcBorders>
              <w:top w:val="single" w:sz="4" w:space="0" w:color="auto"/>
              <w:left w:val="single" w:sz="4" w:space="0" w:color="auto"/>
              <w:bottom w:val="single" w:sz="4" w:space="0" w:color="auto"/>
              <w:right w:val="single" w:sz="4" w:space="0" w:color="auto"/>
            </w:tcBorders>
          </w:tcPr>
          <w:p w14:paraId="395321DD" w14:textId="77777777" w:rsidR="00D210F0" w:rsidRPr="00092ED7" w:rsidRDefault="00D210F0" w:rsidP="00B57FE8">
            <w:pPr>
              <w:spacing w:before="0" w:after="0"/>
              <w:ind w:left="113" w:right="113"/>
              <w:rPr>
                <w:sz w:val="20"/>
                <w:lang w:val="sr-Cyrl-CS"/>
              </w:rPr>
            </w:pPr>
            <w:r w:rsidRPr="00092ED7">
              <w:rPr>
                <w:rFonts w:eastAsia="Times New Roman" w:cs="Times New Roman"/>
                <w:sz w:val="20"/>
                <w:lang w:val="sr-Cyrl-CS"/>
              </w:rPr>
              <w:t>Број стартапа који су регистровани кроз новоосновани Регистар</w:t>
            </w:r>
          </w:p>
        </w:tc>
        <w:tc>
          <w:tcPr>
            <w:tcW w:w="1765" w:type="dxa"/>
            <w:tcBorders>
              <w:top w:val="single" w:sz="4" w:space="0" w:color="auto"/>
              <w:left w:val="single" w:sz="4" w:space="0" w:color="auto"/>
              <w:bottom w:val="single" w:sz="4" w:space="0" w:color="auto"/>
              <w:right w:val="single" w:sz="4" w:space="0" w:color="auto"/>
            </w:tcBorders>
            <w:hideMark/>
          </w:tcPr>
          <w:p w14:paraId="4546F62C" w14:textId="77777777" w:rsidR="00D210F0" w:rsidRPr="00092ED7" w:rsidRDefault="00D210F0" w:rsidP="00B57FE8">
            <w:pPr>
              <w:spacing w:before="0" w:after="0"/>
              <w:ind w:left="113" w:right="113"/>
              <w:jc w:val="center"/>
              <w:rPr>
                <w:rFonts w:cs="Times New Roman"/>
                <w:b/>
                <w:sz w:val="20"/>
                <w:lang w:val="sr-Cyrl-CS"/>
              </w:rPr>
            </w:pPr>
            <w:r w:rsidRPr="00092ED7">
              <w:rPr>
                <w:rFonts w:eastAsia="Times New Roman" w:cs="Times New Roman"/>
                <w:sz w:val="20"/>
                <w:lang w:val="sr-Cyrl-CS"/>
              </w:rPr>
              <w:t>0 (</w:t>
            </w:r>
            <w:r w:rsidR="00A84662" w:rsidRPr="00092ED7">
              <w:rPr>
                <w:rFonts w:eastAsia="Times New Roman" w:cs="Times New Roman"/>
                <w:sz w:val="20"/>
                <w:lang w:val="sr-Cyrl-CS"/>
              </w:rPr>
              <w:t>2020</w:t>
            </w:r>
            <w:r w:rsidRPr="00092ED7">
              <w:rPr>
                <w:rFonts w:eastAsia="Times New Roman" w:cs="Times New Roman"/>
                <w:sz w:val="20"/>
                <w:lang w:val="sr-Cyrl-CS"/>
              </w:rPr>
              <w:t>)</w:t>
            </w:r>
          </w:p>
        </w:tc>
        <w:tc>
          <w:tcPr>
            <w:tcW w:w="1766" w:type="dxa"/>
            <w:tcBorders>
              <w:top w:val="single" w:sz="4" w:space="0" w:color="auto"/>
              <w:left w:val="single" w:sz="4" w:space="0" w:color="auto"/>
              <w:bottom w:val="single" w:sz="4" w:space="0" w:color="auto"/>
              <w:right w:val="single" w:sz="4" w:space="0" w:color="auto"/>
            </w:tcBorders>
            <w:hideMark/>
          </w:tcPr>
          <w:p w14:paraId="4E5EDC7C" w14:textId="77777777" w:rsidR="00D210F0" w:rsidRPr="00092ED7" w:rsidRDefault="00D210F0" w:rsidP="00B57FE8">
            <w:pPr>
              <w:spacing w:before="0" w:after="0"/>
              <w:ind w:left="113" w:right="113"/>
              <w:jc w:val="center"/>
              <w:rPr>
                <w:rFonts w:cs="Times New Roman"/>
                <w:b/>
                <w:sz w:val="20"/>
                <w:lang w:val="sr-Cyrl-CS"/>
              </w:rPr>
            </w:pPr>
            <w:r w:rsidRPr="00092ED7">
              <w:rPr>
                <w:rFonts w:eastAsia="Times New Roman" w:cs="Times New Roman"/>
                <w:sz w:val="20"/>
                <w:lang w:val="sr-Cyrl-CS"/>
              </w:rPr>
              <w:t>300 (2023)</w:t>
            </w:r>
          </w:p>
        </w:tc>
        <w:tc>
          <w:tcPr>
            <w:tcW w:w="1766" w:type="dxa"/>
            <w:tcBorders>
              <w:top w:val="single" w:sz="4" w:space="0" w:color="auto"/>
              <w:left w:val="single" w:sz="4" w:space="0" w:color="auto"/>
              <w:bottom w:val="single" w:sz="4" w:space="0" w:color="auto"/>
              <w:right w:val="single" w:sz="4" w:space="0" w:color="auto"/>
            </w:tcBorders>
            <w:hideMark/>
          </w:tcPr>
          <w:p w14:paraId="283D6D78" w14:textId="77777777" w:rsidR="00D210F0" w:rsidRPr="00092ED7" w:rsidRDefault="00D210F0" w:rsidP="00B57FE8">
            <w:pPr>
              <w:spacing w:before="0" w:after="0"/>
              <w:ind w:left="113" w:right="113"/>
              <w:jc w:val="center"/>
              <w:rPr>
                <w:rFonts w:cs="Times New Roman"/>
                <w:b/>
                <w:sz w:val="20"/>
                <w:lang w:val="sr-Cyrl-CS"/>
              </w:rPr>
            </w:pPr>
            <w:r w:rsidRPr="00092ED7">
              <w:rPr>
                <w:rFonts w:eastAsia="Times New Roman" w:cs="Times New Roman"/>
                <w:sz w:val="20"/>
                <w:lang w:val="sr-Cyrl-CS"/>
              </w:rPr>
              <w:t>700 (2025)</w:t>
            </w:r>
          </w:p>
        </w:tc>
      </w:tr>
      <w:tr w:rsidR="00D210F0" w:rsidRPr="00092ED7" w14:paraId="4BB27EB8" w14:textId="77777777" w:rsidTr="00B57FE8">
        <w:tc>
          <w:tcPr>
            <w:tcW w:w="3685" w:type="dxa"/>
            <w:tcBorders>
              <w:top w:val="single" w:sz="4" w:space="0" w:color="auto"/>
              <w:left w:val="single" w:sz="4" w:space="0" w:color="auto"/>
              <w:bottom w:val="single" w:sz="4" w:space="0" w:color="auto"/>
              <w:right w:val="single" w:sz="4" w:space="0" w:color="auto"/>
            </w:tcBorders>
            <w:hideMark/>
          </w:tcPr>
          <w:p w14:paraId="4CAE14FD" w14:textId="07BC3168" w:rsidR="00D210F0" w:rsidRPr="00092ED7" w:rsidRDefault="00D210F0" w:rsidP="00B57FE8">
            <w:pPr>
              <w:spacing w:before="0" w:after="0"/>
              <w:ind w:left="113" w:right="113"/>
              <w:rPr>
                <w:sz w:val="20"/>
                <w:lang w:val="sr-Cyrl-CS"/>
              </w:rPr>
            </w:pPr>
            <w:r w:rsidRPr="00092ED7">
              <w:rPr>
                <w:rFonts w:eastAsia="Times New Roman" w:cs="Times New Roman"/>
                <w:sz w:val="20"/>
                <w:lang w:val="sr-Cyrl-CS"/>
              </w:rPr>
              <w:t xml:space="preserve">Износ финансијске подршке коју су остварили стартапи у </w:t>
            </w:r>
            <w:r w:rsidR="00564BDA" w:rsidRPr="00092ED7">
              <w:rPr>
                <w:rFonts w:eastAsia="Times New Roman" w:cs="Times New Roman"/>
                <w:sz w:val="20"/>
                <w:lang w:val="sr-Cyrl-CS"/>
              </w:rPr>
              <w:t xml:space="preserve">Републици </w:t>
            </w:r>
            <w:r w:rsidRPr="00092ED7">
              <w:rPr>
                <w:rFonts w:eastAsia="Times New Roman" w:cs="Times New Roman"/>
                <w:sz w:val="20"/>
                <w:lang w:val="sr-Cyrl-CS"/>
              </w:rPr>
              <w:t>Србији</w:t>
            </w:r>
          </w:p>
        </w:tc>
        <w:tc>
          <w:tcPr>
            <w:tcW w:w="1765" w:type="dxa"/>
            <w:tcBorders>
              <w:top w:val="single" w:sz="4" w:space="0" w:color="auto"/>
              <w:left w:val="single" w:sz="4" w:space="0" w:color="auto"/>
              <w:bottom w:val="single" w:sz="4" w:space="0" w:color="auto"/>
              <w:right w:val="single" w:sz="4" w:space="0" w:color="auto"/>
            </w:tcBorders>
            <w:hideMark/>
          </w:tcPr>
          <w:p w14:paraId="4D680C52" w14:textId="77A0FEE9" w:rsidR="00D210F0" w:rsidRPr="00092ED7" w:rsidRDefault="00000000" w:rsidP="00B57FE8">
            <w:pPr>
              <w:spacing w:before="0" w:after="0"/>
              <w:ind w:left="113" w:right="113"/>
              <w:jc w:val="center"/>
              <w:rPr>
                <w:rFonts w:cs="Times New Roman"/>
                <w:b/>
                <w:sz w:val="20"/>
                <w:highlight w:val="yellow"/>
                <w:lang w:val="sr-Cyrl-CS"/>
              </w:rPr>
            </w:pPr>
            <w:sdt>
              <w:sdtPr>
                <w:rPr>
                  <w:sz w:val="20"/>
                  <w:lang w:val="sr-Cyrl-CS"/>
                </w:rPr>
                <w:tag w:val="goog_rdk_8"/>
                <w:id w:val="590737552"/>
              </w:sdtPr>
              <w:sdtContent/>
            </w:sdt>
            <w:r w:rsidR="00D210F0" w:rsidRPr="00092ED7">
              <w:rPr>
                <w:rFonts w:eastAsia="Times New Roman" w:cs="Times New Roman"/>
                <w:sz w:val="20"/>
                <w:lang w:val="sr-Cyrl-CS"/>
              </w:rPr>
              <w:t>23 милиона ЕУР (2020)</w:t>
            </w:r>
          </w:p>
        </w:tc>
        <w:tc>
          <w:tcPr>
            <w:tcW w:w="1766" w:type="dxa"/>
            <w:tcBorders>
              <w:top w:val="single" w:sz="4" w:space="0" w:color="auto"/>
              <w:left w:val="single" w:sz="4" w:space="0" w:color="auto"/>
              <w:bottom w:val="single" w:sz="4" w:space="0" w:color="auto"/>
              <w:right w:val="single" w:sz="4" w:space="0" w:color="auto"/>
            </w:tcBorders>
            <w:hideMark/>
          </w:tcPr>
          <w:p w14:paraId="2BAD7A89" w14:textId="77777777" w:rsidR="00D210F0" w:rsidRPr="00092ED7" w:rsidRDefault="00D210F0" w:rsidP="00B57FE8">
            <w:pPr>
              <w:spacing w:before="0" w:after="0"/>
              <w:ind w:left="113" w:right="113"/>
              <w:jc w:val="center"/>
              <w:rPr>
                <w:rFonts w:cs="Times New Roman"/>
                <w:b/>
                <w:sz w:val="20"/>
                <w:lang w:val="sr-Cyrl-CS"/>
              </w:rPr>
            </w:pPr>
            <w:r w:rsidRPr="00092ED7">
              <w:rPr>
                <w:rFonts w:eastAsia="Times New Roman" w:cs="Times New Roman"/>
                <w:sz w:val="20"/>
                <w:lang w:val="sr-Cyrl-CS"/>
              </w:rPr>
              <w:t>40 милиона ЕУР (2022)</w:t>
            </w:r>
          </w:p>
        </w:tc>
        <w:tc>
          <w:tcPr>
            <w:tcW w:w="1766" w:type="dxa"/>
            <w:tcBorders>
              <w:top w:val="single" w:sz="4" w:space="0" w:color="auto"/>
              <w:left w:val="single" w:sz="4" w:space="0" w:color="auto"/>
              <w:bottom w:val="single" w:sz="4" w:space="0" w:color="auto"/>
              <w:right w:val="single" w:sz="4" w:space="0" w:color="auto"/>
            </w:tcBorders>
            <w:hideMark/>
          </w:tcPr>
          <w:p w14:paraId="39429DF4" w14:textId="77777777" w:rsidR="00D210F0" w:rsidRPr="00092ED7" w:rsidRDefault="00D210F0" w:rsidP="00B57FE8">
            <w:pPr>
              <w:spacing w:before="0" w:after="0"/>
              <w:ind w:left="113" w:right="113"/>
              <w:jc w:val="center"/>
              <w:rPr>
                <w:rFonts w:cs="Times New Roman"/>
                <w:b/>
                <w:sz w:val="20"/>
                <w:lang w:val="sr-Cyrl-CS"/>
              </w:rPr>
            </w:pPr>
            <w:r w:rsidRPr="00092ED7">
              <w:rPr>
                <w:rFonts w:eastAsia="Times New Roman" w:cs="Times New Roman"/>
                <w:sz w:val="20"/>
                <w:lang w:val="sr-Cyrl-CS"/>
              </w:rPr>
              <w:t>80 милиона ЕУР (</w:t>
            </w:r>
            <w:r w:rsidR="00A84662" w:rsidRPr="00092ED7">
              <w:rPr>
                <w:rFonts w:eastAsia="Times New Roman" w:cs="Times New Roman"/>
                <w:sz w:val="20"/>
                <w:lang w:val="sr-Cyrl-CS"/>
              </w:rPr>
              <w:t>2025</w:t>
            </w:r>
            <w:r w:rsidRPr="00092ED7">
              <w:rPr>
                <w:rFonts w:eastAsia="Times New Roman" w:cs="Times New Roman"/>
                <w:sz w:val="20"/>
                <w:lang w:val="sr-Cyrl-CS"/>
              </w:rPr>
              <w:t>)</w:t>
            </w:r>
          </w:p>
        </w:tc>
      </w:tr>
      <w:tr w:rsidR="007D40F0" w:rsidRPr="00092ED7" w14:paraId="22E465D8" w14:textId="77777777" w:rsidTr="007D40F0">
        <w:trPr>
          <w:trHeight w:val="467"/>
        </w:trPr>
        <w:tc>
          <w:tcPr>
            <w:tcW w:w="3685" w:type="dxa"/>
            <w:tcBorders>
              <w:top w:val="single" w:sz="4" w:space="0" w:color="auto"/>
              <w:left w:val="single" w:sz="4" w:space="0" w:color="auto"/>
              <w:bottom w:val="single" w:sz="4" w:space="0" w:color="auto"/>
              <w:right w:val="single" w:sz="4" w:space="0" w:color="auto"/>
            </w:tcBorders>
          </w:tcPr>
          <w:p w14:paraId="19B433F6" w14:textId="77777777" w:rsidR="007D40F0" w:rsidRPr="00092ED7" w:rsidRDefault="007D40F0" w:rsidP="007D40F0">
            <w:pPr>
              <w:spacing w:before="0" w:after="0"/>
              <w:ind w:left="113" w:right="113"/>
              <w:rPr>
                <w:rFonts w:eastAsia="Times New Roman" w:cs="Times New Roman"/>
                <w:sz w:val="20"/>
                <w:lang w:val="sr-Cyrl-CS"/>
              </w:rPr>
            </w:pPr>
            <w:r w:rsidRPr="00092ED7">
              <w:rPr>
                <w:rFonts w:eastAsia="Times New Roman" w:cs="Times New Roman"/>
                <w:sz w:val="20"/>
                <w:lang w:val="sr-Cyrl-CS"/>
              </w:rPr>
              <w:t>Вредност стартап екосистема (eng. Startup Genome)</w:t>
            </w:r>
          </w:p>
        </w:tc>
        <w:tc>
          <w:tcPr>
            <w:tcW w:w="1765" w:type="dxa"/>
            <w:tcBorders>
              <w:top w:val="single" w:sz="4" w:space="0" w:color="auto"/>
              <w:left w:val="single" w:sz="4" w:space="0" w:color="auto"/>
              <w:bottom w:val="single" w:sz="4" w:space="0" w:color="auto"/>
              <w:right w:val="single" w:sz="4" w:space="0" w:color="auto"/>
            </w:tcBorders>
          </w:tcPr>
          <w:p w14:paraId="313A130C" w14:textId="77777777" w:rsidR="007D40F0" w:rsidRPr="00092ED7" w:rsidRDefault="007D40F0" w:rsidP="007D40F0">
            <w:pPr>
              <w:spacing w:before="0" w:after="0"/>
              <w:ind w:left="113" w:right="113"/>
              <w:jc w:val="center"/>
              <w:rPr>
                <w:rFonts w:eastAsia="Times New Roman" w:cs="Times New Roman"/>
                <w:sz w:val="20"/>
                <w:lang w:val="sr-Cyrl-CS"/>
              </w:rPr>
            </w:pPr>
            <w:r w:rsidRPr="00092ED7">
              <w:rPr>
                <w:rFonts w:eastAsia="Times New Roman" w:cs="Times New Roman"/>
                <w:sz w:val="20"/>
                <w:lang w:val="sr-Cyrl-CS"/>
              </w:rPr>
              <w:t>502 милиона УСД (2020)</w:t>
            </w:r>
          </w:p>
        </w:tc>
        <w:tc>
          <w:tcPr>
            <w:tcW w:w="1766" w:type="dxa"/>
            <w:tcBorders>
              <w:top w:val="single" w:sz="4" w:space="0" w:color="auto"/>
              <w:left w:val="single" w:sz="4" w:space="0" w:color="auto"/>
              <w:bottom w:val="single" w:sz="4" w:space="0" w:color="auto"/>
              <w:right w:val="single" w:sz="4" w:space="0" w:color="auto"/>
            </w:tcBorders>
          </w:tcPr>
          <w:p w14:paraId="1BF9936C" w14:textId="77777777" w:rsidR="007D40F0" w:rsidRPr="00092ED7" w:rsidRDefault="007D40F0" w:rsidP="007D40F0">
            <w:pPr>
              <w:spacing w:before="0" w:after="0"/>
              <w:ind w:left="113" w:right="113"/>
              <w:jc w:val="center"/>
              <w:rPr>
                <w:rFonts w:eastAsia="Times New Roman" w:cs="Times New Roman"/>
                <w:sz w:val="20"/>
                <w:lang w:val="sr-Cyrl-CS"/>
              </w:rPr>
            </w:pPr>
            <w:r w:rsidRPr="00092ED7">
              <w:rPr>
                <w:rFonts w:eastAsia="Times New Roman" w:cs="Times New Roman"/>
                <w:sz w:val="20"/>
                <w:lang w:val="sr-Cyrl-CS"/>
              </w:rPr>
              <w:t>677 милиона УСД (2022)</w:t>
            </w:r>
          </w:p>
        </w:tc>
        <w:tc>
          <w:tcPr>
            <w:tcW w:w="1766" w:type="dxa"/>
            <w:tcBorders>
              <w:top w:val="single" w:sz="4" w:space="0" w:color="auto"/>
              <w:left w:val="single" w:sz="4" w:space="0" w:color="auto"/>
              <w:bottom w:val="single" w:sz="4" w:space="0" w:color="auto"/>
              <w:right w:val="single" w:sz="4" w:space="0" w:color="auto"/>
            </w:tcBorders>
          </w:tcPr>
          <w:p w14:paraId="50994477" w14:textId="77777777" w:rsidR="007D40F0" w:rsidRPr="00092ED7" w:rsidRDefault="007D40F0" w:rsidP="007D40F0">
            <w:pPr>
              <w:spacing w:before="0" w:after="0"/>
              <w:ind w:left="113" w:right="113"/>
              <w:jc w:val="center"/>
              <w:rPr>
                <w:rFonts w:eastAsia="Times New Roman" w:cs="Times New Roman"/>
                <w:sz w:val="20"/>
                <w:lang w:val="sr-Cyrl-CS"/>
              </w:rPr>
            </w:pPr>
            <w:r w:rsidRPr="00092ED7">
              <w:rPr>
                <w:rFonts w:eastAsia="Times New Roman" w:cs="Times New Roman"/>
                <w:sz w:val="20"/>
                <w:lang w:val="sr-Cyrl-CS"/>
              </w:rPr>
              <w:t>800 милиона УСД (2025)</w:t>
            </w:r>
          </w:p>
        </w:tc>
      </w:tr>
    </w:tbl>
    <w:p w14:paraId="2F23D66D" w14:textId="77777777" w:rsidR="00D210F0" w:rsidRPr="00092ED7" w:rsidRDefault="00D210F0" w:rsidP="00071952">
      <w:pPr>
        <w:widowControl w:val="0"/>
        <w:numPr>
          <w:ilvl w:val="0"/>
          <w:numId w:val="32"/>
        </w:numPr>
        <w:spacing w:before="120"/>
        <w:ind w:left="425" w:hanging="425"/>
        <w:rPr>
          <w:rFonts w:cs="Times New Roman"/>
          <w:b/>
          <w:bCs/>
          <w:szCs w:val="24"/>
          <w:lang w:val="sr-Cyrl-CS"/>
        </w:rPr>
      </w:pPr>
      <w:r w:rsidRPr="00092ED7">
        <w:rPr>
          <w:b/>
          <w:szCs w:val="24"/>
          <w:lang w:val="sr-Cyrl-CS"/>
        </w:rPr>
        <w:t>Oчекивани утицај на конкурентност</w:t>
      </w:r>
    </w:p>
    <w:p w14:paraId="0CE5EDF7" w14:textId="77777777" w:rsidR="00D210F0" w:rsidRPr="00092ED7" w:rsidRDefault="00D210F0" w:rsidP="00943F16">
      <w:pPr>
        <w:widowControl w:val="0"/>
        <w:spacing w:after="60"/>
        <w:rPr>
          <w:rFonts w:eastAsia="Times New Roman" w:cs="Times New Roman"/>
          <w:szCs w:val="24"/>
          <w:lang w:val="sr-Cyrl-CS"/>
        </w:rPr>
      </w:pPr>
      <w:r w:rsidRPr="00092ED7">
        <w:rPr>
          <w:rFonts w:eastAsia="Times New Roman" w:cs="Times New Roman"/>
          <w:szCs w:val="24"/>
          <w:lang w:val="sr-Cyrl-CS"/>
        </w:rPr>
        <w:t>Повећање броја стартапа стимулише привредни раст, повећава извоз и БДП, и ствара радна места потребна за развој економије засноване на знању.</w:t>
      </w:r>
      <w:r w:rsidR="00181C36" w:rsidRPr="00092ED7">
        <w:rPr>
          <w:rFonts w:eastAsia="Times New Roman" w:cs="Times New Roman"/>
          <w:szCs w:val="24"/>
          <w:lang w:val="sr-Cyrl-CS"/>
        </w:rPr>
        <w:t xml:space="preserve"> Реформом се подстичу јавне и приватне инвестиције у овој области, омогућава развој домаћег тржишта предузетничког капитала (eng. </w:t>
      </w:r>
      <w:r w:rsidR="00181C36" w:rsidRPr="00092ED7">
        <w:rPr>
          <w:rFonts w:eastAsia="Times New Roman" w:cs="Times New Roman"/>
          <w:i/>
          <w:szCs w:val="24"/>
          <w:lang w:val="sr-Cyrl-CS"/>
        </w:rPr>
        <w:t>venture capital</w:t>
      </w:r>
      <w:r w:rsidR="00181C36" w:rsidRPr="00092ED7">
        <w:rPr>
          <w:rFonts w:eastAsia="Times New Roman" w:cs="Times New Roman"/>
          <w:szCs w:val="24"/>
          <w:lang w:val="sr-Cyrl-CS"/>
        </w:rPr>
        <w:t>), развој високотехнолошке предузетничке културе и подизањe предузетничких капацитета кроз образовне програме и јачање капацитета организација подршке.</w:t>
      </w:r>
    </w:p>
    <w:p w14:paraId="6BE6D274" w14:textId="77777777" w:rsidR="00D210F0" w:rsidRPr="00092ED7" w:rsidRDefault="00D210F0" w:rsidP="00071952">
      <w:pPr>
        <w:widowControl w:val="0"/>
        <w:numPr>
          <w:ilvl w:val="0"/>
          <w:numId w:val="32"/>
        </w:numPr>
        <w:spacing w:before="120"/>
        <w:ind w:left="425" w:hanging="425"/>
        <w:rPr>
          <w:rFonts w:cs="Times New Roman"/>
          <w:b/>
          <w:bCs/>
          <w:szCs w:val="24"/>
          <w:lang w:val="sr-Cyrl-CS"/>
        </w:rPr>
      </w:pPr>
      <w:r w:rsidRPr="00092ED7">
        <w:rPr>
          <w:b/>
          <w:szCs w:val="24"/>
          <w:lang w:val="sr-Cyrl-CS"/>
        </w:rPr>
        <w:t>Процењени трошкови спровођења структурне реформе и предвиђени извори њиховог финансирања</w:t>
      </w:r>
    </w:p>
    <w:p w14:paraId="11248F0D" w14:textId="3DB032CE" w:rsidR="00D8385F" w:rsidRPr="00092ED7" w:rsidRDefault="00D8385F" w:rsidP="00943F16">
      <w:pPr>
        <w:widowControl w:val="0"/>
        <w:spacing w:after="60"/>
        <w:rPr>
          <w:rFonts w:eastAsia="Times New Roman" w:cs="Times New Roman"/>
          <w:szCs w:val="24"/>
          <w:lang w:val="sr-Cyrl-CS"/>
        </w:rPr>
      </w:pPr>
      <w:r w:rsidRPr="00092ED7">
        <w:rPr>
          <w:rFonts w:eastAsia="Times New Roman" w:cs="Times New Roman"/>
          <w:szCs w:val="24"/>
          <w:lang w:val="sr-Cyrl-CS"/>
        </w:rPr>
        <w:t xml:space="preserve">У буџету Фонда за иновациону делатност, за активности 4, 5. и 6. обезбеђена су средства из ИПА 2018 и ИПА 2019 у износима од више од 12 милиона евра за 2023, више од 12 милиона евра за 2024, као и </w:t>
      </w:r>
      <w:r w:rsidR="00564BDA" w:rsidRPr="00092ED7">
        <w:rPr>
          <w:rFonts w:eastAsia="Times New Roman" w:cs="Times New Roman"/>
          <w:szCs w:val="24"/>
          <w:lang w:val="sr-Cyrl-CS"/>
        </w:rPr>
        <w:t xml:space="preserve">девет </w:t>
      </w:r>
      <w:r w:rsidRPr="00092ED7">
        <w:rPr>
          <w:rFonts w:eastAsia="Times New Roman" w:cs="Times New Roman"/>
          <w:szCs w:val="24"/>
          <w:lang w:val="sr-Cyrl-CS"/>
        </w:rPr>
        <w:t xml:space="preserve">милиона евра за 2025. годину за подршку иновативним компанијама којима се подстиче идентификација, развој, унапређење и сарадња. У буџету </w:t>
      </w:r>
      <w:r w:rsidR="001028F8" w:rsidRPr="00092ED7">
        <w:rPr>
          <w:rFonts w:eastAsia="Times New Roman" w:cs="Times New Roman"/>
          <w:szCs w:val="24"/>
          <w:lang w:val="sr-Cyrl-CS"/>
        </w:rPr>
        <w:t>Фонда за иновациону делатност</w:t>
      </w:r>
      <w:r w:rsidRPr="00092ED7">
        <w:rPr>
          <w:rFonts w:eastAsia="Times New Roman" w:cs="Times New Roman"/>
          <w:szCs w:val="24"/>
          <w:lang w:val="sr-Cyrl-CS"/>
        </w:rPr>
        <w:t xml:space="preserve"> ће бити обезбеђена и средства</w:t>
      </w:r>
      <w:r w:rsidR="00497A1F" w:rsidRPr="00092ED7">
        <w:rPr>
          <w:rFonts w:eastAsia="Times New Roman" w:cs="Times New Roman"/>
          <w:szCs w:val="24"/>
          <w:lang w:val="sr-Cyrl-CS"/>
        </w:rPr>
        <w:t xml:space="preserve"> </w:t>
      </w:r>
      <w:r w:rsidRPr="00092ED7">
        <w:rPr>
          <w:rFonts w:eastAsia="Times New Roman" w:cs="Times New Roman"/>
          <w:szCs w:val="24"/>
          <w:lang w:val="sr-Cyrl-CS"/>
        </w:rPr>
        <w:t xml:space="preserve">за подршку фондовима предузетничког капитала и других приватних инвестиција. Такође, биће обезбеђена и средства за финансирање Програма Акцелерације из зајма Светске банке (Пројекат акцелерације иновација и подстицање раста предузетништва у Републици Србији – Пројекат </w:t>
      </w:r>
      <w:r w:rsidR="00E54271" w:rsidRPr="00092ED7">
        <w:rPr>
          <w:rFonts w:eastAsia="Times New Roman" w:cs="Times New Roman"/>
          <w:szCs w:val="24"/>
          <w:lang w:val="sr-Cyrl-CS"/>
        </w:rPr>
        <w:t>SAIGE</w:t>
      </w:r>
      <w:r w:rsidRPr="00092ED7">
        <w:rPr>
          <w:rFonts w:eastAsia="Times New Roman" w:cs="Times New Roman"/>
          <w:szCs w:val="24"/>
          <w:lang w:val="sr-Cyrl-CS"/>
        </w:rPr>
        <w:t>) у износу</w:t>
      </w:r>
      <w:r w:rsidR="002D07A1" w:rsidRPr="00092ED7">
        <w:rPr>
          <w:rFonts w:eastAsia="Times New Roman" w:cs="Times New Roman"/>
          <w:szCs w:val="24"/>
          <w:lang w:val="sr-Cyrl-CS"/>
        </w:rPr>
        <w:t xml:space="preserve"> од</w:t>
      </w:r>
      <w:r w:rsidRPr="00092ED7">
        <w:rPr>
          <w:rFonts w:eastAsia="Times New Roman" w:cs="Times New Roman"/>
          <w:szCs w:val="24"/>
          <w:lang w:val="sr-Cyrl-CS"/>
        </w:rPr>
        <w:t xml:space="preserve"> </w:t>
      </w:r>
      <w:r w:rsidR="00564BDA" w:rsidRPr="00092ED7">
        <w:rPr>
          <w:rFonts w:eastAsia="Times New Roman" w:cs="Times New Roman"/>
          <w:szCs w:val="24"/>
          <w:lang w:val="sr-Cyrl-CS"/>
        </w:rPr>
        <w:t xml:space="preserve">седам </w:t>
      </w:r>
      <w:r w:rsidRPr="00092ED7">
        <w:rPr>
          <w:rFonts w:eastAsia="Times New Roman" w:cs="Times New Roman"/>
          <w:szCs w:val="24"/>
          <w:lang w:val="sr-Cyrl-CS"/>
        </w:rPr>
        <w:t>милиона евра.</w:t>
      </w:r>
    </w:p>
    <w:p w14:paraId="42909035" w14:textId="77777777" w:rsidR="00D210F0" w:rsidRPr="00092ED7" w:rsidRDefault="00D210F0" w:rsidP="005D4434">
      <w:pPr>
        <w:widowControl w:val="0"/>
        <w:numPr>
          <w:ilvl w:val="0"/>
          <w:numId w:val="32"/>
        </w:numPr>
        <w:spacing w:before="120"/>
        <w:ind w:left="425" w:hanging="425"/>
        <w:rPr>
          <w:b/>
          <w:szCs w:val="24"/>
          <w:lang w:val="sr-Cyrl-CS"/>
        </w:rPr>
      </w:pPr>
      <w:r w:rsidRPr="00092ED7">
        <w:rPr>
          <w:b/>
          <w:szCs w:val="24"/>
          <w:lang w:val="sr-Cyrl-CS"/>
        </w:rPr>
        <w:t>Очекивани утицај на социјалне циљеве, као што су запосленост, смањење сиромаштва, родна равноправност и приступ здравственој заштити</w:t>
      </w:r>
    </w:p>
    <w:p w14:paraId="3EF91AB8" w14:textId="77777777" w:rsidR="00D210F0" w:rsidRPr="00092ED7" w:rsidRDefault="001A656D" w:rsidP="00943F16">
      <w:pPr>
        <w:pStyle w:val="ListParagraph"/>
        <w:widowControl w:val="0"/>
        <w:spacing w:after="60" w:line="240" w:lineRule="auto"/>
        <w:ind w:left="0"/>
        <w:contextualSpacing w:val="0"/>
        <w:rPr>
          <w:rFonts w:eastAsia="Times New Roman" w:cs="Times New Roman"/>
          <w:sz w:val="24"/>
          <w:szCs w:val="24"/>
          <w:lang w:val="sr-Cyrl-CS" w:eastAsia="en-US"/>
        </w:rPr>
      </w:pPr>
      <w:r w:rsidRPr="00092ED7">
        <w:rPr>
          <w:rFonts w:eastAsia="Times New Roman" w:cs="Times New Roman"/>
          <w:sz w:val="24"/>
          <w:szCs w:val="24"/>
          <w:lang w:val="sr-Cyrl-CS" w:eastAsia="en-US"/>
        </w:rPr>
        <w:t>Имплементацијом структурне реформе стварају се нова тржишта која генеришу нове послове, нарочито за предузетне, младе и образоване људе, а улагањем у стартапе креира се људски капитал са компетенцијама и вештинама потребним за модерну економију засновању на знању и иновацијама, што на директан начин утиче на повећање запослености, смањење сиромаштва и позитивно утиче на родну равноправност.</w:t>
      </w:r>
      <w:r w:rsidR="00D210F0" w:rsidRPr="00092ED7">
        <w:rPr>
          <w:rFonts w:eastAsia="Times New Roman" w:cs="Times New Roman"/>
          <w:sz w:val="24"/>
          <w:szCs w:val="24"/>
          <w:lang w:val="sr-Cyrl-CS" w:eastAsia="en-US"/>
        </w:rPr>
        <w:t xml:space="preserve"> Ова структур</w:t>
      </w:r>
      <w:r w:rsidR="00E63AE6" w:rsidRPr="00092ED7">
        <w:rPr>
          <w:rFonts w:eastAsia="Times New Roman" w:cs="Times New Roman"/>
          <w:sz w:val="24"/>
          <w:szCs w:val="24"/>
          <w:lang w:val="sr-Cyrl-CS" w:eastAsia="en-US"/>
        </w:rPr>
        <w:t>на</w:t>
      </w:r>
      <w:r w:rsidR="00D210F0" w:rsidRPr="00092ED7">
        <w:rPr>
          <w:rFonts w:eastAsia="Times New Roman" w:cs="Times New Roman"/>
          <w:sz w:val="24"/>
          <w:szCs w:val="24"/>
          <w:lang w:val="sr-Cyrl-CS" w:eastAsia="en-US"/>
        </w:rPr>
        <w:t xml:space="preserve"> реформа је родно неутрална. </w:t>
      </w:r>
    </w:p>
    <w:p w14:paraId="7582DA09" w14:textId="77777777" w:rsidR="00D210F0" w:rsidRPr="00092ED7" w:rsidRDefault="00D210F0" w:rsidP="00071952">
      <w:pPr>
        <w:widowControl w:val="0"/>
        <w:numPr>
          <w:ilvl w:val="0"/>
          <w:numId w:val="32"/>
        </w:numPr>
        <w:spacing w:before="120"/>
        <w:ind w:left="425" w:hanging="425"/>
        <w:rPr>
          <w:rFonts w:cs="Times New Roman"/>
          <w:b/>
          <w:szCs w:val="24"/>
          <w:lang w:val="sr-Cyrl-CS"/>
        </w:rPr>
      </w:pPr>
      <w:r w:rsidRPr="00092ED7">
        <w:rPr>
          <w:rFonts w:cs="Times New Roman"/>
          <w:b/>
          <w:szCs w:val="24"/>
          <w:lang w:val="sr-Cyrl-CS"/>
        </w:rPr>
        <w:t>Очекивани утицај на животну средину и климатске промене</w:t>
      </w:r>
    </w:p>
    <w:p w14:paraId="37F37944" w14:textId="77777777" w:rsidR="00D210F0" w:rsidRPr="00092ED7" w:rsidRDefault="00D210F0" w:rsidP="00943F16">
      <w:pPr>
        <w:widowControl w:val="0"/>
        <w:spacing w:after="60"/>
        <w:rPr>
          <w:rFonts w:cs="Times New Roman"/>
          <w:szCs w:val="24"/>
          <w:lang w:val="sr-Cyrl-CS"/>
        </w:rPr>
      </w:pPr>
      <w:r w:rsidRPr="00092ED7">
        <w:rPr>
          <w:rFonts w:eastAsia="Times New Roman" w:cs="Times New Roman"/>
          <w:szCs w:val="24"/>
          <w:lang w:val="sr-Cyrl-CS"/>
        </w:rPr>
        <w:t>Реализација ове реформске мере неће имати негативан утицаj на животну средину и климатске промене</w:t>
      </w:r>
      <w:r w:rsidRPr="00092ED7">
        <w:rPr>
          <w:rFonts w:cs="Times New Roman"/>
          <w:szCs w:val="24"/>
          <w:lang w:val="sr-Cyrl-CS"/>
        </w:rPr>
        <w:t>.</w:t>
      </w:r>
    </w:p>
    <w:p w14:paraId="127FF20F" w14:textId="77777777" w:rsidR="00D210F0" w:rsidRPr="00092ED7" w:rsidRDefault="00D210F0" w:rsidP="00071952">
      <w:pPr>
        <w:widowControl w:val="0"/>
        <w:numPr>
          <w:ilvl w:val="0"/>
          <w:numId w:val="32"/>
        </w:numPr>
        <w:spacing w:before="120"/>
        <w:ind w:left="425" w:hanging="425"/>
        <w:rPr>
          <w:rFonts w:cs="Times New Roman"/>
          <w:b/>
          <w:szCs w:val="24"/>
          <w:lang w:val="sr-Cyrl-CS"/>
        </w:rPr>
      </w:pPr>
      <w:r w:rsidRPr="00092ED7">
        <w:rPr>
          <w:rFonts w:cs="Times New Roman"/>
          <w:b/>
          <w:szCs w:val="24"/>
          <w:lang w:val="sr-Cyrl-CS"/>
        </w:rPr>
        <w:t>Потенцијални ризици</w:t>
      </w:r>
    </w:p>
    <w:tbl>
      <w:tblPr>
        <w:tblStyle w:val="TableGrid"/>
        <w:tblW w:w="9209" w:type="dxa"/>
        <w:jc w:val="center"/>
        <w:tblLayout w:type="fixed"/>
        <w:tblLook w:val="04A0" w:firstRow="1" w:lastRow="0" w:firstColumn="1" w:lastColumn="0" w:noHBand="0" w:noVBand="1"/>
      </w:tblPr>
      <w:tblGrid>
        <w:gridCol w:w="3515"/>
        <w:gridCol w:w="2098"/>
        <w:gridCol w:w="3596"/>
      </w:tblGrid>
      <w:tr w:rsidR="00D210F0" w:rsidRPr="00092ED7" w14:paraId="506D6DC2" w14:textId="77777777" w:rsidTr="00B57FE8">
        <w:trPr>
          <w:cnfStyle w:val="100000000000" w:firstRow="1" w:lastRow="0" w:firstColumn="0" w:lastColumn="0" w:oddVBand="0" w:evenVBand="0" w:oddHBand="0" w:evenHBand="0" w:firstRowFirstColumn="0" w:firstRowLastColumn="0" w:lastRowFirstColumn="0" w:lastRowLastColumn="0"/>
          <w:jc w:val="center"/>
        </w:trPr>
        <w:tc>
          <w:tcPr>
            <w:tcW w:w="3515" w:type="dxa"/>
            <w:tcBorders>
              <w:top w:val="single" w:sz="4" w:space="0" w:color="auto"/>
              <w:left w:val="single" w:sz="4" w:space="0" w:color="auto"/>
              <w:bottom w:val="single" w:sz="4" w:space="0" w:color="auto"/>
              <w:right w:val="single" w:sz="4" w:space="0" w:color="auto"/>
            </w:tcBorders>
            <w:hideMark/>
          </w:tcPr>
          <w:p w14:paraId="5175E072" w14:textId="77777777" w:rsidR="00D210F0" w:rsidRPr="00092ED7" w:rsidRDefault="00D210F0" w:rsidP="00B57FE8">
            <w:pPr>
              <w:spacing w:before="0" w:after="0"/>
              <w:ind w:left="113" w:right="113"/>
              <w:jc w:val="center"/>
              <w:rPr>
                <w:rFonts w:cs="Times New Roman"/>
                <w:b w:val="0"/>
                <w:sz w:val="20"/>
                <w:lang w:val="sr-Cyrl-CS"/>
              </w:rPr>
            </w:pPr>
            <w:r w:rsidRPr="00092ED7">
              <w:rPr>
                <w:rFonts w:cs="Times New Roman"/>
                <w:sz w:val="20"/>
                <w:lang w:val="sr-Cyrl-CS"/>
              </w:rPr>
              <w:t>Ризик</w:t>
            </w:r>
          </w:p>
        </w:tc>
        <w:tc>
          <w:tcPr>
            <w:tcW w:w="2098" w:type="dxa"/>
            <w:tcBorders>
              <w:top w:val="single" w:sz="4" w:space="0" w:color="auto"/>
              <w:left w:val="single" w:sz="4" w:space="0" w:color="auto"/>
              <w:bottom w:val="single" w:sz="4" w:space="0" w:color="auto"/>
              <w:right w:val="single" w:sz="4" w:space="0" w:color="auto"/>
            </w:tcBorders>
          </w:tcPr>
          <w:p w14:paraId="32305BB1" w14:textId="77777777" w:rsidR="00D210F0" w:rsidRPr="00092ED7" w:rsidRDefault="00D210F0" w:rsidP="00B57FE8">
            <w:pPr>
              <w:spacing w:before="0" w:after="0"/>
              <w:ind w:left="113" w:right="113"/>
              <w:jc w:val="center"/>
              <w:rPr>
                <w:rFonts w:cs="Times New Roman"/>
                <w:b w:val="0"/>
                <w:sz w:val="20"/>
                <w:lang w:val="sr-Cyrl-CS"/>
              </w:rPr>
            </w:pPr>
            <w:r w:rsidRPr="00092ED7">
              <w:rPr>
                <w:rFonts w:cs="Times New Roman"/>
                <w:sz w:val="20"/>
                <w:lang w:val="sr-Cyrl-CS"/>
              </w:rPr>
              <w:t>Вероватноћа за остваривање ризика</w:t>
            </w:r>
          </w:p>
        </w:tc>
        <w:tc>
          <w:tcPr>
            <w:tcW w:w="3596" w:type="dxa"/>
            <w:tcBorders>
              <w:top w:val="single" w:sz="4" w:space="0" w:color="auto"/>
              <w:left w:val="single" w:sz="4" w:space="0" w:color="auto"/>
              <w:bottom w:val="single" w:sz="4" w:space="0" w:color="auto"/>
              <w:right w:val="single" w:sz="4" w:space="0" w:color="auto"/>
            </w:tcBorders>
          </w:tcPr>
          <w:p w14:paraId="043A6CD2" w14:textId="77777777" w:rsidR="00D210F0" w:rsidRPr="00092ED7" w:rsidRDefault="00D210F0" w:rsidP="00B57FE8">
            <w:pPr>
              <w:spacing w:before="0" w:after="0"/>
              <w:ind w:left="113" w:right="113"/>
              <w:jc w:val="center"/>
              <w:rPr>
                <w:rFonts w:cs="Times New Roman"/>
                <w:b w:val="0"/>
                <w:sz w:val="20"/>
                <w:lang w:val="sr-Cyrl-CS"/>
              </w:rPr>
            </w:pPr>
            <w:r w:rsidRPr="00092ED7">
              <w:rPr>
                <w:rFonts w:cs="Times New Roman"/>
                <w:sz w:val="20"/>
                <w:lang w:val="sr-Cyrl-CS"/>
              </w:rPr>
              <w:t>Планиране активност за ублажавање негативних ефеката ризика</w:t>
            </w:r>
          </w:p>
        </w:tc>
      </w:tr>
      <w:tr w:rsidR="00D210F0" w:rsidRPr="00092ED7" w14:paraId="1B292F3C" w14:textId="77777777" w:rsidTr="00757D8D">
        <w:trPr>
          <w:jc w:val="center"/>
        </w:trPr>
        <w:tc>
          <w:tcPr>
            <w:tcW w:w="3515" w:type="dxa"/>
            <w:tcBorders>
              <w:top w:val="single" w:sz="4" w:space="0" w:color="auto"/>
              <w:left w:val="single" w:sz="4" w:space="0" w:color="auto"/>
              <w:bottom w:val="single" w:sz="4" w:space="0" w:color="auto"/>
              <w:right w:val="single" w:sz="4" w:space="0" w:color="auto"/>
            </w:tcBorders>
            <w:vAlign w:val="top"/>
            <w:hideMark/>
          </w:tcPr>
          <w:p w14:paraId="11189188" w14:textId="77777777" w:rsidR="00D210F0" w:rsidRPr="00092ED7" w:rsidRDefault="00D210F0" w:rsidP="00757D8D">
            <w:pPr>
              <w:spacing w:before="0" w:after="0"/>
              <w:ind w:left="113" w:right="113"/>
              <w:rPr>
                <w:rFonts w:cs="Times New Roman"/>
                <w:b/>
                <w:sz w:val="20"/>
                <w:lang w:val="sr-Cyrl-CS"/>
              </w:rPr>
            </w:pPr>
            <w:r w:rsidRPr="00092ED7">
              <w:rPr>
                <w:rFonts w:eastAsia="Times New Roman" w:cs="Times New Roman"/>
                <w:sz w:val="20"/>
                <w:lang w:val="sr-Cyrl-CS"/>
              </w:rPr>
              <w:t>Недовољно интересовање стартапа за упис у регистар</w:t>
            </w:r>
          </w:p>
        </w:tc>
        <w:tc>
          <w:tcPr>
            <w:tcW w:w="2098" w:type="dxa"/>
            <w:tcBorders>
              <w:top w:val="single" w:sz="4" w:space="0" w:color="auto"/>
              <w:left w:val="single" w:sz="4" w:space="0" w:color="auto"/>
              <w:bottom w:val="single" w:sz="4" w:space="0" w:color="auto"/>
              <w:right w:val="single" w:sz="4" w:space="0" w:color="auto"/>
            </w:tcBorders>
            <w:vAlign w:val="top"/>
          </w:tcPr>
          <w:p w14:paraId="7693D104" w14:textId="77777777" w:rsidR="00D210F0" w:rsidRPr="00092ED7" w:rsidRDefault="00D210F0" w:rsidP="00757D8D">
            <w:pPr>
              <w:spacing w:before="0" w:after="0"/>
              <w:ind w:left="113" w:right="113"/>
              <w:jc w:val="center"/>
              <w:rPr>
                <w:sz w:val="20"/>
                <w:lang w:val="sr-Cyrl-CS"/>
              </w:rPr>
            </w:pPr>
            <w:r w:rsidRPr="00092ED7">
              <w:rPr>
                <w:rFonts w:eastAsia="Times New Roman" w:cs="Times New Roman"/>
                <w:sz w:val="20"/>
                <w:lang w:val="sr-Cyrl-CS"/>
              </w:rPr>
              <w:t>Ниска</w:t>
            </w:r>
          </w:p>
        </w:tc>
        <w:tc>
          <w:tcPr>
            <w:tcW w:w="3596" w:type="dxa"/>
            <w:tcBorders>
              <w:top w:val="single" w:sz="4" w:space="0" w:color="auto"/>
              <w:left w:val="single" w:sz="4" w:space="0" w:color="auto"/>
              <w:bottom w:val="single" w:sz="4" w:space="0" w:color="auto"/>
              <w:right w:val="single" w:sz="4" w:space="0" w:color="auto"/>
            </w:tcBorders>
            <w:vAlign w:val="top"/>
          </w:tcPr>
          <w:p w14:paraId="1FC672A7" w14:textId="77777777" w:rsidR="00D210F0" w:rsidRPr="00092ED7" w:rsidRDefault="00D210F0" w:rsidP="00757D8D">
            <w:pPr>
              <w:spacing w:before="0" w:after="0"/>
              <w:ind w:left="113" w:right="113"/>
              <w:rPr>
                <w:sz w:val="20"/>
                <w:lang w:val="sr-Cyrl-CS"/>
              </w:rPr>
            </w:pPr>
            <w:r w:rsidRPr="00092ED7">
              <w:rPr>
                <w:rFonts w:eastAsia="Times New Roman" w:cs="Times New Roman"/>
                <w:sz w:val="20"/>
                <w:lang w:val="sr-Cyrl-CS"/>
              </w:rPr>
              <w:t>Континуирана комуникација са стартапима како би се постигао жељени ефекат</w:t>
            </w:r>
            <w:r w:rsidR="00D47BD8" w:rsidRPr="00092ED7">
              <w:rPr>
                <w:rFonts w:eastAsia="Times New Roman" w:cs="Times New Roman"/>
                <w:sz w:val="20"/>
                <w:lang w:val="sr-Cyrl-CS"/>
              </w:rPr>
              <w:t>.</w:t>
            </w:r>
          </w:p>
        </w:tc>
      </w:tr>
      <w:tr w:rsidR="00D210F0" w:rsidRPr="00092ED7" w14:paraId="3E923684" w14:textId="77777777" w:rsidTr="00757D8D">
        <w:trPr>
          <w:jc w:val="center"/>
        </w:trPr>
        <w:tc>
          <w:tcPr>
            <w:tcW w:w="3515" w:type="dxa"/>
            <w:tcBorders>
              <w:top w:val="single" w:sz="4" w:space="0" w:color="auto"/>
              <w:left w:val="single" w:sz="4" w:space="0" w:color="auto"/>
              <w:bottom w:val="single" w:sz="4" w:space="0" w:color="auto"/>
              <w:right w:val="single" w:sz="4" w:space="0" w:color="auto"/>
            </w:tcBorders>
            <w:vAlign w:val="top"/>
          </w:tcPr>
          <w:p w14:paraId="1605DDFA" w14:textId="77777777" w:rsidR="00D210F0" w:rsidRPr="00092ED7" w:rsidRDefault="00D210F0" w:rsidP="00757D8D">
            <w:pPr>
              <w:spacing w:before="0" w:after="0"/>
              <w:ind w:left="113" w:right="113"/>
              <w:rPr>
                <w:sz w:val="20"/>
                <w:lang w:val="sr-Cyrl-CS"/>
              </w:rPr>
            </w:pPr>
            <w:r w:rsidRPr="00092ED7">
              <w:rPr>
                <w:rFonts w:eastAsia="Times New Roman" w:cs="Times New Roman"/>
                <w:sz w:val="20"/>
                <w:lang w:val="sr-Cyrl-CS"/>
              </w:rPr>
              <w:t>Недовољна заинтересованост стартапа за учешће у програмима подршке</w:t>
            </w:r>
          </w:p>
        </w:tc>
        <w:tc>
          <w:tcPr>
            <w:tcW w:w="2098" w:type="dxa"/>
            <w:tcBorders>
              <w:top w:val="single" w:sz="4" w:space="0" w:color="auto"/>
              <w:left w:val="single" w:sz="4" w:space="0" w:color="auto"/>
              <w:bottom w:val="single" w:sz="4" w:space="0" w:color="auto"/>
              <w:right w:val="single" w:sz="4" w:space="0" w:color="auto"/>
            </w:tcBorders>
            <w:vAlign w:val="top"/>
          </w:tcPr>
          <w:p w14:paraId="7A2176BD" w14:textId="77777777" w:rsidR="00D210F0" w:rsidRPr="00092ED7" w:rsidRDefault="00D210F0" w:rsidP="00757D8D">
            <w:pPr>
              <w:spacing w:before="0" w:after="0"/>
              <w:ind w:left="113" w:right="113"/>
              <w:jc w:val="center"/>
              <w:rPr>
                <w:sz w:val="20"/>
                <w:lang w:val="sr-Cyrl-CS"/>
              </w:rPr>
            </w:pPr>
            <w:r w:rsidRPr="00092ED7">
              <w:rPr>
                <w:rFonts w:eastAsia="Times New Roman" w:cs="Times New Roman"/>
                <w:sz w:val="20"/>
                <w:lang w:val="sr-Cyrl-CS"/>
              </w:rPr>
              <w:t>Ниска</w:t>
            </w:r>
          </w:p>
        </w:tc>
        <w:tc>
          <w:tcPr>
            <w:tcW w:w="3596" w:type="dxa"/>
            <w:tcBorders>
              <w:top w:val="single" w:sz="4" w:space="0" w:color="auto"/>
              <w:left w:val="single" w:sz="4" w:space="0" w:color="auto"/>
              <w:bottom w:val="single" w:sz="4" w:space="0" w:color="auto"/>
              <w:right w:val="single" w:sz="4" w:space="0" w:color="auto"/>
            </w:tcBorders>
            <w:vAlign w:val="top"/>
          </w:tcPr>
          <w:p w14:paraId="70D53654" w14:textId="77777777" w:rsidR="00D210F0" w:rsidRPr="00092ED7" w:rsidRDefault="00D210F0" w:rsidP="00757D8D">
            <w:pPr>
              <w:spacing w:before="0" w:after="0"/>
              <w:ind w:left="113" w:right="113"/>
              <w:rPr>
                <w:sz w:val="20"/>
                <w:lang w:val="sr-Cyrl-CS"/>
              </w:rPr>
            </w:pPr>
            <w:r w:rsidRPr="00092ED7">
              <w:rPr>
                <w:rFonts w:eastAsia="Times New Roman" w:cs="Times New Roman"/>
                <w:sz w:val="20"/>
                <w:lang w:val="sr-Cyrl-CS"/>
              </w:rPr>
              <w:t>Интензивна промоција подршке</w:t>
            </w:r>
            <w:r w:rsidR="00D47BD8" w:rsidRPr="00092ED7">
              <w:rPr>
                <w:rFonts w:eastAsia="Times New Roman" w:cs="Times New Roman"/>
                <w:sz w:val="20"/>
                <w:lang w:val="sr-Cyrl-CS"/>
              </w:rPr>
              <w:t>.</w:t>
            </w:r>
          </w:p>
        </w:tc>
      </w:tr>
    </w:tbl>
    <w:p w14:paraId="0A42457E" w14:textId="77777777" w:rsidR="00D210F0" w:rsidRPr="00092ED7" w:rsidRDefault="00D210F0" w:rsidP="00D210F0">
      <w:pPr>
        <w:spacing w:before="360"/>
        <w:rPr>
          <w:rFonts w:cs="Times New Roman"/>
          <w:b/>
          <w:bCs/>
          <w:szCs w:val="24"/>
          <w:lang w:val="sr-Cyrl-CS"/>
        </w:rPr>
      </w:pPr>
      <w:r w:rsidRPr="00092ED7">
        <w:rPr>
          <w:rFonts w:cs="Times New Roman"/>
          <w:b/>
          <w:bCs/>
          <w:szCs w:val="24"/>
          <w:u w:val="single"/>
          <w:lang w:val="sr-Cyrl-CS"/>
        </w:rPr>
        <w:lastRenderedPageBreak/>
        <w:t>СТРУКТУРНА РЕФОРМА 17</w:t>
      </w:r>
      <w:r w:rsidRPr="00092ED7">
        <w:rPr>
          <w:rFonts w:cs="Times New Roman"/>
          <w:b/>
          <w:bCs/>
          <w:szCs w:val="24"/>
          <w:lang w:val="sr-Cyrl-CS"/>
        </w:rPr>
        <w:t xml:space="preserve">: </w:t>
      </w:r>
      <w:r w:rsidRPr="00092ED7">
        <w:rPr>
          <w:rFonts w:cs="Times New Roman"/>
          <w:szCs w:val="24"/>
          <w:lang w:val="sr-Cyrl-CS"/>
        </w:rPr>
        <w:t>СТВАРАЊЕ УСЛОВА ЗА РАЗВОЈ БИОНАУКА И БИОЕКОНОМИЈЕ КРОЗ ИЗГРАДЊУ БИО4 КАМПУСА</w:t>
      </w:r>
    </w:p>
    <w:p w14:paraId="2B709697" w14:textId="77777777" w:rsidR="00D210F0" w:rsidRPr="00092ED7" w:rsidRDefault="00D210F0" w:rsidP="00071952">
      <w:pPr>
        <w:widowControl w:val="0"/>
        <w:numPr>
          <w:ilvl w:val="0"/>
          <w:numId w:val="33"/>
        </w:numPr>
        <w:spacing w:before="120"/>
        <w:ind w:left="425" w:hanging="425"/>
        <w:rPr>
          <w:rFonts w:cs="Times New Roman"/>
          <w:b/>
          <w:bCs/>
          <w:szCs w:val="24"/>
          <w:lang w:val="sr-Cyrl-CS"/>
        </w:rPr>
      </w:pPr>
      <w:r w:rsidRPr="00092ED7">
        <w:rPr>
          <w:rFonts w:cs="Times New Roman"/>
          <w:b/>
          <w:bCs/>
          <w:szCs w:val="24"/>
          <w:lang w:val="sr-Cyrl-CS"/>
        </w:rPr>
        <w:t>Опис структурне реформе</w:t>
      </w:r>
    </w:p>
    <w:p w14:paraId="194DF1F4" w14:textId="6FF3F4D3" w:rsidR="00D210F0" w:rsidRPr="00092ED7" w:rsidRDefault="00D210F0" w:rsidP="00943F16">
      <w:pPr>
        <w:widowControl w:val="0"/>
        <w:tabs>
          <w:tab w:val="left" w:pos="180"/>
          <w:tab w:val="left" w:pos="360"/>
        </w:tabs>
        <w:spacing w:after="60"/>
        <w:rPr>
          <w:rFonts w:eastAsia="Times New Roman" w:cs="Times New Roman"/>
          <w:szCs w:val="24"/>
          <w:lang w:val="sr-Cyrl-CS"/>
        </w:rPr>
      </w:pPr>
      <w:r w:rsidRPr="00092ED7">
        <w:rPr>
          <w:rFonts w:eastAsia="Times New Roman" w:cs="Times New Roman"/>
          <w:szCs w:val="24"/>
          <w:lang w:val="sr-Cyrl-CS"/>
        </w:rPr>
        <w:t>Реформа има за циљ пружање подршке интензивираном развоју у областима биотехнологије, биомедицине, биоинформатике и биодиверзитета</w:t>
      </w:r>
      <w:r w:rsidRPr="00092ED7">
        <w:rPr>
          <w:szCs w:val="24"/>
          <w:lang w:val="sr-Cyrl-CS"/>
        </w:rPr>
        <w:t xml:space="preserve"> </w:t>
      </w:r>
      <w:r w:rsidRPr="00092ED7">
        <w:rPr>
          <w:rFonts w:eastAsia="Times New Roman" w:cs="Times New Roman"/>
          <w:szCs w:val="24"/>
          <w:lang w:val="sr-Cyrl-CS"/>
        </w:rPr>
        <w:t>(</w:t>
      </w:r>
      <w:r w:rsidR="00564BDA" w:rsidRPr="00092ED7">
        <w:rPr>
          <w:rFonts w:eastAsia="Times New Roman" w:cs="Times New Roman"/>
          <w:szCs w:val="24"/>
          <w:lang w:val="sr-Cyrl-CS"/>
        </w:rPr>
        <w:t xml:space="preserve">у даљем тексту: </w:t>
      </w:r>
      <w:r w:rsidRPr="00092ED7">
        <w:rPr>
          <w:rFonts w:cs="Times New Roman"/>
          <w:szCs w:val="24"/>
          <w:lang w:val="sr-Cyrl-CS"/>
        </w:rPr>
        <w:t>БИО4). Подразумева изградњу БИО4</w:t>
      </w:r>
      <w:r w:rsidRPr="00092ED7">
        <w:rPr>
          <w:rFonts w:eastAsia="Times New Roman" w:cs="Times New Roman"/>
          <w:szCs w:val="24"/>
          <w:lang w:val="sr-Cyrl-CS"/>
        </w:rPr>
        <w:t xml:space="preserve"> кампуса, који ће бити први овакав кампус у ширем региону и препозната тачка на глобалној мапи развоја у овој области. Изградњом овог кампуса биће створена прилика за концентрацију стручњака, мултидисциплинарних експертиза најмодернијих технологија и инфраструктуре (факултети, институти, научно-технолошки парк итд) у областима биотехнологије, биомедицине, биоинформатике и биодиверзитета.</w:t>
      </w:r>
    </w:p>
    <w:p w14:paraId="5E47E1F9" w14:textId="2B99E17A" w:rsidR="00D210F0" w:rsidRPr="00092ED7" w:rsidRDefault="00D210F0" w:rsidP="00047167">
      <w:pPr>
        <w:widowControl w:val="0"/>
        <w:spacing w:after="60"/>
        <w:rPr>
          <w:szCs w:val="24"/>
          <w:lang w:val="sr-Cyrl-CS"/>
        </w:rPr>
      </w:pPr>
      <w:r w:rsidRPr="00092ED7">
        <w:rPr>
          <w:rFonts w:eastAsia="Times New Roman" w:cs="Times New Roman"/>
          <w:color w:val="000000" w:themeColor="text1"/>
          <w:szCs w:val="24"/>
          <w:lang w:val="sr-Cyrl-CS"/>
        </w:rPr>
        <w:t xml:space="preserve">Током претходног периода </w:t>
      </w:r>
      <w:r w:rsidR="00D20607" w:rsidRPr="00092ED7">
        <w:rPr>
          <w:rFonts w:eastAsia="Times New Roman" w:cs="Times New Roman"/>
          <w:color w:val="000000" w:themeColor="text1"/>
          <w:szCs w:val="24"/>
          <w:lang w:val="sr-Cyrl-CS"/>
        </w:rPr>
        <w:t xml:space="preserve">припремљено </w:t>
      </w:r>
      <w:r w:rsidRPr="00092ED7">
        <w:rPr>
          <w:rFonts w:eastAsia="Times New Roman" w:cs="Times New Roman"/>
          <w:color w:val="000000" w:themeColor="text1"/>
          <w:szCs w:val="24"/>
          <w:lang w:val="sr-Cyrl-CS"/>
        </w:rPr>
        <w:t xml:space="preserve">је идејно решење </w:t>
      </w:r>
      <w:r w:rsidR="00D20607" w:rsidRPr="00092ED7">
        <w:rPr>
          <w:rFonts w:eastAsia="Times New Roman" w:cs="Times New Roman"/>
          <w:color w:val="000000" w:themeColor="text1"/>
          <w:szCs w:val="24"/>
          <w:lang w:val="sr-Cyrl-CS"/>
        </w:rPr>
        <w:t xml:space="preserve">за кампус </w:t>
      </w:r>
      <w:r w:rsidRPr="00092ED7">
        <w:rPr>
          <w:rFonts w:eastAsia="Times New Roman" w:cs="Times New Roman"/>
          <w:color w:val="000000" w:themeColor="text1"/>
          <w:szCs w:val="24"/>
          <w:lang w:val="sr-Cyrl-CS"/>
        </w:rPr>
        <w:t xml:space="preserve">и ради се на финализацији пројектно-техничке документације. Док се не изгради инфраструктура, БИО4 кампус се користи као платформа за повезивање са различитим партнерима, у држави и глобално, стога је, </w:t>
      </w:r>
      <w:r w:rsidR="00172EDF" w:rsidRPr="00092ED7">
        <w:rPr>
          <w:rFonts w:eastAsia="Times New Roman" w:cs="Times New Roman"/>
          <w:color w:val="000000" w:themeColor="text1"/>
          <w:szCs w:val="24"/>
          <w:lang w:val="sr-Cyrl-CS"/>
        </w:rPr>
        <w:t xml:space="preserve">како </w:t>
      </w:r>
      <w:r w:rsidRPr="00092ED7">
        <w:rPr>
          <w:rFonts w:eastAsia="Times New Roman" w:cs="Times New Roman"/>
          <w:color w:val="000000" w:themeColor="text1"/>
          <w:szCs w:val="24"/>
          <w:lang w:val="sr-Cyrl-CS"/>
        </w:rPr>
        <w:t>у претходном периоду</w:t>
      </w:r>
      <w:r w:rsidR="00172EDF" w:rsidRPr="00092ED7">
        <w:rPr>
          <w:rFonts w:eastAsia="Times New Roman" w:cs="Times New Roman"/>
          <w:color w:val="000000" w:themeColor="text1"/>
          <w:szCs w:val="24"/>
          <w:lang w:val="sr-Cyrl-CS"/>
        </w:rPr>
        <w:t xml:space="preserve"> тако и у наредном</w:t>
      </w:r>
      <w:r w:rsidRPr="00092ED7">
        <w:rPr>
          <w:rFonts w:eastAsia="Times New Roman" w:cs="Times New Roman"/>
          <w:color w:val="000000" w:themeColor="text1"/>
          <w:szCs w:val="24"/>
          <w:lang w:val="sr-Cyrl-CS"/>
        </w:rPr>
        <w:t xml:space="preserve">, </w:t>
      </w:r>
      <w:r w:rsidR="00172EDF" w:rsidRPr="00092ED7">
        <w:rPr>
          <w:rFonts w:eastAsia="Times New Roman" w:cs="Times New Roman"/>
          <w:color w:val="000000" w:themeColor="text1"/>
          <w:szCs w:val="24"/>
          <w:lang w:val="sr-Cyrl-CS"/>
        </w:rPr>
        <w:t xml:space="preserve">посебан приоритет </w:t>
      </w:r>
      <w:r w:rsidRPr="00092ED7">
        <w:rPr>
          <w:rFonts w:eastAsia="Times New Roman" w:cs="Times New Roman"/>
          <w:color w:val="000000" w:themeColor="text1"/>
          <w:szCs w:val="24"/>
          <w:lang w:val="sr-Cyrl-CS"/>
        </w:rPr>
        <w:t>повезивање са међународном истраживачком и пословном заједницом у овим областима.</w:t>
      </w:r>
      <w:r w:rsidRPr="00092ED7">
        <w:rPr>
          <w:szCs w:val="24"/>
          <w:lang w:val="sr-Cyrl-CS"/>
        </w:rPr>
        <w:t xml:space="preserve"> </w:t>
      </w:r>
      <w:r w:rsidRPr="00092ED7">
        <w:rPr>
          <w:rFonts w:eastAsia="Times New Roman" w:cs="Times New Roman"/>
          <w:color w:val="000000" w:themeColor="text1"/>
          <w:szCs w:val="24"/>
          <w:lang w:val="sr-Cyrl-CS"/>
        </w:rPr>
        <w:t xml:space="preserve">Упоредо са успостављањем </w:t>
      </w:r>
      <w:r w:rsidRPr="00092ED7">
        <w:rPr>
          <w:rFonts w:cs="Times New Roman"/>
          <w:szCs w:val="24"/>
          <w:lang w:val="sr-Cyrl-CS"/>
        </w:rPr>
        <w:t>БИО4</w:t>
      </w:r>
      <w:r w:rsidRPr="00092ED7">
        <w:rPr>
          <w:rFonts w:eastAsia="Times New Roman" w:cs="Times New Roman"/>
          <w:color w:val="000000" w:themeColor="text1"/>
          <w:szCs w:val="24"/>
          <w:lang w:val="sr-Cyrl-CS"/>
        </w:rPr>
        <w:t xml:space="preserve"> кампуса, интензивно се ради на трансформацији пословања и креирању планова реформи научно-истраживачких института, као и подизању њихових капацитета, будући да </w:t>
      </w:r>
      <w:r w:rsidR="00C270BD" w:rsidRPr="00092ED7">
        <w:rPr>
          <w:rFonts w:eastAsia="Times New Roman" w:cs="Times New Roman"/>
          <w:color w:val="000000" w:themeColor="text1"/>
          <w:szCs w:val="24"/>
          <w:lang w:val="sr-Cyrl-CS"/>
        </w:rPr>
        <w:t xml:space="preserve">је </w:t>
      </w:r>
      <w:r w:rsidRPr="00092ED7">
        <w:rPr>
          <w:rFonts w:eastAsia="Times New Roman" w:cs="Times New Roman"/>
          <w:color w:val="000000" w:themeColor="text1"/>
          <w:szCs w:val="24"/>
          <w:lang w:val="sr-Cyrl-CS"/>
        </w:rPr>
        <w:t xml:space="preserve">њихова улога у будућем функционисању </w:t>
      </w:r>
      <w:r w:rsidRPr="00092ED7">
        <w:rPr>
          <w:rFonts w:cs="Times New Roman"/>
          <w:szCs w:val="24"/>
          <w:lang w:val="sr-Cyrl-CS"/>
        </w:rPr>
        <w:t>БИО4</w:t>
      </w:r>
      <w:r w:rsidRPr="00092ED7">
        <w:rPr>
          <w:rFonts w:eastAsia="Times New Roman" w:cs="Times New Roman"/>
          <w:color w:val="000000" w:themeColor="text1"/>
          <w:szCs w:val="24"/>
          <w:lang w:val="sr-Cyrl-CS"/>
        </w:rPr>
        <w:t xml:space="preserve"> кампуса</w:t>
      </w:r>
      <w:r w:rsidR="00C270BD" w:rsidRPr="00092ED7">
        <w:rPr>
          <w:rFonts w:eastAsia="Times New Roman" w:cs="Times New Roman"/>
          <w:color w:val="000000" w:themeColor="text1"/>
          <w:szCs w:val="24"/>
          <w:lang w:val="sr-Cyrl-CS"/>
        </w:rPr>
        <w:t xml:space="preserve"> кључна</w:t>
      </w:r>
      <w:r w:rsidRPr="00092ED7">
        <w:rPr>
          <w:rFonts w:eastAsia="Times New Roman" w:cs="Times New Roman"/>
          <w:color w:val="000000" w:themeColor="text1"/>
          <w:szCs w:val="24"/>
          <w:lang w:val="sr-Cyrl-CS"/>
        </w:rPr>
        <w:t>.</w:t>
      </w:r>
    </w:p>
    <w:p w14:paraId="06B5007A" w14:textId="77777777" w:rsidR="00D210F0" w:rsidRPr="00092ED7" w:rsidRDefault="00D210F0" w:rsidP="00071952">
      <w:pPr>
        <w:widowControl w:val="0"/>
        <w:numPr>
          <w:ilvl w:val="0"/>
          <w:numId w:val="33"/>
        </w:numPr>
        <w:spacing w:before="120"/>
        <w:ind w:left="425" w:hanging="425"/>
        <w:rPr>
          <w:rFonts w:cs="Times New Roman"/>
          <w:b/>
          <w:smallCaps/>
          <w:lang w:val="sr-Cyrl-CS"/>
        </w:rPr>
      </w:pPr>
      <w:r w:rsidRPr="00092ED7">
        <w:rPr>
          <w:rFonts w:cs="Times New Roman"/>
          <w:b/>
          <w:bCs/>
          <w:szCs w:val="24"/>
          <w:lang w:val="sr-Cyrl-CS"/>
        </w:rPr>
        <w:t>Планиране активности по годинама</w:t>
      </w:r>
    </w:p>
    <w:tbl>
      <w:tblPr>
        <w:tblW w:w="9062" w:type="dxa"/>
        <w:tblLayout w:type="fixed"/>
        <w:tblCellMar>
          <w:left w:w="0" w:type="dxa"/>
          <w:right w:w="0" w:type="dxa"/>
        </w:tblCellMar>
        <w:tblLook w:val="04A0" w:firstRow="1" w:lastRow="0" w:firstColumn="1" w:lastColumn="0" w:noHBand="0" w:noVBand="1"/>
      </w:tblPr>
      <w:tblGrid>
        <w:gridCol w:w="417"/>
        <w:gridCol w:w="4251"/>
        <w:gridCol w:w="366"/>
        <w:gridCol w:w="367"/>
        <w:gridCol w:w="365"/>
        <w:gridCol w:w="368"/>
        <w:gridCol w:w="365"/>
        <w:gridCol w:w="366"/>
        <w:gridCol w:w="366"/>
        <w:gridCol w:w="367"/>
        <w:gridCol w:w="366"/>
        <w:gridCol w:w="365"/>
        <w:gridCol w:w="366"/>
        <w:gridCol w:w="367"/>
      </w:tblGrid>
      <w:tr w:rsidR="00D210F0" w:rsidRPr="00092ED7" w14:paraId="15239291" w14:textId="77777777" w:rsidTr="00B57FE8">
        <w:trPr>
          <w:trHeight w:val="310"/>
        </w:trPr>
        <w:tc>
          <w:tcPr>
            <w:tcW w:w="417" w:type="dxa"/>
            <w:vMerge w:val="restart"/>
            <w:tcBorders>
              <w:top w:val="single" w:sz="8" w:space="0" w:color="auto"/>
              <w:left w:val="single" w:sz="8" w:space="0" w:color="auto"/>
              <w:bottom w:val="single" w:sz="8" w:space="0" w:color="000000"/>
              <w:right w:val="nil"/>
            </w:tcBorders>
            <w:shd w:val="clear" w:color="auto" w:fill="BDD6EE"/>
            <w:tcMar>
              <w:top w:w="15" w:type="dxa"/>
              <w:left w:w="15" w:type="dxa"/>
              <w:bottom w:w="0" w:type="dxa"/>
              <w:right w:w="15" w:type="dxa"/>
            </w:tcMar>
            <w:vAlign w:val="center"/>
            <w:hideMark/>
          </w:tcPr>
          <w:p w14:paraId="68DFF4D3" w14:textId="77777777" w:rsidR="00D210F0" w:rsidRPr="00092ED7" w:rsidRDefault="00D210F0" w:rsidP="00B57FE8">
            <w:pPr>
              <w:spacing w:after="0"/>
              <w:rPr>
                <w:rFonts w:cs="Times New Roman"/>
                <w:sz w:val="20"/>
                <w:szCs w:val="20"/>
                <w:lang w:val="sr-Cyrl-CS"/>
              </w:rPr>
            </w:pPr>
            <w:r w:rsidRPr="00092ED7">
              <w:rPr>
                <w:rFonts w:cs="Times New Roman"/>
                <w:b/>
                <w:bCs/>
                <w:color w:val="000000"/>
                <w:sz w:val="20"/>
                <w:szCs w:val="20"/>
                <w:lang w:val="sr-Cyrl-CS"/>
              </w:rPr>
              <w:t>РБ</w:t>
            </w:r>
          </w:p>
        </w:tc>
        <w:tc>
          <w:tcPr>
            <w:tcW w:w="4251" w:type="dxa"/>
            <w:vMerge w:val="restart"/>
            <w:tcBorders>
              <w:top w:val="single" w:sz="8" w:space="0" w:color="auto"/>
              <w:left w:val="single" w:sz="8" w:space="0" w:color="auto"/>
              <w:bottom w:val="single" w:sz="8" w:space="0" w:color="000000"/>
              <w:right w:val="nil"/>
            </w:tcBorders>
            <w:shd w:val="clear" w:color="auto" w:fill="BDD6EE" w:themeFill="accent1" w:themeFillTint="66"/>
            <w:tcMar>
              <w:top w:w="15" w:type="dxa"/>
              <w:left w:w="15" w:type="dxa"/>
              <w:bottom w:w="0" w:type="dxa"/>
              <w:right w:w="15" w:type="dxa"/>
            </w:tcMar>
            <w:vAlign w:val="center"/>
            <w:hideMark/>
          </w:tcPr>
          <w:p w14:paraId="72C03ECE" w14:textId="77777777" w:rsidR="00D210F0" w:rsidRPr="00092ED7" w:rsidRDefault="00D210F0" w:rsidP="00B57FE8">
            <w:pPr>
              <w:spacing w:after="0"/>
              <w:rPr>
                <w:rFonts w:cs="Times New Roman"/>
                <w:sz w:val="20"/>
                <w:szCs w:val="20"/>
                <w:lang w:val="sr-Cyrl-CS"/>
              </w:rPr>
            </w:pPr>
            <w:r w:rsidRPr="00092ED7">
              <w:rPr>
                <w:rFonts w:cs="Times New Roman"/>
                <w:b/>
                <w:bCs/>
                <w:color w:val="000000"/>
                <w:sz w:val="20"/>
                <w:szCs w:val="20"/>
                <w:lang w:val="sr-Cyrl-CS"/>
              </w:rPr>
              <w:t>Планиране активности</w:t>
            </w:r>
          </w:p>
        </w:tc>
        <w:tc>
          <w:tcPr>
            <w:tcW w:w="1466" w:type="dxa"/>
            <w:gridSpan w:val="4"/>
            <w:tcBorders>
              <w:top w:val="single" w:sz="8" w:space="0" w:color="auto"/>
              <w:left w:val="single" w:sz="8" w:space="0" w:color="auto"/>
              <w:bottom w:val="single" w:sz="4" w:space="0" w:color="auto"/>
              <w:right w:val="single" w:sz="8" w:space="0" w:color="000000"/>
            </w:tcBorders>
            <w:shd w:val="clear" w:color="auto" w:fill="BDD6EE" w:themeFill="accent1" w:themeFillTint="66"/>
            <w:tcMar>
              <w:top w:w="15" w:type="dxa"/>
              <w:left w:w="15" w:type="dxa"/>
              <w:bottom w:w="0" w:type="dxa"/>
              <w:right w:w="15" w:type="dxa"/>
            </w:tcMar>
            <w:vAlign w:val="center"/>
            <w:hideMark/>
          </w:tcPr>
          <w:p w14:paraId="54366437" w14:textId="77777777" w:rsidR="00D210F0" w:rsidRPr="00092ED7" w:rsidRDefault="00D210F0" w:rsidP="00B57FE8">
            <w:pPr>
              <w:spacing w:after="0"/>
              <w:jc w:val="center"/>
              <w:rPr>
                <w:rFonts w:cs="Times New Roman"/>
                <w:b/>
                <w:bCs/>
                <w:color w:val="000000"/>
                <w:sz w:val="20"/>
                <w:szCs w:val="20"/>
                <w:lang w:val="sr-Cyrl-CS"/>
              </w:rPr>
            </w:pPr>
            <w:r w:rsidRPr="00092ED7">
              <w:rPr>
                <w:rFonts w:cs="Times New Roman"/>
                <w:b/>
                <w:bCs/>
                <w:color w:val="000000"/>
                <w:sz w:val="20"/>
                <w:szCs w:val="20"/>
                <w:lang w:val="sr-Cyrl-CS"/>
              </w:rPr>
              <w:t>2023</w:t>
            </w:r>
          </w:p>
        </w:tc>
        <w:tc>
          <w:tcPr>
            <w:tcW w:w="1464" w:type="dxa"/>
            <w:gridSpan w:val="4"/>
            <w:tcBorders>
              <w:top w:val="single" w:sz="8" w:space="0" w:color="auto"/>
              <w:left w:val="single" w:sz="8" w:space="0" w:color="auto"/>
              <w:bottom w:val="single" w:sz="4" w:space="0" w:color="auto"/>
              <w:right w:val="single" w:sz="8" w:space="0" w:color="000000"/>
            </w:tcBorders>
            <w:shd w:val="clear" w:color="auto" w:fill="BDD6EE" w:themeFill="accent1" w:themeFillTint="66"/>
            <w:tcMar>
              <w:top w:w="15" w:type="dxa"/>
              <w:left w:w="15" w:type="dxa"/>
              <w:bottom w:w="0" w:type="dxa"/>
              <w:right w:w="15" w:type="dxa"/>
            </w:tcMar>
            <w:vAlign w:val="center"/>
            <w:hideMark/>
          </w:tcPr>
          <w:p w14:paraId="45AF63BA" w14:textId="77777777" w:rsidR="00D210F0" w:rsidRPr="00092ED7" w:rsidRDefault="00D210F0" w:rsidP="00B57FE8">
            <w:pPr>
              <w:spacing w:after="0"/>
              <w:jc w:val="center"/>
              <w:rPr>
                <w:rFonts w:cs="Times New Roman"/>
                <w:b/>
                <w:bCs/>
                <w:color w:val="000000"/>
                <w:sz w:val="20"/>
                <w:szCs w:val="20"/>
                <w:lang w:val="sr-Cyrl-CS"/>
              </w:rPr>
            </w:pPr>
            <w:r w:rsidRPr="00092ED7">
              <w:rPr>
                <w:rFonts w:cs="Times New Roman"/>
                <w:b/>
                <w:bCs/>
                <w:color w:val="000000"/>
                <w:sz w:val="20"/>
                <w:szCs w:val="20"/>
                <w:lang w:val="sr-Cyrl-CS"/>
              </w:rPr>
              <w:t>2024</w:t>
            </w:r>
          </w:p>
        </w:tc>
        <w:tc>
          <w:tcPr>
            <w:tcW w:w="1464" w:type="dxa"/>
            <w:gridSpan w:val="4"/>
            <w:tcBorders>
              <w:top w:val="single" w:sz="8" w:space="0" w:color="auto"/>
              <w:left w:val="nil"/>
              <w:bottom w:val="single" w:sz="4" w:space="0" w:color="auto"/>
              <w:right w:val="single" w:sz="8" w:space="0" w:color="000000"/>
            </w:tcBorders>
            <w:shd w:val="clear" w:color="auto" w:fill="BDD6EE" w:themeFill="accent1" w:themeFillTint="66"/>
            <w:tcMar>
              <w:top w:w="15" w:type="dxa"/>
              <w:left w:w="15" w:type="dxa"/>
              <w:bottom w:w="0" w:type="dxa"/>
              <w:right w:w="15" w:type="dxa"/>
            </w:tcMar>
            <w:vAlign w:val="center"/>
            <w:hideMark/>
          </w:tcPr>
          <w:p w14:paraId="7491B6ED" w14:textId="77777777" w:rsidR="00D210F0" w:rsidRPr="00092ED7" w:rsidRDefault="00D210F0" w:rsidP="00B57FE8">
            <w:pPr>
              <w:spacing w:after="0"/>
              <w:jc w:val="center"/>
              <w:rPr>
                <w:rFonts w:cs="Times New Roman"/>
                <w:b/>
                <w:bCs/>
                <w:color w:val="000000"/>
                <w:sz w:val="20"/>
                <w:szCs w:val="20"/>
                <w:lang w:val="sr-Cyrl-CS"/>
              </w:rPr>
            </w:pPr>
            <w:r w:rsidRPr="00092ED7">
              <w:rPr>
                <w:rFonts w:cs="Times New Roman"/>
                <w:b/>
                <w:bCs/>
                <w:color w:val="000000"/>
                <w:sz w:val="20"/>
                <w:szCs w:val="20"/>
                <w:lang w:val="sr-Cyrl-CS"/>
              </w:rPr>
              <w:t>2025</w:t>
            </w:r>
          </w:p>
        </w:tc>
      </w:tr>
      <w:tr w:rsidR="00D210F0" w:rsidRPr="00092ED7" w14:paraId="1FBCABD7" w14:textId="77777777" w:rsidTr="00B57FE8">
        <w:trPr>
          <w:trHeight w:val="310"/>
        </w:trPr>
        <w:tc>
          <w:tcPr>
            <w:tcW w:w="417" w:type="dxa"/>
            <w:vMerge/>
            <w:tcBorders>
              <w:top w:val="single" w:sz="8" w:space="0" w:color="auto"/>
              <w:left w:val="single" w:sz="8" w:space="0" w:color="auto"/>
              <w:bottom w:val="single" w:sz="8" w:space="0" w:color="000000"/>
              <w:right w:val="nil"/>
            </w:tcBorders>
            <w:vAlign w:val="center"/>
            <w:hideMark/>
          </w:tcPr>
          <w:p w14:paraId="10BA90E2" w14:textId="77777777" w:rsidR="00D210F0" w:rsidRPr="00092ED7" w:rsidRDefault="00D210F0" w:rsidP="00B57FE8">
            <w:pPr>
              <w:spacing w:after="0"/>
              <w:rPr>
                <w:rFonts w:cs="Times New Roman"/>
                <w:sz w:val="20"/>
                <w:szCs w:val="20"/>
                <w:lang w:val="sr-Cyrl-CS" w:eastAsia="sr-Cyrl-CS" w:bidi="sr-Cyrl-CS"/>
              </w:rPr>
            </w:pPr>
          </w:p>
        </w:tc>
        <w:tc>
          <w:tcPr>
            <w:tcW w:w="4251" w:type="dxa"/>
            <w:vMerge/>
            <w:tcBorders>
              <w:top w:val="single" w:sz="8" w:space="0" w:color="auto"/>
              <w:left w:val="single" w:sz="8" w:space="0" w:color="auto"/>
              <w:bottom w:val="single" w:sz="8" w:space="0" w:color="000000"/>
              <w:right w:val="nil"/>
            </w:tcBorders>
            <w:shd w:val="clear" w:color="auto" w:fill="BDD6EE" w:themeFill="accent1" w:themeFillTint="66"/>
            <w:vAlign w:val="center"/>
            <w:hideMark/>
          </w:tcPr>
          <w:p w14:paraId="6054D729" w14:textId="77777777" w:rsidR="00D210F0" w:rsidRPr="00092ED7" w:rsidRDefault="00D210F0" w:rsidP="00B57FE8">
            <w:pPr>
              <w:spacing w:after="0"/>
              <w:rPr>
                <w:rFonts w:cs="Times New Roman"/>
                <w:sz w:val="20"/>
                <w:szCs w:val="20"/>
                <w:lang w:val="sr-Cyrl-CS" w:eastAsia="sr-Cyrl-CS" w:bidi="sr-Cyrl-CS"/>
              </w:rPr>
            </w:pPr>
          </w:p>
        </w:tc>
        <w:tc>
          <w:tcPr>
            <w:tcW w:w="366" w:type="dxa"/>
            <w:tcBorders>
              <w:top w:val="nil"/>
              <w:left w:val="single" w:sz="8" w:space="0" w:color="auto"/>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31CF2E6A" w14:textId="77777777" w:rsidR="00D210F0" w:rsidRPr="00092ED7" w:rsidRDefault="00D210F0" w:rsidP="00B57FE8">
            <w:pPr>
              <w:spacing w:after="0"/>
              <w:jc w:val="center"/>
              <w:rPr>
                <w:rFonts w:cs="Times New Roman"/>
                <w:i/>
                <w:iCs/>
                <w:color w:val="000000"/>
                <w:sz w:val="18"/>
                <w:szCs w:val="18"/>
                <w:lang w:val="sr-Cyrl-CS"/>
              </w:rPr>
            </w:pPr>
            <w:r w:rsidRPr="00092ED7">
              <w:rPr>
                <w:rFonts w:cs="Times New Roman"/>
                <w:i/>
                <w:iCs/>
                <w:color w:val="000000"/>
                <w:sz w:val="18"/>
                <w:szCs w:val="18"/>
                <w:lang w:val="sr-Cyrl-CS"/>
              </w:rPr>
              <w:t>Q1</w:t>
            </w:r>
          </w:p>
        </w:tc>
        <w:tc>
          <w:tcPr>
            <w:tcW w:w="367"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74346F46" w14:textId="77777777" w:rsidR="00D210F0" w:rsidRPr="00092ED7" w:rsidRDefault="00D210F0" w:rsidP="00B57FE8">
            <w:pPr>
              <w:spacing w:after="0"/>
              <w:jc w:val="center"/>
              <w:rPr>
                <w:rFonts w:cs="Times New Roman"/>
                <w:i/>
                <w:iCs/>
                <w:color w:val="000000"/>
                <w:sz w:val="18"/>
                <w:szCs w:val="18"/>
                <w:lang w:val="sr-Cyrl-CS"/>
              </w:rPr>
            </w:pPr>
            <w:r w:rsidRPr="00092ED7">
              <w:rPr>
                <w:rFonts w:cs="Times New Roman"/>
                <w:i/>
                <w:iCs/>
                <w:color w:val="000000"/>
                <w:sz w:val="18"/>
                <w:szCs w:val="18"/>
                <w:lang w:val="sr-Cyrl-CS"/>
              </w:rPr>
              <w:t>Q2</w:t>
            </w:r>
          </w:p>
        </w:tc>
        <w:tc>
          <w:tcPr>
            <w:tcW w:w="365"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1A9DB74F" w14:textId="77777777" w:rsidR="00D210F0" w:rsidRPr="00092ED7" w:rsidRDefault="00D210F0" w:rsidP="00B57FE8">
            <w:pPr>
              <w:spacing w:after="0"/>
              <w:jc w:val="center"/>
              <w:rPr>
                <w:rFonts w:cs="Times New Roman"/>
                <w:i/>
                <w:iCs/>
                <w:color w:val="000000"/>
                <w:sz w:val="18"/>
                <w:szCs w:val="18"/>
                <w:lang w:val="sr-Cyrl-CS"/>
              </w:rPr>
            </w:pPr>
            <w:r w:rsidRPr="00092ED7">
              <w:rPr>
                <w:rFonts w:cs="Times New Roman"/>
                <w:i/>
                <w:iCs/>
                <w:color w:val="000000"/>
                <w:sz w:val="18"/>
                <w:szCs w:val="18"/>
                <w:lang w:val="sr-Cyrl-CS"/>
              </w:rPr>
              <w:t>Q3</w:t>
            </w:r>
          </w:p>
        </w:tc>
        <w:tc>
          <w:tcPr>
            <w:tcW w:w="368" w:type="dxa"/>
            <w:tcBorders>
              <w:top w:val="nil"/>
              <w:left w:val="nil"/>
              <w:bottom w:val="single" w:sz="8" w:space="0" w:color="auto"/>
              <w:right w:val="single" w:sz="8" w:space="0" w:color="auto"/>
            </w:tcBorders>
            <w:shd w:val="clear" w:color="auto" w:fill="BDD6EE" w:themeFill="accent1" w:themeFillTint="66"/>
            <w:tcMar>
              <w:top w:w="15" w:type="dxa"/>
              <w:left w:w="15" w:type="dxa"/>
              <w:bottom w:w="0" w:type="dxa"/>
              <w:right w:w="15" w:type="dxa"/>
            </w:tcMar>
            <w:vAlign w:val="center"/>
            <w:hideMark/>
          </w:tcPr>
          <w:p w14:paraId="2F8E1450" w14:textId="77777777" w:rsidR="00D210F0" w:rsidRPr="00092ED7" w:rsidRDefault="00D210F0" w:rsidP="00B57FE8">
            <w:pPr>
              <w:spacing w:after="0"/>
              <w:jc w:val="center"/>
              <w:rPr>
                <w:rFonts w:cs="Times New Roman"/>
                <w:i/>
                <w:iCs/>
                <w:color w:val="000000"/>
                <w:sz w:val="18"/>
                <w:szCs w:val="18"/>
                <w:lang w:val="sr-Cyrl-CS"/>
              </w:rPr>
            </w:pPr>
            <w:r w:rsidRPr="00092ED7">
              <w:rPr>
                <w:rFonts w:cs="Times New Roman"/>
                <w:i/>
                <w:iCs/>
                <w:color w:val="000000"/>
                <w:sz w:val="18"/>
                <w:szCs w:val="18"/>
                <w:lang w:val="sr-Cyrl-CS"/>
              </w:rPr>
              <w:t>Q4</w:t>
            </w:r>
          </w:p>
        </w:tc>
        <w:tc>
          <w:tcPr>
            <w:tcW w:w="365"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78AE06E4" w14:textId="77777777" w:rsidR="00D210F0" w:rsidRPr="00092ED7" w:rsidRDefault="00D210F0" w:rsidP="00B57FE8">
            <w:pPr>
              <w:spacing w:after="0"/>
              <w:jc w:val="center"/>
              <w:rPr>
                <w:rFonts w:cs="Times New Roman"/>
                <w:i/>
                <w:iCs/>
                <w:color w:val="000000"/>
                <w:sz w:val="18"/>
                <w:szCs w:val="18"/>
                <w:lang w:val="sr-Cyrl-CS"/>
              </w:rPr>
            </w:pPr>
            <w:r w:rsidRPr="00092ED7">
              <w:rPr>
                <w:rFonts w:cs="Times New Roman"/>
                <w:i/>
                <w:iCs/>
                <w:color w:val="000000"/>
                <w:sz w:val="18"/>
                <w:szCs w:val="18"/>
                <w:lang w:val="sr-Cyrl-CS"/>
              </w:rPr>
              <w:t>Q1</w:t>
            </w:r>
          </w:p>
        </w:tc>
        <w:tc>
          <w:tcPr>
            <w:tcW w:w="366"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474B641F" w14:textId="77777777" w:rsidR="00D210F0" w:rsidRPr="00092ED7" w:rsidRDefault="00D210F0" w:rsidP="00B57FE8">
            <w:pPr>
              <w:spacing w:after="0"/>
              <w:jc w:val="center"/>
              <w:rPr>
                <w:rFonts w:cs="Times New Roman"/>
                <w:i/>
                <w:iCs/>
                <w:color w:val="000000"/>
                <w:sz w:val="18"/>
                <w:szCs w:val="18"/>
                <w:lang w:val="sr-Cyrl-CS"/>
              </w:rPr>
            </w:pPr>
            <w:r w:rsidRPr="00092ED7">
              <w:rPr>
                <w:rFonts w:cs="Times New Roman"/>
                <w:i/>
                <w:iCs/>
                <w:color w:val="000000"/>
                <w:sz w:val="18"/>
                <w:szCs w:val="18"/>
                <w:lang w:val="sr-Cyrl-CS"/>
              </w:rPr>
              <w:t>Q2</w:t>
            </w:r>
          </w:p>
        </w:tc>
        <w:tc>
          <w:tcPr>
            <w:tcW w:w="366"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324CC684" w14:textId="77777777" w:rsidR="00D210F0" w:rsidRPr="00092ED7" w:rsidRDefault="00D210F0" w:rsidP="00B57FE8">
            <w:pPr>
              <w:spacing w:after="0"/>
              <w:jc w:val="center"/>
              <w:rPr>
                <w:rFonts w:cs="Times New Roman"/>
                <w:i/>
                <w:iCs/>
                <w:color w:val="000000"/>
                <w:sz w:val="18"/>
                <w:szCs w:val="18"/>
                <w:lang w:val="sr-Cyrl-CS"/>
              </w:rPr>
            </w:pPr>
            <w:r w:rsidRPr="00092ED7">
              <w:rPr>
                <w:rFonts w:cs="Times New Roman"/>
                <w:i/>
                <w:iCs/>
                <w:color w:val="000000"/>
                <w:sz w:val="18"/>
                <w:szCs w:val="18"/>
                <w:lang w:val="sr-Cyrl-CS"/>
              </w:rPr>
              <w:t>Q3</w:t>
            </w:r>
          </w:p>
        </w:tc>
        <w:tc>
          <w:tcPr>
            <w:tcW w:w="367" w:type="dxa"/>
            <w:tcBorders>
              <w:top w:val="nil"/>
              <w:left w:val="nil"/>
              <w:bottom w:val="single" w:sz="8" w:space="0" w:color="auto"/>
              <w:right w:val="single" w:sz="8" w:space="0" w:color="auto"/>
            </w:tcBorders>
            <w:shd w:val="clear" w:color="auto" w:fill="BDD6EE" w:themeFill="accent1" w:themeFillTint="66"/>
            <w:tcMar>
              <w:top w:w="15" w:type="dxa"/>
              <w:left w:w="15" w:type="dxa"/>
              <w:bottom w:w="0" w:type="dxa"/>
              <w:right w:w="15" w:type="dxa"/>
            </w:tcMar>
            <w:vAlign w:val="center"/>
            <w:hideMark/>
          </w:tcPr>
          <w:p w14:paraId="466873D8" w14:textId="77777777" w:rsidR="00D210F0" w:rsidRPr="00092ED7" w:rsidRDefault="00D210F0" w:rsidP="00B57FE8">
            <w:pPr>
              <w:spacing w:after="0"/>
              <w:jc w:val="center"/>
              <w:rPr>
                <w:rFonts w:cs="Times New Roman"/>
                <w:i/>
                <w:iCs/>
                <w:color w:val="000000"/>
                <w:sz w:val="18"/>
                <w:szCs w:val="18"/>
                <w:lang w:val="sr-Cyrl-CS"/>
              </w:rPr>
            </w:pPr>
            <w:r w:rsidRPr="00092ED7">
              <w:rPr>
                <w:rFonts w:cs="Times New Roman"/>
                <w:i/>
                <w:iCs/>
                <w:color w:val="000000"/>
                <w:sz w:val="18"/>
                <w:szCs w:val="18"/>
                <w:lang w:val="sr-Cyrl-CS"/>
              </w:rPr>
              <w:t>Q4</w:t>
            </w:r>
          </w:p>
        </w:tc>
        <w:tc>
          <w:tcPr>
            <w:tcW w:w="366"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303100A8" w14:textId="77777777" w:rsidR="00D210F0" w:rsidRPr="00092ED7" w:rsidRDefault="00D210F0" w:rsidP="00B57FE8">
            <w:pPr>
              <w:spacing w:after="0"/>
              <w:jc w:val="center"/>
              <w:rPr>
                <w:rFonts w:cs="Times New Roman"/>
                <w:i/>
                <w:iCs/>
                <w:color w:val="000000"/>
                <w:sz w:val="18"/>
                <w:szCs w:val="18"/>
                <w:lang w:val="sr-Cyrl-CS"/>
              </w:rPr>
            </w:pPr>
            <w:r w:rsidRPr="00092ED7">
              <w:rPr>
                <w:rFonts w:cs="Times New Roman"/>
                <w:i/>
                <w:iCs/>
                <w:color w:val="000000"/>
                <w:sz w:val="18"/>
                <w:szCs w:val="18"/>
                <w:lang w:val="sr-Cyrl-CS"/>
              </w:rPr>
              <w:t>Q1</w:t>
            </w:r>
          </w:p>
        </w:tc>
        <w:tc>
          <w:tcPr>
            <w:tcW w:w="365"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62F3090B" w14:textId="77777777" w:rsidR="00D210F0" w:rsidRPr="00092ED7" w:rsidRDefault="00D210F0" w:rsidP="00B57FE8">
            <w:pPr>
              <w:spacing w:after="0"/>
              <w:jc w:val="center"/>
              <w:rPr>
                <w:rFonts w:cs="Times New Roman"/>
                <w:i/>
                <w:iCs/>
                <w:color w:val="000000"/>
                <w:sz w:val="18"/>
                <w:szCs w:val="18"/>
                <w:lang w:val="sr-Cyrl-CS"/>
              </w:rPr>
            </w:pPr>
            <w:r w:rsidRPr="00092ED7">
              <w:rPr>
                <w:rFonts w:cs="Times New Roman"/>
                <w:i/>
                <w:iCs/>
                <w:color w:val="000000"/>
                <w:sz w:val="18"/>
                <w:szCs w:val="18"/>
                <w:lang w:val="sr-Cyrl-CS"/>
              </w:rPr>
              <w:t>Q2</w:t>
            </w:r>
          </w:p>
        </w:tc>
        <w:tc>
          <w:tcPr>
            <w:tcW w:w="366"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20AEC6EF" w14:textId="77777777" w:rsidR="00D210F0" w:rsidRPr="00092ED7" w:rsidRDefault="00D210F0" w:rsidP="00B57FE8">
            <w:pPr>
              <w:spacing w:after="0"/>
              <w:jc w:val="center"/>
              <w:rPr>
                <w:rFonts w:cs="Times New Roman"/>
                <w:i/>
                <w:iCs/>
                <w:color w:val="000000"/>
                <w:sz w:val="18"/>
                <w:szCs w:val="18"/>
                <w:lang w:val="sr-Cyrl-CS"/>
              </w:rPr>
            </w:pPr>
            <w:r w:rsidRPr="00092ED7">
              <w:rPr>
                <w:rFonts w:cs="Times New Roman"/>
                <w:i/>
                <w:iCs/>
                <w:color w:val="000000"/>
                <w:sz w:val="18"/>
                <w:szCs w:val="18"/>
                <w:lang w:val="sr-Cyrl-CS"/>
              </w:rPr>
              <w:t>Q3</w:t>
            </w:r>
          </w:p>
        </w:tc>
        <w:tc>
          <w:tcPr>
            <w:tcW w:w="367" w:type="dxa"/>
            <w:tcBorders>
              <w:top w:val="nil"/>
              <w:left w:val="nil"/>
              <w:bottom w:val="single" w:sz="8" w:space="0" w:color="auto"/>
              <w:right w:val="single" w:sz="8" w:space="0" w:color="auto"/>
            </w:tcBorders>
            <w:shd w:val="clear" w:color="auto" w:fill="BDD6EE" w:themeFill="accent1" w:themeFillTint="66"/>
            <w:tcMar>
              <w:top w:w="15" w:type="dxa"/>
              <w:left w:w="15" w:type="dxa"/>
              <w:bottom w:w="0" w:type="dxa"/>
              <w:right w:w="15" w:type="dxa"/>
            </w:tcMar>
            <w:vAlign w:val="center"/>
            <w:hideMark/>
          </w:tcPr>
          <w:p w14:paraId="6C1293CA" w14:textId="77777777" w:rsidR="00D210F0" w:rsidRPr="00092ED7" w:rsidRDefault="00D210F0" w:rsidP="00B57FE8">
            <w:pPr>
              <w:spacing w:after="0"/>
              <w:jc w:val="center"/>
              <w:rPr>
                <w:rFonts w:cs="Times New Roman"/>
                <w:i/>
                <w:iCs/>
                <w:color w:val="000000"/>
                <w:sz w:val="18"/>
                <w:szCs w:val="18"/>
                <w:lang w:val="sr-Cyrl-CS"/>
              </w:rPr>
            </w:pPr>
            <w:r w:rsidRPr="00092ED7">
              <w:rPr>
                <w:rFonts w:cs="Times New Roman"/>
                <w:i/>
                <w:iCs/>
                <w:color w:val="000000"/>
                <w:sz w:val="18"/>
                <w:szCs w:val="18"/>
                <w:lang w:val="sr-Cyrl-CS"/>
              </w:rPr>
              <w:t>Q4</w:t>
            </w:r>
          </w:p>
        </w:tc>
      </w:tr>
      <w:tr w:rsidR="00D210F0" w:rsidRPr="00092ED7" w14:paraId="3B3CBDAF" w14:textId="77777777" w:rsidTr="00B57FE8">
        <w:trPr>
          <w:trHeight w:val="295"/>
        </w:trPr>
        <w:tc>
          <w:tcPr>
            <w:tcW w:w="417" w:type="dxa"/>
            <w:tcBorders>
              <w:top w:val="single" w:sz="4" w:space="0" w:color="auto"/>
              <w:left w:val="single" w:sz="8" w:space="0" w:color="auto"/>
              <w:bottom w:val="single" w:sz="4" w:space="0" w:color="auto"/>
              <w:right w:val="nil"/>
            </w:tcBorders>
            <w:tcMar>
              <w:top w:w="15" w:type="dxa"/>
              <w:left w:w="15" w:type="dxa"/>
              <w:bottom w:w="0" w:type="dxa"/>
              <w:right w:w="15" w:type="dxa"/>
            </w:tcMar>
            <w:hideMark/>
          </w:tcPr>
          <w:p w14:paraId="24190989" w14:textId="77777777" w:rsidR="00D210F0" w:rsidRPr="00092ED7" w:rsidRDefault="00D210F0" w:rsidP="00B57FE8">
            <w:pPr>
              <w:spacing w:after="0"/>
              <w:jc w:val="center"/>
              <w:rPr>
                <w:rFonts w:cs="Times New Roman"/>
                <w:b/>
                <w:sz w:val="20"/>
                <w:szCs w:val="20"/>
                <w:lang w:val="sr-Cyrl-CS"/>
              </w:rPr>
            </w:pPr>
            <w:r w:rsidRPr="00092ED7">
              <w:rPr>
                <w:rFonts w:cs="Times New Roman"/>
                <w:b/>
                <w:sz w:val="20"/>
                <w:szCs w:val="20"/>
                <w:lang w:val="sr-Cyrl-CS"/>
              </w:rPr>
              <w:t>1.</w:t>
            </w:r>
          </w:p>
        </w:tc>
        <w:tc>
          <w:tcPr>
            <w:tcW w:w="4251" w:type="dxa"/>
            <w:tcBorders>
              <w:top w:val="single" w:sz="4" w:space="0" w:color="auto"/>
              <w:left w:val="single" w:sz="8" w:space="0" w:color="auto"/>
              <w:bottom w:val="single" w:sz="4" w:space="0" w:color="auto"/>
              <w:right w:val="nil"/>
            </w:tcBorders>
            <w:tcMar>
              <w:top w:w="15" w:type="dxa"/>
              <w:left w:w="15" w:type="dxa"/>
              <w:bottom w:w="0" w:type="dxa"/>
              <w:right w:w="15" w:type="dxa"/>
            </w:tcMar>
            <w:hideMark/>
          </w:tcPr>
          <w:p w14:paraId="6F8F899C" w14:textId="77777777" w:rsidR="00D210F0" w:rsidRPr="00092ED7" w:rsidRDefault="00D210F0" w:rsidP="00B57FE8">
            <w:pPr>
              <w:spacing w:after="0"/>
              <w:ind w:right="210"/>
              <w:rPr>
                <w:rFonts w:cs="Times New Roman"/>
                <w:sz w:val="20"/>
                <w:szCs w:val="20"/>
                <w:lang w:val="sr-Cyrl-CS"/>
              </w:rPr>
            </w:pPr>
            <w:r w:rsidRPr="00092ED7">
              <w:rPr>
                <w:rFonts w:cs="Times New Roman"/>
                <w:sz w:val="20"/>
                <w:szCs w:val="20"/>
                <w:lang w:val="sr-Cyrl-CS"/>
              </w:rPr>
              <w:t xml:space="preserve">Припрема </w:t>
            </w:r>
            <w:r w:rsidR="00C97C81" w:rsidRPr="00092ED7">
              <w:rPr>
                <w:rFonts w:cs="Times New Roman"/>
                <w:sz w:val="20"/>
                <w:szCs w:val="20"/>
                <w:lang w:val="sr-Cyrl-CS"/>
              </w:rPr>
              <w:t xml:space="preserve">пројектно-техничке </w:t>
            </w:r>
            <w:r w:rsidRPr="00092ED7">
              <w:rPr>
                <w:rFonts w:cs="Times New Roman"/>
                <w:sz w:val="20"/>
                <w:szCs w:val="20"/>
                <w:lang w:val="sr-Cyrl-CS"/>
              </w:rPr>
              <w:t>документације за изградњу БИО4 кампуса и обезбеђивање извора финансирања изградње</w:t>
            </w:r>
          </w:p>
        </w:tc>
        <w:tc>
          <w:tcPr>
            <w:tcW w:w="366" w:type="dxa"/>
            <w:tcBorders>
              <w:top w:val="single" w:sz="4" w:space="0" w:color="auto"/>
              <w:left w:val="single" w:sz="8"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09F1264" w14:textId="77777777" w:rsidR="00D210F0" w:rsidRPr="00092ED7" w:rsidRDefault="00D210F0" w:rsidP="00B57FE8">
            <w:pPr>
              <w:spacing w:after="0"/>
              <w:rPr>
                <w:rFonts w:cs="Times New Roman"/>
                <w:color w:val="000000"/>
                <w:sz w:val="18"/>
                <w:szCs w:val="18"/>
                <w:lang w:val="sr-Cyrl-CS"/>
              </w:rPr>
            </w:pPr>
          </w:p>
        </w:tc>
        <w:tc>
          <w:tcPr>
            <w:tcW w:w="367"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219175C0" w14:textId="77777777" w:rsidR="00D210F0" w:rsidRPr="00092ED7" w:rsidRDefault="00D210F0" w:rsidP="00B57FE8">
            <w:pPr>
              <w:spacing w:after="0"/>
              <w:rPr>
                <w:rFonts w:cs="Times New Roman"/>
                <w:color w:val="000000"/>
                <w:sz w:val="18"/>
                <w:szCs w:val="18"/>
                <w:lang w:val="sr-Cyrl-CS"/>
              </w:rPr>
            </w:pPr>
          </w:p>
        </w:tc>
        <w:tc>
          <w:tcPr>
            <w:tcW w:w="365"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45EFE1F" w14:textId="77777777" w:rsidR="00D210F0" w:rsidRPr="00092ED7" w:rsidRDefault="00D210F0" w:rsidP="00B57FE8">
            <w:pPr>
              <w:spacing w:after="0"/>
              <w:rPr>
                <w:rFonts w:cs="Times New Roman"/>
                <w:color w:val="000000"/>
                <w:sz w:val="18"/>
                <w:szCs w:val="18"/>
                <w:lang w:val="sr-Cyrl-CS"/>
              </w:rPr>
            </w:pPr>
          </w:p>
        </w:tc>
        <w:tc>
          <w:tcPr>
            <w:tcW w:w="368" w:type="dxa"/>
            <w:tcBorders>
              <w:top w:val="single" w:sz="4" w:space="0" w:color="auto"/>
              <w:left w:val="nil"/>
              <w:bottom w:val="single" w:sz="4" w:space="0" w:color="auto"/>
              <w:right w:val="single" w:sz="8" w:space="0" w:color="auto"/>
            </w:tcBorders>
            <w:tcMar>
              <w:top w:w="15" w:type="dxa"/>
              <w:left w:w="15" w:type="dxa"/>
              <w:bottom w:w="0" w:type="dxa"/>
              <w:right w:w="15" w:type="dxa"/>
            </w:tcMar>
          </w:tcPr>
          <w:p w14:paraId="2B47CE05" w14:textId="77777777" w:rsidR="00D210F0" w:rsidRPr="00092ED7" w:rsidRDefault="00D210F0" w:rsidP="00B57FE8">
            <w:pPr>
              <w:spacing w:after="0"/>
              <w:rPr>
                <w:rFonts w:cs="Times New Roman"/>
                <w:color w:val="000000"/>
                <w:sz w:val="18"/>
                <w:szCs w:val="18"/>
                <w:lang w:val="sr-Cyrl-CS"/>
              </w:rPr>
            </w:pPr>
          </w:p>
        </w:tc>
        <w:tc>
          <w:tcPr>
            <w:tcW w:w="365" w:type="dxa"/>
            <w:tcBorders>
              <w:top w:val="single" w:sz="4" w:space="0" w:color="auto"/>
              <w:left w:val="nil"/>
              <w:bottom w:val="single" w:sz="4" w:space="0" w:color="auto"/>
              <w:right w:val="single" w:sz="4" w:space="0" w:color="auto"/>
            </w:tcBorders>
            <w:tcMar>
              <w:top w:w="15" w:type="dxa"/>
              <w:left w:w="15" w:type="dxa"/>
              <w:bottom w:w="0" w:type="dxa"/>
              <w:right w:w="15" w:type="dxa"/>
            </w:tcMar>
          </w:tcPr>
          <w:p w14:paraId="7CB758B9" w14:textId="77777777" w:rsidR="00D210F0" w:rsidRPr="00092ED7" w:rsidRDefault="00D210F0" w:rsidP="00B57FE8">
            <w:pPr>
              <w:spacing w:after="0"/>
              <w:rPr>
                <w:rFonts w:cs="Times New Roman"/>
                <w:color w:val="000000"/>
                <w:sz w:val="18"/>
                <w:szCs w:val="18"/>
                <w:lang w:val="sr-Cyrl-CS"/>
              </w:rPr>
            </w:pPr>
          </w:p>
        </w:tc>
        <w:tc>
          <w:tcPr>
            <w:tcW w:w="366" w:type="dxa"/>
            <w:tcBorders>
              <w:top w:val="single" w:sz="4" w:space="0" w:color="auto"/>
              <w:left w:val="nil"/>
              <w:bottom w:val="single" w:sz="4" w:space="0" w:color="auto"/>
              <w:right w:val="single" w:sz="4" w:space="0" w:color="auto"/>
            </w:tcBorders>
            <w:tcMar>
              <w:top w:w="15" w:type="dxa"/>
              <w:left w:w="15" w:type="dxa"/>
              <w:bottom w:w="0" w:type="dxa"/>
              <w:right w:w="15" w:type="dxa"/>
            </w:tcMar>
          </w:tcPr>
          <w:p w14:paraId="20D3B947" w14:textId="77777777" w:rsidR="00D210F0" w:rsidRPr="00092ED7" w:rsidRDefault="00D210F0" w:rsidP="00B57FE8">
            <w:pPr>
              <w:spacing w:after="0"/>
              <w:rPr>
                <w:rFonts w:cs="Times New Roman"/>
                <w:color w:val="000000"/>
                <w:sz w:val="18"/>
                <w:szCs w:val="18"/>
                <w:lang w:val="sr-Cyrl-CS"/>
              </w:rPr>
            </w:pPr>
          </w:p>
        </w:tc>
        <w:tc>
          <w:tcPr>
            <w:tcW w:w="366" w:type="dxa"/>
            <w:tcBorders>
              <w:top w:val="single" w:sz="4" w:space="0" w:color="auto"/>
              <w:left w:val="nil"/>
              <w:bottom w:val="single" w:sz="4" w:space="0" w:color="auto"/>
              <w:right w:val="single" w:sz="4" w:space="0" w:color="auto"/>
            </w:tcBorders>
            <w:tcMar>
              <w:top w:w="15" w:type="dxa"/>
              <w:left w:w="15" w:type="dxa"/>
              <w:bottom w:w="0" w:type="dxa"/>
              <w:right w:w="15" w:type="dxa"/>
            </w:tcMar>
          </w:tcPr>
          <w:p w14:paraId="7577AD3C" w14:textId="77777777" w:rsidR="00D210F0" w:rsidRPr="00092ED7" w:rsidRDefault="00D210F0" w:rsidP="00B57FE8">
            <w:pPr>
              <w:spacing w:after="0"/>
              <w:rPr>
                <w:rFonts w:cs="Times New Roman"/>
                <w:color w:val="000000"/>
                <w:sz w:val="18"/>
                <w:szCs w:val="18"/>
                <w:lang w:val="sr-Cyrl-CS"/>
              </w:rPr>
            </w:pPr>
          </w:p>
        </w:tc>
        <w:tc>
          <w:tcPr>
            <w:tcW w:w="367" w:type="dxa"/>
            <w:tcBorders>
              <w:top w:val="single" w:sz="4" w:space="0" w:color="auto"/>
              <w:left w:val="nil"/>
              <w:bottom w:val="single" w:sz="4" w:space="0" w:color="auto"/>
              <w:right w:val="single" w:sz="8" w:space="0" w:color="auto"/>
            </w:tcBorders>
            <w:tcMar>
              <w:top w:w="15" w:type="dxa"/>
              <w:left w:w="15" w:type="dxa"/>
              <w:bottom w:w="0" w:type="dxa"/>
              <w:right w:w="15" w:type="dxa"/>
            </w:tcMar>
          </w:tcPr>
          <w:p w14:paraId="0B3DCBD7" w14:textId="77777777" w:rsidR="00D210F0" w:rsidRPr="00092ED7" w:rsidRDefault="00D210F0" w:rsidP="00B57FE8">
            <w:pPr>
              <w:spacing w:after="0"/>
              <w:rPr>
                <w:rFonts w:cs="Times New Roman"/>
                <w:color w:val="000000"/>
                <w:sz w:val="18"/>
                <w:szCs w:val="18"/>
                <w:lang w:val="sr-Cyrl-CS"/>
              </w:rPr>
            </w:pPr>
          </w:p>
        </w:tc>
        <w:tc>
          <w:tcPr>
            <w:tcW w:w="366" w:type="dxa"/>
            <w:tcBorders>
              <w:top w:val="single" w:sz="4" w:space="0" w:color="auto"/>
              <w:left w:val="nil"/>
              <w:bottom w:val="single" w:sz="4" w:space="0" w:color="auto"/>
              <w:right w:val="single" w:sz="4" w:space="0" w:color="auto"/>
            </w:tcBorders>
            <w:tcMar>
              <w:top w:w="15" w:type="dxa"/>
              <w:left w:w="15" w:type="dxa"/>
              <w:bottom w:w="0" w:type="dxa"/>
              <w:right w:w="15" w:type="dxa"/>
            </w:tcMar>
          </w:tcPr>
          <w:p w14:paraId="5CC1A017" w14:textId="77777777" w:rsidR="00D210F0" w:rsidRPr="00092ED7" w:rsidRDefault="00D210F0" w:rsidP="00B57FE8">
            <w:pPr>
              <w:spacing w:after="0"/>
              <w:rPr>
                <w:rFonts w:cs="Times New Roman"/>
                <w:color w:val="000000"/>
                <w:sz w:val="18"/>
                <w:szCs w:val="18"/>
                <w:lang w:val="sr-Cyrl-CS"/>
              </w:rPr>
            </w:pPr>
          </w:p>
        </w:tc>
        <w:tc>
          <w:tcPr>
            <w:tcW w:w="365" w:type="dxa"/>
            <w:tcBorders>
              <w:top w:val="single" w:sz="4" w:space="0" w:color="auto"/>
              <w:left w:val="nil"/>
              <w:bottom w:val="single" w:sz="4" w:space="0" w:color="auto"/>
              <w:right w:val="single" w:sz="4" w:space="0" w:color="auto"/>
            </w:tcBorders>
            <w:tcMar>
              <w:top w:w="15" w:type="dxa"/>
              <w:left w:w="15" w:type="dxa"/>
              <w:bottom w:w="0" w:type="dxa"/>
              <w:right w:w="15" w:type="dxa"/>
            </w:tcMar>
          </w:tcPr>
          <w:p w14:paraId="0B2779E9" w14:textId="77777777" w:rsidR="00D210F0" w:rsidRPr="00092ED7" w:rsidRDefault="00D210F0" w:rsidP="00B57FE8">
            <w:pPr>
              <w:spacing w:after="0"/>
              <w:rPr>
                <w:rFonts w:cs="Times New Roman"/>
                <w:color w:val="000000"/>
                <w:sz w:val="18"/>
                <w:szCs w:val="18"/>
                <w:lang w:val="sr-Cyrl-CS"/>
              </w:rPr>
            </w:pPr>
          </w:p>
        </w:tc>
        <w:tc>
          <w:tcPr>
            <w:tcW w:w="366" w:type="dxa"/>
            <w:tcBorders>
              <w:top w:val="single" w:sz="4" w:space="0" w:color="auto"/>
              <w:left w:val="nil"/>
              <w:bottom w:val="single" w:sz="4" w:space="0" w:color="auto"/>
              <w:right w:val="single" w:sz="4" w:space="0" w:color="auto"/>
            </w:tcBorders>
            <w:tcMar>
              <w:top w:w="15" w:type="dxa"/>
              <w:left w:w="15" w:type="dxa"/>
              <w:bottom w:w="0" w:type="dxa"/>
              <w:right w:w="15" w:type="dxa"/>
            </w:tcMar>
          </w:tcPr>
          <w:p w14:paraId="047C942C" w14:textId="77777777" w:rsidR="00D210F0" w:rsidRPr="00092ED7" w:rsidRDefault="00D210F0" w:rsidP="00B57FE8">
            <w:pPr>
              <w:spacing w:after="0"/>
              <w:rPr>
                <w:rFonts w:cs="Times New Roman"/>
                <w:color w:val="000000"/>
                <w:sz w:val="18"/>
                <w:szCs w:val="18"/>
                <w:lang w:val="sr-Cyrl-CS"/>
              </w:rPr>
            </w:pPr>
          </w:p>
        </w:tc>
        <w:tc>
          <w:tcPr>
            <w:tcW w:w="367" w:type="dxa"/>
            <w:tcBorders>
              <w:top w:val="single" w:sz="4" w:space="0" w:color="auto"/>
              <w:left w:val="nil"/>
              <w:bottom w:val="single" w:sz="4" w:space="0" w:color="auto"/>
              <w:right w:val="single" w:sz="8" w:space="0" w:color="auto"/>
            </w:tcBorders>
            <w:tcMar>
              <w:top w:w="15" w:type="dxa"/>
              <w:left w:w="15" w:type="dxa"/>
              <w:bottom w:w="0" w:type="dxa"/>
              <w:right w:w="15" w:type="dxa"/>
            </w:tcMar>
          </w:tcPr>
          <w:p w14:paraId="3A4D1C20" w14:textId="77777777" w:rsidR="00D210F0" w:rsidRPr="00092ED7" w:rsidRDefault="00D210F0" w:rsidP="00B57FE8">
            <w:pPr>
              <w:spacing w:after="0"/>
              <w:rPr>
                <w:rFonts w:cs="Times New Roman"/>
                <w:color w:val="000000"/>
                <w:sz w:val="18"/>
                <w:szCs w:val="18"/>
                <w:lang w:val="sr-Cyrl-CS"/>
              </w:rPr>
            </w:pPr>
          </w:p>
        </w:tc>
      </w:tr>
      <w:tr w:rsidR="00D210F0" w:rsidRPr="00092ED7" w14:paraId="0AE6D62D" w14:textId="77777777" w:rsidTr="00CB66AD">
        <w:trPr>
          <w:trHeight w:val="295"/>
        </w:trPr>
        <w:tc>
          <w:tcPr>
            <w:tcW w:w="417" w:type="dxa"/>
            <w:tcBorders>
              <w:top w:val="nil"/>
              <w:left w:val="single" w:sz="8" w:space="0" w:color="auto"/>
              <w:bottom w:val="single" w:sz="4" w:space="0" w:color="auto"/>
              <w:right w:val="nil"/>
            </w:tcBorders>
            <w:tcMar>
              <w:top w:w="15" w:type="dxa"/>
              <w:left w:w="15" w:type="dxa"/>
              <w:bottom w:w="0" w:type="dxa"/>
              <w:right w:w="15" w:type="dxa"/>
            </w:tcMar>
            <w:hideMark/>
          </w:tcPr>
          <w:p w14:paraId="2445B60C" w14:textId="77777777" w:rsidR="00D210F0" w:rsidRPr="00092ED7" w:rsidRDefault="00D210F0" w:rsidP="00B57FE8">
            <w:pPr>
              <w:spacing w:after="0"/>
              <w:jc w:val="center"/>
              <w:rPr>
                <w:rFonts w:cs="Times New Roman"/>
                <w:b/>
                <w:sz w:val="20"/>
                <w:szCs w:val="20"/>
                <w:lang w:val="sr-Cyrl-CS"/>
              </w:rPr>
            </w:pPr>
            <w:r w:rsidRPr="00092ED7">
              <w:rPr>
                <w:rFonts w:cs="Times New Roman"/>
                <w:b/>
                <w:sz w:val="20"/>
                <w:szCs w:val="20"/>
                <w:lang w:val="sr-Cyrl-CS"/>
              </w:rPr>
              <w:t>2.</w:t>
            </w:r>
          </w:p>
        </w:tc>
        <w:tc>
          <w:tcPr>
            <w:tcW w:w="4251" w:type="dxa"/>
            <w:tcBorders>
              <w:top w:val="nil"/>
              <w:left w:val="single" w:sz="8" w:space="0" w:color="auto"/>
              <w:bottom w:val="single" w:sz="4" w:space="0" w:color="auto"/>
              <w:right w:val="single" w:sz="4" w:space="0" w:color="auto"/>
            </w:tcBorders>
            <w:tcMar>
              <w:top w:w="15" w:type="dxa"/>
              <w:left w:w="15" w:type="dxa"/>
              <w:bottom w:w="0" w:type="dxa"/>
              <w:right w:w="15" w:type="dxa"/>
            </w:tcMar>
            <w:hideMark/>
          </w:tcPr>
          <w:p w14:paraId="2165AB2D" w14:textId="77777777" w:rsidR="00D210F0" w:rsidRPr="00092ED7" w:rsidRDefault="00D210F0" w:rsidP="00B57FE8">
            <w:pPr>
              <w:spacing w:after="0"/>
              <w:ind w:right="210"/>
              <w:rPr>
                <w:rFonts w:cs="Times New Roman"/>
                <w:sz w:val="20"/>
                <w:szCs w:val="20"/>
                <w:lang w:val="sr-Cyrl-CS"/>
              </w:rPr>
            </w:pPr>
            <w:r w:rsidRPr="00092ED7">
              <w:rPr>
                <w:rFonts w:cs="Times New Roman"/>
                <w:sz w:val="20"/>
                <w:szCs w:val="20"/>
                <w:lang w:val="sr-Cyrl-CS"/>
              </w:rPr>
              <w:t>Изградња БИО4 кампуса, укључујући припрему спецификације и набавку потребне опреме</w:t>
            </w:r>
          </w:p>
        </w:tc>
        <w:tc>
          <w:tcPr>
            <w:tcW w:w="366" w:type="dxa"/>
            <w:tcBorders>
              <w:top w:val="nil"/>
              <w:left w:val="single" w:sz="8"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4649565" w14:textId="77777777" w:rsidR="00D210F0" w:rsidRPr="00092ED7" w:rsidRDefault="00D210F0" w:rsidP="00B57FE8">
            <w:pPr>
              <w:spacing w:after="0"/>
              <w:rPr>
                <w:rFonts w:cs="Times New Roman"/>
                <w:color w:val="000000"/>
                <w:sz w:val="18"/>
                <w:szCs w:val="18"/>
                <w:lang w:val="sr-Cyrl-CS"/>
              </w:rPr>
            </w:pPr>
          </w:p>
        </w:tc>
        <w:tc>
          <w:tcPr>
            <w:tcW w:w="367"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31C41870" w14:textId="77777777" w:rsidR="00D210F0" w:rsidRPr="00092ED7" w:rsidRDefault="00D210F0" w:rsidP="00B57FE8">
            <w:pPr>
              <w:spacing w:after="0"/>
              <w:rPr>
                <w:rFonts w:cs="Times New Roman"/>
                <w:color w:val="000000"/>
                <w:sz w:val="18"/>
                <w:szCs w:val="18"/>
                <w:lang w:val="sr-Cyrl-CS"/>
              </w:rPr>
            </w:pPr>
          </w:p>
        </w:tc>
        <w:tc>
          <w:tcPr>
            <w:tcW w:w="365"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AEA44DF" w14:textId="77777777" w:rsidR="00D210F0" w:rsidRPr="00092ED7" w:rsidRDefault="00D210F0" w:rsidP="00B57FE8">
            <w:pPr>
              <w:spacing w:after="0"/>
              <w:rPr>
                <w:rFonts w:cs="Times New Roman"/>
                <w:color w:val="000000"/>
                <w:sz w:val="18"/>
                <w:szCs w:val="18"/>
                <w:lang w:val="sr-Cyrl-CS"/>
              </w:rPr>
            </w:pPr>
          </w:p>
        </w:tc>
        <w:tc>
          <w:tcPr>
            <w:tcW w:w="368"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18610418" w14:textId="77777777" w:rsidR="00D210F0" w:rsidRPr="00092ED7" w:rsidRDefault="00D210F0" w:rsidP="00B57FE8">
            <w:pPr>
              <w:spacing w:after="0"/>
              <w:rPr>
                <w:rFonts w:cs="Times New Roman"/>
                <w:color w:val="000000"/>
                <w:sz w:val="18"/>
                <w:szCs w:val="18"/>
                <w:lang w:val="sr-Cyrl-CS"/>
              </w:rPr>
            </w:pPr>
          </w:p>
        </w:tc>
        <w:tc>
          <w:tcPr>
            <w:tcW w:w="365"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CE6C178" w14:textId="77777777" w:rsidR="00D210F0" w:rsidRPr="00092ED7" w:rsidRDefault="00D210F0" w:rsidP="00B57FE8">
            <w:pPr>
              <w:spacing w:after="0"/>
              <w:rPr>
                <w:rFonts w:cs="Times New Roman"/>
                <w:color w:val="000000"/>
                <w:sz w:val="18"/>
                <w:szCs w:val="18"/>
                <w:lang w:val="sr-Cyrl-CS"/>
              </w:rPr>
            </w:pPr>
          </w:p>
        </w:tc>
        <w:tc>
          <w:tcPr>
            <w:tcW w:w="366"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B98EDA4" w14:textId="77777777" w:rsidR="00D210F0" w:rsidRPr="00092ED7" w:rsidRDefault="00D210F0" w:rsidP="00B57FE8">
            <w:pPr>
              <w:spacing w:after="0"/>
              <w:rPr>
                <w:rFonts w:cs="Times New Roman"/>
                <w:color w:val="000000"/>
                <w:sz w:val="18"/>
                <w:szCs w:val="18"/>
                <w:lang w:val="sr-Cyrl-CS"/>
              </w:rPr>
            </w:pPr>
          </w:p>
        </w:tc>
        <w:tc>
          <w:tcPr>
            <w:tcW w:w="366"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4E16646" w14:textId="77777777" w:rsidR="00D210F0" w:rsidRPr="00092ED7" w:rsidRDefault="00D210F0" w:rsidP="00B57FE8">
            <w:pPr>
              <w:spacing w:after="0"/>
              <w:rPr>
                <w:rFonts w:cs="Times New Roman"/>
                <w:color w:val="000000"/>
                <w:sz w:val="18"/>
                <w:szCs w:val="18"/>
                <w:lang w:val="sr-Cyrl-CS"/>
              </w:rPr>
            </w:pPr>
          </w:p>
        </w:tc>
        <w:tc>
          <w:tcPr>
            <w:tcW w:w="367"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661D6006" w14:textId="77777777" w:rsidR="00D210F0" w:rsidRPr="00092ED7" w:rsidRDefault="00D210F0" w:rsidP="00B57FE8">
            <w:pPr>
              <w:spacing w:after="0"/>
              <w:rPr>
                <w:rFonts w:cs="Times New Roman"/>
                <w:color w:val="000000"/>
                <w:sz w:val="18"/>
                <w:szCs w:val="18"/>
                <w:lang w:val="sr-Cyrl-CS"/>
              </w:rPr>
            </w:pPr>
          </w:p>
        </w:tc>
        <w:tc>
          <w:tcPr>
            <w:tcW w:w="366"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0FF9A2CB" w14:textId="77777777" w:rsidR="00D210F0" w:rsidRPr="00092ED7" w:rsidRDefault="00D210F0" w:rsidP="00B57FE8">
            <w:pPr>
              <w:spacing w:after="0"/>
              <w:rPr>
                <w:rFonts w:cs="Times New Roman"/>
                <w:color w:val="000000"/>
                <w:sz w:val="18"/>
                <w:szCs w:val="18"/>
                <w:lang w:val="sr-Cyrl-CS"/>
              </w:rPr>
            </w:pPr>
          </w:p>
        </w:tc>
        <w:tc>
          <w:tcPr>
            <w:tcW w:w="365"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6E70CB3" w14:textId="77777777" w:rsidR="00D210F0" w:rsidRPr="00092ED7" w:rsidRDefault="00D210F0" w:rsidP="00B57FE8">
            <w:pPr>
              <w:spacing w:after="0"/>
              <w:rPr>
                <w:rFonts w:cs="Times New Roman"/>
                <w:color w:val="000000"/>
                <w:sz w:val="18"/>
                <w:szCs w:val="18"/>
                <w:lang w:val="sr-Cyrl-CS"/>
              </w:rPr>
            </w:pPr>
          </w:p>
        </w:tc>
        <w:tc>
          <w:tcPr>
            <w:tcW w:w="366"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8DF2FC2" w14:textId="77777777" w:rsidR="00D210F0" w:rsidRPr="00092ED7" w:rsidRDefault="00D210F0" w:rsidP="00B57FE8">
            <w:pPr>
              <w:spacing w:after="0"/>
              <w:rPr>
                <w:rFonts w:cs="Times New Roman"/>
                <w:color w:val="000000"/>
                <w:sz w:val="18"/>
                <w:szCs w:val="18"/>
                <w:lang w:val="sr-Cyrl-CS"/>
              </w:rPr>
            </w:pPr>
          </w:p>
        </w:tc>
        <w:tc>
          <w:tcPr>
            <w:tcW w:w="367" w:type="dxa"/>
            <w:tcBorders>
              <w:top w:val="nil"/>
              <w:left w:val="nil"/>
              <w:bottom w:val="single" w:sz="4" w:space="0" w:color="auto"/>
              <w:right w:val="single" w:sz="8" w:space="0" w:color="auto"/>
            </w:tcBorders>
            <w:tcMar>
              <w:top w:w="15" w:type="dxa"/>
              <w:left w:w="15" w:type="dxa"/>
              <w:bottom w:w="0" w:type="dxa"/>
              <w:right w:w="15" w:type="dxa"/>
            </w:tcMar>
          </w:tcPr>
          <w:p w14:paraId="4537DB5A" w14:textId="77777777" w:rsidR="00D210F0" w:rsidRPr="00092ED7" w:rsidRDefault="00D210F0" w:rsidP="00B57FE8">
            <w:pPr>
              <w:spacing w:after="0"/>
              <w:rPr>
                <w:rFonts w:cs="Times New Roman"/>
                <w:color w:val="000000"/>
                <w:sz w:val="18"/>
                <w:szCs w:val="18"/>
                <w:lang w:val="sr-Cyrl-CS"/>
              </w:rPr>
            </w:pPr>
          </w:p>
        </w:tc>
      </w:tr>
      <w:tr w:rsidR="00D210F0" w:rsidRPr="00092ED7" w14:paraId="724E17C4" w14:textId="77777777" w:rsidTr="00CB66AD">
        <w:trPr>
          <w:trHeight w:val="295"/>
        </w:trPr>
        <w:tc>
          <w:tcPr>
            <w:tcW w:w="417" w:type="dxa"/>
            <w:tcBorders>
              <w:top w:val="single" w:sz="4" w:space="0" w:color="auto"/>
              <w:left w:val="single" w:sz="8" w:space="0" w:color="auto"/>
              <w:bottom w:val="single" w:sz="4" w:space="0" w:color="auto"/>
              <w:right w:val="single" w:sz="4" w:space="0" w:color="auto"/>
            </w:tcBorders>
            <w:tcMar>
              <w:top w:w="15" w:type="dxa"/>
              <w:left w:w="15" w:type="dxa"/>
              <w:bottom w:w="0" w:type="dxa"/>
              <w:right w:w="15" w:type="dxa"/>
            </w:tcMar>
            <w:hideMark/>
          </w:tcPr>
          <w:p w14:paraId="54B344F4" w14:textId="77777777" w:rsidR="00D210F0" w:rsidRPr="00092ED7" w:rsidRDefault="00D210F0" w:rsidP="00B57FE8">
            <w:pPr>
              <w:spacing w:after="0"/>
              <w:jc w:val="center"/>
              <w:rPr>
                <w:rFonts w:cs="Times New Roman"/>
                <w:b/>
                <w:sz w:val="20"/>
                <w:szCs w:val="20"/>
                <w:lang w:val="sr-Cyrl-CS"/>
              </w:rPr>
            </w:pPr>
            <w:r w:rsidRPr="00092ED7">
              <w:rPr>
                <w:rFonts w:cs="Times New Roman"/>
                <w:b/>
                <w:sz w:val="20"/>
                <w:szCs w:val="20"/>
                <w:lang w:val="sr-Cyrl-CS"/>
              </w:rPr>
              <w:t>3.</w:t>
            </w:r>
          </w:p>
        </w:tc>
        <w:tc>
          <w:tcPr>
            <w:tcW w:w="425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hideMark/>
          </w:tcPr>
          <w:p w14:paraId="7C691EDA" w14:textId="77777777" w:rsidR="00D210F0" w:rsidRPr="00092ED7" w:rsidRDefault="00D210F0" w:rsidP="00B57FE8">
            <w:pPr>
              <w:spacing w:after="0"/>
              <w:ind w:right="210"/>
              <w:rPr>
                <w:rFonts w:cs="Times New Roman"/>
                <w:sz w:val="20"/>
                <w:szCs w:val="20"/>
                <w:lang w:val="sr-Cyrl-CS"/>
              </w:rPr>
            </w:pPr>
            <w:r w:rsidRPr="00092ED7">
              <w:rPr>
                <w:rFonts w:cs="Times New Roman"/>
                <w:color w:val="000000"/>
                <w:sz w:val="20"/>
                <w:szCs w:val="20"/>
                <w:lang w:val="sr-Cyrl-CS"/>
              </w:rPr>
              <w:t>Повезивање корисника БИО4 кампуса са међународним научним и корпоративним партнерима</w:t>
            </w:r>
          </w:p>
        </w:tc>
        <w:tc>
          <w:tcPr>
            <w:tcW w:w="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7D185B5" w14:textId="77777777" w:rsidR="00D210F0" w:rsidRPr="00092ED7" w:rsidRDefault="00D210F0" w:rsidP="00B57FE8">
            <w:pPr>
              <w:spacing w:after="0"/>
              <w:rPr>
                <w:rFonts w:cs="Times New Roman"/>
                <w:color w:val="000000"/>
                <w:sz w:val="18"/>
                <w:szCs w:val="18"/>
                <w:lang w:val="sr-Cyrl-CS"/>
              </w:rPr>
            </w:pPr>
          </w:p>
        </w:tc>
        <w:tc>
          <w:tcPr>
            <w:tcW w:w="3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C035BF9" w14:textId="77777777" w:rsidR="00D210F0" w:rsidRPr="00092ED7" w:rsidRDefault="00D210F0" w:rsidP="00B57FE8">
            <w:pPr>
              <w:spacing w:after="0"/>
              <w:rPr>
                <w:rFonts w:cs="Times New Roman"/>
                <w:color w:val="000000"/>
                <w:sz w:val="18"/>
                <w:szCs w:val="18"/>
                <w:lang w:val="sr-Cyrl-CS"/>
              </w:rPr>
            </w:pPr>
          </w:p>
        </w:tc>
        <w:tc>
          <w:tcPr>
            <w:tcW w:w="3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7EC5CE3" w14:textId="77777777" w:rsidR="00D210F0" w:rsidRPr="00092ED7" w:rsidRDefault="00D210F0" w:rsidP="00B57FE8">
            <w:pPr>
              <w:spacing w:after="0"/>
              <w:rPr>
                <w:rFonts w:cs="Times New Roman"/>
                <w:color w:val="000000"/>
                <w:sz w:val="18"/>
                <w:szCs w:val="18"/>
                <w:lang w:val="sr-Cyrl-CS"/>
              </w:rPr>
            </w:pPr>
          </w:p>
        </w:tc>
        <w:tc>
          <w:tcPr>
            <w:tcW w:w="3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21B44D01" w14:textId="77777777" w:rsidR="00D210F0" w:rsidRPr="00092ED7" w:rsidRDefault="00D210F0" w:rsidP="00B57FE8">
            <w:pPr>
              <w:spacing w:after="0"/>
              <w:rPr>
                <w:rFonts w:cs="Times New Roman"/>
                <w:color w:val="000000"/>
                <w:sz w:val="18"/>
                <w:szCs w:val="18"/>
                <w:lang w:val="sr-Cyrl-CS"/>
              </w:rPr>
            </w:pPr>
          </w:p>
        </w:tc>
        <w:tc>
          <w:tcPr>
            <w:tcW w:w="3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CFADF5B" w14:textId="77777777" w:rsidR="00D210F0" w:rsidRPr="00092ED7" w:rsidRDefault="00D210F0" w:rsidP="00B57FE8">
            <w:pPr>
              <w:spacing w:after="0"/>
              <w:rPr>
                <w:rFonts w:cs="Times New Roman"/>
                <w:color w:val="000000"/>
                <w:sz w:val="18"/>
                <w:szCs w:val="18"/>
                <w:lang w:val="sr-Cyrl-CS"/>
              </w:rPr>
            </w:pPr>
          </w:p>
        </w:tc>
        <w:tc>
          <w:tcPr>
            <w:tcW w:w="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F575E2E" w14:textId="77777777" w:rsidR="00D210F0" w:rsidRPr="00092ED7" w:rsidRDefault="00D210F0" w:rsidP="00B57FE8">
            <w:pPr>
              <w:spacing w:after="0"/>
              <w:rPr>
                <w:rFonts w:cs="Times New Roman"/>
                <w:color w:val="000000"/>
                <w:sz w:val="18"/>
                <w:szCs w:val="18"/>
                <w:lang w:val="sr-Cyrl-CS"/>
              </w:rPr>
            </w:pPr>
          </w:p>
        </w:tc>
        <w:tc>
          <w:tcPr>
            <w:tcW w:w="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35C4E66D" w14:textId="77777777" w:rsidR="00D210F0" w:rsidRPr="00092ED7" w:rsidRDefault="00D210F0" w:rsidP="00B57FE8">
            <w:pPr>
              <w:spacing w:after="0"/>
              <w:rPr>
                <w:rFonts w:cs="Times New Roman"/>
                <w:color w:val="000000"/>
                <w:sz w:val="18"/>
                <w:szCs w:val="18"/>
                <w:lang w:val="sr-Cyrl-CS"/>
              </w:rPr>
            </w:pPr>
          </w:p>
        </w:tc>
        <w:tc>
          <w:tcPr>
            <w:tcW w:w="3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DC8A3A9" w14:textId="77777777" w:rsidR="00D210F0" w:rsidRPr="00092ED7" w:rsidRDefault="00D210F0" w:rsidP="00B57FE8">
            <w:pPr>
              <w:spacing w:after="0"/>
              <w:rPr>
                <w:rFonts w:cs="Times New Roman"/>
                <w:color w:val="000000"/>
                <w:sz w:val="18"/>
                <w:szCs w:val="18"/>
                <w:lang w:val="sr-Cyrl-CS"/>
              </w:rPr>
            </w:pPr>
          </w:p>
        </w:tc>
        <w:tc>
          <w:tcPr>
            <w:tcW w:w="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53B6FD8" w14:textId="77777777" w:rsidR="00D210F0" w:rsidRPr="00092ED7" w:rsidRDefault="00D210F0" w:rsidP="00B57FE8">
            <w:pPr>
              <w:spacing w:after="0"/>
              <w:rPr>
                <w:rFonts w:cs="Times New Roman"/>
                <w:color w:val="000000"/>
                <w:sz w:val="18"/>
                <w:szCs w:val="18"/>
                <w:lang w:val="sr-Cyrl-CS"/>
              </w:rPr>
            </w:pPr>
          </w:p>
        </w:tc>
        <w:tc>
          <w:tcPr>
            <w:tcW w:w="3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043EAF6D" w14:textId="77777777" w:rsidR="00D210F0" w:rsidRPr="00092ED7" w:rsidRDefault="00D210F0" w:rsidP="00B57FE8">
            <w:pPr>
              <w:spacing w:after="0"/>
              <w:rPr>
                <w:rFonts w:cs="Times New Roman"/>
                <w:color w:val="000000"/>
                <w:sz w:val="18"/>
                <w:szCs w:val="18"/>
                <w:lang w:val="sr-Cyrl-CS"/>
              </w:rPr>
            </w:pPr>
          </w:p>
        </w:tc>
        <w:tc>
          <w:tcPr>
            <w:tcW w:w="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3DCA91C" w14:textId="77777777" w:rsidR="00D210F0" w:rsidRPr="00092ED7" w:rsidRDefault="00D210F0" w:rsidP="00B57FE8">
            <w:pPr>
              <w:spacing w:after="0"/>
              <w:rPr>
                <w:rFonts w:cs="Times New Roman"/>
                <w:color w:val="000000"/>
                <w:sz w:val="18"/>
                <w:szCs w:val="18"/>
                <w:lang w:val="sr-Cyrl-CS"/>
              </w:rPr>
            </w:pPr>
          </w:p>
        </w:tc>
        <w:tc>
          <w:tcPr>
            <w:tcW w:w="3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3508012" w14:textId="77777777" w:rsidR="00D210F0" w:rsidRPr="00092ED7" w:rsidRDefault="00D210F0" w:rsidP="00B57FE8">
            <w:pPr>
              <w:spacing w:after="0"/>
              <w:rPr>
                <w:rFonts w:cs="Times New Roman"/>
                <w:color w:val="000000"/>
                <w:sz w:val="18"/>
                <w:szCs w:val="18"/>
                <w:lang w:val="sr-Cyrl-CS"/>
              </w:rPr>
            </w:pPr>
          </w:p>
        </w:tc>
      </w:tr>
      <w:tr w:rsidR="00D210F0" w:rsidRPr="00092ED7" w14:paraId="4EE16CBA" w14:textId="77777777" w:rsidTr="00127FE8">
        <w:trPr>
          <w:trHeight w:val="295"/>
        </w:trPr>
        <w:tc>
          <w:tcPr>
            <w:tcW w:w="417" w:type="dxa"/>
            <w:tcBorders>
              <w:top w:val="nil"/>
              <w:left w:val="single" w:sz="8" w:space="0" w:color="auto"/>
              <w:bottom w:val="single" w:sz="4" w:space="0" w:color="auto"/>
              <w:right w:val="nil"/>
            </w:tcBorders>
            <w:tcMar>
              <w:top w:w="15" w:type="dxa"/>
              <w:left w:w="15" w:type="dxa"/>
              <w:bottom w:w="0" w:type="dxa"/>
              <w:right w:w="15" w:type="dxa"/>
            </w:tcMar>
            <w:hideMark/>
          </w:tcPr>
          <w:p w14:paraId="38F2A354" w14:textId="77777777" w:rsidR="00D210F0" w:rsidRPr="00092ED7" w:rsidRDefault="00D210F0" w:rsidP="00B57FE8">
            <w:pPr>
              <w:spacing w:after="0"/>
              <w:jc w:val="center"/>
              <w:rPr>
                <w:rFonts w:cs="Times New Roman"/>
                <w:b/>
                <w:sz w:val="20"/>
                <w:szCs w:val="20"/>
                <w:lang w:val="sr-Cyrl-CS"/>
              </w:rPr>
            </w:pPr>
            <w:r w:rsidRPr="00092ED7">
              <w:rPr>
                <w:rFonts w:cs="Times New Roman"/>
                <w:b/>
                <w:sz w:val="20"/>
                <w:szCs w:val="20"/>
                <w:lang w:val="sr-Cyrl-CS"/>
              </w:rPr>
              <w:t>4.</w:t>
            </w:r>
          </w:p>
        </w:tc>
        <w:tc>
          <w:tcPr>
            <w:tcW w:w="4251" w:type="dxa"/>
            <w:tcBorders>
              <w:top w:val="nil"/>
              <w:left w:val="single" w:sz="8" w:space="0" w:color="auto"/>
              <w:bottom w:val="single" w:sz="4" w:space="0" w:color="auto"/>
              <w:right w:val="nil"/>
            </w:tcBorders>
            <w:tcMar>
              <w:top w:w="15" w:type="dxa"/>
              <w:left w:w="15" w:type="dxa"/>
              <w:bottom w:w="0" w:type="dxa"/>
              <w:right w:w="15" w:type="dxa"/>
            </w:tcMar>
            <w:hideMark/>
          </w:tcPr>
          <w:p w14:paraId="4F70A15C" w14:textId="77777777" w:rsidR="00D210F0" w:rsidRPr="00092ED7" w:rsidRDefault="00D210F0" w:rsidP="00B57FE8">
            <w:pPr>
              <w:spacing w:after="0"/>
              <w:ind w:right="210"/>
              <w:rPr>
                <w:rFonts w:cs="Times New Roman"/>
                <w:sz w:val="20"/>
                <w:szCs w:val="20"/>
                <w:lang w:val="sr-Cyrl-CS"/>
              </w:rPr>
            </w:pPr>
            <w:r w:rsidRPr="00092ED7">
              <w:rPr>
                <w:rFonts w:cs="Times New Roman"/>
                <w:sz w:val="20"/>
                <w:szCs w:val="20"/>
                <w:lang w:val="sr-Cyrl-CS"/>
              </w:rPr>
              <w:t>Спровођење планова трансформације научно-истраживачких института (чланице БИО4 кампуса)</w:t>
            </w:r>
          </w:p>
        </w:tc>
        <w:tc>
          <w:tcPr>
            <w:tcW w:w="366" w:type="dxa"/>
            <w:tcBorders>
              <w:top w:val="nil"/>
              <w:left w:val="single" w:sz="8"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2EEB2A14" w14:textId="77777777" w:rsidR="00D210F0" w:rsidRPr="00092ED7" w:rsidRDefault="00D210F0" w:rsidP="00B57FE8">
            <w:pPr>
              <w:spacing w:after="0"/>
              <w:rPr>
                <w:rFonts w:cs="Times New Roman"/>
                <w:color w:val="000000"/>
                <w:sz w:val="18"/>
                <w:szCs w:val="18"/>
                <w:lang w:val="sr-Cyrl-CS"/>
              </w:rPr>
            </w:pPr>
          </w:p>
        </w:tc>
        <w:tc>
          <w:tcPr>
            <w:tcW w:w="367"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0EBA0B13" w14:textId="77777777" w:rsidR="00D210F0" w:rsidRPr="00092ED7" w:rsidRDefault="00D210F0" w:rsidP="00B57FE8">
            <w:pPr>
              <w:spacing w:after="0"/>
              <w:rPr>
                <w:rFonts w:cs="Times New Roman"/>
                <w:color w:val="000000"/>
                <w:sz w:val="18"/>
                <w:szCs w:val="18"/>
                <w:lang w:val="sr-Cyrl-CS"/>
              </w:rPr>
            </w:pPr>
          </w:p>
        </w:tc>
        <w:tc>
          <w:tcPr>
            <w:tcW w:w="365"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2478829" w14:textId="77777777" w:rsidR="00D210F0" w:rsidRPr="00092ED7" w:rsidRDefault="00D210F0" w:rsidP="00B57FE8">
            <w:pPr>
              <w:spacing w:after="0"/>
              <w:rPr>
                <w:rFonts w:cs="Times New Roman"/>
                <w:color w:val="000000"/>
                <w:sz w:val="18"/>
                <w:szCs w:val="18"/>
                <w:lang w:val="sr-Cyrl-CS"/>
              </w:rPr>
            </w:pPr>
          </w:p>
        </w:tc>
        <w:tc>
          <w:tcPr>
            <w:tcW w:w="368"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5D3F3F78" w14:textId="77777777" w:rsidR="00D210F0" w:rsidRPr="00092ED7" w:rsidRDefault="00D210F0" w:rsidP="00B57FE8">
            <w:pPr>
              <w:spacing w:after="0"/>
              <w:rPr>
                <w:rFonts w:cs="Times New Roman"/>
                <w:color w:val="000000"/>
                <w:sz w:val="18"/>
                <w:szCs w:val="18"/>
                <w:lang w:val="sr-Cyrl-CS"/>
              </w:rPr>
            </w:pPr>
          </w:p>
        </w:tc>
        <w:tc>
          <w:tcPr>
            <w:tcW w:w="365"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E72CFBC" w14:textId="77777777" w:rsidR="00D210F0" w:rsidRPr="00092ED7" w:rsidRDefault="00D210F0" w:rsidP="00B57FE8">
            <w:pPr>
              <w:spacing w:after="0"/>
              <w:rPr>
                <w:rFonts w:cs="Times New Roman"/>
                <w:color w:val="000000"/>
                <w:sz w:val="18"/>
                <w:szCs w:val="18"/>
                <w:lang w:val="sr-Cyrl-CS"/>
              </w:rPr>
            </w:pPr>
          </w:p>
        </w:tc>
        <w:tc>
          <w:tcPr>
            <w:tcW w:w="366"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59843C6" w14:textId="77777777" w:rsidR="00D210F0" w:rsidRPr="00092ED7" w:rsidRDefault="00D210F0" w:rsidP="00B57FE8">
            <w:pPr>
              <w:spacing w:after="0"/>
              <w:rPr>
                <w:rFonts w:cs="Times New Roman"/>
                <w:color w:val="000000"/>
                <w:sz w:val="18"/>
                <w:szCs w:val="18"/>
                <w:lang w:val="sr-Cyrl-CS"/>
              </w:rPr>
            </w:pPr>
          </w:p>
        </w:tc>
        <w:tc>
          <w:tcPr>
            <w:tcW w:w="366"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D6CF305" w14:textId="77777777" w:rsidR="00D210F0" w:rsidRPr="00092ED7" w:rsidRDefault="00D210F0" w:rsidP="00B57FE8">
            <w:pPr>
              <w:spacing w:after="0"/>
              <w:rPr>
                <w:rFonts w:cs="Times New Roman"/>
                <w:color w:val="000000"/>
                <w:sz w:val="18"/>
                <w:szCs w:val="18"/>
                <w:lang w:val="sr-Cyrl-CS"/>
              </w:rPr>
            </w:pPr>
          </w:p>
        </w:tc>
        <w:tc>
          <w:tcPr>
            <w:tcW w:w="367"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07B3FCD5" w14:textId="77777777" w:rsidR="00D210F0" w:rsidRPr="00092ED7" w:rsidRDefault="00D210F0" w:rsidP="00B57FE8">
            <w:pPr>
              <w:spacing w:after="0"/>
              <w:rPr>
                <w:rFonts w:cs="Times New Roman"/>
                <w:color w:val="000000"/>
                <w:sz w:val="18"/>
                <w:szCs w:val="18"/>
                <w:lang w:val="sr-Cyrl-CS"/>
              </w:rPr>
            </w:pPr>
          </w:p>
        </w:tc>
        <w:tc>
          <w:tcPr>
            <w:tcW w:w="366"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EF72E27" w14:textId="77777777" w:rsidR="00D210F0" w:rsidRPr="00092ED7" w:rsidRDefault="00D210F0" w:rsidP="00B57FE8">
            <w:pPr>
              <w:spacing w:after="0"/>
              <w:rPr>
                <w:rFonts w:cs="Times New Roman"/>
                <w:color w:val="000000"/>
                <w:sz w:val="18"/>
                <w:szCs w:val="18"/>
                <w:lang w:val="sr-Cyrl-CS"/>
              </w:rPr>
            </w:pPr>
          </w:p>
        </w:tc>
        <w:tc>
          <w:tcPr>
            <w:tcW w:w="365"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0BB25F8B" w14:textId="77777777" w:rsidR="00D210F0" w:rsidRPr="00092ED7" w:rsidRDefault="00D210F0" w:rsidP="00B57FE8">
            <w:pPr>
              <w:spacing w:after="0"/>
              <w:rPr>
                <w:rFonts w:cs="Times New Roman"/>
                <w:color w:val="000000"/>
                <w:sz w:val="18"/>
                <w:szCs w:val="18"/>
                <w:lang w:val="sr-Cyrl-CS"/>
              </w:rPr>
            </w:pPr>
          </w:p>
        </w:tc>
        <w:tc>
          <w:tcPr>
            <w:tcW w:w="366"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5081503" w14:textId="77777777" w:rsidR="00D210F0" w:rsidRPr="00092ED7" w:rsidRDefault="00D210F0" w:rsidP="00B57FE8">
            <w:pPr>
              <w:spacing w:after="0"/>
              <w:rPr>
                <w:rFonts w:cs="Times New Roman"/>
                <w:color w:val="000000"/>
                <w:sz w:val="18"/>
                <w:szCs w:val="18"/>
                <w:lang w:val="sr-Cyrl-CS"/>
              </w:rPr>
            </w:pPr>
          </w:p>
        </w:tc>
        <w:tc>
          <w:tcPr>
            <w:tcW w:w="367"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321AF2CD" w14:textId="77777777" w:rsidR="00D210F0" w:rsidRPr="00092ED7" w:rsidRDefault="00D210F0" w:rsidP="00B57FE8">
            <w:pPr>
              <w:spacing w:after="0"/>
              <w:rPr>
                <w:rFonts w:cs="Times New Roman"/>
                <w:color w:val="000000"/>
                <w:sz w:val="18"/>
                <w:szCs w:val="18"/>
                <w:lang w:val="sr-Cyrl-CS"/>
              </w:rPr>
            </w:pPr>
          </w:p>
        </w:tc>
      </w:tr>
      <w:tr w:rsidR="00D210F0" w:rsidRPr="00092ED7" w14:paraId="780AE97A" w14:textId="77777777" w:rsidTr="00127FE8">
        <w:trPr>
          <w:trHeight w:val="295"/>
        </w:trPr>
        <w:tc>
          <w:tcPr>
            <w:tcW w:w="41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hideMark/>
          </w:tcPr>
          <w:p w14:paraId="3914F5A3" w14:textId="77777777" w:rsidR="00D210F0" w:rsidRPr="00092ED7" w:rsidRDefault="00D210F0" w:rsidP="00B57FE8">
            <w:pPr>
              <w:spacing w:after="0"/>
              <w:jc w:val="center"/>
              <w:rPr>
                <w:rFonts w:cs="Times New Roman"/>
                <w:b/>
                <w:sz w:val="20"/>
                <w:szCs w:val="20"/>
                <w:lang w:val="sr-Cyrl-CS"/>
              </w:rPr>
            </w:pPr>
            <w:r w:rsidRPr="00092ED7">
              <w:rPr>
                <w:rFonts w:cs="Times New Roman"/>
                <w:b/>
                <w:sz w:val="20"/>
                <w:szCs w:val="20"/>
                <w:lang w:val="sr-Cyrl-CS"/>
              </w:rPr>
              <w:t>5.</w:t>
            </w:r>
          </w:p>
        </w:tc>
        <w:tc>
          <w:tcPr>
            <w:tcW w:w="425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hideMark/>
          </w:tcPr>
          <w:p w14:paraId="74202E6D" w14:textId="740FA5D7" w:rsidR="00D210F0" w:rsidRPr="00092ED7" w:rsidRDefault="00D210F0" w:rsidP="00B57FE8">
            <w:pPr>
              <w:spacing w:after="0"/>
              <w:ind w:right="210"/>
              <w:rPr>
                <w:rFonts w:cs="Times New Roman"/>
                <w:sz w:val="20"/>
                <w:szCs w:val="20"/>
                <w:lang w:val="sr-Cyrl-CS"/>
              </w:rPr>
            </w:pPr>
            <w:r w:rsidRPr="00092ED7">
              <w:rPr>
                <w:rFonts w:cs="Times New Roman"/>
                <w:sz w:val="20"/>
                <w:szCs w:val="20"/>
                <w:lang w:val="sr-Cyrl-CS"/>
              </w:rPr>
              <w:t>Припрема и усвајање Акционог плана за Стратегију паметне специјализације за период 2023-2025</w:t>
            </w:r>
            <w:r w:rsidR="00497A1F" w:rsidRPr="00092ED7">
              <w:rPr>
                <w:rFonts w:cs="Times New Roman"/>
                <w:sz w:val="20"/>
                <w:szCs w:val="20"/>
                <w:lang w:val="sr-Cyrl-CS"/>
              </w:rPr>
              <w:t>.</w:t>
            </w:r>
          </w:p>
        </w:tc>
        <w:tc>
          <w:tcPr>
            <w:tcW w:w="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1A1FEFE" w14:textId="77777777" w:rsidR="00D210F0" w:rsidRPr="00092ED7" w:rsidRDefault="00D210F0" w:rsidP="00B57FE8">
            <w:pPr>
              <w:spacing w:after="0"/>
              <w:rPr>
                <w:rFonts w:cs="Times New Roman"/>
                <w:color w:val="000000"/>
                <w:sz w:val="18"/>
                <w:szCs w:val="18"/>
                <w:lang w:val="sr-Cyrl-CS"/>
              </w:rPr>
            </w:pPr>
          </w:p>
        </w:tc>
        <w:tc>
          <w:tcPr>
            <w:tcW w:w="36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EBFFF43" w14:textId="77777777" w:rsidR="00D210F0" w:rsidRPr="00092ED7" w:rsidRDefault="00D210F0" w:rsidP="00B57FE8">
            <w:pPr>
              <w:spacing w:after="0"/>
              <w:rPr>
                <w:rFonts w:cs="Times New Roman"/>
                <w:color w:val="000000"/>
                <w:sz w:val="18"/>
                <w:szCs w:val="18"/>
                <w:lang w:val="sr-Cyrl-CS"/>
              </w:rPr>
            </w:pPr>
          </w:p>
        </w:tc>
        <w:tc>
          <w:tcPr>
            <w:tcW w:w="36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6B06E86" w14:textId="77777777" w:rsidR="00D210F0" w:rsidRPr="00092ED7" w:rsidRDefault="00D210F0" w:rsidP="00B57FE8">
            <w:pPr>
              <w:spacing w:after="0"/>
              <w:rPr>
                <w:rFonts w:cs="Times New Roman"/>
                <w:color w:val="000000"/>
                <w:sz w:val="18"/>
                <w:szCs w:val="18"/>
                <w:lang w:val="sr-Cyrl-CS"/>
              </w:rPr>
            </w:pPr>
          </w:p>
        </w:tc>
        <w:tc>
          <w:tcPr>
            <w:tcW w:w="368"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98D0BEE" w14:textId="77777777" w:rsidR="00D210F0" w:rsidRPr="00092ED7" w:rsidRDefault="00D210F0" w:rsidP="00B57FE8">
            <w:pPr>
              <w:spacing w:after="0"/>
              <w:rPr>
                <w:rFonts w:cs="Times New Roman"/>
                <w:color w:val="000000"/>
                <w:sz w:val="18"/>
                <w:szCs w:val="18"/>
                <w:lang w:val="sr-Cyrl-CS"/>
              </w:rPr>
            </w:pPr>
          </w:p>
        </w:tc>
        <w:tc>
          <w:tcPr>
            <w:tcW w:w="36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30F9009" w14:textId="77777777" w:rsidR="00D210F0" w:rsidRPr="00092ED7" w:rsidRDefault="00D210F0" w:rsidP="00B57FE8">
            <w:pPr>
              <w:spacing w:after="0"/>
              <w:rPr>
                <w:rFonts w:cs="Times New Roman"/>
                <w:color w:val="000000"/>
                <w:sz w:val="18"/>
                <w:szCs w:val="18"/>
                <w:lang w:val="sr-Cyrl-CS"/>
              </w:rPr>
            </w:pPr>
          </w:p>
        </w:tc>
        <w:tc>
          <w:tcPr>
            <w:tcW w:w="36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7159CA8" w14:textId="77777777" w:rsidR="00D210F0" w:rsidRPr="00092ED7" w:rsidRDefault="00D210F0" w:rsidP="00B57FE8">
            <w:pPr>
              <w:spacing w:after="0"/>
              <w:rPr>
                <w:rFonts w:cs="Times New Roman"/>
                <w:color w:val="000000"/>
                <w:sz w:val="18"/>
                <w:szCs w:val="18"/>
                <w:lang w:val="sr-Cyrl-CS"/>
              </w:rPr>
            </w:pPr>
          </w:p>
        </w:tc>
        <w:tc>
          <w:tcPr>
            <w:tcW w:w="36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327CEBE" w14:textId="77777777" w:rsidR="00D210F0" w:rsidRPr="00092ED7" w:rsidRDefault="00D210F0" w:rsidP="00B57FE8">
            <w:pPr>
              <w:spacing w:after="0"/>
              <w:rPr>
                <w:rFonts w:cs="Times New Roman"/>
                <w:color w:val="000000"/>
                <w:sz w:val="18"/>
                <w:szCs w:val="18"/>
                <w:lang w:val="sr-Cyrl-CS"/>
              </w:rPr>
            </w:pPr>
          </w:p>
        </w:tc>
        <w:tc>
          <w:tcPr>
            <w:tcW w:w="36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9333692" w14:textId="77777777" w:rsidR="00D210F0" w:rsidRPr="00092ED7" w:rsidRDefault="00D210F0" w:rsidP="00B57FE8">
            <w:pPr>
              <w:spacing w:after="0"/>
              <w:rPr>
                <w:rFonts w:cs="Times New Roman"/>
                <w:color w:val="000000"/>
                <w:sz w:val="18"/>
                <w:szCs w:val="18"/>
                <w:lang w:val="sr-Cyrl-CS"/>
              </w:rPr>
            </w:pPr>
          </w:p>
        </w:tc>
        <w:tc>
          <w:tcPr>
            <w:tcW w:w="36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CC1804A" w14:textId="77777777" w:rsidR="00D210F0" w:rsidRPr="00092ED7" w:rsidRDefault="00D210F0" w:rsidP="00B57FE8">
            <w:pPr>
              <w:spacing w:after="0"/>
              <w:rPr>
                <w:rFonts w:cs="Times New Roman"/>
                <w:color w:val="000000"/>
                <w:sz w:val="18"/>
                <w:szCs w:val="18"/>
                <w:lang w:val="sr-Cyrl-CS"/>
              </w:rPr>
            </w:pPr>
          </w:p>
        </w:tc>
        <w:tc>
          <w:tcPr>
            <w:tcW w:w="36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6637D62" w14:textId="77777777" w:rsidR="00D210F0" w:rsidRPr="00092ED7" w:rsidRDefault="00D210F0" w:rsidP="00B57FE8">
            <w:pPr>
              <w:spacing w:after="0"/>
              <w:rPr>
                <w:rFonts w:cs="Times New Roman"/>
                <w:color w:val="000000"/>
                <w:sz w:val="18"/>
                <w:szCs w:val="18"/>
                <w:lang w:val="sr-Cyrl-CS"/>
              </w:rPr>
            </w:pPr>
          </w:p>
        </w:tc>
        <w:tc>
          <w:tcPr>
            <w:tcW w:w="36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1CE0506" w14:textId="77777777" w:rsidR="00D210F0" w:rsidRPr="00092ED7" w:rsidRDefault="00D210F0" w:rsidP="00B57FE8">
            <w:pPr>
              <w:spacing w:after="0"/>
              <w:rPr>
                <w:rFonts w:cs="Times New Roman"/>
                <w:color w:val="000000"/>
                <w:sz w:val="18"/>
                <w:szCs w:val="18"/>
                <w:lang w:val="sr-Cyrl-CS"/>
              </w:rPr>
            </w:pPr>
          </w:p>
        </w:tc>
        <w:tc>
          <w:tcPr>
            <w:tcW w:w="36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7A38AA7" w14:textId="77777777" w:rsidR="00D210F0" w:rsidRPr="00092ED7" w:rsidRDefault="00D210F0" w:rsidP="00B57FE8">
            <w:pPr>
              <w:spacing w:after="0"/>
              <w:rPr>
                <w:rFonts w:cs="Times New Roman"/>
                <w:color w:val="000000"/>
                <w:sz w:val="18"/>
                <w:szCs w:val="18"/>
                <w:lang w:val="sr-Cyrl-CS"/>
              </w:rPr>
            </w:pPr>
          </w:p>
        </w:tc>
      </w:tr>
    </w:tbl>
    <w:p w14:paraId="55ABF218" w14:textId="77777777" w:rsidR="00D210F0" w:rsidRPr="00092ED7" w:rsidRDefault="00D210F0" w:rsidP="00071952">
      <w:pPr>
        <w:widowControl w:val="0"/>
        <w:numPr>
          <w:ilvl w:val="0"/>
          <w:numId w:val="33"/>
        </w:numPr>
        <w:spacing w:before="120"/>
        <w:ind w:left="425" w:hanging="425"/>
        <w:rPr>
          <w:rFonts w:cs="Times New Roman"/>
          <w:b/>
          <w:bCs/>
          <w:szCs w:val="24"/>
          <w:lang w:val="sr-Cyrl-CS"/>
        </w:rPr>
      </w:pPr>
      <w:r w:rsidRPr="00092ED7">
        <w:rPr>
          <w:rFonts w:cs="Times New Roman"/>
          <w:b/>
          <w:bCs/>
          <w:szCs w:val="24"/>
          <w:lang w:val="sr-Cyrl-CS"/>
        </w:rPr>
        <w:t>Индикатори ризика</w:t>
      </w:r>
    </w:p>
    <w:tbl>
      <w:tblPr>
        <w:tblStyle w:val="TableGrid"/>
        <w:tblW w:w="9072" w:type="dxa"/>
        <w:tblInd w:w="-5" w:type="dxa"/>
        <w:tblLayout w:type="fixed"/>
        <w:tblLook w:val="04A0" w:firstRow="1" w:lastRow="0" w:firstColumn="1" w:lastColumn="0" w:noHBand="0" w:noVBand="1"/>
      </w:tblPr>
      <w:tblGrid>
        <w:gridCol w:w="4111"/>
        <w:gridCol w:w="1748"/>
        <w:gridCol w:w="1512"/>
        <w:gridCol w:w="1701"/>
      </w:tblGrid>
      <w:tr w:rsidR="00D210F0" w:rsidRPr="00092ED7" w14:paraId="2767335B" w14:textId="77777777" w:rsidTr="00B57FE8">
        <w:trPr>
          <w:cnfStyle w:val="100000000000" w:firstRow="1" w:lastRow="0" w:firstColumn="0" w:lastColumn="0" w:oddVBand="0" w:evenVBand="0" w:oddHBand="0" w:evenHBand="0" w:firstRowFirstColumn="0" w:firstRowLastColumn="0" w:lastRowFirstColumn="0" w:lastRowLastColumn="0"/>
        </w:trPr>
        <w:tc>
          <w:tcPr>
            <w:tcW w:w="4111" w:type="dxa"/>
            <w:tcBorders>
              <w:top w:val="single" w:sz="4" w:space="0" w:color="auto"/>
              <w:left w:val="single" w:sz="4" w:space="0" w:color="auto"/>
              <w:bottom w:val="single" w:sz="4" w:space="0" w:color="auto"/>
              <w:right w:val="single" w:sz="4" w:space="0" w:color="auto"/>
            </w:tcBorders>
          </w:tcPr>
          <w:p w14:paraId="40735777" w14:textId="77777777" w:rsidR="00D210F0" w:rsidRPr="00092ED7" w:rsidRDefault="00D210F0" w:rsidP="00B57FE8">
            <w:pPr>
              <w:spacing w:before="0" w:after="0"/>
              <w:ind w:left="113" w:right="113"/>
              <w:jc w:val="center"/>
              <w:rPr>
                <w:sz w:val="20"/>
                <w:lang w:val="sr-Cyrl-CS"/>
              </w:rPr>
            </w:pPr>
            <w:r w:rsidRPr="00092ED7">
              <w:rPr>
                <w:rFonts w:cs="Times New Roman"/>
                <w:sz w:val="20"/>
                <w:lang w:val="sr-Cyrl-CS"/>
              </w:rPr>
              <w:t>Показатељ</w:t>
            </w:r>
          </w:p>
        </w:tc>
        <w:tc>
          <w:tcPr>
            <w:tcW w:w="1748" w:type="dxa"/>
            <w:tcBorders>
              <w:top w:val="single" w:sz="4" w:space="0" w:color="auto"/>
              <w:left w:val="single" w:sz="4" w:space="0" w:color="auto"/>
              <w:bottom w:val="single" w:sz="4" w:space="0" w:color="auto"/>
              <w:right w:val="single" w:sz="4" w:space="0" w:color="auto"/>
            </w:tcBorders>
            <w:hideMark/>
          </w:tcPr>
          <w:p w14:paraId="23EF346B" w14:textId="77777777" w:rsidR="00D210F0" w:rsidRPr="00092ED7" w:rsidRDefault="00D210F0" w:rsidP="00B57FE8">
            <w:pPr>
              <w:spacing w:before="0" w:after="0"/>
              <w:ind w:left="113" w:right="113"/>
              <w:jc w:val="center"/>
              <w:rPr>
                <w:rFonts w:cs="Times New Roman"/>
                <w:b w:val="0"/>
                <w:sz w:val="20"/>
                <w:lang w:val="sr-Cyrl-CS"/>
              </w:rPr>
            </w:pPr>
            <w:r w:rsidRPr="00092ED7">
              <w:rPr>
                <w:rFonts w:cs="Times New Roman"/>
                <w:sz w:val="20"/>
                <w:lang w:val="sr-Cyrl-CS"/>
              </w:rPr>
              <w:t>Почетна вредност</w:t>
            </w:r>
            <w:r w:rsidR="00B57FE8" w:rsidRPr="00092ED7">
              <w:rPr>
                <w:rFonts w:cs="Times New Roman"/>
                <w:sz w:val="20"/>
                <w:lang w:val="sr-Cyrl-CS"/>
              </w:rPr>
              <w:t xml:space="preserve"> </w:t>
            </w:r>
            <w:r w:rsidRPr="00092ED7">
              <w:rPr>
                <w:rFonts w:cs="Times New Roman"/>
                <w:sz w:val="20"/>
                <w:lang w:val="sr-Cyrl-CS"/>
              </w:rPr>
              <w:t>(2020)</w:t>
            </w:r>
          </w:p>
        </w:tc>
        <w:tc>
          <w:tcPr>
            <w:tcW w:w="1512" w:type="dxa"/>
            <w:tcBorders>
              <w:top w:val="single" w:sz="4" w:space="0" w:color="auto"/>
              <w:left w:val="single" w:sz="4" w:space="0" w:color="auto"/>
              <w:bottom w:val="single" w:sz="4" w:space="0" w:color="auto"/>
              <w:right w:val="single" w:sz="4" w:space="0" w:color="auto"/>
            </w:tcBorders>
            <w:hideMark/>
          </w:tcPr>
          <w:p w14:paraId="2ABAAB96" w14:textId="77777777" w:rsidR="00D210F0" w:rsidRPr="00092ED7" w:rsidRDefault="00D210F0" w:rsidP="00B57FE8">
            <w:pPr>
              <w:spacing w:before="0" w:after="0"/>
              <w:ind w:left="113" w:right="113"/>
              <w:jc w:val="center"/>
              <w:rPr>
                <w:rFonts w:cs="Times New Roman"/>
                <w:b w:val="0"/>
                <w:sz w:val="20"/>
                <w:lang w:val="sr-Cyrl-CS"/>
              </w:rPr>
            </w:pPr>
            <w:r w:rsidRPr="00092ED7">
              <w:rPr>
                <w:rFonts w:cs="Times New Roman"/>
                <w:sz w:val="20"/>
                <w:lang w:val="sr-Cyrl-CS"/>
              </w:rPr>
              <w:t>Међурезултат</w:t>
            </w:r>
            <w:r w:rsidR="00B57FE8" w:rsidRPr="00092ED7">
              <w:rPr>
                <w:rFonts w:cs="Times New Roman"/>
                <w:sz w:val="20"/>
                <w:lang w:val="sr-Cyrl-CS"/>
              </w:rPr>
              <w:t xml:space="preserve"> </w:t>
            </w:r>
            <w:r w:rsidRPr="00092ED7">
              <w:rPr>
                <w:rFonts w:cs="Times New Roman"/>
                <w:sz w:val="20"/>
                <w:lang w:val="sr-Cyrl-CS"/>
              </w:rPr>
              <w:t>(2024)</w:t>
            </w:r>
          </w:p>
        </w:tc>
        <w:tc>
          <w:tcPr>
            <w:tcW w:w="1701" w:type="dxa"/>
            <w:tcBorders>
              <w:top w:val="single" w:sz="4" w:space="0" w:color="auto"/>
              <w:left w:val="single" w:sz="4" w:space="0" w:color="auto"/>
              <w:bottom w:val="single" w:sz="4" w:space="0" w:color="auto"/>
              <w:right w:val="single" w:sz="4" w:space="0" w:color="auto"/>
            </w:tcBorders>
            <w:hideMark/>
          </w:tcPr>
          <w:p w14:paraId="5655749B" w14:textId="77777777" w:rsidR="00D210F0" w:rsidRPr="00092ED7" w:rsidRDefault="00D210F0" w:rsidP="00B57FE8">
            <w:pPr>
              <w:spacing w:before="0" w:after="0"/>
              <w:ind w:left="113" w:right="113"/>
              <w:jc w:val="center"/>
              <w:rPr>
                <w:rFonts w:cs="Times New Roman"/>
                <w:b w:val="0"/>
                <w:sz w:val="20"/>
                <w:lang w:val="sr-Cyrl-CS"/>
              </w:rPr>
            </w:pPr>
            <w:r w:rsidRPr="00092ED7">
              <w:rPr>
                <w:rFonts w:cs="Times New Roman"/>
                <w:sz w:val="20"/>
                <w:lang w:val="sr-Cyrl-CS"/>
              </w:rPr>
              <w:t>Циљна вредност</w:t>
            </w:r>
            <w:r w:rsidR="00B57FE8" w:rsidRPr="00092ED7">
              <w:rPr>
                <w:rFonts w:cs="Times New Roman"/>
                <w:sz w:val="20"/>
                <w:lang w:val="sr-Cyrl-CS"/>
              </w:rPr>
              <w:t xml:space="preserve"> </w:t>
            </w:r>
            <w:r w:rsidRPr="00092ED7">
              <w:rPr>
                <w:rFonts w:cs="Times New Roman"/>
                <w:sz w:val="20"/>
                <w:lang w:val="sr-Cyrl-CS"/>
              </w:rPr>
              <w:t>(2026)</w:t>
            </w:r>
          </w:p>
        </w:tc>
      </w:tr>
      <w:tr w:rsidR="00D210F0" w:rsidRPr="00092ED7" w14:paraId="5B6A1E3F" w14:textId="77777777" w:rsidTr="00B57FE8">
        <w:tc>
          <w:tcPr>
            <w:tcW w:w="4111" w:type="dxa"/>
            <w:tcBorders>
              <w:top w:val="single" w:sz="4" w:space="0" w:color="auto"/>
              <w:left w:val="single" w:sz="4" w:space="0" w:color="auto"/>
              <w:bottom w:val="single" w:sz="4" w:space="0" w:color="auto"/>
              <w:right w:val="single" w:sz="4" w:space="0" w:color="auto"/>
            </w:tcBorders>
            <w:hideMark/>
          </w:tcPr>
          <w:p w14:paraId="3D29E3C1" w14:textId="77777777" w:rsidR="00D210F0" w:rsidRPr="00092ED7" w:rsidRDefault="00D210F0" w:rsidP="00B57FE8">
            <w:pPr>
              <w:spacing w:before="0" w:after="0"/>
              <w:ind w:left="113" w:right="113"/>
              <w:rPr>
                <w:sz w:val="20"/>
                <w:lang w:val="sr-Cyrl-CS"/>
              </w:rPr>
            </w:pPr>
            <w:r w:rsidRPr="00092ED7">
              <w:rPr>
                <w:rFonts w:eastAsia="Times New Roman" w:cs="Times New Roman"/>
                <w:sz w:val="20"/>
                <w:lang w:val="sr-Cyrl-CS"/>
              </w:rPr>
              <w:t>Број институција корисника БИО4 Кампуса</w:t>
            </w:r>
          </w:p>
        </w:tc>
        <w:tc>
          <w:tcPr>
            <w:tcW w:w="1748" w:type="dxa"/>
            <w:tcBorders>
              <w:top w:val="single" w:sz="4" w:space="0" w:color="auto"/>
              <w:left w:val="single" w:sz="4" w:space="0" w:color="auto"/>
              <w:bottom w:val="single" w:sz="4" w:space="0" w:color="auto"/>
              <w:right w:val="single" w:sz="4" w:space="0" w:color="auto"/>
            </w:tcBorders>
            <w:hideMark/>
          </w:tcPr>
          <w:p w14:paraId="0B1337B6" w14:textId="77777777" w:rsidR="00D210F0" w:rsidRPr="00092ED7" w:rsidRDefault="00D210F0" w:rsidP="00B57FE8">
            <w:pPr>
              <w:spacing w:before="0" w:after="0"/>
              <w:ind w:left="113" w:right="113"/>
              <w:jc w:val="center"/>
              <w:rPr>
                <w:rFonts w:cs="Times New Roman"/>
                <w:sz w:val="20"/>
                <w:lang w:val="sr-Cyrl-CS"/>
              </w:rPr>
            </w:pPr>
            <w:r w:rsidRPr="00092ED7">
              <w:rPr>
                <w:rFonts w:cs="Times New Roman"/>
                <w:sz w:val="20"/>
                <w:lang w:val="sr-Cyrl-CS"/>
              </w:rPr>
              <w:t>0</w:t>
            </w:r>
          </w:p>
        </w:tc>
        <w:tc>
          <w:tcPr>
            <w:tcW w:w="1512" w:type="dxa"/>
            <w:tcBorders>
              <w:top w:val="single" w:sz="4" w:space="0" w:color="auto"/>
              <w:left w:val="single" w:sz="4" w:space="0" w:color="auto"/>
              <w:bottom w:val="single" w:sz="4" w:space="0" w:color="auto"/>
              <w:right w:val="single" w:sz="4" w:space="0" w:color="auto"/>
            </w:tcBorders>
            <w:hideMark/>
          </w:tcPr>
          <w:p w14:paraId="7B4CF75D" w14:textId="77777777" w:rsidR="00D210F0" w:rsidRPr="00092ED7" w:rsidRDefault="00D210F0" w:rsidP="00B57FE8">
            <w:pPr>
              <w:spacing w:before="0" w:after="0"/>
              <w:ind w:left="113" w:right="113"/>
              <w:jc w:val="center"/>
              <w:rPr>
                <w:rFonts w:cs="Times New Roman"/>
                <w:sz w:val="20"/>
                <w:lang w:val="sr-Cyrl-CS"/>
              </w:rPr>
            </w:pPr>
            <w:r w:rsidRPr="00092ED7">
              <w:rPr>
                <w:rFonts w:cs="Times New Roman"/>
                <w:sz w:val="20"/>
                <w:lang w:val="sr-Cyrl-CS"/>
              </w:rPr>
              <w:t>8</w:t>
            </w:r>
          </w:p>
        </w:tc>
        <w:tc>
          <w:tcPr>
            <w:tcW w:w="1701" w:type="dxa"/>
            <w:tcBorders>
              <w:top w:val="single" w:sz="4" w:space="0" w:color="auto"/>
              <w:left w:val="single" w:sz="4" w:space="0" w:color="auto"/>
              <w:bottom w:val="single" w:sz="4" w:space="0" w:color="auto"/>
              <w:right w:val="single" w:sz="4" w:space="0" w:color="auto"/>
            </w:tcBorders>
            <w:hideMark/>
          </w:tcPr>
          <w:p w14:paraId="52BA981B" w14:textId="77777777" w:rsidR="00D210F0" w:rsidRPr="00092ED7" w:rsidRDefault="00D210F0" w:rsidP="00B57FE8">
            <w:pPr>
              <w:spacing w:before="0" w:after="0"/>
              <w:ind w:left="113" w:right="113"/>
              <w:jc w:val="center"/>
              <w:rPr>
                <w:rFonts w:cs="Times New Roman"/>
                <w:sz w:val="20"/>
                <w:lang w:val="sr-Cyrl-CS"/>
              </w:rPr>
            </w:pPr>
            <w:r w:rsidRPr="00092ED7">
              <w:rPr>
                <w:rFonts w:cs="Times New Roman"/>
                <w:sz w:val="20"/>
                <w:lang w:val="sr-Cyrl-CS"/>
              </w:rPr>
              <w:t>12</w:t>
            </w:r>
          </w:p>
        </w:tc>
      </w:tr>
      <w:tr w:rsidR="00D210F0" w:rsidRPr="00092ED7" w14:paraId="7C6566EF" w14:textId="77777777" w:rsidTr="00B57FE8">
        <w:tc>
          <w:tcPr>
            <w:tcW w:w="4111" w:type="dxa"/>
            <w:tcBorders>
              <w:top w:val="single" w:sz="4" w:space="0" w:color="auto"/>
              <w:left w:val="single" w:sz="4" w:space="0" w:color="auto"/>
              <w:bottom w:val="single" w:sz="4" w:space="0" w:color="auto"/>
              <w:right w:val="single" w:sz="4" w:space="0" w:color="auto"/>
            </w:tcBorders>
            <w:hideMark/>
          </w:tcPr>
          <w:p w14:paraId="111739F2" w14:textId="77777777" w:rsidR="00D210F0" w:rsidRPr="00092ED7" w:rsidRDefault="00D210F0" w:rsidP="00B57FE8">
            <w:pPr>
              <w:spacing w:before="0" w:after="0"/>
              <w:ind w:left="113" w:right="113"/>
              <w:rPr>
                <w:sz w:val="20"/>
                <w:lang w:val="sr-Cyrl-CS"/>
              </w:rPr>
            </w:pPr>
            <w:r w:rsidRPr="00092ED7">
              <w:rPr>
                <w:rFonts w:eastAsia="Times New Roman" w:cs="Times New Roman"/>
                <w:sz w:val="20"/>
                <w:lang w:val="sr-Cyrl-CS"/>
              </w:rPr>
              <w:t>Број компанија које имају истраживачка одељења у Кампусу (правно регулисано)</w:t>
            </w:r>
          </w:p>
        </w:tc>
        <w:tc>
          <w:tcPr>
            <w:tcW w:w="1748" w:type="dxa"/>
            <w:tcBorders>
              <w:top w:val="single" w:sz="4" w:space="0" w:color="auto"/>
              <w:left w:val="single" w:sz="4" w:space="0" w:color="auto"/>
              <w:bottom w:val="single" w:sz="4" w:space="0" w:color="auto"/>
              <w:right w:val="single" w:sz="4" w:space="0" w:color="auto"/>
            </w:tcBorders>
            <w:hideMark/>
          </w:tcPr>
          <w:p w14:paraId="4316B156" w14:textId="77777777" w:rsidR="00D210F0" w:rsidRPr="00092ED7" w:rsidRDefault="00D210F0" w:rsidP="00B57FE8">
            <w:pPr>
              <w:spacing w:before="0" w:after="0"/>
              <w:ind w:left="113" w:right="113"/>
              <w:jc w:val="center"/>
              <w:rPr>
                <w:rFonts w:cs="Times New Roman"/>
                <w:sz w:val="20"/>
                <w:lang w:val="sr-Cyrl-CS"/>
              </w:rPr>
            </w:pPr>
            <w:r w:rsidRPr="00092ED7">
              <w:rPr>
                <w:rFonts w:cs="Times New Roman"/>
                <w:sz w:val="20"/>
                <w:lang w:val="sr-Cyrl-CS"/>
              </w:rPr>
              <w:t>0</w:t>
            </w:r>
          </w:p>
        </w:tc>
        <w:tc>
          <w:tcPr>
            <w:tcW w:w="1512" w:type="dxa"/>
            <w:tcBorders>
              <w:top w:val="single" w:sz="4" w:space="0" w:color="auto"/>
              <w:left w:val="single" w:sz="4" w:space="0" w:color="auto"/>
              <w:bottom w:val="single" w:sz="4" w:space="0" w:color="auto"/>
              <w:right w:val="single" w:sz="4" w:space="0" w:color="auto"/>
            </w:tcBorders>
            <w:hideMark/>
          </w:tcPr>
          <w:p w14:paraId="589E0177" w14:textId="77777777" w:rsidR="00D210F0" w:rsidRPr="00092ED7" w:rsidRDefault="00D210F0" w:rsidP="00B57FE8">
            <w:pPr>
              <w:spacing w:before="0" w:after="0"/>
              <w:ind w:left="113" w:right="113"/>
              <w:jc w:val="center"/>
              <w:rPr>
                <w:rFonts w:cs="Times New Roman"/>
                <w:sz w:val="20"/>
                <w:lang w:val="sr-Cyrl-CS"/>
              </w:rPr>
            </w:pPr>
            <w:r w:rsidRPr="00092ED7">
              <w:rPr>
                <w:rFonts w:cs="Times New Roman"/>
                <w:sz w:val="20"/>
                <w:lang w:val="sr-Cyrl-CS"/>
              </w:rPr>
              <w:t>5</w:t>
            </w:r>
          </w:p>
        </w:tc>
        <w:tc>
          <w:tcPr>
            <w:tcW w:w="1701" w:type="dxa"/>
            <w:tcBorders>
              <w:top w:val="single" w:sz="4" w:space="0" w:color="auto"/>
              <w:left w:val="single" w:sz="4" w:space="0" w:color="auto"/>
              <w:bottom w:val="single" w:sz="4" w:space="0" w:color="auto"/>
              <w:right w:val="single" w:sz="4" w:space="0" w:color="auto"/>
            </w:tcBorders>
            <w:hideMark/>
          </w:tcPr>
          <w:p w14:paraId="40AB082C" w14:textId="77777777" w:rsidR="00D210F0" w:rsidRPr="00092ED7" w:rsidRDefault="00D210F0" w:rsidP="00B57FE8">
            <w:pPr>
              <w:spacing w:before="0" w:after="0"/>
              <w:ind w:left="113" w:right="113"/>
              <w:jc w:val="center"/>
              <w:rPr>
                <w:rFonts w:cs="Times New Roman"/>
                <w:sz w:val="20"/>
                <w:lang w:val="sr-Cyrl-CS"/>
              </w:rPr>
            </w:pPr>
            <w:r w:rsidRPr="00092ED7">
              <w:rPr>
                <w:rFonts w:cs="Times New Roman"/>
                <w:sz w:val="20"/>
                <w:lang w:val="sr-Cyrl-CS"/>
              </w:rPr>
              <w:t>7</w:t>
            </w:r>
          </w:p>
        </w:tc>
      </w:tr>
      <w:tr w:rsidR="00C97C81" w:rsidRPr="00092ED7" w14:paraId="16C51E2D" w14:textId="77777777" w:rsidTr="00B57FE8">
        <w:tc>
          <w:tcPr>
            <w:tcW w:w="4111" w:type="dxa"/>
            <w:tcBorders>
              <w:top w:val="single" w:sz="4" w:space="0" w:color="auto"/>
              <w:left w:val="single" w:sz="4" w:space="0" w:color="auto"/>
              <w:bottom w:val="single" w:sz="4" w:space="0" w:color="auto"/>
              <w:right w:val="single" w:sz="4" w:space="0" w:color="auto"/>
            </w:tcBorders>
          </w:tcPr>
          <w:p w14:paraId="592ACEB1" w14:textId="77777777" w:rsidR="00C97C81" w:rsidRPr="00092ED7" w:rsidRDefault="00C97C81" w:rsidP="00C97C81">
            <w:pPr>
              <w:spacing w:before="0" w:after="0"/>
              <w:ind w:left="113" w:right="113"/>
              <w:rPr>
                <w:rFonts w:eastAsia="Times New Roman" w:cs="Times New Roman"/>
                <w:sz w:val="20"/>
                <w:lang w:val="sr-Cyrl-CS"/>
              </w:rPr>
            </w:pPr>
            <w:r w:rsidRPr="00092ED7">
              <w:rPr>
                <w:rFonts w:eastAsia="Times New Roman" w:cs="Times New Roman"/>
                <w:sz w:val="20"/>
                <w:lang w:val="sr-Cyrl-CS"/>
              </w:rPr>
              <w:t>Број потписаних споразума између истраживачких институција/факултета</w:t>
            </w:r>
          </w:p>
        </w:tc>
        <w:tc>
          <w:tcPr>
            <w:tcW w:w="1748" w:type="dxa"/>
            <w:tcBorders>
              <w:top w:val="single" w:sz="4" w:space="0" w:color="auto"/>
              <w:left w:val="single" w:sz="4" w:space="0" w:color="auto"/>
              <w:bottom w:val="single" w:sz="4" w:space="0" w:color="auto"/>
              <w:right w:val="single" w:sz="4" w:space="0" w:color="auto"/>
            </w:tcBorders>
          </w:tcPr>
          <w:p w14:paraId="5A483D7B" w14:textId="77777777" w:rsidR="00C97C81" w:rsidRPr="00092ED7" w:rsidRDefault="00C97C81" w:rsidP="00C97C81">
            <w:pPr>
              <w:spacing w:before="0" w:after="0"/>
              <w:ind w:left="113" w:right="113"/>
              <w:jc w:val="center"/>
              <w:rPr>
                <w:rFonts w:eastAsia="Times New Roman" w:cs="Times New Roman"/>
                <w:sz w:val="20"/>
                <w:lang w:val="sr-Cyrl-CS"/>
              </w:rPr>
            </w:pPr>
            <w:r w:rsidRPr="00092ED7">
              <w:rPr>
                <w:rFonts w:eastAsia="Times New Roman" w:cs="Times New Roman"/>
                <w:sz w:val="20"/>
                <w:lang w:val="sr-Cyrl-CS"/>
              </w:rPr>
              <w:t>0</w:t>
            </w:r>
          </w:p>
        </w:tc>
        <w:tc>
          <w:tcPr>
            <w:tcW w:w="1512" w:type="dxa"/>
            <w:tcBorders>
              <w:top w:val="single" w:sz="4" w:space="0" w:color="auto"/>
              <w:left w:val="single" w:sz="4" w:space="0" w:color="auto"/>
              <w:bottom w:val="single" w:sz="4" w:space="0" w:color="auto"/>
              <w:right w:val="single" w:sz="4" w:space="0" w:color="auto"/>
            </w:tcBorders>
          </w:tcPr>
          <w:p w14:paraId="206B8814" w14:textId="77777777" w:rsidR="00C97C81" w:rsidRPr="00092ED7" w:rsidRDefault="00C97C81" w:rsidP="00C97C81">
            <w:pPr>
              <w:spacing w:before="0" w:after="0"/>
              <w:ind w:left="113" w:right="113"/>
              <w:jc w:val="center"/>
              <w:rPr>
                <w:rFonts w:eastAsia="Times New Roman" w:cs="Times New Roman"/>
                <w:sz w:val="20"/>
                <w:lang w:val="sr-Cyrl-CS"/>
              </w:rPr>
            </w:pPr>
            <w:r w:rsidRPr="00092ED7">
              <w:rPr>
                <w:rFonts w:eastAsia="Times New Roman" w:cs="Times New Roman"/>
                <w:sz w:val="20"/>
                <w:lang w:val="sr-Cyrl-CS"/>
              </w:rPr>
              <w:t>20</w:t>
            </w:r>
          </w:p>
        </w:tc>
        <w:tc>
          <w:tcPr>
            <w:tcW w:w="1701" w:type="dxa"/>
            <w:tcBorders>
              <w:top w:val="single" w:sz="4" w:space="0" w:color="auto"/>
              <w:left w:val="single" w:sz="4" w:space="0" w:color="auto"/>
              <w:bottom w:val="single" w:sz="4" w:space="0" w:color="auto"/>
              <w:right w:val="single" w:sz="4" w:space="0" w:color="auto"/>
            </w:tcBorders>
          </w:tcPr>
          <w:p w14:paraId="58502C6C" w14:textId="77777777" w:rsidR="00C97C81" w:rsidRPr="00092ED7" w:rsidRDefault="00C97C81" w:rsidP="00C97C81">
            <w:pPr>
              <w:spacing w:before="0" w:after="0"/>
              <w:ind w:left="113" w:right="113"/>
              <w:jc w:val="center"/>
              <w:rPr>
                <w:rFonts w:eastAsia="Times New Roman" w:cs="Times New Roman"/>
                <w:sz w:val="20"/>
                <w:lang w:val="sr-Cyrl-CS"/>
              </w:rPr>
            </w:pPr>
            <w:r w:rsidRPr="00092ED7">
              <w:rPr>
                <w:rFonts w:eastAsia="Times New Roman" w:cs="Times New Roman"/>
                <w:sz w:val="20"/>
                <w:lang w:val="sr-Cyrl-CS"/>
              </w:rPr>
              <w:t>50</w:t>
            </w:r>
          </w:p>
        </w:tc>
      </w:tr>
      <w:tr w:rsidR="00C97C81" w:rsidRPr="00092ED7" w14:paraId="25372941" w14:textId="77777777" w:rsidTr="00B57FE8">
        <w:tc>
          <w:tcPr>
            <w:tcW w:w="4111" w:type="dxa"/>
            <w:tcBorders>
              <w:top w:val="single" w:sz="4" w:space="0" w:color="auto"/>
              <w:left w:val="single" w:sz="4" w:space="0" w:color="auto"/>
              <w:bottom w:val="single" w:sz="4" w:space="0" w:color="auto"/>
              <w:right w:val="single" w:sz="4" w:space="0" w:color="auto"/>
            </w:tcBorders>
          </w:tcPr>
          <w:p w14:paraId="23237041" w14:textId="77777777" w:rsidR="00C97C81" w:rsidRPr="00092ED7" w:rsidRDefault="00C97C81" w:rsidP="00C97C81">
            <w:pPr>
              <w:spacing w:before="0" w:after="0"/>
              <w:ind w:left="113" w:right="113"/>
              <w:rPr>
                <w:rFonts w:eastAsia="Times New Roman" w:cs="Times New Roman"/>
                <w:sz w:val="20"/>
                <w:lang w:val="sr-Cyrl-CS"/>
              </w:rPr>
            </w:pPr>
            <w:r w:rsidRPr="00092ED7">
              <w:rPr>
                <w:rFonts w:eastAsia="Times New Roman" w:cs="Times New Roman"/>
                <w:sz w:val="20"/>
                <w:lang w:val="sr-Cyrl-CS"/>
              </w:rPr>
              <w:t>Број потписаних уговора са индустијом</w:t>
            </w:r>
          </w:p>
        </w:tc>
        <w:tc>
          <w:tcPr>
            <w:tcW w:w="1748" w:type="dxa"/>
            <w:tcBorders>
              <w:top w:val="single" w:sz="4" w:space="0" w:color="auto"/>
              <w:left w:val="single" w:sz="4" w:space="0" w:color="auto"/>
              <w:bottom w:val="single" w:sz="4" w:space="0" w:color="auto"/>
              <w:right w:val="single" w:sz="4" w:space="0" w:color="auto"/>
            </w:tcBorders>
          </w:tcPr>
          <w:p w14:paraId="2196212B" w14:textId="77777777" w:rsidR="00C97C81" w:rsidRPr="00092ED7" w:rsidRDefault="00C97C81" w:rsidP="00C97C81">
            <w:pPr>
              <w:spacing w:before="0" w:after="0"/>
              <w:ind w:left="113" w:right="113"/>
              <w:jc w:val="center"/>
              <w:rPr>
                <w:rFonts w:eastAsia="Times New Roman" w:cs="Times New Roman"/>
                <w:sz w:val="20"/>
                <w:lang w:val="sr-Cyrl-CS"/>
              </w:rPr>
            </w:pPr>
            <w:r w:rsidRPr="00092ED7">
              <w:rPr>
                <w:rFonts w:eastAsia="Times New Roman" w:cs="Times New Roman"/>
                <w:sz w:val="20"/>
                <w:lang w:val="sr-Cyrl-CS"/>
              </w:rPr>
              <w:t>0</w:t>
            </w:r>
          </w:p>
        </w:tc>
        <w:tc>
          <w:tcPr>
            <w:tcW w:w="1512" w:type="dxa"/>
            <w:tcBorders>
              <w:top w:val="single" w:sz="4" w:space="0" w:color="auto"/>
              <w:left w:val="single" w:sz="4" w:space="0" w:color="auto"/>
              <w:bottom w:val="single" w:sz="4" w:space="0" w:color="auto"/>
              <w:right w:val="single" w:sz="4" w:space="0" w:color="auto"/>
            </w:tcBorders>
          </w:tcPr>
          <w:p w14:paraId="178320E7" w14:textId="77777777" w:rsidR="00C97C81" w:rsidRPr="00092ED7" w:rsidRDefault="00C97C81" w:rsidP="00C97C81">
            <w:pPr>
              <w:spacing w:before="0" w:after="0"/>
              <w:ind w:left="113" w:right="113"/>
              <w:jc w:val="center"/>
              <w:rPr>
                <w:rFonts w:eastAsia="Times New Roman" w:cs="Times New Roman"/>
                <w:sz w:val="20"/>
                <w:lang w:val="sr-Cyrl-CS"/>
              </w:rPr>
            </w:pPr>
            <w:r w:rsidRPr="00092ED7">
              <w:rPr>
                <w:rFonts w:eastAsia="Times New Roman" w:cs="Times New Roman"/>
                <w:sz w:val="20"/>
                <w:lang w:val="sr-Cyrl-CS"/>
              </w:rPr>
              <w:t>5</w:t>
            </w:r>
          </w:p>
        </w:tc>
        <w:tc>
          <w:tcPr>
            <w:tcW w:w="1701" w:type="dxa"/>
            <w:tcBorders>
              <w:top w:val="single" w:sz="4" w:space="0" w:color="auto"/>
              <w:left w:val="single" w:sz="4" w:space="0" w:color="auto"/>
              <w:bottom w:val="single" w:sz="4" w:space="0" w:color="auto"/>
              <w:right w:val="single" w:sz="4" w:space="0" w:color="auto"/>
            </w:tcBorders>
          </w:tcPr>
          <w:p w14:paraId="1C91ECD3" w14:textId="77777777" w:rsidR="00C97C81" w:rsidRPr="00092ED7" w:rsidRDefault="00C97C81" w:rsidP="00C97C81">
            <w:pPr>
              <w:spacing w:before="0" w:after="0"/>
              <w:ind w:left="113" w:right="113"/>
              <w:jc w:val="center"/>
              <w:rPr>
                <w:rFonts w:eastAsia="Times New Roman" w:cs="Times New Roman"/>
                <w:sz w:val="20"/>
                <w:lang w:val="sr-Cyrl-CS"/>
              </w:rPr>
            </w:pPr>
            <w:r w:rsidRPr="00092ED7">
              <w:rPr>
                <w:rFonts w:eastAsia="Times New Roman" w:cs="Times New Roman"/>
                <w:sz w:val="20"/>
                <w:lang w:val="sr-Cyrl-CS"/>
              </w:rPr>
              <w:t>20</w:t>
            </w:r>
          </w:p>
        </w:tc>
      </w:tr>
    </w:tbl>
    <w:p w14:paraId="50366AD8" w14:textId="77777777" w:rsidR="00D210F0" w:rsidRPr="00092ED7" w:rsidRDefault="00D210F0" w:rsidP="00071952">
      <w:pPr>
        <w:widowControl w:val="0"/>
        <w:numPr>
          <w:ilvl w:val="0"/>
          <w:numId w:val="33"/>
        </w:numPr>
        <w:spacing w:before="120"/>
        <w:ind w:left="425" w:hanging="425"/>
        <w:rPr>
          <w:rFonts w:cs="Times New Roman"/>
          <w:b/>
          <w:bCs/>
          <w:szCs w:val="24"/>
          <w:lang w:val="sr-Cyrl-CS"/>
        </w:rPr>
      </w:pPr>
      <w:r w:rsidRPr="00092ED7">
        <w:rPr>
          <w:b/>
          <w:szCs w:val="24"/>
          <w:lang w:val="sr-Cyrl-CS"/>
        </w:rPr>
        <w:t>Oчекивани утицај на конкурентност</w:t>
      </w:r>
    </w:p>
    <w:p w14:paraId="52ADBE34" w14:textId="26C8E266" w:rsidR="00D210F0" w:rsidRPr="00092ED7" w:rsidRDefault="00D210F0" w:rsidP="00943F16">
      <w:pPr>
        <w:widowControl w:val="0"/>
        <w:spacing w:after="60"/>
        <w:rPr>
          <w:rFonts w:eastAsia="Times New Roman" w:cs="Times New Roman"/>
          <w:szCs w:val="24"/>
          <w:lang w:val="sr-Cyrl-CS"/>
        </w:rPr>
      </w:pPr>
      <w:r w:rsidRPr="00092ED7">
        <w:rPr>
          <w:rFonts w:eastAsia="Times New Roman" w:cs="Times New Roman"/>
          <w:szCs w:val="24"/>
          <w:lang w:val="sr-Cyrl-CS"/>
        </w:rPr>
        <w:t xml:space="preserve">Процењено је да ће тржиште БИО4 области у свету вредети од два до четири трилиона </w:t>
      </w:r>
      <w:r w:rsidRPr="00092ED7">
        <w:rPr>
          <w:rFonts w:eastAsia="Times New Roman" w:cs="Times New Roman"/>
          <w:szCs w:val="24"/>
          <w:lang w:val="sr-Cyrl-CS"/>
        </w:rPr>
        <w:lastRenderedPageBreak/>
        <w:t xml:space="preserve">америчких долара у следеће две деценије и важно је да </w:t>
      </w:r>
      <w:r w:rsidR="00564BDA" w:rsidRPr="00092ED7">
        <w:rPr>
          <w:rFonts w:eastAsia="Times New Roman" w:cs="Times New Roman"/>
          <w:szCs w:val="24"/>
          <w:lang w:val="sr-Cyrl-CS"/>
        </w:rPr>
        <w:t xml:space="preserve">Република </w:t>
      </w:r>
      <w:r w:rsidRPr="00092ED7">
        <w:rPr>
          <w:rFonts w:eastAsia="Times New Roman" w:cs="Times New Roman"/>
          <w:szCs w:val="24"/>
          <w:lang w:val="sr-Cyrl-CS"/>
        </w:rPr>
        <w:t>Србија на том тржишту буде активан учесник. И</w:t>
      </w:r>
      <w:r w:rsidRPr="00092ED7">
        <w:rPr>
          <w:rFonts w:cs="Times New Roman"/>
          <w:szCs w:val="24"/>
          <w:lang w:val="sr-Cyrl-CS"/>
        </w:rPr>
        <w:t>мајући у виду да се оваквим Кампусом отварају бројне могућности за учествовање у различитим националним и светским пројектима, број истраживача, домаћих и међународних, као и број компанија у поменутим областима, показ</w:t>
      </w:r>
      <w:r w:rsidR="00992C92" w:rsidRPr="00092ED7">
        <w:rPr>
          <w:rFonts w:cs="Times New Roman"/>
          <w:szCs w:val="24"/>
          <w:lang w:val="sr-Cyrl-CS"/>
        </w:rPr>
        <w:t>а</w:t>
      </w:r>
      <w:r w:rsidRPr="00092ED7">
        <w:rPr>
          <w:rFonts w:cs="Times New Roman"/>
          <w:szCs w:val="24"/>
          <w:lang w:val="sr-Cyrl-CS"/>
        </w:rPr>
        <w:t xml:space="preserve">ће атрактивност </w:t>
      </w:r>
      <w:r w:rsidR="00564BDA" w:rsidRPr="00092ED7">
        <w:rPr>
          <w:rFonts w:cs="Times New Roman"/>
          <w:szCs w:val="24"/>
          <w:lang w:val="sr-Cyrl-CS"/>
        </w:rPr>
        <w:t xml:space="preserve">Република </w:t>
      </w:r>
      <w:r w:rsidRPr="00092ED7">
        <w:rPr>
          <w:rFonts w:cs="Times New Roman"/>
          <w:szCs w:val="24"/>
          <w:lang w:val="sr-Cyrl-CS"/>
        </w:rPr>
        <w:t xml:space="preserve">Србије као дестинације за истраживање и развој у области која представља спој бионаука и ИТ технологија. </w:t>
      </w:r>
      <w:r w:rsidRPr="00092ED7">
        <w:rPr>
          <w:rFonts w:eastAsia="Times New Roman" w:cs="Times New Roman"/>
          <w:szCs w:val="24"/>
          <w:lang w:val="sr-Cyrl-CS"/>
        </w:rPr>
        <w:t xml:space="preserve">Такође, </w:t>
      </w:r>
      <w:r w:rsidR="00E85B43" w:rsidRPr="00092ED7">
        <w:rPr>
          <w:rFonts w:eastAsia="Times New Roman" w:cs="Times New Roman"/>
          <w:szCs w:val="24"/>
          <w:lang w:val="sr-Cyrl-CS"/>
        </w:rPr>
        <w:t xml:space="preserve">процењује се да ће </w:t>
      </w:r>
      <w:r w:rsidRPr="00092ED7">
        <w:rPr>
          <w:rFonts w:eastAsia="Times New Roman" w:cs="Times New Roman"/>
          <w:szCs w:val="24"/>
          <w:lang w:val="sr-Cyrl-CS"/>
        </w:rPr>
        <w:t>биотехнологија у областима фармације, пољопривреде и производње хране, енергетских решења, као и заштите животне средине поста</w:t>
      </w:r>
      <w:r w:rsidR="00E85B43" w:rsidRPr="00092ED7">
        <w:rPr>
          <w:rFonts w:eastAsia="Times New Roman" w:cs="Times New Roman"/>
          <w:szCs w:val="24"/>
          <w:lang w:val="sr-Cyrl-CS"/>
        </w:rPr>
        <w:t>ти</w:t>
      </w:r>
      <w:r w:rsidRPr="00092ED7">
        <w:rPr>
          <w:rFonts w:eastAsia="Times New Roman" w:cs="Times New Roman"/>
          <w:szCs w:val="24"/>
          <w:lang w:val="sr-Cyrl-CS"/>
        </w:rPr>
        <w:t xml:space="preserve"> изузетно потентна привредна грана кроз транслацију знања и открића у лабораторијама у производе и услуге. </w:t>
      </w:r>
    </w:p>
    <w:p w14:paraId="6E66B3A5" w14:textId="77777777" w:rsidR="00D210F0" w:rsidRPr="00092ED7" w:rsidRDefault="00D210F0" w:rsidP="00071952">
      <w:pPr>
        <w:widowControl w:val="0"/>
        <w:numPr>
          <w:ilvl w:val="0"/>
          <w:numId w:val="33"/>
        </w:numPr>
        <w:spacing w:before="120"/>
        <w:ind w:left="425" w:hanging="425"/>
        <w:rPr>
          <w:rFonts w:cs="Times New Roman"/>
          <w:b/>
          <w:bCs/>
          <w:szCs w:val="24"/>
          <w:lang w:val="sr-Cyrl-CS"/>
        </w:rPr>
      </w:pPr>
      <w:r w:rsidRPr="00092ED7">
        <w:rPr>
          <w:rFonts w:cs="Times New Roman"/>
          <w:b/>
          <w:szCs w:val="24"/>
          <w:lang w:val="sr-Cyrl-CS"/>
        </w:rPr>
        <w:t>Процењени трошкови спровођења структурне реформе и предвиђени извори њиховог финансирања</w:t>
      </w:r>
    </w:p>
    <w:p w14:paraId="7506AA36" w14:textId="496BDA97" w:rsidR="00D8385F" w:rsidRPr="00092ED7" w:rsidRDefault="00D8385F" w:rsidP="00943F16">
      <w:pPr>
        <w:widowControl w:val="0"/>
        <w:spacing w:after="60"/>
        <w:rPr>
          <w:rFonts w:cs="Times New Roman"/>
          <w:szCs w:val="24"/>
          <w:lang w:val="sr-Cyrl-CS"/>
        </w:rPr>
      </w:pPr>
      <w:r w:rsidRPr="00092ED7">
        <w:rPr>
          <w:rFonts w:cs="Times New Roman"/>
          <w:szCs w:val="24"/>
          <w:lang w:val="sr-Cyrl-CS"/>
        </w:rPr>
        <w:t>Средства за финализацију пројектно-техничке документације обезбеђена су из буџета Канцеларије за управљање јавним улагањима у 2022. годин</w:t>
      </w:r>
      <w:r w:rsidR="0001548A" w:rsidRPr="00092ED7">
        <w:rPr>
          <w:rFonts w:cs="Times New Roman"/>
          <w:szCs w:val="24"/>
          <w:lang w:val="sr-Cyrl-CS"/>
        </w:rPr>
        <w:t>и</w:t>
      </w:r>
      <w:r w:rsidRPr="00092ED7">
        <w:rPr>
          <w:rFonts w:cs="Times New Roman"/>
          <w:szCs w:val="24"/>
          <w:lang w:val="sr-Cyrl-CS"/>
        </w:rPr>
        <w:t>, и износила су 4</w:t>
      </w:r>
      <w:r w:rsidR="00BC7FFA" w:rsidRPr="00092ED7">
        <w:rPr>
          <w:rFonts w:cs="Times New Roman"/>
          <w:szCs w:val="24"/>
          <w:lang w:val="sr-Cyrl-CS"/>
        </w:rPr>
        <w:t>,</w:t>
      </w:r>
      <w:r w:rsidRPr="00092ED7">
        <w:rPr>
          <w:rFonts w:cs="Times New Roman"/>
          <w:szCs w:val="24"/>
          <w:lang w:val="sr-Cyrl-CS"/>
        </w:rPr>
        <w:t xml:space="preserve">5 милиона евра. </w:t>
      </w:r>
      <w:r w:rsidR="003C32EE" w:rsidRPr="00092ED7">
        <w:rPr>
          <w:rFonts w:cs="Times New Roman"/>
          <w:szCs w:val="24"/>
          <w:lang w:val="sr-Cyrl-CS"/>
        </w:rPr>
        <w:t>Процењена вредност пројекта је 300 милиона евра, а изградња ће бити финансирана из кредита</w:t>
      </w:r>
      <w:r w:rsidRPr="00092ED7">
        <w:rPr>
          <w:rFonts w:cs="Times New Roman"/>
          <w:szCs w:val="24"/>
          <w:lang w:val="sr-Cyrl-CS"/>
        </w:rPr>
        <w:t xml:space="preserve">, док су средства за </w:t>
      </w:r>
      <w:r w:rsidRPr="00092ED7">
        <w:rPr>
          <w:rFonts w:eastAsia="Times New Roman" w:cs="Times New Roman"/>
          <w:szCs w:val="24"/>
          <w:lang w:val="sr-Cyrl-CS"/>
        </w:rPr>
        <w:t xml:space="preserve">израду планова трансформације научно-истраживачких института и њихову реализацију обезбеђена из зајма Светске банке (Пројекат акцелерације иновација и подстицање раста предузетништва - Пројекат SAIGE) у износу од </w:t>
      </w:r>
      <w:r w:rsidR="00564BDA" w:rsidRPr="00092ED7">
        <w:rPr>
          <w:rFonts w:eastAsia="Times New Roman" w:cs="Times New Roman"/>
          <w:szCs w:val="24"/>
          <w:lang w:val="sr-Cyrl-CS"/>
        </w:rPr>
        <w:t xml:space="preserve">осам </w:t>
      </w:r>
      <w:r w:rsidRPr="00092ED7">
        <w:rPr>
          <w:rFonts w:eastAsia="Times New Roman" w:cs="Times New Roman"/>
          <w:szCs w:val="24"/>
          <w:lang w:val="sr-Cyrl-CS"/>
        </w:rPr>
        <w:t>милиона евра.</w:t>
      </w:r>
    </w:p>
    <w:p w14:paraId="1BBCE1C4" w14:textId="77777777" w:rsidR="00D210F0" w:rsidRPr="00092ED7" w:rsidRDefault="00D210F0" w:rsidP="00071952">
      <w:pPr>
        <w:widowControl w:val="0"/>
        <w:numPr>
          <w:ilvl w:val="0"/>
          <w:numId w:val="33"/>
        </w:numPr>
        <w:spacing w:before="120"/>
        <w:ind w:left="425" w:hanging="425"/>
        <w:rPr>
          <w:rFonts w:cs="Times New Roman"/>
          <w:b/>
          <w:szCs w:val="24"/>
          <w:lang w:val="sr-Cyrl-CS"/>
        </w:rPr>
      </w:pPr>
      <w:r w:rsidRPr="00092ED7">
        <w:rPr>
          <w:rFonts w:cs="Times New Roman"/>
          <w:b/>
          <w:szCs w:val="24"/>
          <w:lang w:val="sr-Cyrl-CS"/>
        </w:rPr>
        <w:t>Очекивани утицај на социјалне циљеве, као што су запосленост, смањење сиромаштва, родна равноправност и приступ здравственој заштити</w:t>
      </w:r>
    </w:p>
    <w:p w14:paraId="382DD154" w14:textId="380B2703" w:rsidR="00D210F0" w:rsidRPr="00092ED7" w:rsidRDefault="00D210F0" w:rsidP="00943F16">
      <w:pPr>
        <w:widowControl w:val="0"/>
        <w:spacing w:after="60"/>
        <w:rPr>
          <w:szCs w:val="24"/>
          <w:lang w:val="sr-Cyrl-CS"/>
        </w:rPr>
      </w:pPr>
      <w:r w:rsidRPr="00092ED7">
        <w:rPr>
          <w:rFonts w:eastAsia="Times New Roman" w:cs="Times New Roman"/>
          <w:szCs w:val="24"/>
          <w:lang w:val="sr-Cyrl-CS"/>
        </w:rPr>
        <w:t>Имплементација планираних активности ће унапредити квалитет здравствене заштите и омогућити бржу и квалитетнију транзицију здравственог система у правцу модерне, иновативне дијагностике и лечења заснованих на подацима и најновијим научним сазнањима.</w:t>
      </w:r>
      <w:r w:rsidRPr="00092ED7">
        <w:rPr>
          <w:szCs w:val="24"/>
          <w:lang w:val="sr-Cyrl-CS"/>
        </w:rPr>
        <w:t xml:space="preserve"> </w:t>
      </w:r>
      <w:r w:rsidRPr="00092ED7">
        <w:rPr>
          <w:rFonts w:eastAsia="Times New Roman" w:cs="Times New Roman"/>
          <w:szCs w:val="24"/>
          <w:lang w:val="sr-Cyrl-CS"/>
        </w:rPr>
        <w:t>Омогућиће развој нових биолошких лекова и препарата за фармацеутску и прехрамбену индустрију за заштиту животне средине и очување биодиверзитета (</w:t>
      </w:r>
      <w:r w:rsidR="005B484F" w:rsidRPr="00092ED7">
        <w:rPr>
          <w:rFonts w:eastAsia="Times New Roman" w:cs="Times New Roman"/>
          <w:szCs w:val="24"/>
          <w:lang w:val="sr-Cyrl-CS"/>
        </w:rPr>
        <w:t>Циљеви одрживог развоја (у даљем тексту: (ЦО</w:t>
      </w:r>
      <w:r w:rsidR="002D07A1" w:rsidRPr="00092ED7">
        <w:rPr>
          <w:rFonts w:eastAsia="Times New Roman" w:cs="Times New Roman"/>
          <w:szCs w:val="24"/>
          <w:lang w:val="sr-Cyrl-CS"/>
        </w:rPr>
        <w:t>Р</w:t>
      </w:r>
      <w:r w:rsidR="005B484F" w:rsidRPr="00092ED7">
        <w:rPr>
          <w:rFonts w:eastAsia="Times New Roman" w:cs="Times New Roman"/>
          <w:szCs w:val="24"/>
          <w:lang w:val="sr-Cyrl-CS"/>
        </w:rPr>
        <w:t xml:space="preserve">) </w:t>
      </w:r>
      <w:r w:rsidRPr="00092ED7">
        <w:rPr>
          <w:rFonts w:eastAsia="Times New Roman" w:cs="Times New Roman"/>
          <w:szCs w:val="24"/>
          <w:lang w:val="sr-Cyrl-CS"/>
        </w:rPr>
        <w:t>2, 3, 12, 15). Отвара се могућност за запошљавање високо квалификоване радне снаге, а спречава њихов одлазак из земље. Присуство факултета и института омогућиће квалитетније образовање у складу са брзим глобалним променама (</w:t>
      </w:r>
      <w:r w:rsidR="005B484F" w:rsidRPr="00092ED7">
        <w:rPr>
          <w:rFonts w:eastAsia="Times New Roman" w:cs="Times New Roman"/>
          <w:szCs w:val="24"/>
          <w:lang w:val="sr-Cyrl-CS"/>
        </w:rPr>
        <w:t>ЦОР</w:t>
      </w:r>
      <w:r w:rsidRPr="00092ED7">
        <w:rPr>
          <w:rFonts w:eastAsia="Times New Roman" w:cs="Times New Roman"/>
          <w:szCs w:val="24"/>
          <w:lang w:val="sr-Cyrl-CS"/>
        </w:rPr>
        <w:t>, развој иновација (</w:t>
      </w:r>
      <w:r w:rsidR="005B484F" w:rsidRPr="00092ED7">
        <w:rPr>
          <w:rFonts w:eastAsia="Times New Roman" w:cs="Times New Roman"/>
          <w:szCs w:val="24"/>
          <w:lang w:val="sr-Cyrl-CS"/>
        </w:rPr>
        <w:t xml:space="preserve">ЦОР </w:t>
      </w:r>
      <w:r w:rsidRPr="00092ED7">
        <w:rPr>
          <w:rFonts w:eastAsia="Times New Roman" w:cs="Times New Roman"/>
          <w:szCs w:val="24"/>
          <w:lang w:val="sr-Cyrl-CS"/>
        </w:rPr>
        <w:t>9). У спровођењу реформске реформе водиће се рачуна о родној равноправности.</w:t>
      </w:r>
    </w:p>
    <w:p w14:paraId="50C45509" w14:textId="77777777" w:rsidR="00D210F0" w:rsidRPr="00092ED7" w:rsidRDefault="00D210F0" w:rsidP="00071952">
      <w:pPr>
        <w:widowControl w:val="0"/>
        <w:numPr>
          <w:ilvl w:val="0"/>
          <w:numId w:val="33"/>
        </w:numPr>
        <w:spacing w:before="120"/>
        <w:ind w:left="425" w:hanging="425"/>
        <w:rPr>
          <w:rFonts w:cs="Times New Roman"/>
          <w:b/>
          <w:szCs w:val="24"/>
          <w:lang w:val="sr-Cyrl-CS"/>
        </w:rPr>
      </w:pPr>
      <w:r w:rsidRPr="00092ED7">
        <w:rPr>
          <w:rFonts w:cs="Times New Roman"/>
          <w:b/>
          <w:szCs w:val="24"/>
          <w:lang w:val="sr-Cyrl-CS"/>
        </w:rPr>
        <w:t>Очекивани утицај на животну средину и климатске промене</w:t>
      </w:r>
    </w:p>
    <w:p w14:paraId="16FF2C17" w14:textId="77777777" w:rsidR="00D210F0" w:rsidRPr="00092ED7" w:rsidRDefault="00D210F0" w:rsidP="009A533F">
      <w:pPr>
        <w:widowControl w:val="0"/>
        <w:spacing w:after="60"/>
        <w:rPr>
          <w:szCs w:val="24"/>
          <w:lang w:val="sr-Cyrl-CS"/>
        </w:rPr>
      </w:pPr>
      <w:r w:rsidRPr="00092ED7">
        <w:rPr>
          <w:rFonts w:eastAsia="Times New Roman" w:cs="Times New Roman"/>
          <w:szCs w:val="24"/>
          <w:lang w:val="sr-Cyrl-CS"/>
        </w:rPr>
        <w:t>Приликом изградње објеката и спровођења планова трансформације института водиће се рачуна о животној средини и енергетској ефикасности (зелена градња). Експерти у оквиру БИО4 кампуса ће се бавити очувањем биодиверзитета, развојем зелених технологија и еколошки прихватљивих препарата за пољопривреду и прехрамбену индустрију и фармацију, и праћењу утицаја климатских промена (Центар за одрживост и животну средину у оквиру Кампуса), уз примену вештачке интелигенције. Током градње примениће се јединствени ЕУ принципи који омогућавају унапређење здравља и добробити (</w:t>
      </w:r>
      <w:r w:rsidRPr="00092ED7">
        <w:rPr>
          <w:rFonts w:eastAsia="Times New Roman" w:cs="Times New Roman"/>
          <w:i/>
          <w:szCs w:val="24"/>
          <w:lang w:val="sr-Cyrl-CS"/>
        </w:rPr>
        <w:t>well-being</w:t>
      </w:r>
      <w:r w:rsidRPr="00092ED7">
        <w:rPr>
          <w:rFonts w:eastAsia="Times New Roman" w:cs="Times New Roman"/>
          <w:szCs w:val="24"/>
          <w:lang w:val="sr-Cyrl-CS"/>
        </w:rPr>
        <w:t xml:space="preserve">) људи који бораве у БИО4. Примениће се алати за урбано планирање </w:t>
      </w:r>
      <w:r w:rsidRPr="00092ED7">
        <w:rPr>
          <w:rFonts w:eastAsia="Times New Roman" w:cs="Times New Roman"/>
          <w:i/>
          <w:szCs w:val="24"/>
          <w:lang w:val="sr-Cyrl-CS"/>
        </w:rPr>
        <w:t>Blue Green</w:t>
      </w:r>
      <w:r w:rsidRPr="00092ED7">
        <w:rPr>
          <w:szCs w:val="24"/>
          <w:lang w:val="sr-Cyrl-CS"/>
        </w:rPr>
        <w:t xml:space="preserve"> </w:t>
      </w:r>
      <w:r w:rsidRPr="00092ED7">
        <w:rPr>
          <w:rFonts w:eastAsia="Times New Roman" w:cs="Times New Roman"/>
          <w:szCs w:val="24"/>
          <w:lang w:val="sr-Cyrl-CS"/>
        </w:rPr>
        <w:t>решења са фокусом на водене потенцијале (плава решења укључујући дренажу, канализацију) и на вегетацију (зелена решења односно функционална вегетација) како би се усвојила решења базирана на принципима природе.</w:t>
      </w:r>
    </w:p>
    <w:p w14:paraId="564B1E75" w14:textId="77777777" w:rsidR="00D210F0" w:rsidRPr="00092ED7" w:rsidRDefault="00D210F0" w:rsidP="00071952">
      <w:pPr>
        <w:widowControl w:val="0"/>
        <w:numPr>
          <w:ilvl w:val="0"/>
          <w:numId w:val="33"/>
        </w:numPr>
        <w:spacing w:before="120"/>
        <w:ind w:left="425" w:hanging="425"/>
        <w:rPr>
          <w:rFonts w:cs="Times New Roman"/>
          <w:b/>
          <w:szCs w:val="24"/>
          <w:lang w:val="sr-Cyrl-CS"/>
        </w:rPr>
      </w:pPr>
      <w:r w:rsidRPr="00092ED7">
        <w:rPr>
          <w:rFonts w:cs="Times New Roman"/>
          <w:b/>
          <w:szCs w:val="24"/>
          <w:lang w:val="sr-Cyrl-CS"/>
        </w:rPr>
        <w:t>Потенцијални ризици</w:t>
      </w:r>
    </w:p>
    <w:tbl>
      <w:tblPr>
        <w:tblStyle w:val="TableGrid"/>
        <w:tblW w:w="9067" w:type="dxa"/>
        <w:jc w:val="center"/>
        <w:tblLayout w:type="fixed"/>
        <w:tblLook w:val="04A0" w:firstRow="1" w:lastRow="0" w:firstColumn="1" w:lastColumn="0" w:noHBand="0" w:noVBand="1"/>
      </w:tblPr>
      <w:tblGrid>
        <w:gridCol w:w="3515"/>
        <w:gridCol w:w="2098"/>
        <w:gridCol w:w="3454"/>
      </w:tblGrid>
      <w:tr w:rsidR="00D210F0" w:rsidRPr="00092ED7" w14:paraId="4121C4FD" w14:textId="77777777" w:rsidTr="00B57FE8">
        <w:trPr>
          <w:cnfStyle w:val="100000000000" w:firstRow="1" w:lastRow="0" w:firstColumn="0" w:lastColumn="0" w:oddVBand="0" w:evenVBand="0" w:oddHBand="0" w:evenHBand="0" w:firstRowFirstColumn="0" w:firstRowLastColumn="0" w:lastRowFirstColumn="0" w:lastRowLastColumn="0"/>
          <w:jc w:val="center"/>
        </w:trPr>
        <w:tc>
          <w:tcPr>
            <w:tcW w:w="3515" w:type="dxa"/>
            <w:tcBorders>
              <w:top w:val="single" w:sz="4" w:space="0" w:color="auto"/>
              <w:left w:val="single" w:sz="4" w:space="0" w:color="auto"/>
              <w:bottom w:val="single" w:sz="4" w:space="0" w:color="auto"/>
              <w:right w:val="single" w:sz="4" w:space="0" w:color="auto"/>
            </w:tcBorders>
            <w:hideMark/>
          </w:tcPr>
          <w:p w14:paraId="1ADC5FDF" w14:textId="77777777" w:rsidR="00D210F0" w:rsidRPr="00092ED7" w:rsidRDefault="00D210F0" w:rsidP="00B57FE8">
            <w:pPr>
              <w:spacing w:before="0" w:after="0"/>
              <w:ind w:left="113" w:right="113"/>
              <w:jc w:val="center"/>
              <w:rPr>
                <w:rFonts w:cs="Times New Roman"/>
                <w:b w:val="0"/>
                <w:sz w:val="20"/>
                <w:lang w:val="sr-Cyrl-CS"/>
              </w:rPr>
            </w:pPr>
            <w:r w:rsidRPr="00092ED7">
              <w:rPr>
                <w:rFonts w:cs="Times New Roman"/>
                <w:sz w:val="20"/>
                <w:lang w:val="sr-Cyrl-CS"/>
              </w:rPr>
              <w:t>Ризик</w:t>
            </w:r>
          </w:p>
        </w:tc>
        <w:tc>
          <w:tcPr>
            <w:tcW w:w="2098" w:type="dxa"/>
            <w:tcBorders>
              <w:top w:val="single" w:sz="4" w:space="0" w:color="auto"/>
              <w:left w:val="single" w:sz="4" w:space="0" w:color="auto"/>
              <w:bottom w:val="single" w:sz="4" w:space="0" w:color="auto"/>
              <w:right w:val="single" w:sz="4" w:space="0" w:color="auto"/>
            </w:tcBorders>
            <w:hideMark/>
          </w:tcPr>
          <w:p w14:paraId="1356C109" w14:textId="77777777" w:rsidR="00D210F0" w:rsidRPr="00092ED7" w:rsidRDefault="00D210F0" w:rsidP="00B57FE8">
            <w:pPr>
              <w:spacing w:before="0" w:after="0"/>
              <w:ind w:left="113" w:right="113"/>
              <w:jc w:val="center"/>
              <w:rPr>
                <w:rFonts w:cs="Times New Roman"/>
                <w:b w:val="0"/>
                <w:sz w:val="20"/>
                <w:lang w:val="sr-Cyrl-CS"/>
              </w:rPr>
            </w:pPr>
            <w:r w:rsidRPr="00092ED7">
              <w:rPr>
                <w:rFonts w:cs="Times New Roman"/>
                <w:sz w:val="20"/>
                <w:lang w:val="sr-Cyrl-CS"/>
              </w:rPr>
              <w:t>Вероватноћа за остваривање ризика</w:t>
            </w:r>
          </w:p>
        </w:tc>
        <w:tc>
          <w:tcPr>
            <w:tcW w:w="3454" w:type="dxa"/>
            <w:tcBorders>
              <w:top w:val="single" w:sz="4" w:space="0" w:color="auto"/>
              <w:left w:val="single" w:sz="4" w:space="0" w:color="auto"/>
              <w:bottom w:val="single" w:sz="4" w:space="0" w:color="auto"/>
              <w:right w:val="single" w:sz="4" w:space="0" w:color="auto"/>
            </w:tcBorders>
            <w:hideMark/>
          </w:tcPr>
          <w:p w14:paraId="023833A4" w14:textId="77777777" w:rsidR="00D210F0" w:rsidRPr="00092ED7" w:rsidRDefault="00D210F0" w:rsidP="00B57FE8">
            <w:pPr>
              <w:spacing w:before="0" w:after="0"/>
              <w:ind w:left="113" w:right="113"/>
              <w:jc w:val="center"/>
              <w:rPr>
                <w:rFonts w:cs="Times New Roman"/>
                <w:b w:val="0"/>
                <w:sz w:val="20"/>
                <w:lang w:val="sr-Cyrl-CS"/>
              </w:rPr>
            </w:pPr>
            <w:r w:rsidRPr="00092ED7">
              <w:rPr>
                <w:rFonts w:cs="Times New Roman"/>
                <w:sz w:val="20"/>
                <w:lang w:val="sr-Cyrl-CS"/>
              </w:rPr>
              <w:t>Планиране активност за ублажавање негативних ефеката ризика</w:t>
            </w:r>
          </w:p>
        </w:tc>
      </w:tr>
      <w:tr w:rsidR="00D210F0" w:rsidRPr="00092ED7" w14:paraId="1C005AEA" w14:textId="77777777" w:rsidTr="009A533F">
        <w:trPr>
          <w:jc w:val="center"/>
        </w:trPr>
        <w:tc>
          <w:tcPr>
            <w:tcW w:w="3515" w:type="dxa"/>
            <w:tcBorders>
              <w:top w:val="single" w:sz="4" w:space="0" w:color="auto"/>
              <w:left w:val="single" w:sz="4" w:space="0" w:color="auto"/>
              <w:bottom w:val="single" w:sz="4" w:space="0" w:color="auto"/>
              <w:right w:val="single" w:sz="4" w:space="0" w:color="auto"/>
            </w:tcBorders>
          </w:tcPr>
          <w:p w14:paraId="478EF069" w14:textId="77777777" w:rsidR="00D210F0" w:rsidRPr="00092ED7" w:rsidRDefault="00D210F0" w:rsidP="00B57FE8">
            <w:pPr>
              <w:spacing w:before="0" w:after="0"/>
              <w:ind w:left="113" w:right="113"/>
              <w:rPr>
                <w:sz w:val="20"/>
                <w:lang w:val="sr-Cyrl-CS"/>
              </w:rPr>
            </w:pPr>
            <w:r w:rsidRPr="00092ED7">
              <w:rPr>
                <w:rFonts w:eastAsia="Times New Roman" w:cs="Times New Roman"/>
                <w:sz w:val="20"/>
                <w:lang w:val="sr-Cyrl-CS"/>
              </w:rPr>
              <w:lastRenderedPageBreak/>
              <w:t>Кашњење у припреми пројектне документације</w:t>
            </w:r>
          </w:p>
        </w:tc>
        <w:tc>
          <w:tcPr>
            <w:tcW w:w="2098" w:type="dxa"/>
            <w:tcBorders>
              <w:top w:val="single" w:sz="4" w:space="0" w:color="auto"/>
              <w:left w:val="single" w:sz="4" w:space="0" w:color="auto"/>
              <w:bottom w:val="single" w:sz="4" w:space="0" w:color="auto"/>
              <w:right w:val="single" w:sz="4" w:space="0" w:color="auto"/>
            </w:tcBorders>
            <w:vAlign w:val="top"/>
          </w:tcPr>
          <w:p w14:paraId="51A9B619" w14:textId="77777777" w:rsidR="00D210F0" w:rsidRPr="00092ED7" w:rsidRDefault="00D210F0" w:rsidP="009A533F">
            <w:pPr>
              <w:spacing w:before="0" w:after="0"/>
              <w:ind w:left="113" w:right="113"/>
              <w:jc w:val="center"/>
              <w:rPr>
                <w:sz w:val="20"/>
                <w:lang w:val="sr-Cyrl-CS"/>
              </w:rPr>
            </w:pPr>
            <w:r w:rsidRPr="00092ED7">
              <w:rPr>
                <w:rFonts w:cs="Times New Roman"/>
                <w:sz w:val="20"/>
                <w:lang w:val="sr-Cyrl-CS"/>
              </w:rPr>
              <w:t>Ниска</w:t>
            </w:r>
          </w:p>
        </w:tc>
        <w:tc>
          <w:tcPr>
            <w:tcW w:w="3454" w:type="dxa"/>
            <w:tcBorders>
              <w:top w:val="single" w:sz="4" w:space="0" w:color="auto"/>
              <w:left w:val="single" w:sz="4" w:space="0" w:color="auto"/>
              <w:bottom w:val="single" w:sz="4" w:space="0" w:color="auto"/>
              <w:right w:val="single" w:sz="4" w:space="0" w:color="auto"/>
            </w:tcBorders>
          </w:tcPr>
          <w:p w14:paraId="76BBC1A2" w14:textId="77777777" w:rsidR="00D210F0" w:rsidRPr="00092ED7" w:rsidRDefault="00D210F0" w:rsidP="00B57FE8">
            <w:pPr>
              <w:spacing w:before="0" w:after="0"/>
              <w:ind w:left="113" w:right="113"/>
              <w:rPr>
                <w:sz w:val="20"/>
                <w:lang w:val="sr-Cyrl-CS"/>
              </w:rPr>
            </w:pPr>
            <w:r w:rsidRPr="00092ED7">
              <w:rPr>
                <w:rFonts w:eastAsia="Times New Roman" w:cs="Times New Roman"/>
                <w:sz w:val="20"/>
                <w:lang w:val="sr-Cyrl-CS"/>
              </w:rPr>
              <w:t>Ефикасно планирање свих активности и повезивање актера</w:t>
            </w:r>
            <w:r w:rsidR="00CB66AD" w:rsidRPr="00092ED7">
              <w:rPr>
                <w:rFonts w:eastAsia="Times New Roman" w:cs="Times New Roman"/>
                <w:sz w:val="20"/>
                <w:lang w:val="sr-Cyrl-CS"/>
              </w:rPr>
              <w:t>.</w:t>
            </w:r>
          </w:p>
        </w:tc>
      </w:tr>
      <w:tr w:rsidR="00D210F0" w:rsidRPr="00092ED7" w14:paraId="584D4D63" w14:textId="77777777" w:rsidTr="009A533F">
        <w:trPr>
          <w:jc w:val="center"/>
        </w:trPr>
        <w:tc>
          <w:tcPr>
            <w:tcW w:w="3515" w:type="dxa"/>
            <w:tcBorders>
              <w:top w:val="single" w:sz="4" w:space="0" w:color="auto"/>
              <w:left w:val="single" w:sz="4" w:space="0" w:color="auto"/>
              <w:bottom w:val="single" w:sz="4" w:space="0" w:color="auto"/>
              <w:right w:val="single" w:sz="4" w:space="0" w:color="auto"/>
            </w:tcBorders>
            <w:hideMark/>
          </w:tcPr>
          <w:p w14:paraId="54AC8E9C" w14:textId="77777777" w:rsidR="00D210F0" w:rsidRPr="00092ED7" w:rsidRDefault="00D210F0" w:rsidP="00B57FE8">
            <w:pPr>
              <w:spacing w:before="0" w:after="0"/>
              <w:ind w:left="113" w:right="113"/>
              <w:rPr>
                <w:rFonts w:cs="Times New Roman"/>
                <w:b/>
                <w:sz w:val="20"/>
                <w:lang w:val="sr-Cyrl-CS"/>
              </w:rPr>
            </w:pPr>
            <w:r w:rsidRPr="00092ED7">
              <w:rPr>
                <w:rFonts w:eastAsia="Times New Roman" w:cs="Times New Roman"/>
                <w:sz w:val="20"/>
                <w:lang w:val="sr-Cyrl-CS"/>
              </w:rPr>
              <w:t>Непоштовање рокова у реализацији планираних активности и изградњи</w:t>
            </w:r>
          </w:p>
        </w:tc>
        <w:tc>
          <w:tcPr>
            <w:tcW w:w="2098" w:type="dxa"/>
            <w:tcBorders>
              <w:top w:val="single" w:sz="4" w:space="0" w:color="auto"/>
              <w:left w:val="single" w:sz="4" w:space="0" w:color="auto"/>
              <w:bottom w:val="single" w:sz="4" w:space="0" w:color="auto"/>
              <w:right w:val="single" w:sz="4" w:space="0" w:color="auto"/>
            </w:tcBorders>
            <w:vAlign w:val="top"/>
          </w:tcPr>
          <w:p w14:paraId="7AE7DB13" w14:textId="77777777" w:rsidR="00D210F0" w:rsidRPr="00092ED7" w:rsidRDefault="00D210F0" w:rsidP="009A533F">
            <w:pPr>
              <w:spacing w:before="0" w:after="0"/>
              <w:ind w:left="113" w:right="113"/>
              <w:jc w:val="center"/>
              <w:rPr>
                <w:rFonts w:cs="Times New Roman"/>
                <w:sz w:val="20"/>
                <w:lang w:val="sr-Cyrl-CS"/>
              </w:rPr>
            </w:pPr>
            <w:r w:rsidRPr="00092ED7">
              <w:rPr>
                <w:rFonts w:cs="Times New Roman"/>
                <w:sz w:val="20"/>
                <w:lang w:val="sr-Cyrl-CS"/>
              </w:rPr>
              <w:t>Средња</w:t>
            </w:r>
          </w:p>
        </w:tc>
        <w:tc>
          <w:tcPr>
            <w:tcW w:w="3454" w:type="dxa"/>
            <w:tcBorders>
              <w:top w:val="single" w:sz="4" w:space="0" w:color="auto"/>
              <w:left w:val="single" w:sz="4" w:space="0" w:color="auto"/>
              <w:bottom w:val="single" w:sz="4" w:space="0" w:color="auto"/>
              <w:right w:val="single" w:sz="4" w:space="0" w:color="auto"/>
            </w:tcBorders>
          </w:tcPr>
          <w:p w14:paraId="2BCC5107" w14:textId="77777777" w:rsidR="00D210F0" w:rsidRPr="00092ED7" w:rsidRDefault="00D210F0" w:rsidP="00B57FE8">
            <w:pPr>
              <w:spacing w:before="0" w:after="0"/>
              <w:ind w:left="113" w:right="113"/>
              <w:rPr>
                <w:sz w:val="20"/>
                <w:lang w:val="sr-Cyrl-CS"/>
              </w:rPr>
            </w:pPr>
            <w:r w:rsidRPr="00092ED7">
              <w:rPr>
                <w:rFonts w:eastAsia="Times New Roman" w:cs="Times New Roman"/>
                <w:sz w:val="20"/>
                <w:lang w:val="sr-Cyrl-CS"/>
              </w:rPr>
              <w:t>Стално праћење напретка и идентификовање потенцијалних уских грла</w:t>
            </w:r>
            <w:r w:rsidR="00D47BD8" w:rsidRPr="00092ED7">
              <w:rPr>
                <w:rFonts w:eastAsia="Times New Roman" w:cs="Times New Roman"/>
                <w:sz w:val="20"/>
                <w:lang w:val="sr-Cyrl-CS"/>
              </w:rPr>
              <w:t>.</w:t>
            </w:r>
          </w:p>
        </w:tc>
      </w:tr>
      <w:tr w:rsidR="00D210F0" w:rsidRPr="00092ED7" w14:paraId="0EFE8230" w14:textId="77777777" w:rsidTr="009A533F">
        <w:trPr>
          <w:jc w:val="center"/>
        </w:trPr>
        <w:tc>
          <w:tcPr>
            <w:tcW w:w="3515" w:type="dxa"/>
            <w:tcBorders>
              <w:top w:val="single" w:sz="4" w:space="0" w:color="auto"/>
              <w:left w:val="single" w:sz="4" w:space="0" w:color="auto"/>
              <w:bottom w:val="single" w:sz="4" w:space="0" w:color="auto"/>
              <w:right w:val="single" w:sz="4" w:space="0" w:color="auto"/>
            </w:tcBorders>
          </w:tcPr>
          <w:p w14:paraId="289EB29F" w14:textId="77777777" w:rsidR="00D210F0" w:rsidRPr="00092ED7" w:rsidRDefault="00D210F0" w:rsidP="00B57FE8">
            <w:pPr>
              <w:spacing w:before="0" w:after="0"/>
              <w:ind w:left="113" w:right="113"/>
              <w:rPr>
                <w:sz w:val="20"/>
                <w:lang w:val="sr-Cyrl-CS"/>
              </w:rPr>
            </w:pPr>
            <w:r w:rsidRPr="00092ED7">
              <w:rPr>
                <w:rFonts w:cs="Times New Roman"/>
                <w:sz w:val="20"/>
                <w:lang w:val="sr-Cyrl-CS"/>
              </w:rPr>
              <w:t>Недовољна заинтересованост институција и компанија да буду део БИО4 кампуса</w:t>
            </w:r>
          </w:p>
        </w:tc>
        <w:tc>
          <w:tcPr>
            <w:tcW w:w="2098" w:type="dxa"/>
            <w:tcBorders>
              <w:top w:val="single" w:sz="4" w:space="0" w:color="auto"/>
              <w:left w:val="single" w:sz="4" w:space="0" w:color="auto"/>
              <w:bottom w:val="single" w:sz="4" w:space="0" w:color="auto"/>
              <w:right w:val="single" w:sz="4" w:space="0" w:color="auto"/>
            </w:tcBorders>
            <w:vAlign w:val="top"/>
          </w:tcPr>
          <w:p w14:paraId="6B374790" w14:textId="77777777" w:rsidR="00D210F0" w:rsidRPr="00092ED7" w:rsidRDefault="00D210F0" w:rsidP="009A533F">
            <w:pPr>
              <w:spacing w:before="0" w:after="0"/>
              <w:ind w:left="113" w:right="113"/>
              <w:jc w:val="center"/>
              <w:rPr>
                <w:sz w:val="20"/>
                <w:lang w:val="sr-Cyrl-CS"/>
              </w:rPr>
            </w:pPr>
            <w:r w:rsidRPr="00092ED7">
              <w:rPr>
                <w:rFonts w:cs="Times New Roman"/>
                <w:sz w:val="20"/>
                <w:lang w:val="sr-Cyrl-CS"/>
              </w:rPr>
              <w:t>Ниска</w:t>
            </w:r>
          </w:p>
        </w:tc>
        <w:tc>
          <w:tcPr>
            <w:tcW w:w="3454" w:type="dxa"/>
            <w:tcBorders>
              <w:top w:val="single" w:sz="4" w:space="0" w:color="auto"/>
              <w:left w:val="single" w:sz="4" w:space="0" w:color="auto"/>
              <w:bottom w:val="single" w:sz="4" w:space="0" w:color="auto"/>
              <w:right w:val="single" w:sz="4" w:space="0" w:color="auto"/>
            </w:tcBorders>
          </w:tcPr>
          <w:p w14:paraId="42C15C4B" w14:textId="77777777" w:rsidR="00D210F0" w:rsidRPr="00092ED7" w:rsidRDefault="00D210F0" w:rsidP="00B57FE8">
            <w:pPr>
              <w:spacing w:before="0" w:after="0"/>
              <w:ind w:left="113" w:right="113"/>
              <w:rPr>
                <w:sz w:val="20"/>
                <w:lang w:val="sr-Cyrl-CS"/>
              </w:rPr>
            </w:pPr>
            <w:r w:rsidRPr="00092ED7">
              <w:rPr>
                <w:rFonts w:cs="Times New Roman"/>
                <w:sz w:val="20"/>
                <w:lang w:val="sr-Cyrl-CS"/>
              </w:rPr>
              <w:t>Промоција и остваривање партнерстава кроз заједничке активности</w:t>
            </w:r>
            <w:r w:rsidR="00D47BD8" w:rsidRPr="00092ED7">
              <w:rPr>
                <w:rFonts w:cs="Times New Roman"/>
                <w:sz w:val="20"/>
                <w:lang w:val="sr-Cyrl-CS"/>
              </w:rPr>
              <w:t>.</w:t>
            </w:r>
          </w:p>
        </w:tc>
      </w:tr>
    </w:tbl>
    <w:p w14:paraId="54D53637" w14:textId="77777777" w:rsidR="00D210F0" w:rsidRPr="00092ED7" w:rsidRDefault="00D210F0" w:rsidP="00D210F0">
      <w:pPr>
        <w:keepNext/>
        <w:keepLines/>
        <w:shd w:val="clear" w:color="auto" w:fill="D9D9D9" w:themeFill="background1" w:themeFillShade="D9"/>
        <w:spacing w:before="360"/>
        <w:outlineLvl w:val="2"/>
        <w:rPr>
          <w:rFonts w:eastAsiaTheme="majorEastAsia" w:cstheme="majorBidi"/>
          <w:b/>
          <w:lang w:val="sr-Cyrl-CS"/>
        </w:rPr>
      </w:pPr>
      <w:bookmarkStart w:id="50" w:name="_Toc93385982"/>
      <w:bookmarkStart w:id="51" w:name="_Toc124174813"/>
      <w:r w:rsidRPr="00092ED7">
        <w:rPr>
          <w:rFonts w:eastAsiaTheme="majorEastAsia" w:cstheme="majorBidi"/>
          <w:b/>
          <w:lang w:val="sr-Cyrl-CS"/>
        </w:rPr>
        <w:t>5.2.6. Област РЕФОРМЕ У ОБЛАСТИ ЕКОНОМСКИХ ИНТЕГРАЦИЈА</w:t>
      </w:r>
      <w:bookmarkEnd w:id="50"/>
      <w:bookmarkEnd w:id="51"/>
    </w:p>
    <w:p w14:paraId="128DC076" w14:textId="1EE48053" w:rsidR="00D210F0" w:rsidRPr="00092ED7" w:rsidRDefault="00D210F0" w:rsidP="00D210F0">
      <w:pPr>
        <w:rPr>
          <w:rFonts w:eastAsia="Times New Roman" w:cs="Times New Roman"/>
          <w:b/>
          <w:bCs/>
          <w:color w:val="000000"/>
          <w:szCs w:val="24"/>
          <w:lang w:val="sr-Cyrl-CS"/>
        </w:rPr>
      </w:pPr>
      <w:r w:rsidRPr="00092ED7">
        <w:rPr>
          <w:rFonts w:eastAsia="Times New Roman" w:cs="Times New Roman"/>
          <w:b/>
          <w:bCs/>
          <w:color w:val="000000"/>
          <w:szCs w:val="24"/>
          <w:lang w:val="sr-Cyrl-CS"/>
        </w:rPr>
        <w:t xml:space="preserve">а) Анализа главних </w:t>
      </w:r>
      <w:r w:rsidR="00515D4D" w:rsidRPr="00092ED7">
        <w:rPr>
          <w:rFonts w:eastAsia="Times New Roman" w:cs="Times New Roman"/>
          <w:b/>
          <w:bCs/>
          <w:color w:val="000000"/>
          <w:szCs w:val="24"/>
          <w:lang w:val="sr-Cyrl-CS"/>
        </w:rPr>
        <w:t>изазова</w:t>
      </w:r>
    </w:p>
    <w:p w14:paraId="631D3898" w14:textId="49ADA174" w:rsidR="00D210F0" w:rsidRPr="00092ED7" w:rsidRDefault="00D210F0" w:rsidP="00D210F0">
      <w:pPr>
        <w:widowControl w:val="0"/>
        <w:spacing w:after="60"/>
        <w:rPr>
          <w:rFonts w:eastAsia="Times New Roman" w:cs="Times New Roman"/>
          <w:bCs/>
          <w:color w:val="000000"/>
          <w:szCs w:val="24"/>
          <w:lang w:val="sr-Cyrl-CS"/>
        </w:rPr>
      </w:pPr>
      <w:r w:rsidRPr="00092ED7">
        <w:rPr>
          <w:rFonts w:eastAsia="Times New Roman" w:cs="Times New Roman"/>
          <w:b/>
          <w:bCs/>
          <w:color w:val="000000"/>
          <w:szCs w:val="24"/>
          <w:lang w:val="sr-Cyrl-CS"/>
        </w:rPr>
        <w:t xml:space="preserve">Република Србија није у потпуности интегрисана у међународни економски систем </w:t>
      </w:r>
      <w:r w:rsidR="00862B63" w:rsidRPr="00092ED7">
        <w:rPr>
          <w:rFonts w:eastAsia="Times New Roman" w:cs="Times New Roman"/>
          <w:b/>
          <w:bCs/>
          <w:color w:val="000000"/>
          <w:szCs w:val="24"/>
          <w:lang w:val="sr-Cyrl-CS"/>
        </w:rPr>
        <w:t xml:space="preserve">с обзиром да </w:t>
      </w:r>
      <w:r w:rsidRPr="00092ED7">
        <w:rPr>
          <w:rFonts w:eastAsia="Times New Roman" w:cs="Times New Roman"/>
          <w:b/>
          <w:bCs/>
          <w:color w:val="000000"/>
          <w:szCs w:val="24"/>
          <w:lang w:val="sr-Cyrl-CS"/>
        </w:rPr>
        <w:t>још увек није приступила Светској трговинској организацији (</w:t>
      </w:r>
      <w:r w:rsidR="00564BDA" w:rsidRPr="00092ED7">
        <w:rPr>
          <w:rFonts w:eastAsia="Times New Roman" w:cs="Times New Roman"/>
          <w:b/>
          <w:bCs/>
          <w:color w:val="000000"/>
          <w:szCs w:val="24"/>
          <w:lang w:val="sr-Cyrl-CS"/>
        </w:rPr>
        <w:t xml:space="preserve">у даљем тексту: </w:t>
      </w:r>
      <w:r w:rsidRPr="00092ED7">
        <w:rPr>
          <w:rFonts w:eastAsia="Times New Roman" w:cs="Times New Roman"/>
          <w:b/>
          <w:bCs/>
          <w:color w:val="000000"/>
          <w:szCs w:val="24"/>
          <w:lang w:val="sr-Cyrl-CS"/>
        </w:rPr>
        <w:t xml:space="preserve">СТО). </w:t>
      </w:r>
      <w:r w:rsidRPr="00092ED7">
        <w:rPr>
          <w:rFonts w:eastAsia="Times New Roman" w:cs="Times New Roman"/>
          <w:bCs/>
          <w:color w:val="000000"/>
          <w:szCs w:val="24"/>
          <w:lang w:val="sr-Cyrl-CS"/>
        </w:rPr>
        <w:t>У оквиру мултилатералне компоненте приступања (системска питања) преостало је једино отворено питање забране спољнотрговинског промета производа од генетички модификованих организама (</w:t>
      </w:r>
      <w:r w:rsidR="0001548A" w:rsidRPr="00092ED7">
        <w:rPr>
          <w:rFonts w:eastAsia="Times New Roman" w:cs="Times New Roman"/>
          <w:bCs/>
          <w:color w:val="000000"/>
          <w:szCs w:val="24"/>
          <w:lang w:val="sr-Cyrl-CS"/>
        </w:rPr>
        <w:t xml:space="preserve">у даљем тексту: </w:t>
      </w:r>
      <w:r w:rsidRPr="00092ED7">
        <w:rPr>
          <w:rFonts w:eastAsia="Times New Roman" w:cs="Times New Roman"/>
          <w:bCs/>
          <w:color w:val="000000"/>
          <w:szCs w:val="24"/>
          <w:lang w:val="sr-Cyrl-CS"/>
        </w:rPr>
        <w:t xml:space="preserve">ГМО) и доношење </w:t>
      </w:r>
      <w:r w:rsidR="00101672" w:rsidRPr="00092ED7">
        <w:rPr>
          <w:rFonts w:eastAsia="Times New Roman" w:cs="Times New Roman"/>
          <w:bCs/>
          <w:color w:val="000000"/>
          <w:szCs w:val="24"/>
          <w:lang w:val="sr-Cyrl-CS"/>
        </w:rPr>
        <w:t>з</w:t>
      </w:r>
      <w:r w:rsidRPr="00092ED7">
        <w:rPr>
          <w:rFonts w:eastAsia="Times New Roman" w:cs="Times New Roman"/>
          <w:bCs/>
          <w:color w:val="000000"/>
          <w:szCs w:val="24"/>
          <w:lang w:val="sr-Cyrl-CS"/>
        </w:rPr>
        <w:t>акона о изменама и допунама Закона о генетички модификованим организмима („Сл</w:t>
      </w:r>
      <w:r w:rsidR="0006024A" w:rsidRPr="00092ED7">
        <w:rPr>
          <w:rFonts w:eastAsia="Times New Roman" w:cs="Times New Roman"/>
          <w:bCs/>
          <w:color w:val="000000"/>
          <w:szCs w:val="24"/>
          <w:lang w:val="sr-Cyrl-CS"/>
        </w:rPr>
        <w:t>ужбени</w:t>
      </w:r>
      <w:r w:rsidR="0011016A" w:rsidRPr="00092ED7">
        <w:rPr>
          <w:rFonts w:eastAsia="Times New Roman" w:cs="Times New Roman"/>
          <w:bCs/>
          <w:color w:val="000000"/>
          <w:szCs w:val="24"/>
          <w:lang w:val="sr-Cyrl-CS"/>
        </w:rPr>
        <w:t xml:space="preserve"> гласник РС</w:t>
      </w:r>
      <w:r w:rsidR="00D7265D" w:rsidRPr="00092ED7">
        <w:rPr>
          <w:rFonts w:cs="Times New Roman"/>
          <w:szCs w:val="24"/>
          <w:lang w:val="sr-Cyrl-CS"/>
        </w:rPr>
        <w:t>”</w:t>
      </w:r>
      <w:r w:rsidR="0011016A" w:rsidRPr="00092ED7">
        <w:rPr>
          <w:rFonts w:eastAsia="Times New Roman" w:cs="Times New Roman"/>
          <w:bCs/>
          <w:color w:val="000000"/>
          <w:szCs w:val="24"/>
          <w:lang w:val="sr-Cyrl-CS"/>
        </w:rPr>
        <w:t>, бр</w:t>
      </w:r>
      <w:r w:rsidR="0006024A" w:rsidRPr="00092ED7">
        <w:rPr>
          <w:rFonts w:eastAsia="Times New Roman" w:cs="Times New Roman"/>
          <w:bCs/>
          <w:color w:val="000000"/>
          <w:szCs w:val="24"/>
          <w:lang w:val="sr-Cyrl-CS"/>
        </w:rPr>
        <w:t>ој</w:t>
      </w:r>
      <w:r w:rsidRPr="00092ED7">
        <w:rPr>
          <w:rFonts w:eastAsia="Times New Roman" w:cs="Times New Roman"/>
          <w:bCs/>
          <w:color w:val="000000"/>
          <w:szCs w:val="24"/>
          <w:lang w:val="sr-Cyrl-CS"/>
        </w:rPr>
        <w:t xml:space="preserve"> 41/09), што представља једну од препрека за окончање процеса приступања СТО. Истовремено, преостало је и да се оконча  неколико билатералних преговора о приступу тржишту у оквиру СТО, који се воде са појединим државама чланицама организације, међу којима су и Русија и Украјина, што представља отежавајућу околност. </w:t>
      </w:r>
    </w:p>
    <w:p w14:paraId="7311153A" w14:textId="0254FBD7" w:rsidR="00D210F0" w:rsidRPr="00092ED7" w:rsidRDefault="00D210F0" w:rsidP="00D210F0">
      <w:pPr>
        <w:widowControl w:val="0"/>
        <w:spacing w:after="60"/>
        <w:rPr>
          <w:rFonts w:eastAsia="Times New Roman" w:cs="Times New Roman"/>
          <w:bCs/>
          <w:color w:val="000000"/>
          <w:szCs w:val="24"/>
          <w:lang w:val="sr-Cyrl-CS"/>
        </w:rPr>
      </w:pPr>
      <w:r w:rsidRPr="00092ED7">
        <w:rPr>
          <w:rFonts w:eastAsia="Times New Roman" w:cs="Times New Roman"/>
          <w:b/>
          <w:bCs/>
          <w:color w:val="000000"/>
          <w:szCs w:val="24"/>
          <w:lang w:val="sr-Cyrl-CS"/>
        </w:rPr>
        <w:t>Регионална сарадња представља један од приоритета Републике Србије, као основа за економски раст и одржање и повећање стабилности. Заснована је</w:t>
      </w:r>
      <w:r w:rsidR="001B40EF" w:rsidRPr="00092ED7">
        <w:rPr>
          <w:rFonts w:eastAsia="Times New Roman" w:cs="Times New Roman"/>
          <w:b/>
          <w:bCs/>
          <w:color w:val="000000"/>
          <w:szCs w:val="24"/>
          <w:lang w:val="sr-Cyrl-CS"/>
        </w:rPr>
        <w:t>, између осталог</w:t>
      </w:r>
      <w:r w:rsidR="00260A38" w:rsidRPr="00092ED7">
        <w:rPr>
          <w:rFonts w:eastAsia="Times New Roman" w:cs="Times New Roman"/>
          <w:b/>
          <w:bCs/>
          <w:color w:val="000000"/>
          <w:szCs w:val="24"/>
          <w:lang w:val="sr-Cyrl-CS"/>
        </w:rPr>
        <w:t>,</w:t>
      </w:r>
      <w:r w:rsidR="001B40EF" w:rsidRPr="00092ED7">
        <w:rPr>
          <w:rFonts w:eastAsia="Times New Roman" w:cs="Times New Roman"/>
          <w:b/>
          <w:bCs/>
          <w:color w:val="000000"/>
          <w:szCs w:val="24"/>
          <w:lang w:val="sr-Cyrl-CS"/>
        </w:rPr>
        <w:t xml:space="preserve"> и</w:t>
      </w:r>
      <w:r w:rsidRPr="00092ED7">
        <w:rPr>
          <w:rFonts w:eastAsia="Times New Roman" w:cs="Times New Roman"/>
          <w:b/>
          <w:bCs/>
          <w:color w:val="000000"/>
          <w:szCs w:val="24"/>
          <w:lang w:val="sr-Cyrl-CS"/>
        </w:rPr>
        <w:t xml:space="preserve"> на Споразуму о слободној трговини у Централној Европи (</w:t>
      </w:r>
      <w:r w:rsidR="00E63AE6" w:rsidRPr="00092ED7">
        <w:rPr>
          <w:rFonts w:eastAsia="Times New Roman"/>
          <w:b/>
          <w:bCs/>
          <w:color w:val="000000"/>
          <w:szCs w:val="24"/>
          <w:lang w:val="sr-Cyrl-CS"/>
        </w:rPr>
        <w:t>CEFTA</w:t>
      </w:r>
      <w:r w:rsidRPr="00092ED7">
        <w:rPr>
          <w:rFonts w:eastAsia="Times New Roman" w:cs="Times New Roman"/>
          <w:b/>
          <w:bCs/>
          <w:color w:val="000000"/>
          <w:szCs w:val="24"/>
          <w:lang w:val="sr-Cyrl-CS"/>
        </w:rPr>
        <w:t xml:space="preserve">). </w:t>
      </w:r>
      <w:r w:rsidRPr="00092ED7">
        <w:rPr>
          <w:rFonts w:eastAsia="Times New Roman" w:cs="Times New Roman"/>
          <w:bCs/>
          <w:color w:val="000000"/>
          <w:szCs w:val="24"/>
          <w:lang w:val="sr-Cyrl-CS"/>
        </w:rPr>
        <w:t>Сталан напредак и продубљивање регионалне сарадње, посебно кроз регионалне иницијативе и надгра</w:t>
      </w:r>
      <w:r w:rsidR="00992C92" w:rsidRPr="00092ED7">
        <w:rPr>
          <w:rFonts w:eastAsia="Times New Roman" w:cs="Times New Roman"/>
          <w:bCs/>
          <w:color w:val="000000"/>
          <w:szCs w:val="24"/>
          <w:lang w:val="sr-Cyrl-CS"/>
        </w:rPr>
        <w:t>д</w:t>
      </w:r>
      <w:r w:rsidRPr="00092ED7">
        <w:rPr>
          <w:rFonts w:eastAsia="Times New Roman" w:cs="Times New Roman"/>
          <w:bCs/>
          <w:color w:val="000000"/>
          <w:szCs w:val="24"/>
          <w:lang w:val="sr-Cyrl-CS"/>
        </w:rPr>
        <w:t xml:space="preserve">њу </w:t>
      </w:r>
      <w:r w:rsidR="00E63AE6" w:rsidRPr="00092ED7">
        <w:rPr>
          <w:rFonts w:eastAsia="Times New Roman"/>
          <w:bCs/>
          <w:color w:val="000000"/>
          <w:szCs w:val="24"/>
          <w:lang w:val="sr-Cyrl-CS"/>
        </w:rPr>
        <w:t>CEFTA</w:t>
      </w:r>
      <w:r w:rsidRPr="00092ED7">
        <w:rPr>
          <w:rFonts w:eastAsia="Times New Roman" w:cs="Times New Roman"/>
          <w:bCs/>
          <w:color w:val="000000"/>
          <w:szCs w:val="24"/>
          <w:lang w:val="sr-Cyrl-CS"/>
        </w:rPr>
        <w:t xml:space="preserve">, доприноси и интеграцији овог дела Европе у Европску унију. Имплементацијом </w:t>
      </w:r>
      <w:r w:rsidRPr="00092ED7">
        <w:rPr>
          <w:rFonts w:eastAsia="Times New Roman" w:cs="Times New Roman"/>
          <w:bCs/>
          <w:i/>
          <w:color w:val="000000"/>
          <w:szCs w:val="24"/>
          <w:lang w:val="sr-Cyrl-CS"/>
        </w:rPr>
        <w:t>Вишегодишњег акционог плана за развој Регионалног економског простора</w:t>
      </w:r>
      <w:r w:rsidRPr="00092ED7">
        <w:rPr>
          <w:rFonts w:eastAsia="Times New Roman" w:cs="Times New Roman"/>
          <w:bCs/>
          <w:color w:val="000000"/>
          <w:szCs w:val="24"/>
          <w:lang w:val="sr-Cyrl-CS"/>
        </w:rPr>
        <w:t xml:space="preserve"> (MAP REA) изједначене су цена роминга мобилног саобраћаја свих оператера мобилних мрежа са ценама у националном саобраћају </w:t>
      </w:r>
      <w:r w:rsidR="00564BDA" w:rsidRPr="00092ED7">
        <w:rPr>
          <w:rFonts w:eastAsia="Times New Roman" w:cs="Times New Roman"/>
          <w:bCs/>
          <w:color w:val="000000"/>
          <w:szCs w:val="24"/>
          <w:lang w:val="sr-Cyrl-CS"/>
        </w:rPr>
        <w:t xml:space="preserve">Републике </w:t>
      </w:r>
      <w:r w:rsidRPr="00092ED7">
        <w:rPr>
          <w:rFonts w:eastAsia="Times New Roman" w:cs="Times New Roman"/>
          <w:bCs/>
          <w:color w:val="000000"/>
          <w:szCs w:val="24"/>
          <w:lang w:val="sr-Cyrl-CS"/>
        </w:rPr>
        <w:t xml:space="preserve">Србије, Црне Горе, Босне и Херцеговине, </w:t>
      </w:r>
      <w:r w:rsidR="00A97937" w:rsidRPr="00092ED7">
        <w:rPr>
          <w:rFonts w:eastAsia="Times New Roman" w:cs="Times New Roman"/>
          <w:bCs/>
          <w:color w:val="000000"/>
          <w:szCs w:val="24"/>
          <w:lang w:val="sr-Cyrl-CS"/>
        </w:rPr>
        <w:t xml:space="preserve">Републике </w:t>
      </w:r>
      <w:r w:rsidRPr="00092ED7">
        <w:rPr>
          <w:rFonts w:eastAsia="Times New Roman" w:cs="Times New Roman"/>
          <w:bCs/>
          <w:color w:val="000000"/>
          <w:szCs w:val="24"/>
          <w:lang w:val="sr-Cyrl-CS"/>
        </w:rPr>
        <w:t xml:space="preserve">Северне Македоније и </w:t>
      </w:r>
      <w:r w:rsidR="00A97937" w:rsidRPr="00092ED7">
        <w:rPr>
          <w:rFonts w:eastAsia="Times New Roman" w:cs="Times New Roman"/>
          <w:bCs/>
          <w:color w:val="000000"/>
          <w:szCs w:val="24"/>
          <w:lang w:val="sr-Cyrl-CS"/>
        </w:rPr>
        <w:t xml:space="preserve">Републике </w:t>
      </w:r>
      <w:r w:rsidRPr="00092ED7">
        <w:rPr>
          <w:rFonts w:eastAsia="Times New Roman" w:cs="Times New Roman"/>
          <w:bCs/>
          <w:color w:val="000000"/>
          <w:szCs w:val="24"/>
          <w:lang w:val="sr-Cyrl-CS"/>
        </w:rPr>
        <w:t xml:space="preserve">Албаније од 1. јула 2021. године. </w:t>
      </w:r>
      <w:r w:rsidRPr="00092ED7">
        <w:rPr>
          <w:rFonts w:eastAsia="Times New Roman" w:cs="Times New Roman"/>
          <w:bCs/>
          <w:i/>
          <w:color w:val="000000"/>
          <w:szCs w:val="24"/>
          <w:lang w:val="sr-Cyrl-CS"/>
        </w:rPr>
        <w:t>Акциони план за Заједничко регионално тржиште у оквирима Берлинског процеса</w:t>
      </w:r>
      <w:r w:rsidRPr="00092ED7">
        <w:rPr>
          <w:rFonts w:eastAsia="Times New Roman" w:cs="Times New Roman"/>
          <w:bCs/>
          <w:color w:val="000000"/>
          <w:szCs w:val="24"/>
          <w:lang w:val="sr-Cyrl-CS"/>
        </w:rPr>
        <w:t xml:space="preserve"> је усвојен на Самиту Западног Балкана у Софији 10. новембра 2020. Предвиђене су бројне активности које треба да се реализују до краја 2024. године у областима: а) унапређења четири слободе (кроз споразуме за узајамно признавање, уклањањем препрека и смањењем трошкова и времена кретања робе, услуга, капитала и људи), б) побољшања атрактивности региона за инвестирање (кроз кампању за промоцију регионалних инвестиција, развијање регионалних смерница и процедура за механизме скрининга), в) интегрисање Западног Балкана у пан-eвропски дигитални простор (усклађивањем са принципима и праксом Јединственог дигиталног тржишта ЕУ, сарадњoм у области приступа заштити података, узајамног признавања електронских потписа) и г) унапређења развоја индустријске базе и иновационе инфраструктуре (подржавањем предузетништва младих, стартап предузећа и предузећа у раној фази оснивања, увођењем механизама за пренос знања из дијаспоре, подстицањем зеленог и женског предузетништва). </w:t>
      </w:r>
    </w:p>
    <w:p w14:paraId="7168557E" w14:textId="1D3C8309" w:rsidR="00D210F0" w:rsidRPr="00092ED7" w:rsidRDefault="00D210F0" w:rsidP="00D210F0">
      <w:pPr>
        <w:widowControl w:val="0"/>
        <w:spacing w:after="60"/>
        <w:rPr>
          <w:rFonts w:eastAsia="Times New Roman" w:cs="Times New Roman"/>
          <w:szCs w:val="24"/>
          <w:lang w:val="sr-Cyrl-CS"/>
        </w:rPr>
      </w:pPr>
      <w:r w:rsidRPr="00092ED7">
        <w:rPr>
          <w:rFonts w:eastAsia="Times New Roman" w:cs="Times New Roman"/>
          <w:bCs/>
          <w:i/>
          <w:color w:val="000000"/>
          <w:szCs w:val="24"/>
          <w:lang w:val="sr-Cyrl-CS"/>
        </w:rPr>
        <w:t>Заједничка иницијатива „Мини Шенген</w:t>
      </w:r>
      <w:r w:rsidR="00C758DF" w:rsidRPr="00092ED7">
        <w:rPr>
          <w:rFonts w:eastAsia="Times New Roman" w:cs="Times New Roman"/>
          <w:bCs/>
          <w:i/>
          <w:color w:val="000000"/>
          <w:szCs w:val="24"/>
          <w:lang w:val="sr-Cyrl-CS"/>
        </w:rPr>
        <w:t>ˮ</w:t>
      </w:r>
      <w:r w:rsidRPr="00092ED7">
        <w:rPr>
          <w:rFonts w:eastAsia="Times New Roman" w:cs="Times New Roman"/>
          <w:bCs/>
          <w:i/>
          <w:color w:val="000000"/>
          <w:szCs w:val="24"/>
          <w:lang w:val="sr-Cyrl-CS"/>
        </w:rPr>
        <w:t xml:space="preserve"> </w:t>
      </w:r>
      <w:r w:rsidR="00564BDA" w:rsidRPr="00092ED7">
        <w:rPr>
          <w:rFonts w:eastAsia="Times New Roman" w:cs="Times New Roman"/>
          <w:bCs/>
          <w:color w:val="000000"/>
          <w:szCs w:val="24"/>
          <w:lang w:val="sr-Cyrl-CS"/>
        </w:rPr>
        <w:t xml:space="preserve">Републике </w:t>
      </w:r>
      <w:r w:rsidRPr="00092ED7">
        <w:rPr>
          <w:rFonts w:eastAsia="Times New Roman" w:cs="Times New Roman"/>
          <w:bCs/>
          <w:color w:val="000000"/>
          <w:szCs w:val="24"/>
          <w:lang w:val="sr-Cyrl-CS"/>
        </w:rPr>
        <w:t xml:space="preserve">Србије, </w:t>
      </w:r>
      <w:r w:rsidR="00A97937" w:rsidRPr="00092ED7">
        <w:rPr>
          <w:rFonts w:eastAsia="Times New Roman" w:cs="Times New Roman"/>
          <w:bCs/>
          <w:color w:val="000000"/>
          <w:szCs w:val="24"/>
          <w:lang w:val="sr-Cyrl-CS"/>
        </w:rPr>
        <w:t xml:space="preserve">Републике </w:t>
      </w:r>
      <w:r w:rsidRPr="00092ED7">
        <w:rPr>
          <w:rFonts w:eastAsia="Times New Roman" w:cs="Times New Roman"/>
          <w:bCs/>
          <w:color w:val="000000"/>
          <w:szCs w:val="24"/>
          <w:lang w:val="sr-Cyrl-CS"/>
        </w:rPr>
        <w:t xml:space="preserve">Албаније и </w:t>
      </w:r>
      <w:r w:rsidR="00A97937" w:rsidRPr="00092ED7">
        <w:rPr>
          <w:rFonts w:eastAsia="Times New Roman" w:cs="Times New Roman"/>
          <w:bCs/>
          <w:color w:val="000000"/>
          <w:szCs w:val="24"/>
          <w:lang w:val="sr-Cyrl-CS"/>
        </w:rPr>
        <w:t xml:space="preserve">Републике </w:t>
      </w:r>
      <w:r w:rsidRPr="00092ED7">
        <w:rPr>
          <w:rFonts w:eastAsia="Times New Roman" w:cs="Times New Roman"/>
          <w:bCs/>
          <w:color w:val="000000"/>
          <w:szCs w:val="24"/>
          <w:lang w:val="sr-Cyrl-CS"/>
        </w:rPr>
        <w:t xml:space="preserve">Северне Македоније потписана у октобру 2019. у Новом Саду, предвиђа унапређење међусобне економске интеграције кроз слободно кретање људи, робе, услуга и капитала, путовање уз личну карту, запослење са потврдом о квалификацијама, признавање диплома у региону, бољу сарадњу у борби против организованог криминала </w:t>
      </w:r>
      <w:r w:rsidRPr="00092ED7">
        <w:rPr>
          <w:rFonts w:eastAsia="Times New Roman" w:cs="Times New Roman"/>
          <w:bCs/>
          <w:color w:val="000000"/>
          <w:szCs w:val="24"/>
          <w:lang w:val="sr-Cyrl-CS"/>
        </w:rPr>
        <w:lastRenderedPageBreak/>
        <w:t xml:space="preserve">и помоћ у случају природних непогода. На Форуму за регионалну економску сарадњу у Скопљу у јулу 2021. године, промењено је име иницијативе у </w:t>
      </w:r>
      <w:r w:rsidRPr="00092ED7">
        <w:rPr>
          <w:rFonts w:eastAsia="Times New Roman" w:cs="Times New Roman"/>
          <w:b/>
          <w:bCs/>
          <w:i/>
          <w:color w:val="000000"/>
          <w:szCs w:val="24"/>
          <w:lang w:val="sr-Cyrl-CS"/>
        </w:rPr>
        <w:t>„Отворени Балкан</w:t>
      </w:r>
      <w:r w:rsidR="00C758DF" w:rsidRPr="00092ED7">
        <w:rPr>
          <w:rFonts w:eastAsia="Times New Roman" w:cs="Times New Roman"/>
          <w:b/>
          <w:bCs/>
          <w:i/>
          <w:color w:val="000000"/>
          <w:szCs w:val="24"/>
          <w:lang w:val="sr-Cyrl-CS"/>
        </w:rPr>
        <w:t>ˮ</w:t>
      </w:r>
      <w:r w:rsidRPr="00092ED7">
        <w:rPr>
          <w:rFonts w:eastAsia="Times New Roman" w:cs="Times New Roman"/>
          <w:bCs/>
          <w:color w:val="000000"/>
          <w:szCs w:val="24"/>
          <w:lang w:val="sr-Cyrl-CS"/>
        </w:rPr>
        <w:t xml:space="preserve"> и потписани су меморандуми о сарадњи у заштити од катастрофа, </w:t>
      </w:r>
      <w:r w:rsidRPr="00092ED7">
        <w:rPr>
          <w:rFonts w:eastAsia="Times New Roman" w:cs="Times New Roman"/>
          <w:szCs w:val="24"/>
          <w:lang w:val="sr-Cyrl-CS"/>
        </w:rPr>
        <w:t>олакшању увоза, извоза и кретања робе и слоб</w:t>
      </w:r>
      <w:r w:rsidRPr="00092ED7">
        <w:rPr>
          <w:rFonts w:eastAsia="Times New Roman" w:cs="Times New Roman"/>
          <w:bCs/>
          <w:color w:val="000000"/>
          <w:szCs w:val="24"/>
          <w:lang w:val="sr-Cyrl-CS"/>
        </w:rPr>
        <w:t>одном приступу тржишту рада на Западном Балкану. У</w:t>
      </w:r>
      <w:r w:rsidRPr="00092ED7">
        <w:rPr>
          <w:rFonts w:eastAsia="Times New Roman" w:cs="Times New Roman"/>
          <w:szCs w:val="24"/>
          <w:lang w:val="sr-Cyrl-CS"/>
        </w:rPr>
        <w:t xml:space="preserve">спостављање режима слободног кретања на територији </w:t>
      </w:r>
      <w:r w:rsidR="00AA7059" w:rsidRPr="00092ED7">
        <w:rPr>
          <w:rFonts w:eastAsia="Times New Roman" w:cs="Times New Roman"/>
          <w:szCs w:val="24"/>
          <w:lang w:val="sr-Cyrl-CS"/>
        </w:rPr>
        <w:t xml:space="preserve">Републике </w:t>
      </w:r>
      <w:r w:rsidRPr="00092ED7">
        <w:rPr>
          <w:rFonts w:eastAsia="Times New Roman" w:cs="Times New Roman"/>
          <w:szCs w:val="24"/>
          <w:lang w:val="sr-Cyrl-CS"/>
        </w:rPr>
        <w:t xml:space="preserve">Србије, </w:t>
      </w:r>
      <w:r w:rsidRPr="00092ED7">
        <w:rPr>
          <w:rFonts w:eastAsia="Times New Roman" w:cs="Times New Roman"/>
          <w:bCs/>
          <w:color w:val="000000"/>
          <w:szCs w:val="24"/>
          <w:lang w:val="sr-Cyrl-CS"/>
        </w:rPr>
        <w:t xml:space="preserve">Северне </w:t>
      </w:r>
      <w:r w:rsidRPr="00092ED7">
        <w:rPr>
          <w:rFonts w:eastAsia="Times New Roman" w:cs="Times New Roman"/>
          <w:szCs w:val="24"/>
          <w:lang w:val="sr-Cyrl-CS"/>
        </w:rPr>
        <w:t xml:space="preserve">Македоније и Албаније без граница планирано је </w:t>
      </w:r>
      <w:r w:rsidRPr="00092ED7">
        <w:rPr>
          <w:rFonts w:eastAsia="Times New Roman" w:cs="Times New Roman"/>
          <w:bCs/>
          <w:color w:val="000000"/>
          <w:szCs w:val="24"/>
          <w:lang w:val="sr-Cyrl-CS"/>
        </w:rPr>
        <w:t>од 1. јануара 2023.</w:t>
      </w:r>
      <w:r w:rsidRPr="00092ED7">
        <w:rPr>
          <w:rFonts w:eastAsia="Times New Roman" w:cs="Times New Roman"/>
          <w:szCs w:val="24"/>
          <w:lang w:val="sr-Cyrl-CS"/>
        </w:rPr>
        <w:t xml:space="preserve"> На састанку у Тирани одржаном 21. децембра 2021. потписан је читав низ споразума везаних за радно ангажовање и слободан приступ тржишту рада, интегрисање система електронских услуга, унапређење фитосанитарне инспекције и ветерине, узајамно признавање одобрења овлашћених привредних субјеката за сигурност и безбедности и сарадњу акредитационих тела. На самиту у Северној Македонији 7. и 8. јуна 2022. године потписан је споразум у области признавања диплома и научних признања издатих у високошколским установама и другим овлашћеним институцијама и меморандуми о сарадњи пореских управа, као и сарадњи у области културе и туризма. Самиту су први пут присуствовали и представници Црне Горе и </w:t>
      </w:r>
      <w:r w:rsidRPr="00092ED7">
        <w:rPr>
          <w:rFonts w:eastAsia="Times New Roman" w:cs="Times New Roman"/>
          <w:bCs/>
          <w:color w:val="000000"/>
          <w:szCs w:val="24"/>
          <w:lang w:val="sr-Cyrl-CS"/>
        </w:rPr>
        <w:t>Босне и Херцеговине</w:t>
      </w:r>
      <w:r w:rsidRPr="00092ED7">
        <w:rPr>
          <w:rFonts w:eastAsia="Times New Roman" w:cs="Times New Roman"/>
          <w:szCs w:val="24"/>
          <w:lang w:val="sr-Cyrl-CS"/>
        </w:rPr>
        <w:t xml:space="preserve"> као посматрачи.</w:t>
      </w:r>
    </w:p>
    <w:p w14:paraId="4AA4B3B1" w14:textId="1A4238CF" w:rsidR="00D210F0" w:rsidRPr="00092ED7" w:rsidRDefault="00D210F0" w:rsidP="00D210F0">
      <w:pPr>
        <w:spacing w:after="60"/>
        <w:rPr>
          <w:rFonts w:eastAsia="Times New Roman"/>
          <w:szCs w:val="24"/>
          <w:lang w:val="sr-Cyrl-CS"/>
        </w:rPr>
      </w:pPr>
      <w:r w:rsidRPr="00092ED7">
        <w:rPr>
          <w:rFonts w:eastAsia="Times New Roman" w:cs="Times New Roman"/>
          <w:b/>
          <w:bCs/>
          <w:color w:val="000000"/>
          <w:szCs w:val="24"/>
          <w:lang w:val="sr-Cyrl-CS"/>
        </w:rPr>
        <w:t xml:space="preserve">Након што је појава пандемије изазвала поремећаје на међународном тржишту и смањила кретање људи и размену роба између држава, побољшање епидемиолошке ситуације је утицало на повећање тржишне активности. </w:t>
      </w:r>
      <w:r w:rsidRPr="00092ED7">
        <w:rPr>
          <w:rFonts w:eastAsia="Times New Roman" w:cs="Times New Roman"/>
          <w:bCs/>
          <w:color w:val="000000"/>
          <w:szCs w:val="24"/>
          <w:lang w:val="sr-Cyrl-CS"/>
        </w:rPr>
        <w:t xml:space="preserve">Укупна спољнотрговинска робна размена </w:t>
      </w:r>
      <w:r w:rsidR="00AA7059" w:rsidRPr="00092ED7">
        <w:rPr>
          <w:rFonts w:eastAsia="Times New Roman" w:cs="Times New Roman"/>
          <w:bCs/>
          <w:color w:val="000000"/>
          <w:szCs w:val="24"/>
          <w:lang w:val="sr-Cyrl-CS"/>
        </w:rPr>
        <w:t xml:space="preserve">Републике </w:t>
      </w:r>
      <w:r w:rsidRPr="00092ED7">
        <w:rPr>
          <w:rFonts w:eastAsia="Times New Roman" w:cs="Times New Roman"/>
          <w:bCs/>
          <w:color w:val="000000"/>
          <w:szCs w:val="24"/>
          <w:lang w:val="sr-Cyrl-CS"/>
        </w:rPr>
        <w:t>Србије је повећана за 25,5% у 2021. години (50,2 милијарди евра)</w:t>
      </w:r>
      <w:r w:rsidRPr="00092ED7">
        <w:rPr>
          <w:rStyle w:val="FootnoteReference"/>
          <w:rFonts w:eastAsia="Times New Roman" w:cs="Times New Roman"/>
          <w:bCs/>
          <w:color w:val="000000"/>
          <w:szCs w:val="24"/>
          <w:lang w:val="sr-Cyrl-CS"/>
        </w:rPr>
        <w:footnoteReference w:id="138"/>
      </w:r>
      <w:r w:rsidRPr="00092ED7">
        <w:rPr>
          <w:rFonts w:eastAsia="Times New Roman" w:cs="Times New Roman"/>
          <w:bCs/>
          <w:color w:val="000000"/>
          <w:szCs w:val="24"/>
          <w:lang w:val="sr-Cyrl-CS"/>
        </w:rPr>
        <w:t xml:space="preserve">. </w:t>
      </w:r>
      <w:r w:rsidRPr="00092ED7">
        <w:rPr>
          <w:rFonts w:eastAsia="Times New Roman" w:cs="Times New Roman"/>
          <w:color w:val="000000"/>
          <w:szCs w:val="24"/>
          <w:lang w:val="sr-Cyrl-CS"/>
        </w:rPr>
        <w:t xml:space="preserve">Извоз од 21,6 милијарде евра у 2021. години, бележи раст за 26,8% мг, док је увоз порастао за 24,6% (28,6 милијарде евра). </w:t>
      </w:r>
      <w:r w:rsidRPr="00092ED7">
        <w:rPr>
          <w:rFonts w:eastAsia="Times New Roman" w:cs="Times New Roman"/>
          <w:bCs/>
          <w:color w:val="000000"/>
          <w:szCs w:val="24"/>
          <w:lang w:val="sr-Cyrl-CS"/>
        </w:rPr>
        <w:t>Пораст укупне спољнотрговинске робне размене Републике Србије прати повећање спољнотрговинског дефицита</w:t>
      </w:r>
      <w:r w:rsidRPr="00092ED7">
        <w:rPr>
          <w:rFonts w:eastAsia="Times New Roman" w:cs="Times New Roman"/>
          <w:color w:val="000000"/>
          <w:szCs w:val="24"/>
          <w:lang w:val="sr-Cyrl-CS"/>
        </w:rPr>
        <w:t xml:space="preserve"> (6,98 милијарди евра) за 18,2% мг, а извозом је покривено 75,6% увоза у 2021. години, што је на нивоу претходне године (74,3%). Широка дисперзивност извоза обезбеђена је диверсификацијом СДИ у велики број сектора који производе разменљива добра.</w:t>
      </w:r>
      <w:r w:rsidRPr="00092ED7">
        <w:rPr>
          <w:rFonts w:eastAsia="Times New Roman"/>
          <w:color w:val="000000"/>
          <w:szCs w:val="24"/>
          <w:lang w:val="sr-Cyrl-CS"/>
        </w:rPr>
        <w:t xml:space="preserve"> На значајан опоравак спољнотрговинске размене указују и већи извоз </w:t>
      </w:r>
      <w:r w:rsidR="00AA7059" w:rsidRPr="00092ED7">
        <w:rPr>
          <w:rFonts w:eastAsia="Times New Roman"/>
          <w:color w:val="000000"/>
          <w:szCs w:val="24"/>
          <w:lang w:val="sr-Cyrl-CS"/>
        </w:rPr>
        <w:t xml:space="preserve">Републике </w:t>
      </w:r>
      <w:r w:rsidRPr="00092ED7">
        <w:rPr>
          <w:rFonts w:eastAsia="Times New Roman"/>
          <w:color w:val="000000"/>
          <w:szCs w:val="24"/>
          <w:lang w:val="sr-Cyrl-CS"/>
        </w:rPr>
        <w:t xml:space="preserve">Србије за 28,2% мг и увоз за 38,8% мг током осам месеци 2022. </w:t>
      </w:r>
      <w:r w:rsidRPr="00092ED7">
        <w:rPr>
          <w:rFonts w:eastAsia="Times New Roman"/>
          <w:szCs w:val="24"/>
          <w:lang w:val="sr-Cyrl-CS"/>
        </w:rPr>
        <w:t xml:space="preserve">(17,5 </w:t>
      </w:r>
      <w:r w:rsidRPr="00092ED7">
        <w:rPr>
          <w:rFonts w:eastAsia="Times New Roman" w:cs="Times New Roman"/>
          <w:szCs w:val="24"/>
          <w:lang w:val="sr-Cyrl-CS"/>
        </w:rPr>
        <w:t>милијарди евра и 24,9 милијарди евра, респективно)</w:t>
      </w:r>
      <w:r w:rsidRPr="00092ED7">
        <w:rPr>
          <w:rFonts w:eastAsia="Times New Roman"/>
          <w:szCs w:val="24"/>
          <w:lang w:val="sr-Cyrl-CS"/>
        </w:rPr>
        <w:t>, у односу на исти период 2021.</w:t>
      </w:r>
      <w:r w:rsidRPr="00092ED7">
        <w:rPr>
          <w:rStyle w:val="FootnoteReference"/>
          <w:rFonts w:eastAsia="Times New Roman"/>
          <w:szCs w:val="24"/>
          <w:lang w:val="sr-Cyrl-CS"/>
        </w:rPr>
        <w:footnoteReference w:id="139"/>
      </w:r>
      <w:r w:rsidRPr="00092ED7">
        <w:rPr>
          <w:rFonts w:eastAsia="Times New Roman"/>
          <w:szCs w:val="24"/>
          <w:lang w:val="sr-Cyrl-CS"/>
        </w:rPr>
        <w:t xml:space="preserve"> </w:t>
      </w:r>
      <w:r w:rsidRPr="00092ED7">
        <w:rPr>
          <w:rFonts w:eastAsia="Times New Roman"/>
          <w:color w:val="000000"/>
          <w:szCs w:val="24"/>
          <w:lang w:val="sr-Cyrl-CS"/>
        </w:rPr>
        <w:t>године</w:t>
      </w:r>
      <w:r w:rsidRPr="00092ED7">
        <w:rPr>
          <w:rFonts w:eastAsia="Times New Roman"/>
          <w:szCs w:val="24"/>
          <w:lang w:val="sr-Cyrl-CS"/>
        </w:rPr>
        <w:t>.</w:t>
      </w:r>
    </w:p>
    <w:p w14:paraId="2B8E5CF3" w14:textId="77777777" w:rsidR="00D210F0" w:rsidRPr="00092ED7" w:rsidRDefault="00D210F0" w:rsidP="00D210F0">
      <w:pPr>
        <w:spacing w:after="60"/>
        <w:rPr>
          <w:rFonts w:eastAsia="Times New Roman" w:cs="Times New Roman"/>
          <w:szCs w:val="24"/>
          <w:lang w:val="sr-Cyrl-CS"/>
        </w:rPr>
      </w:pPr>
      <w:r w:rsidRPr="00092ED7">
        <w:rPr>
          <w:rFonts w:eastAsia="Times New Roman" w:cs="Times New Roman"/>
          <w:b/>
          <w:szCs w:val="24"/>
          <w:lang w:val="sr-Cyrl-CS"/>
        </w:rPr>
        <w:t>Дефицит текућег рачуна платног биланса износио је 4,3% БДП у 2021. и виши је за 21,5%</w:t>
      </w:r>
      <w:r w:rsidRPr="00092ED7">
        <w:rPr>
          <w:rFonts w:eastAsia="Times New Roman" w:cs="Times New Roman"/>
          <w:szCs w:val="24"/>
          <w:lang w:val="sr-Cyrl-CS"/>
        </w:rPr>
        <w:t xml:space="preserve"> највише због повећања дефицита робне размене за 14% и повећања дефицита примарног дохотка за 43,1%</w:t>
      </w:r>
      <w:r w:rsidRPr="00092ED7">
        <w:rPr>
          <w:rStyle w:val="FootnoteReference"/>
          <w:rFonts w:eastAsia="Times New Roman" w:cs="Times New Roman"/>
          <w:szCs w:val="24"/>
          <w:lang w:val="sr-Cyrl-CS"/>
        </w:rPr>
        <w:footnoteReference w:id="140"/>
      </w:r>
      <w:r w:rsidRPr="00092ED7">
        <w:rPr>
          <w:rFonts w:eastAsia="Times New Roman" w:cs="Times New Roman"/>
          <w:szCs w:val="24"/>
          <w:lang w:val="sr-Cyrl-CS"/>
        </w:rPr>
        <w:t>. Текући дефицит је у пуној мери био покривен нето приливом СДИ (3,6 милијарде евра).</w:t>
      </w:r>
    </w:p>
    <w:p w14:paraId="0F90B357" w14:textId="2D663C36" w:rsidR="00D210F0" w:rsidRPr="00092ED7" w:rsidRDefault="00D210F0" w:rsidP="00D210F0">
      <w:pPr>
        <w:widowControl w:val="0"/>
        <w:spacing w:after="60"/>
        <w:rPr>
          <w:rFonts w:eastAsia="Times New Roman"/>
          <w:szCs w:val="24"/>
          <w:lang w:val="sr-Cyrl-CS"/>
        </w:rPr>
      </w:pPr>
      <w:r w:rsidRPr="00092ED7">
        <w:rPr>
          <w:rFonts w:eastAsia="Times New Roman" w:cs="Times New Roman"/>
          <w:b/>
          <w:bCs/>
          <w:color w:val="000000"/>
          <w:szCs w:val="24"/>
          <w:lang w:val="sr-Cyrl-CS"/>
        </w:rPr>
        <w:t xml:space="preserve">Најважнији спољнотрговински </w:t>
      </w:r>
      <w:r w:rsidRPr="00092ED7">
        <w:rPr>
          <w:rFonts w:eastAsia="Times New Roman" w:cs="Times New Roman"/>
          <w:b/>
          <w:bCs/>
          <w:szCs w:val="24"/>
          <w:lang w:val="sr-Cyrl-CS"/>
        </w:rPr>
        <w:t xml:space="preserve">партнери </w:t>
      </w:r>
      <w:r w:rsidR="00AA7059" w:rsidRPr="00092ED7">
        <w:rPr>
          <w:rFonts w:eastAsia="Times New Roman" w:cs="Times New Roman"/>
          <w:b/>
          <w:bCs/>
          <w:szCs w:val="24"/>
          <w:lang w:val="sr-Cyrl-CS"/>
        </w:rPr>
        <w:t xml:space="preserve">Републике </w:t>
      </w:r>
      <w:r w:rsidRPr="00092ED7">
        <w:rPr>
          <w:rFonts w:eastAsia="Times New Roman" w:cs="Times New Roman"/>
          <w:b/>
          <w:bCs/>
          <w:szCs w:val="24"/>
          <w:lang w:val="sr-Cyrl-CS"/>
        </w:rPr>
        <w:t xml:space="preserve">Србије су они са којима Република Србија има потписане споразуме о слободној трговини </w:t>
      </w:r>
      <w:r w:rsidRPr="00092ED7">
        <w:rPr>
          <w:rFonts w:eastAsia="Times New Roman" w:cs="Times New Roman"/>
          <w:szCs w:val="24"/>
          <w:lang w:val="sr-Cyrl-CS"/>
        </w:rPr>
        <w:t xml:space="preserve">(ЕУ-27, </w:t>
      </w:r>
      <w:r w:rsidR="00E63AE6" w:rsidRPr="00092ED7">
        <w:rPr>
          <w:rFonts w:eastAsia="Times New Roman"/>
          <w:bCs/>
          <w:color w:val="000000"/>
          <w:szCs w:val="24"/>
          <w:lang w:val="sr-Cyrl-CS"/>
        </w:rPr>
        <w:t>CEFTA</w:t>
      </w:r>
      <w:r w:rsidRPr="00092ED7">
        <w:rPr>
          <w:rFonts w:eastAsia="Times New Roman" w:cs="Times New Roman"/>
          <w:szCs w:val="24"/>
          <w:lang w:val="sr-Cyrl-CS"/>
        </w:rPr>
        <w:t xml:space="preserve">, </w:t>
      </w:r>
      <w:r w:rsidR="00E63AE6" w:rsidRPr="00092ED7">
        <w:rPr>
          <w:rFonts w:eastAsia="Times New Roman"/>
          <w:szCs w:val="24"/>
          <w:lang w:val="sr-Cyrl-CS"/>
        </w:rPr>
        <w:t>EFTA</w:t>
      </w:r>
      <w:r w:rsidRPr="00092ED7">
        <w:rPr>
          <w:rFonts w:eastAsia="Times New Roman" w:cs="Times New Roman"/>
          <w:szCs w:val="24"/>
          <w:lang w:val="sr-Cyrl-CS"/>
        </w:rPr>
        <w:t xml:space="preserve">,  </w:t>
      </w:r>
      <w:r w:rsidR="0034625C" w:rsidRPr="00092ED7">
        <w:rPr>
          <w:rFonts w:eastAsia="Times New Roman" w:cs="Times New Roman"/>
          <w:szCs w:val="24"/>
          <w:lang w:val="sr-Cyrl-CS"/>
        </w:rPr>
        <w:t xml:space="preserve">Евроазијска економска унија и </w:t>
      </w:r>
      <w:r w:rsidR="005B484F" w:rsidRPr="00092ED7">
        <w:rPr>
          <w:rFonts w:eastAsia="Times New Roman" w:cs="Times New Roman"/>
          <w:szCs w:val="24"/>
          <w:lang w:val="sr-Cyrl-CS"/>
        </w:rPr>
        <w:t xml:space="preserve">Република </w:t>
      </w:r>
      <w:r w:rsidR="0034625C" w:rsidRPr="00092ED7">
        <w:rPr>
          <w:rFonts w:eastAsia="Times New Roman" w:cs="Times New Roman"/>
          <w:szCs w:val="24"/>
          <w:lang w:val="sr-Cyrl-CS"/>
        </w:rPr>
        <w:t>Турска</w:t>
      </w:r>
      <w:r w:rsidRPr="00092ED7">
        <w:rPr>
          <w:rFonts w:eastAsia="Times New Roman" w:cs="Times New Roman"/>
          <w:szCs w:val="24"/>
          <w:lang w:val="sr-Cyrl-CS"/>
        </w:rPr>
        <w:t>)</w:t>
      </w:r>
      <w:r w:rsidRPr="00092ED7">
        <w:rPr>
          <w:rFonts w:eastAsia="Times New Roman" w:cs="Times New Roman"/>
          <w:bCs/>
          <w:szCs w:val="24"/>
          <w:lang w:val="sr-Cyrl-CS"/>
        </w:rPr>
        <w:t>.</w:t>
      </w:r>
      <w:r w:rsidRPr="00092ED7">
        <w:rPr>
          <w:rFonts w:eastAsia="Times New Roman" w:cs="Times New Roman"/>
          <w:b/>
          <w:bCs/>
          <w:szCs w:val="24"/>
          <w:lang w:val="sr-Cyrl-CS"/>
        </w:rPr>
        <w:t xml:space="preserve"> </w:t>
      </w:r>
      <w:r w:rsidRPr="00092ED7">
        <w:rPr>
          <w:rFonts w:eastAsia="Times New Roman" w:cs="Times New Roman"/>
          <w:szCs w:val="24"/>
          <w:lang w:val="sr-Cyrl-CS"/>
        </w:rPr>
        <w:t>Применом ових споразума достигнут је висок степен либерализације спољне трговине Републике Србије, тако да се у 2021. години око 80% укупне размене Републике Србије са светом обављало са партнерима са којима су потписани споразуми о слободној трговини, а скоро 87% извоза Републике Србије се пласира управо на ова тржишта. Током осам месеци 2022. ова учешћа су врло слична, 79% укупне размене Републике Србије била је размена са партнерима са којима су потписани споразуми о слободној трговини, односно 86,5% укупног извоза Републике Србије пласирано је на та тржишта.</w:t>
      </w:r>
    </w:p>
    <w:p w14:paraId="3D3CDB02" w14:textId="0AF01B89" w:rsidR="00D210F0" w:rsidRPr="00092ED7" w:rsidRDefault="00D210F0" w:rsidP="00D210F0">
      <w:pPr>
        <w:widowControl w:val="0"/>
        <w:spacing w:after="60"/>
        <w:rPr>
          <w:rFonts w:eastAsia="Times New Roman" w:cs="Times New Roman"/>
          <w:szCs w:val="24"/>
          <w:lang w:val="sr-Cyrl-CS"/>
        </w:rPr>
      </w:pPr>
      <w:r w:rsidRPr="00092ED7">
        <w:rPr>
          <w:rFonts w:eastAsia="Times New Roman" w:cs="Times New Roman"/>
          <w:b/>
          <w:color w:val="000000"/>
          <w:szCs w:val="24"/>
          <w:lang w:val="sr-Cyrl-CS"/>
        </w:rPr>
        <w:t>Са земљама чланицама ЕУ-27 одвијало се 60,3% укупне размене Републике Србије у 2021. години</w:t>
      </w:r>
      <w:r w:rsidRPr="00092ED7">
        <w:rPr>
          <w:rFonts w:eastAsia="Times New Roman" w:cs="Times New Roman"/>
          <w:color w:val="000000"/>
          <w:szCs w:val="24"/>
          <w:lang w:val="sr-Cyrl-CS"/>
        </w:rPr>
        <w:t xml:space="preserve">. Извоз у ЕУ повећан је за 2,87 милијарде евра у 2021. години или 25,9% мг, уз пад трговинског дефицита од 1,1% мг. Током осам месеци 2022. године, учешће </w:t>
      </w:r>
      <w:r w:rsidRPr="00092ED7">
        <w:rPr>
          <w:rFonts w:eastAsia="Times New Roman" w:cs="Times New Roman"/>
          <w:color w:val="000000"/>
          <w:szCs w:val="24"/>
          <w:lang w:val="sr-Cyrl-CS"/>
        </w:rPr>
        <w:lastRenderedPageBreak/>
        <w:t>ЕУ у укупној размени Републике Србије износи 58,5% (24,8 милијарди евра), што је за 28,3% више у односу на исти период 2021. године</w:t>
      </w:r>
      <w:r w:rsidRPr="00092ED7">
        <w:rPr>
          <w:rStyle w:val="FootnoteReference"/>
          <w:rFonts w:eastAsia="Times New Roman" w:cs="Times New Roman"/>
          <w:color w:val="000000"/>
          <w:szCs w:val="24"/>
          <w:lang w:val="sr-Cyrl-CS"/>
        </w:rPr>
        <w:footnoteReference w:id="141"/>
      </w:r>
      <w:r w:rsidRPr="00092ED7">
        <w:rPr>
          <w:rFonts w:eastAsia="Times New Roman" w:cs="Times New Roman"/>
          <w:color w:val="000000"/>
          <w:szCs w:val="24"/>
          <w:lang w:val="sr-Cyrl-CS"/>
        </w:rPr>
        <w:t xml:space="preserve">. Због бржег раста увоза (30,1%) од извоза (26,1%) у истом периоду је повећан трговински дефицит у размени са ЕУ за 54,5% мг (2,26 милијарди евра). </w:t>
      </w:r>
      <w:r w:rsidRPr="00092ED7">
        <w:rPr>
          <w:rFonts w:eastAsia="Times New Roman" w:cs="Times New Roman"/>
          <w:b/>
          <w:szCs w:val="24"/>
          <w:lang w:val="sr-Cyrl-CS"/>
        </w:rPr>
        <w:t>Последице увођења</w:t>
      </w:r>
      <w:r w:rsidRPr="00092ED7">
        <w:rPr>
          <w:rFonts w:eastAsia="Times New Roman" w:cs="Times New Roman"/>
          <w:szCs w:val="24"/>
          <w:lang w:val="sr-Cyrl-CS"/>
        </w:rPr>
        <w:t xml:space="preserve"> </w:t>
      </w:r>
      <w:r w:rsidRPr="00092ED7">
        <w:rPr>
          <w:rFonts w:eastAsia="Times New Roman" w:cs="Times New Roman"/>
          <w:b/>
          <w:szCs w:val="24"/>
          <w:lang w:val="sr-Cyrl-CS"/>
        </w:rPr>
        <w:t>заштитних мера</w:t>
      </w:r>
      <w:r w:rsidRPr="00092ED7">
        <w:rPr>
          <w:rFonts w:eastAsia="Times New Roman" w:cs="Times New Roman"/>
          <w:szCs w:val="24"/>
          <w:lang w:val="sr-Cyrl-CS"/>
        </w:rPr>
        <w:t xml:space="preserve"> (</w:t>
      </w:r>
      <w:r w:rsidRPr="00092ED7">
        <w:rPr>
          <w:rFonts w:eastAsia="Times New Roman" w:cs="Times New Roman"/>
          <w:b/>
          <w:szCs w:val="24"/>
          <w:lang w:val="sr-Cyrl-CS"/>
        </w:rPr>
        <w:t>квота за увоз</w:t>
      </w:r>
      <w:r w:rsidRPr="00092ED7">
        <w:rPr>
          <w:rFonts w:eastAsia="Times New Roman" w:cs="Times New Roman"/>
          <w:szCs w:val="24"/>
          <w:lang w:val="sr-Cyrl-CS"/>
        </w:rPr>
        <w:t>) од стране ЕУ у јануару 2019. на одређене групе производа од челика и гвожђа на период од три године, и пада међународне тражње за овим производима услед пандемије, још увек се осећају. Извоз гвожђа и челика из Републике Србије у ЕУ током 2021. смањен је количински за 6% мг, али је услед пораста цене вредносно извоз порастао за 68% мг, а увоз за 46% мг</w:t>
      </w:r>
      <w:r w:rsidRPr="00092ED7">
        <w:rPr>
          <w:rStyle w:val="FootnoteReference"/>
          <w:rFonts w:eastAsia="Times New Roman" w:cs="Times New Roman"/>
          <w:szCs w:val="24"/>
          <w:lang w:val="sr-Cyrl-CS"/>
        </w:rPr>
        <w:footnoteReference w:id="142"/>
      </w:r>
      <w:r w:rsidRPr="00092ED7">
        <w:rPr>
          <w:rFonts w:eastAsia="Times New Roman" w:cs="Times New Roman"/>
          <w:szCs w:val="24"/>
          <w:lang w:val="sr-Cyrl-CS"/>
        </w:rPr>
        <w:t xml:space="preserve">. У првих шест месеци 2022. године извоз челика у ЕУ је услед веће цене вредносно повећан за 59,4%. Европска унија је повећала </w:t>
      </w:r>
      <w:r w:rsidR="00AA7059" w:rsidRPr="00092ED7">
        <w:rPr>
          <w:rFonts w:eastAsia="Times New Roman" w:cs="Times New Roman"/>
          <w:szCs w:val="24"/>
          <w:lang w:val="sr-Cyrl-CS"/>
        </w:rPr>
        <w:t xml:space="preserve">Републици </w:t>
      </w:r>
      <w:r w:rsidRPr="00092ED7">
        <w:rPr>
          <w:rFonts w:eastAsia="Times New Roman" w:cs="Times New Roman"/>
          <w:szCs w:val="24"/>
          <w:lang w:val="sr-Cyrl-CS"/>
        </w:rPr>
        <w:t xml:space="preserve">Србији квоте за извоз појединих врста челика за скоро 30%. </w:t>
      </w:r>
      <w:r w:rsidR="008B3A44" w:rsidRPr="00092ED7">
        <w:rPr>
          <w:rFonts w:eastAsia="Times New Roman" w:cs="Times New Roman"/>
          <w:szCs w:val="24"/>
          <w:lang w:val="sr-Cyrl-CS"/>
        </w:rPr>
        <w:t xml:space="preserve">Увођење </w:t>
      </w:r>
      <w:r w:rsidRPr="00092ED7">
        <w:rPr>
          <w:rFonts w:eastAsia="Times New Roman" w:cs="Times New Roman"/>
          <w:szCs w:val="24"/>
          <w:lang w:val="sr-Cyrl-CS"/>
        </w:rPr>
        <w:t xml:space="preserve">нове регулативе контроле емисије угљен-диоксида (декарбонизација) </w:t>
      </w:r>
      <w:r w:rsidR="008B3A44" w:rsidRPr="00092ED7">
        <w:rPr>
          <w:rFonts w:eastAsia="Times New Roman" w:cs="Times New Roman"/>
          <w:szCs w:val="24"/>
          <w:lang w:val="sr-Cyrl-CS"/>
        </w:rPr>
        <w:t xml:space="preserve">у ЕУ </w:t>
      </w:r>
      <w:r w:rsidRPr="00092ED7">
        <w:rPr>
          <w:rFonts w:eastAsia="Times New Roman" w:cs="Times New Roman"/>
          <w:szCs w:val="24"/>
          <w:lang w:val="sr-Cyrl-CS"/>
        </w:rPr>
        <w:t xml:space="preserve">могу негативно утицати на извоз ових производа у наредном периоду. </w:t>
      </w:r>
    </w:p>
    <w:p w14:paraId="62AAC3BA" w14:textId="77777777" w:rsidR="00D210F0" w:rsidRPr="00092ED7" w:rsidRDefault="00D210F0" w:rsidP="00D210F0">
      <w:pPr>
        <w:widowControl w:val="0"/>
        <w:spacing w:after="60"/>
        <w:rPr>
          <w:rFonts w:eastAsia="Times New Roman" w:cs="Times New Roman"/>
          <w:szCs w:val="24"/>
          <w:lang w:val="sr-Cyrl-CS"/>
        </w:rPr>
      </w:pPr>
      <w:r w:rsidRPr="00092ED7">
        <w:rPr>
          <w:rFonts w:eastAsia="Times New Roman" w:cs="Times New Roman"/>
          <w:szCs w:val="24"/>
          <w:lang w:val="sr-Cyrl-CS"/>
        </w:rPr>
        <w:t xml:space="preserve">Наш други по важности партнер јесу </w:t>
      </w:r>
      <w:r w:rsidRPr="00092ED7">
        <w:rPr>
          <w:rFonts w:eastAsia="Times New Roman" w:cs="Times New Roman"/>
          <w:b/>
          <w:szCs w:val="24"/>
          <w:lang w:val="sr-Cyrl-CS"/>
        </w:rPr>
        <w:t xml:space="preserve">стране </w:t>
      </w:r>
      <w:r w:rsidR="00E63AE6" w:rsidRPr="00092ED7">
        <w:rPr>
          <w:rFonts w:eastAsia="Times New Roman"/>
          <w:b/>
          <w:bCs/>
          <w:color w:val="000000"/>
          <w:szCs w:val="24"/>
          <w:lang w:val="sr-Cyrl-CS"/>
        </w:rPr>
        <w:t>CEFTA</w:t>
      </w:r>
      <w:r w:rsidRPr="00092ED7">
        <w:rPr>
          <w:rFonts w:eastAsia="Times New Roman" w:cs="Times New Roman"/>
          <w:szCs w:val="24"/>
          <w:lang w:val="sr-Cyrl-CS"/>
        </w:rPr>
        <w:t xml:space="preserve">, са којима је остварен </w:t>
      </w:r>
      <w:r w:rsidRPr="00092ED7">
        <w:rPr>
          <w:rFonts w:eastAsia="Times New Roman" w:cs="Times New Roman"/>
          <w:b/>
          <w:szCs w:val="24"/>
          <w:lang w:val="sr-Cyrl-CS"/>
        </w:rPr>
        <w:t>суфицит</w:t>
      </w:r>
      <w:r w:rsidRPr="00092ED7">
        <w:rPr>
          <w:rFonts w:eastAsia="Times New Roman" w:cs="Times New Roman"/>
          <w:szCs w:val="24"/>
          <w:lang w:val="sr-Cyrl-CS"/>
        </w:rPr>
        <w:t xml:space="preserve"> у размени од </w:t>
      </w:r>
      <w:r w:rsidRPr="00092ED7">
        <w:rPr>
          <w:rFonts w:eastAsia="Times New Roman" w:cs="Times New Roman"/>
          <w:b/>
          <w:szCs w:val="24"/>
          <w:lang w:val="sr-Cyrl-CS"/>
        </w:rPr>
        <w:t xml:space="preserve">2,1 милијарде евра </w:t>
      </w:r>
      <w:r w:rsidRPr="00092ED7">
        <w:rPr>
          <w:rFonts w:eastAsia="Times New Roman" w:cs="Times New Roman"/>
          <w:szCs w:val="24"/>
          <w:lang w:val="sr-Cyrl-CS"/>
        </w:rPr>
        <w:t>у 2021. години, већи за 16,4% у односу на 2020. годину и резултат је углавном извоза: нафте и нафтних деривата, житарица и производа од њих, гвожђа и челика, електричних машина и апарата, као и пића</w:t>
      </w:r>
      <w:r w:rsidRPr="00092ED7">
        <w:rPr>
          <w:rStyle w:val="FootnoteReference"/>
          <w:rFonts w:eastAsia="Times New Roman" w:cs="Times New Roman"/>
          <w:szCs w:val="24"/>
          <w:lang w:val="sr-Cyrl-CS"/>
        </w:rPr>
        <w:footnoteReference w:id="143"/>
      </w:r>
      <w:r w:rsidRPr="00092ED7">
        <w:rPr>
          <w:rFonts w:eastAsia="Times New Roman" w:cs="Times New Roman"/>
          <w:szCs w:val="24"/>
          <w:lang w:val="sr-Cyrl-CS"/>
        </w:rPr>
        <w:t>.</w:t>
      </w:r>
    </w:p>
    <w:p w14:paraId="4C2394E8" w14:textId="43B4DE66" w:rsidR="00D210F0" w:rsidRPr="00092ED7" w:rsidRDefault="00D210F0" w:rsidP="00D210F0">
      <w:pPr>
        <w:widowControl w:val="0"/>
        <w:spacing w:after="60"/>
        <w:rPr>
          <w:rFonts w:eastAsia="Times New Roman"/>
          <w:szCs w:val="24"/>
          <w:lang w:val="sr-Cyrl-CS"/>
        </w:rPr>
      </w:pPr>
      <w:r w:rsidRPr="00092ED7">
        <w:rPr>
          <w:rFonts w:eastAsia="Times New Roman"/>
          <w:szCs w:val="24"/>
          <w:lang w:val="sr-Cyrl-CS"/>
        </w:rPr>
        <w:t xml:space="preserve">Споразум о слободној трговини Републике Србије са земљама чланицама Евроазијске економске уније (Русија, </w:t>
      </w:r>
      <w:r w:rsidR="00F7461A" w:rsidRPr="00092ED7">
        <w:rPr>
          <w:rFonts w:eastAsia="Times New Roman"/>
          <w:szCs w:val="24"/>
          <w:lang w:val="sr-Cyrl-CS"/>
        </w:rPr>
        <w:t xml:space="preserve">Република </w:t>
      </w:r>
      <w:r w:rsidRPr="00092ED7">
        <w:rPr>
          <w:rFonts w:eastAsia="Times New Roman"/>
          <w:szCs w:val="24"/>
          <w:lang w:val="sr-Cyrl-CS"/>
        </w:rPr>
        <w:t xml:space="preserve">Белорусија, </w:t>
      </w:r>
      <w:r w:rsidR="00F7461A" w:rsidRPr="00092ED7">
        <w:rPr>
          <w:rFonts w:eastAsia="Times New Roman"/>
          <w:szCs w:val="24"/>
          <w:lang w:val="sr-Cyrl-CS"/>
        </w:rPr>
        <w:t xml:space="preserve">Република </w:t>
      </w:r>
      <w:r w:rsidRPr="00092ED7">
        <w:rPr>
          <w:rFonts w:eastAsia="Times New Roman"/>
          <w:szCs w:val="24"/>
          <w:lang w:val="sr-Cyrl-CS"/>
        </w:rPr>
        <w:t xml:space="preserve">Казахстан, </w:t>
      </w:r>
      <w:r w:rsidR="00F7461A" w:rsidRPr="00092ED7">
        <w:rPr>
          <w:rFonts w:eastAsia="Times New Roman"/>
          <w:szCs w:val="24"/>
          <w:lang w:val="sr-Cyrl-CS"/>
        </w:rPr>
        <w:t xml:space="preserve">Република </w:t>
      </w:r>
      <w:r w:rsidRPr="00092ED7">
        <w:rPr>
          <w:rFonts w:eastAsia="Times New Roman"/>
          <w:szCs w:val="24"/>
          <w:lang w:val="sr-Cyrl-CS"/>
        </w:rPr>
        <w:t>Јерменија и Киргистан) ступио је на снагу крајем јуна 2021. године. Споразум о партнерству, трговини и сарадњи између Владе Републике Србије и Владе Уједињеног Краљевства Велике Британије и Северне Ирске, као и пратеће заједничке декларације, ратификоване су у периоду јун-јул 2021. године.</w:t>
      </w:r>
    </w:p>
    <w:p w14:paraId="0C14560F" w14:textId="77777777" w:rsidR="00D210F0" w:rsidRPr="00092ED7" w:rsidRDefault="00D210F0" w:rsidP="00D210F0">
      <w:pPr>
        <w:spacing w:before="120"/>
        <w:rPr>
          <w:rFonts w:eastAsia="Times New Roman" w:cs="Times New Roman"/>
          <w:b/>
          <w:bCs/>
          <w:szCs w:val="24"/>
          <w:lang w:val="sr-Cyrl-CS"/>
        </w:rPr>
      </w:pPr>
      <w:r w:rsidRPr="00092ED7">
        <w:rPr>
          <w:rFonts w:eastAsia="Times New Roman" w:cs="Times New Roman"/>
          <w:b/>
          <w:bCs/>
          <w:szCs w:val="24"/>
          <w:lang w:val="sr-Cyrl-CS"/>
        </w:rPr>
        <w:t>б) Реформе</w:t>
      </w:r>
    </w:p>
    <w:p w14:paraId="033645C2" w14:textId="77777777" w:rsidR="00D210F0" w:rsidRPr="00092ED7" w:rsidRDefault="00D210F0" w:rsidP="00D210F0">
      <w:pPr>
        <w:spacing w:before="120"/>
        <w:rPr>
          <w:rFonts w:cs="Times New Roman"/>
          <w:szCs w:val="24"/>
          <w:lang w:val="sr-Cyrl-CS"/>
        </w:rPr>
      </w:pPr>
      <w:r w:rsidRPr="00092ED7">
        <w:rPr>
          <w:rFonts w:cs="Times New Roman"/>
          <w:b/>
          <w:bCs/>
          <w:szCs w:val="24"/>
          <w:u w:val="single"/>
          <w:lang w:val="sr-Cyrl-CS"/>
        </w:rPr>
        <w:t>СТРУКТУРНА РЕФОРМА 18</w:t>
      </w:r>
      <w:r w:rsidRPr="00092ED7">
        <w:rPr>
          <w:rFonts w:cs="Times New Roman"/>
          <w:b/>
          <w:bCs/>
          <w:szCs w:val="24"/>
          <w:lang w:val="sr-Cyrl-CS"/>
        </w:rPr>
        <w:t xml:space="preserve">: </w:t>
      </w:r>
      <w:r w:rsidRPr="00092ED7">
        <w:rPr>
          <w:rFonts w:cs="Times New Roman"/>
          <w:szCs w:val="24"/>
          <w:lang w:val="sr-Cyrl-CS"/>
        </w:rPr>
        <w:t>УНАПРЕЂЕЊЕ УСЛОВА И УКЛАЊАЊЕ ПРЕПРЕКА ТРГОВИНИ</w:t>
      </w:r>
    </w:p>
    <w:p w14:paraId="541EE1D1" w14:textId="77777777" w:rsidR="00D210F0" w:rsidRPr="00092ED7" w:rsidRDefault="00D210F0" w:rsidP="00071952">
      <w:pPr>
        <w:widowControl w:val="0"/>
        <w:numPr>
          <w:ilvl w:val="0"/>
          <w:numId w:val="34"/>
        </w:numPr>
        <w:spacing w:before="120"/>
        <w:ind w:left="425" w:hanging="425"/>
        <w:rPr>
          <w:rFonts w:cs="Times New Roman"/>
          <w:b/>
          <w:bCs/>
          <w:szCs w:val="24"/>
          <w:lang w:val="sr-Cyrl-CS"/>
        </w:rPr>
      </w:pPr>
      <w:r w:rsidRPr="00092ED7">
        <w:rPr>
          <w:rFonts w:cs="Times New Roman"/>
          <w:b/>
          <w:bCs/>
          <w:szCs w:val="24"/>
          <w:lang w:val="sr-Cyrl-CS"/>
        </w:rPr>
        <w:t>Опис структурне реформе</w:t>
      </w:r>
    </w:p>
    <w:p w14:paraId="3FC9ED90" w14:textId="450859D4" w:rsidR="00D210F0" w:rsidRPr="00092ED7" w:rsidRDefault="00D210F0" w:rsidP="009D4C3F">
      <w:pPr>
        <w:spacing w:after="60"/>
        <w:rPr>
          <w:rFonts w:eastAsia="Calibri" w:cs="Times New Roman"/>
          <w:szCs w:val="24"/>
          <w:lang w:val="sr-Cyrl-CS"/>
        </w:rPr>
      </w:pPr>
      <w:r w:rsidRPr="00092ED7">
        <w:rPr>
          <w:rFonts w:eastAsia="Calibri" w:cs="Times New Roman"/>
          <w:szCs w:val="24"/>
          <w:lang w:val="sr-Cyrl-CS"/>
        </w:rPr>
        <w:t xml:space="preserve">Циљ реформе је интензивирање, унапређење, диверсификација и даљи раст спољне трговине Републике Србије како на регионалном, тако и на глобалном нивоу. Активности су усмерене и на јачање конкурентности домаћих компанија ради припреме за чланство у ЕУ и лакшег укључивања у тржишну утакмицу која постоји на јединственом европском тржишту. Такође, реформом се посебно унапређује регионална сарадња. Република Србија наставља активности усмерене ка остварењу чланства у СТО, а односе се на решавање питања постојеће забране спољнотрговинског промета ГМО производа у Републици Србији и окончање отворених билатералних преговора са појединим чланицама СТО, који су додатно отежани актуелном ситуацијом у међународним односима. У циљу даље трговинске интеграције у региону, предвиђене Акционим планом </w:t>
      </w:r>
      <w:r w:rsidR="005B484F" w:rsidRPr="00092ED7">
        <w:rPr>
          <w:rFonts w:eastAsia="Calibri" w:cs="Times New Roman"/>
          <w:szCs w:val="24"/>
          <w:lang w:val="sr-Cyrl-CS"/>
        </w:rPr>
        <w:t>за заједничко регионално тржиште</w:t>
      </w:r>
      <w:r w:rsidRPr="00092ED7">
        <w:rPr>
          <w:rFonts w:eastAsia="Calibri" w:cs="Times New Roman"/>
          <w:szCs w:val="24"/>
          <w:lang w:val="sr-Cyrl-CS"/>
        </w:rPr>
        <w:t xml:space="preserve">, спроводиће се активности на имплементацији обавеза из </w:t>
      </w:r>
      <w:r w:rsidR="00E63AE6" w:rsidRPr="00092ED7">
        <w:rPr>
          <w:bCs/>
          <w:szCs w:val="24"/>
          <w:lang w:val="sr-Cyrl-CS"/>
        </w:rPr>
        <w:t>CEFTA</w:t>
      </w:r>
      <w:r w:rsidR="00CB66AD" w:rsidRPr="00092ED7">
        <w:rPr>
          <w:bCs/>
          <w:szCs w:val="24"/>
          <w:lang w:val="sr-Cyrl-CS"/>
        </w:rPr>
        <w:t xml:space="preserve"> </w:t>
      </w:r>
      <w:r w:rsidRPr="00092ED7">
        <w:rPr>
          <w:rFonts w:eastAsia="Calibri" w:cs="Times New Roman"/>
          <w:szCs w:val="24"/>
          <w:lang w:val="sr-Cyrl-CS"/>
        </w:rPr>
        <w:t xml:space="preserve">Додатног протокола 5, </w:t>
      </w:r>
      <w:r w:rsidR="00E63AE6" w:rsidRPr="00092ED7">
        <w:rPr>
          <w:bCs/>
          <w:szCs w:val="24"/>
          <w:lang w:val="sr-Cyrl-CS"/>
        </w:rPr>
        <w:t>CEFTA</w:t>
      </w:r>
      <w:r w:rsidR="00CB66AD" w:rsidRPr="00092ED7">
        <w:rPr>
          <w:bCs/>
          <w:szCs w:val="24"/>
          <w:lang w:val="sr-Cyrl-CS"/>
        </w:rPr>
        <w:t xml:space="preserve"> </w:t>
      </w:r>
      <w:r w:rsidRPr="00092ED7">
        <w:rPr>
          <w:rFonts w:eastAsia="Calibri" w:cs="Times New Roman"/>
          <w:szCs w:val="24"/>
          <w:lang w:val="sr-Cyrl-CS"/>
        </w:rPr>
        <w:t xml:space="preserve">Додатног протокола 6 и наставку преговора о </w:t>
      </w:r>
      <w:r w:rsidR="00E63AE6" w:rsidRPr="00092ED7">
        <w:rPr>
          <w:bCs/>
          <w:szCs w:val="24"/>
          <w:lang w:val="sr-Cyrl-CS"/>
        </w:rPr>
        <w:t>CEFTA</w:t>
      </w:r>
      <w:r w:rsidR="00CB66AD" w:rsidRPr="00092ED7">
        <w:rPr>
          <w:bCs/>
          <w:szCs w:val="24"/>
          <w:lang w:val="sr-Cyrl-CS"/>
        </w:rPr>
        <w:t xml:space="preserve"> </w:t>
      </w:r>
      <w:r w:rsidRPr="00092ED7">
        <w:rPr>
          <w:rFonts w:eastAsia="Calibri" w:cs="Times New Roman"/>
          <w:szCs w:val="24"/>
          <w:lang w:val="sr-Cyrl-CS"/>
        </w:rPr>
        <w:t xml:space="preserve">Додатном протоколу 7. Пандемија условила је да се одређене активности, посебно оне везане за преговоре, временски редефинишу и прилагоде новонасталим околностима. У оквиру </w:t>
      </w:r>
      <w:r w:rsidR="00870CB7" w:rsidRPr="00092ED7">
        <w:rPr>
          <w:rFonts w:eastAsia="Calibri" w:cs="Times New Roman"/>
          <w:szCs w:val="24"/>
          <w:lang w:val="sr-Cyrl-CS"/>
        </w:rPr>
        <w:t>рада Националног координационог тела за олакшавање трговине (</w:t>
      </w:r>
      <w:r w:rsidR="00AA7059" w:rsidRPr="00092ED7">
        <w:rPr>
          <w:rFonts w:eastAsia="Calibri" w:cs="Times New Roman"/>
          <w:szCs w:val="24"/>
          <w:lang w:val="sr-Cyrl-CS"/>
        </w:rPr>
        <w:t xml:space="preserve">у даљем тексту: </w:t>
      </w:r>
      <w:r w:rsidR="00870CB7" w:rsidRPr="00092ED7">
        <w:rPr>
          <w:rFonts w:eastAsia="Calibri" w:cs="Times New Roman"/>
          <w:szCs w:val="24"/>
          <w:lang w:val="sr-Cyrl-CS"/>
        </w:rPr>
        <w:t>НКТОТ)</w:t>
      </w:r>
      <w:r w:rsidRPr="00092ED7">
        <w:rPr>
          <w:rFonts w:eastAsia="Calibri" w:cs="Times New Roman"/>
          <w:szCs w:val="24"/>
          <w:lang w:val="sr-Cyrl-CS"/>
        </w:rPr>
        <w:t xml:space="preserve">, а уз учешће приватног сектора, </w:t>
      </w:r>
      <w:r w:rsidR="008B3A44" w:rsidRPr="00092ED7">
        <w:rPr>
          <w:rFonts w:eastAsia="Calibri" w:cs="Times New Roman"/>
          <w:szCs w:val="24"/>
          <w:lang w:val="sr-Cyrl-CS"/>
        </w:rPr>
        <w:lastRenderedPageBreak/>
        <w:t xml:space="preserve">наставиће се са </w:t>
      </w:r>
      <w:r w:rsidR="006C154D" w:rsidRPr="00092ED7">
        <w:rPr>
          <w:rFonts w:eastAsia="Calibri" w:cs="Times New Roman"/>
          <w:szCs w:val="24"/>
          <w:lang w:val="sr-Cyrl-CS"/>
        </w:rPr>
        <w:t xml:space="preserve">спровођењем </w:t>
      </w:r>
      <w:r w:rsidRPr="00092ED7">
        <w:rPr>
          <w:rFonts w:eastAsia="Calibri" w:cs="Times New Roman"/>
          <w:szCs w:val="24"/>
          <w:lang w:val="sr-Cyrl-CS"/>
        </w:rPr>
        <w:t>Акционог плана за 2022-2023</w:t>
      </w:r>
      <w:r w:rsidR="00C758DF" w:rsidRPr="00092ED7">
        <w:rPr>
          <w:rFonts w:eastAsia="Calibri" w:cs="Times New Roman"/>
          <w:szCs w:val="24"/>
          <w:lang w:val="sr-Cyrl-CS"/>
        </w:rPr>
        <w:t>.</w:t>
      </w:r>
      <w:r w:rsidRPr="00092ED7">
        <w:rPr>
          <w:rFonts w:eastAsia="Calibri" w:cs="Times New Roman"/>
          <w:szCs w:val="24"/>
          <w:lang w:val="sr-Cyrl-CS"/>
        </w:rPr>
        <w:t xml:space="preserve"> у циљу уклањања препрека трговини, посебно техничких и фитосанитарних мера, као и олакшавању царинских процедура. Структурна реформа је пренета из претходне године, пре свега имајући у виду да предвиђене активности подразумевају дужи временски оквир за спровођење (постизање договора, усаглашавање регионалних иницијатива и споразума, ратификација и спровођење договореног).</w:t>
      </w:r>
    </w:p>
    <w:p w14:paraId="40AB879A" w14:textId="77777777" w:rsidR="00D210F0" w:rsidRPr="00092ED7" w:rsidRDefault="00D210F0" w:rsidP="00071952">
      <w:pPr>
        <w:widowControl w:val="0"/>
        <w:numPr>
          <w:ilvl w:val="0"/>
          <w:numId w:val="34"/>
        </w:numPr>
        <w:spacing w:before="120"/>
        <w:ind w:left="425" w:hanging="425"/>
        <w:rPr>
          <w:rFonts w:cs="Times New Roman"/>
          <w:b/>
          <w:smallCaps/>
          <w:lang w:val="sr-Cyrl-CS"/>
        </w:rPr>
      </w:pPr>
      <w:r w:rsidRPr="00092ED7">
        <w:rPr>
          <w:rFonts w:cs="Times New Roman"/>
          <w:b/>
          <w:bCs/>
          <w:szCs w:val="24"/>
          <w:lang w:val="sr-Cyrl-CS"/>
        </w:rPr>
        <w:t>Планиране активности по годинама</w:t>
      </w:r>
    </w:p>
    <w:tbl>
      <w:tblPr>
        <w:tblW w:w="9131" w:type="dxa"/>
        <w:tblLayout w:type="fixed"/>
        <w:tblCellMar>
          <w:left w:w="0" w:type="dxa"/>
          <w:right w:w="0" w:type="dxa"/>
        </w:tblCellMar>
        <w:tblLook w:val="04A0" w:firstRow="1" w:lastRow="0" w:firstColumn="1" w:lastColumn="0" w:noHBand="0" w:noVBand="1"/>
      </w:tblPr>
      <w:tblGrid>
        <w:gridCol w:w="413"/>
        <w:gridCol w:w="4397"/>
        <w:gridCol w:w="363"/>
        <w:gridCol w:w="364"/>
        <w:gridCol w:w="363"/>
        <w:gridCol w:w="367"/>
        <w:gridCol w:w="363"/>
        <w:gridCol w:w="364"/>
        <w:gridCol w:w="364"/>
        <w:gridCol w:w="368"/>
        <w:gridCol w:w="366"/>
        <w:gridCol w:w="363"/>
        <w:gridCol w:w="364"/>
        <w:gridCol w:w="312"/>
      </w:tblGrid>
      <w:tr w:rsidR="00D210F0" w:rsidRPr="00092ED7" w14:paraId="64AF3FC3" w14:textId="77777777" w:rsidTr="00B57FE8">
        <w:trPr>
          <w:trHeight w:val="315"/>
        </w:trPr>
        <w:tc>
          <w:tcPr>
            <w:tcW w:w="413" w:type="dxa"/>
            <w:vMerge w:val="restart"/>
            <w:tcBorders>
              <w:top w:val="single" w:sz="8" w:space="0" w:color="auto"/>
              <w:left w:val="single" w:sz="8" w:space="0" w:color="auto"/>
              <w:right w:val="nil"/>
            </w:tcBorders>
            <w:shd w:val="clear" w:color="000000" w:fill="BDD6EE"/>
            <w:tcMar>
              <w:top w:w="15" w:type="dxa"/>
              <w:left w:w="15" w:type="dxa"/>
              <w:bottom w:w="0" w:type="dxa"/>
              <w:right w:w="15" w:type="dxa"/>
            </w:tcMar>
            <w:vAlign w:val="center"/>
            <w:hideMark/>
          </w:tcPr>
          <w:p w14:paraId="0F7DF411" w14:textId="77777777" w:rsidR="00D210F0" w:rsidRPr="00092ED7" w:rsidRDefault="00D210F0" w:rsidP="00D210F0">
            <w:pPr>
              <w:spacing w:after="0"/>
              <w:jc w:val="center"/>
              <w:rPr>
                <w:rFonts w:cs="Times New Roman"/>
                <w:b/>
                <w:bCs/>
                <w:color w:val="000000"/>
                <w:sz w:val="20"/>
                <w:szCs w:val="20"/>
                <w:lang w:val="sr-Cyrl-CS"/>
              </w:rPr>
            </w:pPr>
            <w:r w:rsidRPr="00092ED7">
              <w:rPr>
                <w:rFonts w:cs="Times New Roman"/>
                <w:b/>
                <w:bCs/>
                <w:color w:val="000000"/>
                <w:sz w:val="20"/>
                <w:szCs w:val="20"/>
                <w:lang w:val="sr-Cyrl-CS"/>
              </w:rPr>
              <w:t>РБ</w:t>
            </w:r>
          </w:p>
        </w:tc>
        <w:tc>
          <w:tcPr>
            <w:tcW w:w="4397" w:type="dxa"/>
            <w:vMerge w:val="restart"/>
            <w:tcBorders>
              <w:top w:val="single" w:sz="8" w:space="0" w:color="auto"/>
              <w:left w:val="single" w:sz="8" w:space="0" w:color="auto"/>
              <w:bottom w:val="single" w:sz="8" w:space="0" w:color="000000"/>
              <w:right w:val="nil"/>
            </w:tcBorders>
            <w:shd w:val="clear" w:color="auto" w:fill="BDD6EE" w:themeFill="accent1" w:themeFillTint="66"/>
            <w:tcMar>
              <w:top w:w="15" w:type="dxa"/>
              <w:left w:w="15" w:type="dxa"/>
              <w:bottom w:w="0" w:type="dxa"/>
              <w:right w:w="15" w:type="dxa"/>
            </w:tcMar>
            <w:vAlign w:val="center"/>
            <w:hideMark/>
          </w:tcPr>
          <w:p w14:paraId="6E08F0D6" w14:textId="77777777" w:rsidR="00D210F0" w:rsidRPr="00092ED7" w:rsidRDefault="00D210F0" w:rsidP="00D210F0">
            <w:pPr>
              <w:spacing w:after="0"/>
              <w:jc w:val="left"/>
              <w:rPr>
                <w:rFonts w:cs="Times New Roman"/>
                <w:b/>
                <w:bCs/>
                <w:color w:val="000000"/>
                <w:sz w:val="20"/>
                <w:szCs w:val="20"/>
                <w:lang w:val="sr-Cyrl-CS"/>
              </w:rPr>
            </w:pPr>
            <w:r w:rsidRPr="00092ED7">
              <w:rPr>
                <w:rFonts w:cs="Times New Roman"/>
                <w:b/>
                <w:bCs/>
                <w:color w:val="000000"/>
                <w:sz w:val="20"/>
                <w:szCs w:val="20"/>
                <w:lang w:val="sr-Cyrl-CS"/>
              </w:rPr>
              <w:t>Планиране активности</w:t>
            </w:r>
          </w:p>
        </w:tc>
        <w:tc>
          <w:tcPr>
            <w:tcW w:w="1457" w:type="dxa"/>
            <w:gridSpan w:val="4"/>
            <w:tcBorders>
              <w:top w:val="single" w:sz="8" w:space="0" w:color="auto"/>
              <w:left w:val="single" w:sz="8" w:space="0" w:color="auto"/>
              <w:bottom w:val="single" w:sz="4" w:space="0" w:color="auto"/>
              <w:right w:val="single" w:sz="8" w:space="0" w:color="000000"/>
            </w:tcBorders>
            <w:shd w:val="clear" w:color="auto" w:fill="BDD6EE" w:themeFill="accent1" w:themeFillTint="66"/>
            <w:tcMar>
              <w:top w:w="15" w:type="dxa"/>
              <w:left w:w="15" w:type="dxa"/>
              <w:bottom w:w="0" w:type="dxa"/>
              <w:right w:w="15" w:type="dxa"/>
            </w:tcMar>
            <w:vAlign w:val="center"/>
            <w:hideMark/>
          </w:tcPr>
          <w:p w14:paraId="680C3894" w14:textId="77777777" w:rsidR="00D210F0" w:rsidRPr="00092ED7" w:rsidRDefault="00D210F0" w:rsidP="00D210F0">
            <w:pPr>
              <w:spacing w:after="0"/>
              <w:jc w:val="center"/>
              <w:rPr>
                <w:rFonts w:cs="Times New Roman"/>
                <w:b/>
                <w:bCs/>
                <w:color w:val="000000"/>
                <w:sz w:val="20"/>
                <w:szCs w:val="20"/>
                <w:lang w:val="sr-Cyrl-CS"/>
              </w:rPr>
            </w:pPr>
            <w:r w:rsidRPr="00092ED7">
              <w:rPr>
                <w:rFonts w:cs="Times New Roman"/>
                <w:b/>
                <w:bCs/>
                <w:color w:val="000000"/>
                <w:sz w:val="20"/>
                <w:szCs w:val="20"/>
                <w:lang w:val="sr-Cyrl-CS"/>
              </w:rPr>
              <w:t>2023</w:t>
            </w:r>
          </w:p>
        </w:tc>
        <w:tc>
          <w:tcPr>
            <w:tcW w:w="1459" w:type="dxa"/>
            <w:gridSpan w:val="4"/>
            <w:tcBorders>
              <w:top w:val="single" w:sz="8" w:space="0" w:color="auto"/>
              <w:left w:val="single" w:sz="8" w:space="0" w:color="auto"/>
              <w:bottom w:val="single" w:sz="4" w:space="0" w:color="auto"/>
              <w:right w:val="single" w:sz="8" w:space="0" w:color="000000"/>
            </w:tcBorders>
            <w:shd w:val="clear" w:color="auto" w:fill="BDD6EE" w:themeFill="accent1" w:themeFillTint="66"/>
            <w:tcMar>
              <w:top w:w="15" w:type="dxa"/>
              <w:left w:w="15" w:type="dxa"/>
              <w:bottom w:w="0" w:type="dxa"/>
              <w:right w:w="15" w:type="dxa"/>
            </w:tcMar>
            <w:vAlign w:val="center"/>
            <w:hideMark/>
          </w:tcPr>
          <w:p w14:paraId="37E362E7" w14:textId="77777777" w:rsidR="00D210F0" w:rsidRPr="00092ED7" w:rsidRDefault="00D210F0" w:rsidP="00D210F0">
            <w:pPr>
              <w:spacing w:after="0"/>
              <w:jc w:val="center"/>
              <w:rPr>
                <w:rFonts w:cs="Times New Roman"/>
                <w:b/>
                <w:bCs/>
                <w:color w:val="000000"/>
                <w:sz w:val="20"/>
                <w:szCs w:val="20"/>
                <w:lang w:val="sr-Cyrl-CS"/>
              </w:rPr>
            </w:pPr>
            <w:r w:rsidRPr="00092ED7">
              <w:rPr>
                <w:rFonts w:cs="Times New Roman"/>
                <w:b/>
                <w:bCs/>
                <w:color w:val="000000"/>
                <w:sz w:val="20"/>
                <w:szCs w:val="20"/>
                <w:lang w:val="sr-Cyrl-CS"/>
              </w:rPr>
              <w:t>2024</w:t>
            </w:r>
          </w:p>
        </w:tc>
        <w:tc>
          <w:tcPr>
            <w:tcW w:w="1405" w:type="dxa"/>
            <w:gridSpan w:val="4"/>
            <w:tcBorders>
              <w:top w:val="single" w:sz="8" w:space="0" w:color="auto"/>
              <w:left w:val="nil"/>
              <w:bottom w:val="single" w:sz="4" w:space="0" w:color="auto"/>
              <w:right w:val="single" w:sz="8" w:space="0" w:color="000000"/>
            </w:tcBorders>
            <w:shd w:val="clear" w:color="auto" w:fill="BDD6EE" w:themeFill="accent1" w:themeFillTint="66"/>
            <w:tcMar>
              <w:top w:w="15" w:type="dxa"/>
              <w:left w:w="15" w:type="dxa"/>
              <w:bottom w:w="0" w:type="dxa"/>
              <w:right w:w="15" w:type="dxa"/>
            </w:tcMar>
            <w:vAlign w:val="center"/>
            <w:hideMark/>
          </w:tcPr>
          <w:p w14:paraId="2956094B" w14:textId="77777777" w:rsidR="00D210F0" w:rsidRPr="00092ED7" w:rsidRDefault="00D210F0" w:rsidP="00D210F0">
            <w:pPr>
              <w:spacing w:after="0"/>
              <w:jc w:val="center"/>
              <w:rPr>
                <w:rFonts w:cs="Times New Roman"/>
                <w:b/>
                <w:bCs/>
                <w:color w:val="000000"/>
                <w:sz w:val="20"/>
                <w:szCs w:val="20"/>
                <w:lang w:val="sr-Cyrl-CS"/>
              </w:rPr>
            </w:pPr>
            <w:r w:rsidRPr="00092ED7">
              <w:rPr>
                <w:rFonts w:cs="Times New Roman"/>
                <w:b/>
                <w:bCs/>
                <w:color w:val="000000"/>
                <w:sz w:val="20"/>
                <w:szCs w:val="20"/>
                <w:lang w:val="sr-Cyrl-CS"/>
              </w:rPr>
              <w:t>2025</w:t>
            </w:r>
          </w:p>
        </w:tc>
      </w:tr>
      <w:tr w:rsidR="00D210F0" w:rsidRPr="00092ED7" w14:paraId="38C8DEC6" w14:textId="77777777" w:rsidTr="00B57FE8">
        <w:trPr>
          <w:trHeight w:val="315"/>
        </w:trPr>
        <w:tc>
          <w:tcPr>
            <w:tcW w:w="413" w:type="dxa"/>
            <w:vMerge/>
            <w:tcBorders>
              <w:left w:val="single" w:sz="8" w:space="0" w:color="auto"/>
              <w:bottom w:val="single" w:sz="8" w:space="0" w:color="000000"/>
              <w:right w:val="nil"/>
            </w:tcBorders>
            <w:shd w:val="clear" w:color="000000" w:fill="BDD6EE"/>
            <w:vAlign w:val="center"/>
            <w:hideMark/>
          </w:tcPr>
          <w:p w14:paraId="322DFA8D" w14:textId="77777777" w:rsidR="00D210F0" w:rsidRPr="00092ED7" w:rsidRDefault="00D210F0" w:rsidP="00D210F0">
            <w:pPr>
              <w:spacing w:after="0"/>
              <w:jc w:val="center"/>
              <w:rPr>
                <w:rFonts w:cs="Times New Roman"/>
                <w:b/>
                <w:bCs/>
                <w:color w:val="000000"/>
                <w:sz w:val="20"/>
                <w:szCs w:val="20"/>
                <w:lang w:val="sr-Cyrl-CS"/>
              </w:rPr>
            </w:pPr>
          </w:p>
        </w:tc>
        <w:tc>
          <w:tcPr>
            <w:tcW w:w="4397" w:type="dxa"/>
            <w:vMerge/>
            <w:tcBorders>
              <w:top w:val="single" w:sz="8" w:space="0" w:color="auto"/>
              <w:left w:val="single" w:sz="8" w:space="0" w:color="auto"/>
              <w:bottom w:val="single" w:sz="8" w:space="0" w:color="000000"/>
              <w:right w:val="nil"/>
            </w:tcBorders>
            <w:shd w:val="clear" w:color="auto" w:fill="BDD6EE" w:themeFill="accent1" w:themeFillTint="66"/>
            <w:vAlign w:val="center"/>
            <w:hideMark/>
          </w:tcPr>
          <w:p w14:paraId="28F1BD7A" w14:textId="77777777" w:rsidR="00D210F0" w:rsidRPr="00092ED7" w:rsidRDefault="00D210F0" w:rsidP="00D210F0">
            <w:pPr>
              <w:spacing w:after="0"/>
              <w:rPr>
                <w:rFonts w:cs="Times New Roman"/>
                <w:b/>
                <w:bCs/>
                <w:color w:val="000000"/>
                <w:sz w:val="20"/>
                <w:szCs w:val="20"/>
                <w:lang w:val="sr-Cyrl-CS"/>
              </w:rPr>
            </w:pPr>
          </w:p>
        </w:tc>
        <w:tc>
          <w:tcPr>
            <w:tcW w:w="363" w:type="dxa"/>
            <w:tcBorders>
              <w:top w:val="nil"/>
              <w:left w:val="single" w:sz="8" w:space="0" w:color="auto"/>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5CFECB62"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Q1</w:t>
            </w:r>
          </w:p>
        </w:tc>
        <w:tc>
          <w:tcPr>
            <w:tcW w:w="364"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35CD552E"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Q2</w:t>
            </w:r>
          </w:p>
        </w:tc>
        <w:tc>
          <w:tcPr>
            <w:tcW w:w="363"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214992BD"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Q3</w:t>
            </w:r>
          </w:p>
        </w:tc>
        <w:tc>
          <w:tcPr>
            <w:tcW w:w="367" w:type="dxa"/>
            <w:tcBorders>
              <w:top w:val="nil"/>
              <w:left w:val="nil"/>
              <w:bottom w:val="single" w:sz="8" w:space="0" w:color="auto"/>
              <w:right w:val="single" w:sz="8" w:space="0" w:color="auto"/>
            </w:tcBorders>
            <w:shd w:val="clear" w:color="auto" w:fill="BDD6EE" w:themeFill="accent1" w:themeFillTint="66"/>
            <w:tcMar>
              <w:top w:w="15" w:type="dxa"/>
              <w:left w:w="15" w:type="dxa"/>
              <w:bottom w:w="0" w:type="dxa"/>
              <w:right w:w="15" w:type="dxa"/>
            </w:tcMar>
            <w:vAlign w:val="center"/>
            <w:hideMark/>
          </w:tcPr>
          <w:p w14:paraId="1E8F2C03"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Q4</w:t>
            </w:r>
          </w:p>
        </w:tc>
        <w:tc>
          <w:tcPr>
            <w:tcW w:w="363"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75983046"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Q1</w:t>
            </w:r>
          </w:p>
        </w:tc>
        <w:tc>
          <w:tcPr>
            <w:tcW w:w="364"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6A80EEAE"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Q2</w:t>
            </w:r>
          </w:p>
        </w:tc>
        <w:tc>
          <w:tcPr>
            <w:tcW w:w="364"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6F516FC9"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Q3</w:t>
            </w:r>
          </w:p>
        </w:tc>
        <w:tc>
          <w:tcPr>
            <w:tcW w:w="368" w:type="dxa"/>
            <w:tcBorders>
              <w:top w:val="nil"/>
              <w:left w:val="nil"/>
              <w:bottom w:val="single" w:sz="8" w:space="0" w:color="auto"/>
              <w:right w:val="single" w:sz="8" w:space="0" w:color="auto"/>
            </w:tcBorders>
            <w:shd w:val="clear" w:color="auto" w:fill="BDD6EE" w:themeFill="accent1" w:themeFillTint="66"/>
            <w:tcMar>
              <w:top w:w="15" w:type="dxa"/>
              <w:left w:w="15" w:type="dxa"/>
              <w:bottom w:w="0" w:type="dxa"/>
              <w:right w:w="15" w:type="dxa"/>
            </w:tcMar>
            <w:vAlign w:val="center"/>
            <w:hideMark/>
          </w:tcPr>
          <w:p w14:paraId="223A6569" w14:textId="77777777" w:rsidR="00D210F0" w:rsidRPr="00092ED7" w:rsidRDefault="00D210F0" w:rsidP="00D210F0">
            <w:pPr>
              <w:spacing w:after="0"/>
              <w:jc w:val="center"/>
              <w:rPr>
                <w:rFonts w:cs="Times New Roman"/>
                <w:i/>
                <w:iCs/>
                <w:color w:val="000000"/>
                <w:sz w:val="18"/>
                <w:szCs w:val="18"/>
                <w:lang w:val="sr-Cyrl-CS"/>
              </w:rPr>
            </w:pPr>
            <w:r w:rsidRPr="00092ED7">
              <w:rPr>
                <w:rFonts w:cs="Times New Roman"/>
                <w:i/>
                <w:iCs/>
                <w:color w:val="000000"/>
                <w:sz w:val="18"/>
                <w:szCs w:val="18"/>
                <w:lang w:val="sr-Cyrl-CS"/>
              </w:rPr>
              <w:t>Q4</w:t>
            </w:r>
          </w:p>
        </w:tc>
        <w:tc>
          <w:tcPr>
            <w:tcW w:w="366"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35513C7F" w14:textId="77777777" w:rsidR="00D210F0" w:rsidRPr="00092ED7" w:rsidRDefault="00D210F0" w:rsidP="00D210F0">
            <w:pPr>
              <w:spacing w:after="0"/>
              <w:jc w:val="center"/>
              <w:rPr>
                <w:rFonts w:cs="Times New Roman"/>
                <w:i/>
                <w:iCs/>
                <w:color w:val="000000"/>
                <w:sz w:val="18"/>
                <w:szCs w:val="18"/>
                <w:lang w:val="sr-Cyrl-CS"/>
              </w:rPr>
            </w:pPr>
            <w:r w:rsidRPr="00092ED7">
              <w:rPr>
                <w:rFonts w:cs="Times New Roman"/>
                <w:i/>
                <w:iCs/>
                <w:color w:val="000000"/>
                <w:sz w:val="18"/>
                <w:szCs w:val="18"/>
                <w:lang w:val="sr-Cyrl-CS"/>
              </w:rPr>
              <w:t>Q1</w:t>
            </w:r>
          </w:p>
        </w:tc>
        <w:tc>
          <w:tcPr>
            <w:tcW w:w="363"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088A9554" w14:textId="77777777" w:rsidR="00D210F0" w:rsidRPr="00092ED7" w:rsidRDefault="00D210F0" w:rsidP="00D210F0">
            <w:pPr>
              <w:spacing w:after="0"/>
              <w:jc w:val="center"/>
              <w:rPr>
                <w:rFonts w:cs="Times New Roman"/>
                <w:i/>
                <w:iCs/>
                <w:color w:val="000000"/>
                <w:sz w:val="18"/>
                <w:szCs w:val="18"/>
                <w:lang w:val="sr-Cyrl-CS"/>
              </w:rPr>
            </w:pPr>
            <w:r w:rsidRPr="00092ED7">
              <w:rPr>
                <w:rFonts w:cs="Times New Roman"/>
                <w:i/>
                <w:iCs/>
                <w:color w:val="000000"/>
                <w:sz w:val="18"/>
                <w:szCs w:val="18"/>
                <w:lang w:val="sr-Cyrl-CS"/>
              </w:rPr>
              <w:t>Q2</w:t>
            </w:r>
          </w:p>
        </w:tc>
        <w:tc>
          <w:tcPr>
            <w:tcW w:w="364"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478F6C0A" w14:textId="77777777" w:rsidR="00D210F0" w:rsidRPr="00092ED7" w:rsidRDefault="00D210F0" w:rsidP="00D210F0">
            <w:pPr>
              <w:spacing w:after="0"/>
              <w:jc w:val="center"/>
              <w:rPr>
                <w:rFonts w:cs="Times New Roman"/>
                <w:i/>
                <w:iCs/>
                <w:color w:val="000000"/>
                <w:sz w:val="18"/>
                <w:szCs w:val="18"/>
                <w:lang w:val="sr-Cyrl-CS"/>
              </w:rPr>
            </w:pPr>
            <w:r w:rsidRPr="00092ED7">
              <w:rPr>
                <w:rFonts w:cs="Times New Roman"/>
                <w:i/>
                <w:iCs/>
                <w:color w:val="000000"/>
                <w:sz w:val="18"/>
                <w:szCs w:val="18"/>
                <w:lang w:val="sr-Cyrl-CS"/>
              </w:rPr>
              <w:t>Q3</w:t>
            </w:r>
          </w:p>
        </w:tc>
        <w:tc>
          <w:tcPr>
            <w:tcW w:w="312" w:type="dxa"/>
            <w:tcBorders>
              <w:top w:val="nil"/>
              <w:left w:val="nil"/>
              <w:bottom w:val="single" w:sz="8" w:space="0" w:color="auto"/>
              <w:right w:val="single" w:sz="8" w:space="0" w:color="auto"/>
            </w:tcBorders>
            <w:shd w:val="clear" w:color="auto" w:fill="BDD6EE" w:themeFill="accent1" w:themeFillTint="66"/>
            <w:tcMar>
              <w:top w:w="15" w:type="dxa"/>
              <w:left w:w="15" w:type="dxa"/>
              <w:bottom w:w="0" w:type="dxa"/>
              <w:right w:w="15" w:type="dxa"/>
            </w:tcMar>
            <w:vAlign w:val="center"/>
            <w:hideMark/>
          </w:tcPr>
          <w:p w14:paraId="6430A222" w14:textId="77777777" w:rsidR="00D210F0" w:rsidRPr="00092ED7" w:rsidRDefault="00D210F0" w:rsidP="00D210F0">
            <w:pPr>
              <w:spacing w:after="0"/>
              <w:jc w:val="center"/>
              <w:rPr>
                <w:rFonts w:cs="Times New Roman"/>
                <w:i/>
                <w:iCs/>
                <w:color w:val="000000"/>
                <w:sz w:val="18"/>
                <w:szCs w:val="18"/>
                <w:lang w:val="sr-Cyrl-CS"/>
              </w:rPr>
            </w:pPr>
            <w:r w:rsidRPr="00092ED7">
              <w:rPr>
                <w:rFonts w:cs="Times New Roman"/>
                <w:i/>
                <w:iCs/>
                <w:color w:val="000000"/>
                <w:sz w:val="18"/>
                <w:szCs w:val="18"/>
                <w:lang w:val="sr-Cyrl-CS"/>
              </w:rPr>
              <w:t>Q4</w:t>
            </w:r>
          </w:p>
        </w:tc>
      </w:tr>
      <w:tr w:rsidR="00D210F0" w:rsidRPr="00092ED7" w14:paraId="636A5C31" w14:textId="77777777" w:rsidTr="00B640AF">
        <w:trPr>
          <w:trHeight w:val="716"/>
        </w:trPr>
        <w:tc>
          <w:tcPr>
            <w:tcW w:w="413" w:type="dxa"/>
            <w:tcBorders>
              <w:top w:val="single" w:sz="4" w:space="0" w:color="auto"/>
              <w:left w:val="single" w:sz="8" w:space="0" w:color="auto"/>
              <w:bottom w:val="single" w:sz="4" w:space="0" w:color="auto"/>
              <w:right w:val="nil"/>
            </w:tcBorders>
            <w:shd w:val="clear" w:color="auto" w:fill="auto"/>
            <w:tcMar>
              <w:top w:w="15" w:type="dxa"/>
              <w:left w:w="15" w:type="dxa"/>
              <w:bottom w:w="0" w:type="dxa"/>
              <w:right w:w="15" w:type="dxa"/>
            </w:tcMar>
          </w:tcPr>
          <w:p w14:paraId="0D172567" w14:textId="77777777" w:rsidR="00D210F0" w:rsidRPr="00092ED7" w:rsidRDefault="00D210F0" w:rsidP="00D210F0">
            <w:pPr>
              <w:spacing w:after="0"/>
              <w:jc w:val="center"/>
              <w:rPr>
                <w:rFonts w:cs="Times New Roman"/>
                <w:sz w:val="20"/>
                <w:szCs w:val="20"/>
                <w:lang w:val="sr-Cyrl-CS"/>
              </w:rPr>
            </w:pPr>
            <w:r w:rsidRPr="00092ED7">
              <w:rPr>
                <w:rFonts w:cs="Times New Roman"/>
                <w:sz w:val="20"/>
                <w:szCs w:val="20"/>
                <w:lang w:val="sr-Cyrl-CS"/>
              </w:rPr>
              <w:t>1.</w:t>
            </w:r>
          </w:p>
        </w:tc>
        <w:tc>
          <w:tcPr>
            <w:tcW w:w="4397" w:type="dxa"/>
            <w:tcBorders>
              <w:top w:val="single" w:sz="4" w:space="0" w:color="auto"/>
              <w:left w:val="single" w:sz="8" w:space="0" w:color="auto"/>
              <w:bottom w:val="single" w:sz="4" w:space="0" w:color="auto"/>
              <w:right w:val="nil"/>
            </w:tcBorders>
            <w:shd w:val="clear" w:color="auto" w:fill="auto"/>
            <w:tcMar>
              <w:top w:w="15" w:type="dxa"/>
              <w:left w:w="15" w:type="dxa"/>
              <w:bottom w:w="0" w:type="dxa"/>
              <w:right w:w="15" w:type="dxa"/>
            </w:tcMar>
          </w:tcPr>
          <w:p w14:paraId="4C02A13B" w14:textId="77777777" w:rsidR="00D210F0" w:rsidRPr="00092ED7" w:rsidRDefault="00D210F0" w:rsidP="00D210F0">
            <w:pPr>
              <w:spacing w:after="0"/>
              <w:ind w:right="209"/>
              <w:rPr>
                <w:rFonts w:cs="Times New Roman"/>
                <w:sz w:val="20"/>
                <w:szCs w:val="20"/>
                <w:lang w:val="sr-Cyrl-CS"/>
              </w:rPr>
            </w:pPr>
            <w:r w:rsidRPr="00092ED7">
              <w:rPr>
                <w:rFonts w:cs="Times New Roman"/>
                <w:sz w:val="20"/>
                <w:szCs w:val="20"/>
                <w:lang w:val="sr-Cyrl-CS"/>
              </w:rPr>
              <w:t>Преговори о приступању СТО - билатерални преговори, усвајање прописа усаглашаних са СТО правилима и принципима</w:t>
            </w:r>
          </w:p>
        </w:tc>
        <w:tc>
          <w:tcPr>
            <w:tcW w:w="363" w:type="dxa"/>
            <w:tcBorders>
              <w:top w:val="single" w:sz="4" w:space="0" w:color="auto"/>
              <w:left w:val="single" w:sz="8"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BF032D9" w14:textId="77777777" w:rsidR="00D210F0" w:rsidRPr="00092ED7" w:rsidRDefault="00D210F0" w:rsidP="00D210F0">
            <w:pPr>
              <w:spacing w:after="0"/>
              <w:rPr>
                <w:rFonts w:cs="Times New Roman"/>
                <w:color w:val="000000"/>
                <w:sz w:val="20"/>
                <w:szCs w:val="20"/>
                <w:lang w:val="sr-Cyrl-CS"/>
              </w:rPr>
            </w:pPr>
          </w:p>
        </w:tc>
        <w:tc>
          <w:tcPr>
            <w:tcW w:w="364"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8DB5D36" w14:textId="77777777" w:rsidR="00D210F0" w:rsidRPr="00092ED7" w:rsidRDefault="00D210F0" w:rsidP="00D210F0">
            <w:pPr>
              <w:spacing w:after="0"/>
              <w:rPr>
                <w:rFonts w:cs="Times New Roman"/>
                <w:color w:val="000000"/>
                <w:sz w:val="20"/>
                <w:szCs w:val="20"/>
                <w:lang w:val="sr-Cyrl-CS"/>
              </w:rPr>
            </w:pPr>
          </w:p>
        </w:tc>
        <w:tc>
          <w:tcPr>
            <w:tcW w:w="363"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293CB2A" w14:textId="77777777" w:rsidR="00D210F0" w:rsidRPr="00092ED7" w:rsidRDefault="00D210F0" w:rsidP="00D210F0">
            <w:pPr>
              <w:spacing w:after="0"/>
              <w:rPr>
                <w:rFonts w:cs="Times New Roman"/>
                <w:color w:val="000000"/>
                <w:sz w:val="20"/>
                <w:szCs w:val="20"/>
                <w:lang w:val="sr-Cyrl-CS"/>
              </w:rPr>
            </w:pPr>
          </w:p>
        </w:tc>
        <w:tc>
          <w:tcPr>
            <w:tcW w:w="367" w:type="dxa"/>
            <w:tcBorders>
              <w:top w:val="single" w:sz="4" w:space="0" w:color="auto"/>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3AE5EF56" w14:textId="77777777" w:rsidR="00D210F0" w:rsidRPr="00092ED7" w:rsidRDefault="00D210F0" w:rsidP="00D210F0">
            <w:pPr>
              <w:spacing w:after="0"/>
              <w:rPr>
                <w:rFonts w:cs="Times New Roman"/>
                <w:color w:val="000000"/>
                <w:sz w:val="20"/>
                <w:szCs w:val="20"/>
                <w:lang w:val="sr-Cyrl-CS"/>
              </w:rPr>
            </w:pPr>
          </w:p>
        </w:tc>
        <w:tc>
          <w:tcPr>
            <w:tcW w:w="363"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221B915B" w14:textId="77777777" w:rsidR="00D210F0" w:rsidRPr="00092ED7" w:rsidRDefault="00D210F0" w:rsidP="00D210F0">
            <w:pPr>
              <w:spacing w:after="0"/>
              <w:rPr>
                <w:rFonts w:cs="Times New Roman"/>
                <w:color w:val="000000"/>
                <w:sz w:val="20"/>
                <w:szCs w:val="20"/>
                <w:lang w:val="sr-Cyrl-CS"/>
              </w:rPr>
            </w:pPr>
          </w:p>
        </w:tc>
        <w:tc>
          <w:tcPr>
            <w:tcW w:w="364"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6A4251B" w14:textId="77777777" w:rsidR="00D210F0" w:rsidRPr="00092ED7" w:rsidRDefault="00D210F0" w:rsidP="00D210F0">
            <w:pPr>
              <w:spacing w:after="0"/>
              <w:rPr>
                <w:rFonts w:cs="Times New Roman"/>
                <w:color w:val="000000"/>
                <w:sz w:val="20"/>
                <w:szCs w:val="20"/>
                <w:lang w:val="sr-Cyrl-CS"/>
              </w:rPr>
            </w:pPr>
          </w:p>
        </w:tc>
        <w:tc>
          <w:tcPr>
            <w:tcW w:w="364"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32303681" w14:textId="77777777" w:rsidR="00D210F0" w:rsidRPr="00092ED7" w:rsidRDefault="00D210F0" w:rsidP="00D210F0">
            <w:pPr>
              <w:spacing w:after="0"/>
              <w:rPr>
                <w:rFonts w:cs="Times New Roman"/>
                <w:color w:val="000000"/>
                <w:sz w:val="20"/>
                <w:szCs w:val="20"/>
                <w:lang w:val="sr-Cyrl-CS"/>
              </w:rPr>
            </w:pPr>
          </w:p>
        </w:tc>
        <w:tc>
          <w:tcPr>
            <w:tcW w:w="368" w:type="dxa"/>
            <w:tcBorders>
              <w:top w:val="single" w:sz="4" w:space="0" w:color="auto"/>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7EA7C774" w14:textId="77777777" w:rsidR="00D210F0" w:rsidRPr="00092ED7" w:rsidRDefault="00D210F0" w:rsidP="00D210F0">
            <w:pPr>
              <w:spacing w:after="0"/>
              <w:rPr>
                <w:rFonts w:cs="Times New Roman"/>
                <w:color w:val="000000"/>
                <w:sz w:val="18"/>
                <w:szCs w:val="18"/>
                <w:lang w:val="sr-Cyrl-CS"/>
              </w:rPr>
            </w:pPr>
          </w:p>
        </w:tc>
        <w:tc>
          <w:tcPr>
            <w:tcW w:w="366"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059BB01F" w14:textId="77777777" w:rsidR="00D210F0" w:rsidRPr="00092ED7" w:rsidRDefault="00D210F0" w:rsidP="00D210F0">
            <w:pPr>
              <w:spacing w:after="0"/>
              <w:rPr>
                <w:rFonts w:cs="Times New Roman"/>
                <w:color w:val="000000"/>
                <w:sz w:val="18"/>
                <w:szCs w:val="18"/>
                <w:lang w:val="sr-Cyrl-CS"/>
              </w:rPr>
            </w:pPr>
          </w:p>
        </w:tc>
        <w:tc>
          <w:tcPr>
            <w:tcW w:w="363"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40C035DB" w14:textId="77777777" w:rsidR="00D210F0" w:rsidRPr="00092ED7" w:rsidRDefault="00D210F0" w:rsidP="00D210F0">
            <w:pPr>
              <w:spacing w:after="0"/>
              <w:rPr>
                <w:rFonts w:cs="Times New Roman"/>
                <w:color w:val="000000"/>
                <w:sz w:val="18"/>
                <w:szCs w:val="18"/>
                <w:lang w:val="sr-Cyrl-CS"/>
              </w:rPr>
            </w:pPr>
          </w:p>
        </w:tc>
        <w:tc>
          <w:tcPr>
            <w:tcW w:w="364"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28DEECED" w14:textId="77777777" w:rsidR="00D210F0" w:rsidRPr="00092ED7" w:rsidRDefault="00D210F0" w:rsidP="00D210F0">
            <w:pPr>
              <w:spacing w:after="0"/>
              <w:rPr>
                <w:rFonts w:cs="Times New Roman"/>
                <w:color w:val="000000"/>
                <w:sz w:val="18"/>
                <w:szCs w:val="18"/>
                <w:lang w:val="sr-Cyrl-CS"/>
              </w:rPr>
            </w:pPr>
          </w:p>
        </w:tc>
        <w:tc>
          <w:tcPr>
            <w:tcW w:w="312" w:type="dxa"/>
            <w:tcBorders>
              <w:top w:val="single" w:sz="4" w:space="0" w:color="auto"/>
              <w:left w:val="nil"/>
              <w:bottom w:val="single" w:sz="4" w:space="0" w:color="auto"/>
              <w:right w:val="single" w:sz="8" w:space="0" w:color="auto"/>
            </w:tcBorders>
            <w:shd w:val="clear" w:color="auto" w:fill="auto"/>
            <w:tcMar>
              <w:top w:w="15" w:type="dxa"/>
              <w:left w:w="15" w:type="dxa"/>
              <w:bottom w:w="0" w:type="dxa"/>
              <w:right w:w="15" w:type="dxa"/>
            </w:tcMar>
          </w:tcPr>
          <w:p w14:paraId="0B33F5D3" w14:textId="77777777" w:rsidR="00D210F0" w:rsidRPr="00092ED7" w:rsidRDefault="00D210F0" w:rsidP="00D210F0">
            <w:pPr>
              <w:spacing w:after="0"/>
              <w:rPr>
                <w:rFonts w:cs="Times New Roman"/>
                <w:color w:val="000000"/>
                <w:sz w:val="18"/>
                <w:szCs w:val="18"/>
                <w:lang w:val="sr-Cyrl-CS"/>
              </w:rPr>
            </w:pPr>
          </w:p>
        </w:tc>
      </w:tr>
      <w:tr w:rsidR="00D210F0" w:rsidRPr="00092ED7" w14:paraId="0B557F1D" w14:textId="77777777" w:rsidTr="00B640AF">
        <w:trPr>
          <w:trHeight w:val="300"/>
        </w:trPr>
        <w:tc>
          <w:tcPr>
            <w:tcW w:w="413"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025FBB04" w14:textId="77777777" w:rsidR="00D210F0" w:rsidRPr="00092ED7" w:rsidRDefault="00D210F0" w:rsidP="00D210F0">
            <w:pPr>
              <w:spacing w:after="0"/>
              <w:jc w:val="center"/>
              <w:rPr>
                <w:rFonts w:cs="Times New Roman"/>
                <w:sz w:val="20"/>
                <w:szCs w:val="20"/>
                <w:lang w:val="sr-Cyrl-CS"/>
              </w:rPr>
            </w:pPr>
            <w:r w:rsidRPr="00092ED7">
              <w:rPr>
                <w:rFonts w:cs="Times New Roman"/>
                <w:sz w:val="20"/>
                <w:szCs w:val="20"/>
                <w:lang w:val="sr-Cyrl-CS"/>
              </w:rPr>
              <w:t>2.</w:t>
            </w:r>
          </w:p>
        </w:tc>
        <w:tc>
          <w:tcPr>
            <w:tcW w:w="4397"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2D963B8E" w14:textId="77777777" w:rsidR="00D210F0" w:rsidRPr="00092ED7" w:rsidRDefault="00D210F0" w:rsidP="00D210F0">
            <w:pPr>
              <w:spacing w:after="0"/>
              <w:ind w:right="209"/>
              <w:rPr>
                <w:rFonts w:eastAsia="Calibri" w:cs="Times New Roman"/>
                <w:sz w:val="20"/>
                <w:szCs w:val="20"/>
                <w:lang w:val="sr-Cyrl-CS"/>
              </w:rPr>
            </w:pPr>
            <w:r w:rsidRPr="00092ED7">
              <w:rPr>
                <w:rFonts w:eastAsia="Calibri" w:cs="Times New Roman"/>
                <w:sz w:val="20"/>
                <w:szCs w:val="20"/>
                <w:lang w:val="sr-Cyrl-CS"/>
              </w:rPr>
              <w:t xml:space="preserve">АП ЗРТ </w:t>
            </w:r>
            <w:r w:rsidR="00CB66AD" w:rsidRPr="00092ED7">
              <w:rPr>
                <w:rFonts w:eastAsia="Calibri" w:cs="Times New Roman"/>
                <w:sz w:val="20"/>
                <w:szCs w:val="20"/>
                <w:lang w:val="sr-Cyrl-CS"/>
              </w:rPr>
              <w:t>–</w:t>
            </w:r>
            <w:r w:rsidRPr="00092ED7">
              <w:rPr>
                <w:rFonts w:eastAsia="Calibri" w:cs="Times New Roman"/>
                <w:sz w:val="20"/>
                <w:szCs w:val="20"/>
                <w:lang w:val="sr-Cyrl-CS"/>
              </w:rPr>
              <w:t xml:space="preserve"> </w:t>
            </w:r>
            <w:r w:rsidR="00E63AE6" w:rsidRPr="00092ED7">
              <w:rPr>
                <w:bCs/>
                <w:sz w:val="20"/>
                <w:szCs w:val="20"/>
                <w:lang w:val="sr-Cyrl-CS"/>
              </w:rPr>
              <w:t>CEFTA</w:t>
            </w:r>
            <w:r w:rsidR="00CB66AD" w:rsidRPr="00092ED7">
              <w:rPr>
                <w:bCs/>
                <w:sz w:val="20"/>
                <w:szCs w:val="20"/>
                <w:lang w:val="sr-Cyrl-CS"/>
              </w:rPr>
              <w:t xml:space="preserve"> </w:t>
            </w:r>
            <w:r w:rsidRPr="00092ED7">
              <w:rPr>
                <w:rFonts w:eastAsia="Calibri" w:cs="Times New Roman"/>
                <w:sz w:val="20"/>
                <w:szCs w:val="20"/>
                <w:lang w:val="sr-Cyrl-CS"/>
              </w:rPr>
              <w:t>- Имплементација Додатног протокола 5 о олакшавању трговинe</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7778BC7" w14:textId="77777777" w:rsidR="00D210F0" w:rsidRPr="00092ED7" w:rsidRDefault="00D210F0" w:rsidP="00D210F0">
            <w:pPr>
              <w:spacing w:after="0"/>
              <w:rPr>
                <w:rFonts w:cs="Times New Roman"/>
                <w:color w:val="000000"/>
                <w:sz w:val="20"/>
                <w:szCs w:val="20"/>
                <w:lang w:val="sr-Cyrl-CS"/>
              </w:rPr>
            </w:pPr>
          </w:p>
        </w:tc>
        <w:tc>
          <w:tcPr>
            <w:tcW w:w="36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03A564A" w14:textId="77777777" w:rsidR="00D210F0" w:rsidRPr="00092ED7" w:rsidRDefault="00D210F0" w:rsidP="00D210F0">
            <w:pPr>
              <w:spacing w:after="0"/>
              <w:rPr>
                <w:rFonts w:cs="Times New Roman"/>
                <w:color w:val="000000"/>
                <w:sz w:val="20"/>
                <w:szCs w:val="20"/>
                <w:lang w:val="sr-Cyrl-CS"/>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90D3E9C" w14:textId="77777777" w:rsidR="00D210F0" w:rsidRPr="00092ED7" w:rsidRDefault="00D210F0" w:rsidP="00D210F0">
            <w:pPr>
              <w:spacing w:after="0"/>
              <w:rPr>
                <w:rFonts w:cs="Times New Roman"/>
                <w:color w:val="000000"/>
                <w:sz w:val="20"/>
                <w:szCs w:val="20"/>
                <w:lang w:val="sr-Cyrl-CS"/>
              </w:rPr>
            </w:pPr>
          </w:p>
        </w:tc>
        <w:tc>
          <w:tcPr>
            <w:tcW w:w="3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2C27A577" w14:textId="77777777" w:rsidR="00D210F0" w:rsidRPr="00092ED7" w:rsidRDefault="00D210F0" w:rsidP="00D210F0">
            <w:pPr>
              <w:spacing w:after="0"/>
              <w:rPr>
                <w:rFonts w:cs="Times New Roman"/>
                <w:color w:val="000000"/>
                <w:sz w:val="20"/>
                <w:szCs w:val="20"/>
                <w:lang w:val="sr-Cyrl-CS"/>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080381F4" w14:textId="77777777" w:rsidR="00D210F0" w:rsidRPr="00092ED7" w:rsidRDefault="00D210F0" w:rsidP="00D210F0">
            <w:pPr>
              <w:spacing w:after="0"/>
              <w:rPr>
                <w:rFonts w:cs="Times New Roman"/>
                <w:color w:val="000000"/>
                <w:sz w:val="20"/>
                <w:szCs w:val="20"/>
                <w:lang w:val="sr-Cyrl-CS"/>
              </w:rPr>
            </w:pPr>
          </w:p>
        </w:tc>
        <w:tc>
          <w:tcPr>
            <w:tcW w:w="36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099D1834" w14:textId="77777777" w:rsidR="00D210F0" w:rsidRPr="00092ED7" w:rsidRDefault="00D210F0" w:rsidP="00D210F0">
            <w:pPr>
              <w:spacing w:after="0"/>
              <w:rPr>
                <w:rFonts w:cs="Times New Roman"/>
                <w:color w:val="000000"/>
                <w:sz w:val="20"/>
                <w:szCs w:val="20"/>
                <w:lang w:val="sr-Cyrl-CS"/>
              </w:rPr>
            </w:pPr>
          </w:p>
        </w:tc>
        <w:tc>
          <w:tcPr>
            <w:tcW w:w="36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AB63CF5" w14:textId="77777777" w:rsidR="00D210F0" w:rsidRPr="00092ED7" w:rsidRDefault="00D210F0" w:rsidP="00D210F0">
            <w:pPr>
              <w:spacing w:after="0"/>
              <w:rPr>
                <w:rFonts w:cs="Times New Roman"/>
                <w:color w:val="000000"/>
                <w:sz w:val="20"/>
                <w:szCs w:val="20"/>
                <w:lang w:val="sr-Cyrl-CS"/>
              </w:rPr>
            </w:pPr>
          </w:p>
        </w:tc>
        <w:tc>
          <w:tcPr>
            <w:tcW w:w="3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C4D7A70" w14:textId="77777777" w:rsidR="00D210F0" w:rsidRPr="00092ED7" w:rsidRDefault="00D210F0" w:rsidP="00D210F0">
            <w:pPr>
              <w:spacing w:after="0"/>
              <w:rPr>
                <w:rFonts w:cs="Times New Roman"/>
                <w:color w:val="000000"/>
                <w:sz w:val="18"/>
                <w:szCs w:val="18"/>
                <w:lang w:val="sr-Cyrl-CS"/>
              </w:rPr>
            </w:pPr>
          </w:p>
        </w:tc>
        <w:tc>
          <w:tcPr>
            <w:tcW w:w="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35F090E" w14:textId="77777777" w:rsidR="00D210F0" w:rsidRPr="00092ED7" w:rsidRDefault="00D210F0" w:rsidP="00D210F0">
            <w:pPr>
              <w:spacing w:after="0"/>
              <w:rPr>
                <w:rFonts w:cs="Times New Roman"/>
                <w:color w:val="000000"/>
                <w:sz w:val="18"/>
                <w:szCs w:val="18"/>
                <w:lang w:val="sr-Cyrl-CS"/>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FEB4D5B" w14:textId="77777777" w:rsidR="00D210F0" w:rsidRPr="00092ED7" w:rsidRDefault="00D210F0" w:rsidP="00D210F0">
            <w:pPr>
              <w:spacing w:after="0"/>
              <w:rPr>
                <w:rFonts w:cs="Times New Roman"/>
                <w:color w:val="000000"/>
                <w:sz w:val="18"/>
                <w:szCs w:val="18"/>
                <w:lang w:val="sr-Cyrl-CS"/>
              </w:rPr>
            </w:pPr>
          </w:p>
        </w:tc>
        <w:tc>
          <w:tcPr>
            <w:tcW w:w="36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21036BDC" w14:textId="77777777" w:rsidR="00D210F0" w:rsidRPr="00092ED7" w:rsidRDefault="00D210F0" w:rsidP="00D210F0">
            <w:pPr>
              <w:spacing w:after="0"/>
              <w:rPr>
                <w:rFonts w:cs="Times New Roman"/>
                <w:color w:val="000000"/>
                <w:sz w:val="18"/>
                <w:szCs w:val="18"/>
                <w:lang w:val="sr-Cyrl-CS"/>
              </w:rPr>
            </w:pPr>
          </w:p>
        </w:tc>
        <w:tc>
          <w:tcPr>
            <w:tcW w:w="31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B4D9B8F" w14:textId="77777777" w:rsidR="00D210F0" w:rsidRPr="00092ED7" w:rsidRDefault="00D210F0" w:rsidP="00D210F0">
            <w:pPr>
              <w:spacing w:after="0"/>
              <w:rPr>
                <w:rFonts w:cs="Times New Roman"/>
                <w:color w:val="000000"/>
                <w:sz w:val="18"/>
                <w:szCs w:val="18"/>
                <w:lang w:val="sr-Cyrl-CS"/>
              </w:rPr>
            </w:pPr>
          </w:p>
        </w:tc>
      </w:tr>
      <w:tr w:rsidR="00D210F0" w:rsidRPr="00092ED7" w14:paraId="056AD676" w14:textId="77777777" w:rsidTr="00B57FE8">
        <w:trPr>
          <w:trHeight w:val="300"/>
        </w:trPr>
        <w:tc>
          <w:tcPr>
            <w:tcW w:w="413" w:type="dxa"/>
            <w:tcBorders>
              <w:top w:val="nil"/>
              <w:left w:val="single" w:sz="8" w:space="0" w:color="auto"/>
              <w:bottom w:val="single" w:sz="4" w:space="0" w:color="auto"/>
              <w:right w:val="single" w:sz="8" w:space="0" w:color="auto"/>
            </w:tcBorders>
            <w:shd w:val="clear" w:color="auto" w:fill="auto"/>
            <w:tcMar>
              <w:top w:w="15" w:type="dxa"/>
              <w:left w:w="15" w:type="dxa"/>
              <w:bottom w:w="0" w:type="dxa"/>
              <w:right w:w="15" w:type="dxa"/>
            </w:tcMar>
          </w:tcPr>
          <w:p w14:paraId="69FA3DEB" w14:textId="77777777" w:rsidR="00D210F0" w:rsidRPr="00092ED7" w:rsidRDefault="00D210F0" w:rsidP="00D210F0">
            <w:pPr>
              <w:spacing w:after="0"/>
              <w:jc w:val="center"/>
              <w:rPr>
                <w:rFonts w:cs="Times New Roman"/>
                <w:sz w:val="20"/>
                <w:szCs w:val="20"/>
                <w:lang w:val="sr-Cyrl-CS"/>
              </w:rPr>
            </w:pPr>
            <w:r w:rsidRPr="00092ED7">
              <w:rPr>
                <w:rFonts w:cs="Times New Roman"/>
                <w:sz w:val="20"/>
                <w:szCs w:val="20"/>
                <w:lang w:val="sr-Cyrl-CS"/>
              </w:rPr>
              <w:t>3.</w:t>
            </w:r>
          </w:p>
        </w:tc>
        <w:tc>
          <w:tcPr>
            <w:tcW w:w="4397" w:type="dxa"/>
            <w:tcBorders>
              <w:top w:val="nil"/>
              <w:left w:val="nil"/>
              <w:bottom w:val="single" w:sz="4" w:space="0" w:color="auto"/>
              <w:right w:val="nil"/>
            </w:tcBorders>
            <w:shd w:val="clear" w:color="auto" w:fill="auto"/>
            <w:tcMar>
              <w:top w:w="15" w:type="dxa"/>
              <w:left w:w="15" w:type="dxa"/>
              <w:bottom w:w="0" w:type="dxa"/>
              <w:right w:w="15" w:type="dxa"/>
            </w:tcMar>
          </w:tcPr>
          <w:p w14:paraId="40265E07" w14:textId="77777777" w:rsidR="00D210F0" w:rsidRPr="00092ED7" w:rsidRDefault="00D210F0" w:rsidP="00D210F0">
            <w:pPr>
              <w:spacing w:after="0"/>
              <w:ind w:right="209"/>
              <w:rPr>
                <w:rFonts w:eastAsia="Calibri" w:cs="Times New Roman"/>
                <w:sz w:val="20"/>
                <w:szCs w:val="20"/>
                <w:lang w:val="sr-Cyrl-CS"/>
              </w:rPr>
            </w:pPr>
            <w:r w:rsidRPr="00092ED7">
              <w:rPr>
                <w:rFonts w:eastAsia="Calibri" w:cs="Times New Roman"/>
                <w:sz w:val="20"/>
                <w:szCs w:val="20"/>
                <w:lang w:val="sr-Cyrl-CS"/>
              </w:rPr>
              <w:t xml:space="preserve">АП ЗРТ - </w:t>
            </w:r>
            <w:r w:rsidR="00E63AE6" w:rsidRPr="00092ED7">
              <w:rPr>
                <w:bCs/>
                <w:sz w:val="20"/>
                <w:szCs w:val="20"/>
                <w:lang w:val="sr-Cyrl-CS"/>
              </w:rPr>
              <w:t>CEFTA</w:t>
            </w:r>
            <w:r w:rsidRPr="00092ED7">
              <w:rPr>
                <w:rFonts w:eastAsia="Calibri" w:cs="Times New Roman"/>
                <w:sz w:val="20"/>
                <w:szCs w:val="20"/>
                <w:lang w:val="sr-Cyrl-CS"/>
              </w:rPr>
              <w:t>: Имплементација Додатног протокола 6 о трговини услугама</w:t>
            </w:r>
          </w:p>
        </w:tc>
        <w:tc>
          <w:tcPr>
            <w:tcW w:w="363" w:type="dxa"/>
            <w:tcBorders>
              <w:top w:val="nil"/>
              <w:left w:val="single" w:sz="8"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AF1FD79" w14:textId="77777777" w:rsidR="00D210F0" w:rsidRPr="00092ED7" w:rsidRDefault="00D210F0" w:rsidP="00D210F0">
            <w:pPr>
              <w:spacing w:after="0"/>
              <w:rPr>
                <w:rFonts w:cs="Times New Roman"/>
                <w:color w:val="000000"/>
                <w:sz w:val="20"/>
                <w:szCs w:val="20"/>
                <w:lang w:val="sr-Cyrl-CS"/>
              </w:rPr>
            </w:pPr>
          </w:p>
        </w:tc>
        <w:tc>
          <w:tcPr>
            <w:tcW w:w="364"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095D702" w14:textId="77777777" w:rsidR="00D210F0" w:rsidRPr="00092ED7" w:rsidRDefault="00D210F0" w:rsidP="00D210F0">
            <w:pPr>
              <w:spacing w:after="0"/>
              <w:rPr>
                <w:rFonts w:cs="Times New Roman"/>
                <w:color w:val="000000"/>
                <w:sz w:val="20"/>
                <w:szCs w:val="20"/>
                <w:lang w:val="sr-Cyrl-CS"/>
              </w:rPr>
            </w:pPr>
          </w:p>
        </w:tc>
        <w:tc>
          <w:tcPr>
            <w:tcW w:w="36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F664F94" w14:textId="77777777" w:rsidR="00D210F0" w:rsidRPr="00092ED7" w:rsidRDefault="00D210F0" w:rsidP="00D210F0">
            <w:pPr>
              <w:spacing w:after="0"/>
              <w:rPr>
                <w:rFonts w:cs="Times New Roman"/>
                <w:color w:val="000000"/>
                <w:sz w:val="20"/>
                <w:szCs w:val="20"/>
                <w:lang w:val="sr-Cyrl-CS"/>
              </w:rPr>
            </w:pPr>
          </w:p>
        </w:tc>
        <w:tc>
          <w:tcPr>
            <w:tcW w:w="367"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3307B12A" w14:textId="77777777" w:rsidR="00D210F0" w:rsidRPr="00092ED7" w:rsidRDefault="00D210F0" w:rsidP="00D210F0">
            <w:pPr>
              <w:spacing w:after="0"/>
              <w:rPr>
                <w:rFonts w:cs="Times New Roman"/>
                <w:color w:val="000000"/>
                <w:sz w:val="20"/>
                <w:szCs w:val="20"/>
                <w:lang w:val="sr-Cyrl-CS"/>
              </w:rPr>
            </w:pPr>
          </w:p>
        </w:tc>
        <w:tc>
          <w:tcPr>
            <w:tcW w:w="36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9246E46" w14:textId="77777777" w:rsidR="00D210F0" w:rsidRPr="00092ED7" w:rsidRDefault="00D210F0" w:rsidP="00D210F0">
            <w:pPr>
              <w:spacing w:after="0"/>
              <w:rPr>
                <w:rFonts w:cs="Times New Roman"/>
                <w:color w:val="000000"/>
                <w:sz w:val="20"/>
                <w:szCs w:val="20"/>
                <w:lang w:val="sr-Cyrl-CS"/>
              </w:rPr>
            </w:pPr>
          </w:p>
        </w:tc>
        <w:tc>
          <w:tcPr>
            <w:tcW w:w="364"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5A7615A" w14:textId="77777777" w:rsidR="00D210F0" w:rsidRPr="00092ED7" w:rsidRDefault="00D210F0" w:rsidP="00D210F0">
            <w:pPr>
              <w:spacing w:after="0"/>
              <w:rPr>
                <w:rFonts w:cs="Times New Roman"/>
                <w:color w:val="000000"/>
                <w:sz w:val="20"/>
                <w:szCs w:val="20"/>
                <w:lang w:val="sr-Cyrl-CS"/>
              </w:rPr>
            </w:pPr>
          </w:p>
        </w:tc>
        <w:tc>
          <w:tcPr>
            <w:tcW w:w="364"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14E7F14" w14:textId="77777777" w:rsidR="00D210F0" w:rsidRPr="00092ED7" w:rsidRDefault="00D210F0" w:rsidP="00D210F0">
            <w:pPr>
              <w:spacing w:after="0"/>
              <w:rPr>
                <w:rFonts w:cs="Times New Roman"/>
                <w:color w:val="000000"/>
                <w:sz w:val="20"/>
                <w:szCs w:val="20"/>
                <w:lang w:val="sr-Cyrl-CS"/>
              </w:rPr>
            </w:pPr>
          </w:p>
        </w:tc>
        <w:tc>
          <w:tcPr>
            <w:tcW w:w="368"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4B6E03BF" w14:textId="77777777" w:rsidR="00D210F0" w:rsidRPr="00092ED7" w:rsidRDefault="00D210F0" w:rsidP="00D210F0">
            <w:pPr>
              <w:spacing w:after="0"/>
              <w:rPr>
                <w:rFonts w:cs="Times New Roman"/>
                <w:color w:val="000000"/>
                <w:sz w:val="18"/>
                <w:szCs w:val="18"/>
                <w:lang w:val="sr-Cyrl-CS"/>
              </w:rPr>
            </w:pPr>
          </w:p>
        </w:tc>
        <w:tc>
          <w:tcPr>
            <w:tcW w:w="366"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6929C4A" w14:textId="77777777" w:rsidR="00D210F0" w:rsidRPr="00092ED7" w:rsidRDefault="00D210F0" w:rsidP="00D210F0">
            <w:pPr>
              <w:spacing w:after="0"/>
              <w:rPr>
                <w:rFonts w:cs="Times New Roman"/>
                <w:color w:val="000000"/>
                <w:sz w:val="18"/>
                <w:szCs w:val="18"/>
                <w:lang w:val="sr-Cyrl-CS"/>
              </w:rPr>
            </w:pPr>
          </w:p>
        </w:tc>
        <w:tc>
          <w:tcPr>
            <w:tcW w:w="36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1829DEC" w14:textId="77777777" w:rsidR="00D210F0" w:rsidRPr="00092ED7" w:rsidRDefault="00D210F0" w:rsidP="00D210F0">
            <w:pPr>
              <w:spacing w:after="0"/>
              <w:rPr>
                <w:rFonts w:cs="Times New Roman"/>
                <w:color w:val="000000"/>
                <w:sz w:val="18"/>
                <w:szCs w:val="18"/>
                <w:lang w:val="sr-Cyrl-CS"/>
              </w:rPr>
            </w:pPr>
          </w:p>
        </w:tc>
        <w:tc>
          <w:tcPr>
            <w:tcW w:w="364"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AF134D0" w14:textId="77777777" w:rsidR="00D210F0" w:rsidRPr="00092ED7" w:rsidRDefault="00D210F0" w:rsidP="00D210F0">
            <w:pPr>
              <w:spacing w:after="0"/>
              <w:rPr>
                <w:rFonts w:cs="Times New Roman"/>
                <w:color w:val="000000"/>
                <w:sz w:val="18"/>
                <w:szCs w:val="18"/>
                <w:lang w:val="sr-Cyrl-CS"/>
              </w:rPr>
            </w:pPr>
          </w:p>
        </w:tc>
        <w:tc>
          <w:tcPr>
            <w:tcW w:w="312"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3283CD61" w14:textId="77777777" w:rsidR="00D210F0" w:rsidRPr="00092ED7" w:rsidRDefault="00D210F0" w:rsidP="00D210F0">
            <w:pPr>
              <w:spacing w:after="0"/>
              <w:rPr>
                <w:rFonts w:cs="Times New Roman"/>
                <w:color w:val="000000"/>
                <w:sz w:val="18"/>
                <w:szCs w:val="18"/>
                <w:lang w:val="sr-Cyrl-CS"/>
              </w:rPr>
            </w:pPr>
          </w:p>
        </w:tc>
      </w:tr>
      <w:tr w:rsidR="00D210F0" w:rsidRPr="00092ED7" w14:paraId="579B7BDD" w14:textId="77777777" w:rsidTr="00B57FE8">
        <w:trPr>
          <w:trHeight w:val="300"/>
        </w:trPr>
        <w:tc>
          <w:tcPr>
            <w:tcW w:w="413" w:type="dxa"/>
            <w:tcBorders>
              <w:top w:val="nil"/>
              <w:left w:val="single" w:sz="8" w:space="0" w:color="auto"/>
              <w:bottom w:val="single" w:sz="4" w:space="0" w:color="auto"/>
              <w:right w:val="single" w:sz="8" w:space="0" w:color="auto"/>
            </w:tcBorders>
            <w:shd w:val="clear" w:color="auto" w:fill="auto"/>
            <w:tcMar>
              <w:top w:w="15" w:type="dxa"/>
              <w:left w:w="15" w:type="dxa"/>
              <w:bottom w:w="0" w:type="dxa"/>
              <w:right w:w="15" w:type="dxa"/>
            </w:tcMar>
          </w:tcPr>
          <w:p w14:paraId="6EB226A2" w14:textId="77777777" w:rsidR="00D210F0" w:rsidRPr="00092ED7" w:rsidRDefault="00D210F0" w:rsidP="00D210F0">
            <w:pPr>
              <w:spacing w:after="0"/>
              <w:jc w:val="center"/>
              <w:rPr>
                <w:rFonts w:cs="Times New Roman"/>
                <w:sz w:val="20"/>
                <w:szCs w:val="20"/>
                <w:lang w:val="sr-Cyrl-CS"/>
              </w:rPr>
            </w:pPr>
            <w:r w:rsidRPr="00092ED7">
              <w:rPr>
                <w:rFonts w:cs="Times New Roman"/>
                <w:sz w:val="20"/>
                <w:szCs w:val="20"/>
                <w:lang w:val="sr-Cyrl-CS"/>
              </w:rPr>
              <w:t>4.</w:t>
            </w:r>
          </w:p>
        </w:tc>
        <w:tc>
          <w:tcPr>
            <w:tcW w:w="4397" w:type="dxa"/>
            <w:tcBorders>
              <w:top w:val="nil"/>
              <w:left w:val="nil"/>
              <w:bottom w:val="single" w:sz="4" w:space="0" w:color="auto"/>
              <w:right w:val="nil"/>
            </w:tcBorders>
            <w:shd w:val="clear" w:color="auto" w:fill="auto"/>
            <w:tcMar>
              <w:top w:w="15" w:type="dxa"/>
              <w:left w:w="15" w:type="dxa"/>
              <w:bottom w:w="0" w:type="dxa"/>
              <w:right w:w="15" w:type="dxa"/>
            </w:tcMar>
          </w:tcPr>
          <w:p w14:paraId="438116C7" w14:textId="77777777" w:rsidR="00D210F0" w:rsidRPr="00092ED7" w:rsidRDefault="00D210F0" w:rsidP="00D210F0">
            <w:pPr>
              <w:spacing w:after="0"/>
              <w:ind w:right="209"/>
              <w:rPr>
                <w:rFonts w:eastAsia="Calibri" w:cs="Times New Roman"/>
                <w:sz w:val="20"/>
                <w:szCs w:val="20"/>
                <w:lang w:val="sr-Cyrl-CS"/>
              </w:rPr>
            </w:pPr>
            <w:r w:rsidRPr="00092ED7">
              <w:rPr>
                <w:rFonts w:eastAsia="Calibri" w:cs="Times New Roman"/>
                <w:sz w:val="20"/>
                <w:szCs w:val="20"/>
                <w:lang w:val="sr-Cyrl-CS"/>
              </w:rPr>
              <w:t xml:space="preserve">АП ЗРТ – </w:t>
            </w:r>
            <w:r w:rsidR="00E63AE6" w:rsidRPr="00092ED7">
              <w:rPr>
                <w:bCs/>
                <w:sz w:val="20"/>
                <w:szCs w:val="20"/>
                <w:lang w:val="sr-Cyrl-CS"/>
              </w:rPr>
              <w:t>CEFTA</w:t>
            </w:r>
            <w:r w:rsidRPr="00092ED7">
              <w:rPr>
                <w:rFonts w:eastAsia="Calibri" w:cs="Times New Roman"/>
                <w:sz w:val="20"/>
                <w:szCs w:val="20"/>
                <w:lang w:val="sr-Cyrl-CS"/>
              </w:rPr>
              <w:t>: Усвајање и имплементација Додатног протокола 7 о решавању спорова</w:t>
            </w:r>
          </w:p>
        </w:tc>
        <w:tc>
          <w:tcPr>
            <w:tcW w:w="363" w:type="dxa"/>
            <w:tcBorders>
              <w:top w:val="nil"/>
              <w:left w:val="single" w:sz="8"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A53A8EF" w14:textId="77777777" w:rsidR="00D210F0" w:rsidRPr="00092ED7" w:rsidRDefault="00D210F0" w:rsidP="00D210F0">
            <w:pPr>
              <w:spacing w:after="0"/>
              <w:rPr>
                <w:rFonts w:cs="Times New Roman"/>
                <w:color w:val="000000"/>
                <w:sz w:val="20"/>
                <w:szCs w:val="20"/>
                <w:lang w:val="sr-Cyrl-CS"/>
              </w:rPr>
            </w:pPr>
          </w:p>
        </w:tc>
        <w:tc>
          <w:tcPr>
            <w:tcW w:w="364"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0684AE19" w14:textId="77777777" w:rsidR="00D210F0" w:rsidRPr="00092ED7" w:rsidRDefault="00D210F0" w:rsidP="00D210F0">
            <w:pPr>
              <w:spacing w:after="0"/>
              <w:rPr>
                <w:rFonts w:cs="Times New Roman"/>
                <w:color w:val="000000"/>
                <w:sz w:val="20"/>
                <w:szCs w:val="20"/>
                <w:lang w:val="sr-Cyrl-CS"/>
              </w:rPr>
            </w:pPr>
          </w:p>
        </w:tc>
        <w:tc>
          <w:tcPr>
            <w:tcW w:w="36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2B179D52" w14:textId="77777777" w:rsidR="00D210F0" w:rsidRPr="00092ED7" w:rsidRDefault="00D210F0" w:rsidP="00D210F0">
            <w:pPr>
              <w:spacing w:after="0"/>
              <w:rPr>
                <w:rFonts w:cs="Times New Roman"/>
                <w:color w:val="000000"/>
                <w:sz w:val="20"/>
                <w:szCs w:val="20"/>
                <w:lang w:val="sr-Cyrl-CS"/>
              </w:rPr>
            </w:pPr>
          </w:p>
        </w:tc>
        <w:tc>
          <w:tcPr>
            <w:tcW w:w="367"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43FB1B05" w14:textId="77777777" w:rsidR="00D210F0" w:rsidRPr="00092ED7" w:rsidRDefault="00D210F0" w:rsidP="00D210F0">
            <w:pPr>
              <w:spacing w:after="0"/>
              <w:rPr>
                <w:rFonts w:cs="Times New Roman"/>
                <w:color w:val="000000"/>
                <w:sz w:val="20"/>
                <w:szCs w:val="20"/>
                <w:lang w:val="sr-Cyrl-CS"/>
              </w:rPr>
            </w:pPr>
          </w:p>
        </w:tc>
        <w:tc>
          <w:tcPr>
            <w:tcW w:w="36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3486C8E" w14:textId="77777777" w:rsidR="00D210F0" w:rsidRPr="00092ED7" w:rsidRDefault="00D210F0" w:rsidP="00D210F0">
            <w:pPr>
              <w:spacing w:after="0"/>
              <w:rPr>
                <w:rFonts w:cs="Times New Roman"/>
                <w:color w:val="000000"/>
                <w:sz w:val="20"/>
                <w:szCs w:val="20"/>
                <w:lang w:val="sr-Cyrl-CS"/>
              </w:rPr>
            </w:pPr>
          </w:p>
        </w:tc>
        <w:tc>
          <w:tcPr>
            <w:tcW w:w="364"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C793FFA" w14:textId="77777777" w:rsidR="00D210F0" w:rsidRPr="00092ED7" w:rsidRDefault="00D210F0" w:rsidP="00D210F0">
            <w:pPr>
              <w:spacing w:after="0"/>
              <w:rPr>
                <w:rFonts w:cs="Times New Roman"/>
                <w:color w:val="000000"/>
                <w:sz w:val="20"/>
                <w:szCs w:val="20"/>
                <w:lang w:val="sr-Cyrl-CS"/>
              </w:rPr>
            </w:pPr>
          </w:p>
        </w:tc>
        <w:tc>
          <w:tcPr>
            <w:tcW w:w="364"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32984319" w14:textId="77777777" w:rsidR="00D210F0" w:rsidRPr="00092ED7" w:rsidRDefault="00D210F0" w:rsidP="00D210F0">
            <w:pPr>
              <w:spacing w:after="0"/>
              <w:rPr>
                <w:rFonts w:cs="Times New Roman"/>
                <w:color w:val="000000"/>
                <w:sz w:val="20"/>
                <w:szCs w:val="20"/>
                <w:lang w:val="sr-Cyrl-CS"/>
              </w:rPr>
            </w:pPr>
          </w:p>
        </w:tc>
        <w:tc>
          <w:tcPr>
            <w:tcW w:w="368"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1652D16E" w14:textId="77777777" w:rsidR="00D210F0" w:rsidRPr="00092ED7" w:rsidRDefault="00D210F0" w:rsidP="00D210F0">
            <w:pPr>
              <w:spacing w:after="0"/>
              <w:rPr>
                <w:rFonts w:cs="Times New Roman"/>
                <w:color w:val="000000"/>
                <w:sz w:val="18"/>
                <w:szCs w:val="18"/>
                <w:lang w:val="sr-Cyrl-CS"/>
              </w:rPr>
            </w:pPr>
          </w:p>
        </w:tc>
        <w:tc>
          <w:tcPr>
            <w:tcW w:w="366"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0239170C" w14:textId="77777777" w:rsidR="00D210F0" w:rsidRPr="00092ED7" w:rsidRDefault="00D210F0" w:rsidP="00D210F0">
            <w:pPr>
              <w:spacing w:after="0"/>
              <w:rPr>
                <w:rFonts w:cs="Times New Roman"/>
                <w:color w:val="000000"/>
                <w:sz w:val="18"/>
                <w:szCs w:val="18"/>
                <w:lang w:val="sr-Cyrl-CS"/>
              </w:rPr>
            </w:pPr>
          </w:p>
        </w:tc>
        <w:tc>
          <w:tcPr>
            <w:tcW w:w="36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335CFAB" w14:textId="77777777" w:rsidR="00D210F0" w:rsidRPr="00092ED7" w:rsidRDefault="00D210F0" w:rsidP="00D210F0">
            <w:pPr>
              <w:spacing w:after="0"/>
              <w:rPr>
                <w:rFonts w:cs="Times New Roman"/>
                <w:color w:val="000000"/>
                <w:sz w:val="18"/>
                <w:szCs w:val="18"/>
                <w:lang w:val="sr-Cyrl-CS"/>
              </w:rPr>
            </w:pPr>
          </w:p>
        </w:tc>
        <w:tc>
          <w:tcPr>
            <w:tcW w:w="364"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226CC8B0" w14:textId="77777777" w:rsidR="00D210F0" w:rsidRPr="00092ED7" w:rsidRDefault="00D210F0" w:rsidP="00D210F0">
            <w:pPr>
              <w:spacing w:after="0"/>
              <w:rPr>
                <w:rFonts w:cs="Times New Roman"/>
                <w:color w:val="000000"/>
                <w:sz w:val="18"/>
                <w:szCs w:val="18"/>
                <w:lang w:val="sr-Cyrl-CS"/>
              </w:rPr>
            </w:pPr>
          </w:p>
        </w:tc>
        <w:tc>
          <w:tcPr>
            <w:tcW w:w="312"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425BD231" w14:textId="77777777" w:rsidR="00D210F0" w:rsidRPr="00092ED7" w:rsidRDefault="00D210F0" w:rsidP="00D210F0">
            <w:pPr>
              <w:spacing w:after="0"/>
              <w:rPr>
                <w:rFonts w:cs="Times New Roman"/>
                <w:color w:val="000000"/>
                <w:sz w:val="18"/>
                <w:szCs w:val="18"/>
                <w:lang w:val="sr-Cyrl-CS"/>
              </w:rPr>
            </w:pPr>
          </w:p>
        </w:tc>
      </w:tr>
      <w:tr w:rsidR="00D210F0" w:rsidRPr="00092ED7" w14:paraId="12AEB064" w14:textId="77777777" w:rsidTr="00B57FE8">
        <w:trPr>
          <w:trHeight w:val="300"/>
        </w:trPr>
        <w:tc>
          <w:tcPr>
            <w:tcW w:w="413" w:type="dxa"/>
            <w:tcBorders>
              <w:top w:val="single" w:sz="4" w:space="0" w:color="auto"/>
              <w:left w:val="single" w:sz="8" w:space="0" w:color="auto"/>
              <w:bottom w:val="single" w:sz="4" w:space="0" w:color="auto"/>
              <w:right w:val="single" w:sz="8" w:space="0" w:color="auto"/>
            </w:tcBorders>
            <w:shd w:val="clear" w:color="auto" w:fill="auto"/>
            <w:tcMar>
              <w:top w:w="15" w:type="dxa"/>
              <w:left w:w="15" w:type="dxa"/>
              <w:bottom w:w="0" w:type="dxa"/>
              <w:right w:w="15" w:type="dxa"/>
            </w:tcMar>
          </w:tcPr>
          <w:p w14:paraId="02EBB3DE" w14:textId="77777777" w:rsidR="00D210F0" w:rsidRPr="00092ED7" w:rsidRDefault="00D210F0" w:rsidP="00D210F0">
            <w:pPr>
              <w:spacing w:after="0"/>
              <w:jc w:val="center"/>
              <w:rPr>
                <w:rFonts w:cs="Times New Roman"/>
                <w:sz w:val="20"/>
                <w:szCs w:val="20"/>
                <w:lang w:val="sr-Cyrl-CS"/>
              </w:rPr>
            </w:pPr>
            <w:r w:rsidRPr="00092ED7">
              <w:rPr>
                <w:rFonts w:cs="Times New Roman"/>
                <w:sz w:val="20"/>
                <w:szCs w:val="20"/>
                <w:lang w:val="sr-Cyrl-CS"/>
              </w:rPr>
              <w:t>5.</w:t>
            </w:r>
          </w:p>
        </w:tc>
        <w:tc>
          <w:tcPr>
            <w:tcW w:w="4397" w:type="dxa"/>
            <w:tcBorders>
              <w:top w:val="single" w:sz="4" w:space="0" w:color="auto"/>
              <w:left w:val="nil"/>
              <w:bottom w:val="single" w:sz="4" w:space="0" w:color="auto"/>
              <w:right w:val="single" w:sz="8" w:space="0" w:color="auto"/>
            </w:tcBorders>
            <w:shd w:val="clear" w:color="auto" w:fill="auto"/>
            <w:noWrap/>
            <w:tcMar>
              <w:top w:w="15" w:type="dxa"/>
              <w:left w:w="15" w:type="dxa"/>
              <w:bottom w:w="0" w:type="dxa"/>
              <w:right w:w="15" w:type="dxa"/>
            </w:tcMar>
          </w:tcPr>
          <w:p w14:paraId="275FF250" w14:textId="77777777" w:rsidR="00D210F0" w:rsidRPr="00092ED7" w:rsidRDefault="00D210F0" w:rsidP="00D210F0">
            <w:pPr>
              <w:spacing w:after="0"/>
              <w:ind w:right="209"/>
              <w:rPr>
                <w:rFonts w:cs="Times New Roman"/>
                <w:sz w:val="20"/>
                <w:szCs w:val="20"/>
                <w:lang w:val="sr-Cyrl-CS"/>
              </w:rPr>
            </w:pPr>
            <w:r w:rsidRPr="00092ED7">
              <w:rPr>
                <w:rFonts w:cs="Times New Roman"/>
                <w:sz w:val="20"/>
                <w:szCs w:val="20"/>
                <w:lang w:val="sr-Cyrl-CS"/>
              </w:rPr>
              <w:t>Спровођење активности дефинисаних Акционим плановима за 2022</w:t>
            </w:r>
            <w:r w:rsidR="00E63AE6" w:rsidRPr="00092ED7">
              <w:rPr>
                <w:rFonts w:cs="Times New Roman"/>
                <w:sz w:val="20"/>
                <w:szCs w:val="20"/>
                <w:lang w:val="sr-Cyrl-CS"/>
              </w:rPr>
              <w:t>.</w:t>
            </w:r>
            <w:r w:rsidRPr="00092ED7">
              <w:rPr>
                <w:rFonts w:cs="Times New Roman"/>
                <w:sz w:val="20"/>
                <w:szCs w:val="20"/>
                <w:lang w:val="sr-Cyrl-CS"/>
              </w:rPr>
              <w:t xml:space="preserve"> и 2023</w:t>
            </w:r>
            <w:r w:rsidR="00E63AE6" w:rsidRPr="00092ED7">
              <w:rPr>
                <w:rFonts w:cs="Times New Roman"/>
                <w:sz w:val="20"/>
                <w:szCs w:val="20"/>
                <w:lang w:val="sr-Cyrl-CS"/>
              </w:rPr>
              <w:t>.</w:t>
            </w:r>
            <w:r w:rsidRPr="00092ED7">
              <w:rPr>
                <w:rFonts w:cs="Times New Roman"/>
                <w:sz w:val="20"/>
                <w:szCs w:val="20"/>
                <w:lang w:val="sr-Cyrl-CS"/>
              </w:rPr>
              <w:t xml:space="preserve"> у оквиру НКТОТ и усвајање Акционих планова НКТОТ за 2024</w:t>
            </w:r>
            <w:r w:rsidR="00CB66AD" w:rsidRPr="00092ED7">
              <w:rPr>
                <w:rFonts w:cs="Times New Roman"/>
                <w:sz w:val="20"/>
                <w:szCs w:val="20"/>
                <w:lang w:val="sr-Cyrl-CS"/>
              </w:rPr>
              <w:t>.</w:t>
            </w:r>
            <w:r w:rsidRPr="00092ED7">
              <w:rPr>
                <w:rFonts w:cs="Times New Roman"/>
                <w:sz w:val="20"/>
                <w:szCs w:val="20"/>
                <w:lang w:val="sr-Cyrl-CS"/>
              </w:rPr>
              <w:t xml:space="preserve"> и 2025. и њихово спровођењe</w:t>
            </w:r>
          </w:p>
        </w:tc>
        <w:tc>
          <w:tcPr>
            <w:tcW w:w="36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26DFB66A" w14:textId="77777777" w:rsidR="00D210F0" w:rsidRPr="00092ED7" w:rsidRDefault="00D210F0" w:rsidP="00D210F0">
            <w:pPr>
              <w:spacing w:after="0"/>
              <w:rPr>
                <w:rFonts w:cs="Times New Roman"/>
                <w:color w:val="000000"/>
                <w:sz w:val="20"/>
                <w:szCs w:val="20"/>
                <w:lang w:val="sr-Cyrl-CS"/>
              </w:rPr>
            </w:pPr>
          </w:p>
        </w:tc>
        <w:tc>
          <w:tcPr>
            <w:tcW w:w="364"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F65D8B2" w14:textId="77777777" w:rsidR="00D210F0" w:rsidRPr="00092ED7" w:rsidRDefault="00D210F0" w:rsidP="00D210F0">
            <w:pPr>
              <w:spacing w:after="0"/>
              <w:rPr>
                <w:rFonts w:cs="Times New Roman"/>
                <w:color w:val="000000"/>
                <w:sz w:val="20"/>
                <w:szCs w:val="20"/>
                <w:lang w:val="sr-Cyrl-CS"/>
              </w:rPr>
            </w:pPr>
          </w:p>
        </w:tc>
        <w:tc>
          <w:tcPr>
            <w:tcW w:w="36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31371CDA" w14:textId="77777777" w:rsidR="00D210F0" w:rsidRPr="00092ED7" w:rsidRDefault="00D210F0" w:rsidP="00D210F0">
            <w:pPr>
              <w:spacing w:after="0"/>
              <w:rPr>
                <w:rFonts w:cs="Times New Roman"/>
                <w:color w:val="000000"/>
                <w:sz w:val="20"/>
                <w:szCs w:val="20"/>
                <w:lang w:val="sr-Cyrl-CS"/>
              </w:rPr>
            </w:pPr>
          </w:p>
        </w:tc>
        <w:tc>
          <w:tcPr>
            <w:tcW w:w="367"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2A5A9829" w14:textId="77777777" w:rsidR="00D210F0" w:rsidRPr="00092ED7" w:rsidRDefault="00D210F0" w:rsidP="00D210F0">
            <w:pPr>
              <w:spacing w:after="0"/>
              <w:rPr>
                <w:rFonts w:cs="Times New Roman"/>
                <w:color w:val="000000"/>
                <w:sz w:val="20"/>
                <w:szCs w:val="20"/>
                <w:lang w:val="sr-Cyrl-CS"/>
              </w:rPr>
            </w:pPr>
          </w:p>
        </w:tc>
        <w:tc>
          <w:tcPr>
            <w:tcW w:w="36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08C22E0" w14:textId="77777777" w:rsidR="00D210F0" w:rsidRPr="00092ED7" w:rsidRDefault="00D210F0" w:rsidP="00D210F0">
            <w:pPr>
              <w:spacing w:after="0"/>
              <w:rPr>
                <w:rFonts w:cs="Times New Roman"/>
                <w:color w:val="000000"/>
                <w:sz w:val="20"/>
                <w:szCs w:val="20"/>
                <w:lang w:val="sr-Cyrl-CS"/>
              </w:rPr>
            </w:pPr>
          </w:p>
        </w:tc>
        <w:tc>
          <w:tcPr>
            <w:tcW w:w="364"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B22DE3D" w14:textId="77777777" w:rsidR="00D210F0" w:rsidRPr="00092ED7" w:rsidRDefault="00D210F0" w:rsidP="00D210F0">
            <w:pPr>
              <w:spacing w:after="0"/>
              <w:rPr>
                <w:rFonts w:cs="Times New Roman"/>
                <w:color w:val="000000"/>
                <w:sz w:val="20"/>
                <w:szCs w:val="20"/>
                <w:lang w:val="sr-Cyrl-CS"/>
              </w:rPr>
            </w:pPr>
          </w:p>
        </w:tc>
        <w:tc>
          <w:tcPr>
            <w:tcW w:w="364"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3B4B589" w14:textId="77777777" w:rsidR="00D210F0" w:rsidRPr="00092ED7" w:rsidRDefault="00D210F0" w:rsidP="00D210F0">
            <w:pPr>
              <w:spacing w:after="0"/>
              <w:rPr>
                <w:rFonts w:cs="Times New Roman"/>
                <w:color w:val="000000"/>
                <w:sz w:val="20"/>
                <w:szCs w:val="20"/>
                <w:lang w:val="sr-Cyrl-CS"/>
              </w:rPr>
            </w:pPr>
          </w:p>
        </w:tc>
        <w:tc>
          <w:tcPr>
            <w:tcW w:w="368"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16A5076A" w14:textId="77777777" w:rsidR="00D210F0" w:rsidRPr="00092ED7" w:rsidRDefault="00D210F0" w:rsidP="00D210F0">
            <w:pPr>
              <w:spacing w:after="0"/>
              <w:rPr>
                <w:rFonts w:cs="Times New Roman"/>
                <w:color w:val="000000"/>
                <w:sz w:val="18"/>
                <w:szCs w:val="18"/>
                <w:lang w:val="sr-Cyrl-CS"/>
              </w:rPr>
            </w:pPr>
          </w:p>
        </w:tc>
        <w:tc>
          <w:tcPr>
            <w:tcW w:w="366"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41A1B4A" w14:textId="77777777" w:rsidR="00D210F0" w:rsidRPr="00092ED7" w:rsidRDefault="00D210F0" w:rsidP="00D210F0">
            <w:pPr>
              <w:spacing w:after="0"/>
              <w:rPr>
                <w:rFonts w:cs="Times New Roman"/>
                <w:color w:val="000000"/>
                <w:sz w:val="18"/>
                <w:szCs w:val="18"/>
                <w:lang w:val="sr-Cyrl-CS"/>
              </w:rPr>
            </w:pPr>
          </w:p>
        </w:tc>
        <w:tc>
          <w:tcPr>
            <w:tcW w:w="36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0895BF0D" w14:textId="77777777" w:rsidR="00D210F0" w:rsidRPr="00092ED7" w:rsidRDefault="00D210F0" w:rsidP="00D210F0">
            <w:pPr>
              <w:spacing w:after="0"/>
              <w:rPr>
                <w:rFonts w:cs="Times New Roman"/>
                <w:color w:val="000000"/>
                <w:sz w:val="18"/>
                <w:szCs w:val="18"/>
                <w:lang w:val="sr-Cyrl-CS"/>
              </w:rPr>
            </w:pPr>
          </w:p>
        </w:tc>
        <w:tc>
          <w:tcPr>
            <w:tcW w:w="364"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3CF0F0A" w14:textId="77777777" w:rsidR="00D210F0" w:rsidRPr="00092ED7" w:rsidRDefault="00D210F0" w:rsidP="00D210F0">
            <w:pPr>
              <w:spacing w:after="0"/>
              <w:rPr>
                <w:rFonts w:cs="Times New Roman"/>
                <w:color w:val="000000"/>
                <w:sz w:val="18"/>
                <w:szCs w:val="18"/>
                <w:lang w:val="sr-Cyrl-CS"/>
              </w:rPr>
            </w:pPr>
          </w:p>
        </w:tc>
        <w:tc>
          <w:tcPr>
            <w:tcW w:w="312"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6980F11C" w14:textId="77777777" w:rsidR="00D210F0" w:rsidRPr="00092ED7" w:rsidRDefault="00D210F0" w:rsidP="00D210F0">
            <w:pPr>
              <w:spacing w:after="0"/>
              <w:rPr>
                <w:rFonts w:cs="Times New Roman"/>
                <w:color w:val="000000"/>
                <w:sz w:val="18"/>
                <w:szCs w:val="18"/>
                <w:lang w:val="sr-Cyrl-CS"/>
              </w:rPr>
            </w:pPr>
          </w:p>
        </w:tc>
      </w:tr>
    </w:tbl>
    <w:p w14:paraId="52B1B169" w14:textId="77777777" w:rsidR="00D210F0" w:rsidRPr="00092ED7" w:rsidRDefault="00D210F0" w:rsidP="00071952">
      <w:pPr>
        <w:widowControl w:val="0"/>
        <w:numPr>
          <w:ilvl w:val="0"/>
          <w:numId w:val="34"/>
        </w:numPr>
        <w:spacing w:before="120"/>
        <w:ind w:left="425" w:hanging="425"/>
        <w:rPr>
          <w:rFonts w:cs="Times New Roman"/>
          <w:b/>
          <w:bCs/>
          <w:szCs w:val="24"/>
          <w:lang w:val="sr-Cyrl-CS"/>
        </w:rPr>
      </w:pPr>
      <w:r w:rsidRPr="00092ED7">
        <w:rPr>
          <w:rFonts w:cs="Times New Roman"/>
          <w:b/>
          <w:bCs/>
          <w:szCs w:val="24"/>
          <w:lang w:val="sr-Cyrl-CS"/>
        </w:rPr>
        <w:t>Индикатори ризика</w:t>
      </w:r>
    </w:p>
    <w:tbl>
      <w:tblPr>
        <w:tblStyle w:val="TableGrid"/>
        <w:tblW w:w="9072" w:type="dxa"/>
        <w:tblInd w:w="-5" w:type="dxa"/>
        <w:tblLayout w:type="fixed"/>
        <w:tblLook w:val="04A0" w:firstRow="1" w:lastRow="0" w:firstColumn="1" w:lastColumn="0" w:noHBand="0" w:noVBand="1"/>
      </w:tblPr>
      <w:tblGrid>
        <w:gridCol w:w="3685"/>
        <w:gridCol w:w="1795"/>
        <w:gridCol w:w="1796"/>
        <w:gridCol w:w="1796"/>
      </w:tblGrid>
      <w:tr w:rsidR="00D210F0" w:rsidRPr="00092ED7" w14:paraId="3F0B99BB" w14:textId="77777777" w:rsidTr="00B57FE8">
        <w:trPr>
          <w:cnfStyle w:val="100000000000" w:firstRow="1" w:lastRow="0" w:firstColumn="0" w:lastColumn="0" w:oddVBand="0" w:evenVBand="0" w:oddHBand="0" w:evenHBand="0" w:firstRowFirstColumn="0" w:firstRowLastColumn="0" w:lastRowFirstColumn="0" w:lastRowLastColumn="0"/>
        </w:trPr>
        <w:tc>
          <w:tcPr>
            <w:tcW w:w="3685" w:type="dxa"/>
            <w:tcBorders>
              <w:top w:val="single" w:sz="4" w:space="0" w:color="auto"/>
              <w:left w:val="single" w:sz="4" w:space="0" w:color="auto"/>
              <w:bottom w:val="single" w:sz="4" w:space="0" w:color="auto"/>
              <w:right w:val="single" w:sz="4" w:space="0" w:color="auto"/>
            </w:tcBorders>
            <w:hideMark/>
          </w:tcPr>
          <w:p w14:paraId="05EFF51F" w14:textId="77777777" w:rsidR="00D210F0" w:rsidRPr="00092ED7" w:rsidRDefault="00D210F0" w:rsidP="00B57FE8">
            <w:pPr>
              <w:spacing w:before="0" w:after="0"/>
              <w:ind w:left="113" w:right="113"/>
              <w:jc w:val="center"/>
              <w:rPr>
                <w:rFonts w:cs="Times New Roman"/>
                <w:b w:val="0"/>
                <w:sz w:val="20"/>
                <w:lang w:val="sr-Cyrl-CS"/>
              </w:rPr>
            </w:pPr>
            <w:r w:rsidRPr="00092ED7">
              <w:rPr>
                <w:rFonts w:cs="Times New Roman"/>
                <w:sz w:val="20"/>
                <w:lang w:val="sr-Cyrl-CS"/>
              </w:rPr>
              <w:t>Показатељ</w:t>
            </w:r>
          </w:p>
        </w:tc>
        <w:tc>
          <w:tcPr>
            <w:tcW w:w="1795" w:type="dxa"/>
            <w:tcBorders>
              <w:top w:val="single" w:sz="4" w:space="0" w:color="auto"/>
              <w:left w:val="single" w:sz="4" w:space="0" w:color="auto"/>
              <w:bottom w:val="single" w:sz="4" w:space="0" w:color="auto"/>
              <w:right w:val="single" w:sz="4" w:space="0" w:color="auto"/>
            </w:tcBorders>
            <w:hideMark/>
          </w:tcPr>
          <w:p w14:paraId="619B4FEC" w14:textId="77777777" w:rsidR="00D210F0" w:rsidRPr="00092ED7" w:rsidRDefault="00D210F0" w:rsidP="00B57FE8">
            <w:pPr>
              <w:spacing w:before="0" w:after="0"/>
              <w:ind w:left="113" w:right="113"/>
              <w:jc w:val="center"/>
              <w:rPr>
                <w:rFonts w:cs="Times New Roman"/>
                <w:b w:val="0"/>
                <w:sz w:val="20"/>
                <w:lang w:val="sr-Cyrl-CS"/>
              </w:rPr>
            </w:pPr>
            <w:r w:rsidRPr="00092ED7">
              <w:rPr>
                <w:rFonts w:cs="Times New Roman"/>
                <w:sz w:val="20"/>
                <w:lang w:val="sr-Cyrl-CS"/>
              </w:rPr>
              <w:t>Почетна вредност (2019)</w:t>
            </w:r>
          </w:p>
        </w:tc>
        <w:tc>
          <w:tcPr>
            <w:tcW w:w="1796" w:type="dxa"/>
            <w:tcBorders>
              <w:top w:val="single" w:sz="4" w:space="0" w:color="auto"/>
              <w:left w:val="single" w:sz="4" w:space="0" w:color="auto"/>
              <w:bottom w:val="single" w:sz="4" w:space="0" w:color="auto"/>
              <w:right w:val="single" w:sz="4" w:space="0" w:color="auto"/>
            </w:tcBorders>
            <w:hideMark/>
          </w:tcPr>
          <w:p w14:paraId="1E55EA47" w14:textId="77777777" w:rsidR="00D210F0" w:rsidRPr="00092ED7" w:rsidRDefault="00D210F0" w:rsidP="00B57FE8">
            <w:pPr>
              <w:spacing w:before="0" w:after="0"/>
              <w:ind w:left="113" w:right="113"/>
              <w:jc w:val="center"/>
              <w:rPr>
                <w:rFonts w:cs="Times New Roman"/>
                <w:b w:val="0"/>
                <w:sz w:val="20"/>
                <w:lang w:val="sr-Cyrl-CS"/>
              </w:rPr>
            </w:pPr>
            <w:r w:rsidRPr="00092ED7">
              <w:rPr>
                <w:rFonts w:cs="Times New Roman"/>
                <w:sz w:val="20"/>
                <w:lang w:val="sr-Cyrl-CS"/>
              </w:rPr>
              <w:t>Међурезултат (2022)</w:t>
            </w:r>
          </w:p>
        </w:tc>
        <w:tc>
          <w:tcPr>
            <w:tcW w:w="1796" w:type="dxa"/>
            <w:tcBorders>
              <w:top w:val="single" w:sz="4" w:space="0" w:color="auto"/>
              <w:left w:val="single" w:sz="4" w:space="0" w:color="auto"/>
              <w:bottom w:val="single" w:sz="4" w:space="0" w:color="auto"/>
              <w:right w:val="single" w:sz="4" w:space="0" w:color="auto"/>
            </w:tcBorders>
            <w:hideMark/>
          </w:tcPr>
          <w:p w14:paraId="61095B97" w14:textId="77777777" w:rsidR="00D210F0" w:rsidRPr="00092ED7" w:rsidRDefault="00D210F0" w:rsidP="00B57FE8">
            <w:pPr>
              <w:spacing w:before="0" w:after="0"/>
              <w:ind w:left="113" w:right="113"/>
              <w:jc w:val="center"/>
              <w:rPr>
                <w:rFonts w:cs="Times New Roman"/>
                <w:b w:val="0"/>
                <w:sz w:val="20"/>
                <w:lang w:val="sr-Cyrl-CS"/>
              </w:rPr>
            </w:pPr>
            <w:r w:rsidRPr="00092ED7">
              <w:rPr>
                <w:rFonts w:cs="Times New Roman"/>
                <w:sz w:val="20"/>
                <w:lang w:val="sr-Cyrl-CS"/>
              </w:rPr>
              <w:t>Циљна вредност (2025)</w:t>
            </w:r>
          </w:p>
        </w:tc>
      </w:tr>
      <w:tr w:rsidR="00D210F0" w:rsidRPr="00092ED7" w14:paraId="02A114C7" w14:textId="77777777" w:rsidTr="00B57FE8">
        <w:tc>
          <w:tcPr>
            <w:tcW w:w="3685" w:type="dxa"/>
            <w:tcBorders>
              <w:top w:val="single" w:sz="4" w:space="0" w:color="auto"/>
              <w:left w:val="single" w:sz="4" w:space="0" w:color="auto"/>
              <w:bottom w:val="single" w:sz="4" w:space="0" w:color="auto"/>
              <w:right w:val="single" w:sz="4" w:space="0" w:color="auto"/>
            </w:tcBorders>
            <w:hideMark/>
          </w:tcPr>
          <w:p w14:paraId="3B1567A9" w14:textId="14E0313D" w:rsidR="00D210F0" w:rsidRPr="00092ED7" w:rsidRDefault="00870CB7" w:rsidP="00B57FE8">
            <w:pPr>
              <w:spacing w:before="0" w:after="0"/>
              <w:ind w:left="113" w:right="113"/>
              <w:rPr>
                <w:rFonts w:cs="Times New Roman"/>
                <w:bCs/>
                <w:sz w:val="20"/>
                <w:lang w:val="sr-Cyrl-CS"/>
              </w:rPr>
            </w:pPr>
            <w:r w:rsidRPr="00092ED7">
              <w:rPr>
                <w:rFonts w:cs="Times New Roman"/>
                <w:bCs/>
                <w:sz w:val="20"/>
                <w:lang w:val="sr-Cyrl-CS"/>
              </w:rPr>
              <w:t xml:space="preserve">Обим </w:t>
            </w:r>
            <w:r w:rsidR="00D210F0" w:rsidRPr="00092ED7">
              <w:rPr>
                <w:rFonts w:cs="Times New Roman"/>
                <w:bCs/>
                <w:sz w:val="20"/>
                <w:lang w:val="sr-Cyrl-CS"/>
              </w:rPr>
              <w:t xml:space="preserve">спољне трговине </w:t>
            </w:r>
            <w:r w:rsidR="00AA7059" w:rsidRPr="00092ED7">
              <w:rPr>
                <w:rFonts w:cs="Times New Roman"/>
                <w:bCs/>
                <w:sz w:val="20"/>
                <w:lang w:val="sr-Cyrl-CS"/>
              </w:rPr>
              <w:t xml:space="preserve">Републике </w:t>
            </w:r>
            <w:r w:rsidR="00D210F0" w:rsidRPr="00092ED7">
              <w:rPr>
                <w:rFonts w:cs="Times New Roman"/>
                <w:bCs/>
                <w:sz w:val="20"/>
                <w:lang w:val="sr-Cyrl-CS"/>
              </w:rPr>
              <w:t>Србије – свет</w:t>
            </w:r>
          </w:p>
        </w:tc>
        <w:tc>
          <w:tcPr>
            <w:tcW w:w="1795" w:type="dxa"/>
            <w:tcBorders>
              <w:top w:val="single" w:sz="4" w:space="0" w:color="auto"/>
              <w:left w:val="single" w:sz="4" w:space="0" w:color="auto"/>
              <w:bottom w:val="single" w:sz="4" w:space="0" w:color="auto"/>
              <w:right w:val="single" w:sz="4" w:space="0" w:color="auto"/>
            </w:tcBorders>
            <w:hideMark/>
          </w:tcPr>
          <w:p w14:paraId="3F36983C" w14:textId="77777777" w:rsidR="00D210F0" w:rsidRPr="00092ED7" w:rsidRDefault="00D210F0" w:rsidP="00B57FE8">
            <w:pPr>
              <w:spacing w:before="0" w:after="0"/>
              <w:ind w:left="113" w:right="113"/>
              <w:jc w:val="center"/>
              <w:rPr>
                <w:rFonts w:cs="Times New Roman"/>
                <w:bCs/>
                <w:sz w:val="20"/>
                <w:lang w:val="sr-Cyrl-CS"/>
              </w:rPr>
            </w:pPr>
            <w:r w:rsidRPr="00092ED7">
              <w:rPr>
                <w:rFonts w:cs="Times New Roman"/>
                <w:bCs/>
                <w:sz w:val="20"/>
                <w:lang w:val="sr-Cyrl-CS"/>
              </w:rPr>
              <w:t>41,4 милијарде евра</w:t>
            </w:r>
          </w:p>
        </w:tc>
        <w:tc>
          <w:tcPr>
            <w:tcW w:w="1796" w:type="dxa"/>
            <w:tcBorders>
              <w:top w:val="single" w:sz="4" w:space="0" w:color="auto"/>
              <w:left w:val="single" w:sz="4" w:space="0" w:color="auto"/>
              <w:bottom w:val="single" w:sz="4" w:space="0" w:color="auto"/>
              <w:right w:val="single" w:sz="4" w:space="0" w:color="auto"/>
            </w:tcBorders>
            <w:hideMark/>
          </w:tcPr>
          <w:p w14:paraId="2C7B0778" w14:textId="77777777" w:rsidR="00D210F0" w:rsidRPr="00092ED7" w:rsidRDefault="00D210F0" w:rsidP="00B57FE8">
            <w:pPr>
              <w:spacing w:before="0" w:after="0"/>
              <w:ind w:left="113" w:right="113"/>
              <w:jc w:val="center"/>
              <w:rPr>
                <w:rFonts w:cs="Times New Roman"/>
                <w:bCs/>
                <w:sz w:val="20"/>
                <w:lang w:val="sr-Cyrl-CS"/>
              </w:rPr>
            </w:pPr>
            <w:r w:rsidRPr="00092ED7">
              <w:rPr>
                <w:rFonts w:cs="Times New Roman"/>
                <w:bCs/>
                <w:sz w:val="20"/>
                <w:lang w:val="sr-Cyrl-CS"/>
              </w:rPr>
              <w:t>62 милијарде евра</w:t>
            </w:r>
            <w:r w:rsidRPr="00092ED7">
              <w:rPr>
                <w:rFonts w:cs="Times New Roman"/>
                <w:bCs/>
                <w:sz w:val="20"/>
                <w:vertAlign w:val="superscript"/>
                <w:lang w:val="sr-Cyrl-CS"/>
              </w:rPr>
              <w:footnoteReference w:id="144"/>
            </w:r>
          </w:p>
        </w:tc>
        <w:tc>
          <w:tcPr>
            <w:tcW w:w="1796" w:type="dxa"/>
            <w:tcBorders>
              <w:top w:val="single" w:sz="4" w:space="0" w:color="auto"/>
              <w:left w:val="single" w:sz="4" w:space="0" w:color="auto"/>
              <w:bottom w:val="single" w:sz="4" w:space="0" w:color="auto"/>
              <w:right w:val="single" w:sz="4" w:space="0" w:color="auto"/>
            </w:tcBorders>
            <w:hideMark/>
          </w:tcPr>
          <w:p w14:paraId="06DA5FFD" w14:textId="77777777" w:rsidR="00D210F0" w:rsidRPr="00092ED7" w:rsidRDefault="00D210F0" w:rsidP="00B57FE8">
            <w:pPr>
              <w:spacing w:before="0" w:after="0"/>
              <w:ind w:left="113" w:right="113"/>
              <w:jc w:val="center"/>
              <w:rPr>
                <w:rFonts w:cs="Times New Roman"/>
                <w:bCs/>
                <w:sz w:val="20"/>
                <w:lang w:val="sr-Cyrl-CS"/>
              </w:rPr>
            </w:pPr>
            <w:r w:rsidRPr="00092ED7">
              <w:rPr>
                <w:rFonts w:cs="Times New Roman"/>
                <w:bCs/>
                <w:sz w:val="20"/>
                <w:lang w:val="sr-Cyrl-CS"/>
              </w:rPr>
              <w:t>80 милијарди евра</w:t>
            </w:r>
          </w:p>
        </w:tc>
      </w:tr>
      <w:tr w:rsidR="00D210F0" w:rsidRPr="00092ED7" w14:paraId="1D66887C" w14:textId="77777777" w:rsidTr="00B57FE8">
        <w:tc>
          <w:tcPr>
            <w:tcW w:w="3685" w:type="dxa"/>
            <w:tcBorders>
              <w:top w:val="single" w:sz="4" w:space="0" w:color="auto"/>
              <w:left w:val="single" w:sz="4" w:space="0" w:color="auto"/>
              <w:bottom w:val="single" w:sz="4" w:space="0" w:color="auto"/>
              <w:right w:val="single" w:sz="4" w:space="0" w:color="auto"/>
            </w:tcBorders>
            <w:hideMark/>
          </w:tcPr>
          <w:p w14:paraId="78A6BBAE" w14:textId="77777777" w:rsidR="00D210F0" w:rsidRPr="00092ED7" w:rsidRDefault="00D210F0" w:rsidP="00B57FE8">
            <w:pPr>
              <w:spacing w:before="0" w:after="0"/>
              <w:ind w:left="113" w:right="113"/>
              <w:rPr>
                <w:rFonts w:cs="Times New Roman"/>
                <w:b/>
                <w:sz w:val="20"/>
                <w:lang w:val="sr-Cyrl-CS"/>
              </w:rPr>
            </w:pPr>
            <w:r w:rsidRPr="00092ED7">
              <w:rPr>
                <w:rFonts w:cs="Times New Roman"/>
                <w:sz w:val="20"/>
                <w:lang w:val="sr-Cyrl-CS"/>
              </w:rPr>
              <w:t>Оцена о испуњености мера за олакшавање трговине коју је Република Србија добила према УН глобалном прегледу о дигиталном и одрживом олакшавању трговине</w:t>
            </w:r>
            <w:r w:rsidRPr="00092ED7">
              <w:rPr>
                <w:rFonts w:cs="Times New Roman"/>
                <w:sz w:val="20"/>
                <w:vertAlign w:val="superscript"/>
                <w:lang w:val="sr-Cyrl-CS"/>
              </w:rPr>
              <w:footnoteReference w:id="145"/>
            </w:r>
          </w:p>
        </w:tc>
        <w:tc>
          <w:tcPr>
            <w:tcW w:w="1795" w:type="dxa"/>
            <w:tcBorders>
              <w:top w:val="single" w:sz="4" w:space="0" w:color="auto"/>
              <w:left w:val="single" w:sz="4" w:space="0" w:color="auto"/>
              <w:bottom w:val="single" w:sz="4" w:space="0" w:color="auto"/>
              <w:right w:val="single" w:sz="4" w:space="0" w:color="auto"/>
            </w:tcBorders>
            <w:hideMark/>
          </w:tcPr>
          <w:p w14:paraId="2F7AF48E" w14:textId="77777777" w:rsidR="00D210F0" w:rsidRPr="00092ED7" w:rsidRDefault="00D210F0" w:rsidP="00B57FE8">
            <w:pPr>
              <w:spacing w:before="0" w:after="0"/>
              <w:ind w:left="113" w:right="113"/>
              <w:jc w:val="center"/>
              <w:rPr>
                <w:rFonts w:cs="Times New Roman"/>
                <w:bCs/>
                <w:sz w:val="20"/>
                <w:lang w:val="sr-Cyrl-CS"/>
              </w:rPr>
            </w:pPr>
            <w:r w:rsidRPr="00092ED7">
              <w:rPr>
                <w:rFonts w:cs="Times New Roman"/>
                <w:bCs/>
                <w:sz w:val="20"/>
                <w:lang w:val="sr-Cyrl-CS"/>
              </w:rPr>
              <w:t>61,3%</w:t>
            </w:r>
          </w:p>
        </w:tc>
        <w:tc>
          <w:tcPr>
            <w:tcW w:w="1796" w:type="dxa"/>
            <w:tcBorders>
              <w:top w:val="single" w:sz="4" w:space="0" w:color="auto"/>
              <w:left w:val="single" w:sz="4" w:space="0" w:color="auto"/>
              <w:bottom w:val="single" w:sz="4" w:space="0" w:color="auto"/>
              <w:right w:val="single" w:sz="4" w:space="0" w:color="auto"/>
            </w:tcBorders>
            <w:hideMark/>
          </w:tcPr>
          <w:p w14:paraId="1B04BD2F" w14:textId="77777777" w:rsidR="00D210F0" w:rsidRPr="00092ED7" w:rsidRDefault="00D210F0" w:rsidP="00B57FE8">
            <w:pPr>
              <w:spacing w:before="0" w:after="0"/>
              <w:ind w:left="113" w:right="113"/>
              <w:jc w:val="center"/>
              <w:rPr>
                <w:rFonts w:cs="Times New Roman"/>
                <w:bCs/>
                <w:sz w:val="20"/>
                <w:lang w:val="sr-Cyrl-CS"/>
              </w:rPr>
            </w:pPr>
            <w:r w:rsidRPr="00092ED7">
              <w:rPr>
                <w:rFonts w:cs="Times New Roman"/>
                <w:bCs/>
                <w:sz w:val="20"/>
                <w:lang w:val="sr-Cyrl-CS"/>
              </w:rPr>
              <w:t>72,4% (2021)</w:t>
            </w:r>
            <w:r w:rsidRPr="00092ED7">
              <w:rPr>
                <w:rFonts w:cs="Times New Roman"/>
                <w:bCs/>
                <w:sz w:val="20"/>
                <w:vertAlign w:val="superscript"/>
                <w:lang w:val="sr-Cyrl-CS"/>
              </w:rPr>
              <w:footnoteReference w:id="146"/>
            </w:r>
          </w:p>
        </w:tc>
        <w:tc>
          <w:tcPr>
            <w:tcW w:w="1796" w:type="dxa"/>
            <w:tcBorders>
              <w:top w:val="single" w:sz="4" w:space="0" w:color="auto"/>
              <w:left w:val="single" w:sz="4" w:space="0" w:color="auto"/>
              <w:bottom w:val="single" w:sz="4" w:space="0" w:color="auto"/>
              <w:right w:val="single" w:sz="4" w:space="0" w:color="auto"/>
            </w:tcBorders>
            <w:hideMark/>
          </w:tcPr>
          <w:p w14:paraId="1FDA867F" w14:textId="77777777" w:rsidR="00D210F0" w:rsidRPr="00092ED7" w:rsidRDefault="00D210F0" w:rsidP="00B57FE8">
            <w:pPr>
              <w:spacing w:before="0" w:after="0"/>
              <w:ind w:left="113" w:right="113"/>
              <w:jc w:val="center"/>
              <w:rPr>
                <w:rFonts w:cs="Times New Roman"/>
                <w:bCs/>
                <w:sz w:val="20"/>
                <w:lang w:val="sr-Cyrl-CS"/>
              </w:rPr>
            </w:pPr>
            <w:r w:rsidRPr="00092ED7">
              <w:rPr>
                <w:rFonts w:cs="Times New Roman"/>
                <w:bCs/>
                <w:sz w:val="20"/>
                <w:lang w:val="sr-Cyrl-CS"/>
              </w:rPr>
              <w:t>78%</w:t>
            </w:r>
          </w:p>
        </w:tc>
      </w:tr>
    </w:tbl>
    <w:p w14:paraId="018EC86E" w14:textId="77777777" w:rsidR="00D210F0" w:rsidRPr="00092ED7" w:rsidRDefault="00D210F0" w:rsidP="00071952">
      <w:pPr>
        <w:widowControl w:val="0"/>
        <w:numPr>
          <w:ilvl w:val="0"/>
          <w:numId w:val="34"/>
        </w:numPr>
        <w:spacing w:before="120"/>
        <w:ind w:left="425" w:hanging="425"/>
        <w:rPr>
          <w:rFonts w:cs="Times New Roman"/>
          <w:b/>
          <w:bCs/>
          <w:szCs w:val="24"/>
          <w:lang w:val="sr-Cyrl-CS"/>
        </w:rPr>
      </w:pPr>
      <w:r w:rsidRPr="00092ED7">
        <w:rPr>
          <w:b/>
          <w:szCs w:val="24"/>
          <w:lang w:val="sr-Cyrl-CS"/>
        </w:rPr>
        <w:t>Oчекивани утицај на конкурентност</w:t>
      </w:r>
    </w:p>
    <w:p w14:paraId="5DABCD18" w14:textId="77777777" w:rsidR="00D210F0" w:rsidRPr="00092ED7" w:rsidRDefault="00D210F0" w:rsidP="009D4C3F">
      <w:pPr>
        <w:tabs>
          <w:tab w:val="left" w:pos="360"/>
        </w:tabs>
        <w:spacing w:after="60"/>
        <w:rPr>
          <w:rFonts w:cs="Times New Roman"/>
          <w:b/>
          <w:bCs/>
          <w:szCs w:val="24"/>
          <w:lang w:val="sr-Cyrl-CS"/>
        </w:rPr>
      </w:pPr>
      <w:r w:rsidRPr="00092ED7">
        <w:rPr>
          <w:rFonts w:eastAsia="Calibri" w:cs="Times New Roman"/>
          <w:szCs w:val="24"/>
          <w:lang w:val="sr-Cyrl-CS"/>
        </w:rPr>
        <w:t xml:space="preserve">Ступање у чланство СТО, унапређење трговине кроз примену </w:t>
      </w:r>
      <w:r w:rsidR="00E63AE6" w:rsidRPr="00092ED7">
        <w:rPr>
          <w:bCs/>
          <w:szCs w:val="24"/>
          <w:lang w:val="sr-Cyrl-CS"/>
        </w:rPr>
        <w:t>CEFTA</w:t>
      </w:r>
      <w:r w:rsidR="00CB66AD" w:rsidRPr="00092ED7">
        <w:rPr>
          <w:bCs/>
          <w:szCs w:val="24"/>
          <w:lang w:val="sr-Cyrl-CS"/>
        </w:rPr>
        <w:t xml:space="preserve"> </w:t>
      </w:r>
      <w:r w:rsidRPr="00092ED7">
        <w:rPr>
          <w:rFonts w:eastAsia="Calibri" w:cs="Times New Roman"/>
          <w:szCs w:val="24"/>
          <w:lang w:val="sr-Cyrl-CS"/>
        </w:rPr>
        <w:t>додатних протокола, као и активности НКТОТ на плану олакшања трговине имаће значајан утицај на уклањање трговинских баријера, а самим тим и на повећање конкурентности српских предузећа на регионалном тржишту, као и на раст и даљи развој српске економије. Позитиван утицај на конкурентност се огледа, између осталог, и на смањење трошкова обављања спољнотрговинског промета робе, скраћење временског оквира за обављање процедура на граничним прелазима, као и међусобно признавање исправа и наставак усклађивања са ЕУ регулативом у области слободног протока робе.</w:t>
      </w:r>
    </w:p>
    <w:p w14:paraId="22E80736" w14:textId="77777777" w:rsidR="00D210F0" w:rsidRPr="00092ED7" w:rsidRDefault="00D210F0" w:rsidP="00071952">
      <w:pPr>
        <w:widowControl w:val="0"/>
        <w:numPr>
          <w:ilvl w:val="0"/>
          <w:numId w:val="34"/>
        </w:numPr>
        <w:spacing w:before="120"/>
        <w:ind w:left="425" w:hanging="425"/>
        <w:rPr>
          <w:rFonts w:cs="Times New Roman"/>
          <w:b/>
          <w:bCs/>
          <w:szCs w:val="24"/>
          <w:lang w:val="sr-Cyrl-CS"/>
        </w:rPr>
      </w:pPr>
      <w:r w:rsidRPr="00092ED7">
        <w:rPr>
          <w:b/>
          <w:szCs w:val="24"/>
          <w:lang w:val="sr-Cyrl-CS"/>
        </w:rPr>
        <w:t>Процењени трошкови спровођења структурне реформе и предвиђени извори њиховог финансирања</w:t>
      </w:r>
    </w:p>
    <w:p w14:paraId="3A695A5D" w14:textId="77777777" w:rsidR="00D8385F" w:rsidRPr="00092ED7" w:rsidRDefault="00D8385F" w:rsidP="009D4C3F">
      <w:pPr>
        <w:tabs>
          <w:tab w:val="left" w:pos="360"/>
        </w:tabs>
        <w:spacing w:after="60"/>
        <w:rPr>
          <w:rFonts w:eastAsia="Times New Roman" w:cs="Times New Roman"/>
          <w:color w:val="000000"/>
          <w:szCs w:val="24"/>
          <w:lang w:val="sr-Cyrl-CS"/>
        </w:rPr>
      </w:pPr>
      <w:r w:rsidRPr="00092ED7">
        <w:rPr>
          <w:rFonts w:cs="Times New Roman"/>
          <w:szCs w:val="24"/>
          <w:lang w:val="sr-Cyrl-CS"/>
        </w:rPr>
        <w:t xml:space="preserve">Спровођење наведених активности утицало је на буџет само у делу који се односи на повећање броја службеника који се баве овим пословима, у односу на 2019. годину која </w:t>
      </w:r>
      <w:r w:rsidRPr="00092ED7">
        <w:rPr>
          <w:rFonts w:cs="Times New Roman"/>
          <w:szCs w:val="24"/>
          <w:lang w:val="sr-Cyrl-CS"/>
        </w:rPr>
        <w:lastRenderedPageBreak/>
        <w:t xml:space="preserve">се узима као базна година. С тим у вези, планирано је додатно запошљавање два нова службеника у 2020. години и то је испуњено у потпуности. Обезбеђена су додатна средства за помоћ у реализацији планираних активности </w:t>
      </w:r>
      <w:r w:rsidRPr="00092ED7">
        <w:rPr>
          <w:rFonts w:cs="Times New Roman"/>
          <w:bCs/>
          <w:szCs w:val="24"/>
          <w:lang w:val="sr-Cyrl-CS"/>
        </w:rPr>
        <w:t>из донације</w:t>
      </w:r>
      <w:r w:rsidRPr="00092ED7">
        <w:rPr>
          <w:rFonts w:cs="Times New Roman"/>
          <w:szCs w:val="24"/>
          <w:lang w:val="sr-Cyrl-CS"/>
        </w:rPr>
        <w:t xml:space="preserve">  и то за период од 2022-2024. У том смислу, у 2023. и 2024. години планирано је да се утроши преостали износ помоћи и то 55 хиљада евра. Средства ће бити утрошена на унапређење капацитета у области трговинске политике, којима ће се, хоризонтално, подстаћи ефикасније спровођење наведених активности.</w:t>
      </w:r>
    </w:p>
    <w:p w14:paraId="76BC8104" w14:textId="77777777" w:rsidR="00D210F0" w:rsidRPr="00092ED7" w:rsidRDefault="00D210F0" w:rsidP="00071952">
      <w:pPr>
        <w:widowControl w:val="0"/>
        <w:numPr>
          <w:ilvl w:val="0"/>
          <w:numId w:val="34"/>
        </w:numPr>
        <w:spacing w:before="120"/>
        <w:ind w:left="425" w:hanging="425"/>
        <w:rPr>
          <w:rFonts w:cs="Times New Roman"/>
          <w:b/>
          <w:szCs w:val="24"/>
          <w:lang w:val="sr-Cyrl-CS"/>
        </w:rPr>
      </w:pPr>
      <w:r w:rsidRPr="00092ED7">
        <w:rPr>
          <w:rFonts w:cs="Times New Roman"/>
          <w:b/>
          <w:szCs w:val="24"/>
          <w:lang w:val="sr-Cyrl-CS"/>
        </w:rPr>
        <w:t>Очекивани утицај на социјалне циљеве, као што су запосленост, смањење сиромаштва, родна равноправност и приступ здравственој заштити</w:t>
      </w:r>
    </w:p>
    <w:p w14:paraId="38AE717C" w14:textId="77777777" w:rsidR="00D210F0" w:rsidRPr="00092ED7" w:rsidRDefault="00727B17" w:rsidP="009D4C3F">
      <w:pPr>
        <w:spacing w:after="60"/>
        <w:rPr>
          <w:lang w:val="sr-Cyrl-CS"/>
        </w:rPr>
      </w:pPr>
      <w:r w:rsidRPr="00092ED7">
        <w:rPr>
          <w:rFonts w:eastAsia="Calibri" w:cs="Times New Roman"/>
          <w:szCs w:val="24"/>
          <w:lang w:val="sr-Cyrl-CS"/>
        </w:rPr>
        <w:t>Структурна реформа има позитиван утицај на пораст запошљавања кроз укључивање локалног тржишта у тржишну европску утакмицу, што ће на индиректан начин утицати и на смањење сиромаштва. Позитивно утиче на остваривање принципа родне равноправности, док је по питању приступа здравственој заштити неутрална.</w:t>
      </w:r>
    </w:p>
    <w:p w14:paraId="174485C7" w14:textId="77777777" w:rsidR="00D210F0" w:rsidRPr="00092ED7" w:rsidRDefault="00D210F0" w:rsidP="00071952">
      <w:pPr>
        <w:widowControl w:val="0"/>
        <w:numPr>
          <w:ilvl w:val="0"/>
          <w:numId w:val="34"/>
        </w:numPr>
        <w:spacing w:before="120"/>
        <w:ind w:left="425" w:hanging="425"/>
        <w:rPr>
          <w:rFonts w:cs="Times New Roman"/>
          <w:b/>
          <w:szCs w:val="24"/>
          <w:lang w:val="sr-Cyrl-CS"/>
        </w:rPr>
      </w:pPr>
      <w:r w:rsidRPr="00092ED7">
        <w:rPr>
          <w:rFonts w:cs="Times New Roman"/>
          <w:b/>
          <w:szCs w:val="24"/>
          <w:lang w:val="sr-Cyrl-CS"/>
        </w:rPr>
        <w:t>Очекивани утицај на животну средину и климатске промене</w:t>
      </w:r>
    </w:p>
    <w:p w14:paraId="3ACCF411" w14:textId="77777777" w:rsidR="00D210F0" w:rsidRPr="00092ED7" w:rsidRDefault="00D210F0" w:rsidP="009D4C3F">
      <w:pPr>
        <w:tabs>
          <w:tab w:val="left" w:pos="360"/>
        </w:tabs>
        <w:spacing w:after="60"/>
        <w:rPr>
          <w:rFonts w:cs="Times New Roman"/>
          <w:b/>
          <w:szCs w:val="24"/>
          <w:lang w:val="sr-Cyrl-CS"/>
        </w:rPr>
      </w:pPr>
      <w:r w:rsidRPr="00092ED7">
        <w:rPr>
          <w:rFonts w:eastAsia="Calibri" w:cs="Times New Roman"/>
          <w:szCs w:val="24"/>
          <w:lang w:val="sr-Cyrl-CS"/>
        </w:rPr>
        <w:t>Структурна реформа је неутрална у смислу утицаја на животну средину и климатске промене.</w:t>
      </w:r>
    </w:p>
    <w:p w14:paraId="63BC02AC" w14:textId="77777777" w:rsidR="00D210F0" w:rsidRPr="00092ED7" w:rsidRDefault="00D210F0" w:rsidP="00071952">
      <w:pPr>
        <w:widowControl w:val="0"/>
        <w:numPr>
          <w:ilvl w:val="0"/>
          <w:numId w:val="34"/>
        </w:numPr>
        <w:spacing w:before="120"/>
        <w:ind w:left="425" w:hanging="425"/>
        <w:rPr>
          <w:rFonts w:cs="Times New Roman"/>
          <w:b/>
          <w:szCs w:val="24"/>
          <w:lang w:val="sr-Cyrl-CS"/>
        </w:rPr>
      </w:pPr>
      <w:r w:rsidRPr="00092ED7">
        <w:rPr>
          <w:rFonts w:cs="Times New Roman"/>
          <w:b/>
          <w:szCs w:val="24"/>
          <w:lang w:val="sr-Cyrl-CS"/>
        </w:rPr>
        <w:t>Потенцијални ризици</w:t>
      </w:r>
    </w:p>
    <w:tbl>
      <w:tblPr>
        <w:tblStyle w:val="TableGrid"/>
        <w:tblW w:w="9067" w:type="dxa"/>
        <w:jc w:val="center"/>
        <w:tblLayout w:type="fixed"/>
        <w:tblLook w:val="04A0" w:firstRow="1" w:lastRow="0" w:firstColumn="1" w:lastColumn="0" w:noHBand="0" w:noVBand="1"/>
      </w:tblPr>
      <w:tblGrid>
        <w:gridCol w:w="3798"/>
        <w:gridCol w:w="2098"/>
        <w:gridCol w:w="3171"/>
      </w:tblGrid>
      <w:tr w:rsidR="00D210F0" w:rsidRPr="00092ED7" w14:paraId="4DCDA5CD" w14:textId="77777777" w:rsidTr="00B57FE8">
        <w:trPr>
          <w:cnfStyle w:val="100000000000" w:firstRow="1" w:lastRow="0" w:firstColumn="0" w:lastColumn="0" w:oddVBand="0" w:evenVBand="0" w:oddHBand="0" w:evenHBand="0" w:firstRowFirstColumn="0" w:firstRowLastColumn="0" w:lastRowFirstColumn="0" w:lastRowLastColumn="0"/>
          <w:jc w:val="center"/>
        </w:trPr>
        <w:tc>
          <w:tcPr>
            <w:tcW w:w="3798" w:type="dxa"/>
            <w:tcBorders>
              <w:top w:val="single" w:sz="4" w:space="0" w:color="auto"/>
              <w:left w:val="single" w:sz="4" w:space="0" w:color="auto"/>
              <w:bottom w:val="single" w:sz="4" w:space="0" w:color="auto"/>
              <w:right w:val="single" w:sz="4" w:space="0" w:color="auto"/>
            </w:tcBorders>
            <w:hideMark/>
          </w:tcPr>
          <w:p w14:paraId="3EBF59CD" w14:textId="77777777" w:rsidR="00D210F0" w:rsidRPr="00092ED7" w:rsidRDefault="00D210F0" w:rsidP="00B57FE8">
            <w:pPr>
              <w:spacing w:before="0" w:after="0"/>
              <w:ind w:left="113" w:right="113"/>
              <w:jc w:val="center"/>
              <w:rPr>
                <w:rFonts w:cs="Times New Roman"/>
                <w:b w:val="0"/>
                <w:sz w:val="20"/>
                <w:lang w:val="sr-Cyrl-CS"/>
              </w:rPr>
            </w:pPr>
            <w:r w:rsidRPr="00092ED7">
              <w:rPr>
                <w:rFonts w:cs="Times New Roman"/>
                <w:sz w:val="20"/>
                <w:lang w:val="sr-Cyrl-CS"/>
              </w:rPr>
              <w:t>Ризик</w:t>
            </w:r>
          </w:p>
        </w:tc>
        <w:tc>
          <w:tcPr>
            <w:tcW w:w="2098" w:type="dxa"/>
            <w:tcBorders>
              <w:top w:val="single" w:sz="4" w:space="0" w:color="auto"/>
              <w:left w:val="single" w:sz="4" w:space="0" w:color="auto"/>
              <w:bottom w:val="single" w:sz="4" w:space="0" w:color="auto"/>
              <w:right w:val="single" w:sz="4" w:space="0" w:color="auto"/>
            </w:tcBorders>
            <w:hideMark/>
          </w:tcPr>
          <w:p w14:paraId="4DE4D4BB" w14:textId="77777777" w:rsidR="00D210F0" w:rsidRPr="00092ED7" w:rsidRDefault="00D210F0" w:rsidP="00B57FE8">
            <w:pPr>
              <w:spacing w:before="0" w:after="0"/>
              <w:ind w:left="113" w:right="113"/>
              <w:jc w:val="center"/>
              <w:rPr>
                <w:rFonts w:cs="Times New Roman"/>
                <w:b w:val="0"/>
                <w:sz w:val="20"/>
                <w:lang w:val="sr-Cyrl-CS"/>
              </w:rPr>
            </w:pPr>
            <w:r w:rsidRPr="00092ED7">
              <w:rPr>
                <w:rFonts w:cs="Times New Roman"/>
                <w:sz w:val="20"/>
                <w:lang w:val="sr-Cyrl-CS"/>
              </w:rPr>
              <w:t>Вероватноћа за остваривање ризика</w:t>
            </w:r>
          </w:p>
        </w:tc>
        <w:tc>
          <w:tcPr>
            <w:tcW w:w="3171" w:type="dxa"/>
            <w:tcBorders>
              <w:top w:val="single" w:sz="4" w:space="0" w:color="auto"/>
              <w:left w:val="single" w:sz="4" w:space="0" w:color="auto"/>
              <w:bottom w:val="single" w:sz="4" w:space="0" w:color="auto"/>
              <w:right w:val="single" w:sz="4" w:space="0" w:color="auto"/>
            </w:tcBorders>
            <w:hideMark/>
          </w:tcPr>
          <w:p w14:paraId="5EC1D9CE" w14:textId="77777777" w:rsidR="00D210F0" w:rsidRPr="00092ED7" w:rsidRDefault="00D210F0" w:rsidP="00B57FE8">
            <w:pPr>
              <w:spacing w:before="0" w:after="0"/>
              <w:ind w:left="113" w:right="113"/>
              <w:jc w:val="center"/>
              <w:rPr>
                <w:rFonts w:cs="Times New Roman"/>
                <w:b w:val="0"/>
                <w:sz w:val="20"/>
                <w:lang w:val="sr-Cyrl-CS"/>
              </w:rPr>
            </w:pPr>
            <w:r w:rsidRPr="00092ED7">
              <w:rPr>
                <w:rFonts w:cs="Times New Roman"/>
                <w:sz w:val="20"/>
                <w:lang w:val="sr-Cyrl-CS"/>
              </w:rPr>
              <w:t>Планиране активност за ублажавање негативних ефеката ризика</w:t>
            </w:r>
          </w:p>
        </w:tc>
      </w:tr>
      <w:tr w:rsidR="00D210F0" w:rsidRPr="00092ED7" w14:paraId="739478E6" w14:textId="77777777" w:rsidTr="00757D8D">
        <w:trPr>
          <w:jc w:val="center"/>
        </w:trPr>
        <w:tc>
          <w:tcPr>
            <w:tcW w:w="3798" w:type="dxa"/>
            <w:tcBorders>
              <w:top w:val="single" w:sz="4" w:space="0" w:color="auto"/>
              <w:left w:val="single" w:sz="4" w:space="0" w:color="auto"/>
              <w:bottom w:val="single" w:sz="4" w:space="0" w:color="auto"/>
              <w:right w:val="single" w:sz="4" w:space="0" w:color="auto"/>
            </w:tcBorders>
            <w:vAlign w:val="top"/>
          </w:tcPr>
          <w:p w14:paraId="655E8DE0" w14:textId="1129F121" w:rsidR="00D210F0" w:rsidRPr="00092ED7" w:rsidRDefault="00D210F0" w:rsidP="00757D8D">
            <w:pPr>
              <w:spacing w:before="0" w:after="0"/>
              <w:ind w:left="113" w:right="113"/>
              <w:rPr>
                <w:rFonts w:eastAsia="Calibri" w:cs="Times New Roman"/>
                <w:sz w:val="20"/>
                <w:lang w:val="sr-Cyrl-CS"/>
              </w:rPr>
            </w:pPr>
            <w:r w:rsidRPr="00092ED7">
              <w:rPr>
                <w:rFonts w:eastAsia="Calibri" w:cs="Times New Roman"/>
                <w:sz w:val="20"/>
                <w:lang w:val="sr-Cyrl-CS"/>
              </w:rPr>
              <w:t>Криза услед актуелне геополитичке ситуације у свету - потенцијално увођење ванредних трговинских мера од стране најзначајнијих спољнотрговинских партнера, као и са стране Р</w:t>
            </w:r>
            <w:r w:rsidR="00AA7059" w:rsidRPr="00092ED7">
              <w:rPr>
                <w:rFonts w:eastAsia="Calibri" w:cs="Times New Roman"/>
                <w:sz w:val="20"/>
                <w:lang w:val="sr-Cyrl-CS"/>
              </w:rPr>
              <w:t xml:space="preserve">епублике </w:t>
            </w:r>
            <w:r w:rsidRPr="00092ED7">
              <w:rPr>
                <w:rFonts w:eastAsia="Calibri" w:cs="Times New Roman"/>
                <w:sz w:val="20"/>
                <w:lang w:val="sr-Cyrl-CS"/>
              </w:rPr>
              <w:t>С</w:t>
            </w:r>
            <w:r w:rsidR="00AA7059" w:rsidRPr="00092ED7">
              <w:rPr>
                <w:rFonts w:eastAsia="Calibri" w:cs="Times New Roman"/>
                <w:sz w:val="20"/>
                <w:lang w:val="sr-Cyrl-CS"/>
              </w:rPr>
              <w:t>рбије</w:t>
            </w:r>
            <w:r w:rsidRPr="00092ED7">
              <w:rPr>
                <w:rFonts w:eastAsia="Calibri" w:cs="Times New Roman"/>
                <w:sz w:val="20"/>
                <w:lang w:val="sr-Cyrl-CS"/>
              </w:rPr>
              <w:t xml:space="preserve"> </w:t>
            </w:r>
          </w:p>
        </w:tc>
        <w:tc>
          <w:tcPr>
            <w:tcW w:w="2098" w:type="dxa"/>
            <w:tcBorders>
              <w:top w:val="single" w:sz="4" w:space="0" w:color="auto"/>
              <w:left w:val="single" w:sz="4" w:space="0" w:color="auto"/>
              <w:bottom w:val="single" w:sz="4" w:space="0" w:color="auto"/>
              <w:right w:val="single" w:sz="4" w:space="0" w:color="auto"/>
            </w:tcBorders>
            <w:vAlign w:val="top"/>
          </w:tcPr>
          <w:p w14:paraId="7775B37F" w14:textId="77777777" w:rsidR="00D210F0" w:rsidRPr="00092ED7" w:rsidRDefault="00D210F0" w:rsidP="00757D8D">
            <w:pPr>
              <w:spacing w:before="0" w:after="0"/>
              <w:ind w:left="113" w:right="113"/>
              <w:jc w:val="center"/>
              <w:rPr>
                <w:rFonts w:cs="Times New Roman"/>
                <w:bCs/>
                <w:sz w:val="20"/>
                <w:lang w:val="sr-Cyrl-CS"/>
              </w:rPr>
            </w:pPr>
            <w:r w:rsidRPr="00092ED7">
              <w:rPr>
                <w:rFonts w:cs="Times New Roman"/>
                <w:bCs/>
                <w:sz w:val="20"/>
                <w:lang w:val="sr-Cyrl-CS"/>
              </w:rPr>
              <w:t>Средња</w:t>
            </w:r>
          </w:p>
        </w:tc>
        <w:tc>
          <w:tcPr>
            <w:tcW w:w="3171" w:type="dxa"/>
            <w:tcBorders>
              <w:top w:val="single" w:sz="4" w:space="0" w:color="auto"/>
              <w:left w:val="single" w:sz="4" w:space="0" w:color="auto"/>
              <w:bottom w:val="single" w:sz="4" w:space="0" w:color="auto"/>
              <w:right w:val="single" w:sz="4" w:space="0" w:color="auto"/>
            </w:tcBorders>
          </w:tcPr>
          <w:p w14:paraId="79740944" w14:textId="77777777" w:rsidR="00D210F0" w:rsidRPr="00092ED7" w:rsidRDefault="00D210F0" w:rsidP="00B57FE8">
            <w:pPr>
              <w:spacing w:before="0" w:after="0"/>
              <w:ind w:left="113" w:right="113"/>
              <w:rPr>
                <w:rFonts w:cs="Times New Roman"/>
                <w:b/>
                <w:sz w:val="20"/>
                <w:lang w:val="sr-Cyrl-CS"/>
              </w:rPr>
            </w:pPr>
            <w:r w:rsidRPr="00092ED7">
              <w:rPr>
                <w:rFonts w:eastAsia="Calibri" w:cs="Times New Roman"/>
                <w:sz w:val="20"/>
                <w:lang w:val="sr-Cyrl-CS"/>
              </w:rPr>
              <w:t>Координација са најважнијим трговинским партнерима у циљу амортизације негативних ефеката потенцијалних трговинских ограничења.</w:t>
            </w:r>
          </w:p>
        </w:tc>
      </w:tr>
      <w:tr w:rsidR="00D210F0" w:rsidRPr="00092ED7" w14:paraId="23AD4A1C" w14:textId="77777777" w:rsidTr="00757D8D">
        <w:trPr>
          <w:jc w:val="center"/>
        </w:trPr>
        <w:tc>
          <w:tcPr>
            <w:tcW w:w="3798" w:type="dxa"/>
            <w:tcBorders>
              <w:top w:val="single" w:sz="4" w:space="0" w:color="auto"/>
              <w:left w:val="single" w:sz="4" w:space="0" w:color="auto"/>
              <w:bottom w:val="single" w:sz="4" w:space="0" w:color="auto"/>
              <w:right w:val="single" w:sz="4" w:space="0" w:color="auto"/>
            </w:tcBorders>
            <w:vAlign w:val="top"/>
          </w:tcPr>
          <w:p w14:paraId="21EF11DB" w14:textId="77777777" w:rsidR="00D210F0" w:rsidRPr="00092ED7" w:rsidRDefault="00D210F0" w:rsidP="00757D8D">
            <w:pPr>
              <w:spacing w:before="0" w:after="0"/>
              <w:ind w:left="113" w:right="113"/>
              <w:rPr>
                <w:rFonts w:eastAsia="Calibri" w:cs="Times New Roman"/>
                <w:sz w:val="20"/>
                <w:lang w:val="sr-Cyrl-CS"/>
              </w:rPr>
            </w:pPr>
            <w:r w:rsidRPr="00092ED7">
              <w:rPr>
                <w:rFonts w:eastAsia="Calibri" w:cs="Times New Roman"/>
                <w:sz w:val="20"/>
                <w:lang w:val="sr-Cyrl-CS"/>
              </w:rPr>
              <w:t>Приступање СТО подразумева мултилатералне преговоре, па окончање процеса зависи и од других учесника (чланица СТО, при чему су поједине директно укључене у актуелну ситуацију у Украјини)</w:t>
            </w:r>
          </w:p>
        </w:tc>
        <w:tc>
          <w:tcPr>
            <w:tcW w:w="2098" w:type="dxa"/>
            <w:tcBorders>
              <w:top w:val="single" w:sz="4" w:space="0" w:color="auto"/>
              <w:left w:val="single" w:sz="4" w:space="0" w:color="auto"/>
              <w:bottom w:val="single" w:sz="4" w:space="0" w:color="auto"/>
              <w:right w:val="single" w:sz="4" w:space="0" w:color="auto"/>
            </w:tcBorders>
            <w:vAlign w:val="top"/>
          </w:tcPr>
          <w:p w14:paraId="6B8CD39A" w14:textId="77777777" w:rsidR="00D210F0" w:rsidRPr="00092ED7" w:rsidRDefault="00D210F0" w:rsidP="00757D8D">
            <w:pPr>
              <w:spacing w:before="0" w:after="0"/>
              <w:ind w:left="113" w:right="113"/>
              <w:jc w:val="center"/>
              <w:rPr>
                <w:rFonts w:cs="Times New Roman"/>
                <w:b/>
                <w:sz w:val="20"/>
                <w:lang w:val="sr-Cyrl-CS"/>
              </w:rPr>
            </w:pPr>
            <w:r w:rsidRPr="00092ED7">
              <w:rPr>
                <w:rFonts w:eastAsia="Calibri" w:cs="Times New Roman"/>
                <w:sz w:val="20"/>
                <w:lang w:val="sr-Cyrl-CS"/>
              </w:rPr>
              <w:t>Висока</w:t>
            </w:r>
          </w:p>
        </w:tc>
        <w:tc>
          <w:tcPr>
            <w:tcW w:w="3171" w:type="dxa"/>
            <w:tcBorders>
              <w:top w:val="single" w:sz="4" w:space="0" w:color="auto"/>
              <w:left w:val="single" w:sz="4" w:space="0" w:color="auto"/>
              <w:bottom w:val="single" w:sz="4" w:space="0" w:color="auto"/>
              <w:right w:val="single" w:sz="4" w:space="0" w:color="auto"/>
            </w:tcBorders>
          </w:tcPr>
          <w:p w14:paraId="149E9B02" w14:textId="77777777" w:rsidR="00D210F0" w:rsidRPr="00092ED7" w:rsidRDefault="00D210F0" w:rsidP="00B57FE8">
            <w:pPr>
              <w:spacing w:before="0" w:after="0"/>
              <w:ind w:left="113" w:right="113"/>
              <w:rPr>
                <w:rFonts w:cs="Times New Roman"/>
                <w:b/>
                <w:sz w:val="20"/>
                <w:lang w:val="sr-Cyrl-CS"/>
              </w:rPr>
            </w:pPr>
            <w:r w:rsidRPr="00092ED7">
              <w:rPr>
                <w:rFonts w:eastAsia="Calibri" w:cs="Times New Roman"/>
                <w:sz w:val="20"/>
                <w:lang w:val="sr-Cyrl-CS"/>
              </w:rPr>
              <w:t xml:space="preserve">Затварање билатералних преговора са чланицама СТО. С тим у вези, доношење закона о ГМО олакшаће билатералне преговоре са неким чланицама СТО. </w:t>
            </w:r>
          </w:p>
        </w:tc>
      </w:tr>
      <w:tr w:rsidR="00D210F0" w:rsidRPr="00092ED7" w14:paraId="1976AF10" w14:textId="77777777" w:rsidTr="00757D8D">
        <w:trPr>
          <w:jc w:val="center"/>
        </w:trPr>
        <w:tc>
          <w:tcPr>
            <w:tcW w:w="3798" w:type="dxa"/>
            <w:tcBorders>
              <w:top w:val="single" w:sz="4" w:space="0" w:color="auto"/>
              <w:left w:val="single" w:sz="4" w:space="0" w:color="auto"/>
              <w:bottom w:val="single" w:sz="4" w:space="0" w:color="auto"/>
              <w:right w:val="single" w:sz="4" w:space="0" w:color="auto"/>
            </w:tcBorders>
            <w:vAlign w:val="top"/>
          </w:tcPr>
          <w:p w14:paraId="4A00D85B" w14:textId="77777777" w:rsidR="00D210F0" w:rsidRPr="00092ED7" w:rsidRDefault="00D210F0" w:rsidP="00757D8D">
            <w:pPr>
              <w:spacing w:before="0" w:after="0"/>
              <w:rPr>
                <w:rFonts w:eastAsia="Calibri" w:cs="Times New Roman"/>
                <w:sz w:val="20"/>
                <w:lang w:val="sr-Cyrl-CS"/>
              </w:rPr>
            </w:pPr>
            <w:r w:rsidRPr="00092ED7">
              <w:rPr>
                <w:rFonts w:eastAsia="Calibri" w:cs="Times New Roman"/>
                <w:sz w:val="20"/>
                <w:lang w:val="sr-Cyrl-CS"/>
              </w:rPr>
              <w:t>Увођење заштитних мера ЕУ (на одређене производе од челика)</w:t>
            </w:r>
          </w:p>
        </w:tc>
        <w:tc>
          <w:tcPr>
            <w:tcW w:w="2098" w:type="dxa"/>
            <w:tcBorders>
              <w:top w:val="single" w:sz="4" w:space="0" w:color="auto"/>
              <w:left w:val="single" w:sz="4" w:space="0" w:color="auto"/>
              <w:bottom w:val="single" w:sz="4" w:space="0" w:color="auto"/>
              <w:right w:val="single" w:sz="4" w:space="0" w:color="auto"/>
            </w:tcBorders>
            <w:vAlign w:val="top"/>
          </w:tcPr>
          <w:p w14:paraId="1D790024" w14:textId="77777777" w:rsidR="00D210F0" w:rsidRPr="00092ED7" w:rsidRDefault="00D210F0" w:rsidP="00757D8D">
            <w:pPr>
              <w:spacing w:before="0" w:after="0"/>
              <w:jc w:val="center"/>
              <w:rPr>
                <w:rFonts w:cs="Times New Roman"/>
                <w:b/>
                <w:sz w:val="20"/>
                <w:lang w:val="sr-Cyrl-CS"/>
              </w:rPr>
            </w:pPr>
            <w:r w:rsidRPr="00092ED7">
              <w:rPr>
                <w:rFonts w:eastAsia="Calibri" w:cs="Times New Roman"/>
                <w:sz w:val="20"/>
                <w:lang w:val="sr-Cyrl-CS"/>
              </w:rPr>
              <w:t>Висока</w:t>
            </w:r>
          </w:p>
        </w:tc>
        <w:tc>
          <w:tcPr>
            <w:tcW w:w="3171" w:type="dxa"/>
            <w:tcBorders>
              <w:top w:val="single" w:sz="4" w:space="0" w:color="auto"/>
              <w:left w:val="single" w:sz="4" w:space="0" w:color="auto"/>
              <w:bottom w:val="single" w:sz="4" w:space="0" w:color="auto"/>
              <w:right w:val="single" w:sz="4" w:space="0" w:color="auto"/>
            </w:tcBorders>
          </w:tcPr>
          <w:p w14:paraId="460719D4" w14:textId="2731D79E" w:rsidR="00D210F0" w:rsidRPr="00092ED7" w:rsidRDefault="00D210F0" w:rsidP="00B57FE8">
            <w:pPr>
              <w:spacing w:before="0" w:after="0"/>
              <w:rPr>
                <w:rFonts w:eastAsia="Calibri" w:cs="Times New Roman"/>
                <w:sz w:val="20"/>
                <w:lang w:val="sr-Cyrl-CS"/>
              </w:rPr>
            </w:pPr>
            <w:r w:rsidRPr="00092ED7">
              <w:rPr>
                <w:rFonts w:eastAsia="Calibri" w:cs="Times New Roman"/>
                <w:sz w:val="20"/>
                <w:lang w:val="sr-Cyrl-CS"/>
              </w:rPr>
              <w:t xml:space="preserve">Активности на искључивању </w:t>
            </w:r>
            <w:r w:rsidR="00C758DF" w:rsidRPr="00092ED7">
              <w:rPr>
                <w:rFonts w:eastAsia="Calibri" w:cs="Times New Roman"/>
                <w:sz w:val="20"/>
                <w:lang w:val="sr-Cyrl-CS"/>
              </w:rPr>
              <w:t xml:space="preserve">Републике </w:t>
            </w:r>
            <w:r w:rsidRPr="00092ED7">
              <w:rPr>
                <w:rFonts w:eastAsia="Calibri" w:cs="Times New Roman"/>
                <w:sz w:val="20"/>
                <w:lang w:val="sr-Cyrl-CS"/>
              </w:rPr>
              <w:t>Србије са листе земаља на које се примењују ЕУ заштитне мере.</w:t>
            </w:r>
          </w:p>
        </w:tc>
      </w:tr>
    </w:tbl>
    <w:p w14:paraId="7926B281" w14:textId="77777777" w:rsidR="00D210F0" w:rsidRPr="00092ED7" w:rsidRDefault="00D210F0" w:rsidP="00D210F0">
      <w:pPr>
        <w:keepNext/>
        <w:keepLines/>
        <w:shd w:val="clear" w:color="auto" w:fill="D9D9D9" w:themeFill="background1" w:themeFillShade="D9"/>
        <w:spacing w:before="360"/>
        <w:outlineLvl w:val="2"/>
        <w:rPr>
          <w:rFonts w:eastAsiaTheme="majorEastAsia" w:cstheme="majorBidi"/>
          <w:b/>
          <w:bCs/>
          <w:i/>
          <w:lang w:val="sr-Cyrl-CS"/>
        </w:rPr>
      </w:pPr>
      <w:bookmarkStart w:id="52" w:name="_Toc124174814"/>
      <w:r w:rsidRPr="00092ED7">
        <w:rPr>
          <w:rFonts w:eastAsiaTheme="majorEastAsia" w:cstheme="majorBidi"/>
          <w:b/>
          <w:lang w:val="sr-Cyrl-CS"/>
        </w:rPr>
        <w:t>5.2.7. Област РЕФОРМА ТРЖИШТА ЕНЕРГЕТИКЕ</w:t>
      </w:r>
      <w:bookmarkEnd w:id="52"/>
    </w:p>
    <w:p w14:paraId="5C9AF9D2" w14:textId="77777777" w:rsidR="00D210F0" w:rsidRPr="00092ED7" w:rsidRDefault="00D210F0" w:rsidP="00D210F0">
      <w:pPr>
        <w:spacing w:before="120"/>
        <w:rPr>
          <w:rFonts w:eastAsia="Times New Roman" w:cs="Times New Roman"/>
          <w:szCs w:val="24"/>
          <w:lang w:val="sr-Cyrl-CS"/>
        </w:rPr>
      </w:pPr>
      <w:r w:rsidRPr="00092ED7">
        <w:rPr>
          <w:rFonts w:cs="Times New Roman"/>
          <w:noProof/>
          <w:szCs w:val="24"/>
          <w:lang w:val="sr-Cyrl-CS"/>
        </w:rPr>
        <w:t xml:space="preserve">Ова област и релевантне реформе анализирани су у одељку 5.1. под </w:t>
      </w:r>
      <w:r w:rsidRPr="00092ED7">
        <w:rPr>
          <w:rFonts w:cs="Times New Roman"/>
          <w:i/>
          <w:noProof/>
          <w:szCs w:val="24"/>
          <w:lang w:val="sr-Cyrl-CS"/>
        </w:rPr>
        <w:t>Кључним изазовом број 3. Озелењавање енергетског сектора и потпуно отварање енергетског тржишта</w:t>
      </w:r>
      <w:r w:rsidRPr="00092ED7">
        <w:rPr>
          <w:rFonts w:cs="Times New Roman"/>
          <w:noProof/>
          <w:szCs w:val="24"/>
          <w:lang w:val="sr-Cyrl-CS"/>
        </w:rPr>
        <w:t>.</w:t>
      </w:r>
    </w:p>
    <w:p w14:paraId="406EC9FA" w14:textId="77777777" w:rsidR="00D210F0" w:rsidRPr="00092ED7" w:rsidRDefault="00D210F0" w:rsidP="00D210F0">
      <w:pPr>
        <w:keepNext/>
        <w:keepLines/>
        <w:shd w:val="clear" w:color="auto" w:fill="D9D9D9" w:themeFill="background1" w:themeFillShade="D9"/>
        <w:spacing w:before="360"/>
        <w:outlineLvl w:val="2"/>
        <w:rPr>
          <w:rFonts w:eastAsiaTheme="majorEastAsia" w:cstheme="majorBidi"/>
          <w:b/>
          <w:bCs/>
          <w:i/>
          <w:lang w:val="sr-Cyrl-CS"/>
        </w:rPr>
      </w:pPr>
      <w:bookmarkStart w:id="53" w:name="_Toc124174815"/>
      <w:r w:rsidRPr="00092ED7">
        <w:rPr>
          <w:rFonts w:eastAsiaTheme="majorEastAsia" w:cstheme="majorBidi"/>
          <w:b/>
          <w:lang w:val="sr-Cyrl-CS"/>
        </w:rPr>
        <w:t>5.2.8. Област РЕФОРМА ТРЖИШТА ТРАНСПОРТА</w:t>
      </w:r>
      <w:bookmarkEnd w:id="53"/>
    </w:p>
    <w:p w14:paraId="754749BE" w14:textId="70393354" w:rsidR="00D210F0" w:rsidRPr="00092ED7" w:rsidRDefault="00D210F0" w:rsidP="00D210F0">
      <w:pPr>
        <w:spacing w:before="120"/>
        <w:rPr>
          <w:rFonts w:eastAsia="Times New Roman" w:cs="Times New Roman"/>
          <w:szCs w:val="24"/>
          <w:lang w:val="sr-Cyrl-CS"/>
        </w:rPr>
      </w:pPr>
      <w:r w:rsidRPr="00092ED7">
        <w:rPr>
          <w:rFonts w:eastAsia="Times New Roman" w:cs="Times New Roman"/>
          <w:b/>
          <w:szCs w:val="24"/>
          <w:lang w:val="sr-Cyrl-CS"/>
        </w:rPr>
        <w:t xml:space="preserve">а) Анализа главних </w:t>
      </w:r>
      <w:r w:rsidR="00515D4D" w:rsidRPr="00092ED7">
        <w:rPr>
          <w:rFonts w:eastAsia="Times New Roman" w:cs="Times New Roman"/>
          <w:b/>
          <w:szCs w:val="24"/>
          <w:lang w:val="sr-Cyrl-CS"/>
        </w:rPr>
        <w:t>изазова</w:t>
      </w:r>
    </w:p>
    <w:p w14:paraId="4AE4FAA1" w14:textId="5D7309DC" w:rsidR="00D210F0" w:rsidRPr="00092ED7" w:rsidRDefault="00D210F0" w:rsidP="00D210F0">
      <w:pPr>
        <w:spacing w:after="60"/>
        <w:rPr>
          <w:rFonts w:eastAsia="Calibri" w:cs="Times New Roman"/>
          <w:szCs w:val="24"/>
          <w:lang w:val="sr-Cyrl-CS"/>
        </w:rPr>
      </w:pPr>
      <w:r w:rsidRPr="00092ED7">
        <w:rPr>
          <w:rFonts w:eastAsia="Calibri" w:cs="Times New Roman"/>
          <w:b/>
          <w:szCs w:val="24"/>
          <w:lang w:val="sr-Cyrl-CS"/>
        </w:rPr>
        <w:t xml:space="preserve">У области транспорта постоји </w:t>
      </w:r>
      <w:r w:rsidR="003051FE" w:rsidRPr="00092ED7">
        <w:rPr>
          <w:rFonts w:eastAsia="Calibri" w:cs="Times New Roman"/>
          <w:b/>
          <w:szCs w:val="24"/>
          <w:lang w:val="sr-Cyrl-CS"/>
        </w:rPr>
        <w:t xml:space="preserve">добра </w:t>
      </w:r>
      <w:r w:rsidRPr="00092ED7">
        <w:rPr>
          <w:rFonts w:eastAsia="Calibri" w:cs="Times New Roman"/>
          <w:b/>
          <w:szCs w:val="24"/>
          <w:lang w:val="sr-Cyrl-CS"/>
        </w:rPr>
        <w:t xml:space="preserve">усаглашеност са правним тековинама ЕУ. </w:t>
      </w:r>
      <w:r w:rsidRPr="00092ED7">
        <w:rPr>
          <w:rFonts w:eastAsia="Calibri" w:cs="Times New Roman"/>
          <w:szCs w:val="24"/>
          <w:lang w:val="sr-Cyrl-CS"/>
        </w:rPr>
        <w:t xml:space="preserve">Потребно је усвојити свеобухватну стратегију развоја саобраћаја и општи мастер план, стратегију интелигентних транспортних система и акциони план, поједноставити процедуре на граничним прелазима, успоставити планове одржавања железничке и путне инфраструктуре засноване на процењеним трошковима, унапредити ниво </w:t>
      </w:r>
      <w:r w:rsidRPr="00092ED7">
        <w:rPr>
          <w:rFonts w:eastAsia="Calibri" w:cs="Times New Roman"/>
          <w:szCs w:val="24"/>
          <w:lang w:val="sr-Cyrl-CS"/>
        </w:rPr>
        <w:lastRenderedPageBreak/>
        <w:t>безбедности и квалитет инстраструктуре у саобраћају, ојачати институционалне капацитете и успоставити комбиновани/интермодални транспорт.</w:t>
      </w:r>
    </w:p>
    <w:p w14:paraId="4D6FCF06" w14:textId="77777777" w:rsidR="00D210F0" w:rsidRPr="00092ED7" w:rsidRDefault="00D210F0" w:rsidP="00D210F0">
      <w:pPr>
        <w:spacing w:after="60"/>
        <w:rPr>
          <w:rFonts w:eastAsia="Calibri" w:cs="Times New Roman"/>
          <w:b/>
          <w:szCs w:val="24"/>
          <w:lang w:val="sr-Cyrl-CS"/>
        </w:rPr>
      </w:pPr>
      <w:r w:rsidRPr="00092ED7">
        <w:rPr>
          <w:rFonts w:eastAsia="Calibri" w:cs="Times New Roman"/>
          <w:szCs w:val="24"/>
          <w:lang w:val="sr-Cyrl-CS"/>
        </w:rPr>
        <w:t xml:space="preserve">С тим у вези, у претходном периоду је започета </w:t>
      </w:r>
      <w:r w:rsidRPr="00092ED7">
        <w:rPr>
          <w:rFonts w:eastAsia="Calibri" w:cs="Times New Roman"/>
          <w:b/>
          <w:szCs w:val="24"/>
          <w:lang w:val="sr-Cyrl-CS"/>
        </w:rPr>
        <w:t xml:space="preserve">израда </w:t>
      </w:r>
      <w:r w:rsidRPr="00092ED7">
        <w:rPr>
          <w:rFonts w:eastAsia="Calibri" w:cs="Times New Roman"/>
          <w:b/>
          <w:i/>
          <w:szCs w:val="24"/>
          <w:lang w:val="sr-Cyrl-CS"/>
        </w:rPr>
        <w:t>Националне стратегије развоја саобраћаја за период 2023-2030. године</w:t>
      </w:r>
      <w:r w:rsidRPr="00092ED7">
        <w:rPr>
          <w:rFonts w:eastAsia="Calibri" w:cs="Times New Roman"/>
          <w:szCs w:val="24"/>
          <w:lang w:val="sr-Cyrl-CS"/>
        </w:rPr>
        <w:t xml:space="preserve"> у оквиру Пројекта унапређења трговине</w:t>
      </w:r>
      <w:r w:rsidR="00B34232" w:rsidRPr="00092ED7">
        <w:rPr>
          <w:rFonts w:eastAsia="Calibri" w:cs="Times New Roman"/>
          <w:szCs w:val="24"/>
          <w:lang w:val="sr-Cyrl-CS"/>
        </w:rPr>
        <w:t xml:space="preserve"> и саобраћаја</w:t>
      </w:r>
      <w:r w:rsidRPr="00092ED7">
        <w:rPr>
          <w:rFonts w:eastAsia="Calibri" w:cs="Times New Roman"/>
          <w:szCs w:val="24"/>
          <w:lang w:val="sr-Cyrl-CS"/>
        </w:rPr>
        <w:t xml:space="preserve"> </w:t>
      </w:r>
      <w:r w:rsidR="00B34232" w:rsidRPr="00092ED7">
        <w:rPr>
          <w:rFonts w:eastAsia="Calibri" w:cs="Times New Roman"/>
          <w:szCs w:val="24"/>
          <w:lang w:val="sr-Cyrl-CS"/>
        </w:rPr>
        <w:t>Западног Балкана</w:t>
      </w:r>
      <w:r w:rsidRPr="00092ED7">
        <w:rPr>
          <w:rFonts w:eastAsia="Calibri" w:cs="Times New Roman"/>
          <w:szCs w:val="24"/>
          <w:lang w:val="sr-Cyrl-CS"/>
        </w:rPr>
        <w:t xml:space="preserve">. У склопу ових активности, биће припремљена и </w:t>
      </w:r>
      <w:r w:rsidRPr="00092ED7">
        <w:rPr>
          <w:rFonts w:eastAsia="Calibri" w:cs="Times New Roman"/>
          <w:b/>
          <w:i/>
          <w:szCs w:val="24"/>
          <w:lang w:val="sr-Cyrl-CS"/>
        </w:rPr>
        <w:t xml:space="preserve">Национална </w:t>
      </w:r>
      <w:r w:rsidR="00B34232" w:rsidRPr="00092ED7">
        <w:rPr>
          <w:rFonts w:eastAsia="Calibri" w:cs="Times New Roman"/>
          <w:b/>
          <w:i/>
          <w:szCs w:val="24"/>
          <w:lang w:val="sr-Cyrl-CS"/>
        </w:rPr>
        <w:t>стратегија</w:t>
      </w:r>
      <w:r w:rsidR="00B34232" w:rsidRPr="00092ED7">
        <w:rPr>
          <w:rFonts w:eastAsia="Calibri" w:cs="Times New Roman"/>
          <w:szCs w:val="24"/>
          <w:lang w:val="sr-Cyrl-CS"/>
        </w:rPr>
        <w:t xml:space="preserve"> </w:t>
      </w:r>
      <w:r w:rsidR="00B34232" w:rsidRPr="00092ED7">
        <w:rPr>
          <w:rFonts w:eastAsia="Calibri" w:cs="Times New Roman"/>
          <w:b/>
          <w:i/>
          <w:szCs w:val="24"/>
          <w:lang w:val="sr-Cyrl-CS"/>
        </w:rPr>
        <w:t xml:space="preserve">паметног саобраћајног система </w:t>
      </w:r>
      <w:r w:rsidR="00B34232" w:rsidRPr="00092ED7">
        <w:rPr>
          <w:rFonts w:eastAsia="Calibri" w:cs="Times New Roman"/>
          <w:i/>
          <w:szCs w:val="24"/>
          <w:lang w:val="sr-Cyrl-CS"/>
        </w:rPr>
        <w:t>(ITS стратегија)</w:t>
      </w:r>
      <w:r w:rsidR="00B34232" w:rsidRPr="00092ED7">
        <w:rPr>
          <w:rFonts w:eastAsia="Calibri" w:cs="Times New Roman"/>
          <w:szCs w:val="24"/>
          <w:lang w:val="sr-Cyrl-CS"/>
        </w:rPr>
        <w:t xml:space="preserve"> </w:t>
      </w:r>
      <w:r w:rsidRPr="00092ED7">
        <w:rPr>
          <w:rFonts w:eastAsia="Calibri" w:cs="Times New Roman"/>
          <w:szCs w:val="24"/>
          <w:lang w:val="sr-Cyrl-CS"/>
        </w:rPr>
        <w:t>која ће поред друмског обухватити и железнички саобраћај</w:t>
      </w:r>
      <w:r w:rsidR="00B34232" w:rsidRPr="00092ED7">
        <w:rPr>
          <w:rFonts w:eastAsia="Calibri" w:cs="Times New Roman"/>
          <w:szCs w:val="24"/>
          <w:lang w:val="sr-Cyrl-CS"/>
        </w:rPr>
        <w:t>,</w:t>
      </w:r>
      <w:r w:rsidRPr="00092ED7">
        <w:rPr>
          <w:rFonts w:eastAsia="Calibri" w:cs="Times New Roman"/>
          <w:szCs w:val="24"/>
          <w:lang w:val="sr-Cyrl-CS"/>
        </w:rPr>
        <w:t xml:space="preserve"> у смислу имплементације савремених </w:t>
      </w:r>
      <w:r w:rsidR="00B34232" w:rsidRPr="00092ED7">
        <w:rPr>
          <w:rFonts w:eastAsia="Calibri" w:cs="Times New Roman"/>
          <w:szCs w:val="24"/>
          <w:lang w:val="sr-Cyrl-CS"/>
        </w:rPr>
        <w:t xml:space="preserve">ITS </w:t>
      </w:r>
      <w:r w:rsidRPr="00092ED7">
        <w:rPr>
          <w:rFonts w:eastAsia="Calibri" w:cs="Times New Roman"/>
          <w:szCs w:val="24"/>
          <w:lang w:val="sr-Cyrl-CS"/>
        </w:rPr>
        <w:t xml:space="preserve">технологија и иновација. Припрема адекватне секторске стратегије, а нарочито израда </w:t>
      </w:r>
      <w:r w:rsidR="00B34232" w:rsidRPr="00092ED7">
        <w:rPr>
          <w:rFonts w:eastAsia="Calibri" w:cs="Times New Roman"/>
          <w:szCs w:val="24"/>
          <w:lang w:val="sr-Cyrl-CS"/>
        </w:rPr>
        <w:t>ITS</w:t>
      </w:r>
      <w:r w:rsidRPr="00092ED7">
        <w:rPr>
          <w:rFonts w:eastAsia="Calibri" w:cs="Times New Roman"/>
          <w:szCs w:val="24"/>
          <w:lang w:val="sr-Cyrl-CS"/>
        </w:rPr>
        <w:t xml:space="preserve"> </w:t>
      </w:r>
      <w:r w:rsidR="00B34232" w:rsidRPr="00092ED7">
        <w:rPr>
          <w:rFonts w:eastAsia="Calibri" w:cs="Times New Roman"/>
          <w:szCs w:val="24"/>
          <w:lang w:val="sr-Cyrl-CS"/>
        </w:rPr>
        <w:t xml:space="preserve">стратегије </w:t>
      </w:r>
      <w:r w:rsidRPr="00092ED7">
        <w:rPr>
          <w:rFonts w:eastAsia="Calibri" w:cs="Times New Roman"/>
          <w:szCs w:val="24"/>
          <w:lang w:val="sr-Cyrl-CS"/>
        </w:rPr>
        <w:t>ће довести до стварања одговарајућег правног оквира за даље унапређење инфраструктурних капацитета, али и безбедности саобраћајног система у целини.</w:t>
      </w:r>
    </w:p>
    <w:p w14:paraId="5565FF88" w14:textId="1F6DEAD9" w:rsidR="00D210F0" w:rsidRPr="00092ED7" w:rsidRDefault="00D210F0" w:rsidP="00D210F0">
      <w:pPr>
        <w:spacing w:after="60"/>
        <w:rPr>
          <w:rFonts w:eastAsia="Calibri" w:cs="Times New Roman"/>
          <w:bCs/>
          <w:szCs w:val="24"/>
          <w:lang w:val="sr-Cyrl-CS"/>
        </w:rPr>
      </w:pPr>
      <w:r w:rsidRPr="00092ED7">
        <w:rPr>
          <w:rFonts w:eastAsia="Calibri" w:cs="Times New Roman"/>
          <w:b/>
          <w:bCs/>
          <w:szCs w:val="24"/>
          <w:lang w:val="sr-Cyrl-CS"/>
        </w:rPr>
        <w:t xml:space="preserve">Потребно је довршити реконструкцију постојећих и изградити нове деонице путева. </w:t>
      </w:r>
      <w:r w:rsidRPr="00092ED7">
        <w:rPr>
          <w:rFonts w:eastAsia="Calibri" w:cs="Times New Roman"/>
          <w:bCs/>
          <w:szCs w:val="24"/>
          <w:lang w:val="sr-Cyrl-CS"/>
        </w:rPr>
        <w:t>Реализација инфраструктурних пројеката у великој мери зависи од дужине трајања поступака експропријације и ефикасности рада катастра непокретности.</w:t>
      </w:r>
      <w:r w:rsidRPr="00092ED7">
        <w:rPr>
          <w:rFonts w:eastAsia="Calibri" w:cs="Times New Roman"/>
          <w:b/>
          <w:bCs/>
          <w:szCs w:val="24"/>
          <w:lang w:val="sr-Cyrl-CS"/>
        </w:rPr>
        <w:t xml:space="preserve"> </w:t>
      </w:r>
      <w:r w:rsidRPr="00092ED7">
        <w:rPr>
          <w:rFonts w:eastAsia="Calibri" w:cs="Times New Roman"/>
          <w:bCs/>
          <w:szCs w:val="24"/>
          <w:lang w:val="sr-Cyrl-CS"/>
        </w:rPr>
        <w:t xml:space="preserve">У оквиру аутопута Рума-Шабац-Лозница почели су радови на изградњи саобраћајнице Шабац-Лозница дужине 55 </w:t>
      </w:r>
      <w:r w:rsidR="00C758DF" w:rsidRPr="00092ED7">
        <w:rPr>
          <w:rFonts w:eastAsia="Calibri" w:cs="Times New Roman"/>
          <w:bCs/>
          <w:szCs w:val="24"/>
          <w:lang w:val="sr-Cyrl-CS"/>
        </w:rPr>
        <w:t>km</w:t>
      </w:r>
      <w:r w:rsidRPr="00092ED7">
        <w:rPr>
          <w:rFonts w:eastAsia="Calibri" w:cs="Times New Roman"/>
          <w:bCs/>
          <w:szCs w:val="24"/>
          <w:lang w:val="sr-Cyrl-CS"/>
        </w:rPr>
        <w:t xml:space="preserve">, а планиран је завршетак радова до краја септембра 2024. У току су радови на релацији деонице Појате-Крушевац у оквиру Моравског коридора (Појате-Прељина 109,6 </w:t>
      </w:r>
      <w:r w:rsidR="00C758DF" w:rsidRPr="00092ED7">
        <w:rPr>
          <w:rFonts w:eastAsia="Calibri" w:cs="Times New Roman"/>
          <w:bCs/>
          <w:szCs w:val="24"/>
          <w:lang w:val="sr-Cyrl-CS"/>
        </w:rPr>
        <w:t>km</w:t>
      </w:r>
      <w:r w:rsidRPr="00092ED7">
        <w:rPr>
          <w:rFonts w:eastAsia="Calibri" w:cs="Times New Roman"/>
          <w:bCs/>
          <w:szCs w:val="24"/>
          <w:lang w:val="sr-Cyrl-CS"/>
        </w:rPr>
        <w:t xml:space="preserve">), а завршетак целог пројекта је планиран до марта 2024. Настављена је изградња аутопута Београд-Сарајево (деоница Сремска Рача-Кузмин 18 </w:t>
      </w:r>
      <w:r w:rsidR="00C758DF" w:rsidRPr="00092ED7">
        <w:rPr>
          <w:rFonts w:eastAsia="Calibri" w:cs="Times New Roman"/>
          <w:bCs/>
          <w:szCs w:val="24"/>
          <w:lang w:val="sr-Cyrl-CS"/>
        </w:rPr>
        <w:t>km</w:t>
      </w:r>
      <w:r w:rsidRPr="00092ED7">
        <w:rPr>
          <w:rFonts w:eastAsia="Calibri" w:cs="Times New Roman"/>
          <w:bCs/>
          <w:szCs w:val="24"/>
          <w:lang w:val="sr-Cyrl-CS"/>
        </w:rPr>
        <w:t>), а тренутно се одвијају радови на мосту преко реке Саве дужине од 1,3 км. Започети су радови на изградњи деонице 1 (Жежељев мост - петља за Е-75 – Парагово) Фрушкогорског коридора. Завршена је изградња сектора Б5 у оквиру Обилазнице око Београда и планиран је завршетак радова на свим секторима до краја марта 2023. Ова обилазница ће значајно допринети смањењу фреквенције теретног саобраћаја и смањењу загађености ваздуха у Београду. У плану је изградња наставка Обилазнице - Сектора Ц, од Бубањ Потока до Винче и Панчева. Отпочели су радови на изградњи обилазнице око Новог Сада са мостом преко Дунава, а планиран завршетак је током 2024. године. Планирана је изградња модерног ауто-пута Београд-Темишвар што ће допринети повећању прекограничне сарадње у области транспорта.</w:t>
      </w:r>
    </w:p>
    <w:p w14:paraId="4508E2E4" w14:textId="4C996C40" w:rsidR="00D210F0" w:rsidRPr="00092ED7" w:rsidRDefault="00D210F0" w:rsidP="00D210F0">
      <w:pPr>
        <w:spacing w:after="60"/>
        <w:rPr>
          <w:rFonts w:eastAsia="Calibri" w:cs="Times New Roman"/>
          <w:bCs/>
          <w:szCs w:val="24"/>
          <w:lang w:val="sr-Cyrl-CS"/>
        </w:rPr>
      </w:pPr>
      <w:r w:rsidRPr="00092ED7">
        <w:rPr>
          <w:rFonts w:eastAsia="Calibri" w:cs="Times New Roman"/>
          <w:b/>
          <w:bCs/>
          <w:szCs w:val="24"/>
          <w:lang w:val="sr-Cyrl-CS"/>
        </w:rPr>
        <w:t>Комунална инфраструктура је застарела и неопходна су додатна улагања.</w:t>
      </w:r>
      <w:r w:rsidRPr="00092ED7">
        <w:rPr>
          <w:rFonts w:eastAsia="Calibri" w:cs="Times New Roman"/>
          <w:bCs/>
          <w:szCs w:val="24"/>
          <w:lang w:val="sr-Cyrl-CS"/>
        </w:rPr>
        <w:t xml:space="preserve"> Изграђено је укупно 160 </w:t>
      </w:r>
      <w:r w:rsidR="00C758DF" w:rsidRPr="00092ED7">
        <w:rPr>
          <w:rFonts w:eastAsia="Calibri" w:cs="Times New Roman"/>
          <w:bCs/>
          <w:szCs w:val="24"/>
          <w:lang w:val="sr-Cyrl-CS"/>
        </w:rPr>
        <w:t xml:space="preserve">km </w:t>
      </w:r>
      <w:r w:rsidRPr="00092ED7">
        <w:rPr>
          <w:rFonts w:eastAsia="Calibri" w:cs="Times New Roman"/>
          <w:bCs/>
          <w:szCs w:val="24"/>
          <w:lang w:val="sr-Cyrl-CS"/>
        </w:rPr>
        <w:t xml:space="preserve">нове канализационе инфраструктуре у првој половини 2022. године, док се очекује укупно 300 </w:t>
      </w:r>
      <w:r w:rsidR="00C758DF" w:rsidRPr="00092ED7">
        <w:rPr>
          <w:rFonts w:eastAsia="Calibri" w:cs="Times New Roman"/>
          <w:bCs/>
          <w:szCs w:val="24"/>
          <w:lang w:val="sr-Cyrl-CS"/>
        </w:rPr>
        <w:t xml:space="preserve">km </w:t>
      </w:r>
      <w:r w:rsidRPr="00092ED7">
        <w:rPr>
          <w:rFonts w:eastAsia="Calibri" w:cs="Times New Roman"/>
          <w:bCs/>
          <w:szCs w:val="24"/>
          <w:lang w:val="sr-Cyrl-CS"/>
        </w:rPr>
        <w:t>нове канализационе инфраструктуре и 4 постројења за прераду отпадних вода до краја 2022. године. Настављена је реализација пројекта „Чиста Србија</w:t>
      </w:r>
      <w:r w:rsidR="00C758DF" w:rsidRPr="00092ED7">
        <w:rPr>
          <w:rFonts w:eastAsia="Calibri" w:cs="Times New Roman"/>
          <w:bCs/>
          <w:szCs w:val="24"/>
          <w:lang w:val="sr-Cyrl-CS"/>
        </w:rPr>
        <w:t>ˮ</w:t>
      </w:r>
      <w:r w:rsidRPr="00092ED7">
        <w:rPr>
          <w:rFonts w:eastAsia="Calibri" w:cs="Times New Roman"/>
          <w:bCs/>
          <w:szCs w:val="24"/>
          <w:lang w:val="sr-Cyrl-CS"/>
        </w:rPr>
        <w:t xml:space="preserve"> и очекује се да највећи део радова буде завршен до краја 2023. године. Планирана је изградња 7.000 </w:t>
      </w:r>
      <w:r w:rsidR="00C758DF" w:rsidRPr="00092ED7">
        <w:rPr>
          <w:rFonts w:eastAsia="Calibri" w:cs="Times New Roman"/>
          <w:bCs/>
          <w:szCs w:val="24"/>
          <w:lang w:val="sr-Cyrl-CS"/>
        </w:rPr>
        <w:t xml:space="preserve">km </w:t>
      </w:r>
      <w:r w:rsidRPr="00092ED7">
        <w:rPr>
          <w:rFonts w:eastAsia="Calibri" w:cs="Times New Roman"/>
          <w:bCs/>
          <w:szCs w:val="24"/>
          <w:lang w:val="sr-Cyrl-CS"/>
        </w:rPr>
        <w:t>канализационе инфраструктуре и изградња више од 500 постројења за пречишћавање отпадних вода у наредних пет година.</w:t>
      </w:r>
    </w:p>
    <w:p w14:paraId="00F5208B" w14:textId="523C1554" w:rsidR="00D210F0" w:rsidRPr="00092ED7" w:rsidRDefault="00D210F0" w:rsidP="00D210F0">
      <w:pPr>
        <w:spacing w:after="60"/>
        <w:rPr>
          <w:rFonts w:eastAsia="Calibri" w:cs="Times New Roman"/>
          <w:bCs/>
          <w:szCs w:val="24"/>
          <w:lang w:val="sr-Cyrl-CS"/>
        </w:rPr>
      </w:pPr>
      <w:r w:rsidRPr="00092ED7">
        <w:rPr>
          <w:rFonts w:eastAsia="Calibri" w:cs="Times New Roman"/>
          <w:b/>
          <w:bCs/>
          <w:szCs w:val="24"/>
          <w:lang w:val="sr-Cyrl-CS"/>
        </w:rPr>
        <w:t>Неопходно је ускладити цену путарине</w:t>
      </w:r>
      <w:r w:rsidRPr="00092ED7">
        <w:rPr>
          <w:rFonts w:cs="Times New Roman"/>
          <w:b/>
          <w:bCs/>
          <w:szCs w:val="24"/>
          <w:lang w:val="sr-Cyrl-CS"/>
        </w:rPr>
        <w:t xml:space="preserve"> </w:t>
      </w:r>
      <w:r w:rsidRPr="00092ED7">
        <w:rPr>
          <w:rFonts w:eastAsia="Calibri" w:cs="Times New Roman"/>
          <w:b/>
          <w:bCs/>
          <w:szCs w:val="24"/>
          <w:lang w:val="sr-Cyrl-CS"/>
        </w:rPr>
        <w:t>тако да одговара трошковима потребним за изградњу и одржавање путне инфраструктуре и повећати пропусну моћ наплатних станица</w:t>
      </w:r>
      <w:r w:rsidRPr="00092ED7">
        <w:rPr>
          <w:rFonts w:eastAsia="Calibri" w:cs="Times New Roman"/>
          <w:bCs/>
          <w:szCs w:val="24"/>
          <w:lang w:val="sr-Cyrl-CS"/>
        </w:rPr>
        <w:t>. Прелазак на нов систем редовног одржавања путева заснованог на учинку је у току. Наплата путарине у Репубици Србији се спроводи у оквиру 66 наплатних станица, на дужини од 830 километара ауто-путева. У току је пројекат проширења 26 наплатних станица, у циљу повећања капацитета и несметаног проласка возила кроз наплатне станице. У експанзији је број корисника електронске наплате путарине (преко 420.000 активних корисника ТАГ-уређаја и више од 250 дистрибутивних места). Приходи од путарина су повећани за 28,2% мг, док је број возила у друмском саобраћају већи за 13,7 милиона (раст од 14,22% мг) у 2021.</w:t>
      </w:r>
      <w:r w:rsidRPr="00092ED7">
        <w:rPr>
          <w:rFonts w:eastAsia="Calibri" w:cs="Times New Roman"/>
          <w:bCs/>
          <w:szCs w:val="24"/>
          <w:vertAlign w:val="superscript"/>
          <w:lang w:val="sr-Cyrl-CS"/>
        </w:rPr>
        <w:footnoteReference w:id="147"/>
      </w:r>
      <w:r w:rsidRPr="00092ED7">
        <w:rPr>
          <w:rFonts w:eastAsia="Calibri" w:cs="Times New Roman"/>
          <w:bCs/>
          <w:szCs w:val="24"/>
          <w:lang w:val="sr-Cyrl-CS"/>
        </w:rPr>
        <w:t xml:space="preserve"> години. Број електронских наплата путарина је повећан за 28,86% мг у 2021. Остварен је већи обим путничких (раст од 12,2% мг) и </w:t>
      </w:r>
      <w:r w:rsidRPr="00092ED7">
        <w:rPr>
          <w:rFonts w:eastAsia="Calibri" w:cs="Times New Roman"/>
          <w:bCs/>
          <w:szCs w:val="24"/>
          <w:lang w:val="sr-Cyrl-CS"/>
        </w:rPr>
        <w:lastRenderedPageBreak/>
        <w:t>нетотонских километара (раст од 30,6% мг) у друмском саобраћају у 2021.</w:t>
      </w:r>
      <w:r w:rsidRPr="00092ED7">
        <w:rPr>
          <w:rFonts w:eastAsia="Calibri" w:cs="Times New Roman"/>
          <w:bCs/>
          <w:szCs w:val="24"/>
          <w:vertAlign w:val="superscript"/>
          <w:lang w:val="sr-Cyrl-CS"/>
        </w:rPr>
        <w:footnoteReference w:id="148"/>
      </w:r>
      <w:r w:rsidRPr="00092ED7">
        <w:rPr>
          <w:rFonts w:eastAsia="Calibri" w:cs="Times New Roman"/>
          <w:bCs/>
          <w:szCs w:val="24"/>
          <w:lang w:val="sr-Cyrl-CS"/>
        </w:rPr>
        <w:t xml:space="preserve"> Укупан број путничких возила која су ушла у </w:t>
      </w:r>
      <w:r w:rsidR="00AA7059" w:rsidRPr="00092ED7">
        <w:rPr>
          <w:rFonts w:eastAsia="Calibri" w:cs="Times New Roman"/>
          <w:bCs/>
          <w:szCs w:val="24"/>
          <w:lang w:val="sr-Cyrl-CS"/>
        </w:rPr>
        <w:t xml:space="preserve">Републику </w:t>
      </w:r>
      <w:r w:rsidRPr="00092ED7">
        <w:rPr>
          <w:rFonts w:eastAsia="Calibri" w:cs="Times New Roman"/>
          <w:bCs/>
          <w:szCs w:val="24"/>
          <w:lang w:val="sr-Cyrl-CS"/>
        </w:rPr>
        <w:t xml:space="preserve">Србију већи је за 46,1% мг, а излаз путничких возила из </w:t>
      </w:r>
      <w:r w:rsidR="00AA7059" w:rsidRPr="00092ED7">
        <w:rPr>
          <w:rFonts w:eastAsia="Calibri" w:cs="Times New Roman"/>
          <w:bCs/>
          <w:szCs w:val="24"/>
          <w:lang w:val="sr-Cyrl-CS"/>
        </w:rPr>
        <w:t xml:space="preserve">Републике </w:t>
      </w:r>
      <w:r w:rsidRPr="00092ED7">
        <w:rPr>
          <w:rFonts w:eastAsia="Calibri" w:cs="Times New Roman"/>
          <w:bCs/>
          <w:szCs w:val="24"/>
          <w:lang w:val="sr-Cyrl-CS"/>
        </w:rPr>
        <w:t>Србије је повећан за 51,1% мг у 2021. (раст улаза за 5,1% мг и раст излаза за 25,3% у Q1 2022)</w:t>
      </w:r>
      <w:r w:rsidRPr="00092ED7">
        <w:rPr>
          <w:rFonts w:eastAsia="Calibri" w:cs="Times New Roman"/>
          <w:bCs/>
          <w:szCs w:val="24"/>
          <w:vertAlign w:val="superscript"/>
          <w:lang w:val="sr-Cyrl-CS"/>
        </w:rPr>
        <w:footnoteReference w:id="149"/>
      </w:r>
      <w:r w:rsidRPr="00092ED7">
        <w:rPr>
          <w:rFonts w:eastAsia="Calibri" w:cs="Times New Roman"/>
          <w:bCs/>
          <w:szCs w:val="24"/>
          <w:lang w:val="sr-Cyrl-CS"/>
        </w:rPr>
        <w:t xml:space="preserve">. У наредном периоду потребно је остварити већи степен регионалне сарадње у погледу интероперабилности електронске наплате путарина. </w:t>
      </w:r>
    </w:p>
    <w:p w14:paraId="56EE348F" w14:textId="65785D1C" w:rsidR="00D210F0" w:rsidRPr="00092ED7" w:rsidRDefault="00D210F0" w:rsidP="00D210F0">
      <w:pPr>
        <w:spacing w:after="60"/>
        <w:rPr>
          <w:rFonts w:eastAsia="Calibri" w:cs="Times New Roman"/>
          <w:bCs/>
          <w:szCs w:val="24"/>
          <w:lang w:val="sr-Cyrl-CS"/>
        </w:rPr>
      </w:pPr>
      <w:r w:rsidRPr="00092ED7">
        <w:rPr>
          <w:rFonts w:eastAsia="Calibri" w:cs="Times New Roman"/>
          <w:b/>
          <w:szCs w:val="24"/>
          <w:lang w:val="sr-Cyrl-CS"/>
        </w:rPr>
        <w:t>Развој путничког и теретног железничког саобраћаја су ограничени услед постојања застареле железничке мреже.</w:t>
      </w:r>
      <w:r w:rsidRPr="00092ED7">
        <w:rPr>
          <w:rFonts w:eastAsia="Calibri" w:cs="Times New Roman"/>
          <w:szCs w:val="24"/>
          <w:lang w:val="sr-Cyrl-CS"/>
        </w:rPr>
        <w:t xml:space="preserve"> У циљу развоја и унапређења железничке мреже потребно је: </w:t>
      </w:r>
      <w:r w:rsidRPr="00092ED7">
        <w:rPr>
          <w:rFonts w:eastAsia="Calibri" w:cs="Times New Roman"/>
          <w:bCs/>
          <w:szCs w:val="24"/>
          <w:lang w:val="sr-Cyrl-CS"/>
        </w:rPr>
        <w:t xml:space="preserve">повећати степен електрификације пруга, остварити веће осовинско оптерећење на мрежи, омогућити обављање саобраћаја на мрежи при брзини већој од 100 </w:t>
      </w:r>
      <w:r w:rsidR="00C758DF" w:rsidRPr="00092ED7">
        <w:rPr>
          <w:rFonts w:eastAsia="Calibri" w:cs="Times New Roman"/>
          <w:bCs/>
          <w:szCs w:val="24"/>
          <w:lang w:val="sr-Cyrl-CS"/>
        </w:rPr>
        <w:t>km</w:t>
      </w:r>
      <w:r w:rsidRPr="00092ED7">
        <w:rPr>
          <w:rFonts w:eastAsia="Calibri" w:cs="Times New Roman"/>
          <w:bCs/>
          <w:szCs w:val="24"/>
          <w:lang w:val="sr-Cyrl-CS"/>
        </w:rPr>
        <w:t>/</w:t>
      </w:r>
      <w:r w:rsidR="00C758DF" w:rsidRPr="00092ED7">
        <w:rPr>
          <w:rFonts w:eastAsia="Calibri" w:cs="Times New Roman"/>
          <w:bCs/>
          <w:szCs w:val="24"/>
          <w:lang w:val="sr-Cyrl-CS"/>
        </w:rPr>
        <w:t>h</w:t>
      </w:r>
      <w:r w:rsidRPr="00092ED7">
        <w:rPr>
          <w:rFonts w:eastAsia="Calibri" w:cs="Times New Roman"/>
          <w:bCs/>
          <w:szCs w:val="24"/>
          <w:lang w:val="sr-Cyrl-CS"/>
        </w:rPr>
        <w:t xml:space="preserve"> и унапредити управљање имовином железнице. Унапређење процеса издавања дозвола за машиновође и сертификата о безбедности за железничка предузећа, уз додатно јачање механизама узајамног признавања железничких возила би допринело даљем отварању и либерализацији железничког тржишта.</w:t>
      </w:r>
      <w:r w:rsidRPr="00092ED7">
        <w:rPr>
          <w:rFonts w:eastAsia="Calibri" w:cs="Times New Roman"/>
          <w:szCs w:val="24"/>
          <w:lang w:val="sr-Cyrl-CS"/>
        </w:rPr>
        <w:t xml:space="preserve"> Потребно је усвојити план примене Европског система управљања железничким саобраћајем уз даље усклађивање Изјаве о мрежи. </w:t>
      </w:r>
      <w:r w:rsidRPr="00092ED7">
        <w:rPr>
          <w:rFonts w:eastAsia="Calibri" w:cs="Times New Roman"/>
          <w:bCs/>
          <w:szCs w:val="24"/>
          <w:lang w:val="sr-Cyrl-CS"/>
        </w:rPr>
        <w:t xml:space="preserve">У већој мери је потребно користити капацитете железничког саобраћаја, што би допринело очувању животне средине и спровођењу процеса зелене </w:t>
      </w:r>
      <w:r w:rsidR="00757D8D" w:rsidRPr="00092ED7">
        <w:rPr>
          <w:rFonts w:eastAsia="Calibri" w:cs="Times New Roman"/>
          <w:bCs/>
          <w:szCs w:val="24"/>
          <w:lang w:val="sr-Cyrl-CS"/>
        </w:rPr>
        <w:t>транзиције.</w:t>
      </w:r>
    </w:p>
    <w:p w14:paraId="0B633768" w14:textId="3E16B07D" w:rsidR="00D210F0" w:rsidRPr="00092ED7" w:rsidRDefault="00D210F0" w:rsidP="00D210F0">
      <w:pPr>
        <w:spacing w:after="60"/>
        <w:rPr>
          <w:rFonts w:eastAsia="Calibri" w:cs="Times New Roman"/>
          <w:bCs/>
          <w:szCs w:val="24"/>
          <w:lang w:val="sr-Cyrl-CS"/>
        </w:rPr>
      </w:pPr>
      <w:r w:rsidRPr="00092ED7">
        <w:rPr>
          <w:rFonts w:eastAsia="Calibri" w:cs="Times New Roman"/>
          <w:bCs/>
          <w:szCs w:val="24"/>
          <w:lang w:val="sr-Cyrl-CS"/>
        </w:rPr>
        <w:t xml:space="preserve">Укупна дужина железничке мреже у </w:t>
      </w:r>
      <w:r w:rsidR="00670890" w:rsidRPr="00092ED7">
        <w:rPr>
          <w:rFonts w:eastAsia="Calibri" w:cs="Times New Roman"/>
          <w:bCs/>
          <w:szCs w:val="24"/>
          <w:lang w:val="sr-Cyrl-CS"/>
        </w:rPr>
        <w:t xml:space="preserve">Републици </w:t>
      </w:r>
      <w:r w:rsidRPr="00092ED7">
        <w:rPr>
          <w:rFonts w:eastAsia="Calibri" w:cs="Times New Roman"/>
          <w:bCs/>
          <w:szCs w:val="24"/>
          <w:lang w:val="sr-Cyrl-CS"/>
        </w:rPr>
        <w:t xml:space="preserve">Србији износи 3.348,1 </w:t>
      </w:r>
      <w:r w:rsidR="00C758DF" w:rsidRPr="00092ED7">
        <w:rPr>
          <w:rFonts w:eastAsia="Calibri" w:cs="Times New Roman"/>
          <w:bCs/>
          <w:szCs w:val="24"/>
          <w:lang w:val="sr-Cyrl-CS"/>
        </w:rPr>
        <w:t xml:space="preserve">km </w:t>
      </w:r>
      <w:r w:rsidRPr="00092ED7">
        <w:rPr>
          <w:rFonts w:eastAsia="Calibri" w:cs="Times New Roman"/>
          <w:bCs/>
          <w:szCs w:val="24"/>
          <w:lang w:val="sr-Cyrl-CS"/>
        </w:rPr>
        <w:t xml:space="preserve">(електрифицирано 1.273,7 </w:t>
      </w:r>
      <w:r w:rsidR="00C758DF" w:rsidRPr="00092ED7">
        <w:rPr>
          <w:rFonts w:eastAsia="Calibri" w:cs="Times New Roman"/>
          <w:bCs/>
          <w:szCs w:val="24"/>
          <w:lang w:val="sr-Cyrl-CS"/>
        </w:rPr>
        <w:t>km</w:t>
      </w:r>
      <w:r w:rsidRPr="00092ED7">
        <w:rPr>
          <w:rFonts w:eastAsia="Calibri" w:cs="Times New Roman"/>
          <w:bCs/>
          <w:szCs w:val="24"/>
          <w:lang w:val="sr-Cyrl-CS"/>
        </w:rPr>
        <w:t>)</w:t>
      </w:r>
      <w:r w:rsidRPr="00092ED7">
        <w:rPr>
          <w:rFonts w:eastAsia="Calibri" w:cs="Times New Roman"/>
          <w:bCs/>
          <w:szCs w:val="24"/>
          <w:vertAlign w:val="superscript"/>
          <w:lang w:val="sr-Cyrl-CS"/>
        </w:rPr>
        <w:footnoteReference w:id="150"/>
      </w:r>
      <w:r w:rsidRPr="00092ED7">
        <w:rPr>
          <w:rFonts w:eastAsia="Calibri" w:cs="Times New Roman"/>
          <w:bCs/>
          <w:szCs w:val="24"/>
          <w:lang w:val="sr-Cyrl-CS"/>
        </w:rPr>
        <w:t>. Превоз на јавној железничкој инфраструктури обављало је 14 железничких превозника у 2021. Највећи удео у броју реализованих траса имају „Србија Воз</w:t>
      </w:r>
      <w:r w:rsidR="00C6216A" w:rsidRPr="00092ED7">
        <w:rPr>
          <w:rFonts w:cs="Times New Roman"/>
          <w:szCs w:val="24"/>
          <w:lang w:val="sr-Cyrl-CS"/>
        </w:rPr>
        <w:t>”</w:t>
      </w:r>
      <w:r w:rsidRPr="00092ED7">
        <w:rPr>
          <w:rFonts w:eastAsia="Calibri" w:cs="Times New Roman"/>
          <w:bCs/>
          <w:szCs w:val="24"/>
          <w:lang w:val="sr-Cyrl-CS"/>
        </w:rPr>
        <w:t xml:space="preserve"> а.д. (59,9%) и „Србија Карго</w:t>
      </w:r>
      <w:r w:rsidR="00C6216A" w:rsidRPr="00092ED7">
        <w:rPr>
          <w:rFonts w:cs="Times New Roman"/>
          <w:szCs w:val="24"/>
          <w:lang w:val="sr-Cyrl-CS"/>
        </w:rPr>
        <w:t>”</w:t>
      </w:r>
      <w:r w:rsidRPr="00092ED7">
        <w:rPr>
          <w:rFonts w:eastAsia="Calibri" w:cs="Times New Roman"/>
          <w:bCs/>
          <w:szCs w:val="24"/>
          <w:lang w:val="sr-Cyrl-CS"/>
        </w:rPr>
        <w:t xml:space="preserve"> а.д. (28,8%), док приватни превозници имају удео од 11,3%</w:t>
      </w:r>
      <w:r w:rsidRPr="00092ED7">
        <w:rPr>
          <w:rFonts w:eastAsia="Calibri" w:cs="Times New Roman"/>
          <w:bCs/>
          <w:szCs w:val="24"/>
          <w:vertAlign w:val="superscript"/>
          <w:lang w:val="sr-Cyrl-CS"/>
        </w:rPr>
        <w:footnoteReference w:id="151"/>
      </w:r>
      <w:r w:rsidRPr="00092ED7">
        <w:rPr>
          <w:rFonts w:eastAsia="Calibri" w:cs="Times New Roman"/>
          <w:bCs/>
          <w:szCs w:val="24"/>
          <w:lang w:val="sr-Cyrl-CS"/>
        </w:rPr>
        <w:t xml:space="preserve">. Остварено је 191 милион путничких </w:t>
      </w:r>
      <w:r w:rsidR="00C758DF" w:rsidRPr="00092ED7">
        <w:rPr>
          <w:rFonts w:eastAsia="Calibri" w:cs="Times New Roman"/>
          <w:bCs/>
          <w:szCs w:val="24"/>
          <w:lang w:val="sr-Cyrl-CS"/>
        </w:rPr>
        <w:t xml:space="preserve">km </w:t>
      </w:r>
      <w:r w:rsidRPr="00092ED7">
        <w:rPr>
          <w:rFonts w:eastAsia="Calibri" w:cs="Times New Roman"/>
          <w:bCs/>
          <w:szCs w:val="24"/>
          <w:lang w:val="sr-Cyrl-CS"/>
        </w:rPr>
        <w:t xml:space="preserve">(раст од 21,7% мг) и 2,9 милијарде нетотонских </w:t>
      </w:r>
      <w:r w:rsidR="00C758DF" w:rsidRPr="00092ED7">
        <w:rPr>
          <w:rFonts w:eastAsia="Calibri" w:cs="Times New Roman"/>
          <w:bCs/>
          <w:szCs w:val="24"/>
          <w:lang w:val="sr-Cyrl-CS"/>
        </w:rPr>
        <w:t xml:space="preserve">km </w:t>
      </w:r>
      <w:r w:rsidRPr="00092ED7">
        <w:rPr>
          <w:rFonts w:eastAsia="Calibri" w:cs="Times New Roman"/>
          <w:bCs/>
          <w:szCs w:val="24"/>
          <w:lang w:val="sr-Cyrl-CS"/>
        </w:rPr>
        <w:t>(раст од 6,5% мг) у железничком саобраћају у 2021.</w:t>
      </w:r>
      <w:r w:rsidRPr="00092ED7">
        <w:rPr>
          <w:rFonts w:eastAsia="Calibri" w:cs="Times New Roman"/>
          <w:bCs/>
          <w:szCs w:val="24"/>
          <w:vertAlign w:val="superscript"/>
          <w:lang w:val="sr-Cyrl-CS"/>
        </w:rPr>
        <w:footnoteReference w:id="152"/>
      </w:r>
      <w:r w:rsidRPr="00092ED7">
        <w:rPr>
          <w:rFonts w:eastAsia="Calibri" w:cs="Times New Roman"/>
          <w:szCs w:val="24"/>
          <w:lang w:val="sr-Cyrl-CS"/>
        </w:rPr>
        <w:t xml:space="preserve"> </w:t>
      </w:r>
      <w:r w:rsidRPr="00092ED7">
        <w:rPr>
          <w:rFonts w:eastAsia="Calibri" w:cs="Times New Roman"/>
          <w:bCs/>
          <w:szCs w:val="24"/>
          <w:lang w:val="sr-Cyrl-CS"/>
        </w:rPr>
        <w:t>У</w:t>
      </w:r>
      <w:r w:rsidR="00FE7C38" w:rsidRPr="00092ED7">
        <w:rPr>
          <w:rFonts w:eastAsia="Calibri" w:cs="Times New Roman"/>
          <w:bCs/>
          <w:szCs w:val="24"/>
          <w:lang w:val="sr-Cyrl-CS"/>
        </w:rPr>
        <w:t xml:space="preserve"> 2021. години је у</w:t>
      </w:r>
      <w:r w:rsidRPr="00092ED7">
        <w:rPr>
          <w:rFonts w:eastAsia="Calibri" w:cs="Times New Roman"/>
          <w:bCs/>
          <w:szCs w:val="24"/>
          <w:lang w:val="sr-Cyrl-CS"/>
        </w:rPr>
        <w:t xml:space="preserve">купно реконструисано и изграђено </w:t>
      </w:r>
      <w:r w:rsidR="00FE7C38" w:rsidRPr="00092ED7">
        <w:rPr>
          <w:rFonts w:eastAsia="Calibri" w:cs="Times New Roman"/>
          <w:bCs/>
          <w:szCs w:val="24"/>
          <w:lang w:val="sr-Cyrl-CS"/>
        </w:rPr>
        <w:t xml:space="preserve">86 </w:t>
      </w:r>
      <w:r w:rsidR="00C758DF" w:rsidRPr="00092ED7">
        <w:rPr>
          <w:rFonts w:eastAsia="Calibri" w:cs="Times New Roman"/>
          <w:bCs/>
          <w:szCs w:val="24"/>
          <w:lang w:val="sr-Cyrl-CS"/>
        </w:rPr>
        <w:t xml:space="preserve">km </w:t>
      </w:r>
      <w:r w:rsidRPr="00092ED7">
        <w:rPr>
          <w:rFonts w:eastAsia="Calibri" w:cs="Times New Roman"/>
          <w:bCs/>
          <w:szCs w:val="24"/>
          <w:lang w:val="sr-Cyrl-CS"/>
        </w:rPr>
        <w:t xml:space="preserve">регионалних и локалних пруга, </w:t>
      </w:r>
      <w:r w:rsidR="00FE7C38" w:rsidRPr="00092ED7">
        <w:rPr>
          <w:rFonts w:eastAsia="Calibri" w:cs="Times New Roman"/>
          <w:bCs/>
          <w:szCs w:val="24"/>
          <w:lang w:val="sr-Cyrl-CS"/>
        </w:rPr>
        <w:t xml:space="preserve">док су у 2022. години завршени радови који се тичу реконструкције и изградње 52 </w:t>
      </w:r>
      <w:r w:rsidR="00C758DF" w:rsidRPr="00092ED7">
        <w:rPr>
          <w:rFonts w:eastAsia="Calibri" w:cs="Times New Roman"/>
          <w:bCs/>
          <w:szCs w:val="24"/>
          <w:lang w:val="sr-Cyrl-CS"/>
        </w:rPr>
        <w:t xml:space="preserve">km </w:t>
      </w:r>
      <w:r w:rsidR="00FE7C38" w:rsidRPr="00092ED7">
        <w:rPr>
          <w:rFonts w:eastAsia="Calibri" w:cs="Times New Roman"/>
          <w:bCs/>
          <w:szCs w:val="24"/>
          <w:lang w:val="sr-Cyrl-CS"/>
        </w:rPr>
        <w:t xml:space="preserve">регионалних и око 143 </w:t>
      </w:r>
      <w:r w:rsidR="00C758DF" w:rsidRPr="00092ED7">
        <w:rPr>
          <w:rFonts w:eastAsia="Calibri" w:cs="Times New Roman"/>
          <w:bCs/>
          <w:szCs w:val="24"/>
          <w:lang w:val="sr-Cyrl-CS"/>
        </w:rPr>
        <w:t xml:space="preserve">km </w:t>
      </w:r>
      <w:r w:rsidR="00FE7C38" w:rsidRPr="00092ED7">
        <w:rPr>
          <w:rFonts w:eastAsia="Calibri" w:cs="Times New Roman"/>
          <w:bCs/>
          <w:szCs w:val="24"/>
          <w:lang w:val="sr-Cyrl-CS"/>
        </w:rPr>
        <w:t>магистралних пруга.</w:t>
      </w:r>
    </w:p>
    <w:p w14:paraId="78514D78" w14:textId="602F7443" w:rsidR="00D210F0" w:rsidRPr="00092ED7" w:rsidRDefault="00D210F0" w:rsidP="00D210F0">
      <w:pPr>
        <w:spacing w:after="60"/>
        <w:rPr>
          <w:rFonts w:eastAsia="Calibri" w:cs="Times New Roman"/>
          <w:bCs/>
          <w:szCs w:val="24"/>
          <w:lang w:val="sr-Cyrl-CS"/>
        </w:rPr>
      </w:pPr>
      <w:r w:rsidRPr="00092ED7">
        <w:rPr>
          <w:rFonts w:eastAsia="Calibri" w:cs="Times New Roman"/>
          <w:bCs/>
          <w:szCs w:val="24"/>
          <w:lang w:val="sr-Cyrl-CS"/>
        </w:rPr>
        <w:t xml:space="preserve">Завршени су радови на брзој прузи Београд-Нови Сад, а возови су пуштени у саобраћај од 19. марта 2022. године. Окончани су радови на модернизацији пруге Јајинци-Мала Крсна дужине 68,8 </w:t>
      </w:r>
      <w:r w:rsidR="00C758DF" w:rsidRPr="00092ED7">
        <w:rPr>
          <w:rFonts w:eastAsia="Calibri" w:cs="Times New Roman"/>
          <w:bCs/>
          <w:szCs w:val="24"/>
          <w:lang w:val="sr-Cyrl-CS"/>
        </w:rPr>
        <w:t xml:space="preserve">km </w:t>
      </w:r>
      <w:r w:rsidRPr="00092ED7">
        <w:rPr>
          <w:rFonts w:eastAsia="Calibri" w:cs="Times New Roman"/>
          <w:bCs/>
          <w:szCs w:val="24"/>
          <w:lang w:val="sr-Cyrl-CS"/>
        </w:rPr>
        <w:t xml:space="preserve">и комерцијални саобраћај се одвија од 22. јуна 2022. У току су радови на прузи Нови Сад-Суботица-Хоргош (107,4 </w:t>
      </w:r>
      <w:r w:rsidR="00C758DF" w:rsidRPr="00092ED7">
        <w:rPr>
          <w:rFonts w:eastAsia="Calibri" w:cs="Times New Roman"/>
          <w:bCs/>
          <w:szCs w:val="24"/>
          <w:lang w:val="sr-Cyrl-CS"/>
        </w:rPr>
        <w:t>km</w:t>
      </w:r>
      <w:r w:rsidRPr="00092ED7">
        <w:rPr>
          <w:rFonts w:eastAsia="Calibri" w:cs="Times New Roman"/>
          <w:bCs/>
          <w:szCs w:val="24"/>
          <w:lang w:val="sr-Cyrl-CS"/>
        </w:rPr>
        <w:t xml:space="preserve">), а планиран завршетак је до априла 2024. године. Деоница Суботица-Хоргош </w:t>
      </w:r>
      <w:r w:rsidR="00FE7C38" w:rsidRPr="00092ED7">
        <w:rPr>
          <w:rFonts w:eastAsia="Calibri" w:cs="Times New Roman"/>
          <w:bCs/>
          <w:szCs w:val="24"/>
          <w:lang w:val="sr-Cyrl-CS"/>
        </w:rPr>
        <w:t>је завршена у августу 2022. године</w:t>
      </w:r>
      <w:r w:rsidRPr="00092ED7">
        <w:rPr>
          <w:rFonts w:eastAsia="Calibri" w:cs="Times New Roman"/>
          <w:bCs/>
          <w:szCs w:val="24"/>
          <w:lang w:val="sr-Cyrl-CS"/>
        </w:rPr>
        <w:t xml:space="preserve">. Планирана је реконструкција 55 железничких станица у 2022. године. Како би се </w:t>
      </w:r>
      <w:r w:rsidR="00FE7C38" w:rsidRPr="00092ED7">
        <w:rPr>
          <w:rFonts w:eastAsia="Calibri" w:cs="Times New Roman"/>
          <w:bCs/>
          <w:szCs w:val="24"/>
          <w:lang w:val="sr-Cyrl-CS"/>
        </w:rPr>
        <w:t xml:space="preserve">омогућио </w:t>
      </w:r>
      <w:r w:rsidRPr="00092ED7">
        <w:rPr>
          <w:rFonts w:eastAsia="Calibri" w:cs="Times New Roman"/>
          <w:bCs/>
          <w:szCs w:val="24"/>
          <w:lang w:val="sr-Cyrl-CS"/>
        </w:rPr>
        <w:t xml:space="preserve">даљи развој железничке инфраструктуре, планирано је демонтирање и уклањање око 435 </w:t>
      </w:r>
      <w:r w:rsidR="00C758DF" w:rsidRPr="00092ED7">
        <w:rPr>
          <w:rFonts w:eastAsia="Calibri" w:cs="Times New Roman"/>
          <w:bCs/>
          <w:szCs w:val="24"/>
          <w:lang w:val="sr-Cyrl-CS"/>
        </w:rPr>
        <w:t xml:space="preserve">km </w:t>
      </w:r>
      <w:r w:rsidRPr="00092ED7">
        <w:rPr>
          <w:rFonts w:eastAsia="Calibri" w:cs="Times New Roman"/>
          <w:bCs/>
          <w:szCs w:val="24"/>
          <w:lang w:val="sr-Cyrl-CS"/>
        </w:rPr>
        <w:t>старих пруга у Републици Србији.</w:t>
      </w:r>
    </w:p>
    <w:p w14:paraId="6215F9BD" w14:textId="395E498A" w:rsidR="00D210F0" w:rsidRPr="00092ED7" w:rsidRDefault="00D210F0" w:rsidP="00D210F0">
      <w:pPr>
        <w:spacing w:after="60"/>
        <w:rPr>
          <w:rFonts w:eastAsia="Calibri" w:cs="Times New Roman"/>
          <w:bCs/>
          <w:szCs w:val="24"/>
          <w:lang w:val="sr-Cyrl-CS"/>
        </w:rPr>
      </w:pPr>
      <w:r w:rsidRPr="00092ED7">
        <w:rPr>
          <w:rFonts w:eastAsia="Calibri" w:cs="Times New Roman"/>
          <w:bCs/>
          <w:szCs w:val="24"/>
          <w:lang w:val="sr-Cyrl-CS"/>
        </w:rPr>
        <w:t xml:space="preserve">Усвојен је </w:t>
      </w:r>
      <w:r w:rsidRPr="00092ED7">
        <w:rPr>
          <w:rFonts w:eastAsia="Calibri" w:cs="Times New Roman"/>
          <w:bCs/>
          <w:i/>
          <w:szCs w:val="24"/>
          <w:lang w:val="sr-Cyrl-CS"/>
        </w:rPr>
        <w:t>Закон о метроу и градској железници</w:t>
      </w:r>
      <w:r w:rsidRPr="00092ED7">
        <w:rPr>
          <w:rFonts w:eastAsia="Calibri" w:cs="Times New Roman"/>
          <w:bCs/>
          <w:szCs w:val="24"/>
          <w:lang w:val="sr-Cyrl-CS"/>
        </w:rPr>
        <w:t xml:space="preserve"> („Службени гласник РС</w:t>
      </w:r>
      <w:r w:rsidR="00D7265D" w:rsidRPr="00092ED7">
        <w:rPr>
          <w:rFonts w:cs="Times New Roman"/>
          <w:szCs w:val="24"/>
          <w:lang w:val="sr-Cyrl-CS"/>
        </w:rPr>
        <w:t>”</w:t>
      </w:r>
      <w:r w:rsidRPr="00092ED7">
        <w:rPr>
          <w:rFonts w:eastAsia="Calibri" w:cs="Times New Roman"/>
          <w:bCs/>
          <w:szCs w:val="24"/>
          <w:lang w:val="sr-Cyrl-CS"/>
        </w:rPr>
        <w:t>, број 52/21) као правни оквир за успостављање метро система и потписан је Меморандум о разумевању за пројекат „Београдски метро</w:t>
      </w:r>
      <w:r w:rsidR="00BD7A11" w:rsidRPr="00092ED7">
        <w:rPr>
          <w:rFonts w:cs="Times New Roman"/>
          <w:szCs w:val="24"/>
          <w:lang w:val="sr-Cyrl-CS"/>
        </w:rPr>
        <w:t>”</w:t>
      </w:r>
      <w:r w:rsidRPr="00092ED7">
        <w:rPr>
          <w:rFonts w:eastAsia="Calibri" w:cs="Times New Roman"/>
          <w:bCs/>
          <w:szCs w:val="24"/>
          <w:lang w:val="sr-Cyrl-CS"/>
        </w:rPr>
        <w:t xml:space="preserve">. Предвиђено је да прва линија метроа буде завршена до 2028. године, док је планирани рок завршетка целог пројекта предвиђен до 2033. године. Београдски метро ће у систем враћати до 20% енергије, што је посебно важно са аспекта заштите животне средине. Планирано је да прва линија метроа има 28 возова са по </w:t>
      </w:r>
      <w:r w:rsidR="00670890" w:rsidRPr="00092ED7">
        <w:rPr>
          <w:rFonts w:eastAsia="Calibri" w:cs="Times New Roman"/>
          <w:bCs/>
          <w:szCs w:val="24"/>
          <w:lang w:val="sr-Cyrl-CS"/>
        </w:rPr>
        <w:t xml:space="preserve">три </w:t>
      </w:r>
      <w:r w:rsidRPr="00092ED7">
        <w:rPr>
          <w:rFonts w:eastAsia="Calibri" w:cs="Times New Roman"/>
          <w:bCs/>
          <w:szCs w:val="24"/>
          <w:lang w:val="sr-Cyrl-CS"/>
        </w:rPr>
        <w:t xml:space="preserve">вагона који ће превозити 435 људи. </w:t>
      </w:r>
    </w:p>
    <w:p w14:paraId="001ABF53" w14:textId="77429671" w:rsidR="00D210F0" w:rsidRPr="00092ED7" w:rsidRDefault="00D210F0" w:rsidP="00D210F0">
      <w:pPr>
        <w:spacing w:after="60"/>
        <w:rPr>
          <w:rFonts w:eastAsia="Calibri" w:cs="Times New Roman"/>
          <w:b/>
          <w:szCs w:val="24"/>
          <w:lang w:val="sr-Cyrl-CS"/>
        </w:rPr>
      </w:pPr>
      <w:r w:rsidRPr="00092ED7">
        <w:rPr>
          <w:rFonts w:eastAsia="Calibri" w:cs="Times New Roman"/>
          <w:b/>
          <w:bCs/>
          <w:szCs w:val="24"/>
          <w:lang w:val="sr-Cyrl-CS"/>
        </w:rPr>
        <w:t xml:space="preserve">Неопходно је олакшати процедуре на граничним прелазима, унапредити безбедност саобраћаја и јачати капацитете инспекцијских служби. </w:t>
      </w:r>
      <w:r w:rsidRPr="00092ED7">
        <w:rPr>
          <w:rFonts w:eastAsia="Calibri" w:cs="Times New Roman"/>
          <w:bCs/>
          <w:szCs w:val="24"/>
          <w:lang w:val="sr-Cyrl-CS"/>
        </w:rPr>
        <w:t xml:space="preserve">Број </w:t>
      </w:r>
      <w:r w:rsidRPr="00092ED7">
        <w:rPr>
          <w:rFonts w:eastAsia="Calibri" w:cs="Times New Roman"/>
          <w:bCs/>
          <w:szCs w:val="24"/>
          <w:lang w:val="sr-Cyrl-CS"/>
        </w:rPr>
        <w:lastRenderedPageBreak/>
        <w:t>саобраћајних незгода повећан је за 12,8% мг, док је број настрадалих лица већи за 11,4% мг у 2021.</w:t>
      </w:r>
      <w:r w:rsidRPr="00092ED7">
        <w:rPr>
          <w:rFonts w:eastAsia="Calibri" w:cs="Times New Roman"/>
          <w:bCs/>
          <w:szCs w:val="24"/>
          <w:vertAlign w:val="superscript"/>
          <w:lang w:val="sr-Cyrl-CS"/>
        </w:rPr>
        <w:footnoteReference w:id="153"/>
      </w:r>
      <w:r w:rsidRPr="00092ED7">
        <w:rPr>
          <w:rFonts w:eastAsia="Calibri" w:cs="Times New Roman"/>
          <w:bCs/>
          <w:szCs w:val="24"/>
          <w:lang w:val="sr-Cyrl-CS"/>
        </w:rPr>
        <w:t xml:space="preserve"> години. Процењује се да је у 30% смртних исхода на путевима до незгоде дошло због тога што је саобраћајна сигнализација уништена или украдена.</w:t>
      </w:r>
      <w:r w:rsidRPr="00092ED7">
        <w:rPr>
          <w:rFonts w:eastAsia="Calibri" w:cs="Times New Roman"/>
          <w:szCs w:val="24"/>
          <w:lang w:val="sr-Cyrl-CS"/>
        </w:rPr>
        <w:t xml:space="preserve"> </w:t>
      </w:r>
      <w:r w:rsidRPr="00092ED7">
        <w:rPr>
          <w:rFonts w:eastAsia="Calibri" w:cs="Times New Roman"/>
          <w:bCs/>
          <w:szCs w:val="24"/>
          <w:lang w:val="sr-Cyrl-CS"/>
        </w:rPr>
        <w:t>Присутно је повећање саобраћајне сигнализације, нарочито у зонама образовних установа и на местима означеним као ,,црне рупе</w:t>
      </w:r>
      <w:r w:rsidR="00B2638E" w:rsidRPr="00092ED7">
        <w:rPr>
          <w:rFonts w:cs="Times New Roman"/>
          <w:szCs w:val="24"/>
          <w:lang w:val="sr-Cyrl-CS"/>
        </w:rPr>
        <w:t>”</w:t>
      </w:r>
      <w:r w:rsidRPr="00092ED7">
        <w:rPr>
          <w:rFonts w:eastAsia="Calibri" w:cs="Times New Roman"/>
          <w:bCs/>
          <w:szCs w:val="24"/>
          <w:lang w:val="sr-Cyrl-CS"/>
        </w:rPr>
        <w:t>.</w:t>
      </w:r>
      <w:r w:rsidRPr="00092ED7">
        <w:rPr>
          <w:rFonts w:eastAsia="Calibri" w:cs="Times New Roman"/>
          <w:szCs w:val="24"/>
          <w:lang w:val="sr-Cyrl-CS"/>
        </w:rPr>
        <w:t xml:space="preserve"> Технички преглед возила је унапређен усвајањем </w:t>
      </w:r>
      <w:r w:rsidRPr="00092ED7">
        <w:rPr>
          <w:rFonts w:eastAsia="Calibri" w:cs="Times New Roman"/>
          <w:i/>
          <w:szCs w:val="24"/>
          <w:lang w:val="sr-Cyrl-CS"/>
        </w:rPr>
        <w:t>Правилника о безбедносним седиштима</w:t>
      </w:r>
      <w:r w:rsidRPr="00092ED7">
        <w:rPr>
          <w:rFonts w:eastAsia="Calibri" w:cs="Times New Roman"/>
          <w:szCs w:val="24"/>
          <w:lang w:val="sr-Cyrl-CS"/>
        </w:rPr>
        <w:t xml:space="preserve"> („Сл</w:t>
      </w:r>
      <w:r w:rsidR="00683A1C" w:rsidRPr="00092ED7">
        <w:rPr>
          <w:rFonts w:eastAsia="Calibri" w:cs="Times New Roman"/>
          <w:szCs w:val="24"/>
          <w:lang w:val="sr-Cyrl-CS"/>
        </w:rPr>
        <w:t>ужбени</w:t>
      </w:r>
      <w:r w:rsidRPr="00092ED7">
        <w:rPr>
          <w:rFonts w:eastAsia="Calibri" w:cs="Times New Roman"/>
          <w:szCs w:val="24"/>
          <w:lang w:val="sr-Cyrl-CS"/>
        </w:rPr>
        <w:t xml:space="preserve"> гласник</w:t>
      </w:r>
      <w:r w:rsidR="0011016A" w:rsidRPr="00092ED7">
        <w:rPr>
          <w:rFonts w:eastAsia="Calibri" w:cs="Times New Roman"/>
          <w:szCs w:val="24"/>
          <w:lang w:val="sr-Cyrl-CS"/>
        </w:rPr>
        <w:t xml:space="preserve"> РС</w:t>
      </w:r>
      <w:r w:rsidR="00683A1C" w:rsidRPr="00092ED7">
        <w:rPr>
          <w:rFonts w:cs="Times New Roman"/>
          <w:szCs w:val="24"/>
          <w:lang w:val="sr-Cyrl-CS"/>
        </w:rPr>
        <w:t>”</w:t>
      </w:r>
      <w:r w:rsidR="0011016A" w:rsidRPr="00092ED7">
        <w:rPr>
          <w:rFonts w:eastAsia="Calibri" w:cs="Times New Roman"/>
          <w:szCs w:val="24"/>
          <w:lang w:val="sr-Cyrl-CS"/>
        </w:rPr>
        <w:t>, бр</w:t>
      </w:r>
      <w:r w:rsidR="00683A1C" w:rsidRPr="00092ED7">
        <w:rPr>
          <w:rFonts w:eastAsia="Calibri" w:cs="Times New Roman"/>
          <w:szCs w:val="24"/>
          <w:lang w:val="sr-Cyrl-CS"/>
        </w:rPr>
        <w:t>ој</w:t>
      </w:r>
      <w:r w:rsidRPr="00092ED7">
        <w:rPr>
          <w:rFonts w:eastAsia="Calibri" w:cs="Times New Roman"/>
          <w:szCs w:val="24"/>
          <w:lang w:val="sr-Cyrl-CS"/>
        </w:rPr>
        <w:t xml:space="preserve"> 126/20) и </w:t>
      </w:r>
      <w:r w:rsidRPr="00092ED7">
        <w:rPr>
          <w:rFonts w:eastAsia="Calibri" w:cs="Times New Roman"/>
          <w:i/>
          <w:szCs w:val="24"/>
          <w:lang w:val="sr-Cyrl-CS"/>
        </w:rPr>
        <w:t>Правилника о техничком прегледу возила</w:t>
      </w:r>
      <w:r w:rsidRPr="00092ED7">
        <w:rPr>
          <w:rFonts w:eastAsia="Calibri" w:cs="Times New Roman"/>
          <w:szCs w:val="24"/>
          <w:lang w:val="sr-Cyrl-CS"/>
        </w:rPr>
        <w:t xml:space="preserve"> („Сл</w:t>
      </w:r>
      <w:r w:rsidR="00683A1C" w:rsidRPr="00092ED7">
        <w:rPr>
          <w:rFonts w:eastAsia="Calibri" w:cs="Times New Roman"/>
          <w:szCs w:val="24"/>
          <w:lang w:val="sr-Cyrl-CS"/>
        </w:rPr>
        <w:t>ужбени</w:t>
      </w:r>
      <w:r w:rsidRPr="00092ED7">
        <w:rPr>
          <w:rFonts w:eastAsia="Calibri" w:cs="Times New Roman"/>
          <w:szCs w:val="24"/>
          <w:lang w:val="sr-Cyrl-CS"/>
        </w:rPr>
        <w:t xml:space="preserve"> гласник</w:t>
      </w:r>
      <w:r w:rsidR="0011016A" w:rsidRPr="00092ED7">
        <w:rPr>
          <w:rFonts w:eastAsia="Calibri" w:cs="Times New Roman"/>
          <w:szCs w:val="24"/>
          <w:lang w:val="sr-Cyrl-CS"/>
        </w:rPr>
        <w:t xml:space="preserve"> РС</w:t>
      </w:r>
      <w:r w:rsidR="00683A1C" w:rsidRPr="00092ED7">
        <w:rPr>
          <w:rFonts w:cs="Times New Roman"/>
          <w:szCs w:val="24"/>
          <w:lang w:val="sr-Cyrl-CS"/>
        </w:rPr>
        <w:t>”</w:t>
      </w:r>
      <w:r w:rsidR="0011016A" w:rsidRPr="00092ED7">
        <w:rPr>
          <w:rFonts w:eastAsia="Calibri" w:cs="Times New Roman"/>
          <w:szCs w:val="24"/>
          <w:lang w:val="sr-Cyrl-CS"/>
        </w:rPr>
        <w:t>, бр.</w:t>
      </w:r>
      <w:r w:rsidRPr="00092ED7">
        <w:rPr>
          <w:rFonts w:eastAsia="Calibri" w:cs="Times New Roman"/>
          <w:szCs w:val="24"/>
          <w:lang w:val="sr-Cyrl-CS"/>
        </w:rPr>
        <w:t xml:space="preserve"> 31/18, 70/18 </w:t>
      </w:r>
      <w:r w:rsidR="00CD2D87" w:rsidRPr="00092ED7">
        <w:rPr>
          <w:rFonts w:eastAsia="Calibri" w:cs="Times New Roman"/>
          <w:szCs w:val="24"/>
          <w:lang w:val="sr-Cyrl-CS"/>
        </w:rPr>
        <w:t xml:space="preserve">и </w:t>
      </w:r>
      <w:r w:rsidRPr="00092ED7">
        <w:rPr>
          <w:rFonts w:eastAsia="Calibri" w:cs="Times New Roman"/>
          <w:szCs w:val="24"/>
          <w:lang w:val="sr-Cyrl-CS"/>
        </w:rPr>
        <w:t xml:space="preserve">62/22). </w:t>
      </w:r>
      <w:r w:rsidRPr="00092ED7">
        <w:rPr>
          <w:rFonts w:eastAsia="Calibri" w:cs="Times New Roman"/>
          <w:bCs/>
          <w:szCs w:val="24"/>
          <w:lang w:val="sr-Cyrl-CS"/>
        </w:rPr>
        <w:t xml:space="preserve">Започета је реализација пројекта модернизације граничног прелаза Хоргош, а планирани завршетак радова је у другој половини 2023. године. У току је израда </w:t>
      </w:r>
      <w:r w:rsidR="00F50058" w:rsidRPr="00092ED7">
        <w:rPr>
          <w:rFonts w:eastAsia="Calibri" w:cs="Times New Roman"/>
          <w:bCs/>
          <w:i/>
          <w:szCs w:val="24"/>
          <w:lang w:val="sr-Cyrl-CS"/>
        </w:rPr>
        <w:t>с</w:t>
      </w:r>
      <w:r w:rsidRPr="00092ED7">
        <w:rPr>
          <w:rFonts w:eastAsia="Calibri" w:cs="Times New Roman"/>
          <w:bCs/>
          <w:i/>
          <w:szCs w:val="24"/>
          <w:lang w:val="sr-Cyrl-CS"/>
        </w:rPr>
        <w:t>тратегије безбедности саобраћаја од 2022. до 2030. године</w:t>
      </w:r>
      <w:r w:rsidRPr="00092ED7">
        <w:rPr>
          <w:rFonts w:eastAsia="Calibri" w:cs="Times New Roman"/>
          <w:bCs/>
          <w:szCs w:val="24"/>
          <w:lang w:val="sr-Cyrl-CS"/>
        </w:rPr>
        <w:t>. У наредних годину дана планирано је постављање опреме за осигурање на 35 путних прелаза, што ће допринети повећању безбедности на прелазу пута преко железничке пруге.</w:t>
      </w:r>
      <w:r w:rsidRPr="00092ED7">
        <w:rPr>
          <w:rFonts w:eastAsia="Calibri" w:cs="Times New Roman"/>
          <w:b/>
          <w:szCs w:val="24"/>
          <w:lang w:val="sr-Cyrl-CS"/>
        </w:rPr>
        <w:t xml:space="preserve"> </w:t>
      </w:r>
      <w:r w:rsidRPr="00092ED7">
        <w:rPr>
          <w:rFonts w:eastAsia="Calibri" w:cs="Times New Roman"/>
          <w:szCs w:val="24"/>
          <w:lang w:val="sr-Cyrl-CS"/>
        </w:rPr>
        <w:t xml:space="preserve">Неопходно је у наредном периоду усвојити нови закон о безбедности саобраћаја на путевима и наставити са уговарањем одржавања путева заснованом на учинку. </w:t>
      </w:r>
      <w:r w:rsidRPr="00092ED7">
        <w:rPr>
          <w:rFonts w:eastAsia="Calibri" w:cs="Times New Roman"/>
          <w:bCs/>
          <w:szCs w:val="24"/>
          <w:lang w:val="sr-Cyrl-CS"/>
        </w:rPr>
        <w:t>Потребно је проширити капацитете Дирекције за железнице као регулаторног тела и тела надлежног за безбедност железничког саобраћаја. Присутна су кашњења у успостављању: методологије за обрачун накнада за приступ колосеку, новог модела за одређивање цена за приступ железничкој инфраструктури и ИТС-а у свим видовима саобраћаја.</w:t>
      </w:r>
    </w:p>
    <w:p w14:paraId="1D2A89B4" w14:textId="311A4BEF" w:rsidR="00D210F0" w:rsidRPr="00092ED7" w:rsidRDefault="00D210F0" w:rsidP="00D210F0">
      <w:pPr>
        <w:spacing w:after="60"/>
        <w:rPr>
          <w:rFonts w:eastAsia="Calibri" w:cs="Times New Roman"/>
          <w:szCs w:val="24"/>
          <w:lang w:val="sr-Cyrl-CS"/>
        </w:rPr>
      </w:pPr>
      <w:r w:rsidRPr="00092ED7">
        <w:rPr>
          <w:rFonts w:eastAsia="Calibri" w:cs="Times New Roman"/>
          <w:b/>
          <w:szCs w:val="24"/>
          <w:lang w:val="sr-Cyrl-CS"/>
        </w:rPr>
        <w:t xml:space="preserve">Потребно је успоставити и јачати капацитете комбинованог/интермодалног транспорта. </w:t>
      </w:r>
      <w:r w:rsidRPr="00092ED7">
        <w:rPr>
          <w:rFonts w:eastAsia="Calibri" w:cs="Times New Roman"/>
          <w:szCs w:val="24"/>
          <w:lang w:val="sr-Cyrl-CS"/>
        </w:rPr>
        <w:t>Започета је изградња Интермодалног терминала у Батајници у септембру 2020. Планирана је изградња приступних друмских и железничких саобраћајница, површина за складиштење и маневрисање и административног објекта. Финансијска средства су обезбеђена кроз подршку путем ИПА пројеката и из буџета Р</w:t>
      </w:r>
      <w:r w:rsidR="00670890" w:rsidRPr="00092ED7">
        <w:rPr>
          <w:rFonts w:eastAsia="Calibri" w:cs="Times New Roman"/>
          <w:szCs w:val="24"/>
          <w:lang w:val="sr-Cyrl-CS"/>
        </w:rPr>
        <w:t xml:space="preserve">епублике </w:t>
      </w:r>
      <w:r w:rsidRPr="00092ED7">
        <w:rPr>
          <w:rFonts w:eastAsia="Calibri" w:cs="Times New Roman"/>
          <w:szCs w:val="24"/>
          <w:lang w:val="sr-Cyrl-CS"/>
        </w:rPr>
        <w:t>С</w:t>
      </w:r>
      <w:r w:rsidR="00670890" w:rsidRPr="00092ED7">
        <w:rPr>
          <w:rFonts w:eastAsia="Calibri" w:cs="Times New Roman"/>
          <w:szCs w:val="24"/>
          <w:lang w:val="sr-Cyrl-CS"/>
        </w:rPr>
        <w:t>рбије</w:t>
      </w:r>
      <w:r w:rsidRPr="00092ED7">
        <w:rPr>
          <w:rFonts w:eastAsia="Calibri" w:cs="Times New Roman"/>
          <w:szCs w:val="24"/>
          <w:lang w:val="sr-Cyrl-CS"/>
        </w:rPr>
        <w:t>. Неопходно је у наредном периоду интензивирати радове на овом терминалу и усвојити техничке спецификације за интероперабилност.</w:t>
      </w:r>
    </w:p>
    <w:p w14:paraId="03F17ADD" w14:textId="45C6932A" w:rsidR="00D210F0" w:rsidRPr="00092ED7" w:rsidRDefault="00D210F0" w:rsidP="00D210F0">
      <w:pPr>
        <w:spacing w:after="60"/>
        <w:rPr>
          <w:rFonts w:eastAsia="Calibri" w:cs="Times New Roman"/>
          <w:bCs/>
          <w:szCs w:val="24"/>
          <w:lang w:val="sr-Cyrl-CS"/>
        </w:rPr>
      </w:pPr>
      <w:r w:rsidRPr="00092ED7">
        <w:rPr>
          <w:rFonts w:eastAsia="Calibri" w:cs="Times New Roman"/>
          <w:b/>
          <w:szCs w:val="24"/>
          <w:lang w:val="sr-Cyrl-CS"/>
        </w:rPr>
        <w:t xml:space="preserve">Остварен је висок степен усклађености са правним тековинама ЕУ у областима поморског транспорта и транспорта унутрашњим водним путевима. </w:t>
      </w:r>
      <w:r w:rsidRPr="00092ED7">
        <w:rPr>
          <w:rFonts w:eastAsia="Calibri" w:cs="Times New Roman"/>
          <w:szCs w:val="24"/>
          <w:lang w:val="sr-Cyrl-CS"/>
        </w:rPr>
        <w:t xml:space="preserve">Потенцијал водног саобраћаја није у потпуности искоришћен и потребно је остварити већу интероперабилност са железничким и друмским саобраћајем. </w:t>
      </w:r>
      <w:r w:rsidRPr="00092ED7">
        <w:rPr>
          <w:rFonts w:eastAsia="Calibri" w:cs="Times New Roman"/>
          <w:bCs/>
          <w:szCs w:val="24"/>
          <w:lang w:val="sr-Cyrl-CS"/>
        </w:rPr>
        <w:t xml:space="preserve">У циљу јачања регионалне сарадње потребно је извршити хармонизацију лучких тарифа и превазићи административне баријере. Усвојен је </w:t>
      </w:r>
      <w:r w:rsidRPr="00092ED7">
        <w:rPr>
          <w:rFonts w:eastAsia="Calibri" w:cs="Times New Roman"/>
          <w:bCs/>
          <w:i/>
          <w:szCs w:val="24"/>
          <w:lang w:val="sr-Cyrl-CS"/>
        </w:rPr>
        <w:t>Правилник о минималним лучким тарифама</w:t>
      </w:r>
      <w:r w:rsidRPr="00092ED7">
        <w:rPr>
          <w:rFonts w:eastAsia="Calibri" w:cs="Times New Roman"/>
          <w:bCs/>
          <w:szCs w:val="24"/>
          <w:lang w:val="sr-Cyrl-CS"/>
        </w:rPr>
        <w:t xml:space="preserve"> (</w:t>
      </w:r>
      <w:r w:rsidRPr="00092ED7">
        <w:rPr>
          <w:rFonts w:eastAsia="Calibri" w:cs="Times New Roman"/>
          <w:szCs w:val="24"/>
          <w:lang w:val="sr-Cyrl-CS"/>
        </w:rPr>
        <w:t>„Сл</w:t>
      </w:r>
      <w:r w:rsidR="008A4C08" w:rsidRPr="00092ED7">
        <w:rPr>
          <w:rFonts w:eastAsia="Calibri" w:cs="Times New Roman"/>
          <w:szCs w:val="24"/>
          <w:lang w:val="sr-Cyrl-CS"/>
        </w:rPr>
        <w:t>ужбени</w:t>
      </w:r>
      <w:r w:rsidRPr="00092ED7">
        <w:rPr>
          <w:rFonts w:eastAsia="Calibri" w:cs="Times New Roman"/>
          <w:szCs w:val="24"/>
          <w:lang w:val="sr-Cyrl-CS"/>
        </w:rPr>
        <w:t xml:space="preserve"> гласник</w:t>
      </w:r>
      <w:r w:rsidR="0011016A" w:rsidRPr="00092ED7">
        <w:rPr>
          <w:rFonts w:eastAsia="Calibri" w:cs="Times New Roman"/>
          <w:szCs w:val="24"/>
          <w:lang w:val="sr-Cyrl-CS"/>
        </w:rPr>
        <w:t xml:space="preserve"> РС</w:t>
      </w:r>
      <w:r w:rsidR="008A4C08" w:rsidRPr="00092ED7">
        <w:rPr>
          <w:rFonts w:cs="Times New Roman"/>
          <w:szCs w:val="24"/>
          <w:lang w:val="sr-Cyrl-CS"/>
        </w:rPr>
        <w:t>”</w:t>
      </w:r>
      <w:r w:rsidR="0011016A" w:rsidRPr="00092ED7">
        <w:rPr>
          <w:rFonts w:eastAsia="Calibri" w:cs="Times New Roman"/>
          <w:szCs w:val="24"/>
          <w:lang w:val="sr-Cyrl-CS"/>
        </w:rPr>
        <w:t>, бр</w:t>
      </w:r>
      <w:r w:rsidR="008A4C08" w:rsidRPr="00092ED7">
        <w:rPr>
          <w:rFonts w:eastAsia="Calibri" w:cs="Times New Roman"/>
          <w:szCs w:val="24"/>
          <w:lang w:val="sr-Cyrl-CS"/>
        </w:rPr>
        <w:t>ој</w:t>
      </w:r>
      <w:r w:rsidRPr="00092ED7">
        <w:rPr>
          <w:rFonts w:eastAsia="Calibri" w:cs="Times New Roman"/>
          <w:szCs w:val="24"/>
          <w:lang w:val="sr-Cyrl-CS"/>
        </w:rPr>
        <w:t xml:space="preserve"> </w:t>
      </w:r>
      <w:r w:rsidRPr="00092ED7">
        <w:rPr>
          <w:rFonts w:eastAsia="Calibri" w:cs="Times New Roman"/>
          <w:bCs/>
          <w:szCs w:val="24"/>
          <w:lang w:val="sr-Cyrl-CS"/>
        </w:rPr>
        <w:t>29/22) којим се утврђују минималне таксе које лучки оператери наплаћују за одређене врсте услуга и терета. Укупан обим превоза терета на унутрашњим водним путевима у Републици Србији износи 15,9 милиона тона у 2021. што представља раст од 3,2% у односу на 2020.</w:t>
      </w:r>
      <w:r w:rsidRPr="00092ED7">
        <w:rPr>
          <w:rFonts w:eastAsia="Calibri" w:cs="Times New Roman"/>
          <w:bCs/>
          <w:szCs w:val="24"/>
          <w:vertAlign w:val="superscript"/>
          <w:lang w:val="sr-Cyrl-CS"/>
        </w:rPr>
        <w:footnoteReference w:id="154"/>
      </w:r>
      <w:r w:rsidRPr="00092ED7">
        <w:rPr>
          <w:rFonts w:eastAsia="Calibri" w:cs="Times New Roman"/>
          <w:bCs/>
          <w:szCs w:val="24"/>
          <w:lang w:val="sr-Cyrl-CS"/>
        </w:rPr>
        <w:t xml:space="preserve"> Најчешће претоварена врста терета јесу шљунак, песак и камени агрегати, који заједно чине 30,9% претовара. Расту обима претовара је највише допринело повећање пословне активности у сектору грађевинарства.</w:t>
      </w:r>
      <w:r w:rsidRPr="00092ED7">
        <w:rPr>
          <w:rFonts w:eastAsia="Times New Roman" w:cs="Times New Roman"/>
          <w:bCs/>
          <w:szCs w:val="24"/>
          <w:lang w:val="sr-Cyrl-CS"/>
        </w:rPr>
        <w:t xml:space="preserve"> </w:t>
      </w:r>
      <w:r w:rsidRPr="00092ED7">
        <w:rPr>
          <w:rFonts w:eastAsia="Calibri" w:cs="Times New Roman"/>
          <w:bCs/>
          <w:szCs w:val="24"/>
          <w:lang w:val="sr-Cyrl-CS"/>
        </w:rPr>
        <w:t xml:space="preserve">Настављена је примена </w:t>
      </w:r>
      <w:r w:rsidR="008C00EF" w:rsidRPr="00092ED7">
        <w:rPr>
          <w:rFonts w:eastAsia="Calibri" w:cs="Times New Roman"/>
          <w:bCs/>
          <w:szCs w:val="24"/>
          <w:lang w:val="sr-Cyrl-CS"/>
        </w:rPr>
        <w:t xml:space="preserve">речног </w:t>
      </w:r>
      <w:r w:rsidR="006C457F" w:rsidRPr="00092ED7">
        <w:rPr>
          <w:rFonts w:eastAsia="Calibri" w:cs="Times New Roman"/>
          <w:bCs/>
          <w:szCs w:val="24"/>
          <w:lang w:val="sr-Cyrl-CS"/>
        </w:rPr>
        <w:t>информационог система (Р</w:t>
      </w:r>
      <w:r w:rsidRPr="00092ED7">
        <w:rPr>
          <w:rFonts w:eastAsia="Calibri" w:cs="Times New Roman"/>
          <w:bCs/>
          <w:szCs w:val="24"/>
          <w:lang w:val="sr-Cyrl-CS"/>
        </w:rPr>
        <w:t>ИС</w:t>
      </w:r>
      <w:r w:rsidR="006C457F" w:rsidRPr="00092ED7">
        <w:rPr>
          <w:rFonts w:eastAsia="Calibri" w:cs="Times New Roman"/>
          <w:bCs/>
          <w:szCs w:val="24"/>
          <w:lang w:val="sr-Cyrl-CS"/>
        </w:rPr>
        <w:t>)</w:t>
      </w:r>
      <w:r w:rsidRPr="00092ED7">
        <w:rPr>
          <w:rFonts w:eastAsia="Calibri" w:cs="Times New Roman"/>
          <w:bCs/>
          <w:szCs w:val="24"/>
          <w:lang w:val="sr-Cyrl-CS"/>
        </w:rPr>
        <w:t xml:space="preserve">, као и активно учешће у оквиру стратегијa ЕУ за развој Дунавског региона и Јадранско-јонског региона. </w:t>
      </w:r>
    </w:p>
    <w:p w14:paraId="62032230" w14:textId="50926E9A" w:rsidR="00D210F0" w:rsidRPr="00092ED7" w:rsidRDefault="00D210F0" w:rsidP="00D210F0">
      <w:pPr>
        <w:spacing w:after="60"/>
        <w:rPr>
          <w:rFonts w:eastAsia="Times New Roman" w:cs="Times New Roman"/>
          <w:bCs/>
          <w:szCs w:val="24"/>
          <w:lang w:val="sr-Cyrl-CS"/>
        </w:rPr>
      </w:pPr>
      <w:r w:rsidRPr="00092ED7">
        <w:rPr>
          <w:rFonts w:eastAsia="Times New Roman" w:cs="Times New Roman"/>
          <w:b/>
          <w:bCs/>
          <w:szCs w:val="24"/>
          <w:lang w:val="sr-Cyrl-CS"/>
        </w:rPr>
        <w:t>Застарели постојећи инфраструктурни капацитети у области унутрашњег водног транспорта ограничавају брзину претовара у српским лукама и ниво конкурентности српске робе на иностраном тржишту</w:t>
      </w:r>
      <w:r w:rsidRPr="00092ED7">
        <w:rPr>
          <w:rFonts w:eastAsia="Times New Roman" w:cs="Times New Roman"/>
          <w:bCs/>
          <w:szCs w:val="24"/>
          <w:lang w:val="sr-Cyrl-CS"/>
        </w:rPr>
        <w:t>, али се континуирано унапређују</w:t>
      </w:r>
      <w:r w:rsidRPr="00092ED7">
        <w:rPr>
          <w:rFonts w:eastAsia="Times New Roman" w:cs="Times New Roman"/>
          <w:b/>
          <w:bCs/>
          <w:szCs w:val="24"/>
          <w:lang w:val="sr-Cyrl-CS"/>
        </w:rPr>
        <w:t>.</w:t>
      </w:r>
      <w:r w:rsidRPr="00092ED7">
        <w:rPr>
          <w:rFonts w:eastAsia="Times New Roman" w:cs="Times New Roman"/>
          <w:bCs/>
          <w:szCs w:val="24"/>
          <w:lang w:val="sr-Cyrl-CS"/>
        </w:rPr>
        <w:t xml:space="preserve"> Неопходно је наставити инвестирање у инфра и супраструктуру којом ће се обезбедити услови за прихват и услуживање потреба појединачних пловила, уз обезбеђивање чартера (</w:t>
      </w:r>
      <w:r w:rsidRPr="00092ED7">
        <w:rPr>
          <w:rFonts w:eastAsia="Times New Roman" w:cs="Times New Roman"/>
          <w:bCs/>
          <w:i/>
          <w:szCs w:val="24"/>
          <w:lang w:val="sr-Cyrl-CS"/>
        </w:rPr>
        <w:t>rent-a-boat</w:t>
      </w:r>
      <w:r w:rsidRPr="00092ED7">
        <w:rPr>
          <w:rFonts w:eastAsia="Times New Roman" w:cs="Times New Roman"/>
          <w:bCs/>
          <w:szCs w:val="24"/>
          <w:lang w:val="sr-Cyrl-CS"/>
        </w:rPr>
        <w:t xml:space="preserve"> сервис).</w:t>
      </w:r>
      <w:r w:rsidRPr="00092ED7">
        <w:rPr>
          <w:rFonts w:eastAsia="Calibri" w:cs="Times New Roman"/>
          <w:bCs/>
          <w:szCs w:val="24"/>
          <w:lang w:val="sr-Cyrl-CS"/>
        </w:rPr>
        <w:t xml:space="preserve"> </w:t>
      </w:r>
      <w:r w:rsidRPr="00092ED7">
        <w:rPr>
          <w:rFonts w:eastAsia="Times New Roman" w:cs="Times New Roman"/>
          <w:bCs/>
          <w:szCs w:val="24"/>
          <w:lang w:val="sr-Cyrl-CS"/>
        </w:rPr>
        <w:t xml:space="preserve">Потребно је унапређење лучких капацитета и њихово укључивање у Трансевропску транспортну мрежу (ТЕН-Т) речних лука. </w:t>
      </w:r>
      <w:r w:rsidRPr="00092ED7">
        <w:rPr>
          <w:rFonts w:eastAsia="Times New Roman" w:cs="Times New Roman"/>
          <w:bCs/>
          <w:szCs w:val="24"/>
          <w:lang w:val="sr-Cyrl-CS"/>
        </w:rPr>
        <w:lastRenderedPageBreak/>
        <w:t>Отворено је међународно путничко пристаниште у Костолцу</w:t>
      </w:r>
      <w:r w:rsidRPr="00092ED7">
        <w:rPr>
          <w:rFonts w:eastAsia="Times New Roman" w:cs="Times New Roman"/>
          <w:bCs/>
          <w:szCs w:val="24"/>
          <w:vertAlign w:val="superscript"/>
          <w:lang w:val="sr-Cyrl-CS"/>
        </w:rPr>
        <w:footnoteReference w:id="155"/>
      </w:r>
      <w:r w:rsidRPr="00092ED7">
        <w:rPr>
          <w:rFonts w:eastAsia="Times New Roman" w:cs="Times New Roman"/>
          <w:bCs/>
          <w:szCs w:val="24"/>
          <w:lang w:val="sr-Cyrl-CS"/>
        </w:rPr>
        <w:t xml:space="preserve">. Успостављено је лучко пристаниште у Бољевцима у складу са </w:t>
      </w:r>
      <w:r w:rsidRPr="00092ED7">
        <w:rPr>
          <w:rFonts w:eastAsia="Times New Roman" w:cs="Times New Roman"/>
          <w:bCs/>
          <w:i/>
          <w:szCs w:val="24"/>
          <w:lang w:val="sr-Cyrl-CS"/>
        </w:rPr>
        <w:t>Уредбом о утврђивању лучког подручја пристаништa за посебне намене за претовар нафте и нафтних деривата у Бољевцима</w:t>
      </w:r>
      <w:r w:rsidRPr="00092ED7">
        <w:rPr>
          <w:rFonts w:eastAsia="Times New Roman" w:cs="Times New Roman"/>
          <w:bCs/>
          <w:szCs w:val="24"/>
          <w:lang w:val="sr-Cyrl-CS"/>
        </w:rPr>
        <w:t xml:space="preserve"> (</w:t>
      </w:r>
      <w:r w:rsidRPr="00092ED7">
        <w:rPr>
          <w:rFonts w:eastAsia="Calibri" w:cs="Times New Roman"/>
          <w:szCs w:val="24"/>
          <w:lang w:val="sr-Cyrl-CS"/>
        </w:rPr>
        <w:t>„Сл</w:t>
      </w:r>
      <w:r w:rsidR="00065DF9" w:rsidRPr="00092ED7">
        <w:rPr>
          <w:rFonts w:eastAsia="Calibri" w:cs="Times New Roman"/>
          <w:szCs w:val="24"/>
          <w:lang w:val="sr-Cyrl-CS"/>
        </w:rPr>
        <w:t>ужбени</w:t>
      </w:r>
      <w:r w:rsidRPr="00092ED7">
        <w:rPr>
          <w:rFonts w:eastAsia="Calibri" w:cs="Times New Roman"/>
          <w:szCs w:val="24"/>
          <w:lang w:val="sr-Cyrl-CS"/>
        </w:rPr>
        <w:t xml:space="preserve"> гласник</w:t>
      </w:r>
      <w:r w:rsidR="0011016A" w:rsidRPr="00092ED7">
        <w:rPr>
          <w:rFonts w:eastAsia="Calibri" w:cs="Times New Roman"/>
          <w:szCs w:val="24"/>
          <w:lang w:val="sr-Cyrl-CS"/>
        </w:rPr>
        <w:t xml:space="preserve"> РС</w:t>
      </w:r>
      <w:r w:rsidR="00065DF9" w:rsidRPr="00092ED7">
        <w:rPr>
          <w:rFonts w:cs="Times New Roman"/>
          <w:szCs w:val="24"/>
          <w:lang w:val="sr-Cyrl-CS"/>
        </w:rPr>
        <w:t>”</w:t>
      </w:r>
      <w:r w:rsidR="0011016A" w:rsidRPr="00092ED7">
        <w:rPr>
          <w:rFonts w:eastAsia="Calibri" w:cs="Times New Roman"/>
          <w:szCs w:val="24"/>
          <w:lang w:val="sr-Cyrl-CS"/>
        </w:rPr>
        <w:t>, бр</w:t>
      </w:r>
      <w:r w:rsidR="00065DF9" w:rsidRPr="00092ED7">
        <w:rPr>
          <w:rFonts w:eastAsia="Calibri" w:cs="Times New Roman"/>
          <w:szCs w:val="24"/>
          <w:lang w:val="sr-Cyrl-CS"/>
        </w:rPr>
        <w:t>ој</w:t>
      </w:r>
      <w:r w:rsidRPr="00092ED7">
        <w:rPr>
          <w:rFonts w:eastAsia="Times New Roman" w:cs="Times New Roman"/>
          <w:bCs/>
          <w:szCs w:val="24"/>
          <w:lang w:val="sr-Cyrl-CS"/>
        </w:rPr>
        <w:t xml:space="preserve"> 77/22). Обезбеђена су финансијска средства за потребе реконструкциј</w:t>
      </w:r>
      <w:r w:rsidR="00023A81" w:rsidRPr="00092ED7">
        <w:rPr>
          <w:rFonts w:eastAsia="Times New Roman" w:cs="Times New Roman"/>
          <w:bCs/>
          <w:szCs w:val="24"/>
          <w:lang w:val="sr-Cyrl-CS"/>
        </w:rPr>
        <w:t>е</w:t>
      </w:r>
      <w:r w:rsidRPr="00092ED7">
        <w:rPr>
          <w:rFonts w:eastAsia="Times New Roman" w:cs="Times New Roman"/>
          <w:bCs/>
          <w:szCs w:val="24"/>
          <w:lang w:val="sr-Cyrl-CS"/>
        </w:rPr>
        <w:t xml:space="preserve"> преводнице Ђердап 2 (60% кредит ЕИБ и 40% </w:t>
      </w:r>
      <w:r w:rsidR="00E63AE6" w:rsidRPr="00092ED7">
        <w:rPr>
          <w:rFonts w:eastAsia="Times New Roman"/>
          <w:bCs/>
          <w:szCs w:val="24"/>
          <w:lang w:val="sr-Cyrl-CS"/>
        </w:rPr>
        <w:t>CEF</w:t>
      </w:r>
      <w:r w:rsidRPr="00092ED7">
        <w:rPr>
          <w:rFonts w:eastAsia="Times New Roman" w:cs="Times New Roman"/>
          <w:bCs/>
          <w:szCs w:val="24"/>
          <w:lang w:val="sr-Cyrl-CS"/>
        </w:rPr>
        <w:t xml:space="preserve"> фонд - </w:t>
      </w:r>
      <w:r w:rsidRPr="00092ED7">
        <w:rPr>
          <w:rFonts w:eastAsia="Times New Roman" w:cs="Times New Roman"/>
          <w:bCs/>
          <w:i/>
          <w:szCs w:val="24"/>
          <w:lang w:val="sr-Cyrl-CS"/>
        </w:rPr>
        <w:t>Connecting Europe Facility Fund</w:t>
      </w:r>
      <w:r w:rsidRPr="00092ED7">
        <w:rPr>
          <w:rFonts w:eastAsia="Times New Roman" w:cs="Times New Roman"/>
          <w:bCs/>
          <w:szCs w:val="24"/>
          <w:lang w:val="sr-Cyrl-CS"/>
        </w:rPr>
        <w:t>). У оквиру пројекта „Уклањање потопљене немачке флоте из Другог светског рата из Дунава</w:t>
      </w:r>
      <w:r w:rsidR="00027678" w:rsidRPr="00092ED7">
        <w:rPr>
          <w:rFonts w:cs="Times New Roman"/>
          <w:szCs w:val="24"/>
          <w:lang w:val="sr-Cyrl-CS"/>
        </w:rPr>
        <w:t>”</w:t>
      </w:r>
      <w:r w:rsidRPr="00092ED7">
        <w:rPr>
          <w:rFonts w:eastAsia="Times New Roman" w:cs="Times New Roman"/>
          <w:bCs/>
          <w:szCs w:val="24"/>
          <w:lang w:val="sr-Cyrl-CS"/>
        </w:rPr>
        <w:t xml:space="preserve"> завршена је израда документације и обезбеђена су финансијска средства (кредит ЕИБ и бесповратна средства </w:t>
      </w:r>
      <w:r w:rsidR="00911637" w:rsidRPr="00092ED7">
        <w:rPr>
          <w:rFonts w:eastAsia="Times New Roman" w:cs="Times New Roman"/>
          <w:bCs/>
          <w:szCs w:val="24"/>
          <w:lang w:val="sr-Cyrl-CS"/>
        </w:rPr>
        <w:t>WBIF</w:t>
      </w:r>
      <w:r w:rsidRPr="00092ED7">
        <w:rPr>
          <w:rFonts w:eastAsia="Times New Roman" w:cs="Times New Roman"/>
          <w:bCs/>
          <w:szCs w:val="24"/>
          <w:lang w:val="sr-Cyrl-CS"/>
        </w:rPr>
        <w:t>), док се тренутно врши избор извођача радова. Започели су радови на модернизацији луке Нови Сад, што ће омогућити повећање капацитета за складиштење робе. У току је изградња марине у Великом Градишту</w:t>
      </w:r>
      <w:r w:rsidRPr="00092ED7">
        <w:rPr>
          <w:rFonts w:eastAsia="Times New Roman" w:cs="Times New Roman"/>
          <w:bCs/>
          <w:szCs w:val="24"/>
          <w:vertAlign w:val="superscript"/>
          <w:lang w:val="sr-Cyrl-CS"/>
        </w:rPr>
        <w:footnoteReference w:id="156"/>
      </w:r>
      <w:r w:rsidRPr="00092ED7">
        <w:rPr>
          <w:rFonts w:eastAsia="Times New Roman" w:cs="Times New Roman"/>
          <w:bCs/>
          <w:szCs w:val="24"/>
          <w:lang w:val="sr-Cyrl-CS"/>
        </w:rPr>
        <w:t>.</w:t>
      </w:r>
      <w:r w:rsidRPr="00092ED7">
        <w:rPr>
          <w:lang w:val="sr-Cyrl-CS"/>
        </w:rPr>
        <w:t xml:space="preserve"> </w:t>
      </w:r>
      <w:r w:rsidRPr="00092ED7">
        <w:rPr>
          <w:rFonts w:eastAsia="Times New Roman" w:cs="Times New Roman"/>
          <w:bCs/>
          <w:szCs w:val="24"/>
          <w:lang w:val="sr-Cyrl-CS"/>
        </w:rPr>
        <w:t>Почетак радова на реконструкцији Луке Београд се очекује крајем 2023. године. Планиран је почетак реализације пројекта „Унапређење услова за превођење бродова у оквиру бране на Тиси</w:t>
      </w:r>
      <w:r w:rsidR="00027678" w:rsidRPr="00092ED7">
        <w:rPr>
          <w:rFonts w:cs="Times New Roman"/>
          <w:szCs w:val="24"/>
          <w:lang w:val="sr-Cyrl-CS"/>
        </w:rPr>
        <w:t>”</w:t>
      </w:r>
      <w:r w:rsidRPr="00092ED7">
        <w:rPr>
          <w:rFonts w:eastAsia="Times New Roman" w:cs="Times New Roman"/>
          <w:bCs/>
          <w:szCs w:val="24"/>
          <w:lang w:val="sr-Cyrl-CS"/>
        </w:rPr>
        <w:t xml:space="preserve">, чиме ће се повећати транспорт робе на релацији </w:t>
      </w:r>
      <w:r w:rsidR="00E527B3" w:rsidRPr="00092ED7">
        <w:rPr>
          <w:rFonts w:eastAsia="Times New Roman" w:cs="Times New Roman"/>
          <w:bCs/>
          <w:szCs w:val="24"/>
          <w:lang w:val="sr-Cyrl-CS"/>
        </w:rPr>
        <w:t xml:space="preserve">Република </w:t>
      </w:r>
      <w:r w:rsidRPr="00092ED7">
        <w:rPr>
          <w:rFonts w:eastAsia="Times New Roman" w:cs="Times New Roman"/>
          <w:bCs/>
          <w:szCs w:val="24"/>
          <w:lang w:val="sr-Cyrl-CS"/>
        </w:rPr>
        <w:t>Србија-Мађарска. Планирана је израда пилот студије, односно мастерпланова за развој лука у Прахову, Бачкој Паланци и Богојеву.</w:t>
      </w:r>
    </w:p>
    <w:p w14:paraId="2D43643B" w14:textId="4CF2D936" w:rsidR="00D210F0" w:rsidRPr="00092ED7" w:rsidRDefault="00D210F0" w:rsidP="00D210F0">
      <w:pPr>
        <w:spacing w:after="60"/>
        <w:rPr>
          <w:rFonts w:eastAsia="Calibri" w:cs="Times New Roman"/>
          <w:bCs/>
          <w:szCs w:val="24"/>
          <w:lang w:val="sr-Cyrl-CS"/>
        </w:rPr>
      </w:pPr>
      <w:r w:rsidRPr="00092ED7">
        <w:rPr>
          <w:rFonts w:eastAsia="Calibri" w:cs="Times New Roman"/>
          <w:b/>
          <w:bCs/>
          <w:szCs w:val="24"/>
          <w:lang w:val="sr-Cyrl-CS"/>
        </w:rPr>
        <w:t>У области ваздухопловства достигнут је добар ниво усклађености са правним тековинама ЕУ</w:t>
      </w:r>
      <w:r w:rsidRPr="00092ED7">
        <w:rPr>
          <w:rFonts w:eastAsia="Calibri" w:cs="Times New Roman"/>
          <w:bCs/>
          <w:szCs w:val="24"/>
          <w:lang w:val="sr-Cyrl-CS"/>
        </w:rPr>
        <w:t>. Оперативни су међународни аеродроми ,,Никола Тесла</w:t>
      </w:r>
      <w:r w:rsidR="00027678" w:rsidRPr="00092ED7">
        <w:rPr>
          <w:rFonts w:cs="Times New Roman"/>
          <w:szCs w:val="24"/>
          <w:lang w:val="sr-Cyrl-CS"/>
        </w:rPr>
        <w:t>”</w:t>
      </w:r>
      <w:r w:rsidRPr="00092ED7">
        <w:rPr>
          <w:rFonts w:eastAsia="Calibri" w:cs="Times New Roman"/>
          <w:bCs/>
          <w:szCs w:val="24"/>
          <w:lang w:val="sr-Cyrl-CS"/>
        </w:rPr>
        <w:t xml:space="preserve"> у Београду, ,,Константин Велики</w:t>
      </w:r>
      <w:r w:rsidR="005866A9" w:rsidRPr="00092ED7">
        <w:rPr>
          <w:rFonts w:cs="Times New Roman"/>
          <w:szCs w:val="24"/>
          <w:lang w:val="sr-Cyrl-CS"/>
        </w:rPr>
        <w:t>”</w:t>
      </w:r>
      <w:r w:rsidRPr="00092ED7">
        <w:rPr>
          <w:rFonts w:eastAsia="Calibri" w:cs="Times New Roman"/>
          <w:bCs/>
          <w:szCs w:val="24"/>
          <w:lang w:val="sr-Cyrl-CS"/>
        </w:rPr>
        <w:t xml:space="preserve"> у Нишу и ,,Морава</w:t>
      </w:r>
      <w:r w:rsidR="00027678" w:rsidRPr="00092ED7">
        <w:rPr>
          <w:rFonts w:cs="Times New Roman"/>
          <w:szCs w:val="24"/>
          <w:lang w:val="sr-Cyrl-CS"/>
        </w:rPr>
        <w:t>”</w:t>
      </w:r>
      <w:r w:rsidRPr="00092ED7">
        <w:rPr>
          <w:rFonts w:eastAsia="Calibri" w:cs="Times New Roman"/>
          <w:bCs/>
          <w:szCs w:val="24"/>
          <w:lang w:val="sr-Cyrl-CS"/>
        </w:rPr>
        <w:t xml:space="preserve"> код Краљева. Изводе се радови на модернизацији аеродрома „Никола Тесла</w:t>
      </w:r>
      <w:r w:rsidR="00027678" w:rsidRPr="00092ED7">
        <w:rPr>
          <w:rFonts w:cs="Times New Roman"/>
          <w:szCs w:val="24"/>
          <w:lang w:val="sr-Cyrl-CS"/>
        </w:rPr>
        <w:t>”</w:t>
      </w:r>
      <w:r w:rsidRPr="00092ED7">
        <w:rPr>
          <w:rFonts w:eastAsia="Calibri" w:cs="Times New Roman"/>
          <w:bCs/>
          <w:szCs w:val="24"/>
          <w:lang w:val="sr-Cyrl-CS"/>
        </w:rPr>
        <w:t xml:space="preserve"> у Београду, што ће допринети повећању годишњег капацитета са 6 мил</w:t>
      </w:r>
      <w:r w:rsidR="00FD7510" w:rsidRPr="00092ED7">
        <w:rPr>
          <w:rFonts w:eastAsia="Calibri" w:cs="Times New Roman"/>
          <w:bCs/>
          <w:szCs w:val="24"/>
          <w:lang w:val="sr-Cyrl-CS"/>
        </w:rPr>
        <w:t>иона</w:t>
      </w:r>
      <w:r w:rsidRPr="00092ED7">
        <w:rPr>
          <w:rFonts w:eastAsia="Calibri" w:cs="Times New Roman"/>
          <w:bCs/>
          <w:szCs w:val="24"/>
          <w:lang w:val="sr-Cyrl-CS"/>
        </w:rPr>
        <w:t xml:space="preserve"> на скоро 14 мил</w:t>
      </w:r>
      <w:r w:rsidR="00FD7510" w:rsidRPr="00092ED7">
        <w:rPr>
          <w:rFonts w:eastAsia="Calibri" w:cs="Times New Roman"/>
          <w:bCs/>
          <w:szCs w:val="24"/>
          <w:lang w:val="sr-Cyrl-CS"/>
        </w:rPr>
        <w:t>иона</w:t>
      </w:r>
      <w:r w:rsidRPr="00092ED7">
        <w:rPr>
          <w:rFonts w:eastAsia="Calibri" w:cs="Times New Roman"/>
          <w:bCs/>
          <w:szCs w:val="24"/>
          <w:lang w:val="sr-Cyrl-CS"/>
        </w:rPr>
        <w:t xml:space="preserve"> путника годишње. Изграђена је нова топлана на београдском аеродрому, што ће омогућити смањење емисије CO</w:t>
      </w:r>
      <w:r w:rsidRPr="00092ED7">
        <w:rPr>
          <w:rFonts w:eastAsia="Calibri" w:cs="Times New Roman"/>
          <w:bCs/>
          <w:szCs w:val="24"/>
          <w:vertAlign w:val="subscript"/>
          <w:lang w:val="sr-Cyrl-CS"/>
        </w:rPr>
        <w:t>2</w:t>
      </w:r>
      <w:r w:rsidRPr="00092ED7">
        <w:rPr>
          <w:rFonts w:eastAsia="Calibri" w:cs="Times New Roman"/>
          <w:bCs/>
          <w:szCs w:val="24"/>
          <w:lang w:val="sr-Cyrl-CS"/>
        </w:rPr>
        <w:t xml:space="preserve"> за 3.000 тона</w:t>
      </w:r>
      <w:r w:rsidRPr="00092ED7">
        <w:rPr>
          <w:rFonts w:eastAsia="Calibri" w:cs="Times New Roman"/>
          <w:bCs/>
          <w:szCs w:val="24"/>
          <w:vertAlign w:val="superscript"/>
          <w:lang w:val="sr-Cyrl-CS"/>
        </w:rPr>
        <w:footnoteReference w:id="157"/>
      </w:r>
      <w:r w:rsidRPr="00092ED7">
        <w:rPr>
          <w:rFonts w:eastAsia="Calibri" w:cs="Times New Roman"/>
          <w:bCs/>
          <w:szCs w:val="24"/>
          <w:lang w:val="sr-Cyrl-CS"/>
        </w:rPr>
        <w:t>. Започета је изградња нове терминалне зграде на аеродрому „Константин Велики</w:t>
      </w:r>
      <w:r w:rsidR="00027678" w:rsidRPr="00092ED7">
        <w:rPr>
          <w:rFonts w:cs="Times New Roman"/>
          <w:szCs w:val="24"/>
          <w:lang w:val="sr-Cyrl-CS"/>
        </w:rPr>
        <w:t>”</w:t>
      </w:r>
      <w:r w:rsidRPr="00092ED7">
        <w:rPr>
          <w:rFonts w:eastAsia="Calibri" w:cs="Times New Roman"/>
          <w:bCs/>
          <w:szCs w:val="24"/>
          <w:lang w:val="sr-Cyrl-CS"/>
        </w:rPr>
        <w:t xml:space="preserve"> у Нишу, што ће повећати годишњи капацитет на</w:t>
      </w:r>
      <w:r w:rsidR="0011016A" w:rsidRPr="00092ED7">
        <w:rPr>
          <w:rFonts w:eastAsia="Calibri" w:cs="Times New Roman"/>
          <w:bCs/>
          <w:szCs w:val="24"/>
          <w:lang w:val="sr-Cyrl-CS"/>
        </w:rPr>
        <w:t xml:space="preserve"> 1,5 милиона</w:t>
      </w:r>
      <w:r w:rsidRPr="00092ED7">
        <w:rPr>
          <w:rFonts w:eastAsia="Calibri" w:cs="Times New Roman"/>
          <w:bCs/>
          <w:szCs w:val="24"/>
          <w:lang w:val="sr-Cyrl-CS"/>
        </w:rPr>
        <w:t xml:space="preserve"> путника, омогућити већи број летова и убрзати прекограничне процедуре. На аеродрому ,,Никола Тесла</w:t>
      </w:r>
      <w:r w:rsidR="00027678" w:rsidRPr="00092ED7">
        <w:rPr>
          <w:rFonts w:cs="Times New Roman"/>
          <w:szCs w:val="24"/>
          <w:lang w:val="sr-Cyrl-CS"/>
        </w:rPr>
        <w:t>”</w:t>
      </w:r>
      <w:r w:rsidRPr="00092ED7">
        <w:rPr>
          <w:rFonts w:eastAsia="Calibri" w:cs="Times New Roman"/>
          <w:bCs/>
          <w:szCs w:val="24"/>
          <w:lang w:val="sr-Cyrl-CS"/>
        </w:rPr>
        <w:t xml:space="preserve"> у Београду број путника је повећан за 73% мг, а број комерцијалних летова је већи за 45% мг у 2021.</w:t>
      </w:r>
      <w:r w:rsidRPr="00092ED7">
        <w:rPr>
          <w:rFonts w:eastAsia="Calibri" w:cs="Times New Roman"/>
          <w:bCs/>
          <w:szCs w:val="24"/>
          <w:vertAlign w:val="superscript"/>
          <w:lang w:val="sr-Cyrl-CS"/>
        </w:rPr>
        <w:footnoteReference w:id="158"/>
      </w:r>
      <w:r w:rsidRPr="00092ED7">
        <w:rPr>
          <w:rFonts w:eastAsia="Calibri" w:cs="Times New Roman"/>
          <w:bCs/>
          <w:szCs w:val="24"/>
          <w:lang w:val="sr-Cyrl-CS"/>
        </w:rPr>
        <w:t xml:space="preserve"> години, док </w:t>
      </w:r>
      <w:r w:rsidR="00525258" w:rsidRPr="00092ED7">
        <w:rPr>
          <w:rFonts w:eastAsia="Calibri" w:cs="Times New Roman"/>
          <w:bCs/>
          <w:szCs w:val="24"/>
          <w:lang w:val="sr-Cyrl-CS"/>
        </w:rPr>
        <w:t xml:space="preserve">се </w:t>
      </w:r>
      <w:r w:rsidRPr="00092ED7">
        <w:rPr>
          <w:rFonts w:eastAsia="Calibri" w:cs="Times New Roman"/>
          <w:bCs/>
          <w:szCs w:val="24"/>
          <w:lang w:val="sr-Cyrl-CS"/>
        </w:rPr>
        <w:t xml:space="preserve">у </w:t>
      </w:r>
      <w:r w:rsidR="00525258" w:rsidRPr="00092ED7">
        <w:rPr>
          <w:rFonts w:eastAsia="Calibri" w:cs="Times New Roman"/>
          <w:bCs/>
          <w:szCs w:val="24"/>
          <w:lang w:val="sr-Cyrl-CS"/>
        </w:rPr>
        <w:t xml:space="preserve">периоду јануар-септембар </w:t>
      </w:r>
      <w:r w:rsidRPr="00092ED7">
        <w:rPr>
          <w:rFonts w:eastAsia="Calibri" w:cs="Times New Roman"/>
          <w:bCs/>
          <w:szCs w:val="24"/>
          <w:lang w:val="sr-Cyrl-CS"/>
        </w:rPr>
        <w:t xml:space="preserve">2022. </w:t>
      </w:r>
      <w:r w:rsidR="00525258" w:rsidRPr="00092ED7">
        <w:rPr>
          <w:rFonts w:eastAsia="Calibri" w:cs="Times New Roman"/>
          <w:bCs/>
          <w:szCs w:val="24"/>
          <w:lang w:val="sr-Cyrl-CS"/>
        </w:rPr>
        <w:t xml:space="preserve">године </w:t>
      </w:r>
      <w:r w:rsidRPr="00092ED7">
        <w:rPr>
          <w:rFonts w:eastAsia="Calibri" w:cs="Times New Roman"/>
          <w:bCs/>
          <w:szCs w:val="24"/>
          <w:lang w:val="sr-Cyrl-CS"/>
        </w:rPr>
        <w:t>бележи</w:t>
      </w:r>
      <w:r w:rsidR="00525258" w:rsidRPr="00092ED7">
        <w:rPr>
          <w:rFonts w:eastAsia="Calibri" w:cs="Times New Roman"/>
          <w:bCs/>
          <w:szCs w:val="24"/>
          <w:vertAlign w:val="superscript"/>
          <w:lang w:val="sr-Cyrl-CS"/>
        </w:rPr>
        <w:footnoteReference w:id="159"/>
      </w:r>
      <w:r w:rsidRPr="00092ED7">
        <w:rPr>
          <w:rFonts w:eastAsia="Calibri" w:cs="Times New Roman"/>
          <w:bCs/>
          <w:szCs w:val="24"/>
          <w:lang w:val="sr-Cyrl-CS"/>
        </w:rPr>
        <w:t xml:space="preserve"> повећање броја путника за </w:t>
      </w:r>
      <w:r w:rsidR="00525258" w:rsidRPr="00092ED7">
        <w:rPr>
          <w:rFonts w:eastAsia="Calibri" w:cs="Times New Roman"/>
          <w:bCs/>
          <w:szCs w:val="24"/>
          <w:lang w:val="sr-Cyrl-CS"/>
        </w:rPr>
        <w:t>71% мг (4,2 милиона путника)</w:t>
      </w:r>
      <w:r w:rsidRPr="00092ED7">
        <w:rPr>
          <w:rFonts w:eastAsia="Calibri" w:cs="Times New Roman"/>
          <w:bCs/>
          <w:szCs w:val="24"/>
          <w:lang w:val="sr-Cyrl-CS"/>
        </w:rPr>
        <w:t xml:space="preserve"> и раст броја летова за </w:t>
      </w:r>
      <w:r w:rsidR="00525258" w:rsidRPr="00092ED7">
        <w:rPr>
          <w:rFonts w:eastAsia="Calibri" w:cs="Times New Roman"/>
          <w:bCs/>
          <w:szCs w:val="24"/>
          <w:lang w:val="sr-Cyrl-CS"/>
        </w:rPr>
        <w:t>37</w:t>
      </w:r>
      <w:r w:rsidRPr="00092ED7">
        <w:rPr>
          <w:rFonts w:eastAsia="Calibri" w:cs="Times New Roman"/>
          <w:bCs/>
          <w:szCs w:val="24"/>
          <w:lang w:val="sr-Cyrl-CS"/>
        </w:rPr>
        <w:t>% мг</w:t>
      </w:r>
      <w:r w:rsidR="00525258" w:rsidRPr="00092ED7">
        <w:rPr>
          <w:rFonts w:eastAsia="Calibri" w:cs="Times New Roman"/>
          <w:bCs/>
          <w:szCs w:val="24"/>
          <w:lang w:val="sr-Cyrl-CS"/>
        </w:rPr>
        <w:t xml:space="preserve"> (више од 49 хиљада полетања и слетања)</w:t>
      </w:r>
      <w:r w:rsidRPr="00092ED7">
        <w:rPr>
          <w:rFonts w:eastAsia="Calibri" w:cs="Times New Roman"/>
          <w:bCs/>
          <w:szCs w:val="24"/>
          <w:lang w:val="sr-Cyrl-CS"/>
        </w:rPr>
        <w:t>. На Аеродрому ,,Константин Велики</w:t>
      </w:r>
      <w:r w:rsidR="005866A9" w:rsidRPr="00092ED7">
        <w:rPr>
          <w:rFonts w:cs="Times New Roman"/>
          <w:szCs w:val="24"/>
          <w:lang w:val="sr-Cyrl-CS"/>
        </w:rPr>
        <w:t>”</w:t>
      </w:r>
      <w:r w:rsidRPr="00092ED7">
        <w:rPr>
          <w:rFonts w:eastAsia="Calibri" w:cs="Times New Roman"/>
          <w:bCs/>
          <w:szCs w:val="24"/>
          <w:lang w:val="sr-Cyrl-CS"/>
        </w:rPr>
        <w:t xml:space="preserve"> у Нишу смањен је број путника за 5,1% мг и забележен пад превезене робе за 40,5% мг у 2021.</w:t>
      </w:r>
      <w:r w:rsidRPr="00092ED7">
        <w:rPr>
          <w:rFonts w:eastAsia="Calibri" w:cs="Times New Roman"/>
          <w:bCs/>
          <w:szCs w:val="24"/>
          <w:vertAlign w:val="superscript"/>
          <w:lang w:val="sr-Cyrl-CS"/>
        </w:rPr>
        <w:t xml:space="preserve"> </w:t>
      </w:r>
      <w:r w:rsidRPr="00092ED7">
        <w:rPr>
          <w:rFonts w:eastAsia="Calibri" w:cs="Times New Roman"/>
          <w:bCs/>
          <w:szCs w:val="24"/>
          <w:vertAlign w:val="superscript"/>
          <w:lang w:val="sr-Cyrl-CS"/>
        </w:rPr>
        <w:footnoteReference w:id="160"/>
      </w:r>
      <w:r w:rsidRPr="00092ED7">
        <w:rPr>
          <w:rFonts w:eastAsia="Calibri" w:cs="Times New Roman"/>
          <w:bCs/>
          <w:szCs w:val="24"/>
          <w:vertAlign w:val="superscript"/>
          <w:lang w:val="sr-Cyrl-CS"/>
        </w:rPr>
        <w:t xml:space="preserve"> </w:t>
      </w:r>
      <w:r w:rsidRPr="00092ED7">
        <w:rPr>
          <w:rFonts w:eastAsia="Calibri" w:cs="Times New Roman"/>
          <w:bCs/>
          <w:szCs w:val="24"/>
          <w:lang w:val="sr-Cyrl-CS"/>
        </w:rPr>
        <w:t>године, док је у периоду јануар-јун 2022. године остварен раст броја путника за</w:t>
      </w:r>
      <w:r w:rsidRPr="00092ED7">
        <w:rPr>
          <w:rFonts w:eastAsia="Calibri" w:cs="Times New Roman"/>
          <w:bCs/>
          <w:szCs w:val="24"/>
          <w:vertAlign w:val="superscript"/>
          <w:lang w:val="sr-Cyrl-CS"/>
        </w:rPr>
        <w:t xml:space="preserve"> </w:t>
      </w:r>
      <w:r w:rsidRPr="00092ED7">
        <w:rPr>
          <w:rFonts w:eastAsia="Calibri" w:cs="Times New Roman"/>
          <w:bCs/>
          <w:szCs w:val="24"/>
          <w:lang w:val="sr-Cyrl-CS"/>
        </w:rPr>
        <w:t>6,9 пута и пад превезене робе за 68,7% мг.</w:t>
      </w:r>
    </w:p>
    <w:p w14:paraId="0D68E847" w14:textId="77777777" w:rsidR="00D210F0" w:rsidRPr="00092ED7" w:rsidRDefault="00D210F0" w:rsidP="00D210F0">
      <w:pPr>
        <w:spacing w:before="120"/>
        <w:rPr>
          <w:rFonts w:eastAsia="Times New Roman" w:cs="Times New Roman"/>
          <w:b/>
          <w:bCs/>
          <w:szCs w:val="24"/>
          <w:lang w:val="sr-Cyrl-CS"/>
        </w:rPr>
      </w:pPr>
      <w:r w:rsidRPr="00092ED7">
        <w:rPr>
          <w:rFonts w:eastAsia="Times New Roman" w:cs="Times New Roman"/>
          <w:b/>
          <w:bCs/>
          <w:szCs w:val="24"/>
          <w:lang w:val="sr-Cyrl-CS"/>
        </w:rPr>
        <w:t>б) Реформе</w:t>
      </w:r>
    </w:p>
    <w:p w14:paraId="0CA3B227" w14:textId="77777777" w:rsidR="00D210F0" w:rsidRPr="00092ED7" w:rsidRDefault="00D210F0" w:rsidP="00D210F0">
      <w:pPr>
        <w:spacing w:before="120"/>
        <w:rPr>
          <w:rFonts w:cs="Times New Roman"/>
          <w:szCs w:val="24"/>
          <w:lang w:val="sr-Cyrl-CS"/>
        </w:rPr>
      </w:pPr>
      <w:r w:rsidRPr="00092ED7">
        <w:rPr>
          <w:rFonts w:cs="Times New Roman"/>
          <w:b/>
          <w:bCs/>
          <w:szCs w:val="24"/>
          <w:u w:val="single"/>
          <w:lang w:val="sr-Cyrl-CS"/>
        </w:rPr>
        <w:t>СТРУКТУРНА РЕФОРМА 19</w:t>
      </w:r>
      <w:r w:rsidRPr="00092ED7">
        <w:rPr>
          <w:rFonts w:cs="Times New Roman"/>
          <w:b/>
          <w:bCs/>
          <w:szCs w:val="24"/>
          <w:lang w:val="sr-Cyrl-CS"/>
        </w:rPr>
        <w:t xml:space="preserve">: </w:t>
      </w:r>
      <w:r w:rsidRPr="00092ED7">
        <w:rPr>
          <w:rFonts w:cs="Times New Roman"/>
          <w:smallCaps/>
          <w:szCs w:val="24"/>
          <w:lang w:val="sr-Cyrl-CS"/>
        </w:rPr>
        <w:t>УНАПРЕЂЕЊЕ ЕФИКАСНОСТИ И БЕЗБЕДНОСТИ У ЖЕЛЕЗНИЧКОМ САОБРАЋАЈУ</w:t>
      </w:r>
    </w:p>
    <w:p w14:paraId="7EF64B25" w14:textId="77777777" w:rsidR="00D210F0" w:rsidRPr="00092ED7" w:rsidRDefault="00D210F0" w:rsidP="00071952">
      <w:pPr>
        <w:widowControl w:val="0"/>
        <w:numPr>
          <w:ilvl w:val="0"/>
          <w:numId w:val="35"/>
        </w:numPr>
        <w:spacing w:before="120"/>
        <w:ind w:left="425" w:hanging="425"/>
        <w:rPr>
          <w:rFonts w:cs="Times New Roman"/>
          <w:b/>
          <w:bCs/>
          <w:szCs w:val="24"/>
          <w:lang w:val="sr-Cyrl-CS"/>
        </w:rPr>
      </w:pPr>
      <w:r w:rsidRPr="00092ED7">
        <w:rPr>
          <w:rFonts w:cs="Times New Roman"/>
          <w:b/>
          <w:bCs/>
          <w:szCs w:val="24"/>
          <w:lang w:val="sr-Cyrl-CS"/>
        </w:rPr>
        <w:t>Опис структурне реформе</w:t>
      </w:r>
    </w:p>
    <w:p w14:paraId="49ADC77F" w14:textId="109B336A" w:rsidR="00D210F0" w:rsidRPr="00092ED7" w:rsidRDefault="00D210F0" w:rsidP="00296994">
      <w:pPr>
        <w:spacing w:after="60"/>
        <w:rPr>
          <w:rFonts w:cs="Times New Roman"/>
          <w:lang w:val="sr-Cyrl-CS"/>
        </w:rPr>
      </w:pPr>
      <w:r w:rsidRPr="00092ED7">
        <w:rPr>
          <w:rFonts w:cs="Times New Roman"/>
          <w:lang w:val="sr-Cyrl-CS"/>
        </w:rPr>
        <w:t>Активности на реформи железничког сектора Република Србија интензивно спроводи од 2015. године, почев од оснивања нових железничких предузећа, успостављања законодавног оквира, отварања тржишта, унапређења пословања предузећа, решавања питања дугова и вишка имовине, оптимизације броја запослених и рационализације мреже.</w:t>
      </w:r>
      <w:r w:rsidR="00FE7C38" w:rsidRPr="00092ED7">
        <w:rPr>
          <w:rFonts w:cs="Times New Roman"/>
          <w:lang w:val="sr-Cyrl-CS"/>
        </w:rPr>
        <w:t xml:space="preserve"> Паралелно се улажу и напори у стварање услова за трајно одрживо пословање предузећа, даље отварање тржишта и унапређења услуга у складу са ЕУ прописима, стандардима и праксом. Унапређује се железничка инфраструктура кроз пројекте </w:t>
      </w:r>
      <w:r w:rsidR="00FE7C38" w:rsidRPr="00092ED7">
        <w:rPr>
          <w:rFonts w:cs="Times New Roman"/>
          <w:lang w:val="sr-Cyrl-CS"/>
        </w:rPr>
        <w:lastRenderedPageBreak/>
        <w:t>реконструкције, модернизације и изградње пруга и других капацитета, а у складу са програмом јавне железничке инфраструктуре (у току је припрема планског документа</w:t>
      </w:r>
      <w:r w:rsidR="002A640D" w:rsidRPr="00092ED7">
        <w:rPr>
          <w:rFonts w:cs="Times New Roman"/>
          <w:lang w:val="sr-Cyrl-CS"/>
        </w:rPr>
        <w:t xml:space="preserve"> за наредни период</w:t>
      </w:r>
      <w:r w:rsidR="00FE7C38" w:rsidRPr="00092ED7">
        <w:rPr>
          <w:rFonts w:cs="Times New Roman"/>
          <w:lang w:val="sr-Cyrl-CS"/>
        </w:rPr>
        <w:t>).</w:t>
      </w:r>
    </w:p>
    <w:p w14:paraId="2ACB331F" w14:textId="43C0B5A9" w:rsidR="00D210F0" w:rsidRPr="00092ED7" w:rsidRDefault="00D210F0" w:rsidP="00296994">
      <w:pPr>
        <w:spacing w:after="60"/>
        <w:rPr>
          <w:rFonts w:cs="Times New Roman"/>
          <w:lang w:val="sr-Cyrl-CS"/>
        </w:rPr>
      </w:pPr>
      <w:r w:rsidRPr="00092ED7">
        <w:rPr>
          <w:rFonts w:cs="Times New Roman"/>
          <w:lang w:val="sr-Cyrl-CS"/>
        </w:rPr>
        <w:t xml:space="preserve">Главне активности у наредном периоду, с обзиром да су у завршној фази усаглашавање закона са IV пакетом железничких ЕУ прописа и доношење нове Методологије за обрачун цене приступа железничкој инфраструктури, су: 1) примена нове Методологије за обрачун цене приступа железничкој инфраструктури, што има за циљ обрачун цена приступа које су засноване на стварним трошковима чиме ће се омогућити предвидљивије тржиште железничких услуга, 2) </w:t>
      </w:r>
      <w:r w:rsidR="00FE7C38" w:rsidRPr="00092ED7">
        <w:rPr>
          <w:rFonts w:cs="Times New Roman"/>
          <w:lang w:val="sr-Cyrl-CS"/>
        </w:rPr>
        <w:t xml:space="preserve">подизање нивоа безбедности на путним прелазима што ће имати за циљ </w:t>
      </w:r>
      <w:r w:rsidRPr="00092ED7">
        <w:rPr>
          <w:rFonts w:cs="Times New Roman"/>
          <w:lang w:val="sr-Cyrl-CS"/>
        </w:rPr>
        <w:t>унапређење без</w:t>
      </w:r>
      <w:r w:rsidR="00FE7C38" w:rsidRPr="00092ED7">
        <w:rPr>
          <w:rFonts w:cs="Times New Roman"/>
          <w:lang w:val="sr-Cyrl-CS"/>
        </w:rPr>
        <w:t>бедности железничког саобраћаја</w:t>
      </w:r>
      <w:r w:rsidRPr="00092ED7">
        <w:rPr>
          <w:rFonts w:cs="Times New Roman"/>
          <w:lang w:val="sr-Cyrl-CS"/>
        </w:rPr>
        <w:t xml:space="preserve"> </w:t>
      </w:r>
      <w:r w:rsidR="00FE7C38" w:rsidRPr="00092ED7">
        <w:rPr>
          <w:rFonts w:cs="Times New Roman"/>
          <w:lang w:val="sr-Cyrl-CS"/>
        </w:rPr>
        <w:t>односно</w:t>
      </w:r>
      <w:r w:rsidR="00E527B3" w:rsidRPr="00092ED7">
        <w:rPr>
          <w:rFonts w:cs="Times New Roman"/>
          <w:lang w:val="sr-Cyrl-CS"/>
        </w:rPr>
        <w:t xml:space="preserve"> </w:t>
      </w:r>
      <w:r w:rsidR="00FE7C38" w:rsidRPr="00092ED7">
        <w:rPr>
          <w:rFonts w:cs="Times New Roman"/>
          <w:lang w:val="sr-Cyrl-CS"/>
        </w:rPr>
        <w:t xml:space="preserve">смањење </w:t>
      </w:r>
      <w:r w:rsidRPr="00092ED7">
        <w:rPr>
          <w:rFonts w:cs="Times New Roman"/>
          <w:lang w:val="sr-Cyrl-CS"/>
        </w:rPr>
        <w:t xml:space="preserve">броја саобраћајних незгода и 3) </w:t>
      </w:r>
      <w:r w:rsidR="00FE7C38" w:rsidRPr="00092ED7">
        <w:rPr>
          <w:rFonts w:cs="Times New Roman"/>
          <w:lang w:val="sr-Cyrl-CS"/>
        </w:rPr>
        <w:t xml:space="preserve">стварање услова за </w:t>
      </w:r>
      <w:r w:rsidRPr="00092ED7">
        <w:rPr>
          <w:rFonts w:cs="Times New Roman"/>
          <w:lang w:val="sr-Cyrl-CS"/>
        </w:rPr>
        <w:t xml:space="preserve">унапређење ефикасности </w:t>
      </w:r>
      <w:r w:rsidR="00FE7C38" w:rsidRPr="00092ED7">
        <w:rPr>
          <w:rFonts w:cs="Times New Roman"/>
          <w:lang w:val="sr-Cyrl-CS"/>
        </w:rPr>
        <w:t xml:space="preserve">железничког </w:t>
      </w:r>
      <w:r w:rsidRPr="00092ED7">
        <w:rPr>
          <w:rFonts w:cs="Times New Roman"/>
          <w:lang w:val="sr-Cyrl-CS"/>
        </w:rPr>
        <w:t xml:space="preserve">путничког саобраћаја кроз унапређени уговорни однос, нове услуге, промотивне активности и унапређење ефикасности пословања (продајне мреже, енергетске ефикасности, управљања ресурсима). </w:t>
      </w:r>
    </w:p>
    <w:p w14:paraId="5074F9E3" w14:textId="77777777" w:rsidR="00D210F0" w:rsidRPr="00092ED7" w:rsidRDefault="00D210F0" w:rsidP="00296994">
      <w:pPr>
        <w:tabs>
          <w:tab w:val="left" w:pos="180"/>
          <w:tab w:val="left" w:pos="360"/>
        </w:tabs>
        <w:spacing w:after="60"/>
        <w:rPr>
          <w:rFonts w:cs="Times New Roman"/>
          <w:lang w:val="sr-Cyrl-CS"/>
        </w:rPr>
      </w:pPr>
      <w:r w:rsidRPr="00092ED7">
        <w:rPr>
          <w:rFonts w:cs="Times New Roman"/>
          <w:lang w:val="sr-Cyrl-CS"/>
        </w:rPr>
        <w:t>Сва улагања у железницу директно доприносе спровођењу Европског зеленог договора, с обзиром на све техничке одлике и еколошку повољност овог вида превоза.</w:t>
      </w:r>
    </w:p>
    <w:p w14:paraId="32A35A33" w14:textId="77777777" w:rsidR="00D210F0" w:rsidRPr="00092ED7" w:rsidRDefault="00D210F0" w:rsidP="00071952">
      <w:pPr>
        <w:widowControl w:val="0"/>
        <w:numPr>
          <w:ilvl w:val="0"/>
          <w:numId w:val="35"/>
        </w:numPr>
        <w:spacing w:before="120"/>
        <w:ind w:left="425" w:hanging="425"/>
        <w:rPr>
          <w:rFonts w:cs="Times New Roman"/>
          <w:b/>
          <w:smallCaps/>
          <w:lang w:val="sr-Cyrl-CS"/>
        </w:rPr>
      </w:pPr>
      <w:r w:rsidRPr="00092ED7">
        <w:rPr>
          <w:rFonts w:cs="Times New Roman"/>
          <w:b/>
          <w:bCs/>
          <w:szCs w:val="24"/>
          <w:lang w:val="sr-Cyrl-CS"/>
        </w:rPr>
        <w:t>Планиране активности по годинама</w:t>
      </w:r>
    </w:p>
    <w:tbl>
      <w:tblPr>
        <w:tblW w:w="9084" w:type="dxa"/>
        <w:tblLayout w:type="fixed"/>
        <w:tblCellMar>
          <w:left w:w="0" w:type="dxa"/>
          <w:right w:w="0" w:type="dxa"/>
        </w:tblCellMar>
        <w:tblLook w:val="04A0" w:firstRow="1" w:lastRow="0" w:firstColumn="1" w:lastColumn="0" w:noHBand="0" w:noVBand="1"/>
      </w:tblPr>
      <w:tblGrid>
        <w:gridCol w:w="420"/>
        <w:gridCol w:w="4248"/>
        <w:gridCol w:w="368"/>
        <w:gridCol w:w="369"/>
        <w:gridCol w:w="367"/>
        <w:gridCol w:w="369"/>
        <w:gridCol w:w="367"/>
        <w:gridCol w:w="368"/>
        <w:gridCol w:w="368"/>
        <w:gridCol w:w="368"/>
        <w:gridCol w:w="368"/>
        <w:gridCol w:w="367"/>
        <w:gridCol w:w="368"/>
        <w:gridCol w:w="369"/>
      </w:tblGrid>
      <w:tr w:rsidR="00D210F0" w:rsidRPr="00092ED7" w14:paraId="7C737904" w14:textId="77777777" w:rsidTr="006944C5">
        <w:trPr>
          <w:trHeight w:val="310"/>
        </w:trPr>
        <w:tc>
          <w:tcPr>
            <w:tcW w:w="420" w:type="dxa"/>
            <w:vMerge w:val="restart"/>
            <w:tcBorders>
              <w:top w:val="single" w:sz="8" w:space="0" w:color="auto"/>
              <w:left w:val="single" w:sz="8" w:space="0" w:color="auto"/>
              <w:bottom w:val="single" w:sz="8" w:space="0" w:color="000000"/>
              <w:right w:val="nil"/>
            </w:tcBorders>
            <w:shd w:val="clear" w:color="auto" w:fill="BDD6EE"/>
            <w:tcMar>
              <w:top w:w="15" w:type="dxa"/>
              <w:left w:w="15" w:type="dxa"/>
              <w:bottom w:w="0" w:type="dxa"/>
              <w:right w:w="15" w:type="dxa"/>
            </w:tcMar>
            <w:vAlign w:val="center"/>
            <w:hideMark/>
          </w:tcPr>
          <w:p w14:paraId="3FC81D1C" w14:textId="77777777" w:rsidR="00D210F0" w:rsidRPr="00092ED7" w:rsidRDefault="00D210F0" w:rsidP="00D210F0">
            <w:pPr>
              <w:spacing w:after="0"/>
              <w:jc w:val="center"/>
              <w:rPr>
                <w:rFonts w:cs="Times New Roman"/>
                <w:sz w:val="20"/>
                <w:szCs w:val="20"/>
                <w:lang w:val="sr-Cyrl-CS"/>
              </w:rPr>
            </w:pPr>
            <w:r w:rsidRPr="00092ED7">
              <w:rPr>
                <w:rFonts w:cs="Times New Roman"/>
                <w:b/>
                <w:bCs/>
                <w:color w:val="000000"/>
                <w:sz w:val="20"/>
                <w:szCs w:val="20"/>
                <w:lang w:val="sr-Cyrl-CS"/>
              </w:rPr>
              <w:t>РБ</w:t>
            </w:r>
          </w:p>
        </w:tc>
        <w:tc>
          <w:tcPr>
            <w:tcW w:w="4248" w:type="dxa"/>
            <w:vMerge w:val="restart"/>
            <w:tcBorders>
              <w:top w:val="single" w:sz="8" w:space="0" w:color="auto"/>
              <w:left w:val="single" w:sz="8" w:space="0" w:color="auto"/>
              <w:bottom w:val="single" w:sz="8" w:space="0" w:color="000000"/>
              <w:right w:val="nil"/>
            </w:tcBorders>
            <w:shd w:val="clear" w:color="auto" w:fill="BDD6EE" w:themeFill="accent1" w:themeFillTint="66"/>
            <w:tcMar>
              <w:top w:w="15" w:type="dxa"/>
              <w:left w:w="15" w:type="dxa"/>
              <w:bottom w:w="0" w:type="dxa"/>
              <w:right w:w="15" w:type="dxa"/>
            </w:tcMar>
            <w:vAlign w:val="center"/>
            <w:hideMark/>
          </w:tcPr>
          <w:p w14:paraId="7B11990E" w14:textId="77777777" w:rsidR="00D210F0" w:rsidRPr="00092ED7" w:rsidRDefault="00D210F0" w:rsidP="00D210F0">
            <w:pPr>
              <w:spacing w:after="0"/>
              <w:jc w:val="left"/>
              <w:rPr>
                <w:rFonts w:cs="Times New Roman"/>
                <w:sz w:val="20"/>
                <w:szCs w:val="20"/>
                <w:lang w:val="sr-Cyrl-CS"/>
              </w:rPr>
            </w:pPr>
            <w:r w:rsidRPr="00092ED7">
              <w:rPr>
                <w:rFonts w:cs="Times New Roman"/>
                <w:b/>
                <w:bCs/>
                <w:color w:val="000000"/>
                <w:sz w:val="20"/>
                <w:szCs w:val="20"/>
                <w:lang w:val="sr-Cyrl-CS"/>
              </w:rPr>
              <w:t>Планиране активности</w:t>
            </w:r>
          </w:p>
        </w:tc>
        <w:tc>
          <w:tcPr>
            <w:tcW w:w="1473" w:type="dxa"/>
            <w:gridSpan w:val="4"/>
            <w:tcBorders>
              <w:top w:val="single" w:sz="8" w:space="0" w:color="auto"/>
              <w:left w:val="single" w:sz="8" w:space="0" w:color="auto"/>
              <w:bottom w:val="single" w:sz="4" w:space="0" w:color="auto"/>
              <w:right w:val="single" w:sz="8" w:space="0" w:color="000000"/>
            </w:tcBorders>
            <w:shd w:val="clear" w:color="auto" w:fill="BDD6EE" w:themeFill="accent1" w:themeFillTint="66"/>
            <w:tcMar>
              <w:top w:w="15" w:type="dxa"/>
              <w:left w:w="15" w:type="dxa"/>
              <w:bottom w:w="0" w:type="dxa"/>
              <w:right w:w="15" w:type="dxa"/>
            </w:tcMar>
            <w:vAlign w:val="center"/>
            <w:hideMark/>
          </w:tcPr>
          <w:p w14:paraId="6D299EC7" w14:textId="77777777" w:rsidR="00D210F0" w:rsidRPr="00092ED7" w:rsidRDefault="00D210F0" w:rsidP="00D210F0">
            <w:pPr>
              <w:spacing w:after="0"/>
              <w:jc w:val="center"/>
              <w:rPr>
                <w:rFonts w:cs="Times New Roman"/>
                <w:b/>
                <w:bCs/>
                <w:color w:val="000000"/>
                <w:sz w:val="20"/>
                <w:szCs w:val="20"/>
                <w:lang w:val="sr-Cyrl-CS"/>
              </w:rPr>
            </w:pPr>
            <w:r w:rsidRPr="00092ED7">
              <w:rPr>
                <w:rFonts w:cs="Times New Roman"/>
                <w:b/>
                <w:bCs/>
                <w:color w:val="000000"/>
                <w:sz w:val="20"/>
                <w:szCs w:val="20"/>
                <w:lang w:val="sr-Cyrl-CS"/>
              </w:rPr>
              <w:t>2023</w:t>
            </w:r>
          </w:p>
        </w:tc>
        <w:tc>
          <w:tcPr>
            <w:tcW w:w="1471" w:type="dxa"/>
            <w:gridSpan w:val="4"/>
            <w:tcBorders>
              <w:top w:val="single" w:sz="8" w:space="0" w:color="auto"/>
              <w:left w:val="single" w:sz="8" w:space="0" w:color="auto"/>
              <w:bottom w:val="single" w:sz="4" w:space="0" w:color="auto"/>
              <w:right w:val="single" w:sz="8" w:space="0" w:color="000000"/>
            </w:tcBorders>
            <w:shd w:val="clear" w:color="auto" w:fill="BDD6EE" w:themeFill="accent1" w:themeFillTint="66"/>
            <w:tcMar>
              <w:top w:w="15" w:type="dxa"/>
              <w:left w:w="15" w:type="dxa"/>
              <w:bottom w:w="0" w:type="dxa"/>
              <w:right w:w="15" w:type="dxa"/>
            </w:tcMar>
            <w:vAlign w:val="center"/>
            <w:hideMark/>
          </w:tcPr>
          <w:p w14:paraId="70BD1953" w14:textId="77777777" w:rsidR="00D210F0" w:rsidRPr="00092ED7" w:rsidRDefault="00D210F0" w:rsidP="00D210F0">
            <w:pPr>
              <w:spacing w:after="0"/>
              <w:jc w:val="center"/>
              <w:rPr>
                <w:rFonts w:cs="Times New Roman"/>
                <w:b/>
                <w:bCs/>
                <w:color w:val="000000"/>
                <w:sz w:val="20"/>
                <w:szCs w:val="20"/>
                <w:lang w:val="sr-Cyrl-CS"/>
              </w:rPr>
            </w:pPr>
            <w:r w:rsidRPr="00092ED7">
              <w:rPr>
                <w:rFonts w:cs="Times New Roman"/>
                <w:b/>
                <w:bCs/>
                <w:color w:val="000000"/>
                <w:sz w:val="20"/>
                <w:szCs w:val="20"/>
                <w:lang w:val="sr-Cyrl-CS"/>
              </w:rPr>
              <w:t>2024</w:t>
            </w:r>
          </w:p>
        </w:tc>
        <w:tc>
          <w:tcPr>
            <w:tcW w:w="1472" w:type="dxa"/>
            <w:gridSpan w:val="4"/>
            <w:tcBorders>
              <w:top w:val="single" w:sz="8" w:space="0" w:color="auto"/>
              <w:left w:val="nil"/>
              <w:bottom w:val="single" w:sz="4" w:space="0" w:color="auto"/>
              <w:right w:val="single" w:sz="8" w:space="0" w:color="000000"/>
            </w:tcBorders>
            <w:shd w:val="clear" w:color="auto" w:fill="BDD6EE" w:themeFill="accent1" w:themeFillTint="66"/>
            <w:tcMar>
              <w:top w:w="15" w:type="dxa"/>
              <w:left w:w="15" w:type="dxa"/>
              <w:bottom w:w="0" w:type="dxa"/>
              <w:right w:w="15" w:type="dxa"/>
            </w:tcMar>
            <w:vAlign w:val="center"/>
            <w:hideMark/>
          </w:tcPr>
          <w:p w14:paraId="218167AF" w14:textId="77777777" w:rsidR="00D210F0" w:rsidRPr="00092ED7" w:rsidRDefault="00D210F0" w:rsidP="00D210F0">
            <w:pPr>
              <w:spacing w:after="0"/>
              <w:jc w:val="center"/>
              <w:rPr>
                <w:rFonts w:cs="Times New Roman"/>
                <w:b/>
                <w:bCs/>
                <w:color w:val="000000"/>
                <w:sz w:val="20"/>
                <w:szCs w:val="20"/>
                <w:lang w:val="sr-Cyrl-CS"/>
              </w:rPr>
            </w:pPr>
            <w:r w:rsidRPr="00092ED7">
              <w:rPr>
                <w:rFonts w:cs="Times New Roman"/>
                <w:b/>
                <w:bCs/>
                <w:color w:val="000000"/>
                <w:sz w:val="20"/>
                <w:szCs w:val="20"/>
                <w:lang w:val="sr-Cyrl-CS"/>
              </w:rPr>
              <w:t>2025</w:t>
            </w:r>
          </w:p>
        </w:tc>
      </w:tr>
      <w:tr w:rsidR="00D210F0" w:rsidRPr="00092ED7" w14:paraId="5F290F92" w14:textId="77777777" w:rsidTr="006944C5">
        <w:trPr>
          <w:trHeight w:val="310"/>
        </w:trPr>
        <w:tc>
          <w:tcPr>
            <w:tcW w:w="420" w:type="dxa"/>
            <w:vMerge/>
            <w:tcBorders>
              <w:top w:val="single" w:sz="8" w:space="0" w:color="auto"/>
              <w:left w:val="single" w:sz="8" w:space="0" w:color="auto"/>
              <w:bottom w:val="single" w:sz="8" w:space="0" w:color="000000"/>
              <w:right w:val="nil"/>
            </w:tcBorders>
            <w:vAlign w:val="center"/>
            <w:hideMark/>
          </w:tcPr>
          <w:p w14:paraId="74F6837D" w14:textId="77777777" w:rsidR="00D210F0" w:rsidRPr="00092ED7" w:rsidRDefault="00D210F0" w:rsidP="00D210F0">
            <w:pPr>
              <w:spacing w:after="0"/>
              <w:rPr>
                <w:rFonts w:cs="Times New Roman"/>
                <w:sz w:val="20"/>
                <w:szCs w:val="20"/>
                <w:lang w:val="sr-Cyrl-CS" w:eastAsia="sr-Cyrl-CS" w:bidi="sr-Cyrl-CS"/>
              </w:rPr>
            </w:pPr>
          </w:p>
        </w:tc>
        <w:tc>
          <w:tcPr>
            <w:tcW w:w="4248" w:type="dxa"/>
            <w:vMerge/>
            <w:tcBorders>
              <w:top w:val="single" w:sz="8" w:space="0" w:color="auto"/>
              <w:left w:val="single" w:sz="8" w:space="0" w:color="auto"/>
              <w:bottom w:val="single" w:sz="8" w:space="0" w:color="000000"/>
              <w:right w:val="nil"/>
            </w:tcBorders>
            <w:shd w:val="clear" w:color="auto" w:fill="BDD6EE" w:themeFill="accent1" w:themeFillTint="66"/>
            <w:vAlign w:val="center"/>
            <w:hideMark/>
          </w:tcPr>
          <w:p w14:paraId="301F4820" w14:textId="77777777" w:rsidR="00D210F0" w:rsidRPr="00092ED7" w:rsidRDefault="00D210F0" w:rsidP="00D210F0">
            <w:pPr>
              <w:spacing w:after="0"/>
              <w:rPr>
                <w:rFonts w:cs="Times New Roman"/>
                <w:sz w:val="20"/>
                <w:szCs w:val="20"/>
                <w:lang w:val="sr-Cyrl-CS" w:eastAsia="sr-Cyrl-CS" w:bidi="sr-Cyrl-CS"/>
              </w:rPr>
            </w:pPr>
          </w:p>
        </w:tc>
        <w:tc>
          <w:tcPr>
            <w:tcW w:w="368" w:type="dxa"/>
            <w:tcBorders>
              <w:top w:val="nil"/>
              <w:left w:val="single" w:sz="8" w:space="0" w:color="auto"/>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3B1EB4E3"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Q1</w:t>
            </w:r>
          </w:p>
        </w:tc>
        <w:tc>
          <w:tcPr>
            <w:tcW w:w="369"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240E4A53"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Q2</w:t>
            </w:r>
          </w:p>
        </w:tc>
        <w:tc>
          <w:tcPr>
            <w:tcW w:w="367"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53460E2B"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Q3</w:t>
            </w:r>
          </w:p>
        </w:tc>
        <w:tc>
          <w:tcPr>
            <w:tcW w:w="369" w:type="dxa"/>
            <w:tcBorders>
              <w:top w:val="nil"/>
              <w:left w:val="nil"/>
              <w:bottom w:val="single" w:sz="8" w:space="0" w:color="auto"/>
              <w:right w:val="single" w:sz="8" w:space="0" w:color="auto"/>
            </w:tcBorders>
            <w:shd w:val="clear" w:color="auto" w:fill="BDD6EE" w:themeFill="accent1" w:themeFillTint="66"/>
            <w:tcMar>
              <w:top w:w="15" w:type="dxa"/>
              <w:left w:w="15" w:type="dxa"/>
              <w:bottom w:w="0" w:type="dxa"/>
              <w:right w:w="15" w:type="dxa"/>
            </w:tcMar>
            <w:vAlign w:val="center"/>
            <w:hideMark/>
          </w:tcPr>
          <w:p w14:paraId="419A746B"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Q4</w:t>
            </w:r>
          </w:p>
        </w:tc>
        <w:tc>
          <w:tcPr>
            <w:tcW w:w="367"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5D70FCD1"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Q1</w:t>
            </w:r>
          </w:p>
        </w:tc>
        <w:tc>
          <w:tcPr>
            <w:tcW w:w="368"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529FD6DC"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Q2</w:t>
            </w:r>
          </w:p>
        </w:tc>
        <w:tc>
          <w:tcPr>
            <w:tcW w:w="368"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59029634"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Q3</w:t>
            </w:r>
          </w:p>
        </w:tc>
        <w:tc>
          <w:tcPr>
            <w:tcW w:w="368" w:type="dxa"/>
            <w:tcBorders>
              <w:top w:val="nil"/>
              <w:left w:val="nil"/>
              <w:bottom w:val="single" w:sz="8" w:space="0" w:color="auto"/>
              <w:right w:val="single" w:sz="8" w:space="0" w:color="auto"/>
            </w:tcBorders>
            <w:shd w:val="clear" w:color="auto" w:fill="BDD6EE" w:themeFill="accent1" w:themeFillTint="66"/>
            <w:tcMar>
              <w:top w:w="15" w:type="dxa"/>
              <w:left w:w="15" w:type="dxa"/>
              <w:bottom w:w="0" w:type="dxa"/>
              <w:right w:w="15" w:type="dxa"/>
            </w:tcMar>
            <w:vAlign w:val="center"/>
            <w:hideMark/>
          </w:tcPr>
          <w:p w14:paraId="53493264"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Q4</w:t>
            </w:r>
          </w:p>
        </w:tc>
        <w:tc>
          <w:tcPr>
            <w:tcW w:w="368"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3A1EF694"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Q1</w:t>
            </w:r>
          </w:p>
        </w:tc>
        <w:tc>
          <w:tcPr>
            <w:tcW w:w="367"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50E653D9"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Q2</w:t>
            </w:r>
          </w:p>
        </w:tc>
        <w:tc>
          <w:tcPr>
            <w:tcW w:w="368"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2F2B7BA2"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Q3</w:t>
            </w:r>
          </w:p>
        </w:tc>
        <w:tc>
          <w:tcPr>
            <w:tcW w:w="369" w:type="dxa"/>
            <w:tcBorders>
              <w:top w:val="nil"/>
              <w:left w:val="nil"/>
              <w:bottom w:val="single" w:sz="8" w:space="0" w:color="auto"/>
              <w:right w:val="single" w:sz="8" w:space="0" w:color="auto"/>
            </w:tcBorders>
            <w:shd w:val="clear" w:color="auto" w:fill="BDD6EE" w:themeFill="accent1" w:themeFillTint="66"/>
            <w:tcMar>
              <w:top w:w="15" w:type="dxa"/>
              <w:left w:w="15" w:type="dxa"/>
              <w:bottom w:w="0" w:type="dxa"/>
              <w:right w:w="15" w:type="dxa"/>
            </w:tcMar>
            <w:vAlign w:val="center"/>
            <w:hideMark/>
          </w:tcPr>
          <w:p w14:paraId="3232BA7D"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Q4</w:t>
            </w:r>
          </w:p>
        </w:tc>
      </w:tr>
      <w:tr w:rsidR="00D210F0" w:rsidRPr="00092ED7" w14:paraId="207D36E4" w14:textId="77777777" w:rsidTr="00DD04E8">
        <w:trPr>
          <w:trHeight w:val="296"/>
        </w:trPr>
        <w:tc>
          <w:tcPr>
            <w:tcW w:w="420" w:type="dxa"/>
            <w:tcBorders>
              <w:top w:val="single" w:sz="4" w:space="0" w:color="auto"/>
              <w:left w:val="single" w:sz="8" w:space="0" w:color="auto"/>
              <w:bottom w:val="single" w:sz="4" w:space="0" w:color="auto"/>
              <w:right w:val="nil"/>
            </w:tcBorders>
            <w:tcMar>
              <w:top w:w="15" w:type="dxa"/>
              <w:left w:w="15" w:type="dxa"/>
              <w:bottom w:w="0" w:type="dxa"/>
              <w:right w:w="15" w:type="dxa"/>
            </w:tcMar>
            <w:hideMark/>
          </w:tcPr>
          <w:p w14:paraId="45473CCA" w14:textId="77777777" w:rsidR="00D210F0" w:rsidRPr="00092ED7" w:rsidRDefault="00D210F0" w:rsidP="00DD04E8">
            <w:pPr>
              <w:spacing w:after="0"/>
              <w:jc w:val="center"/>
              <w:rPr>
                <w:rFonts w:cs="Times New Roman"/>
                <w:sz w:val="20"/>
                <w:szCs w:val="20"/>
                <w:lang w:val="sr-Cyrl-CS"/>
              </w:rPr>
            </w:pPr>
            <w:r w:rsidRPr="00092ED7">
              <w:rPr>
                <w:rFonts w:cs="Times New Roman"/>
                <w:sz w:val="20"/>
                <w:szCs w:val="20"/>
                <w:lang w:val="sr-Cyrl-CS"/>
              </w:rPr>
              <w:t>1.</w:t>
            </w:r>
          </w:p>
        </w:tc>
        <w:tc>
          <w:tcPr>
            <w:tcW w:w="4248" w:type="dxa"/>
            <w:tcBorders>
              <w:top w:val="single" w:sz="4" w:space="0" w:color="auto"/>
              <w:left w:val="single" w:sz="8" w:space="0" w:color="auto"/>
              <w:bottom w:val="single" w:sz="4" w:space="0" w:color="auto"/>
              <w:right w:val="nil"/>
            </w:tcBorders>
            <w:tcMar>
              <w:top w:w="15" w:type="dxa"/>
              <w:left w:w="15" w:type="dxa"/>
              <w:bottom w:w="0" w:type="dxa"/>
              <w:right w:w="15" w:type="dxa"/>
            </w:tcMar>
            <w:hideMark/>
          </w:tcPr>
          <w:p w14:paraId="58F3E8AC" w14:textId="77777777" w:rsidR="00D210F0" w:rsidRPr="00092ED7" w:rsidRDefault="00D210F0" w:rsidP="00D210F0">
            <w:pPr>
              <w:spacing w:after="0"/>
              <w:rPr>
                <w:rFonts w:cs="Times New Roman"/>
                <w:sz w:val="20"/>
                <w:szCs w:val="20"/>
                <w:lang w:val="sr-Cyrl-CS"/>
              </w:rPr>
            </w:pPr>
            <w:r w:rsidRPr="00092ED7">
              <w:rPr>
                <w:rFonts w:cs="Times New Roman"/>
                <w:sz w:val="20"/>
                <w:szCs w:val="20"/>
                <w:lang w:val="sr-Cyrl-CS"/>
              </w:rPr>
              <w:t>Примена нове Методологије за обрачун цене приступа железничкој инфраструктури</w:t>
            </w:r>
          </w:p>
        </w:tc>
        <w:tc>
          <w:tcPr>
            <w:tcW w:w="368" w:type="dxa"/>
            <w:tcBorders>
              <w:top w:val="single" w:sz="4" w:space="0" w:color="auto"/>
              <w:left w:val="single" w:sz="8" w:space="0" w:color="auto"/>
              <w:bottom w:val="single" w:sz="4" w:space="0" w:color="auto"/>
              <w:right w:val="single" w:sz="4" w:space="0" w:color="auto"/>
            </w:tcBorders>
            <w:tcMar>
              <w:top w:w="15" w:type="dxa"/>
              <w:left w:w="15" w:type="dxa"/>
              <w:bottom w:w="0" w:type="dxa"/>
              <w:right w:w="15" w:type="dxa"/>
            </w:tcMar>
          </w:tcPr>
          <w:p w14:paraId="2031FFC7" w14:textId="77777777" w:rsidR="00D210F0" w:rsidRPr="00092ED7" w:rsidRDefault="00D210F0" w:rsidP="00D210F0">
            <w:pPr>
              <w:spacing w:after="0"/>
              <w:rPr>
                <w:rFonts w:cs="Times New Roman"/>
                <w:color w:val="000000"/>
                <w:sz w:val="20"/>
                <w:szCs w:val="20"/>
                <w:lang w:val="sr-Cyrl-CS"/>
              </w:rPr>
            </w:pPr>
          </w:p>
        </w:tc>
        <w:tc>
          <w:tcPr>
            <w:tcW w:w="369" w:type="dxa"/>
            <w:tcBorders>
              <w:top w:val="single" w:sz="4" w:space="0" w:color="auto"/>
              <w:left w:val="nil"/>
              <w:bottom w:val="single" w:sz="4" w:space="0" w:color="auto"/>
              <w:right w:val="single" w:sz="4" w:space="0" w:color="auto"/>
            </w:tcBorders>
            <w:tcMar>
              <w:top w:w="15" w:type="dxa"/>
              <w:left w:w="15" w:type="dxa"/>
              <w:bottom w:w="0" w:type="dxa"/>
              <w:right w:w="15" w:type="dxa"/>
            </w:tcMar>
          </w:tcPr>
          <w:p w14:paraId="392E4159" w14:textId="77777777" w:rsidR="00D210F0" w:rsidRPr="00092ED7" w:rsidRDefault="00D210F0" w:rsidP="00D210F0">
            <w:pPr>
              <w:spacing w:after="0"/>
              <w:rPr>
                <w:rFonts w:cs="Times New Roman"/>
                <w:color w:val="000000"/>
                <w:sz w:val="20"/>
                <w:szCs w:val="20"/>
                <w:lang w:val="sr-Cyrl-CS"/>
              </w:rPr>
            </w:pPr>
          </w:p>
        </w:tc>
        <w:tc>
          <w:tcPr>
            <w:tcW w:w="367" w:type="dxa"/>
            <w:tcBorders>
              <w:top w:val="single" w:sz="4" w:space="0" w:color="auto"/>
              <w:left w:val="nil"/>
              <w:bottom w:val="single" w:sz="4" w:space="0" w:color="auto"/>
              <w:right w:val="single" w:sz="4" w:space="0" w:color="auto"/>
            </w:tcBorders>
            <w:tcMar>
              <w:top w:w="15" w:type="dxa"/>
              <w:left w:w="15" w:type="dxa"/>
              <w:bottom w:w="0" w:type="dxa"/>
              <w:right w:w="15" w:type="dxa"/>
            </w:tcMar>
          </w:tcPr>
          <w:p w14:paraId="3E8DB4D2" w14:textId="77777777" w:rsidR="00D210F0" w:rsidRPr="00092ED7" w:rsidRDefault="00D210F0" w:rsidP="00D210F0">
            <w:pPr>
              <w:spacing w:after="0"/>
              <w:rPr>
                <w:rFonts w:cs="Times New Roman"/>
                <w:color w:val="000000"/>
                <w:sz w:val="20"/>
                <w:szCs w:val="20"/>
                <w:lang w:val="sr-Cyrl-CS"/>
              </w:rPr>
            </w:pPr>
          </w:p>
        </w:tc>
        <w:tc>
          <w:tcPr>
            <w:tcW w:w="369" w:type="dxa"/>
            <w:tcBorders>
              <w:top w:val="single" w:sz="4" w:space="0" w:color="auto"/>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5D5EACB0" w14:textId="77777777" w:rsidR="00D210F0" w:rsidRPr="00092ED7" w:rsidRDefault="00D210F0" w:rsidP="00D210F0">
            <w:pPr>
              <w:spacing w:after="0"/>
              <w:rPr>
                <w:rFonts w:cs="Times New Roman"/>
                <w:color w:val="000000"/>
                <w:sz w:val="20"/>
                <w:szCs w:val="20"/>
                <w:lang w:val="sr-Cyrl-CS"/>
              </w:rPr>
            </w:pPr>
          </w:p>
        </w:tc>
        <w:tc>
          <w:tcPr>
            <w:tcW w:w="367"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413B1F5" w14:textId="77777777" w:rsidR="00D210F0" w:rsidRPr="00092ED7" w:rsidRDefault="00D210F0" w:rsidP="00D210F0">
            <w:pPr>
              <w:spacing w:after="0"/>
              <w:rPr>
                <w:rFonts w:cs="Times New Roman"/>
                <w:color w:val="000000"/>
                <w:sz w:val="20"/>
                <w:szCs w:val="20"/>
                <w:lang w:val="sr-Cyrl-CS"/>
              </w:rPr>
            </w:pPr>
          </w:p>
        </w:tc>
        <w:tc>
          <w:tcPr>
            <w:tcW w:w="368"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29ECB8F" w14:textId="77777777" w:rsidR="00D210F0" w:rsidRPr="00092ED7" w:rsidRDefault="00D210F0" w:rsidP="00D210F0">
            <w:pPr>
              <w:spacing w:after="0"/>
              <w:rPr>
                <w:rFonts w:cs="Times New Roman"/>
                <w:color w:val="000000"/>
                <w:sz w:val="20"/>
                <w:szCs w:val="20"/>
                <w:lang w:val="sr-Cyrl-CS"/>
              </w:rPr>
            </w:pPr>
          </w:p>
        </w:tc>
        <w:tc>
          <w:tcPr>
            <w:tcW w:w="368"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30F418B3" w14:textId="77777777" w:rsidR="00D210F0" w:rsidRPr="00092ED7" w:rsidRDefault="00D210F0" w:rsidP="00D210F0">
            <w:pPr>
              <w:spacing w:after="0"/>
              <w:rPr>
                <w:rFonts w:cs="Times New Roman"/>
                <w:color w:val="000000"/>
                <w:sz w:val="20"/>
                <w:szCs w:val="20"/>
                <w:lang w:val="sr-Cyrl-CS"/>
              </w:rPr>
            </w:pPr>
          </w:p>
        </w:tc>
        <w:tc>
          <w:tcPr>
            <w:tcW w:w="368" w:type="dxa"/>
            <w:tcBorders>
              <w:top w:val="single" w:sz="4" w:space="0" w:color="auto"/>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1F644626" w14:textId="77777777" w:rsidR="00D210F0" w:rsidRPr="00092ED7" w:rsidRDefault="00D210F0" w:rsidP="00D210F0">
            <w:pPr>
              <w:spacing w:after="0"/>
              <w:rPr>
                <w:rFonts w:cs="Times New Roman"/>
                <w:color w:val="000000"/>
                <w:sz w:val="20"/>
                <w:szCs w:val="20"/>
                <w:lang w:val="sr-Cyrl-CS"/>
              </w:rPr>
            </w:pPr>
          </w:p>
        </w:tc>
        <w:tc>
          <w:tcPr>
            <w:tcW w:w="368"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4E3DF58" w14:textId="77777777" w:rsidR="00D210F0" w:rsidRPr="00092ED7" w:rsidRDefault="00D210F0" w:rsidP="00D210F0">
            <w:pPr>
              <w:spacing w:after="0"/>
              <w:rPr>
                <w:rFonts w:cs="Times New Roman"/>
                <w:color w:val="000000"/>
                <w:sz w:val="20"/>
                <w:szCs w:val="20"/>
                <w:lang w:val="sr-Cyrl-CS"/>
              </w:rPr>
            </w:pPr>
          </w:p>
        </w:tc>
        <w:tc>
          <w:tcPr>
            <w:tcW w:w="367"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4FC0E02" w14:textId="77777777" w:rsidR="00D210F0" w:rsidRPr="00092ED7" w:rsidRDefault="00D210F0" w:rsidP="00D210F0">
            <w:pPr>
              <w:spacing w:after="0"/>
              <w:rPr>
                <w:rFonts w:cs="Times New Roman"/>
                <w:color w:val="000000"/>
                <w:sz w:val="20"/>
                <w:szCs w:val="20"/>
                <w:lang w:val="sr-Cyrl-CS"/>
              </w:rPr>
            </w:pPr>
          </w:p>
        </w:tc>
        <w:tc>
          <w:tcPr>
            <w:tcW w:w="368"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24B230CE" w14:textId="77777777" w:rsidR="00D210F0" w:rsidRPr="00092ED7" w:rsidRDefault="00D210F0" w:rsidP="00D210F0">
            <w:pPr>
              <w:spacing w:after="0"/>
              <w:rPr>
                <w:rFonts w:cs="Times New Roman"/>
                <w:color w:val="000000"/>
                <w:sz w:val="20"/>
                <w:szCs w:val="20"/>
                <w:lang w:val="sr-Cyrl-CS"/>
              </w:rPr>
            </w:pPr>
          </w:p>
        </w:tc>
        <w:tc>
          <w:tcPr>
            <w:tcW w:w="369" w:type="dxa"/>
            <w:tcBorders>
              <w:top w:val="single" w:sz="4" w:space="0" w:color="auto"/>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hideMark/>
          </w:tcPr>
          <w:p w14:paraId="63070CA6" w14:textId="77777777" w:rsidR="00D210F0" w:rsidRPr="00092ED7" w:rsidRDefault="00D210F0" w:rsidP="00D210F0">
            <w:pPr>
              <w:spacing w:after="0"/>
              <w:rPr>
                <w:rFonts w:cs="Times New Roman"/>
                <w:color w:val="000000"/>
                <w:sz w:val="20"/>
                <w:szCs w:val="20"/>
                <w:lang w:val="sr-Cyrl-CS"/>
              </w:rPr>
            </w:pPr>
            <w:r w:rsidRPr="00092ED7">
              <w:rPr>
                <w:rFonts w:cs="Times New Roman"/>
                <w:color w:val="000000"/>
                <w:sz w:val="20"/>
                <w:szCs w:val="20"/>
                <w:lang w:val="sr-Cyrl-CS"/>
              </w:rPr>
              <w:t> </w:t>
            </w:r>
          </w:p>
        </w:tc>
      </w:tr>
      <w:tr w:rsidR="00D210F0" w:rsidRPr="00092ED7" w14:paraId="77B8D257" w14:textId="77777777" w:rsidTr="00DD04E8">
        <w:trPr>
          <w:trHeight w:val="296"/>
        </w:trPr>
        <w:tc>
          <w:tcPr>
            <w:tcW w:w="420" w:type="dxa"/>
            <w:tcBorders>
              <w:top w:val="nil"/>
              <w:left w:val="single" w:sz="8" w:space="0" w:color="auto"/>
              <w:bottom w:val="single" w:sz="4" w:space="0" w:color="auto"/>
              <w:right w:val="nil"/>
            </w:tcBorders>
            <w:tcMar>
              <w:top w:w="15" w:type="dxa"/>
              <w:left w:w="15" w:type="dxa"/>
              <w:bottom w:w="0" w:type="dxa"/>
              <w:right w:w="15" w:type="dxa"/>
            </w:tcMar>
            <w:hideMark/>
          </w:tcPr>
          <w:p w14:paraId="7EAF8298" w14:textId="77777777" w:rsidR="00D210F0" w:rsidRPr="00092ED7" w:rsidRDefault="00D210F0" w:rsidP="00DD04E8">
            <w:pPr>
              <w:spacing w:after="0"/>
              <w:jc w:val="center"/>
              <w:rPr>
                <w:rFonts w:cs="Times New Roman"/>
                <w:sz w:val="20"/>
                <w:szCs w:val="20"/>
                <w:lang w:val="sr-Cyrl-CS"/>
              </w:rPr>
            </w:pPr>
            <w:r w:rsidRPr="00092ED7">
              <w:rPr>
                <w:rFonts w:cs="Times New Roman"/>
                <w:sz w:val="20"/>
                <w:szCs w:val="20"/>
                <w:lang w:val="sr-Cyrl-CS"/>
              </w:rPr>
              <w:t>2.</w:t>
            </w:r>
          </w:p>
        </w:tc>
        <w:tc>
          <w:tcPr>
            <w:tcW w:w="4248" w:type="dxa"/>
            <w:tcBorders>
              <w:top w:val="nil"/>
              <w:left w:val="single" w:sz="8" w:space="0" w:color="auto"/>
              <w:bottom w:val="single" w:sz="4" w:space="0" w:color="auto"/>
              <w:right w:val="single" w:sz="4" w:space="0" w:color="auto"/>
            </w:tcBorders>
            <w:tcMar>
              <w:top w:w="15" w:type="dxa"/>
              <w:left w:w="15" w:type="dxa"/>
              <w:bottom w:w="0" w:type="dxa"/>
              <w:right w:w="15" w:type="dxa"/>
            </w:tcMar>
            <w:hideMark/>
          </w:tcPr>
          <w:p w14:paraId="2E320325" w14:textId="77777777" w:rsidR="00D210F0" w:rsidRPr="00092ED7" w:rsidRDefault="00317DB5" w:rsidP="00D210F0">
            <w:pPr>
              <w:spacing w:after="0"/>
              <w:rPr>
                <w:rFonts w:cs="Times New Roman"/>
                <w:sz w:val="20"/>
                <w:szCs w:val="20"/>
                <w:lang w:val="sr-Cyrl-CS"/>
              </w:rPr>
            </w:pPr>
            <w:r w:rsidRPr="00092ED7">
              <w:rPr>
                <w:rFonts w:cs="Times New Roman"/>
                <w:sz w:val="20"/>
                <w:szCs w:val="20"/>
                <w:lang w:val="sr-Cyrl-CS"/>
              </w:rPr>
              <w:t>Подизање нивоа безбедности на путним прелазима</w:t>
            </w:r>
          </w:p>
        </w:tc>
        <w:tc>
          <w:tcPr>
            <w:tcW w:w="368" w:type="dxa"/>
            <w:tcBorders>
              <w:top w:val="nil"/>
              <w:left w:val="single" w:sz="8"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FAF7B15" w14:textId="77777777" w:rsidR="00D210F0" w:rsidRPr="00092ED7" w:rsidRDefault="00D210F0" w:rsidP="00D210F0">
            <w:pPr>
              <w:spacing w:after="0"/>
              <w:rPr>
                <w:rFonts w:cs="Times New Roman"/>
                <w:color w:val="000000"/>
                <w:sz w:val="20"/>
                <w:szCs w:val="20"/>
                <w:lang w:val="sr-Cyrl-CS"/>
              </w:rPr>
            </w:pPr>
          </w:p>
        </w:tc>
        <w:tc>
          <w:tcPr>
            <w:tcW w:w="369"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A11A9E6" w14:textId="77777777" w:rsidR="00D210F0" w:rsidRPr="00092ED7" w:rsidRDefault="00D210F0" w:rsidP="00D210F0">
            <w:pPr>
              <w:spacing w:after="0"/>
              <w:rPr>
                <w:rFonts w:cs="Times New Roman"/>
                <w:color w:val="000000"/>
                <w:sz w:val="20"/>
                <w:szCs w:val="20"/>
                <w:lang w:val="sr-Cyrl-CS"/>
              </w:rPr>
            </w:pPr>
          </w:p>
        </w:tc>
        <w:tc>
          <w:tcPr>
            <w:tcW w:w="367"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32AFAB28" w14:textId="77777777" w:rsidR="00D210F0" w:rsidRPr="00092ED7" w:rsidRDefault="00D210F0" w:rsidP="00D210F0">
            <w:pPr>
              <w:spacing w:after="0"/>
              <w:rPr>
                <w:rFonts w:cs="Times New Roman"/>
                <w:color w:val="000000"/>
                <w:sz w:val="20"/>
                <w:szCs w:val="20"/>
                <w:lang w:val="sr-Cyrl-CS"/>
              </w:rPr>
            </w:pPr>
          </w:p>
        </w:tc>
        <w:tc>
          <w:tcPr>
            <w:tcW w:w="369"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1845E5C4" w14:textId="77777777" w:rsidR="00D210F0" w:rsidRPr="00092ED7" w:rsidRDefault="00D210F0" w:rsidP="00D210F0">
            <w:pPr>
              <w:spacing w:after="0"/>
              <w:rPr>
                <w:rFonts w:cs="Times New Roman"/>
                <w:color w:val="000000"/>
                <w:sz w:val="20"/>
                <w:szCs w:val="20"/>
                <w:lang w:val="sr-Cyrl-CS"/>
              </w:rPr>
            </w:pPr>
          </w:p>
        </w:tc>
        <w:tc>
          <w:tcPr>
            <w:tcW w:w="367"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C8C4793" w14:textId="77777777" w:rsidR="00D210F0" w:rsidRPr="00092ED7" w:rsidRDefault="00D210F0" w:rsidP="00D210F0">
            <w:pPr>
              <w:spacing w:after="0"/>
              <w:rPr>
                <w:rFonts w:cs="Times New Roman"/>
                <w:color w:val="000000"/>
                <w:sz w:val="20"/>
                <w:szCs w:val="20"/>
                <w:lang w:val="sr-Cyrl-CS"/>
              </w:rPr>
            </w:pPr>
          </w:p>
        </w:tc>
        <w:tc>
          <w:tcPr>
            <w:tcW w:w="368"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3CA2B529" w14:textId="77777777" w:rsidR="00D210F0" w:rsidRPr="00092ED7" w:rsidRDefault="00D210F0" w:rsidP="00D210F0">
            <w:pPr>
              <w:spacing w:after="0"/>
              <w:rPr>
                <w:rFonts w:cs="Times New Roman"/>
                <w:color w:val="000000"/>
                <w:sz w:val="20"/>
                <w:szCs w:val="20"/>
                <w:lang w:val="sr-Cyrl-CS"/>
              </w:rPr>
            </w:pPr>
          </w:p>
        </w:tc>
        <w:tc>
          <w:tcPr>
            <w:tcW w:w="368"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90CA8CE" w14:textId="77777777" w:rsidR="00D210F0" w:rsidRPr="00092ED7" w:rsidRDefault="00D210F0" w:rsidP="00D210F0">
            <w:pPr>
              <w:spacing w:after="0"/>
              <w:rPr>
                <w:rFonts w:cs="Times New Roman"/>
                <w:color w:val="000000"/>
                <w:sz w:val="20"/>
                <w:szCs w:val="20"/>
                <w:lang w:val="sr-Cyrl-CS"/>
              </w:rPr>
            </w:pPr>
          </w:p>
        </w:tc>
        <w:tc>
          <w:tcPr>
            <w:tcW w:w="368"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05B4C88C" w14:textId="77777777" w:rsidR="00D210F0" w:rsidRPr="00092ED7" w:rsidRDefault="00D210F0" w:rsidP="00D210F0">
            <w:pPr>
              <w:spacing w:after="0"/>
              <w:rPr>
                <w:rFonts w:cs="Times New Roman"/>
                <w:color w:val="000000"/>
                <w:sz w:val="20"/>
                <w:szCs w:val="20"/>
                <w:lang w:val="sr-Cyrl-CS"/>
              </w:rPr>
            </w:pPr>
          </w:p>
        </w:tc>
        <w:tc>
          <w:tcPr>
            <w:tcW w:w="368"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037E50F2" w14:textId="77777777" w:rsidR="00D210F0" w:rsidRPr="00092ED7" w:rsidRDefault="00D210F0" w:rsidP="00D210F0">
            <w:pPr>
              <w:spacing w:after="0"/>
              <w:rPr>
                <w:rFonts w:cs="Times New Roman"/>
                <w:color w:val="000000"/>
                <w:sz w:val="20"/>
                <w:szCs w:val="20"/>
                <w:lang w:val="sr-Cyrl-CS"/>
              </w:rPr>
            </w:pPr>
          </w:p>
        </w:tc>
        <w:tc>
          <w:tcPr>
            <w:tcW w:w="367"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FF3FC3A" w14:textId="77777777" w:rsidR="00D210F0" w:rsidRPr="00092ED7" w:rsidRDefault="00D210F0" w:rsidP="00D210F0">
            <w:pPr>
              <w:spacing w:after="0"/>
              <w:rPr>
                <w:rFonts w:cs="Times New Roman"/>
                <w:color w:val="000000"/>
                <w:sz w:val="20"/>
                <w:szCs w:val="20"/>
                <w:lang w:val="sr-Cyrl-CS"/>
              </w:rPr>
            </w:pPr>
          </w:p>
        </w:tc>
        <w:tc>
          <w:tcPr>
            <w:tcW w:w="368"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E200C44" w14:textId="77777777" w:rsidR="00D210F0" w:rsidRPr="00092ED7" w:rsidRDefault="00D210F0" w:rsidP="00D210F0">
            <w:pPr>
              <w:spacing w:after="0"/>
              <w:rPr>
                <w:rFonts w:cs="Times New Roman"/>
                <w:color w:val="000000"/>
                <w:sz w:val="20"/>
                <w:szCs w:val="20"/>
                <w:lang w:val="sr-Cyrl-CS"/>
              </w:rPr>
            </w:pPr>
          </w:p>
        </w:tc>
        <w:tc>
          <w:tcPr>
            <w:tcW w:w="369"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hideMark/>
          </w:tcPr>
          <w:p w14:paraId="5E838CAE" w14:textId="77777777" w:rsidR="00D210F0" w:rsidRPr="00092ED7" w:rsidRDefault="00D210F0" w:rsidP="00D210F0">
            <w:pPr>
              <w:spacing w:after="0"/>
              <w:rPr>
                <w:rFonts w:cs="Times New Roman"/>
                <w:color w:val="000000"/>
                <w:sz w:val="20"/>
                <w:szCs w:val="20"/>
                <w:lang w:val="sr-Cyrl-CS"/>
              </w:rPr>
            </w:pPr>
            <w:r w:rsidRPr="00092ED7">
              <w:rPr>
                <w:rFonts w:cs="Times New Roman"/>
                <w:color w:val="000000"/>
                <w:sz w:val="20"/>
                <w:szCs w:val="20"/>
                <w:lang w:val="sr-Cyrl-CS"/>
              </w:rPr>
              <w:t> </w:t>
            </w:r>
          </w:p>
        </w:tc>
      </w:tr>
      <w:tr w:rsidR="00BE2B7C" w:rsidRPr="00092ED7" w14:paraId="0F231C73" w14:textId="77777777" w:rsidTr="00DD04E8">
        <w:trPr>
          <w:trHeight w:val="296"/>
        </w:trPr>
        <w:tc>
          <w:tcPr>
            <w:tcW w:w="420" w:type="dxa"/>
            <w:tcBorders>
              <w:top w:val="nil"/>
              <w:left w:val="single" w:sz="8" w:space="0" w:color="auto"/>
              <w:bottom w:val="single" w:sz="4" w:space="0" w:color="auto"/>
              <w:right w:val="single" w:sz="8" w:space="0" w:color="auto"/>
            </w:tcBorders>
            <w:tcMar>
              <w:top w:w="15" w:type="dxa"/>
              <w:left w:w="15" w:type="dxa"/>
              <w:bottom w:w="0" w:type="dxa"/>
              <w:right w:w="15" w:type="dxa"/>
            </w:tcMar>
            <w:hideMark/>
          </w:tcPr>
          <w:p w14:paraId="086A395D" w14:textId="77777777" w:rsidR="00D210F0" w:rsidRPr="00092ED7" w:rsidRDefault="00D210F0" w:rsidP="00DD04E8">
            <w:pPr>
              <w:spacing w:after="0"/>
              <w:jc w:val="center"/>
              <w:rPr>
                <w:rFonts w:cs="Times New Roman"/>
                <w:sz w:val="20"/>
                <w:szCs w:val="20"/>
                <w:lang w:val="sr-Cyrl-CS"/>
              </w:rPr>
            </w:pPr>
            <w:r w:rsidRPr="00092ED7">
              <w:rPr>
                <w:rFonts w:cs="Times New Roman"/>
                <w:sz w:val="20"/>
                <w:szCs w:val="20"/>
                <w:lang w:val="sr-Cyrl-CS"/>
              </w:rPr>
              <w:t>3.</w:t>
            </w:r>
          </w:p>
        </w:tc>
        <w:tc>
          <w:tcPr>
            <w:tcW w:w="4248" w:type="dxa"/>
            <w:tcBorders>
              <w:top w:val="nil"/>
              <w:left w:val="nil"/>
              <w:bottom w:val="single" w:sz="4" w:space="0" w:color="auto"/>
              <w:right w:val="nil"/>
            </w:tcBorders>
            <w:tcMar>
              <w:top w:w="15" w:type="dxa"/>
              <w:left w:w="15" w:type="dxa"/>
              <w:bottom w:w="0" w:type="dxa"/>
              <w:right w:w="15" w:type="dxa"/>
            </w:tcMar>
            <w:hideMark/>
          </w:tcPr>
          <w:p w14:paraId="6E274BAC" w14:textId="77777777" w:rsidR="00D210F0" w:rsidRPr="00092ED7" w:rsidRDefault="00317DB5" w:rsidP="00D210F0">
            <w:pPr>
              <w:spacing w:after="0"/>
              <w:rPr>
                <w:rFonts w:cs="Times New Roman"/>
                <w:sz w:val="20"/>
                <w:szCs w:val="20"/>
                <w:lang w:val="sr-Cyrl-CS"/>
              </w:rPr>
            </w:pPr>
            <w:r w:rsidRPr="00092ED7">
              <w:rPr>
                <w:rFonts w:cs="Times New Roman"/>
                <w:sz w:val="20"/>
                <w:szCs w:val="20"/>
                <w:lang w:val="sr-Cyrl-CS"/>
              </w:rPr>
              <w:t>Стварање услова за унапређење ефикасности железничког путничког саобраћаја</w:t>
            </w:r>
          </w:p>
        </w:tc>
        <w:tc>
          <w:tcPr>
            <w:tcW w:w="368" w:type="dxa"/>
            <w:tcBorders>
              <w:top w:val="nil"/>
              <w:left w:val="single" w:sz="8"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48EE9BC" w14:textId="77777777" w:rsidR="00D210F0" w:rsidRPr="00092ED7" w:rsidRDefault="00D210F0" w:rsidP="00D210F0">
            <w:pPr>
              <w:spacing w:after="0"/>
              <w:rPr>
                <w:rFonts w:cs="Times New Roman"/>
                <w:color w:val="000000"/>
                <w:sz w:val="20"/>
                <w:szCs w:val="20"/>
                <w:lang w:val="sr-Cyrl-CS"/>
              </w:rPr>
            </w:pPr>
          </w:p>
        </w:tc>
        <w:tc>
          <w:tcPr>
            <w:tcW w:w="369"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29A9D300" w14:textId="77777777" w:rsidR="00D210F0" w:rsidRPr="00092ED7" w:rsidRDefault="00D210F0" w:rsidP="00D210F0">
            <w:pPr>
              <w:spacing w:after="0"/>
              <w:rPr>
                <w:rFonts w:cs="Times New Roman"/>
                <w:color w:val="000000"/>
                <w:sz w:val="20"/>
                <w:szCs w:val="20"/>
                <w:lang w:val="sr-Cyrl-CS"/>
              </w:rPr>
            </w:pPr>
          </w:p>
        </w:tc>
        <w:tc>
          <w:tcPr>
            <w:tcW w:w="367"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3106AA8" w14:textId="77777777" w:rsidR="00D210F0" w:rsidRPr="00092ED7" w:rsidRDefault="00D210F0" w:rsidP="00D210F0">
            <w:pPr>
              <w:spacing w:after="0"/>
              <w:rPr>
                <w:rFonts w:cs="Times New Roman"/>
                <w:color w:val="000000"/>
                <w:sz w:val="20"/>
                <w:szCs w:val="20"/>
                <w:lang w:val="sr-Cyrl-CS"/>
              </w:rPr>
            </w:pPr>
          </w:p>
        </w:tc>
        <w:tc>
          <w:tcPr>
            <w:tcW w:w="369"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57D8B00F" w14:textId="77777777" w:rsidR="00D210F0" w:rsidRPr="00092ED7" w:rsidRDefault="00D210F0" w:rsidP="00D210F0">
            <w:pPr>
              <w:spacing w:after="0"/>
              <w:rPr>
                <w:rFonts w:cs="Times New Roman"/>
                <w:color w:val="000000"/>
                <w:sz w:val="20"/>
                <w:szCs w:val="20"/>
                <w:lang w:val="sr-Cyrl-CS"/>
              </w:rPr>
            </w:pPr>
          </w:p>
        </w:tc>
        <w:tc>
          <w:tcPr>
            <w:tcW w:w="367"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2EE70133" w14:textId="77777777" w:rsidR="00D210F0" w:rsidRPr="00092ED7" w:rsidRDefault="00D210F0" w:rsidP="00D210F0">
            <w:pPr>
              <w:spacing w:after="0"/>
              <w:rPr>
                <w:rFonts w:cs="Times New Roman"/>
                <w:color w:val="000000"/>
                <w:sz w:val="20"/>
                <w:szCs w:val="20"/>
                <w:lang w:val="sr-Cyrl-CS"/>
              </w:rPr>
            </w:pPr>
          </w:p>
        </w:tc>
        <w:tc>
          <w:tcPr>
            <w:tcW w:w="368"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F25BB85" w14:textId="77777777" w:rsidR="00D210F0" w:rsidRPr="00092ED7" w:rsidRDefault="00D210F0" w:rsidP="00D210F0">
            <w:pPr>
              <w:spacing w:after="0"/>
              <w:rPr>
                <w:rFonts w:cs="Times New Roman"/>
                <w:color w:val="000000"/>
                <w:sz w:val="20"/>
                <w:szCs w:val="20"/>
                <w:lang w:val="sr-Cyrl-CS"/>
              </w:rPr>
            </w:pPr>
          </w:p>
        </w:tc>
        <w:tc>
          <w:tcPr>
            <w:tcW w:w="368"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597CDC9" w14:textId="77777777" w:rsidR="00D210F0" w:rsidRPr="00092ED7" w:rsidRDefault="00D210F0" w:rsidP="00D210F0">
            <w:pPr>
              <w:spacing w:after="0"/>
              <w:rPr>
                <w:rFonts w:cs="Times New Roman"/>
                <w:color w:val="000000"/>
                <w:sz w:val="20"/>
                <w:szCs w:val="20"/>
                <w:lang w:val="sr-Cyrl-CS"/>
              </w:rPr>
            </w:pPr>
          </w:p>
        </w:tc>
        <w:tc>
          <w:tcPr>
            <w:tcW w:w="368"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7BBE6438" w14:textId="77777777" w:rsidR="00D210F0" w:rsidRPr="00092ED7" w:rsidRDefault="00D210F0" w:rsidP="00D210F0">
            <w:pPr>
              <w:spacing w:after="0"/>
              <w:rPr>
                <w:rFonts w:cs="Times New Roman"/>
                <w:color w:val="000000"/>
                <w:sz w:val="20"/>
                <w:szCs w:val="20"/>
                <w:lang w:val="sr-Cyrl-CS"/>
              </w:rPr>
            </w:pPr>
          </w:p>
        </w:tc>
        <w:tc>
          <w:tcPr>
            <w:tcW w:w="368"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5217AE21" w14:textId="77777777" w:rsidR="00D210F0" w:rsidRPr="00092ED7" w:rsidRDefault="00D210F0" w:rsidP="00D210F0">
            <w:pPr>
              <w:spacing w:after="0"/>
              <w:rPr>
                <w:rFonts w:cs="Times New Roman"/>
                <w:color w:val="000000"/>
                <w:sz w:val="20"/>
                <w:szCs w:val="20"/>
                <w:lang w:val="sr-Cyrl-CS"/>
              </w:rPr>
            </w:pPr>
          </w:p>
        </w:tc>
        <w:tc>
          <w:tcPr>
            <w:tcW w:w="367"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71801681" w14:textId="77777777" w:rsidR="00D210F0" w:rsidRPr="00092ED7" w:rsidRDefault="00D210F0" w:rsidP="00D210F0">
            <w:pPr>
              <w:spacing w:after="0"/>
              <w:rPr>
                <w:rFonts w:cs="Times New Roman"/>
                <w:color w:val="000000"/>
                <w:sz w:val="20"/>
                <w:szCs w:val="20"/>
                <w:lang w:val="sr-Cyrl-CS"/>
              </w:rPr>
            </w:pPr>
          </w:p>
        </w:tc>
        <w:tc>
          <w:tcPr>
            <w:tcW w:w="368"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59EC4FFE" w14:textId="77777777" w:rsidR="00D210F0" w:rsidRPr="00092ED7" w:rsidRDefault="00D210F0" w:rsidP="00D210F0">
            <w:pPr>
              <w:spacing w:after="0"/>
              <w:rPr>
                <w:rFonts w:cs="Times New Roman"/>
                <w:color w:val="000000"/>
                <w:sz w:val="20"/>
                <w:szCs w:val="20"/>
                <w:lang w:val="sr-Cyrl-CS"/>
              </w:rPr>
            </w:pPr>
          </w:p>
        </w:tc>
        <w:tc>
          <w:tcPr>
            <w:tcW w:w="369" w:type="dxa"/>
            <w:tcBorders>
              <w:top w:val="nil"/>
              <w:left w:val="nil"/>
              <w:bottom w:val="single" w:sz="4" w:space="0" w:color="auto"/>
              <w:right w:val="single" w:sz="8" w:space="0" w:color="auto"/>
            </w:tcBorders>
            <w:shd w:val="clear" w:color="auto" w:fill="auto"/>
            <w:tcMar>
              <w:top w:w="15" w:type="dxa"/>
              <w:left w:w="15" w:type="dxa"/>
              <w:bottom w:w="0" w:type="dxa"/>
              <w:right w:w="15" w:type="dxa"/>
            </w:tcMar>
            <w:hideMark/>
          </w:tcPr>
          <w:p w14:paraId="59C5AA4C" w14:textId="77777777" w:rsidR="00D210F0" w:rsidRPr="00092ED7" w:rsidRDefault="00D210F0" w:rsidP="00D210F0">
            <w:pPr>
              <w:spacing w:after="0"/>
              <w:rPr>
                <w:rFonts w:cs="Times New Roman"/>
                <w:color w:val="000000"/>
                <w:sz w:val="20"/>
                <w:szCs w:val="20"/>
                <w:lang w:val="sr-Cyrl-CS"/>
              </w:rPr>
            </w:pPr>
            <w:r w:rsidRPr="00092ED7">
              <w:rPr>
                <w:rFonts w:cs="Times New Roman"/>
                <w:color w:val="000000"/>
                <w:sz w:val="20"/>
                <w:szCs w:val="20"/>
                <w:lang w:val="sr-Cyrl-CS"/>
              </w:rPr>
              <w:t> </w:t>
            </w:r>
          </w:p>
        </w:tc>
      </w:tr>
    </w:tbl>
    <w:p w14:paraId="51071E66" w14:textId="77777777" w:rsidR="00D210F0" w:rsidRPr="00092ED7" w:rsidRDefault="00D210F0" w:rsidP="00071952">
      <w:pPr>
        <w:widowControl w:val="0"/>
        <w:numPr>
          <w:ilvl w:val="0"/>
          <w:numId w:val="35"/>
        </w:numPr>
        <w:spacing w:before="120"/>
        <w:ind w:left="425" w:hanging="425"/>
        <w:rPr>
          <w:rFonts w:cs="Times New Roman"/>
          <w:b/>
          <w:bCs/>
          <w:szCs w:val="24"/>
          <w:lang w:val="sr-Cyrl-CS"/>
        </w:rPr>
      </w:pPr>
      <w:r w:rsidRPr="00092ED7">
        <w:rPr>
          <w:rFonts w:cs="Times New Roman"/>
          <w:b/>
          <w:bCs/>
          <w:szCs w:val="24"/>
          <w:lang w:val="sr-Cyrl-CS"/>
        </w:rPr>
        <w:t>Индикатори ризика</w:t>
      </w:r>
    </w:p>
    <w:tbl>
      <w:tblPr>
        <w:tblStyle w:val="TableGrid"/>
        <w:tblW w:w="9072" w:type="dxa"/>
        <w:tblInd w:w="-5" w:type="dxa"/>
        <w:tblLayout w:type="fixed"/>
        <w:tblLook w:val="04A0" w:firstRow="1" w:lastRow="0" w:firstColumn="1" w:lastColumn="0" w:noHBand="0" w:noVBand="1"/>
      </w:tblPr>
      <w:tblGrid>
        <w:gridCol w:w="3685"/>
        <w:gridCol w:w="1795"/>
        <w:gridCol w:w="1796"/>
        <w:gridCol w:w="1796"/>
      </w:tblGrid>
      <w:tr w:rsidR="00D210F0" w:rsidRPr="00092ED7" w14:paraId="00E8E641" w14:textId="77777777" w:rsidTr="006944C5">
        <w:trPr>
          <w:cnfStyle w:val="100000000000" w:firstRow="1" w:lastRow="0" w:firstColumn="0" w:lastColumn="0" w:oddVBand="0" w:evenVBand="0" w:oddHBand="0" w:evenHBand="0" w:firstRowFirstColumn="0" w:firstRowLastColumn="0" w:lastRowFirstColumn="0" w:lastRowLastColumn="0"/>
        </w:trPr>
        <w:tc>
          <w:tcPr>
            <w:tcW w:w="3685" w:type="dxa"/>
            <w:tcBorders>
              <w:top w:val="single" w:sz="4" w:space="0" w:color="auto"/>
              <w:left w:val="single" w:sz="4" w:space="0" w:color="auto"/>
              <w:bottom w:val="single" w:sz="4" w:space="0" w:color="auto"/>
              <w:right w:val="single" w:sz="4" w:space="0" w:color="auto"/>
            </w:tcBorders>
            <w:hideMark/>
          </w:tcPr>
          <w:p w14:paraId="192618DB" w14:textId="77777777" w:rsidR="00D210F0" w:rsidRPr="00092ED7" w:rsidRDefault="00D210F0" w:rsidP="006944C5">
            <w:pPr>
              <w:spacing w:before="0" w:after="0"/>
              <w:ind w:left="113" w:right="113"/>
              <w:jc w:val="center"/>
              <w:rPr>
                <w:rFonts w:cs="Times New Roman"/>
                <w:b w:val="0"/>
                <w:sz w:val="20"/>
                <w:lang w:val="sr-Cyrl-CS"/>
              </w:rPr>
            </w:pPr>
            <w:r w:rsidRPr="00092ED7">
              <w:rPr>
                <w:rFonts w:cs="Times New Roman"/>
                <w:sz w:val="20"/>
                <w:lang w:val="sr-Cyrl-CS"/>
              </w:rPr>
              <w:t>Показатељ</w:t>
            </w:r>
          </w:p>
        </w:tc>
        <w:tc>
          <w:tcPr>
            <w:tcW w:w="1795" w:type="dxa"/>
            <w:tcBorders>
              <w:top w:val="single" w:sz="4" w:space="0" w:color="auto"/>
              <w:left w:val="single" w:sz="4" w:space="0" w:color="auto"/>
              <w:bottom w:val="single" w:sz="4" w:space="0" w:color="auto"/>
              <w:right w:val="single" w:sz="4" w:space="0" w:color="auto"/>
            </w:tcBorders>
          </w:tcPr>
          <w:p w14:paraId="65944F51" w14:textId="77777777" w:rsidR="00D210F0" w:rsidRPr="00092ED7" w:rsidRDefault="00D210F0" w:rsidP="006944C5">
            <w:pPr>
              <w:spacing w:before="0" w:after="0"/>
              <w:ind w:left="113" w:right="113"/>
              <w:jc w:val="center"/>
              <w:rPr>
                <w:rFonts w:cs="Times New Roman"/>
                <w:sz w:val="20"/>
                <w:lang w:val="sr-Cyrl-CS"/>
              </w:rPr>
            </w:pPr>
            <w:r w:rsidRPr="00092ED7">
              <w:rPr>
                <w:rFonts w:cs="Times New Roman"/>
                <w:sz w:val="20"/>
                <w:lang w:val="sr-Cyrl-CS"/>
              </w:rPr>
              <w:t>Почетна вредност (2016)</w:t>
            </w:r>
          </w:p>
        </w:tc>
        <w:tc>
          <w:tcPr>
            <w:tcW w:w="1796" w:type="dxa"/>
            <w:tcBorders>
              <w:top w:val="single" w:sz="4" w:space="0" w:color="auto"/>
              <w:left w:val="single" w:sz="4" w:space="0" w:color="auto"/>
              <w:bottom w:val="single" w:sz="4" w:space="0" w:color="auto"/>
              <w:right w:val="single" w:sz="4" w:space="0" w:color="auto"/>
            </w:tcBorders>
            <w:hideMark/>
          </w:tcPr>
          <w:p w14:paraId="05B3B464" w14:textId="77777777" w:rsidR="00D210F0" w:rsidRPr="00092ED7" w:rsidRDefault="00D210F0" w:rsidP="006944C5">
            <w:pPr>
              <w:spacing w:before="0" w:after="0"/>
              <w:ind w:left="113" w:right="113"/>
              <w:jc w:val="center"/>
              <w:rPr>
                <w:rFonts w:cs="Times New Roman"/>
                <w:sz w:val="20"/>
                <w:lang w:val="sr-Cyrl-CS"/>
              </w:rPr>
            </w:pPr>
            <w:r w:rsidRPr="00092ED7">
              <w:rPr>
                <w:rFonts w:cs="Times New Roman"/>
                <w:sz w:val="20"/>
                <w:lang w:val="sr-Cyrl-CS"/>
              </w:rPr>
              <w:t>Међурезултат (2021)</w:t>
            </w:r>
            <w:r w:rsidR="000B5B0F" w:rsidRPr="00092ED7">
              <w:rPr>
                <w:rFonts w:cs="Times New Roman"/>
                <w:sz w:val="20"/>
                <w:lang w:val="sr-Cyrl-CS"/>
              </w:rPr>
              <w:t>*</w:t>
            </w:r>
          </w:p>
        </w:tc>
        <w:tc>
          <w:tcPr>
            <w:tcW w:w="1796" w:type="dxa"/>
            <w:tcBorders>
              <w:top w:val="single" w:sz="4" w:space="0" w:color="auto"/>
              <w:left w:val="single" w:sz="4" w:space="0" w:color="auto"/>
              <w:bottom w:val="single" w:sz="4" w:space="0" w:color="auto"/>
              <w:right w:val="single" w:sz="4" w:space="0" w:color="auto"/>
            </w:tcBorders>
          </w:tcPr>
          <w:p w14:paraId="5A1C0B43" w14:textId="77777777" w:rsidR="00D210F0" w:rsidRPr="00092ED7" w:rsidRDefault="00D210F0" w:rsidP="006944C5">
            <w:pPr>
              <w:spacing w:before="0" w:after="0"/>
              <w:ind w:left="113" w:right="113"/>
              <w:jc w:val="center"/>
              <w:rPr>
                <w:rFonts w:cs="Times New Roman"/>
                <w:sz w:val="20"/>
                <w:lang w:val="sr-Cyrl-CS"/>
              </w:rPr>
            </w:pPr>
            <w:r w:rsidRPr="00092ED7">
              <w:rPr>
                <w:rFonts w:cs="Times New Roman"/>
                <w:sz w:val="20"/>
                <w:lang w:val="sr-Cyrl-CS"/>
              </w:rPr>
              <w:t>Циљна вредност (</w:t>
            </w:r>
            <w:r w:rsidR="000B5B0F" w:rsidRPr="00092ED7">
              <w:rPr>
                <w:rFonts w:cs="Times New Roman"/>
                <w:sz w:val="20"/>
                <w:lang w:val="sr-Cyrl-CS"/>
              </w:rPr>
              <w:t>2025</w:t>
            </w:r>
            <w:r w:rsidRPr="00092ED7">
              <w:rPr>
                <w:rFonts w:cs="Times New Roman"/>
                <w:sz w:val="20"/>
                <w:lang w:val="sr-Cyrl-CS"/>
              </w:rPr>
              <w:t>)</w:t>
            </w:r>
          </w:p>
        </w:tc>
      </w:tr>
      <w:tr w:rsidR="00D210F0" w:rsidRPr="00092ED7" w14:paraId="073727A7" w14:textId="77777777" w:rsidTr="006944C5">
        <w:trPr>
          <w:trHeight w:val="283"/>
        </w:trPr>
        <w:tc>
          <w:tcPr>
            <w:tcW w:w="3685" w:type="dxa"/>
            <w:tcBorders>
              <w:top w:val="single" w:sz="4" w:space="0" w:color="auto"/>
              <w:left w:val="single" w:sz="4" w:space="0" w:color="auto"/>
              <w:bottom w:val="single" w:sz="4" w:space="0" w:color="auto"/>
              <w:right w:val="single" w:sz="4" w:space="0" w:color="auto"/>
            </w:tcBorders>
          </w:tcPr>
          <w:p w14:paraId="01D60816" w14:textId="77777777" w:rsidR="00D210F0" w:rsidRPr="00092ED7" w:rsidRDefault="00D210F0" w:rsidP="006944C5">
            <w:pPr>
              <w:spacing w:before="0" w:after="0"/>
              <w:ind w:left="113" w:right="113"/>
              <w:jc w:val="left"/>
              <w:rPr>
                <w:rFonts w:cs="Times New Roman"/>
                <w:bCs/>
                <w:sz w:val="20"/>
                <w:lang w:val="sr-Cyrl-CS"/>
              </w:rPr>
            </w:pPr>
            <w:r w:rsidRPr="00092ED7">
              <w:rPr>
                <w:rFonts w:cs="Times New Roman"/>
                <w:bCs/>
                <w:sz w:val="20"/>
                <w:lang w:val="sr-Cyrl-CS"/>
              </w:rPr>
              <w:t>Количина превезене робе</w:t>
            </w:r>
          </w:p>
        </w:tc>
        <w:tc>
          <w:tcPr>
            <w:tcW w:w="1795" w:type="dxa"/>
            <w:tcBorders>
              <w:top w:val="single" w:sz="4" w:space="0" w:color="auto"/>
              <w:left w:val="single" w:sz="4" w:space="0" w:color="auto"/>
              <w:bottom w:val="single" w:sz="4" w:space="0" w:color="auto"/>
              <w:right w:val="single" w:sz="4" w:space="0" w:color="auto"/>
            </w:tcBorders>
            <w:hideMark/>
          </w:tcPr>
          <w:p w14:paraId="0B00D783" w14:textId="77777777" w:rsidR="00D210F0" w:rsidRPr="00092ED7" w:rsidRDefault="00D210F0" w:rsidP="006944C5">
            <w:pPr>
              <w:spacing w:before="0" w:after="0"/>
              <w:ind w:left="113" w:right="113"/>
              <w:jc w:val="center"/>
              <w:rPr>
                <w:rFonts w:cs="Times New Roman"/>
                <w:bCs/>
                <w:sz w:val="20"/>
                <w:lang w:val="sr-Cyrl-CS"/>
              </w:rPr>
            </w:pPr>
            <w:r w:rsidRPr="00092ED7">
              <w:rPr>
                <w:rFonts w:cs="Times New Roman"/>
                <w:bCs/>
                <w:sz w:val="20"/>
                <w:lang w:val="sr-Cyrl-CS"/>
              </w:rPr>
              <w:t>11.896.000</w:t>
            </w:r>
          </w:p>
        </w:tc>
        <w:tc>
          <w:tcPr>
            <w:tcW w:w="1796" w:type="dxa"/>
            <w:tcBorders>
              <w:top w:val="single" w:sz="4" w:space="0" w:color="auto"/>
              <w:left w:val="single" w:sz="4" w:space="0" w:color="auto"/>
              <w:bottom w:val="single" w:sz="4" w:space="0" w:color="auto"/>
              <w:right w:val="single" w:sz="4" w:space="0" w:color="auto"/>
            </w:tcBorders>
            <w:hideMark/>
          </w:tcPr>
          <w:p w14:paraId="3A587F50" w14:textId="77777777" w:rsidR="00D210F0" w:rsidRPr="00092ED7" w:rsidRDefault="00D210F0" w:rsidP="006944C5">
            <w:pPr>
              <w:spacing w:before="0" w:after="0"/>
              <w:ind w:left="113" w:right="113"/>
              <w:jc w:val="center"/>
              <w:rPr>
                <w:rFonts w:cs="Times New Roman"/>
                <w:bCs/>
                <w:sz w:val="20"/>
                <w:lang w:val="sr-Cyrl-CS"/>
              </w:rPr>
            </w:pPr>
            <w:r w:rsidRPr="00092ED7">
              <w:rPr>
                <w:rFonts w:cs="Times New Roman"/>
                <w:bCs/>
                <w:sz w:val="20"/>
                <w:lang w:val="sr-Cyrl-CS"/>
              </w:rPr>
              <w:t>9.337.300</w:t>
            </w:r>
          </w:p>
        </w:tc>
        <w:tc>
          <w:tcPr>
            <w:tcW w:w="1796" w:type="dxa"/>
            <w:tcBorders>
              <w:top w:val="single" w:sz="4" w:space="0" w:color="auto"/>
              <w:left w:val="single" w:sz="4" w:space="0" w:color="auto"/>
              <w:bottom w:val="single" w:sz="4" w:space="0" w:color="auto"/>
              <w:right w:val="single" w:sz="4" w:space="0" w:color="auto"/>
            </w:tcBorders>
            <w:hideMark/>
          </w:tcPr>
          <w:p w14:paraId="7018EC89" w14:textId="77777777" w:rsidR="00D210F0" w:rsidRPr="00092ED7" w:rsidRDefault="00D210F0" w:rsidP="006944C5">
            <w:pPr>
              <w:spacing w:before="0" w:after="0"/>
              <w:ind w:left="113" w:right="113"/>
              <w:jc w:val="center"/>
              <w:rPr>
                <w:rFonts w:cs="Times New Roman"/>
                <w:bCs/>
                <w:sz w:val="20"/>
                <w:lang w:val="sr-Cyrl-CS"/>
              </w:rPr>
            </w:pPr>
            <w:r w:rsidRPr="00092ED7">
              <w:rPr>
                <w:rFonts w:cs="Times New Roman"/>
                <w:bCs/>
                <w:sz w:val="20"/>
                <w:lang w:val="sr-Cyrl-CS"/>
              </w:rPr>
              <w:t>13.070.200</w:t>
            </w:r>
          </w:p>
        </w:tc>
      </w:tr>
      <w:tr w:rsidR="00D210F0" w:rsidRPr="00092ED7" w14:paraId="2D50CB43" w14:textId="77777777" w:rsidTr="006944C5">
        <w:trPr>
          <w:trHeight w:val="283"/>
        </w:trPr>
        <w:tc>
          <w:tcPr>
            <w:tcW w:w="3685" w:type="dxa"/>
            <w:tcBorders>
              <w:top w:val="single" w:sz="4" w:space="0" w:color="auto"/>
              <w:left w:val="single" w:sz="4" w:space="0" w:color="auto"/>
              <w:bottom w:val="single" w:sz="4" w:space="0" w:color="auto"/>
              <w:right w:val="single" w:sz="4" w:space="0" w:color="auto"/>
            </w:tcBorders>
          </w:tcPr>
          <w:p w14:paraId="69F8EA16" w14:textId="77777777" w:rsidR="00D210F0" w:rsidRPr="00092ED7" w:rsidRDefault="00D210F0" w:rsidP="006944C5">
            <w:pPr>
              <w:spacing w:before="0" w:after="0"/>
              <w:ind w:left="113" w:right="113"/>
              <w:jc w:val="left"/>
              <w:rPr>
                <w:rFonts w:cs="Times New Roman"/>
                <w:sz w:val="20"/>
                <w:lang w:val="sr-Cyrl-CS"/>
              </w:rPr>
            </w:pPr>
            <w:r w:rsidRPr="00092ED7">
              <w:rPr>
                <w:rFonts w:cs="Times New Roman"/>
                <w:bCs/>
                <w:sz w:val="20"/>
                <w:lang w:val="sr-Cyrl-CS"/>
              </w:rPr>
              <w:t>Број превезених путника</w:t>
            </w:r>
          </w:p>
        </w:tc>
        <w:tc>
          <w:tcPr>
            <w:tcW w:w="1795" w:type="dxa"/>
            <w:tcBorders>
              <w:top w:val="single" w:sz="4" w:space="0" w:color="auto"/>
              <w:left w:val="single" w:sz="4" w:space="0" w:color="auto"/>
              <w:bottom w:val="single" w:sz="4" w:space="0" w:color="auto"/>
              <w:right w:val="single" w:sz="4" w:space="0" w:color="auto"/>
            </w:tcBorders>
            <w:hideMark/>
          </w:tcPr>
          <w:p w14:paraId="0D394595" w14:textId="77777777" w:rsidR="00D210F0" w:rsidRPr="00092ED7" w:rsidRDefault="00D210F0" w:rsidP="006944C5">
            <w:pPr>
              <w:spacing w:before="0" w:after="0"/>
              <w:ind w:left="113" w:right="113"/>
              <w:jc w:val="center"/>
              <w:rPr>
                <w:rFonts w:cs="Times New Roman"/>
                <w:bCs/>
                <w:sz w:val="20"/>
                <w:lang w:val="sr-Cyrl-CS"/>
              </w:rPr>
            </w:pPr>
            <w:r w:rsidRPr="00092ED7">
              <w:rPr>
                <w:rFonts w:cs="Times New Roman"/>
                <w:bCs/>
                <w:sz w:val="20"/>
                <w:lang w:val="sr-Cyrl-CS"/>
              </w:rPr>
              <w:t>6.092.000</w:t>
            </w:r>
          </w:p>
        </w:tc>
        <w:tc>
          <w:tcPr>
            <w:tcW w:w="1796" w:type="dxa"/>
            <w:tcBorders>
              <w:top w:val="single" w:sz="4" w:space="0" w:color="auto"/>
              <w:left w:val="single" w:sz="4" w:space="0" w:color="auto"/>
              <w:bottom w:val="single" w:sz="4" w:space="0" w:color="auto"/>
              <w:right w:val="single" w:sz="4" w:space="0" w:color="auto"/>
            </w:tcBorders>
            <w:hideMark/>
          </w:tcPr>
          <w:p w14:paraId="692F14B5" w14:textId="77777777" w:rsidR="00D210F0" w:rsidRPr="00092ED7" w:rsidRDefault="00D210F0" w:rsidP="006944C5">
            <w:pPr>
              <w:spacing w:before="0" w:after="0"/>
              <w:ind w:left="113" w:right="113"/>
              <w:jc w:val="center"/>
              <w:rPr>
                <w:rFonts w:cs="Times New Roman"/>
                <w:bCs/>
                <w:sz w:val="20"/>
                <w:lang w:val="sr-Cyrl-CS"/>
              </w:rPr>
            </w:pPr>
            <w:r w:rsidRPr="00092ED7">
              <w:rPr>
                <w:rFonts w:cs="Times New Roman"/>
                <w:sz w:val="20"/>
                <w:lang w:val="sr-Cyrl-CS"/>
              </w:rPr>
              <w:t>2.777.309</w:t>
            </w:r>
          </w:p>
        </w:tc>
        <w:tc>
          <w:tcPr>
            <w:tcW w:w="1796" w:type="dxa"/>
            <w:tcBorders>
              <w:top w:val="single" w:sz="4" w:space="0" w:color="auto"/>
              <w:left w:val="single" w:sz="4" w:space="0" w:color="auto"/>
              <w:bottom w:val="single" w:sz="4" w:space="0" w:color="auto"/>
              <w:right w:val="single" w:sz="4" w:space="0" w:color="auto"/>
            </w:tcBorders>
            <w:hideMark/>
          </w:tcPr>
          <w:p w14:paraId="4E3A4AB4" w14:textId="77777777" w:rsidR="00D210F0" w:rsidRPr="00092ED7" w:rsidRDefault="00D210F0" w:rsidP="006944C5">
            <w:pPr>
              <w:spacing w:before="0" w:after="0"/>
              <w:ind w:left="113" w:right="113"/>
              <w:jc w:val="center"/>
              <w:rPr>
                <w:rFonts w:cs="Times New Roman"/>
                <w:bCs/>
                <w:sz w:val="20"/>
                <w:lang w:val="sr-Cyrl-CS"/>
              </w:rPr>
            </w:pPr>
            <w:r w:rsidRPr="00092ED7">
              <w:rPr>
                <w:rFonts w:cs="Times New Roman"/>
                <w:bCs/>
                <w:sz w:val="20"/>
                <w:lang w:val="sr-Cyrl-CS"/>
              </w:rPr>
              <w:t>6.701.200</w:t>
            </w:r>
          </w:p>
        </w:tc>
      </w:tr>
      <w:tr w:rsidR="00D210F0" w:rsidRPr="00092ED7" w14:paraId="64B5FE1F" w14:textId="77777777" w:rsidTr="006944C5">
        <w:trPr>
          <w:trHeight w:val="283"/>
        </w:trPr>
        <w:tc>
          <w:tcPr>
            <w:tcW w:w="3685" w:type="dxa"/>
            <w:tcBorders>
              <w:top w:val="single" w:sz="4" w:space="0" w:color="auto"/>
              <w:left w:val="single" w:sz="4" w:space="0" w:color="auto"/>
              <w:bottom w:val="single" w:sz="4" w:space="0" w:color="auto"/>
              <w:right w:val="single" w:sz="4" w:space="0" w:color="auto"/>
            </w:tcBorders>
          </w:tcPr>
          <w:p w14:paraId="0F928416" w14:textId="77777777" w:rsidR="00D210F0" w:rsidRPr="00092ED7" w:rsidRDefault="00D210F0" w:rsidP="006944C5">
            <w:pPr>
              <w:spacing w:before="0" w:after="0"/>
              <w:ind w:left="113" w:right="113"/>
              <w:jc w:val="left"/>
              <w:rPr>
                <w:rFonts w:cs="Times New Roman"/>
                <w:sz w:val="20"/>
                <w:lang w:val="sr-Cyrl-CS"/>
              </w:rPr>
            </w:pPr>
            <w:r w:rsidRPr="00092ED7">
              <w:rPr>
                <w:rFonts w:cs="Times New Roman"/>
                <w:bCs/>
                <w:sz w:val="20"/>
                <w:lang w:val="sr-Cyrl-CS"/>
              </w:rPr>
              <w:t>Број железничких несрећа</w:t>
            </w:r>
          </w:p>
        </w:tc>
        <w:tc>
          <w:tcPr>
            <w:tcW w:w="1795" w:type="dxa"/>
            <w:tcBorders>
              <w:top w:val="single" w:sz="4" w:space="0" w:color="auto"/>
              <w:left w:val="single" w:sz="4" w:space="0" w:color="auto"/>
              <w:bottom w:val="single" w:sz="4" w:space="0" w:color="auto"/>
              <w:right w:val="single" w:sz="4" w:space="0" w:color="auto"/>
            </w:tcBorders>
            <w:hideMark/>
          </w:tcPr>
          <w:p w14:paraId="02E2030F" w14:textId="77777777" w:rsidR="00D210F0" w:rsidRPr="00092ED7" w:rsidRDefault="00D210F0" w:rsidP="006944C5">
            <w:pPr>
              <w:spacing w:before="0" w:after="0"/>
              <w:ind w:left="113" w:right="113"/>
              <w:jc w:val="center"/>
              <w:rPr>
                <w:rFonts w:cs="Times New Roman"/>
                <w:bCs/>
                <w:sz w:val="20"/>
                <w:lang w:val="sr-Cyrl-CS"/>
              </w:rPr>
            </w:pPr>
            <w:r w:rsidRPr="00092ED7">
              <w:rPr>
                <w:rFonts w:cs="Times New Roman"/>
                <w:bCs/>
                <w:sz w:val="20"/>
                <w:lang w:val="sr-Cyrl-CS"/>
              </w:rPr>
              <w:t>253</w:t>
            </w:r>
            <w:r w:rsidR="000B5B0F" w:rsidRPr="00092ED7">
              <w:rPr>
                <w:rFonts w:cs="Times New Roman"/>
                <w:bCs/>
                <w:sz w:val="20"/>
                <w:lang w:val="sr-Cyrl-CS"/>
              </w:rPr>
              <w:t>**</w:t>
            </w:r>
          </w:p>
        </w:tc>
        <w:tc>
          <w:tcPr>
            <w:tcW w:w="1796" w:type="dxa"/>
            <w:tcBorders>
              <w:top w:val="single" w:sz="4" w:space="0" w:color="auto"/>
              <w:left w:val="single" w:sz="4" w:space="0" w:color="auto"/>
              <w:bottom w:val="single" w:sz="4" w:space="0" w:color="auto"/>
              <w:right w:val="single" w:sz="4" w:space="0" w:color="auto"/>
            </w:tcBorders>
            <w:hideMark/>
          </w:tcPr>
          <w:p w14:paraId="339BF95E" w14:textId="77777777" w:rsidR="00D210F0" w:rsidRPr="00092ED7" w:rsidRDefault="00D210F0" w:rsidP="006944C5">
            <w:pPr>
              <w:spacing w:before="0" w:after="0"/>
              <w:ind w:left="113" w:right="113"/>
              <w:jc w:val="center"/>
              <w:rPr>
                <w:rFonts w:cs="Times New Roman"/>
                <w:bCs/>
                <w:sz w:val="20"/>
                <w:lang w:val="sr-Cyrl-CS"/>
              </w:rPr>
            </w:pPr>
            <w:r w:rsidRPr="00092ED7">
              <w:rPr>
                <w:rFonts w:cs="Times New Roman"/>
                <w:bCs/>
                <w:sz w:val="20"/>
                <w:lang w:val="sr-Cyrl-CS"/>
              </w:rPr>
              <w:t>254</w:t>
            </w:r>
          </w:p>
        </w:tc>
        <w:tc>
          <w:tcPr>
            <w:tcW w:w="1796" w:type="dxa"/>
            <w:tcBorders>
              <w:top w:val="single" w:sz="4" w:space="0" w:color="auto"/>
              <w:left w:val="single" w:sz="4" w:space="0" w:color="auto"/>
              <w:bottom w:val="single" w:sz="4" w:space="0" w:color="auto"/>
              <w:right w:val="single" w:sz="4" w:space="0" w:color="auto"/>
            </w:tcBorders>
            <w:hideMark/>
          </w:tcPr>
          <w:p w14:paraId="01BA575B" w14:textId="77777777" w:rsidR="00D210F0" w:rsidRPr="00092ED7" w:rsidRDefault="00D210F0" w:rsidP="006944C5">
            <w:pPr>
              <w:spacing w:before="0" w:after="0"/>
              <w:ind w:left="113" w:right="113"/>
              <w:jc w:val="center"/>
              <w:rPr>
                <w:rFonts w:cs="Times New Roman"/>
                <w:bCs/>
                <w:sz w:val="20"/>
                <w:lang w:val="sr-Cyrl-CS"/>
              </w:rPr>
            </w:pPr>
            <w:r w:rsidRPr="00092ED7">
              <w:rPr>
                <w:rFonts w:cs="Times New Roman"/>
                <w:bCs/>
                <w:sz w:val="20"/>
                <w:lang w:val="sr-Cyrl-CS"/>
              </w:rPr>
              <w:t>150</w:t>
            </w:r>
          </w:p>
        </w:tc>
      </w:tr>
      <w:tr w:rsidR="00D210F0" w:rsidRPr="00092ED7" w14:paraId="22EE233E" w14:textId="77777777" w:rsidTr="006944C5">
        <w:tc>
          <w:tcPr>
            <w:tcW w:w="3685" w:type="dxa"/>
            <w:tcBorders>
              <w:top w:val="single" w:sz="4" w:space="0" w:color="auto"/>
              <w:left w:val="single" w:sz="4" w:space="0" w:color="auto"/>
              <w:bottom w:val="single" w:sz="4" w:space="0" w:color="auto"/>
              <w:right w:val="single" w:sz="4" w:space="0" w:color="auto"/>
            </w:tcBorders>
          </w:tcPr>
          <w:p w14:paraId="34E2D0B8" w14:textId="77777777" w:rsidR="00D210F0" w:rsidRPr="00092ED7" w:rsidRDefault="00D210F0" w:rsidP="006944C5">
            <w:pPr>
              <w:spacing w:before="0" w:after="0"/>
              <w:ind w:left="113" w:right="113"/>
              <w:jc w:val="left"/>
              <w:rPr>
                <w:rFonts w:cs="Times New Roman"/>
                <w:sz w:val="20"/>
                <w:lang w:val="sr-Cyrl-CS"/>
              </w:rPr>
            </w:pPr>
            <w:r w:rsidRPr="00092ED7">
              <w:rPr>
                <w:rFonts w:cs="Times New Roman"/>
                <w:bCs/>
                <w:sz w:val="20"/>
                <w:lang w:val="sr-Cyrl-CS"/>
              </w:rPr>
              <w:t>Километри реконструисаних (обновљених) пруга (кумулативно од 2015. год</w:t>
            </w:r>
            <w:r w:rsidR="008077CF" w:rsidRPr="00092ED7">
              <w:rPr>
                <w:rFonts w:cs="Times New Roman"/>
                <w:bCs/>
                <w:sz w:val="20"/>
                <w:lang w:val="sr-Cyrl-CS"/>
              </w:rPr>
              <w:t>ине</w:t>
            </w:r>
            <w:r w:rsidRPr="00092ED7">
              <w:rPr>
                <w:rFonts w:cs="Times New Roman"/>
                <w:bCs/>
                <w:sz w:val="20"/>
                <w:lang w:val="sr-Cyrl-CS"/>
              </w:rPr>
              <w:t>)</w:t>
            </w:r>
          </w:p>
        </w:tc>
        <w:tc>
          <w:tcPr>
            <w:tcW w:w="1795" w:type="dxa"/>
            <w:tcBorders>
              <w:top w:val="single" w:sz="4" w:space="0" w:color="auto"/>
              <w:left w:val="single" w:sz="4" w:space="0" w:color="auto"/>
              <w:bottom w:val="single" w:sz="4" w:space="0" w:color="auto"/>
              <w:right w:val="single" w:sz="4" w:space="0" w:color="auto"/>
            </w:tcBorders>
            <w:hideMark/>
          </w:tcPr>
          <w:p w14:paraId="7C6DEB12" w14:textId="77777777" w:rsidR="00D210F0" w:rsidRPr="00092ED7" w:rsidRDefault="00D210F0" w:rsidP="006944C5">
            <w:pPr>
              <w:spacing w:before="0" w:after="0"/>
              <w:ind w:left="113" w:right="113"/>
              <w:jc w:val="center"/>
              <w:rPr>
                <w:rFonts w:cs="Times New Roman"/>
                <w:bCs/>
                <w:sz w:val="20"/>
                <w:lang w:val="sr-Cyrl-CS"/>
              </w:rPr>
            </w:pPr>
            <w:r w:rsidRPr="00092ED7">
              <w:rPr>
                <w:rFonts w:cs="Times New Roman"/>
                <w:bCs/>
                <w:sz w:val="20"/>
                <w:lang w:val="sr-Cyrl-CS"/>
              </w:rPr>
              <w:t>36,3</w:t>
            </w:r>
          </w:p>
        </w:tc>
        <w:tc>
          <w:tcPr>
            <w:tcW w:w="1796" w:type="dxa"/>
            <w:tcBorders>
              <w:top w:val="single" w:sz="4" w:space="0" w:color="auto"/>
              <w:left w:val="single" w:sz="4" w:space="0" w:color="auto"/>
              <w:bottom w:val="single" w:sz="4" w:space="0" w:color="auto"/>
              <w:right w:val="single" w:sz="4" w:space="0" w:color="auto"/>
            </w:tcBorders>
            <w:hideMark/>
          </w:tcPr>
          <w:p w14:paraId="1FE015A4" w14:textId="77777777" w:rsidR="00D210F0" w:rsidRPr="00092ED7" w:rsidRDefault="00D210F0" w:rsidP="006944C5">
            <w:pPr>
              <w:spacing w:before="0" w:after="0"/>
              <w:ind w:left="113" w:right="113"/>
              <w:jc w:val="center"/>
              <w:rPr>
                <w:rFonts w:cs="Times New Roman"/>
                <w:bCs/>
                <w:sz w:val="20"/>
                <w:lang w:val="sr-Cyrl-CS"/>
              </w:rPr>
            </w:pPr>
            <w:r w:rsidRPr="00092ED7">
              <w:rPr>
                <w:rFonts w:cs="Times New Roman"/>
                <w:bCs/>
                <w:sz w:val="20"/>
                <w:lang w:val="sr-Cyrl-CS"/>
              </w:rPr>
              <w:t>1030</w:t>
            </w:r>
          </w:p>
        </w:tc>
        <w:tc>
          <w:tcPr>
            <w:tcW w:w="1796" w:type="dxa"/>
            <w:tcBorders>
              <w:top w:val="single" w:sz="4" w:space="0" w:color="auto"/>
              <w:left w:val="single" w:sz="4" w:space="0" w:color="auto"/>
              <w:bottom w:val="single" w:sz="4" w:space="0" w:color="auto"/>
              <w:right w:val="single" w:sz="4" w:space="0" w:color="auto"/>
            </w:tcBorders>
            <w:hideMark/>
          </w:tcPr>
          <w:p w14:paraId="72AAF10B" w14:textId="77777777" w:rsidR="00D210F0" w:rsidRPr="00092ED7" w:rsidRDefault="00D210F0" w:rsidP="006944C5">
            <w:pPr>
              <w:spacing w:before="0" w:after="0"/>
              <w:ind w:left="113" w:right="113"/>
              <w:jc w:val="center"/>
              <w:rPr>
                <w:rFonts w:cs="Times New Roman"/>
                <w:bCs/>
                <w:sz w:val="20"/>
                <w:lang w:val="sr-Cyrl-CS"/>
              </w:rPr>
            </w:pPr>
            <w:r w:rsidRPr="00092ED7">
              <w:rPr>
                <w:rFonts w:cs="Times New Roman"/>
                <w:bCs/>
                <w:sz w:val="20"/>
                <w:lang w:val="sr-Cyrl-CS"/>
              </w:rPr>
              <w:t>1.092,3</w:t>
            </w:r>
          </w:p>
        </w:tc>
      </w:tr>
    </w:tbl>
    <w:p w14:paraId="24CAB8E6" w14:textId="77777777" w:rsidR="000B5B0F" w:rsidRPr="00092ED7" w:rsidRDefault="000B5B0F" w:rsidP="00A67EE8">
      <w:pPr>
        <w:tabs>
          <w:tab w:val="left" w:pos="360"/>
        </w:tabs>
        <w:spacing w:after="0"/>
        <w:contextualSpacing/>
        <w:rPr>
          <w:rFonts w:cs="Times New Roman"/>
          <w:bCs/>
          <w:sz w:val="16"/>
          <w:szCs w:val="16"/>
          <w:lang w:val="sr-Cyrl-CS"/>
        </w:rPr>
      </w:pPr>
      <w:r w:rsidRPr="00092ED7">
        <w:rPr>
          <w:rFonts w:cs="Times New Roman"/>
          <w:bCs/>
          <w:sz w:val="16"/>
          <w:szCs w:val="16"/>
          <w:lang w:val="sr-Cyrl-CS"/>
        </w:rPr>
        <w:t xml:space="preserve">* Разлог погоршања појединих индикатора резултата у 2021. години су Ковид мере, али и велики број инфрастуктурних радова на железничкој мрежи пруга у Републици Србији. </w:t>
      </w:r>
    </w:p>
    <w:p w14:paraId="10240BF3" w14:textId="77777777" w:rsidR="000B5B0F" w:rsidRPr="00092ED7" w:rsidRDefault="000B5B0F" w:rsidP="00A67EE8">
      <w:pPr>
        <w:tabs>
          <w:tab w:val="left" w:pos="360"/>
        </w:tabs>
        <w:spacing w:after="0"/>
        <w:contextualSpacing/>
        <w:rPr>
          <w:rFonts w:cs="Times New Roman"/>
          <w:bCs/>
          <w:sz w:val="16"/>
          <w:szCs w:val="16"/>
          <w:lang w:val="sr-Cyrl-CS"/>
        </w:rPr>
      </w:pPr>
      <w:r w:rsidRPr="00092ED7">
        <w:rPr>
          <w:rFonts w:cs="Times New Roman"/>
          <w:bCs/>
          <w:sz w:val="16"/>
          <w:szCs w:val="16"/>
          <w:lang w:val="sr-Cyrl-CS"/>
        </w:rPr>
        <w:t>** Податак за 2017. годину, имајући у виду да су се пре 2017. године ванредни догађаји класификовали на другачији начин.</w:t>
      </w:r>
    </w:p>
    <w:p w14:paraId="51EB2C30" w14:textId="77777777" w:rsidR="00D210F0" w:rsidRPr="00092ED7" w:rsidRDefault="00D210F0" w:rsidP="00071952">
      <w:pPr>
        <w:widowControl w:val="0"/>
        <w:numPr>
          <w:ilvl w:val="0"/>
          <w:numId w:val="35"/>
        </w:numPr>
        <w:spacing w:before="120"/>
        <w:ind w:left="425" w:hanging="425"/>
        <w:rPr>
          <w:rFonts w:cs="Times New Roman"/>
          <w:b/>
          <w:bCs/>
          <w:szCs w:val="24"/>
          <w:lang w:val="sr-Cyrl-CS"/>
        </w:rPr>
      </w:pPr>
      <w:r w:rsidRPr="00092ED7">
        <w:rPr>
          <w:b/>
          <w:szCs w:val="24"/>
          <w:lang w:val="sr-Cyrl-CS"/>
        </w:rPr>
        <w:t>Oчекивани утицај на конкурентност</w:t>
      </w:r>
    </w:p>
    <w:p w14:paraId="460B0F25" w14:textId="77777777" w:rsidR="00D210F0" w:rsidRPr="00092ED7" w:rsidRDefault="00D210F0" w:rsidP="00757D8D">
      <w:pPr>
        <w:spacing w:after="60"/>
        <w:rPr>
          <w:rFonts w:cs="Times New Roman"/>
          <w:lang w:val="sr-Cyrl-CS"/>
        </w:rPr>
      </w:pPr>
      <w:r w:rsidRPr="00092ED7">
        <w:rPr>
          <w:rFonts w:cs="Times New Roman"/>
          <w:lang w:val="sr-Cyrl-CS"/>
        </w:rPr>
        <w:t xml:space="preserve">Реформа железничког сектора за коначан циљ има повећање конкурентности, не само унутар железничког сектора, где ће се цене транспортне услуге формирати искључиво како диктирају понуда и потражња, већ и повећање конкуретности железнице у односу на друге видове саобраћаја. </w:t>
      </w:r>
    </w:p>
    <w:p w14:paraId="3150D2E3" w14:textId="77777777" w:rsidR="00D210F0" w:rsidRPr="00092ED7" w:rsidRDefault="00D210F0" w:rsidP="00757D8D">
      <w:pPr>
        <w:spacing w:after="60"/>
        <w:rPr>
          <w:rFonts w:cs="Times New Roman"/>
          <w:lang w:val="sr-Cyrl-CS"/>
        </w:rPr>
      </w:pPr>
      <w:r w:rsidRPr="00092ED7">
        <w:rPr>
          <w:rFonts w:cs="Times New Roman"/>
          <w:lang w:val="sr-Cyrl-CS"/>
        </w:rPr>
        <w:t xml:space="preserve">Досадашњом реформом омогућено постојање отвореног тржишта на националном нивоу на коме тренутно, поред двa државнa, активно послује и 14 приватних железничких превозника, а очекује се даљи раст њиховог броја. </w:t>
      </w:r>
    </w:p>
    <w:p w14:paraId="04B71D25" w14:textId="77777777" w:rsidR="00D210F0" w:rsidRPr="00092ED7" w:rsidRDefault="00D210F0" w:rsidP="00757D8D">
      <w:pPr>
        <w:spacing w:after="60"/>
        <w:rPr>
          <w:rFonts w:cs="Times New Roman"/>
          <w:lang w:val="sr-Cyrl-CS"/>
        </w:rPr>
      </w:pPr>
      <w:r w:rsidRPr="00092ED7">
        <w:rPr>
          <w:rFonts w:cs="Times New Roman"/>
          <w:lang w:val="sr-Cyrl-CS"/>
        </w:rPr>
        <w:t xml:space="preserve">И даље се ради на повећању ефикасности реструктурираних предузећа, али имајући у виду садашњи степен развоја тржишта, корисници железничких услуга у теретном саобраћају већ имају </w:t>
      </w:r>
      <w:r w:rsidR="008C00EF" w:rsidRPr="00092ED7">
        <w:rPr>
          <w:rFonts w:cs="Times New Roman"/>
          <w:lang w:val="sr-Cyrl-CS"/>
        </w:rPr>
        <w:t xml:space="preserve">корист </w:t>
      </w:r>
      <w:r w:rsidRPr="00092ED7">
        <w:rPr>
          <w:rFonts w:cs="Times New Roman"/>
          <w:lang w:val="sr-Cyrl-CS"/>
        </w:rPr>
        <w:t xml:space="preserve">у смислу избора превозника. </w:t>
      </w:r>
    </w:p>
    <w:p w14:paraId="7FE5BD46" w14:textId="77777777" w:rsidR="00D210F0" w:rsidRPr="00092ED7" w:rsidRDefault="00D210F0" w:rsidP="00757D8D">
      <w:pPr>
        <w:tabs>
          <w:tab w:val="left" w:pos="360"/>
        </w:tabs>
        <w:spacing w:after="60"/>
        <w:rPr>
          <w:rFonts w:cs="Times New Roman"/>
          <w:lang w:val="sr-Cyrl-CS"/>
        </w:rPr>
      </w:pPr>
      <w:r w:rsidRPr="00092ED7">
        <w:rPr>
          <w:rFonts w:cs="Times New Roman"/>
          <w:lang w:val="sr-Cyrl-CS"/>
        </w:rPr>
        <w:lastRenderedPageBreak/>
        <w:t xml:space="preserve">Поред тога, инвестиције у капиталне пројекте утичу на раст индустријске производње, запошљавање домаће привреде, смањење броја незапослених и на раст БДП-а. </w:t>
      </w:r>
    </w:p>
    <w:p w14:paraId="2B9B2669" w14:textId="77777777" w:rsidR="00D210F0" w:rsidRPr="00092ED7" w:rsidRDefault="00D210F0" w:rsidP="00071952">
      <w:pPr>
        <w:widowControl w:val="0"/>
        <w:numPr>
          <w:ilvl w:val="0"/>
          <w:numId w:val="35"/>
        </w:numPr>
        <w:spacing w:before="120"/>
        <w:ind w:left="425" w:hanging="425"/>
        <w:rPr>
          <w:rFonts w:cs="Times New Roman"/>
          <w:b/>
          <w:bCs/>
          <w:szCs w:val="24"/>
          <w:lang w:val="sr-Cyrl-CS"/>
        </w:rPr>
      </w:pPr>
      <w:r w:rsidRPr="00092ED7">
        <w:rPr>
          <w:b/>
          <w:szCs w:val="24"/>
          <w:lang w:val="sr-Cyrl-CS"/>
        </w:rPr>
        <w:t>Процењени трошкови спровођења структурне реформе и предвиђени извори њиховог финансирања</w:t>
      </w:r>
    </w:p>
    <w:p w14:paraId="7A1D46E8" w14:textId="62EA073D" w:rsidR="00D8385F" w:rsidRPr="00092ED7" w:rsidRDefault="00D8385F" w:rsidP="00757D8D">
      <w:pPr>
        <w:tabs>
          <w:tab w:val="left" w:pos="7112"/>
        </w:tabs>
        <w:spacing w:after="60"/>
        <w:rPr>
          <w:rFonts w:cs="Times New Roman"/>
          <w:lang w:val="sr-Cyrl-CS"/>
        </w:rPr>
      </w:pPr>
      <w:r w:rsidRPr="00092ED7">
        <w:rPr>
          <w:rFonts w:cs="Times New Roman"/>
          <w:lang w:val="sr-Cyrl-CS"/>
        </w:rPr>
        <w:t>Процењени трошкови спровођења структурне реформе се, између осталног, односе на процењену вредност рада додатно ангажованих лица (добра и услуге) за активности примене Методологије за обрачун цене приступа за период 2023-2025</w:t>
      </w:r>
      <w:r w:rsidR="00E527B3" w:rsidRPr="00092ED7">
        <w:rPr>
          <w:rFonts w:cs="Times New Roman"/>
          <w:lang w:val="sr-Cyrl-CS"/>
        </w:rPr>
        <w:t>.</w:t>
      </w:r>
      <w:r w:rsidRPr="00092ED7">
        <w:rPr>
          <w:rFonts w:cs="Times New Roman"/>
          <w:lang w:val="sr-Cyrl-CS"/>
        </w:rPr>
        <w:t xml:space="preserve"> у укупном износу од 4.515 евра (рачунајући и 1.250 евра које је Дирекција за железнице проценила као износ потребан за ангажовање консул</w:t>
      </w:r>
      <w:r w:rsidR="00E527B3" w:rsidRPr="00092ED7">
        <w:rPr>
          <w:rFonts w:cs="Times New Roman"/>
          <w:lang w:val="sr-Cyrl-CS"/>
        </w:rPr>
        <w:t>т</w:t>
      </w:r>
      <w:r w:rsidRPr="00092ED7">
        <w:rPr>
          <w:rFonts w:cs="Times New Roman"/>
          <w:lang w:val="sr-Cyrl-CS"/>
        </w:rPr>
        <w:t>анта). Процењено је да је за спровођење ове активности потребно додатно ангажовати једно лице у Дирекцији за железнице, почев од трећег квартала 2023. године, односно у тој години издвојити 653 евра (1.306 евра/годишње), што укупно са трошком ангажовања консултанта у 2023. години чини 1.903 евра. У 2024. и 2025. години је за ову активност планиран само трошак додатно ангажованог лица у Дирекцији за железнице и он износи 1.306 евра за сваку годину.</w:t>
      </w:r>
    </w:p>
    <w:p w14:paraId="50363E66" w14:textId="77777777" w:rsidR="00D8385F" w:rsidRPr="00092ED7" w:rsidRDefault="00D8385F" w:rsidP="00757D8D">
      <w:pPr>
        <w:tabs>
          <w:tab w:val="left" w:pos="7112"/>
        </w:tabs>
        <w:spacing w:after="60"/>
        <w:rPr>
          <w:rFonts w:cs="Times New Roman"/>
          <w:lang w:val="sr-Cyrl-CS"/>
        </w:rPr>
      </w:pPr>
      <w:r w:rsidRPr="00092ED7">
        <w:rPr>
          <w:rFonts w:cs="Times New Roman"/>
          <w:lang w:val="sr-Cyrl-CS"/>
        </w:rPr>
        <w:t xml:space="preserve">Обезбеђена су и средства из кредита Светске банке за модернизацију путних прелаза у износу 10,9 милиона евра (радови се очекују током 2023. и 2024. године по 50% – односи се на 58 путних прелаза), док је </w:t>
      </w:r>
      <w:r w:rsidRPr="00092ED7">
        <w:rPr>
          <w:lang w:val="sr-Cyrl-CS"/>
        </w:rPr>
        <w:t xml:space="preserve">EBRD </w:t>
      </w:r>
      <w:r w:rsidRPr="00092ED7">
        <w:rPr>
          <w:rFonts w:cs="Times New Roman"/>
          <w:lang w:val="sr-Cyrl-CS"/>
        </w:rPr>
        <w:t>одобрио пренамену преосталих средстава из постојећег кредита (10 милиона евра) за финансирање радова на унапређењу осигурања на 33 путна прелаза (по 33% у 2022, 2023. и 2024). Уговор за извођење радова је потписан у априлу 2022. године и у току је реализација уговорних обавеза.</w:t>
      </w:r>
      <w:r w:rsidRPr="00092ED7" w:rsidDel="00913981">
        <w:rPr>
          <w:rFonts w:cs="Times New Roman"/>
          <w:lang w:val="sr-Cyrl-CS"/>
        </w:rPr>
        <w:t xml:space="preserve"> </w:t>
      </w:r>
    </w:p>
    <w:p w14:paraId="4C049C4E" w14:textId="77777777" w:rsidR="00D8385F" w:rsidRPr="00092ED7" w:rsidRDefault="00D8385F" w:rsidP="00757D8D">
      <w:pPr>
        <w:tabs>
          <w:tab w:val="left" w:pos="7112"/>
        </w:tabs>
        <w:spacing w:after="60"/>
        <w:rPr>
          <w:rFonts w:cs="Times New Roman"/>
          <w:lang w:val="sr-Cyrl-CS"/>
        </w:rPr>
      </w:pPr>
      <w:r w:rsidRPr="00092ED7">
        <w:rPr>
          <w:rFonts w:cs="Times New Roman"/>
          <w:lang w:val="sr-Cyrl-CS"/>
        </w:rPr>
        <w:t xml:space="preserve">Поред тога, са Светском банком и Француском агенцијом за развој потписани су споразуми о зајму за Пројекат Модернизација железничког сектора у Србији – прва фаза обухвата компоненту унапређења 150-200 путних прелаза у износу од 22 милиона евра (реализација се очекује током 2023. и 2024. године – остатак до 2026. године и стога је овај износ расподељен по 25% на 2023, 2024, 2025. и 2026. годину). </w:t>
      </w:r>
    </w:p>
    <w:p w14:paraId="67ED4096" w14:textId="5E2661DD" w:rsidR="00D8385F" w:rsidRPr="00092ED7" w:rsidRDefault="00D8385F" w:rsidP="00757D8D">
      <w:pPr>
        <w:tabs>
          <w:tab w:val="left" w:pos="7112"/>
        </w:tabs>
        <w:spacing w:after="60"/>
        <w:rPr>
          <w:rFonts w:cs="Times New Roman"/>
          <w:lang w:val="sr-Cyrl-CS"/>
        </w:rPr>
      </w:pPr>
      <w:r w:rsidRPr="00092ED7">
        <w:rPr>
          <w:rFonts w:cs="Times New Roman"/>
          <w:lang w:val="sr-Cyrl-CS"/>
        </w:rPr>
        <w:t xml:space="preserve">Што се тиче додатно запослених лица за сповођење активности које се тичу подизања нивоа безбедности на путним прелазима, процена је да се за спровођење ове активности потребно додатно ангажовати </w:t>
      </w:r>
      <w:r w:rsidR="00E527B3" w:rsidRPr="00092ED7">
        <w:rPr>
          <w:rFonts w:cs="Times New Roman"/>
          <w:lang w:val="sr-Cyrl-CS"/>
        </w:rPr>
        <w:t xml:space="preserve">два </w:t>
      </w:r>
      <w:r w:rsidRPr="00092ED7">
        <w:rPr>
          <w:rFonts w:cs="Times New Roman"/>
          <w:lang w:val="sr-Cyrl-CS"/>
        </w:rPr>
        <w:t xml:space="preserve">лица у Министарству грађевинарства, саобраћаја и инфраструктуре и </w:t>
      </w:r>
      <w:r w:rsidR="00E527B3" w:rsidRPr="00092ED7">
        <w:rPr>
          <w:rFonts w:cs="Times New Roman"/>
          <w:lang w:val="sr-Cyrl-CS"/>
        </w:rPr>
        <w:t xml:space="preserve">четири </w:t>
      </w:r>
      <w:r w:rsidRPr="00092ED7">
        <w:rPr>
          <w:rFonts w:cs="Times New Roman"/>
          <w:lang w:val="sr-Cyrl-CS"/>
        </w:rPr>
        <w:t>лица у Дирекцији за железнице, што укупно на годишњем нивоу представља трошак од 47.034 евра.</w:t>
      </w:r>
    </w:p>
    <w:p w14:paraId="13D3BC0C" w14:textId="2B35D319" w:rsidR="00D8385F" w:rsidRPr="00092ED7" w:rsidRDefault="00D8385F" w:rsidP="00757D8D">
      <w:pPr>
        <w:spacing w:after="60"/>
        <w:rPr>
          <w:rFonts w:cs="Times New Roman"/>
          <w:lang w:val="sr-Cyrl-CS"/>
        </w:rPr>
      </w:pPr>
      <w:r w:rsidRPr="00092ED7">
        <w:rPr>
          <w:rFonts w:cs="Times New Roman"/>
          <w:lang w:val="sr-Cyrl-CS"/>
        </w:rPr>
        <w:t>У вези са унапређењем ефикасности путничког саобраћаја, планира се повећање надокнаде за обавезу јавног превоза у путничком саобраћају у 2023. години из буџета Републике Србије од 3</w:t>
      </w:r>
      <w:r w:rsidR="00A6728C" w:rsidRPr="00092ED7">
        <w:rPr>
          <w:rFonts w:cs="Times New Roman"/>
          <w:lang w:val="sr-Cyrl-CS"/>
        </w:rPr>
        <w:t xml:space="preserve"> </w:t>
      </w:r>
      <w:r w:rsidRPr="00092ED7">
        <w:rPr>
          <w:rFonts w:cs="Times New Roman"/>
          <w:lang w:val="sr-Cyrl-CS"/>
        </w:rPr>
        <w:t>милионa евра (остали трошкови ове активности не спадају у додатне).</w:t>
      </w:r>
    </w:p>
    <w:p w14:paraId="3CE1CE02" w14:textId="77777777" w:rsidR="00D210F0" w:rsidRPr="00092ED7" w:rsidRDefault="00D210F0" w:rsidP="00071952">
      <w:pPr>
        <w:widowControl w:val="0"/>
        <w:numPr>
          <w:ilvl w:val="0"/>
          <w:numId w:val="35"/>
        </w:numPr>
        <w:spacing w:before="120"/>
        <w:ind w:left="425" w:hanging="425"/>
        <w:rPr>
          <w:rFonts w:cs="Times New Roman"/>
          <w:b/>
          <w:szCs w:val="24"/>
          <w:lang w:val="sr-Cyrl-CS"/>
        </w:rPr>
      </w:pPr>
      <w:r w:rsidRPr="00092ED7">
        <w:rPr>
          <w:rFonts w:cs="Times New Roman"/>
          <w:b/>
          <w:szCs w:val="24"/>
          <w:lang w:val="sr-Cyrl-CS"/>
        </w:rPr>
        <w:t>Очекивани утицај на социјалне циљеве, као што су запосленост, смањење сиромаштва, родна равноправност и приступ здравственој заштити</w:t>
      </w:r>
    </w:p>
    <w:p w14:paraId="3DA8FEAA" w14:textId="77777777" w:rsidR="00D210F0" w:rsidRPr="00092ED7" w:rsidRDefault="00DB1BC3" w:rsidP="00757D8D">
      <w:pPr>
        <w:spacing w:after="60"/>
        <w:rPr>
          <w:rFonts w:cs="Times New Roman"/>
          <w:lang w:val="sr-Cyrl-CS"/>
        </w:rPr>
      </w:pPr>
      <w:r w:rsidRPr="00092ED7">
        <w:rPr>
          <w:rFonts w:cs="Times New Roman"/>
          <w:lang w:val="sr-Cyrl-CS"/>
        </w:rPr>
        <w:t>Имплементација структурне реформе доприноси повећању броја запослених код учесника и корисника услуга у железничком саобраћају, што директно утиче на смањење сиромаштва. Поред тога, утиче и на конкуретност железничког саобраћаја у односу на друге видове саобраћаја, те директно утиће на родну равноправност смањујући родни јаз са аспекта физичке мобилности жена и мушкараца.</w:t>
      </w:r>
      <w:r w:rsidR="00D210F0" w:rsidRPr="00092ED7">
        <w:rPr>
          <w:rFonts w:cs="Times New Roman"/>
          <w:lang w:val="sr-Cyrl-CS"/>
        </w:rPr>
        <w:t xml:space="preserve"> </w:t>
      </w:r>
    </w:p>
    <w:p w14:paraId="173E94BB" w14:textId="77777777" w:rsidR="00D210F0" w:rsidRPr="00092ED7" w:rsidRDefault="00D210F0" w:rsidP="00071952">
      <w:pPr>
        <w:widowControl w:val="0"/>
        <w:numPr>
          <w:ilvl w:val="0"/>
          <w:numId w:val="35"/>
        </w:numPr>
        <w:spacing w:before="120"/>
        <w:rPr>
          <w:rFonts w:cs="Times New Roman"/>
          <w:b/>
          <w:szCs w:val="24"/>
          <w:lang w:val="sr-Cyrl-CS"/>
        </w:rPr>
      </w:pPr>
      <w:r w:rsidRPr="00092ED7">
        <w:rPr>
          <w:rFonts w:cs="Times New Roman"/>
          <w:b/>
          <w:szCs w:val="24"/>
          <w:lang w:val="sr-Cyrl-CS"/>
        </w:rPr>
        <w:t>Очекивани утицај на животну средину и климатске промене</w:t>
      </w:r>
    </w:p>
    <w:p w14:paraId="56DC7CA9" w14:textId="4AF02BEA" w:rsidR="00D210F0" w:rsidRPr="00092ED7" w:rsidRDefault="00D210F0" w:rsidP="00D210F0">
      <w:pPr>
        <w:tabs>
          <w:tab w:val="left" w:pos="360"/>
        </w:tabs>
        <w:spacing w:after="60"/>
        <w:rPr>
          <w:rFonts w:eastAsia="Calibri" w:cs="Times New Roman"/>
          <w:sz w:val="22"/>
          <w:lang w:val="sr-Cyrl-CS" w:eastAsia="sr-Cyrl-CS" w:bidi="sr-Cyrl-CS"/>
        </w:rPr>
      </w:pPr>
      <w:r w:rsidRPr="00092ED7">
        <w:rPr>
          <w:rFonts w:eastAsia="Calibri" w:cs="Times New Roman"/>
          <w:szCs w:val="24"/>
          <w:lang w:val="sr-Cyrl-CS" w:eastAsia="sr-Cyrl-CS" w:bidi="sr-Cyrl-CS"/>
        </w:rPr>
        <w:t>Унапређењем железнице као транспортног система, остварује се позитиван утицај на животну средину, имајући у виду да се железница сматра еколошки повољним, чак и „најчистијим</w:t>
      </w:r>
      <w:r w:rsidR="001305E1" w:rsidRPr="00092ED7">
        <w:rPr>
          <w:rFonts w:cs="Times New Roman"/>
          <w:szCs w:val="24"/>
          <w:lang w:val="sr-Cyrl-CS"/>
        </w:rPr>
        <w:t>”</w:t>
      </w:r>
      <w:r w:rsidRPr="00092ED7">
        <w:rPr>
          <w:rFonts w:eastAsia="Calibri" w:cs="Times New Roman"/>
          <w:szCs w:val="24"/>
          <w:lang w:val="sr-Cyrl-CS" w:eastAsia="sr-Cyrl-CS" w:bidi="sr-Cyrl-CS"/>
        </w:rPr>
        <w:t xml:space="preserve"> видом превоза.</w:t>
      </w:r>
      <w:r w:rsidRPr="00092ED7">
        <w:rPr>
          <w:rFonts w:eastAsia="Calibri" w:cs="Times New Roman"/>
          <w:sz w:val="22"/>
          <w:lang w:val="sr-Cyrl-CS" w:eastAsia="sr-Cyrl-CS" w:bidi="sr-Cyrl-CS"/>
        </w:rPr>
        <w:t xml:space="preserve"> </w:t>
      </w:r>
      <w:r w:rsidR="00AE3094" w:rsidRPr="00092ED7">
        <w:rPr>
          <w:rFonts w:eastAsia="Calibri" w:cs="Times New Roman"/>
          <w:szCs w:val="24"/>
          <w:lang w:val="sr-Cyrl-CS" w:eastAsia="sr-Cyrl-CS" w:bidi="sr-Cyrl-CS"/>
        </w:rPr>
        <w:t xml:space="preserve">Ова карактеристика железнице последица је њених техничко-експлоатационих карактеристика, тј. да је за одређени утрошак енергије могуће превести већу количину робе и путника у односу на друге конкурентне видове </w:t>
      </w:r>
      <w:r w:rsidR="00AE3094" w:rsidRPr="00092ED7">
        <w:rPr>
          <w:rFonts w:eastAsia="Calibri" w:cs="Times New Roman"/>
          <w:szCs w:val="24"/>
          <w:lang w:val="sr-Cyrl-CS" w:eastAsia="sr-Cyrl-CS" w:bidi="sr-Cyrl-CS"/>
        </w:rPr>
        <w:lastRenderedPageBreak/>
        <w:t xml:space="preserve">превоза, али и због употребе електричне енергије као погонског горива. Из свих ових разлога повећање удела железнице на тржишту транспортних услуга директно доприноси остварењу циљева </w:t>
      </w:r>
      <w:r w:rsidR="00AE3094" w:rsidRPr="00092ED7">
        <w:rPr>
          <w:rFonts w:eastAsia="Calibri" w:cs="Times New Roman"/>
          <w:i/>
          <w:szCs w:val="24"/>
          <w:lang w:val="sr-Cyrl-CS" w:eastAsia="sr-Cyrl-CS" w:bidi="sr-Cyrl-CS"/>
        </w:rPr>
        <w:t>Green Deal-а</w:t>
      </w:r>
      <w:r w:rsidR="00AE3094" w:rsidRPr="00092ED7">
        <w:rPr>
          <w:rFonts w:eastAsia="Calibri" w:cs="Times New Roman"/>
          <w:sz w:val="22"/>
          <w:lang w:val="sr-Cyrl-CS" w:eastAsia="sr-Cyrl-CS" w:bidi="sr-Cyrl-CS"/>
        </w:rPr>
        <w:t>.</w:t>
      </w:r>
    </w:p>
    <w:p w14:paraId="63A7381C" w14:textId="77777777" w:rsidR="00D210F0" w:rsidRPr="00092ED7" w:rsidRDefault="00D210F0" w:rsidP="00071952">
      <w:pPr>
        <w:widowControl w:val="0"/>
        <w:numPr>
          <w:ilvl w:val="0"/>
          <w:numId w:val="35"/>
        </w:numPr>
        <w:spacing w:before="120"/>
        <w:rPr>
          <w:rFonts w:cs="Times New Roman"/>
          <w:b/>
          <w:szCs w:val="24"/>
          <w:lang w:val="sr-Cyrl-CS"/>
        </w:rPr>
      </w:pPr>
      <w:r w:rsidRPr="00092ED7">
        <w:rPr>
          <w:rFonts w:cs="Times New Roman"/>
          <w:b/>
          <w:szCs w:val="24"/>
          <w:lang w:val="sr-Cyrl-CS"/>
        </w:rPr>
        <w:t>Потенцијални ризици</w:t>
      </w:r>
    </w:p>
    <w:tbl>
      <w:tblPr>
        <w:tblStyle w:val="TableGrid"/>
        <w:tblW w:w="9209" w:type="dxa"/>
        <w:jc w:val="center"/>
        <w:tblLayout w:type="fixed"/>
        <w:tblLook w:val="04A0" w:firstRow="1" w:lastRow="0" w:firstColumn="1" w:lastColumn="0" w:noHBand="0" w:noVBand="1"/>
      </w:tblPr>
      <w:tblGrid>
        <w:gridCol w:w="3515"/>
        <w:gridCol w:w="2098"/>
        <w:gridCol w:w="3596"/>
      </w:tblGrid>
      <w:tr w:rsidR="00D210F0" w:rsidRPr="00092ED7" w14:paraId="45F48E39" w14:textId="77777777" w:rsidTr="006944C5">
        <w:trPr>
          <w:cnfStyle w:val="100000000000" w:firstRow="1" w:lastRow="0" w:firstColumn="0" w:lastColumn="0" w:oddVBand="0" w:evenVBand="0" w:oddHBand="0" w:evenHBand="0" w:firstRowFirstColumn="0" w:firstRowLastColumn="0" w:lastRowFirstColumn="0" w:lastRowLastColumn="0"/>
          <w:jc w:val="center"/>
        </w:trPr>
        <w:tc>
          <w:tcPr>
            <w:tcW w:w="3515" w:type="dxa"/>
            <w:tcBorders>
              <w:top w:val="single" w:sz="4" w:space="0" w:color="auto"/>
              <w:left w:val="single" w:sz="4" w:space="0" w:color="auto"/>
              <w:bottom w:val="single" w:sz="4" w:space="0" w:color="auto"/>
              <w:right w:val="single" w:sz="4" w:space="0" w:color="auto"/>
            </w:tcBorders>
          </w:tcPr>
          <w:p w14:paraId="21206669" w14:textId="77777777" w:rsidR="00D210F0" w:rsidRPr="00092ED7" w:rsidRDefault="00D210F0" w:rsidP="006944C5">
            <w:pPr>
              <w:spacing w:before="0" w:after="0"/>
              <w:ind w:left="113" w:right="113"/>
              <w:jc w:val="center"/>
              <w:rPr>
                <w:sz w:val="20"/>
                <w:lang w:val="sr-Cyrl-CS"/>
              </w:rPr>
            </w:pPr>
            <w:r w:rsidRPr="00092ED7">
              <w:rPr>
                <w:rFonts w:cs="Times New Roman"/>
                <w:sz w:val="20"/>
                <w:lang w:val="sr-Cyrl-CS"/>
              </w:rPr>
              <w:t>Ризик</w:t>
            </w:r>
          </w:p>
        </w:tc>
        <w:tc>
          <w:tcPr>
            <w:tcW w:w="2098" w:type="dxa"/>
            <w:tcBorders>
              <w:top w:val="single" w:sz="4" w:space="0" w:color="auto"/>
              <w:left w:val="single" w:sz="4" w:space="0" w:color="auto"/>
              <w:bottom w:val="single" w:sz="4" w:space="0" w:color="auto"/>
              <w:right w:val="single" w:sz="4" w:space="0" w:color="auto"/>
            </w:tcBorders>
          </w:tcPr>
          <w:p w14:paraId="7305949F" w14:textId="77777777" w:rsidR="00D210F0" w:rsidRPr="00092ED7" w:rsidRDefault="00D210F0" w:rsidP="006944C5">
            <w:pPr>
              <w:spacing w:before="0" w:after="0"/>
              <w:ind w:left="113" w:right="113"/>
              <w:jc w:val="center"/>
              <w:rPr>
                <w:sz w:val="20"/>
                <w:lang w:val="sr-Cyrl-CS"/>
              </w:rPr>
            </w:pPr>
            <w:r w:rsidRPr="00092ED7">
              <w:rPr>
                <w:rFonts w:cs="Times New Roman"/>
                <w:sz w:val="20"/>
                <w:lang w:val="sr-Cyrl-CS"/>
              </w:rPr>
              <w:t>Вероватноћа за остваривање ризика</w:t>
            </w:r>
          </w:p>
        </w:tc>
        <w:tc>
          <w:tcPr>
            <w:tcW w:w="3596" w:type="dxa"/>
            <w:tcBorders>
              <w:top w:val="single" w:sz="4" w:space="0" w:color="auto"/>
              <w:left w:val="single" w:sz="4" w:space="0" w:color="auto"/>
              <w:bottom w:val="single" w:sz="4" w:space="0" w:color="auto"/>
              <w:right w:val="single" w:sz="4" w:space="0" w:color="auto"/>
            </w:tcBorders>
          </w:tcPr>
          <w:p w14:paraId="382386BB" w14:textId="77777777" w:rsidR="00D210F0" w:rsidRPr="00092ED7" w:rsidRDefault="00D210F0" w:rsidP="006944C5">
            <w:pPr>
              <w:spacing w:before="0" w:after="0"/>
              <w:ind w:left="113" w:right="113"/>
              <w:jc w:val="center"/>
              <w:rPr>
                <w:sz w:val="20"/>
                <w:lang w:val="sr-Cyrl-CS"/>
              </w:rPr>
            </w:pPr>
            <w:r w:rsidRPr="00092ED7">
              <w:rPr>
                <w:rFonts w:cs="Times New Roman"/>
                <w:sz w:val="20"/>
                <w:lang w:val="sr-Cyrl-CS"/>
              </w:rPr>
              <w:t>Планиране активност за ублажавање негативних ефеката ризика</w:t>
            </w:r>
          </w:p>
        </w:tc>
      </w:tr>
      <w:tr w:rsidR="00D210F0" w:rsidRPr="00092ED7" w14:paraId="758BC38F" w14:textId="77777777" w:rsidTr="00757D8D">
        <w:trPr>
          <w:jc w:val="center"/>
        </w:trPr>
        <w:tc>
          <w:tcPr>
            <w:tcW w:w="3515" w:type="dxa"/>
            <w:tcBorders>
              <w:top w:val="single" w:sz="4" w:space="0" w:color="auto"/>
              <w:left w:val="single" w:sz="4" w:space="0" w:color="auto"/>
              <w:bottom w:val="single" w:sz="4" w:space="0" w:color="auto"/>
              <w:right w:val="single" w:sz="4" w:space="0" w:color="auto"/>
            </w:tcBorders>
            <w:vAlign w:val="top"/>
          </w:tcPr>
          <w:p w14:paraId="5200F5D3" w14:textId="77777777" w:rsidR="00D210F0" w:rsidRPr="00092ED7" w:rsidRDefault="00D210F0" w:rsidP="00757D8D">
            <w:pPr>
              <w:spacing w:before="0" w:after="0"/>
              <w:ind w:left="113" w:right="113"/>
              <w:rPr>
                <w:rFonts w:cs="Times New Roman"/>
                <w:bCs/>
                <w:sz w:val="20"/>
                <w:lang w:val="sr-Cyrl-CS"/>
              </w:rPr>
            </w:pPr>
            <w:r w:rsidRPr="00092ED7">
              <w:rPr>
                <w:rFonts w:cs="Times New Roman"/>
                <w:bCs/>
                <w:sz w:val="20"/>
                <w:lang w:val="sr-Cyrl-CS"/>
              </w:rPr>
              <w:t xml:space="preserve">Губитак робе и путника као последица великог обима радова на инфраструктури </w:t>
            </w:r>
          </w:p>
        </w:tc>
        <w:tc>
          <w:tcPr>
            <w:tcW w:w="2098" w:type="dxa"/>
            <w:tcBorders>
              <w:top w:val="single" w:sz="4" w:space="0" w:color="auto"/>
              <w:left w:val="single" w:sz="4" w:space="0" w:color="auto"/>
              <w:bottom w:val="single" w:sz="4" w:space="0" w:color="auto"/>
              <w:right w:val="single" w:sz="4" w:space="0" w:color="auto"/>
            </w:tcBorders>
            <w:vAlign w:val="top"/>
            <w:hideMark/>
          </w:tcPr>
          <w:p w14:paraId="09E386AF" w14:textId="77777777" w:rsidR="00D210F0" w:rsidRPr="00092ED7" w:rsidRDefault="00D210F0" w:rsidP="00757D8D">
            <w:pPr>
              <w:spacing w:before="0" w:after="0"/>
              <w:ind w:left="113" w:right="113"/>
              <w:jc w:val="center"/>
              <w:rPr>
                <w:rFonts w:cs="Times New Roman"/>
                <w:bCs/>
                <w:sz w:val="20"/>
                <w:lang w:val="sr-Cyrl-CS"/>
              </w:rPr>
            </w:pPr>
            <w:r w:rsidRPr="00092ED7">
              <w:rPr>
                <w:rFonts w:cs="Times New Roman"/>
                <w:bCs/>
                <w:sz w:val="20"/>
                <w:lang w:val="sr-Cyrl-CS"/>
              </w:rPr>
              <w:t>Висока</w:t>
            </w:r>
          </w:p>
        </w:tc>
        <w:tc>
          <w:tcPr>
            <w:tcW w:w="3596" w:type="dxa"/>
            <w:tcBorders>
              <w:top w:val="single" w:sz="4" w:space="0" w:color="auto"/>
              <w:left w:val="single" w:sz="4" w:space="0" w:color="auto"/>
              <w:bottom w:val="single" w:sz="4" w:space="0" w:color="auto"/>
              <w:right w:val="single" w:sz="4" w:space="0" w:color="auto"/>
            </w:tcBorders>
            <w:hideMark/>
          </w:tcPr>
          <w:p w14:paraId="78B291AE" w14:textId="30A1D462" w:rsidR="00D210F0" w:rsidRPr="00092ED7" w:rsidRDefault="00D210F0" w:rsidP="006944C5">
            <w:pPr>
              <w:spacing w:before="0" w:after="0"/>
              <w:ind w:left="113" w:right="113"/>
              <w:rPr>
                <w:rFonts w:cs="Times New Roman"/>
                <w:bCs/>
                <w:sz w:val="20"/>
                <w:lang w:val="sr-Cyrl-CS"/>
              </w:rPr>
            </w:pPr>
            <w:r w:rsidRPr="00092ED7">
              <w:rPr>
                <w:rFonts w:cs="Times New Roman"/>
                <w:bCs/>
                <w:sz w:val="20"/>
                <w:lang w:val="sr-Cyrl-CS"/>
              </w:rPr>
              <w:t xml:space="preserve">Ефикаснија </w:t>
            </w:r>
            <w:r w:rsidR="00A6728C" w:rsidRPr="00092ED7">
              <w:rPr>
                <w:rFonts w:cs="Times New Roman"/>
                <w:bCs/>
                <w:sz w:val="20"/>
                <w:lang w:val="sr-Cyrl-CS"/>
              </w:rPr>
              <w:t xml:space="preserve">реализација пројеката од стране </w:t>
            </w:r>
            <w:r w:rsidR="005A4017" w:rsidRPr="00092ED7">
              <w:rPr>
                <w:rFonts w:cstheme="minorHAnsi"/>
                <w:sz w:val="20"/>
                <w:lang w:val="sr-Cyrl-CS"/>
              </w:rPr>
              <w:t>„Инфраструктура железнице Србије” а.д Београд</w:t>
            </w:r>
            <w:r w:rsidRPr="00092ED7">
              <w:rPr>
                <w:rFonts w:cs="Times New Roman"/>
                <w:bCs/>
                <w:sz w:val="20"/>
                <w:lang w:val="sr-Cyrl-CS"/>
              </w:rPr>
              <w:t>, обезбеђивање алтернативних превозних праваца и уклањање свих препрека како би се обављао саобраћај без застоја, додатне активности за унапређење путничког саобраћаја.</w:t>
            </w:r>
          </w:p>
        </w:tc>
      </w:tr>
    </w:tbl>
    <w:p w14:paraId="0DDA2ED4" w14:textId="77777777" w:rsidR="00D210F0" w:rsidRPr="00092ED7" w:rsidRDefault="00D210F0" w:rsidP="00D210F0">
      <w:pPr>
        <w:keepNext/>
        <w:keepLines/>
        <w:shd w:val="clear" w:color="auto" w:fill="D9D9D9"/>
        <w:spacing w:before="360"/>
        <w:outlineLvl w:val="2"/>
        <w:rPr>
          <w:rFonts w:eastAsia="Times New Roman" w:cs="Times New Roman"/>
          <w:b/>
          <w:noProof/>
          <w:szCs w:val="24"/>
          <w:shd w:val="clear" w:color="auto" w:fill="D9D9D9"/>
          <w:lang w:val="sr-Cyrl-CS"/>
        </w:rPr>
      </w:pPr>
      <w:bookmarkStart w:id="54" w:name="_Toc93385985"/>
      <w:bookmarkStart w:id="55" w:name="_Toc124174816"/>
      <w:r w:rsidRPr="00092ED7">
        <w:rPr>
          <w:rFonts w:eastAsia="Times New Roman" w:cs="Times New Roman"/>
          <w:b/>
          <w:noProof/>
          <w:szCs w:val="24"/>
          <w:lang w:val="sr-Cyrl-CS"/>
        </w:rPr>
        <w:t>5.2.9. Област ПОЉОПРИВРЕДА, ИНДУСТРИЈА И УСЛУГЕ</w:t>
      </w:r>
      <w:bookmarkEnd w:id="54"/>
      <w:bookmarkEnd w:id="55"/>
    </w:p>
    <w:p w14:paraId="06432175" w14:textId="7AD194EF" w:rsidR="00D210F0" w:rsidRPr="00092ED7" w:rsidRDefault="00D210F0" w:rsidP="00D210F0">
      <w:pPr>
        <w:spacing w:before="120"/>
        <w:rPr>
          <w:rFonts w:eastAsia="Calibri" w:cs="Times New Roman"/>
          <w:noProof/>
          <w:szCs w:val="24"/>
          <w:lang w:val="sr-Cyrl-CS"/>
        </w:rPr>
      </w:pPr>
      <w:r w:rsidRPr="00092ED7">
        <w:rPr>
          <w:rFonts w:eastAsia="Calibri" w:cs="Times New Roman"/>
          <w:b/>
          <w:noProof/>
          <w:szCs w:val="24"/>
          <w:lang w:val="sr-Cyrl-CS"/>
        </w:rPr>
        <w:t xml:space="preserve">а) Анализа главних </w:t>
      </w:r>
      <w:r w:rsidR="00515D4D" w:rsidRPr="00092ED7">
        <w:rPr>
          <w:rFonts w:eastAsia="Calibri" w:cs="Times New Roman"/>
          <w:b/>
          <w:noProof/>
          <w:szCs w:val="24"/>
          <w:lang w:val="sr-Cyrl-CS"/>
        </w:rPr>
        <w:t>изазова</w:t>
      </w:r>
    </w:p>
    <w:p w14:paraId="58673FF2" w14:textId="77777777" w:rsidR="00D210F0" w:rsidRPr="00092ED7" w:rsidRDefault="00D210F0" w:rsidP="00D210F0">
      <w:pPr>
        <w:spacing w:after="60"/>
        <w:rPr>
          <w:rFonts w:eastAsia="Times New Roman" w:cs="Times New Roman"/>
          <w:noProof/>
          <w:szCs w:val="24"/>
          <w:lang w:val="sr-Cyrl-CS"/>
        </w:rPr>
      </w:pPr>
      <w:r w:rsidRPr="00092ED7">
        <w:rPr>
          <w:rFonts w:eastAsia="Calibri" w:cs="Times New Roman"/>
          <w:b/>
          <w:noProof/>
          <w:szCs w:val="24"/>
          <w:lang w:val="sr-Cyrl-CS"/>
        </w:rPr>
        <w:t>Релативно високо учешће БДВ сектора пољопривреде, шумарства и рибарства и производње прехрамбених производа у укупном БДП</w:t>
      </w:r>
      <w:r w:rsidRPr="00092ED7">
        <w:rPr>
          <w:rFonts w:eastAsia="Calibri" w:cs="Times New Roman"/>
          <w:noProof/>
          <w:szCs w:val="24"/>
          <w:lang w:val="sr-Cyrl-CS"/>
        </w:rPr>
        <w:t xml:space="preserve"> Републике Србије (6,3% и 2,4% у 2020. и 6,5% и 2,3% у 2021. години) </w:t>
      </w:r>
      <w:r w:rsidRPr="00092ED7">
        <w:rPr>
          <w:rFonts w:eastAsia="Times New Roman" w:cs="Times New Roman"/>
          <w:noProof/>
          <w:szCs w:val="24"/>
          <w:lang w:val="sr-Cyrl-CS"/>
        </w:rPr>
        <w:t>делимично је одраз повољних природних услова (географска позиција, природна богатства, климатски фактор) и ресурса за пољопривредну производњу (коришћено пољопривредно земљиште чини око 40% територије), али и последица ниског технолошког нивоа остатка привреде. Пољопривредни потенцијал није у потпуности искоришћен услед недовољне технолошке развијености у свим пољопривредним гранама и слабе насељености руралног подручја. Са друге стране, уочава се да је у односу на пре пет година, приход спољнотрговинске размене у пољопривреди вишеструко увећан, што је директно допринело расту БДП</w:t>
      </w:r>
      <w:r w:rsidRPr="00092ED7">
        <w:rPr>
          <w:rStyle w:val="FootnoteReference"/>
          <w:rFonts w:cs="Times New Roman"/>
          <w:noProof/>
          <w:szCs w:val="24"/>
          <w:lang w:val="sr-Cyrl-CS"/>
        </w:rPr>
        <w:footnoteReference w:id="161"/>
      </w:r>
      <w:r w:rsidRPr="00092ED7">
        <w:rPr>
          <w:rFonts w:eastAsia="Times New Roman" w:cs="Times New Roman"/>
          <w:noProof/>
          <w:szCs w:val="24"/>
          <w:lang w:val="sr-Cyrl-CS"/>
        </w:rPr>
        <w:t>.</w:t>
      </w:r>
      <w:r w:rsidRPr="00092ED7">
        <w:rPr>
          <w:rFonts w:eastAsia="Times New Roman" w:cs="Times New Roman"/>
          <w:b/>
          <w:noProof/>
          <w:szCs w:val="24"/>
          <w:lang w:val="sr-Cyrl-CS"/>
        </w:rPr>
        <w:t xml:space="preserve"> </w:t>
      </w:r>
      <w:r w:rsidRPr="00092ED7">
        <w:rPr>
          <w:rFonts w:eastAsia="Times New Roman" w:cs="Times New Roman"/>
          <w:noProof/>
          <w:szCs w:val="24"/>
          <w:lang w:val="sr-Cyrl-CS"/>
        </w:rPr>
        <w:t>У пољопривреди ради око 12,3% укупног броја запослених у 2021. години</w:t>
      </w:r>
      <w:r w:rsidRPr="00092ED7">
        <w:rPr>
          <w:rFonts w:eastAsia="Times New Roman" w:cs="Times New Roman"/>
          <w:b/>
          <w:noProof/>
          <w:szCs w:val="24"/>
          <w:lang w:val="sr-Cyrl-CS"/>
        </w:rPr>
        <w:t xml:space="preserve"> </w:t>
      </w:r>
      <w:r w:rsidRPr="00092ED7">
        <w:rPr>
          <w:rFonts w:eastAsia="Times New Roman" w:cs="Times New Roman"/>
          <w:noProof/>
          <w:szCs w:val="24"/>
          <w:lang w:val="sr-Cyrl-CS"/>
        </w:rPr>
        <w:t>(213,4 хиљада формално запослених, али и 212,9 хиљада неформално запослених)</w:t>
      </w:r>
      <w:r w:rsidRPr="00092ED7">
        <w:rPr>
          <w:rFonts w:eastAsia="Times New Roman" w:cs="Times New Roman"/>
          <w:noProof/>
          <w:vertAlign w:val="superscript"/>
          <w:lang w:val="sr-Cyrl-CS"/>
        </w:rPr>
        <w:footnoteReference w:id="162"/>
      </w:r>
      <w:r w:rsidRPr="00092ED7">
        <w:rPr>
          <w:rFonts w:eastAsia="Times New Roman" w:cs="Times New Roman"/>
          <w:noProof/>
          <w:szCs w:val="24"/>
          <w:lang w:val="sr-Cyrl-CS"/>
        </w:rPr>
        <w:t>. Због посебних карактеристика и услова сезонског рада у сектору пољопривреде, шумарства и рибарства, нови закон омогућава поједностављен начин радног ангажовања лица и плаћања пореза и доприноса за рад на пословима који су сезонског карактера.</w:t>
      </w:r>
    </w:p>
    <w:p w14:paraId="0C0D1AD5" w14:textId="01854949" w:rsidR="00D210F0" w:rsidRPr="00092ED7" w:rsidRDefault="00D210F0" w:rsidP="00D210F0">
      <w:pPr>
        <w:suppressAutoHyphens/>
        <w:autoSpaceDN w:val="0"/>
        <w:spacing w:after="60"/>
        <w:textAlignment w:val="baseline"/>
        <w:rPr>
          <w:rFonts w:eastAsia="SimSun" w:cs="Mangal"/>
          <w:kern w:val="3"/>
          <w:szCs w:val="24"/>
          <w:lang w:val="sr-Cyrl-CS" w:eastAsia="zh-CN" w:bidi="hi-IN"/>
        </w:rPr>
      </w:pPr>
      <w:r w:rsidRPr="00092ED7">
        <w:rPr>
          <w:rFonts w:eastAsia="SimSun" w:cs="Mangal"/>
          <w:kern w:val="3"/>
          <w:szCs w:val="24"/>
          <w:lang w:val="sr-Cyrl-CS" w:eastAsia="zh-CN" w:bidi="hi-IN"/>
        </w:rPr>
        <w:t xml:space="preserve">Остварена </w:t>
      </w:r>
      <w:r w:rsidRPr="00092ED7">
        <w:rPr>
          <w:rFonts w:eastAsia="SimSun" w:cs="Mangal"/>
          <w:b/>
          <w:bCs/>
          <w:kern w:val="3"/>
          <w:szCs w:val="24"/>
          <w:lang w:val="sr-Cyrl-CS" w:eastAsia="zh-CN" w:bidi="hi-IN"/>
        </w:rPr>
        <w:t>вредност извоза пољопривредно-прехрамбених производа</w:t>
      </w:r>
      <w:r w:rsidRPr="00092ED7">
        <w:rPr>
          <w:rFonts w:eastAsia="SimSun" w:cs="Mangal"/>
          <w:kern w:val="3"/>
          <w:szCs w:val="24"/>
          <w:lang w:val="sr-Cyrl-CS" w:eastAsia="zh-CN" w:bidi="hi-IN"/>
        </w:rPr>
        <w:t xml:space="preserve"> износила је близу </w:t>
      </w:r>
      <w:r w:rsidRPr="00092ED7">
        <w:rPr>
          <w:rFonts w:eastAsia="SimSun" w:cs="Mangal"/>
          <w:b/>
          <w:bCs/>
          <w:kern w:val="3"/>
          <w:szCs w:val="24"/>
          <w:lang w:val="sr-Cyrl-CS" w:eastAsia="zh-CN" w:bidi="hi-IN"/>
        </w:rPr>
        <w:t>4,2 млрд.</w:t>
      </w:r>
      <w:r w:rsidRPr="00092ED7">
        <w:rPr>
          <w:rFonts w:eastAsia="SimSun" w:cs="Mangal"/>
          <w:kern w:val="3"/>
          <w:szCs w:val="24"/>
          <w:lang w:val="sr-Cyrl-CS" w:eastAsia="zh-CN" w:bidi="hi-IN"/>
        </w:rPr>
        <w:t xml:space="preserve"> </w:t>
      </w:r>
      <w:r w:rsidRPr="00092ED7">
        <w:rPr>
          <w:rFonts w:eastAsia="SimSun" w:cs="Mangal"/>
          <w:b/>
          <w:bCs/>
          <w:kern w:val="3"/>
          <w:szCs w:val="24"/>
          <w:lang w:val="sr-Cyrl-CS" w:eastAsia="zh-CN" w:bidi="hi-IN"/>
        </w:rPr>
        <w:t>евра у 2021.</w:t>
      </w:r>
      <w:r w:rsidRPr="00092ED7">
        <w:rPr>
          <w:rFonts w:eastAsia="SimSun" w:cs="Mangal"/>
          <w:kern w:val="3"/>
          <w:szCs w:val="24"/>
          <w:lang w:val="sr-Cyrl-CS" w:eastAsia="zh-CN" w:bidi="hi-IN"/>
        </w:rPr>
        <w:t xml:space="preserve"> </w:t>
      </w:r>
      <w:r w:rsidRPr="00092ED7">
        <w:rPr>
          <w:rFonts w:eastAsia="SimSun" w:cs="Mangal"/>
          <w:b/>
          <w:kern w:val="3"/>
          <w:szCs w:val="24"/>
          <w:lang w:val="sr-Cyrl-CS" w:eastAsia="zh-CN" w:bidi="hi-IN"/>
        </w:rPr>
        <w:t xml:space="preserve">години (петина укупног извоза </w:t>
      </w:r>
      <w:r w:rsidR="00670890" w:rsidRPr="00092ED7">
        <w:rPr>
          <w:rFonts w:eastAsia="SimSun" w:cs="Mangal"/>
          <w:b/>
          <w:kern w:val="3"/>
          <w:szCs w:val="24"/>
          <w:lang w:val="sr-Cyrl-CS" w:eastAsia="zh-CN" w:bidi="hi-IN"/>
        </w:rPr>
        <w:t xml:space="preserve">Републике </w:t>
      </w:r>
      <w:r w:rsidRPr="00092ED7">
        <w:rPr>
          <w:rFonts w:eastAsia="SimSun" w:cs="Mangal"/>
          <w:b/>
          <w:kern w:val="3"/>
          <w:szCs w:val="24"/>
          <w:lang w:val="sr-Cyrl-CS" w:eastAsia="zh-CN" w:bidi="hi-IN"/>
        </w:rPr>
        <w:t xml:space="preserve">Србије) </w:t>
      </w:r>
      <w:r w:rsidRPr="00092ED7">
        <w:rPr>
          <w:rFonts w:eastAsia="SimSun" w:cs="Mangal"/>
          <w:kern w:val="3"/>
          <w:szCs w:val="24"/>
          <w:lang w:val="sr-Cyrl-CS" w:eastAsia="zh-CN" w:bidi="hi-IN"/>
        </w:rPr>
        <w:t>и за 15,9% је већа од остварене вредности извоза у 2020. години</w:t>
      </w:r>
      <w:r w:rsidRPr="00092ED7">
        <w:rPr>
          <w:rStyle w:val="FootnoteReference"/>
          <w:rFonts w:eastAsia="SimSun" w:cs="Mangal"/>
          <w:kern w:val="3"/>
          <w:szCs w:val="24"/>
          <w:lang w:val="sr-Cyrl-CS" w:eastAsia="zh-CN" w:bidi="hi-IN"/>
        </w:rPr>
        <w:footnoteReference w:id="163"/>
      </w:r>
      <w:r w:rsidRPr="00092ED7">
        <w:rPr>
          <w:rFonts w:eastAsia="SimSun" w:cs="Mangal"/>
          <w:kern w:val="3"/>
          <w:szCs w:val="24"/>
          <w:lang w:val="sr-Cyrl-CS" w:eastAsia="zh-CN" w:bidi="hi-IN"/>
        </w:rPr>
        <w:t xml:space="preserve">, односно 36% у односу на петогодишњи просек (2016–2020). Истовремено, остварена вредност </w:t>
      </w:r>
      <w:r w:rsidRPr="00092ED7">
        <w:rPr>
          <w:rFonts w:eastAsia="SimSun" w:cs="Mangal"/>
          <w:b/>
          <w:kern w:val="3"/>
          <w:szCs w:val="24"/>
          <w:lang w:val="sr-Cyrl-CS" w:eastAsia="zh-CN" w:bidi="hi-IN"/>
        </w:rPr>
        <w:t xml:space="preserve">увоза </w:t>
      </w:r>
      <w:r w:rsidRPr="00092ED7">
        <w:rPr>
          <w:rFonts w:eastAsia="SimSun" w:cs="Mangal"/>
          <w:kern w:val="3"/>
          <w:szCs w:val="24"/>
          <w:lang w:val="sr-Cyrl-CS" w:eastAsia="zh-CN" w:bidi="hi-IN"/>
        </w:rPr>
        <w:t xml:space="preserve">пољопривредно-прехрамбених производа износила је око </w:t>
      </w:r>
      <w:r w:rsidRPr="00092ED7">
        <w:rPr>
          <w:rFonts w:eastAsia="SimSun" w:cs="Mangal"/>
          <w:b/>
          <w:kern w:val="3"/>
          <w:szCs w:val="24"/>
          <w:lang w:val="sr-Cyrl-CS" w:eastAsia="zh-CN" w:bidi="hi-IN"/>
        </w:rPr>
        <w:t>2,5 млрд. евра</w:t>
      </w:r>
      <w:r w:rsidRPr="00092ED7">
        <w:rPr>
          <w:rFonts w:eastAsia="SimSun" w:cs="Mangal"/>
          <w:kern w:val="3"/>
          <w:szCs w:val="24"/>
          <w:lang w:val="sr-Cyrl-CS" w:eastAsia="zh-CN" w:bidi="hi-IN"/>
        </w:rPr>
        <w:t xml:space="preserve">, што је више за 8,6% мг, а 37,1% више у односу на петогодишњи просек. </w:t>
      </w:r>
      <w:r w:rsidRPr="00092ED7">
        <w:rPr>
          <w:rFonts w:eastAsia="SimSun" w:cs="Mangal"/>
          <w:b/>
          <w:bCs/>
          <w:kern w:val="3"/>
          <w:szCs w:val="24"/>
          <w:lang w:val="sr-Cyrl-CS" w:eastAsia="zh-CN" w:bidi="hi-IN"/>
        </w:rPr>
        <w:t>Тренд раста суфицита</w:t>
      </w:r>
      <w:r w:rsidRPr="00092ED7">
        <w:rPr>
          <w:rFonts w:eastAsia="SimSun" w:cs="Mangal"/>
          <w:kern w:val="3"/>
          <w:szCs w:val="24"/>
          <w:lang w:val="sr-Cyrl-CS" w:eastAsia="zh-CN" w:bidi="hi-IN"/>
        </w:rPr>
        <w:t xml:space="preserve"> у размени пољопривредно-прехрамбених производа настављен је и током 2021. године, уз остварену вредност од око 1,8 млрд. евра, што је до сада највећи остварен суфицит у размени (у односу на 2016. годину већи је за 22%). Степен покривености увоза извозом ових производа износио је 172,9% у 2021. </w:t>
      </w:r>
      <w:r w:rsidRPr="00092ED7">
        <w:rPr>
          <w:rFonts w:cs="Times New Roman"/>
          <w:szCs w:val="24"/>
          <w:lang w:val="sr-Cyrl-CS"/>
        </w:rPr>
        <w:t xml:space="preserve">Упркос повећању удела прерађених производа у претходних </w:t>
      </w:r>
      <w:r w:rsidR="009611D5" w:rsidRPr="00092ED7">
        <w:rPr>
          <w:rFonts w:cs="Times New Roman"/>
          <w:szCs w:val="24"/>
          <w:lang w:val="sr-Cyrl-CS"/>
        </w:rPr>
        <w:t xml:space="preserve">десет </w:t>
      </w:r>
      <w:r w:rsidRPr="00092ED7">
        <w:rPr>
          <w:rFonts w:cs="Times New Roman"/>
          <w:szCs w:val="24"/>
          <w:lang w:val="sr-Cyrl-CS"/>
        </w:rPr>
        <w:t xml:space="preserve">година, </w:t>
      </w:r>
      <w:r w:rsidRPr="00092ED7">
        <w:rPr>
          <w:rFonts w:cs="Times New Roman"/>
          <w:b/>
          <w:bCs/>
          <w:szCs w:val="24"/>
          <w:lang w:val="sr-Cyrl-CS"/>
        </w:rPr>
        <w:t xml:space="preserve">у постојећој структури извоза и даље доминирају </w:t>
      </w:r>
      <w:r w:rsidRPr="00092ED7">
        <w:rPr>
          <w:rFonts w:cs="Times New Roman"/>
          <w:b/>
          <w:bCs/>
          <w:szCs w:val="24"/>
          <w:lang w:val="sr-Cyrl-CS"/>
        </w:rPr>
        <w:lastRenderedPageBreak/>
        <w:t xml:space="preserve">примарни </w:t>
      </w:r>
      <w:r w:rsidRPr="00092ED7">
        <w:rPr>
          <w:rFonts w:cs="Times New Roman"/>
          <w:bCs/>
          <w:szCs w:val="24"/>
          <w:lang w:val="sr-Cyrl-CS"/>
        </w:rPr>
        <w:t>пољопривредно-прехрамбени производи</w:t>
      </w:r>
      <w:r w:rsidRPr="00092ED7">
        <w:rPr>
          <w:rFonts w:cs="Times New Roman"/>
          <w:b/>
          <w:bCs/>
          <w:szCs w:val="24"/>
          <w:lang w:val="sr-Cyrl-CS"/>
        </w:rPr>
        <w:t xml:space="preserve"> са око 70% </w:t>
      </w:r>
      <w:r w:rsidRPr="00092ED7">
        <w:rPr>
          <w:rFonts w:cs="Times New Roman"/>
          <w:bCs/>
          <w:szCs w:val="24"/>
          <w:lang w:val="sr-Cyrl-CS"/>
        </w:rPr>
        <w:t>(петогодишњи просек)</w:t>
      </w:r>
      <w:r w:rsidRPr="00092ED7">
        <w:rPr>
          <w:rStyle w:val="FootnoteReference"/>
          <w:rFonts w:cs="Times New Roman"/>
          <w:szCs w:val="24"/>
          <w:lang w:val="sr-Cyrl-CS"/>
        </w:rPr>
        <w:footnoteReference w:id="164"/>
      </w:r>
      <w:r w:rsidRPr="00092ED7">
        <w:rPr>
          <w:rFonts w:cs="Times New Roman"/>
          <w:bCs/>
          <w:szCs w:val="24"/>
          <w:lang w:val="sr-Cyrl-CS"/>
        </w:rPr>
        <w:t>.</w:t>
      </w:r>
    </w:p>
    <w:p w14:paraId="6DCB10C7" w14:textId="71591B81" w:rsidR="00D210F0" w:rsidRPr="00092ED7" w:rsidRDefault="00D210F0" w:rsidP="00D210F0">
      <w:pPr>
        <w:spacing w:after="60"/>
        <w:rPr>
          <w:rFonts w:eastAsia="Calibri" w:cs="Times New Roman"/>
          <w:noProof/>
          <w:szCs w:val="24"/>
          <w:lang w:val="sr-Cyrl-CS"/>
        </w:rPr>
      </w:pPr>
      <w:r w:rsidRPr="00092ED7">
        <w:rPr>
          <w:rFonts w:eastAsia="Calibri" w:cs="Times New Roman"/>
          <w:b/>
          <w:noProof/>
          <w:szCs w:val="24"/>
          <w:lang w:val="sr-Cyrl-CS"/>
        </w:rPr>
        <w:t xml:space="preserve">Eкономска слабост највећег броја пољопривредних субјеката </w:t>
      </w:r>
      <w:r w:rsidRPr="00092ED7">
        <w:rPr>
          <w:rFonts w:eastAsia="Calibri" w:cs="Times New Roman"/>
          <w:noProof/>
          <w:szCs w:val="24"/>
          <w:lang w:val="sr-Cyrl-CS"/>
        </w:rPr>
        <w:t>(газдинстава и других правних облика)</w:t>
      </w:r>
      <w:r w:rsidRPr="00092ED7">
        <w:rPr>
          <w:rFonts w:eastAsia="Calibri" w:cs="Times New Roman"/>
          <w:b/>
          <w:noProof/>
          <w:szCs w:val="24"/>
          <w:lang w:val="sr-Cyrl-CS"/>
        </w:rPr>
        <w:t xml:space="preserve"> уз ниску техничко-технолошку опремљеност, главни су изазови на путу повећања приноса у пољопривреди</w:t>
      </w:r>
      <w:r w:rsidRPr="00092ED7">
        <w:rPr>
          <w:rFonts w:eastAsia="Calibri" w:cs="Times New Roman"/>
          <w:noProof/>
          <w:szCs w:val="24"/>
          <w:lang w:val="sr-Cyrl-CS"/>
        </w:rPr>
        <w:t>. Највећи број газдинстава је мале или средње величине и практикује екстензивну производњу, без специјализоване производње у одређеном сектору. Газдинства до 5 ha чине 71,47% укупног броја, док је просечна површина коришћеног пољопривредног земљишта на нивоу Републике Србије 6,16 ha</w:t>
      </w:r>
      <w:r w:rsidRPr="00092ED7">
        <w:rPr>
          <w:rFonts w:eastAsia="Calibri" w:cs="Times New Roman"/>
          <w:noProof/>
          <w:vertAlign w:val="superscript"/>
          <w:lang w:val="sr-Cyrl-CS"/>
        </w:rPr>
        <w:footnoteReference w:id="165"/>
      </w:r>
      <w:r w:rsidRPr="00092ED7">
        <w:rPr>
          <w:rFonts w:eastAsia="Calibri" w:cs="Times New Roman"/>
          <w:noProof/>
          <w:szCs w:val="24"/>
          <w:lang w:val="sr-Cyrl-CS"/>
        </w:rPr>
        <w:t xml:space="preserve">. Фарме таквог просека су премале да би биле конкурентне, како за директну продају на европском тржишту, тако и за продају сировина за прераду. </w:t>
      </w:r>
      <w:r w:rsidRPr="00092ED7">
        <w:rPr>
          <w:rFonts w:cs="Times New Roman"/>
          <w:lang w:val="sr-Cyrl-CS"/>
        </w:rPr>
        <w:t>Постојеће мере подршке малим газдинствима за достизање националних стандарда нису перманентне и нису прилагођење малим газдинствима, а добар део газдинства није ни обухваћен мерама националне подршке</w:t>
      </w:r>
      <w:r w:rsidRPr="00092ED7">
        <w:rPr>
          <w:rStyle w:val="FootnoteReference"/>
          <w:rFonts w:cs="Times New Roman"/>
          <w:lang w:val="sr-Cyrl-CS"/>
        </w:rPr>
        <w:footnoteReference w:id="166"/>
      </w:r>
      <w:r w:rsidRPr="00092ED7">
        <w:rPr>
          <w:rFonts w:eastAsia="Calibri" w:cs="Times New Roman"/>
          <w:noProof/>
          <w:szCs w:val="24"/>
          <w:lang w:val="sr-Cyrl-CS"/>
        </w:rPr>
        <w:t xml:space="preserve">. Процес комасације, који је уређен </w:t>
      </w:r>
      <w:r w:rsidRPr="00092ED7">
        <w:rPr>
          <w:rFonts w:eastAsia="Calibri" w:cs="Times New Roman"/>
          <w:i/>
          <w:noProof/>
          <w:szCs w:val="24"/>
          <w:lang w:val="sr-Cyrl-CS"/>
        </w:rPr>
        <w:t>Законом о пољопривредном земљишту</w:t>
      </w:r>
      <w:r w:rsidRPr="00092ED7">
        <w:rPr>
          <w:rFonts w:eastAsia="Calibri" w:cs="Times New Roman"/>
          <w:noProof/>
          <w:szCs w:val="24"/>
          <w:lang w:val="sr-Cyrl-CS"/>
        </w:rPr>
        <w:t xml:space="preserve"> („Сл</w:t>
      </w:r>
      <w:r w:rsidR="00027678" w:rsidRPr="00092ED7">
        <w:rPr>
          <w:rFonts w:eastAsia="Calibri" w:cs="Times New Roman"/>
          <w:noProof/>
          <w:szCs w:val="24"/>
          <w:lang w:val="sr-Cyrl-CS"/>
        </w:rPr>
        <w:t>ужбени</w:t>
      </w:r>
      <w:r w:rsidRPr="00092ED7">
        <w:rPr>
          <w:rFonts w:eastAsia="Calibri" w:cs="Times New Roman"/>
          <w:noProof/>
          <w:szCs w:val="24"/>
          <w:lang w:val="sr-Cyrl-CS"/>
        </w:rPr>
        <w:t xml:space="preserve"> гласник РС</w:t>
      </w:r>
      <w:r w:rsidR="00027678" w:rsidRPr="00092ED7">
        <w:rPr>
          <w:rFonts w:cs="Times New Roman"/>
          <w:szCs w:val="24"/>
          <w:lang w:val="sr-Cyrl-CS"/>
        </w:rPr>
        <w:t>”</w:t>
      </w:r>
      <w:r w:rsidRPr="00092ED7">
        <w:rPr>
          <w:rFonts w:eastAsia="Calibri" w:cs="Times New Roman"/>
          <w:noProof/>
          <w:szCs w:val="24"/>
          <w:lang w:val="sr-Cyrl-CS"/>
        </w:rPr>
        <w:t xml:space="preserve">, бр. 62/06, 65/08 - др. закон, 41/09, 112/15, 80/17 и 95/18 - др. закон) </w:t>
      </w:r>
      <w:r w:rsidR="00830B48" w:rsidRPr="00092ED7">
        <w:rPr>
          <w:rFonts w:eastAsia="Calibri" w:cs="Times New Roman"/>
          <w:noProof/>
          <w:szCs w:val="24"/>
          <w:lang w:val="sr-Cyrl-CS"/>
        </w:rPr>
        <w:t>ни</w:t>
      </w:r>
      <w:r w:rsidRPr="00092ED7">
        <w:rPr>
          <w:rFonts w:eastAsia="Calibri" w:cs="Times New Roman"/>
          <w:noProof/>
          <w:szCs w:val="24"/>
          <w:lang w:val="sr-Cyrl-CS"/>
        </w:rPr>
        <w:t xml:space="preserve">је </w:t>
      </w:r>
      <w:r w:rsidR="00830B48" w:rsidRPr="00092ED7">
        <w:rPr>
          <w:rFonts w:eastAsia="Calibri" w:cs="Times New Roman"/>
          <w:noProof/>
          <w:szCs w:val="24"/>
          <w:lang w:val="sr-Cyrl-CS"/>
        </w:rPr>
        <w:t xml:space="preserve">довољно </w:t>
      </w:r>
      <w:r w:rsidRPr="00092ED7">
        <w:rPr>
          <w:rFonts w:eastAsia="Calibri" w:cs="Times New Roman"/>
          <w:noProof/>
          <w:szCs w:val="24"/>
          <w:lang w:val="sr-Cyrl-CS"/>
        </w:rPr>
        <w:t xml:space="preserve">ефикасан. Просечно трајање поступка од усвајања програма комасације од стране скупштине ЈЛС до увођења власника у посед за комасациона подручја износи око </w:t>
      </w:r>
      <w:r w:rsidR="00670890" w:rsidRPr="00092ED7">
        <w:rPr>
          <w:rFonts w:eastAsia="Calibri" w:cs="Times New Roman"/>
          <w:noProof/>
          <w:szCs w:val="24"/>
          <w:lang w:val="sr-Cyrl-CS"/>
        </w:rPr>
        <w:t xml:space="preserve">три </w:t>
      </w:r>
      <w:r w:rsidRPr="00092ED7">
        <w:rPr>
          <w:rFonts w:eastAsia="Calibri" w:cs="Times New Roman"/>
          <w:noProof/>
          <w:szCs w:val="24"/>
          <w:lang w:val="sr-Cyrl-CS"/>
        </w:rPr>
        <w:t xml:space="preserve"> године и </w:t>
      </w:r>
      <w:r w:rsidR="00670890" w:rsidRPr="00092ED7">
        <w:rPr>
          <w:rFonts w:eastAsia="Calibri" w:cs="Times New Roman"/>
          <w:noProof/>
          <w:szCs w:val="24"/>
          <w:lang w:val="sr-Cyrl-CS"/>
        </w:rPr>
        <w:t>четири</w:t>
      </w:r>
      <w:r w:rsidRPr="00092ED7">
        <w:rPr>
          <w:rFonts w:eastAsia="Calibri" w:cs="Times New Roman"/>
          <w:noProof/>
          <w:szCs w:val="24"/>
          <w:lang w:val="sr-Cyrl-CS"/>
        </w:rPr>
        <w:t xml:space="preserve"> месеца</w:t>
      </w:r>
      <w:r w:rsidRPr="00092ED7">
        <w:rPr>
          <w:rFonts w:eastAsia="Calibri" w:cs="Times New Roman"/>
          <w:noProof/>
          <w:vertAlign w:val="superscript"/>
          <w:lang w:val="sr-Cyrl-CS"/>
        </w:rPr>
        <w:footnoteReference w:id="167"/>
      </w:r>
      <w:r w:rsidRPr="00092ED7">
        <w:rPr>
          <w:rFonts w:eastAsia="Calibri" w:cs="Times New Roman"/>
          <w:noProof/>
          <w:szCs w:val="24"/>
          <w:lang w:val="sr-Cyrl-CS"/>
        </w:rPr>
        <w:t>. Због уситњених поседа, значајан удео обрадивог земљишта остаје необрађен, што одвраћа инвестиције у пољопривреду, кочи раст продуктивности и отежава запошљавање (усвајање нових закона</w:t>
      </w:r>
      <w:r w:rsidRPr="00092ED7">
        <w:rPr>
          <w:rFonts w:eastAsia="Calibri" w:cs="Times New Roman"/>
          <w:i/>
          <w:noProof/>
          <w:szCs w:val="24"/>
          <w:lang w:val="sr-Cyrl-CS"/>
        </w:rPr>
        <w:t xml:space="preserve"> о пољопривредном земљишту</w:t>
      </w:r>
      <w:r w:rsidRPr="00092ED7">
        <w:rPr>
          <w:rFonts w:eastAsia="Calibri" w:cs="Times New Roman"/>
          <w:noProof/>
          <w:szCs w:val="24"/>
          <w:lang w:val="sr-Cyrl-CS"/>
        </w:rPr>
        <w:t xml:space="preserve"> и </w:t>
      </w:r>
      <w:r w:rsidRPr="00092ED7">
        <w:rPr>
          <w:rFonts w:eastAsia="Calibri" w:cs="Times New Roman"/>
          <w:i/>
          <w:noProof/>
          <w:szCs w:val="24"/>
          <w:lang w:val="sr-Cyrl-CS"/>
        </w:rPr>
        <w:t>о комасацији</w:t>
      </w:r>
      <w:r w:rsidRPr="00092ED7">
        <w:rPr>
          <w:rFonts w:eastAsia="Calibri" w:cs="Times New Roman"/>
          <w:noProof/>
          <w:szCs w:val="24"/>
          <w:lang w:val="sr-Cyrl-CS"/>
        </w:rPr>
        <w:t xml:space="preserve"> очекује се до краја 2023. године). Нето прилив СДИ у пољопривреду кумулативно је износио 470,5 милиона евра у периоду 2015-2021. године, односно 2,2% укупног прилива СДИ у Републику Србију у истом периоду, што показује да овај сектор није довољно привлачан за стране инвеститоре</w:t>
      </w:r>
      <w:r w:rsidRPr="00092ED7">
        <w:rPr>
          <w:rStyle w:val="FootnoteReference"/>
          <w:rFonts w:eastAsia="Calibri" w:cs="Times New Roman"/>
          <w:noProof/>
          <w:szCs w:val="24"/>
          <w:lang w:val="sr-Cyrl-CS"/>
        </w:rPr>
        <w:footnoteReference w:id="168"/>
      </w:r>
      <w:r w:rsidRPr="00092ED7">
        <w:rPr>
          <w:rFonts w:eastAsia="Calibri" w:cs="Times New Roman"/>
          <w:noProof/>
          <w:szCs w:val="24"/>
          <w:lang w:val="sr-Cyrl-CS"/>
        </w:rPr>
        <w:t>. Ефикаснијој расподели и коришћењу пољопривредног земљишта и транспарентости у додели уговора за коришћење треба да допринесе развијен ИТ систем за локалне самоуправе</w:t>
      </w:r>
      <w:r w:rsidRPr="00092ED7">
        <w:rPr>
          <w:rStyle w:val="FootnoteReference"/>
          <w:rFonts w:eastAsia="Calibri" w:cs="Times New Roman"/>
          <w:noProof/>
          <w:szCs w:val="24"/>
          <w:lang w:val="sr-Cyrl-CS"/>
        </w:rPr>
        <w:footnoteReference w:id="169"/>
      </w:r>
      <w:r w:rsidRPr="00092ED7">
        <w:rPr>
          <w:rFonts w:eastAsia="Calibri" w:cs="Times New Roman"/>
          <w:noProof/>
          <w:szCs w:val="24"/>
          <w:lang w:val="sr-Cyrl-CS"/>
        </w:rPr>
        <w:t>.</w:t>
      </w:r>
    </w:p>
    <w:p w14:paraId="224F935D" w14:textId="1F26414C" w:rsidR="00D210F0" w:rsidRPr="00092ED7" w:rsidRDefault="00D210F0" w:rsidP="00D210F0">
      <w:pPr>
        <w:spacing w:after="60"/>
        <w:rPr>
          <w:rFonts w:eastAsia="Calibri" w:cs="Times New Roman"/>
          <w:noProof/>
          <w:szCs w:val="24"/>
          <w:lang w:val="sr-Cyrl-CS"/>
        </w:rPr>
      </w:pPr>
      <w:r w:rsidRPr="00092ED7">
        <w:rPr>
          <w:rFonts w:eastAsia="Calibri" w:cs="Times New Roman"/>
          <w:b/>
          <w:noProof/>
          <w:szCs w:val="24"/>
          <w:lang w:val="sr-Cyrl-CS"/>
        </w:rPr>
        <w:t>Самосталан рад без тенденције ка удруживању, недовољан ниво инвестиција у пољопривреду и фрагментисан тржишни ланац ограничавају развој пољопривредне делатности.</w:t>
      </w:r>
      <w:r w:rsidRPr="00092ED7">
        <w:rPr>
          <w:rFonts w:eastAsia="Calibri" w:cs="Times New Roman"/>
          <w:noProof/>
          <w:szCs w:val="24"/>
          <w:lang w:val="sr-Cyrl-CS"/>
        </w:rPr>
        <w:t xml:space="preserve"> </w:t>
      </w:r>
      <w:r w:rsidR="00047167" w:rsidRPr="00092ED7">
        <w:rPr>
          <w:rFonts w:eastAsia="Calibri" w:cs="Times New Roman"/>
          <w:noProof/>
          <w:szCs w:val="24"/>
          <w:lang w:val="sr-Cyrl-CS"/>
        </w:rPr>
        <w:t xml:space="preserve">Тржишни ланац на домаћем тржишту је тренутно веома фрагментисан и недовољно организован, како у области производње, тако и у делу прераде, са недостатком организационе структуре за пружање одговарајуће логистичке подршке. </w:t>
      </w:r>
      <w:r w:rsidRPr="00092ED7">
        <w:rPr>
          <w:rFonts w:eastAsia="Calibri" w:cs="Times New Roman"/>
          <w:noProof/>
          <w:szCs w:val="24"/>
          <w:lang w:val="sr-Cyrl-CS"/>
        </w:rPr>
        <w:t xml:space="preserve">Неопходно је подржати инвестиције у секторима где Република Србија има компаративне предности (сектори производње воћа, поврћа, сточарства), унапредити менаџмент у пословању и пружити адекватну логистичку подршку, уз пуну примену </w:t>
      </w:r>
      <w:r w:rsidRPr="00092ED7">
        <w:rPr>
          <w:rFonts w:eastAsia="Calibri" w:cs="Times New Roman"/>
          <w:i/>
          <w:noProof/>
          <w:szCs w:val="24"/>
          <w:lang w:val="sr-Cyrl-CS"/>
        </w:rPr>
        <w:t>Закона о уређењу тржишта пољопривредних производа</w:t>
      </w:r>
      <w:r w:rsidRPr="00092ED7">
        <w:rPr>
          <w:rFonts w:eastAsia="Calibri" w:cs="Times New Roman"/>
          <w:noProof/>
          <w:szCs w:val="24"/>
          <w:lang w:val="sr-Cyrl-CS"/>
        </w:rPr>
        <w:t xml:space="preserve"> („Сл</w:t>
      </w:r>
      <w:r w:rsidR="00474698" w:rsidRPr="00092ED7">
        <w:rPr>
          <w:rFonts w:eastAsia="Calibri" w:cs="Times New Roman"/>
          <w:noProof/>
          <w:szCs w:val="24"/>
          <w:lang w:val="sr-Cyrl-CS"/>
        </w:rPr>
        <w:t>ужбени</w:t>
      </w:r>
      <w:r w:rsidRPr="00092ED7">
        <w:rPr>
          <w:rFonts w:eastAsia="Calibri" w:cs="Times New Roman"/>
          <w:noProof/>
          <w:szCs w:val="24"/>
          <w:lang w:val="sr-Cyrl-CS"/>
        </w:rPr>
        <w:t xml:space="preserve"> гласник РС</w:t>
      </w:r>
      <w:r w:rsidR="00474698" w:rsidRPr="00092ED7">
        <w:rPr>
          <w:rFonts w:cs="Times New Roman"/>
          <w:szCs w:val="24"/>
          <w:lang w:val="sr-Cyrl-CS"/>
        </w:rPr>
        <w:t>”</w:t>
      </w:r>
      <w:r w:rsidRPr="00092ED7">
        <w:rPr>
          <w:rFonts w:eastAsia="Calibri" w:cs="Times New Roman"/>
          <w:noProof/>
          <w:szCs w:val="24"/>
          <w:lang w:val="sr-Cyrl-CS"/>
        </w:rPr>
        <w:t>, бр</w:t>
      </w:r>
      <w:r w:rsidR="00474698" w:rsidRPr="00092ED7">
        <w:rPr>
          <w:rFonts w:eastAsia="Calibri" w:cs="Times New Roman"/>
          <w:noProof/>
          <w:szCs w:val="24"/>
          <w:lang w:val="sr-Cyrl-CS"/>
        </w:rPr>
        <w:t>ој</w:t>
      </w:r>
      <w:r w:rsidRPr="00092ED7">
        <w:rPr>
          <w:rFonts w:eastAsia="Calibri" w:cs="Times New Roman"/>
          <w:noProof/>
          <w:szCs w:val="24"/>
          <w:lang w:val="sr-Cyrl-CS"/>
        </w:rPr>
        <w:t xml:space="preserve"> 67/21).</w:t>
      </w:r>
    </w:p>
    <w:p w14:paraId="61D50E01" w14:textId="02812798" w:rsidR="00D210F0" w:rsidRPr="00092ED7" w:rsidRDefault="00D210F0" w:rsidP="00D210F0">
      <w:pPr>
        <w:spacing w:after="60"/>
        <w:rPr>
          <w:rFonts w:eastAsia="Calibri" w:cs="Times New Roman"/>
          <w:noProof/>
          <w:szCs w:val="24"/>
          <w:lang w:val="sr-Cyrl-CS"/>
        </w:rPr>
      </w:pPr>
      <w:r w:rsidRPr="00092ED7">
        <w:rPr>
          <w:rFonts w:eastAsia="Calibri" w:cs="Times New Roman"/>
          <w:b/>
          <w:noProof/>
          <w:szCs w:val="24"/>
          <w:lang w:val="sr-Cyrl-CS"/>
        </w:rPr>
        <w:t xml:space="preserve">Смањење броја сеоског становништва и исељавање младих последица је лошег економског положаја руралног становништва и неповољних инфраструктурних услова. </w:t>
      </w:r>
      <w:r w:rsidRPr="00092ED7">
        <w:rPr>
          <w:rFonts w:eastAsia="Calibri" w:cs="Times New Roman"/>
          <w:noProof/>
          <w:szCs w:val="24"/>
          <w:lang w:val="sr-Cyrl-CS"/>
        </w:rPr>
        <w:t xml:space="preserve">Комасација мора бити пропраћена и изградњом пољопривредне инфраструктуре, путева и мреже за наводњавање и одводњавање. На територији Републике Србије само 63% општинских путева сматра се савременим путевима (путеви прекривени асфалтом, бетоном и коцкама). Најповољнија ситуација је у </w:t>
      </w:r>
      <w:r w:rsidRPr="00092ED7">
        <w:rPr>
          <w:rFonts w:eastAsia="Calibri" w:cs="Times New Roman"/>
          <w:noProof/>
          <w:szCs w:val="24"/>
          <w:lang w:val="sr-Cyrl-CS"/>
        </w:rPr>
        <w:lastRenderedPageBreak/>
        <w:t xml:space="preserve">Средњобанатском округу (98,5% општинских путева су савремени путеви), а најнеповољнија у Пчињском округу где само 31,1% општинских путева спада у категорију савремених путева. За меру </w:t>
      </w:r>
      <w:r w:rsidRPr="00092ED7">
        <w:rPr>
          <w:rFonts w:eastAsia="Calibri" w:cs="Times New Roman"/>
          <w:i/>
          <w:noProof/>
          <w:szCs w:val="24"/>
          <w:lang w:val="sr-Cyrl-CS"/>
        </w:rPr>
        <w:t>Унапређење и развој руралне инфраструктуре</w:t>
      </w:r>
      <w:r w:rsidRPr="00092ED7">
        <w:rPr>
          <w:rFonts w:eastAsia="Calibri" w:cs="Times New Roman"/>
          <w:noProof/>
          <w:szCs w:val="24"/>
          <w:lang w:val="sr-Cyrl-CS"/>
        </w:rPr>
        <w:t xml:space="preserve"> расписана су два јавна позива</w:t>
      </w:r>
      <w:r w:rsidRPr="00092ED7">
        <w:rPr>
          <w:rStyle w:val="FootnoteReference"/>
          <w:rFonts w:eastAsia="Calibri" w:cs="Times New Roman"/>
          <w:i/>
          <w:noProof/>
          <w:szCs w:val="24"/>
          <w:lang w:val="sr-Cyrl-CS"/>
        </w:rPr>
        <w:footnoteReference w:id="170"/>
      </w:r>
      <w:r w:rsidRPr="00092ED7">
        <w:rPr>
          <w:rFonts w:eastAsia="Calibri" w:cs="Times New Roman"/>
          <w:noProof/>
          <w:szCs w:val="24"/>
          <w:lang w:val="sr-Cyrl-CS"/>
        </w:rPr>
        <w:t xml:space="preserve"> током 2021.</w:t>
      </w:r>
      <w:r w:rsidRPr="00092ED7">
        <w:rPr>
          <w:rStyle w:val="FootnoteReference"/>
          <w:rFonts w:eastAsia="Calibri" w:cs="Times New Roman"/>
          <w:noProof/>
          <w:szCs w:val="24"/>
          <w:lang w:val="sr-Cyrl-CS"/>
        </w:rPr>
        <w:footnoteReference w:id="171"/>
      </w:r>
      <w:r w:rsidRPr="00092ED7">
        <w:rPr>
          <w:rFonts w:eastAsia="Calibri" w:cs="Times New Roman"/>
          <w:noProof/>
          <w:szCs w:val="24"/>
          <w:lang w:val="sr-Cyrl-CS"/>
        </w:rPr>
        <w:t xml:space="preserve"> и 2022.</w:t>
      </w:r>
      <w:r w:rsidRPr="00092ED7">
        <w:rPr>
          <w:rStyle w:val="FootnoteReference"/>
          <w:rFonts w:eastAsia="Calibri" w:cs="Times New Roman"/>
          <w:noProof/>
          <w:szCs w:val="24"/>
          <w:lang w:val="sr-Cyrl-CS"/>
        </w:rPr>
        <w:footnoteReference w:id="172"/>
      </w:r>
      <w:r w:rsidRPr="00092ED7">
        <w:rPr>
          <w:rFonts w:eastAsia="Calibri" w:cs="Times New Roman"/>
          <w:noProof/>
          <w:szCs w:val="24"/>
          <w:lang w:val="sr-Cyrl-CS"/>
        </w:rPr>
        <w:t xml:space="preserve"> године финансирана из националног буџета – исплаћена су средства у износу од 542,5 милиона динара за 36 одобрен</w:t>
      </w:r>
      <w:r w:rsidR="00CE53B0" w:rsidRPr="00092ED7">
        <w:rPr>
          <w:rFonts w:eastAsia="Calibri" w:cs="Times New Roman"/>
          <w:noProof/>
          <w:szCs w:val="24"/>
          <w:lang w:val="sr-Cyrl-CS"/>
        </w:rPr>
        <w:t>их</w:t>
      </w:r>
      <w:r w:rsidRPr="00092ED7">
        <w:rPr>
          <w:rFonts w:eastAsia="Calibri" w:cs="Times New Roman"/>
          <w:noProof/>
          <w:szCs w:val="24"/>
          <w:lang w:val="sr-Cyrl-CS"/>
        </w:rPr>
        <w:t xml:space="preserve"> захтева.</w:t>
      </w:r>
    </w:p>
    <w:p w14:paraId="4587378C" w14:textId="346286C6" w:rsidR="00D210F0" w:rsidRPr="00092ED7" w:rsidRDefault="00D210F0" w:rsidP="00D210F0">
      <w:pPr>
        <w:spacing w:after="60"/>
        <w:rPr>
          <w:rFonts w:eastAsia="Calibri" w:cs="Times New Roman"/>
          <w:noProof/>
          <w:szCs w:val="24"/>
          <w:lang w:val="sr-Cyrl-CS"/>
        </w:rPr>
      </w:pPr>
      <w:r w:rsidRPr="00092ED7">
        <w:rPr>
          <w:rFonts w:eastAsia="Calibri" w:cs="Times New Roman"/>
          <w:noProof/>
          <w:szCs w:val="24"/>
          <w:lang w:val="sr-Cyrl-CS"/>
        </w:rPr>
        <w:t xml:space="preserve">Треба убрзати припреме за акредитацију </w:t>
      </w:r>
      <w:r w:rsidRPr="00092ED7">
        <w:rPr>
          <w:rFonts w:eastAsia="Calibri" w:cs="Times New Roman"/>
          <w:i/>
          <w:noProof/>
          <w:szCs w:val="24"/>
          <w:lang w:val="sr-Cyrl-CS"/>
        </w:rPr>
        <w:t>Мере 6 ИПАРД III програма – Инвестиције у руралну јавну инфраструктуру</w:t>
      </w:r>
      <w:r w:rsidRPr="00092ED7">
        <w:rPr>
          <w:rFonts w:eastAsia="Calibri" w:cs="Times New Roman"/>
          <w:noProof/>
          <w:szCs w:val="24"/>
          <w:lang w:val="sr-Cyrl-CS"/>
        </w:rPr>
        <w:t>, уз увећавање средстава на националном нивоу. Код спровођења националних мера подршке руралном развоју, као и код акредитованих ИПАРД мера које се тренутно спроводе, млади пољопривредници (физичко лице, млађе од 40 година на дан подношења захтева за одобравање пројекта) имају предност приликом бодовања и рангирања пројеката/корисника. Осим тога, у оквиру ИПАРД III Програма, млади пољопривредници моћи ће да остварe увећану јавну подршку до 70% у односу на остале кориснике, код којих је јавна подршка до 60% укупних прихватљивих трошкова инвестиције. Највећа промена је забележена у обиму националних средстава пласираних у подстицаје за диверзификацију дохотка и унапређење квалитета живота у руралним подручјима, захваљујући динамичном расту подршке младима у 2020. години. Пољопривредници морају бити уписани у Регистар пољопривредних газдинстава (</w:t>
      </w:r>
      <w:r w:rsidR="00670890" w:rsidRPr="00092ED7">
        <w:rPr>
          <w:rFonts w:eastAsia="Calibri" w:cs="Times New Roman"/>
          <w:noProof/>
          <w:szCs w:val="24"/>
          <w:lang w:val="sr-Cyrl-CS"/>
        </w:rPr>
        <w:t xml:space="preserve">у даљем тексту: </w:t>
      </w:r>
      <w:r w:rsidRPr="00092ED7">
        <w:rPr>
          <w:rFonts w:eastAsia="Calibri" w:cs="Times New Roman"/>
          <w:noProof/>
          <w:szCs w:val="24"/>
          <w:lang w:val="sr-Cyrl-CS"/>
        </w:rPr>
        <w:t>РПГ) и морају да се налазе у активном статусу како би могли да конкуришу за средства из националних субвенција или из ИПАРД фонда. Тренутно је у РПГ уписано 424.266 активних пољопривредних газдинстава</w:t>
      </w:r>
      <w:r w:rsidRPr="00092ED7">
        <w:rPr>
          <w:rStyle w:val="FootnoteReference"/>
          <w:rFonts w:eastAsia="Calibri" w:cs="Times New Roman"/>
          <w:noProof/>
          <w:szCs w:val="24"/>
          <w:lang w:val="sr-Cyrl-CS"/>
        </w:rPr>
        <w:footnoteReference w:id="173"/>
      </w:r>
      <w:r w:rsidRPr="00092ED7">
        <w:rPr>
          <w:rFonts w:eastAsia="Calibri" w:cs="Times New Roman"/>
          <w:noProof/>
          <w:szCs w:val="24"/>
          <w:lang w:val="sr-Cyrl-CS"/>
        </w:rPr>
        <w:t xml:space="preserve"> (</w:t>
      </w:r>
      <w:r w:rsidR="00670890" w:rsidRPr="00092ED7">
        <w:rPr>
          <w:rFonts w:eastAsia="Calibri" w:cs="Times New Roman"/>
          <w:noProof/>
          <w:szCs w:val="24"/>
          <w:lang w:val="sr-Cyrl-CS"/>
        </w:rPr>
        <w:t xml:space="preserve">у даљем тексту: </w:t>
      </w:r>
      <w:r w:rsidRPr="00092ED7">
        <w:rPr>
          <w:rFonts w:eastAsia="Calibri" w:cs="Times New Roman"/>
          <w:noProof/>
          <w:szCs w:val="24"/>
          <w:lang w:val="sr-Cyrl-CS"/>
        </w:rPr>
        <w:t xml:space="preserve">ПГ) од чега је 420.294 регистровано у статусу породичног ПГ чији је носилац физичко лице, док само 3.962 регистрованих ПГ има статус правног лица. Овакав однос указује на неповољан пословни амбијент за развој пољопривредне делатности. За меру </w:t>
      </w:r>
      <w:r w:rsidRPr="00092ED7">
        <w:rPr>
          <w:rFonts w:eastAsia="Calibri" w:cs="Times New Roman"/>
          <w:i/>
          <w:noProof/>
          <w:szCs w:val="24"/>
          <w:lang w:val="sr-Cyrl-CS"/>
        </w:rPr>
        <w:t>Унапређење економских активности на селу кроз подршку непољопривредним активностима</w:t>
      </w:r>
      <w:r w:rsidRPr="00092ED7">
        <w:rPr>
          <w:rStyle w:val="FootnoteReference"/>
          <w:rFonts w:eastAsia="Calibri" w:cs="Times New Roman"/>
          <w:i/>
          <w:noProof/>
          <w:szCs w:val="24"/>
          <w:lang w:val="sr-Cyrl-CS"/>
        </w:rPr>
        <w:footnoteReference w:id="174"/>
      </w:r>
      <w:r w:rsidRPr="00092ED7">
        <w:rPr>
          <w:rFonts w:eastAsia="Calibri" w:cs="Times New Roman"/>
          <w:noProof/>
          <w:szCs w:val="24"/>
          <w:lang w:val="sr-Cyrl-CS"/>
        </w:rPr>
        <w:t xml:space="preserve"> расписан је конкурс</w:t>
      </w:r>
      <w:r w:rsidRPr="00092ED7">
        <w:rPr>
          <w:rStyle w:val="FootnoteReference"/>
          <w:rFonts w:eastAsia="Calibri" w:cs="Times New Roman"/>
          <w:noProof/>
          <w:szCs w:val="24"/>
          <w:lang w:val="sr-Cyrl-CS"/>
        </w:rPr>
        <w:footnoteReference w:id="175"/>
      </w:r>
      <w:r w:rsidRPr="00092ED7">
        <w:rPr>
          <w:rFonts w:eastAsia="Calibri" w:cs="Times New Roman"/>
          <w:noProof/>
          <w:szCs w:val="24"/>
          <w:lang w:val="sr-Cyrl-CS"/>
        </w:rPr>
        <w:t xml:space="preserve"> током 2021. године финансиран из националног буџета – реализација је у току (закључно са 30.</w:t>
      </w:r>
      <w:r w:rsidR="00FD7510" w:rsidRPr="00092ED7">
        <w:rPr>
          <w:rFonts w:eastAsia="Calibri" w:cs="Times New Roman"/>
          <w:noProof/>
          <w:szCs w:val="24"/>
          <w:lang w:val="sr-Cyrl-CS"/>
        </w:rPr>
        <w:t xml:space="preserve"> новембром</w:t>
      </w:r>
      <w:r w:rsidR="00FC0AC2" w:rsidRPr="00092ED7">
        <w:rPr>
          <w:rFonts w:eastAsia="Calibri" w:cs="Times New Roman"/>
          <w:noProof/>
          <w:szCs w:val="24"/>
          <w:lang w:val="sr-Cyrl-CS"/>
        </w:rPr>
        <w:t xml:space="preserve"> </w:t>
      </w:r>
      <w:r w:rsidRPr="00092ED7">
        <w:rPr>
          <w:rFonts w:eastAsia="Calibri" w:cs="Times New Roman"/>
          <w:noProof/>
          <w:szCs w:val="24"/>
          <w:lang w:val="sr-Cyrl-CS"/>
        </w:rPr>
        <w:t xml:space="preserve">2022. године); поднет је 171 захтев – обрађено 72 захтева, од чега је усвојено 62 захтева за финансирање са одобреним средствима у износу од 99,3 милиона динара. </w:t>
      </w:r>
    </w:p>
    <w:p w14:paraId="6F6AC103" w14:textId="77777777" w:rsidR="00D210F0" w:rsidRPr="00092ED7" w:rsidRDefault="00D210F0" w:rsidP="00D210F0">
      <w:pPr>
        <w:spacing w:after="60"/>
        <w:rPr>
          <w:rFonts w:eastAsia="Calibri" w:cs="Times New Roman"/>
          <w:noProof/>
          <w:szCs w:val="24"/>
          <w:lang w:val="sr-Cyrl-CS"/>
        </w:rPr>
      </w:pPr>
      <w:r w:rsidRPr="00092ED7">
        <w:rPr>
          <w:rFonts w:eastAsia="Calibri" w:cs="Times New Roman"/>
          <w:b/>
          <w:noProof/>
          <w:szCs w:val="24"/>
          <w:lang w:val="sr-Cyrl-CS"/>
        </w:rPr>
        <w:t>Учешће наводњаваних површина је ниско и износи око 4,6%</w:t>
      </w:r>
      <w:r w:rsidRPr="00092ED7">
        <w:rPr>
          <w:rFonts w:eastAsia="Calibri" w:cs="Times New Roman"/>
          <w:b/>
          <w:noProof/>
          <w:szCs w:val="24"/>
          <w:vertAlign w:val="superscript"/>
          <w:lang w:val="sr-Cyrl-CS"/>
        </w:rPr>
        <w:footnoteReference w:id="176"/>
      </w:r>
      <w:r w:rsidRPr="00092ED7">
        <w:rPr>
          <w:rFonts w:eastAsia="Calibri" w:cs="Times New Roman"/>
          <w:b/>
          <w:noProof/>
          <w:szCs w:val="24"/>
          <w:lang w:val="sr-Cyrl-CS"/>
        </w:rPr>
        <w:t xml:space="preserve"> укупне површине коришћеног пољопривредног земљишта </w:t>
      </w:r>
      <w:r w:rsidRPr="00092ED7">
        <w:rPr>
          <w:rFonts w:eastAsia="Calibri" w:cs="Times New Roman"/>
          <w:noProof/>
          <w:szCs w:val="24"/>
          <w:lang w:val="sr-Cyrl-CS"/>
        </w:rPr>
        <w:t>(7-8% у Европи). Кроз започете и планиране инвестиционе пројекте стварају се услови за наводњавање око 100.000 ha додатних површина пољопривредног земљишта. Набавка система за наводњавање за пољопривредна газдинства је подржана кроз националне мере подршке руралном развоју и ИПАРД програм.</w:t>
      </w:r>
    </w:p>
    <w:p w14:paraId="6D7B710B" w14:textId="77777777" w:rsidR="00D210F0" w:rsidRPr="00092ED7" w:rsidRDefault="00D210F0" w:rsidP="00D210F0">
      <w:pPr>
        <w:spacing w:after="60"/>
        <w:rPr>
          <w:rFonts w:eastAsia="Calibri" w:cs="Times New Roman"/>
          <w:noProof/>
          <w:szCs w:val="24"/>
          <w:lang w:val="sr-Cyrl-CS"/>
        </w:rPr>
      </w:pPr>
      <w:r w:rsidRPr="00092ED7">
        <w:rPr>
          <w:rFonts w:eastAsia="Calibri" w:cs="Times New Roman"/>
          <w:b/>
          <w:noProof/>
          <w:szCs w:val="24"/>
          <w:lang w:val="sr-Cyrl-CS"/>
        </w:rPr>
        <w:t>Недовољно ефикасни механизми за борбу против суша и других временских непогода умањују приносе у односу на потенцијале</w:t>
      </w:r>
      <w:r w:rsidRPr="00092ED7">
        <w:rPr>
          <w:rFonts w:eastAsia="Calibri" w:cs="Times New Roman"/>
          <w:noProof/>
          <w:szCs w:val="24"/>
          <w:lang w:val="sr-Cyrl-CS"/>
        </w:rPr>
        <w:t>. Да би се смањиле штете које настају услед елементарних непогода, Влада субвенционише премије осигурања. Обим опредељених средстава за ову меру се годинама повећавао. Број осигураних газдинстава је порастао од 2006. године са 2.594 на 29.707</w:t>
      </w:r>
      <w:r w:rsidRPr="00092ED7">
        <w:rPr>
          <w:rFonts w:eastAsia="Calibri" w:cs="Times New Roman"/>
          <w:lang w:val="sr-Cyrl-CS"/>
        </w:rPr>
        <w:t xml:space="preserve"> </w:t>
      </w:r>
      <w:r w:rsidRPr="00092ED7">
        <w:rPr>
          <w:rFonts w:eastAsia="Calibri" w:cs="Times New Roman"/>
          <w:noProof/>
          <w:szCs w:val="24"/>
          <w:lang w:val="sr-Cyrl-CS"/>
        </w:rPr>
        <w:t>поднетих захтева (</w:t>
      </w:r>
      <w:r w:rsidRPr="00092ED7">
        <w:rPr>
          <w:rFonts w:eastAsia="Calibri" w:cs="Times New Roman"/>
          <w:lang w:val="sr-Cyrl-CS"/>
        </w:rPr>
        <w:t xml:space="preserve">28.576 </w:t>
      </w:r>
      <w:r w:rsidRPr="00092ED7">
        <w:rPr>
          <w:rFonts w:eastAsia="Calibri" w:cs="Times New Roman"/>
          <w:noProof/>
          <w:szCs w:val="24"/>
          <w:lang w:val="sr-Cyrl-CS"/>
        </w:rPr>
        <w:t xml:space="preserve">захтева за </w:t>
      </w:r>
      <w:r w:rsidRPr="00092ED7">
        <w:rPr>
          <w:rFonts w:eastAsia="Calibri" w:cs="Times New Roman"/>
          <w:noProof/>
          <w:szCs w:val="24"/>
          <w:lang w:val="sr-Cyrl-CS"/>
        </w:rPr>
        <w:lastRenderedPageBreak/>
        <w:t xml:space="preserve">осигурање биљне производње, односно </w:t>
      </w:r>
      <w:r w:rsidRPr="00092ED7">
        <w:rPr>
          <w:rFonts w:eastAsia="Calibri" w:cs="Times New Roman"/>
          <w:lang w:val="sr-Cyrl-CS"/>
        </w:rPr>
        <w:t>1.131</w:t>
      </w:r>
      <w:r w:rsidR="00FD7510" w:rsidRPr="00092ED7">
        <w:rPr>
          <w:rFonts w:eastAsia="Calibri" w:cs="Times New Roman"/>
          <w:lang w:val="sr-Cyrl-CS"/>
        </w:rPr>
        <w:t xml:space="preserve"> </w:t>
      </w:r>
      <w:r w:rsidRPr="00092ED7">
        <w:rPr>
          <w:rFonts w:eastAsia="Calibri" w:cs="Times New Roman"/>
          <w:noProof/>
          <w:szCs w:val="24"/>
          <w:lang w:val="sr-Cyrl-CS"/>
        </w:rPr>
        <w:t>захтев за осигурање животиња) у 2021. када је исплаћено близу 2,8 мил</w:t>
      </w:r>
      <w:r w:rsidR="00FD7510" w:rsidRPr="00092ED7">
        <w:rPr>
          <w:rFonts w:eastAsia="Calibri" w:cs="Times New Roman"/>
          <w:noProof/>
          <w:szCs w:val="24"/>
          <w:lang w:val="sr-Cyrl-CS"/>
        </w:rPr>
        <w:t>иона</w:t>
      </w:r>
      <w:r w:rsidRPr="00092ED7">
        <w:rPr>
          <w:rFonts w:eastAsia="Calibri" w:cs="Times New Roman"/>
          <w:noProof/>
          <w:szCs w:val="24"/>
          <w:lang w:val="sr-Cyrl-CS"/>
        </w:rPr>
        <w:t xml:space="preserve"> евра.</w:t>
      </w:r>
    </w:p>
    <w:p w14:paraId="33ACB4FF" w14:textId="2FD8974F" w:rsidR="00D210F0" w:rsidRPr="00092ED7" w:rsidRDefault="00D210F0" w:rsidP="00D210F0">
      <w:pPr>
        <w:spacing w:after="60"/>
        <w:rPr>
          <w:rFonts w:eastAsia="Calibri" w:cs="Times New Roman"/>
          <w:noProof/>
          <w:szCs w:val="24"/>
          <w:lang w:val="sr-Cyrl-CS"/>
        </w:rPr>
      </w:pPr>
      <w:r w:rsidRPr="00092ED7">
        <w:rPr>
          <w:rFonts w:eastAsia="Times New Roman" w:cs="Times New Roman"/>
          <w:b/>
          <w:bCs/>
          <w:szCs w:val="24"/>
          <w:lang w:val="sr-Cyrl-CS" w:eastAsia="en-GB"/>
        </w:rPr>
        <w:t>Ограничен број особа које су ангажоване и обучене у Управи за аграрна плаћања довео је до спорије обраде захтева</w:t>
      </w:r>
      <w:r w:rsidRPr="00092ED7">
        <w:rPr>
          <w:rFonts w:eastAsia="Times New Roman" w:cs="Times New Roman"/>
          <w:b/>
          <w:szCs w:val="24"/>
          <w:lang w:val="sr-Cyrl-CS" w:eastAsia="en-GB"/>
        </w:rPr>
        <w:t xml:space="preserve">, а процес обраде додатно је успорен због подношења непотпуних захтева од стране корисника, </w:t>
      </w:r>
      <w:r w:rsidR="006C3D11" w:rsidRPr="00092ED7">
        <w:rPr>
          <w:rFonts w:eastAsia="Times New Roman" w:cs="Times New Roman"/>
          <w:b/>
          <w:szCs w:val="24"/>
          <w:lang w:val="sr-Cyrl-CS" w:eastAsia="en-GB"/>
        </w:rPr>
        <w:t xml:space="preserve">као и </w:t>
      </w:r>
      <w:r w:rsidRPr="00092ED7">
        <w:rPr>
          <w:rFonts w:eastAsia="Times New Roman" w:cs="Times New Roman"/>
          <w:b/>
          <w:szCs w:val="24"/>
          <w:lang w:val="sr-Cyrl-CS" w:eastAsia="en-GB"/>
        </w:rPr>
        <w:t>због комплексних административних процедура</w:t>
      </w:r>
      <w:r w:rsidRPr="00092ED7">
        <w:rPr>
          <w:rFonts w:eastAsia="Times New Roman" w:cs="Times New Roman"/>
          <w:szCs w:val="24"/>
          <w:lang w:val="sr-Cyrl-CS" w:eastAsia="en-GB"/>
        </w:rPr>
        <w:t>. Од почетка спровођења ИПАРД II програма бележи се велико интересовање пољопривредника чему сведочи податак да је закључно са 20. октобром 2022. године</w:t>
      </w:r>
      <w:r w:rsidR="00047167" w:rsidRPr="00092ED7">
        <w:rPr>
          <w:rFonts w:eastAsia="Times New Roman" w:cs="Times New Roman"/>
          <w:szCs w:val="24"/>
          <w:lang w:val="sr-Cyrl-CS" w:eastAsia="en-GB"/>
        </w:rPr>
        <w:t>,</w:t>
      </w:r>
      <w:r w:rsidRPr="00092ED7">
        <w:rPr>
          <w:rFonts w:eastAsia="Times New Roman" w:cs="Times New Roman"/>
          <w:szCs w:val="24"/>
          <w:lang w:val="sr-Cyrl-CS" w:eastAsia="en-GB"/>
        </w:rPr>
        <w:t xml:space="preserve"> у оквиру 13 објављених јавних позива</w:t>
      </w:r>
      <w:r w:rsidR="00047167" w:rsidRPr="00092ED7">
        <w:rPr>
          <w:rFonts w:eastAsia="Times New Roman" w:cs="Times New Roman"/>
          <w:szCs w:val="24"/>
          <w:lang w:val="sr-Cyrl-CS" w:eastAsia="en-GB"/>
        </w:rPr>
        <w:t>,</w:t>
      </w:r>
      <w:r w:rsidRPr="00092ED7">
        <w:rPr>
          <w:rFonts w:eastAsia="Times New Roman" w:cs="Times New Roman"/>
          <w:szCs w:val="24"/>
          <w:lang w:val="sr-Cyrl-CS" w:eastAsia="en-GB"/>
        </w:rPr>
        <w:t xml:space="preserve"> поднето 3.178 захтева, од чега је одобрено 1.105 пројеката у износу од 99,7 милиона евра, а исплаћено 600 пројеката корисника у износу од 29,4 милиона евра доприноса ЕУ. </w:t>
      </w:r>
      <w:r w:rsidRPr="00092ED7">
        <w:rPr>
          <w:rFonts w:eastAsia="Calibri" w:cs="Times New Roman"/>
          <w:noProof/>
          <w:szCs w:val="24"/>
          <w:lang w:val="sr-Cyrl-CS"/>
        </w:rPr>
        <w:t xml:space="preserve">Као и до сада, </w:t>
      </w:r>
      <w:r w:rsidRPr="00092ED7">
        <w:rPr>
          <w:rFonts w:eastAsia="Calibri" w:cs="Times New Roman"/>
          <w:i/>
          <w:noProof/>
          <w:szCs w:val="24"/>
          <w:lang w:val="sr-Cyrl-CS"/>
        </w:rPr>
        <w:t>Мера 1 - Инвестиције у физичку имовину пољопривредних газдинстава за набавку нових трактора</w:t>
      </w:r>
      <w:r w:rsidRPr="00092ED7">
        <w:rPr>
          <w:rFonts w:eastAsia="Calibri" w:cs="Times New Roman"/>
          <w:noProof/>
          <w:szCs w:val="24"/>
          <w:lang w:val="sr-Cyrl-CS"/>
        </w:rPr>
        <w:t xml:space="preserve"> има највећи одзив. Недовољна апсорпција средстава из ИПАРД II програма до краја његовог трајања, може да доведе до повраћаја неискоришћених средстава у буџет ЕУ. Постоје велика кашњења у испоруци опреме и машина, јер су ланци снабдевања успорени као последица пандемије, недостатка радне снаге и материјала, инфлације, несташице енергената и др. </w:t>
      </w:r>
    </w:p>
    <w:p w14:paraId="03A87A2D" w14:textId="77777777" w:rsidR="00D210F0" w:rsidRPr="00092ED7" w:rsidRDefault="00D210F0" w:rsidP="00D210F0">
      <w:pPr>
        <w:spacing w:after="60"/>
        <w:rPr>
          <w:rFonts w:eastAsia="Calibri" w:cs="Times New Roman"/>
          <w:noProof/>
          <w:szCs w:val="24"/>
          <w:lang w:val="sr-Cyrl-CS"/>
        </w:rPr>
      </w:pPr>
      <w:r w:rsidRPr="00092ED7">
        <w:rPr>
          <w:rFonts w:eastAsia="Calibri" w:cs="Times New Roman"/>
          <w:b/>
          <w:noProof/>
          <w:szCs w:val="24"/>
          <w:lang w:val="sr-Cyrl-CS"/>
        </w:rPr>
        <w:t>Будући правни оквир у области пољопривреде у Републици Србији укључиће циљеве и активности</w:t>
      </w:r>
      <w:r w:rsidRPr="00092ED7">
        <w:rPr>
          <w:rFonts w:eastAsia="Calibri" w:cs="Times New Roman"/>
          <w:noProof/>
          <w:szCs w:val="24"/>
          <w:lang w:val="sr-Cyrl-CS"/>
        </w:rPr>
        <w:t xml:space="preserve"> </w:t>
      </w:r>
      <w:r w:rsidRPr="00092ED7">
        <w:rPr>
          <w:rFonts w:eastAsia="Calibri" w:cs="Times New Roman"/>
          <w:b/>
          <w:noProof/>
          <w:szCs w:val="24"/>
          <w:lang w:val="sr-Cyrl-CS"/>
        </w:rPr>
        <w:t>Европског зеленог договора</w:t>
      </w:r>
      <w:r w:rsidRPr="00092ED7">
        <w:rPr>
          <w:rFonts w:eastAsia="Calibri" w:cs="Times New Roman"/>
          <w:noProof/>
          <w:szCs w:val="24"/>
          <w:lang w:val="sr-Cyrl-CS"/>
        </w:rPr>
        <w:t xml:space="preserve"> (</w:t>
      </w:r>
      <w:r w:rsidRPr="00092ED7">
        <w:rPr>
          <w:rFonts w:eastAsia="Calibri" w:cs="Times New Roman"/>
          <w:i/>
          <w:noProof/>
          <w:szCs w:val="24"/>
          <w:lang w:val="sr-Cyrl-CS"/>
        </w:rPr>
        <w:t>The European Green Deal)</w:t>
      </w:r>
      <w:r w:rsidRPr="00092ED7">
        <w:rPr>
          <w:rFonts w:eastAsia="Calibri" w:cs="Times New Roman"/>
          <w:noProof/>
          <w:szCs w:val="24"/>
          <w:lang w:val="sr-Cyrl-CS"/>
        </w:rPr>
        <w:t>, у смислу успостављања праведног, здравог и еколошки прихватљивог тржишног ланца прехрамбених производа, а кроз активности смањења употребе пестицида, вештачког ђубрива и антибиотика, као и смањења ризика њиховог коришћења с једне стране, и унапређења заштите животне средине и очувања биодиверзитета, с друге стране. У складу са овим планом је и ИПАРД III програм за Републику Србију усвојен од стране ЕК Спроведбеном одлуком број C (2022) 1537 од 9.</w:t>
      </w:r>
      <w:r w:rsidR="00471226" w:rsidRPr="00092ED7">
        <w:rPr>
          <w:rFonts w:eastAsia="Calibri" w:cs="Times New Roman"/>
          <w:noProof/>
          <w:szCs w:val="24"/>
          <w:lang w:val="sr-Cyrl-CS"/>
        </w:rPr>
        <w:t xml:space="preserve"> марта</w:t>
      </w:r>
      <w:r w:rsidR="00CB66AD" w:rsidRPr="00092ED7">
        <w:rPr>
          <w:rFonts w:eastAsia="Calibri" w:cs="Times New Roman"/>
          <w:noProof/>
          <w:szCs w:val="24"/>
          <w:lang w:val="sr-Cyrl-CS"/>
        </w:rPr>
        <w:t xml:space="preserve"> </w:t>
      </w:r>
      <w:r w:rsidRPr="00092ED7">
        <w:rPr>
          <w:rFonts w:eastAsia="Calibri" w:cs="Times New Roman"/>
          <w:noProof/>
          <w:szCs w:val="24"/>
          <w:lang w:val="sr-Cyrl-CS"/>
        </w:rPr>
        <w:t xml:space="preserve">2022. године. Све инвестиције у механизацију и опрему које су предмет подршке морају да задовоље стандарде који се тичу емисије штетних гасова. Планирано је поједностављење и дигитализација седам административних поступака до краја 2023. године. </w:t>
      </w:r>
      <w:r w:rsidRPr="00092ED7">
        <w:rPr>
          <w:rFonts w:eastAsia="Times New Roman" w:cs="Times New Roman"/>
          <w:szCs w:val="24"/>
          <w:lang w:val="sr-Cyrl-CS" w:eastAsia="en-GB"/>
        </w:rPr>
        <w:t xml:space="preserve">Уведена су и авансна плаћања како би се повећала искоришћеност средстава, </w:t>
      </w:r>
      <w:r w:rsidR="00296994" w:rsidRPr="00092ED7">
        <w:rPr>
          <w:rFonts w:eastAsia="Times New Roman" w:cs="Times New Roman"/>
          <w:szCs w:val="24"/>
          <w:lang w:val="sr-Cyrl-CS" w:eastAsia="en-GB"/>
        </w:rPr>
        <w:t>а</w:t>
      </w:r>
      <w:r w:rsidR="00D65B6D" w:rsidRPr="00092ED7">
        <w:rPr>
          <w:rFonts w:eastAsia="Times New Roman" w:cs="Times New Roman"/>
          <w:szCs w:val="24"/>
          <w:lang w:val="sr-Cyrl-CS" w:eastAsia="en-GB"/>
        </w:rPr>
        <w:t xml:space="preserve"> за</w:t>
      </w:r>
      <w:r w:rsidRPr="00092ED7">
        <w:rPr>
          <w:rFonts w:eastAsia="Times New Roman" w:cs="Times New Roman"/>
          <w:szCs w:val="24"/>
          <w:lang w:val="sr-Cyrl-CS" w:eastAsia="en-GB"/>
        </w:rPr>
        <w:t xml:space="preserve"> износ аванса тражи</w:t>
      </w:r>
      <w:r w:rsidR="00296994" w:rsidRPr="00092ED7">
        <w:rPr>
          <w:rFonts w:eastAsia="Times New Roman" w:cs="Times New Roman"/>
          <w:szCs w:val="24"/>
          <w:lang w:val="sr-Cyrl-CS" w:eastAsia="en-GB"/>
        </w:rPr>
        <w:t xml:space="preserve"> се</w:t>
      </w:r>
      <w:r w:rsidRPr="00092ED7">
        <w:rPr>
          <w:rFonts w:eastAsia="Times New Roman" w:cs="Times New Roman"/>
          <w:szCs w:val="24"/>
          <w:lang w:val="sr-Cyrl-CS" w:eastAsia="en-GB"/>
        </w:rPr>
        <w:t xml:space="preserve"> средство обезбеђења </w:t>
      </w:r>
      <w:r w:rsidR="00D65B6D" w:rsidRPr="00092ED7">
        <w:rPr>
          <w:rFonts w:eastAsia="Times New Roman" w:cs="Times New Roman"/>
          <w:szCs w:val="24"/>
          <w:lang w:val="sr-Cyrl-CS" w:eastAsia="en-GB"/>
        </w:rPr>
        <w:t xml:space="preserve">од стране </w:t>
      </w:r>
      <w:r w:rsidRPr="00092ED7">
        <w:rPr>
          <w:rFonts w:eastAsia="Times New Roman" w:cs="Times New Roman"/>
          <w:szCs w:val="24"/>
          <w:lang w:val="sr-Cyrl-CS" w:eastAsia="en-GB"/>
        </w:rPr>
        <w:t>пословне банке.</w:t>
      </w:r>
    </w:p>
    <w:p w14:paraId="7163B429" w14:textId="7AC7D970" w:rsidR="00047167" w:rsidRPr="00092ED7" w:rsidRDefault="00D210F0" w:rsidP="00D210F0">
      <w:pPr>
        <w:spacing w:after="60"/>
        <w:rPr>
          <w:rFonts w:eastAsia="Times New Roman" w:cs="Times New Roman"/>
          <w:lang w:val="sr-Cyrl-CS" w:eastAsia="en-GB"/>
        </w:rPr>
      </w:pPr>
      <w:r w:rsidRPr="00092ED7">
        <w:rPr>
          <w:rFonts w:eastAsia="Times New Roman" w:cs="Times New Roman"/>
          <w:b/>
          <w:bCs/>
          <w:lang w:val="sr-Cyrl-CS" w:eastAsia="en-GB"/>
        </w:rPr>
        <w:t>Контрола у процесу управљања средствима за заштиту биља</w:t>
      </w:r>
      <w:r w:rsidRPr="00092ED7">
        <w:rPr>
          <w:rFonts w:eastAsia="Times New Roman" w:cs="Times New Roman"/>
          <w:lang w:val="sr-Cyrl-CS" w:eastAsia="en-GB"/>
        </w:rPr>
        <w:t xml:space="preserve"> је недовољна</w:t>
      </w:r>
      <w:r w:rsidRPr="00092ED7">
        <w:rPr>
          <w:rFonts w:eastAsia="Times New Roman" w:cs="Times New Roman"/>
          <w:b/>
          <w:bCs/>
          <w:lang w:val="sr-Cyrl-CS" w:eastAsia="en-GB"/>
        </w:rPr>
        <w:t>, уз недостатак специфичних знања и слабе обучености пољопривредника за примену средстава за заштиту биља</w:t>
      </w:r>
      <w:r w:rsidRPr="00092ED7">
        <w:rPr>
          <w:rStyle w:val="FootnoteReference"/>
          <w:rFonts w:cs="Times New Roman"/>
          <w:b/>
          <w:lang w:val="sr-Cyrl-CS" w:eastAsia="en-GB"/>
        </w:rPr>
        <w:footnoteReference w:id="177"/>
      </w:r>
      <w:r w:rsidRPr="00092ED7">
        <w:rPr>
          <w:rFonts w:eastAsia="Times New Roman" w:cs="Times New Roman"/>
          <w:lang w:val="sr-Cyrl-CS" w:eastAsia="en-GB"/>
        </w:rPr>
        <w:t>. У Републици Србији је регистровано 1.263 средства за заштиту биља</w:t>
      </w:r>
      <w:r w:rsidRPr="00092ED7">
        <w:rPr>
          <w:rStyle w:val="FootnoteReference"/>
          <w:rFonts w:cs="Times New Roman"/>
          <w:lang w:val="sr-Cyrl-CS" w:eastAsia="en-GB"/>
        </w:rPr>
        <w:footnoteReference w:id="178"/>
      </w:r>
      <w:r w:rsidRPr="00092ED7">
        <w:rPr>
          <w:rFonts w:eastAsia="Times New Roman" w:cs="Times New Roman"/>
          <w:lang w:val="sr-Cyrl-CS" w:eastAsia="en-GB"/>
        </w:rPr>
        <w:t xml:space="preserve">. Контрола присуства ових средстава у прехрамбеним производима се обавља на годишњем нивоу у складу са </w:t>
      </w:r>
      <w:r w:rsidR="006C3D11" w:rsidRPr="00092ED7">
        <w:rPr>
          <w:rFonts w:eastAsia="Times New Roman" w:cs="Times New Roman"/>
          <w:lang w:val="sr-Cyrl-CS" w:eastAsia="en-GB"/>
        </w:rPr>
        <w:t>п</w:t>
      </w:r>
      <w:r w:rsidRPr="00092ED7">
        <w:rPr>
          <w:rFonts w:eastAsia="Times New Roman" w:cs="Times New Roman"/>
          <w:lang w:val="sr-Cyrl-CS" w:eastAsia="en-GB"/>
        </w:rPr>
        <w:t>равилником</w:t>
      </w:r>
      <w:r w:rsidRPr="00092ED7">
        <w:rPr>
          <w:lang w:val="sr-Cyrl-CS"/>
        </w:rPr>
        <w:t xml:space="preserve"> </w:t>
      </w:r>
      <w:r w:rsidRPr="00092ED7">
        <w:rPr>
          <w:rFonts w:eastAsia="Times New Roman" w:cs="Times New Roman"/>
          <w:lang w:val="sr-Cyrl-CS" w:eastAsia="en-GB"/>
        </w:rPr>
        <w:t xml:space="preserve">о </w:t>
      </w:r>
      <w:r w:rsidR="006C3D11" w:rsidRPr="00092ED7">
        <w:rPr>
          <w:rFonts w:eastAsia="Times New Roman" w:cs="Times New Roman"/>
          <w:lang w:val="sr-Cyrl-CS" w:eastAsia="en-GB"/>
        </w:rPr>
        <w:t>г</w:t>
      </w:r>
      <w:r w:rsidRPr="00092ED7">
        <w:rPr>
          <w:rFonts w:eastAsia="Times New Roman" w:cs="Times New Roman"/>
          <w:lang w:val="sr-Cyrl-CS" w:eastAsia="en-GB"/>
        </w:rPr>
        <w:t xml:space="preserve">одишњем програму пострегистрационе контроле средстава за заштиту биља, а на основу </w:t>
      </w:r>
      <w:r w:rsidRPr="00092ED7">
        <w:rPr>
          <w:rFonts w:eastAsia="Times New Roman" w:cs="Times New Roman"/>
          <w:i/>
          <w:lang w:val="sr-Cyrl-CS" w:eastAsia="en-GB"/>
        </w:rPr>
        <w:t>Закона о средствима за заштиту биља</w:t>
      </w:r>
      <w:r w:rsidRPr="00092ED7">
        <w:rPr>
          <w:rFonts w:eastAsia="Times New Roman" w:cs="Times New Roman"/>
          <w:lang w:val="sr-Cyrl-CS" w:eastAsia="en-GB"/>
        </w:rPr>
        <w:t xml:space="preserve"> </w:t>
      </w:r>
      <w:r w:rsidRPr="00092ED7">
        <w:rPr>
          <w:rFonts w:eastAsia="Calibri" w:cs="Times New Roman"/>
          <w:noProof/>
          <w:szCs w:val="24"/>
          <w:lang w:val="sr-Cyrl-CS"/>
        </w:rPr>
        <w:t>(„Сл</w:t>
      </w:r>
      <w:r w:rsidR="00CE3B79" w:rsidRPr="00092ED7">
        <w:rPr>
          <w:rFonts w:eastAsia="Calibri" w:cs="Times New Roman"/>
          <w:noProof/>
          <w:szCs w:val="24"/>
          <w:lang w:val="sr-Cyrl-CS"/>
        </w:rPr>
        <w:t>ужбени</w:t>
      </w:r>
      <w:r w:rsidRPr="00092ED7">
        <w:rPr>
          <w:rFonts w:eastAsia="Calibri" w:cs="Times New Roman"/>
          <w:noProof/>
          <w:szCs w:val="24"/>
          <w:lang w:val="sr-Cyrl-CS"/>
        </w:rPr>
        <w:t xml:space="preserve"> гласник РС</w:t>
      </w:r>
      <w:r w:rsidR="00CE3B79" w:rsidRPr="00092ED7">
        <w:rPr>
          <w:rFonts w:cs="Times New Roman"/>
          <w:szCs w:val="24"/>
          <w:lang w:val="sr-Cyrl-CS"/>
        </w:rPr>
        <w:t>”</w:t>
      </w:r>
      <w:r w:rsidRPr="00092ED7">
        <w:rPr>
          <w:rFonts w:eastAsia="Calibri" w:cs="Times New Roman"/>
          <w:noProof/>
          <w:szCs w:val="24"/>
          <w:lang w:val="sr-Cyrl-CS"/>
        </w:rPr>
        <w:t>, бр</w:t>
      </w:r>
      <w:r w:rsidR="006C3D11" w:rsidRPr="00092ED7">
        <w:rPr>
          <w:rFonts w:eastAsia="Calibri" w:cs="Times New Roman"/>
          <w:noProof/>
          <w:szCs w:val="24"/>
          <w:lang w:val="sr-Cyrl-CS"/>
        </w:rPr>
        <w:t>.</w:t>
      </w:r>
      <w:r w:rsidRPr="00092ED7">
        <w:rPr>
          <w:rFonts w:eastAsia="Calibri" w:cs="Times New Roman"/>
          <w:noProof/>
          <w:szCs w:val="24"/>
          <w:lang w:val="sr-Cyrl-CS"/>
        </w:rPr>
        <w:t xml:space="preserve"> </w:t>
      </w:r>
      <w:r w:rsidR="006C3D11" w:rsidRPr="00092ED7">
        <w:rPr>
          <w:rFonts w:eastAsia="Calibri" w:cs="Times New Roman"/>
          <w:noProof/>
          <w:szCs w:val="24"/>
          <w:lang w:val="sr-Cyrl-CS"/>
        </w:rPr>
        <w:t xml:space="preserve">41/09 и </w:t>
      </w:r>
      <w:r w:rsidRPr="00092ED7">
        <w:rPr>
          <w:rFonts w:eastAsia="Calibri" w:cs="Times New Roman"/>
          <w:noProof/>
          <w:szCs w:val="24"/>
          <w:lang w:val="sr-Cyrl-CS"/>
        </w:rPr>
        <w:t>17/19)</w:t>
      </w:r>
      <w:r w:rsidRPr="00092ED7">
        <w:rPr>
          <w:rFonts w:eastAsia="Times New Roman" w:cs="Times New Roman"/>
          <w:lang w:val="sr-Cyrl-CS" w:eastAsia="en-GB"/>
        </w:rPr>
        <w:t>. Од 2.442 анализирана узорка увезених средстава за заштиту и исхрану биља од стране граничне фитосанитарне инспекције, 13 узорака (0,5%) није испунило дефинисане границе максимално дозвољених количина средстава за заштиту и исхрану биља у прехрамбеним производима</w:t>
      </w:r>
      <w:r w:rsidRPr="00092ED7">
        <w:rPr>
          <w:rStyle w:val="FootnoteReference"/>
          <w:rFonts w:cs="Times New Roman"/>
          <w:lang w:val="sr-Cyrl-CS" w:eastAsia="en-GB"/>
        </w:rPr>
        <w:footnoteReference w:id="179"/>
      </w:r>
      <w:r w:rsidRPr="00092ED7">
        <w:rPr>
          <w:rFonts w:eastAsia="Times New Roman" w:cs="Times New Roman"/>
          <w:lang w:val="sr-Cyrl-CS" w:eastAsia="en-GB"/>
        </w:rPr>
        <w:t>.</w:t>
      </w:r>
    </w:p>
    <w:p w14:paraId="1903825B" w14:textId="77777777" w:rsidR="00D210F0" w:rsidRPr="00092ED7" w:rsidRDefault="00D210F0" w:rsidP="00D210F0">
      <w:pPr>
        <w:spacing w:after="60"/>
        <w:rPr>
          <w:rFonts w:cs="Times New Roman"/>
          <w:lang w:val="sr-Cyrl-CS"/>
        </w:rPr>
      </w:pPr>
      <w:r w:rsidRPr="00092ED7">
        <w:rPr>
          <w:rFonts w:cs="Times New Roman"/>
          <w:b/>
          <w:lang w:val="sr-Cyrl-CS"/>
        </w:rPr>
        <w:t xml:space="preserve">Поремећаји на глобалном тржишту </w:t>
      </w:r>
      <w:r w:rsidR="00A332FD" w:rsidRPr="00092ED7">
        <w:rPr>
          <w:rFonts w:cs="Times New Roman"/>
          <w:b/>
          <w:lang w:val="sr-Cyrl-CS"/>
        </w:rPr>
        <w:t>пољопривредних производа и инпута у пољопривредној производњи</w:t>
      </w:r>
      <w:r w:rsidR="00A332FD" w:rsidRPr="00092ED7">
        <w:rPr>
          <w:rFonts w:cs="Times New Roman"/>
          <w:lang w:val="sr-Cyrl-CS"/>
        </w:rPr>
        <w:t xml:space="preserve"> </w:t>
      </w:r>
      <w:r w:rsidRPr="00092ED7">
        <w:rPr>
          <w:rFonts w:cs="Times New Roman"/>
          <w:lang w:val="sr-Cyrl-CS"/>
        </w:rPr>
        <w:t xml:space="preserve">услед </w:t>
      </w:r>
      <w:r w:rsidR="00CF7989" w:rsidRPr="00092ED7">
        <w:rPr>
          <w:rFonts w:cs="Times New Roman"/>
          <w:lang w:val="sr-Cyrl-CS"/>
        </w:rPr>
        <w:t xml:space="preserve">конфликта </w:t>
      </w:r>
      <w:r w:rsidRPr="00092ED7">
        <w:rPr>
          <w:rFonts w:cs="Times New Roman"/>
          <w:lang w:val="sr-Cyrl-CS"/>
        </w:rPr>
        <w:t>у Украјини</w:t>
      </w:r>
      <w:r w:rsidR="00A332FD" w:rsidRPr="00092ED7">
        <w:rPr>
          <w:rFonts w:cs="Times New Roman"/>
          <w:szCs w:val="24"/>
          <w:lang w:val="sr-Cyrl-CS"/>
        </w:rPr>
        <w:t xml:space="preserve"> указују на значај сектора пољопривреде и посебно обезбеђивања прехрамбене сигурности.</w:t>
      </w:r>
      <w:r w:rsidRPr="00092ED7">
        <w:rPr>
          <w:rFonts w:cs="Times New Roman"/>
          <w:lang w:val="sr-Cyrl-CS"/>
        </w:rPr>
        <w:t xml:space="preserve"> </w:t>
      </w:r>
      <w:r w:rsidR="00A332FD" w:rsidRPr="00092ED7">
        <w:rPr>
          <w:rFonts w:cs="Times New Roman"/>
          <w:lang w:val="sr-Cyrl-CS"/>
        </w:rPr>
        <w:t>Ч</w:t>
      </w:r>
      <w:r w:rsidRPr="00092ED7">
        <w:rPr>
          <w:rFonts w:cs="Times New Roman"/>
          <w:lang w:val="sr-Cyrl-CS"/>
        </w:rPr>
        <w:t>ињениц</w:t>
      </w:r>
      <w:r w:rsidR="00A332FD" w:rsidRPr="00092ED7">
        <w:rPr>
          <w:rFonts w:cs="Times New Roman"/>
          <w:lang w:val="sr-Cyrl-CS"/>
        </w:rPr>
        <w:t>е</w:t>
      </w:r>
      <w:r w:rsidRPr="00092ED7">
        <w:rPr>
          <w:rFonts w:cs="Times New Roman"/>
          <w:lang w:val="sr-Cyrl-CS"/>
        </w:rPr>
        <w:t xml:space="preserve"> да су Русија и Украјина главни произвођачи основних пољопривредних производа (пре свега пшенице, кукуруза и сунцокретовог уља) и да је Русија највећи светски извозник </w:t>
      </w:r>
      <w:r w:rsidRPr="00092ED7">
        <w:rPr>
          <w:rFonts w:cs="Times New Roman"/>
          <w:lang w:val="sr-Cyrl-CS"/>
        </w:rPr>
        <w:lastRenderedPageBreak/>
        <w:t>ђубрива, врше притисак на пораст цена основних пољопривредних инпута (ђубрива и горива)</w:t>
      </w:r>
      <w:r w:rsidR="00047167" w:rsidRPr="00092ED7">
        <w:rPr>
          <w:rFonts w:cs="Times New Roman"/>
          <w:lang w:val="sr-Cyrl-CS"/>
        </w:rPr>
        <w:t xml:space="preserve"> и пораст цена хране</w:t>
      </w:r>
      <w:r w:rsidR="00A332FD" w:rsidRPr="00092ED7">
        <w:rPr>
          <w:rFonts w:cs="Times New Roman"/>
          <w:lang w:val="sr-Cyrl-CS"/>
        </w:rPr>
        <w:t xml:space="preserve"> на глобалном нивоу</w:t>
      </w:r>
      <w:r w:rsidRPr="00092ED7">
        <w:rPr>
          <w:rFonts w:cs="Times New Roman"/>
          <w:lang w:val="sr-Cyrl-CS"/>
        </w:rPr>
        <w:t>.</w:t>
      </w:r>
    </w:p>
    <w:p w14:paraId="36ACA178" w14:textId="77777777" w:rsidR="00D210F0" w:rsidRPr="00092ED7" w:rsidRDefault="00D210F0" w:rsidP="00D210F0">
      <w:pPr>
        <w:spacing w:after="60"/>
        <w:rPr>
          <w:rFonts w:eastAsia="Calibri" w:cs="Times New Roman"/>
          <w:noProof/>
          <w:szCs w:val="24"/>
          <w:lang w:val="sr-Cyrl-CS"/>
        </w:rPr>
      </w:pPr>
      <w:r w:rsidRPr="00092ED7">
        <w:rPr>
          <w:rFonts w:eastAsia="Calibri" w:cs="Times New Roman"/>
          <w:b/>
          <w:noProof/>
          <w:szCs w:val="24"/>
          <w:lang w:val="sr-Cyrl-CS"/>
        </w:rPr>
        <w:t>Индустријска производња је одржала ниво у условима пандемије, без обзира на н</w:t>
      </w:r>
      <w:r w:rsidRPr="00092ED7">
        <w:rPr>
          <w:rFonts w:eastAsia="Calibri" w:cs="Times New Roman"/>
          <w:b/>
          <w:bCs/>
          <w:noProof/>
          <w:szCs w:val="24"/>
          <w:lang w:val="sr-Cyrl-CS"/>
        </w:rPr>
        <w:t>едостатак сировина из увоза, прекид трговинских ланаца и смањење тражње</w:t>
      </w:r>
      <w:r w:rsidRPr="00092ED7">
        <w:rPr>
          <w:rFonts w:eastAsia="Calibri" w:cs="Times New Roman"/>
          <w:b/>
          <w:noProof/>
          <w:szCs w:val="24"/>
          <w:lang w:val="sr-Cyrl-CS"/>
        </w:rPr>
        <w:t xml:space="preserve"> </w:t>
      </w:r>
      <w:r w:rsidRPr="00092ED7">
        <w:rPr>
          <w:rFonts w:eastAsia="Calibri" w:cs="Times New Roman"/>
          <w:noProof/>
          <w:szCs w:val="24"/>
          <w:lang w:val="sr-Cyrl-CS"/>
        </w:rPr>
        <w:t>(мг раст индустрије 6,3%, прерађивачке индустрије 5,5% у 2021. години)</w:t>
      </w:r>
      <w:r w:rsidRPr="00092ED7">
        <w:rPr>
          <w:rStyle w:val="FootnoteReference"/>
          <w:rFonts w:eastAsia="Calibri" w:cs="Times New Roman"/>
          <w:noProof/>
          <w:szCs w:val="24"/>
          <w:lang w:val="sr-Cyrl-CS"/>
        </w:rPr>
        <w:footnoteReference w:id="180"/>
      </w:r>
      <w:r w:rsidRPr="00092ED7">
        <w:rPr>
          <w:rFonts w:eastAsia="Calibri" w:cs="Times New Roman"/>
          <w:noProof/>
          <w:szCs w:val="24"/>
          <w:lang w:val="sr-Cyrl-CS"/>
        </w:rPr>
        <w:t>. Учешће индустрије у стварању укупног БДВ износило је 21,7% у 2021.</w:t>
      </w:r>
      <w:r w:rsidRPr="00092ED7">
        <w:rPr>
          <w:rStyle w:val="FootnoteReference"/>
          <w:rFonts w:eastAsia="Calibri" w:cs="Times New Roman"/>
          <w:noProof/>
          <w:szCs w:val="24"/>
          <w:lang w:val="sr-Cyrl-CS"/>
        </w:rPr>
        <w:footnoteReference w:id="181"/>
      </w:r>
      <w:r w:rsidRPr="00092ED7">
        <w:rPr>
          <w:rFonts w:eastAsia="Calibri" w:cs="Times New Roman"/>
          <w:noProof/>
          <w:szCs w:val="24"/>
          <w:lang w:val="sr-Cyrl-CS"/>
        </w:rPr>
        <w:t xml:space="preserve"> године. Опоравку индустрије допринеле су и СДИ у прерађивачку индустрију (38,3% укупних СДИ у 2021. години)</w:t>
      </w:r>
      <w:r w:rsidRPr="00092ED7">
        <w:rPr>
          <w:rStyle w:val="FootnoteReference"/>
          <w:rFonts w:eastAsia="Calibri" w:cs="Times New Roman"/>
          <w:noProof/>
          <w:szCs w:val="24"/>
          <w:lang w:val="sr-Cyrl-CS"/>
        </w:rPr>
        <w:footnoteReference w:id="182"/>
      </w:r>
      <w:r w:rsidRPr="00092ED7">
        <w:rPr>
          <w:rFonts w:eastAsia="Calibri" w:cs="Times New Roman"/>
          <w:noProof/>
          <w:szCs w:val="24"/>
          <w:lang w:val="sr-Cyrl-CS"/>
        </w:rPr>
        <w:t>.</w:t>
      </w:r>
      <w:r w:rsidRPr="00092ED7">
        <w:rPr>
          <w:rFonts w:eastAsia="Calibri" w:cs="Times New Roman"/>
          <w:lang w:val="sr-Cyrl-CS"/>
        </w:rPr>
        <w:t xml:space="preserve"> </w:t>
      </w:r>
      <w:r w:rsidRPr="00092ED7">
        <w:rPr>
          <w:rFonts w:eastAsia="Calibri" w:cs="Times New Roman"/>
          <w:noProof/>
          <w:szCs w:val="24"/>
          <w:lang w:val="sr-Cyrl-CS"/>
        </w:rPr>
        <w:t>Упркос ризику да криза произведе озбиљне поремећаје на тржишту рада, запосленост у прерађивачкој индустрији је очувана и повећана за 3,7% у 2021. години</w:t>
      </w:r>
      <w:r w:rsidRPr="00092ED7">
        <w:rPr>
          <w:rStyle w:val="FootnoteReference"/>
          <w:rFonts w:eastAsia="Calibri" w:cs="Times New Roman"/>
          <w:noProof/>
          <w:szCs w:val="24"/>
          <w:lang w:val="sr-Cyrl-CS"/>
        </w:rPr>
        <w:footnoteReference w:id="183"/>
      </w:r>
      <w:r w:rsidRPr="00092ED7">
        <w:rPr>
          <w:rFonts w:eastAsia="Calibri" w:cs="Times New Roman"/>
          <w:noProof/>
          <w:szCs w:val="24"/>
          <w:lang w:val="sr-Cyrl-CS"/>
        </w:rPr>
        <w:t>, а такав тренд је настављен и у 2022. години када је у другом кварталу забележен раст од 0,7% (3.523 лица) у односу на просек из 2021. године</w:t>
      </w:r>
      <w:r w:rsidRPr="00092ED7">
        <w:rPr>
          <w:rStyle w:val="FootnoteReference"/>
          <w:rFonts w:eastAsia="Calibri" w:cs="Times New Roman"/>
          <w:noProof/>
          <w:szCs w:val="24"/>
          <w:lang w:val="sr-Cyrl-CS"/>
        </w:rPr>
        <w:footnoteReference w:id="184"/>
      </w:r>
      <w:r w:rsidRPr="00092ED7">
        <w:rPr>
          <w:rFonts w:eastAsia="Calibri" w:cs="Times New Roman"/>
          <w:noProof/>
          <w:szCs w:val="24"/>
          <w:lang w:val="sr-Cyrl-CS"/>
        </w:rPr>
        <w:t>. Извоз прерађивачке индустрије је повећан за 26,1% мг у периоду јануар-јун 2022</w:t>
      </w:r>
      <w:r w:rsidRPr="00092ED7">
        <w:rPr>
          <w:rStyle w:val="FootnoteReference"/>
          <w:rFonts w:eastAsia="Calibri" w:cs="Times New Roman"/>
          <w:noProof/>
          <w:szCs w:val="24"/>
          <w:lang w:val="sr-Cyrl-CS"/>
        </w:rPr>
        <w:footnoteReference w:id="185"/>
      </w:r>
      <w:r w:rsidRPr="00092ED7">
        <w:rPr>
          <w:rFonts w:eastAsia="Calibri" w:cs="Times New Roman"/>
          <w:noProof/>
          <w:szCs w:val="24"/>
          <w:lang w:val="sr-Cyrl-CS"/>
        </w:rPr>
        <w:t xml:space="preserve">. </w:t>
      </w:r>
    </w:p>
    <w:p w14:paraId="17BB4C37" w14:textId="116EF94E" w:rsidR="00D210F0" w:rsidRPr="00092ED7" w:rsidRDefault="00D210F0" w:rsidP="00D210F0">
      <w:pPr>
        <w:widowControl w:val="0"/>
        <w:suppressAutoHyphens/>
        <w:autoSpaceDN w:val="0"/>
        <w:spacing w:after="60"/>
        <w:textAlignment w:val="baseline"/>
        <w:rPr>
          <w:rFonts w:eastAsia="SimSun" w:cs="Mangal"/>
          <w:kern w:val="3"/>
          <w:szCs w:val="24"/>
          <w:lang w:val="sr-Cyrl-CS" w:eastAsia="zh-CN" w:bidi="hi-IN"/>
        </w:rPr>
      </w:pPr>
      <w:r w:rsidRPr="00092ED7">
        <w:rPr>
          <w:rFonts w:eastAsia="SimSun" w:cs="Mangal"/>
          <w:b/>
          <w:kern w:val="3"/>
          <w:szCs w:val="24"/>
          <w:lang w:val="sr-Cyrl-CS" w:eastAsia="zh-CN" w:bidi="hi-IN"/>
        </w:rPr>
        <w:t xml:space="preserve">Приступ финансирању </w:t>
      </w:r>
      <w:r w:rsidR="005A4017" w:rsidRPr="00092ED7">
        <w:rPr>
          <w:rFonts w:eastAsia="SimSun" w:cs="Mangal"/>
          <w:b/>
          <w:kern w:val="3"/>
          <w:szCs w:val="24"/>
          <w:lang w:val="sr-Cyrl-CS" w:eastAsia="zh-CN" w:bidi="hi-IN"/>
        </w:rPr>
        <w:t xml:space="preserve">малих, средњих предузећа и предузетника (у даљем тексту: </w:t>
      </w:r>
      <w:r w:rsidRPr="00092ED7">
        <w:rPr>
          <w:rFonts w:eastAsia="SimSun" w:cs="Mangal"/>
          <w:b/>
          <w:kern w:val="3"/>
          <w:szCs w:val="24"/>
          <w:lang w:val="sr-Cyrl-CS" w:eastAsia="zh-CN" w:bidi="hi-IN"/>
        </w:rPr>
        <w:t>МСПП</w:t>
      </w:r>
      <w:r w:rsidR="005A4017" w:rsidRPr="00092ED7">
        <w:rPr>
          <w:rFonts w:eastAsia="SimSun" w:cs="Mangal"/>
          <w:b/>
          <w:kern w:val="3"/>
          <w:szCs w:val="24"/>
          <w:lang w:val="sr-Cyrl-CS" w:eastAsia="zh-CN" w:bidi="hi-IN"/>
        </w:rPr>
        <w:t>)</w:t>
      </w:r>
      <w:r w:rsidRPr="00092ED7">
        <w:rPr>
          <w:rFonts w:eastAsia="SimSun" w:cs="Mangal"/>
          <w:b/>
          <w:kern w:val="3"/>
          <w:szCs w:val="24"/>
          <w:lang w:val="sr-Cyrl-CS" w:eastAsia="zh-CN" w:bidi="hi-IN"/>
        </w:rPr>
        <w:t xml:space="preserve"> из године у годину се побољшава</w:t>
      </w:r>
      <w:r w:rsidRPr="00092ED7">
        <w:rPr>
          <w:rFonts w:eastAsia="SimSun" w:cs="Mangal"/>
          <w:kern w:val="3"/>
          <w:szCs w:val="24"/>
          <w:lang w:val="sr-Cyrl-CS" w:eastAsia="zh-CN" w:bidi="hi-IN"/>
        </w:rPr>
        <w:t xml:space="preserve">. Правни оквир у области финансирања унапређен је доношењем </w:t>
      </w:r>
      <w:r w:rsidRPr="00092ED7">
        <w:rPr>
          <w:rFonts w:eastAsia="SimSun" w:cs="Mangal"/>
          <w:i/>
          <w:kern w:val="3"/>
          <w:szCs w:val="24"/>
          <w:lang w:val="sr-Cyrl-CS" w:eastAsia="zh-CN" w:bidi="hi-IN"/>
        </w:rPr>
        <w:t>Закона о отвореним инвестиционим фондовима са јавном понудом</w:t>
      </w:r>
      <w:r w:rsidR="00467D0D" w:rsidRPr="00092ED7">
        <w:rPr>
          <w:rFonts w:eastAsia="SimSun" w:cs="Mangal"/>
          <w:kern w:val="3"/>
          <w:szCs w:val="24"/>
          <w:lang w:val="sr-Cyrl-CS" w:eastAsia="zh-CN" w:bidi="hi-IN"/>
        </w:rPr>
        <w:t xml:space="preserve"> („Сл</w:t>
      </w:r>
      <w:r w:rsidR="00013417" w:rsidRPr="00092ED7">
        <w:rPr>
          <w:rFonts w:eastAsia="SimSun" w:cs="Mangal"/>
          <w:kern w:val="3"/>
          <w:szCs w:val="24"/>
          <w:lang w:val="sr-Cyrl-CS" w:eastAsia="zh-CN" w:bidi="hi-IN"/>
        </w:rPr>
        <w:t>ужбени</w:t>
      </w:r>
      <w:r w:rsidRPr="00092ED7">
        <w:rPr>
          <w:rFonts w:eastAsia="SimSun" w:cs="Mangal"/>
          <w:kern w:val="3"/>
          <w:szCs w:val="24"/>
          <w:lang w:val="sr-Cyrl-CS" w:eastAsia="zh-CN" w:bidi="hi-IN"/>
        </w:rPr>
        <w:t xml:space="preserve"> гласник РС</w:t>
      </w:r>
      <w:r w:rsidR="00013417" w:rsidRPr="00092ED7">
        <w:rPr>
          <w:rFonts w:cs="Times New Roman"/>
          <w:szCs w:val="24"/>
          <w:lang w:val="sr-Cyrl-CS"/>
        </w:rPr>
        <w:t>”</w:t>
      </w:r>
      <w:r w:rsidRPr="00092ED7">
        <w:rPr>
          <w:rFonts w:eastAsia="SimSun" w:cs="Mangal"/>
          <w:kern w:val="3"/>
          <w:szCs w:val="24"/>
          <w:lang w:val="sr-Cyrl-CS" w:eastAsia="zh-CN" w:bidi="hi-IN"/>
        </w:rPr>
        <w:t>, бр</w:t>
      </w:r>
      <w:r w:rsidR="00013417" w:rsidRPr="00092ED7">
        <w:rPr>
          <w:rFonts w:eastAsia="SimSun" w:cs="Mangal"/>
          <w:kern w:val="3"/>
          <w:szCs w:val="24"/>
          <w:lang w:val="sr-Cyrl-CS" w:eastAsia="zh-CN" w:bidi="hi-IN"/>
        </w:rPr>
        <w:t>ој</w:t>
      </w:r>
      <w:r w:rsidRPr="00092ED7">
        <w:rPr>
          <w:rFonts w:eastAsia="SimSun" w:cs="Mangal"/>
          <w:kern w:val="3"/>
          <w:szCs w:val="24"/>
          <w:lang w:val="sr-Cyrl-CS" w:eastAsia="zh-CN" w:bidi="hi-IN"/>
        </w:rPr>
        <w:t xml:space="preserve"> 73/19) и </w:t>
      </w:r>
      <w:r w:rsidRPr="00092ED7">
        <w:rPr>
          <w:rFonts w:eastAsia="SimSun" w:cs="Mangal"/>
          <w:i/>
          <w:kern w:val="3"/>
          <w:szCs w:val="24"/>
          <w:lang w:val="sr-Cyrl-CS" w:eastAsia="zh-CN" w:bidi="hi-IN"/>
        </w:rPr>
        <w:t>Закона о алтернативним инвестиционим фондовима</w:t>
      </w:r>
      <w:r w:rsidRPr="00092ED7">
        <w:rPr>
          <w:rFonts w:eastAsia="SimSun" w:cs="Mangal"/>
          <w:kern w:val="3"/>
          <w:szCs w:val="24"/>
          <w:lang w:val="sr-Cyrl-CS" w:eastAsia="zh-CN" w:bidi="hi-IN"/>
        </w:rPr>
        <w:t xml:space="preserve"> („Сл</w:t>
      </w:r>
      <w:r w:rsidR="00013417" w:rsidRPr="00092ED7">
        <w:rPr>
          <w:rFonts w:eastAsia="SimSun" w:cs="Mangal"/>
          <w:kern w:val="3"/>
          <w:szCs w:val="24"/>
          <w:lang w:val="sr-Cyrl-CS" w:eastAsia="zh-CN" w:bidi="hi-IN"/>
        </w:rPr>
        <w:t>ужбени</w:t>
      </w:r>
      <w:r w:rsidRPr="00092ED7">
        <w:rPr>
          <w:rFonts w:eastAsia="SimSun" w:cs="Mangal"/>
          <w:kern w:val="3"/>
          <w:szCs w:val="24"/>
          <w:lang w:val="sr-Cyrl-CS" w:eastAsia="zh-CN" w:bidi="hi-IN"/>
        </w:rPr>
        <w:t xml:space="preserve"> гласник РС</w:t>
      </w:r>
      <w:r w:rsidR="00013417" w:rsidRPr="00092ED7">
        <w:rPr>
          <w:rFonts w:cs="Times New Roman"/>
          <w:szCs w:val="24"/>
          <w:lang w:val="sr-Cyrl-CS"/>
        </w:rPr>
        <w:t>”</w:t>
      </w:r>
      <w:r w:rsidRPr="00092ED7">
        <w:rPr>
          <w:rFonts w:eastAsia="SimSun" w:cs="Mangal"/>
          <w:kern w:val="3"/>
          <w:szCs w:val="24"/>
          <w:lang w:val="sr-Cyrl-CS" w:eastAsia="zh-CN" w:bidi="hi-IN"/>
        </w:rPr>
        <w:t>, бр</w:t>
      </w:r>
      <w:r w:rsidR="00013417" w:rsidRPr="00092ED7">
        <w:rPr>
          <w:rFonts w:eastAsia="SimSun" w:cs="Mangal"/>
          <w:kern w:val="3"/>
          <w:szCs w:val="24"/>
          <w:lang w:val="sr-Cyrl-CS" w:eastAsia="zh-CN" w:bidi="hi-IN"/>
        </w:rPr>
        <w:t>ој</w:t>
      </w:r>
      <w:r w:rsidRPr="00092ED7">
        <w:rPr>
          <w:rFonts w:eastAsia="SimSun" w:cs="Mangal"/>
          <w:kern w:val="3"/>
          <w:szCs w:val="24"/>
          <w:lang w:val="sr-Cyrl-CS" w:eastAsia="zh-CN" w:bidi="hi-IN"/>
        </w:rPr>
        <w:t xml:space="preserve"> 73/19), којима се омогућавају алтернативни извори финансирања</w:t>
      </w:r>
      <w:r w:rsidRPr="00092ED7">
        <w:rPr>
          <w:rFonts w:eastAsia="SimSun" w:cs="Mangal"/>
          <w:kern w:val="3"/>
          <w:szCs w:val="24"/>
          <w:vertAlign w:val="superscript"/>
          <w:lang w:val="sr-Cyrl-CS" w:eastAsia="zh-CN" w:bidi="hi-IN"/>
        </w:rPr>
        <w:footnoteReference w:id="186"/>
      </w:r>
      <w:r w:rsidRPr="00092ED7">
        <w:rPr>
          <w:rFonts w:eastAsia="SimSun" w:cs="Mangal"/>
          <w:kern w:val="3"/>
          <w:szCs w:val="24"/>
          <w:lang w:val="sr-Cyrl-CS" w:eastAsia="zh-CN" w:bidi="hi-IN"/>
        </w:rPr>
        <w:t xml:space="preserve">. Успостављено </w:t>
      </w:r>
      <w:r w:rsidRPr="00092ED7">
        <w:rPr>
          <w:rFonts w:eastAsia="SimSun" w:cs="Mangal"/>
          <w:color w:val="000000"/>
          <w:kern w:val="3"/>
          <w:szCs w:val="24"/>
          <w:lang w:val="sr-Cyrl-CS" w:eastAsia="zh-CN" w:bidi="hi-IN"/>
        </w:rPr>
        <w:t xml:space="preserve">је системско праћење кредитирања МСПП на месечном нивоу од 2017. године, које показује константно побољшање услова финансирања МСПП (ниже каматне стопе, дужа рочност кредита, већи обим кредита). Побољшани услови финансирања довели су до веће конкурентности сектора МСПП, чија је продуктивност (однос БДВ по запосленом) већа за 31% у 2020. у односу на 2015. годину. </w:t>
      </w:r>
      <w:r w:rsidRPr="00092ED7">
        <w:rPr>
          <w:rFonts w:eastAsia="Times New Roman" w:cs="Times New Roman"/>
          <w:szCs w:val="24"/>
          <w:lang w:val="sr-Cyrl-CS"/>
        </w:rPr>
        <w:t xml:space="preserve">Увођењем мера подршке привреди у борби против кризе </w:t>
      </w:r>
      <w:r w:rsidR="00B94430" w:rsidRPr="00092ED7">
        <w:rPr>
          <w:rFonts w:eastAsia="Times New Roman" w:cs="Times New Roman"/>
          <w:szCs w:val="24"/>
          <w:lang w:val="sr-Cyrl-CS"/>
        </w:rPr>
        <w:t xml:space="preserve">изазване </w:t>
      </w:r>
      <w:r w:rsidR="008561A5" w:rsidRPr="00092ED7">
        <w:rPr>
          <w:rFonts w:eastAsia="Times New Roman" w:cs="Times New Roman"/>
          <w:szCs w:val="24"/>
          <w:lang w:val="sr-Cyrl-CS"/>
        </w:rPr>
        <w:t xml:space="preserve">пандемијом </w:t>
      </w:r>
      <w:r w:rsidR="00B94430" w:rsidRPr="00092ED7">
        <w:rPr>
          <w:rFonts w:eastAsia="Times New Roman" w:cs="Times New Roman"/>
          <w:bCs/>
          <w:iCs/>
          <w:szCs w:val="24"/>
          <w:lang w:val="sr-Cyrl-CS"/>
        </w:rPr>
        <w:t>COVID</w:t>
      </w:r>
      <w:r w:rsidR="00B94430" w:rsidRPr="00092ED7">
        <w:rPr>
          <w:rFonts w:eastAsia="Times New Roman" w:cs="Times New Roman"/>
          <w:szCs w:val="24"/>
          <w:lang w:val="sr-Cyrl-CS"/>
        </w:rPr>
        <w:t>-19</w:t>
      </w:r>
      <w:r w:rsidRPr="00092ED7">
        <w:rPr>
          <w:rFonts w:eastAsia="Times New Roman" w:cs="Times New Roman"/>
          <w:szCs w:val="24"/>
          <w:lang w:val="sr-Cyrl-CS"/>
        </w:rPr>
        <w:t xml:space="preserve"> олакшано је пословање, омогућено задржавање запослених радника и опстанак МСПП. Ради подршке привредних субјеката, нарочито МСПП, континуирано се спроводе програми финансијске подршке, а када је у питању повећање нивоа коришћења стандарда у производњи и организацији пословања, сертификацији производа и система менаџмента донета је </w:t>
      </w:r>
      <w:r w:rsidRPr="00092ED7">
        <w:rPr>
          <w:rFonts w:eastAsia="Times New Roman" w:cs="Times New Roman"/>
          <w:i/>
          <w:szCs w:val="24"/>
          <w:lang w:val="sr-Cyrl-CS"/>
        </w:rPr>
        <w:t>Уредба о утврђивању Програма финансијске подршке - Коришћењем стандарда до конкурентнијих производа</w:t>
      </w:r>
      <w:r w:rsidRPr="00092ED7">
        <w:rPr>
          <w:rFonts w:eastAsia="Times New Roman" w:cs="Times New Roman"/>
          <w:szCs w:val="24"/>
          <w:lang w:val="sr-Cyrl-CS"/>
        </w:rPr>
        <w:t xml:space="preserve"> </w:t>
      </w:r>
      <w:r w:rsidRPr="00092ED7">
        <w:rPr>
          <w:rFonts w:eastAsia="SimSun" w:cs="Mangal"/>
          <w:color w:val="000000"/>
          <w:kern w:val="3"/>
          <w:szCs w:val="24"/>
          <w:lang w:val="sr-Cyrl-CS" w:eastAsia="zh-CN" w:bidi="hi-IN"/>
        </w:rPr>
        <w:t>(„Сл</w:t>
      </w:r>
      <w:r w:rsidR="00B20035" w:rsidRPr="00092ED7">
        <w:rPr>
          <w:rFonts w:eastAsia="SimSun" w:cs="Mangal"/>
          <w:color w:val="000000"/>
          <w:kern w:val="3"/>
          <w:szCs w:val="24"/>
          <w:lang w:val="sr-Cyrl-CS" w:eastAsia="zh-CN" w:bidi="hi-IN"/>
        </w:rPr>
        <w:t>ужбени</w:t>
      </w:r>
      <w:r w:rsidRPr="00092ED7">
        <w:rPr>
          <w:rFonts w:eastAsia="SimSun" w:cs="Mangal"/>
          <w:color w:val="000000"/>
          <w:kern w:val="3"/>
          <w:szCs w:val="24"/>
          <w:lang w:val="sr-Cyrl-CS" w:eastAsia="zh-CN" w:bidi="hi-IN"/>
        </w:rPr>
        <w:t xml:space="preserve"> гласник РС</w:t>
      </w:r>
      <w:r w:rsidR="00B20035" w:rsidRPr="00092ED7">
        <w:rPr>
          <w:rFonts w:cs="Times New Roman"/>
          <w:szCs w:val="24"/>
          <w:lang w:val="sr-Cyrl-CS"/>
        </w:rPr>
        <w:t>”</w:t>
      </w:r>
      <w:r w:rsidRPr="00092ED7">
        <w:rPr>
          <w:rFonts w:eastAsia="SimSun" w:cs="Mangal"/>
          <w:color w:val="000000"/>
          <w:kern w:val="3"/>
          <w:szCs w:val="24"/>
          <w:lang w:val="sr-Cyrl-CS" w:eastAsia="zh-CN" w:bidi="hi-IN"/>
        </w:rPr>
        <w:t>, бр</w:t>
      </w:r>
      <w:r w:rsidR="00B20035" w:rsidRPr="00092ED7">
        <w:rPr>
          <w:rFonts w:eastAsia="SimSun" w:cs="Mangal"/>
          <w:color w:val="000000"/>
          <w:kern w:val="3"/>
          <w:szCs w:val="24"/>
          <w:lang w:val="sr-Cyrl-CS" w:eastAsia="zh-CN" w:bidi="hi-IN"/>
        </w:rPr>
        <w:t>ој</w:t>
      </w:r>
      <w:r w:rsidRPr="00092ED7">
        <w:rPr>
          <w:rFonts w:eastAsia="SimSun" w:cs="Mangal"/>
          <w:color w:val="000000"/>
          <w:kern w:val="3"/>
          <w:szCs w:val="24"/>
          <w:lang w:val="sr-Cyrl-CS" w:eastAsia="zh-CN" w:bidi="hi-IN"/>
        </w:rPr>
        <w:t xml:space="preserve"> </w:t>
      </w:r>
      <w:r w:rsidRPr="00092ED7">
        <w:rPr>
          <w:rFonts w:eastAsia="Times New Roman" w:cs="Times New Roman"/>
          <w:szCs w:val="24"/>
          <w:lang w:val="sr-Cyrl-CS"/>
        </w:rPr>
        <w:t xml:space="preserve">12/22). </w:t>
      </w:r>
      <w:r w:rsidRPr="00092ED7">
        <w:rPr>
          <w:rFonts w:eastAsia="SimSun" w:cs="Mangal"/>
          <w:color w:val="000000"/>
          <w:kern w:val="3"/>
          <w:szCs w:val="24"/>
          <w:lang w:val="sr-Cyrl-CS" w:eastAsia="zh-CN" w:bidi="hi-IN"/>
        </w:rPr>
        <w:t xml:space="preserve">Применом нове </w:t>
      </w:r>
      <w:r w:rsidRPr="00092ED7">
        <w:rPr>
          <w:rFonts w:eastAsia="SimSun" w:cs="Mangal"/>
          <w:i/>
          <w:color w:val="000000"/>
          <w:kern w:val="3"/>
          <w:szCs w:val="24"/>
          <w:lang w:val="sr-Cyrl-CS" w:eastAsia="zh-CN" w:bidi="hi-IN"/>
        </w:rPr>
        <w:t>Стратегије индустријске политике Републике Србије од 2021</w:t>
      </w:r>
      <w:r w:rsidR="006C3D11" w:rsidRPr="00092ED7">
        <w:rPr>
          <w:rFonts w:eastAsia="SimSun" w:cs="Mangal"/>
          <w:i/>
          <w:color w:val="000000"/>
          <w:kern w:val="3"/>
          <w:szCs w:val="24"/>
          <w:lang w:val="sr-Cyrl-CS" w:eastAsia="zh-CN" w:bidi="hi-IN"/>
        </w:rPr>
        <w:t xml:space="preserve"> до </w:t>
      </w:r>
      <w:r w:rsidRPr="00092ED7">
        <w:rPr>
          <w:rFonts w:eastAsia="SimSun" w:cs="Mangal"/>
          <w:i/>
          <w:color w:val="000000"/>
          <w:kern w:val="3"/>
          <w:szCs w:val="24"/>
          <w:lang w:val="sr-Cyrl-CS" w:eastAsia="zh-CN" w:bidi="hi-IN"/>
        </w:rPr>
        <w:t>2030. године</w:t>
      </w:r>
      <w:r w:rsidR="006C3D11" w:rsidRPr="00092ED7">
        <w:rPr>
          <w:rFonts w:eastAsia="SimSun" w:cs="Mangal"/>
          <w:i/>
          <w:color w:val="000000"/>
          <w:kern w:val="3"/>
          <w:szCs w:val="24"/>
          <w:lang w:val="sr-Cyrl-CS" w:eastAsia="zh-CN" w:bidi="hi-IN"/>
        </w:rPr>
        <w:t xml:space="preserve"> </w:t>
      </w:r>
      <w:r w:rsidR="006C3D11" w:rsidRPr="00092ED7">
        <w:rPr>
          <w:rFonts w:eastAsia="SimSun" w:cs="Mangal"/>
          <w:color w:val="000000"/>
          <w:kern w:val="3"/>
          <w:szCs w:val="24"/>
          <w:lang w:val="sr-Cyrl-CS" w:eastAsia="zh-CN" w:bidi="hi-IN"/>
        </w:rPr>
        <w:t xml:space="preserve">(„Службени гласник РС”, број 35/20) </w:t>
      </w:r>
      <w:r w:rsidRPr="00092ED7">
        <w:rPr>
          <w:rFonts w:eastAsia="SimSun" w:cs="Mangal"/>
          <w:color w:val="000000"/>
          <w:kern w:val="3"/>
          <w:szCs w:val="24"/>
          <w:lang w:val="sr-Cyrl-CS" w:eastAsia="zh-CN" w:bidi="hi-IN"/>
        </w:rPr>
        <w:t xml:space="preserve">и </w:t>
      </w:r>
      <w:r w:rsidRPr="00092ED7">
        <w:rPr>
          <w:rFonts w:eastAsia="SimSun" w:cs="Mangal"/>
          <w:i/>
          <w:color w:val="000000"/>
          <w:kern w:val="3"/>
          <w:szCs w:val="24"/>
          <w:lang w:val="sr-Cyrl-CS" w:eastAsia="zh-CN" w:bidi="hi-IN"/>
        </w:rPr>
        <w:t>Акционог плана</w:t>
      </w:r>
      <w:r w:rsidRPr="00092ED7">
        <w:rPr>
          <w:rFonts w:eastAsia="SimSun" w:cs="Mangal"/>
          <w:color w:val="000000"/>
          <w:kern w:val="3"/>
          <w:szCs w:val="24"/>
          <w:lang w:val="sr-Cyrl-CS" w:eastAsia="zh-CN" w:bidi="hi-IN"/>
        </w:rPr>
        <w:t xml:space="preserve"> </w:t>
      </w:r>
      <w:r w:rsidRPr="00092ED7">
        <w:rPr>
          <w:rFonts w:eastAsia="SimSun" w:cs="Mangal"/>
          <w:i/>
          <w:color w:val="000000"/>
          <w:kern w:val="3"/>
          <w:szCs w:val="24"/>
          <w:lang w:val="sr-Cyrl-CS" w:eastAsia="zh-CN" w:bidi="hi-IN"/>
        </w:rPr>
        <w:t xml:space="preserve">за спровођење </w:t>
      </w:r>
      <w:r w:rsidR="006C3D11" w:rsidRPr="00092ED7">
        <w:rPr>
          <w:rFonts w:eastAsia="SimSun" w:cs="Mangal"/>
          <w:i/>
          <w:color w:val="000000"/>
          <w:kern w:val="3"/>
          <w:szCs w:val="24"/>
          <w:lang w:val="sr-Cyrl-CS" w:eastAsia="zh-CN" w:bidi="hi-IN"/>
        </w:rPr>
        <w:t xml:space="preserve">Стратегије индустријске политике Републике Србије од 2021 до 2030. године, </w:t>
      </w:r>
      <w:r w:rsidRPr="00092ED7">
        <w:rPr>
          <w:rFonts w:eastAsia="SimSun" w:cs="Mangal"/>
          <w:i/>
          <w:color w:val="000000"/>
          <w:kern w:val="3"/>
          <w:szCs w:val="24"/>
          <w:lang w:val="sr-Cyrl-CS" w:eastAsia="zh-CN" w:bidi="hi-IN"/>
        </w:rPr>
        <w:t>за период од 2021</w:t>
      </w:r>
      <w:r w:rsidR="006C3D11" w:rsidRPr="00092ED7">
        <w:rPr>
          <w:rFonts w:eastAsia="SimSun" w:cs="Mangal"/>
          <w:i/>
          <w:color w:val="000000"/>
          <w:kern w:val="3"/>
          <w:szCs w:val="24"/>
          <w:lang w:val="sr-Cyrl-CS" w:eastAsia="zh-CN" w:bidi="hi-IN"/>
        </w:rPr>
        <w:t xml:space="preserve">. до </w:t>
      </w:r>
      <w:r w:rsidRPr="00092ED7">
        <w:rPr>
          <w:rFonts w:eastAsia="SimSun" w:cs="Mangal"/>
          <w:i/>
          <w:color w:val="000000"/>
          <w:kern w:val="3"/>
          <w:szCs w:val="24"/>
          <w:lang w:val="sr-Cyrl-CS" w:eastAsia="zh-CN" w:bidi="hi-IN"/>
        </w:rPr>
        <w:t xml:space="preserve">2023. </w:t>
      </w:r>
      <w:r w:rsidR="006C3D11" w:rsidRPr="00092ED7">
        <w:rPr>
          <w:rFonts w:eastAsia="SimSun" w:cs="Mangal"/>
          <w:i/>
          <w:color w:val="000000"/>
          <w:kern w:val="3"/>
          <w:szCs w:val="24"/>
          <w:lang w:val="sr-Cyrl-CS" w:eastAsia="zh-CN" w:bidi="hi-IN"/>
        </w:rPr>
        <w:t xml:space="preserve">године </w:t>
      </w:r>
      <w:r w:rsidR="00467D0D" w:rsidRPr="00092ED7">
        <w:rPr>
          <w:rFonts w:eastAsia="SimSun" w:cs="Mangal"/>
          <w:color w:val="000000"/>
          <w:kern w:val="3"/>
          <w:szCs w:val="24"/>
          <w:lang w:val="sr-Cyrl-CS" w:eastAsia="zh-CN" w:bidi="hi-IN"/>
        </w:rPr>
        <w:t>(„Сл</w:t>
      </w:r>
      <w:r w:rsidR="00B20035" w:rsidRPr="00092ED7">
        <w:rPr>
          <w:rFonts w:eastAsia="SimSun" w:cs="Mangal"/>
          <w:color w:val="000000"/>
          <w:kern w:val="3"/>
          <w:szCs w:val="24"/>
          <w:lang w:val="sr-Cyrl-CS" w:eastAsia="zh-CN" w:bidi="hi-IN"/>
        </w:rPr>
        <w:t>ужбени</w:t>
      </w:r>
      <w:r w:rsidRPr="00092ED7">
        <w:rPr>
          <w:rFonts w:eastAsia="SimSun" w:cs="Mangal"/>
          <w:color w:val="000000"/>
          <w:kern w:val="3"/>
          <w:szCs w:val="24"/>
          <w:lang w:val="sr-Cyrl-CS" w:eastAsia="zh-CN" w:bidi="hi-IN"/>
        </w:rPr>
        <w:t xml:space="preserve"> гласник РС</w:t>
      </w:r>
      <w:r w:rsidR="00B20035" w:rsidRPr="00092ED7">
        <w:rPr>
          <w:rFonts w:cs="Times New Roman"/>
          <w:szCs w:val="24"/>
          <w:lang w:val="sr-Cyrl-CS"/>
        </w:rPr>
        <w:t>”</w:t>
      </w:r>
      <w:r w:rsidRPr="00092ED7">
        <w:rPr>
          <w:rFonts w:eastAsia="SimSun" w:cs="Mangal"/>
          <w:color w:val="000000"/>
          <w:kern w:val="3"/>
          <w:szCs w:val="24"/>
          <w:lang w:val="sr-Cyrl-CS" w:eastAsia="zh-CN" w:bidi="hi-IN"/>
        </w:rPr>
        <w:t>, бр</w:t>
      </w:r>
      <w:r w:rsidR="00B20035" w:rsidRPr="00092ED7">
        <w:rPr>
          <w:rFonts w:eastAsia="SimSun" w:cs="Mangal"/>
          <w:color w:val="000000"/>
          <w:kern w:val="3"/>
          <w:szCs w:val="24"/>
          <w:lang w:val="sr-Cyrl-CS" w:eastAsia="zh-CN" w:bidi="hi-IN"/>
        </w:rPr>
        <w:t>ој</w:t>
      </w:r>
      <w:r w:rsidRPr="00092ED7">
        <w:rPr>
          <w:rFonts w:eastAsia="SimSun" w:cs="Mangal"/>
          <w:color w:val="000000"/>
          <w:kern w:val="3"/>
          <w:szCs w:val="24"/>
          <w:lang w:val="sr-Cyrl-CS" w:eastAsia="zh-CN" w:bidi="hi-IN"/>
        </w:rPr>
        <w:t xml:space="preserve"> 37/21) даље ће се унапређивати конкурентност домаће индустрије, пре свега у сектору МСПП. Такође, применом нове </w:t>
      </w:r>
      <w:r w:rsidR="006C3D11" w:rsidRPr="00092ED7">
        <w:rPr>
          <w:rFonts w:eastAsia="SimSun" w:cs="Mangal"/>
          <w:i/>
          <w:color w:val="000000"/>
          <w:kern w:val="3"/>
          <w:szCs w:val="24"/>
          <w:lang w:val="sr-Cyrl-CS" w:eastAsia="zh-CN" w:bidi="hi-IN"/>
        </w:rPr>
        <w:t>с</w:t>
      </w:r>
      <w:r w:rsidRPr="00092ED7">
        <w:rPr>
          <w:rFonts w:eastAsia="SimSun" w:cs="Mangal"/>
          <w:i/>
          <w:color w:val="000000"/>
          <w:kern w:val="3"/>
          <w:szCs w:val="24"/>
          <w:lang w:val="sr-Cyrl-CS" w:eastAsia="zh-CN" w:bidi="hi-IN"/>
        </w:rPr>
        <w:t xml:space="preserve">тратегије за развој </w:t>
      </w:r>
      <w:r w:rsidR="00046034" w:rsidRPr="00092ED7">
        <w:rPr>
          <w:rFonts w:eastAsia="SimSun" w:cs="Mangal"/>
          <w:i/>
          <w:color w:val="000000"/>
          <w:kern w:val="3"/>
          <w:szCs w:val="24"/>
          <w:lang w:val="sr-Cyrl-CS" w:eastAsia="zh-CN" w:bidi="hi-IN"/>
        </w:rPr>
        <w:t>МСПП</w:t>
      </w:r>
      <w:r w:rsidR="00C57921" w:rsidRPr="00092ED7">
        <w:rPr>
          <w:rFonts w:eastAsia="SimSun" w:cs="Mangal"/>
          <w:i/>
          <w:color w:val="000000"/>
          <w:kern w:val="3"/>
          <w:szCs w:val="24"/>
          <w:lang w:val="sr-Cyrl-CS" w:eastAsia="zh-CN" w:bidi="hi-IN"/>
        </w:rPr>
        <w:t xml:space="preserve"> </w:t>
      </w:r>
      <w:r w:rsidR="00046034" w:rsidRPr="00092ED7">
        <w:rPr>
          <w:rFonts w:eastAsia="SimSun" w:cs="Mangal"/>
          <w:i/>
          <w:color w:val="000000"/>
          <w:kern w:val="3"/>
          <w:szCs w:val="24"/>
          <w:lang w:val="sr-Cyrl-CS" w:eastAsia="zh-CN" w:bidi="hi-IN"/>
        </w:rPr>
        <w:t xml:space="preserve">за период од </w:t>
      </w:r>
      <w:r w:rsidRPr="00092ED7">
        <w:rPr>
          <w:rFonts w:eastAsia="SimSun" w:cs="Mangal"/>
          <w:i/>
          <w:color w:val="000000"/>
          <w:kern w:val="3"/>
          <w:szCs w:val="24"/>
          <w:lang w:val="sr-Cyrl-CS" w:eastAsia="zh-CN" w:bidi="hi-IN"/>
        </w:rPr>
        <w:t>2023-</w:t>
      </w:r>
      <w:r w:rsidRPr="00092ED7">
        <w:rPr>
          <w:rFonts w:eastAsia="SimSun" w:cs="Mangal"/>
          <w:i/>
          <w:kern w:val="3"/>
          <w:szCs w:val="24"/>
          <w:lang w:val="sr-Cyrl-CS" w:eastAsia="zh-CN" w:bidi="hi-IN"/>
        </w:rPr>
        <w:t>2027</w:t>
      </w:r>
      <w:r w:rsidR="00046034" w:rsidRPr="00092ED7">
        <w:rPr>
          <w:rFonts w:eastAsia="SimSun" w:cs="Mangal"/>
          <w:i/>
          <w:kern w:val="3"/>
          <w:szCs w:val="24"/>
          <w:lang w:val="sr-Cyrl-CS" w:eastAsia="zh-CN" w:bidi="hi-IN"/>
        </w:rPr>
        <w:t>. године</w:t>
      </w:r>
      <w:r w:rsidRPr="00092ED7">
        <w:rPr>
          <w:rFonts w:eastAsia="SimSun" w:cs="Mangal"/>
          <w:i/>
          <w:kern w:val="3"/>
          <w:szCs w:val="24"/>
          <w:lang w:val="sr-Cyrl-CS" w:eastAsia="zh-CN" w:bidi="hi-IN"/>
        </w:rPr>
        <w:t xml:space="preserve"> </w:t>
      </w:r>
      <w:r w:rsidRPr="00092ED7">
        <w:rPr>
          <w:rFonts w:eastAsia="SimSun" w:cs="Mangal"/>
          <w:kern w:val="3"/>
          <w:szCs w:val="24"/>
          <w:lang w:val="sr-Cyrl-CS" w:eastAsia="zh-CN" w:bidi="hi-IN"/>
        </w:rPr>
        <w:t>(која је у изради) радиће се на побољшању приступа финансирању.</w:t>
      </w:r>
    </w:p>
    <w:p w14:paraId="0767A8BC" w14:textId="77777777" w:rsidR="00D210F0" w:rsidRPr="00092ED7" w:rsidRDefault="00D210F0" w:rsidP="00D210F0">
      <w:pPr>
        <w:widowControl w:val="0"/>
        <w:suppressAutoHyphens/>
        <w:autoSpaceDN w:val="0"/>
        <w:spacing w:after="60"/>
        <w:textAlignment w:val="baseline"/>
        <w:rPr>
          <w:rFonts w:eastAsia="SimSun" w:cs="Mangal"/>
          <w:kern w:val="3"/>
          <w:szCs w:val="24"/>
          <w:lang w:val="sr-Cyrl-CS" w:eastAsia="zh-CN" w:bidi="hi-IN"/>
        </w:rPr>
      </w:pPr>
      <w:r w:rsidRPr="00092ED7">
        <w:rPr>
          <w:rFonts w:eastAsia="SimSun" w:cs="Mangal"/>
          <w:b/>
          <w:kern w:val="3"/>
          <w:szCs w:val="24"/>
          <w:lang w:val="sr-Cyrl-CS" w:eastAsia="zh-CN" w:bidi="hi-IN"/>
        </w:rPr>
        <w:t>Услужни сектор (укључујући и грађевинарство) са доминантним учешћем у БДП у 2021. години (57,5%) био је највише погођен пандемијом током 2020. године.</w:t>
      </w:r>
      <w:r w:rsidRPr="00092ED7">
        <w:rPr>
          <w:rFonts w:eastAsia="SimSun" w:cs="Mangal"/>
          <w:kern w:val="3"/>
          <w:szCs w:val="24"/>
          <w:lang w:val="sr-Cyrl-CS" w:eastAsia="zh-CN" w:bidi="hi-IN"/>
        </w:rPr>
        <w:t xml:space="preserve"> </w:t>
      </w:r>
      <w:r w:rsidRPr="00092ED7">
        <w:rPr>
          <w:rFonts w:eastAsia="SimSun" w:cs="Times New Roman"/>
          <w:noProof/>
          <w:kern w:val="3"/>
          <w:szCs w:val="24"/>
          <w:lang w:val="sr-Cyrl-CS" w:eastAsia="zh-CN" w:bidi="hi-IN"/>
        </w:rPr>
        <w:t>Сектор</w:t>
      </w:r>
      <w:r w:rsidRPr="00092ED7">
        <w:rPr>
          <w:rFonts w:eastAsia="SimSun" w:cs="Mangal"/>
          <w:kern w:val="3"/>
          <w:szCs w:val="24"/>
          <w:lang w:val="sr-Cyrl-CS" w:eastAsia="zh-CN" w:bidi="hi-IN"/>
        </w:rPr>
        <w:t xml:space="preserve"> услуга, којег карактеришу позитивна кретања у 2021. години, бележи позитиван допринос расту БДП од 3,3 п</w:t>
      </w:r>
      <w:r w:rsidR="00520295" w:rsidRPr="00092ED7">
        <w:rPr>
          <w:rFonts w:eastAsia="SimSun" w:cs="Mangal"/>
          <w:kern w:val="3"/>
          <w:szCs w:val="24"/>
          <w:lang w:val="sr-Cyrl-CS" w:eastAsia="zh-CN" w:bidi="hi-IN"/>
        </w:rPr>
        <w:t>.</w:t>
      </w:r>
      <w:r w:rsidRPr="00092ED7">
        <w:rPr>
          <w:rFonts w:eastAsia="SimSun" w:cs="Mangal"/>
          <w:kern w:val="3"/>
          <w:szCs w:val="24"/>
          <w:lang w:val="sr-Cyrl-CS" w:eastAsia="zh-CN" w:bidi="hi-IN"/>
        </w:rPr>
        <w:t>п</w:t>
      </w:r>
      <w:r w:rsidR="00520295" w:rsidRPr="00092ED7">
        <w:rPr>
          <w:rFonts w:eastAsia="SimSun" w:cs="Mangal"/>
          <w:kern w:val="3"/>
          <w:szCs w:val="24"/>
          <w:lang w:val="sr-Cyrl-CS" w:eastAsia="zh-CN" w:bidi="hi-IN"/>
        </w:rPr>
        <w:t>.</w:t>
      </w:r>
      <w:r w:rsidRPr="00092ED7">
        <w:rPr>
          <w:rFonts w:eastAsia="SimSun" w:cs="Mangal"/>
          <w:kern w:val="3"/>
          <w:szCs w:val="24"/>
          <w:lang w:val="sr-Cyrl-CS" w:eastAsia="zh-CN" w:bidi="hi-IN"/>
        </w:rPr>
        <w:t xml:space="preserve"> у првом кварталу 2022. године, пре свега услед раста трговине, саобраћаја и услуга смештаја и исхране. Остварен је р</w:t>
      </w:r>
      <w:r w:rsidRPr="00092ED7">
        <w:rPr>
          <w:rFonts w:eastAsia="SimSun" w:cs="Times New Roman"/>
          <w:noProof/>
          <w:kern w:val="3"/>
          <w:szCs w:val="24"/>
          <w:lang w:val="sr-Cyrl-CS" w:eastAsia="zh-CN" w:bidi="hi-IN"/>
        </w:rPr>
        <w:t xml:space="preserve">екордан трговински суфицит услужног сектора од око 1,4 млрд. евра у 2021. години (раст од 29% мг). </w:t>
      </w:r>
      <w:r w:rsidRPr="00092ED7">
        <w:rPr>
          <w:rFonts w:eastAsia="SimSun" w:cs="Mangal"/>
          <w:kern w:val="3"/>
          <w:szCs w:val="24"/>
          <w:lang w:val="sr-Cyrl-CS" w:eastAsia="zh-CN" w:bidi="hi-IN"/>
        </w:rPr>
        <w:t xml:space="preserve">Раст </w:t>
      </w:r>
      <w:r w:rsidRPr="00092ED7">
        <w:rPr>
          <w:rFonts w:eastAsia="SimSun" w:cs="Mangal"/>
          <w:kern w:val="3"/>
          <w:szCs w:val="24"/>
          <w:lang w:val="sr-Cyrl-CS" w:eastAsia="zh-CN" w:bidi="hi-IN"/>
        </w:rPr>
        <w:lastRenderedPageBreak/>
        <w:t>извоза услуга током осам месеци 2022. од 38,8% мг праћен је растом готово свих услужних делатности, при чему је извоз туристичких и ИКТ услуга, обезбедио најзначајнији позитиван допринос (раст од 51,8% и 43,1% мг, респективно)</w:t>
      </w:r>
      <w:r w:rsidRPr="00092ED7">
        <w:rPr>
          <w:rStyle w:val="FootnoteReference"/>
          <w:rFonts w:eastAsia="SimSun" w:cs="Mangal"/>
          <w:kern w:val="3"/>
          <w:szCs w:val="24"/>
          <w:lang w:val="sr-Cyrl-CS" w:eastAsia="zh-CN" w:bidi="hi-IN"/>
        </w:rPr>
        <w:footnoteReference w:id="187"/>
      </w:r>
      <w:r w:rsidRPr="00092ED7">
        <w:rPr>
          <w:rFonts w:eastAsia="SimSun" w:cs="Mangal"/>
          <w:kern w:val="3"/>
          <w:szCs w:val="24"/>
          <w:lang w:val="sr-Cyrl-CS" w:eastAsia="zh-CN" w:bidi="hi-IN"/>
        </w:rPr>
        <w:t xml:space="preserve">. </w:t>
      </w:r>
    </w:p>
    <w:p w14:paraId="2EC0E41A" w14:textId="695EE59F" w:rsidR="00D210F0" w:rsidRPr="00092ED7" w:rsidRDefault="00D210F0" w:rsidP="00D210F0">
      <w:pPr>
        <w:spacing w:after="60"/>
        <w:rPr>
          <w:rFonts w:eastAsia="Calibri" w:cs="Times New Roman"/>
          <w:b/>
          <w:noProof/>
          <w:szCs w:val="24"/>
          <w:lang w:val="sr-Cyrl-CS"/>
        </w:rPr>
      </w:pPr>
      <w:r w:rsidRPr="00092ED7">
        <w:rPr>
          <w:rFonts w:eastAsia="Calibri" w:cs="Times New Roman"/>
          <w:b/>
          <w:noProof/>
          <w:szCs w:val="24"/>
          <w:lang w:val="sr-Cyrl-CS"/>
        </w:rPr>
        <w:t xml:space="preserve">Подстицаји туристичком сектору, улагања у инфраструктуру и брза вакцинација, утицали су на брз опоравак у сектору туризма након пандемије. </w:t>
      </w:r>
      <w:r w:rsidRPr="00092ED7">
        <w:rPr>
          <w:rFonts w:eastAsia="SimSun" w:cs="Times New Roman"/>
          <w:noProof/>
          <w:kern w:val="3"/>
          <w:szCs w:val="24"/>
          <w:lang w:val="sr-Cyrl-CS" w:eastAsia="zh-CN" w:bidi="hi-IN"/>
        </w:rPr>
        <w:t xml:space="preserve">Девизни прилив од туризма износио је 1,6 млрд. </w:t>
      </w:r>
      <w:r w:rsidR="00D8670D" w:rsidRPr="00092ED7">
        <w:rPr>
          <w:rFonts w:eastAsia="SimSun" w:cs="Times New Roman"/>
          <w:noProof/>
          <w:kern w:val="3"/>
          <w:szCs w:val="24"/>
          <w:lang w:val="sr-Cyrl-CS" w:eastAsia="zh-CN" w:bidi="hi-IN"/>
        </w:rPr>
        <w:t xml:space="preserve">евра </w:t>
      </w:r>
      <w:r w:rsidRPr="00092ED7">
        <w:rPr>
          <w:rFonts w:eastAsia="SimSun" w:cs="Times New Roman"/>
          <w:noProof/>
          <w:kern w:val="3"/>
          <w:szCs w:val="24"/>
          <w:lang w:val="sr-Cyrl-CS" w:eastAsia="zh-CN" w:bidi="hi-IN"/>
        </w:rPr>
        <w:t xml:space="preserve">у 2021. години, што је пораст од 47,2% у односу на 2020. годину и </w:t>
      </w:r>
      <w:r w:rsidRPr="00092ED7">
        <w:rPr>
          <w:rFonts w:eastAsia="SimSun" w:cs="Times New Roman"/>
          <w:b/>
          <w:noProof/>
          <w:kern w:val="3"/>
          <w:szCs w:val="24"/>
          <w:lang w:val="sr-Cyrl-CS" w:eastAsia="zh-CN" w:bidi="hi-IN"/>
        </w:rPr>
        <w:t>више за 11,2% од рекордне 2019. године</w:t>
      </w:r>
      <w:r w:rsidRPr="00092ED7">
        <w:rPr>
          <w:rFonts w:eastAsia="SimSun" w:cs="Times New Roman"/>
          <w:noProof/>
          <w:kern w:val="3"/>
          <w:szCs w:val="24"/>
          <w:lang w:val="sr-Cyrl-CS" w:eastAsia="zh-CN" w:bidi="hi-IN"/>
        </w:rPr>
        <w:t xml:space="preserve"> (1,4 млрд. </w:t>
      </w:r>
      <w:r w:rsidR="00D8670D" w:rsidRPr="00092ED7">
        <w:rPr>
          <w:rFonts w:eastAsia="SimSun" w:cs="Times New Roman"/>
          <w:noProof/>
          <w:kern w:val="3"/>
          <w:szCs w:val="24"/>
          <w:lang w:val="sr-Cyrl-CS" w:eastAsia="zh-CN" w:bidi="hi-IN"/>
        </w:rPr>
        <w:t>евра</w:t>
      </w:r>
      <w:r w:rsidRPr="00092ED7">
        <w:rPr>
          <w:rFonts w:eastAsia="SimSun" w:cs="Times New Roman"/>
          <w:noProof/>
          <w:kern w:val="3"/>
          <w:szCs w:val="24"/>
          <w:lang w:val="sr-Cyrl-CS" w:eastAsia="zh-CN" w:bidi="hi-IN"/>
        </w:rPr>
        <w:t>)</w:t>
      </w:r>
      <w:r w:rsidRPr="00092ED7">
        <w:rPr>
          <w:rStyle w:val="FootnoteReference"/>
          <w:rFonts w:eastAsia="SimSun" w:cs="Mangal"/>
          <w:kern w:val="3"/>
          <w:szCs w:val="24"/>
          <w:lang w:val="sr-Cyrl-CS" w:eastAsia="zh-CN" w:bidi="hi-IN"/>
        </w:rPr>
        <w:footnoteReference w:id="188"/>
      </w:r>
      <w:r w:rsidRPr="00092ED7">
        <w:rPr>
          <w:rFonts w:eastAsia="SimSun" w:cs="Times New Roman"/>
          <w:noProof/>
          <w:kern w:val="3"/>
          <w:szCs w:val="24"/>
          <w:lang w:val="sr-Cyrl-CS" w:eastAsia="zh-CN" w:bidi="hi-IN"/>
        </w:rPr>
        <w:t xml:space="preserve">. </w:t>
      </w:r>
      <w:r w:rsidRPr="00092ED7">
        <w:rPr>
          <w:rFonts w:eastAsia="SimSun" w:cs="Mangal"/>
          <w:kern w:val="3"/>
          <w:szCs w:val="24"/>
          <w:lang w:val="sr-Cyrl-CS" w:eastAsia="zh-CN" w:bidi="hi-IN"/>
        </w:rPr>
        <w:t>Туристичке дестинације</w:t>
      </w:r>
      <w:r w:rsidRPr="00092ED7">
        <w:rPr>
          <w:rFonts w:eastAsia="SimSun" w:cs="Times New Roman"/>
          <w:noProof/>
          <w:kern w:val="3"/>
          <w:szCs w:val="24"/>
          <w:lang w:val="sr-Cyrl-CS" w:eastAsia="zh-CN" w:bidi="hi-IN"/>
        </w:rPr>
        <w:t xml:space="preserve"> је посетило преко 870 хиљада страних туриста у 2021. (раст од 95,5% мг), који су остварили више од 2,4 мил. ноћења (раст од 92,1% мг).</w:t>
      </w:r>
      <w:r w:rsidRPr="00092ED7">
        <w:rPr>
          <w:rFonts w:eastAsia="Calibri" w:cs="Times New Roman"/>
          <w:noProof/>
          <w:szCs w:val="24"/>
          <w:lang w:val="sr-Cyrl-CS"/>
        </w:rPr>
        <w:t xml:space="preserve"> Подстицај развоја домаћег туризма спроводи се </w:t>
      </w:r>
      <w:r w:rsidR="008C00EF" w:rsidRPr="00092ED7">
        <w:rPr>
          <w:rFonts w:eastAsia="Calibri" w:cs="Times New Roman"/>
          <w:noProof/>
          <w:szCs w:val="24"/>
          <w:lang w:val="sr-Cyrl-CS"/>
        </w:rPr>
        <w:t xml:space="preserve">и </w:t>
      </w:r>
      <w:r w:rsidRPr="00092ED7">
        <w:rPr>
          <w:rFonts w:eastAsia="Calibri" w:cs="Times New Roman"/>
          <w:noProof/>
          <w:szCs w:val="24"/>
          <w:lang w:val="sr-Cyrl-CS"/>
        </w:rPr>
        <w:t>кроз доделу ваучера за субвенционисано коришћење услуга смештаја у угоститељским објектима на територији Републике Србије</w:t>
      </w:r>
      <w:r w:rsidR="00047167" w:rsidRPr="00092ED7">
        <w:rPr>
          <w:rFonts w:eastAsia="Calibri" w:cs="Times New Roman"/>
          <w:noProof/>
          <w:szCs w:val="24"/>
          <w:lang w:val="sr-Cyrl-CS"/>
        </w:rPr>
        <w:t>,</w:t>
      </w:r>
      <w:r w:rsidR="000D7482" w:rsidRPr="00092ED7">
        <w:rPr>
          <w:rFonts w:eastAsia="Calibri" w:cs="Times New Roman"/>
          <w:noProof/>
          <w:szCs w:val="24"/>
          <w:lang w:val="sr-Cyrl-CS"/>
        </w:rPr>
        <w:t xml:space="preserve"> </w:t>
      </w:r>
      <w:r w:rsidR="005C06F7" w:rsidRPr="00092ED7">
        <w:rPr>
          <w:rFonts w:eastAsia="Calibri" w:cs="Times New Roman"/>
          <w:noProof/>
          <w:szCs w:val="24"/>
          <w:lang w:val="sr-Cyrl-CS"/>
        </w:rPr>
        <w:t>и</w:t>
      </w:r>
      <w:r w:rsidRPr="00092ED7">
        <w:rPr>
          <w:rFonts w:eastAsia="Calibri" w:cs="Times New Roman"/>
          <w:noProof/>
          <w:szCs w:val="24"/>
          <w:lang w:val="sr-Cyrl-CS"/>
        </w:rPr>
        <w:t>здато је 150.000</w:t>
      </w:r>
      <w:r w:rsidRPr="00092ED7">
        <w:rPr>
          <w:rStyle w:val="FootnoteReference"/>
          <w:rFonts w:eastAsia="Calibri" w:cs="Times New Roman"/>
          <w:noProof/>
          <w:szCs w:val="24"/>
          <w:lang w:val="sr-Cyrl-CS"/>
        </w:rPr>
        <w:footnoteReference w:id="189"/>
      </w:r>
      <w:r w:rsidRPr="00092ED7">
        <w:rPr>
          <w:rFonts w:eastAsia="Calibri" w:cs="Times New Roman"/>
          <w:noProof/>
          <w:szCs w:val="24"/>
          <w:lang w:val="sr-Cyrl-CS"/>
        </w:rPr>
        <w:t xml:space="preserve"> ваучера вредности 5.000 динара (око 43 евра по ваучеру) током 2021. године</w:t>
      </w:r>
      <w:r w:rsidR="005C06F7" w:rsidRPr="00092ED7">
        <w:rPr>
          <w:rFonts w:eastAsia="Calibri" w:cs="Times New Roman"/>
          <w:noProof/>
          <w:szCs w:val="24"/>
          <w:lang w:val="sr-Cyrl-CS"/>
        </w:rPr>
        <w:t>. Током 2022. године издато је 100.000 ваучера у вредности од 5.000 динара (око 43 евра по ваучеру), 100.000 ваучера у вредности од 10.000 динара (око 85 евра по ваучеру)</w:t>
      </w:r>
      <w:r w:rsidRPr="00092ED7">
        <w:rPr>
          <w:rFonts w:eastAsia="Calibri" w:cs="Times New Roman"/>
          <w:noProof/>
          <w:szCs w:val="24"/>
          <w:lang w:val="sr-Cyrl-CS"/>
        </w:rPr>
        <w:t xml:space="preserve"> и </w:t>
      </w:r>
      <w:r w:rsidR="005C06F7" w:rsidRPr="00092ED7">
        <w:rPr>
          <w:rFonts w:eastAsia="Calibri" w:cs="Times New Roman"/>
          <w:noProof/>
          <w:szCs w:val="24"/>
          <w:lang w:val="sr-Cyrl-CS"/>
        </w:rPr>
        <w:t>2</w:t>
      </w:r>
      <w:r w:rsidRPr="00092ED7">
        <w:rPr>
          <w:rFonts w:eastAsia="Calibri" w:cs="Times New Roman"/>
          <w:noProof/>
          <w:szCs w:val="24"/>
          <w:lang w:val="sr-Cyrl-CS"/>
        </w:rPr>
        <w:t xml:space="preserve">00.000 ваучера </w:t>
      </w:r>
      <w:r w:rsidR="005C06F7" w:rsidRPr="00092ED7">
        <w:rPr>
          <w:rFonts w:eastAsia="Calibri" w:cs="Times New Roman"/>
          <w:noProof/>
          <w:szCs w:val="24"/>
          <w:lang w:val="sr-Cyrl-CS"/>
        </w:rPr>
        <w:t xml:space="preserve">у </w:t>
      </w:r>
      <w:r w:rsidRPr="00092ED7">
        <w:rPr>
          <w:rFonts w:eastAsia="Calibri" w:cs="Times New Roman"/>
          <w:noProof/>
          <w:szCs w:val="24"/>
          <w:lang w:val="sr-Cyrl-CS"/>
        </w:rPr>
        <w:t xml:space="preserve">вредности </w:t>
      </w:r>
      <w:r w:rsidR="005C06F7" w:rsidRPr="00092ED7">
        <w:rPr>
          <w:rFonts w:eastAsia="Calibri" w:cs="Times New Roman"/>
          <w:noProof/>
          <w:szCs w:val="24"/>
          <w:lang w:val="sr-Cyrl-CS"/>
        </w:rPr>
        <w:t xml:space="preserve">од </w:t>
      </w:r>
      <w:r w:rsidRPr="00092ED7">
        <w:rPr>
          <w:rFonts w:eastAsia="Calibri" w:cs="Times New Roman"/>
          <w:noProof/>
          <w:szCs w:val="24"/>
          <w:lang w:val="sr-Cyrl-CS"/>
        </w:rPr>
        <w:t>15.000 динара (око 1</w:t>
      </w:r>
      <w:r w:rsidR="005C06F7" w:rsidRPr="00092ED7">
        <w:rPr>
          <w:rFonts w:eastAsia="Calibri" w:cs="Times New Roman"/>
          <w:noProof/>
          <w:szCs w:val="24"/>
          <w:lang w:val="sr-Cyrl-CS"/>
        </w:rPr>
        <w:t>28</w:t>
      </w:r>
      <w:r w:rsidRPr="00092ED7">
        <w:rPr>
          <w:rFonts w:eastAsia="Calibri" w:cs="Times New Roman"/>
          <w:noProof/>
          <w:szCs w:val="24"/>
          <w:lang w:val="sr-Cyrl-CS"/>
        </w:rPr>
        <w:t xml:space="preserve"> евра по ваучеру). </w:t>
      </w:r>
      <w:r w:rsidR="006B2217" w:rsidRPr="00092ED7">
        <w:rPr>
          <w:rFonts w:eastAsia="Calibri" w:cs="Times New Roman"/>
          <w:noProof/>
          <w:szCs w:val="24"/>
          <w:lang w:val="sr-Cyrl-CS"/>
        </w:rPr>
        <w:t>За обрачунавање је узет средњи курс евра на дан 11.</w:t>
      </w:r>
      <w:r w:rsidR="00CE53B0" w:rsidRPr="00092ED7">
        <w:rPr>
          <w:rFonts w:eastAsia="Calibri" w:cs="Times New Roman"/>
          <w:noProof/>
          <w:szCs w:val="24"/>
          <w:lang w:val="sr-Cyrl-CS"/>
        </w:rPr>
        <w:t xml:space="preserve"> јануара </w:t>
      </w:r>
      <w:r w:rsidR="006B2217" w:rsidRPr="00092ED7">
        <w:rPr>
          <w:rFonts w:eastAsia="Calibri" w:cs="Times New Roman"/>
          <w:noProof/>
          <w:szCs w:val="24"/>
          <w:lang w:val="sr-Cyrl-CS"/>
        </w:rPr>
        <w:t xml:space="preserve">2023. године. </w:t>
      </w:r>
      <w:r w:rsidRPr="00092ED7">
        <w:rPr>
          <w:rFonts w:eastAsia="Calibri" w:cs="Times New Roman"/>
          <w:noProof/>
          <w:szCs w:val="24"/>
          <w:lang w:val="sr-Cyrl-CS"/>
        </w:rPr>
        <w:t>Број домаћих туриста (преко 1,7 милиона) је већи за 25,2% мг са остварених 5,7 милиона ноћења (раст од 16,1% мг) у 2021. години.</w:t>
      </w:r>
    </w:p>
    <w:p w14:paraId="38FB8EF0" w14:textId="77777777" w:rsidR="00D210F0" w:rsidRPr="00092ED7" w:rsidRDefault="00D210F0" w:rsidP="00D210F0">
      <w:pPr>
        <w:spacing w:after="60"/>
        <w:rPr>
          <w:rFonts w:eastAsia="Calibri" w:cs="Times New Roman"/>
          <w:noProof/>
          <w:szCs w:val="24"/>
          <w:lang w:val="sr-Cyrl-CS"/>
        </w:rPr>
      </w:pPr>
      <w:r w:rsidRPr="00092ED7">
        <w:rPr>
          <w:rFonts w:eastAsia="Times New Roman" w:cs="Times New Roman"/>
          <w:b/>
          <w:noProof/>
          <w:szCs w:val="24"/>
          <w:lang w:val="sr-Cyrl-CS"/>
        </w:rPr>
        <w:t>У условима ограниченог кретања током трајања ванредног стања због пандемије, е-трговинa je током 2020. године нарочито добила на значају</w:t>
      </w:r>
      <w:r w:rsidRPr="00092ED7">
        <w:rPr>
          <w:rFonts w:eastAsia="Times New Roman" w:cs="Times New Roman"/>
          <w:noProof/>
          <w:szCs w:val="24"/>
          <w:lang w:val="sr-Cyrl-CS"/>
        </w:rPr>
        <w:t>, а тај тренд се наставља и у 2021. години. Реализовано је 30,9 милиона трансакција употребом платни</w:t>
      </w:r>
      <w:r w:rsidR="00D8670D" w:rsidRPr="00092ED7">
        <w:rPr>
          <w:rFonts w:eastAsia="Times New Roman" w:cs="Times New Roman"/>
          <w:noProof/>
          <w:szCs w:val="24"/>
          <w:lang w:val="sr-Cyrl-CS"/>
        </w:rPr>
        <w:t>х</w:t>
      </w:r>
      <w:r w:rsidRPr="00092ED7">
        <w:rPr>
          <w:rFonts w:eastAsia="Times New Roman" w:cs="Times New Roman"/>
          <w:noProof/>
          <w:szCs w:val="24"/>
          <w:lang w:val="sr-Cyrl-CS"/>
        </w:rPr>
        <w:t xml:space="preserve"> картица преко интернета за куповину роба и услуга у одабраним валутама из корпе валута којима је обављена куповина роба и услуга преко интернета, што је</w:t>
      </w:r>
      <w:r w:rsidRPr="00092ED7">
        <w:rPr>
          <w:rFonts w:eastAsia="Times New Roman" w:cs="Times New Roman"/>
          <w:b/>
          <w:noProof/>
          <w:szCs w:val="24"/>
          <w:lang w:val="sr-Cyrl-CS"/>
        </w:rPr>
        <w:t xml:space="preserve"> </w:t>
      </w:r>
      <w:r w:rsidRPr="00092ED7">
        <w:rPr>
          <w:rFonts w:eastAsia="Times New Roman" w:cs="Times New Roman"/>
          <w:noProof/>
          <w:szCs w:val="24"/>
          <w:lang w:val="sr-Cyrl-CS"/>
        </w:rPr>
        <w:t>за 52,8% више него 2020. године, при чему су динарске трансакције платним картицама повећане za 59,6% мг (на 22,6 милиона трансакција у 2021. са 14,2 милиона у 2020. години)</w:t>
      </w:r>
      <w:r w:rsidRPr="00092ED7">
        <w:rPr>
          <w:rStyle w:val="FootnoteReference"/>
          <w:rFonts w:cs="Times New Roman"/>
          <w:noProof/>
          <w:szCs w:val="24"/>
          <w:lang w:val="sr-Cyrl-CS"/>
        </w:rPr>
        <w:footnoteReference w:id="190"/>
      </w:r>
      <w:r w:rsidRPr="00092ED7">
        <w:rPr>
          <w:rFonts w:eastAsia="Times New Roman" w:cs="Times New Roman"/>
          <w:noProof/>
          <w:szCs w:val="24"/>
          <w:lang w:val="sr-Cyrl-CS"/>
        </w:rPr>
        <w:t xml:space="preserve">. Истовремено, </w:t>
      </w:r>
      <w:r w:rsidRPr="00092ED7">
        <w:rPr>
          <w:rFonts w:eastAsia="Times New Roman" w:cs="Times New Roman"/>
          <w:b/>
          <w:noProof/>
          <w:szCs w:val="24"/>
          <w:lang w:val="sr-Cyrl-CS"/>
        </w:rPr>
        <w:t>смањен је број приговора потрошача на онлајн куповину</w:t>
      </w:r>
      <w:r w:rsidRPr="00092ED7">
        <w:rPr>
          <w:rFonts w:eastAsia="Times New Roman" w:cs="Times New Roman"/>
          <w:noProof/>
          <w:szCs w:val="24"/>
          <w:lang w:val="sr-Cyrl-CS"/>
        </w:rPr>
        <w:t xml:space="preserve"> (1.673 у 2021. наспрам 1.877 у 2020. години)</w:t>
      </w:r>
      <w:r w:rsidRPr="00092ED7">
        <w:rPr>
          <w:rStyle w:val="FootnoteReference"/>
          <w:rFonts w:cs="Times New Roman"/>
          <w:noProof/>
          <w:szCs w:val="24"/>
          <w:lang w:val="sr-Cyrl-CS"/>
        </w:rPr>
        <w:footnoteReference w:id="191"/>
      </w:r>
      <w:r w:rsidRPr="00092ED7">
        <w:rPr>
          <w:rFonts w:eastAsia="Times New Roman" w:cs="Times New Roman"/>
          <w:noProof/>
          <w:szCs w:val="24"/>
          <w:lang w:val="sr-Cyrl-CS"/>
        </w:rPr>
        <w:t xml:space="preserve">. </w:t>
      </w:r>
      <w:r w:rsidRPr="00092ED7">
        <w:rPr>
          <w:rFonts w:eastAsia="Calibri" w:cs="Times New Roman"/>
          <w:noProof/>
          <w:szCs w:val="24"/>
          <w:lang w:val="sr-Cyrl-CS"/>
        </w:rPr>
        <w:t xml:space="preserve">Позитивне тенденције е-трговине настављене су и током првог тромесечја 2022. године (9,6 милиона трансакција куповине роба и услуга на интернету извршених платним картицама, што је раст од 31,3% мг). </w:t>
      </w:r>
      <w:r w:rsidRPr="00092ED7">
        <w:rPr>
          <w:rFonts w:eastAsia="Calibri" w:cs="Times New Roman"/>
          <w:b/>
          <w:noProof/>
          <w:szCs w:val="24"/>
          <w:lang w:val="sr-Cyrl-CS"/>
        </w:rPr>
        <w:t>Повећао се и укупан број виртуелних продајних места</w:t>
      </w:r>
      <w:r w:rsidRPr="00092ED7">
        <w:rPr>
          <w:rFonts w:eastAsia="Calibri" w:cs="Times New Roman"/>
          <w:noProof/>
          <w:szCs w:val="24"/>
          <w:lang w:val="sr-Cyrl-CS"/>
        </w:rPr>
        <w:t xml:space="preserve"> којих је било укупно 2.774 на крају 2021. (2.013 на крају 2020. године), односно 2.858 виртуелних продајних места на крају првог тромесечја 2022.</w:t>
      </w:r>
      <w:r w:rsidRPr="00092ED7">
        <w:rPr>
          <w:rFonts w:eastAsia="Calibri" w:cs="Times New Roman"/>
          <w:noProof/>
          <w:szCs w:val="24"/>
          <w:vertAlign w:val="superscript"/>
          <w:lang w:val="sr-Cyrl-CS"/>
        </w:rPr>
        <w:footnoteReference w:id="192"/>
      </w:r>
      <w:r w:rsidRPr="00092ED7">
        <w:rPr>
          <w:rFonts w:eastAsia="Calibri" w:cs="Times New Roman"/>
          <w:noProof/>
          <w:szCs w:val="24"/>
          <w:lang w:val="sr-Cyrl-CS"/>
        </w:rPr>
        <w:t xml:space="preserve"> године.</w:t>
      </w:r>
    </w:p>
    <w:p w14:paraId="25A770B2" w14:textId="77777777" w:rsidR="00D210F0" w:rsidRPr="00092ED7" w:rsidRDefault="00D210F0" w:rsidP="00D210F0">
      <w:pPr>
        <w:spacing w:before="120"/>
        <w:rPr>
          <w:rFonts w:eastAsia="Times New Roman" w:cs="Times New Roman"/>
          <w:b/>
          <w:bCs/>
          <w:szCs w:val="24"/>
          <w:lang w:val="sr-Cyrl-CS"/>
        </w:rPr>
      </w:pPr>
      <w:r w:rsidRPr="00092ED7">
        <w:rPr>
          <w:rFonts w:eastAsia="Times New Roman" w:cs="Times New Roman"/>
          <w:b/>
          <w:bCs/>
          <w:szCs w:val="24"/>
          <w:lang w:val="sr-Cyrl-CS"/>
        </w:rPr>
        <w:t>б) Реформе</w:t>
      </w:r>
    </w:p>
    <w:p w14:paraId="239B1889" w14:textId="77777777" w:rsidR="00D210F0" w:rsidRPr="00092ED7" w:rsidRDefault="00D210F0" w:rsidP="00D210F0">
      <w:pPr>
        <w:spacing w:before="120"/>
        <w:rPr>
          <w:rFonts w:cs="Times New Roman"/>
          <w:szCs w:val="24"/>
          <w:lang w:val="sr-Cyrl-CS"/>
        </w:rPr>
      </w:pPr>
      <w:r w:rsidRPr="00092ED7">
        <w:rPr>
          <w:rFonts w:cs="Times New Roman"/>
          <w:b/>
          <w:bCs/>
          <w:szCs w:val="24"/>
          <w:u w:val="single"/>
          <w:lang w:val="sr-Cyrl-CS"/>
        </w:rPr>
        <w:t>СТРУКТУРНА РЕФОРМА 20</w:t>
      </w:r>
      <w:r w:rsidRPr="00092ED7">
        <w:rPr>
          <w:rFonts w:cs="Times New Roman"/>
          <w:b/>
          <w:bCs/>
          <w:szCs w:val="24"/>
          <w:lang w:val="sr-Cyrl-CS"/>
        </w:rPr>
        <w:t xml:space="preserve">: </w:t>
      </w:r>
      <w:r w:rsidRPr="00092ED7">
        <w:rPr>
          <w:rFonts w:cs="Times New Roman"/>
          <w:smallCaps/>
          <w:szCs w:val="24"/>
          <w:lang w:val="sr-Cyrl-CS"/>
        </w:rPr>
        <w:t xml:space="preserve">УНАПРЕЂЕЊЕ КОНКУРЕНТНОСТИ </w:t>
      </w:r>
      <w:r w:rsidRPr="00092ED7">
        <w:rPr>
          <w:rFonts w:cs="Times New Roman"/>
          <w:bCs/>
          <w:smallCaps/>
          <w:szCs w:val="24"/>
          <w:lang w:val="sr-Cyrl-CS"/>
        </w:rPr>
        <w:t>ПОЉОПРИВРЕДЕ</w:t>
      </w:r>
    </w:p>
    <w:p w14:paraId="1008F845" w14:textId="77777777" w:rsidR="00D210F0" w:rsidRPr="00092ED7" w:rsidRDefault="00D210F0" w:rsidP="00071952">
      <w:pPr>
        <w:widowControl w:val="0"/>
        <w:numPr>
          <w:ilvl w:val="0"/>
          <w:numId w:val="36"/>
        </w:numPr>
        <w:spacing w:before="120"/>
        <w:rPr>
          <w:rFonts w:cs="Times New Roman"/>
          <w:b/>
          <w:bCs/>
          <w:szCs w:val="24"/>
          <w:lang w:val="sr-Cyrl-CS"/>
        </w:rPr>
      </w:pPr>
      <w:r w:rsidRPr="00092ED7">
        <w:rPr>
          <w:rFonts w:cs="Times New Roman"/>
          <w:b/>
          <w:bCs/>
          <w:szCs w:val="24"/>
          <w:lang w:val="sr-Cyrl-CS"/>
        </w:rPr>
        <w:t>Опис структурне реформе</w:t>
      </w:r>
    </w:p>
    <w:p w14:paraId="432920E5" w14:textId="5F25D1DC" w:rsidR="00D210F0" w:rsidRPr="00092ED7" w:rsidRDefault="00D210F0" w:rsidP="00D210F0">
      <w:pPr>
        <w:spacing w:after="60"/>
        <w:rPr>
          <w:rFonts w:eastAsia="Times New Roman" w:cs="Times New Roman"/>
          <w:szCs w:val="24"/>
          <w:lang w:val="sr-Cyrl-CS"/>
        </w:rPr>
      </w:pPr>
      <w:r w:rsidRPr="00092ED7">
        <w:rPr>
          <w:rFonts w:eastAsia="Times New Roman" w:cs="Times New Roman"/>
          <w:szCs w:val="24"/>
          <w:lang w:val="sr-Cyrl-CS"/>
        </w:rPr>
        <w:t xml:space="preserve">Циљ ове реформе је раст конкурентности пољопривредног и прехрамбеног сектора у Републици Србији. Реформа </w:t>
      </w:r>
      <w:r w:rsidRPr="00092ED7">
        <w:rPr>
          <w:rFonts w:eastAsia="Times New Roman" w:cs="Times New Roman"/>
          <w:spacing w:val="-3"/>
          <w:szCs w:val="24"/>
          <w:lang w:val="sr-Cyrl-CS"/>
        </w:rPr>
        <w:t xml:space="preserve">обухвата </w:t>
      </w:r>
      <w:r w:rsidRPr="00092ED7">
        <w:rPr>
          <w:rFonts w:eastAsia="Times New Roman" w:cs="Times New Roman"/>
          <w:szCs w:val="24"/>
          <w:lang w:val="sr-Cyrl-CS"/>
        </w:rPr>
        <w:t>(1) унапређење инфраструктуре у руралним подручјима; (2) успостављање</w:t>
      </w:r>
      <w:r w:rsidRPr="00092ED7">
        <w:rPr>
          <w:rFonts w:eastAsia="Times New Roman" w:cs="Times New Roman"/>
          <w:spacing w:val="-6"/>
          <w:szCs w:val="24"/>
          <w:lang w:val="sr-Cyrl-CS"/>
        </w:rPr>
        <w:t xml:space="preserve"> </w:t>
      </w:r>
      <w:r w:rsidRPr="00092ED7">
        <w:rPr>
          <w:rFonts w:eastAsia="Times New Roman" w:cs="Times New Roman"/>
          <w:szCs w:val="24"/>
          <w:lang w:val="sr-Cyrl-CS"/>
        </w:rPr>
        <w:t>регулаторног</w:t>
      </w:r>
      <w:r w:rsidRPr="00092ED7">
        <w:rPr>
          <w:rFonts w:eastAsia="Times New Roman" w:cs="Times New Roman"/>
          <w:spacing w:val="-6"/>
          <w:szCs w:val="24"/>
          <w:lang w:val="sr-Cyrl-CS"/>
        </w:rPr>
        <w:t xml:space="preserve"> </w:t>
      </w:r>
      <w:r w:rsidRPr="00092ED7">
        <w:rPr>
          <w:rFonts w:eastAsia="Times New Roman" w:cs="Times New Roman"/>
          <w:szCs w:val="24"/>
          <w:lang w:val="sr-Cyrl-CS"/>
        </w:rPr>
        <w:t>оквира</w:t>
      </w:r>
      <w:r w:rsidRPr="00092ED7">
        <w:rPr>
          <w:rFonts w:eastAsia="Times New Roman" w:cs="Times New Roman"/>
          <w:spacing w:val="-6"/>
          <w:szCs w:val="24"/>
          <w:lang w:val="sr-Cyrl-CS"/>
        </w:rPr>
        <w:t xml:space="preserve"> </w:t>
      </w:r>
      <w:r w:rsidRPr="00092ED7">
        <w:rPr>
          <w:rFonts w:eastAsia="Times New Roman" w:cs="Times New Roman"/>
          <w:szCs w:val="24"/>
          <w:lang w:val="sr-Cyrl-CS"/>
        </w:rPr>
        <w:t>за</w:t>
      </w:r>
      <w:r w:rsidRPr="00092ED7">
        <w:rPr>
          <w:rFonts w:eastAsia="Times New Roman" w:cs="Times New Roman"/>
          <w:spacing w:val="-6"/>
          <w:szCs w:val="24"/>
          <w:lang w:val="sr-Cyrl-CS"/>
        </w:rPr>
        <w:t xml:space="preserve"> </w:t>
      </w:r>
      <w:r w:rsidRPr="00092ED7">
        <w:rPr>
          <w:rFonts w:eastAsia="Times New Roman" w:cs="Times New Roman"/>
          <w:szCs w:val="24"/>
          <w:lang w:val="sr-Cyrl-CS"/>
        </w:rPr>
        <w:t>процес</w:t>
      </w:r>
      <w:r w:rsidRPr="00092ED7">
        <w:rPr>
          <w:rFonts w:eastAsia="Times New Roman" w:cs="Times New Roman"/>
          <w:spacing w:val="-6"/>
          <w:szCs w:val="24"/>
          <w:lang w:val="sr-Cyrl-CS"/>
        </w:rPr>
        <w:t xml:space="preserve"> </w:t>
      </w:r>
      <w:r w:rsidRPr="00092ED7">
        <w:rPr>
          <w:rFonts w:eastAsia="Times New Roman" w:cs="Times New Roman"/>
          <w:szCs w:val="24"/>
          <w:lang w:val="sr-Cyrl-CS"/>
        </w:rPr>
        <w:t>комасације;</w:t>
      </w:r>
      <w:r w:rsidRPr="00092ED7">
        <w:rPr>
          <w:rFonts w:eastAsia="Times New Roman" w:cs="Times New Roman"/>
          <w:spacing w:val="-6"/>
          <w:szCs w:val="24"/>
          <w:lang w:val="sr-Cyrl-CS"/>
        </w:rPr>
        <w:t xml:space="preserve"> </w:t>
      </w:r>
      <w:r w:rsidRPr="00092ED7">
        <w:rPr>
          <w:rFonts w:eastAsia="Times New Roman" w:cs="Times New Roman"/>
          <w:szCs w:val="24"/>
          <w:lang w:val="sr-Cyrl-CS"/>
        </w:rPr>
        <w:t xml:space="preserve">(3) уређење правног оквира у области тржишта пољопривредних производа, шема квалитета за пољопривредне и прехрамбене производе и органске производње, </w:t>
      </w:r>
      <w:r w:rsidRPr="00092ED7">
        <w:rPr>
          <w:rFonts w:eastAsia="Times New Roman" w:cs="Times New Roman"/>
          <w:spacing w:val="-5"/>
          <w:szCs w:val="24"/>
          <w:lang w:val="sr-Cyrl-CS"/>
        </w:rPr>
        <w:t xml:space="preserve">како </w:t>
      </w:r>
      <w:r w:rsidRPr="00092ED7">
        <w:rPr>
          <w:rFonts w:eastAsia="Times New Roman" w:cs="Times New Roman"/>
          <w:szCs w:val="24"/>
          <w:lang w:val="sr-Cyrl-CS"/>
        </w:rPr>
        <w:t xml:space="preserve">би се створили </w:t>
      </w:r>
      <w:r w:rsidRPr="00092ED7">
        <w:rPr>
          <w:rFonts w:eastAsia="Times New Roman" w:cs="Times New Roman"/>
          <w:szCs w:val="24"/>
          <w:lang w:val="sr-Cyrl-CS"/>
        </w:rPr>
        <w:lastRenderedPageBreak/>
        <w:t xml:space="preserve">услови за унапређење конкурентности у свим секторима производње; (4) унапређење капацитета ресорног министарства кроз дигитализацију и </w:t>
      </w:r>
      <w:r w:rsidRPr="00092ED7">
        <w:rPr>
          <w:rFonts w:eastAsia="Times New Roman" w:cs="Times New Roman"/>
          <w:spacing w:val="-3"/>
          <w:szCs w:val="24"/>
          <w:lang w:val="sr-Cyrl-CS"/>
        </w:rPr>
        <w:t xml:space="preserve">аутоматизацију </w:t>
      </w:r>
      <w:r w:rsidRPr="00092ED7">
        <w:rPr>
          <w:rFonts w:eastAsia="Times New Roman" w:cs="Times New Roman"/>
          <w:szCs w:val="24"/>
          <w:lang w:val="sr-Cyrl-CS"/>
        </w:rPr>
        <w:t>система финансијске подршке</w:t>
      </w:r>
      <w:r w:rsidRPr="00092ED7">
        <w:rPr>
          <w:rFonts w:eastAsia="Times New Roman" w:cs="Times New Roman"/>
          <w:spacing w:val="-30"/>
          <w:szCs w:val="24"/>
          <w:lang w:val="sr-Cyrl-CS"/>
        </w:rPr>
        <w:t xml:space="preserve"> </w:t>
      </w:r>
      <w:r w:rsidRPr="00092ED7">
        <w:rPr>
          <w:rFonts w:eastAsia="Times New Roman" w:cs="Times New Roman"/>
          <w:szCs w:val="24"/>
          <w:lang w:val="sr-Cyrl-CS"/>
        </w:rPr>
        <w:t>пољопривредницима</w:t>
      </w:r>
      <w:r w:rsidRPr="00092ED7">
        <w:rPr>
          <w:rFonts w:eastAsia="Times New Roman" w:cs="Times New Roman"/>
          <w:spacing w:val="-10"/>
          <w:szCs w:val="24"/>
          <w:lang w:val="sr-Cyrl-CS"/>
        </w:rPr>
        <w:t xml:space="preserve"> </w:t>
      </w:r>
      <w:r w:rsidRPr="00092ED7">
        <w:rPr>
          <w:rFonts w:eastAsia="Times New Roman" w:cs="Times New Roman"/>
          <w:szCs w:val="24"/>
          <w:lang w:val="sr-Cyrl-CS"/>
        </w:rPr>
        <w:t>уз</w:t>
      </w:r>
      <w:r w:rsidRPr="00092ED7">
        <w:rPr>
          <w:rFonts w:eastAsia="Times New Roman" w:cs="Times New Roman"/>
          <w:spacing w:val="-10"/>
          <w:szCs w:val="24"/>
          <w:lang w:val="sr-Cyrl-CS"/>
        </w:rPr>
        <w:t xml:space="preserve"> </w:t>
      </w:r>
      <w:r w:rsidRPr="00092ED7">
        <w:rPr>
          <w:rFonts w:eastAsia="Times New Roman" w:cs="Times New Roman"/>
          <w:szCs w:val="24"/>
          <w:lang w:val="sr-Cyrl-CS"/>
        </w:rPr>
        <w:t>олакшан</w:t>
      </w:r>
      <w:r w:rsidRPr="00092ED7">
        <w:rPr>
          <w:rFonts w:eastAsia="Times New Roman" w:cs="Times New Roman"/>
          <w:spacing w:val="-10"/>
          <w:szCs w:val="24"/>
          <w:lang w:val="sr-Cyrl-CS"/>
        </w:rPr>
        <w:t xml:space="preserve"> </w:t>
      </w:r>
      <w:r w:rsidRPr="00092ED7">
        <w:rPr>
          <w:rFonts w:eastAsia="Times New Roman" w:cs="Times New Roman"/>
          <w:szCs w:val="24"/>
          <w:lang w:val="sr-Cyrl-CS"/>
        </w:rPr>
        <w:t>приступ</w:t>
      </w:r>
      <w:r w:rsidRPr="00092ED7">
        <w:rPr>
          <w:rFonts w:eastAsia="Times New Roman" w:cs="Times New Roman"/>
          <w:spacing w:val="-10"/>
          <w:szCs w:val="24"/>
          <w:lang w:val="sr-Cyrl-CS"/>
        </w:rPr>
        <w:t xml:space="preserve"> </w:t>
      </w:r>
      <w:r w:rsidRPr="00092ED7">
        <w:rPr>
          <w:rFonts w:eastAsia="Times New Roman" w:cs="Times New Roman"/>
          <w:szCs w:val="24"/>
          <w:lang w:val="sr-Cyrl-CS"/>
        </w:rPr>
        <w:t>расположивим</w:t>
      </w:r>
      <w:r w:rsidRPr="00092ED7">
        <w:rPr>
          <w:rFonts w:eastAsia="Times New Roman" w:cs="Times New Roman"/>
          <w:spacing w:val="-10"/>
          <w:szCs w:val="24"/>
          <w:lang w:val="sr-Cyrl-CS"/>
        </w:rPr>
        <w:t xml:space="preserve"> </w:t>
      </w:r>
      <w:r w:rsidRPr="00092ED7">
        <w:rPr>
          <w:rFonts w:eastAsia="Times New Roman" w:cs="Times New Roman"/>
          <w:szCs w:val="24"/>
          <w:lang w:val="sr-Cyrl-CS"/>
        </w:rPr>
        <w:t>подстицајима.</w:t>
      </w:r>
      <w:r w:rsidRPr="00092ED7">
        <w:rPr>
          <w:rFonts w:eastAsia="Times New Roman" w:cs="Times New Roman"/>
          <w:spacing w:val="-10"/>
          <w:szCs w:val="24"/>
          <w:lang w:val="sr-Cyrl-CS"/>
        </w:rPr>
        <w:t xml:space="preserve"> </w:t>
      </w:r>
      <w:r w:rsidRPr="00092ED7">
        <w:rPr>
          <w:rFonts w:eastAsia="Times New Roman" w:cs="Times New Roman"/>
          <w:szCs w:val="24"/>
          <w:lang w:val="sr-Cyrl-CS"/>
        </w:rPr>
        <w:t>Кроз</w:t>
      </w:r>
      <w:r w:rsidRPr="00092ED7">
        <w:rPr>
          <w:rFonts w:eastAsia="Times New Roman" w:cs="Times New Roman"/>
          <w:spacing w:val="-10"/>
          <w:szCs w:val="24"/>
          <w:lang w:val="sr-Cyrl-CS"/>
        </w:rPr>
        <w:t xml:space="preserve"> </w:t>
      </w:r>
      <w:r w:rsidRPr="00092ED7">
        <w:rPr>
          <w:rFonts w:eastAsia="Times New Roman" w:cs="Times New Roman"/>
          <w:szCs w:val="24"/>
          <w:lang w:val="sr-Cyrl-CS"/>
        </w:rPr>
        <w:t>успостављање</w:t>
      </w:r>
      <w:r w:rsidRPr="00092ED7">
        <w:rPr>
          <w:rFonts w:eastAsia="Times New Roman" w:cs="Times New Roman"/>
          <w:spacing w:val="-10"/>
          <w:szCs w:val="24"/>
          <w:lang w:val="sr-Cyrl-CS"/>
        </w:rPr>
        <w:t xml:space="preserve"> </w:t>
      </w:r>
      <w:r w:rsidRPr="00092ED7">
        <w:rPr>
          <w:rFonts w:eastAsia="Times New Roman" w:cs="Times New Roman"/>
          <w:szCs w:val="24"/>
          <w:lang w:val="sr-Cyrl-CS"/>
        </w:rPr>
        <w:t>новог</w:t>
      </w:r>
      <w:r w:rsidRPr="00092ED7">
        <w:rPr>
          <w:rFonts w:eastAsia="Times New Roman" w:cs="Times New Roman"/>
          <w:spacing w:val="-10"/>
          <w:szCs w:val="24"/>
          <w:lang w:val="sr-Cyrl-CS"/>
        </w:rPr>
        <w:t xml:space="preserve"> </w:t>
      </w:r>
      <w:r w:rsidRPr="00092ED7">
        <w:rPr>
          <w:rFonts w:eastAsia="Times New Roman" w:cs="Times New Roman"/>
          <w:szCs w:val="24"/>
          <w:lang w:val="sr-Cyrl-CS"/>
        </w:rPr>
        <w:t>Регистра пољопривредних газдинастава (РГП), Система за идентификацију земљишних парцела (</w:t>
      </w:r>
      <w:r w:rsidRPr="00092ED7">
        <w:rPr>
          <w:rFonts w:eastAsia="Times New Roman" w:cs="Times New Roman"/>
          <w:i/>
          <w:szCs w:val="24"/>
          <w:lang w:val="sr-Cyrl-CS"/>
        </w:rPr>
        <w:t xml:space="preserve">Land Parcel Identification System </w:t>
      </w:r>
      <w:r w:rsidRPr="00092ED7">
        <w:rPr>
          <w:rFonts w:eastAsia="Times New Roman" w:cs="Times New Roman"/>
          <w:szCs w:val="24"/>
          <w:lang w:val="sr-Cyrl-CS"/>
        </w:rPr>
        <w:t>- LPIS) и других елемената интегрисаног система</w:t>
      </w:r>
      <w:r w:rsidRPr="00092ED7">
        <w:rPr>
          <w:rFonts w:eastAsia="Times New Roman" w:cs="Times New Roman"/>
          <w:spacing w:val="-39"/>
          <w:szCs w:val="24"/>
          <w:lang w:val="sr-Cyrl-CS"/>
        </w:rPr>
        <w:t xml:space="preserve"> </w:t>
      </w:r>
      <w:r w:rsidRPr="00092ED7">
        <w:rPr>
          <w:rFonts w:eastAsia="Times New Roman" w:cs="Times New Roman"/>
          <w:szCs w:val="24"/>
          <w:lang w:val="sr-Cyrl-CS"/>
        </w:rPr>
        <w:t>управљања и контроле (</w:t>
      </w:r>
      <w:r w:rsidRPr="00092ED7">
        <w:rPr>
          <w:rFonts w:eastAsia="Times New Roman" w:cs="Times New Roman"/>
          <w:i/>
          <w:szCs w:val="24"/>
          <w:lang w:val="sr-Cyrl-CS"/>
        </w:rPr>
        <w:t xml:space="preserve">Integrated Administrative Control System </w:t>
      </w:r>
      <w:r w:rsidR="008561A5" w:rsidRPr="00092ED7">
        <w:rPr>
          <w:rFonts w:eastAsia="Times New Roman" w:cs="Times New Roman"/>
          <w:szCs w:val="24"/>
          <w:lang w:val="sr-Cyrl-CS"/>
        </w:rPr>
        <w:t>–</w:t>
      </w:r>
      <w:r w:rsidRPr="00092ED7">
        <w:rPr>
          <w:rFonts w:eastAsia="Times New Roman" w:cs="Times New Roman"/>
          <w:szCs w:val="24"/>
          <w:lang w:val="sr-Cyrl-CS"/>
        </w:rPr>
        <w:t xml:space="preserve"> IACS</w:t>
      </w:r>
      <w:r w:rsidR="008561A5" w:rsidRPr="00092ED7">
        <w:rPr>
          <w:rFonts w:eastAsia="Times New Roman" w:cs="Times New Roman"/>
          <w:szCs w:val="24"/>
          <w:lang w:val="sr-Cyrl-CS"/>
        </w:rPr>
        <w:t xml:space="preserve"> (у даљем тексту: IACS</w:t>
      </w:r>
      <w:r w:rsidRPr="00092ED7">
        <w:rPr>
          <w:rFonts w:eastAsia="Times New Roman" w:cs="Times New Roman"/>
          <w:szCs w:val="24"/>
          <w:lang w:val="sr-Cyrl-CS"/>
        </w:rPr>
        <w:t>) успоставиће се</w:t>
      </w:r>
      <w:r w:rsidRPr="00092ED7">
        <w:rPr>
          <w:rFonts w:eastAsia="Times New Roman" w:cs="Times New Roman"/>
          <w:spacing w:val="-26"/>
          <w:szCs w:val="24"/>
          <w:lang w:val="sr-Cyrl-CS"/>
        </w:rPr>
        <w:t xml:space="preserve"> </w:t>
      </w:r>
      <w:r w:rsidRPr="00092ED7">
        <w:rPr>
          <w:rFonts w:eastAsia="Times New Roman" w:cs="Times New Roman"/>
          <w:szCs w:val="24"/>
          <w:lang w:val="sr-Cyrl-CS"/>
        </w:rPr>
        <w:t xml:space="preserve">функционални IACS и </w:t>
      </w:r>
      <w:r w:rsidRPr="00092ED7">
        <w:rPr>
          <w:rFonts w:eastAsia="Times New Roman" w:cs="Times New Roman"/>
          <w:spacing w:val="-3"/>
          <w:szCs w:val="24"/>
          <w:lang w:val="sr-Cyrl-CS"/>
        </w:rPr>
        <w:t xml:space="preserve">аутоматизација </w:t>
      </w:r>
      <w:r w:rsidRPr="00092ED7">
        <w:rPr>
          <w:rFonts w:eastAsia="Times New Roman" w:cs="Times New Roman"/>
          <w:szCs w:val="24"/>
          <w:lang w:val="sr-Cyrl-CS"/>
        </w:rPr>
        <w:t xml:space="preserve">поступка подношења захтева и исплате подстицаја до краја 2026. године чиме ће се допринети убрзању процеса подношења захтева, контроле и добијању подстицаја у пољопривреди, а све у складу са Акционим планом </w:t>
      </w:r>
      <w:r w:rsidRPr="00092ED7">
        <w:rPr>
          <w:rFonts w:eastAsia="Times New Roman" w:cs="Times New Roman"/>
          <w:spacing w:val="-3"/>
          <w:szCs w:val="24"/>
          <w:lang w:val="sr-Cyrl-CS"/>
        </w:rPr>
        <w:t xml:space="preserve">Републике </w:t>
      </w:r>
      <w:r w:rsidRPr="00092ED7">
        <w:rPr>
          <w:rFonts w:eastAsia="Times New Roman" w:cs="Times New Roman"/>
          <w:szCs w:val="24"/>
          <w:lang w:val="sr-Cyrl-CS"/>
        </w:rPr>
        <w:t xml:space="preserve">Србије за </w:t>
      </w:r>
      <w:r w:rsidRPr="00092ED7">
        <w:rPr>
          <w:rFonts w:eastAsia="Times New Roman" w:cs="Times New Roman"/>
          <w:spacing w:val="-3"/>
          <w:szCs w:val="24"/>
          <w:lang w:val="sr-Cyrl-CS"/>
        </w:rPr>
        <w:t xml:space="preserve">ПГ11 </w:t>
      </w:r>
      <w:r w:rsidRPr="00092ED7">
        <w:rPr>
          <w:rFonts w:eastAsia="Times New Roman" w:cs="Times New Roman"/>
          <w:szCs w:val="24"/>
          <w:lang w:val="sr-Cyrl-CS"/>
        </w:rPr>
        <w:t xml:space="preserve">- Пољопривреда и рурални развој. Реформа </w:t>
      </w:r>
      <w:r w:rsidRPr="00092ED7">
        <w:rPr>
          <w:rFonts w:eastAsia="Times New Roman" w:cs="Times New Roman"/>
          <w:spacing w:val="-3"/>
          <w:szCs w:val="24"/>
          <w:lang w:val="sr-Cyrl-CS"/>
        </w:rPr>
        <w:t xml:space="preserve">обухвата </w:t>
      </w:r>
      <w:r w:rsidRPr="00092ED7">
        <w:rPr>
          <w:rFonts w:eastAsia="Times New Roman" w:cs="Times New Roman"/>
          <w:szCs w:val="24"/>
          <w:lang w:val="sr-Cyrl-CS"/>
        </w:rPr>
        <w:t>и дигитализацију поступка вршења стручног надзора</w:t>
      </w:r>
      <w:r w:rsidRPr="00092ED7">
        <w:rPr>
          <w:rFonts w:eastAsia="Times New Roman" w:cs="Times New Roman"/>
          <w:spacing w:val="-14"/>
          <w:szCs w:val="24"/>
          <w:lang w:val="sr-Cyrl-CS"/>
        </w:rPr>
        <w:t xml:space="preserve"> </w:t>
      </w:r>
      <w:r w:rsidRPr="00092ED7">
        <w:rPr>
          <w:rFonts w:eastAsia="Times New Roman" w:cs="Times New Roman"/>
          <w:szCs w:val="24"/>
          <w:lang w:val="sr-Cyrl-CS"/>
        </w:rPr>
        <w:t>над</w:t>
      </w:r>
      <w:r w:rsidRPr="00092ED7">
        <w:rPr>
          <w:rFonts w:eastAsia="Times New Roman" w:cs="Times New Roman"/>
          <w:spacing w:val="34"/>
          <w:szCs w:val="24"/>
          <w:lang w:val="sr-Cyrl-CS"/>
        </w:rPr>
        <w:t xml:space="preserve"> </w:t>
      </w:r>
      <w:r w:rsidRPr="00092ED7">
        <w:rPr>
          <w:rFonts w:eastAsia="Times New Roman" w:cs="Times New Roman"/>
          <w:szCs w:val="24"/>
          <w:lang w:val="sr-Cyrl-CS"/>
        </w:rPr>
        <w:t>геодетско-техничким</w:t>
      </w:r>
      <w:r w:rsidRPr="00092ED7">
        <w:rPr>
          <w:rFonts w:eastAsia="Times New Roman" w:cs="Times New Roman"/>
          <w:spacing w:val="-14"/>
          <w:szCs w:val="24"/>
          <w:lang w:val="sr-Cyrl-CS"/>
        </w:rPr>
        <w:t xml:space="preserve"> </w:t>
      </w:r>
      <w:r w:rsidRPr="00092ED7">
        <w:rPr>
          <w:rFonts w:eastAsia="Times New Roman" w:cs="Times New Roman"/>
          <w:szCs w:val="24"/>
          <w:lang w:val="sr-Cyrl-CS"/>
        </w:rPr>
        <w:t>радовима</w:t>
      </w:r>
      <w:r w:rsidRPr="00092ED7">
        <w:rPr>
          <w:rFonts w:eastAsia="Times New Roman" w:cs="Times New Roman"/>
          <w:spacing w:val="-14"/>
          <w:szCs w:val="24"/>
          <w:lang w:val="sr-Cyrl-CS"/>
        </w:rPr>
        <w:t xml:space="preserve"> </w:t>
      </w:r>
      <w:r w:rsidRPr="00092ED7">
        <w:rPr>
          <w:rFonts w:eastAsia="Times New Roman" w:cs="Times New Roman"/>
          <w:szCs w:val="24"/>
          <w:lang w:val="sr-Cyrl-CS"/>
        </w:rPr>
        <w:t>у</w:t>
      </w:r>
      <w:r w:rsidRPr="00092ED7">
        <w:rPr>
          <w:rFonts w:eastAsia="Times New Roman" w:cs="Times New Roman"/>
          <w:spacing w:val="-14"/>
          <w:szCs w:val="24"/>
          <w:lang w:val="sr-Cyrl-CS"/>
        </w:rPr>
        <w:t xml:space="preserve"> </w:t>
      </w:r>
      <w:r w:rsidRPr="00092ED7">
        <w:rPr>
          <w:rFonts w:eastAsia="Times New Roman" w:cs="Times New Roman"/>
          <w:szCs w:val="24"/>
          <w:lang w:val="sr-Cyrl-CS"/>
        </w:rPr>
        <w:t>поступку</w:t>
      </w:r>
      <w:r w:rsidRPr="00092ED7">
        <w:rPr>
          <w:rFonts w:eastAsia="Times New Roman" w:cs="Times New Roman"/>
          <w:spacing w:val="-14"/>
          <w:szCs w:val="24"/>
          <w:lang w:val="sr-Cyrl-CS"/>
        </w:rPr>
        <w:t xml:space="preserve"> </w:t>
      </w:r>
      <w:r w:rsidRPr="00092ED7">
        <w:rPr>
          <w:rFonts w:eastAsia="Times New Roman" w:cs="Times New Roman"/>
          <w:szCs w:val="24"/>
          <w:lang w:val="sr-Cyrl-CS"/>
        </w:rPr>
        <w:t>комасације</w:t>
      </w:r>
      <w:r w:rsidRPr="00092ED7">
        <w:rPr>
          <w:rFonts w:eastAsia="Times New Roman" w:cs="Times New Roman"/>
          <w:spacing w:val="-14"/>
          <w:szCs w:val="24"/>
          <w:lang w:val="sr-Cyrl-CS"/>
        </w:rPr>
        <w:t xml:space="preserve"> </w:t>
      </w:r>
      <w:r w:rsidRPr="00092ED7">
        <w:rPr>
          <w:rFonts w:eastAsia="Times New Roman" w:cs="Times New Roman"/>
          <w:szCs w:val="24"/>
          <w:lang w:val="sr-Cyrl-CS"/>
        </w:rPr>
        <w:t>и</w:t>
      </w:r>
      <w:r w:rsidRPr="00092ED7">
        <w:rPr>
          <w:rFonts w:eastAsia="Times New Roman" w:cs="Times New Roman"/>
          <w:spacing w:val="-14"/>
          <w:szCs w:val="24"/>
          <w:lang w:val="sr-Cyrl-CS"/>
        </w:rPr>
        <w:t xml:space="preserve"> </w:t>
      </w:r>
      <w:r w:rsidRPr="00092ED7">
        <w:rPr>
          <w:rFonts w:eastAsia="Times New Roman" w:cs="Times New Roman"/>
          <w:szCs w:val="24"/>
          <w:lang w:val="sr-Cyrl-CS"/>
        </w:rPr>
        <w:t>доношење</w:t>
      </w:r>
      <w:r w:rsidRPr="00092ED7">
        <w:rPr>
          <w:rFonts w:eastAsia="Times New Roman" w:cs="Times New Roman"/>
          <w:spacing w:val="-14"/>
          <w:szCs w:val="24"/>
          <w:lang w:val="sr-Cyrl-CS"/>
        </w:rPr>
        <w:t xml:space="preserve"> </w:t>
      </w:r>
      <w:r w:rsidRPr="00092ED7">
        <w:rPr>
          <w:rFonts w:eastAsia="Times New Roman" w:cs="Times New Roman"/>
          <w:spacing w:val="-3"/>
          <w:szCs w:val="24"/>
          <w:lang w:val="sr-Cyrl-CS"/>
        </w:rPr>
        <w:t>подзаконског</w:t>
      </w:r>
      <w:r w:rsidRPr="00092ED7">
        <w:rPr>
          <w:rFonts w:eastAsia="Times New Roman" w:cs="Times New Roman"/>
          <w:spacing w:val="3"/>
          <w:szCs w:val="24"/>
          <w:lang w:val="sr-Cyrl-CS"/>
        </w:rPr>
        <w:t xml:space="preserve"> </w:t>
      </w:r>
      <w:r w:rsidRPr="00092ED7">
        <w:rPr>
          <w:rFonts w:eastAsia="Times New Roman" w:cs="Times New Roman"/>
          <w:szCs w:val="24"/>
          <w:lang w:val="sr-Cyrl-CS"/>
        </w:rPr>
        <w:t>акта.</w:t>
      </w:r>
    </w:p>
    <w:p w14:paraId="1BDFC304" w14:textId="77777777" w:rsidR="00D210F0" w:rsidRPr="00092ED7" w:rsidRDefault="00D210F0" w:rsidP="00D210F0">
      <w:pPr>
        <w:spacing w:after="60"/>
        <w:rPr>
          <w:rFonts w:eastAsia="Times New Roman" w:cs="Times New Roman"/>
          <w:szCs w:val="24"/>
          <w:lang w:val="sr-Cyrl-CS"/>
        </w:rPr>
      </w:pPr>
    </w:p>
    <w:p w14:paraId="7249316A" w14:textId="77777777" w:rsidR="00D210F0" w:rsidRPr="00092ED7" w:rsidRDefault="00D210F0" w:rsidP="00071952">
      <w:pPr>
        <w:widowControl w:val="0"/>
        <w:numPr>
          <w:ilvl w:val="0"/>
          <w:numId w:val="36"/>
        </w:numPr>
        <w:spacing w:before="120"/>
        <w:rPr>
          <w:rFonts w:cs="Times New Roman"/>
          <w:b/>
          <w:smallCaps/>
          <w:lang w:val="sr-Cyrl-CS"/>
        </w:rPr>
      </w:pPr>
      <w:r w:rsidRPr="00092ED7">
        <w:rPr>
          <w:rFonts w:cs="Times New Roman"/>
          <w:b/>
          <w:bCs/>
          <w:szCs w:val="24"/>
          <w:lang w:val="sr-Cyrl-CS"/>
        </w:rPr>
        <w:t>Планиране активности по годинама</w:t>
      </w:r>
    </w:p>
    <w:tbl>
      <w:tblPr>
        <w:tblW w:w="9084" w:type="dxa"/>
        <w:tblLayout w:type="fixed"/>
        <w:tblCellMar>
          <w:left w:w="0" w:type="dxa"/>
          <w:right w:w="0" w:type="dxa"/>
        </w:tblCellMar>
        <w:tblLook w:val="04A0" w:firstRow="1" w:lastRow="0" w:firstColumn="1" w:lastColumn="0" w:noHBand="0" w:noVBand="1"/>
      </w:tblPr>
      <w:tblGrid>
        <w:gridCol w:w="420"/>
        <w:gridCol w:w="4248"/>
        <w:gridCol w:w="368"/>
        <w:gridCol w:w="369"/>
        <w:gridCol w:w="367"/>
        <w:gridCol w:w="369"/>
        <w:gridCol w:w="367"/>
        <w:gridCol w:w="368"/>
        <w:gridCol w:w="368"/>
        <w:gridCol w:w="368"/>
        <w:gridCol w:w="368"/>
        <w:gridCol w:w="367"/>
        <w:gridCol w:w="368"/>
        <w:gridCol w:w="369"/>
      </w:tblGrid>
      <w:tr w:rsidR="00D210F0" w:rsidRPr="00092ED7" w14:paraId="2FF4053B" w14:textId="77777777" w:rsidTr="006944C5">
        <w:trPr>
          <w:trHeight w:val="317"/>
        </w:trPr>
        <w:tc>
          <w:tcPr>
            <w:tcW w:w="420" w:type="dxa"/>
            <w:vMerge w:val="restart"/>
            <w:tcBorders>
              <w:top w:val="single" w:sz="8" w:space="0" w:color="auto"/>
              <w:left w:val="single" w:sz="8" w:space="0" w:color="auto"/>
              <w:bottom w:val="single" w:sz="8" w:space="0" w:color="000000"/>
              <w:right w:val="nil"/>
            </w:tcBorders>
            <w:shd w:val="clear" w:color="auto" w:fill="BDD6EE"/>
            <w:tcMar>
              <w:top w:w="15" w:type="dxa"/>
              <w:left w:w="15" w:type="dxa"/>
              <w:bottom w:w="0" w:type="dxa"/>
              <w:right w:w="15" w:type="dxa"/>
            </w:tcMar>
            <w:vAlign w:val="center"/>
            <w:hideMark/>
          </w:tcPr>
          <w:p w14:paraId="7CF99BDA" w14:textId="77777777" w:rsidR="00D210F0" w:rsidRPr="00092ED7" w:rsidRDefault="00D210F0" w:rsidP="006944C5">
            <w:pPr>
              <w:spacing w:after="0"/>
              <w:rPr>
                <w:lang w:val="sr-Cyrl-CS"/>
              </w:rPr>
            </w:pPr>
            <w:r w:rsidRPr="00092ED7">
              <w:rPr>
                <w:rFonts w:cs="Times New Roman"/>
                <w:b/>
                <w:bCs/>
                <w:color w:val="000000"/>
                <w:sz w:val="20"/>
                <w:szCs w:val="20"/>
                <w:lang w:val="sr-Cyrl-CS"/>
              </w:rPr>
              <w:t>РБ</w:t>
            </w:r>
          </w:p>
        </w:tc>
        <w:tc>
          <w:tcPr>
            <w:tcW w:w="4248" w:type="dxa"/>
            <w:vMerge w:val="restart"/>
            <w:tcBorders>
              <w:top w:val="single" w:sz="8" w:space="0" w:color="auto"/>
              <w:left w:val="single" w:sz="8" w:space="0" w:color="auto"/>
              <w:bottom w:val="single" w:sz="8" w:space="0" w:color="000000"/>
              <w:right w:val="nil"/>
            </w:tcBorders>
            <w:shd w:val="clear" w:color="auto" w:fill="BDD6EE" w:themeFill="accent1" w:themeFillTint="66"/>
            <w:tcMar>
              <w:top w:w="15" w:type="dxa"/>
              <w:left w:w="15" w:type="dxa"/>
              <w:bottom w:w="0" w:type="dxa"/>
              <w:right w:w="15" w:type="dxa"/>
            </w:tcMar>
            <w:vAlign w:val="center"/>
            <w:hideMark/>
          </w:tcPr>
          <w:p w14:paraId="0EDCED37" w14:textId="77777777" w:rsidR="00D210F0" w:rsidRPr="00092ED7" w:rsidRDefault="00D210F0" w:rsidP="006944C5">
            <w:pPr>
              <w:spacing w:after="0"/>
              <w:rPr>
                <w:rFonts w:cs="Times New Roman"/>
                <w:b/>
                <w:bCs/>
                <w:color w:val="000000"/>
                <w:sz w:val="20"/>
                <w:szCs w:val="20"/>
                <w:lang w:val="sr-Cyrl-CS"/>
              </w:rPr>
            </w:pPr>
            <w:r w:rsidRPr="00092ED7">
              <w:rPr>
                <w:rFonts w:cs="Times New Roman"/>
                <w:b/>
                <w:bCs/>
                <w:color w:val="000000"/>
                <w:sz w:val="20"/>
                <w:szCs w:val="20"/>
                <w:lang w:val="sr-Cyrl-CS"/>
              </w:rPr>
              <w:t>Планиране активности</w:t>
            </w:r>
          </w:p>
        </w:tc>
        <w:tc>
          <w:tcPr>
            <w:tcW w:w="1473" w:type="dxa"/>
            <w:gridSpan w:val="4"/>
            <w:tcBorders>
              <w:top w:val="single" w:sz="8" w:space="0" w:color="auto"/>
              <w:left w:val="single" w:sz="8" w:space="0" w:color="auto"/>
              <w:bottom w:val="single" w:sz="4" w:space="0" w:color="auto"/>
              <w:right w:val="single" w:sz="8" w:space="0" w:color="000000"/>
            </w:tcBorders>
            <w:shd w:val="clear" w:color="auto" w:fill="BDD6EE" w:themeFill="accent1" w:themeFillTint="66"/>
            <w:tcMar>
              <w:top w:w="15" w:type="dxa"/>
              <w:left w:w="15" w:type="dxa"/>
              <w:bottom w:w="0" w:type="dxa"/>
              <w:right w:w="15" w:type="dxa"/>
            </w:tcMar>
            <w:vAlign w:val="center"/>
            <w:hideMark/>
          </w:tcPr>
          <w:p w14:paraId="4C850390" w14:textId="77777777" w:rsidR="00D210F0" w:rsidRPr="00092ED7" w:rsidRDefault="00D210F0" w:rsidP="006944C5">
            <w:pPr>
              <w:spacing w:after="0"/>
              <w:jc w:val="center"/>
              <w:rPr>
                <w:rFonts w:cs="Times New Roman"/>
                <w:b/>
                <w:bCs/>
                <w:color w:val="000000"/>
                <w:sz w:val="20"/>
                <w:szCs w:val="20"/>
                <w:lang w:val="sr-Cyrl-CS"/>
              </w:rPr>
            </w:pPr>
            <w:r w:rsidRPr="00092ED7">
              <w:rPr>
                <w:rFonts w:cs="Times New Roman"/>
                <w:b/>
                <w:bCs/>
                <w:color w:val="000000"/>
                <w:sz w:val="20"/>
                <w:szCs w:val="20"/>
                <w:lang w:val="sr-Cyrl-CS"/>
              </w:rPr>
              <w:t>2023</w:t>
            </w:r>
          </w:p>
        </w:tc>
        <w:tc>
          <w:tcPr>
            <w:tcW w:w="1471" w:type="dxa"/>
            <w:gridSpan w:val="4"/>
            <w:tcBorders>
              <w:top w:val="single" w:sz="8" w:space="0" w:color="auto"/>
              <w:left w:val="single" w:sz="8" w:space="0" w:color="auto"/>
              <w:bottom w:val="single" w:sz="4" w:space="0" w:color="auto"/>
              <w:right w:val="single" w:sz="8" w:space="0" w:color="000000"/>
            </w:tcBorders>
            <w:shd w:val="clear" w:color="auto" w:fill="BDD6EE" w:themeFill="accent1" w:themeFillTint="66"/>
            <w:tcMar>
              <w:top w:w="15" w:type="dxa"/>
              <w:left w:w="15" w:type="dxa"/>
              <w:bottom w:w="0" w:type="dxa"/>
              <w:right w:w="15" w:type="dxa"/>
            </w:tcMar>
            <w:vAlign w:val="center"/>
            <w:hideMark/>
          </w:tcPr>
          <w:p w14:paraId="25E68813" w14:textId="77777777" w:rsidR="00D210F0" w:rsidRPr="00092ED7" w:rsidRDefault="00D210F0" w:rsidP="006944C5">
            <w:pPr>
              <w:spacing w:after="0"/>
              <w:jc w:val="center"/>
              <w:rPr>
                <w:rFonts w:cs="Times New Roman"/>
                <w:b/>
                <w:bCs/>
                <w:color w:val="000000"/>
                <w:sz w:val="20"/>
                <w:szCs w:val="20"/>
                <w:lang w:val="sr-Cyrl-CS"/>
              </w:rPr>
            </w:pPr>
            <w:r w:rsidRPr="00092ED7">
              <w:rPr>
                <w:rFonts w:cs="Times New Roman"/>
                <w:b/>
                <w:bCs/>
                <w:color w:val="000000"/>
                <w:sz w:val="20"/>
                <w:szCs w:val="20"/>
                <w:lang w:val="sr-Cyrl-CS"/>
              </w:rPr>
              <w:t>2024</w:t>
            </w:r>
          </w:p>
        </w:tc>
        <w:tc>
          <w:tcPr>
            <w:tcW w:w="1472" w:type="dxa"/>
            <w:gridSpan w:val="4"/>
            <w:tcBorders>
              <w:top w:val="single" w:sz="8" w:space="0" w:color="auto"/>
              <w:left w:val="nil"/>
              <w:bottom w:val="single" w:sz="4" w:space="0" w:color="auto"/>
              <w:right w:val="single" w:sz="8" w:space="0" w:color="000000"/>
            </w:tcBorders>
            <w:shd w:val="clear" w:color="auto" w:fill="BDD6EE" w:themeFill="accent1" w:themeFillTint="66"/>
            <w:tcMar>
              <w:top w:w="15" w:type="dxa"/>
              <w:left w:w="15" w:type="dxa"/>
              <w:bottom w:w="0" w:type="dxa"/>
              <w:right w:w="15" w:type="dxa"/>
            </w:tcMar>
            <w:vAlign w:val="center"/>
            <w:hideMark/>
          </w:tcPr>
          <w:p w14:paraId="17FF15CD" w14:textId="77777777" w:rsidR="00D210F0" w:rsidRPr="00092ED7" w:rsidRDefault="00D210F0" w:rsidP="006944C5">
            <w:pPr>
              <w:spacing w:after="0"/>
              <w:jc w:val="center"/>
              <w:rPr>
                <w:rFonts w:cs="Times New Roman"/>
                <w:b/>
                <w:bCs/>
                <w:color w:val="000000"/>
                <w:sz w:val="20"/>
                <w:szCs w:val="20"/>
                <w:lang w:val="sr-Cyrl-CS"/>
              </w:rPr>
            </w:pPr>
            <w:r w:rsidRPr="00092ED7">
              <w:rPr>
                <w:rFonts w:cs="Times New Roman"/>
                <w:b/>
                <w:bCs/>
                <w:color w:val="000000"/>
                <w:sz w:val="20"/>
                <w:szCs w:val="20"/>
                <w:lang w:val="sr-Cyrl-CS"/>
              </w:rPr>
              <w:t>2025</w:t>
            </w:r>
          </w:p>
        </w:tc>
      </w:tr>
      <w:tr w:rsidR="00D210F0" w:rsidRPr="00092ED7" w14:paraId="1AE46315" w14:textId="77777777" w:rsidTr="006944C5">
        <w:trPr>
          <w:trHeight w:val="317"/>
        </w:trPr>
        <w:tc>
          <w:tcPr>
            <w:tcW w:w="420" w:type="dxa"/>
            <w:vMerge/>
            <w:tcBorders>
              <w:top w:val="single" w:sz="8" w:space="0" w:color="auto"/>
              <w:left w:val="single" w:sz="8" w:space="0" w:color="auto"/>
              <w:bottom w:val="single" w:sz="8" w:space="0" w:color="000000"/>
              <w:right w:val="nil"/>
            </w:tcBorders>
            <w:vAlign w:val="center"/>
            <w:hideMark/>
          </w:tcPr>
          <w:p w14:paraId="3F798545" w14:textId="77777777" w:rsidR="00D210F0" w:rsidRPr="00092ED7" w:rsidRDefault="00D210F0" w:rsidP="006944C5">
            <w:pPr>
              <w:spacing w:after="0"/>
              <w:rPr>
                <w:lang w:val="sr-Cyrl-CS" w:eastAsia="sr-Cyrl-CS" w:bidi="sr-Cyrl-CS"/>
              </w:rPr>
            </w:pPr>
          </w:p>
        </w:tc>
        <w:tc>
          <w:tcPr>
            <w:tcW w:w="4248" w:type="dxa"/>
            <w:vMerge/>
            <w:tcBorders>
              <w:top w:val="single" w:sz="8" w:space="0" w:color="auto"/>
              <w:left w:val="single" w:sz="8" w:space="0" w:color="auto"/>
              <w:bottom w:val="single" w:sz="8" w:space="0" w:color="000000"/>
              <w:right w:val="nil"/>
            </w:tcBorders>
            <w:shd w:val="clear" w:color="auto" w:fill="BDD6EE" w:themeFill="accent1" w:themeFillTint="66"/>
            <w:vAlign w:val="center"/>
            <w:hideMark/>
          </w:tcPr>
          <w:p w14:paraId="33FA83EE" w14:textId="77777777" w:rsidR="00D210F0" w:rsidRPr="00092ED7" w:rsidRDefault="00D210F0" w:rsidP="006944C5">
            <w:pPr>
              <w:spacing w:after="0"/>
              <w:rPr>
                <w:rFonts w:cs="Times New Roman"/>
                <w:b/>
                <w:bCs/>
                <w:color w:val="000000"/>
                <w:sz w:val="20"/>
                <w:szCs w:val="20"/>
                <w:lang w:val="sr-Cyrl-CS" w:eastAsia="sr-Cyrl-CS" w:bidi="sr-Cyrl-CS"/>
              </w:rPr>
            </w:pPr>
          </w:p>
        </w:tc>
        <w:tc>
          <w:tcPr>
            <w:tcW w:w="368" w:type="dxa"/>
            <w:tcBorders>
              <w:top w:val="nil"/>
              <w:left w:val="single" w:sz="8" w:space="0" w:color="auto"/>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2CA40F76" w14:textId="77777777" w:rsidR="00D210F0" w:rsidRPr="00092ED7" w:rsidRDefault="00D210F0" w:rsidP="006944C5">
            <w:pPr>
              <w:spacing w:after="0"/>
              <w:jc w:val="center"/>
              <w:rPr>
                <w:rFonts w:cs="Times New Roman"/>
                <w:i/>
                <w:iCs/>
                <w:color w:val="000000"/>
                <w:sz w:val="18"/>
                <w:szCs w:val="18"/>
                <w:lang w:val="sr-Cyrl-CS"/>
              </w:rPr>
            </w:pPr>
            <w:r w:rsidRPr="00092ED7">
              <w:rPr>
                <w:rFonts w:cs="Times New Roman"/>
                <w:i/>
                <w:iCs/>
                <w:color w:val="000000"/>
                <w:sz w:val="18"/>
                <w:szCs w:val="18"/>
                <w:lang w:val="sr-Cyrl-CS"/>
              </w:rPr>
              <w:t>Q1</w:t>
            </w:r>
          </w:p>
        </w:tc>
        <w:tc>
          <w:tcPr>
            <w:tcW w:w="369"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2CF1FF14" w14:textId="77777777" w:rsidR="00D210F0" w:rsidRPr="00092ED7" w:rsidRDefault="00D210F0" w:rsidP="006944C5">
            <w:pPr>
              <w:spacing w:after="0"/>
              <w:jc w:val="center"/>
              <w:rPr>
                <w:rFonts w:cs="Times New Roman"/>
                <w:i/>
                <w:iCs/>
                <w:color w:val="000000"/>
                <w:sz w:val="18"/>
                <w:szCs w:val="18"/>
                <w:lang w:val="sr-Cyrl-CS"/>
              </w:rPr>
            </w:pPr>
            <w:r w:rsidRPr="00092ED7">
              <w:rPr>
                <w:rFonts w:cs="Times New Roman"/>
                <w:i/>
                <w:iCs/>
                <w:color w:val="000000"/>
                <w:sz w:val="18"/>
                <w:szCs w:val="18"/>
                <w:lang w:val="sr-Cyrl-CS"/>
              </w:rPr>
              <w:t>Q2</w:t>
            </w:r>
          </w:p>
        </w:tc>
        <w:tc>
          <w:tcPr>
            <w:tcW w:w="367"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5AD37A9B" w14:textId="77777777" w:rsidR="00D210F0" w:rsidRPr="00092ED7" w:rsidRDefault="00D210F0" w:rsidP="006944C5">
            <w:pPr>
              <w:spacing w:after="0"/>
              <w:jc w:val="center"/>
              <w:rPr>
                <w:rFonts w:cs="Times New Roman"/>
                <w:i/>
                <w:iCs/>
                <w:color w:val="000000"/>
                <w:sz w:val="18"/>
                <w:szCs w:val="18"/>
                <w:lang w:val="sr-Cyrl-CS"/>
              </w:rPr>
            </w:pPr>
            <w:r w:rsidRPr="00092ED7">
              <w:rPr>
                <w:rFonts w:cs="Times New Roman"/>
                <w:i/>
                <w:iCs/>
                <w:color w:val="000000"/>
                <w:sz w:val="18"/>
                <w:szCs w:val="18"/>
                <w:lang w:val="sr-Cyrl-CS"/>
              </w:rPr>
              <w:t>Q3</w:t>
            </w:r>
          </w:p>
        </w:tc>
        <w:tc>
          <w:tcPr>
            <w:tcW w:w="369" w:type="dxa"/>
            <w:tcBorders>
              <w:top w:val="nil"/>
              <w:left w:val="nil"/>
              <w:bottom w:val="single" w:sz="8" w:space="0" w:color="auto"/>
              <w:right w:val="single" w:sz="8" w:space="0" w:color="auto"/>
            </w:tcBorders>
            <w:shd w:val="clear" w:color="auto" w:fill="BDD6EE" w:themeFill="accent1" w:themeFillTint="66"/>
            <w:tcMar>
              <w:top w:w="15" w:type="dxa"/>
              <w:left w:w="15" w:type="dxa"/>
              <w:bottom w:w="0" w:type="dxa"/>
              <w:right w:w="15" w:type="dxa"/>
            </w:tcMar>
            <w:vAlign w:val="center"/>
            <w:hideMark/>
          </w:tcPr>
          <w:p w14:paraId="7E136C10" w14:textId="77777777" w:rsidR="00D210F0" w:rsidRPr="00092ED7" w:rsidRDefault="00D210F0" w:rsidP="006944C5">
            <w:pPr>
              <w:spacing w:after="0"/>
              <w:jc w:val="center"/>
              <w:rPr>
                <w:rFonts w:cs="Times New Roman"/>
                <w:i/>
                <w:iCs/>
                <w:color w:val="000000"/>
                <w:sz w:val="18"/>
                <w:szCs w:val="18"/>
                <w:lang w:val="sr-Cyrl-CS"/>
              </w:rPr>
            </w:pPr>
            <w:r w:rsidRPr="00092ED7">
              <w:rPr>
                <w:rFonts w:cs="Times New Roman"/>
                <w:i/>
                <w:iCs/>
                <w:color w:val="000000"/>
                <w:sz w:val="18"/>
                <w:szCs w:val="18"/>
                <w:lang w:val="sr-Cyrl-CS"/>
              </w:rPr>
              <w:t>Q4</w:t>
            </w:r>
          </w:p>
        </w:tc>
        <w:tc>
          <w:tcPr>
            <w:tcW w:w="367"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4A25A742" w14:textId="77777777" w:rsidR="00D210F0" w:rsidRPr="00092ED7" w:rsidRDefault="00D210F0" w:rsidP="006944C5">
            <w:pPr>
              <w:spacing w:after="0"/>
              <w:jc w:val="center"/>
              <w:rPr>
                <w:rFonts w:cs="Times New Roman"/>
                <w:i/>
                <w:iCs/>
                <w:color w:val="000000"/>
                <w:sz w:val="18"/>
                <w:szCs w:val="18"/>
                <w:lang w:val="sr-Cyrl-CS"/>
              </w:rPr>
            </w:pPr>
            <w:r w:rsidRPr="00092ED7">
              <w:rPr>
                <w:rFonts w:cs="Times New Roman"/>
                <w:i/>
                <w:iCs/>
                <w:color w:val="000000"/>
                <w:sz w:val="18"/>
                <w:szCs w:val="18"/>
                <w:lang w:val="sr-Cyrl-CS"/>
              </w:rPr>
              <w:t>Q1</w:t>
            </w:r>
          </w:p>
        </w:tc>
        <w:tc>
          <w:tcPr>
            <w:tcW w:w="368"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218E7C26" w14:textId="77777777" w:rsidR="00D210F0" w:rsidRPr="00092ED7" w:rsidRDefault="00D210F0" w:rsidP="006944C5">
            <w:pPr>
              <w:spacing w:after="0"/>
              <w:jc w:val="center"/>
              <w:rPr>
                <w:rFonts w:cs="Times New Roman"/>
                <w:i/>
                <w:iCs/>
                <w:color w:val="000000"/>
                <w:sz w:val="18"/>
                <w:szCs w:val="18"/>
                <w:lang w:val="sr-Cyrl-CS"/>
              </w:rPr>
            </w:pPr>
            <w:r w:rsidRPr="00092ED7">
              <w:rPr>
                <w:rFonts w:cs="Times New Roman"/>
                <w:i/>
                <w:iCs/>
                <w:color w:val="000000"/>
                <w:sz w:val="18"/>
                <w:szCs w:val="18"/>
                <w:lang w:val="sr-Cyrl-CS"/>
              </w:rPr>
              <w:t>Q2</w:t>
            </w:r>
          </w:p>
        </w:tc>
        <w:tc>
          <w:tcPr>
            <w:tcW w:w="368"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723D8A3B" w14:textId="77777777" w:rsidR="00D210F0" w:rsidRPr="00092ED7" w:rsidRDefault="00D210F0" w:rsidP="006944C5">
            <w:pPr>
              <w:spacing w:after="0"/>
              <w:jc w:val="center"/>
              <w:rPr>
                <w:rFonts w:cs="Times New Roman"/>
                <w:i/>
                <w:iCs/>
                <w:color w:val="000000"/>
                <w:sz w:val="18"/>
                <w:szCs w:val="18"/>
                <w:lang w:val="sr-Cyrl-CS"/>
              </w:rPr>
            </w:pPr>
            <w:r w:rsidRPr="00092ED7">
              <w:rPr>
                <w:rFonts w:cs="Times New Roman"/>
                <w:i/>
                <w:iCs/>
                <w:color w:val="000000"/>
                <w:sz w:val="18"/>
                <w:szCs w:val="18"/>
                <w:lang w:val="sr-Cyrl-CS"/>
              </w:rPr>
              <w:t>Q3</w:t>
            </w:r>
          </w:p>
        </w:tc>
        <w:tc>
          <w:tcPr>
            <w:tcW w:w="368" w:type="dxa"/>
            <w:tcBorders>
              <w:top w:val="nil"/>
              <w:left w:val="nil"/>
              <w:bottom w:val="single" w:sz="8" w:space="0" w:color="auto"/>
              <w:right w:val="single" w:sz="8" w:space="0" w:color="auto"/>
            </w:tcBorders>
            <w:shd w:val="clear" w:color="auto" w:fill="BDD6EE" w:themeFill="accent1" w:themeFillTint="66"/>
            <w:tcMar>
              <w:top w:w="15" w:type="dxa"/>
              <w:left w:w="15" w:type="dxa"/>
              <w:bottom w:w="0" w:type="dxa"/>
              <w:right w:w="15" w:type="dxa"/>
            </w:tcMar>
            <w:vAlign w:val="center"/>
            <w:hideMark/>
          </w:tcPr>
          <w:p w14:paraId="3DECDDC3" w14:textId="77777777" w:rsidR="00D210F0" w:rsidRPr="00092ED7" w:rsidRDefault="00D210F0" w:rsidP="006944C5">
            <w:pPr>
              <w:spacing w:after="0"/>
              <w:jc w:val="center"/>
              <w:rPr>
                <w:rFonts w:cs="Times New Roman"/>
                <w:i/>
                <w:iCs/>
                <w:color w:val="000000"/>
                <w:sz w:val="18"/>
                <w:szCs w:val="18"/>
                <w:lang w:val="sr-Cyrl-CS"/>
              </w:rPr>
            </w:pPr>
            <w:r w:rsidRPr="00092ED7">
              <w:rPr>
                <w:rFonts w:cs="Times New Roman"/>
                <w:i/>
                <w:iCs/>
                <w:color w:val="000000"/>
                <w:sz w:val="18"/>
                <w:szCs w:val="18"/>
                <w:lang w:val="sr-Cyrl-CS"/>
              </w:rPr>
              <w:t>Q4</w:t>
            </w:r>
          </w:p>
        </w:tc>
        <w:tc>
          <w:tcPr>
            <w:tcW w:w="368"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43046412" w14:textId="77777777" w:rsidR="00D210F0" w:rsidRPr="00092ED7" w:rsidRDefault="00D210F0" w:rsidP="006944C5">
            <w:pPr>
              <w:spacing w:after="0"/>
              <w:jc w:val="center"/>
              <w:rPr>
                <w:rFonts w:cs="Times New Roman"/>
                <w:i/>
                <w:iCs/>
                <w:color w:val="000000"/>
                <w:sz w:val="18"/>
                <w:szCs w:val="18"/>
                <w:lang w:val="sr-Cyrl-CS"/>
              </w:rPr>
            </w:pPr>
            <w:r w:rsidRPr="00092ED7">
              <w:rPr>
                <w:rFonts w:cs="Times New Roman"/>
                <w:i/>
                <w:iCs/>
                <w:color w:val="000000"/>
                <w:sz w:val="18"/>
                <w:szCs w:val="18"/>
                <w:lang w:val="sr-Cyrl-CS"/>
              </w:rPr>
              <w:t>Q1</w:t>
            </w:r>
          </w:p>
        </w:tc>
        <w:tc>
          <w:tcPr>
            <w:tcW w:w="367"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1A7FE567" w14:textId="77777777" w:rsidR="00D210F0" w:rsidRPr="00092ED7" w:rsidRDefault="00D210F0" w:rsidP="006944C5">
            <w:pPr>
              <w:spacing w:after="0"/>
              <w:jc w:val="center"/>
              <w:rPr>
                <w:rFonts w:cs="Times New Roman"/>
                <w:i/>
                <w:iCs/>
                <w:color w:val="000000"/>
                <w:sz w:val="18"/>
                <w:szCs w:val="18"/>
                <w:lang w:val="sr-Cyrl-CS"/>
              </w:rPr>
            </w:pPr>
            <w:r w:rsidRPr="00092ED7">
              <w:rPr>
                <w:rFonts w:cs="Times New Roman"/>
                <w:i/>
                <w:iCs/>
                <w:color w:val="000000"/>
                <w:sz w:val="18"/>
                <w:szCs w:val="18"/>
                <w:lang w:val="sr-Cyrl-CS"/>
              </w:rPr>
              <w:t>Q2</w:t>
            </w:r>
          </w:p>
        </w:tc>
        <w:tc>
          <w:tcPr>
            <w:tcW w:w="368"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3790523F" w14:textId="77777777" w:rsidR="00D210F0" w:rsidRPr="00092ED7" w:rsidRDefault="00D210F0" w:rsidP="006944C5">
            <w:pPr>
              <w:spacing w:after="0"/>
              <w:jc w:val="center"/>
              <w:rPr>
                <w:rFonts w:cs="Times New Roman"/>
                <w:i/>
                <w:iCs/>
                <w:color w:val="000000"/>
                <w:sz w:val="18"/>
                <w:szCs w:val="18"/>
                <w:lang w:val="sr-Cyrl-CS"/>
              </w:rPr>
            </w:pPr>
            <w:r w:rsidRPr="00092ED7">
              <w:rPr>
                <w:rFonts w:cs="Times New Roman"/>
                <w:i/>
                <w:iCs/>
                <w:color w:val="000000"/>
                <w:sz w:val="18"/>
                <w:szCs w:val="18"/>
                <w:lang w:val="sr-Cyrl-CS"/>
              </w:rPr>
              <w:t>Q3</w:t>
            </w:r>
          </w:p>
        </w:tc>
        <w:tc>
          <w:tcPr>
            <w:tcW w:w="369" w:type="dxa"/>
            <w:tcBorders>
              <w:top w:val="nil"/>
              <w:left w:val="nil"/>
              <w:bottom w:val="single" w:sz="8" w:space="0" w:color="auto"/>
              <w:right w:val="single" w:sz="8" w:space="0" w:color="auto"/>
            </w:tcBorders>
            <w:shd w:val="clear" w:color="auto" w:fill="BDD6EE" w:themeFill="accent1" w:themeFillTint="66"/>
            <w:tcMar>
              <w:top w:w="15" w:type="dxa"/>
              <w:left w:w="15" w:type="dxa"/>
              <w:bottom w:w="0" w:type="dxa"/>
              <w:right w:w="15" w:type="dxa"/>
            </w:tcMar>
            <w:vAlign w:val="center"/>
            <w:hideMark/>
          </w:tcPr>
          <w:p w14:paraId="36B00CB6" w14:textId="77777777" w:rsidR="00D210F0" w:rsidRPr="00092ED7" w:rsidRDefault="00D210F0" w:rsidP="006944C5">
            <w:pPr>
              <w:spacing w:after="0"/>
              <w:jc w:val="center"/>
              <w:rPr>
                <w:rFonts w:cs="Times New Roman"/>
                <w:i/>
                <w:iCs/>
                <w:color w:val="000000"/>
                <w:sz w:val="18"/>
                <w:szCs w:val="18"/>
                <w:lang w:val="sr-Cyrl-CS"/>
              </w:rPr>
            </w:pPr>
            <w:r w:rsidRPr="00092ED7">
              <w:rPr>
                <w:rFonts w:cs="Times New Roman"/>
                <w:i/>
                <w:iCs/>
                <w:color w:val="000000"/>
                <w:sz w:val="18"/>
                <w:szCs w:val="18"/>
                <w:lang w:val="sr-Cyrl-CS"/>
              </w:rPr>
              <w:t>Q4</w:t>
            </w:r>
          </w:p>
        </w:tc>
      </w:tr>
      <w:tr w:rsidR="00D210F0" w:rsidRPr="00092ED7" w14:paraId="4C2D53B8" w14:textId="77777777" w:rsidTr="006944C5">
        <w:trPr>
          <w:trHeight w:val="302"/>
        </w:trPr>
        <w:tc>
          <w:tcPr>
            <w:tcW w:w="420" w:type="dxa"/>
            <w:tcBorders>
              <w:top w:val="single" w:sz="4" w:space="0" w:color="auto"/>
              <w:left w:val="single" w:sz="8" w:space="0" w:color="auto"/>
              <w:bottom w:val="single" w:sz="4" w:space="0" w:color="auto"/>
              <w:right w:val="nil"/>
            </w:tcBorders>
            <w:tcMar>
              <w:top w:w="15" w:type="dxa"/>
              <w:left w:w="15" w:type="dxa"/>
              <w:bottom w:w="0" w:type="dxa"/>
              <w:right w:w="15" w:type="dxa"/>
            </w:tcMar>
            <w:hideMark/>
          </w:tcPr>
          <w:p w14:paraId="46B9E29D" w14:textId="77777777" w:rsidR="00D210F0" w:rsidRPr="00092ED7" w:rsidRDefault="00D210F0" w:rsidP="006944C5">
            <w:pPr>
              <w:spacing w:after="0"/>
              <w:jc w:val="center"/>
              <w:rPr>
                <w:rFonts w:cs="Times New Roman"/>
                <w:sz w:val="20"/>
                <w:szCs w:val="20"/>
                <w:lang w:val="sr-Cyrl-CS"/>
              </w:rPr>
            </w:pPr>
            <w:r w:rsidRPr="00092ED7">
              <w:rPr>
                <w:rFonts w:cs="Times New Roman"/>
                <w:sz w:val="20"/>
                <w:szCs w:val="20"/>
                <w:lang w:val="sr-Cyrl-CS"/>
              </w:rPr>
              <w:t>1.</w:t>
            </w:r>
          </w:p>
        </w:tc>
        <w:tc>
          <w:tcPr>
            <w:tcW w:w="4248" w:type="dxa"/>
            <w:tcBorders>
              <w:top w:val="single" w:sz="4" w:space="0" w:color="auto"/>
              <w:left w:val="single" w:sz="8" w:space="0" w:color="auto"/>
              <w:bottom w:val="single" w:sz="4" w:space="0" w:color="auto"/>
              <w:right w:val="nil"/>
            </w:tcBorders>
            <w:tcMar>
              <w:top w:w="15" w:type="dxa"/>
              <w:left w:w="15" w:type="dxa"/>
              <w:bottom w:w="0" w:type="dxa"/>
              <w:right w:w="15" w:type="dxa"/>
            </w:tcMar>
          </w:tcPr>
          <w:p w14:paraId="64376D89" w14:textId="77777777" w:rsidR="00D210F0" w:rsidRPr="00092ED7" w:rsidRDefault="00A96FED" w:rsidP="006944C5">
            <w:pPr>
              <w:spacing w:after="0"/>
              <w:ind w:right="210"/>
              <w:rPr>
                <w:rFonts w:cs="Times New Roman"/>
                <w:sz w:val="20"/>
                <w:szCs w:val="20"/>
                <w:lang w:val="sr-Cyrl-CS"/>
              </w:rPr>
            </w:pPr>
            <w:r w:rsidRPr="00092ED7">
              <w:rPr>
                <w:rFonts w:cs="Times New Roman"/>
                <w:sz w:val="20"/>
                <w:szCs w:val="20"/>
                <w:lang w:val="sr-Cyrl-CS"/>
              </w:rPr>
              <w:t>Усвајање закона и подзаконских аката у областима органске производње, шема квалитета за пољопривредне и прехрамбене производе; усвајање подзаконских аката на основу Закона о уређењу тржишта пољопривредних производа</w:t>
            </w:r>
          </w:p>
        </w:tc>
        <w:tc>
          <w:tcPr>
            <w:tcW w:w="368" w:type="dxa"/>
            <w:tcBorders>
              <w:top w:val="single" w:sz="4" w:space="0" w:color="auto"/>
              <w:left w:val="single" w:sz="8"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3D720C11" w14:textId="77777777" w:rsidR="00D210F0" w:rsidRPr="00092ED7" w:rsidRDefault="00D210F0" w:rsidP="006944C5">
            <w:pPr>
              <w:spacing w:after="0"/>
              <w:rPr>
                <w:rFonts w:cs="Times New Roman"/>
                <w:color w:val="000000"/>
                <w:sz w:val="18"/>
                <w:szCs w:val="18"/>
                <w:highlight w:val="yellow"/>
                <w:lang w:val="sr-Cyrl-CS"/>
              </w:rPr>
            </w:pPr>
          </w:p>
        </w:tc>
        <w:tc>
          <w:tcPr>
            <w:tcW w:w="369"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B45C636" w14:textId="77777777" w:rsidR="00D210F0" w:rsidRPr="00092ED7" w:rsidRDefault="00D210F0" w:rsidP="006944C5">
            <w:pPr>
              <w:spacing w:after="0"/>
              <w:rPr>
                <w:rFonts w:cs="Times New Roman"/>
                <w:color w:val="000000"/>
                <w:sz w:val="18"/>
                <w:szCs w:val="18"/>
                <w:highlight w:val="yellow"/>
                <w:lang w:val="sr-Cyrl-CS"/>
              </w:rPr>
            </w:pPr>
          </w:p>
        </w:tc>
        <w:tc>
          <w:tcPr>
            <w:tcW w:w="367"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ED1DDE3" w14:textId="77777777" w:rsidR="00D210F0" w:rsidRPr="00092ED7" w:rsidRDefault="00D210F0" w:rsidP="006944C5">
            <w:pPr>
              <w:spacing w:after="0"/>
              <w:rPr>
                <w:rFonts w:cs="Times New Roman"/>
                <w:color w:val="000000"/>
                <w:sz w:val="18"/>
                <w:szCs w:val="18"/>
                <w:highlight w:val="yellow"/>
                <w:lang w:val="sr-Cyrl-CS"/>
              </w:rPr>
            </w:pPr>
          </w:p>
        </w:tc>
        <w:tc>
          <w:tcPr>
            <w:tcW w:w="369" w:type="dxa"/>
            <w:tcBorders>
              <w:top w:val="single" w:sz="4" w:space="0" w:color="auto"/>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7439FFE4" w14:textId="77777777" w:rsidR="00D210F0" w:rsidRPr="00092ED7" w:rsidRDefault="00D210F0" w:rsidP="006944C5">
            <w:pPr>
              <w:spacing w:after="0"/>
              <w:rPr>
                <w:rFonts w:cs="Times New Roman"/>
                <w:color w:val="000000"/>
                <w:sz w:val="18"/>
                <w:szCs w:val="18"/>
                <w:highlight w:val="yellow"/>
                <w:lang w:val="sr-Cyrl-CS"/>
              </w:rPr>
            </w:pPr>
          </w:p>
        </w:tc>
        <w:tc>
          <w:tcPr>
            <w:tcW w:w="367"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01AB108" w14:textId="77777777" w:rsidR="00D210F0" w:rsidRPr="00092ED7" w:rsidRDefault="00D210F0" w:rsidP="006944C5">
            <w:pPr>
              <w:spacing w:after="0"/>
              <w:rPr>
                <w:rFonts w:cs="Times New Roman"/>
                <w:color w:val="000000"/>
                <w:sz w:val="18"/>
                <w:szCs w:val="18"/>
                <w:highlight w:val="yellow"/>
                <w:lang w:val="sr-Cyrl-CS"/>
              </w:rPr>
            </w:pPr>
          </w:p>
        </w:tc>
        <w:tc>
          <w:tcPr>
            <w:tcW w:w="368"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B066CA0" w14:textId="77777777" w:rsidR="00D210F0" w:rsidRPr="00092ED7" w:rsidRDefault="00D210F0" w:rsidP="006944C5">
            <w:pPr>
              <w:spacing w:after="0"/>
              <w:rPr>
                <w:rFonts w:cs="Times New Roman"/>
                <w:color w:val="000000"/>
                <w:sz w:val="18"/>
                <w:szCs w:val="18"/>
                <w:highlight w:val="yellow"/>
                <w:lang w:val="sr-Cyrl-CS"/>
              </w:rPr>
            </w:pPr>
          </w:p>
        </w:tc>
        <w:tc>
          <w:tcPr>
            <w:tcW w:w="368"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082258B" w14:textId="77777777" w:rsidR="00D210F0" w:rsidRPr="00092ED7" w:rsidRDefault="00D210F0" w:rsidP="006944C5">
            <w:pPr>
              <w:spacing w:after="0"/>
              <w:rPr>
                <w:rFonts w:cs="Times New Roman"/>
                <w:color w:val="000000"/>
                <w:sz w:val="18"/>
                <w:szCs w:val="18"/>
                <w:highlight w:val="yellow"/>
                <w:lang w:val="sr-Cyrl-CS"/>
              </w:rPr>
            </w:pPr>
          </w:p>
        </w:tc>
        <w:tc>
          <w:tcPr>
            <w:tcW w:w="368" w:type="dxa"/>
            <w:tcBorders>
              <w:top w:val="single" w:sz="4" w:space="0" w:color="auto"/>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2BE72328" w14:textId="77777777" w:rsidR="00D210F0" w:rsidRPr="00092ED7" w:rsidRDefault="00D210F0" w:rsidP="006944C5">
            <w:pPr>
              <w:spacing w:after="0"/>
              <w:rPr>
                <w:rFonts w:cs="Times New Roman"/>
                <w:color w:val="000000"/>
                <w:sz w:val="18"/>
                <w:szCs w:val="18"/>
                <w:highlight w:val="yellow"/>
                <w:lang w:val="sr-Cyrl-CS"/>
              </w:rPr>
            </w:pPr>
          </w:p>
        </w:tc>
        <w:tc>
          <w:tcPr>
            <w:tcW w:w="368"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D3C9151" w14:textId="77777777" w:rsidR="00D210F0" w:rsidRPr="00092ED7" w:rsidRDefault="00D210F0" w:rsidP="006944C5">
            <w:pPr>
              <w:spacing w:after="0"/>
              <w:rPr>
                <w:rFonts w:cs="Times New Roman"/>
                <w:color w:val="000000"/>
                <w:sz w:val="18"/>
                <w:szCs w:val="18"/>
                <w:highlight w:val="yellow"/>
                <w:lang w:val="sr-Cyrl-CS"/>
              </w:rPr>
            </w:pPr>
          </w:p>
        </w:tc>
        <w:tc>
          <w:tcPr>
            <w:tcW w:w="367"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79FBDD1" w14:textId="77777777" w:rsidR="00D210F0" w:rsidRPr="00092ED7" w:rsidRDefault="00D210F0" w:rsidP="006944C5">
            <w:pPr>
              <w:spacing w:after="0"/>
              <w:rPr>
                <w:rFonts w:cs="Times New Roman"/>
                <w:color w:val="000000"/>
                <w:sz w:val="18"/>
                <w:szCs w:val="18"/>
                <w:highlight w:val="yellow"/>
                <w:lang w:val="sr-Cyrl-CS"/>
              </w:rPr>
            </w:pPr>
          </w:p>
        </w:tc>
        <w:tc>
          <w:tcPr>
            <w:tcW w:w="368"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642029F" w14:textId="77777777" w:rsidR="00D210F0" w:rsidRPr="00092ED7" w:rsidRDefault="00D210F0" w:rsidP="006944C5">
            <w:pPr>
              <w:spacing w:after="0"/>
              <w:rPr>
                <w:rFonts w:cs="Times New Roman"/>
                <w:color w:val="000000"/>
                <w:sz w:val="18"/>
                <w:szCs w:val="18"/>
                <w:highlight w:val="yellow"/>
                <w:lang w:val="sr-Cyrl-CS"/>
              </w:rPr>
            </w:pPr>
          </w:p>
        </w:tc>
        <w:tc>
          <w:tcPr>
            <w:tcW w:w="369" w:type="dxa"/>
            <w:tcBorders>
              <w:top w:val="single" w:sz="4" w:space="0" w:color="auto"/>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6D6B65CD" w14:textId="77777777" w:rsidR="00D210F0" w:rsidRPr="00092ED7" w:rsidRDefault="00D210F0" w:rsidP="006944C5">
            <w:pPr>
              <w:spacing w:after="0"/>
              <w:rPr>
                <w:rFonts w:cs="Times New Roman"/>
                <w:color w:val="000000"/>
                <w:sz w:val="18"/>
                <w:szCs w:val="18"/>
                <w:highlight w:val="yellow"/>
                <w:lang w:val="sr-Cyrl-CS"/>
              </w:rPr>
            </w:pPr>
          </w:p>
        </w:tc>
      </w:tr>
      <w:tr w:rsidR="00D210F0" w:rsidRPr="00092ED7" w14:paraId="4052BFF8" w14:textId="77777777" w:rsidTr="006944C5">
        <w:trPr>
          <w:trHeight w:val="302"/>
        </w:trPr>
        <w:tc>
          <w:tcPr>
            <w:tcW w:w="420" w:type="dxa"/>
            <w:tcBorders>
              <w:top w:val="nil"/>
              <w:left w:val="single" w:sz="8" w:space="0" w:color="auto"/>
              <w:bottom w:val="single" w:sz="4" w:space="0" w:color="auto"/>
              <w:right w:val="single" w:sz="8" w:space="0" w:color="auto"/>
            </w:tcBorders>
            <w:tcMar>
              <w:top w:w="15" w:type="dxa"/>
              <w:left w:w="15" w:type="dxa"/>
              <w:bottom w:w="0" w:type="dxa"/>
              <w:right w:w="15" w:type="dxa"/>
            </w:tcMar>
          </w:tcPr>
          <w:p w14:paraId="01F1A991" w14:textId="77777777" w:rsidR="00D210F0" w:rsidRPr="00092ED7" w:rsidRDefault="00D210F0" w:rsidP="006944C5">
            <w:pPr>
              <w:spacing w:after="0"/>
              <w:jc w:val="center"/>
              <w:rPr>
                <w:rFonts w:cs="Times New Roman"/>
                <w:sz w:val="20"/>
                <w:szCs w:val="20"/>
                <w:lang w:val="sr-Cyrl-CS" w:eastAsia="sr-Cyrl-CS" w:bidi="sr-Cyrl-CS"/>
              </w:rPr>
            </w:pPr>
            <w:r w:rsidRPr="00092ED7">
              <w:rPr>
                <w:rFonts w:cs="Times New Roman"/>
                <w:sz w:val="20"/>
                <w:szCs w:val="20"/>
                <w:lang w:val="sr-Cyrl-CS"/>
              </w:rPr>
              <w:t>2.</w:t>
            </w:r>
          </w:p>
        </w:tc>
        <w:tc>
          <w:tcPr>
            <w:tcW w:w="4248" w:type="dxa"/>
            <w:tcBorders>
              <w:top w:val="nil"/>
              <w:left w:val="nil"/>
              <w:bottom w:val="single" w:sz="4" w:space="0" w:color="auto"/>
              <w:right w:val="nil"/>
            </w:tcBorders>
            <w:tcMar>
              <w:top w:w="15" w:type="dxa"/>
              <w:left w:w="15" w:type="dxa"/>
              <w:bottom w:w="0" w:type="dxa"/>
              <w:right w:w="15" w:type="dxa"/>
            </w:tcMar>
          </w:tcPr>
          <w:p w14:paraId="2F02CC7C" w14:textId="77777777" w:rsidR="00D210F0" w:rsidRPr="00092ED7" w:rsidRDefault="00D210F0" w:rsidP="006944C5">
            <w:pPr>
              <w:spacing w:after="0"/>
              <w:ind w:right="210"/>
              <w:rPr>
                <w:sz w:val="20"/>
                <w:szCs w:val="20"/>
                <w:lang w:val="sr-Cyrl-CS"/>
              </w:rPr>
            </w:pPr>
            <w:r w:rsidRPr="00092ED7">
              <w:rPr>
                <w:rFonts w:cs="Times New Roman"/>
                <w:sz w:val="20"/>
                <w:szCs w:val="20"/>
                <w:lang w:val="sr-Cyrl-CS"/>
              </w:rPr>
              <w:t>Спровођење јавног позива за  националну меру Унапређење руралне инфраструктуре (2023. година) и усвајање подзаконских аката (2024. година), објављивање и спровођење јавног позива за ИПАРД меру Инвестиције у руралну јавну инфраструктуру (2025. година)</w:t>
            </w:r>
          </w:p>
        </w:tc>
        <w:tc>
          <w:tcPr>
            <w:tcW w:w="368" w:type="dxa"/>
            <w:tcBorders>
              <w:top w:val="nil"/>
              <w:left w:val="single" w:sz="8" w:space="0" w:color="auto"/>
              <w:bottom w:val="single" w:sz="4" w:space="0" w:color="auto"/>
              <w:right w:val="single" w:sz="4" w:space="0" w:color="auto"/>
            </w:tcBorders>
            <w:tcMar>
              <w:top w:w="15" w:type="dxa"/>
              <w:left w:w="15" w:type="dxa"/>
              <w:bottom w:w="0" w:type="dxa"/>
              <w:right w:w="15" w:type="dxa"/>
            </w:tcMar>
          </w:tcPr>
          <w:p w14:paraId="196B7C5B" w14:textId="77777777" w:rsidR="00D210F0" w:rsidRPr="00092ED7" w:rsidRDefault="00D210F0" w:rsidP="006944C5">
            <w:pPr>
              <w:spacing w:after="0"/>
              <w:rPr>
                <w:rFonts w:cs="Times New Roman"/>
                <w:color w:val="000000"/>
                <w:sz w:val="18"/>
                <w:szCs w:val="18"/>
                <w:lang w:val="sr-Cyrl-CS"/>
              </w:rPr>
            </w:pPr>
          </w:p>
        </w:tc>
        <w:tc>
          <w:tcPr>
            <w:tcW w:w="369" w:type="dxa"/>
            <w:tcBorders>
              <w:top w:val="nil"/>
              <w:left w:val="nil"/>
              <w:bottom w:val="single" w:sz="4" w:space="0" w:color="auto"/>
              <w:right w:val="single" w:sz="4" w:space="0" w:color="auto"/>
            </w:tcBorders>
            <w:tcMar>
              <w:top w:w="15" w:type="dxa"/>
              <w:left w:w="15" w:type="dxa"/>
              <w:bottom w:w="0" w:type="dxa"/>
              <w:right w:w="15" w:type="dxa"/>
            </w:tcMar>
          </w:tcPr>
          <w:p w14:paraId="4B8E683A" w14:textId="77777777" w:rsidR="00D210F0" w:rsidRPr="00092ED7" w:rsidRDefault="00D210F0" w:rsidP="006944C5">
            <w:pPr>
              <w:spacing w:after="0"/>
              <w:rPr>
                <w:rFonts w:cs="Times New Roman"/>
                <w:color w:val="000000"/>
                <w:sz w:val="18"/>
                <w:szCs w:val="18"/>
                <w:lang w:val="sr-Cyrl-CS"/>
              </w:rPr>
            </w:pPr>
          </w:p>
        </w:tc>
        <w:tc>
          <w:tcPr>
            <w:tcW w:w="367"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3141699D" w14:textId="77777777" w:rsidR="00D210F0" w:rsidRPr="00092ED7" w:rsidRDefault="00D210F0" w:rsidP="006944C5">
            <w:pPr>
              <w:spacing w:after="0"/>
              <w:rPr>
                <w:rFonts w:cs="Times New Roman"/>
                <w:color w:val="000000"/>
                <w:sz w:val="18"/>
                <w:szCs w:val="18"/>
                <w:lang w:val="sr-Cyrl-CS"/>
              </w:rPr>
            </w:pPr>
          </w:p>
        </w:tc>
        <w:tc>
          <w:tcPr>
            <w:tcW w:w="369"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357D7F22" w14:textId="77777777" w:rsidR="00D210F0" w:rsidRPr="00092ED7" w:rsidRDefault="00D210F0" w:rsidP="006944C5">
            <w:pPr>
              <w:spacing w:after="0"/>
              <w:rPr>
                <w:rFonts w:cs="Times New Roman"/>
                <w:color w:val="000000"/>
                <w:sz w:val="18"/>
                <w:szCs w:val="18"/>
                <w:lang w:val="sr-Cyrl-CS"/>
              </w:rPr>
            </w:pPr>
          </w:p>
        </w:tc>
        <w:tc>
          <w:tcPr>
            <w:tcW w:w="367" w:type="dxa"/>
            <w:tcBorders>
              <w:top w:val="nil"/>
              <w:left w:val="nil"/>
              <w:bottom w:val="single" w:sz="4" w:space="0" w:color="auto"/>
              <w:right w:val="single" w:sz="4" w:space="0" w:color="auto"/>
            </w:tcBorders>
            <w:tcMar>
              <w:top w:w="15" w:type="dxa"/>
              <w:left w:w="15" w:type="dxa"/>
              <w:bottom w:w="0" w:type="dxa"/>
              <w:right w:w="15" w:type="dxa"/>
            </w:tcMar>
          </w:tcPr>
          <w:p w14:paraId="2A82FFB0" w14:textId="77777777" w:rsidR="00D210F0" w:rsidRPr="00092ED7" w:rsidRDefault="00D210F0" w:rsidP="006944C5">
            <w:pPr>
              <w:spacing w:after="0"/>
              <w:rPr>
                <w:rFonts w:cs="Times New Roman"/>
                <w:color w:val="000000"/>
                <w:sz w:val="18"/>
                <w:szCs w:val="18"/>
                <w:lang w:val="sr-Cyrl-CS"/>
              </w:rPr>
            </w:pPr>
          </w:p>
        </w:tc>
        <w:tc>
          <w:tcPr>
            <w:tcW w:w="368" w:type="dxa"/>
            <w:tcBorders>
              <w:top w:val="nil"/>
              <w:left w:val="nil"/>
              <w:bottom w:val="single" w:sz="4" w:space="0" w:color="auto"/>
              <w:right w:val="single" w:sz="4" w:space="0" w:color="auto"/>
            </w:tcBorders>
            <w:tcMar>
              <w:top w:w="15" w:type="dxa"/>
              <w:left w:w="15" w:type="dxa"/>
              <w:bottom w:w="0" w:type="dxa"/>
              <w:right w:w="15" w:type="dxa"/>
            </w:tcMar>
          </w:tcPr>
          <w:p w14:paraId="7E97CF96" w14:textId="77777777" w:rsidR="00D210F0" w:rsidRPr="00092ED7" w:rsidRDefault="00D210F0" w:rsidP="006944C5">
            <w:pPr>
              <w:spacing w:after="0"/>
              <w:rPr>
                <w:rFonts w:cs="Times New Roman"/>
                <w:color w:val="000000"/>
                <w:sz w:val="18"/>
                <w:szCs w:val="18"/>
                <w:lang w:val="sr-Cyrl-CS"/>
              </w:rPr>
            </w:pPr>
          </w:p>
        </w:tc>
        <w:tc>
          <w:tcPr>
            <w:tcW w:w="368" w:type="dxa"/>
            <w:tcBorders>
              <w:top w:val="nil"/>
              <w:left w:val="nil"/>
              <w:bottom w:val="single" w:sz="4" w:space="0" w:color="auto"/>
              <w:right w:val="single" w:sz="4" w:space="0" w:color="auto"/>
            </w:tcBorders>
            <w:tcMar>
              <w:top w:w="15" w:type="dxa"/>
              <w:left w:w="15" w:type="dxa"/>
              <w:bottom w:w="0" w:type="dxa"/>
              <w:right w:w="15" w:type="dxa"/>
            </w:tcMar>
          </w:tcPr>
          <w:p w14:paraId="2103A6BA" w14:textId="77777777" w:rsidR="00D210F0" w:rsidRPr="00092ED7" w:rsidRDefault="00D210F0" w:rsidP="006944C5">
            <w:pPr>
              <w:spacing w:after="0"/>
              <w:rPr>
                <w:rFonts w:cs="Times New Roman"/>
                <w:color w:val="000000"/>
                <w:sz w:val="18"/>
                <w:szCs w:val="18"/>
                <w:lang w:val="sr-Cyrl-CS"/>
              </w:rPr>
            </w:pPr>
          </w:p>
        </w:tc>
        <w:tc>
          <w:tcPr>
            <w:tcW w:w="368"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24200384" w14:textId="77777777" w:rsidR="00D210F0" w:rsidRPr="00092ED7" w:rsidRDefault="00D210F0" w:rsidP="006944C5">
            <w:pPr>
              <w:spacing w:after="0"/>
              <w:rPr>
                <w:rFonts w:cs="Times New Roman"/>
                <w:color w:val="000000"/>
                <w:sz w:val="18"/>
                <w:szCs w:val="18"/>
                <w:lang w:val="sr-Cyrl-CS"/>
              </w:rPr>
            </w:pPr>
          </w:p>
        </w:tc>
        <w:tc>
          <w:tcPr>
            <w:tcW w:w="368" w:type="dxa"/>
            <w:tcBorders>
              <w:top w:val="nil"/>
              <w:left w:val="nil"/>
              <w:bottom w:val="single" w:sz="4" w:space="0" w:color="auto"/>
              <w:right w:val="single" w:sz="4" w:space="0" w:color="auto"/>
            </w:tcBorders>
            <w:tcMar>
              <w:top w:w="15" w:type="dxa"/>
              <w:left w:w="15" w:type="dxa"/>
              <w:bottom w:w="0" w:type="dxa"/>
              <w:right w:w="15" w:type="dxa"/>
            </w:tcMar>
          </w:tcPr>
          <w:p w14:paraId="7B339F8A" w14:textId="77777777" w:rsidR="00D210F0" w:rsidRPr="00092ED7" w:rsidRDefault="00D210F0" w:rsidP="006944C5">
            <w:pPr>
              <w:spacing w:after="0"/>
              <w:rPr>
                <w:rFonts w:cs="Times New Roman"/>
                <w:color w:val="000000"/>
                <w:sz w:val="18"/>
                <w:szCs w:val="18"/>
                <w:lang w:val="sr-Cyrl-CS"/>
              </w:rPr>
            </w:pPr>
          </w:p>
        </w:tc>
        <w:tc>
          <w:tcPr>
            <w:tcW w:w="367" w:type="dxa"/>
            <w:tcBorders>
              <w:top w:val="nil"/>
              <w:left w:val="nil"/>
              <w:bottom w:val="single" w:sz="4" w:space="0" w:color="auto"/>
              <w:right w:val="single" w:sz="4" w:space="0" w:color="auto"/>
            </w:tcBorders>
            <w:tcMar>
              <w:top w:w="15" w:type="dxa"/>
              <w:left w:w="15" w:type="dxa"/>
              <w:bottom w:w="0" w:type="dxa"/>
              <w:right w:w="15" w:type="dxa"/>
            </w:tcMar>
          </w:tcPr>
          <w:p w14:paraId="067C6101" w14:textId="77777777" w:rsidR="00D210F0" w:rsidRPr="00092ED7" w:rsidRDefault="00D210F0" w:rsidP="006944C5">
            <w:pPr>
              <w:spacing w:after="0"/>
              <w:rPr>
                <w:rFonts w:cs="Times New Roman"/>
                <w:color w:val="000000"/>
                <w:sz w:val="18"/>
                <w:szCs w:val="18"/>
                <w:lang w:val="sr-Cyrl-CS"/>
              </w:rPr>
            </w:pPr>
          </w:p>
        </w:tc>
        <w:tc>
          <w:tcPr>
            <w:tcW w:w="368"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CA21E2E" w14:textId="77777777" w:rsidR="00D210F0" w:rsidRPr="00092ED7" w:rsidRDefault="00D210F0" w:rsidP="006944C5">
            <w:pPr>
              <w:spacing w:after="0"/>
              <w:rPr>
                <w:rFonts w:cs="Times New Roman"/>
                <w:color w:val="000000"/>
                <w:sz w:val="18"/>
                <w:szCs w:val="18"/>
                <w:lang w:val="sr-Cyrl-CS"/>
              </w:rPr>
            </w:pPr>
          </w:p>
        </w:tc>
        <w:tc>
          <w:tcPr>
            <w:tcW w:w="369"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226CBB1B" w14:textId="77777777" w:rsidR="00D210F0" w:rsidRPr="00092ED7" w:rsidRDefault="00D210F0" w:rsidP="006944C5">
            <w:pPr>
              <w:spacing w:after="0"/>
              <w:rPr>
                <w:rFonts w:cs="Times New Roman"/>
                <w:color w:val="000000"/>
                <w:sz w:val="18"/>
                <w:szCs w:val="18"/>
                <w:lang w:val="sr-Cyrl-CS"/>
              </w:rPr>
            </w:pPr>
          </w:p>
        </w:tc>
      </w:tr>
      <w:tr w:rsidR="00576076" w:rsidRPr="00092ED7" w14:paraId="62A97EAA" w14:textId="77777777" w:rsidTr="00CF5A5F">
        <w:trPr>
          <w:trHeight w:val="302"/>
        </w:trPr>
        <w:tc>
          <w:tcPr>
            <w:tcW w:w="42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hideMark/>
          </w:tcPr>
          <w:p w14:paraId="419B59AC" w14:textId="77777777" w:rsidR="00D210F0" w:rsidRPr="00092ED7" w:rsidRDefault="00D210F0" w:rsidP="006944C5">
            <w:pPr>
              <w:spacing w:after="0"/>
              <w:jc w:val="center"/>
              <w:rPr>
                <w:rFonts w:cs="Times New Roman"/>
                <w:sz w:val="20"/>
                <w:szCs w:val="20"/>
                <w:lang w:val="sr-Cyrl-CS"/>
              </w:rPr>
            </w:pPr>
            <w:r w:rsidRPr="00092ED7">
              <w:rPr>
                <w:rFonts w:cs="Times New Roman"/>
                <w:sz w:val="20"/>
                <w:szCs w:val="20"/>
                <w:lang w:val="sr-Cyrl-CS"/>
              </w:rPr>
              <w:t>3.</w:t>
            </w:r>
          </w:p>
        </w:tc>
        <w:tc>
          <w:tcPr>
            <w:tcW w:w="424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7FCBE762" w14:textId="1397137E" w:rsidR="00D210F0" w:rsidRPr="00092ED7" w:rsidRDefault="00A96FED" w:rsidP="006944C5">
            <w:pPr>
              <w:spacing w:after="0"/>
              <w:ind w:right="210"/>
              <w:rPr>
                <w:rFonts w:cs="Times New Roman"/>
                <w:color w:val="000000" w:themeColor="text1"/>
                <w:sz w:val="20"/>
                <w:szCs w:val="20"/>
                <w:lang w:val="sr-Cyrl-CS"/>
              </w:rPr>
            </w:pPr>
            <w:r w:rsidRPr="00092ED7">
              <w:rPr>
                <w:rFonts w:cs="Times New Roman"/>
                <w:sz w:val="20"/>
                <w:szCs w:val="20"/>
                <w:lang w:val="sr-Cyrl-CS"/>
              </w:rPr>
              <w:t xml:space="preserve">Припрема и усвајање </w:t>
            </w:r>
            <w:r w:rsidR="00D166B0" w:rsidRPr="00092ED7">
              <w:rPr>
                <w:rFonts w:cs="Times New Roman"/>
                <w:sz w:val="20"/>
                <w:szCs w:val="20"/>
                <w:lang w:val="sr-Cyrl-CS"/>
              </w:rPr>
              <w:t>з</w:t>
            </w:r>
            <w:r w:rsidRPr="00092ED7">
              <w:rPr>
                <w:rFonts w:cs="Times New Roman"/>
                <w:sz w:val="20"/>
                <w:szCs w:val="20"/>
                <w:lang w:val="sr-Cyrl-CS"/>
              </w:rPr>
              <w:t xml:space="preserve">акона о комасацији и </w:t>
            </w:r>
            <w:r w:rsidR="00D166B0" w:rsidRPr="00092ED7">
              <w:rPr>
                <w:rFonts w:cs="Times New Roman"/>
                <w:sz w:val="20"/>
                <w:szCs w:val="20"/>
                <w:lang w:val="sr-Cyrl-CS"/>
              </w:rPr>
              <w:t>з</w:t>
            </w:r>
            <w:r w:rsidRPr="00092ED7">
              <w:rPr>
                <w:rFonts w:cs="Times New Roman"/>
                <w:sz w:val="20"/>
                <w:szCs w:val="20"/>
                <w:lang w:val="sr-Cyrl-CS"/>
              </w:rPr>
              <w:t>акона о пољопривредном земљишту; доношење подзаконских аката у области комасације и вршења стручног надзора у поступцима комасације</w:t>
            </w:r>
            <w:r w:rsidRPr="00092ED7">
              <w:rPr>
                <w:rFonts w:cs="Times New Roman"/>
                <w:color w:val="000000" w:themeColor="text1"/>
                <w:sz w:val="20"/>
                <w:szCs w:val="20"/>
                <w:lang w:val="sr-Cyrl-CS"/>
              </w:rPr>
              <w:t xml:space="preserve"> и спровођење пилот комасација</w:t>
            </w:r>
          </w:p>
        </w:tc>
        <w:tc>
          <w:tcPr>
            <w:tcW w:w="368" w:type="dxa"/>
            <w:tcBorders>
              <w:top w:val="nil"/>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C789AE1" w14:textId="77777777" w:rsidR="00D210F0" w:rsidRPr="00092ED7" w:rsidRDefault="00D210F0" w:rsidP="006944C5">
            <w:pPr>
              <w:spacing w:after="0"/>
              <w:rPr>
                <w:rFonts w:cs="Times New Roman"/>
                <w:color w:val="000000"/>
                <w:sz w:val="18"/>
                <w:szCs w:val="18"/>
                <w:lang w:val="sr-Cyrl-CS"/>
              </w:rPr>
            </w:pPr>
          </w:p>
        </w:tc>
        <w:tc>
          <w:tcPr>
            <w:tcW w:w="369"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9DA8261" w14:textId="77777777" w:rsidR="00D210F0" w:rsidRPr="00092ED7" w:rsidRDefault="00D210F0" w:rsidP="006944C5">
            <w:pPr>
              <w:spacing w:after="0"/>
              <w:rPr>
                <w:rFonts w:cs="Times New Roman"/>
                <w:color w:val="000000"/>
                <w:sz w:val="18"/>
                <w:szCs w:val="18"/>
                <w:lang w:val="sr-Cyrl-CS"/>
              </w:rPr>
            </w:pPr>
          </w:p>
        </w:tc>
        <w:tc>
          <w:tcPr>
            <w:tcW w:w="367"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EC89881" w14:textId="77777777" w:rsidR="00D210F0" w:rsidRPr="00092ED7" w:rsidRDefault="00D210F0" w:rsidP="006944C5">
            <w:pPr>
              <w:spacing w:after="0"/>
              <w:rPr>
                <w:rFonts w:cs="Times New Roman"/>
                <w:color w:val="000000"/>
                <w:sz w:val="18"/>
                <w:szCs w:val="18"/>
                <w:lang w:val="sr-Cyrl-CS"/>
              </w:rPr>
            </w:pPr>
          </w:p>
        </w:tc>
        <w:tc>
          <w:tcPr>
            <w:tcW w:w="369"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508F81D3" w14:textId="77777777" w:rsidR="00D210F0" w:rsidRPr="00092ED7" w:rsidRDefault="00D210F0" w:rsidP="006944C5">
            <w:pPr>
              <w:spacing w:after="0"/>
              <w:rPr>
                <w:rFonts w:cs="Times New Roman"/>
                <w:color w:val="000000"/>
                <w:sz w:val="18"/>
                <w:szCs w:val="18"/>
                <w:lang w:val="sr-Cyrl-CS"/>
              </w:rPr>
            </w:pPr>
          </w:p>
        </w:tc>
        <w:tc>
          <w:tcPr>
            <w:tcW w:w="367"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2C746A3F" w14:textId="77777777" w:rsidR="00D210F0" w:rsidRPr="00092ED7" w:rsidRDefault="00D210F0" w:rsidP="006944C5">
            <w:pPr>
              <w:spacing w:after="0"/>
              <w:rPr>
                <w:rFonts w:cs="Times New Roman"/>
                <w:color w:val="000000"/>
                <w:sz w:val="18"/>
                <w:szCs w:val="18"/>
                <w:lang w:val="sr-Cyrl-CS"/>
              </w:rPr>
            </w:pPr>
          </w:p>
        </w:tc>
        <w:tc>
          <w:tcPr>
            <w:tcW w:w="368"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091CD0A0" w14:textId="77777777" w:rsidR="00D210F0" w:rsidRPr="00092ED7" w:rsidRDefault="00D210F0" w:rsidP="006944C5">
            <w:pPr>
              <w:spacing w:after="0"/>
              <w:rPr>
                <w:rFonts w:cs="Times New Roman"/>
                <w:color w:val="000000"/>
                <w:sz w:val="18"/>
                <w:szCs w:val="18"/>
                <w:lang w:val="sr-Cyrl-CS"/>
              </w:rPr>
            </w:pPr>
          </w:p>
        </w:tc>
        <w:tc>
          <w:tcPr>
            <w:tcW w:w="368"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317C4685" w14:textId="77777777" w:rsidR="00D210F0" w:rsidRPr="00092ED7" w:rsidRDefault="00D210F0" w:rsidP="006944C5">
            <w:pPr>
              <w:spacing w:after="0"/>
              <w:rPr>
                <w:rFonts w:cs="Times New Roman"/>
                <w:color w:val="000000"/>
                <w:sz w:val="18"/>
                <w:szCs w:val="18"/>
                <w:lang w:val="sr-Cyrl-CS"/>
              </w:rPr>
            </w:pPr>
          </w:p>
        </w:tc>
        <w:tc>
          <w:tcPr>
            <w:tcW w:w="368"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07AA1F3B" w14:textId="77777777" w:rsidR="00D210F0" w:rsidRPr="00092ED7" w:rsidRDefault="00D210F0" w:rsidP="006944C5">
            <w:pPr>
              <w:spacing w:after="0"/>
              <w:rPr>
                <w:rFonts w:cs="Times New Roman"/>
                <w:color w:val="000000"/>
                <w:sz w:val="18"/>
                <w:szCs w:val="18"/>
                <w:lang w:val="sr-Cyrl-CS"/>
              </w:rPr>
            </w:pPr>
          </w:p>
        </w:tc>
        <w:tc>
          <w:tcPr>
            <w:tcW w:w="368"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247CD5C7" w14:textId="77777777" w:rsidR="00D210F0" w:rsidRPr="00092ED7" w:rsidRDefault="00D210F0" w:rsidP="006944C5">
            <w:pPr>
              <w:spacing w:after="0"/>
              <w:rPr>
                <w:rFonts w:cs="Times New Roman"/>
                <w:color w:val="000000"/>
                <w:sz w:val="18"/>
                <w:szCs w:val="18"/>
                <w:lang w:val="sr-Cyrl-CS"/>
              </w:rPr>
            </w:pPr>
          </w:p>
        </w:tc>
        <w:tc>
          <w:tcPr>
            <w:tcW w:w="367"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42207BC" w14:textId="77777777" w:rsidR="00D210F0" w:rsidRPr="00092ED7" w:rsidRDefault="00D210F0" w:rsidP="006944C5">
            <w:pPr>
              <w:spacing w:after="0"/>
              <w:rPr>
                <w:rFonts w:cs="Times New Roman"/>
                <w:color w:val="000000"/>
                <w:sz w:val="18"/>
                <w:szCs w:val="18"/>
                <w:lang w:val="sr-Cyrl-CS"/>
              </w:rPr>
            </w:pPr>
          </w:p>
        </w:tc>
        <w:tc>
          <w:tcPr>
            <w:tcW w:w="368"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088FAC57" w14:textId="77777777" w:rsidR="00D210F0" w:rsidRPr="00092ED7" w:rsidRDefault="00D210F0" w:rsidP="006944C5">
            <w:pPr>
              <w:spacing w:after="0"/>
              <w:rPr>
                <w:rFonts w:cs="Times New Roman"/>
                <w:color w:val="000000"/>
                <w:sz w:val="18"/>
                <w:szCs w:val="18"/>
                <w:lang w:val="sr-Cyrl-CS"/>
              </w:rPr>
            </w:pPr>
          </w:p>
        </w:tc>
        <w:tc>
          <w:tcPr>
            <w:tcW w:w="369"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0AD32E72" w14:textId="77777777" w:rsidR="00D210F0" w:rsidRPr="00092ED7" w:rsidRDefault="00D210F0" w:rsidP="006944C5">
            <w:pPr>
              <w:spacing w:after="0"/>
              <w:rPr>
                <w:rFonts w:cs="Times New Roman"/>
                <w:color w:val="000000"/>
                <w:sz w:val="18"/>
                <w:szCs w:val="18"/>
                <w:lang w:val="sr-Cyrl-CS"/>
              </w:rPr>
            </w:pPr>
          </w:p>
        </w:tc>
      </w:tr>
      <w:tr w:rsidR="00D210F0" w:rsidRPr="00092ED7" w14:paraId="2D7D441C" w14:textId="77777777" w:rsidTr="006944C5">
        <w:trPr>
          <w:trHeight w:val="302"/>
        </w:trPr>
        <w:tc>
          <w:tcPr>
            <w:tcW w:w="42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hideMark/>
          </w:tcPr>
          <w:p w14:paraId="1B6D22E4" w14:textId="77777777" w:rsidR="00D210F0" w:rsidRPr="00092ED7" w:rsidRDefault="00D210F0" w:rsidP="006944C5">
            <w:pPr>
              <w:spacing w:after="0"/>
              <w:jc w:val="center"/>
              <w:rPr>
                <w:rFonts w:cs="Times New Roman"/>
                <w:sz w:val="20"/>
                <w:szCs w:val="20"/>
                <w:lang w:val="sr-Cyrl-CS"/>
              </w:rPr>
            </w:pPr>
            <w:r w:rsidRPr="00092ED7">
              <w:rPr>
                <w:rFonts w:cs="Times New Roman"/>
                <w:sz w:val="20"/>
                <w:szCs w:val="20"/>
                <w:lang w:val="sr-Cyrl-CS"/>
              </w:rPr>
              <w:t>4.</w:t>
            </w:r>
          </w:p>
        </w:tc>
        <w:tc>
          <w:tcPr>
            <w:tcW w:w="4248"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4E04438" w14:textId="77777777" w:rsidR="00D210F0" w:rsidRPr="00092ED7" w:rsidRDefault="00D210F0" w:rsidP="006944C5">
            <w:pPr>
              <w:spacing w:after="0"/>
              <w:ind w:right="210"/>
              <w:rPr>
                <w:sz w:val="20"/>
                <w:szCs w:val="20"/>
                <w:lang w:val="sr-Cyrl-CS"/>
              </w:rPr>
            </w:pPr>
            <w:r w:rsidRPr="00092ED7">
              <w:rPr>
                <w:rFonts w:cs="Times New Roman"/>
                <w:sz w:val="20"/>
                <w:szCs w:val="20"/>
                <w:lang w:val="sr-Cyrl-CS"/>
              </w:rPr>
              <w:t>Имплементација информационог система за подршку спровођења стручног надзора у спровођењу комасације - контролни модул и модул интеграције за повезивање са информационим системом катастра непокретности и обука запослених на спровођењу стручног надзора</w:t>
            </w:r>
          </w:p>
        </w:tc>
        <w:tc>
          <w:tcPr>
            <w:tcW w:w="368"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center"/>
          </w:tcPr>
          <w:p w14:paraId="6AA5E571" w14:textId="77777777" w:rsidR="00D210F0" w:rsidRPr="00092ED7" w:rsidRDefault="00D210F0" w:rsidP="006944C5">
            <w:pPr>
              <w:spacing w:after="0"/>
              <w:rPr>
                <w:rFonts w:cs="Times New Roman"/>
                <w:color w:val="000000"/>
                <w:sz w:val="18"/>
                <w:szCs w:val="18"/>
                <w:lang w:val="sr-Cyrl-CS"/>
              </w:rPr>
            </w:pPr>
          </w:p>
        </w:tc>
        <w:tc>
          <w:tcPr>
            <w:tcW w:w="369"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center"/>
          </w:tcPr>
          <w:p w14:paraId="79601CBA" w14:textId="77777777" w:rsidR="00D210F0" w:rsidRPr="00092ED7" w:rsidRDefault="00D210F0" w:rsidP="006944C5">
            <w:pPr>
              <w:spacing w:after="0"/>
              <w:rPr>
                <w:rFonts w:cs="Times New Roman"/>
                <w:color w:val="000000"/>
                <w:sz w:val="18"/>
                <w:szCs w:val="18"/>
                <w:lang w:val="sr-Cyrl-CS"/>
              </w:rPr>
            </w:pPr>
          </w:p>
        </w:tc>
        <w:tc>
          <w:tcPr>
            <w:tcW w:w="367"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center"/>
          </w:tcPr>
          <w:p w14:paraId="773B155C" w14:textId="77777777" w:rsidR="00D210F0" w:rsidRPr="00092ED7" w:rsidRDefault="00D210F0" w:rsidP="006944C5">
            <w:pPr>
              <w:spacing w:after="0"/>
              <w:rPr>
                <w:rFonts w:cs="Times New Roman"/>
                <w:color w:val="000000"/>
                <w:sz w:val="18"/>
                <w:szCs w:val="18"/>
                <w:lang w:val="sr-Cyrl-CS"/>
              </w:rPr>
            </w:pPr>
          </w:p>
        </w:tc>
        <w:tc>
          <w:tcPr>
            <w:tcW w:w="369"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center"/>
          </w:tcPr>
          <w:p w14:paraId="30AF6C20" w14:textId="77777777" w:rsidR="00D210F0" w:rsidRPr="00092ED7" w:rsidRDefault="00D210F0" w:rsidP="006944C5">
            <w:pPr>
              <w:spacing w:after="0"/>
              <w:rPr>
                <w:rFonts w:cs="Times New Roman"/>
                <w:color w:val="000000"/>
                <w:sz w:val="18"/>
                <w:szCs w:val="18"/>
                <w:lang w:val="sr-Cyrl-CS"/>
              </w:rPr>
            </w:pPr>
          </w:p>
        </w:tc>
        <w:tc>
          <w:tcPr>
            <w:tcW w:w="367"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center"/>
          </w:tcPr>
          <w:p w14:paraId="54D3CB49" w14:textId="77777777" w:rsidR="00D210F0" w:rsidRPr="00092ED7" w:rsidRDefault="00D210F0" w:rsidP="006944C5">
            <w:pPr>
              <w:spacing w:after="0"/>
              <w:rPr>
                <w:rFonts w:cs="Times New Roman"/>
                <w:color w:val="000000"/>
                <w:sz w:val="18"/>
                <w:szCs w:val="18"/>
                <w:lang w:val="sr-Cyrl-CS"/>
              </w:rPr>
            </w:pPr>
          </w:p>
        </w:tc>
        <w:tc>
          <w:tcPr>
            <w:tcW w:w="368"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center"/>
          </w:tcPr>
          <w:p w14:paraId="5C2A8A2E" w14:textId="77777777" w:rsidR="00D210F0" w:rsidRPr="00092ED7" w:rsidRDefault="00D210F0" w:rsidP="006944C5">
            <w:pPr>
              <w:spacing w:after="0"/>
              <w:rPr>
                <w:rFonts w:cs="Times New Roman"/>
                <w:color w:val="000000"/>
                <w:sz w:val="18"/>
                <w:szCs w:val="18"/>
                <w:lang w:val="sr-Cyrl-CS"/>
              </w:rPr>
            </w:pPr>
          </w:p>
        </w:tc>
        <w:tc>
          <w:tcPr>
            <w:tcW w:w="368"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center"/>
          </w:tcPr>
          <w:p w14:paraId="6703FEAB" w14:textId="77777777" w:rsidR="00D210F0" w:rsidRPr="00092ED7" w:rsidRDefault="00D210F0" w:rsidP="006944C5">
            <w:pPr>
              <w:spacing w:after="0"/>
              <w:rPr>
                <w:rFonts w:cs="Times New Roman"/>
                <w:color w:val="000000"/>
                <w:sz w:val="18"/>
                <w:szCs w:val="18"/>
                <w:lang w:val="sr-Cyrl-CS"/>
              </w:rPr>
            </w:pPr>
          </w:p>
        </w:tc>
        <w:tc>
          <w:tcPr>
            <w:tcW w:w="368"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center"/>
          </w:tcPr>
          <w:p w14:paraId="1F4DDEE8" w14:textId="77777777" w:rsidR="00D210F0" w:rsidRPr="00092ED7" w:rsidRDefault="00D210F0" w:rsidP="006944C5">
            <w:pPr>
              <w:spacing w:after="0"/>
              <w:rPr>
                <w:rFonts w:cs="Times New Roman"/>
                <w:color w:val="000000"/>
                <w:sz w:val="18"/>
                <w:szCs w:val="18"/>
                <w:lang w:val="sr-Cyrl-CS"/>
              </w:rPr>
            </w:pPr>
          </w:p>
        </w:tc>
        <w:tc>
          <w:tcPr>
            <w:tcW w:w="368" w:type="dxa"/>
            <w:tcBorders>
              <w:top w:val="nil"/>
              <w:left w:val="nil"/>
              <w:bottom w:val="single" w:sz="4" w:space="0" w:color="auto"/>
              <w:right w:val="single" w:sz="4" w:space="0" w:color="auto"/>
            </w:tcBorders>
            <w:tcMar>
              <w:top w:w="15" w:type="dxa"/>
              <w:left w:w="15" w:type="dxa"/>
              <w:bottom w:w="0" w:type="dxa"/>
              <w:right w:w="15" w:type="dxa"/>
            </w:tcMar>
            <w:vAlign w:val="center"/>
          </w:tcPr>
          <w:p w14:paraId="096D3CA2" w14:textId="77777777" w:rsidR="00D210F0" w:rsidRPr="00092ED7" w:rsidRDefault="00D210F0" w:rsidP="006944C5">
            <w:pPr>
              <w:spacing w:after="0"/>
              <w:rPr>
                <w:rFonts w:cs="Times New Roman"/>
                <w:color w:val="000000"/>
                <w:sz w:val="18"/>
                <w:szCs w:val="18"/>
                <w:lang w:val="sr-Cyrl-CS"/>
              </w:rPr>
            </w:pPr>
          </w:p>
        </w:tc>
        <w:tc>
          <w:tcPr>
            <w:tcW w:w="367" w:type="dxa"/>
            <w:tcBorders>
              <w:top w:val="nil"/>
              <w:left w:val="nil"/>
              <w:bottom w:val="single" w:sz="4" w:space="0" w:color="auto"/>
              <w:right w:val="single" w:sz="4" w:space="0" w:color="auto"/>
            </w:tcBorders>
            <w:tcMar>
              <w:top w:w="15" w:type="dxa"/>
              <w:left w:w="15" w:type="dxa"/>
              <w:bottom w:w="0" w:type="dxa"/>
              <w:right w:w="15" w:type="dxa"/>
            </w:tcMar>
            <w:vAlign w:val="center"/>
          </w:tcPr>
          <w:p w14:paraId="3EBBB7DE" w14:textId="77777777" w:rsidR="00D210F0" w:rsidRPr="00092ED7" w:rsidRDefault="00D210F0" w:rsidP="006944C5">
            <w:pPr>
              <w:spacing w:after="0"/>
              <w:rPr>
                <w:rFonts w:cs="Times New Roman"/>
                <w:color w:val="000000"/>
                <w:sz w:val="18"/>
                <w:szCs w:val="18"/>
                <w:lang w:val="sr-Cyrl-CS"/>
              </w:rPr>
            </w:pPr>
          </w:p>
        </w:tc>
        <w:tc>
          <w:tcPr>
            <w:tcW w:w="368" w:type="dxa"/>
            <w:tcBorders>
              <w:top w:val="nil"/>
              <w:left w:val="nil"/>
              <w:bottom w:val="single" w:sz="4" w:space="0" w:color="auto"/>
              <w:right w:val="single" w:sz="4" w:space="0" w:color="auto"/>
            </w:tcBorders>
            <w:tcMar>
              <w:top w:w="15" w:type="dxa"/>
              <w:left w:w="15" w:type="dxa"/>
              <w:bottom w:w="0" w:type="dxa"/>
              <w:right w:w="15" w:type="dxa"/>
            </w:tcMar>
            <w:vAlign w:val="center"/>
          </w:tcPr>
          <w:p w14:paraId="42898F26" w14:textId="77777777" w:rsidR="00D210F0" w:rsidRPr="00092ED7" w:rsidRDefault="00D210F0" w:rsidP="006944C5">
            <w:pPr>
              <w:spacing w:after="0"/>
              <w:rPr>
                <w:rFonts w:cs="Times New Roman"/>
                <w:color w:val="000000"/>
                <w:sz w:val="18"/>
                <w:szCs w:val="18"/>
                <w:lang w:val="sr-Cyrl-CS"/>
              </w:rPr>
            </w:pPr>
          </w:p>
        </w:tc>
        <w:tc>
          <w:tcPr>
            <w:tcW w:w="369" w:type="dxa"/>
            <w:tcBorders>
              <w:top w:val="nil"/>
              <w:left w:val="nil"/>
              <w:bottom w:val="single" w:sz="4" w:space="0" w:color="auto"/>
              <w:right w:val="single" w:sz="4" w:space="0" w:color="auto"/>
            </w:tcBorders>
            <w:shd w:val="clear" w:color="auto" w:fill="FFFFFF" w:themeFill="background1"/>
            <w:tcMar>
              <w:top w:w="15" w:type="dxa"/>
              <w:left w:w="15" w:type="dxa"/>
              <w:bottom w:w="0" w:type="dxa"/>
              <w:right w:w="15" w:type="dxa"/>
            </w:tcMar>
            <w:vAlign w:val="center"/>
          </w:tcPr>
          <w:p w14:paraId="324573EE" w14:textId="77777777" w:rsidR="00D210F0" w:rsidRPr="00092ED7" w:rsidRDefault="00D210F0" w:rsidP="006944C5">
            <w:pPr>
              <w:spacing w:after="0"/>
              <w:rPr>
                <w:rFonts w:cs="Times New Roman"/>
                <w:color w:val="000000"/>
                <w:sz w:val="18"/>
                <w:szCs w:val="18"/>
                <w:lang w:val="sr-Cyrl-CS"/>
              </w:rPr>
            </w:pPr>
          </w:p>
        </w:tc>
      </w:tr>
      <w:tr w:rsidR="00D210F0" w:rsidRPr="00092ED7" w14:paraId="68F08FA9" w14:textId="77777777" w:rsidTr="006944C5">
        <w:trPr>
          <w:trHeight w:val="302"/>
        </w:trPr>
        <w:tc>
          <w:tcPr>
            <w:tcW w:w="42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hideMark/>
          </w:tcPr>
          <w:p w14:paraId="39AAA70F" w14:textId="77777777" w:rsidR="00D210F0" w:rsidRPr="00092ED7" w:rsidRDefault="00D210F0" w:rsidP="006944C5">
            <w:pPr>
              <w:spacing w:after="0"/>
              <w:jc w:val="center"/>
              <w:rPr>
                <w:rFonts w:cs="Times New Roman"/>
                <w:sz w:val="20"/>
                <w:szCs w:val="20"/>
                <w:lang w:val="sr-Cyrl-CS"/>
              </w:rPr>
            </w:pPr>
            <w:r w:rsidRPr="00092ED7">
              <w:rPr>
                <w:rFonts w:cs="Times New Roman"/>
                <w:sz w:val="20"/>
                <w:szCs w:val="20"/>
                <w:lang w:val="sr-Cyrl-CS"/>
              </w:rPr>
              <w:t>5.</w:t>
            </w:r>
          </w:p>
        </w:tc>
        <w:tc>
          <w:tcPr>
            <w:tcW w:w="4248"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2D7CFD3" w14:textId="77777777" w:rsidR="00D210F0" w:rsidRPr="00092ED7" w:rsidRDefault="00D210F0" w:rsidP="006944C5">
            <w:pPr>
              <w:spacing w:after="0"/>
              <w:ind w:right="210"/>
              <w:rPr>
                <w:sz w:val="20"/>
                <w:szCs w:val="20"/>
                <w:lang w:val="sr-Cyrl-CS"/>
              </w:rPr>
            </w:pPr>
            <w:r w:rsidRPr="00092ED7">
              <w:rPr>
                <w:rFonts w:eastAsia="Times New Roman" w:cs="Times New Roman"/>
                <w:sz w:val="20"/>
                <w:szCs w:val="20"/>
                <w:lang w:val="sr-Cyrl-CS"/>
              </w:rPr>
              <w:t>Јачање капацитета и обука запослених у Управи за аграрна плаћања</w:t>
            </w:r>
          </w:p>
        </w:tc>
        <w:tc>
          <w:tcPr>
            <w:tcW w:w="368"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center"/>
          </w:tcPr>
          <w:p w14:paraId="0C4CC8A4" w14:textId="77777777" w:rsidR="00D210F0" w:rsidRPr="00092ED7" w:rsidRDefault="00D210F0" w:rsidP="006944C5">
            <w:pPr>
              <w:spacing w:after="0"/>
              <w:rPr>
                <w:rFonts w:cs="Times New Roman"/>
                <w:color w:val="000000"/>
                <w:sz w:val="18"/>
                <w:szCs w:val="18"/>
                <w:lang w:val="sr-Cyrl-CS"/>
              </w:rPr>
            </w:pPr>
          </w:p>
        </w:tc>
        <w:tc>
          <w:tcPr>
            <w:tcW w:w="369"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center"/>
          </w:tcPr>
          <w:p w14:paraId="78BA0022" w14:textId="77777777" w:rsidR="00D210F0" w:rsidRPr="00092ED7" w:rsidRDefault="00D210F0" w:rsidP="006944C5">
            <w:pPr>
              <w:spacing w:after="0"/>
              <w:rPr>
                <w:rFonts w:cs="Times New Roman"/>
                <w:color w:val="000000"/>
                <w:sz w:val="18"/>
                <w:szCs w:val="18"/>
                <w:lang w:val="sr-Cyrl-CS"/>
              </w:rPr>
            </w:pPr>
          </w:p>
        </w:tc>
        <w:tc>
          <w:tcPr>
            <w:tcW w:w="367"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center"/>
          </w:tcPr>
          <w:p w14:paraId="12A42046" w14:textId="77777777" w:rsidR="00D210F0" w:rsidRPr="00092ED7" w:rsidRDefault="00D210F0" w:rsidP="006944C5">
            <w:pPr>
              <w:spacing w:after="0"/>
              <w:rPr>
                <w:rFonts w:cs="Times New Roman"/>
                <w:color w:val="000000"/>
                <w:sz w:val="18"/>
                <w:szCs w:val="18"/>
                <w:lang w:val="sr-Cyrl-CS"/>
              </w:rPr>
            </w:pPr>
          </w:p>
        </w:tc>
        <w:tc>
          <w:tcPr>
            <w:tcW w:w="369"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center"/>
          </w:tcPr>
          <w:p w14:paraId="3D76E416" w14:textId="77777777" w:rsidR="00D210F0" w:rsidRPr="00092ED7" w:rsidRDefault="00D210F0" w:rsidP="006944C5">
            <w:pPr>
              <w:spacing w:after="0"/>
              <w:rPr>
                <w:rFonts w:cs="Times New Roman"/>
                <w:color w:val="000000"/>
                <w:sz w:val="18"/>
                <w:szCs w:val="18"/>
                <w:lang w:val="sr-Cyrl-CS"/>
              </w:rPr>
            </w:pPr>
          </w:p>
        </w:tc>
        <w:tc>
          <w:tcPr>
            <w:tcW w:w="367"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center"/>
          </w:tcPr>
          <w:p w14:paraId="151904D9" w14:textId="77777777" w:rsidR="00D210F0" w:rsidRPr="00092ED7" w:rsidRDefault="00D210F0" w:rsidP="006944C5">
            <w:pPr>
              <w:spacing w:after="0"/>
              <w:rPr>
                <w:rFonts w:cs="Times New Roman"/>
                <w:color w:val="000000"/>
                <w:sz w:val="18"/>
                <w:szCs w:val="18"/>
                <w:lang w:val="sr-Cyrl-CS"/>
              </w:rPr>
            </w:pPr>
          </w:p>
        </w:tc>
        <w:tc>
          <w:tcPr>
            <w:tcW w:w="368"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center"/>
          </w:tcPr>
          <w:p w14:paraId="7BDBBF09" w14:textId="77777777" w:rsidR="00D210F0" w:rsidRPr="00092ED7" w:rsidRDefault="00D210F0" w:rsidP="006944C5">
            <w:pPr>
              <w:spacing w:after="0"/>
              <w:rPr>
                <w:rFonts w:cs="Times New Roman"/>
                <w:color w:val="000000"/>
                <w:sz w:val="18"/>
                <w:szCs w:val="18"/>
                <w:lang w:val="sr-Cyrl-CS"/>
              </w:rPr>
            </w:pPr>
          </w:p>
        </w:tc>
        <w:tc>
          <w:tcPr>
            <w:tcW w:w="368"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center"/>
          </w:tcPr>
          <w:p w14:paraId="383CC40A" w14:textId="77777777" w:rsidR="00D210F0" w:rsidRPr="00092ED7" w:rsidRDefault="00D210F0" w:rsidP="006944C5">
            <w:pPr>
              <w:spacing w:after="0"/>
              <w:rPr>
                <w:rFonts w:cs="Times New Roman"/>
                <w:color w:val="000000"/>
                <w:sz w:val="18"/>
                <w:szCs w:val="18"/>
                <w:lang w:val="sr-Cyrl-CS"/>
              </w:rPr>
            </w:pPr>
          </w:p>
        </w:tc>
        <w:tc>
          <w:tcPr>
            <w:tcW w:w="368"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center"/>
          </w:tcPr>
          <w:p w14:paraId="0E399292" w14:textId="77777777" w:rsidR="00D210F0" w:rsidRPr="00092ED7" w:rsidRDefault="00D210F0" w:rsidP="006944C5">
            <w:pPr>
              <w:spacing w:after="0"/>
              <w:rPr>
                <w:rFonts w:cs="Times New Roman"/>
                <w:color w:val="000000"/>
                <w:sz w:val="18"/>
                <w:szCs w:val="18"/>
                <w:lang w:val="sr-Cyrl-CS"/>
              </w:rPr>
            </w:pPr>
          </w:p>
        </w:tc>
        <w:tc>
          <w:tcPr>
            <w:tcW w:w="368"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center"/>
          </w:tcPr>
          <w:p w14:paraId="51B8A3D5" w14:textId="77777777" w:rsidR="00D210F0" w:rsidRPr="00092ED7" w:rsidRDefault="00D210F0" w:rsidP="006944C5">
            <w:pPr>
              <w:spacing w:after="0"/>
              <w:rPr>
                <w:rFonts w:cs="Times New Roman"/>
                <w:color w:val="000000"/>
                <w:sz w:val="18"/>
                <w:szCs w:val="18"/>
                <w:lang w:val="sr-Cyrl-CS"/>
              </w:rPr>
            </w:pPr>
          </w:p>
        </w:tc>
        <w:tc>
          <w:tcPr>
            <w:tcW w:w="367"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center"/>
          </w:tcPr>
          <w:p w14:paraId="33721672" w14:textId="77777777" w:rsidR="00D210F0" w:rsidRPr="00092ED7" w:rsidRDefault="00D210F0" w:rsidP="006944C5">
            <w:pPr>
              <w:spacing w:after="0"/>
              <w:rPr>
                <w:rFonts w:cs="Times New Roman"/>
                <w:color w:val="000000"/>
                <w:sz w:val="18"/>
                <w:szCs w:val="18"/>
                <w:lang w:val="sr-Cyrl-CS"/>
              </w:rPr>
            </w:pPr>
          </w:p>
        </w:tc>
        <w:tc>
          <w:tcPr>
            <w:tcW w:w="368"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center"/>
          </w:tcPr>
          <w:p w14:paraId="3AD3D4C1" w14:textId="77777777" w:rsidR="00D210F0" w:rsidRPr="00092ED7" w:rsidRDefault="00D210F0" w:rsidP="006944C5">
            <w:pPr>
              <w:spacing w:after="0"/>
              <w:rPr>
                <w:rFonts w:cs="Times New Roman"/>
                <w:color w:val="000000"/>
                <w:sz w:val="18"/>
                <w:szCs w:val="18"/>
                <w:lang w:val="sr-Cyrl-CS"/>
              </w:rPr>
            </w:pPr>
          </w:p>
        </w:tc>
        <w:tc>
          <w:tcPr>
            <w:tcW w:w="369"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center"/>
          </w:tcPr>
          <w:p w14:paraId="6B95B293" w14:textId="77777777" w:rsidR="00D210F0" w:rsidRPr="00092ED7" w:rsidRDefault="00D210F0" w:rsidP="006944C5">
            <w:pPr>
              <w:spacing w:after="0"/>
              <w:rPr>
                <w:rFonts w:cs="Times New Roman"/>
                <w:color w:val="000000"/>
                <w:sz w:val="18"/>
                <w:szCs w:val="18"/>
                <w:lang w:val="sr-Cyrl-CS"/>
              </w:rPr>
            </w:pPr>
          </w:p>
        </w:tc>
      </w:tr>
      <w:tr w:rsidR="00D210F0" w:rsidRPr="00092ED7" w14:paraId="57C3A591" w14:textId="77777777" w:rsidTr="006944C5">
        <w:trPr>
          <w:trHeight w:val="302"/>
        </w:trPr>
        <w:tc>
          <w:tcPr>
            <w:tcW w:w="42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hideMark/>
          </w:tcPr>
          <w:p w14:paraId="6FC433B6" w14:textId="77777777" w:rsidR="00D210F0" w:rsidRPr="00092ED7" w:rsidRDefault="00D210F0" w:rsidP="006944C5">
            <w:pPr>
              <w:spacing w:after="0"/>
              <w:jc w:val="center"/>
              <w:rPr>
                <w:rFonts w:cs="Times New Roman"/>
                <w:sz w:val="20"/>
                <w:szCs w:val="20"/>
                <w:lang w:val="sr-Cyrl-CS"/>
              </w:rPr>
            </w:pPr>
            <w:r w:rsidRPr="00092ED7">
              <w:rPr>
                <w:rFonts w:cs="Times New Roman"/>
                <w:sz w:val="20"/>
                <w:szCs w:val="20"/>
                <w:lang w:val="sr-Cyrl-CS"/>
              </w:rPr>
              <w:t>6.</w:t>
            </w:r>
          </w:p>
        </w:tc>
        <w:tc>
          <w:tcPr>
            <w:tcW w:w="4248"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hideMark/>
          </w:tcPr>
          <w:p w14:paraId="5500CDD8" w14:textId="77777777" w:rsidR="00D210F0" w:rsidRPr="00092ED7" w:rsidRDefault="00D210F0" w:rsidP="006944C5">
            <w:pPr>
              <w:spacing w:after="0"/>
              <w:ind w:right="210"/>
              <w:rPr>
                <w:sz w:val="20"/>
                <w:szCs w:val="20"/>
                <w:lang w:val="sr-Cyrl-CS"/>
              </w:rPr>
            </w:pPr>
            <w:r w:rsidRPr="00092ED7">
              <w:rPr>
                <w:rFonts w:eastAsia="Times New Roman" w:cs="Times New Roman"/>
                <w:sz w:val="20"/>
                <w:szCs w:val="20"/>
                <w:lang w:val="sr-Cyrl-CS"/>
              </w:rPr>
              <w:t>Израда софтвера за базе РПГ и LPIS, повезивање са Регистром животиња и израда преосталих елемената IACS</w:t>
            </w:r>
          </w:p>
        </w:tc>
        <w:tc>
          <w:tcPr>
            <w:tcW w:w="368"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center"/>
          </w:tcPr>
          <w:p w14:paraId="1AE5B3B5" w14:textId="77777777" w:rsidR="00D210F0" w:rsidRPr="00092ED7" w:rsidRDefault="00D210F0" w:rsidP="006944C5">
            <w:pPr>
              <w:spacing w:after="0"/>
              <w:rPr>
                <w:rFonts w:cs="Times New Roman"/>
                <w:color w:val="000000"/>
                <w:sz w:val="18"/>
                <w:szCs w:val="18"/>
                <w:lang w:val="sr-Cyrl-CS"/>
              </w:rPr>
            </w:pPr>
          </w:p>
        </w:tc>
        <w:tc>
          <w:tcPr>
            <w:tcW w:w="369"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center"/>
          </w:tcPr>
          <w:p w14:paraId="792BF13B" w14:textId="77777777" w:rsidR="00D210F0" w:rsidRPr="00092ED7" w:rsidRDefault="00D210F0" w:rsidP="006944C5">
            <w:pPr>
              <w:spacing w:after="0"/>
              <w:rPr>
                <w:rFonts w:cs="Times New Roman"/>
                <w:color w:val="000000"/>
                <w:sz w:val="18"/>
                <w:szCs w:val="18"/>
                <w:lang w:val="sr-Cyrl-CS"/>
              </w:rPr>
            </w:pPr>
          </w:p>
        </w:tc>
        <w:tc>
          <w:tcPr>
            <w:tcW w:w="367"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center"/>
          </w:tcPr>
          <w:p w14:paraId="25D25368" w14:textId="77777777" w:rsidR="00D210F0" w:rsidRPr="00092ED7" w:rsidRDefault="00D210F0" w:rsidP="006944C5">
            <w:pPr>
              <w:spacing w:after="0"/>
              <w:rPr>
                <w:rFonts w:cs="Times New Roman"/>
                <w:color w:val="000000"/>
                <w:sz w:val="18"/>
                <w:szCs w:val="18"/>
                <w:lang w:val="sr-Cyrl-CS"/>
              </w:rPr>
            </w:pPr>
          </w:p>
        </w:tc>
        <w:tc>
          <w:tcPr>
            <w:tcW w:w="369"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center"/>
          </w:tcPr>
          <w:p w14:paraId="10D670B6" w14:textId="77777777" w:rsidR="00D210F0" w:rsidRPr="00092ED7" w:rsidRDefault="00D210F0" w:rsidP="006944C5">
            <w:pPr>
              <w:spacing w:after="0"/>
              <w:rPr>
                <w:rFonts w:cs="Times New Roman"/>
                <w:color w:val="000000"/>
                <w:sz w:val="18"/>
                <w:szCs w:val="18"/>
                <w:lang w:val="sr-Cyrl-CS"/>
              </w:rPr>
            </w:pPr>
          </w:p>
        </w:tc>
        <w:tc>
          <w:tcPr>
            <w:tcW w:w="367"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center"/>
          </w:tcPr>
          <w:p w14:paraId="0DAEA4E0" w14:textId="77777777" w:rsidR="00D210F0" w:rsidRPr="00092ED7" w:rsidRDefault="00D210F0" w:rsidP="006944C5">
            <w:pPr>
              <w:spacing w:after="0"/>
              <w:rPr>
                <w:rFonts w:cs="Times New Roman"/>
                <w:color w:val="000000"/>
                <w:sz w:val="18"/>
                <w:szCs w:val="18"/>
                <w:lang w:val="sr-Cyrl-CS"/>
              </w:rPr>
            </w:pPr>
          </w:p>
        </w:tc>
        <w:tc>
          <w:tcPr>
            <w:tcW w:w="368"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center"/>
          </w:tcPr>
          <w:p w14:paraId="7FF7E609" w14:textId="77777777" w:rsidR="00D210F0" w:rsidRPr="00092ED7" w:rsidRDefault="00D210F0" w:rsidP="006944C5">
            <w:pPr>
              <w:spacing w:after="0"/>
              <w:rPr>
                <w:rFonts w:cs="Times New Roman"/>
                <w:color w:val="000000"/>
                <w:sz w:val="18"/>
                <w:szCs w:val="18"/>
                <w:lang w:val="sr-Cyrl-CS"/>
              </w:rPr>
            </w:pPr>
          </w:p>
        </w:tc>
        <w:tc>
          <w:tcPr>
            <w:tcW w:w="368"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center"/>
          </w:tcPr>
          <w:p w14:paraId="6440DE1B" w14:textId="77777777" w:rsidR="00D210F0" w:rsidRPr="00092ED7" w:rsidRDefault="00D210F0" w:rsidP="006944C5">
            <w:pPr>
              <w:spacing w:after="0"/>
              <w:rPr>
                <w:rFonts w:cs="Times New Roman"/>
                <w:color w:val="000000"/>
                <w:sz w:val="18"/>
                <w:szCs w:val="18"/>
                <w:lang w:val="sr-Cyrl-CS"/>
              </w:rPr>
            </w:pPr>
          </w:p>
        </w:tc>
        <w:tc>
          <w:tcPr>
            <w:tcW w:w="368"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center"/>
          </w:tcPr>
          <w:p w14:paraId="27958EF2" w14:textId="77777777" w:rsidR="00D210F0" w:rsidRPr="00092ED7" w:rsidRDefault="00D210F0" w:rsidP="006944C5">
            <w:pPr>
              <w:spacing w:after="0"/>
              <w:rPr>
                <w:rFonts w:cs="Times New Roman"/>
                <w:color w:val="000000"/>
                <w:sz w:val="18"/>
                <w:szCs w:val="18"/>
                <w:lang w:val="sr-Cyrl-CS"/>
              </w:rPr>
            </w:pPr>
          </w:p>
        </w:tc>
        <w:tc>
          <w:tcPr>
            <w:tcW w:w="368"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center"/>
          </w:tcPr>
          <w:p w14:paraId="2F99AB4A" w14:textId="77777777" w:rsidR="00D210F0" w:rsidRPr="00092ED7" w:rsidRDefault="00D210F0" w:rsidP="006944C5">
            <w:pPr>
              <w:spacing w:after="0"/>
              <w:rPr>
                <w:rFonts w:cs="Times New Roman"/>
                <w:color w:val="000000"/>
                <w:sz w:val="18"/>
                <w:szCs w:val="18"/>
                <w:lang w:val="sr-Cyrl-CS"/>
              </w:rPr>
            </w:pPr>
          </w:p>
        </w:tc>
        <w:tc>
          <w:tcPr>
            <w:tcW w:w="367"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center"/>
          </w:tcPr>
          <w:p w14:paraId="354CF366" w14:textId="77777777" w:rsidR="00D210F0" w:rsidRPr="00092ED7" w:rsidRDefault="00D210F0" w:rsidP="006944C5">
            <w:pPr>
              <w:spacing w:after="0"/>
              <w:rPr>
                <w:rFonts w:cs="Times New Roman"/>
                <w:color w:val="000000"/>
                <w:sz w:val="18"/>
                <w:szCs w:val="18"/>
                <w:lang w:val="sr-Cyrl-CS"/>
              </w:rPr>
            </w:pPr>
          </w:p>
        </w:tc>
        <w:tc>
          <w:tcPr>
            <w:tcW w:w="368"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center"/>
          </w:tcPr>
          <w:p w14:paraId="64226EC3" w14:textId="77777777" w:rsidR="00D210F0" w:rsidRPr="00092ED7" w:rsidRDefault="00D210F0" w:rsidP="006944C5">
            <w:pPr>
              <w:spacing w:after="0"/>
              <w:rPr>
                <w:rFonts w:cs="Times New Roman"/>
                <w:color w:val="000000"/>
                <w:sz w:val="18"/>
                <w:szCs w:val="18"/>
                <w:lang w:val="sr-Cyrl-CS"/>
              </w:rPr>
            </w:pPr>
          </w:p>
        </w:tc>
        <w:tc>
          <w:tcPr>
            <w:tcW w:w="369"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center"/>
            <w:hideMark/>
          </w:tcPr>
          <w:p w14:paraId="18001F76" w14:textId="77777777" w:rsidR="00D210F0" w:rsidRPr="00092ED7" w:rsidRDefault="00D210F0" w:rsidP="006944C5">
            <w:pPr>
              <w:spacing w:after="0"/>
              <w:rPr>
                <w:rFonts w:cs="Times New Roman"/>
                <w:color w:val="000000"/>
                <w:sz w:val="18"/>
                <w:szCs w:val="18"/>
                <w:lang w:val="sr-Cyrl-CS"/>
              </w:rPr>
            </w:pPr>
          </w:p>
        </w:tc>
      </w:tr>
    </w:tbl>
    <w:p w14:paraId="07B39242" w14:textId="77777777" w:rsidR="00D210F0" w:rsidRPr="00092ED7" w:rsidRDefault="00D210F0" w:rsidP="00071952">
      <w:pPr>
        <w:widowControl w:val="0"/>
        <w:numPr>
          <w:ilvl w:val="0"/>
          <w:numId w:val="36"/>
        </w:numPr>
        <w:spacing w:before="120"/>
        <w:rPr>
          <w:rFonts w:cs="Times New Roman"/>
          <w:b/>
          <w:bCs/>
          <w:szCs w:val="24"/>
          <w:lang w:val="sr-Cyrl-CS"/>
        </w:rPr>
      </w:pPr>
      <w:r w:rsidRPr="00092ED7">
        <w:rPr>
          <w:rFonts w:cs="Times New Roman"/>
          <w:b/>
          <w:bCs/>
          <w:szCs w:val="24"/>
          <w:lang w:val="sr-Cyrl-CS"/>
        </w:rPr>
        <w:t>Индикатори ризика</w:t>
      </w:r>
    </w:p>
    <w:tbl>
      <w:tblPr>
        <w:tblStyle w:val="TableGrid"/>
        <w:tblW w:w="9072" w:type="dxa"/>
        <w:tblInd w:w="-5" w:type="dxa"/>
        <w:tblLayout w:type="fixed"/>
        <w:tblLook w:val="04A0" w:firstRow="1" w:lastRow="0" w:firstColumn="1" w:lastColumn="0" w:noHBand="0" w:noVBand="1"/>
      </w:tblPr>
      <w:tblGrid>
        <w:gridCol w:w="3515"/>
        <w:gridCol w:w="1852"/>
        <w:gridCol w:w="1852"/>
        <w:gridCol w:w="1853"/>
      </w:tblGrid>
      <w:tr w:rsidR="00D210F0" w:rsidRPr="00092ED7" w14:paraId="2C3BEE4E" w14:textId="77777777" w:rsidTr="006944C5">
        <w:trPr>
          <w:cnfStyle w:val="100000000000" w:firstRow="1" w:lastRow="0" w:firstColumn="0" w:lastColumn="0" w:oddVBand="0" w:evenVBand="0" w:oddHBand="0" w:evenHBand="0" w:firstRowFirstColumn="0" w:firstRowLastColumn="0" w:lastRowFirstColumn="0" w:lastRowLastColumn="0"/>
        </w:trPr>
        <w:tc>
          <w:tcPr>
            <w:tcW w:w="3515" w:type="dxa"/>
            <w:tcBorders>
              <w:top w:val="single" w:sz="4" w:space="0" w:color="auto"/>
              <w:left w:val="single" w:sz="4" w:space="0" w:color="auto"/>
              <w:bottom w:val="single" w:sz="4" w:space="0" w:color="auto"/>
              <w:right w:val="single" w:sz="4" w:space="0" w:color="auto"/>
            </w:tcBorders>
          </w:tcPr>
          <w:p w14:paraId="0EFE94A5" w14:textId="77777777" w:rsidR="00D210F0" w:rsidRPr="00092ED7" w:rsidRDefault="00D210F0" w:rsidP="006944C5">
            <w:pPr>
              <w:spacing w:before="0" w:after="0"/>
              <w:ind w:left="113" w:right="113"/>
              <w:jc w:val="center"/>
              <w:rPr>
                <w:sz w:val="20"/>
                <w:lang w:val="sr-Cyrl-CS"/>
              </w:rPr>
            </w:pPr>
            <w:r w:rsidRPr="00092ED7">
              <w:rPr>
                <w:rFonts w:cs="Times New Roman"/>
                <w:sz w:val="20"/>
                <w:lang w:val="sr-Cyrl-CS"/>
              </w:rPr>
              <w:t>Показатељ</w:t>
            </w:r>
          </w:p>
        </w:tc>
        <w:tc>
          <w:tcPr>
            <w:tcW w:w="1852" w:type="dxa"/>
            <w:tcBorders>
              <w:top w:val="single" w:sz="4" w:space="0" w:color="auto"/>
              <w:left w:val="single" w:sz="4" w:space="0" w:color="auto"/>
              <w:bottom w:val="single" w:sz="4" w:space="0" w:color="auto"/>
              <w:right w:val="single" w:sz="4" w:space="0" w:color="auto"/>
            </w:tcBorders>
            <w:hideMark/>
          </w:tcPr>
          <w:p w14:paraId="579926ED" w14:textId="77777777" w:rsidR="00D210F0" w:rsidRPr="00092ED7" w:rsidRDefault="00D210F0" w:rsidP="006944C5">
            <w:pPr>
              <w:spacing w:before="0" w:after="0"/>
              <w:ind w:left="113" w:right="113"/>
              <w:jc w:val="center"/>
              <w:rPr>
                <w:rFonts w:cs="Times New Roman"/>
                <w:b w:val="0"/>
                <w:sz w:val="20"/>
                <w:lang w:val="sr-Cyrl-CS"/>
              </w:rPr>
            </w:pPr>
            <w:r w:rsidRPr="00092ED7">
              <w:rPr>
                <w:rFonts w:cs="Times New Roman"/>
                <w:sz w:val="20"/>
                <w:lang w:val="sr-Cyrl-CS"/>
              </w:rPr>
              <w:t>Почетна вредност (2019)</w:t>
            </w:r>
          </w:p>
        </w:tc>
        <w:tc>
          <w:tcPr>
            <w:tcW w:w="1852" w:type="dxa"/>
            <w:tcBorders>
              <w:top w:val="single" w:sz="4" w:space="0" w:color="auto"/>
              <w:left w:val="single" w:sz="4" w:space="0" w:color="auto"/>
              <w:bottom w:val="single" w:sz="4" w:space="0" w:color="auto"/>
              <w:right w:val="single" w:sz="4" w:space="0" w:color="auto"/>
            </w:tcBorders>
            <w:hideMark/>
          </w:tcPr>
          <w:p w14:paraId="297739A6" w14:textId="77777777" w:rsidR="00D210F0" w:rsidRPr="00092ED7" w:rsidRDefault="00D210F0" w:rsidP="006944C5">
            <w:pPr>
              <w:spacing w:before="0" w:after="0"/>
              <w:ind w:left="113" w:right="113"/>
              <w:jc w:val="center"/>
              <w:rPr>
                <w:rFonts w:cs="Times New Roman"/>
                <w:b w:val="0"/>
                <w:sz w:val="20"/>
                <w:lang w:val="sr-Cyrl-CS"/>
              </w:rPr>
            </w:pPr>
            <w:r w:rsidRPr="00092ED7">
              <w:rPr>
                <w:rFonts w:cs="Times New Roman"/>
                <w:sz w:val="20"/>
                <w:lang w:val="sr-Cyrl-CS"/>
              </w:rPr>
              <w:t>Међурезултат (2021)</w:t>
            </w:r>
          </w:p>
        </w:tc>
        <w:tc>
          <w:tcPr>
            <w:tcW w:w="1853" w:type="dxa"/>
            <w:tcBorders>
              <w:top w:val="single" w:sz="4" w:space="0" w:color="auto"/>
              <w:left w:val="single" w:sz="4" w:space="0" w:color="auto"/>
              <w:bottom w:val="single" w:sz="4" w:space="0" w:color="auto"/>
              <w:right w:val="single" w:sz="4" w:space="0" w:color="auto"/>
            </w:tcBorders>
            <w:hideMark/>
          </w:tcPr>
          <w:p w14:paraId="5DEB7031" w14:textId="77777777" w:rsidR="00D210F0" w:rsidRPr="00092ED7" w:rsidRDefault="00D210F0" w:rsidP="006944C5">
            <w:pPr>
              <w:spacing w:before="0" w:after="0"/>
              <w:ind w:left="113" w:right="113"/>
              <w:jc w:val="center"/>
              <w:rPr>
                <w:rFonts w:cs="Times New Roman"/>
                <w:b w:val="0"/>
                <w:sz w:val="20"/>
                <w:lang w:val="sr-Cyrl-CS"/>
              </w:rPr>
            </w:pPr>
            <w:r w:rsidRPr="00092ED7">
              <w:rPr>
                <w:rFonts w:cs="Times New Roman"/>
                <w:sz w:val="20"/>
                <w:lang w:val="sr-Cyrl-CS"/>
              </w:rPr>
              <w:t>Циљна вредност (2024)</w:t>
            </w:r>
          </w:p>
        </w:tc>
      </w:tr>
      <w:tr w:rsidR="00D210F0" w:rsidRPr="00092ED7" w14:paraId="177A7506" w14:textId="77777777" w:rsidTr="006944C5">
        <w:tc>
          <w:tcPr>
            <w:tcW w:w="3515" w:type="dxa"/>
            <w:tcBorders>
              <w:top w:val="single" w:sz="4" w:space="0" w:color="auto"/>
              <w:left w:val="single" w:sz="4" w:space="0" w:color="auto"/>
              <w:bottom w:val="single" w:sz="4" w:space="0" w:color="auto"/>
              <w:right w:val="single" w:sz="4" w:space="0" w:color="auto"/>
            </w:tcBorders>
            <w:hideMark/>
          </w:tcPr>
          <w:p w14:paraId="1231EC66" w14:textId="77777777" w:rsidR="00D210F0" w:rsidRPr="00092ED7" w:rsidRDefault="00D210F0" w:rsidP="006944C5">
            <w:pPr>
              <w:spacing w:before="0" w:after="0"/>
              <w:ind w:left="113" w:right="113"/>
              <w:jc w:val="left"/>
              <w:rPr>
                <w:sz w:val="20"/>
                <w:lang w:val="sr-Cyrl-CS"/>
              </w:rPr>
            </w:pPr>
            <w:r w:rsidRPr="00092ED7">
              <w:rPr>
                <w:rFonts w:cs="Times New Roman"/>
                <w:sz w:val="20"/>
                <w:lang w:val="sr-Cyrl-CS"/>
              </w:rPr>
              <w:t>БДВ пољопривреде, у милијардама евра</w:t>
            </w:r>
          </w:p>
        </w:tc>
        <w:tc>
          <w:tcPr>
            <w:tcW w:w="1852" w:type="dxa"/>
            <w:tcBorders>
              <w:top w:val="single" w:sz="4" w:space="0" w:color="auto"/>
              <w:left w:val="single" w:sz="4" w:space="0" w:color="auto"/>
              <w:bottom w:val="single" w:sz="4" w:space="0" w:color="auto"/>
              <w:right w:val="single" w:sz="4" w:space="0" w:color="auto"/>
            </w:tcBorders>
            <w:hideMark/>
          </w:tcPr>
          <w:p w14:paraId="2046B22A" w14:textId="77777777" w:rsidR="00D210F0" w:rsidRPr="00092ED7" w:rsidRDefault="00D210F0" w:rsidP="006944C5">
            <w:pPr>
              <w:spacing w:before="0" w:after="0"/>
              <w:ind w:left="113" w:right="113"/>
              <w:jc w:val="center"/>
              <w:rPr>
                <w:rFonts w:cs="Times New Roman"/>
                <w:sz w:val="20"/>
                <w:lang w:val="sr-Cyrl-CS"/>
              </w:rPr>
            </w:pPr>
            <w:r w:rsidRPr="00092ED7">
              <w:rPr>
                <w:rFonts w:cs="Times New Roman"/>
                <w:sz w:val="20"/>
                <w:lang w:val="sr-Cyrl-CS"/>
              </w:rPr>
              <w:t>2,7</w:t>
            </w:r>
          </w:p>
        </w:tc>
        <w:tc>
          <w:tcPr>
            <w:tcW w:w="1852" w:type="dxa"/>
            <w:tcBorders>
              <w:top w:val="single" w:sz="4" w:space="0" w:color="auto"/>
              <w:left w:val="single" w:sz="4" w:space="0" w:color="auto"/>
              <w:bottom w:val="single" w:sz="4" w:space="0" w:color="auto"/>
              <w:right w:val="single" w:sz="4" w:space="0" w:color="auto"/>
            </w:tcBorders>
            <w:hideMark/>
          </w:tcPr>
          <w:p w14:paraId="532DB612" w14:textId="77777777" w:rsidR="00D210F0" w:rsidRPr="00092ED7" w:rsidRDefault="00D210F0" w:rsidP="006944C5">
            <w:pPr>
              <w:spacing w:before="0" w:after="0"/>
              <w:ind w:left="113" w:right="113"/>
              <w:jc w:val="center"/>
              <w:rPr>
                <w:rFonts w:cs="Times New Roman"/>
                <w:sz w:val="20"/>
                <w:lang w:val="sr-Cyrl-CS"/>
              </w:rPr>
            </w:pPr>
            <w:r w:rsidRPr="00092ED7">
              <w:rPr>
                <w:rFonts w:cs="Times New Roman"/>
                <w:sz w:val="20"/>
                <w:lang w:val="sr-Cyrl-CS"/>
              </w:rPr>
              <w:t>3,4</w:t>
            </w:r>
          </w:p>
        </w:tc>
        <w:tc>
          <w:tcPr>
            <w:tcW w:w="1853" w:type="dxa"/>
            <w:tcBorders>
              <w:top w:val="single" w:sz="4" w:space="0" w:color="auto"/>
              <w:left w:val="single" w:sz="4" w:space="0" w:color="auto"/>
              <w:bottom w:val="single" w:sz="4" w:space="0" w:color="auto"/>
              <w:right w:val="single" w:sz="4" w:space="0" w:color="auto"/>
            </w:tcBorders>
            <w:hideMark/>
          </w:tcPr>
          <w:p w14:paraId="1BAEAEF4" w14:textId="77777777" w:rsidR="00D210F0" w:rsidRPr="00092ED7" w:rsidRDefault="00D210F0" w:rsidP="006944C5">
            <w:pPr>
              <w:spacing w:before="0" w:after="0"/>
              <w:ind w:left="113" w:right="113"/>
              <w:jc w:val="center"/>
              <w:rPr>
                <w:rFonts w:cs="Times New Roman"/>
                <w:sz w:val="20"/>
                <w:lang w:val="sr-Cyrl-CS"/>
              </w:rPr>
            </w:pPr>
            <w:r w:rsidRPr="00092ED7">
              <w:rPr>
                <w:rFonts w:cs="Times New Roman"/>
                <w:sz w:val="20"/>
                <w:lang w:val="sr-Cyrl-CS"/>
              </w:rPr>
              <w:t>3,8</w:t>
            </w:r>
          </w:p>
        </w:tc>
      </w:tr>
      <w:tr w:rsidR="00D210F0" w:rsidRPr="00092ED7" w14:paraId="6EA74523" w14:textId="77777777" w:rsidTr="006944C5">
        <w:tc>
          <w:tcPr>
            <w:tcW w:w="3515" w:type="dxa"/>
            <w:tcBorders>
              <w:top w:val="single" w:sz="4" w:space="0" w:color="auto"/>
              <w:left w:val="single" w:sz="4" w:space="0" w:color="auto"/>
              <w:bottom w:val="single" w:sz="4" w:space="0" w:color="auto"/>
              <w:right w:val="single" w:sz="4" w:space="0" w:color="auto"/>
            </w:tcBorders>
            <w:hideMark/>
          </w:tcPr>
          <w:p w14:paraId="4FE82B5D" w14:textId="77777777" w:rsidR="00D210F0" w:rsidRPr="00092ED7" w:rsidRDefault="00D210F0" w:rsidP="006944C5">
            <w:pPr>
              <w:spacing w:before="0" w:after="0"/>
              <w:ind w:left="113" w:right="113"/>
              <w:jc w:val="left"/>
              <w:rPr>
                <w:sz w:val="20"/>
                <w:lang w:val="sr-Cyrl-CS"/>
              </w:rPr>
            </w:pPr>
            <w:r w:rsidRPr="00092ED7">
              <w:rPr>
                <w:rFonts w:cs="Times New Roman"/>
                <w:sz w:val="20"/>
                <w:lang w:val="sr-Cyrl-CS"/>
              </w:rPr>
              <w:lastRenderedPageBreak/>
              <w:t xml:space="preserve">Учешће </w:t>
            </w:r>
            <w:r w:rsidR="00A96FED" w:rsidRPr="00092ED7">
              <w:rPr>
                <w:rFonts w:cs="Times New Roman"/>
                <w:sz w:val="20"/>
                <w:lang w:val="sr-Cyrl-CS"/>
              </w:rPr>
              <w:t xml:space="preserve">вредности </w:t>
            </w:r>
            <w:r w:rsidRPr="00092ED7">
              <w:rPr>
                <w:rFonts w:cs="Times New Roman"/>
                <w:sz w:val="20"/>
                <w:lang w:val="sr-Cyrl-CS"/>
              </w:rPr>
              <w:t xml:space="preserve">пољопривредно-прехрамбених производа у </w:t>
            </w:r>
            <w:r w:rsidR="00A96FED" w:rsidRPr="00092ED7">
              <w:rPr>
                <w:rFonts w:cs="Times New Roman"/>
                <w:sz w:val="20"/>
                <w:lang w:val="sr-Cyrl-CS"/>
              </w:rPr>
              <w:t>вредности укупног  извоза</w:t>
            </w:r>
          </w:p>
        </w:tc>
        <w:tc>
          <w:tcPr>
            <w:tcW w:w="1852" w:type="dxa"/>
            <w:tcBorders>
              <w:top w:val="single" w:sz="4" w:space="0" w:color="auto"/>
              <w:left w:val="single" w:sz="4" w:space="0" w:color="auto"/>
              <w:bottom w:val="single" w:sz="4" w:space="0" w:color="auto"/>
              <w:right w:val="single" w:sz="4" w:space="0" w:color="auto"/>
            </w:tcBorders>
            <w:hideMark/>
          </w:tcPr>
          <w:p w14:paraId="18D473DE" w14:textId="77777777" w:rsidR="00D210F0" w:rsidRPr="00092ED7" w:rsidRDefault="00D210F0" w:rsidP="006944C5">
            <w:pPr>
              <w:spacing w:before="0" w:after="0"/>
              <w:ind w:left="113" w:right="113"/>
              <w:jc w:val="center"/>
              <w:rPr>
                <w:rFonts w:cs="Times New Roman"/>
                <w:sz w:val="20"/>
                <w:lang w:val="sr-Cyrl-CS"/>
              </w:rPr>
            </w:pPr>
            <w:r w:rsidRPr="00092ED7">
              <w:rPr>
                <w:rFonts w:cs="Times New Roman"/>
                <w:sz w:val="20"/>
                <w:lang w:val="sr-Cyrl-CS"/>
              </w:rPr>
              <w:t>18,5%</w:t>
            </w:r>
          </w:p>
        </w:tc>
        <w:tc>
          <w:tcPr>
            <w:tcW w:w="1852" w:type="dxa"/>
            <w:tcBorders>
              <w:top w:val="single" w:sz="4" w:space="0" w:color="auto"/>
              <w:left w:val="single" w:sz="4" w:space="0" w:color="auto"/>
              <w:bottom w:val="single" w:sz="4" w:space="0" w:color="auto"/>
              <w:right w:val="single" w:sz="4" w:space="0" w:color="auto"/>
            </w:tcBorders>
            <w:hideMark/>
          </w:tcPr>
          <w:p w14:paraId="296DC066" w14:textId="77777777" w:rsidR="00D210F0" w:rsidRPr="00092ED7" w:rsidRDefault="00D210F0" w:rsidP="006944C5">
            <w:pPr>
              <w:spacing w:before="0" w:after="0"/>
              <w:ind w:left="113" w:right="113"/>
              <w:jc w:val="center"/>
              <w:rPr>
                <w:rFonts w:cs="Times New Roman"/>
                <w:sz w:val="20"/>
                <w:lang w:val="sr-Cyrl-CS"/>
              </w:rPr>
            </w:pPr>
            <w:r w:rsidRPr="00092ED7">
              <w:rPr>
                <w:rFonts w:cs="Times New Roman"/>
                <w:sz w:val="20"/>
                <w:lang w:val="sr-Cyrl-CS"/>
              </w:rPr>
              <w:t xml:space="preserve">19,4% </w:t>
            </w:r>
          </w:p>
        </w:tc>
        <w:tc>
          <w:tcPr>
            <w:tcW w:w="1853" w:type="dxa"/>
            <w:tcBorders>
              <w:top w:val="single" w:sz="4" w:space="0" w:color="auto"/>
              <w:left w:val="single" w:sz="4" w:space="0" w:color="auto"/>
              <w:bottom w:val="single" w:sz="4" w:space="0" w:color="auto"/>
              <w:right w:val="single" w:sz="4" w:space="0" w:color="auto"/>
            </w:tcBorders>
            <w:hideMark/>
          </w:tcPr>
          <w:p w14:paraId="727ADE18" w14:textId="77777777" w:rsidR="00D210F0" w:rsidRPr="00092ED7" w:rsidRDefault="00D210F0" w:rsidP="006944C5">
            <w:pPr>
              <w:spacing w:before="0" w:after="0"/>
              <w:ind w:left="113" w:right="113"/>
              <w:jc w:val="center"/>
              <w:rPr>
                <w:rFonts w:cs="Times New Roman"/>
                <w:sz w:val="20"/>
                <w:lang w:val="sr-Cyrl-CS"/>
              </w:rPr>
            </w:pPr>
            <w:r w:rsidRPr="00092ED7">
              <w:rPr>
                <w:rFonts w:cs="Times New Roman"/>
                <w:sz w:val="20"/>
                <w:lang w:val="sr-Cyrl-CS"/>
              </w:rPr>
              <w:t>19%</w:t>
            </w:r>
          </w:p>
        </w:tc>
      </w:tr>
    </w:tbl>
    <w:p w14:paraId="22144AD3" w14:textId="77777777" w:rsidR="00D210F0" w:rsidRPr="00092ED7" w:rsidRDefault="00D210F0" w:rsidP="00071952">
      <w:pPr>
        <w:widowControl w:val="0"/>
        <w:numPr>
          <w:ilvl w:val="0"/>
          <w:numId w:val="36"/>
        </w:numPr>
        <w:spacing w:before="120"/>
        <w:rPr>
          <w:rFonts w:cs="Times New Roman"/>
          <w:b/>
          <w:bCs/>
          <w:szCs w:val="24"/>
          <w:lang w:val="sr-Cyrl-CS"/>
        </w:rPr>
      </w:pPr>
      <w:r w:rsidRPr="00092ED7">
        <w:rPr>
          <w:b/>
          <w:szCs w:val="24"/>
          <w:lang w:val="sr-Cyrl-CS"/>
        </w:rPr>
        <w:t>Oчекивани утицај на конкурентност</w:t>
      </w:r>
    </w:p>
    <w:p w14:paraId="7F8744E9" w14:textId="77777777" w:rsidR="00D210F0" w:rsidRPr="00092ED7" w:rsidRDefault="00D210F0" w:rsidP="00A332FD">
      <w:pPr>
        <w:spacing w:after="60"/>
        <w:rPr>
          <w:rFonts w:eastAsia="Times New Roman" w:cs="Times New Roman"/>
          <w:szCs w:val="24"/>
          <w:lang w:val="sr-Cyrl-CS"/>
        </w:rPr>
      </w:pPr>
      <w:r w:rsidRPr="00092ED7">
        <w:rPr>
          <w:rFonts w:eastAsia="Times New Roman" w:cs="Times New Roman"/>
          <w:spacing w:val="-5"/>
          <w:szCs w:val="24"/>
          <w:lang w:val="sr-Cyrl-CS"/>
        </w:rPr>
        <w:t xml:space="preserve">Како </w:t>
      </w:r>
      <w:r w:rsidRPr="00092ED7">
        <w:rPr>
          <w:rFonts w:eastAsia="Times New Roman" w:cs="Times New Roman"/>
          <w:szCs w:val="24"/>
          <w:lang w:val="sr-Cyrl-CS"/>
        </w:rPr>
        <w:t xml:space="preserve">би се спровеле инвестиције </w:t>
      </w:r>
      <w:r w:rsidRPr="00092ED7">
        <w:rPr>
          <w:rFonts w:eastAsia="Times New Roman" w:cs="Times New Roman"/>
          <w:spacing w:val="-4"/>
          <w:szCs w:val="24"/>
          <w:lang w:val="sr-Cyrl-CS"/>
        </w:rPr>
        <w:t xml:space="preserve">које </w:t>
      </w:r>
      <w:r w:rsidRPr="00092ED7">
        <w:rPr>
          <w:rFonts w:eastAsia="Times New Roman" w:cs="Times New Roman"/>
          <w:szCs w:val="24"/>
          <w:lang w:val="sr-Cyrl-CS"/>
        </w:rPr>
        <w:t xml:space="preserve">доприносе развоју конкурентности у руралним подручјима, потребно је обезбедити одговарајућу инфраструктуру </w:t>
      </w:r>
      <w:r w:rsidRPr="00092ED7">
        <w:rPr>
          <w:rFonts w:eastAsia="Times New Roman" w:cs="Times New Roman"/>
          <w:spacing w:val="-4"/>
          <w:szCs w:val="24"/>
          <w:lang w:val="sr-Cyrl-CS"/>
        </w:rPr>
        <w:t xml:space="preserve">која </w:t>
      </w:r>
      <w:r w:rsidRPr="00092ED7">
        <w:rPr>
          <w:rFonts w:eastAsia="Times New Roman" w:cs="Times New Roman"/>
          <w:szCs w:val="24"/>
          <w:lang w:val="sr-Cyrl-CS"/>
        </w:rPr>
        <w:t>ће допринети квантитативном</w:t>
      </w:r>
      <w:r w:rsidRPr="00092ED7">
        <w:rPr>
          <w:rFonts w:eastAsia="Times New Roman" w:cs="Times New Roman"/>
          <w:spacing w:val="-9"/>
          <w:szCs w:val="24"/>
          <w:lang w:val="sr-Cyrl-CS"/>
        </w:rPr>
        <w:t xml:space="preserve"> </w:t>
      </w:r>
      <w:r w:rsidRPr="00092ED7">
        <w:rPr>
          <w:rFonts w:eastAsia="Times New Roman" w:cs="Times New Roman"/>
          <w:szCs w:val="24"/>
          <w:lang w:val="sr-Cyrl-CS"/>
        </w:rPr>
        <w:t>и</w:t>
      </w:r>
      <w:r w:rsidRPr="00092ED7">
        <w:rPr>
          <w:rFonts w:eastAsia="Times New Roman" w:cs="Times New Roman"/>
          <w:spacing w:val="-8"/>
          <w:szCs w:val="24"/>
          <w:lang w:val="sr-Cyrl-CS"/>
        </w:rPr>
        <w:t xml:space="preserve"> </w:t>
      </w:r>
      <w:r w:rsidRPr="00092ED7">
        <w:rPr>
          <w:rFonts w:eastAsia="Times New Roman" w:cs="Times New Roman"/>
          <w:szCs w:val="24"/>
          <w:lang w:val="sr-Cyrl-CS"/>
        </w:rPr>
        <w:t>квалитативном</w:t>
      </w:r>
      <w:r w:rsidRPr="00092ED7">
        <w:rPr>
          <w:rFonts w:eastAsia="Times New Roman" w:cs="Times New Roman"/>
          <w:spacing w:val="-9"/>
          <w:szCs w:val="24"/>
          <w:lang w:val="sr-Cyrl-CS"/>
        </w:rPr>
        <w:t xml:space="preserve"> </w:t>
      </w:r>
      <w:r w:rsidRPr="00092ED7">
        <w:rPr>
          <w:rFonts w:eastAsia="Times New Roman" w:cs="Times New Roman"/>
          <w:szCs w:val="24"/>
          <w:lang w:val="sr-Cyrl-CS"/>
        </w:rPr>
        <w:t>развоју</w:t>
      </w:r>
      <w:r w:rsidRPr="00092ED7">
        <w:rPr>
          <w:rFonts w:eastAsia="Times New Roman" w:cs="Times New Roman"/>
          <w:spacing w:val="-9"/>
          <w:szCs w:val="24"/>
          <w:lang w:val="sr-Cyrl-CS"/>
        </w:rPr>
        <w:t xml:space="preserve"> </w:t>
      </w:r>
      <w:r w:rsidRPr="00092ED7">
        <w:rPr>
          <w:rFonts w:eastAsia="Times New Roman" w:cs="Times New Roman"/>
          <w:szCs w:val="24"/>
          <w:lang w:val="sr-Cyrl-CS"/>
        </w:rPr>
        <w:t>прерадних</w:t>
      </w:r>
      <w:r w:rsidRPr="00092ED7">
        <w:rPr>
          <w:rFonts w:eastAsia="Times New Roman" w:cs="Times New Roman"/>
          <w:spacing w:val="-9"/>
          <w:szCs w:val="24"/>
          <w:lang w:val="sr-Cyrl-CS"/>
        </w:rPr>
        <w:t xml:space="preserve"> </w:t>
      </w:r>
      <w:r w:rsidRPr="00092ED7">
        <w:rPr>
          <w:rFonts w:eastAsia="Times New Roman" w:cs="Times New Roman"/>
          <w:szCs w:val="24"/>
          <w:lang w:val="sr-Cyrl-CS"/>
        </w:rPr>
        <w:t>погона</w:t>
      </w:r>
      <w:r w:rsidRPr="00092ED7">
        <w:rPr>
          <w:rFonts w:eastAsia="Times New Roman" w:cs="Times New Roman"/>
          <w:spacing w:val="-9"/>
          <w:szCs w:val="24"/>
          <w:lang w:val="sr-Cyrl-CS"/>
        </w:rPr>
        <w:t xml:space="preserve"> </w:t>
      </w:r>
      <w:r w:rsidRPr="00092ED7">
        <w:rPr>
          <w:rFonts w:eastAsia="Times New Roman" w:cs="Times New Roman"/>
          <w:szCs w:val="24"/>
          <w:lang w:val="sr-Cyrl-CS"/>
        </w:rPr>
        <w:t>и</w:t>
      </w:r>
      <w:r w:rsidRPr="00092ED7">
        <w:rPr>
          <w:rFonts w:eastAsia="Times New Roman" w:cs="Times New Roman"/>
          <w:spacing w:val="-8"/>
          <w:szCs w:val="24"/>
          <w:lang w:val="sr-Cyrl-CS"/>
        </w:rPr>
        <w:t xml:space="preserve"> </w:t>
      </w:r>
      <w:r w:rsidRPr="00092ED7">
        <w:rPr>
          <w:rFonts w:eastAsia="Times New Roman" w:cs="Times New Roman"/>
          <w:spacing w:val="-4"/>
          <w:szCs w:val="24"/>
          <w:lang w:val="sr-Cyrl-CS"/>
        </w:rPr>
        <w:t>која</w:t>
      </w:r>
      <w:r w:rsidRPr="00092ED7">
        <w:rPr>
          <w:rFonts w:eastAsia="Times New Roman" w:cs="Times New Roman"/>
          <w:spacing w:val="-9"/>
          <w:szCs w:val="24"/>
          <w:lang w:val="sr-Cyrl-CS"/>
        </w:rPr>
        <w:t xml:space="preserve"> </w:t>
      </w:r>
      <w:r w:rsidRPr="00092ED7">
        <w:rPr>
          <w:rFonts w:eastAsia="Times New Roman" w:cs="Times New Roman"/>
          <w:szCs w:val="24"/>
          <w:lang w:val="sr-Cyrl-CS"/>
        </w:rPr>
        <w:t>омогућава</w:t>
      </w:r>
      <w:r w:rsidRPr="00092ED7">
        <w:rPr>
          <w:rFonts w:eastAsia="Times New Roman" w:cs="Times New Roman"/>
          <w:spacing w:val="-9"/>
          <w:szCs w:val="24"/>
          <w:lang w:val="sr-Cyrl-CS"/>
        </w:rPr>
        <w:t xml:space="preserve"> </w:t>
      </w:r>
      <w:r w:rsidRPr="00092ED7">
        <w:rPr>
          <w:rFonts w:eastAsia="Times New Roman" w:cs="Times New Roman"/>
          <w:szCs w:val="24"/>
          <w:lang w:val="sr-Cyrl-CS"/>
        </w:rPr>
        <w:t>изградњу</w:t>
      </w:r>
      <w:r w:rsidRPr="00092ED7">
        <w:rPr>
          <w:rFonts w:eastAsia="Times New Roman" w:cs="Times New Roman"/>
          <w:spacing w:val="-9"/>
          <w:szCs w:val="24"/>
          <w:lang w:val="sr-Cyrl-CS"/>
        </w:rPr>
        <w:t xml:space="preserve"> </w:t>
      </w:r>
      <w:r w:rsidRPr="00092ED7">
        <w:rPr>
          <w:rFonts w:eastAsia="Times New Roman" w:cs="Times New Roman"/>
          <w:szCs w:val="24"/>
          <w:lang w:val="sr-Cyrl-CS"/>
        </w:rPr>
        <w:t xml:space="preserve">нових складишних и прерадних капацитета. Развијање шема квалитета за пољопривредне и прехрамбене производе ће омогућити произвођачима да своје производе са заштићеним ознакама географског порекла заштите и на </w:t>
      </w:r>
      <w:r w:rsidRPr="00092ED7">
        <w:rPr>
          <w:rFonts w:eastAsia="Times New Roman" w:cs="Times New Roman"/>
          <w:spacing w:val="-3"/>
          <w:szCs w:val="24"/>
          <w:lang w:val="sr-Cyrl-CS"/>
        </w:rPr>
        <w:t xml:space="preserve">нивоу </w:t>
      </w:r>
      <w:r w:rsidRPr="00092ED7">
        <w:rPr>
          <w:rFonts w:eastAsia="Times New Roman" w:cs="Times New Roman"/>
          <w:spacing w:val="-14"/>
          <w:szCs w:val="24"/>
          <w:lang w:val="sr-Cyrl-CS"/>
        </w:rPr>
        <w:t xml:space="preserve">ЕУ. </w:t>
      </w:r>
      <w:r w:rsidRPr="00092ED7">
        <w:rPr>
          <w:rFonts w:eastAsia="Times New Roman" w:cs="Times New Roman"/>
          <w:szCs w:val="24"/>
          <w:lang w:val="sr-Cyrl-CS"/>
        </w:rPr>
        <w:t xml:space="preserve">Поред препознатљивости, производи ће бити стандардизовани и ценовно конкурентни. </w:t>
      </w:r>
      <w:r w:rsidRPr="00092ED7">
        <w:rPr>
          <w:rFonts w:eastAsia="Times New Roman" w:cs="Times New Roman"/>
          <w:spacing w:val="-3"/>
          <w:szCs w:val="24"/>
          <w:lang w:val="sr-Cyrl-CS"/>
        </w:rPr>
        <w:t xml:space="preserve">Такође, </w:t>
      </w:r>
      <w:r w:rsidRPr="00092ED7">
        <w:rPr>
          <w:rFonts w:eastAsia="Times New Roman" w:cs="Times New Roman"/>
          <w:szCs w:val="24"/>
          <w:lang w:val="sr-Cyrl-CS"/>
        </w:rPr>
        <w:t>увођење међународних стандарда</w:t>
      </w:r>
      <w:r w:rsidRPr="00092ED7">
        <w:rPr>
          <w:rFonts w:eastAsia="Times New Roman" w:cs="Times New Roman"/>
          <w:spacing w:val="-15"/>
          <w:szCs w:val="24"/>
          <w:lang w:val="sr-Cyrl-CS"/>
        </w:rPr>
        <w:t xml:space="preserve"> </w:t>
      </w:r>
      <w:r w:rsidRPr="00092ED7">
        <w:rPr>
          <w:rFonts w:eastAsia="Times New Roman" w:cs="Times New Roman"/>
          <w:szCs w:val="24"/>
          <w:lang w:val="sr-Cyrl-CS"/>
        </w:rPr>
        <w:t>у</w:t>
      </w:r>
      <w:r w:rsidRPr="00092ED7">
        <w:rPr>
          <w:rFonts w:eastAsia="Times New Roman" w:cs="Times New Roman"/>
          <w:spacing w:val="-15"/>
          <w:szCs w:val="24"/>
          <w:lang w:val="sr-Cyrl-CS"/>
        </w:rPr>
        <w:t xml:space="preserve"> </w:t>
      </w:r>
      <w:r w:rsidRPr="00092ED7">
        <w:rPr>
          <w:rFonts w:eastAsia="Times New Roman" w:cs="Times New Roman"/>
          <w:szCs w:val="24"/>
          <w:lang w:val="sr-Cyrl-CS"/>
        </w:rPr>
        <w:t>органску</w:t>
      </w:r>
      <w:r w:rsidRPr="00092ED7">
        <w:rPr>
          <w:rFonts w:eastAsia="Times New Roman" w:cs="Times New Roman"/>
          <w:spacing w:val="-15"/>
          <w:szCs w:val="24"/>
          <w:lang w:val="sr-Cyrl-CS"/>
        </w:rPr>
        <w:t xml:space="preserve"> </w:t>
      </w:r>
      <w:r w:rsidRPr="00092ED7">
        <w:rPr>
          <w:rFonts w:eastAsia="Times New Roman" w:cs="Times New Roman"/>
          <w:szCs w:val="24"/>
          <w:lang w:val="sr-Cyrl-CS"/>
        </w:rPr>
        <w:t>производњу</w:t>
      </w:r>
      <w:r w:rsidRPr="00092ED7">
        <w:rPr>
          <w:rFonts w:eastAsia="Times New Roman" w:cs="Times New Roman"/>
          <w:spacing w:val="-15"/>
          <w:szCs w:val="24"/>
          <w:lang w:val="sr-Cyrl-CS"/>
        </w:rPr>
        <w:t xml:space="preserve"> </w:t>
      </w:r>
      <w:r w:rsidRPr="00092ED7">
        <w:rPr>
          <w:rFonts w:eastAsia="Times New Roman" w:cs="Times New Roman"/>
          <w:szCs w:val="24"/>
          <w:lang w:val="sr-Cyrl-CS"/>
        </w:rPr>
        <w:t>директно</w:t>
      </w:r>
      <w:r w:rsidRPr="00092ED7">
        <w:rPr>
          <w:rFonts w:eastAsia="Times New Roman" w:cs="Times New Roman"/>
          <w:spacing w:val="-14"/>
          <w:szCs w:val="24"/>
          <w:lang w:val="sr-Cyrl-CS"/>
        </w:rPr>
        <w:t xml:space="preserve"> </w:t>
      </w:r>
      <w:r w:rsidRPr="00092ED7">
        <w:rPr>
          <w:rFonts w:eastAsia="Times New Roman" w:cs="Times New Roman"/>
          <w:szCs w:val="24"/>
          <w:lang w:val="sr-Cyrl-CS"/>
        </w:rPr>
        <w:t>ће</w:t>
      </w:r>
      <w:r w:rsidRPr="00092ED7">
        <w:rPr>
          <w:rFonts w:eastAsia="Times New Roman" w:cs="Times New Roman"/>
          <w:spacing w:val="-15"/>
          <w:szCs w:val="24"/>
          <w:lang w:val="sr-Cyrl-CS"/>
        </w:rPr>
        <w:t xml:space="preserve"> </w:t>
      </w:r>
      <w:r w:rsidRPr="00092ED7">
        <w:rPr>
          <w:rFonts w:eastAsia="Times New Roman" w:cs="Times New Roman"/>
          <w:szCs w:val="24"/>
          <w:lang w:val="sr-Cyrl-CS"/>
        </w:rPr>
        <w:t>утицати</w:t>
      </w:r>
      <w:r w:rsidRPr="00092ED7">
        <w:rPr>
          <w:rFonts w:eastAsia="Times New Roman" w:cs="Times New Roman"/>
          <w:spacing w:val="-14"/>
          <w:szCs w:val="24"/>
          <w:lang w:val="sr-Cyrl-CS"/>
        </w:rPr>
        <w:t xml:space="preserve"> </w:t>
      </w:r>
      <w:r w:rsidRPr="00092ED7">
        <w:rPr>
          <w:rFonts w:eastAsia="Times New Roman" w:cs="Times New Roman"/>
          <w:szCs w:val="24"/>
          <w:lang w:val="sr-Cyrl-CS"/>
        </w:rPr>
        <w:t>на</w:t>
      </w:r>
      <w:r w:rsidRPr="00092ED7">
        <w:rPr>
          <w:rFonts w:eastAsia="Times New Roman" w:cs="Times New Roman"/>
          <w:spacing w:val="-15"/>
          <w:szCs w:val="24"/>
          <w:lang w:val="sr-Cyrl-CS"/>
        </w:rPr>
        <w:t xml:space="preserve"> </w:t>
      </w:r>
      <w:r w:rsidRPr="00092ED7">
        <w:rPr>
          <w:rFonts w:eastAsia="Times New Roman" w:cs="Times New Roman"/>
          <w:szCs w:val="24"/>
          <w:lang w:val="sr-Cyrl-CS"/>
        </w:rPr>
        <w:t>повећање</w:t>
      </w:r>
      <w:r w:rsidRPr="00092ED7">
        <w:rPr>
          <w:rFonts w:eastAsia="Times New Roman" w:cs="Times New Roman"/>
          <w:spacing w:val="-15"/>
          <w:szCs w:val="24"/>
          <w:lang w:val="sr-Cyrl-CS"/>
        </w:rPr>
        <w:t xml:space="preserve"> </w:t>
      </w:r>
      <w:r w:rsidRPr="00092ED7">
        <w:rPr>
          <w:rFonts w:eastAsia="Times New Roman" w:cs="Times New Roman"/>
          <w:szCs w:val="24"/>
          <w:lang w:val="sr-Cyrl-CS"/>
        </w:rPr>
        <w:t>конкурентности</w:t>
      </w:r>
      <w:r w:rsidRPr="00092ED7">
        <w:rPr>
          <w:rFonts w:eastAsia="Times New Roman" w:cs="Times New Roman"/>
          <w:spacing w:val="-15"/>
          <w:szCs w:val="24"/>
          <w:lang w:val="sr-Cyrl-CS"/>
        </w:rPr>
        <w:t xml:space="preserve"> </w:t>
      </w:r>
      <w:r w:rsidRPr="00092ED7">
        <w:rPr>
          <w:rFonts w:eastAsia="Times New Roman" w:cs="Times New Roman"/>
          <w:szCs w:val="24"/>
          <w:lang w:val="sr-Cyrl-CS"/>
        </w:rPr>
        <w:t xml:space="preserve">произвођача, </w:t>
      </w:r>
      <w:r w:rsidRPr="00092ED7">
        <w:rPr>
          <w:rFonts w:eastAsia="Times New Roman" w:cs="Times New Roman"/>
          <w:spacing w:val="-5"/>
          <w:szCs w:val="24"/>
          <w:lang w:val="sr-Cyrl-CS"/>
        </w:rPr>
        <w:t xml:space="preserve">како </w:t>
      </w:r>
      <w:r w:rsidRPr="00092ED7">
        <w:rPr>
          <w:rFonts w:eastAsia="Times New Roman" w:cs="Times New Roman"/>
          <w:szCs w:val="24"/>
          <w:lang w:val="sr-Cyrl-CS"/>
        </w:rPr>
        <w:t xml:space="preserve">на домаћем </w:t>
      </w:r>
      <w:r w:rsidRPr="00092ED7">
        <w:rPr>
          <w:rFonts w:eastAsia="Times New Roman" w:cs="Times New Roman"/>
          <w:spacing w:val="-3"/>
          <w:szCs w:val="24"/>
          <w:lang w:val="sr-Cyrl-CS"/>
        </w:rPr>
        <w:t xml:space="preserve">тако </w:t>
      </w:r>
      <w:r w:rsidRPr="00092ED7">
        <w:rPr>
          <w:rFonts w:eastAsia="Times New Roman" w:cs="Times New Roman"/>
          <w:szCs w:val="24"/>
          <w:lang w:val="sr-Cyrl-CS"/>
        </w:rPr>
        <w:t xml:space="preserve">и на страном </w:t>
      </w:r>
      <w:r w:rsidRPr="00092ED7">
        <w:rPr>
          <w:rFonts w:eastAsia="Times New Roman" w:cs="Times New Roman"/>
          <w:spacing w:val="-4"/>
          <w:szCs w:val="24"/>
          <w:lang w:val="sr-Cyrl-CS"/>
        </w:rPr>
        <w:t xml:space="preserve">тржишту. </w:t>
      </w:r>
      <w:r w:rsidRPr="00092ED7">
        <w:rPr>
          <w:rFonts w:eastAsia="Times New Roman" w:cs="Times New Roman"/>
          <w:szCs w:val="24"/>
          <w:lang w:val="sr-Cyrl-CS"/>
        </w:rPr>
        <w:t>Повећање вредности пољопривредних производа директно утиче на повећање извоза и</w:t>
      </w:r>
      <w:r w:rsidRPr="00092ED7">
        <w:rPr>
          <w:rFonts w:eastAsia="Times New Roman" w:cs="Times New Roman"/>
          <w:spacing w:val="-20"/>
          <w:szCs w:val="24"/>
          <w:lang w:val="sr-Cyrl-CS"/>
        </w:rPr>
        <w:t xml:space="preserve"> </w:t>
      </w:r>
      <w:r w:rsidRPr="00092ED7">
        <w:rPr>
          <w:rFonts w:eastAsia="Times New Roman" w:cs="Times New Roman"/>
          <w:spacing w:val="-3"/>
          <w:szCs w:val="24"/>
          <w:lang w:val="sr-Cyrl-CS"/>
        </w:rPr>
        <w:t>БДП.</w:t>
      </w:r>
      <w:r w:rsidR="00E85B43" w:rsidRPr="00092ED7">
        <w:rPr>
          <w:rFonts w:eastAsia="Calibri" w:cs="Times New Roman"/>
          <w:bCs/>
          <w:szCs w:val="24"/>
          <w:lang w:val="sr-Cyrl-CS"/>
        </w:rPr>
        <w:t xml:space="preserve"> Достизање европских стандарда и подизање конкурентности у пољопривреди, смањиће варијабилност производње овог сектора изазвану агрометеоролошким условима.</w:t>
      </w:r>
    </w:p>
    <w:p w14:paraId="036B8AB2" w14:textId="77777777" w:rsidR="00D210F0" w:rsidRPr="00092ED7" w:rsidRDefault="00D210F0" w:rsidP="00A332FD">
      <w:pPr>
        <w:spacing w:after="60"/>
        <w:rPr>
          <w:rFonts w:eastAsia="Times New Roman" w:cs="Times New Roman"/>
          <w:szCs w:val="24"/>
          <w:lang w:val="sr-Cyrl-CS"/>
        </w:rPr>
      </w:pPr>
      <w:r w:rsidRPr="00092ED7">
        <w:rPr>
          <w:rFonts w:eastAsia="Times New Roman" w:cs="Times New Roman"/>
          <w:szCs w:val="24"/>
          <w:lang w:val="sr-Cyrl-CS"/>
        </w:rPr>
        <w:t>Ефикаснијим</w:t>
      </w:r>
      <w:r w:rsidRPr="00092ED7">
        <w:rPr>
          <w:rFonts w:eastAsia="Times New Roman" w:cs="Times New Roman"/>
          <w:spacing w:val="-6"/>
          <w:szCs w:val="24"/>
          <w:lang w:val="sr-Cyrl-CS"/>
        </w:rPr>
        <w:t xml:space="preserve"> </w:t>
      </w:r>
      <w:r w:rsidRPr="00092ED7">
        <w:rPr>
          <w:rFonts w:eastAsia="Times New Roman" w:cs="Times New Roman"/>
          <w:szCs w:val="24"/>
          <w:lang w:val="sr-Cyrl-CS"/>
        </w:rPr>
        <w:t>спровођењем</w:t>
      </w:r>
      <w:r w:rsidRPr="00092ED7">
        <w:rPr>
          <w:rFonts w:eastAsia="Times New Roman" w:cs="Times New Roman"/>
          <w:spacing w:val="-6"/>
          <w:szCs w:val="24"/>
          <w:lang w:val="sr-Cyrl-CS"/>
        </w:rPr>
        <w:t xml:space="preserve"> </w:t>
      </w:r>
      <w:r w:rsidRPr="00092ED7">
        <w:rPr>
          <w:rFonts w:eastAsia="Times New Roman" w:cs="Times New Roman"/>
          <w:szCs w:val="24"/>
          <w:lang w:val="sr-Cyrl-CS"/>
        </w:rPr>
        <w:t>процеса</w:t>
      </w:r>
      <w:r w:rsidRPr="00092ED7">
        <w:rPr>
          <w:rFonts w:eastAsia="Times New Roman" w:cs="Times New Roman"/>
          <w:spacing w:val="-6"/>
          <w:szCs w:val="24"/>
          <w:lang w:val="sr-Cyrl-CS"/>
        </w:rPr>
        <w:t xml:space="preserve"> </w:t>
      </w:r>
      <w:r w:rsidRPr="00092ED7">
        <w:rPr>
          <w:rFonts w:eastAsia="Times New Roman" w:cs="Times New Roman"/>
          <w:szCs w:val="24"/>
          <w:lang w:val="sr-Cyrl-CS"/>
        </w:rPr>
        <w:t>комасације</w:t>
      </w:r>
      <w:r w:rsidRPr="00092ED7">
        <w:rPr>
          <w:rFonts w:eastAsia="Times New Roman" w:cs="Times New Roman"/>
          <w:spacing w:val="-6"/>
          <w:szCs w:val="24"/>
          <w:lang w:val="sr-Cyrl-CS"/>
        </w:rPr>
        <w:t xml:space="preserve"> </w:t>
      </w:r>
      <w:r w:rsidRPr="00092ED7">
        <w:rPr>
          <w:rFonts w:eastAsia="Times New Roman" w:cs="Times New Roman"/>
          <w:szCs w:val="24"/>
          <w:lang w:val="sr-Cyrl-CS"/>
        </w:rPr>
        <w:t>очекује</w:t>
      </w:r>
      <w:r w:rsidRPr="00092ED7">
        <w:rPr>
          <w:rFonts w:eastAsia="Times New Roman" w:cs="Times New Roman"/>
          <w:spacing w:val="-6"/>
          <w:szCs w:val="24"/>
          <w:lang w:val="sr-Cyrl-CS"/>
        </w:rPr>
        <w:t xml:space="preserve"> </w:t>
      </w:r>
      <w:r w:rsidRPr="00092ED7">
        <w:rPr>
          <w:rFonts w:eastAsia="Times New Roman" w:cs="Times New Roman"/>
          <w:szCs w:val="24"/>
          <w:lang w:val="sr-Cyrl-CS"/>
        </w:rPr>
        <w:t>се</w:t>
      </w:r>
      <w:r w:rsidRPr="00092ED7">
        <w:rPr>
          <w:rFonts w:eastAsia="Times New Roman" w:cs="Times New Roman"/>
          <w:spacing w:val="-6"/>
          <w:szCs w:val="24"/>
          <w:lang w:val="sr-Cyrl-CS"/>
        </w:rPr>
        <w:t xml:space="preserve"> </w:t>
      </w:r>
      <w:r w:rsidRPr="00092ED7">
        <w:rPr>
          <w:rFonts w:eastAsia="Times New Roman" w:cs="Times New Roman"/>
          <w:szCs w:val="24"/>
          <w:lang w:val="sr-Cyrl-CS"/>
        </w:rPr>
        <w:t>укрупњавање</w:t>
      </w:r>
      <w:r w:rsidRPr="00092ED7">
        <w:rPr>
          <w:rFonts w:eastAsia="Times New Roman" w:cs="Times New Roman"/>
          <w:spacing w:val="-6"/>
          <w:szCs w:val="24"/>
          <w:lang w:val="sr-Cyrl-CS"/>
        </w:rPr>
        <w:t xml:space="preserve"> </w:t>
      </w:r>
      <w:r w:rsidRPr="00092ED7">
        <w:rPr>
          <w:rFonts w:eastAsia="Times New Roman" w:cs="Times New Roman"/>
          <w:szCs w:val="24"/>
          <w:lang w:val="sr-Cyrl-CS"/>
        </w:rPr>
        <w:t>земљишта,</w:t>
      </w:r>
      <w:r w:rsidRPr="00092ED7">
        <w:rPr>
          <w:rFonts w:eastAsia="Times New Roman" w:cs="Times New Roman"/>
          <w:spacing w:val="-6"/>
          <w:szCs w:val="24"/>
          <w:lang w:val="sr-Cyrl-CS"/>
        </w:rPr>
        <w:t xml:space="preserve"> </w:t>
      </w:r>
      <w:r w:rsidRPr="00092ED7">
        <w:rPr>
          <w:rFonts w:eastAsia="Times New Roman" w:cs="Times New Roman"/>
          <w:szCs w:val="24"/>
          <w:lang w:val="sr-Cyrl-CS"/>
        </w:rPr>
        <w:t>формирање парцела правилног облика, погодних за приступ механизацији, уређење инфраструктуре, ефикасније давање у закуп државног пољопривредног земљишта што ће се одразити на повећање пољопривредне производње</w:t>
      </w:r>
      <w:r w:rsidR="00177413" w:rsidRPr="00092ED7">
        <w:rPr>
          <w:rFonts w:eastAsia="Times New Roman" w:cs="Times New Roman"/>
          <w:szCs w:val="24"/>
          <w:lang w:val="sr-Cyrl-CS"/>
        </w:rPr>
        <w:t>, конкурентност</w:t>
      </w:r>
      <w:r w:rsidRPr="00092ED7">
        <w:rPr>
          <w:rFonts w:eastAsia="Times New Roman" w:cs="Times New Roman"/>
          <w:szCs w:val="24"/>
          <w:lang w:val="sr-Cyrl-CS"/>
        </w:rPr>
        <w:t xml:space="preserve"> и раст</w:t>
      </w:r>
      <w:r w:rsidRPr="00092ED7">
        <w:rPr>
          <w:rFonts w:eastAsia="Times New Roman" w:cs="Times New Roman"/>
          <w:spacing w:val="-33"/>
          <w:szCs w:val="24"/>
          <w:lang w:val="sr-Cyrl-CS"/>
        </w:rPr>
        <w:t xml:space="preserve"> </w:t>
      </w:r>
      <w:r w:rsidRPr="00092ED7">
        <w:rPr>
          <w:rFonts w:eastAsia="Times New Roman" w:cs="Times New Roman"/>
          <w:szCs w:val="24"/>
          <w:lang w:val="sr-Cyrl-CS"/>
        </w:rPr>
        <w:t>БДП-а.</w:t>
      </w:r>
    </w:p>
    <w:p w14:paraId="4FB47F71" w14:textId="77777777" w:rsidR="00D210F0" w:rsidRPr="00092ED7" w:rsidRDefault="00D210F0" w:rsidP="00A332FD">
      <w:pPr>
        <w:tabs>
          <w:tab w:val="left" w:pos="360"/>
        </w:tabs>
        <w:spacing w:after="60"/>
        <w:rPr>
          <w:rFonts w:cs="Times New Roman"/>
          <w:b/>
          <w:bCs/>
          <w:szCs w:val="24"/>
          <w:lang w:val="sr-Cyrl-CS"/>
        </w:rPr>
      </w:pPr>
      <w:r w:rsidRPr="00092ED7">
        <w:rPr>
          <w:rFonts w:eastAsia="Times New Roman" w:cs="Times New Roman"/>
          <w:szCs w:val="24"/>
          <w:lang w:val="sr-Cyrl-CS"/>
        </w:rPr>
        <w:t xml:space="preserve">Побољшањем ликвидности </w:t>
      </w:r>
      <w:r w:rsidRPr="00092ED7">
        <w:rPr>
          <w:rFonts w:cs="Times New Roman"/>
          <w:szCs w:val="24"/>
          <w:lang w:val="sr-Cyrl-CS"/>
        </w:rPr>
        <w:t>укупног ланца вредности примарне пољопривредне производње – прераде</w:t>
      </w:r>
      <w:r w:rsidRPr="00092ED7">
        <w:rPr>
          <w:rFonts w:eastAsia="Times New Roman" w:cs="Times New Roman"/>
          <w:szCs w:val="24"/>
          <w:lang w:val="sr-Cyrl-CS"/>
        </w:rPr>
        <w:t xml:space="preserve"> утиче се на могућност инвестирања у основна средства што утиче на конкурентност пољопривреде, a посредно може да доведе до увећања инвестиционе кредитне подршке.</w:t>
      </w:r>
    </w:p>
    <w:p w14:paraId="5A89F568" w14:textId="77777777" w:rsidR="00D210F0" w:rsidRPr="00092ED7" w:rsidRDefault="00D210F0" w:rsidP="00071952">
      <w:pPr>
        <w:widowControl w:val="0"/>
        <w:numPr>
          <w:ilvl w:val="0"/>
          <w:numId w:val="36"/>
        </w:numPr>
        <w:spacing w:before="120"/>
        <w:rPr>
          <w:rFonts w:cs="Times New Roman"/>
          <w:b/>
          <w:bCs/>
          <w:szCs w:val="24"/>
          <w:lang w:val="sr-Cyrl-CS"/>
        </w:rPr>
      </w:pPr>
      <w:r w:rsidRPr="00092ED7">
        <w:rPr>
          <w:b/>
          <w:szCs w:val="24"/>
          <w:lang w:val="sr-Cyrl-CS"/>
        </w:rPr>
        <w:t>Процењени трошкови спровођења структурне реформе и предвиђени извори њиховог финансирања</w:t>
      </w:r>
    </w:p>
    <w:p w14:paraId="79986B13" w14:textId="62CF9FF9" w:rsidR="008A6476" w:rsidRPr="00092ED7" w:rsidRDefault="008A6476" w:rsidP="00D030D6">
      <w:pPr>
        <w:spacing w:after="60"/>
        <w:rPr>
          <w:rFonts w:cs="Times New Roman"/>
          <w:lang w:val="sr-Cyrl-CS"/>
        </w:rPr>
      </w:pPr>
      <w:r w:rsidRPr="00092ED7">
        <w:rPr>
          <w:rFonts w:cs="Times New Roman"/>
          <w:lang w:val="sr-Cyrl-CS"/>
        </w:rPr>
        <w:t>А</w:t>
      </w:r>
      <w:r w:rsidR="008C00EF" w:rsidRPr="00092ED7">
        <w:rPr>
          <w:rFonts w:cs="Times New Roman"/>
          <w:lang w:val="sr-Cyrl-CS"/>
        </w:rPr>
        <w:t>ктивност</w:t>
      </w:r>
      <w:r w:rsidRPr="00092ED7">
        <w:rPr>
          <w:rFonts w:cs="Times New Roman"/>
          <w:lang w:val="sr-Cyrl-CS"/>
        </w:rPr>
        <w:t xml:space="preserve"> 1: Процењени трошкови везани за имплементацију захтева и мера уређења тржишта на основу Закона о уређењу тржишта пољопривредних производа, у периоду 2023-2025. године планирано је да износе око 2,4 милиона евра. Део ових трошкова je обезбеђен кроз ИПА пројекте. Кроз један ИПА пројекат</w:t>
      </w:r>
      <w:r w:rsidR="00A332FD" w:rsidRPr="00092ED7">
        <w:rPr>
          <w:rFonts w:cs="Times New Roman"/>
          <w:lang w:val="sr-Cyrl-CS"/>
        </w:rPr>
        <w:t xml:space="preserve"> </w:t>
      </w:r>
      <w:r w:rsidRPr="00092ED7">
        <w:rPr>
          <w:rFonts w:cs="Times New Roman"/>
          <w:lang w:val="sr-Cyrl-CS"/>
        </w:rPr>
        <w:t>обезбеђена су средства за едукације, израду правилника и информисање пољопривредника, у 2023. години у износу од 732.500 евра, а у 2024. години у износу од 180.000 евра. Кроз други ИПА пројекат обезбеђена су средства за едукације, у 2023. години у износу од 250.001 евра. Процењени трошкови за субвенције корисницима мера уређења тржишта износе по 375.758 евра у 2023, 2024. и 2025. години (извор финансирања: буџет</w:t>
      </w:r>
      <w:r w:rsidR="008561A5" w:rsidRPr="00092ED7">
        <w:rPr>
          <w:rFonts w:cs="Times New Roman"/>
          <w:lang w:val="sr-Cyrl-CS"/>
        </w:rPr>
        <w:t xml:space="preserve"> Републике Србије</w:t>
      </w:r>
      <w:r w:rsidRPr="00092ED7">
        <w:rPr>
          <w:rFonts w:cs="Times New Roman"/>
          <w:lang w:val="sr-Cyrl-CS"/>
        </w:rPr>
        <w:t>). За израду Регистра трговаца у 2023. години планиран је износ од 146.250 евра (извор финансирања: буџет</w:t>
      </w:r>
      <w:r w:rsidR="008561A5" w:rsidRPr="00092ED7">
        <w:rPr>
          <w:rFonts w:cs="Times New Roman"/>
          <w:lang w:val="sr-Cyrl-CS"/>
        </w:rPr>
        <w:t xml:space="preserve"> Републике Србије</w:t>
      </w:r>
      <w:r w:rsidRPr="00092ED7">
        <w:rPr>
          <w:rFonts w:cs="Times New Roman"/>
          <w:lang w:val="sr-Cyrl-CS"/>
        </w:rPr>
        <w:t xml:space="preserve">). </w:t>
      </w:r>
    </w:p>
    <w:p w14:paraId="67509F00" w14:textId="3F6EDC9C" w:rsidR="008A6476" w:rsidRPr="00092ED7" w:rsidRDefault="008A6476" w:rsidP="00D030D6">
      <w:pPr>
        <w:spacing w:after="60"/>
        <w:rPr>
          <w:rFonts w:cs="Times New Roman"/>
          <w:lang w:val="sr-Cyrl-CS"/>
        </w:rPr>
      </w:pPr>
      <w:r w:rsidRPr="00092ED7">
        <w:rPr>
          <w:rFonts w:cs="Times New Roman"/>
          <w:lang w:val="sr-Cyrl-CS"/>
        </w:rPr>
        <w:t xml:space="preserve">Усвајање и спровођење </w:t>
      </w:r>
      <w:r w:rsidR="00D166B0" w:rsidRPr="00092ED7">
        <w:rPr>
          <w:rFonts w:cs="Times New Roman"/>
          <w:lang w:val="sr-Cyrl-CS"/>
        </w:rPr>
        <w:t>з</w:t>
      </w:r>
      <w:r w:rsidRPr="00092ED7">
        <w:rPr>
          <w:rFonts w:cs="Times New Roman"/>
          <w:lang w:val="sr-Cyrl-CS"/>
        </w:rPr>
        <w:t xml:space="preserve">акона о шемама квалитета за пољопривредне и прехрамбене производе и </w:t>
      </w:r>
      <w:r w:rsidR="00D166B0" w:rsidRPr="00092ED7">
        <w:rPr>
          <w:rFonts w:cs="Times New Roman"/>
          <w:lang w:val="sr-Cyrl-CS"/>
        </w:rPr>
        <w:t>з</w:t>
      </w:r>
      <w:r w:rsidRPr="00092ED7">
        <w:rPr>
          <w:rFonts w:cs="Times New Roman"/>
          <w:lang w:val="sr-Cyrl-CS"/>
        </w:rPr>
        <w:t>акона о органској производњи</w:t>
      </w:r>
      <w:r w:rsidRPr="00092ED7">
        <w:rPr>
          <w:rFonts w:cs="Times New Roman"/>
          <w:b/>
          <w:lang w:val="sr-Cyrl-CS"/>
        </w:rPr>
        <w:t xml:space="preserve"> </w:t>
      </w:r>
      <w:r w:rsidRPr="00092ED7">
        <w:rPr>
          <w:rFonts w:cs="Times New Roman"/>
          <w:lang w:val="sr-Cyrl-CS"/>
        </w:rPr>
        <w:t>у 2023. години, подразумева одређене трошкове везане за едукације и информативне кампање, у износу од 85.372 евра (извор финансирања: ФАО пројекат).</w:t>
      </w:r>
    </w:p>
    <w:p w14:paraId="1AF0C0CF" w14:textId="5452294D" w:rsidR="008A6476" w:rsidRPr="00092ED7" w:rsidRDefault="008A6476" w:rsidP="00D030D6">
      <w:pPr>
        <w:spacing w:after="60"/>
        <w:rPr>
          <w:rFonts w:cs="Times New Roman"/>
          <w:lang w:val="sr-Cyrl-CS"/>
        </w:rPr>
      </w:pPr>
      <w:r w:rsidRPr="00092ED7">
        <w:rPr>
          <w:rFonts w:cs="Times New Roman"/>
          <w:lang w:val="sr-Cyrl-CS"/>
        </w:rPr>
        <w:t>А</w:t>
      </w:r>
      <w:r w:rsidR="008C00EF" w:rsidRPr="00092ED7">
        <w:rPr>
          <w:rFonts w:cs="Times New Roman"/>
          <w:lang w:val="sr-Cyrl-CS"/>
        </w:rPr>
        <w:t>ктивност</w:t>
      </w:r>
      <w:r w:rsidRPr="00092ED7">
        <w:rPr>
          <w:rFonts w:cs="Times New Roman"/>
          <w:lang w:val="sr-Cyrl-CS"/>
        </w:rPr>
        <w:t xml:space="preserve"> 2:</w:t>
      </w:r>
      <w:r w:rsidRPr="00092ED7">
        <w:rPr>
          <w:rFonts w:cs="Times New Roman"/>
          <w:b/>
          <w:lang w:val="sr-Cyrl-CS"/>
        </w:rPr>
        <w:t xml:space="preserve"> </w:t>
      </w:r>
      <w:r w:rsidRPr="00092ED7">
        <w:rPr>
          <w:rFonts w:cs="Times New Roman"/>
          <w:lang w:val="sr-Cyrl-CS"/>
        </w:rPr>
        <w:t xml:space="preserve">За унапређење руралне инфраструктуре, укупно процењена средства за исплату субвенција из </w:t>
      </w:r>
      <w:r w:rsidR="00D166B0" w:rsidRPr="00092ED7">
        <w:rPr>
          <w:rFonts w:cs="Times New Roman"/>
          <w:lang w:val="sr-Cyrl-CS"/>
        </w:rPr>
        <w:t xml:space="preserve">буџета Републике Србије </w:t>
      </w:r>
      <w:r w:rsidRPr="00092ED7">
        <w:rPr>
          <w:rFonts w:cs="Times New Roman"/>
          <w:lang w:val="sr-Cyrl-CS"/>
        </w:rPr>
        <w:t>и буџета А</w:t>
      </w:r>
      <w:r w:rsidR="00D166B0" w:rsidRPr="00092ED7">
        <w:rPr>
          <w:rFonts w:cs="Times New Roman"/>
          <w:lang w:val="sr-Cyrl-CS"/>
        </w:rPr>
        <w:t>утономне покрајине Војводине</w:t>
      </w:r>
      <w:r w:rsidRPr="00092ED7">
        <w:rPr>
          <w:rFonts w:cs="Times New Roman"/>
          <w:lang w:val="sr-Cyrl-CS"/>
        </w:rPr>
        <w:t>/</w:t>
      </w:r>
      <w:r w:rsidR="00D166B0" w:rsidRPr="00092ED7">
        <w:rPr>
          <w:rFonts w:cs="Times New Roman"/>
          <w:lang w:val="sr-Cyrl-CS"/>
        </w:rPr>
        <w:t xml:space="preserve">буџета </w:t>
      </w:r>
      <w:r w:rsidRPr="00092ED7">
        <w:rPr>
          <w:rFonts w:cs="Times New Roman"/>
          <w:lang w:val="sr-Cyrl-CS"/>
        </w:rPr>
        <w:t>ЈЛС  износе: у 2023. години: 5.482.041 евра (буџет</w:t>
      </w:r>
      <w:r w:rsidR="00D166B0" w:rsidRPr="00092ED7">
        <w:rPr>
          <w:rFonts w:cs="Times New Roman"/>
          <w:lang w:val="sr-Cyrl-CS"/>
        </w:rPr>
        <w:t xml:space="preserve"> Републике Србије</w:t>
      </w:r>
      <w:r w:rsidRPr="00092ED7">
        <w:rPr>
          <w:rFonts w:cs="Times New Roman"/>
          <w:lang w:val="sr-Cyrl-CS"/>
        </w:rPr>
        <w:t xml:space="preserve">: 4.246.833; буџет </w:t>
      </w:r>
      <w:r w:rsidR="00D166B0" w:rsidRPr="00092ED7">
        <w:rPr>
          <w:rFonts w:cs="Times New Roman"/>
          <w:lang w:val="sr-Cyrl-CS"/>
        </w:rPr>
        <w:t>Аутономне покрајине Војводине/буџет ЈЛС</w:t>
      </w:r>
      <w:r w:rsidRPr="00092ED7">
        <w:rPr>
          <w:rFonts w:cs="Times New Roman"/>
          <w:lang w:val="sr-Cyrl-CS"/>
        </w:rPr>
        <w:t>: 1.235.208); у 2024. години: 5.482.041 евра (буџет</w:t>
      </w:r>
      <w:r w:rsidR="00D166B0" w:rsidRPr="00092ED7">
        <w:rPr>
          <w:rFonts w:cs="Times New Roman"/>
          <w:lang w:val="sr-Cyrl-CS"/>
        </w:rPr>
        <w:t xml:space="preserve"> Републике Србије</w:t>
      </w:r>
      <w:r w:rsidRPr="00092ED7">
        <w:rPr>
          <w:rFonts w:cs="Times New Roman"/>
          <w:lang w:val="sr-Cyrl-CS"/>
        </w:rPr>
        <w:t xml:space="preserve">: 4.246.833; буџет </w:t>
      </w:r>
      <w:r w:rsidR="00D166B0" w:rsidRPr="00092ED7">
        <w:rPr>
          <w:rFonts w:cs="Times New Roman"/>
          <w:lang w:val="sr-Cyrl-CS"/>
        </w:rPr>
        <w:t xml:space="preserve">Аутономне покрајине </w:t>
      </w:r>
      <w:r w:rsidR="00D166B0" w:rsidRPr="00092ED7">
        <w:rPr>
          <w:rFonts w:cs="Times New Roman"/>
          <w:lang w:val="sr-Cyrl-CS"/>
        </w:rPr>
        <w:lastRenderedPageBreak/>
        <w:t>Војводине/буџет ЈЛС</w:t>
      </w:r>
      <w:r w:rsidRPr="00092ED7">
        <w:rPr>
          <w:rFonts w:cs="Times New Roman"/>
          <w:lang w:val="sr-Cyrl-CS"/>
        </w:rPr>
        <w:t>: 1.235.208) и у 2025. години: 5.906.724 евра (буџет</w:t>
      </w:r>
      <w:r w:rsidR="00D166B0" w:rsidRPr="00092ED7">
        <w:rPr>
          <w:rFonts w:cs="Times New Roman"/>
          <w:lang w:val="sr-Cyrl-CS"/>
        </w:rPr>
        <w:t xml:space="preserve"> Републике Србије</w:t>
      </w:r>
      <w:r w:rsidRPr="00092ED7">
        <w:rPr>
          <w:rFonts w:cs="Times New Roman"/>
          <w:lang w:val="sr-Cyrl-CS"/>
        </w:rPr>
        <w:t xml:space="preserve">: 4.671.516; буџет </w:t>
      </w:r>
      <w:r w:rsidR="00D166B0" w:rsidRPr="00092ED7">
        <w:rPr>
          <w:rFonts w:cs="Times New Roman"/>
          <w:lang w:val="sr-Cyrl-CS"/>
        </w:rPr>
        <w:t>Аутономне покрајине Војводине/буџет ЈЛС</w:t>
      </w:r>
      <w:r w:rsidRPr="00092ED7">
        <w:rPr>
          <w:rFonts w:cs="Times New Roman"/>
          <w:lang w:val="sr-Cyrl-CS"/>
        </w:rPr>
        <w:t xml:space="preserve">: 1.235.208). </w:t>
      </w:r>
    </w:p>
    <w:p w14:paraId="212177B4" w14:textId="77777777" w:rsidR="008A6476" w:rsidRPr="00092ED7" w:rsidRDefault="008A6476" w:rsidP="00D030D6">
      <w:pPr>
        <w:spacing w:after="60"/>
        <w:rPr>
          <w:rFonts w:cs="Times New Roman"/>
          <w:lang w:val="sr-Cyrl-CS"/>
        </w:rPr>
      </w:pPr>
      <w:r w:rsidRPr="00092ED7">
        <w:rPr>
          <w:rFonts w:cs="Times New Roman"/>
          <w:lang w:val="sr-Cyrl-CS"/>
        </w:rPr>
        <w:t xml:space="preserve">Укупно процењена средства </w:t>
      </w:r>
      <w:r w:rsidRPr="00092ED7">
        <w:rPr>
          <w:rFonts w:cs="Times New Roman"/>
          <w:bCs/>
          <w:lang w:val="sr-Cyrl-CS"/>
        </w:rPr>
        <w:t xml:space="preserve">за исплату субвенција </w:t>
      </w:r>
      <w:r w:rsidRPr="00092ED7">
        <w:rPr>
          <w:rFonts w:cs="Times New Roman"/>
          <w:lang w:val="sr-Cyrl-CS"/>
        </w:rPr>
        <w:t>корисницима ИПАРД програма спровођењем Мере 6</w:t>
      </w:r>
      <w:r w:rsidRPr="00092ED7">
        <w:rPr>
          <w:rFonts w:cs="Times New Roman"/>
          <w:bCs/>
          <w:lang w:val="sr-Cyrl-CS"/>
        </w:rPr>
        <w:t>, износе: у 2024. години: 11.186.666,67 евра (</w:t>
      </w:r>
      <w:r w:rsidRPr="00092ED7">
        <w:rPr>
          <w:rFonts w:cs="Times New Roman"/>
          <w:lang w:val="sr-Cyrl-CS"/>
        </w:rPr>
        <w:t>средстава финансијске помоћи ЕУ: 8.390.000; буџет: 2.796.666,67) и у 2025. години: 15.120.000 евра (средстава финансијске помоћи ЕУ: 11.340.000; буџет: 3.780.000).</w:t>
      </w:r>
    </w:p>
    <w:p w14:paraId="1BF9F834" w14:textId="08BCFFFE" w:rsidR="008A6476" w:rsidRPr="00092ED7" w:rsidRDefault="008A6476" w:rsidP="00D030D6">
      <w:pPr>
        <w:spacing w:after="60"/>
        <w:rPr>
          <w:rFonts w:cs="Times New Roman"/>
          <w:lang w:val="sr-Cyrl-CS"/>
        </w:rPr>
      </w:pPr>
      <w:r w:rsidRPr="00092ED7">
        <w:rPr>
          <w:rFonts w:cs="Times New Roman"/>
          <w:lang w:val="sr-Cyrl-CS"/>
        </w:rPr>
        <w:t>А</w:t>
      </w:r>
      <w:r w:rsidR="008C00EF" w:rsidRPr="00092ED7">
        <w:rPr>
          <w:rFonts w:cs="Times New Roman"/>
          <w:lang w:val="sr-Cyrl-CS"/>
        </w:rPr>
        <w:t>ктивност</w:t>
      </w:r>
      <w:r w:rsidRPr="00092ED7">
        <w:rPr>
          <w:rFonts w:cs="Times New Roman"/>
          <w:lang w:val="sr-Cyrl-CS"/>
        </w:rPr>
        <w:t xml:space="preserve"> 3: Имајући у виду да је основ за даље спровођење ове активности усвајање законског оквира, односно доношење новог </w:t>
      </w:r>
      <w:r w:rsidR="00D166B0" w:rsidRPr="00092ED7">
        <w:rPr>
          <w:rFonts w:cs="Times New Roman"/>
          <w:lang w:val="sr-Cyrl-CS"/>
        </w:rPr>
        <w:t>з</w:t>
      </w:r>
      <w:r w:rsidRPr="00092ED7">
        <w:rPr>
          <w:rFonts w:cs="Times New Roman"/>
          <w:lang w:val="sr-Cyrl-CS"/>
        </w:rPr>
        <w:t xml:space="preserve">акона о комасацији и </w:t>
      </w:r>
      <w:r w:rsidR="00D166B0" w:rsidRPr="00092ED7">
        <w:rPr>
          <w:rFonts w:cs="Times New Roman"/>
          <w:lang w:val="sr-Cyrl-CS"/>
        </w:rPr>
        <w:t>з</w:t>
      </w:r>
      <w:r w:rsidRPr="00092ED7">
        <w:rPr>
          <w:rFonts w:cs="Times New Roman"/>
          <w:lang w:val="sr-Cyrl-CS"/>
        </w:rPr>
        <w:t xml:space="preserve">акона о пољопривредном земљишту, потенцијално запошљавање пет нових службеника у 2023. години, односно њихове плате у износу од 52.260 евра биће финансиране из буџета. У </w:t>
      </w:r>
      <w:r w:rsidRPr="00092ED7">
        <w:rPr>
          <w:rFonts w:cs="Times New Roman"/>
          <w:bCs/>
          <w:lang w:val="sr-Cyrl-CS"/>
        </w:rPr>
        <w:t>2024.</w:t>
      </w:r>
      <w:r w:rsidRPr="00092ED7">
        <w:rPr>
          <w:rFonts w:cs="Times New Roman"/>
          <w:lang w:val="sr-Cyrl-CS"/>
        </w:rPr>
        <w:t xml:space="preserve"> години средства у укупном износу од </w:t>
      </w:r>
      <w:r w:rsidRPr="00092ED7">
        <w:rPr>
          <w:rFonts w:cs="Times New Roman"/>
          <w:bCs/>
          <w:lang w:val="sr-Cyrl-CS"/>
        </w:rPr>
        <w:t>902.260</w:t>
      </w:r>
      <w:r w:rsidRPr="00092ED7">
        <w:rPr>
          <w:rFonts w:cs="Times New Roman"/>
          <w:lang w:val="sr-Cyrl-CS"/>
        </w:rPr>
        <w:t xml:space="preserve"> евра предвиђена су за плате (извор финансирања: буџет, износ: 52.260), ангажовање стручњака у изради подзаконских аката, обуку и набавку канцеларијске опреме, услуге превођења (извор финансирања: тек треба да се утврди, износ: 250.000), набавку сервера и развој мрежне инфраструктуре (извор финансирања: тек треба да се утврди, износ: 600.000). </w:t>
      </w:r>
      <w:r w:rsidRPr="00092ED7">
        <w:rPr>
          <w:rFonts w:cs="Times New Roman"/>
          <w:bCs/>
          <w:lang w:val="sr-Cyrl-CS"/>
        </w:rPr>
        <w:t>У 2025.</w:t>
      </w:r>
      <w:r w:rsidRPr="00092ED7">
        <w:rPr>
          <w:rFonts w:cs="Times New Roman"/>
          <w:lang w:val="sr-Cyrl-CS"/>
        </w:rPr>
        <w:t xml:space="preserve"> години средства у укупном износу од </w:t>
      </w:r>
      <w:r w:rsidRPr="00092ED7">
        <w:rPr>
          <w:rFonts w:cs="Times New Roman"/>
          <w:bCs/>
          <w:lang w:val="sr-Cyrl-CS"/>
        </w:rPr>
        <w:t>1,95</w:t>
      </w:r>
      <w:r w:rsidRPr="00092ED7">
        <w:rPr>
          <w:rFonts w:cs="Times New Roman"/>
          <w:lang w:val="sr-Cyrl-CS"/>
        </w:rPr>
        <w:t xml:space="preserve"> милиона евра су предвиђена за плате (извор финансирања: буџет, износ: 52.260), обуку и набавку канцеларијске</w:t>
      </w:r>
      <w:r w:rsidRPr="00092ED7">
        <w:rPr>
          <w:lang w:val="sr-Cyrl-CS"/>
        </w:rPr>
        <w:t xml:space="preserve"> </w:t>
      </w:r>
      <w:r w:rsidRPr="00092ED7">
        <w:rPr>
          <w:rFonts w:cs="Times New Roman"/>
          <w:lang w:val="sr-Cyrl-CS"/>
        </w:rPr>
        <w:t>опреме (извор финансирања: ИПА, износ: 50.000), развој софтвера (извор финансирања: ИПА, износ: 600.000) и спровођење пилот комасације (извор финансирања: буџет, износ: 1.250.000).</w:t>
      </w:r>
    </w:p>
    <w:p w14:paraId="5FB3A520" w14:textId="07118E91" w:rsidR="008A6476" w:rsidRPr="00092ED7" w:rsidRDefault="008A6476" w:rsidP="00D030D6">
      <w:pPr>
        <w:spacing w:after="60"/>
        <w:rPr>
          <w:rFonts w:cs="Times New Roman"/>
          <w:lang w:val="sr-Cyrl-CS"/>
        </w:rPr>
      </w:pPr>
      <w:r w:rsidRPr="00092ED7">
        <w:rPr>
          <w:rFonts w:cs="Times New Roman"/>
          <w:lang w:val="sr-Cyrl-CS"/>
        </w:rPr>
        <w:t>А</w:t>
      </w:r>
      <w:r w:rsidR="008C00EF" w:rsidRPr="00092ED7">
        <w:rPr>
          <w:rFonts w:cs="Times New Roman"/>
          <w:lang w:val="sr-Cyrl-CS"/>
        </w:rPr>
        <w:t>ктивност</w:t>
      </w:r>
      <w:r w:rsidRPr="00092ED7">
        <w:rPr>
          <w:rFonts w:cs="Times New Roman"/>
          <w:lang w:val="sr-Cyrl-CS"/>
        </w:rPr>
        <w:t xml:space="preserve"> 4: Процењени трошкови </w:t>
      </w:r>
      <w:r w:rsidR="008561A5" w:rsidRPr="00092ED7">
        <w:rPr>
          <w:rFonts w:cs="Times New Roman"/>
          <w:lang w:val="sr-Cyrl-CS"/>
        </w:rPr>
        <w:t>Републичког геодетског завода</w:t>
      </w:r>
      <w:r w:rsidRPr="00092ED7">
        <w:rPr>
          <w:rFonts w:cs="Times New Roman"/>
          <w:lang w:val="sr-Cyrl-CS"/>
        </w:rPr>
        <w:t xml:space="preserve"> за потребе имплементације информационог система за подршку у спровођењу стручног надзора у поступку комасације (контролни модул и модул интеграције за повезивање са информационим системом катастра непокретности и обуке запослених на спровођењу стручног надзора) у 2023. години износе око 900.000 евра, а у 2024. години око 750.000 евра. За ове активности извор финансирања </w:t>
      </w:r>
      <w:r w:rsidR="009E0881" w:rsidRPr="00092ED7">
        <w:rPr>
          <w:rFonts w:cs="Times New Roman"/>
          <w:lang w:val="sr-Cyrl-CS"/>
        </w:rPr>
        <w:t xml:space="preserve">ће бити </w:t>
      </w:r>
      <w:r w:rsidR="009E0881" w:rsidRPr="00092ED7">
        <w:rPr>
          <w:lang w:val="sr-Cyrl-CS"/>
        </w:rPr>
        <w:t>кредит Светске банке</w:t>
      </w:r>
      <w:r w:rsidRPr="00092ED7">
        <w:rPr>
          <w:rFonts w:cs="Times New Roman"/>
          <w:lang w:val="sr-Cyrl-CS"/>
        </w:rPr>
        <w:t>.</w:t>
      </w:r>
    </w:p>
    <w:p w14:paraId="09D2AC59" w14:textId="3AA44896" w:rsidR="008A6476" w:rsidRPr="00092ED7" w:rsidRDefault="008A6476" w:rsidP="00D030D6">
      <w:pPr>
        <w:spacing w:after="60"/>
        <w:rPr>
          <w:rFonts w:cs="Times New Roman"/>
          <w:lang w:val="sr-Cyrl-CS"/>
        </w:rPr>
      </w:pPr>
      <w:r w:rsidRPr="00092ED7">
        <w:rPr>
          <w:rFonts w:cs="Times New Roman"/>
          <w:lang w:val="sr-Cyrl-CS"/>
        </w:rPr>
        <w:t>А</w:t>
      </w:r>
      <w:r w:rsidR="008C00EF" w:rsidRPr="00092ED7">
        <w:rPr>
          <w:rFonts w:cs="Times New Roman"/>
          <w:lang w:val="sr-Cyrl-CS"/>
        </w:rPr>
        <w:t>ктивност</w:t>
      </w:r>
      <w:r w:rsidRPr="00092ED7">
        <w:rPr>
          <w:rFonts w:cs="Times New Roman"/>
          <w:lang w:val="sr-Cyrl-CS"/>
        </w:rPr>
        <w:t xml:space="preserve"> 5 и 6: У току 2023. године планирани су капитални расходи у укупном износу од 1.250.000 евра, а извор финансирања је кредит Светске банке, и то: израда новог РПГ и LPIS софтвера, повезивање LPIS, Регистра животиња и РПГ; израда Апликације за подношење захтева за директна плаћања</w:t>
      </w:r>
      <w:r w:rsidR="00A01A11" w:rsidRPr="00092ED7">
        <w:rPr>
          <w:rFonts w:cs="Times New Roman"/>
          <w:lang w:val="sr-Cyrl-CS"/>
        </w:rPr>
        <w:t>,</w:t>
      </w:r>
      <w:r w:rsidRPr="00092ED7">
        <w:rPr>
          <w:rFonts w:cs="Times New Roman"/>
          <w:lang w:val="sr-Cyrl-CS"/>
        </w:rPr>
        <w:t xml:space="preserve"> ДМС</w:t>
      </w:r>
      <w:r w:rsidR="00A01A11" w:rsidRPr="00092ED7">
        <w:rPr>
          <w:rFonts w:cs="Times New Roman"/>
          <w:lang w:val="sr-Cyrl-CS"/>
        </w:rPr>
        <w:t xml:space="preserve"> и повезивање са писарницом</w:t>
      </w:r>
      <w:r w:rsidRPr="00092ED7">
        <w:rPr>
          <w:rFonts w:cs="Times New Roman"/>
          <w:lang w:val="sr-Cyrl-CS"/>
        </w:rPr>
        <w:t xml:space="preserve">. Током 2023. - 2025. године ће се радити на изради преосталих делова елемената IACS (осим АМS). Извор финансирања ће бити ИПА 2021, а укупна вредност пројекта је 3,79 милиона евра. Од овог износа планирани трошкови за израду софтвера су 1.765.000 евра (у 2024. години: 375.000, у 2025. години: 1.390.000). Преостали износ од 2.025.000 евра (у 2023. години 25.000, у 2024. години 1.000.000 и у 2025. години 1.000.000) се односи на добра и услуге (консултанстске услуге за израду техничке спецификације, обуке запослених и израду правног оквира за успостављање IACS - прве фазе). </w:t>
      </w:r>
    </w:p>
    <w:p w14:paraId="722A7F23" w14:textId="77777777" w:rsidR="008A6476" w:rsidRPr="00092ED7" w:rsidRDefault="008A6476" w:rsidP="00D030D6">
      <w:pPr>
        <w:spacing w:after="60"/>
        <w:rPr>
          <w:rFonts w:cs="Times New Roman"/>
          <w:lang w:val="sr-Cyrl-CS"/>
        </w:rPr>
      </w:pPr>
      <w:r w:rsidRPr="00092ED7">
        <w:rPr>
          <w:rFonts w:cs="Times New Roman"/>
          <w:lang w:val="sr-Cyrl-CS"/>
        </w:rPr>
        <w:t>За јачање институционалних и административних капацитета у периоду од 2023. до 2025. године планирани су расходи у износу од 1.056.260 евра, извор финансирања: буџет (у 2023. години 159.285, у 2024. години 372.695 и у 2025. години 524.280), а из кредита Светске банке за ангажовање консултаната 259.833,33 евра (у 2023. години 117.500, а у 2024. години 142.333,33).</w:t>
      </w:r>
    </w:p>
    <w:p w14:paraId="635C5361" w14:textId="77777777" w:rsidR="00D210F0" w:rsidRPr="00092ED7" w:rsidRDefault="00D210F0" w:rsidP="00071952">
      <w:pPr>
        <w:widowControl w:val="0"/>
        <w:numPr>
          <w:ilvl w:val="0"/>
          <w:numId w:val="36"/>
        </w:numPr>
        <w:spacing w:before="120"/>
        <w:rPr>
          <w:rFonts w:cs="Times New Roman"/>
          <w:b/>
          <w:szCs w:val="24"/>
          <w:lang w:val="sr-Cyrl-CS"/>
        </w:rPr>
      </w:pPr>
      <w:r w:rsidRPr="00092ED7">
        <w:rPr>
          <w:rFonts w:cs="Times New Roman"/>
          <w:b/>
          <w:szCs w:val="24"/>
          <w:lang w:val="sr-Cyrl-CS"/>
        </w:rPr>
        <w:t>Очекивани утицај на социјалне циљеве, као што су запосленост, смањење сиромаштва, родна равноправност и приступ здравственој заштити</w:t>
      </w:r>
    </w:p>
    <w:p w14:paraId="67F79F34" w14:textId="47970307" w:rsidR="00D210F0" w:rsidRPr="00092ED7" w:rsidRDefault="00D210F0" w:rsidP="00D210F0">
      <w:pPr>
        <w:spacing w:after="60"/>
        <w:rPr>
          <w:rFonts w:cs="Times New Roman"/>
          <w:szCs w:val="24"/>
          <w:lang w:val="sr-Cyrl-CS"/>
        </w:rPr>
      </w:pPr>
      <w:r w:rsidRPr="00092ED7">
        <w:rPr>
          <w:rFonts w:cs="Times New Roman"/>
          <w:szCs w:val="24"/>
          <w:lang w:val="sr-Cyrl-CS"/>
        </w:rPr>
        <w:t xml:space="preserve">Структурна реформа директно утиче на повећан обим запошљавања и смањење сиромаштва локалног становништва и доприноси појави нових правних лица у областима производње, прераде и промета пољопривредних производа, па тако и запослености. Развијањем руралне инфраструктуре, физичким и правним лицима се омогућава развијање сопствених послова, односно њихово самозапошљавање и </w:t>
      </w:r>
      <w:r w:rsidRPr="00092ED7">
        <w:rPr>
          <w:rFonts w:cs="Times New Roman"/>
          <w:szCs w:val="24"/>
          <w:lang w:val="sr-Cyrl-CS"/>
        </w:rPr>
        <w:lastRenderedPageBreak/>
        <w:t>запошљавање локалног становништва</w:t>
      </w:r>
      <w:r w:rsidR="00B825FF" w:rsidRPr="00092ED7">
        <w:rPr>
          <w:rFonts w:cs="Times New Roman"/>
          <w:szCs w:val="24"/>
          <w:lang w:val="sr-Cyrl-CS"/>
        </w:rPr>
        <w:t>, као и</w:t>
      </w:r>
      <w:r w:rsidR="00D55425" w:rsidRPr="00092ED7">
        <w:rPr>
          <w:rFonts w:cs="Times New Roman"/>
          <w:szCs w:val="24"/>
          <w:lang w:val="sr-Cyrl-CS"/>
        </w:rPr>
        <w:t xml:space="preserve"> равномернији регионални развој</w:t>
      </w:r>
      <w:r w:rsidRPr="00092ED7">
        <w:rPr>
          <w:rFonts w:cs="Times New Roman"/>
          <w:szCs w:val="24"/>
          <w:lang w:val="sr-Cyrl-CS"/>
        </w:rPr>
        <w:t>.</w:t>
      </w:r>
      <w:r w:rsidRPr="00092ED7">
        <w:rPr>
          <w:rFonts w:eastAsia="Times New Roman" w:cs="Times New Roman"/>
          <w:szCs w:val="24"/>
          <w:lang w:val="sr-Cyrl-CS"/>
        </w:rPr>
        <w:t xml:space="preserve"> Применом Закона о уређењу тржишта пољопривредних производа</w:t>
      </w:r>
      <w:r w:rsidRPr="00092ED7">
        <w:rPr>
          <w:rFonts w:eastAsia="Times New Roman" w:cs="Times New Roman"/>
          <w:i/>
          <w:szCs w:val="24"/>
          <w:lang w:val="sr-Cyrl-CS"/>
        </w:rPr>
        <w:t xml:space="preserve"> </w:t>
      </w:r>
      <w:r w:rsidRPr="00092ED7">
        <w:rPr>
          <w:rFonts w:eastAsia="Times New Roman" w:cs="Times New Roman"/>
          <w:szCs w:val="24"/>
          <w:lang w:val="sr-Cyrl-CS"/>
        </w:rPr>
        <w:t xml:space="preserve">омогућава се правно уређен наступ свих субјеката на тржишту што ће директно допринети појави нових правних лица у областима производње, прераде и промета пољопривредних производа, па </w:t>
      </w:r>
      <w:r w:rsidRPr="00092ED7">
        <w:rPr>
          <w:rFonts w:eastAsia="Times New Roman" w:cs="Times New Roman"/>
          <w:spacing w:val="-3"/>
          <w:szCs w:val="24"/>
          <w:lang w:val="sr-Cyrl-CS"/>
        </w:rPr>
        <w:t xml:space="preserve">тако </w:t>
      </w:r>
      <w:r w:rsidRPr="00092ED7">
        <w:rPr>
          <w:rFonts w:eastAsia="Times New Roman" w:cs="Times New Roman"/>
          <w:szCs w:val="24"/>
          <w:lang w:val="sr-Cyrl-CS"/>
        </w:rPr>
        <w:t xml:space="preserve">и </w:t>
      </w:r>
      <w:r w:rsidR="005860F2" w:rsidRPr="00092ED7">
        <w:rPr>
          <w:rFonts w:eastAsia="Times New Roman" w:cs="Times New Roman"/>
          <w:szCs w:val="24"/>
          <w:lang w:val="sr-Cyrl-CS"/>
        </w:rPr>
        <w:t xml:space="preserve">повећању </w:t>
      </w:r>
      <w:r w:rsidRPr="00092ED7">
        <w:rPr>
          <w:rFonts w:eastAsia="Times New Roman" w:cs="Times New Roman"/>
          <w:szCs w:val="24"/>
          <w:lang w:val="sr-Cyrl-CS"/>
        </w:rPr>
        <w:t xml:space="preserve">запослености. Применом </w:t>
      </w:r>
      <w:r w:rsidR="009439C1" w:rsidRPr="00092ED7">
        <w:rPr>
          <w:rFonts w:eastAsia="Times New Roman" w:cs="Times New Roman"/>
          <w:szCs w:val="24"/>
          <w:lang w:val="sr-Cyrl-CS"/>
        </w:rPr>
        <w:t>з</w:t>
      </w:r>
      <w:r w:rsidRPr="00092ED7">
        <w:rPr>
          <w:rFonts w:eastAsia="Times New Roman" w:cs="Times New Roman"/>
          <w:szCs w:val="24"/>
          <w:lang w:val="sr-Cyrl-CS"/>
        </w:rPr>
        <w:t>акона о шемама квалитета за пољопривредне и прехрамбене производе</w:t>
      </w:r>
      <w:r w:rsidRPr="00092ED7">
        <w:rPr>
          <w:rFonts w:eastAsia="Times New Roman" w:cs="Times New Roman"/>
          <w:i/>
          <w:szCs w:val="24"/>
          <w:lang w:val="sr-Cyrl-CS"/>
        </w:rPr>
        <w:t xml:space="preserve"> </w:t>
      </w:r>
      <w:r w:rsidRPr="00092ED7">
        <w:rPr>
          <w:rFonts w:eastAsia="Times New Roman" w:cs="Times New Roman"/>
          <w:szCs w:val="24"/>
          <w:lang w:val="sr-Cyrl-CS"/>
        </w:rPr>
        <w:t>допринеће се бољој уређености система заштите ознака географског порекла пољопривредних и прехрамбених</w:t>
      </w:r>
      <w:r w:rsidRPr="00092ED7">
        <w:rPr>
          <w:rFonts w:eastAsia="Times New Roman" w:cs="Times New Roman"/>
          <w:spacing w:val="24"/>
          <w:szCs w:val="24"/>
          <w:lang w:val="sr-Cyrl-CS"/>
        </w:rPr>
        <w:t xml:space="preserve"> </w:t>
      </w:r>
      <w:r w:rsidRPr="00092ED7">
        <w:rPr>
          <w:rFonts w:eastAsia="Times New Roman" w:cs="Times New Roman"/>
          <w:szCs w:val="24"/>
          <w:lang w:val="sr-Cyrl-CS"/>
        </w:rPr>
        <w:t>производа</w:t>
      </w:r>
      <w:r w:rsidRPr="00092ED7">
        <w:rPr>
          <w:rFonts w:eastAsia="Times New Roman" w:cs="Times New Roman"/>
          <w:spacing w:val="24"/>
          <w:szCs w:val="24"/>
          <w:lang w:val="sr-Cyrl-CS"/>
        </w:rPr>
        <w:t xml:space="preserve"> </w:t>
      </w:r>
      <w:r w:rsidRPr="00092ED7">
        <w:rPr>
          <w:rFonts w:eastAsia="Times New Roman" w:cs="Times New Roman"/>
          <w:szCs w:val="24"/>
          <w:lang w:val="sr-Cyrl-CS"/>
        </w:rPr>
        <w:t>што</w:t>
      </w:r>
      <w:r w:rsidRPr="00092ED7">
        <w:rPr>
          <w:rFonts w:eastAsia="Times New Roman" w:cs="Times New Roman"/>
          <w:spacing w:val="24"/>
          <w:szCs w:val="24"/>
          <w:lang w:val="sr-Cyrl-CS"/>
        </w:rPr>
        <w:t xml:space="preserve"> </w:t>
      </w:r>
      <w:r w:rsidRPr="00092ED7">
        <w:rPr>
          <w:rFonts w:eastAsia="Times New Roman" w:cs="Times New Roman"/>
          <w:szCs w:val="24"/>
          <w:lang w:val="sr-Cyrl-CS"/>
        </w:rPr>
        <w:t>ће</w:t>
      </w:r>
      <w:r w:rsidRPr="00092ED7">
        <w:rPr>
          <w:rFonts w:eastAsia="Times New Roman" w:cs="Times New Roman"/>
          <w:spacing w:val="24"/>
          <w:szCs w:val="24"/>
          <w:lang w:val="sr-Cyrl-CS"/>
        </w:rPr>
        <w:t xml:space="preserve"> </w:t>
      </w:r>
      <w:r w:rsidRPr="00092ED7">
        <w:rPr>
          <w:rFonts w:eastAsia="Times New Roman" w:cs="Times New Roman"/>
          <w:szCs w:val="24"/>
          <w:lang w:val="sr-Cyrl-CS"/>
        </w:rPr>
        <w:t>подстаћи</w:t>
      </w:r>
      <w:r w:rsidRPr="00092ED7">
        <w:rPr>
          <w:rFonts w:eastAsia="Times New Roman" w:cs="Times New Roman"/>
          <w:spacing w:val="24"/>
          <w:szCs w:val="24"/>
          <w:lang w:val="sr-Cyrl-CS"/>
        </w:rPr>
        <w:t xml:space="preserve"> </w:t>
      </w:r>
      <w:r w:rsidRPr="00092ED7">
        <w:rPr>
          <w:rFonts w:eastAsia="Times New Roman" w:cs="Times New Roman"/>
          <w:szCs w:val="24"/>
          <w:lang w:val="sr-Cyrl-CS"/>
        </w:rPr>
        <w:t>нове</w:t>
      </w:r>
      <w:r w:rsidRPr="00092ED7">
        <w:rPr>
          <w:rFonts w:eastAsia="Times New Roman" w:cs="Times New Roman"/>
          <w:spacing w:val="24"/>
          <w:szCs w:val="24"/>
          <w:lang w:val="sr-Cyrl-CS"/>
        </w:rPr>
        <w:t xml:space="preserve"> </w:t>
      </w:r>
      <w:r w:rsidRPr="00092ED7">
        <w:rPr>
          <w:rFonts w:eastAsia="Times New Roman" w:cs="Times New Roman"/>
          <w:szCs w:val="24"/>
          <w:lang w:val="sr-Cyrl-CS"/>
        </w:rPr>
        <w:t>произвођаче</w:t>
      </w:r>
      <w:r w:rsidRPr="00092ED7">
        <w:rPr>
          <w:rFonts w:eastAsia="Times New Roman" w:cs="Times New Roman"/>
          <w:spacing w:val="24"/>
          <w:szCs w:val="24"/>
          <w:lang w:val="sr-Cyrl-CS"/>
        </w:rPr>
        <w:t xml:space="preserve"> </w:t>
      </w:r>
      <w:r w:rsidRPr="00092ED7">
        <w:rPr>
          <w:rFonts w:eastAsia="Times New Roman" w:cs="Times New Roman"/>
          <w:szCs w:val="24"/>
          <w:lang w:val="sr-Cyrl-CS"/>
        </w:rPr>
        <w:t>да</w:t>
      </w:r>
      <w:r w:rsidRPr="00092ED7">
        <w:rPr>
          <w:rFonts w:eastAsia="Times New Roman" w:cs="Times New Roman"/>
          <w:spacing w:val="24"/>
          <w:szCs w:val="24"/>
          <w:lang w:val="sr-Cyrl-CS"/>
        </w:rPr>
        <w:t xml:space="preserve"> </w:t>
      </w:r>
      <w:r w:rsidRPr="00092ED7">
        <w:rPr>
          <w:rFonts w:eastAsia="Times New Roman" w:cs="Times New Roman"/>
          <w:szCs w:val="24"/>
          <w:lang w:val="sr-Cyrl-CS"/>
        </w:rPr>
        <w:t>уђу</w:t>
      </w:r>
      <w:r w:rsidRPr="00092ED7">
        <w:rPr>
          <w:rFonts w:eastAsia="Times New Roman" w:cs="Times New Roman"/>
          <w:spacing w:val="24"/>
          <w:szCs w:val="24"/>
          <w:lang w:val="sr-Cyrl-CS"/>
        </w:rPr>
        <w:t xml:space="preserve"> </w:t>
      </w:r>
      <w:r w:rsidRPr="00092ED7">
        <w:rPr>
          <w:rFonts w:eastAsia="Times New Roman" w:cs="Times New Roman"/>
          <w:szCs w:val="24"/>
          <w:lang w:val="sr-Cyrl-CS"/>
        </w:rPr>
        <w:t>у</w:t>
      </w:r>
      <w:r w:rsidRPr="00092ED7">
        <w:rPr>
          <w:rFonts w:eastAsia="Times New Roman" w:cs="Times New Roman"/>
          <w:spacing w:val="24"/>
          <w:szCs w:val="24"/>
          <w:lang w:val="sr-Cyrl-CS"/>
        </w:rPr>
        <w:t xml:space="preserve"> </w:t>
      </w:r>
      <w:r w:rsidRPr="00092ED7">
        <w:rPr>
          <w:rFonts w:eastAsia="Times New Roman" w:cs="Times New Roman"/>
          <w:szCs w:val="24"/>
          <w:lang w:val="sr-Cyrl-CS"/>
        </w:rPr>
        <w:t>систем</w:t>
      </w:r>
      <w:r w:rsidRPr="00092ED7">
        <w:rPr>
          <w:rFonts w:eastAsia="Times New Roman" w:cs="Times New Roman"/>
          <w:spacing w:val="24"/>
          <w:szCs w:val="24"/>
          <w:lang w:val="sr-Cyrl-CS"/>
        </w:rPr>
        <w:t xml:space="preserve"> </w:t>
      </w:r>
      <w:r w:rsidRPr="00092ED7">
        <w:rPr>
          <w:rFonts w:eastAsia="Times New Roman" w:cs="Times New Roman"/>
          <w:szCs w:val="24"/>
          <w:lang w:val="sr-Cyrl-CS"/>
        </w:rPr>
        <w:t>заштите ознака</w:t>
      </w:r>
      <w:r w:rsidRPr="00092ED7">
        <w:rPr>
          <w:rFonts w:eastAsia="Times New Roman" w:cs="Times New Roman"/>
          <w:spacing w:val="-12"/>
          <w:szCs w:val="24"/>
          <w:lang w:val="sr-Cyrl-CS"/>
        </w:rPr>
        <w:t xml:space="preserve"> </w:t>
      </w:r>
      <w:r w:rsidRPr="00092ED7">
        <w:rPr>
          <w:rFonts w:eastAsia="Times New Roman" w:cs="Times New Roman"/>
          <w:szCs w:val="24"/>
          <w:lang w:val="sr-Cyrl-CS"/>
        </w:rPr>
        <w:t>географског</w:t>
      </w:r>
      <w:r w:rsidRPr="00092ED7">
        <w:rPr>
          <w:rFonts w:eastAsia="Times New Roman" w:cs="Times New Roman"/>
          <w:spacing w:val="-12"/>
          <w:szCs w:val="24"/>
          <w:lang w:val="sr-Cyrl-CS"/>
        </w:rPr>
        <w:t xml:space="preserve"> </w:t>
      </w:r>
      <w:r w:rsidRPr="00092ED7">
        <w:rPr>
          <w:rFonts w:eastAsia="Times New Roman" w:cs="Times New Roman"/>
          <w:szCs w:val="24"/>
          <w:lang w:val="sr-Cyrl-CS"/>
        </w:rPr>
        <w:t>порекла</w:t>
      </w:r>
      <w:r w:rsidRPr="00092ED7">
        <w:rPr>
          <w:rFonts w:eastAsia="Times New Roman" w:cs="Times New Roman"/>
          <w:spacing w:val="-12"/>
          <w:szCs w:val="24"/>
          <w:lang w:val="sr-Cyrl-CS"/>
        </w:rPr>
        <w:t xml:space="preserve"> </w:t>
      </w:r>
      <w:r w:rsidRPr="00092ED7">
        <w:rPr>
          <w:rFonts w:eastAsia="Times New Roman" w:cs="Times New Roman"/>
          <w:szCs w:val="24"/>
          <w:lang w:val="sr-Cyrl-CS"/>
        </w:rPr>
        <w:t>и</w:t>
      </w:r>
      <w:r w:rsidRPr="00092ED7">
        <w:rPr>
          <w:rFonts w:eastAsia="Times New Roman" w:cs="Times New Roman"/>
          <w:spacing w:val="-12"/>
          <w:szCs w:val="24"/>
          <w:lang w:val="sr-Cyrl-CS"/>
        </w:rPr>
        <w:t xml:space="preserve"> </w:t>
      </w:r>
      <w:r w:rsidRPr="00092ED7">
        <w:rPr>
          <w:rFonts w:eastAsia="Times New Roman" w:cs="Times New Roman"/>
          <w:szCs w:val="24"/>
          <w:lang w:val="sr-Cyrl-CS"/>
        </w:rPr>
        <w:t>да</w:t>
      </w:r>
      <w:r w:rsidRPr="00092ED7">
        <w:rPr>
          <w:rFonts w:eastAsia="Times New Roman" w:cs="Times New Roman"/>
          <w:spacing w:val="-12"/>
          <w:szCs w:val="24"/>
          <w:lang w:val="sr-Cyrl-CS"/>
        </w:rPr>
        <w:t xml:space="preserve"> </w:t>
      </w:r>
      <w:r w:rsidRPr="00092ED7">
        <w:rPr>
          <w:rFonts w:eastAsia="Times New Roman" w:cs="Times New Roman"/>
          <w:szCs w:val="24"/>
          <w:lang w:val="sr-Cyrl-CS"/>
        </w:rPr>
        <w:t>се</w:t>
      </w:r>
      <w:r w:rsidRPr="00092ED7">
        <w:rPr>
          <w:rFonts w:eastAsia="Times New Roman" w:cs="Times New Roman"/>
          <w:spacing w:val="-12"/>
          <w:szCs w:val="24"/>
          <w:lang w:val="sr-Cyrl-CS"/>
        </w:rPr>
        <w:t xml:space="preserve"> </w:t>
      </w:r>
      <w:r w:rsidRPr="00092ED7">
        <w:rPr>
          <w:rFonts w:eastAsia="Times New Roman" w:cs="Times New Roman"/>
          <w:spacing w:val="-6"/>
          <w:szCs w:val="24"/>
          <w:lang w:val="sr-Cyrl-CS"/>
        </w:rPr>
        <w:t>удружују.</w:t>
      </w:r>
      <w:r w:rsidRPr="00092ED7">
        <w:rPr>
          <w:rFonts w:eastAsia="Times New Roman" w:cs="Times New Roman"/>
          <w:spacing w:val="-12"/>
          <w:szCs w:val="24"/>
          <w:lang w:val="sr-Cyrl-CS"/>
        </w:rPr>
        <w:t xml:space="preserve"> </w:t>
      </w:r>
      <w:r w:rsidRPr="00092ED7">
        <w:rPr>
          <w:rFonts w:eastAsia="Times New Roman" w:cs="Times New Roman"/>
          <w:szCs w:val="24"/>
          <w:lang w:val="sr-Cyrl-CS"/>
        </w:rPr>
        <w:t>Корист</w:t>
      </w:r>
      <w:r w:rsidRPr="00092ED7">
        <w:rPr>
          <w:rFonts w:eastAsia="Times New Roman" w:cs="Times New Roman"/>
          <w:spacing w:val="-12"/>
          <w:szCs w:val="24"/>
          <w:lang w:val="sr-Cyrl-CS"/>
        </w:rPr>
        <w:t xml:space="preserve"> </w:t>
      </w:r>
      <w:r w:rsidRPr="00092ED7">
        <w:rPr>
          <w:rFonts w:eastAsia="Times New Roman" w:cs="Times New Roman"/>
          <w:spacing w:val="-4"/>
          <w:szCs w:val="24"/>
          <w:lang w:val="sr-Cyrl-CS"/>
        </w:rPr>
        <w:t>од</w:t>
      </w:r>
      <w:r w:rsidRPr="00092ED7">
        <w:rPr>
          <w:rFonts w:eastAsia="Times New Roman" w:cs="Times New Roman"/>
          <w:spacing w:val="-12"/>
          <w:szCs w:val="24"/>
          <w:lang w:val="sr-Cyrl-CS"/>
        </w:rPr>
        <w:t xml:space="preserve"> </w:t>
      </w:r>
      <w:r w:rsidRPr="00092ED7">
        <w:rPr>
          <w:rFonts w:eastAsia="Times New Roman" w:cs="Times New Roman"/>
          <w:szCs w:val="24"/>
          <w:lang w:val="sr-Cyrl-CS"/>
        </w:rPr>
        <w:t>органске</w:t>
      </w:r>
      <w:r w:rsidRPr="00092ED7">
        <w:rPr>
          <w:rFonts w:eastAsia="Times New Roman" w:cs="Times New Roman"/>
          <w:spacing w:val="-12"/>
          <w:szCs w:val="24"/>
          <w:lang w:val="sr-Cyrl-CS"/>
        </w:rPr>
        <w:t xml:space="preserve"> </w:t>
      </w:r>
      <w:r w:rsidRPr="00092ED7">
        <w:rPr>
          <w:rFonts w:eastAsia="Times New Roman" w:cs="Times New Roman"/>
          <w:szCs w:val="24"/>
          <w:lang w:val="sr-Cyrl-CS"/>
        </w:rPr>
        <w:t>производње</w:t>
      </w:r>
      <w:r w:rsidRPr="00092ED7">
        <w:rPr>
          <w:rFonts w:eastAsia="Times New Roman" w:cs="Times New Roman"/>
          <w:spacing w:val="-12"/>
          <w:szCs w:val="24"/>
          <w:lang w:val="sr-Cyrl-CS"/>
        </w:rPr>
        <w:t xml:space="preserve"> </w:t>
      </w:r>
      <w:r w:rsidRPr="00092ED7">
        <w:rPr>
          <w:rFonts w:eastAsia="Times New Roman" w:cs="Times New Roman"/>
          <w:szCs w:val="24"/>
          <w:lang w:val="sr-Cyrl-CS"/>
        </w:rPr>
        <w:t>могу</w:t>
      </w:r>
      <w:r w:rsidRPr="00092ED7">
        <w:rPr>
          <w:rFonts w:eastAsia="Times New Roman" w:cs="Times New Roman"/>
          <w:spacing w:val="-12"/>
          <w:szCs w:val="24"/>
          <w:lang w:val="sr-Cyrl-CS"/>
        </w:rPr>
        <w:t xml:space="preserve"> </w:t>
      </w:r>
      <w:r w:rsidRPr="00092ED7">
        <w:rPr>
          <w:rFonts w:eastAsia="Times New Roman" w:cs="Times New Roman"/>
          <w:szCs w:val="24"/>
          <w:lang w:val="sr-Cyrl-CS"/>
        </w:rPr>
        <w:t xml:space="preserve">имати рурална подручја у </w:t>
      </w:r>
      <w:r w:rsidRPr="00092ED7">
        <w:rPr>
          <w:rFonts w:eastAsia="Times New Roman" w:cs="Times New Roman"/>
          <w:spacing w:val="-3"/>
          <w:szCs w:val="24"/>
          <w:lang w:val="sr-Cyrl-CS"/>
        </w:rPr>
        <w:t xml:space="preserve">којима </w:t>
      </w:r>
      <w:r w:rsidRPr="00092ED7">
        <w:rPr>
          <w:rFonts w:eastAsia="Times New Roman" w:cs="Times New Roman"/>
          <w:szCs w:val="24"/>
          <w:lang w:val="sr-Cyrl-CS"/>
        </w:rPr>
        <w:t xml:space="preserve">је висока стопа незапослености, а </w:t>
      </w:r>
      <w:r w:rsidRPr="00092ED7">
        <w:rPr>
          <w:rFonts w:eastAsia="Times New Roman" w:cs="Times New Roman"/>
          <w:spacing w:val="-4"/>
          <w:szCs w:val="24"/>
          <w:lang w:val="sr-Cyrl-CS"/>
        </w:rPr>
        <w:t xml:space="preserve">која </w:t>
      </w:r>
      <w:r w:rsidRPr="00092ED7">
        <w:rPr>
          <w:rFonts w:eastAsia="Times New Roman" w:cs="Times New Roman"/>
          <w:szCs w:val="24"/>
          <w:lang w:val="sr-Cyrl-CS"/>
        </w:rPr>
        <w:t>имају повољне услове за</w:t>
      </w:r>
      <w:r w:rsidRPr="00092ED7">
        <w:rPr>
          <w:rFonts w:eastAsia="Times New Roman" w:cs="Times New Roman"/>
          <w:spacing w:val="-11"/>
          <w:szCs w:val="24"/>
          <w:lang w:val="sr-Cyrl-CS"/>
        </w:rPr>
        <w:t xml:space="preserve"> </w:t>
      </w:r>
      <w:r w:rsidRPr="00092ED7">
        <w:rPr>
          <w:rFonts w:eastAsia="Times New Roman" w:cs="Times New Roman"/>
          <w:szCs w:val="24"/>
          <w:lang w:val="sr-Cyrl-CS"/>
        </w:rPr>
        <w:t>производњу</w:t>
      </w:r>
      <w:r w:rsidRPr="00092ED7">
        <w:rPr>
          <w:rFonts w:eastAsia="Times New Roman" w:cs="Times New Roman"/>
          <w:spacing w:val="-11"/>
          <w:szCs w:val="24"/>
          <w:lang w:val="sr-Cyrl-CS"/>
        </w:rPr>
        <w:t xml:space="preserve"> </w:t>
      </w:r>
      <w:r w:rsidRPr="00092ED7">
        <w:rPr>
          <w:rFonts w:eastAsia="Times New Roman" w:cs="Times New Roman"/>
          <w:szCs w:val="24"/>
          <w:lang w:val="sr-Cyrl-CS"/>
        </w:rPr>
        <w:t>органске</w:t>
      </w:r>
      <w:r w:rsidRPr="00092ED7">
        <w:rPr>
          <w:rFonts w:eastAsia="Times New Roman" w:cs="Times New Roman"/>
          <w:spacing w:val="-11"/>
          <w:szCs w:val="24"/>
          <w:lang w:val="sr-Cyrl-CS"/>
        </w:rPr>
        <w:t xml:space="preserve"> </w:t>
      </w:r>
      <w:r w:rsidRPr="00092ED7">
        <w:rPr>
          <w:rFonts w:eastAsia="Times New Roman" w:cs="Times New Roman"/>
          <w:szCs w:val="24"/>
          <w:lang w:val="sr-Cyrl-CS"/>
        </w:rPr>
        <w:t>хране.</w:t>
      </w:r>
      <w:r w:rsidRPr="00092ED7">
        <w:rPr>
          <w:rFonts w:eastAsia="Times New Roman" w:cs="Times New Roman"/>
          <w:spacing w:val="-11"/>
          <w:szCs w:val="24"/>
          <w:lang w:val="sr-Cyrl-CS"/>
        </w:rPr>
        <w:t xml:space="preserve"> </w:t>
      </w:r>
      <w:r w:rsidRPr="00092ED7">
        <w:rPr>
          <w:rFonts w:eastAsia="Times New Roman" w:cs="Times New Roman"/>
          <w:spacing w:val="-4"/>
          <w:szCs w:val="24"/>
          <w:lang w:val="sr-Cyrl-CS"/>
        </w:rPr>
        <w:t>Увећањем</w:t>
      </w:r>
      <w:r w:rsidRPr="00092ED7">
        <w:rPr>
          <w:rFonts w:eastAsia="Times New Roman" w:cs="Times New Roman"/>
          <w:spacing w:val="-11"/>
          <w:szCs w:val="24"/>
          <w:lang w:val="sr-Cyrl-CS"/>
        </w:rPr>
        <w:t xml:space="preserve"> </w:t>
      </w:r>
      <w:r w:rsidRPr="00092ED7">
        <w:rPr>
          <w:rFonts w:eastAsia="Times New Roman" w:cs="Times New Roman"/>
          <w:szCs w:val="24"/>
          <w:lang w:val="sr-Cyrl-CS"/>
        </w:rPr>
        <w:t>ефикасности</w:t>
      </w:r>
      <w:r w:rsidRPr="00092ED7">
        <w:rPr>
          <w:rFonts w:eastAsia="Times New Roman" w:cs="Times New Roman"/>
          <w:spacing w:val="-11"/>
          <w:szCs w:val="24"/>
          <w:lang w:val="sr-Cyrl-CS"/>
        </w:rPr>
        <w:t xml:space="preserve"> </w:t>
      </w:r>
      <w:r w:rsidRPr="00092ED7">
        <w:rPr>
          <w:rFonts w:eastAsia="Times New Roman" w:cs="Times New Roman"/>
          <w:szCs w:val="24"/>
          <w:lang w:val="sr-Cyrl-CS"/>
        </w:rPr>
        <w:t>у</w:t>
      </w:r>
      <w:r w:rsidRPr="00092ED7">
        <w:rPr>
          <w:rFonts w:eastAsia="Times New Roman" w:cs="Times New Roman"/>
          <w:spacing w:val="-11"/>
          <w:szCs w:val="24"/>
          <w:lang w:val="sr-Cyrl-CS"/>
        </w:rPr>
        <w:t xml:space="preserve"> </w:t>
      </w:r>
      <w:r w:rsidRPr="00092ED7">
        <w:rPr>
          <w:rFonts w:eastAsia="Times New Roman" w:cs="Times New Roman"/>
          <w:szCs w:val="24"/>
          <w:lang w:val="sr-Cyrl-CS"/>
        </w:rPr>
        <w:t>исплати</w:t>
      </w:r>
      <w:r w:rsidRPr="00092ED7">
        <w:rPr>
          <w:rFonts w:eastAsia="Times New Roman" w:cs="Times New Roman"/>
          <w:spacing w:val="-11"/>
          <w:szCs w:val="24"/>
          <w:lang w:val="sr-Cyrl-CS"/>
        </w:rPr>
        <w:t xml:space="preserve"> </w:t>
      </w:r>
      <w:r w:rsidRPr="00092ED7">
        <w:rPr>
          <w:rFonts w:eastAsia="Times New Roman" w:cs="Times New Roman"/>
          <w:szCs w:val="24"/>
          <w:lang w:val="sr-Cyrl-CS"/>
        </w:rPr>
        <w:t>подршке</w:t>
      </w:r>
      <w:r w:rsidRPr="00092ED7">
        <w:rPr>
          <w:rFonts w:eastAsia="Times New Roman" w:cs="Times New Roman"/>
          <w:spacing w:val="-11"/>
          <w:szCs w:val="24"/>
          <w:lang w:val="sr-Cyrl-CS"/>
        </w:rPr>
        <w:t xml:space="preserve"> </w:t>
      </w:r>
      <w:r w:rsidRPr="00092ED7">
        <w:rPr>
          <w:rFonts w:eastAsia="Times New Roman" w:cs="Times New Roman"/>
          <w:szCs w:val="24"/>
          <w:lang w:val="sr-Cyrl-CS"/>
        </w:rPr>
        <w:t>пољопривредној производњи и увећањем ефективности у планирању мера пољопривредне политике доприноси се убрзавању кретања роба и услуга у пољопривреди што ће допринети увећању запослености и смањењу сиромаштва. Олакшани приступ мерама подршке пољопривредној</w:t>
      </w:r>
      <w:r w:rsidRPr="00092ED7">
        <w:rPr>
          <w:rFonts w:eastAsia="Times New Roman" w:cs="Times New Roman"/>
          <w:spacing w:val="-6"/>
          <w:szCs w:val="24"/>
          <w:lang w:val="sr-Cyrl-CS"/>
        </w:rPr>
        <w:t xml:space="preserve"> </w:t>
      </w:r>
      <w:r w:rsidRPr="00092ED7">
        <w:rPr>
          <w:rFonts w:eastAsia="Times New Roman" w:cs="Times New Roman"/>
          <w:szCs w:val="24"/>
          <w:lang w:val="sr-Cyrl-CS"/>
        </w:rPr>
        <w:t>производњи</w:t>
      </w:r>
      <w:r w:rsidRPr="00092ED7">
        <w:rPr>
          <w:rFonts w:eastAsia="Times New Roman" w:cs="Times New Roman"/>
          <w:spacing w:val="-6"/>
          <w:szCs w:val="24"/>
          <w:lang w:val="sr-Cyrl-CS"/>
        </w:rPr>
        <w:t xml:space="preserve"> </w:t>
      </w:r>
      <w:r w:rsidRPr="00092ED7">
        <w:rPr>
          <w:rFonts w:eastAsia="Times New Roman" w:cs="Times New Roman"/>
          <w:szCs w:val="24"/>
          <w:lang w:val="sr-Cyrl-CS"/>
        </w:rPr>
        <w:t>доприноси</w:t>
      </w:r>
      <w:r w:rsidRPr="00092ED7">
        <w:rPr>
          <w:rFonts w:eastAsia="Times New Roman" w:cs="Times New Roman"/>
          <w:spacing w:val="-6"/>
          <w:szCs w:val="24"/>
          <w:lang w:val="sr-Cyrl-CS"/>
        </w:rPr>
        <w:t xml:space="preserve"> </w:t>
      </w:r>
      <w:r w:rsidRPr="00092ED7">
        <w:rPr>
          <w:rFonts w:eastAsia="Times New Roman" w:cs="Times New Roman"/>
          <w:szCs w:val="24"/>
          <w:lang w:val="sr-Cyrl-CS"/>
        </w:rPr>
        <w:t>једнаким</w:t>
      </w:r>
      <w:r w:rsidRPr="00092ED7">
        <w:rPr>
          <w:rFonts w:eastAsia="Times New Roman" w:cs="Times New Roman"/>
          <w:spacing w:val="-6"/>
          <w:szCs w:val="24"/>
          <w:lang w:val="sr-Cyrl-CS"/>
        </w:rPr>
        <w:t xml:space="preserve"> </w:t>
      </w:r>
      <w:r w:rsidRPr="00092ED7">
        <w:rPr>
          <w:rFonts w:eastAsia="Times New Roman" w:cs="Times New Roman"/>
          <w:szCs w:val="24"/>
          <w:lang w:val="sr-Cyrl-CS"/>
        </w:rPr>
        <w:t>условима</w:t>
      </w:r>
      <w:r w:rsidRPr="00092ED7">
        <w:rPr>
          <w:rFonts w:eastAsia="Times New Roman" w:cs="Times New Roman"/>
          <w:spacing w:val="-6"/>
          <w:szCs w:val="24"/>
          <w:lang w:val="sr-Cyrl-CS"/>
        </w:rPr>
        <w:t xml:space="preserve"> </w:t>
      </w:r>
      <w:r w:rsidRPr="00092ED7">
        <w:rPr>
          <w:rFonts w:eastAsia="Times New Roman" w:cs="Times New Roman"/>
          <w:szCs w:val="24"/>
          <w:lang w:val="sr-Cyrl-CS"/>
        </w:rPr>
        <w:t>пословања</w:t>
      </w:r>
      <w:r w:rsidRPr="00092ED7">
        <w:rPr>
          <w:rFonts w:eastAsia="Times New Roman" w:cs="Times New Roman"/>
          <w:spacing w:val="-6"/>
          <w:szCs w:val="24"/>
          <w:lang w:val="sr-Cyrl-CS"/>
        </w:rPr>
        <w:t xml:space="preserve"> </w:t>
      </w:r>
      <w:r w:rsidRPr="00092ED7">
        <w:rPr>
          <w:rFonts w:eastAsia="Times New Roman" w:cs="Times New Roman"/>
          <w:szCs w:val="24"/>
          <w:lang w:val="sr-Cyrl-CS"/>
        </w:rPr>
        <w:t>између</w:t>
      </w:r>
      <w:r w:rsidRPr="00092ED7">
        <w:rPr>
          <w:rFonts w:eastAsia="Times New Roman" w:cs="Times New Roman"/>
          <w:spacing w:val="-6"/>
          <w:szCs w:val="24"/>
          <w:lang w:val="sr-Cyrl-CS"/>
        </w:rPr>
        <w:t xml:space="preserve"> </w:t>
      </w:r>
      <w:r w:rsidRPr="00092ED7">
        <w:rPr>
          <w:rFonts w:eastAsia="Times New Roman" w:cs="Times New Roman"/>
          <w:szCs w:val="24"/>
          <w:lang w:val="sr-Cyrl-CS"/>
        </w:rPr>
        <w:t>свих</w:t>
      </w:r>
      <w:r w:rsidRPr="00092ED7">
        <w:rPr>
          <w:rFonts w:eastAsia="Times New Roman" w:cs="Times New Roman"/>
          <w:spacing w:val="-6"/>
          <w:szCs w:val="24"/>
          <w:lang w:val="sr-Cyrl-CS"/>
        </w:rPr>
        <w:t xml:space="preserve"> </w:t>
      </w:r>
      <w:r w:rsidRPr="00092ED7">
        <w:rPr>
          <w:rFonts w:eastAsia="Times New Roman" w:cs="Times New Roman"/>
          <w:szCs w:val="24"/>
          <w:lang w:val="sr-Cyrl-CS"/>
        </w:rPr>
        <w:t>актера</w:t>
      </w:r>
      <w:r w:rsidRPr="00092ED7">
        <w:rPr>
          <w:rFonts w:eastAsia="Times New Roman" w:cs="Times New Roman"/>
          <w:spacing w:val="-6"/>
          <w:szCs w:val="24"/>
          <w:lang w:val="sr-Cyrl-CS"/>
        </w:rPr>
        <w:t xml:space="preserve"> </w:t>
      </w:r>
      <w:r w:rsidRPr="00092ED7">
        <w:rPr>
          <w:rFonts w:eastAsia="Times New Roman" w:cs="Times New Roman"/>
          <w:szCs w:val="24"/>
          <w:lang w:val="sr-Cyrl-CS"/>
        </w:rPr>
        <w:t xml:space="preserve">на </w:t>
      </w:r>
      <w:r w:rsidRPr="00092ED7">
        <w:rPr>
          <w:rFonts w:eastAsia="Times New Roman" w:cs="Times New Roman"/>
          <w:spacing w:val="-4"/>
          <w:szCs w:val="24"/>
          <w:lang w:val="sr-Cyrl-CS"/>
        </w:rPr>
        <w:t xml:space="preserve">тржишту. </w:t>
      </w:r>
      <w:r w:rsidRPr="00092ED7">
        <w:rPr>
          <w:rFonts w:eastAsia="Times New Roman" w:cs="Times New Roman"/>
          <w:szCs w:val="24"/>
          <w:lang w:val="sr-Cyrl-CS"/>
        </w:rPr>
        <w:t xml:space="preserve">Очекује се да структурна реформа има неутрални утицај на родни </w:t>
      </w:r>
      <w:r w:rsidRPr="00092ED7">
        <w:rPr>
          <w:rFonts w:eastAsia="Times New Roman" w:cs="Times New Roman"/>
          <w:spacing w:val="-4"/>
          <w:szCs w:val="24"/>
          <w:lang w:val="sr-Cyrl-CS"/>
        </w:rPr>
        <w:t xml:space="preserve">аспект, </w:t>
      </w:r>
      <w:r w:rsidRPr="00092ED7">
        <w:rPr>
          <w:rFonts w:eastAsia="Times New Roman" w:cs="Times New Roman"/>
          <w:szCs w:val="24"/>
          <w:lang w:val="sr-Cyrl-CS"/>
        </w:rPr>
        <w:t>али се</w:t>
      </w:r>
      <w:r w:rsidRPr="00092ED7">
        <w:rPr>
          <w:rFonts w:eastAsia="Times New Roman" w:cs="Times New Roman"/>
          <w:spacing w:val="-7"/>
          <w:szCs w:val="24"/>
          <w:lang w:val="sr-Cyrl-CS"/>
        </w:rPr>
        <w:t xml:space="preserve"> </w:t>
      </w:r>
      <w:r w:rsidRPr="00092ED7">
        <w:rPr>
          <w:rFonts w:eastAsia="Times New Roman" w:cs="Times New Roman"/>
          <w:spacing w:val="-3"/>
          <w:szCs w:val="24"/>
          <w:lang w:val="sr-Cyrl-CS"/>
        </w:rPr>
        <w:t>након</w:t>
      </w:r>
      <w:r w:rsidRPr="00092ED7">
        <w:rPr>
          <w:rFonts w:eastAsia="Times New Roman" w:cs="Times New Roman"/>
          <w:spacing w:val="-7"/>
          <w:szCs w:val="24"/>
          <w:lang w:val="sr-Cyrl-CS"/>
        </w:rPr>
        <w:t xml:space="preserve"> </w:t>
      </w:r>
      <w:r w:rsidRPr="00092ED7">
        <w:rPr>
          <w:rFonts w:eastAsia="Times New Roman" w:cs="Times New Roman"/>
          <w:szCs w:val="24"/>
          <w:lang w:val="sr-Cyrl-CS"/>
        </w:rPr>
        <w:t>спроведеног</w:t>
      </w:r>
      <w:r w:rsidRPr="00092ED7">
        <w:rPr>
          <w:rFonts w:eastAsia="Times New Roman" w:cs="Times New Roman"/>
          <w:spacing w:val="-7"/>
          <w:szCs w:val="24"/>
          <w:lang w:val="sr-Cyrl-CS"/>
        </w:rPr>
        <w:t xml:space="preserve"> </w:t>
      </w:r>
      <w:r w:rsidRPr="00092ED7">
        <w:rPr>
          <w:rFonts w:eastAsia="Times New Roman" w:cs="Times New Roman"/>
          <w:szCs w:val="24"/>
          <w:lang w:val="sr-Cyrl-CS"/>
        </w:rPr>
        <w:t>поступка</w:t>
      </w:r>
      <w:r w:rsidRPr="00092ED7">
        <w:rPr>
          <w:rFonts w:eastAsia="Times New Roman" w:cs="Times New Roman"/>
          <w:spacing w:val="-7"/>
          <w:szCs w:val="24"/>
          <w:lang w:val="sr-Cyrl-CS"/>
        </w:rPr>
        <w:t xml:space="preserve"> </w:t>
      </w:r>
      <w:r w:rsidRPr="00092ED7">
        <w:rPr>
          <w:rFonts w:eastAsia="Times New Roman" w:cs="Times New Roman"/>
          <w:szCs w:val="24"/>
          <w:lang w:val="sr-Cyrl-CS"/>
        </w:rPr>
        <w:t>комасације</w:t>
      </w:r>
      <w:r w:rsidRPr="00092ED7">
        <w:rPr>
          <w:rFonts w:eastAsia="Times New Roman" w:cs="Times New Roman"/>
          <w:spacing w:val="-7"/>
          <w:szCs w:val="24"/>
          <w:lang w:val="sr-Cyrl-CS"/>
        </w:rPr>
        <w:t xml:space="preserve"> </w:t>
      </w:r>
      <w:r w:rsidRPr="00092ED7">
        <w:rPr>
          <w:rFonts w:eastAsia="Times New Roman" w:cs="Times New Roman"/>
          <w:spacing w:val="-3"/>
          <w:szCs w:val="24"/>
          <w:lang w:val="sr-Cyrl-CS"/>
        </w:rPr>
        <w:t>може</w:t>
      </w:r>
      <w:r w:rsidRPr="00092ED7">
        <w:rPr>
          <w:rFonts w:eastAsia="Times New Roman" w:cs="Times New Roman"/>
          <w:spacing w:val="-7"/>
          <w:szCs w:val="24"/>
          <w:lang w:val="sr-Cyrl-CS"/>
        </w:rPr>
        <w:t xml:space="preserve"> </w:t>
      </w:r>
      <w:r w:rsidRPr="00092ED7">
        <w:rPr>
          <w:rFonts w:eastAsia="Times New Roman" w:cs="Times New Roman"/>
          <w:szCs w:val="24"/>
          <w:lang w:val="sr-Cyrl-CS"/>
        </w:rPr>
        <w:t>успоставити</w:t>
      </w:r>
      <w:r w:rsidRPr="00092ED7">
        <w:rPr>
          <w:rFonts w:eastAsia="Times New Roman" w:cs="Times New Roman"/>
          <w:spacing w:val="-7"/>
          <w:szCs w:val="24"/>
          <w:lang w:val="sr-Cyrl-CS"/>
        </w:rPr>
        <w:t xml:space="preserve"> </w:t>
      </w:r>
      <w:r w:rsidRPr="00092ED7">
        <w:rPr>
          <w:rFonts w:eastAsia="Times New Roman" w:cs="Times New Roman"/>
          <w:szCs w:val="24"/>
          <w:lang w:val="sr-Cyrl-CS"/>
        </w:rPr>
        <w:t>механизам</w:t>
      </w:r>
      <w:r w:rsidRPr="00092ED7">
        <w:rPr>
          <w:rFonts w:eastAsia="Times New Roman" w:cs="Times New Roman"/>
          <w:spacing w:val="-7"/>
          <w:szCs w:val="24"/>
          <w:lang w:val="sr-Cyrl-CS"/>
        </w:rPr>
        <w:t xml:space="preserve"> </w:t>
      </w:r>
      <w:r w:rsidRPr="00092ED7">
        <w:rPr>
          <w:rFonts w:eastAsia="Times New Roman" w:cs="Times New Roman"/>
          <w:szCs w:val="24"/>
          <w:lang w:val="sr-Cyrl-CS"/>
        </w:rPr>
        <w:t>за</w:t>
      </w:r>
      <w:r w:rsidRPr="00092ED7">
        <w:rPr>
          <w:rFonts w:eastAsia="Times New Roman" w:cs="Times New Roman"/>
          <w:spacing w:val="-7"/>
          <w:szCs w:val="24"/>
          <w:lang w:val="sr-Cyrl-CS"/>
        </w:rPr>
        <w:t xml:space="preserve"> </w:t>
      </w:r>
      <w:r w:rsidRPr="00092ED7">
        <w:rPr>
          <w:rFonts w:eastAsia="Times New Roman" w:cs="Times New Roman"/>
          <w:szCs w:val="24"/>
          <w:lang w:val="sr-Cyrl-CS"/>
        </w:rPr>
        <w:t>уступање</w:t>
      </w:r>
      <w:r w:rsidRPr="00092ED7">
        <w:rPr>
          <w:rFonts w:eastAsia="Times New Roman" w:cs="Times New Roman"/>
          <w:spacing w:val="-7"/>
          <w:szCs w:val="24"/>
          <w:lang w:val="sr-Cyrl-CS"/>
        </w:rPr>
        <w:t xml:space="preserve"> </w:t>
      </w:r>
      <w:r w:rsidRPr="00092ED7">
        <w:rPr>
          <w:rFonts w:eastAsia="Times New Roman" w:cs="Times New Roman"/>
          <w:szCs w:val="24"/>
          <w:lang w:val="sr-Cyrl-CS"/>
        </w:rPr>
        <w:t>неискоришћеног земљишта младима и</w:t>
      </w:r>
      <w:r w:rsidRPr="00092ED7">
        <w:rPr>
          <w:rFonts w:eastAsia="Times New Roman" w:cs="Times New Roman"/>
          <w:spacing w:val="-19"/>
          <w:szCs w:val="24"/>
          <w:lang w:val="sr-Cyrl-CS"/>
        </w:rPr>
        <w:t xml:space="preserve"> </w:t>
      </w:r>
      <w:r w:rsidRPr="00092ED7">
        <w:rPr>
          <w:rFonts w:eastAsia="Times New Roman" w:cs="Times New Roman"/>
          <w:szCs w:val="24"/>
          <w:lang w:val="sr-Cyrl-CS"/>
        </w:rPr>
        <w:t>женама.</w:t>
      </w:r>
      <w:r w:rsidRPr="00092ED7">
        <w:rPr>
          <w:rFonts w:cs="Times New Roman"/>
          <w:szCs w:val="24"/>
          <w:lang w:val="sr-Cyrl-CS"/>
        </w:rPr>
        <w:t xml:space="preserve"> </w:t>
      </w:r>
    </w:p>
    <w:p w14:paraId="21A38E78" w14:textId="77777777" w:rsidR="00D210F0" w:rsidRPr="00092ED7" w:rsidRDefault="00D210F0" w:rsidP="00071952">
      <w:pPr>
        <w:widowControl w:val="0"/>
        <w:numPr>
          <w:ilvl w:val="0"/>
          <w:numId w:val="36"/>
        </w:numPr>
        <w:spacing w:before="120"/>
        <w:rPr>
          <w:rFonts w:cs="Times New Roman"/>
          <w:b/>
          <w:szCs w:val="24"/>
          <w:lang w:val="sr-Cyrl-CS"/>
        </w:rPr>
      </w:pPr>
      <w:r w:rsidRPr="00092ED7">
        <w:rPr>
          <w:rFonts w:cs="Times New Roman"/>
          <w:b/>
          <w:szCs w:val="24"/>
          <w:lang w:val="sr-Cyrl-CS"/>
        </w:rPr>
        <w:t>Очекивани утицај на животну средину и климатске промене</w:t>
      </w:r>
    </w:p>
    <w:p w14:paraId="1A9D5FBF" w14:textId="77777777" w:rsidR="00D210F0" w:rsidRPr="00092ED7" w:rsidRDefault="00D210F0" w:rsidP="00D210F0">
      <w:pPr>
        <w:spacing w:after="60"/>
        <w:rPr>
          <w:rFonts w:eastAsia="Times New Roman" w:cs="Times New Roman"/>
          <w:szCs w:val="24"/>
          <w:lang w:val="sr-Cyrl-CS"/>
        </w:rPr>
      </w:pPr>
      <w:r w:rsidRPr="00092ED7">
        <w:rPr>
          <w:rFonts w:eastAsia="Times New Roman" w:cs="Times New Roman"/>
          <w:szCs w:val="24"/>
          <w:lang w:val="sr-Cyrl-CS"/>
        </w:rPr>
        <w:t>Убрзавањем</w:t>
      </w:r>
      <w:r w:rsidRPr="00092ED7">
        <w:rPr>
          <w:rFonts w:eastAsia="Times New Roman" w:cs="Times New Roman"/>
          <w:spacing w:val="-6"/>
          <w:szCs w:val="24"/>
          <w:lang w:val="sr-Cyrl-CS"/>
        </w:rPr>
        <w:t xml:space="preserve"> </w:t>
      </w:r>
      <w:r w:rsidRPr="00092ED7">
        <w:rPr>
          <w:rFonts w:eastAsia="Times New Roman" w:cs="Times New Roman"/>
          <w:szCs w:val="24"/>
          <w:lang w:val="sr-Cyrl-CS"/>
        </w:rPr>
        <w:t>поступака</w:t>
      </w:r>
      <w:r w:rsidRPr="00092ED7">
        <w:rPr>
          <w:rFonts w:eastAsia="Times New Roman" w:cs="Times New Roman"/>
          <w:spacing w:val="-6"/>
          <w:szCs w:val="24"/>
          <w:lang w:val="sr-Cyrl-CS"/>
        </w:rPr>
        <w:t xml:space="preserve"> </w:t>
      </w:r>
      <w:r w:rsidRPr="00092ED7">
        <w:rPr>
          <w:rFonts w:eastAsia="Times New Roman" w:cs="Times New Roman"/>
          <w:szCs w:val="24"/>
          <w:lang w:val="sr-Cyrl-CS"/>
        </w:rPr>
        <w:t>комасације</w:t>
      </w:r>
      <w:r w:rsidRPr="00092ED7">
        <w:rPr>
          <w:rFonts w:eastAsia="Times New Roman" w:cs="Times New Roman"/>
          <w:spacing w:val="-6"/>
          <w:szCs w:val="24"/>
          <w:lang w:val="sr-Cyrl-CS"/>
        </w:rPr>
        <w:t xml:space="preserve"> </w:t>
      </w:r>
      <w:r w:rsidRPr="00092ED7">
        <w:rPr>
          <w:rFonts w:eastAsia="Times New Roman" w:cs="Times New Roman"/>
          <w:szCs w:val="24"/>
          <w:lang w:val="sr-Cyrl-CS"/>
        </w:rPr>
        <w:t>стварају</w:t>
      </w:r>
      <w:r w:rsidRPr="00092ED7">
        <w:rPr>
          <w:rFonts w:eastAsia="Times New Roman" w:cs="Times New Roman"/>
          <w:spacing w:val="-6"/>
          <w:szCs w:val="24"/>
          <w:lang w:val="sr-Cyrl-CS"/>
        </w:rPr>
        <w:t xml:space="preserve"> </w:t>
      </w:r>
      <w:r w:rsidRPr="00092ED7">
        <w:rPr>
          <w:rFonts w:eastAsia="Times New Roman" w:cs="Times New Roman"/>
          <w:szCs w:val="24"/>
          <w:lang w:val="sr-Cyrl-CS"/>
        </w:rPr>
        <w:t>се</w:t>
      </w:r>
      <w:r w:rsidRPr="00092ED7">
        <w:rPr>
          <w:rFonts w:eastAsia="Times New Roman" w:cs="Times New Roman"/>
          <w:spacing w:val="-6"/>
          <w:szCs w:val="24"/>
          <w:lang w:val="sr-Cyrl-CS"/>
        </w:rPr>
        <w:t xml:space="preserve"> </w:t>
      </w:r>
      <w:r w:rsidRPr="00092ED7">
        <w:rPr>
          <w:rFonts w:eastAsia="Times New Roman" w:cs="Times New Roman"/>
          <w:szCs w:val="24"/>
          <w:lang w:val="sr-Cyrl-CS"/>
        </w:rPr>
        <w:t>услови</w:t>
      </w:r>
      <w:r w:rsidRPr="00092ED7">
        <w:rPr>
          <w:rFonts w:eastAsia="Times New Roman" w:cs="Times New Roman"/>
          <w:spacing w:val="-6"/>
          <w:szCs w:val="24"/>
          <w:lang w:val="sr-Cyrl-CS"/>
        </w:rPr>
        <w:t xml:space="preserve"> </w:t>
      </w:r>
      <w:r w:rsidRPr="00092ED7">
        <w:rPr>
          <w:rFonts w:eastAsia="Times New Roman" w:cs="Times New Roman"/>
          <w:szCs w:val="24"/>
          <w:lang w:val="sr-Cyrl-CS"/>
        </w:rPr>
        <w:t>за</w:t>
      </w:r>
      <w:r w:rsidRPr="00092ED7">
        <w:rPr>
          <w:rFonts w:eastAsia="Times New Roman" w:cs="Times New Roman"/>
          <w:spacing w:val="-6"/>
          <w:szCs w:val="24"/>
          <w:lang w:val="sr-Cyrl-CS"/>
        </w:rPr>
        <w:t xml:space="preserve"> </w:t>
      </w:r>
      <w:r w:rsidRPr="00092ED7">
        <w:rPr>
          <w:rFonts w:eastAsia="Times New Roman" w:cs="Times New Roman"/>
          <w:szCs w:val="24"/>
          <w:lang w:val="sr-Cyrl-CS"/>
        </w:rPr>
        <w:t>укрупњавање</w:t>
      </w:r>
      <w:r w:rsidRPr="00092ED7">
        <w:rPr>
          <w:rFonts w:eastAsia="Times New Roman" w:cs="Times New Roman"/>
          <w:spacing w:val="-6"/>
          <w:szCs w:val="24"/>
          <w:lang w:val="sr-Cyrl-CS"/>
        </w:rPr>
        <w:t xml:space="preserve"> </w:t>
      </w:r>
      <w:r w:rsidRPr="00092ED7">
        <w:rPr>
          <w:rFonts w:eastAsia="Times New Roman" w:cs="Times New Roman"/>
          <w:szCs w:val="24"/>
          <w:lang w:val="sr-Cyrl-CS"/>
        </w:rPr>
        <w:t>катастарских</w:t>
      </w:r>
      <w:r w:rsidRPr="00092ED7">
        <w:rPr>
          <w:rFonts w:eastAsia="Times New Roman" w:cs="Times New Roman"/>
          <w:spacing w:val="-6"/>
          <w:szCs w:val="24"/>
          <w:lang w:val="sr-Cyrl-CS"/>
        </w:rPr>
        <w:t xml:space="preserve"> </w:t>
      </w:r>
      <w:r w:rsidRPr="00092ED7">
        <w:rPr>
          <w:rFonts w:eastAsia="Times New Roman" w:cs="Times New Roman"/>
          <w:szCs w:val="24"/>
          <w:lang w:val="sr-Cyrl-CS"/>
        </w:rPr>
        <w:t>парцела, спречавање поремећаја природних функција земљишта, као и очување квалитета пољопривредног земљишта. Изградњом система за одводњавање упоредо са комасацијом</w:t>
      </w:r>
      <w:r w:rsidRPr="00092ED7">
        <w:rPr>
          <w:rFonts w:eastAsia="Times New Roman" w:cs="Times New Roman"/>
          <w:spacing w:val="-5"/>
          <w:szCs w:val="24"/>
          <w:lang w:val="sr-Cyrl-CS"/>
        </w:rPr>
        <w:t xml:space="preserve"> </w:t>
      </w:r>
      <w:r w:rsidRPr="00092ED7">
        <w:rPr>
          <w:rFonts w:eastAsia="Times New Roman" w:cs="Times New Roman"/>
          <w:szCs w:val="24"/>
          <w:lang w:val="sr-Cyrl-CS"/>
        </w:rPr>
        <w:t>ствара</w:t>
      </w:r>
      <w:r w:rsidRPr="00092ED7">
        <w:rPr>
          <w:rFonts w:eastAsia="Times New Roman" w:cs="Times New Roman"/>
          <w:spacing w:val="-5"/>
          <w:szCs w:val="24"/>
          <w:lang w:val="sr-Cyrl-CS"/>
        </w:rPr>
        <w:t xml:space="preserve"> </w:t>
      </w:r>
      <w:r w:rsidRPr="00092ED7">
        <w:rPr>
          <w:rFonts w:eastAsia="Times New Roman" w:cs="Times New Roman"/>
          <w:szCs w:val="24"/>
          <w:lang w:val="sr-Cyrl-CS"/>
        </w:rPr>
        <w:t>се</w:t>
      </w:r>
      <w:r w:rsidRPr="00092ED7">
        <w:rPr>
          <w:rFonts w:eastAsia="Times New Roman" w:cs="Times New Roman"/>
          <w:spacing w:val="-5"/>
          <w:szCs w:val="24"/>
          <w:lang w:val="sr-Cyrl-CS"/>
        </w:rPr>
        <w:t xml:space="preserve"> </w:t>
      </w:r>
      <w:r w:rsidRPr="00092ED7">
        <w:rPr>
          <w:rFonts w:eastAsia="Times New Roman" w:cs="Times New Roman"/>
          <w:szCs w:val="24"/>
          <w:lang w:val="sr-Cyrl-CS"/>
        </w:rPr>
        <w:t>повољан</w:t>
      </w:r>
      <w:r w:rsidRPr="00092ED7">
        <w:rPr>
          <w:rFonts w:eastAsia="Times New Roman" w:cs="Times New Roman"/>
          <w:spacing w:val="-5"/>
          <w:szCs w:val="24"/>
          <w:lang w:val="sr-Cyrl-CS"/>
        </w:rPr>
        <w:t xml:space="preserve"> </w:t>
      </w:r>
      <w:r w:rsidRPr="00092ED7">
        <w:rPr>
          <w:rFonts w:eastAsia="Times New Roman" w:cs="Times New Roman"/>
          <w:szCs w:val="24"/>
          <w:lang w:val="sr-Cyrl-CS"/>
        </w:rPr>
        <w:t>водно-ваздушни</w:t>
      </w:r>
      <w:r w:rsidRPr="00092ED7">
        <w:rPr>
          <w:rFonts w:eastAsia="Times New Roman" w:cs="Times New Roman"/>
          <w:spacing w:val="-5"/>
          <w:szCs w:val="24"/>
          <w:lang w:val="sr-Cyrl-CS"/>
        </w:rPr>
        <w:t xml:space="preserve"> </w:t>
      </w:r>
      <w:r w:rsidRPr="00092ED7">
        <w:rPr>
          <w:rFonts w:eastAsia="Times New Roman" w:cs="Times New Roman"/>
          <w:szCs w:val="24"/>
          <w:lang w:val="sr-Cyrl-CS"/>
        </w:rPr>
        <w:t>режим</w:t>
      </w:r>
      <w:r w:rsidRPr="00092ED7">
        <w:rPr>
          <w:rFonts w:eastAsia="Times New Roman" w:cs="Times New Roman"/>
          <w:spacing w:val="-5"/>
          <w:szCs w:val="24"/>
          <w:lang w:val="sr-Cyrl-CS"/>
        </w:rPr>
        <w:t xml:space="preserve"> </w:t>
      </w:r>
      <w:r w:rsidRPr="00092ED7">
        <w:rPr>
          <w:rFonts w:eastAsia="Times New Roman" w:cs="Times New Roman"/>
          <w:szCs w:val="24"/>
          <w:lang w:val="sr-Cyrl-CS"/>
        </w:rPr>
        <w:t>земљишта,</w:t>
      </w:r>
      <w:r w:rsidRPr="00092ED7">
        <w:rPr>
          <w:rFonts w:eastAsia="Times New Roman" w:cs="Times New Roman"/>
          <w:spacing w:val="-5"/>
          <w:szCs w:val="24"/>
          <w:lang w:val="sr-Cyrl-CS"/>
        </w:rPr>
        <w:t xml:space="preserve"> </w:t>
      </w:r>
      <w:r w:rsidRPr="00092ED7">
        <w:rPr>
          <w:rFonts w:eastAsia="Times New Roman" w:cs="Times New Roman"/>
          <w:szCs w:val="24"/>
          <w:lang w:val="sr-Cyrl-CS"/>
        </w:rPr>
        <w:t>што</w:t>
      </w:r>
      <w:r w:rsidRPr="00092ED7">
        <w:rPr>
          <w:rFonts w:eastAsia="Times New Roman" w:cs="Times New Roman"/>
          <w:spacing w:val="-5"/>
          <w:szCs w:val="24"/>
          <w:lang w:val="sr-Cyrl-CS"/>
        </w:rPr>
        <w:t xml:space="preserve"> </w:t>
      </w:r>
      <w:r w:rsidRPr="00092ED7">
        <w:rPr>
          <w:rFonts w:eastAsia="Times New Roman" w:cs="Times New Roman"/>
          <w:szCs w:val="24"/>
          <w:lang w:val="sr-Cyrl-CS"/>
        </w:rPr>
        <w:t>доводи</w:t>
      </w:r>
      <w:r w:rsidRPr="00092ED7">
        <w:rPr>
          <w:rFonts w:eastAsia="Times New Roman" w:cs="Times New Roman"/>
          <w:spacing w:val="-5"/>
          <w:szCs w:val="24"/>
          <w:lang w:val="sr-Cyrl-CS"/>
        </w:rPr>
        <w:t xml:space="preserve"> </w:t>
      </w:r>
      <w:r w:rsidRPr="00092ED7">
        <w:rPr>
          <w:rFonts w:eastAsia="Times New Roman" w:cs="Times New Roman"/>
          <w:szCs w:val="24"/>
          <w:lang w:val="sr-Cyrl-CS"/>
        </w:rPr>
        <w:t>до</w:t>
      </w:r>
      <w:r w:rsidRPr="00092ED7">
        <w:rPr>
          <w:rFonts w:eastAsia="Times New Roman" w:cs="Times New Roman"/>
          <w:spacing w:val="-5"/>
          <w:szCs w:val="24"/>
          <w:lang w:val="sr-Cyrl-CS"/>
        </w:rPr>
        <w:t xml:space="preserve"> </w:t>
      </w:r>
      <w:r w:rsidRPr="00092ED7">
        <w:rPr>
          <w:rFonts w:eastAsia="Times New Roman" w:cs="Times New Roman"/>
          <w:szCs w:val="24"/>
          <w:lang w:val="sr-Cyrl-CS"/>
        </w:rPr>
        <w:t>спречавања</w:t>
      </w:r>
      <w:r w:rsidRPr="00092ED7">
        <w:rPr>
          <w:rFonts w:eastAsia="Times New Roman" w:cs="Times New Roman"/>
          <w:spacing w:val="-5"/>
          <w:szCs w:val="24"/>
          <w:lang w:val="sr-Cyrl-CS"/>
        </w:rPr>
        <w:t xml:space="preserve"> </w:t>
      </w:r>
      <w:r w:rsidRPr="00092ED7">
        <w:rPr>
          <w:rFonts w:eastAsia="Times New Roman" w:cs="Times New Roman"/>
          <w:szCs w:val="24"/>
          <w:lang w:val="sr-Cyrl-CS"/>
        </w:rPr>
        <w:t xml:space="preserve">неповољног утицаја задржавања </w:t>
      </w:r>
      <w:r w:rsidRPr="00092ED7">
        <w:rPr>
          <w:rFonts w:eastAsia="Times New Roman" w:cs="Times New Roman"/>
          <w:spacing w:val="-3"/>
          <w:szCs w:val="24"/>
          <w:lang w:val="sr-Cyrl-CS"/>
        </w:rPr>
        <w:t xml:space="preserve">воде </w:t>
      </w:r>
      <w:r w:rsidRPr="00092ED7">
        <w:rPr>
          <w:rFonts w:eastAsia="Times New Roman" w:cs="Times New Roman"/>
          <w:szCs w:val="24"/>
          <w:lang w:val="sr-Cyrl-CS"/>
        </w:rPr>
        <w:t xml:space="preserve">у пољопривредном земљишту и смањења плодности земљишта. </w:t>
      </w:r>
      <w:r w:rsidRPr="00092ED7">
        <w:rPr>
          <w:rFonts w:eastAsia="Times New Roman" w:cs="Times New Roman"/>
          <w:spacing w:val="-3"/>
          <w:szCs w:val="24"/>
          <w:lang w:val="sr-Cyrl-CS"/>
        </w:rPr>
        <w:t xml:space="preserve">Такође, </w:t>
      </w:r>
      <w:r w:rsidRPr="00092ED7">
        <w:rPr>
          <w:rFonts w:eastAsia="Times New Roman" w:cs="Times New Roman"/>
          <w:szCs w:val="24"/>
          <w:lang w:val="sr-Cyrl-CS"/>
        </w:rPr>
        <w:t xml:space="preserve">осигураће се транспарентност поступка комасације и јавни приступ информацијама о животној средини на комасационом </w:t>
      </w:r>
      <w:r w:rsidRPr="00092ED7">
        <w:rPr>
          <w:rFonts w:eastAsia="Times New Roman" w:cs="Times New Roman"/>
          <w:spacing w:val="-41"/>
          <w:szCs w:val="24"/>
          <w:lang w:val="sr-Cyrl-CS"/>
        </w:rPr>
        <w:t xml:space="preserve"> </w:t>
      </w:r>
      <w:r w:rsidRPr="00092ED7">
        <w:rPr>
          <w:rFonts w:eastAsia="Times New Roman" w:cs="Times New Roman"/>
          <w:spacing w:val="-4"/>
          <w:szCs w:val="24"/>
          <w:lang w:val="sr-Cyrl-CS"/>
        </w:rPr>
        <w:t>подручју.</w:t>
      </w:r>
    </w:p>
    <w:p w14:paraId="226EE72C" w14:textId="77777777" w:rsidR="00D210F0" w:rsidRPr="00092ED7" w:rsidRDefault="00D210F0" w:rsidP="00D210F0">
      <w:pPr>
        <w:spacing w:after="60"/>
        <w:rPr>
          <w:rFonts w:eastAsia="Times New Roman" w:cs="Times New Roman"/>
          <w:szCs w:val="24"/>
          <w:lang w:val="sr-Cyrl-CS"/>
        </w:rPr>
      </w:pPr>
      <w:r w:rsidRPr="00092ED7">
        <w:rPr>
          <w:rFonts w:eastAsia="Times New Roman" w:cs="Times New Roman"/>
          <w:spacing w:val="-3"/>
          <w:szCs w:val="24"/>
          <w:lang w:val="sr-Cyrl-CS"/>
        </w:rPr>
        <w:t>Унапређења</w:t>
      </w:r>
      <w:r w:rsidRPr="00092ED7">
        <w:rPr>
          <w:rFonts w:eastAsia="Times New Roman" w:cs="Times New Roman"/>
          <w:spacing w:val="-12"/>
          <w:szCs w:val="24"/>
          <w:lang w:val="sr-Cyrl-CS"/>
        </w:rPr>
        <w:t xml:space="preserve"> </w:t>
      </w:r>
      <w:r w:rsidRPr="00092ED7">
        <w:rPr>
          <w:rFonts w:eastAsia="Times New Roman" w:cs="Times New Roman"/>
          <w:szCs w:val="24"/>
          <w:lang w:val="sr-Cyrl-CS"/>
        </w:rPr>
        <w:t>руралне</w:t>
      </w:r>
      <w:r w:rsidRPr="00092ED7">
        <w:rPr>
          <w:rFonts w:eastAsia="Times New Roman" w:cs="Times New Roman"/>
          <w:spacing w:val="-12"/>
          <w:szCs w:val="24"/>
          <w:lang w:val="sr-Cyrl-CS"/>
        </w:rPr>
        <w:t xml:space="preserve"> </w:t>
      </w:r>
      <w:r w:rsidRPr="00092ED7">
        <w:rPr>
          <w:rFonts w:eastAsia="Times New Roman" w:cs="Times New Roman"/>
          <w:szCs w:val="24"/>
          <w:lang w:val="sr-Cyrl-CS"/>
        </w:rPr>
        <w:t>инфраструктуре</w:t>
      </w:r>
      <w:r w:rsidRPr="00092ED7">
        <w:rPr>
          <w:rFonts w:eastAsia="Times New Roman" w:cs="Times New Roman"/>
          <w:spacing w:val="-12"/>
          <w:szCs w:val="24"/>
          <w:lang w:val="sr-Cyrl-CS"/>
        </w:rPr>
        <w:t xml:space="preserve"> </w:t>
      </w:r>
      <w:r w:rsidRPr="00092ED7">
        <w:rPr>
          <w:rFonts w:eastAsia="Times New Roman" w:cs="Times New Roman"/>
          <w:szCs w:val="24"/>
          <w:lang w:val="sr-Cyrl-CS"/>
        </w:rPr>
        <w:t>доприноси</w:t>
      </w:r>
      <w:r w:rsidRPr="00092ED7">
        <w:rPr>
          <w:rFonts w:eastAsia="Times New Roman" w:cs="Times New Roman"/>
          <w:spacing w:val="-12"/>
          <w:szCs w:val="24"/>
          <w:lang w:val="sr-Cyrl-CS"/>
        </w:rPr>
        <w:t xml:space="preserve"> </w:t>
      </w:r>
      <w:r w:rsidRPr="00092ED7">
        <w:rPr>
          <w:rFonts w:eastAsia="Times New Roman" w:cs="Times New Roman"/>
          <w:szCs w:val="24"/>
          <w:lang w:val="sr-Cyrl-CS"/>
        </w:rPr>
        <w:t>очувању</w:t>
      </w:r>
      <w:r w:rsidRPr="00092ED7">
        <w:rPr>
          <w:rFonts w:eastAsia="Times New Roman" w:cs="Times New Roman"/>
          <w:spacing w:val="-12"/>
          <w:szCs w:val="24"/>
          <w:lang w:val="sr-Cyrl-CS"/>
        </w:rPr>
        <w:t xml:space="preserve"> </w:t>
      </w:r>
      <w:r w:rsidRPr="00092ED7">
        <w:rPr>
          <w:rFonts w:eastAsia="Times New Roman" w:cs="Times New Roman"/>
          <w:szCs w:val="24"/>
          <w:lang w:val="sr-Cyrl-CS"/>
        </w:rPr>
        <w:t>животне</w:t>
      </w:r>
      <w:r w:rsidRPr="00092ED7">
        <w:rPr>
          <w:rFonts w:eastAsia="Times New Roman" w:cs="Times New Roman"/>
          <w:spacing w:val="-12"/>
          <w:szCs w:val="24"/>
          <w:lang w:val="sr-Cyrl-CS"/>
        </w:rPr>
        <w:t xml:space="preserve"> </w:t>
      </w:r>
      <w:r w:rsidRPr="00092ED7">
        <w:rPr>
          <w:rFonts w:eastAsia="Times New Roman" w:cs="Times New Roman"/>
          <w:szCs w:val="24"/>
          <w:lang w:val="sr-Cyrl-CS"/>
        </w:rPr>
        <w:t>средине,</w:t>
      </w:r>
      <w:r w:rsidRPr="00092ED7">
        <w:rPr>
          <w:rFonts w:eastAsia="Times New Roman" w:cs="Times New Roman"/>
          <w:spacing w:val="-12"/>
          <w:szCs w:val="24"/>
          <w:lang w:val="sr-Cyrl-CS"/>
        </w:rPr>
        <w:t xml:space="preserve"> </w:t>
      </w:r>
      <w:r w:rsidRPr="00092ED7">
        <w:rPr>
          <w:rFonts w:eastAsia="Times New Roman" w:cs="Times New Roman"/>
          <w:szCs w:val="24"/>
          <w:lang w:val="sr-Cyrl-CS"/>
        </w:rPr>
        <w:t>с</w:t>
      </w:r>
      <w:r w:rsidRPr="00092ED7">
        <w:rPr>
          <w:rFonts w:eastAsia="Times New Roman" w:cs="Times New Roman"/>
          <w:spacing w:val="-12"/>
          <w:szCs w:val="24"/>
          <w:lang w:val="sr-Cyrl-CS"/>
        </w:rPr>
        <w:t xml:space="preserve"> </w:t>
      </w:r>
      <w:r w:rsidRPr="00092ED7">
        <w:rPr>
          <w:rFonts w:eastAsia="Times New Roman" w:cs="Times New Roman"/>
          <w:szCs w:val="24"/>
          <w:lang w:val="sr-Cyrl-CS"/>
        </w:rPr>
        <w:t>обзиром на то</w:t>
      </w:r>
      <w:r w:rsidRPr="00092ED7">
        <w:rPr>
          <w:rFonts w:eastAsia="Times New Roman" w:cs="Times New Roman"/>
          <w:spacing w:val="-12"/>
          <w:szCs w:val="24"/>
          <w:lang w:val="sr-Cyrl-CS"/>
        </w:rPr>
        <w:t xml:space="preserve"> </w:t>
      </w:r>
      <w:r w:rsidRPr="00092ED7">
        <w:rPr>
          <w:rFonts w:eastAsia="Times New Roman" w:cs="Times New Roman"/>
          <w:szCs w:val="24"/>
          <w:lang w:val="sr-Cyrl-CS"/>
        </w:rPr>
        <w:t>да су</w:t>
      </w:r>
      <w:r w:rsidRPr="00092ED7">
        <w:rPr>
          <w:rFonts w:eastAsia="Times New Roman" w:cs="Times New Roman"/>
          <w:spacing w:val="-11"/>
          <w:szCs w:val="24"/>
          <w:lang w:val="sr-Cyrl-CS"/>
        </w:rPr>
        <w:t xml:space="preserve"> </w:t>
      </w:r>
      <w:r w:rsidRPr="00092ED7">
        <w:rPr>
          <w:rFonts w:eastAsia="Times New Roman" w:cs="Times New Roman"/>
          <w:szCs w:val="24"/>
          <w:lang w:val="sr-Cyrl-CS"/>
        </w:rPr>
        <w:t>предвиђене</w:t>
      </w:r>
      <w:r w:rsidRPr="00092ED7">
        <w:rPr>
          <w:rFonts w:eastAsia="Times New Roman" w:cs="Times New Roman"/>
          <w:spacing w:val="-11"/>
          <w:szCs w:val="24"/>
          <w:lang w:val="sr-Cyrl-CS"/>
        </w:rPr>
        <w:t xml:space="preserve"> </w:t>
      </w:r>
      <w:r w:rsidRPr="00092ED7">
        <w:rPr>
          <w:rFonts w:eastAsia="Times New Roman" w:cs="Times New Roman"/>
          <w:szCs w:val="24"/>
          <w:lang w:val="sr-Cyrl-CS"/>
        </w:rPr>
        <w:t>за</w:t>
      </w:r>
      <w:r w:rsidRPr="00092ED7">
        <w:rPr>
          <w:rFonts w:eastAsia="Times New Roman" w:cs="Times New Roman"/>
          <w:spacing w:val="-11"/>
          <w:szCs w:val="24"/>
          <w:lang w:val="sr-Cyrl-CS"/>
        </w:rPr>
        <w:t xml:space="preserve"> </w:t>
      </w:r>
      <w:r w:rsidRPr="00092ED7">
        <w:rPr>
          <w:rFonts w:eastAsia="Times New Roman" w:cs="Times New Roman"/>
          <w:szCs w:val="24"/>
          <w:lang w:val="sr-Cyrl-CS"/>
        </w:rPr>
        <w:t>финансирање</w:t>
      </w:r>
      <w:r w:rsidRPr="00092ED7">
        <w:rPr>
          <w:rFonts w:eastAsia="Times New Roman" w:cs="Times New Roman"/>
          <w:spacing w:val="-11"/>
          <w:szCs w:val="24"/>
          <w:lang w:val="sr-Cyrl-CS"/>
        </w:rPr>
        <w:t xml:space="preserve"> </w:t>
      </w:r>
      <w:r w:rsidRPr="00092ED7">
        <w:rPr>
          <w:rFonts w:eastAsia="Times New Roman" w:cs="Times New Roman"/>
          <w:szCs w:val="24"/>
          <w:lang w:val="sr-Cyrl-CS"/>
        </w:rPr>
        <w:t>инвестиције</w:t>
      </w:r>
      <w:r w:rsidRPr="00092ED7">
        <w:rPr>
          <w:rFonts w:eastAsia="Times New Roman" w:cs="Times New Roman"/>
          <w:spacing w:val="-11"/>
          <w:szCs w:val="24"/>
          <w:lang w:val="sr-Cyrl-CS"/>
        </w:rPr>
        <w:t xml:space="preserve"> </w:t>
      </w:r>
      <w:r w:rsidRPr="00092ED7">
        <w:rPr>
          <w:rFonts w:eastAsia="Times New Roman" w:cs="Times New Roman"/>
          <w:spacing w:val="-4"/>
          <w:szCs w:val="24"/>
          <w:lang w:val="sr-Cyrl-CS"/>
        </w:rPr>
        <w:t>које</w:t>
      </w:r>
      <w:r w:rsidRPr="00092ED7">
        <w:rPr>
          <w:rFonts w:eastAsia="Times New Roman" w:cs="Times New Roman"/>
          <w:spacing w:val="-11"/>
          <w:szCs w:val="24"/>
          <w:lang w:val="sr-Cyrl-CS"/>
        </w:rPr>
        <w:t xml:space="preserve"> </w:t>
      </w:r>
      <w:r w:rsidRPr="00092ED7">
        <w:rPr>
          <w:rFonts w:eastAsia="Times New Roman" w:cs="Times New Roman"/>
          <w:szCs w:val="24"/>
          <w:lang w:val="sr-Cyrl-CS"/>
        </w:rPr>
        <w:t>се,</w:t>
      </w:r>
      <w:r w:rsidRPr="00092ED7">
        <w:rPr>
          <w:rFonts w:eastAsia="Times New Roman" w:cs="Times New Roman"/>
          <w:spacing w:val="-11"/>
          <w:szCs w:val="24"/>
          <w:lang w:val="sr-Cyrl-CS"/>
        </w:rPr>
        <w:t xml:space="preserve"> </w:t>
      </w:r>
      <w:r w:rsidRPr="00092ED7">
        <w:rPr>
          <w:rFonts w:eastAsia="Times New Roman" w:cs="Times New Roman"/>
          <w:szCs w:val="24"/>
          <w:lang w:val="sr-Cyrl-CS"/>
        </w:rPr>
        <w:t>између</w:t>
      </w:r>
      <w:r w:rsidRPr="00092ED7">
        <w:rPr>
          <w:rFonts w:eastAsia="Times New Roman" w:cs="Times New Roman"/>
          <w:spacing w:val="-11"/>
          <w:szCs w:val="24"/>
          <w:lang w:val="sr-Cyrl-CS"/>
        </w:rPr>
        <w:t xml:space="preserve"> </w:t>
      </w:r>
      <w:r w:rsidRPr="00092ED7">
        <w:rPr>
          <w:rFonts w:eastAsia="Times New Roman" w:cs="Times New Roman"/>
          <w:spacing w:val="-3"/>
          <w:szCs w:val="24"/>
          <w:lang w:val="sr-Cyrl-CS"/>
        </w:rPr>
        <w:t>осталог,</w:t>
      </w:r>
      <w:r w:rsidRPr="00092ED7">
        <w:rPr>
          <w:rFonts w:eastAsia="Times New Roman" w:cs="Times New Roman"/>
          <w:spacing w:val="-11"/>
          <w:szCs w:val="24"/>
          <w:lang w:val="sr-Cyrl-CS"/>
        </w:rPr>
        <w:t xml:space="preserve"> </w:t>
      </w:r>
      <w:r w:rsidRPr="00092ED7">
        <w:rPr>
          <w:rFonts w:eastAsia="Times New Roman" w:cs="Times New Roman"/>
          <w:szCs w:val="24"/>
          <w:lang w:val="sr-Cyrl-CS"/>
        </w:rPr>
        <w:t>односе</w:t>
      </w:r>
      <w:r w:rsidRPr="00092ED7">
        <w:rPr>
          <w:rFonts w:eastAsia="Times New Roman" w:cs="Times New Roman"/>
          <w:spacing w:val="-11"/>
          <w:szCs w:val="24"/>
          <w:lang w:val="sr-Cyrl-CS"/>
        </w:rPr>
        <w:t xml:space="preserve"> </w:t>
      </w:r>
      <w:r w:rsidRPr="00092ED7">
        <w:rPr>
          <w:rFonts w:eastAsia="Times New Roman" w:cs="Times New Roman"/>
          <w:szCs w:val="24"/>
          <w:lang w:val="sr-Cyrl-CS"/>
        </w:rPr>
        <w:t>и</w:t>
      </w:r>
      <w:r w:rsidRPr="00092ED7">
        <w:rPr>
          <w:rFonts w:eastAsia="Times New Roman" w:cs="Times New Roman"/>
          <w:spacing w:val="-11"/>
          <w:szCs w:val="24"/>
          <w:lang w:val="sr-Cyrl-CS"/>
        </w:rPr>
        <w:t xml:space="preserve"> </w:t>
      </w:r>
      <w:r w:rsidRPr="00092ED7">
        <w:rPr>
          <w:rFonts w:eastAsia="Times New Roman" w:cs="Times New Roman"/>
          <w:szCs w:val="24"/>
          <w:lang w:val="sr-Cyrl-CS"/>
        </w:rPr>
        <w:t>на</w:t>
      </w:r>
      <w:r w:rsidRPr="00092ED7">
        <w:rPr>
          <w:rFonts w:eastAsia="Times New Roman" w:cs="Times New Roman"/>
          <w:spacing w:val="-11"/>
          <w:szCs w:val="24"/>
          <w:lang w:val="sr-Cyrl-CS"/>
        </w:rPr>
        <w:t xml:space="preserve"> </w:t>
      </w:r>
      <w:r w:rsidRPr="00092ED7">
        <w:rPr>
          <w:rFonts w:eastAsia="Times New Roman" w:cs="Times New Roman"/>
          <w:szCs w:val="24"/>
          <w:lang w:val="sr-Cyrl-CS"/>
        </w:rPr>
        <w:t>изградњу постројења</w:t>
      </w:r>
      <w:r w:rsidRPr="00092ED7">
        <w:rPr>
          <w:rFonts w:eastAsia="Times New Roman" w:cs="Times New Roman"/>
          <w:spacing w:val="-15"/>
          <w:szCs w:val="24"/>
          <w:lang w:val="sr-Cyrl-CS"/>
        </w:rPr>
        <w:t xml:space="preserve"> </w:t>
      </w:r>
      <w:r w:rsidRPr="00092ED7">
        <w:rPr>
          <w:rFonts w:eastAsia="Times New Roman" w:cs="Times New Roman"/>
          <w:szCs w:val="24"/>
          <w:lang w:val="sr-Cyrl-CS"/>
        </w:rPr>
        <w:t>за</w:t>
      </w:r>
      <w:r w:rsidRPr="00092ED7">
        <w:rPr>
          <w:rFonts w:eastAsia="Times New Roman" w:cs="Times New Roman"/>
          <w:spacing w:val="-15"/>
          <w:szCs w:val="24"/>
          <w:lang w:val="sr-Cyrl-CS"/>
        </w:rPr>
        <w:t xml:space="preserve"> </w:t>
      </w:r>
      <w:r w:rsidRPr="00092ED7">
        <w:rPr>
          <w:rFonts w:eastAsia="Times New Roman" w:cs="Times New Roman"/>
          <w:szCs w:val="24"/>
          <w:lang w:val="sr-Cyrl-CS"/>
        </w:rPr>
        <w:t>пречишћавање</w:t>
      </w:r>
      <w:r w:rsidRPr="00092ED7">
        <w:rPr>
          <w:rFonts w:eastAsia="Times New Roman" w:cs="Times New Roman"/>
          <w:spacing w:val="-15"/>
          <w:szCs w:val="24"/>
          <w:lang w:val="sr-Cyrl-CS"/>
        </w:rPr>
        <w:t xml:space="preserve"> </w:t>
      </w:r>
      <w:r w:rsidRPr="00092ED7">
        <w:rPr>
          <w:rFonts w:eastAsia="Times New Roman" w:cs="Times New Roman"/>
          <w:szCs w:val="24"/>
          <w:lang w:val="sr-Cyrl-CS"/>
        </w:rPr>
        <w:t>отпадних</w:t>
      </w:r>
      <w:r w:rsidRPr="00092ED7">
        <w:rPr>
          <w:rFonts w:eastAsia="Times New Roman" w:cs="Times New Roman"/>
          <w:spacing w:val="-15"/>
          <w:szCs w:val="24"/>
          <w:lang w:val="sr-Cyrl-CS"/>
        </w:rPr>
        <w:t xml:space="preserve"> </w:t>
      </w:r>
      <w:r w:rsidRPr="00092ED7">
        <w:rPr>
          <w:rFonts w:eastAsia="Times New Roman" w:cs="Times New Roman"/>
          <w:spacing w:val="-3"/>
          <w:szCs w:val="24"/>
          <w:lang w:val="sr-Cyrl-CS"/>
        </w:rPr>
        <w:t>вода</w:t>
      </w:r>
      <w:r w:rsidRPr="00092ED7">
        <w:rPr>
          <w:rFonts w:eastAsia="Times New Roman" w:cs="Times New Roman"/>
          <w:spacing w:val="-15"/>
          <w:szCs w:val="24"/>
          <w:lang w:val="sr-Cyrl-CS"/>
        </w:rPr>
        <w:t xml:space="preserve"> </w:t>
      </w:r>
      <w:r w:rsidRPr="00092ED7">
        <w:rPr>
          <w:rFonts w:eastAsia="Times New Roman" w:cs="Times New Roman"/>
          <w:szCs w:val="24"/>
          <w:lang w:val="sr-Cyrl-CS"/>
        </w:rPr>
        <w:t>и</w:t>
      </w:r>
      <w:r w:rsidRPr="00092ED7">
        <w:rPr>
          <w:rFonts w:eastAsia="Times New Roman" w:cs="Times New Roman"/>
          <w:spacing w:val="-15"/>
          <w:szCs w:val="24"/>
          <w:lang w:val="sr-Cyrl-CS"/>
        </w:rPr>
        <w:t xml:space="preserve"> </w:t>
      </w:r>
      <w:r w:rsidRPr="00092ED7">
        <w:rPr>
          <w:rFonts w:eastAsia="Times New Roman" w:cs="Times New Roman"/>
          <w:szCs w:val="24"/>
          <w:lang w:val="sr-Cyrl-CS"/>
        </w:rPr>
        <w:t>управљање</w:t>
      </w:r>
      <w:r w:rsidRPr="00092ED7">
        <w:rPr>
          <w:rFonts w:eastAsia="Times New Roman" w:cs="Times New Roman"/>
          <w:spacing w:val="-15"/>
          <w:szCs w:val="24"/>
          <w:lang w:val="sr-Cyrl-CS"/>
        </w:rPr>
        <w:t xml:space="preserve"> </w:t>
      </w:r>
      <w:r w:rsidRPr="00092ED7">
        <w:rPr>
          <w:rFonts w:eastAsia="Times New Roman" w:cs="Times New Roman"/>
          <w:szCs w:val="24"/>
          <w:lang w:val="sr-Cyrl-CS"/>
        </w:rPr>
        <w:t>отпадом.</w:t>
      </w:r>
      <w:r w:rsidRPr="00092ED7">
        <w:rPr>
          <w:rFonts w:eastAsia="Times New Roman" w:cs="Times New Roman"/>
          <w:spacing w:val="-15"/>
          <w:szCs w:val="24"/>
          <w:lang w:val="sr-Cyrl-CS"/>
        </w:rPr>
        <w:t xml:space="preserve"> </w:t>
      </w:r>
      <w:r w:rsidRPr="00092ED7">
        <w:rPr>
          <w:rFonts w:eastAsia="Times New Roman" w:cs="Times New Roman"/>
          <w:szCs w:val="24"/>
          <w:lang w:val="sr-Cyrl-CS"/>
        </w:rPr>
        <w:t>Органска</w:t>
      </w:r>
      <w:r w:rsidRPr="00092ED7">
        <w:rPr>
          <w:rFonts w:eastAsia="Times New Roman" w:cs="Times New Roman"/>
          <w:spacing w:val="-15"/>
          <w:szCs w:val="24"/>
          <w:lang w:val="sr-Cyrl-CS"/>
        </w:rPr>
        <w:t xml:space="preserve"> </w:t>
      </w:r>
      <w:r w:rsidRPr="00092ED7">
        <w:rPr>
          <w:rFonts w:eastAsia="Times New Roman" w:cs="Times New Roman"/>
          <w:szCs w:val="24"/>
          <w:lang w:val="sr-Cyrl-CS"/>
        </w:rPr>
        <w:t xml:space="preserve">производња заснива се на </w:t>
      </w:r>
      <w:r w:rsidRPr="00092ED7">
        <w:rPr>
          <w:rFonts w:eastAsia="Times New Roman" w:cs="Times New Roman"/>
          <w:spacing w:val="-3"/>
          <w:szCs w:val="24"/>
          <w:lang w:val="sr-Cyrl-CS"/>
        </w:rPr>
        <w:t xml:space="preserve">„холистичком” </w:t>
      </w:r>
      <w:r w:rsidRPr="00092ED7">
        <w:rPr>
          <w:rFonts w:eastAsia="Times New Roman" w:cs="Times New Roman"/>
          <w:szCs w:val="24"/>
          <w:lang w:val="sr-Cyrl-CS"/>
        </w:rPr>
        <w:t xml:space="preserve">систему производње </w:t>
      </w:r>
      <w:r w:rsidRPr="00092ED7">
        <w:rPr>
          <w:rFonts w:eastAsia="Times New Roman" w:cs="Times New Roman"/>
          <w:spacing w:val="-4"/>
          <w:szCs w:val="24"/>
          <w:lang w:val="sr-Cyrl-CS"/>
        </w:rPr>
        <w:t xml:space="preserve">који </w:t>
      </w:r>
      <w:r w:rsidRPr="00092ED7">
        <w:rPr>
          <w:rFonts w:eastAsia="Times New Roman" w:cs="Times New Roman"/>
          <w:szCs w:val="24"/>
          <w:lang w:val="sr-Cyrl-CS"/>
        </w:rPr>
        <w:t xml:space="preserve">промовише и </w:t>
      </w:r>
      <w:r w:rsidRPr="00092ED7">
        <w:rPr>
          <w:rFonts w:eastAsia="Times New Roman" w:cs="Times New Roman"/>
          <w:spacing w:val="-3"/>
          <w:szCs w:val="24"/>
          <w:lang w:val="sr-Cyrl-CS"/>
        </w:rPr>
        <w:t xml:space="preserve">јача </w:t>
      </w:r>
      <w:r w:rsidRPr="00092ED7">
        <w:rPr>
          <w:rFonts w:eastAsia="Times New Roman" w:cs="Times New Roman"/>
          <w:szCs w:val="24"/>
          <w:lang w:val="sr-Cyrl-CS"/>
        </w:rPr>
        <w:t xml:space="preserve">агроекосистем, здравље, укључујући и биодиверзитет, биолошке циклусе, као и земљиште. Највећа </w:t>
      </w:r>
      <w:r w:rsidRPr="00092ED7">
        <w:rPr>
          <w:rFonts w:eastAsia="Times New Roman" w:cs="Times New Roman"/>
          <w:spacing w:val="-5"/>
          <w:szCs w:val="24"/>
          <w:lang w:val="sr-Cyrl-CS"/>
        </w:rPr>
        <w:t>ко</w:t>
      </w:r>
      <w:r w:rsidRPr="00092ED7">
        <w:rPr>
          <w:rFonts w:eastAsia="Times New Roman" w:cs="Times New Roman"/>
          <w:szCs w:val="24"/>
          <w:lang w:val="sr-Cyrl-CS"/>
        </w:rPr>
        <w:t xml:space="preserve">рист органске проиводње је у </w:t>
      </w:r>
      <w:r w:rsidRPr="00092ED7">
        <w:rPr>
          <w:rFonts w:eastAsia="Times New Roman" w:cs="Times New Roman"/>
          <w:spacing w:val="-3"/>
          <w:szCs w:val="24"/>
          <w:lang w:val="sr-Cyrl-CS"/>
        </w:rPr>
        <w:t xml:space="preserve">томе </w:t>
      </w:r>
      <w:r w:rsidRPr="00092ED7">
        <w:rPr>
          <w:rFonts w:eastAsia="Times New Roman" w:cs="Times New Roman"/>
          <w:szCs w:val="24"/>
          <w:lang w:val="sr-Cyrl-CS"/>
        </w:rPr>
        <w:t>да доприноси одрживом коришћењу и очувању природних</w:t>
      </w:r>
      <w:r w:rsidRPr="00092ED7">
        <w:rPr>
          <w:rFonts w:eastAsia="Times New Roman" w:cs="Times New Roman"/>
          <w:spacing w:val="-4"/>
          <w:szCs w:val="24"/>
          <w:lang w:val="sr-Cyrl-CS"/>
        </w:rPr>
        <w:t xml:space="preserve"> </w:t>
      </w:r>
      <w:r w:rsidRPr="00092ED7">
        <w:rPr>
          <w:rFonts w:eastAsia="Times New Roman" w:cs="Times New Roman"/>
          <w:szCs w:val="24"/>
          <w:lang w:val="sr-Cyrl-CS"/>
        </w:rPr>
        <w:t>ресурса.</w:t>
      </w:r>
    </w:p>
    <w:p w14:paraId="13A75316" w14:textId="77777777" w:rsidR="00D210F0" w:rsidRPr="00092ED7" w:rsidRDefault="00D210F0" w:rsidP="00D210F0">
      <w:pPr>
        <w:spacing w:after="60"/>
        <w:rPr>
          <w:rFonts w:eastAsia="Times New Roman" w:cs="Times New Roman"/>
          <w:szCs w:val="24"/>
          <w:lang w:val="sr-Cyrl-CS"/>
        </w:rPr>
      </w:pPr>
      <w:r w:rsidRPr="00092ED7">
        <w:rPr>
          <w:rFonts w:eastAsia="Times New Roman" w:cs="Times New Roman"/>
          <w:szCs w:val="24"/>
          <w:lang w:val="sr-Cyrl-CS"/>
        </w:rPr>
        <w:t xml:space="preserve">Успостављањем IACS стварају се услови за примену правила </w:t>
      </w:r>
      <w:r w:rsidR="005860F2" w:rsidRPr="00092ED7">
        <w:rPr>
          <w:rFonts w:eastAsia="Times New Roman" w:cs="Times New Roman"/>
          <w:szCs w:val="24"/>
          <w:lang w:val="sr-Cyrl-CS"/>
        </w:rPr>
        <w:t xml:space="preserve">Заједничке пољопривредне политике </w:t>
      </w:r>
      <w:r w:rsidRPr="00092ED7">
        <w:rPr>
          <w:rFonts w:eastAsia="Times New Roman" w:cs="Times New Roman"/>
          <w:szCs w:val="24"/>
          <w:lang w:val="sr-Cyrl-CS"/>
        </w:rPr>
        <w:t>и провере усаглашености</w:t>
      </w:r>
      <w:r w:rsidRPr="00092ED7">
        <w:rPr>
          <w:rFonts w:eastAsia="Times New Roman" w:cs="Times New Roman"/>
          <w:spacing w:val="-9"/>
          <w:szCs w:val="24"/>
          <w:lang w:val="sr-Cyrl-CS"/>
        </w:rPr>
        <w:t xml:space="preserve"> </w:t>
      </w:r>
      <w:r w:rsidRPr="00092ED7">
        <w:rPr>
          <w:rFonts w:eastAsia="Times New Roman" w:cs="Times New Roman"/>
          <w:szCs w:val="24"/>
          <w:lang w:val="sr-Cyrl-CS"/>
        </w:rPr>
        <w:t>са</w:t>
      </w:r>
      <w:r w:rsidRPr="00092ED7">
        <w:rPr>
          <w:rFonts w:eastAsia="Times New Roman" w:cs="Times New Roman"/>
          <w:spacing w:val="-9"/>
          <w:szCs w:val="24"/>
          <w:lang w:val="sr-Cyrl-CS"/>
        </w:rPr>
        <w:t xml:space="preserve"> </w:t>
      </w:r>
      <w:r w:rsidRPr="00092ED7">
        <w:rPr>
          <w:rFonts w:eastAsia="Times New Roman" w:cs="Times New Roman"/>
          <w:szCs w:val="24"/>
          <w:lang w:val="sr-Cyrl-CS"/>
        </w:rPr>
        <w:t>еколошким</w:t>
      </w:r>
      <w:r w:rsidRPr="00092ED7">
        <w:rPr>
          <w:rFonts w:eastAsia="Times New Roman" w:cs="Times New Roman"/>
          <w:spacing w:val="-9"/>
          <w:szCs w:val="24"/>
          <w:lang w:val="sr-Cyrl-CS"/>
        </w:rPr>
        <w:t xml:space="preserve"> </w:t>
      </w:r>
      <w:r w:rsidRPr="00092ED7">
        <w:rPr>
          <w:rFonts w:eastAsia="Times New Roman" w:cs="Times New Roman"/>
          <w:szCs w:val="24"/>
          <w:lang w:val="sr-Cyrl-CS"/>
        </w:rPr>
        <w:t>захтевима</w:t>
      </w:r>
      <w:r w:rsidRPr="00092ED7">
        <w:rPr>
          <w:rFonts w:eastAsia="Times New Roman" w:cs="Times New Roman"/>
          <w:spacing w:val="-9"/>
          <w:szCs w:val="24"/>
          <w:lang w:val="sr-Cyrl-CS"/>
        </w:rPr>
        <w:t xml:space="preserve"> </w:t>
      </w:r>
      <w:r w:rsidRPr="00092ED7">
        <w:rPr>
          <w:rFonts w:eastAsia="Times New Roman" w:cs="Times New Roman"/>
          <w:szCs w:val="24"/>
          <w:lang w:val="sr-Cyrl-CS"/>
        </w:rPr>
        <w:t>за</w:t>
      </w:r>
      <w:r w:rsidRPr="00092ED7">
        <w:rPr>
          <w:rFonts w:eastAsia="Times New Roman" w:cs="Times New Roman"/>
          <w:spacing w:val="-9"/>
          <w:szCs w:val="24"/>
          <w:lang w:val="sr-Cyrl-CS"/>
        </w:rPr>
        <w:t xml:space="preserve"> </w:t>
      </w:r>
      <w:r w:rsidRPr="00092ED7">
        <w:rPr>
          <w:rFonts w:eastAsia="Times New Roman" w:cs="Times New Roman"/>
          <w:szCs w:val="24"/>
          <w:lang w:val="sr-Cyrl-CS"/>
        </w:rPr>
        <w:t>исплату</w:t>
      </w:r>
      <w:r w:rsidRPr="00092ED7">
        <w:rPr>
          <w:rFonts w:eastAsia="Times New Roman" w:cs="Times New Roman"/>
          <w:spacing w:val="-9"/>
          <w:szCs w:val="24"/>
          <w:lang w:val="sr-Cyrl-CS"/>
        </w:rPr>
        <w:t xml:space="preserve"> </w:t>
      </w:r>
      <w:r w:rsidRPr="00092ED7">
        <w:rPr>
          <w:rFonts w:eastAsia="Times New Roman" w:cs="Times New Roman"/>
          <w:szCs w:val="24"/>
          <w:lang w:val="sr-Cyrl-CS"/>
        </w:rPr>
        <w:t>подстицаја</w:t>
      </w:r>
      <w:r w:rsidRPr="00092ED7">
        <w:rPr>
          <w:rFonts w:eastAsia="Times New Roman" w:cs="Times New Roman"/>
          <w:spacing w:val="-9"/>
          <w:szCs w:val="24"/>
          <w:lang w:val="sr-Cyrl-CS"/>
        </w:rPr>
        <w:t xml:space="preserve"> </w:t>
      </w:r>
      <w:r w:rsidRPr="00092ED7">
        <w:rPr>
          <w:rFonts w:eastAsia="Times New Roman" w:cs="Times New Roman"/>
          <w:szCs w:val="24"/>
          <w:lang w:val="sr-Cyrl-CS"/>
        </w:rPr>
        <w:t>као</w:t>
      </w:r>
      <w:r w:rsidRPr="00092ED7">
        <w:rPr>
          <w:rFonts w:eastAsia="Times New Roman" w:cs="Times New Roman"/>
          <w:spacing w:val="-9"/>
          <w:szCs w:val="24"/>
          <w:lang w:val="sr-Cyrl-CS"/>
        </w:rPr>
        <w:t xml:space="preserve"> </w:t>
      </w:r>
      <w:r w:rsidRPr="00092ED7">
        <w:rPr>
          <w:rFonts w:eastAsia="Times New Roman" w:cs="Times New Roman"/>
          <w:szCs w:val="24"/>
          <w:lang w:val="sr-Cyrl-CS"/>
        </w:rPr>
        <w:t>и</w:t>
      </w:r>
      <w:r w:rsidRPr="00092ED7">
        <w:rPr>
          <w:rFonts w:eastAsia="Times New Roman" w:cs="Times New Roman"/>
          <w:spacing w:val="-9"/>
          <w:szCs w:val="24"/>
          <w:lang w:val="sr-Cyrl-CS"/>
        </w:rPr>
        <w:t xml:space="preserve"> </w:t>
      </w:r>
      <w:r w:rsidRPr="00092ED7">
        <w:rPr>
          <w:rFonts w:eastAsia="Times New Roman" w:cs="Times New Roman"/>
          <w:szCs w:val="24"/>
          <w:lang w:val="sr-Cyrl-CS"/>
        </w:rPr>
        <w:t>плаћања</w:t>
      </w:r>
      <w:r w:rsidRPr="00092ED7">
        <w:rPr>
          <w:rFonts w:eastAsia="Times New Roman" w:cs="Times New Roman"/>
          <w:spacing w:val="-9"/>
          <w:szCs w:val="24"/>
          <w:lang w:val="sr-Cyrl-CS"/>
        </w:rPr>
        <w:t xml:space="preserve"> </w:t>
      </w:r>
      <w:r w:rsidRPr="00092ED7">
        <w:rPr>
          <w:rFonts w:eastAsia="Times New Roman" w:cs="Times New Roman"/>
          <w:szCs w:val="24"/>
          <w:lang w:val="sr-Cyrl-CS"/>
        </w:rPr>
        <w:t>по</w:t>
      </w:r>
      <w:r w:rsidRPr="00092ED7">
        <w:rPr>
          <w:rFonts w:eastAsia="Times New Roman" w:cs="Times New Roman"/>
          <w:spacing w:val="-9"/>
          <w:szCs w:val="24"/>
          <w:lang w:val="sr-Cyrl-CS"/>
        </w:rPr>
        <w:t xml:space="preserve"> </w:t>
      </w:r>
      <w:r w:rsidRPr="00092ED7">
        <w:rPr>
          <w:rFonts w:eastAsia="Times New Roman" w:cs="Times New Roman"/>
          <w:szCs w:val="24"/>
          <w:lang w:val="sr-Cyrl-CS"/>
        </w:rPr>
        <w:t>основу</w:t>
      </w:r>
      <w:r w:rsidRPr="00092ED7">
        <w:rPr>
          <w:rFonts w:eastAsia="Times New Roman" w:cs="Times New Roman"/>
          <w:spacing w:val="-9"/>
          <w:szCs w:val="24"/>
          <w:lang w:val="sr-Cyrl-CS"/>
        </w:rPr>
        <w:t xml:space="preserve"> </w:t>
      </w:r>
      <w:r w:rsidRPr="00092ED7">
        <w:rPr>
          <w:rFonts w:eastAsia="Times New Roman" w:cs="Times New Roman"/>
          <w:szCs w:val="24"/>
          <w:lang w:val="sr-Cyrl-CS"/>
        </w:rPr>
        <w:t>подстицаја</w:t>
      </w:r>
      <w:r w:rsidRPr="00092ED7">
        <w:rPr>
          <w:rFonts w:eastAsia="Times New Roman" w:cs="Times New Roman"/>
          <w:spacing w:val="-7"/>
          <w:szCs w:val="24"/>
          <w:lang w:val="sr-Cyrl-CS"/>
        </w:rPr>
        <w:t xml:space="preserve"> </w:t>
      </w:r>
      <w:r w:rsidRPr="00092ED7">
        <w:rPr>
          <w:rFonts w:eastAsia="Times New Roman" w:cs="Times New Roman"/>
          <w:szCs w:val="24"/>
          <w:lang w:val="sr-Cyrl-CS"/>
        </w:rPr>
        <w:t>за</w:t>
      </w:r>
      <w:r w:rsidRPr="00092ED7">
        <w:rPr>
          <w:rFonts w:eastAsia="Times New Roman" w:cs="Times New Roman"/>
          <w:spacing w:val="-7"/>
          <w:szCs w:val="24"/>
          <w:lang w:val="sr-Cyrl-CS"/>
        </w:rPr>
        <w:t xml:space="preserve"> </w:t>
      </w:r>
      <w:r w:rsidRPr="00092ED7">
        <w:rPr>
          <w:rFonts w:eastAsia="Times New Roman" w:cs="Times New Roman"/>
          <w:spacing w:val="-3"/>
          <w:szCs w:val="24"/>
          <w:lang w:val="sr-Cyrl-CS"/>
        </w:rPr>
        <w:t>еколошке</w:t>
      </w:r>
      <w:r w:rsidRPr="00092ED7">
        <w:rPr>
          <w:rFonts w:eastAsia="Times New Roman" w:cs="Times New Roman"/>
          <w:spacing w:val="-7"/>
          <w:szCs w:val="24"/>
          <w:lang w:val="sr-Cyrl-CS"/>
        </w:rPr>
        <w:t xml:space="preserve"> </w:t>
      </w:r>
      <w:r w:rsidRPr="00092ED7">
        <w:rPr>
          <w:rFonts w:eastAsia="Times New Roman" w:cs="Times New Roman"/>
          <w:szCs w:val="24"/>
          <w:lang w:val="sr-Cyrl-CS"/>
        </w:rPr>
        <w:t>мере</w:t>
      </w:r>
      <w:r w:rsidRPr="00092ED7">
        <w:rPr>
          <w:rFonts w:eastAsia="Times New Roman" w:cs="Times New Roman"/>
          <w:spacing w:val="-7"/>
          <w:szCs w:val="24"/>
          <w:lang w:val="sr-Cyrl-CS"/>
        </w:rPr>
        <w:t xml:space="preserve"> </w:t>
      </w:r>
      <w:r w:rsidRPr="00092ED7">
        <w:rPr>
          <w:rFonts w:eastAsia="Times New Roman" w:cs="Times New Roman"/>
          <w:szCs w:val="24"/>
          <w:lang w:val="sr-Cyrl-CS"/>
        </w:rPr>
        <w:t>чиме</w:t>
      </w:r>
      <w:r w:rsidRPr="00092ED7">
        <w:rPr>
          <w:rFonts w:eastAsia="Times New Roman" w:cs="Times New Roman"/>
          <w:spacing w:val="-7"/>
          <w:szCs w:val="24"/>
          <w:lang w:val="sr-Cyrl-CS"/>
        </w:rPr>
        <w:t xml:space="preserve"> </w:t>
      </w:r>
      <w:r w:rsidRPr="00092ED7">
        <w:rPr>
          <w:rFonts w:eastAsia="Times New Roman" w:cs="Times New Roman"/>
          <w:szCs w:val="24"/>
          <w:lang w:val="sr-Cyrl-CS"/>
        </w:rPr>
        <w:t>ће</w:t>
      </w:r>
      <w:r w:rsidRPr="00092ED7">
        <w:rPr>
          <w:rFonts w:eastAsia="Times New Roman" w:cs="Times New Roman"/>
          <w:spacing w:val="-7"/>
          <w:szCs w:val="24"/>
          <w:lang w:val="sr-Cyrl-CS"/>
        </w:rPr>
        <w:t xml:space="preserve"> </w:t>
      </w:r>
      <w:r w:rsidRPr="00092ED7">
        <w:rPr>
          <w:rFonts w:eastAsia="Times New Roman" w:cs="Times New Roman"/>
          <w:szCs w:val="24"/>
          <w:lang w:val="sr-Cyrl-CS"/>
        </w:rPr>
        <w:t>се</w:t>
      </w:r>
      <w:r w:rsidRPr="00092ED7">
        <w:rPr>
          <w:rFonts w:eastAsia="Times New Roman" w:cs="Times New Roman"/>
          <w:spacing w:val="-7"/>
          <w:szCs w:val="24"/>
          <w:lang w:val="sr-Cyrl-CS"/>
        </w:rPr>
        <w:t xml:space="preserve"> </w:t>
      </w:r>
      <w:r w:rsidRPr="00092ED7">
        <w:rPr>
          <w:rFonts w:eastAsia="Times New Roman" w:cs="Times New Roman"/>
          <w:szCs w:val="24"/>
          <w:lang w:val="sr-Cyrl-CS"/>
        </w:rPr>
        <w:t>допринети</w:t>
      </w:r>
      <w:r w:rsidRPr="00092ED7">
        <w:rPr>
          <w:rFonts w:eastAsia="Times New Roman" w:cs="Times New Roman"/>
          <w:spacing w:val="-7"/>
          <w:szCs w:val="24"/>
          <w:lang w:val="sr-Cyrl-CS"/>
        </w:rPr>
        <w:t xml:space="preserve"> </w:t>
      </w:r>
      <w:r w:rsidRPr="00092ED7">
        <w:rPr>
          <w:rFonts w:eastAsia="Times New Roman" w:cs="Times New Roman"/>
          <w:spacing w:val="-3"/>
          <w:szCs w:val="24"/>
          <w:lang w:val="sr-Cyrl-CS"/>
        </w:rPr>
        <w:t>озелењавању,</w:t>
      </w:r>
      <w:r w:rsidRPr="00092ED7">
        <w:rPr>
          <w:rFonts w:eastAsia="Times New Roman" w:cs="Times New Roman"/>
          <w:spacing w:val="-7"/>
          <w:szCs w:val="24"/>
          <w:lang w:val="sr-Cyrl-CS"/>
        </w:rPr>
        <w:t xml:space="preserve"> </w:t>
      </w:r>
      <w:r w:rsidRPr="00092ED7">
        <w:rPr>
          <w:rFonts w:eastAsia="Times New Roman" w:cs="Times New Roman"/>
          <w:szCs w:val="24"/>
          <w:lang w:val="sr-Cyrl-CS"/>
        </w:rPr>
        <w:t>инвестирању</w:t>
      </w:r>
      <w:r w:rsidRPr="00092ED7">
        <w:rPr>
          <w:rFonts w:eastAsia="Times New Roman" w:cs="Times New Roman"/>
          <w:spacing w:val="-7"/>
          <w:szCs w:val="24"/>
          <w:lang w:val="sr-Cyrl-CS"/>
        </w:rPr>
        <w:t xml:space="preserve"> </w:t>
      </w:r>
      <w:r w:rsidRPr="00092ED7">
        <w:rPr>
          <w:rFonts w:eastAsia="Times New Roman" w:cs="Times New Roman"/>
          <w:szCs w:val="24"/>
          <w:lang w:val="sr-Cyrl-CS"/>
        </w:rPr>
        <w:t>у</w:t>
      </w:r>
      <w:r w:rsidRPr="00092ED7">
        <w:rPr>
          <w:rFonts w:eastAsia="Times New Roman" w:cs="Times New Roman"/>
          <w:spacing w:val="-7"/>
          <w:szCs w:val="24"/>
          <w:lang w:val="sr-Cyrl-CS"/>
        </w:rPr>
        <w:t xml:space="preserve"> </w:t>
      </w:r>
      <w:r w:rsidRPr="00092ED7">
        <w:rPr>
          <w:rFonts w:eastAsia="Times New Roman" w:cs="Times New Roman"/>
          <w:szCs w:val="24"/>
          <w:lang w:val="sr-Cyrl-CS"/>
        </w:rPr>
        <w:t>смањење</w:t>
      </w:r>
      <w:r w:rsidRPr="00092ED7">
        <w:rPr>
          <w:rFonts w:eastAsia="Times New Roman" w:cs="Times New Roman"/>
          <w:spacing w:val="-7"/>
          <w:szCs w:val="24"/>
          <w:lang w:val="sr-Cyrl-CS"/>
        </w:rPr>
        <w:t xml:space="preserve"> </w:t>
      </w:r>
      <w:r w:rsidRPr="00092ED7">
        <w:rPr>
          <w:rFonts w:eastAsia="Times New Roman" w:cs="Times New Roman"/>
          <w:szCs w:val="24"/>
          <w:lang w:val="sr-Cyrl-CS"/>
        </w:rPr>
        <w:t>ефеката стаклене баште у пољопривреди, ефективно доприносећи захтевима Европског зеленог договора.</w:t>
      </w:r>
    </w:p>
    <w:p w14:paraId="152B2D24" w14:textId="77777777" w:rsidR="00D210F0" w:rsidRPr="00092ED7" w:rsidRDefault="00D210F0" w:rsidP="00071952">
      <w:pPr>
        <w:widowControl w:val="0"/>
        <w:numPr>
          <w:ilvl w:val="0"/>
          <w:numId w:val="36"/>
        </w:numPr>
        <w:spacing w:before="120"/>
        <w:rPr>
          <w:rFonts w:cs="Times New Roman"/>
          <w:b/>
          <w:szCs w:val="24"/>
          <w:lang w:val="sr-Cyrl-CS"/>
        </w:rPr>
      </w:pPr>
      <w:r w:rsidRPr="00092ED7">
        <w:rPr>
          <w:rFonts w:cs="Times New Roman"/>
          <w:b/>
          <w:szCs w:val="24"/>
          <w:lang w:val="sr-Cyrl-CS"/>
        </w:rPr>
        <w:t>Потенцијални ризици</w:t>
      </w:r>
    </w:p>
    <w:tbl>
      <w:tblPr>
        <w:tblStyle w:val="TableGrid"/>
        <w:tblW w:w="9072" w:type="dxa"/>
        <w:jc w:val="center"/>
        <w:tblLayout w:type="fixed"/>
        <w:tblLook w:val="04A0" w:firstRow="1" w:lastRow="0" w:firstColumn="1" w:lastColumn="0" w:noHBand="0" w:noVBand="1"/>
      </w:tblPr>
      <w:tblGrid>
        <w:gridCol w:w="3491"/>
        <w:gridCol w:w="2098"/>
        <w:gridCol w:w="3483"/>
      </w:tblGrid>
      <w:tr w:rsidR="00D210F0" w:rsidRPr="00092ED7" w14:paraId="5DF3DE81" w14:textId="77777777" w:rsidTr="006944C5">
        <w:trPr>
          <w:cnfStyle w:val="100000000000" w:firstRow="1" w:lastRow="0" w:firstColumn="0" w:lastColumn="0" w:oddVBand="0" w:evenVBand="0" w:oddHBand="0" w:evenHBand="0" w:firstRowFirstColumn="0" w:firstRowLastColumn="0" w:lastRowFirstColumn="0" w:lastRowLastColumn="0"/>
          <w:jc w:val="center"/>
        </w:trPr>
        <w:tc>
          <w:tcPr>
            <w:tcW w:w="3491" w:type="dxa"/>
            <w:tcBorders>
              <w:top w:val="single" w:sz="4" w:space="0" w:color="auto"/>
              <w:left w:val="single" w:sz="4" w:space="0" w:color="auto"/>
              <w:bottom w:val="single" w:sz="4" w:space="0" w:color="auto"/>
              <w:right w:val="single" w:sz="4" w:space="0" w:color="auto"/>
            </w:tcBorders>
          </w:tcPr>
          <w:p w14:paraId="346F6FC2" w14:textId="77777777" w:rsidR="00D210F0" w:rsidRPr="00092ED7" w:rsidRDefault="00D210F0" w:rsidP="006944C5">
            <w:pPr>
              <w:spacing w:before="0" w:after="0"/>
              <w:ind w:left="113" w:right="113"/>
              <w:jc w:val="center"/>
              <w:rPr>
                <w:rFonts w:cs="Times New Roman"/>
                <w:sz w:val="20"/>
                <w:lang w:val="sr-Cyrl-CS"/>
              </w:rPr>
            </w:pPr>
            <w:r w:rsidRPr="00092ED7">
              <w:rPr>
                <w:rFonts w:cs="Times New Roman"/>
                <w:sz w:val="20"/>
                <w:lang w:val="sr-Cyrl-CS"/>
              </w:rPr>
              <w:t>Ризик</w:t>
            </w:r>
          </w:p>
        </w:tc>
        <w:tc>
          <w:tcPr>
            <w:tcW w:w="2098" w:type="dxa"/>
            <w:tcBorders>
              <w:top w:val="single" w:sz="4" w:space="0" w:color="auto"/>
              <w:left w:val="single" w:sz="4" w:space="0" w:color="auto"/>
              <w:bottom w:val="single" w:sz="4" w:space="0" w:color="auto"/>
              <w:right w:val="single" w:sz="4" w:space="0" w:color="auto"/>
            </w:tcBorders>
          </w:tcPr>
          <w:p w14:paraId="321F295D" w14:textId="77777777" w:rsidR="00D210F0" w:rsidRPr="00092ED7" w:rsidRDefault="00D210F0" w:rsidP="006944C5">
            <w:pPr>
              <w:spacing w:before="0" w:after="0"/>
              <w:ind w:left="113" w:right="113"/>
              <w:rPr>
                <w:rFonts w:cs="Times New Roman"/>
                <w:sz w:val="20"/>
                <w:lang w:val="sr-Cyrl-CS"/>
              </w:rPr>
            </w:pPr>
            <w:r w:rsidRPr="00092ED7">
              <w:rPr>
                <w:rFonts w:cs="Times New Roman"/>
                <w:sz w:val="20"/>
                <w:lang w:val="sr-Cyrl-CS"/>
              </w:rPr>
              <w:t>Вероватноћа за остваривање ризика</w:t>
            </w:r>
          </w:p>
        </w:tc>
        <w:tc>
          <w:tcPr>
            <w:tcW w:w="3483" w:type="dxa"/>
            <w:tcBorders>
              <w:top w:val="single" w:sz="4" w:space="0" w:color="auto"/>
              <w:left w:val="single" w:sz="4" w:space="0" w:color="auto"/>
              <w:bottom w:val="single" w:sz="4" w:space="0" w:color="auto"/>
              <w:right w:val="single" w:sz="4" w:space="0" w:color="auto"/>
            </w:tcBorders>
          </w:tcPr>
          <w:p w14:paraId="70829DFD" w14:textId="77777777" w:rsidR="00D210F0" w:rsidRPr="00092ED7" w:rsidRDefault="00D210F0" w:rsidP="006944C5">
            <w:pPr>
              <w:spacing w:before="0" w:after="0"/>
              <w:ind w:left="113" w:right="113"/>
              <w:rPr>
                <w:rFonts w:cs="Times New Roman"/>
                <w:sz w:val="20"/>
                <w:lang w:val="sr-Cyrl-CS"/>
              </w:rPr>
            </w:pPr>
            <w:r w:rsidRPr="00092ED7">
              <w:rPr>
                <w:rFonts w:cs="Times New Roman"/>
                <w:sz w:val="20"/>
                <w:lang w:val="sr-Cyrl-CS"/>
              </w:rPr>
              <w:t>Планиране активност за ублажавање негативних ефеката ризика</w:t>
            </w:r>
          </w:p>
        </w:tc>
      </w:tr>
      <w:tr w:rsidR="00D210F0" w:rsidRPr="00092ED7" w14:paraId="06ACD9A5" w14:textId="77777777" w:rsidTr="00D030D6">
        <w:trPr>
          <w:jc w:val="center"/>
        </w:trPr>
        <w:tc>
          <w:tcPr>
            <w:tcW w:w="3491" w:type="dxa"/>
            <w:tcBorders>
              <w:top w:val="single" w:sz="4" w:space="0" w:color="auto"/>
              <w:left w:val="single" w:sz="4" w:space="0" w:color="auto"/>
              <w:bottom w:val="single" w:sz="4" w:space="0" w:color="auto"/>
              <w:right w:val="single" w:sz="4" w:space="0" w:color="auto"/>
            </w:tcBorders>
            <w:vAlign w:val="top"/>
          </w:tcPr>
          <w:p w14:paraId="6FABF4C5" w14:textId="77777777" w:rsidR="00D210F0" w:rsidRPr="00092ED7" w:rsidRDefault="00D210F0" w:rsidP="00D030D6">
            <w:pPr>
              <w:spacing w:before="0" w:after="0"/>
              <w:ind w:left="113" w:right="113"/>
              <w:rPr>
                <w:rFonts w:cs="Times New Roman"/>
                <w:sz w:val="20"/>
                <w:lang w:val="sr-Cyrl-CS"/>
              </w:rPr>
            </w:pPr>
            <w:r w:rsidRPr="00092ED7">
              <w:rPr>
                <w:rFonts w:cs="Times New Roman"/>
                <w:sz w:val="20"/>
                <w:lang w:val="sr-Cyrl-CS"/>
              </w:rPr>
              <w:t>Неусвајање закона и кашњење са усвајањем подзаконских аката</w:t>
            </w:r>
          </w:p>
        </w:tc>
        <w:tc>
          <w:tcPr>
            <w:tcW w:w="2098" w:type="dxa"/>
            <w:tcBorders>
              <w:top w:val="single" w:sz="4" w:space="0" w:color="auto"/>
              <w:left w:val="single" w:sz="4" w:space="0" w:color="auto"/>
              <w:bottom w:val="single" w:sz="4" w:space="0" w:color="auto"/>
              <w:right w:val="single" w:sz="4" w:space="0" w:color="auto"/>
            </w:tcBorders>
            <w:vAlign w:val="top"/>
          </w:tcPr>
          <w:p w14:paraId="32DA17B6" w14:textId="77777777" w:rsidR="00D210F0" w:rsidRPr="00092ED7" w:rsidRDefault="00D210F0" w:rsidP="00D030D6">
            <w:pPr>
              <w:spacing w:before="0" w:after="0"/>
              <w:ind w:left="113" w:right="113"/>
              <w:jc w:val="center"/>
              <w:rPr>
                <w:rFonts w:cs="Times New Roman"/>
                <w:sz w:val="20"/>
                <w:lang w:val="sr-Cyrl-CS"/>
              </w:rPr>
            </w:pPr>
            <w:r w:rsidRPr="00092ED7">
              <w:rPr>
                <w:rFonts w:cs="Times New Roman"/>
                <w:sz w:val="20"/>
                <w:lang w:val="sr-Cyrl-CS"/>
              </w:rPr>
              <w:t>Средња</w:t>
            </w:r>
          </w:p>
        </w:tc>
        <w:tc>
          <w:tcPr>
            <w:tcW w:w="3483" w:type="dxa"/>
            <w:tcBorders>
              <w:top w:val="single" w:sz="4" w:space="0" w:color="auto"/>
              <w:left w:val="single" w:sz="4" w:space="0" w:color="auto"/>
              <w:bottom w:val="single" w:sz="4" w:space="0" w:color="auto"/>
              <w:right w:val="single" w:sz="4" w:space="0" w:color="auto"/>
            </w:tcBorders>
          </w:tcPr>
          <w:p w14:paraId="73CC7B8E" w14:textId="77777777" w:rsidR="00D210F0" w:rsidRPr="00092ED7" w:rsidRDefault="00D210F0" w:rsidP="006944C5">
            <w:pPr>
              <w:spacing w:before="0" w:after="0"/>
              <w:ind w:left="113" w:right="113"/>
              <w:rPr>
                <w:rFonts w:cs="Times New Roman"/>
                <w:sz w:val="20"/>
                <w:lang w:val="sr-Cyrl-CS"/>
              </w:rPr>
            </w:pPr>
            <w:r w:rsidRPr="00092ED7">
              <w:rPr>
                <w:rFonts w:cs="Times New Roman"/>
                <w:sz w:val="20"/>
                <w:lang w:val="sr-Cyrl-CS"/>
              </w:rPr>
              <w:t xml:space="preserve">Пољопривредна политика креирана на начин да подржава мере из Закона о подстицајима у пољопривреди и руралном развоју. </w:t>
            </w:r>
          </w:p>
        </w:tc>
      </w:tr>
      <w:tr w:rsidR="00D210F0" w:rsidRPr="00092ED7" w14:paraId="4D466D7A" w14:textId="77777777" w:rsidTr="00D030D6">
        <w:trPr>
          <w:jc w:val="center"/>
        </w:trPr>
        <w:tc>
          <w:tcPr>
            <w:tcW w:w="3491" w:type="dxa"/>
            <w:tcBorders>
              <w:top w:val="single" w:sz="4" w:space="0" w:color="auto"/>
              <w:left w:val="single" w:sz="4" w:space="0" w:color="auto"/>
              <w:bottom w:val="single" w:sz="4" w:space="0" w:color="auto"/>
              <w:right w:val="single" w:sz="4" w:space="0" w:color="auto"/>
            </w:tcBorders>
            <w:vAlign w:val="top"/>
          </w:tcPr>
          <w:p w14:paraId="30264783" w14:textId="77777777" w:rsidR="00D210F0" w:rsidRPr="00092ED7" w:rsidRDefault="00D210F0" w:rsidP="00D030D6">
            <w:pPr>
              <w:spacing w:before="0" w:after="0"/>
              <w:ind w:left="113" w:right="113"/>
              <w:rPr>
                <w:rFonts w:cs="Times New Roman"/>
                <w:sz w:val="20"/>
                <w:lang w:val="sr-Cyrl-CS"/>
              </w:rPr>
            </w:pPr>
            <w:r w:rsidRPr="00092ED7">
              <w:rPr>
                <w:rFonts w:cs="Times New Roman"/>
                <w:sz w:val="20"/>
                <w:lang w:val="sr-Cyrl-CS"/>
              </w:rPr>
              <w:t xml:space="preserve">Велики број заинтересованих лица за решавање имовинско- правних односа </w:t>
            </w:r>
            <w:r w:rsidRPr="00092ED7">
              <w:rPr>
                <w:rFonts w:cs="Times New Roman"/>
                <w:sz w:val="20"/>
                <w:lang w:val="sr-Cyrl-CS"/>
              </w:rPr>
              <w:lastRenderedPageBreak/>
              <w:t>и сложеност поступака њиховог решавања</w:t>
            </w:r>
          </w:p>
        </w:tc>
        <w:tc>
          <w:tcPr>
            <w:tcW w:w="2098" w:type="dxa"/>
            <w:tcBorders>
              <w:top w:val="single" w:sz="4" w:space="0" w:color="auto"/>
              <w:left w:val="single" w:sz="4" w:space="0" w:color="auto"/>
              <w:bottom w:val="single" w:sz="4" w:space="0" w:color="auto"/>
              <w:right w:val="single" w:sz="4" w:space="0" w:color="auto"/>
            </w:tcBorders>
            <w:vAlign w:val="top"/>
          </w:tcPr>
          <w:p w14:paraId="47924BC0" w14:textId="77777777" w:rsidR="00D210F0" w:rsidRPr="00092ED7" w:rsidRDefault="00D210F0" w:rsidP="00D030D6">
            <w:pPr>
              <w:spacing w:before="0" w:after="0"/>
              <w:ind w:left="113" w:right="113"/>
              <w:jc w:val="center"/>
              <w:rPr>
                <w:rFonts w:cs="Times New Roman"/>
                <w:sz w:val="20"/>
                <w:lang w:val="sr-Cyrl-CS"/>
              </w:rPr>
            </w:pPr>
            <w:r w:rsidRPr="00092ED7">
              <w:rPr>
                <w:rFonts w:cs="Times New Roman"/>
                <w:sz w:val="20"/>
                <w:lang w:val="sr-Cyrl-CS"/>
              </w:rPr>
              <w:lastRenderedPageBreak/>
              <w:t>Висока</w:t>
            </w:r>
          </w:p>
        </w:tc>
        <w:tc>
          <w:tcPr>
            <w:tcW w:w="3483" w:type="dxa"/>
            <w:tcBorders>
              <w:top w:val="single" w:sz="4" w:space="0" w:color="auto"/>
              <w:left w:val="single" w:sz="4" w:space="0" w:color="auto"/>
              <w:bottom w:val="single" w:sz="4" w:space="0" w:color="auto"/>
              <w:right w:val="single" w:sz="4" w:space="0" w:color="auto"/>
            </w:tcBorders>
          </w:tcPr>
          <w:p w14:paraId="5270D273" w14:textId="77777777" w:rsidR="00D210F0" w:rsidRPr="00092ED7" w:rsidRDefault="00D210F0" w:rsidP="006944C5">
            <w:pPr>
              <w:spacing w:before="0" w:after="0"/>
              <w:ind w:left="113" w:right="113"/>
              <w:rPr>
                <w:rFonts w:cs="Times New Roman"/>
                <w:sz w:val="20"/>
                <w:lang w:val="sr-Cyrl-CS"/>
              </w:rPr>
            </w:pPr>
            <w:r w:rsidRPr="00092ED7">
              <w:rPr>
                <w:rFonts w:cs="Times New Roman"/>
                <w:sz w:val="20"/>
                <w:lang w:val="sr-Cyrl-CS"/>
              </w:rPr>
              <w:t xml:space="preserve">Спровођење јавних расправа, округлих столова и други начини за </w:t>
            </w:r>
            <w:r w:rsidRPr="00092ED7">
              <w:rPr>
                <w:rFonts w:cs="Times New Roman"/>
                <w:sz w:val="20"/>
                <w:lang w:val="sr-Cyrl-CS"/>
              </w:rPr>
              <w:lastRenderedPageBreak/>
              <w:t>обавештавање заинтересованих страна у поступку усвајања регулаторног оквира</w:t>
            </w:r>
            <w:r w:rsidR="00D47BD8" w:rsidRPr="00092ED7">
              <w:rPr>
                <w:rFonts w:cs="Times New Roman"/>
                <w:sz w:val="20"/>
                <w:lang w:val="sr-Cyrl-CS"/>
              </w:rPr>
              <w:t>.</w:t>
            </w:r>
          </w:p>
        </w:tc>
      </w:tr>
      <w:tr w:rsidR="00D210F0" w:rsidRPr="00092ED7" w14:paraId="643C93F4" w14:textId="77777777" w:rsidTr="00D030D6">
        <w:trPr>
          <w:jc w:val="center"/>
        </w:trPr>
        <w:tc>
          <w:tcPr>
            <w:tcW w:w="3491" w:type="dxa"/>
            <w:tcBorders>
              <w:top w:val="single" w:sz="4" w:space="0" w:color="auto"/>
              <w:left w:val="single" w:sz="4" w:space="0" w:color="auto"/>
              <w:bottom w:val="single" w:sz="4" w:space="0" w:color="auto"/>
              <w:right w:val="single" w:sz="4" w:space="0" w:color="auto"/>
            </w:tcBorders>
            <w:vAlign w:val="top"/>
          </w:tcPr>
          <w:p w14:paraId="21E2CA26" w14:textId="77777777" w:rsidR="00D210F0" w:rsidRPr="00092ED7" w:rsidRDefault="00D210F0" w:rsidP="00D030D6">
            <w:pPr>
              <w:spacing w:before="0" w:after="0"/>
              <w:ind w:left="113" w:right="113"/>
              <w:rPr>
                <w:rFonts w:cs="Times New Roman"/>
                <w:sz w:val="20"/>
                <w:lang w:val="sr-Cyrl-CS"/>
              </w:rPr>
            </w:pPr>
            <w:r w:rsidRPr="00092ED7">
              <w:rPr>
                <w:rFonts w:cs="Times New Roman"/>
                <w:sz w:val="20"/>
                <w:lang w:val="sr-Cyrl-CS"/>
              </w:rPr>
              <w:lastRenderedPageBreak/>
              <w:t>Необезбеђена средства за надоградњу регистра животиња</w:t>
            </w:r>
          </w:p>
        </w:tc>
        <w:tc>
          <w:tcPr>
            <w:tcW w:w="2098" w:type="dxa"/>
            <w:tcBorders>
              <w:top w:val="single" w:sz="4" w:space="0" w:color="auto"/>
              <w:left w:val="single" w:sz="4" w:space="0" w:color="auto"/>
              <w:bottom w:val="single" w:sz="4" w:space="0" w:color="auto"/>
              <w:right w:val="single" w:sz="4" w:space="0" w:color="auto"/>
            </w:tcBorders>
            <w:vAlign w:val="top"/>
          </w:tcPr>
          <w:p w14:paraId="1471CBB4" w14:textId="4B8165C7" w:rsidR="00D210F0" w:rsidRPr="00092ED7" w:rsidRDefault="003C2774" w:rsidP="00D030D6">
            <w:pPr>
              <w:spacing w:before="0" w:after="0"/>
              <w:ind w:left="113" w:right="113"/>
              <w:jc w:val="center"/>
              <w:rPr>
                <w:rFonts w:cs="Times New Roman"/>
                <w:sz w:val="20"/>
                <w:lang w:val="sr-Cyrl-CS"/>
              </w:rPr>
            </w:pPr>
            <w:r w:rsidRPr="00092ED7">
              <w:rPr>
                <w:rFonts w:cs="Times New Roman"/>
                <w:sz w:val="20"/>
                <w:lang w:val="sr-Cyrl-CS"/>
              </w:rPr>
              <w:t>Висока</w:t>
            </w:r>
          </w:p>
        </w:tc>
        <w:tc>
          <w:tcPr>
            <w:tcW w:w="3483" w:type="dxa"/>
            <w:tcBorders>
              <w:top w:val="single" w:sz="4" w:space="0" w:color="auto"/>
              <w:left w:val="single" w:sz="4" w:space="0" w:color="auto"/>
              <w:bottom w:val="single" w:sz="4" w:space="0" w:color="auto"/>
              <w:right w:val="single" w:sz="4" w:space="0" w:color="auto"/>
            </w:tcBorders>
          </w:tcPr>
          <w:p w14:paraId="6CA07F32" w14:textId="77777777" w:rsidR="00D210F0" w:rsidRPr="00092ED7" w:rsidRDefault="00D210F0" w:rsidP="006944C5">
            <w:pPr>
              <w:spacing w:before="0" w:after="0"/>
              <w:ind w:left="113" w:right="113"/>
              <w:rPr>
                <w:rFonts w:cs="Times New Roman"/>
                <w:sz w:val="20"/>
                <w:lang w:val="sr-Cyrl-CS"/>
              </w:rPr>
            </w:pPr>
            <w:r w:rsidRPr="00092ED7">
              <w:rPr>
                <w:rFonts w:cs="Times New Roman"/>
                <w:sz w:val="20"/>
                <w:lang w:val="sr-Cyrl-CS"/>
              </w:rPr>
              <w:t>Планира се споразум са Управом за ветерину у делу надоградње регистра животиња са праћењем тока реализације спровођења надоградње регистра и дефиниса</w:t>
            </w:r>
            <w:r w:rsidR="00D8670D" w:rsidRPr="00092ED7">
              <w:rPr>
                <w:rFonts w:cs="Times New Roman"/>
                <w:sz w:val="20"/>
                <w:lang w:val="sr-Cyrl-CS"/>
              </w:rPr>
              <w:t>ним</w:t>
            </w:r>
            <w:r w:rsidRPr="00092ED7">
              <w:rPr>
                <w:rFonts w:cs="Times New Roman"/>
                <w:sz w:val="20"/>
                <w:lang w:val="sr-Cyrl-CS"/>
              </w:rPr>
              <w:t xml:space="preserve"> међуроковима.</w:t>
            </w:r>
          </w:p>
        </w:tc>
      </w:tr>
      <w:tr w:rsidR="00D210F0" w:rsidRPr="00092ED7" w14:paraId="630A5E64" w14:textId="77777777" w:rsidTr="005860F2">
        <w:trPr>
          <w:jc w:val="center"/>
        </w:trPr>
        <w:tc>
          <w:tcPr>
            <w:tcW w:w="3491" w:type="dxa"/>
            <w:tcBorders>
              <w:top w:val="single" w:sz="4" w:space="0" w:color="auto"/>
              <w:left w:val="single" w:sz="4" w:space="0" w:color="auto"/>
              <w:bottom w:val="single" w:sz="4" w:space="0" w:color="auto"/>
              <w:right w:val="single" w:sz="4" w:space="0" w:color="auto"/>
            </w:tcBorders>
            <w:vAlign w:val="top"/>
          </w:tcPr>
          <w:p w14:paraId="0304DBF9" w14:textId="77777777" w:rsidR="00D210F0" w:rsidRPr="00092ED7" w:rsidRDefault="00D210F0" w:rsidP="00D030D6">
            <w:pPr>
              <w:spacing w:before="0" w:after="0"/>
              <w:ind w:left="113" w:right="113"/>
              <w:rPr>
                <w:rFonts w:cs="Times New Roman"/>
                <w:sz w:val="20"/>
                <w:lang w:val="sr-Cyrl-CS"/>
              </w:rPr>
            </w:pPr>
            <w:r w:rsidRPr="00092ED7">
              <w:rPr>
                <w:rFonts w:cs="Times New Roman"/>
                <w:sz w:val="20"/>
                <w:lang w:val="sr-Cyrl-CS"/>
              </w:rPr>
              <w:t>Непотпуно и/или неблаговремено преузимање података из Управе за трезор и касно или неуспешно спроведена набавка/конкурс за израду LPIS/РПГ софтвера, као и могуће жалбе на сам поступак</w:t>
            </w:r>
          </w:p>
        </w:tc>
        <w:tc>
          <w:tcPr>
            <w:tcW w:w="2098" w:type="dxa"/>
            <w:tcBorders>
              <w:top w:val="single" w:sz="4" w:space="0" w:color="auto"/>
              <w:left w:val="single" w:sz="4" w:space="0" w:color="auto"/>
              <w:bottom w:val="single" w:sz="4" w:space="0" w:color="auto"/>
              <w:right w:val="single" w:sz="4" w:space="0" w:color="auto"/>
            </w:tcBorders>
            <w:vAlign w:val="top"/>
          </w:tcPr>
          <w:p w14:paraId="6C779B3F" w14:textId="77777777" w:rsidR="00D210F0" w:rsidRPr="00092ED7" w:rsidRDefault="00D210F0" w:rsidP="00D030D6">
            <w:pPr>
              <w:spacing w:before="0" w:after="0"/>
              <w:ind w:left="113" w:right="113"/>
              <w:jc w:val="center"/>
              <w:rPr>
                <w:rFonts w:cs="Times New Roman"/>
                <w:sz w:val="20"/>
                <w:lang w:val="sr-Cyrl-CS"/>
              </w:rPr>
            </w:pPr>
            <w:r w:rsidRPr="00092ED7">
              <w:rPr>
                <w:rFonts w:cs="Times New Roman"/>
                <w:sz w:val="20"/>
                <w:lang w:val="sr-Cyrl-CS"/>
              </w:rPr>
              <w:t>Средња</w:t>
            </w:r>
          </w:p>
        </w:tc>
        <w:tc>
          <w:tcPr>
            <w:tcW w:w="3483" w:type="dxa"/>
            <w:tcBorders>
              <w:top w:val="single" w:sz="4" w:space="0" w:color="auto"/>
              <w:left w:val="single" w:sz="4" w:space="0" w:color="auto"/>
              <w:bottom w:val="single" w:sz="4" w:space="0" w:color="auto"/>
              <w:right w:val="single" w:sz="4" w:space="0" w:color="auto"/>
            </w:tcBorders>
            <w:vAlign w:val="top"/>
          </w:tcPr>
          <w:p w14:paraId="438BBE25" w14:textId="77777777" w:rsidR="00D210F0" w:rsidRPr="00092ED7" w:rsidRDefault="00D210F0" w:rsidP="005860F2">
            <w:pPr>
              <w:spacing w:before="0" w:after="0"/>
              <w:ind w:left="113" w:right="113"/>
              <w:rPr>
                <w:rFonts w:cs="Times New Roman"/>
                <w:sz w:val="20"/>
                <w:lang w:val="sr-Cyrl-CS"/>
              </w:rPr>
            </w:pPr>
            <w:r w:rsidRPr="00092ED7">
              <w:rPr>
                <w:rFonts w:cs="Times New Roman"/>
                <w:sz w:val="20"/>
                <w:lang w:val="sr-Cyrl-CS"/>
              </w:rPr>
              <w:t>Дефинисање тачно одређених рокова са експертима и њихово праћење за израду техничке спецификације за РПГ софтвер и за израду техничке спецификације за LPIS/РПГсофтвер.</w:t>
            </w:r>
          </w:p>
        </w:tc>
      </w:tr>
      <w:tr w:rsidR="00D210F0" w:rsidRPr="00092ED7" w14:paraId="2B06E7AF" w14:textId="77777777" w:rsidTr="00D030D6">
        <w:trPr>
          <w:jc w:val="center"/>
        </w:trPr>
        <w:tc>
          <w:tcPr>
            <w:tcW w:w="3491" w:type="dxa"/>
            <w:tcBorders>
              <w:top w:val="single" w:sz="4" w:space="0" w:color="auto"/>
              <w:left w:val="single" w:sz="4" w:space="0" w:color="auto"/>
              <w:bottom w:val="single" w:sz="4" w:space="0" w:color="auto"/>
              <w:right w:val="single" w:sz="4" w:space="0" w:color="auto"/>
            </w:tcBorders>
            <w:vAlign w:val="top"/>
            <w:hideMark/>
          </w:tcPr>
          <w:p w14:paraId="430532D4" w14:textId="77777777" w:rsidR="00D210F0" w:rsidRPr="00092ED7" w:rsidRDefault="00D210F0" w:rsidP="00D030D6">
            <w:pPr>
              <w:spacing w:before="0" w:after="0"/>
              <w:ind w:left="113" w:right="113"/>
              <w:rPr>
                <w:rFonts w:cs="Times New Roman"/>
                <w:sz w:val="20"/>
                <w:lang w:val="sr-Cyrl-CS"/>
              </w:rPr>
            </w:pPr>
            <w:r w:rsidRPr="00092ED7">
              <w:rPr>
                <w:rFonts w:cs="Times New Roman"/>
                <w:sz w:val="20"/>
                <w:lang w:val="sr-Cyrl-CS"/>
              </w:rPr>
              <w:t>Немогућност запошљавања недостајућег кадра/изостанак одобрења за запошљавање</w:t>
            </w:r>
          </w:p>
        </w:tc>
        <w:tc>
          <w:tcPr>
            <w:tcW w:w="2098" w:type="dxa"/>
            <w:tcBorders>
              <w:top w:val="single" w:sz="4" w:space="0" w:color="auto"/>
              <w:left w:val="single" w:sz="4" w:space="0" w:color="auto"/>
              <w:bottom w:val="single" w:sz="4" w:space="0" w:color="auto"/>
              <w:right w:val="single" w:sz="4" w:space="0" w:color="auto"/>
            </w:tcBorders>
            <w:vAlign w:val="top"/>
          </w:tcPr>
          <w:p w14:paraId="397BC795" w14:textId="77777777" w:rsidR="00D210F0" w:rsidRPr="00092ED7" w:rsidRDefault="00D210F0" w:rsidP="00D030D6">
            <w:pPr>
              <w:spacing w:before="0" w:after="0"/>
              <w:ind w:left="113" w:right="113"/>
              <w:jc w:val="center"/>
              <w:rPr>
                <w:rFonts w:cs="Times New Roman"/>
                <w:sz w:val="20"/>
                <w:lang w:val="sr-Cyrl-CS"/>
              </w:rPr>
            </w:pPr>
            <w:r w:rsidRPr="00092ED7">
              <w:rPr>
                <w:rFonts w:cs="Times New Roman"/>
                <w:sz w:val="20"/>
                <w:lang w:val="sr-Cyrl-CS"/>
              </w:rPr>
              <w:t>Средња</w:t>
            </w:r>
          </w:p>
        </w:tc>
        <w:tc>
          <w:tcPr>
            <w:tcW w:w="3483" w:type="dxa"/>
            <w:tcBorders>
              <w:top w:val="single" w:sz="4" w:space="0" w:color="auto"/>
              <w:left w:val="single" w:sz="4" w:space="0" w:color="auto"/>
              <w:bottom w:val="single" w:sz="4" w:space="0" w:color="auto"/>
              <w:right w:val="single" w:sz="4" w:space="0" w:color="auto"/>
            </w:tcBorders>
          </w:tcPr>
          <w:p w14:paraId="5CA46D6D" w14:textId="77777777" w:rsidR="00D210F0" w:rsidRPr="00092ED7" w:rsidRDefault="00D210F0" w:rsidP="006944C5">
            <w:pPr>
              <w:spacing w:before="0" w:after="0"/>
              <w:ind w:left="113" w:right="113"/>
              <w:rPr>
                <w:rFonts w:cs="Times New Roman"/>
                <w:sz w:val="20"/>
                <w:lang w:val="sr-Cyrl-CS"/>
              </w:rPr>
            </w:pPr>
            <w:r w:rsidRPr="00092ED7">
              <w:rPr>
                <w:rFonts w:cs="Times New Roman"/>
                <w:sz w:val="20"/>
                <w:lang w:val="sr-Cyrl-CS"/>
              </w:rPr>
              <w:t>Систематизовати и попунити радна места различитих образовних профила.</w:t>
            </w:r>
          </w:p>
        </w:tc>
      </w:tr>
    </w:tbl>
    <w:p w14:paraId="42F2EC6E" w14:textId="77777777" w:rsidR="00D210F0" w:rsidRPr="00092ED7" w:rsidRDefault="00D210F0" w:rsidP="00D210F0">
      <w:pPr>
        <w:spacing w:before="360"/>
        <w:rPr>
          <w:rFonts w:cs="Times New Roman"/>
          <w:szCs w:val="24"/>
          <w:lang w:val="sr-Cyrl-CS"/>
        </w:rPr>
      </w:pPr>
      <w:r w:rsidRPr="00092ED7">
        <w:rPr>
          <w:rFonts w:cs="Times New Roman"/>
          <w:b/>
          <w:bCs/>
          <w:szCs w:val="24"/>
          <w:u w:val="single"/>
          <w:lang w:val="sr-Cyrl-CS"/>
        </w:rPr>
        <w:t>СТРУКТУРНА РЕФОРМА 21</w:t>
      </w:r>
      <w:r w:rsidRPr="00092ED7">
        <w:rPr>
          <w:rFonts w:cs="Times New Roman"/>
          <w:b/>
          <w:bCs/>
          <w:szCs w:val="24"/>
          <w:lang w:val="sr-Cyrl-CS"/>
        </w:rPr>
        <w:t xml:space="preserve">: </w:t>
      </w:r>
      <w:r w:rsidRPr="00092ED7">
        <w:rPr>
          <w:rFonts w:cs="Times New Roman"/>
          <w:szCs w:val="24"/>
          <w:lang w:val="sr-Cyrl-CS"/>
        </w:rPr>
        <w:t>УНАПРЕЂЕЊЕ СТРАТЕШКОГ ОКВИРА ИНФРАСТРУКТУРЕ КВАЛИТЕТА</w:t>
      </w:r>
      <w:r w:rsidR="001D63D0" w:rsidRPr="00092ED7">
        <w:rPr>
          <w:rFonts w:cs="Times New Roman"/>
          <w:szCs w:val="24"/>
          <w:lang w:val="sr-Cyrl-CS"/>
        </w:rPr>
        <w:t xml:space="preserve"> И ИНТЕГРАЦИЈЕ У ЈЕДИНСТВЕНО ТРЖИШТЕ ЕУ</w:t>
      </w:r>
    </w:p>
    <w:p w14:paraId="7C651937" w14:textId="77777777" w:rsidR="00D210F0" w:rsidRPr="00092ED7" w:rsidRDefault="00D210F0" w:rsidP="00071952">
      <w:pPr>
        <w:widowControl w:val="0"/>
        <w:numPr>
          <w:ilvl w:val="0"/>
          <w:numId w:val="38"/>
        </w:numPr>
        <w:spacing w:before="120"/>
        <w:rPr>
          <w:rFonts w:cs="Times New Roman"/>
          <w:b/>
          <w:bCs/>
          <w:szCs w:val="24"/>
          <w:lang w:val="sr-Cyrl-CS"/>
        </w:rPr>
      </w:pPr>
      <w:r w:rsidRPr="00092ED7">
        <w:rPr>
          <w:rFonts w:cs="Times New Roman"/>
          <w:b/>
          <w:bCs/>
          <w:szCs w:val="24"/>
          <w:lang w:val="sr-Cyrl-CS"/>
        </w:rPr>
        <w:t>Опис структурне реформе</w:t>
      </w:r>
    </w:p>
    <w:p w14:paraId="4D854A57" w14:textId="11F48857" w:rsidR="00D210F0" w:rsidRPr="00092ED7" w:rsidRDefault="00D210F0" w:rsidP="00D210F0">
      <w:pPr>
        <w:spacing w:after="60"/>
        <w:rPr>
          <w:rFonts w:eastAsia="Times New Roman" w:cs="Times New Roman"/>
          <w:szCs w:val="24"/>
          <w:lang w:val="sr-Cyrl-CS"/>
        </w:rPr>
      </w:pPr>
      <w:r w:rsidRPr="00092ED7">
        <w:rPr>
          <w:rFonts w:eastAsia="Times New Roman" w:cs="Times New Roman"/>
          <w:szCs w:val="24"/>
          <w:lang w:val="sr-Cyrl-CS"/>
        </w:rPr>
        <w:t xml:space="preserve">Циљ структурне реформе је да допринесе јачању конкурентности, безбедности и квалитета производа унапређењем стратешког оквира у области инфраструктуре квалитета. Реформа обухвата две компоненте: </w:t>
      </w:r>
      <w:r w:rsidR="002E61FD" w:rsidRPr="00092ED7">
        <w:rPr>
          <w:rFonts w:eastAsia="Times New Roman" w:cs="Times New Roman"/>
          <w:szCs w:val="24"/>
          <w:lang w:val="sr-Cyrl-CS"/>
        </w:rPr>
        <w:t xml:space="preserve">прва </w:t>
      </w:r>
      <w:r w:rsidRPr="00092ED7">
        <w:rPr>
          <w:rFonts w:eastAsia="Times New Roman" w:cs="Times New Roman"/>
          <w:szCs w:val="24"/>
          <w:lang w:val="sr-Cyrl-CS"/>
        </w:rPr>
        <w:t xml:space="preserve">компонента подразумева израду нове </w:t>
      </w:r>
      <w:r w:rsidR="00CB0950" w:rsidRPr="00092ED7">
        <w:rPr>
          <w:rFonts w:eastAsia="Times New Roman" w:cs="Times New Roman"/>
          <w:i/>
          <w:szCs w:val="24"/>
          <w:lang w:val="sr-Cyrl-CS"/>
        </w:rPr>
        <w:t>с</w:t>
      </w:r>
      <w:r w:rsidRPr="00092ED7">
        <w:rPr>
          <w:rFonts w:eastAsia="Times New Roman" w:cs="Times New Roman"/>
          <w:i/>
          <w:szCs w:val="24"/>
          <w:lang w:val="sr-Cyrl-CS"/>
        </w:rPr>
        <w:t>тратегије инфраструктуре квалитета Републике Србије за период 2024-2030. године</w:t>
      </w:r>
      <w:r w:rsidRPr="00092ED7">
        <w:rPr>
          <w:rFonts w:eastAsia="Times New Roman" w:cs="Times New Roman"/>
          <w:szCs w:val="24"/>
          <w:lang w:val="sr-Cyrl-CS"/>
        </w:rPr>
        <w:t xml:space="preserve">, која представља неопходан кровни документ у даљем развоју конкурентности производа на домаћем и иностраном тржишту, као и израду </w:t>
      </w:r>
      <w:r w:rsidR="00CB0950" w:rsidRPr="00092ED7">
        <w:rPr>
          <w:rFonts w:eastAsia="Times New Roman" w:cs="Times New Roman"/>
          <w:i/>
          <w:szCs w:val="24"/>
          <w:lang w:val="sr-Cyrl-CS"/>
        </w:rPr>
        <w:t>а</w:t>
      </w:r>
      <w:r w:rsidRPr="00092ED7">
        <w:rPr>
          <w:rFonts w:eastAsia="Times New Roman" w:cs="Times New Roman"/>
          <w:i/>
          <w:szCs w:val="24"/>
          <w:lang w:val="sr-Cyrl-CS"/>
        </w:rPr>
        <w:t xml:space="preserve">кционог плана за спровођење </w:t>
      </w:r>
      <w:r w:rsidR="00CB0950" w:rsidRPr="00092ED7">
        <w:rPr>
          <w:rFonts w:eastAsia="Times New Roman" w:cs="Times New Roman"/>
          <w:i/>
          <w:szCs w:val="24"/>
          <w:lang w:val="sr-Cyrl-CS"/>
        </w:rPr>
        <w:t>те с</w:t>
      </w:r>
      <w:r w:rsidRPr="00092ED7">
        <w:rPr>
          <w:rFonts w:eastAsia="Times New Roman" w:cs="Times New Roman"/>
          <w:i/>
          <w:szCs w:val="24"/>
          <w:lang w:val="sr-Cyrl-CS"/>
        </w:rPr>
        <w:t>тратегије за 2024. и 2025. годину</w:t>
      </w:r>
      <w:r w:rsidRPr="00092ED7">
        <w:rPr>
          <w:rFonts w:eastAsia="Times New Roman" w:cs="Times New Roman"/>
          <w:szCs w:val="24"/>
          <w:lang w:val="sr-Cyrl-CS"/>
        </w:rPr>
        <w:t xml:space="preserve">. Друга компонента се односи на реализацију </w:t>
      </w:r>
      <w:r w:rsidR="00CB0950" w:rsidRPr="00092ED7">
        <w:rPr>
          <w:rFonts w:eastAsia="Times New Roman" w:cs="Times New Roman"/>
          <w:szCs w:val="24"/>
          <w:lang w:val="sr-Cyrl-CS"/>
        </w:rPr>
        <w:t>а</w:t>
      </w:r>
      <w:r w:rsidRPr="00092ED7">
        <w:rPr>
          <w:rFonts w:eastAsia="Times New Roman" w:cs="Times New Roman"/>
          <w:szCs w:val="24"/>
          <w:lang w:val="sr-Cyrl-CS"/>
        </w:rPr>
        <w:t>кционог плана и обухвата стварање услова за пуну интеграцију Републике Србије у јединствено тржиште ЕУ за три групе индустријских производа (електрични и електронски производи,</w:t>
      </w:r>
      <w:r w:rsidR="00A6728C" w:rsidRPr="00092ED7">
        <w:rPr>
          <w:rFonts w:eastAsia="Times New Roman" w:cs="Times New Roman"/>
          <w:szCs w:val="24"/>
          <w:lang w:val="sr-Cyrl-CS"/>
        </w:rPr>
        <w:t xml:space="preserve"> машине и лична заштитна опрема</w:t>
      </w:r>
      <w:r w:rsidRPr="00092ED7">
        <w:rPr>
          <w:rFonts w:eastAsia="Times New Roman" w:cs="Times New Roman"/>
          <w:szCs w:val="24"/>
          <w:lang w:val="sr-Cyrl-CS"/>
        </w:rPr>
        <w:t>), што подразумева пуну примену техничких прописа и стандарда усаглашених са ЕУ, развијену мрежу акредитованих тела за оцењивање усаглашености и ефикасан надзор над применом техничких прописа. Тиме би били остварени сви предуслови за потписивање Споразума о оцењивању усаглашености и прихватању индустријских производа између Републике Србије и ЕУ (</w:t>
      </w:r>
      <w:r w:rsidR="002E61FD" w:rsidRPr="00092ED7">
        <w:rPr>
          <w:rFonts w:eastAsia="Times New Roman" w:cs="Times New Roman"/>
          <w:i/>
          <w:szCs w:val="24"/>
          <w:lang w:val="sr-Cyrl-CS"/>
        </w:rPr>
        <w:t>Agreement on Conformity Assessment and Acceptance of Industrial Products</w:t>
      </w:r>
      <w:r w:rsidR="00E85CD3" w:rsidRPr="00092ED7">
        <w:rPr>
          <w:rFonts w:eastAsia="Times New Roman" w:cs="Times New Roman"/>
          <w:i/>
          <w:szCs w:val="24"/>
          <w:lang w:val="sr-Cyrl-CS"/>
        </w:rPr>
        <w:t>,</w:t>
      </w:r>
      <w:r w:rsidR="002E61FD" w:rsidRPr="00092ED7">
        <w:rPr>
          <w:rFonts w:eastAsia="Times New Roman" w:cs="Times New Roman"/>
          <w:szCs w:val="24"/>
          <w:lang w:val="sr-Cyrl-CS"/>
        </w:rPr>
        <w:t xml:space="preserve"> </w:t>
      </w:r>
      <w:r w:rsidR="00A15328" w:rsidRPr="00092ED7">
        <w:rPr>
          <w:rFonts w:eastAsia="Times New Roman" w:cs="Times New Roman"/>
          <w:szCs w:val="24"/>
          <w:lang w:val="sr-Cyrl-CS"/>
        </w:rPr>
        <w:t>у даљем тексту:</w:t>
      </w:r>
      <w:r w:rsidR="00A6728C" w:rsidRPr="00092ED7">
        <w:rPr>
          <w:rFonts w:eastAsia="Times New Roman" w:cs="Times New Roman"/>
          <w:szCs w:val="24"/>
          <w:lang w:val="sr-Cyrl-CS"/>
        </w:rPr>
        <w:t xml:space="preserve"> </w:t>
      </w:r>
      <w:r w:rsidR="002E61FD" w:rsidRPr="00092ED7">
        <w:rPr>
          <w:rFonts w:eastAsia="Times New Roman"/>
          <w:szCs w:val="24"/>
          <w:lang w:val="sr-Cyrl-CS"/>
        </w:rPr>
        <w:t>ACAA</w:t>
      </w:r>
      <w:r w:rsidR="002E61FD" w:rsidRPr="00092ED7">
        <w:rPr>
          <w:rFonts w:eastAsia="Times New Roman" w:cs="Times New Roman"/>
          <w:szCs w:val="24"/>
          <w:lang w:val="sr-Cyrl-CS"/>
        </w:rPr>
        <w:t xml:space="preserve"> с</w:t>
      </w:r>
      <w:r w:rsidRPr="00092ED7">
        <w:rPr>
          <w:rFonts w:eastAsia="Times New Roman" w:cs="Times New Roman"/>
          <w:szCs w:val="24"/>
          <w:lang w:val="sr-Cyrl-CS"/>
        </w:rPr>
        <w:t xml:space="preserve">поразум) за идентификоване групе производа. Заокружујући унапређени систем </w:t>
      </w:r>
      <w:r w:rsidR="00CB0950" w:rsidRPr="00092ED7">
        <w:rPr>
          <w:rFonts w:eastAsia="Times New Roman" w:cs="Times New Roman"/>
          <w:szCs w:val="24"/>
          <w:lang w:val="sr-Cyrl-CS"/>
        </w:rPr>
        <w:t>инфраструктуре квалитета</w:t>
      </w:r>
      <w:r w:rsidR="00CB0950" w:rsidRPr="00092ED7" w:rsidDel="00CB0950">
        <w:rPr>
          <w:rFonts w:eastAsia="Times New Roman" w:cs="Times New Roman"/>
          <w:szCs w:val="24"/>
          <w:lang w:val="sr-Cyrl-CS"/>
        </w:rPr>
        <w:t xml:space="preserve"> </w:t>
      </w:r>
      <w:r w:rsidRPr="00092ED7">
        <w:rPr>
          <w:rFonts w:eastAsia="Times New Roman" w:cs="Times New Roman"/>
          <w:szCs w:val="24"/>
          <w:lang w:val="sr-Cyrl-CS"/>
        </w:rPr>
        <w:t>, Република Србија ће бити значајно ближа стандардима ЕУ у овој области,</w:t>
      </w:r>
      <w:r w:rsidR="002E61FD" w:rsidRPr="00092ED7" w:rsidDel="00665192">
        <w:rPr>
          <w:rFonts w:eastAsia="Times New Roman" w:cs="Times New Roman"/>
          <w:szCs w:val="24"/>
          <w:lang w:val="sr-Cyrl-CS"/>
        </w:rPr>
        <w:t xml:space="preserve"> </w:t>
      </w:r>
      <w:r w:rsidRPr="00092ED7">
        <w:rPr>
          <w:rFonts w:eastAsia="Times New Roman" w:cs="Times New Roman"/>
          <w:szCs w:val="24"/>
          <w:lang w:val="sr-Cyrl-CS"/>
        </w:rPr>
        <w:t>што ће позитивно утицати на: домаће привреднике који ће производити, увозити и извозити производе без техничких препрека; потрошаче који ће имати приступ квалитетним и безбедним производима; органе државне управе који ће вршити надзор над применом техничких прописа на једноставнији и ефикаснији начин. Структурна реформа има упориште у Стратегији индустријске политике Републике Србије 2021-2030. године, као и</w:t>
      </w:r>
      <w:r w:rsidRPr="00092ED7">
        <w:rPr>
          <w:szCs w:val="24"/>
          <w:lang w:val="sr-Cyrl-CS"/>
        </w:rPr>
        <w:t xml:space="preserve"> </w:t>
      </w:r>
      <w:r w:rsidRPr="00092ED7">
        <w:rPr>
          <w:rFonts w:eastAsia="Times New Roman" w:cs="Times New Roman"/>
          <w:szCs w:val="24"/>
          <w:lang w:val="sr-Cyrl-CS"/>
        </w:rPr>
        <w:t>Националном програму за усвајање правних тековина ЕУ (НПАА)</w:t>
      </w:r>
      <w:r w:rsidR="00B825FF" w:rsidRPr="00092ED7">
        <w:rPr>
          <w:rFonts w:eastAsia="Times New Roman" w:cs="Times New Roman"/>
          <w:szCs w:val="24"/>
          <w:lang w:val="sr-Cyrl-CS"/>
        </w:rPr>
        <w:t xml:space="preserve"> и преговарачком поглављу 1. Слободно кретање робе</w:t>
      </w:r>
      <w:r w:rsidRPr="00092ED7">
        <w:rPr>
          <w:rFonts w:eastAsia="Times New Roman" w:cs="Times New Roman"/>
          <w:szCs w:val="24"/>
          <w:lang w:val="sr-Cyrl-CS"/>
        </w:rPr>
        <w:t>.</w:t>
      </w:r>
    </w:p>
    <w:p w14:paraId="0D81D316" w14:textId="77777777" w:rsidR="00D210F0" w:rsidRPr="00092ED7" w:rsidRDefault="00D210F0" w:rsidP="00071952">
      <w:pPr>
        <w:widowControl w:val="0"/>
        <w:numPr>
          <w:ilvl w:val="0"/>
          <w:numId w:val="38"/>
        </w:numPr>
        <w:spacing w:before="120"/>
        <w:rPr>
          <w:rFonts w:cs="Times New Roman"/>
          <w:b/>
          <w:smallCaps/>
          <w:lang w:val="sr-Cyrl-CS"/>
        </w:rPr>
      </w:pPr>
      <w:r w:rsidRPr="00092ED7">
        <w:rPr>
          <w:rFonts w:cs="Times New Roman"/>
          <w:b/>
          <w:bCs/>
          <w:szCs w:val="24"/>
          <w:lang w:val="sr-Cyrl-CS"/>
        </w:rPr>
        <w:t>Планиране активности по годинама</w:t>
      </w:r>
    </w:p>
    <w:tbl>
      <w:tblPr>
        <w:tblW w:w="9127" w:type="dxa"/>
        <w:tblLayout w:type="fixed"/>
        <w:tblCellMar>
          <w:left w:w="0" w:type="dxa"/>
          <w:right w:w="0" w:type="dxa"/>
        </w:tblCellMar>
        <w:tblLook w:val="04A0" w:firstRow="1" w:lastRow="0" w:firstColumn="1" w:lastColumn="0" w:noHBand="0" w:noVBand="1"/>
      </w:tblPr>
      <w:tblGrid>
        <w:gridCol w:w="409"/>
        <w:gridCol w:w="4401"/>
        <w:gridCol w:w="359"/>
        <w:gridCol w:w="360"/>
        <w:gridCol w:w="360"/>
        <w:gridCol w:w="360"/>
        <w:gridCol w:w="359"/>
        <w:gridCol w:w="360"/>
        <w:gridCol w:w="360"/>
        <w:gridCol w:w="360"/>
        <w:gridCol w:w="359"/>
        <w:gridCol w:w="360"/>
        <w:gridCol w:w="360"/>
        <w:gridCol w:w="360"/>
      </w:tblGrid>
      <w:tr w:rsidR="00D210F0" w:rsidRPr="00092ED7" w14:paraId="5AE68C7D" w14:textId="77777777" w:rsidTr="00127FE8">
        <w:trPr>
          <w:trHeight w:val="283"/>
        </w:trPr>
        <w:tc>
          <w:tcPr>
            <w:tcW w:w="409" w:type="dxa"/>
            <w:vMerge w:val="restart"/>
            <w:tcBorders>
              <w:top w:val="single" w:sz="4" w:space="0" w:color="auto"/>
              <w:left w:val="single" w:sz="4" w:space="0" w:color="auto"/>
              <w:bottom w:val="single" w:sz="4" w:space="0" w:color="auto"/>
              <w:right w:val="single" w:sz="4" w:space="0" w:color="auto"/>
            </w:tcBorders>
            <w:shd w:val="clear" w:color="000000" w:fill="BDD6EE"/>
            <w:tcMar>
              <w:top w:w="15" w:type="dxa"/>
              <w:left w:w="15" w:type="dxa"/>
              <w:bottom w:w="0" w:type="dxa"/>
              <w:right w:w="15" w:type="dxa"/>
            </w:tcMar>
            <w:vAlign w:val="center"/>
            <w:hideMark/>
          </w:tcPr>
          <w:p w14:paraId="488BA08C" w14:textId="77777777" w:rsidR="00D210F0" w:rsidRPr="00092ED7" w:rsidRDefault="00D210F0" w:rsidP="00D210F0">
            <w:pPr>
              <w:spacing w:after="0"/>
              <w:rPr>
                <w:rFonts w:cs="Times New Roman"/>
                <w:sz w:val="20"/>
                <w:szCs w:val="20"/>
                <w:lang w:val="sr-Cyrl-CS"/>
              </w:rPr>
            </w:pPr>
            <w:r w:rsidRPr="00092ED7">
              <w:rPr>
                <w:rFonts w:cs="Times New Roman"/>
                <w:b/>
                <w:bCs/>
                <w:color w:val="000000"/>
                <w:sz w:val="20"/>
                <w:szCs w:val="20"/>
                <w:lang w:val="sr-Cyrl-CS"/>
              </w:rPr>
              <w:t>РБ</w:t>
            </w:r>
          </w:p>
        </w:tc>
        <w:tc>
          <w:tcPr>
            <w:tcW w:w="4401" w:type="dxa"/>
            <w:vMerge w:val="restart"/>
            <w:tcBorders>
              <w:top w:val="single" w:sz="4" w:space="0" w:color="auto"/>
              <w:left w:val="single" w:sz="4" w:space="0" w:color="auto"/>
              <w:bottom w:val="single" w:sz="4"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2F9B057C" w14:textId="77777777" w:rsidR="00D210F0" w:rsidRPr="00092ED7" w:rsidRDefault="00D210F0" w:rsidP="00D210F0">
            <w:pPr>
              <w:spacing w:after="0"/>
              <w:rPr>
                <w:rFonts w:cs="Times New Roman"/>
                <w:b/>
                <w:bCs/>
                <w:color w:val="000000"/>
                <w:sz w:val="20"/>
                <w:szCs w:val="20"/>
                <w:lang w:val="sr-Cyrl-CS"/>
              </w:rPr>
            </w:pPr>
            <w:r w:rsidRPr="00092ED7">
              <w:rPr>
                <w:rFonts w:cs="Times New Roman"/>
                <w:b/>
                <w:bCs/>
                <w:color w:val="000000"/>
                <w:sz w:val="20"/>
                <w:szCs w:val="20"/>
                <w:lang w:val="sr-Cyrl-CS"/>
              </w:rPr>
              <w:t>Планиране активности</w:t>
            </w:r>
          </w:p>
        </w:tc>
        <w:tc>
          <w:tcPr>
            <w:tcW w:w="1439" w:type="dxa"/>
            <w:gridSpan w:val="4"/>
            <w:tcBorders>
              <w:top w:val="single" w:sz="8" w:space="0" w:color="auto"/>
              <w:left w:val="single" w:sz="4" w:space="0" w:color="auto"/>
              <w:bottom w:val="single" w:sz="4" w:space="0" w:color="auto"/>
              <w:right w:val="single" w:sz="8" w:space="0" w:color="000000"/>
            </w:tcBorders>
            <w:shd w:val="clear" w:color="auto" w:fill="BDD6EE" w:themeFill="accent1" w:themeFillTint="66"/>
            <w:tcMar>
              <w:top w:w="15" w:type="dxa"/>
              <w:left w:w="15" w:type="dxa"/>
              <w:bottom w:w="0" w:type="dxa"/>
              <w:right w:w="15" w:type="dxa"/>
            </w:tcMar>
            <w:vAlign w:val="center"/>
            <w:hideMark/>
          </w:tcPr>
          <w:p w14:paraId="692E2BBA" w14:textId="77777777" w:rsidR="00D210F0" w:rsidRPr="00092ED7" w:rsidRDefault="00D210F0" w:rsidP="00D210F0">
            <w:pPr>
              <w:spacing w:after="0"/>
              <w:jc w:val="center"/>
              <w:rPr>
                <w:rFonts w:cs="Times New Roman"/>
                <w:b/>
                <w:bCs/>
                <w:color w:val="000000"/>
                <w:sz w:val="20"/>
                <w:szCs w:val="20"/>
                <w:lang w:val="sr-Cyrl-CS"/>
              </w:rPr>
            </w:pPr>
            <w:r w:rsidRPr="00092ED7">
              <w:rPr>
                <w:rFonts w:cs="Times New Roman"/>
                <w:b/>
                <w:bCs/>
                <w:color w:val="000000"/>
                <w:sz w:val="20"/>
                <w:szCs w:val="20"/>
                <w:lang w:val="sr-Cyrl-CS"/>
              </w:rPr>
              <w:t>2023</w:t>
            </w:r>
          </w:p>
        </w:tc>
        <w:tc>
          <w:tcPr>
            <w:tcW w:w="1439" w:type="dxa"/>
            <w:gridSpan w:val="4"/>
            <w:tcBorders>
              <w:top w:val="single" w:sz="8" w:space="0" w:color="auto"/>
              <w:left w:val="single" w:sz="8" w:space="0" w:color="auto"/>
              <w:bottom w:val="single" w:sz="4" w:space="0" w:color="auto"/>
              <w:right w:val="single" w:sz="8" w:space="0" w:color="000000"/>
            </w:tcBorders>
            <w:shd w:val="clear" w:color="auto" w:fill="BDD6EE" w:themeFill="accent1" w:themeFillTint="66"/>
            <w:tcMar>
              <w:top w:w="15" w:type="dxa"/>
              <w:left w:w="15" w:type="dxa"/>
              <w:bottom w:w="0" w:type="dxa"/>
              <w:right w:w="15" w:type="dxa"/>
            </w:tcMar>
            <w:vAlign w:val="center"/>
            <w:hideMark/>
          </w:tcPr>
          <w:p w14:paraId="2B507BED" w14:textId="77777777" w:rsidR="00D210F0" w:rsidRPr="00092ED7" w:rsidRDefault="00D210F0" w:rsidP="00D210F0">
            <w:pPr>
              <w:spacing w:after="0"/>
              <w:jc w:val="center"/>
              <w:rPr>
                <w:rFonts w:cs="Times New Roman"/>
                <w:b/>
                <w:bCs/>
                <w:color w:val="000000"/>
                <w:sz w:val="20"/>
                <w:szCs w:val="20"/>
                <w:lang w:val="sr-Cyrl-CS"/>
              </w:rPr>
            </w:pPr>
            <w:r w:rsidRPr="00092ED7">
              <w:rPr>
                <w:rFonts w:cs="Times New Roman"/>
                <w:b/>
                <w:bCs/>
                <w:color w:val="000000"/>
                <w:sz w:val="20"/>
                <w:szCs w:val="20"/>
                <w:lang w:val="sr-Cyrl-CS"/>
              </w:rPr>
              <w:t>2024</w:t>
            </w:r>
          </w:p>
        </w:tc>
        <w:tc>
          <w:tcPr>
            <w:tcW w:w="1439" w:type="dxa"/>
            <w:gridSpan w:val="4"/>
            <w:tcBorders>
              <w:top w:val="single" w:sz="8" w:space="0" w:color="auto"/>
              <w:left w:val="nil"/>
              <w:bottom w:val="single" w:sz="4" w:space="0" w:color="auto"/>
              <w:right w:val="single" w:sz="8" w:space="0" w:color="000000"/>
            </w:tcBorders>
            <w:shd w:val="clear" w:color="auto" w:fill="BDD6EE" w:themeFill="accent1" w:themeFillTint="66"/>
            <w:tcMar>
              <w:top w:w="15" w:type="dxa"/>
              <w:left w:w="15" w:type="dxa"/>
              <w:bottom w:w="0" w:type="dxa"/>
              <w:right w:w="15" w:type="dxa"/>
            </w:tcMar>
            <w:vAlign w:val="center"/>
            <w:hideMark/>
          </w:tcPr>
          <w:p w14:paraId="49AF0884" w14:textId="77777777" w:rsidR="00D210F0" w:rsidRPr="00092ED7" w:rsidRDefault="00D210F0" w:rsidP="00D210F0">
            <w:pPr>
              <w:spacing w:after="0"/>
              <w:jc w:val="center"/>
              <w:rPr>
                <w:rFonts w:cs="Times New Roman"/>
                <w:b/>
                <w:bCs/>
                <w:color w:val="000000"/>
                <w:sz w:val="20"/>
                <w:szCs w:val="20"/>
                <w:lang w:val="sr-Cyrl-CS"/>
              </w:rPr>
            </w:pPr>
            <w:r w:rsidRPr="00092ED7">
              <w:rPr>
                <w:rFonts w:cs="Times New Roman"/>
                <w:b/>
                <w:bCs/>
                <w:color w:val="000000"/>
                <w:sz w:val="20"/>
                <w:szCs w:val="20"/>
                <w:lang w:val="sr-Cyrl-CS"/>
              </w:rPr>
              <w:t>2025</w:t>
            </w:r>
          </w:p>
        </w:tc>
      </w:tr>
      <w:tr w:rsidR="00D210F0" w:rsidRPr="00092ED7" w14:paraId="0B7FDFCD" w14:textId="77777777" w:rsidTr="00127FE8">
        <w:trPr>
          <w:trHeight w:val="283"/>
        </w:trPr>
        <w:tc>
          <w:tcPr>
            <w:tcW w:w="409" w:type="dxa"/>
            <w:vMerge/>
            <w:tcBorders>
              <w:top w:val="single" w:sz="4" w:space="0" w:color="auto"/>
              <w:left w:val="single" w:sz="4" w:space="0" w:color="auto"/>
              <w:bottom w:val="single" w:sz="4" w:space="0" w:color="auto"/>
              <w:right w:val="single" w:sz="4" w:space="0" w:color="auto"/>
            </w:tcBorders>
            <w:shd w:val="clear" w:color="000000" w:fill="BDD6EE"/>
            <w:vAlign w:val="center"/>
            <w:hideMark/>
          </w:tcPr>
          <w:p w14:paraId="59A87DC3" w14:textId="77777777" w:rsidR="00D210F0" w:rsidRPr="00092ED7" w:rsidRDefault="00D210F0" w:rsidP="00D210F0">
            <w:pPr>
              <w:spacing w:after="0"/>
              <w:jc w:val="center"/>
              <w:rPr>
                <w:rFonts w:cs="Times New Roman"/>
                <w:b/>
                <w:bCs/>
                <w:color w:val="000000"/>
                <w:sz w:val="20"/>
                <w:szCs w:val="20"/>
                <w:lang w:val="sr-Cyrl-CS"/>
              </w:rPr>
            </w:pPr>
          </w:p>
        </w:tc>
        <w:tc>
          <w:tcPr>
            <w:tcW w:w="4401" w:type="dxa"/>
            <w:vMerge/>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2FED8053" w14:textId="77777777" w:rsidR="00D210F0" w:rsidRPr="00092ED7" w:rsidRDefault="00D210F0" w:rsidP="00D210F0">
            <w:pPr>
              <w:spacing w:after="0"/>
              <w:rPr>
                <w:rFonts w:cs="Times New Roman"/>
                <w:b/>
                <w:bCs/>
                <w:color w:val="000000"/>
                <w:sz w:val="20"/>
                <w:szCs w:val="20"/>
                <w:lang w:val="sr-Cyrl-CS"/>
              </w:rPr>
            </w:pPr>
          </w:p>
        </w:tc>
        <w:tc>
          <w:tcPr>
            <w:tcW w:w="359" w:type="dxa"/>
            <w:tcBorders>
              <w:top w:val="single" w:sz="4" w:space="0" w:color="auto"/>
              <w:left w:val="single" w:sz="4" w:space="0" w:color="auto"/>
              <w:bottom w:val="single" w:sz="4"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4560CBDD"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Q1</w:t>
            </w:r>
          </w:p>
        </w:tc>
        <w:tc>
          <w:tcPr>
            <w:tcW w:w="360" w:type="dxa"/>
            <w:tcBorders>
              <w:top w:val="single" w:sz="4" w:space="0" w:color="auto"/>
              <w:left w:val="single" w:sz="4" w:space="0" w:color="auto"/>
              <w:bottom w:val="single" w:sz="4"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2D79C3B7"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Q2</w:t>
            </w:r>
          </w:p>
        </w:tc>
        <w:tc>
          <w:tcPr>
            <w:tcW w:w="360" w:type="dxa"/>
            <w:tcBorders>
              <w:top w:val="single" w:sz="4" w:space="0" w:color="auto"/>
              <w:left w:val="single" w:sz="4" w:space="0" w:color="auto"/>
              <w:bottom w:val="single" w:sz="4"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33560292"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Q3</w:t>
            </w:r>
          </w:p>
        </w:tc>
        <w:tc>
          <w:tcPr>
            <w:tcW w:w="360" w:type="dxa"/>
            <w:tcBorders>
              <w:top w:val="single" w:sz="4" w:space="0" w:color="auto"/>
              <w:left w:val="single" w:sz="4" w:space="0" w:color="auto"/>
              <w:bottom w:val="single" w:sz="4"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05AD72A2"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Q4</w:t>
            </w:r>
          </w:p>
        </w:tc>
        <w:tc>
          <w:tcPr>
            <w:tcW w:w="359" w:type="dxa"/>
            <w:tcBorders>
              <w:top w:val="single" w:sz="4" w:space="0" w:color="auto"/>
              <w:left w:val="single" w:sz="4" w:space="0" w:color="auto"/>
              <w:bottom w:val="single" w:sz="4"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6A13714A"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Q1</w:t>
            </w:r>
          </w:p>
        </w:tc>
        <w:tc>
          <w:tcPr>
            <w:tcW w:w="360" w:type="dxa"/>
            <w:tcBorders>
              <w:top w:val="single" w:sz="4" w:space="0" w:color="auto"/>
              <w:left w:val="single" w:sz="4" w:space="0" w:color="auto"/>
              <w:bottom w:val="single" w:sz="4"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06EE05D1"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Q2</w:t>
            </w:r>
          </w:p>
        </w:tc>
        <w:tc>
          <w:tcPr>
            <w:tcW w:w="360" w:type="dxa"/>
            <w:tcBorders>
              <w:top w:val="single" w:sz="4" w:space="0" w:color="auto"/>
              <w:left w:val="single" w:sz="4" w:space="0" w:color="auto"/>
              <w:bottom w:val="single" w:sz="4"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7461E5E9"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Q3</w:t>
            </w:r>
          </w:p>
        </w:tc>
        <w:tc>
          <w:tcPr>
            <w:tcW w:w="360" w:type="dxa"/>
            <w:tcBorders>
              <w:top w:val="single" w:sz="4" w:space="0" w:color="auto"/>
              <w:left w:val="single" w:sz="4" w:space="0" w:color="auto"/>
              <w:bottom w:val="single" w:sz="4"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6ABE0451"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Q4</w:t>
            </w:r>
          </w:p>
        </w:tc>
        <w:tc>
          <w:tcPr>
            <w:tcW w:w="359" w:type="dxa"/>
            <w:tcBorders>
              <w:top w:val="single" w:sz="4" w:space="0" w:color="auto"/>
              <w:left w:val="single" w:sz="4" w:space="0" w:color="auto"/>
              <w:bottom w:val="single" w:sz="4"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16B88E31" w14:textId="77777777" w:rsidR="00D210F0" w:rsidRPr="00092ED7" w:rsidRDefault="00D210F0" w:rsidP="00D210F0">
            <w:pPr>
              <w:spacing w:after="0"/>
              <w:jc w:val="center"/>
              <w:rPr>
                <w:rFonts w:cs="Times New Roman"/>
                <w:i/>
                <w:iCs/>
                <w:color w:val="000000"/>
                <w:sz w:val="20"/>
                <w:szCs w:val="20"/>
                <w:lang w:val="sr-Cyrl-CS"/>
              </w:rPr>
            </w:pPr>
            <w:r w:rsidRPr="00092ED7">
              <w:rPr>
                <w:rFonts w:cs="Times New Roman"/>
                <w:i/>
                <w:iCs/>
                <w:color w:val="000000"/>
                <w:sz w:val="20"/>
                <w:szCs w:val="20"/>
                <w:lang w:val="sr-Cyrl-CS"/>
              </w:rPr>
              <w:t>Q1</w:t>
            </w:r>
          </w:p>
        </w:tc>
        <w:tc>
          <w:tcPr>
            <w:tcW w:w="360" w:type="dxa"/>
            <w:tcBorders>
              <w:top w:val="single" w:sz="4" w:space="0" w:color="auto"/>
              <w:left w:val="single" w:sz="4" w:space="0" w:color="auto"/>
              <w:bottom w:val="single" w:sz="4"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41339D75" w14:textId="77777777" w:rsidR="00D210F0" w:rsidRPr="00092ED7" w:rsidRDefault="00D210F0" w:rsidP="00D210F0">
            <w:pPr>
              <w:spacing w:after="0"/>
              <w:jc w:val="center"/>
              <w:rPr>
                <w:rFonts w:cs="Times New Roman"/>
                <w:i/>
                <w:iCs/>
                <w:color w:val="000000"/>
                <w:sz w:val="18"/>
                <w:szCs w:val="18"/>
                <w:lang w:val="sr-Cyrl-CS"/>
              </w:rPr>
            </w:pPr>
            <w:r w:rsidRPr="00092ED7">
              <w:rPr>
                <w:rFonts w:cs="Times New Roman"/>
                <w:i/>
                <w:iCs/>
                <w:color w:val="000000"/>
                <w:sz w:val="18"/>
                <w:szCs w:val="18"/>
                <w:lang w:val="sr-Cyrl-CS"/>
              </w:rPr>
              <w:t>Q2</w:t>
            </w:r>
          </w:p>
        </w:tc>
        <w:tc>
          <w:tcPr>
            <w:tcW w:w="360" w:type="dxa"/>
            <w:tcBorders>
              <w:top w:val="single" w:sz="4" w:space="0" w:color="auto"/>
              <w:left w:val="single" w:sz="4" w:space="0" w:color="auto"/>
              <w:bottom w:val="single" w:sz="4"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742C590F" w14:textId="77777777" w:rsidR="00D210F0" w:rsidRPr="00092ED7" w:rsidRDefault="00D210F0" w:rsidP="00D210F0">
            <w:pPr>
              <w:spacing w:after="0"/>
              <w:jc w:val="center"/>
              <w:rPr>
                <w:rFonts w:cs="Times New Roman"/>
                <w:i/>
                <w:iCs/>
                <w:color w:val="000000"/>
                <w:sz w:val="18"/>
                <w:szCs w:val="18"/>
                <w:lang w:val="sr-Cyrl-CS"/>
              </w:rPr>
            </w:pPr>
            <w:r w:rsidRPr="00092ED7">
              <w:rPr>
                <w:rFonts w:cs="Times New Roman"/>
                <w:i/>
                <w:iCs/>
                <w:color w:val="000000"/>
                <w:sz w:val="18"/>
                <w:szCs w:val="18"/>
                <w:lang w:val="sr-Cyrl-CS"/>
              </w:rPr>
              <w:t>Q3</w:t>
            </w:r>
          </w:p>
        </w:tc>
        <w:tc>
          <w:tcPr>
            <w:tcW w:w="360" w:type="dxa"/>
            <w:tcBorders>
              <w:top w:val="single" w:sz="4" w:space="0" w:color="auto"/>
              <w:left w:val="single" w:sz="4" w:space="0" w:color="auto"/>
              <w:bottom w:val="single" w:sz="4"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64618032" w14:textId="77777777" w:rsidR="00D210F0" w:rsidRPr="00092ED7" w:rsidRDefault="00D210F0" w:rsidP="00D210F0">
            <w:pPr>
              <w:spacing w:after="0"/>
              <w:jc w:val="center"/>
              <w:rPr>
                <w:rFonts w:cs="Times New Roman"/>
                <w:i/>
                <w:iCs/>
                <w:color w:val="000000"/>
                <w:sz w:val="18"/>
                <w:szCs w:val="18"/>
                <w:lang w:val="sr-Cyrl-CS"/>
              </w:rPr>
            </w:pPr>
            <w:r w:rsidRPr="00092ED7">
              <w:rPr>
                <w:rFonts w:cs="Times New Roman"/>
                <w:i/>
                <w:iCs/>
                <w:color w:val="000000"/>
                <w:sz w:val="18"/>
                <w:szCs w:val="18"/>
                <w:lang w:val="sr-Cyrl-CS"/>
              </w:rPr>
              <w:t>Q4</w:t>
            </w:r>
          </w:p>
        </w:tc>
      </w:tr>
      <w:tr w:rsidR="00D210F0" w:rsidRPr="00092ED7" w14:paraId="4075E252" w14:textId="77777777" w:rsidTr="00127FE8">
        <w:trPr>
          <w:trHeight w:val="340"/>
        </w:trPr>
        <w:tc>
          <w:tcPr>
            <w:tcW w:w="409" w:type="dxa"/>
            <w:tcBorders>
              <w:top w:val="single" w:sz="4" w:space="0" w:color="auto"/>
              <w:left w:val="single" w:sz="8" w:space="0" w:color="auto"/>
              <w:bottom w:val="single" w:sz="4" w:space="0" w:color="auto"/>
              <w:right w:val="nil"/>
            </w:tcBorders>
            <w:shd w:val="clear" w:color="auto" w:fill="auto"/>
            <w:tcMar>
              <w:top w:w="15" w:type="dxa"/>
              <w:left w:w="15" w:type="dxa"/>
              <w:bottom w:w="0" w:type="dxa"/>
              <w:right w:w="15" w:type="dxa"/>
            </w:tcMar>
          </w:tcPr>
          <w:p w14:paraId="43B96296" w14:textId="77777777" w:rsidR="00D210F0" w:rsidRPr="00092ED7" w:rsidRDefault="00D210F0" w:rsidP="00D210F0">
            <w:pPr>
              <w:spacing w:after="0"/>
              <w:jc w:val="center"/>
              <w:rPr>
                <w:rFonts w:cs="Times New Roman"/>
                <w:sz w:val="20"/>
                <w:szCs w:val="20"/>
                <w:lang w:val="sr-Cyrl-CS"/>
              </w:rPr>
            </w:pPr>
            <w:r w:rsidRPr="00092ED7">
              <w:rPr>
                <w:rFonts w:cs="Times New Roman"/>
                <w:sz w:val="20"/>
                <w:szCs w:val="20"/>
                <w:lang w:val="sr-Cyrl-CS"/>
              </w:rPr>
              <w:lastRenderedPageBreak/>
              <w:t>1.</w:t>
            </w:r>
          </w:p>
        </w:tc>
        <w:tc>
          <w:tcPr>
            <w:tcW w:w="4401" w:type="dxa"/>
            <w:tcBorders>
              <w:top w:val="single" w:sz="4" w:space="0" w:color="auto"/>
              <w:left w:val="single" w:sz="8" w:space="0" w:color="auto"/>
              <w:bottom w:val="single" w:sz="4" w:space="0" w:color="auto"/>
              <w:right w:val="nil"/>
            </w:tcBorders>
            <w:shd w:val="clear" w:color="auto" w:fill="auto"/>
            <w:tcMar>
              <w:top w:w="15" w:type="dxa"/>
              <w:left w:w="15" w:type="dxa"/>
              <w:bottom w:w="0" w:type="dxa"/>
              <w:right w:w="15" w:type="dxa"/>
            </w:tcMar>
          </w:tcPr>
          <w:p w14:paraId="3A07E74A" w14:textId="5EB62A1C" w:rsidR="00D210F0" w:rsidRPr="00092ED7" w:rsidRDefault="00D210F0" w:rsidP="006944C5">
            <w:pPr>
              <w:spacing w:after="0"/>
              <w:ind w:right="209"/>
              <w:rPr>
                <w:rFonts w:cs="Times New Roman"/>
                <w:sz w:val="20"/>
                <w:szCs w:val="20"/>
                <w:lang w:val="sr-Cyrl-CS"/>
              </w:rPr>
            </w:pPr>
            <w:r w:rsidRPr="00092ED7">
              <w:rPr>
                <w:rFonts w:cs="Times New Roman"/>
                <w:sz w:val="20"/>
                <w:szCs w:val="20"/>
                <w:lang w:val="sr-Cyrl-CS"/>
              </w:rPr>
              <w:t xml:space="preserve">Прелиминарна анализа и израда нове </w:t>
            </w:r>
            <w:r w:rsidR="00CB0950" w:rsidRPr="00092ED7">
              <w:rPr>
                <w:rFonts w:cs="Times New Roman"/>
                <w:sz w:val="20"/>
                <w:szCs w:val="20"/>
                <w:lang w:val="sr-Cyrl-CS"/>
              </w:rPr>
              <w:t>с</w:t>
            </w:r>
            <w:r w:rsidRPr="00092ED7">
              <w:rPr>
                <w:rFonts w:cs="Times New Roman"/>
                <w:sz w:val="20"/>
                <w:szCs w:val="20"/>
                <w:lang w:val="sr-Cyrl-CS"/>
              </w:rPr>
              <w:t xml:space="preserve">тратегије </w:t>
            </w:r>
            <w:r w:rsidR="00CB0950" w:rsidRPr="00092ED7">
              <w:rPr>
                <w:rFonts w:cs="Times New Roman"/>
                <w:sz w:val="20"/>
                <w:szCs w:val="20"/>
                <w:lang w:val="sr-Cyrl-CS"/>
              </w:rPr>
              <w:t>инфраструктуре квалитета</w:t>
            </w:r>
            <w:r w:rsidRPr="00092ED7">
              <w:rPr>
                <w:rFonts w:cs="Times New Roman"/>
                <w:sz w:val="20"/>
                <w:szCs w:val="20"/>
                <w:lang w:val="sr-Cyrl-CS"/>
              </w:rPr>
              <w:t xml:space="preserve"> 2024-2030</w:t>
            </w:r>
          </w:p>
        </w:tc>
        <w:tc>
          <w:tcPr>
            <w:tcW w:w="359" w:type="dxa"/>
            <w:tcBorders>
              <w:top w:val="single" w:sz="4" w:space="0" w:color="auto"/>
              <w:left w:val="single" w:sz="8"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C40D0B5" w14:textId="77777777" w:rsidR="00D210F0" w:rsidRPr="00092ED7" w:rsidRDefault="00D210F0" w:rsidP="00D210F0">
            <w:pPr>
              <w:spacing w:after="0"/>
              <w:rPr>
                <w:rFonts w:cs="Times New Roman"/>
                <w:color w:val="000000"/>
                <w:sz w:val="20"/>
                <w:szCs w:val="20"/>
                <w:lang w:val="sr-Cyrl-CS"/>
              </w:rPr>
            </w:pPr>
          </w:p>
        </w:tc>
        <w:tc>
          <w:tcPr>
            <w:tcW w:w="360"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3D938CE4" w14:textId="77777777" w:rsidR="00D210F0" w:rsidRPr="00092ED7" w:rsidRDefault="00D210F0" w:rsidP="00D210F0">
            <w:pPr>
              <w:spacing w:after="0"/>
              <w:rPr>
                <w:rFonts w:cs="Times New Roman"/>
                <w:color w:val="000000"/>
                <w:sz w:val="20"/>
                <w:szCs w:val="20"/>
                <w:lang w:val="sr-Cyrl-CS"/>
              </w:rPr>
            </w:pPr>
          </w:p>
        </w:tc>
        <w:tc>
          <w:tcPr>
            <w:tcW w:w="360"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090D833" w14:textId="77777777" w:rsidR="00D210F0" w:rsidRPr="00092ED7" w:rsidRDefault="00D210F0" w:rsidP="00D210F0">
            <w:pPr>
              <w:spacing w:after="0"/>
              <w:rPr>
                <w:rFonts w:cs="Times New Roman"/>
                <w:color w:val="000000"/>
                <w:sz w:val="20"/>
                <w:szCs w:val="20"/>
                <w:lang w:val="sr-Cyrl-CS"/>
              </w:rPr>
            </w:pPr>
          </w:p>
        </w:tc>
        <w:tc>
          <w:tcPr>
            <w:tcW w:w="360" w:type="dxa"/>
            <w:tcBorders>
              <w:top w:val="single" w:sz="4" w:space="0" w:color="auto"/>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2FC30068" w14:textId="77777777" w:rsidR="00D210F0" w:rsidRPr="00092ED7" w:rsidRDefault="00D210F0" w:rsidP="00D210F0">
            <w:pPr>
              <w:spacing w:after="0"/>
              <w:rPr>
                <w:rFonts w:cs="Times New Roman"/>
                <w:color w:val="000000"/>
                <w:sz w:val="20"/>
                <w:szCs w:val="20"/>
                <w:lang w:val="sr-Cyrl-CS"/>
              </w:rPr>
            </w:pPr>
          </w:p>
        </w:tc>
        <w:tc>
          <w:tcPr>
            <w:tcW w:w="359"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66F3747D" w14:textId="77777777" w:rsidR="00D210F0" w:rsidRPr="00092ED7" w:rsidRDefault="00D210F0" w:rsidP="00D210F0">
            <w:pPr>
              <w:spacing w:after="0"/>
              <w:rPr>
                <w:rFonts w:cs="Times New Roman"/>
                <w:color w:val="000000"/>
                <w:sz w:val="20"/>
                <w:szCs w:val="20"/>
                <w:lang w:val="sr-Cyrl-CS"/>
              </w:rPr>
            </w:pPr>
          </w:p>
        </w:tc>
        <w:tc>
          <w:tcPr>
            <w:tcW w:w="360"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24C8D008" w14:textId="77777777" w:rsidR="00D210F0" w:rsidRPr="00092ED7" w:rsidRDefault="00D210F0" w:rsidP="00D210F0">
            <w:pPr>
              <w:spacing w:after="0"/>
              <w:rPr>
                <w:rFonts w:cs="Times New Roman"/>
                <w:color w:val="000000"/>
                <w:sz w:val="20"/>
                <w:szCs w:val="20"/>
                <w:lang w:val="sr-Cyrl-CS"/>
              </w:rPr>
            </w:pPr>
          </w:p>
        </w:tc>
        <w:tc>
          <w:tcPr>
            <w:tcW w:w="360"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46E1769B" w14:textId="77777777" w:rsidR="00D210F0" w:rsidRPr="00092ED7" w:rsidRDefault="00D210F0" w:rsidP="00D210F0">
            <w:pPr>
              <w:spacing w:after="0"/>
              <w:rPr>
                <w:rFonts w:cs="Times New Roman"/>
                <w:color w:val="000000"/>
                <w:sz w:val="20"/>
                <w:szCs w:val="20"/>
                <w:lang w:val="sr-Cyrl-CS"/>
              </w:rPr>
            </w:pPr>
          </w:p>
        </w:tc>
        <w:tc>
          <w:tcPr>
            <w:tcW w:w="360" w:type="dxa"/>
            <w:tcBorders>
              <w:top w:val="single" w:sz="4" w:space="0" w:color="auto"/>
              <w:left w:val="nil"/>
              <w:bottom w:val="single" w:sz="4" w:space="0" w:color="auto"/>
              <w:right w:val="single" w:sz="8" w:space="0" w:color="auto"/>
            </w:tcBorders>
            <w:shd w:val="clear" w:color="auto" w:fill="auto"/>
            <w:tcMar>
              <w:top w:w="15" w:type="dxa"/>
              <w:left w:w="15" w:type="dxa"/>
              <w:bottom w:w="0" w:type="dxa"/>
              <w:right w:w="15" w:type="dxa"/>
            </w:tcMar>
          </w:tcPr>
          <w:p w14:paraId="528FFEE2" w14:textId="77777777" w:rsidR="00D210F0" w:rsidRPr="00092ED7" w:rsidRDefault="00D210F0" w:rsidP="00D210F0">
            <w:pPr>
              <w:spacing w:after="0"/>
              <w:rPr>
                <w:rFonts w:cs="Times New Roman"/>
                <w:color w:val="000000"/>
                <w:sz w:val="20"/>
                <w:szCs w:val="20"/>
                <w:lang w:val="sr-Cyrl-CS"/>
              </w:rPr>
            </w:pPr>
          </w:p>
        </w:tc>
        <w:tc>
          <w:tcPr>
            <w:tcW w:w="359"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7932177D" w14:textId="77777777" w:rsidR="00D210F0" w:rsidRPr="00092ED7" w:rsidRDefault="00D210F0" w:rsidP="00D210F0">
            <w:pPr>
              <w:spacing w:after="0"/>
              <w:rPr>
                <w:rFonts w:cs="Times New Roman"/>
                <w:color w:val="000000"/>
                <w:sz w:val="20"/>
                <w:szCs w:val="20"/>
                <w:lang w:val="sr-Cyrl-CS"/>
              </w:rPr>
            </w:pPr>
          </w:p>
        </w:tc>
        <w:tc>
          <w:tcPr>
            <w:tcW w:w="360"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11BC0C20" w14:textId="77777777" w:rsidR="00D210F0" w:rsidRPr="00092ED7" w:rsidRDefault="00D210F0" w:rsidP="00D210F0">
            <w:pPr>
              <w:spacing w:after="0"/>
              <w:rPr>
                <w:rFonts w:cs="Times New Roman"/>
                <w:color w:val="000000"/>
                <w:sz w:val="18"/>
                <w:szCs w:val="18"/>
                <w:lang w:val="sr-Cyrl-CS"/>
              </w:rPr>
            </w:pPr>
          </w:p>
        </w:tc>
        <w:tc>
          <w:tcPr>
            <w:tcW w:w="360"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7629E8E2" w14:textId="77777777" w:rsidR="00D210F0" w:rsidRPr="00092ED7" w:rsidRDefault="00D210F0" w:rsidP="00D210F0">
            <w:pPr>
              <w:spacing w:after="0"/>
              <w:rPr>
                <w:rFonts w:cs="Times New Roman"/>
                <w:color w:val="000000"/>
                <w:sz w:val="18"/>
                <w:szCs w:val="18"/>
                <w:lang w:val="sr-Cyrl-CS"/>
              </w:rPr>
            </w:pPr>
          </w:p>
        </w:tc>
        <w:tc>
          <w:tcPr>
            <w:tcW w:w="360" w:type="dxa"/>
            <w:tcBorders>
              <w:top w:val="single" w:sz="4" w:space="0" w:color="auto"/>
              <w:left w:val="nil"/>
              <w:bottom w:val="single" w:sz="4" w:space="0" w:color="auto"/>
              <w:right w:val="single" w:sz="8" w:space="0" w:color="auto"/>
            </w:tcBorders>
            <w:shd w:val="clear" w:color="auto" w:fill="auto"/>
            <w:tcMar>
              <w:top w:w="15" w:type="dxa"/>
              <w:left w:w="15" w:type="dxa"/>
              <w:bottom w:w="0" w:type="dxa"/>
              <w:right w:w="15" w:type="dxa"/>
            </w:tcMar>
          </w:tcPr>
          <w:p w14:paraId="40D82E52" w14:textId="77777777" w:rsidR="00D210F0" w:rsidRPr="00092ED7" w:rsidRDefault="00D210F0" w:rsidP="00D210F0">
            <w:pPr>
              <w:spacing w:after="0"/>
              <w:rPr>
                <w:rFonts w:cs="Times New Roman"/>
                <w:color w:val="000000"/>
                <w:sz w:val="18"/>
                <w:szCs w:val="18"/>
                <w:lang w:val="sr-Cyrl-CS"/>
              </w:rPr>
            </w:pPr>
          </w:p>
        </w:tc>
      </w:tr>
      <w:tr w:rsidR="00053B2B" w:rsidRPr="00092ED7" w14:paraId="10D9DAE8" w14:textId="77777777" w:rsidTr="00053B2B">
        <w:trPr>
          <w:trHeight w:val="340"/>
        </w:trPr>
        <w:tc>
          <w:tcPr>
            <w:tcW w:w="409" w:type="dxa"/>
            <w:tcBorders>
              <w:top w:val="nil"/>
              <w:left w:val="single" w:sz="8" w:space="0" w:color="auto"/>
              <w:bottom w:val="single" w:sz="4" w:space="0" w:color="auto"/>
              <w:right w:val="single" w:sz="8" w:space="0" w:color="auto"/>
            </w:tcBorders>
            <w:shd w:val="clear" w:color="auto" w:fill="auto"/>
            <w:tcMar>
              <w:top w:w="15" w:type="dxa"/>
              <w:left w:w="15" w:type="dxa"/>
              <w:bottom w:w="0" w:type="dxa"/>
              <w:right w:w="15" w:type="dxa"/>
            </w:tcMar>
          </w:tcPr>
          <w:p w14:paraId="0578382A" w14:textId="77777777" w:rsidR="00D210F0" w:rsidRPr="00092ED7" w:rsidRDefault="00D210F0" w:rsidP="00D210F0">
            <w:pPr>
              <w:spacing w:after="0"/>
              <w:jc w:val="center"/>
              <w:rPr>
                <w:rFonts w:cs="Times New Roman"/>
                <w:sz w:val="20"/>
                <w:szCs w:val="20"/>
                <w:lang w:val="sr-Cyrl-CS"/>
              </w:rPr>
            </w:pPr>
            <w:r w:rsidRPr="00092ED7">
              <w:rPr>
                <w:rFonts w:cs="Times New Roman"/>
                <w:sz w:val="20"/>
                <w:szCs w:val="20"/>
                <w:lang w:val="sr-Cyrl-CS"/>
              </w:rPr>
              <w:t>2.</w:t>
            </w:r>
          </w:p>
        </w:tc>
        <w:tc>
          <w:tcPr>
            <w:tcW w:w="4401" w:type="dxa"/>
            <w:tcBorders>
              <w:top w:val="nil"/>
              <w:left w:val="nil"/>
              <w:bottom w:val="single" w:sz="4" w:space="0" w:color="auto"/>
              <w:right w:val="nil"/>
            </w:tcBorders>
            <w:shd w:val="clear" w:color="auto" w:fill="auto"/>
            <w:tcMar>
              <w:top w:w="15" w:type="dxa"/>
              <w:left w:w="15" w:type="dxa"/>
              <w:bottom w:w="0" w:type="dxa"/>
              <w:right w:w="15" w:type="dxa"/>
            </w:tcMar>
          </w:tcPr>
          <w:p w14:paraId="700F4499" w14:textId="070140AE" w:rsidR="00D210F0" w:rsidRPr="00092ED7" w:rsidRDefault="00D210F0" w:rsidP="006944C5">
            <w:pPr>
              <w:spacing w:after="0"/>
              <w:ind w:right="209"/>
              <w:rPr>
                <w:rFonts w:cs="Times New Roman"/>
                <w:sz w:val="20"/>
                <w:szCs w:val="20"/>
                <w:lang w:val="sr-Cyrl-CS"/>
              </w:rPr>
            </w:pPr>
            <w:r w:rsidRPr="00092ED7">
              <w:rPr>
                <w:rFonts w:cs="Times New Roman"/>
                <w:sz w:val="20"/>
                <w:szCs w:val="20"/>
                <w:lang w:val="sr-Cyrl-CS"/>
              </w:rPr>
              <w:t xml:space="preserve">Израда </w:t>
            </w:r>
            <w:r w:rsidR="00CB0950" w:rsidRPr="00092ED7">
              <w:rPr>
                <w:rFonts w:cs="Times New Roman"/>
                <w:sz w:val="20"/>
                <w:szCs w:val="20"/>
                <w:lang w:val="sr-Cyrl-CS"/>
              </w:rPr>
              <w:t>а</w:t>
            </w:r>
            <w:r w:rsidRPr="00092ED7">
              <w:rPr>
                <w:rFonts w:cs="Times New Roman"/>
                <w:sz w:val="20"/>
                <w:szCs w:val="20"/>
                <w:lang w:val="sr-Cyrl-CS"/>
              </w:rPr>
              <w:t xml:space="preserve">кционог плана за спровођење </w:t>
            </w:r>
            <w:r w:rsidR="00CB0950" w:rsidRPr="00092ED7">
              <w:rPr>
                <w:rFonts w:cs="Times New Roman"/>
                <w:sz w:val="20"/>
                <w:szCs w:val="20"/>
                <w:lang w:val="sr-Cyrl-CS"/>
              </w:rPr>
              <w:t>с</w:t>
            </w:r>
            <w:r w:rsidRPr="00092ED7">
              <w:rPr>
                <w:rFonts w:cs="Times New Roman"/>
                <w:sz w:val="20"/>
                <w:szCs w:val="20"/>
                <w:lang w:val="sr-Cyrl-CS"/>
              </w:rPr>
              <w:t xml:space="preserve">тратегије </w:t>
            </w:r>
            <w:r w:rsidR="00CB0950" w:rsidRPr="00092ED7">
              <w:rPr>
                <w:rFonts w:cs="Times New Roman"/>
                <w:sz w:val="20"/>
                <w:szCs w:val="20"/>
                <w:lang w:val="sr-Cyrl-CS"/>
              </w:rPr>
              <w:t>инфраструктуре квалитета</w:t>
            </w:r>
            <w:r w:rsidRPr="00092ED7">
              <w:rPr>
                <w:rFonts w:cs="Times New Roman"/>
                <w:sz w:val="20"/>
                <w:szCs w:val="20"/>
                <w:lang w:val="sr-Cyrl-CS"/>
              </w:rPr>
              <w:t xml:space="preserve"> 2024-2030</w:t>
            </w:r>
            <w:r w:rsidR="00CB0950" w:rsidRPr="00092ED7">
              <w:rPr>
                <w:rFonts w:cs="Times New Roman"/>
                <w:sz w:val="20"/>
                <w:szCs w:val="20"/>
                <w:lang w:val="sr-Cyrl-CS"/>
              </w:rPr>
              <w:t>.</w:t>
            </w:r>
            <w:r w:rsidRPr="00092ED7">
              <w:rPr>
                <w:rFonts w:cs="Times New Roman"/>
                <w:sz w:val="20"/>
                <w:szCs w:val="20"/>
                <w:lang w:val="sr-Cyrl-CS"/>
              </w:rPr>
              <w:t xml:space="preserve"> за 2024. и 2025. годину</w:t>
            </w:r>
          </w:p>
        </w:tc>
        <w:tc>
          <w:tcPr>
            <w:tcW w:w="359" w:type="dxa"/>
            <w:tcBorders>
              <w:top w:val="nil"/>
              <w:left w:val="single" w:sz="8" w:space="0" w:color="auto"/>
              <w:bottom w:val="single" w:sz="4" w:space="0" w:color="auto"/>
              <w:right w:val="single" w:sz="4" w:space="0" w:color="auto"/>
            </w:tcBorders>
            <w:shd w:val="clear" w:color="auto" w:fill="auto"/>
            <w:tcMar>
              <w:top w:w="15" w:type="dxa"/>
              <w:left w:w="15" w:type="dxa"/>
              <w:bottom w:w="0" w:type="dxa"/>
              <w:right w:w="15" w:type="dxa"/>
            </w:tcMar>
          </w:tcPr>
          <w:p w14:paraId="14C79B45" w14:textId="77777777" w:rsidR="00D210F0" w:rsidRPr="00092ED7" w:rsidRDefault="00D210F0" w:rsidP="00D210F0">
            <w:pPr>
              <w:spacing w:after="0"/>
              <w:rPr>
                <w:rFonts w:cs="Times New Roman"/>
                <w:color w:val="000000"/>
                <w:sz w:val="20"/>
                <w:szCs w:val="20"/>
                <w:lang w:val="sr-Cyrl-CS"/>
              </w:rPr>
            </w:pPr>
          </w:p>
        </w:tc>
        <w:tc>
          <w:tcPr>
            <w:tcW w:w="360"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489C58F1" w14:textId="77777777" w:rsidR="00D210F0" w:rsidRPr="00092ED7" w:rsidRDefault="00D210F0" w:rsidP="00D210F0">
            <w:pPr>
              <w:spacing w:after="0"/>
              <w:rPr>
                <w:rFonts w:cs="Times New Roman"/>
                <w:color w:val="000000"/>
                <w:sz w:val="20"/>
                <w:szCs w:val="20"/>
                <w:lang w:val="sr-Cyrl-CS"/>
              </w:rPr>
            </w:pPr>
          </w:p>
        </w:tc>
        <w:tc>
          <w:tcPr>
            <w:tcW w:w="360"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310CFC34" w14:textId="77777777" w:rsidR="00D210F0" w:rsidRPr="00092ED7" w:rsidRDefault="00D210F0" w:rsidP="00D210F0">
            <w:pPr>
              <w:spacing w:after="0"/>
              <w:rPr>
                <w:rFonts w:cs="Times New Roman"/>
                <w:color w:val="000000"/>
                <w:sz w:val="20"/>
                <w:szCs w:val="20"/>
                <w:lang w:val="sr-Cyrl-CS"/>
              </w:rPr>
            </w:pPr>
          </w:p>
        </w:tc>
        <w:tc>
          <w:tcPr>
            <w:tcW w:w="360"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5A342AE2" w14:textId="77777777" w:rsidR="00D210F0" w:rsidRPr="00092ED7" w:rsidRDefault="00D210F0" w:rsidP="00D210F0">
            <w:pPr>
              <w:spacing w:after="0"/>
              <w:rPr>
                <w:rFonts w:cs="Times New Roman"/>
                <w:color w:val="000000"/>
                <w:sz w:val="20"/>
                <w:szCs w:val="20"/>
                <w:lang w:val="sr-Cyrl-CS"/>
              </w:rPr>
            </w:pPr>
          </w:p>
        </w:tc>
        <w:tc>
          <w:tcPr>
            <w:tcW w:w="359"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E5E11B2" w14:textId="77777777" w:rsidR="00D210F0" w:rsidRPr="00092ED7" w:rsidRDefault="00D210F0" w:rsidP="00D210F0">
            <w:pPr>
              <w:spacing w:after="0"/>
              <w:rPr>
                <w:rFonts w:cs="Times New Roman"/>
                <w:color w:val="000000"/>
                <w:sz w:val="20"/>
                <w:szCs w:val="20"/>
                <w:lang w:val="sr-Cyrl-CS"/>
              </w:rPr>
            </w:pPr>
          </w:p>
        </w:tc>
        <w:tc>
          <w:tcPr>
            <w:tcW w:w="360"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19D99B3B" w14:textId="77777777" w:rsidR="00D210F0" w:rsidRPr="00092ED7" w:rsidRDefault="00D210F0" w:rsidP="00D210F0">
            <w:pPr>
              <w:spacing w:after="0"/>
              <w:rPr>
                <w:rFonts w:cs="Times New Roman"/>
                <w:color w:val="000000"/>
                <w:sz w:val="20"/>
                <w:szCs w:val="20"/>
                <w:lang w:val="sr-Cyrl-CS"/>
              </w:rPr>
            </w:pPr>
          </w:p>
        </w:tc>
        <w:tc>
          <w:tcPr>
            <w:tcW w:w="360"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4C24D770" w14:textId="77777777" w:rsidR="00D210F0" w:rsidRPr="00092ED7" w:rsidRDefault="00D210F0" w:rsidP="00D210F0">
            <w:pPr>
              <w:spacing w:after="0"/>
              <w:rPr>
                <w:rFonts w:cs="Times New Roman"/>
                <w:color w:val="000000"/>
                <w:sz w:val="20"/>
                <w:szCs w:val="20"/>
                <w:lang w:val="sr-Cyrl-CS"/>
              </w:rPr>
            </w:pPr>
          </w:p>
        </w:tc>
        <w:tc>
          <w:tcPr>
            <w:tcW w:w="360" w:type="dxa"/>
            <w:tcBorders>
              <w:top w:val="nil"/>
              <w:left w:val="nil"/>
              <w:bottom w:val="single" w:sz="4" w:space="0" w:color="auto"/>
              <w:right w:val="single" w:sz="8" w:space="0" w:color="auto"/>
            </w:tcBorders>
            <w:shd w:val="clear" w:color="auto" w:fill="auto"/>
            <w:tcMar>
              <w:top w:w="15" w:type="dxa"/>
              <w:left w:w="15" w:type="dxa"/>
              <w:bottom w:w="0" w:type="dxa"/>
              <w:right w:w="15" w:type="dxa"/>
            </w:tcMar>
          </w:tcPr>
          <w:p w14:paraId="3C69B596" w14:textId="77777777" w:rsidR="00D210F0" w:rsidRPr="00092ED7" w:rsidRDefault="00D210F0" w:rsidP="00D210F0">
            <w:pPr>
              <w:spacing w:after="0"/>
              <w:rPr>
                <w:rFonts w:cs="Times New Roman"/>
                <w:color w:val="000000"/>
                <w:sz w:val="20"/>
                <w:szCs w:val="20"/>
                <w:lang w:val="sr-Cyrl-CS"/>
              </w:rPr>
            </w:pPr>
          </w:p>
        </w:tc>
        <w:tc>
          <w:tcPr>
            <w:tcW w:w="359"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3E68036C" w14:textId="77777777" w:rsidR="00D210F0" w:rsidRPr="00092ED7" w:rsidRDefault="00D210F0" w:rsidP="00D210F0">
            <w:pPr>
              <w:spacing w:after="0"/>
              <w:rPr>
                <w:rFonts w:cs="Times New Roman"/>
                <w:color w:val="000000"/>
                <w:sz w:val="20"/>
                <w:szCs w:val="20"/>
                <w:lang w:val="sr-Cyrl-CS"/>
              </w:rPr>
            </w:pPr>
          </w:p>
        </w:tc>
        <w:tc>
          <w:tcPr>
            <w:tcW w:w="360"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37582E76" w14:textId="77777777" w:rsidR="00D210F0" w:rsidRPr="00092ED7" w:rsidRDefault="00D210F0" w:rsidP="00D210F0">
            <w:pPr>
              <w:spacing w:after="0"/>
              <w:rPr>
                <w:rFonts w:cs="Times New Roman"/>
                <w:color w:val="000000"/>
                <w:sz w:val="18"/>
                <w:szCs w:val="18"/>
                <w:lang w:val="sr-Cyrl-CS"/>
              </w:rPr>
            </w:pPr>
          </w:p>
        </w:tc>
        <w:tc>
          <w:tcPr>
            <w:tcW w:w="360"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4CFB31BE" w14:textId="77777777" w:rsidR="00D210F0" w:rsidRPr="00092ED7" w:rsidRDefault="00D210F0" w:rsidP="00D210F0">
            <w:pPr>
              <w:spacing w:after="0"/>
              <w:rPr>
                <w:rFonts w:cs="Times New Roman"/>
                <w:color w:val="000000"/>
                <w:sz w:val="18"/>
                <w:szCs w:val="18"/>
                <w:lang w:val="sr-Cyrl-CS"/>
              </w:rPr>
            </w:pPr>
          </w:p>
        </w:tc>
        <w:tc>
          <w:tcPr>
            <w:tcW w:w="360" w:type="dxa"/>
            <w:tcBorders>
              <w:top w:val="nil"/>
              <w:left w:val="nil"/>
              <w:bottom w:val="single" w:sz="4" w:space="0" w:color="auto"/>
              <w:right w:val="single" w:sz="8" w:space="0" w:color="auto"/>
            </w:tcBorders>
            <w:shd w:val="clear" w:color="auto" w:fill="auto"/>
            <w:tcMar>
              <w:top w:w="15" w:type="dxa"/>
              <w:left w:w="15" w:type="dxa"/>
              <w:bottom w:w="0" w:type="dxa"/>
              <w:right w:w="15" w:type="dxa"/>
            </w:tcMar>
          </w:tcPr>
          <w:p w14:paraId="5BB02DCC" w14:textId="77777777" w:rsidR="00D210F0" w:rsidRPr="00092ED7" w:rsidRDefault="00D210F0" w:rsidP="00D210F0">
            <w:pPr>
              <w:spacing w:after="0"/>
              <w:rPr>
                <w:rFonts w:cs="Times New Roman"/>
                <w:color w:val="000000"/>
                <w:sz w:val="18"/>
                <w:szCs w:val="18"/>
                <w:lang w:val="sr-Cyrl-CS"/>
              </w:rPr>
            </w:pPr>
          </w:p>
        </w:tc>
      </w:tr>
      <w:tr w:rsidR="00EF67D6" w:rsidRPr="00092ED7" w14:paraId="57EFDFB3" w14:textId="77777777" w:rsidTr="005860F2">
        <w:trPr>
          <w:trHeight w:val="567"/>
        </w:trPr>
        <w:tc>
          <w:tcPr>
            <w:tcW w:w="409" w:type="dxa"/>
            <w:tcBorders>
              <w:top w:val="single" w:sz="4" w:space="0" w:color="auto"/>
              <w:left w:val="single" w:sz="8" w:space="0" w:color="auto"/>
              <w:bottom w:val="single" w:sz="4" w:space="0" w:color="auto"/>
              <w:right w:val="single" w:sz="8" w:space="0" w:color="auto"/>
            </w:tcBorders>
            <w:shd w:val="clear" w:color="auto" w:fill="auto"/>
            <w:tcMar>
              <w:top w:w="15" w:type="dxa"/>
              <w:left w:w="15" w:type="dxa"/>
              <w:bottom w:w="0" w:type="dxa"/>
              <w:right w:w="15" w:type="dxa"/>
            </w:tcMar>
          </w:tcPr>
          <w:p w14:paraId="10AFAA0F" w14:textId="77777777" w:rsidR="00D210F0" w:rsidRPr="00092ED7" w:rsidRDefault="00D210F0" w:rsidP="00D210F0">
            <w:pPr>
              <w:spacing w:after="0"/>
              <w:jc w:val="center"/>
              <w:rPr>
                <w:rFonts w:cs="Times New Roman"/>
                <w:sz w:val="20"/>
                <w:szCs w:val="20"/>
                <w:lang w:val="sr-Cyrl-CS"/>
              </w:rPr>
            </w:pPr>
            <w:r w:rsidRPr="00092ED7">
              <w:rPr>
                <w:rFonts w:cs="Times New Roman"/>
                <w:sz w:val="20"/>
                <w:szCs w:val="20"/>
                <w:lang w:val="sr-Cyrl-CS"/>
              </w:rPr>
              <w:t>3.</w:t>
            </w:r>
          </w:p>
        </w:tc>
        <w:tc>
          <w:tcPr>
            <w:tcW w:w="4401" w:type="dxa"/>
            <w:tcBorders>
              <w:top w:val="single" w:sz="4" w:space="0" w:color="auto"/>
              <w:left w:val="nil"/>
              <w:bottom w:val="single" w:sz="4" w:space="0" w:color="auto"/>
              <w:right w:val="single" w:sz="8" w:space="0" w:color="auto"/>
            </w:tcBorders>
            <w:shd w:val="clear" w:color="auto" w:fill="auto"/>
            <w:noWrap/>
            <w:tcMar>
              <w:top w:w="15" w:type="dxa"/>
              <w:left w:w="15" w:type="dxa"/>
              <w:bottom w:w="0" w:type="dxa"/>
              <w:right w:w="15" w:type="dxa"/>
            </w:tcMar>
          </w:tcPr>
          <w:p w14:paraId="3E1BC8A2" w14:textId="561B0CC1" w:rsidR="00D210F0" w:rsidRPr="00092ED7" w:rsidRDefault="00D210F0" w:rsidP="00CB0950">
            <w:pPr>
              <w:spacing w:after="0"/>
              <w:ind w:right="209"/>
              <w:rPr>
                <w:rFonts w:cs="Times New Roman"/>
                <w:color w:val="000000"/>
                <w:sz w:val="20"/>
                <w:szCs w:val="20"/>
                <w:lang w:val="sr-Cyrl-CS"/>
              </w:rPr>
            </w:pPr>
            <w:r w:rsidRPr="00092ED7">
              <w:rPr>
                <w:rFonts w:cs="Times New Roman"/>
                <w:color w:val="000000"/>
                <w:sz w:val="20"/>
                <w:szCs w:val="20"/>
                <w:lang w:val="sr-Cyrl-CS"/>
              </w:rPr>
              <w:t xml:space="preserve">Стварање услова за пуну интеграцију Републике Србије у јединствено тржиште ЕУ за три групе индустријских производа (електрични и електронски производи, машине и </w:t>
            </w:r>
            <w:r w:rsidR="00CB0950" w:rsidRPr="00092ED7">
              <w:rPr>
                <w:rFonts w:cs="Times New Roman"/>
                <w:color w:val="000000"/>
                <w:sz w:val="20"/>
                <w:szCs w:val="20"/>
                <w:lang w:val="sr-Cyrl-CS"/>
              </w:rPr>
              <w:t>лична заштитна опрема</w:t>
            </w:r>
            <w:r w:rsidRPr="00092ED7">
              <w:rPr>
                <w:rFonts w:cs="Times New Roman"/>
                <w:color w:val="000000"/>
                <w:sz w:val="20"/>
                <w:szCs w:val="20"/>
                <w:lang w:val="sr-Cyrl-CS"/>
              </w:rPr>
              <w:t xml:space="preserve">) </w:t>
            </w:r>
          </w:p>
        </w:tc>
        <w:tc>
          <w:tcPr>
            <w:tcW w:w="359"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4AECB7C2" w14:textId="77777777" w:rsidR="00D210F0" w:rsidRPr="00092ED7" w:rsidRDefault="00D210F0" w:rsidP="00D210F0">
            <w:pPr>
              <w:spacing w:after="0"/>
              <w:rPr>
                <w:rFonts w:cs="Times New Roman"/>
                <w:color w:val="000000"/>
                <w:sz w:val="20"/>
                <w:szCs w:val="20"/>
                <w:lang w:val="sr-Cyrl-CS"/>
              </w:rPr>
            </w:pPr>
          </w:p>
        </w:tc>
        <w:tc>
          <w:tcPr>
            <w:tcW w:w="360" w:type="dxa"/>
            <w:tcBorders>
              <w:top w:val="single" w:sz="4" w:space="0" w:color="auto"/>
              <w:left w:val="nil"/>
              <w:bottom w:val="single" w:sz="4" w:space="0" w:color="auto"/>
              <w:right w:val="single" w:sz="4" w:space="0" w:color="auto"/>
            </w:tcBorders>
            <w:shd w:val="clear" w:color="auto" w:fill="FFFFFF" w:themeFill="background1"/>
            <w:tcMar>
              <w:top w:w="15" w:type="dxa"/>
              <w:left w:w="15" w:type="dxa"/>
              <w:bottom w:w="0" w:type="dxa"/>
              <w:right w:w="15" w:type="dxa"/>
            </w:tcMar>
          </w:tcPr>
          <w:p w14:paraId="76525D33" w14:textId="77777777" w:rsidR="00D210F0" w:rsidRPr="00092ED7" w:rsidRDefault="00D210F0" w:rsidP="00D210F0">
            <w:pPr>
              <w:spacing w:after="0"/>
              <w:rPr>
                <w:rFonts w:cs="Times New Roman"/>
                <w:color w:val="000000"/>
                <w:sz w:val="20"/>
                <w:szCs w:val="20"/>
                <w:lang w:val="sr-Cyrl-CS"/>
              </w:rPr>
            </w:pPr>
          </w:p>
        </w:tc>
        <w:tc>
          <w:tcPr>
            <w:tcW w:w="360" w:type="dxa"/>
            <w:tcBorders>
              <w:top w:val="single" w:sz="4" w:space="0" w:color="auto"/>
              <w:left w:val="nil"/>
              <w:bottom w:val="single" w:sz="4" w:space="0" w:color="auto"/>
              <w:right w:val="single" w:sz="4" w:space="0" w:color="auto"/>
            </w:tcBorders>
            <w:shd w:val="clear" w:color="auto" w:fill="FFFFFF" w:themeFill="background1"/>
            <w:tcMar>
              <w:top w:w="15" w:type="dxa"/>
              <w:left w:w="15" w:type="dxa"/>
              <w:bottom w:w="0" w:type="dxa"/>
              <w:right w:w="15" w:type="dxa"/>
            </w:tcMar>
          </w:tcPr>
          <w:p w14:paraId="50CE518E" w14:textId="77777777" w:rsidR="00D210F0" w:rsidRPr="00092ED7" w:rsidRDefault="00D210F0" w:rsidP="00D210F0">
            <w:pPr>
              <w:spacing w:after="0"/>
              <w:rPr>
                <w:rFonts w:cs="Times New Roman"/>
                <w:color w:val="000000"/>
                <w:sz w:val="20"/>
                <w:szCs w:val="20"/>
                <w:lang w:val="sr-Cyrl-CS"/>
              </w:rPr>
            </w:pPr>
          </w:p>
        </w:tc>
        <w:tc>
          <w:tcPr>
            <w:tcW w:w="360" w:type="dxa"/>
            <w:tcBorders>
              <w:top w:val="single" w:sz="4" w:space="0" w:color="auto"/>
              <w:left w:val="nil"/>
              <w:bottom w:val="single" w:sz="4" w:space="0" w:color="auto"/>
              <w:right w:val="single" w:sz="8" w:space="0" w:color="auto"/>
            </w:tcBorders>
            <w:shd w:val="clear" w:color="auto" w:fill="FFFFFF" w:themeFill="background1"/>
            <w:tcMar>
              <w:top w:w="15" w:type="dxa"/>
              <w:left w:w="15" w:type="dxa"/>
              <w:bottom w:w="0" w:type="dxa"/>
              <w:right w:w="15" w:type="dxa"/>
            </w:tcMar>
          </w:tcPr>
          <w:p w14:paraId="161BA14F" w14:textId="77777777" w:rsidR="00D210F0" w:rsidRPr="00092ED7" w:rsidRDefault="00D210F0" w:rsidP="00D210F0">
            <w:pPr>
              <w:spacing w:after="0"/>
              <w:rPr>
                <w:rFonts w:cs="Times New Roman"/>
                <w:color w:val="000000"/>
                <w:sz w:val="20"/>
                <w:szCs w:val="20"/>
                <w:lang w:val="sr-Cyrl-CS"/>
              </w:rPr>
            </w:pPr>
          </w:p>
        </w:tc>
        <w:tc>
          <w:tcPr>
            <w:tcW w:w="359" w:type="dxa"/>
            <w:tcBorders>
              <w:top w:val="single" w:sz="4" w:space="0" w:color="auto"/>
              <w:left w:val="nil"/>
              <w:bottom w:val="single" w:sz="4" w:space="0" w:color="auto"/>
              <w:right w:val="single" w:sz="4" w:space="0" w:color="auto"/>
            </w:tcBorders>
            <w:shd w:val="clear" w:color="auto" w:fill="FFFFFF" w:themeFill="background1"/>
            <w:tcMar>
              <w:top w:w="15" w:type="dxa"/>
              <w:left w:w="15" w:type="dxa"/>
              <w:bottom w:w="0" w:type="dxa"/>
              <w:right w:w="15" w:type="dxa"/>
            </w:tcMar>
          </w:tcPr>
          <w:p w14:paraId="3D081CAE" w14:textId="77777777" w:rsidR="00D210F0" w:rsidRPr="00092ED7" w:rsidRDefault="00D210F0" w:rsidP="00D210F0">
            <w:pPr>
              <w:spacing w:after="0"/>
              <w:rPr>
                <w:rFonts w:cs="Times New Roman"/>
                <w:color w:val="000000"/>
                <w:sz w:val="20"/>
                <w:szCs w:val="20"/>
                <w:lang w:val="sr-Cyrl-CS"/>
              </w:rPr>
            </w:pPr>
          </w:p>
        </w:tc>
        <w:tc>
          <w:tcPr>
            <w:tcW w:w="360"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B4115E6" w14:textId="77777777" w:rsidR="00D210F0" w:rsidRPr="00092ED7" w:rsidRDefault="00D210F0" w:rsidP="00D210F0">
            <w:pPr>
              <w:spacing w:after="0"/>
              <w:rPr>
                <w:rFonts w:cs="Times New Roman"/>
                <w:color w:val="000000"/>
                <w:sz w:val="20"/>
                <w:szCs w:val="20"/>
                <w:lang w:val="sr-Cyrl-CS"/>
              </w:rPr>
            </w:pPr>
          </w:p>
        </w:tc>
        <w:tc>
          <w:tcPr>
            <w:tcW w:w="360"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0AF21ED4" w14:textId="77777777" w:rsidR="00D210F0" w:rsidRPr="00092ED7" w:rsidRDefault="00D210F0" w:rsidP="00D210F0">
            <w:pPr>
              <w:spacing w:after="0"/>
              <w:rPr>
                <w:rFonts w:cs="Times New Roman"/>
                <w:color w:val="000000"/>
                <w:sz w:val="20"/>
                <w:szCs w:val="20"/>
                <w:lang w:val="sr-Cyrl-CS"/>
              </w:rPr>
            </w:pPr>
          </w:p>
        </w:tc>
        <w:tc>
          <w:tcPr>
            <w:tcW w:w="360" w:type="dxa"/>
            <w:tcBorders>
              <w:top w:val="single" w:sz="4" w:space="0" w:color="auto"/>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059571AD" w14:textId="77777777" w:rsidR="00D210F0" w:rsidRPr="00092ED7" w:rsidRDefault="00D210F0" w:rsidP="00D210F0">
            <w:pPr>
              <w:spacing w:after="0"/>
              <w:rPr>
                <w:rFonts w:cs="Times New Roman"/>
                <w:color w:val="000000"/>
                <w:sz w:val="20"/>
                <w:szCs w:val="20"/>
                <w:lang w:val="sr-Cyrl-CS"/>
              </w:rPr>
            </w:pPr>
          </w:p>
        </w:tc>
        <w:tc>
          <w:tcPr>
            <w:tcW w:w="359"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136B856" w14:textId="77777777" w:rsidR="00D210F0" w:rsidRPr="00092ED7" w:rsidRDefault="00D210F0" w:rsidP="00D210F0">
            <w:pPr>
              <w:spacing w:after="0"/>
              <w:rPr>
                <w:rFonts w:cs="Times New Roman"/>
                <w:color w:val="000000"/>
                <w:sz w:val="20"/>
                <w:szCs w:val="20"/>
                <w:lang w:val="sr-Cyrl-CS"/>
              </w:rPr>
            </w:pPr>
          </w:p>
        </w:tc>
        <w:tc>
          <w:tcPr>
            <w:tcW w:w="360"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3B4AA7D0" w14:textId="77777777" w:rsidR="00D210F0" w:rsidRPr="00092ED7" w:rsidRDefault="00D210F0" w:rsidP="00D210F0">
            <w:pPr>
              <w:spacing w:after="0"/>
              <w:rPr>
                <w:rFonts w:cs="Times New Roman"/>
                <w:color w:val="000000"/>
                <w:sz w:val="18"/>
                <w:szCs w:val="18"/>
                <w:lang w:val="sr-Cyrl-CS"/>
              </w:rPr>
            </w:pPr>
          </w:p>
        </w:tc>
        <w:tc>
          <w:tcPr>
            <w:tcW w:w="360"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3A14B7F8" w14:textId="77777777" w:rsidR="00D210F0" w:rsidRPr="00092ED7" w:rsidRDefault="00D210F0" w:rsidP="00D210F0">
            <w:pPr>
              <w:spacing w:after="0"/>
              <w:rPr>
                <w:rFonts w:cs="Times New Roman"/>
                <w:color w:val="000000"/>
                <w:sz w:val="18"/>
                <w:szCs w:val="18"/>
                <w:lang w:val="sr-Cyrl-CS"/>
              </w:rPr>
            </w:pPr>
          </w:p>
        </w:tc>
        <w:tc>
          <w:tcPr>
            <w:tcW w:w="360" w:type="dxa"/>
            <w:tcBorders>
              <w:top w:val="single" w:sz="4" w:space="0" w:color="auto"/>
              <w:left w:val="nil"/>
              <w:bottom w:val="single" w:sz="4" w:space="0" w:color="auto"/>
              <w:right w:val="single" w:sz="8" w:space="0" w:color="auto"/>
            </w:tcBorders>
            <w:shd w:val="clear" w:color="auto" w:fill="FFFFFF" w:themeFill="background1"/>
            <w:tcMar>
              <w:top w:w="15" w:type="dxa"/>
              <w:left w:w="15" w:type="dxa"/>
              <w:bottom w:w="0" w:type="dxa"/>
              <w:right w:w="15" w:type="dxa"/>
            </w:tcMar>
          </w:tcPr>
          <w:p w14:paraId="47E28407" w14:textId="77777777" w:rsidR="00D210F0" w:rsidRPr="00092ED7" w:rsidRDefault="00D210F0" w:rsidP="00D210F0">
            <w:pPr>
              <w:spacing w:after="0"/>
              <w:rPr>
                <w:rFonts w:cs="Times New Roman"/>
                <w:color w:val="000000"/>
                <w:sz w:val="18"/>
                <w:szCs w:val="18"/>
                <w:lang w:val="sr-Cyrl-CS"/>
              </w:rPr>
            </w:pPr>
          </w:p>
        </w:tc>
      </w:tr>
      <w:tr w:rsidR="00D210F0" w:rsidRPr="00092ED7" w14:paraId="486FA67B" w14:textId="77777777" w:rsidTr="006944C5">
        <w:trPr>
          <w:trHeight w:val="567"/>
        </w:trPr>
        <w:tc>
          <w:tcPr>
            <w:tcW w:w="409" w:type="dxa"/>
            <w:tcBorders>
              <w:top w:val="single" w:sz="4" w:space="0" w:color="auto"/>
              <w:left w:val="single" w:sz="8" w:space="0" w:color="auto"/>
              <w:bottom w:val="single" w:sz="4" w:space="0" w:color="auto"/>
              <w:right w:val="single" w:sz="4" w:space="0" w:color="auto"/>
            </w:tcBorders>
            <w:shd w:val="clear" w:color="auto" w:fill="auto"/>
            <w:tcMar>
              <w:top w:w="15" w:type="dxa"/>
              <w:left w:w="15" w:type="dxa"/>
              <w:bottom w:w="0" w:type="dxa"/>
              <w:right w:w="15" w:type="dxa"/>
            </w:tcMar>
          </w:tcPr>
          <w:p w14:paraId="2865CA18" w14:textId="77777777" w:rsidR="00D210F0" w:rsidRPr="00092ED7" w:rsidRDefault="00D210F0" w:rsidP="00D210F0">
            <w:pPr>
              <w:spacing w:after="0"/>
              <w:jc w:val="center"/>
              <w:rPr>
                <w:rFonts w:cs="Times New Roman"/>
                <w:sz w:val="20"/>
                <w:szCs w:val="20"/>
                <w:lang w:val="sr-Cyrl-CS"/>
              </w:rPr>
            </w:pPr>
            <w:r w:rsidRPr="00092ED7">
              <w:rPr>
                <w:rFonts w:cs="Times New Roman"/>
                <w:sz w:val="20"/>
                <w:szCs w:val="20"/>
                <w:lang w:val="sr-Cyrl-CS"/>
              </w:rPr>
              <w:t>4.</w:t>
            </w:r>
          </w:p>
        </w:tc>
        <w:tc>
          <w:tcPr>
            <w:tcW w:w="4401" w:type="dxa"/>
            <w:tcBorders>
              <w:top w:val="single" w:sz="4" w:space="0" w:color="auto"/>
              <w:left w:val="single" w:sz="4" w:space="0" w:color="auto"/>
              <w:bottom w:val="single" w:sz="4" w:space="0" w:color="auto"/>
              <w:right w:val="single" w:sz="8" w:space="0" w:color="auto"/>
            </w:tcBorders>
            <w:shd w:val="clear" w:color="auto" w:fill="auto"/>
            <w:noWrap/>
            <w:tcMar>
              <w:top w:w="15" w:type="dxa"/>
              <w:left w:w="15" w:type="dxa"/>
              <w:bottom w:w="0" w:type="dxa"/>
              <w:right w:w="15" w:type="dxa"/>
            </w:tcMar>
          </w:tcPr>
          <w:p w14:paraId="6406BC0E" w14:textId="66C53522" w:rsidR="00D210F0" w:rsidRPr="00092ED7" w:rsidRDefault="00636729" w:rsidP="00CB0950">
            <w:pPr>
              <w:spacing w:after="0"/>
              <w:ind w:right="209"/>
              <w:rPr>
                <w:rFonts w:cs="Times New Roman"/>
                <w:color w:val="000000"/>
                <w:sz w:val="20"/>
                <w:szCs w:val="20"/>
                <w:lang w:val="sr-Cyrl-CS"/>
              </w:rPr>
            </w:pPr>
            <w:r w:rsidRPr="00092ED7">
              <w:rPr>
                <w:rFonts w:cs="Times New Roman"/>
                <w:color w:val="000000"/>
                <w:sz w:val="20"/>
                <w:szCs w:val="20"/>
                <w:lang w:val="sr-Cyrl-CS"/>
              </w:rPr>
              <w:t xml:space="preserve">Потписивање </w:t>
            </w:r>
            <w:r w:rsidR="002E61FD" w:rsidRPr="00092ED7">
              <w:rPr>
                <w:color w:val="000000"/>
                <w:sz w:val="20"/>
                <w:szCs w:val="20"/>
                <w:lang w:val="sr-Cyrl-CS"/>
              </w:rPr>
              <w:t>ACAA</w:t>
            </w:r>
            <w:r w:rsidRPr="00092ED7">
              <w:rPr>
                <w:rFonts w:cs="Times New Roman"/>
                <w:color w:val="000000"/>
                <w:sz w:val="20"/>
                <w:szCs w:val="20"/>
                <w:lang w:val="sr-Cyrl-CS"/>
              </w:rPr>
              <w:t xml:space="preserve"> </w:t>
            </w:r>
            <w:r w:rsidR="002E61FD" w:rsidRPr="00092ED7">
              <w:rPr>
                <w:rFonts w:cs="Times New Roman"/>
                <w:color w:val="000000"/>
                <w:sz w:val="20"/>
                <w:szCs w:val="20"/>
                <w:lang w:val="sr-Cyrl-CS"/>
              </w:rPr>
              <w:t>спораз</w:t>
            </w:r>
            <w:r w:rsidRPr="00092ED7">
              <w:rPr>
                <w:rFonts w:cs="Times New Roman"/>
                <w:color w:val="000000"/>
                <w:sz w:val="20"/>
                <w:szCs w:val="20"/>
                <w:lang w:val="sr-Cyrl-CS"/>
              </w:rPr>
              <w:t xml:space="preserve">ума </w:t>
            </w:r>
            <w:r w:rsidR="00D210F0" w:rsidRPr="00092ED7">
              <w:rPr>
                <w:rFonts w:cs="Times New Roman"/>
                <w:color w:val="000000"/>
                <w:sz w:val="20"/>
                <w:szCs w:val="20"/>
                <w:lang w:val="sr-Cyrl-CS"/>
              </w:rPr>
              <w:t xml:space="preserve">за идентификоване три групе индустријских производа (електрични и електронски производи, машине и </w:t>
            </w:r>
            <w:r w:rsidR="00CB0950" w:rsidRPr="00092ED7">
              <w:rPr>
                <w:rFonts w:cs="Times New Roman"/>
                <w:color w:val="000000"/>
                <w:sz w:val="20"/>
                <w:szCs w:val="20"/>
                <w:lang w:val="sr-Cyrl-CS"/>
              </w:rPr>
              <w:t>лична заштитна опрема</w:t>
            </w:r>
            <w:r w:rsidR="00D210F0" w:rsidRPr="00092ED7">
              <w:rPr>
                <w:rFonts w:cs="Times New Roman"/>
                <w:color w:val="000000"/>
                <w:sz w:val="20"/>
                <w:szCs w:val="20"/>
                <w:lang w:val="sr-Cyrl-CS"/>
              </w:rPr>
              <w:t xml:space="preserve">) </w:t>
            </w:r>
          </w:p>
        </w:tc>
        <w:tc>
          <w:tcPr>
            <w:tcW w:w="359"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71694DE8" w14:textId="77777777" w:rsidR="00D210F0" w:rsidRPr="00092ED7" w:rsidRDefault="00D210F0" w:rsidP="00D210F0">
            <w:pPr>
              <w:spacing w:after="0"/>
              <w:rPr>
                <w:rFonts w:cs="Times New Roman"/>
                <w:color w:val="000000"/>
                <w:sz w:val="20"/>
                <w:szCs w:val="20"/>
                <w:lang w:val="sr-Cyrl-CS"/>
              </w:rPr>
            </w:pPr>
          </w:p>
        </w:tc>
        <w:tc>
          <w:tcPr>
            <w:tcW w:w="360"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6FDEC1E7" w14:textId="77777777" w:rsidR="00D210F0" w:rsidRPr="00092ED7" w:rsidRDefault="00D210F0" w:rsidP="00D210F0">
            <w:pPr>
              <w:spacing w:after="0"/>
              <w:rPr>
                <w:rFonts w:cs="Times New Roman"/>
                <w:color w:val="000000"/>
                <w:sz w:val="20"/>
                <w:szCs w:val="20"/>
                <w:lang w:val="sr-Cyrl-CS"/>
              </w:rPr>
            </w:pPr>
          </w:p>
        </w:tc>
        <w:tc>
          <w:tcPr>
            <w:tcW w:w="360"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4FC1A83D" w14:textId="77777777" w:rsidR="00D210F0" w:rsidRPr="00092ED7" w:rsidRDefault="00D210F0" w:rsidP="00D210F0">
            <w:pPr>
              <w:spacing w:after="0"/>
              <w:rPr>
                <w:rFonts w:cs="Times New Roman"/>
                <w:color w:val="000000"/>
                <w:sz w:val="20"/>
                <w:szCs w:val="20"/>
                <w:lang w:val="sr-Cyrl-CS"/>
              </w:rPr>
            </w:pPr>
          </w:p>
        </w:tc>
        <w:tc>
          <w:tcPr>
            <w:tcW w:w="360" w:type="dxa"/>
            <w:tcBorders>
              <w:top w:val="single" w:sz="4" w:space="0" w:color="auto"/>
              <w:left w:val="nil"/>
              <w:bottom w:val="single" w:sz="4" w:space="0" w:color="auto"/>
              <w:right w:val="single" w:sz="8" w:space="0" w:color="auto"/>
            </w:tcBorders>
            <w:shd w:val="clear" w:color="auto" w:fill="auto"/>
            <w:tcMar>
              <w:top w:w="15" w:type="dxa"/>
              <w:left w:w="15" w:type="dxa"/>
              <w:bottom w:w="0" w:type="dxa"/>
              <w:right w:w="15" w:type="dxa"/>
            </w:tcMar>
          </w:tcPr>
          <w:p w14:paraId="53600699" w14:textId="77777777" w:rsidR="00D210F0" w:rsidRPr="00092ED7" w:rsidRDefault="00D210F0" w:rsidP="00D210F0">
            <w:pPr>
              <w:spacing w:after="0"/>
              <w:rPr>
                <w:rFonts w:cs="Times New Roman"/>
                <w:color w:val="000000"/>
                <w:sz w:val="20"/>
                <w:szCs w:val="20"/>
                <w:lang w:val="sr-Cyrl-CS"/>
              </w:rPr>
            </w:pPr>
          </w:p>
        </w:tc>
        <w:tc>
          <w:tcPr>
            <w:tcW w:w="359" w:type="dxa"/>
            <w:tcBorders>
              <w:top w:val="single" w:sz="4" w:space="0" w:color="auto"/>
              <w:left w:val="nil"/>
              <w:bottom w:val="single" w:sz="4" w:space="0" w:color="auto"/>
              <w:right w:val="single" w:sz="4" w:space="0" w:color="auto"/>
            </w:tcBorders>
            <w:shd w:val="clear" w:color="auto" w:fill="FFFFFF" w:themeFill="background1"/>
            <w:tcMar>
              <w:top w:w="15" w:type="dxa"/>
              <w:left w:w="15" w:type="dxa"/>
              <w:bottom w:w="0" w:type="dxa"/>
              <w:right w:w="15" w:type="dxa"/>
            </w:tcMar>
          </w:tcPr>
          <w:p w14:paraId="25E9FEA4" w14:textId="77777777" w:rsidR="00D210F0" w:rsidRPr="00092ED7" w:rsidRDefault="00D210F0" w:rsidP="00D210F0">
            <w:pPr>
              <w:spacing w:after="0"/>
              <w:rPr>
                <w:rFonts w:cs="Times New Roman"/>
                <w:color w:val="000000"/>
                <w:sz w:val="20"/>
                <w:szCs w:val="20"/>
                <w:lang w:val="sr-Cyrl-CS"/>
              </w:rPr>
            </w:pPr>
          </w:p>
        </w:tc>
        <w:tc>
          <w:tcPr>
            <w:tcW w:w="360" w:type="dxa"/>
            <w:tcBorders>
              <w:top w:val="single" w:sz="4" w:space="0" w:color="auto"/>
              <w:left w:val="nil"/>
              <w:bottom w:val="single" w:sz="4" w:space="0" w:color="auto"/>
              <w:right w:val="single" w:sz="4" w:space="0" w:color="auto"/>
            </w:tcBorders>
            <w:shd w:val="clear" w:color="auto" w:fill="FFFFFF" w:themeFill="background1"/>
            <w:tcMar>
              <w:top w:w="15" w:type="dxa"/>
              <w:left w:w="15" w:type="dxa"/>
              <w:bottom w:w="0" w:type="dxa"/>
              <w:right w:w="15" w:type="dxa"/>
            </w:tcMar>
          </w:tcPr>
          <w:p w14:paraId="1CDA9200" w14:textId="77777777" w:rsidR="00D210F0" w:rsidRPr="00092ED7" w:rsidRDefault="00D210F0" w:rsidP="00D210F0">
            <w:pPr>
              <w:spacing w:after="0"/>
              <w:rPr>
                <w:rFonts w:cs="Times New Roman"/>
                <w:color w:val="000000"/>
                <w:sz w:val="20"/>
                <w:szCs w:val="20"/>
                <w:lang w:val="sr-Cyrl-CS"/>
              </w:rPr>
            </w:pPr>
          </w:p>
        </w:tc>
        <w:tc>
          <w:tcPr>
            <w:tcW w:w="360" w:type="dxa"/>
            <w:tcBorders>
              <w:top w:val="single" w:sz="4" w:space="0" w:color="auto"/>
              <w:left w:val="nil"/>
              <w:bottom w:val="single" w:sz="4" w:space="0" w:color="auto"/>
              <w:right w:val="single" w:sz="4" w:space="0" w:color="auto"/>
            </w:tcBorders>
            <w:shd w:val="clear" w:color="auto" w:fill="FFFFFF" w:themeFill="background1"/>
            <w:tcMar>
              <w:top w:w="15" w:type="dxa"/>
              <w:left w:w="15" w:type="dxa"/>
              <w:bottom w:w="0" w:type="dxa"/>
              <w:right w:w="15" w:type="dxa"/>
            </w:tcMar>
          </w:tcPr>
          <w:p w14:paraId="081FDB3A" w14:textId="77777777" w:rsidR="00D210F0" w:rsidRPr="00092ED7" w:rsidRDefault="00D210F0" w:rsidP="00D210F0">
            <w:pPr>
              <w:spacing w:after="0"/>
              <w:rPr>
                <w:rFonts w:cs="Times New Roman"/>
                <w:color w:val="000000"/>
                <w:sz w:val="20"/>
                <w:szCs w:val="20"/>
                <w:lang w:val="sr-Cyrl-CS"/>
              </w:rPr>
            </w:pPr>
          </w:p>
        </w:tc>
        <w:tc>
          <w:tcPr>
            <w:tcW w:w="360" w:type="dxa"/>
            <w:tcBorders>
              <w:top w:val="single" w:sz="4" w:space="0" w:color="auto"/>
              <w:left w:val="nil"/>
              <w:bottom w:val="single" w:sz="4" w:space="0" w:color="auto"/>
              <w:right w:val="single" w:sz="8" w:space="0" w:color="auto"/>
            </w:tcBorders>
            <w:shd w:val="clear" w:color="auto" w:fill="FFFFFF" w:themeFill="background1"/>
            <w:tcMar>
              <w:top w:w="15" w:type="dxa"/>
              <w:left w:w="15" w:type="dxa"/>
              <w:bottom w:w="0" w:type="dxa"/>
              <w:right w:w="15" w:type="dxa"/>
            </w:tcMar>
          </w:tcPr>
          <w:p w14:paraId="4929EFA6" w14:textId="77777777" w:rsidR="00D210F0" w:rsidRPr="00092ED7" w:rsidRDefault="00D210F0" w:rsidP="00D210F0">
            <w:pPr>
              <w:spacing w:after="0"/>
              <w:rPr>
                <w:rFonts w:cs="Times New Roman"/>
                <w:color w:val="000000"/>
                <w:sz w:val="20"/>
                <w:szCs w:val="20"/>
                <w:lang w:val="sr-Cyrl-CS"/>
              </w:rPr>
            </w:pPr>
          </w:p>
        </w:tc>
        <w:tc>
          <w:tcPr>
            <w:tcW w:w="359" w:type="dxa"/>
            <w:tcBorders>
              <w:top w:val="single" w:sz="4" w:space="0" w:color="auto"/>
              <w:left w:val="nil"/>
              <w:bottom w:val="single" w:sz="4" w:space="0" w:color="auto"/>
              <w:right w:val="single" w:sz="4" w:space="0" w:color="auto"/>
            </w:tcBorders>
            <w:shd w:val="clear" w:color="auto" w:fill="FFFFFF" w:themeFill="background1"/>
            <w:tcMar>
              <w:top w:w="15" w:type="dxa"/>
              <w:left w:w="15" w:type="dxa"/>
              <w:bottom w:w="0" w:type="dxa"/>
              <w:right w:w="15" w:type="dxa"/>
            </w:tcMar>
          </w:tcPr>
          <w:p w14:paraId="68DB9A41" w14:textId="77777777" w:rsidR="00D210F0" w:rsidRPr="00092ED7" w:rsidRDefault="00D210F0" w:rsidP="00D210F0">
            <w:pPr>
              <w:spacing w:after="0"/>
              <w:rPr>
                <w:rFonts w:cs="Times New Roman"/>
                <w:color w:val="000000"/>
                <w:sz w:val="20"/>
                <w:szCs w:val="20"/>
                <w:lang w:val="sr-Cyrl-CS"/>
              </w:rPr>
            </w:pPr>
          </w:p>
        </w:tc>
        <w:tc>
          <w:tcPr>
            <w:tcW w:w="360" w:type="dxa"/>
            <w:tcBorders>
              <w:top w:val="single" w:sz="4" w:space="0" w:color="auto"/>
              <w:left w:val="nil"/>
              <w:bottom w:val="single" w:sz="4" w:space="0" w:color="auto"/>
              <w:right w:val="single" w:sz="4" w:space="0" w:color="auto"/>
            </w:tcBorders>
            <w:shd w:val="clear" w:color="auto" w:fill="FFFFFF" w:themeFill="background1"/>
            <w:tcMar>
              <w:top w:w="15" w:type="dxa"/>
              <w:left w:w="15" w:type="dxa"/>
              <w:bottom w:w="0" w:type="dxa"/>
              <w:right w:w="15" w:type="dxa"/>
            </w:tcMar>
          </w:tcPr>
          <w:p w14:paraId="4BB99F7B" w14:textId="77777777" w:rsidR="00D210F0" w:rsidRPr="00092ED7" w:rsidRDefault="00D210F0" w:rsidP="00D210F0">
            <w:pPr>
              <w:spacing w:after="0"/>
              <w:rPr>
                <w:rFonts w:cs="Times New Roman"/>
                <w:color w:val="000000"/>
                <w:sz w:val="18"/>
                <w:szCs w:val="18"/>
                <w:lang w:val="sr-Cyrl-CS"/>
              </w:rPr>
            </w:pPr>
          </w:p>
        </w:tc>
        <w:tc>
          <w:tcPr>
            <w:tcW w:w="360" w:type="dxa"/>
            <w:tcBorders>
              <w:top w:val="single" w:sz="4" w:space="0" w:color="auto"/>
              <w:left w:val="nil"/>
              <w:bottom w:val="single" w:sz="4" w:space="0" w:color="auto"/>
              <w:right w:val="single" w:sz="4" w:space="0" w:color="auto"/>
            </w:tcBorders>
            <w:shd w:val="clear" w:color="auto" w:fill="FFFFFF" w:themeFill="background1"/>
            <w:tcMar>
              <w:top w:w="15" w:type="dxa"/>
              <w:left w:w="15" w:type="dxa"/>
              <w:bottom w:w="0" w:type="dxa"/>
              <w:right w:w="15" w:type="dxa"/>
            </w:tcMar>
          </w:tcPr>
          <w:p w14:paraId="2B2812CB" w14:textId="77777777" w:rsidR="00D210F0" w:rsidRPr="00092ED7" w:rsidRDefault="00D210F0" w:rsidP="00D210F0">
            <w:pPr>
              <w:spacing w:after="0"/>
              <w:rPr>
                <w:rFonts w:cs="Times New Roman"/>
                <w:color w:val="000000"/>
                <w:sz w:val="18"/>
                <w:szCs w:val="18"/>
                <w:lang w:val="sr-Cyrl-CS"/>
              </w:rPr>
            </w:pPr>
          </w:p>
        </w:tc>
        <w:tc>
          <w:tcPr>
            <w:tcW w:w="360" w:type="dxa"/>
            <w:tcBorders>
              <w:top w:val="single" w:sz="4" w:space="0" w:color="auto"/>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hideMark/>
          </w:tcPr>
          <w:p w14:paraId="3B65B8CF" w14:textId="77777777" w:rsidR="00D210F0" w:rsidRPr="00092ED7" w:rsidRDefault="00D210F0" w:rsidP="00D210F0">
            <w:pPr>
              <w:spacing w:after="0"/>
              <w:rPr>
                <w:rFonts w:cs="Times New Roman"/>
                <w:color w:val="000000"/>
                <w:sz w:val="18"/>
                <w:szCs w:val="18"/>
                <w:lang w:val="sr-Cyrl-CS"/>
              </w:rPr>
            </w:pPr>
          </w:p>
        </w:tc>
      </w:tr>
    </w:tbl>
    <w:p w14:paraId="7E5288E2" w14:textId="77777777" w:rsidR="00D210F0" w:rsidRPr="00092ED7" w:rsidRDefault="00D210F0" w:rsidP="00071952">
      <w:pPr>
        <w:widowControl w:val="0"/>
        <w:numPr>
          <w:ilvl w:val="0"/>
          <w:numId w:val="38"/>
        </w:numPr>
        <w:spacing w:before="120"/>
        <w:rPr>
          <w:rFonts w:cs="Times New Roman"/>
          <w:b/>
          <w:bCs/>
          <w:szCs w:val="24"/>
          <w:lang w:val="sr-Cyrl-CS"/>
        </w:rPr>
      </w:pPr>
      <w:r w:rsidRPr="00092ED7">
        <w:rPr>
          <w:rFonts w:cs="Times New Roman"/>
          <w:b/>
          <w:bCs/>
          <w:szCs w:val="24"/>
          <w:lang w:val="sr-Cyrl-CS"/>
        </w:rPr>
        <w:t>Индикатори ризика</w:t>
      </w:r>
    </w:p>
    <w:tbl>
      <w:tblPr>
        <w:tblStyle w:val="TableGrid"/>
        <w:tblW w:w="9214" w:type="dxa"/>
        <w:tblInd w:w="-5" w:type="dxa"/>
        <w:tblLayout w:type="fixed"/>
        <w:tblLook w:val="04A0" w:firstRow="1" w:lastRow="0" w:firstColumn="1" w:lastColumn="0" w:noHBand="0" w:noVBand="1"/>
      </w:tblPr>
      <w:tblGrid>
        <w:gridCol w:w="3685"/>
        <w:gridCol w:w="1843"/>
        <w:gridCol w:w="1843"/>
        <w:gridCol w:w="1843"/>
      </w:tblGrid>
      <w:tr w:rsidR="00D210F0" w:rsidRPr="00092ED7" w14:paraId="52BC2616" w14:textId="77777777" w:rsidTr="006944C5">
        <w:trPr>
          <w:cnfStyle w:val="100000000000" w:firstRow="1" w:lastRow="0" w:firstColumn="0" w:lastColumn="0" w:oddVBand="0" w:evenVBand="0" w:oddHBand="0" w:evenHBand="0" w:firstRowFirstColumn="0" w:firstRowLastColumn="0" w:lastRowFirstColumn="0" w:lastRowLastColumn="0"/>
          <w:trHeight w:val="340"/>
        </w:trPr>
        <w:tc>
          <w:tcPr>
            <w:tcW w:w="3685" w:type="dxa"/>
          </w:tcPr>
          <w:p w14:paraId="3F5A3BE4" w14:textId="77777777" w:rsidR="00D210F0" w:rsidRPr="00092ED7" w:rsidRDefault="00D210F0" w:rsidP="006944C5">
            <w:pPr>
              <w:spacing w:before="0" w:after="0"/>
              <w:ind w:left="113" w:right="113"/>
              <w:jc w:val="center"/>
              <w:rPr>
                <w:rFonts w:cs="Times New Roman"/>
                <w:sz w:val="20"/>
                <w:lang w:val="sr-Cyrl-CS"/>
              </w:rPr>
            </w:pPr>
            <w:r w:rsidRPr="00092ED7">
              <w:rPr>
                <w:rFonts w:cs="Times New Roman"/>
                <w:sz w:val="20"/>
                <w:lang w:val="sr-Cyrl-CS"/>
              </w:rPr>
              <w:t>Показатељ</w:t>
            </w:r>
          </w:p>
        </w:tc>
        <w:tc>
          <w:tcPr>
            <w:tcW w:w="1843" w:type="dxa"/>
          </w:tcPr>
          <w:p w14:paraId="03B861FD" w14:textId="77777777" w:rsidR="00D210F0" w:rsidRPr="00092ED7" w:rsidRDefault="00D210F0" w:rsidP="006944C5">
            <w:pPr>
              <w:spacing w:before="0" w:after="0"/>
              <w:ind w:left="113" w:right="113"/>
              <w:jc w:val="center"/>
              <w:rPr>
                <w:rFonts w:cs="Times New Roman"/>
                <w:sz w:val="20"/>
                <w:lang w:val="sr-Cyrl-CS"/>
              </w:rPr>
            </w:pPr>
            <w:r w:rsidRPr="00092ED7">
              <w:rPr>
                <w:rFonts w:cs="Times New Roman"/>
                <w:sz w:val="20"/>
                <w:lang w:val="sr-Cyrl-CS"/>
              </w:rPr>
              <w:t>Почетна вредност</w:t>
            </w:r>
            <w:r w:rsidR="001D63D0" w:rsidRPr="00092ED7">
              <w:rPr>
                <w:rFonts w:cs="Times New Roman"/>
                <w:sz w:val="20"/>
                <w:lang w:val="sr-Cyrl-CS"/>
              </w:rPr>
              <w:t xml:space="preserve"> (2020)</w:t>
            </w:r>
          </w:p>
        </w:tc>
        <w:tc>
          <w:tcPr>
            <w:tcW w:w="1843" w:type="dxa"/>
          </w:tcPr>
          <w:p w14:paraId="5393D750" w14:textId="77777777" w:rsidR="00D210F0" w:rsidRPr="00092ED7" w:rsidRDefault="00D210F0" w:rsidP="006944C5">
            <w:pPr>
              <w:spacing w:before="0" w:after="0"/>
              <w:ind w:left="113" w:right="113"/>
              <w:jc w:val="center"/>
              <w:rPr>
                <w:rFonts w:cs="Times New Roman"/>
                <w:sz w:val="20"/>
                <w:lang w:val="sr-Cyrl-CS"/>
              </w:rPr>
            </w:pPr>
            <w:r w:rsidRPr="00092ED7">
              <w:rPr>
                <w:rFonts w:cs="Times New Roman"/>
                <w:sz w:val="20"/>
                <w:lang w:val="sr-Cyrl-CS"/>
              </w:rPr>
              <w:t>Међурезултат</w:t>
            </w:r>
            <w:r w:rsidR="006944C5" w:rsidRPr="00092ED7">
              <w:rPr>
                <w:rFonts w:cs="Times New Roman"/>
                <w:sz w:val="20"/>
                <w:lang w:val="sr-Cyrl-CS"/>
              </w:rPr>
              <w:t xml:space="preserve"> (202</w:t>
            </w:r>
            <w:r w:rsidR="001D63D0" w:rsidRPr="00092ED7">
              <w:rPr>
                <w:rFonts w:cs="Times New Roman"/>
                <w:sz w:val="20"/>
                <w:lang w:val="sr-Cyrl-CS"/>
              </w:rPr>
              <w:t>4</w:t>
            </w:r>
            <w:r w:rsidR="006944C5" w:rsidRPr="00092ED7">
              <w:rPr>
                <w:rFonts w:cs="Times New Roman"/>
                <w:sz w:val="20"/>
                <w:lang w:val="sr-Cyrl-CS"/>
              </w:rPr>
              <w:t>)</w:t>
            </w:r>
          </w:p>
        </w:tc>
        <w:tc>
          <w:tcPr>
            <w:tcW w:w="1843" w:type="dxa"/>
          </w:tcPr>
          <w:p w14:paraId="69B7FEF0" w14:textId="77777777" w:rsidR="00D210F0" w:rsidRPr="00092ED7" w:rsidRDefault="00D210F0" w:rsidP="006944C5">
            <w:pPr>
              <w:spacing w:before="0" w:after="0"/>
              <w:ind w:left="113" w:right="113"/>
              <w:jc w:val="center"/>
              <w:rPr>
                <w:rFonts w:cs="Times New Roman"/>
                <w:sz w:val="20"/>
                <w:lang w:val="sr-Cyrl-CS"/>
              </w:rPr>
            </w:pPr>
            <w:r w:rsidRPr="00092ED7">
              <w:rPr>
                <w:rFonts w:cs="Times New Roman"/>
                <w:sz w:val="20"/>
                <w:lang w:val="sr-Cyrl-CS"/>
              </w:rPr>
              <w:t>Циљна вредност</w:t>
            </w:r>
            <w:r w:rsidR="006944C5" w:rsidRPr="00092ED7">
              <w:rPr>
                <w:rFonts w:cs="Times New Roman"/>
                <w:sz w:val="20"/>
                <w:lang w:val="sr-Cyrl-CS"/>
              </w:rPr>
              <w:t xml:space="preserve"> (202</w:t>
            </w:r>
            <w:r w:rsidR="001D63D0" w:rsidRPr="00092ED7">
              <w:rPr>
                <w:rFonts w:cs="Times New Roman"/>
                <w:sz w:val="20"/>
                <w:lang w:val="sr-Cyrl-CS"/>
              </w:rPr>
              <w:t>6</w:t>
            </w:r>
            <w:r w:rsidR="006944C5" w:rsidRPr="00092ED7">
              <w:rPr>
                <w:rFonts w:cs="Times New Roman"/>
                <w:sz w:val="20"/>
                <w:lang w:val="sr-Cyrl-CS"/>
              </w:rPr>
              <w:t>)</w:t>
            </w:r>
          </w:p>
        </w:tc>
      </w:tr>
      <w:tr w:rsidR="00D210F0" w:rsidRPr="00092ED7" w14:paraId="25229531" w14:textId="77777777" w:rsidTr="006944C5">
        <w:tc>
          <w:tcPr>
            <w:tcW w:w="3685" w:type="dxa"/>
          </w:tcPr>
          <w:p w14:paraId="170DFF39" w14:textId="77777777" w:rsidR="00D210F0" w:rsidRPr="00092ED7" w:rsidRDefault="00D210F0" w:rsidP="006944C5">
            <w:pPr>
              <w:spacing w:before="0" w:after="0"/>
              <w:ind w:left="113" w:right="113"/>
              <w:rPr>
                <w:rFonts w:cs="Times New Roman"/>
                <w:sz w:val="20"/>
                <w:lang w:val="sr-Cyrl-CS"/>
              </w:rPr>
            </w:pPr>
            <w:r w:rsidRPr="00092ED7">
              <w:rPr>
                <w:rFonts w:cs="Times New Roman"/>
                <w:sz w:val="20"/>
                <w:lang w:val="sr-Cyrl-CS"/>
              </w:rPr>
              <w:t>Глобални индекс инфраструктуре квалитета (GQII index)</w:t>
            </w:r>
            <w:r w:rsidR="001D63D0" w:rsidRPr="00092ED7">
              <w:rPr>
                <w:rFonts w:cs="Times New Roman"/>
                <w:sz w:val="20"/>
                <w:lang w:val="sr-Cyrl-CS"/>
              </w:rPr>
              <w:t>*</w:t>
            </w:r>
          </w:p>
          <w:p w14:paraId="0F04F066" w14:textId="77777777" w:rsidR="00D210F0" w:rsidRPr="00092ED7" w:rsidRDefault="00D210F0" w:rsidP="006944C5">
            <w:pPr>
              <w:spacing w:before="0" w:after="0"/>
              <w:ind w:left="113" w:right="113"/>
              <w:rPr>
                <w:rFonts w:cs="Times New Roman"/>
                <w:i/>
                <w:sz w:val="20"/>
                <w:lang w:val="sr-Cyrl-CS"/>
              </w:rPr>
            </w:pPr>
            <w:r w:rsidRPr="00092ED7">
              <w:rPr>
                <w:rFonts w:cs="Times New Roman"/>
                <w:i/>
                <w:sz w:val="20"/>
                <w:lang w:val="sr-Cyrl-CS"/>
              </w:rPr>
              <w:t xml:space="preserve">Извор верификације: </w:t>
            </w:r>
            <w:hyperlink r:id="rId43" w:history="1">
              <w:r w:rsidRPr="00092ED7">
                <w:rPr>
                  <w:rFonts w:cs="Times New Roman"/>
                  <w:i/>
                  <w:color w:val="0563C1" w:themeColor="hyperlink"/>
                  <w:sz w:val="20"/>
                  <w:u w:val="single"/>
                  <w:lang w:val="sr-Cyrl-CS"/>
                </w:rPr>
                <w:t>https://gqii.org</w:t>
              </w:r>
            </w:hyperlink>
            <w:r w:rsidRPr="00092ED7">
              <w:rPr>
                <w:rFonts w:cs="Times New Roman"/>
                <w:i/>
                <w:sz w:val="20"/>
                <w:lang w:val="sr-Cyrl-CS"/>
              </w:rPr>
              <w:t xml:space="preserve"> </w:t>
            </w:r>
          </w:p>
        </w:tc>
        <w:tc>
          <w:tcPr>
            <w:tcW w:w="1843" w:type="dxa"/>
          </w:tcPr>
          <w:p w14:paraId="4B871F7E" w14:textId="77777777" w:rsidR="00D210F0" w:rsidRPr="00092ED7" w:rsidRDefault="00D210F0" w:rsidP="006944C5">
            <w:pPr>
              <w:spacing w:before="0" w:after="0"/>
              <w:ind w:left="113" w:right="113"/>
              <w:jc w:val="center"/>
              <w:rPr>
                <w:rFonts w:cs="Times New Roman"/>
                <w:sz w:val="20"/>
                <w:lang w:val="sr-Cyrl-CS"/>
              </w:rPr>
            </w:pPr>
            <w:r w:rsidRPr="00092ED7">
              <w:rPr>
                <w:rFonts w:cs="Times New Roman"/>
                <w:sz w:val="20"/>
                <w:lang w:val="sr-Cyrl-CS"/>
              </w:rPr>
              <w:t>86</w:t>
            </w:r>
          </w:p>
          <w:p w14:paraId="19D00595" w14:textId="77777777" w:rsidR="00D210F0" w:rsidRPr="00092ED7" w:rsidRDefault="00D210F0" w:rsidP="006944C5">
            <w:pPr>
              <w:spacing w:before="0" w:after="0"/>
              <w:ind w:left="113" w:right="113"/>
              <w:jc w:val="center"/>
              <w:rPr>
                <w:rFonts w:cs="Times New Roman"/>
                <w:sz w:val="20"/>
                <w:lang w:val="sr-Cyrl-CS"/>
              </w:rPr>
            </w:pPr>
          </w:p>
        </w:tc>
        <w:tc>
          <w:tcPr>
            <w:tcW w:w="1843" w:type="dxa"/>
          </w:tcPr>
          <w:p w14:paraId="5C72F2AE" w14:textId="77777777" w:rsidR="00D210F0" w:rsidRPr="00092ED7" w:rsidRDefault="006944C5" w:rsidP="006944C5">
            <w:pPr>
              <w:spacing w:before="0" w:after="0"/>
              <w:ind w:left="113" w:right="113"/>
              <w:jc w:val="center"/>
              <w:rPr>
                <w:rFonts w:cs="Times New Roman"/>
                <w:sz w:val="20"/>
                <w:lang w:val="sr-Cyrl-CS"/>
              </w:rPr>
            </w:pPr>
            <w:r w:rsidRPr="00092ED7">
              <w:rPr>
                <w:rFonts w:cs="Times New Roman"/>
                <w:sz w:val="20"/>
                <w:lang w:val="sr-Cyrl-CS"/>
              </w:rPr>
              <w:t>87</w:t>
            </w:r>
          </w:p>
        </w:tc>
        <w:tc>
          <w:tcPr>
            <w:tcW w:w="1843" w:type="dxa"/>
          </w:tcPr>
          <w:p w14:paraId="40D4D6FA" w14:textId="77777777" w:rsidR="00251403" w:rsidRPr="00092ED7" w:rsidRDefault="00251403" w:rsidP="00251403">
            <w:pPr>
              <w:spacing w:after="0"/>
              <w:ind w:left="113" w:right="113"/>
              <w:jc w:val="center"/>
              <w:rPr>
                <w:rFonts w:cs="Times New Roman"/>
                <w:sz w:val="20"/>
                <w:lang w:val="sr-Cyrl-CS"/>
              </w:rPr>
            </w:pPr>
            <w:r w:rsidRPr="00092ED7">
              <w:rPr>
                <w:rFonts w:cs="Times New Roman"/>
                <w:sz w:val="20"/>
                <w:lang w:val="sr-Cyrl-CS"/>
              </w:rPr>
              <w:t>88</w:t>
            </w:r>
          </w:p>
          <w:p w14:paraId="4047FF86" w14:textId="77777777" w:rsidR="00D210F0" w:rsidRPr="00092ED7" w:rsidRDefault="00D210F0" w:rsidP="006944C5">
            <w:pPr>
              <w:spacing w:before="0" w:after="0"/>
              <w:ind w:left="113" w:right="113"/>
              <w:jc w:val="center"/>
              <w:rPr>
                <w:rFonts w:cs="Times New Roman"/>
                <w:sz w:val="20"/>
                <w:lang w:val="sr-Cyrl-CS"/>
              </w:rPr>
            </w:pPr>
          </w:p>
        </w:tc>
      </w:tr>
    </w:tbl>
    <w:p w14:paraId="3AC246A7" w14:textId="77777777" w:rsidR="001D63D0" w:rsidRPr="00092ED7" w:rsidRDefault="001D63D0" w:rsidP="00A67EE8">
      <w:pPr>
        <w:tabs>
          <w:tab w:val="left" w:pos="360"/>
        </w:tabs>
        <w:spacing w:after="0"/>
        <w:contextualSpacing/>
        <w:rPr>
          <w:rFonts w:cs="Times New Roman"/>
          <w:bCs/>
          <w:sz w:val="16"/>
          <w:szCs w:val="16"/>
          <w:lang w:val="sr-Cyrl-CS"/>
        </w:rPr>
      </w:pPr>
      <w:r w:rsidRPr="00092ED7">
        <w:rPr>
          <w:rFonts w:cs="Times New Roman"/>
          <w:bCs/>
          <w:sz w:val="16"/>
          <w:szCs w:val="16"/>
          <w:lang w:val="sr-Cyrl-CS"/>
        </w:rPr>
        <w:t>*GQII индекс je развијен на иницијативу Немачког националног метролошког института (Physikalisch Technische Bundesanstalt - PTB) и обухвата званичне податке националних тела за акредитацију, стандардизацију и метрологију, а показује степен развијености система инфраструктуре квалитета. На основу вредности овог индекса, врши се рангирање 184 економије, у зависности од висине индекса, односно развијености у овој области. Максимална вредност индекса је 100, и за почетну вредност је узета вредност за 2020. годину као доступан податак (за 2021. и 2022. годину нису доступни подаци).</w:t>
      </w:r>
    </w:p>
    <w:p w14:paraId="4A1D43F1" w14:textId="77777777" w:rsidR="00D210F0" w:rsidRPr="00092ED7" w:rsidRDefault="00D210F0" w:rsidP="00071952">
      <w:pPr>
        <w:widowControl w:val="0"/>
        <w:numPr>
          <w:ilvl w:val="0"/>
          <w:numId w:val="38"/>
        </w:numPr>
        <w:spacing w:before="120"/>
        <w:rPr>
          <w:rFonts w:cs="Times New Roman"/>
          <w:b/>
          <w:bCs/>
          <w:szCs w:val="24"/>
          <w:lang w:val="sr-Cyrl-CS"/>
        </w:rPr>
      </w:pPr>
      <w:r w:rsidRPr="00092ED7">
        <w:rPr>
          <w:rFonts w:cs="Times New Roman"/>
          <w:b/>
          <w:bCs/>
          <w:szCs w:val="24"/>
          <w:lang w:val="sr-Cyrl-CS"/>
        </w:rPr>
        <w:t>Oчекивани</w:t>
      </w:r>
      <w:r w:rsidRPr="00092ED7">
        <w:rPr>
          <w:b/>
          <w:szCs w:val="24"/>
          <w:lang w:val="sr-Cyrl-CS"/>
        </w:rPr>
        <w:t xml:space="preserve"> утицај на конкурентност</w:t>
      </w:r>
    </w:p>
    <w:p w14:paraId="5FC45522" w14:textId="77777777" w:rsidR="00D210F0" w:rsidRPr="00092ED7" w:rsidRDefault="00D210F0" w:rsidP="00D210F0">
      <w:pPr>
        <w:spacing w:after="60"/>
        <w:rPr>
          <w:rFonts w:cs="Times New Roman"/>
          <w:szCs w:val="24"/>
          <w:lang w:val="sr-Cyrl-CS"/>
        </w:rPr>
      </w:pPr>
      <w:r w:rsidRPr="00092ED7">
        <w:rPr>
          <w:rFonts w:cs="Times New Roman"/>
          <w:szCs w:val="24"/>
          <w:lang w:val="sr-Cyrl-CS"/>
        </w:rPr>
        <w:t xml:space="preserve">Реформа ће допринети повећању нивоа квалитета и безбедности домаћих индустријских производа (обухваћених Преговарачким поглављем 1 – </w:t>
      </w:r>
      <w:r w:rsidR="00FD7510" w:rsidRPr="00092ED7">
        <w:rPr>
          <w:rFonts w:cs="Times New Roman"/>
          <w:szCs w:val="24"/>
          <w:lang w:val="sr-Cyrl-CS"/>
        </w:rPr>
        <w:t>С</w:t>
      </w:r>
      <w:r w:rsidRPr="00092ED7">
        <w:rPr>
          <w:rFonts w:cs="Times New Roman"/>
          <w:szCs w:val="24"/>
          <w:lang w:val="sr-Cyrl-CS"/>
        </w:rPr>
        <w:t xml:space="preserve">лободно кретање робе), што ће допринети повећању нивоа конкурентности наведених производа на тржишту ЕУ, а тиме ће позитивно утицати и на пораст апсолутног износа извоза, и удела извоза индустријских производа у укупном извозу Републике Србије. </w:t>
      </w:r>
      <w:r w:rsidRPr="00092ED7">
        <w:rPr>
          <w:rFonts w:eastAsia="Times New Roman" w:cs="Times New Roman"/>
          <w:szCs w:val="24"/>
          <w:lang w:val="sr-Cyrl-CS"/>
        </w:rPr>
        <w:t>Реализацијом ове реформе створиће се услови за даљи развој и потпуно усаглашавање са прописима и правилима ЕУ у областима стандардизације, акредитације, метрологије и оцењивања усаглашености са захтевима стандарда односно техничких прописа</w:t>
      </w:r>
      <w:r w:rsidR="002E61FD" w:rsidRPr="00092ED7">
        <w:rPr>
          <w:rFonts w:eastAsia="Times New Roman" w:cs="Times New Roman"/>
          <w:szCs w:val="24"/>
          <w:lang w:val="sr-Cyrl-CS"/>
        </w:rPr>
        <w:t xml:space="preserve">. Реформа ће допринети и јачању </w:t>
      </w:r>
      <w:r w:rsidRPr="00092ED7">
        <w:rPr>
          <w:rFonts w:eastAsia="Times New Roman" w:cs="Times New Roman"/>
          <w:szCs w:val="24"/>
          <w:lang w:val="sr-Cyrl-CS"/>
        </w:rPr>
        <w:t>институција инфраструктуре квалитета са циљем одржавања њихове</w:t>
      </w:r>
      <w:r w:rsidRPr="00092ED7">
        <w:rPr>
          <w:szCs w:val="24"/>
          <w:lang w:val="sr-Cyrl-CS"/>
        </w:rPr>
        <w:t xml:space="preserve"> </w:t>
      </w:r>
      <w:r w:rsidRPr="00092ED7">
        <w:rPr>
          <w:rFonts w:eastAsia="Times New Roman" w:cs="Times New Roman"/>
          <w:szCs w:val="24"/>
          <w:lang w:val="sr-Cyrl-CS"/>
        </w:rPr>
        <w:t xml:space="preserve">европске и међународне репутације, </w:t>
      </w:r>
      <w:r w:rsidR="002E61FD" w:rsidRPr="00092ED7">
        <w:rPr>
          <w:rFonts w:eastAsia="Times New Roman" w:cs="Times New Roman"/>
          <w:szCs w:val="24"/>
          <w:lang w:val="sr-Cyrl-CS"/>
        </w:rPr>
        <w:t xml:space="preserve">јачању </w:t>
      </w:r>
      <w:r w:rsidRPr="00092ED7">
        <w:rPr>
          <w:rFonts w:eastAsia="Times New Roman" w:cs="Times New Roman"/>
          <w:szCs w:val="24"/>
          <w:lang w:val="sr-Cyrl-CS"/>
        </w:rPr>
        <w:t>капацитета министарстава надлежних за поједине техничке прописе</w:t>
      </w:r>
      <w:r w:rsidR="002E61FD" w:rsidRPr="00092ED7">
        <w:rPr>
          <w:rFonts w:eastAsia="Times New Roman" w:cs="Times New Roman"/>
          <w:szCs w:val="24"/>
          <w:lang w:val="sr-Cyrl-CS"/>
        </w:rPr>
        <w:t xml:space="preserve"> и</w:t>
      </w:r>
      <w:r w:rsidRPr="00092ED7">
        <w:rPr>
          <w:rFonts w:eastAsia="Times New Roman" w:cs="Times New Roman"/>
          <w:szCs w:val="24"/>
          <w:lang w:val="sr-Cyrl-CS"/>
        </w:rPr>
        <w:t xml:space="preserve"> тржишног надзора</w:t>
      </w:r>
      <w:r w:rsidR="002E61FD" w:rsidRPr="00092ED7">
        <w:rPr>
          <w:rFonts w:eastAsia="Times New Roman" w:cs="Times New Roman"/>
          <w:szCs w:val="24"/>
          <w:lang w:val="sr-Cyrl-CS"/>
        </w:rPr>
        <w:t>, али ће</w:t>
      </w:r>
      <w:r w:rsidRPr="00092ED7">
        <w:rPr>
          <w:rFonts w:eastAsia="Times New Roman" w:cs="Times New Roman"/>
          <w:szCs w:val="24"/>
          <w:lang w:val="sr-Cyrl-CS"/>
        </w:rPr>
        <w:t xml:space="preserve"> и </w:t>
      </w:r>
      <w:r w:rsidR="002E61FD" w:rsidRPr="00092ED7">
        <w:rPr>
          <w:rFonts w:eastAsia="Times New Roman" w:cs="Times New Roman"/>
          <w:szCs w:val="24"/>
          <w:lang w:val="sr-Cyrl-CS"/>
        </w:rPr>
        <w:t xml:space="preserve">утицати на </w:t>
      </w:r>
      <w:r w:rsidRPr="00092ED7">
        <w:rPr>
          <w:rFonts w:eastAsia="Times New Roman" w:cs="Times New Roman"/>
          <w:szCs w:val="24"/>
          <w:lang w:val="sr-Cyrl-CS"/>
        </w:rPr>
        <w:t>континуирано повећавање свести привредих субјеката и крајњих потрошача о значају примене техничких прописа и стандарда за достизање високог нивоа квалитета и безбедности производа пласираних на тржишту Републике Србије, што све заједно представља значајан предуслов за јачање конкурентности српске привреде.</w:t>
      </w:r>
    </w:p>
    <w:p w14:paraId="0A02D85D" w14:textId="77777777" w:rsidR="00D210F0" w:rsidRPr="00092ED7" w:rsidRDefault="00D210F0" w:rsidP="00071952">
      <w:pPr>
        <w:widowControl w:val="0"/>
        <w:numPr>
          <w:ilvl w:val="0"/>
          <w:numId w:val="38"/>
        </w:numPr>
        <w:spacing w:before="120"/>
        <w:rPr>
          <w:rFonts w:cs="Times New Roman"/>
          <w:b/>
          <w:bCs/>
          <w:szCs w:val="24"/>
          <w:lang w:val="sr-Cyrl-CS"/>
        </w:rPr>
      </w:pPr>
      <w:r w:rsidRPr="00092ED7">
        <w:rPr>
          <w:rFonts w:cs="Times New Roman"/>
          <w:b/>
          <w:bCs/>
          <w:szCs w:val="24"/>
          <w:lang w:val="sr-Cyrl-CS"/>
        </w:rPr>
        <w:t>Процењени</w:t>
      </w:r>
      <w:r w:rsidRPr="00092ED7">
        <w:rPr>
          <w:b/>
          <w:szCs w:val="24"/>
          <w:lang w:val="sr-Cyrl-CS"/>
        </w:rPr>
        <w:t xml:space="preserve"> трошкови спровођења структурне реформе и предвиђени извори њиховог финансирања</w:t>
      </w:r>
    </w:p>
    <w:p w14:paraId="2A33278D" w14:textId="77777777" w:rsidR="002E61FD" w:rsidRPr="00092ED7" w:rsidRDefault="002E61FD" w:rsidP="00D030D6">
      <w:pPr>
        <w:spacing w:after="60"/>
        <w:rPr>
          <w:rFonts w:cs="Times New Roman"/>
          <w:lang w:val="sr-Cyrl-CS"/>
        </w:rPr>
      </w:pPr>
      <w:r w:rsidRPr="00092ED7">
        <w:rPr>
          <w:rFonts w:cs="Times New Roman"/>
          <w:lang w:val="sr-Cyrl-CS"/>
        </w:rPr>
        <w:t>Укупна вредност структурне реформе за период 2023-2025. године износи 700,000 евра.</w:t>
      </w:r>
    </w:p>
    <w:p w14:paraId="078115CE" w14:textId="77777777" w:rsidR="002E61FD" w:rsidRPr="00092ED7" w:rsidRDefault="002E61FD" w:rsidP="00D030D6">
      <w:pPr>
        <w:spacing w:after="60"/>
        <w:rPr>
          <w:rFonts w:cs="Times New Roman"/>
          <w:lang w:val="sr-Cyrl-CS"/>
        </w:rPr>
      </w:pPr>
      <w:r w:rsidRPr="00092ED7">
        <w:rPr>
          <w:rFonts w:cs="Times New Roman"/>
          <w:lang w:val="sr-Cyrl-CS"/>
        </w:rPr>
        <w:t>Трошкови спровођења структурне реформе по активностима:</w:t>
      </w:r>
    </w:p>
    <w:p w14:paraId="7E2E418B" w14:textId="70233D76" w:rsidR="002E61FD" w:rsidRPr="00092ED7" w:rsidRDefault="002E61FD" w:rsidP="00053B2B">
      <w:pPr>
        <w:pStyle w:val="ListParagraph"/>
        <w:widowControl w:val="0"/>
        <w:numPr>
          <w:ilvl w:val="0"/>
          <w:numId w:val="53"/>
        </w:numPr>
        <w:spacing w:after="0" w:line="240" w:lineRule="auto"/>
        <w:rPr>
          <w:rFonts w:cs="Times New Roman"/>
          <w:sz w:val="24"/>
          <w:szCs w:val="24"/>
          <w:lang w:val="sr-Cyrl-CS"/>
        </w:rPr>
      </w:pPr>
      <w:r w:rsidRPr="00092ED7">
        <w:rPr>
          <w:rFonts w:cs="Times New Roman"/>
          <w:sz w:val="24"/>
          <w:szCs w:val="24"/>
          <w:lang w:val="sr-Cyrl-CS"/>
        </w:rPr>
        <w:t xml:space="preserve">Прелиминарна анализа и израда нове </w:t>
      </w:r>
      <w:r w:rsidR="00CB0950" w:rsidRPr="00092ED7">
        <w:rPr>
          <w:rFonts w:cs="Times New Roman"/>
          <w:sz w:val="24"/>
          <w:szCs w:val="24"/>
          <w:lang w:val="sr-Cyrl-CS"/>
        </w:rPr>
        <w:t>с</w:t>
      </w:r>
      <w:r w:rsidRPr="00092ED7">
        <w:rPr>
          <w:rFonts w:cs="Times New Roman"/>
          <w:sz w:val="24"/>
          <w:szCs w:val="24"/>
          <w:lang w:val="sr-Cyrl-CS"/>
        </w:rPr>
        <w:t xml:space="preserve">тратегије </w:t>
      </w:r>
      <w:r w:rsidR="00CB0950" w:rsidRPr="00092ED7">
        <w:rPr>
          <w:rFonts w:cs="Times New Roman"/>
          <w:sz w:val="24"/>
          <w:szCs w:val="24"/>
          <w:lang w:val="sr-Cyrl-CS"/>
        </w:rPr>
        <w:t>инфраструктуре квалитета</w:t>
      </w:r>
      <w:r w:rsidRPr="00092ED7">
        <w:rPr>
          <w:rFonts w:cs="Times New Roman"/>
          <w:sz w:val="24"/>
          <w:szCs w:val="24"/>
          <w:lang w:val="sr-Cyrl-CS"/>
        </w:rPr>
        <w:t xml:space="preserve"> 2024-2030: 300.000 евра, извор финансирања: ИПА 2019 – пројекат </w:t>
      </w:r>
      <w:r w:rsidRPr="00092ED7">
        <w:rPr>
          <w:rFonts w:eastAsia="Times New Roman" w:cs="Times New Roman"/>
          <w:sz w:val="24"/>
          <w:szCs w:val="24"/>
          <w:lang w:val="sr-Cyrl-CS" w:eastAsia="en-US"/>
        </w:rPr>
        <w:t xml:space="preserve">„EU4BE - </w:t>
      </w:r>
      <w:r w:rsidRPr="00092ED7">
        <w:rPr>
          <w:rFonts w:cs="Times New Roman"/>
          <w:sz w:val="24"/>
          <w:szCs w:val="24"/>
          <w:lang w:val="sr-Cyrl-CS"/>
        </w:rPr>
        <w:t xml:space="preserve">EU for Better Business Environment” који обухвата  пројекат </w:t>
      </w:r>
      <w:r w:rsidRPr="00092ED7">
        <w:rPr>
          <w:rFonts w:cs="Times New Roman"/>
          <w:i/>
          <w:iCs/>
          <w:sz w:val="24"/>
          <w:szCs w:val="24"/>
          <w:lang w:val="sr-Cyrl-CS"/>
        </w:rPr>
        <w:t>„Инфраструктура квалитета, фактори развоја конкурентности – припремне активности за унапређење стратешког и законодавног оквира</w:t>
      </w:r>
      <w:r w:rsidR="001305E1" w:rsidRPr="00092ED7">
        <w:rPr>
          <w:rFonts w:cs="Times New Roman"/>
          <w:i/>
          <w:sz w:val="24"/>
          <w:szCs w:val="24"/>
          <w:lang w:val="sr-Cyrl-CS"/>
        </w:rPr>
        <w:t>”</w:t>
      </w:r>
      <w:r w:rsidRPr="00092ED7">
        <w:rPr>
          <w:rFonts w:cs="Times New Roman"/>
          <w:i/>
          <w:iCs/>
          <w:sz w:val="24"/>
          <w:szCs w:val="24"/>
          <w:lang w:val="sr-Cyrl-CS"/>
        </w:rPr>
        <w:t xml:space="preserve"> -</w:t>
      </w:r>
      <w:r w:rsidRPr="00092ED7">
        <w:rPr>
          <w:rFonts w:cs="Times New Roman"/>
          <w:sz w:val="24"/>
          <w:szCs w:val="24"/>
          <w:lang w:val="sr-Cyrl-CS"/>
        </w:rPr>
        <w:t xml:space="preserve"> </w:t>
      </w:r>
      <w:r w:rsidRPr="00092ED7">
        <w:rPr>
          <w:rFonts w:cs="Times New Roman"/>
          <w:i/>
          <w:iCs/>
          <w:sz w:val="24"/>
          <w:szCs w:val="24"/>
          <w:lang w:val="sr-Cyrl-CS"/>
        </w:rPr>
        <w:t xml:space="preserve">„Quality Infrastructure, Competitiveness Development Factors - Preparatory Activities for Improving the Strategic and Legislative </w:t>
      </w:r>
      <w:r w:rsidRPr="00092ED7">
        <w:rPr>
          <w:rFonts w:cs="Times New Roman"/>
          <w:i/>
          <w:iCs/>
          <w:sz w:val="24"/>
          <w:szCs w:val="24"/>
          <w:lang w:val="sr-Cyrl-CS"/>
        </w:rPr>
        <w:lastRenderedPageBreak/>
        <w:t>Framework</w:t>
      </w:r>
      <w:r w:rsidR="00291A46" w:rsidRPr="00092ED7">
        <w:rPr>
          <w:rFonts w:cs="Times New Roman"/>
          <w:i/>
          <w:sz w:val="24"/>
          <w:szCs w:val="24"/>
          <w:lang w:val="sr-Cyrl-CS"/>
        </w:rPr>
        <w:t>”</w:t>
      </w:r>
      <w:r w:rsidRPr="00092ED7">
        <w:rPr>
          <w:rFonts w:cs="Times New Roman"/>
          <w:i/>
          <w:iCs/>
          <w:sz w:val="24"/>
          <w:szCs w:val="24"/>
          <w:lang w:val="sr-Cyrl-CS"/>
        </w:rPr>
        <w:t xml:space="preserve">, </w:t>
      </w:r>
      <w:r w:rsidRPr="00092ED7">
        <w:rPr>
          <w:rFonts w:cs="Times New Roman"/>
          <w:iCs/>
          <w:sz w:val="24"/>
          <w:szCs w:val="24"/>
          <w:lang w:val="sr-Cyrl-CS"/>
        </w:rPr>
        <w:t xml:space="preserve">који </w:t>
      </w:r>
      <w:r w:rsidRPr="00092ED7">
        <w:rPr>
          <w:rFonts w:cs="Times New Roman"/>
          <w:sz w:val="24"/>
          <w:szCs w:val="24"/>
          <w:lang w:val="sr-Cyrl-CS"/>
        </w:rPr>
        <w:t>спроводи Светска банка;</w:t>
      </w:r>
    </w:p>
    <w:p w14:paraId="4F957D29" w14:textId="092DC09E" w:rsidR="002E61FD" w:rsidRPr="00092ED7" w:rsidRDefault="002E61FD" w:rsidP="00053B2B">
      <w:pPr>
        <w:pStyle w:val="ListParagraph"/>
        <w:widowControl w:val="0"/>
        <w:numPr>
          <w:ilvl w:val="0"/>
          <w:numId w:val="53"/>
        </w:numPr>
        <w:spacing w:after="0" w:line="240" w:lineRule="auto"/>
        <w:rPr>
          <w:rFonts w:cs="Times New Roman"/>
          <w:sz w:val="24"/>
          <w:szCs w:val="24"/>
          <w:lang w:val="sr-Cyrl-CS"/>
        </w:rPr>
      </w:pPr>
      <w:r w:rsidRPr="00092ED7">
        <w:rPr>
          <w:rFonts w:cs="Times New Roman"/>
          <w:sz w:val="24"/>
          <w:szCs w:val="24"/>
          <w:lang w:val="sr-Cyrl-CS"/>
        </w:rPr>
        <w:t xml:space="preserve">Израда </w:t>
      </w:r>
      <w:r w:rsidR="00CB0950" w:rsidRPr="00092ED7">
        <w:rPr>
          <w:rFonts w:cs="Times New Roman"/>
          <w:sz w:val="24"/>
          <w:szCs w:val="24"/>
          <w:lang w:val="sr-Cyrl-CS"/>
        </w:rPr>
        <w:t>а</w:t>
      </w:r>
      <w:r w:rsidRPr="00092ED7">
        <w:rPr>
          <w:rFonts w:cs="Times New Roman"/>
          <w:sz w:val="24"/>
          <w:szCs w:val="24"/>
          <w:lang w:val="sr-Cyrl-CS"/>
        </w:rPr>
        <w:t xml:space="preserve">кционог плана за спровођење </w:t>
      </w:r>
      <w:r w:rsidR="00CB0950" w:rsidRPr="00092ED7">
        <w:rPr>
          <w:rFonts w:cs="Times New Roman"/>
          <w:sz w:val="24"/>
          <w:szCs w:val="24"/>
          <w:lang w:val="sr-Cyrl-CS"/>
        </w:rPr>
        <w:t>с</w:t>
      </w:r>
      <w:r w:rsidRPr="00092ED7">
        <w:rPr>
          <w:rFonts w:cs="Times New Roman"/>
          <w:sz w:val="24"/>
          <w:szCs w:val="24"/>
          <w:lang w:val="sr-Cyrl-CS"/>
        </w:rPr>
        <w:t xml:space="preserve">тратегије </w:t>
      </w:r>
      <w:r w:rsidR="00CB0950" w:rsidRPr="00092ED7">
        <w:rPr>
          <w:rFonts w:cs="Times New Roman"/>
          <w:sz w:val="24"/>
          <w:szCs w:val="24"/>
          <w:lang w:val="sr-Cyrl-CS"/>
        </w:rPr>
        <w:t>инфраструктуре квалитета</w:t>
      </w:r>
      <w:r w:rsidRPr="00092ED7">
        <w:rPr>
          <w:rFonts w:cs="Times New Roman"/>
          <w:sz w:val="24"/>
          <w:szCs w:val="24"/>
          <w:lang w:val="sr-Cyrl-CS"/>
        </w:rPr>
        <w:t xml:space="preserve"> 2024-2030</w:t>
      </w:r>
      <w:r w:rsidR="00CB0950" w:rsidRPr="00092ED7">
        <w:rPr>
          <w:rFonts w:cs="Times New Roman"/>
          <w:sz w:val="24"/>
          <w:szCs w:val="24"/>
          <w:lang w:val="sr-Cyrl-CS"/>
        </w:rPr>
        <w:t>.</w:t>
      </w:r>
      <w:r w:rsidRPr="00092ED7">
        <w:rPr>
          <w:rFonts w:cs="Times New Roman"/>
          <w:sz w:val="24"/>
          <w:szCs w:val="24"/>
          <w:lang w:val="sr-Cyrl-CS"/>
        </w:rPr>
        <w:t xml:space="preserve"> за 2024. и 2025. годину: 150,000 евра, извор финансирања: буџет </w:t>
      </w:r>
      <w:r w:rsidR="00CB0950" w:rsidRPr="00092ED7">
        <w:rPr>
          <w:rFonts w:cs="Times New Roman"/>
          <w:sz w:val="24"/>
          <w:szCs w:val="24"/>
          <w:lang w:val="sr-Cyrl-CS"/>
        </w:rPr>
        <w:t xml:space="preserve">Републике Србије </w:t>
      </w:r>
      <w:r w:rsidRPr="00092ED7">
        <w:rPr>
          <w:rFonts w:cs="Times New Roman"/>
          <w:sz w:val="24"/>
          <w:szCs w:val="24"/>
          <w:lang w:val="sr-Cyrl-CS"/>
        </w:rPr>
        <w:t>и донаторска подршка (није још обезбеђено);</w:t>
      </w:r>
    </w:p>
    <w:p w14:paraId="34EF7DEA" w14:textId="1B64CB20" w:rsidR="002E61FD" w:rsidRPr="00092ED7" w:rsidRDefault="002E61FD" w:rsidP="00053B2B">
      <w:pPr>
        <w:pStyle w:val="ListParagraph"/>
        <w:widowControl w:val="0"/>
        <w:numPr>
          <w:ilvl w:val="0"/>
          <w:numId w:val="53"/>
        </w:numPr>
        <w:spacing w:after="0" w:line="240" w:lineRule="auto"/>
        <w:rPr>
          <w:rFonts w:cs="Times New Roman"/>
          <w:sz w:val="24"/>
          <w:szCs w:val="24"/>
          <w:lang w:val="sr-Cyrl-CS"/>
        </w:rPr>
      </w:pPr>
      <w:r w:rsidRPr="00092ED7">
        <w:rPr>
          <w:rFonts w:cs="Times New Roman"/>
          <w:sz w:val="24"/>
          <w:szCs w:val="24"/>
          <w:lang w:val="sr-Cyrl-CS"/>
        </w:rPr>
        <w:t xml:space="preserve">Стварање услова за пуну интеграцију Републике Србије у јединствено тржиште ЕУ за три групе индустријских производа (електрични и електронски производи, машине и </w:t>
      </w:r>
      <w:r w:rsidR="00CB0950" w:rsidRPr="00092ED7">
        <w:rPr>
          <w:rFonts w:cs="Times New Roman"/>
          <w:sz w:val="24"/>
          <w:szCs w:val="24"/>
          <w:lang w:val="sr-Cyrl-CS"/>
        </w:rPr>
        <w:t>личне заштитне опреме</w:t>
      </w:r>
      <w:r w:rsidRPr="00092ED7">
        <w:rPr>
          <w:rFonts w:cs="Times New Roman"/>
          <w:sz w:val="24"/>
          <w:szCs w:val="24"/>
          <w:lang w:val="sr-Cyrl-CS"/>
        </w:rPr>
        <w:t xml:space="preserve">): 250,000 евра, извор финансирања: буџет </w:t>
      </w:r>
      <w:r w:rsidR="00CB0950" w:rsidRPr="00092ED7">
        <w:rPr>
          <w:rFonts w:cs="Times New Roman"/>
          <w:sz w:val="24"/>
          <w:szCs w:val="24"/>
          <w:lang w:val="sr-Cyrl-CS"/>
        </w:rPr>
        <w:t xml:space="preserve">Републике Србије </w:t>
      </w:r>
      <w:r w:rsidRPr="00092ED7">
        <w:rPr>
          <w:rFonts w:cs="Times New Roman"/>
          <w:sz w:val="24"/>
          <w:szCs w:val="24"/>
          <w:lang w:val="sr-Cyrl-CS"/>
        </w:rPr>
        <w:t>и донаторска подршка (није још обезбеђено);</w:t>
      </w:r>
    </w:p>
    <w:p w14:paraId="62BE42B0" w14:textId="04D14287" w:rsidR="002E61FD" w:rsidRPr="00092ED7" w:rsidRDefault="002E61FD" w:rsidP="00053B2B">
      <w:pPr>
        <w:pStyle w:val="ListParagraph"/>
        <w:widowControl w:val="0"/>
        <w:numPr>
          <w:ilvl w:val="0"/>
          <w:numId w:val="53"/>
        </w:numPr>
        <w:spacing w:after="0" w:line="240" w:lineRule="auto"/>
        <w:rPr>
          <w:rFonts w:cs="Times New Roman"/>
          <w:sz w:val="24"/>
          <w:szCs w:val="24"/>
          <w:lang w:val="sr-Cyrl-CS"/>
        </w:rPr>
      </w:pPr>
      <w:r w:rsidRPr="00092ED7">
        <w:rPr>
          <w:rFonts w:cs="Times New Roman"/>
          <w:sz w:val="24"/>
          <w:szCs w:val="24"/>
          <w:lang w:val="sr-Cyrl-CS"/>
        </w:rPr>
        <w:t xml:space="preserve">Потписивање </w:t>
      </w:r>
      <w:r w:rsidRPr="00092ED7">
        <w:rPr>
          <w:rFonts w:cs="Times New Roman"/>
          <w:i/>
          <w:iCs/>
          <w:sz w:val="24"/>
          <w:szCs w:val="24"/>
          <w:lang w:val="sr-Cyrl-CS"/>
        </w:rPr>
        <w:t>ACAA</w:t>
      </w:r>
      <w:r w:rsidRPr="00092ED7">
        <w:rPr>
          <w:rFonts w:cs="Times New Roman"/>
          <w:sz w:val="24"/>
          <w:szCs w:val="24"/>
          <w:lang w:val="sr-Cyrl-CS"/>
        </w:rPr>
        <w:t xml:space="preserve"> </w:t>
      </w:r>
      <w:r w:rsidR="00A15328" w:rsidRPr="00092ED7">
        <w:rPr>
          <w:rFonts w:cs="Times New Roman"/>
          <w:sz w:val="24"/>
          <w:szCs w:val="24"/>
          <w:lang w:val="sr-Cyrl-CS"/>
        </w:rPr>
        <w:t>с</w:t>
      </w:r>
      <w:r w:rsidRPr="00092ED7">
        <w:rPr>
          <w:rFonts w:cs="Times New Roman"/>
          <w:sz w:val="24"/>
          <w:szCs w:val="24"/>
          <w:lang w:val="sr-Cyrl-CS"/>
        </w:rPr>
        <w:t xml:space="preserve">поразума за идентификоване три групе индустријских производа (електрични и електронски производи, машине и </w:t>
      </w:r>
      <w:r w:rsidR="005B484F" w:rsidRPr="00092ED7">
        <w:rPr>
          <w:rFonts w:cs="Times New Roman"/>
          <w:sz w:val="24"/>
          <w:szCs w:val="24"/>
          <w:lang w:val="sr-Cyrl-CS"/>
        </w:rPr>
        <w:t>лична заштитна опрема</w:t>
      </w:r>
      <w:r w:rsidRPr="00092ED7">
        <w:rPr>
          <w:rFonts w:cs="Times New Roman"/>
          <w:sz w:val="24"/>
          <w:szCs w:val="24"/>
          <w:lang w:val="sr-Cyrl-CS"/>
        </w:rPr>
        <w:t>): за ову активност нису потребна финансијска средства.</w:t>
      </w:r>
    </w:p>
    <w:p w14:paraId="38113B1F" w14:textId="77777777" w:rsidR="00D210F0" w:rsidRPr="00092ED7" w:rsidRDefault="00D210F0" w:rsidP="00071952">
      <w:pPr>
        <w:widowControl w:val="0"/>
        <w:numPr>
          <w:ilvl w:val="0"/>
          <w:numId w:val="38"/>
        </w:numPr>
        <w:spacing w:before="120"/>
        <w:rPr>
          <w:rFonts w:cs="Times New Roman"/>
          <w:b/>
          <w:szCs w:val="24"/>
          <w:lang w:val="sr-Cyrl-CS"/>
        </w:rPr>
      </w:pPr>
      <w:r w:rsidRPr="00092ED7">
        <w:rPr>
          <w:rFonts w:cs="Times New Roman"/>
          <w:b/>
          <w:bCs/>
          <w:szCs w:val="24"/>
          <w:lang w:val="sr-Cyrl-CS"/>
        </w:rPr>
        <w:t>Очекивани</w:t>
      </w:r>
      <w:r w:rsidRPr="00092ED7">
        <w:rPr>
          <w:rFonts w:cs="Times New Roman"/>
          <w:b/>
          <w:szCs w:val="24"/>
          <w:lang w:val="sr-Cyrl-CS"/>
        </w:rPr>
        <w:t xml:space="preserve"> утицај на социјалне циљеве, као што су запосленост, смањење сиромаштва, родна равноправност и приступ здравственој заштити</w:t>
      </w:r>
    </w:p>
    <w:p w14:paraId="0815DE4B" w14:textId="6AF1D57C" w:rsidR="00D210F0" w:rsidRPr="00092ED7" w:rsidRDefault="00112925" w:rsidP="00D210F0">
      <w:pPr>
        <w:tabs>
          <w:tab w:val="left" w:pos="360"/>
        </w:tabs>
        <w:spacing w:after="60"/>
        <w:rPr>
          <w:rFonts w:cs="Times New Roman"/>
          <w:b/>
          <w:szCs w:val="24"/>
          <w:lang w:val="sr-Cyrl-CS"/>
        </w:rPr>
      </w:pPr>
      <w:r w:rsidRPr="00092ED7">
        <w:rPr>
          <w:rFonts w:cs="Times New Roman"/>
          <w:szCs w:val="24"/>
          <w:lang w:val="sr-Cyrl-CS"/>
        </w:rPr>
        <w:t>Имплементација ове структурне реформе је предуслов за јачање конкурентности српске привреде (повећање нивоа квалитета и безбедности домаћих индустријских производа), што кроз пораст извоза поменутих производа на тржиште ЕУ може имати директан утицај повећање запослености и смањење сиромаштва, као и индиректни позитиван утицај на остваривање принципа родне равноправности.</w:t>
      </w:r>
    </w:p>
    <w:p w14:paraId="49FDA868" w14:textId="77777777" w:rsidR="00D210F0" w:rsidRPr="00092ED7" w:rsidRDefault="00D210F0" w:rsidP="00071952">
      <w:pPr>
        <w:widowControl w:val="0"/>
        <w:numPr>
          <w:ilvl w:val="0"/>
          <w:numId w:val="38"/>
        </w:numPr>
        <w:spacing w:before="120"/>
        <w:rPr>
          <w:rFonts w:cs="Times New Roman"/>
          <w:b/>
          <w:szCs w:val="24"/>
          <w:lang w:val="sr-Cyrl-CS"/>
        </w:rPr>
      </w:pPr>
      <w:r w:rsidRPr="00092ED7">
        <w:rPr>
          <w:rFonts w:cs="Times New Roman"/>
          <w:b/>
          <w:bCs/>
          <w:szCs w:val="24"/>
          <w:lang w:val="sr-Cyrl-CS"/>
        </w:rPr>
        <w:t>Очекивани</w:t>
      </w:r>
      <w:r w:rsidRPr="00092ED7">
        <w:rPr>
          <w:rFonts w:cs="Times New Roman"/>
          <w:b/>
          <w:szCs w:val="24"/>
          <w:lang w:val="sr-Cyrl-CS"/>
        </w:rPr>
        <w:t xml:space="preserve"> утицај на животну средину и климатске промене</w:t>
      </w:r>
    </w:p>
    <w:p w14:paraId="23326A5C" w14:textId="77777777" w:rsidR="00D210F0" w:rsidRPr="00092ED7" w:rsidRDefault="00D210F0" w:rsidP="00D210F0">
      <w:pPr>
        <w:spacing w:after="60"/>
        <w:rPr>
          <w:rFonts w:cs="Times New Roman"/>
          <w:i/>
          <w:lang w:val="sr-Cyrl-CS"/>
        </w:rPr>
      </w:pPr>
      <w:r w:rsidRPr="00092ED7">
        <w:rPr>
          <w:rFonts w:cs="Times New Roman"/>
          <w:lang w:val="sr-Cyrl-CS"/>
        </w:rPr>
        <w:t>Структурна реформа има позитиван утицај на животну средину, јер њени резултати доприносе унапређењу техничких прописа и примене стандарда који укључују и захтеве заштите животне средине</w:t>
      </w:r>
      <w:r w:rsidRPr="00092ED7">
        <w:rPr>
          <w:rFonts w:cs="Times New Roman"/>
          <w:i/>
          <w:lang w:val="sr-Cyrl-CS"/>
        </w:rPr>
        <w:t xml:space="preserve"> </w:t>
      </w:r>
      <w:r w:rsidRPr="00092ED7">
        <w:rPr>
          <w:rFonts w:cs="Times New Roman"/>
          <w:lang w:val="sr-Cyrl-CS"/>
        </w:rPr>
        <w:t xml:space="preserve">(нпр. </w:t>
      </w:r>
      <w:r w:rsidR="002E61FD" w:rsidRPr="00092ED7">
        <w:rPr>
          <w:rFonts w:cs="Times New Roman"/>
          <w:lang w:val="sr-Cyrl-CS"/>
        </w:rPr>
        <w:t xml:space="preserve">SRPS ISO </w:t>
      </w:r>
      <w:r w:rsidRPr="00092ED7">
        <w:rPr>
          <w:rFonts w:cs="Times New Roman"/>
          <w:lang w:val="sr-Cyrl-CS"/>
        </w:rPr>
        <w:t xml:space="preserve">14001 - </w:t>
      </w:r>
      <w:r w:rsidR="002E61FD" w:rsidRPr="00092ED7">
        <w:rPr>
          <w:rFonts w:cs="Times New Roman"/>
          <w:lang w:val="sr-Cyrl-CS"/>
        </w:rPr>
        <w:t xml:space="preserve">Системи </w:t>
      </w:r>
      <w:r w:rsidRPr="00092ED7">
        <w:rPr>
          <w:rFonts w:cs="Times New Roman"/>
          <w:lang w:val="sr-Cyrl-CS"/>
        </w:rPr>
        <w:t xml:space="preserve">менаџмента </w:t>
      </w:r>
      <w:r w:rsidR="002E61FD" w:rsidRPr="00092ED7">
        <w:rPr>
          <w:rFonts w:cs="Times New Roman"/>
          <w:lang w:val="sr-Cyrl-CS"/>
        </w:rPr>
        <w:t>животном средином</w:t>
      </w:r>
      <w:r w:rsidRPr="00092ED7">
        <w:rPr>
          <w:rFonts w:cs="Times New Roman"/>
          <w:lang w:val="sr-Cyrl-CS"/>
        </w:rPr>
        <w:t xml:space="preserve">, </w:t>
      </w:r>
      <w:r w:rsidR="002E61FD" w:rsidRPr="00092ED7">
        <w:rPr>
          <w:rFonts w:cs="Times New Roman"/>
          <w:lang w:val="sr-Cyrl-CS"/>
        </w:rPr>
        <w:t>SRPS ISO</w:t>
      </w:r>
      <w:r w:rsidRPr="00092ED7">
        <w:rPr>
          <w:rFonts w:cs="Times New Roman"/>
          <w:lang w:val="sr-Cyrl-CS"/>
        </w:rPr>
        <w:t xml:space="preserve"> 50001 – Системи менаџмента енергијом), што ће омогућити привредним субјектима да повећају своју одговорност према животној средини</w:t>
      </w:r>
      <w:r w:rsidRPr="00092ED7">
        <w:rPr>
          <w:lang w:val="sr-Cyrl-CS"/>
        </w:rPr>
        <w:t>.</w:t>
      </w:r>
    </w:p>
    <w:p w14:paraId="60271753" w14:textId="77777777" w:rsidR="00D210F0" w:rsidRPr="00092ED7" w:rsidRDefault="00D210F0" w:rsidP="00071952">
      <w:pPr>
        <w:widowControl w:val="0"/>
        <w:numPr>
          <w:ilvl w:val="0"/>
          <w:numId w:val="38"/>
        </w:numPr>
        <w:spacing w:before="120"/>
        <w:rPr>
          <w:rFonts w:cs="Times New Roman"/>
          <w:b/>
          <w:szCs w:val="24"/>
          <w:lang w:val="sr-Cyrl-CS"/>
        </w:rPr>
      </w:pPr>
      <w:r w:rsidRPr="00092ED7">
        <w:rPr>
          <w:rFonts w:cs="Times New Roman"/>
          <w:b/>
          <w:bCs/>
          <w:szCs w:val="24"/>
          <w:lang w:val="sr-Cyrl-CS"/>
        </w:rPr>
        <w:t>Потенцијални</w:t>
      </w:r>
      <w:r w:rsidRPr="00092ED7">
        <w:rPr>
          <w:rFonts w:cs="Times New Roman"/>
          <w:b/>
          <w:szCs w:val="24"/>
          <w:lang w:val="sr-Cyrl-CS"/>
        </w:rPr>
        <w:t xml:space="preserve"> ризици</w:t>
      </w:r>
    </w:p>
    <w:tbl>
      <w:tblPr>
        <w:tblStyle w:val="TableGrid2"/>
        <w:tblW w:w="9067" w:type="dxa"/>
        <w:tblLayout w:type="fixed"/>
        <w:tblLook w:val="04A0" w:firstRow="1" w:lastRow="0" w:firstColumn="1" w:lastColumn="0" w:noHBand="0" w:noVBand="1"/>
      </w:tblPr>
      <w:tblGrid>
        <w:gridCol w:w="2948"/>
        <w:gridCol w:w="2098"/>
        <w:gridCol w:w="4021"/>
      </w:tblGrid>
      <w:tr w:rsidR="00D210F0" w:rsidRPr="00092ED7" w14:paraId="214B34C4" w14:textId="77777777" w:rsidTr="006944C5">
        <w:trPr>
          <w:cnfStyle w:val="100000000000" w:firstRow="1" w:lastRow="0" w:firstColumn="0" w:lastColumn="0" w:oddVBand="0" w:evenVBand="0" w:oddHBand="0" w:evenHBand="0" w:firstRowFirstColumn="0" w:firstRowLastColumn="0" w:lastRowFirstColumn="0" w:lastRowLastColumn="0"/>
        </w:trPr>
        <w:tc>
          <w:tcPr>
            <w:tcW w:w="2948" w:type="dxa"/>
          </w:tcPr>
          <w:p w14:paraId="56B6A511" w14:textId="77777777" w:rsidR="00D210F0" w:rsidRPr="00092ED7" w:rsidRDefault="00D210F0" w:rsidP="006944C5">
            <w:pPr>
              <w:spacing w:before="0" w:after="0"/>
              <w:ind w:left="113" w:right="113"/>
              <w:jc w:val="center"/>
              <w:rPr>
                <w:sz w:val="20"/>
                <w:lang w:val="sr-Cyrl-CS"/>
              </w:rPr>
            </w:pPr>
            <w:r w:rsidRPr="00092ED7">
              <w:rPr>
                <w:rFonts w:cs="Times New Roman"/>
                <w:sz w:val="20"/>
                <w:lang w:val="sr-Cyrl-CS"/>
              </w:rPr>
              <w:t>Ризик</w:t>
            </w:r>
          </w:p>
        </w:tc>
        <w:tc>
          <w:tcPr>
            <w:tcW w:w="2098" w:type="dxa"/>
          </w:tcPr>
          <w:p w14:paraId="37E755D1" w14:textId="77777777" w:rsidR="00D210F0" w:rsidRPr="00092ED7" w:rsidRDefault="00D210F0" w:rsidP="006944C5">
            <w:pPr>
              <w:spacing w:before="0" w:after="0"/>
              <w:ind w:left="113" w:right="113"/>
              <w:jc w:val="center"/>
              <w:rPr>
                <w:rFonts w:cs="Times New Roman"/>
                <w:b w:val="0"/>
                <w:sz w:val="20"/>
                <w:lang w:val="sr-Cyrl-CS"/>
              </w:rPr>
            </w:pPr>
            <w:r w:rsidRPr="00092ED7">
              <w:rPr>
                <w:rFonts w:cs="Times New Roman"/>
                <w:sz w:val="20"/>
                <w:lang w:val="sr-Cyrl-CS"/>
              </w:rPr>
              <w:t>Вероватноћа за остваривање ризика</w:t>
            </w:r>
          </w:p>
        </w:tc>
        <w:tc>
          <w:tcPr>
            <w:tcW w:w="4021" w:type="dxa"/>
          </w:tcPr>
          <w:p w14:paraId="40D40832" w14:textId="77777777" w:rsidR="00D210F0" w:rsidRPr="00092ED7" w:rsidRDefault="00D210F0" w:rsidP="006944C5">
            <w:pPr>
              <w:spacing w:before="0" w:after="0"/>
              <w:ind w:left="113" w:right="113"/>
              <w:jc w:val="center"/>
              <w:rPr>
                <w:sz w:val="20"/>
                <w:lang w:val="sr-Cyrl-CS"/>
              </w:rPr>
            </w:pPr>
            <w:r w:rsidRPr="00092ED7">
              <w:rPr>
                <w:rFonts w:cs="Times New Roman"/>
                <w:sz w:val="20"/>
                <w:lang w:val="sr-Cyrl-CS"/>
              </w:rPr>
              <w:t>Планиране активност за ублажавање негативних ефеката ризика</w:t>
            </w:r>
          </w:p>
        </w:tc>
      </w:tr>
      <w:tr w:rsidR="00D210F0" w:rsidRPr="00092ED7" w14:paraId="48C9BDF7" w14:textId="77777777" w:rsidTr="00D030D6">
        <w:tc>
          <w:tcPr>
            <w:tcW w:w="2948" w:type="dxa"/>
            <w:vAlign w:val="top"/>
          </w:tcPr>
          <w:p w14:paraId="5D340B6F" w14:textId="77777777" w:rsidR="00D210F0" w:rsidRPr="00092ED7" w:rsidRDefault="00D210F0" w:rsidP="00D030D6">
            <w:pPr>
              <w:spacing w:before="0" w:after="0"/>
              <w:ind w:left="113" w:right="113"/>
              <w:rPr>
                <w:sz w:val="20"/>
                <w:lang w:val="sr-Cyrl-CS"/>
              </w:rPr>
            </w:pPr>
            <w:r w:rsidRPr="00092ED7">
              <w:rPr>
                <w:rFonts w:cs="Times New Roman"/>
                <w:sz w:val="20"/>
                <w:lang w:val="sr-Cyrl-CS"/>
              </w:rPr>
              <w:t>Недостатак финансијских средстава</w:t>
            </w:r>
          </w:p>
        </w:tc>
        <w:tc>
          <w:tcPr>
            <w:tcW w:w="2098" w:type="dxa"/>
            <w:vAlign w:val="top"/>
          </w:tcPr>
          <w:p w14:paraId="30A77F10" w14:textId="77777777" w:rsidR="00D210F0" w:rsidRPr="00092ED7" w:rsidRDefault="00D210F0" w:rsidP="00D030D6">
            <w:pPr>
              <w:spacing w:before="0" w:after="0"/>
              <w:ind w:left="113" w:right="113"/>
              <w:jc w:val="center"/>
              <w:rPr>
                <w:sz w:val="20"/>
                <w:lang w:val="sr-Cyrl-CS"/>
              </w:rPr>
            </w:pPr>
            <w:r w:rsidRPr="00092ED7">
              <w:rPr>
                <w:rFonts w:cs="Times New Roman"/>
                <w:sz w:val="20"/>
                <w:lang w:val="sr-Cyrl-CS"/>
              </w:rPr>
              <w:t>Ниска</w:t>
            </w:r>
          </w:p>
        </w:tc>
        <w:tc>
          <w:tcPr>
            <w:tcW w:w="4021" w:type="dxa"/>
          </w:tcPr>
          <w:p w14:paraId="24C24535" w14:textId="22489A5E" w:rsidR="00D210F0" w:rsidRPr="00092ED7" w:rsidRDefault="00D210F0" w:rsidP="006944C5">
            <w:pPr>
              <w:spacing w:before="0" w:after="0"/>
              <w:ind w:left="113" w:right="113"/>
              <w:rPr>
                <w:rFonts w:cs="Times New Roman"/>
                <w:sz w:val="20"/>
                <w:lang w:val="sr-Cyrl-CS"/>
              </w:rPr>
            </w:pPr>
            <w:r w:rsidRPr="00092ED7">
              <w:rPr>
                <w:rFonts w:cs="Times New Roman"/>
                <w:sz w:val="20"/>
                <w:lang w:val="sr-Cyrl-CS"/>
              </w:rPr>
              <w:t>Проналажење алтернативних извора финансирања кроз међународне пројекте, донације</w:t>
            </w:r>
            <w:r w:rsidR="00A6728C" w:rsidRPr="00092ED7">
              <w:rPr>
                <w:rFonts w:cs="Times New Roman"/>
                <w:sz w:val="20"/>
                <w:lang w:val="sr-Cyrl-CS"/>
              </w:rPr>
              <w:t xml:space="preserve"> </w:t>
            </w:r>
            <w:r w:rsidRPr="00092ED7">
              <w:rPr>
                <w:rFonts w:cs="Times New Roman"/>
                <w:sz w:val="20"/>
                <w:lang w:val="sr-Cyrl-CS"/>
              </w:rPr>
              <w:t>и сл.</w:t>
            </w:r>
          </w:p>
          <w:p w14:paraId="4BE5C52A" w14:textId="06761AB3" w:rsidR="00D210F0" w:rsidRPr="00092ED7" w:rsidRDefault="00D210F0" w:rsidP="00CB0950">
            <w:pPr>
              <w:spacing w:before="0" w:after="0"/>
              <w:ind w:left="113" w:right="113"/>
              <w:rPr>
                <w:rFonts w:cs="Times New Roman"/>
                <w:sz w:val="20"/>
                <w:lang w:val="sr-Cyrl-CS"/>
              </w:rPr>
            </w:pPr>
            <w:r w:rsidRPr="00092ED7">
              <w:rPr>
                <w:rFonts w:cs="Times New Roman"/>
                <w:sz w:val="20"/>
                <w:lang w:val="sr-Cyrl-CS"/>
              </w:rPr>
              <w:t xml:space="preserve">Припрема </w:t>
            </w:r>
            <w:r w:rsidR="00CB0950" w:rsidRPr="00092ED7">
              <w:rPr>
                <w:rFonts w:cs="Times New Roman"/>
                <w:sz w:val="20"/>
                <w:lang w:val="sr-Cyrl-CS"/>
              </w:rPr>
              <w:t>с</w:t>
            </w:r>
            <w:r w:rsidRPr="00092ED7">
              <w:rPr>
                <w:rFonts w:cs="Times New Roman"/>
                <w:sz w:val="20"/>
                <w:lang w:val="sr-Cyrl-CS"/>
              </w:rPr>
              <w:t xml:space="preserve">тратегије и </w:t>
            </w:r>
            <w:r w:rsidR="00CB0950" w:rsidRPr="00092ED7">
              <w:rPr>
                <w:rFonts w:cs="Times New Roman"/>
                <w:sz w:val="20"/>
                <w:lang w:val="sr-Cyrl-CS"/>
              </w:rPr>
              <w:t xml:space="preserve">акционог плана </w:t>
            </w:r>
            <w:r w:rsidRPr="00092ED7">
              <w:rPr>
                <w:rFonts w:cs="Times New Roman"/>
                <w:sz w:val="20"/>
                <w:lang w:val="sr-Cyrl-CS"/>
              </w:rPr>
              <w:t>у оквиру постојећих ресурса надлежног органа</w:t>
            </w:r>
            <w:r w:rsidR="00D47BD8" w:rsidRPr="00092ED7">
              <w:rPr>
                <w:rFonts w:cs="Times New Roman"/>
                <w:sz w:val="20"/>
                <w:lang w:val="sr-Cyrl-CS"/>
              </w:rPr>
              <w:t>.</w:t>
            </w:r>
          </w:p>
        </w:tc>
      </w:tr>
      <w:tr w:rsidR="00D210F0" w:rsidRPr="00092ED7" w14:paraId="0E530B0E" w14:textId="77777777" w:rsidTr="00D030D6">
        <w:tc>
          <w:tcPr>
            <w:tcW w:w="2948" w:type="dxa"/>
            <w:vAlign w:val="top"/>
          </w:tcPr>
          <w:p w14:paraId="7E89812C" w14:textId="77777777" w:rsidR="00D210F0" w:rsidRPr="00092ED7" w:rsidRDefault="00D210F0" w:rsidP="00D030D6">
            <w:pPr>
              <w:spacing w:before="0" w:after="0"/>
              <w:ind w:left="113" w:right="113"/>
              <w:rPr>
                <w:sz w:val="20"/>
                <w:lang w:val="sr-Cyrl-CS"/>
              </w:rPr>
            </w:pPr>
            <w:r w:rsidRPr="00092ED7">
              <w:rPr>
                <w:rFonts w:cs="Times New Roman"/>
                <w:sz w:val="20"/>
                <w:lang w:val="sr-Cyrl-CS"/>
              </w:rPr>
              <w:t>Изостанак сарадње институција ИК и других заинтересованих страна</w:t>
            </w:r>
          </w:p>
        </w:tc>
        <w:tc>
          <w:tcPr>
            <w:tcW w:w="2098" w:type="dxa"/>
            <w:vAlign w:val="top"/>
          </w:tcPr>
          <w:p w14:paraId="7C2D6A05" w14:textId="77777777" w:rsidR="00D210F0" w:rsidRPr="00092ED7" w:rsidRDefault="00D210F0" w:rsidP="00D030D6">
            <w:pPr>
              <w:spacing w:before="0" w:after="0"/>
              <w:ind w:left="113" w:right="113"/>
              <w:jc w:val="center"/>
              <w:rPr>
                <w:sz w:val="20"/>
                <w:lang w:val="sr-Cyrl-CS"/>
              </w:rPr>
            </w:pPr>
            <w:r w:rsidRPr="00092ED7">
              <w:rPr>
                <w:rFonts w:cs="Times New Roman"/>
                <w:sz w:val="20"/>
                <w:lang w:val="sr-Cyrl-CS"/>
              </w:rPr>
              <w:t>Ниска</w:t>
            </w:r>
          </w:p>
        </w:tc>
        <w:tc>
          <w:tcPr>
            <w:tcW w:w="4021" w:type="dxa"/>
          </w:tcPr>
          <w:p w14:paraId="75493787" w14:textId="77777777" w:rsidR="00D210F0" w:rsidRPr="00092ED7" w:rsidRDefault="00D210F0" w:rsidP="006944C5">
            <w:pPr>
              <w:spacing w:before="0" w:after="0"/>
              <w:ind w:left="113" w:right="113"/>
              <w:rPr>
                <w:rFonts w:cs="Times New Roman"/>
                <w:sz w:val="20"/>
                <w:lang w:val="sr-Cyrl-CS"/>
              </w:rPr>
            </w:pPr>
            <w:r w:rsidRPr="00092ED7">
              <w:rPr>
                <w:rFonts w:cs="Times New Roman"/>
                <w:sz w:val="20"/>
                <w:lang w:val="sr-Cyrl-CS"/>
              </w:rPr>
              <w:t>Интензивне међуинституционалне и међуресорне консултације и сарадња;</w:t>
            </w:r>
          </w:p>
          <w:p w14:paraId="14E41DAC" w14:textId="77777777" w:rsidR="00D210F0" w:rsidRPr="00092ED7" w:rsidRDefault="00D210F0" w:rsidP="006944C5">
            <w:pPr>
              <w:spacing w:before="0" w:after="0"/>
              <w:ind w:left="113" w:right="113"/>
              <w:rPr>
                <w:rFonts w:cs="Times New Roman"/>
                <w:sz w:val="20"/>
                <w:lang w:val="sr-Cyrl-CS"/>
              </w:rPr>
            </w:pPr>
            <w:r w:rsidRPr="00092ED7">
              <w:rPr>
                <w:rFonts w:cs="Times New Roman"/>
                <w:sz w:val="20"/>
                <w:lang w:val="sr-Cyrl-CS"/>
              </w:rPr>
              <w:t>Формирање привременог радног тела за потребе спровођења реформе</w:t>
            </w:r>
            <w:r w:rsidR="00D47BD8" w:rsidRPr="00092ED7">
              <w:rPr>
                <w:rFonts w:cs="Times New Roman"/>
                <w:sz w:val="20"/>
                <w:lang w:val="sr-Cyrl-CS"/>
              </w:rPr>
              <w:t>.</w:t>
            </w:r>
          </w:p>
        </w:tc>
      </w:tr>
    </w:tbl>
    <w:p w14:paraId="22DBDB13" w14:textId="77777777" w:rsidR="00D210F0" w:rsidRPr="00092ED7" w:rsidRDefault="00D210F0" w:rsidP="00D210F0">
      <w:pPr>
        <w:keepNext/>
        <w:keepLines/>
        <w:shd w:val="clear" w:color="auto" w:fill="D9D9D9"/>
        <w:spacing w:before="360"/>
        <w:outlineLvl w:val="2"/>
        <w:rPr>
          <w:rFonts w:eastAsia="Times New Roman" w:cs="Times New Roman"/>
          <w:b/>
          <w:noProof/>
          <w:szCs w:val="24"/>
          <w:shd w:val="clear" w:color="auto" w:fill="D9D9D9"/>
          <w:lang w:val="sr-Cyrl-CS"/>
        </w:rPr>
      </w:pPr>
      <w:bookmarkStart w:id="56" w:name="_Toc93385986"/>
      <w:bookmarkStart w:id="57" w:name="_Toc124174817"/>
      <w:r w:rsidRPr="00092ED7">
        <w:rPr>
          <w:rFonts w:eastAsia="Times New Roman" w:cs="Times New Roman"/>
          <w:b/>
          <w:noProof/>
          <w:szCs w:val="24"/>
          <w:lang w:val="sr-Cyrl-CS"/>
        </w:rPr>
        <w:t>5.2.10. Област ОБРАЗОВАЊЕ И ВЕШТИНЕ</w:t>
      </w:r>
      <w:bookmarkEnd w:id="56"/>
      <w:bookmarkEnd w:id="57"/>
    </w:p>
    <w:p w14:paraId="67702A36" w14:textId="77777777" w:rsidR="00D210F0" w:rsidRPr="00092ED7" w:rsidRDefault="00D210F0" w:rsidP="00D210F0">
      <w:pPr>
        <w:rPr>
          <w:rFonts w:eastAsia="Calibri" w:cs="Times New Roman"/>
          <w:noProof/>
          <w:szCs w:val="24"/>
          <w:lang w:val="sr-Cyrl-CS"/>
        </w:rPr>
      </w:pPr>
      <w:r w:rsidRPr="00092ED7">
        <w:rPr>
          <w:rFonts w:eastAsia="Calibri" w:cs="Times New Roman"/>
          <w:noProof/>
          <w:szCs w:val="24"/>
          <w:lang w:val="sr-Cyrl-CS"/>
        </w:rPr>
        <w:t xml:space="preserve">Препреке из ове области у вези са структурном реформом </w:t>
      </w:r>
      <w:r w:rsidRPr="00092ED7">
        <w:rPr>
          <w:rFonts w:eastAsia="Calibri" w:cs="Times New Roman"/>
          <w:i/>
          <w:noProof/>
          <w:szCs w:val="24"/>
          <w:lang w:val="sr-Cyrl-CS"/>
        </w:rPr>
        <w:t>2. Квалификације оријентисане према потребама тржишта рада</w:t>
      </w:r>
      <w:r w:rsidRPr="00092ED7">
        <w:rPr>
          <w:rFonts w:eastAsia="Calibri" w:cs="Times New Roman"/>
          <w:noProof/>
          <w:szCs w:val="24"/>
          <w:lang w:val="sr-Cyrl-CS"/>
        </w:rPr>
        <w:t xml:space="preserve"> анализиране су у одељку 5.1. под </w:t>
      </w:r>
      <w:r w:rsidRPr="00092ED7">
        <w:rPr>
          <w:rFonts w:eastAsia="Calibri" w:cs="Times New Roman"/>
          <w:i/>
          <w:noProof/>
          <w:szCs w:val="24"/>
          <w:lang w:val="sr-Cyrl-CS"/>
        </w:rPr>
        <w:t>Кључним изазовом број 1. Повећање запослености, посебно младих, жена и осетљивих група, и социјална заштита од сиромаштва.</w:t>
      </w:r>
    </w:p>
    <w:p w14:paraId="5510504D" w14:textId="0A4B99BB" w:rsidR="00D210F0" w:rsidRPr="00092ED7" w:rsidRDefault="00D210F0" w:rsidP="00D210F0">
      <w:pPr>
        <w:spacing w:before="120"/>
        <w:rPr>
          <w:rFonts w:eastAsia="Calibri" w:cs="Times New Roman"/>
          <w:szCs w:val="24"/>
          <w:lang w:val="sr-Cyrl-CS"/>
        </w:rPr>
      </w:pPr>
      <w:r w:rsidRPr="00092ED7">
        <w:rPr>
          <w:rFonts w:eastAsia="Calibri" w:cs="Times New Roman"/>
          <w:b/>
          <w:noProof/>
          <w:szCs w:val="24"/>
          <w:lang w:val="sr-Cyrl-CS"/>
        </w:rPr>
        <w:t xml:space="preserve">а) Анализа главних </w:t>
      </w:r>
      <w:r w:rsidR="00515D4D" w:rsidRPr="00092ED7">
        <w:rPr>
          <w:rFonts w:eastAsia="Calibri" w:cs="Times New Roman"/>
          <w:b/>
          <w:noProof/>
          <w:szCs w:val="24"/>
          <w:lang w:val="sr-Cyrl-CS"/>
        </w:rPr>
        <w:t>изазова</w:t>
      </w:r>
    </w:p>
    <w:p w14:paraId="6DE58F62" w14:textId="7BEAF68D" w:rsidR="00D210F0" w:rsidRPr="00092ED7" w:rsidRDefault="00D210F0" w:rsidP="00D210F0">
      <w:pPr>
        <w:spacing w:after="60"/>
        <w:rPr>
          <w:rFonts w:eastAsia="Calibri" w:cs="Times New Roman"/>
          <w:color w:val="000000"/>
          <w:szCs w:val="24"/>
          <w:lang w:val="sr-Cyrl-CS"/>
        </w:rPr>
      </w:pPr>
      <w:r w:rsidRPr="00092ED7">
        <w:rPr>
          <w:rFonts w:eastAsia="Calibri" w:cs="Times New Roman"/>
          <w:color w:val="000000"/>
          <w:szCs w:val="24"/>
          <w:lang w:val="sr-Cyrl-CS"/>
        </w:rPr>
        <w:t xml:space="preserve">Основ за </w:t>
      </w:r>
      <w:r w:rsidRPr="00092ED7">
        <w:rPr>
          <w:rFonts w:eastAsia="Calibri" w:cs="Times New Roman"/>
          <w:b/>
          <w:color w:val="000000"/>
          <w:szCs w:val="24"/>
          <w:lang w:val="sr-Cyrl-CS"/>
        </w:rPr>
        <w:t>системско унапређење образовања</w:t>
      </w:r>
      <w:r w:rsidRPr="00092ED7">
        <w:rPr>
          <w:rFonts w:eastAsia="Calibri" w:cs="Times New Roman"/>
          <w:color w:val="000000"/>
          <w:szCs w:val="24"/>
          <w:lang w:val="sr-Cyrl-CS"/>
        </w:rPr>
        <w:t xml:space="preserve"> представља </w:t>
      </w:r>
      <w:r w:rsidRPr="00092ED7">
        <w:rPr>
          <w:rFonts w:eastAsia="Calibri" w:cs="Times New Roman"/>
          <w:i/>
          <w:color w:val="000000"/>
          <w:szCs w:val="24"/>
          <w:lang w:val="sr-Cyrl-CS"/>
        </w:rPr>
        <w:t>Стратегија развоја образовања и васпитања у Републици Србији до 2030. године</w:t>
      </w:r>
      <w:r w:rsidRPr="00092ED7">
        <w:rPr>
          <w:rFonts w:eastAsia="Calibri" w:cs="Times New Roman"/>
          <w:color w:val="000000"/>
          <w:szCs w:val="24"/>
          <w:lang w:val="sr-Cyrl-CS"/>
        </w:rPr>
        <w:t xml:space="preserve"> са пратећим </w:t>
      </w:r>
      <w:r w:rsidRPr="00092ED7">
        <w:rPr>
          <w:rFonts w:eastAsia="Calibri" w:cs="Times New Roman"/>
          <w:i/>
          <w:color w:val="000000"/>
          <w:szCs w:val="24"/>
          <w:lang w:val="sr-Cyrl-CS"/>
        </w:rPr>
        <w:t xml:space="preserve">Акционим планом за период од 2021. до 2023. године </w:t>
      </w:r>
      <w:r w:rsidRPr="00092ED7">
        <w:rPr>
          <w:rFonts w:eastAsia="Calibri" w:cs="Times New Roman"/>
          <w:color w:val="000000"/>
          <w:szCs w:val="24"/>
          <w:lang w:val="sr-Cyrl-CS"/>
        </w:rPr>
        <w:t>(„Сл</w:t>
      </w:r>
      <w:r w:rsidR="00344F62" w:rsidRPr="00092ED7">
        <w:rPr>
          <w:rFonts w:eastAsia="Calibri" w:cs="Times New Roman"/>
          <w:color w:val="000000"/>
          <w:szCs w:val="24"/>
          <w:lang w:val="sr-Cyrl-CS"/>
        </w:rPr>
        <w:t>ужбени</w:t>
      </w:r>
      <w:r w:rsidR="00467D0D" w:rsidRPr="00092ED7">
        <w:rPr>
          <w:rFonts w:eastAsia="Calibri" w:cs="Times New Roman"/>
          <w:color w:val="000000"/>
          <w:szCs w:val="24"/>
          <w:lang w:val="sr-Cyrl-CS"/>
        </w:rPr>
        <w:t xml:space="preserve"> гласник РС</w:t>
      </w:r>
      <w:r w:rsidR="00344F62" w:rsidRPr="00092ED7">
        <w:rPr>
          <w:rFonts w:cs="Times New Roman"/>
          <w:szCs w:val="24"/>
          <w:lang w:val="sr-Cyrl-CS"/>
        </w:rPr>
        <w:t>”</w:t>
      </w:r>
      <w:r w:rsidR="00467D0D" w:rsidRPr="00092ED7">
        <w:rPr>
          <w:rFonts w:eastAsia="Calibri" w:cs="Times New Roman"/>
          <w:color w:val="000000"/>
          <w:szCs w:val="24"/>
          <w:lang w:val="sr-Cyrl-CS"/>
        </w:rPr>
        <w:t>, бр</w:t>
      </w:r>
      <w:r w:rsidR="00344F62" w:rsidRPr="00092ED7">
        <w:rPr>
          <w:rFonts w:eastAsia="Calibri" w:cs="Times New Roman"/>
          <w:color w:val="000000"/>
          <w:szCs w:val="24"/>
          <w:lang w:val="sr-Cyrl-CS"/>
        </w:rPr>
        <w:t>ој</w:t>
      </w:r>
      <w:r w:rsidRPr="00092ED7">
        <w:rPr>
          <w:rFonts w:eastAsia="Calibri" w:cs="Times New Roman"/>
          <w:color w:val="000000"/>
          <w:szCs w:val="24"/>
          <w:lang w:val="sr-Cyrl-CS"/>
        </w:rPr>
        <w:t xml:space="preserve"> 63/21). </w:t>
      </w:r>
      <w:r w:rsidRPr="00092ED7">
        <w:rPr>
          <w:rFonts w:eastAsia="Calibri" w:cs="Times New Roman"/>
          <w:color w:val="000000"/>
          <w:szCs w:val="24"/>
          <w:lang w:val="sr-Cyrl-CS"/>
        </w:rPr>
        <w:lastRenderedPageBreak/>
        <w:t xml:space="preserve">Стратегија представља план за наставак реформи које ће омогућити повећање обухвата образовањем деце на свим нивоима (пре свега код средњошколаца, </w:t>
      </w:r>
      <w:r w:rsidRPr="00092ED7">
        <w:rPr>
          <w:rFonts w:eastAsia="Calibri" w:cs="Times New Roman"/>
          <w:b/>
          <w:color w:val="000000"/>
          <w:szCs w:val="24"/>
          <w:lang w:val="sr-Cyrl-CS"/>
        </w:rPr>
        <w:t>обезбеђивањем услова за</w:t>
      </w:r>
      <w:r w:rsidRPr="00092ED7">
        <w:rPr>
          <w:rFonts w:eastAsia="Calibri" w:cs="Times New Roman"/>
          <w:color w:val="000000"/>
          <w:szCs w:val="24"/>
          <w:lang w:val="sr-Cyrl-CS"/>
        </w:rPr>
        <w:t xml:space="preserve"> </w:t>
      </w:r>
      <w:r w:rsidRPr="00092ED7">
        <w:rPr>
          <w:rFonts w:eastAsia="Calibri" w:cs="Times New Roman"/>
          <w:b/>
          <w:color w:val="000000"/>
          <w:szCs w:val="24"/>
          <w:lang w:val="sr-Cyrl-CS"/>
        </w:rPr>
        <w:t>увођење обавезног средњег образовања</w:t>
      </w:r>
      <w:r w:rsidRPr="00092ED7">
        <w:rPr>
          <w:rFonts w:eastAsia="Calibri" w:cs="Times New Roman"/>
          <w:b/>
          <w:color w:val="000000"/>
          <w:szCs w:val="24"/>
          <w:vertAlign w:val="superscript"/>
          <w:lang w:val="sr-Cyrl-CS"/>
        </w:rPr>
        <w:footnoteReference w:id="193"/>
      </w:r>
      <w:r w:rsidRPr="00092ED7">
        <w:rPr>
          <w:rFonts w:eastAsia="Calibri" w:cs="Times New Roman"/>
          <w:color w:val="000000"/>
          <w:szCs w:val="24"/>
          <w:lang w:val="sr-Cyrl-CS"/>
        </w:rPr>
        <w:t>), неосипање осетљивих група из образовних кругова, боља постигнућа ученика, квалитетнији програм (одговор образовног система на захтеве тржишта рада) и бољу подршку наставницима.</w:t>
      </w:r>
    </w:p>
    <w:p w14:paraId="1ABA94A5" w14:textId="2E4EFFB6" w:rsidR="00D210F0" w:rsidRPr="00092ED7" w:rsidRDefault="00D210F0" w:rsidP="00D210F0">
      <w:pPr>
        <w:spacing w:after="60"/>
        <w:rPr>
          <w:rFonts w:eastAsia="Calibri" w:cs="Times New Roman"/>
          <w:color w:val="000000"/>
          <w:szCs w:val="24"/>
          <w:lang w:val="sr-Cyrl-CS"/>
        </w:rPr>
      </w:pPr>
      <w:r w:rsidRPr="00092ED7">
        <w:rPr>
          <w:rFonts w:eastAsia="Calibri" w:cs="Times New Roman"/>
          <w:b/>
          <w:color w:val="000000"/>
          <w:szCs w:val="24"/>
          <w:lang w:val="sr-Cyrl-CS"/>
        </w:rPr>
        <w:t>Бележи се континуирано повећање обухвата деце у програмима предшколског васпитања и образовања</w:t>
      </w:r>
      <w:r w:rsidRPr="00092ED7">
        <w:rPr>
          <w:rFonts w:eastAsia="Calibri" w:cs="Times New Roman"/>
          <w:color w:val="000000"/>
          <w:szCs w:val="24"/>
          <w:lang w:val="sr-Cyrl-CS"/>
        </w:rPr>
        <w:t xml:space="preserve"> у Републици Србији. Број деце узраста од </w:t>
      </w:r>
      <w:r w:rsidR="007F5867" w:rsidRPr="00092ED7">
        <w:rPr>
          <w:rFonts w:eastAsia="Calibri" w:cs="Times New Roman"/>
          <w:color w:val="000000"/>
          <w:szCs w:val="24"/>
          <w:lang w:val="sr-Cyrl-CS"/>
        </w:rPr>
        <w:t xml:space="preserve">шест </w:t>
      </w:r>
      <w:r w:rsidRPr="00092ED7">
        <w:rPr>
          <w:rFonts w:eastAsia="Calibri" w:cs="Times New Roman"/>
          <w:color w:val="000000"/>
          <w:szCs w:val="24"/>
          <w:lang w:val="sr-Cyrl-CS"/>
        </w:rPr>
        <w:t xml:space="preserve">месеци до 6,5 година на овом нивоу образовања износио је 223.559 у школској 2021/2022 години. Међутим, </w:t>
      </w:r>
      <w:r w:rsidRPr="00092ED7">
        <w:rPr>
          <w:rFonts w:eastAsia="Calibri" w:cs="Times New Roman"/>
          <w:b/>
          <w:color w:val="000000"/>
          <w:szCs w:val="24"/>
          <w:lang w:val="sr-Cyrl-CS"/>
        </w:rPr>
        <w:t>обухват деце</w:t>
      </w:r>
      <w:r w:rsidRPr="00092ED7">
        <w:rPr>
          <w:rFonts w:eastAsia="Calibri" w:cs="Times New Roman"/>
          <w:color w:val="000000"/>
          <w:szCs w:val="24"/>
          <w:lang w:val="sr-Cyrl-CS"/>
        </w:rPr>
        <w:t xml:space="preserve"> предшколским васпитањем и образовањем и даље је </w:t>
      </w:r>
      <w:r w:rsidRPr="00092ED7">
        <w:rPr>
          <w:rFonts w:eastAsia="Calibri" w:cs="Times New Roman"/>
          <w:b/>
          <w:color w:val="000000"/>
          <w:szCs w:val="24"/>
          <w:lang w:val="sr-Cyrl-CS"/>
        </w:rPr>
        <w:t>низак</w:t>
      </w:r>
      <w:r w:rsidRPr="00092ED7">
        <w:rPr>
          <w:rFonts w:eastAsia="Calibri" w:cs="Times New Roman"/>
          <w:color w:val="000000"/>
          <w:szCs w:val="24"/>
          <w:lang w:val="sr-Cyrl-CS"/>
        </w:rPr>
        <w:t xml:space="preserve"> (58,6% у 2021/2022), а разлози су </w:t>
      </w:r>
      <w:r w:rsidRPr="00092ED7">
        <w:rPr>
          <w:rFonts w:eastAsia="Calibri" w:cs="Times New Roman"/>
          <w:b/>
          <w:color w:val="000000"/>
          <w:szCs w:val="24"/>
          <w:lang w:val="sr-Cyrl-CS"/>
        </w:rPr>
        <w:t>недовољни просторни капацитети и неједнака географска распоређеност</w:t>
      </w:r>
      <w:r w:rsidRPr="00092ED7">
        <w:rPr>
          <w:rFonts w:eastAsia="Calibri" w:cs="Times New Roman"/>
          <w:color w:val="000000"/>
          <w:szCs w:val="24"/>
          <w:lang w:val="sr-Cyrl-CS"/>
        </w:rPr>
        <w:t>. Обухват деце програмима предшколског васпитања и образовања је различит у зависности од узраста</w:t>
      </w:r>
      <w:r w:rsidRPr="00092ED7">
        <w:rPr>
          <w:rStyle w:val="FootnoteReference"/>
          <w:rFonts w:eastAsia="Calibri" w:cs="Times New Roman"/>
          <w:color w:val="000000"/>
          <w:szCs w:val="24"/>
          <w:lang w:val="sr-Cyrl-CS"/>
        </w:rPr>
        <w:footnoteReference w:id="194"/>
      </w:r>
      <w:r w:rsidRPr="00092ED7">
        <w:rPr>
          <w:rFonts w:eastAsia="Calibri" w:cs="Times New Roman"/>
          <w:color w:val="000000"/>
          <w:szCs w:val="24"/>
          <w:lang w:val="sr-Cyrl-CS"/>
        </w:rPr>
        <w:t xml:space="preserve">. Највећи обухват деце је у години пред полазак у школу. </w:t>
      </w:r>
      <w:r w:rsidRPr="00092ED7">
        <w:rPr>
          <w:rFonts w:eastAsia="Calibri" w:cs="Times New Roman"/>
          <w:b/>
          <w:bCs/>
          <w:color w:val="000000"/>
          <w:szCs w:val="24"/>
          <w:lang w:val="sr-Cyrl-CS"/>
        </w:rPr>
        <w:t>Обавезни припремни предшколски програм</w:t>
      </w:r>
      <w:r w:rsidRPr="00092ED7">
        <w:rPr>
          <w:rFonts w:eastAsia="Calibri" w:cs="Times New Roman"/>
          <w:color w:val="000000"/>
          <w:szCs w:val="24"/>
          <w:lang w:val="sr-Cyrl-CS"/>
        </w:rPr>
        <w:t xml:space="preserve">, за децу узраста од навршених 5,5 година до поласка у школу, похађало је 63,7 хиљада деце, што представља </w:t>
      </w:r>
      <w:r w:rsidRPr="00092ED7">
        <w:rPr>
          <w:rFonts w:eastAsia="Calibri" w:cs="Times New Roman"/>
          <w:b/>
          <w:bCs/>
          <w:color w:val="000000"/>
          <w:szCs w:val="24"/>
          <w:lang w:val="sr-Cyrl-CS"/>
        </w:rPr>
        <w:t>обухват од 97,8%</w:t>
      </w:r>
      <w:r w:rsidRPr="00092ED7">
        <w:rPr>
          <w:rStyle w:val="FootnoteReference"/>
          <w:rFonts w:eastAsia="Calibri" w:cs="Times New Roman"/>
          <w:color w:val="000000"/>
          <w:szCs w:val="24"/>
          <w:lang w:val="sr-Cyrl-CS"/>
        </w:rPr>
        <w:footnoteReference w:id="195"/>
      </w:r>
      <w:r w:rsidRPr="00092ED7">
        <w:rPr>
          <w:rFonts w:eastAsia="Calibri" w:cs="Times New Roman"/>
          <w:b/>
          <w:bCs/>
          <w:color w:val="000000"/>
          <w:szCs w:val="24"/>
          <w:lang w:val="sr-Cyrl-CS"/>
        </w:rPr>
        <w:t>.</w:t>
      </w:r>
    </w:p>
    <w:p w14:paraId="02E5431B" w14:textId="11C8EA17" w:rsidR="00D210F0" w:rsidRPr="00092ED7" w:rsidRDefault="00D210F0" w:rsidP="00D210F0">
      <w:pPr>
        <w:spacing w:after="60"/>
        <w:rPr>
          <w:rFonts w:eastAsia="Calibri" w:cs="Times New Roman"/>
          <w:b/>
          <w:color w:val="000000"/>
          <w:szCs w:val="24"/>
          <w:lang w:val="sr-Cyrl-CS"/>
        </w:rPr>
      </w:pPr>
      <w:r w:rsidRPr="00092ED7">
        <w:rPr>
          <w:rFonts w:eastAsia="Calibri" w:cs="Times New Roman"/>
          <w:b/>
          <w:color w:val="000000"/>
          <w:szCs w:val="24"/>
          <w:lang w:val="sr-Cyrl-CS"/>
        </w:rPr>
        <w:t xml:space="preserve">Популација ученика у основном образовању континуирано се смањује услед негативног демографског тренда становништва </w:t>
      </w:r>
      <w:r w:rsidR="007F5867" w:rsidRPr="00092ED7">
        <w:rPr>
          <w:rFonts w:eastAsia="Calibri" w:cs="Times New Roman"/>
          <w:b/>
          <w:color w:val="000000"/>
          <w:szCs w:val="24"/>
          <w:lang w:val="sr-Cyrl-CS"/>
        </w:rPr>
        <w:t xml:space="preserve">Републике </w:t>
      </w:r>
      <w:r w:rsidRPr="00092ED7">
        <w:rPr>
          <w:rFonts w:eastAsia="Calibri" w:cs="Times New Roman"/>
          <w:b/>
          <w:color w:val="000000"/>
          <w:szCs w:val="24"/>
          <w:lang w:val="sr-Cyrl-CS"/>
        </w:rPr>
        <w:t>Србије</w:t>
      </w:r>
      <w:r w:rsidRPr="00092ED7">
        <w:rPr>
          <w:rFonts w:eastAsia="Calibri" w:cs="Times New Roman"/>
          <w:b/>
          <w:szCs w:val="24"/>
          <w:lang w:val="sr-Cyrl-CS"/>
        </w:rPr>
        <w:t>.</w:t>
      </w:r>
      <w:r w:rsidRPr="00092ED7">
        <w:rPr>
          <w:rFonts w:ascii="Arial" w:hAnsi="Arial" w:cs="Arial"/>
          <w:b/>
          <w:bCs/>
          <w:sz w:val="23"/>
          <w:szCs w:val="23"/>
          <w:lang w:val="sr-Cyrl-CS"/>
        </w:rPr>
        <w:t xml:space="preserve"> </w:t>
      </w:r>
      <w:r w:rsidRPr="00092ED7">
        <w:rPr>
          <w:rFonts w:eastAsia="Calibri" w:cs="Times New Roman"/>
          <w:bCs/>
          <w:szCs w:val="24"/>
          <w:lang w:val="sr-Cyrl-CS"/>
        </w:rPr>
        <w:t xml:space="preserve">На </w:t>
      </w:r>
      <w:r w:rsidRPr="00092ED7">
        <w:rPr>
          <w:rFonts w:eastAsia="Calibri" w:cs="Times New Roman"/>
          <w:bCs/>
          <w:color w:val="000000"/>
          <w:szCs w:val="24"/>
          <w:lang w:val="sr-Cyrl-CS"/>
        </w:rPr>
        <w:t>почетку школске 2021/2022, у 3.219 редовних основних школа</w:t>
      </w:r>
      <w:r w:rsidRPr="00092ED7">
        <w:rPr>
          <w:rStyle w:val="FootnoteReference"/>
          <w:rFonts w:eastAsia="Calibri" w:cs="Times New Roman"/>
          <w:bCs/>
          <w:color w:val="000000"/>
          <w:szCs w:val="24"/>
          <w:lang w:val="sr-Cyrl-CS"/>
        </w:rPr>
        <w:footnoteReference w:id="196"/>
      </w:r>
      <w:r w:rsidRPr="00092ED7">
        <w:rPr>
          <w:rFonts w:eastAsia="Calibri" w:cs="Times New Roman"/>
          <w:bCs/>
          <w:color w:val="000000"/>
          <w:szCs w:val="24"/>
          <w:lang w:val="sr-Cyrl-CS"/>
        </w:rPr>
        <w:t xml:space="preserve"> иде </w:t>
      </w:r>
      <w:r w:rsidRPr="00092ED7">
        <w:rPr>
          <w:rFonts w:eastAsia="Calibri" w:cs="Times New Roman"/>
          <w:b/>
          <w:bCs/>
          <w:color w:val="000000"/>
          <w:szCs w:val="24"/>
          <w:lang w:val="sr-Cyrl-CS"/>
        </w:rPr>
        <w:t>507.374 ученика</w:t>
      </w:r>
      <w:r w:rsidRPr="00092ED7">
        <w:rPr>
          <w:rFonts w:eastAsia="Calibri" w:cs="Times New Roman"/>
          <w:bCs/>
          <w:color w:val="000000"/>
          <w:szCs w:val="24"/>
          <w:lang w:val="sr-Cyrl-CS"/>
        </w:rPr>
        <w:t>, а први разред уписало је 64.233 нових школараца</w:t>
      </w:r>
      <w:r w:rsidRPr="00092ED7">
        <w:rPr>
          <w:rStyle w:val="FootnoteReference"/>
          <w:rFonts w:eastAsia="Calibri" w:cs="Times New Roman"/>
          <w:bCs/>
          <w:color w:val="000000"/>
          <w:szCs w:val="24"/>
          <w:lang w:val="sr-Cyrl-CS"/>
        </w:rPr>
        <w:footnoteReference w:id="197"/>
      </w:r>
      <w:r w:rsidRPr="00092ED7">
        <w:rPr>
          <w:rFonts w:eastAsia="Calibri" w:cs="Times New Roman"/>
          <w:bCs/>
          <w:color w:val="000000"/>
          <w:szCs w:val="24"/>
          <w:lang w:val="sr-Cyrl-CS"/>
        </w:rPr>
        <w:t>.</w:t>
      </w:r>
      <w:r w:rsidRPr="00092ED7">
        <w:rPr>
          <w:rFonts w:eastAsia="Calibri" w:cs="Times New Roman"/>
          <w:color w:val="000000"/>
          <w:szCs w:val="24"/>
          <w:lang w:val="sr-Cyrl-CS"/>
        </w:rPr>
        <w:t xml:space="preserve"> И поред чињенице да је основно образовање обавезно, </w:t>
      </w:r>
      <w:r w:rsidRPr="00092ED7">
        <w:rPr>
          <w:rFonts w:eastAsia="Calibri" w:cs="Times New Roman"/>
          <w:b/>
          <w:color w:val="000000"/>
          <w:szCs w:val="24"/>
          <w:lang w:val="sr-Cyrl-CS"/>
        </w:rPr>
        <w:t>обухват деце и даље није потпун</w:t>
      </w:r>
      <w:r w:rsidRPr="00092ED7">
        <w:rPr>
          <w:rFonts w:eastAsia="Calibri" w:cs="Times New Roman"/>
          <w:b/>
          <w:color w:val="000000"/>
          <w:szCs w:val="24"/>
          <w:vertAlign w:val="superscript"/>
          <w:lang w:val="sr-Cyrl-CS"/>
        </w:rPr>
        <w:footnoteReference w:id="198"/>
      </w:r>
      <w:r w:rsidRPr="00092ED7">
        <w:rPr>
          <w:rFonts w:eastAsia="Calibri" w:cs="Times New Roman"/>
          <w:b/>
          <w:color w:val="000000"/>
          <w:szCs w:val="24"/>
          <w:lang w:val="sr-Cyrl-CS"/>
        </w:rPr>
        <w:t>.</w:t>
      </w:r>
    </w:p>
    <w:p w14:paraId="304C0906" w14:textId="77777777" w:rsidR="00D210F0" w:rsidRPr="00092ED7" w:rsidRDefault="00D210F0" w:rsidP="00D210F0">
      <w:pPr>
        <w:spacing w:after="60"/>
        <w:rPr>
          <w:rFonts w:eastAsia="Calibri" w:cs="Times New Roman"/>
          <w:color w:val="000000"/>
          <w:szCs w:val="24"/>
          <w:lang w:val="sr-Cyrl-CS"/>
        </w:rPr>
      </w:pPr>
      <w:r w:rsidRPr="00092ED7">
        <w:rPr>
          <w:rFonts w:eastAsia="Calibri" w:cs="Times New Roman"/>
          <w:color w:val="000000"/>
          <w:szCs w:val="24"/>
          <w:lang w:val="sr-Cyrl-CS"/>
        </w:rPr>
        <w:t xml:space="preserve">Редовне средње школе у школској 2021/2022 години похађало је </w:t>
      </w:r>
      <w:r w:rsidRPr="00092ED7">
        <w:rPr>
          <w:rFonts w:eastAsia="Calibri" w:cs="Times New Roman"/>
          <w:b/>
          <w:color w:val="000000"/>
          <w:szCs w:val="24"/>
          <w:lang w:val="sr-Cyrl-CS"/>
        </w:rPr>
        <w:t>243.756</w:t>
      </w:r>
      <w:r w:rsidRPr="00092ED7">
        <w:rPr>
          <w:rStyle w:val="FootnoteReference"/>
          <w:rFonts w:eastAsia="Calibri" w:cs="Times New Roman"/>
          <w:b/>
          <w:color w:val="000000"/>
          <w:szCs w:val="24"/>
          <w:lang w:val="sr-Cyrl-CS"/>
        </w:rPr>
        <w:footnoteReference w:id="199"/>
      </w:r>
      <w:r w:rsidRPr="00092ED7">
        <w:rPr>
          <w:rFonts w:eastAsia="Calibri" w:cs="Times New Roman"/>
          <w:b/>
          <w:color w:val="000000"/>
          <w:szCs w:val="24"/>
          <w:lang w:val="sr-Cyrl-CS"/>
        </w:rPr>
        <w:t xml:space="preserve"> </w:t>
      </w:r>
      <w:r w:rsidRPr="00092ED7">
        <w:rPr>
          <w:rFonts w:eastAsia="Calibri" w:cs="Times New Roman"/>
          <w:color w:val="000000"/>
          <w:szCs w:val="24"/>
          <w:lang w:val="sr-Cyrl-CS"/>
        </w:rPr>
        <w:t>ученика. Опште средње образовање–гимназију похађало је 27,6% ученика, док је средње стручно образовање похађа 72,4% ученика.</w:t>
      </w:r>
    </w:p>
    <w:p w14:paraId="7002F715" w14:textId="5845C566" w:rsidR="00D210F0" w:rsidRPr="00092ED7" w:rsidRDefault="00D210F0" w:rsidP="00D210F0">
      <w:pPr>
        <w:widowControl w:val="0"/>
        <w:spacing w:after="60"/>
        <w:rPr>
          <w:rFonts w:eastAsia="Calibri" w:cs="Times New Roman"/>
          <w:szCs w:val="24"/>
          <w:lang w:val="sr-Cyrl-CS"/>
        </w:rPr>
      </w:pPr>
      <w:r w:rsidRPr="00092ED7">
        <w:rPr>
          <w:rFonts w:eastAsia="Calibri" w:cs="Times New Roman"/>
          <w:szCs w:val="24"/>
          <w:lang w:val="sr-Cyrl-CS"/>
        </w:rPr>
        <w:t xml:space="preserve">Након две године организације наставе кроз непосредни образовно-васпитни рад и путем наставе на даљину, у свим основним и средњим школама у </w:t>
      </w:r>
      <w:r w:rsidR="007F5867" w:rsidRPr="00092ED7">
        <w:rPr>
          <w:rFonts w:eastAsia="Calibri" w:cs="Times New Roman"/>
          <w:szCs w:val="24"/>
          <w:lang w:val="sr-Cyrl-CS"/>
        </w:rPr>
        <w:t xml:space="preserve">Републици </w:t>
      </w:r>
      <w:r w:rsidRPr="00092ED7">
        <w:rPr>
          <w:rFonts w:eastAsia="Calibri" w:cs="Times New Roman"/>
          <w:szCs w:val="24"/>
          <w:lang w:val="sr-Cyrl-CS"/>
        </w:rPr>
        <w:t>Србији од 21. фебруара 2022. године ученици наставу похађају непосредно у учионицама.</w:t>
      </w:r>
    </w:p>
    <w:p w14:paraId="3CCDD18C" w14:textId="76CD6F5F" w:rsidR="00D210F0" w:rsidRPr="00092ED7" w:rsidRDefault="00D210F0" w:rsidP="00D210F0">
      <w:pPr>
        <w:widowControl w:val="0"/>
        <w:spacing w:after="60"/>
        <w:rPr>
          <w:rFonts w:eastAsia="Calibri" w:cs="Times New Roman"/>
          <w:szCs w:val="24"/>
          <w:lang w:val="sr-Cyrl-CS"/>
        </w:rPr>
      </w:pPr>
      <w:r w:rsidRPr="00092ED7">
        <w:rPr>
          <w:rFonts w:eastAsia="Calibri" w:cs="Times New Roman"/>
          <w:b/>
          <w:szCs w:val="24"/>
          <w:lang w:val="sr-Cyrl-CS"/>
        </w:rPr>
        <w:t>Универзитет у Београду већ десет година заузима позицију на Шангајској листи</w:t>
      </w:r>
      <w:r w:rsidRPr="00092ED7">
        <w:rPr>
          <w:rStyle w:val="FootnoteReference"/>
          <w:rFonts w:eastAsia="Calibri" w:cs="Times New Roman"/>
          <w:szCs w:val="24"/>
          <w:lang w:val="sr-Cyrl-CS"/>
        </w:rPr>
        <w:footnoteReference w:id="200"/>
      </w:r>
      <w:r w:rsidRPr="00092ED7">
        <w:rPr>
          <w:rFonts w:eastAsia="Calibri" w:cs="Times New Roman"/>
          <w:szCs w:val="24"/>
          <w:lang w:val="sr-Cyrl-CS"/>
        </w:rPr>
        <w:t xml:space="preserve"> најбољих универзитета. На најновијој листи пласиран је између 401. и 500. места од рангираних 1</w:t>
      </w:r>
      <w:r w:rsidR="002D4132" w:rsidRPr="00092ED7">
        <w:rPr>
          <w:rFonts w:eastAsia="Calibri" w:cs="Times New Roman"/>
          <w:szCs w:val="24"/>
          <w:lang w:val="sr-Cyrl-CS"/>
        </w:rPr>
        <w:t>.</w:t>
      </w:r>
      <w:r w:rsidRPr="00092ED7">
        <w:rPr>
          <w:rFonts w:eastAsia="Calibri" w:cs="Times New Roman"/>
          <w:szCs w:val="24"/>
          <w:lang w:val="sr-Cyrl-CS"/>
        </w:rPr>
        <w:t>000 универзитета на свету. Универзитет у Београду пласиран је међу првих петсто универзитета у 13 од укупно 54 научне области по којој се рангирају научна поља. Најбољи пласман остварен је у области науке о храни и технологији хране (између 51. и 75. места). На листи се налази и Универзитет у Новом Саду (901-1000).</w:t>
      </w:r>
    </w:p>
    <w:p w14:paraId="3EECB782" w14:textId="77777777" w:rsidR="00D210F0" w:rsidRPr="00092ED7" w:rsidRDefault="00D210F0" w:rsidP="00D210F0">
      <w:pPr>
        <w:widowControl w:val="0"/>
        <w:spacing w:after="60"/>
        <w:rPr>
          <w:rFonts w:eastAsia="Calibri" w:cs="Times New Roman"/>
          <w:color w:val="000000"/>
          <w:szCs w:val="24"/>
          <w:lang w:val="sr-Cyrl-CS"/>
        </w:rPr>
      </w:pPr>
      <w:r w:rsidRPr="00092ED7">
        <w:rPr>
          <w:rFonts w:eastAsia="Calibri" w:cs="Times New Roman"/>
          <w:b/>
          <w:color w:val="000000"/>
          <w:szCs w:val="24"/>
          <w:lang w:val="sr-Cyrl-CS"/>
        </w:rPr>
        <w:t>Јавни расходи за образовање износе 3,42% БДП</w:t>
      </w:r>
      <w:r w:rsidRPr="00092ED7">
        <w:rPr>
          <w:rFonts w:eastAsia="Calibri" w:cs="Times New Roman"/>
          <w:color w:val="000000"/>
          <w:szCs w:val="24"/>
          <w:lang w:val="sr-Cyrl-CS"/>
        </w:rPr>
        <w:t>-а у буџету Републике Србије за 2022. годину што чини ниво ових расхода стабилним у последњој деценији, али су испод просека јавних издвајања на нивоу ЕУ (који се крећу око 4,6% БДП). У укупним буџетским расходима, расходи за образовање учествују са 13,3%</w:t>
      </w:r>
      <w:r w:rsidRPr="00092ED7">
        <w:rPr>
          <w:rFonts w:eastAsia="Calibri" w:cs="Times New Roman"/>
          <w:color w:val="000000"/>
          <w:szCs w:val="24"/>
          <w:vertAlign w:val="superscript"/>
          <w:lang w:val="sr-Cyrl-CS"/>
        </w:rPr>
        <w:footnoteReference w:id="201"/>
      </w:r>
      <w:r w:rsidRPr="00092ED7">
        <w:rPr>
          <w:rFonts w:eastAsia="Calibri" w:cs="Times New Roman"/>
          <w:color w:val="000000"/>
          <w:szCs w:val="24"/>
          <w:lang w:val="sr-Cyrl-CS"/>
        </w:rPr>
        <w:t>.</w:t>
      </w:r>
    </w:p>
    <w:p w14:paraId="1A48D34A" w14:textId="5C7BB8D9" w:rsidR="00D210F0" w:rsidRPr="00092ED7" w:rsidRDefault="00D210F0" w:rsidP="00D210F0">
      <w:pPr>
        <w:widowControl w:val="0"/>
        <w:spacing w:after="60"/>
        <w:rPr>
          <w:rFonts w:eastAsia="Calibri" w:cs="Times New Roman"/>
          <w:szCs w:val="24"/>
          <w:lang w:val="sr-Cyrl-CS"/>
        </w:rPr>
      </w:pPr>
      <w:r w:rsidRPr="00092ED7">
        <w:rPr>
          <w:rFonts w:eastAsia="Calibri" w:cs="Times New Roman"/>
          <w:szCs w:val="24"/>
          <w:lang w:val="sr-Cyrl-CS"/>
        </w:rPr>
        <w:t xml:space="preserve">ЈИСП, најважнији пројекат у области дигитализације образовања, који је пуштен у продукцију 31. марта 2022. године, пружа основ за спровођење најзначајнијих реформи </w:t>
      </w:r>
      <w:r w:rsidRPr="00092ED7">
        <w:rPr>
          <w:rFonts w:eastAsia="Calibri" w:cs="Times New Roman"/>
          <w:szCs w:val="24"/>
          <w:lang w:val="sr-Cyrl-CS"/>
        </w:rPr>
        <w:lastRenderedPageBreak/>
        <w:t xml:space="preserve">у овом сектору. ЈИСП омогућава увид у процес и квалитет образовања праћењем свих података у оквиру образовног система. Систем је такође повезан са тржиштем рада како би деца, млади и њихови родитељи тачно могли да знају, за сваки средњошколски профил и факултетски програм, колико брзо могу да очекују да ће наћи посао, колика је просечна дужина чекања на посао, са којом просечном платом се запошљавају, итд. На специјализованом </w:t>
      </w:r>
      <w:r w:rsidRPr="00092ED7">
        <w:rPr>
          <w:rFonts w:eastAsia="Calibri" w:cs="Times New Roman"/>
          <w:b/>
          <w:szCs w:val="24"/>
          <w:lang w:val="sr-Cyrl-CS"/>
        </w:rPr>
        <w:t>порталу отворених података на којем се налазе подаци из ЈИСП-а</w:t>
      </w:r>
      <w:r w:rsidRPr="00092ED7">
        <w:rPr>
          <w:rStyle w:val="FootnoteReference"/>
          <w:rFonts w:eastAsia="Calibri" w:cs="Times New Roman"/>
          <w:szCs w:val="24"/>
          <w:lang w:val="sr-Cyrl-CS"/>
        </w:rPr>
        <w:footnoteReference w:id="202"/>
      </w:r>
      <w:r w:rsidRPr="00092ED7">
        <w:rPr>
          <w:rFonts w:eastAsia="Calibri" w:cs="Times New Roman"/>
          <w:szCs w:val="24"/>
          <w:lang w:val="sr-Cyrl-CS"/>
        </w:rPr>
        <w:t xml:space="preserve"> </w:t>
      </w:r>
      <w:hyperlink r:id="rId44" w:history="1">
        <w:r w:rsidRPr="00092ED7">
          <w:rPr>
            <w:rStyle w:val="Hyperlink"/>
            <w:rFonts w:eastAsia="Calibri" w:cs="Times New Roman"/>
            <w:szCs w:val="24"/>
            <w:lang w:val="sr-Cyrl-CS"/>
          </w:rPr>
          <w:t>https://opendata.mpn.gov.rs/</w:t>
        </w:r>
      </w:hyperlink>
      <w:r w:rsidRPr="00092ED7">
        <w:rPr>
          <w:rFonts w:eastAsia="Calibri" w:cs="Times New Roman"/>
          <w:szCs w:val="24"/>
          <w:lang w:val="sr-Cyrl-CS"/>
        </w:rPr>
        <w:t xml:space="preserve">, објављени су и сви подаци о установама законом предвиђени да буду јавни. Сваки грађанин може да има увид у појединачне школе у </w:t>
      </w:r>
      <w:r w:rsidR="002D4132" w:rsidRPr="00092ED7">
        <w:rPr>
          <w:rFonts w:eastAsia="Calibri" w:cs="Times New Roman"/>
          <w:szCs w:val="24"/>
          <w:lang w:val="sr-Cyrl-CS"/>
        </w:rPr>
        <w:t xml:space="preserve">Републици </w:t>
      </w:r>
      <w:r w:rsidRPr="00092ED7">
        <w:rPr>
          <w:rFonts w:eastAsia="Calibri" w:cs="Times New Roman"/>
          <w:szCs w:val="24"/>
          <w:lang w:val="sr-Cyrl-CS"/>
        </w:rPr>
        <w:t>Србији, њихове инфраструктурне капацитете, број запослених, број група, одељења, ученика, студената, наставне планове и програме, итд.</w:t>
      </w:r>
    </w:p>
    <w:p w14:paraId="76DE8849" w14:textId="116F4549" w:rsidR="00D210F0" w:rsidRPr="00092ED7" w:rsidRDefault="00D210F0" w:rsidP="00D210F0">
      <w:pPr>
        <w:widowControl w:val="0"/>
        <w:spacing w:after="60"/>
        <w:rPr>
          <w:rFonts w:eastAsia="Calibri" w:cs="Times New Roman"/>
          <w:szCs w:val="24"/>
          <w:lang w:val="sr-Cyrl-CS"/>
        </w:rPr>
      </w:pPr>
      <w:r w:rsidRPr="00092ED7">
        <w:rPr>
          <w:rFonts w:eastAsia="Calibri" w:cs="Times New Roman"/>
          <w:szCs w:val="24"/>
          <w:lang w:val="sr-Cyrl-CS"/>
        </w:rPr>
        <w:t xml:space="preserve">Истраживање о </w:t>
      </w:r>
      <w:r w:rsidRPr="00092ED7">
        <w:rPr>
          <w:rFonts w:eastAsia="Calibri" w:cs="Times New Roman"/>
          <w:b/>
          <w:szCs w:val="24"/>
          <w:lang w:val="sr-Cyrl-CS"/>
        </w:rPr>
        <w:t>Континуираном стручном усавршавању и обукама</w:t>
      </w:r>
      <w:r w:rsidRPr="00092ED7">
        <w:rPr>
          <w:rStyle w:val="FootnoteReference"/>
          <w:rFonts w:eastAsia="Calibri" w:cs="Times New Roman"/>
          <w:szCs w:val="24"/>
          <w:lang w:val="sr-Cyrl-CS"/>
        </w:rPr>
        <w:footnoteReference w:id="203"/>
      </w:r>
      <w:r w:rsidRPr="00092ED7">
        <w:rPr>
          <w:rFonts w:eastAsia="Calibri" w:cs="Times New Roman"/>
          <w:b/>
          <w:szCs w:val="24"/>
          <w:lang w:val="sr-Cyrl-CS"/>
        </w:rPr>
        <w:t xml:space="preserve"> </w:t>
      </w:r>
      <w:r w:rsidRPr="00092ED7">
        <w:rPr>
          <w:rFonts w:eastAsia="Calibri" w:cs="Times New Roman"/>
          <w:szCs w:val="24"/>
          <w:lang w:val="sr-Cyrl-CS"/>
        </w:rPr>
        <w:t>(</w:t>
      </w:r>
      <w:r w:rsidR="007F5867" w:rsidRPr="00092ED7">
        <w:rPr>
          <w:rFonts w:eastAsia="Calibri" w:cs="Times New Roman"/>
          <w:szCs w:val="24"/>
          <w:lang w:val="sr-Cyrl-CS"/>
        </w:rPr>
        <w:t xml:space="preserve">у даљем тексту: </w:t>
      </w:r>
      <w:r w:rsidRPr="00092ED7">
        <w:rPr>
          <w:rFonts w:eastAsia="Calibri" w:cs="Times New Roman"/>
          <w:szCs w:val="24"/>
          <w:lang w:val="sr-Cyrl-CS"/>
        </w:rPr>
        <w:t>КСУО), спроведено је први пут у Републици Србији током 2021.</w:t>
      </w:r>
      <w:r w:rsidRPr="00092ED7">
        <w:rPr>
          <w:lang w:val="sr-Cyrl-CS"/>
        </w:rPr>
        <w:t xml:space="preserve"> </w:t>
      </w:r>
      <w:r w:rsidR="007F5867" w:rsidRPr="00092ED7">
        <w:rPr>
          <w:rFonts w:eastAsia="Calibri" w:cs="Times New Roman"/>
          <w:szCs w:val="24"/>
          <w:lang w:val="sr-Cyrl-CS"/>
        </w:rPr>
        <w:t xml:space="preserve">КСУО </w:t>
      </w:r>
      <w:r w:rsidRPr="00092ED7">
        <w:rPr>
          <w:rFonts w:eastAsia="Calibri" w:cs="Times New Roman"/>
          <w:szCs w:val="24"/>
          <w:lang w:val="sr-Cyrl-CS"/>
        </w:rPr>
        <w:t xml:space="preserve">се односи на мере или активности образовања и обуке које у целости, или бар делимично, финансира предузеће (директно или индиректно) и пружа упоредиве податке о стручној обуци у предузећима са најмање </w:t>
      </w:r>
      <w:r w:rsidR="002D4132" w:rsidRPr="00092ED7">
        <w:rPr>
          <w:rFonts w:eastAsia="Calibri" w:cs="Times New Roman"/>
          <w:szCs w:val="24"/>
          <w:lang w:val="sr-Cyrl-CS"/>
        </w:rPr>
        <w:t xml:space="preserve">десет </w:t>
      </w:r>
      <w:r w:rsidRPr="00092ED7">
        <w:rPr>
          <w:rFonts w:eastAsia="Calibri" w:cs="Times New Roman"/>
          <w:szCs w:val="24"/>
          <w:lang w:val="sr-Cyrl-CS"/>
        </w:rPr>
        <w:t xml:space="preserve">или више запослених лица која припадају одређеној групи привредне делатности. Према добијеним резултатима, </w:t>
      </w:r>
      <w:r w:rsidRPr="00092ED7">
        <w:rPr>
          <w:rFonts w:eastAsia="Calibri" w:cs="Times New Roman"/>
          <w:b/>
          <w:szCs w:val="24"/>
          <w:lang w:val="sr-Cyrl-CS"/>
        </w:rPr>
        <w:t>скоро половина предузећа у Републици Србији (49,2%)</w:t>
      </w:r>
      <w:r w:rsidRPr="00092ED7">
        <w:rPr>
          <w:rFonts w:eastAsia="Calibri" w:cs="Times New Roman"/>
          <w:szCs w:val="24"/>
          <w:lang w:val="sr-Cyrl-CS"/>
        </w:rPr>
        <w:t xml:space="preserve"> спроводи </w:t>
      </w:r>
      <w:r w:rsidRPr="00092ED7">
        <w:rPr>
          <w:rFonts w:eastAsia="Calibri" w:cs="Times New Roman"/>
          <w:b/>
          <w:szCs w:val="24"/>
          <w:lang w:val="sr-Cyrl-CS"/>
        </w:rPr>
        <w:t>неки облик континуираног стручног усавршавања за своје запослене</w:t>
      </w:r>
      <w:r w:rsidRPr="00092ED7">
        <w:rPr>
          <w:rFonts w:eastAsia="Calibri" w:cs="Times New Roman"/>
          <w:szCs w:val="24"/>
          <w:lang w:val="sr-Cyrl-CS"/>
        </w:rPr>
        <w:t xml:space="preserve">, док </w:t>
      </w:r>
      <w:r w:rsidRPr="00092ED7">
        <w:rPr>
          <w:rFonts w:eastAsia="Calibri" w:cs="Times New Roman"/>
          <w:b/>
          <w:szCs w:val="24"/>
          <w:lang w:val="sr-Cyrl-CS"/>
        </w:rPr>
        <w:t>40,8% предузећа учествује у КСУО</w:t>
      </w:r>
      <w:r w:rsidRPr="00092ED7">
        <w:rPr>
          <w:rStyle w:val="FootnoteReference"/>
          <w:rFonts w:eastAsia="Calibri" w:cs="Times New Roman"/>
          <w:szCs w:val="24"/>
          <w:lang w:val="sr-Cyrl-CS"/>
        </w:rPr>
        <w:footnoteReference w:id="204"/>
      </w:r>
      <w:r w:rsidRPr="00092ED7">
        <w:rPr>
          <w:rFonts w:eastAsia="Calibri" w:cs="Times New Roman"/>
          <w:b/>
          <w:szCs w:val="24"/>
          <w:lang w:val="sr-Cyrl-CS"/>
        </w:rPr>
        <w:t>.</w:t>
      </w:r>
    </w:p>
    <w:p w14:paraId="521F4085" w14:textId="77777777" w:rsidR="00D210F0" w:rsidRPr="00092ED7" w:rsidRDefault="00D210F0" w:rsidP="00D210F0">
      <w:pPr>
        <w:keepNext/>
        <w:keepLines/>
        <w:shd w:val="clear" w:color="auto" w:fill="D9D9D9" w:themeFill="background1" w:themeFillShade="D9"/>
        <w:spacing w:before="360"/>
        <w:outlineLvl w:val="2"/>
        <w:rPr>
          <w:rFonts w:eastAsiaTheme="majorEastAsia" w:cstheme="majorBidi"/>
          <w:b/>
          <w:bCs/>
          <w:i/>
          <w:lang w:val="sr-Cyrl-CS"/>
        </w:rPr>
      </w:pPr>
      <w:bookmarkStart w:id="58" w:name="_Toc124174818"/>
      <w:r w:rsidRPr="00092ED7">
        <w:rPr>
          <w:rFonts w:eastAsiaTheme="majorEastAsia" w:cstheme="majorBidi"/>
          <w:b/>
          <w:lang w:val="sr-Cyrl-CS"/>
        </w:rPr>
        <w:t>5.2.11. Област ЗАПОШЉАВАЊЕ И ТРЖИШТЕ РАДА</w:t>
      </w:r>
      <w:bookmarkEnd w:id="58"/>
    </w:p>
    <w:p w14:paraId="13FB0CA7" w14:textId="77777777" w:rsidR="00D210F0" w:rsidRPr="00092ED7" w:rsidRDefault="00D210F0" w:rsidP="00D210F0">
      <w:pPr>
        <w:rPr>
          <w:rFonts w:eastAsia="Calibri" w:cs="Times New Roman"/>
          <w:noProof/>
          <w:szCs w:val="24"/>
          <w:lang w:val="sr-Cyrl-CS"/>
        </w:rPr>
      </w:pPr>
      <w:r w:rsidRPr="00092ED7">
        <w:rPr>
          <w:rFonts w:eastAsia="Calibri" w:cs="Times New Roman"/>
          <w:noProof/>
          <w:szCs w:val="24"/>
          <w:lang w:val="sr-Cyrl-CS"/>
        </w:rPr>
        <w:t xml:space="preserve">Препреке из ове области и релевантне структурне реформе анализиране су у одељку 5.1. под </w:t>
      </w:r>
      <w:r w:rsidRPr="00092ED7">
        <w:rPr>
          <w:rFonts w:eastAsia="Calibri" w:cs="Times New Roman"/>
          <w:i/>
          <w:noProof/>
          <w:szCs w:val="24"/>
          <w:lang w:val="sr-Cyrl-CS"/>
        </w:rPr>
        <w:t>Кључним изазовом број 1. Повећање запослености, посебно младих, жена и осетљивих група, и социјална заштита од сиромаштва.</w:t>
      </w:r>
    </w:p>
    <w:p w14:paraId="21213072" w14:textId="77777777" w:rsidR="00D210F0" w:rsidRPr="00092ED7" w:rsidRDefault="00D210F0" w:rsidP="00D210F0">
      <w:pPr>
        <w:keepNext/>
        <w:keepLines/>
        <w:shd w:val="clear" w:color="auto" w:fill="D9D9D9" w:themeFill="background1" w:themeFillShade="D9"/>
        <w:spacing w:before="360"/>
        <w:outlineLvl w:val="2"/>
        <w:rPr>
          <w:rFonts w:eastAsiaTheme="majorEastAsia" w:cstheme="majorBidi"/>
          <w:b/>
          <w:bCs/>
          <w:i/>
          <w:lang w:val="sr-Cyrl-CS"/>
        </w:rPr>
      </w:pPr>
      <w:bookmarkStart w:id="59" w:name="_Toc124174819"/>
      <w:r w:rsidRPr="00092ED7">
        <w:rPr>
          <w:rFonts w:eastAsiaTheme="majorEastAsia" w:cstheme="majorBidi"/>
          <w:b/>
          <w:lang w:val="sr-Cyrl-CS"/>
        </w:rPr>
        <w:t>5.2.12. Област СОЦИЈАЛНА ЗАШТИТА И ИНКЛУЗИЈА</w:t>
      </w:r>
      <w:bookmarkEnd w:id="59"/>
    </w:p>
    <w:p w14:paraId="114C4DB9" w14:textId="77777777" w:rsidR="00D210F0" w:rsidRPr="00092ED7" w:rsidRDefault="00D210F0" w:rsidP="00D210F0">
      <w:pPr>
        <w:rPr>
          <w:rFonts w:eastAsia="Calibri" w:cs="Times New Roman"/>
          <w:noProof/>
          <w:szCs w:val="24"/>
          <w:lang w:val="sr-Cyrl-CS"/>
        </w:rPr>
      </w:pPr>
      <w:r w:rsidRPr="00092ED7">
        <w:rPr>
          <w:rFonts w:eastAsia="Calibri" w:cs="Times New Roman"/>
          <w:noProof/>
          <w:szCs w:val="24"/>
          <w:lang w:val="sr-Cyrl-CS"/>
        </w:rPr>
        <w:t xml:space="preserve">Препреке из ове области анализиране су у одељку 5.1. под </w:t>
      </w:r>
      <w:r w:rsidRPr="00092ED7">
        <w:rPr>
          <w:rFonts w:eastAsia="Calibri" w:cs="Times New Roman"/>
          <w:i/>
          <w:noProof/>
          <w:szCs w:val="24"/>
          <w:lang w:val="sr-Cyrl-CS"/>
        </w:rPr>
        <w:t>Кључним изазовом број 1. Повећање запослености, посебно младих, жена и осетљивих група, и социјална заштита од сиромаштва.</w:t>
      </w:r>
    </w:p>
    <w:p w14:paraId="374E708C" w14:textId="77777777" w:rsidR="00D210F0" w:rsidRPr="00092ED7" w:rsidRDefault="00D210F0" w:rsidP="00D210F0">
      <w:pPr>
        <w:keepNext/>
        <w:keepLines/>
        <w:shd w:val="clear" w:color="auto" w:fill="D9D9D9" w:themeFill="background1" w:themeFillShade="D9"/>
        <w:spacing w:before="360"/>
        <w:outlineLvl w:val="2"/>
        <w:rPr>
          <w:rFonts w:eastAsiaTheme="majorEastAsia" w:cstheme="majorBidi"/>
          <w:b/>
          <w:bCs/>
          <w:i/>
          <w:lang w:val="sr-Cyrl-CS"/>
        </w:rPr>
      </w:pPr>
      <w:bookmarkStart w:id="60" w:name="_Toc93385989"/>
      <w:bookmarkStart w:id="61" w:name="_Toc124174820"/>
      <w:r w:rsidRPr="00092ED7">
        <w:rPr>
          <w:rFonts w:eastAsiaTheme="majorEastAsia" w:cstheme="majorBidi"/>
          <w:b/>
          <w:lang w:val="sr-Cyrl-CS"/>
        </w:rPr>
        <w:t>5.2.13. Област СИСТЕМ ЗДРАВСТВЕНЕ ЗАШТИТЕ</w:t>
      </w:r>
      <w:bookmarkEnd w:id="60"/>
      <w:bookmarkEnd w:id="61"/>
    </w:p>
    <w:p w14:paraId="5740897E" w14:textId="01A4851B" w:rsidR="00D210F0" w:rsidRPr="00092ED7" w:rsidRDefault="00D210F0" w:rsidP="00D210F0">
      <w:pPr>
        <w:spacing w:before="120"/>
        <w:rPr>
          <w:rFonts w:cs="Times New Roman"/>
          <w:b/>
          <w:noProof/>
          <w:szCs w:val="24"/>
          <w:lang w:val="sr-Cyrl-CS"/>
        </w:rPr>
      </w:pPr>
      <w:r w:rsidRPr="00092ED7">
        <w:rPr>
          <w:rFonts w:cs="Times New Roman"/>
          <w:b/>
          <w:noProof/>
          <w:szCs w:val="24"/>
          <w:lang w:val="sr-Cyrl-CS"/>
        </w:rPr>
        <w:t xml:space="preserve">а) Анализа главних </w:t>
      </w:r>
      <w:r w:rsidR="00313B37" w:rsidRPr="00092ED7">
        <w:rPr>
          <w:rFonts w:cs="Times New Roman"/>
          <w:b/>
          <w:noProof/>
          <w:szCs w:val="24"/>
          <w:lang w:val="sr-Cyrl-CS"/>
        </w:rPr>
        <w:t>изазова</w:t>
      </w:r>
    </w:p>
    <w:p w14:paraId="61E7906C" w14:textId="2D985CBB" w:rsidR="00D210F0" w:rsidRPr="00092ED7" w:rsidRDefault="00D210F0" w:rsidP="00D210F0">
      <w:pPr>
        <w:spacing w:after="60"/>
        <w:rPr>
          <w:szCs w:val="24"/>
          <w:lang w:val="sr-Cyrl-CS"/>
        </w:rPr>
      </w:pPr>
      <w:r w:rsidRPr="00092ED7">
        <w:rPr>
          <w:b/>
          <w:szCs w:val="24"/>
          <w:lang w:val="sr-Cyrl-CS"/>
        </w:rPr>
        <w:t xml:space="preserve">Здравствена заштита у Републици Србији обезбеђује се кроз систем обавезног здравственог осигурања који се спроводи у </w:t>
      </w:r>
      <w:r w:rsidRPr="00092ED7">
        <w:rPr>
          <w:szCs w:val="24"/>
          <w:lang w:val="sr-Cyrl-CS"/>
        </w:rPr>
        <w:t>РФЗО</w:t>
      </w:r>
      <w:r w:rsidRPr="00092ED7">
        <w:rPr>
          <w:b/>
          <w:szCs w:val="24"/>
          <w:lang w:val="sr-Cyrl-CS"/>
        </w:rPr>
        <w:t>.</w:t>
      </w:r>
      <w:r w:rsidRPr="00092ED7">
        <w:rPr>
          <w:szCs w:val="24"/>
          <w:lang w:val="sr-Cyrl-CS"/>
        </w:rPr>
        <w:t xml:space="preserve"> </w:t>
      </w:r>
      <w:r w:rsidRPr="00092ED7">
        <w:rPr>
          <w:rFonts w:cs="Times New Roman"/>
          <w:color w:val="000000"/>
          <w:szCs w:val="24"/>
          <w:shd w:val="clear" w:color="auto" w:fill="FFFFFF"/>
          <w:lang w:val="sr-Cyrl-CS"/>
        </w:rPr>
        <w:t>Главни извор финансирања обавезног здравственог осигурања представљају доприноси</w:t>
      </w:r>
      <w:r w:rsidRPr="00092ED7">
        <w:rPr>
          <w:rStyle w:val="FootnoteReference"/>
          <w:rFonts w:cs="Times New Roman"/>
          <w:color w:val="000000"/>
          <w:szCs w:val="24"/>
          <w:shd w:val="clear" w:color="auto" w:fill="FFFFFF"/>
          <w:lang w:val="sr-Cyrl-CS"/>
        </w:rPr>
        <w:footnoteReference w:id="205"/>
      </w:r>
      <w:r w:rsidRPr="00092ED7">
        <w:rPr>
          <w:rFonts w:cs="Times New Roman"/>
          <w:color w:val="000000"/>
          <w:szCs w:val="24"/>
          <w:shd w:val="clear" w:color="auto" w:fill="FFFFFF"/>
          <w:lang w:val="sr-Cyrl-CS"/>
        </w:rPr>
        <w:t xml:space="preserve"> осигураника и послодаваца или исплатилаца прихода, на чији терет се плаћа допринос, </w:t>
      </w:r>
      <w:r w:rsidRPr="00092ED7">
        <w:rPr>
          <w:rFonts w:cs="Times New Roman"/>
          <w:szCs w:val="24"/>
          <w:shd w:val="clear" w:color="auto" w:fill="FFFFFF"/>
          <w:lang w:val="sr-Cyrl-CS"/>
        </w:rPr>
        <w:t>по стопи од 10,3%</w:t>
      </w:r>
      <w:r w:rsidRPr="00092ED7">
        <w:rPr>
          <w:rStyle w:val="FootnoteReference"/>
          <w:rFonts w:cs="Times New Roman"/>
          <w:szCs w:val="24"/>
          <w:shd w:val="clear" w:color="auto" w:fill="FFFFFF"/>
          <w:lang w:val="sr-Cyrl-CS"/>
        </w:rPr>
        <w:footnoteReference w:id="206"/>
      </w:r>
      <w:r w:rsidRPr="00092ED7">
        <w:rPr>
          <w:rFonts w:cs="Times New Roman"/>
          <w:szCs w:val="24"/>
          <w:shd w:val="clear" w:color="auto" w:fill="FFFFFF"/>
          <w:lang w:val="sr-Cyrl-CS"/>
        </w:rPr>
        <w:t xml:space="preserve">. </w:t>
      </w:r>
      <w:r w:rsidRPr="00092ED7">
        <w:rPr>
          <w:b/>
          <w:szCs w:val="24"/>
          <w:lang w:val="sr-Cyrl-CS"/>
        </w:rPr>
        <w:t>Својство осигураног лица (обавезно здравствено осигурање) има</w:t>
      </w:r>
      <w:r w:rsidRPr="00092ED7">
        <w:rPr>
          <w:rFonts w:cs="Times New Roman"/>
          <w:b/>
          <w:color w:val="000000"/>
          <w:szCs w:val="24"/>
          <w:shd w:val="clear" w:color="auto" w:fill="FFFFFF"/>
          <w:lang w:val="sr-Cyrl-CS"/>
        </w:rPr>
        <w:t xml:space="preserve"> </w:t>
      </w:r>
      <w:r w:rsidRPr="00092ED7">
        <w:rPr>
          <w:b/>
          <w:szCs w:val="24"/>
          <w:lang w:val="sr-Cyrl-CS"/>
        </w:rPr>
        <w:t>99% становника</w:t>
      </w:r>
      <w:r w:rsidRPr="00092ED7">
        <w:rPr>
          <w:szCs w:val="24"/>
          <w:lang w:val="sr-Cyrl-CS"/>
        </w:rPr>
        <w:t>, док само 0,15% становништва има приватно здравствено осигурање, при чему је део становништва обухваћен и другим видовима добровољног допунског и додатног здравственог осигурања.</w:t>
      </w:r>
    </w:p>
    <w:p w14:paraId="0B9C5D6C" w14:textId="77777777" w:rsidR="00D210F0" w:rsidRPr="00092ED7" w:rsidRDefault="00D210F0" w:rsidP="00D210F0">
      <w:pPr>
        <w:spacing w:after="60"/>
        <w:rPr>
          <w:rFonts w:cs="Times New Roman"/>
          <w:noProof/>
          <w:szCs w:val="24"/>
          <w:lang w:val="sr-Cyrl-CS"/>
        </w:rPr>
      </w:pPr>
      <w:r w:rsidRPr="00092ED7">
        <w:rPr>
          <w:szCs w:val="24"/>
          <w:lang w:val="sr-Cyrl-CS"/>
        </w:rPr>
        <w:lastRenderedPageBreak/>
        <w:t>О</w:t>
      </w:r>
      <w:r w:rsidRPr="00092ED7">
        <w:rPr>
          <w:rFonts w:cs="Times New Roman"/>
          <w:color w:val="000000"/>
          <w:szCs w:val="24"/>
          <w:shd w:val="clear" w:color="auto" w:fill="FFFFFF"/>
          <w:lang w:val="sr-Cyrl-CS"/>
        </w:rPr>
        <w:t>сигурана лица имају право на накнаду зараде за време привремене спречености за рад (накнада за боловање)</w:t>
      </w:r>
      <w:r w:rsidRPr="00092ED7">
        <w:rPr>
          <w:rStyle w:val="FootnoteReference"/>
          <w:rFonts w:cs="Times New Roman"/>
          <w:color w:val="000000"/>
          <w:szCs w:val="24"/>
          <w:shd w:val="clear" w:color="auto" w:fill="FFFFFF"/>
          <w:lang w:val="sr-Cyrl-CS"/>
        </w:rPr>
        <w:footnoteReference w:id="207"/>
      </w:r>
      <w:r w:rsidRPr="00092ED7">
        <w:rPr>
          <w:rFonts w:cs="Times New Roman"/>
          <w:color w:val="000000"/>
          <w:szCs w:val="24"/>
          <w:shd w:val="clear" w:color="auto" w:fill="FFFFFF"/>
          <w:lang w:val="sr-Cyrl-CS"/>
        </w:rPr>
        <w:t>. Право на накнаду за боловање остварило је 154.062 осигураних лица</w:t>
      </w:r>
      <w:r w:rsidRPr="00092ED7">
        <w:rPr>
          <w:rStyle w:val="FootnoteReference"/>
          <w:rFonts w:cs="Times New Roman"/>
          <w:color w:val="000000"/>
          <w:szCs w:val="24"/>
          <w:shd w:val="clear" w:color="auto" w:fill="FFFFFF"/>
          <w:lang w:val="sr-Cyrl-CS"/>
        </w:rPr>
        <w:footnoteReference w:id="208"/>
      </w:r>
      <w:r w:rsidRPr="00092ED7">
        <w:rPr>
          <w:rFonts w:cs="Times New Roman"/>
          <w:color w:val="000000"/>
          <w:szCs w:val="24"/>
          <w:shd w:val="clear" w:color="auto" w:fill="FFFFFF"/>
          <w:lang w:val="sr-Cyrl-CS"/>
        </w:rPr>
        <w:t xml:space="preserve"> у 2021. години, а исплаћена средства у ове сврхе представљају 0,2%</w:t>
      </w:r>
      <w:r w:rsidRPr="00092ED7">
        <w:rPr>
          <w:rStyle w:val="FootnoteReference"/>
          <w:rFonts w:cs="Times New Roman"/>
          <w:color w:val="000000"/>
          <w:szCs w:val="24"/>
          <w:shd w:val="clear" w:color="auto" w:fill="FFFFFF"/>
          <w:lang w:val="sr-Cyrl-CS"/>
        </w:rPr>
        <w:footnoteReference w:id="209"/>
      </w:r>
      <w:r w:rsidRPr="00092ED7">
        <w:rPr>
          <w:rFonts w:cs="Times New Roman"/>
          <w:color w:val="000000"/>
          <w:szCs w:val="24"/>
          <w:shd w:val="clear" w:color="auto" w:fill="FFFFFF"/>
          <w:lang w:val="sr-Cyrl-CS"/>
        </w:rPr>
        <w:t xml:space="preserve"> БДП-а. У току је израда </w:t>
      </w:r>
      <w:r w:rsidRPr="00092ED7">
        <w:rPr>
          <w:rFonts w:cs="Times New Roman"/>
          <w:i/>
          <w:color w:val="000000"/>
          <w:szCs w:val="24"/>
          <w:shd w:val="clear" w:color="auto" w:fill="FFFFFF"/>
          <w:lang w:val="sr-Cyrl-CS"/>
        </w:rPr>
        <w:t>Нацрта закона о изменама и допунама Закона о здравственом осигурању</w:t>
      </w:r>
      <w:r w:rsidRPr="00092ED7">
        <w:rPr>
          <w:rFonts w:cs="Times New Roman"/>
          <w:color w:val="000000"/>
          <w:szCs w:val="24"/>
          <w:shd w:val="clear" w:color="auto" w:fill="FFFFFF"/>
          <w:lang w:val="sr-Cyrl-CS"/>
        </w:rPr>
        <w:t xml:space="preserve">, који, између осталог, проширује основе за </w:t>
      </w:r>
      <w:r w:rsidRPr="00092ED7">
        <w:rPr>
          <w:rFonts w:cs="Times New Roman"/>
          <w:b/>
          <w:color w:val="000000"/>
          <w:szCs w:val="24"/>
          <w:shd w:val="clear" w:color="auto" w:fill="FFFFFF"/>
          <w:lang w:val="sr-Cyrl-CS"/>
        </w:rPr>
        <w:t>остваривање права на накнаду зараде за време привремене спречености за рад.</w:t>
      </w:r>
      <w:r w:rsidRPr="00092ED7">
        <w:rPr>
          <w:rFonts w:cs="Times New Roman"/>
          <w:color w:val="000000"/>
          <w:szCs w:val="24"/>
          <w:shd w:val="clear" w:color="auto" w:fill="FFFFFF"/>
          <w:lang w:val="sr-Cyrl-CS"/>
        </w:rPr>
        <w:t xml:space="preserve"> Након његовог усвајања очекује </w:t>
      </w:r>
      <w:r w:rsidR="00BB0AF1" w:rsidRPr="00092ED7">
        <w:rPr>
          <w:rFonts w:cs="Times New Roman"/>
          <w:color w:val="000000"/>
          <w:szCs w:val="24"/>
          <w:shd w:val="clear" w:color="auto" w:fill="FFFFFF"/>
          <w:lang w:val="sr-Cyrl-CS"/>
        </w:rPr>
        <w:t xml:space="preserve">се </w:t>
      </w:r>
      <w:r w:rsidRPr="00092ED7">
        <w:rPr>
          <w:rFonts w:cs="Times New Roman"/>
          <w:color w:val="000000"/>
          <w:szCs w:val="24"/>
          <w:shd w:val="clear" w:color="auto" w:fill="FFFFFF"/>
          <w:lang w:val="sr-Cyrl-CS"/>
        </w:rPr>
        <w:t xml:space="preserve">да ово право </w:t>
      </w:r>
      <w:r w:rsidRPr="00092ED7">
        <w:rPr>
          <w:rFonts w:cs="Times New Roman"/>
          <w:b/>
          <w:color w:val="000000"/>
          <w:szCs w:val="24"/>
          <w:shd w:val="clear" w:color="auto" w:fill="FFFFFF"/>
          <w:lang w:val="sr-Cyrl-CS"/>
        </w:rPr>
        <w:t>остваре све жене због болести или компликација у вези са одржавањем трудноће, без обзира на основ осигурања</w:t>
      </w:r>
      <w:r w:rsidRPr="00092ED7">
        <w:rPr>
          <w:rFonts w:cs="Times New Roman"/>
          <w:color w:val="000000"/>
          <w:szCs w:val="24"/>
          <w:shd w:val="clear" w:color="auto" w:fill="FFFFFF"/>
          <w:lang w:val="sr-Cyrl-CS"/>
        </w:rPr>
        <w:t>.</w:t>
      </w:r>
    </w:p>
    <w:p w14:paraId="08B8B814" w14:textId="477A1E9A" w:rsidR="00D210F0" w:rsidRPr="00092ED7" w:rsidRDefault="00D210F0" w:rsidP="00D210F0">
      <w:pPr>
        <w:spacing w:after="60"/>
        <w:rPr>
          <w:rFonts w:cs="Times New Roman"/>
          <w:szCs w:val="24"/>
          <w:lang w:val="sr-Cyrl-CS"/>
        </w:rPr>
      </w:pPr>
      <w:r w:rsidRPr="00092ED7">
        <w:rPr>
          <w:rFonts w:cs="Times New Roman"/>
          <w:b/>
          <w:bCs/>
          <w:szCs w:val="24"/>
          <w:lang w:val="sr-Cyrl-CS"/>
        </w:rPr>
        <w:t xml:space="preserve">Финансирање система здравствене заштите у јавном сектору из доприноса је недовољно, </w:t>
      </w:r>
      <w:r w:rsidRPr="00092ED7">
        <w:rPr>
          <w:rFonts w:cs="Times New Roman"/>
          <w:bCs/>
          <w:szCs w:val="24"/>
          <w:lang w:val="sr-Cyrl-CS"/>
        </w:rPr>
        <w:t>па је финансијски подржано додатним финансирањем из републичког буџета и осталим изворима.</w:t>
      </w:r>
      <w:r w:rsidRPr="00092ED7">
        <w:rPr>
          <w:rFonts w:eastAsia="Times New Roman" w:cs="Times New Roman"/>
          <w:color w:val="202124"/>
          <w:szCs w:val="24"/>
          <w:lang w:val="sr-Cyrl-CS"/>
        </w:rPr>
        <w:t xml:space="preserve"> Укупни </w:t>
      </w:r>
      <w:r w:rsidRPr="00092ED7">
        <w:rPr>
          <w:rFonts w:eastAsia="Times New Roman" w:cs="Times New Roman"/>
          <w:b/>
          <w:color w:val="202124"/>
          <w:szCs w:val="24"/>
          <w:lang w:val="sr-Cyrl-CS"/>
        </w:rPr>
        <w:t>расходи за здравствену заштиту</w:t>
      </w:r>
      <w:r w:rsidRPr="00092ED7">
        <w:rPr>
          <w:rFonts w:eastAsia="Times New Roman" w:cs="Times New Roman"/>
          <w:color w:val="202124"/>
          <w:szCs w:val="24"/>
          <w:lang w:val="sr-Cyrl-CS"/>
        </w:rPr>
        <w:t xml:space="preserve"> износили су </w:t>
      </w:r>
      <w:r w:rsidRPr="00092ED7">
        <w:rPr>
          <w:rFonts w:eastAsia="Times New Roman" w:cs="Times New Roman"/>
          <w:b/>
          <w:color w:val="202124"/>
          <w:szCs w:val="24"/>
          <w:lang w:val="sr-Cyrl-CS"/>
        </w:rPr>
        <w:t>8,67% БДП-а у 2019</w:t>
      </w:r>
      <w:r w:rsidRPr="00092ED7">
        <w:rPr>
          <w:rFonts w:eastAsia="Times New Roman" w:cs="Times New Roman"/>
          <w:color w:val="202124"/>
          <w:szCs w:val="24"/>
          <w:lang w:val="sr-Cyrl-CS"/>
        </w:rPr>
        <w:t xml:space="preserve">. години, док су </w:t>
      </w:r>
      <w:r w:rsidRPr="00092ED7">
        <w:rPr>
          <w:rFonts w:eastAsia="Times New Roman" w:cs="Times New Roman"/>
          <w:b/>
          <w:color w:val="202124"/>
          <w:szCs w:val="24"/>
          <w:lang w:val="sr-Cyrl-CS"/>
        </w:rPr>
        <w:t>расходи по глави становника 641 УСД</w:t>
      </w:r>
      <w:r w:rsidRPr="00092ED7">
        <w:rPr>
          <w:rStyle w:val="FootnoteReference"/>
          <w:rFonts w:cs="Times New Roman"/>
          <w:b/>
          <w:color w:val="202124"/>
          <w:szCs w:val="24"/>
          <w:lang w:val="sr-Cyrl-CS"/>
        </w:rPr>
        <w:footnoteReference w:id="210"/>
      </w:r>
      <w:r w:rsidRPr="00092ED7">
        <w:rPr>
          <w:rFonts w:eastAsia="Times New Roman" w:cs="Times New Roman"/>
          <w:color w:val="202124"/>
          <w:szCs w:val="24"/>
          <w:lang w:val="sr-Cyrl-CS"/>
        </w:rPr>
        <w:t xml:space="preserve">. </w:t>
      </w:r>
      <w:r w:rsidRPr="00092ED7">
        <w:rPr>
          <w:rFonts w:cs="Times New Roman"/>
          <w:szCs w:val="24"/>
          <w:lang w:val="sr-Cyrl-CS"/>
        </w:rPr>
        <w:t xml:space="preserve">Пандемија </w:t>
      </w:r>
      <w:r w:rsidR="00B94430" w:rsidRPr="00092ED7">
        <w:rPr>
          <w:rFonts w:cs="Times New Roman"/>
          <w:bCs/>
          <w:iCs/>
          <w:szCs w:val="24"/>
          <w:lang w:val="sr-Cyrl-CS"/>
        </w:rPr>
        <w:t>COVID</w:t>
      </w:r>
      <w:r w:rsidRPr="00092ED7">
        <w:rPr>
          <w:rFonts w:cs="Times New Roman"/>
          <w:szCs w:val="24"/>
          <w:lang w:val="sr-Cyrl-CS"/>
        </w:rPr>
        <w:t>-19 утицала је на раст јавних расхода на нивоу опште државе у 2021. години, који су порасли 10,1% у односу на 2020. годину. На веће расходе у односу на оригинални план највише је утицало спровођење трећег пакета мера за подршку привреди и становништву у условима пандемије, расходи везани за директну борбу против пандемије, као и улагања у здравствени систем и повећање капацитета и опреме. Такође, бележи се и повећање броја лица ангажованих у здравственом систему и другим секторима који су учествовали у контроли епидемиолошке ситуације.</w:t>
      </w:r>
    </w:p>
    <w:p w14:paraId="317A8174" w14:textId="5439D368" w:rsidR="00D210F0" w:rsidRPr="00092ED7" w:rsidRDefault="00D210F0" w:rsidP="00D210F0">
      <w:pPr>
        <w:spacing w:after="60"/>
        <w:rPr>
          <w:rFonts w:cs="Times New Roman"/>
          <w:color w:val="000000"/>
          <w:szCs w:val="24"/>
          <w:shd w:val="clear" w:color="auto" w:fill="FFFFFF"/>
          <w:lang w:val="sr-Cyrl-CS"/>
        </w:rPr>
      </w:pPr>
      <w:r w:rsidRPr="00092ED7">
        <w:rPr>
          <w:rFonts w:cs="Times New Roman"/>
          <w:b/>
          <w:noProof/>
          <w:szCs w:val="24"/>
          <w:lang w:val="sr-Cyrl-CS"/>
        </w:rPr>
        <w:t>З</w:t>
      </w:r>
      <w:r w:rsidRPr="00092ED7">
        <w:rPr>
          <w:b/>
          <w:szCs w:val="24"/>
          <w:lang w:val="sr-Cyrl-CS"/>
        </w:rPr>
        <w:t>дравствена заштита</w:t>
      </w:r>
      <w:r w:rsidRPr="00092ED7">
        <w:rPr>
          <w:rFonts w:cs="Times New Roman"/>
          <w:b/>
          <w:color w:val="000000"/>
          <w:szCs w:val="24"/>
          <w:shd w:val="clear" w:color="auto" w:fill="FFFFFF"/>
          <w:lang w:val="sr-Cyrl-CS"/>
        </w:rPr>
        <w:t xml:space="preserve"> осигураних лица</w:t>
      </w:r>
      <w:r w:rsidRPr="00092ED7">
        <w:rPr>
          <w:b/>
          <w:szCs w:val="24"/>
          <w:lang w:val="sr-Cyrl-CS"/>
        </w:rPr>
        <w:t xml:space="preserve"> </w:t>
      </w:r>
      <w:r w:rsidRPr="00092ED7">
        <w:rPr>
          <w:rFonts w:cs="Times New Roman"/>
          <w:b/>
          <w:color w:val="000000"/>
          <w:szCs w:val="24"/>
          <w:shd w:val="clear" w:color="auto" w:fill="FFFFFF"/>
          <w:lang w:val="sr-Cyrl-CS"/>
        </w:rPr>
        <w:t>на примарном, секундарном и терцијарном нивоу</w:t>
      </w:r>
      <w:r w:rsidRPr="00092ED7">
        <w:rPr>
          <w:b/>
          <w:szCs w:val="24"/>
          <w:lang w:val="sr-Cyrl-CS"/>
        </w:rPr>
        <w:t xml:space="preserve"> остварује се у з</w:t>
      </w:r>
      <w:r w:rsidRPr="00092ED7">
        <w:rPr>
          <w:rFonts w:cs="Times New Roman"/>
          <w:b/>
          <w:color w:val="000000"/>
          <w:szCs w:val="24"/>
          <w:shd w:val="clear" w:color="auto" w:fill="FFFFFF"/>
          <w:lang w:val="sr-Cyrl-CS"/>
        </w:rPr>
        <w:t>дравственим установама у јавној својини</w:t>
      </w:r>
      <w:r w:rsidRPr="00092ED7">
        <w:rPr>
          <w:rFonts w:cs="Times New Roman"/>
          <w:color w:val="000000"/>
          <w:szCs w:val="24"/>
          <w:shd w:val="clear" w:color="auto" w:fill="FFFFFF"/>
          <w:lang w:val="sr-Cyrl-CS"/>
        </w:rPr>
        <w:t xml:space="preserve">, које су обухваћене </w:t>
      </w:r>
      <w:r w:rsidRPr="00092ED7">
        <w:rPr>
          <w:rFonts w:cs="Times New Roman"/>
          <w:i/>
          <w:color w:val="000000"/>
          <w:szCs w:val="24"/>
          <w:shd w:val="clear" w:color="auto" w:fill="FFFFFF"/>
          <w:lang w:val="sr-Cyrl-CS"/>
        </w:rPr>
        <w:t>Планом мреже здравствених установа</w:t>
      </w:r>
      <w:r w:rsidRPr="00092ED7">
        <w:rPr>
          <w:rStyle w:val="FootnoteReference"/>
          <w:rFonts w:cs="Times New Roman"/>
          <w:szCs w:val="24"/>
          <w:lang w:val="sr-Cyrl-CS"/>
        </w:rPr>
        <w:footnoteReference w:id="211"/>
      </w:r>
      <w:r w:rsidRPr="00092ED7">
        <w:rPr>
          <w:rFonts w:cs="Times New Roman"/>
          <w:color w:val="000000"/>
          <w:szCs w:val="24"/>
          <w:shd w:val="clear" w:color="auto" w:fill="FFFFFF"/>
          <w:lang w:val="sr-Cyrl-CS"/>
        </w:rPr>
        <w:t xml:space="preserve">. Укупан број здравствених установа износио је </w:t>
      </w:r>
      <w:r w:rsidRPr="00092ED7">
        <w:rPr>
          <w:rFonts w:cs="Times New Roman"/>
          <w:szCs w:val="24"/>
          <w:lang w:val="sr-Cyrl-CS"/>
        </w:rPr>
        <w:t>335</w:t>
      </w:r>
      <w:r w:rsidRPr="00092ED7">
        <w:rPr>
          <w:rStyle w:val="FootnoteReference"/>
          <w:rFonts w:cs="Times New Roman"/>
          <w:szCs w:val="24"/>
          <w:lang w:val="sr-Cyrl-CS"/>
        </w:rPr>
        <w:footnoteReference w:id="212"/>
      </w:r>
      <w:r w:rsidRPr="00092ED7">
        <w:rPr>
          <w:rFonts w:cs="Times New Roman"/>
          <w:szCs w:val="24"/>
          <w:lang w:val="sr-Cyrl-CS"/>
        </w:rPr>
        <w:t xml:space="preserve"> у 2021. години</w:t>
      </w:r>
      <w:r w:rsidRPr="00092ED7">
        <w:rPr>
          <w:rFonts w:cs="Times New Roman"/>
          <w:color w:val="000000"/>
          <w:szCs w:val="24"/>
          <w:shd w:val="clear" w:color="auto" w:fill="FFFFFF"/>
          <w:lang w:val="sr-Cyrl-CS"/>
        </w:rPr>
        <w:t>, у којима је запослено 105,3 хиљаде радника</w:t>
      </w:r>
      <w:r w:rsidRPr="00092ED7">
        <w:rPr>
          <w:rStyle w:val="FootnoteReference"/>
          <w:rFonts w:cs="Times New Roman"/>
          <w:color w:val="000000"/>
          <w:szCs w:val="24"/>
          <w:shd w:val="clear" w:color="auto" w:fill="FFFFFF"/>
          <w:lang w:val="sr-Cyrl-CS"/>
        </w:rPr>
        <w:footnoteReference w:id="213"/>
      </w:r>
      <w:r w:rsidRPr="00092ED7">
        <w:rPr>
          <w:rFonts w:cs="Times New Roman"/>
          <w:color w:val="000000"/>
          <w:szCs w:val="24"/>
          <w:shd w:val="clear" w:color="auto" w:fill="FFFFFF"/>
          <w:lang w:val="sr-Cyrl-CS"/>
        </w:rPr>
        <w:t xml:space="preserve">. </w:t>
      </w:r>
      <w:r w:rsidRPr="00092ED7">
        <w:rPr>
          <w:rFonts w:cs="Times New Roman"/>
          <w:color w:val="000000"/>
          <w:szCs w:val="24"/>
          <w:lang w:val="sr-Cyrl-CS"/>
        </w:rPr>
        <w:t>Број лекара на 1</w:t>
      </w:r>
      <w:r w:rsidR="002D4132" w:rsidRPr="00092ED7">
        <w:rPr>
          <w:rFonts w:cs="Times New Roman"/>
          <w:color w:val="000000"/>
          <w:szCs w:val="24"/>
          <w:lang w:val="sr-Cyrl-CS"/>
        </w:rPr>
        <w:t>.</w:t>
      </w:r>
      <w:r w:rsidRPr="00092ED7">
        <w:rPr>
          <w:rFonts w:cs="Times New Roman"/>
          <w:color w:val="000000"/>
          <w:szCs w:val="24"/>
          <w:lang w:val="sr-Cyrl-CS"/>
        </w:rPr>
        <w:t>000 становника износи 2,9</w:t>
      </w:r>
      <w:r w:rsidRPr="00092ED7">
        <w:rPr>
          <w:szCs w:val="24"/>
          <w:lang w:val="sr-Cyrl-CS"/>
        </w:rPr>
        <w:t xml:space="preserve">. </w:t>
      </w:r>
      <w:r w:rsidRPr="00092ED7">
        <w:rPr>
          <w:rFonts w:cs="Times New Roman"/>
          <w:color w:val="000000"/>
          <w:szCs w:val="24"/>
          <w:shd w:val="clear" w:color="auto" w:fill="FFFFFF"/>
          <w:lang w:val="sr-Cyrl-CS"/>
        </w:rPr>
        <w:t>У</w:t>
      </w:r>
      <w:r w:rsidRPr="00092ED7">
        <w:rPr>
          <w:rFonts w:cs="Times New Roman"/>
          <w:szCs w:val="24"/>
          <w:lang w:val="sr-Cyrl-CS"/>
        </w:rPr>
        <w:t>купан број болничких постеља износио је 42.611</w:t>
      </w:r>
      <w:r w:rsidRPr="00092ED7">
        <w:rPr>
          <w:rStyle w:val="FootnoteReference"/>
          <w:rFonts w:cs="Times New Roman"/>
          <w:szCs w:val="24"/>
          <w:lang w:val="sr-Cyrl-CS"/>
        </w:rPr>
        <w:footnoteReference w:id="214"/>
      </w:r>
      <w:r w:rsidRPr="00092ED7">
        <w:rPr>
          <w:rFonts w:cs="Times New Roman"/>
          <w:color w:val="000000"/>
          <w:szCs w:val="24"/>
          <w:shd w:val="clear" w:color="auto" w:fill="FFFFFF"/>
          <w:lang w:val="sr-Cyrl-CS"/>
        </w:rPr>
        <w:t>, односно 6,3 постеља на 1</w:t>
      </w:r>
      <w:r w:rsidR="002D4132" w:rsidRPr="00092ED7">
        <w:rPr>
          <w:rFonts w:cs="Times New Roman"/>
          <w:color w:val="000000"/>
          <w:szCs w:val="24"/>
          <w:shd w:val="clear" w:color="auto" w:fill="FFFFFF"/>
          <w:lang w:val="sr-Cyrl-CS"/>
        </w:rPr>
        <w:t>.</w:t>
      </w:r>
      <w:r w:rsidRPr="00092ED7">
        <w:rPr>
          <w:rFonts w:cs="Times New Roman"/>
          <w:color w:val="000000"/>
          <w:szCs w:val="24"/>
          <w:shd w:val="clear" w:color="auto" w:fill="FFFFFF"/>
          <w:lang w:val="sr-Cyrl-CS"/>
        </w:rPr>
        <w:t>000 становника. Просечна дужина лечења по једном болеснику износи 6,3 дана, а просечна заузетост болничких постеља 48,7%.</w:t>
      </w:r>
    </w:p>
    <w:p w14:paraId="43C4FCBB" w14:textId="77777777" w:rsidR="00D210F0" w:rsidRPr="00092ED7" w:rsidRDefault="00D210F0" w:rsidP="00D210F0">
      <w:pPr>
        <w:spacing w:after="60"/>
        <w:rPr>
          <w:rFonts w:cs="Times New Roman"/>
          <w:szCs w:val="24"/>
          <w:lang w:val="sr-Cyrl-CS"/>
        </w:rPr>
      </w:pPr>
      <w:r w:rsidRPr="00092ED7">
        <w:rPr>
          <w:rFonts w:cs="Times New Roman"/>
          <w:szCs w:val="24"/>
          <w:lang w:val="sr-Cyrl-CS"/>
        </w:rPr>
        <w:t xml:space="preserve">Број здравствених установа у приватној својини и приватна пракса последњих година показују растући тренд. Здравствених установа у приватној својини има 163 у 2021. години, док је укупан број приватне праксе 6.244. </w:t>
      </w:r>
      <w:r w:rsidRPr="00092ED7">
        <w:rPr>
          <w:szCs w:val="24"/>
          <w:lang w:val="sr-Cyrl-CS"/>
        </w:rPr>
        <w:t xml:space="preserve">У здравственим установама у приватној својини и приватној пракси ангажовано је </w:t>
      </w:r>
      <w:r w:rsidRPr="00092ED7">
        <w:rPr>
          <w:rFonts w:cs="Times New Roman"/>
          <w:szCs w:val="24"/>
          <w:lang w:val="sr-Cyrl-CS"/>
        </w:rPr>
        <w:t>3.678 лекара и око 5.000 медицинског и немедицинског особља. Процењује се да је око 7.000 консултаната (медицинско особље у јавном сектору) ангажовано у приватној пракси. Између приватних и јавних установа постоји неједнак квалитет пружања услуга</w:t>
      </w:r>
      <w:r w:rsidRPr="00092ED7">
        <w:rPr>
          <w:rStyle w:val="FootnoteReference"/>
          <w:rFonts w:cs="Times New Roman"/>
          <w:szCs w:val="24"/>
          <w:lang w:val="sr-Cyrl-CS"/>
        </w:rPr>
        <w:footnoteReference w:id="215"/>
      </w:r>
      <w:r w:rsidRPr="00092ED7">
        <w:rPr>
          <w:rFonts w:cs="Times New Roman"/>
          <w:szCs w:val="24"/>
          <w:lang w:val="sr-Cyrl-CS"/>
        </w:rPr>
        <w:t xml:space="preserve">. У приватним здравственим установама чекање на преглед пацијената је краће, што све више наводи пацијенте да се одлучују на </w:t>
      </w:r>
      <w:r w:rsidR="00C23826" w:rsidRPr="00092ED7">
        <w:rPr>
          <w:rFonts w:cs="Times New Roman"/>
          <w:szCs w:val="24"/>
          <w:lang w:val="sr-Cyrl-CS"/>
        </w:rPr>
        <w:t xml:space="preserve">овакав </w:t>
      </w:r>
      <w:r w:rsidR="00C103BB" w:rsidRPr="00092ED7">
        <w:rPr>
          <w:rFonts w:cs="Times New Roman"/>
          <w:szCs w:val="24"/>
          <w:lang w:val="sr-Cyrl-CS"/>
        </w:rPr>
        <w:t xml:space="preserve">вид </w:t>
      </w:r>
      <w:r w:rsidRPr="00092ED7">
        <w:rPr>
          <w:rFonts w:cs="Times New Roman"/>
          <w:szCs w:val="24"/>
          <w:lang w:val="sr-Cyrl-CS"/>
        </w:rPr>
        <w:t>преглед</w:t>
      </w:r>
      <w:r w:rsidR="00C103BB" w:rsidRPr="00092ED7">
        <w:rPr>
          <w:rFonts w:cs="Times New Roman"/>
          <w:szCs w:val="24"/>
          <w:lang w:val="sr-Cyrl-CS"/>
        </w:rPr>
        <w:t>а</w:t>
      </w:r>
      <w:r w:rsidRPr="00092ED7">
        <w:rPr>
          <w:rFonts w:cs="Times New Roman"/>
          <w:szCs w:val="24"/>
          <w:lang w:val="sr-Cyrl-CS"/>
        </w:rPr>
        <w:t xml:space="preserve">. Прегледи у приватним установама трају дуже, па се на тај начин лекари могу више посветити пацијентима, што углавном доводи и до бољих резултата код успостављања дијагнозе. </w:t>
      </w:r>
      <w:r w:rsidR="009E0076" w:rsidRPr="00092ED7">
        <w:rPr>
          <w:rFonts w:cs="Times New Roman"/>
          <w:b/>
          <w:szCs w:val="24"/>
          <w:lang w:val="sr-Cyrl-CS"/>
        </w:rPr>
        <w:t>В</w:t>
      </w:r>
      <w:r w:rsidRPr="00092ED7">
        <w:rPr>
          <w:rFonts w:cs="Times New Roman"/>
          <w:b/>
          <w:szCs w:val="24"/>
          <w:lang w:val="sr-Cyrl-CS"/>
        </w:rPr>
        <w:t xml:space="preserve">елики број становника </w:t>
      </w:r>
      <w:r w:rsidRPr="00092ED7">
        <w:rPr>
          <w:rFonts w:cs="Times New Roman"/>
          <w:b/>
          <w:szCs w:val="24"/>
          <w:lang w:val="sr-Cyrl-CS"/>
        </w:rPr>
        <w:lastRenderedPageBreak/>
        <w:t xml:space="preserve">нема могућности да </w:t>
      </w:r>
      <w:r w:rsidR="00663EA2" w:rsidRPr="00092ED7">
        <w:rPr>
          <w:rFonts w:cs="Times New Roman"/>
          <w:b/>
          <w:szCs w:val="24"/>
          <w:lang w:val="sr-Cyrl-CS"/>
        </w:rPr>
        <w:t xml:space="preserve">користи </w:t>
      </w:r>
      <w:r w:rsidRPr="00092ED7">
        <w:rPr>
          <w:rFonts w:cs="Times New Roman"/>
          <w:b/>
          <w:szCs w:val="24"/>
          <w:lang w:val="sr-Cyrl-CS"/>
        </w:rPr>
        <w:t>приватну здравствену заштиту</w:t>
      </w:r>
      <w:r w:rsidR="009E0076" w:rsidRPr="00092ED7">
        <w:rPr>
          <w:rFonts w:cs="Times New Roman"/>
          <w:b/>
          <w:szCs w:val="24"/>
          <w:lang w:val="sr-Cyrl-CS"/>
        </w:rPr>
        <w:t xml:space="preserve"> </w:t>
      </w:r>
      <w:r w:rsidR="009E0076" w:rsidRPr="00092ED7">
        <w:rPr>
          <w:rFonts w:cs="Times New Roman"/>
          <w:szCs w:val="24"/>
          <w:lang w:val="sr-Cyrl-CS"/>
        </w:rPr>
        <w:t>с обзиром на високе цене ових услуга</w:t>
      </w:r>
      <w:r w:rsidRPr="00092ED7">
        <w:rPr>
          <w:rFonts w:cs="Times New Roman"/>
          <w:szCs w:val="24"/>
          <w:lang w:val="sr-Cyrl-CS"/>
        </w:rPr>
        <w:t>.</w:t>
      </w:r>
    </w:p>
    <w:p w14:paraId="7720779C" w14:textId="77777777" w:rsidR="00D210F0" w:rsidRPr="00092ED7" w:rsidRDefault="00D210F0" w:rsidP="00D210F0">
      <w:pPr>
        <w:spacing w:after="60"/>
        <w:rPr>
          <w:rFonts w:cs="Times New Roman"/>
          <w:szCs w:val="24"/>
          <w:lang w:val="sr-Cyrl-CS"/>
        </w:rPr>
      </w:pPr>
      <w:r w:rsidRPr="00092ED7">
        <w:rPr>
          <w:rFonts w:eastAsia="Times New Roman" w:cs="Times New Roman"/>
          <w:b/>
          <w:color w:val="000000"/>
          <w:szCs w:val="24"/>
          <w:lang w:val="sr-Cyrl-CS"/>
        </w:rPr>
        <w:t>Само одређене здравствене услуге</w:t>
      </w:r>
      <w:r w:rsidRPr="00092ED7">
        <w:rPr>
          <w:rFonts w:eastAsia="Times New Roman" w:cs="Times New Roman"/>
          <w:color w:val="000000"/>
          <w:szCs w:val="24"/>
          <w:lang w:val="sr-Cyrl-CS"/>
        </w:rPr>
        <w:t xml:space="preserve"> </w:t>
      </w:r>
      <w:r w:rsidRPr="00092ED7">
        <w:rPr>
          <w:rFonts w:eastAsia="Times New Roman" w:cs="Times New Roman"/>
          <w:b/>
          <w:color w:val="000000"/>
          <w:szCs w:val="24"/>
          <w:lang w:val="sr-Cyrl-CS"/>
        </w:rPr>
        <w:t xml:space="preserve">осигурана лица могу да остваре </w:t>
      </w:r>
      <w:r w:rsidRPr="00092ED7">
        <w:rPr>
          <w:rFonts w:eastAsia="Times New Roman" w:cs="Times New Roman"/>
          <w:b/>
          <w:szCs w:val="24"/>
          <w:lang w:val="sr-Cyrl-CS"/>
        </w:rPr>
        <w:t xml:space="preserve">у здравственим установама у приватној својини и приватној пракси </w:t>
      </w:r>
      <w:r w:rsidRPr="00092ED7">
        <w:rPr>
          <w:rFonts w:eastAsia="Times New Roman" w:cs="Times New Roman"/>
          <w:b/>
          <w:color w:val="000000"/>
          <w:szCs w:val="24"/>
          <w:lang w:val="sr-Cyrl-CS"/>
        </w:rPr>
        <w:t xml:space="preserve">о трошку који се финансира из средстава </w:t>
      </w:r>
      <w:r w:rsidRPr="00092ED7">
        <w:rPr>
          <w:rFonts w:eastAsia="Times New Roman" w:cs="Times New Roman"/>
          <w:b/>
          <w:szCs w:val="24"/>
          <w:lang w:val="sr-Cyrl-CS"/>
        </w:rPr>
        <w:t>обавезног здравственог осигурања.</w:t>
      </w:r>
      <w:r w:rsidRPr="00092ED7">
        <w:rPr>
          <w:rFonts w:eastAsia="Times New Roman" w:cs="Times New Roman"/>
          <w:szCs w:val="24"/>
          <w:lang w:val="sr-Cyrl-CS"/>
        </w:rPr>
        <w:t xml:space="preserve"> То су услуге лечења неплодности, операције катаракте, хемодијализа</w:t>
      </w:r>
      <w:r w:rsidRPr="00092ED7">
        <w:rPr>
          <w:rFonts w:cs="Times New Roman"/>
          <w:szCs w:val="24"/>
          <w:lang w:val="sr-Cyrl-CS"/>
        </w:rPr>
        <w:t>, хипербарична терапија кисеоником, услуге у установама социјалне заштите, услуге у приватним апотекама, различите услуге у установама ван Плана мрежа здравствених установа</w:t>
      </w:r>
      <w:r w:rsidRPr="00092ED7">
        <w:rPr>
          <w:rStyle w:val="FootnoteReference"/>
          <w:rFonts w:cs="Times New Roman"/>
          <w:szCs w:val="24"/>
          <w:lang w:val="sr-Cyrl-CS"/>
        </w:rPr>
        <w:footnoteReference w:id="216"/>
      </w:r>
      <w:r w:rsidRPr="00092ED7">
        <w:rPr>
          <w:rFonts w:cs="Times New Roman"/>
          <w:szCs w:val="24"/>
          <w:lang w:val="sr-Cyrl-CS"/>
        </w:rPr>
        <w:t>.</w:t>
      </w:r>
    </w:p>
    <w:p w14:paraId="3399882B" w14:textId="167F430B" w:rsidR="00D210F0" w:rsidRPr="00092ED7" w:rsidRDefault="00D210F0" w:rsidP="00D210F0">
      <w:pPr>
        <w:spacing w:after="60"/>
        <w:rPr>
          <w:rFonts w:cs="Times New Roman"/>
          <w:color w:val="000000"/>
          <w:szCs w:val="24"/>
          <w:shd w:val="clear" w:color="auto" w:fill="FFFFFF"/>
          <w:lang w:val="sr-Cyrl-CS"/>
        </w:rPr>
      </w:pPr>
      <w:r w:rsidRPr="00092ED7">
        <w:rPr>
          <w:rFonts w:cs="Times New Roman"/>
          <w:b/>
          <w:color w:val="000000"/>
          <w:szCs w:val="24"/>
          <w:shd w:val="clear" w:color="auto" w:fill="FFFFFF"/>
          <w:lang w:val="sr-Cyrl-CS"/>
        </w:rPr>
        <w:t xml:space="preserve">Здравствени систем је успешно ублажио најгоре здравствене утицаје пандемије </w:t>
      </w:r>
      <w:r w:rsidRPr="00092ED7">
        <w:rPr>
          <w:rFonts w:cs="Times New Roman"/>
          <w:color w:val="000000"/>
          <w:szCs w:val="24"/>
          <w:shd w:val="clear" w:color="auto" w:fill="FFFFFF"/>
          <w:lang w:val="sr-Cyrl-CS"/>
        </w:rPr>
        <w:t>током првог таласа. Брзом реакцијом и правовременим епидемиолошким мерама, добро снабдевене државне болнице и висококвалификовано особље омогућили су држави да појача превенцију, дијагностику и лечење и обузда ширење и утицај вируса на здравље. Опрема за личну заштиту</w:t>
      </w:r>
      <w:r w:rsidR="006D08CC" w:rsidRPr="00092ED7">
        <w:rPr>
          <w:rFonts w:cs="Times New Roman"/>
          <w:color w:val="000000"/>
          <w:szCs w:val="24"/>
          <w:shd w:val="clear" w:color="auto" w:fill="FFFFFF"/>
          <w:lang w:val="sr-Cyrl-CS"/>
        </w:rPr>
        <w:t>, вакцине</w:t>
      </w:r>
      <w:r w:rsidRPr="00092ED7">
        <w:rPr>
          <w:rFonts w:cs="Times New Roman"/>
          <w:color w:val="000000"/>
          <w:szCs w:val="24"/>
          <w:shd w:val="clear" w:color="auto" w:fill="FFFFFF"/>
          <w:lang w:val="sr-Cyrl-CS"/>
        </w:rPr>
        <w:t xml:space="preserve"> и остало су брзо обезбеђени, а здравствени радници су прераспоређени у приоритетне службе.</w:t>
      </w:r>
    </w:p>
    <w:p w14:paraId="2409B410" w14:textId="25C92059" w:rsidR="00D210F0" w:rsidRPr="00092ED7" w:rsidRDefault="00D210F0" w:rsidP="00D210F0">
      <w:pPr>
        <w:spacing w:after="60"/>
        <w:rPr>
          <w:rFonts w:cs="Times New Roman"/>
          <w:color w:val="000000"/>
          <w:szCs w:val="24"/>
          <w:shd w:val="clear" w:color="auto" w:fill="FFFFFF"/>
          <w:lang w:val="sr-Cyrl-CS"/>
        </w:rPr>
      </w:pPr>
      <w:r w:rsidRPr="00092ED7">
        <w:rPr>
          <w:rFonts w:eastAsia="Times New Roman" w:cs="Times New Roman"/>
          <w:b/>
          <w:bCs/>
          <w:color w:val="000000"/>
          <w:szCs w:val="24"/>
          <w:lang w:val="sr-Cyrl-CS"/>
        </w:rPr>
        <w:t>Финансијско учешће осигураних лица у остваривању здравствене заштите из сопствених средстава је повећано</w:t>
      </w:r>
      <w:r w:rsidRPr="00092ED7">
        <w:rPr>
          <w:rFonts w:eastAsia="Times New Roman" w:cs="Times New Roman"/>
          <w:color w:val="000000"/>
          <w:szCs w:val="24"/>
          <w:lang w:val="sr-Cyrl-CS"/>
        </w:rPr>
        <w:t xml:space="preserve">. Непланирани трошкови повезани са </w:t>
      </w:r>
      <w:r w:rsidR="007F5867" w:rsidRPr="00092ED7">
        <w:rPr>
          <w:rFonts w:eastAsia="Times New Roman" w:cs="Times New Roman"/>
          <w:color w:val="000000"/>
          <w:szCs w:val="24"/>
          <w:lang w:val="sr-Cyrl-CS"/>
        </w:rPr>
        <w:t xml:space="preserve">пандемијом </w:t>
      </w:r>
      <w:r w:rsidRPr="00092ED7">
        <w:rPr>
          <w:rFonts w:eastAsia="Times New Roman" w:cs="Times New Roman"/>
          <w:color w:val="000000"/>
          <w:szCs w:val="24"/>
          <w:lang w:val="sr-Cyrl-CS"/>
        </w:rPr>
        <w:t xml:space="preserve">утичу на четвртину домаћинства са децом у </w:t>
      </w:r>
      <w:r w:rsidR="007F5867" w:rsidRPr="00092ED7">
        <w:rPr>
          <w:rFonts w:eastAsia="Times New Roman" w:cs="Times New Roman"/>
          <w:color w:val="000000"/>
          <w:szCs w:val="24"/>
          <w:lang w:val="sr-Cyrl-CS"/>
        </w:rPr>
        <w:t xml:space="preserve">Републици </w:t>
      </w:r>
      <w:r w:rsidRPr="00092ED7">
        <w:rPr>
          <w:rFonts w:eastAsia="Times New Roman" w:cs="Times New Roman"/>
          <w:color w:val="000000"/>
          <w:szCs w:val="24"/>
          <w:lang w:val="sr-Cyrl-CS"/>
        </w:rPr>
        <w:t>Србији,</w:t>
      </w:r>
      <w:r w:rsidRPr="00092ED7">
        <w:rPr>
          <w:lang w:val="sr-Cyrl-CS"/>
        </w:rPr>
        <w:t xml:space="preserve"> </w:t>
      </w:r>
      <w:r w:rsidRPr="00092ED7">
        <w:rPr>
          <w:rFonts w:eastAsia="Times New Roman" w:cs="Times New Roman"/>
          <w:color w:val="000000"/>
          <w:szCs w:val="24"/>
          <w:lang w:val="sr-Cyrl-CS"/>
        </w:rPr>
        <w:t>тако што је 77% њихових трошкова повезано са здрављем, резултат је истраживања UNICEF-а</w:t>
      </w:r>
      <w:r w:rsidRPr="00092ED7">
        <w:rPr>
          <w:rStyle w:val="FootnoteReference"/>
          <w:rFonts w:cs="Times New Roman"/>
          <w:color w:val="000000"/>
          <w:szCs w:val="24"/>
          <w:lang w:val="sr-Cyrl-CS"/>
        </w:rPr>
        <w:footnoteReference w:id="217"/>
      </w:r>
      <w:r w:rsidRPr="00092ED7">
        <w:rPr>
          <w:rFonts w:eastAsia="Times New Roman" w:cs="Times New Roman"/>
          <w:color w:val="000000"/>
          <w:szCs w:val="24"/>
          <w:lang w:val="sr-Cyrl-CS"/>
        </w:rPr>
        <w:t xml:space="preserve"> спроведеног почетком 2021. године. За време пандемије, здравствени систем у јавној својини обуставио је све процедуре које нису биле хитне, укључујући дијагностику и лечење. Последично, осигурана лица била су принуђења да се обрате здравственим установама у приватној својини (приватној пракси), што је повећало њихове трошкове лечења, или се нису обраћали за здравствену заштиту уопште, што је повећало ризик од здравствених проблема касније. Поред тога, велики број фармацеутских производа намењених за лечење вируса короне нису била обезбеђена из средстава обавезног здравственог осигурања што је такође подразумевало њихово финансирање из сопствених средстава грађана.</w:t>
      </w:r>
    </w:p>
    <w:p w14:paraId="234D8682" w14:textId="7F9B80E7" w:rsidR="00D210F0" w:rsidRPr="00092ED7" w:rsidRDefault="00D210F0" w:rsidP="00D210F0">
      <w:pPr>
        <w:spacing w:after="60"/>
        <w:rPr>
          <w:rFonts w:cs="Times New Roman"/>
          <w:color w:val="000000"/>
          <w:szCs w:val="24"/>
          <w:shd w:val="clear" w:color="auto" w:fill="FFFFFF"/>
          <w:lang w:val="sr-Cyrl-CS"/>
        </w:rPr>
      </w:pPr>
      <w:r w:rsidRPr="00092ED7">
        <w:rPr>
          <w:rFonts w:cs="Times New Roman"/>
          <w:b/>
          <w:color w:val="000000"/>
          <w:szCs w:val="24"/>
          <w:shd w:val="clear" w:color="auto" w:fill="FFFFFF"/>
          <w:lang w:val="sr-Cyrl-CS"/>
        </w:rPr>
        <w:t xml:space="preserve">За даљи напредак здравственог система </w:t>
      </w:r>
      <w:r w:rsidR="0079401D" w:rsidRPr="00092ED7">
        <w:rPr>
          <w:rFonts w:cs="Times New Roman"/>
          <w:b/>
          <w:color w:val="000000"/>
          <w:szCs w:val="24"/>
          <w:shd w:val="clear" w:color="auto" w:fill="FFFFFF"/>
          <w:lang w:val="sr-Cyrl-CS"/>
        </w:rPr>
        <w:t xml:space="preserve">Републике </w:t>
      </w:r>
      <w:r w:rsidRPr="00092ED7">
        <w:rPr>
          <w:rFonts w:cs="Times New Roman"/>
          <w:b/>
          <w:color w:val="000000"/>
          <w:szCs w:val="24"/>
          <w:shd w:val="clear" w:color="auto" w:fill="FFFFFF"/>
          <w:lang w:val="sr-Cyrl-CS"/>
        </w:rPr>
        <w:t>Србије</w:t>
      </w:r>
      <w:r w:rsidRPr="00092ED7">
        <w:rPr>
          <w:rFonts w:cs="Times New Roman"/>
          <w:color w:val="000000"/>
          <w:szCs w:val="24"/>
          <w:shd w:val="clear" w:color="auto" w:fill="FFFFFF"/>
          <w:lang w:val="sr-Cyrl-CS"/>
        </w:rPr>
        <w:t xml:space="preserve"> </w:t>
      </w:r>
      <w:r w:rsidR="00D2730E" w:rsidRPr="00092ED7">
        <w:rPr>
          <w:rFonts w:cs="Times New Roman"/>
          <w:b/>
          <w:color w:val="000000"/>
          <w:szCs w:val="24"/>
          <w:shd w:val="clear" w:color="auto" w:fill="FFFFFF"/>
          <w:lang w:val="sr-Cyrl-CS"/>
        </w:rPr>
        <w:t xml:space="preserve">улажу се </w:t>
      </w:r>
      <w:r w:rsidRPr="00092ED7">
        <w:rPr>
          <w:rFonts w:cs="Times New Roman"/>
          <w:b/>
          <w:color w:val="000000"/>
          <w:szCs w:val="24"/>
          <w:shd w:val="clear" w:color="auto" w:fill="FFFFFF"/>
          <w:lang w:val="sr-Cyrl-CS"/>
        </w:rPr>
        <w:t>додатна финансијска средства</w:t>
      </w:r>
      <w:r w:rsidRPr="00092ED7">
        <w:rPr>
          <w:rFonts w:cs="Times New Roman"/>
          <w:color w:val="000000"/>
          <w:szCs w:val="24"/>
          <w:shd w:val="clear" w:color="auto" w:fill="FFFFFF"/>
          <w:lang w:val="sr-Cyrl-CS"/>
        </w:rPr>
        <w:t xml:space="preserve"> у реконструкцију здравствених објеката и </w:t>
      </w:r>
      <w:r w:rsidRPr="00092ED7">
        <w:rPr>
          <w:rFonts w:cs="Times New Roman"/>
          <w:b/>
          <w:color w:val="000000"/>
          <w:szCs w:val="24"/>
          <w:shd w:val="clear" w:color="auto" w:fill="FFFFFF"/>
          <w:lang w:val="sr-Cyrl-CS"/>
        </w:rPr>
        <w:t>набавку најсавременије технике и технологије</w:t>
      </w:r>
      <w:r w:rsidRPr="00092ED7">
        <w:rPr>
          <w:rFonts w:cs="Times New Roman"/>
          <w:color w:val="000000"/>
          <w:szCs w:val="24"/>
          <w:shd w:val="clear" w:color="auto" w:fill="FFFFFF"/>
          <w:lang w:val="sr-Cyrl-CS"/>
        </w:rPr>
        <w:t xml:space="preserve"> из области медицинских наука, како би се обезбедили </w:t>
      </w:r>
      <w:r w:rsidRPr="00092ED7">
        <w:rPr>
          <w:rFonts w:cs="Times New Roman"/>
          <w:b/>
          <w:color w:val="000000"/>
          <w:szCs w:val="24"/>
          <w:shd w:val="clear" w:color="auto" w:fill="FFFFFF"/>
          <w:lang w:val="sr-Cyrl-CS"/>
        </w:rPr>
        <w:t>повољнији услови за рад</w:t>
      </w:r>
      <w:r w:rsidRPr="00092ED7">
        <w:rPr>
          <w:rFonts w:cs="Times New Roman"/>
          <w:color w:val="000000"/>
          <w:szCs w:val="24"/>
          <w:shd w:val="clear" w:color="auto" w:fill="FFFFFF"/>
          <w:lang w:val="sr-Cyrl-CS"/>
        </w:rPr>
        <w:t xml:space="preserve">, али и </w:t>
      </w:r>
      <w:r w:rsidRPr="00092ED7">
        <w:rPr>
          <w:rFonts w:cs="Times New Roman"/>
          <w:b/>
          <w:color w:val="000000"/>
          <w:szCs w:val="24"/>
          <w:shd w:val="clear" w:color="auto" w:fill="FFFFFF"/>
          <w:lang w:val="sr-Cyrl-CS"/>
        </w:rPr>
        <w:t>запошљавање младих стручњака</w:t>
      </w:r>
      <w:r w:rsidRPr="00092ED7">
        <w:rPr>
          <w:rFonts w:cs="Times New Roman"/>
          <w:color w:val="000000"/>
          <w:szCs w:val="24"/>
          <w:shd w:val="clear" w:color="auto" w:fill="FFFFFF"/>
          <w:lang w:val="sr-Cyrl-CS"/>
        </w:rPr>
        <w:t xml:space="preserve"> односно спречио њихов одлазак из земље.</w:t>
      </w:r>
    </w:p>
    <w:p w14:paraId="702DE1A5" w14:textId="73233212" w:rsidR="00D210F0" w:rsidRPr="00092ED7" w:rsidRDefault="00D210F0" w:rsidP="00D210F0">
      <w:pPr>
        <w:spacing w:after="60"/>
        <w:rPr>
          <w:rFonts w:eastAsia="Times New Roman" w:cs="Times New Roman"/>
          <w:szCs w:val="24"/>
          <w:lang w:val="sr-Cyrl-CS"/>
        </w:rPr>
      </w:pPr>
      <w:r w:rsidRPr="00092ED7">
        <w:rPr>
          <w:b/>
          <w:szCs w:val="24"/>
          <w:lang w:val="sr-Cyrl-CS"/>
        </w:rPr>
        <w:t xml:space="preserve">Као </w:t>
      </w:r>
      <w:r w:rsidRPr="00092ED7">
        <w:rPr>
          <w:rFonts w:eastAsia="Times New Roman" w:cs="Times New Roman"/>
          <w:b/>
          <w:color w:val="000000"/>
          <w:szCs w:val="24"/>
          <w:lang w:val="sr-Cyrl-CS"/>
        </w:rPr>
        <w:t xml:space="preserve">последица </w:t>
      </w:r>
      <w:r w:rsidRPr="00092ED7">
        <w:rPr>
          <w:b/>
          <w:szCs w:val="24"/>
          <w:lang w:val="sr-Cyrl-CS"/>
        </w:rPr>
        <w:t>ниских улагања у здравству деценијама уназад, опремљеност здравствених установа</w:t>
      </w:r>
      <w:r w:rsidRPr="00092ED7">
        <w:rPr>
          <w:rFonts w:eastAsia="Times New Roman" w:cs="Times New Roman"/>
          <w:color w:val="000000"/>
          <w:szCs w:val="24"/>
          <w:lang w:val="sr-Cyrl-CS"/>
        </w:rPr>
        <w:t xml:space="preserve"> </w:t>
      </w:r>
      <w:r w:rsidRPr="00092ED7">
        <w:rPr>
          <w:rFonts w:eastAsia="Times New Roman" w:cs="Times New Roman"/>
          <w:b/>
          <w:color w:val="000000"/>
          <w:szCs w:val="24"/>
          <w:lang w:val="sr-Cyrl-CS"/>
        </w:rPr>
        <w:t xml:space="preserve">у јавној својини дијагностичким медицинским апаратима је </w:t>
      </w:r>
      <w:r w:rsidRPr="00092ED7">
        <w:rPr>
          <w:b/>
          <w:szCs w:val="24"/>
          <w:lang w:val="sr-Cyrl-CS"/>
        </w:rPr>
        <w:t>недовољна.</w:t>
      </w:r>
      <w:r w:rsidRPr="00092ED7">
        <w:rPr>
          <w:szCs w:val="24"/>
          <w:lang w:val="sr-Cyrl-CS"/>
        </w:rPr>
        <w:t xml:space="preserve"> Међутим, то се последњих година мења. Набављено је </w:t>
      </w:r>
      <w:r w:rsidRPr="00092ED7">
        <w:rPr>
          <w:rFonts w:eastAsia="Times New Roman" w:cs="Times New Roman"/>
          <w:szCs w:val="24"/>
          <w:lang w:val="sr-Cyrl-CS"/>
        </w:rPr>
        <w:t xml:space="preserve">135 рендген апарата и 55 </w:t>
      </w:r>
      <w:r w:rsidR="0079401D" w:rsidRPr="00092ED7">
        <w:rPr>
          <w:rFonts w:eastAsia="Times New Roman" w:cs="Times New Roman"/>
          <w:szCs w:val="24"/>
          <w:lang w:val="sr-Cyrl-CS"/>
        </w:rPr>
        <w:t xml:space="preserve">CT </w:t>
      </w:r>
      <w:r w:rsidRPr="00092ED7">
        <w:rPr>
          <w:rFonts w:eastAsia="Times New Roman" w:cs="Times New Roman"/>
          <w:szCs w:val="24"/>
          <w:lang w:val="sr-Cyrl-CS"/>
        </w:rPr>
        <w:t>скенера</w:t>
      </w:r>
      <w:r w:rsidRPr="00092ED7">
        <w:rPr>
          <w:rFonts w:cs="Times New Roman"/>
          <w:szCs w:val="24"/>
          <w:lang w:val="sr-Cyrl-CS"/>
        </w:rPr>
        <w:t xml:space="preserve"> за 167 здравствених установа </w:t>
      </w:r>
      <w:r w:rsidRPr="00092ED7">
        <w:rPr>
          <w:rFonts w:eastAsia="Times New Roman" w:cs="Times New Roman"/>
          <w:szCs w:val="24"/>
          <w:lang w:val="sr-Cyrl-CS"/>
        </w:rPr>
        <w:t xml:space="preserve">и </w:t>
      </w:r>
      <w:r w:rsidR="0079401D" w:rsidRPr="00092ED7">
        <w:rPr>
          <w:rFonts w:eastAsia="Times New Roman" w:cs="Times New Roman"/>
          <w:szCs w:val="24"/>
          <w:lang w:val="sr-Cyrl-CS"/>
        </w:rPr>
        <w:t xml:space="preserve">четири </w:t>
      </w:r>
      <w:r w:rsidRPr="00092ED7">
        <w:rPr>
          <w:rFonts w:eastAsia="Times New Roman" w:cs="Times New Roman"/>
          <w:szCs w:val="24"/>
          <w:lang w:val="sr-Cyrl-CS"/>
        </w:rPr>
        <w:t>линеарна акцелератора најновије генерације са циљем замене дотрајалих уређаја у радиотерапијским центрима, у првој половини 2022. године. Обезбеђена је и едукација здравствених радника за коришћење напредних могућности ове дијагностике. Такође, набављено је и</w:t>
      </w:r>
      <w:r w:rsidRPr="00092ED7">
        <w:rPr>
          <w:szCs w:val="24"/>
          <w:lang w:val="sr-Cyrl-CS"/>
        </w:rPr>
        <w:t xml:space="preserve"> 329 санитетских возила за здравствене центре.</w:t>
      </w:r>
    </w:p>
    <w:p w14:paraId="2B366E87" w14:textId="28E25565" w:rsidR="00D210F0" w:rsidRPr="00092ED7" w:rsidRDefault="00D210F0" w:rsidP="00D210F0">
      <w:pPr>
        <w:spacing w:after="60"/>
        <w:rPr>
          <w:szCs w:val="24"/>
          <w:lang w:val="sr-Cyrl-CS"/>
        </w:rPr>
      </w:pPr>
      <w:r w:rsidRPr="00092ED7">
        <w:rPr>
          <w:b/>
          <w:szCs w:val="24"/>
          <w:lang w:val="sr-Cyrl-CS"/>
        </w:rPr>
        <w:t xml:space="preserve">Унапређује се инфаструктура у здравству. </w:t>
      </w:r>
      <w:r w:rsidRPr="00092ED7">
        <w:rPr>
          <w:szCs w:val="24"/>
          <w:lang w:val="sr-Cyrl-CS"/>
        </w:rPr>
        <w:t>Доградња и реконструкција Клиничког центра Србије</w:t>
      </w:r>
      <w:r w:rsidRPr="00092ED7">
        <w:rPr>
          <w:rStyle w:val="FootnoteReference"/>
          <w:szCs w:val="24"/>
          <w:lang w:val="sr-Cyrl-CS"/>
        </w:rPr>
        <w:footnoteReference w:id="218"/>
      </w:r>
      <w:r w:rsidRPr="00092ED7">
        <w:rPr>
          <w:szCs w:val="24"/>
          <w:lang w:val="sr-Cyrl-CS"/>
        </w:rPr>
        <w:t xml:space="preserve"> у Београду је окончана, </w:t>
      </w:r>
      <w:r w:rsidRPr="00092ED7">
        <w:rPr>
          <w:rFonts w:cs="Times New Roman"/>
          <w:szCs w:val="24"/>
          <w:lang w:val="sr-Cyrl-CS"/>
        </w:rPr>
        <w:t>у К</w:t>
      </w:r>
      <w:r w:rsidR="0079401D" w:rsidRPr="00092ED7">
        <w:rPr>
          <w:rFonts w:cs="Times New Roman"/>
          <w:szCs w:val="24"/>
          <w:lang w:val="sr-Cyrl-CS"/>
        </w:rPr>
        <w:t>линичком центру</w:t>
      </w:r>
      <w:r w:rsidRPr="00092ED7">
        <w:rPr>
          <w:rFonts w:cs="Times New Roman"/>
          <w:szCs w:val="24"/>
          <w:lang w:val="sr-Cyrl-CS"/>
        </w:rPr>
        <w:t xml:space="preserve"> </w:t>
      </w:r>
      <w:r w:rsidRPr="00092ED7">
        <w:rPr>
          <w:rFonts w:cs="Times New Roman"/>
          <w:szCs w:val="24"/>
          <w:shd w:val="clear" w:color="auto" w:fill="FFFFFF"/>
          <w:lang w:val="sr-Cyrl-CS"/>
        </w:rPr>
        <w:t>Војводине у Новом Саду завршена прва фаза изградње објекта</w:t>
      </w:r>
      <w:r w:rsidRPr="00092ED7">
        <w:rPr>
          <w:szCs w:val="24"/>
          <w:lang w:val="sr-Cyrl-CS"/>
        </w:rPr>
        <w:t>, док је реконструкција Клинике за инфективне и тропске болести „Проф. др Коста Тодоровић</w:t>
      </w:r>
      <w:r w:rsidR="00066F2C" w:rsidRPr="00092ED7">
        <w:rPr>
          <w:rFonts w:cs="Times New Roman"/>
          <w:szCs w:val="24"/>
          <w:lang w:val="sr-Cyrl-CS"/>
        </w:rPr>
        <w:t>”</w:t>
      </w:r>
      <w:r w:rsidRPr="00092ED7">
        <w:rPr>
          <w:szCs w:val="24"/>
          <w:lang w:val="sr-Cyrl-CS"/>
        </w:rPr>
        <w:t xml:space="preserve"> у току.</w:t>
      </w:r>
    </w:p>
    <w:p w14:paraId="623B06FC" w14:textId="674F18EA" w:rsidR="00D210F0" w:rsidRPr="00092ED7" w:rsidRDefault="00D210F0" w:rsidP="00D210F0">
      <w:pPr>
        <w:spacing w:after="60"/>
        <w:rPr>
          <w:szCs w:val="24"/>
          <w:lang w:val="sr-Cyrl-CS"/>
        </w:rPr>
      </w:pPr>
      <w:r w:rsidRPr="00092ED7">
        <w:rPr>
          <w:rFonts w:cs="Times New Roman"/>
          <w:b/>
          <w:bCs/>
          <w:color w:val="000000"/>
          <w:szCs w:val="24"/>
          <w:shd w:val="clear" w:color="auto" w:fill="FFFFFF"/>
          <w:lang w:val="sr-Cyrl-CS"/>
        </w:rPr>
        <w:lastRenderedPageBreak/>
        <w:t xml:space="preserve">Одлив медицинских кадрова из здравствених установа у иностранство или недостатак кадрова услед природног одласка лекара у пензију, представља изазов који је и даље присутан. </w:t>
      </w:r>
      <w:r w:rsidRPr="00092ED7">
        <w:rPr>
          <w:szCs w:val="24"/>
          <w:lang w:val="sr-Cyrl-CS"/>
        </w:rPr>
        <w:t>Настављена је реализација „Програма запошљавања најуспешнијих дипломаца медицинских факултета и средњих школа</w:t>
      </w:r>
      <w:r w:rsidR="00066F2C" w:rsidRPr="00092ED7">
        <w:rPr>
          <w:rFonts w:cs="Times New Roman"/>
          <w:szCs w:val="24"/>
          <w:lang w:val="sr-Cyrl-CS"/>
        </w:rPr>
        <w:t>”</w:t>
      </w:r>
      <w:r w:rsidRPr="00092ED7">
        <w:rPr>
          <w:szCs w:val="24"/>
          <w:lang w:val="sr-Cyrl-CS"/>
        </w:rPr>
        <w:t>, тако да је 630 дипломаца-лекара и 250 медицинских сестара добило запослење, као и прилику за бесплатно стручно усавршавање, у првој половини 2022. године.</w:t>
      </w:r>
    </w:p>
    <w:p w14:paraId="0D87D880" w14:textId="77777777" w:rsidR="00D210F0" w:rsidRPr="00092ED7" w:rsidRDefault="00D210F0" w:rsidP="00D210F0">
      <w:pPr>
        <w:spacing w:after="60"/>
        <w:rPr>
          <w:szCs w:val="24"/>
          <w:lang w:val="sr-Cyrl-CS"/>
        </w:rPr>
      </w:pPr>
      <w:r w:rsidRPr="00092ED7">
        <w:rPr>
          <w:rFonts w:cs="Times New Roman"/>
          <w:b/>
          <w:bCs/>
          <w:szCs w:val="24"/>
          <w:lang w:val="sr-Cyrl-CS"/>
        </w:rPr>
        <w:t>Број осигураних лица на листама чекања константно је у порасту.</w:t>
      </w:r>
      <w:r w:rsidRPr="00092ED7">
        <w:rPr>
          <w:rFonts w:eastAsia="Times New Roman" w:cs="Times New Roman"/>
          <w:color w:val="000000"/>
          <w:szCs w:val="24"/>
          <w:lang w:val="sr-Cyrl-CS"/>
        </w:rPr>
        <w:t xml:space="preserve"> </w:t>
      </w:r>
      <w:r w:rsidRPr="00092ED7">
        <w:rPr>
          <w:b/>
          <w:bCs/>
          <w:szCs w:val="24"/>
          <w:lang w:val="sr-Cyrl-CS"/>
        </w:rPr>
        <w:t>Јединствена листа чекања</w:t>
      </w:r>
      <w:r w:rsidRPr="00092ED7">
        <w:rPr>
          <w:szCs w:val="24"/>
          <w:lang w:val="sr-Cyrl-CS"/>
        </w:rPr>
        <w:t xml:space="preserve"> се за 26 здравствених услуга ажурира на дневној бази и објављује на сајту РФЗО</w:t>
      </w:r>
      <w:r w:rsidRPr="00092ED7">
        <w:rPr>
          <w:szCs w:val="24"/>
          <w:vertAlign w:val="superscript"/>
          <w:lang w:val="sr-Cyrl-CS"/>
        </w:rPr>
        <w:footnoteReference w:id="219"/>
      </w:r>
      <w:r w:rsidRPr="00092ED7">
        <w:rPr>
          <w:szCs w:val="24"/>
          <w:lang w:val="sr-Cyrl-CS"/>
        </w:rPr>
        <w:t xml:space="preserve">, а укупан број лица на овој листи је нешто више од </w:t>
      </w:r>
      <w:r w:rsidRPr="00092ED7">
        <w:rPr>
          <w:b/>
          <w:bCs/>
          <w:szCs w:val="24"/>
          <w:lang w:val="sr-Cyrl-CS"/>
        </w:rPr>
        <w:t>61 хиљаде</w:t>
      </w:r>
      <w:r w:rsidRPr="00092ED7">
        <w:rPr>
          <w:szCs w:val="24"/>
          <w:lang w:val="sr-Cyrl-CS"/>
        </w:rPr>
        <w:t xml:space="preserve"> крајем </w:t>
      </w:r>
      <w:r w:rsidRPr="00092ED7">
        <w:rPr>
          <w:b/>
          <w:bCs/>
          <w:szCs w:val="24"/>
          <w:lang w:val="sr-Cyrl-CS"/>
        </w:rPr>
        <w:t>октобра 2022</w:t>
      </w:r>
      <w:r w:rsidRPr="00092ED7">
        <w:rPr>
          <w:szCs w:val="24"/>
          <w:lang w:val="sr-Cyrl-CS"/>
        </w:rPr>
        <w:t>. године.</w:t>
      </w:r>
    </w:p>
    <w:p w14:paraId="2F897002" w14:textId="5D4082A2" w:rsidR="00D210F0" w:rsidRPr="00092ED7" w:rsidRDefault="00D210F0" w:rsidP="00D210F0">
      <w:pPr>
        <w:spacing w:after="60"/>
        <w:rPr>
          <w:szCs w:val="24"/>
          <w:lang w:val="sr-Cyrl-CS"/>
        </w:rPr>
      </w:pPr>
      <w:r w:rsidRPr="00092ED7">
        <w:rPr>
          <w:rFonts w:cs="Times New Roman"/>
          <w:b/>
          <w:noProof/>
          <w:szCs w:val="24"/>
          <w:lang w:val="sr-Cyrl-CS"/>
        </w:rPr>
        <w:t xml:space="preserve">Иако је институционални оквир система здравствене заштите који се односи на здравствене установе у јавној својини добро развијен, неопходан је његов даљи развој како би се осигурала одрживост и ефикасност. </w:t>
      </w:r>
      <w:r w:rsidRPr="00092ED7">
        <w:rPr>
          <w:bCs/>
          <w:szCs w:val="24"/>
          <w:lang w:val="sr-Cyrl-CS"/>
        </w:rPr>
        <w:t xml:space="preserve">Израда </w:t>
      </w:r>
      <w:r w:rsidRPr="00092ED7">
        <w:rPr>
          <w:bCs/>
          <w:i/>
          <w:szCs w:val="24"/>
          <w:lang w:val="sr-Cyrl-CS"/>
        </w:rPr>
        <w:t>Плана оптимизације мреже установа здравствене заштите (Мастерплан здравства)</w:t>
      </w:r>
      <w:r w:rsidRPr="00092ED7">
        <w:rPr>
          <w:bCs/>
          <w:szCs w:val="24"/>
          <w:lang w:val="sr-Cyrl-CS"/>
        </w:rPr>
        <w:t xml:space="preserve"> покренута је 2019. године, са циљем побољшања квалитета, приступачности и ефикасности здравствене заштите, уз значајне уштеде и повећање економске ефикасности националног здравственог буџета, по узору на најбоље међународне праксе уз уважавање ситуације на терену у </w:t>
      </w:r>
      <w:r w:rsidR="007F5867" w:rsidRPr="00092ED7">
        <w:rPr>
          <w:bCs/>
          <w:szCs w:val="24"/>
          <w:lang w:val="sr-Cyrl-CS"/>
        </w:rPr>
        <w:t xml:space="preserve">Републици </w:t>
      </w:r>
      <w:r w:rsidRPr="00092ED7">
        <w:rPr>
          <w:bCs/>
          <w:szCs w:val="24"/>
          <w:lang w:val="sr-Cyrl-CS"/>
        </w:rPr>
        <w:t>Србији.</w:t>
      </w:r>
      <w:r w:rsidRPr="00092ED7">
        <w:rPr>
          <w:rFonts w:cs="Times New Roman"/>
          <w:szCs w:val="24"/>
          <w:lang w:val="sr-Cyrl-CS"/>
        </w:rPr>
        <w:t xml:space="preserve"> Планира се оптимизација капацитета здравствених установа у јавној својини, односно </w:t>
      </w:r>
      <w:r w:rsidRPr="00092ED7">
        <w:rPr>
          <w:szCs w:val="24"/>
          <w:lang w:val="sr-Cyrl-CS"/>
        </w:rPr>
        <w:t>приближавање места пружања услуге пацијенту на примарном нивоу здравствене заштите, повећање ефикасности здравствених установа (побољшати инфраструктуру и обезбедити интероперабилност различитих нивоа здравствене заштите), као и побољшање квалитета здравствених услуга, уз одрживост здравственог система</w:t>
      </w:r>
      <w:r w:rsidRPr="00092ED7">
        <w:rPr>
          <w:rStyle w:val="FootnoteReference"/>
          <w:szCs w:val="24"/>
          <w:lang w:val="sr-Cyrl-CS"/>
        </w:rPr>
        <w:footnoteReference w:id="220"/>
      </w:r>
      <w:r w:rsidRPr="00092ED7">
        <w:rPr>
          <w:szCs w:val="24"/>
          <w:lang w:val="sr-Cyrl-CS"/>
        </w:rPr>
        <w:t>.</w:t>
      </w:r>
    </w:p>
    <w:p w14:paraId="469AB778" w14:textId="485F5948" w:rsidR="00D210F0" w:rsidRPr="00092ED7" w:rsidRDefault="00D210F0" w:rsidP="00D210F0">
      <w:pPr>
        <w:spacing w:after="60"/>
        <w:rPr>
          <w:rFonts w:cs="Times New Roman"/>
          <w:bCs/>
          <w:color w:val="000000"/>
          <w:szCs w:val="24"/>
          <w:lang w:val="sr-Cyrl-CS"/>
        </w:rPr>
      </w:pPr>
      <w:r w:rsidRPr="00092ED7">
        <w:rPr>
          <w:b/>
          <w:bCs/>
          <w:szCs w:val="24"/>
          <w:lang w:val="sr-Cyrl-CS"/>
        </w:rPr>
        <w:t xml:space="preserve">Систем здравствене заштите у целини се може унапредити </w:t>
      </w:r>
      <w:r w:rsidRPr="00092ED7">
        <w:rPr>
          <w:rFonts w:cs="Times New Roman"/>
          <w:b/>
          <w:bCs/>
          <w:color w:val="000000"/>
          <w:szCs w:val="24"/>
          <w:lang w:val="sr-Cyrl-CS"/>
        </w:rPr>
        <w:t xml:space="preserve">међусобним повезивањем свих здравствених установа софтверским решењима која ће омогућити брзу и безбедну размену података. </w:t>
      </w:r>
      <w:r w:rsidRPr="00092ED7">
        <w:rPr>
          <w:rFonts w:cs="Times New Roman"/>
          <w:bCs/>
          <w:color w:val="000000"/>
          <w:szCs w:val="24"/>
          <w:lang w:val="sr-Cyrl-CS"/>
        </w:rPr>
        <w:t xml:space="preserve">Усвојен је </w:t>
      </w:r>
      <w:r w:rsidRPr="00092ED7">
        <w:rPr>
          <w:rFonts w:cs="Times New Roman"/>
          <w:bCs/>
          <w:i/>
          <w:color w:val="000000"/>
          <w:szCs w:val="24"/>
          <w:lang w:val="sr-Cyrl-CS"/>
        </w:rPr>
        <w:t xml:space="preserve">Програм дигитализације </w:t>
      </w:r>
      <w:bookmarkStart w:id="62" w:name="_Hlk112671526"/>
      <w:r w:rsidRPr="00092ED7">
        <w:rPr>
          <w:rFonts w:cs="Times New Roman"/>
          <w:bCs/>
          <w:i/>
          <w:color w:val="000000"/>
          <w:szCs w:val="24"/>
          <w:lang w:val="sr-Cyrl-CS"/>
        </w:rPr>
        <w:t>у здравственом систему Републике Србије за период 2022.–2026. годин</w:t>
      </w:r>
      <w:bookmarkEnd w:id="62"/>
      <w:r w:rsidRPr="00092ED7">
        <w:rPr>
          <w:rFonts w:cs="Times New Roman"/>
          <w:bCs/>
          <w:i/>
          <w:color w:val="000000"/>
          <w:szCs w:val="24"/>
          <w:lang w:val="sr-Cyrl-CS"/>
        </w:rPr>
        <w:t>а</w:t>
      </w:r>
      <w:r w:rsidRPr="00092ED7">
        <w:rPr>
          <w:rFonts w:cs="Times New Roman"/>
          <w:bCs/>
          <w:color w:val="000000"/>
          <w:szCs w:val="24"/>
          <w:lang w:val="sr-Cyrl-CS"/>
        </w:rPr>
        <w:t xml:space="preserve"> у фебруару 2022. године, као и </w:t>
      </w:r>
      <w:r w:rsidRPr="00092ED7">
        <w:rPr>
          <w:rFonts w:cs="Times New Roman"/>
          <w:bCs/>
          <w:i/>
          <w:color w:val="000000"/>
          <w:szCs w:val="24"/>
          <w:lang w:val="sr-Cyrl-CS"/>
        </w:rPr>
        <w:t>Акциони план за период 2022.-2023. година</w:t>
      </w:r>
      <w:r w:rsidRPr="00092ED7">
        <w:rPr>
          <w:rFonts w:cs="Times New Roman"/>
          <w:bCs/>
          <w:color w:val="000000"/>
          <w:szCs w:val="24"/>
          <w:lang w:val="sr-Cyrl-CS"/>
        </w:rPr>
        <w:t xml:space="preserve"> за спровођење овог Програма у мају 2022. године. Сваки пацијент ће имати јединствени електронски здравствени картон</w:t>
      </w:r>
      <w:r w:rsidR="0079401D" w:rsidRPr="00092ED7">
        <w:rPr>
          <w:rFonts w:cs="Times New Roman"/>
          <w:bCs/>
          <w:color w:val="000000"/>
          <w:szCs w:val="24"/>
          <w:lang w:val="sr-Cyrl-CS"/>
        </w:rPr>
        <w:t xml:space="preserve"> (у даљем тексту: ЈЕЗК)</w:t>
      </w:r>
      <w:r w:rsidRPr="00092ED7">
        <w:rPr>
          <w:rFonts w:cs="Times New Roman"/>
          <w:bCs/>
          <w:color w:val="000000"/>
          <w:szCs w:val="24"/>
          <w:lang w:val="sr-Cyrl-CS"/>
        </w:rPr>
        <w:t>, у који ће моћи да приступе сви здравствени радници којима се пацијент обрати. Тиме се омогућава сагледавање комплетног здравственог стања сваког пацијента и скраћење пута ка коначној дијагностици, чиме се унапређују резултати лечења и повећава задовољство пацијента, као крајњег корисника здравствене заштите.</w:t>
      </w:r>
    </w:p>
    <w:p w14:paraId="387D6005" w14:textId="77777777" w:rsidR="00D210F0" w:rsidRPr="00092ED7" w:rsidRDefault="00D210F0" w:rsidP="00D210F0">
      <w:pPr>
        <w:spacing w:after="60"/>
        <w:rPr>
          <w:rFonts w:cs="Times New Roman"/>
          <w:bCs/>
          <w:color w:val="000000"/>
          <w:szCs w:val="24"/>
          <w:lang w:val="sr-Cyrl-CS"/>
        </w:rPr>
      </w:pPr>
      <w:r w:rsidRPr="00092ED7">
        <w:rPr>
          <w:szCs w:val="24"/>
          <w:lang w:val="sr-Cyrl-CS"/>
        </w:rPr>
        <w:t xml:space="preserve">До сада је на </w:t>
      </w:r>
      <w:r w:rsidRPr="00092ED7">
        <w:rPr>
          <w:b/>
          <w:szCs w:val="24"/>
          <w:lang w:val="sr-Cyrl-CS"/>
        </w:rPr>
        <w:t>е-Картон</w:t>
      </w:r>
      <w:r w:rsidRPr="00092ED7">
        <w:rPr>
          <w:szCs w:val="24"/>
          <w:lang w:val="sr-Cyrl-CS"/>
        </w:rPr>
        <w:t xml:space="preserve"> повезана 278 здравствена установа (од планираних 326). Пилот тестирање платформе </w:t>
      </w:r>
      <w:r w:rsidRPr="00092ED7">
        <w:rPr>
          <w:b/>
          <w:szCs w:val="24"/>
          <w:lang w:val="sr-Cyrl-CS"/>
        </w:rPr>
        <w:t>еБоловањ</w:t>
      </w:r>
      <w:r w:rsidRPr="00092ED7">
        <w:rPr>
          <w:szCs w:val="24"/>
          <w:lang w:val="sr-Cyrl-CS"/>
        </w:rPr>
        <w:t xml:space="preserve">е отпочело је у пар установа, након чега ће сервис бити у функцији у свим здравственим установама примарног нивоа здравствене заштите. Даљи развој иде у правцу успостављања централног система за прикупљање података из свих лабораторијских система и њихова дистрибуција. Такође, планира се и проширење имплементације </w:t>
      </w:r>
      <w:r w:rsidRPr="00092ED7">
        <w:rPr>
          <w:b/>
          <w:szCs w:val="24"/>
          <w:lang w:val="sr-Cyrl-CS"/>
        </w:rPr>
        <w:t>еРецепта</w:t>
      </w:r>
      <w:r w:rsidRPr="00092ED7">
        <w:rPr>
          <w:szCs w:val="24"/>
          <w:lang w:val="sr-Cyrl-CS"/>
        </w:rPr>
        <w:t xml:space="preserve"> за специјалисте, као и увођење система провере интеракције лекова и система подршке доношењу клиничких одлука. Започет је пројекат </w:t>
      </w:r>
      <w:r w:rsidRPr="00092ED7">
        <w:rPr>
          <w:rFonts w:eastAsia="Times New Roman" w:cs="Times New Roman"/>
          <w:szCs w:val="24"/>
          <w:lang w:val="sr-Cyrl-CS"/>
        </w:rPr>
        <w:t>интеграције приватног здравственог сектора у систем еРецепт, чиме ће се приватним здравственим установама омогућити да издају рецепте електронским путем.</w:t>
      </w:r>
    </w:p>
    <w:p w14:paraId="3CD96919" w14:textId="77777777" w:rsidR="00D210F0" w:rsidRPr="00092ED7" w:rsidRDefault="00D210F0" w:rsidP="00D210F0">
      <w:pPr>
        <w:spacing w:before="120"/>
        <w:rPr>
          <w:rFonts w:eastAsia="Times New Roman" w:cs="Times New Roman"/>
          <w:b/>
          <w:bCs/>
          <w:szCs w:val="24"/>
          <w:lang w:val="sr-Cyrl-CS"/>
        </w:rPr>
      </w:pPr>
      <w:r w:rsidRPr="00092ED7">
        <w:rPr>
          <w:rFonts w:eastAsia="Times New Roman" w:cs="Times New Roman"/>
          <w:b/>
          <w:bCs/>
          <w:szCs w:val="24"/>
          <w:lang w:val="sr-Cyrl-CS"/>
        </w:rPr>
        <w:t>б) Реформе</w:t>
      </w:r>
    </w:p>
    <w:p w14:paraId="7BA1B048" w14:textId="77777777" w:rsidR="00D210F0" w:rsidRPr="00092ED7" w:rsidRDefault="00D210F0" w:rsidP="00D210F0">
      <w:pPr>
        <w:spacing w:after="60"/>
        <w:rPr>
          <w:bCs/>
          <w:lang w:val="sr-Cyrl-CS"/>
        </w:rPr>
      </w:pPr>
      <w:r w:rsidRPr="00092ED7">
        <w:rPr>
          <w:b/>
          <w:bCs/>
          <w:u w:val="single"/>
          <w:lang w:val="sr-Cyrl-CS"/>
        </w:rPr>
        <w:t>СТРУКТУРНА РЕФОРМА 22</w:t>
      </w:r>
      <w:r w:rsidRPr="00092ED7">
        <w:rPr>
          <w:b/>
          <w:bCs/>
          <w:lang w:val="sr-Cyrl-CS"/>
        </w:rPr>
        <w:t xml:space="preserve">: </w:t>
      </w:r>
      <w:r w:rsidRPr="00092ED7">
        <w:rPr>
          <w:bCs/>
          <w:lang w:val="sr-Cyrl-CS"/>
        </w:rPr>
        <w:t>УНАПРЕЂЕЊЕ ЕФИКАСНОСТИ ЗДРАВСТВЕНОГ СИСТЕМА КРОЗ ДИГИТАЛИЗАЦИЈУ ПРОЦЕСА</w:t>
      </w:r>
    </w:p>
    <w:p w14:paraId="04F4AFF3" w14:textId="77777777" w:rsidR="00D210F0" w:rsidRPr="00092ED7" w:rsidRDefault="00D210F0" w:rsidP="00071952">
      <w:pPr>
        <w:widowControl w:val="0"/>
        <w:numPr>
          <w:ilvl w:val="0"/>
          <w:numId w:val="39"/>
        </w:numPr>
        <w:spacing w:before="120"/>
        <w:rPr>
          <w:rFonts w:cs="Times New Roman"/>
          <w:b/>
          <w:bCs/>
          <w:szCs w:val="24"/>
          <w:lang w:val="sr-Cyrl-CS"/>
        </w:rPr>
      </w:pPr>
      <w:r w:rsidRPr="00092ED7">
        <w:rPr>
          <w:rFonts w:cs="Times New Roman"/>
          <w:b/>
          <w:bCs/>
          <w:szCs w:val="24"/>
          <w:lang w:val="sr-Cyrl-CS"/>
        </w:rPr>
        <w:lastRenderedPageBreak/>
        <w:t>Опис структурне реформе</w:t>
      </w:r>
    </w:p>
    <w:p w14:paraId="3A0E9F12" w14:textId="1D0E98F0" w:rsidR="00D210F0" w:rsidRPr="00092ED7" w:rsidRDefault="008566C3" w:rsidP="00053B2B">
      <w:pPr>
        <w:spacing w:after="60"/>
        <w:rPr>
          <w:rFonts w:cs="Times New Roman"/>
          <w:lang w:val="sr-Cyrl-CS"/>
        </w:rPr>
      </w:pPr>
      <w:r w:rsidRPr="00092ED7">
        <w:rPr>
          <w:rFonts w:cs="Times New Roman"/>
          <w:lang w:val="sr-Cyrl-CS"/>
        </w:rPr>
        <w:t>Дигитализација у здравственом систему подразумева повећање ефикасности пружања здравствених услуга, виши квалитет дијагностике и лечења на свим нивоима здравствене заштите установа из Плана мреже</w:t>
      </w:r>
      <w:r w:rsidR="00D2730E" w:rsidRPr="00092ED7">
        <w:rPr>
          <w:lang w:val="sr-Cyrl-CS"/>
        </w:rPr>
        <w:t xml:space="preserve"> </w:t>
      </w:r>
      <w:r w:rsidR="00D2730E" w:rsidRPr="00092ED7">
        <w:rPr>
          <w:rFonts w:cs="Times New Roman"/>
          <w:lang w:val="sr-Cyrl-CS"/>
        </w:rPr>
        <w:t>здравствених установа</w:t>
      </w:r>
      <w:r w:rsidRPr="00092ED7">
        <w:rPr>
          <w:rFonts w:cs="Times New Roman"/>
          <w:lang w:val="sr-Cyrl-CS"/>
        </w:rPr>
        <w:t xml:space="preserve"> као и ауторизовани приступ обједињеним здравственим подацима на свим нивоима здравствене заштите установа, што је кључно за дијагностику и адекватно лечење пацијената. </w:t>
      </w:r>
      <w:r w:rsidR="0079401D" w:rsidRPr="00092ED7">
        <w:rPr>
          <w:rFonts w:cs="Times New Roman"/>
          <w:lang w:val="sr-Cyrl-CS"/>
        </w:rPr>
        <w:t xml:space="preserve">Путем </w:t>
      </w:r>
      <w:r w:rsidR="00D210F0" w:rsidRPr="00092ED7">
        <w:rPr>
          <w:rFonts w:cs="Times New Roman"/>
          <w:lang w:val="sr-Cyrl-CS"/>
        </w:rPr>
        <w:t xml:space="preserve">ЈЕЗК </w:t>
      </w:r>
      <w:r w:rsidR="0079401D" w:rsidRPr="00092ED7">
        <w:rPr>
          <w:rFonts w:cs="Times New Roman"/>
          <w:lang w:val="sr-Cyrl-CS"/>
        </w:rPr>
        <w:t xml:space="preserve">ће се </w:t>
      </w:r>
      <w:r w:rsidR="00D210F0" w:rsidRPr="00092ED7">
        <w:rPr>
          <w:rFonts w:cs="Times New Roman"/>
          <w:lang w:val="sr-Cyrl-CS"/>
        </w:rPr>
        <w:t>стандардизова</w:t>
      </w:r>
      <w:r w:rsidR="0079401D" w:rsidRPr="00092ED7">
        <w:rPr>
          <w:rFonts w:cs="Times New Roman"/>
          <w:lang w:val="sr-Cyrl-CS"/>
        </w:rPr>
        <w:t>ти</w:t>
      </w:r>
      <w:r w:rsidR="00D210F0" w:rsidRPr="00092ED7">
        <w:rPr>
          <w:rFonts w:cs="Times New Roman"/>
          <w:lang w:val="sr-Cyrl-CS"/>
        </w:rPr>
        <w:t xml:space="preserve"> основни извод медицинских података и аутоматизовати приступ, и тако ће се створити и услови за размену података између државног и приватног сектора.  </w:t>
      </w:r>
    </w:p>
    <w:p w14:paraId="5DF94C4E" w14:textId="77777777" w:rsidR="00D210F0" w:rsidRPr="00092ED7" w:rsidRDefault="00D210F0" w:rsidP="000E6CF5">
      <w:pPr>
        <w:widowControl w:val="0"/>
        <w:spacing w:after="60"/>
        <w:rPr>
          <w:rFonts w:eastAsia="Times New Roman" w:cs="Times New Roman"/>
          <w:szCs w:val="24"/>
          <w:lang w:val="sr-Cyrl-CS"/>
        </w:rPr>
      </w:pPr>
      <w:r w:rsidRPr="00092ED7">
        <w:rPr>
          <w:rFonts w:eastAsia="Times New Roman" w:cs="Times New Roman"/>
          <w:szCs w:val="24"/>
          <w:lang w:val="sr-Cyrl-CS"/>
        </w:rPr>
        <w:t xml:space="preserve">Након имплементације ЈЕЗК, планирано је успостављање централне платформе за прикупљање података из свих лабораторијских система (како из установа из </w:t>
      </w:r>
      <w:r w:rsidR="00C23826" w:rsidRPr="00092ED7">
        <w:rPr>
          <w:rFonts w:eastAsia="Times New Roman" w:cs="Times New Roman"/>
          <w:szCs w:val="24"/>
          <w:lang w:val="sr-Cyrl-CS"/>
        </w:rPr>
        <w:t>П</w:t>
      </w:r>
      <w:r w:rsidRPr="00092ED7">
        <w:rPr>
          <w:rFonts w:eastAsia="Times New Roman" w:cs="Times New Roman"/>
          <w:szCs w:val="24"/>
          <w:lang w:val="sr-Cyrl-CS"/>
        </w:rPr>
        <w:t>лана мреже</w:t>
      </w:r>
      <w:r w:rsidR="00B45EE3" w:rsidRPr="00092ED7">
        <w:rPr>
          <w:rFonts w:cs="Times New Roman"/>
          <w:lang w:val="sr-Cyrl-CS"/>
        </w:rPr>
        <w:t xml:space="preserve"> здравствених установа,</w:t>
      </w:r>
      <w:r w:rsidRPr="00092ED7">
        <w:rPr>
          <w:rFonts w:eastAsia="Times New Roman" w:cs="Times New Roman"/>
          <w:szCs w:val="24"/>
          <w:lang w:val="sr-Cyrl-CS"/>
        </w:rPr>
        <w:t xml:space="preserve"> тако и из приватних установа) и њихова дистрибуција. </w:t>
      </w:r>
      <w:r w:rsidR="008566C3" w:rsidRPr="00092ED7">
        <w:rPr>
          <w:rFonts w:eastAsia="Times New Roman" w:cs="Times New Roman"/>
          <w:szCs w:val="24"/>
          <w:lang w:val="sr-Cyrl-CS"/>
        </w:rPr>
        <w:t xml:space="preserve">Имплементација пројекта еБоловање се очекује након измене </w:t>
      </w:r>
      <w:r w:rsidR="008566C3" w:rsidRPr="00092ED7">
        <w:rPr>
          <w:rFonts w:eastAsia="Times New Roman" w:cs="Times New Roman"/>
          <w:i/>
          <w:szCs w:val="24"/>
          <w:lang w:val="sr-Cyrl-CS"/>
        </w:rPr>
        <w:t>Закона о здравственом осигурању</w:t>
      </w:r>
      <w:r w:rsidR="008566C3" w:rsidRPr="00092ED7">
        <w:rPr>
          <w:rFonts w:eastAsia="Times New Roman" w:cs="Times New Roman"/>
          <w:szCs w:val="24"/>
          <w:lang w:val="sr-Cyrl-CS"/>
        </w:rPr>
        <w:t xml:space="preserve"> у 2023.</w:t>
      </w:r>
      <w:r w:rsidR="00E14B83" w:rsidRPr="00092ED7">
        <w:rPr>
          <w:rFonts w:eastAsia="Times New Roman" w:cs="Times New Roman"/>
          <w:szCs w:val="24"/>
          <w:lang w:val="sr-Cyrl-CS"/>
        </w:rPr>
        <w:t xml:space="preserve"> </w:t>
      </w:r>
      <w:r w:rsidR="008566C3" w:rsidRPr="00092ED7">
        <w:rPr>
          <w:rFonts w:eastAsia="Times New Roman" w:cs="Times New Roman"/>
          <w:szCs w:val="24"/>
          <w:lang w:val="sr-Cyrl-CS"/>
        </w:rPr>
        <w:t xml:space="preserve">години. </w:t>
      </w:r>
      <w:r w:rsidRPr="00092ED7">
        <w:rPr>
          <w:rFonts w:eastAsia="Times New Roman" w:cs="Times New Roman"/>
          <w:szCs w:val="24"/>
          <w:lang w:val="sr-Cyrl-CS"/>
        </w:rPr>
        <w:t>Такође, у плану је и проширење имплементације еРецепта за прописивање ампулираних лекова и помагала на примарном нивоу здравствене заштите, као и увођење система провере интеракције лекова и система подршке доношењу клиничких одлука. Поред наведеног, разматрају се могућности примене вештачке интелигенције над одређеним процесима искључиво у области радиологије, поготово мамографије због организованог скрининга за рак дојке, где би се применом овакве технологије постигла боља искоришћеност ресурса, јер би одређени део дијагностике - прво читање или маркирање одређених аномалија - радила вештачка интелигенција.</w:t>
      </w:r>
    </w:p>
    <w:p w14:paraId="3FF13336" w14:textId="77777777" w:rsidR="00D210F0" w:rsidRPr="00092ED7" w:rsidRDefault="00D210F0" w:rsidP="00071952">
      <w:pPr>
        <w:widowControl w:val="0"/>
        <w:numPr>
          <w:ilvl w:val="0"/>
          <w:numId w:val="39"/>
        </w:numPr>
        <w:spacing w:before="120"/>
        <w:rPr>
          <w:rFonts w:cs="Times New Roman"/>
          <w:b/>
          <w:smallCaps/>
          <w:lang w:val="sr-Cyrl-CS"/>
        </w:rPr>
      </w:pPr>
      <w:r w:rsidRPr="00092ED7">
        <w:rPr>
          <w:rFonts w:cs="Times New Roman"/>
          <w:b/>
          <w:bCs/>
          <w:szCs w:val="24"/>
          <w:lang w:val="sr-Cyrl-CS"/>
        </w:rPr>
        <w:t>Планиране активности по годинама</w:t>
      </w:r>
    </w:p>
    <w:tbl>
      <w:tblPr>
        <w:tblW w:w="9139" w:type="dxa"/>
        <w:tblLayout w:type="fixed"/>
        <w:tblCellMar>
          <w:left w:w="0" w:type="dxa"/>
          <w:right w:w="0" w:type="dxa"/>
        </w:tblCellMar>
        <w:tblLook w:val="04A0" w:firstRow="1" w:lastRow="0" w:firstColumn="1" w:lastColumn="0" w:noHBand="0" w:noVBand="1"/>
      </w:tblPr>
      <w:tblGrid>
        <w:gridCol w:w="425"/>
        <w:gridCol w:w="4243"/>
        <w:gridCol w:w="372"/>
        <w:gridCol w:w="373"/>
        <w:gridCol w:w="372"/>
        <w:gridCol w:w="373"/>
        <w:gridCol w:w="372"/>
        <w:gridCol w:w="373"/>
        <w:gridCol w:w="373"/>
        <w:gridCol w:w="372"/>
        <w:gridCol w:w="373"/>
        <w:gridCol w:w="372"/>
        <w:gridCol w:w="373"/>
        <w:gridCol w:w="373"/>
      </w:tblGrid>
      <w:tr w:rsidR="00D210F0" w:rsidRPr="00092ED7" w14:paraId="32DFED84" w14:textId="77777777" w:rsidTr="0092798F">
        <w:trPr>
          <w:trHeight w:val="315"/>
        </w:trPr>
        <w:tc>
          <w:tcPr>
            <w:tcW w:w="425" w:type="dxa"/>
            <w:vMerge w:val="restart"/>
            <w:tcBorders>
              <w:top w:val="single" w:sz="8" w:space="0" w:color="auto"/>
              <w:left w:val="single" w:sz="8" w:space="0" w:color="auto"/>
              <w:right w:val="nil"/>
            </w:tcBorders>
            <w:shd w:val="clear" w:color="000000" w:fill="BDD6EE"/>
            <w:tcMar>
              <w:top w:w="15" w:type="dxa"/>
              <w:left w:w="15" w:type="dxa"/>
              <w:bottom w:w="0" w:type="dxa"/>
              <w:right w:w="15" w:type="dxa"/>
            </w:tcMar>
            <w:vAlign w:val="center"/>
            <w:hideMark/>
          </w:tcPr>
          <w:p w14:paraId="23468785" w14:textId="77777777" w:rsidR="00D210F0" w:rsidRPr="00092ED7" w:rsidRDefault="00D210F0" w:rsidP="00D210F0">
            <w:pPr>
              <w:spacing w:after="0"/>
              <w:jc w:val="left"/>
              <w:rPr>
                <w:rFonts w:eastAsia="Calibri" w:cs="Times New Roman"/>
                <w:b/>
                <w:bCs/>
                <w:color w:val="000000"/>
                <w:sz w:val="20"/>
                <w:szCs w:val="20"/>
                <w:lang w:val="sr-Cyrl-CS"/>
              </w:rPr>
            </w:pPr>
            <w:r w:rsidRPr="00092ED7">
              <w:rPr>
                <w:rFonts w:eastAsia="Calibri" w:cs="Times New Roman"/>
                <w:b/>
                <w:bCs/>
                <w:color w:val="000000"/>
                <w:sz w:val="20"/>
                <w:szCs w:val="20"/>
                <w:lang w:val="sr-Cyrl-CS" w:eastAsia="sr-Cyrl-CS" w:bidi="sr-Cyrl-CS"/>
              </w:rPr>
              <w:t>РБ</w:t>
            </w:r>
          </w:p>
        </w:tc>
        <w:tc>
          <w:tcPr>
            <w:tcW w:w="4243" w:type="dxa"/>
            <w:vMerge w:val="restart"/>
            <w:tcBorders>
              <w:top w:val="single" w:sz="8" w:space="0" w:color="auto"/>
              <w:left w:val="single" w:sz="8" w:space="0" w:color="auto"/>
              <w:bottom w:val="single" w:sz="8" w:space="0" w:color="000000"/>
              <w:right w:val="nil"/>
            </w:tcBorders>
            <w:shd w:val="clear" w:color="000000" w:fill="BDD6EE"/>
            <w:tcMar>
              <w:top w:w="15" w:type="dxa"/>
              <w:left w:w="15" w:type="dxa"/>
              <w:bottom w:w="0" w:type="dxa"/>
              <w:right w:w="15" w:type="dxa"/>
            </w:tcMar>
            <w:vAlign w:val="center"/>
            <w:hideMark/>
          </w:tcPr>
          <w:p w14:paraId="63C9B82E" w14:textId="77777777" w:rsidR="00D210F0" w:rsidRPr="00092ED7" w:rsidRDefault="00D210F0" w:rsidP="00D210F0">
            <w:pPr>
              <w:widowControl w:val="0"/>
              <w:spacing w:after="0"/>
              <w:jc w:val="left"/>
              <w:rPr>
                <w:rFonts w:eastAsia="Calibri" w:cs="Times New Roman"/>
                <w:b/>
                <w:bCs/>
                <w:color w:val="000000"/>
                <w:sz w:val="20"/>
                <w:szCs w:val="20"/>
                <w:lang w:val="sr-Cyrl-CS" w:eastAsia="sr-Cyrl-CS" w:bidi="sr-Cyrl-CS"/>
              </w:rPr>
            </w:pPr>
            <w:r w:rsidRPr="00092ED7">
              <w:rPr>
                <w:rFonts w:eastAsia="Calibri" w:cs="Times New Roman"/>
                <w:b/>
                <w:bCs/>
                <w:color w:val="000000"/>
                <w:sz w:val="20"/>
                <w:szCs w:val="20"/>
                <w:lang w:val="sr-Cyrl-CS" w:eastAsia="sr-Cyrl-CS" w:bidi="sr-Cyrl-CS"/>
              </w:rPr>
              <w:t>Планиране активности</w:t>
            </w:r>
          </w:p>
        </w:tc>
        <w:tc>
          <w:tcPr>
            <w:tcW w:w="1490" w:type="dxa"/>
            <w:gridSpan w:val="4"/>
            <w:tcBorders>
              <w:top w:val="single" w:sz="8" w:space="0" w:color="auto"/>
              <w:left w:val="single" w:sz="8" w:space="0" w:color="auto"/>
              <w:bottom w:val="single" w:sz="4" w:space="0" w:color="auto"/>
              <w:right w:val="single" w:sz="8" w:space="0" w:color="000000"/>
            </w:tcBorders>
            <w:shd w:val="clear" w:color="auto" w:fill="BDD6EE" w:themeFill="accent1" w:themeFillTint="66"/>
            <w:tcMar>
              <w:top w:w="15" w:type="dxa"/>
              <w:left w:w="15" w:type="dxa"/>
              <w:bottom w:w="0" w:type="dxa"/>
              <w:right w:w="15" w:type="dxa"/>
            </w:tcMar>
            <w:vAlign w:val="center"/>
            <w:hideMark/>
          </w:tcPr>
          <w:p w14:paraId="4CABA5C3" w14:textId="77777777" w:rsidR="00D210F0" w:rsidRPr="00092ED7" w:rsidRDefault="00D210F0" w:rsidP="00D210F0">
            <w:pPr>
              <w:widowControl w:val="0"/>
              <w:spacing w:after="0"/>
              <w:jc w:val="center"/>
              <w:rPr>
                <w:rFonts w:eastAsia="Calibri" w:cs="Times New Roman"/>
                <w:b/>
                <w:bCs/>
                <w:color w:val="000000"/>
                <w:sz w:val="20"/>
                <w:szCs w:val="20"/>
                <w:lang w:val="sr-Cyrl-CS" w:eastAsia="sr-Cyrl-CS" w:bidi="sr-Cyrl-CS"/>
              </w:rPr>
            </w:pPr>
            <w:r w:rsidRPr="00092ED7">
              <w:rPr>
                <w:rFonts w:eastAsia="Calibri" w:cs="Times New Roman"/>
                <w:b/>
                <w:bCs/>
                <w:color w:val="000000"/>
                <w:sz w:val="20"/>
                <w:szCs w:val="20"/>
                <w:lang w:val="sr-Cyrl-CS" w:eastAsia="sr-Cyrl-CS" w:bidi="sr-Cyrl-CS"/>
              </w:rPr>
              <w:t>2023</w:t>
            </w:r>
          </w:p>
        </w:tc>
        <w:tc>
          <w:tcPr>
            <w:tcW w:w="1490" w:type="dxa"/>
            <w:gridSpan w:val="4"/>
            <w:tcBorders>
              <w:top w:val="single" w:sz="8" w:space="0" w:color="auto"/>
              <w:left w:val="single" w:sz="8" w:space="0" w:color="auto"/>
              <w:bottom w:val="single" w:sz="4" w:space="0" w:color="auto"/>
              <w:right w:val="single" w:sz="8" w:space="0" w:color="000000"/>
            </w:tcBorders>
            <w:shd w:val="clear" w:color="auto" w:fill="BDD6EE" w:themeFill="accent1" w:themeFillTint="66"/>
            <w:tcMar>
              <w:top w:w="15" w:type="dxa"/>
              <w:left w:w="15" w:type="dxa"/>
              <w:bottom w:w="0" w:type="dxa"/>
              <w:right w:w="15" w:type="dxa"/>
            </w:tcMar>
            <w:vAlign w:val="center"/>
            <w:hideMark/>
          </w:tcPr>
          <w:p w14:paraId="7002F6A4" w14:textId="77777777" w:rsidR="00D210F0" w:rsidRPr="00092ED7" w:rsidRDefault="00D210F0" w:rsidP="00D210F0">
            <w:pPr>
              <w:widowControl w:val="0"/>
              <w:spacing w:after="0"/>
              <w:jc w:val="center"/>
              <w:rPr>
                <w:rFonts w:eastAsia="Calibri" w:cs="Times New Roman"/>
                <w:b/>
                <w:bCs/>
                <w:color w:val="000000"/>
                <w:sz w:val="20"/>
                <w:szCs w:val="20"/>
                <w:lang w:val="sr-Cyrl-CS" w:eastAsia="sr-Cyrl-CS" w:bidi="sr-Cyrl-CS"/>
              </w:rPr>
            </w:pPr>
            <w:r w:rsidRPr="00092ED7">
              <w:rPr>
                <w:rFonts w:eastAsia="Calibri" w:cs="Times New Roman"/>
                <w:b/>
                <w:bCs/>
                <w:color w:val="000000"/>
                <w:sz w:val="20"/>
                <w:szCs w:val="20"/>
                <w:lang w:val="sr-Cyrl-CS" w:eastAsia="sr-Cyrl-CS" w:bidi="sr-Cyrl-CS"/>
              </w:rPr>
              <w:t>2024</w:t>
            </w:r>
          </w:p>
        </w:tc>
        <w:tc>
          <w:tcPr>
            <w:tcW w:w="1491" w:type="dxa"/>
            <w:gridSpan w:val="4"/>
            <w:tcBorders>
              <w:top w:val="single" w:sz="8" w:space="0" w:color="auto"/>
              <w:left w:val="nil"/>
              <w:bottom w:val="single" w:sz="4" w:space="0" w:color="auto"/>
              <w:right w:val="single" w:sz="8" w:space="0" w:color="000000"/>
            </w:tcBorders>
            <w:shd w:val="clear" w:color="auto" w:fill="BDD6EE" w:themeFill="accent1" w:themeFillTint="66"/>
            <w:tcMar>
              <w:top w:w="15" w:type="dxa"/>
              <w:left w:w="15" w:type="dxa"/>
              <w:bottom w:w="0" w:type="dxa"/>
              <w:right w:w="15" w:type="dxa"/>
            </w:tcMar>
            <w:vAlign w:val="center"/>
            <w:hideMark/>
          </w:tcPr>
          <w:p w14:paraId="3CBCD263" w14:textId="77777777" w:rsidR="00D210F0" w:rsidRPr="00092ED7" w:rsidRDefault="00D210F0" w:rsidP="00D210F0">
            <w:pPr>
              <w:widowControl w:val="0"/>
              <w:spacing w:after="0"/>
              <w:jc w:val="center"/>
              <w:rPr>
                <w:rFonts w:eastAsia="Calibri" w:cs="Times New Roman"/>
                <w:b/>
                <w:bCs/>
                <w:color w:val="000000"/>
                <w:sz w:val="20"/>
                <w:szCs w:val="20"/>
                <w:lang w:val="sr-Cyrl-CS" w:eastAsia="sr-Cyrl-CS" w:bidi="sr-Cyrl-CS"/>
              </w:rPr>
            </w:pPr>
            <w:r w:rsidRPr="00092ED7">
              <w:rPr>
                <w:rFonts w:eastAsia="Calibri" w:cs="Times New Roman"/>
                <w:b/>
                <w:bCs/>
                <w:color w:val="000000"/>
                <w:sz w:val="20"/>
                <w:szCs w:val="20"/>
                <w:lang w:val="sr-Cyrl-CS" w:eastAsia="sr-Cyrl-CS" w:bidi="sr-Cyrl-CS"/>
              </w:rPr>
              <w:t>2025</w:t>
            </w:r>
          </w:p>
        </w:tc>
      </w:tr>
      <w:tr w:rsidR="00D210F0" w:rsidRPr="00092ED7" w14:paraId="1151609C" w14:textId="77777777" w:rsidTr="0092798F">
        <w:trPr>
          <w:trHeight w:val="315"/>
        </w:trPr>
        <w:tc>
          <w:tcPr>
            <w:tcW w:w="425" w:type="dxa"/>
            <w:vMerge/>
            <w:tcBorders>
              <w:left w:val="single" w:sz="8" w:space="0" w:color="auto"/>
              <w:bottom w:val="single" w:sz="8" w:space="0" w:color="000000"/>
              <w:right w:val="nil"/>
            </w:tcBorders>
            <w:shd w:val="clear" w:color="000000" w:fill="BDD6EE"/>
            <w:vAlign w:val="center"/>
            <w:hideMark/>
          </w:tcPr>
          <w:p w14:paraId="53A7BAB7" w14:textId="77777777" w:rsidR="00D210F0" w:rsidRPr="00092ED7" w:rsidRDefault="00D210F0" w:rsidP="00D210F0">
            <w:pPr>
              <w:spacing w:after="0"/>
              <w:jc w:val="center"/>
              <w:rPr>
                <w:rFonts w:eastAsia="Calibri" w:cs="Times New Roman"/>
                <w:b/>
                <w:bCs/>
                <w:color w:val="000000"/>
                <w:sz w:val="21"/>
                <w:szCs w:val="21"/>
                <w:lang w:val="sr-Cyrl-CS" w:eastAsia="sr-Cyrl-CS" w:bidi="sr-Cyrl-CS"/>
              </w:rPr>
            </w:pPr>
          </w:p>
        </w:tc>
        <w:tc>
          <w:tcPr>
            <w:tcW w:w="4243" w:type="dxa"/>
            <w:vMerge/>
            <w:tcBorders>
              <w:top w:val="single" w:sz="8" w:space="0" w:color="auto"/>
              <w:left w:val="single" w:sz="8" w:space="0" w:color="auto"/>
              <w:bottom w:val="single" w:sz="8" w:space="0" w:color="000000"/>
              <w:right w:val="nil"/>
            </w:tcBorders>
            <w:vAlign w:val="center"/>
            <w:hideMark/>
          </w:tcPr>
          <w:p w14:paraId="64B2EF8C" w14:textId="77777777" w:rsidR="00D210F0" w:rsidRPr="00092ED7" w:rsidRDefault="00D210F0" w:rsidP="00D210F0">
            <w:pPr>
              <w:widowControl w:val="0"/>
              <w:spacing w:after="0"/>
              <w:jc w:val="left"/>
              <w:rPr>
                <w:rFonts w:eastAsia="Calibri" w:cs="Times New Roman"/>
                <w:b/>
                <w:bCs/>
                <w:color w:val="000000"/>
                <w:sz w:val="21"/>
                <w:szCs w:val="21"/>
                <w:lang w:val="sr-Cyrl-CS" w:eastAsia="sr-Cyrl-CS" w:bidi="sr-Cyrl-CS"/>
              </w:rPr>
            </w:pPr>
          </w:p>
        </w:tc>
        <w:tc>
          <w:tcPr>
            <w:tcW w:w="372" w:type="dxa"/>
            <w:tcBorders>
              <w:top w:val="nil"/>
              <w:left w:val="single" w:sz="8" w:space="0" w:color="auto"/>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3F9CAB5F" w14:textId="77777777" w:rsidR="00D210F0" w:rsidRPr="00092ED7" w:rsidRDefault="00D210F0" w:rsidP="00D210F0">
            <w:pPr>
              <w:widowControl w:val="0"/>
              <w:spacing w:after="0"/>
              <w:jc w:val="center"/>
              <w:rPr>
                <w:rFonts w:eastAsia="Calibri" w:cs="Times New Roman"/>
                <w:i/>
                <w:iCs/>
                <w:color w:val="000000"/>
                <w:sz w:val="18"/>
                <w:szCs w:val="18"/>
                <w:lang w:val="sr-Cyrl-CS" w:eastAsia="sr-Cyrl-CS" w:bidi="sr-Cyrl-CS"/>
              </w:rPr>
            </w:pPr>
            <w:r w:rsidRPr="00092ED7">
              <w:rPr>
                <w:rFonts w:eastAsia="Calibri" w:cs="Times New Roman"/>
                <w:i/>
                <w:iCs/>
                <w:color w:val="000000"/>
                <w:sz w:val="18"/>
                <w:szCs w:val="18"/>
                <w:lang w:val="sr-Cyrl-CS" w:eastAsia="sr-Cyrl-CS" w:bidi="sr-Cyrl-CS"/>
              </w:rPr>
              <w:t>Q1</w:t>
            </w:r>
          </w:p>
        </w:tc>
        <w:tc>
          <w:tcPr>
            <w:tcW w:w="373"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7867295C" w14:textId="77777777" w:rsidR="00D210F0" w:rsidRPr="00092ED7" w:rsidRDefault="00D210F0" w:rsidP="00D210F0">
            <w:pPr>
              <w:widowControl w:val="0"/>
              <w:spacing w:after="0"/>
              <w:jc w:val="center"/>
              <w:rPr>
                <w:rFonts w:eastAsia="Calibri" w:cs="Times New Roman"/>
                <w:i/>
                <w:iCs/>
                <w:color w:val="000000"/>
                <w:sz w:val="18"/>
                <w:szCs w:val="18"/>
                <w:lang w:val="sr-Cyrl-CS" w:eastAsia="sr-Cyrl-CS" w:bidi="sr-Cyrl-CS"/>
              </w:rPr>
            </w:pPr>
            <w:r w:rsidRPr="00092ED7">
              <w:rPr>
                <w:rFonts w:eastAsia="Calibri" w:cs="Times New Roman"/>
                <w:i/>
                <w:iCs/>
                <w:color w:val="000000"/>
                <w:sz w:val="18"/>
                <w:szCs w:val="18"/>
                <w:lang w:val="sr-Cyrl-CS" w:eastAsia="sr-Cyrl-CS" w:bidi="sr-Cyrl-CS"/>
              </w:rPr>
              <w:t>Q2</w:t>
            </w:r>
          </w:p>
        </w:tc>
        <w:tc>
          <w:tcPr>
            <w:tcW w:w="372"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28AAA410" w14:textId="77777777" w:rsidR="00D210F0" w:rsidRPr="00092ED7" w:rsidRDefault="00D210F0" w:rsidP="00D210F0">
            <w:pPr>
              <w:widowControl w:val="0"/>
              <w:spacing w:after="0"/>
              <w:jc w:val="center"/>
              <w:rPr>
                <w:rFonts w:eastAsia="Calibri" w:cs="Times New Roman"/>
                <w:i/>
                <w:iCs/>
                <w:color w:val="000000"/>
                <w:sz w:val="18"/>
                <w:szCs w:val="18"/>
                <w:lang w:val="sr-Cyrl-CS" w:eastAsia="sr-Cyrl-CS" w:bidi="sr-Cyrl-CS"/>
              </w:rPr>
            </w:pPr>
            <w:r w:rsidRPr="00092ED7">
              <w:rPr>
                <w:rFonts w:eastAsia="Calibri" w:cs="Times New Roman"/>
                <w:i/>
                <w:iCs/>
                <w:color w:val="000000"/>
                <w:sz w:val="18"/>
                <w:szCs w:val="18"/>
                <w:lang w:val="sr-Cyrl-CS" w:eastAsia="sr-Cyrl-CS" w:bidi="sr-Cyrl-CS"/>
              </w:rPr>
              <w:t>Q3</w:t>
            </w:r>
          </w:p>
        </w:tc>
        <w:tc>
          <w:tcPr>
            <w:tcW w:w="373" w:type="dxa"/>
            <w:tcBorders>
              <w:top w:val="nil"/>
              <w:left w:val="nil"/>
              <w:bottom w:val="single" w:sz="8" w:space="0" w:color="auto"/>
              <w:right w:val="single" w:sz="8" w:space="0" w:color="auto"/>
            </w:tcBorders>
            <w:shd w:val="clear" w:color="auto" w:fill="BDD6EE" w:themeFill="accent1" w:themeFillTint="66"/>
            <w:tcMar>
              <w:top w:w="15" w:type="dxa"/>
              <w:left w:w="15" w:type="dxa"/>
              <w:bottom w:w="0" w:type="dxa"/>
              <w:right w:w="15" w:type="dxa"/>
            </w:tcMar>
            <w:vAlign w:val="center"/>
            <w:hideMark/>
          </w:tcPr>
          <w:p w14:paraId="3564B42F" w14:textId="77777777" w:rsidR="00D210F0" w:rsidRPr="00092ED7" w:rsidRDefault="00D210F0" w:rsidP="00D210F0">
            <w:pPr>
              <w:widowControl w:val="0"/>
              <w:spacing w:after="0"/>
              <w:jc w:val="center"/>
              <w:rPr>
                <w:rFonts w:eastAsia="Calibri" w:cs="Times New Roman"/>
                <w:i/>
                <w:iCs/>
                <w:color w:val="000000"/>
                <w:sz w:val="18"/>
                <w:szCs w:val="18"/>
                <w:lang w:val="sr-Cyrl-CS" w:eastAsia="sr-Cyrl-CS" w:bidi="sr-Cyrl-CS"/>
              </w:rPr>
            </w:pPr>
            <w:r w:rsidRPr="00092ED7">
              <w:rPr>
                <w:rFonts w:eastAsia="Calibri" w:cs="Times New Roman"/>
                <w:i/>
                <w:iCs/>
                <w:color w:val="000000"/>
                <w:sz w:val="18"/>
                <w:szCs w:val="18"/>
                <w:lang w:val="sr-Cyrl-CS" w:eastAsia="sr-Cyrl-CS" w:bidi="sr-Cyrl-CS"/>
              </w:rPr>
              <w:t>Q4</w:t>
            </w:r>
          </w:p>
        </w:tc>
        <w:tc>
          <w:tcPr>
            <w:tcW w:w="372"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736135A7" w14:textId="77777777" w:rsidR="00D210F0" w:rsidRPr="00092ED7" w:rsidRDefault="00D210F0" w:rsidP="00D210F0">
            <w:pPr>
              <w:widowControl w:val="0"/>
              <w:spacing w:after="0"/>
              <w:jc w:val="center"/>
              <w:rPr>
                <w:rFonts w:eastAsia="Calibri" w:cs="Times New Roman"/>
                <w:i/>
                <w:iCs/>
                <w:color w:val="000000"/>
                <w:sz w:val="18"/>
                <w:szCs w:val="18"/>
                <w:lang w:val="sr-Cyrl-CS" w:eastAsia="sr-Cyrl-CS" w:bidi="sr-Cyrl-CS"/>
              </w:rPr>
            </w:pPr>
            <w:r w:rsidRPr="00092ED7">
              <w:rPr>
                <w:rFonts w:eastAsia="Calibri" w:cs="Times New Roman"/>
                <w:i/>
                <w:iCs/>
                <w:color w:val="000000"/>
                <w:sz w:val="18"/>
                <w:szCs w:val="18"/>
                <w:lang w:val="sr-Cyrl-CS" w:eastAsia="sr-Cyrl-CS" w:bidi="sr-Cyrl-CS"/>
              </w:rPr>
              <w:t>Q1</w:t>
            </w:r>
          </w:p>
        </w:tc>
        <w:tc>
          <w:tcPr>
            <w:tcW w:w="373"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73544BEA" w14:textId="77777777" w:rsidR="00D210F0" w:rsidRPr="00092ED7" w:rsidRDefault="00D210F0" w:rsidP="00D210F0">
            <w:pPr>
              <w:widowControl w:val="0"/>
              <w:spacing w:after="0"/>
              <w:jc w:val="center"/>
              <w:rPr>
                <w:rFonts w:eastAsia="Calibri" w:cs="Times New Roman"/>
                <w:i/>
                <w:iCs/>
                <w:color w:val="000000"/>
                <w:sz w:val="18"/>
                <w:szCs w:val="18"/>
                <w:lang w:val="sr-Cyrl-CS" w:eastAsia="sr-Cyrl-CS" w:bidi="sr-Cyrl-CS"/>
              </w:rPr>
            </w:pPr>
            <w:r w:rsidRPr="00092ED7">
              <w:rPr>
                <w:rFonts w:eastAsia="Calibri" w:cs="Times New Roman"/>
                <w:i/>
                <w:iCs/>
                <w:color w:val="000000"/>
                <w:sz w:val="18"/>
                <w:szCs w:val="18"/>
                <w:lang w:val="sr-Cyrl-CS" w:eastAsia="sr-Cyrl-CS" w:bidi="sr-Cyrl-CS"/>
              </w:rPr>
              <w:t>Q2</w:t>
            </w:r>
          </w:p>
        </w:tc>
        <w:tc>
          <w:tcPr>
            <w:tcW w:w="373"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03F140C7" w14:textId="77777777" w:rsidR="00D210F0" w:rsidRPr="00092ED7" w:rsidRDefault="00D210F0" w:rsidP="00D210F0">
            <w:pPr>
              <w:widowControl w:val="0"/>
              <w:spacing w:after="0"/>
              <w:jc w:val="center"/>
              <w:rPr>
                <w:rFonts w:eastAsia="Calibri" w:cs="Times New Roman"/>
                <w:i/>
                <w:iCs/>
                <w:color w:val="000000"/>
                <w:sz w:val="18"/>
                <w:szCs w:val="18"/>
                <w:lang w:val="sr-Cyrl-CS" w:eastAsia="sr-Cyrl-CS" w:bidi="sr-Cyrl-CS"/>
              </w:rPr>
            </w:pPr>
            <w:r w:rsidRPr="00092ED7">
              <w:rPr>
                <w:rFonts w:eastAsia="Calibri" w:cs="Times New Roman"/>
                <w:i/>
                <w:iCs/>
                <w:color w:val="000000"/>
                <w:sz w:val="18"/>
                <w:szCs w:val="18"/>
                <w:lang w:val="sr-Cyrl-CS" w:eastAsia="sr-Cyrl-CS" w:bidi="sr-Cyrl-CS"/>
              </w:rPr>
              <w:t>Q3</w:t>
            </w:r>
          </w:p>
        </w:tc>
        <w:tc>
          <w:tcPr>
            <w:tcW w:w="372" w:type="dxa"/>
            <w:tcBorders>
              <w:top w:val="nil"/>
              <w:left w:val="nil"/>
              <w:bottom w:val="single" w:sz="8" w:space="0" w:color="auto"/>
              <w:right w:val="single" w:sz="8" w:space="0" w:color="auto"/>
            </w:tcBorders>
            <w:shd w:val="clear" w:color="auto" w:fill="BDD6EE" w:themeFill="accent1" w:themeFillTint="66"/>
            <w:tcMar>
              <w:top w:w="15" w:type="dxa"/>
              <w:left w:w="15" w:type="dxa"/>
              <w:bottom w:w="0" w:type="dxa"/>
              <w:right w:w="15" w:type="dxa"/>
            </w:tcMar>
            <w:vAlign w:val="center"/>
            <w:hideMark/>
          </w:tcPr>
          <w:p w14:paraId="594ED401" w14:textId="77777777" w:rsidR="00D210F0" w:rsidRPr="00092ED7" w:rsidRDefault="00D210F0" w:rsidP="00D210F0">
            <w:pPr>
              <w:widowControl w:val="0"/>
              <w:spacing w:after="0"/>
              <w:jc w:val="center"/>
              <w:rPr>
                <w:rFonts w:eastAsia="Calibri" w:cs="Times New Roman"/>
                <w:i/>
                <w:iCs/>
                <w:color w:val="000000"/>
                <w:sz w:val="18"/>
                <w:szCs w:val="18"/>
                <w:lang w:val="sr-Cyrl-CS" w:eastAsia="sr-Cyrl-CS" w:bidi="sr-Cyrl-CS"/>
              </w:rPr>
            </w:pPr>
            <w:r w:rsidRPr="00092ED7">
              <w:rPr>
                <w:rFonts w:eastAsia="Calibri" w:cs="Times New Roman"/>
                <w:i/>
                <w:iCs/>
                <w:color w:val="000000"/>
                <w:sz w:val="18"/>
                <w:szCs w:val="18"/>
                <w:lang w:val="sr-Cyrl-CS" w:eastAsia="sr-Cyrl-CS" w:bidi="sr-Cyrl-CS"/>
              </w:rPr>
              <w:t>Q4</w:t>
            </w:r>
          </w:p>
        </w:tc>
        <w:tc>
          <w:tcPr>
            <w:tcW w:w="373"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40280FAB" w14:textId="77777777" w:rsidR="00D210F0" w:rsidRPr="00092ED7" w:rsidRDefault="00D210F0" w:rsidP="00D210F0">
            <w:pPr>
              <w:widowControl w:val="0"/>
              <w:spacing w:after="0"/>
              <w:jc w:val="center"/>
              <w:rPr>
                <w:rFonts w:eastAsia="Calibri" w:cs="Times New Roman"/>
                <w:i/>
                <w:iCs/>
                <w:color w:val="000000"/>
                <w:sz w:val="18"/>
                <w:szCs w:val="18"/>
                <w:lang w:val="sr-Cyrl-CS" w:eastAsia="sr-Cyrl-CS" w:bidi="sr-Cyrl-CS"/>
              </w:rPr>
            </w:pPr>
            <w:r w:rsidRPr="00092ED7">
              <w:rPr>
                <w:rFonts w:eastAsia="Calibri" w:cs="Times New Roman"/>
                <w:i/>
                <w:iCs/>
                <w:color w:val="000000"/>
                <w:sz w:val="18"/>
                <w:szCs w:val="18"/>
                <w:lang w:val="sr-Cyrl-CS" w:eastAsia="sr-Cyrl-CS" w:bidi="sr-Cyrl-CS"/>
              </w:rPr>
              <w:t>Q1</w:t>
            </w:r>
          </w:p>
        </w:tc>
        <w:tc>
          <w:tcPr>
            <w:tcW w:w="372"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5BEDDCC6" w14:textId="77777777" w:rsidR="00D210F0" w:rsidRPr="00092ED7" w:rsidRDefault="00D210F0" w:rsidP="00D210F0">
            <w:pPr>
              <w:widowControl w:val="0"/>
              <w:spacing w:after="0"/>
              <w:jc w:val="center"/>
              <w:rPr>
                <w:rFonts w:eastAsia="Calibri" w:cs="Times New Roman"/>
                <w:i/>
                <w:iCs/>
                <w:color w:val="000000"/>
                <w:sz w:val="18"/>
                <w:szCs w:val="18"/>
                <w:lang w:val="sr-Cyrl-CS" w:eastAsia="sr-Cyrl-CS" w:bidi="sr-Cyrl-CS"/>
              </w:rPr>
            </w:pPr>
            <w:r w:rsidRPr="00092ED7">
              <w:rPr>
                <w:rFonts w:eastAsia="Calibri" w:cs="Times New Roman"/>
                <w:i/>
                <w:iCs/>
                <w:color w:val="000000"/>
                <w:sz w:val="18"/>
                <w:szCs w:val="18"/>
                <w:lang w:val="sr-Cyrl-CS" w:eastAsia="sr-Cyrl-CS" w:bidi="sr-Cyrl-CS"/>
              </w:rPr>
              <w:t>Q2</w:t>
            </w:r>
          </w:p>
        </w:tc>
        <w:tc>
          <w:tcPr>
            <w:tcW w:w="373" w:type="dxa"/>
            <w:tcBorders>
              <w:top w:val="nil"/>
              <w:left w:val="nil"/>
              <w:bottom w:val="single" w:sz="8" w:space="0" w:color="auto"/>
              <w:right w:val="single" w:sz="4" w:space="0" w:color="auto"/>
            </w:tcBorders>
            <w:shd w:val="clear" w:color="auto" w:fill="BDD6EE" w:themeFill="accent1" w:themeFillTint="66"/>
            <w:tcMar>
              <w:top w:w="15" w:type="dxa"/>
              <w:left w:w="15" w:type="dxa"/>
              <w:bottom w:w="0" w:type="dxa"/>
              <w:right w:w="15" w:type="dxa"/>
            </w:tcMar>
            <w:vAlign w:val="center"/>
            <w:hideMark/>
          </w:tcPr>
          <w:p w14:paraId="4F3B86F9" w14:textId="77777777" w:rsidR="00D210F0" w:rsidRPr="00092ED7" w:rsidRDefault="00D210F0" w:rsidP="00D210F0">
            <w:pPr>
              <w:widowControl w:val="0"/>
              <w:spacing w:after="0"/>
              <w:jc w:val="center"/>
              <w:rPr>
                <w:rFonts w:eastAsia="Calibri" w:cs="Times New Roman"/>
                <w:i/>
                <w:iCs/>
                <w:color w:val="000000"/>
                <w:sz w:val="18"/>
                <w:szCs w:val="18"/>
                <w:lang w:val="sr-Cyrl-CS" w:eastAsia="sr-Cyrl-CS" w:bidi="sr-Cyrl-CS"/>
              </w:rPr>
            </w:pPr>
            <w:r w:rsidRPr="00092ED7">
              <w:rPr>
                <w:rFonts w:eastAsia="Calibri" w:cs="Times New Roman"/>
                <w:i/>
                <w:iCs/>
                <w:color w:val="000000"/>
                <w:sz w:val="18"/>
                <w:szCs w:val="18"/>
                <w:lang w:val="sr-Cyrl-CS" w:eastAsia="sr-Cyrl-CS" w:bidi="sr-Cyrl-CS"/>
              </w:rPr>
              <w:t>Q3</w:t>
            </w:r>
          </w:p>
        </w:tc>
        <w:tc>
          <w:tcPr>
            <w:tcW w:w="373" w:type="dxa"/>
            <w:tcBorders>
              <w:top w:val="nil"/>
              <w:left w:val="nil"/>
              <w:bottom w:val="single" w:sz="8" w:space="0" w:color="auto"/>
              <w:right w:val="single" w:sz="8" w:space="0" w:color="auto"/>
            </w:tcBorders>
            <w:shd w:val="clear" w:color="auto" w:fill="BDD6EE" w:themeFill="accent1" w:themeFillTint="66"/>
            <w:tcMar>
              <w:top w:w="15" w:type="dxa"/>
              <w:left w:w="15" w:type="dxa"/>
              <w:bottom w:w="0" w:type="dxa"/>
              <w:right w:w="15" w:type="dxa"/>
            </w:tcMar>
            <w:vAlign w:val="center"/>
            <w:hideMark/>
          </w:tcPr>
          <w:p w14:paraId="39B5DFA4" w14:textId="77777777" w:rsidR="00D210F0" w:rsidRPr="00092ED7" w:rsidRDefault="00D210F0" w:rsidP="00D210F0">
            <w:pPr>
              <w:widowControl w:val="0"/>
              <w:spacing w:after="0"/>
              <w:jc w:val="center"/>
              <w:rPr>
                <w:rFonts w:eastAsia="Calibri" w:cs="Times New Roman"/>
                <w:i/>
                <w:iCs/>
                <w:color w:val="000000"/>
                <w:sz w:val="18"/>
                <w:szCs w:val="18"/>
                <w:lang w:val="sr-Cyrl-CS" w:eastAsia="sr-Cyrl-CS" w:bidi="sr-Cyrl-CS"/>
              </w:rPr>
            </w:pPr>
            <w:r w:rsidRPr="00092ED7">
              <w:rPr>
                <w:rFonts w:eastAsia="Calibri" w:cs="Times New Roman"/>
                <w:i/>
                <w:iCs/>
                <w:color w:val="000000"/>
                <w:sz w:val="18"/>
                <w:szCs w:val="18"/>
                <w:lang w:val="sr-Cyrl-CS" w:eastAsia="sr-Cyrl-CS" w:bidi="sr-Cyrl-CS"/>
              </w:rPr>
              <w:t>Q4</w:t>
            </w:r>
          </w:p>
        </w:tc>
      </w:tr>
      <w:tr w:rsidR="00D210F0" w:rsidRPr="00092ED7" w14:paraId="2B291865" w14:textId="77777777" w:rsidTr="0092798F">
        <w:trPr>
          <w:trHeight w:val="300"/>
        </w:trPr>
        <w:tc>
          <w:tcPr>
            <w:tcW w:w="425" w:type="dxa"/>
            <w:tcBorders>
              <w:top w:val="single" w:sz="4" w:space="0" w:color="auto"/>
              <w:left w:val="single" w:sz="8" w:space="0" w:color="auto"/>
              <w:bottom w:val="single" w:sz="4" w:space="0" w:color="auto"/>
              <w:right w:val="nil"/>
            </w:tcBorders>
            <w:shd w:val="clear" w:color="auto" w:fill="auto"/>
            <w:tcMar>
              <w:top w:w="15" w:type="dxa"/>
              <w:left w:w="15" w:type="dxa"/>
              <w:bottom w:w="0" w:type="dxa"/>
              <w:right w:w="15" w:type="dxa"/>
            </w:tcMar>
          </w:tcPr>
          <w:p w14:paraId="79F405D4" w14:textId="77777777" w:rsidR="00D210F0" w:rsidRPr="00092ED7" w:rsidRDefault="00D210F0" w:rsidP="00D210F0">
            <w:pPr>
              <w:widowControl w:val="0"/>
              <w:spacing w:after="0"/>
              <w:jc w:val="left"/>
              <w:rPr>
                <w:rFonts w:eastAsia="Calibri" w:cs="Times New Roman"/>
                <w:bCs/>
                <w:sz w:val="18"/>
                <w:szCs w:val="18"/>
                <w:lang w:val="sr-Cyrl-CS" w:eastAsia="sr-Cyrl-CS" w:bidi="sr-Cyrl-CS"/>
              </w:rPr>
            </w:pPr>
            <w:r w:rsidRPr="00092ED7">
              <w:rPr>
                <w:rFonts w:eastAsia="Calibri" w:cs="Times New Roman"/>
                <w:bCs/>
                <w:sz w:val="18"/>
                <w:szCs w:val="18"/>
                <w:lang w:val="sr-Cyrl-CS" w:eastAsia="sr-Cyrl-CS" w:bidi="sr-Cyrl-CS"/>
              </w:rPr>
              <w:t>1.</w:t>
            </w:r>
          </w:p>
        </w:tc>
        <w:tc>
          <w:tcPr>
            <w:tcW w:w="4243" w:type="dxa"/>
            <w:tcBorders>
              <w:top w:val="single" w:sz="4" w:space="0" w:color="auto"/>
              <w:left w:val="single" w:sz="8" w:space="0" w:color="auto"/>
              <w:bottom w:val="single" w:sz="4" w:space="0" w:color="auto"/>
              <w:right w:val="nil"/>
            </w:tcBorders>
            <w:shd w:val="clear" w:color="auto" w:fill="auto"/>
            <w:tcMar>
              <w:top w:w="15" w:type="dxa"/>
              <w:left w:w="15" w:type="dxa"/>
              <w:bottom w:w="0" w:type="dxa"/>
              <w:right w:w="15" w:type="dxa"/>
            </w:tcMar>
          </w:tcPr>
          <w:p w14:paraId="219088F5" w14:textId="77777777" w:rsidR="00D210F0" w:rsidRPr="00092ED7" w:rsidRDefault="00D210F0" w:rsidP="00D210F0">
            <w:pPr>
              <w:widowControl w:val="0"/>
              <w:spacing w:after="0"/>
              <w:jc w:val="left"/>
              <w:rPr>
                <w:rFonts w:eastAsia="Calibri" w:cs="Times New Roman"/>
                <w:sz w:val="18"/>
                <w:szCs w:val="18"/>
                <w:lang w:val="sr-Cyrl-CS" w:eastAsia="sr-Cyrl-CS" w:bidi="sr-Cyrl-CS"/>
              </w:rPr>
            </w:pPr>
            <w:r w:rsidRPr="00092ED7">
              <w:rPr>
                <w:rFonts w:eastAsia="Calibri" w:cs="Times New Roman"/>
                <w:sz w:val="18"/>
                <w:szCs w:val="18"/>
                <w:lang w:val="sr-Cyrl-CS" w:eastAsia="sr-Cyrl-CS" w:bidi="sr-Cyrl-CS"/>
              </w:rPr>
              <w:t>Успостављање Електронског медицинског досијеа (ЕМД)</w:t>
            </w:r>
          </w:p>
        </w:tc>
        <w:tc>
          <w:tcPr>
            <w:tcW w:w="372" w:type="dxa"/>
            <w:tcBorders>
              <w:top w:val="single" w:sz="4" w:space="0" w:color="auto"/>
              <w:left w:val="single" w:sz="8"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0E2EB0E"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3"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C605FEF"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2"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784D4A95"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3" w:type="dxa"/>
            <w:tcBorders>
              <w:top w:val="single" w:sz="4" w:space="0" w:color="auto"/>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48333282"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2"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6F259325"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3"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0F8ADE31"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3"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5D7AB911"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2" w:type="dxa"/>
            <w:tcBorders>
              <w:top w:val="single" w:sz="4" w:space="0" w:color="auto"/>
              <w:left w:val="nil"/>
              <w:bottom w:val="single" w:sz="4" w:space="0" w:color="auto"/>
              <w:right w:val="single" w:sz="8" w:space="0" w:color="auto"/>
            </w:tcBorders>
            <w:shd w:val="clear" w:color="auto" w:fill="auto"/>
            <w:tcMar>
              <w:top w:w="15" w:type="dxa"/>
              <w:left w:w="15" w:type="dxa"/>
              <w:bottom w:w="0" w:type="dxa"/>
              <w:right w:w="15" w:type="dxa"/>
            </w:tcMar>
          </w:tcPr>
          <w:p w14:paraId="481AB504"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3"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439F2D40"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2"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4C97BF13"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3"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tcPr>
          <w:p w14:paraId="748A1909"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3" w:type="dxa"/>
            <w:tcBorders>
              <w:top w:val="single" w:sz="4" w:space="0" w:color="auto"/>
              <w:left w:val="nil"/>
              <w:bottom w:val="single" w:sz="4" w:space="0" w:color="auto"/>
              <w:right w:val="single" w:sz="8" w:space="0" w:color="auto"/>
            </w:tcBorders>
            <w:shd w:val="clear" w:color="auto" w:fill="auto"/>
            <w:tcMar>
              <w:top w:w="15" w:type="dxa"/>
              <w:left w:w="15" w:type="dxa"/>
              <w:bottom w:w="0" w:type="dxa"/>
              <w:right w:w="15" w:type="dxa"/>
            </w:tcMar>
            <w:hideMark/>
          </w:tcPr>
          <w:p w14:paraId="70EF6601"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r w:rsidRPr="00092ED7">
              <w:rPr>
                <w:rFonts w:eastAsia="Calibri" w:cs="Times New Roman"/>
                <w:color w:val="000000"/>
                <w:sz w:val="18"/>
                <w:szCs w:val="18"/>
                <w:lang w:val="sr-Cyrl-CS" w:eastAsia="sr-Cyrl-CS" w:bidi="sr-Cyrl-CS"/>
              </w:rPr>
              <w:t> </w:t>
            </w:r>
          </w:p>
        </w:tc>
      </w:tr>
      <w:tr w:rsidR="00D210F0" w:rsidRPr="00092ED7" w14:paraId="7E78AA43" w14:textId="77777777" w:rsidTr="0092798F">
        <w:trPr>
          <w:trHeight w:val="300"/>
        </w:trPr>
        <w:tc>
          <w:tcPr>
            <w:tcW w:w="425" w:type="dxa"/>
            <w:tcBorders>
              <w:top w:val="nil"/>
              <w:left w:val="single" w:sz="8" w:space="0" w:color="auto"/>
              <w:bottom w:val="single" w:sz="4" w:space="0" w:color="auto"/>
              <w:right w:val="nil"/>
            </w:tcBorders>
            <w:shd w:val="clear" w:color="auto" w:fill="auto"/>
            <w:tcMar>
              <w:top w:w="15" w:type="dxa"/>
              <w:left w:w="15" w:type="dxa"/>
              <w:bottom w:w="0" w:type="dxa"/>
              <w:right w:w="15" w:type="dxa"/>
            </w:tcMar>
          </w:tcPr>
          <w:p w14:paraId="6299A10C" w14:textId="77777777" w:rsidR="00D210F0" w:rsidRPr="00092ED7" w:rsidRDefault="00D210F0" w:rsidP="00D210F0">
            <w:pPr>
              <w:widowControl w:val="0"/>
              <w:spacing w:after="0"/>
              <w:jc w:val="left"/>
              <w:rPr>
                <w:rFonts w:eastAsia="Calibri" w:cs="Times New Roman"/>
                <w:bCs/>
                <w:sz w:val="18"/>
                <w:szCs w:val="18"/>
                <w:lang w:val="sr-Cyrl-CS" w:eastAsia="sr-Cyrl-CS" w:bidi="sr-Cyrl-CS"/>
              </w:rPr>
            </w:pPr>
            <w:r w:rsidRPr="00092ED7">
              <w:rPr>
                <w:rFonts w:eastAsia="Calibri" w:cs="Times New Roman"/>
                <w:bCs/>
                <w:sz w:val="18"/>
                <w:szCs w:val="18"/>
                <w:lang w:val="sr-Cyrl-CS" w:eastAsia="sr-Cyrl-CS" w:bidi="sr-Cyrl-CS"/>
              </w:rPr>
              <w:t>2.</w:t>
            </w:r>
          </w:p>
        </w:tc>
        <w:tc>
          <w:tcPr>
            <w:tcW w:w="4243" w:type="dxa"/>
            <w:tcBorders>
              <w:top w:val="nil"/>
              <w:left w:val="single" w:sz="8" w:space="0" w:color="auto"/>
              <w:bottom w:val="single" w:sz="4" w:space="0" w:color="auto"/>
              <w:right w:val="single" w:sz="4" w:space="0" w:color="auto"/>
            </w:tcBorders>
            <w:shd w:val="clear" w:color="auto" w:fill="auto"/>
            <w:tcMar>
              <w:top w:w="15" w:type="dxa"/>
              <w:left w:w="15" w:type="dxa"/>
              <w:bottom w:w="0" w:type="dxa"/>
              <w:right w:w="15" w:type="dxa"/>
            </w:tcMar>
          </w:tcPr>
          <w:p w14:paraId="3AC438B4" w14:textId="77777777" w:rsidR="00D210F0" w:rsidRPr="00092ED7" w:rsidRDefault="00D210F0" w:rsidP="00D210F0">
            <w:pPr>
              <w:widowControl w:val="0"/>
              <w:spacing w:after="0"/>
              <w:jc w:val="left"/>
              <w:rPr>
                <w:rFonts w:eastAsia="Calibri" w:cs="Times New Roman"/>
                <w:sz w:val="18"/>
                <w:szCs w:val="18"/>
                <w:lang w:val="sr-Cyrl-CS" w:eastAsia="sr-Cyrl-CS" w:bidi="sr-Cyrl-CS"/>
              </w:rPr>
            </w:pPr>
            <w:r w:rsidRPr="00092ED7">
              <w:rPr>
                <w:rFonts w:eastAsia="Calibri" w:cs="Times New Roman"/>
                <w:sz w:val="18"/>
                <w:szCs w:val="18"/>
                <w:lang w:val="sr-Cyrl-CS" w:eastAsia="sr-Cyrl-CS" w:bidi="sr-Cyrl-CS"/>
              </w:rPr>
              <w:t>Успостављање централне платформе за повезивање државних и приватних лабораторија  (еЛаб)</w:t>
            </w:r>
          </w:p>
        </w:tc>
        <w:tc>
          <w:tcPr>
            <w:tcW w:w="372" w:type="dxa"/>
            <w:tcBorders>
              <w:top w:val="nil"/>
              <w:left w:val="single" w:sz="8"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4C02816"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2ACE8D8A"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118ADCA"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3"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3AD0033D"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919015E"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2F56548E"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1DF6AA86"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2" w:type="dxa"/>
            <w:tcBorders>
              <w:top w:val="nil"/>
              <w:left w:val="nil"/>
              <w:bottom w:val="single" w:sz="4" w:space="0" w:color="auto"/>
              <w:right w:val="single" w:sz="8" w:space="0" w:color="auto"/>
            </w:tcBorders>
            <w:shd w:val="clear" w:color="auto" w:fill="auto"/>
            <w:tcMar>
              <w:top w:w="15" w:type="dxa"/>
              <w:left w:w="15" w:type="dxa"/>
              <w:bottom w:w="0" w:type="dxa"/>
              <w:right w:w="15" w:type="dxa"/>
            </w:tcMar>
          </w:tcPr>
          <w:p w14:paraId="1AF88F7A"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4CA50905"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2"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7257EC84"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32196CC7"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3" w:type="dxa"/>
            <w:tcBorders>
              <w:top w:val="nil"/>
              <w:left w:val="nil"/>
              <w:bottom w:val="single" w:sz="4" w:space="0" w:color="auto"/>
              <w:right w:val="single" w:sz="8" w:space="0" w:color="auto"/>
            </w:tcBorders>
            <w:shd w:val="clear" w:color="auto" w:fill="auto"/>
            <w:tcMar>
              <w:top w:w="15" w:type="dxa"/>
              <w:left w:w="15" w:type="dxa"/>
              <w:bottom w:w="0" w:type="dxa"/>
              <w:right w:w="15" w:type="dxa"/>
            </w:tcMar>
            <w:hideMark/>
          </w:tcPr>
          <w:p w14:paraId="146EECA1"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r w:rsidRPr="00092ED7">
              <w:rPr>
                <w:rFonts w:eastAsia="Calibri" w:cs="Times New Roman"/>
                <w:color w:val="000000"/>
                <w:sz w:val="18"/>
                <w:szCs w:val="18"/>
                <w:lang w:val="sr-Cyrl-CS" w:eastAsia="sr-Cyrl-CS" w:bidi="sr-Cyrl-CS"/>
              </w:rPr>
              <w:t> </w:t>
            </w:r>
          </w:p>
        </w:tc>
      </w:tr>
      <w:tr w:rsidR="00D210F0" w:rsidRPr="00092ED7" w14:paraId="617DF756" w14:textId="77777777" w:rsidTr="0092798F">
        <w:trPr>
          <w:trHeight w:val="300"/>
        </w:trPr>
        <w:tc>
          <w:tcPr>
            <w:tcW w:w="425" w:type="dxa"/>
            <w:tcBorders>
              <w:top w:val="nil"/>
              <w:left w:val="single" w:sz="8" w:space="0" w:color="auto"/>
              <w:bottom w:val="single" w:sz="4" w:space="0" w:color="auto"/>
              <w:right w:val="single" w:sz="8" w:space="0" w:color="auto"/>
            </w:tcBorders>
            <w:shd w:val="clear" w:color="auto" w:fill="auto"/>
            <w:tcMar>
              <w:top w:w="15" w:type="dxa"/>
              <w:left w:w="15" w:type="dxa"/>
              <w:bottom w:w="0" w:type="dxa"/>
              <w:right w:w="15" w:type="dxa"/>
            </w:tcMar>
          </w:tcPr>
          <w:p w14:paraId="7628BB02" w14:textId="77777777" w:rsidR="00D210F0" w:rsidRPr="00092ED7" w:rsidRDefault="00D210F0" w:rsidP="00D210F0">
            <w:pPr>
              <w:widowControl w:val="0"/>
              <w:spacing w:after="0"/>
              <w:jc w:val="left"/>
              <w:rPr>
                <w:rFonts w:eastAsia="Calibri" w:cs="Times New Roman"/>
                <w:bCs/>
                <w:sz w:val="18"/>
                <w:szCs w:val="18"/>
                <w:lang w:val="sr-Cyrl-CS" w:eastAsia="sr-Cyrl-CS" w:bidi="sr-Cyrl-CS"/>
              </w:rPr>
            </w:pPr>
            <w:r w:rsidRPr="00092ED7">
              <w:rPr>
                <w:rFonts w:eastAsia="Calibri" w:cs="Times New Roman"/>
                <w:bCs/>
                <w:sz w:val="18"/>
                <w:szCs w:val="18"/>
                <w:lang w:val="sr-Cyrl-CS" w:eastAsia="sr-Cyrl-CS" w:bidi="sr-Cyrl-CS"/>
              </w:rPr>
              <w:t>3.</w:t>
            </w:r>
          </w:p>
        </w:tc>
        <w:tc>
          <w:tcPr>
            <w:tcW w:w="4243" w:type="dxa"/>
            <w:tcBorders>
              <w:top w:val="nil"/>
              <w:left w:val="nil"/>
              <w:bottom w:val="single" w:sz="4" w:space="0" w:color="auto"/>
              <w:right w:val="nil"/>
            </w:tcBorders>
            <w:shd w:val="clear" w:color="auto" w:fill="auto"/>
            <w:tcMar>
              <w:top w:w="15" w:type="dxa"/>
              <w:left w:w="15" w:type="dxa"/>
              <w:bottom w:w="0" w:type="dxa"/>
              <w:right w:w="15" w:type="dxa"/>
            </w:tcMar>
          </w:tcPr>
          <w:p w14:paraId="139B2082" w14:textId="77777777" w:rsidR="00D210F0" w:rsidRPr="00092ED7" w:rsidRDefault="00D210F0" w:rsidP="00D210F0">
            <w:pPr>
              <w:widowControl w:val="0"/>
              <w:spacing w:after="0"/>
              <w:jc w:val="left"/>
              <w:rPr>
                <w:rFonts w:eastAsia="Calibri" w:cs="Times New Roman"/>
                <w:sz w:val="18"/>
                <w:szCs w:val="18"/>
                <w:lang w:val="sr-Cyrl-CS" w:eastAsia="sr-Cyrl-CS" w:bidi="sr-Cyrl-CS"/>
              </w:rPr>
            </w:pPr>
            <w:r w:rsidRPr="00092ED7">
              <w:rPr>
                <w:rFonts w:eastAsia="Calibri" w:cs="Times New Roman"/>
                <w:sz w:val="18"/>
                <w:szCs w:val="18"/>
                <w:lang w:val="sr-Cyrl-CS" w:eastAsia="sr-Cyrl-CS" w:bidi="sr-Cyrl-CS"/>
              </w:rPr>
              <w:t>Проширење еРецепта на помагала и ампулиране лекове</w:t>
            </w:r>
            <w:r w:rsidR="008566C3" w:rsidRPr="00092ED7">
              <w:rPr>
                <w:rFonts w:eastAsia="Calibri" w:cs="Times New Roman"/>
                <w:sz w:val="18"/>
                <w:szCs w:val="18"/>
                <w:lang w:val="sr-Cyrl-CS" w:eastAsia="sr-Cyrl-CS" w:bidi="sr-Cyrl-CS"/>
              </w:rPr>
              <w:t xml:space="preserve"> </w:t>
            </w:r>
            <w:r w:rsidR="008566C3" w:rsidRPr="00092ED7">
              <w:rPr>
                <w:rFonts w:cs="Times New Roman"/>
                <w:sz w:val="18"/>
                <w:szCs w:val="18"/>
                <w:lang w:val="sr-Cyrl-CS"/>
              </w:rPr>
              <w:t>на примарном нивоу здравствене заштите</w:t>
            </w:r>
          </w:p>
        </w:tc>
        <w:tc>
          <w:tcPr>
            <w:tcW w:w="372" w:type="dxa"/>
            <w:tcBorders>
              <w:top w:val="nil"/>
              <w:left w:val="single" w:sz="8"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13ADA8B"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09DECCA2"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35D16ED"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3"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65456527"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2"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324667F4"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520ECCDD"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1CD6103B"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2" w:type="dxa"/>
            <w:tcBorders>
              <w:top w:val="nil"/>
              <w:left w:val="nil"/>
              <w:bottom w:val="single" w:sz="4" w:space="0" w:color="auto"/>
              <w:right w:val="single" w:sz="8" w:space="0" w:color="auto"/>
            </w:tcBorders>
            <w:shd w:val="clear" w:color="auto" w:fill="auto"/>
            <w:tcMar>
              <w:top w:w="15" w:type="dxa"/>
              <w:left w:w="15" w:type="dxa"/>
              <w:bottom w:w="0" w:type="dxa"/>
              <w:right w:w="15" w:type="dxa"/>
            </w:tcMar>
          </w:tcPr>
          <w:p w14:paraId="5B396805"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445877AF"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2"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10F455AF"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0887DDA4"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3" w:type="dxa"/>
            <w:tcBorders>
              <w:top w:val="nil"/>
              <w:left w:val="nil"/>
              <w:bottom w:val="single" w:sz="4" w:space="0" w:color="auto"/>
              <w:right w:val="single" w:sz="8" w:space="0" w:color="auto"/>
            </w:tcBorders>
            <w:shd w:val="clear" w:color="auto" w:fill="auto"/>
            <w:tcMar>
              <w:top w:w="15" w:type="dxa"/>
              <w:left w:w="15" w:type="dxa"/>
              <w:bottom w:w="0" w:type="dxa"/>
              <w:right w:w="15" w:type="dxa"/>
            </w:tcMar>
            <w:hideMark/>
          </w:tcPr>
          <w:p w14:paraId="5F4E7F7E"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r w:rsidRPr="00092ED7">
              <w:rPr>
                <w:rFonts w:eastAsia="Calibri" w:cs="Times New Roman"/>
                <w:color w:val="000000"/>
                <w:sz w:val="18"/>
                <w:szCs w:val="18"/>
                <w:lang w:val="sr-Cyrl-CS" w:eastAsia="sr-Cyrl-CS" w:bidi="sr-Cyrl-CS"/>
              </w:rPr>
              <w:t> </w:t>
            </w:r>
          </w:p>
        </w:tc>
      </w:tr>
      <w:tr w:rsidR="00D210F0" w:rsidRPr="00092ED7" w14:paraId="2787B1F6" w14:textId="77777777" w:rsidTr="00EB6431">
        <w:trPr>
          <w:trHeight w:val="300"/>
        </w:trPr>
        <w:tc>
          <w:tcPr>
            <w:tcW w:w="425" w:type="dxa"/>
            <w:tcBorders>
              <w:top w:val="single" w:sz="4" w:space="0" w:color="auto"/>
              <w:left w:val="single" w:sz="8" w:space="0" w:color="auto"/>
              <w:bottom w:val="single" w:sz="4" w:space="0" w:color="auto"/>
              <w:right w:val="single" w:sz="8" w:space="0" w:color="auto"/>
            </w:tcBorders>
            <w:shd w:val="clear" w:color="auto" w:fill="auto"/>
            <w:tcMar>
              <w:top w:w="15" w:type="dxa"/>
              <w:left w:w="15" w:type="dxa"/>
              <w:bottom w:w="0" w:type="dxa"/>
              <w:right w:w="15" w:type="dxa"/>
            </w:tcMar>
          </w:tcPr>
          <w:p w14:paraId="38869408" w14:textId="77777777" w:rsidR="00D210F0" w:rsidRPr="00092ED7" w:rsidRDefault="00D210F0" w:rsidP="00D210F0">
            <w:pPr>
              <w:widowControl w:val="0"/>
              <w:spacing w:after="0"/>
              <w:jc w:val="left"/>
              <w:rPr>
                <w:rFonts w:eastAsia="Calibri" w:cs="Times New Roman"/>
                <w:bCs/>
                <w:sz w:val="18"/>
                <w:szCs w:val="18"/>
                <w:lang w:val="sr-Cyrl-CS" w:eastAsia="sr-Cyrl-CS" w:bidi="sr-Cyrl-CS"/>
              </w:rPr>
            </w:pPr>
            <w:r w:rsidRPr="00092ED7">
              <w:rPr>
                <w:rFonts w:eastAsia="Calibri" w:cs="Times New Roman"/>
                <w:bCs/>
                <w:sz w:val="18"/>
                <w:szCs w:val="18"/>
                <w:lang w:val="sr-Cyrl-CS" w:eastAsia="sr-Cyrl-CS" w:bidi="sr-Cyrl-CS"/>
              </w:rPr>
              <w:t>4.</w:t>
            </w:r>
          </w:p>
        </w:tc>
        <w:tc>
          <w:tcPr>
            <w:tcW w:w="4243" w:type="dxa"/>
            <w:tcBorders>
              <w:top w:val="nil"/>
              <w:left w:val="nil"/>
              <w:bottom w:val="single" w:sz="4" w:space="0" w:color="auto"/>
              <w:right w:val="single" w:sz="8" w:space="0" w:color="auto"/>
            </w:tcBorders>
            <w:shd w:val="clear" w:color="auto" w:fill="auto"/>
            <w:noWrap/>
            <w:tcMar>
              <w:top w:w="15" w:type="dxa"/>
              <w:left w:w="15" w:type="dxa"/>
              <w:bottom w:w="0" w:type="dxa"/>
              <w:right w:w="15" w:type="dxa"/>
            </w:tcMar>
          </w:tcPr>
          <w:p w14:paraId="1DE9BF11"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r w:rsidRPr="00092ED7">
              <w:rPr>
                <w:rFonts w:eastAsia="Calibri" w:cs="Times New Roman"/>
                <w:sz w:val="18"/>
                <w:szCs w:val="18"/>
                <w:lang w:val="sr-Cyrl-CS" w:eastAsia="sr-Cyrl-CS" w:bidi="sr-Cyrl-CS"/>
              </w:rPr>
              <w:t>Имплементација система за проверу интеракције лекова и система подршке за доношење клиничких одлука</w:t>
            </w: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2B539F95"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21DD7A4"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0DE6977B"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3"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624E088C"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6AACBE8"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415D7672"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3995D439"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2" w:type="dxa"/>
            <w:tcBorders>
              <w:top w:val="nil"/>
              <w:left w:val="nil"/>
              <w:bottom w:val="single" w:sz="4" w:space="0" w:color="auto"/>
              <w:right w:val="single" w:sz="8" w:space="0" w:color="auto"/>
            </w:tcBorders>
            <w:shd w:val="clear" w:color="auto" w:fill="auto"/>
            <w:tcMar>
              <w:top w:w="15" w:type="dxa"/>
              <w:left w:w="15" w:type="dxa"/>
              <w:bottom w:w="0" w:type="dxa"/>
              <w:right w:w="15" w:type="dxa"/>
            </w:tcMar>
          </w:tcPr>
          <w:p w14:paraId="43FB5C42"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1D0F29BE"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2"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69C128BA"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32444515"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3" w:type="dxa"/>
            <w:tcBorders>
              <w:top w:val="nil"/>
              <w:left w:val="nil"/>
              <w:bottom w:val="single" w:sz="4" w:space="0" w:color="auto"/>
              <w:right w:val="single" w:sz="8" w:space="0" w:color="auto"/>
            </w:tcBorders>
            <w:shd w:val="clear" w:color="auto" w:fill="auto"/>
            <w:tcMar>
              <w:top w:w="15" w:type="dxa"/>
              <w:left w:w="15" w:type="dxa"/>
              <w:bottom w:w="0" w:type="dxa"/>
              <w:right w:w="15" w:type="dxa"/>
            </w:tcMar>
            <w:hideMark/>
          </w:tcPr>
          <w:p w14:paraId="001B047C"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r w:rsidRPr="00092ED7">
              <w:rPr>
                <w:rFonts w:eastAsia="Calibri" w:cs="Times New Roman"/>
                <w:color w:val="000000"/>
                <w:sz w:val="18"/>
                <w:szCs w:val="18"/>
                <w:lang w:val="sr-Cyrl-CS" w:eastAsia="sr-Cyrl-CS" w:bidi="sr-Cyrl-CS"/>
              </w:rPr>
              <w:t> </w:t>
            </w:r>
          </w:p>
        </w:tc>
      </w:tr>
      <w:tr w:rsidR="00D210F0" w:rsidRPr="00092ED7" w14:paraId="67095F7D" w14:textId="77777777" w:rsidTr="00EB6431">
        <w:trPr>
          <w:trHeight w:val="300"/>
        </w:trPr>
        <w:tc>
          <w:tcPr>
            <w:tcW w:w="425" w:type="dxa"/>
            <w:tcBorders>
              <w:top w:val="nil"/>
              <w:left w:val="single" w:sz="8" w:space="0" w:color="auto"/>
              <w:bottom w:val="single" w:sz="4" w:space="0" w:color="auto"/>
              <w:right w:val="nil"/>
            </w:tcBorders>
            <w:shd w:val="clear" w:color="auto" w:fill="auto"/>
            <w:tcMar>
              <w:top w:w="15" w:type="dxa"/>
              <w:left w:w="15" w:type="dxa"/>
              <w:bottom w:w="0" w:type="dxa"/>
              <w:right w:w="15" w:type="dxa"/>
            </w:tcMar>
          </w:tcPr>
          <w:p w14:paraId="1BC2E497" w14:textId="77777777" w:rsidR="00D210F0" w:rsidRPr="00092ED7" w:rsidRDefault="00D210F0" w:rsidP="00D210F0">
            <w:pPr>
              <w:widowControl w:val="0"/>
              <w:spacing w:after="0"/>
              <w:jc w:val="left"/>
              <w:rPr>
                <w:rFonts w:eastAsia="Calibri" w:cs="Times New Roman"/>
                <w:bCs/>
                <w:sz w:val="18"/>
                <w:szCs w:val="18"/>
                <w:lang w:val="sr-Cyrl-CS" w:eastAsia="sr-Cyrl-CS" w:bidi="sr-Cyrl-CS"/>
              </w:rPr>
            </w:pPr>
            <w:r w:rsidRPr="00092ED7">
              <w:rPr>
                <w:rFonts w:eastAsia="Calibri" w:cs="Times New Roman"/>
                <w:bCs/>
                <w:sz w:val="18"/>
                <w:szCs w:val="18"/>
                <w:lang w:val="sr-Cyrl-CS" w:eastAsia="sr-Cyrl-CS" w:bidi="sr-Cyrl-CS"/>
              </w:rPr>
              <w:t>5.</w:t>
            </w:r>
          </w:p>
        </w:tc>
        <w:tc>
          <w:tcPr>
            <w:tcW w:w="4243" w:type="dxa"/>
            <w:tcBorders>
              <w:top w:val="nil"/>
              <w:left w:val="single" w:sz="8" w:space="0" w:color="auto"/>
              <w:bottom w:val="single" w:sz="4" w:space="0" w:color="auto"/>
              <w:right w:val="nil"/>
            </w:tcBorders>
            <w:shd w:val="clear" w:color="auto" w:fill="auto"/>
            <w:tcMar>
              <w:top w:w="15" w:type="dxa"/>
              <w:left w:w="15" w:type="dxa"/>
              <w:bottom w:w="0" w:type="dxa"/>
              <w:right w:w="15" w:type="dxa"/>
            </w:tcMar>
          </w:tcPr>
          <w:p w14:paraId="1EC83BE4" w14:textId="77777777" w:rsidR="00D210F0" w:rsidRPr="00092ED7" w:rsidRDefault="00D210F0" w:rsidP="00D210F0">
            <w:pPr>
              <w:widowControl w:val="0"/>
              <w:spacing w:after="0"/>
              <w:jc w:val="left"/>
              <w:rPr>
                <w:rFonts w:eastAsia="Calibri" w:cs="Times New Roman"/>
                <w:sz w:val="18"/>
                <w:szCs w:val="18"/>
                <w:lang w:val="sr-Cyrl-CS" w:eastAsia="sr-Cyrl-CS" w:bidi="sr-Cyrl-CS"/>
              </w:rPr>
            </w:pPr>
            <w:r w:rsidRPr="00092ED7">
              <w:rPr>
                <w:rFonts w:eastAsia="Calibri" w:cs="Times New Roman"/>
                <w:sz w:val="18"/>
                <w:szCs w:val="18"/>
                <w:lang w:val="sr-Cyrl-CS" w:eastAsia="sr-Cyrl-CS" w:bidi="sr-Cyrl-CS"/>
              </w:rPr>
              <w:t>Проширење еРецепта болнички лекови (Б и Ц Листа)</w:t>
            </w:r>
          </w:p>
        </w:tc>
        <w:tc>
          <w:tcPr>
            <w:tcW w:w="372" w:type="dxa"/>
            <w:tcBorders>
              <w:top w:val="nil"/>
              <w:left w:val="single" w:sz="8" w:space="0" w:color="auto"/>
              <w:bottom w:val="single" w:sz="4" w:space="0" w:color="auto"/>
              <w:right w:val="single" w:sz="4" w:space="0" w:color="auto"/>
            </w:tcBorders>
            <w:shd w:val="clear" w:color="auto" w:fill="auto"/>
            <w:tcMar>
              <w:top w:w="15" w:type="dxa"/>
              <w:left w:w="15" w:type="dxa"/>
              <w:bottom w:w="0" w:type="dxa"/>
              <w:right w:w="15" w:type="dxa"/>
            </w:tcMar>
          </w:tcPr>
          <w:p w14:paraId="02AE54CD"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74F7EE13"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2"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6675322F"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3"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39131967"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2CC26693"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38E5ED4B"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7CD328E"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2"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46196965"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7ED328A"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1B8B2B9"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5AD2DD5"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3"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hideMark/>
          </w:tcPr>
          <w:p w14:paraId="3FC44149"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r w:rsidRPr="00092ED7">
              <w:rPr>
                <w:rFonts w:eastAsia="Calibri" w:cs="Times New Roman"/>
                <w:color w:val="000000"/>
                <w:sz w:val="18"/>
                <w:szCs w:val="18"/>
                <w:lang w:val="sr-Cyrl-CS" w:eastAsia="sr-Cyrl-CS" w:bidi="sr-Cyrl-CS"/>
              </w:rPr>
              <w:t> </w:t>
            </w:r>
          </w:p>
        </w:tc>
      </w:tr>
      <w:tr w:rsidR="00D210F0" w:rsidRPr="00092ED7" w14:paraId="7746BC39" w14:textId="77777777" w:rsidTr="0092798F">
        <w:trPr>
          <w:trHeight w:val="300"/>
        </w:trPr>
        <w:tc>
          <w:tcPr>
            <w:tcW w:w="425" w:type="dxa"/>
            <w:tcBorders>
              <w:top w:val="nil"/>
              <w:left w:val="single" w:sz="8" w:space="0" w:color="auto"/>
              <w:bottom w:val="single" w:sz="4" w:space="0" w:color="auto"/>
              <w:right w:val="nil"/>
            </w:tcBorders>
            <w:shd w:val="clear" w:color="auto" w:fill="auto"/>
            <w:tcMar>
              <w:top w:w="15" w:type="dxa"/>
              <w:left w:w="15" w:type="dxa"/>
              <w:bottom w:w="0" w:type="dxa"/>
              <w:right w:w="15" w:type="dxa"/>
            </w:tcMar>
          </w:tcPr>
          <w:p w14:paraId="6DA133AC" w14:textId="77777777" w:rsidR="00D210F0" w:rsidRPr="00092ED7" w:rsidRDefault="00D210F0" w:rsidP="00D210F0">
            <w:pPr>
              <w:widowControl w:val="0"/>
              <w:spacing w:after="0"/>
              <w:jc w:val="left"/>
              <w:rPr>
                <w:rFonts w:eastAsia="Calibri" w:cs="Times New Roman"/>
                <w:bCs/>
                <w:sz w:val="18"/>
                <w:szCs w:val="18"/>
                <w:lang w:val="sr-Cyrl-CS" w:eastAsia="sr-Cyrl-CS" w:bidi="sr-Cyrl-CS"/>
              </w:rPr>
            </w:pPr>
            <w:r w:rsidRPr="00092ED7">
              <w:rPr>
                <w:rFonts w:eastAsia="Calibri" w:cs="Times New Roman"/>
                <w:bCs/>
                <w:sz w:val="18"/>
                <w:szCs w:val="18"/>
                <w:lang w:val="sr-Cyrl-CS" w:eastAsia="sr-Cyrl-CS" w:bidi="sr-Cyrl-CS"/>
              </w:rPr>
              <w:t>6.</w:t>
            </w:r>
          </w:p>
        </w:tc>
        <w:tc>
          <w:tcPr>
            <w:tcW w:w="4243" w:type="dxa"/>
            <w:tcBorders>
              <w:top w:val="nil"/>
              <w:left w:val="single" w:sz="8" w:space="0" w:color="auto"/>
              <w:bottom w:val="single" w:sz="4" w:space="0" w:color="auto"/>
              <w:right w:val="nil"/>
            </w:tcBorders>
            <w:shd w:val="clear" w:color="auto" w:fill="auto"/>
            <w:tcMar>
              <w:top w:w="15" w:type="dxa"/>
              <w:left w:w="15" w:type="dxa"/>
              <w:bottom w:w="0" w:type="dxa"/>
              <w:right w:w="15" w:type="dxa"/>
            </w:tcMar>
          </w:tcPr>
          <w:p w14:paraId="5C483196" w14:textId="77777777" w:rsidR="00D210F0" w:rsidRPr="00092ED7" w:rsidRDefault="00D210F0" w:rsidP="00D210F0">
            <w:pPr>
              <w:widowControl w:val="0"/>
              <w:spacing w:after="0"/>
              <w:jc w:val="left"/>
              <w:rPr>
                <w:rFonts w:eastAsia="Calibri" w:cs="Times New Roman"/>
                <w:sz w:val="18"/>
                <w:szCs w:val="18"/>
                <w:lang w:val="sr-Cyrl-CS" w:eastAsia="sr-Cyrl-CS" w:bidi="sr-Cyrl-CS"/>
              </w:rPr>
            </w:pPr>
            <w:r w:rsidRPr="00092ED7">
              <w:rPr>
                <w:rFonts w:eastAsia="Calibri" w:cs="Times New Roman"/>
                <w:sz w:val="18"/>
                <w:szCs w:val="18"/>
                <w:lang w:val="sr-Cyrl-CS" w:eastAsia="sr-Cyrl-CS" w:bidi="sr-Cyrl-CS"/>
              </w:rPr>
              <w:t xml:space="preserve">Примена вештачке интелигенције у радиологији (Скрининг рака дојке)  </w:t>
            </w:r>
          </w:p>
        </w:tc>
        <w:tc>
          <w:tcPr>
            <w:tcW w:w="372" w:type="dxa"/>
            <w:tcBorders>
              <w:top w:val="nil"/>
              <w:left w:val="single" w:sz="8" w:space="0" w:color="auto"/>
              <w:bottom w:val="single" w:sz="4" w:space="0" w:color="auto"/>
              <w:right w:val="single" w:sz="4" w:space="0" w:color="auto"/>
            </w:tcBorders>
            <w:shd w:val="clear" w:color="auto" w:fill="auto"/>
            <w:tcMar>
              <w:top w:w="15" w:type="dxa"/>
              <w:left w:w="15" w:type="dxa"/>
              <w:bottom w:w="0" w:type="dxa"/>
              <w:right w:w="15" w:type="dxa"/>
            </w:tcMar>
          </w:tcPr>
          <w:p w14:paraId="58A33B1B"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091F5F11"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138EC401"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3"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67021003"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2"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552D1F07"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3F0C2483"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4FE18EAE"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2" w:type="dxa"/>
            <w:tcBorders>
              <w:top w:val="nil"/>
              <w:left w:val="nil"/>
              <w:bottom w:val="single" w:sz="4" w:space="0" w:color="auto"/>
              <w:right w:val="single" w:sz="8" w:space="0" w:color="auto"/>
            </w:tcBorders>
            <w:shd w:val="clear" w:color="auto" w:fill="D9D9D9" w:themeFill="background1" w:themeFillShade="D9"/>
            <w:tcMar>
              <w:top w:w="15" w:type="dxa"/>
              <w:left w:w="15" w:type="dxa"/>
              <w:bottom w:w="0" w:type="dxa"/>
              <w:right w:w="15" w:type="dxa"/>
            </w:tcMar>
          </w:tcPr>
          <w:p w14:paraId="1B2B81EE"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3" w:type="dxa"/>
            <w:tcBorders>
              <w:top w:val="nil"/>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tcPr>
          <w:p w14:paraId="6F243D55"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2"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5C51D6B8"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3"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14:paraId="4AA73FF6"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p>
        </w:tc>
        <w:tc>
          <w:tcPr>
            <w:tcW w:w="373" w:type="dxa"/>
            <w:tcBorders>
              <w:top w:val="nil"/>
              <w:left w:val="nil"/>
              <w:bottom w:val="single" w:sz="4" w:space="0" w:color="auto"/>
              <w:right w:val="single" w:sz="8" w:space="0" w:color="auto"/>
            </w:tcBorders>
            <w:shd w:val="clear" w:color="auto" w:fill="auto"/>
            <w:tcMar>
              <w:top w:w="15" w:type="dxa"/>
              <w:left w:w="15" w:type="dxa"/>
              <w:bottom w:w="0" w:type="dxa"/>
              <w:right w:w="15" w:type="dxa"/>
            </w:tcMar>
            <w:hideMark/>
          </w:tcPr>
          <w:p w14:paraId="0D4DA885" w14:textId="77777777" w:rsidR="00D210F0" w:rsidRPr="00092ED7" w:rsidRDefault="00D210F0" w:rsidP="00D210F0">
            <w:pPr>
              <w:widowControl w:val="0"/>
              <w:spacing w:after="0"/>
              <w:jc w:val="left"/>
              <w:rPr>
                <w:rFonts w:eastAsia="Calibri" w:cs="Times New Roman"/>
                <w:color w:val="000000"/>
                <w:sz w:val="18"/>
                <w:szCs w:val="18"/>
                <w:lang w:val="sr-Cyrl-CS" w:eastAsia="sr-Cyrl-CS" w:bidi="sr-Cyrl-CS"/>
              </w:rPr>
            </w:pPr>
            <w:r w:rsidRPr="00092ED7">
              <w:rPr>
                <w:rFonts w:eastAsia="Calibri" w:cs="Times New Roman"/>
                <w:color w:val="000000"/>
                <w:sz w:val="18"/>
                <w:szCs w:val="18"/>
                <w:lang w:val="sr-Cyrl-CS" w:eastAsia="sr-Cyrl-CS" w:bidi="sr-Cyrl-CS"/>
              </w:rPr>
              <w:t> </w:t>
            </w:r>
          </w:p>
        </w:tc>
      </w:tr>
    </w:tbl>
    <w:p w14:paraId="6FAFC29A" w14:textId="77777777" w:rsidR="00D210F0" w:rsidRPr="00092ED7" w:rsidRDefault="00D210F0" w:rsidP="00071952">
      <w:pPr>
        <w:widowControl w:val="0"/>
        <w:numPr>
          <w:ilvl w:val="0"/>
          <w:numId w:val="39"/>
        </w:numPr>
        <w:spacing w:before="120"/>
        <w:rPr>
          <w:rFonts w:cs="Times New Roman"/>
          <w:b/>
          <w:bCs/>
          <w:szCs w:val="24"/>
          <w:lang w:val="sr-Cyrl-CS"/>
        </w:rPr>
      </w:pPr>
      <w:r w:rsidRPr="00092ED7">
        <w:rPr>
          <w:rFonts w:cs="Times New Roman"/>
          <w:b/>
          <w:bCs/>
          <w:szCs w:val="24"/>
          <w:lang w:val="sr-Cyrl-CS"/>
        </w:rPr>
        <w:t>Индикатори ризика</w:t>
      </w:r>
    </w:p>
    <w:tbl>
      <w:tblPr>
        <w:tblStyle w:val="TableGrid"/>
        <w:tblW w:w="9214" w:type="dxa"/>
        <w:tblInd w:w="-5" w:type="dxa"/>
        <w:tblLayout w:type="fixed"/>
        <w:tblLook w:val="04A0" w:firstRow="1" w:lastRow="0" w:firstColumn="1" w:lastColumn="0" w:noHBand="0" w:noVBand="1"/>
      </w:tblPr>
      <w:tblGrid>
        <w:gridCol w:w="4288"/>
        <w:gridCol w:w="1642"/>
        <w:gridCol w:w="1642"/>
        <w:gridCol w:w="1642"/>
      </w:tblGrid>
      <w:tr w:rsidR="00D210F0" w:rsidRPr="00092ED7" w14:paraId="7F628EE1" w14:textId="77777777" w:rsidTr="0092798F">
        <w:trPr>
          <w:cnfStyle w:val="100000000000" w:firstRow="1" w:lastRow="0" w:firstColumn="0" w:lastColumn="0" w:oddVBand="0" w:evenVBand="0" w:oddHBand="0" w:evenHBand="0" w:firstRowFirstColumn="0" w:firstRowLastColumn="0" w:lastRowFirstColumn="0" w:lastRowLastColumn="0"/>
          <w:trHeight w:val="472"/>
        </w:trPr>
        <w:tc>
          <w:tcPr>
            <w:tcW w:w="4288" w:type="dxa"/>
          </w:tcPr>
          <w:p w14:paraId="44C97D5D" w14:textId="77777777" w:rsidR="00D210F0" w:rsidRPr="00092ED7" w:rsidRDefault="00D210F0" w:rsidP="0092798F">
            <w:pPr>
              <w:widowControl w:val="0"/>
              <w:spacing w:before="0" w:after="0"/>
              <w:ind w:left="113" w:right="113"/>
              <w:jc w:val="center"/>
              <w:rPr>
                <w:rFonts w:eastAsia="Calibri" w:cs="Times New Roman"/>
                <w:b w:val="0"/>
                <w:sz w:val="20"/>
                <w:lang w:val="sr-Cyrl-CS" w:eastAsia="sr-Cyrl-CS" w:bidi="sr-Cyrl-CS"/>
              </w:rPr>
            </w:pPr>
            <w:r w:rsidRPr="00092ED7">
              <w:rPr>
                <w:rFonts w:eastAsia="Calibri" w:cs="Times New Roman"/>
                <w:sz w:val="20"/>
                <w:lang w:val="sr-Cyrl-CS" w:eastAsia="sr-Cyrl-CS" w:bidi="sr-Cyrl-CS"/>
              </w:rPr>
              <w:t>Показатељ</w:t>
            </w:r>
          </w:p>
        </w:tc>
        <w:tc>
          <w:tcPr>
            <w:tcW w:w="1642" w:type="dxa"/>
          </w:tcPr>
          <w:p w14:paraId="00DB3686" w14:textId="77777777" w:rsidR="00D210F0" w:rsidRPr="00092ED7" w:rsidRDefault="00D210F0" w:rsidP="0092798F">
            <w:pPr>
              <w:widowControl w:val="0"/>
              <w:spacing w:before="0" w:after="0"/>
              <w:ind w:left="113" w:right="113"/>
              <w:jc w:val="center"/>
              <w:rPr>
                <w:rFonts w:eastAsia="Calibri" w:cs="Times New Roman"/>
                <w:b w:val="0"/>
                <w:sz w:val="20"/>
                <w:lang w:val="sr-Cyrl-CS" w:eastAsia="sr-Cyrl-CS" w:bidi="sr-Cyrl-CS"/>
              </w:rPr>
            </w:pPr>
            <w:r w:rsidRPr="00092ED7">
              <w:rPr>
                <w:rFonts w:eastAsia="Calibri" w:cs="Times New Roman"/>
                <w:sz w:val="20"/>
                <w:lang w:val="sr-Cyrl-CS" w:eastAsia="sr-Cyrl-CS" w:bidi="sr-Cyrl-CS"/>
              </w:rPr>
              <w:t xml:space="preserve">Почетна вредност </w:t>
            </w:r>
            <w:r w:rsidR="0092798F" w:rsidRPr="00092ED7">
              <w:rPr>
                <w:rFonts w:eastAsia="Calibri" w:cs="Times New Roman"/>
                <w:sz w:val="20"/>
                <w:lang w:val="sr-Cyrl-CS" w:eastAsia="sr-Cyrl-CS" w:bidi="sr-Cyrl-CS"/>
              </w:rPr>
              <w:t>(202</w:t>
            </w:r>
            <w:r w:rsidR="00FB47ED" w:rsidRPr="00092ED7">
              <w:rPr>
                <w:rFonts w:eastAsia="Calibri" w:cs="Times New Roman"/>
                <w:sz w:val="20"/>
                <w:lang w:val="sr-Cyrl-CS" w:eastAsia="sr-Cyrl-CS" w:bidi="sr-Cyrl-CS"/>
              </w:rPr>
              <w:t>0</w:t>
            </w:r>
            <w:r w:rsidR="0092798F" w:rsidRPr="00092ED7">
              <w:rPr>
                <w:rFonts w:eastAsia="Calibri" w:cs="Times New Roman"/>
                <w:sz w:val="20"/>
                <w:lang w:val="sr-Cyrl-CS" w:eastAsia="sr-Cyrl-CS" w:bidi="sr-Cyrl-CS"/>
              </w:rPr>
              <w:t>)</w:t>
            </w:r>
          </w:p>
        </w:tc>
        <w:tc>
          <w:tcPr>
            <w:tcW w:w="1642" w:type="dxa"/>
          </w:tcPr>
          <w:p w14:paraId="74C76F12" w14:textId="77777777" w:rsidR="00D210F0" w:rsidRPr="00092ED7" w:rsidRDefault="00D210F0" w:rsidP="0092798F">
            <w:pPr>
              <w:widowControl w:val="0"/>
              <w:spacing w:before="0" w:after="0"/>
              <w:ind w:left="113" w:right="113"/>
              <w:jc w:val="center"/>
              <w:rPr>
                <w:rFonts w:eastAsia="Calibri" w:cs="Times New Roman"/>
                <w:b w:val="0"/>
                <w:sz w:val="20"/>
                <w:lang w:val="sr-Cyrl-CS" w:eastAsia="sr-Cyrl-CS" w:bidi="sr-Cyrl-CS"/>
              </w:rPr>
            </w:pPr>
            <w:r w:rsidRPr="00092ED7">
              <w:rPr>
                <w:rFonts w:eastAsia="Calibri" w:cs="Times New Roman"/>
                <w:sz w:val="20"/>
                <w:lang w:val="sr-Cyrl-CS" w:eastAsia="sr-Cyrl-CS" w:bidi="sr-Cyrl-CS"/>
              </w:rPr>
              <w:t xml:space="preserve">Међурезултат </w:t>
            </w:r>
            <w:r w:rsidR="0092798F" w:rsidRPr="00092ED7">
              <w:rPr>
                <w:rFonts w:eastAsia="Calibri" w:cs="Times New Roman"/>
                <w:sz w:val="20"/>
                <w:lang w:val="sr-Cyrl-CS" w:eastAsia="sr-Cyrl-CS" w:bidi="sr-Cyrl-CS"/>
              </w:rPr>
              <w:t>(2023)</w:t>
            </w:r>
          </w:p>
        </w:tc>
        <w:tc>
          <w:tcPr>
            <w:tcW w:w="1642" w:type="dxa"/>
          </w:tcPr>
          <w:p w14:paraId="21FCEED1" w14:textId="77777777" w:rsidR="00D210F0" w:rsidRPr="00092ED7" w:rsidRDefault="00D210F0" w:rsidP="0092798F">
            <w:pPr>
              <w:widowControl w:val="0"/>
              <w:spacing w:before="0" w:after="0"/>
              <w:ind w:left="113" w:right="113"/>
              <w:jc w:val="center"/>
              <w:rPr>
                <w:rFonts w:eastAsia="Calibri" w:cs="Times New Roman"/>
                <w:b w:val="0"/>
                <w:sz w:val="20"/>
                <w:lang w:val="sr-Cyrl-CS" w:eastAsia="sr-Cyrl-CS" w:bidi="sr-Cyrl-CS"/>
              </w:rPr>
            </w:pPr>
            <w:r w:rsidRPr="00092ED7">
              <w:rPr>
                <w:rFonts w:eastAsia="Calibri" w:cs="Times New Roman"/>
                <w:sz w:val="20"/>
                <w:lang w:val="sr-Cyrl-CS" w:eastAsia="sr-Cyrl-CS" w:bidi="sr-Cyrl-CS"/>
              </w:rPr>
              <w:t xml:space="preserve">Циљна вредност </w:t>
            </w:r>
            <w:r w:rsidR="0092798F" w:rsidRPr="00092ED7">
              <w:rPr>
                <w:rFonts w:eastAsia="Calibri" w:cs="Times New Roman"/>
                <w:sz w:val="20"/>
                <w:lang w:val="sr-Cyrl-CS" w:eastAsia="sr-Cyrl-CS" w:bidi="sr-Cyrl-CS"/>
              </w:rPr>
              <w:t>(2024)</w:t>
            </w:r>
          </w:p>
        </w:tc>
      </w:tr>
      <w:tr w:rsidR="00D210F0" w:rsidRPr="00092ED7" w14:paraId="3710E3BD" w14:textId="77777777" w:rsidTr="0092798F">
        <w:trPr>
          <w:trHeight w:val="488"/>
        </w:trPr>
        <w:tc>
          <w:tcPr>
            <w:tcW w:w="4288" w:type="dxa"/>
          </w:tcPr>
          <w:p w14:paraId="03104E78" w14:textId="77777777" w:rsidR="00D210F0" w:rsidRPr="00092ED7" w:rsidRDefault="00FB47ED" w:rsidP="0092798F">
            <w:pPr>
              <w:widowControl w:val="0"/>
              <w:spacing w:before="0" w:after="0"/>
              <w:ind w:left="113" w:right="113"/>
              <w:rPr>
                <w:rFonts w:eastAsia="Calibri" w:cs="Times New Roman"/>
                <w:bCs/>
                <w:sz w:val="20"/>
                <w:lang w:val="sr-Cyrl-CS" w:eastAsia="sr-Cyrl-CS" w:bidi="sr-Cyrl-CS"/>
              </w:rPr>
            </w:pPr>
            <w:r w:rsidRPr="00092ED7">
              <w:rPr>
                <w:rFonts w:cs="Times New Roman"/>
                <w:sz w:val="20"/>
                <w:lang w:val="sr-Cyrl-CS"/>
              </w:rPr>
              <w:t xml:space="preserve">Проценат установа из Плана мреже </w:t>
            </w:r>
            <w:r w:rsidR="00D210F0" w:rsidRPr="00092ED7">
              <w:rPr>
                <w:rFonts w:eastAsia="Calibri" w:cs="Times New Roman"/>
                <w:sz w:val="20"/>
                <w:lang w:val="sr-Cyrl-CS" w:eastAsia="sr-Cyrl-CS" w:bidi="sr-Cyrl-CS"/>
              </w:rPr>
              <w:t>које користе електронски медицински досије (кумулатив)</w:t>
            </w:r>
          </w:p>
        </w:tc>
        <w:tc>
          <w:tcPr>
            <w:tcW w:w="1642" w:type="dxa"/>
          </w:tcPr>
          <w:p w14:paraId="239F0778" w14:textId="77777777" w:rsidR="00D210F0" w:rsidRPr="00092ED7" w:rsidRDefault="0092798F" w:rsidP="0092798F">
            <w:pPr>
              <w:widowControl w:val="0"/>
              <w:spacing w:before="0" w:after="0"/>
              <w:ind w:left="113" w:right="113"/>
              <w:jc w:val="center"/>
              <w:rPr>
                <w:rFonts w:eastAsia="Calibri" w:cs="Times New Roman"/>
                <w:sz w:val="20"/>
                <w:lang w:val="sr-Cyrl-CS" w:eastAsia="sr-Cyrl-CS" w:bidi="sr-Cyrl-CS"/>
              </w:rPr>
            </w:pPr>
            <w:r w:rsidRPr="00092ED7">
              <w:rPr>
                <w:rFonts w:eastAsia="Calibri" w:cs="Times New Roman"/>
                <w:sz w:val="20"/>
                <w:lang w:val="sr-Cyrl-CS" w:eastAsia="sr-Cyrl-CS" w:bidi="sr-Cyrl-CS"/>
              </w:rPr>
              <w:t>0</w:t>
            </w:r>
          </w:p>
        </w:tc>
        <w:tc>
          <w:tcPr>
            <w:tcW w:w="1642" w:type="dxa"/>
          </w:tcPr>
          <w:p w14:paraId="26EE5114" w14:textId="77777777" w:rsidR="00D210F0" w:rsidRPr="00092ED7" w:rsidRDefault="00D210F0" w:rsidP="0092798F">
            <w:pPr>
              <w:widowControl w:val="0"/>
              <w:spacing w:before="0" w:after="0"/>
              <w:ind w:left="113" w:right="113"/>
              <w:jc w:val="center"/>
              <w:rPr>
                <w:rFonts w:eastAsia="Calibri" w:cs="Times New Roman"/>
                <w:sz w:val="20"/>
                <w:lang w:val="sr-Cyrl-CS" w:eastAsia="sr-Cyrl-CS" w:bidi="sr-Cyrl-CS"/>
              </w:rPr>
            </w:pPr>
            <w:r w:rsidRPr="00092ED7">
              <w:rPr>
                <w:rFonts w:eastAsia="Calibri" w:cs="Times New Roman"/>
                <w:sz w:val="20"/>
                <w:lang w:val="sr-Cyrl-CS" w:eastAsia="sr-Cyrl-CS" w:bidi="sr-Cyrl-CS"/>
              </w:rPr>
              <w:t>225</w:t>
            </w:r>
            <w:r w:rsidR="00FB47ED" w:rsidRPr="00092ED7">
              <w:rPr>
                <w:rFonts w:eastAsia="Calibri" w:cs="Times New Roman"/>
                <w:sz w:val="20"/>
                <w:lang w:val="sr-Cyrl-CS" w:eastAsia="sr-Cyrl-CS" w:bidi="sr-Cyrl-CS"/>
              </w:rPr>
              <w:t xml:space="preserve"> установа</w:t>
            </w:r>
            <w:r w:rsidR="00FB47ED" w:rsidRPr="00092ED7">
              <w:rPr>
                <w:rFonts w:eastAsia="Calibri" w:cs="Times New Roman"/>
                <w:sz w:val="20"/>
                <w:lang w:val="sr-Cyrl-CS" w:eastAsia="sr-Cyrl-CS" w:bidi="sr-Cyrl-CS"/>
              </w:rPr>
              <w:br/>
              <w:t>70%</w:t>
            </w:r>
          </w:p>
        </w:tc>
        <w:tc>
          <w:tcPr>
            <w:tcW w:w="1642" w:type="dxa"/>
          </w:tcPr>
          <w:p w14:paraId="1FA92583" w14:textId="77777777" w:rsidR="00D210F0" w:rsidRPr="00092ED7" w:rsidRDefault="00D210F0" w:rsidP="0092798F">
            <w:pPr>
              <w:widowControl w:val="0"/>
              <w:spacing w:before="0" w:after="0"/>
              <w:ind w:left="113" w:right="113"/>
              <w:jc w:val="center"/>
              <w:rPr>
                <w:rFonts w:eastAsia="Calibri" w:cs="Times New Roman"/>
                <w:sz w:val="20"/>
                <w:lang w:val="sr-Cyrl-CS" w:eastAsia="sr-Cyrl-CS" w:bidi="sr-Cyrl-CS"/>
              </w:rPr>
            </w:pPr>
            <w:r w:rsidRPr="00092ED7">
              <w:rPr>
                <w:rFonts w:eastAsia="Calibri" w:cs="Times New Roman"/>
                <w:sz w:val="20"/>
                <w:lang w:val="sr-Cyrl-CS" w:eastAsia="sr-Cyrl-CS" w:bidi="sr-Cyrl-CS"/>
              </w:rPr>
              <w:t>250</w:t>
            </w:r>
            <w:r w:rsidR="00FB47ED" w:rsidRPr="00092ED7">
              <w:rPr>
                <w:rFonts w:eastAsia="Calibri" w:cs="Times New Roman"/>
                <w:sz w:val="20"/>
                <w:lang w:val="sr-Cyrl-CS" w:eastAsia="sr-Cyrl-CS" w:bidi="sr-Cyrl-CS"/>
              </w:rPr>
              <w:t xml:space="preserve"> установа </w:t>
            </w:r>
            <w:r w:rsidR="00FB47ED" w:rsidRPr="00092ED7">
              <w:rPr>
                <w:rFonts w:eastAsia="Calibri" w:cs="Times New Roman"/>
                <w:sz w:val="20"/>
                <w:lang w:val="sr-Cyrl-CS" w:eastAsia="sr-Cyrl-CS" w:bidi="sr-Cyrl-CS"/>
              </w:rPr>
              <w:br/>
              <w:t>80%</w:t>
            </w:r>
          </w:p>
        </w:tc>
      </w:tr>
      <w:tr w:rsidR="00D210F0" w:rsidRPr="00092ED7" w14:paraId="18154DB2" w14:textId="77777777" w:rsidTr="0092798F">
        <w:trPr>
          <w:trHeight w:val="708"/>
        </w:trPr>
        <w:tc>
          <w:tcPr>
            <w:tcW w:w="4288" w:type="dxa"/>
          </w:tcPr>
          <w:p w14:paraId="1DFD98A3" w14:textId="77777777" w:rsidR="00D210F0" w:rsidRPr="00092ED7" w:rsidRDefault="00FB47ED" w:rsidP="00FB47ED">
            <w:pPr>
              <w:widowControl w:val="0"/>
              <w:spacing w:before="0" w:after="0"/>
              <w:ind w:left="113" w:right="113"/>
              <w:rPr>
                <w:rFonts w:eastAsia="Calibri" w:cs="Times New Roman"/>
                <w:b/>
                <w:sz w:val="20"/>
                <w:lang w:val="sr-Cyrl-CS" w:eastAsia="sr-Cyrl-CS" w:bidi="sr-Cyrl-CS"/>
              </w:rPr>
            </w:pPr>
            <w:r w:rsidRPr="00092ED7">
              <w:rPr>
                <w:rFonts w:cs="Times New Roman"/>
                <w:sz w:val="20"/>
                <w:lang w:val="sr-Cyrl-CS"/>
              </w:rPr>
              <w:t xml:space="preserve">Број одрађених снимака применом вештачке интелигенције у дијагностичким процедурама </w:t>
            </w:r>
            <w:r w:rsidR="00D210F0" w:rsidRPr="00092ED7">
              <w:rPr>
                <w:rFonts w:eastAsia="Calibri" w:cs="Times New Roman"/>
                <w:sz w:val="20"/>
                <w:lang w:val="sr-Cyrl-CS" w:eastAsia="sr-Cyrl-CS" w:bidi="sr-Cyrl-CS"/>
              </w:rPr>
              <w:t xml:space="preserve">(скрининг рака дојке) </w:t>
            </w:r>
          </w:p>
        </w:tc>
        <w:tc>
          <w:tcPr>
            <w:tcW w:w="1642" w:type="dxa"/>
          </w:tcPr>
          <w:p w14:paraId="24D569ED" w14:textId="77777777" w:rsidR="00D210F0" w:rsidRPr="00092ED7" w:rsidRDefault="0092798F" w:rsidP="0092798F">
            <w:pPr>
              <w:widowControl w:val="0"/>
              <w:spacing w:before="0" w:after="0"/>
              <w:ind w:left="113" w:right="113"/>
              <w:jc w:val="center"/>
              <w:rPr>
                <w:rFonts w:eastAsia="Calibri" w:cs="Times New Roman"/>
                <w:sz w:val="20"/>
                <w:lang w:val="sr-Cyrl-CS" w:eastAsia="sr-Cyrl-CS" w:bidi="sr-Cyrl-CS"/>
              </w:rPr>
            </w:pPr>
            <w:r w:rsidRPr="00092ED7">
              <w:rPr>
                <w:rFonts w:eastAsia="Calibri" w:cs="Times New Roman"/>
                <w:sz w:val="20"/>
                <w:lang w:val="sr-Cyrl-CS" w:eastAsia="sr-Cyrl-CS" w:bidi="sr-Cyrl-CS"/>
              </w:rPr>
              <w:t>0</w:t>
            </w:r>
          </w:p>
        </w:tc>
        <w:tc>
          <w:tcPr>
            <w:tcW w:w="1642" w:type="dxa"/>
          </w:tcPr>
          <w:p w14:paraId="2A4D723B" w14:textId="77777777" w:rsidR="00D210F0" w:rsidRPr="00092ED7" w:rsidRDefault="00D210F0" w:rsidP="0092798F">
            <w:pPr>
              <w:widowControl w:val="0"/>
              <w:spacing w:before="0" w:after="0"/>
              <w:ind w:left="113" w:right="113"/>
              <w:jc w:val="center"/>
              <w:rPr>
                <w:rFonts w:eastAsia="Calibri" w:cs="Times New Roman"/>
                <w:sz w:val="20"/>
                <w:lang w:val="sr-Cyrl-CS" w:eastAsia="sr-Cyrl-CS" w:bidi="sr-Cyrl-CS"/>
              </w:rPr>
            </w:pPr>
            <w:r w:rsidRPr="00092ED7">
              <w:rPr>
                <w:rFonts w:eastAsia="Calibri" w:cs="Times New Roman"/>
                <w:sz w:val="20"/>
                <w:lang w:val="sr-Cyrl-CS" w:eastAsia="sr-Cyrl-CS" w:bidi="sr-Cyrl-CS"/>
              </w:rPr>
              <w:t>100.000</w:t>
            </w:r>
            <w:r w:rsidR="00FB47ED" w:rsidRPr="00092ED7">
              <w:rPr>
                <w:rFonts w:eastAsia="Calibri" w:cs="Times New Roman"/>
                <w:sz w:val="20"/>
                <w:lang w:val="sr-Cyrl-CS" w:eastAsia="sr-Cyrl-CS" w:bidi="sr-Cyrl-CS"/>
              </w:rPr>
              <w:br/>
              <w:t>25%</w:t>
            </w:r>
          </w:p>
        </w:tc>
        <w:tc>
          <w:tcPr>
            <w:tcW w:w="1642" w:type="dxa"/>
          </w:tcPr>
          <w:p w14:paraId="7823FFB2" w14:textId="77777777" w:rsidR="00D210F0" w:rsidRPr="00092ED7" w:rsidRDefault="00D210F0" w:rsidP="0092798F">
            <w:pPr>
              <w:widowControl w:val="0"/>
              <w:spacing w:before="0" w:after="0"/>
              <w:ind w:left="113" w:right="113"/>
              <w:jc w:val="center"/>
              <w:rPr>
                <w:rFonts w:eastAsia="Calibri" w:cs="Times New Roman"/>
                <w:sz w:val="20"/>
                <w:lang w:val="sr-Cyrl-CS" w:eastAsia="sr-Cyrl-CS" w:bidi="sr-Cyrl-CS"/>
              </w:rPr>
            </w:pPr>
            <w:r w:rsidRPr="00092ED7">
              <w:rPr>
                <w:rFonts w:eastAsia="Calibri" w:cs="Times New Roman"/>
                <w:sz w:val="20"/>
                <w:lang w:val="sr-Cyrl-CS" w:eastAsia="sr-Cyrl-CS" w:bidi="sr-Cyrl-CS"/>
              </w:rPr>
              <w:t>200.000</w:t>
            </w:r>
            <w:r w:rsidR="00FB47ED" w:rsidRPr="00092ED7">
              <w:rPr>
                <w:rFonts w:eastAsia="Calibri" w:cs="Times New Roman"/>
                <w:sz w:val="20"/>
                <w:lang w:val="sr-Cyrl-CS" w:eastAsia="sr-Cyrl-CS" w:bidi="sr-Cyrl-CS"/>
              </w:rPr>
              <w:br/>
              <w:t>50%</w:t>
            </w:r>
          </w:p>
        </w:tc>
      </w:tr>
      <w:tr w:rsidR="00D210F0" w:rsidRPr="00092ED7" w14:paraId="504E07FB" w14:textId="77777777" w:rsidTr="0092798F">
        <w:trPr>
          <w:trHeight w:val="480"/>
        </w:trPr>
        <w:tc>
          <w:tcPr>
            <w:tcW w:w="4288" w:type="dxa"/>
          </w:tcPr>
          <w:p w14:paraId="04526D39" w14:textId="77777777" w:rsidR="00D210F0" w:rsidRPr="00092ED7" w:rsidRDefault="00FB47ED" w:rsidP="0092798F">
            <w:pPr>
              <w:widowControl w:val="0"/>
              <w:spacing w:before="0" w:after="0"/>
              <w:ind w:left="113" w:right="113"/>
              <w:rPr>
                <w:rFonts w:eastAsia="Calibri" w:cs="Times New Roman"/>
                <w:b/>
                <w:sz w:val="20"/>
                <w:lang w:val="sr-Cyrl-CS" w:eastAsia="sr-Cyrl-CS" w:bidi="sr-Cyrl-CS"/>
              </w:rPr>
            </w:pPr>
            <w:r w:rsidRPr="00092ED7">
              <w:rPr>
                <w:rFonts w:cs="Times New Roman"/>
                <w:sz w:val="20"/>
                <w:lang w:val="sr-Cyrl-CS"/>
              </w:rPr>
              <w:t>Број електронских рецепата који се примењују на помагала и ампулиране лекове на примарном нивоу здравствене заштите</w:t>
            </w:r>
          </w:p>
        </w:tc>
        <w:tc>
          <w:tcPr>
            <w:tcW w:w="1642" w:type="dxa"/>
          </w:tcPr>
          <w:p w14:paraId="6934E917" w14:textId="77777777" w:rsidR="00D210F0" w:rsidRPr="00092ED7" w:rsidRDefault="0092798F" w:rsidP="0092798F">
            <w:pPr>
              <w:widowControl w:val="0"/>
              <w:spacing w:before="0" w:after="0"/>
              <w:ind w:left="113" w:right="113"/>
              <w:jc w:val="center"/>
              <w:rPr>
                <w:rFonts w:eastAsia="Calibri" w:cs="Times New Roman"/>
                <w:sz w:val="20"/>
                <w:lang w:val="sr-Cyrl-CS" w:eastAsia="sr-Cyrl-CS" w:bidi="sr-Cyrl-CS"/>
              </w:rPr>
            </w:pPr>
            <w:r w:rsidRPr="00092ED7">
              <w:rPr>
                <w:rFonts w:eastAsia="Calibri" w:cs="Times New Roman"/>
                <w:sz w:val="20"/>
                <w:lang w:val="sr-Cyrl-CS" w:eastAsia="sr-Cyrl-CS" w:bidi="sr-Cyrl-CS"/>
              </w:rPr>
              <w:t>0</w:t>
            </w:r>
          </w:p>
        </w:tc>
        <w:tc>
          <w:tcPr>
            <w:tcW w:w="1642" w:type="dxa"/>
          </w:tcPr>
          <w:p w14:paraId="2DDEF8D7" w14:textId="77777777" w:rsidR="00D210F0" w:rsidRPr="00092ED7" w:rsidRDefault="0092798F" w:rsidP="0092798F">
            <w:pPr>
              <w:widowControl w:val="0"/>
              <w:spacing w:before="0" w:after="0"/>
              <w:ind w:left="113" w:right="113"/>
              <w:jc w:val="center"/>
              <w:rPr>
                <w:rFonts w:eastAsia="Calibri" w:cs="Times New Roman"/>
                <w:sz w:val="20"/>
                <w:lang w:val="sr-Cyrl-CS" w:eastAsia="sr-Cyrl-CS" w:bidi="sr-Cyrl-CS"/>
              </w:rPr>
            </w:pPr>
            <w:r w:rsidRPr="00092ED7">
              <w:rPr>
                <w:rFonts w:eastAsia="Calibri" w:cs="Times New Roman"/>
                <w:sz w:val="20"/>
                <w:lang w:val="sr-Cyrl-CS" w:eastAsia="sr-Cyrl-CS" w:bidi="sr-Cyrl-CS"/>
              </w:rPr>
              <w:t>158</w:t>
            </w:r>
            <w:r w:rsidR="00FB47ED" w:rsidRPr="00092ED7">
              <w:rPr>
                <w:rFonts w:eastAsia="Calibri" w:cs="Times New Roman"/>
                <w:sz w:val="20"/>
                <w:lang w:val="sr-Cyrl-CS" w:eastAsia="sr-Cyrl-CS" w:bidi="sr-Cyrl-CS"/>
              </w:rPr>
              <w:t xml:space="preserve"> од 158 установа</w:t>
            </w:r>
          </w:p>
        </w:tc>
        <w:tc>
          <w:tcPr>
            <w:tcW w:w="1642" w:type="dxa"/>
          </w:tcPr>
          <w:p w14:paraId="5DFD0FA5" w14:textId="77777777" w:rsidR="00D210F0" w:rsidRPr="00092ED7" w:rsidRDefault="0092798F" w:rsidP="0092798F">
            <w:pPr>
              <w:widowControl w:val="0"/>
              <w:spacing w:before="0" w:after="0"/>
              <w:ind w:left="113" w:right="113"/>
              <w:jc w:val="center"/>
              <w:rPr>
                <w:rFonts w:eastAsia="Calibri" w:cs="Times New Roman"/>
                <w:sz w:val="20"/>
                <w:lang w:val="sr-Cyrl-CS" w:eastAsia="sr-Cyrl-CS" w:bidi="sr-Cyrl-CS"/>
              </w:rPr>
            </w:pPr>
            <w:r w:rsidRPr="00092ED7">
              <w:rPr>
                <w:rFonts w:eastAsia="Calibri" w:cs="Times New Roman"/>
                <w:sz w:val="20"/>
                <w:lang w:val="sr-Cyrl-CS" w:eastAsia="sr-Cyrl-CS" w:bidi="sr-Cyrl-CS"/>
              </w:rPr>
              <w:t>158</w:t>
            </w:r>
            <w:r w:rsidR="00FB47ED" w:rsidRPr="00092ED7">
              <w:rPr>
                <w:rFonts w:eastAsia="Calibri" w:cs="Times New Roman"/>
                <w:sz w:val="20"/>
                <w:lang w:val="sr-Cyrl-CS" w:eastAsia="sr-Cyrl-CS" w:bidi="sr-Cyrl-CS"/>
              </w:rPr>
              <w:t xml:space="preserve"> од 158 установа</w:t>
            </w:r>
          </w:p>
        </w:tc>
      </w:tr>
    </w:tbl>
    <w:p w14:paraId="5C94F642" w14:textId="77777777" w:rsidR="00D210F0" w:rsidRPr="00092ED7" w:rsidRDefault="00D210F0" w:rsidP="00071952">
      <w:pPr>
        <w:widowControl w:val="0"/>
        <w:numPr>
          <w:ilvl w:val="0"/>
          <w:numId w:val="39"/>
        </w:numPr>
        <w:spacing w:before="120"/>
        <w:rPr>
          <w:rFonts w:cs="Times New Roman"/>
          <w:b/>
          <w:bCs/>
          <w:szCs w:val="24"/>
          <w:lang w:val="sr-Cyrl-CS"/>
        </w:rPr>
      </w:pPr>
      <w:r w:rsidRPr="00092ED7">
        <w:rPr>
          <w:rFonts w:cs="Times New Roman"/>
          <w:b/>
          <w:bCs/>
          <w:szCs w:val="24"/>
          <w:lang w:val="sr-Cyrl-CS"/>
        </w:rPr>
        <w:t>Oчекивани</w:t>
      </w:r>
      <w:r w:rsidRPr="00092ED7">
        <w:rPr>
          <w:b/>
          <w:szCs w:val="24"/>
          <w:lang w:val="sr-Cyrl-CS"/>
        </w:rPr>
        <w:t xml:space="preserve"> утицај на конкурентност</w:t>
      </w:r>
    </w:p>
    <w:p w14:paraId="59B82628" w14:textId="77777777" w:rsidR="00D210F0" w:rsidRPr="00092ED7" w:rsidRDefault="00D210F0" w:rsidP="000E6CF5">
      <w:pPr>
        <w:widowControl w:val="0"/>
        <w:spacing w:after="60"/>
        <w:rPr>
          <w:rFonts w:eastAsia="Times New Roman" w:cs="Times New Roman"/>
          <w:szCs w:val="24"/>
          <w:lang w:val="sr-Cyrl-CS"/>
        </w:rPr>
      </w:pPr>
      <w:r w:rsidRPr="00092ED7">
        <w:rPr>
          <w:rFonts w:eastAsia="Times New Roman" w:cs="Times New Roman"/>
          <w:szCs w:val="24"/>
          <w:lang w:val="sr-Cyrl-CS"/>
        </w:rPr>
        <w:t xml:space="preserve">Реализација ове реформе утиче на ефикасност здравственог система и квалитет </w:t>
      </w:r>
      <w:r w:rsidRPr="00092ED7">
        <w:rPr>
          <w:rFonts w:eastAsia="Times New Roman" w:cs="Times New Roman"/>
          <w:szCs w:val="24"/>
          <w:lang w:val="sr-Cyrl-CS"/>
        </w:rPr>
        <w:lastRenderedPageBreak/>
        <w:t>здравствене заштите</w:t>
      </w:r>
      <w:r w:rsidR="006B7E63" w:rsidRPr="00092ED7">
        <w:rPr>
          <w:rFonts w:eastAsia="Times New Roman" w:cs="Times New Roman"/>
          <w:szCs w:val="24"/>
          <w:lang w:val="sr-Cyrl-CS"/>
        </w:rPr>
        <w:t xml:space="preserve"> који истовремено треба да допринесе ефикаснијем лечењу и бољем здравственом стању становништва и тиме мањем одсуству због боловања и већој продуктивности радне снаге</w:t>
      </w:r>
      <w:r w:rsidRPr="00092ED7">
        <w:rPr>
          <w:rFonts w:eastAsia="Times New Roman" w:cs="Times New Roman"/>
          <w:szCs w:val="24"/>
          <w:lang w:val="sr-Cyrl-CS"/>
        </w:rPr>
        <w:t>. Нема</w:t>
      </w:r>
      <w:r w:rsidR="006B7E63" w:rsidRPr="00092ED7">
        <w:rPr>
          <w:rFonts w:eastAsia="Times New Roman" w:cs="Times New Roman"/>
          <w:szCs w:val="24"/>
          <w:lang w:val="sr-Cyrl-CS"/>
        </w:rPr>
        <w:t xml:space="preserve"> директан</w:t>
      </w:r>
      <w:r w:rsidRPr="00092ED7">
        <w:rPr>
          <w:rFonts w:eastAsia="Times New Roman" w:cs="Times New Roman"/>
          <w:szCs w:val="24"/>
          <w:lang w:val="sr-Cyrl-CS"/>
        </w:rPr>
        <w:t xml:space="preserve"> утицај на конкурентност привреде, али доприноси значајним уштедама које могу бити усмерене на иновативна решења.</w:t>
      </w:r>
    </w:p>
    <w:p w14:paraId="089CA0C1" w14:textId="77777777" w:rsidR="00D210F0" w:rsidRPr="00092ED7" w:rsidRDefault="00D210F0" w:rsidP="00071952">
      <w:pPr>
        <w:widowControl w:val="0"/>
        <w:numPr>
          <w:ilvl w:val="0"/>
          <w:numId w:val="39"/>
        </w:numPr>
        <w:spacing w:before="120"/>
        <w:rPr>
          <w:rFonts w:cs="Times New Roman"/>
          <w:b/>
          <w:bCs/>
          <w:szCs w:val="24"/>
          <w:lang w:val="sr-Cyrl-CS"/>
        </w:rPr>
      </w:pPr>
      <w:r w:rsidRPr="00092ED7">
        <w:rPr>
          <w:rFonts w:cs="Times New Roman"/>
          <w:b/>
          <w:bCs/>
          <w:szCs w:val="24"/>
          <w:lang w:val="sr-Cyrl-CS"/>
        </w:rPr>
        <w:t>Процењени</w:t>
      </w:r>
      <w:r w:rsidRPr="00092ED7">
        <w:rPr>
          <w:b/>
          <w:szCs w:val="24"/>
          <w:lang w:val="sr-Cyrl-CS"/>
        </w:rPr>
        <w:t xml:space="preserve"> трошкови спровођења структурне реформе и предвиђени извори њиховог финансирања</w:t>
      </w:r>
    </w:p>
    <w:p w14:paraId="7BCFC5E1" w14:textId="540DEBF4" w:rsidR="00A56C7D" w:rsidRPr="00092ED7" w:rsidRDefault="00A56C7D" w:rsidP="000E6CF5">
      <w:pPr>
        <w:spacing w:after="60"/>
        <w:rPr>
          <w:rFonts w:eastAsia="Times New Roman" w:cs="Times New Roman"/>
          <w:szCs w:val="24"/>
          <w:lang w:val="sr-Cyrl-CS"/>
        </w:rPr>
      </w:pPr>
      <w:r w:rsidRPr="00092ED7">
        <w:rPr>
          <w:rFonts w:eastAsia="Times New Roman" w:cs="Times New Roman"/>
          <w:szCs w:val="24"/>
          <w:lang w:val="sr-Cyrl-CS"/>
        </w:rPr>
        <w:t>За 2023. годину, у буџету Р</w:t>
      </w:r>
      <w:r w:rsidR="008B1412" w:rsidRPr="00092ED7">
        <w:rPr>
          <w:rFonts w:eastAsia="Times New Roman" w:cs="Times New Roman"/>
          <w:szCs w:val="24"/>
          <w:lang w:val="sr-Cyrl-CS"/>
        </w:rPr>
        <w:t>епублике Србије</w:t>
      </w:r>
      <w:r w:rsidRPr="00092ED7">
        <w:rPr>
          <w:rFonts w:eastAsia="Times New Roman" w:cs="Times New Roman"/>
          <w:szCs w:val="24"/>
          <w:lang w:val="sr-Cyrl-CS"/>
        </w:rPr>
        <w:t>, су предвиђена средства од 12.500.000 евра за реализацију горе</w:t>
      </w:r>
      <w:r w:rsidR="00002CB1" w:rsidRPr="00092ED7">
        <w:rPr>
          <w:rFonts w:eastAsia="Times New Roman" w:cs="Times New Roman"/>
          <w:szCs w:val="24"/>
          <w:lang w:val="sr-Cyrl-CS"/>
        </w:rPr>
        <w:t xml:space="preserve"> </w:t>
      </w:r>
      <w:r w:rsidRPr="00092ED7">
        <w:rPr>
          <w:rFonts w:eastAsia="Times New Roman" w:cs="Times New Roman"/>
          <w:szCs w:val="24"/>
          <w:lang w:val="sr-Cyrl-CS"/>
        </w:rPr>
        <w:t xml:space="preserve">наведених активности као и за редовно одржавање постојећег система. Предвиђено је да половина новца буде потрошена на одржавање већ постојећег система а друга половина новца на следеће активности: </w:t>
      </w:r>
    </w:p>
    <w:p w14:paraId="6CE74AA9" w14:textId="6E0450CA" w:rsidR="00A56C7D" w:rsidRPr="00092ED7" w:rsidRDefault="00A56C7D" w:rsidP="00053B2B">
      <w:pPr>
        <w:pStyle w:val="ListParagraph"/>
        <w:numPr>
          <w:ilvl w:val="0"/>
          <w:numId w:val="54"/>
        </w:numPr>
        <w:spacing w:after="60" w:line="240" w:lineRule="auto"/>
        <w:rPr>
          <w:rFonts w:eastAsia="Times New Roman" w:cs="Times New Roman"/>
          <w:sz w:val="24"/>
          <w:szCs w:val="24"/>
          <w:lang w:val="sr-Cyrl-CS"/>
        </w:rPr>
      </w:pPr>
      <w:r w:rsidRPr="00092ED7">
        <w:rPr>
          <w:rFonts w:eastAsia="Times New Roman" w:cs="Times New Roman"/>
          <w:sz w:val="24"/>
          <w:szCs w:val="24"/>
          <w:lang w:val="sr-Cyrl-CS"/>
        </w:rPr>
        <w:t xml:space="preserve">Успостављање електронског медицинског досијеа – почетак пројекта планиран је за први квартал 2023. године а завршетак крајем 2023. године. Извор финансирања: буџет </w:t>
      </w:r>
      <w:r w:rsidR="003A0718" w:rsidRPr="00092ED7">
        <w:rPr>
          <w:rFonts w:eastAsia="Times New Roman" w:cs="Times New Roman"/>
          <w:sz w:val="24"/>
          <w:szCs w:val="24"/>
          <w:lang w:val="sr-Cyrl-CS"/>
        </w:rPr>
        <w:t>Републике Србије</w:t>
      </w:r>
      <w:r w:rsidRPr="00092ED7">
        <w:rPr>
          <w:rFonts w:eastAsia="Times New Roman" w:cs="Times New Roman"/>
          <w:sz w:val="24"/>
          <w:szCs w:val="24"/>
          <w:lang w:val="sr-Cyrl-CS"/>
        </w:rPr>
        <w:t>;</w:t>
      </w:r>
    </w:p>
    <w:p w14:paraId="00283467" w14:textId="369C5210" w:rsidR="00A56C7D" w:rsidRPr="00092ED7" w:rsidRDefault="00A56C7D" w:rsidP="00053B2B">
      <w:pPr>
        <w:pStyle w:val="ListParagraph"/>
        <w:numPr>
          <w:ilvl w:val="0"/>
          <w:numId w:val="54"/>
        </w:numPr>
        <w:spacing w:after="60" w:line="240" w:lineRule="auto"/>
        <w:rPr>
          <w:rFonts w:eastAsia="Times New Roman" w:cs="Times New Roman"/>
          <w:sz w:val="24"/>
          <w:szCs w:val="24"/>
          <w:lang w:val="sr-Cyrl-CS"/>
        </w:rPr>
      </w:pPr>
      <w:r w:rsidRPr="00092ED7">
        <w:rPr>
          <w:rFonts w:eastAsia="Times New Roman" w:cs="Times New Roman"/>
          <w:sz w:val="24"/>
          <w:szCs w:val="24"/>
          <w:lang w:val="sr-Cyrl-CS"/>
        </w:rPr>
        <w:t xml:space="preserve">Успостављање централне платформе за повезивање државних и приватних лабораторија еЛАБ – почетак пројекта планиран је за први квартал 2023. године а завршетак почетком 2024. године. Извор финансирања: буџет </w:t>
      </w:r>
      <w:r w:rsidR="008B1412" w:rsidRPr="00092ED7">
        <w:rPr>
          <w:rFonts w:eastAsia="Times New Roman" w:cs="Times New Roman"/>
          <w:sz w:val="24"/>
          <w:szCs w:val="24"/>
          <w:lang w:val="sr-Cyrl-CS"/>
        </w:rPr>
        <w:t>Републике Србије</w:t>
      </w:r>
      <w:r w:rsidRPr="00092ED7">
        <w:rPr>
          <w:rFonts w:eastAsia="Times New Roman" w:cs="Times New Roman"/>
          <w:sz w:val="24"/>
          <w:szCs w:val="24"/>
          <w:lang w:val="sr-Cyrl-CS"/>
        </w:rPr>
        <w:t>;</w:t>
      </w:r>
    </w:p>
    <w:p w14:paraId="216F0266" w14:textId="2BC00CCA" w:rsidR="00A56C7D" w:rsidRPr="00092ED7" w:rsidRDefault="00A56C7D" w:rsidP="00053B2B">
      <w:pPr>
        <w:pStyle w:val="ListParagraph"/>
        <w:numPr>
          <w:ilvl w:val="0"/>
          <w:numId w:val="54"/>
        </w:numPr>
        <w:spacing w:after="60" w:line="240" w:lineRule="auto"/>
        <w:ind w:left="357" w:hanging="357"/>
        <w:rPr>
          <w:rFonts w:eastAsia="Times New Roman" w:cs="Times New Roman"/>
          <w:sz w:val="24"/>
          <w:szCs w:val="24"/>
          <w:lang w:val="sr-Cyrl-CS"/>
        </w:rPr>
      </w:pPr>
      <w:r w:rsidRPr="00092ED7">
        <w:rPr>
          <w:rFonts w:eastAsia="Times New Roman" w:cs="Times New Roman"/>
          <w:sz w:val="24"/>
          <w:szCs w:val="24"/>
          <w:lang w:val="sr-Cyrl-CS"/>
        </w:rPr>
        <w:t xml:space="preserve">Проширење еРецепта на помагала и ампулиране лекове (медицинска терапеутска помагала) – проширење се односи само на установе примарне здравствене заштите. Почетак пројекта планиран је за први квартал 2023. године а завршетак крајем 2023. године. Извор финансирања: буџет </w:t>
      </w:r>
      <w:r w:rsidR="008B1412" w:rsidRPr="00092ED7">
        <w:rPr>
          <w:rFonts w:eastAsia="Times New Roman" w:cs="Times New Roman"/>
          <w:sz w:val="24"/>
          <w:szCs w:val="24"/>
          <w:lang w:val="sr-Cyrl-CS"/>
        </w:rPr>
        <w:t>Републике Србије</w:t>
      </w:r>
      <w:r w:rsidRPr="00092ED7">
        <w:rPr>
          <w:rFonts w:eastAsia="Times New Roman" w:cs="Times New Roman"/>
          <w:sz w:val="24"/>
          <w:szCs w:val="24"/>
          <w:lang w:val="sr-Cyrl-CS"/>
        </w:rPr>
        <w:t>;</w:t>
      </w:r>
    </w:p>
    <w:p w14:paraId="3ABBD8A0" w14:textId="3A8D1144" w:rsidR="00A56C7D" w:rsidRPr="00092ED7" w:rsidRDefault="00A56C7D" w:rsidP="00053B2B">
      <w:pPr>
        <w:pStyle w:val="ListParagraph"/>
        <w:numPr>
          <w:ilvl w:val="0"/>
          <w:numId w:val="54"/>
        </w:numPr>
        <w:spacing w:after="60" w:line="240" w:lineRule="auto"/>
        <w:rPr>
          <w:rFonts w:eastAsia="Times New Roman" w:cs="Times New Roman"/>
          <w:sz w:val="24"/>
          <w:szCs w:val="24"/>
          <w:lang w:val="sr-Cyrl-CS"/>
        </w:rPr>
      </w:pPr>
      <w:r w:rsidRPr="00092ED7">
        <w:rPr>
          <w:rFonts w:eastAsia="Times New Roman" w:cs="Times New Roman"/>
          <w:sz w:val="24"/>
          <w:szCs w:val="24"/>
          <w:lang w:val="sr-Cyrl-CS"/>
        </w:rPr>
        <w:t xml:space="preserve">Имплементација система за проверу интеракције лекова и система подршке за доношење клиничких одлука – почетак пројекта планиран је за </w:t>
      </w:r>
      <w:r w:rsidR="00362206" w:rsidRPr="00092ED7">
        <w:rPr>
          <w:rFonts w:eastAsia="Times New Roman" w:cs="Times New Roman"/>
          <w:sz w:val="24"/>
          <w:szCs w:val="24"/>
          <w:lang w:val="sr-Cyrl-CS"/>
        </w:rPr>
        <w:t xml:space="preserve">трећи </w:t>
      </w:r>
      <w:r w:rsidRPr="00092ED7">
        <w:rPr>
          <w:rFonts w:eastAsia="Times New Roman" w:cs="Times New Roman"/>
          <w:sz w:val="24"/>
          <w:szCs w:val="24"/>
          <w:lang w:val="sr-Cyrl-CS"/>
        </w:rPr>
        <w:t xml:space="preserve">квартал 2023. године а завршетак </w:t>
      </w:r>
      <w:r w:rsidR="00362206" w:rsidRPr="00092ED7">
        <w:rPr>
          <w:rFonts w:eastAsia="Times New Roman" w:cs="Times New Roman"/>
          <w:sz w:val="24"/>
          <w:szCs w:val="24"/>
          <w:lang w:val="sr-Cyrl-CS"/>
        </w:rPr>
        <w:t xml:space="preserve">за четврти квартал </w:t>
      </w:r>
      <w:r w:rsidRPr="00092ED7">
        <w:rPr>
          <w:rFonts w:eastAsia="Times New Roman" w:cs="Times New Roman"/>
          <w:sz w:val="24"/>
          <w:szCs w:val="24"/>
          <w:lang w:val="sr-Cyrl-CS"/>
        </w:rPr>
        <w:t xml:space="preserve">2024. године. </w:t>
      </w:r>
    </w:p>
    <w:p w14:paraId="5372449F" w14:textId="01B75E01" w:rsidR="00A56C7D" w:rsidRPr="00092ED7" w:rsidRDefault="00A56C7D" w:rsidP="00053B2B">
      <w:pPr>
        <w:pStyle w:val="ListParagraph"/>
        <w:numPr>
          <w:ilvl w:val="0"/>
          <w:numId w:val="54"/>
        </w:numPr>
        <w:spacing w:after="60" w:line="240" w:lineRule="auto"/>
        <w:ind w:left="357" w:hanging="357"/>
        <w:rPr>
          <w:rFonts w:eastAsia="Times New Roman" w:cs="Times New Roman"/>
          <w:sz w:val="24"/>
          <w:szCs w:val="24"/>
          <w:lang w:val="sr-Cyrl-CS"/>
        </w:rPr>
      </w:pPr>
      <w:r w:rsidRPr="00092ED7">
        <w:rPr>
          <w:rFonts w:eastAsia="Times New Roman" w:cs="Times New Roman"/>
          <w:sz w:val="24"/>
          <w:szCs w:val="24"/>
          <w:lang w:val="sr-Cyrl-CS"/>
        </w:rPr>
        <w:t xml:space="preserve">Проширење еРецепта болнички лекови (Б и Ц листа) – почетак пројекта планиран је крајем 2023. године а завршетак крајем 2025. године. Извор финансирања: буџет </w:t>
      </w:r>
      <w:r w:rsidR="008B1412" w:rsidRPr="00092ED7">
        <w:rPr>
          <w:rFonts w:eastAsia="Times New Roman" w:cs="Times New Roman"/>
          <w:sz w:val="24"/>
          <w:szCs w:val="24"/>
          <w:lang w:val="sr-Cyrl-CS"/>
        </w:rPr>
        <w:t>Републике Србије</w:t>
      </w:r>
      <w:r w:rsidRPr="00092ED7">
        <w:rPr>
          <w:rFonts w:eastAsia="Times New Roman" w:cs="Times New Roman"/>
          <w:sz w:val="24"/>
          <w:szCs w:val="24"/>
          <w:lang w:val="sr-Cyrl-CS"/>
        </w:rPr>
        <w:t>;</w:t>
      </w:r>
    </w:p>
    <w:p w14:paraId="61BF6113" w14:textId="729DFDD0" w:rsidR="00A56C7D" w:rsidRPr="00092ED7" w:rsidRDefault="00A56C7D" w:rsidP="000E6CF5">
      <w:pPr>
        <w:pStyle w:val="ListParagraph"/>
        <w:numPr>
          <w:ilvl w:val="0"/>
          <w:numId w:val="54"/>
        </w:numPr>
        <w:spacing w:after="60" w:line="240" w:lineRule="auto"/>
        <w:rPr>
          <w:sz w:val="24"/>
          <w:szCs w:val="24"/>
          <w:lang w:val="sr-Cyrl-CS"/>
        </w:rPr>
      </w:pPr>
      <w:r w:rsidRPr="00092ED7">
        <w:rPr>
          <w:rFonts w:eastAsia="Times New Roman" w:cs="Times New Roman"/>
          <w:sz w:val="24"/>
          <w:szCs w:val="24"/>
          <w:lang w:val="sr-Cyrl-CS"/>
        </w:rPr>
        <w:t xml:space="preserve">Примена вештачке интелигенције у радиологији (Скрининг рака дојке) – почетак пројекта планиран је почетком 2023. године а завршетак крајем 2025. године. Извор финансирања: буџет </w:t>
      </w:r>
      <w:r w:rsidR="008B1412" w:rsidRPr="00092ED7">
        <w:rPr>
          <w:rFonts w:eastAsia="Times New Roman" w:cs="Times New Roman"/>
          <w:sz w:val="24"/>
          <w:szCs w:val="24"/>
          <w:lang w:val="sr-Cyrl-CS"/>
        </w:rPr>
        <w:t>Републике Србије</w:t>
      </w:r>
      <w:r w:rsidRPr="00092ED7">
        <w:rPr>
          <w:rFonts w:eastAsia="Times New Roman" w:cs="Times New Roman"/>
          <w:sz w:val="24"/>
          <w:szCs w:val="24"/>
          <w:lang w:val="sr-Cyrl-CS"/>
        </w:rPr>
        <w:t>.</w:t>
      </w:r>
    </w:p>
    <w:p w14:paraId="05FC0387" w14:textId="77777777" w:rsidR="00D210F0" w:rsidRPr="00092ED7" w:rsidRDefault="00D210F0" w:rsidP="00071952">
      <w:pPr>
        <w:widowControl w:val="0"/>
        <w:numPr>
          <w:ilvl w:val="0"/>
          <w:numId w:val="39"/>
        </w:numPr>
        <w:spacing w:before="120"/>
        <w:rPr>
          <w:rFonts w:cs="Times New Roman"/>
          <w:b/>
          <w:szCs w:val="24"/>
          <w:lang w:val="sr-Cyrl-CS"/>
        </w:rPr>
      </w:pPr>
      <w:r w:rsidRPr="00092ED7">
        <w:rPr>
          <w:rFonts w:cs="Times New Roman"/>
          <w:b/>
          <w:bCs/>
          <w:szCs w:val="24"/>
          <w:lang w:val="sr-Cyrl-CS"/>
        </w:rPr>
        <w:t>Очекивани</w:t>
      </w:r>
      <w:r w:rsidRPr="00092ED7">
        <w:rPr>
          <w:rFonts w:cs="Times New Roman"/>
          <w:b/>
          <w:szCs w:val="24"/>
          <w:lang w:val="sr-Cyrl-CS"/>
        </w:rPr>
        <w:t xml:space="preserve"> утицај на социјалне циљеве, као што су запосленост, смањење сиромаштва, родна равноправност и приступ здравственој заштити</w:t>
      </w:r>
    </w:p>
    <w:p w14:paraId="301FFB8E" w14:textId="77777777" w:rsidR="00D210F0" w:rsidRPr="00092ED7" w:rsidRDefault="00D210F0" w:rsidP="00D210F0">
      <w:pPr>
        <w:widowControl w:val="0"/>
        <w:spacing w:after="60"/>
        <w:rPr>
          <w:rFonts w:eastAsia="Times New Roman" w:cs="Times New Roman"/>
          <w:szCs w:val="24"/>
          <w:lang w:val="sr-Cyrl-CS"/>
        </w:rPr>
      </w:pPr>
      <w:r w:rsidRPr="00092ED7">
        <w:rPr>
          <w:rFonts w:eastAsia="Times New Roman" w:cs="Times New Roman"/>
          <w:szCs w:val="24"/>
          <w:lang w:val="sr-Cyrl-CS"/>
        </w:rPr>
        <w:t>Имплементација планираних активности ће унапредити приступ здравственој заштити</w:t>
      </w:r>
      <w:r w:rsidR="005B3BCB" w:rsidRPr="00092ED7">
        <w:rPr>
          <w:rFonts w:eastAsia="Times New Roman" w:cs="Times New Roman"/>
          <w:szCs w:val="24"/>
          <w:lang w:val="sr-Cyrl-CS"/>
        </w:rPr>
        <w:t>,</w:t>
      </w:r>
      <w:r w:rsidRPr="00092ED7">
        <w:rPr>
          <w:rFonts w:eastAsia="Times New Roman" w:cs="Times New Roman"/>
          <w:szCs w:val="24"/>
          <w:lang w:val="sr-Cyrl-CS"/>
        </w:rPr>
        <w:t xml:space="preserve"> примарно коришћењем електронског медицинског досијеа и повећањем ефикасности, које ће бити видљиво кроз ефикасније лечење. Лекарима ће бити доступне све здравствене информације о пацијенту, а увезивањем лабораторија </w:t>
      </w:r>
      <w:r w:rsidR="005B3BCB" w:rsidRPr="00092ED7">
        <w:rPr>
          <w:rFonts w:eastAsia="Times New Roman" w:cs="Times New Roman"/>
          <w:szCs w:val="24"/>
          <w:lang w:val="sr-Cyrl-CS"/>
        </w:rPr>
        <w:t xml:space="preserve">(приватног и државног сектора) </w:t>
      </w:r>
      <w:r w:rsidRPr="00092ED7">
        <w:rPr>
          <w:rFonts w:eastAsia="Times New Roman" w:cs="Times New Roman"/>
          <w:szCs w:val="24"/>
          <w:lang w:val="sr-Cyrl-CS"/>
        </w:rPr>
        <w:t xml:space="preserve">омогућиће да се </w:t>
      </w:r>
      <w:r w:rsidR="005B3BCB" w:rsidRPr="00092ED7">
        <w:rPr>
          <w:rFonts w:eastAsia="Times New Roman" w:cs="Times New Roman"/>
          <w:szCs w:val="24"/>
          <w:lang w:val="sr-Cyrl-CS"/>
        </w:rPr>
        <w:t xml:space="preserve">анализе </w:t>
      </w:r>
      <w:r w:rsidRPr="00092ED7">
        <w:rPr>
          <w:rFonts w:eastAsia="Times New Roman" w:cs="Times New Roman"/>
          <w:szCs w:val="24"/>
          <w:lang w:val="sr-Cyrl-CS"/>
        </w:rPr>
        <w:t xml:space="preserve">не дуплирају и тиме </w:t>
      </w:r>
      <w:r w:rsidR="005B3BCB" w:rsidRPr="00092ED7">
        <w:rPr>
          <w:rFonts w:eastAsia="Times New Roman" w:cs="Times New Roman"/>
          <w:szCs w:val="24"/>
          <w:lang w:val="sr-Cyrl-CS"/>
        </w:rPr>
        <w:t xml:space="preserve">ће се </w:t>
      </w:r>
      <w:r w:rsidRPr="00092ED7">
        <w:rPr>
          <w:rFonts w:eastAsia="Times New Roman" w:cs="Times New Roman"/>
          <w:szCs w:val="24"/>
          <w:lang w:val="sr-Cyrl-CS"/>
        </w:rPr>
        <w:t>смањити трошкови</w:t>
      </w:r>
      <w:r w:rsidR="002D05EE" w:rsidRPr="00092ED7">
        <w:rPr>
          <w:rFonts w:eastAsia="Times New Roman" w:cs="Times New Roman"/>
          <w:szCs w:val="24"/>
          <w:lang w:val="sr-Cyrl-CS"/>
        </w:rPr>
        <w:t xml:space="preserve"> а</w:t>
      </w:r>
      <w:r w:rsidR="006B7E63" w:rsidRPr="00092ED7">
        <w:rPr>
          <w:rFonts w:eastAsia="Times New Roman" w:cs="Times New Roman"/>
          <w:szCs w:val="24"/>
          <w:lang w:val="sr-Cyrl-CS"/>
        </w:rPr>
        <w:t xml:space="preserve"> </w:t>
      </w:r>
      <w:r w:rsidR="002D05EE" w:rsidRPr="00092ED7">
        <w:rPr>
          <w:rFonts w:eastAsia="Times New Roman" w:cs="Times New Roman"/>
          <w:szCs w:val="24"/>
          <w:lang w:val="sr-Cyrl-CS"/>
        </w:rPr>
        <w:t xml:space="preserve">то </w:t>
      </w:r>
      <w:r w:rsidRPr="00092ED7">
        <w:rPr>
          <w:rFonts w:eastAsia="Times New Roman" w:cs="Times New Roman"/>
          <w:szCs w:val="24"/>
          <w:lang w:val="sr-Cyrl-CS"/>
        </w:rPr>
        <w:t>све утиче на ефикасност</w:t>
      </w:r>
      <w:r w:rsidR="002D05EE" w:rsidRPr="00092ED7">
        <w:rPr>
          <w:rFonts w:eastAsia="Times New Roman" w:cs="Times New Roman"/>
          <w:szCs w:val="24"/>
          <w:lang w:val="sr-Cyrl-CS"/>
        </w:rPr>
        <w:t>,</w:t>
      </w:r>
      <w:r w:rsidRPr="00092ED7">
        <w:rPr>
          <w:rFonts w:eastAsia="Times New Roman" w:cs="Times New Roman"/>
          <w:szCs w:val="24"/>
          <w:lang w:val="sr-Cyrl-CS"/>
        </w:rPr>
        <w:t xml:space="preserve"> бољу услугу</w:t>
      </w:r>
      <w:r w:rsidR="006B7E63" w:rsidRPr="00092ED7">
        <w:rPr>
          <w:rFonts w:eastAsia="Times New Roman" w:cs="Times New Roman"/>
          <w:szCs w:val="24"/>
          <w:lang w:val="sr-Cyrl-CS"/>
        </w:rPr>
        <w:t>, унапређено здравствено стање</w:t>
      </w:r>
      <w:r w:rsidRPr="00092ED7">
        <w:rPr>
          <w:rFonts w:eastAsia="Times New Roman" w:cs="Times New Roman"/>
          <w:szCs w:val="24"/>
          <w:lang w:val="sr-Cyrl-CS"/>
        </w:rPr>
        <w:t xml:space="preserve"> </w:t>
      </w:r>
      <w:r w:rsidR="002D05EE" w:rsidRPr="00092ED7">
        <w:rPr>
          <w:rFonts w:eastAsia="Times New Roman" w:cs="Times New Roman"/>
          <w:szCs w:val="24"/>
          <w:lang w:val="sr-Cyrl-CS"/>
        </w:rPr>
        <w:t xml:space="preserve">и на </w:t>
      </w:r>
      <w:r w:rsidRPr="00092ED7">
        <w:rPr>
          <w:rFonts w:eastAsia="Times New Roman" w:cs="Times New Roman"/>
          <w:szCs w:val="24"/>
          <w:lang w:val="sr-Cyrl-CS"/>
        </w:rPr>
        <w:t>за</w:t>
      </w:r>
      <w:r w:rsidR="002D05EE" w:rsidRPr="00092ED7">
        <w:rPr>
          <w:rFonts w:eastAsia="Times New Roman" w:cs="Times New Roman"/>
          <w:szCs w:val="24"/>
          <w:lang w:val="sr-Cyrl-CS"/>
        </w:rPr>
        <w:t>довољство</w:t>
      </w:r>
      <w:r w:rsidRPr="00092ED7">
        <w:rPr>
          <w:rFonts w:eastAsia="Times New Roman" w:cs="Times New Roman"/>
          <w:szCs w:val="24"/>
          <w:lang w:val="sr-Cyrl-CS"/>
        </w:rPr>
        <w:t xml:space="preserve"> грађан</w:t>
      </w:r>
      <w:r w:rsidR="002D05EE" w:rsidRPr="00092ED7">
        <w:rPr>
          <w:rFonts w:eastAsia="Times New Roman" w:cs="Times New Roman"/>
          <w:szCs w:val="24"/>
          <w:lang w:val="sr-Cyrl-CS"/>
        </w:rPr>
        <w:t>а</w:t>
      </w:r>
      <w:r w:rsidRPr="00092ED7">
        <w:rPr>
          <w:rFonts w:eastAsia="Times New Roman" w:cs="Times New Roman"/>
          <w:szCs w:val="24"/>
          <w:lang w:val="sr-Cyrl-CS"/>
        </w:rPr>
        <w:t>.</w:t>
      </w:r>
      <w:r w:rsidR="006B7E63" w:rsidRPr="00092ED7">
        <w:rPr>
          <w:rFonts w:eastAsia="Times New Roman" w:cs="Times New Roman"/>
          <w:szCs w:val="24"/>
          <w:lang w:val="sr-Cyrl-CS"/>
        </w:rPr>
        <w:t xml:space="preserve"> Реформа је родно неутрална.</w:t>
      </w:r>
    </w:p>
    <w:p w14:paraId="56024230" w14:textId="77777777" w:rsidR="00D210F0" w:rsidRPr="00092ED7" w:rsidRDefault="00D210F0" w:rsidP="00071952">
      <w:pPr>
        <w:widowControl w:val="0"/>
        <w:numPr>
          <w:ilvl w:val="0"/>
          <w:numId w:val="39"/>
        </w:numPr>
        <w:spacing w:before="120"/>
        <w:rPr>
          <w:rFonts w:cs="Times New Roman"/>
          <w:b/>
          <w:szCs w:val="24"/>
          <w:lang w:val="sr-Cyrl-CS"/>
        </w:rPr>
      </w:pPr>
      <w:r w:rsidRPr="00092ED7">
        <w:rPr>
          <w:rFonts w:cs="Times New Roman"/>
          <w:b/>
          <w:bCs/>
          <w:szCs w:val="24"/>
          <w:lang w:val="sr-Cyrl-CS"/>
        </w:rPr>
        <w:t>Очекивани</w:t>
      </w:r>
      <w:r w:rsidRPr="00092ED7">
        <w:rPr>
          <w:rFonts w:cs="Times New Roman"/>
          <w:b/>
          <w:szCs w:val="24"/>
          <w:lang w:val="sr-Cyrl-CS"/>
        </w:rPr>
        <w:t xml:space="preserve"> утицај на животну средину и климатске промене</w:t>
      </w:r>
    </w:p>
    <w:p w14:paraId="2FB20FD8" w14:textId="77777777" w:rsidR="00A85A7F" w:rsidRPr="00092ED7" w:rsidRDefault="002D05EE" w:rsidP="000E6CF5">
      <w:pPr>
        <w:spacing w:after="60"/>
        <w:rPr>
          <w:rFonts w:cs="Times New Roman"/>
          <w:szCs w:val="24"/>
          <w:lang w:val="sr-Cyrl-CS"/>
        </w:rPr>
      </w:pPr>
      <w:r w:rsidRPr="00092ED7">
        <w:rPr>
          <w:rFonts w:cs="Times New Roman"/>
          <w:szCs w:val="24"/>
          <w:lang w:val="sr-Cyrl-CS"/>
        </w:rPr>
        <w:t>Структурна реформа има веома јак и позитиван утицај на животну средину, услед преласка са папирног на електронско пословање. Знатно мање ће постојати потреба за штампањем и за коришћењем папира а то све веома утиче на заштиту животне средине. Дигитализацијом чувамо наш животни простор и животну средину.</w:t>
      </w:r>
      <w:r w:rsidR="002E5F64" w:rsidRPr="00092ED7">
        <w:rPr>
          <w:rFonts w:cs="Times New Roman"/>
          <w:szCs w:val="24"/>
          <w:lang w:val="sr-Cyrl-CS"/>
        </w:rPr>
        <w:t xml:space="preserve"> </w:t>
      </w:r>
    </w:p>
    <w:p w14:paraId="5D16943A" w14:textId="77777777" w:rsidR="00D210F0" w:rsidRPr="00092ED7" w:rsidRDefault="00D210F0" w:rsidP="00A85A7F">
      <w:pPr>
        <w:widowControl w:val="0"/>
        <w:numPr>
          <w:ilvl w:val="0"/>
          <w:numId w:val="39"/>
        </w:numPr>
        <w:spacing w:before="120"/>
        <w:rPr>
          <w:rFonts w:cs="Times New Roman"/>
          <w:b/>
          <w:bCs/>
          <w:szCs w:val="24"/>
          <w:lang w:val="sr-Cyrl-CS"/>
        </w:rPr>
      </w:pPr>
      <w:r w:rsidRPr="00092ED7">
        <w:rPr>
          <w:rFonts w:cs="Times New Roman"/>
          <w:b/>
          <w:bCs/>
          <w:szCs w:val="24"/>
          <w:lang w:val="sr-Cyrl-CS"/>
        </w:rPr>
        <w:t>Потенцијални ризици</w:t>
      </w:r>
    </w:p>
    <w:tbl>
      <w:tblPr>
        <w:tblStyle w:val="TableGrid1"/>
        <w:tblW w:w="9209" w:type="dxa"/>
        <w:jc w:val="center"/>
        <w:tblLayout w:type="fixed"/>
        <w:tblLook w:val="04A0" w:firstRow="1" w:lastRow="0" w:firstColumn="1" w:lastColumn="0" w:noHBand="0" w:noVBand="1"/>
      </w:tblPr>
      <w:tblGrid>
        <w:gridCol w:w="2390"/>
        <w:gridCol w:w="2835"/>
        <w:gridCol w:w="3984"/>
      </w:tblGrid>
      <w:tr w:rsidR="00D210F0" w:rsidRPr="00092ED7" w14:paraId="3E9FD58B" w14:textId="77777777" w:rsidTr="001632EC">
        <w:trPr>
          <w:jc w:val="center"/>
        </w:trPr>
        <w:tc>
          <w:tcPr>
            <w:tcW w:w="2390" w:type="dxa"/>
            <w:vAlign w:val="center"/>
          </w:tcPr>
          <w:p w14:paraId="46416F34" w14:textId="77777777" w:rsidR="00D210F0" w:rsidRPr="00092ED7" w:rsidRDefault="00D210F0" w:rsidP="0092798F">
            <w:pPr>
              <w:spacing w:after="0"/>
              <w:jc w:val="center"/>
              <w:rPr>
                <w:b/>
                <w:sz w:val="20"/>
                <w:szCs w:val="20"/>
              </w:rPr>
            </w:pPr>
            <w:r w:rsidRPr="00092ED7">
              <w:rPr>
                <w:b/>
                <w:sz w:val="20"/>
                <w:szCs w:val="20"/>
              </w:rPr>
              <w:t>Ризик</w:t>
            </w:r>
          </w:p>
        </w:tc>
        <w:tc>
          <w:tcPr>
            <w:tcW w:w="2835" w:type="dxa"/>
          </w:tcPr>
          <w:p w14:paraId="5753FA93" w14:textId="77777777" w:rsidR="00D210F0" w:rsidRPr="00092ED7" w:rsidRDefault="00D210F0" w:rsidP="0092798F">
            <w:pPr>
              <w:spacing w:after="0"/>
              <w:jc w:val="center"/>
              <w:rPr>
                <w:b/>
                <w:sz w:val="20"/>
                <w:szCs w:val="20"/>
              </w:rPr>
            </w:pPr>
            <w:r w:rsidRPr="00092ED7">
              <w:rPr>
                <w:b/>
                <w:sz w:val="20"/>
                <w:szCs w:val="20"/>
              </w:rPr>
              <w:t>Вероватноћа за остваривање ризика</w:t>
            </w:r>
          </w:p>
        </w:tc>
        <w:tc>
          <w:tcPr>
            <w:tcW w:w="3984" w:type="dxa"/>
          </w:tcPr>
          <w:p w14:paraId="4BC0CDB1" w14:textId="77777777" w:rsidR="00D210F0" w:rsidRPr="00092ED7" w:rsidRDefault="00D210F0" w:rsidP="0092798F">
            <w:pPr>
              <w:spacing w:after="0"/>
              <w:jc w:val="center"/>
              <w:rPr>
                <w:b/>
                <w:sz w:val="20"/>
                <w:szCs w:val="20"/>
              </w:rPr>
            </w:pPr>
            <w:r w:rsidRPr="00092ED7">
              <w:rPr>
                <w:b/>
                <w:sz w:val="20"/>
                <w:szCs w:val="20"/>
              </w:rPr>
              <w:t>Планиране активност за ублажавање негативних ефеката ризика</w:t>
            </w:r>
          </w:p>
        </w:tc>
      </w:tr>
      <w:tr w:rsidR="00D210F0" w:rsidRPr="00092ED7" w14:paraId="6989AF60" w14:textId="77777777" w:rsidTr="001632EC">
        <w:trPr>
          <w:jc w:val="center"/>
        </w:trPr>
        <w:tc>
          <w:tcPr>
            <w:tcW w:w="2390" w:type="dxa"/>
            <w:vAlign w:val="center"/>
          </w:tcPr>
          <w:p w14:paraId="14D011F6" w14:textId="77777777" w:rsidR="00D210F0" w:rsidRPr="00092ED7" w:rsidRDefault="00D210F0" w:rsidP="00D47BD8">
            <w:pPr>
              <w:spacing w:after="0"/>
              <w:rPr>
                <w:sz w:val="20"/>
                <w:szCs w:val="20"/>
              </w:rPr>
            </w:pPr>
            <w:r w:rsidRPr="00092ED7">
              <w:rPr>
                <w:sz w:val="20"/>
                <w:szCs w:val="20"/>
              </w:rPr>
              <w:lastRenderedPageBreak/>
              <w:t xml:space="preserve">Потенцијална неусаглашеност многобројних актера у процесу реализације комплексних пројеката </w:t>
            </w:r>
          </w:p>
        </w:tc>
        <w:tc>
          <w:tcPr>
            <w:tcW w:w="2835" w:type="dxa"/>
          </w:tcPr>
          <w:p w14:paraId="0D4DC364" w14:textId="77777777" w:rsidR="00D210F0" w:rsidRPr="00092ED7" w:rsidRDefault="00D210F0" w:rsidP="000E6CF5">
            <w:pPr>
              <w:spacing w:after="0"/>
              <w:jc w:val="center"/>
              <w:rPr>
                <w:sz w:val="20"/>
                <w:szCs w:val="20"/>
              </w:rPr>
            </w:pPr>
            <w:r w:rsidRPr="00092ED7">
              <w:rPr>
                <w:sz w:val="20"/>
                <w:szCs w:val="20"/>
              </w:rPr>
              <w:t>Ниска</w:t>
            </w:r>
          </w:p>
        </w:tc>
        <w:tc>
          <w:tcPr>
            <w:tcW w:w="3984" w:type="dxa"/>
          </w:tcPr>
          <w:p w14:paraId="7B4D8F91" w14:textId="77777777" w:rsidR="00D210F0" w:rsidRPr="00092ED7" w:rsidRDefault="00D210F0" w:rsidP="00EC2033">
            <w:pPr>
              <w:spacing w:after="0"/>
              <w:rPr>
                <w:sz w:val="20"/>
                <w:szCs w:val="20"/>
              </w:rPr>
            </w:pPr>
            <w:r w:rsidRPr="00092ED7">
              <w:rPr>
                <w:sz w:val="20"/>
                <w:szCs w:val="20"/>
              </w:rPr>
              <w:t>Креирање ефикасних механизама стратешке и тактичке координације у реализацији пројеката</w:t>
            </w:r>
            <w:r w:rsidR="00D47BD8" w:rsidRPr="00092ED7">
              <w:rPr>
                <w:sz w:val="20"/>
                <w:szCs w:val="20"/>
              </w:rPr>
              <w:t>.</w:t>
            </w:r>
            <w:r w:rsidRPr="00092ED7">
              <w:rPr>
                <w:sz w:val="20"/>
                <w:szCs w:val="20"/>
              </w:rPr>
              <w:t xml:space="preserve"> </w:t>
            </w:r>
          </w:p>
        </w:tc>
      </w:tr>
      <w:tr w:rsidR="00D210F0" w:rsidRPr="00092ED7" w14:paraId="7B2DEDF8" w14:textId="77777777" w:rsidTr="001632EC">
        <w:trPr>
          <w:jc w:val="center"/>
        </w:trPr>
        <w:tc>
          <w:tcPr>
            <w:tcW w:w="2390" w:type="dxa"/>
          </w:tcPr>
          <w:p w14:paraId="6219DFE6" w14:textId="321F1046" w:rsidR="00D210F0" w:rsidRPr="00092ED7" w:rsidRDefault="00D210F0" w:rsidP="00EC2033">
            <w:pPr>
              <w:spacing w:after="0"/>
              <w:rPr>
                <w:sz w:val="20"/>
                <w:szCs w:val="20"/>
              </w:rPr>
            </w:pPr>
            <w:r w:rsidRPr="00092ED7">
              <w:rPr>
                <w:sz w:val="20"/>
                <w:szCs w:val="20"/>
              </w:rPr>
              <w:t xml:space="preserve">Непредвидив ток пандемије </w:t>
            </w:r>
            <w:r w:rsidR="00B94430" w:rsidRPr="00092ED7">
              <w:rPr>
                <w:sz w:val="20"/>
                <w:szCs w:val="20"/>
              </w:rPr>
              <w:t>к</w:t>
            </w:r>
            <w:r w:rsidRPr="00092ED7">
              <w:rPr>
                <w:sz w:val="20"/>
                <w:szCs w:val="20"/>
              </w:rPr>
              <w:t>орона вируса</w:t>
            </w:r>
          </w:p>
        </w:tc>
        <w:tc>
          <w:tcPr>
            <w:tcW w:w="2835" w:type="dxa"/>
          </w:tcPr>
          <w:p w14:paraId="15AF5539" w14:textId="77777777" w:rsidR="00D210F0" w:rsidRPr="00092ED7" w:rsidRDefault="00D210F0" w:rsidP="000E6CF5">
            <w:pPr>
              <w:spacing w:after="0"/>
              <w:jc w:val="center"/>
              <w:rPr>
                <w:sz w:val="20"/>
                <w:szCs w:val="20"/>
              </w:rPr>
            </w:pPr>
            <w:r w:rsidRPr="00092ED7">
              <w:rPr>
                <w:sz w:val="20"/>
                <w:szCs w:val="20"/>
              </w:rPr>
              <w:t>Ниска</w:t>
            </w:r>
          </w:p>
        </w:tc>
        <w:tc>
          <w:tcPr>
            <w:tcW w:w="3984" w:type="dxa"/>
            <w:vAlign w:val="center"/>
          </w:tcPr>
          <w:p w14:paraId="026516F2" w14:textId="77777777" w:rsidR="00D210F0" w:rsidRPr="00092ED7" w:rsidRDefault="00D210F0" w:rsidP="00D47BD8">
            <w:pPr>
              <w:spacing w:after="0"/>
              <w:rPr>
                <w:sz w:val="20"/>
                <w:szCs w:val="20"/>
              </w:rPr>
            </w:pPr>
            <w:r w:rsidRPr="00092ED7">
              <w:rPr>
                <w:sz w:val="20"/>
                <w:szCs w:val="20"/>
              </w:rPr>
              <w:t>Правовремено преусмеравање ресурса у реализацију појединачних активности</w:t>
            </w:r>
            <w:r w:rsidR="00D47BD8" w:rsidRPr="00092ED7">
              <w:rPr>
                <w:sz w:val="20"/>
                <w:szCs w:val="20"/>
              </w:rPr>
              <w:t>.</w:t>
            </w:r>
          </w:p>
        </w:tc>
      </w:tr>
    </w:tbl>
    <w:p w14:paraId="2C0F3BCF" w14:textId="77777777" w:rsidR="00977F4F" w:rsidRPr="00092ED7" w:rsidRDefault="00977F4F" w:rsidP="00D030D6">
      <w:pPr>
        <w:keepNext/>
        <w:keepLines/>
        <w:spacing w:before="240" w:after="240"/>
        <w:outlineLvl w:val="0"/>
        <w:rPr>
          <w:rFonts w:eastAsia="Times New Roman"/>
          <w:b/>
          <w:w w:val="110"/>
          <w:sz w:val="26"/>
          <w:szCs w:val="26"/>
          <w:lang w:val="sr-Cyrl-CS"/>
        </w:rPr>
      </w:pPr>
      <w:bookmarkStart w:id="63" w:name="_Toc124174821"/>
      <w:bookmarkStart w:id="64" w:name="_Toc62554646"/>
      <w:r w:rsidRPr="00092ED7">
        <w:rPr>
          <w:rFonts w:eastAsia="Times New Roman" w:cs="Times New Roman"/>
          <w:b/>
          <w:bCs/>
          <w:szCs w:val="24"/>
          <w:lang w:val="sr-Cyrl-CS"/>
        </w:rPr>
        <w:t xml:space="preserve">5.3. </w:t>
      </w:r>
      <w:r w:rsidR="00EF67D6" w:rsidRPr="00092ED7">
        <w:rPr>
          <w:rFonts w:eastAsia="Times New Roman" w:cs="Times New Roman"/>
          <w:b/>
          <w:bCs/>
          <w:szCs w:val="24"/>
          <w:lang w:val="sr-Cyrl-CS"/>
        </w:rPr>
        <w:t>РЕЗИМЕ СТРУКТУРНИХ РЕФОРМИ</w:t>
      </w:r>
      <w:bookmarkEnd w:id="63"/>
    </w:p>
    <w:tbl>
      <w:tblPr>
        <w:tblStyle w:val="TableGrid"/>
        <w:tblW w:w="9361" w:type="dxa"/>
        <w:tblInd w:w="-147" w:type="dxa"/>
        <w:tblLook w:val="04A0" w:firstRow="1" w:lastRow="0" w:firstColumn="1" w:lastColumn="0" w:noHBand="0" w:noVBand="1"/>
      </w:tblPr>
      <w:tblGrid>
        <w:gridCol w:w="579"/>
        <w:gridCol w:w="3981"/>
        <w:gridCol w:w="4801"/>
      </w:tblGrid>
      <w:tr w:rsidR="00F42759" w:rsidRPr="00092ED7" w14:paraId="54249AC7" w14:textId="77777777" w:rsidTr="001632EC">
        <w:trPr>
          <w:cnfStyle w:val="100000000000" w:firstRow="1" w:lastRow="0" w:firstColumn="0" w:lastColumn="0" w:oddVBand="0" w:evenVBand="0" w:oddHBand="0" w:evenHBand="0" w:firstRowFirstColumn="0" w:firstRowLastColumn="0" w:lastRowFirstColumn="0" w:lastRowLastColumn="0"/>
          <w:trHeight w:val="397"/>
        </w:trPr>
        <w:tc>
          <w:tcPr>
            <w:tcW w:w="9361" w:type="dxa"/>
            <w:gridSpan w:val="3"/>
            <w:shd w:val="clear" w:color="auto" w:fill="DEEAF6" w:themeFill="accent1" w:themeFillTint="33"/>
          </w:tcPr>
          <w:p w14:paraId="5F763037" w14:textId="77777777" w:rsidR="00F42759" w:rsidRPr="00092ED7" w:rsidRDefault="00F42759" w:rsidP="001632EC">
            <w:pPr>
              <w:spacing w:before="0" w:after="0"/>
              <w:ind w:left="113" w:right="113"/>
              <w:rPr>
                <w:rFonts w:cs="Times New Roman"/>
                <w:b w:val="0"/>
                <w:sz w:val="22"/>
                <w:szCs w:val="22"/>
                <w:lang w:val="sr-Cyrl-CS"/>
              </w:rPr>
            </w:pPr>
            <w:r w:rsidRPr="00092ED7">
              <w:rPr>
                <w:rFonts w:cs="Times New Roman"/>
                <w:sz w:val="22"/>
                <w:szCs w:val="22"/>
                <w:lang w:val="sr-Cyrl-CS"/>
              </w:rPr>
              <w:t>ТРИ КЉУЧНА ИЗАЗОВА ЗА КОНКУРЕНТНОСТ И ИНКЛУЗИВНИ РАСТ И ПОВЕЗАНЕ СТРУКТУРНЕ РЕФОРМЕ</w:t>
            </w:r>
          </w:p>
        </w:tc>
      </w:tr>
      <w:tr w:rsidR="00F42759" w:rsidRPr="00092ED7" w14:paraId="4A0DE118" w14:textId="77777777" w:rsidTr="001632EC">
        <w:trPr>
          <w:trHeight w:val="397"/>
        </w:trPr>
        <w:tc>
          <w:tcPr>
            <w:tcW w:w="9361" w:type="dxa"/>
            <w:gridSpan w:val="3"/>
            <w:shd w:val="clear" w:color="auto" w:fill="DEEAF6" w:themeFill="accent1" w:themeFillTint="33"/>
            <w:vAlign w:val="top"/>
          </w:tcPr>
          <w:p w14:paraId="1B52943E" w14:textId="77777777" w:rsidR="00F42759" w:rsidRPr="00092ED7" w:rsidRDefault="00F42759" w:rsidP="001632EC">
            <w:pPr>
              <w:spacing w:before="0" w:after="0"/>
              <w:ind w:left="113" w:right="113"/>
              <w:jc w:val="left"/>
              <w:rPr>
                <w:rFonts w:cs="Times New Roman"/>
                <w:b/>
                <w:sz w:val="22"/>
                <w:szCs w:val="22"/>
                <w:lang w:val="sr-Cyrl-CS"/>
              </w:rPr>
            </w:pPr>
            <w:r w:rsidRPr="00092ED7">
              <w:rPr>
                <w:rFonts w:cs="Times New Roman"/>
                <w:b/>
                <w:sz w:val="22"/>
                <w:szCs w:val="22"/>
                <w:lang w:val="sr-Cyrl-CS"/>
              </w:rPr>
              <w:t xml:space="preserve">Кључни изазов број 1: </w:t>
            </w:r>
            <w:r w:rsidRPr="00092ED7">
              <w:rPr>
                <w:rFonts w:cs="Times New Roman"/>
                <w:b/>
                <w:bCs/>
                <w:i/>
                <w:iCs/>
                <w:sz w:val="22"/>
                <w:szCs w:val="22"/>
                <w:lang w:val="sr-Cyrl-CS"/>
              </w:rPr>
              <w:t>Повећање запослености, посебно младих, жена и осетљивих група и социјална заштита од сиромаштва</w:t>
            </w:r>
          </w:p>
        </w:tc>
      </w:tr>
      <w:tr w:rsidR="001632EC" w:rsidRPr="00092ED7" w14:paraId="1D5AD2D5" w14:textId="77777777" w:rsidTr="001632EC">
        <w:tc>
          <w:tcPr>
            <w:tcW w:w="579" w:type="dxa"/>
            <w:shd w:val="clear" w:color="auto" w:fill="DEEAF6" w:themeFill="accent1" w:themeFillTint="33"/>
            <w:vAlign w:val="top"/>
          </w:tcPr>
          <w:p w14:paraId="11813601" w14:textId="77777777" w:rsidR="00F42759" w:rsidRPr="00092ED7" w:rsidRDefault="00F42759" w:rsidP="001632EC">
            <w:pPr>
              <w:spacing w:before="0" w:after="0"/>
              <w:ind w:left="113" w:right="113"/>
              <w:jc w:val="left"/>
              <w:rPr>
                <w:rFonts w:cs="Times New Roman"/>
                <w:b/>
                <w:sz w:val="22"/>
                <w:szCs w:val="22"/>
                <w:lang w:val="sr-Cyrl-CS"/>
              </w:rPr>
            </w:pPr>
            <w:r w:rsidRPr="00092ED7">
              <w:rPr>
                <w:rFonts w:cs="Times New Roman"/>
                <w:b/>
                <w:sz w:val="22"/>
                <w:szCs w:val="22"/>
                <w:lang w:val="sr-Cyrl-CS"/>
              </w:rPr>
              <w:t>СР</w:t>
            </w:r>
            <w:r w:rsidR="001632EC" w:rsidRPr="00092ED7">
              <w:rPr>
                <w:rFonts w:cs="Times New Roman"/>
                <w:b/>
                <w:sz w:val="22"/>
                <w:szCs w:val="22"/>
                <w:lang w:val="sr-Cyrl-CS"/>
              </w:rPr>
              <w:t xml:space="preserve"> </w:t>
            </w:r>
            <w:r w:rsidRPr="00092ED7">
              <w:rPr>
                <w:rFonts w:cs="Times New Roman"/>
                <w:b/>
                <w:sz w:val="22"/>
                <w:szCs w:val="22"/>
                <w:lang w:val="sr-Cyrl-CS"/>
              </w:rPr>
              <w:t>р.б.</w:t>
            </w:r>
          </w:p>
        </w:tc>
        <w:tc>
          <w:tcPr>
            <w:tcW w:w="3981" w:type="dxa"/>
            <w:shd w:val="clear" w:color="auto" w:fill="DEEAF6" w:themeFill="accent1" w:themeFillTint="33"/>
          </w:tcPr>
          <w:p w14:paraId="25018780" w14:textId="77777777" w:rsidR="00F42759" w:rsidRPr="00092ED7" w:rsidRDefault="00F42759" w:rsidP="001632EC">
            <w:pPr>
              <w:spacing w:before="0" w:after="0"/>
              <w:ind w:left="113" w:right="113"/>
              <w:jc w:val="left"/>
              <w:rPr>
                <w:rFonts w:cs="Times New Roman"/>
                <w:b/>
                <w:sz w:val="22"/>
                <w:szCs w:val="22"/>
                <w:lang w:val="sr-Cyrl-CS"/>
              </w:rPr>
            </w:pPr>
            <w:r w:rsidRPr="00092ED7">
              <w:rPr>
                <w:rFonts w:cs="Times New Roman"/>
                <w:b/>
                <w:sz w:val="22"/>
                <w:szCs w:val="22"/>
                <w:lang w:val="sr-Cyrl-CS"/>
              </w:rPr>
              <w:t>Назив структурне реформе</w:t>
            </w:r>
          </w:p>
        </w:tc>
        <w:tc>
          <w:tcPr>
            <w:tcW w:w="4801" w:type="dxa"/>
            <w:shd w:val="clear" w:color="auto" w:fill="DEEAF6" w:themeFill="accent1" w:themeFillTint="33"/>
          </w:tcPr>
          <w:p w14:paraId="46B809C0" w14:textId="77777777" w:rsidR="00F42759" w:rsidRPr="00092ED7" w:rsidRDefault="00F42759" w:rsidP="001632EC">
            <w:pPr>
              <w:spacing w:before="0" w:after="0"/>
              <w:ind w:left="113" w:right="113"/>
              <w:jc w:val="left"/>
              <w:rPr>
                <w:rFonts w:cs="Times New Roman"/>
                <w:sz w:val="22"/>
                <w:szCs w:val="22"/>
                <w:lang w:val="sr-Cyrl-CS"/>
              </w:rPr>
            </w:pPr>
            <w:r w:rsidRPr="00092ED7">
              <w:rPr>
                <w:rFonts w:cs="Times New Roman"/>
                <w:b/>
                <w:sz w:val="22"/>
                <w:szCs w:val="22"/>
                <w:lang w:val="sr-Cyrl-CS"/>
              </w:rPr>
              <w:t>Опис структурне реформе</w:t>
            </w:r>
          </w:p>
        </w:tc>
      </w:tr>
      <w:tr w:rsidR="001632EC" w:rsidRPr="00092ED7" w14:paraId="0CFA4C87" w14:textId="77777777" w:rsidTr="001632EC">
        <w:trPr>
          <w:trHeight w:val="3425"/>
        </w:trPr>
        <w:tc>
          <w:tcPr>
            <w:tcW w:w="579" w:type="dxa"/>
            <w:vAlign w:val="top"/>
          </w:tcPr>
          <w:p w14:paraId="4057052E" w14:textId="77777777" w:rsidR="00F42759" w:rsidRPr="00092ED7" w:rsidRDefault="00F42759" w:rsidP="001632EC">
            <w:pPr>
              <w:spacing w:before="0" w:after="0"/>
              <w:ind w:left="113" w:right="113"/>
              <w:jc w:val="left"/>
              <w:rPr>
                <w:rFonts w:cs="Times New Roman"/>
                <w:b/>
                <w:sz w:val="22"/>
                <w:szCs w:val="22"/>
                <w:lang w:val="sr-Cyrl-CS"/>
              </w:rPr>
            </w:pPr>
            <w:r w:rsidRPr="00092ED7">
              <w:rPr>
                <w:rFonts w:cs="Times New Roman"/>
                <w:b/>
                <w:sz w:val="22"/>
                <w:szCs w:val="22"/>
                <w:lang w:val="sr-Cyrl-CS"/>
              </w:rPr>
              <w:t>1.</w:t>
            </w:r>
          </w:p>
        </w:tc>
        <w:tc>
          <w:tcPr>
            <w:tcW w:w="3981" w:type="dxa"/>
            <w:vAlign w:val="top"/>
          </w:tcPr>
          <w:p w14:paraId="656E7A58" w14:textId="77777777" w:rsidR="00F42759" w:rsidRPr="00092ED7" w:rsidRDefault="00F42759" w:rsidP="001632EC">
            <w:pPr>
              <w:spacing w:before="0" w:after="0"/>
              <w:ind w:left="113" w:right="113"/>
              <w:jc w:val="left"/>
              <w:rPr>
                <w:rFonts w:cs="Times New Roman"/>
                <w:b/>
                <w:sz w:val="22"/>
                <w:szCs w:val="22"/>
                <w:lang w:val="sr-Cyrl-CS"/>
              </w:rPr>
            </w:pPr>
            <w:r w:rsidRPr="00092ED7">
              <w:rPr>
                <w:rFonts w:cs="Times New Roman"/>
                <w:b/>
                <w:sz w:val="22"/>
                <w:szCs w:val="22"/>
                <w:lang w:val="sr-Cyrl-CS"/>
              </w:rPr>
              <w:t>Успостављање оквира за увођење Гаранције за младе у Републици Србији</w:t>
            </w:r>
          </w:p>
        </w:tc>
        <w:tc>
          <w:tcPr>
            <w:tcW w:w="4801" w:type="dxa"/>
          </w:tcPr>
          <w:p w14:paraId="5A586A7E" w14:textId="77777777" w:rsidR="00F42759" w:rsidRPr="00092ED7" w:rsidRDefault="00F42759" w:rsidP="001632EC">
            <w:pPr>
              <w:spacing w:before="0" w:after="0"/>
              <w:ind w:left="113" w:right="113"/>
              <w:rPr>
                <w:rFonts w:cs="Times New Roman"/>
                <w:sz w:val="22"/>
                <w:szCs w:val="22"/>
                <w:lang w:val="sr-Cyrl-CS"/>
              </w:rPr>
            </w:pPr>
            <w:r w:rsidRPr="00092ED7">
              <w:rPr>
                <w:rFonts w:cs="Times New Roman"/>
                <w:sz w:val="22"/>
                <w:szCs w:val="22"/>
                <w:lang w:val="sr-Cyrl-CS"/>
              </w:rPr>
              <w:t>Реформа подразумева омогућавање младима квалитетне понуде за посао, наставак образовања, праксе или обуке у року од четири месеца од уласка у статус незапослености или напуштања/завршетка формалног образовања. На тај начин допринеће се олакшаној транзицији младих на тржиште рада и подстицаће се њихово запошљавање. Увођење Гаранције за младе подразумева низ реформи политика и иницијатива у областима образовања и обуке, запошљавања и тржишта рада, што захтева међусекторску сарадњу и координацију различитих сектора и социјалних партнера и организација цивилног друштва.</w:t>
            </w:r>
          </w:p>
        </w:tc>
      </w:tr>
      <w:tr w:rsidR="001632EC" w:rsidRPr="00092ED7" w14:paraId="4892314E" w14:textId="77777777" w:rsidTr="001632EC">
        <w:tc>
          <w:tcPr>
            <w:tcW w:w="579" w:type="dxa"/>
            <w:vAlign w:val="top"/>
          </w:tcPr>
          <w:p w14:paraId="795687F8" w14:textId="77777777" w:rsidR="00F42759" w:rsidRPr="00092ED7" w:rsidRDefault="00F42759" w:rsidP="001632EC">
            <w:pPr>
              <w:spacing w:before="0" w:after="0"/>
              <w:ind w:left="113" w:right="113"/>
              <w:jc w:val="left"/>
              <w:rPr>
                <w:rFonts w:cs="Times New Roman"/>
                <w:b/>
                <w:sz w:val="22"/>
                <w:szCs w:val="22"/>
                <w:lang w:val="sr-Cyrl-CS"/>
              </w:rPr>
            </w:pPr>
            <w:r w:rsidRPr="00092ED7">
              <w:rPr>
                <w:rFonts w:cs="Times New Roman"/>
                <w:b/>
                <w:sz w:val="22"/>
                <w:szCs w:val="22"/>
                <w:lang w:val="sr-Cyrl-CS"/>
              </w:rPr>
              <w:t>2.</w:t>
            </w:r>
          </w:p>
        </w:tc>
        <w:tc>
          <w:tcPr>
            <w:tcW w:w="3981" w:type="dxa"/>
            <w:vAlign w:val="top"/>
          </w:tcPr>
          <w:p w14:paraId="07AB2664" w14:textId="77777777" w:rsidR="00F42759" w:rsidRPr="00092ED7" w:rsidRDefault="00F42759" w:rsidP="001632EC">
            <w:pPr>
              <w:spacing w:before="0" w:after="0"/>
              <w:ind w:left="113" w:right="113"/>
              <w:jc w:val="left"/>
              <w:rPr>
                <w:rFonts w:cs="Times New Roman"/>
                <w:b/>
                <w:sz w:val="22"/>
                <w:szCs w:val="22"/>
                <w:lang w:val="sr-Cyrl-CS"/>
              </w:rPr>
            </w:pPr>
            <w:r w:rsidRPr="00092ED7">
              <w:rPr>
                <w:rFonts w:cs="Times New Roman"/>
                <w:b/>
                <w:sz w:val="22"/>
                <w:szCs w:val="22"/>
                <w:lang w:val="sr-Cyrl-CS"/>
              </w:rPr>
              <w:t>Реформа Фонда за младе таленте</w:t>
            </w:r>
          </w:p>
        </w:tc>
        <w:tc>
          <w:tcPr>
            <w:tcW w:w="4801" w:type="dxa"/>
          </w:tcPr>
          <w:p w14:paraId="4BEC7004" w14:textId="77777777" w:rsidR="00F42759" w:rsidRPr="00092ED7" w:rsidRDefault="00F42759" w:rsidP="001632EC">
            <w:pPr>
              <w:spacing w:before="0" w:after="0"/>
              <w:ind w:left="113" w:right="113"/>
              <w:rPr>
                <w:rFonts w:cs="Times New Roman"/>
                <w:sz w:val="22"/>
                <w:szCs w:val="22"/>
                <w:lang w:val="sr-Cyrl-CS"/>
              </w:rPr>
            </w:pPr>
            <w:r w:rsidRPr="00092ED7">
              <w:rPr>
                <w:rFonts w:cs="Times New Roman"/>
                <w:sz w:val="22"/>
                <w:szCs w:val="22"/>
                <w:lang w:val="sr-Cyrl-CS"/>
              </w:rPr>
              <w:t>Реформа подразумева успостављање ефикаснијег модела стипендирања и система за праћење и запошљавање стипендираних талената, пре свега у јавној управи, а потом и у привреди, у сарадњи са партнерима. Посебна пажња посветиће се изградњи алумни мреже и мреже партнера, како би се обезбедили додатни извори финансирања за програме Фонда за младе таленте.</w:t>
            </w:r>
          </w:p>
        </w:tc>
      </w:tr>
      <w:tr w:rsidR="001632EC" w:rsidRPr="00092ED7" w14:paraId="493E9518" w14:textId="77777777" w:rsidTr="001632EC">
        <w:tc>
          <w:tcPr>
            <w:tcW w:w="579" w:type="dxa"/>
            <w:vAlign w:val="top"/>
          </w:tcPr>
          <w:p w14:paraId="2B7A4DBC" w14:textId="77777777" w:rsidR="00F42759" w:rsidRPr="00092ED7" w:rsidRDefault="00F42759" w:rsidP="001632EC">
            <w:pPr>
              <w:spacing w:before="0" w:after="0"/>
              <w:ind w:left="113" w:right="113"/>
              <w:jc w:val="left"/>
              <w:rPr>
                <w:rFonts w:cs="Times New Roman"/>
                <w:b/>
                <w:sz w:val="22"/>
                <w:szCs w:val="22"/>
                <w:lang w:val="sr-Cyrl-CS"/>
              </w:rPr>
            </w:pPr>
            <w:r w:rsidRPr="00092ED7">
              <w:rPr>
                <w:rFonts w:cs="Times New Roman"/>
                <w:b/>
                <w:sz w:val="22"/>
                <w:szCs w:val="22"/>
                <w:lang w:val="sr-Cyrl-CS"/>
              </w:rPr>
              <w:t>3.</w:t>
            </w:r>
          </w:p>
        </w:tc>
        <w:tc>
          <w:tcPr>
            <w:tcW w:w="3981" w:type="dxa"/>
            <w:vAlign w:val="top"/>
          </w:tcPr>
          <w:p w14:paraId="0E04FB51" w14:textId="77777777" w:rsidR="00F42759" w:rsidRPr="00092ED7" w:rsidRDefault="00F42759" w:rsidP="001632EC">
            <w:pPr>
              <w:spacing w:before="0" w:after="0"/>
              <w:ind w:left="113" w:right="113"/>
              <w:jc w:val="left"/>
              <w:rPr>
                <w:rFonts w:cs="Times New Roman"/>
                <w:b/>
                <w:sz w:val="22"/>
                <w:szCs w:val="22"/>
                <w:lang w:val="sr-Cyrl-CS"/>
              </w:rPr>
            </w:pPr>
            <w:r w:rsidRPr="00092ED7">
              <w:rPr>
                <w:rFonts w:cs="Times New Roman"/>
                <w:b/>
                <w:sz w:val="22"/>
                <w:szCs w:val="22"/>
                <w:lang w:val="sr-Cyrl-CS"/>
              </w:rPr>
              <w:t>Квалификације оријентисане према потребама тржишта рада</w:t>
            </w:r>
          </w:p>
        </w:tc>
        <w:tc>
          <w:tcPr>
            <w:tcW w:w="4801" w:type="dxa"/>
          </w:tcPr>
          <w:p w14:paraId="702A19FB" w14:textId="77777777" w:rsidR="00F42759" w:rsidRPr="00092ED7" w:rsidRDefault="00F42759" w:rsidP="001632EC">
            <w:pPr>
              <w:spacing w:before="0" w:after="0"/>
              <w:ind w:left="113" w:right="113"/>
              <w:rPr>
                <w:rFonts w:cs="Times New Roman"/>
                <w:sz w:val="22"/>
                <w:szCs w:val="22"/>
                <w:lang w:val="sr-Cyrl-CS"/>
              </w:rPr>
            </w:pPr>
            <w:r w:rsidRPr="00092ED7">
              <w:rPr>
                <w:rFonts w:cs="Times New Roman"/>
                <w:sz w:val="22"/>
                <w:szCs w:val="22"/>
                <w:lang w:val="sr-Cyrl-CS"/>
              </w:rPr>
              <w:t>Реформа подразумева имплементацију дуалног образовања којим се обезбеђује ефикаснији одговор система образовања на потребе привреде и тржишта рада, технолошке промене и потребе за новим компетенцијама. Усмерена је на активности креирања дигиталне дуалне промотивне платформе за кључне учеснике у систему дуалног образовања, даље оснивање регионалних тренинг центара, као и активности унапређивања квалитета услуга каријерног вођења и саветовања (КВиС) у дуалном образовању.</w:t>
            </w:r>
          </w:p>
          <w:p w14:paraId="1A339DEF" w14:textId="77777777" w:rsidR="00F42759" w:rsidRPr="00092ED7" w:rsidRDefault="00F42759" w:rsidP="001632EC">
            <w:pPr>
              <w:spacing w:before="0" w:after="0"/>
              <w:ind w:left="113" w:right="113"/>
              <w:rPr>
                <w:rFonts w:cs="Times New Roman"/>
                <w:strike/>
                <w:sz w:val="22"/>
                <w:szCs w:val="22"/>
                <w:lang w:val="sr-Cyrl-CS"/>
              </w:rPr>
            </w:pPr>
            <w:r w:rsidRPr="00092ED7">
              <w:rPr>
                <w:rFonts w:cs="Times New Roman"/>
                <w:sz w:val="22"/>
                <w:szCs w:val="22"/>
                <w:lang w:val="sr-Cyrl-CS"/>
              </w:rPr>
              <w:t xml:space="preserve">Такође, реформа подразумева и даљи развој НОКС, кроз диверсификацију и унапређивање релевантности образовне понуде у систему високог образовања и целоживотног учења, као </w:t>
            </w:r>
            <w:r w:rsidRPr="00092ED7">
              <w:rPr>
                <w:rFonts w:cs="Times New Roman"/>
                <w:sz w:val="22"/>
                <w:szCs w:val="22"/>
                <w:lang w:val="sr-Cyrl-CS"/>
              </w:rPr>
              <w:lastRenderedPageBreak/>
              <w:t>и обезбеђивање транспарентности система, упоредивости и препознатљивости квалификација стечених у Републици Србији са квалификацијама стеченим у другим државама.</w:t>
            </w:r>
          </w:p>
        </w:tc>
      </w:tr>
      <w:tr w:rsidR="001632EC" w:rsidRPr="00092ED7" w14:paraId="50B72F66" w14:textId="77777777" w:rsidTr="001632EC">
        <w:tc>
          <w:tcPr>
            <w:tcW w:w="579" w:type="dxa"/>
            <w:vAlign w:val="top"/>
          </w:tcPr>
          <w:p w14:paraId="00EA8733" w14:textId="77777777" w:rsidR="00F42759" w:rsidRPr="00092ED7" w:rsidRDefault="00F42759" w:rsidP="001632EC">
            <w:pPr>
              <w:spacing w:before="0" w:after="0"/>
              <w:ind w:left="113" w:right="113"/>
              <w:jc w:val="left"/>
              <w:rPr>
                <w:rFonts w:cs="Times New Roman"/>
                <w:b/>
                <w:sz w:val="22"/>
                <w:szCs w:val="22"/>
                <w:lang w:val="sr-Cyrl-CS"/>
              </w:rPr>
            </w:pPr>
            <w:r w:rsidRPr="00092ED7">
              <w:rPr>
                <w:rFonts w:cs="Times New Roman"/>
                <w:b/>
                <w:sz w:val="22"/>
                <w:szCs w:val="22"/>
                <w:lang w:val="sr-Cyrl-CS"/>
              </w:rPr>
              <w:lastRenderedPageBreak/>
              <w:t>4.</w:t>
            </w:r>
          </w:p>
        </w:tc>
        <w:tc>
          <w:tcPr>
            <w:tcW w:w="3981" w:type="dxa"/>
            <w:vAlign w:val="top"/>
          </w:tcPr>
          <w:p w14:paraId="40515BF6" w14:textId="77777777" w:rsidR="00F42759" w:rsidRPr="00092ED7" w:rsidRDefault="00F42759" w:rsidP="001632EC">
            <w:pPr>
              <w:spacing w:before="0" w:after="0"/>
              <w:ind w:left="113" w:right="113"/>
              <w:jc w:val="left"/>
              <w:rPr>
                <w:rFonts w:cs="Times New Roman"/>
                <w:b/>
                <w:sz w:val="22"/>
                <w:szCs w:val="22"/>
                <w:lang w:val="sr-Cyrl-CS"/>
              </w:rPr>
            </w:pPr>
            <w:r w:rsidRPr="00092ED7">
              <w:rPr>
                <w:rFonts w:cs="Times New Roman"/>
                <w:b/>
                <w:sz w:val="22"/>
                <w:szCs w:val="22"/>
                <w:lang w:val="sr-Cyrl-CS"/>
              </w:rPr>
              <w:t>Унапређење амбијента за подстицање, подршку и праћење циркуларних и економских миграција</w:t>
            </w:r>
          </w:p>
        </w:tc>
        <w:tc>
          <w:tcPr>
            <w:tcW w:w="4801" w:type="dxa"/>
          </w:tcPr>
          <w:p w14:paraId="0C41BB32" w14:textId="364ED2F9" w:rsidR="00F42759" w:rsidRPr="00092ED7" w:rsidRDefault="00F42759" w:rsidP="001632EC">
            <w:pPr>
              <w:spacing w:before="0" w:after="0"/>
              <w:ind w:left="113" w:right="113"/>
              <w:rPr>
                <w:rFonts w:cs="Times New Roman"/>
                <w:sz w:val="22"/>
                <w:szCs w:val="22"/>
                <w:lang w:val="sr-Cyrl-CS"/>
              </w:rPr>
            </w:pPr>
            <w:r w:rsidRPr="00092ED7">
              <w:rPr>
                <w:rFonts w:cs="Times New Roman"/>
                <w:sz w:val="22"/>
                <w:szCs w:val="22"/>
                <w:lang w:val="sr-Cyrl-CS"/>
              </w:rPr>
              <w:t xml:space="preserve">Реформа подразумева унапређење амбијента за привлачење радно способног становништва, подстицање циркуларних миграција и односа са дијаспором, јачање механизама за праћење миграторних токова и привлачење странаца да живе и раде у </w:t>
            </w:r>
            <w:r w:rsidR="0079401D" w:rsidRPr="00092ED7">
              <w:rPr>
                <w:rFonts w:cs="Times New Roman"/>
                <w:sz w:val="22"/>
                <w:szCs w:val="22"/>
                <w:lang w:val="sr-Cyrl-CS"/>
              </w:rPr>
              <w:t xml:space="preserve">Републици </w:t>
            </w:r>
            <w:r w:rsidRPr="00092ED7">
              <w:rPr>
                <w:rFonts w:cs="Times New Roman"/>
                <w:sz w:val="22"/>
                <w:szCs w:val="22"/>
                <w:lang w:val="sr-Cyrl-CS"/>
              </w:rPr>
              <w:t>Србији.</w:t>
            </w:r>
          </w:p>
        </w:tc>
      </w:tr>
      <w:tr w:rsidR="00F42759" w:rsidRPr="00092ED7" w14:paraId="5341BE19" w14:textId="77777777" w:rsidTr="001632EC">
        <w:trPr>
          <w:trHeight w:val="485"/>
        </w:trPr>
        <w:tc>
          <w:tcPr>
            <w:tcW w:w="9361" w:type="dxa"/>
            <w:gridSpan w:val="3"/>
            <w:shd w:val="clear" w:color="auto" w:fill="DEEAF6" w:themeFill="accent1" w:themeFillTint="33"/>
          </w:tcPr>
          <w:p w14:paraId="1EA24BC6" w14:textId="77777777" w:rsidR="00F42759" w:rsidRPr="00092ED7" w:rsidRDefault="00F42759" w:rsidP="001632EC">
            <w:pPr>
              <w:spacing w:before="0" w:after="0"/>
              <w:ind w:left="113" w:right="113"/>
              <w:rPr>
                <w:rFonts w:cs="Times New Roman"/>
                <w:sz w:val="22"/>
                <w:szCs w:val="22"/>
                <w:lang w:val="sr-Cyrl-CS"/>
              </w:rPr>
            </w:pPr>
            <w:r w:rsidRPr="00092ED7">
              <w:rPr>
                <w:rFonts w:cs="Times New Roman"/>
                <w:b/>
                <w:sz w:val="22"/>
                <w:szCs w:val="22"/>
                <w:lang w:val="sr-Cyrl-CS"/>
              </w:rPr>
              <w:t xml:space="preserve">Кључни изазов број 2: </w:t>
            </w:r>
            <w:r w:rsidRPr="00092ED7">
              <w:rPr>
                <w:rFonts w:cs="Times New Roman"/>
                <w:b/>
                <w:i/>
                <w:iCs/>
                <w:sz w:val="22"/>
                <w:szCs w:val="22"/>
                <w:lang w:val="sr-Cyrl-CS"/>
              </w:rPr>
              <w:t>Упапређење пословног амбијента повољнијег за инвестиције</w:t>
            </w:r>
          </w:p>
        </w:tc>
      </w:tr>
      <w:tr w:rsidR="001632EC" w:rsidRPr="00092ED7" w14:paraId="346656B1" w14:textId="77777777" w:rsidTr="001632EC">
        <w:tc>
          <w:tcPr>
            <w:tcW w:w="579" w:type="dxa"/>
            <w:shd w:val="clear" w:color="auto" w:fill="DEEAF6" w:themeFill="accent1" w:themeFillTint="33"/>
          </w:tcPr>
          <w:p w14:paraId="1C26B6C0" w14:textId="77777777" w:rsidR="00F42759" w:rsidRPr="00092ED7" w:rsidRDefault="00F42759" w:rsidP="001632EC">
            <w:pPr>
              <w:spacing w:before="0" w:after="0"/>
              <w:ind w:left="113" w:right="113"/>
              <w:jc w:val="left"/>
              <w:rPr>
                <w:rFonts w:cs="Times New Roman"/>
                <w:b/>
                <w:sz w:val="22"/>
                <w:szCs w:val="22"/>
                <w:lang w:val="sr-Cyrl-CS"/>
              </w:rPr>
            </w:pPr>
            <w:r w:rsidRPr="00092ED7">
              <w:rPr>
                <w:rFonts w:cs="Times New Roman"/>
                <w:b/>
                <w:sz w:val="22"/>
                <w:szCs w:val="22"/>
                <w:lang w:val="sr-Cyrl-CS"/>
              </w:rPr>
              <w:t>СР</w:t>
            </w:r>
            <w:r w:rsidR="001632EC" w:rsidRPr="00092ED7">
              <w:rPr>
                <w:rFonts w:cs="Times New Roman"/>
                <w:b/>
                <w:sz w:val="22"/>
                <w:szCs w:val="22"/>
                <w:lang w:val="sr-Cyrl-CS"/>
              </w:rPr>
              <w:t xml:space="preserve"> </w:t>
            </w:r>
            <w:r w:rsidRPr="00092ED7">
              <w:rPr>
                <w:rFonts w:cs="Times New Roman"/>
                <w:b/>
                <w:sz w:val="22"/>
                <w:szCs w:val="22"/>
                <w:lang w:val="sr-Cyrl-CS"/>
              </w:rPr>
              <w:t>р.б.</w:t>
            </w:r>
          </w:p>
        </w:tc>
        <w:tc>
          <w:tcPr>
            <w:tcW w:w="3981" w:type="dxa"/>
            <w:shd w:val="clear" w:color="auto" w:fill="DEEAF6" w:themeFill="accent1" w:themeFillTint="33"/>
          </w:tcPr>
          <w:p w14:paraId="143DAC49" w14:textId="77777777" w:rsidR="00F42759" w:rsidRPr="00092ED7" w:rsidRDefault="00F42759" w:rsidP="001632EC">
            <w:pPr>
              <w:spacing w:before="0" w:after="0"/>
              <w:ind w:left="113" w:right="113"/>
              <w:jc w:val="left"/>
              <w:rPr>
                <w:rFonts w:cs="Times New Roman"/>
                <w:b/>
                <w:sz w:val="22"/>
                <w:szCs w:val="22"/>
                <w:lang w:val="sr-Cyrl-CS"/>
              </w:rPr>
            </w:pPr>
            <w:r w:rsidRPr="00092ED7">
              <w:rPr>
                <w:rFonts w:cs="Times New Roman"/>
                <w:b/>
                <w:sz w:val="22"/>
                <w:szCs w:val="22"/>
                <w:lang w:val="sr-Cyrl-CS"/>
              </w:rPr>
              <w:t>Назив структурне реформе</w:t>
            </w:r>
          </w:p>
        </w:tc>
        <w:tc>
          <w:tcPr>
            <w:tcW w:w="4801" w:type="dxa"/>
            <w:shd w:val="clear" w:color="auto" w:fill="DEEAF6" w:themeFill="accent1" w:themeFillTint="33"/>
          </w:tcPr>
          <w:p w14:paraId="1D071967" w14:textId="77777777" w:rsidR="00F42759" w:rsidRPr="00092ED7" w:rsidRDefault="00F42759" w:rsidP="001632EC">
            <w:pPr>
              <w:spacing w:before="0" w:after="0"/>
              <w:ind w:left="113" w:right="113"/>
              <w:jc w:val="left"/>
              <w:rPr>
                <w:rFonts w:cs="Times New Roman"/>
                <w:b/>
                <w:sz w:val="22"/>
                <w:szCs w:val="22"/>
                <w:lang w:val="sr-Cyrl-CS"/>
              </w:rPr>
            </w:pPr>
            <w:r w:rsidRPr="00092ED7">
              <w:rPr>
                <w:rFonts w:cs="Times New Roman"/>
                <w:b/>
                <w:sz w:val="22"/>
                <w:szCs w:val="22"/>
                <w:lang w:val="sr-Cyrl-CS"/>
              </w:rPr>
              <w:t>Опис структурне реформе</w:t>
            </w:r>
          </w:p>
        </w:tc>
      </w:tr>
      <w:tr w:rsidR="001632EC" w:rsidRPr="00092ED7" w14:paraId="4FDD4A8E" w14:textId="77777777" w:rsidTr="001632EC">
        <w:tc>
          <w:tcPr>
            <w:tcW w:w="579" w:type="dxa"/>
            <w:vAlign w:val="top"/>
          </w:tcPr>
          <w:p w14:paraId="551888B6" w14:textId="77777777" w:rsidR="00F42759" w:rsidRPr="00092ED7" w:rsidRDefault="00F42759" w:rsidP="001632EC">
            <w:pPr>
              <w:spacing w:before="0" w:after="0"/>
              <w:ind w:left="113" w:right="113"/>
              <w:jc w:val="left"/>
              <w:rPr>
                <w:rFonts w:cs="Times New Roman"/>
                <w:b/>
                <w:sz w:val="22"/>
                <w:szCs w:val="22"/>
                <w:lang w:val="sr-Cyrl-CS"/>
              </w:rPr>
            </w:pPr>
            <w:r w:rsidRPr="00092ED7">
              <w:rPr>
                <w:rFonts w:cs="Times New Roman"/>
                <w:b/>
                <w:sz w:val="22"/>
                <w:szCs w:val="22"/>
                <w:lang w:val="sr-Cyrl-CS"/>
              </w:rPr>
              <w:t>5.</w:t>
            </w:r>
          </w:p>
        </w:tc>
        <w:tc>
          <w:tcPr>
            <w:tcW w:w="3981" w:type="dxa"/>
            <w:vAlign w:val="top"/>
          </w:tcPr>
          <w:p w14:paraId="294181BD" w14:textId="77777777" w:rsidR="00F42759" w:rsidRPr="00092ED7" w:rsidRDefault="00F42759" w:rsidP="001632EC">
            <w:pPr>
              <w:spacing w:before="0" w:after="0"/>
              <w:ind w:left="113" w:right="113"/>
              <w:jc w:val="left"/>
              <w:rPr>
                <w:rFonts w:cs="Times New Roman"/>
                <w:b/>
                <w:sz w:val="22"/>
                <w:szCs w:val="22"/>
                <w:lang w:val="sr-Cyrl-CS"/>
              </w:rPr>
            </w:pPr>
            <w:r w:rsidRPr="00092ED7">
              <w:rPr>
                <w:rFonts w:cs="Times New Roman"/>
                <w:b/>
                <w:sz w:val="22"/>
                <w:szCs w:val="22"/>
                <w:lang w:val="sr-Cyrl-CS"/>
              </w:rPr>
              <w:t>Унапређење квалитета пружања јавних услуга кроз оптимизацију и дигитализацију административних поступака – е-Папир</w:t>
            </w:r>
          </w:p>
        </w:tc>
        <w:tc>
          <w:tcPr>
            <w:tcW w:w="4801" w:type="dxa"/>
          </w:tcPr>
          <w:p w14:paraId="511AFE69" w14:textId="77777777" w:rsidR="00F42759" w:rsidRPr="00092ED7" w:rsidRDefault="00F42759" w:rsidP="001632EC">
            <w:pPr>
              <w:spacing w:before="0" w:after="0"/>
              <w:ind w:left="113" w:right="113"/>
              <w:rPr>
                <w:rFonts w:cs="Times New Roman"/>
                <w:sz w:val="22"/>
                <w:szCs w:val="22"/>
                <w:lang w:val="sr-Cyrl-CS"/>
              </w:rPr>
            </w:pPr>
            <w:r w:rsidRPr="00092ED7">
              <w:rPr>
                <w:rFonts w:cs="Times New Roman"/>
                <w:sz w:val="22"/>
                <w:szCs w:val="22"/>
                <w:lang w:val="sr-Cyrl-CS"/>
              </w:rPr>
              <w:t xml:space="preserve">Реформа подразумева оптимизацију административних поступака за привреду и грађане (укидање непотребних или поједностављење и дигитализација административних поступака), као и развој Регистра административних поступака. Регистар представља </w:t>
            </w:r>
            <w:r w:rsidRPr="00092ED7">
              <w:rPr>
                <w:rFonts w:eastAsia="Times New Roman" w:cs="Times New Roman"/>
                <w:sz w:val="22"/>
                <w:szCs w:val="22"/>
                <w:lang w:val="sr-Cyrl-CS"/>
              </w:rPr>
              <w:t>јединствену електронску базу свих административних поступака и осталих услова пословања, које спроводе органи јавне управе, како би заинтересовани привредници и грађани могли једноставно и лако да буду информисани о свему што им је потребно да би остварили одређено право или испунили неку законску обавезу.</w:t>
            </w:r>
          </w:p>
          <w:p w14:paraId="139ED851" w14:textId="1FBE35A0" w:rsidR="00F42759" w:rsidRPr="00092ED7" w:rsidRDefault="00F42759" w:rsidP="008479FB">
            <w:pPr>
              <w:spacing w:before="0" w:after="0"/>
              <w:ind w:left="113" w:right="113"/>
              <w:rPr>
                <w:rFonts w:cs="Times New Roman"/>
                <w:sz w:val="22"/>
                <w:szCs w:val="22"/>
                <w:lang w:val="sr-Cyrl-CS"/>
              </w:rPr>
            </w:pPr>
            <w:r w:rsidRPr="00092ED7">
              <w:rPr>
                <w:rFonts w:cs="Times New Roman"/>
                <w:sz w:val="22"/>
                <w:szCs w:val="22"/>
                <w:lang w:val="sr-Cyrl-CS"/>
              </w:rPr>
              <w:t>Регистар представља и полазну основу за формирање ЈЕКТ.</w:t>
            </w:r>
          </w:p>
        </w:tc>
      </w:tr>
      <w:tr w:rsidR="001632EC" w:rsidRPr="00092ED7" w14:paraId="56B2BEC1" w14:textId="77777777" w:rsidTr="001632EC">
        <w:tc>
          <w:tcPr>
            <w:tcW w:w="579" w:type="dxa"/>
            <w:vAlign w:val="top"/>
          </w:tcPr>
          <w:p w14:paraId="77820D16" w14:textId="77777777" w:rsidR="00F42759" w:rsidRPr="00092ED7" w:rsidRDefault="00F42759" w:rsidP="001632EC">
            <w:pPr>
              <w:spacing w:before="0" w:after="0"/>
              <w:ind w:left="113" w:right="113"/>
              <w:jc w:val="left"/>
              <w:rPr>
                <w:rFonts w:cs="Times New Roman"/>
                <w:b/>
                <w:sz w:val="22"/>
                <w:szCs w:val="22"/>
                <w:lang w:val="sr-Cyrl-CS"/>
              </w:rPr>
            </w:pPr>
            <w:r w:rsidRPr="00092ED7">
              <w:rPr>
                <w:rFonts w:cs="Times New Roman"/>
                <w:b/>
                <w:sz w:val="22"/>
                <w:szCs w:val="22"/>
                <w:lang w:val="sr-Cyrl-CS"/>
              </w:rPr>
              <w:t>6.</w:t>
            </w:r>
          </w:p>
        </w:tc>
        <w:tc>
          <w:tcPr>
            <w:tcW w:w="3981" w:type="dxa"/>
            <w:vAlign w:val="top"/>
          </w:tcPr>
          <w:p w14:paraId="533D0D96" w14:textId="77777777" w:rsidR="00F42759" w:rsidRPr="00092ED7" w:rsidRDefault="00F42759" w:rsidP="001632EC">
            <w:pPr>
              <w:spacing w:before="0" w:after="0"/>
              <w:ind w:left="113" w:right="113"/>
              <w:jc w:val="left"/>
              <w:rPr>
                <w:rFonts w:cs="Times New Roman"/>
                <w:b/>
                <w:sz w:val="22"/>
                <w:szCs w:val="22"/>
                <w:lang w:val="sr-Cyrl-CS"/>
              </w:rPr>
            </w:pPr>
            <w:r w:rsidRPr="00092ED7">
              <w:rPr>
                <w:rFonts w:cs="Times New Roman"/>
                <w:b/>
                <w:sz w:val="22"/>
                <w:szCs w:val="22"/>
                <w:lang w:val="sr-Cyrl-CS"/>
              </w:rPr>
              <w:t>Одрживо и ефикасно управљање привредним субјектима у власништву Републике Србије</w:t>
            </w:r>
          </w:p>
        </w:tc>
        <w:tc>
          <w:tcPr>
            <w:tcW w:w="4801" w:type="dxa"/>
          </w:tcPr>
          <w:p w14:paraId="683F126D" w14:textId="77777777" w:rsidR="00F42759" w:rsidRPr="00092ED7" w:rsidRDefault="00F42759" w:rsidP="001632EC">
            <w:pPr>
              <w:spacing w:before="0" w:after="0"/>
              <w:ind w:left="113" w:right="113"/>
              <w:rPr>
                <w:rFonts w:cs="Times New Roman"/>
                <w:sz w:val="22"/>
                <w:szCs w:val="22"/>
                <w:lang w:val="sr-Cyrl-CS"/>
              </w:rPr>
            </w:pPr>
            <w:r w:rsidRPr="00092ED7">
              <w:rPr>
                <w:rFonts w:cs="Times New Roman"/>
                <w:sz w:val="22"/>
                <w:szCs w:val="22"/>
                <w:lang w:val="sr-Cyrl-CS"/>
              </w:rPr>
              <w:t>Реформа подразумева успостављање ефикаснијег надзора и система контроле пословања привредних субјеката у власништву Републике Србије. Остваривање власничких права државе над привредним субјектима у којима држава има удео, сходно смерницама OECD, треба да буде јасно идентификовано и, по могућству, централизовано.</w:t>
            </w:r>
          </w:p>
        </w:tc>
      </w:tr>
      <w:tr w:rsidR="001632EC" w:rsidRPr="00092ED7" w14:paraId="6F7F4FEB" w14:textId="77777777" w:rsidTr="001632EC">
        <w:tc>
          <w:tcPr>
            <w:tcW w:w="579" w:type="dxa"/>
            <w:vAlign w:val="top"/>
          </w:tcPr>
          <w:p w14:paraId="224CE62E" w14:textId="77777777" w:rsidR="00F42759" w:rsidRPr="00092ED7" w:rsidRDefault="00F42759" w:rsidP="001632EC">
            <w:pPr>
              <w:spacing w:before="0" w:after="0"/>
              <w:ind w:left="113" w:right="113"/>
              <w:jc w:val="left"/>
              <w:rPr>
                <w:rFonts w:cs="Times New Roman"/>
                <w:b/>
                <w:sz w:val="22"/>
                <w:szCs w:val="22"/>
                <w:lang w:val="sr-Cyrl-CS"/>
              </w:rPr>
            </w:pPr>
            <w:r w:rsidRPr="00092ED7">
              <w:rPr>
                <w:rFonts w:cs="Times New Roman"/>
                <w:b/>
                <w:sz w:val="22"/>
                <w:szCs w:val="22"/>
                <w:lang w:val="sr-Cyrl-CS"/>
              </w:rPr>
              <w:t>7.</w:t>
            </w:r>
          </w:p>
        </w:tc>
        <w:tc>
          <w:tcPr>
            <w:tcW w:w="3981" w:type="dxa"/>
            <w:vAlign w:val="top"/>
          </w:tcPr>
          <w:p w14:paraId="7B27340C" w14:textId="77777777" w:rsidR="00F42759" w:rsidRPr="00092ED7" w:rsidRDefault="00F42759" w:rsidP="001632EC">
            <w:pPr>
              <w:spacing w:before="0" w:after="0"/>
              <w:ind w:left="113" w:right="113"/>
              <w:jc w:val="left"/>
              <w:rPr>
                <w:rFonts w:cs="Times New Roman"/>
                <w:b/>
                <w:sz w:val="22"/>
                <w:szCs w:val="22"/>
                <w:lang w:val="sr-Cyrl-CS"/>
              </w:rPr>
            </w:pPr>
            <w:r w:rsidRPr="00092ED7">
              <w:rPr>
                <w:rFonts w:cs="Times New Roman"/>
                <w:b/>
                <w:sz w:val="22"/>
                <w:szCs w:val="22"/>
                <w:lang w:val="sr-Cyrl-CS"/>
              </w:rPr>
              <w:t>Развој домаћег тржишта капитала и обезбеђивање већег степена заштите инвеститора</w:t>
            </w:r>
          </w:p>
        </w:tc>
        <w:tc>
          <w:tcPr>
            <w:tcW w:w="4801" w:type="dxa"/>
          </w:tcPr>
          <w:p w14:paraId="2A049930" w14:textId="77777777" w:rsidR="00F42759" w:rsidRPr="00092ED7" w:rsidRDefault="00F42759" w:rsidP="001632EC">
            <w:pPr>
              <w:spacing w:before="0" w:after="0"/>
              <w:ind w:left="113" w:right="113"/>
              <w:rPr>
                <w:rFonts w:cs="Times New Roman"/>
                <w:sz w:val="22"/>
                <w:szCs w:val="22"/>
                <w:lang w:val="sr-Cyrl-CS"/>
              </w:rPr>
            </w:pPr>
            <w:r w:rsidRPr="00092ED7">
              <w:rPr>
                <w:rFonts w:cs="Times New Roman"/>
                <w:sz w:val="22"/>
                <w:szCs w:val="22"/>
                <w:lang w:val="sr-Cyrl-CS"/>
              </w:rPr>
              <w:t>Реформа подразумева развој финансијских института на тржишту капитала, повећање атрактивности домаћег тржишта за домаће и стране инвеститоре и активирање тржишта капитала у функцији економског раста, запошљавања и квалитетнијег живота грађана.</w:t>
            </w:r>
          </w:p>
          <w:p w14:paraId="0D757E6A" w14:textId="77777777" w:rsidR="00F42759" w:rsidRPr="00092ED7" w:rsidRDefault="00F42759" w:rsidP="001632EC">
            <w:pPr>
              <w:spacing w:before="0" w:after="0"/>
              <w:ind w:left="113" w:right="113"/>
              <w:rPr>
                <w:rFonts w:cs="Times New Roman"/>
                <w:sz w:val="22"/>
                <w:szCs w:val="22"/>
                <w:lang w:val="sr-Cyrl-CS"/>
              </w:rPr>
            </w:pPr>
            <w:r w:rsidRPr="00092ED7">
              <w:rPr>
                <w:rFonts w:cs="Times New Roman"/>
                <w:sz w:val="22"/>
                <w:szCs w:val="22"/>
                <w:lang w:val="sr-Cyrl-CS"/>
              </w:rPr>
              <w:t>Повећањем транспарентности и квалитета финансијских инструмената вратиће се поверење инвеститора у тржиште, а што ће последично позитивно утицати на повећање броја учесника на домаћем тржишту и на одржив економски раст.</w:t>
            </w:r>
          </w:p>
        </w:tc>
      </w:tr>
      <w:tr w:rsidR="00F42759" w:rsidRPr="00092ED7" w14:paraId="1A78396A" w14:textId="77777777" w:rsidTr="001632EC">
        <w:trPr>
          <w:trHeight w:val="530"/>
        </w:trPr>
        <w:tc>
          <w:tcPr>
            <w:tcW w:w="9361" w:type="dxa"/>
            <w:gridSpan w:val="3"/>
            <w:shd w:val="clear" w:color="auto" w:fill="DEEAF6" w:themeFill="accent1" w:themeFillTint="33"/>
            <w:vAlign w:val="top"/>
          </w:tcPr>
          <w:p w14:paraId="0229D90B" w14:textId="77777777" w:rsidR="00F42759" w:rsidRPr="00092ED7" w:rsidRDefault="00F42759" w:rsidP="001632EC">
            <w:pPr>
              <w:spacing w:before="0" w:after="0"/>
              <w:ind w:left="113" w:right="113"/>
              <w:rPr>
                <w:rFonts w:cs="Times New Roman"/>
                <w:i/>
                <w:iCs/>
                <w:sz w:val="22"/>
                <w:szCs w:val="22"/>
                <w:lang w:val="sr-Cyrl-CS"/>
              </w:rPr>
            </w:pPr>
            <w:r w:rsidRPr="00092ED7">
              <w:rPr>
                <w:rFonts w:cs="Times New Roman"/>
                <w:b/>
                <w:sz w:val="22"/>
                <w:szCs w:val="22"/>
                <w:lang w:val="sr-Cyrl-CS"/>
              </w:rPr>
              <w:t>Кључни изазов број 3:</w:t>
            </w:r>
            <w:r w:rsidRPr="00092ED7">
              <w:rPr>
                <w:rFonts w:cs="Times New Roman"/>
                <w:b/>
                <w:i/>
                <w:iCs/>
                <w:sz w:val="22"/>
                <w:szCs w:val="22"/>
                <w:lang w:val="sr-Cyrl-CS"/>
              </w:rPr>
              <w:t xml:space="preserve"> Озелењавање енергетског сектора и потпуно отварање енергетског тржишта</w:t>
            </w:r>
          </w:p>
        </w:tc>
      </w:tr>
      <w:tr w:rsidR="001632EC" w:rsidRPr="00092ED7" w14:paraId="00F0BECB" w14:textId="77777777" w:rsidTr="001632EC">
        <w:tc>
          <w:tcPr>
            <w:tcW w:w="579" w:type="dxa"/>
            <w:shd w:val="clear" w:color="auto" w:fill="DEEAF6" w:themeFill="accent1" w:themeFillTint="33"/>
          </w:tcPr>
          <w:p w14:paraId="113F56C1" w14:textId="77777777" w:rsidR="00F42759" w:rsidRPr="00092ED7" w:rsidRDefault="00F42759" w:rsidP="001632EC">
            <w:pPr>
              <w:spacing w:before="0" w:after="0"/>
              <w:ind w:left="113" w:right="113"/>
              <w:jc w:val="left"/>
              <w:rPr>
                <w:rFonts w:cs="Times New Roman"/>
                <w:b/>
                <w:sz w:val="22"/>
                <w:szCs w:val="22"/>
                <w:lang w:val="sr-Cyrl-CS"/>
              </w:rPr>
            </w:pPr>
            <w:r w:rsidRPr="00092ED7">
              <w:rPr>
                <w:rFonts w:cs="Times New Roman"/>
                <w:b/>
                <w:sz w:val="22"/>
                <w:szCs w:val="22"/>
                <w:lang w:val="sr-Cyrl-CS"/>
              </w:rPr>
              <w:t>СР</w:t>
            </w:r>
            <w:r w:rsidR="001632EC" w:rsidRPr="00092ED7">
              <w:rPr>
                <w:rFonts w:cs="Times New Roman"/>
                <w:b/>
                <w:sz w:val="22"/>
                <w:szCs w:val="22"/>
                <w:lang w:val="sr-Cyrl-CS"/>
              </w:rPr>
              <w:t xml:space="preserve"> </w:t>
            </w:r>
            <w:r w:rsidRPr="00092ED7">
              <w:rPr>
                <w:rFonts w:cs="Times New Roman"/>
                <w:b/>
                <w:sz w:val="22"/>
                <w:szCs w:val="22"/>
                <w:lang w:val="sr-Cyrl-CS"/>
              </w:rPr>
              <w:t>р.б.</w:t>
            </w:r>
          </w:p>
        </w:tc>
        <w:tc>
          <w:tcPr>
            <w:tcW w:w="3981" w:type="dxa"/>
            <w:shd w:val="clear" w:color="auto" w:fill="DEEAF6" w:themeFill="accent1" w:themeFillTint="33"/>
          </w:tcPr>
          <w:p w14:paraId="45EFD9EB" w14:textId="77777777" w:rsidR="00F42759" w:rsidRPr="00092ED7" w:rsidRDefault="00F42759" w:rsidP="001632EC">
            <w:pPr>
              <w:spacing w:before="0" w:after="0"/>
              <w:ind w:left="113" w:right="113"/>
              <w:jc w:val="left"/>
              <w:rPr>
                <w:rFonts w:cs="Times New Roman"/>
                <w:b/>
                <w:sz w:val="22"/>
                <w:szCs w:val="22"/>
                <w:lang w:val="sr-Cyrl-CS"/>
              </w:rPr>
            </w:pPr>
            <w:r w:rsidRPr="00092ED7">
              <w:rPr>
                <w:rFonts w:cs="Times New Roman"/>
                <w:b/>
                <w:sz w:val="22"/>
                <w:szCs w:val="22"/>
                <w:lang w:val="sr-Cyrl-CS"/>
              </w:rPr>
              <w:t>Назив структурне реформе</w:t>
            </w:r>
          </w:p>
        </w:tc>
        <w:tc>
          <w:tcPr>
            <w:tcW w:w="4801" w:type="dxa"/>
            <w:shd w:val="clear" w:color="auto" w:fill="DEEAF6" w:themeFill="accent1" w:themeFillTint="33"/>
          </w:tcPr>
          <w:p w14:paraId="1D87E1DE" w14:textId="77777777" w:rsidR="00F42759" w:rsidRPr="00092ED7" w:rsidRDefault="00F42759" w:rsidP="001632EC">
            <w:pPr>
              <w:spacing w:before="0" w:after="0"/>
              <w:ind w:left="113" w:right="113"/>
              <w:jc w:val="left"/>
              <w:rPr>
                <w:rFonts w:cs="Times New Roman"/>
                <w:b/>
                <w:sz w:val="22"/>
                <w:szCs w:val="22"/>
                <w:lang w:val="sr-Cyrl-CS"/>
              </w:rPr>
            </w:pPr>
            <w:r w:rsidRPr="00092ED7">
              <w:rPr>
                <w:rFonts w:cs="Times New Roman"/>
                <w:b/>
                <w:sz w:val="22"/>
                <w:szCs w:val="22"/>
                <w:lang w:val="sr-Cyrl-CS"/>
              </w:rPr>
              <w:t>Опис структурне реформе</w:t>
            </w:r>
          </w:p>
        </w:tc>
      </w:tr>
      <w:tr w:rsidR="001632EC" w:rsidRPr="00092ED7" w14:paraId="4A7DD092" w14:textId="77777777" w:rsidTr="001632EC">
        <w:tc>
          <w:tcPr>
            <w:tcW w:w="579" w:type="dxa"/>
            <w:vAlign w:val="top"/>
          </w:tcPr>
          <w:p w14:paraId="2ED42D9D" w14:textId="77777777" w:rsidR="00F42759" w:rsidRPr="00092ED7" w:rsidRDefault="00F42759" w:rsidP="001632EC">
            <w:pPr>
              <w:spacing w:before="0" w:after="0"/>
              <w:ind w:left="113" w:right="113"/>
              <w:jc w:val="left"/>
              <w:rPr>
                <w:rFonts w:cs="Times New Roman"/>
                <w:b/>
                <w:sz w:val="22"/>
                <w:szCs w:val="22"/>
                <w:lang w:val="sr-Cyrl-CS"/>
              </w:rPr>
            </w:pPr>
            <w:r w:rsidRPr="00092ED7">
              <w:rPr>
                <w:rFonts w:cs="Times New Roman"/>
                <w:b/>
                <w:sz w:val="22"/>
                <w:szCs w:val="22"/>
                <w:lang w:val="sr-Cyrl-CS"/>
              </w:rPr>
              <w:lastRenderedPageBreak/>
              <w:t>8.</w:t>
            </w:r>
          </w:p>
        </w:tc>
        <w:tc>
          <w:tcPr>
            <w:tcW w:w="3981" w:type="dxa"/>
            <w:vAlign w:val="top"/>
          </w:tcPr>
          <w:p w14:paraId="1CE6BEE6" w14:textId="77777777" w:rsidR="00F42759" w:rsidRPr="00092ED7" w:rsidRDefault="00F42759" w:rsidP="001632EC">
            <w:pPr>
              <w:spacing w:before="0" w:after="0"/>
              <w:ind w:left="113" w:right="113"/>
              <w:jc w:val="left"/>
              <w:rPr>
                <w:rFonts w:cs="Times New Roman"/>
                <w:b/>
                <w:sz w:val="22"/>
                <w:szCs w:val="22"/>
                <w:lang w:val="sr-Cyrl-CS"/>
              </w:rPr>
            </w:pPr>
            <w:r w:rsidRPr="00092ED7">
              <w:rPr>
                <w:rFonts w:cs="Times New Roman"/>
                <w:b/>
                <w:sz w:val="22"/>
                <w:szCs w:val="22"/>
                <w:lang w:val="sr-Cyrl-CS"/>
              </w:rPr>
              <w:t>Унапређење услова за повећање енергетске ефикасности кроз стварање услова за примену енергетског означавања и екодизајна, као и кроз подстицаје за унапређење енергетске ефикасности</w:t>
            </w:r>
          </w:p>
        </w:tc>
        <w:tc>
          <w:tcPr>
            <w:tcW w:w="4801" w:type="dxa"/>
          </w:tcPr>
          <w:p w14:paraId="5B363AE2" w14:textId="77777777" w:rsidR="00F42759" w:rsidRPr="00092ED7" w:rsidRDefault="00F42759" w:rsidP="001632EC">
            <w:pPr>
              <w:spacing w:before="0" w:after="0"/>
              <w:ind w:left="113" w:right="113"/>
              <w:rPr>
                <w:rFonts w:cs="Times New Roman"/>
                <w:sz w:val="22"/>
                <w:szCs w:val="22"/>
                <w:lang w:val="sr-Cyrl-CS"/>
              </w:rPr>
            </w:pPr>
            <w:r w:rsidRPr="00092ED7">
              <w:rPr>
                <w:rFonts w:cs="Times New Roman"/>
                <w:sz w:val="22"/>
                <w:szCs w:val="22"/>
                <w:lang w:val="sr-Cyrl-CS"/>
              </w:rPr>
              <w:t>Реформа подразумева унапређење енергетске ефикасности у Републици Србији. О</w:t>
            </w:r>
            <w:r w:rsidRPr="00092ED7">
              <w:rPr>
                <w:rFonts w:eastAsia="Calibri" w:cs="Times New Roman"/>
                <w:sz w:val="22"/>
                <w:szCs w:val="22"/>
                <w:lang w:val="sr-Cyrl-CS" w:eastAsia="sr-Cyrl-CS" w:bidi="sr-Cyrl-CS"/>
              </w:rPr>
              <w:t>бухватиће активности које доприносе спровођењу енергетског означавања производа и еко-дизајна кроз доношење техничких прописа у складу са Законом о енергетској ефикасности и рационалној употреби енергије и ЕУ регулативом. За спровођење ове реформе од великог је значаја да се ојачају капацитети тела која врше тржишни надзор над спровођењем ових прописа, као и да се подржи успостављање и развој капацитета тела за оцену усаглашености, па ће се структурна реформа фокусирати на то да се обезбеди техничка помоћ за изградњу капацитета укључујући пилот тестирања производа који се налазе на тржишту.</w:t>
            </w:r>
          </w:p>
        </w:tc>
      </w:tr>
      <w:tr w:rsidR="001632EC" w:rsidRPr="00092ED7" w14:paraId="64DA6F81" w14:textId="77777777" w:rsidTr="001632EC">
        <w:tc>
          <w:tcPr>
            <w:tcW w:w="579" w:type="dxa"/>
            <w:vAlign w:val="top"/>
          </w:tcPr>
          <w:p w14:paraId="57B758BD" w14:textId="77777777" w:rsidR="00F42759" w:rsidRPr="00092ED7" w:rsidRDefault="00F42759" w:rsidP="001632EC">
            <w:pPr>
              <w:spacing w:before="0" w:after="0"/>
              <w:ind w:left="113" w:right="113"/>
              <w:jc w:val="left"/>
              <w:rPr>
                <w:rFonts w:cs="Times New Roman"/>
                <w:b/>
                <w:sz w:val="22"/>
                <w:szCs w:val="22"/>
                <w:lang w:val="sr-Cyrl-CS"/>
              </w:rPr>
            </w:pPr>
            <w:r w:rsidRPr="00092ED7">
              <w:rPr>
                <w:rFonts w:cs="Times New Roman"/>
                <w:b/>
                <w:sz w:val="22"/>
                <w:szCs w:val="22"/>
                <w:lang w:val="sr-Cyrl-CS"/>
              </w:rPr>
              <w:t>9.</w:t>
            </w:r>
          </w:p>
        </w:tc>
        <w:tc>
          <w:tcPr>
            <w:tcW w:w="3981" w:type="dxa"/>
            <w:vAlign w:val="top"/>
          </w:tcPr>
          <w:p w14:paraId="2FD4337C" w14:textId="50DC2017" w:rsidR="00F42759" w:rsidRPr="00092ED7" w:rsidRDefault="00F42759" w:rsidP="001632EC">
            <w:pPr>
              <w:spacing w:before="0" w:after="0"/>
              <w:ind w:left="113" w:right="113"/>
              <w:jc w:val="left"/>
              <w:rPr>
                <w:rFonts w:cs="Times New Roman"/>
                <w:b/>
                <w:bCs/>
                <w:sz w:val="22"/>
                <w:szCs w:val="22"/>
                <w:lang w:val="sr-Cyrl-CS"/>
              </w:rPr>
            </w:pPr>
            <w:r w:rsidRPr="00092ED7">
              <w:rPr>
                <w:rFonts w:cs="Times New Roman"/>
                <w:b/>
                <w:bCs/>
                <w:sz w:val="22"/>
                <w:szCs w:val="22"/>
                <w:lang w:val="sr-Cyrl-CS"/>
              </w:rPr>
              <w:t>Интеграција обновљивих извора електричне енергије кроз пројекат „Беогрид 2025</w:t>
            </w:r>
            <w:r w:rsidR="00B2255A" w:rsidRPr="00092ED7">
              <w:rPr>
                <w:rFonts w:cs="Times New Roman"/>
                <w:b/>
                <w:sz w:val="22"/>
                <w:szCs w:val="22"/>
                <w:lang w:val="sr-Cyrl-CS"/>
              </w:rPr>
              <w:t>”</w:t>
            </w:r>
          </w:p>
        </w:tc>
        <w:tc>
          <w:tcPr>
            <w:tcW w:w="4801" w:type="dxa"/>
          </w:tcPr>
          <w:p w14:paraId="7AC7FA4E" w14:textId="77777777" w:rsidR="00F42759" w:rsidRPr="00092ED7" w:rsidRDefault="00F42759" w:rsidP="001632EC">
            <w:pPr>
              <w:widowControl w:val="0"/>
              <w:spacing w:before="0" w:after="0"/>
              <w:ind w:left="113" w:right="113"/>
              <w:rPr>
                <w:rFonts w:eastAsia="Calibri" w:cs="Times New Roman"/>
                <w:sz w:val="22"/>
                <w:szCs w:val="22"/>
                <w:lang w:val="sr-Cyrl-CS" w:eastAsia="sr-Cyrl-CS" w:bidi="sr-Cyrl-CS"/>
              </w:rPr>
            </w:pPr>
            <w:r w:rsidRPr="00092ED7">
              <w:rPr>
                <w:rFonts w:cs="Times New Roman"/>
                <w:sz w:val="22"/>
                <w:szCs w:val="22"/>
                <w:lang w:val="sr-Cyrl-CS"/>
              </w:rPr>
              <w:t>Реформа подразумева интеграцију електричне енергије произведене из обновљивих извора енергије (ветроелектрана</w:t>
            </w:r>
            <w:r w:rsidRPr="00092ED7">
              <w:rPr>
                <w:rFonts w:eastAsia="Calibri" w:cs="Times New Roman"/>
                <w:sz w:val="22"/>
                <w:szCs w:val="22"/>
                <w:lang w:val="sr-Cyrl-CS" w:eastAsia="sr-Cyrl-CS" w:bidi="sr-Cyrl-CS"/>
              </w:rPr>
              <w:t xml:space="preserve"> које се налазе у региону Јужног Баната</w:t>
            </w:r>
            <w:r w:rsidRPr="00092ED7">
              <w:rPr>
                <w:rFonts w:cs="Times New Roman"/>
                <w:sz w:val="22"/>
                <w:szCs w:val="22"/>
                <w:lang w:val="sr-Cyrl-CS"/>
              </w:rPr>
              <w:t xml:space="preserve">) у преносни електроенергетски систем, </w:t>
            </w:r>
            <w:r w:rsidRPr="00092ED7">
              <w:rPr>
                <w:rFonts w:eastAsia="Calibri" w:cs="Times New Roman"/>
                <w:sz w:val="22"/>
                <w:szCs w:val="22"/>
                <w:lang w:val="sr-Cyrl-CS" w:eastAsia="sr-Cyrl-CS" w:bidi="sr-Cyrl-CS"/>
              </w:rPr>
              <w:t>као и растерећење Трафостанице Београд 5, која напаја електричном енергијом велики део Београда. Пројекат је део ширег пројекта Северни коридор (</w:t>
            </w:r>
            <w:r w:rsidRPr="00092ED7">
              <w:rPr>
                <w:rFonts w:eastAsia="Calibri" w:cs="Times New Roman"/>
                <w:i/>
                <w:sz w:val="22"/>
                <w:szCs w:val="22"/>
                <w:lang w:val="sr-Cyrl-CS" w:eastAsia="sr-Cyrl-CS" w:bidi="sr-Cyrl-CS"/>
              </w:rPr>
              <w:t>North CSE corridor</w:t>
            </w:r>
            <w:r w:rsidRPr="00092ED7">
              <w:rPr>
                <w:rFonts w:eastAsia="Calibri" w:cs="Times New Roman"/>
                <w:sz w:val="22"/>
                <w:szCs w:val="22"/>
                <w:lang w:val="sr-Cyrl-CS" w:eastAsia="sr-Cyrl-CS" w:bidi="sr-Cyrl-CS"/>
              </w:rPr>
              <w:t>), који, поред наведеног, обухвата и дуплирање постојећег интерконективног 400 kV далековода Ђердап 1 - Portile De Fier (Румунија).</w:t>
            </w:r>
          </w:p>
        </w:tc>
      </w:tr>
      <w:tr w:rsidR="001632EC" w:rsidRPr="00092ED7" w14:paraId="573507D7" w14:textId="77777777" w:rsidTr="001632EC">
        <w:tc>
          <w:tcPr>
            <w:tcW w:w="579" w:type="dxa"/>
            <w:vAlign w:val="top"/>
          </w:tcPr>
          <w:p w14:paraId="2AF49ABB" w14:textId="77777777" w:rsidR="00F42759" w:rsidRPr="00092ED7" w:rsidRDefault="00F42759" w:rsidP="001632EC">
            <w:pPr>
              <w:spacing w:before="0" w:after="0"/>
              <w:ind w:left="113" w:right="113"/>
              <w:jc w:val="left"/>
              <w:rPr>
                <w:rFonts w:cs="Times New Roman"/>
                <w:b/>
                <w:sz w:val="22"/>
                <w:szCs w:val="22"/>
                <w:lang w:val="sr-Cyrl-CS"/>
              </w:rPr>
            </w:pPr>
            <w:r w:rsidRPr="00092ED7">
              <w:rPr>
                <w:rFonts w:cs="Times New Roman"/>
                <w:b/>
                <w:sz w:val="22"/>
                <w:szCs w:val="22"/>
                <w:lang w:val="sr-Cyrl-CS"/>
              </w:rPr>
              <w:t>10.</w:t>
            </w:r>
          </w:p>
        </w:tc>
        <w:tc>
          <w:tcPr>
            <w:tcW w:w="3981" w:type="dxa"/>
            <w:vAlign w:val="top"/>
          </w:tcPr>
          <w:p w14:paraId="04E0BCDF" w14:textId="77777777" w:rsidR="00F42759" w:rsidRPr="00092ED7" w:rsidRDefault="00F42759" w:rsidP="001632EC">
            <w:pPr>
              <w:spacing w:before="0" w:after="0"/>
              <w:ind w:left="113" w:right="113"/>
              <w:jc w:val="left"/>
              <w:rPr>
                <w:rFonts w:cs="Times New Roman"/>
                <w:b/>
                <w:bCs/>
                <w:sz w:val="22"/>
                <w:szCs w:val="22"/>
                <w:lang w:val="sr-Cyrl-CS"/>
              </w:rPr>
            </w:pPr>
            <w:r w:rsidRPr="00092ED7">
              <w:rPr>
                <w:rFonts w:cs="Times New Roman"/>
                <w:b/>
                <w:bCs/>
                <w:sz w:val="22"/>
                <w:szCs w:val="22"/>
                <w:lang w:val="sr-Cyrl-CS"/>
              </w:rPr>
              <w:t>Развој енергетског тржишта уз изградњу енергетске инфраструктуре</w:t>
            </w:r>
          </w:p>
        </w:tc>
        <w:tc>
          <w:tcPr>
            <w:tcW w:w="4801" w:type="dxa"/>
          </w:tcPr>
          <w:p w14:paraId="3CBA6EAF" w14:textId="77777777" w:rsidR="00F42759" w:rsidRPr="00092ED7" w:rsidRDefault="00F42759" w:rsidP="001632EC">
            <w:pPr>
              <w:widowControl w:val="0"/>
              <w:spacing w:before="0" w:after="0"/>
              <w:ind w:left="113" w:right="113"/>
              <w:rPr>
                <w:rFonts w:cs="Times New Roman"/>
                <w:sz w:val="22"/>
                <w:szCs w:val="22"/>
                <w:lang w:val="sr-Cyrl-CS"/>
              </w:rPr>
            </w:pPr>
            <w:r w:rsidRPr="00092ED7">
              <w:rPr>
                <w:rFonts w:cs="Times New Roman"/>
                <w:sz w:val="22"/>
                <w:szCs w:val="22"/>
                <w:lang w:val="sr-Cyrl-CS"/>
              </w:rPr>
              <w:t>Реформа подразумева изградњу нових интерконективних далековода: секција III - двоструки вод 400 kV ТС Бајина Башта–ТС Обреновац; секција IV - двосистемски 400 kV далековод ТС Бајина Башта - граница Црне Горе - граница БиХ. Део је Пројекта Трансбалкански коридор (I фаза) који за циљ има повећање преносног капацитета мреже Западне Србије, као и повећање сигурности и поузданости напајања електричном енергијом потрошача у Републици Србији.</w:t>
            </w:r>
          </w:p>
        </w:tc>
      </w:tr>
      <w:tr w:rsidR="00F42759" w:rsidRPr="00092ED7" w14:paraId="02BB8367" w14:textId="77777777" w:rsidTr="001632EC">
        <w:trPr>
          <w:trHeight w:val="441"/>
        </w:trPr>
        <w:tc>
          <w:tcPr>
            <w:tcW w:w="9361" w:type="dxa"/>
            <w:gridSpan w:val="3"/>
            <w:shd w:val="clear" w:color="auto" w:fill="DEEAF6" w:themeFill="accent1" w:themeFillTint="33"/>
          </w:tcPr>
          <w:p w14:paraId="287A9BE6" w14:textId="27C7E9A6" w:rsidR="00F42759" w:rsidRPr="00092ED7" w:rsidRDefault="00B02D4E" w:rsidP="001632EC">
            <w:pPr>
              <w:spacing w:before="0" w:after="0"/>
              <w:ind w:left="113" w:right="113"/>
              <w:jc w:val="left"/>
              <w:rPr>
                <w:rFonts w:cs="Times New Roman"/>
                <w:b/>
                <w:sz w:val="22"/>
                <w:szCs w:val="22"/>
                <w:lang w:val="sr-Cyrl-CS"/>
              </w:rPr>
            </w:pPr>
            <w:r w:rsidRPr="00092ED7">
              <w:rPr>
                <w:rFonts w:cs="Times New Roman"/>
                <w:b/>
                <w:sz w:val="22"/>
                <w:szCs w:val="22"/>
                <w:lang w:val="sr-Cyrl-CS"/>
              </w:rPr>
              <w:t xml:space="preserve">ИЗАЗОВИ </w:t>
            </w:r>
            <w:r w:rsidR="00F42759" w:rsidRPr="00092ED7">
              <w:rPr>
                <w:rFonts w:cs="Times New Roman"/>
                <w:b/>
                <w:sz w:val="22"/>
                <w:szCs w:val="22"/>
                <w:lang w:val="sr-Cyrl-CS"/>
              </w:rPr>
              <w:t>У ДРУГИМ ОБЛАСТИМА И ОДГОВАРАЈУЋЕ СТРУКТУРНЕ РЕФОРМЕ</w:t>
            </w:r>
          </w:p>
        </w:tc>
      </w:tr>
      <w:tr w:rsidR="00F42759" w:rsidRPr="00092ED7" w14:paraId="7078F97D" w14:textId="77777777" w:rsidTr="001632EC">
        <w:trPr>
          <w:trHeight w:val="440"/>
        </w:trPr>
        <w:tc>
          <w:tcPr>
            <w:tcW w:w="9361" w:type="dxa"/>
            <w:gridSpan w:val="3"/>
            <w:shd w:val="clear" w:color="auto" w:fill="DEEAF6" w:themeFill="accent1" w:themeFillTint="33"/>
          </w:tcPr>
          <w:p w14:paraId="6EACA669" w14:textId="77777777" w:rsidR="00F42759" w:rsidRPr="00092ED7" w:rsidRDefault="00F42759" w:rsidP="001632EC">
            <w:pPr>
              <w:spacing w:before="0" w:after="0"/>
              <w:ind w:left="113" w:right="113"/>
              <w:rPr>
                <w:rFonts w:cs="Times New Roman"/>
                <w:sz w:val="22"/>
                <w:szCs w:val="22"/>
                <w:lang w:val="sr-Cyrl-CS"/>
              </w:rPr>
            </w:pPr>
            <w:r w:rsidRPr="00092ED7">
              <w:rPr>
                <w:rFonts w:cs="Times New Roman"/>
                <w:b/>
                <w:sz w:val="22"/>
                <w:szCs w:val="22"/>
                <w:lang w:val="sr-Cyrl-CS"/>
              </w:rPr>
              <w:t>Област 1: УПРАВЉАЊЕ ЈАВНИМ ФИНАНСИЈАМА</w:t>
            </w:r>
          </w:p>
        </w:tc>
      </w:tr>
      <w:tr w:rsidR="00F42759" w:rsidRPr="00092ED7" w14:paraId="08AC0E8D" w14:textId="77777777" w:rsidTr="001632EC">
        <w:tc>
          <w:tcPr>
            <w:tcW w:w="579" w:type="dxa"/>
            <w:shd w:val="clear" w:color="auto" w:fill="DEEAF6" w:themeFill="accent1" w:themeFillTint="33"/>
          </w:tcPr>
          <w:p w14:paraId="6C081E2E" w14:textId="77777777" w:rsidR="00F42759" w:rsidRPr="00092ED7" w:rsidRDefault="00F42759" w:rsidP="001632EC">
            <w:pPr>
              <w:spacing w:before="0" w:after="0"/>
              <w:ind w:left="113" w:right="113"/>
              <w:jc w:val="left"/>
              <w:rPr>
                <w:rFonts w:cs="Times New Roman"/>
                <w:b/>
                <w:sz w:val="22"/>
                <w:szCs w:val="22"/>
                <w:lang w:val="sr-Cyrl-CS"/>
              </w:rPr>
            </w:pPr>
            <w:r w:rsidRPr="00092ED7">
              <w:rPr>
                <w:rFonts w:cs="Times New Roman"/>
                <w:b/>
                <w:sz w:val="22"/>
                <w:szCs w:val="22"/>
                <w:lang w:val="sr-Cyrl-CS"/>
              </w:rPr>
              <w:t>СР</w:t>
            </w:r>
            <w:r w:rsidR="001632EC" w:rsidRPr="00092ED7">
              <w:rPr>
                <w:rFonts w:cs="Times New Roman"/>
                <w:b/>
                <w:sz w:val="22"/>
                <w:szCs w:val="22"/>
                <w:lang w:val="sr-Cyrl-CS"/>
              </w:rPr>
              <w:t xml:space="preserve"> </w:t>
            </w:r>
            <w:r w:rsidRPr="00092ED7">
              <w:rPr>
                <w:rFonts w:cs="Times New Roman"/>
                <w:b/>
                <w:sz w:val="22"/>
                <w:szCs w:val="22"/>
                <w:lang w:val="sr-Cyrl-CS"/>
              </w:rPr>
              <w:t>р.б.</w:t>
            </w:r>
          </w:p>
        </w:tc>
        <w:tc>
          <w:tcPr>
            <w:tcW w:w="3981" w:type="dxa"/>
            <w:shd w:val="clear" w:color="auto" w:fill="DEEAF6" w:themeFill="accent1" w:themeFillTint="33"/>
          </w:tcPr>
          <w:p w14:paraId="0E7AA899" w14:textId="77777777" w:rsidR="00F42759" w:rsidRPr="00092ED7" w:rsidRDefault="00F42759" w:rsidP="001632EC">
            <w:pPr>
              <w:spacing w:before="0" w:after="0"/>
              <w:ind w:left="113" w:right="113"/>
              <w:jc w:val="left"/>
              <w:rPr>
                <w:rFonts w:cs="Times New Roman"/>
                <w:b/>
                <w:sz w:val="22"/>
                <w:szCs w:val="22"/>
                <w:lang w:val="sr-Cyrl-CS"/>
              </w:rPr>
            </w:pPr>
            <w:r w:rsidRPr="00092ED7">
              <w:rPr>
                <w:rFonts w:cs="Times New Roman"/>
                <w:b/>
                <w:sz w:val="22"/>
                <w:szCs w:val="22"/>
                <w:lang w:val="sr-Cyrl-CS"/>
              </w:rPr>
              <w:t>Назив структурне реформе</w:t>
            </w:r>
          </w:p>
        </w:tc>
        <w:tc>
          <w:tcPr>
            <w:tcW w:w="4801" w:type="dxa"/>
            <w:shd w:val="clear" w:color="auto" w:fill="DEEAF6" w:themeFill="accent1" w:themeFillTint="33"/>
          </w:tcPr>
          <w:p w14:paraId="12A2BFFD" w14:textId="77777777" w:rsidR="00F42759" w:rsidRPr="00092ED7" w:rsidRDefault="00F42759" w:rsidP="001632EC">
            <w:pPr>
              <w:spacing w:before="0" w:after="0"/>
              <w:ind w:left="113" w:right="113"/>
              <w:jc w:val="left"/>
              <w:rPr>
                <w:rFonts w:cs="Times New Roman"/>
                <w:b/>
                <w:sz w:val="22"/>
                <w:szCs w:val="22"/>
                <w:lang w:val="sr-Cyrl-CS"/>
              </w:rPr>
            </w:pPr>
            <w:r w:rsidRPr="00092ED7">
              <w:rPr>
                <w:rFonts w:cs="Times New Roman"/>
                <w:b/>
                <w:sz w:val="22"/>
                <w:szCs w:val="22"/>
                <w:lang w:val="sr-Cyrl-CS"/>
              </w:rPr>
              <w:t>Опис структурне реформе</w:t>
            </w:r>
          </w:p>
        </w:tc>
      </w:tr>
      <w:tr w:rsidR="00F42759" w:rsidRPr="00092ED7" w14:paraId="53877543" w14:textId="77777777" w:rsidTr="001632EC">
        <w:tc>
          <w:tcPr>
            <w:tcW w:w="579" w:type="dxa"/>
            <w:vAlign w:val="top"/>
          </w:tcPr>
          <w:p w14:paraId="4BB6EF32" w14:textId="77777777" w:rsidR="00F42759" w:rsidRPr="00092ED7" w:rsidRDefault="00F42759" w:rsidP="001632EC">
            <w:pPr>
              <w:spacing w:before="0" w:after="0"/>
              <w:ind w:left="113" w:right="113"/>
              <w:jc w:val="left"/>
              <w:rPr>
                <w:rFonts w:cs="Times New Roman"/>
                <w:b/>
                <w:sz w:val="22"/>
                <w:szCs w:val="22"/>
                <w:lang w:val="sr-Cyrl-CS"/>
              </w:rPr>
            </w:pPr>
            <w:r w:rsidRPr="00092ED7">
              <w:rPr>
                <w:rFonts w:cs="Times New Roman"/>
                <w:b/>
                <w:sz w:val="22"/>
                <w:szCs w:val="22"/>
                <w:lang w:val="sr-Cyrl-CS"/>
              </w:rPr>
              <w:t>11.</w:t>
            </w:r>
          </w:p>
        </w:tc>
        <w:tc>
          <w:tcPr>
            <w:tcW w:w="3981" w:type="dxa"/>
            <w:vAlign w:val="top"/>
          </w:tcPr>
          <w:p w14:paraId="44031EF1" w14:textId="77777777" w:rsidR="00F42759" w:rsidRPr="00092ED7" w:rsidRDefault="00F42759" w:rsidP="001632EC">
            <w:pPr>
              <w:spacing w:before="0" w:after="0"/>
              <w:ind w:left="113" w:right="113"/>
              <w:jc w:val="left"/>
              <w:rPr>
                <w:rFonts w:cs="Times New Roman"/>
                <w:b/>
                <w:sz w:val="22"/>
                <w:szCs w:val="22"/>
                <w:lang w:val="sr-Cyrl-CS"/>
              </w:rPr>
            </w:pPr>
            <w:r w:rsidRPr="00092ED7">
              <w:rPr>
                <w:rFonts w:cs="Times New Roman"/>
                <w:b/>
                <w:sz w:val="22"/>
                <w:szCs w:val="22"/>
                <w:lang w:val="sr-Cyrl-CS"/>
              </w:rPr>
              <w:t>Трансформација Пореске управе</w:t>
            </w:r>
          </w:p>
        </w:tc>
        <w:tc>
          <w:tcPr>
            <w:tcW w:w="4801" w:type="dxa"/>
          </w:tcPr>
          <w:p w14:paraId="46C6CBDB" w14:textId="7ED68725" w:rsidR="00F42759" w:rsidRPr="00092ED7" w:rsidRDefault="00F42759" w:rsidP="009056F8">
            <w:pPr>
              <w:spacing w:before="0" w:after="0"/>
              <w:ind w:left="113" w:right="113"/>
              <w:rPr>
                <w:rFonts w:cs="Times New Roman"/>
                <w:sz w:val="22"/>
                <w:szCs w:val="22"/>
                <w:lang w:val="sr-Cyrl-CS"/>
              </w:rPr>
            </w:pPr>
            <w:r w:rsidRPr="00092ED7">
              <w:rPr>
                <w:rFonts w:cs="Times New Roman"/>
                <w:sz w:val="22"/>
                <w:szCs w:val="22"/>
                <w:lang w:val="sr-Cyrl-CS"/>
              </w:rPr>
              <w:t xml:space="preserve">Реформа подразумева реализацију </w:t>
            </w:r>
            <w:r w:rsidRPr="00092ED7">
              <w:rPr>
                <w:rFonts w:cs="Times New Roman"/>
                <w:i/>
                <w:sz w:val="22"/>
                <w:szCs w:val="22"/>
                <w:lang w:val="sr-Cyrl-CS"/>
              </w:rPr>
              <w:t>Програма трансформације Пореске управе за период 2021-2025. године</w:t>
            </w:r>
            <w:r w:rsidRPr="00092ED7">
              <w:rPr>
                <w:rFonts w:cs="Times New Roman"/>
                <w:sz w:val="22"/>
                <w:szCs w:val="22"/>
                <w:lang w:val="sr-Cyrl-CS"/>
              </w:rPr>
              <w:t xml:space="preserve">, који представља оквир и </w:t>
            </w:r>
            <w:r w:rsidRPr="00092ED7">
              <w:rPr>
                <w:rFonts w:cs="Times New Roman"/>
                <w:iCs/>
                <w:sz w:val="22"/>
                <w:szCs w:val="22"/>
                <w:lang w:val="sr-Cyrl-CS"/>
              </w:rPr>
              <w:t>дефинише пут који води до модерне и ефикасне Пореске управе 2025. године – институција која обезбеђује одрживе и предвидиве јавне финансије, тако да је присутна, доступна и интегрисана у природно окружење пореског обвезника; институција која артикулише интересе и потребе пословне заједнице ка</w:t>
            </w:r>
            <w:r w:rsidR="009056F8" w:rsidRPr="00092ED7">
              <w:rPr>
                <w:rFonts w:cs="Times New Roman"/>
                <w:iCs/>
                <w:sz w:val="22"/>
                <w:szCs w:val="22"/>
                <w:lang w:val="sr-Cyrl-CS"/>
              </w:rPr>
              <w:t xml:space="preserve"> </w:t>
            </w:r>
            <w:r w:rsidR="009056F8" w:rsidRPr="00092ED7">
              <w:rPr>
                <w:rFonts w:cs="Times New Roman"/>
                <w:iCs/>
                <w:sz w:val="22"/>
                <w:szCs w:val="22"/>
                <w:lang w:val="sr-Cyrl-CS"/>
              </w:rPr>
              <w:lastRenderedPageBreak/>
              <w:t>Министарству финансија и Влади.</w:t>
            </w:r>
            <w:r w:rsidRPr="00092ED7">
              <w:rPr>
                <w:rFonts w:cs="Times New Roman"/>
                <w:iCs/>
                <w:sz w:val="22"/>
                <w:szCs w:val="22"/>
                <w:lang w:val="sr-Cyrl-CS"/>
              </w:rPr>
              <w:t xml:space="preserve"> Кроз рад са модерном Пореском управом, пореским обвезницима ће бити поједностављено испуњење пореских обавеза, што уз адекватно вођење пореске политике представља основни предуслов за раст добровољног поштовања пореских прописа, сузбијање сиве економије и здрав и конкурентан привредни развој у Републици Србији.</w:t>
            </w:r>
          </w:p>
        </w:tc>
      </w:tr>
      <w:tr w:rsidR="00F42759" w:rsidRPr="00092ED7" w14:paraId="3AB05F1B" w14:textId="77777777" w:rsidTr="001632EC">
        <w:trPr>
          <w:trHeight w:val="397"/>
        </w:trPr>
        <w:tc>
          <w:tcPr>
            <w:tcW w:w="9361" w:type="dxa"/>
            <w:gridSpan w:val="3"/>
            <w:shd w:val="clear" w:color="auto" w:fill="DEEAF6" w:themeFill="accent1" w:themeFillTint="33"/>
          </w:tcPr>
          <w:p w14:paraId="0EAA69FA" w14:textId="77777777" w:rsidR="00F42759" w:rsidRPr="00092ED7" w:rsidRDefault="00F42759" w:rsidP="001632EC">
            <w:pPr>
              <w:spacing w:before="0" w:after="0"/>
              <w:ind w:left="113" w:right="113"/>
              <w:rPr>
                <w:rFonts w:cs="Times New Roman"/>
                <w:b/>
                <w:sz w:val="22"/>
                <w:szCs w:val="22"/>
                <w:highlight w:val="green"/>
                <w:lang w:val="sr-Cyrl-CS"/>
              </w:rPr>
            </w:pPr>
            <w:r w:rsidRPr="00092ED7">
              <w:rPr>
                <w:rFonts w:cs="Times New Roman"/>
                <w:b/>
                <w:sz w:val="22"/>
                <w:szCs w:val="22"/>
                <w:lang w:val="sr-Cyrl-CS"/>
              </w:rPr>
              <w:lastRenderedPageBreak/>
              <w:t>Област 2: ЗЕЛЕНА ТРАНЗИЦИЈА</w:t>
            </w:r>
          </w:p>
        </w:tc>
      </w:tr>
      <w:tr w:rsidR="00F42759" w:rsidRPr="00092ED7" w14:paraId="203E229B" w14:textId="77777777" w:rsidTr="001632EC">
        <w:tc>
          <w:tcPr>
            <w:tcW w:w="579" w:type="dxa"/>
            <w:shd w:val="clear" w:color="auto" w:fill="DEEAF6" w:themeFill="accent1" w:themeFillTint="33"/>
          </w:tcPr>
          <w:p w14:paraId="1B3D6CFF" w14:textId="77777777" w:rsidR="00F42759" w:rsidRPr="00092ED7" w:rsidRDefault="00F42759" w:rsidP="001632EC">
            <w:pPr>
              <w:spacing w:before="0" w:after="0"/>
              <w:ind w:left="113" w:right="113"/>
              <w:jc w:val="left"/>
              <w:rPr>
                <w:rFonts w:cs="Times New Roman"/>
                <w:b/>
                <w:sz w:val="22"/>
                <w:szCs w:val="22"/>
                <w:lang w:val="sr-Cyrl-CS"/>
              </w:rPr>
            </w:pPr>
            <w:r w:rsidRPr="00092ED7">
              <w:rPr>
                <w:rFonts w:cs="Times New Roman"/>
                <w:b/>
                <w:sz w:val="22"/>
                <w:szCs w:val="22"/>
                <w:lang w:val="sr-Cyrl-CS"/>
              </w:rPr>
              <w:t>СР</w:t>
            </w:r>
            <w:r w:rsidR="001632EC" w:rsidRPr="00092ED7">
              <w:rPr>
                <w:rFonts w:cs="Times New Roman"/>
                <w:b/>
                <w:sz w:val="22"/>
                <w:szCs w:val="22"/>
                <w:lang w:val="sr-Cyrl-CS"/>
              </w:rPr>
              <w:t xml:space="preserve"> </w:t>
            </w:r>
            <w:r w:rsidRPr="00092ED7">
              <w:rPr>
                <w:rFonts w:cs="Times New Roman"/>
                <w:b/>
                <w:sz w:val="22"/>
                <w:szCs w:val="22"/>
                <w:lang w:val="sr-Cyrl-CS"/>
              </w:rPr>
              <w:t>р.б.</w:t>
            </w:r>
          </w:p>
        </w:tc>
        <w:tc>
          <w:tcPr>
            <w:tcW w:w="3981" w:type="dxa"/>
            <w:shd w:val="clear" w:color="auto" w:fill="DEEAF6" w:themeFill="accent1" w:themeFillTint="33"/>
          </w:tcPr>
          <w:p w14:paraId="1E8B327A" w14:textId="77777777" w:rsidR="00F42759" w:rsidRPr="00092ED7" w:rsidRDefault="00F42759" w:rsidP="001632EC">
            <w:pPr>
              <w:spacing w:before="0" w:after="0"/>
              <w:ind w:left="113" w:right="113"/>
              <w:jc w:val="left"/>
              <w:rPr>
                <w:rFonts w:cs="Times New Roman"/>
                <w:b/>
                <w:sz w:val="22"/>
                <w:szCs w:val="22"/>
                <w:lang w:val="sr-Cyrl-CS"/>
              </w:rPr>
            </w:pPr>
            <w:r w:rsidRPr="00092ED7">
              <w:rPr>
                <w:rFonts w:cs="Times New Roman"/>
                <w:b/>
                <w:sz w:val="22"/>
                <w:szCs w:val="22"/>
                <w:lang w:val="sr-Cyrl-CS"/>
              </w:rPr>
              <w:t>Назив структурне реформе</w:t>
            </w:r>
          </w:p>
        </w:tc>
        <w:tc>
          <w:tcPr>
            <w:tcW w:w="4801" w:type="dxa"/>
            <w:shd w:val="clear" w:color="auto" w:fill="DEEAF6" w:themeFill="accent1" w:themeFillTint="33"/>
          </w:tcPr>
          <w:p w14:paraId="5D1C42DE" w14:textId="77777777" w:rsidR="00F42759" w:rsidRPr="00092ED7" w:rsidRDefault="00F42759" w:rsidP="001632EC">
            <w:pPr>
              <w:spacing w:before="0" w:after="0"/>
              <w:ind w:left="113" w:right="113"/>
              <w:jc w:val="left"/>
              <w:rPr>
                <w:rFonts w:cs="Times New Roman"/>
                <w:b/>
                <w:sz w:val="22"/>
                <w:szCs w:val="22"/>
                <w:lang w:val="sr-Cyrl-CS"/>
              </w:rPr>
            </w:pPr>
            <w:r w:rsidRPr="00092ED7">
              <w:rPr>
                <w:rFonts w:cs="Times New Roman"/>
                <w:b/>
                <w:sz w:val="22"/>
                <w:szCs w:val="22"/>
                <w:lang w:val="sr-Cyrl-CS"/>
              </w:rPr>
              <w:t>Опис структурне реформе</w:t>
            </w:r>
          </w:p>
        </w:tc>
      </w:tr>
      <w:tr w:rsidR="001632EC" w:rsidRPr="00092ED7" w14:paraId="73D22A8F" w14:textId="77777777" w:rsidTr="001632EC">
        <w:tc>
          <w:tcPr>
            <w:tcW w:w="579" w:type="dxa"/>
            <w:vAlign w:val="top"/>
          </w:tcPr>
          <w:p w14:paraId="0AC253A0" w14:textId="77777777" w:rsidR="00F42759" w:rsidRPr="00092ED7" w:rsidRDefault="00F42759" w:rsidP="001632EC">
            <w:pPr>
              <w:spacing w:before="0" w:after="0"/>
              <w:ind w:left="113" w:right="113"/>
              <w:jc w:val="left"/>
              <w:rPr>
                <w:rFonts w:cs="Times New Roman"/>
                <w:b/>
                <w:sz w:val="22"/>
                <w:szCs w:val="22"/>
                <w:lang w:val="sr-Cyrl-CS"/>
              </w:rPr>
            </w:pPr>
            <w:r w:rsidRPr="00092ED7">
              <w:rPr>
                <w:rFonts w:cs="Times New Roman"/>
                <w:b/>
                <w:sz w:val="22"/>
                <w:szCs w:val="22"/>
                <w:lang w:val="sr-Cyrl-CS"/>
              </w:rPr>
              <w:t>12.</w:t>
            </w:r>
          </w:p>
        </w:tc>
        <w:tc>
          <w:tcPr>
            <w:tcW w:w="3981" w:type="dxa"/>
            <w:vAlign w:val="top"/>
          </w:tcPr>
          <w:p w14:paraId="5C0EE742" w14:textId="77777777" w:rsidR="00F42759" w:rsidRPr="00092ED7" w:rsidRDefault="00F42759" w:rsidP="001632EC">
            <w:pPr>
              <w:spacing w:before="0" w:after="0"/>
              <w:ind w:left="113" w:right="113"/>
              <w:jc w:val="left"/>
              <w:rPr>
                <w:rFonts w:cs="Times New Roman"/>
                <w:b/>
                <w:bCs/>
                <w:sz w:val="22"/>
                <w:szCs w:val="22"/>
                <w:highlight w:val="green"/>
                <w:lang w:val="sr-Cyrl-CS"/>
              </w:rPr>
            </w:pPr>
            <w:r w:rsidRPr="00092ED7">
              <w:rPr>
                <w:rFonts w:cs="Times New Roman"/>
                <w:b/>
                <w:bCs/>
                <w:sz w:val="22"/>
                <w:szCs w:val="22"/>
                <w:lang w:val="sr-Cyrl-CS"/>
              </w:rPr>
              <w:t>Примена циркуларне економије у стварању повољног окружења за зелену транзицију</w:t>
            </w:r>
          </w:p>
        </w:tc>
        <w:tc>
          <w:tcPr>
            <w:tcW w:w="4801" w:type="dxa"/>
          </w:tcPr>
          <w:p w14:paraId="42CAA96A" w14:textId="154A62AC" w:rsidR="00F42759" w:rsidRPr="00092ED7" w:rsidRDefault="00F42759" w:rsidP="001632EC">
            <w:pPr>
              <w:spacing w:before="0" w:after="0"/>
              <w:ind w:left="113" w:right="113"/>
              <w:rPr>
                <w:rFonts w:cs="Times New Roman"/>
                <w:sz w:val="22"/>
                <w:szCs w:val="22"/>
                <w:highlight w:val="green"/>
                <w:lang w:val="sr-Cyrl-CS"/>
              </w:rPr>
            </w:pPr>
            <w:r w:rsidRPr="00092ED7">
              <w:rPr>
                <w:rFonts w:cs="Times New Roman"/>
                <w:sz w:val="22"/>
                <w:szCs w:val="22"/>
                <w:lang w:val="sr-Cyrl-CS"/>
              </w:rPr>
              <w:t xml:space="preserve">Реформа подразумева подршку привредним субјектима и локалним самоуправама у области циркуларне економије, унапређење сарадње пословне и академске заједнице и пружање подршке јавном сектору и привреди за успешну примену зелених јавних набавки у </w:t>
            </w:r>
            <w:r w:rsidR="007F5867" w:rsidRPr="00092ED7">
              <w:rPr>
                <w:rFonts w:cs="Times New Roman"/>
                <w:sz w:val="22"/>
                <w:lang w:val="sr-Cyrl-CS"/>
              </w:rPr>
              <w:t>Републици</w:t>
            </w:r>
            <w:r w:rsidR="007F5867" w:rsidRPr="00092ED7">
              <w:rPr>
                <w:rFonts w:cs="Times New Roman"/>
                <w:sz w:val="22"/>
                <w:szCs w:val="22"/>
                <w:lang w:val="sr-Cyrl-CS"/>
              </w:rPr>
              <w:t xml:space="preserve"> </w:t>
            </w:r>
            <w:r w:rsidRPr="00092ED7">
              <w:rPr>
                <w:rFonts w:cs="Times New Roman"/>
                <w:sz w:val="22"/>
                <w:szCs w:val="22"/>
                <w:lang w:val="sr-Cyrl-CS"/>
              </w:rPr>
              <w:t>Србији. Концепт циркуларне економије који повезује многе области, има за циљ покретање зелене привредне транзиције Републике Србије, уз ефикасно коришћење ресурса и енергије и очување и унапређење животне средине и здравља људи.</w:t>
            </w:r>
          </w:p>
        </w:tc>
      </w:tr>
      <w:tr w:rsidR="00F42759" w:rsidRPr="00092ED7" w14:paraId="02AB5162" w14:textId="77777777" w:rsidTr="001632EC">
        <w:trPr>
          <w:trHeight w:val="397"/>
        </w:trPr>
        <w:tc>
          <w:tcPr>
            <w:tcW w:w="9361" w:type="dxa"/>
            <w:gridSpan w:val="3"/>
            <w:shd w:val="clear" w:color="auto" w:fill="DEEAF6" w:themeFill="accent1" w:themeFillTint="33"/>
          </w:tcPr>
          <w:p w14:paraId="60B7B518" w14:textId="77777777" w:rsidR="00F42759" w:rsidRPr="00092ED7" w:rsidRDefault="00F42759" w:rsidP="001632EC">
            <w:pPr>
              <w:spacing w:before="0" w:after="0"/>
              <w:ind w:left="113" w:right="113"/>
              <w:rPr>
                <w:rFonts w:cs="Times New Roman"/>
                <w:b/>
                <w:sz w:val="22"/>
                <w:szCs w:val="22"/>
                <w:highlight w:val="green"/>
                <w:lang w:val="sr-Cyrl-CS"/>
              </w:rPr>
            </w:pPr>
            <w:r w:rsidRPr="00092ED7">
              <w:rPr>
                <w:rFonts w:cs="Times New Roman"/>
                <w:b/>
                <w:sz w:val="22"/>
                <w:szCs w:val="22"/>
                <w:lang w:val="sr-Cyrl-CS"/>
              </w:rPr>
              <w:t>Област 3: ДИГИТАЛНА ТРАНСФОРМАЦИЈА</w:t>
            </w:r>
          </w:p>
        </w:tc>
      </w:tr>
      <w:tr w:rsidR="00F42759" w:rsidRPr="00092ED7" w14:paraId="22B9031D" w14:textId="77777777" w:rsidTr="001632EC">
        <w:tc>
          <w:tcPr>
            <w:tcW w:w="579" w:type="dxa"/>
            <w:shd w:val="clear" w:color="auto" w:fill="DEEAF6" w:themeFill="accent1" w:themeFillTint="33"/>
          </w:tcPr>
          <w:p w14:paraId="015DD327" w14:textId="77777777" w:rsidR="00F42759" w:rsidRPr="00092ED7" w:rsidRDefault="00F42759" w:rsidP="001632EC">
            <w:pPr>
              <w:spacing w:before="0" w:after="0"/>
              <w:ind w:left="113" w:right="113"/>
              <w:jc w:val="left"/>
              <w:rPr>
                <w:rFonts w:cs="Times New Roman"/>
                <w:b/>
                <w:sz w:val="22"/>
                <w:szCs w:val="22"/>
                <w:lang w:val="sr-Cyrl-CS"/>
              </w:rPr>
            </w:pPr>
            <w:r w:rsidRPr="00092ED7">
              <w:rPr>
                <w:rFonts w:cs="Times New Roman"/>
                <w:b/>
                <w:sz w:val="22"/>
                <w:szCs w:val="22"/>
                <w:lang w:val="sr-Cyrl-CS"/>
              </w:rPr>
              <w:t>СР</w:t>
            </w:r>
            <w:r w:rsidR="001632EC" w:rsidRPr="00092ED7">
              <w:rPr>
                <w:rFonts w:cs="Times New Roman"/>
                <w:b/>
                <w:sz w:val="22"/>
                <w:szCs w:val="22"/>
                <w:lang w:val="sr-Cyrl-CS"/>
              </w:rPr>
              <w:t xml:space="preserve"> </w:t>
            </w:r>
            <w:r w:rsidRPr="00092ED7">
              <w:rPr>
                <w:rFonts w:cs="Times New Roman"/>
                <w:b/>
                <w:sz w:val="22"/>
                <w:szCs w:val="22"/>
                <w:lang w:val="sr-Cyrl-CS"/>
              </w:rPr>
              <w:t>р.б.</w:t>
            </w:r>
          </w:p>
        </w:tc>
        <w:tc>
          <w:tcPr>
            <w:tcW w:w="3981" w:type="dxa"/>
            <w:shd w:val="clear" w:color="auto" w:fill="DEEAF6" w:themeFill="accent1" w:themeFillTint="33"/>
          </w:tcPr>
          <w:p w14:paraId="077A3BA4" w14:textId="77777777" w:rsidR="00F42759" w:rsidRPr="00092ED7" w:rsidRDefault="00F42759" w:rsidP="001632EC">
            <w:pPr>
              <w:spacing w:before="0" w:after="0"/>
              <w:ind w:left="113" w:right="113"/>
              <w:jc w:val="left"/>
              <w:rPr>
                <w:rFonts w:cs="Times New Roman"/>
                <w:b/>
                <w:sz w:val="22"/>
                <w:szCs w:val="22"/>
                <w:lang w:val="sr-Cyrl-CS"/>
              </w:rPr>
            </w:pPr>
            <w:r w:rsidRPr="00092ED7">
              <w:rPr>
                <w:rFonts w:cs="Times New Roman"/>
                <w:b/>
                <w:sz w:val="22"/>
                <w:szCs w:val="22"/>
                <w:lang w:val="sr-Cyrl-CS"/>
              </w:rPr>
              <w:t>Назив структурне реформе</w:t>
            </w:r>
          </w:p>
        </w:tc>
        <w:tc>
          <w:tcPr>
            <w:tcW w:w="4801" w:type="dxa"/>
            <w:shd w:val="clear" w:color="auto" w:fill="DEEAF6" w:themeFill="accent1" w:themeFillTint="33"/>
          </w:tcPr>
          <w:p w14:paraId="774EBD17" w14:textId="77777777" w:rsidR="00F42759" w:rsidRPr="00092ED7" w:rsidRDefault="00F42759" w:rsidP="001632EC">
            <w:pPr>
              <w:spacing w:before="0" w:after="0"/>
              <w:ind w:left="113" w:right="113"/>
              <w:jc w:val="left"/>
              <w:rPr>
                <w:rFonts w:cs="Times New Roman"/>
                <w:b/>
                <w:sz w:val="22"/>
                <w:szCs w:val="22"/>
                <w:lang w:val="sr-Cyrl-CS"/>
              </w:rPr>
            </w:pPr>
            <w:r w:rsidRPr="00092ED7">
              <w:rPr>
                <w:rFonts w:cs="Times New Roman"/>
                <w:b/>
                <w:sz w:val="22"/>
                <w:szCs w:val="22"/>
                <w:lang w:val="sr-Cyrl-CS"/>
              </w:rPr>
              <w:t>Опис структурне реформе</w:t>
            </w:r>
          </w:p>
        </w:tc>
      </w:tr>
      <w:tr w:rsidR="001632EC" w:rsidRPr="00092ED7" w14:paraId="0342F35D" w14:textId="77777777" w:rsidTr="001632EC">
        <w:tc>
          <w:tcPr>
            <w:tcW w:w="579" w:type="dxa"/>
            <w:vAlign w:val="top"/>
          </w:tcPr>
          <w:p w14:paraId="2EB940D5" w14:textId="77777777" w:rsidR="00F42759" w:rsidRPr="00092ED7" w:rsidRDefault="00F42759" w:rsidP="001632EC">
            <w:pPr>
              <w:spacing w:before="0" w:after="0"/>
              <w:ind w:left="113" w:right="113"/>
              <w:jc w:val="left"/>
              <w:rPr>
                <w:rFonts w:cs="Times New Roman"/>
                <w:b/>
                <w:sz w:val="22"/>
                <w:szCs w:val="22"/>
                <w:lang w:val="sr-Cyrl-CS"/>
              </w:rPr>
            </w:pPr>
            <w:r w:rsidRPr="00092ED7">
              <w:rPr>
                <w:rFonts w:cs="Times New Roman"/>
                <w:b/>
                <w:sz w:val="22"/>
                <w:szCs w:val="22"/>
                <w:lang w:val="sr-Cyrl-CS"/>
              </w:rPr>
              <w:t>13.</w:t>
            </w:r>
          </w:p>
        </w:tc>
        <w:tc>
          <w:tcPr>
            <w:tcW w:w="3981" w:type="dxa"/>
            <w:vAlign w:val="top"/>
          </w:tcPr>
          <w:p w14:paraId="13F9084B" w14:textId="77777777" w:rsidR="00F42759" w:rsidRPr="00092ED7" w:rsidRDefault="00F42759" w:rsidP="001632EC">
            <w:pPr>
              <w:spacing w:before="0" w:after="0"/>
              <w:ind w:left="113" w:right="113"/>
              <w:jc w:val="left"/>
              <w:rPr>
                <w:rFonts w:cs="Times New Roman"/>
                <w:b/>
                <w:sz w:val="22"/>
                <w:szCs w:val="22"/>
                <w:highlight w:val="green"/>
                <w:lang w:val="sr-Cyrl-CS"/>
              </w:rPr>
            </w:pPr>
            <w:r w:rsidRPr="00092ED7">
              <w:rPr>
                <w:rFonts w:cs="Times New Roman"/>
                <w:b/>
                <w:sz w:val="22"/>
                <w:szCs w:val="22"/>
                <w:lang w:val="sr-Cyrl-CS"/>
              </w:rPr>
              <w:t>Развој и унапређење националне информационо-комуникационе инфраструктуре</w:t>
            </w:r>
          </w:p>
        </w:tc>
        <w:tc>
          <w:tcPr>
            <w:tcW w:w="4801" w:type="dxa"/>
          </w:tcPr>
          <w:p w14:paraId="53BFE1B6" w14:textId="77777777" w:rsidR="00F42759" w:rsidRPr="00092ED7" w:rsidRDefault="00F42759" w:rsidP="001632EC">
            <w:pPr>
              <w:tabs>
                <w:tab w:val="left" w:pos="1134"/>
              </w:tabs>
              <w:spacing w:before="0" w:after="0"/>
              <w:ind w:left="113" w:right="113"/>
              <w:rPr>
                <w:rFonts w:cs="Times New Roman"/>
                <w:sz w:val="22"/>
                <w:szCs w:val="22"/>
                <w:highlight w:val="green"/>
                <w:lang w:val="sr-Cyrl-CS"/>
              </w:rPr>
            </w:pPr>
            <w:r w:rsidRPr="00092ED7">
              <w:rPr>
                <w:rFonts w:cs="Times New Roman"/>
                <w:sz w:val="22"/>
                <w:szCs w:val="22"/>
                <w:lang w:val="sr-Cyrl-CS"/>
              </w:rPr>
              <w:t xml:space="preserve">Реформа подразумева развој широкопојасних мрежа за приступ, израду детаљних мапа доступности услуга широкопојасног приступа у Републици Србији и побољшање услова образовања и повећање коришћења сервиса електронске управе. Позитиван ефекат реализације реформе огледа се кроз </w:t>
            </w:r>
            <w:r w:rsidRPr="00092ED7">
              <w:rPr>
                <w:rFonts w:eastAsia="Times New Roman" w:cs="Times New Roman"/>
                <w:color w:val="000000"/>
                <w:sz w:val="22"/>
                <w:szCs w:val="22"/>
                <w:lang w:val="sr-Cyrl-CS"/>
              </w:rPr>
              <w:t>развој руралних области, повезивање привредних региона, развој индустријских зона, као и повећање употребе нових технологија и иновација у пословању и образовању.</w:t>
            </w:r>
          </w:p>
        </w:tc>
      </w:tr>
      <w:tr w:rsidR="001632EC" w:rsidRPr="00092ED7" w14:paraId="033F4959" w14:textId="77777777" w:rsidTr="001632EC">
        <w:tc>
          <w:tcPr>
            <w:tcW w:w="579" w:type="dxa"/>
            <w:vAlign w:val="top"/>
          </w:tcPr>
          <w:p w14:paraId="3A7EEE02" w14:textId="77777777" w:rsidR="00F42759" w:rsidRPr="00092ED7" w:rsidRDefault="00F42759" w:rsidP="001632EC">
            <w:pPr>
              <w:spacing w:before="0" w:after="0"/>
              <w:ind w:left="113" w:right="113"/>
              <w:jc w:val="left"/>
              <w:rPr>
                <w:rFonts w:cs="Times New Roman"/>
                <w:b/>
                <w:sz w:val="22"/>
                <w:szCs w:val="22"/>
                <w:lang w:val="sr-Cyrl-CS"/>
              </w:rPr>
            </w:pPr>
            <w:r w:rsidRPr="00092ED7">
              <w:rPr>
                <w:rFonts w:cs="Times New Roman"/>
                <w:b/>
                <w:sz w:val="22"/>
                <w:szCs w:val="22"/>
                <w:lang w:val="sr-Cyrl-CS"/>
              </w:rPr>
              <w:t>14.</w:t>
            </w:r>
          </w:p>
        </w:tc>
        <w:tc>
          <w:tcPr>
            <w:tcW w:w="3981" w:type="dxa"/>
            <w:vAlign w:val="top"/>
          </w:tcPr>
          <w:p w14:paraId="327D978D" w14:textId="77777777" w:rsidR="00F42759" w:rsidRPr="00092ED7" w:rsidRDefault="00F42759" w:rsidP="001632EC">
            <w:pPr>
              <w:spacing w:before="0" w:after="0"/>
              <w:ind w:left="113" w:right="113"/>
              <w:jc w:val="left"/>
              <w:rPr>
                <w:rFonts w:cs="Times New Roman"/>
                <w:b/>
                <w:sz w:val="22"/>
                <w:szCs w:val="22"/>
                <w:highlight w:val="green"/>
                <w:lang w:val="sr-Cyrl-CS"/>
              </w:rPr>
            </w:pPr>
            <w:r w:rsidRPr="00092ED7">
              <w:rPr>
                <w:rFonts w:cs="Times New Roman"/>
                <w:b/>
                <w:sz w:val="22"/>
                <w:szCs w:val="22"/>
                <w:lang w:val="sr-Cyrl-CS"/>
              </w:rPr>
              <w:t>Успостављање инфраструктуре и окружења за креирање и примену иновативних ИТ решења</w:t>
            </w:r>
          </w:p>
        </w:tc>
        <w:tc>
          <w:tcPr>
            <w:tcW w:w="4801" w:type="dxa"/>
          </w:tcPr>
          <w:p w14:paraId="172BB805" w14:textId="4E60D2D3" w:rsidR="00F42759" w:rsidRPr="00092ED7" w:rsidRDefault="00F42759" w:rsidP="001632EC">
            <w:pPr>
              <w:spacing w:before="0" w:after="0"/>
              <w:ind w:left="113" w:right="113"/>
              <w:rPr>
                <w:rFonts w:cs="Times New Roman"/>
                <w:sz w:val="22"/>
                <w:szCs w:val="22"/>
                <w:lang w:val="sr-Cyrl-CS"/>
              </w:rPr>
            </w:pPr>
            <w:r w:rsidRPr="00092ED7">
              <w:rPr>
                <w:rFonts w:cs="Times New Roman"/>
                <w:sz w:val="22"/>
                <w:szCs w:val="22"/>
                <w:lang w:val="sr-Cyrl-CS"/>
              </w:rPr>
              <w:t xml:space="preserve">Реформа подразумева: даљу реализацију пројекта </w:t>
            </w:r>
            <w:r w:rsidRPr="00092ED7">
              <w:rPr>
                <w:rFonts w:cs="Times New Roman"/>
                <w:i/>
                <w:sz w:val="22"/>
                <w:szCs w:val="22"/>
                <w:lang w:val="sr-Cyrl-CS"/>
              </w:rPr>
              <w:t xml:space="preserve">Smart City </w:t>
            </w:r>
            <w:r w:rsidRPr="00092ED7">
              <w:rPr>
                <w:rFonts w:cs="Times New Roman"/>
                <w:sz w:val="22"/>
                <w:szCs w:val="22"/>
                <w:lang w:val="sr-Cyrl-CS"/>
              </w:rPr>
              <w:t>- који ће омогућити боље и квалитетније функционисање јединица локалне самоуправе употребом иновативних ИТ решења; изградњу објекта „Иновациони дистрикт</w:t>
            </w:r>
            <w:r w:rsidR="000F68D4" w:rsidRPr="00092ED7">
              <w:rPr>
                <w:rFonts w:cs="Times New Roman"/>
                <w:sz w:val="22"/>
                <w:szCs w:val="22"/>
                <w:lang w:val="sr-Cyrl-CS"/>
              </w:rPr>
              <w:t>ˮ</w:t>
            </w:r>
            <w:r w:rsidRPr="00092ED7">
              <w:rPr>
                <w:rFonts w:cs="Times New Roman"/>
                <w:sz w:val="22"/>
                <w:szCs w:val="22"/>
                <w:lang w:val="sr-Cyrl-CS"/>
              </w:rPr>
              <w:t xml:space="preserve"> у оквиру </w:t>
            </w:r>
            <w:r w:rsidR="000F68D4" w:rsidRPr="00092ED7">
              <w:rPr>
                <w:rFonts w:cs="Times New Roman"/>
                <w:sz w:val="22"/>
                <w:szCs w:val="22"/>
                <w:lang w:val="sr-Cyrl-CS"/>
              </w:rPr>
              <w:t>ДДЦ</w:t>
            </w:r>
            <w:r w:rsidRPr="00092ED7">
              <w:rPr>
                <w:rFonts w:cs="Times New Roman"/>
                <w:sz w:val="22"/>
                <w:szCs w:val="22"/>
                <w:lang w:val="sr-Cyrl-CS"/>
              </w:rPr>
              <w:t xml:space="preserve"> у Крагујевцу - који ће омогућити развој ученика и студената, пружити им могућност да тестирају и промовишу своје идеје, повезују са домаћим и страним привредним субјектима који већ користе или ће у будућности користити капацитете ДДЦ (клауд, AI платформа, итд.), док ће привредним субјектима бити омогућено да дођу до нових идеја и решења и да се упознају са потенцијалом талентованих ученика и студената.</w:t>
            </w:r>
          </w:p>
        </w:tc>
      </w:tr>
      <w:tr w:rsidR="001632EC" w:rsidRPr="00092ED7" w14:paraId="2C488CA2" w14:textId="77777777" w:rsidTr="001632EC">
        <w:tc>
          <w:tcPr>
            <w:tcW w:w="579" w:type="dxa"/>
            <w:vAlign w:val="top"/>
          </w:tcPr>
          <w:p w14:paraId="2DED9148" w14:textId="77777777" w:rsidR="00F42759" w:rsidRPr="00092ED7" w:rsidRDefault="00F42759" w:rsidP="001632EC">
            <w:pPr>
              <w:spacing w:before="0" w:after="0"/>
              <w:ind w:left="113" w:right="113"/>
              <w:jc w:val="left"/>
              <w:rPr>
                <w:rFonts w:cs="Times New Roman"/>
                <w:b/>
                <w:sz w:val="22"/>
                <w:szCs w:val="22"/>
                <w:lang w:val="sr-Cyrl-CS"/>
              </w:rPr>
            </w:pPr>
            <w:r w:rsidRPr="00092ED7">
              <w:rPr>
                <w:rFonts w:cs="Times New Roman"/>
                <w:b/>
                <w:sz w:val="22"/>
                <w:szCs w:val="22"/>
                <w:lang w:val="sr-Cyrl-CS"/>
              </w:rPr>
              <w:lastRenderedPageBreak/>
              <w:t>15.</w:t>
            </w:r>
          </w:p>
        </w:tc>
        <w:tc>
          <w:tcPr>
            <w:tcW w:w="3981" w:type="dxa"/>
            <w:vAlign w:val="top"/>
          </w:tcPr>
          <w:p w14:paraId="0DEB489C" w14:textId="77777777" w:rsidR="00F42759" w:rsidRPr="00092ED7" w:rsidRDefault="00F42759" w:rsidP="001632EC">
            <w:pPr>
              <w:spacing w:before="0" w:after="0"/>
              <w:ind w:left="113" w:right="113"/>
              <w:jc w:val="left"/>
              <w:rPr>
                <w:rFonts w:cs="Times New Roman"/>
                <w:b/>
                <w:sz w:val="22"/>
                <w:szCs w:val="22"/>
                <w:highlight w:val="green"/>
                <w:lang w:val="sr-Cyrl-CS"/>
              </w:rPr>
            </w:pPr>
            <w:r w:rsidRPr="00092ED7">
              <w:rPr>
                <w:rFonts w:cs="Times New Roman"/>
                <w:b/>
                <w:sz w:val="22"/>
                <w:szCs w:val="22"/>
                <w:lang w:val="sr-Cyrl-CS"/>
              </w:rPr>
              <w:t>Подршка развоју талената и креативних индустрија оснивањем мултифункционалног иновативно-креативног центра Ложионица</w:t>
            </w:r>
          </w:p>
        </w:tc>
        <w:tc>
          <w:tcPr>
            <w:tcW w:w="4801" w:type="dxa"/>
          </w:tcPr>
          <w:p w14:paraId="164D3DCD" w14:textId="3B5B503C" w:rsidR="00F42759" w:rsidRPr="00092ED7" w:rsidRDefault="00F42759" w:rsidP="001632EC">
            <w:pPr>
              <w:spacing w:before="0" w:after="0"/>
              <w:ind w:left="113" w:right="113"/>
              <w:rPr>
                <w:rFonts w:cs="Times New Roman"/>
                <w:sz w:val="22"/>
                <w:szCs w:val="22"/>
                <w:lang w:val="sr-Cyrl-CS"/>
              </w:rPr>
            </w:pPr>
            <w:r w:rsidRPr="00092ED7">
              <w:rPr>
                <w:rFonts w:cs="Times New Roman"/>
                <w:sz w:val="22"/>
                <w:szCs w:val="22"/>
                <w:lang w:val="sr-Cyrl-CS"/>
              </w:rPr>
              <w:t>Реформа подразумева успостављање јединственог простора осмишљеног тако да пружи сву неопходну (техничку) подршку развоју талената и креативних индустрија тиме што ће омогућити: локално и интернационално умрежавање, едукацију кроз преношење знања, презентовање примера добре праксе и могућност тестирања идеја и решења, као и њихову презентацију заинтересованим привредним субјектима, појединцима, групама и организацијама. Нови јавни мултифункционални простор ће бити створен реконструкцијом постојеће зграде Ложионице са водоторњем и изградњом нове анекс пословне зграде као део целине „Београда на води</w:t>
            </w:r>
            <w:r w:rsidR="00E556FE" w:rsidRPr="00092ED7">
              <w:rPr>
                <w:rFonts w:cs="Times New Roman"/>
                <w:sz w:val="22"/>
                <w:szCs w:val="22"/>
                <w:lang w:val="sr-Cyrl-CS"/>
              </w:rPr>
              <w:t>”</w:t>
            </w:r>
            <w:r w:rsidRPr="00092ED7">
              <w:rPr>
                <w:rFonts w:cs="Times New Roman"/>
                <w:sz w:val="22"/>
                <w:szCs w:val="22"/>
                <w:lang w:val="sr-Cyrl-CS"/>
              </w:rPr>
              <w:t>. Oсим за промовисање иновативности и стваралаштва биће намењен и ИТ индустрији. Реформа предвиђа и покретање програма подршке професионалним удружењима и образовних програма за професионалце из области креативних индустрија, као и покретање талент хаба.</w:t>
            </w:r>
          </w:p>
        </w:tc>
      </w:tr>
      <w:tr w:rsidR="00F42759" w:rsidRPr="00092ED7" w14:paraId="222835FE" w14:textId="77777777" w:rsidTr="001632EC">
        <w:trPr>
          <w:trHeight w:val="397"/>
        </w:trPr>
        <w:tc>
          <w:tcPr>
            <w:tcW w:w="9361" w:type="dxa"/>
            <w:gridSpan w:val="3"/>
            <w:shd w:val="clear" w:color="auto" w:fill="DEEAF6" w:themeFill="accent1" w:themeFillTint="33"/>
          </w:tcPr>
          <w:p w14:paraId="7647EE4D" w14:textId="77777777" w:rsidR="00F42759" w:rsidRPr="00092ED7" w:rsidRDefault="00F42759" w:rsidP="001632EC">
            <w:pPr>
              <w:spacing w:before="0" w:after="0"/>
              <w:ind w:left="113" w:right="113"/>
              <w:rPr>
                <w:rFonts w:cs="Times New Roman"/>
                <w:b/>
                <w:sz w:val="22"/>
                <w:szCs w:val="22"/>
                <w:lang w:val="sr-Cyrl-CS"/>
              </w:rPr>
            </w:pPr>
            <w:r w:rsidRPr="00092ED7">
              <w:rPr>
                <w:rFonts w:cs="Times New Roman"/>
                <w:b/>
                <w:sz w:val="22"/>
                <w:szCs w:val="22"/>
                <w:lang w:val="sr-Cyrl-CS"/>
              </w:rPr>
              <w:t>Област 4: ПОСЛОВНО ОКРУЖЕЊЕ И СМАЊЕЊЕ СИВЕ ЕКОНОМИЈЕ</w:t>
            </w:r>
          </w:p>
          <w:p w14:paraId="408DFCCE" w14:textId="77777777" w:rsidR="00F42759" w:rsidRPr="00092ED7" w:rsidRDefault="00F42759" w:rsidP="001632EC">
            <w:pPr>
              <w:spacing w:before="0" w:after="0"/>
              <w:ind w:left="113" w:right="113"/>
              <w:rPr>
                <w:rFonts w:cs="Times New Roman"/>
                <w:b/>
                <w:sz w:val="22"/>
                <w:szCs w:val="22"/>
                <w:highlight w:val="green"/>
                <w:lang w:val="sr-Cyrl-CS"/>
              </w:rPr>
            </w:pPr>
            <w:r w:rsidRPr="00092ED7">
              <w:rPr>
                <w:rFonts w:cs="Times New Roman"/>
                <w:b/>
                <w:sz w:val="22"/>
                <w:szCs w:val="22"/>
                <w:lang w:val="sr-Cyrl-CS"/>
              </w:rPr>
              <w:t xml:space="preserve">Релевантне реформе из ове области представљене су у </w:t>
            </w:r>
            <w:r w:rsidRPr="00092ED7">
              <w:rPr>
                <w:rFonts w:cs="Times New Roman"/>
                <w:b/>
                <w:i/>
                <w:sz w:val="22"/>
                <w:szCs w:val="22"/>
                <w:lang w:val="sr-Cyrl-CS"/>
              </w:rPr>
              <w:t>Кључном изазову број 2. Унапређење пословног амбијента повољнијег за инвестиције</w:t>
            </w:r>
            <w:r w:rsidRPr="00092ED7">
              <w:rPr>
                <w:rFonts w:cs="Times New Roman"/>
                <w:b/>
                <w:sz w:val="22"/>
                <w:szCs w:val="22"/>
                <w:lang w:val="sr-Cyrl-CS"/>
              </w:rPr>
              <w:t>)</w:t>
            </w:r>
          </w:p>
        </w:tc>
      </w:tr>
      <w:tr w:rsidR="00F42759" w:rsidRPr="00092ED7" w14:paraId="12501F24" w14:textId="77777777" w:rsidTr="001632EC">
        <w:trPr>
          <w:trHeight w:val="397"/>
        </w:trPr>
        <w:tc>
          <w:tcPr>
            <w:tcW w:w="9361" w:type="dxa"/>
            <w:gridSpan w:val="3"/>
            <w:shd w:val="clear" w:color="auto" w:fill="DEEAF6" w:themeFill="accent1" w:themeFillTint="33"/>
          </w:tcPr>
          <w:p w14:paraId="7BAC0BDD" w14:textId="77777777" w:rsidR="00F42759" w:rsidRPr="00092ED7" w:rsidRDefault="00F42759" w:rsidP="001632EC">
            <w:pPr>
              <w:spacing w:before="0" w:after="0"/>
              <w:ind w:left="113" w:right="113"/>
              <w:rPr>
                <w:rFonts w:cs="Times New Roman"/>
                <w:b/>
                <w:sz w:val="22"/>
                <w:szCs w:val="22"/>
                <w:highlight w:val="green"/>
                <w:lang w:val="sr-Cyrl-CS"/>
              </w:rPr>
            </w:pPr>
            <w:r w:rsidRPr="00092ED7">
              <w:rPr>
                <w:rFonts w:cs="Times New Roman"/>
                <w:b/>
                <w:sz w:val="22"/>
                <w:szCs w:val="22"/>
                <w:lang w:val="sr-Cyrl-CS"/>
              </w:rPr>
              <w:t>Област 5: ИСТРАЖИВАЊЕ, РАВОЈ И ИНОВАЦИЈЕ</w:t>
            </w:r>
          </w:p>
        </w:tc>
      </w:tr>
      <w:tr w:rsidR="00F42759" w:rsidRPr="00092ED7" w14:paraId="0AD87F13" w14:textId="77777777" w:rsidTr="001632EC">
        <w:tc>
          <w:tcPr>
            <w:tcW w:w="579" w:type="dxa"/>
            <w:shd w:val="clear" w:color="auto" w:fill="DEEAF6" w:themeFill="accent1" w:themeFillTint="33"/>
          </w:tcPr>
          <w:p w14:paraId="26C75350" w14:textId="77777777" w:rsidR="00F42759" w:rsidRPr="00092ED7" w:rsidRDefault="00F42759" w:rsidP="001632EC">
            <w:pPr>
              <w:spacing w:before="0" w:after="0"/>
              <w:ind w:left="113" w:right="113"/>
              <w:jc w:val="left"/>
              <w:rPr>
                <w:rFonts w:cs="Times New Roman"/>
                <w:b/>
                <w:sz w:val="22"/>
                <w:szCs w:val="22"/>
                <w:lang w:val="sr-Cyrl-CS"/>
              </w:rPr>
            </w:pPr>
            <w:r w:rsidRPr="00092ED7">
              <w:rPr>
                <w:rFonts w:cs="Times New Roman"/>
                <w:b/>
                <w:sz w:val="22"/>
                <w:szCs w:val="22"/>
                <w:lang w:val="sr-Cyrl-CS"/>
              </w:rPr>
              <w:t>СР</w:t>
            </w:r>
            <w:r w:rsidR="001632EC" w:rsidRPr="00092ED7">
              <w:rPr>
                <w:rFonts w:cs="Times New Roman"/>
                <w:b/>
                <w:sz w:val="22"/>
                <w:szCs w:val="22"/>
                <w:lang w:val="sr-Cyrl-CS"/>
              </w:rPr>
              <w:t xml:space="preserve"> </w:t>
            </w:r>
            <w:r w:rsidRPr="00092ED7">
              <w:rPr>
                <w:rFonts w:cs="Times New Roman"/>
                <w:b/>
                <w:sz w:val="22"/>
                <w:szCs w:val="22"/>
                <w:lang w:val="sr-Cyrl-CS"/>
              </w:rPr>
              <w:t>р.б.</w:t>
            </w:r>
          </w:p>
        </w:tc>
        <w:tc>
          <w:tcPr>
            <w:tcW w:w="3981" w:type="dxa"/>
            <w:shd w:val="clear" w:color="auto" w:fill="DEEAF6" w:themeFill="accent1" w:themeFillTint="33"/>
          </w:tcPr>
          <w:p w14:paraId="47D3F67C" w14:textId="77777777" w:rsidR="00F42759" w:rsidRPr="00092ED7" w:rsidRDefault="00F42759" w:rsidP="001632EC">
            <w:pPr>
              <w:spacing w:before="0" w:after="0"/>
              <w:ind w:left="113" w:right="113"/>
              <w:jc w:val="left"/>
              <w:rPr>
                <w:rFonts w:cs="Times New Roman"/>
                <w:b/>
                <w:sz w:val="22"/>
                <w:szCs w:val="22"/>
                <w:lang w:val="sr-Cyrl-CS"/>
              </w:rPr>
            </w:pPr>
            <w:r w:rsidRPr="00092ED7">
              <w:rPr>
                <w:rFonts w:cs="Times New Roman"/>
                <w:b/>
                <w:sz w:val="22"/>
                <w:szCs w:val="22"/>
                <w:lang w:val="sr-Cyrl-CS"/>
              </w:rPr>
              <w:t>Назив структурне реформе</w:t>
            </w:r>
          </w:p>
        </w:tc>
        <w:tc>
          <w:tcPr>
            <w:tcW w:w="4801" w:type="dxa"/>
            <w:shd w:val="clear" w:color="auto" w:fill="DEEAF6" w:themeFill="accent1" w:themeFillTint="33"/>
          </w:tcPr>
          <w:p w14:paraId="29A3C565" w14:textId="77777777" w:rsidR="00F42759" w:rsidRPr="00092ED7" w:rsidRDefault="00F42759" w:rsidP="001632EC">
            <w:pPr>
              <w:spacing w:before="0" w:after="0"/>
              <w:ind w:left="113" w:right="113"/>
              <w:jc w:val="left"/>
              <w:rPr>
                <w:rFonts w:cs="Times New Roman"/>
                <w:b/>
                <w:sz w:val="22"/>
                <w:szCs w:val="22"/>
                <w:lang w:val="sr-Cyrl-CS"/>
              </w:rPr>
            </w:pPr>
            <w:r w:rsidRPr="00092ED7">
              <w:rPr>
                <w:rFonts w:cs="Times New Roman"/>
                <w:b/>
                <w:sz w:val="22"/>
                <w:szCs w:val="22"/>
                <w:lang w:val="sr-Cyrl-CS"/>
              </w:rPr>
              <w:t>Опис структурне реформе</w:t>
            </w:r>
          </w:p>
        </w:tc>
      </w:tr>
      <w:tr w:rsidR="001632EC" w:rsidRPr="00092ED7" w14:paraId="51CF3483" w14:textId="77777777" w:rsidTr="001632EC">
        <w:tc>
          <w:tcPr>
            <w:tcW w:w="579" w:type="dxa"/>
            <w:vAlign w:val="top"/>
          </w:tcPr>
          <w:p w14:paraId="2E8FA50A" w14:textId="77777777" w:rsidR="00F42759" w:rsidRPr="00092ED7" w:rsidRDefault="00F42759" w:rsidP="001632EC">
            <w:pPr>
              <w:spacing w:before="0" w:after="0"/>
              <w:ind w:left="113" w:right="113"/>
              <w:jc w:val="left"/>
              <w:rPr>
                <w:rFonts w:cs="Times New Roman"/>
                <w:b/>
                <w:sz w:val="22"/>
                <w:szCs w:val="22"/>
                <w:lang w:val="sr-Cyrl-CS"/>
              </w:rPr>
            </w:pPr>
            <w:r w:rsidRPr="00092ED7">
              <w:rPr>
                <w:rFonts w:cs="Times New Roman"/>
                <w:b/>
                <w:sz w:val="22"/>
                <w:szCs w:val="22"/>
                <w:lang w:val="sr-Cyrl-CS"/>
              </w:rPr>
              <w:t>16.</w:t>
            </w:r>
          </w:p>
        </w:tc>
        <w:tc>
          <w:tcPr>
            <w:tcW w:w="3981" w:type="dxa"/>
            <w:vAlign w:val="top"/>
          </w:tcPr>
          <w:p w14:paraId="57BB3FC2" w14:textId="77777777" w:rsidR="00F42759" w:rsidRPr="00092ED7" w:rsidRDefault="00F42759" w:rsidP="001632EC">
            <w:pPr>
              <w:spacing w:before="0" w:after="0"/>
              <w:ind w:left="113" w:right="113"/>
              <w:jc w:val="left"/>
              <w:rPr>
                <w:rFonts w:cs="Times New Roman"/>
                <w:b/>
                <w:sz w:val="22"/>
                <w:szCs w:val="22"/>
                <w:highlight w:val="green"/>
                <w:lang w:val="sr-Cyrl-CS"/>
              </w:rPr>
            </w:pPr>
            <w:r w:rsidRPr="00092ED7">
              <w:rPr>
                <w:rFonts w:cs="Times New Roman"/>
                <w:b/>
                <w:sz w:val="22"/>
                <w:szCs w:val="22"/>
                <w:lang w:val="sr-Cyrl-CS"/>
              </w:rPr>
              <w:t>Развој стартап екосистема</w:t>
            </w:r>
          </w:p>
        </w:tc>
        <w:tc>
          <w:tcPr>
            <w:tcW w:w="4801" w:type="dxa"/>
          </w:tcPr>
          <w:p w14:paraId="4589C81F" w14:textId="61B80B44" w:rsidR="00F42759" w:rsidRPr="00092ED7" w:rsidRDefault="00F42759" w:rsidP="001632EC">
            <w:pPr>
              <w:spacing w:before="0" w:after="0"/>
              <w:ind w:left="113" w:right="113"/>
              <w:rPr>
                <w:rFonts w:cs="Times New Roman"/>
                <w:sz w:val="22"/>
                <w:szCs w:val="22"/>
                <w:highlight w:val="green"/>
                <w:lang w:val="sr-Cyrl-CS" w:bidi="sr-Cyrl-CS"/>
              </w:rPr>
            </w:pPr>
            <w:r w:rsidRPr="00092ED7">
              <w:rPr>
                <w:rFonts w:cs="Times New Roman"/>
                <w:sz w:val="22"/>
                <w:szCs w:val="22"/>
                <w:lang w:val="sr-Cyrl-CS"/>
              </w:rPr>
              <w:t>Реформа подразумева стварање стимулативног окружења за развој стартапа који имају вишеструко позитиван утицај, како на економију, тако и на друштво у ком се оснивају и развијају и као такви су творци нових пословних модела 21</w:t>
            </w:r>
            <w:r w:rsidR="007F5867" w:rsidRPr="00092ED7">
              <w:rPr>
                <w:rFonts w:cs="Times New Roman"/>
                <w:sz w:val="22"/>
                <w:lang w:val="sr-Cyrl-CS"/>
              </w:rPr>
              <w:t>.</w:t>
            </w:r>
            <w:r w:rsidRPr="00092ED7">
              <w:rPr>
                <w:rFonts w:cs="Times New Roman"/>
                <w:sz w:val="22"/>
                <w:szCs w:val="22"/>
                <w:lang w:val="sr-Cyrl-CS"/>
              </w:rPr>
              <w:t xml:space="preserve"> века.</w:t>
            </w:r>
            <w:r w:rsidRPr="00092ED7">
              <w:rPr>
                <w:rFonts w:eastAsia="Times New Roman" w:cs="Times New Roman"/>
                <w:sz w:val="22"/>
                <w:szCs w:val="22"/>
                <w:lang w:val="sr-Cyrl-CS"/>
              </w:rPr>
              <w:t xml:space="preserve"> </w:t>
            </w:r>
            <w:r w:rsidRPr="00092ED7">
              <w:rPr>
                <w:rFonts w:cs="Times New Roman"/>
                <w:sz w:val="22"/>
                <w:szCs w:val="22"/>
                <w:lang w:val="sr-Cyrl-CS" w:bidi="sr-Cyrl-CS"/>
              </w:rPr>
              <w:t>Реформом се подстичу јавне и приватне инвестиције у овој области, омогућава развој домаћег тржишта предузетничког капитала, развој високотехнолошке предузетничке културе и подизањe предузетничких капацитета кроз образовне програме и јачање капацитета организација подршке.</w:t>
            </w:r>
          </w:p>
        </w:tc>
      </w:tr>
      <w:tr w:rsidR="001632EC" w:rsidRPr="00092ED7" w14:paraId="45E547F9" w14:textId="77777777" w:rsidTr="001632EC">
        <w:tc>
          <w:tcPr>
            <w:tcW w:w="579" w:type="dxa"/>
            <w:vAlign w:val="top"/>
          </w:tcPr>
          <w:p w14:paraId="151E6AF9" w14:textId="77777777" w:rsidR="00F42759" w:rsidRPr="00092ED7" w:rsidRDefault="00F42759" w:rsidP="001632EC">
            <w:pPr>
              <w:spacing w:before="0" w:after="0"/>
              <w:ind w:left="113" w:right="113"/>
              <w:jc w:val="left"/>
              <w:rPr>
                <w:rFonts w:cs="Times New Roman"/>
                <w:b/>
                <w:sz w:val="22"/>
                <w:szCs w:val="22"/>
                <w:lang w:val="sr-Cyrl-CS"/>
              </w:rPr>
            </w:pPr>
            <w:r w:rsidRPr="00092ED7">
              <w:rPr>
                <w:rFonts w:cs="Times New Roman"/>
                <w:b/>
                <w:sz w:val="22"/>
                <w:szCs w:val="22"/>
                <w:lang w:val="sr-Cyrl-CS"/>
              </w:rPr>
              <w:t>17.</w:t>
            </w:r>
          </w:p>
        </w:tc>
        <w:tc>
          <w:tcPr>
            <w:tcW w:w="3981" w:type="dxa"/>
            <w:vAlign w:val="top"/>
          </w:tcPr>
          <w:p w14:paraId="4AFA7CB7" w14:textId="77777777" w:rsidR="00F42759" w:rsidRPr="00092ED7" w:rsidRDefault="00F42759" w:rsidP="001632EC">
            <w:pPr>
              <w:spacing w:before="0" w:after="0"/>
              <w:ind w:left="113" w:right="113"/>
              <w:jc w:val="left"/>
              <w:rPr>
                <w:rFonts w:cs="Times New Roman"/>
                <w:b/>
                <w:sz w:val="22"/>
                <w:szCs w:val="22"/>
                <w:highlight w:val="green"/>
                <w:lang w:val="sr-Cyrl-CS"/>
              </w:rPr>
            </w:pPr>
            <w:r w:rsidRPr="00092ED7">
              <w:rPr>
                <w:rFonts w:cs="Times New Roman"/>
                <w:b/>
                <w:sz w:val="22"/>
                <w:szCs w:val="22"/>
                <w:lang w:val="sr-Cyrl-CS"/>
              </w:rPr>
              <w:t>Стварање услова за развој бионаука и биоекономије кроз изградњу БИО4 кампуса</w:t>
            </w:r>
          </w:p>
        </w:tc>
        <w:tc>
          <w:tcPr>
            <w:tcW w:w="4801" w:type="dxa"/>
          </w:tcPr>
          <w:p w14:paraId="068F6368" w14:textId="77777777" w:rsidR="00F42759" w:rsidRPr="00092ED7" w:rsidRDefault="00F42759" w:rsidP="001632EC">
            <w:pPr>
              <w:spacing w:before="0" w:after="0"/>
              <w:ind w:left="113" w:right="113"/>
              <w:rPr>
                <w:rFonts w:cs="Times New Roman"/>
                <w:sz w:val="22"/>
                <w:szCs w:val="22"/>
                <w:lang w:val="sr-Cyrl-CS" w:bidi="sr-Cyrl-CS"/>
              </w:rPr>
            </w:pPr>
            <w:r w:rsidRPr="00092ED7">
              <w:rPr>
                <w:rFonts w:cs="Times New Roman"/>
                <w:sz w:val="22"/>
                <w:szCs w:val="22"/>
                <w:lang w:val="sr-Cyrl-CS"/>
              </w:rPr>
              <w:t>Реформа подразумева пружање подршке интензивираном развоју у областима биотехнологије, биомедицине, биоинформатике и биодиверзитета (БИО4) кроз изградњу БИО4 кампуса, који ће бити први овакав кампус у ширем региону и препозната тачка на глобалној мапи развоја у овој области. Изградњом овог кампуса биће створена прилика за концентрацију стручњака, мултидисциплинарних експертиза најмодернијих технологија и инфраструктуре (факултети, институти, научно-технолошки парк итд) у наведеним областима.</w:t>
            </w:r>
          </w:p>
        </w:tc>
      </w:tr>
      <w:tr w:rsidR="00F42759" w:rsidRPr="00092ED7" w14:paraId="10D75570" w14:textId="77777777" w:rsidTr="001632EC">
        <w:trPr>
          <w:trHeight w:val="397"/>
        </w:trPr>
        <w:tc>
          <w:tcPr>
            <w:tcW w:w="9361" w:type="dxa"/>
            <w:gridSpan w:val="3"/>
            <w:shd w:val="clear" w:color="auto" w:fill="DEEAF6" w:themeFill="accent1" w:themeFillTint="33"/>
          </w:tcPr>
          <w:p w14:paraId="08070855" w14:textId="77777777" w:rsidR="00F42759" w:rsidRPr="00092ED7" w:rsidRDefault="00F42759" w:rsidP="001632EC">
            <w:pPr>
              <w:spacing w:before="0" w:after="0"/>
              <w:ind w:left="113" w:right="113"/>
              <w:rPr>
                <w:rFonts w:cs="Times New Roman"/>
                <w:b/>
                <w:sz w:val="22"/>
                <w:szCs w:val="22"/>
                <w:highlight w:val="green"/>
                <w:lang w:val="sr-Cyrl-CS"/>
              </w:rPr>
            </w:pPr>
            <w:bookmarkStart w:id="65" w:name="_Hlk116626577"/>
            <w:r w:rsidRPr="00092ED7">
              <w:rPr>
                <w:rFonts w:cs="Times New Roman"/>
                <w:b/>
                <w:sz w:val="22"/>
                <w:szCs w:val="22"/>
                <w:lang w:val="sr-Cyrl-CS"/>
              </w:rPr>
              <w:lastRenderedPageBreak/>
              <w:t>Област 6: РЕФОРМE У ОБЛАСТИ ЕКОНОМСКИХ ИНТЕГРАЦИЈА</w:t>
            </w:r>
          </w:p>
        </w:tc>
      </w:tr>
      <w:tr w:rsidR="00F42759" w:rsidRPr="00092ED7" w14:paraId="430F3EAD" w14:textId="77777777" w:rsidTr="001632EC">
        <w:tc>
          <w:tcPr>
            <w:tcW w:w="579" w:type="dxa"/>
            <w:shd w:val="clear" w:color="auto" w:fill="DEEAF6" w:themeFill="accent1" w:themeFillTint="33"/>
          </w:tcPr>
          <w:p w14:paraId="2FF551C7" w14:textId="77777777" w:rsidR="00F42759" w:rsidRPr="00092ED7" w:rsidRDefault="00F42759" w:rsidP="001632EC">
            <w:pPr>
              <w:spacing w:before="0" w:after="0"/>
              <w:ind w:left="113" w:right="113"/>
              <w:jc w:val="left"/>
              <w:rPr>
                <w:rFonts w:cs="Times New Roman"/>
                <w:b/>
                <w:sz w:val="22"/>
                <w:szCs w:val="22"/>
                <w:lang w:val="sr-Cyrl-CS"/>
              </w:rPr>
            </w:pPr>
            <w:r w:rsidRPr="00092ED7">
              <w:rPr>
                <w:rFonts w:cs="Times New Roman"/>
                <w:b/>
                <w:sz w:val="22"/>
                <w:szCs w:val="22"/>
                <w:lang w:val="sr-Cyrl-CS"/>
              </w:rPr>
              <w:t>СР</w:t>
            </w:r>
            <w:r w:rsidR="001632EC" w:rsidRPr="00092ED7">
              <w:rPr>
                <w:rFonts w:cs="Times New Roman"/>
                <w:b/>
                <w:sz w:val="22"/>
                <w:szCs w:val="22"/>
                <w:lang w:val="sr-Cyrl-CS"/>
              </w:rPr>
              <w:t xml:space="preserve"> </w:t>
            </w:r>
            <w:r w:rsidRPr="00092ED7">
              <w:rPr>
                <w:rFonts w:cs="Times New Roman"/>
                <w:b/>
                <w:sz w:val="22"/>
                <w:szCs w:val="22"/>
                <w:lang w:val="sr-Cyrl-CS"/>
              </w:rPr>
              <w:t>р.б.</w:t>
            </w:r>
          </w:p>
        </w:tc>
        <w:tc>
          <w:tcPr>
            <w:tcW w:w="3981" w:type="dxa"/>
            <w:shd w:val="clear" w:color="auto" w:fill="DEEAF6" w:themeFill="accent1" w:themeFillTint="33"/>
          </w:tcPr>
          <w:p w14:paraId="714EF996" w14:textId="77777777" w:rsidR="00F42759" w:rsidRPr="00092ED7" w:rsidRDefault="00F42759" w:rsidP="001632EC">
            <w:pPr>
              <w:spacing w:before="0" w:after="0"/>
              <w:ind w:left="113" w:right="113"/>
              <w:jc w:val="left"/>
              <w:rPr>
                <w:rFonts w:cs="Times New Roman"/>
                <w:b/>
                <w:sz w:val="22"/>
                <w:szCs w:val="22"/>
                <w:lang w:val="sr-Cyrl-CS"/>
              </w:rPr>
            </w:pPr>
            <w:r w:rsidRPr="00092ED7">
              <w:rPr>
                <w:rFonts w:cs="Times New Roman"/>
                <w:b/>
                <w:sz w:val="22"/>
                <w:szCs w:val="22"/>
                <w:lang w:val="sr-Cyrl-CS"/>
              </w:rPr>
              <w:t>Назив структурне реформе</w:t>
            </w:r>
          </w:p>
        </w:tc>
        <w:tc>
          <w:tcPr>
            <w:tcW w:w="4801" w:type="dxa"/>
            <w:shd w:val="clear" w:color="auto" w:fill="DEEAF6" w:themeFill="accent1" w:themeFillTint="33"/>
          </w:tcPr>
          <w:p w14:paraId="7DC9D577" w14:textId="77777777" w:rsidR="00F42759" w:rsidRPr="00092ED7" w:rsidRDefault="00F42759" w:rsidP="001632EC">
            <w:pPr>
              <w:spacing w:before="0" w:after="0"/>
              <w:ind w:left="113" w:right="113"/>
              <w:jc w:val="left"/>
              <w:rPr>
                <w:rFonts w:cs="Times New Roman"/>
                <w:b/>
                <w:sz w:val="22"/>
                <w:szCs w:val="22"/>
                <w:lang w:val="sr-Cyrl-CS"/>
              </w:rPr>
            </w:pPr>
            <w:r w:rsidRPr="00092ED7">
              <w:rPr>
                <w:rFonts w:cs="Times New Roman"/>
                <w:b/>
                <w:sz w:val="22"/>
                <w:szCs w:val="22"/>
                <w:lang w:val="sr-Cyrl-CS"/>
              </w:rPr>
              <w:t>Опис структурне реформе</w:t>
            </w:r>
          </w:p>
        </w:tc>
      </w:tr>
      <w:tr w:rsidR="001632EC" w:rsidRPr="00092ED7" w14:paraId="486F431C" w14:textId="77777777" w:rsidTr="001632EC">
        <w:tc>
          <w:tcPr>
            <w:tcW w:w="579" w:type="dxa"/>
            <w:vAlign w:val="top"/>
          </w:tcPr>
          <w:p w14:paraId="3AE443D9" w14:textId="77777777" w:rsidR="00F42759" w:rsidRPr="00092ED7" w:rsidRDefault="00F42759" w:rsidP="001632EC">
            <w:pPr>
              <w:spacing w:before="0" w:after="0"/>
              <w:ind w:left="113" w:right="113"/>
              <w:jc w:val="left"/>
              <w:rPr>
                <w:rFonts w:cs="Times New Roman"/>
                <w:b/>
                <w:sz w:val="22"/>
                <w:szCs w:val="22"/>
                <w:lang w:val="sr-Cyrl-CS"/>
              </w:rPr>
            </w:pPr>
            <w:r w:rsidRPr="00092ED7">
              <w:rPr>
                <w:rFonts w:cs="Times New Roman"/>
                <w:b/>
                <w:sz w:val="22"/>
                <w:szCs w:val="22"/>
                <w:lang w:val="sr-Cyrl-CS"/>
              </w:rPr>
              <w:t>18.</w:t>
            </w:r>
          </w:p>
        </w:tc>
        <w:tc>
          <w:tcPr>
            <w:tcW w:w="3981" w:type="dxa"/>
            <w:vAlign w:val="top"/>
          </w:tcPr>
          <w:p w14:paraId="620B9CDE" w14:textId="77777777" w:rsidR="00F42759" w:rsidRPr="00092ED7" w:rsidRDefault="00F42759" w:rsidP="001632EC">
            <w:pPr>
              <w:spacing w:before="0" w:after="0"/>
              <w:ind w:left="113" w:right="113"/>
              <w:jc w:val="left"/>
              <w:rPr>
                <w:rFonts w:cs="Times New Roman"/>
                <w:b/>
                <w:sz w:val="22"/>
                <w:szCs w:val="22"/>
                <w:highlight w:val="green"/>
                <w:lang w:val="sr-Cyrl-CS"/>
              </w:rPr>
            </w:pPr>
            <w:r w:rsidRPr="00092ED7">
              <w:rPr>
                <w:rFonts w:cs="Times New Roman"/>
                <w:b/>
                <w:sz w:val="22"/>
                <w:szCs w:val="22"/>
                <w:lang w:val="sr-Cyrl-CS"/>
              </w:rPr>
              <w:t>Унапређење услова и уклањање препрека трговини</w:t>
            </w:r>
          </w:p>
        </w:tc>
        <w:tc>
          <w:tcPr>
            <w:tcW w:w="4801" w:type="dxa"/>
          </w:tcPr>
          <w:p w14:paraId="728DE3F6" w14:textId="7384B65A" w:rsidR="00F42759" w:rsidRPr="00092ED7" w:rsidRDefault="00F42759" w:rsidP="000F68D4">
            <w:pPr>
              <w:spacing w:before="0" w:after="0"/>
              <w:ind w:left="113" w:right="113"/>
              <w:rPr>
                <w:rFonts w:eastAsia="Calibri" w:cs="Times New Roman"/>
                <w:sz w:val="22"/>
                <w:szCs w:val="22"/>
                <w:highlight w:val="green"/>
                <w:lang w:val="sr-Cyrl-CS"/>
              </w:rPr>
            </w:pPr>
            <w:r w:rsidRPr="00092ED7">
              <w:rPr>
                <w:rFonts w:cs="Times New Roman"/>
                <w:sz w:val="22"/>
                <w:szCs w:val="22"/>
                <w:lang w:val="sr-Cyrl-CS"/>
              </w:rPr>
              <w:t xml:space="preserve">Реформа подразумева </w:t>
            </w:r>
            <w:r w:rsidRPr="00092ED7">
              <w:rPr>
                <w:rFonts w:eastAsia="Calibri" w:cs="Times New Roman"/>
                <w:sz w:val="22"/>
                <w:szCs w:val="22"/>
                <w:lang w:val="sr-Cyrl-CS"/>
              </w:rPr>
              <w:t xml:space="preserve">наставак рада на интензивирању, унапређењу, диверсификацији и даљем расту спољне трговине </w:t>
            </w:r>
            <w:r w:rsidRPr="00092ED7">
              <w:rPr>
                <w:rFonts w:cs="Times New Roman"/>
                <w:sz w:val="22"/>
                <w:szCs w:val="22"/>
                <w:lang w:val="sr-Cyrl-CS" w:bidi="sr-Cyrl-CS"/>
              </w:rPr>
              <w:t xml:space="preserve">Републике Србије </w:t>
            </w:r>
            <w:r w:rsidRPr="00092ED7">
              <w:rPr>
                <w:rFonts w:eastAsia="Calibri" w:cs="Times New Roman"/>
                <w:sz w:val="22"/>
                <w:szCs w:val="22"/>
                <w:lang w:val="sr-Cyrl-CS"/>
              </w:rPr>
              <w:t xml:space="preserve">како на регионалном, тако и на глобалном нивоу. Активности су усмерене на јачање конкурентности домаћих компанија ради припреме за чланство у ЕУ и лакшег укључивања у тржишну утакмицу која постоји на јединственом европском тржишту. Реформа подразумева наставак </w:t>
            </w:r>
            <w:r w:rsidRPr="00092ED7">
              <w:rPr>
                <w:rFonts w:eastAsia="Calibri" w:cs="Times New Roman"/>
                <w:sz w:val="22"/>
                <w:szCs w:val="22"/>
                <w:lang w:val="sr-Cyrl-CS" w:eastAsia="sr-Cyrl-CS" w:bidi="sr-Cyrl-CS"/>
              </w:rPr>
              <w:t xml:space="preserve">активности везаних за процес приступања </w:t>
            </w:r>
            <w:r w:rsidR="000F68D4" w:rsidRPr="00092ED7">
              <w:rPr>
                <w:rFonts w:eastAsia="Calibri" w:cs="Times New Roman"/>
                <w:sz w:val="22"/>
                <w:szCs w:val="22"/>
                <w:lang w:val="sr-Cyrl-CS" w:eastAsia="sr-Cyrl-CS" w:bidi="sr-Cyrl-CS"/>
              </w:rPr>
              <w:t>СТО</w:t>
            </w:r>
            <w:r w:rsidRPr="00092ED7">
              <w:rPr>
                <w:rFonts w:eastAsia="Calibri" w:cs="Times New Roman"/>
                <w:sz w:val="22"/>
                <w:szCs w:val="22"/>
                <w:lang w:val="sr-Cyrl-CS"/>
              </w:rPr>
              <w:t xml:space="preserve">, као и спровођење активности предвиђених </w:t>
            </w:r>
            <w:r w:rsidRPr="00092ED7">
              <w:rPr>
                <w:rFonts w:eastAsia="Calibri" w:cs="Times New Roman"/>
                <w:i/>
                <w:sz w:val="22"/>
                <w:szCs w:val="22"/>
                <w:lang w:val="sr-Cyrl-CS"/>
              </w:rPr>
              <w:t>Акционим планом за Заједничко регионално тржиште</w:t>
            </w:r>
            <w:r w:rsidRPr="00092ED7">
              <w:rPr>
                <w:rFonts w:eastAsia="Calibri" w:cs="Times New Roman"/>
                <w:sz w:val="22"/>
                <w:szCs w:val="22"/>
                <w:lang w:val="sr-Cyrl-CS"/>
              </w:rPr>
              <w:t>.</w:t>
            </w:r>
          </w:p>
        </w:tc>
      </w:tr>
      <w:bookmarkEnd w:id="65"/>
      <w:tr w:rsidR="00F42759" w:rsidRPr="00092ED7" w14:paraId="22D9C724" w14:textId="77777777" w:rsidTr="001632EC">
        <w:trPr>
          <w:trHeight w:val="397"/>
        </w:trPr>
        <w:tc>
          <w:tcPr>
            <w:tcW w:w="9361" w:type="dxa"/>
            <w:gridSpan w:val="3"/>
            <w:shd w:val="clear" w:color="auto" w:fill="DEEAF6" w:themeFill="accent1" w:themeFillTint="33"/>
          </w:tcPr>
          <w:p w14:paraId="6F6E74FE" w14:textId="77777777" w:rsidR="00F42759" w:rsidRPr="00092ED7" w:rsidRDefault="00F42759" w:rsidP="001632EC">
            <w:pPr>
              <w:spacing w:before="0" w:after="0"/>
              <w:ind w:left="113" w:right="113"/>
              <w:rPr>
                <w:rFonts w:cs="Times New Roman"/>
                <w:b/>
                <w:sz w:val="22"/>
                <w:szCs w:val="22"/>
                <w:lang w:val="sr-Cyrl-CS"/>
              </w:rPr>
            </w:pPr>
            <w:r w:rsidRPr="00092ED7">
              <w:rPr>
                <w:rFonts w:cs="Times New Roman"/>
                <w:b/>
                <w:sz w:val="22"/>
                <w:szCs w:val="22"/>
                <w:lang w:val="sr-Cyrl-CS"/>
              </w:rPr>
              <w:t>Област 7: РЕФОРМА ТРЖИШТА ЕНЕРГЕТИКЕ</w:t>
            </w:r>
          </w:p>
          <w:p w14:paraId="7B8B1CB8" w14:textId="77777777" w:rsidR="00F42759" w:rsidRPr="00092ED7" w:rsidRDefault="00F42759" w:rsidP="001632EC">
            <w:pPr>
              <w:spacing w:before="0" w:after="0"/>
              <w:ind w:left="113" w:right="113"/>
              <w:rPr>
                <w:rFonts w:cs="Times New Roman"/>
                <w:b/>
                <w:sz w:val="22"/>
                <w:szCs w:val="22"/>
                <w:lang w:val="sr-Cyrl-CS"/>
              </w:rPr>
            </w:pPr>
            <w:r w:rsidRPr="00092ED7">
              <w:rPr>
                <w:rFonts w:cs="Times New Roman"/>
                <w:b/>
                <w:sz w:val="22"/>
                <w:szCs w:val="22"/>
                <w:lang w:val="sr-Cyrl-CS"/>
              </w:rPr>
              <w:t xml:space="preserve">Релевантне реформе из ове области представљене су у </w:t>
            </w:r>
            <w:r w:rsidRPr="00092ED7">
              <w:rPr>
                <w:rFonts w:cs="Times New Roman"/>
                <w:b/>
                <w:i/>
                <w:sz w:val="22"/>
                <w:szCs w:val="22"/>
                <w:lang w:val="sr-Cyrl-CS"/>
              </w:rPr>
              <w:t>Кључном изазову број 3. Озелењавање енергетског сектора и потпуно отварање енергетског тржишта</w:t>
            </w:r>
            <w:r w:rsidRPr="00092ED7">
              <w:rPr>
                <w:rFonts w:cs="Times New Roman"/>
                <w:b/>
                <w:sz w:val="22"/>
                <w:szCs w:val="22"/>
                <w:lang w:val="sr-Cyrl-CS"/>
              </w:rPr>
              <w:t>)</w:t>
            </w:r>
          </w:p>
        </w:tc>
      </w:tr>
      <w:tr w:rsidR="00F42759" w:rsidRPr="00092ED7" w14:paraId="4082F55C" w14:textId="77777777" w:rsidTr="001632EC">
        <w:trPr>
          <w:trHeight w:val="397"/>
        </w:trPr>
        <w:tc>
          <w:tcPr>
            <w:tcW w:w="9361" w:type="dxa"/>
            <w:gridSpan w:val="3"/>
            <w:shd w:val="clear" w:color="auto" w:fill="DEEAF6" w:themeFill="accent1" w:themeFillTint="33"/>
          </w:tcPr>
          <w:p w14:paraId="17B97324" w14:textId="77777777" w:rsidR="00F42759" w:rsidRPr="00092ED7" w:rsidRDefault="00F42759" w:rsidP="001632EC">
            <w:pPr>
              <w:spacing w:before="0" w:after="0"/>
              <w:ind w:left="113" w:right="113"/>
              <w:rPr>
                <w:rFonts w:cs="Times New Roman"/>
                <w:b/>
                <w:sz w:val="22"/>
                <w:szCs w:val="22"/>
                <w:lang w:val="sr-Cyrl-CS"/>
              </w:rPr>
            </w:pPr>
            <w:r w:rsidRPr="00092ED7">
              <w:rPr>
                <w:rFonts w:cs="Times New Roman"/>
                <w:b/>
                <w:sz w:val="22"/>
                <w:szCs w:val="22"/>
                <w:lang w:val="sr-Cyrl-CS"/>
              </w:rPr>
              <w:t>Област 8: РЕФОРМА ТРЖИШТА ТРАНСПОРТА</w:t>
            </w:r>
          </w:p>
        </w:tc>
      </w:tr>
      <w:tr w:rsidR="00F42759" w:rsidRPr="00092ED7" w14:paraId="7F73413D" w14:textId="77777777" w:rsidTr="001632EC">
        <w:tc>
          <w:tcPr>
            <w:tcW w:w="579" w:type="dxa"/>
            <w:shd w:val="clear" w:color="auto" w:fill="DEEAF6" w:themeFill="accent1" w:themeFillTint="33"/>
          </w:tcPr>
          <w:p w14:paraId="7B0B969F" w14:textId="77777777" w:rsidR="00F42759" w:rsidRPr="00092ED7" w:rsidRDefault="00F42759" w:rsidP="001632EC">
            <w:pPr>
              <w:spacing w:before="0" w:after="0"/>
              <w:ind w:left="113" w:right="113"/>
              <w:jc w:val="left"/>
              <w:rPr>
                <w:rFonts w:cs="Times New Roman"/>
                <w:b/>
                <w:sz w:val="22"/>
                <w:szCs w:val="22"/>
                <w:lang w:val="sr-Cyrl-CS"/>
              </w:rPr>
            </w:pPr>
            <w:r w:rsidRPr="00092ED7">
              <w:rPr>
                <w:rFonts w:cs="Times New Roman"/>
                <w:b/>
                <w:sz w:val="22"/>
                <w:szCs w:val="22"/>
                <w:lang w:val="sr-Cyrl-CS"/>
              </w:rPr>
              <w:t>СР</w:t>
            </w:r>
          </w:p>
          <w:p w14:paraId="069E478E" w14:textId="77777777" w:rsidR="00F42759" w:rsidRPr="00092ED7" w:rsidRDefault="00F42759" w:rsidP="001632EC">
            <w:pPr>
              <w:spacing w:before="0" w:after="0"/>
              <w:ind w:left="113" w:right="113"/>
              <w:jc w:val="left"/>
              <w:rPr>
                <w:rFonts w:cs="Times New Roman"/>
                <w:b/>
                <w:sz w:val="22"/>
                <w:szCs w:val="22"/>
                <w:lang w:val="sr-Cyrl-CS"/>
              </w:rPr>
            </w:pPr>
            <w:r w:rsidRPr="00092ED7">
              <w:rPr>
                <w:rFonts w:cs="Times New Roman"/>
                <w:b/>
                <w:sz w:val="22"/>
                <w:szCs w:val="22"/>
                <w:lang w:val="sr-Cyrl-CS"/>
              </w:rPr>
              <w:t>р.б.</w:t>
            </w:r>
          </w:p>
        </w:tc>
        <w:tc>
          <w:tcPr>
            <w:tcW w:w="3981" w:type="dxa"/>
            <w:shd w:val="clear" w:color="auto" w:fill="DEEAF6" w:themeFill="accent1" w:themeFillTint="33"/>
          </w:tcPr>
          <w:p w14:paraId="012BB462" w14:textId="77777777" w:rsidR="00F42759" w:rsidRPr="00092ED7" w:rsidRDefault="00F42759" w:rsidP="001632EC">
            <w:pPr>
              <w:spacing w:before="0" w:after="0"/>
              <w:ind w:left="113" w:right="113"/>
              <w:jc w:val="left"/>
              <w:rPr>
                <w:rFonts w:cs="Times New Roman"/>
                <w:b/>
                <w:sz w:val="22"/>
                <w:szCs w:val="22"/>
                <w:lang w:val="sr-Cyrl-CS"/>
              </w:rPr>
            </w:pPr>
            <w:r w:rsidRPr="00092ED7">
              <w:rPr>
                <w:rFonts w:cs="Times New Roman"/>
                <w:b/>
                <w:sz w:val="22"/>
                <w:szCs w:val="22"/>
                <w:lang w:val="sr-Cyrl-CS"/>
              </w:rPr>
              <w:t>Назив структурне реформе</w:t>
            </w:r>
          </w:p>
        </w:tc>
        <w:tc>
          <w:tcPr>
            <w:tcW w:w="4801" w:type="dxa"/>
            <w:shd w:val="clear" w:color="auto" w:fill="DEEAF6" w:themeFill="accent1" w:themeFillTint="33"/>
          </w:tcPr>
          <w:p w14:paraId="04B3C402" w14:textId="77777777" w:rsidR="00F42759" w:rsidRPr="00092ED7" w:rsidRDefault="00F42759" w:rsidP="001632EC">
            <w:pPr>
              <w:spacing w:before="0" w:after="0"/>
              <w:ind w:left="113" w:right="113"/>
              <w:jc w:val="left"/>
              <w:rPr>
                <w:rFonts w:cs="Times New Roman"/>
                <w:b/>
                <w:sz w:val="22"/>
                <w:szCs w:val="22"/>
                <w:lang w:val="sr-Cyrl-CS"/>
              </w:rPr>
            </w:pPr>
            <w:r w:rsidRPr="00092ED7">
              <w:rPr>
                <w:rFonts w:cs="Times New Roman"/>
                <w:b/>
                <w:sz w:val="22"/>
                <w:szCs w:val="22"/>
                <w:lang w:val="sr-Cyrl-CS"/>
              </w:rPr>
              <w:t>Опис структурне реформе</w:t>
            </w:r>
          </w:p>
        </w:tc>
      </w:tr>
      <w:tr w:rsidR="001632EC" w:rsidRPr="00092ED7" w14:paraId="7DB88E8E" w14:textId="77777777" w:rsidTr="001632EC">
        <w:tc>
          <w:tcPr>
            <w:tcW w:w="579" w:type="dxa"/>
            <w:vAlign w:val="top"/>
          </w:tcPr>
          <w:p w14:paraId="039AB590" w14:textId="77777777" w:rsidR="00F42759" w:rsidRPr="00092ED7" w:rsidRDefault="00F42759" w:rsidP="001632EC">
            <w:pPr>
              <w:spacing w:before="0" w:after="0"/>
              <w:ind w:left="113" w:right="113"/>
              <w:jc w:val="left"/>
              <w:rPr>
                <w:rFonts w:cs="Times New Roman"/>
                <w:b/>
                <w:sz w:val="22"/>
                <w:szCs w:val="22"/>
                <w:lang w:val="sr-Cyrl-CS"/>
              </w:rPr>
            </w:pPr>
            <w:r w:rsidRPr="00092ED7">
              <w:rPr>
                <w:rFonts w:cs="Times New Roman"/>
                <w:b/>
                <w:sz w:val="22"/>
                <w:szCs w:val="22"/>
                <w:lang w:val="sr-Cyrl-CS"/>
              </w:rPr>
              <w:t>19.</w:t>
            </w:r>
          </w:p>
        </w:tc>
        <w:tc>
          <w:tcPr>
            <w:tcW w:w="3981" w:type="dxa"/>
            <w:vAlign w:val="top"/>
          </w:tcPr>
          <w:p w14:paraId="6133F4DB" w14:textId="77777777" w:rsidR="00F42759" w:rsidRPr="00092ED7" w:rsidRDefault="00F42759" w:rsidP="001632EC">
            <w:pPr>
              <w:spacing w:before="0" w:after="0"/>
              <w:ind w:left="113" w:right="113"/>
              <w:jc w:val="left"/>
              <w:rPr>
                <w:rFonts w:cs="Times New Roman"/>
                <w:b/>
                <w:sz w:val="22"/>
                <w:szCs w:val="22"/>
                <w:highlight w:val="green"/>
                <w:lang w:val="sr-Cyrl-CS"/>
              </w:rPr>
            </w:pPr>
            <w:r w:rsidRPr="00092ED7">
              <w:rPr>
                <w:rFonts w:cs="Times New Roman"/>
                <w:b/>
                <w:sz w:val="22"/>
                <w:szCs w:val="22"/>
                <w:lang w:val="sr-Cyrl-CS"/>
              </w:rPr>
              <w:t>Унапређење ефикасности и безбедности у железничком саобраћају</w:t>
            </w:r>
          </w:p>
        </w:tc>
        <w:tc>
          <w:tcPr>
            <w:tcW w:w="4801" w:type="dxa"/>
          </w:tcPr>
          <w:p w14:paraId="21456175" w14:textId="77777777" w:rsidR="00F42759" w:rsidRPr="00092ED7" w:rsidRDefault="00F42759" w:rsidP="001632EC">
            <w:pPr>
              <w:spacing w:before="0" w:after="0"/>
              <w:ind w:left="113" w:right="113"/>
              <w:rPr>
                <w:rFonts w:cs="Times New Roman"/>
                <w:sz w:val="22"/>
                <w:szCs w:val="22"/>
                <w:highlight w:val="green"/>
                <w:lang w:val="sr-Cyrl-CS"/>
              </w:rPr>
            </w:pPr>
            <w:r w:rsidRPr="00092ED7">
              <w:rPr>
                <w:rFonts w:cs="Times New Roman"/>
                <w:sz w:val="22"/>
                <w:szCs w:val="22"/>
                <w:lang w:val="sr-Cyrl-CS"/>
              </w:rPr>
              <w:t>Реформа подразумева даљу реконструкцију, модернизацију и изградњу железничке инфраструктуре и представља наставак активности из претходних година како би се у потпуности остварили предвиђени позитивни ефекти на ефикасност, безбедност, конкурентност и еколошку одрживост железничког сектора у Републици Србији. Главне активности у наредном периоду су: 1) примена нове Методологије за обрачун цене приступа железничкој инфраструктури, 2) подизање нивоа безбедности на путним прелазима, са циљем смањења броја саобраћајних незгода, и 3) унапређење ефикасности железничког путничког саобраћаја кроз унапређени уговорни однос, нове услуге, промотивне активности и унапређење ефикасности пословања.</w:t>
            </w:r>
          </w:p>
        </w:tc>
      </w:tr>
      <w:tr w:rsidR="00F42759" w:rsidRPr="00092ED7" w14:paraId="7678F99B" w14:textId="77777777" w:rsidTr="001632EC">
        <w:trPr>
          <w:trHeight w:val="397"/>
        </w:trPr>
        <w:tc>
          <w:tcPr>
            <w:tcW w:w="9361" w:type="dxa"/>
            <w:gridSpan w:val="3"/>
            <w:shd w:val="clear" w:color="auto" w:fill="DEEAF6" w:themeFill="accent1" w:themeFillTint="33"/>
          </w:tcPr>
          <w:p w14:paraId="2C41E19C" w14:textId="77777777" w:rsidR="00F42759" w:rsidRPr="00092ED7" w:rsidRDefault="00F42759" w:rsidP="001632EC">
            <w:pPr>
              <w:spacing w:before="0" w:after="0"/>
              <w:ind w:left="113" w:right="113"/>
              <w:rPr>
                <w:rFonts w:cs="Times New Roman"/>
                <w:b/>
                <w:sz w:val="22"/>
                <w:szCs w:val="22"/>
                <w:lang w:val="sr-Cyrl-CS"/>
              </w:rPr>
            </w:pPr>
            <w:r w:rsidRPr="00092ED7">
              <w:rPr>
                <w:rFonts w:cs="Times New Roman"/>
                <w:b/>
                <w:sz w:val="22"/>
                <w:szCs w:val="22"/>
                <w:lang w:val="sr-Cyrl-CS"/>
              </w:rPr>
              <w:t>Област 9: ПОЉОПРИВРЕДА, ИНДУСТРИЈА И УСЛУГЕ</w:t>
            </w:r>
          </w:p>
        </w:tc>
      </w:tr>
      <w:tr w:rsidR="00F42759" w:rsidRPr="00092ED7" w14:paraId="14B077EA" w14:textId="77777777" w:rsidTr="001632EC">
        <w:tc>
          <w:tcPr>
            <w:tcW w:w="579" w:type="dxa"/>
            <w:shd w:val="clear" w:color="auto" w:fill="DEEAF6" w:themeFill="accent1" w:themeFillTint="33"/>
          </w:tcPr>
          <w:p w14:paraId="1A0CAAA5" w14:textId="77777777" w:rsidR="00F42759" w:rsidRPr="00092ED7" w:rsidRDefault="00F42759" w:rsidP="001632EC">
            <w:pPr>
              <w:spacing w:before="0" w:after="0"/>
              <w:ind w:left="113" w:right="113"/>
              <w:jc w:val="left"/>
              <w:rPr>
                <w:rFonts w:cs="Times New Roman"/>
                <w:b/>
                <w:sz w:val="22"/>
                <w:szCs w:val="22"/>
                <w:lang w:val="sr-Cyrl-CS"/>
              </w:rPr>
            </w:pPr>
            <w:r w:rsidRPr="00092ED7">
              <w:rPr>
                <w:rFonts w:cs="Times New Roman"/>
                <w:b/>
                <w:sz w:val="22"/>
                <w:szCs w:val="22"/>
                <w:lang w:val="sr-Cyrl-CS"/>
              </w:rPr>
              <w:t>СР</w:t>
            </w:r>
            <w:r w:rsidR="001632EC" w:rsidRPr="00092ED7">
              <w:rPr>
                <w:rFonts w:cs="Times New Roman"/>
                <w:b/>
                <w:sz w:val="22"/>
                <w:szCs w:val="22"/>
                <w:lang w:val="sr-Cyrl-CS"/>
              </w:rPr>
              <w:t xml:space="preserve"> </w:t>
            </w:r>
            <w:r w:rsidRPr="00092ED7">
              <w:rPr>
                <w:rFonts w:cs="Times New Roman"/>
                <w:b/>
                <w:sz w:val="22"/>
                <w:szCs w:val="22"/>
                <w:lang w:val="sr-Cyrl-CS"/>
              </w:rPr>
              <w:t>р.б.</w:t>
            </w:r>
          </w:p>
        </w:tc>
        <w:tc>
          <w:tcPr>
            <w:tcW w:w="3981" w:type="dxa"/>
            <w:shd w:val="clear" w:color="auto" w:fill="DEEAF6" w:themeFill="accent1" w:themeFillTint="33"/>
          </w:tcPr>
          <w:p w14:paraId="72FB2ED1" w14:textId="77777777" w:rsidR="00F42759" w:rsidRPr="00092ED7" w:rsidRDefault="00F42759" w:rsidP="001632EC">
            <w:pPr>
              <w:spacing w:before="0" w:after="0"/>
              <w:ind w:left="113" w:right="113"/>
              <w:jc w:val="left"/>
              <w:rPr>
                <w:rFonts w:cs="Times New Roman"/>
                <w:b/>
                <w:sz w:val="22"/>
                <w:szCs w:val="22"/>
                <w:lang w:val="sr-Cyrl-CS"/>
              </w:rPr>
            </w:pPr>
            <w:r w:rsidRPr="00092ED7">
              <w:rPr>
                <w:rFonts w:cs="Times New Roman"/>
                <w:b/>
                <w:sz w:val="22"/>
                <w:szCs w:val="22"/>
                <w:lang w:val="sr-Cyrl-CS"/>
              </w:rPr>
              <w:t>Назив структурне реформе</w:t>
            </w:r>
          </w:p>
        </w:tc>
        <w:tc>
          <w:tcPr>
            <w:tcW w:w="4801" w:type="dxa"/>
            <w:shd w:val="clear" w:color="auto" w:fill="DEEAF6" w:themeFill="accent1" w:themeFillTint="33"/>
          </w:tcPr>
          <w:p w14:paraId="293FEE94" w14:textId="77777777" w:rsidR="00F42759" w:rsidRPr="00092ED7" w:rsidRDefault="00F42759" w:rsidP="001632EC">
            <w:pPr>
              <w:spacing w:before="0" w:after="0"/>
              <w:ind w:left="113" w:right="113"/>
              <w:jc w:val="left"/>
              <w:rPr>
                <w:rFonts w:cs="Times New Roman"/>
                <w:b/>
                <w:sz w:val="22"/>
                <w:szCs w:val="22"/>
                <w:lang w:val="sr-Cyrl-CS"/>
              </w:rPr>
            </w:pPr>
            <w:r w:rsidRPr="00092ED7">
              <w:rPr>
                <w:rFonts w:cs="Times New Roman"/>
                <w:b/>
                <w:sz w:val="22"/>
                <w:szCs w:val="22"/>
                <w:lang w:val="sr-Cyrl-CS"/>
              </w:rPr>
              <w:t>Опис структурне реформе</w:t>
            </w:r>
          </w:p>
        </w:tc>
      </w:tr>
      <w:tr w:rsidR="001632EC" w:rsidRPr="00092ED7" w14:paraId="18144733" w14:textId="77777777" w:rsidTr="001632EC">
        <w:tc>
          <w:tcPr>
            <w:tcW w:w="579" w:type="dxa"/>
            <w:vAlign w:val="top"/>
          </w:tcPr>
          <w:p w14:paraId="50F4FECF" w14:textId="77777777" w:rsidR="00F42759" w:rsidRPr="00092ED7" w:rsidRDefault="00F42759" w:rsidP="001632EC">
            <w:pPr>
              <w:spacing w:before="0" w:after="0"/>
              <w:ind w:left="113" w:right="113"/>
              <w:jc w:val="left"/>
              <w:rPr>
                <w:rFonts w:cs="Times New Roman"/>
                <w:b/>
                <w:sz w:val="22"/>
                <w:szCs w:val="22"/>
                <w:lang w:val="sr-Cyrl-CS"/>
              </w:rPr>
            </w:pPr>
            <w:r w:rsidRPr="00092ED7">
              <w:rPr>
                <w:rFonts w:cs="Times New Roman"/>
                <w:b/>
                <w:sz w:val="22"/>
                <w:szCs w:val="22"/>
                <w:lang w:val="sr-Cyrl-CS"/>
              </w:rPr>
              <w:t>20.</w:t>
            </w:r>
          </w:p>
        </w:tc>
        <w:tc>
          <w:tcPr>
            <w:tcW w:w="3981" w:type="dxa"/>
            <w:vAlign w:val="top"/>
          </w:tcPr>
          <w:p w14:paraId="61E02AE2" w14:textId="77777777" w:rsidR="00F42759" w:rsidRPr="00092ED7" w:rsidRDefault="00F42759" w:rsidP="001632EC">
            <w:pPr>
              <w:spacing w:before="0" w:after="0"/>
              <w:ind w:left="113" w:right="113"/>
              <w:jc w:val="left"/>
              <w:rPr>
                <w:rFonts w:cs="Times New Roman"/>
                <w:b/>
                <w:sz w:val="22"/>
                <w:szCs w:val="22"/>
                <w:highlight w:val="green"/>
                <w:lang w:val="sr-Cyrl-CS"/>
              </w:rPr>
            </w:pPr>
            <w:r w:rsidRPr="00092ED7">
              <w:rPr>
                <w:rFonts w:cs="Times New Roman"/>
                <w:b/>
                <w:sz w:val="22"/>
                <w:szCs w:val="22"/>
                <w:lang w:val="sr-Cyrl-CS"/>
              </w:rPr>
              <w:t>Унапређење конкурентности пољопривреде</w:t>
            </w:r>
          </w:p>
        </w:tc>
        <w:tc>
          <w:tcPr>
            <w:tcW w:w="4801" w:type="dxa"/>
            <w:vAlign w:val="top"/>
          </w:tcPr>
          <w:p w14:paraId="6FD9F837" w14:textId="77777777" w:rsidR="00F42759" w:rsidRPr="00092ED7" w:rsidRDefault="00F42759" w:rsidP="001632EC">
            <w:pPr>
              <w:spacing w:before="0" w:after="0"/>
              <w:ind w:left="113" w:right="113"/>
              <w:rPr>
                <w:rFonts w:cs="Times New Roman"/>
                <w:i/>
                <w:sz w:val="22"/>
                <w:szCs w:val="22"/>
                <w:highlight w:val="green"/>
                <w:lang w:val="sr-Cyrl-CS"/>
              </w:rPr>
            </w:pPr>
            <w:r w:rsidRPr="00092ED7">
              <w:rPr>
                <w:rFonts w:eastAsia="Calibri" w:cs="Times New Roman"/>
                <w:sz w:val="22"/>
                <w:szCs w:val="22"/>
                <w:lang w:val="sr-Cyrl-CS"/>
              </w:rPr>
              <w:t xml:space="preserve">Реформа подразумева: 1) </w:t>
            </w:r>
            <w:r w:rsidRPr="00092ED7">
              <w:rPr>
                <w:rFonts w:cs="Times New Roman"/>
                <w:color w:val="000000" w:themeColor="text1"/>
                <w:sz w:val="22"/>
                <w:szCs w:val="22"/>
                <w:lang w:val="sr-Cyrl-CS"/>
              </w:rPr>
              <w:t xml:space="preserve">унапређење инфраструктуре у руралним подручјима; 2) успостављање регулаторног оквира за процес комасације; 3) уређење правног оквира у области тржишта пољопривредних производа, шема квалитета за пољопривредне и прехрамбене производе и органску производњу, како би се створили услови за унапређење конкурентности у свим секторима производње; и 4) унапређење постојећих институционалних капацитета кроз </w:t>
            </w:r>
            <w:r w:rsidRPr="00092ED7">
              <w:rPr>
                <w:rFonts w:cs="Times New Roman"/>
                <w:color w:val="000000" w:themeColor="text1"/>
                <w:sz w:val="22"/>
                <w:szCs w:val="22"/>
                <w:lang w:val="sr-Cyrl-CS"/>
              </w:rPr>
              <w:lastRenderedPageBreak/>
              <w:t>дигитализацију и аутоматизацију система финансијске подршке пољопривредницима уз олакшан приступ расположивим подстицајима.</w:t>
            </w:r>
          </w:p>
        </w:tc>
      </w:tr>
      <w:tr w:rsidR="001632EC" w:rsidRPr="00092ED7" w14:paraId="129FA27A" w14:textId="77777777" w:rsidTr="001632EC">
        <w:tc>
          <w:tcPr>
            <w:tcW w:w="579" w:type="dxa"/>
            <w:vAlign w:val="top"/>
          </w:tcPr>
          <w:p w14:paraId="5CFC34AF" w14:textId="77777777" w:rsidR="00F42759" w:rsidRPr="00092ED7" w:rsidRDefault="00F42759" w:rsidP="001632EC">
            <w:pPr>
              <w:spacing w:before="0" w:after="0"/>
              <w:ind w:left="113" w:right="113"/>
              <w:jc w:val="left"/>
              <w:rPr>
                <w:rFonts w:cs="Times New Roman"/>
                <w:b/>
                <w:sz w:val="22"/>
                <w:szCs w:val="22"/>
                <w:lang w:val="sr-Cyrl-CS"/>
              </w:rPr>
            </w:pPr>
            <w:r w:rsidRPr="00092ED7">
              <w:rPr>
                <w:rFonts w:cs="Times New Roman"/>
                <w:b/>
                <w:sz w:val="22"/>
                <w:szCs w:val="22"/>
                <w:lang w:val="sr-Cyrl-CS"/>
              </w:rPr>
              <w:lastRenderedPageBreak/>
              <w:t>21.</w:t>
            </w:r>
          </w:p>
        </w:tc>
        <w:tc>
          <w:tcPr>
            <w:tcW w:w="3981" w:type="dxa"/>
            <w:vAlign w:val="top"/>
          </w:tcPr>
          <w:p w14:paraId="527E1083" w14:textId="77777777" w:rsidR="00F42759" w:rsidRPr="00092ED7" w:rsidRDefault="00F42759" w:rsidP="001632EC">
            <w:pPr>
              <w:spacing w:before="0" w:after="0"/>
              <w:ind w:left="113" w:right="113"/>
              <w:jc w:val="left"/>
              <w:rPr>
                <w:rFonts w:cs="Times New Roman"/>
                <w:b/>
                <w:sz w:val="22"/>
                <w:szCs w:val="22"/>
                <w:highlight w:val="green"/>
                <w:lang w:val="sr-Cyrl-CS"/>
              </w:rPr>
            </w:pPr>
            <w:r w:rsidRPr="00092ED7">
              <w:rPr>
                <w:rFonts w:cs="Times New Roman"/>
                <w:b/>
                <w:sz w:val="22"/>
                <w:szCs w:val="22"/>
                <w:lang w:val="sr-Cyrl-CS"/>
              </w:rPr>
              <w:t>Унапређење стратешког оквира инфраструктуре квалитета и интеграције у јединствено тржиште ЕУ</w:t>
            </w:r>
          </w:p>
        </w:tc>
        <w:tc>
          <w:tcPr>
            <w:tcW w:w="4801" w:type="dxa"/>
            <w:vAlign w:val="top"/>
          </w:tcPr>
          <w:p w14:paraId="494C63DB" w14:textId="561B4584" w:rsidR="00F42759" w:rsidRPr="00092ED7" w:rsidRDefault="00F42759" w:rsidP="001632EC">
            <w:pPr>
              <w:spacing w:before="0" w:after="0"/>
              <w:ind w:left="113" w:right="113"/>
              <w:rPr>
                <w:rFonts w:eastAsiaTheme="minorHAnsi" w:cs="Times New Roman"/>
                <w:sz w:val="22"/>
                <w:szCs w:val="22"/>
                <w:lang w:val="sr-Cyrl-CS"/>
              </w:rPr>
            </w:pPr>
            <w:r w:rsidRPr="00092ED7">
              <w:rPr>
                <w:rFonts w:cs="Times New Roman"/>
                <w:sz w:val="22"/>
                <w:szCs w:val="22"/>
                <w:lang w:val="sr-Cyrl-CS"/>
              </w:rPr>
              <w:t xml:space="preserve">Реформа подразумева припрему одговарајућих докумената јавних политика, а затим реализацију тако планираних активности, чиме ће се створити предуслови за потписивање </w:t>
            </w:r>
            <w:r w:rsidR="00E85CD3" w:rsidRPr="00092ED7">
              <w:rPr>
                <w:rFonts w:cs="Times New Roman"/>
                <w:sz w:val="22"/>
                <w:szCs w:val="22"/>
                <w:lang w:val="sr-Cyrl-CS"/>
              </w:rPr>
              <w:t>ACAA споразума</w:t>
            </w:r>
            <w:r w:rsidRPr="00092ED7">
              <w:rPr>
                <w:rFonts w:cs="Times New Roman"/>
                <w:sz w:val="22"/>
                <w:szCs w:val="22"/>
                <w:lang w:val="sr-Cyrl-CS"/>
              </w:rPr>
              <w:t xml:space="preserve"> за идентификоване групе производа. Реформа ће допринети да Република Србија буде значајно ближа стандардима ЕУ у овој области, што ће позитивно утицати на: домаће привреднике који ће производити, увозити и извозити производе без техничких препрека; потрошаче који ће имати приступ квалитетним и безбедним производима; органе државне управе који ће вршити надзор над применом техничких прописа на једноставнији и ефикаснији начин.</w:t>
            </w:r>
          </w:p>
        </w:tc>
      </w:tr>
      <w:tr w:rsidR="00F42759" w:rsidRPr="00092ED7" w14:paraId="0F8967CC" w14:textId="77777777" w:rsidTr="001632EC">
        <w:trPr>
          <w:trHeight w:val="397"/>
        </w:trPr>
        <w:tc>
          <w:tcPr>
            <w:tcW w:w="9361" w:type="dxa"/>
            <w:gridSpan w:val="3"/>
            <w:shd w:val="clear" w:color="auto" w:fill="DEEAF6" w:themeFill="accent1" w:themeFillTint="33"/>
          </w:tcPr>
          <w:p w14:paraId="1128D49A" w14:textId="77777777" w:rsidR="00F42759" w:rsidRPr="00092ED7" w:rsidRDefault="00F42759" w:rsidP="001632EC">
            <w:pPr>
              <w:spacing w:before="0" w:after="0"/>
              <w:ind w:left="113" w:right="113"/>
              <w:rPr>
                <w:rFonts w:cs="Times New Roman"/>
                <w:b/>
                <w:sz w:val="22"/>
                <w:szCs w:val="22"/>
                <w:lang w:val="sr-Cyrl-CS"/>
              </w:rPr>
            </w:pPr>
            <w:r w:rsidRPr="00092ED7">
              <w:rPr>
                <w:rFonts w:cs="Times New Roman"/>
                <w:b/>
                <w:sz w:val="22"/>
                <w:szCs w:val="22"/>
                <w:lang w:val="sr-Cyrl-CS"/>
              </w:rPr>
              <w:t>Област 10: ОБРАЗОВАЊЕ И ВЕШТИНЕ</w:t>
            </w:r>
          </w:p>
          <w:p w14:paraId="6670C6D9" w14:textId="77777777" w:rsidR="00F42759" w:rsidRPr="00092ED7" w:rsidRDefault="00F42759" w:rsidP="001632EC">
            <w:pPr>
              <w:spacing w:before="0" w:after="0"/>
              <w:ind w:left="113" w:right="113"/>
              <w:rPr>
                <w:rFonts w:cs="Times New Roman"/>
                <w:b/>
                <w:sz w:val="22"/>
                <w:szCs w:val="22"/>
                <w:lang w:val="sr-Cyrl-CS"/>
              </w:rPr>
            </w:pPr>
            <w:r w:rsidRPr="00092ED7">
              <w:rPr>
                <w:rFonts w:cs="Times New Roman"/>
                <w:b/>
                <w:sz w:val="22"/>
                <w:szCs w:val="22"/>
                <w:lang w:val="sr-Cyrl-CS"/>
              </w:rPr>
              <w:t xml:space="preserve">Релевантна реформа из ове области </w:t>
            </w:r>
            <w:r w:rsidRPr="00092ED7">
              <w:rPr>
                <w:rFonts w:cs="Times New Roman"/>
                <w:b/>
                <w:i/>
                <w:sz w:val="22"/>
                <w:szCs w:val="22"/>
                <w:lang w:val="sr-Cyrl-CS"/>
              </w:rPr>
              <w:t>Квалификације оријентисане према потребама тржишта рада</w:t>
            </w:r>
            <w:r w:rsidRPr="00092ED7">
              <w:rPr>
                <w:rFonts w:cs="Times New Roman"/>
                <w:b/>
                <w:sz w:val="22"/>
                <w:szCs w:val="22"/>
                <w:lang w:val="sr-Cyrl-CS"/>
              </w:rPr>
              <w:t xml:space="preserve"> представљена је у </w:t>
            </w:r>
            <w:r w:rsidRPr="00092ED7">
              <w:rPr>
                <w:rFonts w:cs="Times New Roman"/>
                <w:b/>
                <w:i/>
                <w:sz w:val="22"/>
                <w:szCs w:val="22"/>
                <w:lang w:val="sr-Cyrl-CS"/>
              </w:rPr>
              <w:t>Кључном изазову број 1. Повећање запослености, посебно младих, жена и осетљивих група, и социјална заштита од сиромаштва</w:t>
            </w:r>
          </w:p>
        </w:tc>
      </w:tr>
      <w:tr w:rsidR="00F42759" w:rsidRPr="00092ED7" w14:paraId="536F845C" w14:textId="77777777" w:rsidTr="001632EC">
        <w:trPr>
          <w:trHeight w:val="397"/>
        </w:trPr>
        <w:tc>
          <w:tcPr>
            <w:tcW w:w="9361" w:type="dxa"/>
            <w:gridSpan w:val="3"/>
            <w:shd w:val="clear" w:color="auto" w:fill="DEEAF6" w:themeFill="accent1" w:themeFillTint="33"/>
          </w:tcPr>
          <w:p w14:paraId="255FC558" w14:textId="77777777" w:rsidR="00F42759" w:rsidRPr="00092ED7" w:rsidRDefault="00F42759" w:rsidP="001632EC">
            <w:pPr>
              <w:spacing w:before="0" w:after="0"/>
              <w:ind w:left="113" w:right="113"/>
              <w:rPr>
                <w:rFonts w:cs="Times New Roman"/>
                <w:b/>
                <w:sz w:val="22"/>
                <w:szCs w:val="22"/>
                <w:lang w:val="sr-Cyrl-CS"/>
              </w:rPr>
            </w:pPr>
            <w:r w:rsidRPr="00092ED7">
              <w:rPr>
                <w:rFonts w:cs="Times New Roman"/>
                <w:b/>
                <w:sz w:val="22"/>
                <w:szCs w:val="22"/>
                <w:lang w:val="sr-Cyrl-CS"/>
              </w:rPr>
              <w:t>Област 11: ЗАПОШЉАВАЊЕ И ТРЖИШТЕ РАДА</w:t>
            </w:r>
          </w:p>
          <w:p w14:paraId="66227857" w14:textId="77777777" w:rsidR="00F42759" w:rsidRPr="00092ED7" w:rsidRDefault="00F42759" w:rsidP="001632EC">
            <w:pPr>
              <w:spacing w:before="0" w:after="0"/>
              <w:ind w:left="113" w:right="113"/>
              <w:rPr>
                <w:rFonts w:cs="Times New Roman"/>
                <w:b/>
                <w:sz w:val="22"/>
                <w:szCs w:val="22"/>
                <w:lang w:val="sr-Cyrl-CS"/>
              </w:rPr>
            </w:pPr>
            <w:r w:rsidRPr="00092ED7">
              <w:rPr>
                <w:rFonts w:cs="Times New Roman"/>
                <w:b/>
                <w:sz w:val="22"/>
                <w:szCs w:val="22"/>
                <w:lang w:val="sr-Cyrl-CS"/>
              </w:rPr>
              <w:t xml:space="preserve">Релевантне реформе из ове области представљене су у </w:t>
            </w:r>
            <w:r w:rsidRPr="00092ED7">
              <w:rPr>
                <w:rFonts w:cs="Times New Roman"/>
                <w:b/>
                <w:i/>
                <w:sz w:val="22"/>
                <w:szCs w:val="22"/>
                <w:lang w:val="sr-Cyrl-CS"/>
              </w:rPr>
              <w:t>Кључном изазову број 1. Повећање запослености, посебно младих, жена и осетљивих група, и социјална заштита од сиромаштва</w:t>
            </w:r>
          </w:p>
        </w:tc>
      </w:tr>
      <w:tr w:rsidR="00F42759" w:rsidRPr="00092ED7" w14:paraId="3D48DC5F" w14:textId="77777777" w:rsidTr="001632EC">
        <w:trPr>
          <w:trHeight w:val="397"/>
        </w:trPr>
        <w:tc>
          <w:tcPr>
            <w:tcW w:w="9361" w:type="dxa"/>
            <w:gridSpan w:val="3"/>
            <w:shd w:val="clear" w:color="auto" w:fill="DEEAF6" w:themeFill="accent1" w:themeFillTint="33"/>
          </w:tcPr>
          <w:p w14:paraId="7835A6B1" w14:textId="77777777" w:rsidR="00F42759" w:rsidRPr="00092ED7" w:rsidRDefault="00F42759" w:rsidP="001632EC">
            <w:pPr>
              <w:spacing w:before="0" w:after="0"/>
              <w:ind w:left="113" w:right="113"/>
              <w:rPr>
                <w:rFonts w:cs="Times New Roman"/>
                <w:b/>
                <w:sz w:val="22"/>
                <w:szCs w:val="22"/>
                <w:lang w:val="sr-Cyrl-CS"/>
              </w:rPr>
            </w:pPr>
            <w:r w:rsidRPr="00092ED7">
              <w:rPr>
                <w:rFonts w:cs="Times New Roman"/>
                <w:b/>
                <w:sz w:val="22"/>
                <w:szCs w:val="22"/>
                <w:lang w:val="sr-Cyrl-CS"/>
              </w:rPr>
              <w:t xml:space="preserve">Област 12: СОЦИЈАЛНА ЗАШТИТА И ИНКЛУЗИЈА (у оквиру </w:t>
            </w:r>
            <w:r w:rsidRPr="00092ED7">
              <w:rPr>
                <w:rFonts w:cs="Times New Roman"/>
                <w:b/>
                <w:i/>
                <w:sz w:val="22"/>
                <w:szCs w:val="22"/>
                <w:lang w:val="sr-Cyrl-CS"/>
              </w:rPr>
              <w:t>Кључног изазова брoj 1. Повећање запослености, посебно младих, жена и осетљивих група, и социјална заштита од сиромаштва</w:t>
            </w:r>
            <w:r w:rsidRPr="00092ED7">
              <w:rPr>
                <w:rFonts w:cs="Times New Roman"/>
                <w:b/>
                <w:sz w:val="22"/>
                <w:szCs w:val="22"/>
                <w:lang w:val="sr-Cyrl-CS"/>
              </w:rPr>
              <w:t>)</w:t>
            </w:r>
          </w:p>
        </w:tc>
      </w:tr>
      <w:tr w:rsidR="00F42759" w:rsidRPr="00092ED7" w14:paraId="050711AF" w14:textId="77777777" w:rsidTr="001632EC">
        <w:trPr>
          <w:trHeight w:val="397"/>
        </w:trPr>
        <w:tc>
          <w:tcPr>
            <w:tcW w:w="9361" w:type="dxa"/>
            <w:gridSpan w:val="3"/>
            <w:shd w:val="clear" w:color="auto" w:fill="DEEAF6" w:themeFill="accent1" w:themeFillTint="33"/>
          </w:tcPr>
          <w:p w14:paraId="2F3AFCF5" w14:textId="77777777" w:rsidR="00F42759" w:rsidRPr="00092ED7" w:rsidRDefault="00F42759" w:rsidP="001632EC">
            <w:pPr>
              <w:spacing w:before="0" w:after="0"/>
              <w:ind w:left="113" w:right="113"/>
              <w:rPr>
                <w:rFonts w:cs="Times New Roman"/>
                <w:b/>
                <w:sz w:val="22"/>
                <w:szCs w:val="22"/>
                <w:lang w:val="sr-Cyrl-CS"/>
              </w:rPr>
            </w:pPr>
            <w:r w:rsidRPr="00092ED7">
              <w:rPr>
                <w:rFonts w:cs="Times New Roman"/>
                <w:b/>
                <w:sz w:val="22"/>
                <w:szCs w:val="22"/>
                <w:lang w:val="sr-Cyrl-CS"/>
              </w:rPr>
              <w:t>Област 13: СИСТЕМ ЗДРАВСТВЕНЕ ЗАШТИТЕ</w:t>
            </w:r>
          </w:p>
        </w:tc>
      </w:tr>
      <w:tr w:rsidR="00F42759" w:rsidRPr="00092ED7" w14:paraId="03206911" w14:textId="77777777" w:rsidTr="001632EC">
        <w:tc>
          <w:tcPr>
            <w:tcW w:w="579" w:type="dxa"/>
            <w:shd w:val="clear" w:color="auto" w:fill="DEEAF6" w:themeFill="accent1" w:themeFillTint="33"/>
          </w:tcPr>
          <w:p w14:paraId="7B3E0F68" w14:textId="77777777" w:rsidR="00F42759" w:rsidRPr="00092ED7" w:rsidRDefault="00F42759" w:rsidP="001632EC">
            <w:pPr>
              <w:spacing w:before="0" w:after="0"/>
              <w:ind w:left="113" w:right="113"/>
              <w:jc w:val="left"/>
              <w:rPr>
                <w:rFonts w:cs="Times New Roman"/>
                <w:b/>
                <w:sz w:val="22"/>
                <w:szCs w:val="22"/>
                <w:lang w:val="sr-Cyrl-CS"/>
              </w:rPr>
            </w:pPr>
            <w:r w:rsidRPr="00092ED7">
              <w:rPr>
                <w:rFonts w:cs="Times New Roman"/>
                <w:b/>
                <w:sz w:val="22"/>
                <w:szCs w:val="22"/>
                <w:lang w:val="sr-Cyrl-CS"/>
              </w:rPr>
              <w:t>СР</w:t>
            </w:r>
            <w:r w:rsidR="001632EC" w:rsidRPr="00092ED7">
              <w:rPr>
                <w:rFonts w:cs="Times New Roman"/>
                <w:b/>
                <w:sz w:val="22"/>
                <w:szCs w:val="22"/>
                <w:lang w:val="sr-Cyrl-CS"/>
              </w:rPr>
              <w:t xml:space="preserve"> </w:t>
            </w:r>
            <w:r w:rsidRPr="00092ED7">
              <w:rPr>
                <w:rFonts w:cs="Times New Roman"/>
                <w:b/>
                <w:sz w:val="22"/>
                <w:szCs w:val="22"/>
                <w:lang w:val="sr-Cyrl-CS"/>
              </w:rPr>
              <w:t>р.б.</w:t>
            </w:r>
          </w:p>
        </w:tc>
        <w:tc>
          <w:tcPr>
            <w:tcW w:w="3981" w:type="dxa"/>
            <w:shd w:val="clear" w:color="auto" w:fill="DEEAF6" w:themeFill="accent1" w:themeFillTint="33"/>
          </w:tcPr>
          <w:p w14:paraId="16E208C3" w14:textId="77777777" w:rsidR="00F42759" w:rsidRPr="00092ED7" w:rsidRDefault="00F42759" w:rsidP="001632EC">
            <w:pPr>
              <w:spacing w:before="0" w:after="0"/>
              <w:ind w:left="113" w:right="113"/>
              <w:jc w:val="left"/>
              <w:rPr>
                <w:rFonts w:cs="Times New Roman"/>
                <w:b/>
                <w:sz w:val="22"/>
                <w:szCs w:val="22"/>
                <w:lang w:val="sr-Cyrl-CS"/>
              </w:rPr>
            </w:pPr>
            <w:r w:rsidRPr="00092ED7">
              <w:rPr>
                <w:rFonts w:cs="Times New Roman"/>
                <w:b/>
                <w:sz w:val="22"/>
                <w:szCs w:val="22"/>
                <w:lang w:val="sr-Cyrl-CS"/>
              </w:rPr>
              <w:t>Назив структурне реформе</w:t>
            </w:r>
          </w:p>
        </w:tc>
        <w:tc>
          <w:tcPr>
            <w:tcW w:w="4801" w:type="dxa"/>
            <w:shd w:val="clear" w:color="auto" w:fill="DEEAF6" w:themeFill="accent1" w:themeFillTint="33"/>
          </w:tcPr>
          <w:p w14:paraId="7876DD9B" w14:textId="77777777" w:rsidR="00F42759" w:rsidRPr="00092ED7" w:rsidRDefault="00F42759" w:rsidP="001632EC">
            <w:pPr>
              <w:spacing w:before="0" w:after="0"/>
              <w:ind w:left="113" w:right="113"/>
              <w:jc w:val="left"/>
              <w:rPr>
                <w:rFonts w:cs="Times New Roman"/>
                <w:b/>
                <w:sz w:val="22"/>
                <w:szCs w:val="22"/>
                <w:lang w:val="sr-Cyrl-CS"/>
              </w:rPr>
            </w:pPr>
            <w:r w:rsidRPr="00092ED7">
              <w:rPr>
                <w:rFonts w:cs="Times New Roman"/>
                <w:b/>
                <w:sz w:val="22"/>
                <w:szCs w:val="22"/>
                <w:lang w:val="sr-Cyrl-CS"/>
              </w:rPr>
              <w:t>Опис структурне реформе</w:t>
            </w:r>
          </w:p>
        </w:tc>
      </w:tr>
      <w:tr w:rsidR="001632EC" w:rsidRPr="00092ED7" w14:paraId="22EB8119" w14:textId="77777777" w:rsidTr="001632EC">
        <w:tc>
          <w:tcPr>
            <w:tcW w:w="579" w:type="dxa"/>
            <w:vAlign w:val="top"/>
          </w:tcPr>
          <w:p w14:paraId="0D6B5811" w14:textId="77777777" w:rsidR="00F42759" w:rsidRPr="00092ED7" w:rsidRDefault="00F42759" w:rsidP="001632EC">
            <w:pPr>
              <w:spacing w:before="0" w:after="0"/>
              <w:ind w:left="113" w:right="113"/>
              <w:jc w:val="left"/>
              <w:rPr>
                <w:rFonts w:cs="Times New Roman"/>
                <w:b/>
                <w:sz w:val="22"/>
                <w:szCs w:val="22"/>
                <w:lang w:val="sr-Cyrl-CS"/>
              </w:rPr>
            </w:pPr>
            <w:r w:rsidRPr="00092ED7">
              <w:rPr>
                <w:rFonts w:cs="Times New Roman"/>
                <w:b/>
                <w:sz w:val="22"/>
                <w:szCs w:val="22"/>
                <w:lang w:val="sr-Cyrl-CS"/>
              </w:rPr>
              <w:t>22.</w:t>
            </w:r>
          </w:p>
        </w:tc>
        <w:tc>
          <w:tcPr>
            <w:tcW w:w="3981" w:type="dxa"/>
            <w:vAlign w:val="top"/>
          </w:tcPr>
          <w:p w14:paraId="6A1E4211" w14:textId="77777777" w:rsidR="00F42759" w:rsidRPr="00092ED7" w:rsidRDefault="00F42759" w:rsidP="001632EC">
            <w:pPr>
              <w:spacing w:before="0" w:after="0"/>
              <w:ind w:left="113" w:right="113"/>
              <w:jc w:val="left"/>
              <w:rPr>
                <w:rFonts w:cs="Times New Roman"/>
                <w:b/>
                <w:bCs/>
                <w:sz w:val="22"/>
                <w:szCs w:val="22"/>
                <w:highlight w:val="green"/>
                <w:lang w:val="sr-Cyrl-CS"/>
              </w:rPr>
            </w:pPr>
            <w:r w:rsidRPr="00092ED7">
              <w:rPr>
                <w:rFonts w:cs="Times New Roman"/>
                <w:b/>
                <w:bCs/>
                <w:sz w:val="22"/>
                <w:szCs w:val="22"/>
                <w:lang w:val="sr-Cyrl-CS"/>
              </w:rPr>
              <w:t>Унапређење ефикасности здравственог система кроз дигитализацију процеса</w:t>
            </w:r>
          </w:p>
        </w:tc>
        <w:tc>
          <w:tcPr>
            <w:tcW w:w="4801" w:type="dxa"/>
            <w:vAlign w:val="top"/>
          </w:tcPr>
          <w:p w14:paraId="25D9785E" w14:textId="77777777" w:rsidR="00F42759" w:rsidRPr="00092ED7" w:rsidRDefault="00F42759" w:rsidP="001632EC">
            <w:pPr>
              <w:widowControl w:val="0"/>
              <w:spacing w:before="0" w:after="0"/>
              <w:ind w:left="113" w:right="113"/>
              <w:rPr>
                <w:rFonts w:cs="Times New Roman"/>
                <w:sz w:val="22"/>
                <w:szCs w:val="22"/>
                <w:highlight w:val="green"/>
                <w:lang w:val="sr-Cyrl-CS"/>
              </w:rPr>
            </w:pPr>
            <w:r w:rsidRPr="00092ED7">
              <w:rPr>
                <w:rFonts w:cs="Times New Roman"/>
                <w:sz w:val="22"/>
                <w:szCs w:val="22"/>
                <w:lang w:val="sr-Cyrl-CS"/>
              </w:rPr>
              <w:t>Реформа подразумева: успостављање електронског медицинског досијеа (чиме се стварају услови за размену података између државног и приватног сектора); централне платформе за прикупљање података из свих лабораторијских система; проширење еРецепта на помагала и ампулиране лекове на примарном нивоу здравствене заштите, као и на болничке лекове (Б и Ц Листа); примену вештачке интелигенције над одређеним процесима искључиво у области радиологије (поготово мамографије због организованог скрининга за рак дојке). Дигитализација у здравственом систему повећава ефикасност пружања здравствених услуга и омогућава виши квалитет дијагностике и лечења на свим нивоима здравствене заштите установа из Плана мреже здравствених установа.</w:t>
            </w:r>
          </w:p>
        </w:tc>
      </w:tr>
    </w:tbl>
    <w:p w14:paraId="3FC4527B" w14:textId="005476D9" w:rsidR="00877844" w:rsidRPr="00092ED7" w:rsidRDefault="00877844" w:rsidP="001632EC">
      <w:pPr>
        <w:keepNext/>
        <w:keepLines/>
        <w:spacing w:before="240" w:after="240"/>
        <w:outlineLvl w:val="0"/>
        <w:rPr>
          <w:rFonts w:eastAsia="Times New Roman"/>
          <w:b/>
          <w:w w:val="110"/>
          <w:sz w:val="26"/>
          <w:szCs w:val="26"/>
          <w:lang w:val="sr-Cyrl-CS"/>
        </w:rPr>
      </w:pPr>
      <w:bookmarkStart w:id="66" w:name="_Toc124174822"/>
      <w:r w:rsidRPr="00092ED7">
        <w:rPr>
          <w:rFonts w:eastAsia="Times New Roman"/>
          <w:b/>
          <w:w w:val="110"/>
          <w:sz w:val="26"/>
          <w:szCs w:val="26"/>
          <w:lang w:val="sr-Cyrl-CS"/>
        </w:rPr>
        <w:lastRenderedPageBreak/>
        <w:t>6. ТРОШКОВИ И ФИНАНСИРАЊЕ СТРУКТУРНИХ РЕФОРМИ</w:t>
      </w:r>
      <w:bookmarkEnd w:id="64"/>
      <w:bookmarkEnd w:id="66"/>
    </w:p>
    <w:p w14:paraId="699D0D93" w14:textId="6CA12D8D" w:rsidR="00591FF5" w:rsidRPr="00092ED7" w:rsidRDefault="00591FF5" w:rsidP="00D030D6">
      <w:pPr>
        <w:spacing w:after="60"/>
        <w:rPr>
          <w:szCs w:val="24"/>
          <w:lang w:val="sr-Cyrl-CS"/>
        </w:rPr>
      </w:pPr>
      <w:r w:rsidRPr="00092ED7">
        <w:rPr>
          <w:szCs w:val="24"/>
          <w:lang w:val="sr-Cyrl-CS"/>
        </w:rPr>
        <w:t xml:space="preserve">Додатни трошкови спровођења структурних реформи у периоду 2023-2025. година износе </w:t>
      </w:r>
      <w:r w:rsidR="006A2971" w:rsidRPr="00092ED7">
        <w:rPr>
          <w:szCs w:val="24"/>
          <w:lang w:val="sr-Cyrl-CS"/>
        </w:rPr>
        <w:t>1.130</w:t>
      </w:r>
      <w:r w:rsidR="0071510C" w:rsidRPr="00092ED7">
        <w:rPr>
          <w:szCs w:val="24"/>
          <w:lang w:val="sr-Cyrl-CS"/>
        </w:rPr>
        <w:t xml:space="preserve"> </w:t>
      </w:r>
      <w:r w:rsidRPr="00092ED7">
        <w:rPr>
          <w:szCs w:val="24"/>
          <w:lang w:val="sr-Cyrl-CS"/>
        </w:rPr>
        <w:t xml:space="preserve">милиона евра у односу на базну годину пре почетка сваке појединачне реформе. По годинама, додатни трошкови спровођења структурних реформи износе у 2023. години </w:t>
      </w:r>
      <w:r w:rsidR="00BE6D80" w:rsidRPr="00092ED7">
        <w:rPr>
          <w:szCs w:val="24"/>
          <w:lang w:val="sr-Cyrl-CS"/>
        </w:rPr>
        <w:t xml:space="preserve">349,3 </w:t>
      </w:r>
      <w:r w:rsidRPr="00092ED7">
        <w:rPr>
          <w:szCs w:val="24"/>
          <w:lang w:val="sr-Cyrl-CS"/>
        </w:rPr>
        <w:t xml:space="preserve">милиона евра, за 2024. годину укупно </w:t>
      </w:r>
      <w:r w:rsidR="00BE6D80" w:rsidRPr="00092ED7">
        <w:rPr>
          <w:szCs w:val="24"/>
          <w:lang w:val="sr-Cyrl-CS"/>
        </w:rPr>
        <w:t xml:space="preserve">417,2 </w:t>
      </w:r>
      <w:r w:rsidRPr="00092ED7">
        <w:rPr>
          <w:szCs w:val="24"/>
          <w:lang w:val="sr-Cyrl-CS"/>
        </w:rPr>
        <w:t xml:space="preserve">милиона евра и у 2025. години износе </w:t>
      </w:r>
      <w:r w:rsidR="00BE6D80" w:rsidRPr="00092ED7">
        <w:rPr>
          <w:szCs w:val="24"/>
          <w:lang w:val="sr-Cyrl-CS"/>
        </w:rPr>
        <w:t xml:space="preserve">363,4 </w:t>
      </w:r>
      <w:r w:rsidRPr="00092ED7">
        <w:rPr>
          <w:szCs w:val="24"/>
          <w:lang w:val="sr-Cyrl-CS"/>
        </w:rPr>
        <w:t xml:space="preserve">милиона евра. У периоду 2022-2024. година додатни трошкови спровођења структурних реформи износили су 872,9 милиона евра, тако да за период 2023-2025. година бележе раст од </w:t>
      </w:r>
      <w:r w:rsidR="00BE6D80" w:rsidRPr="00092ED7">
        <w:rPr>
          <w:szCs w:val="24"/>
          <w:lang w:val="sr-Cyrl-CS"/>
        </w:rPr>
        <w:t>29</w:t>
      </w:r>
      <w:r w:rsidRPr="00092ED7">
        <w:rPr>
          <w:szCs w:val="24"/>
          <w:lang w:val="sr-Cyrl-CS"/>
        </w:rPr>
        <w:t>%.</w:t>
      </w:r>
    </w:p>
    <w:p w14:paraId="491EB8E3" w14:textId="77777777" w:rsidR="00591FF5" w:rsidRPr="00092ED7" w:rsidRDefault="00591FF5" w:rsidP="00D030D6">
      <w:pPr>
        <w:spacing w:after="60"/>
        <w:rPr>
          <w:szCs w:val="24"/>
          <w:lang w:val="sr-Cyrl-CS"/>
        </w:rPr>
      </w:pPr>
      <w:r w:rsidRPr="00092ED7">
        <w:rPr>
          <w:szCs w:val="24"/>
          <w:lang w:val="sr-Cyrl-CS"/>
        </w:rPr>
        <w:t xml:space="preserve">Већина од 22 структурне реформе приказане у ЕРП 2023-2025 има административни карактер, док се пет структурних реформи, које захтевају највеће додатне трошкове финансирања (68% укупних додатних трошкова), налазе у категорији инфраструктурних мера. </w:t>
      </w:r>
    </w:p>
    <w:p w14:paraId="3AA7B94D" w14:textId="03B19AAC" w:rsidR="00591FF5" w:rsidRPr="00092ED7" w:rsidRDefault="00591FF5" w:rsidP="00D030D6">
      <w:pPr>
        <w:spacing w:after="60"/>
        <w:rPr>
          <w:szCs w:val="24"/>
          <w:lang w:val="sr-Cyrl-CS"/>
        </w:rPr>
      </w:pPr>
      <w:r w:rsidRPr="00092ED7">
        <w:rPr>
          <w:szCs w:val="24"/>
          <w:lang w:val="sr-Cyrl-CS"/>
        </w:rPr>
        <w:t xml:space="preserve">У структури трошкова реформских мера у наредном трогодишњем периоду, као и у претходном, доминирају капитални расходи са </w:t>
      </w:r>
      <w:r w:rsidR="00BE6D80" w:rsidRPr="00092ED7">
        <w:rPr>
          <w:szCs w:val="24"/>
          <w:lang w:val="sr-Cyrl-CS"/>
        </w:rPr>
        <w:t xml:space="preserve">621,1 </w:t>
      </w:r>
      <w:r w:rsidRPr="00092ED7">
        <w:rPr>
          <w:szCs w:val="24"/>
          <w:lang w:val="sr-Cyrl-CS"/>
        </w:rPr>
        <w:t xml:space="preserve">милиона евра (и учешћем од </w:t>
      </w:r>
      <w:r w:rsidR="00BE6D80" w:rsidRPr="00092ED7">
        <w:rPr>
          <w:szCs w:val="24"/>
          <w:lang w:val="sr-Cyrl-CS"/>
        </w:rPr>
        <w:t>54,9</w:t>
      </w:r>
      <w:r w:rsidRPr="00092ED7">
        <w:rPr>
          <w:szCs w:val="24"/>
          <w:lang w:val="sr-Cyrl-CS"/>
        </w:rPr>
        <w:t xml:space="preserve">% у укупним трошковима), док су добра и услуге са </w:t>
      </w:r>
      <w:r w:rsidR="00BE6D80" w:rsidRPr="00092ED7">
        <w:rPr>
          <w:szCs w:val="24"/>
          <w:lang w:val="sr-Cyrl-CS"/>
        </w:rPr>
        <w:t xml:space="preserve">408 </w:t>
      </w:r>
      <w:r w:rsidRPr="00092ED7">
        <w:rPr>
          <w:szCs w:val="24"/>
          <w:lang w:val="sr-Cyrl-CS"/>
        </w:rPr>
        <w:t xml:space="preserve">милиона евра (учешће </w:t>
      </w:r>
      <w:r w:rsidR="00BE6D80" w:rsidRPr="00092ED7">
        <w:rPr>
          <w:szCs w:val="24"/>
          <w:lang w:val="sr-Cyrl-CS"/>
        </w:rPr>
        <w:t>36,1</w:t>
      </w:r>
      <w:r w:rsidRPr="00092ED7">
        <w:rPr>
          <w:szCs w:val="24"/>
          <w:lang w:val="sr-Cyrl-CS"/>
        </w:rPr>
        <w:t xml:space="preserve">%) повећале своје учешће у структури трошкова у односу на претходни период. Субвенције и трансфери са </w:t>
      </w:r>
      <w:r w:rsidR="00BE6D80" w:rsidRPr="00092ED7">
        <w:rPr>
          <w:szCs w:val="24"/>
          <w:lang w:val="sr-Cyrl-CS"/>
        </w:rPr>
        <w:t xml:space="preserve">99,5 </w:t>
      </w:r>
      <w:r w:rsidRPr="00092ED7">
        <w:rPr>
          <w:szCs w:val="24"/>
          <w:lang w:val="sr-Cyrl-CS"/>
        </w:rPr>
        <w:t>милиона евра (</w:t>
      </w:r>
      <w:r w:rsidR="00BE6D80" w:rsidRPr="00092ED7">
        <w:rPr>
          <w:szCs w:val="24"/>
          <w:lang w:val="sr-Cyrl-CS"/>
        </w:rPr>
        <w:t>8,8</w:t>
      </w:r>
      <w:r w:rsidRPr="00092ED7">
        <w:rPr>
          <w:szCs w:val="24"/>
          <w:lang w:val="sr-Cyrl-CS"/>
        </w:rPr>
        <w:t xml:space="preserve">%) бележе смањење учешћа у односу на претходни период, као и плате са 1,3 милиона евра (и учешћем од </w:t>
      </w:r>
      <w:r w:rsidR="00BE6D80" w:rsidRPr="00092ED7">
        <w:rPr>
          <w:szCs w:val="24"/>
          <w:lang w:val="sr-Cyrl-CS"/>
        </w:rPr>
        <w:t>0,12</w:t>
      </w:r>
      <w:r w:rsidRPr="00092ED7">
        <w:rPr>
          <w:szCs w:val="24"/>
          <w:lang w:val="sr-Cyrl-CS"/>
        </w:rPr>
        <w:t>%).</w:t>
      </w:r>
    </w:p>
    <w:p w14:paraId="4F7C9AD6" w14:textId="3F1CCB55" w:rsidR="00591FF5" w:rsidRPr="00092ED7" w:rsidRDefault="00591FF5" w:rsidP="00D030D6">
      <w:pPr>
        <w:spacing w:after="60"/>
        <w:rPr>
          <w:szCs w:val="24"/>
          <w:lang w:val="sr-Cyrl-CS"/>
        </w:rPr>
      </w:pPr>
      <w:r w:rsidRPr="00092ED7">
        <w:rPr>
          <w:szCs w:val="24"/>
          <w:lang w:val="sr-Cyrl-CS"/>
        </w:rPr>
        <w:t xml:space="preserve">Посматрано са становишта извора финансирања у периоду 2023-2025. године, структура извора остала је непромењена у односу на претходни период. Кључни извор додатног финансирања структурних реформи чине средства пројектних кредита са </w:t>
      </w:r>
      <w:r w:rsidR="0059482B" w:rsidRPr="00092ED7">
        <w:rPr>
          <w:rFonts w:cs="Times New Roman"/>
          <w:szCs w:val="24"/>
          <w:lang w:val="sr-Cyrl-CS"/>
        </w:rPr>
        <w:t xml:space="preserve">716,2 </w:t>
      </w:r>
      <w:r w:rsidRPr="00092ED7">
        <w:rPr>
          <w:szCs w:val="24"/>
          <w:lang w:val="sr-Cyrl-CS"/>
        </w:rPr>
        <w:t xml:space="preserve">милиона евра (учешће од </w:t>
      </w:r>
      <w:r w:rsidR="00BE6D80" w:rsidRPr="00092ED7">
        <w:rPr>
          <w:szCs w:val="24"/>
          <w:lang w:val="sr-Cyrl-CS"/>
        </w:rPr>
        <w:t>63,3</w:t>
      </w:r>
      <w:r w:rsidRPr="00092ED7">
        <w:rPr>
          <w:szCs w:val="24"/>
          <w:lang w:val="sr-Cyrl-CS"/>
        </w:rPr>
        <w:t xml:space="preserve">% у укупним изворима финансирања), затим следе буџет централног нивоа са </w:t>
      </w:r>
      <w:r w:rsidR="00BE6D80" w:rsidRPr="00092ED7">
        <w:rPr>
          <w:szCs w:val="24"/>
          <w:lang w:val="sr-Cyrl-CS"/>
        </w:rPr>
        <w:t xml:space="preserve">267,6 </w:t>
      </w:r>
      <w:r w:rsidRPr="00092ED7">
        <w:rPr>
          <w:szCs w:val="24"/>
          <w:lang w:val="sr-Cyrl-CS"/>
        </w:rPr>
        <w:t xml:space="preserve">милиона евра </w:t>
      </w:r>
      <w:r w:rsidR="00BE6D80" w:rsidRPr="00092ED7">
        <w:rPr>
          <w:szCs w:val="24"/>
          <w:lang w:val="sr-Cyrl-CS"/>
        </w:rPr>
        <w:t>(и учешћем од 23,6%), ИПА средства са</w:t>
      </w:r>
      <w:r w:rsidRPr="00092ED7">
        <w:rPr>
          <w:szCs w:val="24"/>
          <w:lang w:val="sr-Cyrl-CS"/>
        </w:rPr>
        <w:t xml:space="preserve"> </w:t>
      </w:r>
      <w:r w:rsidR="00BE6D80" w:rsidRPr="00092ED7">
        <w:rPr>
          <w:szCs w:val="24"/>
          <w:lang w:val="sr-Cyrl-CS"/>
        </w:rPr>
        <w:t xml:space="preserve">71,3 </w:t>
      </w:r>
      <w:r w:rsidRPr="00092ED7">
        <w:rPr>
          <w:szCs w:val="24"/>
          <w:lang w:val="sr-Cyrl-CS"/>
        </w:rPr>
        <w:t>милиона евра (</w:t>
      </w:r>
      <w:r w:rsidR="00BE6D80" w:rsidRPr="00092ED7">
        <w:rPr>
          <w:szCs w:val="24"/>
          <w:lang w:val="sr-Cyrl-CS"/>
        </w:rPr>
        <w:t>6,3</w:t>
      </w:r>
      <w:r w:rsidRPr="00092ED7">
        <w:rPr>
          <w:szCs w:val="24"/>
          <w:lang w:val="sr-Cyrl-CS"/>
        </w:rPr>
        <w:t xml:space="preserve">%) и остале донације </w:t>
      </w:r>
      <w:r w:rsidR="0059482B" w:rsidRPr="00092ED7">
        <w:rPr>
          <w:rFonts w:cs="Times New Roman"/>
          <w:szCs w:val="24"/>
          <w:lang w:val="sr-Cyrl-CS"/>
        </w:rPr>
        <w:t>63,4</w:t>
      </w:r>
      <w:r w:rsidR="000325E2" w:rsidRPr="00092ED7">
        <w:rPr>
          <w:rFonts w:cs="Times New Roman"/>
          <w:szCs w:val="24"/>
          <w:lang w:val="sr-Cyrl-CS"/>
        </w:rPr>
        <w:t xml:space="preserve"> </w:t>
      </w:r>
      <w:r w:rsidRPr="00092ED7">
        <w:rPr>
          <w:szCs w:val="24"/>
          <w:lang w:val="sr-Cyrl-CS"/>
        </w:rPr>
        <w:t>милиона евра (</w:t>
      </w:r>
      <w:r w:rsidR="00BE6D80" w:rsidRPr="00092ED7">
        <w:rPr>
          <w:szCs w:val="24"/>
          <w:lang w:val="sr-Cyrl-CS"/>
        </w:rPr>
        <w:t>5,6</w:t>
      </w:r>
      <w:r w:rsidRPr="00092ED7">
        <w:rPr>
          <w:szCs w:val="24"/>
          <w:lang w:val="sr-Cyrl-CS"/>
        </w:rPr>
        <w:t xml:space="preserve">% свих расположивих извора), као и локални буџети са 8,5 милиона евра (0,7% учешћа). Други домаћи извори финансирања имају ниско учешће у укупном додатном финансирању структурних реформи у наредном трогодишњем периоду са </w:t>
      </w:r>
      <w:r w:rsidR="00BE6D80" w:rsidRPr="00092ED7">
        <w:rPr>
          <w:szCs w:val="24"/>
          <w:lang w:val="sr-Cyrl-CS"/>
        </w:rPr>
        <w:t xml:space="preserve">634,873 </w:t>
      </w:r>
      <w:r w:rsidRPr="00092ED7">
        <w:rPr>
          <w:szCs w:val="24"/>
          <w:lang w:val="sr-Cyrl-CS"/>
        </w:rPr>
        <w:t xml:space="preserve">евра или </w:t>
      </w:r>
      <w:r w:rsidR="00BE6D80" w:rsidRPr="00092ED7">
        <w:rPr>
          <w:szCs w:val="24"/>
          <w:lang w:val="sr-Cyrl-CS"/>
        </w:rPr>
        <w:t>0,06</w:t>
      </w:r>
      <w:r w:rsidRPr="00092ED7">
        <w:rPr>
          <w:szCs w:val="24"/>
          <w:lang w:val="sr-Cyrl-CS"/>
        </w:rPr>
        <w:t xml:space="preserve">% укупних средстава. Удео извора који треба тек да се утврде за финансирање структурних реформи је занемарљив и износи </w:t>
      </w:r>
      <w:r w:rsidR="00BE6D80" w:rsidRPr="00092ED7">
        <w:rPr>
          <w:szCs w:val="24"/>
          <w:lang w:val="sr-Cyrl-CS"/>
        </w:rPr>
        <w:t xml:space="preserve">2,25 </w:t>
      </w:r>
      <w:r w:rsidRPr="00092ED7">
        <w:rPr>
          <w:szCs w:val="24"/>
          <w:lang w:val="sr-Cyrl-CS"/>
        </w:rPr>
        <w:t xml:space="preserve">милиона евра или </w:t>
      </w:r>
      <w:r w:rsidR="00BE6D80" w:rsidRPr="00092ED7">
        <w:rPr>
          <w:szCs w:val="24"/>
          <w:lang w:val="sr-Cyrl-CS"/>
        </w:rPr>
        <w:t>0,2</w:t>
      </w:r>
      <w:r w:rsidRPr="00092ED7">
        <w:rPr>
          <w:szCs w:val="24"/>
          <w:lang w:val="sr-Cyrl-CS"/>
        </w:rPr>
        <w:t>% и односе се на финансирање структурних реформи у периоду 2024-2025. године, што је значајно ниже учешће у односу на ЕРП 2022-2024. година када је удео ових извора износио 22%.</w:t>
      </w:r>
    </w:p>
    <w:p w14:paraId="7A4CD1BD" w14:textId="77777777" w:rsidR="00591FF5" w:rsidRPr="00092ED7" w:rsidRDefault="00591FF5" w:rsidP="00D030D6">
      <w:pPr>
        <w:spacing w:after="60"/>
        <w:rPr>
          <w:szCs w:val="24"/>
          <w:lang w:val="sr-Cyrl-CS"/>
        </w:rPr>
      </w:pPr>
      <w:r w:rsidRPr="00092ED7">
        <w:rPr>
          <w:szCs w:val="24"/>
          <w:lang w:val="sr-Cyrl-CS"/>
        </w:rPr>
        <w:t xml:space="preserve">Финaнсиjскa срeдствa зa спрoвoђeњe структурних рeфoрми у 2023. гoдини плaнирaнa су у склaду сa Зaкoнoм o буџeту Републике Србије зa 2023. гoдину, средствима буџета и кредита, приливимa из дoнaциja или из других извoрa. </w:t>
      </w:r>
    </w:p>
    <w:p w14:paraId="7017433B" w14:textId="77777777" w:rsidR="00591FF5" w:rsidRPr="00092ED7" w:rsidRDefault="00591FF5" w:rsidP="00D030D6">
      <w:pPr>
        <w:spacing w:after="60"/>
        <w:rPr>
          <w:szCs w:val="24"/>
          <w:lang w:val="sr-Cyrl-CS"/>
        </w:rPr>
      </w:pPr>
      <w:r w:rsidRPr="00092ED7">
        <w:rPr>
          <w:szCs w:val="24"/>
          <w:lang w:val="sr-Cyrl-CS"/>
        </w:rPr>
        <w:t>Финaнсиjскa срeдствa из буџeтa Рeпубликe Србиje зa спрoвoђeњe структурних рeфoрми у 2024. и 2025. гoдини биће планирана у склaду сa дoдeљeним лимитимa зa нoсиoцe истих у тoку буџeтскe прoцeдурe. Због одржања фискалне стабилности, oбeзбeђивaњe дoдaтних финaнсиjских срeдстaвa зa спрoвoђeњe структурних рeфoрми у 2024. и 2025. гoдини је ограничено и мора бити у складу са билaнсним мoгућнoстима буџета.</w:t>
      </w:r>
    </w:p>
    <w:p w14:paraId="477B2D23" w14:textId="77777777" w:rsidR="00591FF5" w:rsidRPr="00092ED7" w:rsidRDefault="00591FF5" w:rsidP="00D030D6">
      <w:pPr>
        <w:spacing w:after="60"/>
        <w:rPr>
          <w:szCs w:val="24"/>
          <w:lang w:val="sr-Cyrl-CS"/>
        </w:rPr>
      </w:pPr>
      <w:r w:rsidRPr="00092ED7">
        <w:rPr>
          <w:szCs w:val="24"/>
          <w:lang w:val="sr-Cyrl-CS"/>
        </w:rPr>
        <w:t>Реализација структурних реформи зависиће од обезбеђености финансијских средстава у годишњим законима о буџету.</w:t>
      </w:r>
    </w:p>
    <w:p w14:paraId="5B7F778C" w14:textId="41BB9355" w:rsidR="00591FF5" w:rsidRPr="00092ED7" w:rsidRDefault="00591FF5" w:rsidP="00D030D6">
      <w:pPr>
        <w:spacing w:after="60"/>
        <w:rPr>
          <w:lang w:val="sr-Cyrl-CS"/>
        </w:rPr>
      </w:pPr>
      <w:r w:rsidRPr="00092ED7">
        <w:rPr>
          <w:szCs w:val="24"/>
          <w:lang w:val="sr-Cyrl-CS"/>
        </w:rPr>
        <w:t>Детаљне информације о додатним трошковима спровођења сваке појединачне структурне реформе на буџет и потенцијалном небуџетском финансирању приказан</w:t>
      </w:r>
      <w:r w:rsidR="00E85CD3" w:rsidRPr="00092ED7">
        <w:rPr>
          <w:szCs w:val="24"/>
          <w:lang w:val="sr-Cyrl-CS"/>
        </w:rPr>
        <w:t>е</w:t>
      </w:r>
      <w:r w:rsidRPr="00092ED7">
        <w:rPr>
          <w:szCs w:val="24"/>
          <w:lang w:val="sr-Cyrl-CS"/>
        </w:rPr>
        <w:t xml:space="preserve"> су у Табелaма 10а и 10б у прилогу.</w:t>
      </w:r>
    </w:p>
    <w:p w14:paraId="441A1BE9" w14:textId="77777777" w:rsidR="0051711E" w:rsidRPr="00092ED7" w:rsidRDefault="0051711E" w:rsidP="001632EC">
      <w:pPr>
        <w:keepNext/>
        <w:keepLines/>
        <w:spacing w:before="240" w:after="240"/>
        <w:outlineLvl w:val="0"/>
        <w:rPr>
          <w:rFonts w:eastAsia="Times New Roman"/>
          <w:b/>
          <w:w w:val="110"/>
          <w:sz w:val="26"/>
          <w:szCs w:val="26"/>
          <w:lang w:val="sr-Cyrl-CS"/>
        </w:rPr>
      </w:pPr>
      <w:bookmarkStart w:id="67" w:name="_Toc124174823"/>
      <w:r w:rsidRPr="00092ED7">
        <w:rPr>
          <w:rFonts w:eastAsia="Times New Roman"/>
          <w:b/>
          <w:w w:val="110"/>
          <w:sz w:val="26"/>
          <w:szCs w:val="26"/>
          <w:lang w:val="sr-Cyrl-CS"/>
        </w:rPr>
        <w:lastRenderedPageBreak/>
        <w:t>7. ИНСТИТУЦИОНАЛНА ПИТАЊА И УКЉУЧИВАЊЕ ЗАИНТЕРЕСОВАНИХ СТРАНА</w:t>
      </w:r>
      <w:bookmarkEnd w:id="67"/>
      <w:r w:rsidRPr="00092ED7">
        <w:rPr>
          <w:rFonts w:eastAsia="Times New Roman"/>
          <w:b/>
          <w:w w:val="110"/>
          <w:sz w:val="26"/>
          <w:szCs w:val="26"/>
          <w:lang w:val="sr-Cyrl-CS"/>
        </w:rPr>
        <w:t xml:space="preserve"> </w:t>
      </w:r>
    </w:p>
    <w:p w14:paraId="38ADA29F" w14:textId="564C31D5" w:rsidR="0051711E" w:rsidRPr="00092ED7" w:rsidRDefault="0051711E" w:rsidP="00D030D6">
      <w:pPr>
        <w:spacing w:after="60"/>
        <w:ind w:right="153"/>
        <w:rPr>
          <w:rFonts w:eastAsia="Times New Roman" w:cs="Times New Roman"/>
          <w:szCs w:val="24"/>
          <w:lang w:val="sr-Cyrl-CS"/>
        </w:rPr>
      </w:pPr>
      <w:r w:rsidRPr="00092ED7">
        <w:rPr>
          <w:rFonts w:eastAsia="Times New Roman" w:cs="Times New Roman"/>
          <w:szCs w:val="24"/>
          <w:lang w:val="sr-Cyrl-CS"/>
        </w:rPr>
        <w:t xml:space="preserve">Република Србија има развијену структуру интерресорне координације израде </w:t>
      </w:r>
      <w:r w:rsidR="00E85CD3" w:rsidRPr="00092ED7">
        <w:rPr>
          <w:rFonts w:eastAsia="Times New Roman" w:cs="Times New Roman"/>
          <w:szCs w:val="24"/>
          <w:lang w:val="sr-Cyrl-CS"/>
        </w:rPr>
        <w:t>ЕРП</w:t>
      </w:r>
      <w:r w:rsidRPr="00092ED7">
        <w:rPr>
          <w:rFonts w:eastAsia="Times New Roman" w:cs="Times New Roman"/>
          <w:szCs w:val="24"/>
          <w:lang w:val="sr-Cyrl-CS"/>
        </w:rPr>
        <w:t xml:space="preserve">. За националног координатора и руководиоца Радне групе за израду и праћење спрoвођења ЕРП </w:t>
      </w:r>
      <w:r w:rsidR="00E85CD3" w:rsidRPr="00092ED7">
        <w:rPr>
          <w:rFonts w:eastAsia="Times New Roman" w:cs="Times New Roman"/>
          <w:szCs w:val="24"/>
          <w:lang w:val="sr-Cyrl-CS"/>
        </w:rPr>
        <w:t>З</w:t>
      </w:r>
      <w:r w:rsidRPr="00092ED7">
        <w:rPr>
          <w:rFonts w:eastAsia="Times New Roman" w:cs="Times New Roman"/>
          <w:szCs w:val="24"/>
          <w:lang w:val="sr-Cyrl-CS"/>
        </w:rPr>
        <w:t xml:space="preserve">акључком Владе </w:t>
      </w:r>
      <w:r w:rsidR="00C20622" w:rsidRPr="00092ED7">
        <w:rPr>
          <w:rFonts w:eastAsia="Times New Roman" w:cs="Times New Roman"/>
          <w:szCs w:val="24"/>
          <w:lang w:val="sr-Cyrl-CS"/>
        </w:rPr>
        <w:t xml:space="preserve">05 Број: 119-8012/2018 </w:t>
      </w:r>
      <w:r w:rsidRPr="00092ED7">
        <w:rPr>
          <w:rFonts w:eastAsia="Times New Roman" w:cs="Times New Roman"/>
          <w:szCs w:val="24"/>
          <w:lang w:val="sr-Cyrl-CS"/>
        </w:rPr>
        <w:t xml:space="preserve">од 28. августа 2018. године, и затим </w:t>
      </w:r>
      <w:r w:rsidR="00E85CD3" w:rsidRPr="00092ED7">
        <w:rPr>
          <w:rFonts w:eastAsia="Times New Roman" w:cs="Times New Roman"/>
          <w:szCs w:val="24"/>
          <w:lang w:val="sr-Cyrl-CS"/>
        </w:rPr>
        <w:t>З</w:t>
      </w:r>
      <w:r w:rsidRPr="00092ED7">
        <w:rPr>
          <w:rFonts w:eastAsia="Times New Roman" w:cs="Times New Roman"/>
          <w:szCs w:val="24"/>
          <w:lang w:val="sr-Cyrl-CS"/>
        </w:rPr>
        <w:t xml:space="preserve">акључком Владе </w:t>
      </w:r>
      <w:r w:rsidR="00C20622" w:rsidRPr="00092ED7">
        <w:rPr>
          <w:rFonts w:eastAsia="Times New Roman" w:cs="Times New Roman"/>
          <w:szCs w:val="24"/>
          <w:lang w:val="sr-Cyrl-CS"/>
        </w:rPr>
        <w:t xml:space="preserve">05 Број: 119-10722/2022 </w:t>
      </w:r>
      <w:r w:rsidRPr="00092ED7">
        <w:rPr>
          <w:rFonts w:eastAsia="Times New Roman" w:cs="Times New Roman"/>
          <w:szCs w:val="24"/>
          <w:lang w:val="sr-Cyrl-CS"/>
        </w:rPr>
        <w:t xml:space="preserve">од 22. децембра 2022, године именован је потпредседник Владе и министар финансија Синиша Мали. Решењем министра финансија је </w:t>
      </w:r>
      <w:r w:rsidR="002E04B5" w:rsidRPr="00092ED7">
        <w:rPr>
          <w:rFonts w:eastAsia="Times New Roman" w:cs="Times New Roman"/>
          <w:szCs w:val="24"/>
          <w:lang w:val="sr-Cyrl-CS"/>
        </w:rPr>
        <w:t>5</w:t>
      </w:r>
      <w:r w:rsidRPr="00092ED7">
        <w:rPr>
          <w:rFonts w:eastAsia="Times New Roman" w:cs="Times New Roman"/>
          <w:szCs w:val="24"/>
          <w:lang w:val="sr-Cyrl-CS"/>
        </w:rPr>
        <w:t>. јануара 2023. године иновирано чланство Радне групе за израду и праћење спровођења ЕРП у коју су именовани представници следећих институција:</w:t>
      </w:r>
    </w:p>
    <w:p w14:paraId="78447397" w14:textId="77777777" w:rsidR="002E04B5" w:rsidRPr="00092ED7" w:rsidRDefault="002E04B5" w:rsidP="002E04B5">
      <w:pPr>
        <w:widowControl w:val="0"/>
        <w:autoSpaceDE w:val="0"/>
        <w:autoSpaceDN w:val="0"/>
        <w:adjustRightInd w:val="0"/>
        <w:spacing w:before="120" w:after="0"/>
        <w:contextualSpacing/>
        <w:jc w:val="left"/>
        <w:rPr>
          <w:rFonts w:eastAsiaTheme="minorEastAsia" w:cs="Times New Roman"/>
          <w:sz w:val="20"/>
          <w:szCs w:val="20"/>
          <w:lang w:val="sr-Cyrl-CS"/>
        </w:rPr>
      </w:pPr>
      <w:r w:rsidRPr="00092ED7">
        <w:rPr>
          <w:rFonts w:eastAsia="Times New Roman" w:cs="Times New Roman"/>
          <w:color w:val="000000"/>
          <w:spacing w:val="-5"/>
          <w:szCs w:val="24"/>
          <w:lang w:val="sr-Cyrl-CS"/>
        </w:rPr>
        <w:t>- Министарства финансија,</w:t>
      </w:r>
    </w:p>
    <w:p w14:paraId="75137325" w14:textId="77777777" w:rsidR="002E04B5" w:rsidRPr="00092ED7" w:rsidRDefault="002E04B5" w:rsidP="002E04B5">
      <w:pPr>
        <w:widowControl w:val="0"/>
        <w:autoSpaceDE w:val="0"/>
        <w:autoSpaceDN w:val="0"/>
        <w:adjustRightInd w:val="0"/>
        <w:spacing w:after="0"/>
        <w:contextualSpacing/>
        <w:jc w:val="left"/>
        <w:rPr>
          <w:rFonts w:eastAsiaTheme="minorEastAsia" w:cs="Times New Roman"/>
          <w:szCs w:val="24"/>
          <w:lang w:val="sr-Cyrl-CS"/>
        </w:rPr>
      </w:pPr>
      <w:r w:rsidRPr="00092ED7">
        <w:rPr>
          <w:rFonts w:eastAsiaTheme="minorEastAsia" w:cs="Times New Roman"/>
          <w:szCs w:val="24"/>
          <w:lang w:val="sr-Cyrl-CS"/>
        </w:rPr>
        <w:t>- Републичког секретаријата за јавне политике,</w:t>
      </w:r>
    </w:p>
    <w:p w14:paraId="0635460F" w14:textId="77777777" w:rsidR="002E04B5" w:rsidRPr="00092ED7" w:rsidRDefault="002E04B5" w:rsidP="002E04B5">
      <w:pPr>
        <w:widowControl w:val="0"/>
        <w:autoSpaceDE w:val="0"/>
        <w:autoSpaceDN w:val="0"/>
        <w:adjustRightInd w:val="0"/>
        <w:spacing w:before="120" w:after="0"/>
        <w:contextualSpacing/>
        <w:jc w:val="left"/>
        <w:rPr>
          <w:rFonts w:eastAsiaTheme="minorEastAsia" w:cs="Times New Roman"/>
          <w:szCs w:val="24"/>
          <w:lang w:val="sr-Cyrl-CS"/>
        </w:rPr>
      </w:pPr>
      <w:r w:rsidRPr="00092ED7">
        <w:rPr>
          <w:rFonts w:eastAsiaTheme="minorEastAsia" w:cs="Times New Roman"/>
          <w:szCs w:val="24"/>
          <w:lang w:val="sr-Cyrl-CS"/>
        </w:rPr>
        <w:t>- Генералног секретаријата Владе,</w:t>
      </w:r>
    </w:p>
    <w:p w14:paraId="44CD6B6A" w14:textId="77777777" w:rsidR="002E04B5" w:rsidRPr="00092ED7" w:rsidRDefault="002E04B5" w:rsidP="002E04B5">
      <w:pPr>
        <w:widowControl w:val="0"/>
        <w:autoSpaceDE w:val="0"/>
        <w:autoSpaceDN w:val="0"/>
        <w:adjustRightInd w:val="0"/>
        <w:spacing w:before="120" w:after="0"/>
        <w:contextualSpacing/>
        <w:jc w:val="left"/>
        <w:rPr>
          <w:rFonts w:eastAsiaTheme="minorEastAsia" w:cs="Times New Roman"/>
          <w:szCs w:val="24"/>
          <w:lang w:val="sr-Cyrl-CS"/>
        </w:rPr>
      </w:pPr>
      <w:r w:rsidRPr="00092ED7">
        <w:rPr>
          <w:rFonts w:eastAsiaTheme="minorEastAsia" w:cs="Times New Roman"/>
          <w:szCs w:val="24"/>
          <w:lang w:val="sr-Cyrl-CS"/>
        </w:rPr>
        <w:t>- Кабинета председника Владе,</w:t>
      </w:r>
    </w:p>
    <w:p w14:paraId="179EA3AB" w14:textId="77777777" w:rsidR="002E04B5" w:rsidRPr="00092ED7" w:rsidRDefault="002E04B5" w:rsidP="002E04B5">
      <w:pPr>
        <w:widowControl w:val="0"/>
        <w:autoSpaceDE w:val="0"/>
        <w:autoSpaceDN w:val="0"/>
        <w:adjustRightInd w:val="0"/>
        <w:spacing w:before="120" w:after="0"/>
        <w:contextualSpacing/>
        <w:jc w:val="left"/>
        <w:rPr>
          <w:rFonts w:eastAsiaTheme="minorEastAsia" w:cs="Times New Roman"/>
          <w:szCs w:val="24"/>
          <w:lang w:val="sr-Cyrl-CS"/>
        </w:rPr>
      </w:pPr>
      <w:r w:rsidRPr="00092ED7">
        <w:rPr>
          <w:rFonts w:eastAsiaTheme="minorEastAsia" w:cs="Times New Roman"/>
          <w:szCs w:val="24"/>
          <w:lang w:val="sr-Cyrl-CS"/>
        </w:rPr>
        <w:t>- Народне банке Србије,</w:t>
      </w:r>
    </w:p>
    <w:p w14:paraId="3BF988A6" w14:textId="77777777" w:rsidR="002E04B5" w:rsidRPr="00092ED7" w:rsidRDefault="002E04B5" w:rsidP="002E04B5">
      <w:pPr>
        <w:widowControl w:val="0"/>
        <w:autoSpaceDE w:val="0"/>
        <w:autoSpaceDN w:val="0"/>
        <w:adjustRightInd w:val="0"/>
        <w:spacing w:before="120" w:after="0"/>
        <w:contextualSpacing/>
        <w:jc w:val="left"/>
        <w:rPr>
          <w:rFonts w:eastAsiaTheme="minorEastAsia" w:cs="Times New Roman"/>
          <w:szCs w:val="24"/>
          <w:lang w:val="sr-Cyrl-CS"/>
        </w:rPr>
      </w:pPr>
      <w:r w:rsidRPr="00092ED7">
        <w:rPr>
          <w:rFonts w:eastAsiaTheme="minorEastAsia" w:cs="Times New Roman"/>
          <w:szCs w:val="24"/>
          <w:lang w:val="sr-Cyrl-CS"/>
        </w:rPr>
        <w:t>- Министарства унутрашње и спољне трговине,</w:t>
      </w:r>
    </w:p>
    <w:p w14:paraId="6EFC249D" w14:textId="77777777" w:rsidR="002E04B5" w:rsidRPr="00092ED7" w:rsidRDefault="002E04B5" w:rsidP="002E04B5">
      <w:pPr>
        <w:widowControl w:val="0"/>
        <w:autoSpaceDE w:val="0"/>
        <w:autoSpaceDN w:val="0"/>
        <w:adjustRightInd w:val="0"/>
        <w:spacing w:before="120" w:after="0"/>
        <w:contextualSpacing/>
        <w:jc w:val="left"/>
        <w:rPr>
          <w:rFonts w:eastAsiaTheme="minorEastAsia" w:cs="Times New Roman"/>
          <w:szCs w:val="24"/>
          <w:lang w:val="sr-Cyrl-CS"/>
        </w:rPr>
      </w:pPr>
      <w:r w:rsidRPr="00092ED7">
        <w:rPr>
          <w:rFonts w:eastAsiaTheme="minorEastAsia" w:cs="Times New Roman"/>
          <w:szCs w:val="24"/>
          <w:lang w:val="sr-Cyrl-CS"/>
        </w:rPr>
        <w:t>- Министарства туризма и омладине,</w:t>
      </w:r>
    </w:p>
    <w:p w14:paraId="5A1592D8" w14:textId="77777777" w:rsidR="002E04B5" w:rsidRPr="00092ED7" w:rsidRDefault="002E04B5" w:rsidP="002E04B5">
      <w:pPr>
        <w:widowControl w:val="0"/>
        <w:autoSpaceDE w:val="0"/>
        <w:autoSpaceDN w:val="0"/>
        <w:adjustRightInd w:val="0"/>
        <w:spacing w:before="120" w:after="0"/>
        <w:contextualSpacing/>
        <w:jc w:val="left"/>
        <w:rPr>
          <w:rFonts w:eastAsiaTheme="minorEastAsia" w:cs="Times New Roman"/>
          <w:szCs w:val="24"/>
          <w:lang w:val="sr-Cyrl-CS"/>
        </w:rPr>
      </w:pPr>
      <w:r w:rsidRPr="00092ED7">
        <w:rPr>
          <w:rFonts w:eastAsiaTheme="minorEastAsia" w:cs="Times New Roman"/>
          <w:szCs w:val="24"/>
          <w:lang w:val="sr-Cyrl-CS"/>
        </w:rPr>
        <w:t>- Министарства спољних послова,</w:t>
      </w:r>
    </w:p>
    <w:p w14:paraId="08AF5365" w14:textId="77777777" w:rsidR="002E04B5" w:rsidRPr="00092ED7" w:rsidRDefault="002E04B5" w:rsidP="002E04B5">
      <w:pPr>
        <w:widowControl w:val="0"/>
        <w:autoSpaceDE w:val="0"/>
        <w:autoSpaceDN w:val="0"/>
        <w:adjustRightInd w:val="0"/>
        <w:spacing w:before="120" w:after="0"/>
        <w:contextualSpacing/>
        <w:jc w:val="left"/>
        <w:rPr>
          <w:rFonts w:eastAsiaTheme="minorEastAsia" w:cs="Times New Roman"/>
          <w:szCs w:val="24"/>
          <w:lang w:val="sr-Cyrl-CS"/>
        </w:rPr>
      </w:pPr>
      <w:r w:rsidRPr="00092ED7">
        <w:rPr>
          <w:rFonts w:eastAsiaTheme="minorEastAsia" w:cs="Times New Roman"/>
          <w:szCs w:val="24"/>
          <w:lang w:val="sr-Cyrl-CS"/>
        </w:rPr>
        <w:t>- Министарства привреде,</w:t>
      </w:r>
    </w:p>
    <w:p w14:paraId="491F04E2" w14:textId="77777777" w:rsidR="002E04B5" w:rsidRPr="00092ED7" w:rsidRDefault="002E04B5" w:rsidP="002E04B5">
      <w:pPr>
        <w:widowControl w:val="0"/>
        <w:autoSpaceDE w:val="0"/>
        <w:autoSpaceDN w:val="0"/>
        <w:adjustRightInd w:val="0"/>
        <w:spacing w:before="120" w:after="0"/>
        <w:contextualSpacing/>
        <w:jc w:val="left"/>
        <w:rPr>
          <w:rFonts w:eastAsiaTheme="minorEastAsia" w:cs="Times New Roman"/>
          <w:szCs w:val="24"/>
          <w:lang w:val="sr-Cyrl-CS"/>
        </w:rPr>
      </w:pPr>
      <w:r w:rsidRPr="00092ED7">
        <w:rPr>
          <w:rFonts w:eastAsiaTheme="minorEastAsia" w:cs="Times New Roman"/>
          <w:szCs w:val="24"/>
          <w:lang w:val="sr-Cyrl-CS"/>
        </w:rPr>
        <w:t>- Министарства грађевинарства, саобраћаја и инфраструктуре,</w:t>
      </w:r>
    </w:p>
    <w:p w14:paraId="460B3EF9" w14:textId="77777777" w:rsidR="002E04B5" w:rsidRPr="00092ED7" w:rsidRDefault="002E04B5" w:rsidP="002E04B5">
      <w:pPr>
        <w:widowControl w:val="0"/>
        <w:autoSpaceDE w:val="0"/>
        <w:autoSpaceDN w:val="0"/>
        <w:adjustRightInd w:val="0"/>
        <w:spacing w:before="120" w:after="0"/>
        <w:contextualSpacing/>
        <w:jc w:val="left"/>
        <w:rPr>
          <w:rFonts w:eastAsiaTheme="minorEastAsia" w:cs="Times New Roman"/>
          <w:szCs w:val="24"/>
          <w:lang w:val="sr-Cyrl-CS"/>
        </w:rPr>
      </w:pPr>
      <w:r w:rsidRPr="00092ED7">
        <w:rPr>
          <w:rFonts w:eastAsiaTheme="minorEastAsia" w:cs="Times New Roman"/>
          <w:szCs w:val="24"/>
          <w:lang w:val="sr-Cyrl-CS"/>
        </w:rPr>
        <w:t>- Министарства пољопривреде, шумарства и водопривреде,</w:t>
      </w:r>
    </w:p>
    <w:p w14:paraId="387BAD60" w14:textId="77777777" w:rsidR="002E04B5" w:rsidRPr="00092ED7" w:rsidRDefault="002E04B5" w:rsidP="002E04B5">
      <w:pPr>
        <w:widowControl w:val="0"/>
        <w:autoSpaceDE w:val="0"/>
        <w:autoSpaceDN w:val="0"/>
        <w:adjustRightInd w:val="0"/>
        <w:spacing w:before="120" w:after="0"/>
        <w:contextualSpacing/>
        <w:jc w:val="left"/>
        <w:rPr>
          <w:rFonts w:eastAsiaTheme="minorEastAsia" w:cs="Times New Roman"/>
          <w:szCs w:val="24"/>
          <w:lang w:val="sr-Cyrl-CS"/>
        </w:rPr>
      </w:pPr>
      <w:r w:rsidRPr="00092ED7">
        <w:rPr>
          <w:rFonts w:eastAsiaTheme="minorEastAsia" w:cs="Times New Roman"/>
          <w:szCs w:val="24"/>
          <w:lang w:val="sr-Cyrl-CS"/>
        </w:rPr>
        <w:t>- Министарства заштите животне средине,</w:t>
      </w:r>
    </w:p>
    <w:p w14:paraId="7BB70A52" w14:textId="77777777" w:rsidR="002E04B5" w:rsidRPr="00092ED7" w:rsidRDefault="002E04B5" w:rsidP="002E04B5">
      <w:pPr>
        <w:widowControl w:val="0"/>
        <w:autoSpaceDE w:val="0"/>
        <w:autoSpaceDN w:val="0"/>
        <w:adjustRightInd w:val="0"/>
        <w:spacing w:before="120" w:after="0"/>
        <w:contextualSpacing/>
        <w:jc w:val="left"/>
        <w:rPr>
          <w:rFonts w:eastAsiaTheme="minorEastAsia" w:cs="Times New Roman"/>
          <w:szCs w:val="24"/>
          <w:lang w:val="sr-Cyrl-CS"/>
        </w:rPr>
      </w:pPr>
      <w:r w:rsidRPr="00092ED7">
        <w:rPr>
          <w:rFonts w:eastAsiaTheme="minorEastAsia" w:cs="Times New Roman"/>
          <w:szCs w:val="24"/>
          <w:lang w:val="sr-Cyrl-CS"/>
        </w:rPr>
        <w:t>- Министарства рударства и енергетике,</w:t>
      </w:r>
    </w:p>
    <w:p w14:paraId="3813F2D0" w14:textId="77777777" w:rsidR="002E04B5" w:rsidRPr="00092ED7" w:rsidRDefault="002E04B5" w:rsidP="002E04B5">
      <w:pPr>
        <w:widowControl w:val="0"/>
        <w:autoSpaceDE w:val="0"/>
        <w:autoSpaceDN w:val="0"/>
        <w:adjustRightInd w:val="0"/>
        <w:spacing w:before="120" w:after="0"/>
        <w:contextualSpacing/>
        <w:jc w:val="left"/>
        <w:rPr>
          <w:rFonts w:eastAsiaTheme="minorEastAsia" w:cs="Times New Roman"/>
          <w:szCs w:val="24"/>
          <w:lang w:val="sr-Cyrl-CS"/>
        </w:rPr>
      </w:pPr>
      <w:r w:rsidRPr="00092ED7">
        <w:rPr>
          <w:rFonts w:eastAsiaTheme="minorEastAsia" w:cs="Times New Roman"/>
          <w:szCs w:val="24"/>
          <w:lang w:val="sr-Cyrl-CS"/>
        </w:rPr>
        <w:t>- Министарства правде,</w:t>
      </w:r>
    </w:p>
    <w:p w14:paraId="7056D553" w14:textId="77777777" w:rsidR="002E04B5" w:rsidRPr="00092ED7" w:rsidRDefault="002E04B5" w:rsidP="002E04B5">
      <w:pPr>
        <w:widowControl w:val="0"/>
        <w:autoSpaceDE w:val="0"/>
        <w:autoSpaceDN w:val="0"/>
        <w:adjustRightInd w:val="0"/>
        <w:spacing w:before="120" w:after="0"/>
        <w:contextualSpacing/>
        <w:jc w:val="left"/>
        <w:rPr>
          <w:rFonts w:eastAsiaTheme="minorEastAsia" w:cs="Times New Roman"/>
          <w:szCs w:val="24"/>
          <w:lang w:val="sr-Cyrl-CS"/>
        </w:rPr>
      </w:pPr>
      <w:r w:rsidRPr="00092ED7">
        <w:rPr>
          <w:rFonts w:eastAsiaTheme="minorEastAsia" w:cs="Times New Roman"/>
          <w:szCs w:val="24"/>
          <w:lang w:val="sr-Cyrl-CS"/>
        </w:rPr>
        <w:t>- Министарство информисања и телекомуникација,</w:t>
      </w:r>
    </w:p>
    <w:p w14:paraId="4E42C118" w14:textId="77777777" w:rsidR="002E04B5" w:rsidRPr="00092ED7" w:rsidRDefault="002E04B5" w:rsidP="002E04B5">
      <w:pPr>
        <w:widowControl w:val="0"/>
        <w:autoSpaceDE w:val="0"/>
        <w:autoSpaceDN w:val="0"/>
        <w:adjustRightInd w:val="0"/>
        <w:spacing w:before="120" w:after="0"/>
        <w:contextualSpacing/>
        <w:jc w:val="left"/>
        <w:rPr>
          <w:rFonts w:eastAsiaTheme="minorEastAsia" w:cs="Times New Roman"/>
          <w:szCs w:val="24"/>
          <w:lang w:val="sr-Cyrl-CS"/>
        </w:rPr>
      </w:pPr>
      <w:r w:rsidRPr="00092ED7">
        <w:rPr>
          <w:rFonts w:eastAsiaTheme="minorEastAsia" w:cs="Times New Roman"/>
          <w:szCs w:val="24"/>
          <w:lang w:val="sr-Cyrl-CS"/>
        </w:rPr>
        <w:t>- Министарства просвете,</w:t>
      </w:r>
    </w:p>
    <w:p w14:paraId="71F69DF1" w14:textId="77777777" w:rsidR="002E04B5" w:rsidRPr="00092ED7" w:rsidRDefault="002E04B5" w:rsidP="002E04B5">
      <w:pPr>
        <w:widowControl w:val="0"/>
        <w:autoSpaceDE w:val="0"/>
        <w:autoSpaceDN w:val="0"/>
        <w:adjustRightInd w:val="0"/>
        <w:spacing w:before="120" w:after="0"/>
        <w:contextualSpacing/>
        <w:jc w:val="left"/>
        <w:rPr>
          <w:rFonts w:eastAsiaTheme="minorEastAsia" w:cs="Times New Roman"/>
          <w:szCs w:val="24"/>
          <w:lang w:val="sr-Cyrl-CS"/>
        </w:rPr>
      </w:pPr>
      <w:r w:rsidRPr="00092ED7">
        <w:rPr>
          <w:rFonts w:eastAsiaTheme="minorEastAsia" w:cs="Times New Roman"/>
          <w:szCs w:val="24"/>
          <w:lang w:val="sr-Cyrl-CS"/>
        </w:rPr>
        <w:t>- Министарство науке, технолошког развоја и иновација,</w:t>
      </w:r>
    </w:p>
    <w:p w14:paraId="1D1619CB" w14:textId="77777777" w:rsidR="002E04B5" w:rsidRPr="00092ED7" w:rsidRDefault="002E04B5" w:rsidP="002E04B5">
      <w:pPr>
        <w:widowControl w:val="0"/>
        <w:autoSpaceDE w:val="0"/>
        <w:autoSpaceDN w:val="0"/>
        <w:adjustRightInd w:val="0"/>
        <w:spacing w:before="120" w:after="0"/>
        <w:contextualSpacing/>
        <w:jc w:val="left"/>
        <w:rPr>
          <w:rFonts w:eastAsiaTheme="minorEastAsia" w:cs="Times New Roman"/>
          <w:szCs w:val="24"/>
          <w:lang w:val="sr-Cyrl-CS"/>
        </w:rPr>
      </w:pPr>
      <w:r w:rsidRPr="00092ED7">
        <w:rPr>
          <w:rFonts w:eastAsiaTheme="minorEastAsia" w:cs="Times New Roman"/>
          <w:szCs w:val="24"/>
          <w:lang w:val="sr-Cyrl-CS"/>
        </w:rPr>
        <w:t>- Министарства државне управе и локалне самоуправе,</w:t>
      </w:r>
    </w:p>
    <w:p w14:paraId="73E8424E" w14:textId="77777777" w:rsidR="002E04B5" w:rsidRPr="00092ED7" w:rsidRDefault="002E04B5" w:rsidP="002E04B5">
      <w:pPr>
        <w:widowControl w:val="0"/>
        <w:autoSpaceDE w:val="0"/>
        <w:autoSpaceDN w:val="0"/>
        <w:adjustRightInd w:val="0"/>
        <w:spacing w:before="120" w:after="0"/>
        <w:contextualSpacing/>
        <w:jc w:val="left"/>
        <w:rPr>
          <w:rFonts w:eastAsiaTheme="minorEastAsia" w:cs="Times New Roman"/>
          <w:szCs w:val="24"/>
          <w:lang w:val="sr-Cyrl-CS"/>
        </w:rPr>
      </w:pPr>
      <w:r w:rsidRPr="00092ED7">
        <w:rPr>
          <w:rFonts w:eastAsiaTheme="minorEastAsia" w:cs="Times New Roman"/>
          <w:szCs w:val="24"/>
          <w:lang w:val="sr-Cyrl-CS"/>
        </w:rPr>
        <w:t>- Министарства за европске интеграције,</w:t>
      </w:r>
    </w:p>
    <w:p w14:paraId="3044A811" w14:textId="77777777" w:rsidR="002E04B5" w:rsidRPr="00092ED7" w:rsidRDefault="002E04B5" w:rsidP="002E04B5">
      <w:pPr>
        <w:widowControl w:val="0"/>
        <w:autoSpaceDE w:val="0"/>
        <w:autoSpaceDN w:val="0"/>
        <w:adjustRightInd w:val="0"/>
        <w:spacing w:before="120" w:after="0"/>
        <w:contextualSpacing/>
        <w:jc w:val="left"/>
        <w:rPr>
          <w:rFonts w:eastAsiaTheme="minorEastAsia" w:cs="Times New Roman"/>
          <w:szCs w:val="24"/>
          <w:lang w:val="sr-Cyrl-CS"/>
        </w:rPr>
      </w:pPr>
      <w:r w:rsidRPr="00092ED7">
        <w:rPr>
          <w:rFonts w:eastAsiaTheme="minorEastAsia" w:cs="Times New Roman"/>
          <w:szCs w:val="24"/>
          <w:lang w:val="sr-Cyrl-CS"/>
        </w:rPr>
        <w:t>- Министарства за рад, запошљавање, борачка и социјална питања,</w:t>
      </w:r>
    </w:p>
    <w:p w14:paraId="54F06639" w14:textId="77777777" w:rsidR="002E04B5" w:rsidRPr="00092ED7" w:rsidRDefault="002E04B5" w:rsidP="002E04B5">
      <w:pPr>
        <w:widowControl w:val="0"/>
        <w:autoSpaceDE w:val="0"/>
        <w:autoSpaceDN w:val="0"/>
        <w:adjustRightInd w:val="0"/>
        <w:spacing w:before="120" w:after="0"/>
        <w:contextualSpacing/>
        <w:jc w:val="left"/>
        <w:rPr>
          <w:rFonts w:eastAsiaTheme="minorEastAsia" w:cs="Times New Roman"/>
          <w:szCs w:val="24"/>
          <w:lang w:val="sr-Cyrl-CS"/>
        </w:rPr>
      </w:pPr>
      <w:r w:rsidRPr="00092ED7">
        <w:rPr>
          <w:rFonts w:eastAsiaTheme="minorEastAsia" w:cs="Times New Roman"/>
          <w:szCs w:val="24"/>
          <w:lang w:val="sr-Cyrl-CS"/>
        </w:rPr>
        <w:t>- Министарства за људска и мањинска права и друштвени дијалог,</w:t>
      </w:r>
    </w:p>
    <w:p w14:paraId="258E6E94" w14:textId="25E8EA37" w:rsidR="002E04B5" w:rsidRPr="00092ED7" w:rsidRDefault="002E04B5" w:rsidP="0046098B">
      <w:pPr>
        <w:widowControl w:val="0"/>
        <w:autoSpaceDE w:val="0"/>
        <w:autoSpaceDN w:val="0"/>
        <w:adjustRightInd w:val="0"/>
        <w:spacing w:before="120" w:after="0"/>
        <w:contextualSpacing/>
        <w:jc w:val="left"/>
        <w:rPr>
          <w:rFonts w:eastAsiaTheme="minorEastAsia" w:cs="Times New Roman"/>
          <w:szCs w:val="24"/>
          <w:lang w:val="sr-Cyrl-CS"/>
        </w:rPr>
      </w:pPr>
      <w:r w:rsidRPr="00092ED7">
        <w:rPr>
          <w:rFonts w:eastAsia="Times New Roman" w:cs="Times New Roman"/>
          <w:szCs w:val="20"/>
          <w:lang w:val="sr-Cyrl-CS"/>
        </w:rPr>
        <w:t xml:space="preserve">- Кабинета министра без портфеља задуженог за унапређење развоја недовољно </w:t>
      </w:r>
      <w:r w:rsidR="004B0EF7" w:rsidRPr="00092ED7">
        <w:rPr>
          <w:rFonts w:eastAsia="Times New Roman" w:cs="Times New Roman"/>
          <w:szCs w:val="20"/>
          <w:lang w:val="sr-Cyrl-CS"/>
        </w:rPr>
        <w:t xml:space="preserve"> </w:t>
      </w:r>
      <w:r w:rsidRPr="00092ED7">
        <w:rPr>
          <w:rFonts w:eastAsia="Times New Roman" w:cs="Times New Roman"/>
          <w:szCs w:val="20"/>
          <w:lang w:val="sr-Cyrl-CS"/>
        </w:rPr>
        <w:t>развијених општина</w:t>
      </w:r>
      <w:r w:rsidR="0046098B" w:rsidRPr="00092ED7">
        <w:rPr>
          <w:rFonts w:eastAsiaTheme="minorEastAsia" w:cs="Times New Roman"/>
          <w:szCs w:val="24"/>
          <w:lang w:val="sr-Cyrl-CS"/>
        </w:rPr>
        <w:t xml:space="preserve"> </w:t>
      </w:r>
      <w:r w:rsidR="0046098B" w:rsidRPr="00092ED7">
        <w:rPr>
          <w:rFonts w:eastAsia="Times New Roman" w:cs="Times New Roman"/>
          <w:szCs w:val="20"/>
          <w:lang w:val="sr-Cyrl-CS"/>
        </w:rPr>
        <w:t>на територији Републике Србије</w:t>
      </w:r>
      <w:r w:rsidRPr="00092ED7">
        <w:rPr>
          <w:rFonts w:eastAsiaTheme="minorEastAsia" w:cs="Times New Roman"/>
          <w:szCs w:val="24"/>
          <w:lang w:val="sr-Cyrl-CS"/>
        </w:rPr>
        <w:t>,</w:t>
      </w:r>
    </w:p>
    <w:p w14:paraId="6434DD62" w14:textId="77777777" w:rsidR="002E04B5" w:rsidRPr="00092ED7" w:rsidRDefault="002E04B5" w:rsidP="002E04B5">
      <w:pPr>
        <w:widowControl w:val="0"/>
        <w:autoSpaceDE w:val="0"/>
        <w:autoSpaceDN w:val="0"/>
        <w:adjustRightInd w:val="0"/>
        <w:spacing w:before="120" w:after="0"/>
        <w:contextualSpacing/>
        <w:jc w:val="left"/>
        <w:rPr>
          <w:rFonts w:eastAsiaTheme="minorEastAsia" w:cs="Times New Roman"/>
          <w:szCs w:val="24"/>
          <w:lang w:val="sr-Cyrl-CS"/>
        </w:rPr>
      </w:pPr>
      <w:r w:rsidRPr="00092ED7">
        <w:rPr>
          <w:rFonts w:eastAsiaTheme="minorEastAsia" w:cs="Times New Roman"/>
          <w:szCs w:val="24"/>
          <w:lang w:val="sr-Cyrl-CS"/>
        </w:rPr>
        <w:t>- Републичког геодетског завода,</w:t>
      </w:r>
    </w:p>
    <w:p w14:paraId="5B1DEC97" w14:textId="77777777" w:rsidR="002E04B5" w:rsidRPr="00092ED7" w:rsidRDefault="002E04B5" w:rsidP="002E04B5">
      <w:pPr>
        <w:widowControl w:val="0"/>
        <w:autoSpaceDE w:val="0"/>
        <w:autoSpaceDN w:val="0"/>
        <w:adjustRightInd w:val="0"/>
        <w:spacing w:before="120" w:after="0"/>
        <w:contextualSpacing/>
        <w:jc w:val="left"/>
        <w:rPr>
          <w:rFonts w:eastAsiaTheme="minorEastAsia" w:cs="Times New Roman"/>
          <w:szCs w:val="24"/>
          <w:lang w:val="sr-Cyrl-CS"/>
        </w:rPr>
      </w:pPr>
      <w:r w:rsidRPr="00092ED7">
        <w:rPr>
          <w:rFonts w:eastAsiaTheme="minorEastAsia" w:cs="Times New Roman"/>
          <w:szCs w:val="24"/>
          <w:lang w:val="sr-Cyrl-CS"/>
        </w:rPr>
        <w:t>- Канцеларије за јавне набавке,</w:t>
      </w:r>
    </w:p>
    <w:p w14:paraId="260A3D97" w14:textId="77777777" w:rsidR="002E04B5" w:rsidRPr="00092ED7" w:rsidRDefault="002E04B5" w:rsidP="002E04B5">
      <w:pPr>
        <w:widowControl w:val="0"/>
        <w:autoSpaceDE w:val="0"/>
        <w:autoSpaceDN w:val="0"/>
        <w:adjustRightInd w:val="0"/>
        <w:spacing w:before="120" w:after="0"/>
        <w:contextualSpacing/>
        <w:jc w:val="left"/>
        <w:rPr>
          <w:rFonts w:eastAsiaTheme="minorEastAsia" w:cs="Times New Roman"/>
          <w:szCs w:val="24"/>
          <w:lang w:val="sr-Cyrl-CS"/>
        </w:rPr>
      </w:pPr>
      <w:r w:rsidRPr="00092ED7">
        <w:rPr>
          <w:rFonts w:eastAsiaTheme="minorEastAsia" w:cs="Times New Roman"/>
          <w:szCs w:val="24"/>
          <w:lang w:val="sr-Cyrl-CS"/>
        </w:rPr>
        <w:t>- Канцеларије за дуално образовање и Национални оквир квалификација,</w:t>
      </w:r>
    </w:p>
    <w:p w14:paraId="71E9906F" w14:textId="77777777" w:rsidR="002E04B5" w:rsidRPr="00092ED7" w:rsidRDefault="002E04B5" w:rsidP="002E04B5">
      <w:pPr>
        <w:widowControl w:val="0"/>
        <w:autoSpaceDE w:val="0"/>
        <w:autoSpaceDN w:val="0"/>
        <w:adjustRightInd w:val="0"/>
        <w:spacing w:before="120" w:after="0"/>
        <w:contextualSpacing/>
        <w:jc w:val="left"/>
        <w:rPr>
          <w:rFonts w:eastAsiaTheme="minorEastAsia" w:cs="Times New Roman"/>
          <w:szCs w:val="24"/>
          <w:lang w:val="sr-Cyrl-CS"/>
        </w:rPr>
      </w:pPr>
      <w:r w:rsidRPr="00092ED7">
        <w:rPr>
          <w:rFonts w:eastAsiaTheme="minorEastAsia" w:cs="Times New Roman"/>
          <w:szCs w:val="24"/>
          <w:lang w:val="sr-Cyrl-CS"/>
        </w:rPr>
        <w:t>- Канцеларије за информационе технологије и електронску управу,</w:t>
      </w:r>
    </w:p>
    <w:p w14:paraId="2856F693" w14:textId="77777777" w:rsidR="002E04B5" w:rsidRPr="00092ED7" w:rsidRDefault="002E04B5" w:rsidP="002E04B5">
      <w:pPr>
        <w:widowControl w:val="0"/>
        <w:autoSpaceDE w:val="0"/>
        <w:autoSpaceDN w:val="0"/>
        <w:adjustRightInd w:val="0"/>
        <w:spacing w:before="120" w:after="0"/>
        <w:contextualSpacing/>
        <w:jc w:val="left"/>
        <w:rPr>
          <w:rFonts w:eastAsiaTheme="minorEastAsia" w:cs="Times New Roman"/>
          <w:szCs w:val="24"/>
          <w:lang w:val="sr-Cyrl-CS"/>
        </w:rPr>
      </w:pPr>
      <w:r w:rsidRPr="00092ED7">
        <w:rPr>
          <w:rFonts w:eastAsiaTheme="minorEastAsia" w:cs="Times New Roman"/>
          <w:szCs w:val="24"/>
          <w:lang w:val="sr-Cyrl-CS"/>
        </w:rPr>
        <w:t>- Комисије за контролу државне помоћи,</w:t>
      </w:r>
    </w:p>
    <w:p w14:paraId="2B3E2FCF" w14:textId="77777777" w:rsidR="002E04B5" w:rsidRPr="00092ED7" w:rsidRDefault="002E04B5" w:rsidP="002E04B5">
      <w:pPr>
        <w:widowControl w:val="0"/>
        <w:autoSpaceDE w:val="0"/>
        <w:autoSpaceDN w:val="0"/>
        <w:adjustRightInd w:val="0"/>
        <w:spacing w:before="120" w:after="0"/>
        <w:contextualSpacing/>
        <w:jc w:val="left"/>
        <w:rPr>
          <w:rFonts w:eastAsiaTheme="minorEastAsia" w:cs="Times New Roman"/>
          <w:szCs w:val="24"/>
          <w:lang w:val="sr-Cyrl-CS"/>
        </w:rPr>
      </w:pPr>
      <w:r w:rsidRPr="00092ED7">
        <w:rPr>
          <w:rFonts w:eastAsiaTheme="minorEastAsia" w:cs="Times New Roman"/>
          <w:szCs w:val="24"/>
          <w:lang w:val="sr-Cyrl-CS"/>
        </w:rPr>
        <w:t>- Националне службе за запошљавање,</w:t>
      </w:r>
    </w:p>
    <w:p w14:paraId="0BBCD9D7" w14:textId="77777777" w:rsidR="002E04B5" w:rsidRPr="00092ED7" w:rsidRDefault="002E04B5" w:rsidP="002E04B5">
      <w:pPr>
        <w:widowControl w:val="0"/>
        <w:autoSpaceDE w:val="0"/>
        <w:autoSpaceDN w:val="0"/>
        <w:adjustRightInd w:val="0"/>
        <w:spacing w:before="120" w:after="0"/>
        <w:contextualSpacing/>
        <w:jc w:val="left"/>
        <w:rPr>
          <w:rFonts w:eastAsiaTheme="minorEastAsia" w:cs="Times New Roman"/>
          <w:sz w:val="20"/>
          <w:szCs w:val="20"/>
          <w:lang w:val="sr-Cyrl-CS"/>
        </w:rPr>
      </w:pPr>
      <w:r w:rsidRPr="00092ED7">
        <w:rPr>
          <w:rFonts w:eastAsiaTheme="minorEastAsia" w:cs="Times New Roman"/>
          <w:szCs w:val="24"/>
          <w:lang w:val="sr-Cyrl-CS"/>
        </w:rPr>
        <w:t>- Републичког завода за статистику.</w:t>
      </w:r>
    </w:p>
    <w:p w14:paraId="66FDC513" w14:textId="77777777" w:rsidR="0051711E" w:rsidRPr="00092ED7" w:rsidRDefault="0051711E" w:rsidP="002E04B5">
      <w:pPr>
        <w:spacing w:after="60"/>
        <w:ind w:right="155"/>
        <w:rPr>
          <w:rFonts w:eastAsia="Times New Roman" w:cs="Times New Roman"/>
          <w:szCs w:val="24"/>
          <w:lang w:val="sr-Cyrl-CS"/>
        </w:rPr>
      </w:pPr>
      <w:r w:rsidRPr="00092ED7">
        <w:rPr>
          <w:rFonts w:eastAsia="Times New Roman" w:cs="Times New Roman"/>
          <w:szCs w:val="24"/>
          <w:lang w:val="sr-Cyrl-CS"/>
        </w:rPr>
        <w:t>У складу са већ успостављеном праксом, први део документа који се односи на макро-фискални оквир  и у највећој мери се ослања на Фискалну стратегију за 2023. годину са пројекцијама за 2024. и 2025. годину, израдили су Министарство финансија и Народна банка Србије. Остала поглавља овог документа која се односе на структурне реформе израдили су надлежни ресори у координацији и сарадњи са Министарством финансија и Републичким секретаријатом за јавне политике.</w:t>
      </w:r>
    </w:p>
    <w:p w14:paraId="307E5E0B" w14:textId="3A60B8AD" w:rsidR="0051711E" w:rsidRPr="00092ED7" w:rsidRDefault="0051711E" w:rsidP="00D030D6">
      <w:pPr>
        <w:spacing w:after="60"/>
        <w:ind w:right="155"/>
        <w:rPr>
          <w:rFonts w:eastAsia="Times New Roman" w:cs="Times New Roman"/>
          <w:szCs w:val="24"/>
          <w:lang w:val="sr-Cyrl-CS"/>
        </w:rPr>
      </w:pPr>
      <w:r w:rsidRPr="00092ED7">
        <w:rPr>
          <w:rFonts w:eastAsia="Times New Roman" w:cs="Times New Roman"/>
          <w:szCs w:val="24"/>
          <w:lang w:val="sr-Cyrl-CS"/>
        </w:rPr>
        <w:t xml:space="preserve">Девети циклус израде ЕРП за период 2023-2025. године започет је одржавањем уводног  регионалног састанка 22. јуна 2022. године у организацији Европске комисије и уз подршку </w:t>
      </w:r>
      <w:r w:rsidRPr="00092ED7">
        <w:rPr>
          <w:rFonts w:cs="Times New Roman"/>
          <w:szCs w:val="24"/>
          <w:lang w:val="sr-Cyrl-CS"/>
        </w:rPr>
        <w:t>ЦЕФ-а из Љубљане.</w:t>
      </w:r>
      <w:r w:rsidRPr="00092ED7">
        <w:rPr>
          <w:rFonts w:eastAsia="Times New Roman" w:cs="Times New Roman"/>
          <w:szCs w:val="24"/>
          <w:lang w:val="sr-Cyrl-CS"/>
        </w:rPr>
        <w:t xml:space="preserve"> На састанку су представљене нове Смернице Европске </w:t>
      </w:r>
      <w:r w:rsidRPr="00092ED7">
        <w:rPr>
          <w:rFonts w:eastAsia="Times New Roman" w:cs="Times New Roman"/>
          <w:szCs w:val="24"/>
          <w:lang w:val="sr-Cyrl-CS"/>
        </w:rPr>
        <w:lastRenderedPageBreak/>
        <w:t xml:space="preserve">комисије за израду ЕРП 2023-2025. и анализиран је претходни документ ЕРП како би се пре свега превазишли сви евентуални изазови у наредном циклусу. Претходно је током маја месесца одржан и састанак </w:t>
      </w:r>
      <w:r w:rsidR="009430BA" w:rsidRPr="00092ED7">
        <w:rPr>
          <w:rFonts w:cs="Times New Roman"/>
          <w:szCs w:val="24"/>
          <w:lang w:val="sr-Cyrl-CS"/>
        </w:rPr>
        <w:t>ECOFIN</w:t>
      </w:r>
      <w:r w:rsidRPr="00092ED7">
        <w:rPr>
          <w:rFonts w:eastAsia="Times New Roman" w:cs="Times New Roman"/>
          <w:szCs w:val="24"/>
          <w:lang w:val="sr-Cyrl-CS"/>
        </w:rPr>
        <w:t xml:space="preserve"> Савета, на ком су усвојени Заједнички закључци економског и финансијског дијалога између ЕУ и Западног Балкана и </w:t>
      </w:r>
      <w:r w:rsidR="00F51DA3" w:rsidRPr="00092ED7">
        <w:rPr>
          <w:rFonts w:eastAsia="Times New Roman" w:cs="Times New Roman"/>
          <w:szCs w:val="24"/>
          <w:lang w:val="sr-Cyrl-CS"/>
        </w:rPr>
        <w:t xml:space="preserve">Републике </w:t>
      </w:r>
      <w:r w:rsidRPr="00092ED7">
        <w:rPr>
          <w:rFonts w:eastAsia="Times New Roman" w:cs="Times New Roman"/>
          <w:szCs w:val="24"/>
          <w:lang w:val="sr-Cyrl-CS"/>
        </w:rPr>
        <w:t xml:space="preserve">Турске. </w:t>
      </w:r>
    </w:p>
    <w:p w14:paraId="7AEA944C" w14:textId="77777777" w:rsidR="0051711E" w:rsidRPr="00092ED7" w:rsidRDefault="0051711E" w:rsidP="00D030D6">
      <w:pPr>
        <w:spacing w:after="60"/>
        <w:ind w:right="155"/>
        <w:rPr>
          <w:rFonts w:cs="Times New Roman"/>
          <w:szCs w:val="24"/>
          <w:lang w:val="sr-Cyrl-CS"/>
        </w:rPr>
      </w:pPr>
      <w:r w:rsidRPr="00092ED7">
        <w:rPr>
          <w:rFonts w:cs="Times New Roman"/>
          <w:szCs w:val="24"/>
          <w:lang w:val="sr-Cyrl-CS"/>
        </w:rPr>
        <w:t xml:space="preserve">На националном уводном састанку који је одржан 29. јула 2022. године дискутовало се о резултатима постигнутим у претходном периоду, препорукама ЕКОФИН Савета, кључним новитетима из Смерница ЕК за израду новог документа ЕРП и даљим активностима у вези са новим циклусом израде документа, а учесници из надлежних институција су позвани да номинују предлоге структурних реформи. </w:t>
      </w:r>
    </w:p>
    <w:p w14:paraId="144832AE" w14:textId="065BEC00" w:rsidR="0051711E" w:rsidRPr="00092ED7" w:rsidRDefault="0051711E" w:rsidP="00D030D6">
      <w:pPr>
        <w:pStyle w:val="CommentText"/>
        <w:spacing w:after="60" w:line="240" w:lineRule="auto"/>
        <w:ind w:right="206"/>
        <w:rPr>
          <w:rFonts w:cs="Times New Roman"/>
          <w:sz w:val="24"/>
          <w:szCs w:val="24"/>
          <w:lang w:val="sr-Cyrl-CS"/>
        </w:rPr>
      </w:pPr>
      <w:r w:rsidRPr="00092ED7">
        <w:rPr>
          <w:rFonts w:cs="Times New Roman"/>
          <w:sz w:val="24"/>
          <w:szCs w:val="24"/>
          <w:lang w:val="sr-Cyrl-CS"/>
        </w:rPr>
        <w:t>Паралелно са овим активностима, текао је и рад на изради Фискалне стратегије за 2023. годину са пројекцијама за 2024. и 2025. годину, која је усвојена 2. јуна</w:t>
      </w:r>
      <w:r w:rsidR="00AB105C" w:rsidRPr="00092ED7">
        <w:rPr>
          <w:rFonts w:cs="Times New Roman"/>
          <w:sz w:val="24"/>
          <w:szCs w:val="24"/>
          <w:lang w:val="sr-Cyrl-CS"/>
        </w:rPr>
        <w:t xml:space="preserve"> 2022. године</w:t>
      </w:r>
      <w:r w:rsidRPr="00092ED7">
        <w:rPr>
          <w:rFonts w:cs="Times New Roman"/>
          <w:sz w:val="24"/>
          <w:szCs w:val="24"/>
          <w:lang w:val="sr-Cyrl-CS"/>
        </w:rPr>
        <w:t xml:space="preserve">, док је Ревидирана Фискална стратегија са пројекцијама за 2024. и 2025. годину усвојена </w:t>
      </w:r>
      <w:r w:rsidR="002E04B5" w:rsidRPr="00092ED7">
        <w:rPr>
          <w:rFonts w:cs="Times New Roman"/>
          <w:sz w:val="24"/>
          <w:szCs w:val="24"/>
          <w:lang w:val="sr-Cyrl-CS"/>
        </w:rPr>
        <w:t>17</w:t>
      </w:r>
      <w:r w:rsidRPr="00092ED7">
        <w:rPr>
          <w:rFonts w:cs="Times New Roman"/>
          <w:sz w:val="24"/>
          <w:szCs w:val="24"/>
          <w:lang w:val="sr-Cyrl-CS"/>
        </w:rPr>
        <w:t>. новембра</w:t>
      </w:r>
      <w:r w:rsidR="002E04B5" w:rsidRPr="00092ED7">
        <w:rPr>
          <w:rFonts w:cs="Times New Roman"/>
          <w:sz w:val="24"/>
          <w:szCs w:val="24"/>
          <w:lang w:val="sr-Cyrl-CS"/>
        </w:rPr>
        <w:t xml:space="preserve"> 2022</w:t>
      </w:r>
      <w:r w:rsidRPr="00092ED7">
        <w:rPr>
          <w:rFonts w:cs="Times New Roman"/>
          <w:sz w:val="24"/>
          <w:szCs w:val="24"/>
          <w:lang w:val="sr-Cyrl-CS"/>
        </w:rPr>
        <w:t xml:space="preserve">, а која представља основ за припрему одговарајућих поглавља ЕРП. </w:t>
      </w:r>
    </w:p>
    <w:p w14:paraId="30CCF57C" w14:textId="77777777" w:rsidR="0051711E" w:rsidRPr="00092ED7" w:rsidRDefault="0051711E" w:rsidP="00D030D6">
      <w:pPr>
        <w:spacing w:after="60"/>
        <w:ind w:right="155"/>
        <w:rPr>
          <w:rFonts w:cs="Times New Roman"/>
          <w:szCs w:val="24"/>
          <w:lang w:val="sr-Cyrl-CS"/>
        </w:rPr>
      </w:pPr>
      <w:r w:rsidRPr="00092ED7">
        <w:rPr>
          <w:rFonts w:cs="Times New Roman"/>
          <w:szCs w:val="24"/>
          <w:lang w:val="sr-Cyrl-CS"/>
        </w:rPr>
        <w:t xml:space="preserve">Након националног уводног састанка, </w:t>
      </w:r>
      <w:r w:rsidRPr="00092ED7">
        <w:rPr>
          <w:rFonts w:eastAsia="Times New Roman" w:cs="Times New Roman"/>
          <w:szCs w:val="24"/>
          <w:lang w:val="sr-Cyrl-CS"/>
        </w:rPr>
        <w:t xml:space="preserve">интензивирале су се активности на изради ЕРП 2023-2025: </w:t>
      </w:r>
      <w:r w:rsidRPr="00092ED7">
        <w:rPr>
          <w:rFonts w:cs="Times New Roman"/>
          <w:szCs w:val="24"/>
          <w:lang w:val="sr-Cyrl-CS"/>
        </w:rPr>
        <w:t>уследиле су активности на изради дијагностике стања по областима, достављању извештаја о реализацији структурних реформи, спровођењу ЕКОФИН препорука, као и номиновању и даљем унапређењу описа структурних реформи.</w:t>
      </w:r>
    </w:p>
    <w:p w14:paraId="41F25955" w14:textId="77777777" w:rsidR="0051711E" w:rsidRPr="00092ED7" w:rsidRDefault="0051711E" w:rsidP="00D030D6">
      <w:pPr>
        <w:spacing w:after="60"/>
        <w:ind w:right="155"/>
        <w:rPr>
          <w:rFonts w:cs="Times New Roman"/>
          <w:szCs w:val="24"/>
          <w:lang w:val="sr-Cyrl-CS"/>
        </w:rPr>
      </w:pPr>
      <w:r w:rsidRPr="00092ED7">
        <w:rPr>
          <w:rFonts w:cs="Times New Roman"/>
          <w:szCs w:val="24"/>
          <w:lang w:val="sr-Cyrl-CS"/>
        </w:rPr>
        <w:t>Прелиминарна листа структурних реформи, сачињена од 20 структурних реформи стављeна је на увид јавности путем веб-сајта Министарста финансија и Републичког секретаријата за јавне политике од 14. до 28. октобра 2022. године и све заинтересоване стране су биле позване да дају своје коментаре и сугестије.  На основу овог позива примљени су коментари Националног конвента о ЕУ и УНИЦЕФ-а.</w:t>
      </w:r>
    </w:p>
    <w:p w14:paraId="0959F011" w14:textId="77777777" w:rsidR="0051711E" w:rsidRPr="00092ED7" w:rsidRDefault="0051711E" w:rsidP="00D030D6">
      <w:pPr>
        <w:spacing w:after="60"/>
        <w:ind w:right="155"/>
        <w:rPr>
          <w:rFonts w:cs="Times New Roman"/>
          <w:szCs w:val="24"/>
          <w:lang w:val="sr-Cyrl-CS"/>
        </w:rPr>
      </w:pPr>
      <w:r w:rsidRPr="00092ED7">
        <w:rPr>
          <w:rFonts w:cs="Times New Roman"/>
          <w:szCs w:val="24"/>
          <w:lang w:val="sr-Cyrl-CS"/>
        </w:rPr>
        <w:t xml:space="preserve">Kонсултативни састанци са представницима Европске комисије, одржани су 21. новембра 2022. године у оквиру којих је дискутовано о кључним изазовима дефинисаним у првом нацрту ЕРП, који је претходно достављен Европској комисији. </w:t>
      </w:r>
    </w:p>
    <w:p w14:paraId="5A5B7C03" w14:textId="27A014F3" w:rsidR="0051711E" w:rsidRPr="00092ED7" w:rsidRDefault="0051711E" w:rsidP="00D030D6">
      <w:pPr>
        <w:spacing w:after="60"/>
        <w:ind w:right="155"/>
        <w:rPr>
          <w:rFonts w:cs="Times New Roman"/>
          <w:szCs w:val="24"/>
          <w:lang w:val="sr-Cyrl-CS"/>
        </w:rPr>
      </w:pPr>
      <w:r w:rsidRPr="00092ED7">
        <w:rPr>
          <w:rFonts w:cs="Times New Roman"/>
          <w:szCs w:val="24"/>
          <w:lang w:val="sr-Cyrl-CS"/>
        </w:rPr>
        <w:t>У оквиру деветог циклуса израде ЕРП организован је низ активности уз подршку регионалног ИПА пројекта „Боља интеграција структурних реформи у фискалне оквире – FISR</w:t>
      </w:r>
      <w:r w:rsidR="003A60A5" w:rsidRPr="00092ED7">
        <w:rPr>
          <w:rFonts w:cs="Times New Roman"/>
          <w:szCs w:val="24"/>
          <w:lang w:val="sr-Cyrl-CS"/>
        </w:rPr>
        <w:t xml:space="preserve"> </w:t>
      </w:r>
      <w:r w:rsidRPr="00092ED7">
        <w:rPr>
          <w:rFonts w:cs="Times New Roman"/>
          <w:szCs w:val="24"/>
          <w:lang w:val="sr-Cyrl-CS"/>
        </w:rPr>
        <w:t>2</w:t>
      </w:r>
      <w:r w:rsidR="009C5F53" w:rsidRPr="00092ED7">
        <w:rPr>
          <w:rFonts w:cs="Times New Roman"/>
          <w:szCs w:val="24"/>
          <w:lang w:val="sr-Cyrl-CS"/>
        </w:rPr>
        <w:t>”</w:t>
      </w:r>
      <w:r w:rsidRPr="00092ED7">
        <w:rPr>
          <w:rFonts w:cs="Times New Roman"/>
          <w:szCs w:val="24"/>
          <w:lang w:val="sr-Cyrl-CS"/>
        </w:rPr>
        <w:t xml:space="preserve"> који имплементира Центар за развој финансија (Сenter of Еxcellence in Finance - CEF, Словенија) и пројекта српско–немачке развојне сарадње „Реформа јавних финансија и Агенда 2030</w:t>
      </w:r>
      <w:r w:rsidR="009C5F53" w:rsidRPr="00092ED7">
        <w:rPr>
          <w:rFonts w:cs="Times New Roman"/>
          <w:szCs w:val="24"/>
          <w:lang w:val="sr-Cyrl-CS"/>
        </w:rPr>
        <w:t>”</w:t>
      </w:r>
      <w:r w:rsidRPr="00092ED7">
        <w:rPr>
          <w:rFonts w:cs="Times New Roman"/>
          <w:szCs w:val="24"/>
          <w:lang w:val="sr-Cyrl-CS"/>
        </w:rPr>
        <w:t xml:space="preserve"> који спроводи </w:t>
      </w:r>
      <w:r w:rsidR="005E36FC" w:rsidRPr="00092ED7">
        <w:rPr>
          <w:rFonts w:cs="Times New Roman"/>
          <w:szCs w:val="24"/>
          <w:lang w:val="sr-Cyrl-CS"/>
        </w:rPr>
        <w:t>ГИЗ</w:t>
      </w:r>
      <w:r w:rsidRPr="00092ED7">
        <w:rPr>
          <w:rFonts w:cs="Times New Roman"/>
          <w:szCs w:val="24"/>
          <w:lang w:val="sr-Cyrl-CS"/>
        </w:rPr>
        <w:t xml:space="preserve">. Организоване су  радионице на којима су обухваћене све кључне теме и изазови у актуелном циклусу израде ЕРП. На радионици </w:t>
      </w:r>
      <w:r w:rsidRPr="00092ED7">
        <w:rPr>
          <w:rFonts w:cs="Times New Roman"/>
          <w:i/>
          <w:szCs w:val="24"/>
          <w:lang w:val="sr-Cyrl-CS"/>
        </w:rPr>
        <w:t>Програмирање структурних реформи за ЕРП 2023- 2025.</w:t>
      </w:r>
      <w:r w:rsidRPr="00092ED7">
        <w:rPr>
          <w:rFonts w:cs="Times New Roman"/>
          <w:szCs w:val="24"/>
          <w:lang w:val="sr-Cyrl-CS"/>
        </w:rPr>
        <w:t xml:space="preserve"> одржаној 4</w:t>
      </w:r>
      <w:r w:rsidR="00E85CD3" w:rsidRPr="00092ED7">
        <w:rPr>
          <w:rFonts w:cs="Times New Roman"/>
          <w:szCs w:val="24"/>
          <w:lang w:val="sr-Cyrl-CS"/>
        </w:rPr>
        <w:t xml:space="preserve">. и </w:t>
      </w:r>
      <w:r w:rsidRPr="00092ED7">
        <w:rPr>
          <w:rFonts w:cs="Times New Roman"/>
          <w:szCs w:val="24"/>
          <w:lang w:val="sr-Cyrl-CS"/>
        </w:rPr>
        <w:t>5</w:t>
      </w:r>
      <w:r w:rsidR="00E85CD3" w:rsidRPr="00092ED7">
        <w:rPr>
          <w:rFonts w:cs="Times New Roman"/>
          <w:szCs w:val="24"/>
          <w:lang w:val="sr-Cyrl-CS"/>
        </w:rPr>
        <w:t>.</w:t>
      </w:r>
      <w:r w:rsidRPr="00092ED7">
        <w:rPr>
          <w:rFonts w:cs="Times New Roman"/>
          <w:szCs w:val="24"/>
          <w:lang w:val="sr-Cyrl-CS"/>
        </w:rPr>
        <w:t xml:space="preserve"> октобра 2022. године путем електронске платформе, представљена је анализа кључних изазова и структурних реформи по областима, разматране су кључне препоруке и приоритети за израду документа, изнете су оцене екперата предложених структурних реформи и дате смернице за њихово даље побољшање. У наставку је уследила и радионица одржана 29-30. новембра 2022. године у Врднику на којој је фокус био на обрачуну трошкова структурних реформи, као и на утврђивању кључних индикатора учинка за праћење </w:t>
      </w:r>
      <w:r w:rsidR="007E6FF6" w:rsidRPr="00092ED7">
        <w:rPr>
          <w:rFonts w:cs="Times New Roman"/>
          <w:szCs w:val="24"/>
          <w:lang w:val="sr-Cyrl-CS"/>
        </w:rPr>
        <w:t>структурних реформи</w:t>
      </w:r>
      <w:r w:rsidRPr="00092ED7">
        <w:rPr>
          <w:rFonts w:cs="Times New Roman"/>
          <w:szCs w:val="24"/>
          <w:lang w:val="sr-Cyrl-CS"/>
        </w:rPr>
        <w:t>. Осим тога, на радионици је представљена новина која се односи дигитализацију процеса израде ЕРП, те су учесници имају прилике да се упознају са алатима који су осмишљени да поједноставе и оптимизују израду овог документа и који би према плану, требало да им буду доступни почев од наредног циклуса.</w:t>
      </w:r>
    </w:p>
    <w:p w14:paraId="02B17601" w14:textId="77777777" w:rsidR="0051711E" w:rsidRPr="00092ED7" w:rsidRDefault="0051711E" w:rsidP="00D030D6">
      <w:pPr>
        <w:spacing w:after="60"/>
        <w:ind w:right="155"/>
        <w:rPr>
          <w:rFonts w:cs="Times New Roman"/>
          <w:szCs w:val="24"/>
          <w:lang w:val="sr-Cyrl-CS"/>
        </w:rPr>
      </w:pPr>
      <w:r w:rsidRPr="00092ED7">
        <w:rPr>
          <w:rFonts w:eastAsia="Times New Roman" w:cs="Times New Roman"/>
          <w:szCs w:val="24"/>
          <w:lang w:val="sr-Cyrl-CS"/>
        </w:rPr>
        <w:t>Рад на сегменту документа који се односи на финансијске ефекте ЕРП 2023-2025 је завршен у децембру, након што је почетком децембра 2022. усвојен Закон о буџету за 2023. годину.</w:t>
      </w:r>
    </w:p>
    <w:p w14:paraId="6D08C1F4" w14:textId="77777777" w:rsidR="0051711E" w:rsidRPr="00092ED7" w:rsidRDefault="0051711E" w:rsidP="00D030D6">
      <w:pPr>
        <w:spacing w:after="60"/>
        <w:rPr>
          <w:rFonts w:cs="Times New Roman"/>
          <w:szCs w:val="24"/>
          <w:lang w:val="sr-Cyrl-CS"/>
        </w:rPr>
      </w:pPr>
      <w:r w:rsidRPr="00092ED7">
        <w:rPr>
          <w:rFonts w:cs="Times New Roman"/>
          <w:szCs w:val="24"/>
          <w:lang w:val="sr-Cyrl-CS"/>
        </w:rPr>
        <w:lastRenderedPageBreak/>
        <w:t>Нацрт ЕРП 2023-2025 којим су предвиђене 22 структурне реформе стављен је на увид јавности објављивањем на веб-сајту Министарста финансија и Републичког секретаријата за јавне политике и портала Е- консултације од 12. до 26. децембра 2022. године. Све заинтересоване стране су биле позване да доставе своје коментаре и сугестије</w:t>
      </w:r>
      <w:r w:rsidRPr="00092ED7">
        <w:rPr>
          <w:rFonts w:eastAsia="Times New Roman" w:cs="Times New Roman"/>
          <w:szCs w:val="24"/>
          <w:lang w:val="sr-Cyrl-CS"/>
        </w:rPr>
        <w:t xml:space="preserve"> и на тај начин допринесу унапређењу документа.</w:t>
      </w:r>
      <w:r w:rsidRPr="00092ED7">
        <w:rPr>
          <w:rFonts w:cs="Times New Roman"/>
          <w:szCs w:val="24"/>
          <w:lang w:val="sr-Cyrl-CS"/>
        </w:rPr>
        <w:t xml:space="preserve"> У овом периоду примљени су коментари представника Националнох конвента о ЕУ и Привредне коморе Србије. </w:t>
      </w:r>
      <w:r w:rsidR="009B0935" w:rsidRPr="00092ED7">
        <w:rPr>
          <w:rFonts w:cs="Times New Roman"/>
          <w:szCs w:val="24"/>
          <w:lang w:val="sr-Cyrl-CS"/>
        </w:rPr>
        <w:t>Објављивање Нацрта документа пропраћено је чланцима како у писаним тако и у електронским медијима у Републици Србији.</w:t>
      </w:r>
    </w:p>
    <w:p w14:paraId="04059353" w14:textId="77777777" w:rsidR="0051711E" w:rsidRPr="00092ED7" w:rsidRDefault="0051711E" w:rsidP="00D030D6">
      <w:pPr>
        <w:spacing w:after="60"/>
        <w:rPr>
          <w:rFonts w:cs="Times New Roman"/>
          <w:szCs w:val="24"/>
          <w:lang w:val="sr-Cyrl-CS"/>
        </w:rPr>
      </w:pPr>
      <w:r w:rsidRPr="00092ED7">
        <w:rPr>
          <w:rFonts w:eastAsia="Times New Roman" w:cs="Times New Roman"/>
          <w:szCs w:val="24"/>
          <w:lang w:val="sr-Cyrl-CS"/>
        </w:rPr>
        <w:t xml:space="preserve">Завршне консултације са представницима </w:t>
      </w:r>
      <w:r w:rsidRPr="00092ED7">
        <w:rPr>
          <w:rFonts w:cs="Times New Roman"/>
          <w:szCs w:val="24"/>
          <w:lang w:val="sr-Cyrl-CS"/>
        </w:rPr>
        <w:t>цивилног друштва</w:t>
      </w:r>
      <w:r w:rsidRPr="00092ED7">
        <w:rPr>
          <w:rFonts w:eastAsia="Times New Roman" w:cs="Times New Roman"/>
          <w:szCs w:val="24"/>
          <w:lang w:val="sr-Cyrl-CS"/>
        </w:rPr>
        <w:t xml:space="preserve">, </w:t>
      </w:r>
      <w:r w:rsidRPr="00092ED7">
        <w:rPr>
          <w:rFonts w:cs="Times New Roman"/>
          <w:szCs w:val="24"/>
          <w:lang w:val="sr-Cyrl-CS"/>
        </w:rPr>
        <w:t xml:space="preserve">односно члановима међусекторске радне групе Националног конвента о Европској унији за праћење ЕРП, </w:t>
      </w:r>
      <w:r w:rsidRPr="00092ED7">
        <w:rPr>
          <w:rFonts w:eastAsia="Times New Roman" w:cs="Times New Roman"/>
          <w:szCs w:val="24"/>
          <w:lang w:val="sr-Cyrl-CS"/>
        </w:rPr>
        <w:t xml:space="preserve">одржане су </w:t>
      </w:r>
      <w:r w:rsidRPr="00092ED7">
        <w:rPr>
          <w:rFonts w:cs="Times New Roman"/>
          <w:szCs w:val="24"/>
          <w:lang w:val="sr-Cyrl-CS"/>
        </w:rPr>
        <w:t>26. децембра 2022. године.</w:t>
      </w:r>
      <w:r w:rsidRPr="00092ED7">
        <w:rPr>
          <w:szCs w:val="24"/>
          <w:lang w:val="sr-Cyrl-CS"/>
        </w:rPr>
        <w:t xml:space="preserve"> </w:t>
      </w:r>
      <w:r w:rsidRPr="00092ED7">
        <w:rPr>
          <w:rFonts w:cs="Times New Roman"/>
          <w:szCs w:val="24"/>
          <w:lang w:val="sr-Cyrl-CS"/>
        </w:rPr>
        <w:t xml:space="preserve">Национални конвент о Европској унији окупља преко 700 организација цивилног друштва и представља стално тело у оквиру којег се води тематски структурирана дебата о приступању Републике Србије Европској унији, тематски подељена по преговарачким поглављима и специјалним темама, између невладиних организација, стручњака, привреде, синдиката и професионалних удружења са једне стране и представника Владе, са друге стране и има веома важну улогу у овом процесу. Национални конвент је унутар својих структура оформио и механизам за мониторинг и евалуацију ЕРП, кроз посебну хоризонталну Радну групу за ЕРП и његове чланице активно учествују у овом процесу. </w:t>
      </w:r>
    </w:p>
    <w:p w14:paraId="64F18DEC" w14:textId="77777777" w:rsidR="0051711E" w:rsidRPr="00092ED7" w:rsidRDefault="0051711E" w:rsidP="00D030D6">
      <w:pPr>
        <w:spacing w:after="60"/>
        <w:rPr>
          <w:rFonts w:cs="Times New Roman"/>
          <w:szCs w:val="24"/>
          <w:lang w:val="sr-Cyrl-CS"/>
        </w:rPr>
      </w:pPr>
      <w:r w:rsidRPr="00092ED7">
        <w:rPr>
          <w:rFonts w:cs="Times New Roman"/>
          <w:szCs w:val="24"/>
          <w:lang w:val="sr-Cyrl-CS"/>
        </w:rPr>
        <w:t xml:space="preserve">Детаљан преглед коментара и сугестија свих заинтересованих страна у процесу израде ЕРП 2023-2025 дат је у Анексу 3 овог документа уз одговор надлежних институција. </w:t>
      </w:r>
      <w:r w:rsidRPr="00092ED7">
        <w:rPr>
          <w:rFonts w:eastAsia="Times New Roman" w:cs="Times New Roman"/>
          <w:szCs w:val="24"/>
          <w:lang w:val="sr-Cyrl-CS"/>
        </w:rPr>
        <w:t>Имајући у виду да је ЕРП преносни документ, те да је припрема континуирани процес, велики број примедаба заинтересованих страна из претходног циклуса узима се у обзир у актуелном циклусу израде ЕРП.</w:t>
      </w:r>
    </w:p>
    <w:p w14:paraId="21DE8E79" w14:textId="4350863E" w:rsidR="0051711E" w:rsidRPr="00092ED7" w:rsidRDefault="0051711E" w:rsidP="00D030D6">
      <w:pPr>
        <w:spacing w:after="60"/>
        <w:ind w:right="-46"/>
        <w:rPr>
          <w:rFonts w:cs="Times New Roman"/>
          <w:szCs w:val="24"/>
          <w:lang w:val="sr-Cyrl-CS"/>
        </w:rPr>
      </w:pPr>
      <w:r w:rsidRPr="00092ED7">
        <w:rPr>
          <w:rFonts w:cs="Times New Roman"/>
          <w:szCs w:val="24"/>
          <w:lang w:val="sr-Cyrl-CS"/>
        </w:rPr>
        <w:t>Након завршетка консултација са заинтересованим странама и комплетирања интерне процедуре, документ се усваја и доставља Европској комисији у предвиђеном року, односно до краја јануара 2023. године. ЕРП се затим даље разматра са представницима ЕУ институција и држава чланица у процесу Европски семестар лајт за Западни Балкан и</w:t>
      </w:r>
      <w:r w:rsidR="009056F8" w:rsidRPr="00092ED7">
        <w:rPr>
          <w:rFonts w:cs="Times New Roman"/>
          <w:szCs w:val="24"/>
          <w:lang w:val="sr-Cyrl-CS"/>
        </w:rPr>
        <w:t xml:space="preserve"> </w:t>
      </w:r>
      <w:r w:rsidR="00F51DA3" w:rsidRPr="00092ED7">
        <w:rPr>
          <w:rFonts w:cs="Times New Roman"/>
          <w:szCs w:val="24"/>
          <w:lang w:val="sr-Cyrl-CS"/>
        </w:rPr>
        <w:t xml:space="preserve">Републику </w:t>
      </w:r>
      <w:r w:rsidRPr="00092ED7">
        <w:rPr>
          <w:rFonts w:cs="Times New Roman"/>
          <w:szCs w:val="24"/>
          <w:lang w:val="sr-Cyrl-CS"/>
        </w:rPr>
        <w:t xml:space="preserve">Турску, а средином 2023. године се очекује започињање следећег (десетог) циклуса израде овог документа. </w:t>
      </w:r>
    </w:p>
    <w:p w14:paraId="720C7578" w14:textId="77777777" w:rsidR="00DB4DE7" w:rsidRPr="00092ED7" w:rsidRDefault="00DB4DE7" w:rsidP="00DB4DE7">
      <w:pPr>
        <w:keepNext/>
        <w:keepLines/>
        <w:spacing w:before="240" w:after="240"/>
        <w:outlineLvl w:val="0"/>
        <w:rPr>
          <w:rFonts w:eastAsia="Calibri" w:cs="Times New Roman"/>
          <w:b/>
          <w:sz w:val="28"/>
          <w:szCs w:val="28"/>
          <w:lang w:val="sr-Cyrl-CS"/>
        </w:rPr>
      </w:pPr>
      <w:bookmarkStart w:id="68" w:name="_Toc124174824"/>
      <w:r w:rsidRPr="00092ED7">
        <w:rPr>
          <w:rFonts w:eastAsia="Calibri" w:cs="Times New Roman"/>
          <w:b/>
          <w:sz w:val="28"/>
          <w:szCs w:val="28"/>
          <w:lang w:val="sr-Cyrl-CS"/>
        </w:rPr>
        <w:t xml:space="preserve">8. </w:t>
      </w:r>
      <w:bookmarkStart w:id="69" w:name="_Toc93385993"/>
      <w:r w:rsidRPr="00092ED7">
        <w:rPr>
          <w:rFonts w:eastAsia="Calibri" w:cs="Times New Roman"/>
          <w:b/>
          <w:sz w:val="28"/>
          <w:szCs w:val="28"/>
          <w:lang w:val="sr-Cyrl-CS"/>
        </w:rPr>
        <w:t>ПРИЛОЗИ</w:t>
      </w:r>
      <w:bookmarkEnd w:id="68"/>
      <w:bookmarkEnd w:id="69"/>
    </w:p>
    <w:p w14:paraId="630381AA" w14:textId="77777777" w:rsidR="00DB4DE7" w:rsidRPr="00092ED7" w:rsidRDefault="00DB4DE7" w:rsidP="00D030D6">
      <w:pPr>
        <w:spacing w:after="60"/>
        <w:ind w:right="-45"/>
        <w:rPr>
          <w:rFonts w:eastAsia="Calibri" w:cs="Times New Roman"/>
          <w:b/>
          <w:sz w:val="28"/>
          <w:szCs w:val="28"/>
          <w:lang w:val="sr-Cyrl-CS"/>
        </w:rPr>
      </w:pPr>
      <w:r w:rsidRPr="00092ED7">
        <w:rPr>
          <w:rFonts w:eastAsia="Calibri" w:cs="Times New Roman"/>
          <w:lang w:val="sr-Cyrl-CS"/>
        </w:rPr>
        <w:t>Програм садржи Анексе 1 – 3, који чине његов саставни део. То су:</w:t>
      </w:r>
    </w:p>
    <w:p w14:paraId="18924761" w14:textId="77777777" w:rsidR="00DB4DE7" w:rsidRPr="00092ED7" w:rsidRDefault="00DB4DE7" w:rsidP="00D030D6">
      <w:pPr>
        <w:numPr>
          <w:ilvl w:val="0"/>
          <w:numId w:val="49"/>
        </w:numPr>
        <w:spacing w:after="60"/>
        <w:ind w:right="155"/>
        <w:contextualSpacing/>
        <w:jc w:val="left"/>
        <w:rPr>
          <w:rFonts w:eastAsia="MS PGothic" w:cs="Times New Roman"/>
          <w:szCs w:val="24"/>
          <w:lang w:val="sr-Cyrl-CS" w:eastAsia="ja-JP"/>
        </w:rPr>
      </w:pPr>
      <w:r w:rsidRPr="00092ED7">
        <w:rPr>
          <w:rFonts w:eastAsia="MS PGothic" w:cs="Times New Roman"/>
          <w:szCs w:val="24"/>
          <w:lang w:val="sr-Cyrl-CS" w:eastAsia="ja-JP"/>
        </w:rPr>
        <w:t>Анекс 1 – Табеле</w:t>
      </w:r>
      <w:r w:rsidR="003A60A5" w:rsidRPr="00092ED7">
        <w:rPr>
          <w:rFonts w:eastAsia="MS PGothic" w:cs="Times New Roman"/>
          <w:szCs w:val="24"/>
          <w:lang w:val="sr-Cyrl-CS" w:eastAsia="ja-JP"/>
        </w:rPr>
        <w:t xml:space="preserve"> 1-11</w:t>
      </w:r>
      <w:r w:rsidRPr="00092ED7">
        <w:rPr>
          <w:rFonts w:eastAsia="MS PGothic" w:cs="Times New Roman"/>
          <w:szCs w:val="24"/>
          <w:lang w:val="sr-Cyrl-CS" w:eastAsia="ja-JP"/>
        </w:rPr>
        <w:t>;</w:t>
      </w:r>
    </w:p>
    <w:p w14:paraId="3EC907F0" w14:textId="77777777" w:rsidR="00DB4DE7" w:rsidRPr="00092ED7" w:rsidRDefault="00DB4DE7" w:rsidP="00D030D6">
      <w:pPr>
        <w:numPr>
          <w:ilvl w:val="0"/>
          <w:numId w:val="49"/>
        </w:numPr>
        <w:spacing w:after="60"/>
        <w:ind w:right="155"/>
        <w:contextualSpacing/>
        <w:jc w:val="left"/>
        <w:rPr>
          <w:rFonts w:eastAsia="MS PGothic" w:cs="Times New Roman"/>
          <w:szCs w:val="24"/>
          <w:lang w:val="sr-Cyrl-CS" w:eastAsia="ja-JP"/>
        </w:rPr>
      </w:pPr>
      <w:r w:rsidRPr="00092ED7">
        <w:rPr>
          <w:rFonts w:eastAsia="MS PGothic" w:cs="Times New Roman"/>
          <w:szCs w:val="24"/>
          <w:lang w:val="sr-Cyrl-CS" w:eastAsia="ja-JP"/>
        </w:rPr>
        <w:t>Анекс 2 – Везе између реформских области и релевантних докумената јавних политика;</w:t>
      </w:r>
    </w:p>
    <w:p w14:paraId="414268C4" w14:textId="77777777" w:rsidR="00DB4DE7" w:rsidRPr="00092ED7" w:rsidRDefault="00DB4DE7" w:rsidP="00D030D6">
      <w:pPr>
        <w:numPr>
          <w:ilvl w:val="0"/>
          <w:numId w:val="49"/>
        </w:numPr>
        <w:spacing w:after="60"/>
        <w:ind w:left="1213" w:right="153" w:hanging="357"/>
        <w:jc w:val="left"/>
        <w:rPr>
          <w:rFonts w:eastAsia="MS PGothic" w:cs="Times New Roman"/>
          <w:szCs w:val="24"/>
          <w:lang w:val="sr-Cyrl-CS" w:eastAsia="ja-JP"/>
        </w:rPr>
      </w:pPr>
      <w:r w:rsidRPr="00092ED7">
        <w:rPr>
          <w:rFonts w:eastAsia="MS PGothic" w:cs="Times New Roman"/>
          <w:szCs w:val="24"/>
          <w:lang w:val="sr-Cyrl-CS" w:eastAsia="ja-JP"/>
        </w:rPr>
        <w:t>Анекс 3 – Екстерна контрибуција за ЕРП 2023-2025.</w:t>
      </w:r>
    </w:p>
    <w:p w14:paraId="0EF33561" w14:textId="4412CB75" w:rsidR="003A3205" w:rsidRPr="00092ED7" w:rsidRDefault="003A3205" w:rsidP="003A3205">
      <w:pPr>
        <w:spacing w:after="160" w:line="259" w:lineRule="auto"/>
        <w:jc w:val="left"/>
        <w:rPr>
          <w:rFonts w:eastAsia="Calibri" w:cs="Times New Roman"/>
          <w:b/>
          <w:sz w:val="28"/>
          <w:szCs w:val="28"/>
          <w:lang w:val="sr-Cyrl-CS"/>
        </w:rPr>
      </w:pPr>
      <w:bookmarkStart w:id="70" w:name="_Toc93385994"/>
      <w:bookmarkStart w:id="71" w:name="_Toc124174825"/>
    </w:p>
    <w:p w14:paraId="20142252" w14:textId="085CC52A" w:rsidR="001C0EF3" w:rsidRPr="00092ED7" w:rsidRDefault="001C0EF3" w:rsidP="003A3205">
      <w:pPr>
        <w:spacing w:after="160" w:line="259" w:lineRule="auto"/>
        <w:jc w:val="left"/>
        <w:rPr>
          <w:rFonts w:eastAsia="Calibri" w:cs="Times New Roman"/>
          <w:b/>
          <w:sz w:val="28"/>
          <w:szCs w:val="28"/>
          <w:lang w:val="sr-Cyrl-CS"/>
        </w:rPr>
      </w:pPr>
    </w:p>
    <w:p w14:paraId="6A048790" w14:textId="5C2CAF3C" w:rsidR="001C0EF3" w:rsidRPr="00092ED7" w:rsidRDefault="001C0EF3" w:rsidP="003A3205">
      <w:pPr>
        <w:spacing w:after="160" w:line="259" w:lineRule="auto"/>
        <w:jc w:val="left"/>
        <w:rPr>
          <w:rFonts w:eastAsia="Calibri" w:cs="Times New Roman"/>
          <w:b/>
          <w:sz w:val="28"/>
          <w:szCs w:val="28"/>
          <w:lang w:val="sr-Cyrl-CS"/>
        </w:rPr>
      </w:pPr>
    </w:p>
    <w:p w14:paraId="394B7128" w14:textId="1AA32EB0" w:rsidR="001C0EF3" w:rsidRPr="00092ED7" w:rsidRDefault="001C0EF3" w:rsidP="003A3205">
      <w:pPr>
        <w:spacing w:after="160" w:line="259" w:lineRule="auto"/>
        <w:jc w:val="left"/>
        <w:rPr>
          <w:rFonts w:eastAsia="Calibri" w:cs="Times New Roman"/>
          <w:b/>
          <w:sz w:val="28"/>
          <w:szCs w:val="28"/>
          <w:lang w:val="sr-Cyrl-CS"/>
        </w:rPr>
      </w:pPr>
    </w:p>
    <w:p w14:paraId="0142D482" w14:textId="5DEA39AC" w:rsidR="001C0EF3" w:rsidRPr="00092ED7" w:rsidRDefault="001C0EF3" w:rsidP="003A3205">
      <w:pPr>
        <w:spacing w:after="160" w:line="259" w:lineRule="auto"/>
        <w:jc w:val="left"/>
        <w:rPr>
          <w:rFonts w:eastAsia="Calibri" w:cs="Times New Roman"/>
          <w:b/>
          <w:sz w:val="28"/>
          <w:szCs w:val="28"/>
          <w:lang w:val="sr-Cyrl-CS"/>
        </w:rPr>
      </w:pPr>
    </w:p>
    <w:p w14:paraId="7DB370F8" w14:textId="77777777" w:rsidR="001C0EF3" w:rsidRPr="00092ED7" w:rsidRDefault="001C0EF3" w:rsidP="003A3205">
      <w:pPr>
        <w:spacing w:after="160" w:line="259" w:lineRule="auto"/>
        <w:jc w:val="left"/>
        <w:rPr>
          <w:rFonts w:eastAsia="Calibri" w:cs="Times New Roman"/>
          <w:b/>
          <w:sz w:val="28"/>
          <w:szCs w:val="28"/>
          <w:lang w:val="sr-Cyrl-CS"/>
        </w:rPr>
      </w:pPr>
    </w:p>
    <w:p w14:paraId="17DB4AC9" w14:textId="337447CC" w:rsidR="00DB4DE7" w:rsidRPr="00092ED7" w:rsidRDefault="00DB4DE7" w:rsidP="003A3205">
      <w:pPr>
        <w:spacing w:after="160" w:line="259" w:lineRule="auto"/>
        <w:jc w:val="left"/>
        <w:rPr>
          <w:rFonts w:eastAsia="Calibri" w:cs="Times New Roman"/>
          <w:b/>
          <w:sz w:val="28"/>
          <w:szCs w:val="28"/>
          <w:lang w:val="sr-Cyrl-CS"/>
        </w:rPr>
      </w:pPr>
      <w:r w:rsidRPr="00092ED7">
        <w:rPr>
          <w:rFonts w:eastAsia="Calibri" w:cs="Times New Roman"/>
          <w:b/>
          <w:sz w:val="28"/>
          <w:szCs w:val="28"/>
          <w:lang w:val="sr-Cyrl-CS"/>
        </w:rPr>
        <w:lastRenderedPageBreak/>
        <w:t>9. ЗАВРШНЕ ОДРЕДБЕ</w:t>
      </w:r>
      <w:bookmarkEnd w:id="70"/>
      <w:bookmarkEnd w:id="71"/>
    </w:p>
    <w:p w14:paraId="52D0C235" w14:textId="77777777" w:rsidR="00DB4DE7" w:rsidRPr="00092ED7" w:rsidRDefault="00DB4DE7" w:rsidP="00D030D6">
      <w:pPr>
        <w:spacing w:after="60"/>
        <w:ind w:right="153"/>
        <w:rPr>
          <w:rFonts w:eastAsia="Calibri" w:cs="Times New Roman"/>
          <w:lang w:val="sr-Cyrl-CS"/>
        </w:rPr>
      </w:pPr>
      <w:r w:rsidRPr="00092ED7">
        <w:rPr>
          <w:rFonts w:eastAsia="Calibri" w:cs="Times New Roman"/>
          <w:lang w:val="sr-Cyrl-CS"/>
        </w:rPr>
        <w:t xml:space="preserve">Овај програм објавити на интернет страници Владе, порталу е-Управa и интернет страници Министарства финансија, у року од седам радних дана од дана усвајања. </w:t>
      </w:r>
    </w:p>
    <w:p w14:paraId="6B0AB994" w14:textId="3AAAF752" w:rsidR="00DB4DE7" w:rsidRPr="00092ED7" w:rsidRDefault="00DB4DE7" w:rsidP="00DB4DE7">
      <w:pPr>
        <w:ind w:right="155"/>
        <w:rPr>
          <w:rFonts w:eastAsia="Calibri" w:cs="Times New Roman"/>
          <w:lang w:val="sr-Cyrl-CS"/>
        </w:rPr>
      </w:pPr>
    </w:p>
    <w:p w14:paraId="157E4F31" w14:textId="6D59DDEA" w:rsidR="00DB4DE7" w:rsidRPr="00B753EF" w:rsidRDefault="00DB4DE7" w:rsidP="00DB4DE7">
      <w:pPr>
        <w:ind w:right="155"/>
        <w:rPr>
          <w:rFonts w:eastAsia="Calibri" w:cs="Times New Roman"/>
          <w:lang w:val="sr-Latn-RS"/>
        </w:rPr>
      </w:pPr>
      <w:r w:rsidRPr="00092ED7">
        <w:rPr>
          <w:rFonts w:eastAsia="Calibri" w:cs="Times New Roman"/>
          <w:lang w:val="sr-Cyrl-CS"/>
        </w:rPr>
        <w:t>05 Број</w:t>
      </w:r>
      <w:r w:rsidR="00B753EF">
        <w:rPr>
          <w:rFonts w:eastAsia="Calibri" w:cs="Times New Roman"/>
          <w:lang w:val="sr-Latn-RS"/>
        </w:rPr>
        <w:t>: 4-548/2023</w:t>
      </w:r>
    </w:p>
    <w:p w14:paraId="29B0B7FC" w14:textId="10755178" w:rsidR="00DB4DE7" w:rsidRPr="00B753EF" w:rsidRDefault="00DB4DE7" w:rsidP="00DB4DE7">
      <w:pPr>
        <w:ind w:right="155"/>
        <w:rPr>
          <w:rFonts w:eastAsia="Calibri" w:cs="Times New Roman"/>
          <w:lang w:val="sr-Cyrl-RS"/>
        </w:rPr>
      </w:pPr>
      <w:r w:rsidRPr="00092ED7">
        <w:rPr>
          <w:rFonts w:eastAsia="Calibri" w:cs="Times New Roman"/>
          <w:lang w:val="sr-Cyrl-CS"/>
        </w:rPr>
        <w:t>У Београду,</w:t>
      </w:r>
      <w:r w:rsidR="00B753EF">
        <w:rPr>
          <w:rFonts w:eastAsia="Calibri" w:cs="Times New Roman"/>
          <w:lang w:val="sr-Latn-RS"/>
        </w:rPr>
        <w:t xml:space="preserve"> 26. </w:t>
      </w:r>
      <w:r w:rsidR="00B753EF">
        <w:rPr>
          <w:rFonts w:eastAsia="Calibri" w:cs="Times New Roman"/>
          <w:lang w:val="sr-Cyrl-RS"/>
        </w:rPr>
        <w:t>јануара 2023. године</w:t>
      </w:r>
    </w:p>
    <w:p w14:paraId="38F29ECE" w14:textId="10035670" w:rsidR="00DB4DE7" w:rsidRPr="00092ED7" w:rsidRDefault="00DB4DE7" w:rsidP="00DB4DE7">
      <w:pPr>
        <w:ind w:right="155"/>
        <w:rPr>
          <w:rFonts w:eastAsia="Calibri" w:cs="Times New Roman"/>
          <w:lang w:val="sr-Cyrl-CS"/>
        </w:rPr>
      </w:pPr>
    </w:p>
    <w:p w14:paraId="4EC31A07" w14:textId="77777777" w:rsidR="00DB4DE7" w:rsidRPr="00092ED7" w:rsidRDefault="00DB4DE7" w:rsidP="00DB4DE7">
      <w:pPr>
        <w:ind w:right="155"/>
        <w:rPr>
          <w:rFonts w:eastAsia="Calibri" w:cs="Times New Roman"/>
          <w:lang w:val="sr-Cyrl-CS"/>
        </w:rPr>
      </w:pPr>
    </w:p>
    <w:p w14:paraId="2DCA6C8A" w14:textId="77777777" w:rsidR="00DB4DE7" w:rsidRPr="00092ED7" w:rsidRDefault="00DB4DE7" w:rsidP="00DB4DE7">
      <w:pPr>
        <w:ind w:right="155"/>
        <w:rPr>
          <w:rFonts w:eastAsia="Calibri" w:cs="Times New Roman"/>
          <w:lang w:val="sr-Cyrl-CS"/>
        </w:rPr>
      </w:pPr>
    </w:p>
    <w:p w14:paraId="49B2B67C" w14:textId="77777777" w:rsidR="00DB4DE7" w:rsidRPr="00092ED7" w:rsidRDefault="00DB4DE7" w:rsidP="00DB4DE7">
      <w:pPr>
        <w:ind w:left="134" w:right="155"/>
        <w:jc w:val="center"/>
        <w:rPr>
          <w:rFonts w:eastAsia="Calibri" w:cs="Times New Roman"/>
          <w:lang w:val="sr-Cyrl-CS"/>
        </w:rPr>
      </w:pPr>
      <w:r w:rsidRPr="00092ED7">
        <w:rPr>
          <w:rFonts w:eastAsia="Calibri" w:cs="Times New Roman"/>
          <w:lang w:val="sr-Cyrl-CS"/>
        </w:rPr>
        <w:t>ВЛАДА</w:t>
      </w:r>
    </w:p>
    <w:p w14:paraId="287895B8" w14:textId="77777777" w:rsidR="00B753EF" w:rsidRPr="00A40D52" w:rsidRDefault="00B753EF" w:rsidP="00B753EF">
      <w:pPr>
        <w:pStyle w:val="1tekst"/>
        <w:spacing w:before="0" w:after="0"/>
        <w:ind w:hanging="26"/>
        <w:jc w:val="center"/>
        <w:rPr>
          <w:spacing w:val="40"/>
          <w:szCs w:val="24"/>
          <w:lang w:val="sr-Cyrl-CS"/>
        </w:rPr>
      </w:pPr>
    </w:p>
    <w:tbl>
      <w:tblPr>
        <w:tblW w:w="0" w:type="auto"/>
        <w:tblLayout w:type="fixed"/>
        <w:tblLook w:val="0000" w:firstRow="0" w:lastRow="0" w:firstColumn="0" w:lastColumn="0" w:noHBand="0" w:noVBand="0"/>
      </w:tblPr>
      <w:tblGrid>
        <w:gridCol w:w="4360"/>
        <w:gridCol w:w="4360"/>
      </w:tblGrid>
      <w:tr w:rsidR="00B753EF" w:rsidRPr="00A40D52" w14:paraId="4512FC1A" w14:textId="77777777" w:rsidTr="003269C7">
        <w:tc>
          <w:tcPr>
            <w:tcW w:w="4360" w:type="dxa"/>
          </w:tcPr>
          <w:p w14:paraId="35147F5F" w14:textId="77777777" w:rsidR="00B753EF" w:rsidRPr="00A40D52" w:rsidRDefault="00B753EF" w:rsidP="003269C7">
            <w:pPr>
              <w:jc w:val="center"/>
              <w:rPr>
                <w:lang w:val="sr-Cyrl-RS"/>
              </w:rPr>
            </w:pPr>
            <w:r w:rsidRPr="00A40D52">
              <w:rPr>
                <w:lang w:val="sr-Cyrl-RS"/>
              </w:rPr>
              <w:t>Тачност преписа оверава</w:t>
            </w:r>
          </w:p>
          <w:p w14:paraId="6E673CF2" w14:textId="77777777" w:rsidR="00B753EF" w:rsidRPr="00A40D52" w:rsidRDefault="00B753EF" w:rsidP="003269C7">
            <w:pPr>
              <w:jc w:val="center"/>
              <w:rPr>
                <w:lang w:val="sr-Cyrl-RS"/>
              </w:rPr>
            </w:pPr>
            <w:r w:rsidRPr="00A40D52">
              <w:rPr>
                <w:lang w:val="sr-Cyrl-RS"/>
              </w:rPr>
              <w:t xml:space="preserve">ГЕНЕРАЛНИ СЕКРЕТАР </w:t>
            </w:r>
          </w:p>
          <w:p w14:paraId="0999FD2A" w14:textId="77777777" w:rsidR="00B753EF" w:rsidRPr="00A40D52" w:rsidRDefault="00B753EF" w:rsidP="003269C7">
            <w:pPr>
              <w:jc w:val="center"/>
              <w:rPr>
                <w:lang w:val="sr-Cyrl-RS"/>
              </w:rPr>
            </w:pPr>
          </w:p>
          <w:p w14:paraId="7391E170" w14:textId="77777777" w:rsidR="00B753EF" w:rsidRPr="00A40D52" w:rsidRDefault="00B753EF" w:rsidP="003269C7">
            <w:pPr>
              <w:jc w:val="center"/>
              <w:rPr>
                <w:lang w:val="sr-Cyrl-RS"/>
              </w:rPr>
            </w:pPr>
          </w:p>
          <w:p w14:paraId="3E8273D5" w14:textId="77777777" w:rsidR="00B753EF" w:rsidRPr="00A40D52" w:rsidRDefault="00B753EF" w:rsidP="003269C7">
            <w:pPr>
              <w:jc w:val="center"/>
              <w:rPr>
                <w:lang w:val="ru-RU"/>
              </w:rPr>
            </w:pPr>
            <w:r w:rsidRPr="00A40D52">
              <w:rPr>
                <w:lang w:val="sr-Cyrl-RS"/>
              </w:rPr>
              <w:t>Новак Недић</w:t>
            </w:r>
          </w:p>
        </w:tc>
        <w:tc>
          <w:tcPr>
            <w:tcW w:w="4360" w:type="dxa"/>
          </w:tcPr>
          <w:p w14:paraId="2DA28CD2" w14:textId="77777777" w:rsidR="00B753EF" w:rsidRPr="00A40D52" w:rsidRDefault="00B753EF" w:rsidP="003269C7">
            <w:pPr>
              <w:jc w:val="center"/>
              <w:rPr>
                <w:lang w:val="ru-RU"/>
              </w:rPr>
            </w:pPr>
          </w:p>
          <w:p w14:paraId="500110FB" w14:textId="77777777" w:rsidR="00B753EF" w:rsidRPr="00A40D52" w:rsidRDefault="00B753EF" w:rsidP="003269C7">
            <w:pPr>
              <w:jc w:val="center"/>
              <w:rPr>
                <w:lang w:val="ru-RU"/>
              </w:rPr>
            </w:pPr>
            <w:r w:rsidRPr="00A40D52">
              <w:rPr>
                <w:lang w:val="ru-RU"/>
              </w:rPr>
              <w:t>ПРЕДСЕДНИК</w:t>
            </w:r>
          </w:p>
          <w:p w14:paraId="53F54BF8" w14:textId="77777777" w:rsidR="00B753EF" w:rsidRPr="00A40D52" w:rsidRDefault="00B753EF" w:rsidP="003269C7">
            <w:pPr>
              <w:rPr>
                <w:lang w:val="sr-Cyrl-CS"/>
              </w:rPr>
            </w:pPr>
          </w:p>
          <w:p w14:paraId="04703A52" w14:textId="77777777" w:rsidR="00B753EF" w:rsidRPr="00A40D52" w:rsidRDefault="00B753EF" w:rsidP="003269C7">
            <w:pPr>
              <w:rPr>
                <w:lang w:val="sr-Cyrl-CS"/>
              </w:rPr>
            </w:pPr>
          </w:p>
          <w:p w14:paraId="607A0B5E" w14:textId="77777777" w:rsidR="00B753EF" w:rsidRPr="00A40D52" w:rsidRDefault="00B753EF" w:rsidP="003269C7">
            <w:pPr>
              <w:pStyle w:val="Footer"/>
              <w:jc w:val="center"/>
              <w:rPr>
                <w:lang w:val="ru-RU"/>
              </w:rPr>
            </w:pPr>
            <w:r w:rsidRPr="00A40D52">
              <w:rPr>
                <w:lang w:val="ru-RU"/>
              </w:rPr>
              <w:t>Ана Брнабић, с.р.</w:t>
            </w:r>
          </w:p>
        </w:tc>
      </w:tr>
    </w:tbl>
    <w:p w14:paraId="045E3AF4" w14:textId="77777777" w:rsidR="00B753EF" w:rsidRPr="00A40D52" w:rsidRDefault="00B753EF" w:rsidP="00B753EF">
      <w:pPr>
        <w:rPr>
          <w:lang w:val="sr-Latn-CS"/>
        </w:rPr>
      </w:pPr>
    </w:p>
    <w:p w14:paraId="2E085D63" w14:textId="77777777" w:rsidR="00B753EF" w:rsidRPr="00A40D52" w:rsidRDefault="00B753EF" w:rsidP="00B753EF"/>
    <w:p w14:paraId="4F485FC2" w14:textId="77777777" w:rsidR="00906F21" w:rsidRPr="00092ED7" w:rsidRDefault="00906F21">
      <w:pPr>
        <w:spacing w:after="160" w:line="259" w:lineRule="auto"/>
        <w:jc w:val="left"/>
        <w:rPr>
          <w:rFonts w:eastAsia="Calibri" w:cs="Times New Roman"/>
          <w:lang w:val="sr-Cyrl-CS"/>
        </w:rPr>
      </w:pPr>
    </w:p>
    <w:p w14:paraId="268E81AD" w14:textId="77777777" w:rsidR="00906F21" w:rsidRPr="00092ED7" w:rsidRDefault="00906F21">
      <w:pPr>
        <w:spacing w:after="160" w:line="259" w:lineRule="auto"/>
        <w:jc w:val="left"/>
        <w:rPr>
          <w:rFonts w:eastAsia="Calibri" w:cs="Times New Roman"/>
          <w:lang w:val="sr-Cyrl-CS"/>
        </w:rPr>
        <w:sectPr w:rsidR="00906F21" w:rsidRPr="00092ED7" w:rsidSect="006C2ADE">
          <w:footerReference w:type="default" r:id="rId45"/>
          <w:footerReference w:type="first" r:id="rId46"/>
          <w:type w:val="continuous"/>
          <w:pgSz w:w="11906" w:h="16838" w:code="9"/>
          <w:pgMar w:top="1440" w:right="1440" w:bottom="1440" w:left="1440" w:header="720" w:footer="720" w:gutter="0"/>
          <w:pgNumType w:start="1"/>
          <w:cols w:space="720"/>
          <w:titlePg/>
          <w:docGrid w:linePitch="360"/>
        </w:sectPr>
      </w:pPr>
    </w:p>
    <w:p w14:paraId="4411886A" w14:textId="77777777" w:rsidR="008D7C20" w:rsidRPr="00092ED7" w:rsidRDefault="008D7C20" w:rsidP="008D7C20">
      <w:pPr>
        <w:keepNext/>
        <w:keepLines/>
        <w:spacing w:after="240"/>
        <w:outlineLvl w:val="0"/>
        <w:rPr>
          <w:rFonts w:eastAsia="Times New Roman"/>
          <w:b/>
          <w:w w:val="110"/>
          <w:szCs w:val="24"/>
          <w:lang w:val="sr-Cyrl-CS"/>
        </w:rPr>
      </w:pPr>
      <w:bookmarkStart w:id="72" w:name="_Toc124174826"/>
      <w:r w:rsidRPr="00092ED7">
        <w:rPr>
          <w:rFonts w:eastAsia="Times New Roman"/>
          <w:b/>
          <w:w w:val="110"/>
          <w:szCs w:val="24"/>
          <w:lang w:val="sr-Cyrl-CS"/>
        </w:rPr>
        <w:lastRenderedPageBreak/>
        <w:t>А</w:t>
      </w:r>
      <w:r w:rsidR="00CB5E8A" w:rsidRPr="00092ED7">
        <w:rPr>
          <w:rFonts w:eastAsia="Times New Roman"/>
          <w:b/>
          <w:w w:val="110"/>
          <w:szCs w:val="24"/>
          <w:lang w:val="sr-Cyrl-CS"/>
        </w:rPr>
        <w:t>некс</w:t>
      </w:r>
      <w:r w:rsidRPr="00092ED7">
        <w:rPr>
          <w:rFonts w:eastAsia="Times New Roman"/>
          <w:b/>
          <w:w w:val="110"/>
          <w:szCs w:val="24"/>
          <w:lang w:val="sr-Cyrl-CS"/>
        </w:rPr>
        <w:t xml:space="preserve"> 1 – Т</w:t>
      </w:r>
      <w:r w:rsidR="00CB5E8A" w:rsidRPr="00092ED7">
        <w:rPr>
          <w:rFonts w:eastAsia="Times New Roman"/>
          <w:b/>
          <w:w w:val="110"/>
          <w:szCs w:val="24"/>
          <w:lang w:val="sr-Cyrl-CS"/>
        </w:rPr>
        <w:t>абеле</w:t>
      </w:r>
      <w:r w:rsidR="00812992" w:rsidRPr="00092ED7">
        <w:rPr>
          <w:rFonts w:eastAsia="Times New Roman"/>
          <w:b/>
          <w:w w:val="110"/>
          <w:szCs w:val="24"/>
          <w:lang w:val="sr-Cyrl-CS"/>
        </w:rPr>
        <w:t xml:space="preserve"> 1-11</w:t>
      </w:r>
      <w:bookmarkEnd w:id="72"/>
    </w:p>
    <w:p w14:paraId="6FAB17AE" w14:textId="77777777" w:rsidR="00906F21" w:rsidRPr="00092ED7" w:rsidRDefault="00906F21" w:rsidP="00D030D6">
      <w:pPr>
        <w:spacing w:after="60"/>
        <w:rPr>
          <w:rFonts w:cs="Times New Roman"/>
          <w:b/>
          <w:bCs/>
          <w:szCs w:val="24"/>
          <w:lang w:val="sr-Cyrl-CS"/>
        </w:rPr>
      </w:pPr>
    </w:p>
    <w:tbl>
      <w:tblPr>
        <w:tblW w:w="8199" w:type="dxa"/>
        <w:tblLook w:val="04A0" w:firstRow="1" w:lastRow="0" w:firstColumn="1" w:lastColumn="0" w:noHBand="0" w:noVBand="1"/>
      </w:tblPr>
      <w:tblGrid>
        <w:gridCol w:w="6000"/>
        <w:gridCol w:w="2199"/>
      </w:tblGrid>
      <w:tr w:rsidR="00247CBF" w:rsidRPr="00092ED7" w14:paraId="2CE766F1" w14:textId="77777777" w:rsidTr="00247CBF">
        <w:trPr>
          <w:trHeight w:val="293"/>
        </w:trPr>
        <w:tc>
          <w:tcPr>
            <w:tcW w:w="6000" w:type="dxa"/>
            <w:tcBorders>
              <w:top w:val="double" w:sz="6" w:space="0" w:color="auto"/>
              <w:left w:val="double" w:sz="6" w:space="0" w:color="auto"/>
              <w:bottom w:val="dotted" w:sz="4" w:space="0" w:color="auto"/>
              <w:right w:val="dotted" w:sz="4" w:space="0" w:color="auto"/>
            </w:tcBorders>
            <w:shd w:val="clear" w:color="auto" w:fill="auto"/>
            <w:noWrap/>
            <w:vAlign w:val="bottom"/>
            <w:hideMark/>
          </w:tcPr>
          <w:p w14:paraId="11B871DD"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Земља:</w:t>
            </w:r>
          </w:p>
        </w:tc>
        <w:tc>
          <w:tcPr>
            <w:tcW w:w="2199" w:type="dxa"/>
            <w:tcBorders>
              <w:top w:val="double" w:sz="6" w:space="0" w:color="auto"/>
              <w:left w:val="nil"/>
              <w:bottom w:val="dotted" w:sz="4" w:space="0" w:color="auto"/>
              <w:right w:val="double" w:sz="6" w:space="0" w:color="auto"/>
            </w:tcBorders>
            <w:shd w:val="clear" w:color="auto" w:fill="auto"/>
            <w:vAlign w:val="bottom"/>
            <w:hideMark/>
          </w:tcPr>
          <w:p w14:paraId="6BF4E44E" w14:textId="77777777" w:rsidR="00247CBF" w:rsidRPr="00092ED7" w:rsidRDefault="00247CBF" w:rsidP="00247CBF">
            <w:pPr>
              <w:spacing w:after="0"/>
              <w:jc w:val="center"/>
              <w:rPr>
                <w:rFonts w:eastAsia="Times New Roman" w:cs="Times New Roman"/>
                <w:b/>
                <w:bCs/>
                <w:sz w:val="20"/>
                <w:szCs w:val="20"/>
                <w:lang w:val="sr-Cyrl-CS"/>
              </w:rPr>
            </w:pPr>
            <w:r w:rsidRPr="00092ED7">
              <w:rPr>
                <w:rFonts w:eastAsia="Times New Roman" w:cs="Times New Roman"/>
                <w:b/>
                <w:bCs/>
                <w:sz w:val="20"/>
                <w:szCs w:val="20"/>
                <w:lang w:val="sr-Cyrl-CS"/>
              </w:rPr>
              <w:t>Република Србија</w:t>
            </w:r>
          </w:p>
        </w:tc>
      </w:tr>
      <w:tr w:rsidR="00247CBF" w:rsidRPr="00092ED7" w14:paraId="353CE234" w14:textId="77777777" w:rsidTr="00247CBF">
        <w:trPr>
          <w:trHeight w:val="255"/>
        </w:trPr>
        <w:tc>
          <w:tcPr>
            <w:tcW w:w="6000" w:type="dxa"/>
            <w:tcBorders>
              <w:top w:val="nil"/>
              <w:left w:val="double" w:sz="6" w:space="0" w:color="auto"/>
              <w:bottom w:val="dotted" w:sz="4" w:space="0" w:color="auto"/>
              <w:right w:val="dotted" w:sz="4" w:space="0" w:color="auto"/>
            </w:tcBorders>
            <w:shd w:val="clear" w:color="auto" w:fill="auto"/>
            <w:noWrap/>
            <w:vAlign w:val="bottom"/>
            <w:hideMark/>
          </w:tcPr>
          <w:p w14:paraId="446506E3"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Година подношења (рок)</w:t>
            </w:r>
          </w:p>
        </w:tc>
        <w:tc>
          <w:tcPr>
            <w:tcW w:w="2199" w:type="dxa"/>
            <w:tcBorders>
              <w:top w:val="nil"/>
              <w:left w:val="nil"/>
              <w:bottom w:val="dotted" w:sz="4" w:space="0" w:color="auto"/>
              <w:right w:val="double" w:sz="6" w:space="0" w:color="auto"/>
            </w:tcBorders>
            <w:shd w:val="clear" w:color="auto" w:fill="auto"/>
            <w:noWrap/>
            <w:vAlign w:val="bottom"/>
            <w:hideMark/>
          </w:tcPr>
          <w:p w14:paraId="72C61C69" w14:textId="77777777" w:rsidR="00247CBF" w:rsidRPr="00092ED7" w:rsidRDefault="00247CBF" w:rsidP="00247CBF">
            <w:pPr>
              <w:spacing w:after="0"/>
              <w:jc w:val="center"/>
              <w:rPr>
                <w:sz w:val="20"/>
                <w:szCs w:val="20"/>
                <w:lang w:val="sr-Cyrl-CS"/>
              </w:rPr>
            </w:pPr>
            <w:r w:rsidRPr="00092ED7">
              <w:rPr>
                <w:sz w:val="20"/>
                <w:szCs w:val="20"/>
                <w:lang w:val="sr-Cyrl-CS"/>
              </w:rPr>
              <w:t>2023</w:t>
            </w:r>
          </w:p>
        </w:tc>
      </w:tr>
      <w:tr w:rsidR="00247CBF" w:rsidRPr="00092ED7" w14:paraId="0313069B" w14:textId="77777777" w:rsidTr="00247CBF">
        <w:trPr>
          <w:trHeight w:val="255"/>
        </w:trPr>
        <w:tc>
          <w:tcPr>
            <w:tcW w:w="6000" w:type="dxa"/>
            <w:tcBorders>
              <w:top w:val="nil"/>
              <w:left w:val="double" w:sz="6" w:space="0" w:color="auto"/>
              <w:bottom w:val="dotted" w:sz="4" w:space="0" w:color="auto"/>
              <w:right w:val="dotted" w:sz="4" w:space="0" w:color="auto"/>
            </w:tcBorders>
            <w:shd w:val="clear" w:color="auto" w:fill="auto"/>
            <w:noWrap/>
            <w:vAlign w:val="bottom"/>
            <w:hideMark/>
          </w:tcPr>
          <w:p w14:paraId="7BBEBAAE"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Цене претходне године (не = 0, да = 1)</w:t>
            </w:r>
          </w:p>
        </w:tc>
        <w:tc>
          <w:tcPr>
            <w:tcW w:w="2199" w:type="dxa"/>
            <w:tcBorders>
              <w:top w:val="nil"/>
              <w:left w:val="nil"/>
              <w:bottom w:val="dotted" w:sz="4" w:space="0" w:color="auto"/>
              <w:right w:val="double" w:sz="6" w:space="0" w:color="auto"/>
            </w:tcBorders>
            <w:shd w:val="clear" w:color="auto" w:fill="auto"/>
            <w:noWrap/>
            <w:vAlign w:val="bottom"/>
            <w:hideMark/>
          </w:tcPr>
          <w:p w14:paraId="5F0CA496" w14:textId="77777777" w:rsidR="00247CBF" w:rsidRPr="00092ED7" w:rsidRDefault="00247CBF" w:rsidP="00247CBF">
            <w:pPr>
              <w:spacing w:after="0"/>
              <w:jc w:val="center"/>
              <w:rPr>
                <w:sz w:val="20"/>
                <w:szCs w:val="20"/>
                <w:lang w:val="sr-Cyrl-CS"/>
              </w:rPr>
            </w:pPr>
            <w:r w:rsidRPr="00092ED7">
              <w:rPr>
                <w:sz w:val="20"/>
                <w:szCs w:val="20"/>
                <w:lang w:val="sr-Cyrl-CS"/>
              </w:rPr>
              <w:t>0</w:t>
            </w:r>
          </w:p>
        </w:tc>
      </w:tr>
      <w:tr w:rsidR="00247CBF" w:rsidRPr="00092ED7" w14:paraId="598BD62C" w14:textId="77777777" w:rsidTr="00247CBF">
        <w:trPr>
          <w:trHeight w:val="270"/>
        </w:trPr>
        <w:tc>
          <w:tcPr>
            <w:tcW w:w="6000" w:type="dxa"/>
            <w:tcBorders>
              <w:top w:val="nil"/>
              <w:left w:val="double" w:sz="6" w:space="0" w:color="auto"/>
              <w:bottom w:val="double" w:sz="6" w:space="0" w:color="auto"/>
              <w:right w:val="dotted" w:sz="4" w:space="0" w:color="auto"/>
            </w:tcBorders>
            <w:shd w:val="clear" w:color="auto" w:fill="auto"/>
            <w:vAlign w:val="bottom"/>
            <w:hideMark/>
          </w:tcPr>
          <w:p w14:paraId="0BF1224E"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Платни биланс-Подаци: Национална валута = 0, ЕУР = 1</w:t>
            </w:r>
          </w:p>
        </w:tc>
        <w:tc>
          <w:tcPr>
            <w:tcW w:w="2199" w:type="dxa"/>
            <w:tcBorders>
              <w:top w:val="nil"/>
              <w:left w:val="nil"/>
              <w:bottom w:val="double" w:sz="6" w:space="0" w:color="auto"/>
              <w:right w:val="double" w:sz="6" w:space="0" w:color="auto"/>
            </w:tcBorders>
            <w:shd w:val="clear" w:color="auto" w:fill="auto"/>
            <w:noWrap/>
            <w:vAlign w:val="bottom"/>
            <w:hideMark/>
          </w:tcPr>
          <w:p w14:paraId="3CBDD471" w14:textId="77777777" w:rsidR="00247CBF" w:rsidRPr="00092ED7" w:rsidRDefault="00247CBF" w:rsidP="00247CBF">
            <w:pPr>
              <w:spacing w:after="0"/>
              <w:jc w:val="center"/>
              <w:rPr>
                <w:sz w:val="20"/>
                <w:szCs w:val="20"/>
                <w:lang w:val="sr-Cyrl-CS"/>
              </w:rPr>
            </w:pPr>
            <w:r w:rsidRPr="00092ED7">
              <w:rPr>
                <w:sz w:val="20"/>
                <w:szCs w:val="20"/>
                <w:lang w:val="sr-Cyrl-CS"/>
              </w:rPr>
              <w:t>1</w:t>
            </w:r>
          </w:p>
        </w:tc>
      </w:tr>
    </w:tbl>
    <w:p w14:paraId="64A42C73" w14:textId="77777777" w:rsidR="00247CBF" w:rsidRPr="00092ED7" w:rsidRDefault="00247CBF" w:rsidP="00247CBF">
      <w:pPr>
        <w:rPr>
          <w:lang w:val="sr-Cyrl-CS"/>
        </w:rPr>
      </w:pPr>
    </w:p>
    <w:p w14:paraId="094A2926" w14:textId="77777777" w:rsidR="00247CBF" w:rsidRPr="00092ED7" w:rsidRDefault="00247CBF" w:rsidP="00247CBF">
      <w:pPr>
        <w:pStyle w:val="Heading3"/>
        <w:rPr>
          <w:rFonts w:ascii="Times New Roman" w:hAnsi="Times New Roman" w:cs="Times New Roman"/>
          <w:b/>
          <w:color w:val="auto"/>
          <w:sz w:val="20"/>
          <w:szCs w:val="20"/>
          <w:lang w:val="sr-Cyrl-CS"/>
        </w:rPr>
      </w:pPr>
      <w:bookmarkStart w:id="73" w:name="_Toc30499328"/>
      <w:bookmarkStart w:id="74" w:name="_Toc30754784"/>
      <w:bookmarkStart w:id="75" w:name="_Toc61953860"/>
      <w:bookmarkStart w:id="76" w:name="_Toc93385996"/>
      <w:bookmarkStart w:id="77" w:name="_Toc124174827"/>
      <w:r w:rsidRPr="00092ED7">
        <w:rPr>
          <w:rFonts w:ascii="Times New Roman" w:hAnsi="Times New Roman" w:cs="Times New Roman"/>
          <w:b/>
          <w:color w:val="auto"/>
          <w:sz w:val="20"/>
          <w:szCs w:val="20"/>
          <w:lang w:val="sr-Cyrl-CS"/>
        </w:rPr>
        <w:t>Табела 1: Макроекономски оквир</w:t>
      </w:r>
      <w:bookmarkEnd w:id="73"/>
      <w:bookmarkEnd w:id="74"/>
      <w:bookmarkEnd w:id="75"/>
      <w:bookmarkEnd w:id="76"/>
      <w:bookmarkEnd w:id="77"/>
    </w:p>
    <w:tbl>
      <w:tblPr>
        <w:tblW w:w="14602" w:type="dxa"/>
        <w:tblInd w:w="-23" w:type="dxa"/>
        <w:tblLook w:val="04A0" w:firstRow="1" w:lastRow="0" w:firstColumn="1" w:lastColumn="0" w:noHBand="0" w:noVBand="1"/>
      </w:tblPr>
      <w:tblGrid>
        <w:gridCol w:w="23"/>
        <w:gridCol w:w="4372"/>
        <w:gridCol w:w="567"/>
        <w:gridCol w:w="680"/>
        <w:gridCol w:w="38"/>
        <w:gridCol w:w="729"/>
        <w:gridCol w:w="679"/>
        <w:gridCol w:w="82"/>
        <w:gridCol w:w="619"/>
        <w:gridCol w:w="8"/>
        <w:gridCol w:w="664"/>
        <w:gridCol w:w="128"/>
        <w:gridCol w:w="500"/>
        <w:gridCol w:w="24"/>
        <w:gridCol w:w="638"/>
        <w:gridCol w:w="342"/>
        <w:gridCol w:w="356"/>
        <w:gridCol w:w="40"/>
        <w:gridCol w:w="553"/>
        <w:gridCol w:w="552"/>
        <w:gridCol w:w="115"/>
        <w:gridCol w:w="56"/>
        <w:gridCol w:w="568"/>
        <w:gridCol w:w="636"/>
        <w:gridCol w:w="72"/>
        <w:gridCol w:w="57"/>
        <w:gridCol w:w="1139"/>
        <w:gridCol w:w="72"/>
        <w:gridCol w:w="261"/>
        <w:gridCol w:w="32"/>
      </w:tblGrid>
      <w:tr w:rsidR="00247CBF" w:rsidRPr="00092ED7" w14:paraId="52029C76" w14:textId="77777777" w:rsidTr="00247CBF">
        <w:trPr>
          <w:gridAfter w:val="3"/>
          <w:wAfter w:w="365" w:type="dxa"/>
          <w:trHeight w:val="285"/>
        </w:trPr>
        <w:tc>
          <w:tcPr>
            <w:tcW w:w="4962" w:type="dxa"/>
            <w:gridSpan w:val="3"/>
            <w:tcBorders>
              <w:top w:val="double" w:sz="6" w:space="0" w:color="auto"/>
              <w:left w:val="double" w:sz="6" w:space="0" w:color="auto"/>
              <w:bottom w:val="double" w:sz="6" w:space="0" w:color="auto"/>
              <w:right w:val="nil"/>
            </w:tcBorders>
            <w:shd w:val="clear" w:color="auto" w:fill="auto"/>
            <w:noWrap/>
            <w:vAlign w:val="bottom"/>
            <w:hideMark/>
          </w:tcPr>
          <w:p w14:paraId="7D194375" w14:textId="77777777" w:rsidR="00247CBF" w:rsidRPr="00092ED7" w:rsidRDefault="00247CBF" w:rsidP="00247CBF">
            <w:pPr>
              <w:spacing w:after="0"/>
              <w:jc w:val="center"/>
              <w:rPr>
                <w:rFonts w:eastAsia="Times New Roman" w:cs="Times New Roman"/>
                <w:b/>
                <w:bCs/>
                <w:sz w:val="20"/>
                <w:szCs w:val="20"/>
                <w:lang w:val="sr-Cyrl-CS"/>
              </w:rPr>
            </w:pPr>
            <w:r w:rsidRPr="00092ED7">
              <w:rPr>
                <w:rFonts w:eastAsia="Times New Roman" w:cs="Times New Roman"/>
                <w:b/>
                <w:bCs/>
                <w:sz w:val="20"/>
                <w:szCs w:val="20"/>
                <w:lang w:val="sr-Cyrl-CS"/>
              </w:rPr>
              <w:t>1a: Расходна страна, сталне цене (млрд РСД/ЕУР)</w:t>
            </w:r>
          </w:p>
        </w:tc>
        <w:tc>
          <w:tcPr>
            <w:tcW w:w="1447" w:type="dxa"/>
            <w:gridSpan w:val="3"/>
            <w:tcBorders>
              <w:top w:val="double" w:sz="6" w:space="0" w:color="auto"/>
              <w:left w:val="single" w:sz="8" w:space="0" w:color="auto"/>
              <w:bottom w:val="double" w:sz="6" w:space="0" w:color="auto"/>
              <w:right w:val="single" w:sz="8" w:space="0" w:color="auto"/>
            </w:tcBorders>
            <w:shd w:val="clear" w:color="auto" w:fill="auto"/>
            <w:noWrap/>
            <w:vAlign w:val="bottom"/>
            <w:hideMark/>
          </w:tcPr>
          <w:p w14:paraId="4D3DE999" w14:textId="77777777" w:rsidR="00247CBF" w:rsidRPr="00092ED7" w:rsidRDefault="00247CBF" w:rsidP="00247CBF">
            <w:pPr>
              <w:spacing w:after="0"/>
              <w:jc w:val="center"/>
              <w:rPr>
                <w:sz w:val="20"/>
                <w:szCs w:val="20"/>
                <w:lang w:val="sr-Cyrl-CS"/>
              </w:rPr>
            </w:pPr>
            <w:r w:rsidRPr="00092ED7">
              <w:rPr>
                <w:sz w:val="20"/>
                <w:szCs w:val="20"/>
                <w:lang w:val="sr-Cyrl-CS"/>
              </w:rPr>
              <w:t>ESA шифра</w:t>
            </w:r>
          </w:p>
        </w:tc>
        <w:tc>
          <w:tcPr>
            <w:tcW w:w="1380" w:type="dxa"/>
            <w:gridSpan w:val="3"/>
            <w:tcBorders>
              <w:top w:val="double" w:sz="6" w:space="0" w:color="auto"/>
              <w:left w:val="nil"/>
              <w:bottom w:val="double" w:sz="6" w:space="0" w:color="auto"/>
              <w:right w:val="dashed" w:sz="4" w:space="0" w:color="auto"/>
            </w:tcBorders>
            <w:shd w:val="clear" w:color="auto" w:fill="auto"/>
            <w:noWrap/>
            <w:vAlign w:val="center"/>
            <w:hideMark/>
          </w:tcPr>
          <w:p w14:paraId="5B37636E" w14:textId="77777777" w:rsidR="00247CBF" w:rsidRPr="00092ED7" w:rsidRDefault="00247CBF" w:rsidP="00247CBF">
            <w:pPr>
              <w:spacing w:after="0"/>
              <w:jc w:val="right"/>
              <w:rPr>
                <w:b/>
                <w:bCs/>
                <w:sz w:val="20"/>
                <w:szCs w:val="20"/>
                <w:lang w:val="sr-Cyrl-CS"/>
              </w:rPr>
            </w:pPr>
            <w:r w:rsidRPr="00092ED7">
              <w:rPr>
                <w:b/>
                <w:bCs/>
                <w:sz w:val="20"/>
                <w:szCs w:val="20"/>
                <w:lang w:val="sr-Cyrl-CS"/>
              </w:rPr>
              <w:t>2020</w:t>
            </w:r>
          </w:p>
        </w:tc>
        <w:tc>
          <w:tcPr>
            <w:tcW w:w="1300" w:type="dxa"/>
            <w:gridSpan w:val="4"/>
            <w:tcBorders>
              <w:top w:val="double" w:sz="6" w:space="0" w:color="auto"/>
              <w:left w:val="nil"/>
              <w:bottom w:val="double" w:sz="6" w:space="0" w:color="auto"/>
              <w:right w:val="dashed" w:sz="4" w:space="0" w:color="auto"/>
            </w:tcBorders>
            <w:shd w:val="clear" w:color="auto" w:fill="auto"/>
            <w:noWrap/>
            <w:vAlign w:val="center"/>
            <w:hideMark/>
          </w:tcPr>
          <w:p w14:paraId="76EE4C6C" w14:textId="77777777" w:rsidR="00247CBF" w:rsidRPr="00092ED7" w:rsidRDefault="00247CBF" w:rsidP="00247CBF">
            <w:pPr>
              <w:spacing w:after="0"/>
              <w:jc w:val="right"/>
              <w:rPr>
                <w:b/>
                <w:bCs/>
                <w:sz w:val="20"/>
                <w:szCs w:val="20"/>
                <w:lang w:val="sr-Cyrl-CS"/>
              </w:rPr>
            </w:pPr>
            <w:r w:rsidRPr="00092ED7">
              <w:rPr>
                <w:b/>
                <w:bCs/>
                <w:sz w:val="20"/>
                <w:szCs w:val="20"/>
                <w:lang w:val="sr-Cyrl-CS"/>
              </w:rPr>
              <w:t>2021</w:t>
            </w:r>
          </w:p>
        </w:tc>
        <w:tc>
          <w:tcPr>
            <w:tcW w:w="1360" w:type="dxa"/>
            <w:gridSpan w:val="4"/>
            <w:tcBorders>
              <w:top w:val="double" w:sz="6" w:space="0" w:color="auto"/>
              <w:left w:val="nil"/>
              <w:bottom w:val="double" w:sz="6" w:space="0" w:color="auto"/>
              <w:right w:val="dashed" w:sz="4" w:space="0" w:color="auto"/>
            </w:tcBorders>
            <w:shd w:val="clear" w:color="auto" w:fill="auto"/>
            <w:noWrap/>
            <w:vAlign w:val="center"/>
            <w:hideMark/>
          </w:tcPr>
          <w:p w14:paraId="2EF6C6CB" w14:textId="77777777" w:rsidR="00247CBF" w:rsidRPr="00092ED7" w:rsidRDefault="00247CBF" w:rsidP="00247CBF">
            <w:pPr>
              <w:spacing w:after="0"/>
              <w:jc w:val="right"/>
              <w:rPr>
                <w:b/>
                <w:bCs/>
                <w:sz w:val="20"/>
                <w:szCs w:val="20"/>
                <w:lang w:val="sr-Cyrl-CS"/>
              </w:rPr>
            </w:pPr>
            <w:r w:rsidRPr="00092ED7">
              <w:rPr>
                <w:b/>
                <w:bCs/>
                <w:sz w:val="20"/>
                <w:szCs w:val="20"/>
                <w:lang w:val="sr-Cyrl-CS"/>
              </w:rPr>
              <w:t>2022</w:t>
            </w:r>
          </w:p>
        </w:tc>
        <w:tc>
          <w:tcPr>
            <w:tcW w:w="1260" w:type="dxa"/>
            <w:gridSpan w:val="4"/>
            <w:tcBorders>
              <w:top w:val="double" w:sz="6" w:space="0" w:color="auto"/>
              <w:left w:val="nil"/>
              <w:bottom w:val="double" w:sz="6" w:space="0" w:color="auto"/>
              <w:right w:val="dashed" w:sz="4" w:space="0" w:color="auto"/>
            </w:tcBorders>
            <w:shd w:val="clear" w:color="auto" w:fill="auto"/>
            <w:noWrap/>
            <w:vAlign w:val="center"/>
            <w:hideMark/>
          </w:tcPr>
          <w:p w14:paraId="4C352174" w14:textId="77777777" w:rsidR="00247CBF" w:rsidRPr="00092ED7" w:rsidRDefault="00247CBF" w:rsidP="00247CBF">
            <w:pPr>
              <w:spacing w:after="0"/>
              <w:jc w:val="right"/>
              <w:rPr>
                <w:b/>
                <w:bCs/>
                <w:sz w:val="20"/>
                <w:szCs w:val="20"/>
                <w:lang w:val="sr-Cyrl-CS"/>
              </w:rPr>
            </w:pPr>
            <w:r w:rsidRPr="00092ED7">
              <w:rPr>
                <w:b/>
                <w:bCs/>
                <w:sz w:val="20"/>
                <w:szCs w:val="20"/>
                <w:lang w:val="sr-Cyrl-CS"/>
              </w:rPr>
              <w:t>2023</w:t>
            </w:r>
          </w:p>
        </w:tc>
        <w:tc>
          <w:tcPr>
            <w:tcW w:w="1260" w:type="dxa"/>
            <w:gridSpan w:val="3"/>
            <w:tcBorders>
              <w:top w:val="double" w:sz="6" w:space="0" w:color="auto"/>
              <w:left w:val="nil"/>
              <w:bottom w:val="double" w:sz="6" w:space="0" w:color="auto"/>
              <w:right w:val="dashed" w:sz="4" w:space="0" w:color="auto"/>
            </w:tcBorders>
            <w:shd w:val="clear" w:color="auto" w:fill="auto"/>
            <w:noWrap/>
            <w:vAlign w:val="center"/>
            <w:hideMark/>
          </w:tcPr>
          <w:p w14:paraId="2D513276" w14:textId="77777777" w:rsidR="00247CBF" w:rsidRPr="00092ED7" w:rsidRDefault="00247CBF" w:rsidP="00247CBF">
            <w:pPr>
              <w:spacing w:after="0"/>
              <w:jc w:val="right"/>
              <w:rPr>
                <w:b/>
                <w:bCs/>
                <w:sz w:val="20"/>
                <w:szCs w:val="20"/>
                <w:lang w:val="sr-Cyrl-CS"/>
              </w:rPr>
            </w:pPr>
            <w:r w:rsidRPr="00092ED7">
              <w:rPr>
                <w:b/>
                <w:bCs/>
                <w:sz w:val="20"/>
                <w:szCs w:val="20"/>
                <w:lang w:val="sr-Cyrl-CS"/>
              </w:rPr>
              <w:t>2024</w:t>
            </w:r>
          </w:p>
        </w:tc>
        <w:tc>
          <w:tcPr>
            <w:tcW w:w="1268" w:type="dxa"/>
            <w:gridSpan w:val="3"/>
            <w:tcBorders>
              <w:top w:val="double" w:sz="6" w:space="0" w:color="auto"/>
              <w:left w:val="nil"/>
              <w:bottom w:val="double" w:sz="6" w:space="0" w:color="auto"/>
              <w:right w:val="double" w:sz="4" w:space="0" w:color="auto"/>
            </w:tcBorders>
            <w:shd w:val="clear" w:color="auto" w:fill="auto"/>
            <w:noWrap/>
            <w:vAlign w:val="center"/>
            <w:hideMark/>
          </w:tcPr>
          <w:p w14:paraId="1F09B21C" w14:textId="77777777" w:rsidR="00247CBF" w:rsidRPr="00092ED7" w:rsidRDefault="00247CBF" w:rsidP="00247CBF">
            <w:pPr>
              <w:spacing w:after="0"/>
              <w:jc w:val="right"/>
              <w:rPr>
                <w:b/>
                <w:bCs/>
                <w:sz w:val="20"/>
                <w:szCs w:val="20"/>
                <w:lang w:val="sr-Cyrl-CS"/>
              </w:rPr>
            </w:pPr>
            <w:r w:rsidRPr="00092ED7">
              <w:rPr>
                <w:b/>
                <w:bCs/>
                <w:sz w:val="20"/>
                <w:szCs w:val="20"/>
                <w:lang w:val="sr-Cyrl-CS"/>
              </w:rPr>
              <w:t>2025</w:t>
            </w:r>
          </w:p>
        </w:tc>
      </w:tr>
      <w:tr w:rsidR="00247CBF" w:rsidRPr="00092ED7" w14:paraId="111C9E2E" w14:textId="77777777" w:rsidTr="00247CBF">
        <w:trPr>
          <w:gridAfter w:val="3"/>
          <w:wAfter w:w="365" w:type="dxa"/>
          <w:trHeight w:val="270"/>
        </w:trPr>
        <w:tc>
          <w:tcPr>
            <w:tcW w:w="4962" w:type="dxa"/>
            <w:gridSpan w:val="3"/>
            <w:tcBorders>
              <w:top w:val="nil"/>
              <w:left w:val="double" w:sz="6" w:space="0" w:color="auto"/>
              <w:bottom w:val="dashed" w:sz="4" w:space="0" w:color="auto"/>
              <w:right w:val="nil"/>
            </w:tcBorders>
            <w:shd w:val="clear" w:color="auto" w:fill="auto"/>
            <w:noWrap/>
            <w:vAlign w:val="bottom"/>
            <w:hideMark/>
          </w:tcPr>
          <w:p w14:paraId="49392EDD"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БДП према тржишним ценама</w:t>
            </w:r>
          </w:p>
        </w:tc>
        <w:tc>
          <w:tcPr>
            <w:tcW w:w="1447" w:type="dxa"/>
            <w:gridSpan w:val="3"/>
            <w:tcBorders>
              <w:top w:val="nil"/>
              <w:left w:val="single" w:sz="8" w:space="0" w:color="auto"/>
              <w:bottom w:val="dashed" w:sz="4" w:space="0" w:color="auto"/>
              <w:right w:val="single" w:sz="8" w:space="0" w:color="auto"/>
            </w:tcBorders>
            <w:shd w:val="clear" w:color="auto" w:fill="auto"/>
            <w:noWrap/>
            <w:vAlign w:val="bottom"/>
            <w:hideMark/>
          </w:tcPr>
          <w:p w14:paraId="31C79F84" w14:textId="77777777" w:rsidR="00247CBF" w:rsidRPr="00092ED7" w:rsidRDefault="00247CBF" w:rsidP="00247CBF">
            <w:pPr>
              <w:spacing w:after="0"/>
              <w:jc w:val="center"/>
              <w:rPr>
                <w:sz w:val="20"/>
                <w:szCs w:val="20"/>
                <w:lang w:val="sr-Cyrl-CS"/>
              </w:rPr>
            </w:pPr>
            <w:r w:rsidRPr="00092ED7">
              <w:rPr>
                <w:sz w:val="20"/>
                <w:szCs w:val="20"/>
                <w:lang w:val="sr-Cyrl-CS"/>
              </w:rPr>
              <w:t>B1*g</w:t>
            </w:r>
          </w:p>
        </w:tc>
        <w:tc>
          <w:tcPr>
            <w:tcW w:w="1380" w:type="dxa"/>
            <w:gridSpan w:val="3"/>
            <w:tcBorders>
              <w:top w:val="nil"/>
              <w:left w:val="dashed" w:sz="4" w:space="0" w:color="auto"/>
              <w:bottom w:val="dashed" w:sz="4" w:space="0" w:color="auto"/>
              <w:right w:val="dashed" w:sz="4" w:space="0" w:color="auto"/>
            </w:tcBorders>
            <w:shd w:val="clear" w:color="auto" w:fill="auto"/>
            <w:noWrap/>
            <w:vAlign w:val="center"/>
            <w:hideMark/>
          </w:tcPr>
          <w:p w14:paraId="523F4C84" w14:textId="77777777" w:rsidR="00247CBF" w:rsidRPr="00092ED7" w:rsidRDefault="00247CBF" w:rsidP="00247CBF">
            <w:pPr>
              <w:spacing w:after="0"/>
              <w:jc w:val="right"/>
              <w:rPr>
                <w:sz w:val="20"/>
                <w:szCs w:val="20"/>
                <w:lang w:val="sr-Cyrl-CS"/>
              </w:rPr>
            </w:pPr>
            <w:r w:rsidRPr="00092ED7">
              <w:rPr>
                <w:sz w:val="20"/>
                <w:szCs w:val="20"/>
                <w:lang w:val="sr-Cyrl-CS"/>
              </w:rPr>
              <w:t>4.918,7</w:t>
            </w:r>
          </w:p>
        </w:tc>
        <w:tc>
          <w:tcPr>
            <w:tcW w:w="1300" w:type="dxa"/>
            <w:gridSpan w:val="4"/>
            <w:tcBorders>
              <w:top w:val="nil"/>
              <w:left w:val="nil"/>
              <w:bottom w:val="dashed" w:sz="4" w:space="0" w:color="auto"/>
              <w:right w:val="dashed" w:sz="4" w:space="0" w:color="auto"/>
            </w:tcBorders>
            <w:shd w:val="clear" w:color="auto" w:fill="auto"/>
            <w:noWrap/>
            <w:vAlign w:val="center"/>
            <w:hideMark/>
          </w:tcPr>
          <w:p w14:paraId="61673B51" w14:textId="77777777" w:rsidR="00247CBF" w:rsidRPr="00092ED7" w:rsidRDefault="00247CBF" w:rsidP="00247CBF">
            <w:pPr>
              <w:spacing w:after="0"/>
              <w:jc w:val="right"/>
              <w:rPr>
                <w:sz w:val="20"/>
                <w:szCs w:val="20"/>
                <w:lang w:val="sr-Cyrl-CS"/>
              </w:rPr>
            </w:pPr>
            <w:r w:rsidRPr="00092ED7">
              <w:rPr>
                <w:sz w:val="20"/>
                <w:szCs w:val="20"/>
                <w:lang w:val="sr-Cyrl-CS"/>
              </w:rPr>
              <w:t>5.290,0</w:t>
            </w:r>
          </w:p>
        </w:tc>
        <w:tc>
          <w:tcPr>
            <w:tcW w:w="1360" w:type="dxa"/>
            <w:gridSpan w:val="4"/>
            <w:tcBorders>
              <w:top w:val="nil"/>
              <w:left w:val="nil"/>
              <w:bottom w:val="dashed" w:sz="4" w:space="0" w:color="auto"/>
              <w:right w:val="dashed" w:sz="4" w:space="0" w:color="auto"/>
            </w:tcBorders>
            <w:shd w:val="clear" w:color="auto" w:fill="auto"/>
            <w:noWrap/>
            <w:vAlign w:val="center"/>
            <w:hideMark/>
          </w:tcPr>
          <w:p w14:paraId="505B8AAF" w14:textId="77777777" w:rsidR="00247CBF" w:rsidRPr="00092ED7" w:rsidRDefault="00247CBF" w:rsidP="00247CBF">
            <w:pPr>
              <w:spacing w:after="0"/>
              <w:jc w:val="right"/>
              <w:rPr>
                <w:sz w:val="20"/>
                <w:szCs w:val="20"/>
                <w:lang w:val="sr-Cyrl-CS"/>
              </w:rPr>
            </w:pPr>
            <w:r w:rsidRPr="00092ED7">
              <w:rPr>
                <w:sz w:val="20"/>
                <w:szCs w:val="20"/>
                <w:lang w:val="sr-Cyrl-CS"/>
              </w:rPr>
              <w:t>5.424,6</w:t>
            </w:r>
          </w:p>
        </w:tc>
        <w:tc>
          <w:tcPr>
            <w:tcW w:w="1260" w:type="dxa"/>
            <w:gridSpan w:val="4"/>
            <w:tcBorders>
              <w:top w:val="nil"/>
              <w:left w:val="nil"/>
              <w:bottom w:val="dashed" w:sz="4" w:space="0" w:color="auto"/>
              <w:right w:val="dashed" w:sz="4" w:space="0" w:color="auto"/>
            </w:tcBorders>
            <w:shd w:val="clear" w:color="auto" w:fill="auto"/>
            <w:noWrap/>
            <w:vAlign w:val="center"/>
            <w:hideMark/>
          </w:tcPr>
          <w:p w14:paraId="62E449DE" w14:textId="77777777" w:rsidR="00247CBF" w:rsidRPr="00092ED7" w:rsidRDefault="00247CBF" w:rsidP="00247CBF">
            <w:pPr>
              <w:spacing w:after="0"/>
              <w:jc w:val="right"/>
              <w:rPr>
                <w:sz w:val="20"/>
                <w:szCs w:val="20"/>
                <w:lang w:val="sr-Cyrl-CS"/>
              </w:rPr>
            </w:pPr>
            <w:r w:rsidRPr="00092ED7">
              <w:rPr>
                <w:sz w:val="20"/>
                <w:szCs w:val="20"/>
                <w:lang w:val="sr-Cyrl-CS"/>
              </w:rPr>
              <w:t>5.557,5</w:t>
            </w:r>
          </w:p>
        </w:tc>
        <w:tc>
          <w:tcPr>
            <w:tcW w:w="1260" w:type="dxa"/>
            <w:gridSpan w:val="3"/>
            <w:tcBorders>
              <w:top w:val="nil"/>
              <w:left w:val="nil"/>
              <w:bottom w:val="dashed" w:sz="4" w:space="0" w:color="auto"/>
              <w:right w:val="dashed" w:sz="4" w:space="0" w:color="auto"/>
            </w:tcBorders>
            <w:shd w:val="clear" w:color="auto" w:fill="auto"/>
            <w:noWrap/>
            <w:vAlign w:val="center"/>
            <w:hideMark/>
          </w:tcPr>
          <w:p w14:paraId="6AF2B1DF" w14:textId="77777777" w:rsidR="00247CBF" w:rsidRPr="00092ED7" w:rsidRDefault="00247CBF" w:rsidP="00247CBF">
            <w:pPr>
              <w:spacing w:after="0"/>
              <w:jc w:val="right"/>
              <w:rPr>
                <w:sz w:val="20"/>
                <w:szCs w:val="20"/>
                <w:lang w:val="sr-Cyrl-CS"/>
              </w:rPr>
            </w:pPr>
            <w:r w:rsidRPr="00092ED7">
              <w:rPr>
                <w:sz w:val="20"/>
                <w:szCs w:val="20"/>
                <w:lang w:val="sr-Cyrl-CS"/>
              </w:rPr>
              <w:t>5.753,6</w:t>
            </w:r>
          </w:p>
        </w:tc>
        <w:tc>
          <w:tcPr>
            <w:tcW w:w="1268" w:type="dxa"/>
            <w:gridSpan w:val="3"/>
            <w:tcBorders>
              <w:top w:val="nil"/>
              <w:left w:val="nil"/>
              <w:bottom w:val="dashed" w:sz="4" w:space="0" w:color="auto"/>
              <w:right w:val="double" w:sz="4" w:space="0" w:color="auto"/>
            </w:tcBorders>
            <w:shd w:val="clear" w:color="auto" w:fill="auto"/>
            <w:noWrap/>
            <w:vAlign w:val="center"/>
            <w:hideMark/>
          </w:tcPr>
          <w:p w14:paraId="7B9EAB40" w14:textId="77777777" w:rsidR="00247CBF" w:rsidRPr="00092ED7" w:rsidRDefault="00247CBF" w:rsidP="00247CBF">
            <w:pPr>
              <w:spacing w:after="0"/>
              <w:jc w:val="right"/>
              <w:rPr>
                <w:sz w:val="20"/>
                <w:szCs w:val="20"/>
                <w:lang w:val="sr-Cyrl-CS"/>
              </w:rPr>
            </w:pPr>
            <w:r w:rsidRPr="00092ED7">
              <w:rPr>
                <w:sz w:val="20"/>
                <w:szCs w:val="20"/>
                <w:lang w:val="sr-Cyrl-CS"/>
              </w:rPr>
              <w:t>5.985,5</w:t>
            </w:r>
          </w:p>
        </w:tc>
      </w:tr>
      <w:tr w:rsidR="00247CBF" w:rsidRPr="00092ED7" w14:paraId="4DA26715" w14:textId="77777777" w:rsidTr="00247CBF">
        <w:trPr>
          <w:gridAfter w:val="3"/>
          <w:wAfter w:w="365" w:type="dxa"/>
          <w:trHeight w:val="255"/>
        </w:trPr>
        <w:tc>
          <w:tcPr>
            <w:tcW w:w="4962" w:type="dxa"/>
            <w:gridSpan w:val="3"/>
            <w:tcBorders>
              <w:top w:val="nil"/>
              <w:left w:val="double" w:sz="6" w:space="0" w:color="auto"/>
              <w:bottom w:val="dashed" w:sz="4" w:space="0" w:color="auto"/>
              <w:right w:val="nil"/>
            </w:tcBorders>
            <w:shd w:val="clear" w:color="auto" w:fill="auto"/>
            <w:noWrap/>
            <w:vAlign w:val="bottom"/>
            <w:hideMark/>
          </w:tcPr>
          <w:p w14:paraId="11ECFBCB"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Приватна потрошња</w:t>
            </w:r>
          </w:p>
        </w:tc>
        <w:tc>
          <w:tcPr>
            <w:tcW w:w="1447" w:type="dxa"/>
            <w:gridSpan w:val="3"/>
            <w:tcBorders>
              <w:top w:val="nil"/>
              <w:left w:val="single" w:sz="8" w:space="0" w:color="auto"/>
              <w:bottom w:val="dashed" w:sz="4" w:space="0" w:color="auto"/>
              <w:right w:val="single" w:sz="8" w:space="0" w:color="auto"/>
            </w:tcBorders>
            <w:shd w:val="clear" w:color="auto" w:fill="auto"/>
            <w:noWrap/>
            <w:vAlign w:val="bottom"/>
            <w:hideMark/>
          </w:tcPr>
          <w:p w14:paraId="4B844D3F" w14:textId="77777777" w:rsidR="00247CBF" w:rsidRPr="00092ED7" w:rsidRDefault="00247CBF" w:rsidP="00247CBF">
            <w:pPr>
              <w:spacing w:after="0"/>
              <w:jc w:val="center"/>
              <w:rPr>
                <w:sz w:val="20"/>
                <w:szCs w:val="20"/>
                <w:lang w:val="sr-Cyrl-CS"/>
              </w:rPr>
            </w:pPr>
            <w:r w:rsidRPr="00092ED7">
              <w:rPr>
                <w:sz w:val="20"/>
                <w:szCs w:val="20"/>
                <w:lang w:val="sr-Cyrl-CS"/>
              </w:rPr>
              <w:t>P3</w:t>
            </w:r>
          </w:p>
        </w:tc>
        <w:tc>
          <w:tcPr>
            <w:tcW w:w="1380" w:type="dxa"/>
            <w:gridSpan w:val="3"/>
            <w:tcBorders>
              <w:top w:val="nil"/>
              <w:left w:val="nil"/>
              <w:bottom w:val="dashed" w:sz="4" w:space="0" w:color="auto"/>
              <w:right w:val="dashed" w:sz="4" w:space="0" w:color="auto"/>
            </w:tcBorders>
            <w:shd w:val="clear" w:color="auto" w:fill="auto"/>
            <w:noWrap/>
            <w:vAlign w:val="center"/>
            <w:hideMark/>
          </w:tcPr>
          <w:p w14:paraId="2D945410" w14:textId="77777777" w:rsidR="00247CBF" w:rsidRPr="00092ED7" w:rsidRDefault="00247CBF" w:rsidP="00247CBF">
            <w:pPr>
              <w:spacing w:after="0"/>
              <w:jc w:val="right"/>
              <w:rPr>
                <w:sz w:val="20"/>
                <w:szCs w:val="20"/>
                <w:lang w:val="sr-Cyrl-CS"/>
              </w:rPr>
            </w:pPr>
            <w:r w:rsidRPr="00092ED7">
              <w:rPr>
                <w:sz w:val="20"/>
                <w:szCs w:val="20"/>
                <w:lang w:val="sr-Cyrl-CS"/>
              </w:rPr>
              <w:t>3.391,5</w:t>
            </w:r>
          </w:p>
        </w:tc>
        <w:tc>
          <w:tcPr>
            <w:tcW w:w="1300" w:type="dxa"/>
            <w:gridSpan w:val="4"/>
            <w:tcBorders>
              <w:top w:val="nil"/>
              <w:left w:val="nil"/>
              <w:bottom w:val="dashed" w:sz="4" w:space="0" w:color="auto"/>
              <w:right w:val="dashed" w:sz="4" w:space="0" w:color="auto"/>
            </w:tcBorders>
            <w:shd w:val="clear" w:color="auto" w:fill="auto"/>
            <w:noWrap/>
            <w:vAlign w:val="center"/>
            <w:hideMark/>
          </w:tcPr>
          <w:p w14:paraId="2E69AC0D" w14:textId="77777777" w:rsidR="00247CBF" w:rsidRPr="00092ED7" w:rsidRDefault="00247CBF" w:rsidP="00247CBF">
            <w:pPr>
              <w:spacing w:after="0"/>
              <w:jc w:val="right"/>
              <w:rPr>
                <w:sz w:val="20"/>
                <w:szCs w:val="20"/>
                <w:lang w:val="sr-Cyrl-CS"/>
              </w:rPr>
            </w:pPr>
            <w:r w:rsidRPr="00092ED7">
              <w:rPr>
                <w:sz w:val="20"/>
                <w:szCs w:val="20"/>
                <w:lang w:val="sr-Cyrl-CS"/>
              </w:rPr>
              <w:t>3.654,5</w:t>
            </w:r>
          </w:p>
        </w:tc>
        <w:tc>
          <w:tcPr>
            <w:tcW w:w="1360" w:type="dxa"/>
            <w:gridSpan w:val="4"/>
            <w:tcBorders>
              <w:top w:val="nil"/>
              <w:left w:val="nil"/>
              <w:bottom w:val="dashed" w:sz="4" w:space="0" w:color="auto"/>
              <w:right w:val="dashed" w:sz="4" w:space="0" w:color="auto"/>
            </w:tcBorders>
            <w:shd w:val="clear" w:color="auto" w:fill="auto"/>
            <w:noWrap/>
            <w:vAlign w:val="center"/>
            <w:hideMark/>
          </w:tcPr>
          <w:p w14:paraId="26FA3814" w14:textId="77777777" w:rsidR="00247CBF" w:rsidRPr="00092ED7" w:rsidRDefault="00247CBF" w:rsidP="00247CBF">
            <w:pPr>
              <w:spacing w:after="0"/>
              <w:jc w:val="right"/>
              <w:rPr>
                <w:sz w:val="20"/>
                <w:szCs w:val="20"/>
                <w:lang w:val="sr-Cyrl-CS"/>
              </w:rPr>
            </w:pPr>
            <w:r w:rsidRPr="00092ED7">
              <w:rPr>
                <w:sz w:val="20"/>
                <w:szCs w:val="20"/>
                <w:lang w:val="sr-Cyrl-CS"/>
              </w:rPr>
              <w:t>3.797,0</w:t>
            </w:r>
          </w:p>
        </w:tc>
        <w:tc>
          <w:tcPr>
            <w:tcW w:w="1260" w:type="dxa"/>
            <w:gridSpan w:val="4"/>
            <w:tcBorders>
              <w:top w:val="nil"/>
              <w:left w:val="nil"/>
              <w:bottom w:val="dashed" w:sz="4" w:space="0" w:color="auto"/>
              <w:right w:val="dashed" w:sz="4" w:space="0" w:color="auto"/>
            </w:tcBorders>
            <w:shd w:val="clear" w:color="auto" w:fill="auto"/>
            <w:noWrap/>
            <w:vAlign w:val="center"/>
            <w:hideMark/>
          </w:tcPr>
          <w:p w14:paraId="68462A6F" w14:textId="77777777" w:rsidR="00247CBF" w:rsidRPr="00092ED7" w:rsidRDefault="00247CBF" w:rsidP="00247CBF">
            <w:pPr>
              <w:spacing w:after="0"/>
              <w:jc w:val="right"/>
              <w:rPr>
                <w:sz w:val="20"/>
                <w:szCs w:val="20"/>
                <w:lang w:val="sr-Cyrl-CS"/>
              </w:rPr>
            </w:pPr>
            <w:r w:rsidRPr="00092ED7">
              <w:rPr>
                <w:sz w:val="20"/>
                <w:szCs w:val="20"/>
                <w:lang w:val="sr-Cyrl-CS"/>
              </w:rPr>
              <w:t>3.893,4</w:t>
            </w:r>
          </w:p>
        </w:tc>
        <w:tc>
          <w:tcPr>
            <w:tcW w:w="1260" w:type="dxa"/>
            <w:gridSpan w:val="3"/>
            <w:tcBorders>
              <w:top w:val="nil"/>
              <w:left w:val="nil"/>
              <w:bottom w:val="dashed" w:sz="4" w:space="0" w:color="auto"/>
              <w:right w:val="dashed" w:sz="4" w:space="0" w:color="auto"/>
            </w:tcBorders>
            <w:shd w:val="clear" w:color="auto" w:fill="auto"/>
            <w:noWrap/>
            <w:vAlign w:val="center"/>
            <w:hideMark/>
          </w:tcPr>
          <w:p w14:paraId="66D6D5FD" w14:textId="77777777" w:rsidR="00247CBF" w:rsidRPr="00092ED7" w:rsidRDefault="00247CBF" w:rsidP="00247CBF">
            <w:pPr>
              <w:spacing w:after="0"/>
              <w:jc w:val="right"/>
              <w:rPr>
                <w:sz w:val="20"/>
                <w:szCs w:val="20"/>
                <w:lang w:val="sr-Cyrl-CS"/>
              </w:rPr>
            </w:pPr>
            <w:r w:rsidRPr="00092ED7">
              <w:rPr>
                <w:sz w:val="20"/>
                <w:szCs w:val="20"/>
                <w:lang w:val="sr-Cyrl-CS"/>
              </w:rPr>
              <w:t>4.006,4</w:t>
            </w:r>
          </w:p>
        </w:tc>
        <w:tc>
          <w:tcPr>
            <w:tcW w:w="1268" w:type="dxa"/>
            <w:gridSpan w:val="3"/>
            <w:tcBorders>
              <w:top w:val="nil"/>
              <w:left w:val="nil"/>
              <w:bottom w:val="dashed" w:sz="4" w:space="0" w:color="auto"/>
              <w:right w:val="double" w:sz="4" w:space="0" w:color="auto"/>
            </w:tcBorders>
            <w:shd w:val="clear" w:color="auto" w:fill="auto"/>
            <w:noWrap/>
            <w:vAlign w:val="center"/>
            <w:hideMark/>
          </w:tcPr>
          <w:p w14:paraId="5ADC39CD" w14:textId="77777777" w:rsidR="00247CBF" w:rsidRPr="00092ED7" w:rsidRDefault="00247CBF" w:rsidP="00247CBF">
            <w:pPr>
              <w:spacing w:after="0"/>
              <w:jc w:val="right"/>
              <w:rPr>
                <w:sz w:val="20"/>
                <w:szCs w:val="20"/>
                <w:lang w:val="sr-Cyrl-CS"/>
              </w:rPr>
            </w:pPr>
            <w:r w:rsidRPr="00092ED7">
              <w:rPr>
                <w:sz w:val="20"/>
                <w:szCs w:val="20"/>
                <w:lang w:val="sr-Cyrl-CS"/>
              </w:rPr>
              <w:t>4.150,6</w:t>
            </w:r>
          </w:p>
        </w:tc>
      </w:tr>
      <w:tr w:rsidR="00247CBF" w:rsidRPr="00092ED7" w14:paraId="240F9699" w14:textId="77777777" w:rsidTr="00247CBF">
        <w:trPr>
          <w:gridAfter w:val="3"/>
          <w:wAfter w:w="365" w:type="dxa"/>
          <w:trHeight w:val="255"/>
        </w:trPr>
        <w:tc>
          <w:tcPr>
            <w:tcW w:w="4962" w:type="dxa"/>
            <w:gridSpan w:val="3"/>
            <w:tcBorders>
              <w:top w:val="nil"/>
              <w:left w:val="double" w:sz="6" w:space="0" w:color="auto"/>
              <w:bottom w:val="dashed" w:sz="4" w:space="0" w:color="auto"/>
              <w:right w:val="nil"/>
            </w:tcBorders>
            <w:shd w:val="clear" w:color="auto" w:fill="auto"/>
            <w:noWrap/>
            <w:vAlign w:val="bottom"/>
            <w:hideMark/>
          </w:tcPr>
          <w:p w14:paraId="6A5962E6"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Државна потрошња</w:t>
            </w:r>
          </w:p>
        </w:tc>
        <w:tc>
          <w:tcPr>
            <w:tcW w:w="1447" w:type="dxa"/>
            <w:gridSpan w:val="3"/>
            <w:tcBorders>
              <w:top w:val="nil"/>
              <w:left w:val="single" w:sz="8" w:space="0" w:color="auto"/>
              <w:bottom w:val="dashed" w:sz="4" w:space="0" w:color="auto"/>
              <w:right w:val="single" w:sz="8" w:space="0" w:color="auto"/>
            </w:tcBorders>
            <w:shd w:val="clear" w:color="auto" w:fill="auto"/>
            <w:noWrap/>
            <w:vAlign w:val="bottom"/>
            <w:hideMark/>
          </w:tcPr>
          <w:p w14:paraId="0233FC55" w14:textId="77777777" w:rsidR="00247CBF" w:rsidRPr="00092ED7" w:rsidRDefault="00247CBF" w:rsidP="00247CBF">
            <w:pPr>
              <w:spacing w:after="0"/>
              <w:jc w:val="center"/>
              <w:rPr>
                <w:sz w:val="20"/>
                <w:szCs w:val="20"/>
                <w:lang w:val="sr-Cyrl-CS"/>
              </w:rPr>
            </w:pPr>
            <w:r w:rsidRPr="00092ED7">
              <w:rPr>
                <w:sz w:val="20"/>
                <w:szCs w:val="20"/>
                <w:lang w:val="sr-Cyrl-CS"/>
              </w:rPr>
              <w:t>P3</w:t>
            </w:r>
          </w:p>
        </w:tc>
        <w:tc>
          <w:tcPr>
            <w:tcW w:w="1380" w:type="dxa"/>
            <w:gridSpan w:val="3"/>
            <w:tcBorders>
              <w:top w:val="nil"/>
              <w:left w:val="nil"/>
              <w:bottom w:val="dashed" w:sz="4" w:space="0" w:color="auto"/>
              <w:right w:val="dashed" w:sz="4" w:space="0" w:color="auto"/>
            </w:tcBorders>
            <w:shd w:val="clear" w:color="auto" w:fill="auto"/>
            <w:noWrap/>
            <w:vAlign w:val="center"/>
            <w:hideMark/>
          </w:tcPr>
          <w:p w14:paraId="1F63F623" w14:textId="77777777" w:rsidR="00247CBF" w:rsidRPr="00092ED7" w:rsidRDefault="00247CBF" w:rsidP="00247CBF">
            <w:pPr>
              <w:spacing w:after="0"/>
              <w:jc w:val="right"/>
              <w:rPr>
                <w:sz w:val="20"/>
                <w:szCs w:val="20"/>
                <w:lang w:val="sr-Cyrl-CS"/>
              </w:rPr>
            </w:pPr>
            <w:r w:rsidRPr="00092ED7">
              <w:rPr>
                <w:sz w:val="20"/>
                <w:szCs w:val="20"/>
                <w:lang w:val="sr-Cyrl-CS"/>
              </w:rPr>
              <w:t>792,7</w:t>
            </w:r>
          </w:p>
        </w:tc>
        <w:tc>
          <w:tcPr>
            <w:tcW w:w="1300" w:type="dxa"/>
            <w:gridSpan w:val="4"/>
            <w:tcBorders>
              <w:top w:val="nil"/>
              <w:left w:val="nil"/>
              <w:bottom w:val="dashed" w:sz="4" w:space="0" w:color="auto"/>
              <w:right w:val="dashed" w:sz="4" w:space="0" w:color="auto"/>
            </w:tcBorders>
            <w:shd w:val="clear" w:color="auto" w:fill="auto"/>
            <w:noWrap/>
            <w:vAlign w:val="center"/>
            <w:hideMark/>
          </w:tcPr>
          <w:p w14:paraId="58E66B77" w14:textId="77777777" w:rsidR="00247CBF" w:rsidRPr="00092ED7" w:rsidRDefault="00247CBF" w:rsidP="00247CBF">
            <w:pPr>
              <w:spacing w:after="0"/>
              <w:jc w:val="right"/>
              <w:rPr>
                <w:sz w:val="20"/>
                <w:szCs w:val="20"/>
                <w:lang w:val="sr-Cyrl-CS"/>
              </w:rPr>
            </w:pPr>
            <w:r w:rsidRPr="00092ED7">
              <w:rPr>
                <w:sz w:val="20"/>
                <w:szCs w:val="20"/>
                <w:lang w:val="sr-Cyrl-CS"/>
              </w:rPr>
              <w:t>825,5</w:t>
            </w:r>
          </w:p>
        </w:tc>
        <w:tc>
          <w:tcPr>
            <w:tcW w:w="1360" w:type="dxa"/>
            <w:gridSpan w:val="4"/>
            <w:tcBorders>
              <w:top w:val="nil"/>
              <w:left w:val="nil"/>
              <w:bottom w:val="dashed" w:sz="4" w:space="0" w:color="auto"/>
              <w:right w:val="dashed" w:sz="4" w:space="0" w:color="auto"/>
            </w:tcBorders>
            <w:shd w:val="clear" w:color="auto" w:fill="auto"/>
            <w:noWrap/>
            <w:vAlign w:val="center"/>
            <w:hideMark/>
          </w:tcPr>
          <w:p w14:paraId="1AB5A167" w14:textId="77777777" w:rsidR="00247CBF" w:rsidRPr="00092ED7" w:rsidRDefault="00247CBF" w:rsidP="00247CBF">
            <w:pPr>
              <w:spacing w:after="0"/>
              <w:jc w:val="right"/>
              <w:rPr>
                <w:sz w:val="20"/>
                <w:szCs w:val="20"/>
                <w:lang w:val="sr-Cyrl-CS"/>
              </w:rPr>
            </w:pPr>
            <w:r w:rsidRPr="00092ED7">
              <w:rPr>
                <w:sz w:val="20"/>
                <w:szCs w:val="20"/>
                <w:lang w:val="sr-Cyrl-CS"/>
              </w:rPr>
              <w:t>828,9</w:t>
            </w:r>
          </w:p>
        </w:tc>
        <w:tc>
          <w:tcPr>
            <w:tcW w:w="1260" w:type="dxa"/>
            <w:gridSpan w:val="4"/>
            <w:tcBorders>
              <w:top w:val="nil"/>
              <w:left w:val="nil"/>
              <w:bottom w:val="dashed" w:sz="4" w:space="0" w:color="auto"/>
              <w:right w:val="dashed" w:sz="4" w:space="0" w:color="auto"/>
            </w:tcBorders>
            <w:shd w:val="clear" w:color="auto" w:fill="auto"/>
            <w:noWrap/>
            <w:vAlign w:val="center"/>
            <w:hideMark/>
          </w:tcPr>
          <w:p w14:paraId="44FDB8D8" w14:textId="77777777" w:rsidR="00247CBF" w:rsidRPr="00092ED7" w:rsidRDefault="00247CBF" w:rsidP="00247CBF">
            <w:pPr>
              <w:spacing w:after="0"/>
              <w:jc w:val="right"/>
              <w:rPr>
                <w:sz w:val="20"/>
                <w:szCs w:val="20"/>
                <w:lang w:val="sr-Cyrl-CS"/>
              </w:rPr>
            </w:pPr>
            <w:r w:rsidRPr="00092ED7">
              <w:rPr>
                <w:sz w:val="20"/>
                <w:szCs w:val="20"/>
                <w:lang w:val="sr-Cyrl-CS"/>
              </w:rPr>
              <w:t>812,6</w:t>
            </w:r>
          </w:p>
        </w:tc>
        <w:tc>
          <w:tcPr>
            <w:tcW w:w="1260" w:type="dxa"/>
            <w:gridSpan w:val="3"/>
            <w:tcBorders>
              <w:top w:val="nil"/>
              <w:left w:val="nil"/>
              <w:bottom w:val="dashed" w:sz="4" w:space="0" w:color="auto"/>
              <w:right w:val="dashed" w:sz="4" w:space="0" w:color="auto"/>
            </w:tcBorders>
            <w:shd w:val="clear" w:color="auto" w:fill="auto"/>
            <w:noWrap/>
            <w:vAlign w:val="center"/>
            <w:hideMark/>
          </w:tcPr>
          <w:p w14:paraId="54A91ACC" w14:textId="77777777" w:rsidR="00247CBF" w:rsidRPr="00092ED7" w:rsidRDefault="00247CBF" w:rsidP="00247CBF">
            <w:pPr>
              <w:spacing w:after="0"/>
              <w:jc w:val="right"/>
              <w:rPr>
                <w:sz w:val="20"/>
                <w:szCs w:val="20"/>
                <w:lang w:val="sr-Cyrl-CS"/>
              </w:rPr>
            </w:pPr>
            <w:r w:rsidRPr="00092ED7">
              <w:rPr>
                <w:sz w:val="20"/>
                <w:szCs w:val="20"/>
                <w:lang w:val="sr-Cyrl-CS"/>
              </w:rPr>
              <w:t>819,4</w:t>
            </w:r>
          </w:p>
        </w:tc>
        <w:tc>
          <w:tcPr>
            <w:tcW w:w="1268" w:type="dxa"/>
            <w:gridSpan w:val="3"/>
            <w:tcBorders>
              <w:top w:val="nil"/>
              <w:left w:val="nil"/>
              <w:bottom w:val="dashed" w:sz="4" w:space="0" w:color="auto"/>
              <w:right w:val="double" w:sz="4" w:space="0" w:color="auto"/>
            </w:tcBorders>
            <w:shd w:val="clear" w:color="auto" w:fill="auto"/>
            <w:noWrap/>
            <w:vAlign w:val="center"/>
            <w:hideMark/>
          </w:tcPr>
          <w:p w14:paraId="7675E643" w14:textId="77777777" w:rsidR="00247CBF" w:rsidRPr="00092ED7" w:rsidRDefault="00247CBF" w:rsidP="00247CBF">
            <w:pPr>
              <w:spacing w:after="0"/>
              <w:jc w:val="right"/>
              <w:rPr>
                <w:sz w:val="20"/>
                <w:szCs w:val="20"/>
                <w:lang w:val="sr-Cyrl-CS"/>
              </w:rPr>
            </w:pPr>
            <w:r w:rsidRPr="00092ED7">
              <w:rPr>
                <w:sz w:val="20"/>
                <w:szCs w:val="20"/>
                <w:lang w:val="sr-Cyrl-CS"/>
              </w:rPr>
              <w:t>826,0</w:t>
            </w:r>
          </w:p>
        </w:tc>
      </w:tr>
      <w:tr w:rsidR="00247CBF" w:rsidRPr="00092ED7" w14:paraId="31F7BCE4" w14:textId="77777777" w:rsidTr="00247CBF">
        <w:trPr>
          <w:gridAfter w:val="3"/>
          <w:wAfter w:w="365" w:type="dxa"/>
          <w:trHeight w:val="255"/>
        </w:trPr>
        <w:tc>
          <w:tcPr>
            <w:tcW w:w="4962" w:type="dxa"/>
            <w:gridSpan w:val="3"/>
            <w:tcBorders>
              <w:top w:val="nil"/>
              <w:left w:val="double" w:sz="6" w:space="0" w:color="auto"/>
              <w:bottom w:val="dashed" w:sz="4" w:space="0" w:color="auto"/>
              <w:right w:val="nil"/>
            </w:tcBorders>
            <w:shd w:val="clear" w:color="auto" w:fill="auto"/>
            <w:noWrap/>
            <w:vAlign w:val="bottom"/>
            <w:hideMark/>
          </w:tcPr>
          <w:p w14:paraId="0511219C"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Бруто инвестиције у основна средства</w:t>
            </w:r>
          </w:p>
        </w:tc>
        <w:tc>
          <w:tcPr>
            <w:tcW w:w="1447" w:type="dxa"/>
            <w:gridSpan w:val="3"/>
            <w:tcBorders>
              <w:top w:val="nil"/>
              <w:left w:val="single" w:sz="8" w:space="0" w:color="auto"/>
              <w:bottom w:val="dashed" w:sz="4" w:space="0" w:color="auto"/>
              <w:right w:val="single" w:sz="8" w:space="0" w:color="auto"/>
            </w:tcBorders>
            <w:shd w:val="clear" w:color="auto" w:fill="auto"/>
            <w:noWrap/>
            <w:vAlign w:val="bottom"/>
            <w:hideMark/>
          </w:tcPr>
          <w:p w14:paraId="7D430FB8" w14:textId="77777777" w:rsidR="00247CBF" w:rsidRPr="00092ED7" w:rsidRDefault="00247CBF" w:rsidP="00247CBF">
            <w:pPr>
              <w:spacing w:after="0"/>
              <w:jc w:val="center"/>
              <w:rPr>
                <w:sz w:val="20"/>
                <w:szCs w:val="20"/>
                <w:lang w:val="sr-Cyrl-CS"/>
              </w:rPr>
            </w:pPr>
            <w:r w:rsidRPr="00092ED7">
              <w:rPr>
                <w:sz w:val="20"/>
                <w:szCs w:val="20"/>
                <w:lang w:val="sr-Cyrl-CS"/>
              </w:rPr>
              <w:t>P51</w:t>
            </w:r>
          </w:p>
        </w:tc>
        <w:tc>
          <w:tcPr>
            <w:tcW w:w="1380" w:type="dxa"/>
            <w:gridSpan w:val="3"/>
            <w:tcBorders>
              <w:top w:val="nil"/>
              <w:left w:val="nil"/>
              <w:bottom w:val="dashed" w:sz="4" w:space="0" w:color="auto"/>
              <w:right w:val="dashed" w:sz="4" w:space="0" w:color="auto"/>
            </w:tcBorders>
            <w:shd w:val="clear" w:color="auto" w:fill="auto"/>
            <w:noWrap/>
            <w:vAlign w:val="center"/>
            <w:hideMark/>
          </w:tcPr>
          <w:p w14:paraId="10BF12F0" w14:textId="77777777" w:rsidR="00247CBF" w:rsidRPr="00092ED7" w:rsidRDefault="00247CBF" w:rsidP="00247CBF">
            <w:pPr>
              <w:spacing w:after="0"/>
              <w:jc w:val="right"/>
              <w:rPr>
                <w:sz w:val="20"/>
                <w:szCs w:val="20"/>
                <w:lang w:val="sr-Cyrl-CS"/>
              </w:rPr>
            </w:pPr>
            <w:r w:rsidRPr="00092ED7">
              <w:rPr>
                <w:sz w:val="20"/>
                <w:szCs w:val="20"/>
                <w:lang w:val="sr-Cyrl-CS"/>
              </w:rPr>
              <w:t>1.109,0</w:t>
            </w:r>
          </w:p>
        </w:tc>
        <w:tc>
          <w:tcPr>
            <w:tcW w:w="1300" w:type="dxa"/>
            <w:gridSpan w:val="4"/>
            <w:tcBorders>
              <w:top w:val="nil"/>
              <w:left w:val="nil"/>
              <w:bottom w:val="dashed" w:sz="4" w:space="0" w:color="auto"/>
              <w:right w:val="dashed" w:sz="4" w:space="0" w:color="auto"/>
            </w:tcBorders>
            <w:shd w:val="clear" w:color="auto" w:fill="auto"/>
            <w:noWrap/>
            <w:vAlign w:val="center"/>
            <w:hideMark/>
          </w:tcPr>
          <w:p w14:paraId="0D4635DE" w14:textId="77777777" w:rsidR="00247CBF" w:rsidRPr="00092ED7" w:rsidRDefault="00247CBF" w:rsidP="00247CBF">
            <w:pPr>
              <w:spacing w:after="0"/>
              <w:jc w:val="right"/>
              <w:rPr>
                <w:sz w:val="20"/>
                <w:szCs w:val="20"/>
                <w:lang w:val="sr-Cyrl-CS"/>
              </w:rPr>
            </w:pPr>
            <w:r w:rsidRPr="00092ED7">
              <w:rPr>
                <w:sz w:val="20"/>
                <w:szCs w:val="20"/>
                <w:lang w:val="sr-Cyrl-CS"/>
              </w:rPr>
              <w:t>1.285,0</w:t>
            </w:r>
          </w:p>
        </w:tc>
        <w:tc>
          <w:tcPr>
            <w:tcW w:w="1360" w:type="dxa"/>
            <w:gridSpan w:val="4"/>
            <w:tcBorders>
              <w:top w:val="nil"/>
              <w:left w:val="nil"/>
              <w:bottom w:val="dashed" w:sz="4" w:space="0" w:color="auto"/>
              <w:right w:val="dashed" w:sz="4" w:space="0" w:color="auto"/>
            </w:tcBorders>
            <w:shd w:val="clear" w:color="auto" w:fill="auto"/>
            <w:noWrap/>
            <w:vAlign w:val="center"/>
            <w:hideMark/>
          </w:tcPr>
          <w:p w14:paraId="598D2D5C" w14:textId="77777777" w:rsidR="00247CBF" w:rsidRPr="00092ED7" w:rsidRDefault="00247CBF" w:rsidP="00247CBF">
            <w:pPr>
              <w:spacing w:after="0"/>
              <w:jc w:val="right"/>
              <w:rPr>
                <w:sz w:val="20"/>
                <w:szCs w:val="20"/>
                <w:lang w:val="sr-Cyrl-CS"/>
              </w:rPr>
            </w:pPr>
            <w:r w:rsidRPr="00092ED7">
              <w:rPr>
                <w:sz w:val="20"/>
                <w:szCs w:val="20"/>
                <w:lang w:val="sr-Cyrl-CS"/>
              </w:rPr>
              <w:t>1.285,0</w:t>
            </w:r>
          </w:p>
        </w:tc>
        <w:tc>
          <w:tcPr>
            <w:tcW w:w="1260" w:type="dxa"/>
            <w:gridSpan w:val="4"/>
            <w:tcBorders>
              <w:top w:val="nil"/>
              <w:left w:val="nil"/>
              <w:bottom w:val="dashed" w:sz="4" w:space="0" w:color="auto"/>
              <w:right w:val="dashed" w:sz="4" w:space="0" w:color="auto"/>
            </w:tcBorders>
            <w:shd w:val="clear" w:color="auto" w:fill="auto"/>
            <w:noWrap/>
            <w:vAlign w:val="center"/>
            <w:hideMark/>
          </w:tcPr>
          <w:p w14:paraId="1812069B" w14:textId="77777777" w:rsidR="00247CBF" w:rsidRPr="00092ED7" w:rsidRDefault="00247CBF" w:rsidP="00247CBF">
            <w:pPr>
              <w:spacing w:after="0"/>
              <w:jc w:val="right"/>
              <w:rPr>
                <w:sz w:val="20"/>
                <w:szCs w:val="20"/>
                <w:lang w:val="sr-Cyrl-CS"/>
              </w:rPr>
            </w:pPr>
            <w:r w:rsidRPr="00092ED7">
              <w:rPr>
                <w:sz w:val="20"/>
                <w:szCs w:val="20"/>
                <w:lang w:val="sr-Cyrl-CS"/>
              </w:rPr>
              <w:t>1.315,9</w:t>
            </w:r>
          </w:p>
        </w:tc>
        <w:tc>
          <w:tcPr>
            <w:tcW w:w="1260" w:type="dxa"/>
            <w:gridSpan w:val="3"/>
            <w:tcBorders>
              <w:top w:val="nil"/>
              <w:left w:val="nil"/>
              <w:bottom w:val="dashed" w:sz="4" w:space="0" w:color="auto"/>
              <w:right w:val="dashed" w:sz="4" w:space="0" w:color="auto"/>
            </w:tcBorders>
            <w:shd w:val="clear" w:color="auto" w:fill="auto"/>
            <w:noWrap/>
            <w:vAlign w:val="center"/>
            <w:hideMark/>
          </w:tcPr>
          <w:p w14:paraId="0694162B" w14:textId="77777777" w:rsidR="00247CBF" w:rsidRPr="00092ED7" w:rsidRDefault="00247CBF" w:rsidP="00247CBF">
            <w:pPr>
              <w:spacing w:after="0"/>
              <w:jc w:val="right"/>
              <w:rPr>
                <w:sz w:val="20"/>
                <w:szCs w:val="20"/>
                <w:lang w:val="sr-Cyrl-CS"/>
              </w:rPr>
            </w:pPr>
            <w:r w:rsidRPr="00092ED7">
              <w:rPr>
                <w:sz w:val="20"/>
                <w:szCs w:val="20"/>
                <w:lang w:val="sr-Cyrl-CS"/>
              </w:rPr>
              <w:t>1.384,8</w:t>
            </w:r>
          </w:p>
        </w:tc>
        <w:tc>
          <w:tcPr>
            <w:tcW w:w="1268" w:type="dxa"/>
            <w:gridSpan w:val="3"/>
            <w:tcBorders>
              <w:top w:val="nil"/>
              <w:left w:val="nil"/>
              <w:bottom w:val="dashed" w:sz="4" w:space="0" w:color="auto"/>
              <w:right w:val="double" w:sz="4" w:space="0" w:color="auto"/>
            </w:tcBorders>
            <w:shd w:val="clear" w:color="auto" w:fill="auto"/>
            <w:noWrap/>
            <w:vAlign w:val="center"/>
            <w:hideMark/>
          </w:tcPr>
          <w:p w14:paraId="7A232963" w14:textId="77777777" w:rsidR="00247CBF" w:rsidRPr="00092ED7" w:rsidRDefault="00247CBF" w:rsidP="00247CBF">
            <w:pPr>
              <w:spacing w:after="0"/>
              <w:jc w:val="right"/>
              <w:rPr>
                <w:sz w:val="20"/>
                <w:szCs w:val="20"/>
                <w:lang w:val="sr-Cyrl-CS"/>
              </w:rPr>
            </w:pPr>
            <w:r w:rsidRPr="00092ED7">
              <w:rPr>
                <w:sz w:val="20"/>
                <w:szCs w:val="20"/>
                <w:lang w:val="sr-Cyrl-CS"/>
              </w:rPr>
              <w:t>1.465,1</w:t>
            </w:r>
          </w:p>
        </w:tc>
      </w:tr>
      <w:tr w:rsidR="00247CBF" w:rsidRPr="00092ED7" w14:paraId="12CB4B13" w14:textId="77777777" w:rsidTr="00247CBF">
        <w:trPr>
          <w:gridAfter w:val="3"/>
          <w:wAfter w:w="365" w:type="dxa"/>
          <w:trHeight w:val="255"/>
        </w:trPr>
        <w:tc>
          <w:tcPr>
            <w:tcW w:w="4962" w:type="dxa"/>
            <w:gridSpan w:val="3"/>
            <w:tcBorders>
              <w:top w:val="nil"/>
              <w:left w:val="double" w:sz="6" w:space="0" w:color="auto"/>
              <w:bottom w:val="dashed" w:sz="4" w:space="0" w:color="auto"/>
              <w:right w:val="nil"/>
            </w:tcBorders>
            <w:shd w:val="clear" w:color="auto" w:fill="auto"/>
            <w:noWrap/>
            <w:vAlign w:val="bottom"/>
            <w:hideMark/>
          </w:tcPr>
          <w:p w14:paraId="08164F79"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Домаћа тражња</w:t>
            </w:r>
          </w:p>
        </w:tc>
        <w:tc>
          <w:tcPr>
            <w:tcW w:w="1447" w:type="dxa"/>
            <w:gridSpan w:val="3"/>
            <w:tcBorders>
              <w:top w:val="nil"/>
              <w:left w:val="single" w:sz="8" w:space="0" w:color="auto"/>
              <w:bottom w:val="dashed" w:sz="4" w:space="0" w:color="auto"/>
              <w:right w:val="single" w:sz="8" w:space="0" w:color="auto"/>
            </w:tcBorders>
            <w:shd w:val="clear" w:color="auto" w:fill="auto"/>
            <w:noWrap/>
            <w:vAlign w:val="bottom"/>
            <w:hideMark/>
          </w:tcPr>
          <w:p w14:paraId="5AF383DC" w14:textId="77777777" w:rsidR="00247CBF" w:rsidRPr="00092ED7" w:rsidRDefault="00247CBF" w:rsidP="00247CBF">
            <w:pPr>
              <w:spacing w:after="0"/>
              <w:jc w:val="center"/>
              <w:rPr>
                <w:sz w:val="20"/>
                <w:szCs w:val="20"/>
                <w:lang w:val="sr-Cyrl-CS"/>
              </w:rPr>
            </w:pPr>
            <w:r w:rsidRPr="00092ED7">
              <w:rPr>
                <w:sz w:val="20"/>
                <w:szCs w:val="20"/>
                <w:lang w:val="sr-Cyrl-CS"/>
              </w:rPr>
              <w:t> </w:t>
            </w:r>
          </w:p>
        </w:tc>
        <w:tc>
          <w:tcPr>
            <w:tcW w:w="1380" w:type="dxa"/>
            <w:gridSpan w:val="3"/>
            <w:tcBorders>
              <w:top w:val="nil"/>
              <w:left w:val="nil"/>
              <w:bottom w:val="dashed" w:sz="4" w:space="0" w:color="auto"/>
              <w:right w:val="dashed" w:sz="4" w:space="0" w:color="auto"/>
            </w:tcBorders>
            <w:shd w:val="clear" w:color="auto" w:fill="auto"/>
            <w:noWrap/>
            <w:vAlign w:val="center"/>
            <w:hideMark/>
          </w:tcPr>
          <w:p w14:paraId="4B1683E2" w14:textId="77777777" w:rsidR="00247CBF" w:rsidRPr="00092ED7" w:rsidRDefault="00247CBF" w:rsidP="00247CBF">
            <w:pPr>
              <w:spacing w:after="0"/>
              <w:jc w:val="right"/>
              <w:rPr>
                <w:sz w:val="20"/>
                <w:szCs w:val="20"/>
                <w:lang w:val="sr-Cyrl-CS"/>
              </w:rPr>
            </w:pPr>
            <w:r w:rsidRPr="00092ED7">
              <w:rPr>
                <w:sz w:val="20"/>
                <w:szCs w:val="20"/>
                <w:lang w:val="sr-Cyrl-CS"/>
              </w:rPr>
              <w:t>5.293,2</w:t>
            </w:r>
          </w:p>
        </w:tc>
        <w:tc>
          <w:tcPr>
            <w:tcW w:w="1300" w:type="dxa"/>
            <w:gridSpan w:val="4"/>
            <w:tcBorders>
              <w:top w:val="nil"/>
              <w:left w:val="nil"/>
              <w:bottom w:val="dashed" w:sz="4" w:space="0" w:color="auto"/>
              <w:right w:val="dashed" w:sz="4" w:space="0" w:color="auto"/>
            </w:tcBorders>
            <w:shd w:val="clear" w:color="auto" w:fill="auto"/>
            <w:noWrap/>
            <w:vAlign w:val="center"/>
            <w:hideMark/>
          </w:tcPr>
          <w:p w14:paraId="39CE63B2" w14:textId="77777777" w:rsidR="00247CBF" w:rsidRPr="00092ED7" w:rsidRDefault="00247CBF" w:rsidP="00247CBF">
            <w:pPr>
              <w:spacing w:after="0"/>
              <w:jc w:val="right"/>
              <w:rPr>
                <w:sz w:val="20"/>
                <w:szCs w:val="20"/>
                <w:lang w:val="sr-Cyrl-CS"/>
              </w:rPr>
            </w:pPr>
            <w:r w:rsidRPr="00092ED7">
              <w:rPr>
                <w:sz w:val="20"/>
                <w:szCs w:val="20"/>
                <w:lang w:val="sr-Cyrl-CS"/>
              </w:rPr>
              <w:t>5.765,0</w:t>
            </w:r>
          </w:p>
        </w:tc>
        <w:tc>
          <w:tcPr>
            <w:tcW w:w="1360" w:type="dxa"/>
            <w:gridSpan w:val="4"/>
            <w:tcBorders>
              <w:top w:val="nil"/>
              <w:left w:val="nil"/>
              <w:bottom w:val="dashed" w:sz="4" w:space="0" w:color="auto"/>
              <w:right w:val="dashed" w:sz="4" w:space="0" w:color="auto"/>
            </w:tcBorders>
            <w:shd w:val="clear" w:color="auto" w:fill="auto"/>
            <w:noWrap/>
            <w:vAlign w:val="center"/>
            <w:hideMark/>
          </w:tcPr>
          <w:p w14:paraId="3DD38166" w14:textId="77777777" w:rsidR="00247CBF" w:rsidRPr="00092ED7" w:rsidRDefault="00247CBF" w:rsidP="00247CBF">
            <w:pPr>
              <w:spacing w:after="0"/>
              <w:jc w:val="right"/>
              <w:rPr>
                <w:sz w:val="20"/>
                <w:szCs w:val="20"/>
                <w:lang w:val="sr-Cyrl-CS"/>
              </w:rPr>
            </w:pPr>
            <w:r w:rsidRPr="00092ED7">
              <w:rPr>
                <w:sz w:val="20"/>
                <w:szCs w:val="20"/>
                <w:lang w:val="sr-Cyrl-CS"/>
              </w:rPr>
              <w:t>5.910,9</w:t>
            </w:r>
          </w:p>
        </w:tc>
        <w:tc>
          <w:tcPr>
            <w:tcW w:w="1260" w:type="dxa"/>
            <w:gridSpan w:val="4"/>
            <w:tcBorders>
              <w:top w:val="nil"/>
              <w:left w:val="nil"/>
              <w:bottom w:val="dashed" w:sz="4" w:space="0" w:color="auto"/>
              <w:right w:val="dashed" w:sz="4" w:space="0" w:color="auto"/>
            </w:tcBorders>
            <w:shd w:val="clear" w:color="auto" w:fill="auto"/>
            <w:noWrap/>
            <w:vAlign w:val="center"/>
            <w:hideMark/>
          </w:tcPr>
          <w:p w14:paraId="761808CF" w14:textId="77777777" w:rsidR="00247CBF" w:rsidRPr="00092ED7" w:rsidRDefault="00247CBF" w:rsidP="00247CBF">
            <w:pPr>
              <w:spacing w:after="0"/>
              <w:jc w:val="right"/>
              <w:rPr>
                <w:sz w:val="20"/>
                <w:szCs w:val="20"/>
                <w:lang w:val="sr-Cyrl-CS"/>
              </w:rPr>
            </w:pPr>
            <w:r w:rsidRPr="00092ED7">
              <w:rPr>
                <w:sz w:val="20"/>
                <w:szCs w:val="20"/>
                <w:lang w:val="sr-Cyrl-CS"/>
              </w:rPr>
              <w:t>6.021,9</w:t>
            </w:r>
          </w:p>
        </w:tc>
        <w:tc>
          <w:tcPr>
            <w:tcW w:w="1260" w:type="dxa"/>
            <w:gridSpan w:val="3"/>
            <w:tcBorders>
              <w:top w:val="nil"/>
              <w:left w:val="nil"/>
              <w:bottom w:val="dashed" w:sz="4" w:space="0" w:color="auto"/>
              <w:right w:val="dashed" w:sz="4" w:space="0" w:color="auto"/>
            </w:tcBorders>
            <w:shd w:val="clear" w:color="auto" w:fill="auto"/>
            <w:noWrap/>
            <w:vAlign w:val="center"/>
            <w:hideMark/>
          </w:tcPr>
          <w:p w14:paraId="1316D67A" w14:textId="77777777" w:rsidR="00247CBF" w:rsidRPr="00092ED7" w:rsidRDefault="00247CBF" w:rsidP="00247CBF">
            <w:pPr>
              <w:spacing w:after="0"/>
              <w:jc w:val="right"/>
              <w:rPr>
                <w:sz w:val="20"/>
                <w:szCs w:val="20"/>
                <w:lang w:val="sr-Cyrl-CS"/>
              </w:rPr>
            </w:pPr>
            <w:r w:rsidRPr="00092ED7">
              <w:rPr>
                <w:sz w:val="20"/>
                <w:szCs w:val="20"/>
                <w:lang w:val="sr-Cyrl-CS"/>
              </w:rPr>
              <w:t>6.210,6</w:t>
            </w:r>
          </w:p>
        </w:tc>
        <w:tc>
          <w:tcPr>
            <w:tcW w:w="1268" w:type="dxa"/>
            <w:gridSpan w:val="3"/>
            <w:tcBorders>
              <w:top w:val="nil"/>
              <w:left w:val="nil"/>
              <w:bottom w:val="dashed" w:sz="4" w:space="0" w:color="auto"/>
              <w:right w:val="double" w:sz="4" w:space="0" w:color="auto"/>
            </w:tcBorders>
            <w:shd w:val="clear" w:color="auto" w:fill="auto"/>
            <w:noWrap/>
            <w:vAlign w:val="center"/>
            <w:hideMark/>
          </w:tcPr>
          <w:p w14:paraId="6E2EC1BC" w14:textId="77777777" w:rsidR="00247CBF" w:rsidRPr="00092ED7" w:rsidRDefault="00247CBF" w:rsidP="00247CBF">
            <w:pPr>
              <w:spacing w:after="0"/>
              <w:jc w:val="right"/>
              <w:rPr>
                <w:sz w:val="20"/>
                <w:szCs w:val="20"/>
                <w:lang w:val="sr-Cyrl-CS"/>
              </w:rPr>
            </w:pPr>
            <w:r w:rsidRPr="00092ED7">
              <w:rPr>
                <w:sz w:val="20"/>
                <w:szCs w:val="20"/>
                <w:lang w:val="sr-Cyrl-CS"/>
              </w:rPr>
              <w:t>6.441,7</w:t>
            </w:r>
          </w:p>
        </w:tc>
      </w:tr>
      <w:tr w:rsidR="00247CBF" w:rsidRPr="00092ED7" w14:paraId="251CB1D0" w14:textId="77777777" w:rsidTr="00247CBF">
        <w:trPr>
          <w:gridAfter w:val="3"/>
          <w:wAfter w:w="365" w:type="dxa"/>
          <w:trHeight w:val="255"/>
        </w:trPr>
        <w:tc>
          <w:tcPr>
            <w:tcW w:w="4962" w:type="dxa"/>
            <w:gridSpan w:val="3"/>
            <w:tcBorders>
              <w:top w:val="nil"/>
              <w:left w:val="double" w:sz="6" w:space="0" w:color="auto"/>
              <w:bottom w:val="dashed" w:sz="4" w:space="0" w:color="auto"/>
              <w:right w:val="nil"/>
            </w:tcBorders>
            <w:shd w:val="clear" w:color="auto" w:fill="auto"/>
            <w:noWrap/>
            <w:vAlign w:val="bottom"/>
            <w:hideMark/>
          </w:tcPr>
          <w:p w14:paraId="1C0BE275"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6. Промене у залихама и нето набавка драгоцености</w:t>
            </w:r>
          </w:p>
        </w:tc>
        <w:tc>
          <w:tcPr>
            <w:tcW w:w="1447" w:type="dxa"/>
            <w:gridSpan w:val="3"/>
            <w:tcBorders>
              <w:top w:val="nil"/>
              <w:left w:val="single" w:sz="8" w:space="0" w:color="auto"/>
              <w:bottom w:val="dashed" w:sz="4" w:space="0" w:color="auto"/>
              <w:right w:val="single" w:sz="8" w:space="0" w:color="auto"/>
            </w:tcBorders>
            <w:shd w:val="clear" w:color="auto" w:fill="auto"/>
            <w:noWrap/>
            <w:vAlign w:val="bottom"/>
            <w:hideMark/>
          </w:tcPr>
          <w:p w14:paraId="0EFB7215" w14:textId="77777777" w:rsidR="00247CBF" w:rsidRPr="00092ED7" w:rsidRDefault="00247CBF" w:rsidP="00247CBF">
            <w:pPr>
              <w:spacing w:after="0"/>
              <w:jc w:val="center"/>
              <w:rPr>
                <w:sz w:val="20"/>
                <w:szCs w:val="20"/>
                <w:lang w:val="sr-Cyrl-CS"/>
              </w:rPr>
            </w:pPr>
            <w:r w:rsidRPr="00092ED7">
              <w:rPr>
                <w:sz w:val="20"/>
                <w:szCs w:val="20"/>
                <w:lang w:val="sr-Cyrl-CS"/>
              </w:rPr>
              <w:t>P52+P53</w:t>
            </w:r>
          </w:p>
        </w:tc>
        <w:tc>
          <w:tcPr>
            <w:tcW w:w="1380" w:type="dxa"/>
            <w:gridSpan w:val="3"/>
            <w:tcBorders>
              <w:top w:val="nil"/>
              <w:left w:val="nil"/>
              <w:bottom w:val="dashed" w:sz="4" w:space="0" w:color="auto"/>
              <w:right w:val="dashed" w:sz="4" w:space="0" w:color="auto"/>
            </w:tcBorders>
            <w:shd w:val="clear" w:color="auto" w:fill="auto"/>
            <w:noWrap/>
            <w:vAlign w:val="center"/>
            <w:hideMark/>
          </w:tcPr>
          <w:p w14:paraId="5F543F5B" w14:textId="77777777" w:rsidR="00247CBF" w:rsidRPr="00092ED7" w:rsidRDefault="00247CBF" w:rsidP="00247CBF">
            <w:pPr>
              <w:spacing w:after="0"/>
              <w:jc w:val="right"/>
              <w:rPr>
                <w:sz w:val="20"/>
                <w:szCs w:val="20"/>
                <w:lang w:val="sr-Cyrl-CS"/>
              </w:rPr>
            </w:pPr>
            <w:r w:rsidRPr="00092ED7">
              <w:rPr>
                <w:sz w:val="20"/>
                <w:szCs w:val="20"/>
                <w:lang w:val="sr-Cyrl-CS"/>
              </w:rPr>
              <w:t>171,5</w:t>
            </w:r>
          </w:p>
        </w:tc>
        <w:tc>
          <w:tcPr>
            <w:tcW w:w="1300" w:type="dxa"/>
            <w:gridSpan w:val="4"/>
            <w:tcBorders>
              <w:top w:val="nil"/>
              <w:left w:val="nil"/>
              <w:bottom w:val="dashed" w:sz="4" w:space="0" w:color="auto"/>
              <w:right w:val="dashed" w:sz="4" w:space="0" w:color="auto"/>
            </w:tcBorders>
            <w:shd w:val="clear" w:color="auto" w:fill="auto"/>
            <w:noWrap/>
            <w:vAlign w:val="center"/>
            <w:hideMark/>
          </w:tcPr>
          <w:p w14:paraId="3E0F7AF2" w14:textId="77777777" w:rsidR="00247CBF" w:rsidRPr="00092ED7" w:rsidRDefault="00247CBF" w:rsidP="00247CBF">
            <w:pPr>
              <w:spacing w:after="0"/>
              <w:jc w:val="right"/>
              <w:rPr>
                <w:sz w:val="20"/>
                <w:szCs w:val="20"/>
                <w:lang w:val="sr-Cyrl-CS"/>
              </w:rPr>
            </w:pPr>
            <w:r w:rsidRPr="00092ED7">
              <w:rPr>
                <w:sz w:val="20"/>
                <w:szCs w:val="20"/>
                <w:lang w:val="sr-Cyrl-CS"/>
              </w:rPr>
              <w:t>119,5</w:t>
            </w:r>
          </w:p>
        </w:tc>
        <w:tc>
          <w:tcPr>
            <w:tcW w:w="1360" w:type="dxa"/>
            <w:gridSpan w:val="4"/>
            <w:tcBorders>
              <w:top w:val="nil"/>
              <w:left w:val="nil"/>
              <w:bottom w:val="dashed" w:sz="4" w:space="0" w:color="auto"/>
              <w:right w:val="dashed" w:sz="4" w:space="0" w:color="auto"/>
            </w:tcBorders>
            <w:shd w:val="clear" w:color="auto" w:fill="auto"/>
            <w:noWrap/>
            <w:vAlign w:val="center"/>
            <w:hideMark/>
          </w:tcPr>
          <w:p w14:paraId="72EC7D89" w14:textId="77777777" w:rsidR="00247CBF" w:rsidRPr="00092ED7" w:rsidRDefault="00247CBF" w:rsidP="00247CBF">
            <w:pPr>
              <w:spacing w:after="0"/>
              <w:jc w:val="right"/>
              <w:rPr>
                <w:sz w:val="20"/>
                <w:szCs w:val="20"/>
                <w:lang w:val="sr-Cyrl-CS"/>
              </w:rPr>
            </w:pPr>
            <w:r w:rsidRPr="00092ED7">
              <w:rPr>
                <w:sz w:val="20"/>
                <w:szCs w:val="20"/>
                <w:lang w:val="sr-Cyrl-CS"/>
              </w:rPr>
              <w:t>198,5</w:t>
            </w:r>
          </w:p>
        </w:tc>
        <w:tc>
          <w:tcPr>
            <w:tcW w:w="1260" w:type="dxa"/>
            <w:gridSpan w:val="4"/>
            <w:tcBorders>
              <w:top w:val="nil"/>
              <w:left w:val="nil"/>
              <w:bottom w:val="dashed" w:sz="4" w:space="0" w:color="auto"/>
              <w:right w:val="dashed" w:sz="4" w:space="0" w:color="auto"/>
            </w:tcBorders>
            <w:shd w:val="clear" w:color="auto" w:fill="auto"/>
            <w:noWrap/>
            <w:vAlign w:val="center"/>
            <w:hideMark/>
          </w:tcPr>
          <w:p w14:paraId="7598F8FC" w14:textId="77777777" w:rsidR="00247CBF" w:rsidRPr="00092ED7" w:rsidRDefault="00247CBF" w:rsidP="00247CBF">
            <w:pPr>
              <w:spacing w:after="0"/>
              <w:jc w:val="right"/>
              <w:rPr>
                <w:sz w:val="20"/>
                <w:szCs w:val="20"/>
                <w:lang w:val="sr-Cyrl-CS"/>
              </w:rPr>
            </w:pPr>
            <w:r w:rsidRPr="00092ED7">
              <w:rPr>
                <w:sz w:val="20"/>
                <w:szCs w:val="20"/>
                <w:lang w:val="sr-Cyrl-CS"/>
              </w:rPr>
              <w:t>216,1</w:t>
            </w:r>
          </w:p>
        </w:tc>
        <w:tc>
          <w:tcPr>
            <w:tcW w:w="1260" w:type="dxa"/>
            <w:gridSpan w:val="3"/>
            <w:tcBorders>
              <w:top w:val="nil"/>
              <w:left w:val="nil"/>
              <w:bottom w:val="dashed" w:sz="4" w:space="0" w:color="auto"/>
              <w:right w:val="dashed" w:sz="4" w:space="0" w:color="auto"/>
            </w:tcBorders>
            <w:shd w:val="clear" w:color="auto" w:fill="auto"/>
            <w:noWrap/>
            <w:vAlign w:val="center"/>
            <w:hideMark/>
          </w:tcPr>
          <w:p w14:paraId="0894E472" w14:textId="77777777" w:rsidR="00247CBF" w:rsidRPr="00092ED7" w:rsidRDefault="00247CBF" w:rsidP="00247CBF">
            <w:pPr>
              <w:spacing w:after="0"/>
              <w:jc w:val="right"/>
              <w:rPr>
                <w:sz w:val="20"/>
                <w:szCs w:val="20"/>
                <w:lang w:val="sr-Cyrl-CS"/>
              </w:rPr>
            </w:pPr>
            <w:r w:rsidRPr="00092ED7">
              <w:rPr>
                <w:sz w:val="20"/>
                <w:szCs w:val="20"/>
                <w:lang w:val="sr-Cyrl-CS"/>
              </w:rPr>
              <w:t>197,8</w:t>
            </w:r>
          </w:p>
        </w:tc>
        <w:tc>
          <w:tcPr>
            <w:tcW w:w="1268" w:type="dxa"/>
            <w:gridSpan w:val="3"/>
            <w:tcBorders>
              <w:top w:val="nil"/>
              <w:left w:val="nil"/>
              <w:bottom w:val="dashed" w:sz="4" w:space="0" w:color="auto"/>
              <w:right w:val="double" w:sz="4" w:space="0" w:color="auto"/>
            </w:tcBorders>
            <w:shd w:val="clear" w:color="auto" w:fill="auto"/>
            <w:noWrap/>
            <w:vAlign w:val="center"/>
            <w:hideMark/>
          </w:tcPr>
          <w:p w14:paraId="530C977E" w14:textId="77777777" w:rsidR="00247CBF" w:rsidRPr="00092ED7" w:rsidRDefault="00247CBF" w:rsidP="00247CBF">
            <w:pPr>
              <w:spacing w:after="0"/>
              <w:jc w:val="right"/>
              <w:rPr>
                <w:sz w:val="20"/>
                <w:szCs w:val="20"/>
                <w:lang w:val="sr-Cyrl-CS"/>
              </w:rPr>
            </w:pPr>
            <w:r w:rsidRPr="00092ED7">
              <w:rPr>
                <w:sz w:val="20"/>
                <w:szCs w:val="20"/>
                <w:lang w:val="sr-Cyrl-CS"/>
              </w:rPr>
              <w:t>184,0</w:t>
            </w:r>
          </w:p>
        </w:tc>
      </w:tr>
      <w:tr w:rsidR="00247CBF" w:rsidRPr="00092ED7" w14:paraId="02AB07EA" w14:textId="77777777" w:rsidTr="00247CBF">
        <w:trPr>
          <w:gridAfter w:val="3"/>
          <w:wAfter w:w="365" w:type="dxa"/>
          <w:trHeight w:val="255"/>
        </w:trPr>
        <w:tc>
          <w:tcPr>
            <w:tcW w:w="4962" w:type="dxa"/>
            <w:gridSpan w:val="3"/>
            <w:tcBorders>
              <w:top w:val="nil"/>
              <w:left w:val="double" w:sz="6" w:space="0" w:color="auto"/>
              <w:bottom w:val="dashed" w:sz="4" w:space="0" w:color="auto"/>
              <w:right w:val="nil"/>
            </w:tcBorders>
            <w:shd w:val="clear" w:color="auto" w:fill="auto"/>
            <w:noWrap/>
            <w:vAlign w:val="bottom"/>
            <w:hideMark/>
          </w:tcPr>
          <w:p w14:paraId="58DE47C3"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Извоз робе и услуга</w:t>
            </w:r>
          </w:p>
        </w:tc>
        <w:tc>
          <w:tcPr>
            <w:tcW w:w="1447" w:type="dxa"/>
            <w:gridSpan w:val="3"/>
            <w:tcBorders>
              <w:top w:val="nil"/>
              <w:left w:val="single" w:sz="8" w:space="0" w:color="auto"/>
              <w:bottom w:val="dashed" w:sz="4" w:space="0" w:color="auto"/>
              <w:right w:val="single" w:sz="8" w:space="0" w:color="auto"/>
            </w:tcBorders>
            <w:shd w:val="clear" w:color="auto" w:fill="auto"/>
            <w:noWrap/>
            <w:vAlign w:val="bottom"/>
            <w:hideMark/>
          </w:tcPr>
          <w:p w14:paraId="6273DD74" w14:textId="77777777" w:rsidR="00247CBF" w:rsidRPr="00092ED7" w:rsidRDefault="00247CBF" w:rsidP="00247CBF">
            <w:pPr>
              <w:spacing w:after="0"/>
              <w:jc w:val="center"/>
              <w:rPr>
                <w:sz w:val="20"/>
                <w:szCs w:val="20"/>
                <w:lang w:val="sr-Cyrl-CS"/>
              </w:rPr>
            </w:pPr>
            <w:r w:rsidRPr="00092ED7">
              <w:rPr>
                <w:sz w:val="20"/>
                <w:szCs w:val="20"/>
                <w:lang w:val="sr-Cyrl-CS"/>
              </w:rPr>
              <w:t>P6</w:t>
            </w:r>
          </w:p>
        </w:tc>
        <w:tc>
          <w:tcPr>
            <w:tcW w:w="1380" w:type="dxa"/>
            <w:gridSpan w:val="3"/>
            <w:tcBorders>
              <w:top w:val="nil"/>
              <w:left w:val="nil"/>
              <w:bottom w:val="dashed" w:sz="4" w:space="0" w:color="auto"/>
              <w:right w:val="dashed" w:sz="4" w:space="0" w:color="auto"/>
            </w:tcBorders>
            <w:shd w:val="clear" w:color="auto" w:fill="auto"/>
            <w:noWrap/>
            <w:vAlign w:val="center"/>
            <w:hideMark/>
          </w:tcPr>
          <w:p w14:paraId="12038E46" w14:textId="77777777" w:rsidR="00247CBF" w:rsidRPr="00092ED7" w:rsidRDefault="00247CBF" w:rsidP="00247CBF">
            <w:pPr>
              <w:spacing w:after="0"/>
              <w:jc w:val="right"/>
              <w:rPr>
                <w:sz w:val="20"/>
                <w:szCs w:val="20"/>
                <w:lang w:val="sr-Cyrl-CS"/>
              </w:rPr>
            </w:pPr>
            <w:r w:rsidRPr="00092ED7">
              <w:rPr>
                <w:sz w:val="20"/>
                <w:szCs w:val="20"/>
                <w:lang w:val="sr-Cyrl-CS"/>
              </w:rPr>
              <w:t>2.619,8</w:t>
            </w:r>
          </w:p>
        </w:tc>
        <w:tc>
          <w:tcPr>
            <w:tcW w:w="1300" w:type="dxa"/>
            <w:gridSpan w:val="4"/>
            <w:tcBorders>
              <w:top w:val="nil"/>
              <w:left w:val="nil"/>
              <w:bottom w:val="dashed" w:sz="4" w:space="0" w:color="auto"/>
              <w:right w:val="dashed" w:sz="4" w:space="0" w:color="auto"/>
            </w:tcBorders>
            <w:shd w:val="clear" w:color="auto" w:fill="auto"/>
            <w:noWrap/>
            <w:vAlign w:val="center"/>
            <w:hideMark/>
          </w:tcPr>
          <w:p w14:paraId="2D75D2D2" w14:textId="77777777" w:rsidR="00247CBF" w:rsidRPr="00092ED7" w:rsidRDefault="00247CBF" w:rsidP="00247CBF">
            <w:pPr>
              <w:spacing w:after="0"/>
              <w:jc w:val="right"/>
              <w:rPr>
                <w:sz w:val="20"/>
                <w:szCs w:val="20"/>
                <w:lang w:val="sr-Cyrl-CS"/>
              </w:rPr>
            </w:pPr>
            <w:r w:rsidRPr="00092ED7">
              <w:rPr>
                <w:sz w:val="20"/>
                <w:szCs w:val="20"/>
                <w:lang w:val="sr-Cyrl-CS"/>
              </w:rPr>
              <w:t>3.130,9</w:t>
            </w:r>
          </w:p>
        </w:tc>
        <w:tc>
          <w:tcPr>
            <w:tcW w:w="1360" w:type="dxa"/>
            <w:gridSpan w:val="4"/>
            <w:tcBorders>
              <w:top w:val="nil"/>
              <w:left w:val="nil"/>
              <w:bottom w:val="dashed" w:sz="4" w:space="0" w:color="auto"/>
              <w:right w:val="dashed" w:sz="4" w:space="0" w:color="auto"/>
            </w:tcBorders>
            <w:shd w:val="clear" w:color="auto" w:fill="auto"/>
            <w:noWrap/>
            <w:vAlign w:val="center"/>
            <w:hideMark/>
          </w:tcPr>
          <w:p w14:paraId="1C258F65" w14:textId="77777777" w:rsidR="00247CBF" w:rsidRPr="00092ED7" w:rsidRDefault="00247CBF" w:rsidP="00247CBF">
            <w:pPr>
              <w:spacing w:after="0"/>
              <w:jc w:val="right"/>
              <w:rPr>
                <w:sz w:val="20"/>
                <w:szCs w:val="20"/>
                <w:lang w:val="sr-Cyrl-CS"/>
              </w:rPr>
            </w:pPr>
            <w:r w:rsidRPr="00092ED7">
              <w:rPr>
                <w:sz w:val="20"/>
                <w:szCs w:val="20"/>
                <w:lang w:val="sr-Cyrl-CS"/>
              </w:rPr>
              <w:t>3.516,0</w:t>
            </w:r>
          </w:p>
        </w:tc>
        <w:tc>
          <w:tcPr>
            <w:tcW w:w="1260" w:type="dxa"/>
            <w:gridSpan w:val="4"/>
            <w:tcBorders>
              <w:top w:val="nil"/>
              <w:left w:val="nil"/>
              <w:bottom w:val="dashed" w:sz="4" w:space="0" w:color="auto"/>
              <w:right w:val="dashed" w:sz="4" w:space="0" w:color="auto"/>
            </w:tcBorders>
            <w:shd w:val="clear" w:color="auto" w:fill="auto"/>
            <w:noWrap/>
            <w:vAlign w:val="center"/>
            <w:hideMark/>
          </w:tcPr>
          <w:p w14:paraId="67FAC5A5" w14:textId="77777777" w:rsidR="00247CBF" w:rsidRPr="00092ED7" w:rsidRDefault="00247CBF" w:rsidP="00247CBF">
            <w:pPr>
              <w:spacing w:after="0"/>
              <w:jc w:val="right"/>
              <w:rPr>
                <w:sz w:val="20"/>
                <w:szCs w:val="20"/>
                <w:lang w:val="sr-Cyrl-CS"/>
              </w:rPr>
            </w:pPr>
            <w:r w:rsidRPr="00092ED7">
              <w:rPr>
                <w:sz w:val="20"/>
                <w:szCs w:val="20"/>
                <w:lang w:val="sr-Cyrl-CS"/>
              </w:rPr>
              <w:t>3.688,3</w:t>
            </w:r>
          </w:p>
        </w:tc>
        <w:tc>
          <w:tcPr>
            <w:tcW w:w="1260" w:type="dxa"/>
            <w:gridSpan w:val="3"/>
            <w:tcBorders>
              <w:top w:val="nil"/>
              <w:left w:val="nil"/>
              <w:bottom w:val="dashed" w:sz="4" w:space="0" w:color="auto"/>
              <w:right w:val="dashed" w:sz="4" w:space="0" w:color="auto"/>
            </w:tcBorders>
            <w:shd w:val="clear" w:color="auto" w:fill="auto"/>
            <w:noWrap/>
            <w:vAlign w:val="center"/>
            <w:hideMark/>
          </w:tcPr>
          <w:p w14:paraId="1A7D2E60" w14:textId="77777777" w:rsidR="00247CBF" w:rsidRPr="00092ED7" w:rsidRDefault="00247CBF" w:rsidP="00247CBF">
            <w:pPr>
              <w:spacing w:after="0"/>
              <w:jc w:val="right"/>
              <w:rPr>
                <w:sz w:val="20"/>
                <w:szCs w:val="20"/>
                <w:lang w:val="sr-Cyrl-CS"/>
              </w:rPr>
            </w:pPr>
            <w:r w:rsidRPr="00092ED7">
              <w:rPr>
                <w:sz w:val="20"/>
                <w:szCs w:val="20"/>
                <w:lang w:val="sr-Cyrl-CS"/>
              </w:rPr>
              <w:t>4.012,9</w:t>
            </w:r>
          </w:p>
        </w:tc>
        <w:tc>
          <w:tcPr>
            <w:tcW w:w="1268" w:type="dxa"/>
            <w:gridSpan w:val="3"/>
            <w:tcBorders>
              <w:top w:val="nil"/>
              <w:left w:val="nil"/>
              <w:bottom w:val="dashed" w:sz="4" w:space="0" w:color="auto"/>
              <w:right w:val="double" w:sz="4" w:space="0" w:color="auto"/>
            </w:tcBorders>
            <w:shd w:val="clear" w:color="auto" w:fill="auto"/>
            <w:noWrap/>
            <w:vAlign w:val="center"/>
            <w:hideMark/>
          </w:tcPr>
          <w:p w14:paraId="4F68CDC6" w14:textId="77777777" w:rsidR="00247CBF" w:rsidRPr="00092ED7" w:rsidRDefault="00247CBF" w:rsidP="00247CBF">
            <w:pPr>
              <w:spacing w:after="0"/>
              <w:jc w:val="right"/>
              <w:rPr>
                <w:sz w:val="20"/>
                <w:szCs w:val="20"/>
                <w:lang w:val="sr-Cyrl-CS"/>
              </w:rPr>
            </w:pPr>
            <w:r w:rsidRPr="00092ED7">
              <w:rPr>
                <w:sz w:val="20"/>
                <w:szCs w:val="20"/>
                <w:lang w:val="sr-Cyrl-CS"/>
              </w:rPr>
              <w:t>4.438,3</w:t>
            </w:r>
          </w:p>
        </w:tc>
      </w:tr>
      <w:tr w:rsidR="00247CBF" w:rsidRPr="00092ED7" w14:paraId="1A06E491" w14:textId="77777777" w:rsidTr="00247CBF">
        <w:trPr>
          <w:gridAfter w:val="3"/>
          <w:wAfter w:w="365" w:type="dxa"/>
          <w:trHeight w:val="255"/>
        </w:trPr>
        <w:tc>
          <w:tcPr>
            <w:tcW w:w="4962" w:type="dxa"/>
            <w:gridSpan w:val="3"/>
            <w:tcBorders>
              <w:top w:val="nil"/>
              <w:left w:val="double" w:sz="6" w:space="0" w:color="auto"/>
              <w:bottom w:val="dashed" w:sz="4" w:space="0" w:color="auto"/>
              <w:right w:val="nil"/>
            </w:tcBorders>
            <w:shd w:val="clear" w:color="auto" w:fill="auto"/>
            <w:noWrap/>
            <w:vAlign w:val="bottom"/>
            <w:hideMark/>
          </w:tcPr>
          <w:p w14:paraId="765B4D75"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Увоз робе и услуга</w:t>
            </w:r>
          </w:p>
        </w:tc>
        <w:tc>
          <w:tcPr>
            <w:tcW w:w="1447" w:type="dxa"/>
            <w:gridSpan w:val="3"/>
            <w:tcBorders>
              <w:top w:val="nil"/>
              <w:left w:val="single" w:sz="8" w:space="0" w:color="auto"/>
              <w:bottom w:val="dashed" w:sz="4" w:space="0" w:color="auto"/>
              <w:right w:val="single" w:sz="8" w:space="0" w:color="auto"/>
            </w:tcBorders>
            <w:shd w:val="clear" w:color="auto" w:fill="auto"/>
            <w:noWrap/>
            <w:vAlign w:val="bottom"/>
            <w:hideMark/>
          </w:tcPr>
          <w:p w14:paraId="27B77D37" w14:textId="77777777" w:rsidR="00247CBF" w:rsidRPr="00092ED7" w:rsidRDefault="00247CBF" w:rsidP="00247CBF">
            <w:pPr>
              <w:spacing w:after="0"/>
              <w:jc w:val="center"/>
              <w:rPr>
                <w:sz w:val="20"/>
                <w:szCs w:val="20"/>
                <w:lang w:val="sr-Cyrl-CS"/>
              </w:rPr>
            </w:pPr>
            <w:r w:rsidRPr="00092ED7">
              <w:rPr>
                <w:sz w:val="20"/>
                <w:szCs w:val="20"/>
                <w:lang w:val="sr-Cyrl-CS"/>
              </w:rPr>
              <w:t>P7</w:t>
            </w:r>
          </w:p>
        </w:tc>
        <w:tc>
          <w:tcPr>
            <w:tcW w:w="1380" w:type="dxa"/>
            <w:gridSpan w:val="3"/>
            <w:tcBorders>
              <w:top w:val="nil"/>
              <w:left w:val="nil"/>
              <w:bottom w:val="dashed" w:sz="4" w:space="0" w:color="auto"/>
              <w:right w:val="dashed" w:sz="4" w:space="0" w:color="auto"/>
            </w:tcBorders>
            <w:shd w:val="clear" w:color="auto" w:fill="auto"/>
            <w:noWrap/>
            <w:vAlign w:val="center"/>
            <w:hideMark/>
          </w:tcPr>
          <w:p w14:paraId="454B6D30" w14:textId="77777777" w:rsidR="00247CBF" w:rsidRPr="00092ED7" w:rsidRDefault="00247CBF" w:rsidP="00247CBF">
            <w:pPr>
              <w:spacing w:after="0"/>
              <w:jc w:val="right"/>
              <w:rPr>
                <w:sz w:val="20"/>
                <w:szCs w:val="20"/>
                <w:lang w:val="sr-Cyrl-CS"/>
              </w:rPr>
            </w:pPr>
            <w:r w:rsidRPr="00092ED7">
              <w:rPr>
                <w:sz w:val="20"/>
                <w:szCs w:val="20"/>
                <w:lang w:val="sr-Cyrl-CS"/>
              </w:rPr>
              <w:t>3.165,9</w:t>
            </w:r>
          </w:p>
        </w:tc>
        <w:tc>
          <w:tcPr>
            <w:tcW w:w="1300" w:type="dxa"/>
            <w:gridSpan w:val="4"/>
            <w:tcBorders>
              <w:top w:val="nil"/>
              <w:left w:val="nil"/>
              <w:bottom w:val="dashed" w:sz="4" w:space="0" w:color="auto"/>
              <w:right w:val="dashed" w:sz="4" w:space="0" w:color="auto"/>
            </w:tcBorders>
            <w:shd w:val="clear" w:color="auto" w:fill="auto"/>
            <w:noWrap/>
            <w:vAlign w:val="center"/>
            <w:hideMark/>
          </w:tcPr>
          <w:p w14:paraId="79A8ABD7" w14:textId="77777777" w:rsidR="00247CBF" w:rsidRPr="00092ED7" w:rsidRDefault="00247CBF" w:rsidP="00247CBF">
            <w:pPr>
              <w:spacing w:after="0"/>
              <w:jc w:val="right"/>
              <w:rPr>
                <w:sz w:val="20"/>
                <w:szCs w:val="20"/>
                <w:lang w:val="sr-Cyrl-CS"/>
              </w:rPr>
            </w:pPr>
            <w:r w:rsidRPr="00092ED7">
              <w:rPr>
                <w:sz w:val="20"/>
                <w:szCs w:val="20"/>
                <w:lang w:val="sr-Cyrl-CS"/>
              </w:rPr>
              <w:t>3.725,4</w:t>
            </w:r>
          </w:p>
        </w:tc>
        <w:tc>
          <w:tcPr>
            <w:tcW w:w="1360" w:type="dxa"/>
            <w:gridSpan w:val="4"/>
            <w:tcBorders>
              <w:top w:val="nil"/>
              <w:left w:val="nil"/>
              <w:bottom w:val="dashed" w:sz="4" w:space="0" w:color="auto"/>
              <w:right w:val="dashed" w:sz="4" w:space="0" w:color="auto"/>
            </w:tcBorders>
            <w:shd w:val="clear" w:color="auto" w:fill="auto"/>
            <w:noWrap/>
            <w:vAlign w:val="center"/>
            <w:hideMark/>
          </w:tcPr>
          <w:p w14:paraId="56D55C67" w14:textId="77777777" w:rsidR="00247CBF" w:rsidRPr="00092ED7" w:rsidRDefault="00247CBF" w:rsidP="00247CBF">
            <w:pPr>
              <w:spacing w:after="0"/>
              <w:jc w:val="right"/>
              <w:rPr>
                <w:sz w:val="20"/>
                <w:szCs w:val="20"/>
                <w:lang w:val="sr-Cyrl-CS"/>
              </w:rPr>
            </w:pPr>
            <w:r w:rsidRPr="00092ED7">
              <w:rPr>
                <w:sz w:val="20"/>
                <w:szCs w:val="20"/>
                <w:lang w:val="sr-Cyrl-CS"/>
              </w:rPr>
              <w:t>4.200,8</w:t>
            </w:r>
          </w:p>
        </w:tc>
        <w:tc>
          <w:tcPr>
            <w:tcW w:w="1260" w:type="dxa"/>
            <w:gridSpan w:val="4"/>
            <w:tcBorders>
              <w:top w:val="nil"/>
              <w:left w:val="nil"/>
              <w:bottom w:val="dashed" w:sz="4" w:space="0" w:color="auto"/>
              <w:right w:val="dashed" w:sz="4" w:space="0" w:color="auto"/>
            </w:tcBorders>
            <w:shd w:val="clear" w:color="auto" w:fill="auto"/>
            <w:noWrap/>
            <w:vAlign w:val="center"/>
            <w:hideMark/>
          </w:tcPr>
          <w:p w14:paraId="5246BAA7" w14:textId="77777777" w:rsidR="00247CBF" w:rsidRPr="00092ED7" w:rsidRDefault="00247CBF" w:rsidP="00247CBF">
            <w:pPr>
              <w:spacing w:after="0"/>
              <w:jc w:val="right"/>
              <w:rPr>
                <w:sz w:val="20"/>
                <w:szCs w:val="20"/>
                <w:lang w:val="sr-Cyrl-CS"/>
              </w:rPr>
            </w:pPr>
            <w:r w:rsidRPr="00092ED7">
              <w:rPr>
                <w:sz w:val="20"/>
                <w:szCs w:val="20"/>
                <w:lang w:val="sr-Cyrl-CS"/>
              </w:rPr>
              <w:t>4.368,8</w:t>
            </w:r>
          </w:p>
        </w:tc>
        <w:tc>
          <w:tcPr>
            <w:tcW w:w="1260" w:type="dxa"/>
            <w:gridSpan w:val="3"/>
            <w:tcBorders>
              <w:top w:val="nil"/>
              <w:left w:val="nil"/>
              <w:bottom w:val="dashed" w:sz="4" w:space="0" w:color="auto"/>
              <w:right w:val="dashed" w:sz="4" w:space="0" w:color="auto"/>
            </w:tcBorders>
            <w:shd w:val="clear" w:color="auto" w:fill="auto"/>
            <w:noWrap/>
            <w:vAlign w:val="center"/>
            <w:hideMark/>
          </w:tcPr>
          <w:p w14:paraId="7E736D55" w14:textId="77777777" w:rsidR="00247CBF" w:rsidRPr="00092ED7" w:rsidRDefault="00247CBF" w:rsidP="00247CBF">
            <w:pPr>
              <w:spacing w:after="0"/>
              <w:jc w:val="right"/>
              <w:rPr>
                <w:sz w:val="20"/>
                <w:szCs w:val="20"/>
                <w:lang w:val="sr-Cyrl-CS"/>
              </w:rPr>
            </w:pPr>
            <w:r w:rsidRPr="00092ED7">
              <w:rPr>
                <w:sz w:val="20"/>
                <w:szCs w:val="20"/>
                <w:lang w:val="sr-Cyrl-CS"/>
              </w:rPr>
              <w:t>4.667,7</w:t>
            </w:r>
          </w:p>
        </w:tc>
        <w:tc>
          <w:tcPr>
            <w:tcW w:w="1268" w:type="dxa"/>
            <w:gridSpan w:val="3"/>
            <w:tcBorders>
              <w:top w:val="nil"/>
              <w:left w:val="nil"/>
              <w:bottom w:val="dashed" w:sz="4" w:space="0" w:color="auto"/>
              <w:right w:val="double" w:sz="4" w:space="0" w:color="auto"/>
            </w:tcBorders>
            <w:shd w:val="clear" w:color="auto" w:fill="auto"/>
            <w:noWrap/>
            <w:vAlign w:val="center"/>
            <w:hideMark/>
          </w:tcPr>
          <w:p w14:paraId="2D365FD3" w14:textId="77777777" w:rsidR="00247CBF" w:rsidRPr="00092ED7" w:rsidRDefault="00247CBF" w:rsidP="00247CBF">
            <w:pPr>
              <w:spacing w:after="0"/>
              <w:jc w:val="right"/>
              <w:rPr>
                <w:sz w:val="20"/>
                <w:szCs w:val="20"/>
                <w:lang w:val="sr-Cyrl-CS"/>
              </w:rPr>
            </w:pPr>
            <w:r w:rsidRPr="00092ED7">
              <w:rPr>
                <w:sz w:val="20"/>
                <w:szCs w:val="20"/>
                <w:lang w:val="sr-Cyrl-CS"/>
              </w:rPr>
              <w:t>5.078,4</w:t>
            </w:r>
          </w:p>
        </w:tc>
      </w:tr>
      <w:tr w:rsidR="00247CBF" w:rsidRPr="00092ED7" w14:paraId="154FF19E" w14:textId="77777777" w:rsidTr="00247CBF">
        <w:trPr>
          <w:gridAfter w:val="3"/>
          <w:wAfter w:w="365" w:type="dxa"/>
          <w:trHeight w:val="255"/>
        </w:trPr>
        <w:tc>
          <w:tcPr>
            <w:tcW w:w="4962" w:type="dxa"/>
            <w:gridSpan w:val="3"/>
            <w:tcBorders>
              <w:top w:val="nil"/>
              <w:left w:val="double" w:sz="6" w:space="0" w:color="auto"/>
              <w:bottom w:val="single" w:sz="4" w:space="0" w:color="auto"/>
              <w:right w:val="nil"/>
            </w:tcBorders>
            <w:shd w:val="clear" w:color="auto" w:fill="auto"/>
            <w:noWrap/>
            <w:vAlign w:val="bottom"/>
            <w:hideMark/>
          </w:tcPr>
          <w:p w14:paraId="157B4A06"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Нето извоз</w:t>
            </w:r>
          </w:p>
        </w:tc>
        <w:tc>
          <w:tcPr>
            <w:tcW w:w="1447" w:type="dxa"/>
            <w:gridSpan w:val="3"/>
            <w:tcBorders>
              <w:top w:val="nil"/>
              <w:left w:val="single" w:sz="8" w:space="0" w:color="auto"/>
              <w:bottom w:val="single" w:sz="4" w:space="0" w:color="auto"/>
              <w:right w:val="single" w:sz="8" w:space="0" w:color="auto"/>
            </w:tcBorders>
            <w:shd w:val="clear" w:color="auto" w:fill="auto"/>
            <w:noWrap/>
            <w:vAlign w:val="bottom"/>
            <w:hideMark/>
          </w:tcPr>
          <w:p w14:paraId="35D37643" w14:textId="77777777" w:rsidR="00247CBF" w:rsidRPr="00092ED7" w:rsidRDefault="00247CBF" w:rsidP="00247CBF">
            <w:pPr>
              <w:spacing w:after="0"/>
              <w:jc w:val="center"/>
              <w:rPr>
                <w:sz w:val="20"/>
                <w:szCs w:val="20"/>
                <w:lang w:val="sr-Cyrl-CS"/>
              </w:rPr>
            </w:pPr>
            <w:r w:rsidRPr="00092ED7">
              <w:rPr>
                <w:sz w:val="20"/>
                <w:szCs w:val="20"/>
                <w:lang w:val="sr-Cyrl-CS"/>
              </w:rPr>
              <w:t> </w:t>
            </w:r>
          </w:p>
        </w:tc>
        <w:tc>
          <w:tcPr>
            <w:tcW w:w="1380" w:type="dxa"/>
            <w:gridSpan w:val="3"/>
            <w:tcBorders>
              <w:top w:val="nil"/>
              <w:left w:val="nil"/>
              <w:bottom w:val="single" w:sz="4" w:space="0" w:color="auto"/>
              <w:right w:val="dashed" w:sz="4" w:space="0" w:color="auto"/>
            </w:tcBorders>
            <w:shd w:val="clear" w:color="auto" w:fill="auto"/>
            <w:noWrap/>
            <w:vAlign w:val="center"/>
            <w:hideMark/>
          </w:tcPr>
          <w:p w14:paraId="0C6CB705" w14:textId="77777777" w:rsidR="00247CBF" w:rsidRPr="00092ED7" w:rsidRDefault="00247CBF" w:rsidP="00247CBF">
            <w:pPr>
              <w:spacing w:after="0"/>
              <w:jc w:val="right"/>
              <w:rPr>
                <w:sz w:val="20"/>
                <w:szCs w:val="20"/>
                <w:lang w:val="sr-Cyrl-CS"/>
              </w:rPr>
            </w:pPr>
            <w:r w:rsidRPr="00092ED7">
              <w:rPr>
                <w:sz w:val="20"/>
                <w:szCs w:val="20"/>
                <w:lang w:val="sr-Cyrl-CS"/>
              </w:rPr>
              <w:t>-546,1</w:t>
            </w:r>
          </w:p>
        </w:tc>
        <w:tc>
          <w:tcPr>
            <w:tcW w:w="1300" w:type="dxa"/>
            <w:gridSpan w:val="4"/>
            <w:tcBorders>
              <w:top w:val="nil"/>
              <w:left w:val="nil"/>
              <w:bottom w:val="single" w:sz="4" w:space="0" w:color="auto"/>
              <w:right w:val="dashed" w:sz="4" w:space="0" w:color="auto"/>
            </w:tcBorders>
            <w:shd w:val="clear" w:color="auto" w:fill="auto"/>
            <w:noWrap/>
            <w:vAlign w:val="center"/>
            <w:hideMark/>
          </w:tcPr>
          <w:p w14:paraId="41B5E3A7" w14:textId="77777777" w:rsidR="00247CBF" w:rsidRPr="00092ED7" w:rsidRDefault="00247CBF" w:rsidP="00247CBF">
            <w:pPr>
              <w:spacing w:after="0"/>
              <w:jc w:val="right"/>
              <w:rPr>
                <w:sz w:val="20"/>
                <w:szCs w:val="20"/>
                <w:lang w:val="sr-Cyrl-CS"/>
              </w:rPr>
            </w:pPr>
            <w:r w:rsidRPr="00092ED7">
              <w:rPr>
                <w:sz w:val="20"/>
                <w:szCs w:val="20"/>
                <w:lang w:val="sr-Cyrl-CS"/>
              </w:rPr>
              <w:t>-594,5</w:t>
            </w:r>
          </w:p>
        </w:tc>
        <w:tc>
          <w:tcPr>
            <w:tcW w:w="1360" w:type="dxa"/>
            <w:gridSpan w:val="4"/>
            <w:tcBorders>
              <w:top w:val="nil"/>
              <w:left w:val="nil"/>
              <w:bottom w:val="single" w:sz="4" w:space="0" w:color="auto"/>
              <w:right w:val="dashed" w:sz="4" w:space="0" w:color="auto"/>
            </w:tcBorders>
            <w:shd w:val="clear" w:color="auto" w:fill="auto"/>
            <w:noWrap/>
            <w:vAlign w:val="center"/>
            <w:hideMark/>
          </w:tcPr>
          <w:p w14:paraId="79EB5747" w14:textId="77777777" w:rsidR="00247CBF" w:rsidRPr="00092ED7" w:rsidRDefault="00247CBF" w:rsidP="00247CBF">
            <w:pPr>
              <w:spacing w:after="0"/>
              <w:jc w:val="right"/>
              <w:rPr>
                <w:sz w:val="20"/>
                <w:szCs w:val="20"/>
                <w:lang w:val="sr-Cyrl-CS"/>
              </w:rPr>
            </w:pPr>
            <w:r w:rsidRPr="00092ED7">
              <w:rPr>
                <w:sz w:val="20"/>
                <w:szCs w:val="20"/>
                <w:lang w:val="sr-Cyrl-CS"/>
              </w:rPr>
              <w:t>-684,8</w:t>
            </w:r>
          </w:p>
        </w:tc>
        <w:tc>
          <w:tcPr>
            <w:tcW w:w="1260" w:type="dxa"/>
            <w:gridSpan w:val="4"/>
            <w:tcBorders>
              <w:top w:val="nil"/>
              <w:left w:val="nil"/>
              <w:bottom w:val="single" w:sz="4" w:space="0" w:color="auto"/>
              <w:right w:val="dashed" w:sz="4" w:space="0" w:color="auto"/>
            </w:tcBorders>
            <w:shd w:val="clear" w:color="auto" w:fill="auto"/>
            <w:noWrap/>
            <w:vAlign w:val="center"/>
            <w:hideMark/>
          </w:tcPr>
          <w:p w14:paraId="54804849" w14:textId="77777777" w:rsidR="00247CBF" w:rsidRPr="00092ED7" w:rsidRDefault="00247CBF" w:rsidP="00247CBF">
            <w:pPr>
              <w:spacing w:after="0"/>
              <w:jc w:val="right"/>
              <w:rPr>
                <w:sz w:val="20"/>
                <w:szCs w:val="20"/>
                <w:lang w:val="sr-Cyrl-CS"/>
              </w:rPr>
            </w:pPr>
            <w:r w:rsidRPr="00092ED7">
              <w:rPr>
                <w:sz w:val="20"/>
                <w:szCs w:val="20"/>
                <w:lang w:val="sr-Cyrl-CS"/>
              </w:rPr>
              <w:t>-680,5</w:t>
            </w:r>
          </w:p>
        </w:tc>
        <w:tc>
          <w:tcPr>
            <w:tcW w:w="1260" w:type="dxa"/>
            <w:gridSpan w:val="3"/>
            <w:tcBorders>
              <w:top w:val="nil"/>
              <w:left w:val="nil"/>
              <w:bottom w:val="single" w:sz="4" w:space="0" w:color="auto"/>
              <w:right w:val="dashed" w:sz="4" w:space="0" w:color="auto"/>
            </w:tcBorders>
            <w:shd w:val="clear" w:color="auto" w:fill="auto"/>
            <w:noWrap/>
            <w:vAlign w:val="center"/>
            <w:hideMark/>
          </w:tcPr>
          <w:p w14:paraId="5861FE59" w14:textId="77777777" w:rsidR="00247CBF" w:rsidRPr="00092ED7" w:rsidRDefault="00247CBF" w:rsidP="00247CBF">
            <w:pPr>
              <w:spacing w:after="0"/>
              <w:jc w:val="right"/>
              <w:rPr>
                <w:sz w:val="20"/>
                <w:szCs w:val="20"/>
                <w:lang w:val="sr-Cyrl-CS"/>
              </w:rPr>
            </w:pPr>
            <w:r w:rsidRPr="00092ED7">
              <w:rPr>
                <w:sz w:val="20"/>
                <w:szCs w:val="20"/>
                <w:lang w:val="sr-Cyrl-CS"/>
              </w:rPr>
              <w:t>-654,8</w:t>
            </w:r>
          </w:p>
        </w:tc>
        <w:tc>
          <w:tcPr>
            <w:tcW w:w="1268" w:type="dxa"/>
            <w:gridSpan w:val="3"/>
            <w:tcBorders>
              <w:top w:val="nil"/>
              <w:left w:val="nil"/>
              <w:bottom w:val="single" w:sz="4" w:space="0" w:color="auto"/>
              <w:right w:val="double" w:sz="4" w:space="0" w:color="auto"/>
            </w:tcBorders>
            <w:shd w:val="clear" w:color="auto" w:fill="auto"/>
            <w:noWrap/>
            <w:vAlign w:val="center"/>
            <w:hideMark/>
          </w:tcPr>
          <w:p w14:paraId="42677067" w14:textId="77777777" w:rsidR="00247CBF" w:rsidRPr="00092ED7" w:rsidRDefault="00247CBF" w:rsidP="00247CBF">
            <w:pPr>
              <w:spacing w:after="0"/>
              <w:jc w:val="right"/>
              <w:rPr>
                <w:sz w:val="20"/>
                <w:szCs w:val="20"/>
                <w:lang w:val="sr-Cyrl-CS"/>
              </w:rPr>
            </w:pPr>
            <w:r w:rsidRPr="00092ED7">
              <w:rPr>
                <w:sz w:val="20"/>
                <w:szCs w:val="20"/>
                <w:lang w:val="sr-Cyrl-CS"/>
              </w:rPr>
              <w:t>-640,2</w:t>
            </w:r>
          </w:p>
        </w:tc>
      </w:tr>
      <w:tr w:rsidR="00247CBF" w:rsidRPr="00092ED7" w14:paraId="395A1E98" w14:textId="77777777" w:rsidTr="00247CBF">
        <w:trPr>
          <w:gridAfter w:val="3"/>
          <w:wAfter w:w="365" w:type="dxa"/>
          <w:trHeight w:val="255"/>
        </w:trPr>
        <w:tc>
          <w:tcPr>
            <w:tcW w:w="4962" w:type="dxa"/>
            <w:gridSpan w:val="3"/>
            <w:tcBorders>
              <w:top w:val="nil"/>
              <w:left w:val="double" w:sz="6" w:space="0" w:color="auto"/>
              <w:bottom w:val="single" w:sz="4" w:space="0" w:color="auto"/>
              <w:right w:val="nil"/>
            </w:tcBorders>
            <w:shd w:val="clear" w:color="auto" w:fill="auto"/>
            <w:noWrap/>
            <w:vAlign w:val="bottom"/>
            <w:hideMark/>
          </w:tcPr>
          <w:p w14:paraId="36F4F7D7" w14:textId="77777777" w:rsidR="00247CBF" w:rsidRPr="00092ED7" w:rsidRDefault="00247CBF" w:rsidP="00247CBF">
            <w:pPr>
              <w:spacing w:after="0"/>
              <w:jc w:val="center"/>
              <w:rPr>
                <w:rFonts w:eastAsia="Times New Roman" w:cs="Times New Roman"/>
                <w:b/>
                <w:bCs/>
                <w:sz w:val="20"/>
                <w:szCs w:val="20"/>
                <w:lang w:val="sr-Cyrl-CS"/>
              </w:rPr>
            </w:pPr>
            <w:r w:rsidRPr="00092ED7">
              <w:rPr>
                <w:rFonts w:eastAsia="Times New Roman" w:cs="Times New Roman"/>
                <w:b/>
                <w:bCs/>
                <w:sz w:val="20"/>
                <w:szCs w:val="20"/>
                <w:lang w:val="sr-Cyrl-CS"/>
              </w:rPr>
              <w:t>1a: Расходна страна, текуће цене (млрд РСД)</w:t>
            </w:r>
          </w:p>
        </w:tc>
        <w:tc>
          <w:tcPr>
            <w:tcW w:w="1447" w:type="dxa"/>
            <w:gridSpan w:val="3"/>
            <w:tcBorders>
              <w:top w:val="nil"/>
              <w:left w:val="single" w:sz="8" w:space="0" w:color="auto"/>
              <w:bottom w:val="single" w:sz="4" w:space="0" w:color="auto"/>
              <w:right w:val="single" w:sz="8" w:space="0" w:color="auto"/>
            </w:tcBorders>
            <w:shd w:val="clear" w:color="auto" w:fill="auto"/>
            <w:noWrap/>
            <w:vAlign w:val="bottom"/>
            <w:hideMark/>
          </w:tcPr>
          <w:p w14:paraId="6ED4CAD8" w14:textId="77777777" w:rsidR="00247CBF" w:rsidRPr="00092ED7" w:rsidRDefault="00247CBF" w:rsidP="00247CBF">
            <w:pPr>
              <w:spacing w:after="0"/>
              <w:jc w:val="center"/>
              <w:rPr>
                <w:sz w:val="20"/>
                <w:szCs w:val="20"/>
                <w:lang w:val="sr-Cyrl-CS"/>
              </w:rPr>
            </w:pPr>
            <w:r w:rsidRPr="00092ED7">
              <w:rPr>
                <w:sz w:val="20"/>
                <w:szCs w:val="20"/>
                <w:lang w:val="sr-Cyrl-CS"/>
              </w:rPr>
              <w:t> </w:t>
            </w:r>
          </w:p>
        </w:tc>
        <w:tc>
          <w:tcPr>
            <w:tcW w:w="1380" w:type="dxa"/>
            <w:gridSpan w:val="3"/>
            <w:tcBorders>
              <w:top w:val="nil"/>
              <w:left w:val="nil"/>
              <w:bottom w:val="single" w:sz="4" w:space="0" w:color="auto"/>
              <w:right w:val="dashed" w:sz="4" w:space="0" w:color="auto"/>
            </w:tcBorders>
            <w:shd w:val="clear" w:color="auto" w:fill="auto"/>
            <w:noWrap/>
            <w:vAlign w:val="center"/>
            <w:hideMark/>
          </w:tcPr>
          <w:p w14:paraId="7476B534"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300" w:type="dxa"/>
            <w:gridSpan w:val="4"/>
            <w:tcBorders>
              <w:top w:val="nil"/>
              <w:left w:val="nil"/>
              <w:bottom w:val="single" w:sz="4" w:space="0" w:color="auto"/>
              <w:right w:val="dashed" w:sz="4" w:space="0" w:color="auto"/>
            </w:tcBorders>
            <w:shd w:val="clear" w:color="auto" w:fill="auto"/>
            <w:noWrap/>
            <w:vAlign w:val="center"/>
            <w:hideMark/>
          </w:tcPr>
          <w:p w14:paraId="09128C19"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360" w:type="dxa"/>
            <w:gridSpan w:val="4"/>
            <w:tcBorders>
              <w:top w:val="nil"/>
              <w:left w:val="nil"/>
              <w:bottom w:val="single" w:sz="4" w:space="0" w:color="auto"/>
              <w:right w:val="dashed" w:sz="4" w:space="0" w:color="auto"/>
            </w:tcBorders>
            <w:shd w:val="clear" w:color="auto" w:fill="auto"/>
            <w:noWrap/>
            <w:vAlign w:val="center"/>
            <w:hideMark/>
          </w:tcPr>
          <w:p w14:paraId="27954678"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260" w:type="dxa"/>
            <w:gridSpan w:val="4"/>
            <w:tcBorders>
              <w:top w:val="nil"/>
              <w:left w:val="nil"/>
              <w:bottom w:val="single" w:sz="4" w:space="0" w:color="auto"/>
              <w:right w:val="dashed" w:sz="4" w:space="0" w:color="auto"/>
            </w:tcBorders>
            <w:shd w:val="clear" w:color="auto" w:fill="auto"/>
            <w:noWrap/>
            <w:vAlign w:val="center"/>
            <w:hideMark/>
          </w:tcPr>
          <w:p w14:paraId="24BD2397"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260" w:type="dxa"/>
            <w:gridSpan w:val="3"/>
            <w:tcBorders>
              <w:top w:val="nil"/>
              <w:left w:val="nil"/>
              <w:bottom w:val="single" w:sz="4" w:space="0" w:color="auto"/>
              <w:right w:val="dashed" w:sz="4" w:space="0" w:color="auto"/>
            </w:tcBorders>
            <w:shd w:val="clear" w:color="auto" w:fill="auto"/>
            <w:noWrap/>
            <w:vAlign w:val="center"/>
            <w:hideMark/>
          </w:tcPr>
          <w:p w14:paraId="070B21F7"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268" w:type="dxa"/>
            <w:gridSpan w:val="3"/>
            <w:tcBorders>
              <w:top w:val="nil"/>
              <w:left w:val="nil"/>
              <w:bottom w:val="single" w:sz="4" w:space="0" w:color="auto"/>
              <w:right w:val="double" w:sz="4" w:space="0" w:color="auto"/>
            </w:tcBorders>
            <w:shd w:val="clear" w:color="auto" w:fill="auto"/>
            <w:noWrap/>
            <w:vAlign w:val="center"/>
            <w:hideMark/>
          </w:tcPr>
          <w:p w14:paraId="5122A67E" w14:textId="77777777" w:rsidR="00247CBF" w:rsidRPr="00092ED7" w:rsidRDefault="00247CBF" w:rsidP="00247CBF">
            <w:pPr>
              <w:spacing w:after="0"/>
              <w:jc w:val="right"/>
              <w:rPr>
                <w:sz w:val="20"/>
                <w:szCs w:val="20"/>
                <w:lang w:val="sr-Cyrl-CS"/>
              </w:rPr>
            </w:pPr>
            <w:r w:rsidRPr="00092ED7">
              <w:rPr>
                <w:sz w:val="20"/>
                <w:szCs w:val="20"/>
                <w:lang w:val="sr-Cyrl-CS"/>
              </w:rPr>
              <w:t> </w:t>
            </w:r>
          </w:p>
        </w:tc>
      </w:tr>
      <w:tr w:rsidR="00247CBF" w:rsidRPr="00092ED7" w14:paraId="71B0E373" w14:textId="77777777" w:rsidTr="00247CBF">
        <w:trPr>
          <w:gridAfter w:val="3"/>
          <w:wAfter w:w="365" w:type="dxa"/>
          <w:trHeight w:val="255"/>
        </w:trPr>
        <w:tc>
          <w:tcPr>
            <w:tcW w:w="4962" w:type="dxa"/>
            <w:gridSpan w:val="3"/>
            <w:tcBorders>
              <w:top w:val="nil"/>
              <w:left w:val="double" w:sz="6" w:space="0" w:color="auto"/>
              <w:bottom w:val="dashed" w:sz="4" w:space="0" w:color="auto"/>
              <w:right w:val="nil"/>
            </w:tcBorders>
            <w:shd w:val="clear" w:color="auto" w:fill="auto"/>
            <w:noWrap/>
            <w:vAlign w:val="bottom"/>
            <w:hideMark/>
          </w:tcPr>
          <w:p w14:paraId="5154797F"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БДП према тржишним ценама</w:t>
            </w:r>
          </w:p>
        </w:tc>
        <w:tc>
          <w:tcPr>
            <w:tcW w:w="1447" w:type="dxa"/>
            <w:gridSpan w:val="3"/>
            <w:tcBorders>
              <w:top w:val="nil"/>
              <w:left w:val="single" w:sz="8" w:space="0" w:color="auto"/>
              <w:bottom w:val="dashed" w:sz="4" w:space="0" w:color="auto"/>
              <w:right w:val="single" w:sz="8" w:space="0" w:color="auto"/>
            </w:tcBorders>
            <w:shd w:val="clear" w:color="auto" w:fill="auto"/>
            <w:noWrap/>
            <w:vAlign w:val="bottom"/>
            <w:hideMark/>
          </w:tcPr>
          <w:p w14:paraId="30C5D388" w14:textId="77777777" w:rsidR="00247CBF" w:rsidRPr="00092ED7" w:rsidRDefault="00247CBF" w:rsidP="00247CBF">
            <w:pPr>
              <w:spacing w:after="0"/>
              <w:jc w:val="center"/>
              <w:rPr>
                <w:sz w:val="20"/>
                <w:szCs w:val="20"/>
                <w:lang w:val="sr-Cyrl-CS"/>
              </w:rPr>
            </w:pPr>
            <w:r w:rsidRPr="00092ED7">
              <w:rPr>
                <w:sz w:val="20"/>
                <w:szCs w:val="20"/>
                <w:lang w:val="sr-Cyrl-CS"/>
              </w:rPr>
              <w:t>B1*g</w:t>
            </w:r>
          </w:p>
        </w:tc>
        <w:tc>
          <w:tcPr>
            <w:tcW w:w="1380" w:type="dxa"/>
            <w:gridSpan w:val="3"/>
            <w:tcBorders>
              <w:top w:val="nil"/>
              <w:left w:val="dashed" w:sz="4" w:space="0" w:color="auto"/>
              <w:bottom w:val="dashed" w:sz="4" w:space="0" w:color="auto"/>
              <w:right w:val="dashed" w:sz="4" w:space="0" w:color="auto"/>
            </w:tcBorders>
            <w:shd w:val="clear" w:color="auto" w:fill="auto"/>
            <w:noWrap/>
            <w:vAlign w:val="center"/>
            <w:hideMark/>
          </w:tcPr>
          <w:p w14:paraId="3050CC71" w14:textId="77777777" w:rsidR="00247CBF" w:rsidRPr="00092ED7" w:rsidRDefault="00247CBF" w:rsidP="00247CBF">
            <w:pPr>
              <w:spacing w:after="0"/>
              <w:jc w:val="right"/>
              <w:rPr>
                <w:sz w:val="20"/>
                <w:szCs w:val="20"/>
                <w:lang w:val="sr-Cyrl-CS"/>
              </w:rPr>
            </w:pPr>
            <w:r w:rsidRPr="00092ED7">
              <w:rPr>
                <w:sz w:val="20"/>
                <w:szCs w:val="20"/>
                <w:lang w:val="sr-Cyrl-CS"/>
              </w:rPr>
              <w:t>5.504,4</w:t>
            </w:r>
          </w:p>
        </w:tc>
        <w:tc>
          <w:tcPr>
            <w:tcW w:w="1300" w:type="dxa"/>
            <w:gridSpan w:val="4"/>
            <w:tcBorders>
              <w:top w:val="nil"/>
              <w:left w:val="nil"/>
              <w:bottom w:val="dashed" w:sz="4" w:space="0" w:color="auto"/>
              <w:right w:val="dashed" w:sz="4" w:space="0" w:color="auto"/>
            </w:tcBorders>
            <w:shd w:val="clear" w:color="auto" w:fill="auto"/>
            <w:noWrap/>
            <w:vAlign w:val="center"/>
            <w:hideMark/>
          </w:tcPr>
          <w:p w14:paraId="26BFE232" w14:textId="77777777" w:rsidR="00247CBF" w:rsidRPr="00092ED7" w:rsidRDefault="00247CBF" w:rsidP="00247CBF">
            <w:pPr>
              <w:spacing w:after="0"/>
              <w:jc w:val="right"/>
              <w:rPr>
                <w:sz w:val="20"/>
                <w:szCs w:val="20"/>
                <w:lang w:val="sr-Cyrl-CS"/>
              </w:rPr>
            </w:pPr>
            <w:r w:rsidRPr="00092ED7">
              <w:rPr>
                <w:sz w:val="20"/>
                <w:szCs w:val="20"/>
                <w:lang w:val="sr-Cyrl-CS"/>
              </w:rPr>
              <w:t>6.270,1</w:t>
            </w:r>
          </w:p>
        </w:tc>
        <w:tc>
          <w:tcPr>
            <w:tcW w:w="1360" w:type="dxa"/>
            <w:gridSpan w:val="4"/>
            <w:tcBorders>
              <w:top w:val="nil"/>
              <w:left w:val="nil"/>
              <w:bottom w:val="dashed" w:sz="4" w:space="0" w:color="auto"/>
              <w:right w:val="dashed" w:sz="4" w:space="0" w:color="auto"/>
            </w:tcBorders>
            <w:shd w:val="clear" w:color="auto" w:fill="auto"/>
            <w:noWrap/>
            <w:vAlign w:val="center"/>
            <w:hideMark/>
          </w:tcPr>
          <w:p w14:paraId="2A555528" w14:textId="77777777" w:rsidR="00247CBF" w:rsidRPr="00092ED7" w:rsidRDefault="00247CBF" w:rsidP="00247CBF">
            <w:pPr>
              <w:spacing w:after="0"/>
              <w:jc w:val="right"/>
              <w:rPr>
                <w:sz w:val="20"/>
                <w:szCs w:val="20"/>
                <w:lang w:val="sr-Cyrl-CS"/>
              </w:rPr>
            </w:pPr>
            <w:r w:rsidRPr="00092ED7">
              <w:rPr>
                <w:sz w:val="20"/>
                <w:szCs w:val="20"/>
                <w:lang w:val="sr-Cyrl-CS"/>
              </w:rPr>
              <w:t>7.082,5</w:t>
            </w:r>
          </w:p>
        </w:tc>
        <w:tc>
          <w:tcPr>
            <w:tcW w:w="1260" w:type="dxa"/>
            <w:gridSpan w:val="4"/>
            <w:tcBorders>
              <w:top w:val="nil"/>
              <w:left w:val="nil"/>
              <w:bottom w:val="dashed" w:sz="4" w:space="0" w:color="auto"/>
              <w:right w:val="dashed" w:sz="4" w:space="0" w:color="auto"/>
            </w:tcBorders>
            <w:shd w:val="clear" w:color="auto" w:fill="auto"/>
            <w:noWrap/>
            <w:vAlign w:val="center"/>
            <w:hideMark/>
          </w:tcPr>
          <w:p w14:paraId="26B0B3D4" w14:textId="77777777" w:rsidR="00247CBF" w:rsidRPr="00092ED7" w:rsidRDefault="00247CBF" w:rsidP="00247CBF">
            <w:pPr>
              <w:spacing w:after="0"/>
              <w:jc w:val="right"/>
              <w:rPr>
                <w:sz w:val="20"/>
                <w:szCs w:val="20"/>
                <w:lang w:val="sr-Cyrl-CS"/>
              </w:rPr>
            </w:pPr>
            <w:r w:rsidRPr="00092ED7">
              <w:rPr>
                <w:sz w:val="20"/>
                <w:szCs w:val="20"/>
                <w:lang w:val="sr-Cyrl-CS"/>
              </w:rPr>
              <w:t>8.025,1</w:t>
            </w:r>
          </w:p>
        </w:tc>
        <w:tc>
          <w:tcPr>
            <w:tcW w:w="1260" w:type="dxa"/>
            <w:gridSpan w:val="3"/>
            <w:tcBorders>
              <w:top w:val="nil"/>
              <w:left w:val="nil"/>
              <w:bottom w:val="dashed" w:sz="4" w:space="0" w:color="auto"/>
              <w:right w:val="dashed" w:sz="4" w:space="0" w:color="auto"/>
            </w:tcBorders>
            <w:shd w:val="clear" w:color="auto" w:fill="auto"/>
            <w:noWrap/>
            <w:vAlign w:val="center"/>
            <w:hideMark/>
          </w:tcPr>
          <w:p w14:paraId="63EF8CC0" w14:textId="77777777" w:rsidR="00247CBF" w:rsidRPr="00092ED7" w:rsidRDefault="00247CBF" w:rsidP="00247CBF">
            <w:pPr>
              <w:spacing w:after="0"/>
              <w:jc w:val="right"/>
              <w:rPr>
                <w:sz w:val="20"/>
                <w:szCs w:val="20"/>
                <w:lang w:val="sr-Cyrl-CS"/>
              </w:rPr>
            </w:pPr>
            <w:r w:rsidRPr="00092ED7">
              <w:rPr>
                <w:sz w:val="20"/>
                <w:szCs w:val="20"/>
                <w:lang w:val="sr-Cyrl-CS"/>
              </w:rPr>
              <w:t>8.776,3</w:t>
            </w:r>
          </w:p>
        </w:tc>
        <w:tc>
          <w:tcPr>
            <w:tcW w:w="1268" w:type="dxa"/>
            <w:gridSpan w:val="3"/>
            <w:tcBorders>
              <w:top w:val="nil"/>
              <w:left w:val="nil"/>
              <w:bottom w:val="dashed" w:sz="4" w:space="0" w:color="auto"/>
              <w:right w:val="double" w:sz="4" w:space="0" w:color="auto"/>
            </w:tcBorders>
            <w:shd w:val="clear" w:color="auto" w:fill="auto"/>
            <w:noWrap/>
            <w:vAlign w:val="center"/>
            <w:hideMark/>
          </w:tcPr>
          <w:p w14:paraId="77F79F8D" w14:textId="77777777" w:rsidR="00247CBF" w:rsidRPr="00092ED7" w:rsidRDefault="00247CBF" w:rsidP="00247CBF">
            <w:pPr>
              <w:spacing w:after="0"/>
              <w:jc w:val="right"/>
              <w:rPr>
                <w:sz w:val="20"/>
                <w:szCs w:val="20"/>
                <w:lang w:val="sr-Cyrl-CS"/>
              </w:rPr>
            </w:pPr>
            <w:r w:rsidRPr="00092ED7">
              <w:rPr>
                <w:sz w:val="20"/>
                <w:szCs w:val="20"/>
                <w:lang w:val="sr-Cyrl-CS"/>
              </w:rPr>
              <w:t>9.519,4</w:t>
            </w:r>
          </w:p>
        </w:tc>
      </w:tr>
      <w:tr w:rsidR="00247CBF" w:rsidRPr="00092ED7" w14:paraId="4A2DAC3D" w14:textId="77777777" w:rsidTr="00247CBF">
        <w:trPr>
          <w:gridAfter w:val="3"/>
          <w:wAfter w:w="365" w:type="dxa"/>
          <w:trHeight w:val="255"/>
        </w:trPr>
        <w:tc>
          <w:tcPr>
            <w:tcW w:w="4962" w:type="dxa"/>
            <w:gridSpan w:val="3"/>
            <w:tcBorders>
              <w:top w:val="nil"/>
              <w:left w:val="double" w:sz="6" w:space="0" w:color="auto"/>
              <w:bottom w:val="dashed" w:sz="4" w:space="0" w:color="auto"/>
              <w:right w:val="nil"/>
            </w:tcBorders>
            <w:shd w:val="clear" w:color="auto" w:fill="auto"/>
            <w:noWrap/>
            <w:vAlign w:val="bottom"/>
            <w:hideMark/>
          </w:tcPr>
          <w:p w14:paraId="2A129D1A"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Приватна потрошња</w:t>
            </w:r>
          </w:p>
        </w:tc>
        <w:tc>
          <w:tcPr>
            <w:tcW w:w="1447" w:type="dxa"/>
            <w:gridSpan w:val="3"/>
            <w:tcBorders>
              <w:top w:val="nil"/>
              <w:left w:val="single" w:sz="8" w:space="0" w:color="auto"/>
              <w:bottom w:val="dashed" w:sz="4" w:space="0" w:color="auto"/>
              <w:right w:val="single" w:sz="8" w:space="0" w:color="auto"/>
            </w:tcBorders>
            <w:shd w:val="clear" w:color="auto" w:fill="auto"/>
            <w:noWrap/>
            <w:vAlign w:val="bottom"/>
            <w:hideMark/>
          </w:tcPr>
          <w:p w14:paraId="2721BEB2" w14:textId="77777777" w:rsidR="00247CBF" w:rsidRPr="00092ED7" w:rsidRDefault="00247CBF" w:rsidP="00247CBF">
            <w:pPr>
              <w:spacing w:after="0"/>
              <w:jc w:val="center"/>
              <w:rPr>
                <w:sz w:val="20"/>
                <w:szCs w:val="20"/>
                <w:lang w:val="sr-Cyrl-CS"/>
              </w:rPr>
            </w:pPr>
            <w:r w:rsidRPr="00092ED7">
              <w:rPr>
                <w:sz w:val="20"/>
                <w:szCs w:val="20"/>
                <w:lang w:val="sr-Cyrl-CS"/>
              </w:rPr>
              <w:t>P3</w:t>
            </w:r>
          </w:p>
        </w:tc>
        <w:tc>
          <w:tcPr>
            <w:tcW w:w="1380" w:type="dxa"/>
            <w:gridSpan w:val="3"/>
            <w:tcBorders>
              <w:top w:val="nil"/>
              <w:left w:val="nil"/>
              <w:bottom w:val="dashed" w:sz="4" w:space="0" w:color="auto"/>
              <w:right w:val="dashed" w:sz="4" w:space="0" w:color="auto"/>
            </w:tcBorders>
            <w:shd w:val="clear" w:color="auto" w:fill="auto"/>
            <w:noWrap/>
            <w:vAlign w:val="center"/>
            <w:hideMark/>
          </w:tcPr>
          <w:p w14:paraId="549D7ABF" w14:textId="77777777" w:rsidR="00247CBF" w:rsidRPr="00092ED7" w:rsidRDefault="00247CBF" w:rsidP="00247CBF">
            <w:pPr>
              <w:spacing w:after="0"/>
              <w:jc w:val="right"/>
              <w:rPr>
                <w:sz w:val="20"/>
                <w:szCs w:val="20"/>
                <w:lang w:val="sr-Cyrl-CS"/>
              </w:rPr>
            </w:pPr>
            <w:r w:rsidRPr="00092ED7">
              <w:rPr>
                <w:sz w:val="20"/>
                <w:szCs w:val="20"/>
                <w:lang w:val="sr-Cyrl-CS"/>
              </w:rPr>
              <w:t>3.666,6</w:t>
            </w:r>
          </w:p>
        </w:tc>
        <w:tc>
          <w:tcPr>
            <w:tcW w:w="1300" w:type="dxa"/>
            <w:gridSpan w:val="4"/>
            <w:tcBorders>
              <w:top w:val="nil"/>
              <w:left w:val="nil"/>
              <w:bottom w:val="dashed" w:sz="4" w:space="0" w:color="auto"/>
              <w:right w:val="dashed" w:sz="4" w:space="0" w:color="auto"/>
            </w:tcBorders>
            <w:shd w:val="clear" w:color="auto" w:fill="auto"/>
            <w:noWrap/>
            <w:vAlign w:val="center"/>
            <w:hideMark/>
          </w:tcPr>
          <w:p w14:paraId="387AC130" w14:textId="77777777" w:rsidR="00247CBF" w:rsidRPr="00092ED7" w:rsidRDefault="00247CBF" w:rsidP="00247CBF">
            <w:pPr>
              <w:spacing w:after="0"/>
              <w:jc w:val="right"/>
              <w:rPr>
                <w:sz w:val="20"/>
                <w:szCs w:val="20"/>
                <w:lang w:val="sr-Cyrl-CS"/>
              </w:rPr>
            </w:pPr>
            <w:r w:rsidRPr="00092ED7">
              <w:rPr>
                <w:sz w:val="20"/>
                <w:szCs w:val="20"/>
                <w:lang w:val="sr-Cyrl-CS"/>
              </w:rPr>
              <w:t>4.134,2</w:t>
            </w:r>
          </w:p>
        </w:tc>
        <w:tc>
          <w:tcPr>
            <w:tcW w:w="1360" w:type="dxa"/>
            <w:gridSpan w:val="4"/>
            <w:tcBorders>
              <w:top w:val="nil"/>
              <w:left w:val="nil"/>
              <w:bottom w:val="dashed" w:sz="4" w:space="0" w:color="auto"/>
              <w:right w:val="dashed" w:sz="4" w:space="0" w:color="auto"/>
            </w:tcBorders>
            <w:shd w:val="clear" w:color="auto" w:fill="auto"/>
            <w:noWrap/>
            <w:vAlign w:val="center"/>
            <w:hideMark/>
          </w:tcPr>
          <w:p w14:paraId="58521312" w14:textId="77777777" w:rsidR="00247CBF" w:rsidRPr="00092ED7" w:rsidRDefault="00247CBF" w:rsidP="00247CBF">
            <w:pPr>
              <w:spacing w:after="0"/>
              <w:jc w:val="right"/>
              <w:rPr>
                <w:sz w:val="20"/>
                <w:szCs w:val="20"/>
                <w:lang w:val="sr-Cyrl-CS"/>
              </w:rPr>
            </w:pPr>
            <w:r w:rsidRPr="00092ED7">
              <w:rPr>
                <w:sz w:val="20"/>
                <w:szCs w:val="20"/>
                <w:lang w:val="sr-Cyrl-CS"/>
              </w:rPr>
              <w:t>4.795,8</w:t>
            </w:r>
          </w:p>
        </w:tc>
        <w:tc>
          <w:tcPr>
            <w:tcW w:w="1260" w:type="dxa"/>
            <w:gridSpan w:val="4"/>
            <w:tcBorders>
              <w:top w:val="nil"/>
              <w:left w:val="nil"/>
              <w:bottom w:val="dashed" w:sz="4" w:space="0" w:color="auto"/>
              <w:right w:val="dashed" w:sz="4" w:space="0" w:color="auto"/>
            </w:tcBorders>
            <w:shd w:val="clear" w:color="auto" w:fill="auto"/>
            <w:noWrap/>
            <w:vAlign w:val="center"/>
            <w:hideMark/>
          </w:tcPr>
          <w:p w14:paraId="5FB28210" w14:textId="77777777" w:rsidR="00247CBF" w:rsidRPr="00092ED7" w:rsidRDefault="00247CBF" w:rsidP="00247CBF">
            <w:pPr>
              <w:spacing w:after="0"/>
              <w:jc w:val="right"/>
              <w:rPr>
                <w:sz w:val="20"/>
                <w:szCs w:val="20"/>
                <w:lang w:val="sr-Cyrl-CS"/>
              </w:rPr>
            </w:pPr>
            <w:r w:rsidRPr="00092ED7">
              <w:rPr>
                <w:sz w:val="20"/>
                <w:szCs w:val="20"/>
                <w:lang w:val="sr-Cyrl-CS"/>
              </w:rPr>
              <w:t>5.438,8</w:t>
            </w:r>
          </w:p>
        </w:tc>
        <w:tc>
          <w:tcPr>
            <w:tcW w:w="1260" w:type="dxa"/>
            <w:gridSpan w:val="3"/>
            <w:tcBorders>
              <w:top w:val="nil"/>
              <w:left w:val="nil"/>
              <w:bottom w:val="dashed" w:sz="4" w:space="0" w:color="auto"/>
              <w:right w:val="dashed" w:sz="4" w:space="0" w:color="auto"/>
            </w:tcBorders>
            <w:shd w:val="clear" w:color="auto" w:fill="auto"/>
            <w:noWrap/>
            <w:vAlign w:val="center"/>
            <w:hideMark/>
          </w:tcPr>
          <w:p w14:paraId="5E348890" w14:textId="77777777" w:rsidR="00247CBF" w:rsidRPr="00092ED7" w:rsidRDefault="00247CBF" w:rsidP="00247CBF">
            <w:pPr>
              <w:spacing w:after="0"/>
              <w:jc w:val="right"/>
              <w:rPr>
                <w:sz w:val="20"/>
                <w:szCs w:val="20"/>
                <w:lang w:val="sr-Cyrl-CS"/>
              </w:rPr>
            </w:pPr>
            <w:r w:rsidRPr="00092ED7">
              <w:rPr>
                <w:sz w:val="20"/>
                <w:szCs w:val="20"/>
                <w:lang w:val="sr-Cyrl-CS"/>
              </w:rPr>
              <w:t>5.876,4</w:t>
            </w:r>
          </w:p>
        </w:tc>
        <w:tc>
          <w:tcPr>
            <w:tcW w:w="1268" w:type="dxa"/>
            <w:gridSpan w:val="3"/>
            <w:tcBorders>
              <w:top w:val="nil"/>
              <w:left w:val="nil"/>
              <w:bottom w:val="dashed" w:sz="4" w:space="0" w:color="auto"/>
              <w:right w:val="double" w:sz="4" w:space="0" w:color="auto"/>
            </w:tcBorders>
            <w:shd w:val="clear" w:color="auto" w:fill="auto"/>
            <w:noWrap/>
            <w:vAlign w:val="center"/>
            <w:hideMark/>
          </w:tcPr>
          <w:p w14:paraId="2067D39B" w14:textId="77777777" w:rsidR="00247CBF" w:rsidRPr="00092ED7" w:rsidRDefault="00247CBF" w:rsidP="00247CBF">
            <w:pPr>
              <w:spacing w:after="0"/>
              <w:jc w:val="right"/>
              <w:rPr>
                <w:sz w:val="20"/>
                <w:szCs w:val="20"/>
                <w:lang w:val="sr-Cyrl-CS"/>
              </w:rPr>
            </w:pPr>
            <w:r w:rsidRPr="00092ED7">
              <w:rPr>
                <w:sz w:val="20"/>
                <w:szCs w:val="20"/>
                <w:lang w:val="sr-Cyrl-CS"/>
              </w:rPr>
              <w:t>6.301,0</w:t>
            </w:r>
          </w:p>
        </w:tc>
      </w:tr>
      <w:tr w:rsidR="00247CBF" w:rsidRPr="00092ED7" w14:paraId="5D2ABE1A" w14:textId="77777777" w:rsidTr="00247CBF">
        <w:trPr>
          <w:gridAfter w:val="3"/>
          <w:wAfter w:w="365" w:type="dxa"/>
          <w:trHeight w:val="255"/>
        </w:trPr>
        <w:tc>
          <w:tcPr>
            <w:tcW w:w="4962" w:type="dxa"/>
            <w:gridSpan w:val="3"/>
            <w:tcBorders>
              <w:top w:val="nil"/>
              <w:left w:val="double" w:sz="6" w:space="0" w:color="auto"/>
              <w:bottom w:val="dashed" w:sz="4" w:space="0" w:color="auto"/>
              <w:right w:val="nil"/>
            </w:tcBorders>
            <w:shd w:val="clear" w:color="auto" w:fill="auto"/>
            <w:noWrap/>
            <w:vAlign w:val="bottom"/>
            <w:hideMark/>
          </w:tcPr>
          <w:p w14:paraId="55356C36"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Државна потрошња</w:t>
            </w:r>
          </w:p>
        </w:tc>
        <w:tc>
          <w:tcPr>
            <w:tcW w:w="1447" w:type="dxa"/>
            <w:gridSpan w:val="3"/>
            <w:tcBorders>
              <w:top w:val="nil"/>
              <w:left w:val="single" w:sz="8" w:space="0" w:color="auto"/>
              <w:bottom w:val="dashed" w:sz="4" w:space="0" w:color="auto"/>
              <w:right w:val="single" w:sz="8" w:space="0" w:color="auto"/>
            </w:tcBorders>
            <w:shd w:val="clear" w:color="auto" w:fill="auto"/>
            <w:noWrap/>
            <w:vAlign w:val="bottom"/>
            <w:hideMark/>
          </w:tcPr>
          <w:p w14:paraId="7D853B77" w14:textId="77777777" w:rsidR="00247CBF" w:rsidRPr="00092ED7" w:rsidRDefault="00247CBF" w:rsidP="00247CBF">
            <w:pPr>
              <w:spacing w:after="0"/>
              <w:jc w:val="center"/>
              <w:rPr>
                <w:sz w:val="20"/>
                <w:szCs w:val="20"/>
                <w:lang w:val="sr-Cyrl-CS"/>
              </w:rPr>
            </w:pPr>
            <w:r w:rsidRPr="00092ED7">
              <w:rPr>
                <w:sz w:val="20"/>
                <w:szCs w:val="20"/>
                <w:lang w:val="sr-Cyrl-CS"/>
              </w:rPr>
              <w:t>P3</w:t>
            </w:r>
          </w:p>
        </w:tc>
        <w:tc>
          <w:tcPr>
            <w:tcW w:w="1380" w:type="dxa"/>
            <w:gridSpan w:val="3"/>
            <w:tcBorders>
              <w:top w:val="nil"/>
              <w:left w:val="nil"/>
              <w:bottom w:val="dashed" w:sz="4" w:space="0" w:color="auto"/>
              <w:right w:val="dashed" w:sz="4" w:space="0" w:color="auto"/>
            </w:tcBorders>
            <w:shd w:val="clear" w:color="auto" w:fill="auto"/>
            <w:noWrap/>
            <w:vAlign w:val="center"/>
            <w:hideMark/>
          </w:tcPr>
          <w:p w14:paraId="7B473AFD" w14:textId="77777777" w:rsidR="00247CBF" w:rsidRPr="00092ED7" w:rsidRDefault="00247CBF" w:rsidP="00247CBF">
            <w:pPr>
              <w:spacing w:after="0"/>
              <w:jc w:val="right"/>
              <w:rPr>
                <w:sz w:val="20"/>
                <w:szCs w:val="20"/>
                <w:lang w:val="sr-Cyrl-CS"/>
              </w:rPr>
            </w:pPr>
            <w:r w:rsidRPr="00092ED7">
              <w:rPr>
                <w:sz w:val="20"/>
                <w:szCs w:val="20"/>
                <w:lang w:val="sr-Cyrl-CS"/>
              </w:rPr>
              <w:t>962,2</w:t>
            </w:r>
          </w:p>
        </w:tc>
        <w:tc>
          <w:tcPr>
            <w:tcW w:w="1300" w:type="dxa"/>
            <w:gridSpan w:val="4"/>
            <w:tcBorders>
              <w:top w:val="nil"/>
              <w:left w:val="nil"/>
              <w:bottom w:val="dashed" w:sz="4" w:space="0" w:color="auto"/>
              <w:right w:val="dashed" w:sz="4" w:space="0" w:color="auto"/>
            </w:tcBorders>
            <w:shd w:val="clear" w:color="auto" w:fill="auto"/>
            <w:noWrap/>
            <w:vAlign w:val="center"/>
            <w:hideMark/>
          </w:tcPr>
          <w:p w14:paraId="76AEF85D" w14:textId="77777777" w:rsidR="00247CBF" w:rsidRPr="00092ED7" w:rsidRDefault="00247CBF" w:rsidP="00247CBF">
            <w:pPr>
              <w:spacing w:after="0"/>
              <w:jc w:val="right"/>
              <w:rPr>
                <w:sz w:val="20"/>
                <w:szCs w:val="20"/>
                <w:lang w:val="sr-Cyrl-CS"/>
              </w:rPr>
            </w:pPr>
            <w:r w:rsidRPr="00092ED7">
              <w:rPr>
                <w:sz w:val="20"/>
                <w:szCs w:val="20"/>
                <w:lang w:val="sr-Cyrl-CS"/>
              </w:rPr>
              <w:t>1.056,6</w:t>
            </w:r>
          </w:p>
        </w:tc>
        <w:tc>
          <w:tcPr>
            <w:tcW w:w="1360" w:type="dxa"/>
            <w:gridSpan w:val="4"/>
            <w:tcBorders>
              <w:top w:val="nil"/>
              <w:left w:val="nil"/>
              <w:bottom w:val="dashed" w:sz="4" w:space="0" w:color="auto"/>
              <w:right w:val="dashed" w:sz="4" w:space="0" w:color="auto"/>
            </w:tcBorders>
            <w:shd w:val="clear" w:color="auto" w:fill="auto"/>
            <w:noWrap/>
            <w:vAlign w:val="center"/>
            <w:hideMark/>
          </w:tcPr>
          <w:p w14:paraId="317AFCC0" w14:textId="77777777" w:rsidR="00247CBF" w:rsidRPr="00092ED7" w:rsidRDefault="00247CBF" w:rsidP="00247CBF">
            <w:pPr>
              <w:spacing w:after="0"/>
              <w:jc w:val="right"/>
              <w:rPr>
                <w:sz w:val="20"/>
                <w:szCs w:val="20"/>
                <w:lang w:val="sr-Cyrl-CS"/>
              </w:rPr>
            </w:pPr>
            <w:r w:rsidRPr="00092ED7">
              <w:rPr>
                <w:sz w:val="20"/>
                <w:szCs w:val="20"/>
                <w:lang w:val="sr-Cyrl-CS"/>
              </w:rPr>
              <w:t>1.167,4</w:t>
            </w:r>
          </w:p>
        </w:tc>
        <w:tc>
          <w:tcPr>
            <w:tcW w:w="1260" w:type="dxa"/>
            <w:gridSpan w:val="4"/>
            <w:tcBorders>
              <w:top w:val="nil"/>
              <w:left w:val="nil"/>
              <w:bottom w:val="dashed" w:sz="4" w:space="0" w:color="auto"/>
              <w:right w:val="dashed" w:sz="4" w:space="0" w:color="auto"/>
            </w:tcBorders>
            <w:shd w:val="clear" w:color="auto" w:fill="auto"/>
            <w:noWrap/>
            <w:vAlign w:val="center"/>
            <w:hideMark/>
          </w:tcPr>
          <w:p w14:paraId="563F1A0E" w14:textId="77777777" w:rsidR="00247CBF" w:rsidRPr="00092ED7" w:rsidRDefault="00247CBF" w:rsidP="00247CBF">
            <w:pPr>
              <w:spacing w:after="0"/>
              <w:jc w:val="right"/>
              <w:rPr>
                <w:sz w:val="20"/>
                <w:szCs w:val="20"/>
                <w:lang w:val="sr-Cyrl-CS"/>
              </w:rPr>
            </w:pPr>
            <w:r w:rsidRPr="00092ED7">
              <w:rPr>
                <w:sz w:val="20"/>
                <w:szCs w:val="20"/>
                <w:lang w:val="sr-Cyrl-CS"/>
              </w:rPr>
              <w:t>1.272,2</w:t>
            </w:r>
          </w:p>
        </w:tc>
        <w:tc>
          <w:tcPr>
            <w:tcW w:w="1260" w:type="dxa"/>
            <w:gridSpan w:val="3"/>
            <w:tcBorders>
              <w:top w:val="nil"/>
              <w:left w:val="nil"/>
              <w:bottom w:val="dashed" w:sz="4" w:space="0" w:color="auto"/>
              <w:right w:val="dashed" w:sz="4" w:space="0" w:color="auto"/>
            </w:tcBorders>
            <w:shd w:val="clear" w:color="auto" w:fill="auto"/>
            <w:noWrap/>
            <w:vAlign w:val="center"/>
            <w:hideMark/>
          </w:tcPr>
          <w:p w14:paraId="4DD76FCA" w14:textId="77777777" w:rsidR="00247CBF" w:rsidRPr="00092ED7" w:rsidRDefault="00247CBF" w:rsidP="00247CBF">
            <w:pPr>
              <w:spacing w:after="0"/>
              <w:jc w:val="right"/>
              <w:rPr>
                <w:sz w:val="20"/>
                <w:szCs w:val="20"/>
                <w:lang w:val="sr-Cyrl-CS"/>
              </w:rPr>
            </w:pPr>
            <w:r w:rsidRPr="00092ED7">
              <w:rPr>
                <w:sz w:val="20"/>
                <w:szCs w:val="20"/>
                <w:lang w:val="sr-Cyrl-CS"/>
              </w:rPr>
              <w:t>1.354,0</w:t>
            </w:r>
          </w:p>
        </w:tc>
        <w:tc>
          <w:tcPr>
            <w:tcW w:w="1268" w:type="dxa"/>
            <w:gridSpan w:val="3"/>
            <w:tcBorders>
              <w:top w:val="nil"/>
              <w:left w:val="nil"/>
              <w:bottom w:val="dashed" w:sz="4" w:space="0" w:color="auto"/>
              <w:right w:val="double" w:sz="4" w:space="0" w:color="auto"/>
            </w:tcBorders>
            <w:shd w:val="clear" w:color="auto" w:fill="auto"/>
            <w:noWrap/>
            <w:vAlign w:val="center"/>
            <w:hideMark/>
          </w:tcPr>
          <w:p w14:paraId="5CE87704" w14:textId="77777777" w:rsidR="00247CBF" w:rsidRPr="00092ED7" w:rsidRDefault="00247CBF" w:rsidP="00247CBF">
            <w:pPr>
              <w:spacing w:after="0"/>
              <w:jc w:val="right"/>
              <w:rPr>
                <w:sz w:val="20"/>
                <w:szCs w:val="20"/>
                <w:lang w:val="sr-Cyrl-CS"/>
              </w:rPr>
            </w:pPr>
            <w:r w:rsidRPr="00092ED7">
              <w:rPr>
                <w:sz w:val="20"/>
                <w:szCs w:val="20"/>
                <w:lang w:val="sr-Cyrl-CS"/>
              </w:rPr>
              <w:t>1.441,8</w:t>
            </w:r>
          </w:p>
        </w:tc>
      </w:tr>
      <w:tr w:rsidR="00247CBF" w:rsidRPr="00092ED7" w14:paraId="7A147F9B" w14:textId="77777777" w:rsidTr="00247CBF">
        <w:trPr>
          <w:gridAfter w:val="3"/>
          <w:wAfter w:w="365" w:type="dxa"/>
          <w:trHeight w:val="255"/>
        </w:trPr>
        <w:tc>
          <w:tcPr>
            <w:tcW w:w="4962" w:type="dxa"/>
            <w:gridSpan w:val="3"/>
            <w:tcBorders>
              <w:top w:val="nil"/>
              <w:left w:val="double" w:sz="6" w:space="0" w:color="auto"/>
              <w:bottom w:val="dashed" w:sz="4" w:space="0" w:color="auto"/>
              <w:right w:val="nil"/>
            </w:tcBorders>
            <w:shd w:val="clear" w:color="auto" w:fill="auto"/>
            <w:noWrap/>
            <w:vAlign w:val="bottom"/>
            <w:hideMark/>
          </w:tcPr>
          <w:p w14:paraId="4BCBC9A1"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Бруто инвестиције у основна средства</w:t>
            </w:r>
          </w:p>
        </w:tc>
        <w:tc>
          <w:tcPr>
            <w:tcW w:w="1447" w:type="dxa"/>
            <w:gridSpan w:val="3"/>
            <w:tcBorders>
              <w:top w:val="nil"/>
              <w:left w:val="single" w:sz="8" w:space="0" w:color="auto"/>
              <w:bottom w:val="dashed" w:sz="4" w:space="0" w:color="auto"/>
              <w:right w:val="single" w:sz="8" w:space="0" w:color="auto"/>
            </w:tcBorders>
            <w:shd w:val="clear" w:color="auto" w:fill="auto"/>
            <w:noWrap/>
            <w:vAlign w:val="bottom"/>
            <w:hideMark/>
          </w:tcPr>
          <w:p w14:paraId="64030BB0" w14:textId="77777777" w:rsidR="00247CBF" w:rsidRPr="00092ED7" w:rsidRDefault="00247CBF" w:rsidP="00247CBF">
            <w:pPr>
              <w:spacing w:after="0"/>
              <w:jc w:val="center"/>
              <w:rPr>
                <w:sz w:val="20"/>
                <w:szCs w:val="20"/>
                <w:lang w:val="sr-Cyrl-CS"/>
              </w:rPr>
            </w:pPr>
            <w:r w:rsidRPr="00092ED7">
              <w:rPr>
                <w:sz w:val="20"/>
                <w:szCs w:val="20"/>
                <w:lang w:val="sr-Cyrl-CS"/>
              </w:rPr>
              <w:t>P51</w:t>
            </w:r>
          </w:p>
        </w:tc>
        <w:tc>
          <w:tcPr>
            <w:tcW w:w="1380" w:type="dxa"/>
            <w:gridSpan w:val="3"/>
            <w:tcBorders>
              <w:top w:val="nil"/>
              <w:left w:val="nil"/>
              <w:bottom w:val="dashed" w:sz="4" w:space="0" w:color="auto"/>
              <w:right w:val="dashed" w:sz="4" w:space="0" w:color="auto"/>
            </w:tcBorders>
            <w:shd w:val="clear" w:color="auto" w:fill="auto"/>
            <w:noWrap/>
            <w:vAlign w:val="center"/>
            <w:hideMark/>
          </w:tcPr>
          <w:p w14:paraId="63E455D9" w14:textId="77777777" w:rsidR="00247CBF" w:rsidRPr="00092ED7" w:rsidRDefault="00247CBF" w:rsidP="00247CBF">
            <w:pPr>
              <w:spacing w:after="0"/>
              <w:jc w:val="right"/>
              <w:rPr>
                <w:sz w:val="20"/>
                <w:szCs w:val="20"/>
                <w:lang w:val="sr-Cyrl-CS"/>
              </w:rPr>
            </w:pPr>
            <w:r w:rsidRPr="00092ED7">
              <w:rPr>
                <w:sz w:val="20"/>
                <w:szCs w:val="20"/>
                <w:lang w:val="sr-Cyrl-CS"/>
              </w:rPr>
              <w:t>1.180,1</w:t>
            </w:r>
          </w:p>
        </w:tc>
        <w:tc>
          <w:tcPr>
            <w:tcW w:w="1300" w:type="dxa"/>
            <w:gridSpan w:val="4"/>
            <w:tcBorders>
              <w:top w:val="nil"/>
              <w:left w:val="nil"/>
              <w:bottom w:val="dashed" w:sz="4" w:space="0" w:color="auto"/>
              <w:right w:val="dashed" w:sz="4" w:space="0" w:color="auto"/>
            </w:tcBorders>
            <w:shd w:val="clear" w:color="auto" w:fill="auto"/>
            <w:noWrap/>
            <w:vAlign w:val="center"/>
            <w:hideMark/>
          </w:tcPr>
          <w:p w14:paraId="49BE49C9" w14:textId="77777777" w:rsidR="00247CBF" w:rsidRPr="00092ED7" w:rsidRDefault="00247CBF" w:rsidP="00247CBF">
            <w:pPr>
              <w:spacing w:after="0"/>
              <w:jc w:val="right"/>
              <w:rPr>
                <w:sz w:val="20"/>
                <w:szCs w:val="20"/>
                <w:lang w:val="sr-Cyrl-CS"/>
              </w:rPr>
            </w:pPr>
            <w:r w:rsidRPr="00092ED7">
              <w:rPr>
                <w:sz w:val="20"/>
                <w:szCs w:val="20"/>
                <w:lang w:val="sr-Cyrl-CS"/>
              </w:rPr>
              <w:t>1.448,5</w:t>
            </w:r>
          </w:p>
        </w:tc>
        <w:tc>
          <w:tcPr>
            <w:tcW w:w="1360" w:type="dxa"/>
            <w:gridSpan w:val="4"/>
            <w:tcBorders>
              <w:top w:val="nil"/>
              <w:left w:val="nil"/>
              <w:bottom w:val="dashed" w:sz="4" w:space="0" w:color="auto"/>
              <w:right w:val="dashed" w:sz="4" w:space="0" w:color="auto"/>
            </w:tcBorders>
            <w:shd w:val="clear" w:color="auto" w:fill="auto"/>
            <w:noWrap/>
            <w:vAlign w:val="center"/>
            <w:hideMark/>
          </w:tcPr>
          <w:p w14:paraId="242189B3" w14:textId="77777777" w:rsidR="00247CBF" w:rsidRPr="00092ED7" w:rsidRDefault="00247CBF" w:rsidP="00247CBF">
            <w:pPr>
              <w:spacing w:after="0"/>
              <w:jc w:val="right"/>
              <w:rPr>
                <w:sz w:val="20"/>
                <w:szCs w:val="20"/>
                <w:lang w:val="sr-Cyrl-CS"/>
              </w:rPr>
            </w:pPr>
            <w:r w:rsidRPr="00092ED7">
              <w:rPr>
                <w:sz w:val="20"/>
                <w:szCs w:val="20"/>
                <w:lang w:val="sr-Cyrl-CS"/>
              </w:rPr>
              <w:t>1.657,6</w:t>
            </w:r>
          </w:p>
        </w:tc>
        <w:tc>
          <w:tcPr>
            <w:tcW w:w="1260" w:type="dxa"/>
            <w:gridSpan w:val="4"/>
            <w:tcBorders>
              <w:top w:val="nil"/>
              <w:left w:val="nil"/>
              <w:bottom w:val="dashed" w:sz="4" w:space="0" w:color="auto"/>
              <w:right w:val="dashed" w:sz="4" w:space="0" w:color="auto"/>
            </w:tcBorders>
            <w:shd w:val="clear" w:color="auto" w:fill="auto"/>
            <w:noWrap/>
            <w:vAlign w:val="center"/>
            <w:hideMark/>
          </w:tcPr>
          <w:p w14:paraId="35AC5E29" w14:textId="77777777" w:rsidR="00247CBF" w:rsidRPr="00092ED7" w:rsidRDefault="00247CBF" w:rsidP="00247CBF">
            <w:pPr>
              <w:spacing w:after="0"/>
              <w:jc w:val="right"/>
              <w:rPr>
                <w:sz w:val="20"/>
                <w:szCs w:val="20"/>
                <w:lang w:val="sr-Cyrl-CS"/>
              </w:rPr>
            </w:pPr>
            <w:r w:rsidRPr="00092ED7">
              <w:rPr>
                <w:sz w:val="20"/>
                <w:szCs w:val="20"/>
                <w:lang w:val="sr-Cyrl-CS"/>
              </w:rPr>
              <w:t>1.823,0</w:t>
            </w:r>
          </w:p>
        </w:tc>
        <w:tc>
          <w:tcPr>
            <w:tcW w:w="1260" w:type="dxa"/>
            <w:gridSpan w:val="3"/>
            <w:tcBorders>
              <w:top w:val="nil"/>
              <w:left w:val="nil"/>
              <w:bottom w:val="dashed" w:sz="4" w:space="0" w:color="auto"/>
              <w:right w:val="dashed" w:sz="4" w:space="0" w:color="auto"/>
            </w:tcBorders>
            <w:shd w:val="clear" w:color="auto" w:fill="auto"/>
            <w:noWrap/>
            <w:vAlign w:val="center"/>
            <w:hideMark/>
          </w:tcPr>
          <w:p w14:paraId="30A52556" w14:textId="77777777" w:rsidR="00247CBF" w:rsidRPr="00092ED7" w:rsidRDefault="00247CBF" w:rsidP="00247CBF">
            <w:pPr>
              <w:spacing w:after="0"/>
              <w:jc w:val="right"/>
              <w:rPr>
                <w:sz w:val="20"/>
                <w:szCs w:val="20"/>
                <w:lang w:val="sr-Cyrl-CS"/>
              </w:rPr>
            </w:pPr>
            <w:r w:rsidRPr="00092ED7">
              <w:rPr>
                <w:sz w:val="20"/>
                <w:szCs w:val="20"/>
                <w:lang w:val="sr-Cyrl-CS"/>
              </w:rPr>
              <w:t>2.017,3</w:t>
            </w:r>
          </w:p>
        </w:tc>
        <w:tc>
          <w:tcPr>
            <w:tcW w:w="1268" w:type="dxa"/>
            <w:gridSpan w:val="3"/>
            <w:tcBorders>
              <w:top w:val="nil"/>
              <w:left w:val="nil"/>
              <w:bottom w:val="dashed" w:sz="4" w:space="0" w:color="auto"/>
              <w:right w:val="double" w:sz="4" w:space="0" w:color="auto"/>
            </w:tcBorders>
            <w:shd w:val="clear" w:color="auto" w:fill="auto"/>
            <w:noWrap/>
            <w:vAlign w:val="center"/>
            <w:hideMark/>
          </w:tcPr>
          <w:p w14:paraId="4A9610EF" w14:textId="77777777" w:rsidR="00247CBF" w:rsidRPr="00092ED7" w:rsidRDefault="00247CBF" w:rsidP="00247CBF">
            <w:pPr>
              <w:spacing w:after="0"/>
              <w:jc w:val="right"/>
              <w:rPr>
                <w:sz w:val="20"/>
                <w:szCs w:val="20"/>
                <w:lang w:val="sr-Cyrl-CS"/>
              </w:rPr>
            </w:pPr>
            <w:r w:rsidRPr="00092ED7">
              <w:rPr>
                <w:sz w:val="20"/>
                <w:szCs w:val="20"/>
                <w:lang w:val="sr-Cyrl-CS"/>
              </w:rPr>
              <w:t>2.220,5</w:t>
            </w:r>
          </w:p>
        </w:tc>
      </w:tr>
      <w:tr w:rsidR="00247CBF" w:rsidRPr="00092ED7" w14:paraId="4B80A137" w14:textId="77777777" w:rsidTr="00247CBF">
        <w:trPr>
          <w:gridAfter w:val="3"/>
          <w:wAfter w:w="365" w:type="dxa"/>
          <w:trHeight w:val="255"/>
        </w:trPr>
        <w:tc>
          <w:tcPr>
            <w:tcW w:w="4962" w:type="dxa"/>
            <w:gridSpan w:val="3"/>
            <w:tcBorders>
              <w:top w:val="nil"/>
              <w:left w:val="double" w:sz="6" w:space="0" w:color="auto"/>
              <w:bottom w:val="dashed" w:sz="4" w:space="0" w:color="auto"/>
              <w:right w:val="nil"/>
            </w:tcBorders>
            <w:shd w:val="clear" w:color="auto" w:fill="auto"/>
            <w:noWrap/>
            <w:vAlign w:val="bottom"/>
            <w:hideMark/>
          </w:tcPr>
          <w:p w14:paraId="7F7054E4"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Домаћа тражња</w:t>
            </w:r>
          </w:p>
        </w:tc>
        <w:tc>
          <w:tcPr>
            <w:tcW w:w="1447" w:type="dxa"/>
            <w:gridSpan w:val="3"/>
            <w:tcBorders>
              <w:top w:val="nil"/>
              <w:left w:val="single" w:sz="8" w:space="0" w:color="auto"/>
              <w:bottom w:val="dashed" w:sz="4" w:space="0" w:color="auto"/>
              <w:right w:val="single" w:sz="8" w:space="0" w:color="auto"/>
            </w:tcBorders>
            <w:shd w:val="clear" w:color="auto" w:fill="auto"/>
            <w:noWrap/>
            <w:vAlign w:val="bottom"/>
            <w:hideMark/>
          </w:tcPr>
          <w:p w14:paraId="1375AB23" w14:textId="77777777" w:rsidR="00247CBF" w:rsidRPr="00092ED7" w:rsidRDefault="00247CBF" w:rsidP="00247CBF">
            <w:pPr>
              <w:spacing w:after="0"/>
              <w:jc w:val="center"/>
              <w:rPr>
                <w:sz w:val="20"/>
                <w:szCs w:val="20"/>
                <w:lang w:val="sr-Cyrl-CS"/>
              </w:rPr>
            </w:pPr>
            <w:r w:rsidRPr="00092ED7">
              <w:rPr>
                <w:sz w:val="20"/>
                <w:szCs w:val="20"/>
                <w:lang w:val="sr-Cyrl-CS"/>
              </w:rPr>
              <w:t> </w:t>
            </w:r>
          </w:p>
        </w:tc>
        <w:tc>
          <w:tcPr>
            <w:tcW w:w="1380" w:type="dxa"/>
            <w:gridSpan w:val="3"/>
            <w:tcBorders>
              <w:top w:val="nil"/>
              <w:left w:val="nil"/>
              <w:bottom w:val="dashed" w:sz="4" w:space="0" w:color="auto"/>
              <w:right w:val="dashed" w:sz="4" w:space="0" w:color="auto"/>
            </w:tcBorders>
            <w:shd w:val="clear" w:color="auto" w:fill="auto"/>
            <w:noWrap/>
            <w:vAlign w:val="center"/>
            <w:hideMark/>
          </w:tcPr>
          <w:p w14:paraId="24331E61" w14:textId="77777777" w:rsidR="00247CBF" w:rsidRPr="00092ED7" w:rsidRDefault="00247CBF" w:rsidP="00247CBF">
            <w:pPr>
              <w:spacing w:after="0"/>
              <w:jc w:val="right"/>
              <w:rPr>
                <w:sz w:val="20"/>
                <w:szCs w:val="20"/>
                <w:lang w:val="sr-Cyrl-CS"/>
              </w:rPr>
            </w:pPr>
            <w:r w:rsidRPr="00092ED7">
              <w:rPr>
                <w:sz w:val="20"/>
                <w:szCs w:val="20"/>
                <w:lang w:val="sr-Cyrl-CS"/>
              </w:rPr>
              <w:t>5.809,0</w:t>
            </w:r>
          </w:p>
        </w:tc>
        <w:tc>
          <w:tcPr>
            <w:tcW w:w="1300" w:type="dxa"/>
            <w:gridSpan w:val="4"/>
            <w:tcBorders>
              <w:top w:val="nil"/>
              <w:left w:val="nil"/>
              <w:bottom w:val="dashed" w:sz="4" w:space="0" w:color="auto"/>
              <w:right w:val="dashed" w:sz="4" w:space="0" w:color="auto"/>
            </w:tcBorders>
            <w:shd w:val="clear" w:color="auto" w:fill="auto"/>
            <w:noWrap/>
            <w:vAlign w:val="center"/>
            <w:hideMark/>
          </w:tcPr>
          <w:p w14:paraId="58213FB6" w14:textId="77777777" w:rsidR="00247CBF" w:rsidRPr="00092ED7" w:rsidRDefault="00247CBF" w:rsidP="00247CBF">
            <w:pPr>
              <w:spacing w:after="0"/>
              <w:jc w:val="right"/>
              <w:rPr>
                <w:sz w:val="20"/>
                <w:szCs w:val="20"/>
                <w:lang w:val="sr-Cyrl-CS"/>
              </w:rPr>
            </w:pPr>
            <w:r w:rsidRPr="00092ED7">
              <w:rPr>
                <w:sz w:val="20"/>
                <w:szCs w:val="20"/>
                <w:lang w:val="sr-Cyrl-CS"/>
              </w:rPr>
              <w:t>6.639,2</w:t>
            </w:r>
          </w:p>
        </w:tc>
        <w:tc>
          <w:tcPr>
            <w:tcW w:w="1360" w:type="dxa"/>
            <w:gridSpan w:val="4"/>
            <w:tcBorders>
              <w:top w:val="nil"/>
              <w:left w:val="nil"/>
              <w:bottom w:val="dashed" w:sz="4" w:space="0" w:color="auto"/>
              <w:right w:val="dashed" w:sz="4" w:space="0" w:color="auto"/>
            </w:tcBorders>
            <w:shd w:val="clear" w:color="auto" w:fill="auto"/>
            <w:noWrap/>
            <w:vAlign w:val="center"/>
            <w:hideMark/>
          </w:tcPr>
          <w:p w14:paraId="0E96061B" w14:textId="77777777" w:rsidR="00247CBF" w:rsidRPr="00092ED7" w:rsidRDefault="00247CBF" w:rsidP="00247CBF">
            <w:pPr>
              <w:spacing w:after="0"/>
              <w:jc w:val="right"/>
              <w:rPr>
                <w:sz w:val="20"/>
                <w:szCs w:val="20"/>
                <w:lang w:val="sr-Cyrl-CS"/>
              </w:rPr>
            </w:pPr>
            <w:r w:rsidRPr="00092ED7">
              <w:rPr>
                <w:sz w:val="20"/>
                <w:szCs w:val="20"/>
                <w:lang w:val="sr-Cyrl-CS"/>
              </w:rPr>
              <w:t>7.620,8</w:t>
            </w:r>
          </w:p>
        </w:tc>
        <w:tc>
          <w:tcPr>
            <w:tcW w:w="1260" w:type="dxa"/>
            <w:gridSpan w:val="4"/>
            <w:tcBorders>
              <w:top w:val="nil"/>
              <w:left w:val="nil"/>
              <w:bottom w:val="dashed" w:sz="4" w:space="0" w:color="auto"/>
              <w:right w:val="dashed" w:sz="4" w:space="0" w:color="auto"/>
            </w:tcBorders>
            <w:shd w:val="clear" w:color="auto" w:fill="auto"/>
            <w:noWrap/>
            <w:vAlign w:val="center"/>
            <w:hideMark/>
          </w:tcPr>
          <w:p w14:paraId="2C74FD3F" w14:textId="77777777" w:rsidR="00247CBF" w:rsidRPr="00092ED7" w:rsidRDefault="00247CBF" w:rsidP="00247CBF">
            <w:pPr>
              <w:spacing w:after="0"/>
              <w:jc w:val="right"/>
              <w:rPr>
                <w:sz w:val="20"/>
                <w:szCs w:val="20"/>
                <w:lang w:val="sr-Cyrl-CS"/>
              </w:rPr>
            </w:pPr>
            <w:r w:rsidRPr="00092ED7">
              <w:rPr>
                <w:sz w:val="20"/>
                <w:szCs w:val="20"/>
                <w:lang w:val="sr-Cyrl-CS"/>
              </w:rPr>
              <w:t>8.534,1</w:t>
            </w:r>
          </w:p>
        </w:tc>
        <w:tc>
          <w:tcPr>
            <w:tcW w:w="1260" w:type="dxa"/>
            <w:gridSpan w:val="3"/>
            <w:tcBorders>
              <w:top w:val="nil"/>
              <w:left w:val="nil"/>
              <w:bottom w:val="dashed" w:sz="4" w:space="0" w:color="auto"/>
              <w:right w:val="dashed" w:sz="4" w:space="0" w:color="auto"/>
            </w:tcBorders>
            <w:shd w:val="clear" w:color="auto" w:fill="auto"/>
            <w:noWrap/>
            <w:vAlign w:val="center"/>
            <w:hideMark/>
          </w:tcPr>
          <w:p w14:paraId="1F241FA6" w14:textId="77777777" w:rsidR="00247CBF" w:rsidRPr="00092ED7" w:rsidRDefault="00247CBF" w:rsidP="00247CBF">
            <w:pPr>
              <w:spacing w:after="0"/>
              <w:jc w:val="right"/>
              <w:rPr>
                <w:sz w:val="20"/>
                <w:szCs w:val="20"/>
                <w:lang w:val="sr-Cyrl-CS"/>
              </w:rPr>
            </w:pPr>
            <w:r w:rsidRPr="00092ED7">
              <w:rPr>
                <w:sz w:val="20"/>
                <w:szCs w:val="20"/>
                <w:lang w:val="sr-Cyrl-CS"/>
              </w:rPr>
              <w:t>9.247,7</w:t>
            </w:r>
          </w:p>
        </w:tc>
        <w:tc>
          <w:tcPr>
            <w:tcW w:w="1268" w:type="dxa"/>
            <w:gridSpan w:val="3"/>
            <w:tcBorders>
              <w:top w:val="nil"/>
              <w:left w:val="nil"/>
              <w:bottom w:val="dashed" w:sz="4" w:space="0" w:color="auto"/>
              <w:right w:val="double" w:sz="4" w:space="0" w:color="auto"/>
            </w:tcBorders>
            <w:shd w:val="clear" w:color="auto" w:fill="auto"/>
            <w:noWrap/>
            <w:vAlign w:val="center"/>
            <w:hideMark/>
          </w:tcPr>
          <w:p w14:paraId="47DEDAE7" w14:textId="77777777" w:rsidR="00247CBF" w:rsidRPr="00092ED7" w:rsidRDefault="00247CBF" w:rsidP="00247CBF">
            <w:pPr>
              <w:spacing w:after="0"/>
              <w:jc w:val="right"/>
              <w:rPr>
                <w:sz w:val="20"/>
                <w:szCs w:val="20"/>
                <w:lang w:val="sr-Cyrl-CS"/>
              </w:rPr>
            </w:pPr>
            <w:r w:rsidRPr="00092ED7">
              <w:rPr>
                <w:sz w:val="20"/>
                <w:szCs w:val="20"/>
                <w:lang w:val="sr-Cyrl-CS"/>
              </w:rPr>
              <w:t>9.963,3</w:t>
            </w:r>
          </w:p>
        </w:tc>
      </w:tr>
      <w:tr w:rsidR="00247CBF" w:rsidRPr="00092ED7" w14:paraId="587DE004" w14:textId="77777777" w:rsidTr="00247CBF">
        <w:trPr>
          <w:gridAfter w:val="3"/>
          <w:wAfter w:w="365" w:type="dxa"/>
          <w:trHeight w:val="255"/>
        </w:trPr>
        <w:tc>
          <w:tcPr>
            <w:tcW w:w="4962" w:type="dxa"/>
            <w:gridSpan w:val="3"/>
            <w:tcBorders>
              <w:top w:val="nil"/>
              <w:left w:val="double" w:sz="6" w:space="0" w:color="auto"/>
              <w:bottom w:val="dashed" w:sz="4" w:space="0" w:color="auto"/>
              <w:right w:val="nil"/>
            </w:tcBorders>
            <w:shd w:val="clear" w:color="auto" w:fill="auto"/>
            <w:noWrap/>
            <w:vAlign w:val="bottom"/>
            <w:hideMark/>
          </w:tcPr>
          <w:p w14:paraId="20B597E5"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6. Промене у залихама и нето набавка драгоцености</w:t>
            </w:r>
          </w:p>
        </w:tc>
        <w:tc>
          <w:tcPr>
            <w:tcW w:w="1447" w:type="dxa"/>
            <w:gridSpan w:val="3"/>
            <w:tcBorders>
              <w:top w:val="nil"/>
              <w:left w:val="single" w:sz="8" w:space="0" w:color="auto"/>
              <w:bottom w:val="dashed" w:sz="4" w:space="0" w:color="auto"/>
              <w:right w:val="single" w:sz="8" w:space="0" w:color="auto"/>
            </w:tcBorders>
            <w:shd w:val="clear" w:color="auto" w:fill="auto"/>
            <w:noWrap/>
            <w:vAlign w:val="bottom"/>
            <w:hideMark/>
          </w:tcPr>
          <w:p w14:paraId="7190E8A8" w14:textId="77777777" w:rsidR="00247CBF" w:rsidRPr="00092ED7" w:rsidRDefault="00247CBF" w:rsidP="00247CBF">
            <w:pPr>
              <w:spacing w:after="0"/>
              <w:jc w:val="center"/>
              <w:rPr>
                <w:sz w:val="20"/>
                <w:szCs w:val="20"/>
                <w:lang w:val="sr-Cyrl-CS"/>
              </w:rPr>
            </w:pPr>
            <w:r w:rsidRPr="00092ED7">
              <w:rPr>
                <w:sz w:val="20"/>
                <w:szCs w:val="20"/>
                <w:lang w:val="sr-Cyrl-CS"/>
              </w:rPr>
              <w:t>P52+P53</w:t>
            </w:r>
          </w:p>
        </w:tc>
        <w:tc>
          <w:tcPr>
            <w:tcW w:w="1380" w:type="dxa"/>
            <w:gridSpan w:val="3"/>
            <w:tcBorders>
              <w:top w:val="nil"/>
              <w:left w:val="nil"/>
              <w:bottom w:val="dashed" w:sz="4" w:space="0" w:color="auto"/>
              <w:right w:val="dashed" w:sz="4" w:space="0" w:color="auto"/>
            </w:tcBorders>
            <w:shd w:val="clear" w:color="auto" w:fill="auto"/>
            <w:noWrap/>
            <w:vAlign w:val="center"/>
            <w:hideMark/>
          </w:tcPr>
          <w:p w14:paraId="5F3A6546" w14:textId="77777777" w:rsidR="00247CBF" w:rsidRPr="00092ED7" w:rsidRDefault="00247CBF" w:rsidP="00247CBF">
            <w:pPr>
              <w:spacing w:after="0"/>
              <w:jc w:val="right"/>
              <w:rPr>
                <w:sz w:val="20"/>
                <w:szCs w:val="20"/>
                <w:lang w:val="sr-Cyrl-CS"/>
              </w:rPr>
            </w:pPr>
            <w:r w:rsidRPr="00092ED7">
              <w:rPr>
                <w:sz w:val="20"/>
                <w:szCs w:val="20"/>
                <w:lang w:val="sr-Cyrl-CS"/>
              </w:rPr>
              <w:t>151,3</w:t>
            </w:r>
          </w:p>
        </w:tc>
        <w:tc>
          <w:tcPr>
            <w:tcW w:w="1300" w:type="dxa"/>
            <w:gridSpan w:val="4"/>
            <w:tcBorders>
              <w:top w:val="nil"/>
              <w:left w:val="nil"/>
              <w:bottom w:val="dashed" w:sz="4" w:space="0" w:color="auto"/>
              <w:right w:val="dashed" w:sz="4" w:space="0" w:color="auto"/>
            </w:tcBorders>
            <w:shd w:val="clear" w:color="auto" w:fill="auto"/>
            <w:noWrap/>
            <w:vAlign w:val="center"/>
            <w:hideMark/>
          </w:tcPr>
          <w:p w14:paraId="5E4C0C2A" w14:textId="77777777" w:rsidR="00247CBF" w:rsidRPr="00092ED7" w:rsidRDefault="00247CBF" w:rsidP="00247CBF">
            <w:pPr>
              <w:spacing w:after="0"/>
              <w:jc w:val="right"/>
              <w:rPr>
                <w:sz w:val="20"/>
                <w:szCs w:val="20"/>
                <w:lang w:val="sr-Cyrl-CS"/>
              </w:rPr>
            </w:pPr>
            <w:r w:rsidRPr="00092ED7">
              <w:rPr>
                <w:sz w:val="20"/>
                <w:szCs w:val="20"/>
                <w:lang w:val="sr-Cyrl-CS"/>
              </w:rPr>
              <w:t>119,7</w:t>
            </w:r>
          </w:p>
        </w:tc>
        <w:tc>
          <w:tcPr>
            <w:tcW w:w="1360" w:type="dxa"/>
            <w:gridSpan w:val="4"/>
            <w:tcBorders>
              <w:top w:val="nil"/>
              <w:left w:val="nil"/>
              <w:bottom w:val="dashed" w:sz="4" w:space="0" w:color="auto"/>
              <w:right w:val="dashed" w:sz="4" w:space="0" w:color="auto"/>
            </w:tcBorders>
            <w:shd w:val="clear" w:color="auto" w:fill="auto"/>
            <w:noWrap/>
            <w:vAlign w:val="center"/>
            <w:hideMark/>
          </w:tcPr>
          <w:p w14:paraId="267B8A04" w14:textId="77777777" w:rsidR="00247CBF" w:rsidRPr="00092ED7" w:rsidRDefault="00247CBF" w:rsidP="00247CBF">
            <w:pPr>
              <w:spacing w:after="0"/>
              <w:jc w:val="right"/>
              <w:rPr>
                <w:sz w:val="20"/>
                <w:szCs w:val="20"/>
                <w:lang w:val="sr-Cyrl-CS"/>
              </w:rPr>
            </w:pPr>
            <w:r w:rsidRPr="00092ED7">
              <w:rPr>
                <w:sz w:val="20"/>
                <w:szCs w:val="20"/>
                <w:lang w:val="sr-Cyrl-CS"/>
              </w:rPr>
              <w:t>306,8</w:t>
            </w:r>
          </w:p>
        </w:tc>
        <w:tc>
          <w:tcPr>
            <w:tcW w:w="1260" w:type="dxa"/>
            <w:gridSpan w:val="4"/>
            <w:tcBorders>
              <w:top w:val="nil"/>
              <w:left w:val="nil"/>
              <w:bottom w:val="dashed" w:sz="4" w:space="0" w:color="auto"/>
              <w:right w:val="dashed" w:sz="4" w:space="0" w:color="auto"/>
            </w:tcBorders>
            <w:shd w:val="clear" w:color="auto" w:fill="auto"/>
            <w:noWrap/>
            <w:vAlign w:val="center"/>
            <w:hideMark/>
          </w:tcPr>
          <w:p w14:paraId="6C6A7E5D" w14:textId="77777777" w:rsidR="00247CBF" w:rsidRPr="00092ED7" w:rsidRDefault="00247CBF" w:rsidP="00247CBF">
            <w:pPr>
              <w:spacing w:after="0"/>
              <w:jc w:val="right"/>
              <w:rPr>
                <w:sz w:val="20"/>
                <w:szCs w:val="20"/>
                <w:lang w:val="sr-Cyrl-CS"/>
              </w:rPr>
            </w:pPr>
            <w:r w:rsidRPr="00092ED7">
              <w:rPr>
                <w:sz w:val="20"/>
                <w:szCs w:val="20"/>
                <w:lang w:val="sr-Cyrl-CS"/>
              </w:rPr>
              <w:t>336,0</w:t>
            </w:r>
          </w:p>
        </w:tc>
        <w:tc>
          <w:tcPr>
            <w:tcW w:w="1260" w:type="dxa"/>
            <w:gridSpan w:val="3"/>
            <w:tcBorders>
              <w:top w:val="nil"/>
              <w:left w:val="nil"/>
              <w:bottom w:val="dashed" w:sz="4" w:space="0" w:color="auto"/>
              <w:right w:val="dashed" w:sz="4" w:space="0" w:color="auto"/>
            </w:tcBorders>
            <w:shd w:val="clear" w:color="auto" w:fill="auto"/>
            <w:noWrap/>
            <w:vAlign w:val="center"/>
            <w:hideMark/>
          </w:tcPr>
          <w:p w14:paraId="4C7E977E" w14:textId="77777777" w:rsidR="00247CBF" w:rsidRPr="00092ED7" w:rsidRDefault="00247CBF" w:rsidP="00247CBF">
            <w:pPr>
              <w:spacing w:after="0"/>
              <w:jc w:val="right"/>
              <w:rPr>
                <w:sz w:val="20"/>
                <w:szCs w:val="20"/>
                <w:lang w:val="sr-Cyrl-CS"/>
              </w:rPr>
            </w:pPr>
            <w:r w:rsidRPr="00092ED7">
              <w:rPr>
                <w:sz w:val="20"/>
                <w:szCs w:val="20"/>
                <w:lang w:val="sr-Cyrl-CS"/>
              </w:rPr>
              <w:t>315,0</w:t>
            </w:r>
          </w:p>
        </w:tc>
        <w:tc>
          <w:tcPr>
            <w:tcW w:w="1268" w:type="dxa"/>
            <w:gridSpan w:val="3"/>
            <w:tcBorders>
              <w:top w:val="nil"/>
              <w:left w:val="nil"/>
              <w:bottom w:val="dashed" w:sz="4" w:space="0" w:color="auto"/>
              <w:right w:val="double" w:sz="4" w:space="0" w:color="auto"/>
            </w:tcBorders>
            <w:shd w:val="clear" w:color="auto" w:fill="auto"/>
            <w:noWrap/>
            <w:vAlign w:val="center"/>
            <w:hideMark/>
          </w:tcPr>
          <w:p w14:paraId="2F869138" w14:textId="77777777" w:rsidR="00247CBF" w:rsidRPr="00092ED7" w:rsidRDefault="00247CBF" w:rsidP="00247CBF">
            <w:pPr>
              <w:spacing w:after="0"/>
              <w:jc w:val="right"/>
              <w:rPr>
                <w:sz w:val="20"/>
                <w:szCs w:val="20"/>
                <w:lang w:val="sr-Cyrl-CS"/>
              </w:rPr>
            </w:pPr>
            <w:r w:rsidRPr="00092ED7">
              <w:rPr>
                <w:sz w:val="20"/>
                <w:szCs w:val="20"/>
                <w:lang w:val="sr-Cyrl-CS"/>
              </w:rPr>
              <w:t>296,6</w:t>
            </w:r>
          </w:p>
        </w:tc>
      </w:tr>
      <w:tr w:rsidR="00247CBF" w:rsidRPr="00092ED7" w14:paraId="05FB52B3" w14:textId="77777777" w:rsidTr="00247CBF">
        <w:trPr>
          <w:gridAfter w:val="3"/>
          <w:wAfter w:w="365" w:type="dxa"/>
          <w:trHeight w:val="255"/>
        </w:trPr>
        <w:tc>
          <w:tcPr>
            <w:tcW w:w="4962" w:type="dxa"/>
            <w:gridSpan w:val="3"/>
            <w:tcBorders>
              <w:top w:val="nil"/>
              <w:left w:val="double" w:sz="6" w:space="0" w:color="auto"/>
              <w:bottom w:val="dashed" w:sz="4" w:space="0" w:color="auto"/>
              <w:right w:val="nil"/>
            </w:tcBorders>
            <w:shd w:val="clear" w:color="auto" w:fill="auto"/>
            <w:noWrap/>
            <w:vAlign w:val="bottom"/>
            <w:hideMark/>
          </w:tcPr>
          <w:p w14:paraId="7007EF03"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Извоз робе и услуга</w:t>
            </w:r>
          </w:p>
        </w:tc>
        <w:tc>
          <w:tcPr>
            <w:tcW w:w="1447" w:type="dxa"/>
            <w:gridSpan w:val="3"/>
            <w:tcBorders>
              <w:top w:val="nil"/>
              <w:left w:val="single" w:sz="8" w:space="0" w:color="auto"/>
              <w:bottom w:val="dashed" w:sz="4" w:space="0" w:color="auto"/>
              <w:right w:val="single" w:sz="8" w:space="0" w:color="auto"/>
            </w:tcBorders>
            <w:shd w:val="clear" w:color="auto" w:fill="auto"/>
            <w:noWrap/>
            <w:vAlign w:val="bottom"/>
            <w:hideMark/>
          </w:tcPr>
          <w:p w14:paraId="7B694610" w14:textId="77777777" w:rsidR="00247CBF" w:rsidRPr="00092ED7" w:rsidRDefault="00247CBF" w:rsidP="00247CBF">
            <w:pPr>
              <w:spacing w:after="0"/>
              <w:jc w:val="center"/>
              <w:rPr>
                <w:sz w:val="20"/>
                <w:szCs w:val="20"/>
                <w:lang w:val="sr-Cyrl-CS"/>
              </w:rPr>
            </w:pPr>
            <w:r w:rsidRPr="00092ED7">
              <w:rPr>
                <w:sz w:val="20"/>
                <w:szCs w:val="20"/>
                <w:lang w:val="sr-Cyrl-CS"/>
              </w:rPr>
              <w:t>P6</w:t>
            </w:r>
          </w:p>
        </w:tc>
        <w:tc>
          <w:tcPr>
            <w:tcW w:w="1380" w:type="dxa"/>
            <w:gridSpan w:val="3"/>
            <w:tcBorders>
              <w:top w:val="nil"/>
              <w:left w:val="nil"/>
              <w:bottom w:val="dashed" w:sz="4" w:space="0" w:color="auto"/>
              <w:right w:val="dashed" w:sz="4" w:space="0" w:color="auto"/>
            </w:tcBorders>
            <w:shd w:val="clear" w:color="auto" w:fill="auto"/>
            <w:noWrap/>
            <w:vAlign w:val="center"/>
            <w:hideMark/>
          </w:tcPr>
          <w:p w14:paraId="10B1DD4F" w14:textId="77777777" w:rsidR="00247CBF" w:rsidRPr="00092ED7" w:rsidRDefault="00247CBF" w:rsidP="00247CBF">
            <w:pPr>
              <w:spacing w:after="0"/>
              <w:jc w:val="right"/>
              <w:rPr>
                <w:sz w:val="20"/>
                <w:szCs w:val="20"/>
                <w:lang w:val="sr-Cyrl-CS"/>
              </w:rPr>
            </w:pPr>
            <w:r w:rsidRPr="00092ED7">
              <w:rPr>
                <w:sz w:val="20"/>
                <w:szCs w:val="20"/>
                <w:lang w:val="sr-Cyrl-CS"/>
              </w:rPr>
              <w:t>2.654,2</w:t>
            </w:r>
          </w:p>
        </w:tc>
        <w:tc>
          <w:tcPr>
            <w:tcW w:w="1300" w:type="dxa"/>
            <w:gridSpan w:val="4"/>
            <w:tcBorders>
              <w:top w:val="nil"/>
              <w:left w:val="nil"/>
              <w:bottom w:val="dashed" w:sz="4" w:space="0" w:color="auto"/>
              <w:right w:val="dashed" w:sz="4" w:space="0" w:color="auto"/>
            </w:tcBorders>
            <w:shd w:val="clear" w:color="auto" w:fill="auto"/>
            <w:noWrap/>
            <w:vAlign w:val="center"/>
            <w:hideMark/>
          </w:tcPr>
          <w:p w14:paraId="1283DF2B" w14:textId="77777777" w:rsidR="00247CBF" w:rsidRPr="00092ED7" w:rsidRDefault="00247CBF" w:rsidP="00247CBF">
            <w:pPr>
              <w:spacing w:after="0"/>
              <w:jc w:val="right"/>
              <w:rPr>
                <w:sz w:val="20"/>
                <w:szCs w:val="20"/>
                <w:lang w:val="sr-Cyrl-CS"/>
              </w:rPr>
            </w:pPr>
            <w:r w:rsidRPr="00092ED7">
              <w:rPr>
                <w:sz w:val="20"/>
                <w:szCs w:val="20"/>
                <w:lang w:val="sr-Cyrl-CS"/>
              </w:rPr>
              <w:t>3.416,2</w:t>
            </w:r>
          </w:p>
        </w:tc>
        <w:tc>
          <w:tcPr>
            <w:tcW w:w="1360" w:type="dxa"/>
            <w:gridSpan w:val="4"/>
            <w:tcBorders>
              <w:top w:val="nil"/>
              <w:left w:val="nil"/>
              <w:bottom w:val="dashed" w:sz="4" w:space="0" w:color="auto"/>
              <w:right w:val="dashed" w:sz="4" w:space="0" w:color="auto"/>
            </w:tcBorders>
            <w:shd w:val="clear" w:color="auto" w:fill="auto"/>
            <w:noWrap/>
            <w:vAlign w:val="center"/>
            <w:hideMark/>
          </w:tcPr>
          <w:p w14:paraId="68152253" w14:textId="77777777" w:rsidR="00247CBF" w:rsidRPr="00092ED7" w:rsidRDefault="00247CBF" w:rsidP="00247CBF">
            <w:pPr>
              <w:spacing w:after="0"/>
              <w:jc w:val="right"/>
              <w:rPr>
                <w:sz w:val="20"/>
                <w:szCs w:val="20"/>
                <w:lang w:val="sr-Cyrl-CS"/>
              </w:rPr>
            </w:pPr>
            <w:r w:rsidRPr="00092ED7">
              <w:rPr>
                <w:sz w:val="20"/>
                <w:szCs w:val="20"/>
                <w:lang w:val="sr-Cyrl-CS"/>
              </w:rPr>
              <w:t>4.327,8</w:t>
            </w:r>
          </w:p>
        </w:tc>
        <w:tc>
          <w:tcPr>
            <w:tcW w:w="1260" w:type="dxa"/>
            <w:gridSpan w:val="4"/>
            <w:tcBorders>
              <w:top w:val="nil"/>
              <w:left w:val="nil"/>
              <w:bottom w:val="dashed" w:sz="4" w:space="0" w:color="auto"/>
              <w:right w:val="dashed" w:sz="4" w:space="0" w:color="auto"/>
            </w:tcBorders>
            <w:shd w:val="clear" w:color="auto" w:fill="auto"/>
            <w:noWrap/>
            <w:vAlign w:val="center"/>
            <w:hideMark/>
          </w:tcPr>
          <w:p w14:paraId="0DD2C2B7" w14:textId="77777777" w:rsidR="00247CBF" w:rsidRPr="00092ED7" w:rsidRDefault="00247CBF" w:rsidP="00247CBF">
            <w:pPr>
              <w:spacing w:after="0"/>
              <w:jc w:val="right"/>
              <w:rPr>
                <w:sz w:val="20"/>
                <w:szCs w:val="20"/>
                <w:lang w:val="sr-Cyrl-CS"/>
              </w:rPr>
            </w:pPr>
            <w:r w:rsidRPr="00092ED7">
              <w:rPr>
                <w:sz w:val="20"/>
                <w:szCs w:val="20"/>
                <w:lang w:val="sr-Cyrl-CS"/>
              </w:rPr>
              <w:t>4.872,5</w:t>
            </w:r>
          </w:p>
        </w:tc>
        <w:tc>
          <w:tcPr>
            <w:tcW w:w="1260" w:type="dxa"/>
            <w:gridSpan w:val="3"/>
            <w:tcBorders>
              <w:top w:val="nil"/>
              <w:left w:val="nil"/>
              <w:bottom w:val="dashed" w:sz="4" w:space="0" w:color="auto"/>
              <w:right w:val="dashed" w:sz="4" w:space="0" w:color="auto"/>
            </w:tcBorders>
            <w:shd w:val="clear" w:color="auto" w:fill="auto"/>
            <w:noWrap/>
            <w:vAlign w:val="center"/>
            <w:hideMark/>
          </w:tcPr>
          <w:p w14:paraId="6984A3EB" w14:textId="77777777" w:rsidR="00247CBF" w:rsidRPr="00092ED7" w:rsidRDefault="00247CBF" w:rsidP="00247CBF">
            <w:pPr>
              <w:spacing w:after="0"/>
              <w:jc w:val="right"/>
              <w:rPr>
                <w:sz w:val="20"/>
                <w:szCs w:val="20"/>
                <w:lang w:val="sr-Cyrl-CS"/>
              </w:rPr>
            </w:pPr>
            <w:r w:rsidRPr="00092ED7">
              <w:rPr>
                <w:sz w:val="20"/>
                <w:szCs w:val="20"/>
                <w:lang w:val="sr-Cyrl-CS"/>
              </w:rPr>
              <w:t>5.538,8</w:t>
            </w:r>
          </w:p>
        </w:tc>
        <w:tc>
          <w:tcPr>
            <w:tcW w:w="1268" w:type="dxa"/>
            <w:gridSpan w:val="3"/>
            <w:tcBorders>
              <w:top w:val="nil"/>
              <w:left w:val="nil"/>
              <w:bottom w:val="dashed" w:sz="4" w:space="0" w:color="auto"/>
              <w:right w:val="double" w:sz="4" w:space="0" w:color="auto"/>
            </w:tcBorders>
            <w:shd w:val="clear" w:color="auto" w:fill="auto"/>
            <w:noWrap/>
            <w:vAlign w:val="center"/>
            <w:hideMark/>
          </w:tcPr>
          <w:p w14:paraId="20916C7A" w14:textId="77777777" w:rsidR="00247CBF" w:rsidRPr="00092ED7" w:rsidRDefault="00247CBF" w:rsidP="00247CBF">
            <w:pPr>
              <w:spacing w:after="0"/>
              <w:jc w:val="right"/>
              <w:rPr>
                <w:sz w:val="20"/>
                <w:szCs w:val="20"/>
                <w:lang w:val="sr-Cyrl-CS"/>
              </w:rPr>
            </w:pPr>
            <w:r w:rsidRPr="00092ED7">
              <w:rPr>
                <w:sz w:val="20"/>
                <w:szCs w:val="20"/>
                <w:lang w:val="sr-Cyrl-CS"/>
              </w:rPr>
              <w:t>6.346,7</w:t>
            </w:r>
          </w:p>
        </w:tc>
      </w:tr>
      <w:tr w:rsidR="00247CBF" w:rsidRPr="00092ED7" w14:paraId="36E971F5" w14:textId="77777777" w:rsidTr="00247CBF">
        <w:trPr>
          <w:gridAfter w:val="3"/>
          <w:wAfter w:w="365" w:type="dxa"/>
          <w:trHeight w:val="255"/>
        </w:trPr>
        <w:tc>
          <w:tcPr>
            <w:tcW w:w="4962" w:type="dxa"/>
            <w:gridSpan w:val="3"/>
            <w:tcBorders>
              <w:top w:val="nil"/>
              <w:left w:val="double" w:sz="6" w:space="0" w:color="auto"/>
              <w:bottom w:val="dashed" w:sz="4" w:space="0" w:color="auto"/>
              <w:right w:val="nil"/>
            </w:tcBorders>
            <w:shd w:val="clear" w:color="auto" w:fill="auto"/>
            <w:noWrap/>
            <w:vAlign w:val="bottom"/>
            <w:hideMark/>
          </w:tcPr>
          <w:p w14:paraId="15A0505B"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Увоз робе и услуга</w:t>
            </w:r>
          </w:p>
        </w:tc>
        <w:tc>
          <w:tcPr>
            <w:tcW w:w="1447" w:type="dxa"/>
            <w:gridSpan w:val="3"/>
            <w:tcBorders>
              <w:top w:val="nil"/>
              <w:left w:val="single" w:sz="8" w:space="0" w:color="auto"/>
              <w:bottom w:val="dashed" w:sz="4" w:space="0" w:color="auto"/>
              <w:right w:val="single" w:sz="8" w:space="0" w:color="auto"/>
            </w:tcBorders>
            <w:shd w:val="clear" w:color="auto" w:fill="auto"/>
            <w:noWrap/>
            <w:vAlign w:val="bottom"/>
            <w:hideMark/>
          </w:tcPr>
          <w:p w14:paraId="423776CB" w14:textId="77777777" w:rsidR="00247CBF" w:rsidRPr="00092ED7" w:rsidRDefault="00247CBF" w:rsidP="00247CBF">
            <w:pPr>
              <w:spacing w:after="0"/>
              <w:jc w:val="center"/>
              <w:rPr>
                <w:sz w:val="20"/>
                <w:szCs w:val="20"/>
                <w:lang w:val="sr-Cyrl-CS"/>
              </w:rPr>
            </w:pPr>
            <w:r w:rsidRPr="00092ED7">
              <w:rPr>
                <w:sz w:val="20"/>
                <w:szCs w:val="20"/>
                <w:lang w:val="sr-Cyrl-CS"/>
              </w:rPr>
              <w:t>P7</w:t>
            </w:r>
          </w:p>
        </w:tc>
        <w:tc>
          <w:tcPr>
            <w:tcW w:w="1380" w:type="dxa"/>
            <w:gridSpan w:val="3"/>
            <w:tcBorders>
              <w:top w:val="nil"/>
              <w:left w:val="nil"/>
              <w:bottom w:val="dashed" w:sz="4" w:space="0" w:color="auto"/>
              <w:right w:val="dashed" w:sz="4" w:space="0" w:color="auto"/>
            </w:tcBorders>
            <w:shd w:val="clear" w:color="auto" w:fill="auto"/>
            <w:noWrap/>
            <w:vAlign w:val="center"/>
            <w:hideMark/>
          </w:tcPr>
          <w:p w14:paraId="64D52B60" w14:textId="77777777" w:rsidR="00247CBF" w:rsidRPr="00092ED7" w:rsidRDefault="00247CBF" w:rsidP="00247CBF">
            <w:pPr>
              <w:spacing w:after="0"/>
              <w:jc w:val="right"/>
              <w:rPr>
                <w:sz w:val="20"/>
                <w:szCs w:val="20"/>
                <w:lang w:val="sr-Cyrl-CS"/>
              </w:rPr>
            </w:pPr>
            <w:r w:rsidRPr="00092ED7">
              <w:rPr>
                <w:sz w:val="20"/>
                <w:szCs w:val="20"/>
                <w:lang w:val="sr-Cyrl-CS"/>
              </w:rPr>
              <w:t>3.110,0</w:t>
            </w:r>
          </w:p>
        </w:tc>
        <w:tc>
          <w:tcPr>
            <w:tcW w:w="1300" w:type="dxa"/>
            <w:gridSpan w:val="4"/>
            <w:tcBorders>
              <w:top w:val="nil"/>
              <w:left w:val="nil"/>
              <w:bottom w:val="dashed" w:sz="4" w:space="0" w:color="auto"/>
              <w:right w:val="dashed" w:sz="4" w:space="0" w:color="auto"/>
            </w:tcBorders>
            <w:shd w:val="clear" w:color="auto" w:fill="auto"/>
            <w:noWrap/>
            <w:vAlign w:val="center"/>
            <w:hideMark/>
          </w:tcPr>
          <w:p w14:paraId="60EDF5B6" w14:textId="77777777" w:rsidR="00247CBF" w:rsidRPr="00092ED7" w:rsidRDefault="00247CBF" w:rsidP="00247CBF">
            <w:pPr>
              <w:spacing w:after="0"/>
              <w:jc w:val="right"/>
              <w:rPr>
                <w:sz w:val="20"/>
                <w:szCs w:val="20"/>
                <w:lang w:val="sr-Cyrl-CS"/>
              </w:rPr>
            </w:pPr>
            <w:r w:rsidRPr="00092ED7">
              <w:rPr>
                <w:sz w:val="20"/>
                <w:szCs w:val="20"/>
                <w:lang w:val="sr-Cyrl-CS"/>
              </w:rPr>
              <w:t>3.905,0</w:t>
            </w:r>
          </w:p>
        </w:tc>
        <w:tc>
          <w:tcPr>
            <w:tcW w:w="1360" w:type="dxa"/>
            <w:gridSpan w:val="4"/>
            <w:tcBorders>
              <w:top w:val="nil"/>
              <w:left w:val="nil"/>
              <w:bottom w:val="dashed" w:sz="4" w:space="0" w:color="auto"/>
              <w:right w:val="dashed" w:sz="4" w:space="0" w:color="auto"/>
            </w:tcBorders>
            <w:shd w:val="clear" w:color="auto" w:fill="auto"/>
            <w:noWrap/>
            <w:vAlign w:val="center"/>
            <w:hideMark/>
          </w:tcPr>
          <w:p w14:paraId="23F84047" w14:textId="77777777" w:rsidR="00247CBF" w:rsidRPr="00092ED7" w:rsidRDefault="00247CBF" w:rsidP="00247CBF">
            <w:pPr>
              <w:spacing w:after="0"/>
              <w:jc w:val="right"/>
              <w:rPr>
                <w:sz w:val="20"/>
                <w:szCs w:val="20"/>
                <w:lang w:val="sr-Cyrl-CS"/>
              </w:rPr>
            </w:pPr>
            <w:r w:rsidRPr="00092ED7">
              <w:rPr>
                <w:sz w:val="20"/>
                <w:szCs w:val="20"/>
                <w:lang w:val="sr-Cyrl-CS"/>
              </w:rPr>
              <w:t>5.172,9</w:t>
            </w:r>
          </w:p>
        </w:tc>
        <w:tc>
          <w:tcPr>
            <w:tcW w:w="1260" w:type="dxa"/>
            <w:gridSpan w:val="4"/>
            <w:tcBorders>
              <w:top w:val="nil"/>
              <w:left w:val="nil"/>
              <w:bottom w:val="dashed" w:sz="4" w:space="0" w:color="auto"/>
              <w:right w:val="dashed" w:sz="4" w:space="0" w:color="auto"/>
            </w:tcBorders>
            <w:shd w:val="clear" w:color="auto" w:fill="auto"/>
            <w:noWrap/>
            <w:vAlign w:val="center"/>
            <w:hideMark/>
          </w:tcPr>
          <w:p w14:paraId="05C6B29F" w14:textId="77777777" w:rsidR="00247CBF" w:rsidRPr="00092ED7" w:rsidRDefault="00247CBF" w:rsidP="00247CBF">
            <w:pPr>
              <w:spacing w:after="0"/>
              <w:jc w:val="right"/>
              <w:rPr>
                <w:sz w:val="20"/>
                <w:szCs w:val="20"/>
                <w:lang w:val="sr-Cyrl-CS"/>
              </w:rPr>
            </w:pPr>
            <w:r w:rsidRPr="00092ED7">
              <w:rPr>
                <w:sz w:val="20"/>
                <w:szCs w:val="20"/>
                <w:lang w:val="sr-Cyrl-CS"/>
              </w:rPr>
              <w:t>5.717,4</w:t>
            </w:r>
          </w:p>
        </w:tc>
        <w:tc>
          <w:tcPr>
            <w:tcW w:w="1260" w:type="dxa"/>
            <w:gridSpan w:val="3"/>
            <w:tcBorders>
              <w:top w:val="nil"/>
              <w:left w:val="nil"/>
              <w:bottom w:val="dashed" w:sz="4" w:space="0" w:color="auto"/>
              <w:right w:val="dashed" w:sz="4" w:space="0" w:color="auto"/>
            </w:tcBorders>
            <w:shd w:val="clear" w:color="auto" w:fill="auto"/>
            <w:noWrap/>
            <w:vAlign w:val="center"/>
            <w:hideMark/>
          </w:tcPr>
          <w:p w14:paraId="32BF3489" w14:textId="77777777" w:rsidR="00247CBF" w:rsidRPr="00092ED7" w:rsidRDefault="00247CBF" w:rsidP="00247CBF">
            <w:pPr>
              <w:spacing w:after="0"/>
              <w:jc w:val="right"/>
              <w:rPr>
                <w:sz w:val="20"/>
                <w:szCs w:val="20"/>
                <w:lang w:val="sr-Cyrl-CS"/>
              </w:rPr>
            </w:pPr>
            <w:r w:rsidRPr="00092ED7">
              <w:rPr>
                <w:sz w:val="20"/>
                <w:szCs w:val="20"/>
                <w:lang w:val="sr-Cyrl-CS"/>
              </w:rPr>
              <w:t>6.325,2</w:t>
            </w:r>
          </w:p>
        </w:tc>
        <w:tc>
          <w:tcPr>
            <w:tcW w:w="1268" w:type="dxa"/>
            <w:gridSpan w:val="3"/>
            <w:tcBorders>
              <w:top w:val="nil"/>
              <w:left w:val="nil"/>
              <w:bottom w:val="dashed" w:sz="4" w:space="0" w:color="auto"/>
              <w:right w:val="double" w:sz="4" w:space="0" w:color="auto"/>
            </w:tcBorders>
            <w:shd w:val="clear" w:color="auto" w:fill="auto"/>
            <w:noWrap/>
            <w:vAlign w:val="center"/>
            <w:hideMark/>
          </w:tcPr>
          <w:p w14:paraId="6C4F3D24" w14:textId="77777777" w:rsidR="00247CBF" w:rsidRPr="00092ED7" w:rsidRDefault="00247CBF" w:rsidP="00247CBF">
            <w:pPr>
              <w:spacing w:after="0"/>
              <w:jc w:val="right"/>
              <w:rPr>
                <w:sz w:val="20"/>
                <w:szCs w:val="20"/>
                <w:lang w:val="sr-Cyrl-CS"/>
              </w:rPr>
            </w:pPr>
            <w:r w:rsidRPr="00092ED7">
              <w:rPr>
                <w:sz w:val="20"/>
                <w:szCs w:val="20"/>
                <w:lang w:val="sr-Cyrl-CS"/>
              </w:rPr>
              <w:t>7.087,3</w:t>
            </w:r>
          </w:p>
        </w:tc>
      </w:tr>
      <w:tr w:rsidR="00247CBF" w:rsidRPr="00092ED7" w14:paraId="2B8C87ED" w14:textId="77777777" w:rsidTr="00247CBF">
        <w:trPr>
          <w:gridAfter w:val="3"/>
          <w:wAfter w:w="365" w:type="dxa"/>
          <w:trHeight w:val="255"/>
        </w:trPr>
        <w:tc>
          <w:tcPr>
            <w:tcW w:w="4962" w:type="dxa"/>
            <w:gridSpan w:val="3"/>
            <w:tcBorders>
              <w:top w:val="nil"/>
              <w:left w:val="double" w:sz="6" w:space="0" w:color="auto"/>
              <w:bottom w:val="nil"/>
              <w:right w:val="nil"/>
            </w:tcBorders>
            <w:shd w:val="clear" w:color="auto" w:fill="auto"/>
            <w:noWrap/>
            <w:vAlign w:val="bottom"/>
            <w:hideMark/>
          </w:tcPr>
          <w:p w14:paraId="34C5A2CA"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Нето извоз</w:t>
            </w:r>
          </w:p>
        </w:tc>
        <w:tc>
          <w:tcPr>
            <w:tcW w:w="1447" w:type="dxa"/>
            <w:gridSpan w:val="3"/>
            <w:tcBorders>
              <w:top w:val="nil"/>
              <w:left w:val="single" w:sz="8" w:space="0" w:color="auto"/>
              <w:bottom w:val="nil"/>
              <w:right w:val="single" w:sz="8" w:space="0" w:color="auto"/>
            </w:tcBorders>
            <w:shd w:val="clear" w:color="auto" w:fill="auto"/>
            <w:noWrap/>
            <w:vAlign w:val="bottom"/>
            <w:hideMark/>
          </w:tcPr>
          <w:p w14:paraId="1D02F09C" w14:textId="77777777" w:rsidR="00247CBF" w:rsidRPr="00092ED7" w:rsidRDefault="00247CBF" w:rsidP="00247CBF">
            <w:pPr>
              <w:spacing w:after="0"/>
              <w:jc w:val="center"/>
              <w:rPr>
                <w:sz w:val="20"/>
                <w:szCs w:val="20"/>
                <w:lang w:val="sr-Cyrl-CS"/>
              </w:rPr>
            </w:pPr>
            <w:r w:rsidRPr="00092ED7">
              <w:rPr>
                <w:sz w:val="20"/>
                <w:szCs w:val="20"/>
                <w:lang w:val="sr-Cyrl-CS"/>
              </w:rPr>
              <w:t> </w:t>
            </w:r>
          </w:p>
        </w:tc>
        <w:tc>
          <w:tcPr>
            <w:tcW w:w="1380" w:type="dxa"/>
            <w:gridSpan w:val="3"/>
            <w:tcBorders>
              <w:top w:val="nil"/>
              <w:left w:val="nil"/>
              <w:bottom w:val="nil"/>
              <w:right w:val="dashed" w:sz="4" w:space="0" w:color="auto"/>
            </w:tcBorders>
            <w:shd w:val="clear" w:color="auto" w:fill="auto"/>
            <w:noWrap/>
            <w:vAlign w:val="center"/>
            <w:hideMark/>
          </w:tcPr>
          <w:p w14:paraId="14D54041" w14:textId="77777777" w:rsidR="00247CBF" w:rsidRPr="00092ED7" w:rsidRDefault="00247CBF" w:rsidP="00247CBF">
            <w:pPr>
              <w:spacing w:after="0"/>
              <w:jc w:val="right"/>
              <w:rPr>
                <w:sz w:val="20"/>
                <w:szCs w:val="20"/>
                <w:lang w:val="sr-Cyrl-CS"/>
              </w:rPr>
            </w:pPr>
            <w:r w:rsidRPr="00092ED7">
              <w:rPr>
                <w:sz w:val="20"/>
                <w:szCs w:val="20"/>
                <w:lang w:val="sr-Cyrl-CS"/>
              </w:rPr>
              <w:t>-455,8</w:t>
            </w:r>
          </w:p>
        </w:tc>
        <w:tc>
          <w:tcPr>
            <w:tcW w:w="1300" w:type="dxa"/>
            <w:gridSpan w:val="4"/>
            <w:tcBorders>
              <w:top w:val="nil"/>
              <w:left w:val="nil"/>
              <w:bottom w:val="nil"/>
              <w:right w:val="dashed" w:sz="4" w:space="0" w:color="auto"/>
            </w:tcBorders>
            <w:shd w:val="clear" w:color="auto" w:fill="auto"/>
            <w:noWrap/>
            <w:vAlign w:val="center"/>
            <w:hideMark/>
          </w:tcPr>
          <w:p w14:paraId="540EBE33" w14:textId="77777777" w:rsidR="00247CBF" w:rsidRPr="00092ED7" w:rsidRDefault="00247CBF" w:rsidP="00247CBF">
            <w:pPr>
              <w:spacing w:after="0"/>
              <w:jc w:val="right"/>
              <w:rPr>
                <w:sz w:val="20"/>
                <w:szCs w:val="20"/>
                <w:lang w:val="sr-Cyrl-CS"/>
              </w:rPr>
            </w:pPr>
            <w:r w:rsidRPr="00092ED7">
              <w:rPr>
                <w:sz w:val="20"/>
                <w:szCs w:val="20"/>
                <w:lang w:val="sr-Cyrl-CS"/>
              </w:rPr>
              <w:t>-488,8</w:t>
            </w:r>
          </w:p>
        </w:tc>
        <w:tc>
          <w:tcPr>
            <w:tcW w:w="1360" w:type="dxa"/>
            <w:gridSpan w:val="4"/>
            <w:tcBorders>
              <w:top w:val="nil"/>
              <w:left w:val="nil"/>
              <w:bottom w:val="nil"/>
              <w:right w:val="dashed" w:sz="4" w:space="0" w:color="auto"/>
            </w:tcBorders>
            <w:shd w:val="clear" w:color="auto" w:fill="auto"/>
            <w:noWrap/>
            <w:vAlign w:val="center"/>
            <w:hideMark/>
          </w:tcPr>
          <w:p w14:paraId="54A39A65" w14:textId="77777777" w:rsidR="00247CBF" w:rsidRPr="00092ED7" w:rsidRDefault="00247CBF" w:rsidP="00247CBF">
            <w:pPr>
              <w:spacing w:after="0"/>
              <w:jc w:val="right"/>
              <w:rPr>
                <w:sz w:val="20"/>
                <w:szCs w:val="20"/>
                <w:lang w:val="sr-Cyrl-CS"/>
              </w:rPr>
            </w:pPr>
            <w:r w:rsidRPr="00092ED7">
              <w:rPr>
                <w:sz w:val="20"/>
                <w:szCs w:val="20"/>
                <w:lang w:val="sr-Cyrl-CS"/>
              </w:rPr>
              <w:t>-845,1</w:t>
            </w:r>
          </w:p>
        </w:tc>
        <w:tc>
          <w:tcPr>
            <w:tcW w:w="1260" w:type="dxa"/>
            <w:gridSpan w:val="4"/>
            <w:tcBorders>
              <w:top w:val="nil"/>
              <w:left w:val="nil"/>
              <w:bottom w:val="nil"/>
              <w:right w:val="dashed" w:sz="4" w:space="0" w:color="auto"/>
            </w:tcBorders>
            <w:shd w:val="clear" w:color="auto" w:fill="auto"/>
            <w:noWrap/>
            <w:vAlign w:val="center"/>
            <w:hideMark/>
          </w:tcPr>
          <w:p w14:paraId="2366F5CD" w14:textId="77777777" w:rsidR="00247CBF" w:rsidRPr="00092ED7" w:rsidRDefault="00247CBF" w:rsidP="00247CBF">
            <w:pPr>
              <w:spacing w:after="0"/>
              <w:jc w:val="right"/>
              <w:rPr>
                <w:sz w:val="20"/>
                <w:szCs w:val="20"/>
                <w:lang w:val="sr-Cyrl-CS"/>
              </w:rPr>
            </w:pPr>
            <w:r w:rsidRPr="00092ED7">
              <w:rPr>
                <w:sz w:val="20"/>
                <w:szCs w:val="20"/>
                <w:lang w:val="sr-Cyrl-CS"/>
              </w:rPr>
              <w:t>-845,0</w:t>
            </w:r>
          </w:p>
        </w:tc>
        <w:tc>
          <w:tcPr>
            <w:tcW w:w="1260" w:type="dxa"/>
            <w:gridSpan w:val="3"/>
            <w:tcBorders>
              <w:top w:val="nil"/>
              <w:left w:val="nil"/>
              <w:bottom w:val="nil"/>
              <w:right w:val="dashed" w:sz="4" w:space="0" w:color="auto"/>
            </w:tcBorders>
            <w:shd w:val="clear" w:color="auto" w:fill="auto"/>
            <w:noWrap/>
            <w:vAlign w:val="center"/>
            <w:hideMark/>
          </w:tcPr>
          <w:p w14:paraId="3FF07C89" w14:textId="77777777" w:rsidR="00247CBF" w:rsidRPr="00092ED7" w:rsidRDefault="00247CBF" w:rsidP="00247CBF">
            <w:pPr>
              <w:spacing w:after="0"/>
              <w:jc w:val="right"/>
              <w:rPr>
                <w:sz w:val="20"/>
                <w:szCs w:val="20"/>
                <w:lang w:val="sr-Cyrl-CS"/>
              </w:rPr>
            </w:pPr>
            <w:r w:rsidRPr="00092ED7">
              <w:rPr>
                <w:sz w:val="20"/>
                <w:szCs w:val="20"/>
                <w:lang w:val="sr-Cyrl-CS"/>
              </w:rPr>
              <w:t>-786,4</w:t>
            </w:r>
          </w:p>
        </w:tc>
        <w:tc>
          <w:tcPr>
            <w:tcW w:w="1268" w:type="dxa"/>
            <w:gridSpan w:val="3"/>
            <w:tcBorders>
              <w:top w:val="nil"/>
              <w:left w:val="nil"/>
              <w:bottom w:val="nil"/>
              <w:right w:val="double" w:sz="4" w:space="0" w:color="auto"/>
            </w:tcBorders>
            <w:shd w:val="clear" w:color="auto" w:fill="auto"/>
            <w:noWrap/>
            <w:vAlign w:val="center"/>
            <w:hideMark/>
          </w:tcPr>
          <w:p w14:paraId="07E65D0E" w14:textId="77777777" w:rsidR="00247CBF" w:rsidRPr="00092ED7" w:rsidRDefault="00247CBF" w:rsidP="00247CBF">
            <w:pPr>
              <w:spacing w:after="0"/>
              <w:jc w:val="right"/>
              <w:rPr>
                <w:sz w:val="20"/>
                <w:szCs w:val="20"/>
                <w:lang w:val="sr-Cyrl-CS"/>
              </w:rPr>
            </w:pPr>
            <w:r w:rsidRPr="00092ED7">
              <w:rPr>
                <w:sz w:val="20"/>
                <w:szCs w:val="20"/>
                <w:lang w:val="sr-Cyrl-CS"/>
              </w:rPr>
              <w:t>-740,6</w:t>
            </w:r>
          </w:p>
        </w:tc>
      </w:tr>
      <w:tr w:rsidR="00247CBF" w:rsidRPr="00092ED7" w14:paraId="53EE79E5" w14:textId="77777777" w:rsidTr="00247CBF">
        <w:trPr>
          <w:gridAfter w:val="3"/>
          <w:wAfter w:w="365" w:type="dxa"/>
          <w:trHeight w:val="255"/>
        </w:trPr>
        <w:tc>
          <w:tcPr>
            <w:tcW w:w="4962" w:type="dxa"/>
            <w:gridSpan w:val="3"/>
            <w:tcBorders>
              <w:top w:val="single" w:sz="4" w:space="0" w:color="auto"/>
              <w:left w:val="double" w:sz="6" w:space="0" w:color="auto"/>
              <w:bottom w:val="single" w:sz="4" w:space="0" w:color="auto"/>
              <w:right w:val="nil"/>
            </w:tcBorders>
            <w:shd w:val="clear" w:color="auto" w:fill="auto"/>
            <w:noWrap/>
            <w:vAlign w:val="center"/>
            <w:hideMark/>
          </w:tcPr>
          <w:p w14:paraId="49475E85" w14:textId="77777777" w:rsidR="00247CBF" w:rsidRPr="00092ED7" w:rsidRDefault="00247CBF" w:rsidP="00247CBF">
            <w:pPr>
              <w:spacing w:after="0"/>
              <w:jc w:val="center"/>
              <w:rPr>
                <w:rFonts w:eastAsia="Times New Roman" w:cs="Times New Roman"/>
                <w:b/>
                <w:bCs/>
                <w:sz w:val="20"/>
                <w:szCs w:val="20"/>
                <w:lang w:val="sr-Cyrl-CS"/>
              </w:rPr>
            </w:pPr>
            <w:r w:rsidRPr="00092ED7">
              <w:rPr>
                <w:rFonts w:eastAsia="Times New Roman" w:cs="Times New Roman"/>
                <w:b/>
                <w:bCs/>
                <w:sz w:val="20"/>
                <w:szCs w:val="20"/>
                <w:lang w:val="sr-Cyrl-CS"/>
              </w:rPr>
              <w:t>1a: Девизни курс</w:t>
            </w:r>
          </w:p>
        </w:tc>
        <w:tc>
          <w:tcPr>
            <w:tcW w:w="1447" w:type="dxa"/>
            <w:gridSpan w:val="3"/>
            <w:tcBorders>
              <w:top w:val="single" w:sz="4" w:space="0" w:color="auto"/>
              <w:left w:val="single" w:sz="8" w:space="0" w:color="auto"/>
              <w:bottom w:val="single" w:sz="4" w:space="0" w:color="auto"/>
              <w:right w:val="single" w:sz="8" w:space="0" w:color="auto"/>
            </w:tcBorders>
            <w:shd w:val="clear" w:color="auto" w:fill="auto"/>
            <w:noWrap/>
            <w:vAlign w:val="bottom"/>
            <w:hideMark/>
          </w:tcPr>
          <w:p w14:paraId="520202D6" w14:textId="77777777" w:rsidR="00247CBF" w:rsidRPr="00092ED7" w:rsidRDefault="00247CBF" w:rsidP="00247CBF">
            <w:pPr>
              <w:spacing w:after="0"/>
              <w:jc w:val="center"/>
              <w:rPr>
                <w:sz w:val="20"/>
                <w:szCs w:val="20"/>
                <w:lang w:val="sr-Cyrl-CS"/>
              </w:rPr>
            </w:pPr>
            <w:r w:rsidRPr="00092ED7">
              <w:rPr>
                <w:sz w:val="20"/>
                <w:szCs w:val="20"/>
                <w:lang w:val="sr-Cyrl-CS"/>
              </w:rPr>
              <w:t> </w:t>
            </w:r>
          </w:p>
        </w:tc>
        <w:tc>
          <w:tcPr>
            <w:tcW w:w="1380" w:type="dxa"/>
            <w:gridSpan w:val="3"/>
            <w:tcBorders>
              <w:top w:val="single" w:sz="4" w:space="0" w:color="auto"/>
              <w:left w:val="nil"/>
              <w:bottom w:val="single" w:sz="4" w:space="0" w:color="auto"/>
              <w:right w:val="nil"/>
            </w:tcBorders>
            <w:shd w:val="clear" w:color="auto" w:fill="auto"/>
            <w:noWrap/>
            <w:vAlign w:val="center"/>
            <w:hideMark/>
          </w:tcPr>
          <w:p w14:paraId="3233A283"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300" w:type="dxa"/>
            <w:gridSpan w:val="4"/>
            <w:tcBorders>
              <w:top w:val="single" w:sz="4" w:space="0" w:color="auto"/>
              <w:left w:val="nil"/>
              <w:bottom w:val="single" w:sz="4" w:space="0" w:color="auto"/>
              <w:right w:val="nil"/>
            </w:tcBorders>
            <w:shd w:val="clear" w:color="auto" w:fill="auto"/>
            <w:noWrap/>
            <w:vAlign w:val="center"/>
            <w:hideMark/>
          </w:tcPr>
          <w:p w14:paraId="01EE3C1B"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360" w:type="dxa"/>
            <w:gridSpan w:val="4"/>
            <w:tcBorders>
              <w:top w:val="single" w:sz="4" w:space="0" w:color="auto"/>
              <w:left w:val="nil"/>
              <w:bottom w:val="single" w:sz="4" w:space="0" w:color="auto"/>
              <w:right w:val="nil"/>
            </w:tcBorders>
            <w:shd w:val="clear" w:color="auto" w:fill="auto"/>
            <w:noWrap/>
            <w:vAlign w:val="center"/>
            <w:hideMark/>
          </w:tcPr>
          <w:p w14:paraId="2B849A59"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260" w:type="dxa"/>
            <w:gridSpan w:val="4"/>
            <w:tcBorders>
              <w:top w:val="single" w:sz="4" w:space="0" w:color="auto"/>
              <w:left w:val="nil"/>
              <w:bottom w:val="single" w:sz="4" w:space="0" w:color="auto"/>
              <w:right w:val="nil"/>
            </w:tcBorders>
            <w:shd w:val="clear" w:color="auto" w:fill="auto"/>
            <w:noWrap/>
            <w:vAlign w:val="center"/>
            <w:hideMark/>
          </w:tcPr>
          <w:p w14:paraId="19220734"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260" w:type="dxa"/>
            <w:gridSpan w:val="3"/>
            <w:tcBorders>
              <w:top w:val="single" w:sz="4" w:space="0" w:color="auto"/>
              <w:left w:val="nil"/>
              <w:bottom w:val="single" w:sz="4" w:space="0" w:color="auto"/>
              <w:right w:val="nil"/>
            </w:tcBorders>
            <w:shd w:val="clear" w:color="auto" w:fill="auto"/>
            <w:noWrap/>
            <w:vAlign w:val="center"/>
            <w:hideMark/>
          </w:tcPr>
          <w:p w14:paraId="497B0937"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268" w:type="dxa"/>
            <w:gridSpan w:val="3"/>
            <w:tcBorders>
              <w:top w:val="single" w:sz="4" w:space="0" w:color="auto"/>
              <w:left w:val="nil"/>
              <w:bottom w:val="single" w:sz="4" w:space="0" w:color="auto"/>
              <w:right w:val="double" w:sz="4" w:space="0" w:color="auto"/>
            </w:tcBorders>
            <w:shd w:val="clear" w:color="auto" w:fill="auto"/>
            <w:noWrap/>
            <w:vAlign w:val="center"/>
            <w:hideMark/>
          </w:tcPr>
          <w:p w14:paraId="101D6D15" w14:textId="77777777" w:rsidR="00247CBF" w:rsidRPr="00092ED7" w:rsidRDefault="00247CBF" w:rsidP="00247CBF">
            <w:pPr>
              <w:spacing w:after="0"/>
              <w:jc w:val="right"/>
              <w:rPr>
                <w:sz w:val="20"/>
                <w:szCs w:val="20"/>
                <w:lang w:val="sr-Cyrl-CS"/>
              </w:rPr>
            </w:pPr>
            <w:r w:rsidRPr="00092ED7">
              <w:rPr>
                <w:sz w:val="20"/>
                <w:szCs w:val="20"/>
                <w:lang w:val="sr-Cyrl-CS"/>
              </w:rPr>
              <w:t> </w:t>
            </w:r>
          </w:p>
        </w:tc>
      </w:tr>
      <w:tr w:rsidR="00247CBF" w:rsidRPr="00092ED7" w14:paraId="24A1B93D" w14:textId="77777777" w:rsidTr="00247CBF">
        <w:trPr>
          <w:gridAfter w:val="3"/>
          <w:wAfter w:w="365" w:type="dxa"/>
          <w:trHeight w:val="255"/>
        </w:trPr>
        <w:tc>
          <w:tcPr>
            <w:tcW w:w="4962" w:type="dxa"/>
            <w:gridSpan w:val="3"/>
            <w:tcBorders>
              <w:top w:val="nil"/>
              <w:left w:val="double" w:sz="6" w:space="0" w:color="auto"/>
              <w:bottom w:val="dashed" w:sz="4" w:space="0" w:color="auto"/>
              <w:right w:val="nil"/>
            </w:tcBorders>
            <w:shd w:val="clear" w:color="auto" w:fill="auto"/>
            <w:noWrap/>
            <w:vAlign w:val="bottom"/>
            <w:hideMark/>
          </w:tcPr>
          <w:p w14:paraId="7EC73A07"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Девизни курс РСД/ЕУР (годишњи просек)</w:t>
            </w:r>
          </w:p>
        </w:tc>
        <w:tc>
          <w:tcPr>
            <w:tcW w:w="1447" w:type="dxa"/>
            <w:gridSpan w:val="3"/>
            <w:tcBorders>
              <w:top w:val="nil"/>
              <w:left w:val="single" w:sz="8" w:space="0" w:color="auto"/>
              <w:bottom w:val="dashed" w:sz="4" w:space="0" w:color="auto"/>
              <w:right w:val="single" w:sz="8" w:space="0" w:color="auto"/>
            </w:tcBorders>
            <w:shd w:val="clear" w:color="auto" w:fill="auto"/>
            <w:noWrap/>
            <w:vAlign w:val="bottom"/>
            <w:hideMark/>
          </w:tcPr>
          <w:p w14:paraId="3C0A17B4" w14:textId="77777777" w:rsidR="00247CBF" w:rsidRPr="00092ED7" w:rsidRDefault="00247CBF" w:rsidP="00247CBF">
            <w:pPr>
              <w:spacing w:after="0"/>
              <w:jc w:val="center"/>
              <w:rPr>
                <w:sz w:val="20"/>
                <w:szCs w:val="20"/>
                <w:lang w:val="sr-Cyrl-CS"/>
              </w:rPr>
            </w:pPr>
            <w:r w:rsidRPr="00092ED7">
              <w:rPr>
                <w:sz w:val="20"/>
                <w:szCs w:val="20"/>
                <w:lang w:val="sr-Cyrl-CS"/>
              </w:rPr>
              <w:t>РСД/ЕУР</w:t>
            </w:r>
          </w:p>
        </w:tc>
        <w:tc>
          <w:tcPr>
            <w:tcW w:w="1380" w:type="dxa"/>
            <w:gridSpan w:val="3"/>
            <w:tcBorders>
              <w:top w:val="dashed" w:sz="4" w:space="0" w:color="auto"/>
              <w:left w:val="nil"/>
              <w:bottom w:val="dashed" w:sz="4" w:space="0" w:color="auto"/>
              <w:right w:val="dashed" w:sz="4" w:space="0" w:color="auto"/>
            </w:tcBorders>
            <w:shd w:val="clear" w:color="auto" w:fill="auto"/>
            <w:noWrap/>
            <w:vAlign w:val="center"/>
            <w:hideMark/>
          </w:tcPr>
          <w:p w14:paraId="6A3C234A" w14:textId="77777777" w:rsidR="00247CBF" w:rsidRPr="00092ED7" w:rsidRDefault="00247CBF" w:rsidP="00247CBF">
            <w:pPr>
              <w:spacing w:after="0"/>
              <w:jc w:val="right"/>
              <w:rPr>
                <w:sz w:val="20"/>
                <w:szCs w:val="20"/>
                <w:lang w:val="sr-Cyrl-CS"/>
              </w:rPr>
            </w:pPr>
            <w:r w:rsidRPr="00092ED7">
              <w:rPr>
                <w:sz w:val="20"/>
                <w:szCs w:val="20"/>
                <w:lang w:val="sr-Cyrl-CS"/>
              </w:rPr>
              <w:t>117,6</w:t>
            </w:r>
          </w:p>
        </w:tc>
        <w:tc>
          <w:tcPr>
            <w:tcW w:w="1300" w:type="dxa"/>
            <w:gridSpan w:val="4"/>
            <w:tcBorders>
              <w:top w:val="dashed" w:sz="4" w:space="0" w:color="auto"/>
              <w:left w:val="nil"/>
              <w:bottom w:val="dashed" w:sz="4" w:space="0" w:color="auto"/>
              <w:right w:val="dashed" w:sz="4" w:space="0" w:color="auto"/>
            </w:tcBorders>
            <w:shd w:val="clear" w:color="auto" w:fill="auto"/>
            <w:noWrap/>
            <w:vAlign w:val="center"/>
            <w:hideMark/>
          </w:tcPr>
          <w:p w14:paraId="2022B1FD" w14:textId="77777777" w:rsidR="00247CBF" w:rsidRPr="00092ED7" w:rsidRDefault="00247CBF" w:rsidP="00247CBF">
            <w:pPr>
              <w:spacing w:after="0"/>
              <w:jc w:val="right"/>
              <w:rPr>
                <w:sz w:val="20"/>
                <w:szCs w:val="20"/>
                <w:lang w:val="sr-Cyrl-CS"/>
              </w:rPr>
            </w:pPr>
            <w:r w:rsidRPr="00092ED7">
              <w:rPr>
                <w:sz w:val="20"/>
                <w:szCs w:val="20"/>
                <w:lang w:val="sr-Cyrl-CS"/>
              </w:rPr>
              <w:t>117,6</w:t>
            </w:r>
          </w:p>
        </w:tc>
        <w:tc>
          <w:tcPr>
            <w:tcW w:w="1360" w:type="dxa"/>
            <w:gridSpan w:val="4"/>
            <w:tcBorders>
              <w:top w:val="nil"/>
              <w:left w:val="nil"/>
              <w:bottom w:val="dashed" w:sz="4" w:space="0" w:color="auto"/>
              <w:right w:val="dashed" w:sz="4" w:space="0" w:color="auto"/>
            </w:tcBorders>
            <w:shd w:val="clear" w:color="auto" w:fill="auto"/>
            <w:noWrap/>
            <w:vAlign w:val="center"/>
            <w:hideMark/>
          </w:tcPr>
          <w:p w14:paraId="6E130429" w14:textId="77777777" w:rsidR="00247CBF" w:rsidRPr="00092ED7" w:rsidRDefault="00247CBF" w:rsidP="00247CBF">
            <w:pPr>
              <w:spacing w:after="0"/>
              <w:jc w:val="right"/>
              <w:rPr>
                <w:sz w:val="20"/>
                <w:szCs w:val="20"/>
                <w:lang w:val="sr-Cyrl-CS"/>
              </w:rPr>
            </w:pPr>
            <w:r w:rsidRPr="00092ED7">
              <w:rPr>
                <w:sz w:val="20"/>
                <w:szCs w:val="20"/>
                <w:lang w:val="sr-Cyrl-CS"/>
              </w:rPr>
              <w:t>117,5</w:t>
            </w:r>
          </w:p>
        </w:tc>
        <w:tc>
          <w:tcPr>
            <w:tcW w:w="1260" w:type="dxa"/>
            <w:gridSpan w:val="4"/>
            <w:tcBorders>
              <w:top w:val="nil"/>
              <w:left w:val="nil"/>
              <w:bottom w:val="dashed" w:sz="4" w:space="0" w:color="auto"/>
              <w:right w:val="dashed" w:sz="4" w:space="0" w:color="auto"/>
            </w:tcBorders>
            <w:shd w:val="clear" w:color="auto" w:fill="auto"/>
            <w:noWrap/>
            <w:vAlign w:val="center"/>
            <w:hideMark/>
          </w:tcPr>
          <w:p w14:paraId="6A937D25"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260" w:type="dxa"/>
            <w:gridSpan w:val="3"/>
            <w:tcBorders>
              <w:top w:val="nil"/>
              <w:left w:val="nil"/>
              <w:bottom w:val="dashed" w:sz="4" w:space="0" w:color="auto"/>
              <w:right w:val="dashed" w:sz="4" w:space="0" w:color="auto"/>
            </w:tcBorders>
            <w:shd w:val="clear" w:color="auto" w:fill="auto"/>
            <w:noWrap/>
            <w:vAlign w:val="center"/>
            <w:hideMark/>
          </w:tcPr>
          <w:p w14:paraId="3734F625"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268" w:type="dxa"/>
            <w:gridSpan w:val="3"/>
            <w:tcBorders>
              <w:top w:val="nil"/>
              <w:left w:val="nil"/>
              <w:bottom w:val="dashed" w:sz="4" w:space="0" w:color="auto"/>
              <w:right w:val="double" w:sz="4" w:space="0" w:color="auto"/>
            </w:tcBorders>
            <w:shd w:val="clear" w:color="auto" w:fill="auto"/>
            <w:noWrap/>
            <w:vAlign w:val="center"/>
            <w:hideMark/>
          </w:tcPr>
          <w:p w14:paraId="05D3AD08" w14:textId="77777777" w:rsidR="00247CBF" w:rsidRPr="00092ED7" w:rsidRDefault="00247CBF" w:rsidP="00247CBF">
            <w:pPr>
              <w:spacing w:after="0"/>
              <w:jc w:val="right"/>
              <w:rPr>
                <w:sz w:val="20"/>
                <w:szCs w:val="20"/>
                <w:lang w:val="sr-Cyrl-CS"/>
              </w:rPr>
            </w:pPr>
            <w:r w:rsidRPr="00092ED7">
              <w:rPr>
                <w:sz w:val="20"/>
                <w:szCs w:val="20"/>
                <w:lang w:val="sr-Cyrl-CS"/>
              </w:rPr>
              <w:t> </w:t>
            </w:r>
          </w:p>
        </w:tc>
      </w:tr>
      <w:tr w:rsidR="00247CBF" w:rsidRPr="00092ED7" w14:paraId="2E1E38B3" w14:textId="77777777" w:rsidTr="00247CBF">
        <w:trPr>
          <w:gridAfter w:val="3"/>
          <w:wAfter w:w="365" w:type="dxa"/>
          <w:trHeight w:val="270"/>
        </w:trPr>
        <w:tc>
          <w:tcPr>
            <w:tcW w:w="4962" w:type="dxa"/>
            <w:gridSpan w:val="3"/>
            <w:tcBorders>
              <w:top w:val="nil"/>
              <w:left w:val="double" w:sz="6" w:space="0" w:color="auto"/>
              <w:bottom w:val="single" w:sz="8" w:space="0" w:color="auto"/>
              <w:right w:val="nil"/>
            </w:tcBorders>
            <w:shd w:val="clear" w:color="auto" w:fill="auto"/>
            <w:noWrap/>
            <w:vAlign w:val="bottom"/>
            <w:hideMark/>
          </w:tcPr>
          <w:p w14:paraId="6B4C2EE0"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Девизни курс РСД/ЕУР (крај године)</w:t>
            </w:r>
          </w:p>
        </w:tc>
        <w:tc>
          <w:tcPr>
            <w:tcW w:w="1447" w:type="dxa"/>
            <w:gridSpan w:val="3"/>
            <w:tcBorders>
              <w:top w:val="nil"/>
              <w:left w:val="single" w:sz="8" w:space="0" w:color="auto"/>
              <w:bottom w:val="single" w:sz="8" w:space="0" w:color="auto"/>
              <w:right w:val="single" w:sz="8" w:space="0" w:color="auto"/>
            </w:tcBorders>
            <w:shd w:val="clear" w:color="auto" w:fill="auto"/>
            <w:noWrap/>
            <w:vAlign w:val="bottom"/>
            <w:hideMark/>
          </w:tcPr>
          <w:p w14:paraId="64AF3FC8" w14:textId="77777777" w:rsidR="00247CBF" w:rsidRPr="00092ED7" w:rsidRDefault="00247CBF" w:rsidP="00247CBF">
            <w:pPr>
              <w:spacing w:after="0"/>
              <w:jc w:val="center"/>
              <w:rPr>
                <w:sz w:val="20"/>
                <w:szCs w:val="20"/>
                <w:lang w:val="sr-Cyrl-CS"/>
              </w:rPr>
            </w:pPr>
            <w:r w:rsidRPr="00092ED7">
              <w:rPr>
                <w:sz w:val="20"/>
                <w:szCs w:val="20"/>
                <w:lang w:val="sr-Cyrl-CS"/>
              </w:rPr>
              <w:t>РСД/ЕУР</w:t>
            </w:r>
          </w:p>
        </w:tc>
        <w:tc>
          <w:tcPr>
            <w:tcW w:w="1380" w:type="dxa"/>
            <w:gridSpan w:val="3"/>
            <w:tcBorders>
              <w:top w:val="nil"/>
              <w:left w:val="nil"/>
              <w:bottom w:val="dashed" w:sz="4" w:space="0" w:color="auto"/>
              <w:right w:val="dashed" w:sz="4" w:space="0" w:color="auto"/>
            </w:tcBorders>
            <w:shd w:val="clear" w:color="auto" w:fill="auto"/>
            <w:noWrap/>
            <w:vAlign w:val="center"/>
            <w:hideMark/>
          </w:tcPr>
          <w:p w14:paraId="322ED7F7" w14:textId="77777777" w:rsidR="00247CBF" w:rsidRPr="00092ED7" w:rsidRDefault="00247CBF" w:rsidP="00247CBF">
            <w:pPr>
              <w:spacing w:after="0"/>
              <w:jc w:val="right"/>
              <w:rPr>
                <w:sz w:val="20"/>
                <w:szCs w:val="20"/>
                <w:lang w:val="sr-Cyrl-CS"/>
              </w:rPr>
            </w:pPr>
            <w:r w:rsidRPr="00092ED7">
              <w:rPr>
                <w:sz w:val="20"/>
                <w:szCs w:val="20"/>
                <w:lang w:val="sr-Cyrl-CS"/>
              </w:rPr>
              <w:t>117,6</w:t>
            </w:r>
          </w:p>
        </w:tc>
        <w:tc>
          <w:tcPr>
            <w:tcW w:w="1300" w:type="dxa"/>
            <w:gridSpan w:val="4"/>
            <w:tcBorders>
              <w:top w:val="nil"/>
              <w:left w:val="nil"/>
              <w:bottom w:val="dashed" w:sz="4" w:space="0" w:color="auto"/>
              <w:right w:val="dashed" w:sz="4" w:space="0" w:color="auto"/>
            </w:tcBorders>
            <w:shd w:val="clear" w:color="auto" w:fill="auto"/>
            <w:noWrap/>
            <w:vAlign w:val="center"/>
            <w:hideMark/>
          </w:tcPr>
          <w:p w14:paraId="4A1FDF52" w14:textId="77777777" w:rsidR="00247CBF" w:rsidRPr="00092ED7" w:rsidRDefault="00247CBF" w:rsidP="00247CBF">
            <w:pPr>
              <w:spacing w:after="0"/>
              <w:jc w:val="right"/>
              <w:rPr>
                <w:sz w:val="20"/>
                <w:szCs w:val="20"/>
                <w:lang w:val="sr-Cyrl-CS"/>
              </w:rPr>
            </w:pPr>
            <w:r w:rsidRPr="00092ED7">
              <w:rPr>
                <w:sz w:val="20"/>
                <w:szCs w:val="20"/>
                <w:lang w:val="sr-Cyrl-CS"/>
              </w:rPr>
              <w:t>117,6</w:t>
            </w:r>
          </w:p>
        </w:tc>
        <w:tc>
          <w:tcPr>
            <w:tcW w:w="1360" w:type="dxa"/>
            <w:gridSpan w:val="4"/>
            <w:tcBorders>
              <w:top w:val="nil"/>
              <w:left w:val="nil"/>
              <w:bottom w:val="single" w:sz="8" w:space="0" w:color="auto"/>
              <w:right w:val="dashed" w:sz="4" w:space="0" w:color="auto"/>
            </w:tcBorders>
            <w:shd w:val="clear" w:color="auto" w:fill="auto"/>
            <w:noWrap/>
            <w:vAlign w:val="center"/>
            <w:hideMark/>
          </w:tcPr>
          <w:p w14:paraId="43C7164B" w14:textId="77777777" w:rsidR="00247CBF" w:rsidRPr="00092ED7" w:rsidRDefault="00247CBF" w:rsidP="00247CBF">
            <w:pPr>
              <w:spacing w:after="0"/>
              <w:jc w:val="right"/>
              <w:rPr>
                <w:sz w:val="20"/>
                <w:szCs w:val="20"/>
                <w:lang w:val="sr-Cyrl-CS"/>
              </w:rPr>
            </w:pPr>
            <w:r w:rsidRPr="00092ED7">
              <w:rPr>
                <w:sz w:val="20"/>
                <w:szCs w:val="20"/>
                <w:lang w:val="sr-Cyrl-CS"/>
              </w:rPr>
              <w:t>117,3</w:t>
            </w:r>
          </w:p>
        </w:tc>
        <w:tc>
          <w:tcPr>
            <w:tcW w:w="1260" w:type="dxa"/>
            <w:gridSpan w:val="4"/>
            <w:tcBorders>
              <w:top w:val="nil"/>
              <w:left w:val="nil"/>
              <w:bottom w:val="single" w:sz="8" w:space="0" w:color="auto"/>
              <w:right w:val="dashed" w:sz="4" w:space="0" w:color="auto"/>
            </w:tcBorders>
            <w:shd w:val="clear" w:color="auto" w:fill="auto"/>
            <w:noWrap/>
            <w:vAlign w:val="center"/>
            <w:hideMark/>
          </w:tcPr>
          <w:p w14:paraId="47AF1C5A"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260" w:type="dxa"/>
            <w:gridSpan w:val="3"/>
            <w:tcBorders>
              <w:top w:val="nil"/>
              <w:left w:val="nil"/>
              <w:bottom w:val="single" w:sz="8" w:space="0" w:color="auto"/>
              <w:right w:val="dashed" w:sz="4" w:space="0" w:color="auto"/>
            </w:tcBorders>
            <w:shd w:val="clear" w:color="auto" w:fill="auto"/>
            <w:noWrap/>
            <w:vAlign w:val="center"/>
            <w:hideMark/>
          </w:tcPr>
          <w:p w14:paraId="23DF921F"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268" w:type="dxa"/>
            <w:gridSpan w:val="3"/>
            <w:tcBorders>
              <w:top w:val="nil"/>
              <w:left w:val="nil"/>
              <w:bottom w:val="single" w:sz="8" w:space="0" w:color="auto"/>
              <w:right w:val="double" w:sz="4" w:space="0" w:color="auto"/>
            </w:tcBorders>
            <w:shd w:val="clear" w:color="auto" w:fill="auto"/>
            <w:noWrap/>
            <w:vAlign w:val="center"/>
            <w:hideMark/>
          </w:tcPr>
          <w:p w14:paraId="52F5788A" w14:textId="77777777" w:rsidR="00247CBF" w:rsidRPr="00092ED7" w:rsidRDefault="00247CBF" w:rsidP="00247CBF">
            <w:pPr>
              <w:spacing w:after="0"/>
              <w:jc w:val="right"/>
              <w:rPr>
                <w:sz w:val="20"/>
                <w:szCs w:val="20"/>
                <w:lang w:val="sr-Cyrl-CS"/>
              </w:rPr>
            </w:pPr>
            <w:r w:rsidRPr="00092ED7">
              <w:rPr>
                <w:sz w:val="20"/>
                <w:szCs w:val="20"/>
                <w:lang w:val="sr-Cyrl-CS"/>
              </w:rPr>
              <w:t> </w:t>
            </w:r>
          </w:p>
        </w:tc>
      </w:tr>
      <w:tr w:rsidR="00247CBF" w:rsidRPr="00092ED7" w14:paraId="08DEC80A" w14:textId="77777777" w:rsidTr="00247CBF">
        <w:trPr>
          <w:gridAfter w:val="3"/>
          <w:wAfter w:w="365" w:type="dxa"/>
          <w:trHeight w:val="270"/>
        </w:trPr>
        <w:tc>
          <w:tcPr>
            <w:tcW w:w="4962" w:type="dxa"/>
            <w:gridSpan w:val="3"/>
            <w:tcBorders>
              <w:top w:val="nil"/>
              <w:left w:val="double" w:sz="6" w:space="0" w:color="auto"/>
              <w:bottom w:val="single" w:sz="8" w:space="0" w:color="auto"/>
              <w:right w:val="nil"/>
            </w:tcBorders>
            <w:shd w:val="clear" w:color="auto" w:fill="auto"/>
            <w:noWrap/>
            <w:vAlign w:val="center"/>
            <w:hideMark/>
          </w:tcPr>
          <w:p w14:paraId="5871FA73" w14:textId="77777777" w:rsidR="00247CBF" w:rsidRPr="00092ED7" w:rsidRDefault="00247CBF" w:rsidP="00247CBF">
            <w:pPr>
              <w:spacing w:after="0"/>
              <w:jc w:val="center"/>
              <w:rPr>
                <w:rFonts w:eastAsia="Times New Roman" w:cs="Times New Roman"/>
                <w:b/>
                <w:bCs/>
                <w:sz w:val="20"/>
                <w:szCs w:val="20"/>
                <w:lang w:val="sr-Cyrl-CS"/>
              </w:rPr>
            </w:pPr>
            <w:r w:rsidRPr="00092ED7">
              <w:rPr>
                <w:rFonts w:eastAsia="Times New Roman" w:cs="Times New Roman"/>
                <w:b/>
                <w:bCs/>
                <w:sz w:val="20"/>
                <w:szCs w:val="20"/>
                <w:lang w:val="sr-Cyrl-CS"/>
              </w:rPr>
              <w:t>Табела 1b:  Кретање цена</w:t>
            </w:r>
          </w:p>
        </w:tc>
        <w:tc>
          <w:tcPr>
            <w:tcW w:w="1447" w:type="dxa"/>
            <w:gridSpan w:val="3"/>
            <w:tcBorders>
              <w:top w:val="nil"/>
              <w:left w:val="single" w:sz="8" w:space="0" w:color="auto"/>
              <w:bottom w:val="single" w:sz="8" w:space="0" w:color="auto"/>
              <w:right w:val="single" w:sz="8" w:space="0" w:color="auto"/>
            </w:tcBorders>
            <w:shd w:val="clear" w:color="auto" w:fill="auto"/>
            <w:noWrap/>
            <w:vAlign w:val="bottom"/>
            <w:hideMark/>
          </w:tcPr>
          <w:p w14:paraId="27A1FC4C"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 </w:t>
            </w:r>
          </w:p>
        </w:tc>
        <w:tc>
          <w:tcPr>
            <w:tcW w:w="1380" w:type="dxa"/>
            <w:gridSpan w:val="3"/>
            <w:tcBorders>
              <w:top w:val="single" w:sz="8" w:space="0" w:color="auto"/>
              <w:left w:val="nil"/>
              <w:bottom w:val="single" w:sz="8" w:space="0" w:color="auto"/>
              <w:right w:val="nil"/>
            </w:tcBorders>
            <w:shd w:val="clear" w:color="auto" w:fill="auto"/>
            <w:noWrap/>
            <w:vAlign w:val="bottom"/>
            <w:hideMark/>
          </w:tcPr>
          <w:p w14:paraId="0C58C661" w14:textId="77777777" w:rsidR="00247CBF" w:rsidRPr="00092ED7" w:rsidRDefault="00247CBF" w:rsidP="00247CBF">
            <w:pPr>
              <w:spacing w:after="0"/>
              <w:jc w:val="right"/>
              <w:rPr>
                <w:rFonts w:eastAsia="Times New Roman" w:cs="Times New Roman"/>
                <w:sz w:val="20"/>
                <w:szCs w:val="20"/>
                <w:lang w:val="sr-Cyrl-CS"/>
              </w:rPr>
            </w:pPr>
            <w:r w:rsidRPr="00092ED7">
              <w:rPr>
                <w:rFonts w:eastAsia="Times New Roman" w:cs="Times New Roman"/>
                <w:sz w:val="20"/>
                <w:szCs w:val="20"/>
                <w:lang w:val="sr-Cyrl-CS"/>
              </w:rPr>
              <w:t> </w:t>
            </w:r>
          </w:p>
        </w:tc>
        <w:tc>
          <w:tcPr>
            <w:tcW w:w="1300" w:type="dxa"/>
            <w:gridSpan w:val="4"/>
            <w:tcBorders>
              <w:top w:val="single" w:sz="8" w:space="0" w:color="auto"/>
              <w:left w:val="nil"/>
              <w:bottom w:val="single" w:sz="8" w:space="0" w:color="auto"/>
              <w:right w:val="nil"/>
            </w:tcBorders>
            <w:shd w:val="clear" w:color="auto" w:fill="auto"/>
            <w:noWrap/>
            <w:vAlign w:val="bottom"/>
            <w:hideMark/>
          </w:tcPr>
          <w:p w14:paraId="44BF37C0" w14:textId="77777777" w:rsidR="00247CBF" w:rsidRPr="00092ED7" w:rsidRDefault="00247CBF" w:rsidP="00247CBF">
            <w:pPr>
              <w:spacing w:after="0"/>
              <w:jc w:val="right"/>
              <w:rPr>
                <w:rFonts w:eastAsia="Times New Roman" w:cs="Times New Roman"/>
                <w:sz w:val="20"/>
                <w:szCs w:val="20"/>
                <w:lang w:val="sr-Cyrl-CS"/>
              </w:rPr>
            </w:pPr>
            <w:r w:rsidRPr="00092ED7">
              <w:rPr>
                <w:rFonts w:eastAsia="Times New Roman" w:cs="Times New Roman"/>
                <w:sz w:val="20"/>
                <w:szCs w:val="20"/>
                <w:lang w:val="sr-Cyrl-CS"/>
              </w:rPr>
              <w:t> </w:t>
            </w:r>
          </w:p>
        </w:tc>
        <w:tc>
          <w:tcPr>
            <w:tcW w:w="1360" w:type="dxa"/>
            <w:gridSpan w:val="4"/>
            <w:tcBorders>
              <w:top w:val="nil"/>
              <w:left w:val="nil"/>
              <w:bottom w:val="single" w:sz="8" w:space="0" w:color="auto"/>
              <w:right w:val="nil"/>
            </w:tcBorders>
            <w:shd w:val="clear" w:color="auto" w:fill="auto"/>
            <w:noWrap/>
            <w:vAlign w:val="bottom"/>
            <w:hideMark/>
          </w:tcPr>
          <w:p w14:paraId="76CAA9A6" w14:textId="77777777" w:rsidR="00247CBF" w:rsidRPr="00092ED7" w:rsidRDefault="00247CBF" w:rsidP="00247CBF">
            <w:pPr>
              <w:spacing w:after="0"/>
              <w:jc w:val="right"/>
              <w:rPr>
                <w:rFonts w:eastAsia="Times New Roman" w:cs="Times New Roman"/>
                <w:sz w:val="20"/>
                <w:szCs w:val="20"/>
                <w:lang w:val="sr-Cyrl-CS"/>
              </w:rPr>
            </w:pPr>
            <w:r w:rsidRPr="00092ED7">
              <w:rPr>
                <w:rFonts w:eastAsia="Times New Roman" w:cs="Times New Roman"/>
                <w:sz w:val="20"/>
                <w:szCs w:val="20"/>
                <w:lang w:val="sr-Cyrl-CS"/>
              </w:rPr>
              <w:t> </w:t>
            </w:r>
          </w:p>
        </w:tc>
        <w:tc>
          <w:tcPr>
            <w:tcW w:w="1260" w:type="dxa"/>
            <w:gridSpan w:val="4"/>
            <w:tcBorders>
              <w:top w:val="nil"/>
              <w:left w:val="nil"/>
              <w:bottom w:val="single" w:sz="8" w:space="0" w:color="auto"/>
              <w:right w:val="nil"/>
            </w:tcBorders>
            <w:shd w:val="clear" w:color="auto" w:fill="auto"/>
            <w:noWrap/>
            <w:vAlign w:val="bottom"/>
            <w:hideMark/>
          </w:tcPr>
          <w:p w14:paraId="57DB2A88" w14:textId="77777777" w:rsidR="00247CBF" w:rsidRPr="00092ED7" w:rsidRDefault="00247CBF" w:rsidP="00247CBF">
            <w:pPr>
              <w:spacing w:after="0"/>
              <w:jc w:val="right"/>
              <w:rPr>
                <w:rFonts w:eastAsia="Times New Roman" w:cs="Times New Roman"/>
                <w:sz w:val="20"/>
                <w:szCs w:val="20"/>
                <w:lang w:val="sr-Cyrl-CS"/>
              </w:rPr>
            </w:pPr>
            <w:r w:rsidRPr="00092ED7">
              <w:rPr>
                <w:rFonts w:eastAsia="Times New Roman" w:cs="Times New Roman"/>
                <w:sz w:val="20"/>
                <w:szCs w:val="20"/>
                <w:lang w:val="sr-Cyrl-CS"/>
              </w:rPr>
              <w:t> </w:t>
            </w:r>
          </w:p>
        </w:tc>
        <w:tc>
          <w:tcPr>
            <w:tcW w:w="1260" w:type="dxa"/>
            <w:gridSpan w:val="3"/>
            <w:tcBorders>
              <w:top w:val="nil"/>
              <w:left w:val="nil"/>
              <w:bottom w:val="single" w:sz="8" w:space="0" w:color="auto"/>
              <w:right w:val="nil"/>
            </w:tcBorders>
            <w:shd w:val="clear" w:color="auto" w:fill="auto"/>
            <w:noWrap/>
            <w:vAlign w:val="bottom"/>
            <w:hideMark/>
          </w:tcPr>
          <w:p w14:paraId="0DFB8C89" w14:textId="77777777" w:rsidR="00247CBF" w:rsidRPr="00092ED7" w:rsidRDefault="00247CBF" w:rsidP="00247CBF">
            <w:pPr>
              <w:spacing w:after="0"/>
              <w:jc w:val="right"/>
              <w:rPr>
                <w:rFonts w:eastAsia="Times New Roman" w:cs="Times New Roman"/>
                <w:sz w:val="20"/>
                <w:szCs w:val="20"/>
                <w:lang w:val="sr-Cyrl-CS"/>
              </w:rPr>
            </w:pPr>
            <w:r w:rsidRPr="00092ED7">
              <w:rPr>
                <w:rFonts w:eastAsia="Times New Roman" w:cs="Times New Roman"/>
                <w:sz w:val="20"/>
                <w:szCs w:val="20"/>
                <w:lang w:val="sr-Cyrl-CS"/>
              </w:rPr>
              <w:t> </w:t>
            </w:r>
          </w:p>
        </w:tc>
        <w:tc>
          <w:tcPr>
            <w:tcW w:w="1268" w:type="dxa"/>
            <w:gridSpan w:val="3"/>
            <w:tcBorders>
              <w:top w:val="nil"/>
              <w:left w:val="nil"/>
              <w:bottom w:val="single" w:sz="8" w:space="0" w:color="auto"/>
              <w:right w:val="double" w:sz="4" w:space="0" w:color="auto"/>
            </w:tcBorders>
            <w:shd w:val="clear" w:color="auto" w:fill="auto"/>
            <w:noWrap/>
            <w:vAlign w:val="bottom"/>
            <w:hideMark/>
          </w:tcPr>
          <w:p w14:paraId="064B112E" w14:textId="77777777" w:rsidR="00247CBF" w:rsidRPr="00092ED7" w:rsidRDefault="00247CBF" w:rsidP="00247CBF">
            <w:pPr>
              <w:spacing w:after="0"/>
              <w:jc w:val="right"/>
              <w:rPr>
                <w:rFonts w:eastAsia="Times New Roman" w:cs="Times New Roman"/>
                <w:sz w:val="20"/>
                <w:szCs w:val="20"/>
                <w:lang w:val="sr-Cyrl-CS"/>
              </w:rPr>
            </w:pPr>
            <w:r w:rsidRPr="00092ED7">
              <w:rPr>
                <w:rFonts w:eastAsia="Times New Roman" w:cs="Times New Roman"/>
                <w:sz w:val="20"/>
                <w:szCs w:val="20"/>
                <w:lang w:val="sr-Cyrl-CS"/>
              </w:rPr>
              <w:t> </w:t>
            </w:r>
          </w:p>
        </w:tc>
      </w:tr>
      <w:tr w:rsidR="00247CBF" w:rsidRPr="00092ED7" w14:paraId="27A982A5" w14:textId="77777777" w:rsidTr="00247CBF">
        <w:trPr>
          <w:gridAfter w:val="3"/>
          <w:wAfter w:w="365" w:type="dxa"/>
          <w:trHeight w:val="255"/>
        </w:trPr>
        <w:tc>
          <w:tcPr>
            <w:tcW w:w="4962" w:type="dxa"/>
            <w:gridSpan w:val="3"/>
            <w:tcBorders>
              <w:top w:val="nil"/>
              <w:left w:val="double" w:sz="6" w:space="0" w:color="auto"/>
              <w:bottom w:val="dashed" w:sz="4" w:space="0" w:color="auto"/>
              <w:right w:val="nil"/>
            </w:tcBorders>
            <w:shd w:val="clear" w:color="auto" w:fill="auto"/>
            <w:vAlign w:val="center"/>
            <w:hideMark/>
          </w:tcPr>
          <w:p w14:paraId="65ACCF31"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1. Дефлатор БДП-а</w:t>
            </w:r>
          </w:p>
        </w:tc>
        <w:tc>
          <w:tcPr>
            <w:tcW w:w="1447" w:type="dxa"/>
            <w:gridSpan w:val="3"/>
            <w:tcBorders>
              <w:top w:val="nil"/>
              <w:left w:val="single" w:sz="8" w:space="0" w:color="auto"/>
              <w:bottom w:val="dashed" w:sz="4" w:space="0" w:color="auto"/>
              <w:right w:val="single" w:sz="8" w:space="0" w:color="auto"/>
            </w:tcBorders>
            <w:shd w:val="clear" w:color="auto" w:fill="auto"/>
            <w:noWrap/>
            <w:vAlign w:val="center"/>
            <w:hideMark/>
          </w:tcPr>
          <w:p w14:paraId="31958768" w14:textId="77777777" w:rsidR="00247CBF" w:rsidRPr="00092ED7" w:rsidRDefault="00247CBF" w:rsidP="00247CBF">
            <w:pPr>
              <w:spacing w:after="0"/>
              <w:jc w:val="center"/>
              <w:rPr>
                <w:sz w:val="20"/>
                <w:szCs w:val="20"/>
                <w:lang w:val="sr-Cyrl-CS"/>
              </w:rPr>
            </w:pPr>
            <w:r w:rsidRPr="00092ED7">
              <w:rPr>
                <w:sz w:val="20"/>
                <w:szCs w:val="20"/>
                <w:lang w:val="sr-Cyrl-CS"/>
              </w:rPr>
              <w:t>Индекс</w:t>
            </w:r>
          </w:p>
        </w:tc>
        <w:tc>
          <w:tcPr>
            <w:tcW w:w="1380" w:type="dxa"/>
            <w:gridSpan w:val="3"/>
            <w:tcBorders>
              <w:top w:val="nil"/>
              <w:left w:val="nil"/>
              <w:bottom w:val="dashed" w:sz="4" w:space="0" w:color="auto"/>
              <w:right w:val="dashed" w:sz="4" w:space="0" w:color="auto"/>
            </w:tcBorders>
            <w:shd w:val="clear" w:color="auto" w:fill="auto"/>
            <w:noWrap/>
            <w:vAlign w:val="center"/>
            <w:hideMark/>
          </w:tcPr>
          <w:p w14:paraId="50787D3E" w14:textId="77777777" w:rsidR="00247CBF" w:rsidRPr="00092ED7" w:rsidRDefault="00247CBF" w:rsidP="00247CBF">
            <w:pPr>
              <w:spacing w:after="0"/>
              <w:jc w:val="right"/>
              <w:rPr>
                <w:sz w:val="20"/>
                <w:szCs w:val="20"/>
                <w:lang w:val="sr-Cyrl-CS"/>
              </w:rPr>
            </w:pPr>
            <w:r w:rsidRPr="00092ED7">
              <w:rPr>
                <w:sz w:val="20"/>
                <w:szCs w:val="20"/>
                <w:lang w:val="sr-Cyrl-CS"/>
              </w:rPr>
              <w:t>111,9</w:t>
            </w:r>
          </w:p>
        </w:tc>
        <w:tc>
          <w:tcPr>
            <w:tcW w:w="1300" w:type="dxa"/>
            <w:gridSpan w:val="4"/>
            <w:tcBorders>
              <w:top w:val="nil"/>
              <w:left w:val="nil"/>
              <w:bottom w:val="dashed" w:sz="4" w:space="0" w:color="auto"/>
              <w:right w:val="dashed" w:sz="4" w:space="0" w:color="auto"/>
            </w:tcBorders>
            <w:shd w:val="clear" w:color="auto" w:fill="auto"/>
            <w:noWrap/>
            <w:vAlign w:val="center"/>
            <w:hideMark/>
          </w:tcPr>
          <w:p w14:paraId="396992E8" w14:textId="77777777" w:rsidR="00247CBF" w:rsidRPr="00092ED7" w:rsidRDefault="00247CBF" w:rsidP="00247CBF">
            <w:pPr>
              <w:spacing w:after="0"/>
              <w:jc w:val="right"/>
              <w:rPr>
                <w:sz w:val="20"/>
                <w:szCs w:val="20"/>
                <w:lang w:val="sr-Cyrl-CS"/>
              </w:rPr>
            </w:pPr>
            <w:r w:rsidRPr="00092ED7">
              <w:rPr>
                <w:sz w:val="20"/>
                <w:szCs w:val="20"/>
                <w:lang w:val="sr-Cyrl-CS"/>
              </w:rPr>
              <w:t>118,5</w:t>
            </w:r>
          </w:p>
        </w:tc>
        <w:tc>
          <w:tcPr>
            <w:tcW w:w="1360" w:type="dxa"/>
            <w:gridSpan w:val="4"/>
            <w:tcBorders>
              <w:top w:val="nil"/>
              <w:left w:val="nil"/>
              <w:bottom w:val="dashed" w:sz="4" w:space="0" w:color="auto"/>
              <w:right w:val="dashed" w:sz="4" w:space="0" w:color="auto"/>
            </w:tcBorders>
            <w:shd w:val="clear" w:color="auto" w:fill="auto"/>
            <w:noWrap/>
            <w:vAlign w:val="center"/>
            <w:hideMark/>
          </w:tcPr>
          <w:p w14:paraId="2235B0E4" w14:textId="77777777" w:rsidR="00247CBF" w:rsidRPr="00092ED7" w:rsidRDefault="00247CBF" w:rsidP="00247CBF">
            <w:pPr>
              <w:spacing w:after="0"/>
              <w:jc w:val="right"/>
              <w:rPr>
                <w:sz w:val="20"/>
                <w:szCs w:val="20"/>
                <w:lang w:val="sr-Cyrl-CS"/>
              </w:rPr>
            </w:pPr>
            <w:r w:rsidRPr="00092ED7">
              <w:rPr>
                <w:sz w:val="20"/>
                <w:szCs w:val="20"/>
                <w:lang w:val="sr-Cyrl-CS"/>
              </w:rPr>
              <w:t>130,6</w:t>
            </w:r>
          </w:p>
        </w:tc>
        <w:tc>
          <w:tcPr>
            <w:tcW w:w="1260" w:type="dxa"/>
            <w:gridSpan w:val="4"/>
            <w:tcBorders>
              <w:top w:val="nil"/>
              <w:left w:val="nil"/>
              <w:bottom w:val="dashed" w:sz="4" w:space="0" w:color="auto"/>
              <w:right w:val="dashed" w:sz="4" w:space="0" w:color="auto"/>
            </w:tcBorders>
            <w:shd w:val="clear" w:color="auto" w:fill="auto"/>
            <w:noWrap/>
            <w:vAlign w:val="center"/>
            <w:hideMark/>
          </w:tcPr>
          <w:p w14:paraId="00CFCFCE" w14:textId="77777777" w:rsidR="00247CBF" w:rsidRPr="00092ED7" w:rsidRDefault="00247CBF" w:rsidP="00247CBF">
            <w:pPr>
              <w:spacing w:after="0"/>
              <w:jc w:val="right"/>
              <w:rPr>
                <w:sz w:val="20"/>
                <w:szCs w:val="20"/>
                <w:lang w:val="sr-Cyrl-CS"/>
              </w:rPr>
            </w:pPr>
            <w:r w:rsidRPr="00092ED7">
              <w:rPr>
                <w:sz w:val="20"/>
                <w:szCs w:val="20"/>
                <w:lang w:val="sr-Cyrl-CS"/>
              </w:rPr>
              <w:t>144,4</w:t>
            </w:r>
          </w:p>
        </w:tc>
        <w:tc>
          <w:tcPr>
            <w:tcW w:w="1260" w:type="dxa"/>
            <w:gridSpan w:val="3"/>
            <w:tcBorders>
              <w:top w:val="nil"/>
              <w:left w:val="nil"/>
              <w:bottom w:val="dashed" w:sz="4" w:space="0" w:color="auto"/>
              <w:right w:val="dashed" w:sz="4" w:space="0" w:color="auto"/>
            </w:tcBorders>
            <w:shd w:val="clear" w:color="auto" w:fill="auto"/>
            <w:noWrap/>
            <w:vAlign w:val="center"/>
            <w:hideMark/>
          </w:tcPr>
          <w:p w14:paraId="3F63D56C" w14:textId="77777777" w:rsidR="00247CBF" w:rsidRPr="00092ED7" w:rsidRDefault="00247CBF" w:rsidP="00247CBF">
            <w:pPr>
              <w:spacing w:after="0"/>
              <w:jc w:val="right"/>
              <w:rPr>
                <w:sz w:val="20"/>
                <w:szCs w:val="20"/>
                <w:lang w:val="sr-Cyrl-CS"/>
              </w:rPr>
            </w:pPr>
            <w:r w:rsidRPr="00092ED7">
              <w:rPr>
                <w:sz w:val="20"/>
                <w:szCs w:val="20"/>
                <w:lang w:val="sr-Cyrl-CS"/>
              </w:rPr>
              <w:t>152,5</w:t>
            </w:r>
          </w:p>
        </w:tc>
        <w:tc>
          <w:tcPr>
            <w:tcW w:w="1268" w:type="dxa"/>
            <w:gridSpan w:val="3"/>
            <w:tcBorders>
              <w:top w:val="nil"/>
              <w:left w:val="nil"/>
              <w:bottom w:val="dashed" w:sz="4" w:space="0" w:color="auto"/>
              <w:right w:val="double" w:sz="4" w:space="0" w:color="auto"/>
            </w:tcBorders>
            <w:shd w:val="clear" w:color="auto" w:fill="auto"/>
            <w:noWrap/>
            <w:vAlign w:val="center"/>
            <w:hideMark/>
          </w:tcPr>
          <w:p w14:paraId="73FF63ED" w14:textId="77777777" w:rsidR="00247CBF" w:rsidRPr="00092ED7" w:rsidRDefault="00247CBF" w:rsidP="00247CBF">
            <w:pPr>
              <w:spacing w:after="0"/>
              <w:jc w:val="right"/>
              <w:rPr>
                <w:sz w:val="20"/>
                <w:szCs w:val="20"/>
                <w:lang w:val="sr-Cyrl-CS"/>
              </w:rPr>
            </w:pPr>
            <w:r w:rsidRPr="00092ED7">
              <w:rPr>
                <w:sz w:val="20"/>
                <w:szCs w:val="20"/>
                <w:lang w:val="sr-Cyrl-CS"/>
              </w:rPr>
              <w:t>159,0</w:t>
            </w:r>
          </w:p>
        </w:tc>
      </w:tr>
      <w:tr w:rsidR="00247CBF" w:rsidRPr="00092ED7" w14:paraId="77E71C65" w14:textId="77777777" w:rsidTr="00247CBF">
        <w:trPr>
          <w:gridAfter w:val="3"/>
          <w:wAfter w:w="365" w:type="dxa"/>
          <w:trHeight w:val="255"/>
        </w:trPr>
        <w:tc>
          <w:tcPr>
            <w:tcW w:w="4962" w:type="dxa"/>
            <w:gridSpan w:val="3"/>
            <w:tcBorders>
              <w:top w:val="nil"/>
              <w:left w:val="double" w:sz="6" w:space="0" w:color="auto"/>
              <w:bottom w:val="dashed" w:sz="4" w:space="0" w:color="auto"/>
              <w:right w:val="nil"/>
            </w:tcBorders>
            <w:shd w:val="clear" w:color="auto" w:fill="auto"/>
            <w:vAlign w:val="center"/>
            <w:hideMark/>
          </w:tcPr>
          <w:p w14:paraId="2D05BE0C"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lastRenderedPageBreak/>
              <w:t>2. Дефлатор приватне потрошње</w:t>
            </w:r>
          </w:p>
        </w:tc>
        <w:tc>
          <w:tcPr>
            <w:tcW w:w="1447" w:type="dxa"/>
            <w:gridSpan w:val="3"/>
            <w:tcBorders>
              <w:top w:val="nil"/>
              <w:left w:val="single" w:sz="8" w:space="0" w:color="auto"/>
              <w:bottom w:val="dashed" w:sz="4" w:space="0" w:color="auto"/>
              <w:right w:val="single" w:sz="8" w:space="0" w:color="auto"/>
            </w:tcBorders>
            <w:shd w:val="clear" w:color="auto" w:fill="auto"/>
            <w:noWrap/>
            <w:vAlign w:val="center"/>
            <w:hideMark/>
          </w:tcPr>
          <w:p w14:paraId="50589E7C" w14:textId="77777777" w:rsidR="00247CBF" w:rsidRPr="00092ED7" w:rsidRDefault="00247CBF" w:rsidP="00247CBF">
            <w:pPr>
              <w:spacing w:after="0"/>
              <w:jc w:val="center"/>
              <w:rPr>
                <w:sz w:val="20"/>
                <w:szCs w:val="20"/>
                <w:lang w:val="sr-Cyrl-CS"/>
              </w:rPr>
            </w:pPr>
            <w:r w:rsidRPr="00092ED7">
              <w:rPr>
                <w:sz w:val="20"/>
                <w:szCs w:val="20"/>
                <w:lang w:val="sr-Cyrl-CS"/>
              </w:rPr>
              <w:t>Индекс</w:t>
            </w:r>
          </w:p>
        </w:tc>
        <w:tc>
          <w:tcPr>
            <w:tcW w:w="1380" w:type="dxa"/>
            <w:gridSpan w:val="3"/>
            <w:tcBorders>
              <w:top w:val="nil"/>
              <w:left w:val="nil"/>
              <w:bottom w:val="dashed" w:sz="4" w:space="0" w:color="auto"/>
              <w:right w:val="dashed" w:sz="4" w:space="0" w:color="auto"/>
            </w:tcBorders>
            <w:shd w:val="clear" w:color="auto" w:fill="auto"/>
            <w:noWrap/>
            <w:vAlign w:val="center"/>
            <w:hideMark/>
          </w:tcPr>
          <w:p w14:paraId="72C4E9DD" w14:textId="77777777" w:rsidR="00247CBF" w:rsidRPr="00092ED7" w:rsidRDefault="00247CBF" w:rsidP="00247CBF">
            <w:pPr>
              <w:spacing w:after="0"/>
              <w:jc w:val="right"/>
              <w:rPr>
                <w:sz w:val="20"/>
                <w:szCs w:val="20"/>
                <w:lang w:val="sr-Cyrl-CS"/>
              </w:rPr>
            </w:pPr>
            <w:r w:rsidRPr="00092ED7">
              <w:rPr>
                <w:sz w:val="20"/>
                <w:szCs w:val="20"/>
                <w:lang w:val="sr-Cyrl-CS"/>
              </w:rPr>
              <w:t>108,1</w:t>
            </w:r>
          </w:p>
        </w:tc>
        <w:tc>
          <w:tcPr>
            <w:tcW w:w="1300" w:type="dxa"/>
            <w:gridSpan w:val="4"/>
            <w:tcBorders>
              <w:top w:val="nil"/>
              <w:left w:val="nil"/>
              <w:bottom w:val="dashed" w:sz="4" w:space="0" w:color="auto"/>
              <w:right w:val="dashed" w:sz="4" w:space="0" w:color="auto"/>
            </w:tcBorders>
            <w:shd w:val="clear" w:color="auto" w:fill="auto"/>
            <w:noWrap/>
            <w:vAlign w:val="center"/>
            <w:hideMark/>
          </w:tcPr>
          <w:p w14:paraId="074CB5EE" w14:textId="77777777" w:rsidR="00247CBF" w:rsidRPr="00092ED7" w:rsidRDefault="00247CBF" w:rsidP="00247CBF">
            <w:pPr>
              <w:spacing w:after="0"/>
              <w:jc w:val="right"/>
              <w:rPr>
                <w:sz w:val="20"/>
                <w:szCs w:val="20"/>
                <w:lang w:val="sr-Cyrl-CS"/>
              </w:rPr>
            </w:pPr>
            <w:r w:rsidRPr="00092ED7">
              <w:rPr>
                <w:sz w:val="20"/>
                <w:szCs w:val="20"/>
                <w:lang w:val="sr-Cyrl-CS"/>
              </w:rPr>
              <w:t>113,1</w:t>
            </w:r>
          </w:p>
        </w:tc>
        <w:tc>
          <w:tcPr>
            <w:tcW w:w="1360" w:type="dxa"/>
            <w:gridSpan w:val="4"/>
            <w:tcBorders>
              <w:top w:val="nil"/>
              <w:left w:val="nil"/>
              <w:bottom w:val="dashed" w:sz="4" w:space="0" w:color="auto"/>
              <w:right w:val="dashed" w:sz="4" w:space="0" w:color="auto"/>
            </w:tcBorders>
            <w:shd w:val="clear" w:color="auto" w:fill="auto"/>
            <w:noWrap/>
            <w:vAlign w:val="center"/>
            <w:hideMark/>
          </w:tcPr>
          <w:p w14:paraId="24EC1BA4" w14:textId="77777777" w:rsidR="00247CBF" w:rsidRPr="00092ED7" w:rsidRDefault="00247CBF" w:rsidP="00247CBF">
            <w:pPr>
              <w:spacing w:after="0"/>
              <w:jc w:val="right"/>
              <w:rPr>
                <w:sz w:val="20"/>
                <w:szCs w:val="20"/>
                <w:lang w:val="sr-Cyrl-CS"/>
              </w:rPr>
            </w:pPr>
            <w:r w:rsidRPr="00092ED7">
              <w:rPr>
                <w:sz w:val="20"/>
                <w:szCs w:val="20"/>
                <w:lang w:val="sr-Cyrl-CS"/>
              </w:rPr>
              <w:t>126,3</w:t>
            </w:r>
          </w:p>
        </w:tc>
        <w:tc>
          <w:tcPr>
            <w:tcW w:w="1260" w:type="dxa"/>
            <w:gridSpan w:val="4"/>
            <w:tcBorders>
              <w:top w:val="nil"/>
              <w:left w:val="nil"/>
              <w:bottom w:val="dashed" w:sz="4" w:space="0" w:color="auto"/>
              <w:right w:val="dashed" w:sz="4" w:space="0" w:color="auto"/>
            </w:tcBorders>
            <w:shd w:val="clear" w:color="auto" w:fill="auto"/>
            <w:noWrap/>
            <w:vAlign w:val="center"/>
            <w:hideMark/>
          </w:tcPr>
          <w:p w14:paraId="10ED348E" w14:textId="77777777" w:rsidR="00247CBF" w:rsidRPr="00092ED7" w:rsidRDefault="00247CBF" w:rsidP="00247CBF">
            <w:pPr>
              <w:spacing w:after="0"/>
              <w:jc w:val="right"/>
              <w:rPr>
                <w:sz w:val="20"/>
                <w:szCs w:val="20"/>
                <w:lang w:val="sr-Cyrl-CS"/>
              </w:rPr>
            </w:pPr>
            <w:r w:rsidRPr="00092ED7">
              <w:rPr>
                <w:sz w:val="20"/>
                <w:szCs w:val="20"/>
                <w:lang w:val="sr-Cyrl-CS"/>
              </w:rPr>
              <w:t>139,7</w:t>
            </w:r>
          </w:p>
        </w:tc>
        <w:tc>
          <w:tcPr>
            <w:tcW w:w="1260" w:type="dxa"/>
            <w:gridSpan w:val="3"/>
            <w:tcBorders>
              <w:top w:val="nil"/>
              <w:left w:val="nil"/>
              <w:bottom w:val="dashed" w:sz="4" w:space="0" w:color="auto"/>
              <w:right w:val="dashed" w:sz="4" w:space="0" w:color="auto"/>
            </w:tcBorders>
            <w:shd w:val="clear" w:color="auto" w:fill="auto"/>
            <w:noWrap/>
            <w:vAlign w:val="center"/>
            <w:hideMark/>
          </w:tcPr>
          <w:p w14:paraId="7705D41E" w14:textId="77777777" w:rsidR="00247CBF" w:rsidRPr="00092ED7" w:rsidRDefault="00247CBF" w:rsidP="00247CBF">
            <w:pPr>
              <w:spacing w:after="0"/>
              <w:jc w:val="right"/>
              <w:rPr>
                <w:sz w:val="20"/>
                <w:szCs w:val="20"/>
                <w:lang w:val="sr-Cyrl-CS"/>
              </w:rPr>
            </w:pPr>
            <w:r w:rsidRPr="00092ED7">
              <w:rPr>
                <w:sz w:val="20"/>
                <w:szCs w:val="20"/>
                <w:lang w:val="sr-Cyrl-CS"/>
              </w:rPr>
              <w:t>146,7</w:t>
            </w:r>
          </w:p>
        </w:tc>
        <w:tc>
          <w:tcPr>
            <w:tcW w:w="1268" w:type="dxa"/>
            <w:gridSpan w:val="3"/>
            <w:tcBorders>
              <w:top w:val="nil"/>
              <w:left w:val="nil"/>
              <w:bottom w:val="dashed" w:sz="4" w:space="0" w:color="auto"/>
              <w:right w:val="double" w:sz="4" w:space="0" w:color="auto"/>
            </w:tcBorders>
            <w:shd w:val="clear" w:color="auto" w:fill="auto"/>
            <w:noWrap/>
            <w:vAlign w:val="center"/>
            <w:hideMark/>
          </w:tcPr>
          <w:p w14:paraId="35A78D5E" w14:textId="77777777" w:rsidR="00247CBF" w:rsidRPr="00092ED7" w:rsidRDefault="00247CBF" w:rsidP="00247CBF">
            <w:pPr>
              <w:spacing w:after="0"/>
              <w:jc w:val="right"/>
              <w:rPr>
                <w:sz w:val="20"/>
                <w:szCs w:val="20"/>
                <w:lang w:val="sr-Cyrl-CS"/>
              </w:rPr>
            </w:pPr>
            <w:r w:rsidRPr="00092ED7">
              <w:rPr>
                <w:sz w:val="20"/>
                <w:szCs w:val="20"/>
                <w:lang w:val="sr-Cyrl-CS"/>
              </w:rPr>
              <w:t>151,8</w:t>
            </w:r>
          </w:p>
        </w:tc>
      </w:tr>
      <w:tr w:rsidR="00247CBF" w:rsidRPr="00092ED7" w14:paraId="58E87A57" w14:textId="77777777" w:rsidTr="00247CBF">
        <w:trPr>
          <w:gridAfter w:val="3"/>
          <w:wAfter w:w="365" w:type="dxa"/>
          <w:trHeight w:val="255"/>
        </w:trPr>
        <w:tc>
          <w:tcPr>
            <w:tcW w:w="4962" w:type="dxa"/>
            <w:gridSpan w:val="3"/>
            <w:tcBorders>
              <w:top w:val="nil"/>
              <w:left w:val="double" w:sz="6" w:space="0" w:color="auto"/>
              <w:bottom w:val="dashed" w:sz="4" w:space="0" w:color="auto"/>
              <w:right w:val="nil"/>
            </w:tcBorders>
            <w:shd w:val="clear" w:color="auto" w:fill="auto"/>
            <w:vAlign w:val="center"/>
            <w:hideMark/>
          </w:tcPr>
          <w:p w14:paraId="7839594E"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3. Хармонизовани индекс потрошачких цена (HICP)</w:t>
            </w:r>
          </w:p>
        </w:tc>
        <w:tc>
          <w:tcPr>
            <w:tcW w:w="1447" w:type="dxa"/>
            <w:gridSpan w:val="3"/>
            <w:tcBorders>
              <w:top w:val="nil"/>
              <w:left w:val="single" w:sz="8" w:space="0" w:color="auto"/>
              <w:bottom w:val="dashed" w:sz="4" w:space="0" w:color="auto"/>
              <w:right w:val="single" w:sz="8" w:space="0" w:color="auto"/>
            </w:tcBorders>
            <w:shd w:val="clear" w:color="auto" w:fill="auto"/>
            <w:noWrap/>
            <w:vAlign w:val="center"/>
            <w:hideMark/>
          </w:tcPr>
          <w:p w14:paraId="4B240709" w14:textId="77777777" w:rsidR="00247CBF" w:rsidRPr="00092ED7" w:rsidRDefault="00247CBF" w:rsidP="00247CBF">
            <w:pPr>
              <w:spacing w:after="0"/>
              <w:jc w:val="center"/>
              <w:rPr>
                <w:sz w:val="20"/>
                <w:szCs w:val="20"/>
                <w:lang w:val="sr-Cyrl-CS"/>
              </w:rPr>
            </w:pPr>
            <w:r w:rsidRPr="00092ED7">
              <w:rPr>
                <w:sz w:val="20"/>
                <w:szCs w:val="20"/>
                <w:lang w:val="sr-Cyrl-CS"/>
              </w:rPr>
              <w:t>Индекс</w:t>
            </w:r>
          </w:p>
        </w:tc>
        <w:tc>
          <w:tcPr>
            <w:tcW w:w="1380" w:type="dxa"/>
            <w:gridSpan w:val="3"/>
            <w:tcBorders>
              <w:top w:val="nil"/>
              <w:left w:val="nil"/>
              <w:bottom w:val="dashed" w:sz="4" w:space="0" w:color="auto"/>
              <w:right w:val="dashed" w:sz="4" w:space="0" w:color="auto"/>
            </w:tcBorders>
            <w:shd w:val="clear" w:color="auto" w:fill="auto"/>
            <w:noWrap/>
            <w:vAlign w:val="center"/>
            <w:hideMark/>
          </w:tcPr>
          <w:p w14:paraId="402ECE4B" w14:textId="77777777" w:rsidR="00247CBF" w:rsidRPr="00092ED7" w:rsidRDefault="00247CBF" w:rsidP="00247CBF">
            <w:pPr>
              <w:spacing w:after="0"/>
              <w:jc w:val="right"/>
              <w:rPr>
                <w:sz w:val="20"/>
                <w:szCs w:val="20"/>
                <w:lang w:val="sr-Cyrl-CS"/>
              </w:rPr>
            </w:pPr>
            <w:r w:rsidRPr="00092ED7">
              <w:rPr>
                <w:sz w:val="20"/>
                <w:szCs w:val="20"/>
                <w:lang w:val="sr-Cyrl-CS"/>
              </w:rPr>
              <w:t>100,0</w:t>
            </w:r>
          </w:p>
        </w:tc>
        <w:tc>
          <w:tcPr>
            <w:tcW w:w="1300" w:type="dxa"/>
            <w:gridSpan w:val="4"/>
            <w:tcBorders>
              <w:top w:val="nil"/>
              <w:left w:val="nil"/>
              <w:bottom w:val="dashed" w:sz="4" w:space="0" w:color="auto"/>
              <w:right w:val="dashed" w:sz="4" w:space="0" w:color="auto"/>
            </w:tcBorders>
            <w:shd w:val="clear" w:color="auto" w:fill="auto"/>
            <w:noWrap/>
            <w:vAlign w:val="center"/>
            <w:hideMark/>
          </w:tcPr>
          <w:p w14:paraId="5EACEDE8" w14:textId="77777777" w:rsidR="00247CBF" w:rsidRPr="00092ED7" w:rsidRDefault="00247CBF" w:rsidP="00247CBF">
            <w:pPr>
              <w:spacing w:after="0"/>
              <w:jc w:val="right"/>
              <w:rPr>
                <w:sz w:val="20"/>
                <w:szCs w:val="20"/>
                <w:lang w:val="sr-Cyrl-CS"/>
              </w:rPr>
            </w:pPr>
            <w:r w:rsidRPr="00092ED7">
              <w:rPr>
                <w:sz w:val="20"/>
                <w:szCs w:val="20"/>
                <w:lang w:val="sr-Cyrl-CS"/>
              </w:rPr>
              <w:t>104,0</w:t>
            </w:r>
          </w:p>
        </w:tc>
        <w:tc>
          <w:tcPr>
            <w:tcW w:w="1360" w:type="dxa"/>
            <w:gridSpan w:val="4"/>
            <w:tcBorders>
              <w:top w:val="nil"/>
              <w:left w:val="nil"/>
              <w:bottom w:val="dashed" w:sz="4" w:space="0" w:color="auto"/>
              <w:right w:val="dashed" w:sz="4" w:space="0" w:color="auto"/>
            </w:tcBorders>
            <w:shd w:val="clear" w:color="auto" w:fill="auto"/>
            <w:noWrap/>
            <w:vAlign w:val="center"/>
            <w:hideMark/>
          </w:tcPr>
          <w:p w14:paraId="2B2FD53E" w14:textId="77777777" w:rsidR="00247CBF" w:rsidRPr="00092ED7" w:rsidRDefault="00247CBF" w:rsidP="00247CBF">
            <w:pPr>
              <w:spacing w:after="0"/>
              <w:jc w:val="right"/>
              <w:rPr>
                <w:sz w:val="20"/>
                <w:szCs w:val="20"/>
                <w:lang w:val="sr-Cyrl-CS"/>
              </w:rPr>
            </w:pPr>
            <w:r w:rsidRPr="00092ED7">
              <w:rPr>
                <w:sz w:val="20"/>
                <w:szCs w:val="20"/>
                <w:lang w:val="sr-Cyrl-CS"/>
              </w:rPr>
              <w:t>116,2</w:t>
            </w:r>
          </w:p>
        </w:tc>
        <w:tc>
          <w:tcPr>
            <w:tcW w:w="1260" w:type="dxa"/>
            <w:gridSpan w:val="4"/>
            <w:tcBorders>
              <w:top w:val="nil"/>
              <w:left w:val="nil"/>
              <w:bottom w:val="dashed" w:sz="4" w:space="0" w:color="auto"/>
              <w:right w:val="dashed" w:sz="4" w:space="0" w:color="auto"/>
            </w:tcBorders>
            <w:shd w:val="clear" w:color="auto" w:fill="auto"/>
            <w:noWrap/>
            <w:vAlign w:val="center"/>
            <w:hideMark/>
          </w:tcPr>
          <w:p w14:paraId="65147DF1" w14:textId="77777777" w:rsidR="00247CBF" w:rsidRPr="00092ED7" w:rsidRDefault="00247CBF" w:rsidP="00247CBF">
            <w:pPr>
              <w:spacing w:after="0"/>
              <w:jc w:val="right"/>
              <w:rPr>
                <w:sz w:val="20"/>
                <w:szCs w:val="20"/>
                <w:lang w:val="sr-Cyrl-CS"/>
              </w:rPr>
            </w:pPr>
            <w:r w:rsidRPr="00092ED7">
              <w:rPr>
                <w:sz w:val="20"/>
                <w:szCs w:val="20"/>
                <w:lang w:val="sr-Cyrl-CS"/>
              </w:rPr>
              <w:t>130,7</w:t>
            </w:r>
          </w:p>
        </w:tc>
        <w:tc>
          <w:tcPr>
            <w:tcW w:w="1260" w:type="dxa"/>
            <w:gridSpan w:val="3"/>
            <w:tcBorders>
              <w:top w:val="nil"/>
              <w:left w:val="nil"/>
              <w:bottom w:val="dashed" w:sz="4" w:space="0" w:color="auto"/>
              <w:right w:val="dashed" w:sz="4" w:space="0" w:color="auto"/>
            </w:tcBorders>
            <w:shd w:val="clear" w:color="auto" w:fill="auto"/>
            <w:noWrap/>
            <w:vAlign w:val="center"/>
            <w:hideMark/>
          </w:tcPr>
          <w:p w14:paraId="5E307F42" w14:textId="77777777" w:rsidR="00247CBF" w:rsidRPr="00092ED7" w:rsidRDefault="00247CBF" w:rsidP="00247CBF">
            <w:pPr>
              <w:spacing w:after="0"/>
              <w:jc w:val="right"/>
              <w:rPr>
                <w:sz w:val="20"/>
                <w:szCs w:val="20"/>
                <w:lang w:val="sr-Cyrl-CS"/>
              </w:rPr>
            </w:pPr>
            <w:r w:rsidRPr="00092ED7">
              <w:rPr>
                <w:sz w:val="20"/>
                <w:szCs w:val="20"/>
                <w:lang w:val="sr-Cyrl-CS"/>
              </w:rPr>
              <w:t>137,6</w:t>
            </w:r>
          </w:p>
        </w:tc>
        <w:tc>
          <w:tcPr>
            <w:tcW w:w="1268" w:type="dxa"/>
            <w:gridSpan w:val="3"/>
            <w:tcBorders>
              <w:top w:val="nil"/>
              <w:left w:val="nil"/>
              <w:bottom w:val="dashed" w:sz="4" w:space="0" w:color="auto"/>
              <w:right w:val="double" w:sz="4" w:space="0" w:color="auto"/>
            </w:tcBorders>
            <w:shd w:val="clear" w:color="auto" w:fill="auto"/>
            <w:noWrap/>
            <w:vAlign w:val="center"/>
            <w:hideMark/>
          </w:tcPr>
          <w:p w14:paraId="058EF8B9" w14:textId="77777777" w:rsidR="00247CBF" w:rsidRPr="00092ED7" w:rsidRDefault="00247CBF" w:rsidP="00247CBF">
            <w:pPr>
              <w:spacing w:after="0"/>
              <w:jc w:val="right"/>
              <w:rPr>
                <w:sz w:val="20"/>
                <w:szCs w:val="20"/>
                <w:lang w:val="sr-Cyrl-CS"/>
              </w:rPr>
            </w:pPr>
            <w:r w:rsidRPr="00092ED7">
              <w:rPr>
                <w:sz w:val="20"/>
                <w:szCs w:val="20"/>
                <w:lang w:val="sr-Cyrl-CS"/>
              </w:rPr>
              <w:t>141,7</w:t>
            </w:r>
          </w:p>
        </w:tc>
      </w:tr>
      <w:tr w:rsidR="00247CBF" w:rsidRPr="00092ED7" w14:paraId="7FB7CC84" w14:textId="77777777" w:rsidTr="00247CBF">
        <w:trPr>
          <w:gridAfter w:val="3"/>
          <w:wAfter w:w="365" w:type="dxa"/>
          <w:trHeight w:val="255"/>
        </w:trPr>
        <w:tc>
          <w:tcPr>
            <w:tcW w:w="4962" w:type="dxa"/>
            <w:gridSpan w:val="3"/>
            <w:tcBorders>
              <w:top w:val="nil"/>
              <w:left w:val="double" w:sz="6" w:space="0" w:color="auto"/>
              <w:bottom w:val="dashed" w:sz="4" w:space="0" w:color="auto"/>
              <w:right w:val="nil"/>
            </w:tcBorders>
            <w:shd w:val="clear" w:color="auto" w:fill="auto"/>
            <w:vAlign w:val="center"/>
            <w:hideMark/>
          </w:tcPr>
          <w:p w14:paraId="69AA5117"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4. Индекс потрошачких цена (CPI)</w:t>
            </w:r>
          </w:p>
        </w:tc>
        <w:tc>
          <w:tcPr>
            <w:tcW w:w="1447" w:type="dxa"/>
            <w:gridSpan w:val="3"/>
            <w:tcBorders>
              <w:top w:val="nil"/>
              <w:left w:val="single" w:sz="8" w:space="0" w:color="auto"/>
              <w:bottom w:val="dashed" w:sz="4" w:space="0" w:color="auto"/>
              <w:right w:val="single" w:sz="8" w:space="0" w:color="auto"/>
            </w:tcBorders>
            <w:shd w:val="clear" w:color="auto" w:fill="auto"/>
            <w:noWrap/>
            <w:vAlign w:val="center"/>
            <w:hideMark/>
          </w:tcPr>
          <w:p w14:paraId="45F5D85D" w14:textId="77777777" w:rsidR="00247CBF" w:rsidRPr="00092ED7" w:rsidRDefault="00247CBF" w:rsidP="00247CBF">
            <w:pPr>
              <w:spacing w:after="0"/>
              <w:jc w:val="center"/>
              <w:rPr>
                <w:sz w:val="20"/>
                <w:szCs w:val="20"/>
                <w:lang w:val="sr-Cyrl-CS"/>
              </w:rPr>
            </w:pPr>
            <w:r w:rsidRPr="00092ED7">
              <w:rPr>
                <w:sz w:val="20"/>
                <w:szCs w:val="20"/>
                <w:lang w:val="sr-Cyrl-CS"/>
              </w:rPr>
              <w:t>Индекс</w:t>
            </w:r>
          </w:p>
        </w:tc>
        <w:tc>
          <w:tcPr>
            <w:tcW w:w="1380" w:type="dxa"/>
            <w:gridSpan w:val="3"/>
            <w:tcBorders>
              <w:top w:val="nil"/>
              <w:left w:val="nil"/>
              <w:bottom w:val="dashed" w:sz="4" w:space="0" w:color="auto"/>
              <w:right w:val="dashed" w:sz="4" w:space="0" w:color="auto"/>
            </w:tcBorders>
            <w:shd w:val="clear" w:color="auto" w:fill="auto"/>
            <w:noWrap/>
            <w:vAlign w:val="center"/>
            <w:hideMark/>
          </w:tcPr>
          <w:p w14:paraId="037A4F0A" w14:textId="77777777" w:rsidR="00247CBF" w:rsidRPr="00092ED7" w:rsidRDefault="00247CBF" w:rsidP="00247CBF">
            <w:pPr>
              <w:spacing w:after="0"/>
              <w:jc w:val="right"/>
              <w:rPr>
                <w:sz w:val="20"/>
                <w:szCs w:val="20"/>
                <w:lang w:val="sr-Cyrl-CS"/>
              </w:rPr>
            </w:pPr>
            <w:r w:rsidRPr="00092ED7">
              <w:rPr>
                <w:sz w:val="20"/>
                <w:szCs w:val="20"/>
                <w:lang w:val="sr-Cyrl-CS"/>
              </w:rPr>
              <w:t>100,0</w:t>
            </w:r>
          </w:p>
        </w:tc>
        <w:tc>
          <w:tcPr>
            <w:tcW w:w="1300" w:type="dxa"/>
            <w:gridSpan w:val="4"/>
            <w:tcBorders>
              <w:top w:val="nil"/>
              <w:left w:val="nil"/>
              <w:bottom w:val="dashed" w:sz="4" w:space="0" w:color="auto"/>
              <w:right w:val="dashed" w:sz="4" w:space="0" w:color="auto"/>
            </w:tcBorders>
            <w:shd w:val="clear" w:color="auto" w:fill="auto"/>
            <w:noWrap/>
            <w:vAlign w:val="center"/>
            <w:hideMark/>
          </w:tcPr>
          <w:p w14:paraId="0636F1A7" w14:textId="77777777" w:rsidR="00247CBF" w:rsidRPr="00092ED7" w:rsidRDefault="00247CBF" w:rsidP="00247CBF">
            <w:pPr>
              <w:spacing w:after="0"/>
              <w:jc w:val="right"/>
              <w:rPr>
                <w:sz w:val="20"/>
                <w:szCs w:val="20"/>
                <w:lang w:val="sr-Cyrl-CS"/>
              </w:rPr>
            </w:pPr>
            <w:r w:rsidRPr="00092ED7">
              <w:rPr>
                <w:sz w:val="20"/>
                <w:szCs w:val="20"/>
                <w:lang w:val="sr-Cyrl-CS"/>
              </w:rPr>
              <w:t>104,0</w:t>
            </w:r>
          </w:p>
        </w:tc>
        <w:tc>
          <w:tcPr>
            <w:tcW w:w="1360" w:type="dxa"/>
            <w:gridSpan w:val="4"/>
            <w:tcBorders>
              <w:top w:val="nil"/>
              <w:left w:val="nil"/>
              <w:bottom w:val="dashed" w:sz="4" w:space="0" w:color="auto"/>
              <w:right w:val="dashed" w:sz="4" w:space="0" w:color="auto"/>
            </w:tcBorders>
            <w:shd w:val="clear" w:color="auto" w:fill="auto"/>
            <w:noWrap/>
            <w:vAlign w:val="center"/>
            <w:hideMark/>
          </w:tcPr>
          <w:p w14:paraId="04E13DEE" w14:textId="77777777" w:rsidR="00247CBF" w:rsidRPr="00092ED7" w:rsidRDefault="00247CBF" w:rsidP="00247CBF">
            <w:pPr>
              <w:spacing w:after="0"/>
              <w:jc w:val="right"/>
              <w:rPr>
                <w:sz w:val="20"/>
                <w:szCs w:val="20"/>
                <w:lang w:val="sr-Cyrl-CS"/>
              </w:rPr>
            </w:pPr>
            <w:r w:rsidRPr="00092ED7">
              <w:rPr>
                <w:sz w:val="20"/>
                <w:szCs w:val="20"/>
                <w:lang w:val="sr-Cyrl-CS"/>
              </w:rPr>
              <w:t>116,5</w:t>
            </w:r>
          </w:p>
        </w:tc>
        <w:tc>
          <w:tcPr>
            <w:tcW w:w="1260" w:type="dxa"/>
            <w:gridSpan w:val="4"/>
            <w:tcBorders>
              <w:top w:val="nil"/>
              <w:left w:val="nil"/>
              <w:bottom w:val="dashed" w:sz="4" w:space="0" w:color="auto"/>
              <w:right w:val="dashed" w:sz="4" w:space="0" w:color="auto"/>
            </w:tcBorders>
            <w:shd w:val="clear" w:color="auto" w:fill="auto"/>
            <w:noWrap/>
            <w:vAlign w:val="center"/>
            <w:hideMark/>
          </w:tcPr>
          <w:p w14:paraId="50119805" w14:textId="77777777" w:rsidR="00247CBF" w:rsidRPr="00092ED7" w:rsidRDefault="00247CBF" w:rsidP="00247CBF">
            <w:pPr>
              <w:spacing w:after="0"/>
              <w:jc w:val="right"/>
              <w:rPr>
                <w:sz w:val="20"/>
                <w:szCs w:val="20"/>
                <w:lang w:val="sr-Cyrl-CS"/>
              </w:rPr>
            </w:pPr>
            <w:r w:rsidRPr="00092ED7">
              <w:rPr>
                <w:sz w:val="20"/>
                <w:szCs w:val="20"/>
                <w:lang w:val="sr-Cyrl-CS"/>
              </w:rPr>
              <w:t>131,0</w:t>
            </w:r>
          </w:p>
        </w:tc>
        <w:tc>
          <w:tcPr>
            <w:tcW w:w="1260" w:type="dxa"/>
            <w:gridSpan w:val="3"/>
            <w:tcBorders>
              <w:top w:val="nil"/>
              <w:left w:val="nil"/>
              <w:bottom w:val="dashed" w:sz="4" w:space="0" w:color="auto"/>
              <w:right w:val="dashed" w:sz="4" w:space="0" w:color="auto"/>
            </w:tcBorders>
            <w:shd w:val="clear" w:color="auto" w:fill="auto"/>
            <w:noWrap/>
            <w:vAlign w:val="center"/>
            <w:hideMark/>
          </w:tcPr>
          <w:p w14:paraId="4E01D95F" w14:textId="77777777" w:rsidR="00247CBF" w:rsidRPr="00092ED7" w:rsidRDefault="00247CBF" w:rsidP="00247CBF">
            <w:pPr>
              <w:spacing w:after="0"/>
              <w:jc w:val="right"/>
              <w:rPr>
                <w:sz w:val="20"/>
                <w:szCs w:val="20"/>
                <w:lang w:val="sr-Cyrl-CS"/>
              </w:rPr>
            </w:pPr>
            <w:r w:rsidRPr="00092ED7">
              <w:rPr>
                <w:sz w:val="20"/>
                <w:szCs w:val="20"/>
                <w:lang w:val="sr-Cyrl-CS"/>
              </w:rPr>
              <w:t>138,0</w:t>
            </w:r>
          </w:p>
        </w:tc>
        <w:tc>
          <w:tcPr>
            <w:tcW w:w="1268" w:type="dxa"/>
            <w:gridSpan w:val="3"/>
            <w:tcBorders>
              <w:top w:val="nil"/>
              <w:left w:val="nil"/>
              <w:bottom w:val="dashed" w:sz="4" w:space="0" w:color="auto"/>
              <w:right w:val="double" w:sz="4" w:space="0" w:color="auto"/>
            </w:tcBorders>
            <w:shd w:val="clear" w:color="auto" w:fill="auto"/>
            <w:noWrap/>
            <w:vAlign w:val="center"/>
            <w:hideMark/>
          </w:tcPr>
          <w:p w14:paraId="37FCFE62" w14:textId="77777777" w:rsidR="00247CBF" w:rsidRPr="00092ED7" w:rsidRDefault="00247CBF" w:rsidP="00247CBF">
            <w:pPr>
              <w:spacing w:after="0"/>
              <w:jc w:val="right"/>
              <w:rPr>
                <w:sz w:val="20"/>
                <w:szCs w:val="20"/>
                <w:lang w:val="sr-Cyrl-CS"/>
              </w:rPr>
            </w:pPr>
            <w:r w:rsidRPr="00092ED7">
              <w:rPr>
                <w:sz w:val="20"/>
                <w:szCs w:val="20"/>
                <w:lang w:val="sr-Cyrl-CS"/>
              </w:rPr>
              <w:t>142,1</w:t>
            </w:r>
          </w:p>
        </w:tc>
      </w:tr>
      <w:tr w:rsidR="00247CBF" w:rsidRPr="00092ED7" w14:paraId="3B04C30C" w14:textId="77777777" w:rsidTr="00247CBF">
        <w:trPr>
          <w:gridAfter w:val="3"/>
          <w:wAfter w:w="365" w:type="dxa"/>
          <w:trHeight w:val="255"/>
        </w:trPr>
        <w:tc>
          <w:tcPr>
            <w:tcW w:w="4962" w:type="dxa"/>
            <w:gridSpan w:val="3"/>
            <w:tcBorders>
              <w:top w:val="nil"/>
              <w:left w:val="double" w:sz="6" w:space="0" w:color="auto"/>
              <w:bottom w:val="dashed" w:sz="4" w:space="0" w:color="auto"/>
              <w:right w:val="nil"/>
            </w:tcBorders>
            <w:shd w:val="clear" w:color="auto" w:fill="auto"/>
            <w:vAlign w:val="center"/>
            <w:hideMark/>
          </w:tcPr>
          <w:p w14:paraId="492DD8C4"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5. Дефлатор јавне потрошње</w:t>
            </w:r>
          </w:p>
        </w:tc>
        <w:tc>
          <w:tcPr>
            <w:tcW w:w="1447" w:type="dxa"/>
            <w:gridSpan w:val="3"/>
            <w:tcBorders>
              <w:top w:val="nil"/>
              <w:left w:val="single" w:sz="8" w:space="0" w:color="auto"/>
              <w:bottom w:val="dashed" w:sz="4" w:space="0" w:color="auto"/>
              <w:right w:val="single" w:sz="8" w:space="0" w:color="auto"/>
            </w:tcBorders>
            <w:shd w:val="clear" w:color="auto" w:fill="auto"/>
            <w:noWrap/>
            <w:vAlign w:val="center"/>
            <w:hideMark/>
          </w:tcPr>
          <w:p w14:paraId="7EE1B7EF" w14:textId="77777777" w:rsidR="00247CBF" w:rsidRPr="00092ED7" w:rsidRDefault="00247CBF" w:rsidP="00247CBF">
            <w:pPr>
              <w:spacing w:after="0"/>
              <w:jc w:val="center"/>
              <w:rPr>
                <w:sz w:val="20"/>
                <w:szCs w:val="20"/>
                <w:lang w:val="sr-Cyrl-CS"/>
              </w:rPr>
            </w:pPr>
            <w:r w:rsidRPr="00092ED7">
              <w:rPr>
                <w:sz w:val="20"/>
                <w:szCs w:val="20"/>
                <w:lang w:val="sr-Cyrl-CS"/>
              </w:rPr>
              <w:t>Индекс</w:t>
            </w:r>
          </w:p>
        </w:tc>
        <w:tc>
          <w:tcPr>
            <w:tcW w:w="1380" w:type="dxa"/>
            <w:gridSpan w:val="3"/>
            <w:tcBorders>
              <w:top w:val="nil"/>
              <w:left w:val="nil"/>
              <w:bottom w:val="dashed" w:sz="4" w:space="0" w:color="auto"/>
              <w:right w:val="dashed" w:sz="4" w:space="0" w:color="auto"/>
            </w:tcBorders>
            <w:shd w:val="clear" w:color="auto" w:fill="auto"/>
            <w:noWrap/>
            <w:vAlign w:val="center"/>
            <w:hideMark/>
          </w:tcPr>
          <w:p w14:paraId="345A38C5" w14:textId="77777777" w:rsidR="00247CBF" w:rsidRPr="00092ED7" w:rsidRDefault="00247CBF" w:rsidP="00247CBF">
            <w:pPr>
              <w:spacing w:after="0"/>
              <w:jc w:val="right"/>
              <w:rPr>
                <w:sz w:val="20"/>
                <w:szCs w:val="20"/>
                <w:lang w:val="sr-Cyrl-CS"/>
              </w:rPr>
            </w:pPr>
            <w:r w:rsidRPr="00092ED7">
              <w:rPr>
                <w:sz w:val="20"/>
                <w:szCs w:val="20"/>
                <w:lang w:val="sr-Cyrl-CS"/>
              </w:rPr>
              <w:t>121,4</w:t>
            </w:r>
          </w:p>
        </w:tc>
        <w:tc>
          <w:tcPr>
            <w:tcW w:w="1300" w:type="dxa"/>
            <w:gridSpan w:val="4"/>
            <w:tcBorders>
              <w:top w:val="nil"/>
              <w:left w:val="nil"/>
              <w:bottom w:val="dashed" w:sz="4" w:space="0" w:color="auto"/>
              <w:right w:val="dashed" w:sz="4" w:space="0" w:color="auto"/>
            </w:tcBorders>
            <w:shd w:val="clear" w:color="auto" w:fill="auto"/>
            <w:noWrap/>
            <w:vAlign w:val="center"/>
            <w:hideMark/>
          </w:tcPr>
          <w:p w14:paraId="0440BB9B" w14:textId="77777777" w:rsidR="00247CBF" w:rsidRPr="00092ED7" w:rsidRDefault="00247CBF" w:rsidP="00247CBF">
            <w:pPr>
              <w:spacing w:after="0"/>
              <w:jc w:val="right"/>
              <w:rPr>
                <w:sz w:val="20"/>
                <w:szCs w:val="20"/>
                <w:lang w:val="sr-Cyrl-CS"/>
              </w:rPr>
            </w:pPr>
            <w:r w:rsidRPr="00092ED7">
              <w:rPr>
                <w:sz w:val="20"/>
                <w:szCs w:val="20"/>
                <w:lang w:val="sr-Cyrl-CS"/>
              </w:rPr>
              <w:t>128,0</w:t>
            </w:r>
          </w:p>
        </w:tc>
        <w:tc>
          <w:tcPr>
            <w:tcW w:w="1360" w:type="dxa"/>
            <w:gridSpan w:val="4"/>
            <w:tcBorders>
              <w:top w:val="nil"/>
              <w:left w:val="nil"/>
              <w:bottom w:val="dashed" w:sz="4" w:space="0" w:color="auto"/>
              <w:right w:val="dashed" w:sz="4" w:space="0" w:color="auto"/>
            </w:tcBorders>
            <w:shd w:val="clear" w:color="auto" w:fill="auto"/>
            <w:noWrap/>
            <w:vAlign w:val="center"/>
            <w:hideMark/>
          </w:tcPr>
          <w:p w14:paraId="4269DB36" w14:textId="77777777" w:rsidR="00247CBF" w:rsidRPr="00092ED7" w:rsidRDefault="00247CBF" w:rsidP="00247CBF">
            <w:pPr>
              <w:spacing w:after="0"/>
              <w:jc w:val="right"/>
              <w:rPr>
                <w:sz w:val="20"/>
                <w:szCs w:val="20"/>
                <w:lang w:val="sr-Cyrl-CS"/>
              </w:rPr>
            </w:pPr>
            <w:r w:rsidRPr="00092ED7">
              <w:rPr>
                <w:sz w:val="20"/>
                <w:szCs w:val="20"/>
                <w:lang w:val="sr-Cyrl-CS"/>
              </w:rPr>
              <w:t>140,8</w:t>
            </w:r>
          </w:p>
        </w:tc>
        <w:tc>
          <w:tcPr>
            <w:tcW w:w="1260" w:type="dxa"/>
            <w:gridSpan w:val="4"/>
            <w:tcBorders>
              <w:top w:val="nil"/>
              <w:left w:val="nil"/>
              <w:bottom w:val="dashed" w:sz="4" w:space="0" w:color="auto"/>
              <w:right w:val="dashed" w:sz="4" w:space="0" w:color="auto"/>
            </w:tcBorders>
            <w:shd w:val="clear" w:color="auto" w:fill="auto"/>
            <w:noWrap/>
            <w:vAlign w:val="center"/>
            <w:hideMark/>
          </w:tcPr>
          <w:p w14:paraId="720B7F68" w14:textId="77777777" w:rsidR="00247CBF" w:rsidRPr="00092ED7" w:rsidRDefault="00247CBF" w:rsidP="00247CBF">
            <w:pPr>
              <w:spacing w:after="0"/>
              <w:jc w:val="right"/>
              <w:rPr>
                <w:sz w:val="20"/>
                <w:szCs w:val="20"/>
                <w:lang w:val="sr-Cyrl-CS"/>
              </w:rPr>
            </w:pPr>
            <w:r w:rsidRPr="00092ED7">
              <w:rPr>
                <w:sz w:val="20"/>
                <w:szCs w:val="20"/>
                <w:lang w:val="sr-Cyrl-CS"/>
              </w:rPr>
              <w:t>156,6</w:t>
            </w:r>
          </w:p>
        </w:tc>
        <w:tc>
          <w:tcPr>
            <w:tcW w:w="1260" w:type="dxa"/>
            <w:gridSpan w:val="3"/>
            <w:tcBorders>
              <w:top w:val="nil"/>
              <w:left w:val="nil"/>
              <w:bottom w:val="dashed" w:sz="4" w:space="0" w:color="auto"/>
              <w:right w:val="dashed" w:sz="4" w:space="0" w:color="auto"/>
            </w:tcBorders>
            <w:shd w:val="clear" w:color="auto" w:fill="auto"/>
            <w:noWrap/>
            <w:vAlign w:val="center"/>
            <w:hideMark/>
          </w:tcPr>
          <w:p w14:paraId="3E239BFD" w14:textId="77777777" w:rsidR="00247CBF" w:rsidRPr="00092ED7" w:rsidRDefault="00247CBF" w:rsidP="00247CBF">
            <w:pPr>
              <w:spacing w:after="0"/>
              <w:jc w:val="right"/>
              <w:rPr>
                <w:sz w:val="20"/>
                <w:szCs w:val="20"/>
                <w:lang w:val="sr-Cyrl-CS"/>
              </w:rPr>
            </w:pPr>
            <w:r w:rsidRPr="00092ED7">
              <w:rPr>
                <w:sz w:val="20"/>
                <w:szCs w:val="20"/>
                <w:lang w:val="sr-Cyrl-CS"/>
              </w:rPr>
              <w:t>165,2</w:t>
            </w:r>
          </w:p>
        </w:tc>
        <w:tc>
          <w:tcPr>
            <w:tcW w:w="1268" w:type="dxa"/>
            <w:gridSpan w:val="3"/>
            <w:tcBorders>
              <w:top w:val="nil"/>
              <w:left w:val="nil"/>
              <w:bottom w:val="dashed" w:sz="4" w:space="0" w:color="auto"/>
              <w:right w:val="double" w:sz="4" w:space="0" w:color="auto"/>
            </w:tcBorders>
            <w:shd w:val="clear" w:color="auto" w:fill="auto"/>
            <w:noWrap/>
            <w:vAlign w:val="center"/>
            <w:hideMark/>
          </w:tcPr>
          <w:p w14:paraId="7723FF44" w14:textId="77777777" w:rsidR="00247CBF" w:rsidRPr="00092ED7" w:rsidRDefault="00247CBF" w:rsidP="00247CBF">
            <w:pPr>
              <w:spacing w:after="0"/>
              <w:jc w:val="right"/>
              <w:rPr>
                <w:sz w:val="20"/>
                <w:szCs w:val="20"/>
                <w:lang w:val="sr-Cyrl-CS"/>
              </w:rPr>
            </w:pPr>
            <w:r w:rsidRPr="00092ED7">
              <w:rPr>
                <w:sz w:val="20"/>
                <w:szCs w:val="20"/>
                <w:lang w:val="sr-Cyrl-CS"/>
              </w:rPr>
              <w:t>174,6</w:t>
            </w:r>
          </w:p>
        </w:tc>
      </w:tr>
      <w:tr w:rsidR="00247CBF" w:rsidRPr="00092ED7" w14:paraId="0334E47F" w14:textId="77777777" w:rsidTr="00247CBF">
        <w:trPr>
          <w:gridAfter w:val="3"/>
          <w:wAfter w:w="365" w:type="dxa"/>
          <w:trHeight w:val="255"/>
        </w:trPr>
        <w:tc>
          <w:tcPr>
            <w:tcW w:w="4962" w:type="dxa"/>
            <w:gridSpan w:val="3"/>
            <w:tcBorders>
              <w:top w:val="nil"/>
              <w:left w:val="double" w:sz="6" w:space="0" w:color="auto"/>
              <w:bottom w:val="dashed" w:sz="4" w:space="0" w:color="auto"/>
              <w:right w:val="nil"/>
            </w:tcBorders>
            <w:shd w:val="clear" w:color="auto" w:fill="auto"/>
            <w:vAlign w:val="center"/>
            <w:hideMark/>
          </w:tcPr>
          <w:p w14:paraId="40BB7A34"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6. Дефлатор инвестиција</w:t>
            </w:r>
          </w:p>
        </w:tc>
        <w:tc>
          <w:tcPr>
            <w:tcW w:w="1447" w:type="dxa"/>
            <w:gridSpan w:val="3"/>
            <w:tcBorders>
              <w:top w:val="nil"/>
              <w:left w:val="single" w:sz="8" w:space="0" w:color="auto"/>
              <w:bottom w:val="dashed" w:sz="4" w:space="0" w:color="auto"/>
              <w:right w:val="single" w:sz="8" w:space="0" w:color="auto"/>
            </w:tcBorders>
            <w:shd w:val="clear" w:color="auto" w:fill="auto"/>
            <w:noWrap/>
            <w:vAlign w:val="center"/>
            <w:hideMark/>
          </w:tcPr>
          <w:p w14:paraId="734BE45F" w14:textId="77777777" w:rsidR="00247CBF" w:rsidRPr="00092ED7" w:rsidRDefault="00247CBF" w:rsidP="00247CBF">
            <w:pPr>
              <w:spacing w:after="0"/>
              <w:jc w:val="center"/>
              <w:rPr>
                <w:sz w:val="20"/>
                <w:szCs w:val="20"/>
                <w:lang w:val="sr-Cyrl-CS"/>
              </w:rPr>
            </w:pPr>
            <w:r w:rsidRPr="00092ED7">
              <w:rPr>
                <w:sz w:val="20"/>
                <w:szCs w:val="20"/>
                <w:lang w:val="sr-Cyrl-CS"/>
              </w:rPr>
              <w:t>Индекс</w:t>
            </w:r>
          </w:p>
        </w:tc>
        <w:tc>
          <w:tcPr>
            <w:tcW w:w="1380" w:type="dxa"/>
            <w:gridSpan w:val="3"/>
            <w:tcBorders>
              <w:top w:val="nil"/>
              <w:left w:val="nil"/>
              <w:bottom w:val="dashed" w:sz="4" w:space="0" w:color="auto"/>
              <w:right w:val="dashed" w:sz="4" w:space="0" w:color="auto"/>
            </w:tcBorders>
            <w:shd w:val="clear" w:color="auto" w:fill="auto"/>
            <w:noWrap/>
            <w:vAlign w:val="center"/>
            <w:hideMark/>
          </w:tcPr>
          <w:p w14:paraId="4184F54A" w14:textId="77777777" w:rsidR="00247CBF" w:rsidRPr="00092ED7" w:rsidRDefault="00247CBF" w:rsidP="00247CBF">
            <w:pPr>
              <w:spacing w:after="0"/>
              <w:jc w:val="right"/>
              <w:rPr>
                <w:sz w:val="20"/>
                <w:szCs w:val="20"/>
                <w:lang w:val="sr-Cyrl-CS"/>
              </w:rPr>
            </w:pPr>
            <w:r w:rsidRPr="00092ED7">
              <w:rPr>
                <w:sz w:val="20"/>
                <w:szCs w:val="20"/>
                <w:lang w:val="sr-Cyrl-CS"/>
              </w:rPr>
              <w:t>106,4</w:t>
            </w:r>
          </w:p>
        </w:tc>
        <w:tc>
          <w:tcPr>
            <w:tcW w:w="1300" w:type="dxa"/>
            <w:gridSpan w:val="4"/>
            <w:tcBorders>
              <w:top w:val="nil"/>
              <w:left w:val="nil"/>
              <w:bottom w:val="dashed" w:sz="4" w:space="0" w:color="auto"/>
              <w:right w:val="dashed" w:sz="4" w:space="0" w:color="auto"/>
            </w:tcBorders>
            <w:shd w:val="clear" w:color="auto" w:fill="auto"/>
            <w:noWrap/>
            <w:vAlign w:val="center"/>
            <w:hideMark/>
          </w:tcPr>
          <w:p w14:paraId="24C2FD90" w14:textId="77777777" w:rsidR="00247CBF" w:rsidRPr="00092ED7" w:rsidRDefault="00247CBF" w:rsidP="00247CBF">
            <w:pPr>
              <w:spacing w:after="0"/>
              <w:jc w:val="right"/>
              <w:rPr>
                <w:sz w:val="20"/>
                <w:szCs w:val="20"/>
                <w:lang w:val="sr-Cyrl-CS"/>
              </w:rPr>
            </w:pPr>
            <w:r w:rsidRPr="00092ED7">
              <w:rPr>
                <w:sz w:val="20"/>
                <w:szCs w:val="20"/>
                <w:lang w:val="sr-Cyrl-CS"/>
              </w:rPr>
              <w:t>112,7</w:t>
            </w:r>
          </w:p>
        </w:tc>
        <w:tc>
          <w:tcPr>
            <w:tcW w:w="1360" w:type="dxa"/>
            <w:gridSpan w:val="4"/>
            <w:tcBorders>
              <w:top w:val="nil"/>
              <w:left w:val="nil"/>
              <w:bottom w:val="dashed" w:sz="4" w:space="0" w:color="auto"/>
              <w:right w:val="dashed" w:sz="4" w:space="0" w:color="auto"/>
            </w:tcBorders>
            <w:shd w:val="clear" w:color="auto" w:fill="auto"/>
            <w:noWrap/>
            <w:vAlign w:val="center"/>
            <w:hideMark/>
          </w:tcPr>
          <w:p w14:paraId="67864371" w14:textId="77777777" w:rsidR="00247CBF" w:rsidRPr="00092ED7" w:rsidRDefault="00247CBF" w:rsidP="00247CBF">
            <w:pPr>
              <w:spacing w:after="0"/>
              <w:jc w:val="right"/>
              <w:rPr>
                <w:sz w:val="20"/>
                <w:szCs w:val="20"/>
                <w:lang w:val="sr-Cyrl-CS"/>
              </w:rPr>
            </w:pPr>
            <w:r w:rsidRPr="00092ED7">
              <w:rPr>
                <w:sz w:val="20"/>
                <w:szCs w:val="20"/>
                <w:lang w:val="sr-Cyrl-CS"/>
              </w:rPr>
              <w:t>129,0</w:t>
            </w:r>
          </w:p>
        </w:tc>
        <w:tc>
          <w:tcPr>
            <w:tcW w:w="1260" w:type="dxa"/>
            <w:gridSpan w:val="4"/>
            <w:tcBorders>
              <w:top w:val="nil"/>
              <w:left w:val="nil"/>
              <w:bottom w:val="dashed" w:sz="4" w:space="0" w:color="auto"/>
              <w:right w:val="dashed" w:sz="4" w:space="0" w:color="auto"/>
            </w:tcBorders>
            <w:shd w:val="clear" w:color="auto" w:fill="auto"/>
            <w:noWrap/>
            <w:vAlign w:val="center"/>
            <w:hideMark/>
          </w:tcPr>
          <w:p w14:paraId="24D646DB" w14:textId="77777777" w:rsidR="00247CBF" w:rsidRPr="00092ED7" w:rsidRDefault="00247CBF" w:rsidP="00247CBF">
            <w:pPr>
              <w:spacing w:after="0"/>
              <w:jc w:val="right"/>
              <w:rPr>
                <w:sz w:val="20"/>
                <w:szCs w:val="20"/>
                <w:lang w:val="sr-Cyrl-CS"/>
              </w:rPr>
            </w:pPr>
            <w:r w:rsidRPr="00092ED7">
              <w:rPr>
                <w:sz w:val="20"/>
                <w:szCs w:val="20"/>
                <w:lang w:val="sr-Cyrl-CS"/>
              </w:rPr>
              <w:t>138,5</w:t>
            </w:r>
          </w:p>
        </w:tc>
        <w:tc>
          <w:tcPr>
            <w:tcW w:w="1260" w:type="dxa"/>
            <w:gridSpan w:val="3"/>
            <w:tcBorders>
              <w:top w:val="nil"/>
              <w:left w:val="nil"/>
              <w:bottom w:val="dashed" w:sz="4" w:space="0" w:color="auto"/>
              <w:right w:val="dashed" w:sz="4" w:space="0" w:color="auto"/>
            </w:tcBorders>
            <w:shd w:val="clear" w:color="auto" w:fill="auto"/>
            <w:noWrap/>
            <w:vAlign w:val="center"/>
            <w:hideMark/>
          </w:tcPr>
          <w:p w14:paraId="4B68FC40" w14:textId="77777777" w:rsidR="00247CBF" w:rsidRPr="00092ED7" w:rsidRDefault="00247CBF" w:rsidP="00247CBF">
            <w:pPr>
              <w:spacing w:after="0"/>
              <w:jc w:val="right"/>
              <w:rPr>
                <w:sz w:val="20"/>
                <w:szCs w:val="20"/>
                <w:lang w:val="sr-Cyrl-CS"/>
              </w:rPr>
            </w:pPr>
            <w:r w:rsidRPr="00092ED7">
              <w:rPr>
                <w:sz w:val="20"/>
                <w:szCs w:val="20"/>
                <w:lang w:val="sr-Cyrl-CS"/>
              </w:rPr>
              <w:t>145,7</w:t>
            </w:r>
          </w:p>
        </w:tc>
        <w:tc>
          <w:tcPr>
            <w:tcW w:w="1268" w:type="dxa"/>
            <w:gridSpan w:val="3"/>
            <w:tcBorders>
              <w:top w:val="nil"/>
              <w:left w:val="nil"/>
              <w:bottom w:val="dashed" w:sz="4" w:space="0" w:color="auto"/>
              <w:right w:val="double" w:sz="4" w:space="0" w:color="auto"/>
            </w:tcBorders>
            <w:shd w:val="clear" w:color="auto" w:fill="auto"/>
            <w:noWrap/>
            <w:vAlign w:val="center"/>
            <w:hideMark/>
          </w:tcPr>
          <w:p w14:paraId="15A2020A" w14:textId="77777777" w:rsidR="00247CBF" w:rsidRPr="00092ED7" w:rsidRDefault="00247CBF" w:rsidP="00247CBF">
            <w:pPr>
              <w:spacing w:after="0"/>
              <w:jc w:val="right"/>
              <w:rPr>
                <w:sz w:val="20"/>
                <w:szCs w:val="20"/>
                <w:lang w:val="sr-Cyrl-CS"/>
              </w:rPr>
            </w:pPr>
            <w:r w:rsidRPr="00092ED7">
              <w:rPr>
                <w:sz w:val="20"/>
                <w:szCs w:val="20"/>
                <w:lang w:val="sr-Cyrl-CS"/>
              </w:rPr>
              <w:t>151,6</w:t>
            </w:r>
          </w:p>
        </w:tc>
      </w:tr>
      <w:tr w:rsidR="00247CBF" w:rsidRPr="00092ED7" w14:paraId="5F9C7E57" w14:textId="77777777" w:rsidTr="00247CBF">
        <w:trPr>
          <w:gridAfter w:val="3"/>
          <w:wAfter w:w="365" w:type="dxa"/>
          <w:trHeight w:val="255"/>
        </w:trPr>
        <w:tc>
          <w:tcPr>
            <w:tcW w:w="4962" w:type="dxa"/>
            <w:gridSpan w:val="3"/>
            <w:tcBorders>
              <w:top w:val="nil"/>
              <w:left w:val="double" w:sz="6" w:space="0" w:color="auto"/>
              <w:bottom w:val="dashed" w:sz="4" w:space="0" w:color="auto"/>
              <w:right w:val="nil"/>
            </w:tcBorders>
            <w:shd w:val="clear" w:color="auto" w:fill="auto"/>
            <w:vAlign w:val="center"/>
            <w:hideMark/>
          </w:tcPr>
          <w:p w14:paraId="1F2E8BB8"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7. Дефлатор извозних цена (роба и услуге)</w:t>
            </w:r>
          </w:p>
        </w:tc>
        <w:tc>
          <w:tcPr>
            <w:tcW w:w="1447" w:type="dxa"/>
            <w:gridSpan w:val="3"/>
            <w:tcBorders>
              <w:top w:val="nil"/>
              <w:left w:val="single" w:sz="8" w:space="0" w:color="auto"/>
              <w:bottom w:val="dashed" w:sz="4" w:space="0" w:color="auto"/>
              <w:right w:val="single" w:sz="8" w:space="0" w:color="auto"/>
            </w:tcBorders>
            <w:shd w:val="clear" w:color="auto" w:fill="auto"/>
            <w:noWrap/>
            <w:vAlign w:val="center"/>
            <w:hideMark/>
          </w:tcPr>
          <w:p w14:paraId="57B2D26F" w14:textId="77777777" w:rsidR="00247CBF" w:rsidRPr="00092ED7" w:rsidRDefault="00247CBF" w:rsidP="00247CBF">
            <w:pPr>
              <w:spacing w:after="0"/>
              <w:jc w:val="center"/>
              <w:rPr>
                <w:sz w:val="20"/>
                <w:szCs w:val="20"/>
                <w:lang w:val="sr-Cyrl-CS"/>
              </w:rPr>
            </w:pPr>
            <w:r w:rsidRPr="00092ED7">
              <w:rPr>
                <w:sz w:val="20"/>
                <w:szCs w:val="20"/>
                <w:lang w:val="sr-Cyrl-CS"/>
              </w:rPr>
              <w:t>Индекс</w:t>
            </w:r>
          </w:p>
        </w:tc>
        <w:tc>
          <w:tcPr>
            <w:tcW w:w="1380" w:type="dxa"/>
            <w:gridSpan w:val="3"/>
            <w:tcBorders>
              <w:top w:val="nil"/>
              <w:left w:val="nil"/>
              <w:bottom w:val="dashed" w:sz="4" w:space="0" w:color="auto"/>
              <w:right w:val="dashed" w:sz="4" w:space="0" w:color="auto"/>
            </w:tcBorders>
            <w:shd w:val="clear" w:color="auto" w:fill="auto"/>
            <w:noWrap/>
            <w:vAlign w:val="center"/>
            <w:hideMark/>
          </w:tcPr>
          <w:p w14:paraId="023FCCD6" w14:textId="77777777" w:rsidR="00247CBF" w:rsidRPr="00092ED7" w:rsidRDefault="00247CBF" w:rsidP="00247CBF">
            <w:pPr>
              <w:spacing w:after="0"/>
              <w:jc w:val="right"/>
              <w:rPr>
                <w:sz w:val="20"/>
                <w:szCs w:val="20"/>
                <w:lang w:val="sr-Cyrl-CS"/>
              </w:rPr>
            </w:pPr>
            <w:r w:rsidRPr="00092ED7">
              <w:rPr>
                <w:sz w:val="20"/>
                <w:szCs w:val="20"/>
                <w:lang w:val="sr-Cyrl-CS"/>
              </w:rPr>
              <w:t>101,3</w:t>
            </w:r>
          </w:p>
        </w:tc>
        <w:tc>
          <w:tcPr>
            <w:tcW w:w="1300" w:type="dxa"/>
            <w:gridSpan w:val="4"/>
            <w:tcBorders>
              <w:top w:val="nil"/>
              <w:left w:val="nil"/>
              <w:bottom w:val="dashed" w:sz="4" w:space="0" w:color="auto"/>
              <w:right w:val="dashed" w:sz="4" w:space="0" w:color="auto"/>
            </w:tcBorders>
            <w:shd w:val="clear" w:color="auto" w:fill="auto"/>
            <w:noWrap/>
            <w:vAlign w:val="center"/>
            <w:hideMark/>
          </w:tcPr>
          <w:p w14:paraId="64A1DF6B" w14:textId="77777777" w:rsidR="00247CBF" w:rsidRPr="00092ED7" w:rsidRDefault="00247CBF" w:rsidP="00247CBF">
            <w:pPr>
              <w:spacing w:after="0"/>
              <w:jc w:val="right"/>
              <w:rPr>
                <w:sz w:val="20"/>
                <w:szCs w:val="20"/>
                <w:lang w:val="sr-Cyrl-CS"/>
              </w:rPr>
            </w:pPr>
            <w:r w:rsidRPr="00092ED7">
              <w:rPr>
                <w:sz w:val="20"/>
                <w:szCs w:val="20"/>
                <w:lang w:val="sr-Cyrl-CS"/>
              </w:rPr>
              <w:t>109,1</w:t>
            </w:r>
          </w:p>
        </w:tc>
        <w:tc>
          <w:tcPr>
            <w:tcW w:w="1360" w:type="dxa"/>
            <w:gridSpan w:val="4"/>
            <w:tcBorders>
              <w:top w:val="nil"/>
              <w:left w:val="nil"/>
              <w:bottom w:val="dashed" w:sz="4" w:space="0" w:color="auto"/>
              <w:right w:val="dashed" w:sz="4" w:space="0" w:color="auto"/>
            </w:tcBorders>
            <w:shd w:val="clear" w:color="auto" w:fill="auto"/>
            <w:noWrap/>
            <w:vAlign w:val="center"/>
            <w:hideMark/>
          </w:tcPr>
          <w:p w14:paraId="3104F61F" w14:textId="77777777" w:rsidR="00247CBF" w:rsidRPr="00092ED7" w:rsidRDefault="00247CBF" w:rsidP="00247CBF">
            <w:pPr>
              <w:spacing w:after="0"/>
              <w:jc w:val="right"/>
              <w:rPr>
                <w:sz w:val="20"/>
                <w:szCs w:val="20"/>
                <w:lang w:val="sr-Cyrl-CS"/>
              </w:rPr>
            </w:pPr>
            <w:r w:rsidRPr="00092ED7">
              <w:rPr>
                <w:sz w:val="20"/>
                <w:szCs w:val="20"/>
                <w:lang w:val="sr-Cyrl-CS"/>
              </w:rPr>
              <w:t>123,1</w:t>
            </w:r>
          </w:p>
        </w:tc>
        <w:tc>
          <w:tcPr>
            <w:tcW w:w="1260" w:type="dxa"/>
            <w:gridSpan w:val="4"/>
            <w:tcBorders>
              <w:top w:val="nil"/>
              <w:left w:val="nil"/>
              <w:bottom w:val="dashed" w:sz="4" w:space="0" w:color="auto"/>
              <w:right w:val="dashed" w:sz="4" w:space="0" w:color="auto"/>
            </w:tcBorders>
            <w:shd w:val="clear" w:color="auto" w:fill="auto"/>
            <w:noWrap/>
            <w:vAlign w:val="center"/>
            <w:hideMark/>
          </w:tcPr>
          <w:p w14:paraId="2662E379" w14:textId="77777777" w:rsidR="00247CBF" w:rsidRPr="00092ED7" w:rsidRDefault="00247CBF" w:rsidP="00247CBF">
            <w:pPr>
              <w:spacing w:after="0"/>
              <w:jc w:val="right"/>
              <w:rPr>
                <w:sz w:val="20"/>
                <w:szCs w:val="20"/>
                <w:lang w:val="sr-Cyrl-CS"/>
              </w:rPr>
            </w:pPr>
            <w:r w:rsidRPr="00092ED7">
              <w:rPr>
                <w:sz w:val="20"/>
                <w:szCs w:val="20"/>
                <w:lang w:val="sr-Cyrl-CS"/>
              </w:rPr>
              <w:t>132,1</w:t>
            </w:r>
          </w:p>
        </w:tc>
        <w:tc>
          <w:tcPr>
            <w:tcW w:w="1260" w:type="dxa"/>
            <w:gridSpan w:val="3"/>
            <w:tcBorders>
              <w:top w:val="nil"/>
              <w:left w:val="nil"/>
              <w:bottom w:val="dashed" w:sz="4" w:space="0" w:color="auto"/>
              <w:right w:val="dashed" w:sz="4" w:space="0" w:color="auto"/>
            </w:tcBorders>
            <w:shd w:val="clear" w:color="auto" w:fill="auto"/>
            <w:noWrap/>
            <w:vAlign w:val="center"/>
            <w:hideMark/>
          </w:tcPr>
          <w:p w14:paraId="3ABD5520" w14:textId="77777777" w:rsidR="00247CBF" w:rsidRPr="00092ED7" w:rsidRDefault="00247CBF" w:rsidP="00247CBF">
            <w:pPr>
              <w:spacing w:after="0"/>
              <w:jc w:val="right"/>
              <w:rPr>
                <w:sz w:val="20"/>
                <w:szCs w:val="20"/>
                <w:lang w:val="sr-Cyrl-CS"/>
              </w:rPr>
            </w:pPr>
            <w:r w:rsidRPr="00092ED7">
              <w:rPr>
                <w:sz w:val="20"/>
                <w:szCs w:val="20"/>
                <w:lang w:val="sr-Cyrl-CS"/>
              </w:rPr>
              <w:t>138,0</w:t>
            </w:r>
          </w:p>
        </w:tc>
        <w:tc>
          <w:tcPr>
            <w:tcW w:w="1268" w:type="dxa"/>
            <w:gridSpan w:val="3"/>
            <w:tcBorders>
              <w:top w:val="nil"/>
              <w:left w:val="nil"/>
              <w:bottom w:val="dashed" w:sz="4" w:space="0" w:color="auto"/>
              <w:right w:val="double" w:sz="4" w:space="0" w:color="auto"/>
            </w:tcBorders>
            <w:shd w:val="clear" w:color="auto" w:fill="auto"/>
            <w:noWrap/>
            <w:vAlign w:val="center"/>
            <w:hideMark/>
          </w:tcPr>
          <w:p w14:paraId="0C7780FF" w14:textId="77777777" w:rsidR="00247CBF" w:rsidRPr="00092ED7" w:rsidRDefault="00247CBF" w:rsidP="00247CBF">
            <w:pPr>
              <w:spacing w:after="0"/>
              <w:jc w:val="right"/>
              <w:rPr>
                <w:sz w:val="20"/>
                <w:szCs w:val="20"/>
                <w:lang w:val="sr-Cyrl-CS"/>
              </w:rPr>
            </w:pPr>
            <w:r w:rsidRPr="00092ED7">
              <w:rPr>
                <w:sz w:val="20"/>
                <w:szCs w:val="20"/>
                <w:lang w:val="sr-Cyrl-CS"/>
              </w:rPr>
              <w:t>143,0</w:t>
            </w:r>
          </w:p>
        </w:tc>
      </w:tr>
      <w:tr w:rsidR="00247CBF" w:rsidRPr="00092ED7" w14:paraId="391CA203" w14:textId="77777777" w:rsidTr="00247CBF">
        <w:trPr>
          <w:gridAfter w:val="3"/>
          <w:wAfter w:w="365" w:type="dxa"/>
          <w:trHeight w:val="270"/>
        </w:trPr>
        <w:tc>
          <w:tcPr>
            <w:tcW w:w="4962" w:type="dxa"/>
            <w:gridSpan w:val="3"/>
            <w:tcBorders>
              <w:top w:val="nil"/>
              <w:left w:val="double" w:sz="6" w:space="0" w:color="auto"/>
              <w:bottom w:val="dashed" w:sz="4" w:space="0" w:color="auto"/>
              <w:right w:val="nil"/>
            </w:tcBorders>
            <w:shd w:val="clear" w:color="auto" w:fill="auto"/>
            <w:vAlign w:val="center"/>
            <w:hideMark/>
          </w:tcPr>
          <w:p w14:paraId="11A7C94B"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8. Дефлатор увозних цена (роба и услуге)</w:t>
            </w:r>
          </w:p>
        </w:tc>
        <w:tc>
          <w:tcPr>
            <w:tcW w:w="1447" w:type="dxa"/>
            <w:gridSpan w:val="3"/>
            <w:tcBorders>
              <w:top w:val="nil"/>
              <w:left w:val="single" w:sz="8" w:space="0" w:color="auto"/>
              <w:bottom w:val="dashed" w:sz="4" w:space="0" w:color="auto"/>
              <w:right w:val="single" w:sz="8" w:space="0" w:color="auto"/>
            </w:tcBorders>
            <w:shd w:val="clear" w:color="auto" w:fill="auto"/>
            <w:noWrap/>
            <w:vAlign w:val="center"/>
            <w:hideMark/>
          </w:tcPr>
          <w:p w14:paraId="6CE1F51F" w14:textId="77777777" w:rsidR="00247CBF" w:rsidRPr="00092ED7" w:rsidRDefault="00247CBF" w:rsidP="00247CBF">
            <w:pPr>
              <w:spacing w:after="0"/>
              <w:jc w:val="center"/>
              <w:rPr>
                <w:sz w:val="20"/>
                <w:szCs w:val="20"/>
                <w:lang w:val="sr-Cyrl-CS"/>
              </w:rPr>
            </w:pPr>
            <w:r w:rsidRPr="00092ED7">
              <w:rPr>
                <w:sz w:val="20"/>
                <w:szCs w:val="20"/>
                <w:lang w:val="sr-Cyrl-CS"/>
              </w:rPr>
              <w:t>Индекс</w:t>
            </w:r>
          </w:p>
        </w:tc>
        <w:tc>
          <w:tcPr>
            <w:tcW w:w="1380" w:type="dxa"/>
            <w:gridSpan w:val="3"/>
            <w:tcBorders>
              <w:top w:val="nil"/>
              <w:left w:val="nil"/>
              <w:bottom w:val="dashed" w:sz="4" w:space="0" w:color="auto"/>
              <w:right w:val="dashed" w:sz="4" w:space="0" w:color="auto"/>
            </w:tcBorders>
            <w:shd w:val="clear" w:color="auto" w:fill="auto"/>
            <w:noWrap/>
            <w:vAlign w:val="center"/>
            <w:hideMark/>
          </w:tcPr>
          <w:p w14:paraId="33858CEA" w14:textId="77777777" w:rsidR="00247CBF" w:rsidRPr="00092ED7" w:rsidRDefault="00247CBF" w:rsidP="00247CBF">
            <w:pPr>
              <w:spacing w:after="0"/>
              <w:jc w:val="right"/>
              <w:rPr>
                <w:sz w:val="20"/>
                <w:szCs w:val="20"/>
                <w:lang w:val="sr-Cyrl-CS"/>
              </w:rPr>
            </w:pPr>
            <w:r w:rsidRPr="00092ED7">
              <w:rPr>
                <w:sz w:val="20"/>
                <w:szCs w:val="20"/>
                <w:lang w:val="sr-Cyrl-CS"/>
              </w:rPr>
              <w:t>98,2</w:t>
            </w:r>
          </w:p>
        </w:tc>
        <w:tc>
          <w:tcPr>
            <w:tcW w:w="1300" w:type="dxa"/>
            <w:gridSpan w:val="4"/>
            <w:tcBorders>
              <w:top w:val="nil"/>
              <w:left w:val="nil"/>
              <w:bottom w:val="dashed" w:sz="4" w:space="0" w:color="auto"/>
              <w:right w:val="dashed" w:sz="4" w:space="0" w:color="auto"/>
            </w:tcBorders>
            <w:shd w:val="clear" w:color="auto" w:fill="auto"/>
            <w:noWrap/>
            <w:vAlign w:val="center"/>
            <w:hideMark/>
          </w:tcPr>
          <w:p w14:paraId="257BC127" w14:textId="77777777" w:rsidR="00247CBF" w:rsidRPr="00092ED7" w:rsidRDefault="00247CBF" w:rsidP="00247CBF">
            <w:pPr>
              <w:spacing w:after="0"/>
              <w:jc w:val="right"/>
              <w:rPr>
                <w:sz w:val="20"/>
                <w:szCs w:val="20"/>
                <w:lang w:val="sr-Cyrl-CS"/>
              </w:rPr>
            </w:pPr>
            <w:r w:rsidRPr="00092ED7">
              <w:rPr>
                <w:sz w:val="20"/>
                <w:szCs w:val="20"/>
                <w:lang w:val="sr-Cyrl-CS"/>
              </w:rPr>
              <w:t>104,8</w:t>
            </w:r>
          </w:p>
        </w:tc>
        <w:tc>
          <w:tcPr>
            <w:tcW w:w="1360" w:type="dxa"/>
            <w:gridSpan w:val="4"/>
            <w:tcBorders>
              <w:top w:val="nil"/>
              <w:left w:val="nil"/>
              <w:bottom w:val="dashed" w:sz="4" w:space="0" w:color="auto"/>
              <w:right w:val="dashed" w:sz="4" w:space="0" w:color="auto"/>
            </w:tcBorders>
            <w:shd w:val="clear" w:color="auto" w:fill="auto"/>
            <w:noWrap/>
            <w:vAlign w:val="center"/>
            <w:hideMark/>
          </w:tcPr>
          <w:p w14:paraId="17ADCE56" w14:textId="77777777" w:rsidR="00247CBF" w:rsidRPr="00092ED7" w:rsidRDefault="00247CBF" w:rsidP="00247CBF">
            <w:pPr>
              <w:spacing w:after="0"/>
              <w:jc w:val="right"/>
              <w:rPr>
                <w:sz w:val="20"/>
                <w:szCs w:val="20"/>
                <w:lang w:val="sr-Cyrl-CS"/>
              </w:rPr>
            </w:pPr>
            <w:r w:rsidRPr="00092ED7">
              <w:rPr>
                <w:sz w:val="20"/>
                <w:szCs w:val="20"/>
                <w:lang w:val="sr-Cyrl-CS"/>
              </w:rPr>
              <w:t>123,1</w:t>
            </w:r>
          </w:p>
        </w:tc>
        <w:tc>
          <w:tcPr>
            <w:tcW w:w="1260" w:type="dxa"/>
            <w:gridSpan w:val="4"/>
            <w:tcBorders>
              <w:top w:val="nil"/>
              <w:left w:val="nil"/>
              <w:bottom w:val="dashed" w:sz="4" w:space="0" w:color="auto"/>
              <w:right w:val="dashed" w:sz="4" w:space="0" w:color="auto"/>
            </w:tcBorders>
            <w:shd w:val="clear" w:color="auto" w:fill="auto"/>
            <w:noWrap/>
            <w:vAlign w:val="center"/>
            <w:hideMark/>
          </w:tcPr>
          <w:p w14:paraId="01D17291" w14:textId="77777777" w:rsidR="00247CBF" w:rsidRPr="00092ED7" w:rsidRDefault="00247CBF" w:rsidP="00247CBF">
            <w:pPr>
              <w:spacing w:after="0"/>
              <w:jc w:val="right"/>
              <w:rPr>
                <w:sz w:val="20"/>
                <w:szCs w:val="20"/>
                <w:lang w:val="sr-Cyrl-CS"/>
              </w:rPr>
            </w:pPr>
            <w:r w:rsidRPr="00092ED7">
              <w:rPr>
                <w:sz w:val="20"/>
                <w:szCs w:val="20"/>
                <w:lang w:val="sr-Cyrl-CS"/>
              </w:rPr>
              <w:t>130,9</w:t>
            </w:r>
          </w:p>
        </w:tc>
        <w:tc>
          <w:tcPr>
            <w:tcW w:w="1260" w:type="dxa"/>
            <w:gridSpan w:val="3"/>
            <w:tcBorders>
              <w:top w:val="nil"/>
              <w:left w:val="nil"/>
              <w:bottom w:val="dashed" w:sz="4" w:space="0" w:color="auto"/>
              <w:right w:val="dashed" w:sz="4" w:space="0" w:color="auto"/>
            </w:tcBorders>
            <w:shd w:val="clear" w:color="auto" w:fill="auto"/>
            <w:noWrap/>
            <w:vAlign w:val="center"/>
            <w:hideMark/>
          </w:tcPr>
          <w:p w14:paraId="5B24D66D" w14:textId="77777777" w:rsidR="00247CBF" w:rsidRPr="00092ED7" w:rsidRDefault="00247CBF" w:rsidP="00247CBF">
            <w:pPr>
              <w:spacing w:after="0"/>
              <w:jc w:val="right"/>
              <w:rPr>
                <w:sz w:val="20"/>
                <w:szCs w:val="20"/>
                <w:lang w:val="sr-Cyrl-CS"/>
              </w:rPr>
            </w:pPr>
            <w:r w:rsidRPr="00092ED7">
              <w:rPr>
                <w:sz w:val="20"/>
                <w:szCs w:val="20"/>
                <w:lang w:val="sr-Cyrl-CS"/>
              </w:rPr>
              <w:t>135,5</w:t>
            </w:r>
          </w:p>
        </w:tc>
        <w:tc>
          <w:tcPr>
            <w:tcW w:w="1268" w:type="dxa"/>
            <w:gridSpan w:val="3"/>
            <w:tcBorders>
              <w:top w:val="nil"/>
              <w:left w:val="nil"/>
              <w:bottom w:val="single" w:sz="8" w:space="0" w:color="auto"/>
              <w:right w:val="double" w:sz="4" w:space="0" w:color="auto"/>
            </w:tcBorders>
            <w:shd w:val="clear" w:color="auto" w:fill="auto"/>
            <w:noWrap/>
            <w:vAlign w:val="center"/>
            <w:hideMark/>
          </w:tcPr>
          <w:p w14:paraId="2F4304D1" w14:textId="77777777" w:rsidR="00247CBF" w:rsidRPr="00092ED7" w:rsidRDefault="00247CBF" w:rsidP="00247CBF">
            <w:pPr>
              <w:spacing w:after="0"/>
              <w:jc w:val="right"/>
              <w:rPr>
                <w:sz w:val="20"/>
                <w:szCs w:val="20"/>
                <w:lang w:val="sr-Cyrl-CS"/>
              </w:rPr>
            </w:pPr>
            <w:r w:rsidRPr="00092ED7">
              <w:rPr>
                <w:sz w:val="20"/>
                <w:szCs w:val="20"/>
                <w:lang w:val="sr-Cyrl-CS"/>
              </w:rPr>
              <w:t>139,6</w:t>
            </w:r>
          </w:p>
        </w:tc>
      </w:tr>
      <w:tr w:rsidR="00247CBF" w:rsidRPr="00092ED7" w14:paraId="1822ADB8" w14:textId="77777777" w:rsidTr="00247CBF">
        <w:trPr>
          <w:gridAfter w:val="3"/>
          <w:wAfter w:w="365" w:type="dxa"/>
          <w:trHeight w:val="270"/>
        </w:trPr>
        <w:tc>
          <w:tcPr>
            <w:tcW w:w="4962" w:type="dxa"/>
            <w:gridSpan w:val="3"/>
            <w:tcBorders>
              <w:top w:val="single" w:sz="8" w:space="0" w:color="auto"/>
              <w:left w:val="double" w:sz="6" w:space="0" w:color="auto"/>
              <w:bottom w:val="single" w:sz="8" w:space="0" w:color="auto"/>
              <w:right w:val="nil"/>
            </w:tcBorders>
            <w:shd w:val="clear" w:color="auto" w:fill="auto"/>
            <w:noWrap/>
            <w:vAlign w:val="center"/>
            <w:hideMark/>
          </w:tcPr>
          <w:p w14:paraId="1A802FFF" w14:textId="77777777" w:rsidR="00247CBF" w:rsidRPr="00092ED7" w:rsidRDefault="00247CBF" w:rsidP="00247CBF">
            <w:pPr>
              <w:spacing w:after="0"/>
              <w:jc w:val="center"/>
              <w:rPr>
                <w:rFonts w:eastAsia="Times New Roman" w:cs="Times New Roman"/>
                <w:b/>
                <w:bCs/>
                <w:sz w:val="20"/>
                <w:szCs w:val="20"/>
                <w:lang w:val="sr-Cyrl-CS"/>
              </w:rPr>
            </w:pPr>
            <w:r w:rsidRPr="00092ED7">
              <w:rPr>
                <w:rFonts w:eastAsia="Times New Roman" w:cs="Times New Roman"/>
                <w:b/>
                <w:bCs/>
                <w:sz w:val="20"/>
                <w:szCs w:val="20"/>
                <w:lang w:val="sr-Cyrl-CS"/>
              </w:rPr>
              <w:t>Табела 1c:  Кретања на тржишту рада</w:t>
            </w:r>
          </w:p>
        </w:tc>
        <w:tc>
          <w:tcPr>
            <w:tcW w:w="1447" w:type="dxa"/>
            <w:gridSpan w:val="3"/>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2BE1A7C" w14:textId="77777777" w:rsidR="00247CBF" w:rsidRPr="00092ED7" w:rsidRDefault="00247CBF" w:rsidP="00247CBF">
            <w:pPr>
              <w:spacing w:after="0"/>
              <w:jc w:val="center"/>
              <w:rPr>
                <w:rFonts w:eastAsia="Times New Roman" w:cs="Times New Roman"/>
                <w:sz w:val="20"/>
                <w:szCs w:val="20"/>
                <w:lang w:val="sr-Cyrl-CS"/>
              </w:rPr>
            </w:pPr>
          </w:p>
        </w:tc>
        <w:tc>
          <w:tcPr>
            <w:tcW w:w="1380" w:type="dxa"/>
            <w:gridSpan w:val="3"/>
            <w:tcBorders>
              <w:top w:val="single" w:sz="8" w:space="0" w:color="auto"/>
              <w:left w:val="nil"/>
              <w:bottom w:val="single" w:sz="8" w:space="0" w:color="auto"/>
              <w:right w:val="nil"/>
            </w:tcBorders>
            <w:shd w:val="clear" w:color="auto" w:fill="auto"/>
            <w:noWrap/>
            <w:vAlign w:val="bottom"/>
            <w:hideMark/>
          </w:tcPr>
          <w:p w14:paraId="120AE084" w14:textId="77777777" w:rsidR="00247CBF" w:rsidRPr="00092ED7" w:rsidRDefault="00247CBF" w:rsidP="00247CBF">
            <w:pPr>
              <w:spacing w:after="0"/>
              <w:jc w:val="right"/>
              <w:rPr>
                <w:rFonts w:eastAsia="Times New Roman" w:cs="Times New Roman"/>
                <w:sz w:val="20"/>
                <w:szCs w:val="20"/>
                <w:lang w:val="sr-Cyrl-CS"/>
              </w:rPr>
            </w:pPr>
            <w:r w:rsidRPr="00092ED7">
              <w:rPr>
                <w:rFonts w:eastAsia="Times New Roman" w:cs="Times New Roman"/>
                <w:sz w:val="20"/>
                <w:szCs w:val="20"/>
                <w:lang w:val="sr-Cyrl-CS"/>
              </w:rPr>
              <w:t> </w:t>
            </w:r>
          </w:p>
        </w:tc>
        <w:tc>
          <w:tcPr>
            <w:tcW w:w="1300" w:type="dxa"/>
            <w:gridSpan w:val="4"/>
            <w:tcBorders>
              <w:top w:val="single" w:sz="8" w:space="0" w:color="auto"/>
              <w:left w:val="nil"/>
              <w:bottom w:val="single" w:sz="8" w:space="0" w:color="auto"/>
              <w:right w:val="nil"/>
            </w:tcBorders>
            <w:shd w:val="clear" w:color="auto" w:fill="auto"/>
            <w:noWrap/>
            <w:vAlign w:val="bottom"/>
            <w:hideMark/>
          </w:tcPr>
          <w:p w14:paraId="4653D6C9" w14:textId="77777777" w:rsidR="00247CBF" w:rsidRPr="00092ED7" w:rsidRDefault="00247CBF" w:rsidP="00247CBF">
            <w:pPr>
              <w:spacing w:after="0"/>
              <w:jc w:val="right"/>
              <w:rPr>
                <w:rFonts w:eastAsia="Times New Roman" w:cs="Times New Roman"/>
                <w:sz w:val="20"/>
                <w:szCs w:val="20"/>
                <w:lang w:val="sr-Cyrl-CS"/>
              </w:rPr>
            </w:pPr>
            <w:r w:rsidRPr="00092ED7">
              <w:rPr>
                <w:rFonts w:eastAsia="Times New Roman" w:cs="Times New Roman"/>
                <w:sz w:val="20"/>
                <w:szCs w:val="20"/>
                <w:lang w:val="sr-Cyrl-CS"/>
              </w:rPr>
              <w:t> </w:t>
            </w:r>
          </w:p>
        </w:tc>
        <w:tc>
          <w:tcPr>
            <w:tcW w:w="1360" w:type="dxa"/>
            <w:gridSpan w:val="4"/>
            <w:tcBorders>
              <w:top w:val="single" w:sz="8" w:space="0" w:color="auto"/>
              <w:left w:val="nil"/>
              <w:bottom w:val="single" w:sz="8" w:space="0" w:color="auto"/>
              <w:right w:val="nil"/>
            </w:tcBorders>
            <w:shd w:val="clear" w:color="auto" w:fill="auto"/>
            <w:noWrap/>
            <w:vAlign w:val="bottom"/>
            <w:hideMark/>
          </w:tcPr>
          <w:p w14:paraId="1963A4A7" w14:textId="77777777" w:rsidR="00247CBF" w:rsidRPr="00092ED7" w:rsidRDefault="00247CBF" w:rsidP="00247CBF">
            <w:pPr>
              <w:spacing w:after="0"/>
              <w:jc w:val="right"/>
              <w:rPr>
                <w:rFonts w:eastAsia="Times New Roman" w:cs="Times New Roman"/>
                <w:sz w:val="20"/>
                <w:szCs w:val="20"/>
                <w:lang w:val="sr-Cyrl-CS"/>
              </w:rPr>
            </w:pPr>
            <w:r w:rsidRPr="00092ED7">
              <w:rPr>
                <w:rFonts w:eastAsia="Times New Roman" w:cs="Times New Roman"/>
                <w:sz w:val="20"/>
                <w:szCs w:val="20"/>
                <w:lang w:val="sr-Cyrl-CS"/>
              </w:rPr>
              <w:t> </w:t>
            </w:r>
          </w:p>
        </w:tc>
        <w:tc>
          <w:tcPr>
            <w:tcW w:w="1260" w:type="dxa"/>
            <w:gridSpan w:val="4"/>
            <w:tcBorders>
              <w:top w:val="single" w:sz="8" w:space="0" w:color="auto"/>
              <w:left w:val="nil"/>
              <w:bottom w:val="single" w:sz="8" w:space="0" w:color="auto"/>
              <w:right w:val="nil"/>
            </w:tcBorders>
            <w:shd w:val="clear" w:color="auto" w:fill="auto"/>
            <w:noWrap/>
            <w:vAlign w:val="bottom"/>
            <w:hideMark/>
          </w:tcPr>
          <w:p w14:paraId="1EB06706" w14:textId="77777777" w:rsidR="00247CBF" w:rsidRPr="00092ED7" w:rsidRDefault="00247CBF" w:rsidP="00247CBF">
            <w:pPr>
              <w:spacing w:after="0"/>
              <w:jc w:val="right"/>
              <w:rPr>
                <w:rFonts w:eastAsia="Times New Roman" w:cs="Times New Roman"/>
                <w:sz w:val="20"/>
                <w:szCs w:val="20"/>
                <w:lang w:val="sr-Cyrl-CS"/>
              </w:rPr>
            </w:pPr>
            <w:r w:rsidRPr="00092ED7">
              <w:rPr>
                <w:rFonts w:eastAsia="Times New Roman" w:cs="Times New Roman"/>
                <w:sz w:val="20"/>
                <w:szCs w:val="20"/>
                <w:lang w:val="sr-Cyrl-CS"/>
              </w:rPr>
              <w:t> </w:t>
            </w:r>
          </w:p>
        </w:tc>
        <w:tc>
          <w:tcPr>
            <w:tcW w:w="1260" w:type="dxa"/>
            <w:gridSpan w:val="3"/>
            <w:tcBorders>
              <w:top w:val="single" w:sz="8" w:space="0" w:color="auto"/>
              <w:left w:val="nil"/>
              <w:bottom w:val="single" w:sz="8" w:space="0" w:color="auto"/>
              <w:right w:val="nil"/>
            </w:tcBorders>
            <w:shd w:val="clear" w:color="auto" w:fill="auto"/>
            <w:noWrap/>
            <w:vAlign w:val="bottom"/>
            <w:hideMark/>
          </w:tcPr>
          <w:p w14:paraId="706D082D" w14:textId="77777777" w:rsidR="00247CBF" w:rsidRPr="00092ED7" w:rsidRDefault="00247CBF" w:rsidP="00247CBF">
            <w:pPr>
              <w:spacing w:after="0"/>
              <w:jc w:val="right"/>
              <w:rPr>
                <w:rFonts w:eastAsia="Times New Roman" w:cs="Times New Roman"/>
                <w:sz w:val="20"/>
                <w:szCs w:val="20"/>
                <w:lang w:val="sr-Cyrl-CS"/>
              </w:rPr>
            </w:pPr>
            <w:r w:rsidRPr="00092ED7">
              <w:rPr>
                <w:rFonts w:eastAsia="Times New Roman" w:cs="Times New Roman"/>
                <w:sz w:val="20"/>
                <w:szCs w:val="20"/>
                <w:lang w:val="sr-Cyrl-CS"/>
              </w:rPr>
              <w:t> </w:t>
            </w:r>
          </w:p>
        </w:tc>
        <w:tc>
          <w:tcPr>
            <w:tcW w:w="1268" w:type="dxa"/>
            <w:gridSpan w:val="3"/>
            <w:tcBorders>
              <w:top w:val="nil"/>
              <w:left w:val="nil"/>
              <w:bottom w:val="single" w:sz="8" w:space="0" w:color="auto"/>
              <w:right w:val="double" w:sz="4" w:space="0" w:color="auto"/>
            </w:tcBorders>
            <w:shd w:val="clear" w:color="auto" w:fill="auto"/>
            <w:noWrap/>
            <w:vAlign w:val="bottom"/>
            <w:hideMark/>
          </w:tcPr>
          <w:p w14:paraId="21DF8CA0" w14:textId="77777777" w:rsidR="00247CBF" w:rsidRPr="00092ED7" w:rsidRDefault="00247CBF" w:rsidP="00247CBF">
            <w:pPr>
              <w:spacing w:after="0"/>
              <w:jc w:val="right"/>
              <w:rPr>
                <w:rFonts w:eastAsia="Times New Roman" w:cs="Times New Roman"/>
                <w:sz w:val="20"/>
                <w:szCs w:val="20"/>
                <w:lang w:val="sr-Cyrl-CS"/>
              </w:rPr>
            </w:pPr>
            <w:r w:rsidRPr="00092ED7">
              <w:rPr>
                <w:rFonts w:eastAsia="Times New Roman" w:cs="Times New Roman"/>
                <w:sz w:val="20"/>
                <w:szCs w:val="20"/>
                <w:lang w:val="sr-Cyrl-CS"/>
              </w:rPr>
              <w:t> </w:t>
            </w:r>
          </w:p>
        </w:tc>
      </w:tr>
      <w:tr w:rsidR="00247CBF" w:rsidRPr="00092ED7" w14:paraId="63A3F204" w14:textId="77777777" w:rsidTr="00247CBF">
        <w:trPr>
          <w:gridAfter w:val="3"/>
          <w:wAfter w:w="365" w:type="dxa"/>
          <w:trHeight w:val="255"/>
        </w:trPr>
        <w:tc>
          <w:tcPr>
            <w:tcW w:w="4962" w:type="dxa"/>
            <w:gridSpan w:val="3"/>
            <w:tcBorders>
              <w:top w:val="dashed" w:sz="4" w:space="0" w:color="auto"/>
              <w:left w:val="double" w:sz="6" w:space="0" w:color="auto"/>
              <w:bottom w:val="dashed" w:sz="4" w:space="0" w:color="auto"/>
              <w:right w:val="nil"/>
            </w:tcBorders>
            <w:shd w:val="clear" w:color="auto" w:fill="auto"/>
            <w:hideMark/>
          </w:tcPr>
          <w:p w14:paraId="056F2C49"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1. Становништво (у хиљадама)</w:t>
            </w:r>
          </w:p>
        </w:tc>
        <w:tc>
          <w:tcPr>
            <w:tcW w:w="1447" w:type="dxa"/>
            <w:gridSpan w:val="3"/>
            <w:tcBorders>
              <w:top w:val="dashed" w:sz="4" w:space="0" w:color="auto"/>
              <w:left w:val="single" w:sz="8" w:space="0" w:color="auto"/>
              <w:bottom w:val="dashed" w:sz="4" w:space="0" w:color="auto"/>
              <w:right w:val="single" w:sz="8" w:space="0" w:color="auto"/>
            </w:tcBorders>
            <w:shd w:val="clear" w:color="auto" w:fill="auto"/>
            <w:noWrap/>
            <w:vAlign w:val="center"/>
            <w:hideMark/>
          </w:tcPr>
          <w:p w14:paraId="1502A817" w14:textId="77777777" w:rsidR="00247CBF" w:rsidRPr="00092ED7" w:rsidRDefault="00247CBF" w:rsidP="00247CBF">
            <w:pPr>
              <w:spacing w:after="0"/>
              <w:jc w:val="center"/>
              <w:rPr>
                <w:sz w:val="20"/>
                <w:szCs w:val="20"/>
                <w:lang w:val="sr-Cyrl-CS"/>
              </w:rPr>
            </w:pPr>
            <w:r w:rsidRPr="00092ED7">
              <w:rPr>
                <w:sz w:val="20"/>
                <w:szCs w:val="20"/>
                <w:lang w:val="sr-Cyrl-CS"/>
              </w:rPr>
              <w:t>у хиљадама</w:t>
            </w:r>
          </w:p>
        </w:tc>
        <w:tc>
          <w:tcPr>
            <w:tcW w:w="1380" w:type="dxa"/>
            <w:gridSpan w:val="3"/>
            <w:tcBorders>
              <w:top w:val="dashed" w:sz="4" w:space="0" w:color="auto"/>
              <w:left w:val="nil"/>
              <w:bottom w:val="dashed" w:sz="4" w:space="0" w:color="auto"/>
              <w:right w:val="dashed" w:sz="4" w:space="0" w:color="auto"/>
            </w:tcBorders>
            <w:shd w:val="clear" w:color="auto" w:fill="auto"/>
            <w:noWrap/>
            <w:vAlign w:val="center"/>
            <w:hideMark/>
          </w:tcPr>
          <w:p w14:paraId="21F73D58" w14:textId="77777777" w:rsidR="00247CBF" w:rsidRPr="00092ED7" w:rsidRDefault="00247CBF" w:rsidP="00247CBF">
            <w:pPr>
              <w:spacing w:after="0"/>
              <w:jc w:val="right"/>
              <w:rPr>
                <w:sz w:val="20"/>
                <w:szCs w:val="20"/>
                <w:lang w:val="sr-Cyrl-CS"/>
              </w:rPr>
            </w:pPr>
            <w:r w:rsidRPr="00092ED7">
              <w:rPr>
                <w:sz w:val="20"/>
                <w:szCs w:val="20"/>
                <w:lang w:val="sr-Cyrl-CS"/>
              </w:rPr>
              <w:t>6.899</w:t>
            </w:r>
          </w:p>
        </w:tc>
        <w:tc>
          <w:tcPr>
            <w:tcW w:w="1300" w:type="dxa"/>
            <w:gridSpan w:val="4"/>
            <w:tcBorders>
              <w:top w:val="dashed" w:sz="4" w:space="0" w:color="auto"/>
              <w:left w:val="nil"/>
              <w:bottom w:val="dashed" w:sz="4" w:space="0" w:color="auto"/>
              <w:right w:val="dashed" w:sz="4" w:space="0" w:color="auto"/>
            </w:tcBorders>
            <w:shd w:val="clear" w:color="auto" w:fill="auto"/>
            <w:noWrap/>
            <w:vAlign w:val="center"/>
            <w:hideMark/>
          </w:tcPr>
          <w:p w14:paraId="24F91B48" w14:textId="77777777" w:rsidR="00247CBF" w:rsidRPr="00092ED7" w:rsidRDefault="00247CBF" w:rsidP="00247CBF">
            <w:pPr>
              <w:spacing w:after="0"/>
              <w:jc w:val="right"/>
              <w:rPr>
                <w:sz w:val="20"/>
                <w:szCs w:val="20"/>
                <w:lang w:val="sr-Cyrl-CS"/>
              </w:rPr>
            </w:pPr>
            <w:r w:rsidRPr="00092ED7">
              <w:rPr>
                <w:sz w:val="20"/>
                <w:szCs w:val="20"/>
                <w:lang w:val="sr-Cyrl-CS"/>
              </w:rPr>
              <w:t>6.834</w:t>
            </w:r>
          </w:p>
        </w:tc>
        <w:tc>
          <w:tcPr>
            <w:tcW w:w="1360" w:type="dxa"/>
            <w:gridSpan w:val="4"/>
            <w:tcBorders>
              <w:top w:val="dashed" w:sz="4" w:space="0" w:color="auto"/>
              <w:left w:val="nil"/>
              <w:bottom w:val="dashed" w:sz="4" w:space="0" w:color="auto"/>
              <w:right w:val="dashed" w:sz="4" w:space="0" w:color="auto"/>
            </w:tcBorders>
            <w:shd w:val="clear" w:color="auto" w:fill="auto"/>
            <w:noWrap/>
            <w:vAlign w:val="center"/>
            <w:hideMark/>
          </w:tcPr>
          <w:p w14:paraId="0398697C" w14:textId="77777777" w:rsidR="00247CBF" w:rsidRPr="00092ED7" w:rsidRDefault="00247CBF" w:rsidP="00247CBF">
            <w:pPr>
              <w:spacing w:after="0"/>
              <w:jc w:val="right"/>
              <w:rPr>
                <w:sz w:val="20"/>
                <w:szCs w:val="20"/>
                <w:lang w:val="sr-Cyrl-CS"/>
              </w:rPr>
            </w:pPr>
            <w:r w:rsidRPr="00092ED7">
              <w:rPr>
                <w:sz w:val="20"/>
                <w:szCs w:val="20"/>
                <w:lang w:val="sr-Cyrl-CS"/>
              </w:rPr>
              <w:t>6.800</w:t>
            </w:r>
          </w:p>
        </w:tc>
        <w:tc>
          <w:tcPr>
            <w:tcW w:w="1260" w:type="dxa"/>
            <w:gridSpan w:val="4"/>
            <w:tcBorders>
              <w:top w:val="dashed" w:sz="4" w:space="0" w:color="auto"/>
              <w:left w:val="nil"/>
              <w:bottom w:val="dashed" w:sz="4" w:space="0" w:color="auto"/>
              <w:right w:val="dashed" w:sz="4" w:space="0" w:color="auto"/>
            </w:tcBorders>
            <w:shd w:val="clear" w:color="auto" w:fill="auto"/>
            <w:noWrap/>
            <w:vAlign w:val="center"/>
            <w:hideMark/>
          </w:tcPr>
          <w:p w14:paraId="091362BD" w14:textId="77777777" w:rsidR="00247CBF" w:rsidRPr="00092ED7" w:rsidRDefault="00247CBF" w:rsidP="00247CBF">
            <w:pPr>
              <w:spacing w:after="0"/>
              <w:jc w:val="right"/>
              <w:rPr>
                <w:sz w:val="20"/>
                <w:szCs w:val="20"/>
                <w:lang w:val="sr-Cyrl-CS"/>
              </w:rPr>
            </w:pPr>
            <w:r w:rsidRPr="00092ED7">
              <w:rPr>
                <w:sz w:val="20"/>
                <w:szCs w:val="20"/>
                <w:lang w:val="sr-Cyrl-CS"/>
              </w:rPr>
              <w:t>6.780</w:t>
            </w:r>
          </w:p>
        </w:tc>
        <w:tc>
          <w:tcPr>
            <w:tcW w:w="1260" w:type="dxa"/>
            <w:gridSpan w:val="3"/>
            <w:tcBorders>
              <w:top w:val="dashed" w:sz="4" w:space="0" w:color="auto"/>
              <w:left w:val="nil"/>
              <w:bottom w:val="dashed" w:sz="4" w:space="0" w:color="auto"/>
              <w:right w:val="dashed" w:sz="4" w:space="0" w:color="auto"/>
            </w:tcBorders>
            <w:shd w:val="clear" w:color="auto" w:fill="auto"/>
            <w:noWrap/>
            <w:vAlign w:val="center"/>
            <w:hideMark/>
          </w:tcPr>
          <w:p w14:paraId="47BF91F9" w14:textId="77777777" w:rsidR="00247CBF" w:rsidRPr="00092ED7" w:rsidRDefault="00247CBF" w:rsidP="00247CBF">
            <w:pPr>
              <w:spacing w:after="0"/>
              <w:jc w:val="right"/>
              <w:rPr>
                <w:sz w:val="20"/>
                <w:szCs w:val="20"/>
                <w:lang w:val="sr-Cyrl-CS"/>
              </w:rPr>
            </w:pPr>
            <w:r w:rsidRPr="00092ED7">
              <w:rPr>
                <w:sz w:val="20"/>
                <w:szCs w:val="20"/>
                <w:lang w:val="sr-Cyrl-CS"/>
              </w:rPr>
              <w:t>6.759</w:t>
            </w:r>
          </w:p>
        </w:tc>
        <w:tc>
          <w:tcPr>
            <w:tcW w:w="1268" w:type="dxa"/>
            <w:gridSpan w:val="3"/>
            <w:tcBorders>
              <w:top w:val="dashed" w:sz="4" w:space="0" w:color="auto"/>
              <w:left w:val="nil"/>
              <w:bottom w:val="dashed" w:sz="4" w:space="0" w:color="auto"/>
              <w:right w:val="double" w:sz="4" w:space="0" w:color="auto"/>
            </w:tcBorders>
            <w:shd w:val="clear" w:color="auto" w:fill="auto"/>
            <w:noWrap/>
            <w:vAlign w:val="center"/>
            <w:hideMark/>
          </w:tcPr>
          <w:p w14:paraId="1B4FE8D5" w14:textId="77777777" w:rsidR="00247CBF" w:rsidRPr="00092ED7" w:rsidRDefault="00247CBF" w:rsidP="00247CBF">
            <w:pPr>
              <w:spacing w:after="0"/>
              <w:jc w:val="right"/>
              <w:rPr>
                <w:sz w:val="20"/>
                <w:szCs w:val="20"/>
                <w:lang w:val="sr-Cyrl-CS"/>
              </w:rPr>
            </w:pPr>
            <w:r w:rsidRPr="00092ED7">
              <w:rPr>
                <w:sz w:val="20"/>
                <w:szCs w:val="20"/>
                <w:lang w:val="sr-Cyrl-CS"/>
              </w:rPr>
              <w:t>6.739</w:t>
            </w:r>
          </w:p>
        </w:tc>
      </w:tr>
      <w:tr w:rsidR="00247CBF" w:rsidRPr="00092ED7" w14:paraId="57CF1872" w14:textId="77777777" w:rsidTr="00247CBF">
        <w:trPr>
          <w:gridAfter w:val="3"/>
          <w:wAfter w:w="365" w:type="dxa"/>
          <w:trHeight w:val="255"/>
        </w:trPr>
        <w:tc>
          <w:tcPr>
            <w:tcW w:w="4962" w:type="dxa"/>
            <w:gridSpan w:val="3"/>
            <w:tcBorders>
              <w:top w:val="nil"/>
              <w:left w:val="double" w:sz="6" w:space="0" w:color="auto"/>
              <w:bottom w:val="dashed" w:sz="4" w:space="0" w:color="auto"/>
              <w:right w:val="nil"/>
            </w:tcBorders>
            <w:shd w:val="clear" w:color="auto" w:fill="auto"/>
            <w:vAlign w:val="center"/>
            <w:hideMark/>
          </w:tcPr>
          <w:p w14:paraId="23887DF7"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3. Становништво радног узраста (број лица)[1]</w:t>
            </w:r>
          </w:p>
        </w:tc>
        <w:tc>
          <w:tcPr>
            <w:tcW w:w="1447" w:type="dxa"/>
            <w:gridSpan w:val="3"/>
            <w:tcBorders>
              <w:top w:val="nil"/>
              <w:left w:val="single" w:sz="8" w:space="0" w:color="auto"/>
              <w:bottom w:val="dashed" w:sz="4" w:space="0" w:color="auto"/>
              <w:right w:val="single" w:sz="8" w:space="0" w:color="auto"/>
            </w:tcBorders>
            <w:shd w:val="clear" w:color="auto" w:fill="auto"/>
            <w:noWrap/>
            <w:vAlign w:val="center"/>
            <w:hideMark/>
          </w:tcPr>
          <w:p w14:paraId="46551F88" w14:textId="77777777" w:rsidR="00247CBF" w:rsidRPr="00092ED7" w:rsidRDefault="00247CBF" w:rsidP="00247CBF">
            <w:pPr>
              <w:spacing w:after="0"/>
              <w:jc w:val="center"/>
              <w:rPr>
                <w:sz w:val="20"/>
                <w:szCs w:val="20"/>
                <w:lang w:val="sr-Cyrl-CS"/>
              </w:rPr>
            </w:pPr>
            <w:r w:rsidRPr="00092ED7">
              <w:rPr>
                <w:sz w:val="20"/>
                <w:szCs w:val="20"/>
                <w:lang w:val="sr-Cyrl-CS"/>
              </w:rPr>
              <w:t>у хиљадама</w:t>
            </w:r>
          </w:p>
        </w:tc>
        <w:tc>
          <w:tcPr>
            <w:tcW w:w="1380" w:type="dxa"/>
            <w:gridSpan w:val="3"/>
            <w:tcBorders>
              <w:top w:val="nil"/>
              <w:left w:val="nil"/>
              <w:bottom w:val="dashed" w:sz="4" w:space="0" w:color="auto"/>
              <w:right w:val="dashed" w:sz="4" w:space="0" w:color="auto"/>
            </w:tcBorders>
            <w:shd w:val="clear" w:color="auto" w:fill="auto"/>
            <w:noWrap/>
            <w:vAlign w:val="center"/>
            <w:hideMark/>
          </w:tcPr>
          <w:p w14:paraId="4AA78417" w14:textId="77777777" w:rsidR="00247CBF" w:rsidRPr="00092ED7" w:rsidRDefault="00247CBF" w:rsidP="00247CBF">
            <w:pPr>
              <w:spacing w:after="0"/>
              <w:jc w:val="right"/>
              <w:rPr>
                <w:sz w:val="20"/>
                <w:szCs w:val="20"/>
                <w:lang w:val="sr-Cyrl-CS"/>
              </w:rPr>
            </w:pPr>
            <w:r w:rsidRPr="00092ED7">
              <w:rPr>
                <w:sz w:val="20"/>
                <w:szCs w:val="20"/>
                <w:lang w:val="sr-Cyrl-CS"/>
              </w:rPr>
              <w:t>4.445</w:t>
            </w:r>
          </w:p>
        </w:tc>
        <w:tc>
          <w:tcPr>
            <w:tcW w:w="1300" w:type="dxa"/>
            <w:gridSpan w:val="4"/>
            <w:tcBorders>
              <w:top w:val="nil"/>
              <w:left w:val="nil"/>
              <w:bottom w:val="dashed" w:sz="4" w:space="0" w:color="auto"/>
              <w:right w:val="dashed" w:sz="4" w:space="0" w:color="auto"/>
            </w:tcBorders>
            <w:shd w:val="clear" w:color="auto" w:fill="auto"/>
            <w:noWrap/>
            <w:vAlign w:val="center"/>
            <w:hideMark/>
          </w:tcPr>
          <w:p w14:paraId="17833E79" w14:textId="77777777" w:rsidR="00247CBF" w:rsidRPr="00092ED7" w:rsidRDefault="00247CBF" w:rsidP="00247CBF">
            <w:pPr>
              <w:spacing w:after="0"/>
              <w:jc w:val="right"/>
              <w:rPr>
                <w:sz w:val="20"/>
                <w:szCs w:val="20"/>
                <w:lang w:val="sr-Cyrl-CS"/>
              </w:rPr>
            </w:pPr>
            <w:r w:rsidRPr="00092ED7">
              <w:rPr>
                <w:sz w:val="20"/>
                <w:szCs w:val="20"/>
                <w:lang w:val="sr-Cyrl-CS"/>
              </w:rPr>
              <w:t>4.387</w:t>
            </w:r>
          </w:p>
        </w:tc>
        <w:tc>
          <w:tcPr>
            <w:tcW w:w="1360" w:type="dxa"/>
            <w:gridSpan w:val="4"/>
            <w:tcBorders>
              <w:top w:val="nil"/>
              <w:left w:val="nil"/>
              <w:bottom w:val="dashed" w:sz="4" w:space="0" w:color="auto"/>
              <w:right w:val="dashed" w:sz="4" w:space="0" w:color="auto"/>
            </w:tcBorders>
            <w:shd w:val="clear" w:color="auto" w:fill="auto"/>
            <w:noWrap/>
            <w:vAlign w:val="center"/>
            <w:hideMark/>
          </w:tcPr>
          <w:p w14:paraId="210072D0" w14:textId="77777777" w:rsidR="00247CBF" w:rsidRPr="00092ED7" w:rsidRDefault="00247CBF" w:rsidP="00247CBF">
            <w:pPr>
              <w:spacing w:after="0"/>
              <w:jc w:val="right"/>
              <w:rPr>
                <w:sz w:val="20"/>
                <w:szCs w:val="20"/>
                <w:lang w:val="sr-Cyrl-CS"/>
              </w:rPr>
            </w:pPr>
            <w:r w:rsidRPr="00092ED7">
              <w:rPr>
                <w:sz w:val="20"/>
                <w:szCs w:val="20"/>
                <w:lang w:val="sr-Cyrl-CS"/>
              </w:rPr>
              <w:t>4.372</w:t>
            </w:r>
          </w:p>
        </w:tc>
        <w:tc>
          <w:tcPr>
            <w:tcW w:w="1260" w:type="dxa"/>
            <w:gridSpan w:val="4"/>
            <w:tcBorders>
              <w:top w:val="nil"/>
              <w:left w:val="nil"/>
              <w:bottom w:val="dashed" w:sz="4" w:space="0" w:color="auto"/>
              <w:right w:val="dashed" w:sz="4" w:space="0" w:color="auto"/>
            </w:tcBorders>
            <w:shd w:val="clear" w:color="auto" w:fill="auto"/>
            <w:noWrap/>
            <w:vAlign w:val="center"/>
            <w:hideMark/>
          </w:tcPr>
          <w:p w14:paraId="29415AA6" w14:textId="77777777" w:rsidR="00247CBF" w:rsidRPr="00092ED7" w:rsidRDefault="00247CBF" w:rsidP="00247CBF">
            <w:pPr>
              <w:spacing w:after="0"/>
              <w:jc w:val="right"/>
              <w:rPr>
                <w:sz w:val="20"/>
                <w:szCs w:val="20"/>
                <w:lang w:val="sr-Cyrl-CS"/>
              </w:rPr>
            </w:pPr>
            <w:r w:rsidRPr="00092ED7">
              <w:rPr>
                <w:sz w:val="20"/>
                <w:szCs w:val="20"/>
                <w:lang w:val="sr-Cyrl-CS"/>
              </w:rPr>
              <w:t>4.373</w:t>
            </w:r>
          </w:p>
        </w:tc>
        <w:tc>
          <w:tcPr>
            <w:tcW w:w="1260" w:type="dxa"/>
            <w:gridSpan w:val="3"/>
            <w:tcBorders>
              <w:top w:val="nil"/>
              <w:left w:val="nil"/>
              <w:bottom w:val="dashed" w:sz="4" w:space="0" w:color="auto"/>
              <w:right w:val="dashed" w:sz="4" w:space="0" w:color="auto"/>
            </w:tcBorders>
            <w:shd w:val="clear" w:color="auto" w:fill="auto"/>
            <w:noWrap/>
            <w:vAlign w:val="center"/>
            <w:hideMark/>
          </w:tcPr>
          <w:p w14:paraId="4B3F57EA" w14:textId="77777777" w:rsidR="00247CBF" w:rsidRPr="00092ED7" w:rsidRDefault="00247CBF" w:rsidP="00247CBF">
            <w:pPr>
              <w:spacing w:after="0"/>
              <w:jc w:val="right"/>
              <w:rPr>
                <w:sz w:val="20"/>
                <w:szCs w:val="20"/>
                <w:lang w:val="sr-Cyrl-CS"/>
              </w:rPr>
            </w:pPr>
            <w:r w:rsidRPr="00092ED7">
              <w:rPr>
                <w:sz w:val="20"/>
                <w:szCs w:val="20"/>
                <w:lang w:val="sr-Cyrl-CS"/>
              </w:rPr>
              <w:t>4.360</w:t>
            </w:r>
          </w:p>
        </w:tc>
        <w:tc>
          <w:tcPr>
            <w:tcW w:w="1268" w:type="dxa"/>
            <w:gridSpan w:val="3"/>
            <w:tcBorders>
              <w:top w:val="nil"/>
              <w:left w:val="nil"/>
              <w:bottom w:val="dashed" w:sz="4" w:space="0" w:color="auto"/>
              <w:right w:val="double" w:sz="4" w:space="0" w:color="auto"/>
            </w:tcBorders>
            <w:shd w:val="clear" w:color="auto" w:fill="auto"/>
            <w:noWrap/>
            <w:vAlign w:val="center"/>
            <w:hideMark/>
          </w:tcPr>
          <w:p w14:paraId="581C7C08" w14:textId="77777777" w:rsidR="00247CBF" w:rsidRPr="00092ED7" w:rsidRDefault="00247CBF" w:rsidP="00247CBF">
            <w:pPr>
              <w:spacing w:after="0"/>
              <w:jc w:val="right"/>
              <w:rPr>
                <w:sz w:val="20"/>
                <w:szCs w:val="20"/>
                <w:lang w:val="sr-Cyrl-CS"/>
              </w:rPr>
            </w:pPr>
            <w:r w:rsidRPr="00092ED7">
              <w:rPr>
                <w:sz w:val="20"/>
                <w:szCs w:val="20"/>
                <w:lang w:val="sr-Cyrl-CS"/>
              </w:rPr>
              <w:t>4.374</w:t>
            </w:r>
          </w:p>
        </w:tc>
      </w:tr>
      <w:tr w:rsidR="00247CBF" w:rsidRPr="00092ED7" w14:paraId="0A3B09EE" w14:textId="77777777" w:rsidTr="00247CBF">
        <w:trPr>
          <w:gridAfter w:val="3"/>
          <w:wAfter w:w="365" w:type="dxa"/>
          <w:trHeight w:val="255"/>
        </w:trPr>
        <w:tc>
          <w:tcPr>
            <w:tcW w:w="4962" w:type="dxa"/>
            <w:gridSpan w:val="3"/>
            <w:tcBorders>
              <w:top w:val="nil"/>
              <w:left w:val="double" w:sz="6" w:space="0" w:color="auto"/>
              <w:bottom w:val="dashed" w:sz="4" w:space="0" w:color="auto"/>
              <w:right w:val="nil"/>
            </w:tcBorders>
            <w:shd w:val="clear" w:color="auto" w:fill="auto"/>
            <w:hideMark/>
          </w:tcPr>
          <w:p w14:paraId="3EE9A994" w14:textId="77777777" w:rsidR="00247CBF" w:rsidRPr="00092ED7" w:rsidRDefault="00247CBF" w:rsidP="00247CBF">
            <w:pPr>
              <w:spacing w:after="0"/>
              <w:rPr>
                <w:rFonts w:eastAsia="Times New Roman" w:cs="Times New Roman"/>
                <w:sz w:val="20"/>
                <w:szCs w:val="20"/>
                <w:u w:val="single"/>
                <w:lang w:val="sr-Cyrl-CS"/>
              </w:rPr>
            </w:pPr>
            <w:r w:rsidRPr="00092ED7">
              <w:rPr>
                <w:rFonts w:eastAsia="Times New Roman" w:cs="Times New Roman"/>
                <w:sz w:val="20"/>
                <w:szCs w:val="20"/>
                <w:u w:val="single"/>
                <w:lang w:val="sr-Cyrl-CS"/>
              </w:rPr>
              <w:t>Укупна радна снага</w:t>
            </w:r>
          </w:p>
        </w:tc>
        <w:tc>
          <w:tcPr>
            <w:tcW w:w="1447" w:type="dxa"/>
            <w:gridSpan w:val="3"/>
            <w:tcBorders>
              <w:top w:val="nil"/>
              <w:left w:val="single" w:sz="8" w:space="0" w:color="auto"/>
              <w:bottom w:val="dashed" w:sz="4" w:space="0" w:color="auto"/>
              <w:right w:val="single" w:sz="8" w:space="0" w:color="auto"/>
            </w:tcBorders>
            <w:shd w:val="clear" w:color="auto" w:fill="auto"/>
            <w:noWrap/>
            <w:vAlign w:val="center"/>
            <w:hideMark/>
          </w:tcPr>
          <w:p w14:paraId="251B5647" w14:textId="77777777" w:rsidR="00247CBF" w:rsidRPr="00092ED7" w:rsidRDefault="00247CBF" w:rsidP="00247CBF">
            <w:pPr>
              <w:spacing w:after="0"/>
              <w:jc w:val="center"/>
              <w:rPr>
                <w:sz w:val="20"/>
                <w:szCs w:val="20"/>
                <w:lang w:val="sr-Cyrl-CS"/>
              </w:rPr>
            </w:pPr>
            <w:r w:rsidRPr="00092ED7">
              <w:rPr>
                <w:sz w:val="20"/>
                <w:szCs w:val="20"/>
                <w:lang w:val="sr-Cyrl-CS"/>
              </w:rPr>
              <w:t>у хиљадама</w:t>
            </w:r>
          </w:p>
        </w:tc>
        <w:tc>
          <w:tcPr>
            <w:tcW w:w="1380" w:type="dxa"/>
            <w:gridSpan w:val="3"/>
            <w:tcBorders>
              <w:top w:val="nil"/>
              <w:left w:val="nil"/>
              <w:bottom w:val="dashed" w:sz="4" w:space="0" w:color="auto"/>
              <w:right w:val="dashed" w:sz="4" w:space="0" w:color="auto"/>
            </w:tcBorders>
            <w:shd w:val="clear" w:color="auto" w:fill="auto"/>
            <w:noWrap/>
            <w:vAlign w:val="center"/>
            <w:hideMark/>
          </w:tcPr>
          <w:p w14:paraId="24C9AE86" w14:textId="77777777" w:rsidR="00247CBF" w:rsidRPr="00092ED7" w:rsidRDefault="00247CBF" w:rsidP="00247CBF">
            <w:pPr>
              <w:spacing w:after="0"/>
              <w:jc w:val="right"/>
              <w:rPr>
                <w:sz w:val="20"/>
                <w:szCs w:val="20"/>
                <w:lang w:val="sr-Cyrl-CS"/>
              </w:rPr>
            </w:pPr>
            <w:r w:rsidRPr="00092ED7">
              <w:rPr>
                <w:sz w:val="20"/>
                <w:szCs w:val="20"/>
                <w:lang w:val="sr-Cyrl-CS"/>
              </w:rPr>
              <w:t>2.952</w:t>
            </w:r>
          </w:p>
        </w:tc>
        <w:tc>
          <w:tcPr>
            <w:tcW w:w="1300" w:type="dxa"/>
            <w:gridSpan w:val="4"/>
            <w:tcBorders>
              <w:top w:val="nil"/>
              <w:left w:val="nil"/>
              <w:bottom w:val="dashed" w:sz="4" w:space="0" w:color="auto"/>
              <w:right w:val="dashed" w:sz="4" w:space="0" w:color="auto"/>
            </w:tcBorders>
            <w:shd w:val="clear" w:color="auto" w:fill="auto"/>
            <w:noWrap/>
            <w:vAlign w:val="center"/>
            <w:hideMark/>
          </w:tcPr>
          <w:p w14:paraId="6838FE27" w14:textId="77777777" w:rsidR="00247CBF" w:rsidRPr="00092ED7" w:rsidRDefault="00247CBF" w:rsidP="00247CBF">
            <w:pPr>
              <w:spacing w:after="0"/>
              <w:jc w:val="right"/>
              <w:rPr>
                <w:sz w:val="20"/>
                <w:szCs w:val="20"/>
                <w:lang w:val="sr-Cyrl-CS"/>
              </w:rPr>
            </w:pPr>
            <w:r w:rsidRPr="00092ED7">
              <w:rPr>
                <w:sz w:val="20"/>
                <w:szCs w:val="20"/>
                <w:lang w:val="sr-Cyrl-CS"/>
              </w:rPr>
              <w:t>3.082</w:t>
            </w:r>
          </w:p>
        </w:tc>
        <w:tc>
          <w:tcPr>
            <w:tcW w:w="1360" w:type="dxa"/>
            <w:gridSpan w:val="4"/>
            <w:tcBorders>
              <w:top w:val="nil"/>
              <w:left w:val="nil"/>
              <w:bottom w:val="dashed" w:sz="4" w:space="0" w:color="auto"/>
              <w:right w:val="dashed" w:sz="4" w:space="0" w:color="auto"/>
            </w:tcBorders>
            <w:shd w:val="clear" w:color="auto" w:fill="auto"/>
            <w:noWrap/>
            <w:vAlign w:val="center"/>
            <w:hideMark/>
          </w:tcPr>
          <w:p w14:paraId="6D7B1633" w14:textId="77777777" w:rsidR="00247CBF" w:rsidRPr="00092ED7" w:rsidRDefault="00247CBF" w:rsidP="00247CBF">
            <w:pPr>
              <w:spacing w:after="0"/>
              <w:jc w:val="right"/>
              <w:rPr>
                <w:sz w:val="20"/>
                <w:szCs w:val="20"/>
                <w:lang w:val="sr-Cyrl-CS"/>
              </w:rPr>
            </w:pPr>
            <w:r w:rsidRPr="00092ED7">
              <w:rPr>
                <w:sz w:val="20"/>
                <w:szCs w:val="20"/>
                <w:lang w:val="sr-Cyrl-CS"/>
              </w:rPr>
              <w:t>3.122</w:t>
            </w:r>
          </w:p>
        </w:tc>
        <w:tc>
          <w:tcPr>
            <w:tcW w:w="1260" w:type="dxa"/>
            <w:gridSpan w:val="4"/>
            <w:tcBorders>
              <w:top w:val="nil"/>
              <w:left w:val="nil"/>
              <w:bottom w:val="dashed" w:sz="4" w:space="0" w:color="auto"/>
              <w:right w:val="dashed" w:sz="4" w:space="0" w:color="auto"/>
            </w:tcBorders>
            <w:shd w:val="clear" w:color="auto" w:fill="auto"/>
            <w:noWrap/>
            <w:vAlign w:val="center"/>
            <w:hideMark/>
          </w:tcPr>
          <w:p w14:paraId="260FA248" w14:textId="77777777" w:rsidR="00247CBF" w:rsidRPr="00092ED7" w:rsidRDefault="00247CBF" w:rsidP="00247CBF">
            <w:pPr>
              <w:spacing w:after="0"/>
              <w:jc w:val="right"/>
              <w:rPr>
                <w:sz w:val="20"/>
                <w:szCs w:val="20"/>
                <w:lang w:val="sr-Cyrl-CS"/>
              </w:rPr>
            </w:pPr>
            <w:r w:rsidRPr="00092ED7">
              <w:rPr>
                <w:sz w:val="20"/>
                <w:szCs w:val="20"/>
                <w:lang w:val="sr-Cyrl-CS"/>
              </w:rPr>
              <w:t>3.127</w:t>
            </w:r>
          </w:p>
        </w:tc>
        <w:tc>
          <w:tcPr>
            <w:tcW w:w="1260" w:type="dxa"/>
            <w:gridSpan w:val="3"/>
            <w:tcBorders>
              <w:top w:val="nil"/>
              <w:left w:val="nil"/>
              <w:bottom w:val="dashed" w:sz="4" w:space="0" w:color="auto"/>
              <w:right w:val="dashed" w:sz="4" w:space="0" w:color="auto"/>
            </w:tcBorders>
            <w:shd w:val="clear" w:color="auto" w:fill="auto"/>
            <w:noWrap/>
            <w:vAlign w:val="center"/>
            <w:hideMark/>
          </w:tcPr>
          <w:p w14:paraId="40D17275" w14:textId="77777777" w:rsidR="00247CBF" w:rsidRPr="00092ED7" w:rsidRDefault="00247CBF" w:rsidP="00247CBF">
            <w:pPr>
              <w:spacing w:after="0"/>
              <w:jc w:val="right"/>
              <w:rPr>
                <w:sz w:val="20"/>
                <w:szCs w:val="20"/>
                <w:lang w:val="sr-Cyrl-CS"/>
              </w:rPr>
            </w:pPr>
            <w:r w:rsidRPr="00092ED7">
              <w:rPr>
                <w:sz w:val="20"/>
                <w:szCs w:val="20"/>
                <w:lang w:val="sr-Cyrl-CS"/>
              </w:rPr>
              <w:t>3.139</w:t>
            </w:r>
          </w:p>
        </w:tc>
        <w:tc>
          <w:tcPr>
            <w:tcW w:w="1268" w:type="dxa"/>
            <w:gridSpan w:val="3"/>
            <w:tcBorders>
              <w:top w:val="nil"/>
              <w:left w:val="nil"/>
              <w:bottom w:val="dashed" w:sz="4" w:space="0" w:color="auto"/>
              <w:right w:val="double" w:sz="4" w:space="0" w:color="auto"/>
            </w:tcBorders>
            <w:shd w:val="clear" w:color="auto" w:fill="auto"/>
            <w:noWrap/>
            <w:vAlign w:val="center"/>
            <w:hideMark/>
          </w:tcPr>
          <w:p w14:paraId="3E20C53A" w14:textId="77777777" w:rsidR="00247CBF" w:rsidRPr="00092ED7" w:rsidRDefault="00247CBF" w:rsidP="00247CBF">
            <w:pPr>
              <w:spacing w:after="0"/>
              <w:jc w:val="right"/>
              <w:rPr>
                <w:sz w:val="20"/>
                <w:szCs w:val="20"/>
                <w:lang w:val="sr-Cyrl-CS"/>
              </w:rPr>
            </w:pPr>
            <w:r w:rsidRPr="00092ED7">
              <w:rPr>
                <w:sz w:val="20"/>
                <w:szCs w:val="20"/>
                <w:lang w:val="sr-Cyrl-CS"/>
              </w:rPr>
              <w:t>3.153</w:t>
            </w:r>
          </w:p>
        </w:tc>
      </w:tr>
      <w:tr w:rsidR="00247CBF" w:rsidRPr="00092ED7" w14:paraId="2C51838D" w14:textId="77777777" w:rsidTr="00247CBF">
        <w:trPr>
          <w:gridAfter w:val="3"/>
          <w:wAfter w:w="365" w:type="dxa"/>
          <w:trHeight w:val="255"/>
        </w:trPr>
        <w:tc>
          <w:tcPr>
            <w:tcW w:w="4962" w:type="dxa"/>
            <w:gridSpan w:val="3"/>
            <w:tcBorders>
              <w:top w:val="nil"/>
              <w:left w:val="double" w:sz="6" w:space="0" w:color="auto"/>
              <w:bottom w:val="dashed" w:sz="4" w:space="0" w:color="auto"/>
              <w:right w:val="nil"/>
            </w:tcBorders>
            <w:shd w:val="clear" w:color="auto" w:fill="auto"/>
            <w:hideMark/>
          </w:tcPr>
          <w:p w14:paraId="15F8AA5C" w14:textId="77777777" w:rsidR="00247CBF" w:rsidRPr="00092ED7" w:rsidRDefault="00247CBF" w:rsidP="00247CBF">
            <w:pPr>
              <w:spacing w:after="0"/>
              <w:rPr>
                <w:rFonts w:eastAsia="Times New Roman" w:cs="Times New Roman"/>
                <w:sz w:val="20"/>
                <w:szCs w:val="20"/>
                <w:u w:val="single"/>
                <w:lang w:val="sr-Cyrl-CS"/>
              </w:rPr>
            </w:pPr>
            <w:r w:rsidRPr="00092ED7">
              <w:rPr>
                <w:rFonts w:eastAsia="Times New Roman" w:cs="Times New Roman"/>
                <w:sz w:val="20"/>
                <w:szCs w:val="20"/>
                <w:u w:val="single"/>
                <w:lang w:val="sr-Cyrl-CS"/>
              </w:rPr>
              <w:t>5. Запосленост, број лица [2]</w:t>
            </w:r>
          </w:p>
        </w:tc>
        <w:tc>
          <w:tcPr>
            <w:tcW w:w="1447" w:type="dxa"/>
            <w:gridSpan w:val="3"/>
            <w:tcBorders>
              <w:top w:val="nil"/>
              <w:left w:val="single" w:sz="8" w:space="0" w:color="auto"/>
              <w:bottom w:val="dashed" w:sz="4" w:space="0" w:color="auto"/>
              <w:right w:val="single" w:sz="8" w:space="0" w:color="auto"/>
            </w:tcBorders>
            <w:shd w:val="clear" w:color="auto" w:fill="auto"/>
            <w:noWrap/>
            <w:vAlign w:val="center"/>
            <w:hideMark/>
          </w:tcPr>
          <w:p w14:paraId="7FAC360D" w14:textId="77777777" w:rsidR="00247CBF" w:rsidRPr="00092ED7" w:rsidRDefault="00247CBF" w:rsidP="00247CBF">
            <w:pPr>
              <w:spacing w:after="0"/>
              <w:jc w:val="center"/>
              <w:rPr>
                <w:sz w:val="20"/>
                <w:szCs w:val="20"/>
                <w:lang w:val="sr-Cyrl-CS"/>
              </w:rPr>
            </w:pPr>
            <w:r w:rsidRPr="00092ED7">
              <w:rPr>
                <w:sz w:val="20"/>
                <w:szCs w:val="20"/>
                <w:lang w:val="sr-Cyrl-CS"/>
              </w:rPr>
              <w:t>у хиљадама</w:t>
            </w:r>
          </w:p>
        </w:tc>
        <w:tc>
          <w:tcPr>
            <w:tcW w:w="1380" w:type="dxa"/>
            <w:gridSpan w:val="3"/>
            <w:tcBorders>
              <w:top w:val="nil"/>
              <w:left w:val="nil"/>
              <w:bottom w:val="dashed" w:sz="4" w:space="0" w:color="auto"/>
              <w:right w:val="dashed" w:sz="4" w:space="0" w:color="auto"/>
            </w:tcBorders>
            <w:shd w:val="clear" w:color="auto" w:fill="auto"/>
            <w:noWrap/>
            <w:vAlign w:val="center"/>
            <w:hideMark/>
          </w:tcPr>
          <w:p w14:paraId="0CA29E7E" w14:textId="77777777" w:rsidR="00247CBF" w:rsidRPr="00092ED7" w:rsidRDefault="00247CBF" w:rsidP="00247CBF">
            <w:pPr>
              <w:spacing w:after="0"/>
              <w:jc w:val="right"/>
              <w:rPr>
                <w:sz w:val="20"/>
                <w:szCs w:val="20"/>
                <w:lang w:val="sr-Cyrl-CS"/>
              </w:rPr>
            </w:pPr>
            <w:r w:rsidRPr="00092ED7">
              <w:rPr>
                <w:sz w:val="20"/>
                <w:szCs w:val="20"/>
                <w:lang w:val="sr-Cyrl-CS"/>
              </w:rPr>
              <w:t>2.654</w:t>
            </w:r>
          </w:p>
        </w:tc>
        <w:tc>
          <w:tcPr>
            <w:tcW w:w="1300" w:type="dxa"/>
            <w:gridSpan w:val="4"/>
            <w:tcBorders>
              <w:top w:val="nil"/>
              <w:left w:val="nil"/>
              <w:bottom w:val="dashed" w:sz="4" w:space="0" w:color="auto"/>
              <w:right w:val="dashed" w:sz="4" w:space="0" w:color="auto"/>
            </w:tcBorders>
            <w:shd w:val="clear" w:color="auto" w:fill="auto"/>
            <w:noWrap/>
            <w:vAlign w:val="center"/>
            <w:hideMark/>
          </w:tcPr>
          <w:p w14:paraId="55A6EE5C" w14:textId="77777777" w:rsidR="00247CBF" w:rsidRPr="00092ED7" w:rsidRDefault="00247CBF" w:rsidP="00247CBF">
            <w:pPr>
              <w:spacing w:after="0"/>
              <w:jc w:val="right"/>
              <w:rPr>
                <w:sz w:val="20"/>
                <w:szCs w:val="20"/>
                <w:lang w:val="sr-Cyrl-CS"/>
              </w:rPr>
            </w:pPr>
            <w:r w:rsidRPr="00092ED7">
              <w:rPr>
                <w:sz w:val="20"/>
                <w:szCs w:val="20"/>
                <w:lang w:val="sr-Cyrl-CS"/>
              </w:rPr>
              <w:t>2.731</w:t>
            </w:r>
          </w:p>
        </w:tc>
        <w:tc>
          <w:tcPr>
            <w:tcW w:w="1360" w:type="dxa"/>
            <w:gridSpan w:val="4"/>
            <w:tcBorders>
              <w:top w:val="nil"/>
              <w:left w:val="nil"/>
              <w:bottom w:val="dashed" w:sz="4" w:space="0" w:color="auto"/>
              <w:right w:val="dashed" w:sz="4" w:space="0" w:color="auto"/>
            </w:tcBorders>
            <w:shd w:val="clear" w:color="auto" w:fill="auto"/>
            <w:noWrap/>
            <w:vAlign w:val="center"/>
            <w:hideMark/>
          </w:tcPr>
          <w:p w14:paraId="00132E2C" w14:textId="77777777" w:rsidR="00247CBF" w:rsidRPr="00092ED7" w:rsidRDefault="00247CBF" w:rsidP="00247CBF">
            <w:pPr>
              <w:spacing w:after="0"/>
              <w:jc w:val="right"/>
              <w:rPr>
                <w:sz w:val="20"/>
                <w:szCs w:val="20"/>
                <w:lang w:val="sr-Cyrl-CS"/>
              </w:rPr>
            </w:pPr>
            <w:r w:rsidRPr="00092ED7">
              <w:rPr>
                <w:sz w:val="20"/>
                <w:szCs w:val="20"/>
                <w:lang w:val="sr-Cyrl-CS"/>
              </w:rPr>
              <w:t>2.813</w:t>
            </w:r>
          </w:p>
        </w:tc>
        <w:tc>
          <w:tcPr>
            <w:tcW w:w="1260" w:type="dxa"/>
            <w:gridSpan w:val="4"/>
            <w:tcBorders>
              <w:top w:val="nil"/>
              <w:left w:val="nil"/>
              <w:bottom w:val="dashed" w:sz="4" w:space="0" w:color="auto"/>
              <w:right w:val="dashed" w:sz="4" w:space="0" w:color="auto"/>
            </w:tcBorders>
            <w:shd w:val="clear" w:color="auto" w:fill="auto"/>
            <w:noWrap/>
            <w:vAlign w:val="center"/>
            <w:hideMark/>
          </w:tcPr>
          <w:p w14:paraId="7ADEECED" w14:textId="77777777" w:rsidR="00247CBF" w:rsidRPr="00092ED7" w:rsidRDefault="00247CBF" w:rsidP="00247CBF">
            <w:pPr>
              <w:spacing w:after="0"/>
              <w:jc w:val="right"/>
              <w:rPr>
                <w:sz w:val="20"/>
                <w:szCs w:val="20"/>
                <w:lang w:val="sr-Cyrl-CS"/>
              </w:rPr>
            </w:pPr>
            <w:r w:rsidRPr="00092ED7">
              <w:rPr>
                <w:sz w:val="20"/>
                <w:szCs w:val="20"/>
                <w:lang w:val="sr-Cyrl-CS"/>
              </w:rPr>
              <w:t>2.829</w:t>
            </w:r>
          </w:p>
        </w:tc>
        <w:tc>
          <w:tcPr>
            <w:tcW w:w="1260" w:type="dxa"/>
            <w:gridSpan w:val="3"/>
            <w:tcBorders>
              <w:top w:val="nil"/>
              <w:left w:val="nil"/>
              <w:bottom w:val="dashed" w:sz="4" w:space="0" w:color="auto"/>
              <w:right w:val="dashed" w:sz="4" w:space="0" w:color="auto"/>
            </w:tcBorders>
            <w:shd w:val="clear" w:color="auto" w:fill="auto"/>
            <w:noWrap/>
            <w:vAlign w:val="center"/>
            <w:hideMark/>
          </w:tcPr>
          <w:p w14:paraId="553440FA" w14:textId="77777777" w:rsidR="00247CBF" w:rsidRPr="00092ED7" w:rsidRDefault="00247CBF" w:rsidP="00247CBF">
            <w:pPr>
              <w:spacing w:after="0"/>
              <w:jc w:val="right"/>
              <w:rPr>
                <w:sz w:val="20"/>
                <w:szCs w:val="20"/>
                <w:lang w:val="sr-Cyrl-CS"/>
              </w:rPr>
            </w:pPr>
            <w:r w:rsidRPr="00092ED7">
              <w:rPr>
                <w:sz w:val="20"/>
                <w:szCs w:val="20"/>
                <w:lang w:val="sr-Cyrl-CS"/>
              </w:rPr>
              <w:t>2.858</w:t>
            </w:r>
          </w:p>
        </w:tc>
        <w:tc>
          <w:tcPr>
            <w:tcW w:w="1268" w:type="dxa"/>
            <w:gridSpan w:val="3"/>
            <w:tcBorders>
              <w:top w:val="nil"/>
              <w:left w:val="nil"/>
              <w:bottom w:val="dashed" w:sz="4" w:space="0" w:color="auto"/>
              <w:right w:val="double" w:sz="4" w:space="0" w:color="auto"/>
            </w:tcBorders>
            <w:shd w:val="clear" w:color="auto" w:fill="auto"/>
            <w:noWrap/>
            <w:vAlign w:val="center"/>
            <w:hideMark/>
          </w:tcPr>
          <w:p w14:paraId="50AD8844" w14:textId="77777777" w:rsidR="00247CBF" w:rsidRPr="00092ED7" w:rsidRDefault="00247CBF" w:rsidP="00247CBF">
            <w:pPr>
              <w:spacing w:after="0"/>
              <w:jc w:val="right"/>
              <w:rPr>
                <w:sz w:val="20"/>
                <w:szCs w:val="20"/>
                <w:lang w:val="sr-Cyrl-CS"/>
              </w:rPr>
            </w:pPr>
            <w:r w:rsidRPr="00092ED7">
              <w:rPr>
                <w:sz w:val="20"/>
                <w:szCs w:val="20"/>
                <w:lang w:val="sr-Cyrl-CS"/>
              </w:rPr>
              <w:t>2.891</w:t>
            </w:r>
          </w:p>
        </w:tc>
      </w:tr>
      <w:tr w:rsidR="00247CBF" w:rsidRPr="00092ED7" w14:paraId="41051A77" w14:textId="77777777" w:rsidTr="00247CBF">
        <w:trPr>
          <w:gridAfter w:val="3"/>
          <w:wAfter w:w="365" w:type="dxa"/>
          <w:trHeight w:val="255"/>
        </w:trPr>
        <w:tc>
          <w:tcPr>
            <w:tcW w:w="4962" w:type="dxa"/>
            <w:gridSpan w:val="3"/>
            <w:tcBorders>
              <w:top w:val="nil"/>
              <w:left w:val="double" w:sz="6" w:space="0" w:color="auto"/>
              <w:bottom w:val="dashed" w:sz="4" w:space="0" w:color="auto"/>
              <w:right w:val="nil"/>
            </w:tcBorders>
            <w:shd w:val="clear" w:color="auto" w:fill="auto"/>
            <w:vAlign w:val="center"/>
            <w:hideMark/>
          </w:tcPr>
          <w:p w14:paraId="4E3092CF"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6. Запосленост, часови рада[3]</w:t>
            </w:r>
          </w:p>
        </w:tc>
        <w:tc>
          <w:tcPr>
            <w:tcW w:w="1447" w:type="dxa"/>
            <w:gridSpan w:val="3"/>
            <w:tcBorders>
              <w:top w:val="nil"/>
              <w:left w:val="single" w:sz="8" w:space="0" w:color="auto"/>
              <w:bottom w:val="dashed" w:sz="4" w:space="0" w:color="auto"/>
              <w:right w:val="single" w:sz="8" w:space="0" w:color="auto"/>
            </w:tcBorders>
            <w:shd w:val="clear" w:color="auto" w:fill="auto"/>
            <w:noWrap/>
            <w:vAlign w:val="center"/>
            <w:hideMark/>
          </w:tcPr>
          <w:p w14:paraId="387D0031" w14:textId="77777777" w:rsidR="00247CBF" w:rsidRPr="00092ED7" w:rsidRDefault="00247CBF" w:rsidP="00247CBF">
            <w:pPr>
              <w:spacing w:after="0"/>
              <w:jc w:val="center"/>
              <w:rPr>
                <w:sz w:val="20"/>
                <w:szCs w:val="20"/>
                <w:lang w:val="sr-Cyrl-CS"/>
              </w:rPr>
            </w:pPr>
            <w:r w:rsidRPr="00092ED7">
              <w:rPr>
                <w:sz w:val="20"/>
                <w:szCs w:val="20"/>
                <w:lang w:val="sr-Cyrl-CS"/>
              </w:rPr>
              <w:t>у хиљадама</w:t>
            </w:r>
          </w:p>
        </w:tc>
        <w:tc>
          <w:tcPr>
            <w:tcW w:w="1380" w:type="dxa"/>
            <w:gridSpan w:val="3"/>
            <w:tcBorders>
              <w:top w:val="nil"/>
              <w:left w:val="nil"/>
              <w:bottom w:val="dashed" w:sz="4" w:space="0" w:color="auto"/>
              <w:right w:val="dashed" w:sz="4" w:space="0" w:color="auto"/>
            </w:tcBorders>
            <w:shd w:val="clear" w:color="auto" w:fill="auto"/>
            <w:noWrap/>
            <w:vAlign w:val="center"/>
            <w:hideMark/>
          </w:tcPr>
          <w:p w14:paraId="2E7D2E58"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300" w:type="dxa"/>
            <w:gridSpan w:val="4"/>
            <w:tcBorders>
              <w:top w:val="nil"/>
              <w:left w:val="nil"/>
              <w:bottom w:val="dashed" w:sz="4" w:space="0" w:color="auto"/>
              <w:right w:val="dashed" w:sz="4" w:space="0" w:color="auto"/>
            </w:tcBorders>
            <w:shd w:val="clear" w:color="auto" w:fill="auto"/>
            <w:noWrap/>
            <w:vAlign w:val="center"/>
            <w:hideMark/>
          </w:tcPr>
          <w:p w14:paraId="1367B7F1"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360" w:type="dxa"/>
            <w:gridSpan w:val="4"/>
            <w:tcBorders>
              <w:top w:val="nil"/>
              <w:left w:val="nil"/>
              <w:bottom w:val="dashed" w:sz="4" w:space="0" w:color="auto"/>
              <w:right w:val="dashed" w:sz="4" w:space="0" w:color="auto"/>
            </w:tcBorders>
            <w:shd w:val="clear" w:color="auto" w:fill="auto"/>
            <w:noWrap/>
            <w:vAlign w:val="center"/>
            <w:hideMark/>
          </w:tcPr>
          <w:p w14:paraId="0D086774"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260" w:type="dxa"/>
            <w:gridSpan w:val="4"/>
            <w:tcBorders>
              <w:top w:val="nil"/>
              <w:left w:val="nil"/>
              <w:bottom w:val="dashed" w:sz="4" w:space="0" w:color="auto"/>
              <w:right w:val="dashed" w:sz="4" w:space="0" w:color="auto"/>
            </w:tcBorders>
            <w:shd w:val="clear" w:color="auto" w:fill="auto"/>
            <w:noWrap/>
            <w:vAlign w:val="center"/>
            <w:hideMark/>
          </w:tcPr>
          <w:p w14:paraId="16758AE2"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260" w:type="dxa"/>
            <w:gridSpan w:val="3"/>
            <w:tcBorders>
              <w:top w:val="nil"/>
              <w:left w:val="nil"/>
              <w:bottom w:val="dashed" w:sz="4" w:space="0" w:color="auto"/>
              <w:right w:val="dashed" w:sz="4" w:space="0" w:color="auto"/>
            </w:tcBorders>
            <w:shd w:val="clear" w:color="auto" w:fill="auto"/>
            <w:noWrap/>
            <w:vAlign w:val="center"/>
            <w:hideMark/>
          </w:tcPr>
          <w:p w14:paraId="365DCD5B"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268" w:type="dxa"/>
            <w:gridSpan w:val="3"/>
            <w:tcBorders>
              <w:top w:val="nil"/>
              <w:left w:val="nil"/>
              <w:bottom w:val="dashed" w:sz="4" w:space="0" w:color="auto"/>
              <w:right w:val="double" w:sz="4" w:space="0" w:color="auto"/>
            </w:tcBorders>
            <w:shd w:val="clear" w:color="auto" w:fill="auto"/>
            <w:noWrap/>
            <w:vAlign w:val="center"/>
            <w:hideMark/>
          </w:tcPr>
          <w:p w14:paraId="479BD9F3" w14:textId="77777777" w:rsidR="00247CBF" w:rsidRPr="00092ED7" w:rsidRDefault="00247CBF" w:rsidP="00247CBF">
            <w:pPr>
              <w:spacing w:after="0"/>
              <w:jc w:val="right"/>
              <w:rPr>
                <w:sz w:val="20"/>
                <w:szCs w:val="20"/>
                <w:lang w:val="sr-Cyrl-CS"/>
              </w:rPr>
            </w:pPr>
            <w:r w:rsidRPr="00092ED7">
              <w:rPr>
                <w:sz w:val="20"/>
                <w:szCs w:val="20"/>
                <w:lang w:val="sr-Cyrl-CS"/>
              </w:rPr>
              <w:t> </w:t>
            </w:r>
          </w:p>
        </w:tc>
      </w:tr>
      <w:tr w:rsidR="00247CBF" w:rsidRPr="00092ED7" w14:paraId="1B1A37C7" w14:textId="77777777" w:rsidTr="00247CBF">
        <w:trPr>
          <w:gridAfter w:val="3"/>
          <w:wAfter w:w="365" w:type="dxa"/>
          <w:trHeight w:val="255"/>
        </w:trPr>
        <w:tc>
          <w:tcPr>
            <w:tcW w:w="4962" w:type="dxa"/>
            <w:gridSpan w:val="3"/>
            <w:tcBorders>
              <w:top w:val="nil"/>
              <w:left w:val="double" w:sz="6" w:space="0" w:color="auto"/>
              <w:bottom w:val="dashed" w:sz="4" w:space="0" w:color="auto"/>
              <w:right w:val="nil"/>
            </w:tcBorders>
            <w:shd w:val="clear" w:color="auto" w:fill="auto"/>
            <w:hideMark/>
          </w:tcPr>
          <w:p w14:paraId="7BD5233D"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8. Запосленост у јавном сектору (број лица)</w:t>
            </w:r>
          </w:p>
        </w:tc>
        <w:tc>
          <w:tcPr>
            <w:tcW w:w="1447" w:type="dxa"/>
            <w:gridSpan w:val="3"/>
            <w:tcBorders>
              <w:top w:val="nil"/>
              <w:left w:val="single" w:sz="8" w:space="0" w:color="auto"/>
              <w:bottom w:val="dashed" w:sz="4" w:space="0" w:color="auto"/>
              <w:right w:val="single" w:sz="8" w:space="0" w:color="auto"/>
            </w:tcBorders>
            <w:shd w:val="clear" w:color="auto" w:fill="auto"/>
            <w:noWrap/>
            <w:vAlign w:val="center"/>
            <w:hideMark/>
          </w:tcPr>
          <w:p w14:paraId="3AB5DD76" w14:textId="77777777" w:rsidR="00247CBF" w:rsidRPr="00092ED7" w:rsidRDefault="00247CBF" w:rsidP="00247CBF">
            <w:pPr>
              <w:spacing w:after="0"/>
              <w:jc w:val="center"/>
              <w:rPr>
                <w:sz w:val="20"/>
                <w:szCs w:val="20"/>
                <w:lang w:val="sr-Cyrl-CS"/>
              </w:rPr>
            </w:pPr>
            <w:r w:rsidRPr="00092ED7">
              <w:rPr>
                <w:sz w:val="20"/>
                <w:szCs w:val="20"/>
                <w:lang w:val="sr-Cyrl-CS"/>
              </w:rPr>
              <w:t>у хиљадама</w:t>
            </w:r>
          </w:p>
        </w:tc>
        <w:tc>
          <w:tcPr>
            <w:tcW w:w="1380" w:type="dxa"/>
            <w:gridSpan w:val="3"/>
            <w:tcBorders>
              <w:top w:val="nil"/>
              <w:left w:val="nil"/>
              <w:bottom w:val="dashed" w:sz="4" w:space="0" w:color="auto"/>
              <w:right w:val="dashed" w:sz="4" w:space="0" w:color="auto"/>
            </w:tcBorders>
            <w:shd w:val="clear" w:color="auto" w:fill="auto"/>
            <w:noWrap/>
            <w:vAlign w:val="center"/>
            <w:hideMark/>
          </w:tcPr>
          <w:p w14:paraId="6DFDCCE9"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300" w:type="dxa"/>
            <w:gridSpan w:val="4"/>
            <w:tcBorders>
              <w:top w:val="nil"/>
              <w:left w:val="nil"/>
              <w:bottom w:val="dashed" w:sz="4" w:space="0" w:color="auto"/>
              <w:right w:val="dashed" w:sz="4" w:space="0" w:color="auto"/>
            </w:tcBorders>
            <w:shd w:val="clear" w:color="auto" w:fill="auto"/>
            <w:noWrap/>
            <w:vAlign w:val="center"/>
            <w:hideMark/>
          </w:tcPr>
          <w:p w14:paraId="3CAAE6B4"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360" w:type="dxa"/>
            <w:gridSpan w:val="4"/>
            <w:tcBorders>
              <w:top w:val="nil"/>
              <w:left w:val="nil"/>
              <w:bottom w:val="dashed" w:sz="4" w:space="0" w:color="auto"/>
              <w:right w:val="dashed" w:sz="4" w:space="0" w:color="auto"/>
            </w:tcBorders>
            <w:shd w:val="clear" w:color="auto" w:fill="auto"/>
            <w:noWrap/>
            <w:vAlign w:val="center"/>
            <w:hideMark/>
          </w:tcPr>
          <w:p w14:paraId="03615C23"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260" w:type="dxa"/>
            <w:gridSpan w:val="4"/>
            <w:tcBorders>
              <w:top w:val="nil"/>
              <w:left w:val="nil"/>
              <w:bottom w:val="dashed" w:sz="4" w:space="0" w:color="auto"/>
              <w:right w:val="dashed" w:sz="4" w:space="0" w:color="auto"/>
            </w:tcBorders>
            <w:shd w:val="clear" w:color="auto" w:fill="auto"/>
            <w:noWrap/>
            <w:vAlign w:val="center"/>
            <w:hideMark/>
          </w:tcPr>
          <w:p w14:paraId="49186EE6"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260" w:type="dxa"/>
            <w:gridSpan w:val="3"/>
            <w:tcBorders>
              <w:top w:val="nil"/>
              <w:left w:val="nil"/>
              <w:bottom w:val="dashed" w:sz="4" w:space="0" w:color="auto"/>
              <w:right w:val="dashed" w:sz="4" w:space="0" w:color="auto"/>
            </w:tcBorders>
            <w:shd w:val="clear" w:color="auto" w:fill="auto"/>
            <w:noWrap/>
            <w:vAlign w:val="center"/>
            <w:hideMark/>
          </w:tcPr>
          <w:p w14:paraId="496352A2"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268" w:type="dxa"/>
            <w:gridSpan w:val="3"/>
            <w:tcBorders>
              <w:top w:val="nil"/>
              <w:left w:val="nil"/>
              <w:bottom w:val="dashed" w:sz="4" w:space="0" w:color="auto"/>
              <w:right w:val="double" w:sz="4" w:space="0" w:color="auto"/>
            </w:tcBorders>
            <w:shd w:val="clear" w:color="auto" w:fill="auto"/>
            <w:noWrap/>
            <w:vAlign w:val="center"/>
            <w:hideMark/>
          </w:tcPr>
          <w:p w14:paraId="0265EBF8" w14:textId="77777777" w:rsidR="00247CBF" w:rsidRPr="00092ED7" w:rsidRDefault="00247CBF" w:rsidP="00247CBF">
            <w:pPr>
              <w:spacing w:after="0"/>
              <w:jc w:val="right"/>
              <w:rPr>
                <w:sz w:val="20"/>
                <w:szCs w:val="20"/>
                <w:lang w:val="sr-Cyrl-CS"/>
              </w:rPr>
            </w:pPr>
            <w:r w:rsidRPr="00092ED7">
              <w:rPr>
                <w:sz w:val="20"/>
                <w:szCs w:val="20"/>
                <w:lang w:val="sr-Cyrl-CS"/>
              </w:rPr>
              <w:t> </w:t>
            </w:r>
          </w:p>
        </w:tc>
      </w:tr>
      <w:tr w:rsidR="00247CBF" w:rsidRPr="00092ED7" w14:paraId="6382BC3E" w14:textId="77777777" w:rsidTr="00247CBF">
        <w:trPr>
          <w:gridAfter w:val="3"/>
          <w:wAfter w:w="365" w:type="dxa"/>
          <w:trHeight w:val="270"/>
        </w:trPr>
        <w:tc>
          <w:tcPr>
            <w:tcW w:w="4962" w:type="dxa"/>
            <w:gridSpan w:val="3"/>
            <w:tcBorders>
              <w:top w:val="nil"/>
              <w:left w:val="double" w:sz="6" w:space="0" w:color="auto"/>
              <w:bottom w:val="nil"/>
              <w:right w:val="nil"/>
            </w:tcBorders>
            <w:shd w:val="clear" w:color="auto" w:fill="auto"/>
            <w:hideMark/>
          </w:tcPr>
          <w:p w14:paraId="57DA86FD"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13. Зараде и накнаде запосленима</w:t>
            </w:r>
          </w:p>
        </w:tc>
        <w:tc>
          <w:tcPr>
            <w:tcW w:w="1447" w:type="dxa"/>
            <w:gridSpan w:val="3"/>
            <w:tcBorders>
              <w:top w:val="nil"/>
              <w:left w:val="single" w:sz="8" w:space="0" w:color="auto"/>
              <w:bottom w:val="nil"/>
              <w:right w:val="single" w:sz="8" w:space="0" w:color="auto"/>
            </w:tcBorders>
            <w:shd w:val="clear" w:color="auto" w:fill="auto"/>
            <w:noWrap/>
            <w:vAlign w:val="center"/>
            <w:hideMark/>
          </w:tcPr>
          <w:p w14:paraId="75798381" w14:textId="77777777" w:rsidR="00247CBF" w:rsidRPr="00092ED7" w:rsidRDefault="00247CBF" w:rsidP="00247CBF">
            <w:pPr>
              <w:spacing w:after="0"/>
              <w:jc w:val="center"/>
              <w:rPr>
                <w:sz w:val="20"/>
                <w:szCs w:val="20"/>
                <w:lang w:val="sr-Cyrl-CS"/>
              </w:rPr>
            </w:pPr>
            <w:r w:rsidRPr="00092ED7">
              <w:rPr>
                <w:sz w:val="20"/>
                <w:szCs w:val="20"/>
                <w:lang w:val="sr-Cyrl-CS"/>
              </w:rPr>
              <w:t>млрд РСД</w:t>
            </w:r>
          </w:p>
        </w:tc>
        <w:tc>
          <w:tcPr>
            <w:tcW w:w="1380" w:type="dxa"/>
            <w:gridSpan w:val="3"/>
            <w:tcBorders>
              <w:top w:val="nil"/>
              <w:left w:val="nil"/>
              <w:bottom w:val="nil"/>
              <w:right w:val="dashed" w:sz="4" w:space="0" w:color="auto"/>
            </w:tcBorders>
            <w:shd w:val="clear" w:color="auto" w:fill="auto"/>
            <w:noWrap/>
            <w:vAlign w:val="center"/>
            <w:hideMark/>
          </w:tcPr>
          <w:p w14:paraId="51B6E5C5"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300" w:type="dxa"/>
            <w:gridSpan w:val="4"/>
            <w:tcBorders>
              <w:top w:val="nil"/>
              <w:left w:val="nil"/>
              <w:bottom w:val="nil"/>
              <w:right w:val="dashed" w:sz="4" w:space="0" w:color="auto"/>
            </w:tcBorders>
            <w:shd w:val="clear" w:color="auto" w:fill="auto"/>
            <w:noWrap/>
            <w:vAlign w:val="center"/>
            <w:hideMark/>
          </w:tcPr>
          <w:p w14:paraId="7099A4C9"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360" w:type="dxa"/>
            <w:gridSpan w:val="4"/>
            <w:tcBorders>
              <w:top w:val="nil"/>
              <w:left w:val="nil"/>
              <w:bottom w:val="nil"/>
              <w:right w:val="dashed" w:sz="4" w:space="0" w:color="auto"/>
            </w:tcBorders>
            <w:shd w:val="clear" w:color="auto" w:fill="auto"/>
            <w:noWrap/>
            <w:vAlign w:val="center"/>
            <w:hideMark/>
          </w:tcPr>
          <w:p w14:paraId="51539447"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260" w:type="dxa"/>
            <w:gridSpan w:val="4"/>
            <w:tcBorders>
              <w:top w:val="nil"/>
              <w:left w:val="nil"/>
              <w:bottom w:val="nil"/>
              <w:right w:val="dashed" w:sz="4" w:space="0" w:color="auto"/>
            </w:tcBorders>
            <w:shd w:val="clear" w:color="auto" w:fill="auto"/>
            <w:noWrap/>
            <w:vAlign w:val="center"/>
            <w:hideMark/>
          </w:tcPr>
          <w:p w14:paraId="0E6C38F2"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260" w:type="dxa"/>
            <w:gridSpan w:val="3"/>
            <w:tcBorders>
              <w:top w:val="nil"/>
              <w:left w:val="nil"/>
              <w:bottom w:val="nil"/>
              <w:right w:val="dashed" w:sz="4" w:space="0" w:color="auto"/>
            </w:tcBorders>
            <w:shd w:val="clear" w:color="auto" w:fill="auto"/>
            <w:noWrap/>
            <w:vAlign w:val="center"/>
            <w:hideMark/>
          </w:tcPr>
          <w:p w14:paraId="68D14486"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268" w:type="dxa"/>
            <w:gridSpan w:val="3"/>
            <w:tcBorders>
              <w:top w:val="nil"/>
              <w:left w:val="nil"/>
              <w:bottom w:val="nil"/>
              <w:right w:val="double" w:sz="4" w:space="0" w:color="auto"/>
            </w:tcBorders>
            <w:shd w:val="clear" w:color="auto" w:fill="auto"/>
            <w:noWrap/>
            <w:vAlign w:val="center"/>
            <w:hideMark/>
          </w:tcPr>
          <w:p w14:paraId="3F3EB3C1" w14:textId="77777777" w:rsidR="00247CBF" w:rsidRPr="00092ED7" w:rsidRDefault="00247CBF" w:rsidP="00247CBF">
            <w:pPr>
              <w:spacing w:after="0"/>
              <w:jc w:val="right"/>
              <w:rPr>
                <w:sz w:val="20"/>
                <w:szCs w:val="20"/>
                <w:lang w:val="sr-Cyrl-CS"/>
              </w:rPr>
            </w:pPr>
            <w:r w:rsidRPr="00092ED7">
              <w:rPr>
                <w:sz w:val="20"/>
                <w:szCs w:val="20"/>
                <w:lang w:val="sr-Cyrl-CS"/>
              </w:rPr>
              <w:t> </w:t>
            </w:r>
          </w:p>
        </w:tc>
      </w:tr>
      <w:tr w:rsidR="00247CBF" w:rsidRPr="00092ED7" w14:paraId="0BB229CE" w14:textId="77777777" w:rsidTr="00247CBF">
        <w:trPr>
          <w:gridAfter w:val="3"/>
          <w:wAfter w:w="365" w:type="dxa"/>
          <w:trHeight w:val="270"/>
        </w:trPr>
        <w:tc>
          <w:tcPr>
            <w:tcW w:w="4962" w:type="dxa"/>
            <w:gridSpan w:val="3"/>
            <w:tcBorders>
              <w:top w:val="single" w:sz="8" w:space="0" w:color="auto"/>
              <w:left w:val="double" w:sz="6" w:space="0" w:color="auto"/>
              <w:bottom w:val="single" w:sz="8" w:space="0" w:color="auto"/>
              <w:right w:val="nil"/>
            </w:tcBorders>
            <w:shd w:val="clear" w:color="auto" w:fill="auto"/>
            <w:noWrap/>
            <w:vAlign w:val="center"/>
            <w:hideMark/>
          </w:tcPr>
          <w:p w14:paraId="297C7B27" w14:textId="77777777" w:rsidR="00247CBF" w:rsidRPr="00092ED7" w:rsidRDefault="00247CBF" w:rsidP="00247CBF">
            <w:pPr>
              <w:spacing w:after="0"/>
              <w:jc w:val="center"/>
              <w:rPr>
                <w:rFonts w:eastAsia="Times New Roman" w:cs="Times New Roman"/>
                <w:b/>
                <w:bCs/>
                <w:sz w:val="20"/>
                <w:szCs w:val="20"/>
                <w:lang w:val="sr-Cyrl-CS"/>
              </w:rPr>
            </w:pPr>
            <w:r w:rsidRPr="00092ED7">
              <w:rPr>
                <w:rFonts w:eastAsia="Times New Roman" w:cs="Times New Roman"/>
                <w:b/>
                <w:bCs/>
                <w:sz w:val="20"/>
                <w:szCs w:val="20"/>
                <w:lang w:val="sr-Cyrl-CS"/>
              </w:rPr>
              <w:t>Табела 1d:  Секторски биланси</w:t>
            </w:r>
          </w:p>
        </w:tc>
        <w:tc>
          <w:tcPr>
            <w:tcW w:w="1447" w:type="dxa"/>
            <w:gridSpan w:val="3"/>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78D5ED6" w14:textId="77777777" w:rsidR="00247CBF" w:rsidRPr="00092ED7" w:rsidRDefault="00247CBF" w:rsidP="00247CBF">
            <w:pPr>
              <w:spacing w:after="0"/>
              <w:jc w:val="center"/>
              <w:rPr>
                <w:sz w:val="20"/>
                <w:szCs w:val="20"/>
                <w:lang w:val="sr-Cyrl-CS"/>
              </w:rPr>
            </w:pPr>
          </w:p>
        </w:tc>
        <w:tc>
          <w:tcPr>
            <w:tcW w:w="1380" w:type="dxa"/>
            <w:gridSpan w:val="3"/>
            <w:tcBorders>
              <w:top w:val="single" w:sz="8" w:space="0" w:color="auto"/>
              <w:left w:val="nil"/>
              <w:bottom w:val="single" w:sz="8" w:space="0" w:color="auto"/>
              <w:right w:val="nil"/>
            </w:tcBorders>
            <w:shd w:val="clear" w:color="auto" w:fill="auto"/>
            <w:noWrap/>
            <w:vAlign w:val="center"/>
            <w:hideMark/>
          </w:tcPr>
          <w:p w14:paraId="757BFF25" w14:textId="77777777" w:rsidR="00247CBF" w:rsidRPr="00092ED7" w:rsidRDefault="00247CBF" w:rsidP="00247CBF">
            <w:pPr>
              <w:spacing w:after="0"/>
              <w:jc w:val="right"/>
              <w:rPr>
                <w:b/>
                <w:bCs/>
                <w:sz w:val="20"/>
                <w:szCs w:val="20"/>
                <w:lang w:val="sr-Cyrl-CS"/>
              </w:rPr>
            </w:pPr>
            <w:r w:rsidRPr="00092ED7">
              <w:rPr>
                <w:b/>
                <w:bCs/>
                <w:sz w:val="20"/>
                <w:szCs w:val="20"/>
                <w:lang w:val="sr-Cyrl-CS"/>
              </w:rPr>
              <w:t>2020</w:t>
            </w:r>
          </w:p>
        </w:tc>
        <w:tc>
          <w:tcPr>
            <w:tcW w:w="1300" w:type="dxa"/>
            <w:gridSpan w:val="4"/>
            <w:tcBorders>
              <w:top w:val="single" w:sz="8" w:space="0" w:color="auto"/>
              <w:left w:val="nil"/>
              <w:bottom w:val="single" w:sz="8" w:space="0" w:color="auto"/>
              <w:right w:val="nil"/>
            </w:tcBorders>
            <w:shd w:val="clear" w:color="auto" w:fill="auto"/>
            <w:noWrap/>
            <w:vAlign w:val="center"/>
            <w:hideMark/>
          </w:tcPr>
          <w:p w14:paraId="30F8329E" w14:textId="77777777" w:rsidR="00247CBF" w:rsidRPr="00092ED7" w:rsidRDefault="00247CBF" w:rsidP="00247CBF">
            <w:pPr>
              <w:spacing w:after="0"/>
              <w:jc w:val="right"/>
              <w:rPr>
                <w:b/>
                <w:bCs/>
                <w:sz w:val="20"/>
                <w:szCs w:val="20"/>
                <w:lang w:val="sr-Cyrl-CS"/>
              </w:rPr>
            </w:pPr>
            <w:r w:rsidRPr="00092ED7">
              <w:rPr>
                <w:b/>
                <w:bCs/>
                <w:sz w:val="20"/>
                <w:szCs w:val="20"/>
                <w:lang w:val="sr-Cyrl-CS"/>
              </w:rPr>
              <w:t>2021</w:t>
            </w:r>
          </w:p>
        </w:tc>
        <w:tc>
          <w:tcPr>
            <w:tcW w:w="1360" w:type="dxa"/>
            <w:gridSpan w:val="4"/>
            <w:tcBorders>
              <w:top w:val="single" w:sz="8" w:space="0" w:color="auto"/>
              <w:left w:val="nil"/>
              <w:bottom w:val="single" w:sz="8" w:space="0" w:color="auto"/>
              <w:right w:val="nil"/>
            </w:tcBorders>
            <w:shd w:val="clear" w:color="auto" w:fill="auto"/>
            <w:noWrap/>
            <w:vAlign w:val="center"/>
            <w:hideMark/>
          </w:tcPr>
          <w:p w14:paraId="3CBA9AC2" w14:textId="77777777" w:rsidR="00247CBF" w:rsidRPr="00092ED7" w:rsidRDefault="00247CBF" w:rsidP="00247CBF">
            <w:pPr>
              <w:spacing w:after="0"/>
              <w:jc w:val="right"/>
              <w:rPr>
                <w:b/>
                <w:bCs/>
                <w:sz w:val="20"/>
                <w:szCs w:val="20"/>
                <w:lang w:val="sr-Cyrl-CS"/>
              </w:rPr>
            </w:pPr>
            <w:r w:rsidRPr="00092ED7">
              <w:rPr>
                <w:b/>
                <w:bCs/>
                <w:sz w:val="20"/>
                <w:szCs w:val="20"/>
                <w:lang w:val="sr-Cyrl-CS"/>
              </w:rPr>
              <w:t>2022</w:t>
            </w:r>
          </w:p>
        </w:tc>
        <w:tc>
          <w:tcPr>
            <w:tcW w:w="1260" w:type="dxa"/>
            <w:gridSpan w:val="4"/>
            <w:tcBorders>
              <w:top w:val="single" w:sz="8" w:space="0" w:color="auto"/>
              <w:left w:val="nil"/>
              <w:bottom w:val="single" w:sz="8" w:space="0" w:color="auto"/>
              <w:right w:val="nil"/>
            </w:tcBorders>
            <w:shd w:val="clear" w:color="auto" w:fill="auto"/>
            <w:noWrap/>
            <w:vAlign w:val="center"/>
            <w:hideMark/>
          </w:tcPr>
          <w:p w14:paraId="5DCFE9A1" w14:textId="77777777" w:rsidR="00247CBF" w:rsidRPr="00092ED7" w:rsidRDefault="00247CBF" w:rsidP="00247CBF">
            <w:pPr>
              <w:spacing w:after="0"/>
              <w:jc w:val="right"/>
              <w:rPr>
                <w:b/>
                <w:bCs/>
                <w:sz w:val="20"/>
                <w:szCs w:val="20"/>
                <w:lang w:val="sr-Cyrl-CS"/>
              </w:rPr>
            </w:pPr>
            <w:r w:rsidRPr="00092ED7">
              <w:rPr>
                <w:b/>
                <w:bCs/>
                <w:sz w:val="20"/>
                <w:szCs w:val="20"/>
                <w:lang w:val="sr-Cyrl-CS"/>
              </w:rPr>
              <w:t>2023</w:t>
            </w:r>
          </w:p>
        </w:tc>
        <w:tc>
          <w:tcPr>
            <w:tcW w:w="1260" w:type="dxa"/>
            <w:gridSpan w:val="3"/>
            <w:tcBorders>
              <w:top w:val="single" w:sz="8" w:space="0" w:color="auto"/>
              <w:left w:val="nil"/>
              <w:bottom w:val="single" w:sz="8" w:space="0" w:color="auto"/>
              <w:right w:val="nil"/>
            </w:tcBorders>
            <w:shd w:val="clear" w:color="auto" w:fill="auto"/>
            <w:noWrap/>
            <w:vAlign w:val="center"/>
            <w:hideMark/>
          </w:tcPr>
          <w:p w14:paraId="0C42A793" w14:textId="77777777" w:rsidR="00247CBF" w:rsidRPr="00092ED7" w:rsidRDefault="00247CBF" w:rsidP="00247CBF">
            <w:pPr>
              <w:spacing w:after="0"/>
              <w:jc w:val="right"/>
              <w:rPr>
                <w:b/>
                <w:bCs/>
                <w:sz w:val="20"/>
                <w:szCs w:val="20"/>
                <w:lang w:val="sr-Cyrl-CS"/>
              </w:rPr>
            </w:pPr>
            <w:r w:rsidRPr="00092ED7">
              <w:rPr>
                <w:b/>
                <w:bCs/>
                <w:sz w:val="20"/>
                <w:szCs w:val="20"/>
                <w:lang w:val="sr-Cyrl-CS"/>
              </w:rPr>
              <w:t>2024</w:t>
            </w:r>
          </w:p>
        </w:tc>
        <w:tc>
          <w:tcPr>
            <w:tcW w:w="1268" w:type="dxa"/>
            <w:gridSpan w:val="3"/>
            <w:tcBorders>
              <w:top w:val="single" w:sz="8" w:space="0" w:color="auto"/>
              <w:left w:val="nil"/>
              <w:bottom w:val="single" w:sz="8" w:space="0" w:color="auto"/>
              <w:right w:val="double" w:sz="4" w:space="0" w:color="auto"/>
            </w:tcBorders>
            <w:shd w:val="clear" w:color="auto" w:fill="auto"/>
            <w:noWrap/>
            <w:vAlign w:val="center"/>
            <w:hideMark/>
          </w:tcPr>
          <w:p w14:paraId="74235CF5" w14:textId="77777777" w:rsidR="00247CBF" w:rsidRPr="00092ED7" w:rsidRDefault="00247CBF" w:rsidP="00247CBF">
            <w:pPr>
              <w:spacing w:after="0"/>
              <w:jc w:val="right"/>
              <w:rPr>
                <w:b/>
                <w:bCs/>
                <w:sz w:val="20"/>
                <w:szCs w:val="20"/>
                <w:lang w:val="sr-Cyrl-CS"/>
              </w:rPr>
            </w:pPr>
            <w:r w:rsidRPr="00092ED7">
              <w:rPr>
                <w:b/>
                <w:bCs/>
                <w:sz w:val="20"/>
                <w:szCs w:val="20"/>
                <w:lang w:val="sr-Cyrl-CS"/>
              </w:rPr>
              <w:t>2025</w:t>
            </w:r>
          </w:p>
        </w:tc>
      </w:tr>
      <w:tr w:rsidR="00247CBF" w:rsidRPr="00092ED7" w14:paraId="4CF32D30" w14:textId="77777777" w:rsidTr="00247CBF">
        <w:trPr>
          <w:gridAfter w:val="3"/>
          <w:wAfter w:w="365" w:type="dxa"/>
          <w:trHeight w:val="255"/>
        </w:trPr>
        <w:tc>
          <w:tcPr>
            <w:tcW w:w="4962" w:type="dxa"/>
            <w:gridSpan w:val="3"/>
            <w:tcBorders>
              <w:top w:val="nil"/>
              <w:left w:val="double" w:sz="6" w:space="0" w:color="auto"/>
              <w:bottom w:val="dashed" w:sz="4" w:space="0" w:color="auto"/>
              <w:right w:val="nil"/>
            </w:tcBorders>
            <w:shd w:val="clear" w:color="auto" w:fill="auto"/>
            <w:vAlign w:val="center"/>
            <w:hideMark/>
          </w:tcPr>
          <w:p w14:paraId="4CFA6E9F"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1. Нето дате/узете позајмице у односу на остатак света</w:t>
            </w:r>
          </w:p>
        </w:tc>
        <w:tc>
          <w:tcPr>
            <w:tcW w:w="1447" w:type="dxa"/>
            <w:gridSpan w:val="3"/>
            <w:tcBorders>
              <w:top w:val="dashed" w:sz="4" w:space="0" w:color="auto"/>
              <w:left w:val="single" w:sz="8" w:space="0" w:color="auto"/>
              <w:bottom w:val="dashed" w:sz="4" w:space="0" w:color="auto"/>
              <w:right w:val="single" w:sz="8" w:space="0" w:color="auto"/>
            </w:tcBorders>
            <w:shd w:val="clear" w:color="auto" w:fill="auto"/>
            <w:noWrap/>
            <w:vAlign w:val="center"/>
            <w:hideMark/>
          </w:tcPr>
          <w:p w14:paraId="3E7298BD" w14:textId="77777777" w:rsidR="00247CBF" w:rsidRPr="00092ED7" w:rsidRDefault="00247CBF" w:rsidP="00247CBF">
            <w:pPr>
              <w:spacing w:after="0"/>
              <w:jc w:val="center"/>
              <w:rPr>
                <w:sz w:val="16"/>
                <w:szCs w:val="16"/>
                <w:lang w:val="sr-Cyrl-CS"/>
              </w:rPr>
            </w:pPr>
            <w:r w:rsidRPr="00092ED7">
              <w:rPr>
                <w:sz w:val="16"/>
                <w:szCs w:val="16"/>
                <w:lang w:val="sr-Cyrl-CS"/>
              </w:rPr>
              <w:t>млрд ЕУР</w:t>
            </w:r>
          </w:p>
        </w:tc>
        <w:tc>
          <w:tcPr>
            <w:tcW w:w="1380" w:type="dxa"/>
            <w:gridSpan w:val="3"/>
            <w:tcBorders>
              <w:top w:val="nil"/>
              <w:left w:val="dashed" w:sz="4" w:space="0" w:color="auto"/>
              <w:bottom w:val="dashed" w:sz="4" w:space="0" w:color="auto"/>
              <w:right w:val="dashed" w:sz="4" w:space="0" w:color="auto"/>
            </w:tcBorders>
            <w:shd w:val="clear" w:color="auto" w:fill="auto"/>
            <w:noWrap/>
            <w:vAlign w:val="center"/>
            <w:hideMark/>
          </w:tcPr>
          <w:p w14:paraId="4D5A4F5E" w14:textId="77777777" w:rsidR="00247CBF" w:rsidRPr="00092ED7" w:rsidRDefault="00247CBF" w:rsidP="00247CBF">
            <w:pPr>
              <w:spacing w:after="0"/>
              <w:jc w:val="right"/>
              <w:rPr>
                <w:sz w:val="20"/>
                <w:szCs w:val="20"/>
                <w:lang w:val="sr-Cyrl-CS"/>
              </w:rPr>
            </w:pPr>
            <w:r w:rsidRPr="00092ED7">
              <w:rPr>
                <w:sz w:val="20"/>
                <w:szCs w:val="20"/>
                <w:lang w:val="sr-Cyrl-CS"/>
              </w:rPr>
              <w:t>-2,0</w:t>
            </w:r>
          </w:p>
        </w:tc>
        <w:tc>
          <w:tcPr>
            <w:tcW w:w="1300" w:type="dxa"/>
            <w:gridSpan w:val="4"/>
            <w:tcBorders>
              <w:top w:val="nil"/>
              <w:left w:val="nil"/>
              <w:bottom w:val="dashed" w:sz="4" w:space="0" w:color="auto"/>
              <w:right w:val="dashed" w:sz="4" w:space="0" w:color="auto"/>
            </w:tcBorders>
            <w:shd w:val="clear" w:color="auto" w:fill="auto"/>
            <w:noWrap/>
            <w:vAlign w:val="center"/>
            <w:hideMark/>
          </w:tcPr>
          <w:p w14:paraId="1CA3B8A5" w14:textId="77777777" w:rsidR="00247CBF" w:rsidRPr="00092ED7" w:rsidRDefault="00247CBF" w:rsidP="00247CBF">
            <w:pPr>
              <w:spacing w:after="0"/>
              <w:jc w:val="right"/>
              <w:rPr>
                <w:sz w:val="20"/>
                <w:szCs w:val="20"/>
                <w:lang w:val="sr-Cyrl-CS"/>
              </w:rPr>
            </w:pPr>
            <w:r w:rsidRPr="00092ED7">
              <w:rPr>
                <w:sz w:val="20"/>
                <w:szCs w:val="20"/>
                <w:lang w:val="sr-Cyrl-CS"/>
              </w:rPr>
              <w:t>-2,3</w:t>
            </w:r>
          </w:p>
        </w:tc>
        <w:tc>
          <w:tcPr>
            <w:tcW w:w="1360" w:type="dxa"/>
            <w:gridSpan w:val="4"/>
            <w:tcBorders>
              <w:top w:val="nil"/>
              <w:left w:val="nil"/>
              <w:bottom w:val="dashed" w:sz="4" w:space="0" w:color="auto"/>
              <w:right w:val="dashed" w:sz="4" w:space="0" w:color="auto"/>
            </w:tcBorders>
            <w:shd w:val="clear" w:color="auto" w:fill="auto"/>
            <w:noWrap/>
            <w:vAlign w:val="center"/>
            <w:hideMark/>
          </w:tcPr>
          <w:p w14:paraId="4FEF5035" w14:textId="77777777" w:rsidR="00247CBF" w:rsidRPr="00092ED7" w:rsidRDefault="00247CBF" w:rsidP="00247CBF">
            <w:pPr>
              <w:spacing w:after="0"/>
              <w:jc w:val="right"/>
              <w:rPr>
                <w:sz w:val="20"/>
                <w:szCs w:val="20"/>
                <w:lang w:val="sr-Cyrl-CS"/>
              </w:rPr>
            </w:pPr>
            <w:r w:rsidRPr="00092ED7">
              <w:rPr>
                <w:sz w:val="20"/>
                <w:szCs w:val="20"/>
                <w:lang w:val="sr-Cyrl-CS"/>
              </w:rPr>
              <w:t>-5,4</w:t>
            </w:r>
          </w:p>
        </w:tc>
        <w:tc>
          <w:tcPr>
            <w:tcW w:w="1260" w:type="dxa"/>
            <w:gridSpan w:val="4"/>
            <w:tcBorders>
              <w:top w:val="nil"/>
              <w:left w:val="nil"/>
              <w:bottom w:val="dashed" w:sz="4" w:space="0" w:color="auto"/>
              <w:right w:val="dashed" w:sz="4" w:space="0" w:color="auto"/>
            </w:tcBorders>
            <w:shd w:val="clear" w:color="auto" w:fill="auto"/>
            <w:noWrap/>
            <w:vAlign w:val="center"/>
            <w:hideMark/>
          </w:tcPr>
          <w:p w14:paraId="2AE4D8EC" w14:textId="77777777" w:rsidR="00247CBF" w:rsidRPr="00092ED7" w:rsidRDefault="00247CBF" w:rsidP="00247CBF">
            <w:pPr>
              <w:spacing w:after="0"/>
              <w:jc w:val="right"/>
              <w:rPr>
                <w:sz w:val="20"/>
                <w:szCs w:val="20"/>
                <w:lang w:val="sr-Cyrl-CS"/>
              </w:rPr>
            </w:pPr>
            <w:r w:rsidRPr="00092ED7">
              <w:rPr>
                <w:sz w:val="20"/>
                <w:szCs w:val="20"/>
                <w:lang w:val="sr-Cyrl-CS"/>
              </w:rPr>
              <w:t>-5,8</w:t>
            </w:r>
          </w:p>
        </w:tc>
        <w:tc>
          <w:tcPr>
            <w:tcW w:w="1260" w:type="dxa"/>
            <w:gridSpan w:val="3"/>
            <w:tcBorders>
              <w:top w:val="nil"/>
              <w:left w:val="nil"/>
              <w:bottom w:val="dashed" w:sz="4" w:space="0" w:color="auto"/>
              <w:right w:val="dashed" w:sz="4" w:space="0" w:color="auto"/>
            </w:tcBorders>
            <w:shd w:val="clear" w:color="auto" w:fill="auto"/>
            <w:noWrap/>
            <w:vAlign w:val="center"/>
            <w:hideMark/>
          </w:tcPr>
          <w:p w14:paraId="28629D25" w14:textId="77777777" w:rsidR="00247CBF" w:rsidRPr="00092ED7" w:rsidRDefault="00247CBF" w:rsidP="00247CBF">
            <w:pPr>
              <w:spacing w:after="0"/>
              <w:jc w:val="right"/>
              <w:rPr>
                <w:sz w:val="20"/>
                <w:szCs w:val="20"/>
                <w:lang w:val="sr-Cyrl-CS"/>
              </w:rPr>
            </w:pPr>
            <w:r w:rsidRPr="00092ED7">
              <w:rPr>
                <w:sz w:val="20"/>
                <w:szCs w:val="20"/>
                <w:lang w:val="sr-Cyrl-CS"/>
              </w:rPr>
              <w:t>-5,0</w:t>
            </w:r>
          </w:p>
        </w:tc>
        <w:tc>
          <w:tcPr>
            <w:tcW w:w="1268" w:type="dxa"/>
            <w:gridSpan w:val="3"/>
            <w:tcBorders>
              <w:top w:val="nil"/>
              <w:left w:val="nil"/>
              <w:bottom w:val="dashed" w:sz="4" w:space="0" w:color="auto"/>
              <w:right w:val="double" w:sz="4" w:space="0" w:color="auto"/>
            </w:tcBorders>
            <w:shd w:val="clear" w:color="auto" w:fill="auto"/>
            <w:noWrap/>
            <w:vAlign w:val="center"/>
            <w:hideMark/>
          </w:tcPr>
          <w:p w14:paraId="6A334BE3" w14:textId="77777777" w:rsidR="00247CBF" w:rsidRPr="00092ED7" w:rsidRDefault="00247CBF" w:rsidP="00247CBF">
            <w:pPr>
              <w:spacing w:after="0"/>
              <w:jc w:val="right"/>
              <w:rPr>
                <w:sz w:val="20"/>
                <w:szCs w:val="20"/>
                <w:lang w:val="sr-Cyrl-CS"/>
              </w:rPr>
            </w:pPr>
            <w:r w:rsidRPr="00092ED7">
              <w:rPr>
                <w:sz w:val="20"/>
                <w:szCs w:val="20"/>
                <w:lang w:val="sr-Cyrl-CS"/>
              </w:rPr>
              <w:t>-4,8</w:t>
            </w:r>
          </w:p>
        </w:tc>
      </w:tr>
      <w:tr w:rsidR="00247CBF" w:rsidRPr="00092ED7" w14:paraId="6719489F" w14:textId="77777777" w:rsidTr="00247CBF">
        <w:trPr>
          <w:gridAfter w:val="3"/>
          <w:wAfter w:w="365" w:type="dxa"/>
          <w:trHeight w:val="255"/>
        </w:trPr>
        <w:tc>
          <w:tcPr>
            <w:tcW w:w="4962" w:type="dxa"/>
            <w:gridSpan w:val="3"/>
            <w:tcBorders>
              <w:top w:val="nil"/>
              <w:left w:val="double" w:sz="6" w:space="0" w:color="auto"/>
              <w:bottom w:val="dashed" w:sz="4" w:space="0" w:color="auto"/>
              <w:right w:val="nil"/>
            </w:tcBorders>
            <w:shd w:val="clear" w:color="auto" w:fill="auto"/>
            <w:vAlign w:val="center"/>
            <w:hideMark/>
          </w:tcPr>
          <w:p w14:paraId="28196F98" w14:textId="77777777" w:rsidR="00247CBF" w:rsidRPr="00092ED7" w:rsidRDefault="00247CBF" w:rsidP="00247CBF">
            <w:pPr>
              <w:spacing w:after="0"/>
              <w:rPr>
                <w:rFonts w:eastAsia="Times New Roman" w:cs="Times New Roman"/>
                <w:i/>
                <w:iCs/>
                <w:sz w:val="20"/>
                <w:szCs w:val="20"/>
                <w:lang w:val="sr-Cyrl-CS"/>
              </w:rPr>
            </w:pPr>
            <w:r w:rsidRPr="00092ED7">
              <w:rPr>
                <w:rFonts w:eastAsia="Times New Roman" w:cs="Times New Roman"/>
                <w:i/>
                <w:iCs/>
                <w:sz w:val="20"/>
                <w:szCs w:val="20"/>
                <w:lang w:val="sr-Cyrl-CS"/>
              </w:rPr>
              <w:t>од чега:</w:t>
            </w:r>
          </w:p>
        </w:tc>
        <w:tc>
          <w:tcPr>
            <w:tcW w:w="1447" w:type="dxa"/>
            <w:gridSpan w:val="3"/>
            <w:tcBorders>
              <w:top w:val="nil"/>
              <w:left w:val="single" w:sz="8" w:space="0" w:color="auto"/>
              <w:bottom w:val="dashed" w:sz="4" w:space="0" w:color="auto"/>
              <w:right w:val="single" w:sz="8" w:space="0" w:color="auto"/>
            </w:tcBorders>
            <w:shd w:val="clear" w:color="auto" w:fill="auto"/>
            <w:noWrap/>
            <w:vAlign w:val="center"/>
            <w:hideMark/>
          </w:tcPr>
          <w:p w14:paraId="72DAD5EF" w14:textId="77777777" w:rsidR="00247CBF" w:rsidRPr="00092ED7" w:rsidRDefault="00247CBF" w:rsidP="00247CBF">
            <w:pPr>
              <w:spacing w:after="0"/>
              <w:jc w:val="center"/>
              <w:rPr>
                <w:sz w:val="16"/>
                <w:szCs w:val="16"/>
                <w:lang w:val="sr-Cyrl-CS"/>
              </w:rPr>
            </w:pPr>
          </w:p>
        </w:tc>
        <w:tc>
          <w:tcPr>
            <w:tcW w:w="1380" w:type="dxa"/>
            <w:gridSpan w:val="3"/>
            <w:tcBorders>
              <w:top w:val="nil"/>
              <w:left w:val="nil"/>
              <w:bottom w:val="dashed" w:sz="4" w:space="0" w:color="auto"/>
              <w:right w:val="dashed" w:sz="4" w:space="0" w:color="auto"/>
            </w:tcBorders>
            <w:shd w:val="clear" w:color="auto" w:fill="auto"/>
            <w:noWrap/>
            <w:vAlign w:val="center"/>
            <w:hideMark/>
          </w:tcPr>
          <w:p w14:paraId="504E291C"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300" w:type="dxa"/>
            <w:gridSpan w:val="4"/>
            <w:tcBorders>
              <w:top w:val="nil"/>
              <w:left w:val="nil"/>
              <w:bottom w:val="dashed" w:sz="4" w:space="0" w:color="auto"/>
              <w:right w:val="dashed" w:sz="4" w:space="0" w:color="auto"/>
            </w:tcBorders>
            <w:shd w:val="clear" w:color="auto" w:fill="auto"/>
            <w:noWrap/>
            <w:vAlign w:val="center"/>
            <w:hideMark/>
          </w:tcPr>
          <w:p w14:paraId="618BF79A"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360" w:type="dxa"/>
            <w:gridSpan w:val="4"/>
            <w:tcBorders>
              <w:top w:val="nil"/>
              <w:left w:val="nil"/>
              <w:bottom w:val="dashed" w:sz="4" w:space="0" w:color="auto"/>
              <w:right w:val="dashed" w:sz="4" w:space="0" w:color="auto"/>
            </w:tcBorders>
            <w:shd w:val="clear" w:color="auto" w:fill="auto"/>
            <w:noWrap/>
            <w:vAlign w:val="center"/>
            <w:hideMark/>
          </w:tcPr>
          <w:p w14:paraId="51A6C661"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260" w:type="dxa"/>
            <w:gridSpan w:val="4"/>
            <w:tcBorders>
              <w:top w:val="nil"/>
              <w:left w:val="nil"/>
              <w:bottom w:val="dashed" w:sz="4" w:space="0" w:color="auto"/>
              <w:right w:val="dashed" w:sz="4" w:space="0" w:color="auto"/>
            </w:tcBorders>
            <w:shd w:val="clear" w:color="auto" w:fill="auto"/>
            <w:noWrap/>
            <w:vAlign w:val="center"/>
            <w:hideMark/>
          </w:tcPr>
          <w:p w14:paraId="0615659D"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260" w:type="dxa"/>
            <w:gridSpan w:val="3"/>
            <w:tcBorders>
              <w:top w:val="nil"/>
              <w:left w:val="nil"/>
              <w:bottom w:val="dashed" w:sz="4" w:space="0" w:color="auto"/>
              <w:right w:val="dashed" w:sz="4" w:space="0" w:color="auto"/>
            </w:tcBorders>
            <w:shd w:val="clear" w:color="auto" w:fill="auto"/>
            <w:noWrap/>
            <w:vAlign w:val="center"/>
            <w:hideMark/>
          </w:tcPr>
          <w:p w14:paraId="7DE7DA80"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268" w:type="dxa"/>
            <w:gridSpan w:val="3"/>
            <w:tcBorders>
              <w:top w:val="nil"/>
              <w:left w:val="nil"/>
              <w:bottom w:val="dashed" w:sz="4" w:space="0" w:color="auto"/>
              <w:right w:val="double" w:sz="4" w:space="0" w:color="auto"/>
            </w:tcBorders>
            <w:shd w:val="clear" w:color="auto" w:fill="auto"/>
            <w:noWrap/>
            <w:vAlign w:val="center"/>
            <w:hideMark/>
          </w:tcPr>
          <w:p w14:paraId="42B64F9E" w14:textId="77777777" w:rsidR="00247CBF" w:rsidRPr="00092ED7" w:rsidRDefault="00247CBF" w:rsidP="00247CBF">
            <w:pPr>
              <w:spacing w:after="0"/>
              <w:jc w:val="right"/>
              <w:rPr>
                <w:sz w:val="20"/>
                <w:szCs w:val="20"/>
                <w:lang w:val="sr-Cyrl-CS"/>
              </w:rPr>
            </w:pPr>
            <w:r w:rsidRPr="00092ED7">
              <w:rPr>
                <w:sz w:val="20"/>
                <w:szCs w:val="20"/>
                <w:lang w:val="sr-Cyrl-CS"/>
              </w:rPr>
              <w:t> </w:t>
            </w:r>
          </w:p>
        </w:tc>
      </w:tr>
      <w:tr w:rsidR="00247CBF" w:rsidRPr="00092ED7" w14:paraId="283C57BE" w14:textId="77777777" w:rsidTr="00247CBF">
        <w:trPr>
          <w:gridAfter w:val="3"/>
          <w:wAfter w:w="365" w:type="dxa"/>
          <w:trHeight w:val="255"/>
        </w:trPr>
        <w:tc>
          <w:tcPr>
            <w:tcW w:w="4962" w:type="dxa"/>
            <w:gridSpan w:val="3"/>
            <w:tcBorders>
              <w:top w:val="nil"/>
              <w:left w:val="double" w:sz="6" w:space="0" w:color="auto"/>
              <w:bottom w:val="dashed" w:sz="4" w:space="0" w:color="auto"/>
              <w:right w:val="nil"/>
            </w:tcBorders>
            <w:shd w:val="clear" w:color="auto" w:fill="auto"/>
            <w:vAlign w:val="center"/>
            <w:hideMark/>
          </w:tcPr>
          <w:p w14:paraId="5003EF00" w14:textId="77777777" w:rsidR="00247CBF" w:rsidRPr="00092ED7" w:rsidRDefault="00247CBF" w:rsidP="00247CBF">
            <w:pPr>
              <w:spacing w:after="0"/>
              <w:rPr>
                <w:rFonts w:eastAsia="Times New Roman" w:cs="Times New Roman"/>
                <w:i/>
                <w:iCs/>
                <w:sz w:val="20"/>
                <w:szCs w:val="20"/>
                <w:lang w:val="sr-Cyrl-CS"/>
              </w:rPr>
            </w:pPr>
            <w:r w:rsidRPr="00092ED7">
              <w:rPr>
                <w:rFonts w:eastAsia="Times New Roman" w:cs="Times New Roman"/>
                <w:i/>
                <w:iCs/>
                <w:sz w:val="20"/>
                <w:szCs w:val="20"/>
                <w:lang w:val="sr-Cyrl-CS"/>
              </w:rPr>
              <w:t>- Биланс робе и услуга</w:t>
            </w:r>
          </w:p>
        </w:tc>
        <w:tc>
          <w:tcPr>
            <w:tcW w:w="1447" w:type="dxa"/>
            <w:gridSpan w:val="3"/>
            <w:tcBorders>
              <w:top w:val="nil"/>
              <w:left w:val="single" w:sz="8" w:space="0" w:color="auto"/>
              <w:bottom w:val="dashed" w:sz="4" w:space="0" w:color="auto"/>
              <w:right w:val="single" w:sz="8" w:space="0" w:color="auto"/>
            </w:tcBorders>
            <w:shd w:val="clear" w:color="auto" w:fill="auto"/>
            <w:noWrap/>
            <w:vAlign w:val="center"/>
            <w:hideMark/>
          </w:tcPr>
          <w:p w14:paraId="41F4BAC7" w14:textId="77777777" w:rsidR="00247CBF" w:rsidRPr="00092ED7" w:rsidRDefault="00247CBF" w:rsidP="00247CBF">
            <w:pPr>
              <w:spacing w:after="0"/>
              <w:jc w:val="center"/>
              <w:rPr>
                <w:sz w:val="16"/>
                <w:szCs w:val="16"/>
                <w:lang w:val="sr-Cyrl-CS"/>
              </w:rPr>
            </w:pPr>
            <w:r w:rsidRPr="00092ED7">
              <w:rPr>
                <w:sz w:val="16"/>
                <w:szCs w:val="16"/>
                <w:lang w:val="sr-Cyrl-CS"/>
              </w:rPr>
              <w:t>млрд ЕУР</w:t>
            </w:r>
          </w:p>
        </w:tc>
        <w:tc>
          <w:tcPr>
            <w:tcW w:w="1380" w:type="dxa"/>
            <w:gridSpan w:val="3"/>
            <w:tcBorders>
              <w:top w:val="nil"/>
              <w:left w:val="nil"/>
              <w:bottom w:val="dashed" w:sz="4" w:space="0" w:color="auto"/>
              <w:right w:val="dashed" w:sz="4" w:space="0" w:color="auto"/>
            </w:tcBorders>
            <w:shd w:val="clear" w:color="auto" w:fill="auto"/>
            <w:noWrap/>
            <w:vAlign w:val="center"/>
            <w:hideMark/>
          </w:tcPr>
          <w:p w14:paraId="64AE2DB9" w14:textId="77777777" w:rsidR="00247CBF" w:rsidRPr="00092ED7" w:rsidRDefault="00247CBF" w:rsidP="00247CBF">
            <w:pPr>
              <w:spacing w:after="0"/>
              <w:jc w:val="right"/>
              <w:rPr>
                <w:sz w:val="20"/>
                <w:szCs w:val="20"/>
                <w:lang w:val="sr-Cyrl-CS"/>
              </w:rPr>
            </w:pPr>
            <w:r w:rsidRPr="00092ED7">
              <w:rPr>
                <w:sz w:val="20"/>
                <w:szCs w:val="20"/>
                <w:lang w:val="sr-Cyrl-CS"/>
              </w:rPr>
              <w:t>-4,1</w:t>
            </w:r>
          </w:p>
        </w:tc>
        <w:tc>
          <w:tcPr>
            <w:tcW w:w="1300" w:type="dxa"/>
            <w:gridSpan w:val="4"/>
            <w:tcBorders>
              <w:top w:val="nil"/>
              <w:left w:val="nil"/>
              <w:bottom w:val="dashed" w:sz="4" w:space="0" w:color="auto"/>
              <w:right w:val="dashed" w:sz="4" w:space="0" w:color="auto"/>
            </w:tcBorders>
            <w:shd w:val="clear" w:color="auto" w:fill="auto"/>
            <w:noWrap/>
            <w:vAlign w:val="center"/>
            <w:hideMark/>
          </w:tcPr>
          <w:p w14:paraId="091CEC59" w14:textId="77777777" w:rsidR="00247CBF" w:rsidRPr="00092ED7" w:rsidRDefault="00247CBF" w:rsidP="00247CBF">
            <w:pPr>
              <w:spacing w:after="0"/>
              <w:jc w:val="right"/>
              <w:rPr>
                <w:sz w:val="20"/>
                <w:szCs w:val="20"/>
                <w:lang w:val="sr-Cyrl-CS"/>
              </w:rPr>
            </w:pPr>
            <w:r w:rsidRPr="00092ED7">
              <w:rPr>
                <w:sz w:val="20"/>
                <w:szCs w:val="20"/>
                <w:lang w:val="sr-Cyrl-CS"/>
              </w:rPr>
              <w:t>-4,5</w:t>
            </w:r>
          </w:p>
        </w:tc>
        <w:tc>
          <w:tcPr>
            <w:tcW w:w="1360" w:type="dxa"/>
            <w:gridSpan w:val="4"/>
            <w:tcBorders>
              <w:top w:val="nil"/>
              <w:left w:val="nil"/>
              <w:bottom w:val="dashed" w:sz="4" w:space="0" w:color="auto"/>
              <w:right w:val="dashed" w:sz="4" w:space="0" w:color="auto"/>
            </w:tcBorders>
            <w:shd w:val="clear" w:color="auto" w:fill="auto"/>
            <w:noWrap/>
            <w:vAlign w:val="center"/>
            <w:hideMark/>
          </w:tcPr>
          <w:p w14:paraId="35A3D984" w14:textId="77777777" w:rsidR="00247CBF" w:rsidRPr="00092ED7" w:rsidRDefault="00247CBF" w:rsidP="00247CBF">
            <w:pPr>
              <w:spacing w:after="0"/>
              <w:jc w:val="right"/>
              <w:rPr>
                <w:sz w:val="20"/>
                <w:szCs w:val="20"/>
                <w:lang w:val="sr-Cyrl-CS"/>
              </w:rPr>
            </w:pPr>
            <w:r w:rsidRPr="00092ED7">
              <w:rPr>
                <w:sz w:val="20"/>
                <w:szCs w:val="20"/>
                <w:lang w:val="sr-Cyrl-CS"/>
              </w:rPr>
              <w:t>-7,4</w:t>
            </w:r>
          </w:p>
        </w:tc>
        <w:tc>
          <w:tcPr>
            <w:tcW w:w="1260" w:type="dxa"/>
            <w:gridSpan w:val="4"/>
            <w:tcBorders>
              <w:top w:val="nil"/>
              <w:left w:val="nil"/>
              <w:bottom w:val="dashed" w:sz="4" w:space="0" w:color="auto"/>
              <w:right w:val="dashed" w:sz="4" w:space="0" w:color="auto"/>
            </w:tcBorders>
            <w:shd w:val="clear" w:color="auto" w:fill="auto"/>
            <w:noWrap/>
            <w:vAlign w:val="center"/>
            <w:hideMark/>
          </w:tcPr>
          <w:p w14:paraId="69DC65DB" w14:textId="77777777" w:rsidR="00247CBF" w:rsidRPr="00092ED7" w:rsidRDefault="00247CBF" w:rsidP="00247CBF">
            <w:pPr>
              <w:spacing w:after="0"/>
              <w:jc w:val="right"/>
              <w:rPr>
                <w:sz w:val="20"/>
                <w:szCs w:val="20"/>
                <w:lang w:val="sr-Cyrl-CS"/>
              </w:rPr>
            </w:pPr>
            <w:r w:rsidRPr="00092ED7">
              <w:rPr>
                <w:sz w:val="20"/>
                <w:szCs w:val="20"/>
                <w:lang w:val="sr-Cyrl-CS"/>
              </w:rPr>
              <w:t>-7,4</w:t>
            </w:r>
          </w:p>
        </w:tc>
        <w:tc>
          <w:tcPr>
            <w:tcW w:w="1260" w:type="dxa"/>
            <w:gridSpan w:val="3"/>
            <w:tcBorders>
              <w:top w:val="nil"/>
              <w:left w:val="nil"/>
              <w:bottom w:val="dashed" w:sz="4" w:space="0" w:color="auto"/>
              <w:right w:val="dashed" w:sz="4" w:space="0" w:color="auto"/>
            </w:tcBorders>
            <w:shd w:val="clear" w:color="auto" w:fill="auto"/>
            <w:noWrap/>
            <w:vAlign w:val="center"/>
            <w:hideMark/>
          </w:tcPr>
          <w:p w14:paraId="473C78A5" w14:textId="77777777" w:rsidR="00247CBF" w:rsidRPr="00092ED7" w:rsidRDefault="00247CBF" w:rsidP="00247CBF">
            <w:pPr>
              <w:spacing w:after="0"/>
              <w:jc w:val="right"/>
              <w:rPr>
                <w:sz w:val="20"/>
                <w:szCs w:val="20"/>
                <w:lang w:val="sr-Cyrl-CS"/>
              </w:rPr>
            </w:pPr>
            <w:r w:rsidRPr="00092ED7">
              <w:rPr>
                <w:sz w:val="20"/>
                <w:szCs w:val="20"/>
                <w:lang w:val="sr-Cyrl-CS"/>
              </w:rPr>
              <w:t>-7,4</w:t>
            </w:r>
          </w:p>
        </w:tc>
        <w:tc>
          <w:tcPr>
            <w:tcW w:w="1268" w:type="dxa"/>
            <w:gridSpan w:val="3"/>
            <w:tcBorders>
              <w:top w:val="nil"/>
              <w:left w:val="nil"/>
              <w:bottom w:val="dashed" w:sz="4" w:space="0" w:color="auto"/>
              <w:right w:val="double" w:sz="4" w:space="0" w:color="auto"/>
            </w:tcBorders>
            <w:shd w:val="clear" w:color="auto" w:fill="auto"/>
            <w:noWrap/>
            <w:vAlign w:val="center"/>
            <w:hideMark/>
          </w:tcPr>
          <w:p w14:paraId="75ED35F8" w14:textId="77777777" w:rsidR="00247CBF" w:rsidRPr="00092ED7" w:rsidRDefault="00247CBF" w:rsidP="00247CBF">
            <w:pPr>
              <w:spacing w:after="0"/>
              <w:jc w:val="right"/>
              <w:rPr>
                <w:sz w:val="20"/>
                <w:szCs w:val="20"/>
                <w:lang w:val="sr-Cyrl-CS"/>
              </w:rPr>
            </w:pPr>
            <w:r w:rsidRPr="00092ED7">
              <w:rPr>
                <w:sz w:val="20"/>
                <w:szCs w:val="20"/>
                <w:lang w:val="sr-Cyrl-CS"/>
              </w:rPr>
              <w:t>-7,4</w:t>
            </w:r>
          </w:p>
        </w:tc>
      </w:tr>
      <w:tr w:rsidR="00247CBF" w:rsidRPr="00092ED7" w14:paraId="32C70015" w14:textId="77777777" w:rsidTr="00247CBF">
        <w:trPr>
          <w:gridAfter w:val="3"/>
          <w:wAfter w:w="365" w:type="dxa"/>
          <w:trHeight w:val="255"/>
        </w:trPr>
        <w:tc>
          <w:tcPr>
            <w:tcW w:w="4962" w:type="dxa"/>
            <w:gridSpan w:val="3"/>
            <w:tcBorders>
              <w:top w:val="nil"/>
              <w:left w:val="double" w:sz="6" w:space="0" w:color="auto"/>
              <w:bottom w:val="dashed" w:sz="4" w:space="0" w:color="auto"/>
              <w:right w:val="nil"/>
            </w:tcBorders>
            <w:shd w:val="clear" w:color="auto" w:fill="auto"/>
            <w:vAlign w:val="center"/>
            <w:hideMark/>
          </w:tcPr>
          <w:p w14:paraId="2DFED630" w14:textId="77777777" w:rsidR="00247CBF" w:rsidRPr="00092ED7" w:rsidRDefault="00247CBF" w:rsidP="00247CBF">
            <w:pPr>
              <w:spacing w:after="0"/>
              <w:rPr>
                <w:rFonts w:eastAsia="Times New Roman" w:cs="Times New Roman"/>
                <w:i/>
                <w:iCs/>
                <w:sz w:val="20"/>
                <w:szCs w:val="20"/>
                <w:lang w:val="sr-Cyrl-CS"/>
              </w:rPr>
            </w:pPr>
            <w:r w:rsidRPr="00092ED7">
              <w:rPr>
                <w:rFonts w:eastAsia="Times New Roman" w:cs="Times New Roman"/>
                <w:i/>
                <w:iCs/>
                <w:sz w:val="20"/>
                <w:szCs w:val="20"/>
                <w:lang w:val="sr-Cyrl-CS"/>
              </w:rPr>
              <w:t>- Биланс примарног дохотка и трансфера</w:t>
            </w:r>
          </w:p>
        </w:tc>
        <w:tc>
          <w:tcPr>
            <w:tcW w:w="1447" w:type="dxa"/>
            <w:gridSpan w:val="3"/>
            <w:tcBorders>
              <w:top w:val="nil"/>
              <w:left w:val="single" w:sz="8" w:space="0" w:color="auto"/>
              <w:bottom w:val="dashed" w:sz="4" w:space="0" w:color="auto"/>
              <w:right w:val="single" w:sz="8" w:space="0" w:color="auto"/>
            </w:tcBorders>
            <w:shd w:val="clear" w:color="auto" w:fill="auto"/>
            <w:noWrap/>
            <w:vAlign w:val="center"/>
            <w:hideMark/>
          </w:tcPr>
          <w:p w14:paraId="246BB1D3" w14:textId="77777777" w:rsidR="00247CBF" w:rsidRPr="00092ED7" w:rsidRDefault="00247CBF" w:rsidP="00247CBF">
            <w:pPr>
              <w:spacing w:after="0"/>
              <w:jc w:val="center"/>
              <w:rPr>
                <w:sz w:val="16"/>
                <w:szCs w:val="16"/>
                <w:lang w:val="sr-Cyrl-CS"/>
              </w:rPr>
            </w:pPr>
            <w:r w:rsidRPr="00092ED7">
              <w:rPr>
                <w:sz w:val="16"/>
                <w:szCs w:val="16"/>
                <w:lang w:val="sr-Cyrl-CS"/>
              </w:rPr>
              <w:t>млрд ЕУР</w:t>
            </w:r>
          </w:p>
        </w:tc>
        <w:tc>
          <w:tcPr>
            <w:tcW w:w="1380" w:type="dxa"/>
            <w:gridSpan w:val="3"/>
            <w:tcBorders>
              <w:top w:val="nil"/>
              <w:left w:val="dashed" w:sz="4" w:space="0" w:color="auto"/>
              <w:bottom w:val="dashed" w:sz="4" w:space="0" w:color="auto"/>
              <w:right w:val="dashed" w:sz="4" w:space="0" w:color="auto"/>
            </w:tcBorders>
            <w:shd w:val="clear" w:color="auto" w:fill="auto"/>
            <w:noWrap/>
            <w:vAlign w:val="center"/>
            <w:hideMark/>
          </w:tcPr>
          <w:p w14:paraId="5291C2F1" w14:textId="77777777" w:rsidR="00247CBF" w:rsidRPr="00092ED7" w:rsidRDefault="00247CBF" w:rsidP="00247CBF">
            <w:pPr>
              <w:spacing w:after="0"/>
              <w:jc w:val="right"/>
              <w:rPr>
                <w:sz w:val="20"/>
                <w:szCs w:val="20"/>
                <w:lang w:val="sr-Cyrl-CS"/>
              </w:rPr>
            </w:pPr>
            <w:r w:rsidRPr="00092ED7">
              <w:rPr>
                <w:sz w:val="20"/>
                <w:szCs w:val="20"/>
                <w:lang w:val="sr-Cyrl-CS"/>
              </w:rPr>
              <w:t>2,2</w:t>
            </w:r>
          </w:p>
        </w:tc>
        <w:tc>
          <w:tcPr>
            <w:tcW w:w="1300" w:type="dxa"/>
            <w:gridSpan w:val="4"/>
            <w:tcBorders>
              <w:top w:val="nil"/>
              <w:left w:val="nil"/>
              <w:bottom w:val="dashed" w:sz="4" w:space="0" w:color="auto"/>
              <w:right w:val="dashed" w:sz="4" w:space="0" w:color="auto"/>
            </w:tcBorders>
            <w:shd w:val="clear" w:color="auto" w:fill="auto"/>
            <w:noWrap/>
            <w:vAlign w:val="center"/>
            <w:hideMark/>
          </w:tcPr>
          <w:p w14:paraId="3CF088D8" w14:textId="77777777" w:rsidR="00247CBF" w:rsidRPr="00092ED7" w:rsidRDefault="00247CBF" w:rsidP="00247CBF">
            <w:pPr>
              <w:spacing w:after="0"/>
              <w:jc w:val="right"/>
              <w:rPr>
                <w:sz w:val="20"/>
                <w:szCs w:val="20"/>
                <w:lang w:val="sr-Cyrl-CS"/>
              </w:rPr>
            </w:pPr>
            <w:r w:rsidRPr="00092ED7">
              <w:rPr>
                <w:sz w:val="20"/>
                <w:szCs w:val="20"/>
                <w:lang w:val="sr-Cyrl-CS"/>
              </w:rPr>
              <w:t>2,2</w:t>
            </w:r>
          </w:p>
        </w:tc>
        <w:tc>
          <w:tcPr>
            <w:tcW w:w="1360" w:type="dxa"/>
            <w:gridSpan w:val="4"/>
            <w:tcBorders>
              <w:top w:val="nil"/>
              <w:left w:val="nil"/>
              <w:bottom w:val="dashed" w:sz="4" w:space="0" w:color="auto"/>
              <w:right w:val="dashed" w:sz="4" w:space="0" w:color="auto"/>
            </w:tcBorders>
            <w:shd w:val="clear" w:color="auto" w:fill="auto"/>
            <w:noWrap/>
            <w:vAlign w:val="center"/>
            <w:hideMark/>
          </w:tcPr>
          <w:p w14:paraId="72BE9285" w14:textId="77777777" w:rsidR="00247CBF" w:rsidRPr="00092ED7" w:rsidRDefault="00247CBF" w:rsidP="00247CBF">
            <w:pPr>
              <w:spacing w:after="0"/>
              <w:jc w:val="right"/>
              <w:rPr>
                <w:sz w:val="20"/>
                <w:szCs w:val="20"/>
                <w:lang w:val="sr-Cyrl-CS"/>
              </w:rPr>
            </w:pPr>
            <w:r w:rsidRPr="00092ED7">
              <w:rPr>
                <w:sz w:val="20"/>
                <w:szCs w:val="20"/>
                <w:lang w:val="sr-Cyrl-CS"/>
              </w:rPr>
              <w:t>2,0</w:t>
            </w:r>
          </w:p>
        </w:tc>
        <w:tc>
          <w:tcPr>
            <w:tcW w:w="1260" w:type="dxa"/>
            <w:gridSpan w:val="4"/>
            <w:tcBorders>
              <w:top w:val="nil"/>
              <w:left w:val="nil"/>
              <w:bottom w:val="dashed" w:sz="4" w:space="0" w:color="auto"/>
              <w:right w:val="dashed" w:sz="4" w:space="0" w:color="auto"/>
            </w:tcBorders>
            <w:shd w:val="clear" w:color="auto" w:fill="auto"/>
            <w:noWrap/>
            <w:vAlign w:val="center"/>
            <w:hideMark/>
          </w:tcPr>
          <w:p w14:paraId="1407E02C" w14:textId="77777777" w:rsidR="00247CBF" w:rsidRPr="00092ED7" w:rsidRDefault="00247CBF" w:rsidP="00247CBF">
            <w:pPr>
              <w:spacing w:after="0"/>
              <w:jc w:val="right"/>
              <w:rPr>
                <w:sz w:val="20"/>
                <w:szCs w:val="20"/>
                <w:lang w:val="sr-Cyrl-CS"/>
              </w:rPr>
            </w:pPr>
            <w:r w:rsidRPr="00092ED7">
              <w:rPr>
                <w:sz w:val="20"/>
                <w:szCs w:val="20"/>
                <w:lang w:val="sr-Cyrl-CS"/>
              </w:rPr>
              <w:t>1,6</w:t>
            </w:r>
          </w:p>
        </w:tc>
        <w:tc>
          <w:tcPr>
            <w:tcW w:w="1260" w:type="dxa"/>
            <w:gridSpan w:val="3"/>
            <w:tcBorders>
              <w:top w:val="nil"/>
              <w:left w:val="nil"/>
              <w:bottom w:val="dashed" w:sz="4" w:space="0" w:color="auto"/>
              <w:right w:val="dashed" w:sz="4" w:space="0" w:color="auto"/>
            </w:tcBorders>
            <w:shd w:val="clear" w:color="auto" w:fill="auto"/>
            <w:noWrap/>
            <w:vAlign w:val="center"/>
            <w:hideMark/>
          </w:tcPr>
          <w:p w14:paraId="0D2FA22C" w14:textId="77777777" w:rsidR="00247CBF" w:rsidRPr="00092ED7" w:rsidRDefault="00247CBF" w:rsidP="00247CBF">
            <w:pPr>
              <w:spacing w:after="0"/>
              <w:jc w:val="right"/>
              <w:rPr>
                <w:sz w:val="20"/>
                <w:szCs w:val="20"/>
                <w:lang w:val="sr-Cyrl-CS"/>
              </w:rPr>
            </w:pPr>
            <w:r w:rsidRPr="00092ED7">
              <w:rPr>
                <w:sz w:val="20"/>
                <w:szCs w:val="20"/>
                <w:lang w:val="sr-Cyrl-CS"/>
              </w:rPr>
              <w:t>2,4</w:t>
            </w:r>
          </w:p>
        </w:tc>
        <w:tc>
          <w:tcPr>
            <w:tcW w:w="1268" w:type="dxa"/>
            <w:gridSpan w:val="3"/>
            <w:tcBorders>
              <w:top w:val="nil"/>
              <w:left w:val="nil"/>
              <w:bottom w:val="dashed" w:sz="4" w:space="0" w:color="auto"/>
              <w:right w:val="double" w:sz="4" w:space="0" w:color="auto"/>
            </w:tcBorders>
            <w:shd w:val="clear" w:color="auto" w:fill="auto"/>
            <w:noWrap/>
            <w:vAlign w:val="center"/>
            <w:hideMark/>
          </w:tcPr>
          <w:p w14:paraId="776D2F93" w14:textId="77777777" w:rsidR="00247CBF" w:rsidRPr="00092ED7" w:rsidRDefault="00247CBF" w:rsidP="00247CBF">
            <w:pPr>
              <w:spacing w:after="0"/>
              <w:jc w:val="right"/>
              <w:rPr>
                <w:sz w:val="20"/>
                <w:szCs w:val="20"/>
                <w:lang w:val="sr-Cyrl-CS"/>
              </w:rPr>
            </w:pPr>
            <w:r w:rsidRPr="00092ED7">
              <w:rPr>
                <w:sz w:val="20"/>
                <w:szCs w:val="20"/>
                <w:lang w:val="sr-Cyrl-CS"/>
              </w:rPr>
              <w:t>2,5</w:t>
            </w:r>
          </w:p>
        </w:tc>
      </w:tr>
      <w:tr w:rsidR="00247CBF" w:rsidRPr="00092ED7" w14:paraId="39460262" w14:textId="77777777" w:rsidTr="00247CBF">
        <w:trPr>
          <w:gridAfter w:val="3"/>
          <w:wAfter w:w="365" w:type="dxa"/>
          <w:trHeight w:val="270"/>
        </w:trPr>
        <w:tc>
          <w:tcPr>
            <w:tcW w:w="4962" w:type="dxa"/>
            <w:gridSpan w:val="3"/>
            <w:tcBorders>
              <w:top w:val="nil"/>
              <w:left w:val="double" w:sz="6" w:space="0" w:color="auto"/>
              <w:bottom w:val="dashed" w:sz="4" w:space="0" w:color="auto"/>
              <w:right w:val="nil"/>
            </w:tcBorders>
            <w:shd w:val="clear" w:color="auto" w:fill="auto"/>
            <w:vAlign w:val="center"/>
            <w:hideMark/>
          </w:tcPr>
          <w:p w14:paraId="175AEBD7" w14:textId="77777777" w:rsidR="00247CBF" w:rsidRPr="00092ED7" w:rsidRDefault="00247CBF" w:rsidP="00247CBF">
            <w:pPr>
              <w:spacing w:after="0"/>
              <w:rPr>
                <w:rFonts w:eastAsia="Times New Roman" w:cs="Times New Roman"/>
                <w:i/>
                <w:iCs/>
                <w:sz w:val="20"/>
                <w:szCs w:val="20"/>
                <w:lang w:val="sr-Cyrl-CS"/>
              </w:rPr>
            </w:pPr>
            <w:r w:rsidRPr="00092ED7">
              <w:rPr>
                <w:rFonts w:eastAsia="Times New Roman" w:cs="Times New Roman"/>
                <w:i/>
                <w:iCs/>
                <w:sz w:val="20"/>
                <w:szCs w:val="20"/>
                <w:lang w:val="sr-Cyrl-CS"/>
              </w:rPr>
              <w:t>- Биланс капиталних трансакција</w:t>
            </w:r>
          </w:p>
        </w:tc>
        <w:tc>
          <w:tcPr>
            <w:tcW w:w="1447" w:type="dxa"/>
            <w:gridSpan w:val="3"/>
            <w:tcBorders>
              <w:top w:val="nil"/>
              <w:left w:val="single" w:sz="8" w:space="0" w:color="auto"/>
              <w:bottom w:val="dashed" w:sz="4" w:space="0" w:color="auto"/>
              <w:right w:val="single" w:sz="8" w:space="0" w:color="auto"/>
            </w:tcBorders>
            <w:shd w:val="clear" w:color="auto" w:fill="auto"/>
            <w:noWrap/>
            <w:vAlign w:val="center"/>
            <w:hideMark/>
          </w:tcPr>
          <w:p w14:paraId="16165227" w14:textId="77777777" w:rsidR="00247CBF" w:rsidRPr="00092ED7" w:rsidRDefault="00247CBF" w:rsidP="00247CBF">
            <w:pPr>
              <w:spacing w:after="0"/>
              <w:jc w:val="center"/>
              <w:rPr>
                <w:sz w:val="16"/>
                <w:szCs w:val="16"/>
                <w:lang w:val="sr-Cyrl-CS"/>
              </w:rPr>
            </w:pPr>
            <w:r w:rsidRPr="00092ED7">
              <w:rPr>
                <w:sz w:val="16"/>
                <w:szCs w:val="16"/>
                <w:lang w:val="sr-Cyrl-CS"/>
              </w:rPr>
              <w:t>млрд ЕУР</w:t>
            </w:r>
          </w:p>
        </w:tc>
        <w:tc>
          <w:tcPr>
            <w:tcW w:w="1380" w:type="dxa"/>
            <w:gridSpan w:val="3"/>
            <w:tcBorders>
              <w:top w:val="nil"/>
              <w:left w:val="nil"/>
              <w:bottom w:val="dashed" w:sz="4" w:space="0" w:color="auto"/>
              <w:right w:val="dashed" w:sz="4" w:space="0" w:color="auto"/>
            </w:tcBorders>
            <w:shd w:val="clear" w:color="auto" w:fill="auto"/>
            <w:noWrap/>
            <w:vAlign w:val="center"/>
            <w:hideMark/>
          </w:tcPr>
          <w:p w14:paraId="715A5ABC" w14:textId="77777777" w:rsidR="00247CBF" w:rsidRPr="00092ED7" w:rsidRDefault="00247CBF" w:rsidP="00247CBF">
            <w:pPr>
              <w:spacing w:after="0"/>
              <w:jc w:val="right"/>
              <w:rPr>
                <w:sz w:val="20"/>
                <w:szCs w:val="20"/>
                <w:lang w:val="sr-Cyrl-CS"/>
              </w:rPr>
            </w:pPr>
            <w:r w:rsidRPr="00092ED7">
              <w:rPr>
                <w:sz w:val="20"/>
                <w:szCs w:val="20"/>
                <w:lang w:val="sr-Cyrl-CS"/>
              </w:rPr>
              <w:t>0,0</w:t>
            </w:r>
          </w:p>
        </w:tc>
        <w:tc>
          <w:tcPr>
            <w:tcW w:w="1300" w:type="dxa"/>
            <w:gridSpan w:val="4"/>
            <w:tcBorders>
              <w:top w:val="nil"/>
              <w:left w:val="nil"/>
              <w:bottom w:val="dashed" w:sz="4" w:space="0" w:color="auto"/>
              <w:right w:val="dashed" w:sz="4" w:space="0" w:color="auto"/>
            </w:tcBorders>
            <w:shd w:val="clear" w:color="auto" w:fill="auto"/>
            <w:noWrap/>
            <w:vAlign w:val="center"/>
            <w:hideMark/>
          </w:tcPr>
          <w:p w14:paraId="3257E3D2" w14:textId="77777777" w:rsidR="00247CBF" w:rsidRPr="00092ED7" w:rsidRDefault="00247CBF" w:rsidP="00247CBF">
            <w:pPr>
              <w:spacing w:after="0"/>
              <w:jc w:val="right"/>
              <w:rPr>
                <w:sz w:val="20"/>
                <w:szCs w:val="20"/>
                <w:lang w:val="sr-Cyrl-CS"/>
              </w:rPr>
            </w:pPr>
            <w:r w:rsidRPr="00092ED7">
              <w:rPr>
                <w:sz w:val="20"/>
                <w:szCs w:val="20"/>
                <w:lang w:val="sr-Cyrl-CS"/>
              </w:rPr>
              <w:t>0,0</w:t>
            </w:r>
          </w:p>
        </w:tc>
        <w:tc>
          <w:tcPr>
            <w:tcW w:w="1360" w:type="dxa"/>
            <w:gridSpan w:val="4"/>
            <w:tcBorders>
              <w:top w:val="nil"/>
              <w:left w:val="nil"/>
              <w:bottom w:val="dashed" w:sz="4" w:space="0" w:color="auto"/>
              <w:right w:val="dashed" w:sz="4" w:space="0" w:color="auto"/>
            </w:tcBorders>
            <w:shd w:val="clear" w:color="auto" w:fill="auto"/>
            <w:noWrap/>
            <w:vAlign w:val="center"/>
            <w:hideMark/>
          </w:tcPr>
          <w:p w14:paraId="70CBBD23" w14:textId="77777777" w:rsidR="00247CBF" w:rsidRPr="00092ED7" w:rsidRDefault="00247CBF" w:rsidP="00247CBF">
            <w:pPr>
              <w:spacing w:after="0"/>
              <w:jc w:val="right"/>
              <w:rPr>
                <w:sz w:val="20"/>
                <w:szCs w:val="20"/>
                <w:lang w:val="sr-Cyrl-CS"/>
              </w:rPr>
            </w:pPr>
            <w:r w:rsidRPr="00092ED7">
              <w:rPr>
                <w:sz w:val="20"/>
                <w:szCs w:val="20"/>
                <w:lang w:val="sr-Cyrl-CS"/>
              </w:rPr>
              <w:t>0,0</w:t>
            </w:r>
          </w:p>
        </w:tc>
        <w:tc>
          <w:tcPr>
            <w:tcW w:w="1260" w:type="dxa"/>
            <w:gridSpan w:val="4"/>
            <w:tcBorders>
              <w:top w:val="nil"/>
              <w:left w:val="nil"/>
              <w:bottom w:val="dashed" w:sz="4" w:space="0" w:color="auto"/>
              <w:right w:val="dashed" w:sz="4" w:space="0" w:color="auto"/>
            </w:tcBorders>
            <w:shd w:val="clear" w:color="auto" w:fill="auto"/>
            <w:noWrap/>
            <w:vAlign w:val="center"/>
            <w:hideMark/>
          </w:tcPr>
          <w:p w14:paraId="5323DD5A" w14:textId="77777777" w:rsidR="00247CBF" w:rsidRPr="00092ED7" w:rsidRDefault="00247CBF" w:rsidP="00247CBF">
            <w:pPr>
              <w:spacing w:after="0"/>
              <w:jc w:val="right"/>
              <w:rPr>
                <w:sz w:val="20"/>
                <w:szCs w:val="20"/>
                <w:lang w:val="sr-Cyrl-CS"/>
              </w:rPr>
            </w:pPr>
            <w:r w:rsidRPr="00092ED7">
              <w:rPr>
                <w:sz w:val="20"/>
                <w:szCs w:val="20"/>
                <w:lang w:val="sr-Cyrl-CS"/>
              </w:rPr>
              <w:t>0,0</w:t>
            </w:r>
          </w:p>
        </w:tc>
        <w:tc>
          <w:tcPr>
            <w:tcW w:w="1260" w:type="dxa"/>
            <w:gridSpan w:val="3"/>
            <w:tcBorders>
              <w:top w:val="nil"/>
              <w:left w:val="nil"/>
              <w:bottom w:val="dashed" w:sz="4" w:space="0" w:color="auto"/>
              <w:right w:val="dashed" w:sz="4" w:space="0" w:color="auto"/>
            </w:tcBorders>
            <w:shd w:val="clear" w:color="auto" w:fill="auto"/>
            <w:noWrap/>
            <w:vAlign w:val="center"/>
            <w:hideMark/>
          </w:tcPr>
          <w:p w14:paraId="21EFA66E" w14:textId="77777777" w:rsidR="00247CBF" w:rsidRPr="00092ED7" w:rsidRDefault="00247CBF" w:rsidP="00247CBF">
            <w:pPr>
              <w:spacing w:after="0"/>
              <w:jc w:val="right"/>
              <w:rPr>
                <w:sz w:val="20"/>
                <w:szCs w:val="20"/>
                <w:lang w:val="sr-Cyrl-CS"/>
              </w:rPr>
            </w:pPr>
            <w:r w:rsidRPr="00092ED7">
              <w:rPr>
                <w:sz w:val="20"/>
                <w:szCs w:val="20"/>
                <w:lang w:val="sr-Cyrl-CS"/>
              </w:rPr>
              <w:t>0,0</w:t>
            </w:r>
          </w:p>
        </w:tc>
        <w:tc>
          <w:tcPr>
            <w:tcW w:w="1268" w:type="dxa"/>
            <w:gridSpan w:val="3"/>
            <w:tcBorders>
              <w:top w:val="nil"/>
              <w:left w:val="nil"/>
              <w:bottom w:val="dashed" w:sz="4" w:space="0" w:color="auto"/>
              <w:right w:val="double" w:sz="4" w:space="0" w:color="auto"/>
            </w:tcBorders>
            <w:shd w:val="clear" w:color="auto" w:fill="auto"/>
            <w:noWrap/>
            <w:vAlign w:val="center"/>
            <w:hideMark/>
          </w:tcPr>
          <w:p w14:paraId="01D0908C" w14:textId="77777777" w:rsidR="00247CBF" w:rsidRPr="00092ED7" w:rsidRDefault="00247CBF" w:rsidP="00247CBF">
            <w:pPr>
              <w:spacing w:after="0"/>
              <w:jc w:val="right"/>
              <w:rPr>
                <w:sz w:val="20"/>
                <w:szCs w:val="20"/>
                <w:lang w:val="sr-Cyrl-CS"/>
              </w:rPr>
            </w:pPr>
            <w:r w:rsidRPr="00092ED7">
              <w:rPr>
                <w:sz w:val="20"/>
                <w:szCs w:val="20"/>
                <w:lang w:val="sr-Cyrl-CS"/>
              </w:rPr>
              <w:t>0,0</w:t>
            </w:r>
          </w:p>
        </w:tc>
      </w:tr>
      <w:tr w:rsidR="00247CBF" w:rsidRPr="00092ED7" w14:paraId="112E43FC" w14:textId="77777777" w:rsidTr="00247CBF">
        <w:trPr>
          <w:gridAfter w:val="3"/>
          <w:wAfter w:w="365" w:type="dxa"/>
          <w:trHeight w:val="270"/>
        </w:trPr>
        <w:tc>
          <w:tcPr>
            <w:tcW w:w="4962" w:type="dxa"/>
            <w:gridSpan w:val="3"/>
            <w:tcBorders>
              <w:top w:val="single" w:sz="8" w:space="0" w:color="auto"/>
              <w:left w:val="double" w:sz="6" w:space="0" w:color="auto"/>
              <w:bottom w:val="single" w:sz="8" w:space="0" w:color="auto"/>
              <w:right w:val="nil"/>
            </w:tcBorders>
            <w:shd w:val="clear" w:color="auto" w:fill="auto"/>
            <w:noWrap/>
            <w:vAlign w:val="center"/>
            <w:hideMark/>
          </w:tcPr>
          <w:p w14:paraId="4DD633EF" w14:textId="77777777" w:rsidR="00247CBF" w:rsidRPr="00092ED7" w:rsidRDefault="00247CBF" w:rsidP="00247CBF">
            <w:pPr>
              <w:spacing w:after="0"/>
              <w:jc w:val="center"/>
              <w:rPr>
                <w:rFonts w:eastAsia="Times New Roman" w:cs="Times New Roman"/>
                <w:b/>
                <w:bCs/>
                <w:sz w:val="20"/>
                <w:szCs w:val="20"/>
                <w:lang w:val="sr-Cyrl-CS"/>
              </w:rPr>
            </w:pPr>
            <w:r w:rsidRPr="00092ED7">
              <w:rPr>
                <w:rFonts w:eastAsia="Times New Roman" w:cs="Times New Roman"/>
                <w:b/>
                <w:bCs/>
                <w:sz w:val="20"/>
                <w:szCs w:val="20"/>
                <w:lang w:val="sr-Cyrl-CS"/>
              </w:rPr>
              <w:t>Табела 1e:  БДП, инвестиције и бруто додата вредност</w:t>
            </w:r>
          </w:p>
        </w:tc>
        <w:tc>
          <w:tcPr>
            <w:tcW w:w="1447" w:type="dxa"/>
            <w:gridSpan w:val="3"/>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D93297F" w14:textId="77777777" w:rsidR="00247CBF" w:rsidRPr="00092ED7" w:rsidRDefault="00247CBF" w:rsidP="00247CBF">
            <w:pPr>
              <w:spacing w:after="0"/>
              <w:jc w:val="center"/>
              <w:rPr>
                <w:sz w:val="20"/>
                <w:szCs w:val="20"/>
                <w:lang w:val="sr-Cyrl-CS"/>
              </w:rPr>
            </w:pPr>
          </w:p>
        </w:tc>
        <w:tc>
          <w:tcPr>
            <w:tcW w:w="1380" w:type="dxa"/>
            <w:gridSpan w:val="3"/>
            <w:tcBorders>
              <w:top w:val="single" w:sz="8" w:space="0" w:color="auto"/>
              <w:left w:val="nil"/>
              <w:bottom w:val="single" w:sz="8" w:space="0" w:color="auto"/>
              <w:right w:val="nil"/>
            </w:tcBorders>
            <w:shd w:val="clear" w:color="auto" w:fill="auto"/>
            <w:noWrap/>
            <w:vAlign w:val="center"/>
            <w:hideMark/>
          </w:tcPr>
          <w:p w14:paraId="01ABC688"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300" w:type="dxa"/>
            <w:gridSpan w:val="4"/>
            <w:tcBorders>
              <w:top w:val="single" w:sz="8" w:space="0" w:color="auto"/>
              <w:left w:val="nil"/>
              <w:bottom w:val="single" w:sz="8" w:space="0" w:color="auto"/>
              <w:right w:val="nil"/>
            </w:tcBorders>
            <w:shd w:val="clear" w:color="auto" w:fill="auto"/>
            <w:noWrap/>
            <w:vAlign w:val="center"/>
            <w:hideMark/>
          </w:tcPr>
          <w:p w14:paraId="35EBF745"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360" w:type="dxa"/>
            <w:gridSpan w:val="4"/>
            <w:tcBorders>
              <w:top w:val="single" w:sz="8" w:space="0" w:color="auto"/>
              <w:left w:val="nil"/>
              <w:bottom w:val="single" w:sz="8" w:space="0" w:color="auto"/>
              <w:right w:val="nil"/>
            </w:tcBorders>
            <w:shd w:val="clear" w:color="auto" w:fill="auto"/>
            <w:noWrap/>
            <w:vAlign w:val="center"/>
            <w:hideMark/>
          </w:tcPr>
          <w:p w14:paraId="3879DDD2"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260" w:type="dxa"/>
            <w:gridSpan w:val="4"/>
            <w:tcBorders>
              <w:top w:val="single" w:sz="8" w:space="0" w:color="auto"/>
              <w:left w:val="nil"/>
              <w:bottom w:val="single" w:sz="8" w:space="0" w:color="auto"/>
              <w:right w:val="nil"/>
            </w:tcBorders>
            <w:shd w:val="clear" w:color="auto" w:fill="auto"/>
            <w:noWrap/>
            <w:vAlign w:val="center"/>
            <w:hideMark/>
          </w:tcPr>
          <w:p w14:paraId="363FA445"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260" w:type="dxa"/>
            <w:gridSpan w:val="3"/>
            <w:tcBorders>
              <w:top w:val="single" w:sz="8" w:space="0" w:color="auto"/>
              <w:left w:val="nil"/>
              <w:bottom w:val="single" w:sz="8" w:space="0" w:color="auto"/>
              <w:right w:val="nil"/>
            </w:tcBorders>
            <w:shd w:val="clear" w:color="auto" w:fill="auto"/>
            <w:noWrap/>
            <w:vAlign w:val="center"/>
            <w:hideMark/>
          </w:tcPr>
          <w:p w14:paraId="428DC2E2"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268" w:type="dxa"/>
            <w:gridSpan w:val="3"/>
            <w:tcBorders>
              <w:top w:val="single" w:sz="8" w:space="0" w:color="auto"/>
              <w:left w:val="nil"/>
              <w:bottom w:val="single" w:sz="8" w:space="0" w:color="auto"/>
              <w:right w:val="double" w:sz="4" w:space="0" w:color="auto"/>
            </w:tcBorders>
            <w:shd w:val="clear" w:color="auto" w:fill="auto"/>
            <w:noWrap/>
            <w:vAlign w:val="center"/>
            <w:hideMark/>
          </w:tcPr>
          <w:p w14:paraId="537A2D72" w14:textId="77777777" w:rsidR="00247CBF" w:rsidRPr="00092ED7" w:rsidRDefault="00247CBF" w:rsidP="00247CBF">
            <w:pPr>
              <w:spacing w:after="0"/>
              <w:jc w:val="right"/>
              <w:rPr>
                <w:sz w:val="20"/>
                <w:szCs w:val="20"/>
                <w:lang w:val="sr-Cyrl-CS"/>
              </w:rPr>
            </w:pPr>
            <w:r w:rsidRPr="00092ED7">
              <w:rPr>
                <w:sz w:val="20"/>
                <w:szCs w:val="20"/>
                <w:lang w:val="sr-Cyrl-CS"/>
              </w:rPr>
              <w:t> </w:t>
            </w:r>
          </w:p>
        </w:tc>
      </w:tr>
      <w:tr w:rsidR="00247CBF" w:rsidRPr="00092ED7" w14:paraId="5538AD51" w14:textId="77777777" w:rsidTr="00247CBF">
        <w:trPr>
          <w:gridAfter w:val="3"/>
          <w:wAfter w:w="365" w:type="dxa"/>
          <w:trHeight w:val="225"/>
        </w:trPr>
        <w:tc>
          <w:tcPr>
            <w:tcW w:w="4962" w:type="dxa"/>
            <w:gridSpan w:val="3"/>
            <w:tcBorders>
              <w:top w:val="dashed" w:sz="4" w:space="0" w:color="auto"/>
              <w:left w:val="double" w:sz="6" w:space="0" w:color="auto"/>
              <w:bottom w:val="dashed" w:sz="4" w:space="0" w:color="auto"/>
              <w:right w:val="nil"/>
            </w:tcBorders>
            <w:shd w:val="clear" w:color="auto" w:fill="auto"/>
            <w:vAlign w:val="bottom"/>
            <w:hideMark/>
          </w:tcPr>
          <w:p w14:paraId="36F2DEA8"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1. Пољопривреда</w:t>
            </w:r>
          </w:p>
        </w:tc>
        <w:tc>
          <w:tcPr>
            <w:tcW w:w="1447" w:type="dxa"/>
            <w:gridSpan w:val="3"/>
            <w:tcBorders>
              <w:top w:val="dashed" w:sz="4" w:space="0" w:color="auto"/>
              <w:left w:val="single" w:sz="8" w:space="0" w:color="auto"/>
              <w:bottom w:val="dashed" w:sz="4" w:space="0" w:color="auto"/>
              <w:right w:val="single" w:sz="8" w:space="0" w:color="auto"/>
            </w:tcBorders>
            <w:shd w:val="clear" w:color="auto" w:fill="auto"/>
            <w:vAlign w:val="center"/>
            <w:hideMark/>
          </w:tcPr>
          <w:p w14:paraId="1E54B125" w14:textId="77777777" w:rsidR="00247CBF" w:rsidRPr="00092ED7" w:rsidRDefault="00247CBF" w:rsidP="00247CBF">
            <w:pPr>
              <w:spacing w:after="0"/>
              <w:jc w:val="center"/>
              <w:rPr>
                <w:sz w:val="20"/>
                <w:szCs w:val="20"/>
                <w:lang w:val="sr-Cyrl-CS"/>
              </w:rPr>
            </w:pPr>
            <w:r w:rsidRPr="00092ED7">
              <w:rPr>
                <w:sz w:val="20"/>
                <w:szCs w:val="20"/>
                <w:lang w:val="sr-Cyrl-CS"/>
              </w:rPr>
              <w:t>сталне цене</w:t>
            </w:r>
          </w:p>
        </w:tc>
        <w:tc>
          <w:tcPr>
            <w:tcW w:w="1380" w:type="dxa"/>
            <w:gridSpan w:val="3"/>
            <w:tcBorders>
              <w:top w:val="dashed" w:sz="4" w:space="0" w:color="auto"/>
              <w:left w:val="nil"/>
              <w:bottom w:val="dashed" w:sz="4" w:space="0" w:color="auto"/>
              <w:right w:val="dashed" w:sz="4" w:space="0" w:color="auto"/>
            </w:tcBorders>
            <w:shd w:val="clear" w:color="auto" w:fill="auto"/>
            <w:noWrap/>
            <w:vAlign w:val="center"/>
            <w:hideMark/>
          </w:tcPr>
          <w:p w14:paraId="321C9150" w14:textId="77777777" w:rsidR="00247CBF" w:rsidRPr="00092ED7" w:rsidRDefault="00247CBF" w:rsidP="00247CBF">
            <w:pPr>
              <w:spacing w:after="0"/>
              <w:jc w:val="right"/>
              <w:rPr>
                <w:sz w:val="20"/>
                <w:szCs w:val="20"/>
                <w:lang w:val="sr-Cyrl-CS"/>
              </w:rPr>
            </w:pPr>
            <w:r w:rsidRPr="00092ED7">
              <w:rPr>
                <w:sz w:val="20"/>
                <w:szCs w:val="20"/>
                <w:lang w:val="sr-Cyrl-CS"/>
              </w:rPr>
              <w:t>319,5</w:t>
            </w:r>
          </w:p>
        </w:tc>
        <w:tc>
          <w:tcPr>
            <w:tcW w:w="1300" w:type="dxa"/>
            <w:gridSpan w:val="4"/>
            <w:tcBorders>
              <w:top w:val="dashed" w:sz="4" w:space="0" w:color="auto"/>
              <w:left w:val="nil"/>
              <w:bottom w:val="dashed" w:sz="4" w:space="0" w:color="auto"/>
              <w:right w:val="dashed" w:sz="4" w:space="0" w:color="auto"/>
            </w:tcBorders>
            <w:shd w:val="clear" w:color="auto" w:fill="auto"/>
            <w:noWrap/>
            <w:vAlign w:val="center"/>
            <w:hideMark/>
          </w:tcPr>
          <w:p w14:paraId="0CFF7EBC" w14:textId="77777777" w:rsidR="00247CBF" w:rsidRPr="00092ED7" w:rsidRDefault="00247CBF" w:rsidP="00247CBF">
            <w:pPr>
              <w:spacing w:after="0"/>
              <w:jc w:val="right"/>
              <w:rPr>
                <w:sz w:val="20"/>
                <w:szCs w:val="20"/>
                <w:lang w:val="sr-Cyrl-CS"/>
              </w:rPr>
            </w:pPr>
            <w:r w:rsidRPr="00092ED7">
              <w:rPr>
                <w:sz w:val="20"/>
                <w:szCs w:val="20"/>
                <w:lang w:val="sr-Cyrl-CS"/>
              </w:rPr>
              <w:t>301,4</w:t>
            </w:r>
          </w:p>
        </w:tc>
        <w:tc>
          <w:tcPr>
            <w:tcW w:w="1360" w:type="dxa"/>
            <w:gridSpan w:val="4"/>
            <w:tcBorders>
              <w:top w:val="dashed" w:sz="4" w:space="0" w:color="auto"/>
              <w:left w:val="nil"/>
              <w:bottom w:val="dashed" w:sz="4" w:space="0" w:color="auto"/>
              <w:right w:val="dashed" w:sz="4" w:space="0" w:color="auto"/>
            </w:tcBorders>
            <w:shd w:val="clear" w:color="auto" w:fill="auto"/>
            <w:noWrap/>
            <w:vAlign w:val="center"/>
            <w:hideMark/>
          </w:tcPr>
          <w:p w14:paraId="40ADAF83" w14:textId="77777777" w:rsidR="00247CBF" w:rsidRPr="00092ED7" w:rsidRDefault="00247CBF" w:rsidP="00247CBF">
            <w:pPr>
              <w:spacing w:after="0"/>
              <w:jc w:val="right"/>
              <w:rPr>
                <w:sz w:val="20"/>
                <w:szCs w:val="20"/>
                <w:lang w:val="sr-Cyrl-CS"/>
              </w:rPr>
            </w:pPr>
            <w:r w:rsidRPr="00092ED7">
              <w:rPr>
                <w:sz w:val="20"/>
                <w:szCs w:val="20"/>
                <w:lang w:val="sr-Cyrl-CS"/>
              </w:rPr>
              <w:t>277,4</w:t>
            </w:r>
          </w:p>
        </w:tc>
        <w:tc>
          <w:tcPr>
            <w:tcW w:w="1260" w:type="dxa"/>
            <w:gridSpan w:val="4"/>
            <w:tcBorders>
              <w:top w:val="dashed" w:sz="4" w:space="0" w:color="auto"/>
              <w:left w:val="nil"/>
              <w:bottom w:val="dashed" w:sz="4" w:space="0" w:color="auto"/>
              <w:right w:val="dashed" w:sz="4" w:space="0" w:color="auto"/>
            </w:tcBorders>
            <w:shd w:val="clear" w:color="auto" w:fill="auto"/>
            <w:noWrap/>
            <w:vAlign w:val="center"/>
            <w:hideMark/>
          </w:tcPr>
          <w:p w14:paraId="62331DCA" w14:textId="77777777" w:rsidR="00247CBF" w:rsidRPr="00092ED7" w:rsidRDefault="00247CBF" w:rsidP="00247CBF">
            <w:pPr>
              <w:spacing w:after="0"/>
              <w:jc w:val="right"/>
              <w:rPr>
                <w:sz w:val="20"/>
                <w:szCs w:val="20"/>
                <w:lang w:val="sr-Cyrl-CS"/>
              </w:rPr>
            </w:pPr>
            <w:r w:rsidRPr="00092ED7">
              <w:rPr>
                <w:sz w:val="20"/>
                <w:szCs w:val="20"/>
                <w:lang w:val="sr-Cyrl-CS"/>
              </w:rPr>
              <w:t>296,4</w:t>
            </w:r>
          </w:p>
        </w:tc>
        <w:tc>
          <w:tcPr>
            <w:tcW w:w="1260" w:type="dxa"/>
            <w:gridSpan w:val="3"/>
            <w:tcBorders>
              <w:top w:val="dashed" w:sz="4" w:space="0" w:color="auto"/>
              <w:left w:val="nil"/>
              <w:bottom w:val="dashed" w:sz="4" w:space="0" w:color="auto"/>
              <w:right w:val="dashed" w:sz="4" w:space="0" w:color="auto"/>
            </w:tcBorders>
            <w:shd w:val="clear" w:color="auto" w:fill="auto"/>
            <w:noWrap/>
            <w:vAlign w:val="center"/>
            <w:hideMark/>
          </w:tcPr>
          <w:p w14:paraId="5E0AA91F" w14:textId="77777777" w:rsidR="00247CBF" w:rsidRPr="00092ED7" w:rsidRDefault="00247CBF" w:rsidP="00247CBF">
            <w:pPr>
              <w:spacing w:after="0"/>
              <w:jc w:val="right"/>
              <w:rPr>
                <w:sz w:val="20"/>
                <w:szCs w:val="20"/>
                <w:lang w:val="sr-Cyrl-CS"/>
              </w:rPr>
            </w:pPr>
            <w:r w:rsidRPr="00092ED7">
              <w:rPr>
                <w:sz w:val="20"/>
                <w:szCs w:val="20"/>
                <w:lang w:val="sr-Cyrl-CS"/>
              </w:rPr>
              <w:t>299,1</w:t>
            </w:r>
          </w:p>
        </w:tc>
        <w:tc>
          <w:tcPr>
            <w:tcW w:w="1268" w:type="dxa"/>
            <w:gridSpan w:val="3"/>
            <w:tcBorders>
              <w:top w:val="dashed" w:sz="4" w:space="0" w:color="auto"/>
              <w:left w:val="nil"/>
              <w:bottom w:val="dashed" w:sz="4" w:space="0" w:color="auto"/>
              <w:right w:val="double" w:sz="4" w:space="0" w:color="auto"/>
            </w:tcBorders>
            <w:shd w:val="clear" w:color="auto" w:fill="auto"/>
            <w:noWrap/>
            <w:vAlign w:val="center"/>
            <w:hideMark/>
          </w:tcPr>
          <w:p w14:paraId="5A06E2D3" w14:textId="77777777" w:rsidR="00247CBF" w:rsidRPr="00092ED7" w:rsidRDefault="00247CBF" w:rsidP="00247CBF">
            <w:pPr>
              <w:spacing w:after="0"/>
              <w:jc w:val="right"/>
              <w:rPr>
                <w:sz w:val="20"/>
                <w:szCs w:val="20"/>
                <w:lang w:val="sr-Cyrl-CS"/>
              </w:rPr>
            </w:pPr>
            <w:r w:rsidRPr="00092ED7">
              <w:rPr>
                <w:sz w:val="20"/>
                <w:szCs w:val="20"/>
                <w:lang w:val="sr-Cyrl-CS"/>
              </w:rPr>
              <w:t>299,1</w:t>
            </w:r>
          </w:p>
        </w:tc>
      </w:tr>
      <w:tr w:rsidR="00247CBF" w:rsidRPr="00092ED7" w14:paraId="091E78D4" w14:textId="77777777" w:rsidTr="00247CBF">
        <w:trPr>
          <w:gridAfter w:val="3"/>
          <w:wAfter w:w="365" w:type="dxa"/>
          <w:trHeight w:val="225"/>
        </w:trPr>
        <w:tc>
          <w:tcPr>
            <w:tcW w:w="4962" w:type="dxa"/>
            <w:gridSpan w:val="3"/>
            <w:tcBorders>
              <w:top w:val="nil"/>
              <w:left w:val="double" w:sz="6" w:space="0" w:color="auto"/>
              <w:bottom w:val="dashed" w:sz="4" w:space="0" w:color="auto"/>
              <w:right w:val="nil"/>
            </w:tcBorders>
            <w:shd w:val="clear" w:color="auto" w:fill="auto"/>
            <w:vAlign w:val="bottom"/>
            <w:hideMark/>
          </w:tcPr>
          <w:p w14:paraId="7A5DCF25"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2. Индустрија (осим грађевинарства)</w:t>
            </w:r>
          </w:p>
        </w:tc>
        <w:tc>
          <w:tcPr>
            <w:tcW w:w="1447" w:type="dxa"/>
            <w:gridSpan w:val="3"/>
            <w:tcBorders>
              <w:top w:val="nil"/>
              <w:left w:val="single" w:sz="8" w:space="0" w:color="auto"/>
              <w:bottom w:val="dashed" w:sz="4" w:space="0" w:color="auto"/>
              <w:right w:val="single" w:sz="8" w:space="0" w:color="auto"/>
            </w:tcBorders>
            <w:shd w:val="clear" w:color="auto" w:fill="auto"/>
            <w:vAlign w:val="center"/>
            <w:hideMark/>
          </w:tcPr>
          <w:p w14:paraId="7BE0ACA8" w14:textId="77777777" w:rsidR="00247CBF" w:rsidRPr="00092ED7" w:rsidRDefault="00247CBF" w:rsidP="00247CBF">
            <w:pPr>
              <w:spacing w:after="0"/>
              <w:jc w:val="center"/>
              <w:rPr>
                <w:sz w:val="20"/>
                <w:szCs w:val="20"/>
                <w:lang w:val="sr-Cyrl-CS"/>
              </w:rPr>
            </w:pPr>
            <w:r w:rsidRPr="00092ED7">
              <w:rPr>
                <w:sz w:val="20"/>
                <w:szCs w:val="20"/>
                <w:lang w:val="sr-Cyrl-CS"/>
              </w:rPr>
              <w:t>сталне цене</w:t>
            </w:r>
          </w:p>
        </w:tc>
        <w:tc>
          <w:tcPr>
            <w:tcW w:w="1380" w:type="dxa"/>
            <w:gridSpan w:val="3"/>
            <w:tcBorders>
              <w:top w:val="nil"/>
              <w:left w:val="nil"/>
              <w:bottom w:val="dashed" w:sz="4" w:space="0" w:color="auto"/>
              <w:right w:val="dashed" w:sz="4" w:space="0" w:color="auto"/>
            </w:tcBorders>
            <w:shd w:val="clear" w:color="auto" w:fill="auto"/>
            <w:noWrap/>
            <w:vAlign w:val="center"/>
            <w:hideMark/>
          </w:tcPr>
          <w:p w14:paraId="754CB0B9" w14:textId="77777777" w:rsidR="00247CBF" w:rsidRPr="00092ED7" w:rsidRDefault="00247CBF" w:rsidP="00247CBF">
            <w:pPr>
              <w:spacing w:after="0"/>
              <w:jc w:val="right"/>
              <w:rPr>
                <w:sz w:val="20"/>
                <w:szCs w:val="20"/>
                <w:lang w:val="sr-Cyrl-CS"/>
              </w:rPr>
            </w:pPr>
            <w:r w:rsidRPr="00092ED7">
              <w:rPr>
                <w:sz w:val="20"/>
                <w:szCs w:val="20"/>
                <w:lang w:val="sr-Cyrl-CS"/>
              </w:rPr>
              <w:t>1.013,8</w:t>
            </w:r>
          </w:p>
        </w:tc>
        <w:tc>
          <w:tcPr>
            <w:tcW w:w="1300" w:type="dxa"/>
            <w:gridSpan w:val="4"/>
            <w:tcBorders>
              <w:top w:val="nil"/>
              <w:left w:val="nil"/>
              <w:bottom w:val="dashed" w:sz="4" w:space="0" w:color="auto"/>
              <w:right w:val="dashed" w:sz="4" w:space="0" w:color="auto"/>
            </w:tcBorders>
            <w:shd w:val="clear" w:color="auto" w:fill="auto"/>
            <w:vAlign w:val="center"/>
            <w:hideMark/>
          </w:tcPr>
          <w:p w14:paraId="1A24A79D" w14:textId="77777777" w:rsidR="00247CBF" w:rsidRPr="00092ED7" w:rsidRDefault="00247CBF" w:rsidP="00247CBF">
            <w:pPr>
              <w:spacing w:after="0"/>
              <w:jc w:val="right"/>
              <w:rPr>
                <w:sz w:val="20"/>
                <w:szCs w:val="20"/>
                <w:lang w:val="sr-Cyrl-CS"/>
              </w:rPr>
            </w:pPr>
            <w:r w:rsidRPr="00092ED7">
              <w:rPr>
                <w:sz w:val="20"/>
                <w:szCs w:val="20"/>
                <w:lang w:val="sr-Cyrl-CS"/>
              </w:rPr>
              <w:t>1.077,8</w:t>
            </w:r>
          </w:p>
        </w:tc>
        <w:tc>
          <w:tcPr>
            <w:tcW w:w="1360" w:type="dxa"/>
            <w:gridSpan w:val="4"/>
            <w:tcBorders>
              <w:top w:val="nil"/>
              <w:left w:val="nil"/>
              <w:bottom w:val="dashed" w:sz="4" w:space="0" w:color="auto"/>
              <w:right w:val="dashed" w:sz="4" w:space="0" w:color="auto"/>
            </w:tcBorders>
            <w:shd w:val="clear" w:color="auto" w:fill="auto"/>
            <w:vAlign w:val="center"/>
            <w:hideMark/>
          </w:tcPr>
          <w:p w14:paraId="0B3EF600" w14:textId="77777777" w:rsidR="00247CBF" w:rsidRPr="00092ED7" w:rsidRDefault="00247CBF" w:rsidP="00247CBF">
            <w:pPr>
              <w:spacing w:after="0"/>
              <w:jc w:val="right"/>
              <w:rPr>
                <w:sz w:val="20"/>
                <w:szCs w:val="20"/>
                <w:lang w:val="sr-Cyrl-CS"/>
              </w:rPr>
            </w:pPr>
            <w:r w:rsidRPr="00092ED7">
              <w:rPr>
                <w:sz w:val="20"/>
                <w:szCs w:val="20"/>
                <w:lang w:val="sr-Cyrl-CS"/>
              </w:rPr>
              <w:t>1.091,8</w:t>
            </w:r>
          </w:p>
        </w:tc>
        <w:tc>
          <w:tcPr>
            <w:tcW w:w="1260" w:type="dxa"/>
            <w:gridSpan w:val="4"/>
            <w:tcBorders>
              <w:top w:val="nil"/>
              <w:left w:val="nil"/>
              <w:bottom w:val="dashed" w:sz="4" w:space="0" w:color="auto"/>
              <w:right w:val="dashed" w:sz="4" w:space="0" w:color="auto"/>
            </w:tcBorders>
            <w:shd w:val="clear" w:color="auto" w:fill="auto"/>
            <w:vAlign w:val="center"/>
            <w:hideMark/>
          </w:tcPr>
          <w:p w14:paraId="097007D0" w14:textId="77777777" w:rsidR="00247CBF" w:rsidRPr="00092ED7" w:rsidRDefault="00247CBF" w:rsidP="00247CBF">
            <w:pPr>
              <w:spacing w:after="0"/>
              <w:jc w:val="right"/>
              <w:rPr>
                <w:sz w:val="20"/>
                <w:szCs w:val="20"/>
                <w:lang w:val="sr-Cyrl-CS"/>
              </w:rPr>
            </w:pPr>
            <w:r w:rsidRPr="00092ED7">
              <w:rPr>
                <w:sz w:val="20"/>
                <w:szCs w:val="20"/>
                <w:lang w:val="sr-Cyrl-CS"/>
              </w:rPr>
              <w:t>1.103,8</w:t>
            </w:r>
          </w:p>
        </w:tc>
        <w:tc>
          <w:tcPr>
            <w:tcW w:w="1260" w:type="dxa"/>
            <w:gridSpan w:val="3"/>
            <w:tcBorders>
              <w:top w:val="nil"/>
              <w:left w:val="nil"/>
              <w:bottom w:val="dashed" w:sz="4" w:space="0" w:color="auto"/>
              <w:right w:val="dashed" w:sz="4" w:space="0" w:color="auto"/>
            </w:tcBorders>
            <w:shd w:val="clear" w:color="auto" w:fill="auto"/>
            <w:vAlign w:val="center"/>
            <w:hideMark/>
          </w:tcPr>
          <w:p w14:paraId="29E877AD" w14:textId="77777777" w:rsidR="00247CBF" w:rsidRPr="00092ED7" w:rsidRDefault="00247CBF" w:rsidP="00247CBF">
            <w:pPr>
              <w:spacing w:after="0"/>
              <w:jc w:val="right"/>
              <w:rPr>
                <w:sz w:val="20"/>
                <w:szCs w:val="20"/>
                <w:lang w:val="sr-Cyrl-CS"/>
              </w:rPr>
            </w:pPr>
            <w:r w:rsidRPr="00092ED7">
              <w:rPr>
                <w:sz w:val="20"/>
                <w:szCs w:val="20"/>
                <w:lang w:val="sr-Cyrl-CS"/>
              </w:rPr>
              <w:t>1.143,6</w:t>
            </w:r>
          </w:p>
        </w:tc>
        <w:tc>
          <w:tcPr>
            <w:tcW w:w="1268" w:type="dxa"/>
            <w:gridSpan w:val="3"/>
            <w:tcBorders>
              <w:top w:val="nil"/>
              <w:left w:val="nil"/>
              <w:bottom w:val="dashed" w:sz="4" w:space="0" w:color="auto"/>
              <w:right w:val="double" w:sz="4" w:space="0" w:color="auto"/>
            </w:tcBorders>
            <w:shd w:val="clear" w:color="auto" w:fill="auto"/>
            <w:vAlign w:val="center"/>
            <w:hideMark/>
          </w:tcPr>
          <w:p w14:paraId="5643FBC4" w14:textId="77777777" w:rsidR="00247CBF" w:rsidRPr="00092ED7" w:rsidRDefault="00247CBF" w:rsidP="00247CBF">
            <w:pPr>
              <w:spacing w:after="0"/>
              <w:jc w:val="right"/>
              <w:rPr>
                <w:sz w:val="20"/>
                <w:szCs w:val="20"/>
                <w:lang w:val="sr-Cyrl-CS"/>
              </w:rPr>
            </w:pPr>
            <w:r w:rsidRPr="00092ED7">
              <w:rPr>
                <w:sz w:val="20"/>
                <w:szCs w:val="20"/>
                <w:lang w:val="sr-Cyrl-CS"/>
              </w:rPr>
              <w:t>1.205,3</w:t>
            </w:r>
          </w:p>
        </w:tc>
      </w:tr>
      <w:tr w:rsidR="00247CBF" w:rsidRPr="00092ED7" w14:paraId="5B6B28A0" w14:textId="77777777" w:rsidTr="00247CBF">
        <w:trPr>
          <w:gridAfter w:val="3"/>
          <w:wAfter w:w="365" w:type="dxa"/>
          <w:trHeight w:val="225"/>
        </w:trPr>
        <w:tc>
          <w:tcPr>
            <w:tcW w:w="4962" w:type="dxa"/>
            <w:gridSpan w:val="3"/>
            <w:tcBorders>
              <w:top w:val="nil"/>
              <w:left w:val="double" w:sz="6" w:space="0" w:color="auto"/>
              <w:bottom w:val="dashed" w:sz="4" w:space="0" w:color="auto"/>
              <w:right w:val="nil"/>
            </w:tcBorders>
            <w:shd w:val="clear" w:color="auto" w:fill="auto"/>
            <w:vAlign w:val="bottom"/>
            <w:hideMark/>
          </w:tcPr>
          <w:p w14:paraId="710E22B2"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3. Грађевинарство</w:t>
            </w:r>
          </w:p>
        </w:tc>
        <w:tc>
          <w:tcPr>
            <w:tcW w:w="1447" w:type="dxa"/>
            <w:gridSpan w:val="3"/>
            <w:tcBorders>
              <w:top w:val="nil"/>
              <w:left w:val="single" w:sz="8" w:space="0" w:color="auto"/>
              <w:bottom w:val="dashed" w:sz="4" w:space="0" w:color="auto"/>
              <w:right w:val="single" w:sz="8" w:space="0" w:color="auto"/>
            </w:tcBorders>
            <w:shd w:val="clear" w:color="auto" w:fill="auto"/>
            <w:vAlign w:val="center"/>
            <w:hideMark/>
          </w:tcPr>
          <w:p w14:paraId="46560405" w14:textId="77777777" w:rsidR="00247CBF" w:rsidRPr="00092ED7" w:rsidRDefault="00247CBF" w:rsidP="00247CBF">
            <w:pPr>
              <w:spacing w:after="0"/>
              <w:jc w:val="center"/>
              <w:rPr>
                <w:sz w:val="20"/>
                <w:szCs w:val="20"/>
                <w:lang w:val="sr-Cyrl-CS"/>
              </w:rPr>
            </w:pPr>
            <w:r w:rsidRPr="00092ED7">
              <w:rPr>
                <w:sz w:val="20"/>
                <w:szCs w:val="20"/>
                <w:lang w:val="sr-Cyrl-CS"/>
              </w:rPr>
              <w:t>сталне цене</w:t>
            </w:r>
          </w:p>
        </w:tc>
        <w:tc>
          <w:tcPr>
            <w:tcW w:w="1380" w:type="dxa"/>
            <w:gridSpan w:val="3"/>
            <w:tcBorders>
              <w:top w:val="nil"/>
              <w:left w:val="nil"/>
              <w:bottom w:val="dashed" w:sz="4" w:space="0" w:color="auto"/>
              <w:right w:val="dashed" w:sz="4" w:space="0" w:color="auto"/>
            </w:tcBorders>
            <w:shd w:val="clear" w:color="auto" w:fill="auto"/>
            <w:noWrap/>
            <w:vAlign w:val="center"/>
            <w:hideMark/>
          </w:tcPr>
          <w:p w14:paraId="6CE5094F" w14:textId="77777777" w:rsidR="00247CBF" w:rsidRPr="00092ED7" w:rsidRDefault="00247CBF" w:rsidP="00247CBF">
            <w:pPr>
              <w:spacing w:after="0"/>
              <w:jc w:val="right"/>
              <w:rPr>
                <w:sz w:val="20"/>
                <w:szCs w:val="20"/>
                <w:lang w:val="sr-Cyrl-CS"/>
              </w:rPr>
            </w:pPr>
            <w:r w:rsidRPr="00092ED7">
              <w:rPr>
                <w:sz w:val="20"/>
                <w:szCs w:val="20"/>
                <w:lang w:val="sr-Cyrl-CS"/>
              </w:rPr>
              <w:t>263,2</w:t>
            </w:r>
          </w:p>
        </w:tc>
        <w:tc>
          <w:tcPr>
            <w:tcW w:w="1300" w:type="dxa"/>
            <w:gridSpan w:val="4"/>
            <w:tcBorders>
              <w:top w:val="nil"/>
              <w:left w:val="nil"/>
              <w:bottom w:val="dashed" w:sz="4" w:space="0" w:color="auto"/>
              <w:right w:val="dashed" w:sz="4" w:space="0" w:color="auto"/>
            </w:tcBorders>
            <w:shd w:val="clear" w:color="auto" w:fill="auto"/>
            <w:vAlign w:val="center"/>
            <w:hideMark/>
          </w:tcPr>
          <w:p w14:paraId="29A2FF35" w14:textId="77777777" w:rsidR="00247CBF" w:rsidRPr="00092ED7" w:rsidRDefault="00247CBF" w:rsidP="00247CBF">
            <w:pPr>
              <w:spacing w:after="0"/>
              <w:jc w:val="right"/>
              <w:rPr>
                <w:sz w:val="20"/>
                <w:szCs w:val="20"/>
                <w:lang w:val="sr-Cyrl-CS"/>
              </w:rPr>
            </w:pPr>
            <w:r w:rsidRPr="00092ED7">
              <w:rPr>
                <w:sz w:val="20"/>
                <w:szCs w:val="20"/>
                <w:lang w:val="sr-Cyrl-CS"/>
              </w:rPr>
              <w:t>309,6</w:t>
            </w:r>
          </w:p>
        </w:tc>
        <w:tc>
          <w:tcPr>
            <w:tcW w:w="1360" w:type="dxa"/>
            <w:gridSpan w:val="4"/>
            <w:tcBorders>
              <w:top w:val="nil"/>
              <w:left w:val="nil"/>
              <w:bottom w:val="dashed" w:sz="4" w:space="0" w:color="auto"/>
              <w:right w:val="dashed" w:sz="4" w:space="0" w:color="auto"/>
            </w:tcBorders>
            <w:shd w:val="clear" w:color="auto" w:fill="auto"/>
            <w:vAlign w:val="center"/>
            <w:hideMark/>
          </w:tcPr>
          <w:p w14:paraId="6D25501F" w14:textId="77777777" w:rsidR="00247CBF" w:rsidRPr="00092ED7" w:rsidRDefault="00247CBF" w:rsidP="00247CBF">
            <w:pPr>
              <w:spacing w:after="0"/>
              <w:jc w:val="right"/>
              <w:rPr>
                <w:sz w:val="20"/>
                <w:szCs w:val="20"/>
                <w:lang w:val="sr-Cyrl-CS"/>
              </w:rPr>
            </w:pPr>
            <w:r w:rsidRPr="00092ED7">
              <w:rPr>
                <w:sz w:val="20"/>
                <w:szCs w:val="20"/>
                <w:lang w:val="sr-Cyrl-CS"/>
              </w:rPr>
              <w:t>282,6</w:t>
            </w:r>
          </w:p>
        </w:tc>
        <w:tc>
          <w:tcPr>
            <w:tcW w:w="1260" w:type="dxa"/>
            <w:gridSpan w:val="4"/>
            <w:tcBorders>
              <w:top w:val="nil"/>
              <w:left w:val="nil"/>
              <w:bottom w:val="dashed" w:sz="4" w:space="0" w:color="auto"/>
              <w:right w:val="dashed" w:sz="4" w:space="0" w:color="auto"/>
            </w:tcBorders>
            <w:shd w:val="clear" w:color="auto" w:fill="auto"/>
            <w:vAlign w:val="center"/>
            <w:hideMark/>
          </w:tcPr>
          <w:p w14:paraId="4B7F941F" w14:textId="77777777" w:rsidR="00247CBF" w:rsidRPr="00092ED7" w:rsidRDefault="00247CBF" w:rsidP="00247CBF">
            <w:pPr>
              <w:spacing w:after="0"/>
              <w:jc w:val="right"/>
              <w:rPr>
                <w:sz w:val="20"/>
                <w:szCs w:val="20"/>
                <w:lang w:val="sr-Cyrl-CS"/>
              </w:rPr>
            </w:pPr>
            <w:r w:rsidRPr="00092ED7">
              <w:rPr>
                <w:sz w:val="20"/>
                <w:szCs w:val="20"/>
                <w:lang w:val="sr-Cyrl-CS"/>
              </w:rPr>
              <w:t>285,1</w:t>
            </w:r>
          </w:p>
        </w:tc>
        <w:tc>
          <w:tcPr>
            <w:tcW w:w="1260" w:type="dxa"/>
            <w:gridSpan w:val="3"/>
            <w:tcBorders>
              <w:top w:val="nil"/>
              <w:left w:val="nil"/>
              <w:bottom w:val="dashed" w:sz="4" w:space="0" w:color="auto"/>
              <w:right w:val="dashed" w:sz="4" w:space="0" w:color="auto"/>
            </w:tcBorders>
            <w:shd w:val="clear" w:color="auto" w:fill="auto"/>
            <w:vAlign w:val="center"/>
            <w:hideMark/>
          </w:tcPr>
          <w:p w14:paraId="78624199" w14:textId="77777777" w:rsidR="00247CBF" w:rsidRPr="00092ED7" w:rsidRDefault="00247CBF" w:rsidP="00247CBF">
            <w:pPr>
              <w:spacing w:after="0"/>
              <w:jc w:val="right"/>
              <w:rPr>
                <w:sz w:val="20"/>
                <w:szCs w:val="20"/>
                <w:lang w:val="sr-Cyrl-CS"/>
              </w:rPr>
            </w:pPr>
            <w:r w:rsidRPr="00092ED7">
              <w:rPr>
                <w:sz w:val="20"/>
                <w:szCs w:val="20"/>
                <w:lang w:val="sr-Cyrl-CS"/>
              </w:rPr>
              <w:t>299,9</w:t>
            </w:r>
          </w:p>
        </w:tc>
        <w:tc>
          <w:tcPr>
            <w:tcW w:w="1268" w:type="dxa"/>
            <w:gridSpan w:val="3"/>
            <w:tcBorders>
              <w:top w:val="nil"/>
              <w:left w:val="nil"/>
              <w:bottom w:val="dashed" w:sz="4" w:space="0" w:color="auto"/>
              <w:right w:val="double" w:sz="4" w:space="0" w:color="auto"/>
            </w:tcBorders>
            <w:shd w:val="clear" w:color="auto" w:fill="auto"/>
            <w:vAlign w:val="center"/>
            <w:hideMark/>
          </w:tcPr>
          <w:p w14:paraId="6C7B90B4" w14:textId="77777777" w:rsidR="00247CBF" w:rsidRPr="00092ED7" w:rsidRDefault="00247CBF" w:rsidP="00247CBF">
            <w:pPr>
              <w:spacing w:after="0"/>
              <w:jc w:val="right"/>
              <w:rPr>
                <w:sz w:val="20"/>
                <w:szCs w:val="20"/>
                <w:lang w:val="sr-Cyrl-CS"/>
              </w:rPr>
            </w:pPr>
            <w:r w:rsidRPr="00092ED7">
              <w:rPr>
                <w:sz w:val="20"/>
                <w:szCs w:val="20"/>
                <w:lang w:val="sr-Cyrl-CS"/>
              </w:rPr>
              <w:t>317,6</w:t>
            </w:r>
          </w:p>
        </w:tc>
      </w:tr>
      <w:tr w:rsidR="00247CBF" w:rsidRPr="00092ED7" w14:paraId="0BDDCC4C" w14:textId="77777777" w:rsidTr="00247CBF">
        <w:trPr>
          <w:gridAfter w:val="3"/>
          <w:wAfter w:w="365" w:type="dxa"/>
          <w:trHeight w:val="225"/>
        </w:trPr>
        <w:tc>
          <w:tcPr>
            <w:tcW w:w="4962" w:type="dxa"/>
            <w:gridSpan w:val="3"/>
            <w:tcBorders>
              <w:top w:val="nil"/>
              <w:left w:val="double" w:sz="6" w:space="0" w:color="auto"/>
              <w:bottom w:val="single" w:sz="4" w:space="0" w:color="auto"/>
              <w:right w:val="nil"/>
            </w:tcBorders>
            <w:shd w:val="clear" w:color="auto" w:fill="auto"/>
            <w:vAlign w:val="bottom"/>
            <w:hideMark/>
          </w:tcPr>
          <w:p w14:paraId="390256DF"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4. Услуге</w:t>
            </w:r>
          </w:p>
        </w:tc>
        <w:tc>
          <w:tcPr>
            <w:tcW w:w="1447" w:type="dxa"/>
            <w:gridSpan w:val="3"/>
            <w:tcBorders>
              <w:top w:val="nil"/>
              <w:left w:val="single" w:sz="8" w:space="0" w:color="auto"/>
              <w:bottom w:val="single" w:sz="4" w:space="0" w:color="auto"/>
              <w:right w:val="single" w:sz="8" w:space="0" w:color="auto"/>
            </w:tcBorders>
            <w:shd w:val="clear" w:color="auto" w:fill="auto"/>
            <w:vAlign w:val="center"/>
            <w:hideMark/>
          </w:tcPr>
          <w:p w14:paraId="29CB6D33" w14:textId="77777777" w:rsidR="00247CBF" w:rsidRPr="00092ED7" w:rsidRDefault="00247CBF" w:rsidP="00247CBF">
            <w:pPr>
              <w:spacing w:after="0"/>
              <w:jc w:val="center"/>
              <w:rPr>
                <w:sz w:val="20"/>
                <w:szCs w:val="20"/>
                <w:lang w:val="sr-Cyrl-CS"/>
              </w:rPr>
            </w:pPr>
            <w:r w:rsidRPr="00092ED7">
              <w:rPr>
                <w:sz w:val="20"/>
                <w:szCs w:val="20"/>
                <w:lang w:val="sr-Cyrl-CS"/>
              </w:rPr>
              <w:t>сталне цене</w:t>
            </w:r>
          </w:p>
        </w:tc>
        <w:tc>
          <w:tcPr>
            <w:tcW w:w="1380" w:type="dxa"/>
            <w:gridSpan w:val="3"/>
            <w:tcBorders>
              <w:top w:val="nil"/>
              <w:left w:val="nil"/>
              <w:bottom w:val="single" w:sz="4" w:space="0" w:color="auto"/>
              <w:right w:val="dashed" w:sz="4" w:space="0" w:color="auto"/>
            </w:tcBorders>
            <w:shd w:val="clear" w:color="auto" w:fill="auto"/>
            <w:noWrap/>
            <w:vAlign w:val="center"/>
            <w:hideMark/>
          </w:tcPr>
          <w:p w14:paraId="7C28FC3D" w14:textId="77777777" w:rsidR="00247CBF" w:rsidRPr="00092ED7" w:rsidRDefault="00247CBF" w:rsidP="00247CBF">
            <w:pPr>
              <w:spacing w:after="0"/>
              <w:jc w:val="right"/>
              <w:rPr>
                <w:sz w:val="20"/>
                <w:szCs w:val="20"/>
                <w:lang w:val="sr-Cyrl-CS"/>
              </w:rPr>
            </w:pPr>
            <w:r w:rsidRPr="00092ED7">
              <w:rPr>
                <w:sz w:val="20"/>
                <w:szCs w:val="20"/>
                <w:lang w:val="sr-Cyrl-CS"/>
              </w:rPr>
              <w:t>2.489,1</w:t>
            </w:r>
          </w:p>
        </w:tc>
        <w:tc>
          <w:tcPr>
            <w:tcW w:w="1300" w:type="dxa"/>
            <w:gridSpan w:val="4"/>
            <w:tcBorders>
              <w:top w:val="nil"/>
              <w:left w:val="nil"/>
              <w:bottom w:val="single" w:sz="4" w:space="0" w:color="auto"/>
              <w:right w:val="dashed" w:sz="4" w:space="0" w:color="auto"/>
            </w:tcBorders>
            <w:shd w:val="clear" w:color="auto" w:fill="auto"/>
            <w:vAlign w:val="center"/>
            <w:hideMark/>
          </w:tcPr>
          <w:p w14:paraId="4B61B1A3" w14:textId="77777777" w:rsidR="00247CBF" w:rsidRPr="00092ED7" w:rsidRDefault="00247CBF" w:rsidP="00247CBF">
            <w:pPr>
              <w:spacing w:after="0"/>
              <w:jc w:val="right"/>
              <w:rPr>
                <w:sz w:val="20"/>
                <w:szCs w:val="20"/>
                <w:lang w:val="sr-Cyrl-CS"/>
              </w:rPr>
            </w:pPr>
            <w:r w:rsidRPr="00092ED7">
              <w:rPr>
                <w:sz w:val="20"/>
                <w:szCs w:val="20"/>
                <w:lang w:val="sr-Cyrl-CS"/>
              </w:rPr>
              <w:t>2.696,8</w:t>
            </w:r>
          </w:p>
        </w:tc>
        <w:tc>
          <w:tcPr>
            <w:tcW w:w="1360" w:type="dxa"/>
            <w:gridSpan w:val="4"/>
            <w:tcBorders>
              <w:top w:val="nil"/>
              <w:left w:val="nil"/>
              <w:bottom w:val="single" w:sz="4" w:space="0" w:color="auto"/>
              <w:right w:val="dashed" w:sz="4" w:space="0" w:color="auto"/>
            </w:tcBorders>
            <w:shd w:val="clear" w:color="auto" w:fill="auto"/>
            <w:vAlign w:val="center"/>
            <w:hideMark/>
          </w:tcPr>
          <w:p w14:paraId="7DE88F41" w14:textId="77777777" w:rsidR="00247CBF" w:rsidRPr="00092ED7" w:rsidRDefault="00247CBF" w:rsidP="00247CBF">
            <w:pPr>
              <w:spacing w:after="0"/>
              <w:jc w:val="right"/>
              <w:rPr>
                <w:sz w:val="20"/>
                <w:szCs w:val="20"/>
                <w:lang w:val="sr-Cyrl-CS"/>
              </w:rPr>
            </w:pPr>
            <w:r w:rsidRPr="00092ED7">
              <w:rPr>
                <w:sz w:val="20"/>
                <w:szCs w:val="20"/>
                <w:lang w:val="sr-Cyrl-CS"/>
              </w:rPr>
              <w:t>2.826,3</w:t>
            </w:r>
          </w:p>
        </w:tc>
        <w:tc>
          <w:tcPr>
            <w:tcW w:w="1260" w:type="dxa"/>
            <w:gridSpan w:val="4"/>
            <w:tcBorders>
              <w:top w:val="nil"/>
              <w:left w:val="nil"/>
              <w:bottom w:val="single" w:sz="4" w:space="0" w:color="auto"/>
              <w:right w:val="dashed" w:sz="4" w:space="0" w:color="auto"/>
            </w:tcBorders>
            <w:shd w:val="clear" w:color="auto" w:fill="auto"/>
            <w:vAlign w:val="center"/>
            <w:hideMark/>
          </w:tcPr>
          <w:p w14:paraId="5DCCB708" w14:textId="77777777" w:rsidR="00247CBF" w:rsidRPr="00092ED7" w:rsidRDefault="00247CBF" w:rsidP="00247CBF">
            <w:pPr>
              <w:spacing w:after="0"/>
              <w:jc w:val="right"/>
              <w:rPr>
                <w:sz w:val="20"/>
                <w:szCs w:val="20"/>
                <w:lang w:val="sr-Cyrl-CS"/>
              </w:rPr>
            </w:pPr>
            <w:r w:rsidRPr="00092ED7">
              <w:rPr>
                <w:sz w:val="20"/>
                <w:szCs w:val="20"/>
                <w:lang w:val="sr-Cyrl-CS"/>
              </w:rPr>
              <w:t>2.899,8</w:t>
            </w:r>
          </w:p>
        </w:tc>
        <w:tc>
          <w:tcPr>
            <w:tcW w:w="1260" w:type="dxa"/>
            <w:gridSpan w:val="3"/>
            <w:tcBorders>
              <w:top w:val="nil"/>
              <w:left w:val="nil"/>
              <w:bottom w:val="single" w:sz="4" w:space="0" w:color="auto"/>
              <w:right w:val="dashed" w:sz="4" w:space="0" w:color="auto"/>
            </w:tcBorders>
            <w:shd w:val="clear" w:color="auto" w:fill="auto"/>
            <w:vAlign w:val="center"/>
            <w:hideMark/>
          </w:tcPr>
          <w:p w14:paraId="1196A904" w14:textId="77777777" w:rsidR="00247CBF" w:rsidRPr="00092ED7" w:rsidRDefault="00247CBF" w:rsidP="00247CBF">
            <w:pPr>
              <w:spacing w:after="0"/>
              <w:jc w:val="right"/>
              <w:rPr>
                <w:sz w:val="20"/>
                <w:szCs w:val="20"/>
                <w:lang w:val="sr-Cyrl-CS"/>
              </w:rPr>
            </w:pPr>
            <w:r w:rsidRPr="00092ED7">
              <w:rPr>
                <w:sz w:val="20"/>
                <w:szCs w:val="20"/>
                <w:lang w:val="sr-Cyrl-CS"/>
              </w:rPr>
              <w:t>3.009,9</w:t>
            </w:r>
          </w:p>
        </w:tc>
        <w:tc>
          <w:tcPr>
            <w:tcW w:w="1268" w:type="dxa"/>
            <w:gridSpan w:val="3"/>
            <w:tcBorders>
              <w:top w:val="nil"/>
              <w:left w:val="nil"/>
              <w:bottom w:val="single" w:sz="4" w:space="0" w:color="auto"/>
              <w:right w:val="double" w:sz="4" w:space="0" w:color="auto"/>
            </w:tcBorders>
            <w:shd w:val="clear" w:color="auto" w:fill="auto"/>
            <w:vAlign w:val="center"/>
            <w:hideMark/>
          </w:tcPr>
          <w:p w14:paraId="5BDEC2A3" w14:textId="77777777" w:rsidR="00247CBF" w:rsidRPr="00092ED7" w:rsidRDefault="00247CBF" w:rsidP="00247CBF">
            <w:pPr>
              <w:spacing w:after="0"/>
              <w:jc w:val="right"/>
              <w:rPr>
                <w:sz w:val="20"/>
                <w:szCs w:val="20"/>
                <w:lang w:val="sr-Cyrl-CS"/>
              </w:rPr>
            </w:pPr>
            <w:r w:rsidRPr="00092ED7">
              <w:rPr>
                <w:sz w:val="20"/>
                <w:szCs w:val="20"/>
                <w:lang w:val="sr-Cyrl-CS"/>
              </w:rPr>
              <w:t>3.130,3</w:t>
            </w:r>
          </w:p>
        </w:tc>
      </w:tr>
      <w:tr w:rsidR="00247CBF" w:rsidRPr="00092ED7" w14:paraId="5AE9B7D3" w14:textId="77777777" w:rsidTr="00247CBF">
        <w:trPr>
          <w:gridAfter w:val="3"/>
          <w:wAfter w:w="365" w:type="dxa"/>
          <w:trHeight w:val="255"/>
        </w:trPr>
        <w:tc>
          <w:tcPr>
            <w:tcW w:w="4962" w:type="dxa"/>
            <w:gridSpan w:val="3"/>
            <w:tcBorders>
              <w:top w:val="nil"/>
              <w:left w:val="double" w:sz="6" w:space="0" w:color="auto"/>
              <w:bottom w:val="dashed" w:sz="4" w:space="0" w:color="auto"/>
              <w:right w:val="nil"/>
            </w:tcBorders>
            <w:shd w:val="clear" w:color="auto" w:fill="auto"/>
            <w:vAlign w:val="bottom"/>
            <w:hideMark/>
          </w:tcPr>
          <w:p w14:paraId="56F3345C"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1. Пољопривреда</w:t>
            </w:r>
          </w:p>
        </w:tc>
        <w:tc>
          <w:tcPr>
            <w:tcW w:w="1447" w:type="dxa"/>
            <w:gridSpan w:val="3"/>
            <w:tcBorders>
              <w:top w:val="nil"/>
              <w:left w:val="single" w:sz="8" w:space="0" w:color="auto"/>
              <w:bottom w:val="dashed" w:sz="4" w:space="0" w:color="auto"/>
              <w:right w:val="single" w:sz="8" w:space="0" w:color="auto"/>
            </w:tcBorders>
            <w:shd w:val="clear" w:color="auto" w:fill="auto"/>
            <w:vAlign w:val="center"/>
            <w:hideMark/>
          </w:tcPr>
          <w:p w14:paraId="4B2C8277" w14:textId="77777777" w:rsidR="00247CBF" w:rsidRPr="00092ED7" w:rsidRDefault="00247CBF" w:rsidP="00247CBF">
            <w:pPr>
              <w:spacing w:after="0"/>
              <w:jc w:val="center"/>
              <w:rPr>
                <w:sz w:val="20"/>
                <w:szCs w:val="20"/>
                <w:lang w:val="sr-Cyrl-CS"/>
              </w:rPr>
            </w:pPr>
            <w:r w:rsidRPr="00092ED7">
              <w:rPr>
                <w:sz w:val="20"/>
                <w:szCs w:val="20"/>
                <w:lang w:val="sr-Cyrl-CS"/>
              </w:rPr>
              <w:t>текуће цене</w:t>
            </w:r>
          </w:p>
        </w:tc>
        <w:tc>
          <w:tcPr>
            <w:tcW w:w="1380" w:type="dxa"/>
            <w:gridSpan w:val="3"/>
            <w:tcBorders>
              <w:top w:val="nil"/>
              <w:left w:val="nil"/>
              <w:bottom w:val="dashed" w:sz="4" w:space="0" w:color="auto"/>
              <w:right w:val="dashed" w:sz="4" w:space="0" w:color="auto"/>
            </w:tcBorders>
            <w:shd w:val="clear" w:color="auto" w:fill="auto"/>
            <w:noWrap/>
            <w:vAlign w:val="center"/>
            <w:hideMark/>
          </w:tcPr>
          <w:p w14:paraId="0595EF4B" w14:textId="77777777" w:rsidR="00247CBF" w:rsidRPr="00092ED7" w:rsidRDefault="00247CBF" w:rsidP="00247CBF">
            <w:pPr>
              <w:spacing w:after="0"/>
              <w:jc w:val="right"/>
              <w:rPr>
                <w:sz w:val="20"/>
                <w:szCs w:val="20"/>
                <w:lang w:val="sr-Cyrl-CS"/>
              </w:rPr>
            </w:pPr>
            <w:r w:rsidRPr="00092ED7">
              <w:rPr>
                <w:sz w:val="20"/>
                <w:szCs w:val="20"/>
                <w:lang w:val="sr-Cyrl-CS"/>
              </w:rPr>
              <w:t>349,2</w:t>
            </w:r>
          </w:p>
        </w:tc>
        <w:tc>
          <w:tcPr>
            <w:tcW w:w="1300" w:type="dxa"/>
            <w:gridSpan w:val="4"/>
            <w:tcBorders>
              <w:top w:val="nil"/>
              <w:left w:val="nil"/>
              <w:bottom w:val="dashed" w:sz="4" w:space="0" w:color="auto"/>
              <w:right w:val="dashed" w:sz="4" w:space="0" w:color="auto"/>
            </w:tcBorders>
            <w:shd w:val="clear" w:color="auto" w:fill="auto"/>
            <w:noWrap/>
            <w:vAlign w:val="center"/>
            <w:hideMark/>
          </w:tcPr>
          <w:p w14:paraId="6409BE7A" w14:textId="77777777" w:rsidR="00247CBF" w:rsidRPr="00092ED7" w:rsidRDefault="00247CBF" w:rsidP="00247CBF">
            <w:pPr>
              <w:spacing w:after="0"/>
              <w:jc w:val="right"/>
              <w:rPr>
                <w:sz w:val="20"/>
                <w:szCs w:val="20"/>
                <w:lang w:val="sr-Cyrl-CS"/>
              </w:rPr>
            </w:pPr>
            <w:r w:rsidRPr="00092ED7">
              <w:rPr>
                <w:sz w:val="20"/>
                <w:szCs w:val="20"/>
                <w:lang w:val="sr-Cyrl-CS"/>
              </w:rPr>
              <w:t>394,6</w:t>
            </w:r>
          </w:p>
        </w:tc>
        <w:tc>
          <w:tcPr>
            <w:tcW w:w="1360" w:type="dxa"/>
            <w:gridSpan w:val="4"/>
            <w:tcBorders>
              <w:top w:val="nil"/>
              <w:left w:val="nil"/>
              <w:bottom w:val="dashed" w:sz="4" w:space="0" w:color="auto"/>
              <w:right w:val="dashed" w:sz="4" w:space="0" w:color="auto"/>
            </w:tcBorders>
            <w:shd w:val="clear" w:color="auto" w:fill="auto"/>
            <w:noWrap/>
            <w:vAlign w:val="center"/>
            <w:hideMark/>
          </w:tcPr>
          <w:p w14:paraId="64DD2AEE"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260" w:type="dxa"/>
            <w:gridSpan w:val="4"/>
            <w:tcBorders>
              <w:top w:val="nil"/>
              <w:left w:val="nil"/>
              <w:bottom w:val="dashed" w:sz="4" w:space="0" w:color="auto"/>
              <w:right w:val="dashed" w:sz="4" w:space="0" w:color="auto"/>
            </w:tcBorders>
            <w:shd w:val="clear" w:color="auto" w:fill="auto"/>
            <w:noWrap/>
            <w:vAlign w:val="center"/>
            <w:hideMark/>
          </w:tcPr>
          <w:p w14:paraId="13C4D9C9"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260" w:type="dxa"/>
            <w:gridSpan w:val="3"/>
            <w:tcBorders>
              <w:top w:val="nil"/>
              <w:left w:val="nil"/>
              <w:bottom w:val="dashed" w:sz="4" w:space="0" w:color="auto"/>
              <w:right w:val="dashed" w:sz="4" w:space="0" w:color="auto"/>
            </w:tcBorders>
            <w:shd w:val="clear" w:color="auto" w:fill="auto"/>
            <w:noWrap/>
            <w:vAlign w:val="center"/>
            <w:hideMark/>
          </w:tcPr>
          <w:p w14:paraId="01E3A806"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268" w:type="dxa"/>
            <w:gridSpan w:val="3"/>
            <w:tcBorders>
              <w:top w:val="nil"/>
              <w:left w:val="nil"/>
              <w:bottom w:val="dashed" w:sz="4" w:space="0" w:color="auto"/>
              <w:right w:val="double" w:sz="4" w:space="0" w:color="auto"/>
            </w:tcBorders>
            <w:shd w:val="clear" w:color="auto" w:fill="auto"/>
            <w:noWrap/>
            <w:vAlign w:val="center"/>
            <w:hideMark/>
          </w:tcPr>
          <w:p w14:paraId="15B1A3E8" w14:textId="77777777" w:rsidR="00247CBF" w:rsidRPr="00092ED7" w:rsidRDefault="00247CBF" w:rsidP="00247CBF">
            <w:pPr>
              <w:spacing w:after="0"/>
              <w:jc w:val="right"/>
              <w:rPr>
                <w:sz w:val="20"/>
                <w:szCs w:val="20"/>
                <w:lang w:val="sr-Cyrl-CS"/>
              </w:rPr>
            </w:pPr>
            <w:r w:rsidRPr="00092ED7">
              <w:rPr>
                <w:sz w:val="20"/>
                <w:szCs w:val="20"/>
                <w:lang w:val="sr-Cyrl-CS"/>
              </w:rPr>
              <w:t> </w:t>
            </w:r>
          </w:p>
        </w:tc>
      </w:tr>
      <w:tr w:rsidR="00247CBF" w:rsidRPr="00092ED7" w14:paraId="421D12F0" w14:textId="77777777" w:rsidTr="00247CBF">
        <w:trPr>
          <w:gridAfter w:val="3"/>
          <w:wAfter w:w="365" w:type="dxa"/>
          <w:trHeight w:val="255"/>
        </w:trPr>
        <w:tc>
          <w:tcPr>
            <w:tcW w:w="4962" w:type="dxa"/>
            <w:gridSpan w:val="3"/>
            <w:tcBorders>
              <w:top w:val="nil"/>
              <w:left w:val="double" w:sz="6" w:space="0" w:color="auto"/>
              <w:bottom w:val="dashed" w:sz="4" w:space="0" w:color="auto"/>
              <w:right w:val="nil"/>
            </w:tcBorders>
            <w:shd w:val="clear" w:color="auto" w:fill="auto"/>
            <w:vAlign w:val="bottom"/>
            <w:hideMark/>
          </w:tcPr>
          <w:p w14:paraId="533E0181"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2. Индустрија (осим грађевинарства)</w:t>
            </w:r>
          </w:p>
        </w:tc>
        <w:tc>
          <w:tcPr>
            <w:tcW w:w="1447" w:type="dxa"/>
            <w:gridSpan w:val="3"/>
            <w:tcBorders>
              <w:top w:val="nil"/>
              <w:left w:val="single" w:sz="8" w:space="0" w:color="auto"/>
              <w:bottom w:val="dashed" w:sz="4" w:space="0" w:color="auto"/>
              <w:right w:val="single" w:sz="8" w:space="0" w:color="auto"/>
            </w:tcBorders>
            <w:shd w:val="clear" w:color="auto" w:fill="auto"/>
            <w:vAlign w:val="center"/>
            <w:hideMark/>
          </w:tcPr>
          <w:p w14:paraId="0CCC8244" w14:textId="77777777" w:rsidR="00247CBF" w:rsidRPr="00092ED7" w:rsidRDefault="00247CBF" w:rsidP="00247CBF">
            <w:pPr>
              <w:spacing w:after="0"/>
              <w:jc w:val="center"/>
              <w:rPr>
                <w:sz w:val="20"/>
                <w:szCs w:val="20"/>
                <w:lang w:val="sr-Cyrl-CS"/>
              </w:rPr>
            </w:pPr>
            <w:r w:rsidRPr="00092ED7">
              <w:rPr>
                <w:sz w:val="20"/>
                <w:szCs w:val="20"/>
                <w:lang w:val="sr-Cyrl-CS"/>
              </w:rPr>
              <w:t>текуће цене</w:t>
            </w:r>
          </w:p>
        </w:tc>
        <w:tc>
          <w:tcPr>
            <w:tcW w:w="1380" w:type="dxa"/>
            <w:gridSpan w:val="3"/>
            <w:tcBorders>
              <w:top w:val="nil"/>
              <w:left w:val="nil"/>
              <w:bottom w:val="dashed" w:sz="4" w:space="0" w:color="auto"/>
              <w:right w:val="dashed" w:sz="4" w:space="0" w:color="auto"/>
            </w:tcBorders>
            <w:shd w:val="clear" w:color="auto" w:fill="auto"/>
            <w:noWrap/>
            <w:vAlign w:val="center"/>
            <w:hideMark/>
          </w:tcPr>
          <w:p w14:paraId="1CAE1A5C" w14:textId="77777777" w:rsidR="00247CBF" w:rsidRPr="00092ED7" w:rsidRDefault="00247CBF" w:rsidP="00247CBF">
            <w:pPr>
              <w:spacing w:after="0"/>
              <w:jc w:val="right"/>
              <w:rPr>
                <w:sz w:val="20"/>
                <w:szCs w:val="20"/>
                <w:lang w:val="sr-Cyrl-CS"/>
              </w:rPr>
            </w:pPr>
            <w:r w:rsidRPr="00092ED7">
              <w:rPr>
                <w:sz w:val="20"/>
                <w:szCs w:val="20"/>
                <w:lang w:val="sr-Cyrl-CS"/>
              </w:rPr>
              <w:t>1.071,1</w:t>
            </w:r>
          </w:p>
        </w:tc>
        <w:tc>
          <w:tcPr>
            <w:tcW w:w="1300" w:type="dxa"/>
            <w:gridSpan w:val="4"/>
            <w:tcBorders>
              <w:top w:val="nil"/>
              <w:left w:val="nil"/>
              <w:bottom w:val="dashed" w:sz="4" w:space="0" w:color="auto"/>
              <w:right w:val="dashed" w:sz="4" w:space="0" w:color="auto"/>
            </w:tcBorders>
            <w:shd w:val="clear" w:color="auto" w:fill="auto"/>
            <w:noWrap/>
            <w:vAlign w:val="center"/>
            <w:hideMark/>
          </w:tcPr>
          <w:p w14:paraId="5E3602FA" w14:textId="77777777" w:rsidR="00247CBF" w:rsidRPr="00092ED7" w:rsidRDefault="00247CBF" w:rsidP="00247CBF">
            <w:pPr>
              <w:spacing w:after="0"/>
              <w:jc w:val="right"/>
              <w:rPr>
                <w:sz w:val="20"/>
                <w:szCs w:val="20"/>
                <w:lang w:val="sr-Cyrl-CS"/>
              </w:rPr>
            </w:pPr>
            <w:r w:rsidRPr="00092ED7">
              <w:rPr>
                <w:sz w:val="20"/>
                <w:szCs w:val="20"/>
                <w:lang w:val="sr-Cyrl-CS"/>
              </w:rPr>
              <w:t>1.191,3</w:t>
            </w:r>
          </w:p>
        </w:tc>
        <w:tc>
          <w:tcPr>
            <w:tcW w:w="1360" w:type="dxa"/>
            <w:gridSpan w:val="4"/>
            <w:tcBorders>
              <w:top w:val="nil"/>
              <w:left w:val="nil"/>
              <w:bottom w:val="dashed" w:sz="4" w:space="0" w:color="auto"/>
              <w:right w:val="dashed" w:sz="4" w:space="0" w:color="auto"/>
            </w:tcBorders>
            <w:shd w:val="clear" w:color="auto" w:fill="auto"/>
            <w:noWrap/>
            <w:vAlign w:val="center"/>
            <w:hideMark/>
          </w:tcPr>
          <w:p w14:paraId="591D1C91"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260" w:type="dxa"/>
            <w:gridSpan w:val="4"/>
            <w:tcBorders>
              <w:top w:val="nil"/>
              <w:left w:val="nil"/>
              <w:bottom w:val="dashed" w:sz="4" w:space="0" w:color="auto"/>
              <w:right w:val="dashed" w:sz="4" w:space="0" w:color="auto"/>
            </w:tcBorders>
            <w:shd w:val="clear" w:color="auto" w:fill="auto"/>
            <w:noWrap/>
            <w:vAlign w:val="center"/>
            <w:hideMark/>
          </w:tcPr>
          <w:p w14:paraId="4CDDC828"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260" w:type="dxa"/>
            <w:gridSpan w:val="3"/>
            <w:tcBorders>
              <w:top w:val="nil"/>
              <w:left w:val="nil"/>
              <w:bottom w:val="dashed" w:sz="4" w:space="0" w:color="auto"/>
              <w:right w:val="dashed" w:sz="4" w:space="0" w:color="auto"/>
            </w:tcBorders>
            <w:shd w:val="clear" w:color="auto" w:fill="auto"/>
            <w:noWrap/>
            <w:vAlign w:val="center"/>
            <w:hideMark/>
          </w:tcPr>
          <w:p w14:paraId="73548C6E"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268" w:type="dxa"/>
            <w:gridSpan w:val="3"/>
            <w:tcBorders>
              <w:top w:val="nil"/>
              <w:left w:val="nil"/>
              <w:bottom w:val="dashed" w:sz="4" w:space="0" w:color="auto"/>
              <w:right w:val="double" w:sz="4" w:space="0" w:color="auto"/>
            </w:tcBorders>
            <w:shd w:val="clear" w:color="auto" w:fill="auto"/>
            <w:noWrap/>
            <w:vAlign w:val="center"/>
            <w:hideMark/>
          </w:tcPr>
          <w:p w14:paraId="0D9C595E" w14:textId="77777777" w:rsidR="00247CBF" w:rsidRPr="00092ED7" w:rsidRDefault="00247CBF" w:rsidP="00247CBF">
            <w:pPr>
              <w:spacing w:after="0"/>
              <w:jc w:val="right"/>
              <w:rPr>
                <w:sz w:val="20"/>
                <w:szCs w:val="20"/>
                <w:lang w:val="sr-Cyrl-CS"/>
              </w:rPr>
            </w:pPr>
            <w:r w:rsidRPr="00092ED7">
              <w:rPr>
                <w:sz w:val="20"/>
                <w:szCs w:val="20"/>
                <w:lang w:val="sr-Cyrl-CS"/>
              </w:rPr>
              <w:t> </w:t>
            </w:r>
          </w:p>
        </w:tc>
      </w:tr>
      <w:tr w:rsidR="00247CBF" w:rsidRPr="00092ED7" w14:paraId="4DD5BF12" w14:textId="77777777" w:rsidTr="00247CBF">
        <w:trPr>
          <w:gridAfter w:val="3"/>
          <w:wAfter w:w="365" w:type="dxa"/>
          <w:trHeight w:val="255"/>
        </w:trPr>
        <w:tc>
          <w:tcPr>
            <w:tcW w:w="4962" w:type="dxa"/>
            <w:gridSpan w:val="3"/>
            <w:tcBorders>
              <w:top w:val="nil"/>
              <w:left w:val="double" w:sz="6" w:space="0" w:color="auto"/>
              <w:bottom w:val="dashed" w:sz="4" w:space="0" w:color="auto"/>
              <w:right w:val="nil"/>
            </w:tcBorders>
            <w:shd w:val="clear" w:color="auto" w:fill="auto"/>
            <w:vAlign w:val="bottom"/>
            <w:hideMark/>
          </w:tcPr>
          <w:p w14:paraId="706C45F8"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3. Грађевинарство</w:t>
            </w:r>
          </w:p>
        </w:tc>
        <w:tc>
          <w:tcPr>
            <w:tcW w:w="1447" w:type="dxa"/>
            <w:gridSpan w:val="3"/>
            <w:tcBorders>
              <w:top w:val="nil"/>
              <w:left w:val="single" w:sz="8" w:space="0" w:color="auto"/>
              <w:bottom w:val="dashed" w:sz="4" w:space="0" w:color="auto"/>
              <w:right w:val="single" w:sz="8" w:space="0" w:color="auto"/>
            </w:tcBorders>
            <w:shd w:val="clear" w:color="auto" w:fill="auto"/>
            <w:vAlign w:val="center"/>
            <w:hideMark/>
          </w:tcPr>
          <w:p w14:paraId="04C5318F" w14:textId="77777777" w:rsidR="00247CBF" w:rsidRPr="00092ED7" w:rsidRDefault="00247CBF" w:rsidP="00247CBF">
            <w:pPr>
              <w:spacing w:after="0"/>
              <w:jc w:val="center"/>
              <w:rPr>
                <w:sz w:val="20"/>
                <w:szCs w:val="20"/>
                <w:lang w:val="sr-Cyrl-CS"/>
              </w:rPr>
            </w:pPr>
            <w:r w:rsidRPr="00092ED7">
              <w:rPr>
                <w:sz w:val="20"/>
                <w:szCs w:val="20"/>
                <w:lang w:val="sr-Cyrl-CS"/>
              </w:rPr>
              <w:t>текуће цене</w:t>
            </w:r>
          </w:p>
        </w:tc>
        <w:tc>
          <w:tcPr>
            <w:tcW w:w="1380" w:type="dxa"/>
            <w:gridSpan w:val="3"/>
            <w:tcBorders>
              <w:top w:val="nil"/>
              <w:left w:val="nil"/>
              <w:bottom w:val="dashed" w:sz="4" w:space="0" w:color="auto"/>
              <w:right w:val="dashed" w:sz="4" w:space="0" w:color="auto"/>
            </w:tcBorders>
            <w:shd w:val="clear" w:color="auto" w:fill="auto"/>
            <w:noWrap/>
            <w:vAlign w:val="center"/>
            <w:hideMark/>
          </w:tcPr>
          <w:p w14:paraId="1C0AF52C" w14:textId="77777777" w:rsidR="00247CBF" w:rsidRPr="00092ED7" w:rsidRDefault="00247CBF" w:rsidP="00247CBF">
            <w:pPr>
              <w:spacing w:after="0"/>
              <w:jc w:val="right"/>
              <w:rPr>
                <w:sz w:val="20"/>
                <w:szCs w:val="20"/>
                <w:lang w:val="sr-Cyrl-CS"/>
              </w:rPr>
            </w:pPr>
            <w:r w:rsidRPr="00092ED7">
              <w:rPr>
                <w:sz w:val="20"/>
                <w:szCs w:val="20"/>
                <w:lang w:val="sr-Cyrl-CS"/>
              </w:rPr>
              <w:t>299,6</w:t>
            </w:r>
          </w:p>
        </w:tc>
        <w:tc>
          <w:tcPr>
            <w:tcW w:w="1300" w:type="dxa"/>
            <w:gridSpan w:val="4"/>
            <w:tcBorders>
              <w:top w:val="nil"/>
              <w:left w:val="nil"/>
              <w:bottom w:val="dashed" w:sz="4" w:space="0" w:color="auto"/>
              <w:right w:val="dashed" w:sz="4" w:space="0" w:color="auto"/>
            </w:tcBorders>
            <w:shd w:val="clear" w:color="auto" w:fill="auto"/>
            <w:noWrap/>
            <w:vAlign w:val="center"/>
            <w:hideMark/>
          </w:tcPr>
          <w:p w14:paraId="6B6C51A1" w14:textId="77777777" w:rsidR="00247CBF" w:rsidRPr="00092ED7" w:rsidRDefault="00247CBF" w:rsidP="00247CBF">
            <w:pPr>
              <w:spacing w:after="0"/>
              <w:jc w:val="right"/>
              <w:rPr>
                <w:sz w:val="20"/>
                <w:szCs w:val="20"/>
                <w:lang w:val="sr-Cyrl-CS"/>
              </w:rPr>
            </w:pPr>
            <w:r w:rsidRPr="00092ED7">
              <w:rPr>
                <w:sz w:val="20"/>
                <w:szCs w:val="20"/>
                <w:lang w:val="sr-Cyrl-CS"/>
              </w:rPr>
              <w:t>376,1</w:t>
            </w:r>
          </w:p>
        </w:tc>
        <w:tc>
          <w:tcPr>
            <w:tcW w:w="1360" w:type="dxa"/>
            <w:gridSpan w:val="4"/>
            <w:tcBorders>
              <w:top w:val="nil"/>
              <w:left w:val="nil"/>
              <w:bottom w:val="dashed" w:sz="4" w:space="0" w:color="auto"/>
              <w:right w:val="dashed" w:sz="4" w:space="0" w:color="auto"/>
            </w:tcBorders>
            <w:shd w:val="clear" w:color="auto" w:fill="auto"/>
            <w:noWrap/>
            <w:vAlign w:val="center"/>
            <w:hideMark/>
          </w:tcPr>
          <w:p w14:paraId="3584739E"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260" w:type="dxa"/>
            <w:gridSpan w:val="4"/>
            <w:tcBorders>
              <w:top w:val="nil"/>
              <w:left w:val="nil"/>
              <w:bottom w:val="dashed" w:sz="4" w:space="0" w:color="auto"/>
              <w:right w:val="dashed" w:sz="4" w:space="0" w:color="auto"/>
            </w:tcBorders>
            <w:shd w:val="clear" w:color="auto" w:fill="auto"/>
            <w:noWrap/>
            <w:vAlign w:val="center"/>
            <w:hideMark/>
          </w:tcPr>
          <w:p w14:paraId="35543E0E"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260" w:type="dxa"/>
            <w:gridSpan w:val="3"/>
            <w:tcBorders>
              <w:top w:val="nil"/>
              <w:left w:val="nil"/>
              <w:bottom w:val="dashed" w:sz="4" w:space="0" w:color="auto"/>
              <w:right w:val="dashed" w:sz="4" w:space="0" w:color="auto"/>
            </w:tcBorders>
            <w:shd w:val="clear" w:color="auto" w:fill="auto"/>
            <w:noWrap/>
            <w:vAlign w:val="center"/>
            <w:hideMark/>
          </w:tcPr>
          <w:p w14:paraId="7BDD67C3"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268" w:type="dxa"/>
            <w:gridSpan w:val="3"/>
            <w:tcBorders>
              <w:top w:val="nil"/>
              <w:left w:val="nil"/>
              <w:bottom w:val="dashed" w:sz="4" w:space="0" w:color="auto"/>
              <w:right w:val="double" w:sz="4" w:space="0" w:color="auto"/>
            </w:tcBorders>
            <w:shd w:val="clear" w:color="auto" w:fill="auto"/>
            <w:noWrap/>
            <w:vAlign w:val="center"/>
            <w:hideMark/>
          </w:tcPr>
          <w:p w14:paraId="77E2AB62" w14:textId="77777777" w:rsidR="00247CBF" w:rsidRPr="00092ED7" w:rsidRDefault="00247CBF" w:rsidP="00247CBF">
            <w:pPr>
              <w:spacing w:after="0"/>
              <w:jc w:val="right"/>
              <w:rPr>
                <w:sz w:val="20"/>
                <w:szCs w:val="20"/>
                <w:lang w:val="sr-Cyrl-CS"/>
              </w:rPr>
            </w:pPr>
            <w:r w:rsidRPr="00092ED7">
              <w:rPr>
                <w:sz w:val="20"/>
                <w:szCs w:val="20"/>
                <w:lang w:val="sr-Cyrl-CS"/>
              </w:rPr>
              <w:t> </w:t>
            </w:r>
          </w:p>
        </w:tc>
      </w:tr>
      <w:tr w:rsidR="00247CBF" w:rsidRPr="00092ED7" w14:paraId="2BB7C93A" w14:textId="77777777" w:rsidTr="00247CBF">
        <w:trPr>
          <w:gridAfter w:val="3"/>
          <w:wAfter w:w="365" w:type="dxa"/>
          <w:trHeight w:val="270"/>
        </w:trPr>
        <w:tc>
          <w:tcPr>
            <w:tcW w:w="4962" w:type="dxa"/>
            <w:gridSpan w:val="3"/>
            <w:tcBorders>
              <w:top w:val="nil"/>
              <w:left w:val="double" w:sz="6" w:space="0" w:color="auto"/>
              <w:bottom w:val="dashed" w:sz="4" w:space="0" w:color="auto"/>
              <w:right w:val="nil"/>
            </w:tcBorders>
            <w:shd w:val="clear" w:color="auto" w:fill="auto"/>
            <w:vAlign w:val="bottom"/>
            <w:hideMark/>
          </w:tcPr>
          <w:p w14:paraId="1C0FE1BE"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4. Услуге</w:t>
            </w:r>
          </w:p>
        </w:tc>
        <w:tc>
          <w:tcPr>
            <w:tcW w:w="1447" w:type="dxa"/>
            <w:gridSpan w:val="3"/>
            <w:tcBorders>
              <w:top w:val="nil"/>
              <w:left w:val="single" w:sz="8" w:space="0" w:color="auto"/>
              <w:bottom w:val="dashed" w:sz="4" w:space="0" w:color="auto"/>
              <w:right w:val="single" w:sz="8" w:space="0" w:color="auto"/>
            </w:tcBorders>
            <w:shd w:val="clear" w:color="auto" w:fill="auto"/>
            <w:vAlign w:val="center"/>
            <w:hideMark/>
          </w:tcPr>
          <w:p w14:paraId="28540573" w14:textId="77777777" w:rsidR="00247CBF" w:rsidRPr="00092ED7" w:rsidRDefault="00247CBF" w:rsidP="00247CBF">
            <w:pPr>
              <w:spacing w:after="0"/>
              <w:jc w:val="center"/>
              <w:rPr>
                <w:sz w:val="20"/>
                <w:szCs w:val="20"/>
                <w:lang w:val="sr-Cyrl-CS"/>
              </w:rPr>
            </w:pPr>
            <w:r w:rsidRPr="00092ED7">
              <w:rPr>
                <w:sz w:val="20"/>
                <w:szCs w:val="20"/>
                <w:lang w:val="sr-Cyrl-CS"/>
              </w:rPr>
              <w:t>текуће цене</w:t>
            </w:r>
          </w:p>
        </w:tc>
        <w:tc>
          <w:tcPr>
            <w:tcW w:w="1380" w:type="dxa"/>
            <w:gridSpan w:val="3"/>
            <w:tcBorders>
              <w:top w:val="nil"/>
              <w:left w:val="nil"/>
              <w:bottom w:val="dashed" w:sz="4" w:space="0" w:color="auto"/>
              <w:right w:val="dashed" w:sz="4" w:space="0" w:color="auto"/>
            </w:tcBorders>
            <w:shd w:val="clear" w:color="auto" w:fill="auto"/>
            <w:noWrap/>
            <w:vAlign w:val="center"/>
            <w:hideMark/>
          </w:tcPr>
          <w:p w14:paraId="3A61D4EF" w14:textId="77777777" w:rsidR="00247CBF" w:rsidRPr="00092ED7" w:rsidRDefault="00247CBF" w:rsidP="00247CBF">
            <w:pPr>
              <w:spacing w:after="0"/>
              <w:jc w:val="right"/>
              <w:rPr>
                <w:sz w:val="20"/>
                <w:szCs w:val="20"/>
                <w:lang w:val="sr-Cyrl-CS"/>
              </w:rPr>
            </w:pPr>
            <w:r w:rsidRPr="00092ED7">
              <w:rPr>
                <w:sz w:val="20"/>
                <w:szCs w:val="20"/>
                <w:lang w:val="sr-Cyrl-CS"/>
              </w:rPr>
              <w:t>2.854,4</w:t>
            </w:r>
          </w:p>
        </w:tc>
        <w:tc>
          <w:tcPr>
            <w:tcW w:w="1300" w:type="dxa"/>
            <w:gridSpan w:val="4"/>
            <w:tcBorders>
              <w:top w:val="nil"/>
              <w:left w:val="nil"/>
              <w:bottom w:val="dashed" w:sz="4" w:space="0" w:color="auto"/>
              <w:right w:val="dashed" w:sz="4" w:space="0" w:color="auto"/>
            </w:tcBorders>
            <w:shd w:val="clear" w:color="auto" w:fill="auto"/>
            <w:noWrap/>
            <w:vAlign w:val="center"/>
            <w:hideMark/>
          </w:tcPr>
          <w:p w14:paraId="5632AB97" w14:textId="77777777" w:rsidR="00247CBF" w:rsidRPr="00092ED7" w:rsidRDefault="00247CBF" w:rsidP="00247CBF">
            <w:pPr>
              <w:spacing w:after="0"/>
              <w:jc w:val="right"/>
              <w:rPr>
                <w:sz w:val="20"/>
                <w:szCs w:val="20"/>
                <w:lang w:val="sr-Cyrl-CS"/>
              </w:rPr>
            </w:pPr>
            <w:r w:rsidRPr="00092ED7">
              <w:rPr>
                <w:sz w:val="20"/>
                <w:szCs w:val="20"/>
                <w:lang w:val="sr-Cyrl-CS"/>
              </w:rPr>
              <w:t>3.222,1</w:t>
            </w:r>
          </w:p>
        </w:tc>
        <w:tc>
          <w:tcPr>
            <w:tcW w:w="1360" w:type="dxa"/>
            <w:gridSpan w:val="4"/>
            <w:tcBorders>
              <w:top w:val="nil"/>
              <w:left w:val="nil"/>
              <w:bottom w:val="dashed" w:sz="4" w:space="0" w:color="auto"/>
              <w:right w:val="dashed" w:sz="4" w:space="0" w:color="auto"/>
            </w:tcBorders>
            <w:shd w:val="clear" w:color="auto" w:fill="auto"/>
            <w:noWrap/>
            <w:vAlign w:val="center"/>
            <w:hideMark/>
          </w:tcPr>
          <w:p w14:paraId="70EDA6BB"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260" w:type="dxa"/>
            <w:gridSpan w:val="4"/>
            <w:tcBorders>
              <w:top w:val="nil"/>
              <w:left w:val="nil"/>
              <w:bottom w:val="dashed" w:sz="4" w:space="0" w:color="auto"/>
              <w:right w:val="dashed" w:sz="4" w:space="0" w:color="auto"/>
            </w:tcBorders>
            <w:shd w:val="clear" w:color="auto" w:fill="auto"/>
            <w:noWrap/>
            <w:vAlign w:val="center"/>
            <w:hideMark/>
          </w:tcPr>
          <w:p w14:paraId="68223CD5"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260" w:type="dxa"/>
            <w:gridSpan w:val="3"/>
            <w:tcBorders>
              <w:top w:val="nil"/>
              <w:left w:val="nil"/>
              <w:bottom w:val="dashed" w:sz="4" w:space="0" w:color="auto"/>
              <w:right w:val="dashed" w:sz="4" w:space="0" w:color="auto"/>
            </w:tcBorders>
            <w:shd w:val="clear" w:color="auto" w:fill="auto"/>
            <w:noWrap/>
            <w:vAlign w:val="center"/>
            <w:hideMark/>
          </w:tcPr>
          <w:p w14:paraId="04849C9C"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268" w:type="dxa"/>
            <w:gridSpan w:val="3"/>
            <w:tcBorders>
              <w:top w:val="nil"/>
              <w:left w:val="nil"/>
              <w:bottom w:val="dashed" w:sz="4" w:space="0" w:color="auto"/>
              <w:right w:val="double" w:sz="4" w:space="0" w:color="auto"/>
            </w:tcBorders>
            <w:shd w:val="clear" w:color="auto" w:fill="auto"/>
            <w:noWrap/>
            <w:vAlign w:val="center"/>
            <w:hideMark/>
          </w:tcPr>
          <w:p w14:paraId="6E78CF5B" w14:textId="77777777" w:rsidR="00247CBF" w:rsidRPr="00092ED7" w:rsidRDefault="00247CBF" w:rsidP="00247CBF">
            <w:pPr>
              <w:spacing w:after="0"/>
              <w:jc w:val="right"/>
              <w:rPr>
                <w:sz w:val="20"/>
                <w:szCs w:val="20"/>
                <w:lang w:val="sr-Cyrl-CS"/>
              </w:rPr>
            </w:pPr>
            <w:r w:rsidRPr="00092ED7">
              <w:rPr>
                <w:sz w:val="20"/>
                <w:szCs w:val="20"/>
                <w:lang w:val="sr-Cyrl-CS"/>
              </w:rPr>
              <w:t> </w:t>
            </w:r>
          </w:p>
        </w:tc>
      </w:tr>
      <w:tr w:rsidR="00247CBF" w:rsidRPr="00092ED7" w14:paraId="3C7EF6BF" w14:textId="77777777" w:rsidTr="00247CBF">
        <w:trPr>
          <w:gridAfter w:val="3"/>
          <w:wAfter w:w="365" w:type="dxa"/>
          <w:trHeight w:val="270"/>
        </w:trPr>
        <w:tc>
          <w:tcPr>
            <w:tcW w:w="4962" w:type="dxa"/>
            <w:gridSpan w:val="3"/>
            <w:tcBorders>
              <w:top w:val="single" w:sz="8" w:space="0" w:color="auto"/>
              <w:left w:val="double" w:sz="6" w:space="0" w:color="auto"/>
              <w:bottom w:val="single" w:sz="8" w:space="0" w:color="auto"/>
              <w:right w:val="nil"/>
            </w:tcBorders>
            <w:shd w:val="clear" w:color="auto" w:fill="auto"/>
            <w:noWrap/>
            <w:vAlign w:val="center"/>
            <w:hideMark/>
          </w:tcPr>
          <w:p w14:paraId="44AF7097" w14:textId="77777777" w:rsidR="00247CBF" w:rsidRPr="00092ED7" w:rsidRDefault="00247CBF" w:rsidP="00247CBF">
            <w:pPr>
              <w:spacing w:after="0"/>
              <w:jc w:val="center"/>
              <w:rPr>
                <w:rFonts w:eastAsia="Times New Roman" w:cs="Times New Roman"/>
                <w:b/>
                <w:bCs/>
                <w:sz w:val="20"/>
                <w:szCs w:val="20"/>
                <w:lang w:val="sr-Cyrl-CS"/>
              </w:rPr>
            </w:pPr>
            <w:r w:rsidRPr="00092ED7">
              <w:rPr>
                <w:rFonts w:eastAsia="Times New Roman" w:cs="Times New Roman"/>
                <w:b/>
                <w:bCs/>
                <w:sz w:val="20"/>
                <w:szCs w:val="20"/>
                <w:lang w:val="sr-Cyrl-CS"/>
              </w:rPr>
              <w:t>Табела 1f:  Кретања у екстерном сектору</w:t>
            </w:r>
          </w:p>
        </w:tc>
        <w:tc>
          <w:tcPr>
            <w:tcW w:w="1447" w:type="dxa"/>
            <w:gridSpan w:val="3"/>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197F2561"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 </w:t>
            </w:r>
          </w:p>
        </w:tc>
        <w:tc>
          <w:tcPr>
            <w:tcW w:w="1380" w:type="dxa"/>
            <w:gridSpan w:val="3"/>
            <w:tcBorders>
              <w:top w:val="single" w:sz="8" w:space="0" w:color="auto"/>
              <w:left w:val="nil"/>
              <w:bottom w:val="single" w:sz="8" w:space="0" w:color="auto"/>
              <w:right w:val="nil"/>
            </w:tcBorders>
            <w:shd w:val="clear" w:color="auto" w:fill="auto"/>
            <w:noWrap/>
            <w:vAlign w:val="center"/>
            <w:hideMark/>
          </w:tcPr>
          <w:p w14:paraId="3DC9A985" w14:textId="77777777" w:rsidR="00247CBF" w:rsidRPr="00092ED7" w:rsidRDefault="00247CBF" w:rsidP="00247CBF">
            <w:pPr>
              <w:spacing w:after="0"/>
              <w:jc w:val="right"/>
              <w:rPr>
                <w:b/>
                <w:bCs/>
                <w:sz w:val="20"/>
                <w:szCs w:val="20"/>
                <w:lang w:val="sr-Cyrl-CS"/>
              </w:rPr>
            </w:pPr>
            <w:r w:rsidRPr="00092ED7">
              <w:rPr>
                <w:b/>
                <w:bCs/>
                <w:sz w:val="20"/>
                <w:szCs w:val="20"/>
                <w:lang w:val="sr-Cyrl-CS"/>
              </w:rPr>
              <w:t>2020</w:t>
            </w:r>
          </w:p>
        </w:tc>
        <w:tc>
          <w:tcPr>
            <w:tcW w:w="1300" w:type="dxa"/>
            <w:gridSpan w:val="4"/>
            <w:tcBorders>
              <w:top w:val="single" w:sz="8" w:space="0" w:color="auto"/>
              <w:left w:val="nil"/>
              <w:bottom w:val="single" w:sz="8" w:space="0" w:color="auto"/>
              <w:right w:val="nil"/>
            </w:tcBorders>
            <w:shd w:val="clear" w:color="auto" w:fill="auto"/>
            <w:noWrap/>
            <w:vAlign w:val="center"/>
            <w:hideMark/>
          </w:tcPr>
          <w:p w14:paraId="7C791E64" w14:textId="77777777" w:rsidR="00247CBF" w:rsidRPr="00092ED7" w:rsidRDefault="00247CBF" w:rsidP="00247CBF">
            <w:pPr>
              <w:spacing w:after="0"/>
              <w:jc w:val="right"/>
              <w:rPr>
                <w:b/>
                <w:bCs/>
                <w:sz w:val="20"/>
                <w:szCs w:val="20"/>
                <w:lang w:val="sr-Cyrl-CS"/>
              </w:rPr>
            </w:pPr>
            <w:r w:rsidRPr="00092ED7">
              <w:rPr>
                <w:b/>
                <w:bCs/>
                <w:sz w:val="20"/>
                <w:szCs w:val="20"/>
                <w:lang w:val="sr-Cyrl-CS"/>
              </w:rPr>
              <w:t>2021</w:t>
            </w:r>
          </w:p>
        </w:tc>
        <w:tc>
          <w:tcPr>
            <w:tcW w:w="1360" w:type="dxa"/>
            <w:gridSpan w:val="4"/>
            <w:tcBorders>
              <w:top w:val="single" w:sz="8" w:space="0" w:color="auto"/>
              <w:left w:val="nil"/>
              <w:bottom w:val="single" w:sz="8" w:space="0" w:color="auto"/>
              <w:right w:val="nil"/>
            </w:tcBorders>
            <w:shd w:val="clear" w:color="auto" w:fill="auto"/>
            <w:noWrap/>
            <w:vAlign w:val="center"/>
            <w:hideMark/>
          </w:tcPr>
          <w:p w14:paraId="4D8FE2AE" w14:textId="77777777" w:rsidR="00247CBF" w:rsidRPr="00092ED7" w:rsidRDefault="00247CBF" w:rsidP="00247CBF">
            <w:pPr>
              <w:spacing w:after="0"/>
              <w:jc w:val="right"/>
              <w:rPr>
                <w:b/>
                <w:bCs/>
                <w:sz w:val="20"/>
                <w:szCs w:val="20"/>
                <w:lang w:val="sr-Cyrl-CS"/>
              </w:rPr>
            </w:pPr>
            <w:r w:rsidRPr="00092ED7">
              <w:rPr>
                <w:b/>
                <w:bCs/>
                <w:sz w:val="20"/>
                <w:szCs w:val="20"/>
                <w:lang w:val="sr-Cyrl-CS"/>
              </w:rPr>
              <w:t>2022</w:t>
            </w:r>
          </w:p>
        </w:tc>
        <w:tc>
          <w:tcPr>
            <w:tcW w:w="1260" w:type="dxa"/>
            <w:gridSpan w:val="4"/>
            <w:tcBorders>
              <w:top w:val="single" w:sz="8" w:space="0" w:color="auto"/>
              <w:left w:val="nil"/>
              <w:bottom w:val="single" w:sz="8" w:space="0" w:color="auto"/>
              <w:right w:val="nil"/>
            </w:tcBorders>
            <w:shd w:val="clear" w:color="auto" w:fill="auto"/>
            <w:noWrap/>
            <w:vAlign w:val="center"/>
            <w:hideMark/>
          </w:tcPr>
          <w:p w14:paraId="23F80CE5" w14:textId="77777777" w:rsidR="00247CBF" w:rsidRPr="00092ED7" w:rsidRDefault="00247CBF" w:rsidP="00247CBF">
            <w:pPr>
              <w:spacing w:after="0"/>
              <w:jc w:val="right"/>
              <w:rPr>
                <w:b/>
                <w:bCs/>
                <w:sz w:val="20"/>
                <w:szCs w:val="20"/>
                <w:lang w:val="sr-Cyrl-CS"/>
              </w:rPr>
            </w:pPr>
            <w:r w:rsidRPr="00092ED7">
              <w:rPr>
                <w:b/>
                <w:bCs/>
                <w:sz w:val="20"/>
                <w:szCs w:val="20"/>
                <w:lang w:val="sr-Cyrl-CS"/>
              </w:rPr>
              <w:t>2023</w:t>
            </w:r>
          </w:p>
        </w:tc>
        <w:tc>
          <w:tcPr>
            <w:tcW w:w="1260" w:type="dxa"/>
            <w:gridSpan w:val="3"/>
            <w:tcBorders>
              <w:top w:val="single" w:sz="8" w:space="0" w:color="auto"/>
              <w:left w:val="nil"/>
              <w:bottom w:val="single" w:sz="8" w:space="0" w:color="auto"/>
              <w:right w:val="nil"/>
            </w:tcBorders>
            <w:shd w:val="clear" w:color="auto" w:fill="auto"/>
            <w:noWrap/>
            <w:vAlign w:val="center"/>
            <w:hideMark/>
          </w:tcPr>
          <w:p w14:paraId="7E13854E" w14:textId="77777777" w:rsidR="00247CBF" w:rsidRPr="00092ED7" w:rsidRDefault="00247CBF" w:rsidP="00247CBF">
            <w:pPr>
              <w:spacing w:after="0"/>
              <w:jc w:val="right"/>
              <w:rPr>
                <w:b/>
                <w:bCs/>
                <w:sz w:val="20"/>
                <w:szCs w:val="20"/>
                <w:lang w:val="sr-Cyrl-CS"/>
              </w:rPr>
            </w:pPr>
            <w:r w:rsidRPr="00092ED7">
              <w:rPr>
                <w:b/>
                <w:bCs/>
                <w:sz w:val="20"/>
                <w:szCs w:val="20"/>
                <w:lang w:val="sr-Cyrl-CS"/>
              </w:rPr>
              <w:t>2024</w:t>
            </w:r>
          </w:p>
        </w:tc>
        <w:tc>
          <w:tcPr>
            <w:tcW w:w="1268" w:type="dxa"/>
            <w:gridSpan w:val="3"/>
            <w:tcBorders>
              <w:top w:val="single" w:sz="8" w:space="0" w:color="auto"/>
              <w:left w:val="nil"/>
              <w:bottom w:val="single" w:sz="8" w:space="0" w:color="auto"/>
              <w:right w:val="double" w:sz="4" w:space="0" w:color="auto"/>
            </w:tcBorders>
            <w:shd w:val="clear" w:color="auto" w:fill="auto"/>
            <w:noWrap/>
            <w:vAlign w:val="center"/>
            <w:hideMark/>
          </w:tcPr>
          <w:p w14:paraId="4DEDF28D" w14:textId="77777777" w:rsidR="00247CBF" w:rsidRPr="00092ED7" w:rsidRDefault="00247CBF" w:rsidP="00247CBF">
            <w:pPr>
              <w:spacing w:after="0"/>
              <w:jc w:val="right"/>
              <w:rPr>
                <w:b/>
                <w:bCs/>
                <w:sz w:val="20"/>
                <w:szCs w:val="20"/>
                <w:lang w:val="sr-Cyrl-CS"/>
              </w:rPr>
            </w:pPr>
            <w:r w:rsidRPr="00092ED7">
              <w:rPr>
                <w:b/>
                <w:bCs/>
                <w:sz w:val="20"/>
                <w:szCs w:val="20"/>
                <w:lang w:val="sr-Cyrl-CS"/>
              </w:rPr>
              <w:t>2025</w:t>
            </w:r>
          </w:p>
        </w:tc>
      </w:tr>
      <w:tr w:rsidR="00247CBF" w:rsidRPr="00092ED7" w14:paraId="2A07C19F" w14:textId="77777777" w:rsidTr="00247CBF">
        <w:trPr>
          <w:gridAfter w:val="3"/>
          <w:wAfter w:w="365" w:type="dxa"/>
          <w:trHeight w:val="255"/>
        </w:trPr>
        <w:tc>
          <w:tcPr>
            <w:tcW w:w="4962" w:type="dxa"/>
            <w:gridSpan w:val="3"/>
            <w:tcBorders>
              <w:top w:val="dashed" w:sz="4" w:space="0" w:color="auto"/>
              <w:left w:val="double" w:sz="6" w:space="0" w:color="auto"/>
              <w:bottom w:val="dashed" w:sz="4" w:space="0" w:color="auto"/>
              <w:right w:val="nil"/>
            </w:tcBorders>
            <w:shd w:val="clear" w:color="auto" w:fill="auto"/>
            <w:hideMark/>
          </w:tcPr>
          <w:p w14:paraId="6DCCC9F6" w14:textId="77777777" w:rsidR="00247CBF" w:rsidRPr="00092ED7" w:rsidRDefault="00247CBF" w:rsidP="00247CBF">
            <w:pPr>
              <w:spacing w:after="0"/>
              <w:jc w:val="left"/>
              <w:rPr>
                <w:sz w:val="20"/>
                <w:szCs w:val="20"/>
                <w:lang w:val="sr-Cyrl-CS"/>
              </w:rPr>
            </w:pPr>
            <w:r w:rsidRPr="00092ED7">
              <w:rPr>
                <w:sz w:val="20"/>
                <w:szCs w:val="20"/>
                <w:lang w:val="sr-Cyrl-CS"/>
              </w:rPr>
              <w:t>2. Извоз робе</w:t>
            </w:r>
          </w:p>
        </w:tc>
        <w:tc>
          <w:tcPr>
            <w:tcW w:w="1447" w:type="dxa"/>
            <w:gridSpan w:val="3"/>
            <w:tcBorders>
              <w:top w:val="dashed" w:sz="4" w:space="0" w:color="auto"/>
              <w:left w:val="single" w:sz="8" w:space="0" w:color="auto"/>
              <w:bottom w:val="dashed" w:sz="4" w:space="0" w:color="auto"/>
              <w:right w:val="single" w:sz="8" w:space="0" w:color="auto"/>
            </w:tcBorders>
            <w:shd w:val="clear" w:color="auto" w:fill="auto"/>
            <w:noWrap/>
            <w:vAlign w:val="center"/>
            <w:hideMark/>
          </w:tcPr>
          <w:p w14:paraId="646CD4A2"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млрд ЕУР</w:t>
            </w:r>
          </w:p>
        </w:tc>
        <w:tc>
          <w:tcPr>
            <w:tcW w:w="1380" w:type="dxa"/>
            <w:gridSpan w:val="3"/>
            <w:tcBorders>
              <w:top w:val="dashed" w:sz="4" w:space="0" w:color="auto"/>
              <w:left w:val="nil"/>
              <w:bottom w:val="dashed" w:sz="4" w:space="0" w:color="auto"/>
              <w:right w:val="dashed" w:sz="4" w:space="0" w:color="auto"/>
            </w:tcBorders>
            <w:shd w:val="clear" w:color="auto" w:fill="auto"/>
            <w:noWrap/>
            <w:vAlign w:val="center"/>
            <w:hideMark/>
          </w:tcPr>
          <w:p w14:paraId="3E2624D7" w14:textId="77777777" w:rsidR="00247CBF" w:rsidRPr="00092ED7" w:rsidRDefault="00247CBF" w:rsidP="00247CBF">
            <w:pPr>
              <w:spacing w:after="0"/>
              <w:jc w:val="right"/>
              <w:rPr>
                <w:sz w:val="20"/>
                <w:szCs w:val="20"/>
                <w:lang w:val="sr-Cyrl-CS"/>
              </w:rPr>
            </w:pPr>
            <w:r w:rsidRPr="00092ED7">
              <w:rPr>
                <w:sz w:val="20"/>
                <w:szCs w:val="20"/>
                <w:lang w:val="sr-Cyrl-CS"/>
              </w:rPr>
              <w:t>16,1</w:t>
            </w:r>
          </w:p>
        </w:tc>
        <w:tc>
          <w:tcPr>
            <w:tcW w:w="1300" w:type="dxa"/>
            <w:gridSpan w:val="4"/>
            <w:tcBorders>
              <w:top w:val="dashed" w:sz="4" w:space="0" w:color="auto"/>
              <w:left w:val="nil"/>
              <w:bottom w:val="dashed" w:sz="4" w:space="0" w:color="auto"/>
              <w:right w:val="dashed" w:sz="4" w:space="0" w:color="auto"/>
            </w:tcBorders>
            <w:shd w:val="clear" w:color="auto" w:fill="auto"/>
            <w:noWrap/>
            <w:vAlign w:val="center"/>
            <w:hideMark/>
          </w:tcPr>
          <w:p w14:paraId="58602BB6" w14:textId="77777777" w:rsidR="00247CBF" w:rsidRPr="00092ED7" w:rsidRDefault="00247CBF" w:rsidP="00247CBF">
            <w:pPr>
              <w:spacing w:after="0"/>
              <w:jc w:val="right"/>
              <w:rPr>
                <w:sz w:val="20"/>
                <w:szCs w:val="20"/>
                <w:lang w:val="sr-Cyrl-CS"/>
              </w:rPr>
            </w:pPr>
            <w:r w:rsidRPr="00092ED7">
              <w:rPr>
                <w:sz w:val="20"/>
                <w:szCs w:val="20"/>
                <w:lang w:val="sr-Cyrl-CS"/>
              </w:rPr>
              <w:t>20,8</w:t>
            </w:r>
          </w:p>
        </w:tc>
        <w:tc>
          <w:tcPr>
            <w:tcW w:w="1360" w:type="dxa"/>
            <w:gridSpan w:val="4"/>
            <w:tcBorders>
              <w:top w:val="dashed" w:sz="4" w:space="0" w:color="auto"/>
              <w:left w:val="nil"/>
              <w:bottom w:val="dashed" w:sz="4" w:space="0" w:color="auto"/>
              <w:right w:val="dashed" w:sz="4" w:space="0" w:color="auto"/>
            </w:tcBorders>
            <w:shd w:val="clear" w:color="auto" w:fill="auto"/>
            <w:noWrap/>
            <w:vAlign w:val="center"/>
            <w:hideMark/>
          </w:tcPr>
          <w:p w14:paraId="7C79DCA0" w14:textId="77777777" w:rsidR="00247CBF" w:rsidRPr="00092ED7" w:rsidRDefault="00247CBF" w:rsidP="00247CBF">
            <w:pPr>
              <w:spacing w:after="0"/>
              <w:jc w:val="right"/>
              <w:rPr>
                <w:sz w:val="20"/>
                <w:szCs w:val="20"/>
                <w:lang w:val="sr-Cyrl-CS"/>
              </w:rPr>
            </w:pPr>
            <w:r w:rsidRPr="00092ED7">
              <w:rPr>
                <w:sz w:val="20"/>
                <w:szCs w:val="20"/>
                <w:lang w:val="sr-Cyrl-CS"/>
              </w:rPr>
              <w:t>28,5</w:t>
            </w:r>
          </w:p>
        </w:tc>
        <w:tc>
          <w:tcPr>
            <w:tcW w:w="1260" w:type="dxa"/>
            <w:gridSpan w:val="4"/>
            <w:tcBorders>
              <w:top w:val="dashed" w:sz="4" w:space="0" w:color="auto"/>
              <w:left w:val="nil"/>
              <w:bottom w:val="dashed" w:sz="4" w:space="0" w:color="auto"/>
              <w:right w:val="dashed" w:sz="4" w:space="0" w:color="auto"/>
            </w:tcBorders>
            <w:shd w:val="clear" w:color="auto" w:fill="auto"/>
            <w:noWrap/>
            <w:vAlign w:val="center"/>
            <w:hideMark/>
          </w:tcPr>
          <w:p w14:paraId="6A11DB76" w14:textId="77777777" w:rsidR="00247CBF" w:rsidRPr="00092ED7" w:rsidRDefault="00247CBF" w:rsidP="00247CBF">
            <w:pPr>
              <w:spacing w:after="0"/>
              <w:jc w:val="right"/>
              <w:rPr>
                <w:sz w:val="20"/>
                <w:szCs w:val="20"/>
                <w:lang w:val="sr-Cyrl-CS"/>
              </w:rPr>
            </w:pPr>
            <w:r w:rsidRPr="00092ED7">
              <w:rPr>
                <w:sz w:val="20"/>
                <w:szCs w:val="20"/>
                <w:lang w:val="sr-Cyrl-CS"/>
              </w:rPr>
              <w:t>33,0</w:t>
            </w:r>
          </w:p>
        </w:tc>
        <w:tc>
          <w:tcPr>
            <w:tcW w:w="1260" w:type="dxa"/>
            <w:gridSpan w:val="3"/>
            <w:tcBorders>
              <w:top w:val="dashed" w:sz="4" w:space="0" w:color="auto"/>
              <w:left w:val="nil"/>
              <w:bottom w:val="dashed" w:sz="4" w:space="0" w:color="auto"/>
              <w:right w:val="dashed" w:sz="4" w:space="0" w:color="auto"/>
            </w:tcBorders>
            <w:shd w:val="clear" w:color="auto" w:fill="auto"/>
            <w:noWrap/>
            <w:vAlign w:val="center"/>
            <w:hideMark/>
          </w:tcPr>
          <w:p w14:paraId="4A1D2917" w14:textId="77777777" w:rsidR="00247CBF" w:rsidRPr="00092ED7" w:rsidRDefault="00247CBF" w:rsidP="00247CBF">
            <w:pPr>
              <w:spacing w:after="0"/>
              <w:jc w:val="right"/>
              <w:rPr>
                <w:sz w:val="20"/>
                <w:szCs w:val="20"/>
                <w:lang w:val="sr-Cyrl-CS"/>
              </w:rPr>
            </w:pPr>
            <w:r w:rsidRPr="00092ED7">
              <w:rPr>
                <w:sz w:val="20"/>
                <w:szCs w:val="20"/>
                <w:lang w:val="sr-Cyrl-CS"/>
              </w:rPr>
              <w:t>35,9</w:t>
            </w:r>
          </w:p>
        </w:tc>
        <w:tc>
          <w:tcPr>
            <w:tcW w:w="1268" w:type="dxa"/>
            <w:gridSpan w:val="3"/>
            <w:tcBorders>
              <w:top w:val="dashed" w:sz="4" w:space="0" w:color="auto"/>
              <w:left w:val="nil"/>
              <w:bottom w:val="dashed" w:sz="4" w:space="0" w:color="auto"/>
              <w:right w:val="double" w:sz="4" w:space="0" w:color="auto"/>
            </w:tcBorders>
            <w:shd w:val="clear" w:color="auto" w:fill="auto"/>
            <w:noWrap/>
            <w:vAlign w:val="center"/>
            <w:hideMark/>
          </w:tcPr>
          <w:p w14:paraId="5BBE2E6C" w14:textId="77777777" w:rsidR="00247CBF" w:rsidRPr="00092ED7" w:rsidRDefault="00247CBF" w:rsidP="00247CBF">
            <w:pPr>
              <w:spacing w:after="0"/>
              <w:jc w:val="right"/>
              <w:rPr>
                <w:sz w:val="20"/>
                <w:szCs w:val="20"/>
                <w:lang w:val="sr-Cyrl-CS"/>
              </w:rPr>
            </w:pPr>
            <w:r w:rsidRPr="00092ED7">
              <w:rPr>
                <w:sz w:val="20"/>
                <w:szCs w:val="20"/>
                <w:lang w:val="sr-Cyrl-CS"/>
              </w:rPr>
              <w:t>39,5</w:t>
            </w:r>
          </w:p>
        </w:tc>
      </w:tr>
      <w:tr w:rsidR="00247CBF" w:rsidRPr="00092ED7" w14:paraId="4F9C111E" w14:textId="77777777" w:rsidTr="00247CBF">
        <w:trPr>
          <w:gridAfter w:val="3"/>
          <w:wAfter w:w="365" w:type="dxa"/>
          <w:trHeight w:val="255"/>
        </w:trPr>
        <w:tc>
          <w:tcPr>
            <w:tcW w:w="4962" w:type="dxa"/>
            <w:gridSpan w:val="3"/>
            <w:tcBorders>
              <w:top w:val="nil"/>
              <w:left w:val="double" w:sz="6" w:space="0" w:color="auto"/>
              <w:bottom w:val="dashed" w:sz="4" w:space="0" w:color="auto"/>
              <w:right w:val="nil"/>
            </w:tcBorders>
            <w:shd w:val="clear" w:color="auto" w:fill="auto"/>
            <w:hideMark/>
          </w:tcPr>
          <w:p w14:paraId="069BC92E" w14:textId="77777777" w:rsidR="00247CBF" w:rsidRPr="00092ED7" w:rsidRDefault="00247CBF" w:rsidP="00247CBF">
            <w:pPr>
              <w:spacing w:after="0"/>
              <w:rPr>
                <w:sz w:val="20"/>
                <w:szCs w:val="20"/>
                <w:lang w:val="sr-Cyrl-CS"/>
              </w:rPr>
            </w:pPr>
            <w:r w:rsidRPr="00092ED7">
              <w:rPr>
                <w:sz w:val="20"/>
                <w:szCs w:val="20"/>
                <w:lang w:val="sr-Cyrl-CS"/>
              </w:rPr>
              <w:t>3. Увоз робе</w:t>
            </w:r>
          </w:p>
        </w:tc>
        <w:tc>
          <w:tcPr>
            <w:tcW w:w="1447" w:type="dxa"/>
            <w:gridSpan w:val="3"/>
            <w:tcBorders>
              <w:top w:val="nil"/>
              <w:left w:val="single" w:sz="8" w:space="0" w:color="auto"/>
              <w:bottom w:val="dashed" w:sz="4" w:space="0" w:color="auto"/>
              <w:right w:val="single" w:sz="8" w:space="0" w:color="auto"/>
            </w:tcBorders>
            <w:shd w:val="clear" w:color="auto" w:fill="auto"/>
            <w:noWrap/>
            <w:vAlign w:val="center"/>
            <w:hideMark/>
          </w:tcPr>
          <w:p w14:paraId="2181AA14"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млрд ЕУР</w:t>
            </w:r>
          </w:p>
        </w:tc>
        <w:tc>
          <w:tcPr>
            <w:tcW w:w="1380" w:type="dxa"/>
            <w:gridSpan w:val="3"/>
            <w:tcBorders>
              <w:top w:val="nil"/>
              <w:left w:val="nil"/>
              <w:bottom w:val="dashed" w:sz="4" w:space="0" w:color="auto"/>
              <w:right w:val="dashed" w:sz="4" w:space="0" w:color="auto"/>
            </w:tcBorders>
            <w:shd w:val="clear" w:color="auto" w:fill="auto"/>
            <w:noWrap/>
            <w:vAlign w:val="center"/>
            <w:hideMark/>
          </w:tcPr>
          <w:p w14:paraId="066675DE" w14:textId="77777777" w:rsidR="00247CBF" w:rsidRPr="00092ED7" w:rsidRDefault="00247CBF" w:rsidP="00247CBF">
            <w:pPr>
              <w:spacing w:after="0"/>
              <w:jc w:val="right"/>
              <w:rPr>
                <w:sz w:val="20"/>
                <w:szCs w:val="20"/>
                <w:lang w:val="sr-Cyrl-CS"/>
              </w:rPr>
            </w:pPr>
            <w:r w:rsidRPr="00092ED7">
              <w:rPr>
                <w:sz w:val="20"/>
                <w:szCs w:val="20"/>
                <w:lang w:val="sr-Cyrl-CS"/>
              </w:rPr>
              <w:t>21,3</w:t>
            </w:r>
          </w:p>
        </w:tc>
        <w:tc>
          <w:tcPr>
            <w:tcW w:w="1300" w:type="dxa"/>
            <w:gridSpan w:val="4"/>
            <w:tcBorders>
              <w:top w:val="nil"/>
              <w:left w:val="nil"/>
              <w:bottom w:val="dashed" w:sz="4" w:space="0" w:color="auto"/>
              <w:right w:val="dashed" w:sz="4" w:space="0" w:color="auto"/>
            </w:tcBorders>
            <w:shd w:val="clear" w:color="auto" w:fill="auto"/>
            <w:noWrap/>
            <w:vAlign w:val="center"/>
            <w:hideMark/>
          </w:tcPr>
          <w:p w14:paraId="23C48CC2" w14:textId="77777777" w:rsidR="00247CBF" w:rsidRPr="00092ED7" w:rsidRDefault="00247CBF" w:rsidP="00247CBF">
            <w:pPr>
              <w:spacing w:after="0"/>
              <w:jc w:val="right"/>
              <w:rPr>
                <w:sz w:val="20"/>
                <w:szCs w:val="20"/>
                <w:lang w:val="sr-Cyrl-CS"/>
              </w:rPr>
            </w:pPr>
            <w:r w:rsidRPr="00092ED7">
              <w:rPr>
                <w:sz w:val="20"/>
                <w:szCs w:val="20"/>
                <w:lang w:val="sr-Cyrl-CS"/>
              </w:rPr>
              <w:t>26,7</w:t>
            </w:r>
          </w:p>
        </w:tc>
        <w:tc>
          <w:tcPr>
            <w:tcW w:w="1360" w:type="dxa"/>
            <w:gridSpan w:val="4"/>
            <w:tcBorders>
              <w:top w:val="nil"/>
              <w:left w:val="nil"/>
              <w:bottom w:val="dashed" w:sz="4" w:space="0" w:color="auto"/>
              <w:right w:val="dashed" w:sz="4" w:space="0" w:color="auto"/>
            </w:tcBorders>
            <w:shd w:val="clear" w:color="auto" w:fill="auto"/>
            <w:noWrap/>
            <w:vAlign w:val="center"/>
            <w:hideMark/>
          </w:tcPr>
          <w:p w14:paraId="4658B06A" w14:textId="77777777" w:rsidR="00247CBF" w:rsidRPr="00092ED7" w:rsidRDefault="00247CBF" w:rsidP="00247CBF">
            <w:pPr>
              <w:spacing w:after="0"/>
              <w:jc w:val="right"/>
              <w:rPr>
                <w:sz w:val="20"/>
                <w:szCs w:val="20"/>
                <w:lang w:val="sr-Cyrl-CS"/>
              </w:rPr>
            </w:pPr>
            <w:r w:rsidRPr="00092ED7">
              <w:rPr>
                <w:sz w:val="20"/>
                <w:szCs w:val="20"/>
                <w:lang w:val="sr-Cyrl-CS"/>
              </w:rPr>
              <w:t>37,4</w:t>
            </w:r>
          </w:p>
        </w:tc>
        <w:tc>
          <w:tcPr>
            <w:tcW w:w="1260" w:type="dxa"/>
            <w:gridSpan w:val="4"/>
            <w:tcBorders>
              <w:top w:val="nil"/>
              <w:left w:val="nil"/>
              <w:bottom w:val="dashed" w:sz="4" w:space="0" w:color="auto"/>
              <w:right w:val="dashed" w:sz="4" w:space="0" w:color="auto"/>
            </w:tcBorders>
            <w:shd w:val="clear" w:color="auto" w:fill="auto"/>
            <w:noWrap/>
            <w:vAlign w:val="center"/>
            <w:hideMark/>
          </w:tcPr>
          <w:p w14:paraId="5374A65A" w14:textId="77777777" w:rsidR="00247CBF" w:rsidRPr="00092ED7" w:rsidRDefault="00247CBF" w:rsidP="00247CBF">
            <w:pPr>
              <w:spacing w:after="0"/>
              <w:jc w:val="right"/>
              <w:rPr>
                <w:sz w:val="20"/>
                <w:szCs w:val="20"/>
                <w:lang w:val="sr-Cyrl-CS"/>
              </w:rPr>
            </w:pPr>
            <w:r w:rsidRPr="00092ED7">
              <w:rPr>
                <w:sz w:val="20"/>
                <w:szCs w:val="20"/>
                <w:lang w:val="sr-Cyrl-CS"/>
              </w:rPr>
              <w:t>41,9</w:t>
            </w:r>
          </w:p>
        </w:tc>
        <w:tc>
          <w:tcPr>
            <w:tcW w:w="1260" w:type="dxa"/>
            <w:gridSpan w:val="3"/>
            <w:tcBorders>
              <w:top w:val="nil"/>
              <w:left w:val="nil"/>
              <w:bottom w:val="dashed" w:sz="4" w:space="0" w:color="auto"/>
              <w:right w:val="dashed" w:sz="4" w:space="0" w:color="auto"/>
            </w:tcBorders>
            <w:shd w:val="clear" w:color="auto" w:fill="auto"/>
            <w:noWrap/>
            <w:vAlign w:val="center"/>
            <w:hideMark/>
          </w:tcPr>
          <w:p w14:paraId="3D1EAE5A" w14:textId="77777777" w:rsidR="00247CBF" w:rsidRPr="00092ED7" w:rsidRDefault="00247CBF" w:rsidP="00247CBF">
            <w:pPr>
              <w:spacing w:after="0"/>
              <w:jc w:val="right"/>
              <w:rPr>
                <w:sz w:val="20"/>
                <w:szCs w:val="20"/>
                <w:lang w:val="sr-Cyrl-CS"/>
              </w:rPr>
            </w:pPr>
            <w:r w:rsidRPr="00092ED7">
              <w:rPr>
                <w:sz w:val="20"/>
                <w:szCs w:val="20"/>
                <w:lang w:val="sr-Cyrl-CS"/>
              </w:rPr>
              <w:t>44,4</w:t>
            </w:r>
          </w:p>
        </w:tc>
        <w:tc>
          <w:tcPr>
            <w:tcW w:w="1268" w:type="dxa"/>
            <w:gridSpan w:val="3"/>
            <w:tcBorders>
              <w:top w:val="nil"/>
              <w:left w:val="nil"/>
              <w:bottom w:val="dashed" w:sz="4" w:space="0" w:color="auto"/>
              <w:right w:val="double" w:sz="4" w:space="0" w:color="auto"/>
            </w:tcBorders>
            <w:shd w:val="clear" w:color="auto" w:fill="auto"/>
            <w:noWrap/>
            <w:vAlign w:val="center"/>
            <w:hideMark/>
          </w:tcPr>
          <w:p w14:paraId="5D137C80" w14:textId="77777777" w:rsidR="00247CBF" w:rsidRPr="00092ED7" w:rsidRDefault="00247CBF" w:rsidP="00247CBF">
            <w:pPr>
              <w:spacing w:after="0"/>
              <w:jc w:val="right"/>
              <w:rPr>
                <w:sz w:val="20"/>
                <w:szCs w:val="20"/>
                <w:lang w:val="sr-Cyrl-CS"/>
              </w:rPr>
            </w:pPr>
            <w:r w:rsidRPr="00092ED7">
              <w:rPr>
                <w:sz w:val="20"/>
                <w:szCs w:val="20"/>
                <w:lang w:val="sr-Cyrl-CS"/>
              </w:rPr>
              <w:t>48,4</w:t>
            </w:r>
          </w:p>
        </w:tc>
      </w:tr>
      <w:tr w:rsidR="00247CBF" w:rsidRPr="00092ED7" w14:paraId="6A263F82" w14:textId="77777777" w:rsidTr="00247CBF">
        <w:trPr>
          <w:gridAfter w:val="3"/>
          <w:wAfter w:w="365" w:type="dxa"/>
          <w:trHeight w:val="255"/>
        </w:trPr>
        <w:tc>
          <w:tcPr>
            <w:tcW w:w="4962" w:type="dxa"/>
            <w:gridSpan w:val="3"/>
            <w:tcBorders>
              <w:top w:val="nil"/>
              <w:left w:val="double" w:sz="6" w:space="0" w:color="auto"/>
              <w:bottom w:val="dashed" w:sz="4" w:space="0" w:color="auto"/>
              <w:right w:val="nil"/>
            </w:tcBorders>
            <w:shd w:val="clear" w:color="auto" w:fill="auto"/>
            <w:hideMark/>
          </w:tcPr>
          <w:p w14:paraId="314984D7" w14:textId="77777777" w:rsidR="00247CBF" w:rsidRPr="00092ED7" w:rsidRDefault="00247CBF" w:rsidP="00247CBF">
            <w:pPr>
              <w:spacing w:after="0"/>
              <w:rPr>
                <w:sz w:val="20"/>
                <w:szCs w:val="20"/>
                <w:lang w:val="sr-Cyrl-CS"/>
              </w:rPr>
            </w:pPr>
            <w:r w:rsidRPr="00092ED7">
              <w:rPr>
                <w:sz w:val="20"/>
                <w:szCs w:val="20"/>
                <w:lang w:val="sr-Cyrl-CS"/>
              </w:rPr>
              <w:t>4. Спољнотрговински биланс</w:t>
            </w:r>
          </w:p>
        </w:tc>
        <w:tc>
          <w:tcPr>
            <w:tcW w:w="1447" w:type="dxa"/>
            <w:gridSpan w:val="3"/>
            <w:tcBorders>
              <w:top w:val="nil"/>
              <w:left w:val="single" w:sz="8" w:space="0" w:color="auto"/>
              <w:bottom w:val="dashed" w:sz="4" w:space="0" w:color="auto"/>
              <w:right w:val="single" w:sz="8" w:space="0" w:color="auto"/>
            </w:tcBorders>
            <w:shd w:val="clear" w:color="auto" w:fill="auto"/>
            <w:noWrap/>
            <w:vAlign w:val="center"/>
            <w:hideMark/>
          </w:tcPr>
          <w:p w14:paraId="6C79F6E2"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млрд ЕУР</w:t>
            </w:r>
          </w:p>
        </w:tc>
        <w:tc>
          <w:tcPr>
            <w:tcW w:w="1380" w:type="dxa"/>
            <w:gridSpan w:val="3"/>
            <w:tcBorders>
              <w:top w:val="nil"/>
              <w:left w:val="nil"/>
              <w:bottom w:val="dashed" w:sz="4" w:space="0" w:color="auto"/>
              <w:right w:val="dashed" w:sz="4" w:space="0" w:color="auto"/>
            </w:tcBorders>
            <w:shd w:val="clear" w:color="auto" w:fill="auto"/>
            <w:noWrap/>
            <w:vAlign w:val="center"/>
            <w:hideMark/>
          </w:tcPr>
          <w:p w14:paraId="1E012095" w14:textId="77777777" w:rsidR="00247CBF" w:rsidRPr="00092ED7" w:rsidRDefault="00247CBF" w:rsidP="00247CBF">
            <w:pPr>
              <w:spacing w:after="0"/>
              <w:jc w:val="right"/>
              <w:rPr>
                <w:sz w:val="20"/>
                <w:szCs w:val="20"/>
                <w:lang w:val="sr-Cyrl-CS"/>
              </w:rPr>
            </w:pPr>
            <w:r w:rsidRPr="00092ED7">
              <w:rPr>
                <w:sz w:val="20"/>
                <w:szCs w:val="20"/>
                <w:lang w:val="sr-Cyrl-CS"/>
              </w:rPr>
              <w:t>-5,2</w:t>
            </w:r>
          </w:p>
        </w:tc>
        <w:tc>
          <w:tcPr>
            <w:tcW w:w="1300" w:type="dxa"/>
            <w:gridSpan w:val="4"/>
            <w:tcBorders>
              <w:top w:val="nil"/>
              <w:left w:val="nil"/>
              <w:bottom w:val="dashed" w:sz="4" w:space="0" w:color="auto"/>
              <w:right w:val="dashed" w:sz="4" w:space="0" w:color="auto"/>
            </w:tcBorders>
            <w:shd w:val="clear" w:color="auto" w:fill="auto"/>
            <w:noWrap/>
            <w:vAlign w:val="center"/>
            <w:hideMark/>
          </w:tcPr>
          <w:p w14:paraId="2C4BBDEF" w14:textId="77777777" w:rsidR="00247CBF" w:rsidRPr="00092ED7" w:rsidRDefault="00247CBF" w:rsidP="00247CBF">
            <w:pPr>
              <w:spacing w:after="0"/>
              <w:jc w:val="right"/>
              <w:rPr>
                <w:sz w:val="20"/>
                <w:szCs w:val="20"/>
                <w:lang w:val="sr-Cyrl-CS"/>
              </w:rPr>
            </w:pPr>
            <w:r w:rsidRPr="00092ED7">
              <w:rPr>
                <w:sz w:val="20"/>
                <w:szCs w:val="20"/>
                <w:lang w:val="sr-Cyrl-CS"/>
              </w:rPr>
              <w:t>-5,9</w:t>
            </w:r>
          </w:p>
        </w:tc>
        <w:tc>
          <w:tcPr>
            <w:tcW w:w="1360" w:type="dxa"/>
            <w:gridSpan w:val="4"/>
            <w:tcBorders>
              <w:top w:val="nil"/>
              <w:left w:val="nil"/>
              <w:bottom w:val="dashed" w:sz="4" w:space="0" w:color="auto"/>
              <w:right w:val="dashed" w:sz="4" w:space="0" w:color="auto"/>
            </w:tcBorders>
            <w:shd w:val="clear" w:color="auto" w:fill="auto"/>
            <w:noWrap/>
            <w:vAlign w:val="center"/>
            <w:hideMark/>
          </w:tcPr>
          <w:p w14:paraId="70C25070" w14:textId="77777777" w:rsidR="00247CBF" w:rsidRPr="00092ED7" w:rsidRDefault="00247CBF" w:rsidP="00247CBF">
            <w:pPr>
              <w:spacing w:after="0"/>
              <w:jc w:val="right"/>
              <w:rPr>
                <w:sz w:val="20"/>
                <w:szCs w:val="20"/>
                <w:lang w:val="sr-Cyrl-CS"/>
              </w:rPr>
            </w:pPr>
            <w:r w:rsidRPr="00092ED7">
              <w:rPr>
                <w:sz w:val="20"/>
                <w:szCs w:val="20"/>
                <w:lang w:val="sr-Cyrl-CS"/>
              </w:rPr>
              <w:t>-8,9</w:t>
            </w:r>
          </w:p>
        </w:tc>
        <w:tc>
          <w:tcPr>
            <w:tcW w:w="1260" w:type="dxa"/>
            <w:gridSpan w:val="4"/>
            <w:tcBorders>
              <w:top w:val="nil"/>
              <w:left w:val="nil"/>
              <w:bottom w:val="dashed" w:sz="4" w:space="0" w:color="auto"/>
              <w:right w:val="dashed" w:sz="4" w:space="0" w:color="auto"/>
            </w:tcBorders>
            <w:shd w:val="clear" w:color="auto" w:fill="auto"/>
            <w:noWrap/>
            <w:vAlign w:val="center"/>
            <w:hideMark/>
          </w:tcPr>
          <w:p w14:paraId="6994D7FD" w14:textId="77777777" w:rsidR="00247CBF" w:rsidRPr="00092ED7" w:rsidRDefault="00247CBF" w:rsidP="00247CBF">
            <w:pPr>
              <w:spacing w:after="0"/>
              <w:jc w:val="right"/>
              <w:rPr>
                <w:sz w:val="20"/>
                <w:szCs w:val="20"/>
                <w:lang w:val="sr-Cyrl-CS"/>
              </w:rPr>
            </w:pPr>
            <w:r w:rsidRPr="00092ED7">
              <w:rPr>
                <w:sz w:val="20"/>
                <w:szCs w:val="20"/>
                <w:lang w:val="sr-Cyrl-CS"/>
              </w:rPr>
              <w:t>-8,9</w:t>
            </w:r>
          </w:p>
        </w:tc>
        <w:tc>
          <w:tcPr>
            <w:tcW w:w="1260" w:type="dxa"/>
            <w:gridSpan w:val="3"/>
            <w:tcBorders>
              <w:top w:val="nil"/>
              <w:left w:val="nil"/>
              <w:bottom w:val="dashed" w:sz="4" w:space="0" w:color="auto"/>
              <w:right w:val="dashed" w:sz="4" w:space="0" w:color="auto"/>
            </w:tcBorders>
            <w:shd w:val="clear" w:color="auto" w:fill="auto"/>
            <w:noWrap/>
            <w:vAlign w:val="center"/>
            <w:hideMark/>
          </w:tcPr>
          <w:p w14:paraId="0E2EF621" w14:textId="77777777" w:rsidR="00247CBF" w:rsidRPr="00092ED7" w:rsidRDefault="00247CBF" w:rsidP="00247CBF">
            <w:pPr>
              <w:spacing w:after="0"/>
              <w:jc w:val="right"/>
              <w:rPr>
                <w:sz w:val="20"/>
                <w:szCs w:val="20"/>
                <w:lang w:val="sr-Cyrl-CS"/>
              </w:rPr>
            </w:pPr>
            <w:r w:rsidRPr="00092ED7">
              <w:rPr>
                <w:sz w:val="20"/>
                <w:szCs w:val="20"/>
                <w:lang w:val="sr-Cyrl-CS"/>
              </w:rPr>
              <w:t>-8,5</w:t>
            </w:r>
          </w:p>
        </w:tc>
        <w:tc>
          <w:tcPr>
            <w:tcW w:w="1268" w:type="dxa"/>
            <w:gridSpan w:val="3"/>
            <w:tcBorders>
              <w:top w:val="nil"/>
              <w:left w:val="nil"/>
              <w:bottom w:val="dashed" w:sz="4" w:space="0" w:color="auto"/>
              <w:right w:val="double" w:sz="4" w:space="0" w:color="auto"/>
            </w:tcBorders>
            <w:shd w:val="clear" w:color="auto" w:fill="auto"/>
            <w:noWrap/>
            <w:vAlign w:val="center"/>
            <w:hideMark/>
          </w:tcPr>
          <w:p w14:paraId="3AA51513" w14:textId="77777777" w:rsidR="00247CBF" w:rsidRPr="00092ED7" w:rsidRDefault="00247CBF" w:rsidP="00247CBF">
            <w:pPr>
              <w:spacing w:after="0"/>
              <w:jc w:val="right"/>
              <w:rPr>
                <w:sz w:val="20"/>
                <w:szCs w:val="20"/>
                <w:lang w:val="sr-Cyrl-CS"/>
              </w:rPr>
            </w:pPr>
            <w:r w:rsidRPr="00092ED7">
              <w:rPr>
                <w:sz w:val="20"/>
                <w:szCs w:val="20"/>
                <w:lang w:val="sr-Cyrl-CS"/>
              </w:rPr>
              <w:t>-8,9</w:t>
            </w:r>
          </w:p>
        </w:tc>
      </w:tr>
      <w:tr w:rsidR="00247CBF" w:rsidRPr="00092ED7" w14:paraId="28666017" w14:textId="77777777" w:rsidTr="00247CBF">
        <w:trPr>
          <w:gridAfter w:val="3"/>
          <w:wAfter w:w="365" w:type="dxa"/>
          <w:trHeight w:val="255"/>
        </w:trPr>
        <w:tc>
          <w:tcPr>
            <w:tcW w:w="4962" w:type="dxa"/>
            <w:gridSpan w:val="3"/>
            <w:tcBorders>
              <w:top w:val="nil"/>
              <w:left w:val="double" w:sz="6" w:space="0" w:color="auto"/>
              <w:bottom w:val="dashed" w:sz="4" w:space="0" w:color="auto"/>
              <w:right w:val="nil"/>
            </w:tcBorders>
            <w:shd w:val="clear" w:color="auto" w:fill="auto"/>
            <w:hideMark/>
          </w:tcPr>
          <w:p w14:paraId="585F549D" w14:textId="77777777" w:rsidR="00247CBF" w:rsidRPr="00092ED7" w:rsidRDefault="00247CBF" w:rsidP="00247CBF">
            <w:pPr>
              <w:spacing w:after="0"/>
              <w:rPr>
                <w:sz w:val="20"/>
                <w:szCs w:val="20"/>
                <w:lang w:val="sr-Cyrl-CS"/>
              </w:rPr>
            </w:pPr>
            <w:r w:rsidRPr="00092ED7">
              <w:rPr>
                <w:sz w:val="20"/>
                <w:szCs w:val="20"/>
                <w:lang w:val="sr-Cyrl-CS"/>
              </w:rPr>
              <w:t>5. Извоз услуга</w:t>
            </w:r>
          </w:p>
        </w:tc>
        <w:tc>
          <w:tcPr>
            <w:tcW w:w="1447" w:type="dxa"/>
            <w:gridSpan w:val="3"/>
            <w:tcBorders>
              <w:top w:val="nil"/>
              <w:left w:val="single" w:sz="8" w:space="0" w:color="auto"/>
              <w:bottom w:val="dashed" w:sz="4" w:space="0" w:color="auto"/>
              <w:right w:val="single" w:sz="8" w:space="0" w:color="auto"/>
            </w:tcBorders>
            <w:shd w:val="clear" w:color="auto" w:fill="auto"/>
            <w:noWrap/>
            <w:vAlign w:val="center"/>
            <w:hideMark/>
          </w:tcPr>
          <w:p w14:paraId="5C3DE493"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млрд ЕУР</w:t>
            </w:r>
          </w:p>
        </w:tc>
        <w:tc>
          <w:tcPr>
            <w:tcW w:w="1380" w:type="dxa"/>
            <w:gridSpan w:val="3"/>
            <w:tcBorders>
              <w:top w:val="nil"/>
              <w:left w:val="nil"/>
              <w:bottom w:val="dashed" w:sz="4" w:space="0" w:color="auto"/>
              <w:right w:val="dashed" w:sz="4" w:space="0" w:color="auto"/>
            </w:tcBorders>
            <w:shd w:val="clear" w:color="auto" w:fill="auto"/>
            <w:noWrap/>
            <w:vAlign w:val="center"/>
            <w:hideMark/>
          </w:tcPr>
          <w:p w14:paraId="4D76B790" w14:textId="77777777" w:rsidR="00247CBF" w:rsidRPr="00092ED7" w:rsidRDefault="00247CBF" w:rsidP="00247CBF">
            <w:pPr>
              <w:spacing w:after="0"/>
              <w:jc w:val="right"/>
              <w:rPr>
                <w:sz w:val="20"/>
                <w:szCs w:val="20"/>
                <w:lang w:val="sr-Cyrl-CS"/>
              </w:rPr>
            </w:pPr>
            <w:r w:rsidRPr="00092ED7">
              <w:rPr>
                <w:sz w:val="20"/>
                <w:szCs w:val="20"/>
                <w:lang w:val="sr-Cyrl-CS"/>
              </w:rPr>
              <w:t>6,2</w:t>
            </w:r>
          </w:p>
        </w:tc>
        <w:tc>
          <w:tcPr>
            <w:tcW w:w="1300" w:type="dxa"/>
            <w:gridSpan w:val="4"/>
            <w:tcBorders>
              <w:top w:val="nil"/>
              <w:left w:val="nil"/>
              <w:bottom w:val="dashed" w:sz="4" w:space="0" w:color="auto"/>
              <w:right w:val="dashed" w:sz="4" w:space="0" w:color="auto"/>
            </w:tcBorders>
            <w:shd w:val="clear" w:color="auto" w:fill="auto"/>
            <w:noWrap/>
            <w:vAlign w:val="center"/>
            <w:hideMark/>
          </w:tcPr>
          <w:p w14:paraId="5E6CF92F" w14:textId="77777777" w:rsidR="00247CBF" w:rsidRPr="00092ED7" w:rsidRDefault="00247CBF" w:rsidP="00247CBF">
            <w:pPr>
              <w:spacing w:after="0"/>
              <w:jc w:val="right"/>
              <w:rPr>
                <w:sz w:val="20"/>
                <w:szCs w:val="20"/>
                <w:lang w:val="sr-Cyrl-CS"/>
              </w:rPr>
            </w:pPr>
            <w:r w:rsidRPr="00092ED7">
              <w:rPr>
                <w:sz w:val="20"/>
                <w:szCs w:val="20"/>
                <w:lang w:val="sr-Cyrl-CS"/>
              </w:rPr>
              <w:t>7,8</w:t>
            </w:r>
          </w:p>
        </w:tc>
        <w:tc>
          <w:tcPr>
            <w:tcW w:w="1360" w:type="dxa"/>
            <w:gridSpan w:val="4"/>
            <w:tcBorders>
              <w:top w:val="nil"/>
              <w:left w:val="nil"/>
              <w:bottom w:val="dashed" w:sz="4" w:space="0" w:color="auto"/>
              <w:right w:val="dashed" w:sz="4" w:space="0" w:color="auto"/>
            </w:tcBorders>
            <w:shd w:val="clear" w:color="auto" w:fill="auto"/>
            <w:noWrap/>
            <w:vAlign w:val="center"/>
            <w:hideMark/>
          </w:tcPr>
          <w:p w14:paraId="15A0732B" w14:textId="77777777" w:rsidR="00247CBF" w:rsidRPr="00092ED7" w:rsidRDefault="00247CBF" w:rsidP="00247CBF">
            <w:pPr>
              <w:spacing w:after="0"/>
              <w:jc w:val="right"/>
              <w:rPr>
                <w:sz w:val="20"/>
                <w:szCs w:val="20"/>
                <w:lang w:val="sr-Cyrl-CS"/>
              </w:rPr>
            </w:pPr>
            <w:r w:rsidRPr="00092ED7">
              <w:rPr>
                <w:sz w:val="20"/>
                <w:szCs w:val="20"/>
                <w:lang w:val="sr-Cyrl-CS"/>
              </w:rPr>
              <w:t>10,8</w:t>
            </w:r>
          </w:p>
        </w:tc>
        <w:tc>
          <w:tcPr>
            <w:tcW w:w="1260" w:type="dxa"/>
            <w:gridSpan w:val="4"/>
            <w:tcBorders>
              <w:top w:val="nil"/>
              <w:left w:val="nil"/>
              <w:bottom w:val="dashed" w:sz="4" w:space="0" w:color="auto"/>
              <w:right w:val="dashed" w:sz="4" w:space="0" w:color="auto"/>
            </w:tcBorders>
            <w:shd w:val="clear" w:color="auto" w:fill="auto"/>
            <w:noWrap/>
            <w:vAlign w:val="center"/>
            <w:hideMark/>
          </w:tcPr>
          <w:p w14:paraId="476EEC19" w14:textId="77777777" w:rsidR="00247CBF" w:rsidRPr="00092ED7" w:rsidRDefault="00247CBF" w:rsidP="00247CBF">
            <w:pPr>
              <w:spacing w:after="0"/>
              <w:jc w:val="right"/>
              <w:rPr>
                <w:sz w:val="20"/>
                <w:szCs w:val="20"/>
                <w:lang w:val="sr-Cyrl-CS"/>
              </w:rPr>
            </w:pPr>
            <w:r w:rsidRPr="00092ED7">
              <w:rPr>
                <w:sz w:val="20"/>
                <w:szCs w:val="20"/>
                <w:lang w:val="sr-Cyrl-CS"/>
              </w:rPr>
              <w:t>12,4</w:t>
            </w:r>
          </w:p>
        </w:tc>
        <w:tc>
          <w:tcPr>
            <w:tcW w:w="1260" w:type="dxa"/>
            <w:gridSpan w:val="3"/>
            <w:tcBorders>
              <w:top w:val="nil"/>
              <w:left w:val="nil"/>
              <w:bottom w:val="dashed" w:sz="4" w:space="0" w:color="auto"/>
              <w:right w:val="dashed" w:sz="4" w:space="0" w:color="auto"/>
            </w:tcBorders>
            <w:shd w:val="clear" w:color="auto" w:fill="auto"/>
            <w:noWrap/>
            <w:vAlign w:val="center"/>
            <w:hideMark/>
          </w:tcPr>
          <w:p w14:paraId="05644CC2" w14:textId="77777777" w:rsidR="00247CBF" w:rsidRPr="00092ED7" w:rsidRDefault="00247CBF" w:rsidP="00247CBF">
            <w:pPr>
              <w:spacing w:after="0"/>
              <w:jc w:val="right"/>
              <w:rPr>
                <w:sz w:val="20"/>
                <w:szCs w:val="20"/>
                <w:lang w:val="sr-Cyrl-CS"/>
              </w:rPr>
            </w:pPr>
            <w:r w:rsidRPr="00092ED7">
              <w:rPr>
                <w:sz w:val="20"/>
                <w:szCs w:val="20"/>
                <w:lang w:val="sr-Cyrl-CS"/>
              </w:rPr>
              <w:t>13,4</w:t>
            </w:r>
          </w:p>
        </w:tc>
        <w:tc>
          <w:tcPr>
            <w:tcW w:w="1268" w:type="dxa"/>
            <w:gridSpan w:val="3"/>
            <w:tcBorders>
              <w:top w:val="nil"/>
              <w:left w:val="nil"/>
              <w:bottom w:val="dashed" w:sz="4" w:space="0" w:color="auto"/>
              <w:right w:val="double" w:sz="4" w:space="0" w:color="auto"/>
            </w:tcBorders>
            <w:shd w:val="clear" w:color="auto" w:fill="auto"/>
            <w:noWrap/>
            <w:vAlign w:val="center"/>
            <w:hideMark/>
          </w:tcPr>
          <w:p w14:paraId="73E16180" w14:textId="77777777" w:rsidR="00247CBF" w:rsidRPr="00092ED7" w:rsidRDefault="00247CBF" w:rsidP="00247CBF">
            <w:pPr>
              <w:spacing w:after="0"/>
              <w:jc w:val="right"/>
              <w:rPr>
                <w:sz w:val="20"/>
                <w:szCs w:val="20"/>
                <w:lang w:val="sr-Cyrl-CS"/>
              </w:rPr>
            </w:pPr>
            <w:r w:rsidRPr="00092ED7">
              <w:rPr>
                <w:sz w:val="20"/>
                <w:szCs w:val="20"/>
                <w:lang w:val="sr-Cyrl-CS"/>
              </w:rPr>
              <w:t>14,7</w:t>
            </w:r>
          </w:p>
        </w:tc>
      </w:tr>
      <w:tr w:rsidR="00247CBF" w:rsidRPr="00092ED7" w14:paraId="7730CE63" w14:textId="77777777" w:rsidTr="00247CBF">
        <w:trPr>
          <w:gridAfter w:val="3"/>
          <w:wAfter w:w="365" w:type="dxa"/>
          <w:trHeight w:val="255"/>
        </w:trPr>
        <w:tc>
          <w:tcPr>
            <w:tcW w:w="4962" w:type="dxa"/>
            <w:gridSpan w:val="3"/>
            <w:tcBorders>
              <w:top w:val="nil"/>
              <w:left w:val="double" w:sz="6" w:space="0" w:color="auto"/>
              <w:bottom w:val="dashed" w:sz="4" w:space="0" w:color="auto"/>
              <w:right w:val="nil"/>
            </w:tcBorders>
            <w:shd w:val="clear" w:color="auto" w:fill="auto"/>
            <w:hideMark/>
          </w:tcPr>
          <w:p w14:paraId="7A811E1B" w14:textId="77777777" w:rsidR="00247CBF" w:rsidRPr="00092ED7" w:rsidRDefault="00247CBF" w:rsidP="00247CBF">
            <w:pPr>
              <w:spacing w:after="0"/>
              <w:rPr>
                <w:sz w:val="20"/>
                <w:szCs w:val="20"/>
                <w:lang w:val="sr-Cyrl-CS"/>
              </w:rPr>
            </w:pPr>
            <w:r w:rsidRPr="00092ED7">
              <w:rPr>
                <w:sz w:val="20"/>
                <w:szCs w:val="20"/>
                <w:lang w:val="sr-Cyrl-CS"/>
              </w:rPr>
              <w:lastRenderedPageBreak/>
              <w:t>6. Увоз услуга</w:t>
            </w:r>
          </w:p>
        </w:tc>
        <w:tc>
          <w:tcPr>
            <w:tcW w:w="1447" w:type="dxa"/>
            <w:gridSpan w:val="3"/>
            <w:tcBorders>
              <w:top w:val="nil"/>
              <w:left w:val="single" w:sz="8" w:space="0" w:color="auto"/>
              <w:bottom w:val="dashed" w:sz="4" w:space="0" w:color="auto"/>
              <w:right w:val="single" w:sz="8" w:space="0" w:color="auto"/>
            </w:tcBorders>
            <w:shd w:val="clear" w:color="auto" w:fill="auto"/>
            <w:noWrap/>
            <w:vAlign w:val="center"/>
            <w:hideMark/>
          </w:tcPr>
          <w:p w14:paraId="466CE426"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млрд ЕУР</w:t>
            </w:r>
          </w:p>
        </w:tc>
        <w:tc>
          <w:tcPr>
            <w:tcW w:w="1380" w:type="dxa"/>
            <w:gridSpan w:val="3"/>
            <w:tcBorders>
              <w:top w:val="nil"/>
              <w:left w:val="nil"/>
              <w:bottom w:val="dashed" w:sz="4" w:space="0" w:color="auto"/>
              <w:right w:val="dashed" w:sz="4" w:space="0" w:color="auto"/>
            </w:tcBorders>
            <w:shd w:val="clear" w:color="auto" w:fill="auto"/>
            <w:noWrap/>
            <w:vAlign w:val="center"/>
            <w:hideMark/>
          </w:tcPr>
          <w:p w14:paraId="5A7966D6" w14:textId="77777777" w:rsidR="00247CBF" w:rsidRPr="00092ED7" w:rsidRDefault="00247CBF" w:rsidP="00247CBF">
            <w:pPr>
              <w:spacing w:after="0"/>
              <w:jc w:val="right"/>
              <w:rPr>
                <w:sz w:val="20"/>
                <w:szCs w:val="20"/>
                <w:lang w:val="sr-Cyrl-CS"/>
              </w:rPr>
            </w:pPr>
            <w:r w:rsidRPr="00092ED7">
              <w:rPr>
                <w:sz w:val="20"/>
                <w:szCs w:val="20"/>
                <w:lang w:val="sr-Cyrl-CS"/>
              </w:rPr>
              <w:t>5,1</w:t>
            </w:r>
          </w:p>
        </w:tc>
        <w:tc>
          <w:tcPr>
            <w:tcW w:w="1300" w:type="dxa"/>
            <w:gridSpan w:val="4"/>
            <w:tcBorders>
              <w:top w:val="nil"/>
              <w:left w:val="nil"/>
              <w:bottom w:val="dashed" w:sz="4" w:space="0" w:color="auto"/>
              <w:right w:val="dashed" w:sz="4" w:space="0" w:color="auto"/>
            </w:tcBorders>
            <w:shd w:val="clear" w:color="auto" w:fill="auto"/>
            <w:noWrap/>
            <w:vAlign w:val="center"/>
            <w:hideMark/>
          </w:tcPr>
          <w:p w14:paraId="7E6B0232" w14:textId="77777777" w:rsidR="00247CBF" w:rsidRPr="00092ED7" w:rsidRDefault="00247CBF" w:rsidP="00247CBF">
            <w:pPr>
              <w:spacing w:after="0"/>
              <w:jc w:val="right"/>
              <w:rPr>
                <w:sz w:val="20"/>
                <w:szCs w:val="20"/>
                <w:lang w:val="sr-Cyrl-CS"/>
              </w:rPr>
            </w:pPr>
            <w:r w:rsidRPr="00092ED7">
              <w:rPr>
                <w:sz w:val="20"/>
                <w:szCs w:val="20"/>
                <w:lang w:val="sr-Cyrl-CS"/>
              </w:rPr>
              <w:t>6,4</w:t>
            </w:r>
          </w:p>
        </w:tc>
        <w:tc>
          <w:tcPr>
            <w:tcW w:w="1360" w:type="dxa"/>
            <w:gridSpan w:val="4"/>
            <w:tcBorders>
              <w:top w:val="nil"/>
              <w:left w:val="nil"/>
              <w:bottom w:val="dashed" w:sz="4" w:space="0" w:color="auto"/>
              <w:right w:val="dashed" w:sz="4" w:space="0" w:color="auto"/>
            </w:tcBorders>
            <w:shd w:val="clear" w:color="auto" w:fill="auto"/>
            <w:noWrap/>
            <w:vAlign w:val="center"/>
            <w:hideMark/>
          </w:tcPr>
          <w:p w14:paraId="6A402BED" w14:textId="77777777" w:rsidR="00247CBF" w:rsidRPr="00092ED7" w:rsidRDefault="00247CBF" w:rsidP="00247CBF">
            <w:pPr>
              <w:spacing w:after="0"/>
              <w:jc w:val="right"/>
              <w:rPr>
                <w:sz w:val="20"/>
                <w:szCs w:val="20"/>
                <w:lang w:val="sr-Cyrl-CS"/>
              </w:rPr>
            </w:pPr>
            <w:r w:rsidRPr="00092ED7">
              <w:rPr>
                <w:sz w:val="20"/>
                <w:szCs w:val="20"/>
                <w:lang w:val="sr-Cyrl-CS"/>
              </w:rPr>
              <w:t>9,2</w:t>
            </w:r>
          </w:p>
        </w:tc>
        <w:tc>
          <w:tcPr>
            <w:tcW w:w="1260" w:type="dxa"/>
            <w:gridSpan w:val="4"/>
            <w:tcBorders>
              <w:top w:val="nil"/>
              <w:left w:val="nil"/>
              <w:bottom w:val="dashed" w:sz="4" w:space="0" w:color="auto"/>
              <w:right w:val="dashed" w:sz="4" w:space="0" w:color="auto"/>
            </w:tcBorders>
            <w:shd w:val="clear" w:color="auto" w:fill="auto"/>
            <w:noWrap/>
            <w:vAlign w:val="center"/>
            <w:hideMark/>
          </w:tcPr>
          <w:p w14:paraId="3AE2155D" w14:textId="77777777" w:rsidR="00247CBF" w:rsidRPr="00092ED7" w:rsidRDefault="00247CBF" w:rsidP="00247CBF">
            <w:pPr>
              <w:spacing w:after="0"/>
              <w:jc w:val="right"/>
              <w:rPr>
                <w:sz w:val="20"/>
                <w:szCs w:val="20"/>
                <w:lang w:val="sr-Cyrl-CS"/>
              </w:rPr>
            </w:pPr>
            <w:r w:rsidRPr="00092ED7">
              <w:rPr>
                <w:sz w:val="20"/>
                <w:szCs w:val="20"/>
                <w:lang w:val="sr-Cyrl-CS"/>
              </w:rPr>
              <w:t>11,0</w:t>
            </w:r>
          </w:p>
        </w:tc>
        <w:tc>
          <w:tcPr>
            <w:tcW w:w="1260" w:type="dxa"/>
            <w:gridSpan w:val="3"/>
            <w:tcBorders>
              <w:top w:val="nil"/>
              <w:left w:val="nil"/>
              <w:bottom w:val="dashed" w:sz="4" w:space="0" w:color="auto"/>
              <w:right w:val="dashed" w:sz="4" w:space="0" w:color="auto"/>
            </w:tcBorders>
            <w:shd w:val="clear" w:color="auto" w:fill="auto"/>
            <w:noWrap/>
            <w:vAlign w:val="center"/>
            <w:hideMark/>
          </w:tcPr>
          <w:p w14:paraId="0E5A6AB4" w14:textId="77777777" w:rsidR="00247CBF" w:rsidRPr="00092ED7" w:rsidRDefault="00247CBF" w:rsidP="00247CBF">
            <w:pPr>
              <w:spacing w:after="0"/>
              <w:jc w:val="right"/>
              <w:rPr>
                <w:sz w:val="20"/>
                <w:szCs w:val="20"/>
                <w:lang w:val="sr-Cyrl-CS"/>
              </w:rPr>
            </w:pPr>
            <w:r w:rsidRPr="00092ED7">
              <w:rPr>
                <w:sz w:val="20"/>
                <w:szCs w:val="20"/>
                <w:lang w:val="sr-Cyrl-CS"/>
              </w:rPr>
              <w:t>11,8</w:t>
            </w:r>
          </w:p>
        </w:tc>
        <w:tc>
          <w:tcPr>
            <w:tcW w:w="1268" w:type="dxa"/>
            <w:gridSpan w:val="3"/>
            <w:tcBorders>
              <w:top w:val="nil"/>
              <w:left w:val="nil"/>
              <w:bottom w:val="dashed" w:sz="4" w:space="0" w:color="auto"/>
              <w:right w:val="double" w:sz="4" w:space="0" w:color="auto"/>
            </w:tcBorders>
            <w:shd w:val="clear" w:color="auto" w:fill="auto"/>
            <w:noWrap/>
            <w:vAlign w:val="center"/>
            <w:hideMark/>
          </w:tcPr>
          <w:p w14:paraId="3DBC2DAB" w14:textId="77777777" w:rsidR="00247CBF" w:rsidRPr="00092ED7" w:rsidRDefault="00247CBF" w:rsidP="00247CBF">
            <w:pPr>
              <w:spacing w:after="0"/>
              <w:jc w:val="right"/>
              <w:rPr>
                <w:sz w:val="20"/>
                <w:szCs w:val="20"/>
                <w:lang w:val="sr-Cyrl-CS"/>
              </w:rPr>
            </w:pPr>
            <w:r w:rsidRPr="00092ED7">
              <w:rPr>
                <w:sz w:val="20"/>
                <w:szCs w:val="20"/>
                <w:lang w:val="sr-Cyrl-CS"/>
              </w:rPr>
              <w:t>13,0</w:t>
            </w:r>
          </w:p>
        </w:tc>
      </w:tr>
      <w:tr w:rsidR="00247CBF" w:rsidRPr="00092ED7" w14:paraId="339A3216" w14:textId="77777777" w:rsidTr="00247CBF">
        <w:trPr>
          <w:gridAfter w:val="3"/>
          <w:wAfter w:w="365" w:type="dxa"/>
          <w:trHeight w:val="255"/>
        </w:trPr>
        <w:tc>
          <w:tcPr>
            <w:tcW w:w="4962" w:type="dxa"/>
            <w:gridSpan w:val="3"/>
            <w:tcBorders>
              <w:top w:val="nil"/>
              <w:left w:val="double" w:sz="6" w:space="0" w:color="auto"/>
              <w:bottom w:val="dashed" w:sz="4" w:space="0" w:color="auto"/>
              <w:right w:val="nil"/>
            </w:tcBorders>
            <w:shd w:val="clear" w:color="auto" w:fill="auto"/>
            <w:hideMark/>
          </w:tcPr>
          <w:p w14:paraId="266AA0EE" w14:textId="77777777" w:rsidR="00247CBF" w:rsidRPr="00092ED7" w:rsidRDefault="00247CBF" w:rsidP="00247CBF">
            <w:pPr>
              <w:spacing w:after="0"/>
              <w:rPr>
                <w:sz w:val="20"/>
                <w:szCs w:val="20"/>
                <w:lang w:val="sr-Cyrl-CS"/>
              </w:rPr>
            </w:pPr>
            <w:r w:rsidRPr="00092ED7">
              <w:rPr>
                <w:sz w:val="20"/>
                <w:szCs w:val="20"/>
                <w:lang w:val="sr-Cyrl-CS"/>
              </w:rPr>
              <w:t>7. Биланс услуга</w:t>
            </w:r>
          </w:p>
        </w:tc>
        <w:tc>
          <w:tcPr>
            <w:tcW w:w="1447" w:type="dxa"/>
            <w:gridSpan w:val="3"/>
            <w:tcBorders>
              <w:top w:val="nil"/>
              <w:left w:val="single" w:sz="8" w:space="0" w:color="auto"/>
              <w:bottom w:val="dashed" w:sz="4" w:space="0" w:color="auto"/>
              <w:right w:val="single" w:sz="8" w:space="0" w:color="auto"/>
            </w:tcBorders>
            <w:shd w:val="clear" w:color="auto" w:fill="auto"/>
            <w:noWrap/>
            <w:vAlign w:val="center"/>
            <w:hideMark/>
          </w:tcPr>
          <w:p w14:paraId="63AC92C4"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млрд ЕУР</w:t>
            </w:r>
          </w:p>
        </w:tc>
        <w:tc>
          <w:tcPr>
            <w:tcW w:w="1380" w:type="dxa"/>
            <w:gridSpan w:val="3"/>
            <w:tcBorders>
              <w:top w:val="nil"/>
              <w:left w:val="dashed" w:sz="4" w:space="0" w:color="auto"/>
              <w:bottom w:val="dashed" w:sz="4" w:space="0" w:color="auto"/>
              <w:right w:val="dashed" w:sz="4" w:space="0" w:color="auto"/>
            </w:tcBorders>
            <w:shd w:val="clear" w:color="auto" w:fill="auto"/>
            <w:noWrap/>
            <w:vAlign w:val="center"/>
            <w:hideMark/>
          </w:tcPr>
          <w:p w14:paraId="6E874DE7" w14:textId="77777777" w:rsidR="00247CBF" w:rsidRPr="00092ED7" w:rsidRDefault="00247CBF" w:rsidP="00247CBF">
            <w:pPr>
              <w:spacing w:after="0"/>
              <w:jc w:val="right"/>
              <w:rPr>
                <w:sz w:val="20"/>
                <w:szCs w:val="20"/>
                <w:lang w:val="sr-Cyrl-CS"/>
              </w:rPr>
            </w:pPr>
            <w:r w:rsidRPr="00092ED7">
              <w:rPr>
                <w:sz w:val="20"/>
                <w:szCs w:val="20"/>
                <w:lang w:val="sr-Cyrl-CS"/>
              </w:rPr>
              <w:t>1,1</w:t>
            </w:r>
          </w:p>
        </w:tc>
        <w:tc>
          <w:tcPr>
            <w:tcW w:w="1300" w:type="dxa"/>
            <w:gridSpan w:val="4"/>
            <w:tcBorders>
              <w:top w:val="nil"/>
              <w:left w:val="nil"/>
              <w:bottom w:val="dashed" w:sz="4" w:space="0" w:color="auto"/>
              <w:right w:val="dashed" w:sz="4" w:space="0" w:color="auto"/>
            </w:tcBorders>
            <w:shd w:val="clear" w:color="auto" w:fill="auto"/>
            <w:noWrap/>
            <w:vAlign w:val="center"/>
            <w:hideMark/>
          </w:tcPr>
          <w:p w14:paraId="57C49BEA" w14:textId="77777777" w:rsidR="00247CBF" w:rsidRPr="00092ED7" w:rsidRDefault="00247CBF" w:rsidP="00247CBF">
            <w:pPr>
              <w:spacing w:after="0"/>
              <w:jc w:val="right"/>
              <w:rPr>
                <w:sz w:val="20"/>
                <w:szCs w:val="20"/>
                <w:lang w:val="sr-Cyrl-CS"/>
              </w:rPr>
            </w:pPr>
            <w:r w:rsidRPr="00092ED7">
              <w:rPr>
                <w:sz w:val="20"/>
                <w:szCs w:val="20"/>
                <w:lang w:val="sr-Cyrl-CS"/>
              </w:rPr>
              <w:t>1,4</w:t>
            </w:r>
          </w:p>
        </w:tc>
        <w:tc>
          <w:tcPr>
            <w:tcW w:w="1360" w:type="dxa"/>
            <w:gridSpan w:val="4"/>
            <w:tcBorders>
              <w:top w:val="nil"/>
              <w:left w:val="nil"/>
              <w:bottom w:val="dashed" w:sz="4" w:space="0" w:color="auto"/>
              <w:right w:val="dashed" w:sz="4" w:space="0" w:color="auto"/>
            </w:tcBorders>
            <w:shd w:val="clear" w:color="auto" w:fill="auto"/>
            <w:noWrap/>
            <w:vAlign w:val="center"/>
            <w:hideMark/>
          </w:tcPr>
          <w:p w14:paraId="2C9E49BC" w14:textId="77777777" w:rsidR="00247CBF" w:rsidRPr="00092ED7" w:rsidRDefault="00247CBF" w:rsidP="00247CBF">
            <w:pPr>
              <w:spacing w:after="0"/>
              <w:jc w:val="right"/>
              <w:rPr>
                <w:sz w:val="20"/>
                <w:szCs w:val="20"/>
                <w:lang w:val="sr-Cyrl-CS"/>
              </w:rPr>
            </w:pPr>
            <w:r w:rsidRPr="00092ED7">
              <w:rPr>
                <w:sz w:val="20"/>
                <w:szCs w:val="20"/>
                <w:lang w:val="sr-Cyrl-CS"/>
              </w:rPr>
              <w:t>1,6</w:t>
            </w:r>
          </w:p>
        </w:tc>
        <w:tc>
          <w:tcPr>
            <w:tcW w:w="1260" w:type="dxa"/>
            <w:gridSpan w:val="4"/>
            <w:tcBorders>
              <w:top w:val="nil"/>
              <w:left w:val="nil"/>
              <w:bottom w:val="dashed" w:sz="4" w:space="0" w:color="auto"/>
              <w:right w:val="dashed" w:sz="4" w:space="0" w:color="auto"/>
            </w:tcBorders>
            <w:shd w:val="clear" w:color="auto" w:fill="auto"/>
            <w:noWrap/>
            <w:vAlign w:val="center"/>
            <w:hideMark/>
          </w:tcPr>
          <w:p w14:paraId="4F7F7016" w14:textId="77777777" w:rsidR="00247CBF" w:rsidRPr="00092ED7" w:rsidRDefault="00247CBF" w:rsidP="00247CBF">
            <w:pPr>
              <w:spacing w:after="0"/>
              <w:jc w:val="right"/>
              <w:rPr>
                <w:sz w:val="20"/>
                <w:szCs w:val="20"/>
                <w:lang w:val="sr-Cyrl-CS"/>
              </w:rPr>
            </w:pPr>
            <w:r w:rsidRPr="00092ED7">
              <w:rPr>
                <w:sz w:val="20"/>
                <w:szCs w:val="20"/>
                <w:lang w:val="sr-Cyrl-CS"/>
              </w:rPr>
              <w:t>1,4</w:t>
            </w:r>
          </w:p>
        </w:tc>
        <w:tc>
          <w:tcPr>
            <w:tcW w:w="1260" w:type="dxa"/>
            <w:gridSpan w:val="3"/>
            <w:tcBorders>
              <w:top w:val="nil"/>
              <w:left w:val="nil"/>
              <w:bottom w:val="dashed" w:sz="4" w:space="0" w:color="auto"/>
              <w:right w:val="dashed" w:sz="4" w:space="0" w:color="auto"/>
            </w:tcBorders>
            <w:shd w:val="clear" w:color="auto" w:fill="auto"/>
            <w:noWrap/>
            <w:vAlign w:val="center"/>
            <w:hideMark/>
          </w:tcPr>
          <w:p w14:paraId="66FBDE12" w14:textId="77777777" w:rsidR="00247CBF" w:rsidRPr="00092ED7" w:rsidRDefault="00247CBF" w:rsidP="00247CBF">
            <w:pPr>
              <w:spacing w:after="0"/>
              <w:jc w:val="right"/>
              <w:rPr>
                <w:sz w:val="20"/>
                <w:szCs w:val="20"/>
                <w:lang w:val="sr-Cyrl-CS"/>
              </w:rPr>
            </w:pPr>
            <w:r w:rsidRPr="00092ED7">
              <w:rPr>
                <w:sz w:val="20"/>
                <w:szCs w:val="20"/>
                <w:lang w:val="sr-Cyrl-CS"/>
              </w:rPr>
              <w:t>1,6</w:t>
            </w:r>
          </w:p>
        </w:tc>
        <w:tc>
          <w:tcPr>
            <w:tcW w:w="1268" w:type="dxa"/>
            <w:gridSpan w:val="3"/>
            <w:tcBorders>
              <w:top w:val="nil"/>
              <w:left w:val="nil"/>
              <w:bottom w:val="dashed" w:sz="4" w:space="0" w:color="auto"/>
              <w:right w:val="double" w:sz="4" w:space="0" w:color="auto"/>
            </w:tcBorders>
            <w:shd w:val="clear" w:color="auto" w:fill="auto"/>
            <w:noWrap/>
            <w:vAlign w:val="center"/>
            <w:hideMark/>
          </w:tcPr>
          <w:p w14:paraId="67834FD3" w14:textId="77777777" w:rsidR="00247CBF" w:rsidRPr="00092ED7" w:rsidRDefault="00247CBF" w:rsidP="00247CBF">
            <w:pPr>
              <w:spacing w:after="0"/>
              <w:jc w:val="right"/>
              <w:rPr>
                <w:sz w:val="20"/>
                <w:szCs w:val="20"/>
                <w:lang w:val="sr-Cyrl-CS"/>
              </w:rPr>
            </w:pPr>
            <w:r w:rsidRPr="00092ED7">
              <w:rPr>
                <w:sz w:val="20"/>
                <w:szCs w:val="20"/>
                <w:lang w:val="sr-Cyrl-CS"/>
              </w:rPr>
              <w:t>1,7</w:t>
            </w:r>
          </w:p>
        </w:tc>
      </w:tr>
      <w:tr w:rsidR="00247CBF" w:rsidRPr="00092ED7" w14:paraId="48B0AB09" w14:textId="77777777" w:rsidTr="00247CBF">
        <w:trPr>
          <w:gridAfter w:val="3"/>
          <w:wAfter w:w="365" w:type="dxa"/>
          <w:trHeight w:val="255"/>
        </w:trPr>
        <w:tc>
          <w:tcPr>
            <w:tcW w:w="4962" w:type="dxa"/>
            <w:gridSpan w:val="3"/>
            <w:tcBorders>
              <w:top w:val="nil"/>
              <w:left w:val="double" w:sz="6" w:space="0" w:color="auto"/>
              <w:bottom w:val="dashed" w:sz="4" w:space="0" w:color="auto"/>
              <w:right w:val="nil"/>
            </w:tcBorders>
            <w:shd w:val="clear" w:color="auto" w:fill="auto"/>
            <w:hideMark/>
          </w:tcPr>
          <w:p w14:paraId="3D804711" w14:textId="77777777" w:rsidR="00247CBF" w:rsidRPr="00092ED7" w:rsidRDefault="00247CBF" w:rsidP="00247CBF">
            <w:pPr>
              <w:spacing w:after="0"/>
              <w:rPr>
                <w:sz w:val="20"/>
                <w:szCs w:val="20"/>
                <w:lang w:val="sr-Cyrl-CS"/>
              </w:rPr>
            </w:pPr>
            <w:r w:rsidRPr="00092ED7">
              <w:rPr>
                <w:sz w:val="20"/>
                <w:szCs w:val="20"/>
                <w:lang w:val="sr-Cyrl-CS"/>
              </w:rPr>
              <w:t>8. Нето примљене камате из иностранства</w:t>
            </w:r>
          </w:p>
        </w:tc>
        <w:tc>
          <w:tcPr>
            <w:tcW w:w="1447" w:type="dxa"/>
            <w:gridSpan w:val="3"/>
            <w:tcBorders>
              <w:top w:val="nil"/>
              <w:left w:val="single" w:sz="8" w:space="0" w:color="auto"/>
              <w:bottom w:val="dashed" w:sz="4" w:space="0" w:color="auto"/>
              <w:right w:val="single" w:sz="8" w:space="0" w:color="auto"/>
            </w:tcBorders>
            <w:shd w:val="clear" w:color="auto" w:fill="auto"/>
            <w:noWrap/>
            <w:vAlign w:val="center"/>
            <w:hideMark/>
          </w:tcPr>
          <w:p w14:paraId="7D331F2E"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млрд ЕУР</w:t>
            </w:r>
          </w:p>
        </w:tc>
        <w:tc>
          <w:tcPr>
            <w:tcW w:w="1380" w:type="dxa"/>
            <w:gridSpan w:val="3"/>
            <w:tcBorders>
              <w:top w:val="nil"/>
              <w:left w:val="nil"/>
              <w:bottom w:val="dashed" w:sz="4" w:space="0" w:color="auto"/>
              <w:right w:val="dashed" w:sz="4" w:space="0" w:color="auto"/>
            </w:tcBorders>
            <w:shd w:val="clear" w:color="auto" w:fill="auto"/>
            <w:noWrap/>
            <w:vAlign w:val="center"/>
            <w:hideMark/>
          </w:tcPr>
          <w:p w14:paraId="2D4016E8" w14:textId="77777777" w:rsidR="00247CBF" w:rsidRPr="00092ED7" w:rsidRDefault="00247CBF" w:rsidP="00247CBF">
            <w:pPr>
              <w:spacing w:after="0"/>
              <w:jc w:val="right"/>
              <w:rPr>
                <w:sz w:val="20"/>
                <w:szCs w:val="20"/>
                <w:lang w:val="sr-Cyrl-CS"/>
              </w:rPr>
            </w:pPr>
            <w:r w:rsidRPr="00092ED7">
              <w:rPr>
                <w:sz w:val="20"/>
                <w:szCs w:val="20"/>
                <w:lang w:val="sr-Cyrl-CS"/>
              </w:rPr>
              <w:t>-0,6</w:t>
            </w:r>
          </w:p>
        </w:tc>
        <w:tc>
          <w:tcPr>
            <w:tcW w:w="1300" w:type="dxa"/>
            <w:gridSpan w:val="4"/>
            <w:tcBorders>
              <w:top w:val="nil"/>
              <w:left w:val="nil"/>
              <w:bottom w:val="dashed" w:sz="4" w:space="0" w:color="auto"/>
              <w:right w:val="dashed" w:sz="4" w:space="0" w:color="auto"/>
            </w:tcBorders>
            <w:shd w:val="clear" w:color="auto" w:fill="auto"/>
            <w:noWrap/>
            <w:vAlign w:val="center"/>
            <w:hideMark/>
          </w:tcPr>
          <w:p w14:paraId="0EBB8B0A" w14:textId="77777777" w:rsidR="00247CBF" w:rsidRPr="00092ED7" w:rsidRDefault="00247CBF" w:rsidP="00247CBF">
            <w:pPr>
              <w:spacing w:after="0"/>
              <w:jc w:val="right"/>
              <w:rPr>
                <w:sz w:val="20"/>
                <w:szCs w:val="20"/>
                <w:lang w:val="sr-Cyrl-CS"/>
              </w:rPr>
            </w:pPr>
            <w:r w:rsidRPr="00092ED7">
              <w:rPr>
                <w:sz w:val="20"/>
                <w:szCs w:val="20"/>
                <w:lang w:val="sr-Cyrl-CS"/>
              </w:rPr>
              <w:t>-0,6</w:t>
            </w:r>
          </w:p>
        </w:tc>
        <w:tc>
          <w:tcPr>
            <w:tcW w:w="1360" w:type="dxa"/>
            <w:gridSpan w:val="4"/>
            <w:tcBorders>
              <w:top w:val="nil"/>
              <w:left w:val="nil"/>
              <w:bottom w:val="dashed" w:sz="4" w:space="0" w:color="auto"/>
              <w:right w:val="dashed" w:sz="4" w:space="0" w:color="auto"/>
            </w:tcBorders>
            <w:shd w:val="clear" w:color="auto" w:fill="auto"/>
            <w:noWrap/>
            <w:vAlign w:val="center"/>
            <w:hideMark/>
          </w:tcPr>
          <w:p w14:paraId="4BD1C06B" w14:textId="77777777" w:rsidR="00247CBF" w:rsidRPr="00092ED7" w:rsidRDefault="00247CBF" w:rsidP="00247CBF">
            <w:pPr>
              <w:spacing w:after="0"/>
              <w:jc w:val="right"/>
              <w:rPr>
                <w:sz w:val="20"/>
                <w:szCs w:val="20"/>
                <w:lang w:val="sr-Cyrl-CS"/>
              </w:rPr>
            </w:pPr>
            <w:r w:rsidRPr="00092ED7">
              <w:rPr>
                <w:sz w:val="20"/>
                <w:szCs w:val="20"/>
                <w:lang w:val="sr-Cyrl-CS"/>
              </w:rPr>
              <w:t>-0,6</w:t>
            </w:r>
          </w:p>
        </w:tc>
        <w:tc>
          <w:tcPr>
            <w:tcW w:w="1260" w:type="dxa"/>
            <w:gridSpan w:val="4"/>
            <w:tcBorders>
              <w:top w:val="nil"/>
              <w:left w:val="nil"/>
              <w:bottom w:val="dashed" w:sz="4" w:space="0" w:color="auto"/>
              <w:right w:val="dashed" w:sz="4" w:space="0" w:color="auto"/>
            </w:tcBorders>
            <w:shd w:val="clear" w:color="auto" w:fill="auto"/>
            <w:noWrap/>
            <w:vAlign w:val="center"/>
            <w:hideMark/>
          </w:tcPr>
          <w:p w14:paraId="48CFB524" w14:textId="77777777" w:rsidR="00247CBF" w:rsidRPr="00092ED7" w:rsidRDefault="00247CBF" w:rsidP="00247CBF">
            <w:pPr>
              <w:spacing w:after="0"/>
              <w:jc w:val="right"/>
              <w:rPr>
                <w:sz w:val="20"/>
                <w:szCs w:val="20"/>
                <w:lang w:val="sr-Cyrl-CS"/>
              </w:rPr>
            </w:pPr>
            <w:r w:rsidRPr="00092ED7">
              <w:rPr>
                <w:sz w:val="20"/>
                <w:szCs w:val="20"/>
                <w:lang w:val="sr-Cyrl-CS"/>
              </w:rPr>
              <w:t>-0,5</w:t>
            </w:r>
          </w:p>
        </w:tc>
        <w:tc>
          <w:tcPr>
            <w:tcW w:w="1260" w:type="dxa"/>
            <w:gridSpan w:val="3"/>
            <w:tcBorders>
              <w:top w:val="nil"/>
              <w:left w:val="nil"/>
              <w:bottom w:val="dashed" w:sz="4" w:space="0" w:color="auto"/>
              <w:right w:val="dashed" w:sz="4" w:space="0" w:color="auto"/>
            </w:tcBorders>
            <w:shd w:val="clear" w:color="auto" w:fill="auto"/>
            <w:noWrap/>
            <w:vAlign w:val="center"/>
            <w:hideMark/>
          </w:tcPr>
          <w:p w14:paraId="636511F9" w14:textId="77777777" w:rsidR="00247CBF" w:rsidRPr="00092ED7" w:rsidRDefault="00247CBF" w:rsidP="00247CBF">
            <w:pPr>
              <w:spacing w:after="0"/>
              <w:jc w:val="right"/>
              <w:rPr>
                <w:sz w:val="20"/>
                <w:szCs w:val="20"/>
                <w:lang w:val="sr-Cyrl-CS"/>
              </w:rPr>
            </w:pPr>
            <w:r w:rsidRPr="00092ED7">
              <w:rPr>
                <w:sz w:val="20"/>
                <w:szCs w:val="20"/>
                <w:lang w:val="sr-Cyrl-CS"/>
              </w:rPr>
              <w:t>-0,7</w:t>
            </w:r>
          </w:p>
        </w:tc>
        <w:tc>
          <w:tcPr>
            <w:tcW w:w="1268" w:type="dxa"/>
            <w:gridSpan w:val="3"/>
            <w:tcBorders>
              <w:top w:val="nil"/>
              <w:left w:val="nil"/>
              <w:bottom w:val="dashed" w:sz="4" w:space="0" w:color="auto"/>
              <w:right w:val="double" w:sz="4" w:space="0" w:color="auto"/>
            </w:tcBorders>
            <w:shd w:val="clear" w:color="auto" w:fill="auto"/>
            <w:noWrap/>
            <w:vAlign w:val="center"/>
            <w:hideMark/>
          </w:tcPr>
          <w:p w14:paraId="376F6CE0" w14:textId="77777777" w:rsidR="00247CBF" w:rsidRPr="00092ED7" w:rsidRDefault="00247CBF" w:rsidP="00247CBF">
            <w:pPr>
              <w:spacing w:after="0"/>
              <w:jc w:val="right"/>
              <w:rPr>
                <w:sz w:val="20"/>
                <w:szCs w:val="20"/>
                <w:lang w:val="sr-Cyrl-CS"/>
              </w:rPr>
            </w:pPr>
            <w:r w:rsidRPr="00092ED7">
              <w:rPr>
                <w:sz w:val="20"/>
                <w:szCs w:val="20"/>
                <w:lang w:val="sr-Cyrl-CS"/>
              </w:rPr>
              <w:t>-0,8</w:t>
            </w:r>
          </w:p>
        </w:tc>
      </w:tr>
      <w:tr w:rsidR="00247CBF" w:rsidRPr="00092ED7" w14:paraId="0C0F5EC8" w14:textId="77777777" w:rsidTr="00247CBF">
        <w:trPr>
          <w:gridAfter w:val="3"/>
          <w:wAfter w:w="365" w:type="dxa"/>
          <w:trHeight w:val="255"/>
        </w:trPr>
        <w:tc>
          <w:tcPr>
            <w:tcW w:w="4962" w:type="dxa"/>
            <w:gridSpan w:val="3"/>
            <w:tcBorders>
              <w:top w:val="nil"/>
              <w:left w:val="double" w:sz="6" w:space="0" w:color="auto"/>
              <w:bottom w:val="dashed" w:sz="4" w:space="0" w:color="auto"/>
              <w:right w:val="nil"/>
            </w:tcBorders>
            <w:shd w:val="clear" w:color="auto" w:fill="auto"/>
            <w:hideMark/>
          </w:tcPr>
          <w:p w14:paraId="3C9E540F" w14:textId="77777777" w:rsidR="00247CBF" w:rsidRPr="00092ED7" w:rsidRDefault="00247CBF" w:rsidP="00247CBF">
            <w:pPr>
              <w:spacing w:after="0"/>
              <w:rPr>
                <w:sz w:val="20"/>
                <w:szCs w:val="20"/>
                <w:lang w:val="sr-Cyrl-CS"/>
              </w:rPr>
            </w:pPr>
            <w:r w:rsidRPr="00092ED7">
              <w:rPr>
                <w:sz w:val="20"/>
                <w:szCs w:val="20"/>
                <w:lang w:val="sr-Cyrl-CS"/>
              </w:rPr>
              <w:t xml:space="preserve">9. Остали нето факторски приход из иностранства </w:t>
            </w:r>
          </w:p>
        </w:tc>
        <w:tc>
          <w:tcPr>
            <w:tcW w:w="1447" w:type="dxa"/>
            <w:gridSpan w:val="3"/>
            <w:tcBorders>
              <w:top w:val="nil"/>
              <w:left w:val="single" w:sz="8" w:space="0" w:color="auto"/>
              <w:bottom w:val="dashed" w:sz="4" w:space="0" w:color="auto"/>
              <w:right w:val="single" w:sz="8" w:space="0" w:color="auto"/>
            </w:tcBorders>
            <w:shd w:val="clear" w:color="auto" w:fill="auto"/>
            <w:noWrap/>
            <w:vAlign w:val="center"/>
            <w:hideMark/>
          </w:tcPr>
          <w:p w14:paraId="210B8A7C"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млрд ЕУР</w:t>
            </w:r>
          </w:p>
        </w:tc>
        <w:tc>
          <w:tcPr>
            <w:tcW w:w="1380" w:type="dxa"/>
            <w:gridSpan w:val="3"/>
            <w:tcBorders>
              <w:top w:val="nil"/>
              <w:left w:val="nil"/>
              <w:bottom w:val="dashed" w:sz="4" w:space="0" w:color="auto"/>
              <w:right w:val="dashed" w:sz="4" w:space="0" w:color="auto"/>
            </w:tcBorders>
            <w:shd w:val="clear" w:color="auto" w:fill="auto"/>
            <w:noWrap/>
            <w:vAlign w:val="center"/>
            <w:hideMark/>
          </w:tcPr>
          <w:p w14:paraId="52CC7204" w14:textId="77777777" w:rsidR="00247CBF" w:rsidRPr="00092ED7" w:rsidRDefault="00247CBF" w:rsidP="00247CBF">
            <w:pPr>
              <w:spacing w:after="0"/>
              <w:jc w:val="right"/>
              <w:rPr>
                <w:sz w:val="20"/>
                <w:szCs w:val="20"/>
                <w:lang w:val="sr-Cyrl-CS"/>
              </w:rPr>
            </w:pPr>
            <w:r w:rsidRPr="00092ED7">
              <w:rPr>
                <w:sz w:val="20"/>
                <w:szCs w:val="20"/>
                <w:lang w:val="sr-Cyrl-CS"/>
              </w:rPr>
              <w:t>-0,9</w:t>
            </w:r>
          </w:p>
        </w:tc>
        <w:tc>
          <w:tcPr>
            <w:tcW w:w="1300" w:type="dxa"/>
            <w:gridSpan w:val="4"/>
            <w:tcBorders>
              <w:top w:val="nil"/>
              <w:left w:val="nil"/>
              <w:bottom w:val="dashed" w:sz="4" w:space="0" w:color="auto"/>
              <w:right w:val="dashed" w:sz="4" w:space="0" w:color="auto"/>
            </w:tcBorders>
            <w:shd w:val="clear" w:color="auto" w:fill="auto"/>
            <w:noWrap/>
            <w:vAlign w:val="center"/>
            <w:hideMark/>
          </w:tcPr>
          <w:p w14:paraId="083EDB6C" w14:textId="77777777" w:rsidR="00247CBF" w:rsidRPr="00092ED7" w:rsidRDefault="00247CBF" w:rsidP="00247CBF">
            <w:pPr>
              <w:spacing w:after="0"/>
              <w:jc w:val="right"/>
              <w:rPr>
                <w:sz w:val="20"/>
                <w:szCs w:val="20"/>
                <w:lang w:val="sr-Cyrl-CS"/>
              </w:rPr>
            </w:pPr>
            <w:r w:rsidRPr="00092ED7">
              <w:rPr>
                <w:sz w:val="20"/>
                <w:szCs w:val="20"/>
                <w:lang w:val="sr-Cyrl-CS"/>
              </w:rPr>
              <w:t>-1,5</w:t>
            </w:r>
          </w:p>
        </w:tc>
        <w:tc>
          <w:tcPr>
            <w:tcW w:w="1360" w:type="dxa"/>
            <w:gridSpan w:val="4"/>
            <w:tcBorders>
              <w:top w:val="nil"/>
              <w:left w:val="nil"/>
              <w:bottom w:val="dashed" w:sz="4" w:space="0" w:color="auto"/>
              <w:right w:val="dashed" w:sz="4" w:space="0" w:color="auto"/>
            </w:tcBorders>
            <w:shd w:val="clear" w:color="auto" w:fill="auto"/>
            <w:noWrap/>
            <w:vAlign w:val="center"/>
            <w:hideMark/>
          </w:tcPr>
          <w:p w14:paraId="6E747B26" w14:textId="77777777" w:rsidR="00247CBF" w:rsidRPr="00092ED7" w:rsidRDefault="00247CBF" w:rsidP="00247CBF">
            <w:pPr>
              <w:spacing w:after="0"/>
              <w:jc w:val="right"/>
              <w:rPr>
                <w:sz w:val="20"/>
                <w:szCs w:val="20"/>
                <w:lang w:val="sr-Cyrl-CS"/>
              </w:rPr>
            </w:pPr>
            <w:r w:rsidRPr="00092ED7">
              <w:rPr>
                <w:sz w:val="20"/>
                <w:szCs w:val="20"/>
                <w:lang w:val="sr-Cyrl-CS"/>
              </w:rPr>
              <w:t>-2,4</w:t>
            </w:r>
          </w:p>
        </w:tc>
        <w:tc>
          <w:tcPr>
            <w:tcW w:w="1260" w:type="dxa"/>
            <w:gridSpan w:val="4"/>
            <w:tcBorders>
              <w:top w:val="nil"/>
              <w:left w:val="nil"/>
              <w:bottom w:val="dashed" w:sz="4" w:space="0" w:color="auto"/>
              <w:right w:val="dashed" w:sz="4" w:space="0" w:color="auto"/>
            </w:tcBorders>
            <w:shd w:val="clear" w:color="auto" w:fill="auto"/>
            <w:noWrap/>
            <w:vAlign w:val="center"/>
            <w:hideMark/>
          </w:tcPr>
          <w:p w14:paraId="05A5547F" w14:textId="77777777" w:rsidR="00247CBF" w:rsidRPr="00092ED7" w:rsidRDefault="00247CBF" w:rsidP="00247CBF">
            <w:pPr>
              <w:spacing w:after="0"/>
              <w:jc w:val="right"/>
              <w:rPr>
                <w:sz w:val="20"/>
                <w:szCs w:val="20"/>
                <w:lang w:val="sr-Cyrl-CS"/>
              </w:rPr>
            </w:pPr>
            <w:r w:rsidRPr="00092ED7">
              <w:rPr>
                <w:sz w:val="20"/>
                <w:szCs w:val="20"/>
                <w:lang w:val="sr-Cyrl-CS"/>
              </w:rPr>
              <w:t>-3,0</w:t>
            </w:r>
          </w:p>
        </w:tc>
        <w:tc>
          <w:tcPr>
            <w:tcW w:w="1260" w:type="dxa"/>
            <w:gridSpan w:val="3"/>
            <w:tcBorders>
              <w:top w:val="nil"/>
              <w:left w:val="nil"/>
              <w:bottom w:val="dashed" w:sz="4" w:space="0" w:color="auto"/>
              <w:right w:val="dashed" w:sz="4" w:space="0" w:color="auto"/>
            </w:tcBorders>
            <w:shd w:val="clear" w:color="auto" w:fill="auto"/>
            <w:noWrap/>
            <w:vAlign w:val="center"/>
            <w:hideMark/>
          </w:tcPr>
          <w:p w14:paraId="32A750FF" w14:textId="77777777" w:rsidR="00247CBF" w:rsidRPr="00092ED7" w:rsidRDefault="00247CBF" w:rsidP="00247CBF">
            <w:pPr>
              <w:spacing w:after="0"/>
              <w:jc w:val="right"/>
              <w:rPr>
                <w:sz w:val="20"/>
                <w:szCs w:val="20"/>
                <w:lang w:val="sr-Cyrl-CS"/>
              </w:rPr>
            </w:pPr>
            <w:r w:rsidRPr="00092ED7">
              <w:rPr>
                <w:sz w:val="20"/>
                <w:szCs w:val="20"/>
                <w:lang w:val="sr-Cyrl-CS"/>
              </w:rPr>
              <w:t>-2,5</w:t>
            </w:r>
          </w:p>
        </w:tc>
        <w:tc>
          <w:tcPr>
            <w:tcW w:w="1268" w:type="dxa"/>
            <w:gridSpan w:val="3"/>
            <w:tcBorders>
              <w:top w:val="nil"/>
              <w:left w:val="nil"/>
              <w:bottom w:val="dashed" w:sz="4" w:space="0" w:color="auto"/>
              <w:right w:val="double" w:sz="4" w:space="0" w:color="auto"/>
            </w:tcBorders>
            <w:shd w:val="clear" w:color="auto" w:fill="auto"/>
            <w:noWrap/>
            <w:vAlign w:val="center"/>
            <w:hideMark/>
          </w:tcPr>
          <w:p w14:paraId="57DB1DB4" w14:textId="77777777" w:rsidR="00247CBF" w:rsidRPr="00092ED7" w:rsidRDefault="00247CBF" w:rsidP="00247CBF">
            <w:pPr>
              <w:spacing w:after="0"/>
              <w:jc w:val="right"/>
              <w:rPr>
                <w:sz w:val="20"/>
                <w:szCs w:val="20"/>
                <w:lang w:val="sr-Cyrl-CS"/>
              </w:rPr>
            </w:pPr>
            <w:r w:rsidRPr="00092ED7">
              <w:rPr>
                <w:sz w:val="20"/>
                <w:szCs w:val="20"/>
                <w:lang w:val="sr-Cyrl-CS"/>
              </w:rPr>
              <w:t>-2,4</w:t>
            </w:r>
          </w:p>
        </w:tc>
      </w:tr>
      <w:tr w:rsidR="00247CBF" w:rsidRPr="00092ED7" w14:paraId="395B8DA6" w14:textId="77777777" w:rsidTr="00247CBF">
        <w:trPr>
          <w:gridAfter w:val="3"/>
          <w:wAfter w:w="365" w:type="dxa"/>
          <w:trHeight w:val="255"/>
        </w:trPr>
        <w:tc>
          <w:tcPr>
            <w:tcW w:w="4962" w:type="dxa"/>
            <w:gridSpan w:val="3"/>
            <w:tcBorders>
              <w:top w:val="nil"/>
              <w:left w:val="double" w:sz="6" w:space="0" w:color="auto"/>
              <w:bottom w:val="dashed" w:sz="4" w:space="0" w:color="auto"/>
              <w:right w:val="nil"/>
            </w:tcBorders>
            <w:shd w:val="clear" w:color="auto" w:fill="auto"/>
            <w:hideMark/>
          </w:tcPr>
          <w:p w14:paraId="44B3D0B5" w14:textId="77777777" w:rsidR="00247CBF" w:rsidRPr="00092ED7" w:rsidRDefault="00247CBF" w:rsidP="00247CBF">
            <w:pPr>
              <w:spacing w:after="0"/>
              <w:rPr>
                <w:sz w:val="20"/>
                <w:szCs w:val="20"/>
                <w:lang w:val="sr-Cyrl-CS"/>
              </w:rPr>
            </w:pPr>
            <w:r w:rsidRPr="00092ED7">
              <w:rPr>
                <w:sz w:val="20"/>
                <w:szCs w:val="20"/>
                <w:lang w:val="sr-Cyrl-CS"/>
              </w:rPr>
              <w:t>10. Текући трансфери</w:t>
            </w:r>
          </w:p>
        </w:tc>
        <w:tc>
          <w:tcPr>
            <w:tcW w:w="1447" w:type="dxa"/>
            <w:gridSpan w:val="3"/>
            <w:tcBorders>
              <w:top w:val="nil"/>
              <w:left w:val="single" w:sz="8" w:space="0" w:color="auto"/>
              <w:bottom w:val="dashed" w:sz="4" w:space="0" w:color="auto"/>
              <w:right w:val="single" w:sz="8" w:space="0" w:color="auto"/>
            </w:tcBorders>
            <w:shd w:val="clear" w:color="auto" w:fill="auto"/>
            <w:noWrap/>
            <w:vAlign w:val="center"/>
            <w:hideMark/>
          </w:tcPr>
          <w:p w14:paraId="415A967B"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млрд ЕУР</w:t>
            </w:r>
          </w:p>
        </w:tc>
        <w:tc>
          <w:tcPr>
            <w:tcW w:w="1380" w:type="dxa"/>
            <w:gridSpan w:val="3"/>
            <w:tcBorders>
              <w:top w:val="nil"/>
              <w:left w:val="nil"/>
              <w:bottom w:val="dashed" w:sz="4" w:space="0" w:color="auto"/>
              <w:right w:val="dashed" w:sz="4" w:space="0" w:color="auto"/>
            </w:tcBorders>
            <w:shd w:val="clear" w:color="auto" w:fill="auto"/>
            <w:noWrap/>
            <w:vAlign w:val="center"/>
            <w:hideMark/>
          </w:tcPr>
          <w:p w14:paraId="4B4BC7A5" w14:textId="77777777" w:rsidR="00247CBF" w:rsidRPr="00092ED7" w:rsidRDefault="00247CBF" w:rsidP="00247CBF">
            <w:pPr>
              <w:spacing w:after="0"/>
              <w:jc w:val="right"/>
              <w:rPr>
                <w:sz w:val="20"/>
                <w:szCs w:val="20"/>
                <w:lang w:val="sr-Cyrl-CS"/>
              </w:rPr>
            </w:pPr>
            <w:r w:rsidRPr="00092ED7">
              <w:rPr>
                <w:sz w:val="20"/>
                <w:szCs w:val="20"/>
                <w:lang w:val="sr-Cyrl-CS"/>
              </w:rPr>
              <w:t>3,6</w:t>
            </w:r>
          </w:p>
        </w:tc>
        <w:tc>
          <w:tcPr>
            <w:tcW w:w="1300" w:type="dxa"/>
            <w:gridSpan w:val="4"/>
            <w:tcBorders>
              <w:top w:val="nil"/>
              <w:left w:val="nil"/>
              <w:bottom w:val="dashed" w:sz="4" w:space="0" w:color="auto"/>
              <w:right w:val="dashed" w:sz="4" w:space="0" w:color="auto"/>
            </w:tcBorders>
            <w:shd w:val="clear" w:color="auto" w:fill="auto"/>
            <w:noWrap/>
            <w:vAlign w:val="center"/>
            <w:hideMark/>
          </w:tcPr>
          <w:p w14:paraId="3536F26A" w14:textId="77777777" w:rsidR="00247CBF" w:rsidRPr="00092ED7" w:rsidRDefault="00247CBF" w:rsidP="00247CBF">
            <w:pPr>
              <w:spacing w:after="0"/>
              <w:jc w:val="right"/>
              <w:rPr>
                <w:sz w:val="20"/>
                <w:szCs w:val="20"/>
                <w:lang w:val="sr-Cyrl-CS"/>
              </w:rPr>
            </w:pPr>
            <w:r w:rsidRPr="00092ED7">
              <w:rPr>
                <w:sz w:val="20"/>
                <w:szCs w:val="20"/>
                <w:lang w:val="sr-Cyrl-CS"/>
              </w:rPr>
              <w:t>4,3</w:t>
            </w:r>
          </w:p>
        </w:tc>
        <w:tc>
          <w:tcPr>
            <w:tcW w:w="1360" w:type="dxa"/>
            <w:gridSpan w:val="4"/>
            <w:tcBorders>
              <w:top w:val="nil"/>
              <w:left w:val="nil"/>
              <w:bottom w:val="dashed" w:sz="4" w:space="0" w:color="auto"/>
              <w:right w:val="dashed" w:sz="4" w:space="0" w:color="auto"/>
            </w:tcBorders>
            <w:shd w:val="clear" w:color="auto" w:fill="auto"/>
            <w:noWrap/>
            <w:vAlign w:val="center"/>
            <w:hideMark/>
          </w:tcPr>
          <w:p w14:paraId="17FE8E73" w14:textId="77777777" w:rsidR="00247CBF" w:rsidRPr="00092ED7" w:rsidRDefault="00247CBF" w:rsidP="00247CBF">
            <w:pPr>
              <w:spacing w:after="0"/>
              <w:jc w:val="right"/>
              <w:rPr>
                <w:sz w:val="20"/>
                <w:szCs w:val="20"/>
                <w:lang w:val="sr-Cyrl-CS"/>
              </w:rPr>
            </w:pPr>
            <w:r w:rsidRPr="00092ED7">
              <w:rPr>
                <w:sz w:val="20"/>
                <w:szCs w:val="20"/>
                <w:lang w:val="sr-Cyrl-CS"/>
              </w:rPr>
              <w:t>4,9</w:t>
            </w:r>
          </w:p>
        </w:tc>
        <w:tc>
          <w:tcPr>
            <w:tcW w:w="1260" w:type="dxa"/>
            <w:gridSpan w:val="4"/>
            <w:tcBorders>
              <w:top w:val="nil"/>
              <w:left w:val="nil"/>
              <w:bottom w:val="dashed" w:sz="4" w:space="0" w:color="auto"/>
              <w:right w:val="dashed" w:sz="4" w:space="0" w:color="auto"/>
            </w:tcBorders>
            <w:shd w:val="clear" w:color="auto" w:fill="auto"/>
            <w:noWrap/>
            <w:vAlign w:val="center"/>
            <w:hideMark/>
          </w:tcPr>
          <w:p w14:paraId="1BAB7F43" w14:textId="77777777" w:rsidR="00247CBF" w:rsidRPr="00092ED7" w:rsidRDefault="00247CBF" w:rsidP="00247CBF">
            <w:pPr>
              <w:spacing w:after="0"/>
              <w:jc w:val="right"/>
              <w:rPr>
                <w:sz w:val="20"/>
                <w:szCs w:val="20"/>
                <w:lang w:val="sr-Cyrl-CS"/>
              </w:rPr>
            </w:pPr>
            <w:r w:rsidRPr="00092ED7">
              <w:rPr>
                <w:sz w:val="20"/>
                <w:szCs w:val="20"/>
                <w:lang w:val="sr-Cyrl-CS"/>
              </w:rPr>
              <w:t>5,1</w:t>
            </w:r>
          </w:p>
        </w:tc>
        <w:tc>
          <w:tcPr>
            <w:tcW w:w="1260" w:type="dxa"/>
            <w:gridSpan w:val="3"/>
            <w:tcBorders>
              <w:top w:val="nil"/>
              <w:left w:val="nil"/>
              <w:bottom w:val="dashed" w:sz="4" w:space="0" w:color="auto"/>
              <w:right w:val="dashed" w:sz="4" w:space="0" w:color="auto"/>
            </w:tcBorders>
            <w:shd w:val="clear" w:color="auto" w:fill="auto"/>
            <w:noWrap/>
            <w:vAlign w:val="center"/>
            <w:hideMark/>
          </w:tcPr>
          <w:p w14:paraId="1D3DEAA2" w14:textId="77777777" w:rsidR="00247CBF" w:rsidRPr="00092ED7" w:rsidRDefault="00247CBF" w:rsidP="00247CBF">
            <w:pPr>
              <w:spacing w:after="0"/>
              <w:jc w:val="right"/>
              <w:rPr>
                <w:sz w:val="20"/>
                <w:szCs w:val="20"/>
                <w:lang w:val="sr-Cyrl-CS"/>
              </w:rPr>
            </w:pPr>
            <w:r w:rsidRPr="00092ED7">
              <w:rPr>
                <w:sz w:val="20"/>
                <w:szCs w:val="20"/>
                <w:lang w:val="sr-Cyrl-CS"/>
              </w:rPr>
              <w:t>5,2</w:t>
            </w:r>
          </w:p>
        </w:tc>
        <w:tc>
          <w:tcPr>
            <w:tcW w:w="1268" w:type="dxa"/>
            <w:gridSpan w:val="3"/>
            <w:tcBorders>
              <w:top w:val="nil"/>
              <w:left w:val="nil"/>
              <w:bottom w:val="dashed" w:sz="4" w:space="0" w:color="auto"/>
              <w:right w:val="double" w:sz="4" w:space="0" w:color="auto"/>
            </w:tcBorders>
            <w:shd w:val="clear" w:color="auto" w:fill="auto"/>
            <w:noWrap/>
            <w:vAlign w:val="center"/>
            <w:hideMark/>
          </w:tcPr>
          <w:p w14:paraId="6B5F12A7" w14:textId="77777777" w:rsidR="00247CBF" w:rsidRPr="00092ED7" w:rsidRDefault="00247CBF" w:rsidP="00247CBF">
            <w:pPr>
              <w:spacing w:after="0"/>
              <w:jc w:val="right"/>
              <w:rPr>
                <w:sz w:val="20"/>
                <w:szCs w:val="20"/>
                <w:lang w:val="sr-Cyrl-CS"/>
              </w:rPr>
            </w:pPr>
            <w:r w:rsidRPr="00092ED7">
              <w:rPr>
                <w:sz w:val="20"/>
                <w:szCs w:val="20"/>
                <w:lang w:val="sr-Cyrl-CS"/>
              </w:rPr>
              <w:t>5,6</w:t>
            </w:r>
          </w:p>
        </w:tc>
      </w:tr>
      <w:tr w:rsidR="00247CBF" w:rsidRPr="00092ED7" w14:paraId="0FC500FE" w14:textId="77777777" w:rsidTr="00247CBF">
        <w:trPr>
          <w:gridAfter w:val="3"/>
          <w:wAfter w:w="365" w:type="dxa"/>
          <w:trHeight w:val="255"/>
        </w:trPr>
        <w:tc>
          <w:tcPr>
            <w:tcW w:w="4962" w:type="dxa"/>
            <w:gridSpan w:val="3"/>
            <w:tcBorders>
              <w:top w:val="nil"/>
              <w:left w:val="double" w:sz="6" w:space="0" w:color="auto"/>
              <w:bottom w:val="dashed" w:sz="4" w:space="0" w:color="auto"/>
              <w:right w:val="nil"/>
            </w:tcBorders>
            <w:shd w:val="clear" w:color="auto" w:fill="auto"/>
            <w:hideMark/>
          </w:tcPr>
          <w:p w14:paraId="0855F240" w14:textId="77777777" w:rsidR="00247CBF" w:rsidRPr="00092ED7" w:rsidRDefault="00247CBF" w:rsidP="00247CBF">
            <w:pPr>
              <w:spacing w:after="0"/>
              <w:rPr>
                <w:i/>
                <w:iCs/>
                <w:sz w:val="20"/>
                <w:szCs w:val="20"/>
                <w:lang w:val="sr-Cyrl-CS"/>
              </w:rPr>
            </w:pPr>
            <w:r w:rsidRPr="00092ED7">
              <w:rPr>
                <w:i/>
                <w:iCs/>
                <w:sz w:val="20"/>
                <w:szCs w:val="20"/>
                <w:lang w:val="sr-Cyrl-CS"/>
              </w:rPr>
              <w:t xml:space="preserve">11. Од чега </w:t>
            </w:r>
            <w:r w:rsidRPr="00092ED7">
              <w:rPr>
                <w:sz w:val="20"/>
                <w:szCs w:val="20"/>
                <w:lang w:val="sr-Cyrl-CS"/>
              </w:rPr>
              <w:t>из ЕУ</w:t>
            </w:r>
          </w:p>
        </w:tc>
        <w:tc>
          <w:tcPr>
            <w:tcW w:w="1447" w:type="dxa"/>
            <w:gridSpan w:val="3"/>
            <w:tcBorders>
              <w:top w:val="nil"/>
              <w:left w:val="single" w:sz="8" w:space="0" w:color="auto"/>
              <w:bottom w:val="dashed" w:sz="4" w:space="0" w:color="auto"/>
              <w:right w:val="single" w:sz="8" w:space="0" w:color="auto"/>
            </w:tcBorders>
            <w:shd w:val="clear" w:color="auto" w:fill="auto"/>
            <w:noWrap/>
            <w:vAlign w:val="center"/>
            <w:hideMark/>
          </w:tcPr>
          <w:p w14:paraId="643B25AA"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млрд ЕУР</w:t>
            </w:r>
          </w:p>
        </w:tc>
        <w:tc>
          <w:tcPr>
            <w:tcW w:w="1380" w:type="dxa"/>
            <w:gridSpan w:val="3"/>
            <w:tcBorders>
              <w:top w:val="nil"/>
              <w:left w:val="nil"/>
              <w:bottom w:val="dashed" w:sz="4" w:space="0" w:color="auto"/>
              <w:right w:val="dashed" w:sz="4" w:space="0" w:color="auto"/>
            </w:tcBorders>
            <w:shd w:val="clear" w:color="auto" w:fill="auto"/>
            <w:noWrap/>
            <w:vAlign w:val="center"/>
            <w:hideMark/>
          </w:tcPr>
          <w:p w14:paraId="4C20CF3C" w14:textId="77777777" w:rsidR="00247CBF" w:rsidRPr="00092ED7" w:rsidRDefault="00247CBF" w:rsidP="00247CBF">
            <w:pPr>
              <w:spacing w:after="0"/>
              <w:jc w:val="right"/>
              <w:rPr>
                <w:i/>
                <w:iCs/>
                <w:sz w:val="20"/>
                <w:szCs w:val="20"/>
                <w:lang w:val="sr-Cyrl-CS"/>
              </w:rPr>
            </w:pPr>
            <w:r w:rsidRPr="00092ED7">
              <w:rPr>
                <w:i/>
                <w:iCs/>
                <w:sz w:val="20"/>
                <w:szCs w:val="20"/>
                <w:lang w:val="sr-Cyrl-CS"/>
              </w:rPr>
              <w:t>2,4</w:t>
            </w:r>
          </w:p>
        </w:tc>
        <w:tc>
          <w:tcPr>
            <w:tcW w:w="1300" w:type="dxa"/>
            <w:gridSpan w:val="4"/>
            <w:tcBorders>
              <w:top w:val="nil"/>
              <w:left w:val="nil"/>
              <w:bottom w:val="dashed" w:sz="4" w:space="0" w:color="auto"/>
              <w:right w:val="dashed" w:sz="4" w:space="0" w:color="auto"/>
            </w:tcBorders>
            <w:shd w:val="clear" w:color="auto" w:fill="auto"/>
            <w:noWrap/>
            <w:vAlign w:val="center"/>
            <w:hideMark/>
          </w:tcPr>
          <w:p w14:paraId="21BB20E4" w14:textId="77777777" w:rsidR="00247CBF" w:rsidRPr="00092ED7" w:rsidRDefault="00247CBF" w:rsidP="00247CBF">
            <w:pPr>
              <w:spacing w:after="0"/>
              <w:jc w:val="right"/>
              <w:rPr>
                <w:i/>
                <w:iCs/>
                <w:sz w:val="20"/>
                <w:szCs w:val="20"/>
                <w:lang w:val="sr-Cyrl-CS"/>
              </w:rPr>
            </w:pPr>
            <w:r w:rsidRPr="00092ED7">
              <w:rPr>
                <w:i/>
                <w:iCs/>
                <w:sz w:val="20"/>
                <w:szCs w:val="20"/>
                <w:lang w:val="sr-Cyrl-CS"/>
              </w:rPr>
              <w:t>2,7</w:t>
            </w:r>
          </w:p>
        </w:tc>
        <w:tc>
          <w:tcPr>
            <w:tcW w:w="1360" w:type="dxa"/>
            <w:gridSpan w:val="4"/>
            <w:tcBorders>
              <w:top w:val="nil"/>
              <w:left w:val="nil"/>
              <w:bottom w:val="dashed" w:sz="4" w:space="0" w:color="auto"/>
              <w:right w:val="dashed" w:sz="4" w:space="0" w:color="auto"/>
            </w:tcBorders>
            <w:shd w:val="clear" w:color="auto" w:fill="auto"/>
            <w:noWrap/>
            <w:vAlign w:val="center"/>
            <w:hideMark/>
          </w:tcPr>
          <w:p w14:paraId="22E99A7B" w14:textId="77777777" w:rsidR="00247CBF" w:rsidRPr="00092ED7" w:rsidRDefault="00247CBF" w:rsidP="00247CBF">
            <w:pPr>
              <w:spacing w:after="0"/>
              <w:jc w:val="right"/>
              <w:rPr>
                <w:i/>
                <w:iCs/>
                <w:sz w:val="20"/>
                <w:szCs w:val="20"/>
                <w:lang w:val="sr-Cyrl-CS"/>
              </w:rPr>
            </w:pPr>
            <w:r w:rsidRPr="00092ED7">
              <w:rPr>
                <w:i/>
                <w:iCs/>
                <w:sz w:val="20"/>
                <w:szCs w:val="20"/>
                <w:lang w:val="sr-Cyrl-CS"/>
              </w:rPr>
              <w:t>3,5</w:t>
            </w:r>
          </w:p>
        </w:tc>
        <w:tc>
          <w:tcPr>
            <w:tcW w:w="1260" w:type="dxa"/>
            <w:gridSpan w:val="4"/>
            <w:tcBorders>
              <w:top w:val="nil"/>
              <w:left w:val="nil"/>
              <w:bottom w:val="dashed" w:sz="4" w:space="0" w:color="auto"/>
              <w:right w:val="dashed" w:sz="4" w:space="0" w:color="auto"/>
            </w:tcBorders>
            <w:shd w:val="clear" w:color="auto" w:fill="auto"/>
            <w:noWrap/>
            <w:vAlign w:val="center"/>
            <w:hideMark/>
          </w:tcPr>
          <w:p w14:paraId="76D81761" w14:textId="77777777" w:rsidR="00247CBF" w:rsidRPr="00092ED7" w:rsidRDefault="00247CBF" w:rsidP="00247CBF">
            <w:pPr>
              <w:spacing w:after="0"/>
              <w:jc w:val="right"/>
              <w:rPr>
                <w:i/>
                <w:iCs/>
                <w:sz w:val="20"/>
                <w:szCs w:val="20"/>
                <w:lang w:val="sr-Cyrl-CS"/>
              </w:rPr>
            </w:pPr>
            <w:r w:rsidRPr="00092ED7">
              <w:rPr>
                <w:i/>
                <w:iCs/>
                <w:sz w:val="20"/>
                <w:szCs w:val="20"/>
                <w:lang w:val="sr-Cyrl-CS"/>
              </w:rPr>
              <w:t>3,6</w:t>
            </w:r>
          </w:p>
        </w:tc>
        <w:tc>
          <w:tcPr>
            <w:tcW w:w="1260" w:type="dxa"/>
            <w:gridSpan w:val="3"/>
            <w:tcBorders>
              <w:top w:val="nil"/>
              <w:left w:val="nil"/>
              <w:bottom w:val="dashed" w:sz="4" w:space="0" w:color="auto"/>
              <w:right w:val="dashed" w:sz="4" w:space="0" w:color="auto"/>
            </w:tcBorders>
            <w:shd w:val="clear" w:color="auto" w:fill="auto"/>
            <w:noWrap/>
            <w:vAlign w:val="center"/>
            <w:hideMark/>
          </w:tcPr>
          <w:p w14:paraId="5B05D501" w14:textId="77777777" w:rsidR="00247CBF" w:rsidRPr="00092ED7" w:rsidRDefault="00247CBF" w:rsidP="00247CBF">
            <w:pPr>
              <w:spacing w:after="0"/>
              <w:jc w:val="right"/>
              <w:rPr>
                <w:i/>
                <w:iCs/>
                <w:sz w:val="20"/>
                <w:szCs w:val="20"/>
                <w:lang w:val="sr-Cyrl-CS"/>
              </w:rPr>
            </w:pPr>
            <w:r w:rsidRPr="00092ED7">
              <w:rPr>
                <w:i/>
                <w:iCs/>
                <w:sz w:val="20"/>
                <w:szCs w:val="20"/>
                <w:lang w:val="sr-Cyrl-CS"/>
              </w:rPr>
              <w:t>3,6</w:t>
            </w:r>
          </w:p>
        </w:tc>
        <w:tc>
          <w:tcPr>
            <w:tcW w:w="1268" w:type="dxa"/>
            <w:gridSpan w:val="3"/>
            <w:tcBorders>
              <w:top w:val="nil"/>
              <w:left w:val="nil"/>
              <w:bottom w:val="dashed" w:sz="4" w:space="0" w:color="auto"/>
              <w:right w:val="double" w:sz="4" w:space="0" w:color="auto"/>
            </w:tcBorders>
            <w:shd w:val="clear" w:color="auto" w:fill="auto"/>
            <w:noWrap/>
            <w:vAlign w:val="center"/>
            <w:hideMark/>
          </w:tcPr>
          <w:p w14:paraId="09C96F71" w14:textId="77777777" w:rsidR="00247CBF" w:rsidRPr="00092ED7" w:rsidRDefault="00247CBF" w:rsidP="00247CBF">
            <w:pPr>
              <w:spacing w:after="0"/>
              <w:jc w:val="right"/>
              <w:rPr>
                <w:i/>
                <w:iCs/>
                <w:sz w:val="20"/>
                <w:szCs w:val="20"/>
                <w:lang w:val="sr-Cyrl-CS"/>
              </w:rPr>
            </w:pPr>
            <w:r w:rsidRPr="00092ED7">
              <w:rPr>
                <w:i/>
                <w:iCs/>
                <w:sz w:val="20"/>
                <w:szCs w:val="20"/>
                <w:lang w:val="sr-Cyrl-CS"/>
              </w:rPr>
              <w:t>3,9</w:t>
            </w:r>
          </w:p>
        </w:tc>
      </w:tr>
      <w:tr w:rsidR="00247CBF" w:rsidRPr="00092ED7" w14:paraId="027F7435" w14:textId="77777777" w:rsidTr="00247CBF">
        <w:trPr>
          <w:gridAfter w:val="3"/>
          <w:wAfter w:w="365" w:type="dxa"/>
          <w:trHeight w:val="255"/>
        </w:trPr>
        <w:tc>
          <w:tcPr>
            <w:tcW w:w="4962" w:type="dxa"/>
            <w:gridSpan w:val="3"/>
            <w:tcBorders>
              <w:top w:val="nil"/>
              <w:left w:val="double" w:sz="6" w:space="0" w:color="auto"/>
              <w:bottom w:val="dashed" w:sz="4" w:space="0" w:color="auto"/>
              <w:right w:val="nil"/>
            </w:tcBorders>
            <w:shd w:val="clear" w:color="auto" w:fill="auto"/>
            <w:hideMark/>
          </w:tcPr>
          <w:p w14:paraId="13C3D9EE" w14:textId="77777777" w:rsidR="00247CBF" w:rsidRPr="00092ED7" w:rsidRDefault="00247CBF" w:rsidP="00247CBF">
            <w:pPr>
              <w:spacing w:after="0"/>
              <w:rPr>
                <w:sz w:val="20"/>
                <w:szCs w:val="20"/>
                <w:lang w:val="sr-Cyrl-CS"/>
              </w:rPr>
            </w:pPr>
            <w:r w:rsidRPr="00092ED7">
              <w:rPr>
                <w:sz w:val="20"/>
                <w:szCs w:val="20"/>
                <w:lang w:val="sr-Cyrl-CS"/>
              </w:rPr>
              <w:t>12. Биланс текућих трансакција</w:t>
            </w:r>
          </w:p>
        </w:tc>
        <w:tc>
          <w:tcPr>
            <w:tcW w:w="1447" w:type="dxa"/>
            <w:gridSpan w:val="3"/>
            <w:tcBorders>
              <w:top w:val="nil"/>
              <w:left w:val="single" w:sz="8" w:space="0" w:color="auto"/>
              <w:bottom w:val="dashed" w:sz="4" w:space="0" w:color="auto"/>
              <w:right w:val="single" w:sz="8" w:space="0" w:color="auto"/>
            </w:tcBorders>
            <w:shd w:val="clear" w:color="auto" w:fill="auto"/>
            <w:noWrap/>
            <w:vAlign w:val="center"/>
            <w:hideMark/>
          </w:tcPr>
          <w:p w14:paraId="5B8C4824"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млрд ЕУР</w:t>
            </w:r>
          </w:p>
        </w:tc>
        <w:tc>
          <w:tcPr>
            <w:tcW w:w="1380" w:type="dxa"/>
            <w:gridSpan w:val="3"/>
            <w:tcBorders>
              <w:top w:val="nil"/>
              <w:left w:val="nil"/>
              <w:bottom w:val="dashed" w:sz="4" w:space="0" w:color="auto"/>
              <w:right w:val="dashed" w:sz="4" w:space="0" w:color="auto"/>
            </w:tcBorders>
            <w:shd w:val="clear" w:color="auto" w:fill="auto"/>
            <w:noWrap/>
            <w:vAlign w:val="center"/>
            <w:hideMark/>
          </w:tcPr>
          <w:p w14:paraId="2FB86E43" w14:textId="77777777" w:rsidR="00247CBF" w:rsidRPr="00092ED7" w:rsidRDefault="00247CBF" w:rsidP="00247CBF">
            <w:pPr>
              <w:spacing w:after="0"/>
              <w:jc w:val="right"/>
              <w:rPr>
                <w:sz w:val="20"/>
                <w:szCs w:val="20"/>
                <w:lang w:val="sr-Cyrl-CS"/>
              </w:rPr>
            </w:pPr>
            <w:r w:rsidRPr="00092ED7">
              <w:rPr>
                <w:sz w:val="20"/>
                <w:szCs w:val="20"/>
                <w:lang w:val="sr-Cyrl-CS"/>
              </w:rPr>
              <w:t>-1,9</w:t>
            </w:r>
          </w:p>
        </w:tc>
        <w:tc>
          <w:tcPr>
            <w:tcW w:w="1300" w:type="dxa"/>
            <w:gridSpan w:val="4"/>
            <w:tcBorders>
              <w:top w:val="nil"/>
              <w:left w:val="nil"/>
              <w:bottom w:val="dashed" w:sz="4" w:space="0" w:color="auto"/>
              <w:right w:val="dashed" w:sz="4" w:space="0" w:color="auto"/>
            </w:tcBorders>
            <w:shd w:val="clear" w:color="auto" w:fill="auto"/>
            <w:noWrap/>
            <w:vAlign w:val="center"/>
            <w:hideMark/>
          </w:tcPr>
          <w:p w14:paraId="516ACA5E" w14:textId="77777777" w:rsidR="00247CBF" w:rsidRPr="00092ED7" w:rsidRDefault="00247CBF" w:rsidP="00247CBF">
            <w:pPr>
              <w:spacing w:after="0"/>
              <w:jc w:val="right"/>
              <w:rPr>
                <w:sz w:val="20"/>
                <w:szCs w:val="20"/>
                <w:lang w:val="sr-Cyrl-CS"/>
              </w:rPr>
            </w:pPr>
            <w:r w:rsidRPr="00092ED7">
              <w:rPr>
                <w:sz w:val="20"/>
                <w:szCs w:val="20"/>
                <w:lang w:val="sr-Cyrl-CS"/>
              </w:rPr>
              <w:t>-2,3</w:t>
            </w:r>
          </w:p>
        </w:tc>
        <w:tc>
          <w:tcPr>
            <w:tcW w:w="1360" w:type="dxa"/>
            <w:gridSpan w:val="4"/>
            <w:tcBorders>
              <w:top w:val="nil"/>
              <w:left w:val="nil"/>
              <w:bottom w:val="dashed" w:sz="4" w:space="0" w:color="auto"/>
              <w:right w:val="dashed" w:sz="4" w:space="0" w:color="auto"/>
            </w:tcBorders>
            <w:shd w:val="clear" w:color="auto" w:fill="auto"/>
            <w:noWrap/>
            <w:vAlign w:val="center"/>
            <w:hideMark/>
          </w:tcPr>
          <w:p w14:paraId="08E263AD" w14:textId="77777777" w:rsidR="00247CBF" w:rsidRPr="00092ED7" w:rsidRDefault="00247CBF" w:rsidP="00247CBF">
            <w:pPr>
              <w:spacing w:after="0"/>
              <w:jc w:val="right"/>
              <w:rPr>
                <w:sz w:val="20"/>
                <w:szCs w:val="20"/>
                <w:lang w:val="sr-Cyrl-CS"/>
              </w:rPr>
            </w:pPr>
            <w:r w:rsidRPr="00092ED7">
              <w:rPr>
                <w:sz w:val="20"/>
                <w:szCs w:val="20"/>
                <w:lang w:val="sr-Cyrl-CS"/>
              </w:rPr>
              <w:t>-5,4</w:t>
            </w:r>
          </w:p>
        </w:tc>
        <w:tc>
          <w:tcPr>
            <w:tcW w:w="1260" w:type="dxa"/>
            <w:gridSpan w:val="4"/>
            <w:tcBorders>
              <w:top w:val="nil"/>
              <w:left w:val="nil"/>
              <w:bottom w:val="dashed" w:sz="4" w:space="0" w:color="auto"/>
              <w:right w:val="dashed" w:sz="4" w:space="0" w:color="auto"/>
            </w:tcBorders>
            <w:shd w:val="clear" w:color="auto" w:fill="auto"/>
            <w:noWrap/>
            <w:vAlign w:val="center"/>
            <w:hideMark/>
          </w:tcPr>
          <w:p w14:paraId="70168A0F" w14:textId="77777777" w:rsidR="00247CBF" w:rsidRPr="00092ED7" w:rsidRDefault="00247CBF" w:rsidP="00247CBF">
            <w:pPr>
              <w:spacing w:after="0"/>
              <w:jc w:val="right"/>
              <w:rPr>
                <w:sz w:val="20"/>
                <w:szCs w:val="20"/>
                <w:lang w:val="sr-Cyrl-CS"/>
              </w:rPr>
            </w:pPr>
            <w:r w:rsidRPr="00092ED7">
              <w:rPr>
                <w:sz w:val="20"/>
                <w:szCs w:val="20"/>
                <w:lang w:val="sr-Cyrl-CS"/>
              </w:rPr>
              <w:t>-5,8</w:t>
            </w:r>
          </w:p>
        </w:tc>
        <w:tc>
          <w:tcPr>
            <w:tcW w:w="1260" w:type="dxa"/>
            <w:gridSpan w:val="3"/>
            <w:tcBorders>
              <w:top w:val="nil"/>
              <w:left w:val="nil"/>
              <w:bottom w:val="dashed" w:sz="4" w:space="0" w:color="auto"/>
              <w:right w:val="dashed" w:sz="4" w:space="0" w:color="auto"/>
            </w:tcBorders>
            <w:shd w:val="clear" w:color="auto" w:fill="auto"/>
            <w:noWrap/>
            <w:vAlign w:val="center"/>
            <w:hideMark/>
          </w:tcPr>
          <w:p w14:paraId="2BBB53B7" w14:textId="77777777" w:rsidR="00247CBF" w:rsidRPr="00092ED7" w:rsidRDefault="00247CBF" w:rsidP="00247CBF">
            <w:pPr>
              <w:spacing w:after="0"/>
              <w:jc w:val="right"/>
              <w:rPr>
                <w:sz w:val="20"/>
                <w:szCs w:val="20"/>
                <w:lang w:val="sr-Cyrl-CS"/>
              </w:rPr>
            </w:pPr>
            <w:r w:rsidRPr="00092ED7">
              <w:rPr>
                <w:sz w:val="20"/>
                <w:szCs w:val="20"/>
                <w:lang w:val="sr-Cyrl-CS"/>
              </w:rPr>
              <w:t>-5,0</w:t>
            </w:r>
          </w:p>
        </w:tc>
        <w:tc>
          <w:tcPr>
            <w:tcW w:w="1268" w:type="dxa"/>
            <w:gridSpan w:val="3"/>
            <w:tcBorders>
              <w:top w:val="nil"/>
              <w:left w:val="nil"/>
              <w:bottom w:val="dashed" w:sz="4" w:space="0" w:color="auto"/>
              <w:right w:val="double" w:sz="4" w:space="0" w:color="auto"/>
            </w:tcBorders>
            <w:shd w:val="clear" w:color="auto" w:fill="auto"/>
            <w:noWrap/>
            <w:vAlign w:val="center"/>
            <w:hideMark/>
          </w:tcPr>
          <w:p w14:paraId="4C876D78" w14:textId="77777777" w:rsidR="00247CBF" w:rsidRPr="00092ED7" w:rsidRDefault="00247CBF" w:rsidP="00247CBF">
            <w:pPr>
              <w:spacing w:after="0"/>
              <w:jc w:val="right"/>
              <w:rPr>
                <w:sz w:val="20"/>
                <w:szCs w:val="20"/>
                <w:lang w:val="sr-Cyrl-CS"/>
              </w:rPr>
            </w:pPr>
            <w:r w:rsidRPr="00092ED7">
              <w:rPr>
                <w:sz w:val="20"/>
                <w:szCs w:val="20"/>
                <w:lang w:val="sr-Cyrl-CS"/>
              </w:rPr>
              <w:t>-4,8</w:t>
            </w:r>
          </w:p>
        </w:tc>
      </w:tr>
      <w:tr w:rsidR="00247CBF" w:rsidRPr="00092ED7" w14:paraId="138EACFD" w14:textId="77777777" w:rsidTr="00247CBF">
        <w:trPr>
          <w:gridAfter w:val="3"/>
          <w:wAfter w:w="365" w:type="dxa"/>
          <w:trHeight w:val="255"/>
        </w:trPr>
        <w:tc>
          <w:tcPr>
            <w:tcW w:w="4962" w:type="dxa"/>
            <w:gridSpan w:val="3"/>
            <w:tcBorders>
              <w:top w:val="nil"/>
              <w:left w:val="double" w:sz="6" w:space="0" w:color="auto"/>
              <w:bottom w:val="dashed" w:sz="4" w:space="0" w:color="auto"/>
              <w:right w:val="nil"/>
            </w:tcBorders>
            <w:shd w:val="clear" w:color="auto" w:fill="auto"/>
            <w:hideMark/>
          </w:tcPr>
          <w:p w14:paraId="6E99C009" w14:textId="77777777" w:rsidR="00247CBF" w:rsidRPr="00092ED7" w:rsidRDefault="00247CBF" w:rsidP="00247CBF">
            <w:pPr>
              <w:spacing w:after="0"/>
              <w:rPr>
                <w:sz w:val="20"/>
                <w:szCs w:val="20"/>
                <w:lang w:val="sr-Cyrl-CS"/>
              </w:rPr>
            </w:pPr>
            <w:r w:rsidRPr="00092ED7">
              <w:rPr>
                <w:sz w:val="20"/>
                <w:szCs w:val="20"/>
                <w:lang w:val="sr-Cyrl-CS"/>
              </w:rPr>
              <w:t>13. Капитални и финансијски рачун</w:t>
            </w:r>
          </w:p>
        </w:tc>
        <w:tc>
          <w:tcPr>
            <w:tcW w:w="1447" w:type="dxa"/>
            <w:gridSpan w:val="3"/>
            <w:tcBorders>
              <w:top w:val="nil"/>
              <w:left w:val="single" w:sz="8" w:space="0" w:color="auto"/>
              <w:bottom w:val="dashed" w:sz="4" w:space="0" w:color="auto"/>
              <w:right w:val="single" w:sz="8" w:space="0" w:color="auto"/>
            </w:tcBorders>
            <w:shd w:val="clear" w:color="auto" w:fill="auto"/>
            <w:noWrap/>
            <w:vAlign w:val="center"/>
            <w:hideMark/>
          </w:tcPr>
          <w:p w14:paraId="1B690E9D"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млрд ЕУР</w:t>
            </w:r>
          </w:p>
        </w:tc>
        <w:tc>
          <w:tcPr>
            <w:tcW w:w="1380" w:type="dxa"/>
            <w:gridSpan w:val="3"/>
            <w:tcBorders>
              <w:top w:val="nil"/>
              <w:left w:val="nil"/>
              <w:bottom w:val="dashed" w:sz="4" w:space="0" w:color="auto"/>
              <w:right w:val="dashed" w:sz="4" w:space="0" w:color="auto"/>
            </w:tcBorders>
            <w:shd w:val="clear" w:color="auto" w:fill="auto"/>
            <w:noWrap/>
            <w:vAlign w:val="center"/>
            <w:hideMark/>
          </w:tcPr>
          <w:p w14:paraId="28625276" w14:textId="77777777" w:rsidR="00247CBF" w:rsidRPr="00092ED7" w:rsidRDefault="00247CBF" w:rsidP="00247CBF">
            <w:pPr>
              <w:spacing w:after="0"/>
              <w:jc w:val="right"/>
              <w:rPr>
                <w:sz w:val="20"/>
                <w:szCs w:val="20"/>
                <w:lang w:val="sr-Cyrl-CS"/>
              </w:rPr>
            </w:pPr>
            <w:r w:rsidRPr="00092ED7">
              <w:rPr>
                <w:sz w:val="20"/>
                <w:szCs w:val="20"/>
                <w:lang w:val="sr-Cyrl-CS"/>
              </w:rPr>
              <w:t>2,1</w:t>
            </w:r>
          </w:p>
        </w:tc>
        <w:tc>
          <w:tcPr>
            <w:tcW w:w="1300" w:type="dxa"/>
            <w:gridSpan w:val="4"/>
            <w:tcBorders>
              <w:top w:val="nil"/>
              <w:left w:val="nil"/>
              <w:bottom w:val="dashed" w:sz="4" w:space="0" w:color="auto"/>
              <w:right w:val="dashed" w:sz="4" w:space="0" w:color="auto"/>
            </w:tcBorders>
            <w:shd w:val="clear" w:color="auto" w:fill="auto"/>
            <w:noWrap/>
            <w:vAlign w:val="center"/>
            <w:hideMark/>
          </w:tcPr>
          <w:p w14:paraId="5F023FE6" w14:textId="77777777" w:rsidR="00247CBF" w:rsidRPr="00092ED7" w:rsidRDefault="00247CBF" w:rsidP="00247CBF">
            <w:pPr>
              <w:spacing w:after="0"/>
              <w:jc w:val="right"/>
              <w:rPr>
                <w:sz w:val="20"/>
                <w:szCs w:val="20"/>
                <w:lang w:val="sr-Cyrl-CS"/>
              </w:rPr>
            </w:pPr>
            <w:r w:rsidRPr="00092ED7">
              <w:rPr>
                <w:sz w:val="20"/>
                <w:szCs w:val="20"/>
                <w:lang w:val="sr-Cyrl-CS"/>
              </w:rPr>
              <w:t>2,1</w:t>
            </w:r>
          </w:p>
        </w:tc>
        <w:tc>
          <w:tcPr>
            <w:tcW w:w="1360" w:type="dxa"/>
            <w:gridSpan w:val="4"/>
            <w:tcBorders>
              <w:top w:val="nil"/>
              <w:left w:val="nil"/>
              <w:bottom w:val="dashed" w:sz="4" w:space="0" w:color="auto"/>
              <w:right w:val="dashed" w:sz="4" w:space="0" w:color="auto"/>
            </w:tcBorders>
            <w:shd w:val="clear" w:color="auto" w:fill="auto"/>
            <w:noWrap/>
            <w:vAlign w:val="center"/>
            <w:hideMark/>
          </w:tcPr>
          <w:p w14:paraId="745A3BE2" w14:textId="77777777" w:rsidR="00247CBF" w:rsidRPr="00092ED7" w:rsidRDefault="00247CBF" w:rsidP="00247CBF">
            <w:pPr>
              <w:spacing w:after="0"/>
              <w:jc w:val="right"/>
              <w:rPr>
                <w:sz w:val="20"/>
                <w:szCs w:val="20"/>
                <w:lang w:val="sr-Cyrl-CS"/>
              </w:rPr>
            </w:pPr>
            <w:r w:rsidRPr="00092ED7">
              <w:rPr>
                <w:sz w:val="20"/>
                <w:szCs w:val="20"/>
                <w:lang w:val="sr-Cyrl-CS"/>
              </w:rPr>
              <w:t>4,6</w:t>
            </w:r>
          </w:p>
        </w:tc>
        <w:tc>
          <w:tcPr>
            <w:tcW w:w="1260" w:type="dxa"/>
            <w:gridSpan w:val="4"/>
            <w:tcBorders>
              <w:top w:val="nil"/>
              <w:left w:val="nil"/>
              <w:bottom w:val="dashed" w:sz="4" w:space="0" w:color="auto"/>
              <w:right w:val="dashed" w:sz="4" w:space="0" w:color="auto"/>
            </w:tcBorders>
            <w:shd w:val="clear" w:color="auto" w:fill="auto"/>
            <w:noWrap/>
            <w:vAlign w:val="center"/>
            <w:hideMark/>
          </w:tcPr>
          <w:p w14:paraId="44B84B6E" w14:textId="77777777" w:rsidR="00247CBF" w:rsidRPr="00092ED7" w:rsidRDefault="00247CBF" w:rsidP="00247CBF">
            <w:pPr>
              <w:spacing w:after="0"/>
              <w:jc w:val="right"/>
              <w:rPr>
                <w:sz w:val="20"/>
                <w:szCs w:val="20"/>
                <w:lang w:val="sr-Cyrl-CS"/>
              </w:rPr>
            </w:pPr>
            <w:r w:rsidRPr="00092ED7">
              <w:rPr>
                <w:sz w:val="20"/>
                <w:szCs w:val="20"/>
                <w:lang w:val="sr-Cyrl-CS"/>
              </w:rPr>
              <w:t>2,8</w:t>
            </w:r>
          </w:p>
        </w:tc>
        <w:tc>
          <w:tcPr>
            <w:tcW w:w="1260" w:type="dxa"/>
            <w:gridSpan w:val="3"/>
            <w:tcBorders>
              <w:top w:val="nil"/>
              <w:left w:val="nil"/>
              <w:bottom w:val="dashed" w:sz="4" w:space="0" w:color="auto"/>
              <w:right w:val="dashed" w:sz="4" w:space="0" w:color="auto"/>
            </w:tcBorders>
            <w:shd w:val="clear" w:color="auto" w:fill="auto"/>
            <w:noWrap/>
            <w:vAlign w:val="center"/>
            <w:hideMark/>
          </w:tcPr>
          <w:p w14:paraId="6D329E63" w14:textId="77777777" w:rsidR="00247CBF" w:rsidRPr="00092ED7" w:rsidRDefault="00247CBF" w:rsidP="00247CBF">
            <w:pPr>
              <w:spacing w:after="0"/>
              <w:jc w:val="right"/>
              <w:rPr>
                <w:sz w:val="20"/>
                <w:szCs w:val="20"/>
                <w:lang w:val="sr-Cyrl-CS"/>
              </w:rPr>
            </w:pPr>
            <w:r w:rsidRPr="00092ED7">
              <w:rPr>
                <w:sz w:val="20"/>
                <w:szCs w:val="20"/>
                <w:lang w:val="sr-Cyrl-CS"/>
              </w:rPr>
              <w:t>3,1</w:t>
            </w:r>
          </w:p>
        </w:tc>
        <w:tc>
          <w:tcPr>
            <w:tcW w:w="1268" w:type="dxa"/>
            <w:gridSpan w:val="3"/>
            <w:tcBorders>
              <w:top w:val="nil"/>
              <w:left w:val="nil"/>
              <w:bottom w:val="dashed" w:sz="4" w:space="0" w:color="auto"/>
              <w:right w:val="double" w:sz="4" w:space="0" w:color="auto"/>
            </w:tcBorders>
            <w:shd w:val="clear" w:color="auto" w:fill="auto"/>
            <w:noWrap/>
            <w:vAlign w:val="center"/>
            <w:hideMark/>
          </w:tcPr>
          <w:p w14:paraId="49F33D97" w14:textId="77777777" w:rsidR="00247CBF" w:rsidRPr="00092ED7" w:rsidRDefault="00247CBF" w:rsidP="00247CBF">
            <w:pPr>
              <w:spacing w:after="0"/>
              <w:jc w:val="right"/>
              <w:rPr>
                <w:sz w:val="20"/>
                <w:szCs w:val="20"/>
                <w:lang w:val="sr-Cyrl-CS"/>
              </w:rPr>
            </w:pPr>
            <w:r w:rsidRPr="00092ED7">
              <w:rPr>
                <w:sz w:val="20"/>
                <w:szCs w:val="20"/>
                <w:lang w:val="sr-Cyrl-CS"/>
              </w:rPr>
              <w:t>2,9</w:t>
            </w:r>
          </w:p>
        </w:tc>
      </w:tr>
      <w:tr w:rsidR="00247CBF" w:rsidRPr="00092ED7" w14:paraId="3A92FD8B" w14:textId="77777777" w:rsidTr="00247CBF">
        <w:trPr>
          <w:gridAfter w:val="3"/>
          <w:wAfter w:w="365" w:type="dxa"/>
          <w:trHeight w:val="240"/>
        </w:trPr>
        <w:tc>
          <w:tcPr>
            <w:tcW w:w="4962" w:type="dxa"/>
            <w:gridSpan w:val="3"/>
            <w:tcBorders>
              <w:top w:val="nil"/>
              <w:left w:val="double" w:sz="6" w:space="0" w:color="auto"/>
              <w:bottom w:val="dashed" w:sz="4" w:space="0" w:color="auto"/>
              <w:right w:val="nil"/>
            </w:tcBorders>
            <w:shd w:val="clear" w:color="auto" w:fill="auto"/>
            <w:hideMark/>
          </w:tcPr>
          <w:p w14:paraId="638F254C" w14:textId="77777777" w:rsidR="00247CBF" w:rsidRPr="00092ED7" w:rsidRDefault="00247CBF" w:rsidP="00247CBF">
            <w:pPr>
              <w:spacing w:after="0"/>
              <w:rPr>
                <w:i/>
                <w:iCs/>
                <w:sz w:val="20"/>
                <w:szCs w:val="20"/>
                <w:lang w:val="sr-Cyrl-CS"/>
              </w:rPr>
            </w:pPr>
            <w:r w:rsidRPr="00092ED7">
              <w:rPr>
                <w:i/>
                <w:iCs/>
                <w:sz w:val="20"/>
                <w:szCs w:val="20"/>
                <w:lang w:val="sr-Cyrl-CS"/>
              </w:rPr>
              <w:t>14. Од чега: Нето стране директне инвестиције</w:t>
            </w:r>
          </w:p>
        </w:tc>
        <w:tc>
          <w:tcPr>
            <w:tcW w:w="1447" w:type="dxa"/>
            <w:gridSpan w:val="3"/>
            <w:tcBorders>
              <w:top w:val="nil"/>
              <w:left w:val="single" w:sz="8" w:space="0" w:color="auto"/>
              <w:bottom w:val="dashed" w:sz="4" w:space="0" w:color="auto"/>
              <w:right w:val="single" w:sz="8" w:space="0" w:color="auto"/>
            </w:tcBorders>
            <w:shd w:val="clear" w:color="auto" w:fill="auto"/>
            <w:noWrap/>
            <w:vAlign w:val="center"/>
            <w:hideMark/>
          </w:tcPr>
          <w:p w14:paraId="0596C814"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млрд ЕУР</w:t>
            </w:r>
          </w:p>
        </w:tc>
        <w:tc>
          <w:tcPr>
            <w:tcW w:w="1380" w:type="dxa"/>
            <w:gridSpan w:val="3"/>
            <w:tcBorders>
              <w:top w:val="nil"/>
              <w:left w:val="nil"/>
              <w:bottom w:val="dashed" w:sz="4" w:space="0" w:color="auto"/>
              <w:right w:val="dashed" w:sz="4" w:space="0" w:color="auto"/>
            </w:tcBorders>
            <w:shd w:val="clear" w:color="auto" w:fill="auto"/>
            <w:noWrap/>
            <w:vAlign w:val="center"/>
            <w:hideMark/>
          </w:tcPr>
          <w:p w14:paraId="04865739" w14:textId="77777777" w:rsidR="00247CBF" w:rsidRPr="00092ED7" w:rsidRDefault="00247CBF" w:rsidP="00247CBF">
            <w:pPr>
              <w:spacing w:after="0"/>
              <w:jc w:val="right"/>
              <w:rPr>
                <w:i/>
                <w:iCs/>
                <w:sz w:val="20"/>
                <w:szCs w:val="20"/>
                <w:lang w:val="sr-Cyrl-CS"/>
              </w:rPr>
            </w:pPr>
            <w:r w:rsidRPr="00092ED7">
              <w:rPr>
                <w:i/>
                <w:iCs/>
                <w:sz w:val="20"/>
                <w:szCs w:val="20"/>
                <w:lang w:val="sr-Cyrl-CS"/>
              </w:rPr>
              <w:t>2,9</w:t>
            </w:r>
          </w:p>
        </w:tc>
        <w:tc>
          <w:tcPr>
            <w:tcW w:w="1300" w:type="dxa"/>
            <w:gridSpan w:val="4"/>
            <w:tcBorders>
              <w:top w:val="nil"/>
              <w:left w:val="nil"/>
              <w:bottom w:val="dashed" w:sz="4" w:space="0" w:color="auto"/>
              <w:right w:val="dashed" w:sz="4" w:space="0" w:color="auto"/>
            </w:tcBorders>
            <w:shd w:val="clear" w:color="auto" w:fill="auto"/>
            <w:noWrap/>
            <w:vAlign w:val="center"/>
            <w:hideMark/>
          </w:tcPr>
          <w:p w14:paraId="30CCE2C6" w14:textId="77777777" w:rsidR="00247CBF" w:rsidRPr="00092ED7" w:rsidRDefault="00247CBF" w:rsidP="00247CBF">
            <w:pPr>
              <w:spacing w:after="0"/>
              <w:jc w:val="right"/>
              <w:rPr>
                <w:i/>
                <w:iCs/>
                <w:sz w:val="20"/>
                <w:szCs w:val="20"/>
                <w:lang w:val="sr-Cyrl-CS"/>
              </w:rPr>
            </w:pPr>
            <w:r w:rsidRPr="00092ED7">
              <w:rPr>
                <w:i/>
                <w:iCs/>
                <w:sz w:val="20"/>
                <w:szCs w:val="20"/>
                <w:lang w:val="sr-Cyrl-CS"/>
              </w:rPr>
              <w:t>3,7</w:t>
            </w:r>
          </w:p>
        </w:tc>
        <w:tc>
          <w:tcPr>
            <w:tcW w:w="1360" w:type="dxa"/>
            <w:gridSpan w:val="4"/>
            <w:tcBorders>
              <w:top w:val="nil"/>
              <w:left w:val="nil"/>
              <w:bottom w:val="dashed" w:sz="4" w:space="0" w:color="auto"/>
              <w:right w:val="dashed" w:sz="4" w:space="0" w:color="auto"/>
            </w:tcBorders>
            <w:shd w:val="clear" w:color="auto" w:fill="auto"/>
            <w:noWrap/>
            <w:vAlign w:val="center"/>
            <w:hideMark/>
          </w:tcPr>
          <w:p w14:paraId="3F24A131" w14:textId="77777777" w:rsidR="00247CBF" w:rsidRPr="00092ED7" w:rsidRDefault="00247CBF" w:rsidP="00247CBF">
            <w:pPr>
              <w:spacing w:after="0"/>
              <w:jc w:val="right"/>
              <w:rPr>
                <w:i/>
                <w:iCs/>
                <w:sz w:val="20"/>
                <w:szCs w:val="20"/>
                <w:lang w:val="sr-Cyrl-CS"/>
              </w:rPr>
            </w:pPr>
            <w:r w:rsidRPr="00092ED7">
              <w:rPr>
                <w:i/>
                <w:iCs/>
                <w:sz w:val="20"/>
                <w:szCs w:val="20"/>
                <w:lang w:val="sr-Cyrl-CS"/>
              </w:rPr>
              <w:t>3,6</w:t>
            </w:r>
          </w:p>
        </w:tc>
        <w:tc>
          <w:tcPr>
            <w:tcW w:w="1260" w:type="dxa"/>
            <w:gridSpan w:val="4"/>
            <w:tcBorders>
              <w:top w:val="nil"/>
              <w:left w:val="nil"/>
              <w:bottom w:val="dashed" w:sz="4" w:space="0" w:color="auto"/>
              <w:right w:val="dashed" w:sz="4" w:space="0" w:color="auto"/>
            </w:tcBorders>
            <w:shd w:val="clear" w:color="auto" w:fill="auto"/>
            <w:noWrap/>
            <w:vAlign w:val="center"/>
            <w:hideMark/>
          </w:tcPr>
          <w:p w14:paraId="7B48B7C7" w14:textId="77777777" w:rsidR="00247CBF" w:rsidRPr="00092ED7" w:rsidRDefault="00247CBF" w:rsidP="00247CBF">
            <w:pPr>
              <w:spacing w:after="0"/>
              <w:jc w:val="right"/>
              <w:rPr>
                <w:i/>
                <w:iCs/>
                <w:sz w:val="20"/>
                <w:szCs w:val="20"/>
                <w:lang w:val="sr-Cyrl-CS"/>
              </w:rPr>
            </w:pPr>
            <w:r w:rsidRPr="00092ED7">
              <w:rPr>
                <w:i/>
                <w:iCs/>
                <w:sz w:val="20"/>
                <w:szCs w:val="20"/>
                <w:lang w:val="sr-Cyrl-CS"/>
              </w:rPr>
              <w:t>3,5</w:t>
            </w:r>
          </w:p>
        </w:tc>
        <w:tc>
          <w:tcPr>
            <w:tcW w:w="1260" w:type="dxa"/>
            <w:gridSpan w:val="3"/>
            <w:tcBorders>
              <w:top w:val="nil"/>
              <w:left w:val="nil"/>
              <w:bottom w:val="dashed" w:sz="4" w:space="0" w:color="auto"/>
              <w:right w:val="dashed" w:sz="4" w:space="0" w:color="auto"/>
            </w:tcBorders>
            <w:shd w:val="clear" w:color="auto" w:fill="auto"/>
            <w:noWrap/>
            <w:vAlign w:val="center"/>
            <w:hideMark/>
          </w:tcPr>
          <w:p w14:paraId="2FBF4B79" w14:textId="77777777" w:rsidR="00247CBF" w:rsidRPr="00092ED7" w:rsidRDefault="00247CBF" w:rsidP="00247CBF">
            <w:pPr>
              <w:spacing w:after="0"/>
              <w:jc w:val="right"/>
              <w:rPr>
                <w:i/>
                <w:iCs/>
                <w:sz w:val="20"/>
                <w:szCs w:val="20"/>
                <w:lang w:val="sr-Cyrl-CS"/>
              </w:rPr>
            </w:pPr>
            <w:r w:rsidRPr="00092ED7">
              <w:rPr>
                <w:i/>
                <w:iCs/>
                <w:sz w:val="20"/>
                <w:szCs w:val="20"/>
                <w:lang w:val="sr-Cyrl-CS"/>
              </w:rPr>
              <w:t>3,9</w:t>
            </w:r>
          </w:p>
        </w:tc>
        <w:tc>
          <w:tcPr>
            <w:tcW w:w="1268" w:type="dxa"/>
            <w:gridSpan w:val="3"/>
            <w:tcBorders>
              <w:top w:val="nil"/>
              <w:left w:val="nil"/>
              <w:bottom w:val="dashed" w:sz="4" w:space="0" w:color="auto"/>
              <w:right w:val="double" w:sz="4" w:space="0" w:color="auto"/>
            </w:tcBorders>
            <w:shd w:val="clear" w:color="auto" w:fill="auto"/>
            <w:noWrap/>
            <w:vAlign w:val="center"/>
            <w:hideMark/>
          </w:tcPr>
          <w:p w14:paraId="58BF364D" w14:textId="77777777" w:rsidR="00247CBF" w:rsidRPr="00092ED7" w:rsidRDefault="00247CBF" w:rsidP="00247CBF">
            <w:pPr>
              <w:spacing w:after="0"/>
              <w:jc w:val="right"/>
              <w:rPr>
                <w:i/>
                <w:iCs/>
                <w:sz w:val="20"/>
                <w:szCs w:val="20"/>
                <w:lang w:val="sr-Cyrl-CS"/>
              </w:rPr>
            </w:pPr>
            <w:r w:rsidRPr="00092ED7">
              <w:rPr>
                <w:i/>
                <w:iCs/>
                <w:sz w:val="20"/>
                <w:szCs w:val="20"/>
                <w:lang w:val="sr-Cyrl-CS"/>
              </w:rPr>
              <w:t>4,3</w:t>
            </w:r>
          </w:p>
        </w:tc>
      </w:tr>
      <w:tr w:rsidR="00247CBF" w:rsidRPr="00092ED7" w14:paraId="54F93024" w14:textId="77777777" w:rsidTr="00247CBF">
        <w:trPr>
          <w:gridAfter w:val="3"/>
          <w:wAfter w:w="365" w:type="dxa"/>
          <w:trHeight w:val="255"/>
        </w:trPr>
        <w:tc>
          <w:tcPr>
            <w:tcW w:w="4962" w:type="dxa"/>
            <w:gridSpan w:val="3"/>
            <w:tcBorders>
              <w:top w:val="nil"/>
              <w:left w:val="double" w:sz="6" w:space="0" w:color="auto"/>
              <w:bottom w:val="dashed" w:sz="4" w:space="0" w:color="auto"/>
              <w:right w:val="nil"/>
            </w:tcBorders>
            <w:shd w:val="clear" w:color="auto" w:fill="auto"/>
            <w:hideMark/>
          </w:tcPr>
          <w:p w14:paraId="3415819B" w14:textId="77777777" w:rsidR="00247CBF" w:rsidRPr="00092ED7" w:rsidRDefault="00247CBF" w:rsidP="00247CBF">
            <w:pPr>
              <w:spacing w:after="0"/>
              <w:jc w:val="left"/>
              <w:rPr>
                <w:i/>
                <w:iCs/>
                <w:sz w:val="20"/>
                <w:szCs w:val="20"/>
                <w:lang w:val="sr-Cyrl-CS"/>
              </w:rPr>
            </w:pPr>
            <w:r w:rsidRPr="00092ED7">
              <w:rPr>
                <w:i/>
                <w:iCs/>
                <w:sz w:val="20"/>
                <w:szCs w:val="20"/>
                <w:lang w:val="sr-Cyrl-CS"/>
              </w:rPr>
              <w:t>14.a Од чега: Нето стране директне инвестиције (Equity)</w:t>
            </w:r>
          </w:p>
        </w:tc>
        <w:tc>
          <w:tcPr>
            <w:tcW w:w="1447" w:type="dxa"/>
            <w:gridSpan w:val="3"/>
            <w:tcBorders>
              <w:top w:val="nil"/>
              <w:left w:val="single" w:sz="8" w:space="0" w:color="auto"/>
              <w:bottom w:val="dashed" w:sz="4" w:space="0" w:color="auto"/>
              <w:right w:val="single" w:sz="8" w:space="0" w:color="auto"/>
            </w:tcBorders>
            <w:shd w:val="clear" w:color="auto" w:fill="auto"/>
            <w:noWrap/>
            <w:vAlign w:val="center"/>
            <w:hideMark/>
          </w:tcPr>
          <w:p w14:paraId="3819F56B"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млрд ЕУР</w:t>
            </w:r>
          </w:p>
        </w:tc>
        <w:tc>
          <w:tcPr>
            <w:tcW w:w="1380" w:type="dxa"/>
            <w:gridSpan w:val="3"/>
            <w:tcBorders>
              <w:top w:val="nil"/>
              <w:left w:val="nil"/>
              <w:bottom w:val="dashed" w:sz="4" w:space="0" w:color="auto"/>
              <w:right w:val="dashed" w:sz="4" w:space="0" w:color="auto"/>
            </w:tcBorders>
            <w:shd w:val="clear" w:color="auto" w:fill="auto"/>
            <w:noWrap/>
            <w:vAlign w:val="center"/>
            <w:hideMark/>
          </w:tcPr>
          <w:p w14:paraId="56E8E91B" w14:textId="77777777" w:rsidR="00247CBF" w:rsidRPr="00092ED7" w:rsidRDefault="00247CBF" w:rsidP="00247CBF">
            <w:pPr>
              <w:spacing w:after="0"/>
              <w:jc w:val="right"/>
              <w:rPr>
                <w:i/>
                <w:iCs/>
                <w:sz w:val="20"/>
                <w:szCs w:val="20"/>
                <w:lang w:val="sr-Cyrl-CS"/>
              </w:rPr>
            </w:pPr>
            <w:r w:rsidRPr="00092ED7">
              <w:rPr>
                <w:i/>
                <w:iCs/>
                <w:sz w:val="20"/>
                <w:szCs w:val="20"/>
                <w:lang w:val="sr-Cyrl-CS"/>
              </w:rPr>
              <w:t>1,6</w:t>
            </w:r>
          </w:p>
        </w:tc>
        <w:tc>
          <w:tcPr>
            <w:tcW w:w="1300" w:type="dxa"/>
            <w:gridSpan w:val="4"/>
            <w:tcBorders>
              <w:top w:val="nil"/>
              <w:left w:val="nil"/>
              <w:bottom w:val="dashed" w:sz="4" w:space="0" w:color="auto"/>
              <w:right w:val="dashed" w:sz="4" w:space="0" w:color="auto"/>
            </w:tcBorders>
            <w:shd w:val="clear" w:color="auto" w:fill="auto"/>
            <w:noWrap/>
            <w:vAlign w:val="center"/>
            <w:hideMark/>
          </w:tcPr>
          <w:p w14:paraId="4043857A" w14:textId="77777777" w:rsidR="00247CBF" w:rsidRPr="00092ED7" w:rsidRDefault="00247CBF" w:rsidP="00247CBF">
            <w:pPr>
              <w:spacing w:after="0"/>
              <w:jc w:val="right"/>
              <w:rPr>
                <w:i/>
                <w:iCs/>
                <w:sz w:val="20"/>
                <w:szCs w:val="20"/>
                <w:lang w:val="sr-Cyrl-CS"/>
              </w:rPr>
            </w:pPr>
            <w:r w:rsidRPr="00092ED7">
              <w:rPr>
                <w:i/>
                <w:iCs/>
                <w:sz w:val="20"/>
                <w:szCs w:val="20"/>
                <w:lang w:val="sr-Cyrl-CS"/>
              </w:rPr>
              <w:t>2,5</w:t>
            </w:r>
          </w:p>
        </w:tc>
        <w:tc>
          <w:tcPr>
            <w:tcW w:w="1360" w:type="dxa"/>
            <w:gridSpan w:val="4"/>
            <w:tcBorders>
              <w:top w:val="nil"/>
              <w:left w:val="nil"/>
              <w:bottom w:val="dashed" w:sz="4" w:space="0" w:color="auto"/>
              <w:right w:val="dashed" w:sz="4" w:space="0" w:color="auto"/>
            </w:tcBorders>
            <w:shd w:val="clear" w:color="auto" w:fill="auto"/>
            <w:noWrap/>
            <w:vAlign w:val="center"/>
            <w:hideMark/>
          </w:tcPr>
          <w:p w14:paraId="79647CE6" w14:textId="77777777" w:rsidR="00247CBF" w:rsidRPr="00092ED7" w:rsidRDefault="00247CBF" w:rsidP="00247CBF">
            <w:pPr>
              <w:spacing w:after="0"/>
              <w:jc w:val="right"/>
              <w:rPr>
                <w:i/>
                <w:iCs/>
                <w:sz w:val="20"/>
                <w:szCs w:val="20"/>
                <w:lang w:val="sr-Cyrl-CS"/>
              </w:rPr>
            </w:pPr>
            <w:r w:rsidRPr="00092ED7">
              <w:rPr>
                <w:i/>
                <w:iCs/>
                <w:sz w:val="20"/>
                <w:szCs w:val="20"/>
                <w:lang w:val="sr-Cyrl-CS"/>
              </w:rPr>
              <w:t>2,3</w:t>
            </w:r>
          </w:p>
        </w:tc>
        <w:tc>
          <w:tcPr>
            <w:tcW w:w="1260" w:type="dxa"/>
            <w:gridSpan w:val="4"/>
            <w:tcBorders>
              <w:top w:val="nil"/>
              <w:left w:val="nil"/>
              <w:bottom w:val="dashed" w:sz="4" w:space="0" w:color="auto"/>
              <w:right w:val="dashed" w:sz="4" w:space="0" w:color="auto"/>
            </w:tcBorders>
            <w:shd w:val="clear" w:color="auto" w:fill="auto"/>
            <w:noWrap/>
            <w:vAlign w:val="center"/>
            <w:hideMark/>
          </w:tcPr>
          <w:p w14:paraId="1F186CC2" w14:textId="77777777" w:rsidR="00247CBF" w:rsidRPr="00092ED7" w:rsidRDefault="00247CBF" w:rsidP="00247CBF">
            <w:pPr>
              <w:spacing w:after="0"/>
              <w:jc w:val="right"/>
              <w:rPr>
                <w:i/>
                <w:iCs/>
                <w:sz w:val="20"/>
                <w:szCs w:val="20"/>
                <w:lang w:val="sr-Cyrl-CS"/>
              </w:rPr>
            </w:pPr>
            <w:r w:rsidRPr="00092ED7">
              <w:rPr>
                <w:i/>
                <w:iCs/>
                <w:sz w:val="20"/>
                <w:szCs w:val="20"/>
                <w:lang w:val="sr-Cyrl-CS"/>
              </w:rPr>
              <w:t>2,5</w:t>
            </w:r>
          </w:p>
        </w:tc>
        <w:tc>
          <w:tcPr>
            <w:tcW w:w="1260" w:type="dxa"/>
            <w:gridSpan w:val="3"/>
            <w:tcBorders>
              <w:top w:val="nil"/>
              <w:left w:val="nil"/>
              <w:bottom w:val="dashed" w:sz="4" w:space="0" w:color="auto"/>
              <w:right w:val="dashed" w:sz="4" w:space="0" w:color="auto"/>
            </w:tcBorders>
            <w:shd w:val="clear" w:color="auto" w:fill="auto"/>
            <w:noWrap/>
            <w:vAlign w:val="center"/>
            <w:hideMark/>
          </w:tcPr>
          <w:p w14:paraId="071102DB" w14:textId="77777777" w:rsidR="00247CBF" w:rsidRPr="00092ED7" w:rsidRDefault="00247CBF" w:rsidP="00247CBF">
            <w:pPr>
              <w:spacing w:after="0"/>
              <w:jc w:val="right"/>
              <w:rPr>
                <w:i/>
                <w:iCs/>
                <w:sz w:val="20"/>
                <w:szCs w:val="20"/>
                <w:lang w:val="sr-Cyrl-CS"/>
              </w:rPr>
            </w:pPr>
            <w:r w:rsidRPr="00092ED7">
              <w:rPr>
                <w:i/>
                <w:iCs/>
                <w:sz w:val="20"/>
                <w:szCs w:val="20"/>
                <w:lang w:val="sr-Cyrl-CS"/>
              </w:rPr>
              <w:t>2,9</w:t>
            </w:r>
          </w:p>
        </w:tc>
        <w:tc>
          <w:tcPr>
            <w:tcW w:w="1268" w:type="dxa"/>
            <w:gridSpan w:val="3"/>
            <w:tcBorders>
              <w:top w:val="nil"/>
              <w:left w:val="nil"/>
              <w:bottom w:val="dashed" w:sz="4" w:space="0" w:color="auto"/>
              <w:right w:val="double" w:sz="4" w:space="0" w:color="auto"/>
            </w:tcBorders>
            <w:shd w:val="clear" w:color="auto" w:fill="auto"/>
            <w:noWrap/>
            <w:vAlign w:val="center"/>
            <w:hideMark/>
          </w:tcPr>
          <w:p w14:paraId="32A73DC3" w14:textId="77777777" w:rsidR="00247CBF" w:rsidRPr="00092ED7" w:rsidRDefault="00247CBF" w:rsidP="00247CBF">
            <w:pPr>
              <w:spacing w:after="0"/>
              <w:jc w:val="right"/>
              <w:rPr>
                <w:i/>
                <w:iCs/>
                <w:sz w:val="20"/>
                <w:szCs w:val="20"/>
                <w:lang w:val="sr-Cyrl-CS"/>
              </w:rPr>
            </w:pPr>
            <w:r w:rsidRPr="00092ED7">
              <w:rPr>
                <w:i/>
                <w:iCs/>
                <w:sz w:val="20"/>
                <w:szCs w:val="20"/>
                <w:lang w:val="sr-Cyrl-CS"/>
              </w:rPr>
              <w:t>3,3</w:t>
            </w:r>
          </w:p>
        </w:tc>
      </w:tr>
      <w:tr w:rsidR="00247CBF" w:rsidRPr="00092ED7" w14:paraId="21158795" w14:textId="77777777" w:rsidTr="00247CBF">
        <w:trPr>
          <w:gridAfter w:val="3"/>
          <w:wAfter w:w="365" w:type="dxa"/>
          <w:trHeight w:val="255"/>
        </w:trPr>
        <w:tc>
          <w:tcPr>
            <w:tcW w:w="4962" w:type="dxa"/>
            <w:gridSpan w:val="3"/>
            <w:tcBorders>
              <w:top w:val="nil"/>
              <w:left w:val="double" w:sz="6" w:space="0" w:color="auto"/>
              <w:bottom w:val="dashed" w:sz="4" w:space="0" w:color="auto"/>
              <w:right w:val="nil"/>
            </w:tcBorders>
            <w:shd w:val="clear" w:color="auto" w:fill="auto"/>
            <w:hideMark/>
          </w:tcPr>
          <w:p w14:paraId="76B8A7CC" w14:textId="77777777" w:rsidR="00247CBF" w:rsidRPr="00092ED7" w:rsidRDefault="00247CBF" w:rsidP="00247CBF">
            <w:pPr>
              <w:spacing w:after="0"/>
              <w:rPr>
                <w:i/>
                <w:iCs/>
                <w:sz w:val="20"/>
                <w:szCs w:val="20"/>
                <w:lang w:val="sr-Cyrl-CS"/>
              </w:rPr>
            </w:pPr>
            <w:r w:rsidRPr="00092ED7">
              <w:rPr>
                <w:i/>
                <w:iCs/>
                <w:sz w:val="20"/>
                <w:szCs w:val="20"/>
                <w:lang w:val="sr-Cyrl-CS"/>
              </w:rPr>
              <w:t>15. Од чега: Портфолио инвестиције</w:t>
            </w:r>
          </w:p>
        </w:tc>
        <w:tc>
          <w:tcPr>
            <w:tcW w:w="1447" w:type="dxa"/>
            <w:gridSpan w:val="3"/>
            <w:tcBorders>
              <w:top w:val="nil"/>
              <w:left w:val="single" w:sz="8" w:space="0" w:color="auto"/>
              <w:bottom w:val="dashed" w:sz="4" w:space="0" w:color="auto"/>
              <w:right w:val="single" w:sz="8" w:space="0" w:color="auto"/>
            </w:tcBorders>
            <w:shd w:val="clear" w:color="auto" w:fill="auto"/>
            <w:noWrap/>
            <w:vAlign w:val="center"/>
            <w:hideMark/>
          </w:tcPr>
          <w:p w14:paraId="250A2B55"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млрд ЕУР</w:t>
            </w:r>
          </w:p>
        </w:tc>
        <w:tc>
          <w:tcPr>
            <w:tcW w:w="1380" w:type="dxa"/>
            <w:gridSpan w:val="3"/>
            <w:tcBorders>
              <w:top w:val="nil"/>
              <w:left w:val="nil"/>
              <w:bottom w:val="dashed" w:sz="4" w:space="0" w:color="auto"/>
              <w:right w:val="dashed" w:sz="4" w:space="0" w:color="auto"/>
            </w:tcBorders>
            <w:shd w:val="clear" w:color="auto" w:fill="auto"/>
            <w:noWrap/>
            <w:vAlign w:val="center"/>
            <w:hideMark/>
          </w:tcPr>
          <w:p w14:paraId="122D16DA" w14:textId="77777777" w:rsidR="00247CBF" w:rsidRPr="00092ED7" w:rsidRDefault="00247CBF" w:rsidP="00247CBF">
            <w:pPr>
              <w:spacing w:after="0"/>
              <w:jc w:val="right"/>
              <w:rPr>
                <w:i/>
                <w:iCs/>
                <w:sz w:val="20"/>
                <w:szCs w:val="20"/>
                <w:lang w:val="sr-Cyrl-CS"/>
              </w:rPr>
            </w:pPr>
            <w:r w:rsidRPr="00092ED7">
              <w:rPr>
                <w:i/>
                <w:iCs/>
                <w:sz w:val="20"/>
                <w:szCs w:val="20"/>
                <w:lang w:val="sr-Cyrl-CS"/>
              </w:rPr>
              <w:t>1,6</w:t>
            </w:r>
          </w:p>
        </w:tc>
        <w:tc>
          <w:tcPr>
            <w:tcW w:w="1300" w:type="dxa"/>
            <w:gridSpan w:val="4"/>
            <w:tcBorders>
              <w:top w:val="nil"/>
              <w:left w:val="nil"/>
              <w:bottom w:val="dashed" w:sz="4" w:space="0" w:color="auto"/>
              <w:right w:val="dashed" w:sz="4" w:space="0" w:color="auto"/>
            </w:tcBorders>
            <w:shd w:val="clear" w:color="auto" w:fill="auto"/>
            <w:noWrap/>
            <w:vAlign w:val="center"/>
            <w:hideMark/>
          </w:tcPr>
          <w:p w14:paraId="66D25ACC" w14:textId="77777777" w:rsidR="00247CBF" w:rsidRPr="00092ED7" w:rsidRDefault="00247CBF" w:rsidP="00247CBF">
            <w:pPr>
              <w:spacing w:after="0"/>
              <w:jc w:val="right"/>
              <w:rPr>
                <w:i/>
                <w:iCs/>
                <w:sz w:val="20"/>
                <w:szCs w:val="20"/>
                <w:lang w:val="sr-Cyrl-CS"/>
              </w:rPr>
            </w:pPr>
            <w:r w:rsidRPr="00092ED7">
              <w:rPr>
                <w:i/>
                <w:iCs/>
                <w:sz w:val="20"/>
                <w:szCs w:val="20"/>
                <w:lang w:val="sr-Cyrl-CS"/>
              </w:rPr>
              <w:t>1,6</w:t>
            </w:r>
          </w:p>
        </w:tc>
        <w:tc>
          <w:tcPr>
            <w:tcW w:w="1360" w:type="dxa"/>
            <w:gridSpan w:val="4"/>
            <w:tcBorders>
              <w:top w:val="nil"/>
              <w:left w:val="nil"/>
              <w:bottom w:val="dashed" w:sz="4" w:space="0" w:color="auto"/>
              <w:right w:val="dashed" w:sz="4" w:space="0" w:color="auto"/>
            </w:tcBorders>
            <w:shd w:val="clear" w:color="auto" w:fill="auto"/>
            <w:noWrap/>
            <w:vAlign w:val="center"/>
            <w:hideMark/>
          </w:tcPr>
          <w:p w14:paraId="2EF22764" w14:textId="77777777" w:rsidR="00247CBF" w:rsidRPr="00092ED7" w:rsidRDefault="00247CBF" w:rsidP="00247CBF">
            <w:pPr>
              <w:spacing w:after="0"/>
              <w:jc w:val="right"/>
              <w:rPr>
                <w:i/>
                <w:iCs/>
                <w:sz w:val="20"/>
                <w:szCs w:val="20"/>
                <w:lang w:val="sr-Cyrl-CS"/>
              </w:rPr>
            </w:pPr>
            <w:r w:rsidRPr="00092ED7">
              <w:rPr>
                <w:i/>
                <w:iCs/>
                <w:sz w:val="20"/>
                <w:szCs w:val="20"/>
                <w:lang w:val="sr-Cyrl-CS"/>
              </w:rPr>
              <w:t>0,0</w:t>
            </w:r>
          </w:p>
        </w:tc>
        <w:tc>
          <w:tcPr>
            <w:tcW w:w="1260" w:type="dxa"/>
            <w:gridSpan w:val="4"/>
            <w:tcBorders>
              <w:top w:val="nil"/>
              <w:left w:val="nil"/>
              <w:bottom w:val="dashed" w:sz="4" w:space="0" w:color="auto"/>
              <w:right w:val="dashed" w:sz="4" w:space="0" w:color="auto"/>
            </w:tcBorders>
            <w:shd w:val="clear" w:color="auto" w:fill="auto"/>
            <w:noWrap/>
            <w:vAlign w:val="center"/>
            <w:hideMark/>
          </w:tcPr>
          <w:p w14:paraId="1ADDF4A8" w14:textId="77777777" w:rsidR="00247CBF" w:rsidRPr="00092ED7" w:rsidRDefault="00247CBF" w:rsidP="00247CBF">
            <w:pPr>
              <w:spacing w:after="0"/>
              <w:jc w:val="right"/>
              <w:rPr>
                <w:i/>
                <w:iCs/>
                <w:sz w:val="20"/>
                <w:szCs w:val="20"/>
                <w:lang w:val="sr-Cyrl-CS"/>
              </w:rPr>
            </w:pPr>
            <w:r w:rsidRPr="00092ED7">
              <w:rPr>
                <w:i/>
                <w:iCs/>
                <w:sz w:val="20"/>
                <w:szCs w:val="20"/>
                <w:lang w:val="sr-Cyrl-CS"/>
              </w:rPr>
              <w:t>0,7</w:t>
            </w:r>
          </w:p>
        </w:tc>
        <w:tc>
          <w:tcPr>
            <w:tcW w:w="1260" w:type="dxa"/>
            <w:gridSpan w:val="3"/>
            <w:tcBorders>
              <w:top w:val="nil"/>
              <w:left w:val="nil"/>
              <w:bottom w:val="dashed" w:sz="4" w:space="0" w:color="auto"/>
              <w:right w:val="dashed" w:sz="4" w:space="0" w:color="auto"/>
            </w:tcBorders>
            <w:shd w:val="clear" w:color="auto" w:fill="auto"/>
            <w:noWrap/>
            <w:vAlign w:val="center"/>
            <w:hideMark/>
          </w:tcPr>
          <w:p w14:paraId="4FFF95E4" w14:textId="77777777" w:rsidR="00247CBF" w:rsidRPr="00092ED7" w:rsidRDefault="00247CBF" w:rsidP="00247CBF">
            <w:pPr>
              <w:spacing w:after="0"/>
              <w:jc w:val="right"/>
              <w:rPr>
                <w:i/>
                <w:iCs/>
                <w:sz w:val="20"/>
                <w:szCs w:val="20"/>
                <w:lang w:val="sr-Cyrl-CS"/>
              </w:rPr>
            </w:pPr>
            <w:r w:rsidRPr="00092ED7">
              <w:rPr>
                <w:i/>
                <w:iCs/>
                <w:sz w:val="20"/>
                <w:szCs w:val="20"/>
                <w:lang w:val="sr-Cyrl-CS"/>
              </w:rPr>
              <w:t>1,2</w:t>
            </w:r>
          </w:p>
        </w:tc>
        <w:tc>
          <w:tcPr>
            <w:tcW w:w="1268" w:type="dxa"/>
            <w:gridSpan w:val="3"/>
            <w:tcBorders>
              <w:top w:val="nil"/>
              <w:left w:val="nil"/>
              <w:bottom w:val="dashed" w:sz="4" w:space="0" w:color="auto"/>
              <w:right w:val="double" w:sz="4" w:space="0" w:color="auto"/>
            </w:tcBorders>
            <w:shd w:val="clear" w:color="auto" w:fill="auto"/>
            <w:noWrap/>
            <w:vAlign w:val="center"/>
            <w:hideMark/>
          </w:tcPr>
          <w:p w14:paraId="1B2622E6" w14:textId="77777777" w:rsidR="00247CBF" w:rsidRPr="00092ED7" w:rsidRDefault="00247CBF" w:rsidP="00247CBF">
            <w:pPr>
              <w:spacing w:after="0"/>
              <w:jc w:val="right"/>
              <w:rPr>
                <w:i/>
                <w:iCs/>
                <w:sz w:val="20"/>
                <w:szCs w:val="20"/>
                <w:lang w:val="sr-Cyrl-CS"/>
              </w:rPr>
            </w:pPr>
            <w:r w:rsidRPr="00092ED7">
              <w:rPr>
                <w:i/>
                <w:iCs/>
                <w:sz w:val="20"/>
                <w:szCs w:val="20"/>
                <w:lang w:val="sr-Cyrl-CS"/>
              </w:rPr>
              <w:t>0,3</w:t>
            </w:r>
          </w:p>
        </w:tc>
      </w:tr>
      <w:tr w:rsidR="00247CBF" w:rsidRPr="00092ED7" w14:paraId="252631D3" w14:textId="77777777" w:rsidTr="00247CBF">
        <w:trPr>
          <w:gridAfter w:val="3"/>
          <w:wAfter w:w="365" w:type="dxa"/>
          <w:trHeight w:val="255"/>
        </w:trPr>
        <w:tc>
          <w:tcPr>
            <w:tcW w:w="4962" w:type="dxa"/>
            <w:gridSpan w:val="3"/>
            <w:tcBorders>
              <w:top w:val="nil"/>
              <w:left w:val="double" w:sz="6" w:space="0" w:color="auto"/>
              <w:bottom w:val="dashed" w:sz="4" w:space="0" w:color="auto"/>
              <w:right w:val="nil"/>
            </w:tcBorders>
            <w:shd w:val="clear" w:color="auto" w:fill="auto"/>
            <w:hideMark/>
          </w:tcPr>
          <w:p w14:paraId="51FF112E" w14:textId="77777777" w:rsidR="00247CBF" w:rsidRPr="00092ED7" w:rsidRDefault="00247CBF" w:rsidP="00247CBF">
            <w:pPr>
              <w:spacing w:after="0"/>
              <w:rPr>
                <w:i/>
                <w:iCs/>
                <w:sz w:val="20"/>
                <w:szCs w:val="20"/>
                <w:lang w:val="sr-Cyrl-CS"/>
              </w:rPr>
            </w:pPr>
            <w:r w:rsidRPr="00092ED7">
              <w:rPr>
                <w:i/>
                <w:iCs/>
                <w:sz w:val="20"/>
                <w:szCs w:val="20"/>
                <w:lang w:val="sr-Cyrl-CS"/>
              </w:rPr>
              <w:t>15.a Од чега: Нето-портфолио инвестиције (Equity)</w:t>
            </w:r>
          </w:p>
        </w:tc>
        <w:tc>
          <w:tcPr>
            <w:tcW w:w="1447" w:type="dxa"/>
            <w:gridSpan w:val="3"/>
            <w:tcBorders>
              <w:top w:val="nil"/>
              <w:left w:val="single" w:sz="8" w:space="0" w:color="auto"/>
              <w:bottom w:val="dashed" w:sz="4" w:space="0" w:color="auto"/>
              <w:right w:val="single" w:sz="8" w:space="0" w:color="auto"/>
            </w:tcBorders>
            <w:shd w:val="clear" w:color="auto" w:fill="auto"/>
            <w:noWrap/>
            <w:vAlign w:val="center"/>
            <w:hideMark/>
          </w:tcPr>
          <w:p w14:paraId="4142F870"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млрд ЕУР</w:t>
            </w:r>
          </w:p>
        </w:tc>
        <w:tc>
          <w:tcPr>
            <w:tcW w:w="1380" w:type="dxa"/>
            <w:gridSpan w:val="3"/>
            <w:tcBorders>
              <w:top w:val="nil"/>
              <w:left w:val="nil"/>
              <w:bottom w:val="dashed" w:sz="4" w:space="0" w:color="auto"/>
              <w:right w:val="dashed" w:sz="4" w:space="0" w:color="auto"/>
            </w:tcBorders>
            <w:shd w:val="clear" w:color="auto" w:fill="auto"/>
            <w:noWrap/>
            <w:vAlign w:val="center"/>
            <w:hideMark/>
          </w:tcPr>
          <w:p w14:paraId="4141BBA7" w14:textId="77777777" w:rsidR="00247CBF" w:rsidRPr="00092ED7" w:rsidRDefault="00247CBF" w:rsidP="00247CBF">
            <w:pPr>
              <w:spacing w:after="0"/>
              <w:jc w:val="right"/>
              <w:rPr>
                <w:i/>
                <w:iCs/>
                <w:sz w:val="20"/>
                <w:szCs w:val="20"/>
                <w:lang w:val="sr-Cyrl-CS"/>
              </w:rPr>
            </w:pPr>
            <w:r w:rsidRPr="00092ED7">
              <w:rPr>
                <w:i/>
                <w:iCs/>
                <w:sz w:val="20"/>
                <w:szCs w:val="20"/>
                <w:lang w:val="sr-Cyrl-CS"/>
              </w:rPr>
              <w:t>0,0</w:t>
            </w:r>
          </w:p>
        </w:tc>
        <w:tc>
          <w:tcPr>
            <w:tcW w:w="1300" w:type="dxa"/>
            <w:gridSpan w:val="4"/>
            <w:tcBorders>
              <w:top w:val="nil"/>
              <w:left w:val="nil"/>
              <w:bottom w:val="dashed" w:sz="4" w:space="0" w:color="auto"/>
              <w:right w:val="dashed" w:sz="4" w:space="0" w:color="auto"/>
            </w:tcBorders>
            <w:shd w:val="clear" w:color="auto" w:fill="auto"/>
            <w:noWrap/>
            <w:vAlign w:val="center"/>
            <w:hideMark/>
          </w:tcPr>
          <w:p w14:paraId="11C8BCC7" w14:textId="77777777" w:rsidR="00247CBF" w:rsidRPr="00092ED7" w:rsidRDefault="00247CBF" w:rsidP="00247CBF">
            <w:pPr>
              <w:spacing w:after="0"/>
              <w:jc w:val="right"/>
              <w:rPr>
                <w:i/>
                <w:iCs/>
                <w:sz w:val="20"/>
                <w:szCs w:val="20"/>
                <w:lang w:val="sr-Cyrl-CS"/>
              </w:rPr>
            </w:pPr>
            <w:r w:rsidRPr="00092ED7">
              <w:rPr>
                <w:i/>
                <w:iCs/>
                <w:sz w:val="20"/>
                <w:szCs w:val="20"/>
                <w:lang w:val="sr-Cyrl-CS"/>
              </w:rPr>
              <w:t>0,0</w:t>
            </w:r>
          </w:p>
        </w:tc>
        <w:tc>
          <w:tcPr>
            <w:tcW w:w="1360" w:type="dxa"/>
            <w:gridSpan w:val="4"/>
            <w:tcBorders>
              <w:top w:val="nil"/>
              <w:left w:val="nil"/>
              <w:bottom w:val="dashed" w:sz="4" w:space="0" w:color="auto"/>
              <w:right w:val="dashed" w:sz="4" w:space="0" w:color="auto"/>
            </w:tcBorders>
            <w:shd w:val="clear" w:color="auto" w:fill="auto"/>
            <w:noWrap/>
            <w:vAlign w:val="center"/>
            <w:hideMark/>
          </w:tcPr>
          <w:p w14:paraId="5CFEE03A" w14:textId="77777777" w:rsidR="00247CBF" w:rsidRPr="00092ED7" w:rsidRDefault="00247CBF" w:rsidP="00247CBF">
            <w:pPr>
              <w:spacing w:after="0"/>
              <w:jc w:val="right"/>
              <w:rPr>
                <w:i/>
                <w:iCs/>
                <w:sz w:val="20"/>
                <w:szCs w:val="20"/>
                <w:lang w:val="sr-Cyrl-CS"/>
              </w:rPr>
            </w:pPr>
            <w:r w:rsidRPr="00092ED7">
              <w:rPr>
                <w:i/>
                <w:iCs/>
                <w:sz w:val="20"/>
                <w:szCs w:val="20"/>
                <w:lang w:val="sr-Cyrl-CS"/>
              </w:rPr>
              <w:t>0,0</w:t>
            </w:r>
          </w:p>
        </w:tc>
        <w:tc>
          <w:tcPr>
            <w:tcW w:w="1260" w:type="dxa"/>
            <w:gridSpan w:val="4"/>
            <w:tcBorders>
              <w:top w:val="nil"/>
              <w:left w:val="nil"/>
              <w:bottom w:val="dashed" w:sz="4" w:space="0" w:color="auto"/>
              <w:right w:val="dashed" w:sz="4" w:space="0" w:color="auto"/>
            </w:tcBorders>
            <w:shd w:val="clear" w:color="auto" w:fill="auto"/>
            <w:noWrap/>
            <w:vAlign w:val="center"/>
            <w:hideMark/>
          </w:tcPr>
          <w:p w14:paraId="38ED0B47" w14:textId="77777777" w:rsidR="00247CBF" w:rsidRPr="00092ED7" w:rsidRDefault="00247CBF" w:rsidP="00247CBF">
            <w:pPr>
              <w:spacing w:after="0"/>
              <w:jc w:val="right"/>
              <w:rPr>
                <w:i/>
                <w:iCs/>
                <w:sz w:val="20"/>
                <w:szCs w:val="20"/>
                <w:lang w:val="sr-Cyrl-CS"/>
              </w:rPr>
            </w:pPr>
            <w:r w:rsidRPr="00092ED7">
              <w:rPr>
                <w:i/>
                <w:iCs/>
                <w:sz w:val="20"/>
                <w:szCs w:val="20"/>
                <w:lang w:val="sr-Cyrl-CS"/>
              </w:rPr>
              <w:t>0,0</w:t>
            </w:r>
          </w:p>
        </w:tc>
        <w:tc>
          <w:tcPr>
            <w:tcW w:w="1260" w:type="dxa"/>
            <w:gridSpan w:val="3"/>
            <w:tcBorders>
              <w:top w:val="nil"/>
              <w:left w:val="nil"/>
              <w:bottom w:val="dashed" w:sz="4" w:space="0" w:color="auto"/>
              <w:right w:val="dashed" w:sz="4" w:space="0" w:color="auto"/>
            </w:tcBorders>
            <w:shd w:val="clear" w:color="auto" w:fill="auto"/>
            <w:noWrap/>
            <w:vAlign w:val="center"/>
            <w:hideMark/>
          </w:tcPr>
          <w:p w14:paraId="78D68672" w14:textId="77777777" w:rsidR="00247CBF" w:rsidRPr="00092ED7" w:rsidRDefault="00247CBF" w:rsidP="00247CBF">
            <w:pPr>
              <w:spacing w:after="0"/>
              <w:jc w:val="right"/>
              <w:rPr>
                <w:i/>
                <w:iCs/>
                <w:sz w:val="20"/>
                <w:szCs w:val="20"/>
                <w:lang w:val="sr-Cyrl-CS"/>
              </w:rPr>
            </w:pPr>
            <w:r w:rsidRPr="00092ED7">
              <w:rPr>
                <w:i/>
                <w:iCs/>
                <w:sz w:val="20"/>
                <w:szCs w:val="20"/>
                <w:lang w:val="sr-Cyrl-CS"/>
              </w:rPr>
              <w:t>0,0</w:t>
            </w:r>
          </w:p>
        </w:tc>
        <w:tc>
          <w:tcPr>
            <w:tcW w:w="1268" w:type="dxa"/>
            <w:gridSpan w:val="3"/>
            <w:tcBorders>
              <w:top w:val="nil"/>
              <w:left w:val="nil"/>
              <w:bottom w:val="dashed" w:sz="4" w:space="0" w:color="auto"/>
              <w:right w:val="double" w:sz="4" w:space="0" w:color="auto"/>
            </w:tcBorders>
            <w:shd w:val="clear" w:color="auto" w:fill="auto"/>
            <w:noWrap/>
            <w:vAlign w:val="center"/>
            <w:hideMark/>
          </w:tcPr>
          <w:p w14:paraId="58F0B395" w14:textId="77777777" w:rsidR="00247CBF" w:rsidRPr="00092ED7" w:rsidRDefault="00247CBF" w:rsidP="00247CBF">
            <w:pPr>
              <w:spacing w:after="0"/>
              <w:jc w:val="right"/>
              <w:rPr>
                <w:i/>
                <w:iCs/>
                <w:sz w:val="20"/>
                <w:szCs w:val="20"/>
                <w:lang w:val="sr-Cyrl-CS"/>
              </w:rPr>
            </w:pPr>
            <w:r w:rsidRPr="00092ED7">
              <w:rPr>
                <w:i/>
                <w:iCs/>
                <w:sz w:val="20"/>
                <w:szCs w:val="20"/>
                <w:lang w:val="sr-Cyrl-CS"/>
              </w:rPr>
              <w:t>0,0</w:t>
            </w:r>
          </w:p>
        </w:tc>
      </w:tr>
      <w:tr w:rsidR="00247CBF" w:rsidRPr="00092ED7" w14:paraId="689E6B9D" w14:textId="77777777" w:rsidTr="00247CBF">
        <w:trPr>
          <w:gridAfter w:val="3"/>
          <w:wAfter w:w="365" w:type="dxa"/>
          <w:trHeight w:val="255"/>
        </w:trPr>
        <w:tc>
          <w:tcPr>
            <w:tcW w:w="4962" w:type="dxa"/>
            <w:gridSpan w:val="3"/>
            <w:tcBorders>
              <w:top w:val="nil"/>
              <w:left w:val="double" w:sz="6" w:space="0" w:color="auto"/>
              <w:bottom w:val="dashed" w:sz="4" w:space="0" w:color="auto"/>
              <w:right w:val="nil"/>
            </w:tcBorders>
            <w:shd w:val="clear" w:color="auto" w:fill="auto"/>
            <w:hideMark/>
          </w:tcPr>
          <w:p w14:paraId="45522533" w14:textId="77777777" w:rsidR="00247CBF" w:rsidRPr="00092ED7" w:rsidRDefault="00247CBF" w:rsidP="00247CBF">
            <w:pPr>
              <w:spacing w:after="0"/>
              <w:rPr>
                <w:sz w:val="20"/>
                <w:szCs w:val="20"/>
                <w:lang w:val="sr-Cyrl-CS"/>
              </w:rPr>
            </w:pPr>
            <w:r w:rsidRPr="00092ED7">
              <w:rPr>
                <w:sz w:val="20"/>
                <w:szCs w:val="20"/>
                <w:lang w:val="sr-Cyrl-CS"/>
              </w:rPr>
              <w:t>16. Девизне резерве</w:t>
            </w:r>
          </w:p>
        </w:tc>
        <w:tc>
          <w:tcPr>
            <w:tcW w:w="1447" w:type="dxa"/>
            <w:gridSpan w:val="3"/>
            <w:tcBorders>
              <w:top w:val="nil"/>
              <w:left w:val="single" w:sz="8" w:space="0" w:color="auto"/>
              <w:bottom w:val="dashed" w:sz="4" w:space="0" w:color="auto"/>
              <w:right w:val="single" w:sz="8" w:space="0" w:color="auto"/>
            </w:tcBorders>
            <w:shd w:val="clear" w:color="auto" w:fill="auto"/>
            <w:noWrap/>
            <w:vAlign w:val="center"/>
            <w:hideMark/>
          </w:tcPr>
          <w:p w14:paraId="7B69DC2E"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млрд ЕУР</w:t>
            </w:r>
          </w:p>
        </w:tc>
        <w:tc>
          <w:tcPr>
            <w:tcW w:w="1380" w:type="dxa"/>
            <w:gridSpan w:val="3"/>
            <w:tcBorders>
              <w:top w:val="nil"/>
              <w:left w:val="nil"/>
              <w:bottom w:val="dashed" w:sz="4" w:space="0" w:color="auto"/>
              <w:right w:val="dashed" w:sz="4" w:space="0" w:color="auto"/>
            </w:tcBorders>
            <w:shd w:val="clear" w:color="auto" w:fill="auto"/>
            <w:noWrap/>
            <w:vAlign w:val="center"/>
            <w:hideMark/>
          </w:tcPr>
          <w:p w14:paraId="2730DBEE" w14:textId="77777777" w:rsidR="00247CBF" w:rsidRPr="00092ED7" w:rsidRDefault="00247CBF" w:rsidP="00247CBF">
            <w:pPr>
              <w:spacing w:after="0"/>
              <w:jc w:val="right"/>
              <w:rPr>
                <w:sz w:val="20"/>
                <w:szCs w:val="20"/>
                <w:lang w:val="sr-Cyrl-CS"/>
              </w:rPr>
            </w:pPr>
            <w:r w:rsidRPr="00092ED7">
              <w:rPr>
                <w:sz w:val="20"/>
                <w:szCs w:val="20"/>
                <w:lang w:val="sr-Cyrl-CS"/>
              </w:rPr>
              <w:t>13,5</w:t>
            </w:r>
          </w:p>
        </w:tc>
        <w:tc>
          <w:tcPr>
            <w:tcW w:w="1300" w:type="dxa"/>
            <w:gridSpan w:val="4"/>
            <w:tcBorders>
              <w:top w:val="nil"/>
              <w:left w:val="nil"/>
              <w:bottom w:val="dashed" w:sz="4" w:space="0" w:color="auto"/>
              <w:right w:val="dashed" w:sz="4" w:space="0" w:color="auto"/>
            </w:tcBorders>
            <w:shd w:val="clear" w:color="auto" w:fill="auto"/>
            <w:noWrap/>
            <w:vAlign w:val="center"/>
            <w:hideMark/>
          </w:tcPr>
          <w:p w14:paraId="1871FFD2" w14:textId="77777777" w:rsidR="00247CBF" w:rsidRPr="00092ED7" w:rsidRDefault="00247CBF" w:rsidP="00247CBF">
            <w:pPr>
              <w:spacing w:after="0"/>
              <w:jc w:val="right"/>
              <w:rPr>
                <w:sz w:val="20"/>
                <w:szCs w:val="20"/>
                <w:lang w:val="sr-Cyrl-CS"/>
              </w:rPr>
            </w:pPr>
            <w:r w:rsidRPr="00092ED7">
              <w:rPr>
                <w:sz w:val="20"/>
                <w:szCs w:val="20"/>
                <w:lang w:val="sr-Cyrl-CS"/>
              </w:rPr>
              <w:t>16,5</w:t>
            </w:r>
          </w:p>
        </w:tc>
        <w:tc>
          <w:tcPr>
            <w:tcW w:w="1360" w:type="dxa"/>
            <w:gridSpan w:val="4"/>
            <w:tcBorders>
              <w:top w:val="nil"/>
              <w:left w:val="nil"/>
              <w:bottom w:val="dashed" w:sz="4" w:space="0" w:color="auto"/>
              <w:right w:val="dashed" w:sz="4" w:space="0" w:color="auto"/>
            </w:tcBorders>
            <w:shd w:val="clear" w:color="auto" w:fill="auto"/>
            <w:noWrap/>
            <w:vAlign w:val="center"/>
            <w:hideMark/>
          </w:tcPr>
          <w:p w14:paraId="686FE444" w14:textId="77777777" w:rsidR="00247CBF" w:rsidRPr="00092ED7" w:rsidRDefault="00247CBF" w:rsidP="00247CBF">
            <w:pPr>
              <w:spacing w:after="0"/>
              <w:jc w:val="right"/>
              <w:rPr>
                <w:sz w:val="20"/>
                <w:szCs w:val="20"/>
                <w:lang w:val="sr-Cyrl-CS"/>
              </w:rPr>
            </w:pPr>
            <w:r w:rsidRPr="00092ED7">
              <w:rPr>
                <w:sz w:val="20"/>
                <w:szCs w:val="20"/>
                <w:lang w:val="sr-Cyrl-CS"/>
              </w:rPr>
              <w:t>18,1</w:t>
            </w:r>
          </w:p>
        </w:tc>
        <w:tc>
          <w:tcPr>
            <w:tcW w:w="1260" w:type="dxa"/>
            <w:gridSpan w:val="4"/>
            <w:tcBorders>
              <w:top w:val="nil"/>
              <w:left w:val="nil"/>
              <w:bottom w:val="dashed" w:sz="4" w:space="0" w:color="auto"/>
              <w:right w:val="dashed" w:sz="4" w:space="0" w:color="auto"/>
            </w:tcBorders>
            <w:shd w:val="clear" w:color="auto" w:fill="auto"/>
            <w:noWrap/>
            <w:vAlign w:val="center"/>
            <w:hideMark/>
          </w:tcPr>
          <w:p w14:paraId="279501C3" w14:textId="77777777" w:rsidR="00247CBF" w:rsidRPr="00092ED7" w:rsidRDefault="00247CBF" w:rsidP="00247CBF">
            <w:pPr>
              <w:spacing w:after="0"/>
              <w:jc w:val="right"/>
              <w:rPr>
                <w:sz w:val="20"/>
                <w:szCs w:val="20"/>
                <w:lang w:val="sr-Cyrl-CS"/>
              </w:rPr>
            </w:pPr>
            <w:r w:rsidRPr="00092ED7">
              <w:rPr>
                <w:sz w:val="20"/>
                <w:szCs w:val="20"/>
                <w:lang w:val="sr-Cyrl-CS"/>
              </w:rPr>
              <w:t>18,1</w:t>
            </w:r>
          </w:p>
        </w:tc>
        <w:tc>
          <w:tcPr>
            <w:tcW w:w="1260" w:type="dxa"/>
            <w:gridSpan w:val="3"/>
            <w:tcBorders>
              <w:top w:val="nil"/>
              <w:left w:val="nil"/>
              <w:bottom w:val="dashed" w:sz="4" w:space="0" w:color="auto"/>
              <w:right w:val="dashed" w:sz="4" w:space="0" w:color="auto"/>
            </w:tcBorders>
            <w:shd w:val="clear" w:color="auto" w:fill="auto"/>
            <w:noWrap/>
            <w:vAlign w:val="center"/>
            <w:hideMark/>
          </w:tcPr>
          <w:p w14:paraId="1A714F63" w14:textId="77777777" w:rsidR="00247CBF" w:rsidRPr="00092ED7" w:rsidRDefault="00247CBF" w:rsidP="00247CBF">
            <w:pPr>
              <w:spacing w:after="0"/>
              <w:jc w:val="right"/>
              <w:rPr>
                <w:sz w:val="20"/>
                <w:szCs w:val="20"/>
                <w:lang w:val="sr-Cyrl-CS"/>
              </w:rPr>
            </w:pPr>
            <w:r w:rsidRPr="00092ED7">
              <w:rPr>
                <w:sz w:val="20"/>
                <w:szCs w:val="20"/>
                <w:lang w:val="sr-Cyrl-CS"/>
              </w:rPr>
              <w:t>18,5</w:t>
            </w:r>
          </w:p>
        </w:tc>
        <w:tc>
          <w:tcPr>
            <w:tcW w:w="1268" w:type="dxa"/>
            <w:gridSpan w:val="3"/>
            <w:tcBorders>
              <w:top w:val="nil"/>
              <w:left w:val="nil"/>
              <w:bottom w:val="dashed" w:sz="4" w:space="0" w:color="auto"/>
              <w:right w:val="double" w:sz="4" w:space="0" w:color="auto"/>
            </w:tcBorders>
            <w:shd w:val="clear" w:color="auto" w:fill="auto"/>
            <w:noWrap/>
            <w:vAlign w:val="center"/>
            <w:hideMark/>
          </w:tcPr>
          <w:p w14:paraId="07FF4FA0" w14:textId="77777777" w:rsidR="00247CBF" w:rsidRPr="00092ED7" w:rsidRDefault="00247CBF" w:rsidP="00247CBF">
            <w:pPr>
              <w:spacing w:after="0"/>
              <w:jc w:val="right"/>
              <w:rPr>
                <w:sz w:val="20"/>
                <w:szCs w:val="20"/>
                <w:lang w:val="sr-Cyrl-CS"/>
              </w:rPr>
            </w:pPr>
            <w:r w:rsidRPr="00092ED7">
              <w:rPr>
                <w:sz w:val="20"/>
                <w:szCs w:val="20"/>
                <w:lang w:val="sr-Cyrl-CS"/>
              </w:rPr>
              <w:t>19,0</w:t>
            </w:r>
          </w:p>
        </w:tc>
      </w:tr>
      <w:tr w:rsidR="00247CBF" w:rsidRPr="00092ED7" w14:paraId="482359C2" w14:textId="77777777" w:rsidTr="00247CBF">
        <w:trPr>
          <w:gridAfter w:val="3"/>
          <w:wAfter w:w="365" w:type="dxa"/>
          <w:trHeight w:val="255"/>
        </w:trPr>
        <w:tc>
          <w:tcPr>
            <w:tcW w:w="4962" w:type="dxa"/>
            <w:gridSpan w:val="3"/>
            <w:tcBorders>
              <w:top w:val="nil"/>
              <w:left w:val="double" w:sz="6" w:space="0" w:color="auto"/>
              <w:bottom w:val="dashed" w:sz="4" w:space="0" w:color="auto"/>
              <w:right w:val="nil"/>
            </w:tcBorders>
            <w:shd w:val="clear" w:color="auto" w:fill="auto"/>
            <w:hideMark/>
          </w:tcPr>
          <w:p w14:paraId="2093529C" w14:textId="77777777" w:rsidR="00247CBF" w:rsidRPr="00092ED7" w:rsidRDefault="00247CBF" w:rsidP="00247CBF">
            <w:pPr>
              <w:spacing w:after="0"/>
              <w:rPr>
                <w:sz w:val="20"/>
                <w:szCs w:val="20"/>
                <w:lang w:val="sr-Cyrl-CS"/>
              </w:rPr>
            </w:pPr>
            <w:r w:rsidRPr="00092ED7">
              <w:rPr>
                <w:sz w:val="20"/>
                <w:szCs w:val="20"/>
                <w:lang w:val="sr-Cyrl-CS"/>
              </w:rPr>
              <w:t>17. Нето спољни дуг</w:t>
            </w:r>
          </w:p>
        </w:tc>
        <w:tc>
          <w:tcPr>
            <w:tcW w:w="1447" w:type="dxa"/>
            <w:gridSpan w:val="3"/>
            <w:tcBorders>
              <w:top w:val="nil"/>
              <w:left w:val="single" w:sz="8" w:space="0" w:color="auto"/>
              <w:bottom w:val="dashed" w:sz="4" w:space="0" w:color="auto"/>
              <w:right w:val="single" w:sz="8" w:space="0" w:color="auto"/>
            </w:tcBorders>
            <w:shd w:val="clear" w:color="auto" w:fill="auto"/>
            <w:noWrap/>
            <w:vAlign w:val="center"/>
            <w:hideMark/>
          </w:tcPr>
          <w:p w14:paraId="4ED4E5B7"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млрд ЕУР</w:t>
            </w:r>
          </w:p>
        </w:tc>
        <w:tc>
          <w:tcPr>
            <w:tcW w:w="1380" w:type="dxa"/>
            <w:gridSpan w:val="3"/>
            <w:tcBorders>
              <w:top w:val="nil"/>
              <w:left w:val="nil"/>
              <w:bottom w:val="dashed" w:sz="4" w:space="0" w:color="auto"/>
              <w:right w:val="dashed" w:sz="4" w:space="0" w:color="auto"/>
            </w:tcBorders>
            <w:shd w:val="clear" w:color="auto" w:fill="auto"/>
            <w:noWrap/>
            <w:vAlign w:val="center"/>
            <w:hideMark/>
          </w:tcPr>
          <w:p w14:paraId="587D7C6A" w14:textId="77777777" w:rsidR="00247CBF" w:rsidRPr="00092ED7" w:rsidRDefault="00247CBF" w:rsidP="00247CBF">
            <w:pPr>
              <w:spacing w:after="0"/>
              <w:jc w:val="right"/>
              <w:rPr>
                <w:sz w:val="20"/>
                <w:szCs w:val="20"/>
                <w:lang w:val="sr-Cyrl-CS"/>
              </w:rPr>
            </w:pPr>
            <w:r w:rsidRPr="00092ED7">
              <w:rPr>
                <w:sz w:val="20"/>
                <w:szCs w:val="20"/>
                <w:lang w:val="sr-Cyrl-CS"/>
              </w:rPr>
              <w:t>16,8</w:t>
            </w:r>
          </w:p>
        </w:tc>
        <w:tc>
          <w:tcPr>
            <w:tcW w:w="1300" w:type="dxa"/>
            <w:gridSpan w:val="4"/>
            <w:tcBorders>
              <w:top w:val="nil"/>
              <w:left w:val="nil"/>
              <w:bottom w:val="dashed" w:sz="4" w:space="0" w:color="auto"/>
              <w:right w:val="dashed" w:sz="4" w:space="0" w:color="auto"/>
            </w:tcBorders>
            <w:shd w:val="clear" w:color="auto" w:fill="auto"/>
            <w:noWrap/>
            <w:vAlign w:val="center"/>
            <w:hideMark/>
          </w:tcPr>
          <w:p w14:paraId="611ACDAA" w14:textId="77777777" w:rsidR="00247CBF" w:rsidRPr="00092ED7" w:rsidRDefault="00247CBF" w:rsidP="00247CBF">
            <w:pPr>
              <w:spacing w:after="0"/>
              <w:jc w:val="right"/>
              <w:rPr>
                <w:sz w:val="20"/>
                <w:szCs w:val="20"/>
                <w:lang w:val="sr-Cyrl-CS"/>
              </w:rPr>
            </w:pPr>
            <w:r w:rsidRPr="00092ED7">
              <w:rPr>
                <w:sz w:val="20"/>
                <w:szCs w:val="20"/>
                <w:lang w:val="sr-Cyrl-CS"/>
              </w:rPr>
              <w:t>16,9</w:t>
            </w:r>
          </w:p>
        </w:tc>
        <w:tc>
          <w:tcPr>
            <w:tcW w:w="1360" w:type="dxa"/>
            <w:gridSpan w:val="4"/>
            <w:tcBorders>
              <w:top w:val="nil"/>
              <w:left w:val="nil"/>
              <w:bottom w:val="dashed" w:sz="4" w:space="0" w:color="auto"/>
              <w:right w:val="dashed" w:sz="4" w:space="0" w:color="auto"/>
            </w:tcBorders>
            <w:shd w:val="clear" w:color="auto" w:fill="auto"/>
            <w:noWrap/>
            <w:vAlign w:val="center"/>
            <w:hideMark/>
          </w:tcPr>
          <w:p w14:paraId="5C50E6D2" w14:textId="77777777" w:rsidR="00247CBF" w:rsidRPr="00092ED7" w:rsidRDefault="00247CBF" w:rsidP="00247CBF">
            <w:pPr>
              <w:spacing w:after="0"/>
              <w:jc w:val="right"/>
              <w:rPr>
                <w:sz w:val="20"/>
                <w:szCs w:val="20"/>
                <w:lang w:val="sr-Cyrl-CS"/>
              </w:rPr>
            </w:pPr>
            <w:r w:rsidRPr="00092ED7">
              <w:rPr>
                <w:sz w:val="20"/>
                <w:szCs w:val="20"/>
                <w:lang w:val="sr-Cyrl-CS"/>
              </w:rPr>
              <w:t>17,2</w:t>
            </w:r>
          </w:p>
        </w:tc>
        <w:tc>
          <w:tcPr>
            <w:tcW w:w="1260" w:type="dxa"/>
            <w:gridSpan w:val="4"/>
            <w:tcBorders>
              <w:top w:val="nil"/>
              <w:left w:val="nil"/>
              <w:bottom w:val="dashed" w:sz="4" w:space="0" w:color="auto"/>
              <w:right w:val="dashed" w:sz="4" w:space="0" w:color="auto"/>
            </w:tcBorders>
            <w:shd w:val="clear" w:color="auto" w:fill="auto"/>
            <w:noWrap/>
            <w:vAlign w:val="center"/>
            <w:hideMark/>
          </w:tcPr>
          <w:p w14:paraId="26B3EDFE" w14:textId="77777777" w:rsidR="00247CBF" w:rsidRPr="00092ED7" w:rsidRDefault="00247CBF" w:rsidP="00247CBF">
            <w:pPr>
              <w:spacing w:after="0"/>
              <w:jc w:val="right"/>
              <w:rPr>
                <w:sz w:val="20"/>
                <w:szCs w:val="20"/>
                <w:lang w:val="sr-Cyrl-CS"/>
              </w:rPr>
            </w:pPr>
            <w:r w:rsidRPr="00092ED7">
              <w:rPr>
                <w:sz w:val="20"/>
                <w:szCs w:val="20"/>
                <w:lang w:val="sr-Cyrl-CS"/>
              </w:rPr>
              <w:t>17,5</w:t>
            </w:r>
          </w:p>
        </w:tc>
        <w:tc>
          <w:tcPr>
            <w:tcW w:w="1260" w:type="dxa"/>
            <w:gridSpan w:val="3"/>
            <w:tcBorders>
              <w:top w:val="nil"/>
              <w:left w:val="nil"/>
              <w:bottom w:val="dashed" w:sz="4" w:space="0" w:color="auto"/>
              <w:right w:val="dashed" w:sz="4" w:space="0" w:color="auto"/>
            </w:tcBorders>
            <w:shd w:val="clear" w:color="auto" w:fill="auto"/>
            <w:noWrap/>
            <w:vAlign w:val="center"/>
            <w:hideMark/>
          </w:tcPr>
          <w:p w14:paraId="5FBDEBBC" w14:textId="77777777" w:rsidR="00247CBF" w:rsidRPr="00092ED7" w:rsidRDefault="00247CBF" w:rsidP="00247CBF">
            <w:pPr>
              <w:spacing w:after="0"/>
              <w:jc w:val="right"/>
              <w:rPr>
                <w:sz w:val="20"/>
                <w:szCs w:val="20"/>
                <w:lang w:val="sr-Cyrl-CS"/>
              </w:rPr>
            </w:pPr>
            <w:r w:rsidRPr="00092ED7">
              <w:rPr>
                <w:sz w:val="20"/>
                <w:szCs w:val="20"/>
                <w:lang w:val="sr-Cyrl-CS"/>
              </w:rPr>
              <w:t>18,0</w:t>
            </w:r>
          </w:p>
        </w:tc>
        <w:tc>
          <w:tcPr>
            <w:tcW w:w="1268" w:type="dxa"/>
            <w:gridSpan w:val="3"/>
            <w:tcBorders>
              <w:top w:val="nil"/>
              <w:left w:val="nil"/>
              <w:bottom w:val="dashed" w:sz="4" w:space="0" w:color="auto"/>
              <w:right w:val="double" w:sz="4" w:space="0" w:color="auto"/>
            </w:tcBorders>
            <w:shd w:val="clear" w:color="auto" w:fill="auto"/>
            <w:noWrap/>
            <w:vAlign w:val="center"/>
            <w:hideMark/>
          </w:tcPr>
          <w:p w14:paraId="1409698F" w14:textId="77777777" w:rsidR="00247CBF" w:rsidRPr="00092ED7" w:rsidRDefault="00247CBF" w:rsidP="00247CBF">
            <w:pPr>
              <w:spacing w:after="0"/>
              <w:jc w:val="right"/>
              <w:rPr>
                <w:sz w:val="20"/>
                <w:szCs w:val="20"/>
                <w:lang w:val="sr-Cyrl-CS"/>
              </w:rPr>
            </w:pPr>
            <w:r w:rsidRPr="00092ED7">
              <w:rPr>
                <w:sz w:val="20"/>
                <w:szCs w:val="20"/>
                <w:lang w:val="sr-Cyrl-CS"/>
              </w:rPr>
              <w:t>18,0</w:t>
            </w:r>
          </w:p>
        </w:tc>
      </w:tr>
      <w:tr w:rsidR="00247CBF" w:rsidRPr="00092ED7" w14:paraId="1A1B82A2" w14:textId="77777777" w:rsidTr="00247CBF">
        <w:trPr>
          <w:gridAfter w:val="3"/>
          <w:wAfter w:w="365" w:type="dxa"/>
          <w:trHeight w:val="255"/>
        </w:trPr>
        <w:tc>
          <w:tcPr>
            <w:tcW w:w="4962" w:type="dxa"/>
            <w:gridSpan w:val="3"/>
            <w:tcBorders>
              <w:top w:val="nil"/>
              <w:left w:val="double" w:sz="6" w:space="0" w:color="auto"/>
              <w:bottom w:val="dashed" w:sz="4" w:space="0" w:color="auto"/>
              <w:right w:val="nil"/>
            </w:tcBorders>
            <w:shd w:val="clear" w:color="auto" w:fill="auto"/>
            <w:hideMark/>
          </w:tcPr>
          <w:p w14:paraId="0F3733E8" w14:textId="77777777" w:rsidR="00247CBF" w:rsidRPr="00092ED7" w:rsidRDefault="00247CBF" w:rsidP="00247CBF">
            <w:pPr>
              <w:spacing w:after="0"/>
              <w:rPr>
                <w:i/>
                <w:iCs/>
                <w:sz w:val="20"/>
                <w:szCs w:val="20"/>
                <w:lang w:val="sr-Cyrl-CS"/>
              </w:rPr>
            </w:pPr>
            <w:r w:rsidRPr="00092ED7">
              <w:rPr>
                <w:i/>
                <w:iCs/>
                <w:sz w:val="20"/>
                <w:szCs w:val="20"/>
                <w:lang w:val="sr-Cyrl-CS"/>
              </w:rPr>
              <w:t>18. Од чега: деноминовано у страним валутама</w:t>
            </w:r>
          </w:p>
        </w:tc>
        <w:tc>
          <w:tcPr>
            <w:tcW w:w="1447" w:type="dxa"/>
            <w:gridSpan w:val="3"/>
            <w:tcBorders>
              <w:top w:val="nil"/>
              <w:left w:val="single" w:sz="8" w:space="0" w:color="auto"/>
              <w:bottom w:val="dashed" w:sz="4" w:space="0" w:color="auto"/>
              <w:right w:val="single" w:sz="8" w:space="0" w:color="auto"/>
            </w:tcBorders>
            <w:shd w:val="clear" w:color="auto" w:fill="auto"/>
            <w:noWrap/>
            <w:vAlign w:val="center"/>
            <w:hideMark/>
          </w:tcPr>
          <w:p w14:paraId="53CF093F"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млрд ЕУР</w:t>
            </w:r>
          </w:p>
        </w:tc>
        <w:tc>
          <w:tcPr>
            <w:tcW w:w="1380" w:type="dxa"/>
            <w:gridSpan w:val="3"/>
            <w:tcBorders>
              <w:top w:val="nil"/>
              <w:left w:val="nil"/>
              <w:bottom w:val="dashed" w:sz="4" w:space="0" w:color="auto"/>
              <w:right w:val="dashed" w:sz="4" w:space="0" w:color="auto"/>
            </w:tcBorders>
            <w:shd w:val="clear" w:color="auto" w:fill="auto"/>
            <w:noWrap/>
            <w:vAlign w:val="center"/>
            <w:hideMark/>
          </w:tcPr>
          <w:p w14:paraId="48A2980B" w14:textId="77777777" w:rsidR="00247CBF" w:rsidRPr="00092ED7" w:rsidRDefault="00247CBF" w:rsidP="00247CBF">
            <w:pPr>
              <w:spacing w:after="0"/>
              <w:jc w:val="right"/>
              <w:rPr>
                <w:i/>
                <w:iCs/>
                <w:sz w:val="20"/>
                <w:szCs w:val="20"/>
                <w:lang w:val="sr-Cyrl-CS"/>
              </w:rPr>
            </w:pPr>
            <w:r w:rsidRPr="00092ED7">
              <w:rPr>
                <w:i/>
                <w:iCs/>
                <w:sz w:val="20"/>
                <w:szCs w:val="20"/>
                <w:lang w:val="sr-Cyrl-CS"/>
              </w:rPr>
              <w:t>14,8</w:t>
            </w:r>
          </w:p>
        </w:tc>
        <w:tc>
          <w:tcPr>
            <w:tcW w:w="1300" w:type="dxa"/>
            <w:gridSpan w:val="4"/>
            <w:tcBorders>
              <w:top w:val="nil"/>
              <w:left w:val="nil"/>
              <w:bottom w:val="dashed" w:sz="4" w:space="0" w:color="auto"/>
              <w:right w:val="dashed" w:sz="4" w:space="0" w:color="auto"/>
            </w:tcBorders>
            <w:shd w:val="clear" w:color="auto" w:fill="auto"/>
            <w:noWrap/>
            <w:vAlign w:val="center"/>
            <w:hideMark/>
          </w:tcPr>
          <w:p w14:paraId="20AFB5E4" w14:textId="77777777" w:rsidR="00247CBF" w:rsidRPr="00092ED7" w:rsidRDefault="00247CBF" w:rsidP="00247CBF">
            <w:pPr>
              <w:spacing w:after="0"/>
              <w:jc w:val="right"/>
              <w:rPr>
                <w:i/>
                <w:iCs/>
                <w:sz w:val="20"/>
                <w:szCs w:val="20"/>
                <w:lang w:val="sr-Cyrl-CS"/>
              </w:rPr>
            </w:pPr>
            <w:r w:rsidRPr="00092ED7">
              <w:rPr>
                <w:i/>
                <w:iCs/>
                <w:sz w:val="20"/>
                <w:szCs w:val="20"/>
                <w:lang w:val="sr-Cyrl-CS"/>
              </w:rPr>
              <w:t>15,3</w:t>
            </w:r>
          </w:p>
        </w:tc>
        <w:tc>
          <w:tcPr>
            <w:tcW w:w="1360" w:type="dxa"/>
            <w:gridSpan w:val="4"/>
            <w:tcBorders>
              <w:top w:val="nil"/>
              <w:left w:val="nil"/>
              <w:bottom w:val="dashed" w:sz="4" w:space="0" w:color="auto"/>
              <w:right w:val="dashed" w:sz="4" w:space="0" w:color="auto"/>
            </w:tcBorders>
            <w:shd w:val="clear" w:color="auto" w:fill="auto"/>
            <w:noWrap/>
            <w:vAlign w:val="center"/>
            <w:hideMark/>
          </w:tcPr>
          <w:p w14:paraId="0FE1A1C8" w14:textId="77777777" w:rsidR="00247CBF" w:rsidRPr="00092ED7" w:rsidRDefault="00247CBF" w:rsidP="00247CBF">
            <w:pPr>
              <w:spacing w:after="0"/>
              <w:jc w:val="right"/>
              <w:rPr>
                <w:i/>
                <w:iCs/>
                <w:sz w:val="20"/>
                <w:szCs w:val="20"/>
                <w:lang w:val="sr-Cyrl-CS"/>
              </w:rPr>
            </w:pPr>
            <w:r w:rsidRPr="00092ED7">
              <w:rPr>
                <w:i/>
                <w:iCs/>
                <w:sz w:val="20"/>
                <w:szCs w:val="20"/>
                <w:lang w:val="sr-Cyrl-CS"/>
              </w:rPr>
              <w:t>15,6</w:t>
            </w:r>
          </w:p>
        </w:tc>
        <w:tc>
          <w:tcPr>
            <w:tcW w:w="1260" w:type="dxa"/>
            <w:gridSpan w:val="4"/>
            <w:tcBorders>
              <w:top w:val="nil"/>
              <w:left w:val="nil"/>
              <w:bottom w:val="dashed" w:sz="4" w:space="0" w:color="auto"/>
              <w:right w:val="dashed" w:sz="4" w:space="0" w:color="auto"/>
            </w:tcBorders>
            <w:shd w:val="clear" w:color="auto" w:fill="auto"/>
            <w:noWrap/>
            <w:vAlign w:val="center"/>
            <w:hideMark/>
          </w:tcPr>
          <w:p w14:paraId="5E0820BD" w14:textId="77777777" w:rsidR="00247CBF" w:rsidRPr="00092ED7" w:rsidRDefault="00247CBF" w:rsidP="00247CBF">
            <w:pPr>
              <w:spacing w:after="0"/>
              <w:jc w:val="right"/>
              <w:rPr>
                <w:i/>
                <w:iCs/>
                <w:sz w:val="20"/>
                <w:szCs w:val="20"/>
                <w:lang w:val="sr-Cyrl-CS"/>
              </w:rPr>
            </w:pPr>
            <w:r w:rsidRPr="00092ED7">
              <w:rPr>
                <w:i/>
                <w:iCs/>
                <w:sz w:val="20"/>
                <w:szCs w:val="20"/>
                <w:lang w:val="sr-Cyrl-CS"/>
              </w:rPr>
              <w:t>15,9</w:t>
            </w:r>
          </w:p>
        </w:tc>
        <w:tc>
          <w:tcPr>
            <w:tcW w:w="1260" w:type="dxa"/>
            <w:gridSpan w:val="3"/>
            <w:tcBorders>
              <w:top w:val="nil"/>
              <w:left w:val="nil"/>
              <w:bottom w:val="dashed" w:sz="4" w:space="0" w:color="auto"/>
              <w:right w:val="dashed" w:sz="4" w:space="0" w:color="auto"/>
            </w:tcBorders>
            <w:shd w:val="clear" w:color="auto" w:fill="auto"/>
            <w:noWrap/>
            <w:vAlign w:val="center"/>
            <w:hideMark/>
          </w:tcPr>
          <w:p w14:paraId="78DCDD81" w14:textId="77777777" w:rsidR="00247CBF" w:rsidRPr="00092ED7" w:rsidRDefault="00247CBF" w:rsidP="00247CBF">
            <w:pPr>
              <w:spacing w:after="0"/>
              <w:jc w:val="right"/>
              <w:rPr>
                <w:i/>
                <w:iCs/>
                <w:sz w:val="20"/>
                <w:szCs w:val="20"/>
                <w:lang w:val="sr-Cyrl-CS"/>
              </w:rPr>
            </w:pPr>
            <w:r w:rsidRPr="00092ED7">
              <w:rPr>
                <w:i/>
                <w:iCs/>
                <w:sz w:val="20"/>
                <w:szCs w:val="20"/>
                <w:lang w:val="sr-Cyrl-CS"/>
              </w:rPr>
              <w:t>16,5</w:t>
            </w:r>
          </w:p>
        </w:tc>
        <w:tc>
          <w:tcPr>
            <w:tcW w:w="1268" w:type="dxa"/>
            <w:gridSpan w:val="3"/>
            <w:tcBorders>
              <w:top w:val="nil"/>
              <w:left w:val="nil"/>
              <w:bottom w:val="dashed" w:sz="4" w:space="0" w:color="auto"/>
              <w:right w:val="double" w:sz="4" w:space="0" w:color="auto"/>
            </w:tcBorders>
            <w:shd w:val="clear" w:color="auto" w:fill="auto"/>
            <w:noWrap/>
            <w:vAlign w:val="center"/>
            <w:hideMark/>
          </w:tcPr>
          <w:p w14:paraId="4C2A9ED1" w14:textId="77777777" w:rsidR="00247CBF" w:rsidRPr="00092ED7" w:rsidRDefault="00247CBF" w:rsidP="00247CBF">
            <w:pPr>
              <w:spacing w:after="0"/>
              <w:jc w:val="right"/>
              <w:rPr>
                <w:i/>
                <w:iCs/>
                <w:sz w:val="20"/>
                <w:szCs w:val="20"/>
                <w:lang w:val="sr-Cyrl-CS"/>
              </w:rPr>
            </w:pPr>
            <w:r w:rsidRPr="00092ED7">
              <w:rPr>
                <w:i/>
                <w:iCs/>
                <w:sz w:val="20"/>
                <w:szCs w:val="20"/>
                <w:lang w:val="sr-Cyrl-CS"/>
              </w:rPr>
              <w:t>16,7</w:t>
            </w:r>
          </w:p>
        </w:tc>
      </w:tr>
      <w:tr w:rsidR="00247CBF" w:rsidRPr="00092ED7" w14:paraId="2966D31C" w14:textId="77777777" w:rsidTr="00247CBF">
        <w:trPr>
          <w:gridAfter w:val="3"/>
          <w:wAfter w:w="365" w:type="dxa"/>
          <w:trHeight w:val="255"/>
        </w:trPr>
        <w:tc>
          <w:tcPr>
            <w:tcW w:w="4962" w:type="dxa"/>
            <w:gridSpan w:val="3"/>
            <w:tcBorders>
              <w:top w:val="nil"/>
              <w:left w:val="double" w:sz="6" w:space="0" w:color="auto"/>
              <w:bottom w:val="dashed" w:sz="4" w:space="0" w:color="auto"/>
              <w:right w:val="nil"/>
            </w:tcBorders>
            <w:shd w:val="clear" w:color="auto" w:fill="auto"/>
            <w:hideMark/>
          </w:tcPr>
          <w:p w14:paraId="2C6F3800" w14:textId="77777777" w:rsidR="00247CBF" w:rsidRPr="00092ED7" w:rsidRDefault="00247CBF" w:rsidP="00247CBF">
            <w:pPr>
              <w:spacing w:after="0"/>
              <w:rPr>
                <w:i/>
                <w:iCs/>
                <w:sz w:val="20"/>
                <w:szCs w:val="20"/>
                <w:lang w:val="sr-Cyrl-CS"/>
              </w:rPr>
            </w:pPr>
            <w:r w:rsidRPr="00092ED7">
              <w:rPr>
                <w:i/>
                <w:iCs/>
                <w:sz w:val="20"/>
                <w:szCs w:val="20"/>
                <w:lang w:val="sr-Cyrl-CS"/>
              </w:rPr>
              <w:t>19. Од чега: јавни</w:t>
            </w:r>
          </w:p>
        </w:tc>
        <w:tc>
          <w:tcPr>
            <w:tcW w:w="1447" w:type="dxa"/>
            <w:gridSpan w:val="3"/>
            <w:tcBorders>
              <w:top w:val="nil"/>
              <w:left w:val="single" w:sz="8" w:space="0" w:color="auto"/>
              <w:bottom w:val="dashed" w:sz="4" w:space="0" w:color="auto"/>
              <w:right w:val="single" w:sz="8" w:space="0" w:color="auto"/>
            </w:tcBorders>
            <w:shd w:val="clear" w:color="auto" w:fill="auto"/>
            <w:noWrap/>
            <w:vAlign w:val="center"/>
            <w:hideMark/>
          </w:tcPr>
          <w:p w14:paraId="41C425DA"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млрд ЕУР</w:t>
            </w:r>
          </w:p>
        </w:tc>
        <w:tc>
          <w:tcPr>
            <w:tcW w:w="1380" w:type="dxa"/>
            <w:gridSpan w:val="3"/>
            <w:tcBorders>
              <w:top w:val="nil"/>
              <w:left w:val="nil"/>
              <w:bottom w:val="dashed" w:sz="4" w:space="0" w:color="auto"/>
              <w:right w:val="dashed" w:sz="4" w:space="0" w:color="auto"/>
            </w:tcBorders>
            <w:shd w:val="clear" w:color="auto" w:fill="auto"/>
            <w:noWrap/>
            <w:vAlign w:val="center"/>
            <w:hideMark/>
          </w:tcPr>
          <w:p w14:paraId="1CECEB79" w14:textId="77777777" w:rsidR="00247CBF" w:rsidRPr="00092ED7" w:rsidRDefault="00247CBF" w:rsidP="00247CBF">
            <w:pPr>
              <w:spacing w:after="0"/>
              <w:jc w:val="right"/>
              <w:rPr>
                <w:i/>
                <w:iCs/>
                <w:sz w:val="20"/>
                <w:szCs w:val="20"/>
                <w:lang w:val="sr-Cyrl-CS"/>
              </w:rPr>
            </w:pPr>
            <w:r w:rsidRPr="00092ED7">
              <w:rPr>
                <w:i/>
                <w:iCs/>
                <w:sz w:val="20"/>
                <w:szCs w:val="20"/>
                <w:lang w:val="sr-Cyrl-CS"/>
              </w:rPr>
              <w:t>5,5</w:t>
            </w:r>
          </w:p>
        </w:tc>
        <w:tc>
          <w:tcPr>
            <w:tcW w:w="1300" w:type="dxa"/>
            <w:gridSpan w:val="4"/>
            <w:tcBorders>
              <w:top w:val="nil"/>
              <w:left w:val="nil"/>
              <w:bottom w:val="dashed" w:sz="4" w:space="0" w:color="auto"/>
              <w:right w:val="dashed" w:sz="4" w:space="0" w:color="auto"/>
            </w:tcBorders>
            <w:shd w:val="clear" w:color="auto" w:fill="auto"/>
            <w:noWrap/>
            <w:vAlign w:val="center"/>
            <w:hideMark/>
          </w:tcPr>
          <w:p w14:paraId="48123B2D" w14:textId="77777777" w:rsidR="00247CBF" w:rsidRPr="00092ED7" w:rsidRDefault="00247CBF" w:rsidP="00247CBF">
            <w:pPr>
              <w:spacing w:after="0"/>
              <w:jc w:val="right"/>
              <w:rPr>
                <w:i/>
                <w:iCs/>
                <w:sz w:val="20"/>
                <w:szCs w:val="20"/>
                <w:lang w:val="sr-Cyrl-CS"/>
              </w:rPr>
            </w:pPr>
            <w:r w:rsidRPr="00092ED7">
              <w:rPr>
                <w:i/>
                <w:iCs/>
                <w:sz w:val="20"/>
                <w:szCs w:val="20"/>
                <w:lang w:val="sr-Cyrl-CS"/>
              </w:rPr>
              <w:t>6,1</w:t>
            </w:r>
          </w:p>
        </w:tc>
        <w:tc>
          <w:tcPr>
            <w:tcW w:w="1360" w:type="dxa"/>
            <w:gridSpan w:val="4"/>
            <w:tcBorders>
              <w:top w:val="nil"/>
              <w:left w:val="nil"/>
              <w:bottom w:val="dashed" w:sz="4" w:space="0" w:color="auto"/>
              <w:right w:val="dashed" w:sz="4" w:space="0" w:color="auto"/>
            </w:tcBorders>
            <w:shd w:val="clear" w:color="auto" w:fill="auto"/>
            <w:noWrap/>
            <w:vAlign w:val="center"/>
            <w:hideMark/>
          </w:tcPr>
          <w:p w14:paraId="7E750C5A" w14:textId="77777777" w:rsidR="00247CBF" w:rsidRPr="00092ED7" w:rsidRDefault="00247CBF" w:rsidP="00247CBF">
            <w:pPr>
              <w:spacing w:after="0"/>
              <w:jc w:val="right"/>
              <w:rPr>
                <w:i/>
                <w:iCs/>
                <w:sz w:val="20"/>
                <w:szCs w:val="20"/>
                <w:lang w:val="sr-Cyrl-CS"/>
              </w:rPr>
            </w:pPr>
            <w:r w:rsidRPr="00092ED7">
              <w:rPr>
                <w:i/>
                <w:iCs/>
                <w:sz w:val="20"/>
                <w:szCs w:val="20"/>
                <w:lang w:val="sr-Cyrl-CS"/>
              </w:rPr>
              <w:t>6,1</w:t>
            </w:r>
          </w:p>
        </w:tc>
        <w:tc>
          <w:tcPr>
            <w:tcW w:w="1260" w:type="dxa"/>
            <w:gridSpan w:val="4"/>
            <w:tcBorders>
              <w:top w:val="nil"/>
              <w:left w:val="nil"/>
              <w:bottom w:val="dashed" w:sz="4" w:space="0" w:color="auto"/>
              <w:right w:val="dashed" w:sz="4" w:space="0" w:color="auto"/>
            </w:tcBorders>
            <w:shd w:val="clear" w:color="auto" w:fill="auto"/>
            <w:noWrap/>
            <w:vAlign w:val="center"/>
            <w:hideMark/>
          </w:tcPr>
          <w:p w14:paraId="6B67E52F" w14:textId="77777777" w:rsidR="00247CBF" w:rsidRPr="00092ED7" w:rsidRDefault="00247CBF" w:rsidP="00247CBF">
            <w:pPr>
              <w:spacing w:after="0"/>
              <w:jc w:val="right"/>
              <w:rPr>
                <w:i/>
                <w:iCs/>
                <w:sz w:val="20"/>
                <w:szCs w:val="20"/>
                <w:lang w:val="sr-Cyrl-CS"/>
              </w:rPr>
            </w:pPr>
            <w:r w:rsidRPr="00092ED7">
              <w:rPr>
                <w:i/>
                <w:iCs/>
                <w:sz w:val="20"/>
                <w:szCs w:val="20"/>
                <w:lang w:val="sr-Cyrl-CS"/>
              </w:rPr>
              <w:t>6,1</w:t>
            </w:r>
          </w:p>
        </w:tc>
        <w:tc>
          <w:tcPr>
            <w:tcW w:w="1260" w:type="dxa"/>
            <w:gridSpan w:val="3"/>
            <w:tcBorders>
              <w:top w:val="nil"/>
              <w:left w:val="nil"/>
              <w:bottom w:val="dashed" w:sz="4" w:space="0" w:color="auto"/>
              <w:right w:val="dashed" w:sz="4" w:space="0" w:color="auto"/>
            </w:tcBorders>
            <w:shd w:val="clear" w:color="auto" w:fill="auto"/>
            <w:noWrap/>
            <w:vAlign w:val="center"/>
            <w:hideMark/>
          </w:tcPr>
          <w:p w14:paraId="0BD02C18" w14:textId="77777777" w:rsidR="00247CBF" w:rsidRPr="00092ED7" w:rsidRDefault="00247CBF" w:rsidP="00247CBF">
            <w:pPr>
              <w:spacing w:after="0"/>
              <w:jc w:val="right"/>
              <w:rPr>
                <w:i/>
                <w:iCs/>
                <w:sz w:val="20"/>
                <w:szCs w:val="20"/>
                <w:lang w:val="sr-Cyrl-CS"/>
              </w:rPr>
            </w:pPr>
            <w:r w:rsidRPr="00092ED7">
              <w:rPr>
                <w:i/>
                <w:iCs/>
                <w:sz w:val="20"/>
                <w:szCs w:val="20"/>
                <w:lang w:val="sr-Cyrl-CS"/>
              </w:rPr>
              <w:t>6,2</w:t>
            </w:r>
          </w:p>
        </w:tc>
        <w:tc>
          <w:tcPr>
            <w:tcW w:w="1268" w:type="dxa"/>
            <w:gridSpan w:val="3"/>
            <w:tcBorders>
              <w:top w:val="nil"/>
              <w:left w:val="nil"/>
              <w:bottom w:val="dashed" w:sz="4" w:space="0" w:color="auto"/>
              <w:right w:val="double" w:sz="4" w:space="0" w:color="auto"/>
            </w:tcBorders>
            <w:shd w:val="clear" w:color="auto" w:fill="auto"/>
            <w:noWrap/>
            <w:vAlign w:val="center"/>
            <w:hideMark/>
          </w:tcPr>
          <w:p w14:paraId="4C385D79" w14:textId="77777777" w:rsidR="00247CBF" w:rsidRPr="00092ED7" w:rsidRDefault="00247CBF" w:rsidP="00247CBF">
            <w:pPr>
              <w:spacing w:after="0"/>
              <w:jc w:val="right"/>
              <w:rPr>
                <w:i/>
                <w:iCs/>
                <w:sz w:val="20"/>
                <w:szCs w:val="20"/>
                <w:lang w:val="sr-Cyrl-CS"/>
              </w:rPr>
            </w:pPr>
            <w:r w:rsidRPr="00092ED7">
              <w:rPr>
                <w:i/>
                <w:iCs/>
                <w:sz w:val="20"/>
                <w:szCs w:val="20"/>
                <w:lang w:val="sr-Cyrl-CS"/>
              </w:rPr>
              <w:t>6,3</w:t>
            </w:r>
          </w:p>
        </w:tc>
      </w:tr>
      <w:tr w:rsidR="00247CBF" w:rsidRPr="00092ED7" w14:paraId="24E71B17" w14:textId="77777777" w:rsidTr="00247CBF">
        <w:trPr>
          <w:gridAfter w:val="3"/>
          <w:wAfter w:w="365" w:type="dxa"/>
          <w:trHeight w:val="255"/>
        </w:trPr>
        <w:tc>
          <w:tcPr>
            <w:tcW w:w="4962" w:type="dxa"/>
            <w:gridSpan w:val="3"/>
            <w:tcBorders>
              <w:top w:val="nil"/>
              <w:left w:val="double" w:sz="6" w:space="0" w:color="auto"/>
              <w:bottom w:val="dashed" w:sz="4" w:space="0" w:color="auto"/>
              <w:right w:val="nil"/>
            </w:tcBorders>
            <w:shd w:val="clear" w:color="auto" w:fill="auto"/>
            <w:hideMark/>
          </w:tcPr>
          <w:p w14:paraId="68BD9F14" w14:textId="77777777" w:rsidR="00247CBF" w:rsidRPr="00092ED7" w:rsidRDefault="00247CBF" w:rsidP="00247CBF">
            <w:pPr>
              <w:spacing w:after="0"/>
              <w:rPr>
                <w:i/>
                <w:iCs/>
                <w:sz w:val="20"/>
                <w:szCs w:val="20"/>
                <w:lang w:val="sr-Cyrl-CS"/>
              </w:rPr>
            </w:pPr>
            <w:r w:rsidRPr="00092ED7">
              <w:rPr>
                <w:i/>
                <w:iCs/>
                <w:sz w:val="20"/>
                <w:szCs w:val="20"/>
                <w:lang w:val="sr-Cyrl-CS"/>
              </w:rPr>
              <w:t>20. Од чега: отплата камата</w:t>
            </w:r>
          </w:p>
        </w:tc>
        <w:tc>
          <w:tcPr>
            <w:tcW w:w="1447" w:type="dxa"/>
            <w:gridSpan w:val="3"/>
            <w:tcBorders>
              <w:top w:val="nil"/>
              <w:left w:val="single" w:sz="8" w:space="0" w:color="auto"/>
              <w:bottom w:val="dashed" w:sz="4" w:space="0" w:color="auto"/>
              <w:right w:val="single" w:sz="8" w:space="0" w:color="auto"/>
            </w:tcBorders>
            <w:shd w:val="clear" w:color="auto" w:fill="auto"/>
            <w:noWrap/>
            <w:vAlign w:val="center"/>
            <w:hideMark/>
          </w:tcPr>
          <w:p w14:paraId="4D8CAE29"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млрд ЕУР</w:t>
            </w:r>
          </w:p>
        </w:tc>
        <w:tc>
          <w:tcPr>
            <w:tcW w:w="1380" w:type="dxa"/>
            <w:gridSpan w:val="3"/>
            <w:tcBorders>
              <w:top w:val="nil"/>
              <w:left w:val="nil"/>
              <w:bottom w:val="dashed" w:sz="4" w:space="0" w:color="auto"/>
              <w:right w:val="dashed" w:sz="4" w:space="0" w:color="auto"/>
            </w:tcBorders>
            <w:shd w:val="clear" w:color="auto" w:fill="auto"/>
            <w:noWrap/>
            <w:vAlign w:val="center"/>
            <w:hideMark/>
          </w:tcPr>
          <w:p w14:paraId="29024A51" w14:textId="77777777" w:rsidR="00247CBF" w:rsidRPr="00092ED7" w:rsidRDefault="00247CBF" w:rsidP="00247CBF">
            <w:pPr>
              <w:spacing w:after="0"/>
              <w:jc w:val="right"/>
              <w:rPr>
                <w:i/>
                <w:iCs/>
                <w:sz w:val="20"/>
                <w:szCs w:val="20"/>
                <w:lang w:val="sr-Cyrl-CS"/>
              </w:rPr>
            </w:pPr>
            <w:r w:rsidRPr="00092ED7">
              <w:rPr>
                <w:i/>
                <w:iCs/>
                <w:sz w:val="20"/>
                <w:szCs w:val="20"/>
                <w:lang w:val="sr-Cyrl-CS"/>
              </w:rPr>
              <w:t>0,6</w:t>
            </w:r>
          </w:p>
        </w:tc>
        <w:tc>
          <w:tcPr>
            <w:tcW w:w="1300" w:type="dxa"/>
            <w:gridSpan w:val="4"/>
            <w:tcBorders>
              <w:top w:val="nil"/>
              <w:left w:val="nil"/>
              <w:bottom w:val="dashed" w:sz="4" w:space="0" w:color="auto"/>
              <w:right w:val="dashed" w:sz="4" w:space="0" w:color="auto"/>
            </w:tcBorders>
            <w:shd w:val="clear" w:color="auto" w:fill="auto"/>
            <w:noWrap/>
            <w:vAlign w:val="center"/>
            <w:hideMark/>
          </w:tcPr>
          <w:p w14:paraId="57E9BCB9" w14:textId="77777777" w:rsidR="00247CBF" w:rsidRPr="00092ED7" w:rsidRDefault="00247CBF" w:rsidP="00247CBF">
            <w:pPr>
              <w:spacing w:after="0"/>
              <w:jc w:val="right"/>
              <w:rPr>
                <w:i/>
                <w:iCs/>
                <w:sz w:val="20"/>
                <w:szCs w:val="20"/>
                <w:lang w:val="sr-Cyrl-CS"/>
              </w:rPr>
            </w:pPr>
            <w:r w:rsidRPr="00092ED7">
              <w:rPr>
                <w:i/>
                <w:iCs/>
                <w:sz w:val="20"/>
                <w:szCs w:val="20"/>
                <w:lang w:val="sr-Cyrl-CS"/>
              </w:rPr>
              <w:t>0,6</w:t>
            </w:r>
          </w:p>
        </w:tc>
        <w:tc>
          <w:tcPr>
            <w:tcW w:w="1360" w:type="dxa"/>
            <w:gridSpan w:val="4"/>
            <w:tcBorders>
              <w:top w:val="nil"/>
              <w:left w:val="nil"/>
              <w:bottom w:val="dashed" w:sz="4" w:space="0" w:color="auto"/>
              <w:right w:val="dashed" w:sz="4" w:space="0" w:color="auto"/>
            </w:tcBorders>
            <w:shd w:val="clear" w:color="auto" w:fill="auto"/>
            <w:noWrap/>
            <w:vAlign w:val="center"/>
            <w:hideMark/>
          </w:tcPr>
          <w:p w14:paraId="3CF9E0FF" w14:textId="77777777" w:rsidR="00247CBF" w:rsidRPr="00092ED7" w:rsidRDefault="00247CBF" w:rsidP="00247CBF">
            <w:pPr>
              <w:spacing w:after="0"/>
              <w:jc w:val="right"/>
              <w:rPr>
                <w:i/>
                <w:iCs/>
                <w:sz w:val="20"/>
                <w:szCs w:val="20"/>
                <w:lang w:val="sr-Cyrl-CS"/>
              </w:rPr>
            </w:pPr>
            <w:r w:rsidRPr="00092ED7">
              <w:rPr>
                <w:i/>
                <w:iCs/>
                <w:sz w:val="20"/>
                <w:szCs w:val="20"/>
                <w:lang w:val="sr-Cyrl-CS"/>
              </w:rPr>
              <w:t>0,6</w:t>
            </w:r>
          </w:p>
        </w:tc>
        <w:tc>
          <w:tcPr>
            <w:tcW w:w="1260" w:type="dxa"/>
            <w:gridSpan w:val="4"/>
            <w:tcBorders>
              <w:top w:val="nil"/>
              <w:left w:val="nil"/>
              <w:bottom w:val="dashed" w:sz="4" w:space="0" w:color="auto"/>
              <w:right w:val="dashed" w:sz="4" w:space="0" w:color="auto"/>
            </w:tcBorders>
            <w:shd w:val="clear" w:color="auto" w:fill="auto"/>
            <w:noWrap/>
            <w:vAlign w:val="center"/>
            <w:hideMark/>
          </w:tcPr>
          <w:p w14:paraId="59395DAB" w14:textId="77777777" w:rsidR="00247CBF" w:rsidRPr="00092ED7" w:rsidRDefault="00247CBF" w:rsidP="00247CBF">
            <w:pPr>
              <w:spacing w:after="0"/>
              <w:jc w:val="right"/>
              <w:rPr>
                <w:i/>
                <w:iCs/>
                <w:sz w:val="20"/>
                <w:szCs w:val="20"/>
                <w:lang w:val="sr-Cyrl-CS"/>
              </w:rPr>
            </w:pPr>
            <w:r w:rsidRPr="00092ED7">
              <w:rPr>
                <w:i/>
                <w:iCs/>
                <w:sz w:val="20"/>
                <w:szCs w:val="20"/>
                <w:lang w:val="sr-Cyrl-CS"/>
              </w:rPr>
              <w:t>0,5</w:t>
            </w:r>
          </w:p>
        </w:tc>
        <w:tc>
          <w:tcPr>
            <w:tcW w:w="1260" w:type="dxa"/>
            <w:gridSpan w:val="3"/>
            <w:tcBorders>
              <w:top w:val="nil"/>
              <w:left w:val="nil"/>
              <w:bottom w:val="dashed" w:sz="4" w:space="0" w:color="auto"/>
              <w:right w:val="dashed" w:sz="4" w:space="0" w:color="auto"/>
            </w:tcBorders>
            <w:shd w:val="clear" w:color="auto" w:fill="auto"/>
            <w:noWrap/>
            <w:vAlign w:val="center"/>
            <w:hideMark/>
          </w:tcPr>
          <w:p w14:paraId="08CB4A75" w14:textId="77777777" w:rsidR="00247CBF" w:rsidRPr="00092ED7" w:rsidRDefault="00247CBF" w:rsidP="00247CBF">
            <w:pPr>
              <w:spacing w:after="0"/>
              <w:jc w:val="right"/>
              <w:rPr>
                <w:i/>
                <w:iCs/>
                <w:sz w:val="20"/>
                <w:szCs w:val="20"/>
                <w:lang w:val="sr-Cyrl-CS"/>
              </w:rPr>
            </w:pPr>
            <w:r w:rsidRPr="00092ED7">
              <w:rPr>
                <w:i/>
                <w:iCs/>
                <w:sz w:val="20"/>
                <w:szCs w:val="20"/>
                <w:lang w:val="sr-Cyrl-CS"/>
              </w:rPr>
              <w:t>0,7</w:t>
            </w:r>
          </w:p>
        </w:tc>
        <w:tc>
          <w:tcPr>
            <w:tcW w:w="1268" w:type="dxa"/>
            <w:gridSpan w:val="3"/>
            <w:tcBorders>
              <w:top w:val="nil"/>
              <w:left w:val="nil"/>
              <w:bottom w:val="dashed" w:sz="4" w:space="0" w:color="auto"/>
              <w:right w:val="double" w:sz="4" w:space="0" w:color="auto"/>
            </w:tcBorders>
            <w:shd w:val="clear" w:color="auto" w:fill="auto"/>
            <w:noWrap/>
            <w:vAlign w:val="center"/>
            <w:hideMark/>
          </w:tcPr>
          <w:p w14:paraId="79F41C1A" w14:textId="77777777" w:rsidR="00247CBF" w:rsidRPr="00092ED7" w:rsidRDefault="00247CBF" w:rsidP="00247CBF">
            <w:pPr>
              <w:spacing w:after="0"/>
              <w:jc w:val="right"/>
              <w:rPr>
                <w:i/>
                <w:iCs/>
                <w:sz w:val="20"/>
                <w:szCs w:val="20"/>
                <w:lang w:val="sr-Cyrl-CS"/>
              </w:rPr>
            </w:pPr>
            <w:r w:rsidRPr="00092ED7">
              <w:rPr>
                <w:i/>
                <w:iCs/>
                <w:sz w:val="20"/>
                <w:szCs w:val="20"/>
                <w:lang w:val="sr-Cyrl-CS"/>
              </w:rPr>
              <w:t>0,8</w:t>
            </w:r>
          </w:p>
        </w:tc>
      </w:tr>
      <w:tr w:rsidR="00247CBF" w:rsidRPr="00092ED7" w14:paraId="25DBBB2C" w14:textId="77777777" w:rsidTr="00247CBF">
        <w:trPr>
          <w:gridAfter w:val="3"/>
          <w:wAfter w:w="365" w:type="dxa"/>
          <w:trHeight w:val="255"/>
        </w:trPr>
        <w:tc>
          <w:tcPr>
            <w:tcW w:w="4962" w:type="dxa"/>
            <w:gridSpan w:val="3"/>
            <w:tcBorders>
              <w:top w:val="nil"/>
              <w:left w:val="double" w:sz="6" w:space="0" w:color="auto"/>
              <w:bottom w:val="single" w:sz="4" w:space="0" w:color="auto"/>
              <w:right w:val="nil"/>
            </w:tcBorders>
            <w:shd w:val="clear" w:color="auto" w:fill="auto"/>
            <w:hideMark/>
          </w:tcPr>
          <w:p w14:paraId="51070EC1" w14:textId="77777777" w:rsidR="00247CBF" w:rsidRPr="00092ED7" w:rsidRDefault="00247CBF" w:rsidP="00247CBF">
            <w:pPr>
              <w:spacing w:after="0"/>
              <w:rPr>
                <w:i/>
                <w:iCs/>
                <w:sz w:val="20"/>
                <w:szCs w:val="20"/>
                <w:lang w:val="sr-Cyrl-CS"/>
              </w:rPr>
            </w:pPr>
            <w:r w:rsidRPr="00092ED7">
              <w:rPr>
                <w:i/>
                <w:iCs/>
                <w:sz w:val="20"/>
                <w:szCs w:val="20"/>
                <w:lang w:val="sr-Cyrl-CS"/>
              </w:rPr>
              <w:t>21. Од чега: доспело за отплату</w:t>
            </w:r>
          </w:p>
        </w:tc>
        <w:tc>
          <w:tcPr>
            <w:tcW w:w="1447" w:type="dxa"/>
            <w:gridSpan w:val="3"/>
            <w:tcBorders>
              <w:top w:val="nil"/>
              <w:left w:val="single" w:sz="8" w:space="0" w:color="auto"/>
              <w:bottom w:val="single" w:sz="4" w:space="0" w:color="auto"/>
              <w:right w:val="single" w:sz="8" w:space="0" w:color="auto"/>
            </w:tcBorders>
            <w:shd w:val="clear" w:color="auto" w:fill="auto"/>
            <w:noWrap/>
            <w:vAlign w:val="center"/>
            <w:hideMark/>
          </w:tcPr>
          <w:p w14:paraId="16CDF44F"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млрд ЕУР</w:t>
            </w:r>
          </w:p>
        </w:tc>
        <w:tc>
          <w:tcPr>
            <w:tcW w:w="1380" w:type="dxa"/>
            <w:gridSpan w:val="3"/>
            <w:tcBorders>
              <w:top w:val="nil"/>
              <w:left w:val="nil"/>
              <w:bottom w:val="single" w:sz="4" w:space="0" w:color="auto"/>
              <w:right w:val="dashed" w:sz="4" w:space="0" w:color="auto"/>
            </w:tcBorders>
            <w:shd w:val="clear" w:color="auto" w:fill="auto"/>
            <w:noWrap/>
            <w:vAlign w:val="center"/>
            <w:hideMark/>
          </w:tcPr>
          <w:p w14:paraId="76222747" w14:textId="77777777" w:rsidR="00247CBF" w:rsidRPr="00092ED7" w:rsidRDefault="00247CBF" w:rsidP="00247CBF">
            <w:pPr>
              <w:spacing w:after="0"/>
              <w:jc w:val="right"/>
              <w:rPr>
                <w:i/>
                <w:iCs/>
                <w:sz w:val="20"/>
                <w:szCs w:val="20"/>
                <w:lang w:val="sr-Cyrl-CS"/>
              </w:rPr>
            </w:pPr>
            <w:r w:rsidRPr="00092ED7">
              <w:rPr>
                <w:i/>
                <w:iCs/>
                <w:sz w:val="20"/>
                <w:szCs w:val="20"/>
                <w:lang w:val="sr-Cyrl-CS"/>
              </w:rPr>
              <w:t>4,5</w:t>
            </w:r>
          </w:p>
        </w:tc>
        <w:tc>
          <w:tcPr>
            <w:tcW w:w="1300" w:type="dxa"/>
            <w:gridSpan w:val="4"/>
            <w:tcBorders>
              <w:top w:val="nil"/>
              <w:left w:val="nil"/>
              <w:bottom w:val="single" w:sz="4" w:space="0" w:color="auto"/>
              <w:right w:val="dashed" w:sz="4" w:space="0" w:color="auto"/>
            </w:tcBorders>
            <w:shd w:val="clear" w:color="auto" w:fill="auto"/>
            <w:noWrap/>
            <w:vAlign w:val="center"/>
            <w:hideMark/>
          </w:tcPr>
          <w:p w14:paraId="1749D1EC" w14:textId="77777777" w:rsidR="00247CBF" w:rsidRPr="00092ED7" w:rsidRDefault="00247CBF" w:rsidP="00247CBF">
            <w:pPr>
              <w:spacing w:after="0"/>
              <w:jc w:val="right"/>
              <w:rPr>
                <w:i/>
                <w:iCs/>
                <w:sz w:val="20"/>
                <w:szCs w:val="20"/>
                <w:lang w:val="sr-Cyrl-CS"/>
              </w:rPr>
            </w:pPr>
            <w:r w:rsidRPr="00092ED7">
              <w:rPr>
                <w:i/>
                <w:iCs/>
                <w:sz w:val="20"/>
                <w:szCs w:val="20"/>
                <w:lang w:val="sr-Cyrl-CS"/>
              </w:rPr>
              <w:t>4,3</w:t>
            </w:r>
          </w:p>
        </w:tc>
        <w:tc>
          <w:tcPr>
            <w:tcW w:w="1360" w:type="dxa"/>
            <w:gridSpan w:val="4"/>
            <w:tcBorders>
              <w:top w:val="nil"/>
              <w:left w:val="nil"/>
              <w:bottom w:val="single" w:sz="4" w:space="0" w:color="auto"/>
              <w:right w:val="dashed" w:sz="4" w:space="0" w:color="auto"/>
            </w:tcBorders>
            <w:shd w:val="clear" w:color="auto" w:fill="auto"/>
            <w:noWrap/>
            <w:vAlign w:val="center"/>
            <w:hideMark/>
          </w:tcPr>
          <w:p w14:paraId="0606F96B" w14:textId="77777777" w:rsidR="00247CBF" w:rsidRPr="00092ED7" w:rsidRDefault="00247CBF" w:rsidP="00247CBF">
            <w:pPr>
              <w:spacing w:after="0"/>
              <w:jc w:val="right"/>
              <w:rPr>
                <w:i/>
                <w:iCs/>
                <w:sz w:val="20"/>
                <w:szCs w:val="20"/>
                <w:lang w:val="sr-Cyrl-CS"/>
              </w:rPr>
            </w:pPr>
            <w:r w:rsidRPr="00092ED7">
              <w:rPr>
                <w:i/>
                <w:iCs/>
                <w:sz w:val="20"/>
                <w:szCs w:val="20"/>
                <w:lang w:val="sr-Cyrl-CS"/>
              </w:rPr>
              <w:t>4,8</w:t>
            </w:r>
          </w:p>
        </w:tc>
        <w:tc>
          <w:tcPr>
            <w:tcW w:w="1260" w:type="dxa"/>
            <w:gridSpan w:val="4"/>
            <w:tcBorders>
              <w:top w:val="nil"/>
              <w:left w:val="nil"/>
              <w:bottom w:val="single" w:sz="4" w:space="0" w:color="auto"/>
              <w:right w:val="dashed" w:sz="4" w:space="0" w:color="auto"/>
            </w:tcBorders>
            <w:shd w:val="clear" w:color="auto" w:fill="auto"/>
            <w:noWrap/>
            <w:vAlign w:val="center"/>
            <w:hideMark/>
          </w:tcPr>
          <w:p w14:paraId="549B3791" w14:textId="77777777" w:rsidR="00247CBF" w:rsidRPr="00092ED7" w:rsidRDefault="00247CBF" w:rsidP="00247CBF">
            <w:pPr>
              <w:spacing w:after="0"/>
              <w:jc w:val="right"/>
              <w:rPr>
                <w:i/>
                <w:iCs/>
                <w:sz w:val="20"/>
                <w:szCs w:val="20"/>
                <w:lang w:val="sr-Cyrl-CS"/>
              </w:rPr>
            </w:pPr>
            <w:r w:rsidRPr="00092ED7">
              <w:rPr>
                <w:i/>
                <w:iCs/>
                <w:sz w:val="20"/>
                <w:szCs w:val="20"/>
                <w:lang w:val="sr-Cyrl-CS"/>
              </w:rPr>
              <w:t>4,7</w:t>
            </w:r>
          </w:p>
        </w:tc>
        <w:tc>
          <w:tcPr>
            <w:tcW w:w="1260" w:type="dxa"/>
            <w:gridSpan w:val="3"/>
            <w:tcBorders>
              <w:top w:val="nil"/>
              <w:left w:val="nil"/>
              <w:bottom w:val="single" w:sz="4" w:space="0" w:color="auto"/>
              <w:right w:val="dashed" w:sz="4" w:space="0" w:color="auto"/>
            </w:tcBorders>
            <w:shd w:val="clear" w:color="auto" w:fill="auto"/>
            <w:noWrap/>
            <w:vAlign w:val="center"/>
            <w:hideMark/>
          </w:tcPr>
          <w:p w14:paraId="61AF8A45" w14:textId="77777777" w:rsidR="00247CBF" w:rsidRPr="00092ED7" w:rsidRDefault="00247CBF" w:rsidP="00247CBF">
            <w:pPr>
              <w:spacing w:after="0"/>
              <w:jc w:val="right"/>
              <w:rPr>
                <w:i/>
                <w:iCs/>
                <w:sz w:val="20"/>
                <w:szCs w:val="20"/>
                <w:lang w:val="sr-Cyrl-CS"/>
              </w:rPr>
            </w:pPr>
            <w:r w:rsidRPr="00092ED7">
              <w:rPr>
                <w:i/>
                <w:iCs/>
                <w:sz w:val="20"/>
                <w:szCs w:val="20"/>
                <w:lang w:val="sr-Cyrl-CS"/>
              </w:rPr>
              <w:t>5,5</w:t>
            </w:r>
          </w:p>
        </w:tc>
        <w:tc>
          <w:tcPr>
            <w:tcW w:w="1268" w:type="dxa"/>
            <w:gridSpan w:val="3"/>
            <w:tcBorders>
              <w:top w:val="nil"/>
              <w:left w:val="nil"/>
              <w:bottom w:val="single" w:sz="4" w:space="0" w:color="auto"/>
              <w:right w:val="double" w:sz="4" w:space="0" w:color="auto"/>
            </w:tcBorders>
            <w:shd w:val="clear" w:color="auto" w:fill="auto"/>
            <w:noWrap/>
            <w:vAlign w:val="center"/>
            <w:hideMark/>
          </w:tcPr>
          <w:p w14:paraId="265855AE" w14:textId="77777777" w:rsidR="00247CBF" w:rsidRPr="00092ED7" w:rsidRDefault="00247CBF" w:rsidP="00247CBF">
            <w:pPr>
              <w:spacing w:after="0"/>
              <w:jc w:val="right"/>
              <w:rPr>
                <w:i/>
                <w:iCs/>
                <w:sz w:val="20"/>
                <w:szCs w:val="20"/>
                <w:lang w:val="sr-Cyrl-CS"/>
              </w:rPr>
            </w:pPr>
            <w:r w:rsidRPr="00092ED7">
              <w:rPr>
                <w:i/>
                <w:iCs/>
                <w:sz w:val="20"/>
                <w:szCs w:val="20"/>
                <w:lang w:val="sr-Cyrl-CS"/>
              </w:rPr>
              <w:t>4,8</w:t>
            </w:r>
          </w:p>
        </w:tc>
      </w:tr>
      <w:tr w:rsidR="00247CBF" w:rsidRPr="00092ED7" w14:paraId="281C7194" w14:textId="77777777" w:rsidTr="00247CBF">
        <w:trPr>
          <w:gridAfter w:val="3"/>
          <w:wAfter w:w="365" w:type="dxa"/>
          <w:trHeight w:val="255"/>
        </w:trPr>
        <w:tc>
          <w:tcPr>
            <w:tcW w:w="4962" w:type="dxa"/>
            <w:gridSpan w:val="3"/>
            <w:tcBorders>
              <w:top w:val="single" w:sz="4" w:space="0" w:color="auto"/>
              <w:left w:val="double" w:sz="6" w:space="0" w:color="auto"/>
              <w:bottom w:val="dashed" w:sz="4" w:space="0" w:color="auto"/>
              <w:right w:val="nil"/>
            </w:tcBorders>
            <w:shd w:val="clear" w:color="auto" w:fill="auto"/>
            <w:hideMark/>
          </w:tcPr>
          <w:p w14:paraId="79A83AFB" w14:textId="77777777" w:rsidR="00247CBF" w:rsidRPr="00092ED7" w:rsidRDefault="00247CBF" w:rsidP="00247CBF">
            <w:pPr>
              <w:spacing w:after="0"/>
              <w:jc w:val="left"/>
              <w:rPr>
                <w:sz w:val="20"/>
                <w:szCs w:val="20"/>
                <w:lang w:val="sr-Cyrl-CS"/>
              </w:rPr>
            </w:pPr>
            <w:r w:rsidRPr="00092ED7">
              <w:rPr>
                <w:sz w:val="20"/>
                <w:szCs w:val="20"/>
                <w:lang w:val="sr-Cyrl-CS"/>
              </w:rPr>
              <w:t>22. Нето страна штедња</w:t>
            </w:r>
          </w:p>
        </w:tc>
        <w:tc>
          <w:tcPr>
            <w:tcW w:w="1447" w:type="dxa"/>
            <w:gridSpan w:val="3"/>
            <w:tcBorders>
              <w:top w:val="single" w:sz="4" w:space="0" w:color="auto"/>
              <w:left w:val="single" w:sz="8" w:space="0" w:color="auto"/>
              <w:bottom w:val="dashed" w:sz="4" w:space="0" w:color="auto"/>
              <w:right w:val="single" w:sz="8" w:space="0" w:color="auto"/>
            </w:tcBorders>
            <w:shd w:val="clear" w:color="auto" w:fill="auto"/>
            <w:noWrap/>
            <w:vAlign w:val="center"/>
            <w:hideMark/>
          </w:tcPr>
          <w:p w14:paraId="45EBB1A2"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млрд ЕУР</w:t>
            </w:r>
          </w:p>
        </w:tc>
        <w:tc>
          <w:tcPr>
            <w:tcW w:w="1380" w:type="dxa"/>
            <w:gridSpan w:val="3"/>
            <w:tcBorders>
              <w:top w:val="single" w:sz="4" w:space="0" w:color="auto"/>
              <w:left w:val="nil"/>
              <w:bottom w:val="dashed" w:sz="4" w:space="0" w:color="auto"/>
              <w:right w:val="dashed" w:sz="4" w:space="0" w:color="auto"/>
            </w:tcBorders>
            <w:shd w:val="clear" w:color="auto" w:fill="auto"/>
            <w:noWrap/>
            <w:vAlign w:val="center"/>
            <w:hideMark/>
          </w:tcPr>
          <w:p w14:paraId="7E0A76D4"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300" w:type="dxa"/>
            <w:gridSpan w:val="4"/>
            <w:tcBorders>
              <w:top w:val="single" w:sz="4" w:space="0" w:color="auto"/>
              <w:left w:val="nil"/>
              <w:bottom w:val="dashed" w:sz="4" w:space="0" w:color="auto"/>
              <w:right w:val="dashed" w:sz="4" w:space="0" w:color="auto"/>
            </w:tcBorders>
            <w:shd w:val="clear" w:color="auto" w:fill="auto"/>
            <w:noWrap/>
            <w:vAlign w:val="center"/>
            <w:hideMark/>
          </w:tcPr>
          <w:p w14:paraId="727DA131"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360" w:type="dxa"/>
            <w:gridSpan w:val="4"/>
            <w:tcBorders>
              <w:top w:val="single" w:sz="4" w:space="0" w:color="auto"/>
              <w:left w:val="nil"/>
              <w:bottom w:val="dashed" w:sz="4" w:space="0" w:color="auto"/>
              <w:right w:val="dashed" w:sz="4" w:space="0" w:color="auto"/>
            </w:tcBorders>
            <w:shd w:val="clear" w:color="auto" w:fill="auto"/>
            <w:noWrap/>
            <w:vAlign w:val="center"/>
            <w:hideMark/>
          </w:tcPr>
          <w:p w14:paraId="589DD082"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260" w:type="dxa"/>
            <w:gridSpan w:val="4"/>
            <w:tcBorders>
              <w:top w:val="single" w:sz="4" w:space="0" w:color="auto"/>
              <w:left w:val="nil"/>
              <w:bottom w:val="dashed" w:sz="4" w:space="0" w:color="auto"/>
              <w:right w:val="dashed" w:sz="4" w:space="0" w:color="auto"/>
            </w:tcBorders>
            <w:shd w:val="clear" w:color="auto" w:fill="auto"/>
            <w:noWrap/>
            <w:vAlign w:val="center"/>
            <w:hideMark/>
          </w:tcPr>
          <w:p w14:paraId="3954E0DF"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260" w:type="dxa"/>
            <w:gridSpan w:val="3"/>
            <w:tcBorders>
              <w:top w:val="single" w:sz="4" w:space="0" w:color="auto"/>
              <w:left w:val="nil"/>
              <w:bottom w:val="dashed" w:sz="4" w:space="0" w:color="auto"/>
              <w:right w:val="dashed" w:sz="4" w:space="0" w:color="auto"/>
            </w:tcBorders>
            <w:shd w:val="clear" w:color="auto" w:fill="auto"/>
            <w:noWrap/>
            <w:vAlign w:val="center"/>
            <w:hideMark/>
          </w:tcPr>
          <w:p w14:paraId="08439618"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268" w:type="dxa"/>
            <w:gridSpan w:val="3"/>
            <w:tcBorders>
              <w:top w:val="single" w:sz="4" w:space="0" w:color="auto"/>
              <w:left w:val="nil"/>
              <w:bottom w:val="dashed" w:sz="4" w:space="0" w:color="auto"/>
              <w:right w:val="double" w:sz="4" w:space="0" w:color="auto"/>
            </w:tcBorders>
            <w:shd w:val="clear" w:color="auto" w:fill="auto"/>
            <w:noWrap/>
            <w:vAlign w:val="center"/>
            <w:hideMark/>
          </w:tcPr>
          <w:p w14:paraId="23E1CA59" w14:textId="77777777" w:rsidR="00247CBF" w:rsidRPr="00092ED7" w:rsidRDefault="00247CBF" w:rsidP="00247CBF">
            <w:pPr>
              <w:spacing w:after="0"/>
              <w:jc w:val="right"/>
              <w:rPr>
                <w:sz w:val="20"/>
                <w:szCs w:val="20"/>
                <w:lang w:val="sr-Cyrl-CS"/>
              </w:rPr>
            </w:pPr>
            <w:r w:rsidRPr="00092ED7">
              <w:rPr>
                <w:sz w:val="20"/>
                <w:szCs w:val="20"/>
                <w:lang w:val="sr-Cyrl-CS"/>
              </w:rPr>
              <w:t> </w:t>
            </w:r>
          </w:p>
        </w:tc>
      </w:tr>
      <w:tr w:rsidR="00247CBF" w:rsidRPr="00092ED7" w14:paraId="37F00E28" w14:textId="77777777" w:rsidTr="00247CBF">
        <w:trPr>
          <w:gridAfter w:val="3"/>
          <w:wAfter w:w="365" w:type="dxa"/>
          <w:trHeight w:val="255"/>
        </w:trPr>
        <w:tc>
          <w:tcPr>
            <w:tcW w:w="4962" w:type="dxa"/>
            <w:gridSpan w:val="3"/>
            <w:tcBorders>
              <w:top w:val="nil"/>
              <w:left w:val="double" w:sz="6" w:space="0" w:color="auto"/>
              <w:bottom w:val="dashed" w:sz="4" w:space="0" w:color="auto"/>
              <w:right w:val="nil"/>
            </w:tcBorders>
            <w:shd w:val="clear" w:color="auto" w:fill="auto"/>
            <w:hideMark/>
          </w:tcPr>
          <w:p w14:paraId="663E0BE9" w14:textId="77777777" w:rsidR="00247CBF" w:rsidRPr="00092ED7" w:rsidRDefault="00247CBF" w:rsidP="00247CBF">
            <w:pPr>
              <w:spacing w:after="0"/>
              <w:rPr>
                <w:sz w:val="20"/>
                <w:szCs w:val="20"/>
                <w:lang w:val="sr-Cyrl-CS"/>
              </w:rPr>
            </w:pPr>
            <w:r w:rsidRPr="00092ED7">
              <w:rPr>
                <w:sz w:val="20"/>
                <w:szCs w:val="20"/>
                <w:lang w:val="sr-Cyrl-CS"/>
              </w:rPr>
              <w:t>23. Домаћа приватна штедња</w:t>
            </w:r>
          </w:p>
        </w:tc>
        <w:tc>
          <w:tcPr>
            <w:tcW w:w="1447" w:type="dxa"/>
            <w:gridSpan w:val="3"/>
            <w:tcBorders>
              <w:top w:val="nil"/>
              <w:left w:val="single" w:sz="8" w:space="0" w:color="auto"/>
              <w:bottom w:val="dashed" w:sz="4" w:space="0" w:color="auto"/>
              <w:right w:val="single" w:sz="8" w:space="0" w:color="auto"/>
            </w:tcBorders>
            <w:shd w:val="clear" w:color="auto" w:fill="auto"/>
            <w:noWrap/>
            <w:vAlign w:val="center"/>
            <w:hideMark/>
          </w:tcPr>
          <w:p w14:paraId="755BDEFB"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млрд ЕУР</w:t>
            </w:r>
          </w:p>
        </w:tc>
        <w:tc>
          <w:tcPr>
            <w:tcW w:w="1380" w:type="dxa"/>
            <w:gridSpan w:val="3"/>
            <w:tcBorders>
              <w:top w:val="nil"/>
              <w:left w:val="nil"/>
              <w:bottom w:val="dashed" w:sz="4" w:space="0" w:color="auto"/>
              <w:right w:val="dashed" w:sz="4" w:space="0" w:color="auto"/>
            </w:tcBorders>
            <w:shd w:val="clear" w:color="auto" w:fill="auto"/>
            <w:noWrap/>
            <w:vAlign w:val="center"/>
            <w:hideMark/>
          </w:tcPr>
          <w:p w14:paraId="60862E41"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300" w:type="dxa"/>
            <w:gridSpan w:val="4"/>
            <w:tcBorders>
              <w:top w:val="nil"/>
              <w:left w:val="nil"/>
              <w:bottom w:val="dashed" w:sz="4" w:space="0" w:color="auto"/>
              <w:right w:val="dashed" w:sz="4" w:space="0" w:color="auto"/>
            </w:tcBorders>
            <w:shd w:val="clear" w:color="auto" w:fill="auto"/>
            <w:noWrap/>
            <w:vAlign w:val="center"/>
            <w:hideMark/>
          </w:tcPr>
          <w:p w14:paraId="16A9632F"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360" w:type="dxa"/>
            <w:gridSpan w:val="4"/>
            <w:tcBorders>
              <w:top w:val="nil"/>
              <w:left w:val="nil"/>
              <w:bottom w:val="dashed" w:sz="4" w:space="0" w:color="auto"/>
              <w:right w:val="dashed" w:sz="4" w:space="0" w:color="auto"/>
            </w:tcBorders>
            <w:shd w:val="clear" w:color="auto" w:fill="auto"/>
            <w:noWrap/>
            <w:vAlign w:val="center"/>
            <w:hideMark/>
          </w:tcPr>
          <w:p w14:paraId="7B4EC74E"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260" w:type="dxa"/>
            <w:gridSpan w:val="4"/>
            <w:tcBorders>
              <w:top w:val="nil"/>
              <w:left w:val="nil"/>
              <w:bottom w:val="dashed" w:sz="4" w:space="0" w:color="auto"/>
              <w:right w:val="dashed" w:sz="4" w:space="0" w:color="auto"/>
            </w:tcBorders>
            <w:shd w:val="clear" w:color="auto" w:fill="auto"/>
            <w:noWrap/>
            <w:vAlign w:val="center"/>
            <w:hideMark/>
          </w:tcPr>
          <w:p w14:paraId="1840F53F"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260" w:type="dxa"/>
            <w:gridSpan w:val="3"/>
            <w:tcBorders>
              <w:top w:val="nil"/>
              <w:left w:val="nil"/>
              <w:bottom w:val="dashed" w:sz="4" w:space="0" w:color="auto"/>
              <w:right w:val="dashed" w:sz="4" w:space="0" w:color="auto"/>
            </w:tcBorders>
            <w:shd w:val="clear" w:color="auto" w:fill="auto"/>
            <w:noWrap/>
            <w:vAlign w:val="center"/>
            <w:hideMark/>
          </w:tcPr>
          <w:p w14:paraId="0F0D39BF"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268" w:type="dxa"/>
            <w:gridSpan w:val="3"/>
            <w:tcBorders>
              <w:top w:val="nil"/>
              <w:left w:val="nil"/>
              <w:bottom w:val="dashed" w:sz="4" w:space="0" w:color="auto"/>
              <w:right w:val="double" w:sz="4" w:space="0" w:color="auto"/>
            </w:tcBorders>
            <w:shd w:val="clear" w:color="auto" w:fill="auto"/>
            <w:noWrap/>
            <w:vAlign w:val="center"/>
            <w:hideMark/>
          </w:tcPr>
          <w:p w14:paraId="096D0F49" w14:textId="77777777" w:rsidR="00247CBF" w:rsidRPr="00092ED7" w:rsidRDefault="00247CBF" w:rsidP="00247CBF">
            <w:pPr>
              <w:spacing w:after="0"/>
              <w:jc w:val="right"/>
              <w:rPr>
                <w:sz w:val="20"/>
                <w:szCs w:val="20"/>
                <w:lang w:val="sr-Cyrl-CS"/>
              </w:rPr>
            </w:pPr>
            <w:r w:rsidRPr="00092ED7">
              <w:rPr>
                <w:sz w:val="20"/>
                <w:szCs w:val="20"/>
                <w:lang w:val="sr-Cyrl-CS"/>
              </w:rPr>
              <w:t> </w:t>
            </w:r>
          </w:p>
        </w:tc>
      </w:tr>
      <w:tr w:rsidR="00247CBF" w:rsidRPr="00092ED7" w14:paraId="762C20FA" w14:textId="77777777" w:rsidTr="00247CBF">
        <w:trPr>
          <w:gridAfter w:val="3"/>
          <w:wAfter w:w="365" w:type="dxa"/>
          <w:trHeight w:val="255"/>
        </w:trPr>
        <w:tc>
          <w:tcPr>
            <w:tcW w:w="4962" w:type="dxa"/>
            <w:gridSpan w:val="3"/>
            <w:tcBorders>
              <w:top w:val="nil"/>
              <w:left w:val="double" w:sz="6" w:space="0" w:color="auto"/>
              <w:bottom w:val="dashed" w:sz="4" w:space="0" w:color="auto"/>
              <w:right w:val="nil"/>
            </w:tcBorders>
            <w:shd w:val="clear" w:color="auto" w:fill="auto"/>
            <w:hideMark/>
          </w:tcPr>
          <w:p w14:paraId="0F5BD593" w14:textId="77777777" w:rsidR="00247CBF" w:rsidRPr="00092ED7" w:rsidRDefault="00247CBF" w:rsidP="00247CBF">
            <w:pPr>
              <w:spacing w:after="0"/>
              <w:rPr>
                <w:sz w:val="20"/>
                <w:szCs w:val="20"/>
                <w:lang w:val="sr-Cyrl-CS"/>
              </w:rPr>
            </w:pPr>
            <w:r w:rsidRPr="00092ED7">
              <w:rPr>
                <w:sz w:val="20"/>
                <w:szCs w:val="20"/>
                <w:lang w:val="sr-Cyrl-CS"/>
              </w:rPr>
              <w:t xml:space="preserve">24. Домаће приватне инвестиције </w:t>
            </w:r>
          </w:p>
        </w:tc>
        <w:tc>
          <w:tcPr>
            <w:tcW w:w="1447" w:type="dxa"/>
            <w:gridSpan w:val="3"/>
            <w:tcBorders>
              <w:top w:val="nil"/>
              <w:left w:val="single" w:sz="8" w:space="0" w:color="auto"/>
              <w:bottom w:val="dashed" w:sz="4" w:space="0" w:color="auto"/>
              <w:right w:val="single" w:sz="8" w:space="0" w:color="auto"/>
            </w:tcBorders>
            <w:shd w:val="clear" w:color="auto" w:fill="auto"/>
            <w:noWrap/>
            <w:vAlign w:val="center"/>
            <w:hideMark/>
          </w:tcPr>
          <w:p w14:paraId="511D0EFD"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млрд ЕУР</w:t>
            </w:r>
          </w:p>
        </w:tc>
        <w:tc>
          <w:tcPr>
            <w:tcW w:w="1380" w:type="dxa"/>
            <w:gridSpan w:val="3"/>
            <w:tcBorders>
              <w:top w:val="nil"/>
              <w:left w:val="nil"/>
              <w:bottom w:val="dashed" w:sz="4" w:space="0" w:color="auto"/>
              <w:right w:val="dashed" w:sz="4" w:space="0" w:color="auto"/>
            </w:tcBorders>
            <w:shd w:val="clear" w:color="auto" w:fill="auto"/>
            <w:noWrap/>
            <w:vAlign w:val="center"/>
            <w:hideMark/>
          </w:tcPr>
          <w:p w14:paraId="62D4EEA7"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300" w:type="dxa"/>
            <w:gridSpan w:val="4"/>
            <w:tcBorders>
              <w:top w:val="nil"/>
              <w:left w:val="nil"/>
              <w:bottom w:val="dashed" w:sz="4" w:space="0" w:color="auto"/>
              <w:right w:val="dashed" w:sz="4" w:space="0" w:color="auto"/>
            </w:tcBorders>
            <w:shd w:val="clear" w:color="auto" w:fill="auto"/>
            <w:noWrap/>
            <w:vAlign w:val="center"/>
            <w:hideMark/>
          </w:tcPr>
          <w:p w14:paraId="1DD46858"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360" w:type="dxa"/>
            <w:gridSpan w:val="4"/>
            <w:tcBorders>
              <w:top w:val="nil"/>
              <w:left w:val="nil"/>
              <w:bottom w:val="dashed" w:sz="4" w:space="0" w:color="auto"/>
              <w:right w:val="dashed" w:sz="4" w:space="0" w:color="auto"/>
            </w:tcBorders>
            <w:shd w:val="clear" w:color="auto" w:fill="auto"/>
            <w:noWrap/>
            <w:vAlign w:val="center"/>
            <w:hideMark/>
          </w:tcPr>
          <w:p w14:paraId="78B3AC1E"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260" w:type="dxa"/>
            <w:gridSpan w:val="4"/>
            <w:tcBorders>
              <w:top w:val="nil"/>
              <w:left w:val="nil"/>
              <w:bottom w:val="dashed" w:sz="4" w:space="0" w:color="auto"/>
              <w:right w:val="dashed" w:sz="4" w:space="0" w:color="auto"/>
            </w:tcBorders>
            <w:shd w:val="clear" w:color="auto" w:fill="auto"/>
            <w:noWrap/>
            <w:vAlign w:val="center"/>
            <w:hideMark/>
          </w:tcPr>
          <w:p w14:paraId="1FDEE4ED"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260" w:type="dxa"/>
            <w:gridSpan w:val="3"/>
            <w:tcBorders>
              <w:top w:val="nil"/>
              <w:left w:val="nil"/>
              <w:bottom w:val="dashed" w:sz="4" w:space="0" w:color="auto"/>
              <w:right w:val="dashed" w:sz="4" w:space="0" w:color="auto"/>
            </w:tcBorders>
            <w:shd w:val="clear" w:color="auto" w:fill="auto"/>
            <w:noWrap/>
            <w:vAlign w:val="center"/>
            <w:hideMark/>
          </w:tcPr>
          <w:p w14:paraId="45010C79"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268" w:type="dxa"/>
            <w:gridSpan w:val="3"/>
            <w:tcBorders>
              <w:top w:val="nil"/>
              <w:left w:val="nil"/>
              <w:bottom w:val="dashed" w:sz="4" w:space="0" w:color="auto"/>
              <w:right w:val="double" w:sz="4" w:space="0" w:color="auto"/>
            </w:tcBorders>
            <w:shd w:val="clear" w:color="auto" w:fill="auto"/>
            <w:noWrap/>
            <w:vAlign w:val="center"/>
            <w:hideMark/>
          </w:tcPr>
          <w:p w14:paraId="54485685" w14:textId="77777777" w:rsidR="00247CBF" w:rsidRPr="00092ED7" w:rsidRDefault="00247CBF" w:rsidP="00247CBF">
            <w:pPr>
              <w:spacing w:after="0"/>
              <w:jc w:val="right"/>
              <w:rPr>
                <w:sz w:val="20"/>
                <w:szCs w:val="20"/>
                <w:lang w:val="sr-Cyrl-CS"/>
              </w:rPr>
            </w:pPr>
            <w:r w:rsidRPr="00092ED7">
              <w:rPr>
                <w:sz w:val="20"/>
                <w:szCs w:val="20"/>
                <w:lang w:val="sr-Cyrl-CS"/>
              </w:rPr>
              <w:t> </w:t>
            </w:r>
          </w:p>
        </w:tc>
      </w:tr>
      <w:tr w:rsidR="00247CBF" w:rsidRPr="00092ED7" w14:paraId="745D0867" w14:textId="77777777" w:rsidTr="00247CBF">
        <w:trPr>
          <w:gridAfter w:val="3"/>
          <w:wAfter w:w="365" w:type="dxa"/>
          <w:trHeight w:val="255"/>
        </w:trPr>
        <w:tc>
          <w:tcPr>
            <w:tcW w:w="4962" w:type="dxa"/>
            <w:gridSpan w:val="3"/>
            <w:tcBorders>
              <w:top w:val="nil"/>
              <w:left w:val="double" w:sz="6" w:space="0" w:color="auto"/>
              <w:bottom w:val="dashed" w:sz="4" w:space="0" w:color="auto"/>
              <w:right w:val="nil"/>
            </w:tcBorders>
            <w:shd w:val="clear" w:color="auto" w:fill="auto"/>
            <w:hideMark/>
          </w:tcPr>
          <w:p w14:paraId="15FA0FE8" w14:textId="77777777" w:rsidR="00247CBF" w:rsidRPr="00092ED7" w:rsidRDefault="00247CBF" w:rsidP="00247CBF">
            <w:pPr>
              <w:spacing w:after="0"/>
              <w:rPr>
                <w:sz w:val="20"/>
                <w:szCs w:val="20"/>
                <w:lang w:val="sr-Cyrl-CS"/>
              </w:rPr>
            </w:pPr>
            <w:r w:rsidRPr="00092ED7">
              <w:rPr>
                <w:sz w:val="20"/>
                <w:szCs w:val="20"/>
                <w:lang w:val="sr-Cyrl-CS"/>
              </w:rPr>
              <w:t>25. Домаћа јавна штедња</w:t>
            </w:r>
          </w:p>
        </w:tc>
        <w:tc>
          <w:tcPr>
            <w:tcW w:w="1447" w:type="dxa"/>
            <w:gridSpan w:val="3"/>
            <w:tcBorders>
              <w:top w:val="nil"/>
              <w:left w:val="single" w:sz="8" w:space="0" w:color="auto"/>
              <w:bottom w:val="dashed" w:sz="4" w:space="0" w:color="auto"/>
              <w:right w:val="single" w:sz="8" w:space="0" w:color="auto"/>
            </w:tcBorders>
            <w:shd w:val="clear" w:color="auto" w:fill="auto"/>
            <w:noWrap/>
            <w:vAlign w:val="center"/>
            <w:hideMark/>
          </w:tcPr>
          <w:p w14:paraId="3540FF23"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млрд ЕУР</w:t>
            </w:r>
          </w:p>
        </w:tc>
        <w:tc>
          <w:tcPr>
            <w:tcW w:w="1380" w:type="dxa"/>
            <w:gridSpan w:val="3"/>
            <w:tcBorders>
              <w:top w:val="nil"/>
              <w:left w:val="nil"/>
              <w:bottom w:val="dashed" w:sz="4" w:space="0" w:color="auto"/>
              <w:right w:val="dashed" w:sz="4" w:space="0" w:color="auto"/>
            </w:tcBorders>
            <w:shd w:val="clear" w:color="auto" w:fill="auto"/>
            <w:noWrap/>
            <w:vAlign w:val="center"/>
            <w:hideMark/>
          </w:tcPr>
          <w:p w14:paraId="1988C2F9"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300" w:type="dxa"/>
            <w:gridSpan w:val="4"/>
            <w:tcBorders>
              <w:top w:val="nil"/>
              <w:left w:val="nil"/>
              <w:bottom w:val="dashed" w:sz="4" w:space="0" w:color="auto"/>
              <w:right w:val="dashed" w:sz="4" w:space="0" w:color="auto"/>
            </w:tcBorders>
            <w:shd w:val="clear" w:color="auto" w:fill="auto"/>
            <w:noWrap/>
            <w:vAlign w:val="center"/>
            <w:hideMark/>
          </w:tcPr>
          <w:p w14:paraId="2EAC9B75"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360" w:type="dxa"/>
            <w:gridSpan w:val="4"/>
            <w:tcBorders>
              <w:top w:val="nil"/>
              <w:left w:val="nil"/>
              <w:bottom w:val="dashed" w:sz="4" w:space="0" w:color="auto"/>
              <w:right w:val="dashed" w:sz="4" w:space="0" w:color="auto"/>
            </w:tcBorders>
            <w:shd w:val="clear" w:color="auto" w:fill="auto"/>
            <w:noWrap/>
            <w:vAlign w:val="center"/>
            <w:hideMark/>
          </w:tcPr>
          <w:p w14:paraId="2ED4988B"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260" w:type="dxa"/>
            <w:gridSpan w:val="4"/>
            <w:tcBorders>
              <w:top w:val="nil"/>
              <w:left w:val="nil"/>
              <w:bottom w:val="dashed" w:sz="4" w:space="0" w:color="auto"/>
              <w:right w:val="dashed" w:sz="4" w:space="0" w:color="auto"/>
            </w:tcBorders>
            <w:shd w:val="clear" w:color="auto" w:fill="auto"/>
            <w:noWrap/>
            <w:vAlign w:val="center"/>
            <w:hideMark/>
          </w:tcPr>
          <w:p w14:paraId="2CECD973"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260" w:type="dxa"/>
            <w:gridSpan w:val="3"/>
            <w:tcBorders>
              <w:top w:val="nil"/>
              <w:left w:val="nil"/>
              <w:bottom w:val="dashed" w:sz="4" w:space="0" w:color="auto"/>
              <w:right w:val="dashed" w:sz="4" w:space="0" w:color="auto"/>
            </w:tcBorders>
            <w:shd w:val="clear" w:color="auto" w:fill="auto"/>
            <w:noWrap/>
            <w:vAlign w:val="center"/>
            <w:hideMark/>
          </w:tcPr>
          <w:p w14:paraId="155ED929"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268" w:type="dxa"/>
            <w:gridSpan w:val="3"/>
            <w:tcBorders>
              <w:top w:val="nil"/>
              <w:left w:val="nil"/>
              <w:bottom w:val="dashed" w:sz="4" w:space="0" w:color="auto"/>
              <w:right w:val="double" w:sz="4" w:space="0" w:color="auto"/>
            </w:tcBorders>
            <w:shd w:val="clear" w:color="auto" w:fill="auto"/>
            <w:noWrap/>
            <w:vAlign w:val="center"/>
            <w:hideMark/>
          </w:tcPr>
          <w:p w14:paraId="72BDBF33" w14:textId="77777777" w:rsidR="00247CBF" w:rsidRPr="00092ED7" w:rsidRDefault="00247CBF" w:rsidP="00247CBF">
            <w:pPr>
              <w:spacing w:after="0"/>
              <w:jc w:val="right"/>
              <w:rPr>
                <w:sz w:val="20"/>
                <w:szCs w:val="20"/>
                <w:lang w:val="sr-Cyrl-CS"/>
              </w:rPr>
            </w:pPr>
            <w:r w:rsidRPr="00092ED7">
              <w:rPr>
                <w:sz w:val="20"/>
                <w:szCs w:val="20"/>
                <w:lang w:val="sr-Cyrl-CS"/>
              </w:rPr>
              <w:t> </w:t>
            </w:r>
          </w:p>
        </w:tc>
      </w:tr>
      <w:tr w:rsidR="00247CBF" w:rsidRPr="00092ED7" w14:paraId="0E351731" w14:textId="77777777" w:rsidTr="00247CBF">
        <w:trPr>
          <w:gridAfter w:val="3"/>
          <w:wAfter w:w="365" w:type="dxa"/>
          <w:trHeight w:val="270"/>
        </w:trPr>
        <w:tc>
          <w:tcPr>
            <w:tcW w:w="4962" w:type="dxa"/>
            <w:gridSpan w:val="3"/>
            <w:tcBorders>
              <w:top w:val="nil"/>
              <w:left w:val="double" w:sz="6" w:space="0" w:color="auto"/>
              <w:bottom w:val="double" w:sz="6" w:space="0" w:color="auto"/>
              <w:right w:val="nil"/>
            </w:tcBorders>
            <w:shd w:val="clear" w:color="auto" w:fill="auto"/>
            <w:hideMark/>
          </w:tcPr>
          <w:p w14:paraId="30184171" w14:textId="77777777" w:rsidR="00247CBF" w:rsidRPr="00092ED7" w:rsidRDefault="00247CBF" w:rsidP="00247CBF">
            <w:pPr>
              <w:spacing w:after="0"/>
              <w:rPr>
                <w:sz w:val="20"/>
                <w:szCs w:val="20"/>
                <w:lang w:val="sr-Cyrl-CS"/>
              </w:rPr>
            </w:pPr>
            <w:r w:rsidRPr="00092ED7">
              <w:rPr>
                <w:sz w:val="20"/>
                <w:szCs w:val="20"/>
                <w:lang w:val="sr-Cyrl-CS"/>
              </w:rPr>
              <w:t xml:space="preserve">26. Домаће јавне инвестиције </w:t>
            </w:r>
          </w:p>
        </w:tc>
        <w:tc>
          <w:tcPr>
            <w:tcW w:w="1447" w:type="dxa"/>
            <w:gridSpan w:val="3"/>
            <w:tcBorders>
              <w:top w:val="nil"/>
              <w:left w:val="single" w:sz="8" w:space="0" w:color="auto"/>
              <w:bottom w:val="double" w:sz="6" w:space="0" w:color="auto"/>
              <w:right w:val="single" w:sz="8" w:space="0" w:color="auto"/>
            </w:tcBorders>
            <w:shd w:val="clear" w:color="auto" w:fill="auto"/>
            <w:noWrap/>
            <w:vAlign w:val="center"/>
            <w:hideMark/>
          </w:tcPr>
          <w:p w14:paraId="2D9366CA"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млрд ЕУР</w:t>
            </w:r>
          </w:p>
        </w:tc>
        <w:tc>
          <w:tcPr>
            <w:tcW w:w="1380" w:type="dxa"/>
            <w:gridSpan w:val="3"/>
            <w:tcBorders>
              <w:top w:val="nil"/>
              <w:left w:val="nil"/>
              <w:bottom w:val="double" w:sz="6" w:space="0" w:color="auto"/>
              <w:right w:val="dashed" w:sz="4" w:space="0" w:color="auto"/>
            </w:tcBorders>
            <w:shd w:val="clear" w:color="auto" w:fill="auto"/>
            <w:noWrap/>
            <w:vAlign w:val="center"/>
            <w:hideMark/>
          </w:tcPr>
          <w:p w14:paraId="0ADB2BF4"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300" w:type="dxa"/>
            <w:gridSpan w:val="4"/>
            <w:tcBorders>
              <w:top w:val="nil"/>
              <w:left w:val="nil"/>
              <w:bottom w:val="double" w:sz="6" w:space="0" w:color="auto"/>
              <w:right w:val="dashed" w:sz="4" w:space="0" w:color="auto"/>
            </w:tcBorders>
            <w:shd w:val="clear" w:color="auto" w:fill="auto"/>
            <w:noWrap/>
            <w:vAlign w:val="center"/>
            <w:hideMark/>
          </w:tcPr>
          <w:p w14:paraId="1531D795"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360" w:type="dxa"/>
            <w:gridSpan w:val="4"/>
            <w:tcBorders>
              <w:top w:val="nil"/>
              <w:left w:val="nil"/>
              <w:bottom w:val="double" w:sz="6" w:space="0" w:color="auto"/>
              <w:right w:val="dashed" w:sz="4" w:space="0" w:color="auto"/>
            </w:tcBorders>
            <w:shd w:val="clear" w:color="auto" w:fill="auto"/>
            <w:noWrap/>
            <w:vAlign w:val="center"/>
            <w:hideMark/>
          </w:tcPr>
          <w:p w14:paraId="34281B7D"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260" w:type="dxa"/>
            <w:gridSpan w:val="4"/>
            <w:tcBorders>
              <w:top w:val="nil"/>
              <w:left w:val="nil"/>
              <w:bottom w:val="double" w:sz="6" w:space="0" w:color="auto"/>
              <w:right w:val="dashed" w:sz="4" w:space="0" w:color="auto"/>
            </w:tcBorders>
            <w:shd w:val="clear" w:color="auto" w:fill="auto"/>
            <w:noWrap/>
            <w:vAlign w:val="center"/>
            <w:hideMark/>
          </w:tcPr>
          <w:p w14:paraId="01B35245"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260" w:type="dxa"/>
            <w:gridSpan w:val="3"/>
            <w:tcBorders>
              <w:top w:val="nil"/>
              <w:left w:val="nil"/>
              <w:bottom w:val="double" w:sz="6" w:space="0" w:color="auto"/>
              <w:right w:val="dashed" w:sz="4" w:space="0" w:color="auto"/>
            </w:tcBorders>
            <w:shd w:val="clear" w:color="auto" w:fill="auto"/>
            <w:noWrap/>
            <w:vAlign w:val="center"/>
            <w:hideMark/>
          </w:tcPr>
          <w:p w14:paraId="5767DBF5"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268" w:type="dxa"/>
            <w:gridSpan w:val="3"/>
            <w:tcBorders>
              <w:top w:val="nil"/>
              <w:left w:val="nil"/>
              <w:bottom w:val="double" w:sz="6" w:space="0" w:color="auto"/>
              <w:right w:val="double" w:sz="4" w:space="0" w:color="auto"/>
            </w:tcBorders>
            <w:shd w:val="clear" w:color="auto" w:fill="auto"/>
            <w:noWrap/>
            <w:vAlign w:val="center"/>
            <w:hideMark/>
          </w:tcPr>
          <w:p w14:paraId="466E3D5E" w14:textId="77777777" w:rsidR="00247CBF" w:rsidRPr="00092ED7" w:rsidRDefault="00247CBF" w:rsidP="00247CBF">
            <w:pPr>
              <w:spacing w:after="0"/>
              <w:jc w:val="right"/>
              <w:rPr>
                <w:sz w:val="20"/>
                <w:szCs w:val="20"/>
                <w:lang w:val="sr-Cyrl-CS"/>
              </w:rPr>
            </w:pPr>
            <w:r w:rsidRPr="00092ED7">
              <w:rPr>
                <w:sz w:val="20"/>
                <w:szCs w:val="20"/>
                <w:lang w:val="sr-Cyrl-CS"/>
              </w:rPr>
              <w:t> </w:t>
            </w:r>
          </w:p>
        </w:tc>
      </w:tr>
      <w:tr w:rsidR="00247CBF" w:rsidRPr="00092ED7" w14:paraId="5C2BFEB1" w14:textId="77777777" w:rsidTr="00247CBF">
        <w:trPr>
          <w:gridAfter w:val="3"/>
          <w:wAfter w:w="365" w:type="dxa"/>
          <w:trHeight w:val="240"/>
        </w:trPr>
        <w:tc>
          <w:tcPr>
            <w:tcW w:w="4962" w:type="dxa"/>
            <w:gridSpan w:val="3"/>
            <w:tcBorders>
              <w:top w:val="nil"/>
              <w:left w:val="nil"/>
              <w:bottom w:val="nil"/>
              <w:right w:val="nil"/>
            </w:tcBorders>
            <w:shd w:val="clear" w:color="auto" w:fill="auto"/>
            <w:noWrap/>
            <w:hideMark/>
          </w:tcPr>
          <w:p w14:paraId="25C776B0" w14:textId="77777777" w:rsidR="00247CBF" w:rsidRPr="00092ED7" w:rsidRDefault="00247CBF" w:rsidP="00247CBF">
            <w:pPr>
              <w:spacing w:after="0"/>
              <w:rPr>
                <w:rFonts w:eastAsia="Times New Roman" w:cs="Times New Roman"/>
                <w:sz w:val="16"/>
                <w:szCs w:val="16"/>
                <w:lang w:val="sr-Cyrl-CS"/>
              </w:rPr>
            </w:pPr>
            <w:r w:rsidRPr="00092ED7">
              <w:rPr>
                <w:rFonts w:eastAsia="Times New Roman" w:cs="Times New Roman"/>
                <w:sz w:val="16"/>
                <w:szCs w:val="16"/>
                <w:lang w:val="sr-Cyrl-CS"/>
              </w:rPr>
              <w:t>[1] Узрасна група 15-64 године</w:t>
            </w:r>
          </w:p>
        </w:tc>
        <w:tc>
          <w:tcPr>
            <w:tcW w:w="1447" w:type="dxa"/>
            <w:gridSpan w:val="3"/>
            <w:tcBorders>
              <w:top w:val="nil"/>
              <w:left w:val="nil"/>
              <w:bottom w:val="nil"/>
              <w:right w:val="nil"/>
            </w:tcBorders>
            <w:shd w:val="clear" w:color="auto" w:fill="auto"/>
            <w:noWrap/>
            <w:vAlign w:val="bottom"/>
            <w:hideMark/>
          </w:tcPr>
          <w:p w14:paraId="70210724" w14:textId="77777777" w:rsidR="00247CBF" w:rsidRPr="00092ED7" w:rsidRDefault="00247CBF" w:rsidP="00247CBF">
            <w:pPr>
              <w:spacing w:after="0"/>
              <w:jc w:val="center"/>
              <w:rPr>
                <w:rFonts w:eastAsia="Times New Roman" w:cs="Times New Roman"/>
                <w:sz w:val="16"/>
                <w:szCs w:val="16"/>
                <w:lang w:val="sr-Cyrl-CS"/>
              </w:rPr>
            </w:pPr>
            <w:r w:rsidRPr="00092ED7">
              <w:rPr>
                <w:rFonts w:eastAsia="Times New Roman" w:cs="Times New Roman"/>
                <w:sz w:val="16"/>
                <w:szCs w:val="16"/>
                <w:lang w:val="sr-Cyrl-CS"/>
              </w:rPr>
              <w:t> </w:t>
            </w:r>
          </w:p>
        </w:tc>
        <w:tc>
          <w:tcPr>
            <w:tcW w:w="1380" w:type="dxa"/>
            <w:gridSpan w:val="3"/>
            <w:tcBorders>
              <w:top w:val="nil"/>
              <w:left w:val="nil"/>
              <w:bottom w:val="nil"/>
              <w:right w:val="nil"/>
            </w:tcBorders>
            <w:shd w:val="clear" w:color="auto" w:fill="auto"/>
            <w:noWrap/>
            <w:vAlign w:val="bottom"/>
            <w:hideMark/>
          </w:tcPr>
          <w:p w14:paraId="3E1BDBAD" w14:textId="77777777" w:rsidR="00247CBF" w:rsidRPr="00092ED7" w:rsidRDefault="00247CBF" w:rsidP="00247CBF">
            <w:pPr>
              <w:spacing w:after="0"/>
              <w:jc w:val="right"/>
              <w:rPr>
                <w:rFonts w:eastAsia="Times New Roman" w:cs="Times New Roman"/>
                <w:sz w:val="16"/>
                <w:szCs w:val="16"/>
                <w:lang w:val="sr-Cyrl-CS"/>
              </w:rPr>
            </w:pPr>
            <w:r w:rsidRPr="00092ED7">
              <w:rPr>
                <w:rFonts w:eastAsia="Times New Roman" w:cs="Times New Roman"/>
                <w:sz w:val="16"/>
                <w:szCs w:val="16"/>
                <w:lang w:val="sr-Cyrl-CS"/>
              </w:rPr>
              <w:t> </w:t>
            </w:r>
          </w:p>
        </w:tc>
        <w:tc>
          <w:tcPr>
            <w:tcW w:w="1300" w:type="dxa"/>
            <w:gridSpan w:val="4"/>
            <w:tcBorders>
              <w:top w:val="nil"/>
              <w:left w:val="nil"/>
              <w:bottom w:val="nil"/>
              <w:right w:val="nil"/>
            </w:tcBorders>
            <w:shd w:val="clear" w:color="auto" w:fill="auto"/>
            <w:noWrap/>
            <w:vAlign w:val="bottom"/>
            <w:hideMark/>
          </w:tcPr>
          <w:p w14:paraId="4DC74F64" w14:textId="77777777" w:rsidR="00247CBF" w:rsidRPr="00092ED7" w:rsidRDefault="00247CBF" w:rsidP="00247CBF">
            <w:pPr>
              <w:spacing w:after="0"/>
              <w:jc w:val="right"/>
              <w:rPr>
                <w:rFonts w:eastAsia="Times New Roman" w:cs="Times New Roman"/>
                <w:sz w:val="16"/>
                <w:szCs w:val="16"/>
                <w:lang w:val="sr-Cyrl-CS"/>
              </w:rPr>
            </w:pPr>
            <w:r w:rsidRPr="00092ED7">
              <w:rPr>
                <w:rFonts w:eastAsia="Times New Roman" w:cs="Times New Roman"/>
                <w:sz w:val="16"/>
                <w:szCs w:val="16"/>
                <w:lang w:val="sr-Cyrl-CS"/>
              </w:rPr>
              <w:t> </w:t>
            </w:r>
          </w:p>
        </w:tc>
        <w:tc>
          <w:tcPr>
            <w:tcW w:w="1360" w:type="dxa"/>
            <w:gridSpan w:val="4"/>
            <w:tcBorders>
              <w:top w:val="nil"/>
              <w:left w:val="nil"/>
              <w:bottom w:val="nil"/>
              <w:right w:val="nil"/>
            </w:tcBorders>
            <w:shd w:val="clear" w:color="auto" w:fill="auto"/>
            <w:noWrap/>
            <w:vAlign w:val="bottom"/>
            <w:hideMark/>
          </w:tcPr>
          <w:p w14:paraId="723D9D78" w14:textId="77777777" w:rsidR="00247CBF" w:rsidRPr="00092ED7" w:rsidRDefault="00247CBF" w:rsidP="00247CBF">
            <w:pPr>
              <w:spacing w:after="0"/>
              <w:jc w:val="right"/>
              <w:rPr>
                <w:rFonts w:eastAsia="Times New Roman" w:cs="Times New Roman"/>
                <w:sz w:val="16"/>
                <w:szCs w:val="16"/>
                <w:lang w:val="sr-Cyrl-CS"/>
              </w:rPr>
            </w:pPr>
            <w:r w:rsidRPr="00092ED7">
              <w:rPr>
                <w:rFonts w:eastAsia="Times New Roman" w:cs="Times New Roman"/>
                <w:sz w:val="16"/>
                <w:szCs w:val="16"/>
                <w:lang w:val="sr-Cyrl-CS"/>
              </w:rPr>
              <w:t> </w:t>
            </w:r>
          </w:p>
        </w:tc>
        <w:tc>
          <w:tcPr>
            <w:tcW w:w="1260" w:type="dxa"/>
            <w:gridSpan w:val="4"/>
            <w:tcBorders>
              <w:top w:val="nil"/>
              <w:left w:val="nil"/>
              <w:bottom w:val="nil"/>
              <w:right w:val="nil"/>
            </w:tcBorders>
            <w:shd w:val="clear" w:color="auto" w:fill="auto"/>
            <w:noWrap/>
            <w:vAlign w:val="bottom"/>
            <w:hideMark/>
          </w:tcPr>
          <w:p w14:paraId="40CF053F" w14:textId="77777777" w:rsidR="00247CBF" w:rsidRPr="00092ED7" w:rsidRDefault="00247CBF" w:rsidP="00247CBF">
            <w:pPr>
              <w:spacing w:after="0"/>
              <w:jc w:val="right"/>
              <w:rPr>
                <w:rFonts w:eastAsia="Times New Roman" w:cs="Times New Roman"/>
                <w:sz w:val="16"/>
                <w:szCs w:val="16"/>
                <w:lang w:val="sr-Cyrl-CS"/>
              </w:rPr>
            </w:pPr>
            <w:r w:rsidRPr="00092ED7">
              <w:rPr>
                <w:rFonts w:eastAsia="Times New Roman" w:cs="Times New Roman"/>
                <w:sz w:val="16"/>
                <w:szCs w:val="16"/>
                <w:lang w:val="sr-Cyrl-CS"/>
              </w:rPr>
              <w:t> </w:t>
            </w:r>
          </w:p>
        </w:tc>
        <w:tc>
          <w:tcPr>
            <w:tcW w:w="1260" w:type="dxa"/>
            <w:gridSpan w:val="3"/>
            <w:tcBorders>
              <w:top w:val="nil"/>
              <w:left w:val="nil"/>
              <w:bottom w:val="nil"/>
              <w:right w:val="nil"/>
            </w:tcBorders>
            <w:shd w:val="clear" w:color="auto" w:fill="auto"/>
            <w:noWrap/>
            <w:vAlign w:val="bottom"/>
            <w:hideMark/>
          </w:tcPr>
          <w:p w14:paraId="61091714" w14:textId="77777777" w:rsidR="00247CBF" w:rsidRPr="00092ED7" w:rsidRDefault="00247CBF" w:rsidP="00247CBF">
            <w:pPr>
              <w:spacing w:after="0"/>
              <w:jc w:val="right"/>
              <w:rPr>
                <w:rFonts w:eastAsia="Times New Roman" w:cs="Times New Roman"/>
                <w:sz w:val="16"/>
                <w:szCs w:val="16"/>
                <w:lang w:val="sr-Cyrl-CS"/>
              </w:rPr>
            </w:pPr>
            <w:r w:rsidRPr="00092ED7">
              <w:rPr>
                <w:rFonts w:eastAsia="Times New Roman" w:cs="Times New Roman"/>
                <w:sz w:val="16"/>
                <w:szCs w:val="16"/>
                <w:lang w:val="sr-Cyrl-CS"/>
              </w:rPr>
              <w:t> </w:t>
            </w:r>
          </w:p>
        </w:tc>
        <w:tc>
          <w:tcPr>
            <w:tcW w:w="1268" w:type="dxa"/>
            <w:gridSpan w:val="3"/>
            <w:tcBorders>
              <w:top w:val="double" w:sz="6" w:space="0" w:color="auto"/>
              <w:left w:val="nil"/>
              <w:bottom w:val="nil"/>
            </w:tcBorders>
            <w:shd w:val="clear" w:color="auto" w:fill="auto"/>
            <w:noWrap/>
            <w:vAlign w:val="bottom"/>
            <w:hideMark/>
          </w:tcPr>
          <w:p w14:paraId="34C74843" w14:textId="77777777" w:rsidR="00247CBF" w:rsidRPr="00092ED7" w:rsidRDefault="00247CBF" w:rsidP="00247CBF">
            <w:pPr>
              <w:spacing w:after="0"/>
              <w:jc w:val="right"/>
              <w:rPr>
                <w:rFonts w:eastAsia="Times New Roman" w:cs="Times New Roman"/>
                <w:sz w:val="16"/>
                <w:szCs w:val="16"/>
                <w:lang w:val="sr-Cyrl-CS"/>
              </w:rPr>
            </w:pPr>
            <w:r w:rsidRPr="00092ED7">
              <w:rPr>
                <w:rFonts w:eastAsia="Times New Roman" w:cs="Times New Roman"/>
                <w:sz w:val="16"/>
                <w:szCs w:val="16"/>
                <w:lang w:val="sr-Cyrl-CS"/>
              </w:rPr>
              <w:t> </w:t>
            </w:r>
          </w:p>
        </w:tc>
      </w:tr>
      <w:tr w:rsidR="00247CBF" w:rsidRPr="00092ED7" w14:paraId="3FFDF9F3" w14:textId="77777777" w:rsidTr="00247CBF">
        <w:trPr>
          <w:gridAfter w:val="3"/>
          <w:wAfter w:w="365" w:type="dxa"/>
          <w:trHeight w:val="153"/>
        </w:trPr>
        <w:tc>
          <w:tcPr>
            <w:tcW w:w="6409" w:type="dxa"/>
            <w:gridSpan w:val="6"/>
            <w:tcBorders>
              <w:top w:val="nil"/>
              <w:left w:val="nil"/>
              <w:bottom w:val="nil"/>
              <w:right w:val="nil"/>
            </w:tcBorders>
            <w:shd w:val="clear" w:color="auto" w:fill="auto"/>
            <w:noWrap/>
            <w:hideMark/>
          </w:tcPr>
          <w:p w14:paraId="1ED6A9AA" w14:textId="77777777" w:rsidR="00247CBF" w:rsidRPr="00092ED7" w:rsidRDefault="00247CBF" w:rsidP="00247CBF">
            <w:pPr>
              <w:spacing w:after="0"/>
              <w:rPr>
                <w:rFonts w:eastAsia="Times New Roman" w:cs="Times New Roman"/>
                <w:sz w:val="16"/>
                <w:szCs w:val="16"/>
                <w:lang w:val="sr-Cyrl-CS"/>
              </w:rPr>
            </w:pPr>
            <w:r w:rsidRPr="00092ED7">
              <w:rPr>
                <w:rFonts w:eastAsia="Times New Roman" w:cs="Times New Roman"/>
                <w:sz w:val="16"/>
                <w:szCs w:val="16"/>
                <w:lang w:val="sr-Cyrl-CS"/>
              </w:rPr>
              <w:t>[2] Запослено становништво, према дефиницији из Анкете о радној снази </w:t>
            </w:r>
          </w:p>
        </w:tc>
        <w:tc>
          <w:tcPr>
            <w:tcW w:w="1380" w:type="dxa"/>
            <w:gridSpan w:val="3"/>
            <w:tcBorders>
              <w:top w:val="nil"/>
              <w:left w:val="nil"/>
              <w:bottom w:val="nil"/>
              <w:right w:val="nil"/>
            </w:tcBorders>
            <w:shd w:val="clear" w:color="auto" w:fill="auto"/>
            <w:noWrap/>
            <w:vAlign w:val="bottom"/>
            <w:hideMark/>
          </w:tcPr>
          <w:p w14:paraId="2C379EAC" w14:textId="77777777" w:rsidR="00247CBF" w:rsidRPr="00092ED7" w:rsidRDefault="00247CBF" w:rsidP="00247CBF">
            <w:pPr>
              <w:spacing w:after="0"/>
              <w:jc w:val="right"/>
              <w:rPr>
                <w:rFonts w:eastAsia="Times New Roman" w:cs="Times New Roman"/>
                <w:sz w:val="16"/>
                <w:szCs w:val="16"/>
                <w:lang w:val="sr-Cyrl-CS"/>
              </w:rPr>
            </w:pPr>
            <w:r w:rsidRPr="00092ED7">
              <w:rPr>
                <w:rFonts w:eastAsia="Times New Roman" w:cs="Times New Roman"/>
                <w:sz w:val="16"/>
                <w:szCs w:val="16"/>
                <w:lang w:val="sr-Cyrl-CS"/>
              </w:rPr>
              <w:t> </w:t>
            </w:r>
          </w:p>
        </w:tc>
        <w:tc>
          <w:tcPr>
            <w:tcW w:w="1300" w:type="dxa"/>
            <w:gridSpan w:val="4"/>
            <w:tcBorders>
              <w:top w:val="nil"/>
              <w:left w:val="nil"/>
              <w:bottom w:val="nil"/>
              <w:right w:val="nil"/>
            </w:tcBorders>
            <w:shd w:val="clear" w:color="auto" w:fill="auto"/>
            <w:noWrap/>
            <w:vAlign w:val="bottom"/>
            <w:hideMark/>
          </w:tcPr>
          <w:p w14:paraId="6CCF0400" w14:textId="77777777" w:rsidR="00247CBF" w:rsidRPr="00092ED7" w:rsidRDefault="00247CBF" w:rsidP="00247CBF">
            <w:pPr>
              <w:spacing w:after="0"/>
              <w:jc w:val="right"/>
              <w:rPr>
                <w:rFonts w:eastAsia="Times New Roman" w:cs="Times New Roman"/>
                <w:sz w:val="16"/>
                <w:szCs w:val="16"/>
                <w:lang w:val="sr-Cyrl-CS"/>
              </w:rPr>
            </w:pPr>
            <w:r w:rsidRPr="00092ED7">
              <w:rPr>
                <w:rFonts w:eastAsia="Times New Roman" w:cs="Times New Roman"/>
                <w:sz w:val="16"/>
                <w:szCs w:val="16"/>
                <w:lang w:val="sr-Cyrl-CS"/>
              </w:rPr>
              <w:t> </w:t>
            </w:r>
          </w:p>
        </w:tc>
        <w:tc>
          <w:tcPr>
            <w:tcW w:w="1360" w:type="dxa"/>
            <w:gridSpan w:val="4"/>
            <w:tcBorders>
              <w:top w:val="nil"/>
              <w:left w:val="nil"/>
              <w:bottom w:val="nil"/>
              <w:right w:val="nil"/>
            </w:tcBorders>
            <w:shd w:val="clear" w:color="auto" w:fill="auto"/>
            <w:noWrap/>
            <w:vAlign w:val="bottom"/>
            <w:hideMark/>
          </w:tcPr>
          <w:p w14:paraId="5CD953D5" w14:textId="77777777" w:rsidR="00247CBF" w:rsidRPr="00092ED7" w:rsidRDefault="00247CBF" w:rsidP="00247CBF">
            <w:pPr>
              <w:spacing w:after="0"/>
              <w:jc w:val="right"/>
              <w:rPr>
                <w:rFonts w:eastAsia="Times New Roman" w:cs="Times New Roman"/>
                <w:sz w:val="16"/>
                <w:szCs w:val="16"/>
                <w:lang w:val="sr-Cyrl-CS"/>
              </w:rPr>
            </w:pPr>
            <w:r w:rsidRPr="00092ED7">
              <w:rPr>
                <w:rFonts w:eastAsia="Times New Roman" w:cs="Times New Roman"/>
                <w:sz w:val="16"/>
                <w:szCs w:val="16"/>
                <w:lang w:val="sr-Cyrl-CS"/>
              </w:rPr>
              <w:t> </w:t>
            </w:r>
          </w:p>
        </w:tc>
        <w:tc>
          <w:tcPr>
            <w:tcW w:w="1260" w:type="dxa"/>
            <w:gridSpan w:val="4"/>
            <w:tcBorders>
              <w:top w:val="nil"/>
              <w:left w:val="nil"/>
              <w:bottom w:val="nil"/>
              <w:right w:val="nil"/>
            </w:tcBorders>
            <w:shd w:val="clear" w:color="auto" w:fill="auto"/>
            <w:noWrap/>
            <w:vAlign w:val="bottom"/>
            <w:hideMark/>
          </w:tcPr>
          <w:p w14:paraId="1871F882" w14:textId="77777777" w:rsidR="00247CBF" w:rsidRPr="00092ED7" w:rsidRDefault="00247CBF" w:rsidP="00247CBF">
            <w:pPr>
              <w:spacing w:after="0"/>
              <w:jc w:val="right"/>
              <w:rPr>
                <w:rFonts w:eastAsia="Times New Roman" w:cs="Times New Roman"/>
                <w:sz w:val="16"/>
                <w:szCs w:val="16"/>
                <w:lang w:val="sr-Cyrl-CS"/>
              </w:rPr>
            </w:pPr>
            <w:r w:rsidRPr="00092ED7">
              <w:rPr>
                <w:rFonts w:eastAsia="Times New Roman" w:cs="Times New Roman"/>
                <w:sz w:val="16"/>
                <w:szCs w:val="16"/>
                <w:lang w:val="sr-Cyrl-CS"/>
              </w:rPr>
              <w:t> </w:t>
            </w:r>
          </w:p>
        </w:tc>
        <w:tc>
          <w:tcPr>
            <w:tcW w:w="1260" w:type="dxa"/>
            <w:gridSpan w:val="3"/>
            <w:tcBorders>
              <w:top w:val="nil"/>
              <w:left w:val="nil"/>
              <w:bottom w:val="nil"/>
              <w:right w:val="nil"/>
            </w:tcBorders>
            <w:shd w:val="clear" w:color="auto" w:fill="auto"/>
            <w:noWrap/>
            <w:vAlign w:val="bottom"/>
            <w:hideMark/>
          </w:tcPr>
          <w:p w14:paraId="67575CCE" w14:textId="77777777" w:rsidR="00247CBF" w:rsidRPr="00092ED7" w:rsidRDefault="00247CBF" w:rsidP="00247CBF">
            <w:pPr>
              <w:spacing w:after="0"/>
              <w:jc w:val="right"/>
              <w:rPr>
                <w:rFonts w:eastAsia="Times New Roman" w:cs="Times New Roman"/>
                <w:sz w:val="16"/>
                <w:szCs w:val="16"/>
                <w:lang w:val="sr-Cyrl-CS"/>
              </w:rPr>
            </w:pPr>
            <w:r w:rsidRPr="00092ED7">
              <w:rPr>
                <w:rFonts w:eastAsia="Times New Roman" w:cs="Times New Roman"/>
                <w:sz w:val="16"/>
                <w:szCs w:val="16"/>
                <w:lang w:val="sr-Cyrl-CS"/>
              </w:rPr>
              <w:t> </w:t>
            </w:r>
          </w:p>
        </w:tc>
        <w:tc>
          <w:tcPr>
            <w:tcW w:w="1268" w:type="dxa"/>
            <w:gridSpan w:val="3"/>
            <w:tcBorders>
              <w:top w:val="nil"/>
              <w:left w:val="nil"/>
              <w:bottom w:val="nil"/>
              <w:right w:val="nil"/>
            </w:tcBorders>
            <w:shd w:val="clear" w:color="auto" w:fill="auto"/>
            <w:noWrap/>
            <w:vAlign w:val="bottom"/>
            <w:hideMark/>
          </w:tcPr>
          <w:p w14:paraId="1D9032EA" w14:textId="77777777" w:rsidR="00247CBF" w:rsidRPr="00092ED7" w:rsidRDefault="00247CBF" w:rsidP="00247CBF">
            <w:pPr>
              <w:spacing w:after="0"/>
              <w:jc w:val="right"/>
              <w:rPr>
                <w:rFonts w:eastAsia="Times New Roman" w:cs="Times New Roman"/>
                <w:sz w:val="16"/>
                <w:szCs w:val="16"/>
                <w:lang w:val="sr-Cyrl-CS"/>
              </w:rPr>
            </w:pPr>
            <w:r w:rsidRPr="00092ED7">
              <w:rPr>
                <w:rFonts w:eastAsia="Times New Roman" w:cs="Times New Roman"/>
                <w:sz w:val="16"/>
                <w:szCs w:val="16"/>
                <w:lang w:val="sr-Cyrl-CS"/>
              </w:rPr>
              <w:t> </w:t>
            </w:r>
          </w:p>
        </w:tc>
      </w:tr>
      <w:tr w:rsidR="00247CBF" w:rsidRPr="00092ED7" w14:paraId="35F386D2" w14:textId="77777777" w:rsidTr="00247CBF">
        <w:trPr>
          <w:gridAfter w:val="3"/>
          <w:wAfter w:w="365" w:type="dxa"/>
          <w:trHeight w:val="225"/>
        </w:trPr>
        <w:tc>
          <w:tcPr>
            <w:tcW w:w="4962" w:type="dxa"/>
            <w:gridSpan w:val="3"/>
            <w:tcBorders>
              <w:top w:val="nil"/>
              <w:left w:val="nil"/>
              <w:bottom w:val="nil"/>
              <w:right w:val="nil"/>
            </w:tcBorders>
            <w:shd w:val="clear" w:color="auto" w:fill="auto"/>
            <w:hideMark/>
          </w:tcPr>
          <w:p w14:paraId="0D6AA8EF" w14:textId="77777777" w:rsidR="00247CBF" w:rsidRPr="00092ED7" w:rsidRDefault="00247CBF" w:rsidP="00247CBF">
            <w:pPr>
              <w:spacing w:after="0"/>
              <w:rPr>
                <w:rFonts w:eastAsia="Times New Roman" w:cs="Times New Roman"/>
                <w:sz w:val="16"/>
                <w:szCs w:val="16"/>
                <w:lang w:val="sr-Cyrl-CS"/>
              </w:rPr>
            </w:pPr>
            <w:r w:rsidRPr="00092ED7">
              <w:rPr>
                <w:rFonts w:eastAsia="Times New Roman" w:cs="Times New Roman"/>
                <w:sz w:val="16"/>
                <w:szCs w:val="16"/>
                <w:lang w:val="sr-Cyrl-CS"/>
              </w:rPr>
              <w:t>[3] Дефиниција према националним рачунима</w:t>
            </w:r>
          </w:p>
        </w:tc>
        <w:tc>
          <w:tcPr>
            <w:tcW w:w="1447" w:type="dxa"/>
            <w:gridSpan w:val="3"/>
            <w:tcBorders>
              <w:top w:val="nil"/>
              <w:left w:val="nil"/>
              <w:bottom w:val="nil"/>
              <w:right w:val="nil"/>
            </w:tcBorders>
            <w:shd w:val="clear" w:color="auto" w:fill="auto"/>
            <w:noWrap/>
            <w:vAlign w:val="bottom"/>
            <w:hideMark/>
          </w:tcPr>
          <w:p w14:paraId="4FDFA181" w14:textId="77777777" w:rsidR="00247CBF" w:rsidRPr="00092ED7" w:rsidRDefault="00247CBF" w:rsidP="00247CBF">
            <w:pPr>
              <w:spacing w:after="0"/>
              <w:jc w:val="center"/>
              <w:rPr>
                <w:rFonts w:eastAsia="Times New Roman" w:cs="Times New Roman"/>
                <w:sz w:val="16"/>
                <w:szCs w:val="16"/>
                <w:lang w:val="sr-Cyrl-CS"/>
              </w:rPr>
            </w:pPr>
            <w:r w:rsidRPr="00092ED7">
              <w:rPr>
                <w:rFonts w:eastAsia="Times New Roman" w:cs="Times New Roman"/>
                <w:sz w:val="16"/>
                <w:szCs w:val="16"/>
                <w:lang w:val="sr-Cyrl-CS"/>
              </w:rPr>
              <w:t> </w:t>
            </w:r>
          </w:p>
        </w:tc>
        <w:tc>
          <w:tcPr>
            <w:tcW w:w="1380" w:type="dxa"/>
            <w:gridSpan w:val="3"/>
            <w:tcBorders>
              <w:top w:val="nil"/>
              <w:left w:val="nil"/>
              <w:bottom w:val="nil"/>
              <w:right w:val="nil"/>
            </w:tcBorders>
            <w:shd w:val="clear" w:color="auto" w:fill="auto"/>
            <w:noWrap/>
            <w:vAlign w:val="bottom"/>
            <w:hideMark/>
          </w:tcPr>
          <w:p w14:paraId="5143B30B" w14:textId="77777777" w:rsidR="00247CBF" w:rsidRPr="00092ED7" w:rsidRDefault="00247CBF" w:rsidP="00247CBF">
            <w:pPr>
              <w:spacing w:after="0"/>
              <w:jc w:val="right"/>
              <w:rPr>
                <w:rFonts w:eastAsia="Times New Roman" w:cs="Times New Roman"/>
                <w:sz w:val="16"/>
                <w:szCs w:val="16"/>
                <w:lang w:val="sr-Cyrl-CS"/>
              </w:rPr>
            </w:pPr>
            <w:r w:rsidRPr="00092ED7">
              <w:rPr>
                <w:rFonts w:eastAsia="Times New Roman" w:cs="Times New Roman"/>
                <w:sz w:val="16"/>
                <w:szCs w:val="16"/>
                <w:lang w:val="sr-Cyrl-CS"/>
              </w:rPr>
              <w:t> </w:t>
            </w:r>
          </w:p>
        </w:tc>
        <w:tc>
          <w:tcPr>
            <w:tcW w:w="1300" w:type="dxa"/>
            <w:gridSpan w:val="4"/>
            <w:tcBorders>
              <w:top w:val="nil"/>
              <w:left w:val="nil"/>
              <w:bottom w:val="nil"/>
              <w:right w:val="nil"/>
            </w:tcBorders>
            <w:shd w:val="clear" w:color="auto" w:fill="auto"/>
            <w:noWrap/>
            <w:vAlign w:val="bottom"/>
            <w:hideMark/>
          </w:tcPr>
          <w:p w14:paraId="2D389D64" w14:textId="77777777" w:rsidR="00247CBF" w:rsidRPr="00092ED7" w:rsidRDefault="00247CBF" w:rsidP="00247CBF">
            <w:pPr>
              <w:spacing w:after="0"/>
              <w:jc w:val="right"/>
              <w:rPr>
                <w:rFonts w:eastAsia="Times New Roman" w:cs="Times New Roman"/>
                <w:sz w:val="16"/>
                <w:szCs w:val="16"/>
                <w:lang w:val="sr-Cyrl-CS"/>
              </w:rPr>
            </w:pPr>
            <w:r w:rsidRPr="00092ED7">
              <w:rPr>
                <w:rFonts w:eastAsia="Times New Roman" w:cs="Times New Roman"/>
                <w:sz w:val="16"/>
                <w:szCs w:val="16"/>
                <w:lang w:val="sr-Cyrl-CS"/>
              </w:rPr>
              <w:t> </w:t>
            </w:r>
          </w:p>
        </w:tc>
        <w:tc>
          <w:tcPr>
            <w:tcW w:w="1360" w:type="dxa"/>
            <w:gridSpan w:val="4"/>
            <w:tcBorders>
              <w:top w:val="nil"/>
              <w:left w:val="nil"/>
              <w:bottom w:val="nil"/>
              <w:right w:val="nil"/>
            </w:tcBorders>
            <w:shd w:val="clear" w:color="auto" w:fill="auto"/>
            <w:noWrap/>
            <w:vAlign w:val="bottom"/>
            <w:hideMark/>
          </w:tcPr>
          <w:p w14:paraId="6FFACA7C" w14:textId="77777777" w:rsidR="00247CBF" w:rsidRPr="00092ED7" w:rsidRDefault="00247CBF" w:rsidP="00247CBF">
            <w:pPr>
              <w:spacing w:after="0"/>
              <w:jc w:val="right"/>
              <w:rPr>
                <w:rFonts w:eastAsia="Times New Roman" w:cs="Times New Roman"/>
                <w:sz w:val="16"/>
                <w:szCs w:val="16"/>
                <w:lang w:val="sr-Cyrl-CS"/>
              </w:rPr>
            </w:pPr>
            <w:r w:rsidRPr="00092ED7">
              <w:rPr>
                <w:rFonts w:eastAsia="Times New Roman" w:cs="Times New Roman"/>
                <w:sz w:val="16"/>
                <w:szCs w:val="16"/>
                <w:lang w:val="sr-Cyrl-CS"/>
              </w:rPr>
              <w:t> </w:t>
            </w:r>
          </w:p>
        </w:tc>
        <w:tc>
          <w:tcPr>
            <w:tcW w:w="1260" w:type="dxa"/>
            <w:gridSpan w:val="4"/>
            <w:tcBorders>
              <w:top w:val="nil"/>
              <w:left w:val="nil"/>
              <w:bottom w:val="nil"/>
              <w:right w:val="nil"/>
            </w:tcBorders>
            <w:shd w:val="clear" w:color="auto" w:fill="auto"/>
            <w:noWrap/>
            <w:vAlign w:val="bottom"/>
            <w:hideMark/>
          </w:tcPr>
          <w:p w14:paraId="0336E9FE" w14:textId="77777777" w:rsidR="00247CBF" w:rsidRPr="00092ED7" w:rsidRDefault="00247CBF" w:rsidP="00247CBF">
            <w:pPr>
              <w:spacing w:after="0"/>
              <w:jc w:val="right"/>
              <w:rPr>
                <w:rFonts w:eastAsia="Times New Roman" w:cs="Times New Roman"/>
                <w:sz w:val="16"/>
                <w:szCs w:val="16"/>
                <w:lang w:val="sr-Cyrl-CS"/>
              </w:rPr>
            </w:pPr>
            <w:r w:rsidRPr="00092ED7">
              <w:rPr>
                <w:rFonts w:eastAsia="Times New Roman" w:cs="Times New Roman"/>
                <w:sz w:val="16"/>
                <w:szCs w:val="16"/>
                <w:lang w:val="sr-Cyrl-CS"/>
              </w:rPr>
              <w:t> </w:t>
            </w:r>
          </w:p>
        </w:tc>
        <w:tc>
          <w:tcPr>
            <w:tcW w:w="1260" w:type="dxa"/>
            <w:gridSpan w:val="3"/>
            <w:tcBorders>
              <w:top w:val="nil"/>
              <w:left w:val="nil"/>
              <w:bottom w:val="nil"/>
              <w:right w:val="nil"/>
            </w:tcBorders>
            <w:shd w:val="clear" w:color="auto" w:fill="auto"/>
            <w:noWrap/>
            <w:vAlign w:val="bottom"/>
            <w:hideMark/>
          </w:tcPr>
          <w:p w14:paraId="6CBB5AF6" w14:textId="77777777" w:rsidR="00247CBF" w:rsidRPr="00092ED7" w:rsidRDefault="00247CBF" w:rsidP="00247CBF">
            <w:pPr>
              <w:spacing w:after="0"/>
              <w:jc w:val="right"/>
              <w:rPr>
                <w:rFonts w:eastAsia="Times New Roman" w:cs="Times New Roman"/>
                <w:sz w:val="16"/>
                <w:szCs w:val="16"/>
                <w:lang w:val="sr-Cyrl-CS"/>
              </w:rPr>
            </w:pPr>
            <w:r w:rsidRPr="00092ED7">
              <w:rPr>
                <w:rFonts w:eastAsia="Times New Roman" w:cs="Times New Roman"/>
                <w:sz w:val="16"/>
                <w:szCs w:val="16"/>
                <w:lang w:val="sr-Cyrl-CS"/>
              </w:rPr>
              <w:t> </w:t>
            </w:r>
          </w:p>
        </w:tc>
        <w:tc>
          <w:tcPr>
            <w:tcW w:w="1268" w:type="dxa"/>
            <w:gridSpan w:val="3"/>
            <w:tcBorders>
              <w:top w:val="nil"/>
              <w:left w:val="nil"/>
              <w:bottom w:val="nil"/>
              <w:right w:val="nil"/>
            </w:tcBorders>
            <w:shd w:val="clear" w:color="auto" w:fill="auto"/>
            <w:noWrap/>
            <w:vAlign w:val="bottom"/>
            <w:hideMark/>
          </w:tcPr>
          <w:p w14:paraId="6A9D7738" w14:textId="77777777" w:rsidR="00247CBF" w:rsidRPr="00092ED7" w:rsidRDefault="00247CBF" w:rsidP="00247CBF">
            <w:pPr>
              <w:spacing w:after="0"/>
              <w:jc w:val="right"/>
              <w:rPr>
                <w:rFonts w:eastAsia="Times New Roman" w:cs="Times New Roman"/>
                <w:sz w:val="16"/>
                <w:szCs w:val="16"/>
                <w:lang w:val="sr-Cyrl-CS"/>
              </w:rPr>
            </w:pPr>
            <w:r w:rsidRPr="00092ED7">
              <w:rPr>
                <w:rFonts w:eastAsia="Times New Roman" w:cs="Times New Roman"/>
                <w:sz w:val="16"/>
                <w:szCs w:val="16"/>
                <w:lang w:val="sr-Cyrl-CS"/>
              </w:rPr>
              <w:t> </w:t>
            </w:r>
          </w:p>
        </w:tc>
      </w:tr>
      <w:tr w:rsidR="00247CBF" w:rsidRPr="00092ED7" w14:paraId="237CC727" w14:textId="77777777" w:rsidTr="00247CBF">
        <w:trPr>
          <w:gridAfter w:val="2"/>
          <w:wAfter w:w="293" w:type="dxa"/>
          <w:trHeight w:val="285"/>
        </w:trPr>
        <w:tc>
          <w:tcPr>
            <w:tcW w:w="4962" w:type="dxa"/>
            <w:gridSpan w:val="3"/>
            <w:tcBorders>
              <w:top w:val="double" w:sz="6" w:space="0" w:color="auto"/>
              <w:left w:val="double" w:sz="6" w:space="0" w:color="auto"/>
              <w:bottom w:val="double" w:sz="6" w:space="0" w:color="auto"/>
              <w:right w:val="nil"/>
            </w:tcBorders>
            <w:shd w:val="clear" w:color="auto" w:fill="auto"/>
            <w:noWrap/>
            <w:vAlign w:val="center"/>
            <w:hideMark/>
          </w:tcPr>
          <w:p w14:paraId="5A87FA35" w14:textId="77777777" w:rsidR="00247CBF" w:rsidRPr="00092ED7" w:rsidRDefault="00247CBF" w:rsidP="00247CBF">
            <w:pPr>
              <w:spacing w:after="0"/>
              <w:jc w:val="left"/>
              <w:rPr>
                <w:rFonts w:eastAsia="Times New Roman" w:cs="Times New Roman"/>
                <w:b/>
                <w:bCs/>
                <w:sz w:val="20"/>
                <w:szCs w:val="20"/>
                <w:lang w:val="sr-Cyrl-CS"/>
              </w:rPr>
            </w:pPr>
            <w:r w:rsidRPr="00092ED7">
              <w:rPr>
                <w:rFonts w:eastAsia="Times New Roman" w:cs="Times New Roman"/>
                <w:b/>
                <w:bCs/>
                <w:sz w:val="20"/>
                <w:szCs w:val="20"/>
                <w:lang w:val="sr-Cyrl-CS"/>
              </w:rPr>
              <w:t>Табела 1g: Индикатори одрживости</w:t>
            </w:r>
          </w:p>
        </w:tc>
        <w:tc>
          <w:tcPr>
            <w:tcW w:w="1447" w:type="dxa"/>
            <w:gridSpan w:val="3"/>
            <w:tcBorders>
              <w:top w:val="double" w:sz="6" w:space="0" w:color="auto"/>
              <w:left w:val="single" w:sz="8" w:space="0" w:color="auto"/>
              <w:bottom w:val="double" w:sz="6" w:space="0" w:color="auto"/>
              <w:right w:val="single" w:sz="8" w:space="0" w:color="auto"/>
            </w:tcBorders>
            <w:shd w:val="clear" w:color="auto" w:fill="auto"/>
            <w:noWrap/>
            <w:vAlign w:val="center"/>
            <w:hideMark/>
          </w:tcPr>
          <w:p w14:paraId="2D96ADE1" w14:textId="77777777" w:rsidR="00247CBF" w:rsidRPr="00092ED7" w:rsidRDefault="00247CBF" w:rsidP="00247CBF">
            <w:pPr>
              <w:spacing w:after="0"/>
              <w:jc w:val="center"/>
              <w:rPr>
                <w:sz w:val="20"/>
                <w:szCs w:val="20"/>
                <w:lang w:val="sr-Cyrl-CS"/>
              </w:rPr>
            </w:pPr>
            <w:r w:rsidRPr="00092ED7">
              <w:rPr>
                <w:sz w:val="20"/>
                <w:szCs w:val="20"/>
                <w:lang w:val="sr-Cyrl-CS"/>
              </w:rPr>
              <w:t>Димензија</w:t>
            </w:r>
          </w:p>
        </w:tc>
        <w:tc>
          <w:tcPr>
            <w:tcW w:w="1388" w:type="dxa"/>
            <w:gridSpan w:val="4"/>
            <w:tcBorders>
              <w:top w:val="double" w:sz="6" w:space="0" w:color="auto"/>
              <w:left w:val="nil"/>
              <w:bottom w:val="double" w:sz="6" w:space="0" w:color="auto"/>
            </w:tcBorders>
            <w:shd w:val="clear" w:color="auto" w:fill="auto"/>
            <w:noWrap/>
            <w:vAlign w:val="center"/>
            <w:hideMark/>
          </w:tcPr>
          <w:p w14:paraId="0899566D" w14:textId="77777777" w:rsidR="00247CBF" w:rsidRPr="00092ED7" w:rsidRDefault="00247CBF" w:rsidP="00247CBF">
            <w:pPr>
              <w:spacing w:after="0"/>
              <w:jc w:val="right"/>
              <w:rPr>
                <w:b/>
                <w:bCs/>
                <w:sz w:val="20"/>
                <w:szCs w:val="20"/>
                <w:lang w:val="sr-Cyrl-CS"/>
              </w:rPr>
            </w:pPr>
            <w:r w:rsidRPr="00092ED7">
              <w:rPr>
                <w:b/>
                <w:bCs/>
                <w:sz w:val="20"/>
                <w:szCs w:val="20"/>
                <w:lang w:val="sr-Cyrl-CS"/>
              </w:rPr>
              <w:t>2017</w:t>
            </w:r>
          </w:p>
        </w:tc>
        <w:tc>
          <w:tcPr>
            <w:tcW w:w="1316" w:type="dxa"/>
            <w:gridSpan w:val="4"/>
            <w:tcBorders>
              <w:top w:val="double" w:sz="6" w:space="0" w:color="auto"/>
              <w:bottom w:val="double" w:sz="6" w:space="0" w:color="auto"/>
            </w:tcBorders>
            <w:shd w:val="clear" w:color="auto" w:fill="auto"/>
            <w:noWrap/>
            <w:vAlign w:val="center"/>
            <w:hideMark/>
          </w:tcPr>
          <w:p w14:paraId="7D954439" w14:textId="77777777" w:rsidR="00247CBF" w:rsidRPr="00092ED7" w:rsidRDefault="00247CBF" w:rsidP="00247CBF">
            <w:pPr>
              <w:spacing w:after="0"/>
              <w:jc w:val="right"/>
              <w:rPr>
                <w:b/>
                <w:bCs/>
                <w:sz w:val="20"/>
                <w:szCs w:val="20"/>
                <w:lang w:val="sr-Cyrl-CS"/>
              </w:rPr>
            </w:pPr>
            <w:r w:rsidRPr="00092ED7">
              <w:rPr>
                <w:b/>
                <w:bCs/>
                <w:sz w:val="20"/>
                <w:szCs w:val="20"/>
                <w:lang w:val="sr-Cyrl-CS"/>
              </w:rPr>
              <w:t>2018</w:t>
            </w:r>
          </w:p>
        </w:tc>
        <w:tc>
          <w:tcPr>
            <w:tcW w:w="1376" w:type="dxa"/>
            <w:gridSpan w:val="4"/>
            <w:tcBorders>
              <w:top w:val="double" w:sz="6" w:space="0" w:color="auto"/>
              <w:bottom w:val="double" w:sz="6" w:space="0" w:color="auto"/>
            </w:tcBorders>
            <w:shd w:val="clear" w:color="auto" w:fill="auto"/>
            <w:noWrap/>
            <w:vAlign w:val="center"/>
            <w:hideMark/>
          </w:tcPr>
          <w:p w14:paraId="62673A7D" w14:textId="77777777" w:rsidR="00247CBF" w:rsidRPr="00092ED7" w:rsidRDefault="00247CBF" w:rsidP="00247CBF">
            <w:pPr>
              <w:spacing w:after="0"/>
              <w:jc w:val="right"/>
              <w:rPr>
                <w:b/>
                <w:bCs/>
                <w:sz w:val="20"/>
                <w:szCs w:val="20"/>
                <w:lang w:val="sr-Cyrl-CS"/>
              </w:rPr>
            </w:pPr>
            <w:r w:rsidRPr="00092ED7">
              <w:rPr>
                <w:b/>
                <w:bCs/>
                <w:sz w:val="20"/>
                <w:szCs w:val="20"/>
                <w:lang w:val="sr-Cyrl-CS"/>
              </w:rPr>
              <w:t>2019</w:t>
            </w:r>
          </w:p>
        </w:tc>
        <w:tc>
          <w:tcPr>
            <w:tcW w:w="1276" w:type="dxa"/>
            <w:gridSpan w:val="4"/>
            <w:tcBorders>
              <w:top w:val="double" w:sz="6" w:space="0" w:color="auto"/>
              <w:bottom w:val="double" w:sz="6" w:space="0" w:color="auto"/>
            </w:tcBorders>
            <w:shd w:val="clear" w:color="auto" w:fill="auto"/>
            <w:noWrap/>
            <w:vAlign w:val="center"/>
            <w:hideMark/>
          </w:tcPr>
          <w:p w14:paraId="2D3BA9F3" w14:textId="77777777" w:rsidR="00247CBF" w:rsidRPr="00092ED7" w:rsidRDefault="00247CBF" w:rsidP="00247CBF">
            <w:pPr>
              <w:spacing w:after="0"/>
              <w:jc w:val="right"/>
              <w:rPr>
                <w:b/>
                <w:bCs/>
                <w:sz w:val="20"/>
                <w:szCs w:val="20"/>
                <w:lang w:val="sr-Cyrl-CS"/>
              </w:rPr>
            </w:pPr>
            <w:r w:rsidRPr="00092ED7">
              <w:rPr>
                <w:b/>
                <w:bCs/>
                <w:sz w:val="20"/>
                <w:szCs w:val="20"/>
                <w:lang w:val="sr-Cyrl-CS"/>
              </w:rPr>
              <w:t>2020</w:t>
            </w:r>
          </w:p>
        </w:tc>
        <w:tc>
          <w:tcPr>
            <w:tcW w:w="1276" w:type="dxa"/>
            <w:gridSpan w:val="3"/>
            <w:tcBorders>
              <w:top w:val="double" w:sz="6" w:space="0" w:color="auto"/>
              <w:bottom w:val="double" w:sz="6" w:space="0" w:color="auto"/>
            </w:tcBorders>
            <w:shd w:val="clear" w:color="auto" w:fill="auto"/>
            <w:noWrap/>
            <w:vAlign w:val="center"/>
            <w:hideMark/>
          </w:tcPr>
          <w:p w14:paraId="64F38F44" w14:textId="77777777" w:rsidR="00247CBF" w:rsidRPr="00092ED7" w:rsidRDefault="00247CBF" w:rsidP="00247CBF">
            <w:pPr>
              <w:spacing w:after="0"/>
              <w:jc w:val="right"/>
              <w:rPr>
                <w:b/>
                <w:bCs/>
                <w:sz w:val="20"/>
                <w:szCs w:val="20"/>
                <w:lang w:val="sr-Cyrl-CS"/>
              </w:rPr>
            </w:pPr>
            <w:r w:rsidRPr="00092ED7">
              <w:rPr>
                <w:b/>
                <w:bCs/>
                <w:sz w:val="20"/>
                <w:szCs w:val="20"/>
                <w:lang w:val="sr-Cyrl-CS"/>
              </w:rPr>
              <w:t>2021</w:t>
            </w:r>
          </w:p>
        </w:tc>
        <w:tc>
          <w:tcPr>
            <w:tcW w:w="1268" w:type="dxa"/>
            <w:gridSpan w:val="3"/>
            <w:tcBorders>
              <w:top w:val="double" w:sz="6" w:space="0" w:color="auto"/>
              <w:bottom w:val="double" w:sz="6" w:space="0" w:color="auto"/>
              <w:right w:val="double" w:sz="6" w:space="0" w:color="auto"/>
            </w:tcBorders>
            <w:shd w:val="clear" w:color="auto" w:fill="auto"/>
            <w:noWrap/>
            <w:vAlign w:val="center"/>
            <w:hideMark/>
          </w:tcPr>
          <w:p w14:paraId="6ECC022F" w14:textId="77777777" w:rsidR="00247CBF" w:rsidRPr="00092ED7" w:rsidRDefault="00247CBF" w:rsidP="00247CBF">
            <w:pPr>
              <w:spacing w:after="0"/>
              <w:jc w:val="right"/>
              <w:rPr>
                <w:b/>
                <w:bCs/>
                <w:sz w:val="20"/>
                <w:szCs w:val="20"/>
                <w:lang w:val="sr-Cyrl-CS"/>
              </w:rPr>
            </w:pPr>
            <w:r w:rsidRPr="00092ED7">
              <w:rPr>
                <w:b/>
                <w:bCs/>
                <w:sz w:val="20"/>
                <w:szCs w:val="20"/>
                <w:lang w:val="sr-Cyrl-CS"/>
              </w:rPr>
              <w:t>2022</w:t>
            </w:r>
          </w:p>
        </w:tc>
      </w:tr>
      <w:tr w:rsidR="004B0AC2" w:rsidRPr="00092ED7" w14:paraId="55F0C83A" w14:textId="77777777" w:rsidTr="004B0AC2">
        <w:trPr>
          <w:gridAfter w:val="2"/>
          <w:wAfter w:w="293" w:type="dxa"/>
          <w:trHeight w:val="315"/>
        </w:trPr>
        <w:tc>
          <w:tcPr>
            <w:tcW w:w="4962" w:type="dxa"/>
            <w:gridSpan w:val="3"/>
            <w:tcBorders>
              <w:top w:val="nil"/>
              <w:left w:val="double" w:sz="6" w:space="0" w:color="auto"/>
              <w:bottom w:val="dotted" w:sz="4" w:space="0" w:color="auto"/>
              <w:right w:val="single" w:sz="8" w:space="0" w:color="auto"/>
            </w:tcBorders>
            <w:shd w:val="clear" w:color="auto" w:fill="auto"/>
            <w:hideMark/>
          </w:tcPr>
          <w:p w14:paraId="04F0E33C" w14:textId="77777777" w:rsidR="00247CBF" w:rsidRPr="00092ED7" w:rsidRDefault="00247CBF" w:rsidP="00247CBF">
            <w:pPr>
              <w:spacing w:after="0"/>
              <w:ind w:firstLineChars="100" w:firstLine="200"/>
              <w:jc w:val="left"/>
              <w:rPr>
                <w:sz w:val="20"/>
                <w:szCs w:val="20"/>
                <w:lang w:val="sr-Cyrl-CS"/>
              </w:rPr>
            </w:pPr>
            <w:r w:rsidRPr="00092ED7">
              <w:rPr>
                <w:sz w:val="20"/>
                <w:szCs w:val="20"/>
                <w:lang w:val="sr-Cyrl-CS"/>
              </w:rPr>
              <w:t xml:space="preserve">1. Биланс текућих трансакција [1] </w:t>
            </w:r>
          </w:p>
        </w:tc>
        <w:tc>
          <w:tcPr>
            <w:tcW w:w="1447" w:type="dxa"/>
            <w:gridSpan w:val="3"/>
            <w:tcBorders>
              <w:top w:val="nil"/>
              <w:left w:val="nil"/>
              <w:bottom w:val="dotted" w:sz="4" w:space="0" w:color="auto"/>
              <w:right w:val="single" w:sz="8" w:space="0" w:color="auto"/>
            </w:tcBorders>
            <w:shd w:val="clear" w:color="auto" w:fill="auto"/>
            <w:vAlign w:val="center"/>
            <w:hideMark/>
          </w:tcPr>
          <w:p w14:paraId="284A33E3" w14:textId="77777777" w:rsidR="00247CBF" w:rsidRPr="00092ED7" w:rsidRDefault="00247CBF" w:rsidP="00247CBF">
            <w:pPr>
              <w:spacing w:after="0"/>
              <w:jc w:val="center"/>
              <w:rPr>
                <w:sz w:val="16"/>
                <w:szCs w:val="16"/>
                <w:lang w:val="sr-Cyrl-CS"/>
              </w:rPr>
            </w:pPr>
            <w:r w:rsidRPr="00092ED7">
              <w:rPr>
                <w:sz w:val="16"/>
                <w:szCs w:val="16"/>
                <w:lang w:val="sr-Cyrl-CS"/>
              </w:rPr>
              <w:t>млрд ЕУР</w:t>
            </w:r>
          </w:p>
        </w:tc>
        <w:tc>
          <w:tcPr>
            <w:tcW w:w="1388" w:type="dxa"/>
            <w:gridSpan w:val="4"/>
            <w:tcBorders>
              <w:top w:val="nil"/>
              <w:left w:val="nil"/>
              <w:bottom w:val="dashed" w:sz="4" w:space="0" w:color="auto"/>
              <w:right w:val="dashed" w:sz="4" w:space="0" w:color="auto"/>
            </w:tcBorders>
            <w:shd w:val="clear" w:color="auto" w:fill="auto"/>
            <w:noWrap/>
            <w:vAlign w:val="center"/>
            <w:hideMark/>
          </w:tcPr>
          <w:p w14:paraId="41B5630E" w14:textId="77777777" w:rsidR="00247CBF" w:rsidRPr="00092ED7" w:rsidRDefault="00247CBF" w:rsidP="00247CBF">
            <w:pPr>
              <w:spacing w:after="0"/>
              <w:jc w:val="right"/>
              <w:rPr>
                <w:sz w:val="20"/>
                <w:szCs w:val="20"/>
                <w:lang w:val="sr-Cyrl-CS"/>
              </w:rPr>
            </w:pPr>
            <w:r w:rsidRPr="00092ED7">
              <w:rPr>
                <w:sz w:val="20"/>
                <w:szCs w:val="20"/>
                <w:lang w:val="sr-Cyrl-CS"/>
              </w:rPr>
              <w:t>-2,1</w:t>
            </w:r>
          </w:p>
        </w:tc>
        <w:tc>
          <w:tcPr>
            <w:tcW w:w="1316" w:type="dxa"/>
            <w:gridSpan w:val="4"/>
            <w:tcBorders>
              <w:top w:val="nil"/>
              <w:left w:val="nil"/>
              <w:bottom w:val="dashed" w:sz="4" w:space="0" w:color="auto"/>
              <w:right w:val="dashed" w:sz="4" w:space="0" w:color="auto"/>
            </w:tcBorders>
            <w:shd w:val="clear" w:color="auto" w:fill="auto"/>
            <w:noWrap/>
            <w:vAlign w:val="center"/>
            <w:hideMark/>
          </w:tcPr>
          <w:p w14:paraId="66A5F6E3" w14:textId="77777777" w:rsidR="00247CBF" w:rsidRPr="00092ED7" w:rsidRDefault="00247CBF" w:rsidP="00247CBF">
            <w:pPr>
              <w:spacing w:after="0"/>
              <w:jc w:val="right"/>
              <w:rPr>
                <w:sz w:val="20"/>
                <w:szCs w:val="20"/>
                <w:lang w:val="sr-Cyrl-CS"/>
              </w:rPr>
            </w:pPr>
            <w:r w:rsidRPr="00092ED7">
              <w:rPr>
                <w:sz w:val="20"/>
                <w:szCs w:val="20"/>
                <w:lang w:val="sr-Cyrl-CS"/>
              </w:rPr>
              <w:t>-2,1</w:t>
            </w:r>
          </w:p>
        </w:tc>
        <w:tc>
          <w:tcPr>
            <w:tcW w:w="1376" w:type="dxa"/>
            <w:gridSpan w:val="4"/>
            <w:tcBorders>
              <w:top w:val="nil"/>
              <w:left w:val="nil"/>
              <w:bottom w:val="dashed" w:sz="4" w:space="0" w:color="auto"/>
              <w:right w:val="dashed" w:sz="4" w:space="0" w:color="auto"/>
            </w:tcBorders>
            <w:shd w:val="clear" w:color="auto" w:fill="auto"/>
            <w:noWrap/>
            <w:vAlign w:val="center"/>
            <w:hideMark/>
          </w:tcPr>
          <w:p w14:paraId="07FD4466" w14:textId="77777777" w:rsidR="00247CBF" w:rsidRPr="00092ED7" w:rsidRDefault="00247CBF" w:rsidP="00247CBF">
            <w:pPr>
              <w:spacing w:after="0"/>
              <w:jc w:val="right"/>
              <w:rPr>
                <w:sz w:val="20"/>
                <w:szCs w:val="20"/>
                <w:lang w:val="sr-Cyrl-CS"/>
              </w:rPr>
            </w:pPr>
            <w:r w:rsidRPr="00092ED7">
              <w:rPr>
                <w:sz w:val="20"/>
                <w:szCs w:val="20"/>
                <w:lang w:val="sr-Cyrl-CS"/>
              </w:rPr>
              <w:t>-3,2</w:t>
            </w:r>
          </w:p>
        </w:tc>
        <w:tc>
          <w:tcPr>
            <w:tcW w:w="1276" w:type="dxa"/>
            <w:gridSpan w:val="4"/>
            <w:tcBorders>
              <w:top w:val="nil"/>
              <w:left w:val="nil"/>
              <w:bottom w:val="dashed" w:sz="4" w:space="0" w:color="auto"/>
              <w:right w:val="dashed" w:sz="4" w:space="0" w:color="auto"/>
            </w:tcBorders>
            <w:shd w:val="clear" w:color="auto" w:fill="auto"/>
            <w:noWrap/>
            <w:vAlign w:val="center"/>
            <w:hideMark/>
          </w:tcPr>
          <w:p w14:paraId="1A35C00B" w14:textId="77777777" w:rsidR="00247CBF" w:rsidRPr="00092ED7" w:rsidRDefault="00247CBF" w:rsidP="00247CBF">
            <w:pPr>
              <w:spacing w:after="0"/>
              <w:jc w:val="right"/>
              <w:rPr>
                <w:sz w:val="20"/>
                <w:szCs w:val="20"/>
                <w:lang w:val="sr-Cyrl-CS"/>
              </w:rPr>
            </w:pPr>
            <w:r w:rsidRPr="00092ED7">
              <w:rPr>
                <w:sz w:val="20"/>
                <w:szCs w:val="20"/>
                <w:lang w:val="sr-Cyrl-CS"/>
              </w:rPr>
              <w:t>-1,9</w:t>
            </w:r>
          </w:p>
        </w:tc>
        <w:tc>
          <w:tcPr>
            <w:tcW w:w="1276" w:type="dxa"/>
            <w:gridSpan w:val="3"/>
            <w:tcBorders>
              <w:top w:val="nil"/>
              <w:left w:val="nil"/>
              <w:bottom w:val="dashed" w:sz="4" w:space="0" w:color="auto"/>
              <w:right w:val="dashed" w:sz="4" w:space="0" w:color="auto"/>
            </w:tcBorders>
            <w:shd w:val="clear" w:color="auto" w:fill="auto"/>
            <w:noWrap/>
            <w:vAlign w:val="center"/>
            <w:hideMark/>
          </w:tcPr>
          <w:p w14:paraId="1B15284F" w14:textId="77777777" w:rsidR="00247CBF" w:rsidRPr="00092ED7" w:rsidRDefault="00247CBF" w:rsidP="00247CBF">
            <w:pPr>
              <w:spacing w:after="0"/>
              <w:jc w:val="right"/>
              <w:rPr>
                <w:sz w:val="20"/>
                <w:szCs w:val="20"/>
                <w:lang w:val="sr-Cyrl-CS"/>
              </w:rPr>
            </w:pPr>
            <w:r w:rsidRPr="00092ED7">
              <w:rPr>
                <w:sz w:val="20"/>
                <w:szCs w:val="20"/>
                <w:lang w:val="sr-Cyrl-CS"/>
              </w:rPr>
              <w:t>-2,3</w:t>
            </w:r>
          </w:p>
        </w:tc>
        <w:tc>
          <w:tcPr>
            <w:tcW w:w="1268" w:type="dxa"/>
            <w:gridSpan w:val="3"/>
            <w:tcBorders>
              <w:top w:val="nil"/>
              <w:left w:val="nil"/>
              <w:bottom w:val="dashed" w:sz="4" w:space="0" w:color="auto"/>
              <w:right w:val="double" w:sz="6" w:space="0" w:color="auto"/>
            </w:tcBorders>
            <w:shd w:val="clear" w:color="auto" w:fill="auto"/>
            <w:noWrap/>
            <w:vAlign w:val="center"/>
            <w:hideMark/>
          </w:tcPr>
          <w:p w14:paraId="15B82F06" w14:textId="77777777" w:rsidR="00247CBF" w:rsidRPr="00092ED7" w:rsidRDefault="00247CBF" w:rsidP="00247CBF">
            <w:pPr>
              <w:spacing w:after="0"/>
              <w:jc w:val="right"/>
              <w:rPr>
                <w:sz w:val="20"/>
                <w:szCs w:val="20"/>
                <w:lang w:val="sr-Cyrl-CS"/>
              </w:rPr>
            </w:pPr>
            <w:r w:rsidRPr="00092ED7">
              <w:rPr>
                <w:sz w:val="20"/>
                <w:szCs w:val="20"/>
                <w:lang w:val="sr-Cyrl-CS"/>
              </w:rPr>
              <w:t>-3,0</w:t>
            </w:r>
          </w:p>
        </w:tc>
      </w:tr>
      <w:tr w:rsidR="004B0AC2" w:rsidRPr="00092ED7" w14:paraId="6EF52906" w14:textId="77777777" w:rsidTr="004B0AC2">
        <w:trPr>
          <w:gridAfter w:val="2"/>
          <w:wAfter w:w="293" w:type="dxa"/>
          <w:trHeight w:val="315"/>
        </w:trPr>
        <w:tc>
          <w:tcPr>
            <w:tcW w:w="4962" w:type="dxa"/>
            <w:gridSpan w:val="3"/>
            <w:tcBorders>
              <w:top w:val="nil"/>
              <w:left w:val="double" w:sz="6" w:space="0" w:color="auto"/>
              <w:bottom w:val="dotted" w:sz="4" w:space="0" w:color="auto"/>
              <w:right w:val="single" w:sz="8" w:space="0" w:color="auto"/>
            </w:tcBorders>
            <w:shd w:val="clear" w:color="auto" w:fill="auto"/>
            <w:hideMark/>
          </w:tcPr>
          <w:p w14:paraId="113E4B1D" w14:textId="77777777" w:rsidR="00247CBF" w:rsidRPr="00092ED7" w:rsidRDefault="00247CBF" w:rsidP="00247CBF">
            <w:pPr>
              <w:spacing w:after="0"/>
              <w:ind w:firstLineChars="100" w:firstLine="200"/>
              <w:rPr>
                <w:sz w:val="20"/>
                <w:szCs w:val="20"/>
                <w:lang w:val="sr-Cyrl-CS"/>
              </w:rPr>
            </w:pPr>
            <w:r w:rsidRPr="00092ED7">
              <w:rPr>
                <w:sz w:val="20"/>
                <w:szCs w:val="20"/>
                <w:lang w:val="sr-Cyrl-CS"/>
              </w:rPr>
              <w:t>2. Нето међународна инвестициона позиција [2]</w:t>
            </w:r>
          </w:p>
        </w:tc>
        <w:tc>
          <w:tcPr>
            <w:tcW w:w="1447" w:type="dxa"/>
            <w:gridSpan w:val="3"/>
            <w:tcBorders>
              <w:top w:val="nil"/>
              <w:left w:val="nil"/>
              <w:bottom w:val="dotted" w:sz="4" w:space="0" w:color="auto"/>
              <w:right w:val="single" w:sz="8" w:space="0" w:color="auto"/>
            </w:tcBorders>
            <w:shd w:val="clear" w:color="auto" w:fill="auto"/>
            <w:vAlign w:val="center"/>
            <w:hideMark/>
          </w:tcPr>
          <w:p w14:paraId="1DD45C8C" w14:textId="77777777" w:rsidR="00247CBF" w:rsidRPr="00092ED7" w:rsidRDefault="00247CBF" w:rsidP="00247CBF">
            <w:pPr>
              <w:spacing w:after="0"/>
              <w:jc w:val="center"/>
              <w:rPr>
                <w:sz w:val="16"/>
                <w:szCs w:val="16"/>
                <w:lang w:val="sr-Cyrl-CS"/>
              </w:rPr>
            </w:pPr>
            <w:r w:rsidRPr="00092ED7">
              <w:rPr>
                <w:sz w:val="16"/>
                <w:szCs w:val="16"/>
                <w:lang w:val="sr-Cyrl-CS"/>
              </w:rPr>
              <w:t>млрд ЕУР</w:t>
            </w:r>
          </w:p>
        </w:tc>
        <w:tc>
          <w:tcPr>
            <w:tcW w:w="1388" w:type="dxa"/>
            <w:gridSpan w:val="4"/>
            <w:tcBorders>
              <w:top w:val="nil"/>
              <w:left w:val="nil"/>
              <w:bottom w:val="dashed" w:sz="4" w:space="0" w:color="auto"/>
              <w:right w:val="dashed" w:sz="4" w:space="0" w:color="auto"/>
            </w:tcBorders>
            <w:shd w:val="clear" w:color="auto" w:fill="auto"/>
            <w:noWrap/>
            <w:vAlign w:val="center"/>
            <w:hideMark/>
          </w:tcPr>
          <w:p w14:paraId="76EF257F" w14:textId="77777777" w:rsidR="00247CBF" w:rsidRPr="00092ED7" w:rsidRDefault="00247CBF" w:rsidP="00247CBF">
            <w:pPr>
              <w:spacing w:after="0"/>
              <w:jc w:val="right"/>
              <w:rPr>
                <w:sz w:val="20"/>
                <w:szCs w:val="20"/>
                <w:lang w:val="sr-Cyrl-CS"/>
              </w:rPr>
            </w:pPr>
            <w:r w:rsidRPr="00092ED7">
              <w:rPr>
                <w:sz w:val="20"/>
                <w:szCs w:val="20"/>
                <w:lang w:val="sr-Cyrl-CS"/>
              </w:rPr>
              <w:t>-35,6</w:t>
            </w:r>
          </w:p>
        </w:tc>
        <w:tc>
          <w:tcPr>
            <w:tcW w:w="1316" w:type="dxa"/>
            <w:gridSpan w:val="4"/>
            <w:tcBorders>
              <w:top w:val="nil"/>
              <w:left w:val="nil"/>
              <w:bottom w:val="dashed" w:sz="4" w:space="0" w:color="auto"/>
              <w:right w:val="dashed" w:sz="4" w:space="0" w:color="auto"/>
            </w:tcBorders>
            <w:shd w:val="clear" w:color="auto" w:fill="auto"/>
            <w:noWrap/>
            <w:vAlign w:val="center"/>
            <w:hideMark/>
          </w:tcPr>
          <w:p w14:paraId="4F7E73A5" w14:textId="77777777" w:rsidR="00247CBF" w:rsidRPr="00092ED7" w:rsidRDefault="00247CBF" w:rsidP="00247CBF">
            <w:pPr>
              <w:spacing w:after="0"/>
              <w:jc w:val="right"/>
              <w:rPr>
                <w:sz w:val="20"/>
                <w:szCs w:val="20"/>
                <w:lang w:val="sr-Cyrl-CS"/>
              </w:rPr>
            </w:pPr>
            <w:r w:rsidRPr="00092ED7">
              <w:rPr>
                <w:sz w:val="20"/>
                <w:szCs w:val="20"/>
                <w:lang w:val="sr-Cyrl-CS"/>
              </w:rPr>
              <w:t>-37,6</w:t>
            </w:r>
          </w:p>
        </w:tc>
        <w:tc>
          <w:tcPr>
            <w:tcW w:w="1376" w:type="dxa"/>
            <w:gridSpan w:val="4"/>
            <w:tcBorders>
              <w:top w:val="nil"/>
              <w:left w:val="nil"/>
              <w:bottom w:val="dashed" w:sz="4" w:space="0" w:color="auto"/>
              <w:right w:val="dashed" w:sz="4" w:space="0" w:color="auto"/>
            </w:tcBorders>
            <w:shd w:val="clear" w:color="auto" w:fill="auto"/>
            <w:noWrap/>
            <w:vAlign w:val="center"/>
            <w:hideMark/>
          </w:tcPr>
          <w:p w14:paraId="41275A2E" w14:textId="77777777" w:rsidR="00247CBF" w:rsidRPr="00092ED7" w:rsidRDefault="00247CBF" w:rsidP="00247CBF">
            <w:pPr>
              <w:spacing w:after="0"/>
              <w:jc w:val="right"/>
              <w:rPr>
                <w:sz w:val="20"/>
                <w:szCs w:val="20"/>
                <w:lang w:val="sr-Cyrl-CS"/>
              </w:rPr>
            </w:pPr>
            <w:r w:rsidRPr="00092ED7">
              <w:rPr>
                <w:sz w:val="20"/>
                <w:szCs w:val="20"/>
                <w:lang w:val="sr-Cyrl-CS"/>
              </w:rPr>
              <w:t>-40,5</w:t>
            </w:r>
          </w:p>
        </w:tc>
        <w:tc>
          <w:tcPr>
            <w:tcW w:w="1276" w:type="dxa"/>
            <w:gridSpan w:val="4"/>
            <w:tcBorders>
              <w:top w:val="nil"/>
              <w:left w:val="nil"/>
              <w:bottom w:val="dashed" w:sz="4" w:space="0" w:color="auto"/>
              <w:right w:val="dashed" w:sz="4" w:space="0" w:color="auto"/>
            </w:tcBorders>
            <w:shd w:val="clear" w:color="auto" w:fill="auto"/>
            <w:noWrap/>
            <w:vAlign w:val="center"/>
            <w:hideMark/>
          </w:tcPr>
          <w:p w14:paraId="1DBB7D5D" w14:textId="77777777" w:rsidR="00247CBF" w:rsidRPr="00092ED7" w:rsidRDefault="00247CBF" w:rsidP="00247CBF">
            <w:pPr>
              <w:spacing w:after="0"/>
              <w:jc w:val="right"/>
              <w:rPr>
                <w:sz w:val="20"/>
                <w:szCs w:val="20"/>
                <w:lang w:val="sr-Cyrl-CS"/>
              </w:rPr>
            </w:pPr>
            <w:r w:rsidRPr="00092ED7">
              <w:rPr>
                <w:sz w:val="20"/>
                <w:szCs w:val="20"/>
                <w:lang w:val="sr-Cyrl-CS"/>
              </w:rPr>
              <w:t>-42,3</w:t>
            </w:r>
          </w:p>
        </w:tc>
        <w:tc>
          <w:tcPr>
            <w:tcW w:w="1276" w:type="dxa"/>
            <w:gridSpan w:val="3"/>
            <w:tcBorders>
              <w:top w:val="nil"/>
              <w:left w:val="nil"/>
              <w:bottom w:val="dashed" w:sz="4" w:space="0" w:color="auto"/>
              <w:right w:val="dashed" w:sz="4" w:space="0" w:color="auto"/>
            </w:tcBorders>
            <w:shd w:val="clear" w:color="auto" w:fill="auto"/>
            <w:noWrap/>
            <w:vAlign w:val="center"/>
            <w:hideMark/>
          </w:tcPr>
          <w:p w14:paraId="3CC52CC8" w14:textId="77777777" w:rsidR="00247CBF" w:rsidRPr="00092ED7" w:rsidRDefault="00247CBF" w:rsidP="00247CBF">
            <w:pPr>
              <w:spacing w:after="0"/>
              <w:jc w:val="right"/>
              <w:rPr>
                <w:sz w:val="20"/>
                <w:szCs w:val="20"/>
                <w:lang w:val="sr-Cyrl-CS"/>
              </w:rPr>
            </w:pPr>
            <w:r w:rsidRPr="00092ED7">
              <w:rPr>
                <w:sz w:val="20"/>
                <w:szCs w:val="20"/>
                <w:lang w:val="sr-Cyrl-CS"/>
              </w:rPr>
              <w:t>-44,3</w:t>
            </w:r>
          </w:p>
        </w:tc>
        <w:tc>
          <w:tcPr>
            <w:tcW w:w="1268" w:type="dxa"/>
            <w:gridSpan w:val="3"/>
            <w:tcBorders>
              <w:top w:val="dashed" w:sz="4" w:space="0" w:color="auto"/>
              <w:left w:val="nil"/>
              <w:bottom w:val="dashed" w:sz="4" w:space="0" w:color="auto"/>
              <w:right w:val="double" w:sz="4" w:space="0" w:color="auto"/>
            </w:tcBorders>
            <w:shd w:val="clear" w:color="auto" w:fill="auto"/>
            <w:noWrap/>
            <w:vAlign w:val="center"/>
            <w:hideMark/>
          </w:tcPr>
          <w:p w14:paraId="7353BFE2" w14:textId="77777777" w:rsidR="00247CBF" w:rsidRPr="00092ED7" w:rsidRDefault="00247CBF" w:rsidP="00247CBF">
            <w:pPr>
              <w:spacing w:after="0"/>
              <w:jc w:val="right"/>
              <w:rPr>
                <w:sz w:val="20"/>
                <w:szCs w:val="20"/>
                <w:lang w:val="sr-Cyrl-CS"/>
              </w:rPr>
            </w:pPr>
            <w:r w:rsidRPr="00092ED7">
              <w:rPr>
                <w:sz w:val="20"/>
                <w:szCs w:val="20"/>
                <w:lang w:val="sr-Cyrl-CS"/>
              </w:rPr>
              <w:t>-47,0</w:t>
            </w:r>
          </w:p>
        </w:tc>
      </w:tr>
      <w:tr w:rsidR="004B0AC2" w:rsidRPr="00092ED7" w14:paraId="22BD5074" w14:textId="77777777" w:rsidTr="004B0AC2">
        <w:trPr>
          <w:gridAfter w:val="2"/>
          <w:wAfter w:w="293" w:type="dxa"/>
          <w:trHeight w:val="480"/>
        </w:trPr>
        <w:tc>
          <w:tcPr>
            <w:tcW w:w="4962" w:type="dxa"/>
            <w:gridSpan w:val="3"/>
            <w:tcBorders>
              <w:top w:val="nil"/>
              <w:left w:val="double" w:sz="6" w:space="0" w:color="auto"/>
              <w:bottom w:val="dotted" w:sz="4" w:space="0" w:color="auto"/>
              <w:right w:val="single" w:sz="8" w:space="0" w:color="auto"/>
            </w:tcBorders>
            <w:shd w:val="clear" w:color="auto" w:fill="auto"/>
            <w:hideMark/>
          </w:tcPr>
          <w:p w14:paraId="4E33C8FC" w14:textId="77777777" w:rsidR="00247CBF" w:rsidRPr="00092ED7" w:rsidRDefault="00247CBF" w:rsidP="00247CBF">
            <w:pPr>
              <w:spacing w:after="0"/>
              <w:ind w:firstLineChars="100" w:firstLine="200"/>
              <w:rPr>
                <w:sz w:val="20"/>
                <w:szCs w:val="20"/>
                <w:lang w:val="sr-Cyrl-CS"/>
              </w:rPr>
            </w:pPr>
            <w:r w:rsidRPr="00092ED7">
              <w:rPr>
                <w:sz w:val="20"/>
                <w:szCs w:val="20"/>
                <w:lang w:val="sr-Cyrl-CS"/>
              </w:rPr>
              <w:t>3. Удели на извозним тржиштима</w:t>
            </w:r>
          </w:p>
        </w:tc>
        <w:tc>
          <w:tcPr>
            <w:tcW w:w="1447" w:type="dxa"/>
            <w:gridSpan w:val="3"/>
            <w:tcBorders>
              <w:top w:val="nil"/>
              <w:left w:val="nil"/>
              <w:bottom w:val="dotted" w:sz="4" w:space="0" w:color="auto"/>
              <w:right w:val="single" w:sz="8" w:space="0" w:color="auto"/>
            </w:tcBorders>
            <w:shd w:val="clear" w:color="auto" w:fill="auto"/>
            <w:vAlign w:val="center"/>
            <w:hideMark/>
          </w:tcPr>
          <w:p w14:paraId="33B2447D" w14:textId="77777777" w:rsidR="00247CBF" w:rsidRPr="00092ED7" w:rsidRDefault="00247CBF" w:rsidP="00247CBF">
            <w:pPr>
              <w:spacing w:after="0"/>
              <w:jc w:val="center"/>
              <w:rPr>
                <w:sz w:val="18"/>
                <w:szCs w:val="18"/>
                <w:lang w:val="sr-Cyrl-CS"/>
              </w:rPr>
            </w:pPr>
            <w:r w:rsidRPr="00092ED7">
              <w:rPr>
                <w:sz w:val="18"/>
                <w:szCs w:val="18"/>
                <w:lang w:val="sr-Cyrl-CS"/>
              </w:rPr>
              <w:t>% укупног извозног тржишта</w:t>
            </w:r>
          </w:p>
        </w:tc>
        <w:tc>
          <w:tcPr>
            <w:tcW w:w="1388" w:type="dxa"/>
            <w:gridSpan w:val="4"/>
            <w:tcBorders>
              <w:top w:val="nil"/>
              <w:left w:val="nil"/>
              <w:bottom w:val="dashed" w:sz="4" w:space="0" w:color="auto"/>
              <w:right w:val="dashed" w:sz="4" w:space="0" w:color="auto"/>
            </w:tcBorders>
            <w:shd w:val="clear" w:color="auto" w:fill="auto"/>
            <w:noWrap/>
            <w:vAlign w:val="center"/>
            <w:hideMark/>
          </w:tcPr>
          <w:p w14:paraId="58FA3A30"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316" w:type="dxa"/>
            <w:gridSpan w:val="4"/>
            <w:tcBorders>
              <w:top w:val="nil"/>
              <w:left w:val="nil"/>
              <w:bottom w:val="dashed" w:sz="4" w:space="0" w:color="auto"/>
              <w:right w:val="dashed" w:sz="4" w:space="0" w:color="auto"/>
            </w:tcBorders>
            <w:shd w:val="clear" w:color="auto" w:fill="auto"/>
            <w:noWrap/>
            <w:vAlign w:val="center"/>
            <w:hideMark/>
          </w:tcPr>
          <w:p w14:paraId="129727EB"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376" w:type="dxa"/>
            <w:gridSpan w:val="4"/>
            <w:tcBorders>
              <w:top w:val="nil"/>
              <w:left w:val="nil"/>
              <w:bottom w:val="dashed" w:sz="4" w:space="0" w:color="auto"/>
              <w:right w:val="dashed" w:sz="4" w:space="0" w:color="auto"/>
            </w:tcBorders>
            <w:shd w:val="clear" w:color="auto" w:fill="auto"/>
            <w:noWrap/>
            <w:vAlign w:val="center"/>
            <w:hideMark/>
          </w:tcPr>
          <w:p w14:paraId="4BE32C1A"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276" w:type="dxa"/>
            <w:gridSpan w:val="4"/>
            <w:tcBorders>
              <w:top w:val="nil"/>
              <w:left w:val="nil"/>
              <w:bottom w:val="dashed" w:sz="4" w:space="0" w:color="auto"/>
              <w:right w:val="dashed" w:sz="4" w:space="0" w:color="auto"/>
            </w:tcBorders>
            <w:shd w:val="clear" w:color="auto" w:fill="auto"/>
            <w:noWrap/>
            <w:vAlign w:val="center"/>
            <w:hideMark/>
          </w:tcPr>
          <w:p w14:paraId="651FB118"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276" w:type="dxa"/>
            <w:gridSpan w:val="3"/>
            <w:tcBorders>
              <w:top w:val="nil"/>
              <w:left w:val="nil"/>
              <w:bottom w:val="dashed" w:sz="4" w:space="0" w:color="auto"/>
              <w:right w:val="dashed" w:sz="4" w:space="0" w:color="auto"/>
            </w:tcBorders>
            <w:shd w:val="clear" w:color="auto" w:fill="auto"/>
            <w:noWrap/>
            <w:vAlign w:val="center"/>
            <w:hideMark/>
          </w:tcPr>
          <w:p w14:paraId="0BD9C2C8"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268" w:type="dxa"/>
            <w:gridSpan w:val="3"/>
            <w:tcBorders>
              <w:top w:val="dashed" w:sz="4" w:space="0" w:color="auto"/>
              <w:left w:val="nil"/>
              <w:bottom w:val="dashed" w:sz="4" w:space="0" w:color="auto"/>
              <w:right w:val="double" w:sz="4" w:space="0" w:color="auto"/>
            </w:tcBorders>
            <w:shd w:val="clear" w:color="auto" w:fill="auto"/>
            <w:noWrap/>
            <w:vAlign w:val="center"/>
            <w:hideMark/>
          </w:tcPr>
          <w:p w14:paraId="3C123D10" w14:textId="77777777" w:rsidR="00247CBF" w:rsidRPr="00092ED7" w:rsidRDefault="00247CBF" w:rsidP="00247CBF">
            <w:pPr>
              <w:spacing w:after="0"/>
              <w:jc w:val="right"/>
              <w:rPr>
                <w:sz w:val="20"/>
                <w:szCs w:val="20"/>
                <w:lang w:val="sr-Cyrl-CS"/>
              </w:rPr>
            </w:pPr>
            <w:r w:rsidRPr="00092ED7">
              <w:rPr>
                <w:sz w:val="20"/>
                <w:szCs w:val="20"/>
                <w:lang w:val="sr-Cyrl-CS"/>
              </w:rPr>
              <w:t> </w:t>
            </w:r>
          </w:p>
        </w:tc>
      </w:tr>
      <w:tr w:rsidR="004B0AC2" w:rsidRPr="00092ED7" w14:paraId="07D798AA" w14:textId="77777777" w:rsidTr="004B0AC2">
        <w:trPr>
          <w:gridAfter w:val="2"/>
          <w:wAfter w:w="293" w:type="dxa"/>
          <w:trHeight w:val="255"/>
        </w:trPr>
        <w:tc>
          <w:tcPr>
            <w:tcW w:w="4962" w:type="dxa"/>
            <w:gridSpan w:val="3"/>
            <w:tcBorders>
              <w:top w:val="nil"/>
              <w:left w:val="double" w:sz="6" w:space="0" w:color="auto"/>
              <w:bottom w:val="dotted" w:sz="4" w:space="0" w:color="auto"/>
              <w:right w:val="single" w:sz="8" w:space="0" w:color="auto"/>
            </w:tcBorders>
            <w:shd w:val="clear" w:color="auto" w:fill="auto"/>
            <w:hideMark/>
          </w:tcPr>
          <w:p w14:paraId="53C42A1C" w14:textId="77777777" w:rsidR="00247CBF" w:rsidRPr="00092ED7" w:rsidRDefault="00247CBF" w:rsidP="00247CBF">
            <w:pPr>
              <w:spacing w:after="0"/>
              <w:ind w:firstLineChars="100" w:firstLine="200"/>
              <w:rPr>
                <w:sz w:val="20"/>
                <w:szCs w:val="20"/>
                <w:lang w:val="sr-Cyrl-CS"/>
              </w:rPr>
            </w:pPr>
            <w:r w:rsidRPr="00092ED7">
              <w:rPr>
                <w:sz w:val="20"/>
                <w:szCs w:val="20"/>
                <w:lang w:val="sr-Cyrl-CS"/>
              </w:rPr>
              <w:t>4. Реални ефективни девизни курс [1]</w:t>
            </w:r>
          </w:p>
        </w:tc>
        <w:tc>
          <w:tcPr>
            <w:tcW w:w="1447" w:type="dxa"/>
            <w:gridSpan w:val="3"/>
            <w:tcBorders>
              <w:top w:val="nil"/>
              <w:left w:val="nil"/>
              <w:bottom w:val="dotted" w:sz="4" w:space="0" w:color="auto"/>
              <w:right w:val="single" w:sz="8" w:space="0" w:color="auto"/>
            </w:tcBorders>
            <w:shd w:val="clear" w:color="auto" w:fill="auto"/>
            <w:vAlign w:val="center"/>
            <w:hideMark/>
          </w:tcPr>
          <w:p w14:paraId="27906850" w14:textId="77777777" w:rsidR="00247CBF" w:rsidRPr="00092ED7" w:rsidRDefault="00247CBF" w:rsidP="00247CBF">
            <w:pPr>
              <w:spacing w:after="0"/>
              <w:jc w:val="center"/>
              <w:rPr>
                <w:sz w:val="18"/>
                <w:szCs w:val="18"/>
                <w:lang w:val="sr-Cyrl-CS"/>
              </w:rPr>
            </w:pPr>
            <w:r w:rsidRPr="00092ED7">
              <w:rPr>
                <w:sz w:val="18"/>
                <w:szCs w:val="18"/>
                <w:lang w:val="sr-Cyrl-CS"/>
              </w:rPr>
              <w:t>Индекс</w:t>
            </w:r>
          </w:p>
        </w:tc>
        <w:tc>
          <w:tcPr>
            <w:tcW w:w="1388" w:type="dxa"/>
            <w:gridSpan w:val="4"/>
            <w:tcBorders>
              <w:top w:val="nil"/>
              <w:left w:val="nil"/>
              <w:bottom w:val="dashed" w:sz="4" w:space="0" w:color="auto"/>
              <w:right w:val="dashed" w:sz="4" w:space="0" w:color="auto"/>
            </w:tcBorders>
            <w:shd w:val="clear" w:color="auto" w:fill="auto"/>
            <w:noWrap/>
            <w:vAlign w:val="center"/>
            <w:hideMark/>
          </w:tcPr>
          <w:p w14:paraId="69FE8D5E" w14:textId="77777777" w:rsidR="00247CBF" w:rsidRPr="00092ED7" w:rsidRDefault="00247CBF" w:rsidP="00247CBF">
            <w:pPr>
              <w:spacing w:after="0"/>
              <w:jc w:val="right"/>
              <w:rPr>
                <w:sz w:val="20"/>
                <w:szCs w:val="20"/>
                <w:lang w:val="sr-Cyrl-CS"/>
              </w:rPr>
            </w:pPr>
            <w:r w:rsidRPr="00092ED7">
              <w:rPr>
                <w:sz w:val="20"/>
                <w:szCs w:val="20"/>
                <w:lang w:val="sr-Cyrl-CS"/>
              </w:rPr>
              <w:t>118,7</w:t>
            </w:r>
          </w:p>
        </w:tc>
        <w:tc>
          <w:tcPr>
            <w:tcW w:w="1316" w:type="dxa"/>
            <w:gridSpan w:val="4"/>
            <w:tcBorders>
              <w:top w:val="nil"/>
              <w:left w:val="nil"/>
              <w:bottom w:val="dashed" w:sz="4" w:space="0" w:color="auto"/>
              <w:right w:val="dashed" w:sz="4" w:space="0" w:color="auto"/>
            </w:tcBorders>
            <w:shd w:val="clear" w:color="auto" w:fill="auto"/>
            <w:noWrap/>
            <w:vAlign w:val="center"/>
            <w:hideMark/>
          </w:tcPr>
          <w:p w14:paraId="658233DA" w14:textId="77777777" w:rsidR="00247CBF" w:rsidRPr="00092ED7" w:rsidRDefault="00247CBF" w:rsidP="00247CBF">
            <w:pPr>
              <w:spacing w:after="0"/>
              <w:jc w:val="right"/>
              <w:rPr>
                <w:sz w:val="20"/>
                <w:szCs w:val="20"/>
                <w:lang w:val="sr-Cyrl-CS"/>
              </w:rPr>
            </w:pPr>
            <w:r w:rsidRPr="00092ED7">
              <w:rPr>
                <w:sz w:val="20"/>
                <w:szCs w:val="20"/>
                <w:lang w:val="sr-Cyrl-CS"/>
              </w:rPr>
              <w:t>123,0</w:t>
            </w:r>
          </w:p>
        </w:tc>
        <w:tc>
          <w:tcPr>
            <w:tcW w:w="1376" w:type="dxa"/>
            <w:gridSpan w:val="4"/>
            <w:tcBorders>
              <w:top w:val="nil"/>
              <w:left w:val="nil"/>
              <w:bottom w:val="dashed" w:sz="4" w:space="0" w:color="auto"/>
              <w:right w:val="dashed" w:sz="4" w:space="0" w:color="auto"/>
            </w:tcBorders>
            <w:shd w:val="clear" w:color="auto" w:fill="auto"/>
            <w:noWrap/>
            <w:vAlign w:val="center"/>
            <w:hideMark/>
          </w:tcPr>
          <w:p w14:paraId="4F0C10D4" w14:textId="77777777" w:rsidR="00247CBF" w:rsidRPr="00092ED7" w:rsidRDefault="00247CBF" w:rsidP="00247CBF">
            <w:pPr>
              <w:spacing w:after="0"/>
              <w:jc w:val="right"/>
              <w:rPr>
                <w:sz w:val="20"/>
                <w:szCs w:val="20"/>
                <w:lang w:val="sr-Cyrl-CS"/>
              </w:rPr>
            </w:pPr>
            <w:r w:rsidRPr="00092ED7">
              <w:rPr>
                <w:sz w:val="20"/>
                <w:szCs w:val="20"/>
                <w:lang w:val="sr-Cyrl-CS"/>
              </w:rPr>
              <w:t>122,8</w:t>
            </w:r>
          </w:p>
        </w:tc>
        <w:tc>
          <w:tcPr>
            <w:tcW w:w="1276" w:type="dxa"/>
            <w:gridSpan w:val="4"/>
            <w:tcBorders>
              <w:top w:val="nil"/>
              <w:left w:val="nil"/>
              <w:bottom w:val="dashed" w:sz="4" w:space="0" w:color="auto"/>
              <w:right w:val="dashed" w:sz="4" w:space="0" w:color="auto"/>
            </w:tcBorders>
            <w:shd w:val="clear" w:color="auto" w:fill="auto"/>
            <w:noWrap/>
            <w:vAlign w:val="center"/>
            <w:hideMark/>
          </w:tcPr>
          <w:p w14:paraId="1CEE7EAB" w14:textId="77777777" w:rsidR="00247CBF" w:rsidRPr="00092ED7" w:rsidRDefault="00247CBF" w:rsidP="00247CBF">
            <w:pPr>
              <w:spacing w:after="0"/>
              <w:jc w:val="right"/>
              <w:rPr>
                <w:sz w:val="20"/>
                <w:szCs w:val="20"/>
                <w:lang w:val="sr-Cyrl-CS"/>
              </w:rPr>
            </w:pPr>
            <w:r w:rsidRPr="00092ED7">
              <w:rPr>
                <w:sz w:val="20"/>
                <w:szCs w:val="20"/>
                <w:lang w:val="sr-Cyrl-CS"/>
              </w:rPr>
              <w:t>124,9</w:t>
            </w:r>
          </w:p>
        </w:tc>
        <w:tc>
          <w:tcPr>
            <w:tcW w:w="1276" w:type="dxa"/>
            <w:gridSpan w:val="3"/>
            <w:tcBorders>
              <w:top w:val="nil"/>
              <w:left w:val="nil"/>
              <w:bottom w:val="dashed" w:sz="4" w:space="0" w:color="auto"/>
              <w:right w:val="dashed" w:sz="4" w:space="0" w:color="auto"/>
            </w:tcBorders>
            <w:shd w:val="clear" w:color="auto" w:fill="auto"/>
            <w:noWrap/>
            <w:vAlign w:val="center"/>
            <w:hideMark/>
          </w:tcPr>
          <w:p w14:paraId="047E1DF2" w14:textId="77777777" w:rsidR="00247CBF" w:rsidRPr="00092ED7" w:rsidRDefault="00247CBF" w:rsidP="00247CBF">
            <w:pPr>
              <w:spacing w:after="0"/>
              <w:jc w:val="right"/>
              <w:rPr>
                <w:sz w:val="20"/>
                <w:szCs w:val="20"/>
                <w:lang w:val="sr-Cyrl-CS"/>
              </w:rPr>
            </w:pPr>
            <w:r w:rsidRPr="00092ED7">
              <w:rPr>
                <w:sz w:val="20"/>
                <w:szCs w:val="20"/>
                <w:lang w:val="sr-Cyrl-CS"/>
              </w:rPr>
              <w:t>127,1</w:t>
            </w:r>
          </w:p>
        </w:tc>
        <w:tc>
          <w:tcPr>
            <w:tcW w:w="1268" w:type="dxa"/>
            <w:gridSpan w:val="3"/>
            <w:tcBorders>
              <w:top w:val="dashed" w:sz="4" w:space="0" w:color="auto"/>
              <w:left w:val="nil"/>
              <w:bottom w:val="dashed" w:sz="4" w:space="0" w:color="auto"/>
              <w:right w:val="double" w:sz="4" w:space="0" w:color="auto"/>
            </w:tcBorders>
            <w:shd w:val="clear" w:color="auto" w:fill="auto"/>
            <w:noWrap/>
            <w:vAlign w:val="center"/>
            <w:hideMark/>
          </w:tcPr>
          <w:p w14:paraId="754F8CC0" w14:textId="77777777" w:rsidR="00247CBF" w:rsidRPr="00092ED7" w:rsidRDefault="00247CBF" w:rsidP="00247CBF">
            <w:pPr>
              <w:spacing w:after="0"/>
              <w:jc w:val="right"/>
              <w:rPr>
                <w:sz w:val="20"/>
                <w:szCs w:val="20"/>
                <w:lang w:val="sr-Cyrl-CS"/>
              </w:rPr>
            </w:pPr>
            <w:r w:rsidRPr="00092ED7">
              <w:rPr>
                <w:sz w:val="20"/>
                <w:szCs w:val="20"/>
                <w:lang w:val="sr-Cyrl-CS"/>
              </w:rPr>
              <w:t>127,6</w:t>
            </w:r>
          </w:p>
        </w:tc>
      </w:tr>
      <w:tr w:rsidR="004B0AC2" w:rsidRPr="00092ED7" w14:paraId="7B1CA3F8" w14:textId="77777777" w:rsidTr="004B0AC2">
        <w:trPr>
          <w:gridAfter w:val="2"/>
          <w:wAfter w:w="293" w:type="dxa"/>
          <w:trHeight w:val="255"/>
        </w:trPr>
        <w:tc>
          <w:tcPr>
            <w:tcW w:w="4962" w:type="dxa"/>
            <w:gridSpan w:val="3"/>
            <w:tcBorders>
              <w:top w:val="nil"/>
              <w:left w:val="double" w:sz="6" w:space="0" w:color="auto"/>
              <w:bottom w:val="dotted" w:sz="4" w:space="0" w:color="auto"/>
              <w:right w:val="single" w:sz="8" w:space="0" w:color="auto"/>
            </w:tcBorders>
            <w:shd w:val="clear" w:color="auto" w:fill="auto"/>
            <w:hideMark/>
          </w:tcPr>
          <w:p w14:paraId="75086F6C" w14:textId="77777777" w:rsidR="00247CBF" w:rsidRPr="00092ED7" w:rsidRDefault="00247CBF" w:rsidP="00247CBF">
            <w:pPr>
              <w:spacing w:after="0"/>
              <w:ind w:firstLineChars="100" w:firstLine="200"/>
              <w:rPr>
                <w:sz w:val="20"/>
                <w:szCs w:val="20"/>
                <w:lang w:val="sr-Cyrl-CS"/>
              </w:rPr>
            </w:pPr>
            <w:r w:rsidRPr="00092ED7">
              <w:rPr>
                <w:sz w:val="20"/>
                <w:szCs w:val="20"/>
                <w:lang w:val="sr-Cyrl-CS"/>
              </w:rPr>
              <w:t>5. Номинални јединични трошкови рада</w:t>
            </w:r>
          </w:p>
        </w:tc>
        <w:tc>
          <w:tcPr>
            <w:tcW w:w="1447" w:type="dxa"/>
            <w:gridSpan w:val="3"/>
            <w:tcBorders>
              <w:top w:val="nil"/>
              <w:left w:val="nil"/>
              <w:bottom w:val="dotted" w:sz="4" w:space="0" w:color="auto"/>
              <w:right w:val="single" w:sz="8" w:space="0" w:color="auto"/>
            </w:tcBorders>
            <w:shd w:val="clear" w:color="auto" w:fill="auto"/>
            <w:vAlign w:val="center"/>
            <w:hideMark/>
          </w:tcPr>
          <w:p w14:paraId="5FA76EE1" w14:textId="77777777" w:rsidR="00247CBF" w:rsidRPr="00092ED7" w:rsidRDefault="00247CBF" w:rsidP="00247CBF">
            <w:pPr>
              <w:spacing w:after="0"/>
              <w:jc w:val="center"/>
              <w:rPr>
                <w:sz w:val="18"/>
                <w:szCs w:val="18"/>
                <w:lang w:val="sr-Cyrl-CS"/>
              </w:rPr>
            </w:pPr>
            <w:r w:rsidRPr="00092ED7">
              <w:rPr>
                <w:sz w:val="18"/>
                <w:szCs w:val="18"/>
                <w:lang w:val="sr-Cyrl-CS"/>
              </w:rPr>
              <w:t>Индекс</w:t>
            </w:r>
          </w:p>
        </w:tc>
        <w:tc>
          <w:tcPr>
            <w:tcW w:w="1388" w:type="dxa"/>
            <w:gridSpan w:val="4"/>
            <w:tcBorders>
              <w:top w:val="nil"/>
              <w:left w:val="nil"/>
              <w:bottom w:val="dashed" w:sz="4" w:space="0" w:color="auto"/>
              <w:right w:val="dashed" w:sz="4" w:space="0" w:color="auto"/>
            </w:tcBorders>
            <w:shd w:val="clear" w:color="auto" w:fill="auto"/>
            <w:noWrap/>
            <w:vAlign w:val="center"/>
            <w:hideMark/>
          </w:tcPr>
          <w:p w14:paraId="35559644"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316" w:type="dxa"/>
            <w:gridSpan w:val="4"/>
            <w:tcBorders>
              <w:top w:val="nil"/>
              <w:left w:val="nil"/>
              <w:bottom w:val="dashed" w:sz="4" w:space="0" w:color="auto"/>
              <w:right w:val="dashed" w:sz="4" w:space="0" w:color="auto"/>
            </w:tcBorders>
            <w:shd w:val="clear" w:color="auto" w:fill="auto"/>
            <w:noWrap/>
            <w:vAlign w:val="center"/>
            <w:hideMark/>
          </w:tcPr>
          <w:p w14:paraId="2F727117"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376" w:type="dxa"/>
            <w:gridSpan w:val="4"/>
            <w:tcBorders>
              <w:top w:val="nil"/>
              <w:left w:val="nil"/>
              <w:bottom w:val="dashed" w:sz="4" w:space="0" w:color="auto"/>
              <w:right w:val="dashed" w:sz="4" w:space="0" w:color="auto"/>
            </w:tcBorders>
            <w:shd w:val="clear" w:color="auto" w:fill="auto"/>
            <w:noWrap/>
            <w:vAlign w:val="center"/>
            <w:hideMark/>
          </w:tcPr>
          <w:p w14:paraId="546956A5"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276" w:type="dxa"/>
            <w:gridSpan w:val="4"/>
            <w:tcBorders>
              <w:top w:val="nil"/>
              <w:left w:val="nil"/>
              <w:bottom w:val="dashed" w:sz="4" w:space="0" w:color="auto"/>
              <w:right w:val="dashed" w:sz="4" w:space="0" w:color="auto"/>
            </w:tcBorders>
            <w:shd w:val="clear" w:color="auto" w:fill="auto"/>
            <w:noWrap/>
            <w:vAlign w:val="center"/>
            <w:hideMark/>
          </w:tcPr>
          <w:p w14:paraId="682DE93B"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276" w:type="dxa"/>
            <w:gridSpan w:val="3"/>
            <w:tcBorders>
              <w:top w:val="nil"/>
              <w:left w:val="nil"/>
              <w:bottom w:val="dashed" w:sz="4" w:space="0" w:color="auto"/>
              <w:right w:val="dashed" w:sz="4" w:space="0" w:color="auto"/>
            </w:tcBorders>
            <w:shd w:val="clear" w:color="auto" w:fill="auto"/>
            <w:noWrap/>
            <w:vAlign w:val="center"/>
            <w:hideMark/>
          </w:tcPr>
          <w:p w14:paraId="44596ED9"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268" w:type="dxa"/>
            <w:gridSpan w:val="3"/>
            <w:tcBorders>
              <w:top w:val="dashed" w:sz="4" w:space="0" w:color="auto"/>
              <w:left w:val="nil"/>
              <w:bottom w:val="dashed" w:sz="4" w:space="0" w:color="auto"/>
              <w:right w:val="double" w:sz="4" w:space="0" w:color="auto"/>
            </w:tcBorders>
            <w:shd w:val="clear" w:color="auto" w:fill="auto"/>
            <w:noWrap/>
            <w:vAlign w:val="center"/>
            <w:hideMark/>
          </w:tcPr>
          <w:p w14:paraId="35FE62AF" w14:textId="77777777" w:rsidR="00247CBF" w:rsidRPr="00092ED7" w:rsidRDefault="00247CBF" w:rsidP="00247CBF">
            <w:pPr>
              <w:spacing w:after="0"/>
              <w:jc w:val="right"/>
              <w:rPr>
                <w:sz w:val="20"/>
                <w:szCs w:val="20"/>
                <w:lang w:val="sr-Cyrl-CS"/>
              </w:rPr>
            </w:pPr>
            <w:r w:rsidRPr="00092ED7">
              <w:rPr>
                <w:sz w:val="20"/>
                <w:szCs w:val="20"/>
                <w:lang w:val="sr-Cyrl-CS"/>
              </w:rPr>
              <w:t> </w:t>
            </w:r>
          </w:p>
        </w:tc>
      </w:tr>
      <w:tr w:rsidR="004B0AC2" w:rsidRPr="00092ED7" w14:paraId="4F9904D9" w14:textId="77777777" w:rsidTr="004B0AC2">
        <w:trPr>
          <w:gridAfter w:val="2"/>
          <w:wAfter w:w="293" w:type="dxa"/>
          <w:trHeight w:val="255"/>
        </w:trPr>
        <w:tc>
          <w:tcPr>
            <w:tcW w:w="4962" w:type="dxa"/>
            <w:gridSpan w:val="3"/>
            <w:tcBorders>
              <w:top w:val="nil"/>
              <w:left w:val="double" w:sz="6" w:space="0" w:color="auto"/>
              <w:bottom w:val="dotted" w:sz="4" w:space="0" w:color="auto"/>
              <w:right w:val="single" w:sz="8" w:space="0" w:color="auto"/>
            </w:tcBorders>
            <w:shd w:val="clear" w:color="auto" w:fill="auto"/>
            <w:hideMark/>
          </w:tcPr>
          <w:p w14:paraId="14CB5D7A" w14:textId="77777777" w:rsidR="00247CBF" w:rsidRPr="00092ED7" w:rsidRDefault="00247CBF" w:rsidP="00247CBF">
            <w:pPr>
              <w:spacing w:after="0"/>
              <w:ind w:firstLineChars="100" w:firstLine="200"/>
              <w:rPr>
                <w:sz w:val="20"/>
                <w:szCs w:val="20"/>
                <w:lang w:val="sr-Cyrl-CS"/>
              </w:rPr>
            </w:pPr>
            <w:r w:rsidRPr="00092ED7">
              <w:rPr>
                <w:sz w:val="20"/>
                <w:szCs w:val="20"/>
                <w:lang w:val="sr-Cyrl-CS"/>
              </w:rPr>
              <w:t>6. Кредити приватном сектору - промена [1]</w:t>
            </w:r>
          </w:p>
        </w:tc>
        <w:tc>
          <w:tcPr>
            <w:tcW w:w="1447" w:type="dxa"/>
            <w:gridSpan w:val="3"/>
            <w:tcBorders>
              <w:top w:val="nil"/>
              <w:left w:val="nil"/>
              <w:bottom w:val="dotted" w:sz="4" w:space="0" w:color="auto"/>
              <w:right w:val="single" w:sz="8" w:space="0" w:color="auto"/>
            </w:tcBorders>
            <w:shd w:val="clear" w:color="auto" w:fill="auto"/>
            <w:vAlign w:val="center"/>
            <w:hideMark/>
          </w:tcPr>
          <w:p w14:paraId="58CDD8E0" w14:textId="77777777" w:rsidR="00247CBF" w:rsidRPr="00092ED7" w:rsidRDefault="00247CBF" w:rsidP="00247CBF">
            <w:pPr>
              <w:spacing w:after="0"/>
              <w:jc w:val="center"/>
              <w:rPr>
                <w:sz w:val="18"/>
                <w:szCs w:val="18"/>
                <w:lang w:val="sr-Cyrl-CS"/>
              </w:rPr>
            </w:pPr>
            <w:r w:rsidRPr="00092ED7">
              <w:rPr>
                <w:sz w:val="18"/>
                <w:szCs w:val="18"/>
                <w:lang w:val="sr-Cyrl-CS"/>
              </w:rPr>
              <w:t>млрд РСД</w:t>
            </w:r>
          </w:p>
        </w:tc>
        <w:tc>
          <w:tcPr>
            <w:tcW w:w="1388" w:type="dxa"/>
            <w:gridSpan w:val="4"/>
            <w:tcBorders>
              <w:top w:val="nil"/>
              <w:left w:val="nil"/>
              <w:bottom w:val="dashed" w:sz="4" w:space="0" w:color="auto"/>
              <w:right w:val="dashed" w:sz="4" w:space="0" w:color="auto"/>
            </w:tcBorders>
            <w:shd w:val="clear" w:color="auto" w:fill="auto"/>
            <w:noWrap/>
            <w:vAlign w:val="center"/>
            <w:hideMark/>
          </w:tcPr>
          <w:p w14:paraId="6C05F51F" w14:textId="77777777" w:rsidR="00247CBF" w:rsidRPr="00092ED7" w:rsidRDefault="00247CBF" w:rsidP="00247CBF">
            <w:pPr>
              <w:spacing w:after="0"/>
              <w:jc w:val="right"/>
              <w:rPr>
                <w:sz w:val="20"/>
                <w:szCs w:val="20"/>
                <w:lang w:val="sr-Cyrl-CS"/>
              </w:rPr>
            </w:pPr>
            <w:r w:rsidRPr="00092ED7">
              <w:rPr>
                <w:sz w:val="20"/>
                <w:szCs w:val="20"/>
                <w:lang w:val="sr-Cyrl-CS"/>
              </w:rPr>
              <w:t>77,8</w:t>
            </w:r>
          </w:p>
        </w:tc>
        <w:tc>
          <w:tcPr>
            <w:tcW w:w="1316" w:type="dxa"/>
            <w:gridSpan w:val="4"/>
            <w:tcBorders>
              <w:top w:val="nil"/>
              <w:left w:val="nil"/>
              <w:bottom w:val="dashed" w:sz="4" w:space="0" w:color="auto"/>
              <w:right w:val="dashed" w:sz="4" w:space="0" w:color="auto"/>
            </w:tcBorders>
            <w:shd w:val="clear" w:color="auto" w:fill="auto"/>
            <w:noWrap/>
            <w:vAlign w:val="center"/>
            <w:hideMark/>
          </w:tcPr>
          <w:p w14:paraId="3B9987BE" w14:textId="77777777" w:rsidR="00247CBF" w:rsidRPr="00092ED7" w:rsidRDefault="00247CBF" w:rsidP="00247CBF">
            <w:pPr>
              <w:spacing w:after="0"/>
              <w:jc w:val="right"/>
              <w:rPr>
                <w:sz w:val="20"/>
                <w:szCs w:val="20"/>
                <w:lang w:val="sr-Cyrl-CS"/>
              </w:rPr>
            </w:pPr>
            <w:r w:rsidRPr="00092ED7">
              <w:rPr>
                <w:sz w:val="20"/>
                <w:szCs w:val="20"/>
                <w:lang w:val="sr-Cyrl-CS"/>
              </w:rPr>
              <w:t>185,1</w:t>
            </w:r>
          </w:p>
        </w:tc>
        <w:tc>
          <w:tcPr>
            <w:tcW w:w="1376" w:type="dxa"/>
            <w:gridSpan w:val="4"/>
            <w:tcBorders>
              <w:top w:val="nil"/>
              <w:left w:val="nil"/>
              <w:bottom w:val="dashed" w:sz="4" w:space="0" w:color="auto"/>
              <w:right w:val="dashed" w:sz="4" w:space="0" w:color="auto"/>
            </w:tcBorders>
            <w:shd w:val="clear" w:color="auto" w:fill="auto"/>
            <w:noWrap/>
            <w:vAlign w:val="center"/>
            <w:hideMark/>
          </w:tcPr>
          <w:p w14:paraId="0BF96A01" w14:textId="77777777" w:rsidR="00247CBF" w:rsidRPr="00092ED7" w:rsidRDefault="00247CBF" w:rsidP="00247CBF">
            <w:pPr>
              <w:spacing w:after="0"/>
              <w:jc w:val="right"/>
              <w:rPr>
                <w:sz w:val="20"/>
                <w:szCs w:val="20"/>
                <w:lang w:val="sr-Cyrl-CS"/>
              </w:rPr>
            </w:pPr>
            <w:r w:rsidRPr="00092ED7">
              <w:rPr>
                <w:sz w:val="20"/>
                <w:szCs w:val="20"/>
                <w:lang w:val="sr-Cyrl-CS"/>
              </w:rPr>
              <w:t>178,4</w:t>
            </w:r>
          </w:p>
        </w:tc>
        <w:tc>
          <w:tcPr>
            <w:tcW w:w="1276" w:type="dxa"/>
            <w:gridSpan w:val="4"/>
            <w:tcBorders>
              <w:top w:val="nil"/>
              <w:left w:val="nil"/>
              <w:bottom w:val="dashed" w:sz="4" w:space="0" w:color="auto"/>
              <w:right w:val="dashed" w:sz="4" w:space="0" w:color="auto"/>
            </w:tcBorders>
            <w:shd w:val="clear" w:color="auto" w:fill="auto"/>
            <w:noWrap/>
            <w:vAlign w:val="center"/>
            <w:hideMark/>
          </w:tcPr>
          <w:p w14:paraId="7A646401" w14:textId="77777777" w:rsidR="00247CBF" w:rsidRPr="00092ED7" w:rsidRDefault="00247CBF" w:rsidP="00247CBF">
            <w:pPr>
              <w:spacing w:after="0"/>
              <w:jc w:val="right"/>
              <w:rPr>
                <w:sz w:val="20"/>
                <w:szCs w:val="20"/>
                <w:lang w:val="sr-Cyrl-CS"/>
              </w:rPr>
            </w:pPr>
            <w:r w:rsidRPr="00092ED7">
              <w:rPr>
                <w:sz w:val="20"/>
                <w:szCs w:val="20"/>
                <w:lang w:val="sr-Cyrl-CS"/>
              </w:rPr>
              <w:t>219,4</w:t>
            </w:r>
          </w:p>
        </w:tc>
        <w:tc>
          <w:tcPr>
            <w:tcW w:w="1276" w:type="dxa"/>
            <w:gridSpan w:val="3"/>
            <w:tcBorders>
              <w:top w:val="nil"/>
              <w:left w:val="nil"/>
              <w:bottom w:val="dashed" w:sz="4" w:space="0" w:color="auto"/>
              <w:right w:val="dashed" w:sz="4" w:space="0" w:color="auto"/>
            </w:tcBorders>
            <w:shd w:val="clear" w:color="auto" w:fill="auto"/>
            <w:noWrap/>
            <w:vAlign w:val="center"/>
            <w:hideMark/>
          </w:tcPr>
          <w:p w14:paraId="785D6AAD" w14:textId="77777777" w:rsidR="00247CBF" w:rsidRPr="00092ED7" w:rsidRDefault="00247CBF" w:rsidP="00247CBF">
            <w:pPr>
              <w:spacing w:after="0"/>
              <w:jc w:val="right"/>
              <w:rPr>
                <w:sz w:val="20"/>
                <w:szCs w:val="20"/>
                <w:lang w:val="sr-Cyrl-CS"/>
              </w:rPr>
            </w:pPr>
            <w:r w:rsidRPr="00092ED7">
              <w:rPr>
                <w:sz w:val="20"/>
                <w:szCs w:val="20"/>
                <w:lang w:val="sr-Cyrl-CS"/>
              </w:rPr>
              <w:t>222,9</w:t>
            </w:r>
          </w:p>
        </w:tc>
        <w:tc>
          <w:tcPr>
            <w:tcW w:w="1268" w:type="dxa"/>
            <w:gridSpan w:val="3"/>
            <w:tcBorders>
              <w:top w:val="dashed" w:sz="4" w:space="0" w:color="auto"/>
              <w:left w:val="nil"/>
              <w:bottom w:val="dashed" w:sz="4" w:space="0" w:color="auto"/>
              <w:right w:val="double" w:sz="4" w:space="0" w:color="auto"/>
            </w:tcBorders>
            <w:shd w:val="clear" w:color="auto" w:fill="auto"/>
            <w:noWrap/>
            <w:vAlign w:val="center"/>
            <w:hideMark/>
          </w:tcPr>
          <w:p w14:paraId="32D279D7" w14:textId="77777777" w:rsidR="00247CBF" w:rsidRPr="00092ED7" w:rsidRDefault="00247CBF" w:rsidP="00247CBF">
            <w:pPr>
              <w:spacing w:after="0"/>
              <w:jc w:val="right"/>
              <w:rPr>
                <w:sz w:val="20"/>
                <w:szCs w:val="20"/>
                <w:lang w:val="sr-Cyrl-CS"/>
              </w:rPr>
            </w:pPr>
            <w:r w:rsidRPr="00092ED7">
              <w:rPr>
                <w:sz w:val="20"/>
                <w:szCs w:val="20"/>
                <w:lang w:val="sr-Cyrl-CS"/>
              </w:rPr>
              <w:t>157,3</w:t>
            </w:r>
          </w:p>
        </w:tc>
      </w:tr>
      <w:tr w:rsidR="004B0AC2" w:rsidRPr="00092ED7" w14:paraId="666AABEF" w14:textId="77777777" w:rsidTr="004B0AC2">
        <w:trPr>
          <w:gridAfter w:val="2"/>
          <w:wAfter w:w="293" w:type="dxa"/>
          <w:trHeight w:val="255"/>
        </w:trPr>
        <w:tc>
          <w:tcPr>
            <w:tcW w:w="4962" w:type="dxa"/>
            <w:gridSpan w:val="3"/>
            <w:tcBorders>
              <w:top w:val="nil"/>
              <w:left w:val="double" w:sz="6" w:space="0" w:color="auto"/>
              <w:bottom w:val="dotted" w:sz="4" w:space="0" w:color="auto"/>
              <w:right w:val="single" w:sz="8" w:space="0" w:color="auto"/>
            </w:tcBorders>
            <w:shd w:val="clear" w:color="auto" w:fill="auto"/>
            <w:hideMark/>
          </w:tcPr>
          <w:p w14:paraId="3C5BC735" w14:textId="77777777" w:rsidR="00247CBF" w:rsidRPr="00092ED7" w:rsidRDefault="00247CBF" w:rsidP="00247CBF">
            <w:pPr>
              <w:spacing w:after="0"/>
              <w:ind w:firstLineChars="100" w:firstLine="200"/>
              <w:rPr>
                <w:sz w:val="20"/>
                <w:szCs w:val="20"/>
                <w:lang w:val="sr-Cyrl-CS"/>
              </w:rPr>
            </w:pPr>
            <w:r w:rsidRPr="00092ED7">
              <w:rPr>
                <w:sz w:val="20"/>
                <w:szCs w:val="20"/>
                <w:lang w:val="sr-Cyrl-CS"/>
              </w:rPr>
              <w:lastRenderedPageBreak/>
              <w:t>7. Дуг приватног сектора [3]</w:t>
            </w:r>
          </w:p>
        </w:tc>
        <w:tc>
          <w:tcPr>
            <w:tcW w:w="1447" w:type="dxa"/>
            <w:gridSpan w:val="3"/>
            <w:tcBorders>
              <w:top w:val="nil"/>
              <w:left w:val="nil"/>
              <w:bottom w:val="dotted" w:sz="4" w:space="0" w:color="auto"/>
              <w:right w:val="single" w:sz="8" w:space="0" w:color="auto"/>
            </w:tcBorders>
            <w:shd w:val="clear" w:color="auto" w:fill="auto"/>
            <w:vAlign w:val="center"/>
            <w:hideMark/>
          </w:tcPr>
          <w:p w14:paraId="27F615F2" w14:textId="77777777" w:rsidR="00247CBF" w:rsidRPr="00092ED7" w:rsidRDefault="00247CBF" w:rsidP="00247CBF">
            <w:pPr>
              <w:spacing w:after="0"/>
              <w:jc w:val="center"/>
              <w:rPr>
                <w:sz w:val="18"/>
                <w:szCs w:val="18"/>
                <w:lang w:val="sr-Cyrl-CS"/>
              </w:rPr>
            </w:pPr>
            <w:r w:rsidRPr="00092ED7">
              <w:rPr>
                <w:sz w:val="18"/>
                <w:szCs w:val="18"/>
                <w:lang w:val="sr-Cyrl-CS"/>
              </w:rPr>
              <w:t>млрд РСД</w:t>
            </w:r>
          </w:p>
        </w:tc>
        <w:tc>
          <w:tcPr>
            <w:tcW w:w="1388" w:type="dxa"/>
            <w:gridSpan w:val="4"/>
            <w:tcBorders>
              <w:top w:val="nil"/>
              <w:left w:val="nil"/>
              <w:bottom w:val="dashed" w:sz="4" w:space="0" w:color="auto"/>
              <w:right w:val="dashed" w:sz="4" w:space="0" w:color="auto"/>
            </w:tcBorders>
            <w:shd w:val="clear" w:color="auto" w:fill="auto"/>
            <w:noWrap/>
            <w:vAlign w:val="center"/>
            <w:hideMark/>
          </w:tcPr>
          <w:p w14:paraId="26B4A8A7" w14:textId="77777777" w:rsidR="00247CBF" w:rsidRPr="00092ED7" w:rsidRDefault="00247CBF" w:rsidP="00247CBF">
            <w:pPr>
              <w:spacing w:after="0"/>
              <w:jc w:val="right"/>
              <w:rPr>
                <w:sz w:val="20"/>
                <w:szCs w:val="20"/>
                <w:lang w:val="sr-Cyrl-CS"/>
              </w:rPr>
            </w:pPr>
            <w:r w:rsidRPr="00092ED7">
              <w:rPr>
                <w:sz w:val="20"/>
                <w:szCs w:val="20"/>
                <w:lang w:val="sr-Cyrl-CS"/>
              </w:rPr>
              <w:t>1.904,6</w:t>
            </w:r>
          </w:p>
        </w:tc>
        <w:tc>
          <w:tcPr>
            <w:tcW w:w="1316" w:type="dxa"/>
            <w:gridSpan w:val="4"/>
            <w:tcBorders>
              <w:top w:val="nil"/>
              <w:left w:val="nil"/>
              <w:bottom w:val="dashed" w:sz="4" w:space="0" w:color="auto"/>
              <w:right w:val="dashed" w:sz="4" w:space="0" w:color="auto"/>
            </w:tcBorders>
            <w:shd w:val="clear" w:color="auto" w:fill="auto"/>
            <w:noWrap/>
            <w:vAlign w:val="center"/>
            <w:hideMark/>
          </w:tcPr>
          <w:p w14:paraId="7BB6C9EF" w14:textId="77777777" w:rsidR="00247CBF" w:rsidRPr="00092ED7" w:rsidRDefault="00247CBF" w:rsidP="00247CBF">
            <w:pPr>
              <w:spacing w:after="0"/>
              <w:jc w:val="right"/>
              <w:rPr>
                <w:sz w:val="20"/>
                <w:szCs w:val="20"/>
                <w:lang w:val="sr-Cyrl-CS"/>
              </w:rPr>
            </w:pPr>
            <w:r w:rsidRPr="00092ED7">
              <w:rPr>
                <w:sz w:val="20"/>
                <w:szCs w:val="20"/>
                <w:lang w:val="sr-Cyrl-CS"/>
              </w:rPr>
              <w:t>2.089,6</w:t>
            </w:r>
          </w:p>
        </w:tc>
        <w:tc>
          <w:tcPr>
            <w:tcW w:w="1376" w:type="dxa"/>
            <w:gridSpan w:val="4"/>
            <w:tcBorders>
              <w:top w:val="nil"/>
              <w:left w:val="nil"/>
              <w:bottom w:val="dashed" w:sz="4" w:space="0" w:color="auto"/>
              <w:right w:val="dashed" w:sz="4" w:space="0" w:color="auto"/>
            </w:tcBorders>
            <w:shd w:val="clear" w:color="auto" w:fill="auto"/>
            <w:noWrap/>
            <w:vAlign w:val="center"/>
            <w:hideMark/>
          </w:tcPr>
          <w:p w14:paraId="2E6DC9AA" w14:textId="77777777" w:rsidR="00247CBF" w:rsidRPr="00092ED7" w:rsidRDefault="00247CBF" w:rsidP="00247CBF">
            <w:pPr>
              <w:spacing w:after="0"/>
              <w:jc w:val="right"/>
              <w:rPr>
                <w:sz w:val="20"/>
                <w:szCs w:val="20"/>
                <w:lang w:val="sr-Cyrl-CS"/>
              </w:rPr>
            </w:pPr>
            <w:r w:rsidRPr="00092ED7">
              <w:rPr>
                <w:sz w:val="20"/>
                <w:szCs w:val="20"/>
                <w:lang w:val="sr-Cyrl-CS"/>
              </w:rPr>
              <w:t>2.268,1</w:t>
            </w:r>
          </w:p>
        </w:tc>
        <w:tc>
          <w:tcPr>
            <w:tcW w:w="1276" w:type="dxa"/>
            <w:gridSpan w:val="4"/>
            <w:tcBorders>
              <w:top w:val="nil"/>
              <w:left w:val="nil"/>
              <w:bottom w:val="dashed" w:sz="4" w:space="0" w:color="auto"/>
              <w:right w:val="dashed" w:sz="4" w:space="0" w:color="auto"/>
            </w:tcBorders>
            <w:shd w:val="clear" w:color="auto" w:fill="auto"/>
            <w:noWrap/>
            <w:vAlign w:val="center"/>
            <w:hideMark/>
          </w:tcPr>
          <w:p w14:paraId="44DE51B4" w14:textId="77777777" w:rsidR="00247CBF" w:rsidRPr="00092ED7" w:rsidRDefault="00247CBF" w:rsidP="00247CBF">
            <w:pPr>
              <w:spacing w:after="0"/>
              <w:jc w:val="right"/>
              <w:rPr>
                <w:sz w:val="20"/>
                <w:szCs w:val="20"/>
                <w:lang w:val="sr-Cyrl-CS"/>
              </w:rPr>
            </w:pPr>
            <w:r w:rsidRPr="00092ED7">
              <w:rPr>
                <w:sz w:val="20"/>
                <w:szCs w:val="20"/>
                <w:lang w:val="sr-Cyrl-CS"/>
              </w:rPr>
              <w:t>2.487,4</w:t>
            </w:r>
          </w:p>
        </w:tc>
        <w:tc>
          <w:tcPr>
            <w:tcW w:w="1276" w:type="dxa"/>
            <w:gridSpan w:val="3"/>
            <w:tcBorders>
              <w:top w:val="nil"/>
              <w:left w:val="nil"/>
              <w:bottom w:val="dashed" w:sz="4" w:space="0" w:color="auto"/>
              <w:right w:val="dashed" w:sz="4" w:space="0" w:color="auto"/>
            </w:tcBorders>
            <w:shd w:val="clear" w:color="auto" w:fill="auto"/>
            <w:noWrap/>
            <w:vAlign w:val="center"/>
            <w:hideMark/>
          </w:tcPr>
          <w:p w14:paraId="1FF14327" w14:textId="77777777" w:rsidR="00247CBF" w:rsidRPr="00092ED7" w:rsidRDefault="00247CBF" w:rsidP="00247CBF">
            <w:pPr>
              <w:spacing w:after="0"/>
              <w:jc w:val="right"/>
              <w:rPr>
                <w:sz w:val="20"/>
                <w:szCs w:val="20"/>
                <w:lang w:val="sr-Cyrl-CS"/>
              </w:rPr>
            </w:pPr>
            <w:r w:rsidRPr="00092ED7">
              <w:rPr>
                <w:sz w:val="20"/>
                <w:szCs w:val="20"/>
                <w:lang w:val="sr-Cyrl-CS"/>
              </w:rPr>
              <w:t>2.710,4</w:t>
            </w:r>
          </w:p>
        </w:tc>
        <w:tc>
          <w:tcPr>
            <w:tcW w:w="1268" w:type="dxa"/>
            <w:gridSpan w:val="3"/>
            <w:tcBorders>
              <w:top w:val="dashed" w:sz="4" w:space="0" w:color="auto"/>
              <w:left w:val="nil"/>
              <w:bottom w:val="dashed" w:sz="4" w:space="0" w:color="auto"/>
              <w:right w:val="double" w:sz="4" w:space="0" w:color="auto"/>
            </w:tcBorders>
            <w:shd w:val="clear" w:color="auto" w:fill="auto"/>
            <w:noWrap/>
            <w:vAlign w:val="center"/>
            <w:hideMark/>
          </w:tcPr>
          <w:p w14:paraId="05AA0411" w14:textId="77777777" w:rsidR="00247CBF" w:rsidRPr="00092ED7" w:rsidRDefault="00247CBF" w:rsidP="00247CBF">
            <w:pPr>
              <w:spacing w:after="0"/>
              <w:jc w:val="right"/>
              <w:rPr>
                <w:sz w:val="20"/>
                <w:szCs w:val="20"/>
                <w:lang w:val="sr-Cyrl-CS"/>
              </w:rPr>
            </w:pPr>
            <w:r w:rsidRPr="00092ED7">
              <w:rPr>
                <w:sz w:val="20"/>
                <w:szCs w:val="20"/>
                <w:lang w:val="sr-Cyrl-CS"/>
              </w:rPr>
              <w:t>2.867,7</w:t>
            </w:r>
          </w:p>
        </w:tc>
      </w:tr>
      <w:tr w:rsidR="00247CBF" w:rsidRPr="00092ED7" w14:paraId="788D9D0C" w14:textId="77777777" w:rsidTr="00247CBF">
        <w:trPr>
          <w:gridAfter w:val="2"/>
          <w:wAfter w:w="293" w:type="dxa"/>
          <w:trHeight w:val="270"/>
        </w:trPr>
        <w:tc>
          <w:tcPr>
            <w:tcW w:w="4962" w:type="dxa"/>
            <w:gridSpan w:val="3"/>
            <w:tcBorders>
              <w:top w:val="nil"/>
              <w:left w:val="double" w:sz="6" w:space="0" w:color="auto"/>
              <w:bottom w:val="double" w:sz="6" w:space="0" w:color="auto"/>
              <w:right w:val="single" w:sz="8" w:space="0" w:color="auto"/>
            </w:tcBorders>
            <w:shd w:val="clear" w:color="auto" w:fill="auto"/>
            <w:hideMark/>
          </w:tcPr>
          <w:p w14:paraId="2552CCAA" w14:textId="77777777" w:rsidR="00247CBF" w:rsidRPr="00092ED7" w:rsidRDefault="00247CBF" w:rsidP="00247CBF">
            <w:pPr>
              <w:spacing w:after="0"/>
              <w:ind w:firstLineChars="100" w:firstLine="200"/>
              <w:rPr>
                <w:sz w:val="20"/>
                <w:szCs w:val="20"/>
                <w:lang w:val="sr-Cyrl-CS"/>
              </w:rPr>
            </w:pPr>
            <w:r w:rsidRPr="00092ED7">
              <w:rPr>
                <w:sz w:val="20"/>
                <w:szCs w:val="20"/>
                <w:lang w:val="sr-Cyrl-CS"/>
              </w:rPr>
              <w:t>8. Дуг општег нивоа државе</w:t>
            </w:r>
          </w:p>
        </w:tc>
        <w:tc>
          <w:tcPr>
            <w:tcW w:w="1447" w:type="dxa"/>
            <w:gridSpan w:val="3"/>
            <w:tcBorders>
              <w:top w:val="dashed" w:sz="4" w:space="0" w:color="auto"/>
              <w:left w:val="nil"/>
              <w:bottom w:val="double" w:sz="6" w:space="0" w:color="auto"/>
              <w:right w:val="single" w:sz="8" w:space="0" w:color="auto"/>
            </w:tcBorders>
            <w:shd w:val="clear" w:color="auto" w:fill="auto"/>
            <w:noWrap/>
            <w:vAlign w:val="center"/>
            <w:hideMark/>
          </w:tcPr>
          <w:p w14:paraId="74824B41" w14:textId="77777777" w:rsidR="00247CBF" w:rsidRPr="00092ED7" w:rsidRDefault="00247CBF" w:rsidP="00247CBF">
            <w:pPr>
              <w:spacing w:after="0"/>
              <w:jc w:val="center"/>
              <w:rPr>
                <w:sz w:val="18"/>
                <w:szCs w:val="18"/>
                <w:lang w:val="sr-Cyrl-CS"/>
              </w:rPr>
            </w:pPr>
            <w:r w:rsidRPr="00092ED7">
              <w:rPr>
                <w:sz w:val="18"/>
                <w:szCs w:val="18"/>
                <w:lang w:val="sr-Cyrl-CS"/>
              </w:rPr>
              <w:t>млрд РСД</w:t>
            </w:r>
          </w:p>
        </w:tc>
        <w:tc>
          <w:tcPr>
            <w:tcW w:w="1388" w:type="dxa"/>
            <w:gridSpan w:val="4"/>
            <w:tcBorders>
              <w:top w:val="nil"/>
              <w:left w:val="nil"/>
              <w:bottom w:val="double" w:sz="6" w:space="0" w:color="auto"/>
              <w:right w:val="dashed" w:sz="4" w:space="0" w:color="auto"/>
            </w:tcBorders>
            <w:shd w:val="clear" w:color="auto" w:fill="auto"/>
            <w:noWrap/>
            <w:vAlign w:val="center"/>
            <w:hideMark/>
          </w:tcPr>
          <w:p w14:paraId="458DF0FA" w14:textId="77777777" w:rsidR="00247CBF" w:rsidRPr="00092ED7" w:rsidRDefault="00247CBF" w:rsidP="00247CBF">
            <w:pPr>
              <w:spacing w:after="0"/>
              <w:jc w:val="right"/>
              <w:rPr>
                <w:sz w:val="20"/>
                <w:szCs w:val="20"/>
                <w:lang w:val="sr-Cyrl-CS"/>
              </w:rPr>
            </w:pPr>
            <w:r w:rsidRPr="00092ED7">
              <w:rPr>
                <w:sz w:val="20"/>
                <w:szCs w:val="20"/>
                <w:lang w:val="sr-Cyrl-CS"/>
              </w:rPr>
              <w:t>2.790,5</w:t>
            </w:r>
          </w:p>
        </w:tc>
        <w:tc>
          <w:tcPr>
            <w:tcW w:w="1316" w:type="dxa"/>
            <w:gridSpan w:val="4"/>
            <w:tcBorders>
              <w:top w:val="nil"/>
              <w:left w:val="nil"/>
              <w:bottom w:val="double" w:sz="6" w:space="0" w:color="auto"/>
              <w:right w:val="dashed" w:sz="4" w:space="0" w:color="auto"/>
            </w:tcBorders>
            <w:shd w:val="clear" w:color="auto" w:fill="auto"/>
            <w:noWrap/>
            <w:vAlign w:val="center"/>
            <w:hideMark/>
          </w:tcPr>
          <w:p w14:paraId="7162841A" w14:textId="77777777" w:rsidR="00247CBF" w:rsidRPr="00092ED7" w:rsidRDefault="00247CBF" w:rsidP="00247CBF">
            <w:pPr>
              <w:spacing w:after="0"/>
              <w:jc w:val="right"/>
              <w:rPr>
                <w:sz w:val="20"/>
                <w:szCs w:val="20"/>
                <w:lang w:val="sr-Cyrl-CS"/>
              </w:rPr>
            </w:pPr>
            <w:r w:rsidRPr="00092ED7">
              <w:rPr>
                <w:sz w:val="20"/>
                <w:szCs w:val="20"/>
                <w:lang w:val="sr-Cyrl-CS"/>
              </w:rPr>
              <w:t>2.757,3</w:t>
            </w:r>
          </w:p>
        </w:tc>
        <w:tc>
          <w:tcPr>
            <w:tcW w:w="1376" w:type="dxa"/>
            <w:gridSpan w:val="4"/>
            <w:tcBorders>
              <w:top w:val="nil"/>
              <w:left w:val="nil"/>
              <w:bottom w:val="double" w:sz="6" w:space="0" w:color="auto"/>
              <w:right w:val="dashed" w:sz="4" w:space="0" w:color="auto"/>
            </w:tcBorders>
            <w:shd w:val="clear" w:color="auto" w:fill="auto"/>
            <w:noWrap/>
            <w:vAlign w:val="center"/>
            <w:hideMark/>
          </w:tcPr>
          <w:p w14:paraId="6B72DF1D" w14:textId="77777777" w:rsidR="00247CBF" w:rsidRPr="00092ED7" w:rsidRDefault="00247CBF" w:rsidP="00247CBF">
            <w:pPr>
              <w:spacing w:after="0"/>
              <w:jc w:val="right"/>
              <w:rPr>
                <w:sz w:val="20"/>
                <w:szCs w:val="20"/>
                <w:lang w:val="sr-Cyrl-CS"/>
              </w:rPr>
            </w:pPr>
            <w:r w:rsidRPr="00092ED7">
              <w:rPr>
                <w:sz w:val="20"/>
                <w:szCs w:val="20"/>
                <w:lang w:val="sr-Cyrl-CS"/>
              </w:rPr>
              <w:t>2.864,0</w:t>
            </w:r>
          </w:p>
        </w:tc>
        <w:tc>
          <w:tcPr>
            <w:tcW w:w="1276" w:type="dxa"/>
            <w:gridSpan w:val="4"/>
            <w:tcBorders>
              <w:top w:val="nil"/>
              <w:left w:val="nil"/>
              <w:bottom w:val="double" w:sz="6" w:space="0" w:color="auto"/>
              <w:right w:val="dashed" w:sz="4" w:space="0" w:color="auto"/>
            </w:tcBorders>
            <w:shd w:val="clear" w:color="auto" w:fill="auto"/>
            <w:noWrap/>
            <w:vAlign w:val="center"/>
            <w:hideMark/>
          </w:tcPr>
          <w:p w14:paraId="30E65D89" w14:textId="77777777" w:rsidR="00247CBF" w:rsidRPr="00092ED7" w:rsidRDefault="00247CBF" w:rsidP="00247CBF">
            <w:pPr>
              <w:spacing w:after="0"/>
              <w:jc w:val="right"/>
              <w:rPr>
                <w:sz w:val="20"/>
                <w:szCs w:val="20"/>
                <w:lang w:val="sr-Cyrl-CS"/>
              </w:rPr>
            </w:pPr>
            <w:r w:rsidRPr="00092ED7">
              <w:rPr>
                <w:sz w:val="20"/>
                <w:szCs w:val="20"/>
                <w:lang w:val="sr-Cyrl-CS"/>
              </w:rPr>
              <w:t>3.181,2</w:t>
            </w:r>
          </w:p>
        </w:tc>
        <w:tc>
          <w:tcPr>
            <w:tcW w:w="1276" w:type="dxa"/>
            <w:gridSpan w:val="3"/>
            <w:tcBorders>
              <w:top w:val="nil"/>
              <w:left w:val="nil"/>
              <w:bottom w:val="double" w:sz="6" w:space="0" w:color="auto"/>
              <w:right w:val="dashed" w:sz="4" w:space="0" w:color="auto"/>
            </w:tcBorders>
            <w:shd w:val="clear" w:color="auto" w:fill="auto"/>
            <w:noWrap/>
            <w:vAlign w:val="center"/>
            <w:hideMark/>
          </w:tcPr>
          <w:p w14:paraId="109F304E" w14:textId="77777777" w:rsidR="00247CBF" w:rsidRPr="00092ED7" w:rsidRDefault="00247CBF" w:rsidP="00247CBF">
            <w:pPr>
              <w:spacing w:after="0"/>
              <w:jc w:val="right"/>
              <w:rPr>
                <w:sz w:val="20"/>
                <w:szCs w:val="20"/>
                <w:lang w:val="sr-Cyrl-CS"/>
              </w:rPr>
            </w:pPr>
            <w:r w:rsidRPr="00092ED7">
              <w:rPr>
                <w:sz w:val="20"/>
                <w:szCs w:val="20"/>
                <w:lang w:val="sr-Cyrl-CS"/>
              </w:rPr>
              <w:t>3.581,8</w:t>
            </w:r>
          </w:p>
        </w:tc>
        <w:tc>
          <w:tcPr>
            <w:tcW w:w="1268" w:type="dxa"/>
            <w:gridSpan w:val="3"/>
            <w:tcBorders>
              <w:top w:val="nil"/>
              <w:left w:val="nil"/>
              <w:bottom w:val="double" w:sz="6" w:space="0" w:color="auto"/>
              <w:right w:val="double" w:sz="6" w:space="0" w:color="auto"/>
            </w:tcBorders>
            <w:shd w:val="clear" w:color="auto" w:fill="auto"/>
            <w:noWrap/>
            <w:vAlign w:val="center"/>
            <w:hideMark/>
          </w:tcPr>
          <w:p w14:paraId="460CEA84" w14:textId="77777777" w:rsidR="00247CBF" w:rsidRPr="00092ED7" w:rsidRDefault="00247CBF" w:rsidP="00247CBF">
            <w:pPr>
              <w:spacing w:after="0"/>
              <w:jc w:val="right"/>
              <w:rPr>
                <w:sz w:val="20"/>
                <w:szCs w:val="20"/>
                <w:lang w:val="sr-Cyrl-CS"/>
              </w:rPr>
            </w:pPr>
            <w:r w:rsidRPr="00092ED7">
              <w:rPr>
                <w:sz w:val="20"/>
                <w:szCs w:val="20"/>
                <w:lang w:val="sr-Cyrl-CS"/>
              </w:rPr>
              <w:t>4.030,6</w:t>
            </w:r>
          </w:p>
        </w:tc>
      </w:tr>
      <w:tr w:rsidR="00247CBF" w:rsidRPr="00092ED7" w14:paraId="61B5F712" w14:textId="77777777" w:rsidTr="00247CBF">
        <w:trPr>
          <w:gridAfter w:val="2"/>
          <w:wAfter w:w="293" w:type="dxa"/>
          <w:trHeight w:val="270"/>
        </w:trPr>
        <w:tc>
          <w:tcPr>
            <w:tcW w:w="4962" w:type="dxa"/>
            <w:gridSpan w:val="3"/>
            <w:tcBorders>
              <w:top w:val="nil"/>
              <w:left w:val="double" w:sz="6" w:space="0" w:color="auto"/>
              <w:bottom w:val="dotted" w:sz="4" w:space="0" w:color="auto"/>
              <w:right w:val="single" w:sz="8" w:space="0" w:color="auto"/>
            </w:tcBorders>
            <w:shd w:val="clear" w:color="auto" w:fill="auto"/>
            <w:hideMark/>
          </w:tcPr>
          <w:p w14:paraId="6BCEC00E" w14:textId="77777777" w:rsidR="00247CBF" w:rsidRPr="00092ED7" w:rsidRDefault="00247CBF" w:rsidP="00247CBF">
            <w:pPr>
              <w:spacing w:after="0"/>
              <w:ind w:firstLineChars="100" w:firstLine="200"/>
              <w:rPr>
                <w:rFonts w:eastAsia="Times New Roman" w:cs="Times New Roman"/>
                <w:sz w:val="20"/>
                <w:szCs w:val="20"/>
                <w:lang w:val="sr-Cyrl-CS"/>
              </w:rPr>
            </w:pPr>
            <w:r w:rsidRPr="00092ED7">
              <w:rPr>
                <w:rFonts w:eastAsia="Times New Roman" w:cs="Times New Roman"/>
                <w:sz w:val="20"/>
                <w:szCs w:val="20"/>
                <w:lang w:val="sr-Cyrl-CS"/>
              </w:rPr>
              <w:t>информативно: БДП у текућим тржишним ценама</w:t>
            </w:r>
          </w:p>
        </w:tc>
        <w:tc>
          <w:tcPr>
            <w:tcW w:w="1447" w:type="dxa"/>
            <w:gridSpan w:val="3"/>
            <w:tcBorders>
              <w:top w:val="nil"/>
              <w:left w:val="nil"/>
              <w:bottom w:val="dotted" w:sz="4" w:space="0" w:color="auto"/>
              <w:right w:val="single" w:sz="8" w:space="0" w:color="auto"/>
            </w:tcBorders>
            <w:shd w:val="clear" w:color="auto" w:fill="auto"/>
            <w:vAlign w:val="center"/>
            <w:hideMark/>
          </w:tcPr>
          <w:p w14:paraId="75AACC19" w14:textId="77777777" w:rsidR="00247CBF" w:rsidRPr="00092ED7" w:rsidRDefault="00247CBF" w:rsidP="00247CBF">
            <w:pPr>
              <w:spacing w:after="0"/>
              <w:jc w:val="center"/>
              <w:rPr>
                <w:sz w:val="18"/>
                <w:szCs w:val="18"/>
                <w:lang w:val="sr-Cyrl-CS"/>
              </w:rPr>
            </w:pPr>
            <w:r w:rsidRPr="00092ED7">
              <w:rPr>
                <w:sz w:val="18"/>
                <w:szCs w:val="18"/>
                <w:lang w:val="sr-Cyrl-CS"/>
              </w:rPr>
              <w:t>млрд РСД</w:t>
            </w:r>
          </w:p>
        </w:tc>
        <w:tc>
          <w:tcPr>
            <w:tcW w:w="1388" w:type="dxa"/>
            <w:gridSpan w:val="4"/>
            <w:tcBorders>
              <w:top w:val="dashed" w:sz="4" w:space="0" w:color="auto"/>
              <w:left w:val="nil"/>
              <w:bottom w:val="dashed" w:sz="4" w:space="0" w:color="auto"/>
              <w:right w:val="dashed" w:sz="4" w:space="0" w:color="auto"/>
            </w:tcBorders>
            <w:shd w:val="clear" w:color="auto" w:fill="auto"/>
            <w:noWrap/>
            <w:vAlign w:val="center"/>
            <w:hideMark/>
          </w:tcPr>
          <w:p w14:paraId="3464D464" w14:textId="77777777" w:rsidR="00247CBF" w:rsidRPr="00092ED7" w:rsidRDefault="00247CBF" w:rsidP="00247CBF">
            <w:pPr>
              <w:spacing w:after="0"/>
              <w:jc w:val="right"/>
              <w:rPr>
                <w:sz w:val="20"/>
                <w:szCs w:val="20"/>
                <w:lang w:val="sr-Cyrl-CS"/>
              </w:rPr>
            </w:pPr>
            <w:r w:rsidRPr="00092ED7">
              <w:rPr>
                <w:sz w:val="20"/>
                <w:szCs w:val="20"/>
                <w:lang w:val="sr-Cyrl-CS"/>
              </w:rPr>
              <w:t>4.760,7</w:t>
            </w:r>
          </w:p>
        </w:tc>
        <w:tc>
          <w:tcPr>
            <w:tcW w:w="1316" w:type="dxa"/>
            <w:gridSpan w:val="4"/>
            <w:tcBorders>
              <w:top w:val="dashed" w:sz="4" w:space="0" w:color="auto"/>
              <w:left w:val="nil"/>
              <w:bottom w:val="dashed" w:sz="4" w:space="0" w:color="auto"/>
              <w:right w:val="dashed" w:sz="4" w:space="0" w:color="auto"/>
            </w:tcBorders>
            <w:shd w:val="clear" w:color="auto" w:fill="auto"/>
            <w:noWrap/>
            <w:vAlign w:val="center"/>
            <w:hideMark/>
          </w:tcPr>
          <w:p w14:paraId="1B34DD2B" w14:textId="77777777" w:rsidR="00247CBF" w:rsidRPr="00092ED7" w:rsidRDefault="00247CBF" w:rsidP="00247CBF">
            <w:pPr>
              <w:spacing w:after="0"/>
              <w:jc w:val="right"/>
              <w:rPr>
                <w:sz w:val="20"/>
                <w:szCs w:val="20"/>
                <w:lang w:val="sr-Cyrl-CS"/>
              </w:rPr>
            </w:pPr>
            <w:r w:rsidRPr="00092ED7">
              <w:rPr>
                <w:sz w:val="20"/>
                <w:szCs w:val="20"/>
                <w:lang w:val="sr-Cyrl-CS"/>
              </w:rPr>
              <w:t>5.072,9</w:t>
            </w:r>
          </w:p>
        </w:tc>
        <w:tc>
          <w:tcPr>
            <w:tcW w:w="1376" w:type="dxa"/>
            <w:gridSpan w:val="4"/>
            <w:tcBorders>
              <w:top w:val="dashed" w:sz="4" w:space="0" w:color="auto"/>
              <w:left w:val="nil"/>
              <w:bottom w:val="dashed" w:sz="4" w:space="0" w:color="auto"/>
              <w:right w:val="dashed" w:sz="4" w:space="0" w:color="auto"/>
            </w:tcBorders>
            <w:shd w:val="clear" w:color="auto" w:fill="auto"/>
            <w:noWrap/>
            <w:vAlign w:val="center"/>
            <w:hideMark/>
          </w:tcPr>
          <w:p w14:paraId="5615701E" w14:textId="77777777" w:rsidR="00247CBF" w:rsidRPr="00092ED7" w:rsidRDefault="00247CBF" w:rsidP="00247CBF">
            <w:pPr>
              <w:spacing w:after="0"/>
              <w:jc w:val="right"/>
              <w:rPr>
                <w:sz w:val="20"/>
                <w:szCs w:val="20"/>
                <w:lang w:val="sr-Cyrl-CS"/>
              </w:rPr>
            </w:pPr>
            <w:r w:rsidRPr="00092ED7">
              <w:rPr>
                <w:sz w:val="20"/>
                <w:szCs w:val="20"/>
                <w:lang w:val="sr-Cyrl-CS"/>
              </w:rPr>
              <w:t>5.421,9</w:t>
            </w:r>
          </w:p>
        </w:tc>
        <w:tc>
          <w:tcPr>
            <w:tcW w:w="1276" w:type="dxa"/>
            <w:gridSpan w:val="4"/>
            <w:tcBorders>
              <w:top w:val="dashed" w:sz="4" w:space="0" w:color="auto"/>
              <w:left w:val="nil"/>
              <w:bottom w:val="dashed" w:sz="4" w:space="0" w:color="auto"/>
              <w:right w:val="dashed" w:sz="4" w:space="0" w:color="auto"/>
            </w:tcBorders>
            <w:shd w:val="clear" w:color="auto" w:fill="auto"/>
            <w:noWrap/>
            <w:vAlign w:val="center"/>
            <w:hideMark/>
          </w:tcPr>
          <w:p w14:paraId="0F7B2344" w14:textId="77777777" w:rsidR="00247CBF" w:rsidRPr="00092ED7" w:rsidRDefault="00247CBF" w:rsidP="00247CBF">
            <w:pPr>
              <w:spacing w:after="0"/>
              <w:jc w:val="right"/>
              <w:rPr>
                <w:sz w:val="20"/>
                <w:szCs w:val="20"/>
                <w:lang w:val="sr-Cyrl-CS"/>
              </w:rPr>
            </w:pPr>
            <w:r w:rsidRPr="00092ED7">
              <w:rPr>
                <w:sz w:val="20"/>
                <w:szCs w:val="20"/>
                <w:lang w:val="sr-Cyrl-CS"/>
              </w:rPr>
              <w:t>5.504,4</w:t>
            </w:r>
          </w:p>
        </w:tc>
        <w:tc>
          <w:tcPr>
            <w:tcW w:w="1276" w:type="dxa"/>
            <w:gridSpan w:val="3"/>
            <w:tcBorders>
              <w:top w:val="dashed" w:sz="4" w:space="0" w:color="auto"/>
              <w:left w:val="nil"/>
              <w:bottom w:val="dashed" w:sz="4" w:space="0" w:color="auto"/>
              <w:right w:val="dashed" w:sz="4" w:space="0" w:color="auto"/>
            </w:tcBorders>
            <w:shd w:val="clear" w:color="auto" w:fill="auto"/>
            <w:noWrap/>
            <w:vAlign w:val="center"/>
            <w:hideMark/>
          </w:tcPr>
          <w:p w14:paraId="02049E8E" w14:textId="77777777" w:rsidR="00247CBF" w:rsidRPr="00092ED7" w:rsidRDefault="00247CBF" w:rsidP="00247CBF">
            <w:pPr>
              <w:spacing w:after="0"/>
              <w:jc w:val="right"/>
              <w:rPr>
                <w:sz w:val="20"/>
                <w:szCs w:val="20"/>
                <w:lang w:val="sr-Cyrl-CS"/>
              </w:rPr>
            </w:pPr>
            <w:r w:rsidRPr="00092ED7">
              <w:rPr>
                <w:sz w:val="20"/>
                <w:szCs w:val="20"/>
                <w:lang w:val="sr-Cyrl-CS"/>
              </w:rPr>
              <w:t>6.270,1</w:t>
            </w:r>
          </w:p>
        </w:tc>
        <w:tc>
          <w:tcPr>
            <w:tcW w:w="1268" w:type="dxa"/>
            <w:gridSpan w:val="3"/>
            <w:tcBorders>
              <w:top w:val="dashed" w:sz="4" w:space="0" w:color="auto"/>
              <w:left w:val="nil"/>
              <w:bottom w:val="dashed" w:sz="4" w:space="0" w:color="auto"/>
              <w:right w:val="double" w:sz="6" w:space="0" w:color="auto"/>
            </w:tcBorders>
            <w:shd w:val="clear" w:color="auto" w:fill="auto"/>
            <w:noWrap/>
            <w:vAlign w:val="center"/>
            <w:hideMark/>
          </w:tcPr>
          <w:p w14:paraId="06435F91" w14:textId="77777777" w:rsidR="00247CBF" w:rsidRPr="00092ED7" w:rsidRDefault="00247CBF" w:rsidP="00247CBF">
            <w:pPr>
              <w:spacing w:after="0"/>
              <w:jc w:val="right"/>
              <w:rPr>
                <w:sz w:val="20"/>
                <w:szCs w:val="20"/>
                <w:lang w:val="sr-Cyrl-CS"/>
              </w:rPr>
            </w:pPr>
            <w:r w:rsidRPr="00092ED7">
              <w:rPr>
                <w:sz w:val="20"/>
                <w:szCs w:val="20"/>
                <w:lang w:val="sr-Cyrl-CS"/>
              </w:rPr>
              <w:t>7.082,5</w:t>
            </w:r>
          </w:p>
        </w:tc>
      </w:tr>
      <w:tr w:rsidR="00247CBF" w:rsidRPr="00092ED7" w14:paraId="7530B5E8" w14:textId="77777777" w:rsidTr="00247CBF">
        <w:trPr>
          <w:gridAfter w:val="2"/>
          <w:wAfter w:w="293" w:type="dxa"/>
          <w:trHeight w:val="270"/>
        </w:trPr>
        <w:tc>
          <w:tcPr>
            <w:tcW w:w="4962" w:type="dxa"/>
            <w:gridSpan w:val="3"/>
            <w:tcBorders>
              <w:top w:val="nil"/>
              <w:left w:val="double" w:sz="6" w:space="0" w:color="auto"/>
              <w:bottom w:val="double" w:sz="6" w:space="0" w:color="auto"/>
              <w:right w:val="single" w:sz="8" w:space="0" w:color="auto"/>
            </w:tcBorders>
            <w:shd w:val="clear" w:color="auto" w:fill="auto"/>
            <w:hideMark/>
          </w:tcPr>
          <w:p w14:paraId="1CD4639F" w14:textId="77777777" w:rsidR="00247CBF" w:rsidRPr="00092ED7" w:rsidRDefault="00247CBF" w:rsidP="00247CBF">
            <w:pPr>
              <w:spacing w:after="0"/>
              <w:ind w:firstLineChars="100" w:firstLine="200"/>
              <w:rPr>
                <w:rFonts w:eastAsia="Times New Roman" w:cs="Times New Roman"/>
                <w:sz w:val="20"/>
                <w:szCs w:val="20"/>
                <w:lang w:val="sr-Cyrl-CS"/>
              </w:rPr>
            </w:pPr>
            <w:r w:rsidRPr="00092ED7">
              <w:rPr>
                <w:rFonts w:eastAsia="Times New Roman" w:cs="Times New Roman"/>
                <w:sz w:val="20"/>
                <w:szCs w:val="20"/>
                <w:lang w:val="sr-Cyrl-CS"/>
              </w:rPr>
              <w:t>информативно: Девизни курс (годишњи просек)</w:t>
            </w:r>
          </w:p>
        </w:tc>
        <w:tc>
          <w:tcPr>
            <w:tcW w:w="1447" w:type="dxa"/>
            <w:gridSpan w:val="3"/>
            <w:tcBorders>
              <w:top w:val="dashed" w:sz="4" w:space="0" w:color="auto"/>
              <w:left w:val="nil"/>
              <w:bottom w:val="double" w:sz="6" w:space="0" w:color="auto"/>
              <w:right w:val="single" w:sz="8" w:space="0" w:color="auto"/>
            </w:tcBorders>
            <w:shd w:val="clear" w:color="auto" w:fill="auto"/>
            <w:noWrap/>
            <w:vAlign w:val="center"/>
            <w:hideMark/>
          </w:tcPr>
          <w:p w14:paraId="1AFE7925" w14:textId="77777777" w:rsidR="00247CBF" w:rsidRPr="00092ED7" w:rsidRDefault="00247CBF" w:rsidP="00247CBF">
            <w:pPr>
              <w:spacing w:after="0"/>
              <w:jc w:val="center"/>
              <w:rPr>
                <w:sz w:val="18"/>
                <w:szCs w:val="18"/>
                <w:lang w:val="sr-Cyrl-CS"/>
              </w:rPr>
            </w:pPr>
            <w:r w:rsidRPr="00092ED7">
              <w:rPr>
                <w:sz w:val="18"/>
                <w:szCs w:val="18"/>
                <w:lang w:val="sr-Cyrl-CS"/>
              </w:rPr>
              <w:t>РСД/ЕУР</w:t>
            </w:r>
          </w:p>
        </w:tc>
        <w:tc>
          <w:tcPr>
            <w:tcW w:w="1388" w:type="dxa"/>
            <w:gridSpan w:val="4"/>
            <w:tcBorders>
              <w:top w:val="nil"/>
              <w:left w:val="nil"/>
              <w:bottom w:val="double" w:sz="6" w:space="0" w:color="auto"/>
              <w:right w:val="dashed" w:sz="4" w:space="0" w:color="auto"/>
            </w:tcBorders>
            <w:shd w:val="clear" w:color="auto" w:fill="auto"/>
            <w:noWrap/>
            <w:vAlign w:val="center"/>
            <w:hideMark/>
          </w:tcPr>
          <w:p w14:paraId="2F7A44A1" w14:textId="77777777" w:rsidR="00247CBF" w:rsidRPr="00092ED7" w:rsidRDefault="00247CBF" w:rsidP="00247CBF">
            <w:pPr>
              <w:spacing w:after="0"/>
              <w:jc w:val="right"/>
              <w:rPr>
                <w:sz w:val="20"/>
                <w:szCs w:val="20"/>
                <w:lang w:val="sr-Cyrl-CS"/>
              </w:rPr>
            </w:pPr>
            <w:r w:rsidRPr="00092ED7">
              <w:rPr>
                <w:sz w:val="20"/>
                <w:szCs w:val="20"/>
                <w:lang w:val="sr-Cyrl-CS"/>
              </w:rPr>
              <w:t>121,3</w:t>
            </w:r>
          </w:p>
        </w:tc>
        <w:tc>
          <w:tcPr>
            <w:tcW w:w="1316" w:type="dxa"/>
            <w:gridSpan w:val="4"/>
            <w:tcBorders>
              <w:top w:val="nil"/>
              <w:left w:val="nil"/>
              <w:bottom w:val="double" w:sz="6" w:space="0" w:color="auto"/>
              <w:right w:val="dashed" w:sz="4" w:space="0" w:color="auto"/>
            </w:tcBorders>
            <w:shd w:val="clear" w:color="auto" w:fill="auto"/>
            <w:noWrap/>
            <w:vAlign w:val="center"/>
            <w:hideMark/>
          </w:tcPr>
          <w:p w14:paraId="00A79335" w14:textId="77777777" w:rsidR="00247CBF" w:rsidRPr="00092ED7" w:rsidRDefault="00247CBF" w:rsidP="00247CBF">
            <w:pPr>
              <w:spacing w:after="0"/>
              <w:jc w:val="right"/>
              <w:rPr>
                <w:sz w:val="20"/>
                <w:szCs w:val="20"/>
                <w:lang w:val="sr-Cyrl-CS"/>
              </w:rPr>
            </w:pPr>
            <w:r w:rsidRPr="00092ED7">
              <w:rPr>
                <w:sz w:val="20"/>
                <w:szCs w:val="20"/>
                <w:lang w:val="sr-Cyrl-CS"/>
              </w:rPr>
              <w:t>118,3</w:t>
            </w:r>
          </w:p>
        </w:tc>
        <w:tc>
          <w:tcPr>
            <w:tcW w:w="1376" w:type="dxa"/>
            <w:gridSpan w:val="4"/>
            <w:tcBorders>
              <w:top w:val="nil"/>
              <w:left w:val="nil"/>
              <w:bottom w:val="double" w:sz="6" w:space="0" w:color="auto"/>
              <w:right w:val="dashed" w:sz="4" w:space="0" w:color="auto"/>
            </w:tcBorders>
            <w:shd w:val="clear" w:color="auto" w:fill="auto"/>
            <w:noWrap/>
            <w:vAlign w:val="center"/>
            <w:hideMark/>
          </w:tcPr>
          <w:p w14:paraId="37C70D01" w14:textId="77777777" w:rsidR="00247CBF" w:rsidRPr="00092ED7" w:rsidRDefault="00247CBF" w:rsidP="00247CBF">
            <w:pPr>
              <w:spacing w:after="0"/>
              <w:jc w:val="right"/>
              <w:rPr>
                <w:sz w:val="20"/>
                <w:szCs w:val="20"/>
                <w:lang w:val="sr-Cyrl-CS"/>
              </w:rPr>
            </w:pPr>
            <w:r w:rsidRPr="00092ED7">
              <w:rPr>
                <w:sz w:val="20"/>
                <w:szCs w:val="20"/>
                <w:lang w:val="sr-Cyrl-CS"/>
              </w:rPr>
              <w:t>117,9</w:t>
            </w:r>
          </w:p>
        </w:tc>
        <w:tc>
          <w:tcPr>
            <w:tcW w:w="1276" w:type="dxa"/>
            <w:gridSpan w:val="4"/>
            <w:tcBorders>
              <w:top w:val="nil"/>
              <w:left w:val="nil"/>
              <w:bottom w:val="double" w:sz="6" w:space="0" w:color="auto"/>
              <w:right w:val="dashed" w:sz="4" w:space="0" w:color="auto"/>
            </w:tcBorders>
            <w:shd w:val="clear" w:color="auto" w:fill="auto"/>
            <w:noWrap/>
            <w:vAlign w:val="center"/>
            <w:hideMark/>
          </w:tcPr>
          <w:p w14:paraId="6A4AB468" w14:textId="77777777" w:rsidR="00247CBF" w:rsidRPr="00092ED7" w:rsidRDefault="00247CBF" w:rsidP="00247CBF">
            <w:pPr>
              <w:spacing w:after="0"/>
              <w:jc w:val="right"/>
              <w:rPr>
                <w:sz w:val="20"/>
                <w:szCs w:val="20"/>
                <w:lang w:val="sr-Cyrl-CS"/>
              </w:rPr>
            </w:pPr>
            <w:r w:rsidRPr="00092ED7">
              <w:rPr>
                <w:sz w:val="20"/>
                <w:szCs w:val="20"/>
                <w:lang w:val="sr-Cyrl-CS"/>
              </w:rPr>
              <w:t>117,6</w:t>
            </w:r>
          </w:p>
        </w:tc>
        <w:tc>
          <w:tcPr>
            <w:tcW w:w="1276" w:type="dxa"/>
            <w:gridSpan w:val="3"/>
            <w:tcBorders>
              <w:top w:val="nil"/>
              <w:left w:val="nil"/>
              <w:bottom w:val="double" w:sz="6" w:space="0" w:color="auto"/>
              <w:right w:val="dashed" w:sz="4" w:space="0" w:color="auto"/>
            </w:tcBorders>
            <w:shd w:val="clear" w:color="auto" w:fill="auto"/>
            <w:noWrap/>
            <w:vAlign w:val="center"/>
            <w:hideMark/>
          </w:tcPr>
          <w:p w14:paraId="4EF7E54E" w14:textId="77777777" w:rsidR="00247CBF" w:rsidRPr="00092ED7" w:rsidRDefault="00247CBF" w:rsidP="00247CBF">
            <w:pPr>
              <w:spacing w:after="0"/>
              <w:jc w:val="right"/>
              <w:rPr>
                <w:sz w:val="20"/>
                <w:szCs w:val="20"/>
                <w:lang w:val="sr-Cyrl-CS"/>
              </w:rPr>
            </w:pPr>
            <w:r w:rsidRPr="00092ED7">
              <w:rPr>
                <w:sz w:val="20"/>
                <w:szCs w:val="20"/>
                <w:lang w:val="sr-Cyrl-CS"/>
              </w:rPr>
              <w:t>117,6</w:t>
            </w:r>
          </w:p>
        </w:tc>
        <w:tc>
          <w:tcPr>
            <w:tcW w:w="1268" w:type="dxa"/>
            <w:gridSpan w:val="3"/>
            <w:tcBorders>
              <w:top w:val="nil"/>
              <w:left w:val="nil"/>
              <w:bottom w:val="double" w:sz="6" w:space="0" w:color="auto"/>
              <w:right w:val="double" w:sz="6" w:space="0" w:color="auto"/>
            </w:tcBorders>
            <w:shd w:val="clear" w:color="auto" w:fill="auto"/>
            <w:noWrap/>
            <w:vAlign w:val="center"/>
            <w:hideMark/>
          </w:tcPr>
          <w:p w14:paraId="1724ADEA" w14:textId="77777777" w:rsidR="00247CBF" w:rsidRPr="00092ED7" w:rsidRDefault="00247CBF" w:rsidP="00247CBF">
            <w:pPr>
              <w:spacing w:after="0"/>
              <w:jc w:val="right"/>
              <w:rPr>
                <w:sz w:val="20"/>
                <w:szCs w:val="20"/>
                <w:lang w:val="sr-Cyrl-CS"/>
              </w:rPr>
            </w:pPr>
            <w:r w:rsidRPr="00092ED7">
              <w:rPr>
                <w:sz w:val="20"/>
                <w:szCs w:val="20"/>
                <w:lang w:val="sr-Cyrl-CS"/>
              </w:rPr>
              <w:t>117,5</w:t>
            </w:r>
          </w:p>
        </w:tc>
      </w:tr>
      <w:tr w:rsidR="00247CBF" w:rsidRPr="00092ED7" w14:paraId="723AF472" w14:textId="77777777" w:rsidTr="00247CBF">
        <w:trPr>
          <w:gridAfter w:val="2"/>
          <w:wAfter w:w="293" w:type="dxa"/>
          <w:trHeight w:val="270"/>
        </w:trPr>
        <w:tc>
          <w:tcPr>
            <w:tcW w:w="4962" w:type="dxa"/>
            <w:gridSpan w:val="3"/>
            <w:tcBorders>
              <w:top w:val="nil"/>
              <w:left w:val="nil"/>
              <w:bottom w:val="nil"/>
              <w:right w:val="nil"/>
            </w:tcBorders>
            <w:shd w:val="clear" w:color="000000" w:fill="FFFFFF"/>
            <w:noWrap/>
            <w:vAlign w:val="center"/>
            <w:hideMark/>
          </w:tcPr>
          <w:p w14:paraId="68BF858E" w14:textId="77777777" w:rsidR="00247CBF" w:rsidRPr="00092ED7" w:rsidRDefault="00247CBF" w:rsidP="00247CBF">
            <w:pPr>
              <w:spacing w:after="0"/>
              <w:jc w:val="left"/>
              <w:rPr>
                <w:sz w:val="16"/>
                <w:szCs w:val="16"/>
                <w:lang w:val="sr-Cyrl-CS"/>
              </w:rPr>
            </w:pPr>
            <w:r w:rsidRPr="00092ED7">
              <w:rPr>
                <w:sz w:val="16"/>
                <w:szCs w:val="16"/>
                <w:lang w:val="sr-Cyrl-CS"/>
              </w:rPr>
              <w:t>[1] јануар-октобар 2022.</w:t>
            </w:r>
          </w:p>
        </w:tc>
        <w:tc>
          <w:tcPr>
            <w:tcW w:w="1447" w:type="dxa"/>
            <w:gridSpan w:val="3"/>
            <w:tcBorders>
              <w:top w:val="nil"/>
              <w:left w:val="nil"/>
              <w:bottom w:val="nil"/>
              <w:right w:val="nil"/>
            </w:tcBorders>
            <w:shd w:val="clear" w:color="000000" w:fill="FFFFFF"/>
            <w:noWrap/>
            <w:vAlign w:val="bottom"/>
          </w:tcPr>
          <w:p w14:paraId="16739798" w14:textId="77777777" w:rsidR="00247CBF" w:rsidRPr="00092ED7" w:rsidRDefault="00247CBF" w:rsidP="00247CBF">
            <w:pPr>
              <w:spacing w:after="0"/>
              <w:jc w:val="center"/>
              <w:rPr>
                <w:rFonts w:eastAsia="Times New Roman" w:cs="Times New Roman"/>
                <w:sz w:val="16"/>
                <w:szCs w:val="16"/>
                <w:lang w:val="sr-Cyrl-CS"/>
              </w:rPr>
            </w:pPr>
          </w:p>
        </w:tc>
        <w:tc>
          <w:tcPr>
            <w:tcW w:w="1388" w:type="dxa"/>
            <w:gridSpan w:val="4"/>
            <w:tcBorders>
              <w:top w:val="nil"/>
              <w:left w:val="nil"/>
              <w:bottom w:val="nil"/>
              <w:right w:val="nil"/>
            </w:tcBorders>
            <w:shd w:val="clear" w:color="000000" w:fill="FFFFFF"/>
            <w:noWrap/>
            <w:vAlign w:val="bottom"/>
          </w:tcPr>
          <w:p w14:paraId="6B8B511F" w14:textId="77777777" w:rsidR="00247CBF" w:rsidRPr="00092ED7" w:rsidRDefault="00247CBF" w:rsidP="00247CBF">
            <w:pPr>
              <w:spacing w:after="0"/>
              <w:jc w:val="center"/>
              <w:rPr>
                <w:rFonts w:eastAsia="Times New Roman" w:cs="Times New Roman"/>
                <w:sz w:val="16"/>
                <w:szCs w:val="16"/>
                <w:lang w:val="sr-Cyrl-CS"/>
              </w:rPr>
            </w:pPr>
          </w:p>
        </w:tc>
        <w:tc>
          <w:tcPr>
            <w:tcW w:w="1316" w:type="dxa"/>
            <w:gridSpan w:val="4"/>
            <w:tcBorders>
              <w:top w:val="nil"/>
              <w:left w:val="nil"/>
              <w:bottom w:val="nil"/>
              <w:right w:val="nil"/>
            </w:tcBorders>
            <w:shd w:val="clear" w:color="000000" w:fill="FFFFFF"/>
            <w:noWrap/>
            <w:vAlign w:val="bottom"/>
          </w:tcPr>
          <w:p w14:paraId="5AB40739" w14:textId="77777777" w:rsidR="00247CBF" w:rsidRPr="00092ED7" w:rsidRDefault="00247CBF" w:rsidP="00247CBF">
            <w:pPr>
              <w:spacing w:after="0"/>
              <w:jc w:val="center"/>
              <w:rPr>
                <w:rFonts w:eastAsia="Times New Roman" w:cs="Times New Roman"/>
                <w:sz w:val="16"/>
                <w:szCs w:val="16"/>
                <w:lang w:val="sr-Cyrl-CS"/>
              </w:rPr>
            </w:pPr>
          </w:p>
        </w:tc>
        <w:tc>
          <w:tcPr>
            <w:tcW w:w="1376" w:type="dxa"/>
            <w:gridSpan w:val="4"/>
            <w:tcBorders>
              <w:top w:val="nil"/>
              <w:left w:val="nil"/>
              <w:bottom w:val="nil"/>
              <w:right w:val="nil"/>
            </w:tcBorders>
            <w:shd w:val="clear" w:color="000000" w:fill="FFFFFF"/>
            <w:noWrap/>
            <w:vAlign w:val="bottom"/>
          </w:tcPr>
          <w:p w14:paraId="47860460" w14:textId="77777777" w:rsidR="00247CBF" w:rsidRPr="00092ED7" w:rsidRDefault="00247CBF" w:rsidP="00247CBF">
            <w:pPr>
              <w:spacing w:after="0"/>
              <w:jc w:val="center"/>
              <w:rPr>
                <w:rFonts w:eastAsia="Times New Roman" w:cs="Times New Roman"/>
                <w:sz w:val="16"/>
                <w:szCs w:val="16"/>
                <w:lang w:val="sr-Cyrl-CS"/>
              </w:rPr>
            </w:pPr>
          </w:p>
        </w:tc>
        <w:tc>
          <w:tcPr>
            <w:tcW w:w="1276" w:type="dxa"/>
            <w:gridSpan w:val="4"/>
            <w:tcBorders>
              <w:top w:val="nil"/>
              <w:left w:val="nil"/>
              <w:bottom w:val="nil"/>
              <w:right w:val="nil"/>
            </w:tcBorders>
            <w:shd w:val="clear" w:color="000000" w:fill="FFFFFF"/>
            <w:noWrap/>
            <w:vAlign w:val="bottom"/>
          </w:tcPr>
          <w:p w14:paraId="7B62BB93" w14:textId="77777777" w:rsidR="00247CBF" w:rsidRPr="00092ED7" w:rsidRDefault="00247CBF" w:rsidP="00247CBF">
            <w:pPr>
              <w:spacing w:after="0"/>
              <w:jc w:val="center"/>
              <w:rPr>
                <w:rFonts w:eastAsia="Times New Roman" w:cs="Times New Roman"/>
                <w:sz w:val="16"/>
                <w:szCs w:val="16"/>
                <w:lang w:val="sr-Cyrl-CS"/>
              </w:rPr>
            </w:pPr>
          </w:p>
        </w:tc>
        <w:tc>
          <w:tcPr>
            <w:tcW w:w="1276" w:type="dxa"/>
            <w:gridSpan w:val="3"/>
            <w:tcBorders>
              <w:top w:val="nil"/>
              <w:left w:val="nil"/>
              <w:bottom w:val="nil"/>
              <w:right w:val="nil"/>
            </w:tcBorders>
            <w:shd w:val="clear" w:color="000000" w:fill="FFFFFF"/>
            <w:noWrap/>
            <w:vAlign w:val="bottom"/>
          </w:tcPr>
          <w:p w14:paraId="15C2FB67" w14:textId="77777777" w:rsidR="00247CBF" w:rsidRPr="00092ED7" w:rsidRDefault="00247CBF" w:rsidP="00247CBF">
            <w:pPr>
              <w:spacing w:after="0"/>
              <w:jc w:val="center"/>
              <w:rPr>
                <w:rFonts w:eastAsia="Times New Roman" w:cs="Times New Roman"/>
                <w:sz w:val="16"/>
                <w:szCs w:val="16"/>
                <w:lang w:val="sr-Cyrl-CS"/>
              </w:rPr>
            </w:pPr>
          </w:p>
        </w:tc>
        <w:tc>
          <w:tcPr>
            <w:tcW w:w="1268" w:type="dxa"/>
            <w:gridSpan w:val="3"/>
            <w:tcBorders>
              <w:top w:val="nil"/>
              <w:left w:val="nil"/>
              <w:bottom w:val="nil"/>
              <w:right w:val="nil"/>
            </w:tcBorders>
            <w:shd w:val="clear" w:color="000000" w:fill="FFFFFF"/>
            <w:noWrap/>
            <w:vAlign w:val="bottom"/>
          </w:tcPr>
          <w:p w14:paraId="743361C7" w14:textId="77777777" w:rsidR="00247CBF" w:rsidRPr="00092ED7" w:rsidRDefault="00247CBF" w:rsidP="00247CBF">
            <w:pPr>
              <w:spacing w:after="0"/>
              <w:jc w:val="center"/>
              <w:rPr>
                <w:rFonts w:eastAsia="Times New Roman" w:cs="Times New Roman"/>
                <w:sz w:val="16"/>
                <w:szCs w:val="16"/>
                <w:lang w:val="sr-Cyrl-CS"/>
              </w:rPr>
            </w:pPr>
          </w:p>
        </w:tc>
      </w:tr>
      <w:tr w:rsidR="00247CBF" w:rsidRPr="00092ED7" w14:paraId="01B36EAA" w14:textId="77777777" w:rsidTr="00247CBF">
        <w:trPr>
          <w:gridAfter w:val="2"/>
          <w:wAfter w:w="293" w:type="dxa"/>
          <w:trHeight w:val="255"/>
        </w:trPr>
        <w:tc>
          <w:tcPr>
            <w:tcW w:w="4962" w:type="dxa"/>
            <w:gridSpan w:val="3"/>
            <w:tcBorders>
              <w:top w:val="nil"/>
              <w:left w:val="nil"/>
              <w:bottom w:val="nil"/>
              <w:right w:val="nil"/>
            </w:tcBorders>
            <w:shd w:val="clear" w:color="000000" w:fill="FFFFFF"/>
            <w:noWrap/>
            <w:vAlign w:val="center"/>
            <w:hideMark/>
          </w:tcPr>
          <w:p w14:paraId="5AC09BA5" w14:textId="77777777" w:rsidR="00247CBF" w:rsidRPr="00092ED7" w:rsidRDefault="00247CBF" w:rsidP="00247CBF">
            <w:pPr>
              <w:spacing w:after="0"/>
              <w:jc w:val="left"/>
              <w:rPr>
                <w:sz w:val="16"/>
                <w:szCs w:val="16"/>
                <w:lang w:val="sr-Cyrl-CS"/>
              </w:rPr>
            </w:pPr>
            <w:r w:rsidRPr="00092ED7">
              <w:rPr>
                <w:sz w:val="16"/>
                <w:szCs w:val="16"/>
                <w:lang w:val="sr-Cyrl-CS"/>
              </w:rPr>
              <w:t>[2] крај јуна 2022.</w:t>
            </w:r>
          </w:p>
        </w:tc>
        <w:tc>
          <w:tcPr>
            <w:tcW w:w="1447" w:type="dxa"/>
            <w:gridSpan w:val="3"/>
            <w:tcBorders>
              <w:top w:val="nil"/>
              <w:left w:val="nil"/>
              <w:bottom w:val="nil"/>
              <w:right w:val="nil"/>
            </w:tcBorders>
            <w:shd w:val="clear" w:color="000000" w:fill="FFFFFF"/>
            <w:noWrap/>
            <w:vAlign w:val="bottom"/>
          </w:tcPr>
          <w:p w14:paraId="2A1FE7E1" w14:textId="77777777" w:rsidR="00247CBF" w:rsidRPr="00092ED7" w:rsidRDefault="00247CBF" w:rsidP="00247CBF">
            <w:pPr>
              <w:spacing w:after="0"/>
              <w:jc w:val="center"/>
              <w:rPr>
                <w:rFonts w:eastAsia="Times New Roman" w:cs="Times New Roman"/>
                <w:sz w:val="16"/>
                <w:szCs w:val="16"/>
                <w:lang w:val="sr-Cyrl-CS"/>
              </w:rPr>
            </w:pPr>
          </w:p>
        </w:tc>
        <w:tc>
          <w:tcPr>
            <w:tcW w:w="1388" w:type="dxa"/>
            <w:gridSpan w:val="4"/>
            <w:tcBorders>
              <w:top w:val="nil"/>
              <w:left w:val="nil"/>
              <w:bottom w:val="nil"/>
              <w:right w:val="nil"/>
            </w:tcBorders>
            <w:shd w:val="clear" w:color="000000" w:fill="FFFFFF"/>
            <w:noWrap/>
            <w:vAlign w:val="bottom"/>
          </w:tcPr>
          <w:p w14:paraId="250F5B89" w14:textId="77777777" w:rsidR="00247CBF" w:rsidRPr="00092ED7" w:rsidRDefault="00247CBF" w:rsidP="00247CBF">
            <w:pPr>
              <w:spacing w:after="0"/>
              <w:jc w:val="center"/>
              <w:rPr>
                <w:rFonts w:eastAsia="Times New Roman" w:cs="Times New Roman"/>
                <w:sz w:val="16"/>
                <w:szCs w:val="16"/>
                <w:lang w:val="sr-Cyrl-CS"/>
              </w:rPr>
            </w:pPr>
          </w:p>
        </w:tc>
        <w:tc>
          <w:tcPr>
            <w:tcW w:w="1316" w:type="dxa"/>
            <w:gridSpan w:val="4"/>
            <w:tcBorders>
              <w:top w:val="nil"/>
              <w:left w:val="nil"/>
              <w:bottom w:val="nil"/>
              <w:right w:val="nil"/>
            </w:tcBorders>
            <w:shd w:val="clear" w:color="000000" w:fill="FFFFFF"/>
            <w:noWrap/>
            <w:vAlign w:val="bottom"/>
          </w:tcPr>
          <w:p w14:paraId="59376478" w14:textId="77777777" w:rsidR="00247CBF" w:rsidRPr="00092ED7" w:rsidRDefault="00247CBF" w:rsidP="00247CBF">
            <w:pPr>
              <w:spacing w:after="0"/>
              <w:jc w:val="center"/>
              <w:rPr>
                <w:rFonts w:eastAsia="Times New Roman" w:cs="Times New Roman"/>
                <w:sz w:val="16"/>
                <w:szCs w:val="16"/>
                <w:lang w:val="sr-Cyrl-CS"/>
              </w:rPr>
            </w:pPr>
          </w:p>
        </w:tc>
        <w:tc>
          <w:tcPr>
            <w:tcW w:w="1376" w:type="dxa"/>
            <w:gridSpan w:val="4"/>
            <w:tcBorders>
              <w:top w:val="nil"/>
              <w:left w:val="nil"/>
              <w:bottom w:val="nil"/>
              <w:right w:val="nil"/>
            </w:tcBorders>
            <w:shd w:val="clear" w:color="000000" w:fill="FFFFFF"/>
            <w:noWrap/>
            <w:vAlign w:val="bottom"/>
          </w:tcPr>
          <w:p w14:paraId="3D16374C" w14:textId="77777777" w:rsidR="00247CBF" w:rsidRPr="00092ED7" w:rsidRDefault="00247CBF" w:rsidP="00247CBF">
            <w:pPr>
              <w:spacing w:after="0"/>
              <w:jc w:val="center"/>
              <w:rPr>
                <w:rFonts w:eastAsia="Times New Roman" w:cs="Times New Roman"/>
                <w:sz w:val="16"/>
                <w:szCs w:val="16"/>
                <w:lang w:val="sr-Cyrl-CS"/>
              </w:rPr>
            </w:pPr>
          </w:p>
        </w:tc>
        <w:tc>
          <w:tcPr>
            <w:tcW w:w="1276" w:type="dxa"/>
            <w:gridSpan w:val="4"/>
            <w:tcBorders>
              <w:top w:val="nil"/>
              <w:left w:val="nil"/>
              <w:bottom w:val="nil"/>
              <w:right w:val="nil"/>
            </w:tcBorders>
            <w:shd w:val="clear" w:color="000000" w:fill="FFFFFF"/>
            <w:noWrap/>
            <w:vAlign w:val="bottom"/>
          </w:tcPr>
          <w:p w14:paraId="18542113" w14:textId="77777777" w:rsidR="00247CBF" w:rsidRPr="00092ED7" w:rsidRDefault="00247CBF" w:rsidP="00247CBF">
            <w:pPr>
              <w:spacing w:after="0"/>
              <w:jc w:val="center"/>
              <w:rPr>
                <w:rFonts w:eastAsia="Times New Roman" w:cs="Times New Roman"/>
                <w:sz w:val="16"/>
                <w:szCs w:val="16"/>
                <w:lang w:val="sr-Cyrl-CS"/>
              </w:rPr>
            </w:pPr>
          </w:p>
        </w:tc>
        <w:tc>
          <w:tcPr>
            <w:tcW w:w="1276" w:type="dxa"/>
            <w:gridSpan w:val="3"/>
            <w:tcBorders>
              <w:top w:val="nil"/>
              <w:left w:val="nil"/>
              <w:bottom w:val="nil"/>
              <w:right w:val="nil"/>
            </w:tcBorders>
            <w:shd w:val="clear" w:color="000000" w:fill="FFFFFF"/>
            <w:noWrap/>
            <w:vAlign w:val="bottom"/>
          </w:tcPr>
          <w:p w14:paraId="6E858DCC" w14:textId="77777777" w:rsidR="00247CBF" w:rsidRPr="00092ED7" w:rsidRDefault="00247CBF" w:rsidP="00247CBF">
            <w:pPr>
              <w:spacing w:after="0"/>
              <w:jc w:val="center"/>
              <w:rPr>
                <w:rFonts w:eastAsia="Times New Roman" w:cs="Times New Roman"/>
                <w:sz w:val="16"/>
                <w:szCs w:val="16"/>
                <w:lang w:val="sr-Cyrl-CS"/>
              </w:rPr>
            </w:pPr>
          </w:p>
        </w:tc>
        <w:tc>
          <w:tcPr>
            <w:tcW w:w="1268" w:type="dxa"/>
            <w:gridSpan w:val="3"/>
            <w:tcBorders>
              <w:top w:val="nil"/>
              <w:left w:val="nil"/>
              <w:bottom w:val="nil"/>
              <w:right w:val="nil"/>
            </w:tcBorders>
            <w:shd w:val="clear" w:color="000000" w:fill="FFFFFF"/>
            <w:noWrap/>
            <w:vAlign w:val="bottom"/>
          </w:tcPr>
          <w:p w14:paraId="149DB848" w14:textId="77777777" w:rsidR="00247CBF" w:rsidRPr="00092ED7" w:rsidRDefault="00247CBF" w:rsidP="00247CBF">
            <w:pPr>
              <w:spacing w:after="0"/>
              <w:jc w:val="center"/>
              <w:rPr>
                <w:rFonts w:eastAsia="Times New Roman" w:cs="Times New Roman"/>
                <w:sz w:val="16"/>
                <w:szCs w:val="16"/>
                <w:lang w:val="sr-Cyrl-CS"/>
              </w:rPr>
            </w:pPr>
          </w:p>
        </w:tc>
      </w:tr>
      <w:tr w:rsidR="00247CBF" w:rsidRPr="00092ED7" w14:paraId="28ABA569" w14:textId="77777777" w:rsidTr="00247CBF">
        <w:trPr>
          <w:gridAfter w:val="2"/>
          <w:wAfter w:w="293" w:type="dxa"/>
          <w:trHeight w:val="200"/>
        </w:trPr>
        <w:tc>
          <w:tcPr>
            <w:tcW w:w="4962" w:type="dxa"/>
            <w:gridSpan w:val="3"/>
            <w:tcBorders>
              <w:top w:val="nil"/>
              <w:left w:val="nil"/>
              <w:bottom w:val="nil"/>
              <w:right w:val="nil"/>
            </w:tcBorders>
            <w:shd w:val="clear" w:color="000000" w:fill="FFFFFF"/>
            <w:vAlign w:val="center"/>
            <w:hideMark/>
          </w:tcPr>
          <w:p w14:paraId="5BA90E54" w14:textId="77777777" w:rsidR="00247CBF" w:rsidRPr="00092ED7" w:rsidRDefault="00247CBF" w:rsidP="00247CBF">
            <w:pPr>
              <w:spacing w:after="0"/>
              <w:jc w:val="left"/>
              <w:rPr>
                <w:sz w:val="16"/>
                <w:szCs w:val="16"/>
                <w:lang w:val="sr-Cyrl-CS"/>
              </w:rPr>
            </w:pPr>
            <w:r w:rsidRPr="00092ED7">
              <w:rPr>
                <w:sz w:val="16"/>
                <w:szCs w:val="16"/>
                <w:lang w:val="sr-Cyrl-CS"/>
              </w:rPr>
              <w:t>[3] крај октобра 2022.</w:t>
            </w:r>
          </w:p>
        </w:tc>
        <w:tc>
          <w:tcPr>
            <w:tcW w:w="1447" w:type="dxa"/>
            <w:gridSpan w:val="3"/>
            <w:tcBorders>
              <w:top w:val="nil"/>
              <w:left w:val="nil"/>
              <w:bottom w:val="nil"/>
              <w:right w:val="nil"/>
            </w:tcBorders>
            <w:shd w:val="clear" w:color="000000" w:fill="FFFFFF"/>
            <w:noWrap/>
            <w:vAlign w:val="bottom"/>
          </w:tcPr>
          <w:p w14:paraId="7F978A8D" w14:textId="77777777" w:rsidR="00247CBF" w:rsidRPr="00092ED7" w:rsidRDefault="00247CBF" w:rsidP="00247CBF">
            <w:pPr>
              <w:spacing w:after="0"/>
              <w:jc w:val="center"/>
              <w:rPr>
                <w:rFonts w:eastAsia="Times New Roman" w:cs="Times New Roman"/>
                <w:sz w:val="16"/>
                <w:szCs w:val="16"/>
                <w:lang w:val="sr-Cyrl-CS"/>
              </w:rPr>
            </w:pPr>
          </w:p>
        </w:tc>
        <w:tc>
          <w:tcPr>
            <w:tcW w:w="1388" w:type="dxa"/>
            <w:gridSpan w:val="4"/>
            <w:tcBorders>
              <w:top w:val="nil"/>
              <w:left w:val="nil"/>
              <w:bottom w:val="nil"/>
              <w:right w:val="nil"/>
            </w:tcBorders>
            <w:shd w:val="clear" w:color="000000" w:fill="FFFFFF"/>
            <w:noWrap/>
            <w:vAlign w:val="bottom"/>
          </w:tcPr>
          <w:p w14:paraId="73AB327D" w14:textId="77777777" w:rsidR="00247CBF" w:rsidRPr="00092ED7" w:rsidRDefault="00247CBF" w:rsidP="00247CBF">
            <w:pPr>
              <w:spacing w:after="0"/>
              <w:jc w:val="right"/>
              <w:rPr>
                <w:rFonts w:eastAsia="Times New Roman" w:cs="Times New Roman"/>
                <w:sz w:val="16"/>
                <w:szCs w:val="16"/>
                <w:lang w:val="sr-Cyrl-CS"/>
              </w:rPr>
            </w:pPr>
          </w:p>
        </w:tc>
        <w:tc>
          <w:tcPr>
            <w:tcW w:w="1316" w:type="dxa"/>
            <w:gridSpan w:val="4"/>
            <w:tcBorders>
              <w:top w:val="nil"/>
              <w:left w:val="nil"/>
              <w:bottom w:val="nil"/>
              <w:right w:val="nil"/>
            </w:tcBorders>
            <w:shd w:val="clear" w:color="000000" w:fill="FFFFFF"/>
            <w:noWrap/>
            <w:vAlign w:val="bottom"/>
          </w:tcPr>
          <w:p w14:paraId="09BCDB93" w14:textId="77777777" w:rsidR="00247CBF" w:rsidRPr="00092ED7" w:rsidRDefault="00247CBF" w:rsidP="00247CBF">
            <w:pPr>
              <w:spacing w:after="0"/>
              <w:jc w:val="right"/>
              <w:rPr>
                <w:rFonts w:eastAsia="Times New Roman" w:cs="Times New Roman"/>
                <w:sz w:val="16"/>
                <w:szCs w:val="16"/>
                <w:lang w:val="sr-Cyrl-CS"/>
              </w:rPr>
            </w:pPr>
          </w:p>
        </w:tc>
        <w:tc>
          <w:tcPr>
            <w:tcW w:w="1376" w:type="dxa"/>
            <w:gridSpan w:val="4"/>
            <w:tcBorders>
              <w:top w:val="nil"/>
              <w:left w:val="nil"/>
              <w:bottom w:val="nil"/>
              <w:right w:val="nil"/>
            </w:tcBorders>
            <w:shd w:val="clear" w:color="000000" w:fill="FFFFFF"/>
            <w:noWrap/>
            <w:vAlign w:val="bottom"/>
          </w:tcPr>
          <w:p w14:paraId="2D405B1D" w14:textId="77777777" w:rsidR="00247CBF" w:rsidRPr="00092ED7" w:rsidRDefault="00247CBF" w:rsidP="00247CBF">
            <w:pPr>
              <w:spacing w:after="0"/>
              <w:jc w:val="right"/>
              <w:rPr>
                <w:rFonts w:eastAsia="Times New Roman" w:cs="Times New Roman"/>
                <w:sz w:val="16"/>
                <w:szCs w:val="16"/>
                <w:lang w:val="sr-Cyrl-CS"/>
              </w:rPr>
            </w:pPr>
          </w:p>
        </w:tc>
        <w:tc>
          <w:tcPr>
            <w:tcW w:w="1276" w:type="dxa"/>
            <w:gridSpan w:val="4"/>
            <w:tcBorders>
              <w:top w:val="nil"/>
              <w:left w:val="nil"/>
              <w:bottom w:val="nil"/>
              <w:right w:val="nil"/>
            </w:tcBorders>
            <w:shd w:val="clear" w:color="000000" w:fill="FFFFFF"/>
            <w:noWrap/>
            <w:vAlign w:val="bottom"/>
          </w:tcPr>
          <w:p w14:paraId="18F430AB" w14:textId="77777777" w:rsidR="00247CBF" w:rsidRPr="00092ED7" w:rsidRDefault="00247CBF" w:rsidP="00247CBF">
            <w:pPr>
              <w:spacing w:after="0"/>
              <w:jc w:val="right"/>
              <w:rPr>
                <w:rFonts w:eastAsia="Times New Roman" w:cs="Times New Roman"/>
                <w:sz w:val="16"/>
                <w:szCs w:val="16"/>
                <w:lang w:val="sr-Cyrl-CS"/>
              </w:rPr>
            </w:pPr>
          </w:p>
        </w:tc>
        <w:tc>
          <w:tcPr>
            <w:tcW w:w="1276" w:type="dxa"/>
            <w:gridSpan w:val="3"/>
            <w:tcBorders>
              <w:top w:val="nil"/>
              <w:left w:val="nil"/>
              <w:bottom w:val="nil"/>
              <w:right w:val="nil"/>
            </w:tcBorders>
            <w:shd w:val="clear" w:color="000000" w:fill="FFFFFF"/>
            <w:noWrap/>
            <w:vAlign w:val="bottom"/>
          </w:tcPr>
          <w:p w14:paraId="6AFBCE62" w14:textId="77777777" w:rsidR="00247CBF" w:rsidRPr="00092ED7" w:rsidRDefault="00247CBF" w:rsidP="00247CBF">
            <w:pPr>
              <w:spacing w:after="0"/>
              <w:jc w:val="right"/>
              <w:rPr>
                <w:rFonts w:eastAsia="Times New Roman" w:cs="Times New Roman"/>
                <w:sz w:val="16"/>
                <w:szCs w:val="16"/>
                <w:lang w:val="sr-Cyrl-CS"/>
              </w:rPr>
            </w:pPr>
          </w:p>
        </w:tc>
        <w:tc>
          <w:tcPr>
            <w:tcW w:w="1268" w:type="dxa"/>
            <w:gridSpan w:val="3"/>
            <w:tcBorders>
              <w:top w:val="nil"/>
              <w:left w:val="nil"/>
              <w:bottom w:val="nil"/>
              <w:right w:val="nil"/>
            </w:tcBorders>
            <w:shd w:val="clear" w:color="000000" w:fill="FFFFFF"/>
            <w:noWrap/>
            <w:vAlign w:val="bottom"/>
          </w:tcPr>
          <w:p w14:paraId="592983A1" w14:textId="77777777" w:rsidR="00247CBF" w:rsidRPr="00092ED7" w:rsidRDefault="00247CBF" w:rsidP="00247CBF">
            <w:pPr>
              <w:spacing w:after="0"/>
              <w:jc w:val="right"/>
              <w:rPr>
                <w:rFonts w:eastAsia="Times New Roman" w:cs="Times New Roman"/>
                <w:sz w:val="16"/>
                <w:szCs w:val="16"/>
                <w:lang w:val="sr-Cyrl-CS"/>
              </w:rPr>
            </w:pPr>
          </w:p>
        </w:tc>
      </w:tr>
      <w:tr w:rsidR="00247CBF" w:rsidRPr="00092ED7" w14:paraId="79BC6848" w14:textId="77777777" w:rsidTr="00247CBF">
        <w:trPr>
          <w:gridAfter w:val="1"/>
          <w:wAfter w:w="32" w:type="dxa"/>
          <w:trHeight w:val="435"/>
        </w:trPr>
        <w:tc>
          <w:tcPr>
            <w:tcW w:w="5680" w:type="dxa"/>
            <w:gridSpan w:val="5"/>
            <w:tcBorders>
              <w:top w:val="nil"/>
              <w:left w:val="nil"/>
              <w:bottom w:val="nil"/>
              <w:right w:val="nil"/>
            </w:tcBorders>
            <w:shd w:val="clear" w:color="000000" w:fill="FFFFFF"/>
            <w:noWrap/>
            <w:vAlign w:val="bottom"/>
            <w:hideMark/>
          </w:tcPr>
          <w:p w14:paraId="5BF57287" w14:textId="77777777" w:rsidR="00247CBF" w:rsidRPr="00092ED7" w:rsidRDefault="00247CBF" w:rsidP="00247CBF">
            <w:pPr>
              <w:spacing w:after="0"/>
              <w:rPr>
                <w:rFonts w:eastAsia="Times New Roman" w:cs="Times New Roman"/>
                <w:b/>
                <w:bCs/>
                <w:sz w:val="20"/>
                <w:szCs w:val="20"/>
                <w:lang w:val="sr-Cyrl-CS"/>
              </w:rPr>
            </w:pPr>
            <w:r w:rsidRPr="00092ED7">
              <w:rPr>
                <w:rFonts w:eastAsia="Times New Roman" w:cs="Times New Roman"/>
                <w:b/>
                <w:bCs/>
                <w:sz w:val="20"/>
                <w:szCs w:val="20"/>
                <w:lang w:val="sr-Cyrl-CS"/>
              </w:rPr>
              <w:t>Табела 1a: Макроекономски оквир</w:t>
            </w:r>
          </w:p>
        </w:tc>
        <w:tc>
          <w:tcPr>
            <w:tcW w:w="1490" w:type="dxa"/>
            <w:gridSpan w:val="3"/>
            <w:tcBorders>
              <w:top w:val="nil"/>
              <w:left w:val="nil"/>
              <w:bottom w:val="nil"/>
              <w:right w:val="nil"/>
            </w:tcBorders>
            <w:shd w:val="clear" w:color="000000" w:fill="FFFFFF"/>
            <w:noWrap/>
            <w:vAlign w:val="bottom"/>
            <w:hideMark/>
          </w:tcPr>
          <w:p w14:paraId="72378686"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1291" w:type="dxa"/>
            <w:gridSpan w:val="3"/>
            <w:tcBorders>
              <w:top w:val="nil"/>
              <w:left w:val="nil"/>
              <w:bottom w:val="nil"/>
              <w:right w:val="nil"/>
            </w:tcBorders>
            <w:shd w:val="clear" w:color="000000" w:fill="FFFFFF"/>
            <w:noWrap/>
            <w:vAlign w:val="bottom"/>
            <w:hideMark/>
          </w:tcPr>
          <w:p w14:paraId="5730A895"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1290" w:type="dxa"/>
            <w:gridSpan w:val="4"/>
            <w:tcBorders>
              <w:top w:val="nil"/>
              <w:left w:val="nil"/>
              <w:bottom w:val="nil"/>
              <w:right w:val="nil"/>
            </w:tcBorders>
            <w:shd w:val="clear" w:color="000000" w:fill="FFFFFF"/>
            <w:noWrap/>
            <w:vAlign w:val="bottom"/>
            <w:hideMark/>
          </w:tcPr>
          <w:p w14:paraId="00C0372C"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1291" w:type="dxa"/>
            <w:gridSpan w:val="4"/>
            <w:tcBorders>
              <w:top w:val="nil"/>
              <w:left w:val="nil"/>
              <w:bottom w:val="nil"/>
              <w:right w:val="nil"/>
            </w:tcBorders>
            <w:shd w:val="clear" w:color="000000" w:fill="FFFFFF"/>
            <w:noWrap/>
            <w:vAlign w:val="bottom"/>
            <w:hideMark/>
          </w:tcPr>
          <w:p w14:paraId="69113AB2"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1291" w:type="dxa"/>
            <w:gridSpan w:val="4"/>
            <w:tcBorders>
              <w:top w:val="nil"/>
              <w:left w:val="nil"/>
              <w:bottom w:val="nil"/>
              <w:right w:val="nil"/>
            </w:tcBorders>
            <w:shd w:val="clear" w:color="000000" w:fill="FFFFFF"/>
            <w:noWrap/>
            <w:vAlign w:val="bottom"/>
            <w:hideMark/>
          </w:tcPr>
          <w:p w14:paraId="5505A2D8"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2237" w:type="dxa"/>
            <w:gridSpan w:val="6"/>
            <w:tcBorders>
              <w:top w:val="nil"/>
              <w:left w:val="nil"/>
              <w:bottom w:val="nil"/>
              <w:right w:val="nil"/>
            </w:tcBorders>
            <w:shd w:val="clear" w:color="000000" w:fill="FFFFFF"/>
            <w:noWrap/>
            <w:vAlign w:val="bottom"/>
            <w:hideMark/>
          </w:tcPr>
          <w:p w14:paraId="54451827"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b/>
                <w:bCs/>
                <w:sz w:val="20"/>
                <w:szCs w:val="20"/>
                <w:lang w:val="sr-Cyrl-CS"/>
              </w:rPr>
              <w:t>Република Србија</w:t>
            </w:r>
          </w:p>
        </w:tc>
      </w:tr>
      <w:tr w:rsidR="00247CBF" w:rsidRPr="00092ED7" w14:paraId="141D7CD0" w14:textId="77777777" w:rsidTr="00247CBF">
        <w:trPr>
          <w:gridBefore w:val="1"/>
          <w:wBefore w:w="23" w:type="dxa"/>
          <w:trHeight w:val="215"/>
        </w:trPr>
        <w:tc>
          <w:tcPr>
            <w:tcW w:w="4372" w:type="dxa"/>
            <w:vMerge w:val="restart"/>
            <w:tcBorders>
              <w:top w:val="double" w:sz="6" w:space="0" w:color="auto"/>
              <w:left w:val="double" w:sz="6" w:space="0" w:color="auto"/>
              <w:bottom w:val="dotted" w:sz="4" w:space="0" w:color="000000"/>
              <w:right w:val="dotted" w:sz="4" w:space="0" w:color="auto"/>
            </w:tcBorders>
            <w:shd w:val="clear" w:color="000000" w:fill="FFFFFF"/>
            <w:vAlign w:val="center"/>
            <w:hideMark/>
          </w:tcPr>
          <w:p w14:paraId="4BF9835F" w14:textId="77777777" w:rsidR="00247CBF" w:rsidRPr="00092ED7" w:rsidRDefault="00247CBF" w:rsidP="00247CBF">
            <w:pPr>
              <w:spacing w:after="0"/>
              <w:jc w:val="left"/>
              <w:rPr>
                <w:sz w:val="20"/>
                <w:szCs w:val="20"/>
                <w:lang w:val="sr-Cyrl-CS"/>
              </w:rPr>
            </w:pPr>
            <w:r w:rsidRPr="00092ED7">
              <w:rPr>
                <w:sz w:val="20"/>
                <w:szCs w:val="20"/>
                <w:lang w:val="sr-Cyrl-CS"/>
              </w:rPr>
              <w:t>У процентима, уколико није другачије наведено</w:t>
            </w:r>
          </w:p>
        </w:tc>
        <w:tc>
          <w:tcPr>
            <w:tcW w:w="1247" w:type="dxa"/>
            <w:gridSpan w:val="2"/>
            <w:vMerge w:val="restart"/>
            <w:tcBorders>
              <w:top w:val="double" w:sz="6" w:space="0" w:color="auto"/>
              <w:left w:val="dotted" w:sz="4" w:space="0" w:color="auto"/>
              <w:bottom w:val="dotted" w:sz="4" w:space="0" w:color="000000"/>
              <w:right w:val="single" w:sz="8" w:space="0" w:color="auto"/>
            </w:tcBorders>
            <w:shd w:val="clear" w:color="000000" w:fill="FFFFFF"/>
            <w:vAlign w:val="center"/>
            <w:hideMark/>
          </w:tcPr>
          <w:p w14:paraId="3E31BF09" w14:textId="77777777" w:rsidR="00247CBF" w:rsidRPr="00092ED7" w:rsidRDefault="00247CBF" w:rsidP="00247CBF">
            <w:pPr>
              <w:spacing w:after="0"/>
              <w:jc w:val="center"/>
              <w:rPr>
                <w:sz w:val="20"/>
                <w:szCs w:val="20"/>
                <w:lang w:val="sr-Cyrl-CS"/>
              </w:rPr>
            </w:pPr>
            <w:r w:rsidRPr="00092ED7">
              <w:rPr>
                <w:sz w:val="20"/>
                <w:szCs w:val="20"/>
                <w:lang w:val="sr-Cyrl-CS"/>
              </w:rPr>
              <w:t>ESA шифра</w:t>
            </w:r>
          </w:p>
        </w:tc>
        <w:tc>
          <w:tcPr>
            <w:tcW w:w="1446" w:type="dxa"/>
            <w:gridSpan w:val="3"/>
            <w:tcBorders>
              <w:top w:val="double" w:sz="6" w:space="0" w:color="auto"/>
              <w:left w:val="nil"/>
              <w:bottom w:val="nil"/>
              <w:right w:val="single" w:sz="8" w:space="0" w:color="auto"/>
            </w:tcBorders>
            <w:shd w:val="clear" w:color="000000" w:fill="FFFFFF"/>
            <w:vAlign w:val="center"/>
            <w:hideMark/>
          </w:tcPr>
          <w:p w14:paraId="157A88D9" w14:textId="77777777" w:rsidR="00247CBF" w:rsidRPr="00092ED7" w:rsidRDefault="00247CBF" w:rsidP="00247CBF">
            <w:pPr>
              <w:spacing w:after="0"/>
              <w:jc w:val="center"/>
              <w:rPr>
                <w:sz w:val="20"/>
                <w:szCs w:val="20"/>
                <w:lang w:val="sr-Cyrl-CS"/>
              </w:rPr>
            </w:pPr>
            <w:r w:rsidRPr="00092ED7">
              <w:rPr>
                <w:sz w:val="20"/>
                <w:szCs w:val="20"/>
                <w:lang w:val="sr-Cyrl-CS"/>
              </w:rPr>
              <w:t>Година</w:t>
            </w:r>
          </w:p>
        </w:tc>
        <w:tc>
          <w:tcPr>
            <w:tcW w:w="1501" w:type="dxa"/>
            <w:gridSpan w:val="5"/>
            <w:tcBorders>
              <w:top w:val="double" w:sz="6" w:space="0" w:color="auto"/>
              <w:left w:val="nil"/>
              <w:bottom w:val="nil"/>
              <w:right w:val="dotted" w:sz="4" w:space="0" w:color="auto"/>
            </w:tcBorders>
            <w:shd w:val="clear" w:color="000000" w:fill="FFFFFF"/>
            <w:vAlign w:val="center"/>
            <w:hideMark/>
          </w:tcPr>
          <w:p w14:paraId="18E0B8BD" w14:textId="77777777" w:rsidR="00247CBF" w:rsidRPr="00092ED7" w:rsidRDefault="00247CBF" w:rsidP="00247CBF">
            <w:pPr>
              <w:spacing w:after="0"/>
              <w:jc w:val="center"/>
              <w:rPr>
                <w:sz w:val="20"/>
                <w:szCs w:val="20"/>
                <w:lang w:val="sr-Cyrl-CS"/>
              </w:rPr>
            </w:pPr>
            <w:r w:rsidRPr="00092ED7">
              <w:rPr>
                <w:sz w:val="20"/>
                <w:szCs w:val="20"/>
                <w:lang w:val="sr-Cyrl-CS"/>
              </w:rPr>
              <w:t>Година</w:t>
            </w:r>
          </w:p>
        </w:tc>
        <w:tc>
          <w:tcPr>
            <w:tcW w:w="1504" w:type="dxa"/>
            <w:gridSpan w:val="4"/>
            <w:tcBorders>
              <w:top w:val="double" w:sz="6" w:space="0" w:color="auto"/>
              <w:left w:val="nil"/>
              <w:bottom w:val="nil"/>
              <w:right w:val="dotted" w:sz="4" w:space="0" w:color="auto"/>
            </w:tcBorders>
            <w:shd w:val="clear" w:color="000000" w:fill="FFFFFF"/>
            <w:vAlign w:val="center"/>
            <w:hideMark/>
          </w:tcPr>
          <w:p w14:paraId="001BDE37" w14:textId="77777777" w:rsidR="00247CBF" w:rsidRPr="00092ED7" w:rsidRDefault="00247CBF" w:rsidP="00247CBF">
            <w:pPr>
              <w:spacing w:after="0"/>
              <w:jc w:val="center"/>
              <w:rPr>
                <w:sz w:val="20"/>
                <w:szCs w:val="20"/>
                <w:lang w:val="sr-Cyrl-CS"/>
              </w:rPr>
            </w:pPr>
            <w:r w:rsidRPr="00092ED7">
              <w:rPr>
                <w:sz w:val="20"/>
                <w:szCs w:val="20"/>
                <w:lang w:val="sr-Cyrl-CS"/>
              </w:rPr>
              <w:t>Година</w:t>
            </w:r>
          </w:p>
        </w:tc>
        <w:tc>
          <w:tcPr>
            <w:tcW w:w="1501" w:type="dxa"/>
            <w:gridSpan w:val="4"/>
            <w:tcBorders>
              <w:top w:val="double" w:sz="6" w:space="0" w:color="auto"/>
              <w:left w:val="nil"/>
              <w:bottom w:val="nil"/>
              <w:right w:val="dotted" w:sz="4" w:space="0" w:color="auto"/>
            </w:tcBorders>
            <w:shd w:val="clear" w:color="000000" w:fill="FFFFFF"/>
            <w:vAlign w:val="center"/>
            <w:hideMark/>
          </w:tcPr>
          <w:p w14:paraId="48289642" w14:textId="77777777" w:rsidR="00247CBF" w:rsidRPr="00092ED7" w:rsidRDefault="00247CBF" w:rsidP="00247CBF">
            <w:pPr>
              <w:spacing w:after="0"/>
              <w:jc w:val="center"/>
              <w:rPr>
                <w:sz w:val="20"/>
                <w:szCs w:val="20"/>
                <w:lang w:val="sr-Cyrl-CS"/>
              </w:rPr>
            </w:pPr>
            <w:r w:rsidRPr="00092ED7">
              <w:rPr>
                <w:sz w:val="20"/>
                <w:szCs w:val="20"/>
                <w:lang w:val="sr-Cyrl-CS"/>
              </w:rPr>
              <w:t>Година</w:t>
            </w:r>
          </w:p>
        </w:tc>
        <w:tc>
          <w:tcPr>
            <w:tcW w:w="1504" w:type="dxa"/>
            <w:gridSpan w:val="6"/>
            <w:tcBorders>
              <w:top w:val="double" w:sz="6" w:space="0" w:color="auto"/>
              <w:left w:val="nil"/>
              <w:bottom w:val="nil"/>
              <w:right w:val="dotted" w:sz="4" w:space="0" w:color="auto"/>
            </w:tcBorders>
            <w:shd w:val="clear" w:color="000000" w:fill="FFFFFF"/>
            <w:vAlign w:val="center"/>
            <w:hideMark/>
          </w:tcPr>
          <w:p w14:paraId="5819373F" w14:textId="77777777" w:rsidR="00247CBF" w:rsidRPr="00092ED7" w:rsidRDefault="00247CBF" w:rsidP="00247CBF">
            <w:pPr>
              <w:spacing w:after="0"/>
              <w:jc w:val="center"/>
              <w:rPr>
                <w:sz w:val="20"/>
                <w:szCs w:val="20"/>
                <w:lang w:val="sr-Cyrl-CS"/>
              </w:rPr>
            </w:pPr>
            <w:r w:rsidRPr="00092ED7">
              <w:rPr>
                <w:sz w:val="20"/>
                <w:szCs w:val="20"/>
                <w:lang w:val="sr-Cyrl-CS"/>
              </w:rPr>
              <w:t>Година</w:t>
            </w:r>
          </w:p>
        </w:tc>
        <w:tc>
          <w:tcPr>
            <w:tcW w:w="1504" w:type="dxa"/>
            <w:gridSpan w:val="4"/>
            <w:tcBorders>
              <w:top w:val="double" w:sz="6" w:space="0" w:color="auto"/>
              <w:left w:val="nil"/>
              <w:bottom w:val="nil"/>
              <w:right w:val="double" w:sz="6" w:space="0" w:color="auto"/>
            </w:tcBorders>
            <w:shd w:val="clear" w:color="000000" w:fill="FFFFFF"/>
            <w:vAlign w:val="center"/>
            <w:hideMark/>
          </w:tcPr>
          <w:p w14:paraId="5A6948DF" w14:textId="77777777" w:rsidR="00247CBF" w:rsidRPr="00092ED7" w:rsidRDefault="00247CBF" w:rsidP="00247CBF">
            <w:pPr>
              <w:spacing w:after="0"/>
              <w:jc w:val="center"/>
              <w:rPr>
                <w:sz w:val="20"/>
                <w:szCs w:val="20"/>
                <w:lang w:val="sr-Cyrl-CS"/>
              </w:rPr>
            </w:pPr>
            <w:r w:rsidRPr="00092ED7">
              <w:rPr>
                <w:sz w:val="20"/>
                <w:szCs w:val="20"/>
                <w:lang w:val="sr-Cyrl-CS"/>
              </w:rPr>
              <w:t>Година</w:t>
            </w:r>
          </w:p>
        </w:tc>
      </w:tr>
      <w:tr w:rsidR="00247CBF" w:rsidRPr="00092ED7" w14:paraId="29DD0C63" w14:textId="77777777" w:rsidTr="00247CBF">
        <w:trPr>
          <w:gridBefore w:val="1"/>
          <w:wBefore w:w="23" w:type="dxa"/>
          <w:trHeight w:val="25"/>
        </w:trPr>
        <w:tc>
          <w:tcPr>
            <w:tcW w:w="4372" w:type="dxa"/>
            <w:vMerge/>
            <w:tcBorders>
              <w:top w:val="double" w:sz="6" w:space="0" w:color="auto"/>
              <w:left w:val="double" w:sz="6" w:space="0" w:color="auto"/>
              <w:bottom w:val="double" w:sz="4" w:space="0" w:color="auto"/>
              <w:right w:val="dotted" w:sz="4" w:space="0" w:color="auto"/>
            </w:tcBorders>
            <w:vAlign w:val="center"/>
            <w:hideMark/>
          </w:tcPr>
          <w:p w14:paraId="4A49FD52" w14:textId="77777777" w:rsidR="00247CBF" w:rsidRPr="00092ED7" w:rsidRDefault="00247CBF" w:rsidP="00247CBF">
            <w:pPr>
              <w:spacing w:after="0"/>
              <w:jc w:val="left"/>
              <w:rPr>
                <w:rFonts w:eastAsia="Times New Roman" w:cs="Times New Roman"/>
                <w:sz w:val="20"/>
                <w:szCs w:val="20"/>
                <w:lang w:val="sr-Cyrl-CS"/>
              </w:rPr>
            </w:pPr>
          </w:p>
        </w:tc>
        <w:tc>
          <w:tcPr>
            <w:tcW w:w="1247" w:type="dxa"/>
            <w:gridSpan w:val="2"/>
            <w:vMerge/>
            <w:tcBorders>
              <w:top w:val="double" w:sz="6" w:space="0" w:color="auto"/>
              <w:left w:val="dotted" w:sz="4" w:space="0" w:color="auto"/>
              <w:bottom w:val="double" w:sz="4" w:space="0" w:color="auto"/>
              <w:right w:val="single" w:sz="8" w:space="0" w:color="auto"/>
            </w:tcBorders>
            <w:vAlign w:val="center"/>
            <w:hideMark/>
          </w:tcPr>
          <w:p w14:paraId="138810C1" w14:textId="77777777" w:rsidR="00247CBF" w:rsidRPr="00092ED7" w:rsidRDefault="00247CBF" w:rsidP="00247CBF">
            <w:pPr>
              <w:spacing w:after="0"/>
              <w:jc w:val="center"/>
              <w:rPr>
                <w:rFonts w:eastAsia="Times New Roman" w:cs="Times New Roman"/>
                <w:sz w:val="20"/>
                <w:szCs w:val="20"/>
                <w:lang w:val="sr-Cyrl-CS"/>
              </w:rPr>
            </w:pPr>
          </w:p>
        </w:tc>
        <w:tc>
          <w:tcPr>
            <w:tcW w:w="1446" w:type="dxa"/>
            <w:gridSpan w:val="3"/>
            <w:tcBorders>
              <w:top w:val="nil"/>
              <w:left w:val="nil"/>
              <w:bottom w:val="double" w:sz="4" w:space="0" w:color="auto"/>
              <w:right w:val="single" w:sz="8" w:space="0" w:color="auto"/>
            </w:tcBorders>
            <w:shd w:val="clear" w:color="000000" w:fill="FFFFFF"/>
            <w:vAlign w:val="center"/>
            <w:hideMark/>
          </w:tcPr>
          <w:p w14:paraId="65F7670C" w14:textId="77777777" w:rsidR="00247CBF" w:rsidRPr="00092ED7" w:rsidRDefault="00247CBF" w:rsidP="00247CBF">
            <w:pPr>
              <w:spacing w:after="0"/>
              <w:jc w:val="center"/>
              <w:rPr>
                <w:rFonts w:eastAsia="Times New Roman" w:cs="Times New Roman"/>
                <w:sz w:val="20"/>
                <w:szCs w:val="20"/>
                <w:lang w:val="sr-Cyrl-CS"/>
              </w:rPr>
            </w:pPr>
            <w:r w:rsidRPr="00092ED7">
              <w:rPr>
                <w:sz w:val="20"/>
                <w:szCs w:val="20"/>
                <w:lang w:val="sr-Cyrl-CS"/>
              </w:rPr>
              <w:t>2021</w:t>
            </w:r>
          </w:p>
        </w:tc>
        <w:tc>
          <w:tcPr>
            <w:tcW w:w="1501" w:type="dxa"/>
            <w:gridSpan w:val="5"/>
            <w:tcBorders>
              <w:top w:val="nil"/>
              <w:left w:val="nil"/>
              <w:bottom w:val="double" w:sz="6" w:space="0" w:color="auto"/>
              <w:right w:val="dotted" w:sz="4" w:space="0" w:color="auto"/>
            </w:tcBorders>
            <w:shd w:val="clear" w:color="000000" w:fill="FFFFFF"/>
            <w:vAlign w:val="center"/>
            <w:hideMark/>
          </w:tcPr>
          <w:p w14:paraId="5F391445" w14:textId="77777777" w:rsidR="00247CBF" w:rsidRPr="00092ED7" w:rsidRDefault="00247CBF" w:rsidP="00247CBF">
            <w:pPr>
              <w:spacing w:after="0"/>
              <w:jc w:val="center"/>
              <w:rPr>
                <w:rFonts w:eastAsia="Times New Roman" w:cs="Times New Roman"/>
                <w:sz w:val="20"/>
                <w:szCs w:val="20"/>
                <w:lang w:val="sr-Cyrl-CS"/>
              </w:rPr>
            </w:pPr>
            <w:r w:rsidRPr="00092ED7">
              <w:rPr>
                <w:sz w:val="20"/>
                <w:szCs w:val="20"/>
                <w:lang w:val="sr-Cyrl-CS"/>
              </w:rPr>
              <w:t>2021</w:t>
            </w:r>
          </w:p>
        </w:tc>
        <w:tc>
          <w:tcPr>
            <w:tcW w:w="1504" w:type="dxa"/>
            <w:gridSpan w:val="4"/>
            <w:tcBorders>
              <w:top w:val="nil"/>
              <w:left w:val="nil"/>
              <w:bottom w:val="double" w:sz="6" w:space="0" w:color="auto"/>
              <w:right w:val="dotted" w:sz="4" w:space="0" w:color="auto"/>
            </w:tcBorders>
            <w:shd w:val="clear" w:color="000000" w:fill="FFFFFF"/>
            <w:vAlign w:val="center"/>
            <w:hideMark/>
          </w:tcPr>
          <w:p w14:paraId="2BCB7DE6" w14:textId="77777777" w:rsidR="00247CBF" w:rsidRPr="00092ED7" w:rsidRDefault="00247CBF" w:rsidP="00247CBF">
            <w:pPr>
              <w:spacing w:after="0"/>
              <w:jc w:val="center"/>
              <w:rPr>
                <w:rFonts w:eastAsia="Times New Roman" w:cs="Times New Roman"/>
                <w:sz w:val="20"/>
                <w:szCs w:val="20"/>
                <w:lang w:val="sr-Cyrl-CS"/>
              </w:rPr>
            </w:pPr>
            <w:r w:rsidRPr="00092ED7">
              <w:rPr>
                <w:sz w:val="20"/>
                <w:szCs w:val="20"/>
                <w:lang w:val="sr-Cyrl-CS"/>
              </w:rPr>
              <w:t>2022</w:t>
            </w:r>
          </w:p>
        </w:tc>
        <w:tc>
          <w:tcPr>
            <w:tcW w:w="1501" w:type="dxa"/>
            <w:gridSpan w:val="4"/>
            <w:tcBorders>
              <w:top w:val="nil"/>
              <w:left w:val="nil"/>
              <w:bottom w:val="double" w:sz="6" w:space="0" w:color="auto"/>
              <w:right w:val="dotted" w:sz="4" w:space="0" w:color="auto"/>
            </w:tcBorders>
            <w:shd w:val="clear" w:color="000000" w:fill="FFFFFF"/>
            <w:vAlign w:val="center"/>
            <w:hideMark/>
          </w:tcPr>
          <w:p w14:paraId="38A9AA6F" w14:textId="77777777" w:rsidR="00247CBF" w:rsidRPr="00092ED7" w:rsidRDefault="00247CBF" w:rsidP="00247CBF">
            <w:pPr>
              <w:spacing w:after="0"/>
              <w:jc w:val="center"/>
              <w:rPr>
                <w:rFonts w:eastAsia="Times New Roman" w:cs="Times New Roman"/>
                <w:sz w:val="20"/>
                <w:szCs w:val="20"/>
                <w:lang w:val="sr-Cyrl-CS"/>
              </w:rPr>
            </w:pPr>
            <w:r w:rsidRPr="00092ED7">
              <w:rPr>
                <w:sz w:val="20"/>
                <w:szCs w:val="20"/>
                <w:lang w:val="sr-Cyrl-CS"/>
              </w:rPr>
              <w:t>2023</w:t>
            </w:r>
          </w:p>
        </w:tc>
        <w:tc>
          <w:tcPr>
            <w:tcW w:w="1504" w:type="dxa"/>
            <w:gridSpan w:val="6"/>
            <w:tcBorders>
              <w:top w:val="nil"/>
              <w:left w:val="nil"/>
              <w:bottom w:val="double" w:sz="6" w:space="0" w:color="auto"/>
              <w:right w:val="dotted" w:sz="4" w:space="0" w:color="auto"/>
            </w:tcBorders>
            <w:shd w:val="clear" w:color="000000" w:fill="FFFFFF"/>
            <w:vAlign w:val="center"/>
            <w:hideMark/>
          </w:tcPr>
          <w:p w14:paraId="5FFC41E8" w14:textId="77777777" w:rsidR="00247CBF" w:rsidRPr="00092ED7" w:rsidRDefault="00247CBF" w:rsidP="00247CBF">
            <w:pPr>
              <w:spacing w:after="0"/>
              <w:jc w:val="center"/>
              <w:rPr>
                <w:rFonts w:eastAsia="Times New Roman" w:cs="Times New Roman"/>
                <w:sz w:val="20"/>
                <w:szCs w:val="20"/>
                <w:lang w:val="sr-Cyrl-CS"/>
              </w:rPr>
            </w:pPr>
            <w:r w:rsidRPr="00092ED7">
              <w:rPr>
                <w:sz w:val="20"/>
                <w:szCs w:val="20"/>
                <w:lang w:val="sr-Cyrl-CS"/>
              </w:rPr>
              <w:t>2024</w:t>
            </w:r>
          </w:p>
        </w:tc>
        <w:tc>
          <w:tcPr>
            <w:tcW w:w="1504" w:type="dxa"/>
            <w:gridSpan w:val="4"/>
            <w:tcBorders>
              <w:top w:val="nil"/>
              <w:left w:val="nil"/>
              <w:bottom w:val="double" w:sz="6" w:space="0" w:color="auto"/>
              <w:right w:val="double" w:sz="6" w:space="0" w:color="auto"/>
            </w:tcBorders>
            <w:shd w:val="clear" w:color="000000" w:fill="FFFFFF"/>
            <w:vAlign w:val="center"/>
            <w:hideMark/>
          </w:tcPr>
          <w:p w14:paraId="6B795C76" w14:textId="77777777" w:rsidR="00247CBF" w:rsidRPr="00092ED7" w:rsidRDefault="00247CBF" w:rsidP="00247CBF">
            <w:pPr>
              <w:spacing w:after="0"/>
              <w:jc w:val="center"/>
              <w:rPr>
                <w:rFonts w:eastAsia="Times New Roman" w:cs="Times New Roman"/>
                <w:sz w:val="20"/>
                <w:szCs w:val="20"/>
                <w:lang w:val="sr-Cyrl-CS"/>
              </w:rPr>
            </w:pPr>
            <w:r w:rsidRPr="00092ED7">
              <w:rPr>
                <w:sz w:val="20"/>
                <w:szCs w:val="20"/>
                <w:lang w:val="sr-Cyrl-CS"/>
              </w:rPr>
              <w:t>2025</w:t>
            </w:r>
          </w:p>
        </w:tc>
      </w:tr>
      <w:tr w:rsidR="00247CBF" w:rsidRPr="00092ED7" w14:paraId="5D4671A2" w14:textId="77777777" w:rsidTr="00247CBF">
        <w:trPr>
          <w:gridBefore w:val="1"/>
          <w:wBefore w:w="23" w:type="dxa"/>
          <w:trHeight w:val="379"/>
        </w:trPr>
        <w:tc>
          <w:tcPr>
            <w:tcW w:w="4372" w:type="dxa"/>
            <w:tcBorders>
              <w:top w:val="double" w:sz="4" w:space="0" w:color="auto"/>
              <w:left w:val="double" w:sz="6" w:space="0" w:color="auto"/>
              <w:bottom w:val="single" w:sz="8" w:space="0" w:color="auto"/>
              <w:right w:val="dotted" w:sz="4" w:space="0" w:color="auto"/>
            </w:tcBorders>
            <w:shd w:val="clear" w:color="000000" w:fill="FFFFFF"/>
            <w:vAlign w:val="bottom"/>
            <w:hideMark/>
          </w:tcPr>
          <w:p w14:paraId="2030ECA3" w14:textId="77777777" w:rsidR="00247CBF" w:rsidRPr="00092ED7" w:rsidRDefault="00247CBF" w:rsidP="00247CBF">
            <w:pPr>
              <w:spacing w:after="0"/>
              <w:ind w:firstLineChars="100" w:firstLine="200"/>
              <w:rPr>
                <w:rFonts w:eastAsia="Times New Roman" w:cs="Times New Roman"/>
                <w:sz w:val="20"/>
                <w:szCs w:val="20"/>
                <w:lang w:val="sr-Cyrl-CS"/>
              </w:rPr>
            </w:pPr>
            <w:r w:rsidRPr="00092ED7">
              <w:rPr>
                <w:rFonts w:eastAsia="Times New Roman" w:cs="Times New Roman"/>
                <w:sz w:val="20"/>
                <w:szCs w:val="20"/>
                <w:lang w:val="sr-Cyrl-CS"/>
              </w:rPr>
              <w:t> </w:t>
            </w:r>
          </w:p>
        </w:tc>
        <w:tc>
          <w:tcPr>
            <w:tcW w:w="1247" w:type="dxa"/>
            <w:gridSpan w:val="2"/>
            <w:tcBorders>
              <w:top w:val="double" w:sz="4" w:space="0" w:color="auto"/>
              <w:left w:val="nil"/>
              <w:bottom w:val="single" w:sz="8" w:space="0" w:color="auto"/>
              <w:right w:val="single" w:sz="8" w:space="0" w:color="auto"/>
            </w:tcBorders>
            <w:shd w:val="clear" w:color="000000" w:fill="FFFFFF"/>
            <w:vAlign w:val="bottom"/>
            <w:hideMark/>
          </w:tcPr>
          <w:p w14:paraId="0FF2E550"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 </w:t>
            </w:r>
          </w:p>
        </w:tc>
        <w:tc>
          <w:tcPr>
            <w:tcW w:w="1446" w:type="dxa"/>
            <w:gridSpan w:val="3"/>
            <w:tcBorders>
              <w:top w:val="double" w:sz="4" w:space="0" w:color="auto"/>
              <w:left w:val="nil"/>
              <w:bottom w:val="single" w:sz="8" w:space="0" w:color="auto"/>
              <w:right w:val="single" w:sz="8" w:space="0" w:color="auto"/>
            </w:tcBorders>
            <w:shd w:val="clear" w:color="000000" w:fill="FFFFFF"/>
            <w:vAlign w:val="bottom"/>
            <w:hideMark/>
          </w:tcPr>
          <w:p w14:paraId="7453D519" w14:textId="77777777" w:rsidR="00247CBF" w:rsidRPr="00092ED7" w:rsidRDefault="00247CBF" w:rsidP="00247CBF">
            <w:pPr>
              <w:spacing w:after="0"/>
              <w:jc w:val="center"/>
              <w:rPr>
                <w:rFonts w:eastAsia="Times New Roman" w:cs="Times New Roman"/>
                <w:b/>
                <w:bCs/>
                <w:sz w:val="20"/>
                <w:szCs w:val="20"/>
                <w:lang w:val="sr-Cyrl-CS"/>
              </w:rPr>
            </w:pPr>
            <w:r w:rsidRPr="00092ED7">
              <w:rPr>
                <w:rFonts w:eastAsia="Times New Roman" w:cs="Times New Roman"/>
                <w:b/>
                <w:bCs/>
                <w:sz w:val="20"/>
                <w:szCs w:val="20"/>
                <w:lang w:val="sr-Cyrl-CS"/>
              </w:rPr>
              <w:t xml:space="preserve">Ниво  </w:t>
            </w:r>
          </w:p>
          <w:p w14:paraId="4F231246" w14:textId="77777777" w:rsidR="00247CBF" w:rsidRPr="00092ED7" w:rsidRDefault="00247CBF" w:rsidP="00247CBF">
            <w:pPr>
              <w:spacing w:after="0"/>
              <w:jc w:val="center"/>
              <w:rPr>
                <w:rFonts w:eastAsia="Times New Roman" w:cs="Times New Roman"/>
                <w:b/>
                <w:bCs/>
                <w:sz w:val="20"/>
                <w:szCs w:val="20"/>
                <w:lang w:val="sr-Cyrl-CS"/>
              </w:rPr>
            </w:pPr>
            <w:r w:rsidRPr="00092ED7">
              <w:rPr>
                <w:rFonts w:eastAsia="Times New Roman" w:cs="Times New Roman"/>
                <w:b/>
                <w:bCs/>
                <w:sz w:val="20"/>
                <w:szCs w:val="20"/>
                <w:lang w:val="sr-Cyrl-CS"/>
              </w:rPr>
              <w:t>(млрд ЕУР)</w:t>
            </w:r>
          </w:p>
        </w:tc>
        <w:tc>
          <w:tcPr>
            <w:tcW w:w="7514" w:type="dxa"/>
            <w:gridSpan w:val="23"/>
            <w:tcBorders>
              <w:top w:val="double" w:sz="6" w:space="0" w:color="auto"/>
              <w:left w:val="nil"/>
              <w:bottom w:val="single" w:sz="8" w:space="0" w:color="auto"/>
              <w:right w:val="double" w:sz="6" w:space="0" w:color="000000"/>
            </w:tcBorders>
            <w:shd w:val="clear" w:color="000000" w:fill="FFFFFF"/>
            <w:vAlign w:val="center"/>
            <w:hideMark/>
          </w:tcPr>
          <w:p w14:paraId="0F80DA61" w14:textId="77777777" w:rsidR="00247CBF" w:rsidRPr="00092ED7" w:rsidRDefault="00247CBF" w:rsidP="00247CBF">
            <w:pPr>
              <w:spacing w:after="0"/>
              <w:jc w:val="center"/>
              <w:rPr>
                <w:rFonts w:eastAsia="Times New Roman" w:cs="Times New Roman"/>
                <w:b/>
                <w:bCs/>
                <w:sz w:val="20"/>
                <w:szCs w:val="20"/>
                <w:lang w:val="sr-Cyrl-CS"/>
              </w:rPr>
            </w:pPr>
            <w:r w:rsidRPr="00092ED7">
              <w:rPr>
                <w:rFonts w:eastAsia="Times New Roman" w:cs="Times New Roman"/>
                <w:b/>
                <w:bCs/>
                <w:sz w:val="20"/>
                <w:szCs w:val="20"/>
                <w:lang w:val="sr-Cyrl-CS"/>
              </w:rPr>
              <w:t>Стопа промене</w:t>
            </w:r>
          </w:p>
        </w:tc>
      </w:tr>
      <w:tr w:rsidR="00247CBF" w:rsidRPr="00092ED7" w14:paraId="0F2482C7" w14:textId="77777777" w:rsidTr="00247CBF">
        <w:trPr>
          <w:gridBefore w:val="1"/>
          <w:wBefore w:w="23" w:type="dxa"/>
          <w:trHeight w:val="319"/>
        </w:trPr>
        <w:tc>
          <w:tcPr>
            <w:tcW w:w="4372" w:type="dxa"/>
            <w:tcBorders>
              <w:top w:val="nil"/>
              <w:left w:val="double" w:sz="6" w:space="0" w:color="auto"/>
              <w:bottom w:val="dotted" w:sz="4" w:space="0" w:color="auto"/>
              <w:right w:val="dotted" w:sz="4" w:space="0" w:color="auto"/>
            </w:tcBorders>
            <w:shd w:val="clear" w:color="000000" w:fill="FFFFFF"/>
            <w:vAlign w:val="bottom"/>
            <w:hideMark/>
          </w:tcPr>
          <w:p w14:paraId="72824F1B"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1. Реални БДП према тржишним ценама</w:t>
            </w:r>
            <w:r w:rsidRPr="00092ED7">
              <w:rPr>
                <w:rFonts w:eastAsia="Times New Roman" w:cs="Times New Roman"/>
                <w:b/>
                <w:bCs/>
                <w:sz w:val="20"/>
                <w:szCs w:val="20"/>
                <w:lang w:val="sr-Cyrl-CS"/>
              </w:rPr>
              <w:t xml:space="preserve"> </w:t>
            </w:r>
          </w:p>
        </w:tc>
        <w:tc>
          <w:tcPr>
            <w:tcW w:w="1247" w:type="dxa"/>
            <w:gridSpan w:val="2"/>
            <w:tcBorders>
              <w:top w:val="nil"/>
              <w:left w:val="nil"/>
              <w:bottom w:val="dotted" w:sz="4" w:space="0" w:color="auto"/>
              <w:right w:val="single" w:sz="8" w:space="0" w:color="auto"/>
            </w:tcBorders>
            <w:shd w:val="clear" w:color="000000" w:fill="FFFFFF"/>
            <w:vAlign w:val="center"/>
            <w:hideMark/>
          </w:tcPr>
          <w:p w14:paraId="0C21B74C" w14:textId="77777777" w:rsidR="00247CBF" w:rsidRPr="00092ED7" w:rsidRDefault="00247CBF" w:rsidP="00247CBF">
            <w:pPr>
              <w:spacing w:after="0"/>
              <w:jc w:val="center"/>
              <w:rPr>
                <w:sz w:val="20"/>
                <w:szCs w:val="20"/>
                <w:lang w:val="sr-Cyrl-CS"/>
              </w:rPr>
            </w:pPr>
            <w:r w:rsidRPr="00092ED7">
              <w:rPr>
                <w:sz w:val="20"/>
                <w:szCs w:val="20"/>
                <w:lang w:val="sr-Cyrl-CS"/>
              </w:rPr>
              <w:t>B1*g</w:t>
            </w:r>
          </w:p>
        </w:tc>
        <w:tc>
          <w:tcPr>
            <w:tcW w:w="1446" w:type="dxa"/>
            <w:gridSpan w:val="3"/>
            <w:tcBorders>
              <w:top w:val="nil"/>
              <w:left w:val="nil"/>
              <w:bottom w:val="dotted" w:sz="4" w:space="0" w:color="auto"/>
              <w:right w:val="single" w:sz="8" w:space="0" w:color="auto"/>
            </w:tcBorders>
            <w:shd w:val="clear" w:color="000000" w:fill="FFFFFF"/>
            <w:vAlign w:val="center"/>
            <w:hideMark/>
          </w:tcPr>
          <w:p w14:paraId="04819516" w14:textId="77777777" w:rsidR="00247CBF" w:rsidRPr="00092ED7" w:rsidRDefault="00247CBF" w:rsidP="00247CBF">
            <w:pPr>
              <w:spacing w:after="0"/>
              <w:jc w:val="right"/>
              <w:rPr>
                <w:sz w:val="20"/>
                <w:szCs w:val="20"/>
                <w:lang w:val="sr-Cyrl-CS"/>
              </w:rPr>
            </w:pPr>
            <w:r w:rsidRPr="00092ED7">
              <w:rPr>
                <w:sz w:val="20"/>
                <w:szCs w:val="20"/>
                <w:lang w:val="sr-Cyrl-CS"/>
              </w:rPr>
              <w:t>45,0</w:t>
            </w:r>
          </w:p>
        </w:tc>
        <w:tc>
          <w:tcPr>
            <w:tcW w:w="1501" w:type="dxa"/>
            <w:gridSpan w:val="5"/>
            <w:tcBorders>
              <w:top w:val="nil"/>
              <w:left w:val="nil"/>
              <w:bottom w:val="dotted" w:sz="4" w:space="0" w:color="auto"/>
              <w:right w:val="dotted" w:sz="4" w:space="0" w:color="auto"/>
            </w:tcBorders>
            <w:shd w:val="clear" w:color="000000" w:fill="FFFFFF"/>
            <w:vAlign w:val="center"/>
            <w:hideMark/>
          </w:tcPr>
          <w:p w14:paraId="7A41227D" w14:textId="77777777" w:rsidR="00247CBF" w:rsidRPr="00092ED7" w:rsidRDefault="00247CBF" w:rsidP="00247CBF">
            <w:pPr>
              <w:spacing w:after="0"/>
              <w:jc w:val="right"/>
              <w:rPr>
                <w:sz w:val="20"/>
                <w:szCs w:val="20"/>
                <w:lang w:val="sr-Cyrl-CS"/>
              </w:rPr>
            </w:pPr>
            <w:r w:rsidRPr="00092ED7">
              <w:rPr>
                <w:sz w:val="20"/>
                <w:szCs w:val="20"/>
                <w:lang w:val="sr-Cyrl-CS"/>
              </w:rPr>
              <w:t>7,5</w:t>
            </w:r>
          </w:p>
        </w:tc>
        <w:tc>
          <w:tcPr>
            <w:tcW w:w="1504" w:type="dxa"/>
            <w:gridSpan w:val="4"/>
            <w:tcBorders>
              <w:top w:val="nil"/>
              <w:left w:val="nil"/>
              <w:bottom w:val="dotted" w:sz="4" w:space="0" w:color="auto"/>
              <w:right w:val="dotted" w:sz="4" w:space="0" w:color="auto"/>
            </w:tcBorders>
            <w:shd w:val="clear" w:color="000000" w:fill="FFFFFF"/>
            <w:vAlign w:val="center"/>
            <w:hideMark/>
          </w:tcPr>
          <w:p w14:paraId="2FD509C6" w14:textId="77777777" w:rsidR="00247CBF" w:rsidRPr="00092ED7" w:rsidRDefault="00247CBF" w:rsidP="00247CBF">
            <w:pPr>
              <w:spacing w:after="0"/>
              <w:jc w:val="right"/>
              <w:rPr>
                <w:sz w:val="20"/>
                <w:szCs w:val="20"/>
                <w:lang w:val="sr-Cyrl-CS"/>
              </w:rPr>
            </w:pPr>
            <w:r w:rsidRPr="00092ED7">
              <w:rPr>
                <w:sz w:val="20"/>
                <w:szCs w:val="20"/>
                <w:lang w:val="sr-Cyrl-CS"/>
              </w:rPr>
              <w:t>2,5</w:t>
            </w:r>
          </w:p>
        </w:tc>
        <w:tc>
          <w:tcPr>
            <w:tcW w:w="1501" w:type="dxa"/>
            <w:gridSpan w:val="4"/>
            <w:tcBorders>
              <w:top w:val="nil"/>
              <w:left w:val="nil"/>
              <w:bottom w:val="dotted" w:sz="4" w:space="0" w:color="auto"/>
              <w:right w:val="dotted" w:sz="4" w:space="0" w:color="auto"/>
            </w:tcBorders>
            <w:shd w:val="clear" w:color="000000" w:fill="FFFFFF"/>
            <w:vAlign w:val="center"/>
            <w:hideMark/>
          </w:tcPr>
          <w:p w14:paraId="1AE4CE38" w14:textId="77777777" w:rsidR="00247CBF" w:rsidRPr="00092ED7" w:rsidRDefault="00247CBF" w:rsidP="00247CBF">
            <w:pPr>
              <w:spacing w:after="0"/>
              <w:jc w:val="right"/>
              <w:rPr>
                <w:sz w:val="20"/>
                <w:szCs w:val="20"/>
                <w:lang w:val="sr-Cyrl-CS"/>
              </w:rPr>
            </w:pPr>
            <w:r w:rsidRPr="00092ED7">
              <w:rPr>
                <w:sz w:val="20"/>
                <w:szCs w:val="20"/>
                <w:lang w:val="sr-Cyrl-CS"/>
              </w:rPr>
              <w:t>2,5</w:t>
            </w:r>
          </w:p>
        </w:tc>
        <w:tc>
          <w:tcPr>
            <w:tcW w:w="1504" w:type="dxa"/>
            <w:gridSpan w:val="6"/>
            <w:tcBorders>
              <w:top w:val="nil"/>
              <w:left w:val="nil"/>
              <w:bottom w:val="dotted" w:sz="4" w:space="0" w:color="auto"/>
              <w:right w:val="dotted" w:sz="4" w:space="0" w:color="auto"/>
            </w:tcBorders>
            <w:shd w:val="clear" w:color="000000" w:fill="FFFFFF"/>
            <w:vAlign w:val="center"/>
            <w:hideMark/>
          </w:tcPr>
          <w:p w14:paraId="56C7F34A" w14:textId="77777777" w:rsidR="00247CBF" w:rsidRPr="00092ED7" w:rsidRDefault="00247CBF" w:rsidP="00247CBF">
            <w:pPr>
              <w:spacing w:after="0"/>
              <w:jc w:val="right"/>
              <w:rPr>
                <w:sz w:val="20"/>
                <w:szCs w:val="20"/>
                <w:lang w:val="sr-Cyrl-CS"/>
              </w:rPr>
            </w:pPr>
            <w:r w:rsidRPr="00092ED7">
              <w:rPr>
                <w:sz w:val="20"/>
                <w:szCs w:val="20"/>
                <w:lang w:val="sr-Cyrl-CS"/>
              </w:rPr>
              <w:t>3,5</w:t>
            </w:r>
          </w:p>
        </w:tc>
        <w:tc>
          <w:tcPr>
            <w:tcW w:w="1504" w:type="dxa"/>
            <w:gridSpan w:val="4"/>
            <w:tcBorders>
              <w:top w:val="nil"/>
              <w:left w:val="nil"/>
              <w:bottom w:val="dotted" w:sz="4" w:space="0" w:color="auto"/>
              <w:right w:val="double" w:sz="6" w:space="0" w:color="auto"/>
            </w:tcBorders>
            <w:shd w:val="clear" w:color="000000" w:fill="FFFFFF"/>
            <w:vAlign w:val="center"/>
            <w:hideMark/>
          </w:tcPr>
          <w:p w14:paraId="4FCD3985" w14:textId="77777777" w:rsidR="00247CBF" w:rsidRPr="00092ED7" w:rsidRDefault="00247CBF" w:rsidP="00247CBF">
            <w:pPr>
              <w:spacing w:after="0"/>
              <w:jc w:val="right"/>
              <w:rPr>
                <w:sz w:val="20"/>
                <w:szCs w:val="20"/>
                <w:lang w:val="sr-Cyrl-CS"/>
              </w:rPr>
            </w:pPr>
            <w:r w:rsidRPr="00092ED7">
              <w:rPr>
                <w:sz w:val="20"/>
                <w:szCs w:val="20"/>
                <w:lang w:val="sr-Cyrl-CS"/>
              </w:rPr>
              <w:t>4,0</w:t>
            </w:r>
          </w:p>
        </w:tc>
      </w:tr>
      <w:tr w:rsidR="00247CBF" w:rsidRPr="00092ED7" w14:paraId="655C18DC" w14:textId="77777777" w:rsidTr="00247CBF">
        <w:trPr>
          <w:gridBefore w:val="1"/>
          <w:wBefore w:w="23" w:type="dxa"/>
          <w:trHeight w:val="319"/>
        </w:trPr>
        <w:tc>
          <w:tcPr>
            <w:tcW w:w="4372" w:type="dxa"/>
            <w:tcBorders>
              <w:top w:val="nil"/>
              <w:left w:val="double" w:sz="6" w:space="0" w:color="auto"/>
              <w:bottom w:val="single" w:sz="8" w:space="0" w:color="auto"/>
              <w:right w:val="dotted" w:sz="4" w:space="0" w:color="auto"/>
            </w:tcBorders>
            <w:shd w:val="clear" w:color="000000" w:fill="FFFFFF"/>
            <w:vAlign w:val="bottom"/>
            <w:hideMark/>
          </w:tcPr>
          <w:p w14:paraId="06B9CF82"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2. Текући БДП према тржишним ценама</w:t>
            </w:r>
          </w:p>
        </w:tc>
        <w:tc>
          <w:tcPr>
            <w:tcW w:w="1247" w:type="dxa"/>
            <w:gridSpan w:val="2"/>
            <w:tcBorders>
              <w:top w:val="nil"/>
              <w:left w:val="nil"/>
              <w:bottom w:val="single" w:sz="8" w:space="0" w:color="auto"/>
              <w:right w:val="single" w:sz="8" w:space="0" w:color="auto"/>
            </w:tcBorders>
            <w:shd w:val="clear" w:color="000000" w:fill="FFFFFF"/>
            <w:vAlign w:val="center"/>
            <w:hideMark/>
          </w:tcPr>
          <w:p w14:paraId="215A5F15" w14:textId="77777777" w:rsidR="00247CBF" w:rsidRPr="00092ED7" w:rsidRDefault="00247CBF" w:rsidP="00247CBF">
            <w:pPr>
              <w:spacing w:after="0"/>
              <w:jc w:val="center"/>
              <w:rPr>
                <w:sz w:val="20"/>
                <w:szCs w:val="20"/>
                <w:lang w:val="sr-Cyrl-CS"/>
              </w:rPr>
            </w:pPr>
            <w:r w:rsidRPr="00092ED7">
              <w:rPr>
                <w:sz w:val="20"/>
                <w:szCs w:val="20"/>
                <w:lang w:val="sr-Cyrl-CS"/>
              </w:rPr>
              <w:t>B1*g</w:t>
            </w:r>
          </w:p>
        </w:tc>
        <w:tc>
          <w:tcPr>
            <w:tcW w:w="1446" w:type="dxa"/>
            <w:gridSpan w:val="3"/>
            <w:tcBorders>
              <w:top w:val="nil"/>
              <w:left w:val="nil"/>
              <w:bottom w:val="single" w:sz="8" w:space="0" w:color="auto"/>
              <w:right w:val="single" w:sz="8" w:space="0" w:color="auto"/>
            </w:tcBorders>
            <w:shd w:val="clear" w:color="000000" w:fill="FFFFFF"/>
            <w:vAlign w:val="center"/>
            <w:hideMark/>
          </w:tcPr>
          <w:p w14:paraId="22FE6C97" w14:textId="77777777" w:rsidR="00247CBF" w:rsidRPr="00092ED7" w:rsidRDefault="00247CBF" w:rsidP="00247CBF">
            <w:pPr>
              <w:spacing w:after="0"/>
              <w:jc w:val="right"/>
              <w:rPr>
                <w:sz w:val="20"/>
                <w:szCs w:val="20"/>
                <w:lang w:val="sr-Cyrl-CS"/>
              </w:rPr>
            </w:pPr>
            <w:r w:rsidRPr="00092ED7">
              <w:rPr>
                <w:sz w:val="20"/>
                <w:szCs w:val="20"/>
                <w:lang w:val="sr-Cyrl-CS"/>
              </w:rPr>
              <w:t>53,3</w:t>
            </w:r>
          </w:p>
        </w:tc>
        <w:tc>
          <w:tcPr>
            <w:tcW w:w="1501" w:type="dxa"/>
            <w:gridSpan w:val="5"/>
            <w:tcBorders>
              <w:top w:val="nil"/>
              <w:left w:val="nil"/>
              <w:bottom w:val="single" w:sz="8" w:space="0" w:color="auto"/>
              <w:right w:val="dotted" w:sz="4" w:space="0" w:color="auto"/>
            </w:tcBorders>
            <w:shd w:val="clear" w:color="000000" w:fill="FFFFFF"/>
            <w:vAlign w:val="center"/>
            <w:hideMark/>
          </w:tcPr>
          <w:p w14:paraId="1598AD08" w14:textId="77777777" w:rsidR="00247CBF" w:rsidRPr="00092ED7" w:rsidRDefault="00247CBF" w:rsidP="00247CBF">
            <w:pPr>
              <w:spacing w:after="0"/>
              <w:jc w:val="right"/>
              <w:rPr>
                <w:sz w:val="20"/>
                <w:szCs w:val="20"/>
                <w:lang w:val="sr-Cyrl-CS"/>
              </w:rPr>
            </w:pPr>
            <w:r w:rsidRPr="00092ED7">
              <w:rPr>
                <w:sz w:val="20"/>
                <w:szCs w:val="20"/>
                <w:lang w:val="sr-Cyrl-CS"/>
              </w:rPr>
              <w:t>13,9</w:t>
            </w:r>
          </w:p>
        </w:tc>
        <w:tc>
          <w:tcPr>
            <w:tcW w:w="1504" w:type="dxa"/>
            <w:gridSpan w:val="4"/>
            <w:tcBorders>
              <w:top w:val="nil"/>
              <w:left w:val="nil"/>
              <w:bottom w:val="single" w:sz="8" w:space="0" w:color="auto"/>
              <w:right w:val="dotted" w:sz="4" w:space="0" w:color="auto"/>
            </w:tcBorders>
            <w:shd w:val="clear" w:color="000000" w:fill="FFFFFF"/>
            <w:vAlign w:val="center"/>
            <w:hideMark/>
          </w:tcPr>
          <w:p w14:paraId="1D32CD05" w14:textId="77777777" w:rsidR="00247CBF" w:rsidRPr="00092ED7" w:rsidRDefault="00247CBF" w:rsidP="00247CBF">
            <w:pPr>
              <w:spacing w:after="0"/>
              <w:jc w:val="right"/>
              <w:rPr>
                <w:sz w:val="20"/>
                <w:szCs w:val="20"/>
                <w:lang w:val="sr-Cyrl-CS"/>
              </w:rPr>
            </w:pPr>
            <w:r w:rsidRPr="00092ED7">
              <w:rPr>
                <w:sz w:val="20"/>
                <w:szCs w:val="20"/>
                <w:lang w:val="sr-Cyrl-CS"/>
              </w:rPr>
              <w:t>13,0</w:t>
            </w:r>
          </w:p>
        </w:tc>
        <w:tc>
          <w:tcPr>
            <w:tcW w:w="1501" w:type="dxa"/>
            <w:gridSpan w:val="4"/>
            <w:tcBorders>
              <w:top w:val="nil"/>
              <w:left w:val="nil"/>
              <w:bottom w:val="single" w:sz="8" w:space="0" w:color="auto"/>
              <w:right w:val="dotted" w:sz="4" w:space="0" w:color="auto"/>
            </w:tcBorders>
            <w:shd w:val="clear" w:color="000000" w:fill="FFFFFF"/>
            <w:vAlign w:val="center"/>
            <w:hideMark/>
          </w:tcPr>
          <w:p w14:paraId="40F00CBD" w14:textId="77777777" w:rsidR="00247CBF" w:rsidRPr="00092ED7" w:rsidRDefault="00247CBF" w:rsidP="00247CBF">
            <w:pPr>
              <w:spacing w:after="0"/>
              <w:jc w:val="right"/>
              <w:rPr>
                <w:sz w:val="20"/>
                <w:szCs w:val="20"/>
                <w:lang w:val="sr-Cyrl-CS"/>
              </w:rPr>
            </w:pPr>
            <w:r w:rsidRPr="00092ED7">
              <w:rPr>
                <w:sz w:val="20"/>
                <w:szCs w:val="20"/>
                <w:lang w:val="sr-Cyrl-CS"/>
              </w:rPr>
              <w:t>13,3</w:t>
            </w:r>
          </w:p>
        </w:tc>
        <w:tc>
          <w:tcPr>
            <w:tcW w:w="1504" w:type="dxa"/>
            <w:gridSpan w:val="6"/>
            <w:tcBorders>
              <w:top w:val="nil"/>
              <w:left w:val="nil"/>
              <w:bottom w:val="single" w:sz="8" w:space="0" w:color="auto"/>
              <w:right w:val="dotted" w:sz="4" w:space="0" w:color="auto"/>
            </w:tcBorders>
            <w:shd w:val="clear" w:color="000000" w:fill="FFFFFF"/>
            <w:vAlign w:val="center"/>
            <w:hideMark/>
          </w:tcPr>
          <w:p w14:paraId="542572EB" w14:textId="77777777" w:rsidR="00247CBF" w:rsidRPr="00092ED7" w:rsidRDefault="00247CBF" w:rsidP="00247CBF">
            <w:pPr>
              <w:spacing w:after="0"/>
              <w:jc w:val="right"/>
              <w:rPr>
                <w:sz w:val="20"/>
                <w:szCs w:val="20"/>
                <w:lang w:val="sr-Cyrl-CS"/>
              </w:rPr>
            </w:pPr>
            <w:r w:rsidRPr="00092ED7">
              <w:rPr>
                <w:sz w:val="20"/>
                <w:szCs w:val="20"/>
                <w:lang w:val="sr-Cyrl-CS"/>
              </w:rPr>
              <w:t>9,4</w:t>
            </w:r>
          </w:p>
        </w:tc>
        <w:tc>
          <w:tcPr>
            <w:tcW w:w="1504" w:type="dxa"/>
            <w:gridSpan w:val="4"/>
            <w:tcBorders>
              <w:top w:val="nil"/>
              <w:left w:val="nil"/>
              <w:bottom w:val="single" w:sz="8" w:space="0" w:color="auto"/>
              <w:right w:val="double" w:sz="6" w:space="0" w:color="auto"/>
            </w:tcBorders>
            <w:shd w:val="clear" w:color="000000" w:fill="FFFFFF"/>
            <w:vAlign w:val="center"/>
            <w:hideMark/>
          </w:tcPr>
          <w:p w14:paraId="3BB68D6B" w14:textId="77777777" w:rsidR="00247CBF" w:rsidRPr="00092ED7" w:rsidRDefault="00247CBF" w:rsidP="00247CBF">
            <w:pPr>
              <w:spacing w:after="0"/>
              <w:jc w:val="right"/>
              <w:rPr>
                <w:sz w:val="20"/>
                <w:szCs w:val="20"/>
                <w:lang w:val="sr-Cyrl-CS"/>
              </w:rPr>
            </w:pPr>
            <w:r w:rsidRPr="00092ED7">
              <w:rPr>
                <w:sz w:val="20"/>
                <w:szCs w:val="20"/>
                <w:lang w:val="sr-Cyrl-CS"/>
              </w:rPr>
              <w:t>8,5</w:t>
            </w:r>
          </w:p>
        </w:tc>
      </w:tr>
      <w:tr w:rsidR="00247CBF" w:rsidRPr="00092ED7" w14:paraId="47F1F4ED" w14:textId="77777777" w:rsidTr="00247CBF">
        <w:trPr>
          <w:gridBefore w:val="1"/>
          <w:wBefore w:w="23" w:type="dxa"/>
          <w:trHeight w:val="319"/>
        </w:trPr>
        <w:tc>
          <w:tcPr>
            <w:tcW w:w="14579" w:type="dxa"/>
            <w:gridSpan w:val="29"/>
            <w:tcBorders>
              <w:top w:val="single" w:sz="8" w:space="0" w:color="auto"/>
              <w:left w:val="double" w:sz="6" w:space="0" w:color="auto"/>
              <w:bottom w:val="single" w:sz="8" w:space="0" w:color="auto"/>
              <w:right w:val="double" w:sz="6" w:space="0" w:color="000000"/>
            </w:tcBorders>
            <w:shd w:val="clear" w:color="000000" w:fill="FFFFFF"/>
            <w:vAlign w:val="bottom"/>
            <w:hideMark/>
          </w:tcPr>
          <w:p w14:paraId="1932ABB5" w14:textId="77777777" w:rsidR="00247CBF" w:rsidRPr="00092ED7" w:rsidRDefault="00247CBF" w:rsidP="00247CBF">
            <w:pPr>
              <w:spacing w:after="0"/>
              <w:jc w:val="center"/>
              <w:rPr>
                <w:rFonts w:eastAsia="Times New Roman" w:cs="Times New Roman"/>
                <w:b/>
                <w:bCs/>
                <w:sz w:val="20"/>
                <w:szCs w:val="20"/>
                <w:lang w:val="sr-Cyrl-CS"/>
              </w:rPr>
            </w:pPr>
            <w:r w:rsidRPr="00092ED7">
              <w:rPr>
                <w:rFonts w:eastAsia="Times New Roman" w:cs="Times New Roman"/>
                <w:b/>
                <w:bCs/>
                <w:sz w:val="20"/>
                <w:szCs w:val="20"/>
                <w:lang w:val="sr-Cyrl-CS"/>
              </w:rPr>
              <w:t>Компоненте реалног БДП</w:t>
            </w:r>
          </w:p>
        </w:tc>
      </w:tr>
      <w:tr w:rsidR="00247CBF" w:rsidRPr="00092ED7" w14:paraId="280FAE5D" w14:textId="77777777" w:rsidTr="00247CBF">
        <w:trPr>
          <w:gridBefore w:val="1"/>
          <w:wBefore w:w="23" w:type="dxa"/>
          <w:trHeight w:val="319"/>
        </w:trPr>
        <w:tc>
          <w:tcPr>
            <w:tcW w:w="4372" w:type="dxa"/>
            <w:tcBorders>
              <w:top w:val="nil"/>
              <w:left w:val="double" w:sz="6" w:space="0" w:color="auto"/>
              <w:bottom w:val="dotted" w:sz="4" w:space="0" w:color="auto"/>
              <w:right w:val="dotted" w:sz="4" w:space="0" w:color="auto"/>
            </w:tcBorders>
            <w:shd w:val="clear" w:color="000000" w:fill="FFFFFF"/>
            <w:vAlign w:val="bottom"/>
            <w:hideMark/>
          </w:tcPr>
          <w:p w14:paraId="284E0E74"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3. Приватна потрошња</w:t>
            </w:r>
          </w:p>
        </w:tc>
        <w:tc>
          <w:tcPr>
            <w:tcW w:w="1247" w:type="dxa"/>
            <w:gridSpan w:val="2"/>
            <w:tcBorders>
              <w:top w:val="nil"/>
              <w:left w:val="nil"/>
              <w:bottom w:val="dotted" w:sz="4" w:space="0" w:color="auto"/>
              <w:right w:val="single" w:sz="8" w:space="0" w:color="auto"/>
            </w:tcBorders>
            <w:shd w:val="clear" w:color="000000" w:fill="FFFFFF"/>
            <w:vAlign w:val="center"/>
            <w:hideMark/>
          </w:tcPr>
          <w:p w14:paraId="558D3043" w14:textId="77777777" w:rsidR="00247CBF" w:rsidRPr="00092ED7" w:rsidRDefault="00247CBF" w:rsidP="00247CBF">
            <w:pPr>
              <w:spacing w:after="0"/>
              <w:jc w:val="center"/>
              <w:rPr>
                <w:sz w:val="20"/>
                <w:szCs w:val="20"/>
                <w:lang w:val="sr-Cyrl-CS"/>
              </w:rPr>
            </w:pPr>
            <w:r w:rsidRPr="00092ED7">
              <w:rPr>
                <w:sz w:val="20"/>
                <w:szCs w:val="20"/>
                <w:lang w:val="sr-Cyrl-CS"/>
              </w:rPr>
              <w:t>P3</w:t>
            </w:r>
          </w:p>
        </w:tc>
        <w:tc>
          <w:tcPr>
            <w:tcW w:w="1446" w:type="dxa"/>
            <w:gridSpan w:val="3"/>
            <w:tcBorders>
              <w:top w:val="nil"/>
              <w:left w:val="nil"/>
              <w:bottom w:val="dotted" w:sz="4" w:space="0" w:color="auto"/>
              <w:right w:val="single" w:sz="8" w:space="0" w:color="auto"/>
            </w:tcBorders>
            <w:shd w:val="clear" w:color="000000" w:fill="FFFFFF"/>
            <w:vAlign w:val="center"/>
            <w:hideMark/>
          </w:tcPr>
          <w:p w14:paraId="2481560E" w14:textId="77777777" w:rsidR="00247CBF" w:rsidRPr="00092ED7" w:rsidRDefault="00247CBF" w:rsidP="00247CBF">
            <w:pPr>
              <w:spacing w:after="0"/>
              <w:jc w:val="right"/>
              <w:rPr>
                <w:sz w:val="20"/>
                <w:szCs w:val="20"/>
                <w:lang w:val="sr-Cyrl-CS"/>
              </w:rPr>
            </w:pPr>
            <w:r w:rsidRPr="00092ED7">
              <w:rPr>
                <w:sz w:val="20"/>
                <w:szCs w:val="20"/>
                <w:lang w:val="sr-Cyrl-CS"/>
              </w:rPr>
              <w:t>31,1</w:t>
            </w:r>
          </w:p>
        </w:tc>
        <w:tc>
          <w:tcPr>
            <w:tcW w:w="1501" w:type="dxa"/>
            <w:gridSpan w:val="5"/>
            <w:tcBorders>
              <w:top w:val="nil"/>
              <w:left w:val="nil"/>
              <w:bottom w:val="dotted" w:sz="4" w:space="0" w:color="auto"/>
              <w:right w:val="dotted" w:sz="4" w:space="0" w:color="auto"/>
            </w:tcBorders>
            <w:shd w:val="clear" w:color="000000" w:fill="FFFFFF"/>
            <w:vAlign w:val="center"/>
            <w:hideMark/>
          </w:tcPr>
          <w:p w14:paraId="10CF1727" w14:textId="77777777" w:rsidR="00247CBF" w:rsidRPr="00092ED7" w:rsidRDefault="00247CBF" w:rsidP="00247CBF">
            <w:pPr>
              <w:spacing w:after="0"/>
              <w:jc w:val="right"/>
              <w:rPr>
                <w:sz w:val="20"/>
                <w:szCs w:val="20"/>
                <w:lang w:val="sr-Cyrl-CS"/>
              </w:rPr>
            </w:pPr>
            <w:r w:rsidRPr="00092ED7">
              <w:rPr>
                <w:sz w:val="20"/>
                <w:szCs w:val="20"/>
                <w:lang w:val="sr-Cyrl-CS"/>
              </w:rPr>
              <w:t>7,8</w:t>
            </w:r>
          </w:p>
        </w:tc>
        <w:tc>
          <w:tcPr>
            <w:tcW w:w="1504" w:type="dxa"/>
            <w:gridSpan w:val="4"/>
            <w:tcBorders>
              <w:top w:val="nil"/>
              <w:left w:val="nil"/>
              <w:bottom w:val="dotted" w:sz="4" w:space="0" w:color="auto"/>
              <w:right w:val="dotted" w:sz="4" w:space="0" w:color="auto"/>
            </w:tcBorders>
            <w:shd w:val="clear" w:color="000000" w:fill="FFFFFF"/>
            <w:vAlign w:val="center"/>
            <w:hideMark/>
          </w:tcPr>
          <w:p w14:paraId="73B7F241" w14:textId="77777777" w:rsidR="00247CBF" w:rsidRPr="00092ED7" w:rsidRDefault="00247CBF" w:rsidP="00247CBF">
            <w:pPr>
              <w:spacing w:after="0"/>
              <w:jc w:val="right"/>
              <w:rPr>
                <w:sz w:val="20"/>
                <w:szCs w:val="20"/>
                <w:lang w:val="sr-Cyrl-CS"/>
              </w:rPr>
            </w:pPr>
            <w:r w:rsidRPr="00092ED7">
              <w:rPr>
                <w:sz w:val="20"/>
                <w:szCs w:val="20"/>
                <w:lang w:val="sr-Cyrl-CS"/>
              </w:rPr>
              <w:t>3,9</w:t>
            </w:r>
          </w:p>
        </w:tc>
        <w:tc>
          <w:tcPr>
            <w:tcW w:w="1501" w:type="dxa"/>
            <w:gridSpan w:val="4"/>
            <w:tcBorders>
              <w:top w:val="nil"/>
              <w:left w:val="nil"/>
              <w:bottom w:val="dotted" w:sz="4" w:space="0" w:color="auto"/>
              <w:right w:val="dotted" w:sz="4" w:space="0" w:color="auto"/>
            </w:tcBorders>
            <w:shd w:val="clear" w:color="000000" w:fill="FFFFFF"/>
            <w:vAlign w:val="center"/>
            <w:hideMark/>
          </w:tcPr>
          <w:p w14:paraId="72D5A591" w14:textId="77777777" w:rsidR="00247CBF" w:rsidRPr="00092ED7" w:rsidRDefault="00247CBF" w:rsidP="00247CBF">
            <w:pPr>
              <w:spacing w:after="0"/>
              <w:jc w:val="right"/>
              <w:rPr>
                <w:sz w:val="20"/>
                <w:szCs w:val="20"/>
                <w:lang w:val="sr-Cyrl-CS"/>
              </w:rPr>
            </w:pPr>
            <w:r w:rsidRPr="00092ED7">
              <w:rPr>
                <w:sz w:val="20"/>
                <w:szCs w:val="20"/>
                <w:lang w:val="sr-Cyrl-CS"/>
              </w:rPr>
              <w:t>2,5</w:t>
            </w:r>
          </w:p>
        </w:tc>
        <w:tc>
          <w:tcPr>
            <w:tcW w:w="1504" w:type="dxa"/>
            <w:gridSpan w:val="6"/>
            <w:tcBorders>
              <w:top w:val="nil"/>
              <w:left w:val="nil"/>
              <w:bottom w:val="dotted" w:sz="4" w:space="0" w:color="auto"/>
              <w:right w:val="dotted" w:sz="4" w:space="0" w:color="auto"/>
            </w:tcBorders>
            <w:shd w:val="clear" w:color="000000" w:fill="FFFFFF"/>
            <w:vAlign w:val="center"/>
            <w:hideMark/>
          </w:tcPr>
          <w:p w14:paraId="093D928E" w14:textId="77777777" w:rsidR="00247CBF" w:rsidRPr="00092ED7" w:rsidRDefault="00247CBF" w:rsidP="00247CBF">
            <w:pPr>
              <w:spacing w:after="0"/>
              <w:jc w:val="right"/>
              <w:rPr>
                <w:sz w:val="20"/>
                <w:szCs w:val="20"/>
                <w:lang w:val="sr-Cyrl-CS"/>
              </w:rPr>
            </w:pPr>
            <w:r w:rsidRPr="00092ED7">
              <w:rPr>
                <w:sz w:val="20"/>
                <w:szCs w:val="20"/>
                <w:lang w:val="sr-Cyrl-CS"/>
              </w:rPr>
              <w:t>2,9</w:t>
            </w:r>
          </w:p>
        </w:tc>
        <w:tc>
          <w:tcPr>
            <w:tcW w:w="1504" w:type="dxa"/>
            <w:gridSpan w:val="4"/>
            <w:tcBorders>
              <w:top w:val="nil"/>
              <w:left w:val="nil"/>
              <w:bottom w:val="dotted" w:sz="4" w:space="0" w:color="auto"/>
              <w:right w:val="double" w:sz="6" w:space="0" w:color="auto"/>
            </w:tcBorders>
            <w:shd w:val="clear" w:color="000000" w:fill="FFFFFF"/>
            <w:vAlign w:val="center"/>
            <w:hideMark/>
          </w:tcPr>
          <w:p w14:paraId="1A2C1433" w14:textId="77777777" w:rsidR="00247CBF" w:rsidRPr="00092ED7" w:rsidRDefault="00247CBF" w:rsidP="00247CBF">
            <w:pPr>
              <w:spacing w:after="0"/>
              <w:jc w:val="right"/>
              <w:rPr>
                <w:sz w:val="20"/>
                <w:szCs w:val="20"/>
                <w:lang w:val="sr-Cyrl-CS"/>
              </w:rPr>
            </w:pPr>
            <w:r w:rsidRPr="00092ED7">
              <w:rPr>
                <w:sz w:val="20"/>
                <w:szCs w:val="20"/>
                <w:lang w:val="sr-Cyrl-CS"/>
              </w:rPr>
              <w:t>3,6</w:t>
            </w:r>
          </w:p>
        </w:tc>
      </w:tr>
      <w:tr w:rsidR="00247CBF" w:rsidRPr="00092ED7" w14:paraId="37B029D2" w14:textId="77777777" w:rsidTr="00247CBF">
        <w:trPr>
          <w:gridBefore w:val="1"/>
          <w:wBefore w:w="23" w:type="dxa"/>
          <w:trHeight w:val="319"/>
        </w:trPr>
        <w:tc>
          <w:tcPr>
            <w:tcW w:w="4372" w:type="dxa"/>
            <w:tcBorders>
              <w:top w:val="nil"/>
              <w:left w:val="double" w:sz="6" w:space="0" w:color="auto"/>
              <w:bottom w:val="dotted" w:sz="4" w:space="0" w:color="auto"/>
              <w:right w:val="dotted" w:sz="4" w:space="0" w:color="auto"/>
            </w:tcBorders>
            <w:shd w:val="clear" w:color="000000" w:fill="FFFFFF"/>
            <w:vAlign w:val="bottom"/>
            <w:hideMark/>
          </w:tcPr>
          <w:p w14:paraId="7CA0E459"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4. Државна потрошња</w:t>
            </w:r>
          </w:p>
        </w:tc>
        <w:tc>
          <w:tcPr>
            <w:tcW w:w="1247" w:type="dxa"/>
            <w:gridSpan w:val="2"/>
            <w:tcBorders>
              <w:top w:val="nil"/>
              <w:left w:val="nil"/>
              <w:bottom w:val="dotted" w:sz="4" w:space="0" w:color="auto"/>
              <w:right w:val="single" w:sz="8" w:space="0" w:color="auto"/>
            </w:tcBorders>
            <w:shd w:val="clear" w:color="000000" w:fill="FFFFFF"/>
            <w:vAlign w:val="center"/>
            <w:hideMark/>
          </w:tcPr>
          <w:p w14:paraId="43651DDF" w14:textId="77777777" w:rsidR="00247CBF" w:rsidRPr="00092ED7" w:rsidRDefault="00247CBF" w:rsidP="00247CBF">
            <w:pPr>
              <w:spacing w:after="0"/>
              <w:jc w:val="center"/>
              <w:rPr>
                <w:sz w:val="20"/>
                <w:szCs w:val="20"/>
                <w:lang w:val="sr-Cyrl-CS"/>
              </w:rPr>
            </w:pPr>
            <w:r w:rsidRPr="00092ED7">
              <w:rPr>
                <w:sz w:val="20"/>
                <w:szCs w:val="20"/>
                <w:lang w:val="sr-Cyrl-CS"/>
              </w:rPr>
              <w:t>P3</w:t>
            </w:r>
          </w:p>
        </w:tc>
        <w:tc>
          <w:tcPr>
            <w:tcW w:w="1446" w:type="dxa"/>
            <w:gridSpan w:val="3"/>
            <w:tcBorders>
              <w:top w:val="nil"/>
              <w:left w:val="nil"/>
              <w:bottom w:val="dotted" w:sz="4" w:space="0" w:color="auto"/>
              <w:right w:val="single" w:sz="8" w:space="0" w:color="auto"/>
            </w:tcBorders>
            <w:shd w:val="clear" w:color="000000" w:fill="FFFFFF"/>
            <w:vAlign w:val="center"/>
            <w:hideMark/>
          </w:tcPr>
          <w:p w14:paraId="1937D173" w14:textId="77777777" w:rsidR="00247CBF" w:rsidRPr="00092ED7" w:rsidRDefault="00247CBF" w:rsidP="00247CBF">
            <w:pPr>
              <w:spacing w:after="0"/>
              <w:jc w:val="right"/>
              <w:rPr>
                <w:sz w:val="20"/>
                <w:szCs w:val="20"/>
                <w:lang w:val="sr-Cyrl-CS"/>
              </w:rPr>
            </w:pPr>
            <w:r w:rsidRPr="00092ED7">
              <w:rPr>
                <w:sz w:val="20"/>
                <w:szCs w:val="20"/>
                <w:lang w:val="sr-Cyrl-CS"/>
              </w:rPr>
              <w:t>7,0</w:t>
            </w:r>
          </w:p>
        </w:tc>
        <w:tc>
          <w:tcPr>
            <w:tcW w:w="1501" w:type="dxa"/>
            <w:gridSpan w:val="5"/>
            <w:tcBorders>
              <w:top w:val="nil"/>
              <w:left w:val="nil"/>
              <w:bottom w:val="dotted" w:sz="4" w:space="0" w:color="auto"/>
              <w:right w:val="dotted" w:sz="4" w:space="0" w:color="auto"/>
            </w:tcBorders>
            <w:shd w:val="clear" w:color="000000" w:fill="FFFFFF"/>
            <w:vAlign w:val="center"/>
            <w:hideMark/>
          </w:tcPr>
          <w:p w14:paraId="0D6AEFAA" w14:textId="77777777" w:rsidR="00247CBF" w:rsidRPr="00092ED7" w:rsidRDefault="00247CBF" w:rsidP="00247CBF">
            <w:pPr>
              <w:spacing w:after="0"/>
              <w:jc w:val="right"/>
              <w:rPr>
                <w:sz w:val="20"/>
                <w:szCs w:val="20"/>
                <w:lang w:val="sr-Cyrl-CS"/>
              </w:rPr>
            </w:pPr>
            <w:r w:rsidRPr="00092ED7">
              <w:rPr>
                <w:sz w:val="20"/>
                <w:szCs w:val="20"/>
                <w:lang w:val="sr-Cyrl-CS"/>
              </w:rPr>
              <w:t>4,1</w:t>
            </w:r>
          </w:p>
        </w:tc>
        <w:tc>
          <w:tcPr>
            <w:tcW w:w="1504" w:type="dxa"/>
            <w:gridSpan w:val="4"/>
            <w:tcBorders>
              <w:top w:val="nil"/>
              <w:left w:val="nil"/>
              <w:bottom w:val="dotted" w:sz="4" w:space="0" w:color="auto"/>
              <w:right w:val="dotted" w:sz="4" w:space="0" w:color="auto"/>
            </w:tcBorders>
            <w:shd w:val="clear" w:color="000000" w:fill="FFFFFF"/>
            <w:vAlign w:val="center"/>
            <w:hideMark/>
          </w:tcPr>
          <w:p w14:paraId="5A78F9CA" w14:textId="77777777" w:rsidR="00247CBF" w:rsidRPr="00092ED7" w:rsidRDefault="00247CBF" w:rsidP="00247CBF">
            <w:pPr>
              <w:spacing w:after="0"/>
              <w:jc w:val="right"/>
              <w:rPr>
                <w:sz w:val="20"/>
                <w:szCs w:val="20"/>
                <w:lang w:val="sr-Cyrl-CS"/>
              </w:rPr>
            </w:pPr>
            <w:r w:rsidRPr="00092ED7">
              <w:rPr>
                <w:sz w:val="20"/>
                <w:szCs w:val="20"/>
                <w:lang w:val="sr-Cyrl-CS"/>
              </w:rPr>
              <w:t>0,4</w:t>
            </w:r>
          </w:p>
        </w:tc>
        <w:tc>
          <w:tcPr>
            <w:tcW w:w="1501" w:type="dxa"/>
            <w:gridSpan w:val="4"/>
            <w:tcBorders>
              <w:top w:val="nil"/>
              <w:left w:val="nil"/>
              <w:bottom w:val="dotted" w:sz="4" w:space="0" w:color="auto"/>
              <w:right w:val="dotted" w:sz="4" w:space="0" w:color="auto"/>
            </w:tcBorders>
            <w:shd w:val="clear" w:color="000000" w:fill="FFFFFF"/>
            <w:vAlign w:val="center"/>
            <w:hideMark/>
          </w:tcPr>
          <w:p w14:paraId="6E139A97" w14:textId="77777777" w:rsidR="00247CBF" w:rsidRPr="00092ED7" w:rsidRDefault="00247CBF" w:rsidP="00247CBF">
            <w:pPr>
              <w:spacing w:after="0"/>
              <w:jc w:val="right"/>
              <w:rPr>
                <w:sz w:val="20"/>
                <w:szCs w:val="20"/>
                <w:lang w:val="sr-Cyrl-CS"/>
              </w:rPr>
            </w:pPr>
            <w:r w:rsidRPr="00092ED7">
              <w:rPr>
                <w:sz w:val="20"/>
                <w:szCs w:val="20"/>
                <w:lang w:val="sr-Cyrl-CS"/>
              </w:rPr>
              <w:t>-2,0</w:t>
            </w:r>
          </w:p>
        </w:tc>
        <w:tc>
          <w:tcPr>
            <w:tcW w:w="1504" w:type="dxa"/>
            <w:gridSpan w:val="6"/>
            <w:tcBorders>
              <w:top w:val="nil"/>
              <w:left w:val="nil"/>
              <w:bottom w:val="dotted" w:sz="4" w:space="0" w:color="auto"/>
              <w:right w:val="dotted" w:sz="4" w:space="0" w:color="auto"/>
            </w:tcBorders>
            <w:shd w:val="clear" w:color="000000" w:fill="FFFFFF"/>
            <w:vAlign w:val="center"/>
            <w:hideMark/>
          </w:tcPr>
          <w:p w14:paraId="011E7564" w14:textId="77777777" w:rsidR="00247CBF" w:rsidRPr="00092ED7" w:rsidRDefault="00247CBF" w:rsidP="00247CBF">
            <w:pPr>
              <w:spacing w:after="0"/>
              <w:jc w:val="right"/>
              <w:rPr>
                <w:sz w:val="20"/>
                <w:szCs w:val="20"/>
                <w:lang w:val="sr-Cyrl-CS"/>
              </w:rPr>
            </w:pPr>
            <w:r w:rsidRPr="00092ED7">
              <w:rPr>
                <w:sz w:val="20"/>
                <w:szCs w:val="20"/>
                <w:lang w:val="sr-Cyrl-CS"/>
              </w:rPr>
              <w:t>0,8</w:t>
            </w:r>
          </w:p>
        </w:tc>
        <w:tc>
          <w:tcPr>
            <w:tcW w:w="1504" w:type="dxa"/>
            <w:gridSpan w:val="4"/>
            <w:tcBorders>
              <w:top w:val="nil"/>
              <w:left w:val="nil"/>
              <w:bottom w:val="dotted" w:sz="4" w:space="0" w:color="auto"/>
              <w:right w:val="double" w:sz="6" w:space="0" w:color="auto"/>
            </w:tcBorders>
            <w:shd w:val="clear" w:color="000000" w:fill="FFFFFF"/>
            <w:vAlign w:val="center"/>
            <w:hideMark/>
          </w:tcPr>
          <w:p w14:paraId="088A2B6A" w14:textId="77777777" w:rsidR="00247CBF" w:rsidRPr="00092ED7" w:rsidRDefault="00247CBF" w:rsidP="00247CBF">
            <w:pPr>
              <w:spacing w:after="0"/>
              <w:jc w:val="right"/>
              <w:rPr>
                <w:sz w:val="20"/>
                <w:szCs w:val="20"/>
                <w:lang w:val="sr-Cyrl-CS"/>
              </w:rPr>
            </w:pPr>
            <w:r w:rsidRPr="00092ED7">
              <w:rPr>
                <w:sz w:val="20"/>
                <w:szCs w:val="20"/>
                <w:lang w:val="sr-Cyrl-CS"/>
              </w:rPr>
              <w:t>0,8</w:t>
            </w:r>
          </w:p>
        </w:tc>
      </w:tr>
      <w:tr w:rsidR="00247CBF" w:rsidRPr="00092ED7" w14:paraId="0925B43A" w14:textId="77777777" w:rsidTr="00247CBF">
        <w:trPr>
          <w:gridBefore w:val="1"/>
          <w:wBefore w:w="23" w:type="dxa"/>
          <w:trHeight w:val="319"/>
        </w:trPr>
        <w:tc>
          <w:tcPr>
            <w:tcW w:w="4372" w:type="dxa"/>
            <w:tcBorders>
              <w:top w:val="nil"/>
              <w:left w:val="double" w:sz="6" w:space="0" w:color="auto"/>
              <w:bottom w:val="dotted" w:sz="4" w:space="0" w:color="auto"/>
              <w:right w:val="dotted" w:sz="4" w:space="0" w:color="auto"/>
            </w:tcBorders>
            <w:shd w:val="clear" w:color="000000" w:fill="FFFFFF"/>
            <w:vAlign w:val="bottom"/>
            <w:hideMark/>
          </w:tcPr>
          <w:p w14:paraId="7C4137FD"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5. Бруто инвестиције у основна средства</w:t>
            </w:r>
          </w:p>
        </w:tc>
        <w:tc>
          <w:tcPr>
            <w:tcW w:w="1247" w:type="dxa"/>
            <w:gridSpan w:val="2"/>
            <w:tcBorders>
              <w:top w:val="nil"/>
              <w:left w:val="nil"/>
              <w:bottom w:val="dotted" w:sz="4" w:space="0" w:color="auto"/>
              <w:right w:val="single" w:sz="8" w:space="0" w:color="auto"/>
            </w:tcBorders>
            <w:shd w:val="clear" w:color="000000" w:fill="FFFFFF"/>
            <w:vAlign w:val="center"/>
            <w:hideMark/>
          </w:tcPr>
          <w:p w14:paraId="6D0DCD35" w14:textId="77777777" w:rsidR="00247CBF" w:rsidRPr="00092ED7" w:rsidRDefault="00247CBF" w:rsidP="00247CBF">
            <w:pPr>
              <w:spacing w:after="0"/>
              <w:jc w:val="center"/>
              <w:rPr>
                <w:sz w:val="20"/>
                <w:szCs w:val="20"/>
                <w:lang w:val="sr-Cyrl-CS"/>
              </w:rPr>
            </w:pPr>
            <w:r w:rsidRPr="00092ED7">
              <w:rPr>
                <w:sz w:val="20"/>
                <w:szCs w:val="20"/>
                <w:lang w:val="sr-Cyrl-CS"/>
              </w:rPr>
              <w:t>P51</w:t>
            </w:r>
          </w:p>
        </w:tc>
        <w:tc>
          <w:tcPr>
            <w:tcW w:w="1446" w:type="dxa"/>
            <w:gridSpan w:val="3"/>
            <w:tcBorders>
              <w:top w:val="nil"/>
              <w:left w:val="nil"/>
              <w:bottom w:val="dotted" w:sz="4" w:space="0" w:color="auto"/>
              <w:right w:val="single" w:sz="8" w:space="0" w:color="auto"/>
            </w:tcBorders>
            <w:shd w:val="clear" w:color="000000" w:fill="FFFFFF"/>
            <w:vAlign w:val="center"/>
            <w:hideMark/>
          </w:tcPr>
          <w:p w14:paraId="45866476" w14:textId="77777777" w:rsidR="00247CBF" w:rsidRPr="00092ED7" w:rsidRDefault="00247CBF" w:rsidP="00247CBF">
            <w:pPr>
              <w:spacing w:after="0"/>
              <w:jc w:val="right"/>
              <w:rPr>
                <w:sz w:val="20"/>
                <w:szCs w:val="20"/>
                <w:lang w:val="sr-Cyrl-CS"/>
              </w:rPr>
            </w:pPr>
            <w:r w:rsidRPr="00092ED7">
              <w:rPr>
                <w:sz w:val="20"/>
                <w:szCs w:val="20"/>
                <w:lang w:val="sr-Cyrl-CS"/>
              </w:rPr>
              <w:t>10,9</w:t>
            </w:r>
          </w:p>
        </w:tc>
        <w:tc>
          <w:tcPr>
            <w:tcW w:w="1501" w:type="dxa"/>
            <w:gridSpan w:val="5"/>
            <w:tcBorders>
              <w:top w:val="nil"/>
              <w:left w:val="nil"/>
              <w:bottom w:val="dotted" w:sz="4" w:space="0" w:color="auto"/>
              <w:right w:val="dotted" w:sz="4" w:space="0" w:color="auto"/>
            </w:tcBorders>
            <w:shd w:val="clear" w:color="000000" w:fill="FFFFFF"/>
            <w:vAlign w:val="center"/>
            <w:hideMark/>
          </w:tcPr>
          <w:p w14:paraId="4FC8E699" w14:textId="77777777" w:rsidR="00247CBF" w:rsidRPr="00092ED7" w:rsidRDefault="00247CBF" w:rsidP="00247CBF">
            <w:pPr>
              <w:spacing w:after="0"/>
              <w:jc w:val="right"/>
              <w:rPr>
                <w:sz w:val="20"/>
                <w:szCs w:val="20"/>
                <w:lang w:val="sr-Cyrl-CS"/>
              </w:rPr>
            </w:pPr>
            <w:r w:rsidRPr="00092ED7">
              <w:rPr>
                <w:sz w:val="20"/>
                <w:szCs w:val="20"/>
                <w:lang w:val="sr-Cyrl-CS"/>
              </w:rPr>
              <w:t>15,9</w:t>
            </w:r>
          </w:p>
        </w:tc>
        <w:tc>
          <w:tcPr>
            <w:tcW w:w="1504" w:type="dxa"/>
            <w:gridSpan w:val="4"/>
            <w:tcBorders>
              <w:top w:val="nil"/>
              <w:left w:val="nil"/>
              <w:bottom w:val="dotted" w:sz="4" w:space="0" w:color="auto"/>
              <w:right w:val="dotted" w:sz="4" w:space="0" w:color="auto"/>
            </w:tcBorders>
            <w:shd w:val="clear" w:color="000000" w:fill="FFFFFF"/>
            <w:vAlign w:val="center"/>
            <w:hideMark/>
          </w:tcPr>
          <w:p w14:paraId="69434C5A" w14:textId="77777777" w:rsidR="00247CBF" w:rsidRPr="00092ED7" w:rsidRDefault="00247CBF" w:rsidP="00247CBF">
            <w:pPr>
              <w:spacing w:after="0"/>
              <w:jc w:val="right"/>
              <w:rPr>
                <w:sz w:val="20"/>
                <w:szCs w:val="20"/>
                <w:lang w:val="sr-Cyrl-CS"/>
              </w:rPr>
            </w:pPr>
            <w:r w:rsidRPr="00092ED7">
              <w:rPr>
                <w:sz w:val="20"/>
                <w:szCs w:val="20"/>
                <w:lang w:val="sr-Cyrl-CS"/>
              </w:rPr>
              <w:t>0,0</w:t>
            </w:r>
          </w:p>
        </w:tc>
        <w:tc>
          <w:tcPr>
            <w:tcW w:w="1501" w:type="dxa"/>
            <w:gridSpan w:val="4"/>
            <w:tcBorders>
              <w:top w:val="nil"/>
              <w:left w:val="nil"/>
              <w:bottom w:val="dotted" w:sz="4" w:space="0" w:color="auto"/>
              <w:right w:val="dotted" w:sz="4" w:space="0" w:color="auto"/>
            </w:tcBorders>
            <w:shd w:val="clear" w:color="000000" w:fill="FFFFFF"/>
            <w:vAlign w:val="center"/>
            <w:hideMark/>
          </w:tcPr>
          <w:p w14:paraId="55D5118E" w14:textId="77777777" w:rsidR="00247CBF" w:rsidRPr="00092ED7" w:rsidRDefault="00247CBF" w:rsidP="00247CBF">
            <w:pPr>
              <w:spacing w:after="0"/>
              <w:jc w:val="right"/>
              <w:rPr>
                <w:sz w:val="20"/>
                <w:szCs w:val="20"/>
                <w:lang w:val="sr-Cyrl-CS"/>
              </w:rPr>
            </w:pPr>
            <w:r w:rsidRPr="00092ED7">
              <w:rPr>
                <w:sz w:val="20"/>
                <w:szCs w:val="20"/>
                <w:lang w:val="sr-Cyrl-CS"/>
              </w:rPr>
              <w:t>2,4</w:t>
            </w:r>
          </w:p>
        </w:tc>
        <w:tc>
          <w:tcPr>
            <w:tcW w:w="1504" w:type="dxa"/>
            <w:gridSpan w:val="6"/>
            <w:tcBorders>
              <w:top w:val="nil"/>
              <w:left w:val="nil"/>
              <w:bottom w:val="dotted" w:sz="4" w:space="0" w:color="auto"/>
              <w:right w:val="dotted" w:sz="4" w:space="0" w:color="auto"/>
            </w:tcBorders>
            <w:shd w:val="clear" w:color="000000" w:fill="FFFFFF"/>
            <w:vAlign w:val="center"/>
            <w:hideMark/>
          </w:tcPr>
          <w:p w14:paraId="6A0F4DE6" w14:textId="77777777" w:rsidR="00247CBF" w:rsidRPr="00092ED7" w:rsidRDefault="00247CBF" w:rsidP="00247CBF">
            <w:pPr>
              <w:spacing w:after="0"/>
              <w:jc w:val="right"/>
              <w:rPr>
                <w:sz w:val="20"/>
                <w:szCs w:val="20"/>
                <w:lang w:val="sr-Cyrl-CS"/>
              </w:rPr>
            </w:pPr>
            <w:r w:rsidRPr="00092ED7">
              <w:rPr>
                <w:sz w:val="20"/>
                <w:szCs w:val="20"/>
                <w:lang w:val="sr-Cyrl-CS"/>
              </w:rPr>
              <w:t>5,2</w:t>
            </w:r>
          </w:p>
        </w:tc>
        <w:tc>
          <w:tcPr>
            <w:tcW w:w="1504" w:type="dxa"/>
            <w:gridSpan w:val="4"/>
            <w:tcBorders>
              <w:top w:val="nil"/>
              <w:left w:val="nil"/>
              <w:bottom w:val="dotted" w:sz="4" w:space="0" w:color="auto"/>
              <w:right w:val="double" w:sz="6" w:space="0" w:color="auto"/>
            </w:tcBorders>
            <w:shd w:val="clear" w:color="000000" w:fill="FFFFFF"/>
            <w:vAlign w:val="center"/>
            <w:hideMark/>
          </w:tcPr>
          <w:p w14:paraId="682C5E2C" w14:textId="77777777" w:rsidR="00247CBF" w:rsidRPr="00092ED7" w:rsidRDefault="00247CBF" w:rsidP="00247CBF">
            <w:pPr>
              <w:spacing w:after="0"/>
              <w:jc w:val="right"/>
              <w:rPr>
                <w:sz w:val="20"/>
                <w:szCs w:val="20"/>
                <w:lang w:val="sr-Cyrl-CS"/>
              </w:rPr>
            </w:pPr>
            <w:r w:rsidRPr="00092ED7">
              <w:rPr>
                <w:sz w:val="20"/>
                <w:szCs w:val="20"/>
                <w:lang w:val="sr-Cyrl-CS"/>
              </w:rPr>
              <w:t>5,8</w:t>
            </w:r>
          </w:p>
        </w:tc>
      </w:tr>
      <w:tr w:rsidR="00247CBF" w:rsidRPr="00092ED7" w14:paraId="35BDB9CB" w14:textId="77777777" w:rsidTr="00247CBF">
        <w:trPr>
          <w:gridBefore w:val="1"/>
          <w:wBefore w:w="23" w:type="dxa"/>
          <w:trHeight w:val="480"/>
        </w:trPr>
        <w:tc>
          <w:tcPr>
            <w:tcW w:w="4372" w:type="dxa"/>
            <w:tcBorders>
              <w:top w:val="nil"/>
              <w:left w:val="double" w:sz="6" w:space="0" w:color="auto"/>
              <w:bottom w:val="dotted" w:sz="4" w:space="0" w:color="auto"/>
              <w:right w:val="dotted" w:sz="4" w:space="0" w:color="auto"/>
            </w:tcBorders>
            <w:shd w:val="clear" w:color="000000" w:fill="FFFFFF"/>
            <w:vAlign w:val="bottom"/>
            <w:hideMark/>
          </w:tcPr>
          <w:p w14:paraId="067FBA50"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6. Промене у залихама и нето набавка драгоцености (% БДП-а)</w:t>
            </w:r>
          </w:p>
        </w:tc>
        <w:tc>
          <w:tcPr>
            <w:tcW w:w="1247" w:type="dxa"/>
            <w:gridSpan w:val="2"/>
            <w:tcBorders>
              <w:top w:val="nil"/>
              <w:left w:val="nil"/>
              <w:bottom w:val="dotted" w:sz="4" w:space="0" w:color="auto"/>
              <w:right w:val="single" w:sz="8" w:space="0" w:color="auto"/>
            </w:tcBorders>
            <w:shd w:val="clear" w:color="000000" w:fill="FFFFFF"/>
            <w:vAlign w:val="center"/>
            <w:hideMark/>
          </w:tcPr>
          <w:p w14:paraId="6D1B4D1A" w14:textId="77777777" w:rsidR="00247CBF" w:rsidRPr="00092ED7" w:rsidRDefault="00247CBF" w:rsidP="00247CBF">
            <w:pPr>
              <w:spacing w:after="0"/>
              <w:jc w:val="center"/>
              <w:rPr>
                <w:sz w:val="20"/>
                <w:szCs w:val="20"/>
                <w:lang w:val="sr-Cyrl-CS"/>
              </w:rPr>
            </w:pPr>
            <w:r w:rsidRPr="00092ED7">
              <w:rPr>
                <w:sz w:val="20"/>
                <w:szCs w:val="20"/>
                <w:lang w:val="sr-Cyrl-CS"/>
              </w:rPr>
              <w:t>P52+P53</w:t>
            </w:r>
          </w:p>
        </w:tc>
        <w:tc>
          <w:tcPr>
            <w:tcW w:w="1446" w:type="dxa"/>
            <w:gridSpan w:val="3"/>
            <w:tcBorders>
              <w:top w:val="nil"/>
              <w:left w:val="nil"/>
              <w:bottom w:val="dotted" w:sz="4" w:space="0" w:color="auto"/>
              <w:right w:val="single" w:sz="8" w:space="0" w:color="auto"/>
            </w:tcBorders>
            <w:shd w:val="clear" w:color="000000" w:fill="FFFFFF"/>
            <w:vAlign w:val="center"/>
            <w:hideMark/>
          </w:tcPr>
          <w:p w14:paraId="4B69C792" w14:textId="77777777" w:rsidR="00247CBF" w:rsidRPr="00092ED7" w:rsidRDefault="00247CBF" w:rsidP="00247CBF">
            <w:pPr>
              <w:spacing w:after="0"/>
              <w:jc w:val="right"/>
              <w:rPr>
                <w:sz w:val="20"/>
                <w:szCs w:val="20"/>
                <w:lang w:val="sr-Cyrl-CS"/>
              </w:rPr>
            </w:pPr>
            <w:r w:rsidRPr="00092ED7">
              <w:rPr>
                <w:sz w:val="20"/>
                <w:szCs w:val="20"/>
                <w:lang w:val="sr-Cyrl-CS"/>
              </w:rPr>
              <w:t>1,0</w:t>
            </w:r>
          </w:p>
        </w:tc>
        <w:tc>
          <w:tcPr>
            <w:tcW w:w="1501" w:type="dxa"/>
            <w:gridSpan w:val="5"/>
            <w:tcBorders>
              <w:top w:val="nil"/>
              <w:left w:val="nil"/>
              <w:bottom w:val="dotted" w:sz="4" w:space="0" w:color="auto"/>
              <w:right w:val="dotted" w:sz="4" w:space="0" w:color="auto"/>
            </w:tcBorders>
            <w:shd w:val="clear" w:color="000000" w:fill="FFFFFF"/>
            <w:vAlign w:val="center"/>
            <w:hideMark/>
          </w:tcPr>
          <w:p w14:paraId="3419FFE3" w14:textId="77777777" w:rsidR="00247CBF" w:rsidRPr="00092ED7" w:rsidRDefault="00247CBF" w:rsidP="00247CBF">
            <w:pPr>
              <w:spacing w:after="0"/>
              <w:jc w:val="right"/>
              <w:rPr>
                <w:sz w:val="20"/>
                <w:szCs w:val="20"/>
                <w:lang w:val="sr-Cyrl-CS"/>
              </w:rPr>
            </w:pPr>
            <w:r w:rsidRPr="00092ED7">
              <w:rPr>
                <w:sz w:val="20"/>
                <w:szCs w:val="20"/>
                <w:lang w:val="sr-Cyrl-CS"/>
              </w:rPr>
              <w:t>2,3</w:t>
            </w:r>
          </w:p>
        </w:tc>
        <w:tc>
          <w:tcPr>
            <w:tcW w:w="1504" w:type="dxa"/>
            <w:gridSpan w:val="4"/>
            <w:tcBorders>
              <w:top w:val="nil"/>
              <w:left w:val="nil"/>
              <w:bottom w:val="dotted" w:sz="4" w:space="0" w:color="auto"/>
              <w:right w:val="dotted" w:sz="4" w:space="0" w:color="auto"/>
            </w:tcBorders>
            <w:shd w:val="clear" w:color="auto" w:fill="auto"/>
            <w:vAlign w:val="center"/>
            <w:hideMark/>
          </w:tcPr>
          <w:p w14:paraId="647A64C1" w14:textId="77777777" w:rsidR="00247CBF" w:rsidRPr="00092ED7" w:rsidRDefault="00247CBF" w:rsidP="00247CBF">
            <w:pPr>
              <w:spacing w:after="0"/>
              <w:jc w:val="right"/>
              <w:rPr>
                <w:sz w:val="20"/>
                <w:szCs w:val="20"/>
                <w:lang w:val="sr-Cyrl-CS"/>
              </w:rPr>
            </w:pPr>
            <w:r w:rsidRPr="00092ED7">
              <w:rPr>
                <w:sz w:val="20"/>
                <w:szCs w:val="20"/>
                <w:lang w:val="sr-Cyrl-CS"/>
              </w:rPr>
              <w:t>3,7</w:t>
            </w:r>
          </w:p>
        </w:tc>
        <w:tc>
          <w:tcPr>
            <w:tcW w:w="1501" w:type="dxa"/>
            <w:gridSpan w:val="4"/>
            <w:tcBorders>
              <w:top w:val="nil"/>
              <w:left w:val="nil"/>
              <w:bottom w:val="dotted" w:sz="4" w:space="0" w:color="auto"/>
              <w:right w:val="dotted" w:sz="4" w:space="0" w:color="auto"/>
            </w:tcBorders>
            <w:shd w:val="clear" w:color="auto" w:fill="auto"/>
            <w:vAlign w:val="center"/>
            <w:hideMark/>
          </w:tcPr>
          <w:p w14:paraId="46783048" w14:textId="77777777" w:rsidR="00247CBF" w:rsidRPr="00092ED7" w:rsidRDefault="00247CBF" w:rsidP="00247CBF">
            <w:pPr>
              <w:spacing w:after="0"/>
              <w:jc w:val="right"/>
              <w:rPr>
                <w:sz w:val="20"/>
                <w:szCs w:val="20"/>
                <w:lang w:val="sr-Cyrl-CS"/>
              </w:rPr>
            </w:pPr>
            <w:r w:rsidRPr="00092ED7">
              <w:rPr>
                <w:sz w:val="20"/>
                <w:szCs w:val="20"/>
                <w:lang w:val="sr-Cyrl-CS"/>
              </w:rPr>
              <w:t>3,9</w:t>
            </w:r>
          </w:p>
        </w:tc>
        <w:tc>
          <w:tcPr>
            <w:tcW w:w="1504" w:type="dxa"/>
            <w:gridSpan w:val="6"/>
            <w:tcBorders>
              <w:top w:val="nil"/>
              <w:left w:val="nil"/>
              <w:bottom w:val="dotted" w:sz="4" w:space="0" w:color="auto"/>
              <w:right w:val="dotted" w:sz="4" w:space="0" w:color="auto"/>
            </w:tcBorders>
            <w:shd w:val="clear" w:color="000000" w:fill="FFFFFF"/>
            <w:vAlign w:val="center"/>
            <w:hideMark/>
          </w:tcPr>
          <w:p w14:paraId="0BE110C7" w14:textId="77777777" w:rsidR="00247CBF" w:rsidRPr="00092ED7" w:rsidRDefault="00247CBF" w:rsidP="00247CBF">
            <w:pPr>
              <w:spacing w:after="0"/>
              <w:jc w:val="right"/>
              <w:rPr>
                <w:sz w:val="20"/>
                <w:szCs w:val="20"/>
                <w:lang w:val="sr-Cyrl-CS"/>
              </w:rPr>
            </w:pPr>
            <w:r w:rsidRPr="00092ED7">
              <w:rPr>
                <w:sz w:val="20"/>
                <w:szCs w:val="20"/>
                <w:lang w:val="sr-Cyrl-CS"/>
              </w:rPr>
              <w:t>3,4</w:t>
            </w:r>
          </w:p>
        </w:tc>
        <w:tc>
          <w:tcPr>
            <w:tcW w:w="1504" w:type="dxa"/>
            <w:gridSpan w:val="4"/>
            <w:tcBorders>
              <w:top w:val="nil"/>
              <w:left w:val="nil"/>
              <w:bottom w:val="dotted" w:sz="4" w:space="0" w:color="auto"/>
              <w:right w:val="double" w:sz="6" w:space="0" w:color="auto"/>
            </w:tcBorders>
            <w:shd w:val="clear" w:color="000000" w:fill="FFFFFF"/>
            <w:vAlign w:val="center"/>
            <w:hideMark/>
          </w:tcPr>
          <w:p w14:paraId="544D54DE" w14:textId="77777777" w:rsidR="00247CBF" w:rsidRPr="00092ED7" w:rsidRDefault="00247CBF" w:rsidP="00247CBF">
            <w:pPr>
              <w:spacing w:after="0"/>
              <w:jc w:val="right"/>
              <w:rPr>
                <w:sz w:val="20"/>
                <w:szCs w:val="20"/>
                <w:lang w:val="sr-Cyrl-CS"/>
              </w:rPr>
            </w:pPr>
            <w:r w:rsidRPr="00092ED7">
              <w:rPr>
                <w:sz w:val="20"/>
                <w:szCs w:val="20"/>
                <w:lang w:val="sr-Cyrl-CS"/>
              </w:rPr>
              <w:t>3,1</w:t>
            </w:r>
          </w:p>
        </w:tc>
      </w:tr>
      <w:tr w:rsidR="00247CBF" w:rsidRPr="00092ED7" w14:paraId="42554B90" w14:textId="77777777" w:rsidTr="00247CBF">
        <w:trPr>
          <w:gridBefore w:val="1"/>
          <w:wBefore w:w="23" w:type="dxa"/>
          <w:trHeight w:val="319"/>
        </w:trPr>
        <w:tc>
          <w:tcPr>
            <w:tcW w:w="4372" w:type="dxa"/>
            <w:tcBorders>
              <w:top w:val="nil"/>
              <w:left w:val="double" w:sz="6" w:space="0" w:color="auto"/>
              <w:bottom w:val="dotted" w:sz="4" w:space="0" w:color="auto"/>
              <w:right w:val="dotted" w:sz="4" w:space="0" w:color="auto"/>
            </w:tcBorders>
            <w:shd w:val="clear" w:color="000000" w:fill="FFFFFF"/>
            <w:vAlign w:val="bottom"/>
            <w:hideMark/>
          </w:tcPr>
          <w:p w14:paraId="4A8D5EDD"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7. Извоз робе и услуга</w:t>
            </w:r>
          </w:p>
        </w:tc>
        <w:tc>
          <w:tcPr>
            <w:tcW w:w="1247" w:type="dxa"/>
            <w:gridSpan w:val="2"/>
            <w:tcBorders>
              <w:top w:val="nil"/>
              <w:left w:val="nil"/>
              <w:bottom w:val="dotted" w:sz="4" w:space="0" w:color="auto"/>
              <w:right w:val="single" w:sz="8" w:space="0" w:color="auto"/>
            </w:tcBorders>
            <w:shd w:val="clear" w:color="000000" w:fill="FFFFFF"/>
            <w:vAlign w:val="center"/>
            <w:hideMark/>
          </w:tcPr>
          <w:p w14:paraId="2C7D0E04" w14:textId="77777777" w:rsidR="00247CBF" w:rsidRPr="00092ED7" w:rsidRDefault="00247CBF" w:rsidP="00247CBF">
            <w:pPr>
              <w:spacing w:after="0"/>
              <w:jc w:val="center"/>
              <w:rPr>
                <w:sz w:val="20"/>
                <w:szCs w:val="20"/>
                <w:lang w:val="sr-Cyrl-CS"/>
              </w:rPr>
            </w:pPr>
            <w:r w:rsidRPr="00092ED7">
              <w:rPr>
                <w:sz w:val="20"/>
                <w:szCs w:val="20"/>
                <w:lang w:val="sr-Cyrl-CS"/>
              </w:rPr>
              <w:t>P6</w:t>
            </w:r>
          </w:p>
        </w:tc>
        <w:tc>
          <w:tcPr>
            <w:tcW w:w="1446" w:type="dxa"/>
            <w:gridSpan w:val="3"/>
            <w:tcBorders>
              <w:top w:val="nil"/>
              <w:left w:val="nil"/>
              <w:bottom w:val="dotted" w:sz="4" w:space="0" w:color="auto"/>
              <w:right w:val="single" w:sz="8" w:space="0" w:color="auto"/>
            </w:tcBorders>
            <w:shd w:val="clear" w:color="000000" w:fill="FFFFFF"/>
            <w:vAlign w:val="center"/>
            <w:hideMark/>
          </w:tcPr>
          <w:p w14:paraId="548F7F1A" w14:textId="77777777" w:rsidR="00247CBF" w:rsidRPr="00092ED7" w:rsidRDefault="00247CBF" w:rsidP="00247CBF">
            <w:pPr>
              <w:spacing w:after="0"/>
              <w:jc w:val="right"/>
              <w:rPr>
                <w:sz w:val="20"/>
                <w:szCs w:val="20"/>
                <w:lang w:val="sr-Cyrl-CS"/>
              </w:rPr>
            </w:pPr>
            <w:r w:rsidRPr="00092ED7">
              <w:rPr>
                <w:sz w:val="20"/>
                <w:szCs w:val="20"/>
                <w:lang w:val="sr-Cyrl-CS"/>
              </w:rPr>
              <w:t>26,6</w:t>
            </w:r>
          </w:p>
        </w:tc>
        <w:tc>
          <w:tcPr>
            <w:tcW w:w="1501" w:type="dxa"/>
            <w:gridSpan w:val="5"/>
            <w:tcBorders>
              <w:top w:val="nil"/>
              <w:left w:val="nil"/>
              <w:bottom w:val="dotted" w:sz="4" w:space="0" w:color="auto"/>
              <w:right w:val="dotted" w:sz="4" w:space="0" w:color="auto"/>
            </w:tcBorders>
            <w:shd w:val="clear" w:color="000000" w:fill="FFFFFF"/>
            <w:vAlign w:val="center"/>
            <w:hideMark/>
          </w:tcPr>
          <w:p w14:paraId="200BE582" w14:textId="77777777" w:rsidR="00247CBF" w:rsidRPr="00092ED7" w:rsidRDefault="00247CBF" w:rsidP="00247CBF">
            <w:pPr>
              <w:spacing w:after="0"/>
              <w:jc w:val="right"/>
              <w:rPr>
                <w:sz w:val="20"/>
                <w:szCs w:val="20"/>
                <w:lang w:val="sr-Cyrl-CS"/>
              </w:rPr>
            </w:pPr>
            <w:r w:rsidRPr="00092ED7">
              <w:rPr>
                <w:sz w:val="20"/>
                <w:szCs w:val="20"/>
                <w:lang w:val="sr-Cyrl-CS"/>
              </w:rPr>
              <w:t>19,5</w:t>
            </w:r>
          </w:p>
        </w:tc>
        <w:tc>
          <w:tcPr>
            <w:tcW w:w="1504" w:type="dxa"/>
            <w:gridSpan w:val="4"/>
            <w:tcBorders>
              <w:top w:val="nil"/>
              <w:left w:val="nil"/>
              <w:bottom w:val="dotted" w:sz="4" w:space="0" w:color="auto"/>
              <w:right w:val="dotted" w:sz="4" w:space="0" w:color="auto"/>
            </w:tcBorders>
            <w:shd w:val="clear" w:color="000000" w:fill="FFFFFF"/>
            <w:vAlign w:val="center"/>
            <w:hideMark/>
          </w:tcPr>
          <w:p w14:paraId="037076A2" w14:textId="77777777" w:rsidR="00247CBF" w:rsidRPr="00092ED7" w:rsidRDefault="00247CBF" w:rsidP="00247CBF">
            <w:pPr>
              <w:spacing w:after="0"/>
              <w:jc w:val="right"/>
              <w:rPr>
                <w:sz w:val="20"/>
                <w:szCs w:val="20"/>
                <w:lang w:val="sr-Cyrl-CS"/>
              </w:rPr>
            </w:pPr>
            <w:r w:rsidRPr="00092ED7">
              <w:rPr>
                <w:sz w:val="20"/>
                <w:szCs w:val="20"/>
                <w:lang w:val="sr-Cyrl-CS"/>
              </w:rPr>
              <w:t>12,3</w:t>
            </w:r>
          </w:p>
        </w:tc>
        <w:tc>
          <w:tcPr>
            <w:tcW w:w="1501" w:type="dxa"/>
            <w:gridSpan w:val="4"/>
            <w:tcBorders>
              <w:top w:val="nil"/>
              <w:left w:val="nil"/>
              <w:bottom w:val="dotted" w:sz="4" w:space="0" w:color="auto"/>
              <w:right w:val="dotted" w:sz="4" w:space="0" w:color="auto"/>
            </w:tcBorders>
            <w:shd w:val="clear" w:color="000000" w:fill="FFFFFF"/>
            <w:vAlign w:val="center"/>
            <w:hideMark/>
          </w:tcPr>
          <w:p w14:paraId="0C83E67E" w14:textId="77777777" w:rsidR="00247CBF" w:rsidRPr="00092ED7" w:rsidRDefault="00247CBF" w:rsidP="00247CBF">
            <w:pPr>
              <w:spacing w:after="0"/>
              <w:jc w:val="right"/>
              <w:rPr>
                <w:sz w:val="20"/>
                <w:szCs w:val="20"/>
                <w:lang w:val="sr-Cyrl-CS"/>
              </w:rPr>
            </w:pPr>
            <w:r w:rsidRPr="00092ED7">
              <w:rPr>
                <w:sz w:val="20"/>
                <w:szCs w:val="20"/>
                <w:lang w:val="sr-Cyrl-CS"/>
              </w:rPr>
              <w:t>4,9</w:t>
            </w:r>
          </w:p>
        </w:tc>
        <w:tc>
          <w:tcPr>
            <w:tcW w:w="1504" w:type="dxa"/>
            <w:gridSpan w:val="6"/>
            <w:tcBorders>
              <w:top w:val="nil"/>
              <w:left w:val="nil"/>
              <w:bottom w:val="dotted" w:sz="4" w:space="0" w:color="auto"/>
              <w:right w:val="dotted" w:sz="4" w:space="0" w:color="auto"/>
            </w:tcBorders>
            <w:shd w:val="clear" w:color="000000" w:fill="FFFFFF"/>
            <w:vAlign w:val="center"/>
            <w:hideMark/>
          </w:tcPr>
          <w:p w14:paraId="3B2E27BF" w14:textId="77777777" w:rsidR="00247CBF" w:rsidRPr="00092ED7" w:rsidRDefault="00247CBF" w:rsidP="00247CBF">
            <w:pPr>
              <w:spacing w:after="0"/>
              <w:jc w:val="right"/>
              <w:rPr>
                <w:sz w:val="20"/>
                <w:szCs w:val="20"/>
                <w:lang w:val="sr-Cyrl-CS"/>
              </w:rPr>
            </w:pPr>
            <w:r w:rsidRPr="00092ED7">
              <w:rPr>
                <w:sz w:val="20"/>
                <w:szCs w:val="20"/>
                <w:lang w:val="sr-Cyrl-CS"/>
              </w:rPr>
              <w:t>8,8</w:t>
            </w:r>
          </w:p>
        </w:tc>
        <w:tc>
          <w:tcPr>
            <w:tcW w:w="1504" w:type="dxa"/>
            <w:gridSpan w:val="4"/>
            <w:tcBorders>
              <w:top w:val="nil"/>
              <w:left w:val="nil"/>
              <w:bottom w:val="dotted" w:sz="4" w:space="0" w:color="auto"/>
              <w:right w:val="double" w:sz="6" w:space="0" w:color="auto"/>
            </w:tcBorders>
            <w:shd w:val="clear" w:color="000000" w:fill="FFFFFF"/>
            <w:vAlign w:val="center"/>
            <w:hideMark/>
          </w:tcPr>
          <w:p w14:paraId="74B79829" w14:textId="77777777" w:rsidR="00247CBF" w:rsidRPr="00092ED7" w:rsidRDefault="00247CBF" w:rsidP="00247CBF">
            <w:pPr>
              <w:spacing w:after="0"/>
              <w:jc w:val="right"/>
              <w:rPr>
                <w:sz w:val="20"/>
                <w:szCs w:val="20"/>
                <w:lang w:val="sr-Cyrl-CS"/>
              </w:rPr>
            </w:pPr>
            <w:r w:rsidRPr="00092ED7">
              <w:rPr>
                <w:sz w:val="20"/>
                <w:szCs w:val="20"/>
                <w:lang w:val="sr-Cyrl-CS"/>
              </w:rPr>
              <w:t>10,6</w:t>
            </w:r>
          </w:p>
        </w:tc>
      </w:tr>
      <w:tr w:rsidR="00247CBF" w:rsidRPr="00092ED7" w14:paraId="765AA06E" w14:textId="77777777" w:rsidTr="00247CBF">
        <w:trPr>
          <w:gridBefore w:val="1"/>
          <w:wBefore w:w="23" w:type="dxa"/>
          <w:trHeight w:val="319"/>
        </w:trPr>
        <w:tc>
          <w:tcPr>
            <w:tcW w:w="4372" w:type="dxa"/>
            <w:tcBorders>
              <w:top w:val="nil"/>
              <w:left w:val="double" w:sz="6" w:space="0" w:color="auto"/>
              <w:bottom w:val="single" w:sz="8" w:space="0" w:color="auto"/>
              <w:right w:val="dotted" w:sz="4" w:space="0" w:color="auto"/>
            </w:tcBorders>
            <w:shd w:val="clear" w:color="000000" w:fill="FFFFFF"/>
            <w:vAlign w:val="bottom"/>
            <w:hideMark/>
          </w:tcPr>
          <w:p w14:paraId="5D40B817"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8. Увоз робе и услуга</w:t>
            </w:r>
          </w:p>
        </w:tc>
        <w:tc>
          <w:tcPr>
            <w:tcW w:w="1247" w:type="dxa"/>
            <w:gridSpan w:val="2"/>
            <w:tcBorders>
              <w:top w:val="nil"/>
              <w:left w:val="nil"/>
              <w:bottom w:val="single" w:sz="8" w:space="0" w:color="auto"/>
              <w:right w:val="single" w:sz="8" w:space="0" w:color="auto"/>
            </w:tcBorders>
            <w:shd w:val="clear" w:color="000000" w:fill="FFFFFF"/>
            <w:vAlign w:val="center"/>
            <w:hideMark/>
          </w:tcPr>
          <w:p w14:paraId="16E32FF6" w14:textId="77777777" w:rsidR="00247CBF" w:rsidRPr="00092ED7" w:rsidRDefault="00247CBF" w:rsidP="00247CBF">
            <w:pPr>
              <w:spacing w:after="0"/>
              <w:jc w:val="center"/>
              <w:rPr>
                <w:sz w:val="20"/>
                <w:szCs w:val="20"/>
                <w:lang w:val="sr-Cyrl-CS"/>
              </w:rPr>
            </w:pPr>
            <w:r w:rsidRPr="00092ED7">
              <w:rPr>
                <w:sz w:val="20"/>
                <w:szCs w:val="20"/>
                <w:lang w:val="sr-Cyrl-CS"/>
              </w:rPr>
              <w:t>P7</w:t>
            </w:r>
          </w:p>
        </w:tc>
        <w:tc>
          <w:tcPr>
            <w:tcW w:w="1446" w:type="dxa"/>
            <w:gridSpan w:val="3"/>
            <w:tcBorders>
              <w:top w:val="nil"/>
              <w:left w:val="nil"/>
              <w:bottom w:val="single" w:sz="8" w:space="0" w:color="auto"/>
              <w:right w:val="single" w:sz="8" w:space="0" w:color="auto"/>
            </w:tcBorders>
            <w:shd w:val="clear" w:color="000000" w:fill="FFFFFF"/>
            <w:vAlign w:val="center"/>
            <w:hideMark/>
          </w:tcPr>
          <w:p w14:paraId="24B3AF89" w14:textId="77777777" w:rsidR="00247CBF" w:rsidRPr="00092ED7" w:rsidRDefault="00247CBF" w:rsidP="00247CBF">
            <w:pPr>
              <w:spacing w:after="0"/>
              <w:jc w:val="right"/>
              <w:rPr>
                <w:sz w:val="20"/>
                <w:szCs w:val="20"/>
                <w:lang w:val="sr-Cyrl-CS"/>
              </w:rPr>
            </w:pPr>
            <w:r w:rsidRPr="00092ED7">
              <w:rPr>
                <w:sz w:val="20"/>
                <w:szCs w:val="20"/>
                <w:lang w:val="sr-Cyrl-CS"/>
              </w:rPr>
              <w:t>31,7</w:t>
            </w:r>
          </w:p>
        </w:tc>
        <w:tc>
          <w:tcPr>
            <w:tcW w:w="1501" w:type="dxa"/>
            <w:gridSpan w:val="5"/>
            <w:tcBorders>
              <w:top w:val="nil"/>
              <w:left w:val="nil"/>
              <w:bottom w:val="single" w:sz="8" w:space="0" w:color="auto"/>
              <w:right w:val="dotted" w:sz="4" w:space="0" w:color="auto"/>
            </w:tcBorders>
            <w:shd w:val="clear" w:color="000000" w:fill="FFFFFF"/>
            <w:vAlign w:val="center"/>
            <w:hideMark/>
          </w:tcPr>
          <w:p w14:paraId="1C61D2F8" w14:textId="77777777" w:rsidR="00247CBF" w:rsidRPr="00092ED7" w:rsidRDefault="00247CBF" w:rsidP="00247CBF">
            <w:pPr>
              <w:spacing w:after="0"/>
              <w:jc w:val="right"/>
              <w:rPr>
                <w:sz w:val="20"/>
                <w:szCs w:val="20"/>
                <w:lang w:val="sr-Cyrl-CS"/>
              </w:rPr>
            </w:pPr>
            <w:r w:rsidRPr="00092ED7">
              <w:rPr>
                <w:sz w:val="20"/>
                <w:szCs w:val="20"/>
                <w:lang w:val="sr-Cyrl-CS"/>
              </w:rPr>
              <w:t>17,7</w:t>
            </w:r>
          </w:p>
        </w:tc>
        <w:tc>
          <w:tcPr>
            <w:tcW w:w="1504" w:type="dxa"/>
            <w:gridSpan w:val="4"/>
            <w:tcBorders>
              <w:top w:val="nil"/>
              <w:left w:val="nil"/>
              <w:bottom w:val="single" w:sz="8" w:space="0" w:color="auto"/>
              <w:right w:val="dotted" w:sz="4" w:space="0" w:color="auto"/>
            </w:tcBorders>
            <w:shd w:val="clear" w:color="000000" w:fill="FFFFFF"/>
            <w:vAlign w:val="center"/>
            <w:hideMark/>
          </w:tcPr>
          <w:p w14:paraId="6FE73069" w14:textId="77777777" w:rsidR="00247CBF" w:rsidRPr="00092ED7" w:rsidRDefault="00247CBF" w:rsidP="00247CBF">
            <w:pPr>
              <w:spacing w:after="0"/>
              <w:jc w:val="right"/>
              <w:rPr>
                <w:sz w:val="20"/>
                <w:szCs w:val="20"/>
                <w:lang w:val="sr-Cyrl-CS"/>
              </w:rPr>
            </w:pPr>
            <w:r w:rsidRPr="00092ED7">
              <w:rPr>
                <w:sz w:val="20"/>
                <w:szCs w:val="20"/>
                <w:lang w:val="sr-Cyrl-CS"/>
              </w:rPr>
              <w:t>12,8</w:t>
            </w:r>
          </w:p>
        </w:tc>
        <w:tc>
          <w:tcPr>
            <w:tcW w:w="1501" w:type="dxa"/>
            <w:gridSpan w:val="4"/>
            <w:tcBorders>
              <w:top w:val="nil"/>
              <w:left w:val="nil"/>
              <w:bottom w:val="single" w:sz="8" w:space="0" w:color="auto"/>
              <w:right w:val="dotted" w:sz="4" w:space="0" w:color="auto"/>
            </w:tcBorders>
            <w:shd w:val="clear" w:color="000000" w:fill="FFFFFF"/>
            <w:vAlign w:val="center"/>
            <w:hideMark/>
          </w:tcPr>
          <w:p w14:paraId="13390E74" w14:textId="77777777" w:rsidR="00247CBF" w:rsidRPr="00092ED7" w:rsidRDefault="00247CBF" w:rsidP="00247CBF">
            <w:pPr>
              <w:spacing w:after="0"/>
              <w:jc w:val="right"/>
              <w:rPr>
                <w:sz w:val="20"/>
                <w:szCs w:val="20"/>
                <w:lang w:val="sr-Cyrl-CS"/>
              </w:rPr>
            </w:pPr>
            <w:r w:rsidRPr="00092ED7">
              <w:rPr>
                <w:sz w:val="20"/>
                <w:szCs w:val="20"/>
                <w:lang w:val="sr-Cyrl-CS"/>
              </w:rPr>
              <w:t>4,0</w:t>
            </w:r>
          </w:p>
        </w:tc>
        <w:tc>
          <w:tcPr>
            <w:tcW w:w="1504" w:type="dxa"/>
            <w:gridSpan w:val="6"/>
            <w:tcBorders>
              <w:top w:val="nil"/>
              <w:left w:val="nil"/>
              <w:bottom w:val="single" w:sz="8" w:space="0" w:color="auto"/>
              <w:right w:val="dotted" w:sz="4" w:space="0" w:color="auto"/>
            </w:tcBorders>
            <w:shd w:val="clear" w:color="000000" w:fill="FFFFFF"/>
            <w:vAlign w:val="center"/>
            <w:hideMark/>
          </w:tcPr>
          <w:p w14:paraId="0EEC379C" w14:textId="77777777" w:rsidR="00247CBF" w:rsidRPr="00092ED7" w:rsidRDefault="00247CBF" w:rsidP="00247CBF">
            <w:pPr>
              <w:spacing w:after="0"/>
              <w:jc w:val="right"/>
              <w:rPr>
                <w:sz w:val="20"/>
                <w:szCs w:val="20"/>
                <w:lang w:val="sr-Cyrl-CS"/>
              </w:rPr>
            </w:pPr>
            <w:r w:rsidRPr="00092ED7">
              <w:rPr>
                <w:sz w:val="20"/>
                <w:szCs w:val="20"/>
                <w:lang w:val="sr-Cyrl-CS"/>
              </w:rPr>
              <w:t>6,8</w:t>
            </w:r>
          </w:p>
        </w:tc>
        <w:tc>
          <w:tcPr>
            <w:tcW w:w="1504" w:type="dxa"/>
            <w:gridSpan w:val="4"/>
            <w:tcBorders>
              <w:top w:val="nil"/>
              <w:left w:val="nil"/>
              <w:bottom w:val="single" w:sz="8" w:space="0" w:color="auto"/>
              <w:right w:val="double" w:sz="6" w:space="0" w:color="auto"/>
            </w:tcBorders>
            <w:shd w:val="clear" w:color="000000" w:fill="FFFFFF"/>
            <w:vAlign w:val="center"/>
            <w:hideMark/>
          </w:tcPr>
          <w:p w14:paraId="171E0962" w14:textId="77777777" w:rsidR="00247CBF" w:rsidRPr="00092ED7" w:rsidRDefault="00247CBF" w:rsidP="00247CBF">
            <w:pPr>
              <w:spacing w:after="0"/>
              <w:jc w:val="right"/>
              <w:rPr>
                <w:sz w:val="20"/>
                <w:szCs w:val="20"/>
                <w:lang w:val="sr-Cyrl-CS"/>
              </w:rPr>
            </w:pPr>
            <w:r w:rsidRPr="00092ED7">
              <w:rPr>
                <w:sz w:val="20"/>
                <w:szCs w:val="20"/>
                <w:lang w:val="sr-Cyrl-CS"/>
              </w:rPr>
              <w:t>8,8</w:t>
            </w:r>
          </w:p>
        </w:tc>
      </w:tr>
      <w:tr w:rsidR="00247CBF" w:rsidRPr="00092ED7" w14:paraId="0BF717BC" w14:textId="77777777" w:rsidTr="00247CBF">
        <w:trPr>
          <w:gridBefore w:val="1"/>
          <w:wBefore w:w="23" w:type="dxa"/>
          <w:trHeight w:val="319"/>
        </w:trPr>
        <w:tc>
          <w:tcPr>
            <w:tcW w:w="14579" w:type="dxa"/>
            <w:gridSpan w:val="29"/>
            <w:tcBorders>
              <w:top w:val="single" w:sz="8" w:space="0" w:color="auto"/>
              <w:left w:val="double" w:sz="6" w:space="0" w:color="auto"/>
              <w:bottom w:val="single" w:sz="8" w:space="0" w:color="auto"/>
              <w:right w:val="double" w:sz="6" w:space="0" w:color="000000"/>
            </w:tcBorders>
            <w:shd w:val="clear" w:color="000000" w:fill="FFFFFF"/>
            <w:vAlign w:val="bottom"/>
            <w:hideMark/>
          </w:tcPr>
          <w:p w14:paraId="0DC9A622" w14:textId="77777777" w:rsidR="00247CBF" w:rsidRPr="00092ED7" w:rsidRDefault="00247CBF" w:rsidP="00247CBF">
            <w:pPr>
              <w:spacing w:after="0"/>
              <w:jc w:val="center"/>
              <w:rPr>
                <w:rFonts w:eastAsia="Times New Roman" w:cs="Times New Roman"/>
                <w:b/>
                <w:bCs/>
                <w:sz w:val="20"/>
                <w:szCs w:val="20"/>
                <w:lang w:val="sr-Cyrl-CS"/>
              </w:rPr>
            </w:pPr>
            <w:r w:rsidRPr="00092ED7">
              <w:rPr>
                <w:rFonts w:eastAsia="Times New Roman" w:cs="Times New Roman"/>
                <w:b/>
                <w:bCs/>
                <w:sz w:val="20"/>
                <w:szCs w:val="20"/>
                <w:lang w:val="sr-Cyrl-CS"/>
              </w:rPr>
              <w:t>Допринос реалном расту БДП</w:t>
            </w:r>
          </w:p>
        </w:tc>
      </w:tr>
      <w:tr w:rsidR="00247CBF" w:rsidRPr="00092ED7" w14:paraId="730FBA4F" w14:textId="77777777" w:rsidTr="00247CBF">
        <w:trPr>
          <w:gridBefore w:val="1"/>
          <w:wBefore w:w="23" w:type="dxa"/>
          <w:trHeight w:val="319"/>
        </w:trPr>
        <w:tc>
          <w:tcPr>
            <w:tcW w:w="4372" w:type="dxa"/>
            <w:tcBorders>
              <w:top w:val="nil"/>
              <w:left w:val="double" w:sz="6" w:space="0" w:color="auto"/>
              <w:bottom w:val="dotted" w:sz="4" w:space="0" w:color="auto"/>
              <w:right w:val="dotted" w:sz="4" w:space="0" w:color="auto"/>
            </w:tcBorders>
            <w:shd w:val="clear" w:color="000000" w:fill="FFFFFF"/>
            <w:vAlign w:val="bottom"/>
            <w:hideMark/>
          </w:tcPr>
          <w:p w14:paraId="21562F50"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9. Финална домаћа тражња</w:t>
            </w:r>
          </w:p>
        </w:tc>
        <w:tc>
          <w:tcPr>
            <w:tcW w:w="1247" w:type="dxa"/>
            <w:gridSpan w:val="2"/>
            <w:tcBorders>
              <w:top w:val="nil"/>
              <w:left w:val="nil"/>
              <w:bottom w:val="dotted" w:sz="4" w:space="0" w:color="auto"/>
              <w:right w:val="single" w:sz="8" w:space="0" w:color="auto"/>
            </w:tcBorders>
            <w:shd w:val="clear" w:color="000000" w:fill="FFFFFF"/>
            <w:vAlign w:val="center"/>
            <w:hideMark/>
          </w:tcPr>
          <w:p w14:paraId="0261C364" w14:textId="77777777" w:rsidR="00247CBF" w:rsidRPr="00092ED7" w:rsidRDefault="00247CBF" w:rsidP="00247CBF">
            <w:pPr>
              <w:spacing w:after="0"/>
              <w:jc w:val="center"/>
              <w:rPr>
                <w:sz w:val="20"/>
                <w:szCs w:val="20"/>
                <w:lang w:val="sr-Cyrl-CS"/>
              </w:rPr>
            </w:pPr>
          </w:p>
        </w:tc>
        <w:tc>
          <w:tcPr>
            <w:tcW w:w="1446" w:type="dxa"/>
            <w:gridSpan w:val="3"/>
            <w:tcBorders>
              <w:top w:val="nil"/>
              <w:left w:val="nil"/>
              <w:bottom w:val="dotted" w:sz="4" w:space="0" w:color="auto"/>
              <w:right w:val="single" w:sz="8" w:space="0" w:color="auto"/>
            </w:tcBorders>
            <w:shd w:val="clear" w:color="000000" w:fill="FFFFFF"/>
            <w:vAlign w:val="center"/>
            <w:hideMark/>
          </w:tcPr>
          <w:p w14:paraId="7B91970F" w14:textId="77777777" w:rsidR="00247CBF" w:rsidRPr="00092ED7" w:rsidRDefault="00247CBF" w:rsidP="00247CBF">
            <w:pPr>
              <w:spacing w:after="0"/>
              <w:jc w:val="right"/>
              <w:rPr>
                <w:sz w:val="20"/>
                <w:szCs w:val="20"/>
                <w:lang w:val="sr-Cyrl-CS"/>
              </w:rPr>
            </w:pPr>
            <w:r w:rsidRPr="00092ED7">
              <w:rPr>
                <w:sz w:val="20"/>
                <w:szCs w:val="20"/>
                <w:lang w:val="sr-Cyrl-CS"/>
              </w:rPr>
              <w:t>49,0</w:t>
            </w:r>
          </w:p>
        </w:tc>
        <w:tc>
          <w:tcPr>
            <w:tcW w:w="1501" w:type="dxa"/>
            <w:gridSpan w:val="5"/>
            <w:tcBorders>
              <w:top w:val="nil"/>
              <w:left w:val="nil"/>
              <w:bottom w:val="dotted" w:sz="4" w:space="0" w:color="auto"/>
              <w:right w:val="dotted" w:sz="4" w:space="0" w:color="auto"/>
            </w:tcBorders>
            <w:shd w:val="clear" w:color="000000" w:fill="FFFFFF"/>
            <w:vAlign w:val="center"/>
            <w:hideMark/>
          </w:tcPr>
          <w:p w14:paraId="1B5D2273" w14:textId="77777777" w:rsidR="00247CBF" w:rsidRPr="00092ED7" w:rsidRDefault="00247CBF" w:rsidP="00247CBF">
            <w:pPr>
              <w:spacing w:after="0"/>
              <w:jc w:val="right"/>
              <w:rPr>
                <w:sz w:val="20"/>
                <w:szCs w:val="20"/>
                <w:lang w:val="sr-Cyrl-CS"/>
              </w:rPr>
            </w:pPr>
            <w:r w:rsidRPr="00092ED7">
              <w:rPr>
                <w:sz w:val="20"/>
                <w:szCs w:val="20"/>
                <w:lang w:val="sr-Cyrl-CS"/>
              </w:rPr>
              <w:t>9,6</w:t>
            </w:r>
          </w:p>
        </w:tc>
        <w:tc>
          <w:tcPr>
            <w:tcW w:w="1504" w:type="dxa"/>
            <w:gridSpan w:val="4"/>
            <w:tcBorders>
              <w:top w:val="nil"/>
              <w:left w:val="nil"/>
              <w:bottom w:val="dotted" w:sz="4" w:space="0" w:color="auto"/>
              <w:right w:val="dotted" w:sz="4" w:space="0" w:color="auto"/>
            </w:tcBorders>
            <w:shd w:val="clear" w:color="000000" w:fill="FFFFFF"/>
            <w:vAlign w:val="center"/>
            <w:hideMark/>
          </w:tcPr>
          <w:p w14:paraId="5EFF53E4" w14:textId="77777777" w:rsidR="00247CBF" w:rsidRPr="00092ED7" w:rsidRDefault="00247CBF" w:rsidP="00247CBF">
            <w:pPr>
              <w:spacing w:after="0"/>
              <w:jc w:val="right"/>
              <w:rPr>
                <w:sz w:val="20"/>
                <w:szCs w:val="20"/>
                <w:lang w:val="sr-Cyrl-CS"/>
              </w:rPr>
            </w:pPr>
            <w:r w:rsidRPr="00092ED7">
              <w:rPr>
                <w:sz w:val="20"/>
                <w:szCs w:val="20"/>
                <w:lang w:val="sr-Cyrl-CS"/>
              </w:rPr>
              <w:t>2,8</w:t>
            </w:r>
          </w:p>
        </w:tc>
        <w:tc>
          <w:tcPr>
            <w:tcW w:w="1501" w:type="dxa"/>
            <w:gridSpan w:val="4"/>
            <w:tcBorders>
              <w:top w:val="nil"/>
              <w:left w:val="nil"/>
              <w:bottom w:val="dotted" w:sz="4" w:space="0" w:color="auto"/>
              <w:right w:val="dotted" w:sz="4" w:space="0" w:color="auto"/>
            </w:tcBorders>
            <w:shd w:val="clear" w:color="000000" w:fill="FFFFFF"/>
            <w:vAlign w:val="center"/>
            <w:hideMark/>
          </w:tcPr>
          <w:p w14:paraId="044241ED" w14:textId="77777777" w:rsidR="00247CBF" w:rsidRPr="00092ED7" w:rsidRDefault="00247CBF" w:rsidP="00247CBF">
            <w:pPr>
              <w:spacing w:after="0"/>
              <w:jc w:val="right"/>
              <w:rPr>
                <w:sz w:val="20"/>
                <w:szCs w:val="20"/>
                <w:lang w:val="sr-Cyrl-CS"/>
              </w:rPr>
            </w:pPr>
            <w:r w:rsidRPr="00092ED7">
              <w:rPr>
                <w:sz w:val="20"/>
                <w:szCs w:val="20"/>
                <w:lang w:val="sr-Cyrl-CS"/>
              </w:rPr>
              <w:t>2,0</w:t>
            </w:r>
          </w:p>
        </w:tc>
        <w:tc>
          <w:tcPr>
            <w:tcW w:w="1504" w:type="dxa"/>
            <w:gridSpan w:val="6"/>
            <w:tcBorders>
              <w:top w:val="nil"/>
              <w:left w:val="nil"/>
              <w:bottom w:val="dotted" w:sz="4" w:space="0" w:color="auto"/>
              <w:right w:val="dotted" w:sz="4" w:space="0" w:color="auto"/>
            </w:tcBorders>
            <w:shd w:val="clear" w:color="000000" w:fill="FFFFFF"/>
            <w:vAlign w:val="center"/>
            <w:hideMark/>
          </w:tcPr>
          <w:p w14:paraId="7CE7CA61" w14:textId="77777777" w:rsidR="00247CBF" w:rsidRPr="00092ED7" w:rsidRDefault="00247CBF" w:rsidP="00247CBF">
            <w:pPr>
              <w:spacing w:after="0"/>
              <w:jc w:val="right"/>
              <w:rPr>
                <w:sz w:val="20"/>
                <w:szCs w:val="20"/>
                <w:lang w:val="sr-Cyrl-CS"/>
              </w:rPr>
            </w:pPr>
            <w:r w:rsidRPr="00092ED7">
              <w:rPr>
                <w:sz w:val="20"/>
                <w:szCs w:val="20"/>
                <w:lang w:val="sr-Cyrl-CS"/>
              </w:rPr>
              <w:t>3,4</w:t>
            </w:r>
          </w:p>
        </w:tc>
        <w:tc>
          <w:tcPr>
            <w:tcW w:w="1504" w:type="dxa"/>
            <w:gridSpan w:val="4"/>
            <w:tcBorders>
              <w:top w:val="nil"/>
              <w:left w:val="nil"/>
              <w:bottom w:val="dotted" w:sz="4" w:space="0" w:color="auto"/>
              <w:right w:val="double" w:sz="6" w:space="0" w:color="auto"/>
            </w:tcBorders>
            <w:shd w:val="clear" w:color="000000" w:fill="FFFFFF"/>
            <w:vAlign w:val="center"/>
            <w:hideMark/>
          </w:tcPr>
          <w:p w14:paraId="634BEEA9" w14:textId="77777777" w:rsidR="00247CBF" w:rsidRPr="00092ED7" w:rsidRDefault="00247CBF" w:rsidP="00247CBF">
            <w:pPr>
              <w:spacing w:after="0"/>
              <w:jc w:val="right"/>
              <w:rPr>
                <w:sz w:val="20"/>
                <w:szCs w:val="20"/>
                <w:lang w:val="sr-Cyrl-CS"/>
              </w:rPr>
            </w:pPr>
            <w:r w:rsidRPr="00092ED7">
              <w:rPr>
                <w:sz w:val="20"/>
                <w:szCs w:val="20"/>
                <w:lang w:val="sr-Cyrl-CS"/>
              </w:rPr>
              <w:t>4,0</w:t>
            </w:r>
          </w:p>
        </w:tc>
      </w:tr>
      <w:tr w:rsidR="00247CBF" w:rsidRPr="00092ED7" w14:paraId="2CD2053F" w14:textId="77777777" w:rsidTr="00247CBF">
        <w:trPr>
          <w:gridBefore w:val="1"/>
          <w:wBefore w:w="23" w:type="dxa"/>
          <w:trHeight w:val="477"/>
        </w:trPr>
        <w:tc>
          <w:tcPr>
            <w:tcW w:w="4372" w:type="dxa"/>
            <w:tcBorders>
              <w:top w:val="nil"/>
              <w:left w:val="double" w:sz="6" w:space="0" w:color="auto"/>
              <w:bottom w:val="dotted" w:sz="4" w:space="0" w:color="auto"/>
              <w:right w:val="dotted" w:sz="4" w:space="0" w:color="auto"/>
            </w:tcBorders>
            <w:shd w:val="clear" w:color="000000" w:fill="FFFFFF"/>
            <w:vAlign w:val="bottom"/>
            <w:hideMark/>
          </w:tcPr>
          <w:p w14:paraId="3D6B5EA3"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xml:space="preserve">10. Промене у залихама и нето набавка драгоцености </w:t>
            </w:r>
          </w:p>
        </w:tc>
        <w:tc>
          <w:tcPr>
            <w:tcW w:w="1247" w:type="dxa"/>
            <w:gridSpan w:val="2"/>
            <w:tcBorders>
              <w:top w:val="nil"/>
              <w:left w:val="nil"/>
              <w:bottom w:val="dotted" w:sz="4" w:space="0" w:color="auto"/>
              <w:right w:val="single" w:sz="8" w:space="0" w:color="auto"/>
            </w:tcBorders>
            <w:shd w:val="clear" w:color="000000" w:fill="FFFFFF"/>
            <w:vAlign w:val="center"/>
            <w:hideMark/>
          </w:tcPr>
          <w:p w14:paraId="5B1A6975" w14:textId="77777777" w:rsidR="00247CBF" w:rsidRPr="00092ED7" w:rsidRDefault="00247CBF" w:rsidP="00247CBF">
            <w:pPr>
              <w:spacing w:after="0"/>
              <w:jc w:val="center"/>
              <w:rPr>
                <w:sz w:val="20"/>
                <w:szCs w:val="20"/>
                <w:lang w:val="sr-Cyrl-CS"/>
              </w:rPr>
            </w:pPr>
            <w:r w:rsidRPr="00092ED7">
              <w:rPr>
                <w:sz w:val="20"/>
                <w:szCs w:val="20"/>
                <w:lang w:val="sr-Cyrl-CS"/>
              </w:rPr>
              <w:t>P52+P53</w:t>
            </w:r>
          </w:p>
        </w:tc>
        <w:tc>
          <w:tcPr>
            <w:tcW w:w="1446" w:type="dxa"/>
            <w:gridSpan w:val="3"/>
            <w:tcBorders>
              <w:top w:val="nil"/>
              <w:left w:val="nil"/>
              <w:bottom w:val="dotted" w:sz="4" w:space="0" w:color="auto"/>
              <w:right w:val="single" w:sz="8" w:space="0" w:color="auto"/>
            </w:tcBorders>
            <w:shd w:val="clear" w:color="000000" w:fill="FFFFFF"/>
            <w:vAlign w:val="center"/>
            <w:hideMark/>
          </w:tcPr>
          <w:p w14:paraId="1F4C89F8" w14:textId="77777777" w:rsidR="00247CBF" w:rsidRPr="00092ED7" w:rsidRDefault="00247CBF" w:rsidP="00247CBF">
            <w:pPr>
              <w:spacing w:after="0"/>
              <w:jc w:val="right"/>
              <w:rPr>
                <w:sz w:val="20"/>
                <w:szCs w:val="20"/>
                <w:lang w:val="sr-Cyrl-CS"/>
              </w:rPr>
            </w:pPr>
            <w:r w:rsidRPr="00092ED7">
              <w:rPr>
                <w:sz w:val="20"/>
                <w:szCs w:val="20"/>
                <w:lang w:val="sr-Cyrl-CS"/>
              </w:rPr>
              <w:t>1,0</w:t>
            </w:r>
          </w:p>
        </w:tc>
        <w:tc>
          <w:tcPr>
            <w:tcW w:w="1501" w:type="dxa"/>
            <w:gridSpan w:val="5"/>
            <w:tcBorders>
              <w:top w:val="nil"/>
              <w:left w:val="nil"/>
              <w:bottom w:val="dotted" w:sz="4" w:space="0" w:color="auto"/>
              <w:right w:val="dotted" w:sz="4" w:space="0" w:color="auto"/>
            </w:tcBorders>
            <w:shd w:val="clear" w:color="000000" w:fill="FFFFFF"/>
            <w:vAlign w:val="center"/>
            <w:hideMark/>
          </w:tcPr>
          <w:p w14:paraId="5655A81D" w14:textId="77777777" w:rsidR="00247CBF" w:rsidRPr="00092ED7" w:rsidRDefault="00247CBF" w:rsidP="00247CBF">
            <w:pPr>
              <w:spacing w:after="0"/>
              <w:jc w:val="right"/>
              <w:rPr>
                <w:sz w:val="20"/>
                <w:szCs w:val="20"/>
                <w:lang w:val="sr-Cyrl-CS"/>
              </w:rPr>
            </w:pPr>
            <w:r w:rsidRPr="00092ED7">
              <w:rPr>
                <w:sz w:val="20"/>
                <w:szCs w:val="20"/>
                <w:lang w:val="sr-Cyrl-CS"/>
              </w:rPr>
              <w:t>-1,1</w:t>
            </w:r>
          </w:p>
        </w:tc>
        <w:tc>
          <w:tcPr>
            <w:tcW w:w="1504" w:type="dxa"/>
            <w:gridSpan w:val="4"/>
            <w:tcBorders>
              <w:top w:val="nil"/>
              <w:left w:val="nil"/>
              <w:bottom w:val="dotted" w:sz="4" w:space="0" w:color="auto"/>
              <w:right w:val="dotted" w:sz="4" w:space="0" w:color="auto"/>
            </w:tcBorders>
            <w:shd w:val="clear" w:color="000000" w:fill="FFFFFF"/>
            <w:vAlign w:val="center"/>
            <w:hideMark/>
          </w:tcPr>
          <w:p w14:paraId="2F1F4324" w14:textId="77777777" w:rsidR="00247CBF" w:rsidRPr="00092ED7" w:rsidRDefault="00247CBF" w:rsidP="00247CBF">
            <w:pPr>
              <w:spacing w:after="0"/>
              <w:jc w:val="right"/>
              <w:rPr>
                <w:sz w:val="20"/>
                <w:szCs w:val="20"/>
                <w:lang w:val="sr-Cyrl-CS"/>
              </w:rPr>
            </w:pPr>
            <w:r w:rsidRPr="00092ED7">
              <w:rPr>
                <w:sz w:val="20"/>
                <w:szCs w:val="20"/>
                <w:lang w:val="sr-Cyrl-CS"/>
              </w:rPr>
              <w:t>1,5</w:t>
            </w:r>
          </w:p>
        </w:tc>
        <w:tc>
          <w:tcPr>
            <w:tcW w:w="1501" w:type="dxa"/>
            <w:gridSpan w:val="4"/>
            <w:tcBorders>
              <w:top w:val="nil"/>
              <w:left w:val="nil"/>
              <w:bottom w:val="dotted" w:sz="4" w:space="0" w:color="auto"/>
              <w:right w:val="dotted" w:sz="4" w:space="0" w:color="auto"/>
            </w:tcBorders>
            <w:shd w:val="clear" w:color="000000" w:fill="FFFFFF"/>
            <w:vAlign w:val="center"/>
            <w:hideMark/>
          </w:tcPr>
          <w:p w14:paraId="5D5F976A" w14:textId="77777777" w:rsidR="00247CBF" w:rsidRPr="00092ED7" w:rsidRDefault="00247CBF" w:rsidP="00247CBF">
            <w:pPr>
              <w:spacing w:after="0"/>
              <w:jc w:val="right"/>
              <w:rPr>
                <w:sz w:val="20"/>
                <w:szCs w:val="20"/>
                <w:lang w:val="sr-Cyrl-CS"/>
              </w:rPr>
            </w:pPr>
            <w:r w:rsidRPr="00092ED7">
              <w:rPr>
                <w:sz w:val="20"/>
                <w:szCs w:val="20"/>
                <w:lang w:val="sr-Cyrl-CS"/>
              </w:rPr>
              <w:t>0,3</w:t>
            </w:r>
          </w:p>
        </w:tc>
        <w:tc>
          <w:tcPr>
            <w:tcW w:w="1504" w:type="dxa"/>
            <w:gridSpan w:val="6"/>
            <w:tcBorders>
              <w:top w:val="nil"/>
              <w:left w:val="nil"/>
              <w:bottom w:val="dotted" w:sz="4" w:space="0" w:color="auto"/>
              <w:right w:val="dotted" w:sz="4" w:space="0" w:color="auto"/>
            </w:tcBorders>
            <w:shd w:val="clear" w:color="000000" w:fill="FFFFFF"/>
            <w:vAlign w:val="center"/>
            <w:hideMark/>
          </w:tcPr>
          <w:p w14:paraId="3740A775" w14:textId="77777777" w:rsidR="00247CBF" w:rsidRPr="00092ED7" w:rsidRDefault="00247CBF" w:rsidP="00247CBF">
            <w:pPr>
              <w:spacing w:after="0"/>
              <w:jc w:val="right"/>
              <w:rPr>
                <w:sz w:val="20"/>
                <w:szCs w:val="20"/>
                <w:lang w:val="sr-Cyrl-CS"/>
              </w:rPr>
            </w:pPr>
            <w:r w:rsidRPr="00092ED7">
              <w:rPr>
                <w:sz w:val="20"/>
                <w:szCs w:val="20"/>
                <w:lang w:val="sr-Cyrl-CS"/>
              </w:rPr>
              <w:t>-0,3</w:t>
            </w:r>
          </w:p>
        </w:tc>
        <w:tc>
          <w:tcPr>
            <w:tcW w:w="1504" w:type="dxa"/>
            <w:gridSpan w:val="4"/>
            <w:tcBorders>
              <w:top w:val="nil"/>
              <w:left w:val="nil"/>
              <w:bottom w:val="dotted" w:sz="4" w:space="0" w:color="auto"/>
              <w:right w:val="double" w:sz="6" w:space="0" w:color="auto"/>
            </w:tcBorders>
            <w:shd w:val="clear" w:color="000000" w:fill="FFFFFF"/>
            <w:vAlign w:val="center"/>
            <w:hideMark/>
          </w:tcPr>
          <w:p w14:paraId="46650733" w14:textId="77777777" w:rsidR="00247CBF" w:rsidRPr="00092ED7" w:rsidRDefault="00247CBF" w:rsidP="00247CBF">
            <w:pPr>
              <w:spacing w:after="0"/>
              <w:jc w:val="right"/>
              <w:rPr>
                <w:sz w:val="20"/>
                <w:szCs w:val="20"/>
                <w:lang w:val="sr-Cyrl-CS"/>
              </w:rPr>
            </w:pPr>
            <w:r w:rsidRPr="00092ED7">
              <w:rPr>
                <w:sz w:val="20"/>
                <w:szCs w:val="20"/>
                <w:lang w:val="sr-Cyrl-CS"/>
              </w:rPr>
              <w:t>-0,2</w:t>
            </w:r>
          </w:p>
        </w:tc>
      </w:tr>
      <w:tr w:rsidR="00247CBF" w:rsidRPr="00092ED7" w14:paraId="70DA19B4" w14:textId="77777777" w:rsidTr="00247CBF">
        <w:trPr>
          <w:gridBefore w:val="1"/>
          <w:wBefore w:w="23" w:type="dxa"/>
          <w:trHeight w:val="274"/>
        </w:trPr>
        <w:tc>
          <w:tcPr>
            <w:tcW w:w="4372" w:type="dxa"/>
            <w:tcBorders>
              <w:top w:val="nil"/>
              <w:left w:val="double" w:sz="6" w:space="0" w:color="auto"/>
              <w:bottom w:val="double" w:sz="6" w:space="0" w:color="auto"/>
              <w:right w:val="dotted" w:sz="4" w:space="0" w:color="auto"/>
            </w:tcBorders>
            <w:shd w:val="clear" w:color="000000" w:fill="FFFFFF"/>
            <w:vAlign w:val="bottom"/>
            <w:hideMark/>
          </w:tcPr>
          <w:p w14:paraId="102013F0"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11. Спољнотрговински биланс робе и услуга</w:t>
            </w:r>
          </w:p>
        </w:tc>
        <w:tc>
          <w:tcPr>
            <w:tcW w:w="1247" w:type="dxa"/>
            <w:gridSpan w:val="2"/>
            <w:tcBorders>
              <w:top w:val="nil"/>
              <w:left w:val="nil"/>
              <w:bottom w:val="double" w:sz="6" w:space="0" w:color="auto"/>
              <w:right w:val="single" w:sz="8" w:space="0" w:color="auto"/>
            </w:tcBorders>
            <w:shd w:val="clear" w:color="000000" w:fill="FFFFFF"/>
            <w:vAlign w:val="center"/>
            <w:hideMark/>
          </w:tcPr>
          <w:p w14:paraId="39A98DB1" w14:textId="77777777" w:rsidR="00247CBF" w:rsidRPr="00092ED7" w:rsidRDefault="00247CBF" w:rsidP="00247CBF">
            <w:pPr>
              <w:spacing w:after="0"/>
              <w:jc w:val="center"/>
              <w:rPr>
                <w:sz w:val="20"/>
                <w:szCs w:val="20"/>
                <w:lang w:val="sr-Cyrl-CS"/>
              </w:rPr>
            </w:pPr>
            <w:r w:rsidRPr="00092ED7">
              <w:rPr>
                <w:sz w:val="20"/>
                <w:szCs w:val="20"/>
                <w:lang w:val="sr-Cyrl-CS"/>
              </w:rPr>
              <w:t>B11</w:t>
            </w:r>
          </w:p>
        </w:tc>
        <w:tc>
          <w:tcPr>
            <w:tcW w:w="1446" w:type="dxa"/>
            <w:gridSpan w:val="3"/>
            <w:tcBorders>
              <w:top w:val="nil"/>
              <w:left w:val="nil"/>
              <w:bottom w:val="double" w:sz="6" w:space="0" w:color="auto"/>
              <w:right w:val="single" w:sz="8" w:space="0" w:color="auto"/>
            </w:tcBorders>
            <w:shd w:val="clear" w:color="000000" w:fill="FFFFFF"/>
            <w:vAlign w:val="center"/>
            <w:hideMark/>
          </w:tcPr>
          <w:p w14:paraId="38AD9F49" w14:textId="77777777" w:rsidR="00247CBF" w:rsidRPr="00092ED7" w:rsidRDefault="00247CBF" w:rsidP="00247CBF">
            <w:pPr>
              <w:spacing w:after="0"/>
              <w:jc w:val="right"/>
              <w:rPr>
                <w:sz w:val="20"/>
                <w:szCs w:val="20"/>
                <w:lang w:val="sr-Cyrl-CS"/>
              </w:rPr>
            </w:pPr>
            <w:r w:rsidRPr="00092ED7">
              <w:rPr>
                <w:sz w:val="20"/>
                <w:szCs w:val="20"/>
                <w:lang w:val="sr-Cyrl-CS"/>
              </w:rPr>
              <w:t>-5,1</w:t>
            </w:r>
          </w:p>
        </w:tc>
        <w:tc>
          <w:tcPr>
            <w:tcW w:w="1501" w:type="dxa"/>
            <w:gridSpan w:val="5"/>
            <w:tcBorders>
              <w:top w:val="nil"/>
              <w:left w:val="nil"/>
              <w:bottom w:val="double" w:sz="6" w:space="0" w:color="auto"/>
              <w:right w:val="dotted" w:sz="4" w:space="0" w:color="auto"/>
            </w:tcBorders>
            <w:shd w:val="clear" w:color="000000" w:fill="FFFFFF"/>
            <w:vAlign w:val="center"/>
            <w:hideMark/>
          </w:tcPr>
          <w:p w14:paraId="77C48124" w14:textId="77777777" w:rsidR="00247CBF" w:rsidRPr="00092ED7" w:rsidRDefault="00247CBF" w:rsidP="00247CBF">
            <w:pPr>
              <w:spacing w:after="0"/>
              <w:jc w:val="right"/>
              <w:rPr>
                <w:sz w:val="20"/>
                <w:szCs w:val="20"/>
                <w:lang w:val="sr-Cyrl-CS"/>
              </w:rPr>
            </w:pPr>
            <w:r w:rsidRPr="00092ED7">
              <w:rPr>
                <w:sz w:val="20"/>
                <w:szCs w:val="20"/>
                <w:lang w:val="sr-Cyrl-CS"/>
              </w:rPr>
              <w:t>-1,0</w:t>
            </w:r>
          </w:p>
        </w:tc>
        <w:tc>
          <w:tcPr>
            <w:tcW w:w="1504" w:type="dxa"/>
            <w:gridSpan w:val="4"/>
            <w:tcBorders>
              <w:top w:val="nil"/>
              <w:left w:val="nil"/>
              <w:bottom w:val="double" w:sz="6" w:space="0" w:color="auto"/>
              <w:right w:val="dotted" w:sz="4" w:space="0" w:color="auto"/>
            </w:tcBorders>
            <w:shd w:val="clear" w:color="000000" w:fill="FFFFFF"/>
            <w:vAlign w:val="center"/>
            <w:hideMark/>
          </w:tcPr>
          <w:p w14:paraId="489B492C" w14:textId="77777777" w:rsidR="00247CBF" w:rsidRPr="00092ED7" w:rsidRDefault="00247CBF" w:rsidP="00247CBF">
            <w:pPr>
              <w:spacing w:after="0"/>
              <w:jc w:val="right"/>
              <w:rPr>
                <w:sz w:val="20"/>
                <w:szCs w:val="20"/>
                <w:lang w:val="sr-Cyrl-CS"/>
              </w:rPr>
            </w:pPr>
            <w:r w:rsidRPr="00092ED7">
              <w:rPr>
                <w:sz w:val="20"/>
                <w:szCs w:val="20"/>
                <w:lang w:val="sr-Cyrl-CS"/>
              </w:rPr>
              <w:t>-1,7</w:t>
            </w:r>
          </w:p>
        </w:tc>
        <w:tc>
          <w:tcPr>
            <w:tcW w:w="1501" w:type="dxa"/>
            <w:gridSpan w:val="4"/>
            <w:tcBorders>
              <w:top w:val="nil"/>
              <w:left w:val="nil"/>
              <w:bottom w:val="double" w:sz="6" w:space="0" w:color="auto"/>
              <w:right w:val="dotted" w:sz="4" w:space="0" w:color="auto"/>
            </w:tcBorders>
            <w:shd w:val="clear" w:color="000000" w:fill="FFFFFF"/>
            <w:vAlign w:val="center"/>
            <w:hideMark/>
          </w:tcPr>
          <w:p w14:paraId="08530A02" w14:textId="77777777" w:rsidR="00247CBF" w:rsidRPr="00092ED7" w:rsidRDefault="00247CBF" w:rsidP="00247CBF">
            <w:pPr>
              <w:spacing w:after="0"/>
              <w:jc w:val="right"/>
              <w:rPr>
                <w:sz w:val="20"/>
                <w:szCs w:val="20"/>
                <w:lang w:val="sr-Cyrl-CS"/>
              </w:rPr>
            </w:pPr>
            <w:r w:rsidRPr="00092ED7">
              <w:rPr>
                <w:sz w:val="20"/>
                <w:szCs w:val="20"/>
                <w:lang w:val="sr-Cyrl-CS"/>
              </w:rPr>
              <w:t>0,1</w:t>
            </w:r>
          </w:p>
        </w:tc>
        <w:tc>
          <w:tcPr>
            <w:tcW w:w="1504" w:type="dxa"/>
            <w:gridSpan w:val="6"/>
            <w:tcBorders>
              <w:top w:val="nil"/>
              <w:left w:val="nil"/>
              <w:bottom w:val="double" w:sz="6" w:space="0" w:color="auto"/>
              <w:right w:val="dotted" w:sz="4" w:space="0" w:color="auto"/>
            </w:tcBorders>
            <w:shd w:val="clear" w:color="000000" w:fill="FFFFFF"/>
            <w:vAlign w:val="center"/>
            <w:hideMark/>
          </w:tcPr>
          <w:p w14:paraId="74B3AD37" w14:textId="77777777" w:rsidR="00247CBF" w:rsidRPr="00092ED7" w:rsidRDefault="00247CBF" w:rsidP="00247CBF">
            <w:pPr>
              <w:spacing w:after="0"/>
              <w:jc w:val="right"/>
              <w:rPr>
                <w:sz w:val="20"/>
                <w:szCs w:val="20"/>
                <w:lang w:val="sr-Cyrl-CS"/>
              </w:rPr>
            </w:pPr>
            <w:r w:rsidRPr="00092ED7">
              <w:rPr>
                <w:sz w:val="20"/>
                <w:szCs w:val="20"/>
                <w:lang w:val="sr-Cyrl-CS"/>
              </w:rPr>
              <w:t>0,5</w:t>
            </w:r>
          </w:p>
        </w:tc>
        <w:tc>
          <w:tcPr>
            <w:tcW w:w="1504" w:type="dxa"/>
            <w:gridSpan w:val="4"/>
            <w:tcBorders>
              <w:top w:val="nil"/>
              <w:left w:val="nil"/>
              <w:bottom w:val="double" w:sz="6" w:space="0" w:color="auto"/>
              <w:right w:val="double" w:sz="6" w:space="0" w:color="auto"/>
            </w:tcBorders>
            <w:shd w:val="clear" w:color="000000" w:fill="FFFFFF"/>
            <w:vAlign w:val="center"/>
            <w:hideMark/>
          </w:tcPr>
          <w:p w14:paraId="2C09038E" w14:textId="77777777" w:rsidR="00247CBF" w:rsidRPr="00092ED7" w:rsidRDefault="00247CBF" w:rsidP="00247CBF">
            <w:pPr>
              <w:spacing w:after="0"/>
              <w:jc w:val="right"/>
              <w:rPr>
                <w:sz w:val="20"/>
                <w:szCs w:val="20"/>
                <w:lang w:val="sr-Cyrl-CS"/>
              </w:rPr>
            </w:pPr>
            <w:r w:rsidRPr="00092ED7">
              <w:rPr>
                <w:sz w:val="20"/>
                <w:szCs w:val="20"/>
                <w:lang w:val="sr-Cyrl-CS"/>
              </w:rPr>
              <w:t>0,3</w:t>
            </w:r>
          </w:p>
        </w:tc>
      </w:tr>
    </w:tbl>
    <w:p w14:paraId="7A18F44A" w14:textId="77777777" w:rsidR="00247CBF" w:rsidRPr="00092ED7" w:rsidRDefault="00247CBF" w:rsidP="00247CBF">
      <w:pPr>
        <w:rPr>
          <w:rFonts w:cs="Times New Roman"/>
          <w:lang w:val="sr-Cyrl-CS"/>
        </w:rPr>
      </w:pPr>
      <w:r w:rsidRPr="00092ED7">
        <w:rPr>
          <w:rFonts w:cs="Times New Roman"/>
          <w:lang w:val="sr-Cyrl-CS"/>
        </w:rPr>
        <w:br w:type="page"/>
      </w:r>
    </w:p>
    <w:tbl>
      <w:tblPr>
        <w:tblW w:w="5011" w:type="pct"/>
        <w:tblLook w:val="04A0" w:firstRow="1" w:lastRow="0" w:firstColumn="1" w:lastColumn="0" w:noHBand="0" w:noVBand="1"/>
      </w:tblPr>
      <w:tblGrid>
        <w:gridCol w:w="24"/>
        <w:gridCol w:w="5058"/>
        <w:gridCol w:w="23"/>
        <w:gridCol w:w="1419"/>
        <w:gridCol w:w="1378"/>
        <w:gridCol w:w="237"/>
        <w:gridCol w:w="1142"/>
        <w:gridCol w:w="473"/>
        <w:gridCol w:w="905"/>
        <w:gridCol w:w="710"/>
        <w:gridCol w:w="669"/>
        <w:gridCol w:w="946"/>
        <w:gridCol w:w="1592"/>
        <w:gridCol w:w="26"/>
      </w:tblGrid>
      <w:tr w:rsidR="00247CBF" w:rsidRPr="00092ED7" w14:paraId="6DF72F69" w14:textId="77777777" w:rsidTr="00247CBF">
        <w:trPr>
          <w:gridAfter w:val="1"/>
          <w:wAfter w:w="9" w:type="pct"/>
          <w:trHeight w:val="319"/>
        </w:trPr>
        <w:tc>
          <w:tcPr>
            <w:tcW w:w="1740" w:type="pct"/>
            <w:gridSpan w:val="2"/>
            <w:tcBorders>
              <w:top w:val="nil"/>
              <w:left w:val="nil"/>
              <w:bottom w:val="nil"/>
              <w:right w:val="nil"/>
            </w:tcBorders>
            <w:shd w:val="clear" w:color="000000" w:fill="FFFFFF"/>
            <w:noWrap/>
            <w:vAlign w:val="center"/>
            <w:hideMark/>
          </w:tcPr>
          <w:p w14:paraId="2A60BC49" w14:textId="77777777" w:rsidR="00247CBF" w:rsidRPr="00092ED7" w:rsidRDefault="00247CBF" w:rsidP="00247CBF">
            <w:pPr>
              <w:spacing w:after="0"/>
              <w:rPr>
                <w:rFonts w:eastAsia="Times New Roman" w:cs="Times New Roman"/>
                <w:b/>
                <w:bCs/>
                <w:sz w:val="20"/>
                <w:szCs w:val="20"/>
                <w:lang w:val="sr-Cyrl-CS"/>
              </w:rPr>
            </w:pPr>
            <w:r w:rsidRPr="00092ED7">
              <w:rPr>
                <w:rFonts w:eastAsia="Times New Roman" w:cs="Times New Roman"/>
                <w:b/>
                <w:bCs/>
                <w:sz w:val="20"/>
                <w:szCs w:val="20"/>
                <w:lang w:val="sr-Cyrl-CS"/>
              </w:rPr>
              <w:lastRenderedPageBreak/>
              <w:t>Табела 1b: Кретање цена</w:t>
            </w:r>
          </w:p>
        </w:tc>
        <w:tc>
          <w:tcPr>
            <w:tcW w:w="494" w:type="pct"/>
            <w:gridSpan w:val="2"/>
            <w:tcBorders>
              <w:top w:val="nil"/>
              <w:left w:val="nil"/>
              <w:bottom w:val="nil"/>
              <w:right w:val="nil"/>
            </w:tcBorders>
            <w:shd w:val="clear" w:color="000000" w:fill="FFFFFF"/>
            <w:noWrap/>
            <w:vAlign w:val="center"/>
            <w:hideMark/>
          </w:tcPr>
          <w:p w14:paraId="5C240AAB" w14:textId="77777777" w:rsidR="00247CBF" w:rsidRPr="00092ED7" w:rsidRDefault="00247CBF" w:rsidP="00247CBF">
            <w:pPr>
              <w:spacing w:after="0"/>
              <w:rPr>
                <w:rFonts w:eastAsia="Times New Roman" w:cs="Times New Roman"/>
                <w:b/>
                <w:bCs/>
                <w:sz w:val="20"/>
                <w:szCs w:val="20"/>
                <w:lang w:val="sr-Cyrl-CS"/>
              </w:rPr>
            </w:pPr>
            <w:r w:rsidRPr="00092ED7">
              <w:rPr>
                <w:rFonts w:eastAsia="Times New Roman" w:cs="Times New Roman"/>
                <w:b/>
                <w:bCs/>
                <w:sz w:val="20"/>
                <w:szCs w:val="20"/>
                <w:lang w:val="sr-Cyrl-CS"/>
              </w:rPr>
              <w:t> </w:t>
            </w:r>
          </w:p>
        </w:tc>
        <w:tc>
          <w:tcPr>
            <w:tcW w:w="472" w:type="pct"/>
            <w:tcBorders>
              <w:top w:val="nil"/>
              <w:left w:val="nil"/>
              <w:bottom w:val="double" w:sz="6" w:space="0" w:color="auto"/>
              <w:right w:val="nil"/>
            </w:tcBorders>
            <w:shd w:val="clear" w:color="000000" w:fill="FFFFFF"/>
            <w:noWrap/>
            <w:vAlign w:val="center"/>
            <w:hideMark/>
          </w:tcPr>
          <w:p w14:paraId="6DBA2D44"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472" w:type="pct"/>
            <w:gridSpan w:val="2"/>
            <w:tcBorders>
              <w:top w:val="nil"/>
              <w:left w:val="nil"/>
              <w:bottom w:val="double" w:sz="6" w:space="0" w:color="auto"/>
              <w:right w:val="nil"/>
            </w:tcBorders>
            <w:shd w:val="clear" w:color="000000" w:fill="FFFFFF"/>
            <w:noWrap/>
            <w:vAlign w:val="center"/>
            <w:hideMark/>
          </w:tcPr>
          <w:p w14:paraId="1A67802B"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472" w:type="pct"/>
            <w:gridSpan w:val="2"/>
            <w:tcBorders>
              <w:top w:val="nil"/>
              <w:left w:val="nil"/>
              <w:bottom w:val="double" w:sz="6" w:space="0" w:color="auto"/>
              <w:right w:val="nil"/>
            </w:tcBorders>
            <w:shd w:val="clear" w:color="000000" w:fill="FFFFFF"/>
            <w:noWrap/>
            <w:vAlign w:val="center"/>
            <w:hideMark/>
          </w:tcPr>
          <w:p w14:paraId="0FACABD8"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472" w:type="pct"/>
            <w:gridSpan w:val="2"/>
            <w:tcBorders>
              <w:top w:val="nil"/>
              <w:left w:val="nil"/>
              <w:bottom w:val="double" w:sz="6" w:space="0" w:color="auto"/>
              <w:right w:val="nil"/>
            </w:tcBorders>
            <w:shd w:val="clear" w:color="000000" w:fill="FFFFFF"/>
            <w:noWrap/>
            <w:vAlign w:val="center"/>
            <w:hideMark/>
          </w:tcPr>
          <w:p w14:paraId="6E49361D"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869" w:type="pct"/>
            <w:gridSpan w:val="2"/>
            <w:tcBorders>
              <w:top w:val="nil"/>
              <w:left w:val="nil"/>
              <w:bottom w:val="double" w:sz="6" w:space="0" w:color="auto"/>
              <w:right w:val="nil"/>
            </w:tcBorders>
            <w:shd w:val="clear" w:color="000000" w:fill="FFFFFF"/>
            <w:noWrap/>
            <w:vAlign w:val="center"/>
            <w:hideMark/>
          </w:tcPr>
          <w:p w14:paraId="09ADDCAB" w14:textId="77777777" w:rsidR="00247CBF" w:rsidRPr="00092ED7" w:rsidRDefault="00247CBF" w:rsidP="00247CBF">
            <w:pPr>
              <w:spacing w:after="0"/>
              <w:jc w:val="right"/>
              <w:rPr>
                <w:rFonts w:eastAsia="Times New Roman" w:cs="Times New Roman"/>
                <w:sz w:val="20"/>
                <w:szCs w:val="20"/>
                <w:lang w:val="sr-Cyrl-CS"/>
              </w:rPr>
            </w:pPr>
            <w:r w:rsidRPr="00092ED7">
              <w:rPr>
                <w:rFonts w:eastAsia="Times New Roman" w:cs="Times New Roman"/>
                <w:b/>
                <w:bCs/>
                <w:sz w:val="20"/>
                <w:szCs w:val="20"/>
                <w:lang w:val="sr-Cyrl-CS"/>
              </w:rPr>
              <w:t>Република Србија</w:t>
            </w:r>
          </w:p>
        </w:tc>
      </w:tr>
      <w:tr w:rsidR="00247CBF" w:rsidRPr="00092ED7" w14:paraId="4277C7E7" w14:textId="77777777" w:rsidTr="00247CBF">
        <w:trPr>
          <w:gridBefore w:val="1"/>
          <w:wBefore w:w="8" w:type="pct"/>
          <w:trHeight w:val="199"/>
        </w:trPr>
        <w:tc>
          <w:tcPr>
            <w:tcW w:w="1740" w:type="pct"/>
            <w:gridSpan w:val="2"/>
            <w:vMerge w:val="restart"/>
            <w:tcBorders>
              <w:top w:val="double" w:sz="6" w:space="0" w:color="auto"/>
              <w:left w:val="double" w:sz="6" w:space="0" w:color="auto"/>
              <w:bottom w:val="single" w:sz="8" w:space="0" w:color="000000"/>
              <w:right w:val="dotted" w:sz="4" w:space="0" w:color="auto"/>
            </w:tcBorders>
            <w:shd w:val="clear" w:color="000000" w:fill="FFFFFF"/>
            <w:vAlign w:val="center"/>
            <w:hideMark/>
          </w:tcPr>
          <w:p w14:paraId="3EE2BE30"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Процентуалне промене, годишњи просек</w:t>
            </w:r>
          </w:p>
        </w:tc>
        <w:tc>
          <w:tcPr>
            <w:tcW w:w="486" w:type="pct"/>
            <w:vMerge w:val="restart"/>
            <w:tcBorders>
              <w:top w:val="double" w:sz="6" w:space="0" w:color="auto"/>
              <w:left w:val="dotted" w:sz="4" w:space="0" w:color="auto"/>
              <w:bottom w:val="single" w:sz="8" w:space="0" w:color="000000"/>
              <w:right w:val="single" w:sz="8" w:space="0" w:color="auto"/>
            </w:tcBorders>
            <w:shd w:val="clear" w:color="000000" w:fill="FFFFFF"/>
            <w:vAlign w:val="center"/>
            <w:hideMark/>
          </w:tcPr>
          <w:p w14:paraId="1BA718C6"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ESA шифра</w:t>
            </w:r>
          </w:p>
        </w:tc>
        <w:tc>
          <w:tcPr>
            <w:tcW w:w="553" w:type="pct"/>
            <w:gridSpan w:val="2"/>
            <w:tcBorders>
              <w:top w:val="double" w:sz="6" w:space="0" w:color="auto"/>
              <w:left w:val="nil"/>
              <w:bottom w:val="nil"/>
              <w:right w:val="dotted" w:sz="4" w:space="0" w:color="auto"/>
            </w:tcBorders>
            <w:shd w:val="clear" w:color="000000" w:fill="FFFFFF"/>
            <w:vAlign w:val="center"/>
            <w:hideMark/>
          </w:tcPr>
          <w:p w14:paraId="746E1588" w14:textId="77777777" w:rsidR="00247CBF" w:rsidRPr="00092ED7" w:rsidRDefault="00247CBF" w:rsidP="00247CBF">
            <w:pPr>
              <w:spacing w:after="0"/>
              <w:jc w:val="center"/>
              <w:rPr>
                <w:sz w:val="20"/>
                <w:szCs w:val="20"/>
                <w:lang w:val="sr-Cyrl-CS"/>
              </w:rPr>
            </w:pPr>
            <w:r w:rsidRPr="00092ED7">
              <w:rPr>
                <w:sz w:val="20"/>
                <w:szCs w:val="20"/>
                <w:lang w:val="sr-Cyrl-CS"/>
              </w:rPr>
              <w:t>Година</w:t>
            </w:r>
          </w:p>
        </w:tc>
        <w:tc>
          <w:tcPr>
            <w:tcW w:w="553" w:type="pct"/>
            <w:gridSpan w:val="2"/>
            <w:tcBorders>
              <w:top w:val="double" w:sz="6" w:space="0" w:color="auto"/>
              <w:left w:val="nil"/>
              <w:bottom w:val="nil"/>
              <w:right w:val="dotted" w:sz="4" w:space="0" w:color="auto"/>
            </w:tcBorders>
            <w:shd w:val="clear" w:color="000000" w:fill="FFFFFF"/>
            <w:vAlign w:val="center"/>
            <w:hideMark/>
          </w:tcPr>
          <w:p w14:paraId="3E3CE5B0" w14:textId="77777777" w:rsidR="00247CBF" w:rsidRPr="00092ED7" w:rsidRDefault="00247CBF" w:rsidP="00247CBF">
            <w:pPr>
              <w:spacing w:after="0"/>
              <w:jc w:val="center"/>
              <w:rPr>
                <w:sz w:val="20"/>
                <w:szCs w:val="20"/>
                <w:lang w:val="sr-Cyrl-CS"/>
              </w:rPr>
            </w:pPr>
            <w:r w:rsidRPr="00092ED7">
              <w:rPr>
                <w:sz w:val="20"/>
                <w:szCs w:val="20"/>
                <w:lang w:val="sr-Cyrl-CS"/>
              </w:rPr>
              <w:t>Година</w:t>
            </w:r>
          </w:p>
        </w:tc>
        <w:tc>
          <w:tcPr>
            <w:tcW w:w="553" w:type="pct"/>
            <w:gridSpan w:val="2"/>
            <w:tcBorders>
              <w:top w:val="double" w:sz="6" w:space="0" w:color="auto"/>
              <w:left w:val="nil"/>
              <w:bottom w:val="nil"/>
              <w:right w:val="dotted" w:sz="4" w:space="0" w:color="auto"/>
            </w:tcBorders>
            <w:shd w:val="clear" w:color="000000" w:fill="FFFFFF"/>
            <w:vAlign w:val="center"/>
            <w:hideMark/>
          </w:tcPr>
          <w:p w14:paraId="41445E57" w14:textId="77777777" w:rsidR="00247CBF" w:rsidRPr="00092ED7" w:rsidRDefault="00247CBF" w:rsidP="00247CBF">
            <w:pPr>
              <w:spacing w:after="0"/>
              <w:jc w:val="center"/>
              <w:rPr>
                <w:sz w:val="20"/>
                <w:szCs w:val="20"/>
                <w:lang w:val="sr-Cyrl-CS"/>
              </w:rPr>
            </w:pPr>
            <w:r w:rsidRPr="00092ED7">
              <w:rPr>
                <w:sz w:val="20"/>
                <w:szCs w:val="20"/>
                <w:lang w:val="sr-Cyrl-CS"/>
              </w:rPr>
              <w:t>Година</w:t>
            </w:r>
          </w:p>
        </w:tc>
        <w:tc>
          <w:tcPr>
            <w:tcW w:w="553" w:type="pct"/>
            <w:gridSpan w:val="2"/>
            <w:tcBorders>
              <w:top w:val="double" w:sz="6" w:space="0" w:color="auto"/>
              <w:left w:val="nil"/>
              <w:bottom w:val="nil"/>
              <w:right w:val="dotted" w:sz="4" w:space="0" w:color="auto"/>
            </w:tcBorders>
            <w:shd w:val="clear" w:color="000000" w:fill="FFFFFF"/>
            <w:vAlign w:val="center"/>
            <w:hideMark/>
          </w:tcPr>
          <w:p w14:paraId="76E3FB6E" w14:textId="77777777" w:rsidR="00247CBF" w:rsidRPr="00092ED7" w:rsidRDefault="00247CBF" w:rsidP="00247CBF">
            <w:pPr>
              <w:spacing w:after="0"/>
              <w:jc w:val="center"/>
              <w:rPr>
                <w:sz w:val="20"/>
                <w:szCs w:val="20"/>
                <w:lang w:val="sr-Cyrl-CS"/>
              </w:rPr>
            </w:pPr>
            <w:r w:rsidRPr="00092ED7">
              <w:rPr>
                <w:sz w:val="20"/>
                <w:szCs w:val="20"/>
                <w:lang w:val="sr-Cyrl-CS"/>
              </w:rPr>
              <w:t>Година</w:t>
            </w:r>
          </w:p>
        </w:tc>
        <w:tc>
          <w:tcPr>
            <w:tcW w:w="554" w:type="pct"/>
            <w:gridSpan w:val="2"/>
            <w:tcBorders>
              <w:top w:val="double" w:sz="6" w:space="0" w:color="auto"/>
              <w:left w:val="nil"/>
              <w:bottom w:val="nil"/>
              <w:right w:val="double" w:sz="6" w:space="0" w:color="auto"/>
            </w:tcBorders>
            <w:shd w:val="clear" w:color="000000" w:fill="FFFFFF"/>
            <w:vAlign w:val="center"/>
            <w:hideMark/>
          </w:tcPr>
          <w:p w14:paraId="2331A446" w14:textId="77777777" w:rsidR="00247CBF" w:rsidRPr="00092ED7" w:rsidRDefault="00247CBF" w:rsidP="00247CBF">
            <w:pPr>
              <w:spacing w:after="0"/>
              <w:jc w:val="center"/>
              <w:rPr>
                <w:sz w:val="20"/>
                <w:szCs w:val="20"/>
                <w:lang w:val="sr-Cyrl-CS"/>
              </w:rPr>
            </w:pPr>
            <w:r w:rsidRPr="00092ED7">
              <w:rPr>
                <w:sz w:val="20"/>
                <w:szCs w:val="20"/>
                <w:lang w:val="sr-Cyrl-CS"/>
              </w:rPr>
              <w:t>Година</w:t>
            </w:r>
          </w:p>
        </w:tc>
      </w:tr>
      <w:tr w:rsidR="00247CBF" w:rsidRPr="00092ED7" w14:paraId="013A1607" w14:textId="77777777" w:rsidTr="00247CBF">
        <w:trPr>
          <w:gridBefore w:val="1"/>
          <w:wBefore w:w="8" w:type="pct"/>
          <w:trHeight w:val="25"/>
        </w:trPr>
        <w:tc>
          <w:tcPr>
            <w:tcW w:w="1740" w:type="pct"/>
            <w:gridSpan w:val="2"/>
            <w:vMerge/>
            <w:tcBorders>
              <w:top w:val="double" w:sz="6" w:space="0" w:color="auto"/>
              <w:left w:val="double" w:sz="6" w:space="0" w:color="auto"/>
              <w:bottom w:val="single" w:sz="8" w:space="0" w:color="000000"/>
              <w:right w:val="dotted" w:sz="4" w:space="0" w:color="auto"/>
            </w:tcBorders>
            <w:vAlign w:val="center"/>
            <w:hideMark/>
          </w:tcPr>
          <w:p w14:paraId="083CC4C9" w14:textId="77777777" w:rsidR="00247CBF" w:rsidRPr="00092ED7" w:rsidRDefault="00247CBF" w:rsidP="00247CBF">
            <w:pPr>
              <w:spacing w:after="0"/>
              <w:rPr>
                <w:rFonts w:eastAsia="Times New Roman" w:cs="Times New Roman"/>
                <w:sz w:val="20"/>
                <w:szCs w:val="20"/>
                <w:lang w:val="sr-Cyrl-CS"/>
              </w:rPr>
            </w:pPr>
          </w:p>
        </w:tc>
        <w:tc>
          <w:tcPr>
            <w:tcW w:w="486" w:type="pct"/>
            <w:vMerge/>
            <w:tcBorders>
              <w:top w:val="double" w:sz="6" w:space="0" w:color="auto"/>
              <w:left w:val="dotted" w:sz="4" w:space="0" w:color="auto"/>
              <w:bottom w:val="single" w:sz="8" w:space="0" w:color="000000"/>
              <w:right w:val="single" w:sz="8" w:space="0" w:color="auto"/>
            </w:tcBorders>
            <w:vAlign w:val="center"/>
            <w:hideMark/>
          </w:tcPr>
          <w:p w14:paraId="1E55FAA9" w14:textId="77777777" w:rsidR="00247CBF" w:rsidRPr="00092ED7" w:rsidRDefault="00247CBF" w:rsidP="00247CBF">
            <w:pPr>
              <w:spacing w:after="0"/>
              <w:rPr>
                <w:rFonts w:eastAsia="Times New Roman" w:cs="Times New Roman"/>
                <w:sz w:val="20"/>
                <w:szCs w:val="20"/>
                <w:lang w:val="sr-Cyrl-CS"/>
              </w:rPr>
            </w:pPr>
          </w:p>
        </w:tc>
        <w:tc>
          <w:tcPr>
            <w:tcW w:w="553" w:type="pct"/>
            <w:gridSpan w:val="2"/>
            <w:tcBorders>
              <w:top w:val="nil"/>
              <w:left w:val="nil"/>
              <w:bottom w:val="single" w:sz="8" w:space="0" w:color="auto"/>
              <w:right w:val="dotted" w:sz="4" w:space="0" w:color="auto"/>
            </w:tcBorders>
            <w:shd w:val="clear" w:color="000000" w:fill="FFFFFF"/>
            <w:vAlign w:val="center"/>
            <w:hideMark/>
          </w:tcPr>
          <w:p w14:paraId="637DDC3D" w14:textId="77777777" w:rsidR="00247CBF" w:rsidRPr="00092ED7" w:rsidRDefault="00247CBF" w:rsidP="00247CBF">
            <w:pPr>
              <w:spacing w:after="0"/>
              <w:jc w:val="center"/>
              <w:rPr>
                <w:sz w:val="20"/>
                <w:szCs w:val="20"/>
                <w:lang w:val="sr-Cyrl-CS"/>
              </w:rPr>
            </w:pPr>
            <w:r w:rsidRPr="00092ED7">
              <w:rPr>
                <w:sz w:val="20"/>
                <w:szCs w:val="20"/>
                <w:lang w:val="sr-Cyrl-CS"/>
              </w:rPr>
              <w:t>2021</w:t>
            </w:r>
          </w:p>
        </w:tc>
        <w:tc>
          <w:tcPr>
            <w:tcW w:w="553" w:type="pct"/>
            <w:gridSpan w:val="2"/>
            <w:tcBorders>
              <w:top w:val="nil"/>
              <w:left w:val="nil"/>
              <w:bottom w:val="single" w:sz="8" w:space="0" w:color="auto"/>
              <w:right w:val="dotted" w:sz="4" w:space="0" w:color="auto"/>
            </w:tcBorders>
            <w:shd w:val="clear" w:color="000000" w:fill="FFFFFF"/>
            <w:vAlign w:val="center"/>
            <w:hideMark/>
          </w:tcPr>
          <w:p w14:paraId="6E770EDD" w14:textId="77777777" w:rsidR="00247CBF" w:rsidRPr="00092ED7" w:rsidRDefault="00247CBF" w:rsidP="00247CBF">
            <w:pPr>
              <w:spacing w:after="0"/>
              <w:jc w:val="center"/>
              <w:rPr>
                <w:sz w:val="20"/>
                <w:szCs w:val="20"/>
                <w:lang w:val="sr-Cyrl-CS"/>
              </w:rPr>
            </w:pPr>
            <w:r w:rsidRPr="00092ED7">
              <w:rPr>
                <w:sz w:val="20"/>
                <w:szCs w:val="20"/>
                <w:lang w:val="sr-Cyrl-CS"/>
              </w:rPr>
              <w:t>2022</w:t>
            </w:r>
          </w:p>
        </w:tc>
        <w:tc>
          <w:tcPr>
            <w:tcW w:w="553" w:type="pct"/>
            <w:gridSpan w:val="2"/>
            <w:tcBorders>
              <w:top w:val="nil"/>
              <w:left w:val="nil"/>
              <w:bottom w:val="single" w:sz="8" w:space="0" w:color="auto"/>
              <w:right w:val="dotted" w:sz="4" w:space="0" w:color="auto"/>
            </w:tcBorders>
            <w:shd w:val="clear" w:color="000000" w:fill="FFFFFF"/>
            <w:vAlign w:val="center"/>
            <w:hideMark/>
          </w:tcPr>
          <w:p w14:paraId="6882140B" w14:textId="77777777" w:rsidR="00247CBF" w:rsidRPr="00092ED7" w:rsidRDefault="00247CBF" w:rsidP="00247CBF">
            <w:pPr>
              <w:spacing w:after="0"/>
              <w:jc w:val="center"/>
              <w:rPr>
                <w:sz w:val="20"/>
                <w:szCs w:val="20"/>
                <w:lang w:val="sr-Cyrl-CS"/>
              </w:rPr>
            </w:pPr>
            <w:r w:rsidRPr="00092ED7">
              <w:rPr>
                <w:sz w:val="20"/>
                <w:szCs w:val="20"/>
                <w:lang w:val="sr-Cyrl-CS"/>
              </w:rPr>
              <w:t>2023</w:t>
            </w:r>
          </w:p>
        </w:tc>
        <w:tc>
          <w:tcPr>
            <w:tcW w:w="553" w:type="pct"/>
            <w:gridSpan w:val="2"/>
            <w:tcBorders>
              <w:top w:val="nil"/>
              <w:left w:val="nil"/>
              <w:bottom w:val="single" w:sz="8" w:space="0" w:color="auto"/>
              <w:right w:val="dotted" w:sz="4" w:space="0" w:color="auto"/>
            </w:tcBorders>
            <w:shd w:val="clear" w:color="000000" w:fill="FFFFFF"/>
            <w:vAlign w:val="center"/>
            <w:hideMark/>
          </w:tcPr>
          <w:p w14:paraId="6147C93A" w14:textId="77777777" w:rsidR="00247CBF" w:rsidRPr="00092ED7" w:rsidRDefault="00247CBF" w:rsidP="00247CBF">
            <w:pPr>
              <w:spacing w:after="0"/>
              <w:jc w:val="center"/>
              <w:rPr>
                <w:sz w:val="20"/>
                <w:szCs w:val="20"/>
                <w:lang w:val="sr-Cyrl-CS"/>
              </w:rPr>
            </w:pPr>
            <w:r w:rsidRPr="00092ED7">
              <w:rPr>
                <w:sz w:val="20"/>
                <w:szCs w:val="20"/>
                <w:lang w:val="sr-Cyrl-CS"/>
              </w:rPr>
              <w:t>2024</w:t>
            </w:r>
          </w:p>
        </w:tc>
        <w:tc>
          <w:tcPr>
            <w:tcW w:w="554" w:type="pct"/>
            <w:gridSpan w:val="2"/>
            <w:tcBorders>
              <w:top w:val="nil"/>
              <w:left w:val="nil"/>
              <w:bottom w:val="single" w:sz="8" w:space="0" w:color="auto"/>
              <w:right w:val="double" w:sz="6" w:space="0" w:color="auto"/>
            </w:tcBorders>
            <w:shd w:val="clear" w:color="000000" w:fill="FFFFFF"/>
            <w:vAlign w:val="center"/>
            <w:hideMark/>
          </w:tcPr>
          <w:p w14:paraId="19FFB11B" w14:textId="77777777" w:rsidR="00247CBF" w:rsidRPr="00092ED7" w:rsidRDefault="00247CBF" w:rsidP="00247CBF">
            <w:pPr>
              <w:spacing w:after="0"/>
              <w:jc w:val="center"/>
              <w:rPr>
                <w:sz w:val="20"/>
                <w:szCs w:val="20"/>
                <w:lang w:val="sr-Cyrl-CS"/>
              </w:rPr>
            </w:pPr>
            <w:r w:rsidRPr="00092ED7">
              <w:rPr>
                <w:sz w:val="20"/>
                <w:szCs w:val="20"/>
                <w:lang w:val="sr-Cyrl-CS"/>
              </w:rPr>
              <w:t>2025</w:t>
            </w:r>
          </w:p>
        </w:tc>
      </w:tr>
      <w:tr w:rsidR="00247CBF" w:rsidRPr="00092ED7" w14:paraId="0F787A82" w14:textId="77777777" w:rsidTr="00247CBF">
        <w:trPr>
          <w:gridBefore w:val="1"/>
          <w:wBefore w:w="8" w:type="pct"/>
          <w:trHeight w:val="304"/>
        </w:trPr>
        <w:tc>
          <w:tcPr>
            <w:tcW w:w="1740" w:type="pct"/>
            <w:gridSpan w:val="2"/>
            <w:tcBorders>
              <w:top w:val="nil"/>
              <w:left w:val="double" w:sz="6" w:space="0" w:color="auto"/>
              <w:bottom w:val="dotted" w:sz="4" w:space="0" w:color="auto"/>
              <w:right w:val="dotted" w:sz="4" w:space="0" w:color="auto"/>
            </w:tcBorders>
            <w:shd w:val="clear" w:color="000000" w:fill="FFFFFF"/>
            <w:vAlign w:val="center"/>
            <w:hideMark/>
          </w:tcPr>
          <w:p w14:paraId="2C6BCD61"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1. Дефлатор БДП-а</w:t>
            </w:r>
          </w:p>
        </w:tc>
        <w:tc>
          <w:tcPr>
            <w:tcW w:w="486" w:type="pct"/>
            <w:tcBorders>
              <w:top w:val="nil"/>
              <w:left w:val="nil"/>
              <w:bottom w:val="dotted" w:sz="4" w:space="0" w:color="auto"/>
              <w:right w:val="single" w:sz="8" w:space="0" w:color="auto"/>
            </w:tcBorders>
            <w:shd w:val="clear" w:color="000000" w:fill="FFFFFF"/>
            <w:vAlign w:val="center"/>
            <w:hideMark/>
          </w:tcPr>
          <w:p w14:paraId="3EB2DCFA"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553" w:type="pct"/>
            <w:gridSpan w:val="2"/>
            <w:tcBorders>
              <w:top w:val="nil"/>
              <w:left w:val="nil"/>
              <w:bottom w:val="dotted" w:sz="4" w:space="0" w:color="auto"/>
              <w:right w:val="dotted" w:sz="4" w:space="0" w:color="auto"/>
            </w:tcBorders>
            <w:shd w:val="clear" w:color="000000" w:fill="FFFFFF"/>
            <w:vAlign w:val="center"/>
            <w:hideMark/>
          </w:tcPr>
          <w:p w14:paraId="6ED446E2" w14:textId="77777777" w:rsidR="00247CBF" w:rsidRPr="00092ED7" w:rsidRDefault="00247CBF" w:rsidP="00247CBF">
            <w:pPr>
              <w:spacing w:after="0"/>
              <w:jc w:val="center"/>
              <w:rPr>
                <w:sz w:val="20"/>
                <w:szCs w:val="20"/>
                <w:lang w:val="sr-Cyrl-CS"/>
              </w:rPr>
            </w:pPr>
            <w:r w:rsidRPr="00092ED7">
              <w:rPr>
                <w:sz w:val="20"/>
                <w:szCs w:val="20"/>
                <w:lang w:val="sr-Cyrl-CS"/>
              </w:rPr>
              <w:t>5,9</w:t>
            </w:r>
          </w:p>
        </w:tc>
        <w:tc>
          <w:tcPr>
            <w:tcW w:w="553" w:type="pct"/>
            <w:gridSpan w:val="2"/>
            <w:tcBorders>
              <w:top w:val="nil"/>
              <w:left w:val="nil"/>
              <w:bottom w:val="dotted" w:sz="4" w:space="0" w:color="auto"/>
              <w:right w:val="dotted" w:sz="4" w:space="0" w:color="auto"/>
            </w:tcBorders>
            <w:shd w:val="clear" w:color="000000" w:fill="FFFFFF"/>
            <w:vAlign w:val="center"/>
            <w:hideMark/>
          </w:tcPr>
          <w:p w14:paraId="60B04F60" w14:textId="77777777" w:rsidR="00247CBF" w:rsidRPr="00092ED7" w:rsidRDefault="00247CBF" w:rsidP="00247CBF">
            <w:pPr>
              <w:spacing w:after="0"/>
              <w:jc w:val="center"/>
              <w:rPr>
                <w:sz w:val="20"/>
                <w:szCs w:val="20"/>
                <w:lang w:val="sr-Cyrl-CS"/>
              </w:rPr>
            </w:pPr>
            <w:r w:rsidRPr="00092ED7">
              <w:rPr>
                <w:sz w:val="20"/>
                <w:szCs w:val="20"/>
                <w:lang w:val="sr-Cyrl-CS"/>
              </w:rPr>
              <w:t>10,2</w:t>
            </w:r>
          </w:p>
        </w:tc>
        <w:tc>
          <w:tcPr>
            <w:tcW w:w="553" w:type="pct"/>
            <w:gridSpan w:val="2"/>
            <w:tcBorders>
              <w:top w:val="nil"/>
              <w:left w:val="nil"/>
              <w:bottom w:val="dotted" w:sz="4" w:space="0" w:color="auto"/>
              <w:right w:val="dotted" w:sz="4" w:space="0" w:color="auto"/>
            </w:tcBorders>
            <w:shd w:val="clear" w:color="000000" w:fill="FFFFFF"/>
            <w:vAlign w:val="center"/>
            <w:hideMark/>
          </w:tcPr>
          <w:p w14:paraId="66E1F8B4" w14:textId="77777777" w:rsidR="00247CBF" w:rsidRPr="00092ED7" w:rsidRDefault="00247CBF" w:rsidP="00247CBF">
            <w:pPr>
              <w:spacing w:after="0"/>
              <w:jc w:val="center"/>
              <w:rPr>
                <w:sz w:val="20"/>
                <w:szCs w:val="20"/>
                <w:lang w:val="sr-Cyrl-CS"/>
              </w:rPr>
            </w:pPr>
            <w:r w:rsidRPr="00092ED7">
              <w:rPr>
                <w:sz w:val="20"/>
                <w:szCs w:val="20"/>
                <w:lang w:val="sr-Cyrl-CS"/>
              </w:rPr>
              <w:t>10,6</w:t>
            </w:r>
          </w:p>
        </w:tc>
        <w:tc>
          <w:tcPr>
            <w:tcW w:w="553" w:type="pct"/>
            <w:gridSpan w:val="2"/>
            <w:tcBorders>
              <w:top w:val="nil"/>
              <w:left w:val="nil"/>
              <w:bottom w:val="dotted" w:sz="4" w:space="0" w:color="auto"/>
              <w:right w:val="dotted" w:sz="4" w:space="0" w:color="auto"/>
            </w:tcBorders>
            <w:shd w:val="clear" w:color="000000" w:fill="FFFFFF"/>
            <w:vAlign w:val="center"/>
            <w:hideMark/>
          </w:tcPr>
          <w:p w14:paraId="060F01A3" w14:textId="77777777" w:rsidR="00247CBF" w:rsidRPr="00092ED7" w:rsidRDefault="00247CBF" w:rsidP="00247CBF">
            <w:pPr>
              <w:spacing w:after="0"/>
              <w:jc w:val="center"/>
              <w:rPr>
                <w:sz w:val="20"/>
                <w:szCs w:val="20"/>
                <w:lang w:val="sr-Cyrl-CS"/>
              </w:rPr>
            </w:pPr>
            <w:r w:rsidRPr="00092ED7">
              <w:rPr>
                <w:sz w:val="20"/>
                <w:szCs w:val="20"/>
                <w:lang w:val="sr-Cyrl-CS"/>
              </w:rPr>
              <w:t>5,6</w:t>
            </w:r>
          </w:p>
        </w:tc>
        <w:tc>
          <w:tcPr>
            <w:tcW w:w="554" w:type="pct"/>
            <w:gridSpan w:val="2"/>
            <w:tcBorders>
              <w:top w:val="nil"/>
              <w:left w:val="nil"/>
              <w:bottom w:val="dotted" w:sz="4" w:space="0" w:color="auto"/>
              <w:right w:val="double" w:sz="6" w:space="0" w:color="auto"/>
            </w:tcBorders>
            <w:shd w:val="clear" w:color="000000" w:fill="FFFFFF"/>
            <w:vAlign w:val="center"/>
            <w:hideMark/>
          </w:tcPr>
          <w:p w14:paraId="08BE8171" w14:textId="77777777" w:rsidR="00247CBF" w:rsidRPr="00092ED7" w:rsidRDefault="00247CBF" w:rsidP="00247CBF">
            <w:pPr>
              <w:spacing w:after="0"/>
              <w:jc w:val="center"/>
              <w:rPr>
                <w:sz w:val="20"/>
                <w:szCs w:val="20"/>
                <w:lang w:val="sr-Cyrl-CS"/>
              </w:rPr>
            </w:pPr>
            <w:r w:rsidRPr="00092ED7">
              <w:rPr>
                <w:sz w:val="20"/>
                <w:szCs w:val="20"/>
                <w:lang w:val="sr-Cyrl-CS"/>
              </w:rPr>
              <w:t>4,3</w:t>
            </w:r>
          </w:p>
        </w:tc>
      </w:tr>
      <w:tr w:rsidR="00247CBF" w:rsidRPr="00092ED7" w14:paraId="230BBBE0" w14:textId="77777777" w:rsidTr="00247CBF">
        <w:trPr>
          <w:gridBefore w:val="1"/>
          <w:wBefore w:w="8" w:type="pct"/>
          <w:trHeight w:val="304"/>
        </w:trPr>
        <w:tc>
          <w:tcPr>
            <w:tcW w:w="1740" w:type="pct"/>
            <w:gridSpan w:val="2"/>
            <w:tcBorders>
              <w:top w:val="nil"/>
              <w:left w:val="double" w:sz="6" w:space="0" w:color="auto"/>
              <w:bottom w:val="dotted" w:sz="4" w:space="0" w:color="auto"/>
              <w:right w:val="dotted" w:sz="4" w:space="0" w:color="auto"/>
            </w:tcBorders>
            <w:shd w:val="clear" w:color="000000" w:fill="FFFFFF"/>
            <w:vAlign w:val="center"/>
            <w:hideMark/>
          </w:tcPr>
          <w:p w14:paraId="1C009862"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2. Дефлатор приватне потрошње</w:t>
            </w:r>
          </w:p>
        </w:tc>
        <w:tc>
          <w:tcPr>
            <w:tcW w:w="486" w:type="pct"/>
            <w:tcBorders>
              <w:top w:val="nil"/>
              <w:left w:val="nil"/>
              <w:bottom w:val="dotted" w:sz="4" w:space="0" w:color="auto"/>
              <w:right w:val="single" w:sz="8" w:space="0" w:color="auto"/>
            </w:tcBorders>
            <w:shd w:val="clear" w:color="000000" w:fill="FFFFFF"/>
            <w:vAlign w:val="center"/>
            <w:hideMark/>
          </w:tcPr>
          <w:p w14:paraId="5DE2A232"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553" w:type="pct"/>
            <w:gridSpan w:val="2"/>
            <w:tcBorders>
              <w:top w:val="nil"/>
              <w:left w:val="nil"/>
              <w:bottom w:val="dotted" w:sz="4" w:space="0" w:color="auto"/>
              <w:right w:val="dotted" w:sz="4" w:space="0" w:color="auto"/>
            </w:tcBorders>
            <w:shd w:val="clear" w:color="000000" w:fill="FFFFFF"/>
            <w:vAlign w:val="center"/>
            <w:hideMark/>
          </w:tcPr>
          <w:p w14:paraId="5A7533A6" w14:textId="77777777" w:rsidR="00247CBF" w:rsidRPr="00092ED7" w:rsidRDefault="00247CBF" w:rsidP="00247CBF">
            <w:pPr>
              <w:spacing w:after="0"/>
              <w:jc w:val="center"/>
              <w:rPr>
                <w:sz w:val="20"/>
                <w:szCs w:val="20"/>
                <w:lang w:val="sr-Cyrl-CS"/>
              </w:rPr>
            </w:pPr>
            <w:r w:rsidRPr="00092ED7">
              <w:rPr>
                <w:sz w:val="20"/>
                <w:szCs w:val="20"/>
                <w:lang w:val="sr-Cyrl-CS"/>
              </w:rPr>
              <w:t>4,6</w:t>
            </w:r>
          </w:p>
        </w:tc>
        <w:tc>
          <w:tcPr>
            <w:tcW w:w="553" w:type="pct"/>
            <w:gridSpan w:val="2"/>
            <w:tcBorders>
              <w:top w:val="nil"/>
              <w:left w:val="nil"/>
              <w:bottom w:val="dotted" w:sz="4" w:space="0" w:color="auto"/>
              <w:right w:val="dotted" w:sz="4" w:space="0" w:color="auto"/>
            </w:tcBorders>
            <w:shd w:val="clear" w:color="000000" w:fill="FFFFFF"/>
            <w:vAlign w:val="center"/>
            <w:hideMark/>
          </w:tcPr>
          <w:p w14:paraId="5D4B5F30" w14:textId="77777777" w:rsidR="00247CBF" w:rsidRPr="00092ED7" w:rsidRDefault="00247CBF" w:rsidP="00247CBF">
            <w:pPr>
              <w:spacing w:after="0"/>
              <w:jc w:val="center"/>
              <w:rPr>
                <w:sz w:val="20"/>
                <w:szCs w:val="20"/>
                <w:lang w:val="sr-Cyrl-CS"/>
              </w:rPr>
            </w:pPr>
            <w:r w:rsidRPr="00092ED7">
              <w:rPr>
                <w:sz w:val="20"/>
                <w:szCs w:val="20"/>
                <w:lang w:val="sr-Cyrl-CS"/>
              </w:rPr>
              <w:t>11,6</w:t>
            </w:r>
          </w:p>
        </w:tc>
        <w:tc>
          <w:tcPr>
            <w:tcW w:w="553" w:type="pct"/>
            <w:gridSpan w:val="2"/>
            <w:tcBorders>
              <w:top w:val="nil"/>
              <w:left w:val="nil"/>
              <w:bottom w:val="dotted" w:sz="4" w:space="0" w:color="auto"/>
              <w:right w:val="dotted" w:sz="4" w:space="0" w:color="auto"/>
            </w:tcBorders>
            <w:shd w:val="clear" w:color="000000" w:fill="FFFFFF"/>
            <w:vAlign w:val="center"/>
            <w:hideMark/>
          </w:tcPr>
          <w:p w14:paraId="2F8FA641" w14:textId="77777777" w:rsidR="00247CBF" w:rsidRPr="00092ED7" w:rsidRDefault="00247CBF" w:rsidP="00247CBF">
            <w:pPr>
              <w:spacing w:after="0"/>
              <w:jc w:val="center"/>
              <w:rPr>
                <w:sz w:val="20"/>
                <w:szCs w:val="20"/>
                <w:lang w:val="sr-Cyrl-CS"/>
              </w:rPr>
            </w:pPr>
            <w:r w:rsidRPr="00092ED7">
              <w:rPr>
                <w:sz w:val="20"/>
                <w:szCs w:val="20"/>
                <w:lang w:val="sr-Cyrl-CS"/>
              </w:rPr>
              <w:t>10,6</w:t>
            </w:r>
          </w:p>
        </w:tc>
        <w:tc>
          <w:tcPr>
            <w:tcW w:w="553" w:type="pct"/>
            <w:gridSpan w:val="2"/>
            <w:tcBorders>
              <w:top w:val="nil"/>
              <w:left w:val="nil"/>
              <w:bottom w:val="dotted" w:sz="4" w:space="0" w:color="auto"/>
              <w:right w:val="dotted" w:sz="4" w:space="0" w:color="auto"/>
            </w:tcBorders>
            <w:shd w:val="clear" w:color="000000" w:fill="FFFFFF"/>
            <w:vAlign w:val="center"/>
            <w:hideMark/>
          </w:tcPr>
          <w:p w14:paraId="34E9E215" w14:textId="77777777" w:rsidR="00247CBF" w:rsidRPr="00092ED7" w:rsidRDefault="00247CBF" w:rsidP="00247CBF">
            <w:pPr>
              <w:spacing w:after="0"/>
              <w:jc w:val="center"/>
              <w:rPr>
                <w:sz w:val="20"/>
                <w:szCs w:val="20"/>
                <w:lang w:val="sr-Cyrl-CS"/>
              </w:rPr>
            </w:pPr>
            <w:r w:rsidRPr="00092ED7">
              <w:rPr>
                <w:sz w:val="20"/>
                <w:szCs w:val="20"/>
                <w:lang w:val="sr-Cyrl-CS"/>
              </w:rPr>
              <w:t>5,0</w:t>
            </w:r>
          </w:p>
        </w:tc>
        <w:tc>
          <w:tcPr>
            <w:tcW w:w="554" w:type="pct"/>
            <w:gridSpan w:val="2"/>
            <w:tcBorders>
              <w:top w:val="nil"/>
              <w:left w:val="nil"/>
              <w:bottom w:val="dotted" w:sz="4" w:space="0" w:color="auto"/>
              <w:right w:val="double" w:sz="6" w:space="0" w:color="auto"/>
            </w:tcBorders>
            <w:shd w:val="clear" w:color="000000" w:fill="FFFFFF"/>
            <w:vAlign w:val="center"/>
            <w:hideMark/>
          </w:tcPr>
          <w:p w14:paraId="0B930AA3" w14:textId="77777777" w:rsidR="00247CBF" w:rsidRPr="00092ED7" w:rsidRDefault="00247CBF" w:rsidP="00247CBF">
            <w:pPr>
              <w:spacing w:after="0"/>
              <w:jc w:val="center"/>
              <w:rPr>
                <w:sz w:val="20"/>
                <w:szCs w:val="20"/>
                <w:lang w:val="sr-Cyrl-CS"/>
              </w:rPr>
            </w:pPr>
            <w:r w:rsidRPr="00092ED7">
              <w:rPr>
                <w:sz w:val="20"/>
                <w:szCs w:val="20"/>
                <w:lang w:val="sr-Cyrl-CS"/>
              </w:rPr>
              <w:t>3,5</w:t>
            </w:r>
          </w:p>
        </w:tc>
      </w:tr>
      <w:tr w:rsidR="00247CBF" w:rsidRPr="00092ED7" w14:paraId="5A3E9DE1" w14:textId="77777777" w:rsidTr="00247CBF">
        <w:trPr>
          <w:gridBefore w:val="1"/>
          <w:wBefore w:w="8" w:type="pct"/>
          <w:trHeight w:val="304"/>
        </w:trPr>
        <w:tc>
          <w:tcPr>
            <w:tcW w:w="1740" w:type="pct"/>
            <w:gridSpan w:val="2"/>
            <w:tcBorders>
              <w:top w:val="nil"/>
              <w:left w:val="double" w:sz="6" w:space="0" w:color="auto"/>
              <w:bottom w:val="dotted" w:sz="4" w:space="0" w:color="auto"/>
              <w:right w:val="dotted" w:sz="4" w:space="0" w:color="auto"/>
            </w:tcBorders>
            <w:shd w:val="clear" w:color="000000" w:fill="FFFFFF"/>
            <w:vAlign w:val="center"/>
            <w:hideMark/>
          </w:tcPr>
          <w:p w14:paraId="14333DBF"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3. Хармонизовани индекс потрошачких цена (HICP)</w:t>
            </w:r>
          </w:p>
        </w:tc>
        <w:tc>
          <w:tcPr>
            <w:tcW w:w="486" w:type="pct"/>
            <w:tcBorders>
              <w:top w:val="nil"/>
              <w:left w:val="nil"/>
              <w:bottom w:val="dotted" w:sz="4" w:space="0" w:color="auto"/>
              <w:right w:val="single" w:sz="8" w:space="0" w:color="auto"/>
            </w:tcBorders>
            <w:shd w:val="clear" w:color="000000" w:fill="FFFFFF"/>
            <w:vAlign w:val="center"/>
            <w:hideMark/>
          </w:tcPr>
          <w:p w14:paraId="0CD472CD"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553" w:type="pct"/>
            <w:gridSpan w:val="2"/>
            <w:tcBorders>
              <w:top w:val="nil"/>
              <w:left w:val="nil"/>
              <w:bottom w:val="dotted" w:sz="4" w:space="0" w:color="auto"/>
              <w:right w:val="dotted" w:sz="4" w:space="0" w:color="auto"/>
            </w:tcBorders>
            <w:shd w:val="clear" w:color="000000" w:fill="FFFFFF"/>
            <w:vAlign w:val="center"/>
            <w:hideMark/>
          </w:tcPr>
          <w:p w14:paraId="4D44CE9B" w14:textId="77777777" w:rsidR="00247CBF" w:rsidRPr="00092ED7" w:rsidRDefault="00247CBF" w:rsidP="00247CBF">
            <w:pPr>
              <w:spacing w:after="0"/>
              <w:jc w:val="center"/>
              <w:rPr>
                <w:sz w:val="20"/>
                <w:szCs w:val="20"/>
                <w:lang w:val="sr-Cyrl-CS"/>
              </w:rPr>
            </w:pPr>
            <w:r w:rsidRPr="00092ED7">
              <w:rPr>
                <w:sz w:val="20"/>
                <w:szCs w:val="20"/>
                <w:lang w:val="sr-Cyrl-CS"/>
              </w:rPr>
              <w:t>4,0</w:t>
            </w:r>
          </w:p>
        </w:tc>
        <w:tc>
          <w:tcPr>
            <w:tcW w:w="553" w:type="pct"/>
            <w:gridSpan w:val="2"/>
            <w:tcBorders>
              <w:top w:val="nil"/>
              <w:left w:val="nil"/>
              <w:bottom w:val="dotted" w:sz="4" w:space="0" w:color="auto"/>
              <w:right w:val="dotted" w:sz="4" w:space="0" w:color="auto"/>
            </w:tcBorders>
            <w:shd w:val="clear" w:color="000000" w:fill="FFFFFF"/>
            <w:vAlign w:val="center"/>
            <w:hideMark/>
          </w:tcPr>
          <w:p w14:paraId="63B6E99F" w14:textId="77777777" w:rsidR="00247CBF" w:rsidRPr="00092ED7" w:rsidRDefault="00247CBF" w:rsidP="00247CBF">
            <w:pPr>
              <w:spacing w:after="0"/>
              <w:jc w:val="center"/>
              <w:rPr>
                <w:sz w:val="20"/>
                <w:szCs w:val="20"/>
                <w:lang w:val="sr-Cyrl-CS"/>
              </w:rPr>
            </w:pPr>
            <w:r w:rsidRPr="00092ED7">
              <w:rPr>
                <w:sz w:val="20"/>
                <w:szCs w:val="20"/>
                <w:lang w:val="sr-Cyrl-CS"/>
              </w:rPr>
              <w:t>11,7</w:t>
            </w:r>
          </w:p>
        </w:tc>
        <w:tc>
          <w:tcPr>
            <w:tcW w:w="553" w:type="pct"/>
            <w:gridSpan w:val="2"/>
            <w:tcBorders>
              <w:top w:val="nil"/>
              <w:left w:val="nil"/>
              <w:bottom w:val="dotted" w:sz="4" w:space="0" w:color="auto"/>
              <w:right w:val="dotted" w:sz="4" w:space="0" w:color="auto"/>
            </w:tcBorders>
            <w:shd w:val="clear" w:color="000000" w:fill="FFFFFF"/>
            <w:vAlign w:val="center"/>
            <w:hideMark/>
          </w:tcPr>
          <w:p w14:paraId="7B2D6661" w14:textId="77777777" w:rsidR="00247CBF" w:rsidRPr="00092ED7" w:rsidRDefault="00247CBF" w:rsidP="00247CBF">
            <w:pPr>
              <w:spacing w:after="0"/>
              <w:jc w:val="center"/>
              <w:rPr>
                <w:sz w:val="20"/>
                <w:szCs w:val="20"/>
                <w:lang w:val="sr-Cyrl-CS"/>
              </w:rPr>
            </w:pPr>
            <w:r w:rsidRPr="00092ED7">
              <w:rPr>
                <w:sz w:val="20"/>
                <w:szCs w:val="20"/>
                <w:lang w:val="sr-Cyrl-CS"/>
              </w:rPr>
              <w:t>12,5</w:t>
            </w:r>
          </w:p>
        </w:tc>
        <w:tc>
          <w:tcPr>
            <w:tcW w:w="553" w:type="pct"/>
            <w:gridSpan w:val="2"/>
            <w:tcBorders>
              <w:top w:val="nil"/>
              <w:left w:val="nil"/>
              <w:bottom w:val="dotted" w:sz="4" w:space="0" w:color="auto"/>
              <w:right w:val="dotted" w:sz="4" w:space="0" w:color="auto"/>
            </w:tcBorders>
            <w:shd w:val="clear" w:color="000000" w:fill="FFFFFF"/>
            <w:vAlign w:val="center"/>
            <w:hideMark/>
          </w:tcPr>
          <w:p w14:paraId="17BD8D7A" w14:textId="77777777" w:rsidR="00247CBF" w:rsidRPr="00092ED7" w:rsidRDefault="00247CBF" w:rsidP="00247CBF">
            <w:pPr>
              <w:spacing w:after="0"/>
              <w:jc w:val="center"/>
              <w:rPr>
                <w:sz w:val="20"/>
                <w:szCs w:val="20"/>
                <w:lang w:val="sr-Cyrl-CS"/>
              </w:rPr>
            </w:pPr>
            <w:r w:rsidRPr="00092ED7">
              <w:rPr>
                <w:sz w:val="20"/>
                <w:szCs w:val="20"/>
                <w:lang w:val="sr-Cyrl-CS"/>
              </w:rPr>
              <w:t>5,3</w:t>
            </w:r>
          </w:p>
        </w:tc>
        <w:tc>
          <w:tcPr>
            <w:tcW w:w="554" w:type="pct"/>
            <w:gridSpan w:val="2"/>
            <w:tcBorders>
              <w:top w:val="nil"/>
              <w:left w:val="nil"/>
              <w:bottom w:val="dotted" w:sz="4" w:space="0" w:color="auto"/>
              <w:right w:val="double" w:sz="6" w:space="0" w:color="auto"/>
            </w:tcBorders>
            <w:shd w:val="clear" w:color="000000" w:fill="FFFFFF"/>
            <w:vAlign w:val="center"/>
            <w:hideMark/>
          </w:tcPr>
          <w:p w14:paraId="5DE94D12" w14:textId="77777777" w:rsidR="00247CBF" w:rsidRPr="00092ED7" w:rsidRDefault="00247CBF" w:rsidP="00247CBF">
            <w:pPr>
              <w:spacing w:after="0"/>
              <w:jc w:val="center"/>
              <w:rPr>
                <w:sz w:val="20"/>
                <w:szCs w:val="20"/>
                <w:lang w:val="sr-Cyrl-CS"/>
              </w:rPr>
            </w:pPr>
            <w:r w:rsidRPr="00092ED7">
              <w:rPr>
                <w:sz w:val="20"/>
                <w:szCs w:val="20"/>
                <w:lang w:val="sr-Cyrl-CS"/>
              </w:rPr>
              <w:t>3,0</w:t>
            </w:r>
          </w:p>
        </w:tc>
      </w:tr>
      <w:tr w:rsidR="00247CBF" w:rsidRPr="00092ED7" w14:paraId="2C490652" w14:textId="77777777" w:rsidTr="00247CBF">
        <w:trPr>
          <w:gridBefore w:val="1"/>
          <w:wBefore w:w="8" w:type="pct"/>
          <w:trHeight w:val="304"/>
        </w:trPr>
        <w:tc>
          <w:tcPr>
            <w:tcW w:w="1740" w:type="pct"/>
            <w:gridSpan w:val="2"/>
            <w:tcBorders>
              <w:top w:val="nil"/>
              <w:left w:val="double" w:sz="6" w:space="0" w:color="auto"/>
              <w:bottom w:val="dotted" w:sz="4" w:space="0" w:color="auto"/>
              <w:right w:val="dotted" w:sz="4" w:space="0" w:color="auto"/>
            </w:tcBorders>
            <w:shd w:val="clear" w:color="000000" w:fill="FFFFFF"/>
            <w:vAlign w:val="center"/>
            <w:hideMark/>
          </w:tcPr>
          <w:p w14:paraId="2F3BA19F"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4. Промена индекса потрошачких цена (CPI)</w:t>
            </w:r>
          </w:p>
        </w:tc>
        <w:tc>
          <w:tcPr>
            <w:tcW w:w="486" w:type="pct"/>
            <w:tcBorders>
              <w:top w:val="nil"/>
              <w:left w:val="nil"/>
              <w:bottom w:val="dotted" w:sz="4" w:space="0" w:color="auto"/>
              <w:right w:val="single" w:sz="8" w:space="0" w:color="auto"/>
            </w:tcBorders>
            <w:shd w:val="clear" w:color="000000" w:fill="FFFFFF"/>
            <w:vAlign w:val="center"/>
            <w:hideMark/>
          </w:tcPr>
          <w:p w14:paraId="1DB42549"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553" w:type="pct"/>
            <w:gridSpan w:val="2"/>
            <w:tcBorders>
              <w:top w:val="nil"/>
              <w:left w:val="nil"/>
              <w:bottom w:val="dotted" w:sz="4" w:space="0" w:color="auto"/>
              <w:right w:val="dotted" w:sz="4" w:space="0" w:color="auto"/>
            </w:tcBorders>
            <w:shd w:val="clear" w:color="000000" w:fill="FFFFFF"/>
            <w:vAlign w:val="center"/>
            <w:hideMark/>
          </w:tcPr>
          <w:p w14:paraId="230710CD" w14:textId="77777777" w:rsidR="00247CBF" w:rsidRPr="00092ED7" w:rsidRDefault="00247CBF" w:rsidP="00247CBF">
            <w:pPr>
              <w:spacing w:after="0"/>
              <w:jc w:val="center"/>
              <w:rPr>
                <w:sz w:val="20"/>
                <w:szCs w:val="20"/>
                <w:lang w:val="sr-Cyrl-CS"/>
              </w:rPr>
            </w:pPr>
            <w:r w:rsidRPr="00092ED7">
              <w:rPr>
                <w:sz w:val="20"/>
                <w:szCs w:val="20"/>
                <w:lang w:val="sr-Cyrl-CS"/>
              </w:rPr>
              <w:t>4,0</w:t>
            </w:r>
          </w:p>
        </w:tc>
        <w:tc>
          <w:tcPr>
            <w:tcW w:w="553" w:type="pct"/>
            <w:gridSpan w:val="2"/>
            <w:tcBorders>
              <w:top w:val="nil"/>
              <w:left w:val="nil"/>
              <w:bottom w:val="dotted" w:sz="4" w:space="0" w:color="auto"/>
              <w:right w:val="dotted" w:sz="4" w:space="0" w:color="auto"/>
            </w:tcBorders>
            <w:shd w:val="clear" w:color="000000" w:fill="FFFFFF"/>
            <w:vAlign w:val="center"/>
            <w:hideMark/>
          </w:tcPr>
          <w:p w14:paraId="611C538D" w14:textId="77777777" w:rsidR="00247CBF" w:rsidRPr="00092ED7" w:rsidRDefault="00247CBF" w:rsidP="00247CBF">
            <w:pPr>
              <w:spacing w:after="0"/>
              <w:jc w:val="center"/>
              <w:rPr>
                <w:sz w:val="20"/>
                <w:szCs w:val="20"/>
                <w:lang w:val="sr-Cyrl-CS"/>
              </w:rPr>
            </w:pPr>
            <w:r w:rsidRPr="00092ED7">
              <w:rPr>
                <w:sz w:val="20"/>
                <w:szCs w:val="20"/>
                <w:lang w:val="sr-Cyrl-CS"/>
              </w:rPr>
              <w:t>12,0</w:t>
            </w:r>
          </w:p>
        </w:tc>
        <w:tc>
          <w:tcPr>
            <w:tcW w:w="553" w:type="pct"/>
            <w:gridSpan w:val="2"/>
            <w:tcBorders>
              <w:top w:val="nil"/>
              <w:left w:val="nil"/>
              <w:bottom w:val="dotted" w:sz="4" w:space="0" w:color="auto"/>
              <w:right w:val="dotted" w:sz="4" w:space="0" w:color="auto"/>
            </w:tcBorders>
            <w:shd w:val="clear" w:color="000000" w:fill="FFFFFF"/>
            <w:vAlign w:val="center"/>
            <w:hideMark/>
          </w:tcPr>
          <w:p w14:paraId="16BE2237" w14:textId="77777777" w:rsidR="00247CBF" w:rsidRPr="00092ED7" w:rsidRDefault="00247CBF" w:rsidP="00247CBF">
            <w:pPr>
              <w:spacing w:after="0"/>
              <w:jc w:val="center"/>
              <w:rPr>
                <w:sz w:val="20"/>
                <w:szCs w:val="20"/>
                <w:lang w:val="sr-Cyrl-CS"/>
              </w:rPr>
            </w:pPr>
            <w:r w:rsidRPr="00092ED7">
              <w:rPr>
                <w:sz w:val="20"/>
                <w:szCs w:val="20"/>
                <w:lang w:val="sr-Cyrl-CS"/>
              </w:rPr>
              <w:t>12,5</w:t>
            </w:r>
          </w:p>
        </w:tc>
        <w:tc>
          <w:tcPr>
            <w:tcW w:w="553" w:type="pct"/>
            <w:gridSpan w:val="2"/>
            <w:tcBorders>
              <w:top w:val="nil"/>
              <w:left w:val="nil"/>
              <w:bottom w:val="dotted" w:sz="4" w:space="0" w:color="auto"/>
              <w:right w:val="dotted" w:sz="4" w:space="0" w:color="auto"/>
            </w:tcBorders>
            <w:shd w:val="clear" w:color="000000" w:fill="FFFFFF"/>
            <w:vAlign w:val="center"/>
            <w:hideMark/>
          </w:tcPr>
          <w:p w14:paraId="1733513A" w14:textId="77777777" w:rsidR="00247CBF" w:rsidRPr="00092ED7" w:rsidRDefault="00247CBF" w:rsidP="00247CBF">
            <w:pPr>
              <w:spacing w:after="0"/>
              <w:jc w:val="center"/>
              <w:rPr>
                <w:sz w:val="20"/>
                <w:szCs w:val="20"/>
                <w:lang w:val="sr-Cyrl-CS"/>
              </w:rPr>
            </w:pPr>
            <w:r w:rsidRPr="00092ED7">
              <w:rPr>
                <w:sz w:val="20"/>
                <w:szCs w:val="20"/>
                <w:lang w:val="sr-Cyrl-CS"/>
              </w:rPr>
              <w:t>5,3</w:t>
            </w:r>
          </w:p>
        </w:tc>
        <w:tc>
          <w:tcPr>
            <w:tcW w:w="554" w:type="pct"/>
            <w:gridSpan w:val="2"/>
            <w:tcBorders>
              <w:top w:val="nil"/>
              <w:left w:val="nil"/>
              <w:bottom w:val="dotted" w:sz="4" w:space="0" w:color="auto"/>
              <w:right w:val="double" w:sz="6" w:space="0" w:color="auto"/>
            </w:tcBorders>
            <w:shd w:val="clear" w:color="000000" w:fill="FFFFFF"/>
            <w:vAlign w:val="center"/>
            <w:hideMark/>
          </w:tcPr>
          <w:p w14:paraId="26BFEF38" w14:textId="77777777" w:rsidR="00247CBF" w:rsidRPr="00092ED7" w:rsidRDefault="00247CBF" w:rsidP="00247CBF">
            <w:pPr>
              <w:spacing w:after="0"/>
              <w:jc w:val="center"/>
              <w:rPr>
                <w:sz w:val="20"/>
                <w:szCs w:val="20"/>
                <w:lang w:val="sr-Cyrl-CS"/>
              </w:rPr>
            </w:pPr>
            <w:r w:rsidRPr="00092ED7">
              <w:rPr>
                <w:sz w:val="20"/>
                <w:szCs w:val="20"/>
                <w:lang w:val="sr-Cyrl-CS"/>
              </w:rPr>
              <w:t>3,0</w:t>
            </w:r>
          </w:p>
        </w:tc>
      </w:tr>
      <w:tr w:rsidR="00247CBF" w:rsidRPr="00092ED7" w14:paraId="4C37124C" w14:textId="77777777" w:rsidTr="00247CBF">
        <w:trPr>
          <w:gridBefore w:val="1"/>
          <w:wBefore w:w="8" w:type="pct"/>
          <w:trHeight w:val="304"/>
        </w:trPr>
        <w:tc>
          <w:tcPr>
            <w:tcW w:w="1740" w:type="pct"/>
            <w:gridSpan w:val="2"/>
            <w:tcBorders>
              <w:top w:val="nil"/>
              <w:left w:val="double" w:sz="6" w:space="0" w:color="auto"/>
              <w:bottom w:val="dotted" w:sz="4" w:space="0" w:color="auto"/>
              <w:right w:val="dotted" w:sz="4" w:space="0" w:color="auto"/>
            </w:tcBorders>
            <w:shd w:val="clear" w:color="000000" w:fill="FFFFFF"/>
            <w:vAlign w:val="center"/>
            <w:hideMark/>
          </w:tcPr>
          <w:p w14:paraId="08843C81"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5. Дефлатор јавне потрошње</w:t>
            </w:r>
          </w:p>
        </w:tc>
        <w:tc>
          <w:tcPr>
            <w:tcW w:w="486" w:type="pct"/>
            <w:tcBorders>
              <w:top w:val="nil"/>
              <w:left w:val="nil"/>
              <w:bottom w:val="dotted" w:sz="4" w:space="0" w:color="auto"/>
              <w:right w:val="single" w:sz="8" w:space="0" w:color="auto"/>
            </w:tcBorders>
            <w:shd w:val="clear" w:color="000000" w:fill="FFFFFF"/>
            <w:vAlign w:val="center"/>
            <w:hideMark/>
          </w:tcPr>
          <w:p w14:paraId="5411C3A1"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553" w:type="pct"/>
            <w:gridSpan w:val="2"/>
            <w:tcBorders>
              <w:top w:val="nil"/>
              <w:left w:val="nil"/>
              <w:bottom w:val="dotted" w:sz="4" w:space="0" w:color="auto"/>
              <w:right w:val="dotted" w:sz="4" w:space="0" w:color="auto"/>
            </w:tcBorders>
            <w:shd w:val="clear" w:color="000000" w:fill="FFFFFF"/>
            <w:vAlign w:val="center"/>
            <w:hideMark/>
          </w:tcPr>
          <w:p w14:paraId="488ADC1E" w14:textId="77777777" w:rsidR="00247CBF" w:rsidRPr="00092ED7" w:rsidRDefault="00247CBF" w:rsidP="00247CBF">
            <w:pPr>
              <w:spacing w:after="0"/>
              <w:jc w:val="center"/>
              <w:rPr>
                <w:sz w:val="20"/>
                <w:szCs w:val="20"/>
                <w:lang w:val="sr-Cyrl-CS"/>
              </w:rPr>
            </w:pPr>
            <w:r w:rsidRPr="00092ED7">
              <w:rPr>
                <w:sz w:val="20"/>
                <w:szCs w:val="20"/>
                <w:lang w:val="sr-Cyrl-CS"/>
              </w:rPr>
              <w:t>5,4</w:t>
            </w:r>
          </w:p>
        </w:tc>
        <w:tc>
          <w:tcPr>
            <w:tcW w:w="553" w:type="pct"/>
            <w:gridSpan w:val="2"/>
            <w:tcBorders>
              <w:top w:val="nil"/>
              <w:left w:val="nil"/>
              <w:bottom w:val="dotted" w:sz="4" w:space="0" w:color="auto"/>
              <w:right w:val="dotted" w:sz="4" w:space="0" w:color="auto"/>
            </w:tcBorders>
            <w:shd w:val="clear" w:color="000000" w:fill="FFFFFF"/>
            <w:vAlign w:val="center"/>
            <w:hideMark/>
          </w:tcPr>
          <w:p w14:paraId="122B4291" w14:textId="77777777" w:rsidR="00247CBF" w:rsidRPr="00092ED7" w:rsidRDefault="00247CBF" w:rsidP="00247CBF">
            <w:pPr>
              <w:spacing w:after="0"/>
              <w:jc w:val="center"/>
              <w:rPr>
                <w:sz w:val="20"/>
                <w:szCs w:val="20"/>
                <w:lang w:val="sr-Cyrl-CS"/>
              </w:rPr>
            </w:pPr>
            <w:r w:rsidRPr="00092ED7">
              <w:rPr>
                <w:sz w:val="20"/>
                <w:szCs w:val="20"/>
                <w:lang w:val="sr-Cyrl-CS"/>
              </w:rPr>
              <w:t>10,0</w:t>
            </w:r>
          </w:p>
        </w:tc>
        <w:tc>
          <w:tcPr>
            <w:tcW w:w="553" w:type="pct"/>
            <w:gridSpan w:val="2"/>
            <w:tcBorders>
              <w:top w:val="nil"/>
              <w:left w:val="nil"/>
              <w:bottom w:val="dotted" w:sz="4" w:space="0" w:color="auto"/>
              <w:right w:val="dotted" w:sz="4" w:space="0" w:color="auto"/>
            </w:tcBorders>
            <w:shd w:val="clear" w:color="000000" w:fill="FFFFFF"/>
            <w:vAlign w:val="center"/>
            <w:hideMark/>
          </w:tcPr>
          <w:p w14:paraId="20A57C16" w14:textId="77777777" w:rsidR="00247CBF" w:rsidRPr="00092ED7" w:rsidRDefault="00247CBF" w:rsidP="00247CBF">
            <w:pPr>
              <w:spacing w:after="0"/>
              <w:jc w:val="center"/>
              <w:rPr>
                <w:sz w:val="20"/>
                <w:szCs w:val="20"/>
                <w:lang w:val="sr-Cyrl-CS"/>
              </w:rPr>
            </w:pPr>
            <w:r w:rsidRPr="00092ED7">
              <w:rPr>
                <w:sz w:val="20"/>
                <w:szCs w:val="20"/>
                <w:lang w:val="sr-Cyrl-CS"/>
              </w:rPr>
              <w:t>11,2</w:t>
            </w:r>
          </w:p>
        </w:tc>
        <w:tc>
          <w:tcPr>
            <w:tcW w:w="553" w:type="pct"/>
            <w:gridSpan w:val="2"/>
            <w:tcBorders>
              <w:top w:val="nil"/>
              <w:left w:val="nil"/>
              <w:bottom w:val="dotted" w:sz="4" w:space="0" w:color="auto"/>
              <w:right w:val="dotted" w:sz="4" w:space="0" w:color="auto"/>
            </w:tcBorders>
            <w:shd w:val="clear" w:color="000000" w:fill="FFFFFF"/>
            <w:vAlign w:val="center"/>
            <w:hideMark/>
          </w:tcPr>
          <w:p w14:paraId="07960F71" w14:textId="77777777" w:rsidR="00247CBF" w:rsidRPr="00092ED7" w:rsidRDefault="00247CBF" w:rsidP="00247CBF">
            <w:pPr>
              <w:spacing w:after="0"/>
              <w:jc w:val="center"/>
              <w:rPr>
                <w:sz w:val="20"/>
                <w:szCs w:val="20"/>
                <w:lang w:val="sr-Cyrl-CS"/>
              </w:rPr>
            </w:pPr>
            <w:r w:rsidRPr="00092ED7">
              <w:rPr>
                <w:sz w:val="20"/>
                <w:szCs w:val="20"/>
                <w:lang w:val="sr-Cyrl-CS"/>
              </w:rPr>
              <w:t>5,5</w:t>
            </w:r>
          </w:p>
        </w:tc>
        <w:tc>
          <w:tcPr>
            <w:tcW w:w="554" w:type="pct"/>
            <w:gridSpan w:val="2"/>
            <w:tcBorders>
              <w:top w:val="nil"/>
              <w:left w:val="nil"/>
              <w:bottom w:val="dotted" w:sz="4" w:space="0" w:color="auto"/>
              <w:right w:val="double" w:sz="6" w:space="0" w:color="auto"/>
            </w:tcBorders>
            <w:shd w:val="clear" w:color="000000" w:fill="FFFFFF"/>
            <w:vAlign w:val="center"/>
            <w:hideMark/>
          </w:tcPr>
          <w:p w14:paraId="22DB256A" w14:textId="77777777" w:rsidR="00247CBF" w:rsidRPr="00092ED7" w:rsidRDefault="00247CBF" w:rsidP="00247CBF">
            <w:pPr>
              <w:spacing w:after="0"/>
              <w:jc w:val="center"/>
              <w:rPr>
                <w:sz w:val="20"/>
                <w:szCs w:val="20"/>
                <w:lang w:val="sr-Cyrl-CS"/>
              </w:rPr>
            </w:pPr>
            <w:r w:rsidRPr="00092ED7">
              <w:rPr>
                <w:sz w:val="20"/>
                <w:szCs w:val="20"/>
                <w:lang w:val="sr-Cyrl-CS"/>
              </w:rPr>
              <w:t>5,6</w:t>
            </w:r>
          </w:p>
        </w:tc>
      </w:tr>
      <w:tr w:rsidR="00247CBF" w:rsidRPr="00092ED7" w14:paraId="21932BC1" w14:textId="77777777" w:rsidTr="00247CBF">
        <w:trPr>
          <w:gridBefore w:val="1"/>
          <w:wBefore w:w="8" w:type="pct"/>
          <w:trHeight w:val="304"/>
        </w:trPr>
        <w:tc>
          <w:tcPr>
            <w:tcW w:w="1740" w:type="pct"/>
            <w:gridSpan w:val="2"/>
            <w:tcBorders>
              <w:top w:val="nil"/>
              <w:left w:val="double" w:sz="6" w:space="0" w:color="auto"/>
              <w:bottom w:val="dotted" w:sz="4" w:space="0" w:color="auto"/>
              <w:right w:val="dotted" w:sz="4" w:space="0" w:color="auto"/>
            </w:tcBorders>
            <w:shd w:val="clear" w:color="000000" w:fill="FFFFFF"/>
            <w:vAlign w:val="center"/>
            <w:hideMark/>
          </w:tcPr>
          <w:p w14:paraId="77C5CFB0"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6. Дефлатор инвестиција</w:t>
            </w:r>
          </w:p>
        </w:tc>
        <w:tc>
          <w:tcPr>
            <w:tcW w:w="486" w:type="pct"/>
            <w:tcBorders>
              <w:top w:val="nil"/>
              <w:left w:val="nil"/>
              <w:bottom w:val="dotted" w:sz="4" w:space="0" w:color="auto"/>
              <w:right w:val="single" w:sz="8" w:space="0" w:color="auto"/>
            </w:tcBorders>
            <w:shd w:val="clear" w:color="000000" w:fill="FFFFFF"/>
            <w:vAlign w:val="center"/>
            <w:hideMark/>
          </w:tcPr>
          <w:p w14:paraId="7ABD8A38"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553" w:type="pct"/>
            <w:gridSpan w:val="2"/>
            <w:tcBorders>
              <w:top w:val="nil"/>
              <w:left w:val="nil"/>
              <w:bottom w:val="dotted" w:sz="4" w:space="0" w:color="auto"/>
              <w:right w:val="dotted" w:sz="4" w:space="0" w:color="auto"/>
            </w:tcBorders>
            <w:shd w:val="clear" w:color="000000" w:fill="FFFFFF"/>
            <w:vAlign w:val="center"/>
            <w:hideMark/>
          </w:tcPr>
          <w:p w14:paraId="546C8D24" w14:textId="77777777" w:rsidR="00247CBF" w:rsidRPr="00092ED7" w:rsidRDefault="00247CBF" w:rsidP="00247CBF">
            <w:pPr>
              <w:spacing w:after="0"/>
              <w:jc w:val="center"/>
              <w:rPr>
                <w:sz w:val="20"/>
                <w:szCs w:val="20"/>
                <w:lang w:val="sr-Cyrl-CS"/>
              </w:rPr>
            </w:pPr>
            <w:r w:rsidRPr="00092ED7">
              <w:rPr>
                <w:sz w:val="20"/>
                <w:szCs w:val="20"/>
                <w:lang w:val="sr-Cyrl-CS"/>
              </w:rPr>
              <w:t>5,9</w:t>
            </w:r>
          </w:p>
        </w:tc>
        <w:tc>
          <w:tcPr>
            <w:tcW w:w="553" w:type="pct"/>
            <w:gridSpan w:val="2"/>
            <w:tcBorders>
              <w:top w:val="nil"/>
              <w:left w:val="nil"/>
              <w:bottom w:val="dotted" w:sz="4" w:space="0" w:color="auto"/>
              <w:right w:val="dotted" w:sz="4" w:space="0" w:color="auto"/>
            </w:tcBorders>
            <w:shd w:val="clear" w:color="000000" w:fill="FFFFFF"/>
            <w:vAlign w:val="center"/>
            <w:hideMark/>
          </w:tcPr>
          <w:p w14:paraId="636F6F39" w14:textId="77777777" w:rsidR="00247CBF" w:rsidRPr="00092ED7" w:rsidRDefault="00247CBF" w:rsidP="00247CBF">
            <w:pPr>
              <w:spacing w:after="0"/>
              <w:jc w:val="center"/>
              <w:rPr>
                <w:sz w:val="20"/>
                <w:szCs w:val="20"/>
                <w:lang w:val="sr-Cyrl-CS"/>
              </w:rPr>
            </w:pPr>
            <w:r w:rsidRPr="00092ED7">
              <w:rPr>
                <w:sz w:val="20"/>
                <w:szCs w:val="20"/>
                <w:lang w:val="sr-Cyrl-CS"/>
              </w:rPr>
              <w:t>14,4</w:t>
            </w:r>
          </w:p>
        </w:tc>
        <w:tc>
          <w:tcPr>
            <w:tcW w:w="553" w:type="pct"/>
            <w:gridSpan w:val="2"/>
            <w:tcBorders>
              <w:top w:val="nil"/>
              <w:left w:val="nil"/>
              <w:bottom w:val="dotted" w:sz="4" w:space="0" w:color="auto"/>
              <w:right w:val="dotted" w:sz="4" w:space="0" w:color="auto"/>
            </w:tcBorders>
            <w:shd w:val="clear" w:color="000000" w:fill="FFFFFF"/>
            <w:vAlign w:val="center"/>
            <w:hideMark/>
          </w:tcPr>
          <w:p w14:paraId="450AD30B" w14:textId="77777777" w:rsidR="00247CBF" w:rsidRPr="00092ED7" w:rsidRDefault="00247CBF" w:rsidP="00247CBF">
            <w:pPr>
              <w:spacing w:after="0"/>
              <w:jc w:val="center"/>
              <w:rPr>
                <w:sz w:val="20"/>
                <w:szCs w:val="20"/>
                <w:lang w:val="sr-Cyrl-CS"/>
              </w:rPr>
            </w:pPr>
            <w:r w:rsidRPr="00092ED7">
              <w:rPr>
                <w:sz w:val="20"/>
                <w:szCs w:val="20"/>
                <w:lang w:val="sr-Cyrl-CS"/>
              </w:rPr>
              <w:t>7,4</w:t>
            </w:r>
          </w:p>
        </w:tc>
        <w:tc>
          <w:tcPr>
            <w:tcW w:w="553" w:type="pct"/>
            <w:gridSpan w:val="2"/>
            <w:tcBorders>
              <w:top w:val="nil"/>
              <w:left w:val="nil"/>
              <w:bottom w:val="dotted" w:sz="4" w:space="0" w:color="auto"/>
              <w:right w:val="dotted" w:sz="4" w:space="0" w:color="auto"/>
            </w:tcBorders>
            <w:shd w:val="clear" w:color="000000" w:fill="FFFFFF"/>
            <w:vAlign w:val="center"/>
            <w:hideMark/>
          </w:tcPr>
          <w:p w14:paraId="4B4F3811" w14:textId="77777777" w:rsidR="00247CBF" w:rsidRPr="00092ED7" w:rsidRDefault="00247CBF" w:rsidP="00247CBF">
            <w:pPr>
              <w:spacing w:after="0"/>
              <w:jc w:val="center"/>
              <w:rPr>
                <w:sz w:val="20"/>
                <w:szCs w:val="20"/>
                <w:lang w:val="sr-Cyrl-CS"/>
              </w:rPr>
            </w:pPr>
            <w:r w:rsidRPr="00092ED7">
              <w:rPr>
                <w:sz w:val="20"/>
                <w:szCs w:val="20"/>
                <w:lang w:val="sr-Cyrl-CS"/>
              </w:rPr>
              <w:t>5,1</w:t>
            </w:r>
          </w:p>
        </w:tc>
        <w:tc>
          <w:tcPr>
            <w:tcW w:w="554" w:type="pct"/>
            <w:gridSpan w:val="2"/>
            <w:tcBorders>
              <w:top w:val="nil"/>
              <w:left w:val="nil"/>
              <w:bottom w:val="dotted" w:sz="4" w:space="0" w:color="auto"/>
              <w:right w:val="double" w:sz="6" w:space="0" w:color="auto"/>
            </w:tcBorders>
            <w:shd w:val="clear" w:color="000000" w:fill="FFFFFF"/>
            <w:vAlign w:val="center"/>
            <w:hideMark/>
          </w:tcPr>
          <w:p w14:paraId="3926D3AB" w14:textId="77777777" w:rsidR="00247CBF" w:rsidRPr="00092ED7" w:rsidRDefault="00247CBF" w:rsidP="00247CBF">
            <w:pPr>
              <w:spacing w:after="0"/>
              <w:jc w:val="center"/>
              <w:rPr>
                <w:sz w:val="20"/>
                <w:szCs w:val="20"/>
                <w:lang w:val="sr-Cyrl-CS"/>
              </w:rPr>
            </w:pPr>
            <w:r w:rsidRPr="00092ED7">
              <w:rPr>
                <w:sz w:val="20"/>
                <w:szCs w:val="20"/>
                <w:lang w:val="sr-Cyrl-CS"/>
              </w:rPr>
              <w:t>4,0</w:t>
            </w:r>
          </w:p>
        </w:tc>
      </w:tr>
      <w:tr w:rsidR="00247CBF" w:rsidRPr="00092ED7" w14:paraId="2675A23A" w14:textId="77777777" w:rsidTr="00247CBF">
        <w:trPr>
          <w:gridBefore w:val="1"/>
          <w:wBefore w:w="8" w:type="pct"/>
          <w:trHeight w:val="304"/>
        </w:trPr>
        <w:tc>
          <w:tcPr>
            <w:tcW w:w="1740" w:type="pct"/>
            <w:gridSpan w:val="2"/>
            <w:tcBorders>
              <w:top w:val="nil"/>
              <w:left w:val="double" w:sz="6" w:space="0" w:color="auto"/>
              <w:bottom w:val="dotted" w:sz="4" w:space="0" w:color="auto"/>
              <w:right w:val="dotted" w:sz="4" w:space="0" w:color="auto"/>
            </w:tcBorders>
            <w:shd w:val="clear" w:color="000000" w:fill="FFFFFF"/>
            <w:vAlign w:val="center"/>
            <w:hideMark/>
          </w:tcPr>
          <w:p w14:paraId="26023C6B"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7. Дефлатор извозних цена (роба и услуге)</w:t>
            </w:r>
          </w:p>
        </w:tc>
        <w:tc>
          <w:tcPr>
            <w:tcW w:w="486" w:type="pct"/>
            <w:tcBorders>
              <w:top w:val="nil"/>
              <w:left w:val="nil"/>
              <w:bottom w:val="dotted" w:sz="4" w:space="0" w:color="auto"/>
              <w:right w:val="single" w:sz="8" w:space="0" w:color="auto"/>
            </w:tcBorders>
            <w:shd w:val="clear" w:color="000000" w:fill="FFFFFF"/>
            <w:vAlign w:val="center"/>
            <w:hideMark/>
          </w:tcPr>
          <w:p w14:paraId="3ED49C47"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553" w:type="pct"/>
            <w:gridSpan w:val="2"/>
            <w:tcBorders>
              <w:top w:val="nil"/>
              <w:left w:val="nil"/>
              <w:bottom w:val="dotted" w:sz="4" w:space="0" w:color="auto"/>
              <w:right w:val="dotted" w:sz="4" w:space="0" w:color="auto"/>
            </w:tcBorders>
            <w:shd w:val="clear" w:color="000000" w:fill="FFFFFF"/>
            <w:vAlign w:val="center"/>
            <w:hideMark/>
          </w:tcPr>
          <w:p w14:paraId="7D7C2D9A" w14:textId="77777777" w:rsidR="00247CBF" w:rsidRPr="00092ED7" w:rsidRDefault="00247CBF" w:rsidP="00247CBF">
            <w:pPr>
              <w:spacing w:after="0"/>
              <w:jc w:val="center"/>
              <w:rPr>
                <w:sz w:val="20"/>
                <w:szCs w:val="20"/>
                <w:lang w:val="sr-Cyrl-CS"/>
              </w:rPr>
            </w:pPr>
            <w:r w:rsidRPr="00092ED7">
              <w:rPr>
                <w:sz w:val="20"/>
                <w:szCs w:val="20"/>
                <w:lang w:val="sr-Cyrl-CS"/>
              </w:rPr>
              <w:t>7,7</w:t>
            </w:r>
          </w:p>
        </w:tc>
        <w:tc>
          <w:tcPr>
            <w:tcW w:w="553" w:type="pct"/>
            <w:gridSpan w:val="2"/>
            <w:tcBorders>
              <w:top w:val="nil"/>
              <w:left w:val="nil"/>
              <w:bottom w:val="dotted" w:sz="4" w:space="0" w:color="auto"/>
              <w:right w:val="dotted" w:sz="4" w:space="0" w:color="auto"/>
            </w:tcBorders>
            <w:shd w:val="clear" w:color="000000" w:fill="FFFFFF"/>
            <w:vAlign w:val="center"/>
            <w:hideMark/>
          </w:tcPr>
          <w:p w14:paraId="1FEE56AC" w14:textId="77777777" w:rsidR="00247CBF" w:rsidRPr="00092ED7" w:rsidRDefault="00247CBF" w:rsidP="00247CBF">
            <w:pPr>
              <w:spacing w:after="0"/>
              <w:jc w:val="center"/>
              <w:rPr>
                <w:sz w:val="20"/>
                <w:szCs w:val="20"/>
                <w:lang w:val="sr-Cyrl-CS"/>
              </w:rPr>
            </w:pPr>
            <w:r w:rsidRPr="00092ED7">
              <w:rPr>
                <w:sz w:val="20"/>
                <w:szCs w:val="20"/>
                <w:lang w:val="sr-Cyrl-CS"/>
              </w:rPr>
              <w:t>12,8</w:t>
            </w:r>
          </w:p>
        </w:tc>
        <w:tc>
          <w:tcPr>
            <w:tcW w:w="553" w:type="pct"/>
            <w:gridSpan w:val="2"/>
            <w:tcBorders>
              <w:top w:val="nil"/>
              <w:left w:val="nil"/>
              <w:bottom w:val="dotted" w:sz="4" w:space="0" w:color="auto"/>
              <w:right w:val="dotted" w:sz="4" w:space="0" w:color="auto"/>
            </w:tcBorders>
            <w:shd w:val="clear" w:color="000000" w:fill="FFFFFF"/>
            <w:vAlign w:val="center"/>
            <w:hideMark/>
          </w:tcPr>
          <w:p w14:paraId="157FC35A" w14:textId="77777777" w:rsidR="00247CBF" w:rsidRPr="00092ED7" w:rsidRDefault="00247CBF" w:rsidP="00247CBF">
            <w:pPr>
              <w:spacing w:after="0"/>
              <w:jc w:val="center"/>
              <w:rPr>
                <w:sz w:val="20"/>
                <w:szCs w:val="20"/>
                <w:lang w:val="sr-Cyrl-CS"/>
              </w:rPr>
            </w:pPr>
            <w:r w:rsidRPr="00092ED7">
              <w:rPr>
                <w:sz w:val="20"/>
                <w:szCs w:val="20"/>
                <w:lang w:val="sr-Cyrl-CS"/>
              </w:rPr>
              <w:t>7,3</w:t>
            </w:r>
          </w:p>
        </w:tc>
        <w:tc>
          <w:tcPr>
            <w:tcW w:w="553" w:type="pct"/>
            <w:gridSpan w:val="2"/>
            <w:tcBorders>
              <w:top w:val="nil"/>
              <w:left w:val="nil"/>
              <w:bottom w:val="dotted" w:sz="4" w:space="0" w:color="auto"/>
              <w:right w:val="dotted" w:sz="4" w:space="0" w:color="auto"/>
            </w:tcBorders>
            <w:shd w:val="clear" w:color="000000" w:fill="FFFFFF"/>
            <w:vAlign w:val="center"/>
            <w:hideMark/>
          </w:tcPr>
          <w:p w14:paraId="61761661" w14:textId="77777777" w:rsidR="00247CBF" w:rsidRPr="00092ED7" w:rsidRDefault="00247CBF" w:rsidP="00247CBF">
            <w:pPr>
              <w:spacing w:after="0"/>
              <w:jc w:val="center"/>
              <w:rPr>
                <w:sz w:val="20"/>
                <w:szCs w:val="20"/>
                <w:lang w:val="sr-Cyrl-CS"/>
              </w:rPr>
            </w:pPr>
            <w:r w:rsidRPr="00092ED7">
              <w:rPr>
                <w:sz w:val="20"/>
                <w:szCs w:val="20"/>
                <w:lang w:val="sr-Cyrl-CS"/>
              </w:rPr>
              <w:t>4,5</w:t>
            </w:r>
          </w:p>
        </w:tc>
        <w:tc>
          <w:tcPr>
            <w:tcW w:w="554" w:type="pct"/>
            <w:gridSpan w:val="2"/>
            <w:tcBorders>
              <w:top w:val="nil"/>
              <w:left w:val="nil"/>
              <w:bottom w:val="dotted" w:sz="4" w:space="0" w:color="auto"/>
              <w:right w:val="double" w:sz="6" w:space="0" w:color="auto"/>
            </w:tcBorders>
            <w:shd w:val="clear" w:color="000000" w:fill="FFFFFF"/>
            <w:vAlign w:val="center"/>
            <w:hideMark/>
          </w:tcPr>
          <w:p w14:paraId="0A457A68" w14:textId="77777777" w:rsidR="00247CBF" w:rsidRPr="00092ED7" w:rsidRDefault="00247CBF" w:rsidP="00247CBF">
            <w:pPr>
              <w:spacing w:after="0"/>
              <w:jc w:val="center"/>
              <w:rPr>
                <w:sz w:val="20"/>
                <w:szCs w:val="20"/>
                <w:lang w:val="sr-Cyrl-CS"/>
              </w:rPr>
            </w:pPr>
            <w:r w:rsidRPr="00092ED7">
              <w:rPr>
                <w:sz w:val="20"/>
                <w:szCs w:val="20"/>
                <w:lang w:val="sr-Cyrl-CS"/>
              </w:rPr>
              <w:t>3,6</w:t>
            </w:r>
          </w:p>
        </w:tc>
      </w:tr>
      <w:tr w:rsidR="00247CBF" w:rsidRPr="00092ED7" w14:paraId="18FBDDF8" w14:textId="77777777" w:rsidTr="00247CBF">
        <w:trPr>
          <w:gridBefore w:val="1"/>
          <w:wBefore w:w="8" w:type="pct"/>
          <w:trHeight w:val="304"/>
        </w:trPr>
        <w:tc>
          <w:tcPr>
            <w:tcW w:w="1740" w:type="pct"/>
            <w:gridSpan w:val="2"/>
            <w:tcBorders>
              <w:top w:val="nil"/>
              <w:left w:val="double" w:sz="6" w:space="0" w:color="auto"/>
              <w:bottom w:val="double" w:sz="6" w:space="0" w:color="auto"/>
              <w:right w:val="dotted" w:sz="4" w:space="0" w:color="auto"/>
            </w:tcBorders>
            <w:shd w:val="clear" w:color="000000" w:fill="FFFFFF"/>
            <w:vAlign w:val="center"/>
            <w:hideMark/>
          </w:tcPr>
          <w:p w14:paraId="09DD58A0"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8. Дефлатор увозних цена (роба и услуге)</w:t>
            </w:r>
          </w:p>
        </w:tc>
        <w:tc>
          <w:tcPr>
            <w:tcW w:w="486" w:type="pct"/>
            <w:tcBorders>
              <w:top w:val="nil"/>
              <w:left w:val="nil"/>
              <w:bottom w:val="double" w:sz="6" w:space="0" w:color="auto"/>
              <w:right w:val="single" w:sz="8" w:space="0" w:color="auto"/>
            </w:tcBorders>
            <w:shd w:val="clear" w:color="000000" w:fill="FFFFFF"/>
            <w:vAlign w:val="center"/>
            <w:hideMark/>
          </w:tcPr>
          <w:p w14:paraId="0B9DA588"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553" w:type="pct"/>
            <w:gridSpan w:val="2"/>
            <w:tcBorders>
              <w:top w:val="nil"/>
              <w:left w:val="nil"/>
              <w:bottom w:val="double" w:sz="6" w:space="0" w:color="auto"/>
              <w:right w:val="dotted" w:sz="4" w:space="0" w:color="auto"/>
            </w:tcBorders>
            <w:shd w:val="clear" w:color="000000" w:fill="FFFFFF"/>
            <w:vAlign w:val="center"/>
            <w:hideMark/>
          </w:tcPr>
          <w:p w14:paraId="39E3F6BF" w14:textId="77777777" w:rsidR="00247CBF" w:rsidRPr="00092ED7" w:rsidRDefault="00247CBF" w:rsidP="00247CBF">
            <w:pPr>
              <w:spacing w:after="0"/>
              <w:jc w:val="center"/>
              <w:rPr>
                <w:sz w:val="20"/>
                <w:szCs w:val="20"/>
                <w:lang w:val="sr-Cyrl-CS"/>
              </w:rPr>
            </w:pPr>
            <w:r w:rsidRPr="00092ED7">
              <w:rPr>
                <w:sz w:val="20"/>
                <w:szCs w:val="20"/>
                <w:lang w:val="sr-Cyrl-CS"/>
              </w:rPr>
              <w:t>6,7</w:t>
            </w:r>
          </w:p>
        </w:tc>
        <w:tc>
          <w:tcPr>
            <w:tcW w:w="553" w:type="pct"/>
            <w:gridSpan w:val="2"/>
            <w:tcBorders>
              <w:top w:val="nil"/>
              <w:left w:val="nil"/>
              <w:bottom w:val="double" w:sz="6" w:space="0" w:color="auto"/>
              <w:right w:val="dotted" w:sz="4" w:space="0" w:color="auto"/>
            </w:tcBorders>
            <w:shd w:val="clear" w:color="000000" w:fill="FFFFFF"/>
            <w:vAlign w:val="center"/>
            <w:hideMark/>
          </w:tcPr>
          <w:p w14:paraId="797DDAE5" w14:textId="77777777" w:rsidR="00247CBF" w:rsidRPr="00092ED7" w:rsidRDefault="00247CBF" w:rsidP="00247CBF">
            <w:pPr>
              <w:spacing w:after="0"/>
              <w:jc w:val="center"/>
              <w:rPr>
                <w:sz w:val="20"/>
                <w:szCs w:val="20"/>
                <w:lang w:val="sr-Cyrl-CS"/>
              </w:rPr>
            </w:pPr>
            <w:r w:rsidRPr="00092ED7">
              <w:rPr>
                <w:sz w:val="20"/>
                <w:szCs w:val="20"/>
                <w:lang w:val="sr-Cyrl-CS"/>
              </w:rPr>
              <w:t>17,5</w:t>
            </w:r>
          </w:p>
        </w:tc>
        <w:tc>
          <w:tcPr>
            <w:tcW w:w="553" w:type="pct"/>
            <w:gridSpan w:val="2"/>
            <w:tcBorders>
              <w:top w:val="nil"/>
              <w:left w:val="nil"/>
              <w:bottom w:val="double" w:sz="6" w:space="0" w:color="auto"/>
              <w:right w:val="dotted" w:sz="4" w:space="0" w:color="auto"/>
            </w:tcBorders>
            <w:shd w:val="clear" w:color="000000" w:fill="FFFFFF"/>
            <w:vAlign w:val="center"/>
            <w:hideMark/>
          </w:tcPr>
          <w:p w14:paraId="6C437767" w14:textId="77777777" w:rsidR="00247CBF" w:rsidRPr="00092ED7" w:rsidRDefault="00247CBF" w:rsidP="00247CBF">
            <w:pPr>
              <w:spacing w:after="0"/>
              <w:jc w:val="center"/>
              <w:rPr>
                <w:sz w:val="20"/>
                <w:szCs w:val="20"/>
                <w:lang w:val="sr-Cyrl-CS"/>
              </w:rPr>
            </w:pPr>
            <w:r w:rsidRPr="00092ED7">
              <w:rPr>
                <w:sz w:val="20"/>
                <w:szCs w:val="20"/>
                <w:lang w:val="sr-Cyrl-CS"/>
              </w:rPr>
              <w:t>6,3</w:t>
            </w:r>
          </w:p>
        </w:tc>
        <w:tc>
          <w:tcPr>
            <w:tcW w:w="553" w:type="pct"/>
            <w:gridSpan w:val="2"/>
            <w:tcBorders>
              <w:top w:val="nil"/>
              <w:left w:val="nil"/>
              <w:bottom w:val="double" w:sz="6" w:space="0" w:color="auto"/>
              <w:right w:val="dotted" w:sz="4" w:space="0" w:color="auto"/>
            </w:tcBorders>
            <w:shd w:val="clear" w:color="000000" w:fill="FFFFFF"/>
            <w:vAlign w:val="center"/>
            <w:hideMark/>
          </w:tcPr>
          <w:p w14:paraId="7348A021" w14:textId="77777777" w:rsidR="00247CBF" w:rsidRPr="00092ED7" w:rsidRDefault="00247CBF" w:rsidP="00247CBF">
            <w:pPr>
              <w:spacing w:after="0"/>
              <w:jc w:val="center"/>
              <w:rPr>
                <w:sz w:val="20"/>
                <w:szCs w:val="20"/>
                <w:lang w:val="sr-Cyrl-CS"/>
              </w:rPr>
            </w:pPr>
            <w:r w:rsidRPr="00092ED7">
              <w:rPr>
                <w:sz w:val="20"/>
                <w:szCs w:val="20"/>
                <w:lang w:val="sr-Cyrl-CS"/>
              </w:rPr>
              <w:t>3,5</w:t>
            </w:r>
          </w:p>
        </w:tc>
        <w:tc>
          <w:tcPr>
            <w:tcW w:w="554" w:type="pct"/>
            <w:gridSpan w:val="2"/>
            <w:tcBorders>
              <w:top w:val="nil"/>
              <w:left w:val="nil"/>
              <w:bottom w:val="double" w:sz="6" w:space="0" w:color="auto"/>
              <w:right w:val="double" w:sz="6" w:space="0" w:color="auto"/>
            </w:tcBorders>
            <w:shd w:val="clear" w:color="000000" w:fill="FFFFFF"/>
            <w:vAlign w:val="center"/>
            <w:hideMark/>
          </w:tcPr>
          <w:p w14:paraId="4433F99D" w14:textId="77777777" w:rsidR="00247CBF" w:rsidRPr="00092ED7" w:rsidRDefault="00247CBF" w:rsidP="00247CBF">
            <w:pPr>
              <w:spacing w:after="0"/>
              <w:jc w:val="center"/>
              <w:rPr>
                <w:sz w:val="20"/>
                <w:szCs w:val="20"/>
                <w:lang w:val="sr-Cyrl-CS"/>
              </w:rPr>
            </w:pPr>
            <w:r w:rsidRPr="00092ED7">
              <w:rPr>
                <w:sz w:val="20"/>
                <w:szCs w:val="20"/>
                <w:lang w:val="sr-Cyrl-CS"/>
              </w:rPr>
              <w:t>3,0</w:t>
            </w:r>
          </w:p>
        </w:tc>
      </w:tr>
    </w:tbl>
    <w:p w14:paraId="117F3615" w14:textId="77777777" w:rsidR="00247CBF" w:rsidRPr="00092ED7" w:rsidRDefault="00247CBF" w:rsidP="00247CBF">
      <w:pPr>
        <w:rPr>
          <w:rFonts w:cs="Times New Roman"/>
          <w:lang w:val="sr-Cyrl-CS"/>
        </w:rPr>
      </w:pPr>
    </w:p>
    <w:p w14:paraId="584A85F0" w14:textId="77777777" w:rsidR="00247CBF" w:rsidRPr="00092ED7" w:rsidRDefault="00247CBF" w:rsidP="00247CBF">
      <w:pPr>
        <w:spacing w:after="160" w:line="259" w:lineRule="auto"/>
        <w:rPr>
          <w:rFonts w:cs="Times New Roman"/>
          <w:lang w:val="sr-Cyrl-CS"/>
        </w:rPr>
      </w:pPr>
      <w:r w:rsidRPr="00092ED7">
        <w:rPr>
          <w:rFonts w:cs="Times New Roman"/>
          <w:lang w:val="sr-Cyrl-CS"/>
        </w:rPr>
        <w:br w:type="page"/>
      </w:r>
    </w:p>
    <w:tbl>
      <w:tblPr>
        <w:tblW w:w="5011" w:type="pct"/>
        <w:tblLook w:val="04A0" w:firstRow="1" w:lastRow="0" w:firstColumn="1" w:lastColumn="0" w:noHBand="0" w:noVBand="1"/>
      </w:tblPr>
      <w:tblGrid>
        <w:gridCol w:w="24"/>
        <w:gridCol w:w="5788"/>
        <w:gridCol w:w="1133"/>
        <w:gridCol w:w="55"/>
        <w:gridCol w:w="1221"/>
        <w:gridCol w:w="120"/>
        <w:gridCol w:w="23"/>
        <w:gridCol w:w="1133"/>
        <w:gridCol w:w="187"/>
        <w:gridCol w:w="239"/>
        <w:gridCol w:w="689"/>
        <w:gridCol w:w="161"/>
        <w:gridCol w:w="283"/>
        <w:gridCol w:w="485"/>
        <w:gridCol w:w="365"/>
        <w:gridCol w:w="143"/>
        <w:gridCol w:w="421"/>
        <w:gridCol w:w="713"/>
        <w:gridCol w:w="143"/>
        <w:gridCol w:w="1241"/>
        <w:gridCol w:w="35"/>
      </w:tblGrid>
      <w:tr w:rsidR="00247CBF" w:rsidRPr="00092ED7" w14:paraId="4E9B3060" w14:textId="77777777" w:rsidTr="00247CBF">
        <w:trPr>
          <w:gridAfter w:val="1"/>
          <w:wAfter w:w="12" w:type="pct"/>
          <w:trHeight w:val="315"/>
        </w:trPr>
        <w:tc>
          <w:tcPr>
            <w:tcW w:w="2397" w:type="pct"/>
            <w:gridSpan w:val="4"/>
            <w:tcBorders>
              <w:top w:val="nil"/>
              <w:left w:val="nil"/>
              <w:bottom w:val="nil"/>
              <w:right w:val="nil"/>
            </w:tcBorders>
            <w:shd w:val="clear" w:color="000000" w:fill="FFFFFF"/>
            <w:noWrap/>
            <w:vAlign w:val="center"/>
            <w:hideMark/>
          </w:tcPr>
          <w:p w14:paraId="3E013EE0" w14:textId="77777777" w:rsidR="00247CBF" w:rsidRPr="00092ED7" w:rsidRDefault="00247CBF" w:rsidP="00247CBF">
            <w:pPr>
              <w:spacing w:after="0"/>
              <w:rPr>
                <w:rFonts w:eastAsia="Times New Roman" w:cs="Times New Roman"/>
                <w:b/>
                <w:bCs/>
                <w:sz w:val="20"/>
                <w:szCs w:val="20"/>
                <w:lang w:val="sr-Cyrl-CS"/>
              </w:rPr>
            </w:pPr>
            <w:r w:rsidRPr="00092ED7">
              <w:rPr>
                <w:rFonts w:eastAsia="Times New Roman" w:cs="Times New Roman"/>
                <w:b/>
                <w:bCs/>
                <w:sz w:val="20"/>
                <w:szCs w:val="20"/>
                <w:lang w:val="sr-Cyrl-CS"/>
              </w:rPr>
              <w:lastRenderedPageBreak/>
              <w:t>Табела 1c: Кретања на тржишту рада</w:t>
            </w:r>
          </w:p>
        </w:tc>
        <w:tc>
          <w:tcPr>
            <w:tcW w:w="459" w:type="pct"/>
            <w:gridSpan w:val="2"/>
            <w:tcBorders>
              <w:top w:val="nil"/>
              <w:left w:val="nil"/>
              <w:bottom w:val="double" w:sz="6" w:space="0" w:color="auto"/>
              <w:right w:val="nil"/>
            </w:tcBorders>
            <w:shd w:val="clear" w:color="000000" w:fill="FFFFFF"/>
            <w:noWrap/>
            <w:vAlign w:val="center"/>
            <w:hideMark/>
          </w:tcPr>
          <w:p w14:paraId="50D5E66C"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460" w:type="pct"/>
            <w:gridSpan w:val="3"/>
            <w:tcBorders>
              <w:top w:val="nil"/>
              <w:left w:val="nil"/>
              <w:bottom w:val="double" w:sz="6" w:space="0" w:color="auto"/>
              <w:right w:val="nil"/>
            </w:tcBorders>
            <w:shd w:val="clear" w:color="000000" w:fill="FFFFFF"/>
            <w:noWrap/>
            <w:vAlign w:val="center"/>
            <w:hideMark/>
          </w:tcPr>
          <w:p w14:paraId="38F5AF47"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318" w:type="pct"/>
            <w:gridSpan w:val="2"/>
            <w:tcBorders>
              <w:top w:val="nil"/>
              <w:left w:val="nil"/>
              <w:bottom w:val="double" w:sz="6" w:space="0" w:color="auto"/>
              <w:right w:val="nil"/>
            </w:tcBorders>
            <w:shd w:val="clear" w:color="000000" w:fill="FFFFFF"/>
            <w:noWrap/>
            <w:vAlign w:val="center"/>
            <w:hideMark/>
          </w:tcPr>
          <w:p w14:paraId="4451FBCD"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318" w:type="pct"/>
            <w:gridSpan w:val="3"/>
            <w:tcBorders>
              <w:top w:val="nil"/>
              <w:left w:val="nil"/>
              <w:bottom w:val="double" w:sz="6" w:space="0" w:color="auto"/>
              <w:right w:val="nil"/>
            </w:tcBorders>
            <w:shd w:val="clear" w:color="000000" w:fill="FFFFFF"/>
            <w:noWrap/>
            <w:vAlign w:val="center"/>
            <w:hideMark/>
          </w:tcPr>
          <w:p w14:paraId="1835CC7B"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318" w:type="pct"/>
            <w:gridSpan w:val="3"/>
            <w:tcBorders>
              <w:top w:val="nil"/>
              <w:left w:val="nil"/>
              <w:bottom w:val="double" w:sz="6" w:space="0" w:color="auto"/>
              <w:right w:val="nil"/>
            </w:tcBorders>
            <w:shd w:val="clear" w:color="000000" w:fill="FFFFFF"/>
            <w:noWrap/>
            <w:vAlign w:val="center"/>
            <w:hideMark/>
          </w:tcPr>
          <w:p w14:paraId="62F23877"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718" w:type="pct"/>
            <w:gridSpan w:val="3"/>
            <w:tcBorders>
              <w:top w:val="nil"/>
              <w:left w:val="nil"/>
              <w:bottom w:val="double" w:sz="6" w:space="0" w:color="auto"/>
              <w:right w:val="nil"/>
            </w:tcBorders>
            <w:shd w:val="clear" w:color="000000" w:fill="FFFFFF"/>
            <w:noWrap/>
            <w:vAlign w:val="center"/>
            <w:hideMark/>
          </w:tcPr>
          <w:p w14:paraId="016D0666"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b/>
                <w:bCs/>
                <w:sz w:val="20"/>
                <w:szCs w:val="20"/>
                <w:lang w:val="sr-Cyrl-CS"/>
              </w:rPr>
              <w:t>Република Србија</w:t>
            </w:r>
          </w:p>
        </w:tc>
      </w:tr>
      <w:tr w:rsidR="00247CBF" w:rsidRPr="00092ED7" w14:paraId="096EB945" w14:textId="77777777" w:rsidTr="00247CBF">
        <w:trPr>
          <w:gridBefore w:val="1"/>
          <w:wBefore w:w="8" w:type="pct"/>
          <w:trHeight w:val="141"/>
        </w:trPr>
        <w:tc>
          <w:tcPr>
            <w:tcW w:w="1982" w:type="pct"/>
            <w:vMerge w:val="restart"/>
            <w:tcBorders>
              <w:top w:val="double" w:sz="6" w:space="0" w:color="auto"/>
              <w:left w:val="double" w:sz="6" w:space="0" w:color="auto"/>
              <w:bottom w:val="nil"/>
              <w:right w:val="nil"/>
            </w:tcBorders>
            <w:shd w:val="clear" w:color="000000" w:fill="FFFFFF"/>
            <w:vAlign w:val="center"/>
            <w:hideMark/>
          </w:tcPr>
          <w:p w14:paraId="329BAAFE"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 </w:t>
            </w:r>
          </w:p>
        </w:tc>
        <w:tc>
          <w:tcPr>
            <w:tcW w:w="388" w:type="pct"/>
            <w:tcBorders>
              <w:top w:val="double" w:sz="6" w:space="0" w:color="auto"/>
              <w:left w:val="single" w:sz="4" w:space="0" w:color="auto"/>
              <w:bottom w:val="nil"/>
              <w:right w:val="single" w:sz="4" w:space="0" w:color="auto"/>
            </w:tcBorders>
            <w:shd w:val="clear" w:color="000000" w:fill="FFFFFF"/>
            <w:vAlign w:val="center"/>
            <w:hideMark/>
          </w:tcPr>
          <w:p w14:paraId="18FBA898"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ESA</w:t>
            </w:r>
          </w:p>
        </w:tc>
        <w:tc>
          <w:tcPr>
            <w:tcW w:w="437" w:type="pct"/>
            <w:gridSpan w:val="2"/>
            <w:vMerge w:val="restart"/>
            <w:tcBorders>
              <w:top w:val="double" w:sz="6" w:space="0" w:color="auto"/>
              <w:left w:val="nil"/>
              <w:right w:val="single" w:sz="4" w:space="0" w:color="auto"/>
            </w:tcBorders>
            <w:shd w:val="clear" w:color="000000" w:fill="FFFFFF"/>
            <w:vAlign w:val="center"/>
            <w:hideMark/>
          </w:tcPr>
          <w:p w14:paraId="097F8C4A" w14:textId="77777777" w:rsidR="00247CBF" w:rsidRPr="00092ED7" w:rsidRDefault="00247CBF" w:rsidP="00247CBF">
            <w:pPr>
              <w:spacing w:after="0"/>
              <w:jc w:val="center"/>
              <w:rPr>
                <w:sz w:val="20"/>
                <w:lang w:val="sr-Cyrl-CS"/>
              </w:rPr>
            </w:pPr>
            <w:r w:rsidRPr="00092ED7">
              <w:rPr>
                <w:sz w:val="20"/>
                <w:lang w:val="sr-Cyrl-CS"/>
              </w:rPr>
              <w:t>Година</w:t>
            </w:r>
          </w:p>
          <w:p w14:paraId="7D35A7C7" w14:textId="77777777" w:rsidR="00247CBF" w:rsidRPr="00092ED7" w:rsidRDefault="00247CBF" w:rsidP="00247CBF">
            <w:pPr>
              <w:spacing w:after="0"/>
              <w:jc w:val="center"/>
              <w:rPr>
                <w:sz w:val="20"/>
                <w:lang w:val="sr-Cyrl-CS"/>
              </w:rPr>
            </w:pPr>
            <w:r w:rsidRPr="00092ED7">
              <w:rPr>
                <w:sz w:val="20"/>
                <w:lang w:val="sr-Cyrl-CS"/>
              </w:rPr>
              <w:t>2021</w:t>
            </w:r>
          </w:p>
        </w:tc>
        <w:tc>
          <w:tcPr>
            <w:tcW w:w="437" w:type="pct"/>
            <w:gridSpan w:val="3"/>
            <w:vMerge w:val="restart"/>
            <w:tcBorders>
              <w:top w:val="double" w:sz="6" w:space="0" w:color="auto"/>
              <w:left w:val="nil"/>
              <w:right w:val="dotted" w:sz="4" w:space="0" w:color="auto"/>
            </w:tcBorders>
            <w:shd w:val="clear" w:color="000000" w:fill="FFFFFF"/>
            <w:vAlign w:val="center"/>
            <w:hideMark/>
          </w:tcPr>
          <w:p w14:paraId="0E7286A4" w14:textId="77777777" w:rsidR="00247CBF" w:rsidRPr="00092ED7" w:rsidRDefault="00247CBF" w:rsidP="00247CBF">
            <w:pPr>
              <w:spacing w:after="0"/>
              <w:jc w:val="center"/>
              <w:rPr>
                <w:sz w:val="20"/>
                <w:lang w:val="sr-Cyrl-CS"/>
              </w:rPr>
            </w:pPr>
            <w:r w:rsidRPr="00092ED7">
              <w:rPr>
                <w:sz w:val="20"/>
                <w:lang w:val="sr-Cyrl-CS"/>
              </w:rPr>
              <w:t>Година</w:t>
            </w:r>
          </w:p>
          <w:p w14:paraId="5AA3F31B" w14:textId="77777777" w:rsidR="00247CBF" w:rsidRPr="00092ED7" w:rsidRDefault="00247CBF" w:rsidP="00247CBF">
            <w:pPr>
              <w:spacing w:after="0"/>
              <w:jc w:val="center"/>
              <w:rPr>
                <w:sz w:val="20"/>
                <w:lang w:val="sr-Cyrl-CS"/>
              </w:rPr>
            </w:pPr>
            <w:r w:rsidRPr="00092ED7">
              <w:rPr>
                <w:sz w:val="20"/>
                <w:lang w:val="sr-Cyrl-CS"/>
              </w:rPr>
              <w:t>2021</w:t>
            </w:r>
          </w:p>
        </w:tc>
        <w:tc>
          <w:tcPr>
            <w:tcW w:w="437" w:type="pct"/>
            <w:gridSpan w:val="4"/>
            <w:vMerge w:val="restart"/>
            <w:tcBorders>
              <w:top w:val="double" w:sz="6" w:space="0" w:color="auto"/>
              <w:left w:val="nil"/>
              <w:right w:val="dotted" w:sz="4" w:space="0" w:color="auto"/>
            </w:tcBorders>
            <w:shd w:val="clear" w:color="000000" w:fill="FFFFFF"/>
            <w:vAlign w:val="center"/>
            <w:hideMark/>
          </w:tcPr>
          <w:p w14:paraId="5EB22F1E" w14:textId="77777777" w:rsidR="00247CBF" w:rsidRPr="00092ED7" w:rsidRDefault="00247CBF" w:rsidP="00247CBF">
            <w:pPr>
              <w:spacing w:after="0"/>
              <w:jc w:val="center"/>
              <w:rPr>
                <w:sz w:val="20"/>
                <w:lang w:val="sr-Cyrl-CS"/>
              </w:rPr>
            </w:pPr>
            <w:r w:rsidRPr="00092ED7">
              <w:rPr>
                <w:sz w:val="20"/>
                <w:lang w:val="sr-Cyrl-CS"/>
              </w:rPr>
              <w:t>Година</w:t>
            </w:r>
          </w:p>
          <w:p w14:paraId="74C689B5" w14:textId="77777777" w:rsidR="00247CBF" w:rsidRPr="00092ED7" w:rsidRDefault="00247CBF" w:rsidP="00247CBF">
            <w:pPr>
              <w:spacing w:after="0"/>
              <w:jc w:val="center"/>
              <w:rPr>
                <w:sz w:val="20"/>
                <w:lang w:val="sr-Cyrl-CS"/>
              </w:rPr>
            </w:pPr>
            <w:r w:rsidRPr="00092ED7">
              <w:rPr>
                <w:sz w:val="20"/>
                <w:lang w:val="sr-Cyrl-CS"/>
              </w:rPr>
              <w:t>2022</w:t>
            </w:r>
          </w:p>
        </w:tc>
        <w:tc>
          <w:tcPr>
            <w:tcW w:w="437" w:type="pct"/>
            <w:gridSpan w:val="4"/>
            <w:vMerge w:val="restart"/>
            <w:tcBorders>
              <w:top w:val="double" w:sz="6" w:space="0" w:color="auto"/>
              <w:left w:val="nil"/>
              <w:right w:val="dotted" w:sz="4" w:space="0" w:color="auto"/>
            </w:tcBorders>
            <w:shd w:val="clear" w:color="000000" w:fill="FFFFFF"/>
            <w:vAlign w:val="center"/>
            <w:hideMark/>
          </w:tcPr>
          <w:p w14:paraId="7F9DCF99" w14:textId="77777777" w:rsidR="00247CBF" w:rsidRPr="00092ED7" w:rsidRDefault="00247CBF" w:rsidP="00247CBF">
            <w:pPr>
              <w:spacing w:after="0"/>
              <w:jc w:val="center"/>
              <w:rPr>
                <w:sz w:val="20"/>
                <w:lang w:val="sr-Cyrl-CS"/>
              </w:rPr>
            </w:pPr>
            <w:r w:rsidRPr="00092ED7">
              <w:rPr>
                <w:sz w:val="20"/>
                <w:lang w:val="sr-Cyrl-CS"/>
              </w:rPr>
              <w:t>Година</w:t>
            </w:r>
          </w:p>
          <w:p w14:paraId="643221AE" w14:textId="77777777" w:rsidR="00247CBF" w:rsidRPr="00092ED7" w:rsidRDefault="00247CBF" w:rsidP="00247CBF">
            <w:pPr>
              <w:spacing w:after="0"/>
              <w:jc w:val="center"/>
              <w:rPr>
                <w:sz w:val="20"/>
                <w:lang w:val="sr-Cyrl-CS"/>
              </w:rPr>
            </w:pPr>
            <w:r w:rsidRPr="00092ED7">
              <w:rPr>
                <w:sz w:val="20"/>
                <w:lang w:val="sr-Cyrl-CS"/>
              </w:rPr>
              <w:t>2023</w:t>
            </w:r>
          </w:p>
        </w:tc>
        <w:tc>
          <w:tcPr>
            <w:tcW w:w="437" w:type="pct"/>
            <w:gridSpan w:val="3"/>
            <w:vMerge w:val="restart"/>
            <w:tcBorders>
              <w:top w:val="double" w:sz="6" w:space="0" w:color="auto"/>
              <w:left w:val="nil"/>
              <w:right w:val="dotted" w:sz="4" w:space="0" w:color="auto"/>
            </w:tcBorders>
            <w:shd w:val="clear" w:color="000000" w:fill="FFFFFF"/>
            <w:vAlign w:val="center"/>
            <w:hideMark/>
          </w:tcPr>
          <w:p w14:paraId="72430F36" w14:textId="77777777" w:rsidR="00247CBF" w:rsidRPr="00092ED7" w:rsidRDefault="00247CBF" w:rsidP="00247CBF">
            <w:pPr>
              <w:spacing w:after="0"/>
              <w:jc w:val="center"/>
              <w:rPr>
                <w:sz w:val="20"/>
                <w:lang w:val="sr-Cyrl-CS"/>
              </w:rPr>
            </w:pPr>
            <w:r w:rsidRPr="00092ED7">
              <w:rPr>
                <w:sz w:val="20"/>
                <w:lang w:val="sr-Cyrl-CS"/>
              </w:rPr>
              <w:t>Година</w:t>
            </w:r>
          </w:p>
          <w:p w14:paraId="11AB8641" w14:textId="77777777" w:rsidR="00247CBF" w:rsidRPr="00092ED7" w:rsidRDefault="00247CBF" w:rsidP="00247CBF">
            <w:pPr>
              <w:spacing w:after="0"/>
              <w:jc w:val="center"/>
              <w:rPr>
                <w:sz w:val="20"/>
                <w:lang w:val="sr-Cyrl-CS"/>
              </w:rPr>
            </w:pPr>
            <w:r w:rsidRPr="00092ED7">
              <w:rPr>
                <w:sz w:val="20"/>
                <w:lang w:val="sr-Cyrl-CS"/>
              </w:rPr>
              <w:t>2024</w:t>
            </w:r>
          </w:p>
        </w:tc>
        <w:tc>
          <w:tcPr>
            <w:tcW w:w="437" w:type="pct"/>
            <w:gridSpan w:val="2"/>
            <w:vMerge w:val="restart"/>
            <w:tcBorders>
              <w:top w:val="double" w:sz="6" w:space="0" w:color="auto"/>
              <w:left w:val="nil"/>
              <w:right w:val="double" w:sz="6" w:space="0" w:color="auto"/>
            </w:tcBorders>
            <w:shd w:val="clear" w:color="000000" w:fill="FFFFFF"/>
            <w:vAlign w:val="center"/>
            <w:hideMark/>
          </w:tcPr>
          <w:p w14:paraId="7C4A13FF" w14:textId="77777777" w:rsidR="00247CBF" w:rsidRPr="00092ED7" w:rsidRDefault="00247CBF" w:rsidP="00247CBF">
            <w:pPr>
              <w:spacing w:after="0"/>
              <w:jc w:val="center"/>
              <w:rPr>
                <w:sz w:val="20"/>
                <w:lang w:val="sr-Cyrl-CS"/>
              </w:rPr>
            </w:pPr>
            <w:r w:rsidRPr="00092ED7">
              <w:rPr>
                <w:sz w:val="20"/>
                <w:lang w:val="sr-Cyrl-CS"/>
              </w:rPr>
              <w:t>Година</w:t>
            </w:r>
          </w:p>
          <w:p w14:paraId="40EE1A2B" w14:textId="77777777" w:rsidR="00247CBF" w:rsidRPr="00092ED7" w:rsidRDefault="00247CBF" w:rsidP="00247CBF">
            <w:pPr>
              <w:spacing w:after="0"/>
              <w:jc w:val="center"/>
              <w:rPr>
                <w:sz w:val="20"/>
                <w:lang w:val="sr-Cyrl-CS"/>
              </w:rPr>
            </w:pPr>
            <w:r w:rsidRPr="00092ED7">
              <w:rPr>
                <w:sz w:val="20"/>
                <w:lang w:val="sr-Cyrl-CS"/>
              </w:rPr>
              <w:t>2025</w:t>
            </w:r>
          </w:p>
        </w:tc>
      </w:tr>
      <w:tr w:rsidR="00247CBF" w:rsidRPr="00092ED7" w14:paraId="27DCDBD9" w14:textId="77777777" w:rsidTr="00247CBF">
        <w:trPr>
          <w:gridBefore w:val="1"/>
          <w:wBefore w:w="8" w:type="pct"/>
          <w:trHeight w:val="25"/>
        </w:trPr>
        <w:tc>
          <w:tcPr>
            <w:tcW w:w="1982" w:type="pct"/>
            <w:vMerge/>
            <w:tcBorders>
              <w:top w:val="double" w:sz="6" w:space="0" w:color="auto"/>
              <w:left w:val="double" w:sz="6" w:space="0" w:color="auto"/>
              <w:bottom w:val="nil"/>
              <w:right w:val="nil"/>
            </w:tcBorders>
            <w:vAlign w:val="center"/>
            <w:hideMark/>
          </w:tcPr>
          <w:p w14:paraId="77C630C7" w14:textId="77777777" w:rsidR="00247CBF" w:rsidRPr="00092ED7" w:rsidRDefault="00247CBF" w:rsidP="00247CBF">
            <w:pPr>
              <w:spacing w:after="0"/>
              <w:rPr>
                <w:rFonts w:eastAsia="Times New Roman" w:cs="Times New Roman"/>
                <w:sz w:val="20"/>
                <w:szCs w:val="20"/>
                <w:lang w:val="sr-Cyrl-CS"/>
              </w:rPr>
            </w:pPr>
          </w:p>
        </w:tc>
        <w:tc>
          <w:tcPr>
            <w:tcW w:w="388" w:type="pct"/>
            <w:tcBorders>
              <w:top w:val="nil"/>
              <w:left w:val="single" w:sz="4" w:space="0" w:color="auto"/>
              <w:bottom w:val="nil"/>
              <w:right w:val="single" w:sz="4" w:space="0" w:color="auto"/>
            </w:tcBorders>
            <w:shd w:val="clear" w:color="000000" w:fill="FFFFFF"/>
            <w:vAlign w:val="center"/>
            <w:hideMark/>
          </w:tcPr>
          <w:p w14:paraId="094A42A6"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шифра</w:t>
            </w:r>
          </w:p>
        </w:tc>
        <w:tc>
          <w:tcPr>
            <w:tcW w:w="437" w:type="pct"/>
            <w:gridSpan w:val="2"/>
            <w:vMerge/>
            <w:tcBorders>
              <w:left w:val="nil"/>
              <w:bottom w:val="dotted" w:sz="4" w:space="0" w:color="auto"/>
              <w:right w:val="single" w:sz="4" w:space="0" w:color="auto"/>
            </w:tcBorders>
            <w:shd w:val="clear" w:color="000000" w:fill="FFFFFF"/>
            <w:vAlign w:val="center"/>
            <w:hideMark/>
          </w:tcPr>
          <w:p w14:paraId="00EB93A1" w14:textId="77777777" w:rsidR="00247CBF" w:rsidRPr="00092ED7" w:rsidRDefault="00247CBF" w:rsidP="00247CBF">
            <w:pPr>
              <w:spacing w:after="0"/>
              <w:jc w:val="center"/>
              <w:rPr>
                <w:sz w:val="20"/>
                <w:lang w:val="sr-Cyrl-CS"/>
              </w:rPr>
            </w:pPr>
          </w:p>
        </w:tc>
        <w:tc>
          <w:tcPr>
            <w:tcW w:w="437" w:type="pct"/>
            <w:gridSpan w:val="3"/>
            <w:vMerge/>
            <w:tcBorders>
              <w:left w:val="nil"/>
              <w:bottom w:val="dotted" w:sz="4" w:space="0" w:color="auto"/>
              <w:right w:val="dotted" w:sz="4" w:space="0" w:color="auto"/>
            </w:tcBorders>
            <w:shd w:val="clear" w:color="000000" w:fill="FFFFFF"/>
            <w:vAlign w:val="center"/>
            <w:hideMark/>
          </w:tcPr>
          <w:p w14:paraId="688B393D" w14:textId="77777777" w:rsidR="00247CBF" w:rsidRPr="00092ED7" w:rsidRDefault="00247CBF" w:rsidP="00247CBF">
            <w:pPr>
              <w:spacing w:after="0"/>
              <w:jc w:val="center"/>
              <w:rPr>
                <w:sz w:val="20"/>
                <w:lang w:val="sr-Cyrl-CS"/>
              </w:rPr>
            </w:pPr>
          </w:p>
        </w:tc>
        <w:tc>
          <w:tcPr>
            <w:tcW w:w="437" w:type="pct"/>
            <w:gridSpan w:val="4"/>
            <w:vMerge/>
            <w:tcBorders>
              <w:left w:val="nil"/>
              <w:bottom w:val="dotted" w:sz="4" w:space="0" w:color="auto"/>
              <w:right w:val="dotted" w:sz="4" w:space="0" w:color="auto"/>
            </w:tcBorders>
            <w:shd w:val="clear" w:color="000000" w:fill="FFFFFF"/>
            <w:vAlign w:val="center"/>
            <w:hideMark/>
          </w:tcPr>
          <w:p w14:paraId="401FCA61" w14:textId="77777777" w:rsidR="00247CBF" w:rsidRPr="00092ED7" w:rsidRDefault="00247CBF" w:rsidP="00247CBF">
            <w:pPr>
              <w:spacing w:after="0"/>
              <w:jc w:val="center"/>
              <w:rPr>
                <w:sz w:val="20"/>
                <w:lang w:val="sr-Cyrl-CS"/>
              </w:rPr>
            </w:pPr>
          </w:p>
        </w:tc>
        <w:tc>
          <w:tcPr>
            <w:tcW w:w="437" w:type="pct"/>
            <w:gridSpan w:val="4"/>
            <w:vMerge/>
            <w:tcBorders>
              <w:left w:val="nil"/>
              <w:bottom w:val="dotted" w:sz="4" w:space="0" w:color="auto"/>
              <w:right w:val="dotted" w:sz="4" w:space="0" w:color="auto"/>
            </w:tcBorders>
            <w:shd w:val="clear" w:color="000000" w:fill="FFFFFF"/>
            <w:vAlign w:val="center"/>
            <w:hideMark/>
          </w:tcPr>
          <w:p w14:paraId="1EA3BBCA" w14:textId="77777777" w:rsidR="00247CBF" w:rsidRPr="00092ED7" w:rsidRDefault="00247CBF" w:rsidP="00247CBF">
            <w:pPr>
              <w:spacing w:after="0"/>
              <w:jc w:val="center"/>
              <w:rPr>
                <w:sz w:val="20"/>
                <w:lang w:val="sr-Cyrl-CS"/>
              </w:rPr>
            </w:pPr>
          </w:p>
        </w:tc>
        <w:tc>
          <w:tcPr>
            <w:tcW w:w="437" w:type="pct"/>
            <w:gridSpan w:val="3"/>
            <w:vMerge/>
            <w:tcBorders>
              <w:left w:val="nil"/>
              <w:bottom w:val="dotted" w:sz="4" w:space="0" w:color="auto"/>
              <w:right w:val="dotted" w:sz="4" w:space="0" w:color="auto"/>
            </w:tcBorders>
            <w:shd w:val="clear" w:color="000000" w:fill="FFFFFF"/>
            <w:vAlign w:val="center"/>
            <w:hideMark/>
          </w:tcPr>
          <w:p w14:paraId="0A67F1FA" w14:textId="77777777" w:rsidR="00247CBF" w:rsidRPr="00092ED7" w:rsidRDefault="00247CBF" w:rsidP="00247CBF">
            <w:pPr>
              <w:spacing w:after="0"/>
              <w:jc w:val="center"/>
              <w:rPr>
                <w:sz w:val="20"/>
                <w:lang w:val="sr-Cyrl-CS"/>
              </w:rPr>
            </w:pPr>
          </w:p>
        </w:tc>
        <w:tc>
          <w:tcPr>
            <w:tcW w:w="437" w:type="pct"/>
            <w:gridSpan w:val="2"/>
            <w:vMerge/>
            <w:tcBorders>
              <w:left w:val="nil"/>
              <w:bottom w:val="dotted" w:sz="4" w:space="0" w:color="auto"/>
              <w:right w:val="double" w:sz="6" w:space="0" w:color="auto"/>
            </w:tcBorders>
            <w:shd w:val="clear" w:color="000000" w:fill="FFFFFF"/>
            <w:vAlign w:val="center"/>
            <w:hideMark/>
          </w:tcPr>
          <w:p w14:paraId="50BAC322" w14:textId="77777777" w:rsidR="00247CBF" w:rsidRPr="00092ED7" w:rsidRDefault="00247CBF" w:rsidP="00247CBF">
            <w:pPr>
              <w:spacing w:after="0"/>
              <w:jc w:val="center"/>
              <w:rPr>
                <w:sz w:val="20"/>
                <w:lang w:val="sr-Cyrl-CS"/>
              </w:rPr>
            </w:pPr>
          </w:p>
        </w:tc>
      </w:tr>
      <w:tr w:rsidR="00247CBF" w:rsidRPr="00092ED7" w14:paraId="044A2705" w14:textId="77777777" w:rsidTr="00247CBF">
        <w:trPr>
          <w:gridBefore w:val="1"/>
          <w:wBefore w:w="8" w:type="pct"/>
          <w:trHeight w:val="184"/>
        </w:trPr>
        <w:tc>
          <w:tcPr>
            <w:tcW w:w="1982" w:type="pct"/>
            <w:tcBorders>
              <w:top w:val="nil"/>
              <w:left w:val="double" w:sz="6" w:space="0" w:color="auto"/>
              <w:bottom w:val="single" w:sz="8" w:space="0" w:color="auto"/>
              <w:right w:val="nil"/>
            </w:tcBorders>
            <w:shd w:val="clear" w:color="000000" w:fill="FFFFFF"/>
            <w:vAlign w:val="center"/>
            <w:hideMark/>
          </w:tcPr>
          <w:p w14:paraId="5EEAEE45"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388" w:type="pct"/>
            <w:tcBorders>
              <w:top w:val="nil"/>
              <w:left w:val="single" w:sz="4" w:space="0" w:color="auto"/>
              <w:bottom w:val="single" w:sz="8" w:space="0" w:color="auto"/>
              <w:right w:val="single" w:sz="4" w:space="0" w:color="auto"/>
            </w:tcBorders>
            <w:shd w:val="clear" w:color="000000" w:fill="FFFFFF"/>
            <w:vAlign w:val="center"/>
            <w:hideMark/>
          </w:tcPr>
          <w:p w14:paraId="75C3B01E"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 </w:t>
            </w:r>
          </w:p>
        </w:tc>
        <w:tc>
          <w:tcPr>
            <w:tcW w:w="1311" w:type="pct"/>
            <w:gridSpan w:val="9"/>
            <w:tcBorders>
              <w:top w:val="nil"/>
              <w:left w:val="nil"/>
              <w:bottom w:val="single" w:sz="8" w:space="0" w:color="auto"/>
              <w:right w:val="single" w:sz="4" w:space="0" w:color="auto"/>
            </w:tcBorders>
            <w:shd w:val="clear" w:color="000000" w:fill="FFFFFF"/>
            <w:vAlign w:val="center"/>
            <w:hideMark/>
          </w:tcPr>
          <w:p w14:paraId="6F48740B"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Ниво</w:t>
            </w:r>
          </w:p>
        </w:tc>
        <w:tc>
          <w:tcPr>
            <w:tcW w:w="1311" w:type="pct"/>
            <w:gridSpan w:val="9"/>
            <w:tcBorders>
              <w:top w:val="dotted" w:sz="4" w:space="0" w:color="auto"/>
              <w:left w:val="nil"/>
              <w:bottom w:val="single" w:sz="8" w:space="0" w:color="auto"/>
              <w:right w:val="double" w:sz="6" w:space="0" w:color="000000"/>
            </w:tcBorders>
            <w:shd w:val="clear" w:color="000000" w:fill="FFFFFF"/>
            <w:vAlign w:val="center"/>
            <w:hideMark/>
          </w:tcPr>
          <w:p w14:paraId="4998C1A8"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Ниво/Стопа промене</w:t>
            </w:r>
          </w:p>
        </w:tc>
      </w:tr>
      <w:tr w:rsidR="00247CBF" w:rsidRPr="00092ED7" w14:paraId="4682CC88" w14:textId="77777777" w:rsidTr="00247CBF">
        <w:trPr>
          <w:gridBefore w:val="1"/>
          <w:wBefore w:w="8" w:type="pct"/>
          <w:trHeight w:val="284"/>
        </w:trPr>
        <w:tc>
          <w:tcPr>
            <w:tcW w:w="1982" w:type="pct"/>
            <w:tcBorders>
              <w:top w:val="nil"/>
              <w:left w:val="double" w:sz="6" w:space="0" w:color="auto"/>
              <w:bottom w:val="dotted" w:sz="4" w:space="0" w:color="auto"/>
              <w:right w:val="nil"/>
            </w:tcBorders>
            <w:shd w:val="clear" w:color="000000" w:fill="FFFFFF"/>
            <w:vAlign w:val="center"/>
            <w:hideMark/>
          </w:tcPr>
          <w:p w14:paraId="2BC7AE41" w14:textId="77777777" w:rsidR="00247CBF" w:rsidRPr="00092ED7" w:rsidRDefault="00247CBF" w:rsidP="00247CBF">
            <w:pPr>
              <w:spacing w:after="0"/>
              <w:jc w:val="left"/>
              <w:rPr>
                <w:rFonts w:eastAsia="Times New Roman" w:cs="Times New Roman"/>
                <w:sz w:val="20"/>
                <w:szCs w:val="20"/>
                <w:lang w:val="sr-Cyrl-CS"/>
              </w:rPr>
            </w:pPr>
            <w:bookmarkStart w:id="78" w:name="RANGE!B7"/>
            <w:r w:rsidRPr="00092ED7">
              <w:rPr>
                <w:rFonts w:eastAsia="Times New Roman" w:cs="Times New Roman"/>
                <w:sz w:val="20"/>
                <w:szCs w:val="20"/>
                <w:lang w:val="sr-Cyrl-CS"/>
              </w:rPr>
              <w:t>1. Становништво (у хиљадама)</w:t>
            </w:r>
            <w:bookmarkEnd w:id="78"/>
          </w:p>
        </w:tc>
        <w:tc>
          <w:tcPr>
            <w:tcW w:w="388" w:type="pct"/>
            <w:tcBorders>
              <w:top w:val="nil"/>
              <w:left w:val="single" w:sz="4" w:space="0" w:color="auto"/>
              <w:bottom w:val="dotted" w:sz="4" w:space="0" w:color="auto"/>
              <w:right w:val="single" w:sz="4" w:space="0" w:color="auto"/>
            </w:tcBorders>
            <w:shd w:val="clear" w:color="000000" w:fill="FFFFFF"/>
            <w:vAlign w:val="center"/>
            <w:hideMark/>
          </w:tcPr>
          <w:p w14:paraId="2674B960" w14:textId="77777777" w:rsidR="00247CBF" w:rsidRPr="00092ED7" w:rsidRDefault="00247CBF" w:rsidP="00247CBF">
            <w:pPr>
              <w:spacing w:after="0"/>
              <w:jc w:val="center"/>
              <w:rPr>
                <w:rFonts w:eastAsia="Times New Roman" w:cs="Times New Roman"/>
                <w:sz w:val="20"/>
                <w:szCs w:val="20"/>
                <w:lang w:val="sr-Cyrl-CS"/>
              </w:rPr>
            </w:pPr>
          </w:p>
        </w:tc>
        <w:tc>
          <w:tcPr>
            <w:tcW w:w="437" w:type="pct"/>
            <w:gridSpan w:val="2"/>
            <w:tcBorders>
              <w:top w:val="nil"/>
              <w:left w:val="nil"/>
              <w:bottom w:val="dotted" w:sz="4" w:space="0" w:color="auto"/>
              <w:right w:val="single" w:sz="4" w:space="0" w:color="auto"/>
            </w:tcBorders>
            <w:shd w:val="clear" w:color="000000" w:fill="FFFFFF"/>
            <w:vAlign w:val="center"/>
            <w:hideMark/>
          </w:tcPr>
          <w:p w14:paraId="66F84F78"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437" w:type="pct"/>
            <w:gridSpan w:val="3"/>
            <w:tcBorders>
              <w:top w:val="nil"/>
              <w:left w:val="nil"/>
              <w:bottom w:val="dotted" w:sz="4" w:space="0" w:color="auto"/>
              <w:right w:val="dotted" w:sz="4" w:space="0" w:color="auto"/>
            </w:tcBorders>
            <w:shd w:val="clear" w:color="auto" w:fill="auto"/>
            <w:noWrap/>
            <w:vAlign w:val="center"/>
            <w:hideMark/>
          </w:tcPr>
          <w:p w14:paraId="5F0DA641" w14:textId="77777777" w:rsidR="00247CBF" w:rsidRPr="00092ED7" w:rsidRDefault="00247CBF" w:rsidP="00247CBF">
            <w:pPr>
              <w:spacing w:after="0"/>
              <w:jc w:val="right"/>
              <w:rPr>
                <w:sz w:val="20"/>
                <w:szCs w:val="20"/>
                <w:lang w:val="sr-Cyrl-CS"/>
              </w:rPr>
            </w:pPr>
            <w:r w:rsidRPr="00092ED7">
              <w:rPr>
                <w:sz w:val="20"/>
                <w:szCs w:val="20"/>
                <w:lang w:val="sr-Cyrl-CS"/>
              </w:rPr>
              <w:t>6.834</w:t>
            </w:r>
          </w:p>
        </w:tc>
        <w:tc>
          <w:tcPr>
            <w:tcW w:w="437" w:type="pct"/>
            <w:gridSpan w:val="4"/>
            <w:tcBorders>
              <w:top w:val="nil"/>
              <w:left w:val="nil"/>
              <w:bottom w:val="dotted" w:sz="4" w:space="0" w:color="auto"/>
              <w:right w:val="dotted" w:sz="4" w:space="0" w:color="auto"/>
            </w:tcBorders>
            <w:shd w:val="clear" w:color="auto" w:fill="auto"/>
            <w:noWrap/>
            <w:vAlign w:val="center"/>
            <w:hideMark/>
          </w:tcPr>
          <w:p w14:paraId="29AFE887" w14:textId="77777777" w:rsidR="00247CBF" w:rsidRPr="00092ED7" w:rsidRDefault="00247CBF" w:rsidP="00247CBF">
            <w:pPr>
              <w:spacing w:after="0"/>
              <w:jc w:val="right"/>
              <w:rPr>
                <w:sz w:val="20"/>
                <w:szCs w:val="20"/>
                <w:lang w:val="sr-Cyrl-CS"/>
              </w:rPr>
            </w:pPr>
            <w:r w:rsidRPr="00092ED7">
              <w:rPr>
                <w:sz w:val="20"/>
                <w:szCs w:val="20"/>
                <w:lang w:val="sr-Cyrl-CS"/>
              </w:rPr>
              <w:t>6.800</w:t>
            </w:r>
          </w:p>
        </w:tc>
        <w:tc>
          <w:tcPr>
            <w:tcW w:w="437" w:type="pct"/>
            <w:gridSpan w:val="4"/>
            <w:tcBorders>
              <w:top w:val="nil"/>
              <w:left w:val="nil"/>
              <w:bottom w:val="dotted" w:sz="4" w:space="0" w:color="auto"/>
              <w:right w:val="dotted" w:sz="4" w:space="0" w:color="auto"/>
            </w:tcBorders>
            <w:shd w:val="clear" w:color="auto" w:fill="auto"/>
            <w:noWrap/>
            <w:vAlign w:val="center"/>
            <w:hideMark/>
          </w:tcPr>
          <w:p w14:paraId="5C783F82" w14:textId="77777777" w:rsidR="00247CBF" w:rsidRPr="00092ED7" w:rsidRDefault="00247CBF" w:rsidP="00247CBF">
            <w:pPr>
              <w:spacing w:after="0"/>
              <w:jc w:val="right"/>
              <w:rPr>
                <w:sz w:val="20"/>
                <w:szCs w:val="20"/>
                <w:lang w:val="sr-Cyrl-CS"/>
              </w:rPr>
            </w:pPr>
            <w:r w:rsidRPr="00092ED7">
              <w:rPr>
                <w:sz w:val="20"/>
                <w:szCs w:val="20"/>
                <w:lang w:val="sr-Cyrl-CS"/>
              </w:rPr>
              <w:t>6.780</w:t>
            </w:r>
          </w:p>
        </w:tc>
        <w:tc>
          <w:tcPr>
            <w:tcW w:w="437" w:type="pct"/>
            <w:gridSpan w:val="3"/>
            <w:tcBorders>
              <w:top w:val="nil"/>
              <w:left w:val="nil"/>
              <w:bottom w:val="dotted" w:sz="4" w:space="0" w:color="auto"/>
              <w:right w:val="dotted" w:sz="4" w:space="0" w:color="auto"/>
            </w:tcBorders>
            <w:shd w:val="clear" w:color="auto" w:fill="auto"/>
            <w:noWrap/>
            <w:vAlign w:val="center"/>
            <w:hideMark/>
          </w:tcPr>
          <w:p w14:paraId="0C294E79" w14:textId="77777777" w:rsidR="00247CBF" w:rsidRPr="00092ED7" w:rsidRDefault="00247CBF" w:rsidP="00247CBF">
            <w:pPr>
              <w:spacing w:after="0"/>
              <w:jc w:val="right"/>
              <w:rPr>
                <w:sz w:val="20"/>
                <w:szCs w:val="20"/>
                <w:lang w:val="sr-Cyrl-CS"/>
              </w:rPr>
            </w:pPr>
            <w:r w:rsidRPr="00092ED7">
              <w:rPr>
                <w:sz w:val="20"/>
                <w:szCs w:val="20"/>
                <w:lang w:val="sr-Cyrl-CS"/>
              </w:rPr>
              <w:t>6.759</w:t>
            </w:r>
          </w:p>
        </w:tc>
        <w:tc>
          <w:tcPr>
            <w:tcW w:w="437" w:type="pct"/>
            <w:gridSpan w:val="2"/>
            <w:tcBorders>
              <w:top w:val="nil"/>
              <w:left w:val="nil"/>
              <w:bottom w:val="dotted" w:sz="4" w:space="0" w:color="auto"/>
              <w:right w:val="double" w:sz="6" w:space="0" w:color="auto"/>
            </w:tcBorders>
            <w:shd w:val="clear" w:color="auto" w:fill="auto"/>
            <w:noWrap/>
            <w:vAlign w:val="center"/>
            <w:hideMark/>
          </w:tcPr>
          <w:p w14:paraId="27B42F2E" w14:textId="77777777" w:rsidR="00247CBF" w:rsidRPr="00092ED7" w:rsidRDefault="00247CBF" w:rsidP="00247CBF">
            <w:pPr>
              <w:spacing w:after="0"/>
              <w:jc w:val="right"/>
              <w:rPr>
                <w:sz w:val="20"/>
                <w:szCs w:val="20"/>
                <w:lang w:val="sr-Cyrl-CS"/>
              </w:rPr>
            </w:pPr>
            <w:r w:rsidRPr="00092ED7">
              <w:rPr>
                <w:sz w:val="20"/>
                <w:szCs w:val="20"/>
                <w:lang w:val="sr-Cyrl-CS"/>
              </w:rPr>
              <w:t>6.739</w:t>
            </w:r>
          </w:p>
        </w:tc>
      </w:tr>
      <w:tr w:rsidR="00247CBF" w:rsidRPr="00092ED7" w14:paraId="523FAE74" w14:textId="77777777" w:rsidTr="00247CBF">
        <w:trPr>
          <w:gridBefore w:val="1"/>
          <w:wBefore w:w="8" w:type="pct"/>
          <w:trHeight w:val="284"/>
        </w:trPr>
        <w:tc>
          <w:tcPr>
            <w:tcW w:w="1982" w:type="pct"/>
            <w:tcBorders>
              <w:top w:val="nil"/>
              <w:left w:val="double" w:sz="6" w:space="0" w:color="auto"/>
              <w:bottom w:val="dotted" w:sz="4" w:space="0" w:color="auto"/>
              <w:right w:val="nil"/>
            </w:tcBorders>
            <w:shd w:val="clear" w:color="000000" w:fill="FFFFFF"/>
            <w:vAlign w:val="center"/>
            <w:hideMark/>
          </w:tcPr>
          <w:p w14:paraId="22ED4890" w14:textId="77777777" w:rsidR="00247CBF" w:rsidRPr="00092ED7" w:rsidRDefault="00247CBF" w:rsidP="00247CBF">
            <w:pPr>
              <w:spacing w:after="0"/>
              <w:jc w:val="left"/>
              <w:rPr>
                <w:rFonts w:eastAsia="Times New Roman" w:cs="Times New Roman"/>
                <w:sz w:val="20"/>
                <w:szCs w:val="20"/>
                <w:lang w:val="sr-Cyrl-CS"/>
              </w:rPr>
            </w:pPr>
            <w:bookmarkStart w:id="79" w:name="RANGE!B8"/>
            <w:r w:rsidRPr="00092ED7">
              <w:rPr>
                <w:rFonts w:eastAsia="Times New Roman" w:cs="Times New Roman"/>
                <w:sz w:val="20"/>
                <w:szCs w:val="20"/>
                <w:lang w:val="sr-Cyrl-CS"/>
              </w:rPr>
              <w:t>2. Становништво (стопа раста у %)</w:t>
            </w:r>
            <w:bookmarkEnd w:id="79"/>
          </w:p>
        </w:tc>
        <w:tc>
          <w:tcPr>
            <w:tcW w:w="388" w:type="pct"/>
            <w:tcBorders>
              <w:top w:val="nil"/>
              <w:left w:val="single" w:sz="4" w:space="0" w:color="auto"/>
              <w:bottom w:val="dotted" w:sz="4" w:space="0" w:color="auto"/>
              <w:right w:val="single" w:sz="4" w:space="0" w:color="auto"/>
            </w:tcBorders>
            <w:shd w:val="clear" w:color="000000" w:fill="FFFFFF"/>
            <w:vAlign w:val="center"/>
            <w:hideMark/>
          </w:tcPr>
          <w:p w14:paraId="040576E9" w14:textId="77777777" w:rsidR="00247CBF" w:rsidRPr="00092ED7" w:rsidRDefault="00247CBF" w:rsidP="00247CBF">
            <w:pPr>
              <w:spacing w:after="0"/>
              <w:jc w:val="center"/>
              <w:rPr>
                <w:rFonts w:eastAsia="Times New Roman" w:cs="Times New Roman"/>
                <w:sz w:val="20"/>
                <w:szCs w:val="20"/>
                <w:lang w:val="sr-Cyrl-CS"/>
              </w:rPr>
            </w:pPr>
          </w:p>
        </w:tc>
        <w:tc>
          <w:tcPr>
            <w:tcW w:w="437" w:type="pct"/>
            <w:gridSpan w:val="2"/>
            <w:tcBorders>
              <w:top w:val="nil"/>
              <w:left w:val="nil"/>
              <w:bottom w:val="dotted" w:sz="4" w:space="0" w:color="auto"/>
              <w:right w:val="single" w:sz="4" w:space="0" w:color="auto"/>
            </w:tcBorders>
            <w:shd w:val="clear" w:color="000000" w:fill="FFFFFF"/>
            <w:vAlign w:val="center"/>
            <w:hideMark/>
          </w:tcPr>
          <w:p w14:paraId="60AF7DC4"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437" w:type="pct"/>
            <w:gridSpan w:val="3"/>
            <w:tcBorders>
              <w:top w:val="nil"/>
              <w:left w:val="nil"/>
              <w:bottom w:val="dotted" w:sz="4" w:space="0" w:color="auto"/>
              <w:right w:val="dotted" w:sz="4" w:space="0" w:color="auto"/>
            </w:tcBorders>
            <w:shd w:val="clear" w:color="auto" w:fill="auto"/>
            <w:noWrap/>
            <w:vAlign w:val="center"/>
            <w:hideMark/>
          </w:tcPr>
          <w:p w14:paraId="4778C017" w14:textId="77777777" w:rsidR="00247CBF" w:rsidRPr="00092ED7" w:rsidRDefault="00247CBF" w:rsidP="00247CBF">
            <w:pPr>
              <w:spacing w:after="0"/>
              <w:jc w:val="right"/>
              <w:rPr>
                <w:sz w:val="20"/>
                <w:szCs w:val="20"/>
                <w:lang w:val="sr-Cyrl-CS"/>
              </w:rPr>
            </w:pPr>
            <w:r w:rsidRPr="00092ED7">
              <w:rPr>
                <w:sz w:val="20"/>
                <w:szCs w:val="20"/>
                <w:lang w:val="sr-Cyrl-CS"/>
              </w:rPr>
              <w:t>-0,9</w:t>
            </w:r>
          </w:p>
        </w:tc>
        <w:tc>
          <w:tcPr>
            <w:tcW w:w="437" w:type="pct"/>
            <w:gridSpan w:val="4"/>
            <w:tcBorders>
              <w:top w:val="nil"/>
              <w:left w:val="nil"/>
              <w:bottom w:val="dotted" w:sz="4" w:space="0" w:color="auto"/>
              <w:right w:val="dotted" w:sz="4" w:space="0" w:color="auto"/>
            </w:tcBorders>
            <w:shd w:val="clear" w:color="auto" w:fill="auto"/>
            <w:noWrap/>
            <w:vAlign w:val="center"/>
            <w:hideMark/>
          </w:tcPr>
          <w:p w14:paraId="7E6DFDCE" w14:textId="77777777" w:rsidR="00247CBF" w:rsidRPr="00092ED7" w:rsidRDefault="00247CBF" w:rsidP="00247CBF">
            <w:pPr>
              <w:spacing w:after="0"/>
              <w:jc w:val="right"/>
              <w:rPr>
                <w:sz w:val="20"/>
                <w:szCs w:val="20"/>
                <w:lang w:val="sr-Cyrl-CS"/>
              </w:rPr>
            </w:pPr>
            <w:r w:rsidRPr="00092ED7">
              <w:rPr>
                <w:sz w:val="20"/>
                <w:szCs w:val="20"/>
                <w:lang w:val="sr-Cyrl-CS"/>
              </w:rPr>
              <w:t>-0,5</w:t>
            </w:r>
          </w:p>
        </w:tc>
        <w:tc>
          <w:tcPr>
            <w:tcW w:w="437" w:type="pct"/>
            <w:gridSpan w:val="4"/>
            <w:tcBorders>
              <w:top w:val="nil"/>
              <w:left w:val="nil"/>
              <w:bottom w:val="dotted" w:sz="4" w:space="0" w:color="auto"/>
              <w:right w:val="dotted" w:sz="4" w:space="0" w:color="auto"/>
            </w:tcBorders>
            <w:shd w:val="clear" w:color="auto" w:fill="auto"/>
            <w:noWrap/>
            <w:vAlign w:val="center"/>
            <w:hideMark/>
          </w:tcPr>
          <w:p w14:paraId="5CAEC4AA" w14:textId="77777777" w:rsidR="00247CBF" w:rsidRPr="00092ED7" w:rsidRDefault="00247CBF" w:rsidP="00247CBF">
            <w:pPr>
              <w:spacing w:after="0"/>
              <w:jc w:val="right"/>
              <w:rPr>
                <w:sz w:val="20"/>
                <w:szCs w:val="20"/>
                <w:lang w:val="sr-Cyrl-CS"/>
              </w:rPr>
            </w:pPr>
            <w:r w:rsidRPr="00092ED7">
              <w:rPr>
                <w:sz w:val="20"/>
                <w:szCs w:val="20"/>
                <w:lang w:val="sr-Cyrl-CS"/>
              </w:rPr>
              <w:t>-0,3</w:t>
            </w:r>
          </w:p>
        </w:tc>
        <w:tc>
          <w:tcPr>
            <w:tcW w:w="437" w:type="pct"/>
            <w:gridSpan w:val="3"/>
            <w:tcBorders>
              <w:top w:val="nil"/>
              <w:left w:val="nil"/>
              <w:bottom w:val="dotted" w:sz="4" w:space="0" w:color="auto"/>
              <w:right w:val="dotted" w:sz="4" w:space="0" w:color="auto"/>
            </w:tcBorders>
            <w:shd w:val="clear" w:color="auto" w:fill="auto"/>
            <w:noWrap/>
            <w:vAlign w:val="center"/>
            <w:hideMark/>
          </w:tcPr>
          <w:p w14:paraId="37BB9F46" w14:textId="77777777" w:rsidR="00247CBF" w:rsidRPr="00092ED7" w:rsidRDefault="00247CBF" w:rsidP="00247CBF">
            <w:pPr>
              <w:spacing w:after="0"/>
              <w:jc w:val="right"/>
              <w:rPr>
                <w:sz w:val="20"/>
                <w:szCs w:val="20"/>
                <w:lang w:val="sr-Cyrl-CS"/>
              </w:rPr>
            </w:pPr>
            <w:r w:rsidRPr="00092ED7">
              <w:rPr>
                <w:sz w:val="20"/>
                <w:szCs w:val="20"/>
                <w:lang w:val="sr-Cyrl-CS"/>
              </w:rPr>
              <w:t>-0,3</w:t>
            </w:r>
          </w:p>
        </w:tc>
        <w:tc>
          <w:tcPr>
            <w:tcW w:w="437" w:type="pct"/>
            <w:gridSpan w:val="2"/>
            <w:tcBorders>
              <w:top w:val="nil"/>
              <w:left w:val="nil"/>
              <w:bottom w:val="dotted" w:sz="4" w:space="0" w:color="auto"/>
              <w:right w:val="double" w:sz="6" w:space="0" w:color="auto"/>
            </w:tcBorders>
            <w:shd w:val="clear" w:color="auto" w:fill="auto"/>
            <w:noWrap/>
            <w:vAlign w:val="center"/>
            <w:hideMark/>
          </w:tcPr>
          <w:p w14:paraId="33DA2163" w14:textId="77777777" w:rsidR="00247CBF" w:rsidRPr="00092ED7" w:rsidRDefault="00247CBF" w:rsidP="00247CBF">
            <w:pPr>
              <w:spacing w:after="0"/>
              <w:jc w:val="right"/>
              <w:rPr>
                <w:sz w:val="20"/>
                <w:szCs w:val="20"/>
                <w:lang w:val="sr-Cyrl-CS"/>
              </w:rPr>
            </w:pPr>
            <w:r w:rsidRPr="00092ED7">
              <w:rPr>
                <w:sz w:val="20"/>
                <w:szCs w:val="20"/>
                <w:lang w:val="sr-Cyrl-CS"/>
              </w:rPr>
              <w:t>-0,3</w:t>
            </w:r>
          </w:p>
        </w:tc>
      </w:tr>
      <w:bookmarkStart w:id="80" w:name="RANGE!B9"/>
      <w:tr w:rsidR="00247CBF" w:rsidRPr="00092ED7" w14:paraId="1B2537C0" w14:textId="77777777" w:rsidTr="00247CBF">
        <w:trPr>
          <w:gridBefore w:val="1"/>
          <w:wBefore w:w="8" w:type="pct"/>
          <w:trHeight w:val="284"/>
        </w:trPr>
        <w:tc>
          <w:tcPr>
            <w:tcW w:w="1982" w:type="pct"/>
            <w:tcBorders>
              <w:top w:val="nil"/>
              <w:left w:val="double" w:sz="6" w:space="0" w:color="auto"/>
              <w:bottom w:val="dotted" w:sz="4" w:space="0" w:color="auto"/>
              <w:right w:val="nil"/>
            </w:tcBorders>
            <w:shd w:val="clear" w:color="000000" w:fill="FFFFFF"/>
            <w:vAlign w:val="center"/>
            <w:hideMark/>
          </w:tcPr>
          <w:p w14:paraId="701469A9" w14:textId="77777777" w:rsidR="00247CBF" w:rsidRPr="00092ED7" w:rsidRDefault="00247CBF" w:rsidP="00247CBF">
            <w:pPr>
              <w:spacing w:after="0"/>
              <w:jc w:val="left"/>
              <w:rPr>
                <w:rFonts w:eastAsia="Times New Roman" w:cs="Times New Roman"/>
                <w:sz w:val="20"/>
                <w:szCs w:val="20"/>
                <w:lang w:val="sr-Cyrl-CS"/>
              </w:rPr>
            </w:pPr>
            <w:r w:rsidRPr="00092ED7">
              <w:rPr>
                <w:rFonts w:eastAsia="Times New Roman" w:cs="Times New Roman"/>
                <w:sz w:val="20"/>
                <w:szCs w:val="20"/>
                <w:lang w:val="sr-Cyrl-CS"/>
              </w:rPr>
              <w:fldChar w:fldCharType="begin"/>
            </w:r>
            <w:r w:rsidRPr="00092ED7">
              <w:rPr>
                <w:rFonts w:eastAsia="Times New Roman" w:cs="Times New Roman"/>
                <w:sz w:val="20"/>
                <w:szCs w:val="20"/>
                <w:lang w:val="sr-Cyrl-CS"/>
              </w:rPr>
              <w:instrText xml:space="preserve"> HYPERLINK "file:///C:\\Users\\svetlana.aksentijevi\\AppData\\Local\\Microsoft\\Windows\\INetCache\\Content.MSO\\1D05A8A2.xlsx" \l "RANGE!B21" </w:instrText>
            </w:r>
            <w:r w:rsidRPr="00092ED7">
              <w:rPr>
                <w:rFonts w:eastAsia="Times New Roman" w:cs="Times New Roman"/>
                <w:sz w:val="20"/>
                <w:szCs w:val="20"/>
                <w:lang w:val="sr-Cyrl-CS"/>
              </w:rPr>
            </w:r>
            <w:r w:rsidRPr="00092ED7">
              <w:rPr>
                <w:rFonts w:eastAsia="Times New Roman" w:cs="Times New Roman"/>
                <w:sz w:val="20"/>
                <w:szCs w:val="20"/>
                <w:lang w:val="sr-Cyrl-CS"/>
              </w:rPr>
              <w:fldChar w:fldCharType="separate"/>
            </w:r>
            <w:r w:rsidRPr="00092ED7">
              <w:rPr>
                <w:rFonts w:eastAsia="Times New Roman" w:cs="Times New Roman"/>
                <w:sz w:val="20"/>
                <w:szCs w:val="20"/>
                <w:lang w:val="sr-Cyrl-CS"/>
              </w:rPr>
              <w:t>3. Становништво радног узраста (број лица) [1]</w:t>
            </w:r>
            <w:r w:rsidRPr="00092ED7">
              <w:rPr>
                <w:rFonts w:eastAsia="Times New Roman" w:cs="Times New Roman"/>
                <w:sz w:val="20"/>
                <w:szCs w:val="20"/>
                <w:lang w:val="sr-Cyrl-CS"/>
              </w:rPr>
              <w:fldChar w:fldCharType="end"/>
            </w:r>
            <w:bookmarkEnd w:id="80"/>
          </w:p>
        </w:tc>
        <w:tc>
          <w:tcPr>
            <w:tcW w:w="388" w:type="pct"/>
            <w:tcBorders>
              <w:top w:val="nil"/>
              <w:left w:val="single" w:sz="4" w:space="0" w:color="auto"/>
              <w:bottom w:val="dotted" w:sz="4" w:space="0" w:color="auto"/>
              <w:right w:val="single" w:sz="4" w:space="0" w:color="auto"/>
            </w:tcBorders>
            <w:shd w:val="clear" w:color="000000" w:fill="FFFFFF"/>
            <w:vAlign w:val="center"/>
            <w:hideMark/>
          </w:tcPr>
          <w:p w14:paraId="5A266A36" w14:textId="77777777" w:rsidR="00247CBF" w:rsidRPr="00092ED7" w:rsidRDefault="00247CBF" w:rsidP="00247CBF">
            <w:pPr>
              <w:spacing w:after="0"/>
              <w:jc w:val="center"/>
              <w:rPr>
                <w:rFonts w:eastAsia="Times New Roman" w:cs="Times New Roman"/>
                <w:sz w:val="20"/>
                <w:szCs w:val="20"/>
                <w:lang w:val="sr-Cyrl-CS"/>
              </w:rPr>
            </w:pPr>
          </w:p>
        </w:tc>
        <w:tc>
          <w:tcPr>
            <w:tcW w:w="437" w:type="pct"/>
            <w:gridSpan w:val="2"/>
            <w:tcBorders>
              <w:top w:val="nil"/>
              <w:left w:val="nil"/>
              <w:bottom w:val="dotted" w:sz="4" w:space="0" w:color="auto"/>
              <w:right w:val="single" w:sz="4" w:space="0" w:color="auto"/>
            </w:tcBorders>
            <w:shd w:val="clear" w:color="000000" w:fill="FFFFFF"/>
            <w:vAlign w:val="center"/>
            <w:hideMark/>
          </w:tcPr>
          <w:p w14:paraId="0EC5702A"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437" w:type="pct"/>
            <w:gridSpan w:val="3"/>
            <w:tcBorders>
              <w:top w:val="nil"/>
              <w:left w:val="nil"/>
              <w:bottom w:val="dotted" w:sz="4" w:space="0" w:color="auto"/>
              <w:right w:val="dotted" w:sz="4" w:space="0" w:color="auto"/>
            </w:tcBorders>
            <w:shd w:val="clear" w:color="auto" w:fill="auto"/>
            <w:noWrap/>
            <w:vAlign w:val="center"/>
            <w:hideMark/>
          </w:tcPr>
          <w:p w14:paraId="476CA6DE" w14:textId="77777777" w:rsidR="00247CBF" w:rsidRPr="00092ED7" w:rsidRDefault="00247CBF" w:rsidP="00247CBF">
            <w:pPr>
              <w:spacing w:after="0"/>
              <w:jc w:val="right"/>
              <w:rPr>
                <w:sz w:val="20"/>
                <w:szCs w:val="20"/>
                <w:lang w:val="sr-Cyrl-CS"/>
              </w:rPr>
            </w:pPr>
            <w:r w:rsidRPr="00092ED7">
              <w:rPr>
                <w:sz w:val="20"/>
                <w:szCs w:val="20"/>
                <w:lang w:val="sr-Cyrl-CS"/>
              </w:rPr>
              <w:t>4.387</w:t>
            </w:r>
          </w:p>
        </w:tc>
        <w:tc>
          <w:tcPr>
            <w:tcW w:w="437" w:type="pct"/>
            <w:gridSpan w:val="4"/>
            <w:tcBorders>
              <w:top w:val="nil"/>
              <w:left w:val="nil"/>
              <w:bottom w:val="dotted" w:sz="4" w:space="0" w:color="auto"/>
              <w:right w:val="dotted" w:sz="4" w:space="0" w:color="auto"/>
            </w:tcBorders>
            <w:shd w:val="clear" w:color="auto" w:fill="auto"/>
            <w:noWrap/>
            <w:vAlign w:val="center"/>
            <w:hideMark/>
          </w:tcPr>
          <w:p w14:paraId="2E4A618D" w14:textId="77777777" w:rsidR="00247CBF" w:rsidRPr="00092ED7" w:rsidRDefault="00247CBF" w:rsidP="00247CBF">
            <w:pPr>
              <w:spacing w:after="0"/>
              <w:jc w:val="right"/>
              <w:rPr>
                <w:sz w:val="20"/>
                <w:szCs w:val="20"/>
                <w:lang w:val="sr-Cyrl-CS"/>
              </w:rPr>
            </w:pPr>
            <w:r w:rsidRPr="00092ED7">
              <w:rPr>
                <w:sz w:val="20"/>
                <w:szCs w:val="20"/>
                <w:lang w:val="sr-Cyrl-CS"/>
              </w:rPr>
              <w:t>4.372</w:t>
            </w:r>
          </w:p>
        </w:tc>
        <w:tc>
          <w:tcPr>
            <w:tcW w:w="437" w:type="pct"/>
            <w:gridSpan w:val="4"/>
            <w:tcBorders>
              <w:top w:val="nil"/>
              <w:left w:val="nil"/>
              <w:bottom w:val="dotted" w:sz="4" w:space="0" w:color="auto"/>
              <w:right w:val="dotted" w:sz="4" w:space="0" w:color="auto"/>
            </w:tcBorders>
            <w:shd w:val="clear" w:color="auto" w:fill="auto"/>
            <w:noWrap/>
            <w:vAlign w:val="center"/>
            <w:hideMark/>
          </w:tcPr>
          <w:p w14:paraId="768D1BF6" w14:textId="77777777" w:rsidR="00247CBF" w:rsidRPr="00092ED7" w:rsidRDefault="00247CBF" w:rsidP="00247CBF">
            <w:pPr>
              <w:spacing w:after="0"/>
              <w:jc w:val="right"/>
              <w:rPr>
                <w:sz w:val="20"/>
                <w:szCs w:val="20"/>
                <w:lang w:val="sr-Cyrl-CS"/>
              </w:rPr>
            </w:pPr>
            <w:r w:rsidRPr="00092ED7">
              <w:rPr>
                <w:sz w:val="20"/>
                <w:szCs w:val="20"/>
                <w:lang w:val="sr-Cyrl-CS"/>
              </w:rPr>
              <w:t>4.373</w:t>
            </w:r>
          </w:p>
        </w:tc>
        <w:tc>
          <w:tcPr>
            <w:tcW w:w="437" w:type="pct"/>
            <w:gridSpan w:val="3"/>
            <w:tcBorders>
              <w:top w:val="nil"/>
              <w:left w:val="nil"/>
              <w:bottom w:val="dotted" w:sz="4" w:space="0" w:color="auto"/>
              <w:right w:val="dotted" w:sz="4" w:space="0" w:color="auto"/>
            </w:tcBorders>
            <w:shd w:val="clear" w:color="auto" w:fill="auto"/>
            <w:noWrap/>
            <w:vAlign w:val="center"/>
            <w:hideMark/>
          </w:tcPr>
          <w:p w14:paraId="1E769FFC" w14:textId="77777777" w:rsidR="00247CBF" w:rsidRPr="00092ED7" w:rsidRDefault="00247CBF" w:rsidP="00247CBF">
            <w:pPr>
              <w:spacing w:after="0"/>
              <w:jc w:val="right"/>
              <w:rPr>
                <w:sz w:val="20"/>
                <w:szCs w:val="20"/>
                <w:lang w:val="sr-Cyrl-CS"/>
              </w:rPr>
            </w:pPr>
            <w:r w:rsidRPr="00092ED7">
              <w:rPr>
                <w:sz w:val="20"/>
                <w:szCs w:val="20"/>
                <w:lang w:val="sr-Cyrl-CS"/>
              </w:rPr>
              <w:t>4.360</w:t>
            </w:r>
          </w:p>
        </w:tc>
        <w:tc>
          <w:tcPr>
            <w:tcW w:w="437" w:type="pct"/>
            <w:gridSpan w:val="2"/>
            <w:tcBorders>
              <w:top w:val="nil"/>
              <w:left w:val="nil"/>
              <w:bottom w:val="dotted" w:sz="4" w:space="0" w:color="auto"/>
              <w:right w:val="double" w:sz="6" w:space="0" w:color="auto"/>
            </w:tcBorders>
            <w:shd w:val="clear" w:color="auto" w:fill="auto"/>
            <w:noWrap/>
            <w:vAlign w:val="center"/>
            <w:hideMark/>
          </w:tcPr>
          <w:p w14:paraId="47E44483" w14:textId="77777777" w:rsidR="00247CBF" w:rsidRPr="00092ED7" w:rsidRDefault="00247CBF" w:rsidP="00247CBF">
            <w:pPr>
              <w:spacing w:after="0"/>
              <w:jc w:val="right"/>
              <w:rPr>
                <w:sz w:val="20"/>
                <w:szCs w:val="20"/>
                <w:lang w:val="sr-Cyrl-CS"/>
              </w:rPr>
            </w:pPr>
            <w:r w:rsidRPr="00092ED7">
              <w:rPr>
                <w:sz w:val="20"/>
                <w:szCs w:val="20"/>
                <w:lang w:val="sr-Cyrl-CS"/>
              </w:rPr>
              <w:t>4.374</w:t>
            </w:r>
          </w:p>
        </w:tc>
      </w:tr>
      <w:tr w:rsidR="00247CBF" w:rsidRPr="00092ED7" w14:paraId="725DB923" w14:textId="77777777" w:rsidTr="00247CBF">
        <w:trPr>
          <w:gridBefore w:val="1"/>
          <w:wBefore w:w="8" w:type="pct"/>
          <w:trHeight w:val="284"/>
        </w:trPr>
        <w:tc>
          <w:tcPr>
            <w:tcW w:w="1982" w:type="pct"/>
            <w:tcBorders>
              <w:top w:val="nil"/>
              <w:left w:val="double" w:sz="6" w:space="0" w:color="auto"/>
              <w:bottom w:val="dotted" w:sz="4" w:space="0" w:color="auto"/>
              <w:right w:val="nil"/>
            </w:tcBorders>
            <w:shd w:val="clear" w:color="000000" w:fill="FFFFFF"/>
            <w:vAlign w:val="center"/>
            <w:hideMark/>
          </w:tcPr>
          <w:p w14:paraId="7DD87246" w14:textId="77777777" w:rsidR="00247CBF" w:rsidRPr="00092ED7" w:rsidRDefault="00247CBF" w:rsidP="00247CBF">
            <w:pPr>
              <w:spacing w:after="0"/>
              <w:jc w:val="left"/>
              <w:rPr>
                <w:rFonts w:eastAsia="Times New Roman" w:cs="Times New Roman"/>
                <w:sz w:val="20"/>
                <w:szCs w:val="20"/>
                <w:lang w:val="sr-Cyrl-CS"/>
              </w:rPr>
            </w:pPr>
            <w:bookmarkStart w:id="81" w:name="RANGE!B10"/>
            <w:r w:rsidRPr="00092ED7">
              <w:rPr>
                <w:rFonts w:eastAsia="Times New Roman" w:cs="Times New Roman"/>
                <w:sz w:val="20"/>
                <w:szCs w:val="20"/>
                <w:lang w:val="sr-Cyrl-CS"/>
              </w:rPr>
              <w:t>4. Стопа активности</w:t>
            </w:r>
            <w:bookmarkEnd w:id="81"/>
          </w:p>
        </w:tc>
        <w:tc>
          <w:tcPr>
            <w:tcW w:w="388" w:type="pct"/>
            <w:tcBorders>
              <w:top w:val="nil"/>
              <w:left w:val="single" w:sz="4" w:space="0" w:color="auto"/>
              <w:bottom w:val="dotted" w:sz="4" w:space="0" w:color="auto"/>
              <w:right w:val="single" w:sz="4" w:space="0" w:color="auto"/>
            </w:tcBorders>
            <w:shd w:val="clear" w:color="000000" w:fill="FFFFFF"/>
            <w:vAlign w:val="center"/>
            <w:hideMark/>
          </w:tcPr>
          <w:p w14:paraId="73A4EA1A" w14:textId="77777777" w:rsidR="00247CBF" w:rsidRPr="00092ED7" w:rsidRDefault="00247CBF" w:rsidP="00247CBF">
            <w:pPr>
              <w:spacing w:after="0"/>
              <w:jc w:val="center"/>
              <w:rPr>
                <w:rFonts w:eastAsia="Times New Roman" w:cs="Times New Roman"/>
                <w:sz w:val="20"/>
                <w:szCs w:val="20"/>
                <w:lang w:val="sr-Cyrl-CS"/>
              </w:rPr>
            </w:pPr>
          </w:p>
        </w:tc>
        <w:tc>
          <w:tcPr>
            <w:tcW w:w="437" w:type="pct"/>
            <w:gridSpan w:val="2"/>
            <w:tcBorders>
              <w:top w:val="nil"/>
              <w:left w:val="nil"/>
              <w:bottom w:val="dotted" w:sz="4" w:space="0" w:color="auto"/>
              <w:right w:val="single" w:sz="4" w:space="0" w:color="auto"/>
            </w:tcBorders>
            <w:shd w:val="clear" w:color="000000" w:fill="FFFFFF"/>
            <w:vAlign w:val="center"/>
            <w:hideMark/>
          </w:tcPr>
          <w:p w14:paraId="18B5DF42"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437" w:type="pct"/>
            <w:gridSpan w:val="3"/>
            <w:tcBorders>
              <w:top w:val="nil"/>
              <w:left w:val="nil"/>
              <w:bottom w:val="dotted" w:sz="4" w:space="0" w:color="auto"/>
              <w:right w:val="dotted" w:sz="4" w:space="0" w:color="auto"/>
            </w:tcBorders>
            <w:shd w:val="clear" w:color="000000" w:fill="FFFFFF"/>
            <w:noWrap/>
            <w:vAlign w:val="center"/>
            <w:hideMark/>
          </w:tcPr>
          <w:p w14:paraId="1442AB8A" w14:textId="77777777" w:rsidR="00247CBF" w:rsidRPr="00092ED7" w:rsidRDefault="00247CBF" w:rsidP="00247CBF">
            <w:pPr>
              <w:spacing w:after="0"/>
              <w:jc w:val="right"/>
              <w:rPr>
                <w:sz w:val="20"/>
                <w:szCs w:val="20"/>
                <w:lang w:val="sr-Cyrl-CS"/>
              </w:rPr>
            </w:pPr>
            <w:r w:rsidRPr="00092ED7">
              <w:rPr>
                <w:sz w:val="20"/>
                <w:szCs w:val="20"/>
                <w:lang w:val="sr-Cyrl-CS"/>
              </w:rPr>
              <w:t>70,3</w:t>
            </w:r>
          </w:p>
        </w:tc>
        <w:tc>
          <w:tcPr>
            <w:tcW w:w="437" w:type="pct"/>
            <w:gridSpan w:val="4"/>
            <w:tcBorders>
              <w:top w:val="nil"/>
              <w:left w:val="nil"/>
              <w:bottom w:val="dotted" w:sz="4" w:space="0" w:color="auto"/>
              <w:right w:val="dotted" w:sz="4" w:space="0" w:color="auto"/>
            </w:tcBorders>
            <w:shd w:val="clear" w:color="000000" w:fill="FFFFFF"/>
            <w:noWrap/>
            <w:vAlign w:val="center"/>
            <w:hideMark/>
          </w:tcPr>
          <w:p w14:paraId="5CBB8853" w14:textId="77777777" w:rsidR="00247CBF" w:rsidRPr="00092ED7" w:rsidRDefault="00247CBF" w:rsidP="00247CBF">
            <w:pPr>
              <w:spacing w:after="0"/>
              <w:jc w:val="right"/>
              <w:rPr>
                <w:sz w:val="20"/>
                <w:szCs w:val="20"/>
                <w:lang w:val="sr-Cyrl-CS"/>
              </w:rPr>
            </w:pPr>
            <w:r w:rsidRPr="00092ED7">
              <w:rPr>
                <w:sz w:val="20"/>
                <w:szCs w:val="20"/>
                <w:lang w:val="sr-Cyrl-CS"/>
              </w:rPr>
              <w:t>71,4</w:t>
            </w:r>
          </w:p>
        </w:tc>
        <w:tc>
          <w:tcPr>
            <w:tcW w:w="437" w:type="pct"/>
            <w:gridSpan w:val="4"/>
            <w:tcBorders>
              <w:top w:val="nil"/>
              <w:left w:val="nil"/>
              <w:bottom w:val="dotted" w:sz="4" w:space="0" w:color="auto"/>
              <w:right w:val="dotted" w:sz="4" w:space="0" w:color="auto"/>
            </w:tcBorders>
            <w:shd w:val="clear" w:color="000000" w:fill="FFFFFF"/>
            <w:noWrap/>
            <w:vAlign w:val="center"/>
            <w:hideMark/>
          </w:tcPr>
          <w:p w14:paraId="2169C506" w14:textId="77777777" w:rsidR="00247CBF" w:rsidRPr="00092ED7" w:rsidRDefault="00247CBF" w:rsidP="00247CBF">
            <w:pPr>
              <w:spacing w:after="0"/>
              <w:jc w:val="right"/>
              <w:rPr>
                <w:sz w:val="20"/>
                <w:szCs w:val="20"/>
                <w:lang w:val="sr-Cyrl-CS"/>
              </w:rPr>
            </w:pPr>
            <w:r w:rsidRPr="00092ED7">
              <w:rPr>
                <w:sz w:val="20"/>
                <w:szCs w:val="20"/>
                <w:lang w:val="sr-Cyrl-CS"/>
              </w:rPr>
              <w:t>71,5</w:t>
            </w:r>
          </w:p>
        </w:tc>
        <w:tc>
          <w:tcPr>
            <w:tcW w:w="437" w:type="pct"/>
            <w:gridSpan w:val="3"/>
            <w:tcBorders>
              <w:top w:val="nil"/>
              <w:left w:val="nil"/>
              <w:bottom w:val="dotted" w:sz="4" w:space="0" w:color="auto"/>
              <w:right w:val="dotted" w:sz="4" w:space="0" w:color="auto"/>
            </w:tcBorders>
            <w:shd w:val="clear" w:color="000000" w:fill="FFFFFF"/>
            <w:noWrap/>
            <w:vAlign w:val="center"/>
            <w:hideMark/>
          </w:tcPr>
          <w:p w14:paraId="71B84E18" w14:textId="77777777" w:rsidR="00247CBF" w:rsidRPr="00092ED7" w:rsidRDefault="00247CBF" w:rsidP="00247CBF">
            <w:pPr>
              <w:spacing w:after="0"/>
              <w:jc w:val="right"/>
              <w:rPr>
                <w:sz w:val="20"/>
                <w:szCs w:val="20"/>
                <w:lang w:val="sr-Cyrl-CS"/>
              </w:rPr>
            </w:pPr>
            <w:r w:rsidRPr="00092ED7">
              <w:rPr>
                <w:sz w:val="20"/>
                <w:szCs w:val="20"/>
                <w:lang w:val="sr-Cyrl-CS"/>
              </w:rPr>
              <w:t>72,0</w:t>
            </w:r>
          </w:p>
        </w:tc>
        <w:tc>
          <w:tcPr>
            <w:tcW w:w="437" w:type="pct"/>
            <w:gridSpan w:val="2"/>
            <w:tcBorders>
              <w:top w:val="nil"/>
              <w:left w:val="nil"/>
              <w:bottom w:val="dotted" w:sz="4" w:space="0" w:color="auto"/>
              <w:right w:val="double" w:sz="6" w:space="0" w:color="auto"/>
            </w:tcBorders>
            <w:shd w:val="clear" w:color="000000" w:fill="FFFFFF"/>
            <w:noWrap/>
            <w:vAlign w:val="center"/>
            <w:hideMark/>
          </w:tcPr>
          <w:p w14:paraId="4698E388" w14:textId="77777777" w:rsidR="00247CBF" w:rsidRPr="00092ED7" w:rsidRDefault="00247CBF" w:rsidP="00247CBF">
            <w:pPr>
              <w:spacing w:after="0"/>
              <w:jc w:val="right"/>
              <w:rPr>
                <w:sz w:val="20"/>
                <w:szCs w:val="20"/>
                <w:lang w:val="sr-Cyrl-CS"/>
              </w:rPr>
            </w:pPr>
            <w:r w:rsidRPr="00092ED7">
              <w:rPr>
                <w:sz w:val="20"/>
                <w:szCs w:val="20"/>
                <w:lang w:val="sr-Cyrl-CS"/>
              </w:rPr>
              <w:t>72,1</w:t>
            </w:r>
          </w:p>
        </w:tc>
      </w:tr>
      <w:bookmarkStart w:id="82" w:name="RANGE!B11"/>
      <w:tr w:rsidR="00247CBF" w:rsidRPr="00092ED7" w14:paraId="7FC59B05" w14:textId="77777777" w:rsidTr="00247CBF">
        <w:trPr>
          <w:gridBefore w:val="1"/>
          <w:wBefore w:w="8" w:type="pct"/>
          <w:trHeight w:val="284"/>
        </w:trPr>
        <w:tc>
          <w:tcPr>
            <w:tcW w:w="1982" w:type="pct"/>
            <w:tcBorders>
              <w:top w:val="nil"/>
              <w:left w:val="double" w:sz="6" w:space="0" w:color="auto"/>
              <w:bottom w:val="dotted" w:sz="4" w:space="0" w:color="auto"/>
              <w:right w:val="nil"/>
            </w:tcBorders>
            <w:shd w:val="clear" w:color="000000" w:fill="FFFFFF"/>
            <w:vAlign w:val="center"/>
            <w:hideMark/>
          </w:tcPr>
          <w:p w14:paraId="109460AA" w14:textId="77777777" w:rsidR="00247CBF" w:rsidRPr="00092ED7" w:rsidRDefault="00247CBF" w:rsidP="00247CBF">
            <w:pPr>
              <w:spacing w:after="0"/>
              <w:jc w:val="left"/>
              <w:rPr>
                <w:rFonts w:eastAsia="Times New Roman" w:cs="Times New Roman"/>
                <w:sz w:val="20"/>
                <w:szCs w:val="20"/>
                <w:lang w:val="sr-Cyrl-CS"/>
              </w:rPr>
            </w:pPr>
            <w:r w:rsidRPr="00092ED7">
              <w:rPr>
                <w:rFonts w:eastAsia="Times New Roman" w:cs="Times New Roman"/>
                <w:sz w:val="20"/>
                <w:szCs w:val="20"/>
                <w:lang w:val="sr-Cyrl-CS"/>
              </w:rPr>
              <w:fldChar w:fldCharType="begin"/>
            </w:r>
            <w:r w:rsidRPr="00092ED7">
              <w:rPr>
                <w:rFonts w:eastAsia="Times New Roman" w:cs="Times New Roman"/>
                <w:sz w:val="20"/>
                <w:szCs w:val="20"/>
                <w:lang w:val="sr-Cyrl-CS"/>
              </w:rPr>
              <w:instrText xml:space="preserve"> HYPERLINK "file:///C:\\Users\\svetlana.aksentijevi\\AppData\\Local\\Microsoft\\Windows\\INetCache\\Content.MSO\\1D05A8A2.xlsx" \l "RANGE!B22" </w:instrText>
            </w:r>
            <w:r w:rsidRPr="00092ED7">
              <w:rPr>
                <w:rFonts w:eastAsia="Times New Roman" w:cs="Times New Roman"/>
                <w:sz w:val="20"/>
                <w:szCs w:val="20"/>
                <w:lang w:val="sr-Cyrl-CS"/>
              </w:rPr>
            </w:r>
            <w:r w:rsidRPr="00092ED7">
              <w:rPr>
                <w:rFonts w:eastAsia="Times New Roman" w:cs="Times New Roman"/>
                <w:sz w:val="20"/>
                <w:szCs w:val="20"/>
                <w:lang w:val="sr-Cyrl-CS"/>
              </w:rPr>
              <w:fldChar w:fldCharType="separate"/>
            </w:r>
            <w:r w:rsidRPr="00092ED7">
              <w:rPr>
                <w:rFonts w:eastAsia="Times New Roman" w:cs="Times New Roman"/>
                <w:sz w:val="20"/>
                <w:szCs w:val="20"/>
                <w:lang w:val="sr-Cyrl-CS"/>
              </w:rPr>
              <w:t>5. Запосленост, број лица [2]</w:t>
            </w:r>
            <w:r w:rsidRPr="00092ED7">
              <w:rPr>
                <w:rFonts w:eastAsia="Times New Roman" w:cs="Times New Roman"/>
                <w:sz w:val="20"/>
                <w:szCs w:val="20"/>
                <w:lang w:val="sr-Cyrl-CS"/>
              </w:rPr>
              <w:fldChar w:fldCharType="end"/>
            </w:r>
            <w:bookmarkEnd w:id="82"/>
          </w:p>
        </w:tc>
        <w:tc>
          <w:tcPr>
            <w:tcW w:w="388" w:type="pct"/>
            <w:tcBorders>
              <w:top w:val="nil"/>
              <w:left w:val="single" w:sz="4" w:space="0" w:color="auto"/>
              <w:bottom w:val="dotted" w:sz="4" w:space="0" w:color="auto"/>
              <w:right w:val="single" w:sz="4" w:space="0" w:color="auto"/>
            </w:tcBorders>
            <w:shd w:val="clear" w:color="000000" w:fill="FFFFFF"/>
            <w:vAlign w:val="center"/>
            <w:hideMark/>
          </w:tcPr>
          <w:p w14:paraId="274D116E" w14:textId="77777777" w:rsidR="00247CBF" w:rsidRPr="00092ED7" w:rsidRDefault="00247CBF" w:rsidP="00247CBF">
            <w:pPr>
              <w:spacing w:after="0"/>
              <w:jc w:val="center"/>
              <w:rPr>
                <w:rFonts w:eastAsia="Times New Roman" w:cs="Times New Roman"/>
                <w:sz w:val="20"/>
                <w:szCs w:val="20"/>
                <w:lang w:val="sr-Cyrl-CS"/>
              </w:rPr>
            </w:pPr>
          </w:p>
        </w:tc>
        <w:tc>
          <w:tcPr>
            <w:tcW w:w="437" w:type="pct"/>
            <w:gridSpan w:val="2"/>
            <w:tcBorders>
              <w:top w:val="nil"/>
              <w:left w:val="nil"/>
              <w:bottom w:val="dotted" w:sz="4" w:space="0" w:color="auto"/>
              <w:right w:val="single" w:sz="4" w:space="0" w:color="auto"/>
            </w:tcBorders>
            <w:shd w:val="clear" w:color="000000" w:fill="FFFFFF"/>
            <w:vAlign w:val="center"/>
            <w:hideMark/>
          </w:tcPr>
          <w:p w14:paraId="52A2813A"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437" w:type="pct"/>
            <w:gridSpan w:val="3"/>
            <w:tcBorders>
              <w:top w:val="nil"/>
              <w:left w:val="nil"/>
              <w:bottom w:val="dotted" w:sz="4" w:space="0" w:color="auto"/>
              <w:right w:val="dotted" w:sz="4" w:space="0" w:color="auto"/>
            </w:tcBorders>
            <w:shd w:val="clear" w:color="000000" w:fill="FFFFFF"/>
            <w:noWrap/>
            <w:vAlign w:val="center"/>
            <w:hideMark/>
          </w:tcPr>
          <w:p w14:paraId="3F4466DC" w14:textId="77777777" w:rsidR="00247CBF" w:rsidRPr="00092ED7" w:rsidRDefault="00247CBF" w:rsidP="00247CBF">
            <w:pPr>
              <w:spacing w:after="0"/>
              <w:jc w:val="right"/>
              <w:rPr>
                <w:sz w:val="20"/>
                <w:szCs w:val="20"/>
                <w:lang w:val="sr-Cyrl-CS"/>
              </w:rPr>
            </w:pPr>
            <w:r w:rsidRPr="00092ED7">
              <w:rPr>
                <w:sz w:val="20"/>
                <w:szCs w:val="20"/>
                <w:lang w:val="sr-Cyrl-CS"/>
              </w:rPr>
              <w:t>2.731</w:t>
            </w:r>
          </w:p>
        </w:tc>
        <w:tc>
          <w:tcPr>
            <w:tcW w:w="437" w:type="pct"/>
            <w:gridSpan w:val="4"/>
            <w:tcBorders>
              <w:top w:val="nil"/>
              <w:left w:val="nil"/>
              <w:bottom w:val="dotted" w:sz="4" w:space="0" w:color="auto"/>
              <w:right w:val="dotted" w:sz="4" w:space="0" w:color="auto"/>
            </w:tcBorders>
            <w:shd w:val="clear" w:color="000000" w:fill="FFFFFF"/>
            <w:noWrap/>
            <w:vAlign w:val="center"/>
            <w:hideMark/>
          </w:tcPr>
          <w:p w14:paraId="3E2AE921" w14:textId="77777777" w:rsidR="00247CBF" w:rsidRPr="00092ED7" w:rsidRDefault="00247CBF" w:rsidP="00247CBF">
            <w:pPr>
              <w:spacing w:after="0"/>
              <w:jc w:val="right"/>
              <w:rPr>
                <w:sz w:val="20"/>
                <w:szCs w:val="20"/>
                <w:lang w:val="sr-Cyrl-CS"/>
              </w:rPr>
            </w:pPr>
            <w:r w:rsidRPr="00092ED7">
              <w:rPr>
                <w:sz w:val="20"/>
                <w:szCs w:val="20"/>
                <w:lang w:val="sr-Cyrl-CS"/>
              </w:rPr>
              <w:t>2.813</w:t>
            </w:r>
          </w:p>
        </w:tc>
        <w:tc>
          <w:tcPr>
            <w:tcW w:w="437" w:type="pct"/>
            <w:gridSpan w:val="4"/>
            <w:tcBorders>
              <w:top w:val="nil"/>
              <w:left w:val="nil"/>
              <w:bottom w:val="dotted" w:sz="4" w:space="0" w:color="auto"/>
              <w:right w:val="dotted" w:sz="4" w:space="0" w:color="auto"/>
            </w:tcBorders>
            <w:shd w:val="clear" w:color="000000" w:fill="FFFFFF"/>
            <w:noWrap/>
            <w:vAlign w:val="center"/>
            <w:hideMark/>
          </w:tcPr>
          <w:p w14:paraId="0F3E5D59" w14:textId="77777777" w:rsidR="00247CBF" w:rsidRPr="00092ED7" w:rsidRDefault="00247CBF" w:rsidP="00247CBF">
            <w:pPr>
              <w:spacing w:after="0"/>
              <w:jc w:val="right"/>
              <w:rPr>
                <w:sz w:val="20"/>
                <w:szCs w:val="20"/>
                <w:lang w:val="sr-Cyrl-CS"/>
              </w:rPr>
            </w:pPr>
            <w:r w:rsidRPr="00092ED7">
              <w:rPr>
                <w:sz w:val="20"/>
                <w:szCs w:val="20"/>
                <w:lang w:val="sr-Cyrl-CS"/>
              </w:rPr>
              <w:t>2.829</w:t>
            </w:r>
          </w:p>
        </w:tc>
        <w:tc>
          <w:tcPr>
            <w:tcW w:w="437" w:type="pct"/>
            <w:gridSpan w:val="3"/>
            <w:tcBorders>
              <w:top w:val="nil"/>
              <w:left w:val="nil"/>
              <w:bottom w:val="dotted" w:sz="4" w:space="0" w:color="auto"/>
              <w:right w:val="dotted" w:sz="4" w:space="0" w:color="auto"/>
            </w:tcBorders>
            <w:shd w:val="clear" w:color="000000" w:fill="FFFFFF"/>
            <w:noWrap/>
            <w:vAlign w:val="center"/>
            <w:hideMark/>
          </w:tcPr>
          <w:p w14:paraId="668FE84F" w14:textId="77777777" w:rsidR="00247CBF" w:rsidRPr="00092ED7" w:rsidRDefault="00247CBF" w:rsidP="00247CBF">
            <w:pPr>
              <w:spacing w:after="0"/>
              <w:jc w:val="right"/>
              <w:rPr>
                <w:sz w:val="20"/>
                <w:szCs w:val="20"/>
                <w:lang w:val="sr-Cyrl-CS"/>
              </w:rPr>
            </w:pPr>
            <w:r w:rsidRPr="00092ED7">
              <w:rPr>
                <w:sz w:val="20"/>
                <w:szCs w:val="20"/>
                <w:lang w:val="sr-Cyrl-CS"/>
              </w:rPr>
              <w:t>2.858</w:t>
            </w:r>
          </w:p>
        </w:tc>
        <w:tc>
          <w:tcPr>
            <w:tcW w:w="437" w:type="pct"/>
            <w:gridSpan w:val="2"/>
            <w:tcBorders>
              <w:top w:val="nil"/>
              <w:left w:val="nil"/>
              <w:bottom w:val="dotted" w:sz="4" w:space="0" w:color="auto"/>
              <w:right w:val="double" w:sz="6" w:space="0" w:color="auto"/>
            </w:tcBorders>
            <w:shd w:val="clear" w:color="000000" w:fill="FFFFFF"/>
            <w:noWrap/>
            <w:vAlign w:val="center"/>
            <w:hideMark/>
          </w:tcPr>
          <w:p w14:paraId="39D01BC1" w14:textId="77777777" w:rsidR="00247CBF" w:rsidRPr="00092ED7" w:rsidRDefault="00247CBF" w:rsidP="00247CBF">
            <w:pPr>
              <w:spacing w:after="0"/>
              <w:jc w:val="right"/>
              <w:rPr>
                <w:sz w:val="20"/>
                <w:szCs w:val="20"/>
                <w:lang w:val="sr-Cyrl-CS"/>
              </w:rPr>
            </w:pPr>
            <w:r w:rsidRPr="00092ED7">
              <w:rPr>
                <w:sz w:val="20"/>
                <w:szCs w:val="20"/>
                <w:lang w:val="sr-Cyrl-CS"/>
              </w:rPr>
              <w:t>2.891</w:t>
            </w:r>
          </w:p>
        </w:tc>
      </w:tr>
      <w:tr w:rsidR="00247CBF" w:rsidRPr="00092ED7" w14:paraId="010D76D3" w14:textId="77777777" w:rsidTr="00247CBF">
        <w:trPr>
          <w:gridBefore w:val="1"/>
          <w:wBefore w:w="8" w:type="pct"/>
          <w:trHeight w:val="284"/>
        </w:trPr>
        <w:tc>
          <w:tcPr>
            <w:tcW w:w="1982" w:type="pct"/>
            <w:tcBorders>
              <w:top w:val="nil"/>
              <w:left w:val="double" w:sz="6" w:space="0" w:color="auto"/>
              <w:bottom w:val="dotted" w:sz="4" w:space="0" w:color="auto"/>
              <w:right w:val="nil"/>
            </w:tcBorders>
            <w:shd w:val="clear" w:color="000000" w:fill="FFFFFF"/>
            <w:vAlign w:val="center"/>
            <w:hideMark/>
          </w:tcPr>
          <w:p w14:paraId="5AD8FBD6" w14:textId="77777777" w:rsidR="00247CBF" w:rsidRPr="00092ED7" w:rsidRDefault="00000000" w:rsidP="00247CBF">
            <w:pPr>
              <w:spacing w:after="0"/>
              <w:jc w:val="left"/>
              <w:rPr>
                <w:rFonts w:eastAsia="Times New Roman" w:cs="Times New Roman"/>
                <w:sz w:val="20"/>
                <w:szCs w:val="20"/>
                <w:lang w:val="sr-Cyrl-CS"/>
              </w:rPr>
            </w:pPr>
            <w:hyperlink r:id="rId47" w:anchor="RANGE!B23" w:history="1">
              <w:r w:rsidR="00247CBF" w:rsidRPr="00092ED7">
                <w:rPr>
                  <w:rFonts w:eastAsia="Times New Roman" w:cs="Times New Roman"/>
                  <w:sz w:val="20"/>
                  <w:szCs w:val="20"/>
                  <w:lang w:val="sr-Cyrl-CS"/>
                </w:rPr>
                <w:t>6. Запосленост, часови рада[3]</w:t>
              </w:r>
            </w:hyperlink>
          </w:p>
        </w:tc>
        <w:tc>
          <w:tcPr>
            <w:tcW w:w="388" w:type="pct"/>
            <w:tcBorders>
              <w:top w:val="nil"/>
              <w:left w:val="single" w:sz="4" w:space="0" w:color="auto"/>
              <w:bottom w:val="dotted" w:sz="4" w:space="0" w:color="auto"/>
              <w:right w:val="single" w:sz="4" w:space="0" w:color="auto"/>
            </w:tcBorders>
            <w:shd w:val="clear" w:color="000000" w:fill="FFFFFF"/>
            <w:vAlign w:val="center"/>
            <w:hideMark/>
          </w:tcPr>
          <w:p w14:paraId="514225AB" w14:textId="77777777" w:rsidR="00247CBF" w:rsidRPr="00092ED7" w:rsidRDefault="00247CBF" w:rsidP="00247CBF">
            <w:pPr>
              <w:spacing w:after="0"/>
              <w:jc w:val="center"/>
              <w:rPr>
                <w:rFonts w:eastAsia="Times New Roman" w:cs="Times New Roman"/>
                <w:sz w:val="20"/>
                <w:szCs w:val="20"/>
                <w:lang w:val="sr-Cyrl-CS"/>
              </w:rPr>
            </w:pPr>
          </w:p>
        </w:tc>
        <w:tc>
          <w:tcPr>
            <w:tcW w:w="437" w:type="pct"/>
            <w:gridSpan w:val="2"/>
            <w:tcBorders>
              <w:top w:val="nil"/>
              <w:left w:val="nil"/>
              <w:bottom w:val="dotted" w:sz="4" w:space="0" w:color="auto"/>
              <w:right w:val="single" w:sz="4" w:space="0" w:color="auto"/>
            </w:tcBorders>
            <w:shd w:val="clear" w:color="000000" w:fill="FFFFFF"/>
            <w:vAlign w:val="center"/>
            <w:hideMark/>
          </w:tcPr>
          <w:p w14:paraId="71AC04A8"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437" w:type="pct"/>
            <w:gridSpan w:val="3"/>
            <w:tcBorders>
              <w:top w:val="nil"/>
              <w:left w:val="nil"/>
              <w:bottom w:val="dotted" w:sz="4" w:space="0" w:color="auto"/>
              <w:right w:val="dotted" w:sz="4" w:space="0" w:color="auto"/>
            </w:tcBorders>
            <w:shd w:val="clear" w:color="000000" w:fill="FFFFFF"/>
            <w:vAlign w:val="center"/>
            <w:hideMark/>
          </w:tcPr>
          <w:p w14:paraId="6F3BA4AD"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437" w:type="pct"/>
            <w:gridSpan w:val="4"/>
            <w:tcBorders>
              <w:top w:val="nil"/>
              <w:left w:val="nil"/>
              <w:bottom w:val="dotted" w:sz="4" w:space="0" w:color="auto"/>
              <w:right w:val="dotted" w:sz="4" w:space="0" w:color="auto"/>
            </w:tcBorders>
            <w:shd w:val="clear" w:color="000000" w:fill="FFFFFF"/>
            <w:vAlign w:val="center"/>
            <w:hideMark/>
          </w:tcPr>
          <w:p w14:paraId="5E298698"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437" w:type="pct"/>
            <w:gridSpan w:val="4"/>
            <w:tcBorders>
              <w:top w:val="nil"/>
              <w:left w:val="nil"/>
              <w:bottom w:val="dotted" w:sz="4" w:space="0" w:color="auto"/>
              <w:right w:val="dotted" w:sz="4" w:space="0" w:color="auto"/>
            </w:tcBorders>
            <w:shd w:val="clear" w:color="000000" w:fill="FFFFFF"/>
            <w:vAlign w:val="center"/>
            <w:hideMark/>
          </w:tcPr>
          <w:p w14:paraId="7A1D57E5"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437" w:type="pct"/>
            <w:gridSpan w:val="3"/>
            <w:tcBorders>
              <w:top w:val="nil"/>
              <w:left w:val="nil"/>
              <w:bottom w:val="dotted" w:sz="4" w:space="0" w:color="auto"/>
              <w:right w:val="dotted" w:sz="4" w:space="0" w:color="auto"/>
            </w:tcBorders>
            <w:shd w:val="clear" w:color="000000" w:fill="FFFFFF"/>
            <w:vAlign w:val="center"/>
            <w:hideMark/>
          </w:tcPr>
          <w:p w14:paraId="52C1F4DC"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437" w:type="pct"/>
            <w:gridSpan w:val="2"/>
            <w:tcBorders>
              <w:top w:val="nil"/>
              <w:left w:val="nil"/>
              <w:bottom w:val="dotted" w:sz="4" w:space="0" w:color="auto"/>
              <w:right w:val="double" w:sz="6" w:space="0" w:color="auto"/>
            </w:tcBorders>
            <w:shd w:val="clear" w:color="000000" w:fill="FFFFFF"/>
            <w:vAlign w:val="center"/>
            <w:hideMark/>
          </w:tcPr>
          <w:p w14:paraId="75DB81BF" w14:textId="77777777" w:rsidR="00247CBF" w:rsidRPr="00092ED7" w:rsidRDefault="00247CBF" w:rsidP="00247CBF">
            <w:pPr>
              <w:spacing w:after="0"/>
              <w:jc w:val="right"/>
              <w:rPr>
                <w:sz w:val="20"/>
                <w:szCs w:val="20"/>
                <w:lang w:val="sr-Cyrl-CS"/>
              </w:rPr>
            </w:pPr>
            <w:r w:rsidRPr="00092ED7">
              <w:rPr>
                <w:sz w:val="20"/>
                <w:szCs w:val="20"/>
                <w:lang w:val="sr-Cyrl-CS"/>
              </w:rPr>
              <w:t>:</w:t>
            </w:r>
          </w:p>
        </w:tc>
      </w:tr>
      <w:tr w:rsidR="00247CBF" w:rsidRPr="00092ED7" w14:paraId="13D00576" w14:textId="77777777" w:rsidTr="00247CBF">
        <w:trPr>
          <w:gridBefore w:val="1"/>
          <w:wBefore w:w="8" w:type="pct"/>
          <w:trHeight w:val="284"/>
        </w:trPr>
        <w:tc>
          <w:tcPr>
            <w:tcW w:w="1982" w:type="pct"/>
            <w:tcBorders>
              <w:top w:val="nil"/>
              <w:left w:val="double" w:sz="6" w:space="0" w:color="auto"/>
              <w:bottom w:val="dotted" w:sz="4" w:space="0" w:color="auto"/>
              <w:right w:val="nil"/>
            </w:tcBorders>
            <w:shd w:val="clear" w:color="000000" w:fill="FFFFFF"/>
            <w:vAlign w:val="center"/>
            <w:hideMark/>
          </w:tcPr>
          <w:p w14:paraId="7C9428A2" w14:textId="77777777" w:rsidR="00247CBF" w:rsidRPr="00092ED7" w:rsidRDefault="00247CBF" w:rsidP="00247CBF">
            <w:pPr>
              <w:spacing w:after="0"/>
              <w:jc w:val="left"/>
              <w:rPr>
                <w:rFonts w:eastAsia="Times New Roman" w:cs="Times New Roman"/>
                <w:sz w:val="20"/>
                <w:szCs w:val="20"/>
                <w:lang w:val="sr-Cyrl-CS"/>
              </w:rPr>
            </w:pPr>
            <w:r w:rsidRPr="00092ED7">
              <w:rPr>
                <w:rFonts w:eastAsia="Times New Roman" w:cs="Times New Roman"/>
                <w:sz w:val="20"/>
                <w:szCs w:val="20"/>
                <w:lang w:val="sr-Cyrl-CS"/>
              </w:rPr>
              <w:t>7. Запосленост (стопа раста у %)</w:t>
            </w:r>
          </w:p>
        </w:tc>
        <w:tc>
          <w:tcPr>
            <w:tcW w:w="388" w:type="pct"/>
            <w:tcBorders>
              <w:top w:val="nil"/>
              <w:left w:val="single" w:sz="4" w:space="0" w:color="auto"/>
              <w:bottom w:val="dotted" w:sz="4" w:space="0" w:color="auto"/>
              <w:right w:val="single" w:sz="4" w:space="0" w:color="auto"/>
            </w:tcBorders>
            <w:shd w:val="clear" w:color="000000" w:fill="FFFFFF"/>
            <w:vAlign w:val="center"/>
            <w:hideMark/>
          </w:tcPr>
          <w:p w14:paraId="5AE7C098" w14:textId="77777777" w:rsidR="00247CBF" w:rsidRPr="00092ED7" w:rsidRDefault="00247CBF" w:rsidP="00247CBF">
            <w:pPr>
              <w:spacing w:after="0"/>
              <w:jc w:val="center"/>
              <w:rPr>
                <w:rFonts w:eastAsia="Times New Roman" w:cs="Times New Roman"/>
                <w:sz w:val="20"/>
                <w:szCs w:val="20"/>
                <w:lang w:val="sr-Cyrl-CS"/>
              </w:rPr>
            </w:pPr>
          </w:p>
        </w:tc>
        <w:tc>
          <w:tcPr>
            <w:tcW w:w="437" w:type="pct"/>
            <w:gridSpan w:val="2"/>
            <w:tcBorders>
              <w:top w:val="nil"/>
              <w:left w:val="nil"/>
              <w:bottom w:val="dotted" w:sz="4" w:space="0" w:color="auto"/>
              <w:right w:val="single" w:sz="4" w:space="0" w:color="auto"/>
            </w:tcBorders>
            <w:shd w:val="clear" w:color="000000" w:fill="FFFFFF"/>
            <w:vAlign w:val="center"/>
            <w:hideMark/>
          </w:tcPr>
          <w:p w14:paraId="07D46243"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437" w:type="pct"/>
            <w:gridSpan w:val="3"/>
            <w:tcBorders>
              <w:top w:val="nil"/>
              <w:left w:val="nil"/>
              <w:bottom w:val="dotted" w:sz="4" w:space="0" w:color="auto"/>
              <w:right w:val="dotted" w:sz="4" w:space="0" w:color="auto"/>
            </w:tcBorders>
            <w:shd w:val="clear" w:color="000000" w:fill="FFFFFF"/>
            <w:noWrap/>
            <w:vAlign w:val="center"/>
            <w:hideMark/>
          </w:tcPr>
          <w:p w14:paraId="79CA4C0C" w14:textId="77777777" w:rsidR="00247CBF" w:rsidRPr="00092ED7" w:rsidRDefault="00247CBF" w:rsidP="00247CBF">
            <w:pPr>
              <w:spacing w:after="0"/>
              <w:jc w:val="right"/>
              <w:rPr>
                <w:sz w:val="20"/>
                <w:szCs w:val="20"/>
                <w:lang w:val="sr-Cyrl-CS"/>
              </w:rPr>
            </w:pPr>
            <w:r w:rsidRPr="00092ED7">
              <w:rPr>
                <w:sz w:val="20"/>
                <w:szCs w:val="20"/>
                <w:lang w:val="sr-Cyrl-CS"/>
              </w:rPr>
              <w:t>2,9</w:t>
            </w:r>
          </w:p>
        </w:tc>
        <w:tc>
          <w:tcPr>
            <w:tcW w:w="437" w:type="pct"/>
            <w:gridSpan w:val="4"/>
            <w:tcBorders>
              <w:top w:val="nil"/>
              <w:left w:val="nil"/>
              <w:bottom w:val="dotted" w:sz="4" w:space="0" w:color="auto"/>
              <w:right w:val="dotted" w:sz="4" w:space="0" w:color="auto"/>
            </w:tcBorders>
            <w:shd w:val="clear" w:color="000000" w:fill="FFFFFF"/>
            <w:noWrap/>
            <w:vAlign w:val="center"/>
            <w:hideMark/>
          </w:tcPr>
          <w:p w14:paraId="60D472E6" w14:textId="77777777" w:rsidR="00247CBF" w:rsidRPr="00092ED7" w:rsidRDefault="00247CBF" w:rsidP="00247CBF">
            <w:pPr>
              <w:spacing w:after="0"/>
              <w:jc w:val="right"/>
              <w:rPr>
                <w:sz w:val="20"/>
                <w:szCs w:val="20"/>
                <w:lang w:val="sr-Cyrl-CS"/>
              </w:rPr>
            </w:pPr>
            <w:r w:rsidRPr="00092ED7">
              <w:rPr>
                <w:sz w:val="20"/>
                <w:szCs w:val="20"/>
                <w:lang w:val="sr-Cyrl-CS"/>
              </w:rPr>
              <w:t>3,0</w:t>
            </w:r>
          </w:p>
        </w:tc>
        <w:tc>
          <w:tcPr>
            <w:tcW w:w="437" w:type="pct"/>
            <w:gridSpan w:val="4"/>
            <w:tcBorders>
              <w:top w:val="nil"/>
              <w:left w:val="nil"/>
              <w:bottom w:val="dotted" w:sz="4" w:space="0" w:color="auto"/>
              <w:right w:val="dotted" w:sz="4" w:space="0" w:color="auto"/>
            </w:tcBorders>
            <w:shd w:val="clear" w:color="000000" w:fill="FFFFFF"/>
            <w:noWrap/>
            <w:vAlign w:val="center"/>
            <w:hideMark/>
          </w:tcPr>
          <w:p w14:paraId="5148DC36" w14:textId="77777777" w:rsidR="00247CBF" w:rsidRPr="00092ED7" w:rsidRDefault="00247CBF" w:rsidP="00247CBF">
            <w:pPr>
              <w:spacing w:after="0"/>
              <w:jc w:val="right"/>
              <w:rPr>
                <w:sz w:val="20"/>
                <w:szCs w:val="20"/>
                <w:lang w:val="sr-Cyrl-CS"/>
              </w:rPr>
            </w:pPr>
            <w:r w:rsidRPr="00092ED7">
              <w:rPr>
                <w:sz w:val="20"/>
                <w:szCs w:val="20"/>
                <w:lang w:val="sr-Cyrl-CS"/>
              </w:rPr>
              <w:t>0,6</w:t>
            </w:r>
          </w:p>
        </w:tc>
        <w:tc>
          <w:tcPr>
            <w:tcW w:w="437" w:type="pct"/>
            <w:gridSpan w:val="3"/>
            <w:tcBorders>
              <w:top w:val="nil"/>
              <w:left w:val="nil"/>
              <w:bottom w:val="dotted" w:sz="4" w:space="0" w:color="auto"/>
              <w:right w:val="dotted" w:sz="4" w:space="0" w:color="auto"/>
            </w:tcBorders>
            <w:shd w:val="clear" w:color="000000" w:fill="FFFFFF"/>
            <w:noWrap/>
            <w:vAlign w:val="center"/>
            <w:hideMark/>
          </w:tcPr>
          <w:p w14:paraId="7334EAB7" w14:textId="77777777" w:rsidR="00247CBF" w:rsidRPr="00092ED7" w:rsidRDefault="00247CBF" w:rsidP="00247CBF">
            <w:pPr>
              <w:spacing w:after="0"/>
              <w:jc w:val="right"/>
              <w:rPr>
                <w:sz w:val="20"/>
                <w:szCs w:val="20"/>
                <w:lang w:val="sr-Cyrl-CS"/>
              </w:rPr>
            </w:pPr>
            <w:r w:rsidRPr="00092ED7">
              <w:rPr>
                <w:sz w:val="20"/>
                <w:szCs w:val="20"/>
                <w:lang w:val="sr-Cyrl-CS"/>
              </w:rPr>
              <w:t>1,0</w:t>
            </w:r>
          </w:p>
        </w:tc>
        <w:tc>
          <w:tcPr>
            <w:tcW w:w="437" w:type="pct"/>
            <w:gridSpan w:val="2"/>
            <w:tcBorders>
              <w:top w:val="nil"/>
              <w:left w:val="nil"/>
              <w:bottom w:val="dotted" w:sz="4" w:space="0" w:color="auto"/>
              <w:right w:val="double" w:sz="6" w:space="0" w:color="auto"/>
            </w:tcBorders>
            <w:shd w:val="clear" w:color="000000" w:fill="FFFFFF"/>
            <w:noWrap/>
            <w:vAlign w:val="center"/>
            <w:hideMark/>
          </w:tcPr>
          <w:p w14:paraId="501D6C49" w14:textId="77777777" w:rsidR="00247CBF" w:rsidRPr="00092ED7" w:rsidRDefault="00247CBF" w:rsidP="00247CBF">
            <w:pPr>
              <w:spacing w:after="0"/>
              <w:jc w:val="right"/>
              <w:rPr>
                <w:sz w:val="20"/>
                <w:szCs w:val="20"/>
                <w:lang w:val="sr-Cyrl-CS"/>
              </w:rPr>
            </w:pPr>
            <w:r w:rsidRPr="00092ED7">
              <w:rPr>
                <w:sz w:val="20"/>
                <w:szCs w:val="20"/>
                <w:lang w:val="sr-Cyrl-CS"/>
              </w:rPr>
              <w:t>1,2</w:t>
            </w:r>
          </w:p>
        </w:tc>
      </w:tr>
      <w:tr w:rsidR="00247CBF" w:rsidRPr="00092ED7" w14:paraId="371E79E5" w14:textId="77777777" w:rsidTr="00247CBF">
        <w:trPr>
          <w:gridBefore w:val="1"/>
          <w:wBefore w:w="8" w:type="pct"/>
          <w:trHeight w:val="284"/>
        </w:trPr>
        <w:tc>
          <w:tcPr>
            <w:tcW w:w="1982" w:type="pct"/>
            <w:tcBorders>
              <w:top w:val="nil"/>
              <w:left w:val="double" w:sz="6" w:space="0" w:color="auto"/>
              <w:bottom w:val="dotted" w:sz="4" w:space="0" w:color="auto"/>
              <w:right w:val="nil"/>
            </w:tcBorders>
            <w:shd w:val="clear" w:color="000000" w:fill="FFFFFF"/>
            <w:vAlign w:val="center"/>
            <w:hideMark/>
          </w:tcPr>
          <w:p w14:paraId="2E6E4AA6" w14:textId="77777777" w:rsidR="00247CBF" w:rsidRPr="00092ED7" w:rsidRDefault="00247CBF" w:rsidP="00247CBF">
            <w:pPr>
              <w:spacing w:after="0"/>
              <w:jc w:val="left"/>
              <w:rPr>
                <w:rFonts w:eastAsia="Times New Roman" w:cs="Times New Roman"/>
                <w:sz w:val="20"/>
                <w:szCs w:val="20"/>
                <w:lang w:val="sr-Cyrl-CS"/>
              </w:rPr>
            </w:pPr>
            <w:r w:rsidRPr="00092ED7">
              <w:rPr>
                <w:rFonts w:eastAsia="Times New Roman" w:cs="Times New Roman"/>
                <w:sz w:val="20"/>
                <w:szCs w:val="20"/>
                <w:lang w:val="sr-Cyrl-CS"/>
              </w:rPr>
              <w:t>8. Запосленост у јавном сектору (број лица)</w:t>
            </w:r>
          </w:p>
        </w:tc>
        <w:tc>
          <w:tcPr>
            <w:tcW w:w="388" w:type="pct"/>
            <w:tcBorders>
              <w:top w:val="nil"/>
              <w:left w:val="single" w:sz="4" w:space="0" w:color="auto"/>
              <w:bottom w:val="dotted" w:sz="4" w:space="0" w:color="auto"/>
              <w:right w:val="single" w:sz="4" w:space="0" w:color="auto"/>
            </w:tcBorders>
            <w:shd w:val="clear" w:color="000000" w:fill="FFFFFF"/>
            <w:vAlign w:val="center"/>
            <w:hideMark/>
          </w:tcPr>
          <w:p w14:paraId="5832806B" w14:textId="77777777" w:rsidR="00247CBF" w:rsidRPr="00092ED7" w:rsidRDefault="00247CBF" w:rsidP="00247CBF">
            <w:pPr>
              <w:spacing w:after="0"/>
              <w:jc w:val="center"/>
              <w:rPr>
                <w:rFonts w:eastAsia="Times New Roman" w:cs="Times New Roman"/>
                <w:sz w:val="20"/>
                <w:szCs w:val="20"/>
                <w:lang w:val="sr-Cyrl-CS"/>
              </w:rPr>
            </w:pPr>
          </w:p>
        </w:tc>
        <w:tc>
          <w:tcPr>
            <w:tcW w:w="437" w:type="pct"/>
            <w:gridSpan w:val="2"/>
            <w:tcBorders>
              <w:top w:val="nil"/>
              <w:left w:val="nil"/>
              <w:bottom w:val="dotted" w:sz="4" w:space="0" w:color="auto"/>
              <w:right w:val="single" w:sz="4" w:space="0" w:color="auto"/>
            </w:tcBorders>
            <w:shd w:val="clear" w:color="000000" w:fill="FFFFFF"/>
            <w:vAlign w:val="center"/>
            <w:hideMark/>
          </w:tcPr>
          <w:p w14:paraId="247578F7"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437" w:type="pct"/>
            <w:gridSpan w:val="3"/>
            <w:tcBorders>
              <w:top w:val="nil"/>
              <w:left w:val="nil"/>
              <w:bottom w:val="dotted" w:sz="4" w:space="0" w:color="auto"/>
              <w:right w:val="dotted" w:sz="4" w:space="0" w:color="auto"/>
            </w:tcBorders>
            <w:shd w:val="clear" w:color="000000" w:fill="FFFFFF"/>
            <w:vAlign w:val="center"/>
            <w:hideMark/>
          </w:tcPr>
          <w:p w14:paraId="49AE6B61"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437" w:type="pct"/>
            <w:gridSpan w:val="4"/>
            <w:tcBorders>
              <w:top w:val="nil"/>
              <w:left w:val="nil"/>
              <w:bottom w:val="dotted" w:sz="4" w:space="0" w:color="auto"/>
              <w:right w:val="dotted" w:sz="4" w:space="0" w:color="auto"/>
            </w:tcBorders>
            <w:shd w:val="clear" w:color="000000" w:fill="FFFFFF"/>
            <w:vAlign w:val="center"/>
            <w:hideMark/>
          </w:tcPr>
          <w:p w14:paraId="435A454D"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437" w:type="pct"/>
            <w:gridSpan w:val="4"/>
            <w:tcBorders>
              <w:top w:val="nil"/>
              <w:left w:val="nil"/>
              <w:bottom w:val="dotted" w:sz="4" w:space="0" w:color="auto"/>
              <w:right w:val="dotted" w:sz="4" w:space="0" w:color="auto"/>
            </w:tcBorders>
            <w:shd w:val="clear" w:color="000000" w:fill="FFFFFF"/>
            <w:vAlign w:val="center"/>
            <w:hideMark/>
          </w:tcPr>
          <w:p w14:paraId="79216560"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437" w:type="pct"/>
            <w:gridSpan w:val="3"/>
            <w:tcBorders>
              <w:top w:val="nil"/>
              <w:left w:val="nil"/>
              <w:bottom w:val="dotted" w:sz="4" w:space="0" w:color="auto"/>
              <w:right w:val="dotted" w:sz="4" w:space="0" w:color="auto"/>
            </w:tcBorders>
            <w:shd w:val="clear" w:color="000000" w:fill="FFFFFF"/>
            <w:vAlign w:val="center"/>
            <w:hideMark/>
          </w:tcPr>
          <w:p w14:paraId="113AFBE1"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437" w:type="pct"/>
            <w:gridSpan w:val="2"/>
            <w:tcBorders>
              <w:top w:val="nil"/>
              <w:left w:val="nil"/>
              <w:bottom w:val="dotted" w:sz="4" w:space="0" w:color="auto"/>
              <w:right w:val="double" w:sz="6" w:space="0" w:color="auto"/>
            </w:tcBorders>
            <w:shd w:val="clear" w:color="000000" w:fill="FFFFFF"/>
            <w:vAlign w:val="center"/>
            <w:hideMark/>
          </w:tcPr>
          <w:p w14:paraId="1EDD9EB6" w14:textId="77777777" w:rsidR="00247CBF" w:rsidRPr="00092ED7" w:rsidRDefault="00247CBF" w:rsidP="00247CBF">
            <w:pPr>
              <w:spacing w:after="0"/>
              <w:jc w:val="right"/>
              <w:rPr>
                <w:sz w:val="20"/>
                <w:szCs w:val="20"/>
                <w:lang w:val="sr-Cyrl-CS"/>
              </w:rPr>
            </w:pPr>
            <w:r w:rsidRPr="00092ED7">
              <w:rPr>
                <w:sz w:val="20"/>
                <w:szCs w:val="20"/>
                <w:lang w:val="sr-Cyrl-CS"/>
              </w:rPr>
              <w:t>:</w:t>
            </w:r>
          </w:p>
        </w:tc>
      </w:tr>
      <w:tr w:rsidR="00247CBF" w:rsidRPr="00092ED7" w14:paraId="73E6ECF7" w14:textId="77777777" w:rsidTr="00247CBF">
        <w:trPr>
          <w:gridBefore w:val="1"/>
          <w:wBefore w:w="8" w:type="pct"/>
          <w:trHeight w:val="284"/>
        </w:trPr>
        <w:tc>
          <w:tcPr>
            <w:tcW w:w="1982" w:type="pct"/>
            <w:tcBorders>
              <w:top w:val="nil"/>
              <w:left w:val="double" w:sz="6" w:space="0" w:color="auto"/>
              <w:bottom w:val="dotted" w:sz="4" w:space="0" w:color="auto"/>
              <w:right w:val="nil"/>
            </w:tcBorders>
            <w:shd w:val="clear" w:color="000000" w:fill="FFFFFF"/>
            <w:vAlign w:val="center"/>
            <w:hideMark/>
          </w:tcPr>
          <w:p w14:paraId="27370E80" w14:textId="77777777" w:rsidR="00247CBF" w:rsidRPr="00092ED7" w:rsidRDefault="00247CBF" w:rsidP="00247CBF">
            <w:pPr>
              <w:spacing w:after="0"/>
              <w:jc w:val="left"/>
              <w:rPr>
                <w:rFonts w:eastAsia="Times New Roman" w:cs="Times New Roman"/>
                <w:sz w:val="20"/>
                <w:szCs w:val="20"/>
                <w:lang w:val="sr-Cyrl-CS"/>
              </w:rPr>
            </w:pPr>
            <w:r w:rsidRPr="00092ED7">
              <w:rPr>
                <w:rFonts w:eastAsia="Times New Roman" w:cs="Times New Roman"/>
                <w:sz w:val="20"/>
                <w:szCs w:val="20"/>
                <w:lang w:val="sr-Cyrl-CS"/>
              </w:rPr>
              <w:t>9. Запосленост у јавном сектору (раст у %)</w:t>
            </w:r>
          </w:p>
        </w:tc>
        <w:tc>
          <w:tcPr>
            <w:tcW w:w="388" w:type="pct"/>
            <w:tcBorders>
              <w:top w:val="nil"/>
              <w:left w:val="single" w:sz="4" w:space="0" w:color="auto"/>
              <w:bottom w:val="dotted" w:sz="4" w:space="0" w:color="auto"/>
              <w:right w:val="single" w:sz="4" w:space="0" w:color="auto"/>
            </w:tcBorders>
            <w:shd w:val="clear" w:color="000000" w:fill="FFFFFF"/>
            <w:vAlign w:val="center"/>
            <w:hideMark/>
          </w:tcPr>
          <w:p w14:paraId="063402D8" w14:textId="77777777" w:rsidR="00247CBF" w:rsidRPr="00092ED7" w:rsidRDefault="00247CBF" w:rsidP="00247CBF">
            <w:pPr>
              <w:spacing w:after="0"/>
              <w:jc w:val="center"/>
              <w:rPr>
                <w:rFonts w:eastAsia="Times New Roman" w:cs="Times New Roman"/>
                <w:sz w:val="20"/>
                <w:szCs w:val="20"/>
                <w:lang w:val="sr-Cyrl-CS"/>
              </w:rPr>
            </w:pPr>
          </w:p>
        </w:tc>
        <w:tc>
          <w:tcPr>
            <w:tcW w:w="437" w:type="pct"/>
            <w:gridSpan w:val="2"/>
            <w:tcBorders>
              <w:top w:val="nil"/>
              <w:left w:val="nil"/>
              <w:bottom w:val="dotted" w:sz="4" w:space="0" w:color="auto"/>
              <w:right w:val="single" w:sz="4" w:space="0" w:color="auto"/>
            </w:tcBorders>
            <w:shd w:val="clear" w:color="000000" w:fill="FFFFFF"/>
            <w:vAlign w:val="center"/>
            <w:hideMark/>
          </w:tcPr>
          <w:p w14:paraId="145DD0BE"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437" w:type="pct"/>
            <w:gridSpan w:val="3"/>
            <w:tcBorders>
              <w:top w:val="nil"/>
              <w:left w:val="nil"/>
              <w:bottom w:val="dotted" w:sz="4" w:space="0" w:color="auto"/>
              <w:right w:val="dotted" w:sz="4" w:space="0" w:color="auto"/>
            </w:tcBorders>
            <w:shd w:val="clear" w:color="000000" w:fill="FFFFFF"/>
            <w:noWrap/>
            <w:vAlign w:val="center"/>
            <w:hideMark/>
          </w:tcPr>
          <w:p w14:paraId="6E1DCC4E"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437" w:type="pct"/>
            <w:gridSpan w:val="4"/>
            <w:tcBorders>
              <w:top w:val="nil"/>
              <w:left w:val="nil"/>
              <w:bottom w:val="dotted" w:sz="4" w:space="0" w:color="auto"/>
              <w:right w:val="dotted" w:sz="4" w:space="0" w:color="auto"/>
            </w:tcBorders>
            <w:shd w:val="clear" w:color="000000" w:fill="FFFFFF"/>
            <w:noWrap/>
            <w:vAlign w:val="center"/>
            <w:hideMark/>
          </w:tcPr>
          <w:p w14:paraId="0833D0E3"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437" w:type="pct"/>
            <w:gridSpan w:val="4"/>
            <w:tcBorders>
              <w:top w:val="nil"/>
              <w:left w:val="nil"/>
              <w:bottom w:val="dotted" w:sz="4" w:space="0" w:color="auto"/>
              <w:right w:val="dotted" w:sz="4" w:space="0" w:color="auto"/>
            </w:tcBorders>
            <w:shd w:val="clear" w:color="000000" w:fill="FFFFFF"/>
            <w:vAlign w:val="center"/>
            <w:hideMark/>
          </w:tcPr>
          <w:p w14:paraId="46E15461"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437" w:type="pct"/>
            <w:gridSpan w:val="3"/>
            <w:tcBorders>
              <w:top w:val="nil"/>
              <w:left w:val="nil"/>
              <w:bottom w:val="dotted" w:sz="4" w:space="0" w:color="auto"/>
              <w:right w:val="dotted" w:sz="4" w:space="0" w:color="auto"/>
            </w:tcBorders>
            <w:shd w:val="clear" w:color="000000" w:fill="FFFFFF"/>
            <w:vAlign w:val="center"/>
            <w:hideMark/>
          </w:tcPr>
          <w:p w14:paraId="4D6EE4C1"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437" w:type="pct"/>
            <w:gridSpan w:val="2"/>
            <w:tcBorders>
              <w:top w:val="nil"/>
              <w:left w:val="nil"/>
              <w:bottom w:val="dotted" w:sz="4" w:space="0" w:color="auto"/>
              <w:right w:val="double" w:sz="6" w:space="0" w:color="auto"/>
            </w:tcBorders>
            <w:shd w:val="clear" w:color="000000" w:fill="FFFFFF"/>
            <w:vAlign w:val="center"/>
            <w:hideMark/>
          </w:tcPr>
          <w:p w14:paraId="324A9FF3" w14:textId="77777777" w:rsidR="00247CBF" w:rsidRPr="00092ED7" w:rsidRDefault="00247CBF" w:rsidP="00247CBF">
            <w:pPr>
              <w:spacing w:after="0"/>
              <w:jc w:val="right"/>
              <w:rPr>
                <w:sz w:val="20"/>
                <w:szCs w:val="20"/>
                <w:lang w:val="sr-Cyrl-CS"/>
              </w:rPr>
            </w:pPr>
            <w:r w:rsidRPr="00092ED7">
              <w:rPr>
                <w:sz w:val="20"/>
                <w:szCs w:val="20"/>
                <w:lang w:val="sr-Cyrl-CS"/>
              </w:rPr>
              <w:t>:</w:t>
            </w:r>
          </w:p>
        </w:tc>
      </w:tr>
      <w:tr w:rsidR="00247CBF" w:rsidRPr="00092ED7" w14:paraId="70DB4C22" w14:textId="77777777" w:rsidTr="00247CBF">
        <w:trPr>
          <w:gridBefore w:val="1"/>
          <w:wBefore w:w="8" w:type="pct"/>
          <w:trHeight w:val="284"/>
        </w:trPr>
        <w:tc>
          <w:tcPr>
            <w:tcW w:w="1982" w:type="pct"/>
            <w:tcBorders>
              <w:top w:val="nil"/>
              <w:left w:val="double" w:sz="6" w:space="0" w:color="auto"/>
              <w:bottom w:val="dotted" w:sz="4" w:space="0" w:color="auto"/>
              <w:right w:val="nil"/>
            </w:tcBorders>
            <w:shd w:val="clear" w:color="000000" w:fill="FFFFFF"/>
            <w:vAlign w:val="center"/>
            <w:hideMark/>
          </w:tcPr>
          <w:p w14:paraId="7D1DA8B4" w14:textId="77777777" w:rsidR="00247CBF" w:rsidRPr="00092ED7" w:rsidRDefault="00000000" w:rsidP="00247CBF">
            <w:pPr>
              <w:spacing w:after="0"/>
              <w:jc w:val="left"/>
              <w:rPr>
                <w:rFonts w:eastAsia="Times New Roman" w:cs="Times New Roman"/>
                <w:sz w:val="20"/>
                <w:szCs w:val="20"/>
                <w:lang w:val="sr-Cyrl-CS"/>
              </w:rPr>
            </w:pPr>
            <w:hyperlink r:id="rId48" w:anchor="RANGE!B24" w:history="1">
              <w:r w:rsidR="00247CBF" w:rsidRPr="00092ED7">
                <w:rPr>
                  <w:rFonts w:eastAsia="Times New Roman" w:cs="Times New Roman"/>
                  <w:sz w:val="20"/>
                  <w:szCs w:val="20"/>
                  <w:lang w:val="sr-Cyrl-CS"/>
                </w:rPr>
                <w:t>10. Стопа незапослености [4]</w:t>
              </w:r>
            </w:hyperlink>
          </w:p>
        </w:tc>
        <w:tc>
          <w:tcPr>
            <w:tcW w:w="388" w:type="pct"/>
            <w:tcBorders>
              <w:top w:val="nil"/>
              <w:left w:val="single" w:sz="4" w:space="0" w:color="auto"/>
              <w:bottom w:val="dotted" w:sz="4" w:space="0" w:color="auto"/>
              <w:right w:val="single" w:sz="4" w:space="0" w:color="auto"/>
            </w:tcBorders>
            <w:shd w:val="clear" w:color="000000" w:fill="FFFFFF"/>
            <w:vAlign w:val="center"/>
            <w:hideMark/>
          </w:tcPr>
          <w:p w14:paraId="75DDEDA9" w14:textId="77777777" w:rsidR="00247CBF" w:rsidRPr="00092ED7" w:rsidRDefault="00247CBF" w:rsidP="00247CBF">
            <w:pPr>
              <w:spacing w:after="0"/>
              <w:jc w:val="center"/>
              <w:rPr>
                <w:rFonts w:eastAsia="Times New Roman" w:cs="Times New Roman"/>
                <w:sz w:val="20"/>
                <w:szCs w:val="20"/>
                <w:lang w:val="sr-Cyrl-CS"/>
              </w:rPr>
            </w:pPr>
          </w:p>
        </w:tc>
        <w:tc>
          <w:tcPr>
            <w:tcW w:w="437" w:type="pct"/>
            <w:gridSpan w:val="2"/>
            <w:tcBorders>
              <w:top w:val="nil"/>
              <w:left w:val="nil"/>
              <w:bottom w:val="dotted" w:sz="4" w:space="0" w:color="auto"/>
              <w:right w:val="single" w:sz="4" w:space="0" w:color="auto"/>
            </w:tcBorders>
            <w:shd w:val="clear" w:color="000000" w:fill="FFFFFF"/>
            <w:vAlign w:val="center"/>
            <w:hideMark/>
          </w:tcPr>
          <w:p w14:paraId="5DF3585D"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437" w:type="pct"/>
            <w:gridSpan w:val="3"/>
            <w:tcBorders>
              <w:top w:val="nil"/>
              <w:left w:val="nil"/>
              <w:bottom w:val="dotted" w:sz="4" w:space="0" w:color="auto"/>
              <w:right w:val="dotted" w:sz="4" w:space="0" w:color="auto"/>
            </w:tcBorders>
            <w:shd w:val="clear" w:color="000000" w:fill="FFFFFF"/>
            <w:noWrap/>
            <w:vAlign w:val="center"/>
            <w:hideMark/>
          </w:tcPr>
          <w:p w14:paraId="5B91DE3F" w14:textId="77777777" w:rsidR="00247CBF" w:rsidRPr="00092ED7" w:rsidRDefault="00247CBF" w:rsidP="00247CBF">
            <w:pPr>
              <w:spacing w:after="0"/>
              <w:jc w:val="right"/>
              <w:rPr>
                <w:sz w:val="20"/>
                <w:szCs w:val="20"/>
                <w:lang w:val="sr-Cyrl-CS"/>
              </w:rPr>
            </w:pPr>
            <w:r w:rsidRPr="00092ED7">
              <w:rPr>
                <w:sz w:val="20"/>
                <w:szCs w:val="20"/>
                <w:lang w:val="sr-Cyrl-CS"/>
              </w:rPr>
              <w:t>11,4</w:t>
            </w:r>
          </w:p>
        </w:tc>
        <w:tc>
          <w:tcPr>
            <w:tcW w:w="437" w:type="pct"/>
            <w:gridSpan w:val="4"/>
            <w:tcBorders>
              <w:top w:val="nil"/>
              <w:left w:val="nil"/>
              <w:bottom w:val="dotted" w:sz="4" w:space="0" w:color="auto"/>
              <w:right w:val="dotted" w:sz="4" w:space="0" w:color="auto"/>
            </w:tcBorders>
            <w:shd w:val="clear" w:color="000000" w:fill="FFFFFF"/>
            <w:noWrap/>
            <w:vAlign w:val="center"/>
            <w:hideMark/>
          </w:tcPr>
          <w:p w14:paraId="0607F766" w14:textId="77777777" w:rsidR="00247CBF" w:rsidRPr="00092ED7" w:rsidRDefault="00247CBF" w:rsidP="00247CBF">
            <w:pPr>
              <w:spacing w:after="0"/>
              <w:jc w:val="right"/>
              <w:rPr>
                <w:sz w:val="20"/>
                <w:szCs w:val="20"/>
                <w:lang w:val="sr-Cyrl-CS"/>
              </w:rPr>
            </w:pPr>
            <w:r w:rsidRPr="00092ED7">
              <w:rPr>
                <w:sz w:val="20"/>
                <w:szCs w:val="20"/>
                <w:lang w:val="sr-Cyrl-CS"/>
              </w:rPr>
              <w:t>9,9</w:t>
            </w:r>
          </w:p>
        </w:tc>
        <w:tc>
          <w:tcPr>
            <w:tcW w:w="437" w:type="pct"/>
            <w:gridSpan w:val="4"/>
            <w:tcBorders>
              <w:top w:val="nil"/>
              <w:left w:val="nil"/>
              <w:bottom w:val="dotted" w:sz="4" w:space="0" w:color="auto"/>
              <w:right w:val="dotted" w:sz="4" w:space="0" w:color="auto"/>
            </w:tcBorders>
            <w:shd w:val="clear" w:color="000000" w:fill="FFFFFF"/>
            <w:noWrap/>
            <w:vAlign w:val="center"/>
            <w:hideMark/>
          </w:tcPr>
          <w:p w14:paraId="7AAAB5BB" w14:textId="77777777" w:rsidR="00247CBF" w:rsidRPr="00092ED7" w:rsidRDefault="00247CBF" w:rsidP="00247CBF">
            <w:pPr>
              <w:spacing w:after="0"/>
              <w:jc w:val="right"/>
              <w:rPr>
                <w:sz w:val="20"/>
                <w:szCs w:val="20"/>
                <w:lang w:val="sr-Cyrl-CS"/>
              </w:rPr>
            </w:pPr>
            <w:r w:rsidRPr="00092ED7">
              <w:rPr>
                <w:sz w:val="20"/>
                <w:szCs w:val="20"/>
                <w:lang w:val="sr-Cyrl-CS"/>
              </w:rPr>
              <w:t>9,5</w:t>
            </w:r>
          </w:p>
        </w:tc>
        <w:tc>
          <w:tcPr>
            <w:tcW w:w="437" w:type="pct"/>
            <w:gridSpan w:val="3"/>
            <w:tcBorders>
              <w:top w:val="nil"/>
              <w:left w:val="nil"/>
              <w:bottom w:val="dotted" w:sz="4" w:space="0" w:color="auto"/>
              <w:right w:val="dotted" w:sz="4" w:space="0" w:color="auto"/>
            </w:tcBorders>
            <w:shd w:val="clear" w:color="000000" w:fill="FFFFFF"/>
            <w:noWrap/>
            <w:vAlign w:val="center"/>
            <w:hideMark/>
          </w:tcPr>
          <w:p w14:paraId="020AB130" w14:textId="77777777" w:rsidR="00247CBF" w:rsidRPr="00092ED7" w:rsidRDefault="00247CBF" w:rsidP="00247CBF">
            <w:pPr>
              <w:spacing w:after="0"/>
              <w:jc w:val="right"/>
              <w:rPr>
                <w:sz w:val="20"/>
                <w:szCs w:val="20"/>
                <w:lang w:val="sr-Cyrl-CS"/>
              </w:rPr>
            </w:pPr>
            <w:r w:rsidRPr="00092ED7">
              <w:rPr>
                <w:sz w:val="20"/>
                <w:szCs w:val="20"/>
                <w:lang w:val="sr-Cyrl-CS"/>
              </w:rPr>
              <w:t>9,0</w:t>
            </w:r>
          </w:p>
        </w:tc>
        <w:tc>
          <w:tcPr>
            <w:tcW w:w="437" w:type="pct"/>
            <w:gridSpan w:val="2"/>
            <w:tcBorders>
              <w:top w:val="nil"/>
              <w:left w:val="nil"/>
              <w:bottom w:val="dotted" w:sz="4" w:space="0" w:color="auto"/>
              <w:right w:val="double" w:sz="6" w:space="0" w:color="auto"/>
            </w:tcBorders>
            <w:shd w:val="clear" w:color="000000" w:fill="FFFFFF"/>
            <w:noWrap/>
            <w:vAlign w:val="center"/>
            <w:hideMark/>
          </w:tcPr>
          <w:p w14:paraId="6F3C216D" w14:textId="77777777" w:rsidR="00247CBF" w:rsidRPr="00092ED7" w:rsidRDefault="00247CBF" w:rsidP="00247CBF">
            <w:pPr>
              <w:spacing w:after="0"/>
              <w:jc w:val="right"/>
              <w:rPr>
                <w:sz w:val="20"/>
                <w:szCs w:val="20"/>
                <w:lang w:val="sr-Cyrl-CS"/>
              </w:rPr>
            </w:pPr>
            <w:r w:rsidRPr="00092ED7">
              <w:rPr>
                <w:sz w:val="20"/>
                <w:szCs w:val="20"/>
                <w:lang w:val="sr-Cyrl-CS"/>
              </w:rPr>
              <w:t>8,3</w:t>
            </w:r>
          </w:p>
        </w:tc>
      </w:tr>
      <w:tr w:rsidR="00247CBF" w:rsidRPr="00092ED7" w14:paraId="73588B1D" w14:textId="77777777" w:rsidTr="00247CBF">
        <w:trPr>
          <w:gridBefore w:val="1"/>
          <w:wBefore w:w="8" w:type="pct"/>
          <w:trHeight w:val="284"/>
        </w:trPr>
        <w:tc>
          <w:tcPr>
            <w:tcW w:w="1982" w:type="pct"/>
            <w:tcBorders>
              <w:top w:val="nil"/>
              <w:left w:val="double" w:sz="6" w:space="0" w:color="auto"/>
              <w:bottom w:val="dotted" w:sz="4" w:space="0" w:color="auto"/>
              <w:right w:val="nil"/>
            </w:tcBorders>
            <w:shd w:val="clear" w:color="000000" w:fill="FFFFFF"/>
            <w:vAlign w:val="center"/>
            <w:hideMark/>
          </w:tcPr>
          <w:p w14:paraId="280496BC" w14:textId="77777777" w:rsidR="00247CBF" w:rsidRPr="00092ED7" w:rsidRDefault="00000000" w:rsidP="00247CBF">
            <w:pPr>
              <w:spacing w:after="0"/>
              <w:jc w:val="left"/>
              <w:rPr>
                <w:rFonts w:eastAsia="Times New Roman" w:cs="Times New Roman"/>
                <w:sz w:val="20"/>
                <w:szCs w:val="20"/>
                <w:lang w:val="sr-Cyrl-CS"/>
              </w:rPr>
            </w:pPr>
            <w:hyperlink r:id="rId49" w:anchor="RANGE!B25" w:history="1">
              <w:r w:rsidR="00247CBF" w:rsidRPr="00092ED7">
                <w:rPr>
                  <w:rFonts w:eastAsia="Times New Roman" w:cs="Times New Roman"/>
                  <w:sz w:val="20"/>
                  <w:szCs w:val="20"/>
                  <w:lang w:val="sr-Cyrl-CS"/>
                </w:rPr>
                <w:t xml:space="preserve">11. Продуктивност рада, према броју запослених лица [5] </w:t>
              </w:r>
            </w:hyperlink>
          </w:p>
        </w:tc>
        <w:tc>
          <w:tcPr>
            <w:tcW w:w="388" w:type="pct"/>
            <w:tcBorders>
              <w:top w:val="nil"/>
              <w:left w:val="single" w:sz="4" w:space="0" w:color="auto"/>
              <w:bottom w:val="dotted" w:sz="4" w:space="0" w:color="auto"/>
              <w:right w:val="single" w:sz="4" w:space="0" w:color="auto"/>
            </w:tcBorders>
            <w:shd w:val="clear" w:color="000000" w:fill="FFFFFF"/>
            <w:vAlign w:val="center"/>
            <w:hideMark/>
          </w:tcPr>
          <w:p w14:paraId="531770CE" w14:textId="77777777" w:rsidR="00247CBF" w:rsidRPr="00092ED7" w:rsidRDefault="00247CBF" w:rsidP="00247CBF">
            <w:pPr>
              <w:spacing w:after="0"/>
              <w:jc w:val="center"/>
              <w:rPr>
                <w:rFonts w:eastAsia="Times New Roman" w:cs="Times New Roman"/>
                <w:sz w:val="20"/>
                <w:szCs w:val="20"/>
                <w:lang w:val="sr-Cyrl-CS"/>
              </w:rPr>
            </w:pPr>
          </w:p>
        </w:tc>
        <w:tc>
          <w:tcPr>
            <w:tcW w:w="437" w:type="pct"/>
            <w:gridSpan w:val="2"/>
            <w:tcBorders>
              <w:top w:val="nil"/>
              <w:left w:val="nil"/>
              <w:bottom w:val="dotted" w:sz="4" w:space="0" w:color="auto"/>
              <w:right w:val="single" w:sz="4" w:space="0" w:color="auto"/>
            </w:tcBorders>
            <w:shd w:val="clear" w:color="000000" w:fill="FFFFFF"/>
            <w:noWrap/>
            <w:vAlign w:val="center"/>
            <w:hideMark/>
          </w:tcPr>
          <w:p w14:paraId="454F65C1" w14:textId="77777777" w:rsidR="00247CBF" w:rsidRPr="00092ED7" w:rsidRDefault="00247CBF" w:rsidP="00247CBF">
            <w:pPr>
              <w:spacing w:after="0"/>
              <w:jc w:val="right"/>
              <w:rPr>
                <w:sz w:val="20"/>
                <w:szCs w:val="20"/>
                <w:lang w:val="sr-Cyrl-CS"/>
              </w:rPr>
            </w:pPr>
            <w:r w:rsidRPr="00092ED7">
              <w:rPr>
                <w:sz w:val="20"/>
                <w:szCs w:val="20"/>
                <w:lang w:val="sr-Cyrl-CS"/>
              </w:rPr>
              <w:t>1.937,3</w:t>
            </w:r>
          </w:p>
        </w:tc>
        <w:tc>
          <w:tcPr>
            <w:tcW w:w="437" w:type="pct"/>
            <w:gridSpan w:val="3"/>
            <w:tcBorders>
              <w:top w:val="nil"/>
              <w:left w:val="nil"/>
              <w:bottom w:val="dotted" w:sz="4" w:space="0" w:color="auto"/>
              <w:right w:val="dotted" w:sz="4" w:space="0" w:color="auto"/>
            </w:tcBorders>
            <w:shd w:val="clear" w:color="000000" w:fill="FFFFFF"/>
            <w:noWrap/>
            <w:vAlign w:val="center"/>
            <w:hideMark/>
          </w:tcPr>
          <w:p w14:paraId="11FF6B91" w14:textId="77777777" w:rsidR="00247CBF" w:rsidRPr="00092ED7" w:rsidRDefault="00247CBF" w:rsidP="00247CBF">
            <w:pPr>
              <w:spacing w:after="0"/>
              <w:jc w:val="right"/>
              <w:rPr>
                <w:sz w:val="20"/>
                <w:szCs w:val="20"/>
                <w:lang w:val="sr-Cyrl-CS"/>
              </w:rPr>
            </w:pPr>
            <w:r w:rsidRPr="00092ED7">
              <w:rPr>
                <w:sz w:val="20"/>
                <w:szCs w:val="20"/>
                <w:lang w:val="sr-Cyrl-CS"/>
              </w:rPr>
              <w:t>4,5</w:t>
            </w:r>
          </w:p>
        </w:tc>
        <w:tc>
          <w:tcPr>
            <w:tcW w:w="437" w:type="pct"/>
            <w:gridSpan w:val="4"/>
            <w:tcBorders>
              <w:top w:val="nil"/>
              <w:left w:val="nil"/>
              <w:bottom w:val="dotted" w:sz="4" w:space="0" w:color="auto"/>
              <w:right w:val="dotted" w:sz="4" w:space="0" w:color="auto"/>
            </w:tcBorders>
            <w:shd w:val="clear" w:color="000000" w:fill="FFFFFF"/>
            <w:noWrap/>
            <w:vAlign w:val="center"/>
            <w:hideMark/>
          </w:tcPr>
          <w:p w14:paraId="0ECE53F9" w14:textId="77777777" w:rsidR="00247CBF" w:rsidRPr="00092ED7" w:rsidRDefault="00247CBF" w:rsidP="00247CBF">
            <w:pPr>
              <w:spacing w:after="0"/>
              <w:jc w:val="right"/>
              <w:rPr>
                <w:sz w:val="20"/>
                <w:szCs w:val="20"/>
                <w:lang w:val="sr-Cyrl-CS"/>
              </w:rPr>
            </w:pPr>
            <w:r w:rsidRPr="00092ED7">
              <w:rPr>
                <w:sz w:val="20"/>
                <w:szCs w:val="20"/>
                <w:lang w:val="sr-Cyrl-CS"/>
              </w:rPr>
              <w:t>-0,4</w:t>
            </w:r>
          </w:p>
        </w:tc>
        <w:tc>
          <w:tcPr>
            <w:tcW w:w="437" w:type="pct"/>
            <w:gridSpan w:val="4"/>
            <w:tcBorders>
              <w:top w:val="nil"/>
              <w:left w:val="nil"/>
              <w:bottom w:val="dotted" w:sz="4" w:space="0" w:color="auto"/>
              <w:right w:val="dotted" w:sz="4" w:space="0" w:color="auto"/>
            </w:tcBorders>
            <w:shd w:val="clear" w:color="000000" w:fill="FFFFFF"/>
            <w:noWrap/>
            <w:vAlign w:val="center"/>
            <w:hideMark/>
          </w:tcPr>
          <w:p w14:paraId="1C783713" w14:textId="77777777" w:rsidR="00247CBF" w:rsidRPr="00092ED7" w:rsidRDefault="00247CBF" w:rsidP="00247CBF">
            <w:pPr>
              <w:spacing w:after="0"/>
              <w:jc w:val="right"/>
              <w:rPr>
                <w:sz w:val="20"/>
                <w:szCs w:val="20"/>
                <w:lang w:val="sr-Cyrl-CS"/>
              </w:rPr>
            </w:pPr>
            <w:r w:rsidRPr="00092ED7">
              <w:rPr>
                <w:sz w:val="20"/>
                <w:szCs w:val="20"/>
                <w:lang w:val="sr-Cyrl-CS"/>
              </w:rPr>
              <w:t>1,8</w:t>
            </w:r>
          </w:p>
        </w:tc>
        <w:tc>
          <w:tcPr>
            <w:tcW w:w="437" w:type="pct"/>
            <w:gridSpan w:val="3"/>
            <w:tcBorders>
              <w:top w:val="nil"/>
              <w:left w:val="nil"/>
              <w:bottom w:val="dotted" w:sz="4" w:space="0" w:color="auto"/>
              <w:right w:val="dotted" w:sz="4" w:space="0" w:color="auto"/>
            </w:tcBorders>
            <w:shd w:val="clear" w:color="000000" w:fill="FFFFFF"/>
            <w:noWrap/>
            <w:vAlign w:val="center"/>
            <w:hideMark/>
          </w:tcPr>
          <w:p w14:paraId="4AE58F8C" w14:textId="77777777" w:rsidR="00247CBF" w:rsidRPr="00092ED7" w:rsidRDefault="00247CBF" w:rsidP="00247CBF">
            <w:pPr>
              <w:spacing w:after="0"/>
              <w:jc w:val="right"/>
              <w:rPr>
                <w:sz w:val="20"/>
                <w:szCs w:val="20"/>
                <w:lang w:val="sr-Cyrl-CS"/>
              </w:rPr>
            </w:pPr>
            <w:r w:rsidRPr="00092ED7">
              <w:rPr>
                <w:sz w:val="20"/>
                <w:szCs w:val="20"/>
                <w:lang w:val="sr-Cyrl-CS"/>
              </w:rPr>
              <w:t>2,5</w:t>
            </w:r>
          </w:p>
        </w:tc>
        <w:tc>
          <w:tcPr>
            <w:tcW w:w="437" w:type="pct"/>
            <w:gridSpan w:val="2"/>
            <w:tcBorders>
              <w:top w:val="nil"/>
              <w:left w:val="nil"/>
              <w:bottom w:val="dotted" w:sz="4" w:space="0" w:color="auto"/>
              <w:right w:val="double" w:sz="6" w:space="0" w:color="auto"/>
            </w:tcBorders>
            <w:shd w:val="clear" w:color="000000" w:fill="FFFFFF"/>
            <w:noWrap/>
            <w:vAlign w:val="center"/>
            <w:hideMark/>
          </w:tcPr>
          <w:p w14:paraId="63C0B7D0" w14:textId="77777777" w:rsidR="00247CBF" w:rsidRPr="00092ED7" w:rsidRDefault="00247CBF" w:rsidP="00247CBF">
            <w:pPr>
              <w:spacing w:after="0"/>
              <w:jc w:val="right"/>
              <w:rPr>
                <w:sz w:val="20"/>
                <w:szCs w:val="20"/>
                <w:lang w:val="sr-Cyrl-CS"/>
              </w:rPr>
            </w:pPr>
            <w:r w:rsidRPr="00092ED7">
              <w:rPr>
                <w:sz w:val="20"/>
                <w:szCs w:val="20"/>
                <w:lang w:val="sr-Cyrl-CS"/>
              </w:rPr>
              <w:t>2,8</w:t>
            </w:r>
          </w:p>
        </w:tc>
      </w:tr>
      <w:tr w:rsidR="00247CBF" w:rsidRPr="00092ED7" w14:paraId="26AEB448" w14:textId="77777777" w:rsidTr="00247CBF">
        <w:trPr>
          <w:gridBefore w:val="1"/>
          <w:wBefore w:w="8" w:type="pct"/>
          <w:trHeight w:val="284"/>
        </w:trPr>
        <w:tc>
          <w:tcPr>
            <w:tcW w:w="1982" w:type="pct"/>
            <w:tcBorders>
              <w:top w:val="nil"/>
              <w:left w:val="double" w:sz="6" w:space="0" w:color="auto"/>
              <w:bottom w:val="dotted" w:sz="4" w:space="0" w:color="auto"/>
              <w:right w:val="nil"/>
            </w:tcBorders>
            <w:shd w:val="clear" w:color="000000" w:fill="FFFFFF"/>
            <w:vAlign w:val="center"/>
            <w:hideMark/>
          </w:tcPr>
          <w:p w14:paraId="26DDCE99" w14:textId="77777777" w:rsidR="00247CBF" w:rsidRPr="00092ED7" w:rsidRDefault="00000000" w:rsidP="00247CBF">
            <w:pPr>
              <w:spacing w:after="0"/>
              <w:jc w:val="left"/>
              <w:rPr>
                <w:rFonts w:eastAsia="Times New Roman" w:cs="Times New Roman"/>
                <w:sz w:val="20"/>
                <w:szCs w:val="20"/>
                <w:lang w:val="sr-Cyrl-CS"/>
              </w:rPr>
            </w:pPr>
            <w:hyperlink r:id="rId50" w:anchor="RANGE!B26" w:history="1">
              <w:r w:rsidR="00247CBF" w:rsidRPr="00092ED7">
                <w:rPr>
                  <w:rFonts w:eastAsia="Times New Roman" w:cs="Times New Roman"/>
                  <w:sz w:val="20"/>
                  <w:szCs w:val="20"/>
                  <w:lang w:val="sr-Cyrl-CS"/>
                </w:rPr>
                <w:t>12. Продуктивност рада, према часовима рада [6]</w:t>
              </w:r>
            </w:hyperlink>
          </w:p>
        </w:tc>
        <w:tc>
          <w:tcPr>
            <w:tcW w:w="388" w:type="pct"/>
            <w:tcBorders>
              <w:top w:val="nil"/>
              <w:left w:val="single" w:sz="4" w:space="0" w:color="auto"/>
              <w:bottom w:val="dotted" w:sz="4" w:space="0" w:color="auto"/>
              <w:right w:val="single" w:sz="4" w:space="0" w:color="auto"/>
            </w:tcBorders>
            <w:shd w:val="clear" w:color="000000" w:fill="FFFFFF"/>
            <w:vAlign w:val="center"/>
            <w:hideMark/>
          </w:tcPr>
          <w:p w14:paraId="264B8F30" w14:textId="77777777" w:rsidR="00247CBF" w:rsidRPr="00092ED7" w:rsidRDefault="00247CBF" w:rsidP="00247CBF">
            <w:pPr>
              <w:spacing w:after="0"/>
              <w:jc w:val="center"/>
              <w:rPr>
                <w:rFonts w:eastAsia="Times New Roman" w:cs="Times New Roman"/>
                <w:sz w:val="20"/>
                <w:szCs w:val="20"/>
                <w:lang w:val="sr-Cyrl-CS"/>
              </w:rPr>
            </w:pPr>
          </w:p>
        </w:tc>
        <w:tc>
          <w:tcPr>
            <w:tcW w:w="437" w:type="pct"/>
            <w:gridSpan w:val="2"/>
            <w:tcBorders>
              <w:top w:val="nil"/>
              <w:left w:val="nil"/>
              <w:bottom w:val="dotted" w:sz="4" w:space="0" w:color="auto"/>
              <w:right w:val="single" w:sz="4" w:space="0" w:color="auto"/>
            </w:tcBorders>
            <w:shd w:val="clear" w:color="000000" w:fill="FFFFFF"/>
            <w:vAlign w:val="center"/>
            <w:hideMark/>
          </w:tcPr>
          <w:p w14:paraId="3BC0E27B"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437" w:type="pct"/>
            <w:gridSpan w:val="3"/>
            <w:tcBorders>
              <w:top w:val="nil"/>
              <w:left w:val="nil"/>
              <w:bottom w:val="dotted" w:sz="4" w:space="0" w:color="auto"/>
              <w:right w:val="dotted" w:sz="4" w:space="0" w:color="auto"/>
            </w:tcBorders>
            <w:shd w:val="clear" w:color="000000" w:fill="FFFFFF"/>
            <w:vAlign w:val="center"/>
            <w:hideMark/>
          </w:tcPr>
          <w:p w14:paraId="71BD4B71"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437" w:type="pct"/>
            <w:gridSpan w:val="4"/>
            <w:tcBorders>
              <w:top w:val="nil"/>
              <w:left w:val="nil"/>
              <w:bottom w:val="dotted" w:sz="4" w:space="0" w:color="auto"/>
              <w:right w:val="dotted" w:sz="4" w:space="0" w:color="auto"/>
            </w:tcBorders>
            <w:shd w:val="clear" w:color="000000" w:fill="FFFFFF"/>
            <w:vAlign w:val="center"/>
            <w:hideMark/>
          </w:tcPr>
          <w:p w14:paraId="06042830"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437" w:type="pct"/>
            <w:gridSpan w:val="4"/>
            <w:tcBorders>
              <w:top w:val="nil"/>
              <w:left w:val="nil"/>
              <w:bottom w:val="dotted" w:sz="4" w:space="0" w:color="auto"/>
              <w:right w:val="dotted" w:sz="4" w:space="0" w:color="auto"/>
            </w:tcBorders>
            <w:shd w:val="clear" w:color="000000" w:fill="FFFFFF"/>
            <w:vAlign w:val="center"/>
            <w:hideMark/>
          </w:tcPr>
          <w:p w14:paraId="68866FE9"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437" w:type="pct"/>
            <w:gridSpan w:val="3"/>
            <w:tcBorders>
              <w:top w:val="nil"/>
              <w:left w:val="nil"/>
              <w:bottom w:val="dotted" w:sz="4" w:space="0" w:color="auto"/>
              <w:right w:val="dotted" w:sz="4" w:space="0" w:color="auto"/>
            </w:tcBorders>
            <w:shd w:val="clear" w:color="000000" w:fill="FFFFFF"/>
            <w:vAlign w:val="center"/>
            <w:hideMark/>
          </w:tcPr>
          <w:p w14:paraId="08801983"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437" w:type="pct"/>
            <w:gridSpan w:val="2"/>
            <w:tcBorders>
              <w:top w:val="nil"/>
              <w:left w:val="nil"/>
              <w:bottom w:val="dotted" w:sz="4" w:space="0" w:color="auto"/>
              <w:right w:val="double" w:sz="6" w:space="0" w:color="auto"/>
            </w:tcBorders>
            <w:shd w:val="clear" w:color="000000" w:fill="FFFFFF"/>
            <w:vAlign w:val="center"/>
            <w:hideMark/>
          </w:tcPr>
          <w:p w14:paraId="355F5E3A" w14:textId="77777777" w:rsidR="00247CBF" w:rsidRPr="00092ED7" w:rsidRDefault="00247CBF" w:rsidP="00247CBF">
            <w:pPr>
              <w:spacing w:after="0"/>
              <w:jc w:val="right"/>
              <w:rPr>
                <w:sz w:val="20"/>
                <w:szCs w:val="20"/>
                <w:lang w:val="sr-Cyrl-CS"/>
              </w:rPr>
            </w:pPr>
            <w:r w:rsidRPr="00092ED7">
              <w:rPr>
                <w:sz w:val="20"/>
                <w:szCs w:val="20"/>
                <w:lang w:val="sr-Cyrl-CS"/>
              </w:rPr>
              <w:t>:</w:t>
            </w:r>
          </w:p>
        </w:tc>
      </w:tr>
      <w:tr w:rsidR="00247CBF" w:rsidRPr="00092ED7" w14:paraId="41DAFFD7" w14:textId="77777777" w:rsidTr="00247CBF">
        <w:trPr>
          <w:gridBefore w:val="1"/>
          <w:wBefore w:w="8" w:type="pct"/>
          <w:trHeight w:val="284"/>
        </w:trPr>
        <w:tc>
          <w:tcPr>
            <w:tcW w:w="1982" w:type="pct"/>
            <w:tcBorders>
              <w:top w:val="nil"/>
              <w:left w:val="double" w:sz="6" w:space="0" w:color="auto"/>
              <w:bottom w:val="double" w:sz="6" w:space="0" w:color="auto"/>
              <w:right w:val="nil"/>
            </w:tcBorders>
            <w:shd w:val="clear" w:color="000000" w:fill="FFFFFF"/>
            <w:vAlign w:val="center"/>
            <w:hideMark/>
          </w:tcPr>
          <w:p w14:paraId="17470680" w14:textId="77777777" w:rsidR="00247CBF" w:rsidRPr="00092ED7" w:rsidRDefault="00247CBF" w:rsidP="00247CBF">
            <w:pPr>
              <w:spacing w:after="0"/>
              <w:jc w:val="left"/>
              <w:rPr>
                <w:rFonts w:eastAsia="Times New Roman" w:cs="Times New Roman"/>
                <w:sz w:val="20"/>
                <w:szCs w:val="20"/>
                <w:lang w:val="sr-Cyrl-CS"/>
              </w:rPr>
            </w:pPr>
            <w:r w:rsidRPr="00092ED7">
              <w:rPr>
                <w:rFonts w:eastAsia="Times New Roman" w:cs="Times New Roman"/>
                <w:sz w:val="20"/>
                <w:szCs w:val="20"/>
                <w:lang w:val="sr-Cyrl-CS"/>
              </w:rPr>
              <w:t>13. Зараде и накнаде запосленима</w:t>
            </w:r>
          </w:p>
        </w:tc>
        <w:tc>
          <w:tcPr>
            <w:tcW w:w="388" w:type="pct"/>
            <w:tcBorders>
              <w:top w:val="nil"/>
              <w:left w:val="single" w:sz="4" w:space="0" w:color="auto"/>
              <w:bottom w:val="double" w:sz="6" w:space="0" w:color="auto"/>
              <w:right w:val="single" w:sz="4" w:space="0" w:color="auto"/>
            </w:tcBorders>
            <w:shd w:val="clear" w:color="000000" w:fill="FFFFFF"/>
            <w:vAlign w:val="center"/>
            <w:hideMark/>
          </w:tcPr>
          <w:p w14:paraId="1AD115E6"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D1</w:t>
            </w:r>
          </w:p>
        </w:tc>
        <w:tc>
          <w:tcPr>
            <w:tcW w:w="437" w:type="pct"/>
            <w:gridSpan w:val="2"/>
            <w:tcBorders>
              <w:top w:val="nil"/>
              <w:left w:val="nil"/>
              <w:bottom w:val="double" w:sz="6" w:space="0" w:color="auto"/>
              <w:right w:val="single" w:sz="4" w:space="0" w:color="auto"/>
            </w:tcBorders>
            <w:shd w:val="clear" w:color="000000" w:fill="FFFFFF"/>
            <w:noWrap/>
            <w:vAlign w:val="center"/>
            <w:hideMark/>
          </w:tcPr>
          <w:p w14:paraId="6241D146"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437" w:type="pct"/>
            <w:gridSpan w:val="3"/>
            <w:tcBorders>
              <w:top w:val="nil"/>
              <w:left w:val="nil"/>
              <w:bottom w:val="double" w:sz="6" w:space="0" w:color="auto"/>
              <w:right w:val="dotted" w:sz="4" w:space="0" w:color="auto"/>
            </w:tcBorders>
            <w:shd w:val="clear" w:color="000000" w:fill="FFFFFF"/>
            <w:noWrap/>
            <w:vAlign w:val="center"/>
            <w:hideMark/>
          </w:tcPr>
          <w:p w14:paraId="12065787"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437" w:type="pct"/>
            <w:gridSpan w:val="4"/>
            <w:tcBorders>
              <w:top w:val="nil"/>
              <w:left w:val="nil"/>
              <w:bottom w:val="double" w:sz="6" w:space="0" w:color="auto"/>
              <w:right w:val="dotted" w:sz="4" w:space="0" w:color="auto"/>
            </w:tcBorders>
            <w:shd w:val="clear" w:color="000000" w:fill="FFFFFF"/>
            <w:noWrap/>
            <w:vAlign w:val="center"/>
            <w:hideMark/>
          </w:tcPr>
          <w:p w14:paraId="18589B81"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437" w:type="pct"/>
            <w:gridSpan w:val="4"/>
            <w:tcBorders>
              <w:top w:val="nil"/>
              <w:left w:val="nil"/>
              <w:bottom w:val="double" w:sz="6" w:space="0" w:color="auto"/>
              <w:right w:val="dotted" w:sz="4" w:space="0" w:color="auto"/>
            </w:tcBorders>
            <w:shd w:val="clear" w:color="000000" w:fill="FFFFFF"/>
            <w:noWrap/>
            <w:vAlign w:val="center"/>
            <w:hideMark/>
          </w:tcPr>
          <w:p w14:paraId="1A5265F4"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437" w:type="pct"/>
            <w:gridSpan w:val="3"/>
            <w:tcBorders>
              <w:top w:val="nil"/>
              <w:left w:val="nil"/>
              <w:bottom w:val="double" w:sz="6" w:space="0" w:color="auto"/>
              <w:right w:val="dotted" w:sz="4" w:space="0" w:color="auto"/>
            </w:tcBorders>
            <w:shd w:val="clear" w:color="000000" w:fill="FFFFFF"/>
            <w:noWrap/>
            <w:vAlign w:val="center"/>
            <w:hideMark/>
          </w:tcPr>
          <w:p w14:paraId="661DFD0F"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437" w:type="pct"/>
            <w:gridSpan w:val="2"/>
            <w:tcBorders>
              <w:top w:val="nil"/>
              <w:left w:val="nil"/>
              <w:bottom w:val="double" w:sz="6" w:space="0" w:color="auto"/>
              <w:right w:val="double" w:sz="6" w:space="0" w:color="auto"/>
            </w:tcBorders>
            <w:shd w:val="clear" w:color="000000" w:fill="FFFFFF"/>
            <w:noWrap/>
            <w:vAlign w:val="center"/>
            <w:hideMark/>
          </w:tcPr>
          <w:p w14:paraId="278203DD" w14:textId="77777777" w:rsidR="00247CBF" w:rsidRPr="00092ED7" w:rsidRDefault="00247CBF" w:rsidP="00247CBF">
            <w:pPr>
              <w:spacing w:after="0"/>
              <w:jc w:val="right"/>
              <w:rPr>
                <w:sz w:val="20"/>
                <w:szCs w:val="20"/>
                <w:lang w:val="sr-Cyrl-CS"/>
              </w:rPr>
            </w:pPr>
            <w:r w:rsidRPr="00092ED7">
              <w:rPr>
                <w:sz w:val="20"/>
                <w:szCs w:val="20"/>
                <w:lang w:val="sr-Cyrl-CS"/>
              </w:rPr>
              <w:t>:</w:t>
            </w:r>
          </w:p>
        </w:tc>
      </w:tr>
      <w:tr w:rsidR="00247CBF" w:rsidRPr="00092ED7" w14:paraId="7248C650" w14:textId="77777777" w:rsidTr="00247CBF">
        <w:trPr>
          <w:gridBefore w:val="1"/>
          <w:wBefore w:w="8" w:type="pct"/>
          <w:trHeight w:val="255"/>
        </w:trPr>
        <w:tc>
          <w:tcPr>
            <w:tcW w:w="1982" w:type="pct"/>
            <w:tcBorders>
              <w:top w:val="nil"/>
              <w:left w:val="nil"/>
              <w:bottom w:val="nil"/>
              <w:right w:val="nil"/>
            </w:tcBorders>
            <w:shd w:val="clear" w:color="000000" w:fill="FFFFFF"/>
            <w:noWrap/>
            <w:vAlign w:val="bottom"/>
            <w:hideMark/>
          </w:tcPr>
          <w:p w14:paraId="0995AAAF" w14:textId="77777777" w:rsidR="00247CBF" w:rsidRPr="00092ED7" w:rsidRDefault="00247CBF" w:rsidP="00247CBF">
            <w:pPr>
              <w:spacing w:after="0"/>
              <w:rPr>
                <w:rFonts w:eastAsia="Times New Roman" w:cs="Times New Roman"/>
                <w:sz w:val="16"/>
                <w:szCs w:val="16"/>
                <w:lang w:val="sr-Cyrl-CS"/>
              </w:rPr>
            </w:pPr>
            <w:r w:rsidRPr="00092ED7">
              <w:rPr>
                <w:rFonts w:eastAsia="Times New Roman" w:cs="Times New Roman"/>
                <w:sz w:val="16"/>
                <w:szCs w:val="16"/>
                <w:lang w:val="sr-Cyrl-CS"/>
              </w:rPr>
              <w:t>[1] Узрасна група 15-64 године</w:t>
            </w:r>
          </w:p>
        </w:tc>
        <w:tc>
          <w:tcPr>
            <w:tcW w:w="388" w:type="pct"/>
            <w:tcBorders>
              <w:top w:val="nil"/>
              <w:left w:val="nil"/>
              <w:bottom w:val="nil"/>
              <w:right w:val="nil"/>
            </w:tcBorders>
            <w:shd w:val="clear" w:color="000000" w:fill="FFFFFF"/>
            <w:noWrap/>
            <w:vAlign w:val="bottom"/>
          </w:tcPr>
          <w:p w14:paraId="4DC1AB4E" w14:textId="77777777" w:rsidR="00247CBF" w:rsidRPr="00092ED7" w:rsidRDefault="00247CBF" w:rsidP="00247CBF">
            <w:pPr>
              <w:spacing w:after="0"/>
              <w:rPr>
                <w:rFonts w:ascii="Arial" w:eastAsia="Times New Roman" w:hAnsi="Arial" w:cs="Arial"/>
                <w:sz w:val="16"/>
                <w:szCs w:val="16"/>
                <w:lang w:val="sr-Cyrl-CS"/>
              </w:rPr>
            </w:pPr>
          </w:p>
        </w:tc>
        <w:tc>
          <w:tcPr>
            <w:tcW w:w="486" w:type="pct"/>
            <w:gridSpan w:val="4"/>
            <w:tcBorders>
              <w:top w:val="nil"/>
              <w:left w:val="nil"/>
              <w:bottom w:val="nil"/>
              <w:right w:val="nil"/>
            </w:tcBorders>
            <w:shd w:val="clear" w:color="000000" w:fill="FFFFFF"/>
            <w:noWrap/>
            <w:vAlign w:val="bottom"/>
          </w:tcPr>
          <w:p w14:paraId="19D59DDD" w14:textId="77777777" w:rsidR="00247CBF" w:rsidRPr="00092ED7" w:rsidRDefault="00247CBF" w:rsidP="00247CBF">
            <w:pPr>
              <w:spacing w:after="0"/>
              <w:rPr>
                <w:rFonts w:ascii="Arial" w:eastAsia="Times New Roman" w:hAnsi="Arial" w:cs="Arial"/>
                <w:sz w:val="16"/>
                <w:szCs w:val="16"/>
                <w:lang w:val="sr-Cyrl-CS"/>
              </w:rPr>
            </w:pPr>
          </w:p>
        </w:tc>
        <w:tc>
          <w:tcPr>
            <w:tcW w:w="534" w:type="pct"/>
            <w:gridSpan w:val="3"/>
            <w:tcBorders>
              <w:top w:val="nil"/>
              <w:left w:val="nil"/>
              <w:bottom w:val="nil"/>
              <w:right w:val="nil"/>
            </w:tcBorders>
            <w:shd w:val="clear" w:color="000000" w:fill="FFFFFF"/>
            <w:noWrap/>
            <w:vAlign w:val="bottom"/>
          </w:tcPr>
          <w:p w14:paraId="3315E88C" w14:textId="77777777" w:rsidR="00247CBF" w:rsidRPr="00092ED7" w:rsidRDefault="00247CBF" w:rsidP="00247CBF">
            <w:pPr>
              <w:spacing w:after="0"/>
              <w:rPr>
                <w:rFonts w:ascii="Arial" w:eastAsia="Times New Roman" w:hAnsi="Arial" w:cs="Arial"/>
                <w:sz w:val="16"/>
                <w:szCs w:val="16"/>
                <w:lang w:val="sr-Cyrl-CS"/>
              </w:rPr>
            </w:pPr>
          </w:p>
        </w:tc>
        <w:tc>
          <w:tcPr>
            <w:tcW w:w="388" w:type="pct"/>
            <w:gridSpan w:val="3"/>
            <w:tcBorders>
              <w:top w:val="nil"/>
              <w:left w:val="nil"/>
              <w:bottom w:val="nil"/>
              <w:right w:val="nil"/>
            </w:tcBorders>
            <w:shd w:val="clear" w:color="000000" w:fill="FFFFFF"/>
            <w:noWrap/>
            <w:vAlign w:val="bottom"/>
          </w:tcPr>
          <w:p w14:paraId="6A8724B7" w14:textId="77777777" w:rsidR="00247CBF" w:rsidRPr="00092ED7" w:rsidRDefault="00247CBF" w:rsidP="00247CBF">
            <w:pPr>
              <w:spacing w:after="0"/>
              <w:rPr>
                <w:rFonts w:ascii="Arial" w:eastAsia="Times New Roman" w:hAnsi="Arial" w:cs="Arial"/>
                <w:sz w:val="16"/>
                <w:szCs w:val="16"/>
                <w:lang w:val="sr-Cyrl-CS"/>
              </w:rPr>
            </w:pPr>
          </w:p>
        </w:tc>
        <w:tc>
          <w:tcPr>
            <w:tcW w:w="291" w:type="pct"/>
            <w:gridSpan w:val="2"/>
            <w:tcBorders>
              <w:top w:val="nil"/>
              <w:left w:val="nil"/>
              <w:bottom w:val="nil"/>
              <w:right w:val="nil"/>
            </w:tcBorders>
            <w:shd w:val="clear" w:color="000000" w:fill="FFFFFF"/>
            <w:noWrap/>
            <w:vAlign w:val="bottom"/>
          </w:tcPr>
          <w:p w14:paraId="5D9862DC" w14:textId="77777777" w:rsidR="00247CBF" w:rsidRPr="00092ED7" w:rsidRDefault="00247CBF" w:rsidP="00247CBF">
            <w:pPr>
              <w:spacing w:after="0"/>
              <w:rPr>
                <w:rFonts w:ascii="Arial" w:eastAsia="Times New Roman" w:hAnsi="Arial" w:cs="Arial"/>
                <w:sz w:val="16"/>
                <w:szCs w:val="16"/>
                <w:lang w:val="sr-Cyrl-CS"/>
              </w:rPr>
            </w:pPr>
          </w:p>
        </w:tc>
        <w:tc>
          <w:tcPr>
            <w:tcW w:w="437" w:type="pct"/>
            <w:gridSpan w:val="3"/>
            <w:tcBorders>
              <w:top w:val="nil"/>
              <w:left w:val="nil"/>
              <w:bottom w:val="nil"/>
              <w:right w:val="nil"/>
            </w:tcBorders>
            <w:shd w:val="clear" w:color="000000" w:fill="FFFFFF"/>
            <w:noWrap/>
            <w:vAlign w:val="bottom"/>
          </w:tcPr>
          <w:p w14:paraId="3A157EB8" w14:textId="77777777" w:rsidR="00247CBF" w:rsidRPr="00092ED7" w:rsidRDefault="00247CBF" w:rsidP="00247CBF">
            <w:pPr>
              <w:spacing w:after="0"/>
              <w:rPr>
                <w:rFonts w:ascii="Arial" w:eastAsia="Times New Roman" w:hAnsi="Arial" w:cs="Arial"/>
                <w:sz w:val="16"/>
                <w:szCs w:val="16"/>
                <w:lang w:val="sr-Cyrl-CS"/>
              </w:rPr>
            </w:pPr>
          </w:p>
        </w:tc>
        <w:tc>
          <w:tcPr>
            <w:tcW w:w="486" w:type="pct"/>
            <w:gridSpan w:val="3"/>
            <w:tcBorders>
              <w:top w:val="nil"/>
              <w:left w:val="nil"/>
              <w:bottom w:val="nil"/>
              <w:right w:val="nil"/>
            </w:tcBorders>
            <w:shd w:val="clear" w:color="000000" w:fill="FFFFFF"/>
            <w:noWrap/>
            <w:vAlign w:val="bottom"/>
          </w:tcPr>
          <w:p w14:paraId="65AB28CA" w14:textId="77777777" w:rsidR="00247CBF" w:rsidRPr="00092ED7" w:rsidRDefault="00247CBF" w:rsidP="00247CBF">
            <w:pPr>
              <w:spacing w:after="0"/>
              <w:rPr>
                <w:rFonts w:ascii="Arial" w:eastAsia="Times New Roman" w:hAnsi="Arial" w:cs="Arial"/>
                <w:sz w:val="16"/>
                <w:szCs w:val="16"/>
                <w:lang w:val="sr-Cyrl-CS"/>
              </w:rPr>
            </w:pPr>
          </w:p>
        </w:tc>
      </w:tr>
      <w:tr w:rsidR="00247CBF" w:rsidRPr="00092ED7" w14:paraId="6070E998" w14:textId="77777777" w:rsidTr="00247CBF">
        <w:trPr>
          <w:gridBefore w:val="1"/>
          <w:wBefore w:w="8" w:type="pct"/>
          <w:trHeight w:val="255"/>
        </w:trPr>
        <w:tc>
          <w:tcPr>
            <w:tcW w:w="2856" w:type="pct"/>
            <w:gridSpan w:val="6"/>
            <w:tcBorders>
              <w:top w:val="nil"/>
              <w:left w:val="nil"/>
              <w:bottom w:val="nil"/>
              <w:right w:val="nil"/>
            </w:tcBorders>
            <w:shd w:val="clear" w:color="000000" w:fill="FFFFFF"/>
            <w:noWrap/>
            <w:vAlign w:val="bottom"/>
            <w:hideMark/>
          </w:tcPr>
          <w:p w14:paraId="6CECF1B5" w14:textId="77777777" w:rsidR="00247CBF" w:rsidRPr="00092ED7" w:rsidRDefault="00247CBF" w:rsidP="00247CBF">
            <w:pPr>
              <w:spacing w:after="0"/>
              <w:rPr>
                <w:rFonts w:eastAsia="Times New Roman" w:cs="Times New Roman"/>
                <w:sz w:val="16"/>
                <w:szCs w:val="16"/>
                <w:lang w:val="sr-Cyrl-CS"/>
              </w:rPr>
            </w:pPr>
            <w:r w:rsidRPr="00092ED7">
              <w:rPr>
                <w:rFonts w:eastAsia="Times New Roman" w:cs="Times New Roman"/>
                <w:sz w:val="16"/>
                <w:szCs w:val="16"/>
                <w:lang w:val="sr-Cyrl-CS"/>
              </w:rPr>
              <w:t>[2] Запослено становништво, према дефиницији из Анкете о радној снази</w:t>
            </w:r>
          </w:p>
        </w:tc>
        <w:tc>
          <w:tcPr>
            <w:tcW w:w="534" w:type="pct"/>
            <w:gridSpan w:val="3"/>
            <w:tcBorders>
              <w:top w:val="nil"/>
              <w:left w:val="nil"/>
              <w:bottom w:val="nil"/>
              <w:right w:val="nil"/>
            </w:tcBorders>
            <w:shd w:val="clear" w:color="000000" w:fill="FFFFFF"/>
            <w:noWrap/>
            <w:vAlign w:val="bottom"/>
          </w:tcPr>
          <w:p w14:paraId="59019654" w14:textId="77777777" w:rsidR="00247CBF" w:rsidRPr="00092ED7" w:rsidRDefault="00247CBF" w:rsidP="00247CBF">
            <w:pPr>
              <w:spacing w:after="0"/>
              <w:rPr>
                <w:rFonts w:ascii="Arial" w:eastAsia="Times New Roman" w:hAnsi="Arial" w:cs="Arial"/>
                <w:sz w:val="16"/>
                <w:szCs w:val="16"/>
                <w:lang w:val="sr-Cyrl-CS"/>
              </w:rPr>
            </w:pPr>
          </w:p>
        </w:tc>
        <w:tc>
          <w:tcPr>
            <w:tcW w:w="388" w:type="pct"/>
            <w:gridSpan w:val="3"/>
            <w:tcBorders>
              <w:top w:val="nil"/>
              <w:left w:val="nil"/>
              <w:bottom w:val="nil"/>
              <w:right w:val="nil"/>
            </w:tcBorders>
            <w:shd w:val="clear" w:color="000000" w:fill="FFFFFF"/>
            <w:noWrap/>
            <w:vAlign w:val="bottom"/>
          </w:tcPr>
          <w:p w14:paraId="2CF0EBCF" w14:textId="77777777" w:rsidR="00247CBF" w:rsidRPr="00092ED7" w:rsidRDefault="00247CBF" w:rsidP="00247CBF">
            <w:pPr>
              <w:spacing w:after="0"/>
              <w:rPr>
                <w:rFonts w:ascii="Arial" w:eastAsia="Times New Roman" w:hAnsi="Arial" w:cs="Arial"/>
                <w:sz w:val="16"/>
                <w:szCs w:val="16"/>
                <w:lang w:val="sr-Cyrl-CS"/>
              </w:rPr>
            </w:pPr>
          </w:p>
        </w:tc>
        <w:tc>
          <w:tcPr>
            <w:tcW w:w="291" w:type="pct"/>
            <w:gridSpan w:val="2"/>
            <w:tcBorders>
              <w:top w:val="nil"/>
              <w:left w:val="nil"/>
              <w:bottom w:val="nil"/>
              <w:right w:val="nil"/>
            </w:tcBorders>
            <w:shd w:val="clear" w:color="000000" w:fill="FFFFFF"/>
            <w:noWrap/>
            <w:vAlign w:val="bottom"/>
          </w:tcPr>
          <w:p w14:paraId="31932F21" w14:textId="77777777" w:rsidR="00247CBF" w:rsidRPr="00092ED7" w:rsidRDefault="00247CBF" w:rsidP="00247CBF">
            <w:pPr>
              <w:spacing w:after="0"/>
              <w:rPr>
                <w:rFonts w:ascii="Arial" w:eastAsia="Times New Roman" w:hAnsi="Arial" w:cs="Arial"/>
                <w:sz w:val="16"/>
                <w:szCs w:val="16"/>
                <w:lang w:val="sr-Cyrl-CS"/>
              </w:rPr>
            </w:pPr>
          </w:p>
        </w:tc>
        <w:tc>
          <w:tcPr>
            <w:tcW w:w="437" w:type="pct"/>
            <w:gridSpan w:val="3"/>
            <w:tcBorders>
              <w:top w:val="nil"/>
              <w:left w:val="nil"/>
              <w:bottom w:val="nil"/>
              <w:right w:val="nil"/>
            </w:tcBorders>
            <w:shd w:val="clear" w:color="000000" w:fill="FFFFFF"/>
            <w:noWrap/>
            <w:vAlign w:val="bottom"/>
          </w:tcPr>
          <w:p w14:paraId="7683D10A" w14:textId="77777777" w:rsidR="00247CBF" w:rsidRPr="00092ED7" w:rsidRDefault="00247CBF" w:rsidP="00247CBF">
            <w:pPr>
              <w:spacing w:after="0"/>
              <w:rPr>
                <w:rFonts w:ascii="Arial" w:eastAsia="Times New Roman" w:hAnsi="Arial" w:cs="Arial"/>
                <w:sz w:val="16"/>
                <w:szCs w:val="16"/>
                <w:lang w:val="sr-Cyrl-CS"/>
              </w:rPr>
            </w:pPr>
          </w:p>
        </w:tc>
        <w:tc>
          <w:tcPr>
            <w:tcW w:w="486" w:type="pct"/>
            <w:gridSpan w:val="3"/>
            <w:tcBorders>
              <w:top w:val="nil"/>
              <w:left w:val="nil"/>
              <w:bottom w:val="nil"/>
              <w:right w:val="nil"/>
            </w:tcBorders>
            <w:shd w:val="clear" w:color="000000" w:fill="FFFFFF"/>
            <w:noWrap/>
            <w:vAlign w:val="bottom"/>
          </w:tcPr>
          <w:p w14:paraId="39F7547C" w14:textId="77777777" w:rsidR="00247CBF" w:rsidRPr="00092ED7" w:rsidRDefault="00247CBF" w:rsidP="00247CBF">
            <w:pPr>
              <w:spacing w:after="0"/>
              <w:rPr>
                <w:rFonts w:ascii="Arial" w:eastAsia="Times New Roman" w:hAnsi="Arial" w:cs="Arial"/>
                <w:sz w:val="16"/>
                <w:szCs w:val="16"/>
                <w:lang w:val="sr-Cyrl-CS"/>
              </w:rPr>
            </w:pPr>
          </w:p>
        </w:tc>
      </w:tr>
      <w:tr w:rsidR="00247CBF" w:rsidRPr="00092ED7" w14:paraId="1C05AA91" w14:textId="77777777" w:rsidTr="00247CBF">
        <w:trPr>
          <w:gridBefore w:val="1"/>
          <w:wBefore w:w="8" w:type="pct"/>
          <w:trHeight w:val="255"/>
        </w:trPr>
        <w:tc>
          <w:tcPr>
            <w:tcW w:w="1982" w:type="pct"/>
            <w:tcBorders>
              <w:top w:val="nil"/>
              <w:left w:val="nil"/>
              <w:bottom w:val="nil"/>
              <w:right w:val="nil"/>
            </w:tcBorders>
            <w:shd w:val="clear" w:color="000000" w:fill="FFFFFF"/>
            <w:noWrap/>
            <w:vAlign w:val="bottom"/>
            <w:hideMark/>
          </w:tcPr>
          <w:p w14:paraId="66BE502C" w14:textId="77777777" w:rsidR="00247CBF" w:rsidRPr="00092ED7" w:rsidRDefault="00247CBF" w:rsidP="00247CBF">
            <w:pPr>
              <w:spacing w:after="0"/>
              <w:rPr>
                <w:rFonts w:eastAsia="Times New Roman" w:cs="Times New Roman"/>
                <w:sz w:val="16"/>
                <w:szCs w:val="16"/>
                <w:lang w:val="sr-Cyrl-CS"/>
              </w:rPr>
            </w:pPr>
            <w:r w:rsidRPr="00092ED7">
              <w:rPr>
                <w:rFonts w:eastAsia="Times New Roman" w:cs="Times New Roman"/>
                <w:sz w:val="16"/>
                <w:szCs w:val="16"/>
                <w:lang w:val="sr-Cyrl-CS"/>
              </w:rPr>
              <w:t>[3] Дефиниција према националним рачунима</w:t>
            </w:r>
          </w:p>
        </w:tc>
        <w:tc>
          <w:tcPr>
            <w:tcW w:w="388" w:type="pct"/>
            <w:tcBorders>
              <w:top w:val="nil"/>
              <w:left w:val="nil"/>
              <w:bottom w:val="nil"/>
              <w:right w:val="nil"/>
            </w:tcBorders>
            <w:shd w:val="clear" w:color="000000" w:fill="FFFFFF"/>
            <w:noWrap/>
            <w:vAlign w:val="bottom"/>
          </w:tcPr>
          <w:p w14:paraId="2E168DAA" w14:textId="77777777" w:rsidR="00247CBF" w:rsidRPr="00092ED7" w:rsidRDefault="00247CBF" w:rsidP="00247CBF">
            <w:pPr>
              <w:spacing w:after="0"/>
              <w:rPr>
                <w:rFonts w:ascii="Arial" w:eastAsia="Times New Roman" w:hAnsi="Arial" w:cs="Arial"/>
                <w:sz w:val="16"/>
                <w:szCs w:val="16"/>
                <w:lang w:val="sr-Cyrl-CS"/>
              </w:rPr>
            </w:pPr>
          </w:p>
        </w:tc>
        <w:tc>
          <w:tcPr>
            <w:tcW w:w="486" w:type="pct"/>
            <w:gridSpan w:val="4"/>
            <w:tcBorders>
              <w:top w:val="nil"/>
              <w:left w:val="nil"/>
              <w:bottom w:val="nil"/>
              <w:right w:val="nil"/>
            </w:tcBorders>
            <w:shd w:val="clear" w:color="000000" w:fill="FFFFFF"/>
            <w:noWrap/>
            <w:vAlign w:val="bottom"/>
          </w:tcPr>
          <w:p w14:paraId="324578E4" w14:textId="77777777" w:rsidR="00247CBF" w:rsidRPr="00092ED7" w:rsidRDefault="00247CBF" w:rsidP="00247CBF">
            <w:pPr>
              <w:spacing w:after="0"/>
              <w:rPr>
                <w:rFonts w:ascii="Arial" w:eastAsia="Times New Roman" w:hAnsi="Arial" w:cs="Arial"/>
                <w:sz w:val="16"/>
                <w:szCs w:val="16"/>
                <w:lang w:val="sr-Cyrl-CS"/>
              </w:rPr>
            </w:pPr>
          </w:p>
        </w:tc>
        <w:tc>
          <w:tcPr>
            <w:tcW w:w="534" w:type="pct"/>
            <w:gridSpan w:val="3"/>
            <w:tcBorders>
              <w:top w:val="nil"/>
              <w:left w:val="nil"/>
              <w:bottom w:val="nil"/>
              <w:right w:val="nil"/>
            </w:tcBorders>
            <w:shd w:val="clear" w:color="000000" w:fill="FFFFFF"/>
            <w:noWrap/>
            <w:vAlign w:val="bottom"/>
          </w:tcPr>
          <w:p w14:paraId="2E3B9D45" w14:textId="77777777" w:rsidR="00247CBF" w:rsidRPr="00092ED7" w:rsidRDefault="00247CBF" w:rsidP="00247CBF">
            <w:pPr>
              <w:spacing w:after="0"/>
              <w:rPr>
                <w:rFonts w:ascii="Arial" w:eastAsia="Times New Roman" w:hAnsi="Arial" w:cs="Arial"/>
                <w:sz w:val="16"/>
                <w:szCs w:val="16"/>
                <w:lang w:val="sr-Cyrl-CS"/>
              </w:rPr>
            </w:pPr>
          </w:p>
        </w:tc>
        <w:tc>
          <w:tcPr>
            <w:tcW w:w="388" w:type="pct"/>
            <w:gridSpan w:val="3"/>
            <w:tcBorders>
              <w:top w:val="nil"/>
              <w:left w:val="nil"/>
              <w:bottom w:val="nil"/>
              <w:right w:val="nil"/>
            </w:tcBorders>
            <w:shd w:val="clear" w:color="000000" w:fill="FFFFFF"/>
            <w:noWrap/>
            <w:vAlign w:val="bottom"/>
          </w:tcPr>
          <w:p w14:paraId="400D1CC2" w14:textId="77777777" w:rsidR="00247CBF" w:rsidRPr="00092ED7" w:rsidRDefault="00247CBF" w:rsidP="00247CBF">
            <w:pPr>
              <w:spacing w:after="0"/>
              <w:rPr>
                <w:rFonts w:ascii="Arial" w:eastAsia="Times New Roman" w:hAnsi="Arial" w:cs="Arial"/>
                <w:sz w:val="16"/>
                <w:szCs w:val="16"/>
                <w:lang w:val="sr-Cyrl-CS"/>
              </w:rPr>
            </w:pPr>
          </w:p>
        </w:tc>
        <w:tc>
          <w:tcPr>
            <w:tcW w:w="291" w:type="pct"/>
            <w:gridSpan w:val="2"/>
            <w:tcBorders>
              <w:top w:val="nil"/>
              <w:left w:val="nil"/>
              <w:bottom w:val="nil"/>
              <w:right w:val="nil"/>
            </w:tcBorders>
            <w:shd w:val="clear" w:color="000000" w:fill="FFFFFF"/>
            <w:noWrap/>
            <w:vAlign w:val="bottom"/>
          </w:tcPr>
          <w:p w14:paraId="52151D43" w14:textId="77777777" w:rsidR="00247CBF" w:rsidRPr="00092ED7" w:rsidRDefault="00247CBF" w:rsidP="00247CBF">
            <w:pPr>
              <w:spacing w:after="0"/>
              <w:rPr>
                <w:rFonts w:ascii="Arial" w:eastAsia="Times New Roman" w:hAnsi="Arial" w:cs="Arial"/>
                <w:sz w:val="16"/>
                <w:szCs w:val="16"/>
                <w:lang w:val="sr-Cyrl-CS"/>
              </w:rPr>
            </w:pPr>
          </w:p>
        </w:tc>
        <w:tc>
          <w:tcPr>
            <w:tcW w:w="437" w:type="pct"/>
            <w:gridSpan w:val="3"/>
            <w:tcBorders>
              <w:top w:val="nil"/>
              <w:left w:val="nil"/>
              <w:bottom w:val="nil"/>
              <w:right w:val="nil"/>
            </w:tcBorders>
            <w:shd w:val="clear" w:color="000000" w:fill="FFFFFF"/>
            <w:noWrap/>
            <w:vAlign w:val="bottom"/>
          </w:tcPr>
          <w:p w14:paraId="0F106491" w14:textId="77777777" w:rsidR="00247CBF" w:rsidRPr="00092ED7" w:rsidRDefault="00247CBF" w:rsidP="00247CBF">
            <w:pPr>
              <w:spacing w:after="0"/>
              <w:rPr>
                <w:rFonts w:ascii="Arial" w:eastAsia="Times New Roman" w:hAnsi="Arial" w:cs="Arial"/>
                <w:sz w:val="16"/>
                <w:szCs w:val="16"/>
                <w:lang w:val="sr-Cyrl-CS"/>
              </w:rPr>
            </w:pPr>
          </w:p>
        </w:tc>
        <w:tc>
          <w:tcPr>
            <w:tcW w:w="486" w:type="pct"/>
            <w:gridSpan w:val="3"/>
            <w:tcBorders>
              <w:top w:val="nil"/>
              <w:left w:val="nil"/>
              <w:bottom w:val="nil"/>
              <w:right w:val="nil"/>
            </w:tcBorders>
            <w:shd w:val="clear" w:color="000000" w:fill="FFFFFF"/>
            <w:noWrap/>
            <w:vAlign w:val="bottom"/>
          </w:tcPr>
          <w:p w14:paraId="02EEBE42" w14:textId="77777777" w:rsidR="00247CBF" w:rsidRPr="00092ED7" w:rsidRDefault="00247CBF" w:rsidP="00247CBF">
            <w:pPr>
              <w:spacing w:after="0"/>
              <w:rPr>
                <w:rFonts w:ascii="Arial" w:eastAsia="Times New Roman" w:hAnsi="Arial" w:cs="Arial"/>
                <w:sz w:val="16"/>
                <w:szCs w:val="16"/>
                <w:lang w:val="sr-Cyrl-CS"/>
              </w:rPr>
            </w:pPr>
          </w:p>
        </w:tc>
      </w:tr>
      <w:tr w:rsidR="00247CBF" w:rsidRPr="00092ED7" w14:paraId="68623CE7" w14:textId="77777777" w:rsidTr="00247CBF">
        <w:trPr>
          <w:gridBefore w:val="1"/>
          <w:wBefore w:w="8" w:type="pct"/>
          <w:trHeight w:val="255"/>
        </w:trPr>
        <w:tc>
          <w:tcPr>
            <w:tcW w:w="1982" w:type="pct"/>
            <w:tcBorders>
              <w:top w:val="nil"/>
              <w:left w:val="nil"/>
              <w:bottom w:val="nil"/>
              <w:right w:val="nil"/>
            </w:tcBorders>
            <w:shd w:val="clear" w:color="000000" w:fill="FFFFFF"/>
            <w:noWrap/>
            <w:vAlign w:val="bottom"/>
            <w:hideMark/>
          </w:tcPr>
          <w:p w14:paraId="206D462F" w14:textId="77777777" w:rsidR="00247CBF" w:rsidRPr="00092ED7" w:rsidRDefault="00247CBF" w:rsidP="00247CBF">
            <w:pPr>
              <w:spacing w:after="0"/>
              <w:rPr>
                <w:rFonts w:eastAsia="Times New Roman" w:cs="Times New Roman"/>
                <w:sz w:val="16"/>
                <w:szCs w:val="16"/>
                <w:lang w:val="sr-Cyrl-CS"/>
              </w:rPr>
            </w:pPr>
            <w:r w:rsidRPr="00092ED7">
              <w:rPr>
                <w:rFonts w:eastAsia="Times New Roman" w:cs="Times New Roman"/>
                <w:sz w:val="16"/>
                <w:szCs w:val="16"/>
                <w:lang w:val="sr-Cyrl-CS"/>
              </w:rPr>
              <w:t>[4] Хармонизована дефиниција, Евростат; нивои</w:t>
            </w:r>
          </w:p>
        </w:tc>
        <w:tc>
          <w:tcPr>
            <w:tcW w:w="388" w:type="pct"/>
            <w:tcBorders>
              <w:top w:val="nil"/>
              <w:left w:val="nil"/>
              <w:bottom w:val="nil"/>
              <w:right w:val="nil"/>
            </w:tcBorders>
            <w:shd w:val="clear" w:color="000000" w:fill="FFFFFF"/>
            <w:noWrap/>
            <w:vAlign w:val="bottom"/>
          </w:tcPr>
          <w:p w14:paraId="1B2A4AD3" w14:textId="77777777" w:rsidR="00247CBF" w:rsidRPr="00092ED7" w:rsidRDefault="00247CBF" w:rsidP="00247CBF">
            <w:pPr>
              <w:spacing w:after="0"/>
              <w:rPr>
                <w:rFonts w:ascii="Arial" w:eastAsia="Times New Roman" w:hAnsi="Arial" w:cs="Arial"/>
                <w:sz w:val="16"/>
                <w:szCs w:val="16"/>
                <w:lang w:val="sr-Cyrl-CS"/>
              </w:rPr>
            </w:pPr>
          </w:p>
        </w:tc>
        <w:tc>
          <w:tcPr>
            <w:tcW w:w="486" w:type="pct"/>
            <w:gridSpan w:val="4"/>
            <w:tcBorders>
              <w:top w:val="nil"/>
              <w:left w:val="nil"/>
              <w:bottom w:val="nil"/>
              <w:right w:val="nil"/>
            </w:tcBorders>
            <w:shd w:val="clear" w:color="000000" w:fill="FFFFFF"/>
            <w:noWrap/>
            <w:vAlign w:val="bottom"/>
          </w:tcPr>
          <w:p w14:paraId="40853AA6" w14:textId="77777777" w:rsidR="00247CBF" w:rsidRPr="00092ED7" w:rsidRDefault="00247CBF" w:rsidP="00247CBF">
            <w:pPr>
              <w:spacing w:after="0"/>
              <w:rPr>
                <w:rFonts w:ascii="Arial" w:eastAsia="Times New Roman" w:hAnsi="Arial" w:cs="Arial"/>
                <w:sz w:val="16"/>
                <w:szCs w:val="16"/>
                <w:lang w:val="sr-Cyrl-CS"/>
              </w:rPr>
            </w:pPr>
          </w:p>
        </w:tc>
        <w:tc>
          <w:tcPr>
            <w:tcW w:w="534" w:type="pct"/>
            <w:gridSpan w:val="3"/>
            <w:tcBorders>
              <w:top w:val="nil"/>
              <w:left w:val="nil"/>
              <w:bottom w:val="nil"/>
              <w:right w:val="nil"/>
            </w:tcBorders>
            <w:shd w:val="clear" w:color="000000" w:fill="FFFFFF"/>
            <w:noWrap/>
            <w:vAlign w:val="bottom"/>
          </w:tcPr>
          <w:p w14:paraId="5227BC68" w14:textId="77777777" w:rsidR="00247CBF" w:rsidRPr="00092ED7" w:rsidRDefault="00247CBF" w:rsidP="00247CBF">
            <w:pPr>
              <w:spacing w:after="0"/>
              <w:rPr>
                <w:rFonts w:ascii="Arial" w:eastAsia="Times New Roman" w:hAnsi="Arial" w:cs="Arial"/>
                <w:sz w:val="16"/>
                <w:szCs w:val="16"/>
                <w:lang w:val="sr-Cyrl-CS"/>
              </w:rPr>
            </w:pPr>
          </w:p>
        </w:tc>
        <w:tc>
          <w:tcPr>
            <w:tcW w:w="388" w:type="pct"/>
            <w:gridSpan w:val="3"/>
            <w:tcBorders>
              <w:top w:val="nil"/>
              <w:left w:val="nil"/>
              <w:bottom w:val="nil"/>
              <w:right w:val="nil"/>
            </w:tcBorders>
            <w:shd w:val="clear" w:color="000000" w:fill="FFFFFF"/>
            <w:noWrap/>
            <w:vAlign w:val="bottom"/>
          </w:tcPr>
          <w:p w14:paraId="5973D445" w14:textId="77777777" w:rsidR="00247CBF" w:rsidRPr="00092ED7" w:rsidRDefault="00247CBF" w:rsidP="00247CBF">
            <w:pPr>
              <w:spacing w:after="0"/>
              <w:rPr>
                <w:rFonts w:ascii="Arial" w:eastAsia="Times New Roman" w:hAnsi="Arial" w:cs="Arial"/>
                <w:sz w:val="16"/>
                <w:szCs w:val="16"/>
                <w:lang w:val="sr-Cyrl-CS"/>
              </w:rPr>
            </w:pPr>
          </w:p>
        </w:tc>
        <w:tc>
          <w:tcPr>
            <w:tcW w:w="291" w:type="pct"/>
            <w:gridSpan w:val="2"/>
            <w:tcBorders>
              <w:top w:val="nil"/>
              <w:left w:val="nil"/>
              <w:bottom w:val="nil"/>
              <w:right w:val="nil"/>
            </w:tcBorders>
            <w:shd w:val="clear" w:color="000000" w:fill="FFFFFF"/>
            <w:noWrap/>
            <w:vAlign w:val="bottom"/>
          </w:tcPr>
          <w:p w14:paraId="4BA349E3" w14:textId="77777777" w:rsidR="00247CBF" w:rsidRPr="00092ED7" w:rsidRDefault="00247CBF" w:rsidP="00247CBF">
            <w:pPr>
              <w:spacing w:after="0"/>
              <w:rPr>
                <w:rFonts w:ascii="Arial" w:eastAsia="Times New Roman" w:hAnsi="Arial" w:cs="Arial"/>
                <w:sz w:val="16"/>
                <w:szCs w:val="16"/>
                <w:lang w:val="sr-Cyrl-CS"/>
              </w:rPr>
            </w:pPr>
          </w:p>
        </w:tc>
        <w:tc>
          <w:tcPr>
            <w:tcW w:w="437" w:type="pct"/>
            <w:gridSpan w:val="3"/>
            <w:tcBorders>
              <w:top w:val="nil"/>
              <w:left w:val="nil"/>
              <w:bottom w:val="nil"/>
              <w:right w:val="nil"/>
            </w:tcBorders>
            <w:shd w:val="clear" w:color="000000" w:fill="FFFFFF"/>
            <w:noWrap/>
            <w:vAlign w:val="bottom"/>
          </w:tcPr>
          <w:p w14:paraId="525655BE" w14:textId="77777777" w:rsidR="00247CBF" w:rsidRPr="00092ED7" w:rsidRDefault="00247CBF" w:rsidP="00247CBF">
            <w:pPr>
              <w:spacing w:after="0"/>
              <w:rPr>
                <w:rFonts w:ascii="Arial" w:eastAsia="Times New Roman" w:hAnsi="Arial" w:cs="Arial"/>
                <w:sz w:val="16"/>
                <w:szCs w:val="16"/>
                <w:lang w:val="sr-Cyrl-CS"/>
              </w:rPr>
            </w:pPr>
          </w:p>
        </w:tc>
        <w:tc>
          <w:tcPr>
            <w:tcW w:w="486" w:type="pct"/>
            <w:gridSpan w:val="3"/>
            <w:tcBorders>
              <w:top w:val="nil"/>
              <w:left w:val="nil"/>
              <w:bottom w:val="nil"/>
              <w:right w:val="nil"/>
            </w:tcBorders>
            <w:shd w:val="clear" w:color="000000" w:fill="FFFFFF"/>
            <w:noWrap/>
            <w:vAlign w:val="bottom"/>
          </w:tcPr>
          <w:p w14:paraId="5524306A" w14:textId="77777777" w:rsidR="00247CBF" w:rsidRPr="00092ED7" w:rsidRDefault="00247CBF" w:rsidP="00247CBF">
            <w:pPr>
              <w:spacing w:after="0"/>
              <w:rPr>
                <w:rFonts w:ascii="Arial" w:eastAsia="Times New Roman" w:hAnsi="Arial" w:cs="Arial"/>
                <w:sz w:val="16"/>
                <w:szCs w:val="16"/>
                <w:lang w:val="sr-Cyrl-CS"/>
              </w:rPr>
            </w:pPr>
          </w:p>
        </w:tc>
      </w:tr>
      <w:tr w:rsidR="00247CBF" w:rsidRPr="00092ED7" w14:paraId="60B55932" w14:textId="77777777" w:rsidTr="00247CBF">
        <w:trPr>
          <w:gridBefore w:val="1"/>
          <w:wBefore w:w="8" w:type="pct"/>
          <w:trHeight w:val="255"/>
        </w:trPr>
        <w:tc>
          <w:tcPr>
            <w:tcW w:w="1982" w:type="pct"/>
            <w:tcBorders>
              <w:top w:val="nil"/>
              <w:left w:val="nil"/>
              <w:bottom w:val="nil"/>
              <w:right w:val="nil"/>
            </w:tcBorders>
            <w:shd w:val="clear" w:color="000000" w:fill="FFFFFF"/>
            <w:noWrap/>
            <w:vAlign w:val="bottom"/>
            <w:hideMark/>
          </w:tcPr>
          <w:p w14:paraId="1BC7676D" w14:textId="77777777" w:rsidR="00247CBF" w:rsidRPr="00092ED7" w:rsidRDefault="00247CBF" w:rsidP="00247CBF">
            <w:pPr>
              <w:spacing w:after="0"/>
              <w:rPr>
                <w:rFonts w:eastAsia="Times New Roman" w:cs="Times New Roman"/>
                <w:sz w:val="16"/>
                <w:szCs w:val="16"/>
                <w:lang w:val="sr-Cyrl-CS"/>
              </w:rPr>
            </w:pPr>
            <w:r w:rsidRPr="00092ED7">
              <w:rPr>
                <w:rFonts w:eastAsia="Times New Roman" w:cs="Times New Roman"/>
                <w:sz w:val="16"/>
                <w:szCs w:val="16"/>
                <w:lang w:val="sr-Cyrl-CS"/>
              </w:rPr>
              <w:t>[5] Реални БДП по запосленом лицу</w:t>
            </w:r>
          </w:p>
        </w:tc>
        <w:tc>
          <w:tcPr>
            <w:tcW w:w="388" w:type="pct"/>
            <w:tcBorders>
              <w:top w:val="nil"/>
              <w:left w:val="nil"/>
              <w:bottom w:val="nil"/>
              <w:right w:val="nil"/>
            </w:tcBorders>
            <w:shd w:val="clear" w:color="000000" w:fill="FFFFFF"/>
            <w:noWrap/>
            <w:vAlign w:val="bottom"/>
          </w:tcPr>
          <w:p w14:paraId="4BD77D97" w14:textId="77777777" w:rsidR="00247CBF" w:rsidRPr="00092ED7" w:rsidRDefault="00247CBF" w:rsidP="00247CBF">
            <w:pPr>
              <w:spacing w:after="0"/>
              <w:rPr>
                <w:rFonts w:ascii="Arial" w:eastAsia="Times New Roman" w:hAnsi="Arial" w:cs="Arial"/>
                <w:sz w:val="16"/>
                <w:szCs w:val="16"/>
                <w:lang w:val="sr-Cyrl-CS"/>
              </w:rPr>
            </w:pPr>
          </w:p>
        </w:tc>
        <w:tc>
          <w:tcPr>
            <w:tcW w:w="486" w:type="pct"/>
            <w:gridSpan w:val="4"/>
            <w:tcBorders>
              <w:top w:val="nil"/>
              <w:left w:val="nil"/>
              <w:bottom w:val="nil"/>
              <w:right w:val="nil"/>
            </w:tcBorders>
            <w:shd w:val="clear" w:color="000000" w:fill="FFFFFF"/>
            <w:noWrap/>
            <w:vAlign w:val="bottom"/>
          </w:tcPr>
          <w:p w14:paraId="24F9DE27" w14:textId="77777777" w:rsidR="00247CBF" w:rsidRPr="00092ED7" w:rsidRDefault="00247CBF" w:rsidP="00247CBF">
            <w:pPr>
              <w:spacing w:after="0"/>
              <w:rPr>
                <w:rFonts w:ascii="Arial" w:eastAsia="Times New Roman" w:hAnsi="Arial" w:cs="Arial"/>
                <w:sz w:val="16"/>
                <w:szCs w:val="16"/>
                <w:lang w:val="sr-Cyrl-CS"/>
              </w:rPr>
            </w:pPr>
          </w:p>
        </w:tc>
        <w:tc>
          <w:tcPr>
            <w:tcW w:w="534" w:type="pct"/>
            <w:gridSpan w:val="3"/>
            <w:tcBorders>
              <w:top w:val="nil"/>
              <w:left w:val="nil"/>
              <w:bottom w:val="nil"/>
              <w:right w:val="nil"/>
            </w:tcBorders>
            <w:shd w:val="clear" w:color="000000" w:fill="FFFFFF"/>
            <w:noWrap/>
            <w:vAlign w:val="bottom"/>
          </w:tcPr>
          <w:p w14:paraId="20CC3EE9" w14:textId="77777777" w:rsidR="00247CBF" w:rsidRPr="00092ED7" w:rsidRDefault="00247CBF" w:rsidP="00247CBF">
            <w:pPr>
              <w:spacing w:after="0"/>
              <w:rPr>
                <w:rFonts w:ascii="Arial" w:eastAsia="Times New Roman" w:hAnsi="Arial" w:cs="Arial"/>
                <w:sz w:val="16"/>
                <w:szCs w:val="16"/>
                <w:lang w:val="sr-Cyrl-CS"/>
              </w:rPr>
            </w:pPr>
          </w:p>
        </w:tc>
        <w:tc>
          <w:tcPr>
            <w:tcW w:w="388" w:type="pct"/>
            <w:gridSpan w:val="3"/>
            <w:tcBorders>
              <w:top w:val="nil"/>
              <w:left w:val="nil"/>
              <w:bottom w:val="nil"/>
              <w:right w:val="nil"/>
            </w:tcBorders>
            <w:shd w:val="clear" w:color="000000" w:fill="FFFFFF"/>
            <w:noWrap/>
            <w:vAlign w:val="bottom"/>
          </w:tcPr>
          <w:p w14:paraId="569621B9" w14:textId="77777777" w:rsidR="00247CBF" w:rsidRPr="00092ED7" w:rsidRDefault="00247CBF" w:rsidP="00247CBF">
            <w:pPr>
              <w:spacing w:after="0"/>
              <w:rPr>
                <w:rFonts w:ascii="Arial" w:eastAsia="Times New Roman" w:hAnsi="Arial" w:cs="Arial"/>
                <w:sz w:val="16"/>
                <w:szCs w:val="16"/>
                <w:lang w:val="sr-Cyrl-CS"/>
              </w:rPr>
            </w:pPr>
          </w:p>
        </w:tc>
        <w:tc>
          <w:tcPr>
            <w:tcW w:w="291" w:type="pct"/>
            <w:gridSpan w:val="2"/>
            <w:tcBorders>
              <w:top w:val="nil"/>
              <w:left w:val="nil"/>
              <w:bottom w:val="nil"/>
              <w:right w:val="nil"/>
            </w:tcBorders>
            <w:shd w:val="clear" w:color="000000" w:fill="FFFFFF"/>
            <w:noWrap/>
            <w:vAlign w:val="bottom"/>
          </w:tcPr>
          <w:p w14:paraId="58988F12" w14:textId="77777777" w:rsidR="00247CBF" w:rsidRPr="00092ED7" w:rsidRDefault="00247CBF" w:rsidP="00247CBF">
            <w:pPr>
              <w:spacing w:after="0"/>
              <w:rPr>
                <w:rFonts w:ascii="Arial" w:eastAsia="Times New Roman" w:hAnsi="Arial" w:cs="Arial"/>
                <w:sz w:val="16"/>
                <w:szCs w:val="16"/>
                <w:lang w:val="sr-Cyrl-CS"/>
              </w:rPr>
            </w:pPr>
          </w:p>
        </w:tc>
        <w:tc>
          <w:tcPr>
            <w:tcW w:w="437" w:type="pct"/>
            <w:gridSpan w:val="3"/>
            <w:tcBorders>
              <w:top w:val="nil"/>
              <w:left w:val="nil"/>
              <w:bottom w:val="nil"/>
              <w:right w:val="nil"/>
            </w:tcBorders>
            <w:shd w:val="clear" w:color="000000" w:fill="FFFFFF"/>
            <w:noWrap/>
            <w:vAlign w:val="bottom"/>
          </w:tcPr>
          <w:p w14:paraId="6FB58FB6" w14:textId="77777777" w:rsidR="00247CBF" w:rsidRPr="00092ED7" w:rsidRDefault="00247CBF" w:rsidP="00247CBF">
            <w:pPr>
              <w:spacing w:after="0"/>
              <w:rPr>
                <w:rFonts w:ascii="Arial" w:eastAsia="Times New Roman" w:hAnsi="Arial" w:cs="Arial"/>
                <w:sz w:val="16"/>
                <w:szCs w:val="16"/>
                <w:lang w:val="sr-Cyrl-CS"/>
              </w:rPr>
            </w:pPr>
          </w:p>
        </w:tc>
        <w:tc>
          <w:tcPr>
            <w:tcW w:w="486" w:type="pct"/>
            <w:gridSpan w:val="3"/>
            <w:tcBorders>
              <w:top w:val="nil"/>
              <w:left w:val="nil"/>
              <w:bottom w:val="nil"/>
              <w:right w:val="nil"/>
            </w:tcBorders>
            <w:shd w:val="clear" w:color="000000" w:fill="FFFFFF"/>
            <w:noWrap/>
            <w:vAlign w:val="bottom"/>
          </w:tcPr>
          <w:p w14:paraId="235721B8" w14:textId="77777777" w:rsidR="00247CBF" w:rsidRPr="00092ED7" w:rsidRDefault="00247CBF" w:rsidP="00247CBF">
            <w:pPr>
              <w:spacing w:after="0"/>
              <w:rPr>
                <w:rFonts w:ascii="Arial" w:eastAsia="Times New Roman" w:hAnsi="Arial" w:cs="Arial"/>
                <w:sz w:val="16"/>
                <w:szCs w:val="16"/>
                <w:lang w:val="sr-Cyrl-CS"/>
              </w:rPr>
            </w:pPr>
          </w:p>
        </w:tc>
      </w:tr>
      <w:tr w:rsidR="00247CBF" w:rsidRPr="00092ED7" w14:paraId="17F4F5E8" w14:textId="77777777" w:rsidTr="00247CBF">
        <w:trPr>
          <w:gridBefore w:val="1"/>
          <w:wBefore w:w="8" w:type="pct"/>
          <w:trHeight w:val="255"/>
        </w:trPr>
        <w:tc>
          <w:tcPr>
            <w:tcW w:w="1982" w:type="pct"/>
            <w:tcBorders>
              <w:top w:val="nil"/>
              <w:left w:val="nil"/>
              <w:bottom w:val="nil"/>
              <w:right w:val="nil"/>
            </w:tcBorders>
            <w:shd w:val="clear" w:color="000000" w:fill="FFFFFF"/>
            <w:noWrap/>
            <w:vAlign w:val="bottom"/>
            <w:hideMark/>
          </w:tcPr>
          <w:p w14:paraId="282BCCB3" w14:textId="77777777" w:rsidR="00247CBF" w:rsidRPr="00092ED7" w:rsidRDefault="00247CBF" w:rsidP="00247CBF">
            <w:pPr>
              <w:spacing w:after="0"/>
              <w:rPr>
                <w:rFonts w:eastAsia="Times New Roman" w:cs="Times New Roman"/>
                <w:sz w:val="16"/>
                <w:szCs w:val="16"/>
                <w:lang w:val="sr-Cyrl-CS"/>
              </w:rPr>
            </w:pPr>
            <w:r w:rsidRPr="00092ED7">
              <w:rPr>
                <w:rFonts w:eastAsia="Times New Roman" w:cs="Times New Roman"/>
                <w:sz w:val="16"/>
                <w:szCs w:val="16"/>
                <w:lang w:val="sr-Cyrl-CS"/>
              </w:rPr>
              <w:t>[6] Реални БДП по часу рада</w:t>
            </w:r>
          </w:p>
        </w:tc>
        <w:tc>
          <w:tcPr>
            <w:tcW w:w="388" w:type="pct"/>
            <w:tcBorders>
              <w:top w:val="nil"/>
              <w:left w:val="nil"/>
              <w:bottom w:val="nil"/>
              <w:right w:val="nil"/>
            </w:tcBorders>
            <w:shd w:val="clear" w:color="000000" w:fill="FFFFFF"/>
            <w:noWrap/>
            <w:vAlign w:val="bottom"/>
          </w:tcPr>
          <w:p w14:paraId="3358BA55" w14:textId="77777777" w:rsidR="00247CBF" w:rsidRPr="00092ED7" w:rsidRDefault="00247CBF" w:rsidP="00247CBF">
            <w:pPr>
              <w:spacing w:after="0"/>
              <w:rPr>
                <w:rFonts w:ascii="Arial" w:eastAsia="Times New Roman" w:hAnsi="Arial" w:cs="Arial"/>
                <w:sz w:val="16"/>
                <w:szCs w:val="16"/>
                <w:lang w:val="sr-Cyrl-CS"/>
              </w:rPr>
            </w:pPr>
          </w:p>
        </w:tc>
        <w:tc>
          <w:tcPr>
            <w:tcW w:w="486" w:type="pct"/>
            <w:gridSpan w:val="4"/>
            <w:tcBorders>
              <w:top w:val="nil"/>
              <w:left w:val="nil"/>
              <w:bottom w:val="nil"/>
              <w:right w:val="nil"/>
            </w:tcBorders>
            <w:shd w:val="clear" w:color="000000" w:fill="FFFFFF"/>
            <w:noWrap/>
            <w:vAlign w:val="bottom"/>
          </w:tcPr>
          <w:p w14:paraId="6DF11768" w14:textId="77777777" w:rsidR="00247CBF" w:rsidRPr="00092ED7" w:rsidRDefault="00247CBF" w:rsidP="00247CBF">
            <w:pPr>
              <w:spacing w:after="0"/>
              <w:rPr>
                <w:rFonts w:ascii="Arial" w:eastAsia="Times New Roman" w:hAnsi="Arial" w:cs="Arial"/>
                <w:sz w:val="16"/>
                <w:szCs w:val="16"/>
                <w:lang w:val="sr-Cyrl-CS"/>
              </w:rPr>
            </w:pPr>
          </w:p>
        </w:tc>
        <w:tc>
          <w:tcPr>
            <w:tcW w:w="534" w:type="pct"/>
            <w:gridSpan w:val="3"/>
            <w:tcBorders>
              <w:top w:val="nil"/>
              <w:left w:val="nil"/>
              <w:bottom w:val="nil"/>
              <w:right w:val="nil"/>
            </w:tcBorders>
            <w:shd w:val="clear" w:color="000000" w:fill="FFFFFF"/>
            <w:noWrap/>
            <w:vAlign w:val="bottom"/>
          </w:tcPr>
          <w:p w14:paraId="551BEA64" w14:textId="77777777" w:rsidR="00247CBF" w:rsidRPr="00092ED7" w:rsidRDefault="00247CBF" w:rsidP="00247CBF">
            <w:pPr>
              <w:spacing w:after="0"/>
              <w:rPr>
                <w:rFonts w:ascii="Arial" w:eastAsia="Times New Roman" w:hAnsi="Arial" w:cs="Arial"/>
                <w:sz w:val="16"/>
                <w:szCs w:val="16"/>
                <w:lang w:val="sr-Cyrl-CS"/>
              </w:rPr>
            </w:pPr>
          </w:p>
        </w:tc>
        <w:tc>
          <w:tcPr>
            <w:tcW w:w="388" w:type="pct"/>
            <w:gridSpan w:val="3"/>
            <w:tcBorders>
              <w:top w:val="nil"/>
              <w:left w:val="nil"/>
              <w:bottom w:val="nil"/>
              <w:right w:val="nil"/>
            </w:tcBorders>
            <w:shd w:val="clear" w:color="000000" w:fill="FFFFFF"/>
            <w:noWrap/>
            <w:vAlign w:val="bottom"/>
          </w:tcPr>
          <w:p w14:paraId="2AFBD0AD" w14:textId="77777777" w:rsidR="00247CBF" w:rsidRPr="00092ED7" w:rsidRDefault="00247CBF" w:rsidP="00247CBF">
            <w:pPr>
              <w:spacing w:after="0"/>
              <w:rPr>
                <w:rFonts w:ascii="Arial" w:eastAsia="Times New Roman" w:hAnsi="Arial" w:cs="Arial"/>
                <w:sz w:val="16"/>
                <w:szCs w:val="16"/>
                <w:lang w:val="sr-Cyrl-CS"/>
              </w:rPr>
            </w:pPr>
          </w:p>
        </w:tc>
        <w:tc>
          <w:tcPr>
            <w:tcW w:w="291" w:type="pct"/>
            <w:gridSpan w:val="2"/>
            <w:tcBorders>
              <w:top w:val="nil"/>
              <w:left w:val="nil"/>
              <w:bottom w:val="nil"/>
              <w:right w:val="nil"/>
            </w:tcBorders>
            <w:shd w:val="clear" w:color="000000" w:fill="FFFFFF"/>
            <w:noWrap/>
            <w:vAlign w:val="bottom"/>
          </w:tcPr>
          <w:p w14:paraId="1981483A" w14:textId="77777777" w:rsidR="00247CBF" w:rsidRPr="00092ED7" w:rsidRDefault="00247CBF" w:rsidP="00247CBF">
            <w:pPr>
              <w:spacing w:after="0"/>
              <w:rPr>
                <w:rFonts w:ascii="Arial" w:eastAsia="Times New Roman" w:hAnsi="Arial" w:cs="Arial"/>
                <w:sz w:val="16"/>
                <w:szCs w:val="16"/>
                <w:lang w:val="sr-Cyrl-CS"/>
              </w:rPr>
            </w:pPr>
          </w:p>
        </w:tc>
        <w:tc>
          <w:tcPr>
            <w:tcW w:w="437" w:type="pct"/>
            <w:gridSpan w:val="3"/>
            <w:tcBorders>
              <w:top w:val="nil"/>
              <w:left w:val="nil"/>
              <w:bottom w:val="nil"/>
              <w:right w:val="nil"/>
            </w:tcBorders>
            <w:shd w:val="clear" w:color="000000" w:fill="FFFFFF"/>
            <w:noWrap/>
            <w:vAlign w:val="bottom"/>
          </w:tcPr>
          <w:p w14:paraId="0FBCA893" w14:textId="77777777" w:rsidR="00247CBF" w:rsidRPr="00092ED7" w:rsidRDefault="00247CBF" w:rsidP="00247CBF">
            <w:pPr>
              <w:spacing w:after="0"/>
              <w:rPr>
                <w:rFonts w:ascii="Arial" w:eastAsia="Times New Roman" w:hAnsi="Arial" w:cs="Arial"/>
                <w:sz w:val="16"/>
                <w:szCs w:val="16"/>
                <w:lang w:val="sr-Cyrl-CS"/>
              </w:rPr>
            </w:pPr>
          </w:p>
        </w:tc>
        <w:tc>
          <w:tcPr>
            <w:tcW w:w="486" w:type="pct"/>
            <w:gridSpan w:val="3"/>
            <w:tcBorders>
              <w:top w:val="nil"/>
              <w:left w:val="nil"/>
              <w:bottom w:val="nil"/>
              <w:right w:val="nil"/>
            </w:tcBorders>
            <w:shd w:val="clear" w:color="000000" w:fill="FFFFFF"/>
            <w:noWrap/>
            <w:vAlign w:val="bottom"/>
          </w:tcPr>
          <w:p w14:paraId="539BB82A" w14:textId="77777777" w:rsidR="00247CBF" w:rsidRPr="00092ED7" w:rsidRDefault="00247CBF" w:rsidP="00247CBF">
            <w:pPr>
              <w:spacing w:after="0"/>
              <w:rPr>
                <w:rFonts w:ascii="Arial" w:eastAsia="Times New Roman" w:hAnsi="Arial" w:cs="Arial"/>
                <w:sz w:val="16"/>
                <w:szCs w:val="16"/>
                <w:lang w:val="sr-Cyrl-CS"/>
              </w:rPr>
            </w:pPr>
          </w:p>
        </w:tc>
      </w:tr>
    </w:tbl>
    <w:p w14:paraId="2B8A862C" w14:textId="77777777" w:rsidR="00247CBF" w:rsidRPr="00092ED7" w:rsidRDefault="00247CBF" w:rsidP="00247CBF">
      <w:pPr>
        <w:rPr>
          <w:rFonts w:cs="Times New Roman"/>
          <w:lang w:val="sr-Cyrl-CS"/>
        </w:rPr>
      </w:pPr>
    </w:p>
    <w:p w14:paraId="7C4A04FF" w14:textId="77777777" w:rsidR="00247CBF" w:rsidRPr="00092ED7" w:rsidRDefault="00247CBF" w:rsidP="00247CBF">
      <w:pPr>
        <w:rPr>
          <w:rFonts w:cs="Times New Roman"/>
          <w:lang w:val="sr-Cyrl-CS"/>
        </w:rPr>
      </w:pPr>
      <w:r w:rsidRPr="00092ED7">
        <w:rPr>
          <w:rFonts w:cs="Times New Roman"/>
          <w:lang w:val="sr-Cyrl-CS"/>
        </w:rPr>
        <w:br w:type="page"/>
      </w:r>
    </w:p>
    <w:tbl>
      <w:tblPr>
        <w:tblW w:w="5011" w:type="pct"/>
        <w:tblLook w:val="04A0" w:firstRow="1" w:lastRow="0" w:firstColumn="1" w:lastColumn="0" w:noHBand="0" w:noVBand="1"/>
      </w:tblPr>
      <w:tblGrid>
        <w:gridCol w:w="23"/>
        <w:gridCol w:w="6486"/>
        <w:gridCol w:w="12"/>
        <w:gridCol w:w="1700"/>
        <w:gridCol w:w="117"/>
        <w:gridCol w:w="1159"/>
        <w:gridCol w:w="181"/>
        <w:gridCol w:w="929"/>
        <w:gridCol w:w="166"/>
        <w:gridCol w:w="762"/>
        <w:gridCol w:w="514"/>
        <w:gridCol w:w="415"/>
        <w:gridCol w:w="862"/>
        <w:gridCol w:w="1238"/>
        <w:gridCol w:w="38"/>
      </w:tblGrid>
      <w:tr w:rsidR="00247CBF" w:rsidRPr="00092ED7" w14:paraId="2EF47481" w14:textId="77777777" w:rsidTr="00247CBF">
        <w:trPr>
          <w:gridAfter w:val="1"/>
          <w:wAfter w:w="13" w:type="pct"/>
          <w:trHeight w:val="315"/>
        </w:trPr>
        <w:tc>
          <w:tcPr>
            <w:tcW w:w="2229" w:type="pct"/>
            <w:gridSpan w:val="2"/>
            <w:tcBorders>
              <w:top w:val="nil"/>
              <w:left w:val="nil"/>
              <w:bottom w:val="nil"/>
              <w:right w:val="nil"/>
            </w:tcBorders>
            <w:shd w:val="clear" w:color="000000" w:fill="FFFFFF"/>
            <w:noWrap/>
            <w:vAlign w:val="center"/>
            <w:hideMark/>
          </w:tcPr>
          <w:p w14:paraId="3EAEA1A0" w14:textId="77777777" w:rsidR="00247CBF" w:rsidRPr="00092ED7" w:rsidRDefault="00247CBF" w:rsidP="00247CBF">
            <w:pPr>
              <w:spacing w:after="0"/>
              <w:rPr>
                <w:rFonts w:eastAsia="Times New Roman" w:cs="Times New Roman"/>
                <w:b/>
                <w:bCs/>
                <w:sz w:val="20"/>
                <w:szCs w:val="20"/>
                <w:lang w:val="sr-Cyrl-CS"/>
              </w:rPr>
            </w:pPr>
            <w:r w:rsidRPr="00092ED7">
              <w:rPr>
                <w:rFonts w:eastAsia="Times New Roman" w:cs="Times New Roman"/>
                <w:b/>
                <w:bCs/>
                <w:sz w:val="20"/>
                <w:szCs w:val="20"/>
                <w:lang w:val="sr-Cyrl-CS"/>
              </w:rPr>
              <w:lastRenderedPageBreak/>
              <w:t>Табела 1d: Секторски биланси</w:t>
            </w:r>
          </w:p>
        </w:tc>
        <w:tc>
          <w:tcPr>
            <w:tcW w:w="626" w:type="pct"/>
            <w:gridSpan w:val="3"/>
            <w:tcBorders>
              <w:top w:val="nil"/>
              <w:left w:val="nil"/>
              <w:bottom w:val="nil"/>
              <w:right w:val="nil"/>
            </w:tcBorders>
            <w:shd w:val="clear" w:color="000000" w:fill="FFFFFF"/>
            <w:noWrap/>
            <w:vAlign w:val="center"/>
            <w:hideMark/>
          </w:tcPr>
          <w:p w14:paraId="4C7B3BAF"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459" w:type="pct"/>
            <w:gridSpan w:val="2"/>
            <w:tcBorders>
              <w:top w:val="nil"/>
              <w:left w:val="nil"/>
              <w:bottom w:val="nil"/>
              <w:right w:val="nil"/>
            </w:tcBorders>
            <w:shd w:val="clear" w:color="000000" w:fill="FFFFFF"/>
            <w:noWrap/>
            <w:vAlign w:val="center"/>
            <w:hideMark/>
          </w:tcPr>
          <w:p w14:paraId="2EAD8A22"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318" w:type="pct"/>
            <w:tcBorders>
              <w:top w:val="nil"/>
              <w:left w:val="nil"/>
              <w:bottom w:val="nil"/>
              <w:right w:val="nil"/>
            </w:tcBorders>
            <w:shd w:val="clear" w:color="000000" w:fill="FFFFFF"/>
            <w:noWrap/>
            <w:vAlign w:val="center"/>
            <w:hideMark/>
          </w:tcPr>
          <w:p w14:paraId="529900DC"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318" w:type="pct"/>
            <w:gridSpan w:val="2"/>
            <w:tcBorders>
              <w:top w:val="nil"/>
              <w:left w:val="nil"/>
              <w:bottom w:val="nil"/>
              <w:right w:val="nil"/>
            </w:tcBorders>
            <w:shd w:val="clear" w:color="000000" w:fill="FFFFFF"/>
            <w:noWrap/>
            <w:vAlign w:val="center"/>
            <w:hideMark/>
          </w:tcPr>
          <w:p w14:paraId="52C2CED6"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318" w:type="pct"/>
            <w:gridSpan w:val="2"/>
            <w:tcBorders>
              <w:top w:val="nil"/>
              <w:left w:val="nil"/>
              <w:bottom w:val="nil"/>
              <w:right w:val="nil"/>
            </w:tcBorders>
            <w:shd w:val="clear" w:color="000000" w:fill="FFFFFF"/>
            <w:noWrap/>
            <w:vAlign w:val="center"/>
            <w:hideMark/>
          </w:tcPr>
          <w:p w14:paraId="1685DC8F"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719" w:type="pct"/>
            <w:gridSpan w:val="2"/>
            <w:tcBorders>
              <w:top w:val="nil"/>
              <w:left w:val="nil"/>
              <w:bottom w:val="nil"/>
              <w:right w:val="nil"/>
            </w:tcBorders>
            <w:shd w:val="clear" w:color="000000" w:fill="FFFFFF"/>
            <w:noWrap/>
            <w:vAlign w:val="center"/>
            <w:hideMark/>
          </w:tcPr>
          <w:p w14:paraId="286B143F"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b/>
                <w:bCs/>
                <w:sz w:val="20"/>
                <w:szCs w:val="20"/>
                <w:lang w:val="sr-Cyrl-CS"/>
              </w:rPr>
              <w:t>Република Србија</w:t>
            </w:r>
          </w:p>
        </w:tc>
      </w:tr>
      <w:tr w:rsidR="00247CBF" w:rsidRPr="00092ED7" w14:paraId="5A99F6F5" w14:textId="77777777" w:rsidTr="00247CBF">
        <w:trPr>
          <w:gridBefore w:val="1"/>
          <w:wBefore w:w="8" w:type="pct"/>
          <w:trHeight w:val="199"/>
        </w:trPr>
        <w:tc>
          <w:tcPr>
            <w:tcW w:w="2225" w:type="pct"/>
            <w:gridSpan w:val="2"/>
            <w:vMerge w:val="restart"/>
            <w:tcBorders>
              <w:top w:val="double" w:sz="6" w:space="0" w:color="auto"/>
              <w:left w:val="double" w:sz="6" w:space="0" w:color="auto"/>
              <w:bottom w:val="single" w:sz="8" w:space="0" w:color="000000"/>
              <w:right w:val="dotted" w:sz="4" w:space="0" w:color="auto"/>
            </w:tcBorders>
            <w:shd w:val="clear" w:color="000000" w:fill="FFFFFF"/>
            <w:vAlign w:val="center"/>
            <w:hideMark/>
          </w:tcPr>
          <w:p w14:paraId="73263481"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БДП</w:t>
            </w:r>
          </w:p>
        </w:tc>
        <w:tc>
          <w:tcPr>
            <w:tcW w:w="582" w:type="pct"/>
            <w:vMerge w:val="restart"/>
            <w:tcBorders>
              <w:top w:val="double" w:sz="6" w:space="0" w:color="auto"/>
              <w:left w:val="dotted" w:sz="4" w:space="0" w:color="auto"/>
              <w:bottom w:val="single" w:sz="8" w:space="0" w:color="000000"/>
              <w:right w:val="single" w:sz="8" w:space="0" w:color="auto"/>
            </w:tcBorders>
            <w:shd w:val="clear" w:color="000000" w:fill="FFFFFF"/>
            <w:vAlign w:val="center"/>
            <w:hideMark/>
          </w:tcPr>
          <w:p w14:paraId="1BB9292F"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ESA шифра</w:t>
            </w:r>
          </w:p>
        </w:tc>
        <w:tc>
          <w:tcPr>
            <w:tcW w:w="437" w:type="pct"/>
            <w:gridSpan w:val="2"/>
            <w:tcBorders>
              <w:top w:val="double" w:sz="6" w:space="0" w:color="auto"/>
              <w:left w:val="nil"/>
              <w:bottom w:val="nil"/>
              <w:right w:val="dotted" w:sz="4" w:space="0" w:color="auto"/>
            </w:tcBorders>
            <w:shd w:val="clear" w:color="000000" w:fill="FFFFFF"/>
            <w:vAlign w:val="center"/>
            <w:hideMark/>
          </w:tcPr>
          <w:p w14:paraId="296DAE57" w14:textId="77777777" w:rsidR="00247CBF" w:rsidRPr="00092ED7" w:rsidRDefault="00247CBF" w:rsidP="00247CBF">
            <w:pPr>
              <w:spacing w:after="0"/>
              <w:jc w:val="center"/>
              <w:rPr>
                <w:sz w:val="20"/>
                <w:lang w:val="sr-Cyrl-CS"/>
              </w:rPr>
            </w:pPr>
            <w:r w:rsidRPr="00092ED7">
              <w:rPr>
                <w:sz w:val="20"/>
                <w:lang w:val="sr-Cyrl-CS"/>
              </w:rPr>
              <w:t>Година</w:t>
            </w:r>
          </w:p>
        </w:tc>
        <w:tc>
          <w:tcPr>
            <w:tcW w:w="437" w:type="pct"/>
            <w:gridSpan w:val="3"/>
            <w:tcBorders>
              <w:top w:val="double" w:sz="6" w:space="0" w:color="auto"/>
              <w:left w:val="nil"/>
              <w:bottom w:val="nil"/>
              <w:right w:val="dotted" w:sz="4" w:space="0" w:color="auto"/>
            </w:tcBorders>
            <w:shd w:val="clear" w:color="000000" w:fill="FFFFFF"/>
            <w:vAlign w:val="center"/>
            <w:hideMark/>
          </w:tcPr>
          <w:p w14:paraId="6FC61745" w14:textId="77777777" w:rsidR="00247CBF" w:rsidRPr="00092ED7" w:rsidRDefault="00247CBF" w:rsidP="00247CBF">
            <w:pPr>
              <w:spacing w:after="0"/>
              <w:jc w:val="center"/>
              <w:rPr>
                <w:sz w:val="20"/>
                <w:lang w:val="sr-Cyrl-CS"/>
              </w:rPr>
            </w:pPr>
            <w:r w:rsidRPr="00092ED7">
              <w:rPr>
                <w:sz w:val="20"/>
                <w:lang w:val="sr-Cyrl-CS"/>
              </w:rPr>
              <w:t>Година</w:t>
            </w:r>
          </w:p>
        </w:tc>
        <w:tc>
          <w:tcPr>
            <w:tcW w:w="437" w:type="pct"/>
            <w:gridSpan w:val="2"/>
            <w:tcBorders>
              <w:top w:val="double" w:sz="6" w:space="0" w:color="auto"/>
              <w:left w:val="nil"/>
              <w:bottom w:val="nil"/>
              <w:right w:val="dotted" w:sz="4" w:space="0" w:color="auto"/>
            </w:tcBorders>
            <w:shd w:val="clear" w:color="000000" w:fill="FFFFFF"/>
            <w:vAlign w:val="center"/>
            <w:hideMark/>
          </w:tcPr>
          <w:p w14:paraId="1D779FD7" w14:textId="77777777" w:rsidR="00247CBF" w:rsidRPr="00092ED7" w:rsidRDefault="00247CBF" w:rsidP="00247CBF">
            <w:pPr>
              <w:spacing w:after="0"/>
              <w:jc w:val="center"/>
              <w:rPr>
                <w:sz w:val="20"/>
                <w:lang w:val="sr-Cyrl-CS"/>
              </w:rPr>
            </w:pPr>
            <w:r w:rsidRPr="00092ED7">
              <w:rPr>
                <w:sz w:val="20"/>
                <w:lang w:val="sr-Cyrl-CS"/>
              </w:rPr>
              <w:t>Година</w:t>
            </w:r>
          </w:p>
        </w:tc>
        <w:tc>
          <w:tcPr>
            <w:tcW w:w="437" w:type="pct"/>
            <w:gridSpan w:val="2"/>
            <w:tcBorders>
              <w:top w:val="double" w:sz="6" w:space="0" w:color="auto"/>
              <w:left w:val="nil"/>
              <w:bottom w:val="nil"/>
              <w:right w:val="dotted" w:sz="4" w:space="0" w:color="auto"/>
            </w:tcBorders>
            <w:shd w:val="clear" w:color="000000" w:fill="FFFFFF"/>
            <w:vAlign w:val="center"/>
            <w:hideMark/>
          </w:tcPr>
          <w:p w14:paraId="113BB2A1" w14:textId="77777777" w:rsidR="00247CBF" w:rsidRPr="00092ED7" w:rsidRDefault="00247CBF" w:rsidP="00247CBF">
            <w:pPr>
              <w:spacing w:after="0"/>
              <w:jc w:val="center"/>
              <w:rPr>
                <w:sz w:val="20"/>
                <w:lang w:val="sr-Cyrl-CS"/>
              </w:rPr>
            </w:pPr>
            <w:r w:rsidRPr="00092ED7">
              <w:rPr>
                <w:sz w:val="20"/>
                <w:lang w:val="sr-Cyrl-CS"/>
              </w:rPr>
              <w:t>Година</w:t>
            </w:r>
          </w:p>
        </w:tc>
        <w:tc>
          <w:tcPr>
            <w:tcW w:w="437" w:type="pct"/>
            <w:gridSpan w:val="2"/>
            <w:tcBorders>
              <w:top w:val="double" w:sz="6" w:space="0" w:color="auto"/>
              <w:left w:val="nil"/>
              <w:bottom w:val="nil"/>
              <w:right w:val="double" w:sz="6" w:space="0" w:color="auto"/>
            </w:tcBorders>
            <w:shd w:val="clear" w:color="000000" w:fill="FFFFFF"/>
            <w:vAlign w:val="center"/>
            <w:hideMark/>
          </w:tcPr>
          <w:p w14:paraId="3A4094D1" w14:textId="77777777" w:rsidR="00247CBF" w:rsidRPr="00092ED7" w:rsidRDefault="00247CBF" w:rsidP="00247CBF">
            <w:pPr>
              <w:spacing w:after="0"/>
              <w:jc w:val="center"/>
              <w:rPr>
                <w:sz w:val="20"/>
                <w:lang w:val="sr-Cyrl-CS"/>
              </w:rPr>
            </w:pPr>
            <w:r w:rsidRPr="00092ED7">
              <w:rPr>
                <w:sz w:val="20"/>
                <w:lang w:val="sr-Cyrl-CS"/>
              </w:rPr>
              <w:t>Година</w:t>
            </w:r>
          </w:p>
        </w:tc>
      </w:tr>
      <w:tr w:rsidR="00247CBF" w:rsidRPr="00092ED7" w14:paraId="05221B49" w14:textId="77777777" w:rsidTr="00247CBF">
        <w:trPr>
          <w:gridBefore w:val="1"/>
          <w:wBefore w:w="8" w:type="pct"/>
          <w:trHeight w:val="41"/>
        </w:trPr>
        <w:tc>
          <w:tcPr>
            <w:tcW w:w="2225" w:type="pct"/>
            <w:gridSpan w:val="2"/>
            <w:vMerge/>
            <w:tcBorders>
              <w:top w:val="double" w:sz="6" w:space="0" w:color="auto"/>
              <w:left w:val="double" w:sz="6" w:space="0" w:color="auto"/>
              <w:bottom w:val="single" w:sz="8" w:space="0" w:color="000000"/>
              <w:right w:val="dotted" w:sz="4" w:space="0" w:color="auto"/>
            </w:tcBorders>
            <w:vAlign w:val="center"/>
            <w:hideMark/>
          </w:tcPr>
          <w:p w14:paraId="5FA3F775" w14:textId="77777777" w:rsidR="00247CBF" w:rsidRPr="00092ED7" w:rsidRDefault="00247CBF" w:rsidP="00247CBF">
            <w:pPr>
              <w:spacing w:after="0"/>
              <w:rPr>
                <w:rFonts w:eastAsia="Times New Roman" w:cs="Times New Roman"/>
                <w:sz w:val="20"/>
                <w:szCs w:val="20"/>
                <w:lang w:val="sr-Cyrl-CS"/>
              </w:rPr>
            </w:pPr>
          </w:p>
        </w:tc>
        <w:tc>
          <w:tcPr>
            <w:tcW w:w="582" w:type="pct"/>
            <w:vMerge/>
            <w:tcBorders>
              <w:top w:val="double" w:sz="6" w:space="0" w:color="auto"/>
              <w:left w:val="dotted" w:sz="4" w:space="0" w:color="auto"/>
              <w:bottom w:val="single" w:sz="8" w:space="0" w:color="000000"/>
              <w:right w:val="single" w:sz="8" w:space="0" w:color="auto"/>
            </w:tcBorders>
            <w:vAlign w:val="center"/>
            <w:hideMark/>
          </w:tcPr>
          <w:p w14:paraId="30593745" w14:textId="77777777" w:rsidR="00247CBF" w:rsidRPr="00092ED7" w:rsidRDefault="00247CBF" w:rsidP="00247CBF">
            <w:pPr>
              <w:spacing w:after="0"/>
              <w:rPr>
                <w:rFonts w:eastAsia="Times New Roman" w:cs="Times New Roman"/>
                <w:sz w:val="20"/>
                <w:szCs w:val="20"/>
                <w:lang w:val="sr-Cyrl-CS"/>
              </w:rPr>
            </w:pPr>
          </w:p>
        </w:tc>
        <w:tc>
          <w:tcPr>
            <w:tcW w:w="437" w:type="pct"/>
            <w:gridSpan w:val="2"/>
            <w:tcBorders>
              <w:top w:val="nil"/>
              <w:left w:val="nil"/>
              <w:bottom w:val="single" w:sz="8" w:space="0" w:color="auto"/>
              <w:right w:val="dotted" w:sz="4" w:space="0" w:color="auto"/>
            </w:tcBorders>
            <w:shd w:val="clear" w:color="000000" w:fill="FFFFFF"/>
            <w:vAlign w:val="center"/>
            <w:hideMark/>
          </w:tcPr>
          <w:p w14:paraId="69AA1DE4" w14:textId="77777777" w:rsidR="00247CBF" w:rsidRPr="00092ED7" w:rsidRDefault="00247CBF" w:rsidP="00247CBF">
            <w:pPr>
              <w:spacing w:after="0"/>
              <w:jc w:val="center"/>
              <w:rPr>
                <w:sz w:val="20"/>
                <w:lang w:val="sr-Cyrl-CS"/>
              </w:rPr>
            </w:pPr>
            <w:r w:rsidRPr="00092ED7">
              <w:rPr>
                <w:sz w:val="20"/>
                <w:lang w:val="sr-Cyrl-CS"/>
              </w:rPr>
              <w:t>2021</w:t>
            </w:r>
          </w:p>
        </w:tc>
        <w:tc>
          <w:tcPr>
            <w:tcW w:w="437" w:type="pct"/>
            <w:gridSpan w:val="3"/>
            <w:tcBorders>
              <w:top w:val="nil"/>
              <w:left w:val="nil"/>
              <w:bottom w:val="single" w:sz="8" w:space="0" w:color="auto"/>
              <w:right w:val="dotted" w:sz="4" w:space="0" w:color="auto"/>
            </w:tcBorders>
            <w:shd w:val="clear" w:color="000000" w:fill="FFFFFF"/>
            <w:vAlign w:val="center"/>
            <w:hideMark/>
          </w:tcPr>
          <w:p w14:paraId="3E49AD23" w14:textId="77777777" w:rsidR="00247CBF" w:rsidRPr="00092ED7" w:rsidRDefault="00247CBF" w:rsidP="00247CBF">
            <w:pPr>
              <w:spacing w:after="0"/>
              <w:jc w:val="center"/>
              <w:rPr>
                <w:sz w:val="20"/>
                <w:lang w:val="sr-Cyrl-CS"/>
              </w:rPr>
            </w:pPr>
            <w:r w:rsidRPr="00092ED7">
              <w:rPr>
                <w:sz w:val="20"/>
                <w:lang w:val="sr-Cyrl-CS"/>
              </w:rPr>
              <w:t>2022</w:t>
            </w:r>
          </w:p>
        </w:tc>
        <w:tc>
          <w:tcPr>
            <w:tcW w:w="437" w:type="pct"/>
            <w:gridSpan w:val="2"/>
            <w:tcBorders>
              <w:top w:val="nil"/>
              <w:left w:val="nil"/>
              <w:bottom w:val="single" w:sz="8" w:space="0" w:color="auto"/>
              <w:right w:val="dotted" w:sz="4" w:space="0" w:color="auto"/>
            </w:tcBorders>
            <w:shd w:val="clear" w:color="000000" w:fill="FFFFFF"/>
            <w:vAlign w:val="center"/>
            <w:hideMark/>
          </w:tcPr>
          <w:p w14:paraId="2B83F47A" w14:textId="77777777" w:rsidR="00247CBF" w:rsidRPr="00092ED7" w:rsidRDefault="00247CBF" w:rsidP="00247CBF">
            <w:pPr>
              <w:spacing w:after="0"/>
              <w:jc w:val="center"/>
              <w:rPr>
                <w:sz w:val="20"/>
                <w:lang w:val="sr-Cyrl-CS"/>
              </w:rPr>
            </w:pPr>
            <w:r w:rsidRPr="00092ED7">
              <w:rPr>
                <w:sz w:val="20"/>
                <w:lang w:val="sr-Cyrl-CS"/>
              </w:rPr>
              <w:t>2023</w:t>
            </w:r>
          </w:p>
        </w:tc>
        <w:tc>
          <w:tcPr>
            <w:tcW w:w="437" w:type="pct"/>
            <w:gridSpan w:val="2"/>
            <w:tcBorders>
              <w:top w:val="nil"/>
              <w:left w:val="nil"/>
              <w:bottom w:val="single" w:sz="8" w:space="0" w:color="auto"/>
              <w:right w:val="dotted" w:sz="4" w:space="0" w:color="auto"/>
            </w:tcBorders>
            <w:shd w:val="clear" w:color="000000" w:fill="FFFFFF"/>
            <w:vAlign w:val="center"/>
            <w:hideMark/>
          </w:tcPr>
          <w:p w14:paraId="0046C138" w14:textId="77777777" w:rsidR="00247CBF" w:rsidRPr="00092ED7" w:rsidRDefault="00247CBF" w:rsidP="00247CBF">
            <w:pPr>
              <w:spacing w:after="0"/>
              <w:jc w:val="center"/>
              <w:rPr>
                <w:sz w:val="20"/>
                <w:lang w:val="sr-Cyrl-CS"/>
              </w:rPr>
            </w:pPr>
            <w:r w:rsidRPr="00092ED7">
              <w:rPr>
                <w:sz w:val="20"/>
                <w:lang w:val="sr-Cyrl-CS"/>
              </w:rPr>
              <w:t>2024</w:t>
            </w:r>
          </w:p>
        </w:tc>
        <w:tc>
          <w:tcPr>
            <w:tcW w:w="437" w:type="pct"/>
            <w:gridSpan w:val="2"/>
            <w:tcBorders>
              <w:top w:val="nil"/>
              <w:left w:val="nil"/>
              <w:bottom w:val="single" w:sz="8" w:space="0" w:color="auto"/>
              <w:right w:val="double" w:sz="6" w:space="0" w:color="auto"/>
            </w:tcBorders>
            <w:shd w:val="clear" w:color="000000" w:fill="FFFFFF"/>
            <w:vAlign w:val="center"/>
            <w:hideMark/>
          </w:tcPr>
          <w:p w14:paraId="356F2D1A" w14:textId="77777777" w:rsidR="00247CBF" w:rsidRPr="00092ED7" w:rsidRDefault="00247CBF" w:rsidP="00247CBF">
            <w:pPr>
              <w:spacing w:after="0"/>
              <w:jc w:val="center"/>
              <w:rPr>
                <w:sz w:val="20"/>
                <w:lang w:val="sr-Cyrl-CS"/>
              </w:rPr>
            </w:pPr>
            <w:r w:rsidRPr="00092ED7">
              <w:rPr>
                <w:sz w:val="20"/>
                <w:lang w:val="sr-Cyrl-CS"/>
              </w:rPr>
              <w:t>2025</w:t>
            </w:r>
          </w:p>
        </w:tc>
      </w:tr>
      <w:tr w:rsidR="00247CBF" w:rsidRPr="00092ED7" w14:paraId="4FA31B5A" w14:textId="77777777" w:rsidTr="00247CBF">
        <w:trPr>
          <w:gridBefore w:val="1"/>
          <w:wBefore w:w="8" w:type="pct"/>
          <w:trHeight w:val="367"/>
        </w:trPr>
        <w:tc>
          <w:tcPr>
            <w:tcW w:w="2225" w:type="pct"/>
            <w:gridSpan w:val="2"/>
            <w:tcBorders>
              <w:top w:val="nil"/>
              <w:left w:val="double" w:sz="6" w:space="0" w:color="auto"/>
              <w:bottom w:val="nil"/>
              <w:right w:val="dotted" w:sz="4" w:space="0" w:color="auto"/>
            </w:tcBorders>
            <w:shd w:val="clear" w:color="000000" w:fill="FFFFFF"/>
            <w:vAlign w:val="center"/>
            <w:hideMark/>
          </w:tcPr>
          <w:p w14:paraId="087D8369"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1. Нето дате/узете позајмице у односу на остатак света</w:t>
            </w:r>
          </w:p>
        </w:tc>
        <w:tc>
          <w:tcPr>
            <w:tcW w:w="582" w:type="pct"/>
            <w:tcBorders>
              <w:top w:val="nil"/>
              <w:left w:val="nil"/>
              <w:bottom w:val="nil"/>
              <w:right w:val="single" w:sz="8" w:space="0" w:color="auto"/>
            </w:tcBorders>
            <w:shd w:val="clear" w:color="000000" w:fill="FFFFFF"/>
            <w:vAlign w:val="center"/>
            <w:hideMark/>
          </w:tcPr>
          <w:p w14:paraId="5226F5FC"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B.9</w:t>
            </w:r>
          </w:p>
        </w:tc>
        <w:tc>
          <w:tcPr>
            <w:tcW w:w="437" w:type="pct"/>
            <w:gridSpan w:val="2"/>
            <w:tcBorders>
              <w:top w:val="nil"/>
              <w:left w:val="nil"/>
              <w:bottom w:val="nil"/>
              <w:right w:val="dotted" w:sz="4" w:space="0" w:color="auto"/>
            </w:tcBorders>
            <w:shd w:val="clear" w:color="000000" w:fill="FFFFFF"/>
            <w:vAlign w:val="center"/>
            <w:hideMark/>
          </w:tcPr>
          <w:p w14:paraId="3BB7B025" w14:textId="77777777" w:rsidR="00247CBF" w:rsidRPr="00092ED7" w:rsidRDefault="00247CBF" w:rsidP="00247CBF">
            <w:pPr>
              <w:spacing w:after="0"/>
              <w:jc w:val="right"/>
              <w:rPr>
                <w:sz w:val="20"/>
                <w:lang w:val="sr-Cyrl-CS"/>
              </w:rPr>
            </w:pPr>
            <w:r w:rsidRPr="00092ED7">
              <w:rPr>
                <w:sz w:val="20"/>
                <w:lang w:val="sr-Cyrl-CS"/>
              </w:rPr>
              <w:t>-4,3</w:t>
            </w:r>
          </w:p>
        </w:tc>
        <w:tc>
          <w:tcPr>
            <w:tcW w:w="437" w:type="pct"/>
            <w:gridSpan w:val="3"/>
            <w:tcBorders>
              <w:top w:val="nil"/>
              <w:left w:val="nil"/>
              <w:bottom w:val="single" w:sz="4" w:space="0" w:color="auto"/>
              <w:right w:val="dotted" w:sz="4" w:space="0" w:color="auto"/>
            </w:tcBorders>
            <w:shd w:val="clear" w:color="000000" w:fill="FFFFFF"/>
            <w:vAlign w:val="center"/>
            <w:hideMark/>
          </w:tcPr>
          <w:p w14:paraId="10ED4EFD" w14:textId="77777777" w:rsidR="00247CBF" w:rsidRPr="00092ED7" w:rsidRDefault="00247CBF" w:rsidP="00247CBF">
            <w:pPr>
              <w:spacing w:after="0"/>
              <w:jc w:val="right"/>
              <w:rPr>
                <w:sz w:val="20"/>
                <w:lang w:val="sr-Cyrl-CS"/>
              </w:rPr>
            </w:pPr>
            <w:r w:rsidRPr="00092ED7">
              <w:rPr>
                <w:sz w:val="20"/>
                <w:lang w:val="sr-Cyrl-CS"/>
              </w:rPr>
              <w:t>-9,0</w:t>
            </w:r>
          </w:p>
        </w:tc>
        <w:tc>
          <w:tcPr>
            <w:tcW w:w="437" w:type="pct"/>
            <w:gridSpan w:val="2"/>
            <w:tcBorders>
              <w:top w:val="nil"/>
              <w:left w:val="nil"/>
              <w:bottom w:val="single" w:sz="4" w:space="0" w:color="auto"/>
              <w:right w:val="dotted" w:sz="4" w:space="0" w:color="auto"/>
            </w:tcBorders>
            <w:shd w:val="clear" w:color="000000" w:fill="FFFFFF"/>
            <w:vAlign w:val="center"/>
            <w:hideMark/>
          </w:tcPr>
          <w:p w14:paraId="7AFC07B0" w14:textId="77777777" w:rsidR="00247CBF" w:rsidRPr="00092ED7" w:rsidRDefault="00247CBF" w:rsidP="00247CBF">
            <w:pPr>
              <w:spacing w:after="0"/>
              <w:jc w:val="right"/>
              <w:rPr>
                <w:sz w:val="20"/>
                <w:lang w:val="sr-Cyrl-CS"/>
              </w:rPr>
            </w:pPr>
            <w:r w:rsidRPr="00092ED7">
              <w:rPr>
                <w:sz w:val="20"/>
                <w:lang w:val="sr-Cyrl-CS"/>
              </w:rPr>
              <w:t>-8,5</w:t>
            </w:r>
          </w:p>
        </w:tc>
        <w:tc>
          <w:tcPr>
            <w:tcW w:w="437" w:type="pct"/>
            <w:gridSpan w:val="2"/>
            <w:tcBorders>
              <w:top w:val="nil"/>
              <w:left w:val="nil"/>
              <w:bottom w:val="single" w:sz="4" w:space="0" w:color="auto"/>
              <w:right w:val="dotted" w:sz="4" w:space="0" w:color="auto"/>
            </w:tcBorders>
            <w:shd w:val="clear" w:color="000000" w:fill="FFFFFF"/>
            <w:vAlign w:val="center"/>
            <w:hideMark/>
          </w:tcPr>
          <w:p w14:paraId="31BFEB97" w14:textId="77777777" w:rsidR="00247CBF" w:rsidRPr="00092ED7" w:rsidRDefault="00247CBF" w:rsidP="00247CBF">
            <w:pPr>
              <w:spacing w:after="0"/>
              <w:jc w:val="right"/>
              <w:rPr>
                <w:sz w:val="20"/>
                <w:lang w:val="sr-Cyrl-CS"/>
              </w:rPr>
            </w:pPr>
            <w:r w:rsidRPr="00092ED7">
              <w:rPr>
                <w:sz w:val="20"/>
                <w:lang w:val="sr-Cyrl-CS"/>
              </w:rPr>
              <w:t>-6,7</w:t>
            </w:r>
          </w:p>
        </w:tc>
        <w:tc>
          <w:tcPr>
            <w:tcW w:w="437" w:type="pct"/>
            <w:gridSpan w:val="2"/>
            <w:tcBorders>
              <w:top w:val="nil"/>
              <w:left w:val="nil"/>
              <w:bottom w:val="single" w:sz="4" w:space="0" w:color="auto"/>
              <w:right w:val="double" w:sz="6" w:space="0" w:color="auto"/>
            </w:tcBorders>
            <w:shd w:val="clear" w:color="000000" w:fill="FFFFFF"/>
            <w:vAlign w:val="center"/>
            <w:hideMark/>
          </w:tcPr>
          <w:p w14:paraId="2ABDD50D" w14:textId="77777777" w:rsidR="00247CBF" w:rsidRPr="00092ED7" w:rsidRDefault="00247CBF" w:rsidP="00247CBF">
            <w:pPr>
              <w:spacing w:after="0"/>
              <w:jc w:val="right"/>
              <w:rPr>
                <w:sz w:val="20"/>
                <w:lang w:val="sr-Cyrl-CS"/>
              </w:rPr>
            </w:pPr>
            <w:r w:rsidRPr="00092ED7">
              <w:rPr>
                <w:sz w:val="20"/>
                <w:lang w:val="sr-Cyrl-CS"/>
              </w:rPr>
              <w:t>-6,0</w:t>
            </w:r>
          </w:p>
        </w:tc>
      </w:tr>
      <w:tr w:rsidR="00247CBF" w:rsidRPr="00092ED7" w14:paraId="5F9EA27B" w14:textId="77777777" w:rsidTr="00247CBF">
        <w:trPr>
          <w:gridBefore w:val="1"/>
          <w:wBefore w:w="8" w:type="pct"/>
          <w:trHeight w:val="270"/>
        </w:trPr>
        <w:tc>
          <w:tcPr>
            <w:tcW w:w="2225" w:type="pct"/>
            <w:gridSpan w:val="2"/>
            <w:tcBorders>
              <w:top w:val="single" w:sz="4" w:space="0" w:color="auto"/>
              <w:left w:val="double" w:sz="6" w:space="0" w:color="auto"/>
              <w:bottom w:val="dotted" w:sz="4" w:space="0" w:color="auto"/>
              <w:right w:val="dotted" w:sz="4" w:space="0" w:color="auto"/>
            </w:tcBorders>
            <w:shd w:val="clear" w:color="000000" w:fill="FFFFFF"/>
            <w:vAlign w:val="center"/>
            <w:hideMark/>
          </w:tcPr>
          <w:p w14:paraId="3F5D3E69" w14:textId="77777777" w:rsidR="00247CBF" w:rsidRPr="00092ED7" w:rsidRDefault="00247CBF" w:rsidP="00247CBF">
            <w:pPr>
              <w:spacing w:after="0"/>
              <w:rPr>
                <w:rFonts w:eastAsia="Times New Roman" w:cs="Times New Roman"/>
                <w:i/>
                <w:iCs/>
                <w:sz w:val="20"/>
                <w:szCs w:val="20"/>
                <w:lang w:val="sr-Cyrl-CS"/>
              </w:rPr>
            </w:pPr>
            <w:r w:rsidRPr="00092ED7">
              <w:rPr>
                <w:rFonts w:eastAsia="Times New Roman" w:cs="Times New Roman"/>
                <w:i/>
                <w:iCs/>
                <w:sz w:val="20"/>
                <w:szCs w:val="20"/>
                <w:lang w:val="sr-Cyrl-CS"/>
              </w:rPr>
              <w:t>од чега:</w:t>
            </w:r>
          </w:p>
        </w:tc>
        <w:tc>
          <w:tcPr>
            <w:tcW w:w="582" w:type="pct"/>
            <w:tcBorders>
              <w:top w:val="single" w:sz="4" w:space="0" w:color="auto"/>
              <w:left w:val="nil"/>
              <w:bottom w:val="dotted" w:sz="4" w:space="0" w:color="auto"/>
              <w:right w:val="single" w:sz="8" w:space="0" w:color="auto"/>
            </w:tcBorders>
            <w:shd w:val="clear" w:color="000000" w:fill="FFFFFF"/>
            <w:vAlign w:val="center"/>
            <w:hideMark/>
          </w:tcPr>
          <w:p w14:paraId="77301F81" w14:textId="77777777" w:rsidR="00247CBF" w:rsidRPr="00092ED7" w:rsidRDefault="00247CBF" w:rsidP="00247CBF">
            <w:pPr>
              <w:spacing w:after="0"/>
              <w:jc w:val="center"/>
              <w:rPr>
                <w:rFonts w:eastAsia="Times New Roman" w:cs="Times New Roman"/>
                <w:sz w:val="20"/>
                <w:szCs w:val="20"/>
                <w:lang w:val="sr-Cyrl-CS"/>
              </w:rPr>
            </w:pPr>
          </w:p>
        </w:tc>
        <w:tc>
          <w:tcPr>
            <w:tcW w:w="437" w:type="pct"/>
            <w:gridSpan w:val="2"/>
            <w:tcBorders>
              <w:top w:val="single" w:sz="4" w:space="0" w:color="auto"/>
              <w:left w:val="nil"/>
              <w:bottom w:val="dotted" w:sz="4" w:space="0" w:color="auto"/>
              <w:right w:val="dotted" w:sz="4" w:space="0" w:color="auto"/>
            </w:tcBorders>
            <w:shd w:val="clear" w:color="000000" w:fill="FFFFFF"/>
            <w:vAlign w:val="center"/>
            <w:hideMark/>
          </w:tcPr>
          <w:p w14:paraId="0C357E25" w14:textId="77777777" w:rsidR="00247CBF" w:rsidRPr="00092ED7" w:rsidRDefault="00247CBF" w:rsidP="00247CBF">
            <w:pPr>
              <w:spacing w:after="0"/>
              <w:jc w:val="right"/>
              <w:rPr>
                <w:sz w:val="20"/>
                <w:lang w:val="sr-Cyrl-CS"/>
              </w:rPr>
            </w:pPr>
            <w:r w:rsidRPr="00092ED7">
              <w:rPr>
                <w:sz w:val="20"/>
                <w:lang w:val="sr-Cyrl-CS"/>
              </w:rPr>
              <w:t> </w:t>
            </w:r>
          </w:p>
        </w:tc>
        <w:tc>
          <w:tcPr>
            <w:tcW w:w="437" w:type="pct"/>
            <w:gridSpan w:val="3"/>
            <w:tcBorders>
              <w:top w:val="nil"/>
              <w:left w:val="nil"/>
              <w:bottom w:val="dotted" w:sz="4" w:space="0" w:color="auto"/>
              <w:right w:val="dotted" w:sz="4" w:space="0" w:color="auto"/>
            </w:tcBorders>
            <w:shd w:val="clear" w:color="auto" w:fill="auto"/>
            <w:noWrap/>
            <w:vAlign w:val="center"/>
            <w:hideMark/>
          </w:tcPr>
          <w:p w14:paraId="7B3502AA" w14:textId="77777777" w:rsidR="00247CBF" w:rsidRPr="00092ED7" w:rsidRDefault="00247CBF" w:rsidP="00247CBF">
            <w:pPr>
              <w:spacing w:after="0"/>
              <w:jc w:val="right"/>
              <w:rPr>
                <w:rFonts w:ascii="Arial" w:hAnsi="Arial" w:cs="Arial"/>
                <w:sz w:val="20"/>
                <w:lang w:val="sr-Cyrl-CS"/>
              </w:rPr>
            </w:pPr>
            <w:r w:rsidRPr="00092ED7">
              <w:rPr>
                <w:rFonts w:ascii="Arial" w:hAnsi="Arial" w:cs="Arial"/>
                <w:sz w:val="20"/>
                <w:lang w:val="sr-Cyrl-CS"/>
              </w:rPr>
              <w:t> </w:t>
            </w:r>
          </w:p>
        </w:tc>
        <w:tc>
          <w:tcPr>
            <w:tcW w:w="437" w:type="pct"/>
            <w:gridSpan w:val="2"/>
            <w:tcBorders>
              <w:top w:val="nil"/>
              <w:left w:val="nil"/>
              <w:bottom w:val="dotted" w:sz="4" w:space="0" w:color="auto"/>
              <w:right w:val="dotted" w:sz="4" w:space="0" w:color="auto"/>
            </w:tcBorders>
            <w:shd w:val="clear" w:color="auto" w:fill="auto"/>
            <w:noWrap/>
            <w:vAlign w:val="center"/>
            <w:hideMark/>
          </w:tcPr>
          <w:p w14:paraId="3BB440EC" w14:textId="77777777" w:rsidR="00247CBF" w:rsidRPr="00092ED7" w:rsidRDefault="00247CBF" w:rsidP="00247CBF">
            <w:pPr>
              <w:spacing w:after="0"/>
              <w:jc w:val="right"/>
              <w:rPr>
                <w:rFonts w:ascii="Arial" w:hAnsi="Arial" w:cs="Arial"/>
                <w:sz w:val="20"/>
                <w:lang w:val="sr-Cyrl-CS"/>
              </w:rPr>
            </w:pPr>
            <w:r w:rsidRPr="00092ED7">
              <w:rPr>
                <w:rFonts w:ascii="Arial" w:hAnsi="Arial" w:cs="Arial"/>
                <w:sz w:val="20"/>
                <w:lang w:val="sr-Cyrl-CS"/>
              </w:rPr>
              <w:t> </w:t>
            </w:r>
          </w:p>
        </w:tc>
        <w:tc>
          <w:tcPr>
            <w:tcW w:w="437" w:type="pct"/>
            <w:gridSpan w:val="2"/>
            <w:tcBorders>
              <w:top w:val="nil"/>
              <w:left w:val="nil"/>
              <w:bottom w:val="dotted" w:sz="4" w:space="0" w:color="auto"/>
              <w:right w:val="dotted" w:sz="4" w:space="0" w:color="auto"/>
            </w:tcBorders>
            <w:shd w:val="clear" w:color="auto" w:fill="auto"/>
            <w:noWrap/>
            <w:vAlign w:val="center"/>
            <w:hideMark/>
          </w:tcPr>
          <w:p w14:paraId="0D2B7FAB" w14:textId="77777777" w:rsidR="00247CBF" w:rsidRPr="00092ED7" w:rsidRDefault="00247CBF" w:rsidP="00247CBF">
            <w:pPr>
              <w:spacing w:after="0"/>
              <w:jc w:val="right"/>
              <w:rPr>
                <w:rFonts w:ascii="Arial" w:hAnsi="Arial" w:cs="Arial"/>
                <w:sz w:val="20"/>
                <w:lang w:val="sr-Cyrl-CS"/>
              </w:rPr>
            </w:pPr>
            <w:r w:rsidRPr="00092ED7">
              <w:rPr>
                <w:rFonts w:ascii="Arial" w:hAnsi="Arial" w:cs="Arial"/>
                <w:sz w:val="20"/>
                <w:lang w:val="sr-Cyrl-CS"/>
              </w:rPr>
              <w:t> </w:t>
            </w:r>
          </w:p>
        </w:tc>
        <w:tc>
          <w:tcPr>
            <w:tcW w:w="437" w:type="pct"/>
            <w:gridSpan w:val="2"/>
            <w:tcBorders>
              <w:top w:val="nil"/>
              <w:left w:val="nil"/>
              <w:bottom w:val="dotted" w:sz="4" w:space="0" w:color="auto"/>
              <w:right w:val="double" w:sz="6" w:space="0" w:color="auto"/>
            </w:tcBorders>
            <w:shd w:val="clear" w:color="000000" w:fill="FFFFFF"/>
            <w:vAlign w:val="center"/>
            <w:hideMark/>
          </w:tcPr>
          <w:p w14:paraId="58CD861B" w14:textId="77777777" w:rsidR="00247CBF" w:rsidRPr="00092ED7" w:rsidRDefault="00247CBF" w:rsidP="00247CBF">
            <w:pPr>
              <w:spacing w:after="0"/>
              <w:jc w:val="right"/>
              <w:rPr>
                <w:rFonts w:cs="Times New Roman"/>
                <w:sz w:val="20"/>
                <w:lang w:val="sr-Cyrl-CS"/>
              </w:rPr>
            </w:pPr>
            <w:r w:rsidRPr="00092ED7">
              <w:rPr>
                <w:sz w:val="20"/>
                <w:lang w:val="sr-Cyrl-CS"/>
              </w:rPr>
              <w:t> </w:t>
            </w:r>
          </w:p>
        </w:tc>
      </w:tr>
      <w:tr w:rsidR="00247CBF" w:rsidRPr="00092ED7" w14:paraId="23E96BCB" w14:textId="77777777" w:rsidTr="00247CBF">
        <w:trPr>
          <w:gridBefore w:val="1"/>
          <w:wBefore w:w="8" w:type="pct"/>
          <w:trHeight w:val="273"/>
        </w:trPr>
        <w:tc>
          <w:tcPr>
            <w:tcW w:w="2225" w:type="pct"/>
            <w:gridSpan w:val="2"/>
            <w:tcBorders>
              <w:top w:val="nil"/>
              <w:left w:val="double" w:sz="6" w:space="0" w:color="auto"/>
              <w:bottom w:val="dotted" w:sz="4" w:space="0" w:color="auto"/>
              <w:right w:val="dotted" w:sz="4" w:space="0" w:color="auto"/>
            </w:tcBorders>
            <w:shd w:val="clear" w:color="000000" w:fill="FFFFFF"/>
            <w:vAlign w:val="center"/>
            <w:hideMark/>
          </w:tcPr>
          <w:p w14:paraId="63CC3F5E" w14:textId="77777777" w:rsidR="00247CBF" w:rsidRPr="00092ED7" w:rsidRDefault="00247CBF" w:rsidP="00247CBF">
            <w:pPr>
              <w:spacing w:after="0"/>
              <w:rPr>
                <w:rFonts w:eastAsia="Times New Roman" w:cs="Times New Roman"/>
                <w:i/>
                <w:iCs/>
                <w:sz w:val="20"/>
                <w:szCs w:val="20"/>
                <w:lang w:val="sr-Cyrl-CS"/>
              </w:rPr>
            </w:pPr>
            <w:r w:rsidRPr="00092ED7">
              <w:rPr>
                <w:rFonts w:eastAsia="Times New Roman" w:cs="Times New Roman"/>
                <w:i/>
                <w:iCs/>
                <w:sz w:val="20"/>
                <w:szCs w:val="20"/>
                <w:lang w:val="sr-Cyrl-CS"/>
              </w:rPr>
              <w:t>- Биланс робе и услуга</w:t>
            </w:r>
          </w:p>
        </w:tc>
        <w:tc>
          <w:tcPr>
            <w:tcW w:w="582" w:type="pct"/>
            <w:tcBorders>
              <w:top w:val="nil"/>
              <w:left w:val="nil"/>
              <w:bottom w:val="dotted" w:sz="4" w:space="0" w:color="auto"/>
              <w:right w:val="single" w:sz="8" w:space="0" w:color="auto"/>
            </w:tcBorders>
            <w:shd w:val="clear" w:color="000000" w:fill="FFFFFF"/>
            <w:vAlign w:val="center"/>
            <w:hideMark/>
          </w:tcPr>
          <w:p w14:paraId="2DA7EE90" w14:textId="77777777" w:rsidR="00247CBF" w:rsidRPr="00092ED7" w:rsidRDefault="00247CBF" w:rsidP="00247CBF">
            <w:pPr>
              <w:spacing w:after="0"/>
              <w:jc w:val="center"/>
              <w:rPr>
                <w:rFonts w:eastAsia="Times New Roman" w:cs="Times New Roman"/>
                <w:i/>
                <w:iCs/>
                <w:sz w:val="20"/>
                <w:szCs w:val="20"/>
                <w:lang w:val="sr-Cyrl-CS"/>
              </w:rPr>
            </w:pPr>
          </w:p>
        </w:tc>
        <w:tc>
          <w:tcPr>
            <w:tcW w:w="437" w:type="pct"/>
            <w:gridSpan w:val="2"/>
            <w:tcBorders>
              <w:top w:val="nil"/>
              <w:left w:val="nil"/>
              <w:bottom w:val="dotted" w:sz="4" w:space="0" w:color="auto"/>
              <w:right w:val="dotted" w:sz="4" w:space="0" w:color="auto"/>
            </w:tcBorders>
            <w:shd w:val="clear" w:color="000000" w:fill="FFFFFF"/>
            <w:vAlign w:val="center"/>
            <w:hideMark/>
          </w:tcPr>
          <w:p w14:paraId="1E77D5FE" w14:textId="77777777" w:rsidR="00247CBF" w:rsidRPr="00092ED7" w:rsidRDefault="00247CBF" w:rsidP="00247CBF">
            <w:pPr>
              <w:spacing w:after="0"/>
              <w:jc w:val="right"/>
              <w:rPr>
                <w:sz w:val="20"/>
                <w:lang w:val="sr-Cyrl-CS"/>
              </w:rPr>
            </w:pPr>
            <w:r w:rsidRPr="00092ED7">
              <w:rPr>
                <w:sz w:val="20"/>
                <w:lang w:val="sr-Cyrl-CS"/>
              </w:rPr>
              <w:t>-8,5</w:t>
            </w:r>
          </w:p>
        </w:tc>
        <w:tc>
          <w:tcPr>
            <w:tcW w:w="437" w:type="pct"/>
            <w:gridSpan w:val="3"/>
            <w:tcBorders>
              <w:top w:val="nil"/>
              <w:left w:val="nil"/>
              <w:bottom w:val="dotted" w:sz="4" w:space="0" w:color="auto"/>
              <w:right w:val="dotted" w:sz="4" w:space="0" w:color="auto"/>
            </w:tcBorders>
            <w:shd w:val="clear" w:color="000000" w:fill="FFFFFF"/>
            <w:vAlign w:val="center"/>
            <w:hideMark/>
          </w:tcPr>
          <w:p w14:paraId="76593648" w14:textId="77777777" w:rsidR="00247CBF" w:rsidRPr="00092ED7" w:rsidRDefault="00247CBF" w:rsidP="00247CBF">
            <w:pPr>
              <w:spacing w:after="0"/>
              <w:jc w:val="right"/>
              <w:rPr>
                <w:sz w:val="20"/>
                <w:lang w:val="sr-Cyrl-CS"/>
              </w:rPr>
            </w:pPr>
            <w:r w:rsidRPr="00092ED7">
              <w:rPr>
                <w:sz w:val="20"/>
                <w:lang w:val="sr-Cyrl-CS"/>
              </w:rPr>
              <w:t>-12,2</w:t>
            </w:r>
          </w:p>
        </w:tc>
        <w:tc>
          <w:tcPr>
            <w:tcW w:w="437" w:type="pct"/>
            <w:gridSpan w:val="2"/>
            <w:tcBorders>
              <w:top w:val="nil"/>
              <w:left w:val="nil"/>
              <w:bottom w:val="dotted" w:sz="4" w:space="0" w:color="auto"/>
              <w:right w:val="dotted" w:sz="4" w:space="0" w:color="auto"/>
            </w:tcBorders>
            <w:shd w:val="clear" w:color="000000" w:fill="FFFFFF"/>
            <w:vAlign w:val="center"/>
            <w:hideMark/>
          </w:tcPr>
          <w:p w14:paraId="57844D29" w14:textId="77777777" w:rsidR="00247CBF" w:rsidRPr="00092ED7" w:rsidRDefault="00247CBF" w:rsidP="00247CBF">
            <w:pPr>
              <w:spacing w:after="0"/>
              <w:jc w:val="right"/>
              <w:rPr>
                <w:sz w:val="20"/>
                <w:lang w:val="sr-Cyrl-CS"/>
              </w:rPr>
            </w:pPr>
            <w:r w:rsidRPr="00092ED7">
              <w:rPr>
                <w:sz w:val="20"/>
                <w:lang w:val="sr-Cyrl-CS"/>
              </w:rPr>
              <w:t>-10,9</w:t>
            </w:r>
          </w:p>
        </w:tc>
        <w:tc>
          <w:tcPr>
            <w:tcW w:w="437" w:type="pct"/>
            <w:gridSpan w:val="2"/>
            <w:tcBorders>
              <w:top w:val="nil"/>
              <w:left w:val="nil"/>
              <w:bottom w:val="dotted" w:sz="4" w:space="0" w:color="auto"/>
              <w:right w:val="dotted" w:sz="4" w:space="0" w:color="auto"/>
            </w:tcBorders>
            <w:shd w:val="clear" w:color="000000" w:fill="FFFFFF"/>
            <w:vAlign w:val="center"/>
            <w:hideMark/>
          </w:tcPr>
          <w:p w14:paraId="0990F20B" w14:textId="77777777" w:rsidR="00247CBF" w:rsidRPr="00092ED7" w:rsidRDefault="00247CBF" w:rsidP="00247CBF">
            <w:pPr>
              <w:spacing w:after="0"/>
              <w:jc w:val="right"/>
              <w:rPr>
                <w:sz w:val="20"/>
                <w:lang w:val="sr-Cyrl-CS"/>
              </w:rPr>
            </w:pPr>
            <w:r w:rsidRPr="00092ED7">
              <w:rPr>
                <w:sz w:val="20"/>
                <w:lang w:val="sr-Cyrl-CS"/>
              </w:rPr>
              <w:t>-9,4</w:t>
            </w:r>
          </w:p>
        </w:tc>
        <w:tc>
          <w:tcPr>
            <w:tcW w:w="437" w:type="pct"/>
            <w:gridSpan w:val="2"/>
            <w:tcBorders>
              <w:top w:val="nil"/>
              <w:left w:val="nil"/>
              <w:bottom w:val="dotted" w:sz="4" w:space="0" w:color="auto"/>
              <w:right w:val="double" w:sz="6" w:space="0" w:color="auto"/>
            </w:tcBorders>
            <w:shd w:val="clear" w:color="000000" w:fill="FFFFFF"/>
            <w:vAlign w:val="center"/>
            <w:hideMark/>
          </w:tcPr>
          <w:p w14:paraId="18A242CD" w14:textId="77777777" w:rsidR="00247CBF" w:rsidRPr="00092ED7" w:rsidRDefault="00247CBF" w:rsidP="00247CBF">
            <w:pPr>
              <w:spacing w:after="0"/>
              <w:jc w:val="right"/>
              <w:rPr>
                <w:sz w:val="20"/>
                <w:lang w:val="sr-Cyrl-CS"/>
              </w:rPr>
            </w:pPr>
            <w:r w:rsidRPr="00092ED7">
              <w:rPr>
                <w:sz w:val="20"/>
                <w:lang w:val="sr-Cyrl-CS"/>
              </w:rPr>
              <w:t>-8,4</w:t>
            </w:r>
          </w:p>
        </w:tc>
      </w:tr>
      <w:tr w:rsidR="00247CBF" w:rsidRPr="00092ED7" w14:paraId="3CA1EEA1" w14:textId="77777777" w:rsidTr="00247CBF">
        <w:trPr>
          <w:gridBefore w:val="1"/>
          <w:wBefore w:w="8" w:type="pct"/>
          <w:trHeight w:val="278"/>
        </w:trPr>
        <w:tc>
          <w:tcPr>
            <w:tcW w:w="2225" w:type="pct"/>
            <w:gridSpan w:val="2"/>
            <w:tcBorders>
              <w:top w:val="nil"/>
              <w:left w:val="double" w:sz="6" w:space="0" w:color="auto"/>
              <w:bottom w:val="dotted" w:sz="4" w:space="0" w:color="auto"/>
              <w:right w:val="dotted" w:sz="4" w:space="0" w:color="auto"/>
            </w:tcBorders>
            <w:shd w:val="clear" w:color="000000" w:fill="FFFFFF"/>
            <w:vAlign w:val="center"/>
            <w:hideMark/>
          </w:tcPr>
          <w:p w14:paraId="4CD922DC" w14:textId="77777777" w:rsidR="00247CBF" w:rsidRPr="00092ED7" w:rsidRDefault="00247CBF" w:rsidP="00247CBF">
            <w:pPr>
              <w:spacing w:after="0"/>
              <w:rPr>
                <w:rFonts w:eastAsia="Times New Roman" w:cs="Times New Roman"/>
                <w:i/>
                <w:iCs/>
                <w:sz w:val="20"/>
                <w:szCs w:val="20"/>
                <w:lang w:val="sr-Cyrl-CS"/>
              </w:rPr>
            </w:pPr>
            <w:r w:rsidRPr="00092ED7">
              <w:rPr>
                <w:rFonts w:eastAsia="Times New Roman" w:cs="Times New Roman"/>
                <w:i/>
                <w:iCs/>
                <w:sz w:val="20"/>
                <w:szCs w:val="20"/>
                <w:lang w:val="sr-Cyrl-CS"/>
              </w:rPr>
              <w:t>- Биланс примарног дохотка и трансфера</w:t>
            </w:r>
          </w:p>
        </w:tc>
        <w:tc>
          <w:tcPr>
            <w:tcW w:w="582" w:type="pct"/>
            <w:tcBorders>
              <w:top w:val="nil"/>
              <w:left w:val="nil"/>
              <w:bottom w:val="dotted" w:sz="4" w:space="0" w:color="auto"/>
              <w:right w:val="single" w:sz="8" w:space="0" w:color="auto"/>
            </w:tcBorders>
            <w:shd w:val="clear" w:color="000000" w:fill="FFFFFF"/>
            <w:vAlign w:val="center"/>
            <w:hideMark/>
          </w:tcPr>
          <w:p w14:paraId="411B4324" w14:textId="77777777" w:rsidR="00247CBF" w:rsidRPr="00092ED7" w:rsidRDefault="00247CBF" w:rsidP="00247CBF">
            <w:pPr>
              <w:spacing w:after="0"/>
              <w:jc w:val="center"/>
              <w:rPr>
                <w:rFonts w:eastAsia="Times New Roman" w:cs="Times New Roman"/>
                <w:i/>
                <w:iCs/>
                <w:sz w:val="20"/>
                <w:szCs w:val="20"/>
                <w:lang w:val="sr-Cyrl-CS"/>
              </w:rPr>
            </w:pPr>
          </w:p>
        </w:tc>
        <w:tc>
          <w:tcPr>
            <w:tcW w:w="437" w:type="pct"/>
            <w:gridSpan w:val="2"/>
            <w:tcBorders>
              <w:top w:val="nil"/>
              <w:left w:val="nil"/>
              <w:bottom w:val="dotted" w:sz="4" w:space="0" w:color="auto"/>
              <w:right w:val="dotted" w:sz="4" w:space="0" w:color="auto"/>
            </w:tcBorders>
            <w:shd w:val="clear" w:color="000000" w:fill="FFFFFF"/>
            <w:vAlign w:val="center"/>
            <w:hideMark/>
          </w:tcPr>
          <w:p w14:paraId="4DEB8129" w14:textId="77777777" w:rsidR="00247CBF" w:rsidRPr="00092ED7" w:rsidRDefault="00247CBF" w:rsidP="00247CBF">
            <w:pPr>
              <w:spacing w:after="0"/>
              <w:jc w:val="right"/>
              <w:rPr>
                <w:sz w:val="20"/>
                <w:lang w:val="sr-Cyrl-CS"/>
              </w:rPr>
            </w:pPr>
            <w:r w:rsidRPr="00092ED7">
              <w:rPr>
                <w:sz w:val="20"/>
                <w:lang w:val="sr-Cyrl-CS"/>
              </w:rPr>
              <w:t>4,2</w:t>
            </w:r>
          </w:p>
        </w:tc>
        <w:tc>
          <w:tcPr>
            <w:tcW w:w="437" w:type="pct"/>
            <w:gridSpan w:val="3"/>
            <w:tcBorders>
              <w:top w:val="nil"/>
              <w:left w:val="nil"/>
              <w:bottom w:val="dotted" w:sz="4" w:space="0" w:color="auto"/>
              <w:right w:val="dotted" w:sz="4" w:space="0" w:color="auto"/>
            </w:tcBorders>
            <w:shd w:val="clear" w:color="000000" w:fill="FFFFFF"/>
            <w:vAlign w:val="center"/>
            <w:hideMark/>
          </w:tcPr>
          <w:p w14:paraId="5EC6EDDD" w14:textId="77777777" w:rsidR="00247CBF" w:rsidRPr="00092ED7" w:rsidRDefault="00247CBF" w:rsidP="00247CBF">
            <w:pPr>
              <w:spacing w:after="0"/>
              <w:jc w:val="right"/>
              <w:rPr>
                <w:sz w:val="20"/>
                <w:lang w:val="sr-Cyrl-CS"/>
              </w:rPr>
            </w:pPr>
            <w:r w:rsidRPr="00092ED7">
              <w:rPr>
                <w:sz w:val="20"/>
                <w:lang w:val="sr-Cyrl-CS"/>
              </w:rPr>
              <w:t>3,2</w:t>
            </w:r>
          </w:p>
        </w:tc>
        <w:tc>
          <w:tcPr>
            <w:tcW w:w="437" w:type="pct"/>
            <w:gridSpan w:val="2"/>
            <w:tcBorders>
              <w:top w:val="nil"/>
              <w:left w:val="nil"/>
              <w:bottom w:val="dotted" w:sz="4" w:space="0" w:color="auto"/>
              <w:right w:val="dotted" w:sz="4" w:space="0" w:color="auto"/>
            </w:tcBorders>
            <w:shd w:val="clear" w:color="000000" w:fill="FFFFFF"/>
            <w:vAlign w:val="center"/>
            <w:hideMark/>
          </w:tcPr>
          <w:p w14:paraId="10A02DAD" w14:textId="77777777" w:rsidR="00247CBF" w:rsidRPr="00092ED7" w:rsidRDefault="00247CBF" w:rsidP="00247CBF">
            <w:pPr>
              <w:spacing w:after="0"/>
              <w:jc w:val="right"/>
              <w:rPr>
                <w:sz w:val="20"/>
                <w:lang w:val="sr-Cyrl-CS"/>
              </w:rPr>
            </w:pPr>
            <w:r w:rsidRPr="00092ED7">
              <w:rPr>
                <w:sz w:val="20"/>
                <w:lang w:val="sr-Cyrl-CS"/>
              </w:rPr>
              <w:t>2,4</w:t>
            </w:r>
          </w:p>
        </w:tc>
        <w:tc>
          <w:tcPr>
            <w:tcW w:w="437" w:type="pct"/>
            <w:gridSpan w:val="2"/>
            <w:tcBorders>
              <w:top w:val="nil"/>
              <w:left w:val="nil"/>
              <w:bottom w:val="dotted" w:sz="4" w:space="0" w:color="auto"/>
              <w:right w:val="dotted" w:sz="4" w:space="0" w:color="auto"/>
            </w:tcBorders>
            <w:shd w:val="clear" w:color="000000" w:fill="FFFFFF"/>
            <w:vAlign w:val="center"/>
            <w:hideMark/>
          </w:tcPr>
          <w:p w14:paraId="6C04F905" w14:textId="77777777" w:rsidR="00247CBF" w:rsidRPr="00092ED7" w:rsidRDefault="00247CBF" w:rsidP="00247CBF">
            <w:pPr>
              <w:spacing w:after="0"/>
              <w:jc w:val="right"/>
              <w:rPr>
                <w:sz w:val="20"/>
                <w:lang w:val="sr-Cyrl-CS"/>
              </w:rPr>
            </w:pPr>
            <w:r w:rsidRPr="00092ED7">
              <w:rPr>
                <w:sz w:val="20"/>
                <w:lang w:val="sr-Cyrl-CS"/>
              </w:rPr>
              <w:t>2,7</w:t>
            </w:r>
          </w:p>
        </w:tc>
        <w:tc>
          <w:tcPr>
            <w:tcW w:w="437" w:type="pct"/>
            <w:gridSpan w:val="2"/>
            <w:tcBorders>
              <w:top w:val="nil"/>
              <w:left w:val="nil"/>
              <w:bottom w:val="dotted" w:sz="4" w:space="0" w:color="auto"/>
              <w:right w:val="double" w:sz="6" w:space="0" w:color="auto"/>
            </w:tcBorders>
            <w:shd w:val="clear" w:color="000000" w:fill="FFFFFF"/>
            <w:vAlign w:val="center"/>
            <w:hideMark/>
          </w:tcPr>
          <w:p w14:paraId="15D23758" w14:textId="77777777" w:rsidR="00247CBF" w:rsidRPr="00092ED7" w:rsidRDefault="00247CBF" w:rsidP="00247CBF">
            <w:pPr>
              <w:spacing w:after="0"/>
              <w:jc w:val="right"/>
              <w:rPr>
                <w:sz w:val="20"/>
                <w:lang w:val="sr-Cyrl-CS"/>
              </w:rPr>
            </w:pPr>
            <w:r w:rsidRPr="00092ED7">
              <w:rPr>
                <w:sz w:val="20"/>
                <w:lang w:val="sr-Cyrl-CS"/>
              </w:rPr>
              <w:t>3,0</w:t>
            </w:r>
          </w:p>
        </w:tc>
      </w:tr>
      <w:tr w:rsidR="00247CBF" w:rsidRPr="00092ED7" w14:paraId="58D80EA7" w14:textId="77777777" w:rsidTr="00247CBF">
        <w:trPr>
          <w:gridBefore w:val="1"/>
          <w:wBefore w:w="8" w:type="pct"/>
          <w:trHeight w:val="267"/>
        </w:trPr>
        <w:tc>
          <w:tcPr>
            <w:tcW w:w="2225" w:type="pct"/>
            <w:gridSpan w:val="2"/>
            <w:tcBorders>
              <w:top w:val="nil"/>
              <w:left w:val="double" w:sz="6" w:space="0" w:color="auto"/>
              <w:bottom w:val="nil"/>
              <w:right w:val="dotted" w:sz="4" w:space="0" w:color="auto"/>
            </w:tcBorders>
            <w:shd w:val="clear" w:color="000000" w:fill="FFFFFF"/>
            <w:vAlign w:val="center"/>
            <w:hideMark/>
          </w:tcPr>
          <w:p w14:paraId="2B4C7127" w14:textId="77777777" w:rsidR="00247CBF" w:rsidRPr="00092ED7" w:rsidRDefault="00247CBF" w:rsidP="00247CBF">
            <w:pPr>
              <w:spacing w:after="0"/>
              <w:rPr>
                <w:rFonts w:eastAsia="Times New Roman" w:cs="Times New Roman"/>
                <w:i/>
                <w:iCs/>
                <w:sz w:val="20"/>
                <w:szCs w:val="20"/>
                <w:lang w:val="sr-Cyrl-CS"/>
              </w:rPr>
            </w:pPr>
            <w:r w:rsidRPr="00092ED7">
              <w:rPr>
                <w:rFonts w:eastAsia="Times New Roman" w:cs="Times New Roman"/>
                <w:i/>
                <w:iCs/>
                <w:sz w:val="20"/>
                <w:szCs w:val="20"/>
                <w:lang w:val="sr-Cyrl-CS"/>
              </w:rPr>
              <w:t>- Биланс капиталних трансакција</w:t>
            </w:r>
          </w:p>
        </w:tc>
        <w:tc>
          <w:tcPr>
            <w:tcW w:w="582" w:type="pct"/>
            <w:tcBorders>
              <w:top w:val="nil"/>
              <w:left w:val="nil"/>
              <w:bottom w:val="nil"/>
              <w:right w:val="single" w:sz="8" w:space="0" w:color="auto"/>
            </w:tcBorders>
            <w:shd w:val="clear" w:color="000000" w:fill="FFFFFF"/>
            <w:vAlign w:val="center"/>
            <w:hideMark/>
          </w:tcPr>
          <w:p w14:paraId="2E9DB6C4" w14:textId="77777777" w:rsidR="00247CBF" w:rsidRPr="00092ED7" w:rsidRDefault="00247CBF" w:rsidP="00247CBF">
            <w:pPr>
              <w:spacing w:after="0"/>
              <w:jc w:val="center"/>
              <w:rPr>
                <w:rFonts w:eastAsia="Times New Roman" w:cs="Times New Roman"/>
                <w:i/>
                <w:iCs/>
                <w:sz w:val="20"/>
                <w:szCs w:val="20"/>
                <w:lang w:val="sr-Cyrl-CS"/>
              </w:rPr>
            </w:pPr>
          </w:p>
        </w:tc>
        <w:tc>
          <w:tcPr>
            <w:tcW w:w="437" w:type="pct"/>
            <w:gridSpan w:val="2"/>
            <w:tcBorders>
              <w:top w:val="nil"/>
              <w:left w:val="nil"/>
              <w:bottom w:val="single" w:sz="4" w:space="0" w:color="auto"/>
              <w:right w:val="dotted" w:sz="4" w:space="0" w:color="auto"/>
            </w:tcBorders>
            <w:shd w:val="clear" w:color="000000" w:fill="FFFFFF"/>
            <w:vAlign w:val="center"/>
            <w:hideMark/>
          </w:tcPr>
          <w:p w14:paraId="73794F9F" w14:textId="77777777" w:rsidR="00247CBF" w:rsidRPr="00092ED7" w:rsidRDefault="00247CBF" w:rsidP="00247CBF">
            <w:pPr>
              <w:spacing w:after="0"/>
              <w:jc w:val="right"/>
              <w:rPr>
                <w:sz w:val="20"/>
                <w:lang w:val="sr-Cyrl-CS"/>
              </w:rPr>
            </w:pPr>
            <w:r w:rsidRPr="00092ED7">
              <w:rPr>
                <w:sz w:val="20"/>
                <w:lang w:val="sr-Cyrl-CS"/>
              </w:rPr>
              <w:t>0,0</w:t>
            </w:r>
          </w:p>
        </w:tc>
        <w:tc>
          <w:tcPr>
            <w:tcW w:w="437" w:type="pct"/>
            <w:gridSpan w:val="3"/>
            <w:tcBorders>
              <w:top w:val="nil"/>
              <w:left w:val="nil"/>
              <w:bottom w:val="single" w:sz="4" w:space="0" w:color="auto"/>
              <w:right w:val="dotted" w:sz="4" w:space="0" w:color="auto"/>
            </w:tcBorders>
            <w:shd w:val="clear" w:color="000000" w:fill="FFFFFF"/>
            <w:vAlign w:val="center"/>
            <w:hideMark/>
          </w:tcPr>
          <w:p w14:paraId="0FF07F79" w14:textId="77777777" w:rsidR="00247CBF" w:rsidRPr="00092ED7" w:rsidRDefault="00247CBF" w:rsidP="00247CBF">
            <w:pPr>
              <w:spacing w:after="0"/>
              <w:jc w:val="right"/>
              <w:rPr>
                <w:sz w:val="20"/>
                <w:lang w:val="sr-Cyrl-CS"/>
              </w:rPr>
            </w:pPr>
            <w:r w:rsidRPr="00092ED7">
              <w:rPr>
                <w:sz w:val="20"/>
                <w:lang w:val="sr-Cyrl-CS"/>
              </w:rPr>
              <w:t>0,0</w:t>
            </w:r>
          </w:p>
        </w:tc>
        <w:tc>
          <w:tcPr>
            <w:tcW w:w="437" w:type="pct"/>
            <w:gridSpan w:val="2"/>
            <w:tcBorders>
              <w:top w:val="nil"/>
              <w:left w:val="nil"/>
              <w:bottom w:val="single" w:sz="4" w:space="0" w:color="auto"/>
              <w:right w:val="dotted" w:sz="4" w:space="0" w:color="auto"/>
            </w:tcBorders>
            <w:shd w:val="clear" w:color="000000" w:fill="FFFFFF"/>
            <w:vAlign w:val="center"/>
            <w:hideMark/>
          </w:tcPr>
          <w:p w14:paraId="1857106A" w14:textId="77777777" w:rsidR="00247CBF" w:rsidRPr="00092ED7" w:rsidRDefault="00247CBF" w:rsidP="00247CBF">
            <w:pPr>
              <w:spacing w:after="0"/>
              <w:jc w:val="right"/>
              <w:rPr>
                <w:sz w:val="20"/>
                <w:lang w:val="sr-Cyrl-CS"/>
              </w:rPr>
            </w:pPr>
            <w:r w:rsidRPr="00092ED7">
              <w:rPr>
                <w:sz w:val="20"/>
                <w:lang w:val="sr-Cyrl-CS"/>
              </w:rPr>
              <w:t>0,0</w:t>
            </w:r>
          </w:p>
        </w:tc>
        <w:tc>
          <w:tcPr>
            <w:tcW w:w="437" w:type="pct"/>
            <w:gridSpan w:val="2"/>
            <w:tcBorders>
              <w:top w:val="nil"/>
              <w:left w:val="nil"/>
              <w:bottom w:val="single" w:sz="4" w:space="0" w:color="auto"/>
              <w:right w:val="dotted" w:sz="4" w:space="0" w:color="auto"/>
            </w:tcBorders>
            <w:shd w:val="clear" w:color="000000" w:fill="FFFFFF"/>
            <w:vAlign w:val="center"/>
            <w:hideMark/>
          </w:tcPr>
          <w:p w14:paraId="5F1D629C" w14:textId="77777777" w:rsidR="00247CBF" w:rsidRPr="00092ED7" w:rsidRDefault="00247CBF" w:rsidP="00247CBF">
            <w:pPr>
              <w:spacing w:after="0"/>
              <w:jc w:val="right"/>
              <w:rPr>
                <w:sz w:val="20"/>
                <w:lang w:val="sr-Cyrl-CS"/>
              </w:rPr>
            </w:pPr>
            <w:r w:rsidRPr="00092ED7">
              <w:rPr>
                <w:sz w:val="20"/>
                <w:lang w:val="sr-Cyrl-CS"/>
              </w:rPr>
              <w:t>0,0</w:t>
            </w:r>
          </w:p>
        </w:tc>
        <w:tc>
          <w:tcPr>
            <w:tcW w:w="437" w:type="pct"/>
            <w:gridSpan w:val="2"/>
            <w:tcBorders>
              <w:top w:val="nil"/>
              <w:left w:val="nil"/>
              <w:bottom w:val="single" w:sz="4" w:space="0" w:color="auto"/>
              <w:right w:val="double" w:sz="6" w:space="0" w:color="auto"/>
            </w:tcBorders>
            <w:shd w:val="clear" w:color="000000" w:fill="FFFFFF"/>
            <w:vAlign w:val="center"/>
            <w:hideMark/>
          </w:tcPr>
          <w:p w14:paraId="055CEC0B" w14:textId="77777777" w:rsidR="00247CBF" w:rsidRPr="00092ED7" w:rsidRDefault="00247CBF" w:rsidP="00247CBF">
            <w:pPr>
              <w:spacing w:after="0"/>
              <w:jc w:val="right"/>
              <w:rPr>
                <w:sz w:val="20"/>
                <w:lang w:val="sr-Cyrl-CS"/>
              </w:rPr>
            </w:pPr>
            <w:r w:rsidRPr="00092ED7">
              <w:rPr>
                <w:sz w:val="20"/>
                <w:lang w:val="sr-Cyrl-CS"/>
              </w:rPr>
              <w:t>0,0</w:t>
            </w:r>
          </w:p>
        </w:tc>
      </w:tr>
      <w:tr w:rsidR="00247CBF" w:rsidRPr="00092ED7" w14:paraId="2958AC08" w14:textId="77777777" w:rsidTr="00247CBF">
        <w:trPr>
          <w:gridBefore w:val="1"/>
          <w:wBefore w:w="8" w:type="pct"/>
          <w:trHeight w:val="272"/>
        </w:trPr>
        <w:tc>
          <w:tcPr>
            <w:tcW w:w="2225" w:type="pct"/>
            <w:gridSpan w:val="2"/>
            <w:tcBorders>
              <w:top w:val="single" w:sz="4" w:space="0" w:color="auto"/>
              <w:left w:val="double" w:sz="6" w:space="0" w:color="auto"/>
              <w:bottom w:val="dotted" w:sz="4" w:space="0" w:color="auto"/>
              <w:right w:val="dotted" w:sz="4" w:space="0" w:color="auto"/>
            </w:tcBorders>
            <w:shd w:val="clear" w:color="000000" w:fill="FFFFFF"/>
            <w:vAlign w:val="center"/>
            <w:hideMark/>
          </w:tcPr>
          <w:p w14:paraId="73B70065"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xml:space="preserve">2. Нето дате/узете позајмице приватног сектора </w:t>
            </w:r>
          </w:p>
        </w:tc>
        <w:tc>
          <w:tcPr>
            <w:tcW w:w="582" w:type="pct"/>
            <w:tcBorders>
              <w:top w:val="single" w:sz="4" w:space="0" w:color="auto"/>
              <w:left w:val="nil"/>
              <w:bottom w:val="dotted" w:sz="4" w:space="0" w:color="auto"/>
              <w:right w:val="single" w:sz="8" w:space="0" w:color="auto"/>
            </w:tcBorders>
            <w:shd w:val="clear" w:color="000000" w:fill="FFFFFF"/>
            <w:vAlign w:val="center"/>
            <w:hideMark/>
          </w:tcPr>
          <w:p w14:paraId="4E9719D4"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B.9/ EDP B.9</w:t>
            </w:r>
          </w:p>
        </w:tc>
        <w:tc>
          <w:tcPr>
            <w:tcW w:w="437" w:type="pct"/>
            <w:gridSpan w:val="2"/>
            <w:tcBorders>
              <w:top w:val="nil"/>
              <w:left w:val="nil"/>
              <w:bottom w:val="dotted" w:sz="4" w:space="0" w:color="auto"/>
              <w:right w:val="dotted" w:sz="4" w:space="0" w:color="auto"/>
            </w:tcBorders>
            <w:shd w:val="clear" w:color="000000" w:fill="FFFFFF"/>
            <w:vAlign w:val="center"/>
            <w:hideMark/>
          </w:tcPr>
          <w:p w14:paraId="15C6ACAA" w14:textId="77777777" w:rsidR="00247CBF" w:rsidRPr="00092ED7" w:rsidRDefault="00247CBF" w:rsidP="00247CBF">
            <w:pPr>
              <w:spacing w:after="0"/>
              <w:jc w:val="right"/>
              <w:rPr>
                <w:sz w:val="20"/>
                <w:lang w:val="sr-Cyrl-CS"/>
              </w:rPr>
            </w:pPr>
            <w:r w:rsidRPr="00092ED7">
              <w:rPr>
                <w:sz w:val="20"/>
                <w:lang w:val="sr-Cyrl-CS"/>
              </w:rPr>
              <w:t>-0,2</w:t>
            </w:r>
          </w:p>
        </w:tc>
        <w:tc>
          <w:tcPr>
            <w:tcW w:w="437" w:type="pct"/>
            <w:gridSpan w:val="3"/>
            <w:tcBorders>
              <w:top w:val="nil"/>
              <w:left w:val="nil"/>
              <w:bottom w:val="dotted" w:sz="4" w:space="0" w:color="auto"/>
              <w:right w:val="dotted" w:sz="4" w:space="0" w:color="auto"/>
            </w:tcBorders>
            <w:shd w:val="clear" w:color="000000" w:fill="FFFFFF"/>
            <w:vAlign w:val="center"/>
            <w:hideMark/>
          </w:tcPr>
          <w:p w14:paraId="01DAB6A6" w14:textId="77777777" w:rsidR="00247CBF" w:rsidRPr="00092ED7" w:rsidRDefault="00247CBF" w:rsidP="00247CBF">
            <w:pPr>
              <w:spacing w:after="0"/>
              <w:jc w:val="right"/>
              <w:rPr>
                <w:sz w:val="20"/>
                <w:lang w:val="sr-Cyrl-CS"/>
              </w:rPr>
            </w:pPr>
            <w:r w:rsidRPr="00092ED7">
              <w:rPr>
                <w:sz w:val="20"/>
                <w:lang w:val="sr-Cyrl-CS"/>
              </w:rPr>
              <w:t>-5,1</w:t>
            </w:r>
          </w:p>
        </w:tc>
        <w:tc>
          <w:tcPr>
            <w:tcW w:w="437" w:type="pct"/>
            <w:gridSpan w:val="2"/>
            <w:tcBorders>
              <w:top w:val="nil"/>
              <w:left w:val="nil"/>
              <w:bottom w:val="dotted" w:sz="4" w:space="0" w:color="auto"/>
              <w:right w:val="dotted" w:sz="4" w:space="0" w:color="auto"/>
            </w:tcBorders>
            <w:shd w:val="clear" w:color="000000" w:fill="FFFFFF"/>
            <w:vAlign w:val="center"/>
            <w:hideMark/>
          </w:tcPr>
          <w:p w14:paraId="3E9DBD52" w14:textId="77777777" w:rsidR="00247CBF" w:rsidRPr="00092ED7" w:rsidRDefault="00247CBF" w:rsidP="00247CBF">
            <w:pPr>
              <w:spacing w:after="0"/>
              <w:jc w:val="right"/>
              <w:rPr>
                <w:sz w:val="20"/>
                <w:lang w:val="sr-Cyrl-CS"/>
              </w:rPr>
            </w:pPr>
            <w:r w:rsidRPr="00092ED7">
              <w:rPr>
                <w:sz w:val="20"/>
                <w:lang w:val="sr-Cyrl-CS"/>
              </w:rPr>
              <w:t>-5,2</w:t>
            </w:r>
          </w:p>
        </w:tc>
        <w:tc>
          <w:tcPr>
            <w:tcW w:w="437" w:type="pct"/>
            <w:gridSpan w:val="2"/>
            <w:tcBorders>
              <w:top w:val="nil"/>
              <w:left w:val="nil"/>
              <w:bottom w:val="dotted" w:sz="4" w:space="0" w:color="auto"/>
              <w:right w:val="dotted" w:sz="4" w:space="0" w:color="auto"/>
            </w:tcBorders>
            <w:shd w:val="clear" w:color="000000" w:fill="FFFFFF"/>
            <w:vAlign w:val="center"/>
            <w:hideMark/>
          </w:tcPr>
          <w:p w14:paraId="4474C36A" w14:textId="77777777" w:rsidR="00247CBF" w:rsidRPr="00092ED7" w:rsidRDefault="00247CBF" w:rsidP="00247CBF">
            <w:pPr>
              <w:spacing w:after="0"/>
              <w:jc w:val="right"/>
              <w:rPr>
                <w:sz w:val="20"/>
                <w:lang w:val="sr-Cyrl-CS"/>
              </w:rPr>
            </w:pPr>
            <w:r w:rsidRPr="00092ED7">
              <w:rPr>
                <w:sz w:val="20"/>
                <w:lang w:val="sr-Cyrl-CS"/>
              </w:rPr>
              <w:t>-4,5</w:t>
            </w:r>
          </w:p>
        </w:tc>
        <w:tc>
          <w:tcPr>
            <w:tcW w:w="437" w:type="pct"/>
            <w:gridSpan w:val="2"/>
            <w:tcBorders>
              <w:top w:val="nil"/>
              <w:left w:val="nil"/>
              <w:bottom w:val="dotted" w:sz="4" w:space="0" w:color="auto"/>
              <w:right w:val="double" w:sz="6" w:space="0" w:color="auto"/>
            </w:tcBorders>
            <w:shd w:val="clear" w:color="000000" w:fill="FFFFFF"/>
            <w:vAlign w:val="center"/>
            <w:hideMark/>
          </w:tcPr>
          <w:p w14:paraId="4E799512" w14:textId="77777777" w:rsidR="00247CBF" w:rsidRPr="00092ED7" w:rsidRDefault="00247CBF" w:rsidP="00247CBF">
            <w:pPr>
              <w:spacing w:after="0"/>
              <w:jc w:val="right"/>
              <w:rPr>
                <w:sz w:val="20"/>
                <w:lang w:val="sr-Cyrl-CS"/>
              </w:rPr>
            </w:pPr>
            <w:r w:rsidRPr="00092ED7">
              <w:rPr>
                <w:sz w:val="20"/>
                <w:lang w:val="sr-Cyrl-CS"/>
              </w:rPr>
              <w:t>-4,0</w:t>
            </w:r>
          </w:p>
        </w:tc>
      </w:tr>
      <w:tr w:rsidR="00247CBF" w:rsidRPr="00092ED7" w14:paraId="104A7E38" w14:textId="77777777" w:rsidTr="00247CBF">
        <w:trPr>
          <w:gridBefore w:val="1"/>
          <w:wBefore w:w="8" w:type="pct"/>
          <w:trHeight w:val="289"/>
        </w:trPr>
        <w:tc>
          <w:tcPr>
            <w:tcW w:w="2225" w:type="pct"/>
            <w:gridSpan w:val="2"/>
            <w:tcBorders>
              <w:top w:val="nil"/>
              <w:left w:val="double" w:sz="6" w:space="0" w:color="auto"/>
              <w:bottom w:val="nil"/>
              <w:right w:val="dotted" w:sz="4" w:space="0" w:color="auto"/>
            </w:tcBorders>
            <w:shd w:val="clear" w:color="000000" w:fill="FFFFFF"/>
            <w:vAlign w:val="center"/>
            <w:hideMark/>
          </w:tcPr>
          <w:p w14:paraId="49CC763D"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xml:space="preserve">3. Нето дате/узете позајмице општег нивоа државе </w:t>
            </w:r>
          </w:p>
        </w:tc>
        <w:tc>
          <w:tcPr>
            <w:tcW w:w="582" w:type="pct"/>
            <w:tcBorders>
              <w:top w:val="nil"/>
              <w:left w:val="nil"/>
              <w:bottom w:val="nil"/>
              <w:right w:val="single" w:sz="8" w:space="0" w:color="auto"/>
            </w:tcBorders>
            <w:shd w:val="clear" w:color="000000" w:fill="FFFFFF"/>
            <w:vAlign w:val="center"/>
            <w:hideMark/>
          </w:tcPr>
          <w:p w14:paraId="43E0D901" w14:textId="77777777" w:rsidR="00247CBF" w:rsidRPr="00092ED7" w:rsidRDefault="00247CBF" w:rsidP="00247CBF">
            <w:pPr>
              <w:spacing w:after="0"/>
              <w:jc w:val="center"/>
              <w:rPr>
                <w:rFonts w:eastAsia="Times New Roman" w:cs="Times New Roman"/>
                <w:sz w:val="20"/>
                <w:szCs w:val="20"/>
                <w:lang w:val="sr-Cyrl-CS"/>
              </w:rPr>
            </w:pPr>
          </w:p>
        </w:tc>
        <w:tc>
          <w:tcPr>
            <w:tcW w:w="437" w:type="pct"/>
            <w:gridSpan w:val="2"/>
            <w:tcBorders>
              <w:top w:val="nil"/>
              <w:left w:val="nil"/>
              <w:bottom w:val="single" w:sz="4" w:space="0" w:color="auto"/>
              <w:right w:val="dotted" w:sz="4" w:space="0" w:color="auto"/>
            </w:tcBorders>
            <w:shd w:val="clear" w:color="000000" w:fill="FFFFFF"/>
            <w:vAlign w:val="center"/>
            <w:hideMark/>
          </w:tcPr>
          <w:p w14:paraId="23F1C2D9" w14:textId="77777777" w:rsidR="00247CBF" w:rsidRPr="00092ED7" w:rsidRDefault="00247CBF" w:rsidP="00247CBF">
            <w:pPr>
              <w:spacing w:after="0"/>
              <w:jc w:val="right"/>
              <w:rPr>
                <w:sz w:val="20"/>
                <w:lang w:val="sr-Cyrl-CS"/>
              </w:rPr>
            </w:pPr>
            <w:r w:rsidRPr="00092ED7">
              <w:rPr>
                <w:sz w:val="20"/>
                <w:lang w:val="sr-Cyrl-CS"/>
              </w:rPr>
              <w:t>-4,1</w:t>
            </w:r>
          </w:p>
        </w:tc>
        <w:tc>
          <w:tcPr>
            <w:tcW w:w="437" w:type="pct"/>
            <w:gridSpan w:val="3"/>
            <w:tcBorders>
              <w:top w:val="nil"/>
              <w:left w:val="nil"/>
              <w:bottom w:val="single" w:sz="4" w:space="0" w:color="auto"/>
              <w:right w:val="dotted" w:sz="4" w:space="0" w:color="auto"/>
            </w:tcBorders>
            <w:shd w:val="clear" w:color="000000" w:fill="FFFFFF"/>
            <w:vAlign w:val="center"/>
            <w:hideMark/>
          </w:tcPr>
          <w:p w14:paraId="0CCCBD40" w14:textId="77777777" w:rsidR="00247CBF" w:rsidRPr="00092ED7" w:rsidRDefault="00247CBF" w:rsidP="00247CBF">
            <w:pPr>
              <w:spacing w:after="0"/>
              <w:jc w:val="right"/>
              <w:rPr>
                <w:sz w:val="20"/>
                <w:lang w:val="sr-Cyrl-CS"/>
              </w:rPr>
            </w:pPr>
            <w:r w:rsidRPr="00092ED7">
              <w:rPr>
                <w:sz w:val="20"/>
                <w:lang w:val="sr-Cyrl-CS"/>
              </w:rPr>
              <w:t>-3,8</w:t>
            </w:r>
          </w:p>
        </w:tc>
        <w:tc>
          <w:tcPr>
            <w:tcW w:w="437" w:type="pct"/>
            <w:gridSpan w:val="2"/>
            <w:tcBorders>
              <w:top w:val="nil"/>
              <w:left w:val="nil"/>
              <w:bottom w:val="single" w:sz="4" w:space="0" w:color="auto"/>
              <w:right w:val="dotted" w:sz="4" w:space="0" w:color="auto"/>
            </w:tcBorders>
            <w:shd w:val="clear" w:color="000000" w:fill="FFFFFF"/>
            <w:vAlign w:val="center"/>
            <w:hideMark/>
          </w:tcPr>
          <w:p w14:paraId="2584FF7E" w14:textId="77777777" w:rsidR="00247CBF" w:rsidRPr="00092ED7" w:rsidRDefault="00247CBF" w:rsidP="00247CBF">
            <w:pPr>
              <w:spacing w:after="0"/>
              <w:jc w:val="right"/>
              <w:rPr>
                <w:sz w:val="20"/>
                <w:lang w:val="sr-Cyrl-CS"/>
              </w:rPr>
            </w:pPr>
            <w:r w:rsidRPr="00092ED7">
              <w:rPr>
                <w:sz w:val="20"/>
                <w:lang w:val="sr-Cyrl-CS"/>
              </w:rPr>
              <w:t>-3,3</w:t>
            </w:r>
          </w:p>
        </w:tc>
        <w:tc>
          <w:tcPr>
            <w:tcW w:w="437" w:type="pct"/>
            <w:gridSpan w:val="2"/>
            <w:tcBorders>
              <w:top w:val="nil"/>
              <w:left w:val="nil"/>
              <w:bottom w:val="single" w:sz="4" w:space="0" w:color="auto"/>
              <w:right w:val="dotted" w:sz="4" w:space="0" w:color="auto"/>
            </w:tcBorders>
            <w:shd w:val="clear" w:color="000000" w:fill="FFFFFF"/>
            <w:vAlign w:val="center"/>
            <w:hideMark/>
          </w:tcPr>
          <w:p w14:paraId="7A4A43EF" w14:textId="77777777" w:rsidR="00247CBF" w:rsidRPr="00092ED7" w:rsidRDefault="00247CBF" w:rsidP="00247CBF">
            <w:pPr>
              <w:spacing w:after="0"/>
              <w:jc w:val="right"/>
              <w:rPr>
                <w:sz w:val="20"/>
                <w:lang w:val="sr-Cyrl-CS"/>
              </w:rPr>
            </w:pPr>
            <w:r w:rsidRPr="00092ED7">
              <w:rPr>
                <w:sz w:val="20"/>
                <w:lang w:val="sr-Cyrl-CS"/>
              </w:rPr>
              <w:t>-2,2</w:t>
            </w:r>
          </w:p>
        </w:tc>
        <w:tc>
          <w:tcPr>
            <w:tcW w:w="437" w:type="pct"/>
            <w:gridSpan w:val="2"/>
            <w:tcBorders>
              <w:top w:val="nil"/>
              <w:left w:val="nil"/>
              <w:bottom w:val="single" w:sz="4" w:space="0" w:color="auto"/>
              <w:right w:val="double" w:sz="6" w:space="0" w:color="auto"/>
            </w:tcBorders>
            <w:shd w:val="clear" w:color="000000" w:fill="FFFFFF"/>
            <w:vAlign w:val="center"/>
            <w:hideMark/>
          </w:tcPr>
          <w:p w14:paraId="0E1D2CC0" w14:textId="77777777" w:rsidR="00247CBF" w:rsidRPr="00092ED7" w:rsidRDefault="00247CBF" w:rsidP="00247CBF">
            <w:pPr>
              <w:spacing w:after="0"/>
              <w:jc w:val="right"/>
              <w:rPr>
                <w:sz w:val="20"/>
                <w:lang w:val="sr-Cyrl-CS"/>
              </w:rPr>
            </w:pPr>
            <w:r w:rsidRPr="00092ED7">
              <w:rPr>
                <w:sz w:val="20"/>
                <w:lang w:val="sr-Cyrl-CS"/>
              </w:rPr>
              <w:t>-1,4</w:t>
            </w:r>
          </w:p>
        </w:tc>
      </w:tr>
      <w:tr w:rsidR="00247CBF" w:rsidRPr="00092ED7" w14:paraId="32800583" w14:textId="77777777" w:rsidTr="00247CBF">
        <w:trPr>
          <w:gridBefore w:val="1"/>
          <w:wBefore w:w="8" w:type="pct"/>
          <w:trHeight w:val="266"/>
        </w:trPr>
        <w:tc>
          <w:tcPr>
            <w:tcW w:w="2225" w:type="pct"/>
            <w:gridSpan w:val="2"/>
            <w:tcBorders>
              <w:top w:val="single" w:sz="4" w:space="0" w:color="auto"/>
              <w:left w:val="double" w:sz="6" w:space="0" w:color="auto"/>
              <w:bottom w:val="double" w:sz="6" w:space="0" w:color="auto"/>
              <w:right w:val="dotted" w:sz="4" w:space="0" w:color="auto"/>
            </w:tcBorders>
            <w:shd w:val="clear" w:color="000000" w:fill="FFFFFF"/>
            <w:vAlign w:val="center"/>
            <w:hideMark/>
          </w:tcPr>
          <w:p w14:paraId="14D8F43A"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4. Статистичкo одступање</w:t>
            </w:r>
          </w:p>
        </w:tc>
        <w:tc>
          <w:tcPr>
            <w:tcW w:w="582" w:type="pct"/>
            <w:tcBorders>
              <w:top w:val="single" w:sz="4" w:space="0" w:color="auto"/>
              <w:left w:val="nil"/>
              <w:bottom w:val="double" w:sz="6" w:space="0" w:color="auto"/>
              <w:right w:val="single" w:sz="8" w:space="0" w:color="auto"/>
            </w:tcBorders>
            <w:shd w:val="clear" w:color="000000" w:fill="FFFFFF"/>
            <w:vAlign w:val="center"/>
            <w:hideMark/>
          </w:tcPr>
          <w:p w14:paraId="621E0C4A" w14:textId="77777777" w:rsidR="00247CBF" w:rsidRPr="00092ED7" w:rsidRDefault="00247CBF" w:rsidP="00247CBF">
            <w:pPr>
              <w:spacing w:after="0"/>
              <w:jc w:val="center"/>
              <w:rPr>
                <w:rFonts w:eastAsia="Times New Roman" w:cs="Times New Roman"/>
                <w:sz w:val="20"/>
                <w:szCs w:val="20"/>
                <w:lang w:val="sr-Cyrl-CS"/>
              </w:rPr>
            </w:pPr>
          </w:p>
        </w:tc>
        <w:tc>
          <w:tcPr>
            <w:tcW w:w="437" w:type="pct"/>
            <w:gridSpan w:val="2"/>
            <w:tcBorders>
              <w:top w:val="nil"/>
              <w:left w:val="nil"/>
              <w:bottom w:val="double" w:sz="6" w:space="0" w:color="auto"/>
              <w:right w:val="dotted" w:sz="4" w:space="0" w:color="auto"/>
            </w:tcBorders>
            <w:shd w:val="clear" w:color="000000" w:fill="FFFFFF"/>
            <w:vAlign w:val="center"/>
            <w:hideMark/>
          </w:tcPr>
          <w:p w14:paraId="35CA6E11" w14:textId="77777777" w:rsidR="00247CBF" w:rsidRPr="00092ED7" w:rsidRDefault="00247CBF" w:rsidP="00247CBF">
            <w:pPr>
              <w:spacing w:after="0"/>
              <w:jc w:val="right"/>
              <w:rPr>
                <w:sz w:val="20"/>
                <w:lang w:val="sr-Cyrl-CS"/>
              </w:rPr>
            </w:pPr>
            <w:r w:rsidRPr="00092ED7">
              <w:rPr>
                <w:sz w:val="20"/>
                <w:lang w:val="sr-Cyrl-CS"/>
              </w:rPr>
              <w:t>0,0</w:t>
            </w:r>
          </w:p>
        </w:tc>
        <w:tc>
          <w:tcPr>
            <w:tcW w:w="437" w:type="pct"/>
            <w:gridSpan w:val="3"/>
            <w:tcBorders>
              <w:top w:val="nil"/>
              <w:left w:val="nil"/>
              <w:bottom w:val="double" w:sz="6" w:space="0" w:color="auto"/>
              <w:right w:val="dotted" w:sz="4" w:space="0" w:color="auto"/>
            </w:tcBorders>
            <w:shd w:val="clear" w:color="000000" w:fill="FFFFFF"/>
            <w:vAlign w:val="center"/>
            <w:hideMark/>
          </w:tcPr>
          <w:p w14:paraId="31ED4D54" w14:textId="77777777" w:rsidR="00247CBF" w:rsidRPr="00092ED7" w:rsidRDefault="00247CBF" w:rsidP="00247CBF">
            <w:pPr>
              <w:spacing w:after="0"/>
              <w:jc w:val="right"/>
              <w:rPr>
                <w:sz w:val="20"/>
                <w:lang w:val="sr-Cyrl-CS"/>
              </w:rPr>
            </w:pPr>
            <w:r w:rsidRPr="00092ED7">
              <w:rPr>
                <w:sz w:val="20"/>
                <w:lang w:val="sr-Cyrl-CS"/>
              </w:rPr>
              <w:t>0,0</w:t>
            </w:r>
          </w:p>
        </w:tc>
        <w:tc>
          <w:tcPr>
            <w:tcW w:w="437" w:type="pct"/>
            <w:gridSpan w:val="2"/>
            <w:tcBorders>
              <w:top w:val="nil"/>
              <w:left w:val="nil"/>
              <w:bottom w:val="double" w:sz="6" w:space="0" w:color="auto"/>
              <w:right w:val="dotted" w:sz="4" w:space="0" w:color="auto"/>
            </w:tcBorders>
            <w:shd w:val="clear" w:color="000000" w:fill="FFFFFF"/>
            <w:vAlign w:val="center"/>
            <w:hideMark/>
          </w:tcPr>
          <w:p w14:paraId="77BC7078" w14:textId="77777777" w:rsidR="00247CBF" w:rsidRPr="00092ED7" w:rsidRDefault="00247CBF" w:rsidP="00247CBF">
            <w:pPr>
              <w:spacing w:after="0"/>
              <w:jc w:val="right"/>
              <w:rPr>
                <w:sz w:val="20"/>
                <w:lang w:val="sr-Cyrl-CS"/>
              </w:rPr>
            </w:pPr>
            <w:r w:rsidRPr="00092ED7">
              <w:rPr>
                <w:sz w:val="20"/>
                <w:lang w:val="sr-Cyrl-CS"/>
              </w:rPr>
              <w:t>0,0</w:t>
            </w:r>
          </w:p>
        </w:tc>
        <w:tc>
          <w:tcPr>
            <w:tcW w:w="437" w:type="pct"/>
            <w:gridSpan w:val="2"/>
            <w:tcBorders>
              <w:top w:val="nil"/>
              <w:left w:val="nil"/>
              <w:bottom w:val="double" w:sz="6" w:space="0" w:color="auto"/>
              <w:right w:val="dotted" w:sz="4" w:space="0" w:color="auto"/>
            </w:tcBorders>
            <w:shd w:val="clear" w:color="000000" w:fill="FFFFFF"/>
            <w:vAlign w:val="center"/>
            <w:hideMark/>
          </w:tcPr>
          <w:p w14:paraId="1333AD73" w14:textId="77777777" w:rsidR="00247CBF" w:rsidRPr="00092ED7" w:rsidRDefault="00247CBF" w:rsidP="00247CBF">
            <w:pPr>
              <w:spacing w:after="0"/>
              <w:jc w:val="right"/>
              <w:rPr>
                <w:sz w:val="20"/>
                <w:lang w:val="sr-Cyrl-CS"/>
              </w:rPr>
            </w:pPr>
            <w:r w:rsidRPr="00092ED7">
              <w:rPr>
                <w:sz w:val="20"/>
                <w:lang w:val="sr-Cyrl-CS"/>
              </w:rPr>
              <w:t>0,0</w:t>
            </w:r>
          </w:p>
        </w:tc>
        <w:tc>
          <w:tcPr>
            <w:tcW w:w="437" w:type="pct"/>
            <w:gridSpan w:val="2"/>
            <w:tcBorders>
              <w:top w:val="nil"/>
              <w:left w:val="nil"/>
              <w:bottom w:val="double" w:sz="6" w:space="0" w:color="auto"/>
              <w:right w:val="double" w:sz="6" w:space="0" w:color="auto"/>
            </w:tcBorders>
            <w:shd w:val="clear" w:color="000000" w:fill="FFFFFF"/>
            <w:vAlign w:val="center"/>
            <w:hideMark/>
          </w:tcPr>
          <w:p w14:paraId="4091C003" w14:textId="77777777" w:rsidR="00247CBF" w:rsidRPr="00092ED7" w:rsidRDefault="00247CBF" w:rsidP="00247CBF">
            <w:pPr>
              <w:spacing w:after="0"/>
              <w:jc w:val="right"/>
              <w:rPr>
                <w:sz w:val="20"/>
                <w:lang w:val="sr-Cyrl-CS"/>
              </w:rPr>
            </w:pPr>
            <w:r w:rsidRPr="00092ED7">
              <w:rPr>
                <w:sz w:val="20"/>
                <w:lang w:val="sr-Cyrl-CS"/>
              </w:rPr>
              <w:t>-0,6</w:t>
            </w:r>
          </w:p>
        </w:tc>
      </w:tr>
    </w:tbl>
    <w:p w14:paraId="746044EF" w14:textId="77777777" w:rsidR="00247CBF" w:rsidRPr="00092ED7" w:rsidRDefault="00247CBF" w:rsidP="00247CBF">
      <w:pPr>
        <w:rPr>
          <w:rFonts w:cs="Times New Roman"/>
          <w:lang w:val="sr-Cyrl-CS"/>
        </w:rPr>
      </w:pPr>
    </w:p>
    <w:p w14:paraId="2C417691" w14:textId="77777777" w:rsidR="00247CBF" w:rsidRPr="00092ED7" w:rsidRDefault="00247CBF" w:rsidP="00247CBF">
      <w:pPr>
        <w:rPr>
          <w:rFonts w:cs="Times New Roman"/>
          <w:lang w:val="sr-Cyrl-CS"/>
        </w:rPr>
      </w:pPr>
    </w:p>
    <w:tbl>
      <w:tblPr>
        <w:tblW w:w="5011" w:type="pct"/>
        <w:tblLook w:val="04A0" w:firstRow="1" w:lastRow="0" w:firstColumn="1" w:lastColumn="0" w:noHBand="0" w:noVBand="1"/>
      </w:tblPr>
      <w:tblGrid>
        <w:gridCol w:w="24"/>
        <w:gridCol w:w="6075"/>
        <w:gridCol w:w="1416"/>
        <w:gridCol w:w="1308"/>
        <w:gridCol w:w="111"/>
        <w:gridCol w:w="1075"/>
        <w:gridCol w:w="342"/>
        <w:gridCol w:w="844"/>
        <w:gridCol w:w="575"/>
        <w:gridCol w:w="610"/>
        <w:gridCol w:w="806"/>
        <w:gridCol w:w="1384"/>
        <w:gridCol w:w="32"/>
      </w:tblGrid>
      <w:tr w:rsidR="00247CBF" w:rsidRPr="00092ED7" w14:paraId="35384200" w14:textId="77777777" w:rsidTr="00247CBF">
        <w:trPr>
          <w:gridAfter w:val="1"/>
          <w:wAfter w:w="11" w:type="pct"/>
          <w:trHeight w:val="315"/>
        </w:trPr>
        <w:tc>
          <w:tcPr>
            <w:tcW w:w="2573" w:type="pct"/>
            <w:gridSpan w:val="3"/>
            <w:tcBorders>
              <w:top w:val="nil"/>
              <w:left w:val="nil"/>
              <w:bottom w:val="nil"/>
              <w:right w:val="nil"/>
            </w:tcBorders>
            <w:shd w:val="clear" w:color="000000" w:fill="FFFFFF"/>
            <w:noWrap/>
            <w:vAlign w:val="bottom"/>
            <w:hideMark/>
          </w:tcPr>
          <w:p w14:paraId="666E6853" w14:textId="77777777" w:rsidR="00247CBF" w:rsidRPr="00092ED7" w:rsidRDefault="00247CBF" w:rsidP="00247CBF">
            <w:pPr>
              <w:spacing w:after="0"/>
              <w:rPr>
                <w:rFonts w:eastAsia="Times New Roman" w:cs="Times New Roman"/>
                <w:b/>
                <w:bCs/>
                <w:sz w:val="20"/>
                <w:szCs w:val="20"/>
                <w:lang w:val="sr-Cyrl-CS"/>
              </w:rPr>
            </w:pPr>
            <w:r w:rsidRPr="00092ED7">
              <w:rPr>
                <w:rFonts w:eastAsia="Times New Roman" w:cs="Times New Roman"/>
                <w:b/>
                <w:bCs/>
                <w:sz w:val="20"/>
                <w:szCs w:val="20"/>
                <w:lang w:val="sr-Cyrl-CS"/>
              </w:rPr>
              <w:t>Табела 1e: БДП, инвестиције и бруто додата вредност</w:t>
            </w:r>
          </w:p>
        </w:tc>
        <w:tc>
          <w:tcPr>
            <w:tcW w:w="448" w:type="pct"/>
            <w:tcBorders>
              <w:top w:val="nil"/>
              <w:left w:val="nil"/>
              <w:bottom w:val="nil"/>
              <w:right w:val="nil"/>
            </w:tcBorders>
            <w:shd w:val="clear" w:color="000000" w:fill="FFFFFF"/>
            <w:noWrap/>
            <w:vAlign w:val="bottom"/>
            <w:hideMark/>
          </w:tcPr>
          <w:p w14:paraId="34A51537"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406" w:type="pct"/>
            <w:gridSpan w:val="2"/>
            <w:tcBorders>
              <w:top w:val="nil"/>
              <w:left w:val="nil"/>
              <w:bottom w:val="nil"/>
              <w:right w:val="nil"/>
            </w:tcBorders>
            <w:shd w:val="clear" w:color="000000" w:fill="FFFFFF"/>
            <w:noWrap/>
            <w:vAlign w:val="bottom"/>
            <w:hideMark/>
          </w:tcPr>
          <w:p w14:paraId="3C2BA963"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406" w:type="pct"/>
            <w:gridSpan w:val="2"/>
            <w:tcBorders>
              <w:top w:val="nil"/>
              <w:left w:val="nil"/>
              <w:bottom w:val="nil"/>
              <w:right w:val="nil"/>
            </w:tcBorders>
            <w:shd w:val="clear" w:color="000000" w:fill="FFFFFF"/>
            <w:noWrap/>
            <w:vAlign w:val="bottom"/>
            <w:hideMark/>
          </w:tcPr>
          <w:p w14:paraId="720DFC99"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406" w:type="pct"/>
            <w:gridSpan w:val="2"/>
            <w:tcBorders>
              <w:top w:val="nil"/>
              <w:left w:val="nil"/>
              <w:bottom w:val="nil"/>
              <w:right w:val="nil"/>
            </w:tcBorders>
            <w:shd w:val="clear" w:color="000000" w:fill="FFFFFF"/>
            <w:noWrap/>
            <w:vAlign w:val="bottom"/>
            <w:hideMark/>
          </w:tcPr>
          <w:p w14:paraId="1DA07E48"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750" w:type="pct"/>
            <w:gridSpan w:val="2"/>
            <w:tcBorders>
              <w:top w:val="nil"/>
              <w:left w:val="nil"/>
              <w:bottom w:val="nil"/>
              <w:right w:val="nil"/>
            </w:tcBorders>
            <w:shd w:val="clear" w:color="000000" w:fill="FFFFFF"/>
            <w:noWrap/>
            <w:vAlign w:val="bottom"/>
            <w:hideMark/>
          </w:tcPr>
          <w:p w14:paraId="31195E02"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b/>
                <w:bCs/>
                <w:sz w:val="20"/>
                <w:szCs w:val="20"/>
                <w:lang w:val="sr-Cyrl-CS"/>
              </w:rPr>
              <w:t>Република Србија</w:t>
            </w:r>
          </w:p>
        </w:tc>
      </w:tr>
      <w:tr w:rsidR="00247CBF" w:rsidRPr="00092ED7" w14:paraId="2FEA1245" w14:textId="77777777" w:rsidTr="00247CBF">
        <w:trPr>
          <w:gridBefore w:val="1"/>
          <w:wBefore w:w="8" w:type="pct"/>
          <w:trHeight w:val="280"/>
        </w:trPr>
        <w:tc>
          <w:tcPr>
            <w:tcW w:w="2080" w:type="pct"/>
            <w:tcBorders>
              <w:top w:val="double" w:sz="6" w:space="0" w:color="auto"/>
              <w:left w:val="double" w:sz="6" w:space="0" w:color="auto"/>
              <w:bottom w:val="nil"/>
              <w:right w:val="dotted" w:sz="4" w:space="0" w:color="auto"/>
            </w:tcBorders>
            <w:shd w:val="clear" w:color="000000" w:fill="FFFFFF"/>
            <w:vAlign w:val="bottom"/>
            <w:hideMark/>
          </w:tcPr>
          <w:p w14:paraId="4A48DA95" w14:textId="77777777" w:rsidR="00247CBF" w:rsidRPr="00092ED7" w:rsidRDefault="00247CBF" w:rsidP="00247CBF">
            <w:pPr>
              <w:spacing w:after="0"/>
              <w:rPr>
                <w:rFonts w:eastAsia="Times New Roman" w:cs="Times New Roman"/>
                <w:sz w:val="20"/>
                <w:szCs w:val="20"/>
                <w:lang w:val="sr-Cyrl-CS"/>
              </w:rPr>
            </w:pPr>
          </w:p>
        </w:tc>
        <w:tc>
          <w:tcPr>
            <w:tcW w:w="485" w:type="pct"/>
            <w:vMerge w:val="restart"/>
            <w:tcBorders>
              <w:top w:val="double" w:sz="6" w:space="0" w:color="auto"/>
              <w:left w:val="nil"/>
              <w:right w:val="double" w:sz="6" w:space="0" w:color="auto"/>
            </w:tcBorders>
            <w:shd w:val="clear" w:color="000000" w:fill="FFFFFF"/>
            <w:vAlign w:val="center"/>
            <w:hideMark/>
          </w:tcPr>
          <w:p w14:paraId="67F66523"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ESA шифра</w:t>
            </w:r>
          </w:p>
        </w:tc>
        <w:tc>
          <w:tcPr>
            <w:tcW w:w="486" w:type="pct"/>
            <w:gridSpan w:val="2"/>
            <w:tcBorders>
              <w:top w:val="double" w:sz="6" w:space="0" w:color="auto"/>
              <w:left w:val="nil"/>
              <w:bottom w:val="nil"/>
              <w:right w:val="dotted" w:sz="4" w:space="0" w:color="auto"/>
            </w:tcBorders>
            <w:shd w:val="clear" w:color="000000" w:fill="FFFFFF"/>
            <w:vAlign w:val="center"/>
            <w:hideMark/>
          </w:tcPr>
          <w:p w14:paraId="7292D5D7" w14:textId="77777777" w:rsidR="00247CBF" w:rsidRPr="00092ED7" w:rsidRDefault="00247CBF" w:rsidP="00247CBF">
            <w:pPr>
              <w:spacing w:after="0"/>
              <w:jc w:val="center"/>
              <w:rPr>
                <w:sz w:val="20"/>
                <w:lang w:val="sr-Cyrl-CS"/>
              </w:rPr>
            </w:pPr>
            <w:r w:rsidRPr="00092ED7">
              <w:rPr>
                <w:sz w:val="20"/>
                <w:lang w:val="sr-Cyrl-CS"/>
              </w:rPr>
              <w:t>Година</w:t>
            </w:r>
          </w:p>
        </w:tc>
        <w:tc>
          <w:tcPr>
            <w:tcW w:w="485" w:type="pct"/>
            <w:gridSpan w:val="2"/>
            <w:tcBorders>
              <w:top w:val="double" w:sz="6" w:space="0" w:color="auto"/>
              <w:left w:val="nil"/>
              <w:bottom w:val="nil"/>
              <w:right w:val="dotted" w:sz="4" w:space="0" w:color="auto"/>
            </w:tcBorders>
            <w:shd w:val="clear" w:color="000000" w:fill="FFFFFF"/>
            <w:vAlign w:val="center"/>
            <w:hideMark/>
          </w:tcPr>
          <w:p w14:paraId="0622890D" w14:textId="77777777" w:rsidR="00247CBF" w:rsidRPr="00092ED7" w:rsidRDefault="00247CBF" w:rsidP="00247CBF">
            <w:pPr>
              <w:spacing w:after="0"/>
              <w:jc w:val="center"/>
              <w:rPr>
                <w:sz w:val="20"/>
                <w:lang w:val="sr-Cyrl-CS"/>
              </w:rPr>
            </w:pPr>
            <w:r w:rsidRPr="00092ED7">
              <w:rPr>
                <w:sz w:val="20"/>
                <w:lang w:val="sr-Cyrl-CS"/>
              </w:rPr>
              <w:t>Година</w:t>
            </w:r>
          </w:p>
        </w:tc>
        <w:tc>
          <w:tcPr>
            <w:tcW w:w="486" w:type="pct"/>
            <w:gridSpan w:val="2"/>
            <w:tcBorders>
              <w:top w:val="double" w:sz="6" w:space="0" w:color="auto"/>
              <w:left w:val="nil"/>
              <w:bottom w:val="nil"/>
              <w:right w:val="dotted" w:sz="4" w:space="0" w:color="auto"/>
            </w:tcBorders>
            <w:shd w:val="clear" w:color="000000" w:fill="FFFFFF"/>
            <w:vAlign w:val="center"/>
            <w:hideMark/>
          </w:tcPr>
          <w:p w14:paraId="75F07995" w14:textId="77777777" w:rsidR="00247CBF" w:rsidRPr="00092ED7" w:rsidRDefault="00247CBF" w:rsidP="00247CBF">
            <w:pPr>
              <w:spacing w:after="0"/>
              <w:jc w:val="center"/>
              <w:rPr>
                <w:sz w:val="20"/>
                <w:lang w:val="sr-Cyrl-CS"/>
              </w:rPr>
            </w:pPr>
            <w:r w:rsidRPr="00092ED7">
              <w:rPr>
                <w:sz w:val="20"/>
                <w:lang w:val="sr-Cyrl-CS"/>
              </w:rPr>
              <w:t>Година</w:t>
            </w:r>
          </w:p>
        </w:tc>
        <w:tc>
          <w:tcPr>
            <w:tcW w:w="485" w:type="pct"/>
            <w:gridSpan w:val="2"/>
            <w:tcBorders>
              <w:top w:val="double" w:sz="6" w:space="0" w:color="auto"/>
              <w:left w:val="nil"/>
              <w:bottom w:val="nil"/>
              <w:right w:val="dotted" w:sz="4" w:space="0" w:color="auto"/>
            </w:tcBorders>
            <w:shd w:val="clear" w:color="000000" w:fill="FFFFFF"/>
            <w:vAlign w:val="center"/>
            <w:hideMark/>
          </w:tcPr>
          <w:p w14:paraId="25753C5F" w14:textId="77777777" w:rsidR="00247CBF" w:rsidRPr="00092ED7" w:rsidRDefault="00247CBF" w:rsidP="00247CBF">
            <w:pPr>
              <w:spacing w:after="0"/>
              <w:jc w:val="center"/>
              <w:rPr>
                <w:sz w:val="20"/>
                <w:lang w:val="sr-Cyrl-CS"/>
              </w:rPr>
            </w:pPr>
            <w:r w:rsidRPr="00092ED7">
              <w:rPr>
                <w:sz w:val="20"/>
                <w:lang w:val="sr-Cyrl-CS"/>
              </w:rPr>
              <w:t>Година</w:t>
            </w:r>
          </w:p>
        </w:tc>
        <w:tc>
          <w:tcPr>
            <w:tcW w:w="485" w:type="pct"/>
            <w:gridSpan w:val="2"/>
            <w:tcBorders>
              <w:top w:val="double" w:sz="6" w:space="0" w:color="auto"/>
              <w:left w:val="nil"/>
              <w:bottom w:val="nil"/>
              <w:right w:val="double" w:sz="6" w:space="0" w:color="auto"/>
            </w:tcBorders>
            <w:shd w:val="clear" w:color="000000" w:fill="FFFFFF"/>
            <w:vAlign w:val="center"/>
            <w:hideMark/>
          </w:tcPr>
          <w:p w14:paraId="1D99CA14" w14:textId="77777777" w:rsidR="00247CBF" w:rsidRPr="00092ED7" w:rsidRDefault="00247CBF" w:rsidP="00247CBF">
            <w:pPr>
              <w:spacing w:after="0"/>
              <w:jc w:val="center"/>
              <w:rPr>
                <w:sz w:val="20"/>
                <w:lang w:val="sr-Cyrl-CS"/>
              </w:rPr>
            </w:pPr>
            <w:r w:rsidRPr="00092ED7">
              <w:rPr>
                <w:sz w:val="20"/>
                <w:lang w:val="sr-Cyrl-CS"/>
              </w:rPr>
              <w:t>Година</w:t>
            </w:r>
          </w:p>
        </w:tc>
      </w:tr>
      <w:tr w:rsidR="00247CBF" w:rsidRPr="00092ED7" w14:paraId="25D68097" w14:textId="77777777" w:rsidTr="00247CBF">
        <w:trPr>
          <w:gridBefore w:val="1"/>
          <w:wBefore w:w="8" w:type="pct"/>
          <w:trHeight w:val="70"/>
        </w:trPr>
        <w:tc>
          <w:tcPr>
            <w:tcW w:w="2080" w:type="pct"/>
            <w:tcBorders>
              <w:top w:val="nil"/>
              <w:left w:val="double" w:sz="6" w:space="0" w:color="auto"/>
              <w:bottom w:val="nil"/>
              <w:right w:val="dotted" w:sz="4" w:space="0" w:color="auto"/>
            </w:tcBorders>
            <w:shd w:val="clear" w:color="000000" w:fill="FFFFFF"/>
            <w:vAlign w:val="bottom"/>
            <w:hideMark/>
          </w:tcPr>
          <w:p w14:paraId="41CBB2F7" w14:textId="77777777" w:rsidR="00247CBF" w:rsidRPr="00092ED7" w:rsidRDefault="00247CBF" w:rsidP="00247CBF">
            <w:pPr>
              <w:spacing w:after="0"/>
              <w:rPr>
                <w:rFonts w:eastAsia="Times New Roman" w:cs="Times New Roman"/>
                <w:sz w:val="20"/>
                <w:szCs w:val="20"/>
                <w:lang w:val="sr-Cyrl-CS"/>
              </w:rPr>
            </w:pPr>
          </w:p>
        </w:tc>
        <w:tc>
          <w:tcPr>
            <w:tcW w:w="485" w:type="pct"/>
            <w:vMerge/>
            <w:tcBorders>
              <w:left w:val="nil"/>
              <w:bottom w:val="nil"/>
              <w:right w:val="double" w:sz="6" w:space="0" w:color="auto"/>
            </w:tcBorders>
            <w:shd w:val="clear" w:color="000000" w:fill="FFFFFF"/>
            <w:vAlign w:val="bottom"/>
            <w:hideMark/>
          </w:tcPr>
          <w:p w14:paraId="3E9D75A9" w14:textId="77777777" w:rsidR="00247CBF" w:rsidRPr="00092ED7" w:rsidRDefault="00247CBF" w:rsidP="00247CBF">
            <w:pPr>
              <w:spacing w:after="0"/>
              <w:rPr>
                <w:rFonts w:eastAsia="Times New Roman" w:cs="Times New Roman"/>
                <w:sz w:val="20"/>
                <w:szCs w:val="20"/>
                <w:lang w:val="sr-Cyrl-CS"/>
              </w:rPr>
            </w:pPr>
          </w:p>
        </w:tc>
        <w:tc>
          <w:tcPr>
            <w:tcW w:w="486" w:type="pct"/>
            <w:gridSpan w:val="2"/>
            <w:tcBorders>
              <w:top w:val="nil"/>
              <w:left w:val="nil"/>
              <w:bottom w:val="nil"/>
              <w:right w:val="dotted" w:sz="4" w:space="0" w:color="auto"/>
            </w:tcBorders>
            <w:shd w:val="clear" w:color="000000" w:fill="FFFFFF"/>
            <w:vAlign w:val="center"/>
            <w:hideMark/>
          </w:tcPr>
          <w:p w14:paraId="39B7BC9F" w14:textId="77777777" w:rsidR="00247CBF" w:rsidRPr="00092ED7" w:rsidRDefault="00247CBF" w:rsidP="00247CBF">
            <w:pPr>
              <w:spacing w:after="0"/>
              <w:jc w:val="center"/>
              <w:rPr>
                <w:sz w:val="20"/>
                <w:szCs w:val="20"/>
                <w:lang w:val="sr-Cyrl-CS"/>
              </w:rPr>
            </w:pPr>
            <w:r w:rsidRPr="00092ED7">
              <w:rPr>
                <w:sz w:val="20"/>
                <w:szCs w:val="20"/>
                <w:lang w:val="sr-Cyrl-CS"/>
              </w:rPr>
              <w:t>2021</w:t>
            </w:r>
          </w:p>
        </w:tc>
        <w:tc>
          <w:tcPr>
            <w:tcW w:w="485" w:type="pct"/>
            <w:gridSpan w:val="2"/>
            <w:tcBorders>
              <w:top w:val="nil"/>
              <w:left w:val="nil"/>
              <w:bottom w:val="nil"/>
              <w:right w:val="dotted" w:sz="4" w:space="0" w:color="auto"/>
            </w:tcBorders>
            <w:shd w:val="clear" w:color="000000" w:fill="FFFFFF"/>
            <w:vAlign w:val="center"/>
            <w:hideMark/>
          </w:tcPr>
          <w:p w14:paraId="58CBECA3" w14:textId="77777777" w:rsidR="00247CBF" w:rsidRPr="00092ED7" w:rsidRDefault="00247CBF" w:rsidP="00247CBF">
            <w:pPr>
              <w:spacing w:after="0"/>
              <w:jc w:val="center"/>
              <w:rPr>
                <w:sz w:val="20"/>
                <w:szCs w:val="20"/>
                <w:lang w:val="sr-Cyrl-CS"/>
              </w:rPr>
            </w:pPr>
            <w:r w:rsidRPr="00092ED7">
              <w:rPr>
                <w:sz w:val="20"/>
                <w:szCs w:val="20"/>
                <w:lang w:val="sr-Cyrl-CS"/>
              </w:rPr>
              <w:t>2022</w:t>
            </w:r>
          </w:p>
        </w:tc>
        <w:tc>
          <w:tcPr>
            <w:tcW w:w="486" w:type="pct"/>
            <w:gridSpan w:val="2"/>
            <w:tcBorders>
              <w:top w:val="nil"/>
              <w:left w:val="nil"/>
              <w:bottom w:val="nil"/>
              <w:right w:val="dotted" w:sz="4" w:space="0" w:color="auto"/>
            </w:tcBorders>
            <w:shd w:val="clear" w:color="000000" w:fill="FFFFFF"/>
            <w:vAlign w:val="center"/>
            <w:hideMark/>
          </w:tcPr>
          <w:p w14:paraId="224210FE" w14:textId="77777777" w:rsidR="00247CBF" w:rsidRPr="00092ED7" w:rsidRDefault="00247CBF" w:rsidP="00247CBF">
            <w:pPr>
              <w:spacing w:after="0"/>
              <w:jc w:val="center"/>
              <w:rPr>
                <w:sz w:val="20"/>
                <w:szCs w:val="20"/>
                <w:lang w:val="sr-Cyrl-CS"/>
              </w:rPr>
            </w:pPr>
            <w:r w:rsidRPr="00092ED7">
              <w:rPr>
                <w:sz w:val="20"/>
                <w:szCs w:val="20"/>
                <w:lang w:val="sr-Cyrl-CS"/>
              </w:rPr>
              <w:t>2023</w:t>
            </w:r>
          </w:p>
        </w:tc>
        <w:tc>
          <w:tcPr>
            <w:tcW w:w="485" w:type="pct"/>
            <w:gridSpan w:val="2"/>
            <w:tcBorders>
              <w:top w:val="nil"/>
              <w:left w:val="nil"/>
              <w:bottom w:val="nil"/>
              <w:right w:val="dotted" w:sz="4" w:space="0" w:color="auto"/>
            </w:tcBorders>
            <w:shd w:val="clear" w:color="000000" w:fill="FFFFFF"/>
            <w:vAlign w:val="center"/>
            <w:hideMark/>
          </w:tcPr>
          <w:p w14:paraId="5B92A9B4" w14:textId="77777777" w:rsidR="00247CBF" w:rsidRPr="00092ED7" w:rsidRDefault="00247CBF" w:rsidP="00247CBF">
            <w:pPr>
              <w:spacing w:after="0"/>
              <w:jc w:val="center"/>
              <w:rPr>
                <w:sz w:val="20"/>
                <w:szCs w:val="20"/>
                <w:lang w:val="sr-Cyrl-CS"/>
              </w:rPr>
            </w:pPr>
            <w:r w:rsidRPr="00092ED7">
              <w:rPr>
                <w:sz w:val="20"/>
                <w:szCs w:val="20"/>
                <w:lang w:val="sr-Cyrl-CS"/>
              </w:rPr>
              <w:t>2024</w:t>
            </w:r>
          </w:p>
        </w:tc>
        <w:tc>
          <w:tcPr>
            <w:tcW w:w="485" w:type="pct"/>
            <w:gridSpan w:val="2"/>
            <w:tcBorders>
              <w:top w:val="nil"/>
              <w:left w:val="nil"/>
              <w:bottom w:val="nil"/>
              <w:right w:val="double" w:sz="6" w:space="0" w:color="auto"/>
            </w:tcBorders>
            <w:shd w:val="clear" w:color="000000" w:fill="FFFFFF"/>
            <w:vAlign w:val="center"/>
            <w:hideMark/>
          </w:tcPr>
          <w:p w14:paraId="24853888" w14:textId="77777777" w:rsidR="00247CBF" w:rsidRPr="00092ED7" w:rsidRDefault="00247CBF" w:rsidP="00247CBF">
            <w:pPr>
              <w:spacing w:after="0"/>
              <w:jc w:val="center"/>
              <w:rPr>
                <w:sz w:val="20"/>
                <w:szCs w:val="20"/>
                <w:lang w:val="sr-Cyrl-CS"/>
              </w:rPr>
            </w:pPr>
            <w:r w:rsidRPr="00092ED7">
              <w:rPr>
                <w:sz w:val="20"/>
                <w:szCs w:val="20"/>
                <w:lang w:val="sr-Cyrl-CS"/>
              </w:rPr>
              <w:t>2025</w:t>
            </w:r>
          </w:p>
        </w:tc>
      </w:tr>
      <w:tr w:rsidR="00247CBF" w:rsidRPr="00092ED7" w14:paraId="4A87AD90" w14:textId="77777777" w:rsidTr="00247CBF">
        <w:trPr>
          <w:gridBefore w:val="1"/>
          <w:wBefore w:w="8" w:type="pct"/>
          <w:trHeight w:val="255"/>
        </w:trPr>
        <w:tc>
          <w:tcPr>
            <w:tcW w:w="4992" w:type="pct"/>
            <w:gridSpan w:val="12"/>
            <w:tcBorders>
              <w:top w:val="single" w:sz="4" w:space="0" w:color="auto"/>
              <w:left w:val="double" w:sz="6" w:space="0" w:color="auto"/>
              <w:bottom w:val="single" w:sz="4" w:space="0" w:color="auto"/>
              <w:right w:val="double" w:sz="6" w:space="0" w:color="000000"/>
            </w:tcBorders>
            <w:shd w:val="clear" w:color="000000" w:fill="FFFFFF"/>
            <w:vAlign w:val="center"/>
            <w:hideMark/>
          </w:tcPr>
          <w:p w14:paraId="310FE9C3" w14:textId="77777777" w:rsidR="00247CBF" w:rsidRPr="00092ED7" w:rsidRDefault="00247CBF" w:rsidP="00247CBF">
            <w:pPr>
              <w:spacing w:after="0"/>
              <w:jc w:val="center"/>
              <w:rPr>
                <w:rFonts w:eastAsia="Times New Roman" w:cs="Times New Roman"/>
                <w:b/>
                <w:bCs/>
                <w:sz w:val="20"/>
                <w:szCs w:val="20"/>
                <w:lang w:val="sr-Cyrl-CS"/>
              </w:rPr>
            </w:pPr>
            <w:r w:rsidRPr="00092ED7">
              <w:rPr>
                <w:rFonts w:eastAsia="Times New Roman" w:cs="Times New Roman"/>
                <w:b/>
                <w:bCs/>
                <w:sz w:val="20"/>
                <w:szCs w:val="20"/>
                <w:lang w:val="sr-Cyrl-CS"/>
              </w:rPr>
              <w:t>БДП и инвестиције</w:t>
            </w:r>
          </w:p>
        </w:tc>
      </w:tr>
      <w:tr w:rsidR="00247CBF" w:rsidRPr="00092ED7" w14:paraId="64E0EA25" w14:textId="77777777" w:rsidTr="00247CBF">
        <w:trPr>
          <w:gridBefore w:val="1"/>
          <w:wBefore w:w="8" w:type="pct"/>
          <w:trHeight w:val="390"/>
        </w:trPr>
        <w:tc>
          <w:tcPr>
            <w:tcW w:w="2080" w:type="pct"/>
            <w:tcBorders>
              <w:top w:val="nil"/>
              <w:left w:val="double" w:sz="6" w:space="0" w:color="auto"/>
              <w:bottom w:val="dotted" w:sz="4" w:space="0" w:color="auto"/>
              <w:right w:val="dotted" w:sz="4" w:space="0" w:color="auto"/>
            </w:tcBorders>
            <w:shd w:val="clear" w:color="000000" w:fill="FFFFFF"/>
            <w:vAlign w:val="center"/>
            <w:hideMark/>
          </w:tcPr>
          <w:p w14:paraId="521A5157" w14:textId="77777777" w:rsidR="00247CBF" w:rsidRPr="00092ED7" w:rsidRDefault="00247CBF" w:rsidP="00247CBF">
            <w:pPr>
              <w:spacing w:after="0"/>
              <w:jc w:val="left"/>
              <w:rPr>
                <w:rFonts w:eastAsia="Times New Roman" w:cs="Times New Roman"/>
                <w:sz w:val="20"/>
                <w:szCs w:val="20"/>
                <w:lang w:val="sr-Cyrl-CS"/>
              </w:rPr>
            </w:pPr>
            <w:r w:rsidRPr="00092ED7">
              <w:rPr>
                <w:rFonts w:eastAsia="Times New Roman" w:cs="Times New Roman"/>
                <w:sz w:val="20"/>
                <w:szCs w:val="20"/>
                <w:lang w:val="sr-Cyrl-CS"/>
              </w:rPr>
              <w:t>Висина БДП-а по текућим тржишним ценама (у домаћој валути)</w:t>
            </w:r>
          </w:p>
        </w:tc>
        <w:tc>
          <w:tcPr>
            <w:tcW w:w="485" w:type="pct"/>
            <w:tcBorders>
              <w:top w:val="nil"/>
              <w:left w:val="nil"/>
              <w:bottom w:val="dotted" w:sz="4" w:space="0" w:color="auto"/>
              <w:right w:val="nil"/>
            </w:tcBorders>
            <w:shd w:val="clear" w:color="000000" w:fill="FFFFFF"/>
            <w:vAlign w:val="center"/>
            <w:hideMark/>
          </w:tcPr>
          <w:p w14:paraId="56AF6340" w14:textId="77777777" w:rsidR="00247CBF" w:rsidRPr="00092ED7" w:rsidRDefault="00247CBF" w:rsidP="00247CBF">
            <w:pPr>
              <w:spacing w:after="0"/>
              <w:jc w:val="right"/>
              <w:rPr>
                <w:rFonts w:eastAsia="Times New Roman" w:cs="Times New Roman"/>
                <w:sz w:val="20"/>
                <w:szCs w:val="20"/>
                <w:lang w:val="sr-Cyrl-CS"/>
              </w:rPr>
            </w:pPr>
            <w:r w:rsidRPr="00092ED7">
              <w:rPr>
                <w:rFonts w:eastAsia="Times New Roman" w:cs="Times New Roman"/>
                <w:sz w:val="20"/>
                <w:szCs w:val="20"/>
                <w:lang w:val="sr-Cyrl-CS"/>
              </w:rPr>
              <w:t>B1g</w:t>
            </w:r>
          </w:p>
        </w:tc>
        <w:tc>
          <w:tcPr>
            <w:tcW w:w="486" w:type="pct"/>
            <w:gridSpan w:val="2"/>
            <w:tcBorders>
              <w:top w:val="nil"/>
              <w:left w:val="double" w:sz="6" w:space="0" w:color="auto"/>
              <w:bottom w:val="dotted" w:sz="4" w:space="0" w:color="auto"/>
              <w:right w:val="dotted" w:sz="4" w:space="0" w:color="auto"/>
            </w:tcBorders>
            <w:shd w:val="clear" w:color="000000" w:fill="FFFFFF"/>
            <w:vAlign w:val="center"/>
            <w:hideMark/>
          </w:tcPr>
          <w:p w14:paraId="217F76A1" w14:textId="77777777" w:rsidR="00247CBF" w:rsidRPr="00092ED7" w:rsidRDefault="00247CBF" w:rsidP="00247CBF">
            <w:pPr>
              <w:spacing w:after="0"/>
              <w:jc w:val="right"/>
              <w:rPr>
                <w:sz w:val="20"/>
                <w:szCs w:val="20"/>
                <w:lang w:val="sr-Cyrl-CS"/>
              </w:rPr>
            </w:pPr>
            <w:r w:rsidRPr="00092ED7">
              <w:rPr>
                <w:sz w:val="20"/>
                <w:szCs w:val="20"/>
                <w:lang w:val="sr-Cyrl-CS"/>
              </w:rPr>
              <w:t>6.270,1</w:t>
            </w:r>
          </w:p>
        </w:tc>
        <w:tc>
          <w:tcPr>
            <w:tcW w:w="485" w:type="pct"/>
            <w:gridSpan w:val="2"/>
            <w:tcBorders>
              <w:top w:val="nil"/>
              <w:left w:val="nil"/>
              <w:bottom w:val="dotted" w:sz="4" w:space="0" w:color="auto"/>
              <w:right w:val="dotted" w:sz="4" w:space="0" w:color="auto"/>
            </w:tcBorders>
            <w:shd w:val="clear" w:color="000000" w:fill="FFFFFF"/>
            <w:vAlign w:val="center"/>
            <w:hideMark/>
          </w:tcPr>
          <w:p w14:paraId="31F6B2F0" w14:textId="77777777" w:rsidR="00247CBF" w:rsidRPr="00092ED7" w:rsidRDefault="00247CBF" w:rsidP="00247CBF">
            <w:pPr>
              <w:spacing w:after="0"/>
              <w:jc w:val="right"/>
              <w:rPr>
                <w:sz w:val="20"/>
                <w:szCs w:val="20"/>
                <w:lang w:val="sr-Cyrl-CS"/>
              </w:rPr>
            </w:pPr>
            <w:r w:rsidRPr="00092ED7">
              <w:rPr>
                <w:sz w:val="20"/>
                <w:szCs w:val="20"/>
                <w:lang w:val="sr-Cyrl-CS"/>
              </w:rPr>
              <w:t>7.082,5</w:t>
            </w:r>
          </w:p>
        </w:tc>
        <w:tc>
          <w:tcPr>
            <w:tcW w:w="486" w:type="pct"/>
            <w:gridSpan w:val="2"/>
            <w:tcBorders>
              <w:top w:val="nil"/>
              <w:left w:val="nil"/>
              <w:bottom w:val="dotted" w:sz="4" w:space="0" w:color="auto"/>
              <w:right w:val="dotted" w:sz="4" w:space="0" w:color="auto"/>
            </w:tcBorders>
            <w:shd w:val="clear" w:color="000000" w:fill="FFFFFF"/>
            <w:vAlign w:val="center"/>
            <w:hideMark/>
          </w:tcPr>
          <w:p w14:paraId="603B80B8" w14:textId="77777777" w:rsidR="00247CBF" w:rsidRPr="00092ED7" w:rsidRDefault="00247CBF" w:rsidP="00247CBF">
            <w:pPr>
              <w:spacing w:after="0"/>
              <w:jc w:val="right"/>
              <w:rPr>
                <w:sz w:val="20"/>
                <w:szCs w:val="20"/>
                <w:lang w:val="sr-Cyrl-CS"/>
              </w:rPr>
            </w:pPr>
            <w:r w:rsidRPr="00092ED7">
              <w:rPr>
                <w:sz w:val="20"/>
                <w:szCs w:val="20"/>
                <w:lang w:val="sr-Cyrl-CS"/>
              </w:rPr>
              <w:t>8.025,1</w:t>
            </w:r>
          </w:p>
        </w:tc>
        <w:tc>
          <w:tcPr>
            <w:tcW w:w="485" w:type="pct"/>
            <w:gridSpan w:val="2"/>
            <w:tcBorders>
              <w:top w:val="nil"/>
              <w:left w:val="nil"/>
              <w:bottom w:val="dotted" w:sz="4" w:space="0" w:color="auto"/>
              <w:right w:val="dotted" w:sz="4" w:space="0" w:color="auto"/>
            </w:tcBorders>
            <w:shd w:val="clear" w:color="000000" w:fill="FFFFFF"/>
            <w:vAlign w:val="center"/>
            <w:hideMark/>
          </w:tcPr>
          <w:p w14:paraId="65C60362" w14:textId="77777777" w:rsidR="00247CBF" w:rsidRPr="00092ED7" w:rsidRDefault="00247CBF" w:rsidP="00247CBF">
            <w:pPr>
              <w:spacing w:after="0"/>
              <w:jc w:val="right"/>
              <w:rPr>
                <w:sz w:val="20"/>
                <w:szCs w:val="20"/>
                <w:lang w:val="sr-Cyrl-CS"/>
              </w:rPr>
            </w:pPr>
            <w:r w:rsidRPr="00092ED7">
              <w:rPr>
                <w:sz w:val="20"/>
                <w:szCs w:val="20"/>
                <w:lang w:val="sr-Cyrl-CS"/>
              </w:rPr>
              <w:t>8.776,3</w:t>
            </w:r>
          </w:p>
        </w:tc>
        <w:tc>
          <w:tcPr>
            <w:tcW w:w="485" w:type="pct"/>
            <w:gridSpan w:val="2"/>
            <w:tcBorders>
              <w:top w:val="nil"/>
              <w:left w:val="nil"/>
              <w:bottom w:val="dotted" w:sz="4" w:space="0" w:color="auto"/>
              <w:right w:val="double" w:sz="6" w:space="0" w:color="auto"/>
            </w:tcBorders>
            <w:shd w:val="clear" w:color="000000" w:fill="FFFFFF"/>
            <w:vAlign w:val="center"/>
            <w:hideMark/>
          </w:tcPr>
          <w:p w14:paraId="787CC00F" w14:textId="77777777" w:rsidR="00247CBF" w:rsidRPr="00092ED7" w:rsidRDefault="00247CBF" w:rsidP="00247CBF">
            <w:pPr>
              <w:spacing w:after="0"/>
              <w:jc w:val="right"/>
              <w:rPr>
                <w:sz w:val="20"/>
                <w:szCs w:val="20"/>
                <w:lang w:val="sr-Cyrl-CS"/>
              </w:rPr>
            </w:pPr>
            <w:r w:rsidRPr="00092ED7">
              <w:rPr>
                <w:sz w:val="20"/>
                <w:szCs w:val="20"/>
                <w:lang w:val="sr-Cyrl-CS"/>
              </w:rPr>
              <w:t>9.519,4</w:t>
            </w:r>
          </w:p>
        </w:tc>
      </w:tr>
      <w:tr w:rsidR="00247CBF" w:rsidRPr="00092ED7" w14:paraId="012F9438" w14:textId="77777777" w:rsidTr="00247CBF">
        <w:trPr>
          <w:gridBefore w:val="1"/>
          <w:wBefore w:w="8" w:type="pct"/>
          <w:trHeight w:val="300"/>
        </w:trPr>
        <w:tc>
          <w:tcPr>
            <w:tcW w:w="2080" w:type="pct"/>
            <w:tcBorders>
              <w:top w:val="nil"/>
              <w:left w:val="double" w:sz="6" w:space="0" w:color="auto"/>
              <w:bottom w:val="nil"/>
              <w:right w:val="dotted" w:sz="4" w:space="0" w:color="auto"/>
            </w:tcBorders>
            <w:shd w:val="clear" w:color="000000" w:fill="FFFFFF"/>
            <w:vAlign w:val="center"/>
            <w:hideMark/>
          </w:tcPr>
          <w:p w14:paraId="23838075" w14:textId="77777777" w:rsidR="00247CBF" w:rsidRPr="00092ED7" w:rsidRDefault="00247CBF" w:rsidP="00247CBF">
            <w:pPr>
              <w:spacing w:after="0"/>
              <w:jc w:val="left"/>
              <w:rPr>
                <w:rFonts w:eastAsia="Times New Roman" w:cs="Times New Roman"/>
                <w:sz w:val="20"/>
                <w:szCs w:val="20"/>
                <w:lang w:val="sr-Cyrl-CS"/>
              </w:rPr>
            </w:pPr>
            <w:r w:rsidRPr="00092ED7">
              <w:rPr>
                <w:rFonts w:eastAsia="Times New Roman" w:cs="Times New Roman"/>
                <w:sz w:val="20"/>
                <w:szCs w:val="20"/>
                <w:lang w:val="sr-Cyrl-CS"/>
              </w:rPr>
              <w:t>Учешће инвестиција (% БДП-а)</w:t>
            </w:r>
          </w:p>
        </w:tc>
        <w:tc>
          <w:tcPr>
            <w:tcW w:w="485" w:type="pct"/>
            <w:tcBorders>
              <w:top w:val="nil"/>
              <w:left w:val="nil"/>
              <w:bottom w:val="nil"/>
              <w:right w:val="nil"/>
            </w:tcBorders>
            <w:shd w:val="clear" w:color="000000" w:fill="FFFFFF"/>
            <w:vAlign w:val="center"/>
            <w:hideMark/>
          </w:tcPr>
          <w:p w14:paraId="06E3DB61" w14:textId="77777777" w:rsidR="00247CBF" w:rsidRPr="00092ED7" w:rsidRDefault="00247CBF" w:rsidP="00247CBF">
            <w:pPr>
              <w:spacing w:after="0"/>
              <w:jc w:val="right"/>
              <w:rPr>
                <w:rFonts w:eastAsia="Times New Roman" w:cs="Times New Roman"/>
                <w:sz w:val="20"/>
                <w:szCs w:val="20"/>
                <w:lang w:val="sr-Cyrl-CS"/>
              </w:rPr>
            </w:pPr>
            <w:r w:rsidRPr="00092ED7">
              <w:rPr>
                <w:rFonts w:eastAsia="Times New Roman" w:cs="Times New Roman"/>
                <w:sz w:val="20"/>
                <w:szCs w:val="20"/>
                <w:lang w:val="sr-Cyrl-CS"/>
              </w:rPr>
              <w:t> </w:t>
            </w:r>
          </w:p>
        </w:tc>
        <w:tc>
          <w:tcPr>
            <w:tcW w:w="486" w:type="pct"/>
            <w:gridSpan w:val="2"/>
            <w:tcBorders>
              <w:top w:val="nil"/>
              <w:left w:val="double" w:sz="6" w:space="0" w:color="auto"/>
              <w:bottom w:val="nil"/>
              <w:right w:val="dotted" w:sz="4" w:space="0" w:color="auto"/>
            </w:tcBorders>
            <w:shd w:val="clear" w:color="000000" w:fill="FFFFFF"/>
            <w:vAlign w:val="center"/>
            <w:hideMark/>
          </w:tcPr>
          <w:p w14:paraId="6E63C7AA" w14:textId="77777777" w:rsidR="00247CBF" w:rsidRPr="00092ED7" w:rsidRDefault="00247CBF" w:rsidP="00247CBF">
            <w:pPr>
              <w:spacing w:after="0"/>
              <w:jc w:val="right"/>
              <w:rPr>
                <w:sz w:val="20"/>
                <w:szCs w:val="20"/>
                <w:lang w:val="sr-Cyrl-CS"/>
              </w:rPr>
            </w:pPr>
            <w:r w:rsidRPr="00092ED7">
              <w:rPr>
                <w:sz w:val="20"/>
                <w:szCs w:val="20"/>
                <w:lang w:val="sr-Cyrl-CS"/>
              </w:rPr>
              <w:t>23,1</w:t>
            </w:r>
          </w:p>
        </w:tc>
        <w:tc>
          <w:tcPr>
            <w:tcW w:w="485" w:type="pct"/>
            <w:gridSpan w:val="2"/>
            <w:tcBorders>
              <w:top w:val="nil"/>
              <w:left w:val="nil"/>
              <w:bottom w:val="nil"/>
              <w:right w:val="dotted" w:sz="4" w:space="0" w:color="auto"/>
            </w:tcBorders>
            <w:shd w:val="clear" w:color="000000" w:fill="FFFFFF"/>
            <w:vAlign w:val="center"/>
            <w:hideMark/>
          </w:tcPr>
          <w:p w14:paraId="04EFC424" w14:textId="77777777" w:rsidR="00247CBF" w:rsidRPr="00092ED7" w:rsidRDefault="00247CBF" w:rsidP="00247CBF">
            <w:pPr>
              <w:spacing w:after="0"/>
              <w:jc w:val="right"/>
              <w:rPr>
                <w:sz w:val="20"/>
                <w:szCs w:val="20"/>
                <w:lang w:val="sr-Cyrl-CS"/>
              </w:rPr>
            </w:pPr>
            <w:r w:rsidRPr="00092ED7">
              <w:rPr>
                <w:sz w:val="20"/>
                <w:szCs w:val="20"/>
                <w:lang w:val="sr-Cyrl-CS"/>
              </w:rPr>
              <w:t>23,4</w:t>
            </w:r>
          </w:p>
        </w:tc>
        <w:tc>
          <w:tcPr>
            <w:tcW w:w="486" w:type="pct"/>
            <w:gridSpan w:val="2"/>
            <w:tcBorders>
              <w:top w:val="nil"/>
              <w:left w:val="nil"/>
              <w:bottom w:val="nil"/>
              <w:right w:val="dotted" w:sz="4" w:space="0" w:color="auto"/>
            </w:tcBorders>
            <w:shd w:val="clear" w:color="000000" w:fill="FFFFFF"/>
            <w:vAlign w:val="center"/>
            <w:hideMark/>
          </w:tcPr>
          <w:p w14:paraId="7D444475" w14:textId="77777777" w:rsidR="00247CBF" w:rsidRPr="00092ED7" w:rsidRDefault="00247CBF" w:rsidP="00247CBF">
            <w:pPr>
              <w:spacing w:after="0"/>
              <w:jc w:val="right"/>
              <w:rPr>
                <w:sz w:val="20"/>
                <w:szCs w:val="20"/>
                <w:lang w:val="sr-Cyrl-CS"/>
              </w:rPr>
            </w:pPr>
            <w:r w:rsidRPr="00092ED7">
              <w:rPr>
                <w:sz w:val="20"/>
                <w:szCs w:val="20"/>
                <w:lang w:val="sr-Cyrl-CS"/>
              </w:rPr>
              <w:t>22,7</w:t>
            </w:r>
          </w:p>
        </w:tc>
        <w:tc>
          <w:tcPr>
            <w:tcW w:w="485" w:type="pct"/>
            <w:gridSpan w:val="2"/>
            <w:tcBorders>
              <w:top w:val="nil"/>
              <w:left w:val="nil"/>
              <w:bottom w:val="nil"/>
              <w:right w:val="dotted" w:sz="4" w:space="0" w:color="auto"/>
            </w:tcBorders>
            <w:shd w:val="clear" w:color="000000" w:fill="FFFFFF"/>
            <w:vAlign w:val="center"/>
            <w:hideMark/>
          </w:tcPr>
          <w:p w14:paraId="3F03433A" w14:textId="77777777" w:rsidR="00247CBF" w:rsidRPr="00092ED7" w:rsidRDefault="00247CBF" w:rsidP="00247CBF">
            <w:pPr>
              <w:spacing w:after="0"/>
              <w:jc w:val="right"/>
              <w:rPr>
                <w:sz w:val="20"/>
                <w:szCs w:val="20"/>
                <w:lang w:val="sr-Cyrl-CS"/>
              </w:rPr>
            </w:pPr>
            <w:r w:rsidRPr="00092ED7">
              <w:rPr>
                <w:sz w:val="20"/>
                <w:szCs w:val="20"/>
                <w:lang w:val="sr-Cyrl-CS"/>
              </w:rPr>
              <w:t>23,0</w:t>
            </w:r>
          </w:p>
        </w:tc>
        <w:tc>
          <w:tcPr>
            <w:tcW w:w="485" w:type="pct"/>
            <w:gridSpan w:val="2"/>
            <w:tcBorders>
              <w:top w:val="nil"/>
              <w:left w:val="nil"/>
              <w:bottom w:val="nil"/>
              <w:right w:val="double" w:sz="6" w:space="0" w:color="auto"/>
            </w:tcBorders>
            <w:shd w:val="clear" w:color="000000" w:fill="FFFFFF"/>
            <w:vAlign w:val="center"/>
            <w:hideMark/>
          </w:tcPr>
          <w:p w14:paraId="7B36D252" w14:textId="77777777" w:rsidR="00247CBF" w:rsidRPr="00092ED7" w:rsidRDefault="00247CBF" w:rsidP="00247CBF">
            <w:pPr>
              <w:spacing w:after="0"/>
              <w:jc w:val="right"/>
              <w:rPr>
                <w:sz w:val="20"/>
                <w:szCs w:val="20"/>
                <w:lang w:val="sr-Cyrl-CS"/>
              </w:rPr>
            </w:pPr>
            <w:r w:rsidRPr="00092ED7">
              <w:rPr>
                <w:sz w:val="20"/>
                <w:szCs w:val="20"/>
                <w:lang w:val="sr-Cyrl-CS"/>
              </w:rPr>
              <w:t>23,3</w:t>
            </w:r>
          </w:p>
        </w:tc>
      </w:tr>
      <w:tr w:rsidR="00247CBF" w:rsidRPr="00092ED7" w14:paraId="0FCD42B9" w14:textId="77777777" w:rsidTr="00247CBF">
        <w:trPr>
          <w:gridBefore w:val="1"/>
          <w:wBefore w:w="8" w:type="pct"/>
          <w:trHeight w:val="300"/>
        </w:trPr>
        <w:tc>
          <w:tcPr>
            <w:tcW w:w="4992" w:type="pct"/>
            <w:gridSpan w:val="12"/>
            <w:tcBorders>
              <w:top w:val="single" w:sz="4" w:space="0" w:color="auto"/>
              <w:left w:val="double" w:sz="6" w:space="0" w:color="auto"/>
              <w:bottom w:val="single" w:sz="4" w:space="0" w:color="auto"/>
              <w:right w:val="double" w:sz="6" w:space="0" w:color="000000"/>
            </w:tcBorders>
            <w:shd w:val="clear" w:color="000000" w:fill="FFFFFF"/>
            <w:vAlign w:val="center"/>
            <w:hideMark/>
          </w:tcPr>
          <w:p w14:paraId="1955E8B6" w14:textId="77777777" w:rsidR="00247CBF" w:rsidRPr="00092ED7" w:rsidRDefault="00247CBF" w:rsidP="00247CBF">
            <w:pPr>
              <w:spacing w:after="0"/>
              <w:jc w:val="center"/>
              <w:rPr>
                <w:rFonts w:eastAsia="Times New Roman" w:cs="Times New Roman"/>
                <w:b/>
                <w:bCs/>
                <w:sz w:val="20"/>
                <w:szCs w:val="20"/>
                <w:lang w:val="sr-Cyrl-CS"/>
              </w:rPr>
            </w:pPr>
            <w:r w:rsidRPr="00092ED7">
              <w:rPr>
                <w:rFonts w:eastAsia="Times New Roman" w:cs="Times New Roman"/>
                <w:b/>
                <w:bCs/>
                <w:sz w:val="20"/>
                <w:szCs w:val="20"/>
                <w:lang w:val="sr-Cyrl-CS"/>
              </w:rPr>
              <w:t>Раст бруто додате вредности, процентуалне промене у сталним ценама</w:t>
            </w:r>
          </w:p>
        </w:tc>
      </w:tr>
      <w:tr w:rsidR="00247CBF" w:rsidRPr="00092ED7" w14:paraId="24D17D65" w14:textId="77777777" w:rsidTr="00247CBF">
        <w:trPr>
          <w:gridBefore w:val="1"/>
          <w:wBefore w:w="8" w:type="pct"/>
          <w:trHeight w:val="300"/>
        </w:trPr>
        <w:tc>
          <w:tcPr>
            <w:tcW w:w="2080" w:type="pct"/>
            <w:tcBorders>
              <w:top w:val="nil"/>
              <w:left w:val="double" w:sz="6" w:space="0" w:color="auto"/>
              <w:bottom w:val="dotted" w:sz="4" w:space="0" w:color="auto"/>
              <w:right w:val="dotted" w:sz="4" w:space="0" w:color="auto"/>
            </w:tcBorders>
            <w:shd w:val="clear" w:color="000000" w:fill="FFFFFF"/>
            <w:vAlign w:val="center"/>
            <w:hideMark/>
          </w:tcPr>
          <w:p w14:paraId="50855F74" w14:textId="77777777" w:rsidR="00247CBF" w:rsidRPr="00092ED7" w:rsidRDefault="00247CBF" w:rsidP="00247CBF">
            <w:pPr>
              <w:spacing w:after="0"/>
              <w:jc w:val="left"/>
              <w:rPr>
                <w:rFonts w:eastAsia="Times New Roman" w:cs="Times New Roman"/>
                <w:sz w:val="20"/>
                <w:szCs w:val="20"/>
                <w:lang w:val="sr-Cyrl-CS"/>
              </w:rPr>
            </w:pPr>
            <w:r w:rsidRPr="00092ED7">
              <w:rPr>
                <w:rFonts w:eastAsia="Times New Roman" w:cs="Times New Roman"/>
                <w:sz w:val="20"/>
                <w:szCs w:val="20"/>
                <w:lang w:val="sr-Cyrl-CS"/>
              </w:rPr>
              <w:t>1. Пољопривреда</w:t>
            </w:r>
          </w:p>
        </w:tc>
        <w:tc>
          <w:tcPr>
            <w:tcW w:w="485" w:type="pct"/>
            <w:tcBorders>
              <w:top w:val="nil"/>
              <w:left w:val="nil"/>
              <w:bottom w:val="dotted" w:sz="4" w:space="0" w:color="auto"/>
              <w:right w:val="nil"/>
            </w:tcBorders>
            <w:shd w:val="clear" w:color="000000" w:fill="FFFFFF"/>
            <w:vAlign w:val="bottom"/>
            <w:hideMark/>
          </w:tcPr>
          <w:p w14:paraId="27ABB5BA"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 </w:t>
            </w:r>
          </w:p>
        </w:tc>
        <w:tc>
          <w:tcPr>
            <w:tcW w:w="486" w:type="pct"/>
            <w:gridSpan w:val="2"/>
            <w:tcBorders>
              <w:top w:val="nil"/>
              <w:left w:val="double" w:sz="6" w:space="0" w:color="auto"/>
              <w:bottom w:val="dotted" w:sz="4" w:space="0" w:color="auto"/>
              <w:right w:val="dotted" w:sz="4" w:space="0" w:color="auto"/>
            </w:tcBorders>
            <w:shd w:val="clear" w:color="000000" w:fill="FFFFFF"/>
            <w:vAlign w:val="center"/>
            <w:hideMark/>
          </w:tcPr>
          <w:p w14:paraId="016774CB" w14:textId="77777777" w:rsidR="00247CBF" w:rsidRPr="00092ED7" w:rsidRDefault="00247CBF" w:rsidP="00247CBF">
            <w:pPr>
              <w:spacing w:after="0"/>
              <w:contextualSpacing/>
              <w:jc w:val="center"/>
              <w:rPr>
                <w:sz w:val="20"/>
                <w:szCs w:val="20"/>
                <w:lang w:val="sr-Cyrl-CS"/>
              </w:rPr>
            </w:pPr>
            <w:r w:rsidRPr="00092ED7">
              <w:rPr>
                <w:sz w:val="20"/>
                <w:szCs w:val="20"/>
                <w:lang w:val="sr-Cyrl-CS"/>
              </w:rPr>
              <w:t>-5,7</w:t>
            </w:r>
          </w:p>
        </w:tc>
        <w:tc>
          <w:tcPr>
            <w:tcW w:w="485" w:type="pct"/>
            <w:gridSpan w:val="2"/>
            <w:tcBorders>
              <w:top w:val="nil"/>
              <w:left w:val="nil"/>
              <w:bottom w:val="dotted" w:sz="4" w:space="0" w:color="auto"/>
              <w:right w:val="dotted" w:sz="4" w:space="0" w:color="auto"/>
            </w:tcBorders>
            <w:shd w:val="clear" w:color="000000" w:fill="FFFFFF"/>
            <w:vAlign w:val="center"/>
            <w:hideMark/>
          </w:tcPr>
          <w:p w14:paraId="78F84983" w14:textId="77777777" w:rsidR="00247CBF" w:rsidRPr="00092ED7" w:rsidRDefault="00247CBF" w:rsidP="00247CBF">
            <w:pPr>
              <w:spacing w:after="0"/>
              <w:contextualSpacing/>
              <w:jc w:val="center"/>
              <w:rPr>
                <w:sz w:val="20"/>
                <w:szCs w:val="20"/>
                <w:lang w:val="sr-Cyrl-CS"/>
              </w:rPr>
            </w:pPr>
            <w:r w:rsidRPr="00092ED7">
              <w:rPr>
                <w:sz w:val="20"/>
                <w:szCs w:val="20"/>
                <w:lang w:val="sr-Cyrl-CS"/>
              </w:rPr>
              <w:t>-8,0</w:t>
            </w:r>
          </w:p>
        </w:tc>
        <w:tc>
          <w:tcPr>
            <w:tcW w:w="486" w:type="pct"/>
            <w:gridSpan w:val="2"/>
            <w:tcBorders>
              <w:top w:val="nil"/>
              <w:left w:val="nil"/>
              <w:bottom w:val="dotted" w:sz="4" w:space="0" w:color="auto"/>
              <w:right w:val="dotted" w:sz="4" w:space="0" w:color="auto"/>
            </w:tcBorders>
            <w:shd w:val="clear" w:color="000000" w:fill="FFFFFF"/>
            <w:vAlign w:val="center"/>
            <w:hideMark/>
          </w:tcPr>
          <w:p w14:paraId="68292884" w14:textId="77777777" w:rsidR="00247CBF" w:rsidRPr="00092ED7" w:rsidRDefault="00247CBF" w:rsidP="00247CBF">
            <w:pPr>
              <w:spacing w:after="0"/>
              <w:contextualSpacing/>
              <w:jc w:val="center"/>
              <w:rPr>
                <w:sz w:val="20"/>
                <w:szCs w:val="20"/>
                <w:lang w:val="sr-Cyrl-CS"/>
              </w:rPr>
            </w:pPr>
            <w:r w:rsidRPr="00092ED7">
              <w:rPr>
                <w:sz w:val="20"/>
                <w:szCs w:val="20"/>
                <w:lang w:val="sr-Cyrl-CS"/>
              </w:rPr>
              <w:t>6,9</w:t>
            </w:r>
          </w:p>
        </w:tc>
        <w:tc>
          <w:tcPr>
            <w:tcW w:w="485" w:type="pct"/>
            <w:gridSpan w:val="2"/>
            <w:tcBorders>
              <w:top w:val="nil"/>
              <w:left w:val="nil"/>
              <w:bottom w:val="dotted" w:sz="4" w:space="0" w:color="auto"/>
              <w:right w:val="dotted" w:sz="4" w:space="0" w:color="auto"/>
            </w:tcBorders>
            <w:shd w:val="clear" w:color="000000" w:fill="FFFFFF"/>
            <w:vAlign w:val="center"/>
            <w:hideMark/>
          </w:tcPr>
          <w:p w14:paraId="0E0433FC" w14:textId="77777777" w:rsidR="00247CBF" w:rsidRPr="00092ED7" w:rsidRDefault="00247CBF" w:rsidP="00247CBF">
            <w:pPr>
              <w:spacing w:after="0"/>
              <w:contextualSpacing/>
              <w:jc w:val="center"/>
              <w:rPr>
                <w:sz w:val="20"/>
                <w:szCs w:val="20"/>
                <w:lang w:val="sr-Cyrl-CS"/>
              </w:rPr>
            </w:pPr>
            <w:r w:rsidRPr="00092ED7">
              <w:rPr>
                <w:sz w:val="20"/>
                <w:szCs w:val="20"/>
                <w:lang w:val="sr-Cyrl-CS"/>
              </w:rPr>
              <w:t>0,9</w:t>
            </w:r>
          </w:p>
        </w:tc>
        <w:tc>
          <w:tcPr>
            <w:tcW w:w="485" w:type="pct"/>
            <w:gridSpan w:val="2"/>
            <w:tcBorders>
              <w:top w:val="nil"/>
              <w:left w:val="nil"/>
              <w:bottom w:val="dotted" w:sz="4" w:space="0" w:color="auto"/>
              <w:right w:val="double" w:sz="6" w:space="0" w:color="auto"/>
            </w:tcBorders>
            <w:shd w:val="clear" w:color="000000" w:fill="FFFFFF"/>
            <w:vAlign w:val="center"/>
            <w:hideMark/>
          </w:tcPr>
          <w:p w14:paraId="524B10D4" w14:textId="77777777" w:rsidR="00247CBF" w:rsidRPr="00092ED7" w:rsidRDefault="00247CBF" w:rsidP="00247CBF">
            <w:pPr>
              <w:spacing w:after="0"/>
              <w:contextualSpacing/>
              <w:jc w:val="center"/>
              <w:rPr>
                <w:sz w:val="20"/>
                <w:szCs w:val="20"/>
                <w:lang w:val="sr-Cyrl-CS"/>
              </w:rPr>
            </w:pPr>
            <w:r w:rsidRPr="00092ED7">
              <w:rPr>
                <w:sz w:val="20"/>
                <w:szCs w:val="20"/>
                <w:lang w:val="sr-Cyrl-CS"/>
              </w:rPr>
              <w:t>0,0</w:t>
            </w:r>
          </w:p>
        </w:tc>
      </w:tr>
      <w:tr w:rsidR="00247CBF" w:rsidRPr="00092ED7" w14:paraId="5E1517AC" w14:textId="77777777" w:rsidTr="00247CBF">
        <w:trPr>
          <w:gridBefore w:val="1"/>
          <w:wBefore w:w="8" w:type="pct"/>
          <w:trHeight w:val="300"/>
        </w:trPr>
        <w:tc>
          <w:tcPr>
            <w:tcW w:w="2080" w:type="pct"/>
            <w:tcBorders>
              <w:top w:val="nil"/>
              <w:left w:val="double" w:sz="6" w:space="0" w:color="auto"/>
              <w:bottom w:val="dotted" w:sz="4" w:space="0" w:color="auto"/>
              <w:right w:val="dotted" w:sz="4" w:space="0" w:color="auto"/>
            </w:tcBorders>
            <w:shd w:val="clear" w:color="000000" w:fill="FFFFFF"/>
            <w:vAlign w:val="center"/>
            <w:hideMark/>
          </w:tcPr>
          <w:p w14:paraId="13C44025" w14:textId="77777777" w:rsidR="00247CBF" w:rsidRPr="00092ED7" w:rsidRDefault="00247CBF" w:rsidP="00247CBF">
            <w:pPr>
              <w:spacing w:after="0"/>
              <w:jc w:val="left"/>
              <w:rPr>
                <w:rFonts w:eastAsia="Times New Roman" w:cs="Times New Roman"/>
                <w:sz w:val="20"/>
                <w:szCs w:val="20"/>
                <w:lang w:val="sr-Cyrl-CS"/>
              </w:rPr>
            </w:pPr>
            <w:r w:rsidRPr="00092ED7">
              <w:rPr>
                <w:rFonts w:eastAsia="Times New Roman" w:cs="Times New Roman"/>
                <w:sz w:val="20"/>
                <w:szCs w:val="20"/>
                <w:lang w:val="sr-Cyrl-CS"/>
              </w:rPr>
              <w:t>2. Индустрија (осим грађевинарства)</w:t>
            </w:r>
          </w:p>
        </w:tc>
        <w:tc>
          <w:tcPr>
            <w:tcW w:w="485" w:type="pct"/>
            <w:tcBorders>
              <w:top w:val="nil"/>
              <w:left w:val="nil"/>
              <w:bottom w:val="dotted" w:sz="4" w:space="0" w:color="auto"/>
              <w:right w:val="nil"/>
            </w:tcBorders>
            <w:shd w:val="clear" w:color="000000" w:fill="FFFFFF"/>
            <w:vAlign w:val="bottom"/>
            <w:hideMark/>
          </w:tcPr>
          <w:p w14:paraId="6ADD849C"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 </w:t>
            </w:r>
          </w:p>
        </w:tc>
        <w:tc>
          <w:tcPr>
            <w:tcW w:w="486" w:type="pct"/>
            <w:gridSpan w:val="2"/>
            <w:tcBorders>
              <w:top w:val="nil"/>
              <w:left w:val="double" w:sz="6" w:space="0" w:color="auto"/>
              <w:bottom w:val="dotted" w:sz="4" w:space="0" w:color="auto"/>
              <w:right w:val="dotted" w:sz="4" w:space="0" w:color="auto"/>
            </w:tcBorders>
            <w:shd w:val="clear" w:color="000000" w:fill="FFFFFF"/>
            <w:vAlign w:val="center"/>
            <w:hideMark/>
          </w:tcPr>
          <w:p w14:paraId="4F354537" w14:textId="77777777" w:rsidR="00247CBF" w:rsidRPr="00092ED7" w:rsidRDefault="00247CBF" w:rsidP="00247CBF">
            <w:pPr>
              <w:spacing w:after="0"/>
              <w:contextualSpacing/>
              <w:jc w:val="center"/>
              <w:rPr>
                <w:sz w:val="20"/>
                <w:szCs w:val="20"/>
                <w:lang w:val="sr-Cyrl-CS"/>
              </w:rPr>
            </w:pPr>
            <w:r w:rsidRPr="00092ED7">
              <w:rPr>
                <w:sz w:val="20"/>
                <w:szCs w:val="20"/>
                <w:lang w:val="sr-Cyrl-CS"/>
              </w:rPr>
              <w:t>6,3</w:t>
            </w:r>
          </w:p>
        </w:tc>
        <w:tc>
          <w:tcPr>
            <w:tcW w:w="485" w:type="pct"/>
            <w:gridSpan w:val="2"/>
            <w:tcBorders>
              <w:top w:val="nil"/>
              <w:left w:val="nil"/>
              <w:bottom w:val="dotted" w:sz="4" w:space="0" w:color="auto"/>
              <w:right w:val="dotted" w:sz="4" w:space="0" w:color="auto"/>
            </w:tcBorders>
            <w:shd w:val="clear" w:color="000000" w:fill="FFFFFF"/>
            <w:vAlign w:val="center"/>
            <w:hideMark/>
          </w:tcPr>
          <w:p w14:paraId="49AD223A" w14:textId="77777777" w:rsidR="00247CBF" w:rsidRPr="00092ED7" w:rsidRDefault="00247CBF" w:rsidP="00247CBF">
            <w:pPr>
              <w:spacing w:after="0"/>
              <w:contextualSpacing/>
              <w:jc w:val="center"/>
              <w:rPr>
                <w:sz w:val="20"/>
                <w:szCs w:val="20"/>
                <w:lang w:val="sr-Cyrl-CS"/>
              </w:rPr>
            </w:pPr>
            <w:r w:rsidRPr="00092ED7">
              <w:rPr>
                <w:sz w:val="20"/>
                <w:szCs w:val="20"/>
                <w:lang w:val="sr-Cyrl-CS"/>
              </w:rPr>
              <w:t>1,3</w:t>
            </w:r>
          </w:p>
        </w:tc>
        <w:tc>
          <w:tcPr>
            <w:tcW w:w="486" w:type="pct"/>
            <w:gridSpan w:val="2"/>
            <w:tcBorders>
              <w:top w:val="nil"/>
              <w:left w:val="nil"/>
              <w:bottom w:val="dotted" w:sz="4" w:space="0" w:color="auto"/>
              <w:right w:val="dotted" w:sz="4" w:space="0" w:color="auto"/>
            </w:tcBorders>
            <w:shd w:val="clear" w:color="000000" w:fill="FFFFFF"/>
            <w:vAlign w:val="center"/>
            <w:hideMark/>
          </w:tcPr>
          <w:p w14:paraId="1206DD58" w14:textId="77777777" w:rsidR="00247CBF" w:rsidRPr="00092ED7" w:rsidRDefault="00247CBF" w:rsidP="00247CBF">
            <w:pPr>
              <w:spacing w:after="0"/>
              <w:contextualSpacing/>
              <w:jc w:val="center"/>
              <w:rPr>
                <w:sz w:val="20"/>
                <w:szCs w:val="20"/>
                <w:lang w:val="sr-Cyrl-CS"/>
              </w:rPr>
            </w:pPr>
            <w:r w:rsidRPr="00092ED7">
              <w:rPr>
                <w:sz w:val="20"/>
                <w:szCs w:val="20"/>
                <w:lang w:val="sr-Cyrl-CS"/>
              </w:rPr>
              <w:t>1,1</w:t>
            </w:r>
          </w:p>
        </w:tc>
        <w:tc>
          <w:tcPr>
            <w:tcW w:w="485" w:type="pct"/>
            <w:gridSpan w:val="2"/>
            <w:tcBorders>
              <w:top w:val="nil"/>
              <w:left w:val="nil"/>
              <w:bottom w:val="dotted" w:sz="4" w:space="0" w:color="auto"/>
              <w:right w:val="dotted" w:sz="4" w:space="0" w:color="auto"/>
            </w:tcBorders>
            <w:shd w:val="clear" w:color="000000" w:fill="FFFFFF"/>
            <w:vAlign w:val="center"/>
            <w:hideMark/>
          </w:tcPr>
          <w:p w14:paraId="2C663D61" w14:textId="77777777" w:rsidR="00247CBF" w:rsidRPr="00092ED7" w:rsidRDefault="00247CBF" w:rsidP="00247CBF">
            <w:pPr>
              <w:spacing w:after="0"/>
              <w:contextualSpacing/>
              <w:jc w:val="center"/>
              <w:rPr>
                <w:sz w:val="20"/>
                <w:szCs w:val="20"/>
                <w:lang w:val="sr-Cyrl-CS"/>
              </w:rPr>
            </w:pPr>
            <w:r w:rsidRPr="00092ED7">
              <w:rPr>
                <w:sz w:val="20"/>
                <w:szCs w:val="20"/>
                <w:lang w:val="sr-Cyrl-CS"/>
              </w:rPr>
              <w:t>3,6</w:t>
            </w:r>
          </w:p>
        </w:tc>
        <w:tc>
          <w:tcPr>
            <w:tcW w:w="485" w:type="pct"/>
            <w:gridSpan w:val="2"/>
            <w:tcBorders>
              <w:top w:val="nil"/>
              <w:left w:val="nil"/>
              <w:bottom w:val="dotted" w:sz="4" w:space="0" w:color="auto"/>
              <w:right w:val="double" w:sz="6" w:space="0" w:color="auto"/>
            </w:tcBorders>
            <w:shd w:val="clear" w:color="000000" w:fill="FFFFFF"/>
            <w:vAlign w:val="center"/>
            <w:hideMark/>
          </w:tcPr>
          <w:p w14:paraId="694D85DB" w14:textId="77777777" w:rsidR="00247CBF" w:rsidRPr="00092ED7" w:rsidRDefault="00247CBF" w:rsidP="00247CBF">
            <w:pPr>
              <w:spacing w:after="0"/>
              <w:contextualSpacing/>
              <w:jc w:val="center"/>
              <w:rPr>
                <w:sz w:val="20"/>
                <w:szCs w:val="20"/>
                <w:lang w:val="sr-Cyrl-CS"/>
              </w:rPr>
            </w:pPr>
            <w:r w:rsidRPr="00092ED7">
              <w:rPr>
                <w:sz w:val="20"/>
                <w:szCs w:val="20"/>
                <w:lang w:val="sr-Cyrl-CS"/>
              </w:rPr>
              <w:t>5,4</w:t>
            </w:r>
          </w:p>
        </w:tc>
      </w:tr>
      <w:tr w:rsidR="00247CBF" w:rsidRPr="00092ED7" w14:paraId="0BC04EFC" w14:textId="77777777" w:rsidTr="00247CBF">
        <w:trPr>
          <w:gridBefore w:val="1"/>
          <w:wBefore w:w="8" w:type="pct"/>
          <w:trHeight w:val="300"/>
        </w:trPr>
        <w:tc>
          <w:tcPr>
            <w:tcW w:w="2080" w:type="pct"/>
            <w:tcBorders>
              <w:top w:val="nil"/>
              <w:left w:val="double" w:sz="6" w:space="0" w:color="auto"/>
              <w:bottom w:val="dotted" w:sz="4" w:space="0" w:color="auto"/>
              <w:right w:val="dotted" w:sz="4" w:space="0" w:color="auto"/>
            </w:tcBorders>
            <w:shd w:val="clear" w:color="000000" w:fill="FFFFFF"/>
            <w:vAlign w:val="center"/>
            <w:hideMark/>
          </w:tcPr>
          <w:p w14:paraId="6A39F7A6" w14:textId="77777777" w:rsidR="00247CBF" w:rsidRPr="00092ED7" w:rsidRDefault="00247CBF" w:rsidP="00247CBF">
            <w:pPr>
              <w:spacing w:after="0"/>
              <w:jc w:val="left"/>
              <w:rPr>
                <w:rFonts w:eastAsia="Times New Roman" w:cs="Times New Roman"/>
                <w:sz w:val="20"/>
                <w:szCs w:val="20"/>
                <w:lang w:val="sr-Cyrl-CS"/>
              </w:rPr>
            </w:pPr>
            <w:r w:rsidRPr="00092ED7">
              <w:rPr>
                <w:rFonts w:eastAsia="Times New Roman" w:cs="Times New Roman"/>
                <w:sz w:val="20"/>
                <w:szCs w:val="20"/>
                <w:lang w:val="sr-Cyrl-CS"/>
              </w:rPr>
              <w:t>3. Грађевинарство</w:t>
            </w:r>
          </w:p>
        </w:tc>
        <w:tc>
          <w:tcPr>
            <w:tcW w:w="485" w:type="pct"/>
            <w:tcBorders>
              <w:top w:val="nil"/>
              <w:left w:val="nil"/>
              <w:bottom w:val="dotted" w:sz="4" w:space="0" w:color="auto"/>
              <w:right w:val="nil"/>
            </w:tcBorders>
            <w:shd w:val="clear" w:color="000000" w:fill="FFFFFF"/>
            <w:vAlign w:val="bottom"/>
            <w:hideMark/>
          </w:tcPr>
          <w:p w14:paraId="4CDE9729"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 </w:t>
            </w:r>
          </w:p>
        </w:tc>
        <w:tc>
          <w:tcPr>
            <w:tcW w:w="486" w:type="pct"/>
            <w:gridSpan w:val="2"/>
            <w:tcBorders>
              <w:top w:val="nil"/>
              <w:left w:val="double" w:sz="6" w:space="0" w:color="auto"/>
              <w:bottom w:val="dotted" w:sz="4" w:space="0" w:color="auto"/>
              <w:right w:val="dotted" w:sz="4" w:space="0" w:color="auto"/>
            </w:tcBorders>
            <w:shd w:val="clear" w:color="000000" w:fill="FFFFFF"/>
            <w:vAlign w:val="center"/>
            <w:hideMark/>
          </w:tcPr>
          <w:p w14:paraId="1259E367" w14:textId="77777777" w:rsidR="00247CBF" w:rsidRPr="00092ED7" w:rsidRDefault="00247CBF" w:rsidP="00247CBF">
            <w:pPr>
              <w:spacing w:after="0"/>
              <w:contextualSpacing/>
              <w:jc w:val="center"/>
              <w:rPr>
                <w:sz w:val="20"/>
                <w:szCs w:val="20"/>
                <w:lang w:val="sr-Cyrl-CS"/>
              </w:rPr>
            </w:pPr>
            <w:r w:rsidRPr="00092ED7">
              <w:rPr>
                <w:sz w:val="20"/>
                <w:szCs w:val="20"/>
                <w:lang w:val="sr-Cyrl-CS"/>
              </w:rPr>
              <w:t>17,6</w:t>
            </w:r>
          </w:p>
        </w:tc>
        <w:tc>
          <w:tcPr>
            <w:tcW w:w="485" w:type="pct"/>
            <w:gridSpan w:val="2"/>
            <w:tcBorders>
              <w:top w:val="nil"/>
              <w:left w:val="nil"/>
              <w:bottom w:val="dotted" w:sz="4" w:space="0" w:color="auto"/>
              <w:right w:val="dotted" w:sz="4" w:space="0" w:color="auto"/>
            </w:tcBorders>
            <w:shd w:val="clear" w:color="000000" w:fill="FFFFFF"/>
            <w:vAlign w:val="center"/>
            <w:hideMark/>
          </w:tcPr>
          <w:p w14:paraId="1D75A24A" w14:textId="77777777" w:rsidR="00247CBF" w:rsidRPr="00092ED7" w:rsidRDefault="00247CBF" w:rsidP="00247CBF">
            <w:pPr>
              <w:spacing w:after="0"/>
              <w:contextualSpacing/>
              <w:jc w:val="center"/>
              <w:rPr>
                <w:sz w:val="20"/>
                <w:szCs w:val="20"/>
                <w:lang w:val="sr-Cyrl-CS"/>
              </w:rPr>
            </w:pPr>
            <w:r w:rsidRPr="00092ED7">
              <w:rPr>
                <w:sz w:val="20"/>
                <w:szCs w:val="20"/>
                <w:lang w:val="sr-Cyrl-CS"/>
              </w:rPr>
              <w:t>-8,7</w:t>
            </w:r>
          </w:p>
        </w:tc>
        <w:tc>
          <w:tcPr>
            <w:tcW w:w="486" w:type="pct"/>
            <w:gridSpan w:val="2"/>
            <w:tcBorders>
              <w:top w:val="nil"/>
              <w:left w:val="nil"/>
              <w:bottom w:val="dotted" w:sz="4" w:space="0" w:color="auto"/>
              <w:right w:val="dotted" w:sz="4" w:space="0" w:color="auto"/>
            </w:tcBorders>
            <w:shd w:val="clear" w:color="000000" w:fill="FFFFFF"/>
            <w:vAlign w:val="center"/>
            <w:hideMark/>
          </w:tcPr>
          <w:p w14:paraId="44DFA961" w14:textId="77777777" w:rsidR="00247CBF" w:rsidRPr="00092ED7" w:rsidRDefault="00247CBF" w:rsidP="00247CBF">
            <w:pPr>
              <w:spacing w:after="0"/>
              <w:contextualSpacing/>
              <w:jc w:val="center"/>
              <w:rPr>
                <w:sz w:val="20"/>
                <w:szCs w:val="20"/>
                <w:lang w:val="sr-Cyrl-CS"/>
              </w:rPr>
            </w:pPr>
            <w:r w:rsidRPr="00092ED7">
              <w:rPr>
                <w:sz w:val="20"/>
                <w:szCs w:val="20"/>
                <w:lang w:val="sr-Cyrl-CS"/>
              </w:rPr>
              <w:t>0,9</w:t>
            </w:r>
          </w:p>
        </w:tc>
        <w:tc>
          <w:tcPr>
            <w:tcW w:w="485" w:type="pct"/>
            <w:gridSpan w:val="2"/>
            <w:tcBorders>
              <w:top w:val="nil"/>
              <w:left w:val="nil"/>
              <w:bottom w:val="dotted" w:sz="4" w:space="0" w:color="auto"/>
              <w:right w:val="dotted" w:sz="4" w:space="0" w:color="auto"/>
            </w:tcBorders>
            <w:shd w:val="clear" w:color="000000" w:fill="FFFFFF"/>
            <w:vAlign w:val="center"/>
            <w:hideMark/>
          </w:tcPr>
          <w:p w14:paraId="5371C66E" w14:textId="77777777" w:rsidR="00247CBF" w:rsidRPr="00092ED7" w:rsidRDefault="00247CBF" w:rsidP="00247CBF">
            <w:pPr>
              <w:spacing w:after="0"/>
              <w:contextualSpacing/>
              <w:jc w:val="center"/>
              <w:rPr>
                <w:sz w:val="20"/>
                <w:szCs w:val="20"/>
                <w:lang w:val="sr-Cyrl-CS"/>
              </w:rPr>
            </w:pPr>
            <w:r w:rsidRPr="00092ED7">
              <w:rPr>
                <w:sz w:val="20"/>
                <w:szCs w:val="20"/>
                <w:lang w:val="sr-Cyrl-CS"/>
              </w:rPr>
              <w:t>5,2</w:t>
            </w:r>
          </w:p>
        </w:tc>
        <w:tc>
          <w:tcPr>
            <w:tcW w:w="485" w:type="pct"/>
            <w:gridSpan w:val="2"/>
            <w:tcBorders>
              <w:top w:val="nil"/>
              <w:left w:val="nil"/>
              <w:bottom w:val="dotted" w:sz="4" w:space="0" w:color="auto"/>
              <w:right w:val="double" w:sz="6" w:space="0" w:color="auto"/>
            </w:tcBorders>
            <w:shd w:val="clear" w:color="000000" w:fill="FFFFFF"/>
            <w:vAlign w:val="center"/>
            <w:hideMark/>
          </w:tcPr>
          <w:p w14:paraId="4ED63BC8" w14:textId="77777777" w:rsidR="00247CBF" w:rsidRPr="00092ED7" w:rsidRDefault="00247CBF" w:rsidP="00247CBF">
            <w:pPr>
              <w:spacing w:after="0"/>
              <w:contextualSpacing/>
              <w:jc w:val="center"/>
              <w:rPr>
                <w:sz w:val="20"/>
                <w:szCs w:val="20"/>
                <w:lang w:val="sr-Cyrl-CS"/>
              </w:rPr>
            </w:pPr>
            <w:r w:rsidRPr="00092ED7">
              <w:rPr>
                <w:sz w:val="20"/>
                <w:szCs w:val="20"/>
                <w:lang w:val="sr-Cyrl-CS"/>
              </w:rPr>
              <w:t>5,9</w:t>
            </w:r>
          </w:p>
        </w:tc>
      </w:tr>
      <w:tr w:rsidR="00247CBF" w:rsidRPr="00092ED7" w14:paraId="1915F3D0" w14:textId="77777777" w:rsidTr="00247CBF">
        <w:trPr>
          <w:gridBefore w:val="1"/>
          <w:wBefore w:w="8" w:type="pct"/>
          <w:trHeight w:val="300"/>
        </w:trPr>
        <w:tc>
          <w:tcPr>
            <w:tcW w:w="2080" w:type="pct"/>
            <w:tcBorders>
              <w:top w:val="nil"/>
              <w:left w:val="double" w:sz="6" w:space="0" w:color="auto"/>
              <w:bottom w:val="double" w:sz="6" w:space="0" w:color="auto"/>
              <w:right w:val="dotted" w:sz="4" w:space="0" w:color="auto"/>
            </w:tcBorders>
            <w:shd w:val="clear" w:color="000000" w:fill="FFFFFF"/>
            <w:vAlign w:val="center"/>
            <w:hideMark/>
          </w:tcPr>
          <w:p w14:paraId="6BA2DF87" w14:textId="77777777" w:rsidR="00247CBF" w:rsidRPr="00092ED7" w:rsidRDefault="00247CBF" w:rsidP="00247CBF">
            <w:pPr>
              <w:spacing w:after="0"/>
              <w:jc w:val="left"/>
              <w:rPr>
                <w:rFonts w:eastAsia="Times New Roman" w:cs="Times New Roman"/>
                <w:sz w:val="20"/>
                <w:szCs w:val="20"/>
                <w:lang w:val="sr-Cyrl-CS"/>
              </w:rPr>
            </w:pPr>
            <w:r w:rsidRPr="00092ED7">
              <w:rPr>
                <w:rFonts w:eastAsia="Times New Roman" w:cs="Times New Roman"/>
                <w:sz w:val="20"/>
                <w:szCs w:val="20"/>
                <w:lang w:val="sr-Cyrl-CS"/>
              </w:rPr>
              <w:t>4. Услуге</w:t>
            </w:r>
          </w:p>
        </w:tc>
        <w:tc>
          <w:tcPr>
            <w:tcW w:w="485" w:type="pct"/>
            <w:tcBorders>
              <w:top w:val="nil"/>
              <w:left w:val="nil"/>
              <w:bottom w:val="double" w:sz="6" w:space="0" w:color="auto"/>
              <w:right w:val="nil"/>
            </w:tcBorders>
            <w:shd w:val="clear" w:color="000000" w:fill="FFFFFF"/>
            <w:vAlign w:val="bottom"/>
            <w:hideMark/>
          </w:tcPr>
          <w:p w14:paraId="626630E8"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 </w:t>
            </w:r>
          </w:p>
        </w:tc>
        <w:tc>
          <w:tcPr>
            <w:tcW w:w="486" w:type="pct"/>
            <w:gridSpan w:val="2"/>
            <w:tcBorders>
              <w:top w:val="nil"/>
              <w:left w:val="double" w:sz="6" w:space="0" w:color="auto"/>
              <w:bottom w:val="double" w:sz="6" w:space="0" w:color="auto"/>
              <w:right w:val="dotted" w:sz="4" w:space="0" w:color="auto"/>
            </w:tcBorders>
            <w:shd w:val="clear" w:color="000000" w:fill="FFFFFF"/>
            <w:vAlign w:val="center"/>
            <w:hideMark/>
          </w:tcPr>
          <w:p w14:paraId="056F1FA8" w14:textId="77777777" w:rsidR="00247CBF" w:rsidRPr="00092ED7" w:rsidRDefault="00247CBF" w:rsidP="00247CBF">
            <w:pPr>
              <w:spacing w:after="0"/>
              <w:contextualSpacing/>
              <w:jc w:val="center"/>
              <w:rPr>
                <w:sz w:val="20"/>
                <w:szCs w:val="20"/>
                <w:lang w:val="sr-Cyrl-CS"/>
              </w:rPr>
            </w:pPr>
            <w:r w:rsidRPr="00092ED7">
              <w:rPr>
                <w:sz w:val="20"/>
                <w:szCs w:val="20"/>
                <w:lang w:val="sr-Cyrl-CS"/>
              </w:rPr>
              <w:t>8,3</w:t>
            </w:r>
          </w:p>
        </w:tc>
        <w:tc>
          <w:tcPr>
            <w:tcW w:w="485" w:type="pct"/>
            <w:gridSpan w:val="2"/>
            <w:tcBorders>
              <w:top w:val="nil"/>
              <w:left w:val="nil"/>
              <w:bottom w:val="double" w:sz="6" w:space="0" w:color="auto"/>
              <w:right w:val="dotted" w:sz="4" w:space="0" w:color="auto"/>
            </w:tcBorders>
            <w:shd w:val="clear" w:color="000000" w:fill="FFFFFF"/>
            <w:vAlign w:val="center"/>
            <w:hideMark/>
          </w:tcPr>
          <w:p w14:paraId="131E2EAD" w14:textId="77777777" w:rsidR="00247CBF" w:rsidRPr="00092ED7" w:rsidRDefault="00247CBF" w:rsidP="00247CBF">
            <w:pPr>
              <w:spacing w:after="0"/>
              <w:contextualSpacing/>
              <w:jc w:val="center"/>
              <w:rPr>
                <w:sz w:val="20"/>
                <w:szCs w:val="20"/>
                <w:lang w:val="sr-Cyrl-CS"/>
              </w:rPr>
            </w:pPr>
            <w:r w:rsidRPr="00092ED7">
              <w:rPr>
                <w:sz w:val="20"/>
                <w:szCs w:val="20"/>
                <w:lang w:val="sr-Cyrl-CS"/>
              </w:rPr>
              <w:t>4,8</w:t>
            </w:r>
          </w:p>
        </w:tc>
        <w:tc>
          <w:tcPr>
            <w:tcW w:w="486" w:type="pct"/>
            <w:gridSpan w:val="2"/>
            <w:tcBorders>
              <w:top w:val="nil"/>
              <w:left w:val="nil"/>
              <w:bottom w:val="double" w:sz="6" w:space="0" w:color="auto"/>
              <w:right w:val="dotted" w:sz="4" w:space="0" w:color="auto"/>
            </w:tcBorders>
            <w:shd w:val="clear" w:color="000000" w:fill="FFFFFF"/>
            <w:vAlign w:val="center"/>
            <w:hideMark/>
          </w:tcPr>
          <w:p w14:paraId="07F150A2" w14:textId="77777777" w:rsidR="00247CBF" w:rsidRPr="00092ED7" w:rsidRDefault="00247CBF" w:rsidP="00247CBF">
            <w:pPr>
              <w:spacing w:after="0"/>
              <w:contextualSpacing/>
              <w:jc w:val="center"/>
              <w:rPr>
                <w:sz w:val="20"/>
                <w:szCs w:val="20"/>
                <w:lang w:val="sr-Cyrl-CS"/>
              </w:rPr>
            </w:pPr>
            <w:r w:rsidRPr="00092ED7">
              <w:rPr>
                <w:sz w:val="20"/>
                <w:szCs w:val="20"/>
                <w:lang w:val="sr-Cyrl-CS"/>
              </w:rPr>
              <w:t>2,6</w:t>
            </w:r>
          </w:p>
        </w:tc>
        <w:tc>
          <w:tcPr>
            <w:tcW w:w="485" w:type="pct"/>
            <w:gridSpan w:val="2"/>
            <w:tcBorders>
              <w:top w:val="nil"/>
              <w:left w:val="nil"/>
              <w:bottom w:val="double" w:sz="6" w:space="0" w:color="auto"/>
              <w:right w:val="dotted" w:sz="4" w:space="0" w:color="auto"/>
            </w:tcBorders>
            <w:shd w:val="clear" w:color="000000" w:fill="FFFFFF"/>
            <w:vAlign w:val="center"/>
            <w:hideMark/>
          </w:tcPr>
          <w:p w14:paraId="4FAF09A7" w14:textId="77777777" w:rsidR="00247CBF" w:rsidRPr="00092ED7" w:rsidRDefault="00247CBF" w:rsidP="00247CBF">
            <w:pPr>
              <w:spacing w:after="0"/>
              <w:contextualSpacing/>
              <w:jc w:val="center"/>
              <w:rPr>
                <w:sz w:val="20"/>
                <w:szCs w:val="20"/>
                <w:lang w:val="sr-Cyrl-CS"/>
              </w:rPr>
            </w:pPr>
            <w:r w:rsidRPr="00092ED7">
              <w:rPr>
                <w:sz w:val="20"/>
                <w:szCs w:val="20"/>
                <w:lang w:val="sr-Cyrl-CS"/>
              </w:rPr>
              <w:t>3,8</w:t>
            </w:r>
          </w:p>
        </w:tc>
        <w:tc>
          <w:tcPr>
            <w:tcW w:w="485" w:type="pct"/>
            <w:gridSpan w:val="2"/>
            <w:tcBorders>
              <w:top w:val="nil"/>
              <w:left w:val="nil"/>
              <w:bottom w:val="double" w:sz="6" w:space="0" w:color="auto"/>
              <w:right w:val="double" w:sz="6" w:space="0" w:color="auto"/>
            </w:tcBorders>
            <w:shd w:val="clear" w:color="000000" w:fill="FFFFFF"/>
            <w:vAlign w:val="center"/>
            <w:hideMark/>
          </w:tcPr>
          <w:p w14:paraId="09122B5B" w14:textId="77777777" w:rsidR="00247CBF" w:rsidRPr="00092ED7" w:rsidRDefault="00247CBF" w:rsidP="00247CBF">
            <w:pPr>
              <w:spacing w:after="0"/>
              <w:contextualSpacing/>
              <w:jc w:val="center"/>
              <w:rPr>
                <w:sz w:val="20"/>
                <w:szCs w:val="20"/>
                <w:lang w:val="sr-Cyrl-CS"/>
              </w:rPr>
            </w:pPr>
            <w:r w:rsidRPr="00092ED7">
              <w:rPr>
                <w:sz w:val="20"/>
                <w:szCs w:val="20"/>
                <w:lang w:val="sr-Cyrl-CS"/>
              </w:rPr>
              <w:t>4,0</w:t>
            </w:r>
          </w:p>
        </w:tc>
      </w:tr>
    </w:tbl>
    <w:p w14:paraId="7A373D6A" w14:textId="77777777" w:rsidR="00247CBF" w:rsidRPr="00092ED7" w:rsidRDefault="00247CBF" w:rsidP="00247CBF">
      <w:pPr>
        <w:spacing w:after="0"/>
        <w:rPr>
          <w:rFonts w:cs="Times New Roman"/>
          <w:lang w:val="sr-Cyrl-CS"/>
        </w:rPr>
      </w:pPr>
    </w:p>
    <w:p w14:paraId="343BF6F5" w14:textId="77777777" w:rsidR="00247CBF" w:rsidRPr="00092ED7" w:rsidRDefault="00247CBF" w:rsidP="00247CBF">
      <w:pPr>
        <w:spacing w:after="0"/>
        <w:rPr>
          <w:rFonts w:cs="Times New Roman"/>
          <w:lang w:val="sr-Cyrl-CS"/>
        </w:rPr>
      </w:pPr>
    </w:p>
    <w:p w14:paraId="7B7DDAC2" w14:textId="77777777" w:rsidR="00247CBF" w:rsidRPr="00092ED7" w:rsidRDefault="00247CBF" w:rsidP="00247CBF">
      <w:pPr>
        <w:spacing w:after="0"/>
        <w:rPr>
          <w:rFonts w:cs="Times New Roman"/>
          <w:lang w:val="sr-Cyrl-CS"/>
        </w:rPr>
      </w:pPr>
      <w:r w:rsidRPr="00092ED7">
        <w:rPr>
          <w:rFonts w:cs="Times New Roman"/>
          <w:lang w:val="sr-Cyrl-CS"/>
        </w:rPr>
        <w:br w:type="page"/>
      </w:r>
    </w:p>
    <w:tbl>
      <w:tblPr>
        <w:tblW w:w="5011" w:type="pct"/>
        <w:tblLook w:val="04A0" w:firstRow="1" w:lastRow="0" w:firstColumn="1" w:lastColumn="0" w:noHBand="0" w:noVBand="1"/>
      </w:tblPr>
      <w:tblGrid>
        <w:gridCol w:w="24"/>
        <w:gridCol w:w="5742"/>
        <w:gridCol w:w="53"/>
        <w:gridCol w:w="1559"/>
        <w:gridCol w:w="85"/>
        <w:gridCol w:w="1361"/>
        <w:gridCol w:w="20"/>
        <w:gridCol w:w="1186"/>
        <w:gridCol w:w="239"/>
        <w:gridCol w:w="946"/>
        <w:gridCol w:w="499"/>
        <w:gridCol w:w="686"/>
        <w:gridCol w:w="759"/>
        <w:gridCol w:w="1425"/>
        <w:gridCol w:w="18"/>
      </w:tblGrid>
      <w:tr w:rsidR="00247CBF" w:rsidRPr="00092ED7" w14:paraId="7FC528E8" w14:textId="77777777" w:rsidTr="00247CBF">
        <w:trPr>
          <w:gridAfter w:val="1"/>
          <w:wAfter w:w="6" w:type="pct"/>
          <w:trHeight w:val="315"/>
        </w:trPr>
        <w:tc>
          <w:tcPr>
            <w:tcW w:w="1974" w:type="pct"/>
            <w:gridSpan w:val="2"/>
            <w:tcBorders>
              <w:top w:val="nil"/>
              <w:left w:val="nil"/>
              <w:bottom w:val="double" w:sz="6" w:space="0" w:color="auto"/>
              <w:right w:val="nil"/>
            </w:tcBorders>
            <w:shd w:val="clear" w:color="000000" w:fill="FFFFFF"/>
            <w:noWrap/>
            <w:vAlign w:val="center"/>
            <w:hideMark/>
          </w:tcPr>
          <w:p w14:paraId="263E48CD" w14:textId="77777777" w:rsidR="00247CBF" w:rsidRPr="00092ED7" w:rsidRDefault="00247CBF" w:rsidP="00247CBF">
            <w:pPr>
              <w:spacing w:after="0"/>
              <w:rPr>
                <w:rFonts w:eastAsia="Times New Roman" w:cs="Times New Roman"/>
                <w:b/>
                <w:bCs/>
                <w:sz w:val="20"/>
                <w:szCs w:val="20"/>
                <w:lang w:val="sr-Cyrl-CS"/>
              </w:rPr>
            </w:pPr>
            <w:r w:rsidRPr="00092ED7">
              <w:rPr>
                <w:rFonts w:eastAsia="Times New Roman" w:cs="Times New Roman"/>
                <w:b/>
                <w:bCs/>
                <w:sz w:val="20"/>
                <w:szCs w:val="20"/>
                <w:lang w:val="sr-Cyrl-CS"/>
              </w:rPr>
              <w:lastRenderedPageBreak/>
              <w:t>Табела 1f: Кретања у екстерном сектору</w:t>
            </w:r>
          </w:p>
        </w:tc>
        <w:tc>
          <w:tcPr>
            <w:tcW w:w="581" w:type="pct"/>
            <w:gridSpan w:val="3"/>
            <w:tcBorders>
              <w:top w:val="nil"/>
              <w:left w:val="nil"/>
              <w:bottom w:val="double" w:sz="6" w:space="0" w:color="auto"/>
              <w:right w:val="nil"/>
            </w:tcBorders>
            <w:shd w:val="clear" w:color="000000" w:fill="FFFFFF"/>
            <w:noWrap/>
            <w:vAlign w:val="bottom"/>
            <w:hideMark/>
          </w:tcPr>
          <w:p w14:paraId="3E7BB1EC" w14:textId="77777777" w:rsidR="00247CBF" w:rsidRPr="00092ED7" w:rsidRDefault="00247CBF" w:rsidP="00247CBF">
            <w:pPr>
              <w:spacing w:after="0"/>
              <w:jc w:val="center"/>
              <w:rPr>
                <w:rFonts w:eastAsia="Times New Roman" w:cs="Times New Roman"/>
                <w:b/>
                <w:bCs/>
                <w:sz w:val="20"/>
                <w:szCs w:val="20"/>
                <w:lang w:val="sr-Cyrl-CS"/>
              </w:rPr>
            </w:pPr>
            <w:r w:rsidRPr="00092ED7">
              <w:rPr>
                <w:rFonts w:eastAsia="Times New Roman" w:cs="Times New Roman"/>
                <w:b/>
                <w:bCs/>
                <w:sz w:val="20"/>
                <w:szCs w:val="20"/>
                <w:lang w:val="sr-Cyrl-CS"/>
              </w:rPr>
              <w:t> </w:t>
            </w:r>
          </w:p>
        </w:tc>
        <w:tc>
          <w:tcPr>
            <w:tcW w:w="473" w:type="pct"/>
            <w:gridSpan w:val="2"/>
            <w:tcBorders>
              <w:top w:val="nil"/>
              <w:left w:val="nil"/>
              <w:bottom w:val="double" w:sz="6" w:space="0" w:color="auto"/>
              <w:right w:val="nil"/>
            </w:tcBorders>
            <w:shd w:val="clear" w:color="000000" w:fill="FFFFFF"/>
            <w:noWrap/>
            <w:vAlign w:val="bottom"/>
            <w:hideMark/>
          </w:tcPr>
          <w:p w14:paraId="2A656F38"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406" w:type="pct"/>
            <w:tcBorders>
              <w:top w:val="nil"/>
              <w:left w:val="nil"/>
              <w:bottom w:val="double" w:sz="6" w:space="0" w:color="auto"/>
              <w:right w:val="nil"/>
            </w:tcBorders>
            <w:shd w:val="clear" w:color="000000" w:fill="FFFFFF"/>
            <w:noWrap/>
            <w:vAlign w:val="bottom"/>
            <w:hideMark/>
          </w:tcPr>
          <w:p w14:paraId="106891EF"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406" w:type="pct"/>
            <w:gridSpan w:val="2"/>
            <w:tcBorders>
              <w:top w:val="nil"/>
              <w:left w:val="nil"/>
              <w:bottom w:val="double" w:sz="6" w:space="0" w:color="auto"/>
              <w:right w:val="nil"/>
            </w:tcBorders>
            <w:shd w:val="clear" w:color="000000" w:fill="FFFFFF"/>
            <w:noWrap/>
            <w:vAlign w:val="bottom"/>
            <w:hideMark/>
          </w:tcPr>
          <w:p w14:paraId="16B34875"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406" w:type="pct"/>
            <w:gridSpan w:val="2"/>
            <w:tcBorders>
              <w:top w:val="nil"/>
              <w:left w:val="nil"/>
              <w:bottom w:val="double" w:sz="6" w:space="0" w:color="auto"/>
              <w:right w:val="nil"/>
            </w:tcBorders>
            <w:shd w:val="clear" w:color="000000" w:fill="FFFFFF"/>
            <w:noWrap/>
            <w:vAlign w:val="bottom"/>
            <w:hideMark/>
          </w:tcPr>
          <w:p w14:paraId="76EF60AE"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748" w:type="pct"/>
            <w:gridSpan w:val="2"/>
            <w:tcBorders>
              <w:top w:val="nil"/>
              <w:left w:val="nil"/>
              <w:bottom w:val="double" w:sz="6" w:space="0" w:color="auto"/>
              <w:right w:val="nil"/>
            </w:tcBorders>
            <w:shd w:val="clear" w:color="000000" w:fill="FFFFFF"/>
            <w:noWrap/>
            <w:vAlign w:val="bottom"/>
            <w:hideMark/>
          </w:tcPr>
          <w:p w14:paraId="585CEB8B" w14:textId="77777777" w:rsidR="00247CBF" w:rsidRPr="00092ED7" w:rsidRDefault="00247CBF" w:rsidP="00247CBF">
            <w:pPr>
              <w:spacing w:after="0"/>
              <w:jc w:val="right"/>
              <w:rPr>
                <w:rFonts w:eastAsia="Times New Roman" w:cs="Times New Roman"/>
                <w:b/>
                <w:bCs/>
                <w:sz w:val="20"/>
                <w:szCs w:val="20"/>
                <w:lang w:val="sr-Cyrl-CS"/>
              </w:rPr>
            </w:pPr>
            <w:r w:rsidRPr="00092ED7">
              <w:rPr>
                <w:rFonts w:eastAsia="Times New Roman" w:cs="Times New Roman"/>
                <w:b/>
                <w:bCs/>
                <w:sz w:val="20"/>
                <w:szCs w:val="20"/>
                <w:lang w:val="sr-Cyrl-CS"/>
              </w:rPr>
              <w:t>Република Србија</w:t>
            </w:r>
          </w:p>
        </w:tc>
      </w:tr>
      <w:tr w:rsidR="00247CBF" w:rsidRPr="00092ED7" w14:paraId="2644A0EA" w14:textId="77777777" w:rsidTr="00247CBF">
        <w:trPr>
          <w:gridBefore w:val="1"/>
          <w:wBefore w:w="8" w:type="pct"/>
          <w:trHeight w:val="330"/>
        </w:trPr>
        <w:tc>
          <w:tcPr>
            <w:tcW w:w="1984" w:type="pct"/>
            <w:gridSpan w:val="2"/>
            <w:tcBorders>
              <w:top w:val="double" w:sz="6" w:space="0" w:color="auto"/>
              <w:left w:val="double" w:sz="6" w:space="0" w:color="auto"/>
              <w:bottom w:val="double" w:sz="4" w:space="0" w:color="auto"/>
              <w:right w:val="single" w:sz="8" w:space="0" w:color="auto"/>
            </w:tcBorders>
            <w:shd w:val="clear" w:color="000000" w:fill="FFFFFF"/>
            <w:vAlign w:val="center"/>
            <w:hideMark/>
          </w:tcPr>
          <w:p w14:paraId="49BF3E52"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У милијардама евра, уколико није другачије наведено</w:t>
            </w:r>
          </w:p>
        </w:tc>
        <w:tc>
          <w:tcPr>
            <w:tcW w:w="534" w:type="pct"/>
            <w:tcBorders>
              <w:top w:val="double" w:sz="6" w:space="0" w:color="auto"/>
              <w:left w:val="nil"/>
              <w:bottom w:val="double" w:sz="4" w:space="0" w:color="auto"/>
              <w:right w:val="single" w:sz="8" w:space="0" w:color="auto"/>
            </w:tcBorders>
            <w:shd w:val="clear" w:color="000000" w:fill="FFFFFF"/>
            <w:vAlign w:val="center"/>
            <w:hideMark/>
          </w:tcPr>
          <w:p w14:paraId="48C6BB50" w14:textId="77777777" w:rsidR="00247CBF" w:rsidRPr="00092ED7" w:rsidRDefault="00247CBF" w:rsidP="00247CBF">
            <w:pPr>
              <w:spacing w:after="0"/>
              <w:jc w:val="center"/>
              <w:rPr>
                <w:rFonts w:eastAsia="Times New Roman" w:cs="Times New Roman"/>
                <w:sz w:val="20"/>
                <w:szCs w:val="20"/>
                <w:lang w:val="sr-Cyrl-CS"/>
              </w:rPr>
            </w:pPr>
          </w:p>
        </w:tc>
        <w:tc>
          <w:tcPr>
            <w:tcW w:w="495" w:type="pct"/>
            <w:gridSpan w:val="2"/>
            <w:tcBorders>
              <w:top w:val="double" w:sz="6" w:space="0" w:color="auto"/>
              <w:left w:val="nil"/>
              <w:bottom w:val="double" w:sz="4" w:space="0" w:color="auto"/>
              <w:right w:val="dotted" w:sz="4" w:space="0" w:color="auto"/>
            </w:tcBorders>
            <w:shd w:val="clear" w:color="000000" w:fill="FFFFFF"/>
            <w:vAlign w:val="center"/>
            <w:hideMark/>
          </w:tcPr>
          <w:p w14:paraId="0B0CB8A5" w14:textId="77777777" w:rsidR="00247CBF" w:rsidRPr="00092ED7" w:rsidRDefault="00247CBF" w:rsidP="00247CBF">
            <w:pPr>
              <w:spacing w:after="0"/>
              <w:jc w:val="center"/>
              <w:rPr>
                <w:sz w:val="20"/>
                <w:lang w:val="sr-Cyrl-CS"/>
              </w:rPr>
            </w:pPr>
            <w:r w:rsidRPr="00092ED7">
              <w:rPr>
                <w:sz w:val="20"/>
                <w:lang w:val="sr-Cyrl-CS"/>
              </w:rPr>
              <w:t>Година</w:t>
            </w:r>
          </w:p>
          <w:p w14:paraId="0214377C" w14:textId="77777777" w:rsidR="00247CBF" w:rsidRPr="00092ED7" w:rsidRDefault="00247CBF" w:rsidP="00247CBF">
            <w:pPr>
              <w:spacing w:after="0"/>
              <w:jc w:val="center"/>
              <w:rPr>
                <w:sz w:val="20"/>
                <w:lang w:val="sr-Cyrl-CS"/>
              </w:rPr>
            </w:pPr>
            <w:r w:rsidRPr="00092ED7">
              <w:rPr>
                <w:sz w:val="20"/>
                <w:lang w:val="sr-Cyrl-CS"/>
              </w:rPr>
              <w:t>2021</w:t>
            </w:r>
          </w:p>
        </w:tc>
        <w:tc>
          <w:tcPr>
            <w:tcW w:w="495" w:type="pct"/>
            <w:gridSpan w:val="3"/>
            <w:tcBorders>
              <w:top w:val="double" w:sz="6" w:space="0" w:color="auto"/>
              <w:left w:val="nil"/>
              <w:bottom w:val="double" w:sz="4" w:space="0" w:color="auto"/>
              <w:right w:val="dotted" w:sz="4" w:space="0" w:color="auto"/>
            </w:tcBorders>
            <w:shd w:val="clear" w:color="000000" w:fill="FFFFFF"/>
            <w:vAlign w:val="center"/>
            <w:hideMark/>
          </w:tcPr>
          <w:p w14:paraId="5CA14399" w14:textId="77777777" w:rsidR="00247CBF" w:rsidRPr="00092ED7" w:rsidRDefault="00247CBF" w:rsidP="00247CBF">
            <w:pPr>
              <w:spacing w:after="0"/>
              <w:jc w:val="center"/>
              <w:rPr>
                <w:sz w:val="20"/>
                <w:lang w:val="sr-Cyrl-CS"/>
              </w:rPr>
            </w:pPr>
            <w:r w:rsidRPr="00092ED7">
              <w:rPr>
                <w:sz w:val="20"/>
                <w:lang w:val="sr-Cyrl-CS"/>
              </w:rPr>
              <w:t>Година</w:t>
            </w:r>
          </w:p>
          <w:p w14:paraId="31AB1D3A" w14:textId="77777777" w:rsidR="00247CBF" w:rsidRPr="00092ED7" w:rsidRDefault="00247CBF" w:rsidP="00247CBF">
            <w:pPr>
              <w:spacing w:after="0"/>
              <w:jc w:val="center"/>
              <w:rPr>
                <w:sz w:val="20"/>
                <w:lang w:val="sr-Cyrl-CS"/>
              </w:rPr>
            </w:pPr>
            <w:r w:rsidRPr="00092ED7">
              <w:rPr>
                <w:sz w:val="20"/>
                <w:lang w:val="sr-Cyrl-CS"/>
              </w:rPr>
              <w:t>2022</w:t>
            </w:r>
          </w:p>
        </w:tc>
        <w:tc>
          <w:tcPr>
            <w:tcW w:w="495" w:type="pct"/>
            <w:gridSpan w:val="2"/>
            <w:tcBorders>
              <w:top w:val="double" w:sz="6" w:space="0" w:color="auto"/>
              <w:left w:val="nil"/>
              <w:bottom w:val="double" w:sz="4" w:space="0" w:color="auto"/>
              <w:right w:val="dotted" w:sz="4" w:space="0" w:color="auto"/>
            </w:tcBorders>
            <w:shd w:val="clear" w:color="000000" w:fill="FFFFFF"/>
            <w:vAlign w:val="center"/>
            <w:hideMark/>
          </w:tcPr>
          <w:p w14:paraId="0C8CFFFB" w14:textId="77777777" w:rsidR="00247CBF" w:rsidRPr="00092ED7" w:rsidRDefault="00247CBF" w:rsidP="00247CBF">
            <w:pPr>
              <w:spacing w:after="0"/>
              <w:jc w:val="center"/>
              <w:rPr>
                <w:sz w:val="20"/>
                <w:lang w:val="sr-Cyrl-CS"/>
              </w:rPr>
            </w:pPr>
            <w:r w:rsidRPr="00092ED7">
              <w:rPr>
                <w:sz w:val="20"/>
                <w:lang w:val="sr-Cyrl-CS"/>
              </w:rPr>
              <w:t>Година</w:t>
            </w:r>
          </w:p>
          <w:p w14:paraId="184505B8" w14:textId="77777777" w:rsidR="00247CBF" w:rsidRPr="00092ED7" w:rsidRDefault="00247CBF" w:rsidP="00247CBF">
            <w:pPr>
              <w:spacing w:after="0"/>
              <w:jc w:val="center"/>
              <w:rPr>
                <w:sz w:val="20"/>
                <w:lang w:val="sr-Cyrl-CS"/>
              </w:rPr>
            </w:pPr>
            <w:r w:rsidRPr="00092ED7">
              <w:rPr>
                <w:sz w:val="20"/>
                <w:lang w:val="sr-Cyrl-CS"/>
              </w:rPr>
              <w:t>2023</w:t>
            </w:r>
          </w:p>
        </w:tc>
        <w:tc>
          <w:tcPr>
            <w:tcW w:w="495" w:type="pct"/>
            <w:gridSpan w:val="2"/>
            <w:tcBorders>
              <w:top w:val="double" w:sz="6" w:space="0" w:color="auto"/>
              <w:left w:val="nil"/>
              <w:bottom w:val="double" w:sz="4" w:space="0" w:color="auto"/>
              <w:right w:val="dotted" w:sz="4" w:space="0" w:color="auto"/>
            </w:tcBorders>
            <w:shd w:val="clear" w:color="000000" w:fill="FFFFFF"/>
            <w:vAlign w:val="center"/>
            <w:hideMark/>
          </w:tcPr>
          <w:p w14:paraId="2AF92CE7" w14:textId="77777777" w:rsidR="00247CBF" w:rsidRPr="00092ED7" w:rsidRDefault="00247CBF" w:rsidP="00247CBF">
            <w:pPr>
              <w:spacing w:after="0"/>
              <w:jc w:val="center"/>
              <w:rPr>
                <w:sz w:val="20"/>
                <w:lang w:val="sr-Cyrl-CS"/>
              </w:rPr>
            </w:pPr>
            <w:r w:rsidRPr="00092ED7">
              <w:rPr>
                <w:sz w:val="20"/>
                <w:lang w:val="sr-Cyrl-CS"/>
              </w:rPr>
              <w:t>Година</w:t>
            </w:r>
          </w:p>
          <w:p w14:paraId="343C5137" w14:textId="77777777" w:rsidR="00247CBF" w:rsidRPr="00092ED7" w:rsidRDefault="00247CBF" w:rsidP="00247CBF">
            <w:pPr>
              <w:spacing w:after="0"/>
              <w:jc w:val="center"/>
              <w:rPr>
                <w:sz w:val="20"/>
                <w:lang w:val="sr-Cyrl-CS"/>
              </w:rPr>
            </w:pPr>
            <w:r w:rsidRPr="00092ED7">
              <w:rPr>
                <w:sz w:val="20"/>
                <w:lang w:val="sr-Cyrl-CS"/>
              </w:rPr>
              <w:t>2024</w:t>
            </w:r>
          </w:p>
        </w:tc>
        <w:tc>
          <w:tcPr>
            <w:tcW w:w="494" w:type="pct"/>
            <w:gridSpan w:val="2"/>
            <w:tcBorders>
              <w:top w:val="double" w:sz="6" w:space="0" w:color="auto"/>
              <w:left w:val="nil"/>
              <w:bottom w:val="double" w:sz="4" w:space="0" w:color="auto"/>
              <w:right w:val="double" w:sz="6" w:space="0" w:color="auto"/>
            </w:tcBorders>
            <w:shd w:val="clear" w:color="000000" w:fill="FFFFFF"/>
            <w:vAlign w:val="center"/>
            <w:hideMark/>
          </w:tcPr>
          <w:p w14:paraId="090486C5" w14:textId="77777777" w:rsidR="00247CBF" w:rsidRPr="00092ED7" w:rsidRDefault="00247CBF" w:rsidP="00247CBF">
            <w:pPr>
              <w:spacing w:after="0"/>
              <w:jc w:val="center"/>
              <w:rPr>
                <w:sz w:val="20"/>
                <w:lang w:val="sr-Cyrl-CS"/>
              </w:rPr>
            </w:pPr>
            <w:r w:rsidRPr="00092ED7">
              <w:rPr>
                <w:sz w:val="20"/>
                <w:lang w:val="sr-Cyrl-CS"/>
              </w:rPr>
              <w:t>Година</w:t>
            </w:r>
          </w:p>
          <w:p w14:paraId="0DB2FA9A" w14:textId="77777777" w:rsidR="00247CBF" w:rsidRPr="00092ED7" w:rsidRDefault="00247CBF" w:rsidP="00247CBF">
            <w:pPr>
              <w:spacing w:after="0"/>
              <w:jc w:val="center"/>
              <w:rPr>
                <w:sz w:val="20"/>
                <w:lang w:val="sr-Cyrl-CS"/>
              </w:rPr>
            </w:pPr>
            <w:r w:rsidRPr="00092ED7">
              <w:rPr>
                <w:sz w:val="20"/>
                <w:lang w:val="sr-Cyrl-CS"/>
              </w:rPr>
              <w:t>2025</w:t>
            </w:r>
          </w:p>
        </w:tc>
      </w:tr>
      <w:tr w:rsidR="00247CBF" w:rsidRPr="00092ED7" w14:paraId="52C47568" w14:textId="77777777" w:rsidTr="00247CBF">
        <w:trPr>
          <w:gridBefore w:val="1"/>
          <w:wBefore w:w="8" w:type="pct"/>
          <w:trHeight w:val="300"/>
        </w:trPr>
        <w:tc>
          <w:tcPr>
            <w:tcW w:w="1984" w:type="pct"/>
            <w:gridSpan w:val="2"/>
            <w:tcBorders>
              <w:top w:val="double" w:sz="4" w:space="0" w:color="auto"/>
              <w:left w:val="double" w:sz="6" w:space="0" w:color="auto"/>
              <w:bottom w:val="dotted" w:sz="4" w:space="0" w:color="auto"/>
              <w:right w:val="single" w:sz="8" w:space="0" w:color="auto"/>
            </w:tcBorders>
            <w:shd w:val="clear" w:color="000000" w:fill="FFFFFF"/>
            <w:hideMark/>
          </w:tcPr>
          <w:p w14:paraId="31DE08FA" w14:textId="77777777" w:rsidR="00247CBF" w:rsidRPr="00092ED7" w:rsidRDefault="00247CBF" w:rsidP="00247CBF">
            <w:pPr>
              <w:spacing w:after="0"/>
              <w:jc w:val="left"/>
              <w:rPr>
                <w:sz w:val="20"/>
                <w:szCs w:val="20"/>
                <w:lang w:val="sr-Cyrl-CS"/>
              </w:rPr>
            </w:pPr>
            <w:r w:rsidRPr="00092ED7">
              <w:rPr>
                <w:sz w:val="20"/>
                <w:szCs w:val="20"/>
                <w:lang w:val="sr-Cyrl-CS"/>
              </w:rPr>
              <w:t>1. Биланс текућих трансакција (% БДП-а)</w:t>
            </w:r>
          </w:p>
        </w:tc>
        <w:tc>
          <w:tcPr>
            <w:tcW w:w="534" w:type="pct"/>
            <w:tcBorders>
              <w:top w:val="double" w:sz="4" w:space="0" w:color="auto"/>
              <w:left w:val="nil"/>
              <w:bottom w:val="dotted" w:sz="4" w:space="0" w:color="auto"/>
              <w:right w:val="single" w:sz="8" w:space="0" w:color="auto"/>
            </w:tcBorders>
            <w:shd w:val="clear" w:color="000000" w:fill="FFFFFF"/>
            <w:vAlign w:val="center"/>
            <w:hideMark/>
          </w:tcPr>
          <w:p w14:paraId="2E0B1BBD" w14:textId="77777777" w:rsidR="00247CBF" w:rsidRPr="00092ED7" w:rsidRDefault="00247CBF" w:rsidP="00247CBF">
            <w:pPr>
              <w:spacing w:after="0"/>
              <w:jc w:val="center"/>
              <w:rPr>
                <w:sz w:val="16"/>
                <w:szCs w:val="16"/>
                <w:lang w:val="sr-Cyrl-CS"/>
              </w:rPr>
            </w:pPr>
            <w:r w:rsidRPr="00092ED7">
              <w:rPr>
                <w:sz w:val="16"/>
                <w:szCs w:val="16"/>
                <w:lang w:val="sr-Cyrl-CS"/>
              </w:rPr>
              <w:t>% БДП</w:t>
            </w:r>
          </w:p>
        </w:tc>
        <w:tc>
          <w:tcPr>
            <w:tcW w:w="495" w:type="pct"/>
            <w:gridSpan w:val="2"/>
            <w:tcBorders>
              <w:top w:val="double" w:sz="4" w:space="0" w:color="auto"/>
              <w:left w:val="nil"/>
              <w:bottom w:val="dotted" w:sz="4" w:space="0" w:color="auto"/>
              <w:right w:val="dotted" w:sz="4" w:space="0" w:color="auto"/>
            </w:tcBorders>
            <w:shd w:val="clear" w:color="000000" w:fill="FFFFFF"/>
            <w:hideMark/>
          </w:tcPr>
          <w:p w14:paraId="7B33EEFC" w14:textId="77777777" w:rsidR="00247CBF" w:rsidRPr="00092ED7" w:rsidRDefault="00247CBF" w:rsidP="00247CBF">
            <w:pPr>
              <w:spacing w:after="0"/>
              <w:jc w:val="center"/>
              <w:rPr>
                <w:sz w:val="20"/>
                <w:szCs w:val="20"/>
                <w:lang w:val="sr-Cyrl-CS"/>
              </w:rPr>
            </w:pPr>
            <w:r w:rsidRPr="00092ED7">
              <w:rPr>
                <w:sz w:val="20"/>
                <w:szCs w:val="20"/>
                <w:lang w:val="sr-Cyrl-CS"/>
              </w:rPr>
              <w:t>-4,3</w:t>
            </w:r>
          </w:p>
        </w:tc>
        <w:tc>
          <w:tcPr>
            <w:tcW w:w="495" w:type="pct"/>
            <w:gridSpan w:val="3"/>
            <w:tcBorders>
              <w:top w:val="double" w:sz="4" w:space="0" w:color="auto"/>
              <w:left w:val="nil"/>
              <w:bottom w:val="dotted" w:sz="4" w:space="0" w:color="auto"/>
              <w:right w:val="dotted" w:sz="4" w:space="0" w:color="auto"/>
            </w:tcBorders>
            <w:shd w:val="clear" w:color="000000" w:fill="FFFFFF"/>
            <w:hideMark/>
          </w:tcPr>
          <w:p w14:paraId="126424C6" w14:textId="77777777" w:rsidR="00247CBF" w:rsidRPr="00092ED7" w:rsidRDefault="00247CBF" w:rsidP="00247CBF">
            <w:pPr>
              <w:spacing w:after="0"/>
              <w:jc w:val="center"/>
              <w:rPr>
                <w:sz w:val="20"/>
                <w:szCs w:val="20"/>
                <w:lang w:val="sr-Cyrl-CS"/>
              </w:rPr>
            </w:pPr>
            <w:r w:rsidRPr="00092ED7">
              <w:rPr>
                <w:sz w:val="20"/>
                <w:szCs w:val="20"/>
                <w:lang w:val="sr-Cyrl-CS"/>
              </w:rPr>
              <w:t>-9,0</w:t>
            </w:r>
          </w:p>
        </w:tc>
        <w:tc>
          <w:tcPr>
            <w:tcW w:w="495" w:type="pct"/>
            <w:gridSpan w:val="2"/>
            <w:tcBorders>
              <w:top w:val="double" w:sz="4" w:space="0" w:color="auto"/>
              <w:left w:val="nil"/>
              <w:bottom w:val="dotted" w:sz="4" w:space="0" w:color="auto"/>
              <w:right w:val="dotted" w:sz="4" w:space="0" w:color="auto"/>
            </w:tcBorders>
            <w:shd w:val="clear" w:color="000000" w:fill="FFFFFF"/>
            <w:hideMark/>
          </w:tcPr>
          <w:p w14:paraId="26E370B6" w14:textId="77777777" w:rsidR="00247CBF" w:rsidRPr="00092ED7" w:rsidRDefault="00247CBF" w:rsidP="00247CBF">
            <w:pPr>
              <w:spacing w:after="0"/>
              <w:jc w:val="center"/>
              <w:rPr>
                <w:sz w:val="20"/>
                <w:szCs w:val="20"/>
                <w:lang w:val="sr-Cyrl-CS"/>
              </w:rPr>
            </w:pPr>
            <w:r w:rsidRPr="00092ED7">
              <w:rPr>
                <w:sz w:val="20"/>
                <w:szCs w:val="20"/>
                <w:lang w:val="sr-Cyrl-CS"/>
              </w:rPr>
              <w:t>-8,5</w:t>
            </w:r>
          </w:p>
        </w:tc>
        <w:tc>
          <w:tcPr>
            <w:tcW w:w="495" w:type="pct"/>
            <w:gridSpan w:val="2"/>
            <w:tcBorders>
              <w:top w:val="double" w:sz="4" w:space="0" w:color="auto"/>
              <w:left w:val="nil"/>
              <w:bottom w:val="dotted" w:sz="4" w:space="0" w:color="auto"/>
              <w:right w:val="dotted" w:sz="4" w:space="0" w:color="auto"/>
            </w:tcBorders>
            <w:shd w:val="clear" w:color="000000" w:fill="FFFFFF"/>
            <w:hideMark/>
          </w:tcPr>
          <w:p w14:paraId="7E67B31B" w14:textId="77777777" w:rsidR="00247CBF" w:rsidRPr="00092ED7" w:rsidRDefault="00247CBF" w:rsidP="00247CBF">
            <w:pPr>
              <w:spacing w:after="0"/>
              <w:jc w:val="center"/>
              <w:rPr>
                <w:sz w:val="20"/>
                <w:szCs w:val="20"/>
                <w:lang w:val="sr-Cyrl-CS"/>
              </w:rPr>
            </w:pPr>
            <w:r w:rsidRPr="00092ED7">
              <w:rPr>
                <w:sz w:val="20"/>
                <w:szCs w:val="20"/>
                <w:lang w:val="sr-Cyrl-CS"/>
              </w:rPr>
              <w:t>-6,7</w:t>
            </w:r>
          </w:p>
        </w:tc>
        <w:tc>
          <w:tcPr>
            <w:tcW w:w="494" w:type="pct"/>
            <w:gridSpan w:val="2"/>
            <w:tcBorders>
              <w:top w:val="double" w:sz="4" w:space="0" w:color="auto"/>
              <w:left w:val="nil"/>
              <w:bottom w:val="dotted" w:sz="4" w:space="0" w:color="auto"/>
              <w:right w:val="double" w:sz="6" w:space="0" w:color="auto"/>
            </w:tcBorders>
            <w:shd w:val="clear" w:color="000000" w:fill="FFFFFF"/>
            <w:hideMark/>
          </w:tcPr>
          <w:p w14:paraId="6B4F0D77" w14:textId="77777777" w:rsidR="00247CBF" w:rsidRPr="00092ED7" w:rsidRDefault="00247CBF" w:rsidP="00247CBF">
            <w:pPr>
              <w:spacing w:after="0"/>
              <w:jc w:val="center"/>
              <w:rPr>
                <w:sz w:val="20"/>
                <w:szCs w:val="20"/>
                <w:lang w:val="sr-Cyrl-CS"/>
              </w:rPr>
            </w:pPr>
            <w:r w:rsidRPr="00092ED7">
              <w:rPr>
                <w:sz w:val="20"/>
                <w:szCs w:val="20"/>
                <w:lang w:val="sr-Cyrl-CS"/>
              </w:rPr>
              <w:t>-6,0</w:t>
            </w:r>
          </w:p>
        </w:tc>
      </w:tr>
      <w:tr w:rsidR="00247CBF" w:rsidRPr="00092ED7" w14:paraId="51E9B40D" w14:textId="77777777" w:rsidTr="00247CBF">
        <w:trPr>
          <w:gridBefore w:val="1"/>
          <w:wBefore w:w="8" w:type="pct"/>
          <w:trHeight w:val="300"/>
        </w:trPr>
        <w:tc>
          <w:tcPr>
            <w:tcW w:w="1984" w:type="pct"/>
            <w:gridSpan w:val="2"/>
            <w:tcBorders>
              <w:top w:val="nil"/>
              <w:left w:val="double" w:sz="6" w:space="0" w:color="auto"/>
              <w:bottom w:val="dotted" w:sz="4" w:space="0" w:color="auto"/>
              <w:right w:val="single" w:sz="8" w:space="0" w:color="auto"/>
            </w:tcBorders>
            <w:shd w:val="clear" w:color="000000" w:fill="FFFFFF"/>
            <w:hideMark/>
          </w:tcPr>
          <w:p w14:paraId="55D8F544" w14:textId="77777777" w:rsidR="00247CBF" w:rsidRPr="00092ED7" w:rsidRDefault="00247CBF" w:rsidP="00247CBF">
            <w:pPr>
              <w:spacing w:after="0"/>
              <w:jc w:val="left"/>
              <w:rPr>
                <w:sz w:val="20"/>
                <w:szCs w:val="20"/>
                <w:lang w:val="sr-Cyrl-CS"/>
              </w:rPr>
            </w:pPr>
            <w:r w:rsidRPr="00092ED7">
              <w:rPr>
                <w:sz w:val="20"/>
                <w:szCs w:val="20"/>
                <w:lang w:val="sr-Cyrl-CS"/>
              </w:rPr>
              <w:t>2. Извоз робе</w:t>
            </w:r>
          </w:p>
        </w:tc>
        <w:tc>
          <w:tcPr>
            <w:tcW w:w="534" w:type="pct"/>
            <w:tcBorders>
              <w:top w:val="nil"/>
              <w:left w:val="nil"/>
              <w:bottom w:val="dotted" w:sz="4" w:space="0" w:color="auto"/>
              <w:right w:val="single" w:sz="8" w:space="0" w:color="auto"/>
            </w:tcBorders>
            <w:shd w:val="clear" w:color="000000" w:fill="FFFFFF"/>
            <w:vAlign w:val="center"/>
            <w:hideMark/>
          </w:tcPr>
          <w:p w14:paraId="7F460D69" w14:textId="77777777" w:rsidR="00247CBF" w:rsidRPr="00092ED7" w:rsidRDefault="00247CBF" w:rsidP="00247CBF">
            <w:pPr>
              <w:spacing w:after="0"/>
              <w:jc w:val="center"/>
              <w:rPr>
                <w:sz w:val="16"/>
                <w:szCs w:val="16"/>
                <w:lang w:val="sr-Cyrl-CS"/>
              </w:rPr>
            </w:pPr>
            <w:r w:rsidRPr="00092ED7">
              <w:rPr>
                <w:sz w:val="16"/>
                <w:szCs w:val="16"/>
                <w:lang w:val="sr-Cyrl-CS"/>
              </w:rPr>
              <w:t>млрд ЕУР</w:t>
            </w:r>
          </w:p>
        </w:tc>
        <w:tc>
          <w:tcPr>
            <w:tcW w:w="495" w:type="pct"/>
            <w:gridSpan w:val="2"/>
            <w:tcBorders>
              <w:top w:val="nil"/>
              <w:left w:val="nil"/>
              <w:bottom w:val="dotted" w:sz="4" w:space="0" w:color="auto"/>
              <w:right w:val="dotted" w:sz="4" w:space="0" w:color="auto"/>
            </w:tcBorders>
            <w:shd w:val="clear" w:color="000000" w:fill="FFFFFF"/>
            <w:hideMark/>
          </w:tcPr>
          <w:p w14:paraId="3D7D81EF" w14:textId="77777777" w:rsidR="00247CBF" w:rsidRPr="00092ED7" w:rsidRDefault="00247CBF" w:rsidP="00247CBF">
            <w:pPr>
              <w:spacing w:after="0"/>
              <w:jc w:val="center"/>
              <w:rPr>
                <w:sz w:val="20"/>
                <w:szCs w:val="20"/>
                <w:lang w:val="sr-Cyrl-CS"/>
              </w:rPr>
            </w:pPr>
            <w:r w:rsidRPr="00092ED7">
              <w:rPr>
                <w:sz w:val="20"/>
                <w:szCs w:val="20"/>
                <w:lang w:val="sr-Cyrl-CS"/>
              </w:rPr>
              <w:t>20,8</w:t>
            </w:r>
          </w:p>
        </w:tc>
        <w:tc>
          <w:tcPr>
            <w:tcW w:w="495" w:type="pct"/>
            <w:gridSpan w:val="3"/>
            <w:tcBorders>
              <w:top w:val="nil"/>
              <w:left w:val="nil"/>
              <w:bottom w:val="dotted" w:sz="4" w:space="0" w:color="auto"/>
              <w:right w:val="dotted" w:sz="4" w:space="0" w:color="auto"/>
            </w:tcBorders>
            <w:shd w:val="clear" w:color="000000" w:fill="FFFFFF"/>
            <w:hideMark/>
          </w:tcPr>
          <w:p w14:paraId="12EE935B" w14:textId="77777777" w:rsidR="00247CBF" w:rsidRPr="00092ED7" w:rsidRDefault="00247CBF" w:rsidP="00247CBF">
            <w:pPr>
              <w:spacing w:after="0"/>
              <w:jc w:val="center"/>
              <w:rPr>
                <w:sz w:val="20"/>
                <w:szCs w:val="20"/>
                <w:lang w:val="sr-Cyrl-CS"/>
              </w:rPr>
            </w:pPr>
            <w:r w:rsidRPr="00092ED7">
              <w:rPr>
                <w:sz w:val="20"/>
                <w:szCs w:val="20"/>
                <w:lang w:val="sr-Cyrl-CS"/>
              </w:rPr>
              <w:t>28,5</w:t>
            </w:r>
          </w:p>
        </w:tc>
        <w:tc>
          <w:tcPr>
            <w:tcW w:w="495" w:type="pct"/>
            <w:gridSpan w:val="2"/>
            <w:tcBorders>
              <w:top w:val="nil"/>
              <w:left w:val="nil"/>
              <w:bottom w:val="dotted" w:sz="4" w:space="0" w:color="auto"/>
              <w:right w:val="dotted" w:sz="4" w:space="0" w:color="auto"/>
            </w:tcBorders>
            <w:shd w:val="clear" w:color="000000" w:fill="FFFFFF"/>
            <w:hideMark/>
          </w:tcPr>
          <w:p w14:paraId="6597C241" w14:textId="77777777" w:rsidR="00247CBF" w:rsidRPr="00092ED7" w:rsidRDefault="00247CBF" w:rsidP="00247CBF">
            <w:pPr>
              <w:spacing w:after="0"/>
              <w:jc w:val="center"/>
              <w:rPr>
                <w:sz w:val="20"/>
                <w:szCs w:val="20"/>
                <w:lang w:val="sr-Cyrl-CS"/>
              </w:rPr>
            </w:pPr>
            <w:r w:rsidRPr="00092ED7">
              <w:rPr>
                <w:sz w:val="20"/>
                <w:szCs w:val="20"/>
                <w:lang w:val="sr-Cyrl-CS"/>
              </w:rPr>
              <w:t>33,0</w:t>
            </w:r>
          </w:p>
        </w:tc>
        <w:tc>
          <w:tcPr>
            <w:tcW w:w="495" w:type="pct"/>
            <w:gridSpan w:val="2"/>
            <w:tcBorders>
              <w:top w:val="nil"/>
              <w:left w:val="nil"/>
              <w:bottom w:val="dotted" w:sz="4" w:space="0" w:color="auto"/>
              <w:right w:val="dotted" w:sz="4" w:space="0" w:color="auto"/>
            </w:tcBorders>
            <w:shd w:val="clear" w:color="000000" w:fill="FFFFFF"/>
            <w:hideMark/>
          </w:tcPr>
          <w:p w14:paraId="0A041A4C" w14:textId="77777777" w:rsidR="00247CBF" w:rsidRPr="00092ED7" w:rsidRDefault="00247CBF" w:rsidP="00247CBF">
            <w:pPr>
              <w:spacing w:after="0"/>
              <w:jc w:val="center"/>
              <w:rPr>
                <w:sz w:val="20"/>
                <w:szCs w:val="20"/>
                <w:lang w:val="sr-Cyrl-CS"/>
              </w:rPr>
            </w:pPr>
            <w:r w:rsidRPr="00092ED7">
              <w:rPr>
                <w:sz w:val="20"/>
                <w:szCs w:val="20"/>
                <w:lang w:val="sr-Cyrl-CS"/>
              </w:rPr>
              <w:t>35,9</w:t>
            </w:r>
          </w:p>
        </w:tc>
        <w:tc>
          <w:tcPr>
            <w:tcW w:w="494" w:type="pct"/>
            <w:gridSpan w:val="2"/>
            <w:tcBorders>
              <w:top w:val="nil"/>
              <w:left w:val="nil"/>
              <w:bottom w:val="dotted" w:sz="4" w:space="0" w:color="auto"/>
              <w:right w:val="double" w:sz="6" w:space="0" w:color="auto"/>
            </w:tcBorders>
            <w:shd w:val="clear" w:color="000000" w:fill="FFFFFF"/>
            <w:hideMark/>
          </w:tcPr>
          <w:p w14:paraId="5A71918D" w14:textId="77777777" w:rsidR="00247CBF" w:rsidRPr="00092ED7" w:rsidRDefault="00247CBF" w:rsidP="00247CBF">
            <w:pPr>
              <w:spacing w:after="0"/>
              <w:jc w:val="center"/>
              <w:rPr>
                <w:sz w:val="20"/>
                <w:szCs w:val="20"/>
                <w:lang w:val="sr-Cyrl-CS"/>
              </w:rPr>
            </w:pPr>
            <w:r w:rsidRPr="00092ED7">
              <w:rPr>
                <w:sz w:val="20"/>
                <w:szCs w:val="20"/>
                <w:lang w:val="sr-Cyrl-CS"/>
              </w:rPr>
              <w:t>39,5</w:t>
            </w:r>
          </w:p>
        </w:tc>
      </w:tr>
      <w:tr w:rsidR="00247CBF" w:rsidRPr="00092ED7" w14:paraId="2F6A9624" w14:textId="77777777" w:rsidTr="00247CBF">
        <w:trPr>
          <w:gridBefore w:val="1"/>
          <w:wBefore w:w="8" w:type="pct"/>
          <w:trHeight w:val="300"/>
        </w:trPr>
        <w:tc>
          <w:tcPr>
            <w:tcW w:w="1984" w:type="pct"/>
            <w:gridSpan w:val="2"/>
            <w:tcBorders>
              <w:top w:val="nil"/>
              <w:left w:val="double" w:sz="6" w:space="0" w:color="auto"/>
              <w:bottom w:val="dotted" w:sz="4" w:space="0" w:color="auto"/>
              <w:right w:val="single" w:sz="8" w:space="0" w:color="auto"/>
            </w:tcBorders>
            <w:shd w:val="clear" w:color="000000" w:fill="FFFFFF"/>
            <w:hideMark/>
          </w:tcPr>
          <w:p w14:paraId="0DAD2ACC" w14:textId="77777777" w:rsidR="00247CBF" w:rsidRPr="00092ED7" w:rsidRDefault="00247CBF" w:rsidP="00247CBF">
            <w:pPr>
              <w:spacing w:after="0"/>
              <w:jc w:val="left"/>
              <w:rPr>
                <w:sz w:val="20"/>
                <w:szCs w:val="20"/>
                <w:lang w:val="sr-Cyrl-CS"/>
              </w:rPr>
            </w:pPr>
            <w:r w:rsidRPr="00092ED7">
              <w:rPr>
                <w:sz w:val="20"/>
                <w:szCs w:val="20"/>
                <w:lang w:val="sr-Cyrl-CS"/>
              </w:rPr>
              <w:t>3. Увоз робе</w:t>
            </w:r>
          </w:p>
        </w:tc>
        <w:tc>
          <w:tcPr>
            <w:tcW w:w="534" w:type="pct"/>
            <w:tcBorders>
              <w:top w:val="nil"/>
              <w:left w:val="nil"/>
              <w:bottom w:val="dotted" w:sz="4" w:space="0" w:color="auto"/>
              <w:right w:val="single" w:sz="8" w:space="0" w:color="auto"/>
            </w:tcBorders>
            <w:shd w:val="clear" w:color="000000" w:fill="FFFFFF"/>
            <w:vAlign w:val="center"/>
            <w:hideMark/>
          </w:tcPr>
          <w:p w14:paraId="474F7FF1" w14:textId="77777777" w:rsidR="00247CBF" w:rsidRPr="00092ED7" w:rsidRDefault="00247CBF" w:rsidP="00247CBF">
            <w:pPr>
              <w:spacing w:after="0"/>
              <w:jc w:val="center"/>
              <w:rPr>
                <w:sz w:val="16"/>
                <w:szCs w:val="16"/>
                <w:lang w:val="sr-Cyrl-CS"/>
              </w:rPr>
            </w:pPr>
            <w:r w:rsidRPr="00092ED7">
              <w:rPr>
                <w:sz w:val="16"/>
                <w:szCs w:val="16"/>
                <w:lang w:val="sr-Cyrl-CS"/>
              </w:rPr>
              <w:t>млрд ЕУР</w:t>
            </w:r>
          </w:p>
        </w:tc>
        <w:tc>
          <w:tcPr>
            <w:tcW w:w="495" w:type="pct"/>
            <w:gridSpan w:val="2"/>
            <w:tcBorders>
              <w:top w:val="nil"/>
              <w:left w:val="nil"/>
              <w:bottom w:val="dotted" w:sz="4" w:space="0" w:color="auto"/>
              <w:right w:val="dotted" w:sz="4" w:space="0" w:color="auto"/>
            </w:tcBorders>
            <w:shd w:val="clear" w:color="000000" w:fill="FFFFFF"/>
            <w:hideMark/>
          </w:tcPr>
          <w:p w14:paraId="4FEC245B" w14:textId="77777777" w:rsidR="00247CBF" w:rsidRPr="00092ED7" w:rsidRDefault="00247CBF" w:rsidP="00247CBF">
            <w:pPr>
              <w:spacing w:after="0"/>
              <w:jc w:val="center"/>
              <w:rPr>
                <w:sz w:val="20"/>
                <w:szCs w:val="20"/>
                <w:lang w:val="sr-Cyrl-CS"/>
              </w:rPr>
            </w:pPr>
            <w:r w:rsidRPr="00092ED7">
              <w:rPr>
                <w:sz w:val="20"/>
                <w:szCs w:val="20"/>
                <w:lang w:val="sr-Cyrl-CS"/>
              </w:rPr>
              <w:t>26,7</w:t>
            </w:r>
          </w:p>
        </w:tc>
        <w:tc>
          <w:tcPr>
            <w:tcW w:w="495" w:type="pct"/>
            <w:gridSpan w:val="3"/>
            <w:tcBorders>
              <w:top w:val="nil"/>
              <w:left w:val="nil"/>
              <w:bottom w:val="dotted" w:sz="4" w:space="0" w:color="auto"/>
              <w:right w:val="dotted" w:sz="4" w:space="0" w:color="auto"/>
            </w:tcBorders>
            <w:shd w:val="clear" w:color="000000" w:fill="FFFFFF"/>
            <w:hideMark/>
          </w:tcPr>
          <w:p w14:paraId="313B8ECD" w14:textId="77777777" w:rsidR="00247CBF" w:rsidRPr="00092ED7" w:rsidRDefault="00247CBF" w:rsidP="00247CBF">
            <w:pPr>
              <w:spacing w:after="0"/>
              <w:jc w:val="center"/>
              <w:rPr>
                <w:sz w:val="20"/>
                <w:szCs w:val="20"/>
                <w:lang w:val="sr-Cyrl-CS"/>
              </w:rPr>
            </w:pPr>
            <w:r w:rsidRPr="00092ED7">
              <w:rPr>
                <w:sz w:val="20"/>
                <w:szCs w:val="20"/>
                <w:lang w:val="sr-Cyrl-CS"/>
              </w:rPr>
              <w:t>37,4</w:t>
            </w:r>
          </w:p>
        </w:tc>
        <w:tc>
          <w:tcPr>
            <w:tcW w:w="495" w:type="pct"/>
            <w:gridSpan w:val="2"/>
            <w:tcBorders>
              <w:top w:val="nil"/>
              <w:left w:val="nil"/>
              <w:bottom w:val="dotted" w:sz="4" w:space="0" w:color="auto"/>
              <w:right w:val="dotted" w:sz="4" w:space="0" w:color="auto"/>
            </w:tcBorders>
            <w:shd w:val="clear" w:color="000000" w:fill="FFFFFF"/>
            <w:hideMark/>
          </w:tcPr>
          <w:p w14:paraId="54E21CD9" w14:textId="77777777" w:rsidR="00247CBF" w:rsidRPr="00092ED7" w:rsidRDefault="00247CBF" w:rsidP="00247CBF">
            <w:pPr>
              <w:spacing w:after="0"/>
              <w:jc w:val="center"/>
              <w:rPr>
                <w:sz w:val="20"/>
                <w:szCs w:val="20"/>
                <w:lang w:val="sr-Cyrl-CS"/>
              </w:rPr>
            </w:pPr>
            <w:r w:rsidRPr="00092ED7">
              <w:rPr>
                <w:sz w:val="20"/>
                <w:szCs w:val="20"/>
                <w:lang w:val="sr-Cyrl-CS"/>
              </w:rPr>
              <w:t>41,9</w:t>
            </w:r>
          </w:p>
        </w:tc>
        <w:tc>
          <w:tcPr>
            <w:tcW w:w="495" w:type="pct"/>
            <w:gridSpan w:val="2"/>
            <w:tcBorders>
              <w:top w:val="nil"/>
              <w:left w:val="nil"/>
              <w:bottom w:val="dotted" w:sz="4" w:space="0" w:color="auto"/>
              <w:right w:val="dotted" w:sz="4" w:space="0" w:color="auto"/>
            </w:tcBorders>
            <w:shd w:val="clear" w:color="000000" w:fill="FFFFFF"/>
            <w:hideMark/>
          </w:tcPr>
          <w:p w14:paraId="01798A86" w14:textId="77777777" w:rsidR="00247CBF" w:rsidRPr="00092ED7" w:rsidRDefault="00247CBF" w:rsidP="00247CBF">
            <w:pPr>
              <w:spacing w:after="0"/>
              <w:jc w:val="center"/>
              <w:rPr>
                <w:sz w:val="20"/>
                <w:szCs w:val="20"/>
                <w:lang w:val="sr-Cyrl-CS"/>
              </w:rPr>
            </w:pPr>
            <w:r w:rsidRPr="00092ED7">
              <w:rPr>
                <w:sz w:val="20"/>
                <w:szCs w:val="20"/>
                <w:lang w:val="sr-Cyrl-CS"/>
              </w:rPr>
              <w:t>44,4</w:t>
            </w:r>
          </w:p>
        </w:tc>
        <w:tc>
          <w:tcPr>
            <w:tcW w:w="494" w:type="pct"/>
            <w:gridSpan w:val="2"/>
            <w:tcBorders>
              <w:top w:val="nil"/>
              <w:left w:val="nil"/>
              <w:bottom w:val="dotted" w:sz="4" w:space="0" w:color="auto"/>
              <w:right w:val="double" w:sz="6" w:space="0" w:color="auto"/>
            </w:tcBorders>
            <w:shd w:val="clear" w:color="000000" w:fill="FFFFFF"/>
            <w:hideMark/>
          </w:tcPr>
          <w:p w14:paraId="2EC3FA6B" w14:textId="77777777" w:rsidR="00247CBF" w:rsidRPr="00092ED7" w:rsidRDefault="00247CBF" w:rsidP="00247CBF">
            <w:pPr>
              <w:spacing w:after="0"/>
              <w:jc w:val="center"/>
              <w:rPr>
                <w:sz w:val="20"/>
                <w:szCs w:val="20"/>
                <w:lang w:val="sr-Cyrl-CS"/>
              </w:rPr>
            </w:pPr>
            <w:r w:rsidRPr="00092ED7">
              <w:rPr>
                <w:sz w:val="20"/>
                <w:szCs w:val="20"/>
                <w:lang w:val="sr-Cyrl-CS"/>
              </w:rPr>
              <w:t>48,4</w:t>
            </w:r>
          </w:p>
        </w:tc>
      </w:tr>
      <w:tr w:rsidR="00247CBF" w:rsidRPr="00092ED7" w14:paraId="08A112D9" w14:textId="77777777" w:rsidTr="00247CBF">
        <w:trPr>
          <w:gridBefore w:val="1"/>
          <w:wBefore w:w="8" w:type="pct"/>
          <w:trHeight w:val="300"/>
        </w:trPr>
        <w:tc>
          <w:tcPr>
            <w:tcW w:w="1984" w:type="pct"/>
            <w:gridSpan w:val="2"/>
            <w:tcBorders>
              <w:top w:val="nil"/>
              <w:left w:val="double" w:sz="6" w:space="0" w:color="auto"/>
              <w:bottom w:val="dotted" w:sz="4" w:space="0" w:color="auto"/>
              <w:right w:val="single" w:sz="8" w:space="0" w:color="auto"/>
            </w:tcBorders>
            <w:shd w:val="clear" w:color="000000" w:fill="FFFFFF"/>
            <w:hideMark/>
          </w:tcPr>
          <w:p w14:paraId="270EBC0F" w14:textId="77777777" w:rsidR="00247CBF" w:rsidRPr="00092ED7" w:rsidRDefault="00247CBF" w:rsidP="00247CBF">
            <w:pPr>
              <w:spacing w:after="0"/>
              <w:jc w:val="left"/>
              <w:rPr>
                <w:sz w:val="20"/>
                <w:szCs w:val="20"/>
                <w:lang w:val="sr-Cyrl-CS"/>
              </w:rPr>
            </w:pPr>
            <w:r w:rsidRPr="00092ED7">
              <w:rPr>
                <w:sz w:val="20"/>
                <w:szCs w:val="20"/>
                <w:lang w:val="sr-Cyrl-CS"/>
              </w:rPr>
              <w:t>4. Спољнотрговински биланс</w:t>
            </w:r>
          </w:p>
        </w:tc>
        <w:tc>
          <w:tcPr>
            <w:tcW w:w="534" w:type="pct"/>
            <w:tcBorders>
              <w:top w:val="nil"/>
              <w:left w:val="nil"/>
              <w:bottom w:val="dotted" w:sz="4" w:space="0" w:color="auto"/>
              <w:right w:val="single" w:sz="8" w:space="0" w:color="auto"/>
            </w:tcBorders>
            <w:shd w:val="clear" w:color="000000" w:fill="FFFFFF"/>
            <w:vAlign w:val="center"/>
            <w:hideMark/>
          </w:tcPr>
          <w:p w14:paraId="7B514687" w14:textId="77777777" w:rsidR="00247CBF" w:rsidRPr="00092ED7" w:rsidRDefault="00247CBF" w:rsidP="00247CBF">
            <w:pPr>
              <w:spacing w:after="0"/>
              <w:jc w:val="center"/>
              <w:rPr>
                <w:sz w:val="16"/>
                <w:szCs w:val="16"/>
                <w:lang w:val="sr-Cyrl-CS"/>
              </w:rPr>
            </w:pPr>
            <w:r w:rsidRPr="00092ED7">
              <w:rPr>
                <w:sz w:val="16"/>
                <w:szCs w:val="16"/>
                <w:lang w:val="sr-Cyrl-CS"/>
              </w:rPr>
              <w:t>млрд ЕУР</w:t>
            </w:r>
          </w:p>
        </w:tc>
        <w:tc>
          <w:tcPr>
            <w:tcW w:w="495" w:type="pct"/>
            <w:gridSpan w:val="2"/>
            <w:tcBorders>
              <w:top w:val="nil"/>
              <w:left w:val="nil"/>
              <w:bottom w:val="dotted" w:sz="4" w:space="0" w:color="auto"/>
              <w:right w:val="dotted" w:sz="4" w:space="0" w:color="auto"/>
            </w:tcBorders>
            <w:shd w:val="clear" w:color="000000" w:fill="FFFFFF"/>
            <w:hideMark/>
          </w:tcPr>
          <w:p w14:paraId="780B9EA4" w14:textId="77777777" w:rsidR="00247CBF" w:rsidRPr="00092ED7" w:rsidRDefault="00247CBF" w:rsidP="00247CBF">
            <w:pPr>
              <w:spacing w:after="0"/>
              <w:jc w:val="center"/>
              <w:rPr>
                <w:sz w:val="20"/>
                <w:szCs w:val="20"/>
                <w:lang w:val="sr-Cyrl-CS"/>
              </w:rPr>
            </w:pPr>
            <w:r w:rsidRPr="00092ED7">
              <w:rPr>
                <w:sz w:val="20"/>
                <w:szCs w:val="20"/>
                <w:lang w:val="sr-Cyrl-CS"/>
              </w:rPr>
              <w:t>-5,9</w:t>
            </w:r>
          </w:p>
        </w:tc>
        <w:tc>
          <w:tcPr>
            <w:tcW w:w="495" w:type="pct"/>
            <w:gridSpan w:val="3"/>
            <w:tcBorders>
              <w:top w:val="nil"/>
              <w:left w:val="nil"/>
              <w:bottom w:val="dotted" w:sz="4" w:space="0" w:color="auto"/>
              <w:right w:val="dotted" w:sz="4" w:space="0" w:color="auto"/>
            </w:tcBorders>
            <w:shd w:val="clear" w:color="000000" w:fill="FFFFFF"/>
            <w:hideMark/>
          </w:tcPr>
          <w:p w14:paraId="70D1E9E5" w14:textId="77777777" w:rsidR="00247CBF" w:rsidRPr="00092ED7" w:rsidRDefault="00247CBF" w:rsidP="00247CBF">
            <w:pPr>
              <w:spacing w:after="0"/>
              <w:jc w:val="center"/>
              <w:rPr>
                <w:sz w:val="20"/>
                <w:szCs w:val="20"/>
                <w:lang w:val="sr-Cyrl-CS"/>
              </w:rPr>
            </w:pPr>
            <w:r w:rsidRPr="00092ED7">
              <w:rPr>
                <w:sz w:val="20"/>
                <w:szCs w:val="20"/>
                <w:lang w:val="sr-Cyrl-CS"/>
              </w:rPr>
              <w:t>-8,9</w:t>
            </w:r>
          </w:p>
        </w:tc>
        <w:tc>
          <w:tcPr>
            <w:tcW w:w="495" w:type="pct"/>
            <w:gridSpan w:val="2"/>
            <w:tcBorders>
              <w:top w:val="nil"/>
              <w:left w:val="nil"/>
              <w:bottom w:val="dotted" w:sz="4" w:space="0" w:color="auto"/>
              <w:right w:val="dotted" w:sz="4" w:space="0" w:color="auto"/>
            </w:tcBorders>
            <w:shd w:val="clear" w:color="000000" w:fill="FFFFFF"/>
            <w:hideMark/>
          </w:tcPr>
          <w:p w14:paraId="4006DAD2" w14:textId="77777777" w:rsidR="00247CBF" w:rsidRPr="00092ED7" w:rsidRDefault="00247CBF" w:rsidP="00247CBF">
            <w:pPr>
              <w:spacing w:after="0"/>
              <w:jc w:val="center"/>
              <w:rPr>
                <w:sz w:val="20"/>
                <w:szCs w:val="20"/>
                <w:lang w:val="sr-Cyrl-CS"/>
              </w:rPr>
            </w:pPr>
            <w:r w:rsidRPr="00092ED7">
              <w:rPr>
                <w:sz w:val="20"/>
                <w:szCs w:val="20"/>
                <w:lang w:val="sr-Cyrl-CS"/>
              </w:rPr>
              <w:t>-8,9</w:t>
            </w:r>
          </w:p>
        </w:tc>
        <w:tc>
          <w:tcPr>
            <w:tcW w:w="495" w:type="pct"/>
            <w:gridSpan w:val="2"/>
            <w:tcBorders>
              <w:top w:val="nil"/>
              <w:left w:val="nil"/>
              <w:bottom w:val="dotted" w:sz="4" w:space="0" w:color="auto"/>
              <w:right w:val="dotted" w:sz="4" w:space="0" w:color="auto"/>
            </w:tcBorders>
            <w:shd w:val="clear" w:color="000000" w:fill="FFFFFF"/>
            <w:hideMark/>
          </w:tcPr>
          <w:p w14:paraId="62058207" w14:textId="77777777" w:rsidR="00247CBF" w:rsidRPr="00092ED7" w:rsidRDefault="00247CBF" w:rsidP="00247CBF">
            <w:pPr>
              <w:spacing w:after="0"/>
              <w:jc w:val="center"/>
              <w:rPr>
                <w:sz w:val="20"/>
                <w:szCs w:val="20"/>
                <w:lang w:val="sr-Cyrl-CS"/>
              </w:rPr>
            </w:pPr>
            <w:r w:rsidRPr="00092ED7">
              <w:rPr>
                <w:sz w:val="20"/>
                <w:szCs w:val="20"/>
                <w:lang w:val="sr-Cyrl-CS"/>
              </w:rPr>
              <w:t>-8,5</w:t>
            </w:r>
          </w:p>
        </w:tc>
        <w:tc>
          <w:tcPr>
            <w:tcW w:w="494" w:type="pct"/>
            <w:gridSpan w:val="2"/>
            <w:tcBorders>
              <w:top w:val="nil"/>
              <w:left w:val="nil"/>
              <w:bottom w:val="dotted" w:sz="4" w:space="0" w:color="auto"/>
              <w:right w:val="double" w:sz="6" w:space="0" w:color="auto"/>
            </w:tcBorders>
            <w:shd w:val="clear" w:color="000000" w:fill="FFFFFF"/>
            <w:hideMark/>
          </w:tcPr>
          <w:p w14:paraId="085A3B49" w14:textId="77777777" w:rsidR="00247CBF" w:rsidRPr="00092ED7" w:rsidRDefault="00247CBF" w:rsidP="00247CBF">
            <w:pPr>
              <w:spacing w:after="0"/>
              <w:jc w:val="center"/>
              <w:rPr>
                <w:sz w:val="20"/>
                <w:szCs w:val="20"/>
                <w:lang w:val="sr-Cyrl-CS"/>
              </w:rPr>
            </w:pPr>
            <w:r w:rsidRPr="00092ED7">
              <w:rPr>
                <w:sz w:val="20"/>
                <w:szCs w:val="20"/>
                <w:lang w:val="sr-Cyrl-CS"/>
              </w:rPr>
              <w:t>-8,9</w:t>
            </w:r>
          </w:p>
        </w:tc>
      </w:tr>
      <w:tr w:rsidR="00247CBF" w:rsidRPr="00092ED7" w14:paraId="1198637B" w14:textId="77777777" w:rsidTr="00247CBF">
        <w:trPr>
          <w:gridBefore w:val="1"/>
          <w:wBefore w:w="8" w:type="pct"/>
          <w:trHeight w:val="300"/>
        </w:trPr>
        <w:tc>
          <w:tcPr>
            <w:tcW w:w="1984" w:type="pct"/>
            <w:gridSpan w:val="2"/>
            <w:tcBorders>
              <w:top w:val="nil"/>
              <w:left w:val="double" w:sz="6" w:space="0" w:color="auto"/>
              <w:bottom w:val="dotted" w:sz="4" w:space="0" w:color="auto"/>
              <w:right w:val="single" w:sz="8" w:space="0" w:color="auto"/>
            </w:tcBorders>
            <w:shd w:val="clear" w:color="000000" w:fill="FFFFFF"/>
            <w:hideMark/>
          </w:tcPr>
          <w:p w14:paraId="265CD292" w14:textId="77777777" w:rsidR="00247CBF" w:rsidRPr="00092ED7" w:rsidRDefault="00247CBF" w:rsidP="00247CBF">
            <w:pPr>
              <w:spacing w:after="0"/>
              <w:jc w:val="left"/>
              <w:rPr>
                <w:sz w:val="20"/>
                <w:szCs w:val="20"/>
                <w:lang w:val="sr-Cyrl-CS"/>
              </w:rPr>
            </w:pPr>
            <w:r w:rsidRPr="00092ED7">
              <w:rPr>
                <w:sz w:val="20"/>
                <w:szCs w:val="20"/>
                <w:lang w:val="sr-Cyrl-CS"/>
              </w:rPr>
              <w:t>5. Извоз услуга</w:t>
            </w:r>
          </w:p>
        </w:tc>
        <w:tc>
          <w:tcPr>
            <w:tcW w:w="534" w:type="pct"/>
            <w:tcBorders>
              <w:top w:val="nil"/>
              <w:left w:val="nil"/>
              <w:bottom w:val="dotted" w:sz="4" w:space="0" w:color="auto"/>
              <w:right w:val="single" w:sz="8" w:space="0" w:color="auto"/>
            </w:tcBorders>
            <w:shd w:val="clear" w:color="000000" w:fill="FFFFFF"/>
            <w:vAlign w:val="center"/>
            <w:hideMark/>
          </w:tcPr>
          <w:p w14:paraId="5206E64E" w14:textId="77777777" w:rsidR="00247CBF" w:rsidRPr="00092ED7" w:rsidRDefault="00247CBF" w:rsidP="00247CBF">
            <w:pPr>
              <w:spacing w:after="0"/>
              <w:jc w:val="center"/>
              <w:rPr>
                <w:sz w:val="16"/>
                <w:szCs w:val="16"/>
                <w:lang w:val="sr-Cyrl-CS"/>
              </w:rPr>
            </w:pPr>
            <w:r w:rsidRPr="00092ED7">
              <w:rPr>
                <w:sz w:val="16"/>
                <w:szCs w:val="16"/>
                <w:lang w:val="sr-Cyrl-CS"/>
              </w:rPr>
              <w:t>млрд ЕУР</w:t>
            </w:r>
          </w:p>
        </w:tc>
        <w:tc>
          <w:tcPr>
            <w:tcW w:w="495" w:type="pct"/>
            <w:gridSpan w:val="2"/>
            <w:tcBorders>
              <w:top w:val="nil"/>
              <w:left w:val="nil"/>
              <w:bottom w:val="dotted" w:sz="4" w:space="0" w:color="auto"/>
              <w:right w:val="dotted" w:sz="4" w:space="0" w:color="auto"/>
            </w:tcBorders>
            <w:shd w:val="clear" w:color="000000" w:fill="FFFFFF"/>
            <w:hideMark/>
          </w:tcPr>
          <w:p w14:paraId="6DBE322C" w14:textId="77777777" w:rsidR="00247CBF" w:rsidRPr="00092ED7" w:rsidRDefault="00247CBF" w:rsidP="00247CBF">
            <w:pPr>
              <w:spacing w:after="0"/>
              <w:jc w:val="center"/>
              <w:rPr>
                <w:sz w:val="20"/>
                <w:szCs w:val="20"/>
                <w:lang w:val="sr-Cyrl-CS"/>
              </w:rPr>
            </w:pPr>
            <w:r w:rsidRPr="00092ED7">
              <w:rPr>
                <w:sz w:val="20"/>
                <w:szCs w:val="20"/>
                <w:lang w:val="sr-Cyrl-CS"/>
              </w:rPr>
              <w:t>7,8</w:t>
            </w:r>
          </w:p>
        </w:tc>
        <w:tc>
          <w:tcPr>
            <w:tcW w:w="495" w:type="pct"/>
            <w:gridSpan w:val="3"/>
            <w:tcBorders>
              <w:top w:val="nil"/>
              <w:left w:val="nil"/>
              <w:bottom w:val="dotted" w:sz="4" w:space="0" w:color="auto"/>
              <w:right w:val="dotted" w:sz="4" w:space="0" w:color="auto"/>
            </w:tcBorders>
            <w:shd w:val="clear" w:color="000000" w:fill="FFFFFF"/>
            <w:hideMark/>
          </w:tcPr>
          <w:p w14:paraId="3497BB25" w14:textId="77777777" w:rsidR="00247CBF" w:rsidRPr="00092ED7" w:rsidRDefault="00247CBF" w:rsidP="00247CBF">
            <w:pPr>
              <w:spacing w:after="0"/>
              <w:jc w:val="center"/>
              <w:rPr>
                <w:sz w:val="20"/>
                <w:szCs w:val="20"/>
                <w:lang w:val="sr-Cyrl-CS"/>
              </w:rPr>
            </w:pPr>
            <w:r w:rsidRPr="00092ED7">
              <w:rPr>
                <w:sz w:val="20"/>
                <w:szCs w:val="20"/>
                <w:lang w:val="sr-Cyrl-CS"/>
              </w:rPr>
              <w:t>10,8</w:t>
            </w:r>
          </w:p>
        </w:tc>
        <w:tc>
          <w:tcPr>
            <w:tcW w:w="495" w:type="pct"/>
            <w:gridSpan w:val="2"/>
            <w:tcBorders>
              <w:top w:val="nil"/>
              <w:left w:val="nil"/>
              <w:bottom w:val="dotted" w:sz="4" w:space="0" w:color="auto"/>
              <w:right w:val="dotted" w:sz="4" w:space="0" w:color="auto"/>
            </w:tcBorders>
            <w:shd w:val="clear" w:color="000000" w:fill="FFFFFF"/>
            <w:hideMark/>
          </w:tcPr>
          <w:p w14:paraId="3BF34957" w14:textId="77777777" w:rsidR="00247CBF" w:rsidRPr="00092ED7" w:rsidRDefault="00247CBF" w:rsidP="00247CBF">
            <w:pPr>
              <w:spacing w:after="0"/>
              <w:jc w:val="center"/>
              <w:rPr>
                <w:sz w:val="20"/>
                <w:szCs w:val="20"/>
                <w:lang w:val="sr-Cyrl-CS"/>
              </w:rPr>
            </w:pPr>
            <w:r w:rsidRPr="00092ED7">
              <w:rPr>
                <w:sz w:val="20"/>
                <w:szCs w:val="20"/>
                <w:lang w:val="sr-Cyrl-CS"/>
              </w:rPr>
              <w:t>12,4</w:t>
            </w:r>
          </w:p>
        </w:tc>
        <w:tc>
          <w:tcPr>
            <w:tcW w:w="495" w:type="pct"/>
            <w:gridSpan w:val="2"/>
            <w:tcBorders>
              <w:top w:val="nil"/>
              <w:left w:val="nil"/>
              <w:bottom w:val="dotted" w:sz="4" w:space="0" w:color="auto"/>
              <w:right w:val="dotted" w:sz="4" w:space="0" w:color="auto"/>
            </w:tcBorders>
            <w:shd w:val="clear" w:color="000000" w:fill="FFFFFF"/>
            <w:hideMark/>
          </w:tcPr>
          <w:p w14:paraId="7F5172B5" w14:textId="77777777" w:rsidR="00247CBF" w:rsidRPr="00092ED7" w:rsidRDefault="00247CBF" w:rsidP="00247CBF">
            <w:pPr>
              <w:spacing w:after="0"/>
              <w:jc w:val="center"/>
              <w:rPr>
                <w:sz w:val="20"/>
                <w:szCs w:val="20"/>
                <w:lang w:val="sr-Cyrl-CS"/>
              </w:rPr>
            </w:pPr>
            <w:r w:rsidRPr="00092ED7">
              <w:rPr>
                <w:sz w:val="20"/>
                <w:szCs w:val="20"/>
                <w:lang w:val="sr-Cyrl-CS"/>
              </w:rPr>
              <w:t>13,4</w:t>
            </w:r>
          </w:p>
        </w:tc>
        <w:tc>
          <w:tcPr>
            <w:tcW w:w="494" w:type="pct"/>
            <w:gridSpan w:val="2"/>
            <w:tcBorders>
              <w:top w:val="nil"/>
              <w:left w:val="nil"/>
              <w:bottom w:val="dotted" w:sz="4" w:space="0" w:color="auto"/>
              <w:right w:val="double" w:sz="6" w:space="0" w:color="auto"/>
            </w:tcBorders>
            <w:shd w:val="clear" w:color="000000" w:fill="FFFFFF"/>
            <w:hideMark/>
          </w:tcPr>
          <w:p w14:paraId="72AA7D5E" w14:textId="77777777" w:rsidR="00247CBF" w:rsidRPr="00092ED7" w:rsidRDefault="00247CBF" w:rsidP="00247CBF">
            <w:pPr>
              <w:spacing w:after="0"/>
              <w:jc w:val="center"/>
              <w:rPr>
                <w:sz w:val="20"/>
                <w:szCs w:val="20"/>
                <w:lang w:val="sr-Cyrl-CS"/>
              </w:rPr>
            </w:pPr>
            <w:r w:rsidRPr="00092ED7">
              <w:rPr>
                <w:sz w:val="20"/>
                <w:szCs w:val="20"/>
                <w:lang w:val="sr-Cyrl-CS"/>
              </w:rPr>
              <w:t>14,7</w:t>
            </w:r>
          </w:p>
        </w:tc>
      </w:tr>
      <w:tr w:rsidR="00247CBF" w:rsidRPr="00092ED7" w14:paraId="3AC28C28" w14:textId="77777777" w:rsidTr="00247CBF">
        <w:trPr>
          <w:gridBefore w:val="1"/>
          <w:wBefore w:w="8" w:type="pct"/>
          <w:trHeight w:val="300"/>
        </w:trPr>
        <w:tc>
          <w:tcPr>
            <w:tcW w:w="1984" w:type="pct"/>
            <w:gridSpan w:val="2"/>
            <w:tcBorders>
              <w:top w:val="nil"/>
              <w:left w:val="double" w:sz="6" w:space="0" w:color="auto"/>
              <w:bottom w:val="dotted" w:sz="4" w:space="0" w:color="auto"/>
              <w:right w:val="single" w:sz="8" w:space="0" w:color="auto"/>
            </w:tcBorders>
            <w:shd w:val="clear" w:color="000000" w:fill="FFFFFF"/>
            <w:hideMark/>
          </w:tcPr>
          <w:p w14:paraId="1E2D218E" w14:textId="77777777" w:rsidR="00247CBF" w:rsidRPr="00092ED7" w:rsidRDefault="00247CBF" w:rsidP="00247CBF">
            <w:pPr>
              <w:spacing w:after="0"/>
              <w:jc w:val="left"/>
              <w:rPr>
                <w:sz w:val="20"/>
                <w:szCs w:val="20"/>
                <w:lang w:val="sr-Cyrl-CS"/>
              </w:rPr>
            </w:pPr>
            <w:r w:rsidRPr="00092ED7">
              <w:rPr>
                <w:sz w:val="20"/>
                <w:szCs w:val="20"/>
                <w:lang w:val="sr-Cyrl-CS"/>
              </w:rPr>
              <w:t>6. Увоз услуга</w:t>
            </w:r>
          </w:p>
        </w:tc>
        <w:tc>
          <w:tcPr>
            <w:tcW w:w="534" w:type="pct"/>
            <w:tcBorders>
              <w:top w:val="nil"/>
              <w:left w:val="nil"/>
              <w:bottom w:val="dotted" w:sz="4" w:space="0" w:color="auto"/>
              <w:right w:val="single" w:sz="8" w:space="0" w:color="auto"/>
            </w:tcBorders>
            <w:shd w:val="clear" w:color="000000" w:fill="FFFFFF"/>
            <w:vAlign w:val="center"/>
            <w:hideMark/>
          </w:tcPr>
          <w:p w14:paraId="446CFD15" w14:textId="77777777" w:rsidR="00247CBF" w:rsidRPr="00092ED7" w:rsidRDefault="00247CBF" w:rsidP="00247CBF">
            <w:pPr>
              <w:spacing w:after="0"/>
              <w:jc w:val="center"/>
              <w:rPr>
                <w:sz w:val="16"/>
                <w:szCs w:val="16"/>
                <w:lang w:val="sr-Cyrl-CS"/>
              </w:rPr>
            </w:pPr>
            <w:r w:rsidRPr="00092ED7">
              <w:rPr>
                <w:sz w:val="16"/>
                <w:szCs w:val="16"/>
                <w:lang w:val="sr-Cyrl-CS"/>
              </w:rPr>
              <w:t>млрд ЕУР</w:t>
            </w:r>
          </w:p>
        </w:tc>
        <w:tc>
          <w:tcPr>
            <w:tcW w:w="495" w:type="pct"/>
            <w:gridSpan w:val="2"/>
            <w:tcBorders>
              <w:top w:val="nil"/>
              <w:left w:val="nil"/>
              <w:bottom w:val="dotted" w:sz="4" w:space="0" w:color="auto"/>
              <w:right w:val="dotted" w:sz="4" w:space="0" w:color="auto"/>
            </w:tcBorders>
            <w:shd w:val="clear" w:color="000000" w:fill="FFFFFF"/>
            <w:hideMark/>
          </w:tcPr>
          <w:p w14:paraId="2435E6D2" w14:textId="77777777" w:rsidR="00247CBF" w:rsidRPr="00092ED7" w:rsidRDefault="00247CBF" w:rsidP="00247CBF">
            <w:pPr>
              <w:spacing w:after="0"/>
              <w:jc w:val="center"/>
              <w:rPr>
                <w:sz w:val="20"/>
                <w:szCs w:val="20"/>
                <w:lang w:val="sr-Cyrl-CS"/>
              </w:rPr>
            </w:pPr>
            <w:r w:rsidRPr="00092ED7">
              <w:rPr>
                <w:sz w:val="20"/>
                <w:szCs w:val="20"/>
                <w:lang w:val="sr-Cyrl-CS"/>
              </w:rPr>
              <w:t>6,4</w:t>
            </w:r>
          </w:p>
        </w:tc>
        <w:tc>
          <w:tcPr>
            <w:tcW w:w="495" w:type="pct"/>
            <w:gridSpan w:val="3"/>
            <w:tcBorders>
              <w:top w:val="nil"/>
              <w:left w:val="nil"/>
              <w:bottom w:val="dotted" w:sz="4" w:space="0" w:color="auto"/>
              <w:right w:val="dotted" w:sz="4" w:space="0" w:color="auto"/>
            </w:tcBorders>
            <w:shd w:val="clear" w:color="000000" w:fill="FFFFFF"/>
            <w:hideMark/>
          </w:tcPr>
          <w:p w14:paraId="42E4D81C" w14:textId="77777777" w:rsidR="00247CBF" w:rsidRPr="00092ED7" w:rsidRDefault="00247CBF" w:rsidP="00247CBF">
            <w:pPr>
              <w:spacing w:after="0"/>
              <w:jc w:val="center"/>
              <w:rPr>
                <w:sz w:val="20"/>
                <w:szCs w:val="20"/>
                <w:lang w:val="sr-Cyrl-CS"/>
              </w:rPr>
            </w:pPr>
            <w:r w:rsidRPr="00092ED7">
              <w:rPr>
                <w:sz w:val="20"/>
                <w:szCs w:val="20"/>
                <w:lang w:val="sr-Cyrl-CS"/>
              </w:rPr>
              <w:t>9,2</w:t>
            </w:r>
          </w:p>
        </w:tc>
        <w:tc>
          <w:tcPr>
            <w:tcW w:w="495" w:type="pct"/>
            <w:gridSpan w:val="2"/>
            <w:tcBorders>
              <w:top w:val="nil"/>
              <w:left w:val="nil"/>
              <w:bottom w:val="dotted" w:sz="4" w:space="0" w:color="auto"/>
              <w:right w:val="dotted" w:sz="4" w:space="0" w:color="auto"/>
            </w:tcBorders>
            <w:shd w:val="clear" w:color="000000" w:fill="FFFFFF"/>
            <w:hideMark/>
          </w:tcPr>
          <w:p w14:paraId="6043917F" w14:textId="77777777" w:rsidR="00247CBF" w:rsidRPr="00092ED7" w:rsidRDefault="00247CBF" w:rsidP="00247CBF">
            <w:pPr>
              <w:spacing w:after="0"/>
              <w:jc w:val="center"/>
              <w:rPr>
                <w:sz w:val="20"/>
                <w:szCs w:val="20"/>
                <w:lang w:val="sr-Cyrl-CS"/>
              </w:rPr>
            </w:pPr>
            <w:r w:rsidRPr="00092ED7">
              <w:rPr>
                <w:sz w:val="20"/>
                <w:szCs w:val="20"/>
                <w:lang w:val="sr-Cyrl-CS"/>
              </w:rPr>
              <w:t>11,0</w:t>
            </w:r>
          </w:p>
        </w:tc>
        <w:tc>
          <w:tcPr>
            <w:tcW w:w="495" w:type="pct"/>
            <w:gridSpan w:val="2"/>
            <w:tcBorders>
              <w:top w:val="nil"/>
              <w:left w:val="nil"/>
              <w:bottom w:val="dotted" w:sz="4" w:space="0" w:color="auto"/>
              <w:right w:val="dotted" w:sz="4" w:space="0" w:color="auto"/>
            </w:tcBorders>
            <w:shd w:val="clear" w:color="000000" w:fill="FFFFFF"/>
            <w:hideMark/>
          </w:tcPr>
          <w:p w14:paraId="1B31A17C" w14:textId="77777777" w:rsidR="00247CBF" w:rsidRPr="00092ED7" w:rsidRDefault="00247CBF" w:rsidP="00247CBF">
            <w:pPr>
              <w:spacing w:after="0"/>
              <w:jc w:val="center"/>
              <w:rPr>
                <w:sz w:val="20"/>
                <w:szCs w:val="20"/>
                <w:lang w:val="sr-Cyrl-CS"/>
              </w:rPr>
            </w:pPr>
            <w:r w:rsidRPr="00092ED7">
              <w:rPr>
                <w:sz w:val="20"/>
                <w:szCs w:val="20"/>
                <w:lang w:val="sr-Cyrl-CS"/>
              </w:rPr>
              <w:t>11,8</w:t>
            </w:r>
          </w:p>
        </w:tc>
        <w:tc>
          <w:tcPr>
            <w:tcW w:w="494" w:type="pct"/>
            <w:gridSpan w:val="2"/>
            <w:tcBorders>
              <w:top w:val="nil"/>
              <w:left w:val="nil"/>
              <w:bottom w:val="dotted" w:sz="4" w:space="0" w:color="auto"/>
              <w:right w:val="double" w:sz="6" w:space="0" w:color="auto"/>
            </w:tcBorders>
            <w:shd w:val="clear" w:color="000000" w:fill="FFFFFF"/>
            <w:hideMark/>
          </w:tcPr>
          <w:p w14:paraId="5A0CDE8C" w14:textId="77777777" w:rsidR="00247CBF" w:rsidRPr="00092ED7" w:rsidRDefault="00247CBF" w:rsidP="00247CBF">
            <w:pPr>
              <w:spacing w:after="0"/>
              <w:jc w:val="center"/>
              <w:rPr>
                <w:sz w:val="20"/>
                <w:szCs w:val="20"/>
                <w:lang w:val="sr-Cyrl-CS"/>
              </w:rPr>
            </w:pPr>
            <w:r w:rsidRPr="00092ED7">
              <w:rPr>
                <w:sz w:val="20"/>
                <w:szCs w:val="20"/>
                <w:lang w:val="sr-Cyrl-CS"/>
              </w:rPr>
              <w:t>13,0</w:t>
            </w:r>
          </w:p>
        </w:tc>
      </w:tr>
      <w:tr w:rsidR="00247CBF" w:rsidRPr="00092ED7" w14:paraId="05964578" w14:textId="77777777" w:rsidTr="00247CBF">
        <w:trPr>
          <w:gridBefore w:val="1"/>
          <w:wBefore w:w="8" w:type="pct"/>
          <w:trHeight w:val="300"/>
        </w:trPr>
        <w:tc>
          <w:tcPr>
            <w:tcW w:w="1984" w:type="pct"/>
            <w:gridSpan w:val="2"/>
            <w:tcBorders>
              <w:top w:val="nil"/>
              <w:left w:val="double" w:sz="6" w:space="0" w:color="auto"/>
              <w:bottom w:val="dotted" w:sz="4" w:space="0" w:color="auto"/>
              <w:right w:val="single" w:sz="8" w:space="0" w:color="auto"/>
            </w:tcBorders>
            <w:shd w:val="clear" w:color="000000" w:fill="FFFFFF"/>
            <w:hideMark/>
          </w:tcPr>
          <w:p w14:paraId="5487B891" w14:textId="77777777" w:rsidR="00247CBF" w:rsidRPr="00092ED7" w:rsidRDefault="00247CBF" w:rsidP="00247CBF">
            <w:pPr>
              <w:spacing w:after="0"/>
              <w:jc w:val="left"/>
              <w:rPr>
                <w:sz w:val="20"/>
                <w:szCs w:val="20"/>
                <w:lang w:val="sr-Cyrl-CS"/>
              </w:rPr>
            </w:pPr>
            <w:r w:rsidRPr="00092ED7">
              <w:rPr>
                <w:sz w:val="20"/>
                <w:szCs w:val="20"/>
                <w:lang w:val="sr-Cyrl-CS"/>
              </w:rPr>
              <w:t>7. Биланс услуга</w:t>
            </w:r>
          </w:p>
        </w:tc>
        <w:tc>
          <w:tcPr>
            <w:tcW w:w="534" w:type="pct"/>
            <w:tcBorders>
              <w:top w:val="nil"/>
              <w:left w:val="nil"/>
              <w:bottom w:val="dotted" w:sz="4" w:space="0" w:color="auto"/>
              <w:right w:val="single" w:sz="8" w:space="0" w:color="auto"/>
            </w:tcBorders>
            <w:shd w:val="clear" w:color="000000" w:fill="FFFFFF"/>
            <w:vAlign w:val="center"/>
            <w:hideMark/>
          </w:tcPr>
          <w:p w14:paraId="75C06AF0" w14:textId="77777777" w:rsidR="00247CBF" w:rsidRPr="00092ED7" w:rsidRDefault="00247CBF" w:rsidP="00247CBF">
            <w:pPr>
              <w:spacing w:after="0"/>
              <w:jc w:val="center"/>
              <w:rPr>
                <w:sz w:val="16"/>
                <w:szCs w:val="16"/>
                <w:lang w:val="sr-Cyrl-CS"/>
              </w:rPr>
            </w:pPr>
            <w:r w:rsidRPr="00092ED7">
              <w:rPr>
                <w:sz w:val="16"/>
                <w:szCs w:val="16"/>
                <w:lang w:val="sr-Cyrl-CS"/>
              </w:rPr>
              <w:t>млрд ЕУР</w:t>
            </w:r>
          </w:p>
        </w:tc>
        <w:tc>
          <w:tcPr>
            <w:tcW w:w="495" w:type="pct"/>
            <w:gridSpan w:val="2"/>
            <w:tcBorders>
              <w:top w:val="nil"/>
              <w:left w:val="nil"/>
              <w:bottom w:val="dotted" w:sz="4" w:space="0" w:color="auto"/>
              <w:right w:val="dotted" w:sz="4" w:space="0" w:color="auto"/>
            </w:tcBorders>
            <w:shd w:val="clear" w:color="000000" w:fill="FFFFFF"/>
            <w:hideMark/>
          </w:tcPr>
          <w:p w14:paraId="71D37857" w14:textId="77777777" w:rsidR="00247CBF" w:rsidRPr="00092ED7" w:rsidRDefault="00247CBF" w:rsidP="00247CBF">
            <w:pPr>
              <w:spacing w:after="0"/>
              <w:jc w:val="center"/>
              <w:rPr>
                <w:sz w:val="20"/>
                <w:szCs w:val="20"/>
                <w:lang w:val="sr-Cyrl-CS"/>
              </w:rPr>
            </w:pPr>
            <w:r w:rsidRPr="00092ED7">
              <w:rPr>
                <w:sz w:val="20"/>
                <w:szCs w:val="20"/>
                <w:lang w:val="sr-Cyrl-CS"/>
              </w:rPr>
              <w:t>1,4</w:t>
            </w:r>
          </w:p>
        </w:tc>
        <w:tc>
          <w:tcPr>
            <w:tcW w:w="495" w:type="pct"/>
            <w:gridSpan w:val="3"/>
            <w:tcBorders>
              <w:top w:val="nil"/>
              <w:left w:val="nil"/>
              <w:bottom w:val="dotted" w:sz="4" w:space="0" w:color="auto"/>
              <w:right w:val="dotted" w:sz="4" w:space="0" w:color="auto"/>
            </w:tcBorders>
            <w:shd w:val="clear" w:color="000000" w:fill="FFFFFF"/>
            <w:hideMark/>
          </w:tcPr>
          <w:p w14:paraId="58BC84E2" w14:textId="77777777" w:rsidR="00247CBF" w:rsidRPr="00092ED7" w:rsidRDefault="00247CBF" w:rsidP="00247CBF">
            <w:pPr>
              <w:spacing w:after="0"/>
              <w:jc w:val="center"/>
              <w:rPr>
                <w:sz w:val="20"/>
                <w:szCs w:val="20"/>
                <w:lang w:val="sr-Cyrl-CS"/>
              </w:rPr>
            </w:pPr>
            <w:r w:rsidRPr="00092ED7">
              <w:rPr>
                <w:sz w:val="20"/>
                <w:szCs w:val="20"/>
                <w:lang w:val="sr-Cyrl-CS"/>
              </w:rPr>
              <w:t>1,6</w:t>
            </w:r>
          </w:p>
        </w:tc>
        <w:tc>
          <w:tcPr>
            <w:tcW w:w="495" w:type="pct"/>
            <w:gridSpan w:val="2"/>
            <w:tcBorders>
              <w:top w:val="nil"/>
              <w:left w:val="nil"/>
              <w:bottom w:val="dotted" w:sz="4" w:space="0" w:color="auto"/>
              <w:right w:val="dotted" w:sz="4" w:space="0" w:color="auto"/>
            </w:tcBorders>
            <w:shd w:val="clear" w:color="000000" w:fill="FFFFFF"/>
            <w:hideMark/>
          </w:tcPr>
          <w:p w14:paraId="5342C5DD" w14:textId="77777777" w:rsidR="00247CBF" w:rsidRPr="00092ED7" w:rsidRDefault="00247CBF" w:rsidP="00247CBF">
            <w:pPr>
              <w:spacing w:after="0"/>
              <w:jc w:val="center"/>
              <w:rPr>
                <w:sz w:val="20"/>
                <w:szCs w:val="20"/>
                <w:lang w:val="sr-Cyrl-CS"/>
              </w:rPr>
            </w:pPr>
            <w:r w:rsidRPr="00092ED7">
              <w:rPr>
                <w:sz w:val="20"/>
                <w:szCs w:val="20"/>
                <w:lang w:val="sr-Cyrl-CS"/>
              </w:rPr>
              <w:t>1,4</w:t>
            </w:r>
          </w:p>
        </w:tc>
        <w:tc>
          <w:tcPr>
            <w:tcW w:w="495" w:type="pct"/>
            <w:gridSpan w:val="2"/>
            <w:tcBorders>
              <w:top w:val="nil"/>
              <w:left w:val="nil"/>
              <w:bottom w:val="dotted" w:sz="4" w:space="0" w:color="auto"/>
              <w:right w:val="dotted" w:sz="4" w:space="0" w:color="auto"/>
            </w:tcBorders>
            <w:shd w:val="clear" w:color="000000" w:fill="FFFFFF"/>
            <w:hideMark/>
          </w:tcPr>
          <w:p w14:paraId="43ADA17A" w14:textId="77777777" w:rsidR="00247CBF" w:rsidRPr="00092ED7" w:rsidRDefault="00247CBF" w:rsidP="00247CBF">
            <w:pPr>
              <w:spacing w:after="0"/>
              <w:jc w:val="center"/>
              <w:rPr>
                <w:sz w:val="20"/>
                <w:szCs w:val="20"/>
                <w:lang w:val="sr-Cyrl-CS"/>
              </w:rPr>
            </w:pPr>
            <w:r w:rsidRPr="00092ED7">
              <w:rPr>
                <w:sz w:val="20"/>
                <w:szCs w:val="20"/>
                <w:lang w:val="sr-Cyrl-CS"/>
              </w:rPr>
              <w:t>1,6</w:t>
            </w:r>
          </w:p>
        </w:tc>
        <w:tc>
          <w:tcPr>
            <w:tcW w:w="494" w:type="pct"/>
            <w:gridSpan w:val="2"/>
            <w:tcBorders>
              <w:top w:val="nil"/>
              <w:left w:val="nil"/>
              <w:bottom w:val="dotted" w:sz="4" w:space="0" w:color="auto"/>
              <w:right w:val="double" w:sz="6" w:space="0" w:color="auto"/>
            </w:tcBorders>
            <w:shd w:val="clear" w:color="000000" w:fill="FFFFFF"/>
            <w:hideMark/>
          </w:tcPr>
          <w:p w14:paraId="77189843" w14:textId="77777777" w:rsidR="00247CBF" w:rsidRPr="00092ED7" w:rsidRDefault="00247CBF" w:rsidP="00247CBF">
            <w:pPr>
              <w:spacing w:after="0"/>
              <w:jc w:val="center"/>
              <w:rPr>
                <w:sz w:val="20"/>
                <w:szCs w:val="20"/>
                <w:lang w:val="sr-Cyrl-CS"/>
              </w:rPr>
            </w:pPr>
            <w:r w:rsidRPr="00092ED7">
              <w:rPr>
                <w:sz w:val="20"/>
                <w:szCs w:val="20"/>
                <w:lang w:val="sr-Cyrl-CS"/>
              </w:rPr>
              <w:t>1,7</w:t>
            </w:r>
          </w:p>
        </w:tc>
      </w:tr>
      <w:tr w:rsidR="00247CBF" w:rsidRPr="00092ED7" w14:paraId="0E15C7B2" w14:textId="77777777" w:rsidTr="00247CBF">
        <w:trPr>
          <w:gridBefore w:val="1"/>
          <w:wBefore w:w="8" w:type="pct"/>
          <w:trHeight w:val="300"/>
        </w:trPr>
        <w:tc>
          <w:tcPr>
            <w:tcW w:w="1984" w:type="pct"/>
            <w:gridSpan w:val="2"/>
            <w:tcBorders>
              <w:top w:val="nil"/>
              <w:left w:val="double" w:sz="6" w:space="0" w:color="auto"/>
              <w:bottom w:val="dotted" w:sz="4" w:space="0" w:color="auto"/>
              <w:right w:val="single" w:sz="8" w:space="0" w:color="auto"/>
            </w:tcBorders>
            <w:shd w:val="clear" w:color="000000" w:fill="FFFFFF"/>
            <w:hideMark/>
          </w:tcPr>
          <w:p w14:paraId="70F3BB45" w14:textId="77777777" w:rsidR="00247CBF" w:rsidRPr="00092ED7" w:rsidRDefault="00247CBF" w:rsidP="00247CBF">
            <w:pPr>
              <w:spacing w:after="0"/>
              <w:jc w:val="left"/>
              <w:rPr>
                <w:sz w:val="20"/>
                <w:szCs w:val="20"/>
                <w:lang w:val="sr-Cyrl-CS"/>
              </w:rPr>
            </w:pPr>
            <w:r w:rsidRPr="00092ED7">
              <w:rPr>
                <w:sz w:val="20"/>
                <w:szCs w:val="20"/>
                <w:lang w:val="sr-Cyrl-CS"/>
              </w:rPr>
              <w:t>8. Нето примљене камате из иностранства</w:t>
            </w:r>
          </w:p>
        </w:tc>
        <w:tc>
          <w:tcPr>
            <w:tcW w:w="534" w:type="pct"/>
            <w:tcBorders>
              <w:top w:val="nil"/>
              <w:left w:val="nil"/>
              <w:bottom w:val="dotted" w:sz="4" w:space="0" w:color="auto"/>
              <w:right w:val="single" w:sz="8" w:space="0" w:color="auto"/>
            </w:tcBorders>
            <w:shd w:val="clear" w:color="000000" w:fill="FFFFFF"/>
            <w:vAlign w:val="center"/>
            <w:hideMark/>
          </w:tcPr>
          <w:p w14:paraId="51644C7D" w14:textId="77777777" w:rsidR="00247CBF" w:rsidRPr="00092ED7" w:rsidRDefault="00247CBF" w:rsidP="00247CBF">
            <w:pPr>
              <w:spacing w:after="0"/>
              <w:jc w:val="center"/>
              <w:rPr>
                <w:sz w:val="16"/>
                <w:szCs w:val="16"/>
                <w:lang w:val="sr-Cyrl-CS"/>
              </w:rPr>
            </w:pPr>
            <w:r w:rsidRPr="00092ED7">
              <w:rPr>
                <w:sz w:val="16"/>
                <w:szCs w:val="16"/>
                <w:lang w:val="sr-Cyrl-CS"/>
              </w:rPr>
              <w:t>млрд ЕУР</w:t>
            </w:r>
          </w:p>
        </w:tc>
        <w:tc>
          <w:tcPr>
            <w:tcW w:w="495" w:type="pct"/>
            <w:gridSpan w:val="2"/>
            <w:tcBorders>
              <w:top w:val="nil"/>
              <w:left w:val="nil"/>
              <w:bottom w:val="dotted" w:sz="4" w:space="0" w:color="auto"/>
              <w:right w:val="dotted" w:sz="4" w:space="0" w:color="auto"/>
            </w:tcBorders>
            <w:shd w:val="clear" w:color="000000" w:fill="FFFFFF"/>
            <w:hideMark/>
          </w:tcPr>
          <w:p w14:paraId="0FD72C28" w14:textId="77777777" w:rsidR="00247CBF" w:rsidRPr="00092ED7" w:rsidRDefault="00247CBF" w:rsidP="00247CBF">
            <w:pPr>
              <w:spacing w:after="0"/>
              <w:jc w:val="center"/>
              <w:rPr>
                <w:sz w:val="20"/>
                <w:szCs w:val="20"/>
                <w:lang w:val="sr-Cyrl-CS"/>
              </w:rPr>
            </w:pPr>
            <w:r w:rsidRPr="00092ED7">
              <w:rPr>
                <w:sz w:val="20"/>
                <w:szCs w:val="20"/>
                <w:lang w:val="sr-Cyrl-CS"/>
              </w:rPr>
              <w:t>-0,6</w:t>
            </w:r>
          </w:p>
        </w:tc>
        <w:tc>
          <w:tcPr>
            <w:tcW w:w="495" w:type="pct"/>
            <w:gridSpan w:val="3"/>
            <w:tcBorders>
              <w:top w:val="nil"/>
              <w:left w:val="nil"/>
              <w:bottom w:val="dotted" w:sz="4" w:space="0" w:color="auto"/>
              <w:right w:val="dotted" w:sz="4" w:space="0" w:color="auto"/>
            </w:tcBorders>
            <w:shd w:val="clear" w:color="000000" w:fill="FFFFFF"/>
            <w:hideMark/>
          </w:tcPr>
          <w:p w14:paraId="4CC5BEB7" w14:textId="77777777" w:rsidR="00247CBF" w:rsidRPr="00092ED7" w:rsidRDefault="00247CBF" w:rsidP="00247CBF">
            <w:pPr>
              <w:spacing w:after="0"/>
              <w:jc w:val="center"/>
              <w:rPr>
                <w:sz w:val="20"/>
                <w:szCs w:val="20"/>
                <w:lang w:val="sr-Cyrl-CS"/>
              </w:rPr>
            </w:pPr>
            <w:r w:rsidRPr="00092ED7">
              <w:rPr>
                <w:sz w:val="20"/>
                <w:szCs w:val="20"/>
                <w:lang w:val="sr-Cyrl-CS"/>
              </w:rPr>
              <w:t>-0,6</w:t>
            </w:r>
          </w:p>
        </w:tc>
        <w:tc>
          <w:tcPr>
            <w:tcW w:w="495" w:type="pct"/>
            <w:gridSpan w:val="2"/>
            <w:tcBorders>
              <w:top w:val="nil"/>
              <w:left w:val="nil"/>
              <w:bottom w:val="dotted" w:sz="4" w:space="0" w:color="auto"/>
              <w:right w:val="dotted" w:sz="4" w:space="0" w:color="auto"/>
            </w:tcBorders>
            <w:shd w:val="clear" w:color="000000" w:fill="FFFFFF"/>
            <w:hideMark/>
          </w:tcPr>
          <w:p w14:paraId="5932578F" w14:textId="77777777" w:rsidR="00247CBF" w:rsidRPr="00092ED7" w:rsidRDefault="00247CBF" w:rsidP="00247CBF">
            <w:pPr>
              <w:spacing w:after="0"/>
              <w:jc w:val="center"/>
              <w:rPr>
                <w:sz w:val="20"/>
                <w:szCs w:val="20"/>
                <w:lang w:val="sr-Cyrl-CS"/>
              </w:rPr>
            </w:pPr>
            <w:r w:rsidRPr="00092ED7">
              <w:rPr>
                <w:sz w:val="20"/>
                <w:szCs w:val="20"/>
                <w:lang w:val="sr-Cyrl-CS"/>
              </w:rPr>
              <w:t>-0,5</w:t>
            </w:r>
          </w:p>
        </w:tc>
        <w:tc>
          <w:tcPr>
            <w:tcW w:w="495" w:type="pct"/>
            <w:gridSpan w:val="2"/>
            <w:tcBorders>
              <w:top w:val="nil"/>
              <w:left w:val="nil"/>
              <w:bottom w:val="dotted" w:sz="4" w:space="0" w:color="auto"/>
              <w:right w:val="dotted" w:sz="4" w:space="0" w:color="auto"/>
            </w:tcBorders>
            <w:shd w:val="clear" w:color="000000" w:fill="FFFFFF"/>
            <w:hideMark/>
          </w:tcPr>
          <w:p w14:paraId="7B55E40F" w14:textId="77777777" w:rsidR="00247CBF" w:rsidRPr="00092ED7" w:rsidRDefault="00247CBF" w:rsidP="00247CBF">
            <w:pPr>
              <w:spacing w:after="0"/>
              <w:jc w:val="center"/>
              <w:rPr>
                <w:sz w:val="20"/>
                <w:szCs w:val="20"/>
                <w:lang w:val="sr-Cyrl-CS"/>
              </w:rPr>
            </w:pPr>
            <w:r w:rsidRPr="00092ED7">
              <w:rPr>
                <w:sz w:val="20"/>
                <w:szCs w:val="20"/>
                <w:lang w:val="sr-Cyrl-CS"/>
              </w:rPr>
              <w:t>-0,7</w:t>
            </w:r>
          </w:p>
        </w:tc>
        <w:tc>
          <w:tcPr>
            <w:tcW w:w="494" w:type="pct"/>
            <w:gridSpan w:val="2"/>
            <w:tcBorders>
              <w:top w:val="nil"/>
              <w:left w:val="nil"/>
              <w:bottom w:val="dotted" w:sz="4" w:space="0" w:color="auto"/>
              <w:right w:val="double" w:sz="6" w:space="0" w:color="auto"/>
            </w:tcBorders>
            <w:shd w:val="clear" w:color="000000" w:fill="FFFFFF"/>
            <w:hideMark/>
          </w:tcPr>
          <w:p w14:paraId="291B0EDC" w14:textId="77777777" w:rsidR="00247CBF" w:rsidRPr="00092ED7" w:rsidRDefault="00247CBF" w:rsidP="00247CBF">
            <w:pPr>
              <w:spacing w:after="0"/>
              <w:jc w:val="center"/>
              <w:rPr>
                <w:sz w:val="20"/>
                <w:szCs w:val="20"/>
                <w:lang w:val="sr-Cyrl-CS"/>
              </w:rPr>
            </w:pPr>
            <w:r w:rsidRPr="00092ED7">
              <w:rPr>
                <w:sz w:val="20"/>
                <w:szCs w:val="20"/>
                <w:lang w:val="sr-Cyrl-CS"/>
              </w:rPr>
              <w:t>-0,8</w:t>
            </w:r>
          </w:p>
        </w:tc>
      </w:tr>
      <w:tr w:rsidR="00247CBF" w:rsidRPr="00092ED7" w14:paraId="08DFF6DF" w14:textId="77777777" w:rsidTr="00247CBF">
        <w:trPr>
          <w:gridBefore w:val="1"/>
          <w:wBefore w:w="8" w:type="pct"/>
          <w:trHeight w:val="300"/>
        </w:trPr>
        <w:tc>
          <w:tcPr>
            <w:tcW w:w="1984" w:type="pct"/>
            <w:gridSpan w:val="2"/>
            <w:tcBorders>
              <w:top w:val="nil"/>
              <w:left w:val="double" w:sz="6" w:space="0" w:color="auto"/>
              <w:bottom w:val="dotted" w:sz="4" w:space="0" w:color="auto"/>
              <w:right w:val="single" w:sz="8" w:space="0" w:color="auto"/>
            </w:tcBorders>
            <w:shd w:val="clear" w:color="000000" w:fill="FFFFFF"/>
            <w:hideMark/>
          </w:tcPr>
          <w:p w14:paraId="749AACDC" w14:textId="77777777" w:rsidR="00247CBF" w:rsidRPr="00092ED7" w:rsidRDefault="00247CBF" w:rsidP="00247CBF">
            <w:pPr>
              <w:spacing w:after="0"/>
              <w:jc w:val="left"/>
              <w:rPr>
                <w:sz w:val="20"/>
                <w:szCs w:val="20"/>
                <w:lang w:val="sr-Cyrl-CS"/>
              </w:rPr>
            </w:pPr>
            <w:r w:rsidRPr="00092ED7">
              <w:rPr>
                <w:sz w:val="20"/>
                <w:szCs w:val="20"/>
                <w:lang w:val="sr-Cyrl-CS"/>
              </w:rPr>
              <w:t xml:space="preserve">9. Остали нето факторски приход из иностранства </w:t>
            </w:r>
          </w:p>
        </w:tc>
        <w:tc>
          <w:tcPr>
            <w:tcW w:w="534" w:type="pct"/>
            <w:tcBorders>
              <w:top w:val="nil"/>
              <w:left w:val="nil"/>
              <w:bottom w:val="dotted" w:sz="4" w:space="0" w:color="auto"/>
              <w:right w:val="single" w:sz="8" w:space="0" w:color="auto"/>
            </w:tcBorders>
            <w:shd w:val="clear" w:color="000000" w:fill="FFFFFF"/>
            <w:vAlign w:val="center"/>
            <w:hideMark/>
          </w:tcPr>
          <w:p w14:paraId="6CE672C6" w14:textId="77777777" w:rsidR="00247CBF" w:rsidRPr="00092ED7" w:rsidRDefault="00247CBF" w:rsidP="00247CBF">
            <w:pPr>
              <w:spacing w:after="0"/>
              <w:jc w:val="center"/>
              <w:rPr>
                <w:sz w:val="16"/>
                <w:szCs w:val="16"/>
                <w:lang w:val="sr-Cyrl-CS"/>
              </w:rPr>
            </w:pPr>
            <w:r w:rsidRPr="00092ED7">
              <w:rPr>
                <w:sz w:val="16"/>
                <w:szCs w:val="16"/>
                <w:lang w:val="sr-Cyrl-CS"/>
              </w:rPr>
              <w:t>млрд ЕУР</w:t>
            </w:r>
          </w:p>
        </w:tc>
        <w:tc>
          <w:tcPr>
            <w:tcW w:w="495" w:type="pct"/>
            <w:gridSpan w:val="2"/>
            <w:tcBorders>
              <w:top w:val="nil"/>
              <w:left w:val="nil"/>
              <w:bottom w:val="dotted" w:sz="4" w:space="0" w:color="auto"/>
              <w:right w:val="dotted" w:sz="4" w:space="0" w:color="auto"/>
            </w:tcBorders>
            <w:shd w:val="clear" w:color="000000" w:fill="FFFFFF"/>
            <w:hideMark/>
          </w:tcPr>
          <w:p w14:paraId="5FCE03B3" w14:textId="77777777" w:rsidR="00247CBF" w:rsidRPr="00092ED7" w:rsidRDefault="00247CBF" w:rsidP="00247CBF">
            <w:pPr>
              <w:spacing w:after="0"/>
              <w:jc w:val="center"/>
              <w:rPr>
                <w:sz w:val="20"/>
                <w:szCs w:val="20"/>
                <w:lang w:val="sr-Cyrl-CS"/>
              </w:rPr>
            </w:pPr>
            <w:r w:rsidRPr="00092ED7">
              <w:rPr>
                <w:sz w:val="20"/>
                <w:szCs w:val="20"/>
                <w:lang w:val="sr-Cyrl-CS"/>
              </w:rPr>
              <w:t>-1,5</w:t>
            </w:r>
          </w:p>
        </w:tc>
        <w:tc>
          <w:tcPr>
            <w:tcW w:w="495" w:type="pct"/>
            <w:gridSpan w:val="3"/>
            <w:tcBorders>
              <w:top w:val="nil"/>
              <w:left w:val="nil"/>
              <w:bottom w:val="dotted" w:sz="4" w:space="0" w:color="auto"/>
              <w:right w:val="dotted" w:sz="4" w:space="0" w:color="auto"/>
            </w:tcBorders>
            <w:shd w:val="clear" w:color="000000" w:fill="FFFFFF"/>
            <w:hideMark/>
          </w:tcPr>
          <w:p w14:paraId="7D70C7E9" w14:textId="77777777" w:rsidR="00247CBF" w:rsidRPr="00092ED7" w:rsidRDefault="00247CBF" w:rsidP="00247CBF">
            <w:pPr>
              <w:spacing w:after="0"/>
              <w:jc w:val="center"/>
              <w:rPr>
                <w:sz w:val="20"/>
                <w:szCs w:val="20"/>
                <w:lang w:val="sr-Cyrl-CS"/>
              </w:rPr>
            </w:pPr>
            <w:r w:rsidRPr="00092ED7">
              <w:rPr>
                <w:sz w:val="20"/>
                <w:szCs w:val="20"/>
                <w:lang w:val="sr-Cyrl-CS"/>
              </w:rPr>
              <w:t>-2,4</w:t>
            </w:r>
          </w:p>
        </w:tc>
        <w:tc>
          <w:tcPr>
            <w:tcW w:w="495" w:type="pct"/>
            <w:gridSpan w:val="2"/>
            <w:tcBorders>
              <w:top w:val="nil"/>
              <w:left w:val="nil"/>
              <w:bottom w:val="dotted" w:sz="4" w:space="0" w:color="auto"/>
              <w:right w:val="dotted" w:sz="4" w:space="0" w:color="auto"/>
            </w:tcBorders>
            <w:shd w:val="clear" w:color="000000" w:fill="FFFFFF"/>
            <w:hideMark/>
          </w:tcPr>
          <w:p w14:paraId="6AB22656" w14:textId="77777777" w:rsidR="00247CBF" w:rsidRPr="00092ED7" w:rsidRDefault="00247CBF" w:rsidP="00247CBF">
            <w:pPr>
              <w:spacing w:after="0"/>
              <w:jc w:val="center"/>
              <w:rPr>
                <w:sz w:val="20"/>
                <w:szCs w:val="20"/>
                <w:lang w:val="sr-Cyrl-CS"/>
              </w:rPr>
            </w:pPr>
            <w:r w:rsidRPr="00092ED7">
              <w:rPr>
                <w:sz w:val="20"/>
                <w:szCs w:val="20"/>
                <w:lang w:val="sr-Cyrl-CS"/>
              </w:rPr>
              <w:t>-3,0</w:t>
            </w:r>
          </w:p>
        </w:tc>
        <w:tc>
          <w:tcPr>
            <w:tcW w:w="495" w:type="pct"/>
            <w:gridSpan w:val="2"/>
            <w:tcBorders>
              <w:top w:val="nil"/>
              <w:left w:val="nil"/>
              <w:bottom w:val="dotted" w:sz="4" w:space="0" w:color="auto"/>
              <w:right w:val="dotted" w:sz="4" w:space="0" w:color="auto"/>
            </w:tcBorders>
            <w:shd w:val="clear" w:color="000000" w:fill="FFFFFF"/>
            <w:hideMark/>
          </w:tcPr>
          <w:p w14:paraId="4F759246" w14:textId="77777777" w:rsidR="00247CBF" w:rsidRPr="00092ED7" w:rsidRDefault="00247CBF" w:rsidP="00247CBF">
            <w:pPr>
              <w:spacing w:after="0"/>
              <w:jc w:val="center"/>
              <w:rPr>
                <w:sz w:val="20"/>
                <w:szCs w:val="20"/>
                <w:lang w:val="sr-Cyrl-CS"/>
              </w:rPr>
            </w:pPr>
            <w:r w:rsidRPr="00092ED7">
              <w:rPr>
                <w:sz w:val="20"/>
                <w:szCs w:val="20"/>
                <w:lang w:val="sr-Cyrl-CS"/>
              </w:rPr>
              <w:t>-2,5</w:t>
            </w:r>
          </w:p>
        </w:tc>
        <w:tc>
          <w:tcPr>
            <w:tcW w:w="494" w:type="pct"/>
            <w:gridSpan w:val="2"/>
            <w:tcBorders>
              <w:top w:val="nil"/>
              <w:left w:val="nil"/>
              <w:bottom w:val="dotted" w:sz="4" w:space="0" w:color="auto"/>
              <w:right w:val="double" w:sz="6" w:space="0" w:color="auto"/>
            </w:tcBorders>
            <w:shd w:val="clear" w:color="000000" w:fill="FFFFFF"/>
            <w:hideMark/>
          </w:tcPr>
          <w:p w14:paraId="6C7969E2" w14:textId="77777777" w:rsidR="00247CBF" w:rsidRPr="00092ED7" w:rsidRDefault="00247CBF" w:rsidP="00247CBF">
            <w:pPr>
              <w:spacing w:after="0"/>
              <w:jc w:val="center"/>
              <w:rPr>
                <w:sz w:val="20"/>
                <w:szCs w:val="20"/>
                <w:lang w:val="sr-Cyrl-CS"/>
              </w:rPr>
            </w:pPr>
            <w:r w:rsidRPr="00092ED7">
              <w:rPr>
                <w:sz w:val="20"/>
                <w:szCs w:val="20"/>
                <w:lang w:val="sr-Cyrl-CS"/>
              </w:rPr>
              <w:t>-2,4</w:t>
            </w:r>
          </w:p>
        </w:tc>
      </w:tr>
      <w:tr w:rsidR="00247CBF" w:rsidRPr="00092ED7" w14:paraId="1CA752F7" w14:textId="77777777" w:rsidTr="00247CBF">
        <w:trPr>
          <w:gridBefore w:val="1"/>
          <w:wBefore w:w="8" w:type="pct"/>
          <w:trHeight w:val="300"/>
        </w:trPr>
        <w:tc>
          <w:tcPr>
            <w:tcW w:w="1984" w:type="pct"/>
            <w:gridSpan w:val="2"/>
            <w:tcBorders>
              <w:top w:val="nil"/>
              <w:left w:val="double" w:sz="6" w:space="0" w:color="auto"/>
              <w:bottom w:val="dotted" w:sz="4" w:space="0" w:color="auto"/>
              <w:right w:val="single" w:sz="8" w:space="0" w:color="auto"/>
            </w:tcBorders>
            <w:shd w:val="clear" w:color="000000" w:fill="FFFFFF"/>
            <w:hideMark/>
          </w:tcPr>
          <w:p w14:paraId="130E6E8E" w14:textId="77777777" w:rsidR="00247CBF" w:rsidRPr="00092ED7" w:rsidRDefault="00247CBF" w:rsidP="00247CBF">
            <w:pPr>
              <w:spacing w:after="0"/>
              <w:jc w:val="left"/>
              <w:rPr>
                <w:sz w:val="20"/>
                <w:szCs w:val="20"/>
                <w:lang w:val="sr-Cyrl-CS"/>
              </w:rPr>
            </w:pPr>
            <w:r w:rsidRPr="00092ED7">
              <w:rPr>
                <w:sz w:val="20"/>
                <w:szCs w:val="20"/>
                <w:lang w:val="sr-Cyrl-CS"/>
              </w:rPr>
              <w:t>10. Текући трансфери</w:t>
            </w:r>
          </w:p>
        </w:tc>
        <w:tc>
          <w:tcPr>
            <w:tcW w:w="534" w:type="pct"/>
            <w:tcBorders>
              <w:top w:val="nil"/>
              <w:left w:val="nil"/>
              <w:bottom w:val="dotted" w:sz="4" w:space="0" w:color="auto"/>
              <w:right w:val="single" w:sz="8" w:space="0" w:color="auto"/>
            </w:tcBorders>
            <w:shd w:val="clear" w:color="000000" w:fill="FFFFFF"/>
            <w:vAlign w:val="center"/>
            <w:hideMark/>
          </w:tcPr>
          <w:p w14:paraId="2BB3F123" w14:textId="77777777" w:rsidR="00247CBF" w:rsidRPr="00092ED7" w:rsidRDefault="00247CBF" w:rsidP="00247CBF">
            <w:pPr>
              <w:spacing w:after="0"/>
              <w:jc w:val="center"/>
              <w:rPr>
                <w:sz w:val="16"/>
                <w:szCs w:val="16"/>
                <w:lang w:val="sr-Cyrl-CS"/>
              </w:rPr>
            </w:pPr>
            <w:r w:rsidRPr="00092ED7">
              <w:rPr>
                <w:sz w:val="16"/>
                <w:szCs w:val="16"/>
                <w:lang w:val="sr-Cyrl-CS"/>
              </w:rPr>
              <w:t>млрд ЕУР</w:t>
            </w:r>
          </w:p>
        </w:tc>
        <w:tc>
          <w:tcPr>
            <w:tcW w:w="495" w:type="pct"/>
            <w:gridSpan w:val="2"/>
            <w:tcBorders>
              <w:top w:val="nil"/>
              <w:left w:val="nil"/>
              <w:bottom w:val="dotted" w:sz="4" w:space="0" w:color="auto"/>
              <w:right w:val="dotted" w:sz="4" w:space="0" w:color="auto"/>
            </w:tcBorders>
            <w:shd w:val="clear" w:color="000000" w:fill="FFFFFF"/>
            <w:hideMark/>
          </w:tcPr>
          <w:p w14:paraId="3136A45B" w14:textId="77777777" w:rsidR="00247CBF" w:rsidRPr="00092ED7" w:rsidRDefault="00247CBF" w:rsidP="00247CBF">
            <w:pPr>
              <w:spacing w:after="0"/>
              <w:jc w:val="center"/>
              <w:rPr>
                <w:sz w:val="20"/>
                <w:szCs w:val="20"/>
                <w:lang w:val="sr-Cyrl-CS"/>
              </w:rPr>
            </w:pPr>
            <w:r w:rsidRPr="00092ED7">
              <w:rPr>
                <w:sz w:val="20"/>
                <w:szCs w:val="20"/>
                <w:lang w:val="sr-Cyrl-CS"/>
              </w:rPr>
              <w:t>4,3</w:t>
            </w:r>
          </w:p>
        </w:tc>
        <w:tc>
          <w:tcPr>
            <w:tcW w:w="495" w:type="pct"/>
            <w:gridSpan w:val="3"/>
            <w:tcBorders>
              <w:top w:val="nil"/>
              <w:left w:val="nil"/>
              <w:bottom w:val="dotted" w:sz="4" w:space="0" w:color="auto"/>
              <w:right w:val="dotted" w:sz="4" w:space="0" w:color="auto"/>
            </w:tcBorders>
            <w:shd w:val="clear" w:color="000000" w:fill="FFFFFF"/>
            <w:hideMark/>
          </w:tcPr>
          <w:p w14:paraId="184C0C54" w14:textId="77777777" w:rsidR="00247CBF" w:rsidRPr="00092ED7" w:rsidRDefault="00247CBF" w:rsidP="00247CBF">
            <w:pPr>
              <w:spacing w:after="0"/>
              <w:jc w:val="center"/>
              <w:rPr>
                <w:sz w:val="20"/>
                <w:szCs w:val="20"/>
                <w:lang w:val="sr-Cyrl-CS"/>
              </w:rPr>
            </w:pPr>
            <w:r w:rsidRPr="00092ED7">
              <w:rPr>
                <w:sz w:val="20"/>
                <w:szCs w:val="20"/>
                <w:lang w:val="sr-Cyrl-CS"/>
              </w:rPr>
              <w:t>4,9</w:t>
            </w:r>
          </w:p>
        </w:tc>
        <w:tc>
          <w:tcPr>
            <w:tcW w:w="495" w:type="pct"/>
            <w:gridSpan w:val="2"/>
            <w:tcBorders>
              <w:top w:val="nil"/>
              <w:left w:val="nil"/>
              <w:bottom w:val="dotted" w:sz="4" w:space="0" w:color="auto"/>
              <w:right w:val="dotted" w:sz="4" w:space="0" w:color="auto"/>
            </w:tcBorders>
            <w:shd w:val="clear" w:color="000000" w:fill="FFFFFF"/>
            <w:hideMark/>
          </w:tcPr>
          <w:p w14:paraId="3881C11E" w14:textId="77777777" w:rsidR="00247CBF" w:rsidRPr="00092ED7" w:rsidRDefault="00247CBF" w:rsidP="00247CBF">
            <w:pPr>
              <w:spacing w:after="0"/>
              <w:jc w:val="center"/>
              <w:rPr>
                <w:sz w:val="20"/>
                <w:szCs w:val="20"/>
                <w:lang w:val="sr-Cyrl-CS"/>
              </w:rPr>
            </w:pPr>
            <w:r w:rsidRPr="00092ED7">
              <w:rPr>
                <w:sz w:val="20"/>
                <w:szCs w:val="20"/>
                <w:lang w:val="sr-Cyrl-CS"/>
              </w:rPr>
              <w:t>5,1</w:t>
            </w:r>
          </w:p>
        </w:tc>
        <w:tc>
          <w:tcPr>
            <w:tcW w:w="495" w:type="pct"/>
            <w:gridSpan w:val="2"/>
            <w:tcBorders>
              <w:top w:val="nil"/>
              <w:left w:val="nil"/>
              <w:bottom w:val="dotted" w:sz="4" w:space="0" w:color="auto"/>
              <w:right w:val="dotted" w:sz="4" w:space="0" w:color="auto"/>
            </w:tcBorders>
            <w:shd w:val="clear" w:color="000000" w:fill="FFFFFF"/>
            <w:hideMark/>
          </w:tcPr>
          <w:p w14:paraId="64DA6421" w14:textId="77777777" w:rsidR="00247CBF" w:rsidRPr="00092ED7" w:rsidRDefault="00247CBF" w:rsidP="00247CBF">
            <w:pPr>
              <w:spacing w:after="0"/>
              <w:jc w:val="center"/>
              <w:rPr>
                <w:sz w:val="20"/>
                <w:szCs w:val="20"/>
                <w:lang w:val="sr-Cyrl-CS"/>
              </w:rPr>
            </w:pPr>
            <w:r w:rsidRPr="00092ED7">
              <w:rPr>
                <w:sz w:val="20"/>
                <w:szCs w:val="20"/>
                <w:lang w:val="sr-Cyrl-CS"/>
              </w:rPr>
              <w:t>5,2</w:t>
            </w:r>
          </w:p>
        </w:tc>
        <w:tc>
          <w:tcPr>
            <w:tcW w:w="494" w:type="pct"/>
            <w:gridSpan w:val="2"/>
            <w:tcBorders>
              <w:top w:val="nil"/>
              <w:left w:val="nil"/>
              <w:bottom w:val="dotted" w:sz="4" w:space="0" w:color="auto"/>
              <w:right w:val="double" w:sz="6" w:space="0" w:color="auto"/>
            </w:tcBorders>
            <w:shd w:val="clear" w:color="000000" w:fill="FFFFFF"/>
            <w:hideMark/>
          </w:tcPr>
          <w:p w14:paraId="294023BA" w14:textId="77777777" w:rsidR="00247CBF" w:rsidRPr="00092ED7" w:rsidRDefault="00247CBF" w:rsidP="00247CBF">
            <w:pPr>
              <w:spacing w:after="0"/>
              <w:jc w:val="center"/>
              <w:rPr>
                <w:sz w:val="20"/>
                <w:szCs w:val="20"/>
                <w:lang w:val="sr-Cyrl-CS"/>
              </w:rPr>
            </w:pPr>
            <w:r w:rsidRPr="00092ED7">
              <w:rPr>
                <w:sz w:val="20"/>
                <w:szCs w:val="20"/>
                <w:lang w:val="sr-Cyrl-CS"/>
              </w:rPr>
              <w:t>5,6</w:t>
            </w:r>
          </w:p>
        </w:tc>
      </w:tr>
      <w:tr w:rsidR="00247CBF" w:rsidRPr="00092ED7" w14:paraId="1F1547EA" w14:textId="77777777" w:rsidTr="00247CBF">
        <w:trPr>
          <w:gridBefore w:val="1"/>
          <w:wBefore w:w="8" w:type="pct"/>
          <w:trHeight w:val="300"/>
        </w:trPr>
        <w:tc>
          <w:tcPr>
            <w:tcW w:w="1984" w:type="pct"/>
            <w:gridSpan w:val="2"/>
            <w:tcBorders>
              <w:top w:val="nil"/>
              <w:left w:val="double" w:sz="6" w:space="0" w:color="auto"/>
              <w:bottom w:val="dotted" w:sz="4" w:space="0" w:color="auto"/>
              <w:right w:val="single" w:sz="8" w:space="0" w:color="auto"/>
            </w:tcBorders>
            <w:shd w:val="clear" w:color="000000" w:fill="FFFFFF"/>
            <w:hideMark/>
          </w:tcPr>
          <w:p w14:paraId="5A2690A4" w14:textId="77777777" w:rsidR="00247CBF" w:rsidRPr="00092ED7" w:rsidRDefault="00247CBF" w:rsidP="00247CBF">
            <w:pPr>
              <w:spacing w:after="0"/>
              <w:jc w:val="left"/>
              <w:rPr>
                <w:i/>
                <w:iCs/>
                <w:sz w:val="20"/>
                <w:szCs w:val="20"/>
                <w:lang w:val="sr-Cyrl-CS"/>
              </w:rPr>
            </w:pPr>
            <w:r w:rsidRPr="00092ED7">
              <w:rPr>
                <w:i/>
                <w:iCs/>
                <w:sz w:val="20"/>
                <w:szCs w:val="20"/>
                <w:lang w:val="sr-Cyrl-CS"/>
              </w:rPr>
              <w:t xml:space="preserve">11. Од чега </w:t>
            </w:r>
            <w:r w:rsidRPr="00092ED7">
              <w:rPr>
                <w:sz w:val="20"/>
                <w:szCs w:val="20"/>
                <w:lang w:val="sr-Cyrl-CS"/>
              </w:rPr>
              <w:t>из ЕУ</w:t>
            </w:r>
          </w:p>
        </w:tc>
        <w:tc>
          <w:tcPr>
            <w:tcW w:w="534" w:type="pct"/>
            <w:tcBorders>
              <w:top w:val="nil"/>
              <w:left w:val="nil"/>
              <w:bottom w:val="dotted" w:sz="4" w:space="0" w:color="auto"/>
              <w:right w:val="single" w:sz="8" w:space="0" w:color="auto"/>
            </w:tcBorders>
            <w:shd w:val="clear" w:color="000000" w:fill="FFFFFF"/>
            <w:vAlign w:val="center"/>
            <w:hideMark/>
          </w:tcPr>
          <w:p w14:paraId="1487C54A" w14:textId="77777777" w:rsidR="00247CBF" w:rsidRPr="00092ED7" w:rsidRDefault="00247CBF" w:rsidP="00247CBF">
            <w:pPr>
              <w:spacing w:after="0"/>
              <w:jc w:val="center"/>
              <w:rPr>
                <w:sz w:val="16"/>
                <w:szCs w:val="16"/>
                <w:lang w:val="sr-Cyrl-CS"/>
              </w:rPr>
            </w:pPr>
            <w:r w:rsidRPr="00092ED7">
              <w:rPr>
                <w:sz w:val="16"/>
                <w:szCs w:val="16"/>
                <w:lang w:val="sr-Cyrl-CS"/>
              </w:rPr>
              <w:t>млрд ЕУР</w:t>
            </w:r>
          </w:p>
        </w:tc>
        <w:tc>
          <w:tcPr>
            <w:tcW w:w="495" w:type="pct"/>
            <w:gridSpan w:val="2"/>
            <w:tcBorders>
              <w:top w:val="nil"/>
              <w:left w:val="nil"/>
              <w:bottom w:val="dotted" w:sz="4" w:space="0" w:color="auto"/>
              <w:right w:val="dotted" w:sz="4" w:space="0" w:color="auto"/>
            </w:tcBorders>
            <w:shd w:val="clear" w:color="000000" w:fill="FFFFFF"/>
            <w:hideMark/>
          </w:tcPr>
          <w:p w14:paraId="37A855F7" w14:textId="77777777" w:rsidR="00247CBF" w:rsidRPr="00092ED7" w:rsidRDefault="00247CBF" w:rsidP="00247CBF">
            <w:pPr>
              <w:spacing w:after="0"/>
              <w:jc w:val="center"/>
              <w:rPr>
                <w:sz w:val="20"/>
                <w:szCs w:val="20"/>
                <w:lang w:val="sr-Cyrl-CS"/>
              </w:rPr>
            </w:pPr>
            <w:r w:rsidRPr="00092ED7">
              <w:rPr>
                <w:sz w:val="20"/>
                <w:szCs w:val="20"/>
                <w:lang w:val="sr-Cyrl-CS"/>
              </w:rPr>
              <w:t>2,7</w:t>
            </w:r>
          </w:p>
        </w:tc>
        <w:tc>
          <w:tcPr>
            <w:tcW w:w="495" w:type="pct"/>
            <w:gridSpan w:val="3"/>
            <w:tcBorders>
              <w:top w:val="nil"/>
              <w:left w:val="nil"/>
              <w:bottom w:val="dotted" w:sz="4" w:space="0" w:color="auto"/>
              <w:right w:val="dotted" w:sz="4" w:space="0" w:color="auto"/>
            </w:tcBorders>
            <w:shd w:val="clear" w:color="000000" w:fill="FFFFFF"/>
            <w:hideMark/>
          </w:tcPr>
          <w:p w14:paraId="4FF6B368" w14:textId="77777777" w:rsidR="00247CBF" w:rsidRPr="00092ED7" w:rsidRDefault="00247CBF" w:rsidP="00247CBF">
            <w:pPr>
              <w:spacing w:after="0"/>
              <w:jc w:val="center"/>
              <w:rPr>
                <w:sz w:val="20"/>
                <w:szCs w:val="20"/>
                <w:lang w:val="sr-Cyrl-CS"/>
              </w:rPr>
            </w:pPr>
            <w:r w:rsidRPr="00092ED7">
              <w:rPr>
                <w:sz w:val="20"/>
                <w:szCs w:val="20"/>
                <w:lang w:val="sr-Cyrl-CS"/>
              </w:rPr>
              <w:t>3,5</w:t>
            </w:r>
          </w:p>
        </w:tc>
        <w:tc>
          <w:tcPr>
            <w:tcW w:w="495" w:type="pct"/>
            <w:gridSpan w:val="2"/>
            <w:tcBorders>
              <w:top w:val="nil"/>
              <w:left w:val="nil"/>
              <w:bottom w:val="dotted" w:sz="4" w:space="0" w:color="auto"/>
              <w:right w:val="dotted" w:sz="4" w:space="0" w:color="auto"/>
            </w:tcBorders>
            <w:shd w:val="clear" w:color="000000" w:fill="FFFFFF"/>
            <w:hideMark/>
          </w:tcPr>
          <w:p w14:paraId="464D6BFB" w14:textId="77777777" w:rsidR="00247CBF" w:rsidRPr="00092ED7" w:rsidRDefault="00247CBF" w:rsidP="00247CBF">
            <w:pPr>
              <w:spacing w:after="0"/>
              <w:jc w:val="center"/>
              <w:rPr>
                <w:sz w:val="20"/>
                <w:szCs w:val="20"/>
                <w:lang w:val="sr-Cyrl-CS"/>
              </w:rPr>
            </w:pPr>
            <w:r w:rsidRPr="00092ED7">
              <w:rPr>
                <w:sz w:val="20"/>
                <w:szCs w:val="20"/>
                <w:lang w:val="sr-Cyrl-CS"/>
              </w:rPr>
              <w:t>3,6</w:t>
            </w:r>
          </w:p>
        </w:tc>
        <w:tc>
          <w:tcPr>
            <w:tcW w:w="495" w:type="pct"/>
            <w:gridSpan w:val="2"/>
            <w:tcBorders>
              <w:top w:val="nil"/>
              <w:left w:val="nil"/>
              <w:bottom w:val="dotted" w:sz="4" w:space="0" w:color="auto"/>
              <w:right w:val="dotted" w:sz="4" w:space="0" w:color="auto"/>
            </w:tcBorders>
            <w:shd w:val="clear" w:color="000000" w:fill="FFFFFF"/>
            <w:hideMark/>
          </w:tcPr>
          <w:p w14:paraId="233455CD" w14:textId="77777777" w:rsidR="00247CBF" w:rsidRPr="00092ED7" w:rsidRDefault="00247CBF" w:rsidP="00247CBF">
            <w:pPr>
              <w:spacing w:after="0"/>
              <w:jc w:val="center"/>
              <w:rPr>
                <w:sz w:val="20"/>
                <w:szCs w:val="20"/>
                <w:lang w:val="sr-Cyrl-CS"/>
              </w:rPr>
            </w:pPr>
            <w:r w:rsidRPr="00092ED7">
              <w:rPr>
                <w:sz w:val="20"/>
                <w:szCs w:val="20"/>
                <w:lang w:val="sr-Cyrl-CS"/>
              </w:rPr>
              <w:t>3,6</w:t>
            </w:r>
          </w:p>
        </w:tc>
        <w:tc>
          <w:tcPr>
            <w:tcW w:w="494" w:type="pct"/>
            <w:gridSpan w:val="2"/>
            <w:tcBorders>
              <w:top w:val="nil"/>
              <w:left w:val="nil"/>
              <w:bottom w:val="dotted" w:sz="4" w:space="0" w:color="auto"/>
              <w:right w:val="double" w:sz="6" w:space="0" w:color="auto"/>
            </w:tcBorders>
            <w:shd w:val="clear" w:color="000000" w:fill="FFFFFF"/>
            <w:hideMark/>
          </w:tcPr>
          <w:p w14:paraId="29CC563E" w14:textId="77777777" w:rsidR="00247CBF" w:rsidRPr="00092ED7" w:rsidRDefault="00247CBF" w:rsidP="00247CBF">
            <w:pPr>
              <w:spacing w:after="0"/>
              <w:jc w:val="center"/>
              <w:rPr>
                <w:sz w:val="20"/>
                <w:szCs w:val="20"/>
                <w:lang w:val="sr-Cyrl-CS"/>
              </w:rPr>
            </w:pPr>
            <w:r w:rsidRPr="00092ED7">
              <w:rPr>
                <w:sz w:val="20"/>
                <w:szCs w:val="20"/>
                <w:lang w:val="sr-Cyrl-CS"/>
              </w:rPr>
              <w:t>3,9</w:t>
            </w:r>
          </w:p>
        </w:tc>
      </w:tr>
      <w:tr w:rsidR="00247CBF" w:rsidRPr="00092ED7" w14:paraId="62B83A47" w14:textId="77777777" w:rsidTr="00247CBF">
        <w:trPr>
          <w:gridBefore w:val="1"/>
          <w:wBefore w:w="8" w:type="pct"/>
          <w:trHeight w:val="300"/>
        </w:trPr>
        <w:tc>
          <w:tcPr>
            <w:tcW w:w="1984" w:type="pct"/>
            <w:gridSpan w:val="2"/>
            <w:tcBorders>
              <w:top w:val="nil"/>
              <w:left w:val="double" w:sz="6" w:space="0" w:color="auto"/>
              <w:bottom w:val="dotted" w:sz="4" w:space="0" w:color="auto"/>
              <w:right w:val="single" w:sz="8" w:space="0" w:color="auto"/>
            </w:tcBorders>
            <w:shd w:val="clear" w:color="000000" w:fill="FFFFFF"/>
            <w:hideMark/>
          </w:tcPr>
          <w:p w14:paraId="0E74A91D" w14:textId="77777777" w:rsidR="00247CBF" w:rsidRPr="00092ED7" w:rsidRDefault="00247CBF" w:rsidP="00247CBF">
            <w:pPr>
              <w:spacing w:after="0"/>
              <w:jc w:val="left"/>
              <w:rPr>
                <w:sz w:val="20"/>
                <w:szCs w:val="20"/>
                <w:lang w:val="sr-Cyrl-CS"/>
              </w:rPr>
            </w:pPr>
            <w:r w:rsidRPr="00092ED7">
              <w:rPr>
                <w:sz w:val="20"/>
                <w:szCs w:val="20"/>
                <w:lang w:val="sr-Cyrl-CS"/>
              </w:rPr>
              <w:t>12. Биланс текућих трансакција</w:t>
            </w:r>
          </w:p>
        </w:tc>
        <w:tc>
          <w:tcPr>
            <w:tcW w:w="534" w:type="pct"/>
            <w:tcBorders>
              <w:top w:val="nil"/>
              <w:left w:val="nil"/>
              <w:bottom w:val="dotted" w:sz="4" w:space="0" w:color="auto"/>
              <w:right w:val="single" w:sz="8" w:space="0" w:color="auto"/>
            </w:tcBorders>
            <w:shd w:val="clear" w:color="000000" w:fill="FFFFFF"/>
            <w:vAlign w:val="center"/>
            <w:hideMark/>
          </w:tcPr>
          <w:p w14:paraId="2C886D7E" w14:textId="77777777" w:rsidR="00247CBF" w:rsidRPr="00092ED7" w:rsidRDefault="00247CBF" w:rsidP="00247CBF">
            <w:pPr>
              <w:spacing w:after="0"/>
              <w:jc w:val="center"/>
              <w:rPr>
                <w:sz w:val="16"/>
                <w:szCs w:val="16"/>
                <w:lang w:val="sr-Cyrl-CS"/>
              </w:rPr>
            </w:pPr>
            <w:r w:rsidRPr="00092ED7">
              <w:rPr>
                <w:sz w:val="16"/>
                <w:szCs w:val="16"/>
                <w:lang w:val="sr-Cyrl-CS"/>
              </w:rPr>
              <w:t>млрд ЕУР</w:t>
            </w:r>
          </w:p>
        </w:tc>
        <w:tc>
          <w:tcPr>
            <w:tcW w:w="495" w:type="pct"/>
            <w:gridSpan w:val="2"/>
            <w:tcBorders>
              <w:top w:val="nil"/>
              <w:left w:val="nil"/>
              <w:bottom w:val="dotted" w:sz="4" w:space="0" w:color="auto"/>
              <w:right w:val="dotted" w:sz="4" w:space="0" w:color="auto"/>
            </w:tcBorders>
            <w:shd w:val="clear" w:color="000000" w:fill="FFFFFF"/>
            <w:hideMark/>
          </w:tcPr>
          <w:p w14:paraId="08DD37D8" w14:textId="77777777" w:rsidR="00247CBF" w:rsidRPr="00092ED7" w:rsidRDefault="00247CBF" w:rsidP="00247CBF">
            <w:pPr>
              <w:spacing w:after="0"/>
              <w:jc w:val="center"/>
              <w:rPr>
                <w:sz w:val="20"/>
                <w:szCs w:val="20"/>
                <w:lang w:val="sr-Cyrl-CS"/>
              </w:rPr>
            </w:pPr>
            <w:r w:rsidRPr="00092ED7">
              <w:rPr>
                <w:sz w:val="20"/>
                <w:szCs w:val="20"/>
                <w:lang w:val="sr-Cyrl-CS"/>
              </w:rPr>
              <w:t>-2,3</w:t>
            </w:r>
          </w:p>
        </w:tc>
        <w:tc>
          <w:tcPr>
            <w:tcW w:w="495" w:type="pct"/>
            <w:gridSpan w:val="3"/>
            <w:tcBorders>
              <w:top w:val="nil"/>
              <w:left w:val="nil"/>
              <w:bottom w:val="dotted" w:sz="4" w:space="0" w:color="auto"/>
              <w:right w:val="dotted" w:sz="4" w:space="0" w:color="auto"/>
            </w:tcBorders>
            <w:shd w:val="clear" w:color="000000" w:fill="FFFFFF"/>
            <w:hideMark/>
          </w:tcPr>
          <w:p w14:paraId="29B40E5F" w14:textId="77777777" w:rsidR="00247CBF" w:rsidRPr="00092ED7" w:rsidRDefault="00247CBF" w:rsidP="00247CBF">
            <w:pPr>
              <w:spacing w:after="0"/>
              <w:jc w:val="center"/>
              <w:rPr>
                <w:sz w:val="20"/>
                <w:szCs w:val="20"/>
                <w:lang w:val="sr-Cyrl-CS"/>
              </w:rPr>
            </w:pPr>
            <w:r w:rsidRPr="00092ED7">
              <w:rPr>
                <w:sz w:val="20"/>
                <w:szCs w:val="20"/>
                <w:lang w:val="sr-Cyrl-CS"/>
              </w:rPr>
              <w:t>-5,4</w:t>
            </w:r>
          </w:p>
        </w:tc>
        <w:tc>
          <w:tcPr>
            <w:tcW w:w="495" w:type="pct"/>
            <w:gridSpan w:val="2"/>
            <w:tcBorders>
              <w:top w:val="nil"/>
              <w:left w:val="nil"/>
              <w:bottom w:val="dotted" w:sz="4" w:space="0" w:color="auto"/>
              <w:right w:val="dotted" w:sz="4" w:space="0" w:color="auto"/>
            </w:tcBorders>
            <w:shd w:val="clear" w:color="000000" w:fill="FFFFFF"/>
            <w:hideMark/>
          </w:tcPr>
          <w:p w14:paraId="7B980F20" w14:textId="77777777" w:rsidR="00247CBF" w:rsidRPr="00092ED7" w:rsidRDefault="00247CBF" w:rsidP="00247CBF">
            <w:pPr>
              <w:spacing w:after="0"/>
              <w:jc w:val="center"/>
              <w:rPr>
                <w:sz w:val="20"/>
                <w:szCs w:val="20"/>
                <w:lang w:val="sr-Cyrl-CS"/>
              </w:rPr>
            </w:pPr>
            <w:r w:rsidRPr="00092ED7">
              <w:rPr>
                <w:sz w:val="20"/>
                <w:szCs w:val="20"/>
                <w:lang w:val="sr-Cyrl-CS"/>
              </w:rPr>
              <w:t>-5,8</w:t>
            </w:r>
          </w:p>
        </w:tc>
        <w:tc>
          <w:tcPr>
            <w:tcW w:w="495" w:type="pct"/>
            <w:gridSpan w:val="2"/>
            <w:tcBorders>
              <w:top w:val="nil"/>
              <w:left w:val="nil"/>
              <w:bottom w:val="dotted" w:sz="4" w:space="0" w:color="auto"/>
              <w:right w:val="dotted" w:sz="4" w:space="0" w:color="auto"/>
            </w:tcBorders>
            <w:shd w:val="clear" w:color="000000" w:fill="FFFFFF"/>
            <w:hideMark/>
          </w:tcPr>
          <w:p w14:paraId="13893CCF" w14:textId="77777777" w:rsidR="00247CBF" w:rsidRPr="00092ED7" w:rsidRDefault="00247CBF" w:rsidP="00247CBF">
            <w:pPr>
              <w:spacing w:after="0"/>
              <w:jc w:val="center"/>
              <w:rPr>
                <w:sz w:val="20"/>
                <w:szCs w:val="20"/>
                <w:lang w:val="sr-Cyrl-CS"/>
              </w:rPr>
            </w:pPr>
            <w:r w:rsidRPr="00092ED7">
              <w:rPr>
                <w:sz w:val="20"/>
                <w:szCs w:val="20"/>
                <w:lang w:val="sr-Cyrl-CS"/>
              </w:rPr>
              <w:t>-5,0</w:t>
            </w:r>
          </w:p>
        </w:tc>
        <w:tc>
          <w:tcPr>
            <w:tcW w:w="494" w:type="pct"/>
            <w:gridSpan w:val="2"/>
            <w:tcBorders>
              <w:top w:val="nil"/>
              <w:left w:val="nil"/>
              <w:bottom w:val="dotted" w:sz="4" w:space="0" w:color="auto"/>
              <w:right w:val="double" w:sz="6" w:space="0" w:color="auto"/>
            </w:tcBorders>
            <w:shd w:val="clear" w:color="000000" w:fill="FFFFFF"/>
            <w:hideMark/>
          </w:tcPr>
          <w:p w14:paraId="12EE802F" w14:textId="77777777" w:rsidR="00247CBF" w:rsidRPr="00092ED7" w:rsidRDefault="00247CBF" w:rsidP="00247CBF">
            <w:pPr>
              <w:spacing w:after="0"/>
              <w:jc w:val="center"/>
              <w:rPr>
                <w:sz w:val="20"/>
                <w:szCs w:val="20"/>
                <w:lang w:val="sr-Cyrl-CS"/>
              </w:rPr>
            </w:pPr>
            <w:r w:rsidRPr="00092ED7">
              <w:rPr>
                <w:sz w:val="20"/>
                <w:szCs w:val="20"/>
                <w:lang w:val="sr-Cyrl-CS"/>
              </w:rPr>
              <w:t>-4,8</w:t>
            </w:r>
          </w:p>
        </w:tc>
      </w:tr>
      <w:tr w:rsidR="00247CBF" w:rsidRPr="00092ED7" w14:paraId="5E06E8B2" w14:textId="77777777" w:rsidTr="00247CBF">
        <w:trPr>
          <w:gridBefore w:val="1"/>
          <w:wBefore w:w="8" w:type="pct"/>
          <w:trHeight w:val="300"/>
        </w:trPr>
        <w:tc>
          <w:tcPr>
            <w:tcW w:w="1984" w:type="pct"/>
            <w:gridSpan w:val="2"/>
            <w:tcBorders>
              <w:top w:val="nil"/>
              <w:left w:val="double" w:sz="6" w:space="0" w:color="auto"/>
              <w:bottom w:val="dotted" w:sz="4" w:space="0" w:color="auto"/>
              <w:right w:val="single" w:sz="8" w:space="0" w:color="auto"/>
            </w:tcBorders>
            <w:shd w:val="clear" w:color="000000" w:fill="FFFFFF"/>
            <w:hideMark/>
          </w:tcPr>
          <w:p w14:paraId="50A0A044" w14:textId="77777777" w:rsidR="00247CBF" w:rsidRPr="00092ED7" w:rsidRDefault="00247CBF" w:rsidP="00247CBF">
            <w:pPr>
              <w:spacing w:after="0"/>
              <w:jc w:val="left"/>
              <w:rPr>
                <w:sz w:val="20"/>
                <w:szCs w:val="20"/>
                <w:lang w:val="sr-Cyrl-CS"/>
              </w:rPr>
            </w:pPr>
            <w:r w:rsidRPr="00092ED7">
              <w:rPr>
                <w:sz w:val="20"/>
                <w:szCs w:val="20"/>
                <w:lang w:val="sr-Cyrl-CS"/>
              </w:rPr>
              <w:t>13. Капитални и финансијски рачун</w:t>
            </w:r>
          </w:p>
        </w:tc>
        <w:tc>
          <w:tcPr>
            <w:tcW w:w="534" w:type="pct"/>
            <w:tcBorders>
              <w:top w:val="nil"/>
              <w:left w:val="nil"/>
              <w:bottom w:val="dotted" w:sz="4" w:space="0" w:color="auto"/>
              <w:right w:val="single" w:sz="8" w:space="0" w:color="auto"/>
            </w:tcBorders>
            <w:shd w:val="clear" w:color="000000" w:fill="FFFFFF"/>
            <w:vAlign w:val="center"/>
            <w:hideMark/>
          </w:tcPr>
          <w:p w14:paraId="3D312ED0" w14:textId="77777777" w:rsidR="00247CBF" w:rsidRPr="00092ED7" w:rsidRDefault="00247CBF" w:rsidP="00247CBF">
            <w:pPr>
              <w:spacing w:after="0"/>
              <w:jc w:val="center"/>
              <w:rPr>
                <w:sz w:val="16"/>
                <w:szCs w:val="16"/>
                <w:lang w:val="sr-Cyrl-CS"/>
              </w:rPr>
            </w:pPr>
            <w:r w:rsidRPr="00092ED7">
              <w:rPr>
                <w:sz w:val="16"/>
                <w:szCs w:val="16"/>
                <w:lang w:val="sr-Cyrl-CS"/>
              </w:rPr>
              <w:t>млрд ЕУР</w:t>
            </w:r>
          </w:p>
        </w:tc>
        <w:tc>
          <w:tcPr>
            <w:tcW w:w="495" w:type="pct"/>
            <w:gridSpan w:val="2"/>
            <w:tcBorders>
              <w:top w:val="nil"/>
              <w:left w:val="nil"/>
              <w:bottom w:val="dotted" w:sz="4" w:space="0" w:color="auto"/>
              <w:right w:val="dotted" w:sz="4" w:space="0" w:color="auto"/>
            </w:tcBorders>
            <w:shd w:val="clear" w:color="000000" w:fill="FFFFFF"/>
            <w:hideMark/>
          </w:tcPr>
          <w:p w14:paraId="22DDC0CC" w14:textId="77777777" w:rsidR="00247CBF" w:rsidRPr="00092ED7" w:rsidRDefault="00247CBF" w:rsidP="00247CBF">
            <w:pPr>
              <w:spacing w:after="0"/>
              <w:jc w:val="center"/>
              <w:rPr>
                <w:sz w:val="20"/>
                <w:szCs w:val="20"/>
                <w:lang w:val="sr-Cyrl-CS"/>
              </w:rPr>
            </w:pPr>
            <w:r w:rsidRPr="00092ED7">
              <w:rPr>
                <w:sz w:val="20"/>
                <w:szCs w:val="20"/>
                <w:lang w:val="sr-Cyrl-CS"/>
              </w:rPr>
              <w:t>2,1</w:t>
            </w:r>
          </w:p>
        </w:tc>
        <w:tc>
          <w:tcPr>
            <w:tcW w:w="495" w:type="pct"/>
            <w:gridSpan w:val="3"/>
            <w:tcBorders>
              <w:top w:val="nil"/>
              <w:left w:val="nil"/>
              <w:bottom w:val="dotted" w:sz="4" w:space="0" w:color="auto"/>
              <w:right w:val="dotted" w:sz="4" w:space="0" w:color="auto"/>
            </w:tcBorders>
            <w:shd w:val="clear" w:color="000000" w:fill="FFFFFF"/>
            <w:hideMark/>
          </w:tcPr>
          <w:p w14:paraId="303A26C8" w14:textId="77777777" w:rsidR="00247CBF" w:rsidRPr="00092ED7" w:rsidRDefault="00247CBF" w:rsidP="00247CBF">
            <w:pPr>
              <w:spacing w:after="0"/>
              <w:jc w:val="center"/>
              <w:rPr>
                <w:sz w:val="20"/>
                <w:szCs w:val="20"/>
                <w:lang w:val="sr-Cyrl-CS"/>
              </w:rPr>
            </w:pPr>
            <w:r w:rsidRPr="00092ED7">
              <w:rPr>
                <w:sz w:val="20"/>
                <w:szCs w:val="20"/>
                <w:lang w:val="sr-Cyrl-CS"/>
              </w:rPr>
              <w:t>4,6</w:t>
            </w:r>
          </w:p>
        </w:tc>
        <w:tc>
          <w:tcPr>
            <w:tcW w:w="495" w:type="pct"/>
            <w:gridSpan w:val="2"/>
            <w:tcBorders>
              <w:top w:val="nil"/>
              <w:left w:val="nil"/>
              <w:bottom w:val="dotted" w:sz="4" w:space="0" w:color="auto"/>
              <w:right w:val="dotted" w:sz="4" w:space="0" w:color="auto"/>
            </w:tcBorders>
            <w:shd w:val="clear" w:color="000000" w:fill="FFFFFF"/>
            <w:hideMark/>
          </w:tcPr>
          <w:p w14:paraId="41EE83DF" w14:textId="77777777" w:rsidR="00247CBF" w:rsidRPr="00092ED7" w:rsidRDefault="00247CBF" w:rsidP="00247CBF">
            <w:pPr>
              <w:spacing w:after="0"/>
              <w:jc w:val="center"/>
              <w:rPr>
                <w:sz w:val="20"/>
                <w:szCs w:val="20"/>
                <w:lang w:val="sr-Cyrl-CS"/>
              </w:rPr>
            </w:pPr>
            <w:r w:rsidRPr="00092ED7">
              <w:rPr>
                <w:sz w:val="20"/>
                <w:szCs w:val="20"/>
                <w:lang w:val="sr-Cyrl-CS"/>
              </w:rPr>
              <w:t>2,8</w:t>
            </w:r>
          </w:p>
        </w:tc>
        <w:tc>
          <w:tcPr>
            <w:tcW w:w="495" w:type="pct"/>
            <w:gridSpan w:val="2"/>
            <w:tcBorders>
              <w:top w:val="nil"/>
              <w:left w:val="nil"/>
              <w:bottom w:val="dotted" w:sz="4" w:space="0" w:color="auto"/>
              <w:right w:val="dotted" w:sz="4" w:space="0" w:color="auto"/>
            </w:tcBorders>
            <w:shd w:val="clear" w:color="000000" w:fill="FFFFFF"/>
            <w:hideMark/>
          </w:tcPr>
          <w:p w14:paraId="7645EB35" w14:textId="77777777" w:rsidR="00247CBF" w:rsidRPr="00092ED7" w:rsidRDefault="00247CBF" w:rsidP="00247CBF">
            <w:pPr>
              <w:spacing w:after="0"/>
              <w:jc w:val="center"/>
              <w:rPr>
                <w:sz w:val="20"/>
                <w:szCs w:val="20"/>
                <w:lang w:val="sr-Cyrl-CS"/>
              </w:rPr>
            </w:pPr>
            <w:r w:rsidRPr="00092ED7">
              <w:rPr>
                <w:sz w:val="20"/>
                <w:szCs w:val="20"/>
                <w:lang w:val="sr-Cyrl-CS"/>
              </w:rPr>
              <w:t>3,1</w:t>
            </w:r>
          </w:p>
        </w:tc>
        <w:tc>
          <w:tcPr>
            <w:tcW w:w="494" w:type="pct"/>
            <w:gridSpan w:val="2"/>
            <w:tcBorders>
              <w:top w:val="nil"/>
              <w:left w:val="nil"/>
              <w:bottom w:val="dotted" w:sz="4" w:space="0" w:color="auto"/>
              <w:right w:val="double" w:sz="6" w:space="0" w:color="auto"/>
            </w:tcBorders>
            <w:shd w:val="clear" w:color="000000" w:fill="FFFFFF"/>
            <w:hideMark/>
          </w:tcPr>
          <w:p w14:paraId="735D515A" w14:textId="77777777" w:rsidR="00247CBF" w:rsidRPr="00092ED7" w:rsidRDefault="00247CBF" w:rsidP="00247CBF">
            <w:pPr>
              <w:spacing w:after="0"/>
              <w:jc w:val="center"/>
              <w:rPr>
                <w:sz w:val="20"/>
                <w:szCs w:val="20"/>
                <w:lang w:val="sr-Cyrl-CS"/>
              </w:rPr>
            </w:pPr>
            <w:r w:rsidRPr="00092ED7">
              <w:rPr>
                <w:sz w:val="20"/>
                <w:szCs w:val="20"/>
                <w:lang w:val="sr-Cyrl-CS"/>
              </w:rPr>
              <w:t>2,9</w:t>
            </w:r>
          </w:p>
        </w:tc>
      </w:tr>
      <w:tr w:rsidR="00247CBF" w:rsidRPr="00092ED7" w14:paraId="55F53E3B" w14:textId="77777777" w:rsidTr="00247CBF">
        <w:trPr>
          <w:gridBefore w:val="1"/>
          <w:wBefore w:w="8" w:type="pct"/>
          <w:trHeight w:val="300"/>
        </w:trPr>
        <w:tc>
          <w:tcPr>
            <w:tcW w:w="1984" w:type="pct"/>
            <w:gridSpan w:val="2"/>
            <w:tcBorders>
              <w:top w:val="nil"/>
              <w:left w:val="double" w:sz="6" w:space="0" w:color="auto"/>
              <w:bottom w:val="dotted" w:sz="4" w:space="0" w:color="auto"/>
              <w:right w:val="single" w:sz="8" w:space="0" w:color="auto"/>
            </w:tcBorders>
            <w:shd w:val="clear" w:color="000000" w:fill="FFFFFF"/>
            <w:hideMark/>
          </w:tcPr>
          <w:p w14:paraId="4A19F05F" w14:textId="77777777" w:rsidR="00247CBF" w:rsidRPr="00092ED7" w:rsidRDefault="00247CBF" w:rsidP="00247CBF">
            <w:pPr>
              <w:spacing w:after="0"/>
              <w:jc w:val="left"/>
              <w:rPr>
                <w:sz w:val="20"/>
                <w:szCs w:val="20"/>
                <w:lang w:val="sr-Cyrl-CS"/>
              </w:rPr>
            </w:pPr>
            <w:r w:rsidRPr="00092ED7">
              <w:rPr>
                <w:sz w:val="20"/>
                <w:szCs w:val="20"/>
                <w:lang w:val="sr-Cyrl-CS"/>
              </w:rPr>
              <w:t>14. Нето стране директне инвестиције</w:t>
            </w:r>
          </w:p>
        </w:tc>
        <w:tc>
          <w:tcPr>
            <w:tcW w:w="534" w:type="pct"/>
            <w:tcBorders>
              <w:top w:val="nil"/>
              <w:left w:val="nil"/>
              <w:bottom w:val="dotted" w:sz="4" w:space="0" w:color="auto"/>
              <w:right w:val="single" w:sz="8" w:space="0" w:color="auto"/>
            </w:tcBorders>
            <w:shd w:val="clear" w:color="000000" w:fill="FFFFFF"/>
            <w:vAlign w:val="center"/>
            <w:hideMark/>
          </w:tcPr>
          <w:p w14:paraId="60274214" w14:textId="77777777" w:rsidR="00247CBF" w:rsidRPr="00092ED7" w:rsidRDefault="00247CBF" w:rsidP="00247CBF">
            <w:pPr>
              <w:spacing w:after="0"/>
              <w:jc w:val="center"/>
              <w:rPr>
                <w:sz w:val="16"/>
                <w:szCs w:val="16"/>
                <w:lang w:val="sr-Cyrl-CS"/>
              </w:rPr>
            </w:pPr>
            <w:r w:rsidRPr="00092ED7">
              <w:rPr>
                <w:sz w:val="16"/>
                <w:szCs w:val="16"/>
                <w:lang w:val="sr-Cyrl-CS"/>
              </w:rPr>
              <w:t>млрд ЕУР</w:t>
            </w:r>
          </w:p>
        </w:tc>
        <w:tc>
          <w:tcPr>
            <w:tcW w:w="495" w:type="pct"/>
            <w:gridSpan w:val="2"/>
            <w:tcBorders>
              <w:top w:val="nil"/>
              <w:left w:val="nil"/>
              <w:bottom w:val="dotted" w:sz="4" w:space="0" w:color="auto"/>
              <w:right w:val="dotted" w:sz="4" w:space="0" w:color="auto"/>
            </w:tcBorders>
            <w:shd w:val="clear" w:color="000000" w:fill="FFFFFF"/>
            <w:hideMark/>
          </w:tcPr>
          <w:p w14:paraId="5D1EE3BD" w14:textId="77777777" w:rsidR="00247CBF" w:rsidRPr="00092ED7" w:rsidRDefault="00247CBF" w:rsidP="00247CBF">
            <w:pPr>
              <w:spacing w:after="0"/>
              <w:jc w:val="center"/>
              <w:rPr>
                <w:sz w:val="20"/>
                <w:szCs w:val="20"/>
                <w:lang w:val="sr-Cyrl-CS"/>
              </w:rPr>
            </w:pPr>
            <w:r w:rsidRPr="00092ED7">
              <w:rPr>
                <w:sz w:val="20"/>
                <w:szCs w:val="20"/>
                <w:lang w:val="sr-Cyrl-CS"/>
              </w:rPr>
              <w:t>3,7</w:t>
            </w:r>
          </w:p>
        </w:tc>
        <w:tc>
          <w:tcPr>
            <w:tcW w:w="495" w:type="pct"/>
            <w:gridSpan w:val="3"/>
            <w:tcBorders>
              <w:top w:val="nil"/>
              <w:left w:val="nil"/>
              <w:bottom w:val="dotted" w:sz="4" w:space="0" w:color="auto"/>
              <w:right w:val="dotted" w:sz="4" w:space="0" w:color="auto"/>
            </w:tcBorders>
            <w:shd w:val="clear" w:color="000000" w:fill="FFFFFF"/>
            <w:hideMark/>
          </w:tcPr>
          <w:p w14:paraId="0513A7C6" w14:textId="77777777" w:rsidR="00247CBF" w:rsidRPr="00092ED7" w:rsidRDefault="00247CBF" w:rsidP="00247CBF">
            <w:pPr>
              <w:spacing w:after="0"/>
              <w:jc w:val="center"/>
              <w:rPr>
                <w:sz w:val="20"/>
                <w:szCs w:val="20"/>
                <w:lang w:val="sr-Cyrl-CS"/>
              </w:rPr>
            </w:pPr>
            <w:r w:rsidRPr="00092ED7">
              <w:rPr>
                <w:sz w:val="20"/>
                <w:szCs w:val="20"/>
                <w:lang w:val="sr-Cyrl-CS"/>
              </w:rPr>
              <w:t>3,6</w:t>
            </w:r>
          </w:p>
        </w:tc>
        <w:tc>
          <w:tcPr>
            <w:tcW w:w="495" w:type="pct"/>
            <w:gridSpan w:val="2"/>
            <w:tcBorders>
              <w:top w:val="nil"/>
              <w:left w:val="nil"/>
              <w:bottom w:val="dotted" w:sz="4" w:space="0" w:color="auto"/>
              <w:right w:val="dotted" w:sz="4" w:space="0" w:color="auto"/>
            </w:tcBorders>
            <w:shd w:val="clear" w:color="000000" w:fill="FFFFFF"/>
            <w:hideMark/>
          </w:tcPr>
          <w:p w14:paraId="5E180FCC" w14:textId="77777777" w:rsidR="00247CBF" w:rsidRPr="00092ED7" w:rsidRDefault="00247CBF" w:rsidP="00247CBF">
            <w:pPr>
              <w:spacing w:after="0"/>
              <w:jc w:val="center"/>
              <w:rPr>
                <w:sz w:val="20"/>
                <w:szCs w:val="20"/>
                <w:lang w:val="sr-Cyrl-CS"/>
              </w:rPr>
            </w:pPr>
            <w:r w:rsidRPr="00092ED7">
              <w:rPr>
                <w:sz w:val="20"/>
                <w:szCs w:val="20"/>
                <w:lang w:val="sr-Cyrl-CS"/>
              </w:rPr>
              <w:t>3,5</w:t>
            </w:r>
          </w:p>
        </w:tc>
        <w:tc>
          <w:tcPr>
            <w:tcW w:w="495" w:type="pct"/>
            <w:gridSpan w:val="2"/>
            <w:tcBorders>
              <w:top w:val="nil"/>
              <w:left w:val="nil"/>
              <w:bottom w:val="dotted" w:sz="4" w:space="0" w:color="auto"/>
              <w:right w:val="dotted" w:sz="4" w:space="0" w:color="auto"/>
            </w:tcBorders>
            <w:shd w:val="clear" w:color="000000" w:fill="FFFFFF"/>
            <w:hideMark/>
          </w:tcPr>
          <w:p w14:paraId="5C230024" w14:textId="77777777" w:rsidR="00247CBF" w:rsidRPr="00092ED7" w:rsidRDefault="00247CBF" w:rsidP="00247CBF">
            <w:pPr>
              <w:spacing w:after="0"/>
              <w:jc w:val="center"/>
              <w:rPr>
                <w:sz w:val="20"/>
                <w:szCs w:val="20"/>
                <w:lang w:val="sr-Cyrl-CS"/>
              </w:rPr>
            </w:pPr>
            <w:r w:rsidRPr="00092ED7">
              <w:rPr>
                <w:sz w:val="20"/>
                <w:szCs w:val="20"/>
                <w:lang w:val="sr-Cyrl-CS"/>
              </w:rPr>
              <w:t>3,9</w:t>
            </w:r>
          </w:p>
        </w:tc>
        <w:tc>
          <w:tcPr>
            <w:tcW w:w="494" w:type="pct"/>
            <w:gridSpan w:val="2"/>
            <w:tcBorders>
              <w:top w:val="nil"/>
              <w:left w:val="nil"/>
              <w:bottom w:val="dotted" w:sz="4" w:space="0" w:color="auto"/>
              <w:right w:val="double" w:sz="6" w:space="0" w:color="auto"/>
            </w:tcBorders>
            <w:shd w:val="clear" w:color="000000" w:fill="FFFFFF"/>
            <w:hideMark/>
          </w:tcPr>
          <w:p w14:paraId="45C948A8" w14:textId="77777777" w:rsidR="00247CBF" w:rsidRPr="00092ED7" w:rsidRDefault="00247CBF" w:rsidP="00247CBF">
            <w:pPr>
              <w:spacing w:after="0"/>
              <w:jc w:val="center"/>
              <w:rPr>
                <w:sz w:val="20"/>
                <w:szCs w:val="20"/>
                <w:lang w:val="sr-Cyrl-CS"/>
              </w:rPr>
            </w:pPr>
            <w:r w:rsidRPr="00092ED7">
              <w:rPr>
                <w:sz w:val="20"/>
                <w:szCs w:val="20"/>
                <w:lang w:val="sr-Cyrl-CS"/>
              </w:rPr>
              <w:t>4,3</w:t>
            </w:r>
          </w:p>
        </w:tc>
      </w:tr>
      <w:tr w:rsidR="00247CBF" w:rsidRPr="00092ED7" w14:paraId="32582277" w14:textId="77777777" w:rsidTr="00247CBF">
        <w:trPr>
          <w:gridBefore w:val="1"/>
          <w:wBefore w:w="8" w:type="pct"/>
          <w:trHeight w:val="300"/>
        </w:trPr>
        <w:tc>
          <w:tcPr>
            <w:tcW w:w="1984" w:type="pct"/>
            <w:gridSpan w:val="2"/>
            <w:tcBorders>
              <w:top w:val="nil"/>
              <w:left w:val="double" w:sz="6" w:space="0" w:color="auto"/>
              <w:bottom w:val="dotted" w:sz="4" w:space="0" w:color="auto"/>
              <w:right w:val="single" w:sz="8" w:space="0" w:color="auto"/>
            </w:tcBorders>
            <w:shd w:val="clear" w:color="000000" w:fill="FFFFFF"/>
            <w:hideMark/>
          </w:tcPr>
          <w:p w14:paraId="3C61382C" w14:textId="77777777" w:rsidR="00247CBF" w:rsidRPr="00092ED7" w:rsidRDefault="00247CBF" w:rsidP="00247CBF">
            <w:pPr>
              <w:spacing w:after="0"/>
              <w:jc w:val="left"/>
              <w:rPr>
                <w:sz w:val="20"/>
                <w:szCs w:val="20"/>
                <w:lang w:val="sr-Cyrl-CS"/>
              </w:rPr>
            </w:pPr>
            <w:r w:rsidRPr="00092ED7">
              <w:rPr>
                <w:sz w:val="20"/>
                <w:szCs w:val="20"/>
                <w:lang w:val="sr-Cyrl-CS"/>
              </w:rPr>
              <w:t>15. Девизне резерве</w:t>
            </w:r>
          </w:p>
        </w:tc>
        <w:tc>
          <w:tcPr>
            <w:tcW w:w="534" w:type="pct"/>
            <w:tcBorders>
              <w:top w:val="nil"/>
              <w:left w:val="nil"/>
              <w:bottom w:val="dotted" w:sz="4" w:space="0" w:color="auto"/>
              <w:right w:val="single" w:sz="8" w:space="0" w:color="auto"/>
            </w:tcBorders>
            <w:shd w:val="clear" w:color="000000" w:fill="FFFFFF"/>
            <w:vAlign w:val="center"/>
            <w:hideMark/>
          </w:tcPr>
          <w:p w14:paraId="78B4C88C" w14:textId="77777777" w:rsidR="00247CBF" w:rsidRPr="00092ED7" w:rsidRDefault="00247CBF" w:rsidP="00247CBF">
            <w:pPr>
              <w:spacing w:after="0"/>
              <w:jc w:val="center"/>
              <w:rPr>
                <w:sz w:val="16"/>
                <w:szCs w:val="16"/>
                <w:lang w:val="sr-Cyrl-CS"/>
              </w:rPr>
            </w:pPr>
            <w:r w:rsidRPr="00092ED7">
              <w:rPr>
                <w:sz w:val="16"/>
                <w:szCs w:val="16"/>
                <w:lang w:val="sr-Cyrl-CS"/>
              </w:rPr>
              <w:t>млрд ЕУР</w:t>
            </w:r>
          </w:p>
        </w:tc>
        <w:tc>
          <w:tcPr>
            <w:tcW w:w="495" w:type="pct"/>
            <w:gridSpan w:val="2"/>
            <w:tcBorders>
              <w:top w:val="nil"/>
              <w:left w:val="nil"/>
              <w:bottom w:val="dotted" w:sz="4" w:space="0" w:color="auto"/>
              <w:right w:val="dotted" w:sz="4" w:space="0" w:color="auto"/>
            </w:tcBorders>
            <w:shd w:val="clear" w:color="000000" w:fill="FFFFFF"/>
            <w:hideMark/>
          </w:tcPr>
          <w:p w14:paraId="4A7E9786" w14:textId="77777777" w:rsidR="00247CBF" w:rsidRPr="00092ED7" w:rsidRDefault="00247CBF" w:rsidP="00247CBF">
            <w:pPr>
              <w:spacing w:after="0"/>
              <w:jc w:val="center"/>
              <w:rPr>
                <w:sz w:val="20"/>
                <w:szCs w:val="20"/>
                <w:lang w:val="sr-Cyrl-CS"/>
              </w:rPr>
            </w:pPr>
            <w:r w:rsidRPr="00092ED7">
              <w:rPr>
                <w:sz w:val="20"/>
                <w:szCs w:val="20"/>
                <w:lang w:val="sr-Cyrl-CS"/>
              </w:rPr>
              <w:t>16,5</w:t>
            </w:r>
          </w:p>
        </w:tc>
        <w:tc>
          <w:tcPr>
            <w:tcW w:w="495" w:type="pct"/>
            <w:gridSpan w:val="3"/>
            <w:tcBorders>
              <w:top w:val="nil"/>
              <w:left w:val="nil"/>
              <w:bottom w:val="dotted" w:sz="4" w:space="0" w:color="auto"/>
              <w:right w:val="dotted" w:sz="4" w:space="0" w:color="auto"/>
            </w:tcBorders>
            <w:shd w:val="clear" w:color="000000" w:fill="FFFFFF"/>
            <w:hideMark/>
          </w:tcPr>
          <w:p w14:paraId="7587C279" w14:textId="77777777" w:rsidR="00247CBF" w:rsidRPr="00092ED7" w:rsidRDefault="00247CBF" w:rsidP="00247CBF">
            <w:pPr>
              <w:spacing w:after="0"/>
              <w:jc w:val="center"/>
              <w:rPr>
                <w:sz w:val="20"/>
                <w:szCs w:val="20"/>
                <w:lang w:val="sr-Cyrl-CS"/>
              </w:rPr>
            </w:pPr>
            <w:r w:rsidRPr="00092ED7">
              <w:rPr>
                <w:sz w:val="20"/>
                <w:szCs w:val="20"/>
                <w:lang w:val="sr-Cyrl-CS"/>
              </w:rPr>
              <w:t>18,1</w:t>
            </w:r>
          </w:p>
        </w:tc>
        <w:tc>
          <w:tcPr>
            <w:tcW w:w="495" w:type="pct"/>
            <w:gridSpan w:val="2"/>
            <w:tcBorders>
              <w:top w:val="nil"/>
              <w:left w:val="nil"/>
              <w:bottom w:val="dotted" w:sz="4" w:space="0" w:color="auto"/>
              <w:right w:val="dotted" w:sz="4" w:space="0" w:color="auto"/>
            </w:tcBorders>
            <w:shd w:val="clear" w:color="000000" w:fill="FFFFFF"/>
            <w:hideMark/>
          </w:tcPr>
          <w:p w14:paraId="743C9124" w14:textId="77777777" w:rsidR="00247CBF" w:rsidRPr="00092ED7" w:rsidRDefault="00247CBF" w:rsidP="00247CBF">
            <w:pPr>
              <w:spacing w:after="0"/>
              <w:jc w:val="center"/>
              <w:rPr>
                <w:sz w:val="20"/>
                <w:szCs w:val="20"/>
                <w:lang w:val="sr-Cyrl-CS"/>
              </w:rPr>
            </w:pPr>
            <w:r w:rsidRPr="00092ED7">
              <w:rPr>
                <w:sz w:val="20"/>
                <w:szCs w:val="20"/>
                <w:lang w:val="sr-Cyrl-CS"/>
              </w:rPr>
              <w:t>18,1</w:t>
            </w:r>
          </w:p>
        </w:tc>
        <w:tc>
          <w:tcPr>
            <w:tcW w:w="495" w:type="pct"/>
            <w:gridSpan w:val="2"/>
            <w:tcBorders>
              <w:top w:val="nil"/>
              <w:left w:val="nil"/>
              <w:bottom w:val="dotted" w:sz="4" w:space="0" w:color="auto"/>
              <w:right w:val="dotted" w:sz="4" w:space="0" w:color="auto"/>
            </w:tcBorders>
            <w:shd w:val="clear" w:color="000000" w:fill="FFFFFF"/>
            <w:hideMark/>
          </w:tcPr>
          <w:p w14:paraId="52991594" w14:textId="77777777" w:rsidR="00247CBF" w:rsidRPr="00092ED7" w:rsidRDefault="00247CBF" w:rsidP="00247CBF">
            <w:pPr>
              <w:spacing w:after="0"/>
              <w:jc w:val="center"/>
              <w:rPr>
                <w:sz w:val="20"/>
                <w:szCs w:val="20"/>
                <w:lang w:val="sr-Cyrl-CS"/>
              </w:rPr>
            </w:pPr>
            <w:r w:rsidRPr="00092ED7">
              <w:rPr>
                <w:sz w:val="20"/>
                <w:szCs w:val="20"/>
                <w:lang w:val="sr-Cyrl-CS"/>
              </w:rPr>
              <w:t>18,5</w:t>
            </w:r>
          </w:p>
        </w:tc>
        <w:tc>
          <w:tcPr>
            <w:tcW w:w="494" w:type="pct"/>
            <w:gridSpan w:val="2"/>
            <w:tcBorders>
              <w:top w:val="nil"/>
              <w:left w:val="nil"/>
              <w:bottom w:val="dotted" w:sz="4" w:space="0" w:color="auto"/>
              <w:right w:val="double" w:sz="6" w:space="0" w:color="auto"/>
            </w:tcBorders>
            <w:shd w:val="clear" w:color="000000" w:fill="FFFFFF"/>
            <w:hideMark/>
          </w:tcPr>
          <w:p w14:paraId="55DDA036" w14:textId="77777777" w:rsidR="00247CBF" w:rsidRPr="00092ED7" w:rsidRDefault="00247CBF" w:rsidP="00247CBF">
            <w:pPr>
              <w:spacing w:after="0"/>
              <w:jc w:val="center"/>
              <w:rPr>
                <w:sz w:val="20"/>
                <w:szCs w:val="20"/>
                <w:lang w:val="sr-Cyrl-CS"/>
              </w:rPr>
            </w:pPr>
            <w:r w:rsidRPr="00092ED7">
              <w:rPr>
                <w:sz w:val="20"/>
                <w:szCs w:val="20"/>
                <w:lang w:val="sr-Cyrl-CS"/>
              </w:rPr>
              <w:t>19,0</w:t>
            </w:r>
          </w:p>
        </w:tc>
      </w:tr>
      <w:tr w:rsidR="00247CBF" w:rsidRPr="00092ED7" w14:paraId="356BAC73" w14:textId="77777777" w:rsidTr="00247CBF">
        <w:trPr>
          <w:gridBefore w:val="1"/>
          <w:wBefore w:w="8" w:type="pct"/>
          <w:trHeight w:val="300"/>
        </w:trPr>
        <w:tc>
          <w:tcPr>
            <w:tcW w:w="1984" w:type="pct"/>
            <w:gridSpan w:val="2"/>
            <w:tcBorders>
              <w:top w:val="nil"/>
              <w:left w:val="double" w:sz="6" w:space="0" w:color="auto"/>
              <w:bottom w:val="dotted" w:sz="4" w:space="0" w:color="auto"/>
              <w:right w:val="single" w:sz="8" w:space="0" w:color="auto"/>
            </w:tcBorders>
            <w:shd w:val="clear" w:color="000000" w:fill="FFFFFF"/>
            <w:hideMark/>
          </w:tcPr>
          <w:p w14:paraId="7A2F09D1" w14:textId="77777777" w:rsidR="00247CBF" w:rsidRPr="00092ED7" w:rsidRDefault="00247CBF" w:rsidP="00247CBF">
            <w:pPr>
              <w:spacing w:after="0"/>
              <w:jc w:val="left"/>
              <w:rPr>
                <w:sz w:val="20"/>
                <w:szCs w:val="20"/>
                <w:lang w:val="sr-Cyrl-CS"/>
              </w:rPr>
            </w:pPr>
            <w:r w:rsidRPr="00092ED7">
              <w:rPr>
                <w:sz w:val="20"/>
                <w:szCs w:val="20"/>
                <w:lang w:val="sr-Cyrl-CS"/>
              </w:rPr>
              <w:t>16. Нето спољни дуг</w:t>
            </w:r>
          </w:p>
        </w:tc>
        <w:tc>
          <w:tcPr>
            <w:tcW w:w="534" w:type="pct"/>
            <w:tcBorders>
              <w:top w:val="nil"/>
              <w:left w:val="nil"/>
              <w:bottom w:val="dotted" w:sz="4" w:space="0" w:color="auto"/>
              <w:right w:val="single" w:sz="8" w:space="0" w:color="auto"/>
            </w:tcBorders>
            <w:shd w:val="clear" w:color="000000" w:fill="FFFFFF"/>
            <w:vAlign w:val="center"/>
            <w:hideMark/>
          </w:tcPr>
          <w:p w14:paraId="799887EA" w14:textId="77777777" w:rsidR="00247CBF" w:rsidRPr="00092ED7" w:rsidRDefault="00247CBF" w:rsidP="00247CBF">
            <w:pPr>
              <w:spacing w:after="0"/>
              <w:jc w:val="center"/>
              <w:rPr>
                <w:sz w:val="16"/>
                <w:szCs w:val="16"/>
                <w:lang w:val="sr-Cyrl-CS"/>
              </w:rPr>
            </w:pPr>
            <w:r w:rsidRPr="00092ED7">
              <w:rPr>
                <w:sz w:val="16"/>
                <w:szCs w:val="16"/>
                <w:lang w:val="sr-Cyrl-CS"/>
              </w:rPr>
              <w:t>млрд ЕУР</w:t>
            </w:r>
          </w:p>
        </w:tc>
        <w:tc>
          <w:tcPr>
            <w:tcW w:w="495" w:type="pct"/>
            <w:gridSpan w:val="2"/>
            <w:tcBorders>
              <w:top w:val="nil"/>
              <w:left w:val="nil"/>
              <w:bottom w:val="dotted" w:sz="4" w:space="0" w:color="auto"/>
              <w:right w:val="dotted" w:sz="4" w:space="0" w:color="auto"/>
            </w:tcBorders>
            <w:shd w:val="clear" w:color="000000" w:fill="FFFFFF"/>
            <w:hideMark/>
          </w:tcPr>
          <w:p w14:paraId="6BA318E9" w14:textId="77777777" w:rsidR="00247CBF" w:rsidRPr="00092ED7" w:rsidRDefault="00247CBF" w:rsidP="00247CBF">
            <w:pPr>
              <w:spacing w:after="0"/>
              <w:jc w:val="center"/>
              <w:rPr>
                <w:sz w:val="20"/>
                <w:szCs w:val="20"/>
                <w:lang w:val="sr-Cyrl-CS"/>
              </w:rPr>
            </w:pPr>
            <w:r w:rsidRPr="00092ED7">
              <w:rPr>
                <w:sz w:val="20"/>
                <w:szCs w:val="20"/>
                <w:lang w:val="sr-Cyrl-CS"/>
              </w:rPr>
              <w:t>16,9</w:t>
            </w:r>
          </w:p>
        </w:tc>
        <w:tc>
          <w:tcPr>
            <w:tcW w:w="495" w:type="pct"/>
            <w:gridSpan w:val="3"/>
            <w:tcBorders>
              <w:top w:val="nil"/>
              <w:left w:val="nil"/>
              <w:bottom w:val="dotted" w:sz="4" w:space="0" w:color="auto"/>
              <w:right w:val="dotted" w:sz="4" w:space="0" w:color="auto"/>
            </w:tcBorders>
            <w:shd w:val="clear" w:color="000000" w:fill="FFFFFF"/>
            <w:hideMark/>
          </w:tcPr>
          <w:p w14:paraId="6AFF9B0D" w14:textId="77777777" w:rsidR="00247CBF" w:rsidRPr="00092ED7" w:rsidRDefault="00247CBF" w:rsidP="00247CBF">
            <w:pPr>
              <w:spacing w:after="0"/>
              <w:jc w:val="center"/>
              <w:rPr>
                <w:sz w:val="20"/>
                <w:szCs w:val="20"/>
                <w:lang w:val="sr-Cyrl-CS"/>
              </w:rPr>
            </w:pPr>
            <w:r w:rsidRPr="00092ED7">
              <w:rPr>
                <w:sz w:val="20"/>
                <w:szCs w:val="20"/>
                <w:lang w:val="sr-Cyrl-CS"/>
              </w:rPr>
              <w:t>17,2</w:t>
            </w:r>
          </w:p>
        </w:tc>
        <w:tc>
          <w:tcPr>
            <w:tcW w:w="495" w:type="pct"/>
            <w:gridSpan w:val="2"/>
            <w:tcBorders>
              <w:top w:val="nil"/>
              <w:left w:val="nil"/>
              <w:bottom w:val="dotted" w:sz="4" w:space="0" w:color="auto"/>
              <w:right w:val="dotted" w:sz="4" w:space="0" w:color="auto"/>
            </w:tcBorders>
            <w:shd w:val="clear" w:color="000000" w:fill="FFFFFF"/>
            <w:hideMark/>
          </w:tcPr>
          <w:p w14:paraId="6AEC3E07" w14:textId="77777777" w:rsidR="00247CBF" w:rsidRPr="00092ED7" w:rsidRDefault="00247CBF" w:rsidP="00247CBF">
            <w:pPr>
              <w:spacing w:after="0"/>
              <w:jc w:val="center"/>
              <w:rPr>
                <w:sz w:val="20"/>
                <w:szCs w:val="20"/>
                <w:lang w:val="sr-Cyrl-CS"/>
              </w:rPr>
            </w:pPr>
            <w:r w:rsidRPr="00092ED7">
              <w:rPr>
                <w:sz w:val="20"/>
                <w:szCs w:val="20"/>
                <w:lang w:val="sr-Cyrl-CS"/>
              </w:rPr>
              <w:t>17,5</w:t>
            </w:r>
          </w:p>
        </w:tc>
        <w:tc>
          <w:tcPr>
            <w:tcW w:w="495" w:type="pct"/>
            <w:gridSpan w:val="2"/>
            <w:tcBorders>
              <w:top w:val="nil"/>
              <w:left w:val="nil"/>
              <w:bottom w:val="dotted" w:sz="4" w:space="0" w:color="auto"/>
              <w:right w:val="dotted" w:sz="4" w:space="0" w:color="auto"/>
            </w:tcBorders>
            <w:shd w:val="clear" w:color="000000" w:fill="FFFFFF"/>
            <w:hideMark/>
          </w:tcPr>
          <w:p w14:paraId="04147993" w14:textId="77777777" w:rsidR="00247CBF" w:rsidRPr="00092ED7" w:rsidRDefault="00247CBF" w:rsidP="00247CBF">
            <w:pPr>
              <w:spacing w:after="0"/>
              <w:jc w:val="center"/>
              <w:rPr>
                <w:sz w:val="20"/>
                <w:szCs w:val="20"/>
                <w:lang w:val="sr-Cyrl-CS"/>
              </w:rPr>
            </w:pPr>
            <w:r w:rsidRPr="00092ED7">
              <w:rPr>
                <w:sz w:val="20"/>
                <w:szCs w:val="20"/>
                <w:lang w:val="sr-Cyrl-CS"/>
              </w:rPr>
              <w:t>18,0</w:t>
            </w:r>
          </w:p>
        </w:tc>
        <w:tc>
          <w:tcPr>
            <w:tcW w:w="494" w:type="pct"/>
            <w:gridSpan w:val="2"/>
            <w:tcBorders>
              <w:top w:val="nil"/>
              <w:left w:val="nil"/>
              <w:bottom w:val="dotted" w:sz="4" w:space="0" w:color="auto"/>
              <w:right w:val="double" w:sz="6" w:space="0" w:color="auto"/>
            </w:tcBorders>
            <w:shd w:val="clear" w:color="000000" w:fill="FFFFFF"/>
            <w:hideMark/>
          </w:tcPr>
          <w:p w14:paraId="2088A697" w14:textId="77777777" w:rsidR="00247CBF" w:rsidRPr="00092ED7" w:rsidRDefault="00247CBF" w:rsidP="00247CBF">
            <w:pPr>
              <w:spacing w:after="0"/>
              <w:jc w:val="center"/>
              <w:rPr>
                <w:sz w:val="20"/>
                <w:szCs w:val="20"/>
                <w:lang w:val="sr-Cyrl-CS"/>
              </w:rPr>
            </w:pPr>
            <w:r w:rsidRPr="00092ED7">
              <w:rPr>
                <w:sz w:val="20"/>
                <w:szCs w:val="20"/>
                <w:lang w:val="sr-Cyrl-CS"/>
              </w:rPr>
              <w:t>18,0</w:t>
            </w:r>
          </w:p>
        </w:tc>
      </w:tr>
      <w:tr w:rsidR="00247CBF" w:rsidRPr="00092ED7" w14:paraId="601FACC1" w14:textId="77777777" w:rsidTr="00247CBF">
        <w:trPr>
          <w:gridBefore w:val="1"/>
          <w:wBefore w:w="8" w:type="pct"/>
          <w:trHeight w:val="300"/>
        </w:trPr>
        <w:tc>
          <w:tcPr>
            <w:tcW w:w="1984" w:type="pct"/>
            <w:gridSpan w:val="2"/>
            <w:tcBorders>
              <w:top w:val="nil"/>
              <w:left w:val="double" w:sz="6" w:space="0" w:color="auto"/>
              <w:bottom w:val="dotted" w:sz="4" w:space="0" w:color="auto"/>
              <w:right w:val="single" w:sz="8" w:space="0" w:color="auto"/>
            </w:tcBorders>
            <w:shd w:val="clear" w:color="000000" w:fill="FFFFFF"/>
            <w:hideMark/>
          </w:tcPr>
          <w:p w14:paraId="7EC37717" w14:textId="77777777" w:rsidR="00247CBF" w:rsidRPr="00092ED7" w:rsidRDefault="00247CBF" w:rsidP="00247CBF">
            <w:pPr>
              <w:spacing w:after="0"/>
              <w:jc w:val="left"/>
              <w:rPr>
                <w:i/>
                <w:iCs/>
                <w:sz w:val="20"/>
                <w:szCs w:val="20"/>
                <w:lang w:val="sr-Cyrl-CS"/>
              </w:rPr>
            </w:pPr>
            <w:r w:rsidRPr="00092ED7">
              <w:rPr>
                <w:i/>
                <w:iCs/>
                <w:sz w:val="20"/>
                <w:szCs w:val="20"/>
                <w:lang w:val="sr-Cyrl-CS"/>
              </w:rPr>
              <w:t>17.Од чега:</w:t>
            </w:r>
            <w:r w:rsidRPr="00092ED7">
              <w:rPr>
                <w:sz w:val="20"/>
                <w:szCs w:val="20"/>
                <w:lang w:val="sr-Cyrl-CS"/>
              </w:rPr>
              <w:t xml:space="preserve"> јавни</w:t>
            </w:r>
          </w:p>
        </w:tc>
        <w:tc>
          <w:tcPr>
            <w:tcW w:w="534" w:type="pct"/>
            <w:tcBorders>
              <w:top w:val="nil"/>
              <w:left w:val="nil"/>
              <w:bottom w:val="dotted" w:sz="4" w:space="0" w:color="auto"/>
              <w:right w:val="single" w:sz="8" w:space="0" w:color="auto"/>
            </w:tcBorders>
            <w:shd w:val="clear" w:color="000000" w:fill="FFFFFF"/>
            <w:vAlign w:val="center"/>
            <w:hideMark/>
          </w:tcPr>
          <w:p w14:paraId="2BBC99DA" w14:textId="77777777" w:rsidR="00247CBF" w:rsidRPr="00092ED7" w:rsidRDefault="00247CBF" w:rsidP="00247CBF">
            <w:pPr>
              <w:spacing w:after="0"/>
              <w:jc w:val="center"/>
              <w:rPr>
                <w:sz w:val="16"/>
                <w:szCs w:val="16"/>
                <w:lang w:val="sr-Cyrl-CS"/>
              </w:rPr>
            </w:pPr>
            <w:r w:rsidRPr="00092ED7">
              <w:rPr>
                <w:sz w:val="16"/>
                <w:szCs w:val="16"/>
                <w:lang w:val="sr-Cyrl-CS"/>
              </w:rPr>
              <w:t>млрд ЕУР</w:t>
            </w:r>
          </w:p>
        </w:tc>
        <w:tc>
          <w:tcPr>
            <w:tcW w:w="495" w:type="pct"/>
            <w:gridSpan w:val="2"/>
            <w:tcBorders>
              <w:top w:val="nil"/>
              <w:left w:val="nil"/>
              <w:bottom w:val="dotted" w:sz="4" w:space="0" w:color="auto"/>
              <w:right w:val="dotted" w:sz="4" w:space="0" w:color="auto"/>
            </w:tcBorders>
            <w:shd w:val="clear" w:color="000000" w:fill="FFFFFF"/>
            <w:hideMark/>
          </w:tcPr>
          <w:p w14:paraId="7D671AA1" w14:textId="77777777" w:rsidR="00247CBF" w:rsidRPr="00092ED7" w:rsidRDefault="00247CBF" w:rsidP="00247CBF">
            <w:pPr>
              <w:spacing w:after="0"/>
              <w:jc w:val="center"/>
              <w:rPr>
                <w:sz w:val="20"/>
                <w:szCs w:val="20"/>
                <w:lang w:val="sr-Cyrl-CS"/>
              </w:rPr>
            </w:pPr>
            <w:r w:rsidRPr="00092ED7">
              <w:rPr>
                <w:sz w:val="20"/>
                <w:szCs w:val="20"/>
                <w:lang w:val="sr-Cyrl-CS"/>
              </w:rPr>
              <w:t>6,1</w:t>
            </w:r>
          </w:p>
        </w:tc>
        <w:tc>
          <w:tcPr>
            <w:tcW w:w="495" w:type="pct"/>
            <w:gridSpan w:val="3"/>
            <w:tcBorders>
              <w:top w:val="nil"/>
              <w:left w:val="nil"/>
              <w:bottom w:val="dotted" w:sz="4" w:space="0" w:color="auto"/>
              <w:right w:val="dotted" w:sz="4" w:space="0" w:color="auto"/>
            </w:tcBorders>
            <w:shd w:val="clear" w:color="000000" w:fill="FFFFFF"/>
            <w:hideMark/>
          </w:tcPr>
          <w:p w14:paraId="77759BE7" w14:textId="77777777" w:rsidR="00247CBF" w:rsidRPr="00092ED7" w:rsidRDefault="00247CBF" w:rsidP="00247CBF">
            <w:pPr>
              <w:spacing w:after="0"/>
              <w:jc w:val="center"/>
              <w:rPr>
                <w:sz w:val="20"/>
                <w:szCs w:val="20"/>
                <w:lang w:val="sr-Cyrl-CS"/>
              </w:rPr>
            </w:pPr>
            <w:r w:rsidRPr="00092ED7">
              <w:rPr>
                <w:sz w:val="20"/>
                <w:szCs w:val="20"/>
                <w:lang w:val="sr-Cyrl-CS"/>
              </w:rPr>
              <w:t>6,1</w:t>
            </w:r>
          </w:p>
        </w:tc>
        <w:tc>
          <w:tcPr>
            <w:tcW w:w="495" w:type="pct"/>
            <w:gridSpan w:val="2"/>
            <w:tcBorders>
              <w:top w:val="nil"/>
              <w:left w:val="nil"/>
              <w:bottom w:val="dotted" w:sz="4" w:space="0" w:color="auto"/>
              <w:right w:val="dotted" w:sz="4" w:space="0" w:color="auto"/>
            </w:tcBorders>
            <w:shd w:val="clear" w:color="000000" w:fill="FFFFFF"/>
            <w:hideMark/>
          </w:tcPr>
          <w:p w14:paraId="75EAF236" w14:textId="77777777" w:rsidR="00247CBF" w:rsidRPr="00092ED7" w:rsidRDefault="00247CBF" w:rsidP="00247CBF">
            <w:pPr>
              <w:spacing w:after="0"/>
              <w:jc w:val="center"/>
              <w:rPr>
                <w:sz w:val="20"/>
                <w:szCs w:val="20"/>
                <w:lang w:val="sr-Cyrl-CS"/>
              </w:rPr>
            </w:pPr>
            <w:r w:rsidRPr="00092ED7">
              <w:rPr>
                <w:sz w:val="20"/>
                <w:szCs w:val="20"/>
                <w:lang w:val="sr-Cyrl-CS"/>
              </w:rPr>
              <w:t>6,1</w:t>
            </w:r>
          </w:p>
        </w:tc>
        <w:tc>
          <w:tcPr>
            <w:tcW w:w="495" w:type="pct"/>
            <w:gridSpan w:val="2"/>
            <w:tcBorders>
              <w:top w:val="nil"/>
              <w:left w:val="nil"/>
              <w:bottom w:val="dotted" w:sz="4" w:space="0" w:color="auto"/>
              <w:right w:val="dotted" w:sz="4" w:space="0" w:color="auto"/>
            </w:tcBorders>
            <w:shd w:val="clear" w:color="000000" w:fill="FFFFFF"/>
            <w:hideMark/>
          </w:tcPr>
          <w:p w14:paraId="515B0737" w14:textId="77777777" w:rsidR="00247CBF" w:rsidRPr="00092ED7" w:rsidRDefault="00247CBF" w:rsidP="00247CBF">
            <w:pPr>
              <w:spacing w:after="0"/>
              <w:jc w:val="center"/>
              <w:rPr>
                <w:sz w:val="20"/>
                <w:szCs w:val="20"/>
                <w:lang w:val="sr-Cyrl-CS"/>
              </w:rPr>
            </w:pPr>
            <w:r w:rsidRPr="00092ED7">
              <w:rPr>
                <w:sz w:val="20"/>
                <w:szCs w:val="20"/>
                <w:lang w:val="sr-Cyrl-CS"/>
              </w:rPr>
              <w:t>6,2</w:t>
            </w:r>
          </w:p>
        </w:tc>
        <w:tc>
          <w:tcPr>
            <w:tcW w:w="494" w:type="pct"/>
            <w:gridSpan w:val="2"/>
            <w:tcBorders>
              <w:top w:val="nil"/>
              <w:left w:val="nil"/>
              <w:bottom w:val="dotted" w:sz="4" w:space="0" w:color="auto"/>
              <w:right w:val="double" w:sz="6" w:space="0" w:color="auto"/>
            </w:tcBorders>
            <w:shd w:val="clear" w:color="000000" w:fill="FFFFFF"/>
            <w:hideMark/>
          </w:tcPr>
          <w:p w14:paraId="2C309DBA" w14:textId="77777777" w:rsidR="00247CBF" w:rsidRPr="00092ED7" w:rsidRDefault="00247CBF" w:rsidP="00247CBF">
            <w:pPr>
              <w:spacing w:after="0"/>
              <w:jc w:val="center"/>
              <w:rPr>
                <w:sz w:val="20"/>
                <w:szCs w:val="20"/>
                <w:lang w:val="sr-Cyrl-CS"/>
              </w:rPr>
            </w:pPr>
            <w:r w:rsidRPr="00092ED7">
              <w:rPr>
                <w:sz w:val="20"/>
                <w:szCs w:val="20"/>
                <w:lang w:val="sr-Cyrl-CS"/>
              </w:rPr>
              <w:t>6,3</w:t>
            </w:r>
          </w:p>
        </w:tc>
      </w:tr>
      <w:tr w:rsidR="00247CBF" w:rsidRPr="00092ED7" w14:paraId="0146D54C" w14:textId="77777777" w:rsidTr="00247CBF">
        <w:trPr>
          <w:gridBefore w:val="1"/>
          <w:wBefore w:w="8" w:type="pct"/>
          <w:trHeight w:val="300"/>
        </w:trPr>
        <w:tc>
          <w:tcPr>
            <w:tcW w:w="1984" w:type="pct"/>
            <w:gridSpan w:val="2"/>
            <w:tcBorders>
              <w:top w:val="nil"/>
              <w:left w:val="double" w:sz="6" w:space="0" w:color="auto"/>
              <w:bottom w:val="dotted" w:sz="4" w:space="0" w:color="auto"/>
              <w:right w:val="single" w:sz="8" w:space="0" w:color="auto"/>
            </w:tcBorders>
            <w:shd w:val="clear" w:color="000000" w:fill="FFFFFF"/>
            <w:hideMark/>
          </w:tcPr>
          <w:p w14:paraId="3A334D31" w14:textId="77777777" w:rsidR="00247CBF" w:rsidRPr="00092ED7" w:rsidRDefault="00247CBF" w:rsidP="00247CBF">
            <w:pPr>
              <w:spacing w:after="0"/>
              <w:jc w:val="left"/>
              <w:rPr>
                <w:i/>
                <w:iCs/>
                <w:sz w:val="20"/>
                <w:szCs w:val="20"/>
                <w:lang w:val="sr-Cyrl-CS"/>
              </w:rPr>
            </w:pPr>
            <w:r w:rsidRPr="00092ED7">
              <w:rPr>
                <w:i/>
                <w:iCs/>
                <w:sz w:val="20"/>
                <w:szCs w:val="20"/>
                <w:lang w:val="sr-Cyrl-CS"/>
              </w:rPr>
              <w:t xml:space="preserve">18. Од чега: </w:t>
            </w:r>
            <w:r w:rsidRPr="00092ED7">
              <w:rPr>
                <w:sz w:val="20"/>
                <w:szCs w:val="20"/>
                <w:lang w:val="sr-Cyrl-CS"/>
              </w:rPr>
              <w:t>деноминовано у страним валутама</w:t>
            </w:r>
          </w:p>
        </w:tc>
        <w:tc>
          <w:tcPr>
            <w:tcW w:w="534" w:type="pct"/>
            <w:tcBorders>
              <w:top w:val="nil"/>
              <w:left w:val="nil"/>
              <w:bottom w:val="dotted" w:sz="4" w:space="0" w:color="auto"/>
              <w:right w:val="single" w:sz="8" w:space="0" w:color="auto"/>
            </w:tcBorders>
            <w:shd w:val="clear" w:color="000000" w:fill="FFFFFF"/>
            <w:vAlign w:val="center"/>
            <w:hideMark/>
          </w:tcPr>
          <w:p w14:paraId="5D252BEA" w14:textId="77777777" w:rsidR="00247CBF" w:rsidRPr="00092ED7" w:rsidRDefault="00247CBF" w:rsidP="00247CBF">
            <w:pPr>
              <w:spacing w:after="0"/>
              <w:jc w:val="center"/>
              <w:rPr>
                <w:sz w:val="16"/>
                <w:szCs w:val="16"/>
                <w:lang w:val="sr-Cyrl-CS"/>
              </w:rPr>
            </w:pPr>
            <w:r w:rsidRPr="00092ED7">
              <w:rPr>
                <w:sz w:val="16"/>
                <w:szCs w:val="16"/>
                <w:lang w:val="sr-Cyrl-CS"/>
              </w:rPr>
              <w:t>млрд ЕУР</w:t>
            </w:r>
          </w:p>
        </w:tc>
        <w:tc>
          <w:tcPr>
            <w:tcW w:w="495" w:type="pct"/>
            <w:gridSpan w:val="2"/>
            <w:tcBorders>
              <w:top w:val="nil"/>
              <w:left w:val="nil"/>
              <w:bottom w:val="dotted" w:sz="4" w:space="0" w:color="auto"/>
              <w:right w:val="dotted" w:sz="4" w:space="0" w:color="auto"/>
            </w:tcBorders>
            <w:shd w:val="clear" w:color="000000" w:fill="FFFFFF"/>
            <w:hideMark/>
          </w:tcPr>
          <w:p w14:paraId="7612850C" w14:textId="77777777" w:rsidR="00247CBF" w:rsidRPr="00092ED7" w:rsidRDefault="00247CBF" w:rsidP="00247CBF">
            <w:pPr>
              <w:spacing w:after="0"/>
              <w:jc w:val="center"/>
              <w:rPr>
                <w:sz w:val="20"/>
                <w:szCs w:val="20"/>
                <w:lang w:val="sr-Cyrl-CS"/>
              </w:rPr>
            </w:pPr>
            <w:r w:rsidRPr="00092ED7">
              <w:rPr>
                <w:sz w:val="20"/>
                <w:szCs w:val="20"/>
                <w:lang w:val="sr-Cyrl-CS"/>
              </w:rPr>
              <w:t>15,3</w:t>
            </w:r>
          </w:p>
        </w:tc>
        <w:tc>
          <w:tcPr>
            <w:tcW w:w="495" w:type="pct"/>
            <w:gridSpan w:val="3"/>
            <w:tcBorders>
              <w:top w:val="nil"/>
              <w:left w:val="nil"/>
              <w:bottom w:val="dotted" w:sz="4" w:space="0" w:color="auto"/>
              <w:right w:val="dotted" w:sz="4" w:space="0" w:color="auto"/>
            </w:tcBorders>
            <w:shd w:val="clear" w:color="000000" w:fill="FFFFFF"/>
            <w:hideMark/>
          </w:tcPr>
          <w:p w14:paraId="3F8723C8" w14:textId="77777777" w:rsidR="00247CBF" w:rsidRPr="00092ED7" w:rsidRDefault="00247CBF" w:rsidP="00247CBF">
            <w:pPr>
              <w:spacing w:after="0"/>
              <w:jc w:val="center"/>
              <w:rPr>
                <w:sz w:val="20"/>
                <w:szCs w:val="20"/>
                <w:lang w:val="sr-Cyrl-CS"/>
              </w:rPr>
            </w:pPr>
            <w:r w:rsidRPr="00092ED7">
              <w:rPr>
                <w:sz w:val="20"/>
                <w:szCs w:val="20"/>
                <w:lang w:val="sr-Cyrl-CS"/>
              </w:rPr>
              <w:t>15,6</w:t>
            </w:r>
          </w:p>
        </w:tc>
        <w:tc>
          <w:tcPr>
            <w:tcW w:w="495" w:type="pct"/>
            <w:gridSpan w:val="2"/>
            <w:tcBorders>
              <w:top w:val="nil"/>
              <w:left w:val="nil"/>
              <w:bottom w:val="dotted" w:sz="4" w:space="0" w:color="auto"/>
              <w:right w:val="dotted" w:sz="4" w:space="0" w:color="auto"/>
            </w:tcBorders>
            <w:shd w:val="clear" w:color="000000" w:fill="FFFFFF"/>
            <w:hideMark/>
          </w:tcPr>
          <w:p w14:paraId="3E748467" w14:textId="77777777" w:rsidR="00247CBF" w:rsidRPr="00092ED7" w:rsidRDefault="00247CBF" w:rsidP="00247CBF">
            <w:pPr>
              <w:spacing w:after="0"/>
              <w:jc w:val="center"/>
              <w:rPr>
                <w:sz w:val="20"/>
                <w:szCs w:val="20"/>
                <w:lang w:val="sr-Cyrl-CS"/>
              </w:rPr>
            </w:pPr>
            <w:r w:rsidRPr="00092ED7">
              <w:rPr>
                <w:sz w:val="20"/>
                <w:szCs w:val="20"/>
                <w:lang w:val="sr-Cyrl-CS"/>
              </w:rPr>
              <w:t>15,9</w:t>
            </w:r>
          </w:p>
        </w:tc>
        <w:tc>
          <w:tcPr>
            <w:tcW w:w="495" w:type="pct"/>
            <w:gridSpan w:val="2"/>
            <w:tcBorders>
              <w:top w:val="nil"/>
              <w:left w:val="nil"/>
              <w:bottom w:val="dotted" w:sz="4" w:space="0" w:color="auto"/>
              <w:right w:val="dotted" w:sz="4" w:space="0" w:color="auto"/>
            </w:tcBorders>
            <w:shd w:val="clear" w:color="000000" w:fill="FFFFFF"/>
            <w:hideMark/>
          </w:tcPr>
          <w:p w14:paraId="1708279B" w14:textId="77777777" w:rsidR="00247CBF" w:rsidRPr="00092ED7" w:rsidRDefault="00247CBF" w:rsidP="00247CBF">
            <w:pPr>
              <w:spacing w:after="0"/>
              <w:jc w:val="center"/>
              <w:rPr>
                <w:sz w:val="20"/>
                <w:szCs w:val="20"/>
                <w:lang w:val="sr-Cyrl-CS"/>
              </w:rPr>
            </w:pPr>
            <w:r w:rsidRPr="00092ED7">
              <w:rPr>
                <w:sz w:val="20"/>
                <w:szCs w:val="20"/>
                <w:lang w:val="sr-Cyrl-CS"/>
              </w:rPr>
              <w:t>16,5</w:t>
            </w:r>
          </w:p>
        </w:tc>
        <w:tc>
          <w:tcPr>
            <w:tcW w:w="494" w:type="pct"/>
            <w:gridSpan w:val="2"/>
            <w:tcBorders>
              <w:top w:val="nil"/>
              <w:left w:val="nil"/>
              <w:bottom w:val="dotted" w:sz="4" w:space="0" w:color="auto"/>
              <w:right w:val="double" w:sz="6" w:space="0" w:color="auto"/>
            </w:tcBorders>
            <w:shd w:val="clear" w:color="000000" w:fill="FFFFFF"/>
            <w:hideMark/>
          </w:tcPr>
          <w:p w14:paraId="2EE42406" w14:textId="77777777" w:rsidR="00247CBF" w:rsidRPr="00092ED7" w:rsidRDefault="00247CBF" w:rsidP="00247CBF">
            <w:pPr>
              <w:spacing w:after="0"/>
              <w:jc w:val="center"/>
              <w:rPr>
                <w:sz w:val="20"/>
                <w:szCs w:val="20"/>
                <w:lang w:val="sr-Cyrl-CS"/>
              </w:rPr>
            </w:pPr>
            <w:r w:rsidRPr="00092ED7">
              <w:rPr>
                <w:sz w:val="20"/>
                <w:szCs w:val="20"/>
                <w:lang w:val="sr-Cyrl-CS"/>
              </w:rPr>
              <w:t>16,7</w:t>
            </w:r>
          </w:p>
        </w:tc>
      </w:tr>
      <w:tr w:rsidR="00247CBF" w:rsidRPr="00092ED7" w14:paraId="5A041FF4" w14:textId="77777777" w:rsidTr="00247CBF">
        <w:trPr>
          <w:gridBefore w:val="1"/>
          <w:wBefore w:w="8" w:type="pct"/>
          <w:trHeight w:val="300"/>
        </w:trPr>
        <w:tc>
          <w:tcPr>
            <w:tcW w:w="1984" w:type="pct"/>
            <w:gridSpan w:val="2"/>
            <w:tcBorders>
              <w:top w:val="nil"/>
              <w:left w:val="double" w:sz="6" w:space="0" w:color="auto"/>
              <w:bottom w:val="single" w:sz="4" w:space="0" w:color="auto"/>
              <w:right w:val="single" w:sz="8" w:space="0" w:color="auto"/>
            </w:tcBorders>
            <w:shd w:val="clear" w:color="000000" w:fill="FFFFFF"/>
            <w:hideMark/>
          </w:tcPr>
          <w:p w14:paraId="1571734B" w14:textId="77777777" w:rsidR="00247CBF" w:rsidRPr="00092ED7" w:rsidRDefault="00247CBF" w:rsidP="00247CBF">
            <w:pPr>
              <w:spacing w:after="0"/>
              <w:jc w:val="left"/>
              <w:rPr>
                <w:i/>
                <w:iCs/>
                <w:sz w:val="20"/>
                <w:szCs w:val="20"/>
                <w:lang w:val="sr-Cyrl-CS"/>
              </w:rPr>
            </w:pPr>
            <w:r w:rsidRPr="00092ED7">
              <w:rPr>
                <w:i/>
                <w:iCs/>
                <w:sz w:val="20"/>
                <w:szCs w:val="20"/>
                <w:lang w:val="sr-Cyrl-CS"/>
              </w:rPr>
              <w:t xml:space="preserve">19. Од чега: </w:t>
            </w:r>
            <w:r w:rsidRPr="00092ED7">
              <w:rPr>
                <w:sz w:val="20"/>
                <w:szCs w:val="20"/>
                <w:lang w:val="sr-Cyrl-CS"/>
              </w:rPr>
              <w:t>доспело за отплату</w:t>
            </w:r>
          </w:p>
        </w:tc>
        <w:tc>
          <w:tcPr>
            <w:tcW w:w="534" w:type="pct"/>
            <w:tcBorders>
              <w:top w:val="nil"/>
              <w:left w:val="nil"/>
              <w:bottom w:val="single" w:sz="4" w:space="0" w:color="auto"/>
              <w:right w:val="single" w:sz="8" w:space="0" w:color="auto"/>
            </w:tcBorders>
            <w:shd w:val="clear" w:color="000000" w:fill="FFFFFF"/>
            <w:vAlign w:val="center"/>
            <w:hideMark/>
          </w:tcPr>
          <w:p w14:paraId="3C60BDF1" w14:textId="77777777" w:rsidR="00247CBF" w:rsidRPr="00092ED7" w:rsidRDefault="00247CBF" w:rsidP="00247CBF">
            <w:pPr>
              <w:spacing w:after="0"/>
              <w:jc w:val="center"/>
              <w:rPr>
                <w:sz w:val="16"/>
                <w:szCs w:val="16"/>
                <w:lang w:val="sr-Cyrl-CS"/>
              </w:rPr>
            </w:pPr>
            <w:r w:rsidRPr="00092ED7">
              <w:rPr>
                <w:sz w:val="16"/>
                <w:szCs w:val="16"/>
                <w:lang w:val="sr-Cyrl-CS"/>
              </w:rPr>
              <w:t>млрд ЕУР</w:t>
            </w:r>
          </w:p>
        </w:tc>
        <w:tc>
          <w:tcPr>
            <w:tcW w:w="495" w:type="pct"/>
            <w:gridSpan w:val="2"/>
            <w:tcBorders>
              <w:top w:val="nil"/>
              <w:left w:val="nil"/>
              <w:bottom w:val="single" w:sz="4" w:space="0" w:color="auto"/>
              <w:right w:val="dotted" w:sz="4" w:space="0" w:color="auto"/>
            </w:tcBorders>
            <w:shd w:val="clear" w:color="000000" w:fill="FFFFFF"/>
            <w:hideMark/>
          </w:tcPr>
          <w:p w14:paraId="6663A6A5" w14:textId="77777777" w:rsidR="00247CBF" w:rsidRPr="00092ED7" w:rsidRDefault="00247CBF" w:rsidP="00247CBF">
            <w:pPr>
              <w:spacing w:after="0"/>
              <w:jc w:val="center"/>
              <w:rPr>
                <w:sz w:val="20"/>
                <w:szCs w:val="20"/>
                <w:lang w:val="sr-Cyrl-CS"/>
              </w:rPr>
            </w:pPr>
            <w:r w:rsidRPr="00092ED7">
              <w:rPr>
                <w:sz w:val="20"/>
                <w:szCs w:val="20"/>
                <w:lang w:val="sr-Cyrl-CS"/>
              </w:rPr>
              <w:t>4,3</w:t>
            </w:r>
          </w:p>
        </w:tc>
        <w:tc>
          <w:tcPr>
            <w:tcW w:w="495" w:type="pct"/>
            <w:gridSpan w:val="3"/>
            <w:tcBorders>
              <w:top w:val="nil"/>
              <w:left w:val="nil"/>
              <w:bottom w:val="single" w:sz="4" w:space="0" w:color="auto"/>
              <w:right w:val="dotted" w:sz="4" w:space="0" w:color="auto"/>
            </w:tcBorders>
            <w:shd w:val="clear" w:color="000000" w:fill="FFFFFF"/>
            <w:hideMark/>
          </w:tcPr>
          <w:p w14:paraId="17FCF33E" w14:textId="77777777" w:rsidR="00247CBF" w:rsidRPr="00092ED7" w:rsidRDefault="00247CBF" w:rsidP="00247CBF">
            <w:pPr>
              <w:spacing w:after="0"/>
              <w:jc w:val="center"/>
              <w:rPr>
                <w:sz w:val="20"/>
                <w:szCs w:val="20"/>
                <w:lang w:val="sr-Cyrl-CS"/>
              </w:rPr>
            </w:pPr>
            <w:r w:rsidRPr="00092ED7">
              <w:rPr>
                <w:sz w:val="20"/>
                <w:szCs w:val="20"/>
                <w:lang w:val="sr-Cyrl-CS"/>
              </w:rPr>
              <w:t>4,8</w:t>
            </w:r>
          </w:p>
        </w:tc>
        <w:tc>
          <w:tcPr>
            <w:tcW w:w="495" w:type="pct"/>
            <w:gridSpan w:val="2"/>
            <w:tcBorders>
              <w:top w:val="nil"/>
              <w:left w:val="nil"/>
              <w:bottom w:val="single" w:sz="4" w:space="0" w:color="auto"/>
              <w:right w:val="dotted" w:sz="4" w:space="0" w:color="auto"/>
            </w:tcBorders>
            <w:shd w:val="clear" w:color="000000" w:fill="FFFFFF"/>
            <w:hideMark/>
          </w:tcPr>
          <w:p w14:paraId="5E0C4932" w14:textId="77777777" w:rsidR="00247CBF" w:rsidRPr="00092ED7" w:rsidRDefault="00247CBF" w:rsidP="00247CBF">
            <w:pPr>
              <w:spacing w:after="0"/>
              <w:jc w:val="center"/>
              <w:rPr>
                <w:sz w:val="20"/>
                <w:szCs w:val="20"/>
                <w:lang w:val="sr-Cyrl-CS"/>
              </w:rPr>
            </w:pPr>
            <w:r w:rsidRPr="00092ED7">
              <w:rPr>
                <w:sz w:val="20"/>
                <w:szCs w:val="20"/>
                <w:lang w:val="sr-Cyrl-CS"/>
              </w:rPr>
              <w:t>4,7</w:t>
            </w:r>
          </w:p>
        </w:tc>
        <w:tc>
          <w:tcPr>
            <w:tcW w:w="495" w:type="pct"/>
            <w:gridSpan w:val="2"/>
            <w:tcBorders>
              <w:top w:val="nil"/>
              <w:left w:val="nil"/>
              <w:bottom w:val="single" w:sz="4" w:space="0" w:color="auto"/>
              <w:right w:val="dotted" w:sz="4" w:space="0" w:color="auto"/>
            </w:tcBorders>
            <w:shd w:val="clear" w:color="000000" w:fill="FFFFFF"/>
            <w:hideMark/>
          </w:tcPr>
          <w:p w14:paraId="1860DB6F" w14:textId="77777777" w:rsidR="00247CBF" w:rsidRPr="00092ED7" w:rsidRDefault="00247CBF" w:rsidP="00247CBF">
            <w:pPr>
              <w:spacing w:after="0"/>
              <w:jc w:val="center"/>
              <w:rPr>
                <w:sz w:val="20"/>
                <w:szCs w:val="20"/>
                <w:lang w:val="sr-Cyrl-CS"/>
              </w:rPr>
            </w:pPr>
            <w:r w:rsidRPr="00092ED7">
              <w:rPr>
                <w:sz w:val="20"/>
                <w:szCs w:val="20"/>
                <w:lang w:val="sr-Cyrl-CS"/>
              </w:rPr>
              <w:t>5,5</w:t>
            </w:r>
          </w:p>
        </w:tc>
        <w:tc>
          <w:tcPr>
            <w:tcW w:w="494" w:type="pct"/>
            <w:gridSpan w:val="2"/>
            <w:tcBorders>
              <w:top w:val="nil"/>
              <w:left w:val="nil"/>
              <w:bottom w:val="single" w:sz="4" w:space="0" w:color="auto"/>
              <w:right w:val="double" w:sz="6" w:space="0" w:color="auto"/>
            </w:tcBorders>
            <w:shd w:val="clear" w:color="000000" w:fill="FFFFFF"/>
            <w:hideMark/>
          </w:tcPr>
          <w:p w14:paraId="56CEE3C0" w14:textId="77777777" w:rsidR="00247CBF" w:rsidRPr="00092ED7" w:rsidRDefault="00247CBF" w:rsidP="00247CBF">
            <w:pPr>
              <w:spacing w:after="0"/>
              <w:jc w:val="center"/>
              <w:rPr>
                <w:sz w:val="20"/>
                <w:szCs w:val="20"/>
                <w:lang w:val="sr-Cyrl-CS"/>
              </w:rPr>
            </w:pPr>
            <w:r w:rsidRPr="00092ED7">
              <w:rPr>
                <w:sz w:val="20"/>
                <w:szCs w:val="20"/>
                <w:lang w:val="sr-Cyrl-CS"/>
              </w:rPr>
              <w:t>4,8</w:t>
            </w:r>
          </w:p>
        </w:tc>
      </w:tr>
      <w:tr w:rsidR="00247CBF" w:rsidRPr="00092ED7" w14:paraId="17541C02" w14:textId="77777777" w:rsidTr="00247CBF">
        <w:trPr>
          <w:gridBefore w:val="1"/>
          <w:wBefore w:w="8" w:type="pct"/>
          <w:trHeight w:val="300"/>
        </w:trPr>
        <w:tc>
          <w:tcPr>
            <w:tcW w:w="1984" w:type="pct"/>
            <w:gridSpan w:val="2"/>
            <w:tcBorders>
              <w:top w:val="single" w:sz="4" w:space="0" w:color="auto"/>
              <w:left w:val="double" w:sz="6" w:space="0" w:color="auto"/>
              <w:bottom w:val="dotted" w:sz="4" w:space="0" w:color="auto"/>
              <w:right w:val="single" w:sz="8" w:space="0" w:color="auto"/>
            </w:tcBorders>
            <w:shd w:val="clear" w:color="000000" w:fill="FFFFFF"/>
            <w:vAlign w:val="center"/>
            <w:hideMark/>
          </w:tcPr>
          <w:p w14:paraId="6B4AC05C" w14:textId="77777777" w:rsidR="00247CBF" w:rsidRPr="00092ED7" w:rsidRDefault="00247CBF" w:rsidP="00247CBF">
            <w:pPr>
              <w:spacing w:after="0"/>
              <w:jc w:val="left"/>
              <w:rPr>
                <w:sz w:val="20"/>
                <w:szCs w:val="20"/>
                <w:lang w:val="sr-Cyrl-CS"/>
              </w:rPr>
            </w:pPr>
            <w:r w:rsidRPr="00092ED7">
              <w:rPr>
                <w:sz w:val="20"/>
                <w:szCs w:val="20"/>
                <w:lang w:val="sr-Cyrl-CS"/>
              </w:rPr>
              <w:t>21. Девизни курс у односу на ЕУР (годишњи просек)</w:t>
            </w:r>
          </w:p>
        </w:tc>
        <w:tc>
          <w:tcPr>
            <w:tcW w:w="534" w:type="pct"/>
            <w:tcBorders>
              <w:top w:val="single" w:sz="4" w:space="0" w:color="auto"/>
              <w:left w:val="nil"/>
              <w:bottom w:val="dotted" w:sz="4" w:space="0" w:color="auto"/>
              <w:right w:val="single" w:sz="8" w:space="0" w:color="auto"/>
            </w:tcBorders>
            <w:shd w:val="clear" w:color="000000" w:fill="FFFFFF"/>
            <w:vAlign w:val="center"/>
            <w:hideMark/>
          </w:tcPr>
          <w:p w14:paraId="2DC278C4" w14:textId="77777777" w:rsidR="00247CBF" w:rsidRPr="00092ED7" w:rsidRDefault="00247CBF" w:rsidP="00247CBF">
            <w:pPr>
              <w:spacing w:after="0"/>
              <w:jc w:val="center"/>
              <w:rPr>
                <w:sz w:val="16"/>
                <w:szCs w:val="16"/>
                <w:lang w:val="sr-Cyrl-CS"/>
              </w:rPr>
            </w:pPr>
            <w:r w:rsidRPr="00092ED7">
              <w:rPr>
                <w:sz w:val="16"/>
                <w:szCs w:val="16"/>
                <w:lang w:val="sr-Cyrl-CS"/>
              </w:rPr>
              <w:t>РСД/ЕУР</w:t>
            </w:r>
          </w:p>
        </w:tc>
        <w:tc>
          <w:tcPr>
            <w:tcW w:w="495" w:type="pct"/>
            <w:gridSpan w:val="2"/>
            <w:tcBorders>
              <w:top w:val="single" w:sz="4" w:space="0" w:color="auto"/>
              <w:left w:val="nil"/>
              <w:bottom w:val="dotted" w:sz="4" w:space="0" w:color="auto"/>
              <w:right w:val="dotted" w:sz="4" w:space="0" w:color="auto"/>
            </w:tcBorders>
            <w:shd w:val="clear" w:color="000000" w:fill="FFFFFF"/>
            <w:vAlign w:val="center"/>
            <w:hideMark/>
          </w:tcPr>
          <w:p w14:paraId="189FCE0C" w14:textId="77777777" w:rsidR="00247CBF" w:rsidRPr="00092ED7" w:rsidRDefault="00247CBF" w:rsidP="00247CBF">
            <w:pPr>
              <w:spacing w:after="0"/>
              <w:jc w:val="center"/>
              <w:rPr>
                <w:sz w:val="20"/>
                <w:szCs w:val="20"/>
                <w:lang w:val="sr-Cyrl-CS"/>
              </w:rPr>
            </w:pPr>
            <w:r w:rsidRPr="00092ED7">
              <w:rPr>
                <w:sz w:val="20"/>
                <w:szCs w:val="20"/>
                <w:lang w:val="sr-Cyrl-CS"/>
              </w:rPr>
              <w:t>117,6</w:t>
            </w:r>
          </w:p>
        </w:tc>
        <w:tc>
          <w:tcPr>
            <w:tcW w:w="495" w:type="pct"/>
            <w:gridSpan w:val="3"/>
            <w:tcBorders>
              <w:top w:val="single" w:sz="4" w:space="0" w:color="auto"/>
              <w:left w:val="nil"/>
              <w:bottom w:val="dotted" w:sz="4" w:space="0" w:color="auto"/>
              <w:right w:val="dotted" w:sz="4" w:space="0" w:color="auto"/>
            </w:tcBorders>
            <w:shd w:val="clear" w:color="000000" w:fill="FFFFFF"/>
            <w:vAlign w:val="center"/>
            <w:hideMark/>
          </w:tcPr>
          <w:p w14:paraId="45B069D7" w14:textId="77777777" w:rsidR="00247CBF" w:rsidRPr="00092ED7" w:rsidRDefault="00247CBF" w:rsidP="00247CBF">
            <w:pPr>
              <w:spacing w:after="0"/>
              <w:jc w:val="center"/>
              <w:rPr>
                <w:sz w:val="20"/>
                <w:szCs w:val="20"/>
                <w:lang w:val="sr-Cyrl-CS"/>
              </w:rPr>
            </w:pPr>
            <w:r w:rsidRPr="00092ED7">
              <w:rPr>
                <w:sz w:val="20"/>
                <w:szCs w:val="20"/>
                <w:lang w:val="sr-Cyrl-CS"/>
              </w:rPr>
              <w:t>117,5</w:t>
            </w:r>
          </w:p>
        </w:tc>
        <w:tc>
          <w:tcPr>
            <w:tcW w:w="495" w:type="pct"/>
            <w:gridSpan w:val="2"/>
            <w:tcBorders>
              <w:top w:val="single" w:sz="4" w:space="0" w:color="auto"/>
              <w:left w:val="nil"/>
              <w:bottom w:val="dotted" w:sz="4" w:space="0" w:color="auto"/>
              <w:right w:val="dotted" w:sz="4" w:space="0" w:color="auto"/>
            </w:tcBorders>
            <w:shd w:val="clear" w:color="000000" w:fill="FFFFFF"/>
            <w:hideMark/>
          </w:tcPr>
          <w:p w14:paraId="1BD941E3"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495" w:type="pct"/>
            <w:gridSpan w:val="2"/>
            <w:tcBorders>
              <w:top w:val="single" w:sz="4" w:space="0" w:color="auto"/>
              <w:left w:val="nil"/>
              <w:bottom w:val="dotted" w:sz="4" w:space="0" w:color="auto"/>
              <w:right w:val="dotted" w:sz="4" w:space="0" w:color="auto"/>
            </w:tcBorders>
            <w:shd w:val="clear" w:color="000000" w:fill="FFFFFF"/>
            <w:hideMark/>
          </w:tcPr>
          <w:p w14:paraId="78C160B4"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494" w:type="pct"/>
            <w:gridSpan w:val="2"/>
            <w:tcBorders>
              <w:top w:val="single" w:sz="4" w:space="0" w:color="auto"/>
              <w:left w:val="nil"/>
              <w:bottom w:val="dotted" w:sz="4" w:space="0" w:color="auto"/>
              <w:right w:val="double" w:sz="6" w:space="0" w:color="auto"/>
            </w:tcBorders>
            <w:shd w:val="clear" w:color="000000" w:fill="FFFFFF"/>
            <w:hideMark/>
          </w:tcPr>
          <w:p w14:paraId="2DA7BEEB"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r>
      <w:tr w:rsidR="00247CBF" w:rsidRPr="00092ED7" w14:paraId="43CEB0A6" w14:textId="77777777" w:rsidTr="00247CBF">
        <w:trPr>
          <w:gridBefore w:val="1"/>
          <w:wBefore w:w="8" w:type="pct"/>
          <w:trHeight w:val="300"/>
        </w:trPr>
        <w:tc>
          <w:tcPr>
            <w:tcW w:w="1984" w:type="pct"/>
            <w:gridSpan w:val="2"/>
            <w:tcBorders>
              <w:top w:val="nil"/>
              <w:left w:val="double" w:sz="6" w:space="0" w:color="auto"/>
              <w:bottom w:val="dotted" w:sz="4" w:space="0" w:color="auto"/>
              <w:right w:val="single" w:sz="8" w:space="0" w:color="auto"/>
            </w:tcBorders>
            <w:shd w:val="clear" w:color="000000" w:fill="FFFFFF"/>
            <w:vAlign w:val="center"/>
            <w:hideMark/>
          </w:tcPr>
          <w:p w14:paraId="10C33C04" w14:textId="77777777" w:rsidR="00247CBF" w:rsidRPr="00092ED7" w:rsidRDefault="00247CBF" w:rsidP="00247CBF">
            <w:pPr>
              <w:spacing w:after="0"/>
              <w:jc w:val="left"/>
              <w:rPr>
                <w:i/>
                <w:iCs/>
                <w:sz w:val="20"/>
                <w:szCs w:val="20"/>
                <w:lang w:val="sr-Cyrl-CS"/>
              </w:rPr>
            </w:pPr>
            <w:r w:rsidRPr="00092ED7">
              <w:rPr>
                <w:i/>
                <w:iCs/>
                <w:sz w:val="20"/>
                <w:szCs w:val="20"/>
                <w:lang w:val="sr-Cyrl-CS"/>
              </w:rPr>
              <w:t xml:space="preserve">      Девизни курс у односу на ЕУР (годишњи просек)</w:t>
            </w:r>
          </w:p>
        </w:tc>
        <w:tc>
          <w:tcPr>
            <w:tcW w:w="534" w:type="pct"/>
            <w:tcBorders>
              <w:top w:val="nil"/>
              <w:left w:val="nil"/>
              <w:bottom w:val="dotted" w:sz="4" w:space="0" w:color="auto"/>
              <w:right w:val="single" w:sz="8" w:space="0" w:color="auto"/>
            </w:tcBorders>
            <w:shd w:val="clear" w:color="000000" w:fill="FFFFFF"/>
            <w:vAlign w:val="center"/>
            <w:hideMark/>
          </w:tcPr>
          <w:p w14:paraId="2CE21D47" w14:textId="77777777" w:rsidR="00247CBF" w:rsidRPr="00092ED7" w:rsidRDefault="00247CBF" w:rsidP="00247CBF">
            <w:pPr>
              <w:spacing w:after="0"/>
              <w:jc w:val="center"/>
              <w:rPr>
                <w:i/>
                <w:iCs/>
                <w:sz w:val="16"/>
                <w:szCs w:val="16"/>
                <w:lang w:val="sr-Cyrl-CS"/>
              </w:rPr>
            </w:pPr>
            <w:r w:rsidRPr="00092ED7">
              <w:rPr>
                <w:i/>
                <w:iCs/>
                <w:sz w:val="16"/>
                <w:szCs w:val="16"/>
                <w:lang w:val="sr-Cyrl-CS"/>
              </w:rPr>
              <w:t>%, мг.</w:t>
            </w:r>
          </w:p>
        </w:tc>
        <w:tc>
          <w:tcPr>
            <w:tcW w:w="495" w:type="pct"/>
            <w:gridSpan w:val="2"/>
            <w:tcBorders>
              <w:top w:val="nil"/>
              <w:left w:val="nil"/>
              <w:bottom w:val="dotted" w:sz="4" w:space="0" w:color="auto"/>
              <w:right w:val="dotted" w:sz="4" w:space="0" w:color="auto"/>
            </w:tcBorders>
            <w:shd w:val="clear" w:color="000000" w:fill="FFFFFF"/>
            <w:vAlign w:val="center"/>
            <w:hideMark/>
          </w:tcPr>
          <w:p w14:paraId="7989ECA1" w14:textId="77777777" w:rsidR="00247CBF" w:rsidRPr="00092ED7" w:rsidRDefault="00247CBF" w:rsidP="00247CBF">
            <w:pPr>
              <w:spacing w:after="0"/>
              <w:jc w:val="center"/>
              <w:rPr>
                <w:i/>
                <w:iCs/>
                <w:sz w:val="20"/>
                <w:szCs w:val="20"/>
                <w:lang w:val="sr-Cyrl-CS"/>
              </w:rPr>
            </w:pPr>
            <w:r w:rsidRPr="00092ED7">
              <w:rPr>
                <w:i/>
                <w:iCs/>
                <w:sz w:val="20"/>
                <w:szCs w:val="20"/>
                <w:lang w:val="sr-Cyrl-CS"/>
              </w:rPr>
              <w:t>0,0</w:t>
            </w:r>
          </w:p>
        </w:tc>
        <w:tc>
          <w:tcPr>
            <w:tcW w:w="495" w:type="pct"/>
            <w:gridSpan w:val="3"/>
            <w:tcBorders>
              <w:top w:val="nil"/>
              <w:left w:val="nil"/>
              <w:bottom w:val="dotted" w:sz="4" w:space="0" w:color="auto"/>
              <w:right w:val="dotted" w:sz="4" w:space="0" w:color="auto"/>
            </w:tcBorders>
            <w:shd w:val="clear" w:color="000000" w:fill="FFFFFF"/>
            <w:vAlign w:val="center"/>
            <w:hideMark/>
          </w:tcPr>
          <w:p w14:paraId="3B47D366" w14:textId="77777777" w:rsidR="00247CBF" w:rsidRPr="00092ED7" w:rsidRDefault="00247CBF" w:rsidP="00247CBF">
            <w:pPr>
              <w:spacing w:after="0"/>
              <w:jc w:val="center"/>
              <w:rPr>
                <w:i/>
                <w:iCs/>
                <w:sz w:val="20"/>
                <w:szCs w:val="20"/>
                <w:lang w:val="sr-Cyrl-CS"/>
              </w:rPr>
            </w:pPr>
            <w:r w:rsidRPr="00092ED7">
              <w:rPr>
                <w:i/>
                <w:iCs/>
                <w:sz w:val="20"/>
                <w:szCs w:val="20"/>
                <w:lang w:val="sr-Cyrl-CS"/>
              </w:rPr>
              <w:t>-0,1</w:t>
            </w:r>
          </w:p>
        </w:tc>
        <w:tc>
          <w:tcPr>
            <w:tcW w:w="495" w:type="pct"/>
            <w:gridSpan w:val="2"/>
            <w:tcBorders>
              <w:top w:val="nil"/>
              <w:left w:val="nil"/>
              <w:bottom w:val="dotted" w:sz="4" w:space="0" w:color="auto"/>
              <w:right w:val="dotted" w:sz="4" w:space="0" w:color="auto"/>
            </w:tcBorders>
            <w:shd w:val="clear" w:color="000000" w:fill="FFFFFF"/>
            <w:hideMark/>
          </w:tcPr>
          <w:p w14:paraId="4D85D415" w14:textId="77777777" w:rsidR="00247CBF" w:rsidRPr="00092ED7" w:rsidRDefault="00247CBF" w:rsidP="00247CBF">
            <w:pPr>
              <w:spacing w:after="0"/>
              <w:jc w:val="center"/>
              <w:rPr>
                <w:rFonts w:eastAsia="Times New Roman" w:cs="Times New Roman"/>
                <w:i/>
                <w:iCs/>
                <w:sz w:val="20"/>
                <w:szCs w:val="20"/>
                <w:lang w:val="sr-Cyrl-CS"/>
              </w:rPr>
            </w:pPr>
            <w:r w:rsidRPr="00092ED7">
              <w:rPr>
                <w:rFonts w:eastAsia="Times New Roman" w:cs="Times New Roman"/>
                <w:i/>
                <w:iCs/>
                <w:sz w:val="20"/>
                <w:szCs w:val="20"/>
                <w:lang w:val="sr-Cyrl-CS"/>
              </w:rPr>
              <w:t>:</w:t>
            </w:r>
          </w:p>
        </w:tc>
        <w:tc>
          <w:tcPr>
            <w:tcW w:w="495" w:type="pct"/>
            <w:gridSpan w:val="2"/>
            <w:tcBorders>
              <w:top w:val="nil"/>
              <w:left w:val="nil"/>
              <w:bottom w:val="dotted" w:sz="4" w:space="0" w:color="auto"/>
              <w:right w:val="dotted" w:sz="4" w:space="0" w:color="auto"/>
            </w:tcBorders>
            <w:shd w:val="clear" w:color="000000" w:fill="FFFFFF"/>
            <w:hideMark/>
          </w:tcPr>
          <w:p w14:paraId="22261647" w14:textId="77777777" w:rsidR="00247CBF" w:rsidRPr="00092ED7" w:rsidRDefault="00247CBF" w:rsidP="00247CBF">
            <w:pPr>
              <w:spacing w:after="0"/>
              <w:jc w:val="center"/>
              <w:rPr>
                <w:rFonts w:eastAsia="Times New Roman" w:cs="Times New Roman"/>
                <w:i/>
                <w:iCs/>
                <w:sz w:val="20"/>
                <w:szCs w:val="20"/>
                <w:lang w:val="sr-Cyrl-CS"/>
              </w:rPr>
            </w:pPr>
            <w:r w:rsidRPr="00092ED7">
              <w:rPr>
                <w:rFonts w:eastAsia="Times New Roman" w:cs="Times New Roman"/>
                <w:i/>
                <w:iCs/>
                <w:sz w:val="20"/>
                <w:szCs w:val="20"/>
                <w:lang w:val="sr-Cyrl-CS"/>
              </w:rPr>
              <w:t>:</w:t>
            </w:r>
          </w:p>
        </w:tc>
        <w:tc>
          <w:tcPr>
            <w:tcW w:w="494" w:type="pct"/>
            <w:gridSpan w:val="2"/>
            <w:tcBorders>
              <w:top w:val="nil"/>
              <w:left w:val="nil"/>
              <w:bottom w:val="dotted" w:sz="4" w:space="0" w:color="auto"/>
              <w:right w:val="double" w:sz="6" w:space="0" w:color="auto"/>
            </w:tcBorders>
            <w:shd w:val="clear" w:color="000000" w:fill="FFFFFF"/>
            <w:hideMark/>
          </w:tcPr>
          <w:p w14:paraId="2A3163CE" w14:textId="77777777" w:rsidR="00247CBF" w:rsidRPr="00092ED7" w:rsidRDefault="00247CBF" w:rsidP="00247CBF">
            <w:pPr>
              <w:spacing w:after="0"/>
              <w:jc w:val="center"/>
              <w:rPr>
                <w:rFonts w:eastAsia="Times New Roman" w:cs="Times New Roman"/>
                <w:i/>
                <w:iCs/>
                <w:sz w:val="20"/>
                <w:szCs w:val="20"/>
                <w:lang w:val="sr-Cyrl-CS"/>
              </w:rPr>
            </w:pPr>
            <w:r w:rsidRPr="00092ED7">
              <w:rPr>
                <w:rFonts w:eastAsia="Times New Roman" w:cs="Times New Roman"/>
                <w:i/>
                <w:iCs/>
                <w:sz w:val="20"/>
                <w:szCs w:val="20"/>
                <w:lang w:val="sr-Cyrl-CS"/>
              </w:rPr>
              <w:t>:</w:t>
            </w:r>
          </w:p>
        </w:tc>
      </w:tr>
      <w:tr w:rsidR="00247CBF" w:rsidRPr="00092ED7" w14:paraId="3930D34D" w14:textId="77777777" w:rsidTr="00247CBF">
        <w:trPr>
          <w:gridBefore w:val="1"/>
          <w:wBefore w:w="8" w:type="pct"/>
          <w:trHeight w:val="300"/>
        </w:trPr>
        <w:tc>
          <w:tcPr>
            <w:tcW w:w="1984" w:type="pct"/>
            <w:gridSpan w:val="2"/>
            <w:tcBorders>
              <w:top w:val="nil"/>
              <w:left w:val="double" w:sz="6" w:space="0" w:color="auto"/>
              <w:bottom w:val="dotted" w:sz="4" w:space="0" w:color="auto"/>
              <w:right w:val="single" w:sz="8" w:space="0" w:color="auto"/>
            </w:tcBorders>
            <w:shd w:val="clear" w:color="000000" w:fill="FFFFFF"/>
            <w:vAlign w:val="center"/>
            <w:hideMark/>
          </w:tcPr>
          <w:p w14:paraId="6B5BAFD6" w14:textId="77777777" w:rsidR="00247CBF" w:rsidRPr="00092ED7" w:rsidRDefault="00247CBF" w:rsidP="00247CBF">
            <w:pPr>
              <w:spacing w:after="0"/>
              <w:jc w:val="left"/>
              <w:rPr>
                <w:sz w:val="20"/>
                <w:szCs w:val="20"/>
                <w:lang w:val="sr-Cyrl-CS"/>
              </w:rPr>
            </w:pPr>
            <w:r w:rsidRPr="00092ED7">
              <w:rPr>
                <w:sz w:val="20"/>
                <w:szCs w:val="20"/>
                <w:lang w:val="sr-Cyrl-CS"/>
              </w:rPr>
              <w:t>20. Девизни курс у односу на ЕУР (крај године)</w:t>
            </w:r>
          </w:p>
        </w:tc>
        <w:tc>
          <w:tcPr>
            <w:tcW w:w="534" w:type="pct"/>
            <w:tcBorders>
              <w:top w:val="nil"/>
              <w:left w:val="nil"/>
              <w:bottom w:val="dotted" w:sz="4" w:space="0" w:color="auto"/>
              <w:right w:val="single" w:sz="8" w:space="0" w:color="auto"/>
            </w:tcBorders>
            <w:shd w:val="clear" w:color="000000" w:fill="FFFFFF"/>
            <w:vAlign w:val="center"/>
            <w:hideMark/>
          </w:tcPr>
          <w:p w14:paraId="37759549" w14:textId="77777777" w:rsidR="00247CBF" w:rsidRPr="00092ED7" w:rsidRDefault="00247CBF" w:rsidP="00247CBF">
            <w:pPr>
              <w:spacing w:after="0"/>
              <w:jc w:val="center"/>
              <w:rPr>
                <w:sz w:val="16"/>
                <w:szCs w:val="16"/>
                <w:lang w:val="sr-Cyrl-CS"/>
              </w:rPr>
            </w:pPr>
            <w:r w:rsidRPr="00092ED7">
              <w:rPr>
                <w:sz w:val="16"/>
                <w:szCs w:val="16"/>
                <w:lang w:val="sr-Cyrl-CS"/>
              </w:rPr>
              <w:t>РСД/ЕУР</w:t>
            </w:r>
          </w:p>
        </w:tc>
        <w:tc>
          <w:tcPr>
            <w:tcW w:w="495" w:type="pct"/>
            <w:gridSpan w:val="2"/>
            <w:tcBorders>
              <w:top w:val="nil"/>
              <w:left w:val="nil"/>
              <w:bottom w:val="dotted" w:sz="4" w:space="0" w:color="auto"/>
              <w:right w:val="dotted" w:sz="4" w:space="0" w:color="auto"/>
            </w:tcBorders>
            <w:shd w:val="clear" w:color="000000" w:fill="FFFFFF"/>
            <w:vAlign w:val="center"/>
            <w:hideMark/>
          </w:tcPr>
          <w:p w14:paraId="34ECE4C4" w14:textId="77777777" w:rsidR="00247CBF" w:rsidRPr="00092ED7" w:rsidRDefault="00247CBF" w:rsidP="00247CBF">
            <w:pPr>
              <w:spacing w:after="0"/>
              <w:jc w:val="center"/>
              <w:rPr>
                <w:sz w:val="20"/>
                <w:szCs w:val="20"/>
                <w:lang w:val="sr-Cyrl-CS"/>
              </w:rPr>
            </w:pPr>
            <w:r w:rsidRPr="00092ED7">
              <w:rPr>
                <w:sz w:val="20"/>
                <w:szCs w:val="20"/>
                <w:lang w:val="sr-Cyrl-CS"/>
              </w:rPr>
              <w:t>117,6</w:t>
            </w:r>
          </w:p>
        </w:tc>
        <w:tc>
          <w:tcPr>
            <w:tcW w:w="495" w:type="pct"/>
            <w:gridSpan w:val="3"/>
            <w:tcBorders>
              <w:top w:val="nil"/>
              <w:left w:val="nil"/>
              <w:bottom w:val="dotted" w:sz="4" w:space="0" w:color="auto"/>
              <w:right w:val="dotted" w:sz="4" w:space="0" w:color="auto"/>
            </w:tcBorders>
            <w:shd w:val="clear" w:color="000000" w:fill="FFFFFF"/>
            <w:vAlign w:val="center"/>
            <w:hideMark/>
          </w:tcPr>
          <w:p w14:paraId="7F110579" w14:textId="77777777" w:rsidR="00247CBF" w:rsidRPr="00092ED7" w:rsidRDefault="00247CBF" w:rsidP="00247CBF">
            <w:pPr>
              <w:spacing w:after="0"/>
              <w:jc w:val="center"/>
              <w:rPr>
                <w:sz w:val="20"/>
                <w:szCs w:val="20"/>
                <w:lang w:val="sr-Cyrl-CS"/>
              </w:rPr>
            </w:pPr>
            <w:r w:rsidRPr="00092ED7">
              <w:rPr>
                <w:sz w:val="20"/>
                <w:szCs w:val="20"/>
                <w:lang w:val="sr-Cyrl-CS"/>
              </w:rPr>
              <w:t>117,3</w:t>
            </w:r>
          </w:p>
        </w:tc>
        <w:tc>
          <w:tcPr>
            <w:tcW w:w="495" w:type="pct"/>
            <w:gridSpan w:val="2"/>
            <w:tcBorders>
              <w:top w:val="nil"/>
              <w:left w:val="nil"/>
              <w:bottom w:val="dotted" w:sz="4" w:space="0" w:color="auto"/>
              <w:right w:val="dotted" w:sz="4" w:space="0" w:color="auto"/>
            </w:tcBorders>
            <w:shd w:val="clear" w:color="000000" w:fill="FFFFFF"/>
            <w:hideMark/>
          </w:tcPr>
          <w:p w14:paraId="4B0BDDBB"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495" w:type="pct"/>
            <w:gridSpan w:val="2"/>
            <w:tcBorders>
              <w:top w:val="nil"/>
              <w:left w:val="nil"/>
              <w:bottom w:val="dotted" w:sz="4" w:space="0" w:color="auto"/>
              <w:right w:val="dotted" w:sz="4" w:space="0" w:color="auto"/>
            </w:tcBorders>
            <w:shd w:val="clear" w:color="000000" w:fill="FFFFFF"/>
            <w:hideMark/>
          </w:tcPr>
          <w:p w14:paraId="214622A1"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494" w:type="pct"/>
            <w:gridSpan w:val="2"/>
            <w:tcBorders>
              <w:top w:val="nil"/>
              <w:left w:val="nil"/>
              <w:bottom w:val="dotted" w:sz="4" w:space="0" w:color="auto"/>
              <w:right w:val="double" w:sz="6" w:space="0" w:color="auto"/>
            </w:tcBorders>
            <w:shd w:val="clear" w:color="000000" w:fill="FFFFFF"/>
            <w:hideMark/>
          </w:tcPr>
          <w:p w14:paraId="1AAB5035"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r>
      <w:tr w:rsidR="00247CBF" w:rsidRPr="00092ED7" w14:paraId="3DCE2DA3" w14:textId="77777777" w:rsidTr="00247CBF">
        <w:trPr>
          <w:gridBefore w:val="1"/>
          <w:wBefore w:w="8" w:type="pct"/>
          <w:trHeight w:val="300"/>
        </w:trPr>
        <w:tc>
          <w:tcPr>
            <w:tcW w:w="1984" w:type="pct"/>
            <w:gridSpan w:val="2"/>
            <w:tcBorders>
              <w:top w:val="nil"/>
              <w:left w:val="double" w:sz="6" w:space="0" w:color="auto"/>
              <w:bottom w:val="dotted" w:sz="4" w:space="0" w:color="auto"/>
              <w:right w:val="single" w:sz="8" w:space="0" w:color="auto"/>
            </w:tcBorders>
            <w:shd w:val="clear" w:color="000000" w:fill="FFFFFF"/>
            <w:vAlign w:val="center"/>
            <w:hideMark/>
          </w:tcPr>
          <w:p w14:paraId="212706D8" w14:textId="77777777" w:rsidR="00247CBF" w:rsidRPr="00092ED7" w:rsidRDefault="00247CBF" w:rsidP="00247CBF">
            <w:pPr>
              <w:spacing w:after="0"/>
              <w:jc w:val="left"/>
              <w:rPr>
                <w:i/>
                <w:iCs/>
                <w:sz w:val="20"/>
                <w:szCs w:val="20"/>
                <w:lang w:val="sr-Cyrl-CS"/>
              </w:rPr>
            </w:pPr>
            <w:r w:rsidRPr="00092ED7">
              <w:rPr>
                <w:i/>
                <w:iCs/>
                <w:sz w:val="20"/>
                <w:szCs w:val="20"/>
                <w:lang w:val="sr-Cyrl-CS"/>
              </w:rPr>
              <w:t xml:space="preserve">      Девизни курс у односу на ЕУР (крај године)</w:t>
            </w:r>
          </w:p>
        </w:tc>
        <w:tc>
          <w:tcPr>
            <w:tcW w:w="534" w:type="pct"/>
            <w:tcBorders>
              <w:top w:val="nil"/>
              <w:left w:val="nil"/>
              <w:bottom w:val="single" w:sz="4" w:space="0" w:color="auto"/>
              <w:right w:val="single" w:sz="8" w:space="0" w:color="auto"/>
            </w:tcBorders>
            <w:shd w:val="clear" w:color="000000" w:fill="FFFFFF"/>
            <w:vAlign w:val="center"/>
            <w:hideMark/>
          </w:tcPr>
          <w:p w14:paraId="713E4616" w14:textId="77777777" w:rsidR="00247CBF" w:rsidRPr="00092ED7" w:rsidRDefault="00247CBF" w:rsidP="00247CBF">
            <w:pPr>
              <w:spacing w:after="0"/>
              <w:jc w:val="center"/>
              <w:rPr>
                <w:i/>
                <w:iCs/>
                <w:sz w:val="16"/>
                <w:szCs w:val="16"/>
                <w:lang w:val="sr-Cyrl-CS"/>
              </w:rPr>
            </w:pPr>
            <w:r w:rsidRPr="00092ED7">
              <w:rPr>
                <w:i/>
                <w:iCs/>
                <w:sz w:val="16"/>
                <w:szCs w:val="16"/>
                <w:lang w:val="sr-Cyrl-CS"/>
              </w:rPr>
              <w:t>%, мг.</w:t>
            </w:r>
          </w:p>
        </w:tc>
        <w:tc>
          <w:tcPr>
            <w:tcW w:w="495" w:type="pct"/>
            <w:gridSpan w:val="2"/>
            <w:tcBorders>
              <w:top w:val="nil"/>
              <w:left w:val="nil"/>
              <w:bottom w:val="dotted" w:sz="4" w:space="0" w:color="auto"/>
              <w:right w:val="dotted" w:sz="4" w:space="0" w:color="auto"/>
            </w:tcBorders>
            <w:shd w:val="clear" w:color="000000" w:fill="FFFFFF"/>
            <w:vAlign w:val="center"/>
            <w:hideMark/>
          </w:tcPr>
          <w:p w14:paraId="7D13ADFA" w14:textId="77777777" w:rsidR="00247CBF" w:rsidRPr="00092ED7" w:rsidRDefault="00247CBF" w:rsidP="00247CBF">
            <w:pPr>
              <w:spacing w:after="0"/>
              <w:jc w:val="center"/>
              <w:rPr>
                <w:i/>
                <w:iCs/>
                <w:sz w:val="20"/>
                <w:szCs w:val="20"/>
                <w:lang w:val="sr-Cyrl-CS"/>
              </w:rPr>
            </w:pPr>
            <w:r w:rsidRPr="00092ED7">
              <w:rPr>
                <w:i/>
                <w:iCs/>
                <w:sz w:val="20"/>
                <w:szCs w:val="20"/>
                <w:lang w:val="sr-Cyrl-CS"/>
              </w:rPr>
              <w:t>0,0</w:t>
            </w:r>
          </w:p>
        </w:tc>
        <w:tc>
          <w:tcPr>
            <w:tcW w:w="495" w:type="pct"/>
            <w:gridSpan w:val="3"/>
            <w:tcBorders>
              <w:top w:val="nil"/>
              <w:left w:val="nil"/>
              <w:bottom w:val="dotted" w:sz="4" w:space="0" w:color="auto"/>
              <w:right w:val="dotted" w:sz="4" w:space="0" w:color="auto"/>
            </w:tcBorders>
            <w:shd w:val="clear" w:color="000000" w:fill="FFFFFF"/>
            <w:vAlign w:val="center"/>
            <w:hideMark/>
          </w:tcPr>
          <w:p w14:paraId="770656EA" w14:textId="77777777" w:rsidR="00247CBF" w:rsidRPr="00092ED7" w:rsidRDefault="00247CBF" w:rsidP="00247CBF">
            <w:pPr>
              <w:spacing w:after="0"/>
              <w:jc w:val="center"/>
              <w:rPr>
                <w:i/>
                <w:iCs/>
                <w:sz w:val="20"/>
                <w:szCs w:val="20"/>
                <w:lang w:val="sr-Cyrl-CS"/>
              </w:rPr>
            </w:pPr>
            <w:r w:rsidRPr="00092ED7">
              <w:rPr>
                <w:i/>
                <w:iCs/>
                <w:sz w:val="20"/>
                <w:szCs w:val="20"/>
                <w:lang w:val="sr-Cyrl-CS"/>
              </w:rPr>
              <w:t>-0,2</w:t>
            </w:r>
          </w:p>
        </w:tc>
        <w:tc>
          <w:tcPr>
            <w:tcW w:w="495" w:type="pct"/>
            <w:gridSpan w:val="2"/>
            <w:tcBorders>
              <w:top w:val="nil"/>
              <w:left w:val="nil"/>
              <w:bottom w:val="dotted" w:sz="4" w:space="0" w:color="auto"/>
              <w:right w:val="dotted" w:sz="4" w:space="0" w:color="auto"/>
            </w:tcBorders>
            <w:shd w:val="clear" w:color="000000" w:fill="FFFFFF"/>
            <w:hideMark/>
          </w:tcPr>
          <w:p w14:paraId="49413C07" w14:textId="77777777" w:rsidR="00247CBF" w:rsidRPr="00092ED7" w:rsidRDefault="00247CBF" w:rsidP="00247CBF">
            <w:pPr>
              <w:spacing w:after="0"/>
              <w:jc w:val="center"/>
              <w:rPr>
                <w:rFonts w:eastAsia="Times New Roman" w:cs="Times New Roman"/>
                <w:i/>
                <w:iCs/>
                <w:sz w:val="20"/>
                <w:szCs w:val="20"/>
                <w:lang w:val="sr-Cyrl-CS"/>
              </w:rPr>
            </w:pPr>
            <w:r w:rsidRPr="00092ED7">
              <w:rPr>
                <w:rFonts w:eastAsia="Times New Roman" w:cs="Times New Roman"/>
                <w:i/>
                <w:iCs/>
                <w:sz w:val="20"/>
                <w:szCs w:val="20"/>
                <w:lang w:val="sr-Cyrl-CS"/>
              </w:rPr>
              <w:t>:</w:t>
            </w:r>
          </w:p>
        </w:tc>
        <w:tc>
          <w:tcPr>
            <w:tcW w:w="495" w:type="pct"/>
            <w:gridSpan w:val="2"/>
            <w:tcBorders>
              <w:top w:val="nil"/>
              <w:left w:val="nil"/>
              <w:bottom w:val="dotted" w:sz="4" w:space="0" w:color="auto"/>
              <w:right w:val="dotted" w:sz="4" w:space="0" w:color="auto"/>
            </w:tcBorders>
            <w:shd w:val="clear" w:color="000000" w:fill="FFFFFF"/>
            <w:hideMark/>
          </w:tcPr>
          <w:p w14:paraId="66A8BD78" w14:textId="77777777" w:rsidR="00247CBF" w:rsidRPr="00092ED7" w:rsidRDefault="00247CBF" w:rsidP="00247CBF">
            <w:pPr>
              <w:spacing w:after="0"/>
              <w:jc w:val="center"/>
              <w:rPr>
                <w:rFonts w:eastAsia="Times New Roman" w:cs="Times New Roman"/>
                <w:i/>
                <w:iCs/>
                <w:sz w:val="20"/>
                <w:szCs w:val="20"/>
                <w:lang w:val="sr-Cyrl-CS"/>
              </w:rPr>
            </w:pPr>
            <w:r w:rsidRPr="00092ED7">
              <w:rPr>
                <w:rFonts w:eastAsia="Times New Roman" w:cs="Times New Roman"/>
                <w:i/>
                <w:iCs/>
                <w:sz w:val="20"/>
                <w:szCs w:val="20"/>
                <w:lang w:val="sr-Cyrl-CS"/>
              </w:rPr>
              <w:t>:</w:t>
            </w:r>
          </w:p>
        </w:tc>
        <w:tc>
          <w:tcPr>
            <w:tcW w:w="494" w:type="pct"/>
            <w:gridSpan w:val="2"/>
            <w:tcBorders>
              <w:top w:val="nil"/>
              <w:left w:val="nil"/>
              <w:bottom w:val="dotted" w:sz="4" w:space="0" w:color="auto"/>
              <w:right w:val="double" w:sz="6" w:space="0" w:color="auto"/>
            </w:tcBorders>
            <w:shd w:val="clear" w:color="000000" w:fill="FFFFFF"/>
            <w:hideMark/>
          </w:tcPr>
          <w:p w14:paraId="72799821" w14:textId="77777777" w:rsidR="00247CBF" w:rsidRPr="00092ED7" w:rsidRDefault="00247CBF" w:rsidP="00247CBF">
            <w:pPr>
              <w:spacing w:after="0"/>
              <w:jc w:val="center"/>
              <w:rPr>
                <w:rFonts w:eastAsia="Times New Roman" w:cs="Times New Roman"/>
                <w:i/>
                <w:iCs/>
                <w:sz w:val="20"/>
                <w:szCs w:val="20"/>
                <w:lang w:val="sr-Cyrl-CS"/>
              </w:rPr>
            </w:pPr>
            <w:r w:rsidRPr="00092ED7">
              <w:rPr>
                <w:rFonts w:eastAsia="Times New Roman" w:cs="Times New Roman"/>
                <w:i/>
                <w:iCs/>
                <w:sz w:val="20"/>
                <w:szCs w:val="20"/>
                <w:lang w:val="sr-Cyrl-CS"/>
              </w:rPr>
              <w:t>:</w:t>
            </w:r>
          </w:p>
        </w:tc>
      </w:tr>
      <w:tr w:rsidR="00247CBF" w:rsidRPr="00092ED7" w14:paraId="06169CDE" w14:textId="77777777" w:rsidTr="00247CBF">
        <w:trPr>
          <w:gridBefore w:val="1"/>
          <w:wBefore w:w="8" w:type="pct"/>
          <w:trHeight w:val="300"/>
        </w:trPr>
        <w:tc>
          <w:tcPr>
            <w:tcW w:w="1984" w:type="pct"/>
            <w:gridSpan w:val="2"/>
            <w:tcBorders>
              <w:top w:val="single" w:sz="4" w:space="0" w:color="auto"/>
              <w:left w:val="double" w:sz="6" w:space="0" w:color="auto"/>
              <w:bottom w:val="dotted" w:sz="4" w:space="0" w:color="auto"/>
              <w:right w:val="single" w:sz="8" w:space="0" w:color="auto"/>
            </w:tcBorders>
            <w:shd w:val="clear" w:color="000000" w:fill="FFFFFF"/>
            <w:hideMark/>
          </w:tcPr>
          <w:p w14:paraId="29B9A59A"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22. Нето страна штедња</w:t>
            </w:r>
          </w:p>
        </w:tc>
        <w:tc>
          <w:tcPr>
            <w:tcW w:w="534" w:type="pct"/>
            <w:tcBorders>
              <w:top w:val="nil"/>
              <w:left w:val="nil"/>
              <w:bottom w:val="nil"/>
              <w:right w:val="nil"/>
            </w:tcBorders>
            <w:shd w:val="clear" w:color="000000" w:fill="FFFFFF"/>
            <w:vAlign w:val="center"/>
            <w:hideMark/>
          </w:tcPr>
          <w:p w14:paraId="5212C130" w14:textId="77777777" w:rsidR="00247CBF" w:rsidRPr="00092ED7" w:rsidRDefault="00247CBF" w:rsidP="00247CBF">
            <w:pPr>
              <w:spacing w:after="0"/>
              <w:jc w:val="center"/>
              <w:rPr>
                <w:rFonts w:eastAsia="Times New Roman" w:cs="Times New Roman"/>
                <w:sz w:val="16"/>
                <w:szCs w:val="16"/>
                <w:lang w:val="sr-Cyrl-CS"/>
              </w:rPr>
            </w:pPr>
            <w:r w:rsidRPr="00092ED7">
              <w:rPr>
                <w:rFonts w:eastAsia="Times New Roman" w:cs="Times New Roman"/>
                <w:sz w:val="16"/>
                <w:szCs w:val="16"/>
                <w:lang w:val="sr-Cyrl-CS"/>
              </w:rPr>
              <w:t>% БДП</w:t>
            </w:r>
          </w:p>
        </w:tc>
        <w:tc>
          <w:tcPr>
            <w:tcW w:w="495" w:type="pct"/>
            <w:gridSpan w:val="2"/>
            <w:tcBorders>
              <w:top w:val="single" w:sz="4" w:space="0" w:color="auto"/>
              <w:left w:val="single" w:sz="8" w:space="0" w:color="auto"/>
              <w:bottom w:val="dotted" w:sz="4" w:space="0" w:color="auto"/>
              <w:right w:val="dotted" w:sz="4" w:space="0" w:color="auto"/>
            </w:tcBorders>
            <w:shd w:val="clear" w:color="000000" w:fill="FFFFFF"/>
            <w:hideMark/>
          </w:tcPr>
          <w:p w14:paraId="348A29C7"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495" w:type="pct"/>
            <w:gridSpan w:val="3"/>
            <w:tcBorders>
              <w:top w:val="single" w:sz="4" w:space="0" w:color="auto"/>
              <w:left w:val="nil"/>
              <w:bottom w:val="dotted" w:sz="4" w:space="0" w:color="auto"/>
              <w:right w:val="dotted" w:sz="4" w:space="0" w:color="auto"/>
            </w:tcBorders>
            <w:shd w:val="clear" w:color="000000" w:fill="FFFFFF"/>
            <w:hideMark/>
          </w:tcPr>
          <w:p w14:paraId="33717AE1"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495" w:type="pct"/>
            <w:gridSpan w:val="2"/>
            <w:tcBorders>
              <w:top w:val="single" w:sz="4" w:space="0" w:color="auto"/>
              <w:left w:val="nil"/>
              <w:bottom w:val="dotted" w:sz="4" w:space="0" w:color="auto"/>
              <w:right w:val="dotted" w:sz="4" w:space="0" w:color="auto"/>
            </w:tcBorders>
            <w:shd w:val="clear" w:color="000000" w:fill="FFFFFF"/>
            <w:hideMark/>
          </w:tcPr>
          <w:p w14:paraId="2383DD6F"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495" w:type="pct"/>
            <w:gridSpan w:val="2"/>
            <w:tcBorders>
              <w:top w:val="single" w:sz="4" w:space="0" w:color="auto"/>
              <w:left w:val="nil"/>
              <w:bottom w:val="dotted" w:sz="4" w:space="0" w:color="auto"/>
              <w:right w:val="dotted" w:sz="4" w:space="0" w:color="auto"/>
            </w:tcBorders>
            <w:shd w:val="clear" w:color="000000" w:fill="FFFFFF"/>
            <w:hideMark/>
          </w:tcPr>
          <w:p w14:paraId="14D2C10C"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494" w:type="pct"/>
            <w:gridSpan w:val="2"/>
            <w:tcBorders>
              <w:top w:val="single" w:sz="4" w:space="0" w:color="auto"/>
              <w:left w:val="nil"/>
              <w:bottom w:val="dotted" w:sz="4" w:space="0" w:color="auto"/>
              <w:right w:val="double" w:sz="6" w:space="0" w:color="auto"/>
            </w:tcBorders>
            <w:shd w:val="clear" w:color="000000" w:fill="FFFFFF"/>
            <w:hideMark/>
          </w:tcPr>
          <w:p w14:paraId="7444950A"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r>
      <w:tr w:rsidR="00247CBF" w:rsidRPr="00092ED7" w14:paraId="278AAB77" w14:textId="77777777" w:rsidTr="00247CBF">
        <w:trPr>
          <w:gridBefore w:val="1"/>
          <w:wBefore w:w="8" w:type="pct"/>
          <w:trHeight w:val="300"/>
        </w:trPr>
        <w:tc>
          <w:tcPr>
            <w:tcW w:w="1984" w:type="pct"/>
            <w:gridSpan w:val="2"/>
            <w:tcBorders>
              <w:top w:val="nil"/>
              <w:left w:val="double" w:sz="6" w:space="0" w:color="auto"/>
              <w:bottom w:val="dotted" w:sz="4" w:space="0" w:color="auto"/>
              <w:right w:val="single" w:sz="8" w:space="0" w:color="auto"/>
            </w:tcBorders>
            <w:shd w:val="clear" w:color="000000" w:fill="FFFFFF"/>
            <w:hideMark/>
          </w:tcPr>
          <w:p w14:paraId="2C8CAA6B"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23. Домаћа приватна штедња</w:t>
            </w:r>
          </w:p>
        </w:tc>
        <w:tc>
          <w:tcPr>
            <w:tcW w:w="534" w:type="pct"/>
            <w:tcBorders>
              <w:top w:val="dotted" w:sz="4" w:space="0" w:color="auto"/>
              <w:left w:val="nil"/>
              <w:bottom w:val="dotted" w:sz="4" w:space="0" w:color="auto"/>
              <w:right w:val="single" w:sz="8" w:space="0" w:color="auto"/>
            </w:tcBorders>
            <w:shd w:val="clear" w:color="000000" w:fill="FFFFFF"/>
            <w:vAlign w:val="center"/>
            <w:hideMark/>
          </w:tcPr>
          <w:p w14:paraId="2B72A66F" w14:textId="77777777" w:rsidR="00247CBF" w:rsidRPr="00092ED7" w:rsidRDefault="00247CBF" w:rsidP="00247CBF">
            <w:pPr>
              <w:spacing w:after="0"/>
              <w:jc w:val="center"/>
              <w:rPr>
                <w:rFonts w:eastAsia="Times New Roman" w:cs="Times New Roman"/>
                <w:sz w:val="16"/>
                <w:szCs w:val="16"/>
                <w:lang w:val="sr-Cyrl-CS"/>
              </w:rPr>
            </w:pPr>
            <w:r w:rsidRPr="00092ED7">
              <w:rPr>
                <w:rFonts w:eastAsia="Times New Roman" w:cs="Times New Roman"/>
                <w:sz w:val="16"/>
                <w:szCs w:val="16"/>
                <w:lang w:val="sr-Cyrl-CS"/>
              </w:rPr>
              <w:t>% БДП</w:t>
            </w:r>
          </w:p>
        </w:tc>
        <w:tc>
          <w:tcPr>
            <w:tcW w:w="495" w:type="pct"/>
            <w:gridSpan w:val="2"/>
            <w:tcBorders>
              <w:top w:val="nil"/>
              <w:left w:val="nil"/>
              <w:bottom w:val="dotted" w:sz="4" w:space="0" w:color="auto"/>
              <w:right w:val="dotted" w:sz="4" w:space="0" w:color="auto"/>
            </w:tcBorders>
            <w:shd w:val="clear" w:color="000000" w:fill="FFFFFF"/>
            <w:hideMark/>
          </w:tcPr>
          <w:p w14:paraId="6867C8D0"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495" w:type="pct"/>
            <w:gridSpan w:val="3"/>
            <w:tcBorders>
              <w:top w:val="nil"/>
              <w:left w:val="nil"/>
              <w:bottom w:val="dotted" w:sz="4" w:space="0" w:color="auto"/>
              <w:right w:val="dotted" w:sz="4" w:space="0" w:color="auto"/>
            </w:tcBorders>
            <w:shd w:val="clear" w:color="000000" w:fill="FFFFFF"/>
            <w:hideMark/>
          </w:tcPr>
          <w:p w14:paraId="708FC141"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495" w:type="pct"/>
            <w:gridSpan w:val="2"/>
            <w:tcBorders>
              <w:top w:val="nil"/>
              <w:left w:val="nil"/>
              <w:bottom w:val="dotted" w:sz="4" w:space="0" w:color="auto"/>
              <w:right w:val="dotted" w:sz="4" w:space="0" w:color="auto"/>
            </w:tcBorders>
            <w:shd w:val="clear" w:color="000000" w:fill="FFFFFF"/>
            <w:hideMark/>
          </w:tcPr>
          <w:p w14:paraId="55F5D7D1"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495" w:type="pct"/>
            <w:gridSpan w:val="2"/>
            <w:tcBorders>
              <w:top w:val="nil"/>
              <w:left w:val="nil"/>
              <w:bottom w:val="dotted" w:sz="4" w:space="0" w:color="auto"/>
              <w:right w:val="dotted" w:sz="4" w:space="0" w:color="auto"/>
            </w:tcBorders>
            <w:shd w:val="clear" w:color="000000" w:fill="FFFFFF"/>
            <w:hideMark/>
          </w:tcPr>
          <w:p w14:paraId="53655AD8"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494" w:type="pct"/>
            <w:gridSpan w:val="2"/>
            <w:tcBorders>
              <w:top w:val="nil"/>
              <w:left w:val="nil"/>
              <w:bottom w:val="dotted" w:sz="4" w:space="0" w:color="auto"/>
              <w:right w:val="double" w:sz="6" w:space="0" w:color="auto"/>
            </w:tcBorders>
            <w:shd w:val="clear" w:color="000000" w:fill="FFFFFF"/>
            <w:hideMark/>
          </w:tcPr>
          <w:p w14:paraId="725AFC36"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r>
      <w:tr w:rsidR="00247CBF" w:rsidRPr="00092ED7" w14:paraId="1648D6E3" w14:textId="77777777" w:rsidTr="00247CBF">
        <w:trPr>
          <w:gridBefore w:val="1"/>
          <w:wBefore w:w="8" w:type="pct"/>
          <w:trHeight w:val="300"/>
        </w:trPr>
        <w:tc>
          <w:tcPr>
            <w:tcW w:w="1984" w:type="pct"/>
            <w:gridSpan w:val="2"/>
            <w:tcBorders>
              <w:top w:val="nil"/>
              <w:left w:val="double" w:sz="6" w:space="0" w:color="auto"/>
              <w:bottom w:val="dotted" w:sz="4" w:space="0" w:color="auto"/>
              <w:right w:val="single" w:sz="8" w:space="0" w:color="auto"/>
            </w:tcBorders>
            <w:shd w:val="clear" w:color="000000" w:fill="FFFFFF"/>
            <w:hideMark/>
          </w:tcPr>
          <w:p w14:paraId="0DE0B3D9"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xml:space="preserve">24. Домаће приватне инвестиције </w:t>
            </w:r>
          </w:p>
        </w:tc>
        <w:tc>
          <w:tcPr>
            <w:tcW w:w="534" w:type="pct"/>
            <w:tcBorders>
              <w:top w:val="nil"/>
              <w:left w:val="nil"/>
              <w:bottom w:val="dotted" w:sz="4" w:space="0" w:color="auto"/>
              <w:right w:val="single" w:sz="8" w:space="0" w:color="auto"/>
            </w:tcBorders>
            <w:shd w:val="clear" w:color="000000" w:fill="FFFFFF"/>
            <w:vAlign w:val="center"/>
            <w:hideMark/>
          </w:tcPr>
          <w:p w14:paraId="0060477B" w14:textId="77777777" w:rsidR="00247CBF" w:rsidRPr="00092ED7" w:rsidRDefault="00247CBF" w:rsidP="00247CBF">
            <w:pPr>
              <w:spacing w:after="0"/>
              <w:jc w:val="center"/>
              <w:rPr>
                <w:rFonts w:eastAsia="Times New Roman" w:cs="Times New Roman"/>
                <w:sz w:val="16"/>
                <w:szCs w:val="16"/>
                <w:lang w:val="sr-Cyrl-CS"/>
              </w:rPr>
            </w:pPr>
            <w:r w:rsidRPr="00092ED7">
              <w:rPr>
                <w:rFonts w:eastAsia="Times New Roman" w:cs="Times New Roman"/>
                <w:sz w:val="16"/>
                <w:szCs w:val="16"/>
                <w:lang w:val="sr-Cyrl-CS"/>
              </w:rPr>
              <w:t>% БДП</w:t>
            </w:r>
          </w:p>
        </w:tc>
        <w:tc>
          <w:tcPr>
            <w:tcW w:w="495" w:type="pct"/>
            <w:gridSpan w:val="2"/>
            <w:tcBorders>
              <w:top w:val="nil"/>
              <w:left w:val="nil"/>
              <w:bottom w:val="dotted" w:sz="4" w:space="0" w:color="auto"/>
              <w:right w:val="dotted" w:sz="4" w:space="0" w:color="auto"/>
            </w:tcBorders>
            <w:shd w:val="clear" w:color="000000" w:fill="FFFFFF"/>
            <w:hideMark/>
          </w:tcPr>
          <w:p w14:paraId="08A2DD47"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495" w:type="pct"/>
            <w:gridSpan w:val="3"/>
            <w:tcBorders>
              <w:top w:val="nil"/>
              <w:left w:val="nil"/>
              <w:bottom w:val="dotted" w:sz="4" w:space="0" w:color="auto"/>
              <w:right w:val="dotted" w:sz="4" w:space="0" w:color="auto"/>
            </w:tcBorders>
            <w:shd w:val="clear" w:color="000000" w:fill="FFFFFF"/>
            <w:hideMark/>
          </w:tcPr>
          <w:p w14:paraId="6B0FAAFC"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495" w:type="pct"/>
            <w:gridSpan w:val="2"/>
            <w:tcBorders>
              <w:top w:val="nil"/>
              <w:left w:val="nil"/>
              <w:bottom w:val="dotted" w:sz="4" w:space="0" w:color="auto"/>
              <w:right w:val="dotted" w:sz="4" w:space="0" w:color="auto"/>
            </w:tcBorders>
            <w:shd w:val="clear" w:color="000000" w:fill="FFFFFF"/>
            <w:hideMark/>
          </w:tcPr>
          <w:p w14:paraId="531F649F"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495" w:type="pct"/>
            <w:gridSpan w:val="2"/>
            <w:tcBorders>
              <w:top w:val="nil"/>
              <w:left w:val="nil"/>
              <w:bottom w:val="dotted" w:sz="4" w:space="0" w:color="auto"/>
              <w:right w:val="dotted" w:sz="4" w:space="0" w:color="auto"/>
            </w:tcBorders>
            <w:shd w:val="clear" w:color="000000" w:fill="FFFFFF"/>
            <w:hideMark/>
          </w:tcPr>
          <w:p w14:paraId="766405A5"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494" w:type="pct"/>
            <w:gridSpan w:val="2"/>
            <w:tcBorders>
              <w:top w:val="nil"/>
              <w:left w:val="nil"/>
              <w:bottom w:val="dotted" w:sz="4" w:space="0" w:color="auto"/>
              <w:right w:val="double" w:sz="6" w:space="0" w:color="auto"/>
            </w:tcBorders>
            <w:shd w:val="clear" w:color="000000" w:fill="FFFFFF"/>
            <w:hideMark/>
          </w:tcPr>
          <w:p w14:paraId="76397BA1"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r>
      <w:tr w:rsidR="00247CBF" w:rsidRPr="00092ED7" w14:paraId="72819441" w14:textId="77777777" w:rsidTr="00247CBF">
        <w:trPr>
          <w:gridBefore w:val="1"/>
          <w:wBefore w:w="8" w:type="pct"/>
          <w:trHeight w:val="300"/>
        </w:trPr>
        <w:tc>
          <w:tcPr>
            <w:tcW w:w="1984" w:type="pct"/>
            <w:gridSpan w:val="2"/>
            <w:tcBorders>
              <w:top w:val="nil"/>
              <w:left w:val="double" w:sz="6" w:space="0" w:color="auto"/>
              <w:bottom w:val="dotted" w:sz="4" w:space="0" w:color="auto"/>
              <w:right w:val="single" w:sz="8" w:space="0" w:color="auto"/>
            </w:tcBorders>
            <w:shd w:val="clear" w:color="000000" w:fill="FFFFFF"/>
            <w:hideMark/>
          </w:tcPr>
          <w:p w14:paraId="03687EA3"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25. Домаћа јавна штедња</w:t>
            </w:r>
          </w:p>
        </w:tc>
        <w:tc>
          <w:tcPr>
            <w:tcW w:w="534" w:type="pct"/>
            <w:tcBorders>
              <w:top w:val="nil"/>
              <w:left w:val="nil"/>
              <w:bottom w:val="dotted" w:sz="4" w:space="0" w:color="auto"/>
              <w:right w:val="single" w:sz="8" w:space="0" w:color="auto"/>
            </w:tcBorders>
            <w:shd w:val="clear" w:color="000000" w:fill="FFFFFF"/>
            <w:vAlign w:val="center"/>
            <w:hideMark/>
          </w:tcPr>
          <w:p w14:paraId="5ACEE138" w14:textId="77777777" w:rsidR="00247CBF" w:rsidRPr="00092ED7" w:rsidRDefault="00247CBF" w:rsidP="00247CBF">
            <w:pPr>
              <w:spacing w:after="0"/>
              <w:jc w:val="center"/>
              <w:rPr>
                <w:rFonts w:eastAsia="Times New Roman" w:cs="Times New Roman"/>
                <w:sz w:val="16"/>
                <w:szCs w:val="16"/>
                <w:lang w:val="sr-Cyrl-CS"/>
              </w:rPr>
            </w:pPr>
            <w:r w:rsidRPr="00092ED7">
              <w:rPr>
                <w:rFonts w:eastAsia="Times New Roman" w:cs="Times New Roman"/>
                <w:sz w:val="16"/>
                <w:szCs w:val="16"/>
                <w:lang w:val="sr-Cyrl-CS"/>
              </w:rPr>
              <w:t>% БДП</w:t>
            </w:r>
          </w:p>
        </w:tc>
        <w:tc>
          <w:tcPr>
            <w:tcW w:w="495" w:type="pct"/>
            <w:gridSpan w:val="2"/>
            <w:tcBorders>
              <w:top w:val="nil"/>
              <w:left w:val="nil"/>
              <w:bottom w:val="dotted" w:sz="4" w:space="0" w:color="auto"/>
              <w:right w:val="dotted" w:sz="4" w:space="0" w:color="auto"/>
            </w:tcBorders>
            <w:shd w:val="clear" w:color="000000" w:fill="FFFFFF"/>
            <w:hideMark/>
          </w:tcPr>
          <w:p w14:paraId="4DA30F6A"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495" w:type="pct"/>
            <w:gridSpan w:val="3"/>
            <w:tcBorders>
              <w:top w:val="nil"/>
              <w:left w:val="nil"/>
              <w:bottom w:val="dotted" w:sz="4" w:space="0" w:color="auto"/>
              <w:right w:val="dotted" w:sz="4" w:space="0" w:color="auto"/>
            </w:tcBorders>
            <w:shd w:val="clear" w:color="000000" w:fill="FFFFFF"/>
            <w:hideMark/>
          </w:tcPr>
          <w:p w14:paraId="039328D5"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495" w:type="pct"/>
            <w:gridSpan w:val="2"/>
            <w:tcBorders>
              <w:top w:val="nil"/>
              <w:left w:val="nil"/>
              <w:bottom w:val="dotted" w:sz="4" w:space="0" w:color="auto"/>
              <w:right w:val="dotted" w:sz="4" w:space="0" w:color="auto"/>
            </w:tcBorders>
            <w:shd w:val="clear" w:color="000000" w:fill="FFFFFF"/>
            <w:hideMark/>
          </w:tcPr>
          <w:p w14:paraId="3F922641"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495" w:type="pct"/>
            <w:gridSpan w:val="2"/>
            <w:tcBorders>
              <w:top w:val="nil"/>
              <w:left w:val="nil"/>
              <w:bottom w:val="dotted" w:sz="4" w:space="0" w:color="auto"/>
              <w:right w:val="dotted" w:sz="4" w:space="0" w:color="auto"/>
            </w:tcBorders>
            <w:shd w:val="clear" w:color="000000" w:fill="FFFFFF"/>
            <w:hideMark/>
          </w:tcPr>
          <w:p w14:paraId="64D27243"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494" w:type="pct"/>
            <w:gridSpan w:val="2"/>
            <w:tcBorders>
              <w:top w:val="nil"/>
              <w:left w:val="nil"/>
              <w:bottom w:val="dotted" w:sz="4" w:space="0" w:color="auto"/>
              <w:right w:val="double" w:sz="6" w:space="0" w:color="auto"/>
            </w:tcBorders>
            <w:shd w:val="clear" w:color="000000" w:fill="FFFFFF"/>
            <w:hideMark/>
          </w:tcPr>
          <w:p w14:paraId="78766EB2"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r>
      <w:tr w:rsidR="00247CBF" w:rsidRPr="00092ED7" w14:paraId="0F81DAC0" w14:textId="77777777" w:rsidTr="00247CBF">
        <w:trPr>
          <w:gridBefore w:val="1"/>
          <w:wBefore w:w="8" w:type="pct"/>
          <w:trHeight w:val="300"/>
        </w:trPr>
        <w:tc>
          <w:tcPr>
            <w:tcW w:w="1984" w:type="pct"/>
            <w:gridSpan w:val="2"/>
            <w:tcBorders>
              <w:top w:val="nil"/>
              <w:left w:val="double" w:sz="6" w:space="0" w:color="auto"/>
              <w:bottom w:val="double" w:sz="6" w:space="0" w:color="auto"/>
              <w:right w:val="single" w:sz="8" w:space="0" w:color="auto"/>
            </w:tcBorders>
            <w:shd w:val="clear" w:color="000000" w:fill="FFFFFF"/>
            <w:hideMark/>
          </w:tcPr>
          <w:p w14:paraId="70216989"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26. Домаће јавне инвестиције</w:t>
            </w:r>
          </w:p>
        </w:tc>
        <w:tc>
          <w:tcPr>
            <w:tcW w:w="534" w:type="pct"/>
            <w:tcBorders>
              <w:top w:val="nil"/>
              <w:left w:val="nil"/>
              <w:bottom w:val="double" w:sz="6" w:space="0" w:color="auto"/>
              <w:right w:val="single" w:sz="8" w:space="0" w:color="auto"/>
            </w:tcBorders>
            <w:shd w:val="clear" w:color="000000" w:fill="FFFFFF"/>
            <w:vAlign w:val="center"/>
            <w:hideMark/>
          </w:tcPr>
          <w:p w14:paraId="4CDAAA93" w14:textId="77777777" w:rsidR="00247CBF" w:rsidRPr="00092ED7" w:rsidRDefault="00247CBF" w:rsidP="00247CBF">
            <w:pPr>
              <w:spacing w:after="0"/>
              <w:jc w:val="center"/>
              <w:rPr>
                <w:rFonts w:eastAsia="Times New Roman" w:cs="Times New Roman"/>
                <w:sz w:val="16"/>
                <w:szCs w:val="16"/>
                <w:lang w:val="sr-Cyrl-CS"/>
              </w:rPr>
            </w:pPr>
            <w:r w:rsidRPr="00092ED7">
              <w:rPr>
                <w:rFonts w:eastAsia="Times New Roman" w:cs="Times New Roman"/>
                <w:sz w:val="16"/>
                <w:szCs w:val="16"/>
                <w:lang w:val="sr-Cyrl-CS"/>
              </w:rPr>
              <w:t>% БДП</w:t>
            </w:r>
          </w:p>
        </w:tc>
        <w:tc>
          <w:tcPr>
            <w:tcW w:w="495" w:type="pct"/>
            <w:gridSpan w:val="2"/>
            <w:tcBorders>
              <w:top w:val="nil"/>
              <w:left w:val="nil"/>
              <w:bottom w:val="double" w:sz="6" w:space="0" w:color="auto"/>
              <w:right w:val="dotted" w:sz="4" w:space="0" w:color="auto"/>
            </w:tcBorders>
            <w:shd w:val="clear" w:color="000000" w:fill="FFFFFF"/>
            <w:hideMark/>
          </w:tcPr>
          <w:p w14:paraId="7BCEA257"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495" w:type="pct"/>
            <w:gridSpan w:val="3"/>
            <w:tcBorders>
              <w:top w:val="nil"/>
              <w:left w:val="nil"/>
              <w:bottom w:val="double" w:sz="6" w:space="0" w:color="auto"/>
              <w:right w:val="dotted" w:sz="4" w:space="0" w:color="auto"/>
            </w:tcBorders>
            <w:shd w:val="clear" w:color="000000" w:fill="FFFFFF"/>
            <w:hideMark/>
          </w:tcPr>
          <w:p w14:paraId="4136D4BF"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495" w:type="pct"/>
            <w:gridSpan w:val="2"/>
            <w:tcBorders>
              <w:top w:val="nil"/>
              <w:left w:val="nil"/>
              <w:bottom w:val="double" w:sz="6" w:space="0" w:color="auto"/>
              <w:right w:val="dotted" w:sz="4" w:space="0" w:color="auto"/>
            </w:tcBorders>
            <w:shd w:val="clear" w:color="000000" w:fill="FFFFFF"/>
            <w:hideMark/>
          </w:tcPr>
          <w:p w14:paraId="6F8C8803"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495" w:type="pct"/>
            <w:gridSpan w:val="2"/>
            <w:tcBorders>
              <w:top w:val="nil"/>
              <w:left w:val="nil"/>
              <w:bottom w:val="double" w:sz="6" w:space="0" w:color="auto"/>
              <w:right w:val="dotted" w:sz="4" w:space="0" w:color="auto"/>
            </w:tcBorders>
            <w:shd w:val="clear" w:color="000000" w:fill="FFFFFF"/>
            <w:hideMark/>
          </w:tcPr>
          <w:p w14:paraId="7D4AD91E"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494" w:type="pct"/>
            <w:gridSpan w:val="2"/>
            <w:tcBorders>
              <w:top w:val="nil"/>
              <w:left w:val="nil"/>
              <w:bottom w:val="double" w:sz="6" w:space="0" w:color="auto"/>
              <w:right w:val="double" w:sz="6" w:space="0" w:color="auto"/>
            </w:tcBorders>
            <w:shd w:val="clear" w:color="000000" w:fill="FFFFFF"/>
            <w:hideMark/>
          </w:tcPr>
          <w:p w14:paraId="3B7841D2"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r>
    </w:tbl>
    <w:p w14:paraId="03B1B9D7" w14:textId="77777777" w:rsidR="00247CBF" w:rsidRPr="00092ED7" w:rsidRDefault="00247CBF" w:rsidP="00247CBF">
      <w:pPr>
        <w:rPr>
          <w:rFonts w:cs="Times New Roman"/>
          <w:lang w:val="sr-Cyrl-CS"/>
        </w:rPr>
      </w:pPr>
    </w:p>
    <w:tbl>
      <w:tblPr>
        <w:tblW w:w="5011" w:type="pct"/>
        <w:tblLook w:val="04A0" w:firstRow="1" w:lastRow="0" w:firstColumn="1" w:lastColumn="0" w:noHBand="0" w:noVBand="1"/>
      </w:tblPr>
      <w:tblGrid>
        <w:gridCol w:w="23"/>
        <w:gridCol w:w="4594"/>
        <w:gridCol w:w="61"/>
        <w:gridCol w:w="1700"/>
        <w:gridCol w:w="237"/>
        <w:gridCol w:w="1177"/>
        <w:gridCol w:w="231"/>
        <w:gridCol w:w="1171"/>
        <w:gridCol w:w="473"/>
        <w:gridCol w:w="929"/>
        <w:gridCol w:w="715"/>
        <w:gridCol w:w="686"/>
        <w:gridCol w:w="958"/>
        <w:gridCol w:w="1618"/>
        <w:gridCol w:w="29"/>
      </w:tblGrid>
      <w:tr w:rsidR="00247CBF" w:rsidRPr="00092ED7" w14:paraId="0F4AD72C" w14:textId="77777777" w:rsidTr="00247CBF">
        <w:trPr>
          <w:gridAfter w:val="1"/>
          <w:wAfter w:w="10" w:type="pct"/>
          <w:trHeight w:val="319"/>
        </w:trPr>
        <w:tc>
          <w:tcPr>
            <w:tcW w:w="2265" w:type="pct"/>
            <w:gridSpan w:val="5"/>
            <w:tcBorders>
              <w:top w:val="nil"/>
              <w:left w:val="nil"/>
              <w:bottom w:val="nil"/>
              <w:right w:val="nil"/>
            </w:tcBorders>
            <w:shd w:val="clear" w:color="000000" w:fill="FFFFFF"/>
            <w:noWrap/>
            <w:vAlign w:val="bottom"/>
            <w:hideMark/>
          </w:tcPr>
          <w:p w14:paraId="54332886" w14:textId="77777777" w:rsidR="00247CBF" w:rsidRPr="00092ED7" w:rsidRDefault="00247CBF" w:rsidP="00247CBF">
            <w:pPr>
              <w:spacing w:after="0"/>
              <w:rPr>
                <w:rFonts w:eastAsia="Times New Roman" w:cs="Times New Roman"/>
                <w:b/>
                <w:bCs/>
                <w:sz w:val="20"/>
                <w:szCs w:val="20"/>
                <w:lang w:val="sr-Cyrl-CS"/>
              </w:rPr>
            </w:pPr>
            <w:r w:rsidRPr="00092ED7">
              <w:rPr>
                <w:rFonts w:eastAsia="Times New Roman" w:cs="Times New Roman"/>
                <w:b/>
                <w:bCs/>
                <w:sz w:val="20"/>
                <w:szCs w:val="20"/>
                <w:lang w:val="sr-Cyrl-CS"/>
              </w:rPr>
              <w:t>Табела 1g: Индикатори одрживости</w:t>
            </w:r>
          </w:p>
        </w:tc>
        <w:tc>
          <w:tcPr>
            <w:tcW w:w="403" w:type="pct"/>
            <w:tcBorders>
              <w:top w:val="nil"/>
              <w:left w:val="nil"/>
              <w:bottom w:val="nil"/>
              <w:right w:val="nil"/>
            </w:tcBorders>
            <w:shd w:val="clear" w:color="000000" w:fill="FFFFFF"/>
            <w:noWrap/>
            <w:vAlign w:val="bottom"/>
            <w:hideMark/>
          </w:tcPr>
          <w:p w14:paraId="49A67818"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480" w:type="pct"/>
            <w:gridSpan w:val="2"/>
            <w:tcBorders>
              <w:top w:val="nil"/>
              <w:left w:val="nil"/>
              <w:bottom w:val="nil"/>
              <w:right w:val="nil"/>
            </w:tcBorders>
            <w:shd w:val="clear" w:color="000000" w:fill="FFFFFF"/>
            <w:noWrap/>
            <w:vAlign w:val="bottom"/>
            <w:hideMark/>
          </w:tcPr>
          <w:p w14:paraId="1259FB47"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480" w:type="pct"/>
            <w:gridSpan w:val="2"/>
            <w:tcBorders>
              <w:top w:val="nil"/>
              <w:left w:val="nil"/>
              <w:bottom w:val="nil"/>
              <w:right w:val="nil"/>
            </w:tcBorders>
            <w:shd w:val="clear" w:color="000000" w:fill="FFFFFF"/>
            <w:noWrap/>
            <w:vAlign w:val="bottom"/>
            <w:hideMark/>
          </w:tcPr>
          <w:p w14:paraId="21097C01"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480" w:type="pct"/>
            <w:gridSpan w:val="2"/>
            <w:tcBorders>
              <w:top w:val="nil"/>
              <w:left w:val="nil"/>
              <w:bottom w:val="nil"/>
              <w:right w:val="nil"/>
            </w:tcBorders>
            <w:shd w:val="clear" w:color="000000" w:fill="FFFFFF"/>
            <w:noWrap/>
            <w:vAlign w:val="bottom"/>
            <w:hideMark/>
          </w:tcPr>
          <w:p w14:paraId="03E70876"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882" w:type="pct"/>
            <w:gridSpan w:val="2"/>
            <w:tcBorders>
              <w:top w:val="nil"/>
              <w:left w:val="nil"/>
              <w:bottom w:val="nil"/>
              <w:right w:val="nil"/>
            </w:tcBorders>
            <w:shd w:val="clear" w:color="000000" w:fill="FFFFFF"/>
            <w:noWrap/>
            <w:vAlign w:val="bottom"/>
            <w:hideMark/>
          </w:tcPr>
          <w:p w14:paraId="513C3F07" w14:textId="77777777" w:rsidR="00247CBF" w:rsidRPr="00092ED7" w:rsidRDefault="00247CBF" w:rsidP="00247CBF">
            <w:pPr>
              <w:spacing w:after="0"/>
              <w:jc w:val="right"/>
              <w:rPr>
                <w:rFonts w:eastAsia="Times New Roman" w:cs="Times New Roman"/>
                <w:sz w:val="20"/>
                <w:szCs w:val="20"/>
                <w:lang w:val="sr-Cyrl-CS"/>
              </w:rPr>
            </w:pPr>
            <w:r w:rsidRPr="00092ED7">
              <w:rPr>
                <w:rFonts w:eastAsia="Times New Roman" w:cs="Times New Roman"/>
                <w:b/>
                <w:bCs/>
                <w:sz w:val="20"/>
                <w:szCs w:val="20"/>
                <w:lang w:val="sr-Cyrl-CS"/>
              </w:rPr>
              <w:t>Република Србија</w:t>
            </w:r>
          </w:p>
        </w:tc>
      </w:tr>
      <w:tr w:rsidR="00247CBF" w:rsidRPr="00092ED7" w14:paraId="3A7C611B" w14:textId="77777777" w:rsidTr="00247CBF">
        <w:trPr>
          <w:gridBefore w:val="1"/>
          <w:wBefore w:w="8" w:type="pct"/>
          <w:trHeight w:val="171"/>
        </w:trPr>
        <w:tc>
          <w:tcPr>
            <w:tcW w:w="1594" w:type="pct"/>
            <w:gridSpan w:val="2"/>
            <w:vMerge w:val="restart"/>
            <w:tcBorders>
              <w:top w:val="double" w:sz="6" w:space="0" w:color="auto"/>
              <w:left w:val="double" w:sz="6" w:space="0" w:color="auto"/>
              <w:bottom w:val="single" w:sz="8" w:space="0" w:color="000000"/>
              <w:right w:val="dotted" w:sz="4" w:space="0" w:color="auto"/>
            </w:tcBorders>
            <w:shd w:val="clear" w:color="000000" w:fill="FFFFFF"/>
            <w:vAlign w:val="bottom"/>
            <w:hideMark/>
          </w:tcPr>
          <w:p w14:paraId="452D6E7A"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582" w:type="pct"/>
            <w:vMerge w:val="restart"/>
            <w:tcBorders>
              <w:top w:val="double" w:sz="6" w:space="0" w:color="auto"/>
              <w:left w:val="dotted" w:sz="4" w:space="0" w:color="auto"/>
              <w:bottom w:val="single" w:sz="8" w:space="0" w:color="000000"/>
              <w:right w:val="single" w:sz="8" w:space="0" w:color="auto"/>
            </w:tcBorders>
            <w:shd w:val="clear" w:color="000000" w:fill="FFFFFF"/>
            <w:vAlign w:val="center"/>
            <w:hideMark/>
          </w:tcPr>
          <w:p w14:paraId="7AF420B3"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Димензија</w:t>
            </w:r>
          </w:p>
        </w:tc>
        <w:tc>
          <w:tcPr>
            <w:tcW w:w="563" w:type="pct"/>
            <w:gridSpan w:val="3"/>
            <w:tcBorders>
              <w:top w:val="double" w:sz="6" w:space="0" w:color="auto"/>
              <w:left w:val="nil"/>
              <w:bottom w:val="nil"/>
              <w:right w:val="dotted" w:sz="4" w:space="0" w:color="auto"/>
            </w:tcBorders>
            <w:shd w:val="clear" w:color="000000" w:fill="FFFFFF"/>
            <w:vAlign w:val="center"/>
            <w:hideMark/>
          </w:tcPr>
          <w:p w14:paraId="02975FD4" w14:textId="77777777" w:rsidR="00247CBF" w:rsidRPr="00092ED7" w:rsidRDefault="00247CBF" w:rsidP="00247CBF">
            <w:pPr>
              <w:spacing w:after="0"/>
              <w:jc w:val="center"/>
              <w:rPr>
                <w:sz w:val="20"/>
                <w:lang w:val="sr-Cyrl-CS"/>
              </w:rPr>
            </w:pPr>
            <w:r w:rsidRPr="00092ED7">
              <w:rPr>
                <w:sz w:val="20"/>
                <w:lang w:val="sr-Cyrl-CS"/>
              </w:rPr>
              <w:t>Година</w:t>
            </w:r>
          </w:p>
        </w:tc>
        <w:tc>
          <w:tcPr>
            <w:tcW w:w="563" w:type="pct"/>
            <w:gridSpan w:val="2"/>
            <w:tcBorders>
              <w:top w:val="double" w:sz="6" w:space="0" w:color="auto"/>
              <w:left w:val="nil"/>
              <w:bottom w:val="nil"/>
              <w:right w:val="dotted" w:sz="4" w:space="0" w:color="auto"/>
            </w:tcBorders>
            <w:shd w:val="clear" w:color="000000" w:fill="FFFFFF"/>
            <w:vAlign w:val="center"/>
            <w:hideMark/>
          </w:tcPr>
          <w:p w14:paraId="0443F19B" w14:textId="77777777" w:rsidR="00247CBF" w:rsidRPr="00092ED7" w:rsidRDefault="00247CBF" w:rsidP="00247CBF">
            <w:pPr>
              <w:spacing w:after="0"/>
              <w:jc w:val="center"/>
              <w:rPr>
                <w:sz w:val="20"/>
                <w:lang w:val="sr-Cyrl-CS"/>
              </w:rPr>
            </w:pPr>
            <w:r w:rsidRPr="00092ED7">
              <w:rPr>
                <w:sz w:val="20"/>
                <w:lang w:val="sr-Cyrl-CS"/>
              </w:rPr>
              <w:t>Година</w:t>
            </w:r>
          </w:p>
        </w:tc>
        <w:tc>
          <w:tcPr>
            <w:tcW w:w="563" w:type="pct"/>
            <w:gridSpan w:val="2"/>
            <w:tcBorders>
              <w:top w:val="double" w:sz="6" w:space="0" w:color="auto"/>
              <w:left w:val="nil"/>
              <w:bottom w:val="nil"/>
              <w:right w:val="dotted" w:sz="4" w:space="0" w:color="auto"/>
            </w:tcBorders>
            <w:shd w:val="clear" w:color="000000" w:fill="FFFFFF"/>
            <w:vAlign w:val="center"/>
            <w:hideMark/>
          </w:tcPr>
          <w:p w14:paraId="3D987385" w14:textId="77777777" w:rsidR="00247CBF" w:rsidRPr="00092ED7" w:rsidRDefault="00247CBF" w:rsidP="00247CBF">
            <w:pPr>
              <w:spacing w:after="0"/>
              <w:jc w:val="center"/>
              <w:rPr>
                <w:sz w:val="20"/>
                <w:lang w:val="sr-Cyrl-CS"/>
              </w:rPr>
            </w:pPr>
            <w:r w:rsidRPr="00092ED7">
              <w:rPr>
                <w:sz w:val="20"/>
                <w:lang w:val="sr-Cyrl-CS"/>
              </w:rPr>
              <w:t>Година</w:t>
            </w:r>
          </w:p>
        </w:tc>
        <w:tc>
          <w:tcPr>
            <w:tcW w:w="563" w:type="pct"/>
            <w:gridSpan w:val="2"/>
            <w:tcBorders>
              <w:top w:val="double" w:sz="6" w:space="0" w:color="auto"/>
              <w:left w:val="nil"/>
              <w:bottom w:val="nil"/>
              <w:right w:val="dotted" w:sz="4" w:space="0" w:color="auto"/>
            </w:tcBorders>
            <w:shd w:val="clear" w:color="000000" w:fill="FFFFFF"/>
            <w:vAlign w:val="center"/>
            <w:hideMark/>
          </w:tcPr>
          <w:p w14:paraId="1C94863B" w14:textId="77777777" w:rsidR="00247CBF" w:rsidRPr="00092ED7" w:rsidRDefault="00247CBF" w:rsidP="00247CBF">
            <w:pPr>
              <w:spacing w:after="0"/>
              <w:jc w:val="center"/>
              <w:rPr>
                <w:sz w:val="20"/>
                <w:lang w:val="sr-Cyrl-CS"/>
              </w:rPr>
            </w:pPr>
            <w:r w:rsidRPr="00092ED7">
              <w:rPr>
                <w:sz w:val="20"/>
                <w:lang w:val="sr-Cyrl-CS"/>
              </w:rPr>
              <w:t>Година</w:t>
            </w:r>
          </w:p>
        </w:tc>
        <w:tc>
          <w:tcPr>
            <w:tcW w:w="564" w:type="pct"/>
            <w:gridSpan w:val="2"/>
            <w:tcBorders>
              <w:top w:val="double" w:sz="6" w:space="0" w:color="auto"/>
              <w:left w:val="nil"/>
              <w:bottom w:val="nil"/>
              <w:right w:val="double" w:sz="6" w:space="0" w:color="auto"/>
            </w:tcBorders>
            <w:shd w:val="clear" w:color="000000" w:fill="FFFFFF"/>
            <w:vAlign w:val="center"/>
            <w:hideMark/>
          </w:tcPr>
          <w:p w14:paraId="08EE5696" w14:textId="77777777" w:rsidR="00247CBF" w:rsidRPr="00092ED7" w:rsidRDefault="00247CBF" w:rsidP="00247CBF">
            <w:pPr>
              <w:spacing w:after="0"/>
              <w:jc w:val="center"/>
              <w:rPr>
                <w:sz w:val="20"/>
                <w:lang w:val="sr-Cyrl-CS"/>
              </w:rPr>
            </w:pPr>
            <w:r w:rsidRPr="00092ED7">
              <w:rPr>
                <w:sz w:val="20"/>
                <w:lang w:val="sr-Cyrl-CS"/>
              </w:rPr>
              <w:t>Година</w:t>
            </w:r>
          </w:p>
        </w:tc>
      </w:tr>
      <w:tr w:rsidR="00247CBF" w:rsidRPr="00092ED7" w14:paraId="7C96632F" w14:textId="77777777" w:rsidTr="00247CBF">
        <w:trPr>
          <w:gridBefore w:val="1"/>
          <w:wBefore w:w="8" w:type="pct"/>
          <w:trHeight w:val="33"/>
        </w:trPr>
        <w:tc>
          <w:tcPr>
            <w:tcW w:w="1594" w:type="pct"/>
            <w:gridSpan w:val="2"/>
            <w:vMerge/>
            <w:tcBorders>
              <w:top w:val="double" w:sz="6" w:space="0" w:color="auto"/>
              <w:left w:val="double" w:sz="6" w:space="0" w:color="auto"/>
              <w:bottom w:val="single" w:sz="8" w:space="0" w:color="000000"/>
              <w:right w:val="dotted" w:sz="4" w:space="0" w:color="auto"/>
            </w:tcBorders>
            <w:vAlign w:val="center"/>
            <w:hideMark/>
          </w:tcPr>
          <w:p w14:paraId="50A60D84" w14:textId="77777777" w:rsidR="00247CBF" w:rsidRPr="00092ED7" w:rsidRDefault="00247CBF" w:rsidP="00247CBF">
            <w:pPr>
              <w:spacing w:after="0"/>
              <w:rPr>
                <w:rFonts w:eastAsia="Times New Roman" w:cs="Times New Roman"/>
                <w:sz w:val="20"/>
                <w:szCs w:val="20"/>
                <w:lang w:val="sr-Cyrl-CS"/>
              </w:rPr>
            </w:pPr>
          </w:p>
        </w:tc>
        <w:tc>
          <w:tcPr>
            <w:tcW w:w="582" w:type="pct"/>
            <w:vMerge/>
            <w:tcBorders>
              <w:top w:val="double" w:sz="6" w:space="0" w:color="auto"/>
              <w:left w:val="dotted" w:sz="4" w:space="0" w:color="auto"/>
              <w:bottom w:val="single" w:sz="8" w:space="0" w:color="000000"/>
              <w:right w:val="single" w:sz="8" w:space="0" w:color="auto"/>
            </w:tcBorders>
            <w:vAlign w:val="center"/>
            <w:hideMark/>
          </w:tcPr>
          <w:p w14:paraId="0D617073" w14:textId="77777777" w:rsidR="00247CBF" w:rsidRPr="00092ED7" w:rsidRDefault="00247CBF" w:rsidP="00247CBF">
            <w:pPr>
              <w:spacing w:after="0"/>
              <w:rPr>
                <w:rFonts w:eastAsia="Times New Roman" w:cs="Times New Roman"/>
                <w:sz w:val="20"/>
                <w:szCs w:val="20"/>
                <w:lang w:val="sr-Cyrl-CS"/>
              </w:rPr>
            </w:pPr>
          </w:p>
        </w:tc>
        <w:tc>
          <w:tcPr>
            <w:tcW w:w="563" w:type="pct"/>
            <w:gridSpan w:val="3"/>
            <w:tcBorders>
              <w:top w:val="nil"/>
              <w:left w:val="nil"/>
              <w:bottom w:val="single" w:sz="8" w:space="0" w:color="000000"/>
              <w:right w:val="dotted" w:sz="4" w:space="0" w:color="auto"/>
            </w:tcBorders>
            <w:shd w:val="clear" w:color="000000" w:fill="FFFFFF"/>
            <w:vAlign w:val="center"/>
            <w:hideMark/>
          </w:tcPr>
          <w:p w14:paraId="6E23AA0A" w14:textId="77777777" w:rsidR="00247CBF" w:rsidRPr="00092ED7" w:rsidRDefault="00247CBF" w:rsidP="00247CBF">
            <w:pPr>
              <w:spacing w:after="0"/>
              <w:jc w:val="center"/>
              <w:rPr>
                <w:sz w:val="20"/>
                <w:szCs w:val="20"/>
                <w:lang w:val="sr-Cyrl-CS"/>
              </w:rPr>
            </w:pPr>
            <w:r w:rsidRPr="00092ED7">
              <w:rPr>
                <w:sz w:val="20"/>
                <w:szCs w:val="20"/>
                <w:lang w:val="sr-Cyrl-CS"/>
              </w:rPr>
              <w:t>2018</w:t>
            </w:r>
          </w:p>
        </w:tc>
        <w:tc>
          <w:tcPr>
            <w:tcW w:w="563" w:type="pct"/>
            <w:gridSpan w:val="2"/>
            <w:tcBorders>
              <w:top w:val="nil"/>
              <w:left w:val="nil"/>
              <w:bottom w:val="single" w:sz="8" w:space="0" w:color="000000"/>
              <w:right w:val="dotted" w:sz="4" w:space="0" w:color="auto"/>
            </w:tcBorders>
            <w:shd w:val="clear" w:color="000000" w:fill="FFFFFF"/>
            <w:vAlign w:val="center"/>
            <w:hideMark/>
          </w:tcPr>
          <w:p w14:paraId="693F3FA9" w14:textId="77777777" w:rsidR="00247CBF" w:rsidRPr="00092ED7" w:rsidRDefault="00247CBF" w:rsidP="00247CBF">
            <w:pPr>
              <w:spacing w:after="0"/>
              <w:jc w:val="center"/>
              <w:rPr>
                <w:sz w:val="20"/>
                <w:szCs w:val="20"/>
                <w:lang w:val="sr-Cyrl-CS"/>
              </w:rPr>
            </w:pPr>
            <w:r w:rsidRPr="00092ED7">
              <w:rPr>
                <w:sz w:val="20"/>
                <w:szCs w:val="20"/>
                <w:lang w:val="sr-Cyrl-CS"/>
              </w:rPr>
              <w:t>2019</w:t>
            </w:r>
          </w:p>
        </w:tc>
        <w:tc>
          <w:tcPr>
            <w:tcW w:w="563" w:type="pct"/>
            <w:gridSpan w:val="2"/>
            <w:tcBorders>
              <w:top w:val="nil"/>
              <w:left w:val="nil"/>
              <w:bottom w:val="single" w:sz="8" w:space="0" w:color="000000"/>
              <w:right w:val="dotted" w:sz="4" w:space="0" w:color="auto"/>
            </w:tcBorders>
            <w:shd w:val="clear" w:color="000000" w:fill="FFFFFF"/>
            <w:vAlign w:val="center"/>
            <w:hideMark/>
          </w:tcPr>
          <w:p w14:paraId="3A7A2451" w14:textId="77777777" w:rsidR="00247CBF" w:rsidRPr="00092ED7" w:rsidRDefault="00247CBF" w:rsidP="00247CBF">
            <w:pPr>
              <w:spacing w:after="0"/>
              <w:jc w:val="center"/>
              <w:rPr>
                <w:sz w:val="20"/>
                <w:szCs w:val="20"/>
                <w:lang w:val="sr-Cyrl-CS"/>
              </w:rPr>
            </w:pPr>
            <w:r w:rsidRPr="00092ED7">
              <w:rPr>
                <w:sz w:val="20"/>
                <w:szCs w:val="20"/>
                <w:lang w:val="sr-Cyrl-CS"/>
              </w:rPr>
              <w:t>2020</w:t>
            </w:r>
          </w:p>
        </w:tc>
        <w:tc>
          <w:tcPr>
            <w:tcW w:w="563" w:type="pct"/>
            <w:gridSpan w:val="2"/>
            <w:tcBorders>
              <w:top w:val="nil"/>
              <w:left w:val="nil"/>
              <w:bottom w:val="single" w:sz="8" w:space="0" w:color="000000"/>
              <w:right w:val="dotted" w:sz="4" w:space="0" w:color="auto"/>
            </w:tcBorders>
            <w:shd w:val="clear" w:color="000000" w:fill="FFFFFF"/>
            <w:vAlign w:val="center"/>
            <w:hideMark/>
          </w:tcPr>
          <w:p w14:paraId="7ACFFCCE" w14:textId="77777777" w:rsidR="00247CBF" w:rsidRPr="00092ED7" w:rsidRDefault="00247CBF" w:rsidP="00247CBF">
            <w:pPr>
              <w:spacing w:after="0"/>
              <w:jc w:val="center"/>
              <w:rPr>
                <w:sz w:val="20"/>
                <w:szCs w:val="20"/>
                <w:lang w:val="sr-Cyrl-CS"/>
              </w:rPr>
            </w:pPr>
            <w:r w:rsidRPr="00092ED7">
              <w:rPr>
                <w:sz w:val="20"/>
                <w:szCs w:val="20"/>
                <w:lang w:val="sr-Cyrl-CS"/>
              </w:rPr>
              <w:t>2021</w:t>
            </w:r>
          </w:p>
        </w:tc>
        <w:tc>
          <w:tcPr>
            <w:tcW w:w="564" w:type="pct"/>
            <w:gridSpan w:val="2"/>
            <w:tcBorders>
              <w:top w:val="nil"/>
              <w:left w:val="nil"/>
              <w:bottom w:val="single" w:sz="8" w:space="0" w:color="000000"/>
              <w:right w:val="double" w:sz="6" w:space="0" w:color="auto"/>
            </w:tcBorders>
            <w:shd w:val="clear" w:color="000000" w:fill="FFFFFF"/>
            <w:vAlign w:val="center"/>
            <w:hideMark/>
          </w:tcPr>
          <w:p w14:paraId="182272AF" w14:textId="77777777" w:rsidR="00247CBF" w:rsidRPr="00092ED7" w:rsidRDefault="00247CBF" w:rsidP="00247CBF">
            <w:pPr>
              <w:spacing w:after="0"/>
              <w:jc w:val="center"/>
              <w:rPr>
                <w:sz w:val="20"/>
                <w:szCs w:val="20"/>
                <w:lang w:val="sr-Cyrl-CS"/>
              </w:rPr>
            </w:pPr>
            <w:r w:rsidRPr="00092ED7">
              <w:rPr>
                <w:sz w:val="20"/>
                <w:szCs w:val="20"/>
                <w:lang w:val="sr-Cyrl-CS"/>
              </w:rPr>
              <w:t>2022</w:t>
            </w:r>
          </w:p>
        </w:tc>
      </w:tr>
      <w:tr w:rsidR="00247CBF" w:rsidRPr="00092ED7" w14:paraId="6358E6FF" w14:textId="77777777" w:rsidTr="00247CBF">
        <w:trPr>
          <w:gridBefore w:val="1"/>
          <w:wBefore w:w="8" w:type="pct"/>
          <w:trHeight w:val="319"/>
        </w:trPr>
        <w:tc>
          <w:tcPr>
            <w:tcW w:w="1594" w:type="pct"/>
            <w:gridSpan w:val="2"/>
            <w:tcBorders>
              <w:top w:val="nil"/>
              <w:left w:val="double" w:sz="6" w:space="0" w:color="auto"/>
              <w:bottom w:val="dotted" w:sz="4" w:space="0" w:color="auto"/>
              <w:right w:val="dotted" w:sz="4" w:space="0" w:color="auto"/>
            </w:tcBorders>
            <w:shd w:val="clear" w:color="000000" w:fill="FFFFFF"/>
            <w:vAlign w:val="center"/>
            <w:hideMark/>
          </w:tcPr>
          <w:p w14:paraId="30680A72" w14:textId="77777777" w:rsidR="00247CBF" w:rsidRPr="00092ED7" w:rsidRDefault="00247CBF" w:rsidP="00247CBF">
            <w:pPr>
              <w:spacing w:after="0"/>
              <w:ind w:firstLineChars="100" w:firstLine="200"/>
              <w:jc w:val="left"/>
              <w:rPr>
                <w:sz w:val="20"/>
                <w:szCs w:val="20"/>
                <w:lang w:val="sr-Cyrl-CS"/>
              </w:rPr>
            </w:pPr>
            <w:r w:rsidRPr="00092ED7">
              <w:rPr>
                <w:sz w:val="20"/>
                <w:szCs w:val="20"/>
                <w:lang w:val="sr-Cyrl-CS"/>
              </w:rPr>
              <w:t>1. Биланс текућих трансакција [1]</w:t>
            </w:r>
          </w:p>
        </w:tc>
        <w:tc>
          <w:tcPr>
            <w:tcW w:w="582" w:type="pct"/>
            <w:tcBorders>
              <w:top w:val="nil"/>
              <w:left w:val="nil"/>
              <w:bottom w:val="dotted" w:sz="4" w:space="0" w:color="auto"/>
              <w:right w:val="single" w:sz="8" w:space="0" w:color="auto"/>
            </w:tcBorders>
            <w:shd w:val="clear" w:color="000000" w:fill="FFFFFF"/>
            <w:vAlign w:val="center"/>
            <w:hideMark/>
          </w:tcPr>
          <w:p w14:paraId="2265815F"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 БДП</w:t>
            </w:r>
          </w:p>
        </w:tc>
        <w:tc>
          <w:tcPr>
            <w:tcW w:w="563" w:type="pct"/>
            <w:gridSpan w:val="3"/>
            <w:tcBorders>
              <w:top w:val="nil"/>
              <w:left w:val="nil"/>
              <w:bottom w:val="dotted" w:sz="4" w:space="0" w:color="auto"/>
              <w:right w:val="dotted" w:sz="4" w:space="0" w:color="auto"/>
            </w:tcBorders>
            <w:shd w:val="clear" w:color="000000" w:fill="FFFFFF"/>
            <w:vAlign w:val="center"/>
            <w:hideMark/>
          </w:tcPr>
          <w:p w14:paraId="2B20D7B4" w14:textId="77777777" w:rsidR="00247CBF" w:rsidRPr="00092ED7" w:rsidRDefault="00247CBF" w:rsidP="00247CBF">
            <w:pPr>
              <w:spacing w:after="0"/>
              <w:jc w:val="right"/>
              <w:rPr>
                <w:sz w:val="20"/>
                <w:szCs w:val="20"/>
                <w:lang w:val="sr-Cyrl-CS"/>
              </w:rPr>
            </w:pPr>
            <w:r w:rsidRPr="00092ED7">
              <w:rPr>
                <w:sz w:val="20"/>
                <w:szCs w:val="20"/>
                <w:lang w:val="sr-Cyrl-CS"/>
              </w:rPr>
              <w:t>-4,8</w:t>
            </w:r>
          </w:p>
        </w:tc>
        <w:tc>
          <w:tcPr>
            <w:tcW w:w="563" w:type="pct"/>
            <w:gridSpan w:val="2"/>
            <w:tcBorders>
              <w:top w:val="nil"/>
              <w:left w:val="nil"/>
              <w:bottom w:val="dotted" w:sz="4" w:space="0" w:color="auto"/>
              <w:right w:val="dotted" w:sz="4" w:space="0" w:color="auto"/>
            </w:tcBorders>
            <w:shd w:val="clear" w:color="000000" w:fill="FFFFFF"/>
            <w:vAlign w:val="center"/>
            <w:hideMark/>
          </w:tcPr>
          <w:p w14:paraId="25FFE517" w14:textId="77777777" w:rsidR="00247CBF" w:rsidRPr="00092ED7" w:rsidRDefault="00247CBF" w:rsidP="00247CBF">
            <w:pPr>
              <w:spacing w:after="0"/>
              <w:jc w:val="right"/>
              <w:rPr>
                <w:sz w:val="20"/>
                <w:szCs w:val="20"/>
                <w:lang w:val="sr-Cyrl-CS"/>
              </w:rPr>
            </w:pPr>
            <w:r w:rsidRPr="00092ED7">
              <w:rPr>
                <w:sz w:val="20"/>
                <w:szCs w:val="20"/>
                <w:lang w:val="sr-Cyrl-CS"/>
              </w:rPr>
              <w:t>-6,9</w:t>
            </w:r>
          </w:p>
        </w:tc>
        <w:tc>
          <w:tcPr>
            <w:tcW w:w="563" w:type="pct"/>
            <w:gridSpan w:val="2"/>
            <w:tcBorders>
              <w:top w:val="nil"/>
              <w:left w:val="nil"/>
              <w:bottom w:val="dotted" w:sz="4" w:space="0" w:color="auto"/>
              <w:right w:val="dotted" w:sz="4" w:space="0" w:color="auto"/>
            </w:tcBorders>
            <w:shd w:val="clear" w:color="000000" w:fill="FFFFFF"/>
            <w:vAlign w:val="center"/>
            <w:hideMark/>
          </w:tcPr>
          <w:p w14:paraId="65046EE2" w14:textId="77777777" w:rsidR="00247CBF" w:rsidRPr="00092ED7" w:rsidRDefault="00247CBF" w:rsidP="00247CBF">
            <w:pPr>
              <w:spacing w:after="0"/>
              <w:jc w:val="right"/>
              <w:rPr>
                <w:sz w:val="20"/>
                <w:szCs w:val="20"/>
                <w:lang w:val="sr-Cyrl-CS"/>
              </w:rPr>
            </w:pPr>
            <w:r w:rsidRPr="00092ED7">
              <w:rPr>
                <w:sz w:val="20"/>
                <w:szCs w:val="20"/>
                <w:lang w:val="sr-Cyrl-CS"/>
              </w:rPr>
              <w:t>-4,1</w:t>
            </w:r>
          </w:p>
        </w:tc>
        <w:tc>
          <w:tcPr>
            <w:tcW w:w="563" w:type="pct"/>
            <w:gridSpan w:val="2"/>
            <w:tcBorders>
              <w:top w:val="nil"/>
              <w:left w:val="nil"/>
              <w:bottom w:val="dotted" w:sz="4" w:space="0" w:color="auto"/>
              <w:right w:val="dotted" w:sz="4" w:space="0" w:color="auto"/>
            </w:tcBorders>
            <w:shd w:val="clear" w:color="000000" w:fill="FFFFFF"/>
            <w:vAlign w:val="center"/>
            <w:hideMark/>
          </w:tcPr>
          <w:p w14:paraId="761EB189" w14:textId="77777777" w:rsidR="00247CBF" w:rsidRPr="00092ED7" w:rsidRDefault="00247CBF" w:rsidP="00247CBF">
            <w:pPr>
              <w:spacing w:after="0"/>
              <w:jc w:val="right"/>
              <w:rPr>
                <w:sz w:val="20"/>
                <w:szCs w:val="20"/>
                <w:lang w:val="sr-Cyrl-CS"/>
              </w:rPr>
            </w:pPr>
            <w:r w:rsidRPr="00092ED7">
              <w:rPr>
                <w:sz w:val="20"/>
                <w:szCs w:val="20"/>
                <w:lang w:val="sr-Cyrl-CS"/>
              </w:rPr>
              <w:t>-4,3</w:t>
            </w:r>
          </w:p>
        </w:tc>
        <w:tc>
          <w:tcPr>
            <w:tcW w:w="564" w:type="pct"/>
            <w:gridSpan w:val="2"/>
            <w:tcBorders>
              <w:top w:val="nil"/>
              <w:left w:val="nil"/>
              <w:bottom w:val="dotted" w:sz="4" w:space="0" w:color="auto"/>
              <w:right w:val="double" w:sz="6" w:space="0" w:color="auto"/>
            </w:tcBorders>
            <w:shd w:val="clear" w:color="000000" w:fill="FFFFFF"/>
            <w:vAlign w:val="center"/>
            <w:hideMark/>
          </w:tcPr>
          <w:p w14:paraId="128DC205" w14:textId="77777777" w:rsidR="00247CBF" w:rsidRPr="00092ED7" w:rsidRDefault="00247CBF" w:rsidP="00247CBF">
            <w:pPr>
              <w:spacing w:after="0"/>
              <w:jc w:val="right"/>
              <w:rPr>
                <w:sz w:val="20"/>
                <w:szCs w:val="20"/>
                <w:lang w:val="sr-Cyrl-CS"/>
              </w:rPr>
            </w:pPr>
            <w:r w:rsidRPr="00092ED7">
              <w:rPr>
                <w:sz w:val="20"/>
                <w:szCs w:val="20"/>
                <w:lang w:val="sr-Cyrl-CS"/>
              </w:rPr>
              <w:t>-5,0</w:t>
            </w:r>
          </w:p>
        </w:tc>
      </w:tr>
      <w:tr w:rsidR="00247CBF" w:rsidRPr="00092ED7" w14:paraId="06C6E194" w14:textId="77777777" w:rsidTr="00247CBF">
        <w:trPr>
          <w:gridBefore w:val="1"/>
          <w:wBefore w:w="8" w:type="pct"/>
          <w:trHeight w:val="319"/>
        </w:trPr>
        <w:tc>
          <w:tcPr>
            <w:tcW w:w="1594" w:type="pct"/>
            <w:gridSpan w:val="2"/>
            <w:tcBorders>
              <w:top w:val="nil"/>
              <w:left w:val="double" w:sz="6" w:space="0" w:color="auto"/>
              <w:bottom w:val="dotted" w:sz="4" w:space="0" w:color="auto"/>
              <w:right w:val="dotted" w:sz="4" w:space="0" w:color="auto"/>
            </w:tcBorders>
            <w:shd w:val="clear" w:color="000000" w:fill="FFFFFF"/>
            <w:vAlign w:val="center"/>
            <w:hideMark/>
          </w:tcPr>
          <w:p w14:paraId="64A2B2C8" w14:textId="77777777" w:rsidR="00247CBF" w:rsidRPr="00092ED7" w:rsidRDefault="00247CBF" w:rsidP="00247CBF">
            <w:pPr>
              <w:spacing w:after="0"/>
              <w:ind w:firstLineChars="100" w:firstLine="200"/>
              <w:jc w:val="left"/>
              <w:rPr>
                <w:sz w:val="20"/>
                <w:szCs w:val="20"/>
                <w:lang w:val="sr-Cyrl-CS"/>
              </w:rPr>
            </w:pPr>
            <w:r w:rsidRPr="00092ED7">
              <w:rPr>
                <w:sz w:val="20"/>
                <w:szCs w:val="20"/>
                <w:lang w:val="sr-Cyrl-CS"/>
              </w:rPr>
              <w:t>2. Нето међународна инвестициона позиција [2]</w:t>
            </w:r>
          </w:p>
        </w:tc>
        <w:tc>
          <w:tcPr>
            <w:tcW w:w="582" w:type="pct"/>
            <w:tcBorders>
              <w:top w:val="nil"/>
              <w:left w:val="nil"/>
              <w:bottom w:val="dotted" w:sz="4" w:space="0" w:color="auto"/>
              <w:right w:val="single" w:sz="8" w:space="0" w:color="auto"/>
            </w:tcBorders>
            <w:shd w:val="clear" w:color="000000" w:fill="FFFFFF"/>
            <w:vAlign w:val="center"/>
            <w:hideMark/>
          </w:tcPr>
          <w:p w14:paraId="50B17CF2"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 БДП</w:t>
            </w:r>
          </w:p>
        </w:tc>
        <w:tc>
          <w:tcPr>
            <w:tcW w:w="563" w:type="pct"/>
            <w:gridSpan w:val="3"/>
            <w:tcBorders>
              <w:top w:val="nil"/>
              <w:left w:val="nil"/>
              <w:bottom w:val="dotted" w:sz="4" w:space="0" w:color="auto"/>
              <w:right w:val="dotted" w:sz="4" w:space="0" w:color="auto"/>
            </w:tcBorders>
            <w:shd w:val="clear" w:color="000000" w:fill="FFFFFF"/>
            <w:vAlign w:val="center"/>
            <w:hideMark/>
          </w:tcPr>
          <w:p w14:paraId="44132508" w14:textId="77777777" w:rsidR="00247CBF" w:rsidRPr="00092ED7" w:rsidRDefault="00247CBF" w:rsidP="00247CBF">
            <w:pPr>
              <w:spacing w:after="0"/>
              <w:jc w:val="right"/>
              <w:rPr>
                <w:sz w:val="20"/>
                <w:szCs w:val="20"/>
                <w:lang w:val="sr-Cyrl-CS"/>
              </w:rPr>
            </w:pPr>
            <w:r w:rsidRPr="00092ED7">
              <w:rPr>
                <w:sz w:val="20"/>
                <w:szCs w:val="20"/>
                <w:lang w:val="sr-Cyrl-CS"/>
              </w:rPr>
              <w:t>-87,6</w:t>
            </w:r>
          </w:p>
        </w:tc>
        <w:tc>
          <w:tcPr>
            <w:tcW w:w="563" w:type="pct"/>
            <w:gridSpan w:val="2"/>
            <w:tcBorders>
              <w:top w:val="nil"/>
              <w:left w:val="nil"/>
              <w:bottom w:val="dotted" w:sz="4" w:space="0" w:color="auto"/>
              <w:right w:val="dotted" w:sz="4" w:space="0" w:color="auto"/>
            </w:tcBorders>
            <w:shd w:val="clear" w:color="000000" w:fill="FFFFFF"/>
            <w:vAlign w:val="center"/>
            <w:hideMark/>
          </w:tcPr>
          <w:p w14:paraId="2D808AEF" w14:textId="77777777" w:rsidR="00247CBF" w:rsidRPr="00092ED7" w:rsidRDefault="00247CBF" w:rsidP="00247CBF">
            <w:pPr>
              <w:spacing w:after="0"/>
              <w:jc w:val="right"/>
              <w:rPr>
                <w:sz w:val="20"/>
                <w:szCs w:val="20"/>
                <w:lang w:val="sr-Cyrl-CS"/>
              </w:rPr>
            </w:pPr>
            <w:r w:rsidRPr="00092ED7">
              <w:rPr>
                <w:sz w:val="20"/>
                <w:szCs w:val="20"/>
                <w:lang w:val="sr-Cyrl-CS"/>
              </w:rPr>
              <w:t>-88,0</w:t>
            </w:r>
          </w:p>
        </w:tc>
        <w:tc>
          <w:tcPr>
            <w:tcW w:w="563" w:type="pct"/>
            <w:gridSpan w:val="2"/>
            <w:tcBorders>
              <w:top w:val="nil"/>
              <w:left w:val="nil"/>
              <w:bottom w:val="dotted" w:sz="4" w:space="0" w:color="auto"/>
              <w:right w:val="dotted" w:sz="4" w:space="0" w:color="auto"/>
            </w:tcBorders>
            <w:shd w:val="clear" w:color="000000" w:fill="FFFFFF"/>
            <w:vAlign w:val="center"/>
            <w:hideMark/>
          </w:tcPr>
          <w:p w14:paraId="375EC34C" w14:textId="77777777" w:rsidR="00247CBF" w:rsidRPr="00092ED7" w:rsidRDefault="00247CBF" w:rsidP="00247CBF">
            <w:pPr>
              <w:spacing w:after="0"/>
              <w:jc w:val="right"/>
              <w:rPr>
                <w:sz w:val="20"/>
                <w:szCs w:val="20"/>
                <w:lang w:val="sr-Cyrl-CS"/>
              </w:rPr>
            </w:pPr>
            <w:r w:rsidRPr="00092ED7">
              <w:rPr>
                <w:sz w:val="20"/>
                <w:szCs w:val="20"/>
                <w:lang w:val="sr-Cyrl-CS"/>
              </w:rPr>
              <w:t>-90,3</w:t>
            </w:r>
          </w:p>
        </w:tc>
        <w:tc>
          <w:tcPr>
            <w:tcW w:w="563" w:type="pct"/>
            <w:gridSpan w:val="2"/>
            <w:tcBorders>
              <w:top w:val="nil"/>
              <w:left w:val="nil"/>
              <w:bottom w:val="dotted" w:sz="4" w:space="0" w:color="auto"/>
              <w:right w:val="dotted" w:sz="4" w:space="0" w:color="auto"/>
            </w:tcBorders>
            <w:shd w:val="clear" w:color="000000" w:fill="FFFFFF"/>
            <w:vAlign w:val="center"/>
            <w:hideMark/>
          </w:tcPr>
          <w:p w14:paraId="49771798" w14:textId="77777777" w:rsidR="00247CBF" w:rsidRPr="00092ED7" w:rsidRDefault="00247CBF" w:rsidP="00247CBF">
            <w:pPr>
              <w:spacing w:after="0"/>
              <w:jc w:val="right"/>
              <w:rPr>
                <w:sz w:val="20"/>
                <w:szCs w:val="20"/>
                <w:lang w:val="sr-Cyrl-CS"/>
              </w:rPr>
            </w:pPr>
            <w:r w:rsidRPr="00092ED7">
              <w:rPr>
                <w:sz w:val="20"/>
                <w:szCs w:val="20"/>
                <w:lang w:val="sr-Cyrl-CS"/>
              </w:rPr>
              <w:t>-83,1</w:t>
            </w:r>
          </w:p>
        </w:tc>
        <w:tc>
          <w:tcPr>
            <w:tcW w:w="564" w:type="pct"/>
            <w:gridSpan w:val="2"/>
            <w:tcBorders>
              <w:top w:val="nil"/>
              <w:left w:val="nil"/>
              <w:bottom w:val="dotted" w:sz="4" w:space="0" w:color="auto"/>
              <w:right w:val="double" w:sz="6" w:space="0" w:color="auto"/>
            </w:tcBorders>
            <w:shd w:val="clear" w:color="000000" w:fill="FFFFFF"/>
            <w:vAlign w:val="center"/>
            <w:hideMark/>
          </w:tcPr>
          <w:p w14:paraId="78D10C04" w14:textId="77777777" w:rsidR="00247CBF" w:rsidRPr="00092ED7" w:rsidRDefault="00247CBF" w:rsidP="00247CBF">
            <w:pPr>
              <w:spacing w:after="0"/>
              <w:jc w:val="right"/>
              <w:rPr>
                <w:sz w:val="20"/>
                <w:szCs w:val="20"/>
                <w:lang w:val="sr-Cyrl-CS"/>
              </w:rPr>
            </w:pPr>
            <w:r w:rsidRPr="00092ED7">
              <w:rPr>
                <w:sz w:val="20"/>
                <w:szCs w:val="20"/>
                <w:lang w:val="sr-Cyrl-CS"/>
              </w:rPr>
              <w:t>-77,9</w:t>
            </w:r>
          </w:p>
        </w:tc>
      </w:tr>
      <w:tr w:rsidR="00247CBF" w:rsidRPr="00092ED7" w14:paraId="19A81E43" w14:textId="77777777" w:rsidTr="00247CBF">
        <w:trPr>
          <w:gridBefore w:val="1"/>
          <w:wBefore w:w="8" w:type="pct"/>
          <w:trHeight w:val="319"/>
        </w:trPr>
        <w:tc>
          <w:tcPr>
            <w:tcW w:w="1594" w:type="pct"/>
            <w:gridSpan w:val="2"/>
            <w:tcBorders>
              <w:top w:val="nil"/>
              <w:left w:val="double" w:sz="6" w:space="0" w:color="auto"/>
              <w:bottom w:val="dotted" w:sz="4" w:space="0" w:color="auto"/>
              <w:right w:val="dotted" w:sz="4" w:space="0" w:color="auto"/>
            </w:tcBorders>
            <w:shd w:val="clear" w:color="000000" w:fill="FFFFFF"/>
            <w:vAlign w:val="center"/>
            <w:hideMark/>
          </w:tcPr>
          <w:p w14:paraId="16C8A271" w14:textId="77777777" w:rsidR="00247CBF" w:rsidRPr="00092ED7" w:rsidRDefault="00247CBF" w:rsidP="00247CBF">
            <w:pPr>
              <w:spacing w:after="0"/>
              <w:ind w:firstLineChars="100" w:firstLine="200"/>
              <w:jc w:val="left"/>
              <w:rPr>
                <w:sz w:val="20"/>
                <w:szCs w:val="20"/>
                <w:lang w:val="sr-Cyrl-CS"/>
              </w:rPr>
            </w:pPr>
            <w:r w:rsidRPr="00092ED7">
              <w:rPr>
                <w:sz w:val="20"/>
                <w:szCs w:val="20"/>
                <w:lang w:val="sr-Cyrl-CS"/>
              </w:rPr>
              <w:t>3. Удели на извозним тржиштима</w:t>
            </w:r>
          </w:p>
        </w:tc>
        <w:tc>
          <w:tcPr>
            <w:tcW w:w="582" w:type="pct"/>
            <w:tcBorders>
              <w:top w:val="nil"/>
              <w:left w:val="nil"/>
              <w:bottom w:val="dotted" w:sz="4" w:space="0" w:color="auto"/>
              <w:right w:val="single" w:sz="8" w:space="0" w:color="auto"/>
            </w:tcBorders>
            <w:shd w:val="clear" w:color="000000" w:fill="FFFFFF"/>
            <w:vAlign w:val="center"/>
            <w:hideMark/>
          </w:tcPr>
          <w:p w14:paraId="2A0C7AF4"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 мг</w:t>
            </w:r>
          </w:p>
        </w:tc>
        <w:tc>
          <w:tcPr>
            <w:tcW w:w="563" w:type="pct"/>
            <w:gridSpan w:val="3"/>
            <w:tcBorders>
              <w:top w:val="nil"/>
              <w:left w:val="nil"/>
              <w:bottom w:val="dotted" w:sz="4" w:space="0" w:color="auto"/>
              <w:right w:val="dotted" w:sz="4" w:space="0" w:color="auto"/>
            </w:tcBorders>
            <w:shd w:val="clear" w:color="000000" w:fill="FFFFFF"/>
            <w:vAlign w:val="center"/>
            <w:hideMark/>
          </w:tcPr>
          <w:p w14:paraId="3BD5BB6E"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563" w:type="pct"/>
            <w:gridSpan w:val="2"/>
            <w:tcBorders>
              <w:top w:val="nil"/>
              <w:left w:val="nil"/>
              <w:bottom w:val="dotted" w:sz="4" w:space="0" w:color="auto"/>
              <w:right w:val="dotted" w:sz="4" w:space="0" w:color="auto"/>
            </w:tcBorders>
            <w:shd w:val="clear" w:color="000000" w:fill="FFFFFF"/>
            <w:vAlign w:val="center"/>
            <w:hideMark/>
          </w:tcPr>
          <w:p w14:paraId="11844E2B"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563" w:type="pct"/>
            <w:gridSpan w:val="2"/>
            <w:tcBorders>
              <w:top w:val="nil"/>
              <w:left w:val="nil"/>
              <w:bottom w:val="dotted" w:sz="4" w:space="0" w:color="auto"/>
              <w:right w:val="dotted" w:sz="4" w:space="0" w:color="auto"/>
            </w:tcBorders>
            <w:shd w:val="clear" w:color="000000" w:fill="FFFFFF"/>
            <w:vAlign w:val="center"/>
            <w:hideMark/>
          </w:tcPr>
          <w:p w14:paraId="1BB78DFB"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563" w:type="pct"/>
            <w:gridSpan w:val="2"/>
            <w:tcBorders>
              <w:top w:val="nil"/>
              <w:left w:val="nil"/>
              <w:bottom w:val="dotted" w:sz="4" w:space="0" w:color="auto"/>
              <w:right w:val="dotted" w:sz="4" w:space="0" w:color="auto"/>
            </w:tcBorders>
            <w:shd w:val="clear" w:color="000000" w:fill="FFFFFF"/>
            <w:vAlign w:val="center"/>
            <w:hideMark/>
          </w:tcPr>
          <w:p w14:paraId="6BCE9F29"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564" w:type="pct"/>
            <w:gridSpan w:val="2"/>
            <w:tcBorders>
              <w:top w:val="nil"/>
              <w:left w:val="nil"/>
              <w:bottom w:val="dotted" w:sz="4" w:space="0" w:color="auto"/>
              <w:right w:val="double" w:sz="6" w:space="0" w:color="auto"/>
            </w:tcBorders>
            <w:shd w:val="clear" w:color="000000" w:fill="FFFFFF"/>
            <w:vAlign w:val="center"/>
            <w:hideMark/>
          </w:tcPr>
          <w:p w14:paraId="70BCE4F2" w14:textId="77777777" w:rsidR="00247CBF" w:rsidRPr="00092ED7" w:rsidRDefault="00247CBF" w:rsidP="00247CBF">
            <w:pPr>
              <w:spacing w:after="0"/>
              <w:jc w:val="right"/>
              <w:rPr>
                <w:sz w:val="20"/>
                <w:szCs w:val="20"/>
                <w:lang w:val="sr-Cyrl-CS"/>
              </w:rPr>
            </w:pPr>
            <w:r w:rsidRPr="00092ED7">
              <w:rPr>
                <w:sz w:val="20"/>
                <w:szCs w:val="20"/>
                <w:lang w:val="sr-Cyrl-CS"/>
              </w:rPr>
              <w:t>:</w:t>
            </w:r>
          </w:p>
        </w:tc>
      </w:tr>
      <w:tr w:rsidR="00247CBF" w:rsidRPr="00092ED7" w14:paraId="0C47AF36" w14:textId="77777777" w:rsidTr="00247CBF">
        <w:trPr>
          <w:gridBefore w:val="1"/>
          <w:wBefore w:w="8" w:type="pct"/>
          <w:trHeight w:val="319"/>
        </w:trPr>
        <w:tc>
          <w:tcPr>
            <w:tcW w:w="1594" w:type="pct"/>
            <w:gridSpan w:val="2"/>
            <w:tcBorders>
              <w:top w:val="nil"/>
              <w:left w:val="double" w:sz="6" w:space="0" w:color="auto"/>
              <w:bottom w:val="dotted" w:sz="4" w:space="0" w:color="auto"/>
              <w:right w:val="dotted" w:sz="4" w:space="0" w:color="auto"/>
            </w:tcBorders>
            <w:shd w:val="clear" w:color="000000" w:fill="FFFFFF"/>
            <w:vAlign w:val="center"/>
            <w:hideMark/>
          </w:tcPr>
          <w:p w14:paraId="619DBE0A" w14:textId="77777777" w:rsidR="00247CBF" w:rsidRPr="00092ED7" w:rsidRDefault="00247CBF" w:rsidP="00247CBF">
            <w:pPr>
              <w:spacing w:after="0"/>
              <w:ind w:firstLineChars="100" w:firstLine="200"/>
              <w:jc w:val="left"/>
              <w:rPr>
                <w:sz w:val="20"/>
                <w:szCs w:val="20"/>
                <w:lang w:val="sr-Cyrl-CS"/>
              </w:rPr>
            </w:pPr>
            <w:r w:rsidRPr="00092ED7">
              <w:rPr>
                <w:sz w:val="20"/>
                <w:szCs w:val="20"/>
                <w:lang w:val="sr-Cyrl-CS"/>
              </w:rPr>
              <w:t>4. Реални ефективни девизни курс [1]</w:t>
            </w:r>
          </w:p>
        </w:tc>
        <w:tc>
          <w:tcPr>
            <w:tcW w:w="582" w:type="pct"/>
            <w:tcBorders>
              <w:top w:val="nil"/>
              <w:left w:val="nil"/>
              <w:bottom w:val="dotted" w:sz="4" w:space="0" w:color="auto"/>
              <w:right w:val="single" w:sz="8" w:space="0" w:color="auto"/>
            </w:tcBorders>
            <w:shd w:val="clear" w:color="000000" w:fill="FFFFFF"/>
            <w:vAlign w:val="center"/>
            <w:hideMark/>
          </w:tcPr>
          <w:p w14:paraId="7B906D55"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 мг</w:t>
            </w:r>
          </w:p>
        </w:tc>
        <w:tc>
          <w:tcPr>
            <w:tcW w:w="563" w:type="pct"/>
            <w:gridSpan w:val="3"/>
            <w:tcBorders>
              <w:top w:val="nil"/>
              <w:left w:val="nil"/>
              <w:bottom w:val="dotted" w:sz="4" w:space="0" w:color="auto"/>
              <w:right w:val="dotted" w:sz="4" w:space="0" w:color="auto"/>
            </w:tcBorders>
            <w:shd w:val="clear" w:color="000000" w:fill="FFFFFF"/>
            <w:vAlign w:val="center"/>
            <w:hideMark/>
          </w:tcPr>
          <w:p w14:paraId="6EBF3EB3" w14:textId="77777777" w:rsidR="00247CBF" w:rsidRPr="00092ED7" w:rsidRDefault="00247CBF" w:rsidP="00247CBF">
            <w:pPr>
              <w:spacing w:after="0"/>
              <w:jc w:val="right"/>
              <w:rPr>
                <w:sz w:val="20"/>
                <w:szCs w:val="20"/>
                <w:lang w:val="sr-Cyrl-CS"/>
              </w:rPr>
            </w:pPr>
            <w:r w:rsidRPr="00092ED7">
              <w:rPr>
                <w:sz w:val="20"/>
                <w:szCs w:val="20"/>
                <w:lang w:val="sr-Cyrl-CS"/>
              </w:rPr>
              <w:t>3,6</w:t>
            </w:r>
          </w:p>
        </w:tc>
        <w:tc>
          <w:tcPr>
            <w:tcW w:w="563" w:type="pct"/>
            <w:gridSpan w:val="2"/>
            <w:tcBorders>
              <w:top w:val="nil"/>
              <w:left w:val="nil"/>
              <w:bottom w:val="dotted" w:sz="4" w:space="0" w:color="auto"/>
              <w:right w:val="dotted" w:sz="4" w:space="0" w:color="auto"/>
            </w:tcBorders>
            <w:shd w:val="clear" w:color="000000" w:fill="FFFFFF"/>
            <w:vAlign w:val="center"/>
            <w:hideMark/>
          </w:tcPr>
          <w:p w14:paraId="39D55DBA" w14:textId="77777777" w:rsidR="00247CBF" w:rsidRPr="00092ED7" w:rsidRDefault="00247CBF" w:rsidP="00247CBF">
            <w:pPr>
              <w:spacing w:after="0"/>
              <w:jc w:val="right"/>
              <w:rPr>
                <w:sz w:val="20"/>
                <w:szCs w:val="20"/>
                <w:lang w:val="sr-Cyrl-CS"/>
              </w:rPr>
            </w:pPr>
            <w:r w:rsidRPr="00092ED7">
              <w:rPr>
                <w:sz w:val="20"/>
                <w:szCs w:val="20"/>
                <w:lang w:val="sr-Cyrl-CS"/>
              </w:rPr>
              <w:t>-0,2</w:t>
            </w:r>
          </w:p>
        </w:tc>
        <w:tc>
          <w:tcPr>
            <w:tcW w:w="563" w:type="pct"/>
            <w:gridSpan w:val="2"/>
            <w:tcBorders>
              <w:top w:val="nil"/>
              <w:left w:val="nil"/>
              <w:bottom w:val="dotted" w:sz="4" w:space="0" w:color="auto"/>
              <w:right w:val="dotted" w:sz="4" w:space="0" w:color="auto"/>
            </w:tcBorders>
            <w:shd w:val="clear" w:color="000000" w:fill="FFFFFF"/>
            <w:vAlign w:val="center"/>
            <w:hideMark/>
          </w:tcPr>
          <w:p w14:paraId="4979766C" w14:textId="77777777" w:rsidR="00247CBF" w:rsidRPr="00092ED7" w:rsidRDefault="00247CBF" w:rsidP="00247CBF">
            <w:pPr>
              <w:spacing w:after="0"/>
              <w:jc w:val="right"/>
              <w:rPr>
                <w:sz w:val="20"/>
                <w:szCs w:val="20"/>
                <w:lang w:val="sr-Cyrl-CS"/>
              </w:rPr>
            </w:pPr>
            <w:r w:rsidRPr="00092ED7">
              <w:rPr>
                <w:sz w:val="20"/>
                <w:szCs w:val="20"/>
                <w:lang w:val="sr-Cyrl-CS"/>
              </w:rPr>
              <w:t>1,7</w:t>
            </w:r>
          </w:p>
        </w:tc>
        <w:tc>
          <w:tcPr>
            <w:tcW w:w="563" w:type="pct"/>
            <w:gridSpan w:val="2"/>
            <w:tcBorders>
              <w:top w:val="nil"/>
              <w:left w:val="nil"/>
              <w:bottom w:val="dotted" w:sz="4" w:space="0" w:color="auto"/>
              <w:right w:val="dotted" w:sz="4" w:space="0" w:color="auto"/>
            </w:tcBorders>
            <w:shd w:val="clear" w:color="000000" w:fill="FFFFFF"/>
            <w:vAlign w:val="center"/>
            <w:hideMark/>
          </w:tcPr>
          <w:p w14:paraId="53C0DC82" w14:textId="77777777" w:rsidR="00247CBF" w:rsidRPr="00092ED7" w:rsidRDefault="00247CBF" w:rsidP="00247CBF">
            <w:pPr>
              <w:spacing w:after="0"/>
              <w:jc w:val="right"/>
              <w:rPr>
                <w:sz w:val="20"/>
                <w:szCs w:val="20"/>
                <w:lang w:val="sr-Cyrl-CS"/>
              </w:rPr>
            </w:pPr>
            <w:r w:rsidRPr="00092ED7">
              <w:rPr>
                <w:sz w:val="20"/>
                <w:szCs w:val="20"/>
                <w:lang w:val="sr-Cyrl-CS"/>
              </w:rPr>
              <w:t>1,8</w:t>
            </w:r>
          </w:p>
        </w:tc>
        <w:tc>
          <w:tcPr>
            <w:tcW w:w="564" w:type="pct"/>
            <w:gridSpan w:val="2"/>
            <w:tcBorders>
              <w:top w:val="nil"/>
              <w:left w:val="nil"/>
              <w:bottom w:val="dotted" w:sz="4" w:space="0" w:color="auto"/>
              <w:right w:val="double" w:sz="6" w:space="0" w:color="auto"/>
            </w:tcBorders>
            <w:shd w:val="clear" w:color="000000" w:fill="FFFFFF"/>
            <w:vAlign w:val="center"/>
            <w:hideMark/>
          </w:tcPr>
          <w:p w14:paraId="28D847D0" w14:textId="77777777" w:rsidR="00247CBF" w:rsidRPr="00092ED7" w:rsidRDefault="00247CBF" w:rsidP="00247CBF">
            <w:pPr>
              <w:spacing w:after="0"/>
              <w:jc w:val="right"/>
              <w:rPr>
                <w:sz w:val="20"/>
                <w:szCs w:val="20"/>
                <w:lang w:val="sr-Cyrl-CS"/>
              </w:rPr>
            </w:pPr>
            <w:r w:rsidRPr="00092ED7">
              <w:rPr>
                <w:sz w:val="20"/>
                <w:szCs w:val="20"/>
                <w:lang w:val="sr-Cyrl-CS"/>
              </w:rPr>
              <w:t>0,4</w:t>
            </w:r>
          </w:p>
        </w:tc>
      </w:tr>
      <w:tr w:rsidR="00247CBF" w:rsidRPr="00092ED7" w14:paraId="71625E86" w14:textId="77777777" w:rsidTr="00247CBF">
        <w:trPr>
          <w:gridBefore w:val="1"/>
          <w:wBefore w:w="8" w:type="pct"/>
          <w:trHeight w:val="319"/>
        </w:trPr>
        <w:tc>
          <w:tcPr>
            <w:tcW w:w="1594" w:type="pct"/>
            <w:gridSpan w:val="2"/>
            <w:tcBorders>
              <w:top w:val="nil"/>
              <w:left w:val="double" w:sz="6" w:space="0" w:color="auto"/>
              <w:bottom w:val="dotted" w:sz="4" w:space="0" w:color="auto"/>
              <w:right w:val="dotted" w:sz="4" w:space="0" w:color="auto"/>
            </w:tcBorders>
            <w:shd w:val="clear" w:color="000000" w:fill="FFFFFF"/>
            <w:vAlign w:val="center"/>
            <w:hideMark/>
          </w:tcPr>
          <w:p w14:paraId="35196A62" w14:textId="77777777" w:rsidR="00247CBF" w:rsidRPr="00092ED7" w:rsidRDefault="00247CBF" w:rsidP="00247CBF">
            <w:pPr>
              <w:spacing w:after="0"/>
              <w:ind w:firstLineChars="100" w:firstLine="200"/>
              <w:jc w:val="left"/>
              <w:rPr>
                <w:sz w:val="20"/>
                <w:szCs w:val="20"/>
                <w:lang w:val="sr-Cyrl-CS"/>
              </w:rPr>
            </w:pPr>
            <w:r w:rsidRPr="00092ED7">
              <w:rPr>
                <w:sz w:val="20"/>
                <w:szCs w:val="20"/>
                <w:lang w:val="sr-Cyrl-CS"/>
              </w:rPr>
              <w:t>5. Номинални јединични трошкови рада</w:t>
            </w:r>
          </w:p>
        </w:tc>
        <w:tc>
          <w:tcPr>
            <w:tcW w:w="582" w:type="pct"/>
            <w:tcBorders>
              <w:top w:val="nil"/>
              <w:left w:val="nil"/>
              <w:bottom w:val="dotted" w:sz="4" w:space="0" w:color="auto"/>
              <w:right w:val="single" w:sz="8" w:space="0" w:color="auto"/>
            </w:tcBorders>
            <w:shd w:val="clear" w:color="000000" w:fill="FFFFFF"/>
            <w:vAlign w:val="center"/>
            <w:hideMark/>
          </w:tcPr>
          <w:p w14:paraId="2B12FB2F"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 мг</w:t>
            </w:r>
          </w:p>
        </w:tc>
        <w:tc>
          <w:tcPr>
            <w:tcW w:w="563" w:type="pct"/>
            <w:gridSpan w:val="3"/>
            <w:tcBorders>
              <w:top w:val="nil"/>
              <w:left w:val="nil"/>
              <w:bottom w:val="dotted" w:sz="4" w:space="0" w:color="auto"/>
              <w:right w:val="dotted" w:sz="4" w:space="0" w:color="auto"/>
            </w:tcBorders>
            <w:shd w:val="clear" w:color="000000" w:fill="FFFFFF"/>
            <w:vAlign w:val="center"/>
            <w:hideMark/>
          </w:tcPr>
          <w:p w14:paraId="123AFBCA"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563" w:type="pct"/>
            <w:gridSpan w:val="2"/>
            <w:tcBorders>
              <w:top w:val="nil"/>
              <w:left w:val="nil"/>
              <w:bottom w:val="dotted" w:sz="4" w:space="0" w:color="auto"/>
              <w:right w:val="dotted" w:sz="4" w:space="0" w:color="auto"/>
            </w:tcBorders>
            <w:shd w:val="clear" w:color="000000" w:fill="FFFFFF"/>
            <w:vAlign w:val="center"/>
            <w:hideMark/>
          </w:tcPr>
          <w:p w14:paraId="7BDA3352"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563" w:type="pct"/>
            <w:gridSpan w:val="2"/>
            <w:tcBorders>
              <w:top w:val="nil"/>
              <w:left w:val="nil"/>
              <w:bottom w:val="dotted" w:sz="4" w:space="0" w:color="auto"/>
              <w:right w:val="dotted" w:sz="4" w:space="0" w:color="auto"/>
            </w:tcBorders>
            <w:shd w:val="clear" w:color="000000" w:fill="FFFFFF"/>
            <w:vAlign w:val="center"/>
            <w:hideMark/>
          </w:tcPr>
          <w:p w14:paraId="7CEFC0CE"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563" w:type="pct"/>
            <w:gridSpan w:val="2"/>
            <w:tcBorders>
              <w:top w:val="nil"/>
              <w:left w:val="nil"/>
              <w:bottom w:val="dotted" w:sz="4" w:space="0" w:color="auto"/>
              <w:right w:val="dotted" w:sz="4" w:space="0" w:color="auto"/>
            </w:tcBorders>
            <w:shd w:val="clear" w:color="000000" w:fill="FFFFFF"/>
            <w:vAlign w:val="center"/>
            <w:hideMark/>
          </w:tcPr>
          <w:p w14:paraId="14C48DF5"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564" w:type="pct"/>
            <w:gridSpan w:val="2"/>
            <w:tcBorders>
              <w:top w:val="nil"/>
              <w:left w:val="nil"/>
              <w:bottom w:val="dotted" w:sz="4" w:space="0" w:color="auto"/>
              <w:right w:val="double" w:sz="6" w:space="0" w:color="auto"/>
            </w:tcBorders>
            <w:shd w:val="clear" w:color="000000" w:fill="FFFFFF"/>
            <w:vAlign w:val="center"/>
            <w:hideMark/>
          </w:tcPr>
          <w:p w14:paraId="5386B1DD" w14:textId="77777777" w:rsidR="00247CBF" w:rsidRPr="00092ED7" w:rsidRDefault="00247CBF" w:rsidP="00247CBF">
            <w:pPr>
              <w:spacing w:after="0"/>
              <w:jc w:val="right"/>
              <w:rPr>
                <w:sz w:val="20"/>
                <w:szCs w:val="20"/>
                <w:lang w:val="sr-Cyrl-CS"/>
              </w:rPr>
            </w:pPr>
            <w:r w:rsidRPr="00092ED7">
              <w:rPr>
                <w:sz w:val="20"/>
                <w:szCs w:val="20"/>
                <w:lang w:val="sr-Cyrl-CS"/>
              </w:rPr>
              <w:t>:</w:t>
            </w:r>
          </w:p>
        </w:tc>
      </w:tr>
      <w:tr w:rsidR="00247CBF" w:rsidRPr="00092ED7" w14:paraId="4D672B0A" w14:textId="77777777" w:rsidTr="00247CBF">
        <w:trPr>
          <w:gridBefore w:val="1"/>
          <w:wBefore w:w="8" w:type="pct"/>
          <w:trHeight w:val="319"/>
        </w:trPr>
        <w:tc>
          <w:tcPr>
            <w:tcW w:w="1594" w:type="pct"/>
            <w:gridSpan w:val="2"/>
            <w:tcBorders>
              <w:top w:val="nil"/>
              <w:left w:val="double" w:sz="6" w:space="0" w:color="auto"/>
              <w:bottom w:val="dotted" w:sz="4" w:space="0" w:color="auto"/>
              <w:right w:val="dotted" w:sz="4" w:space="0" w:color="auto"/>
            </w:tcBorders>
            <w:shd w:val="clear" w:color="000000" w:fill="FFFFFF"/>
            <w:vAlign w:val="center"/>
            <w:hideMark/>
          </w:tcPr>
          <w:p w14:paraId="65D12274" w14:textId="77777777" w:rsidR="00247CBF" w:rsidRPr="00092ED7" w:rsidRDefault="00247CBF" w:rsidP="00247CBF">
            <w:pPr>
              <w:spacing w:after="0"/>
              <w:ind w:firstLineChars="100" w:firstLine="200"/>
              <w:jc w:val="left"/>
              <w:rPr>
                <w:sz w:val="20"/>
                <w:szCs w:val="20"/>
                <w:lang w:val="sr-Cyrl-CS"/>
              </w:rPr>
            </w:pPr>
            <w:r w:rsidRPr="00092ED7">
              <w:rPr>
                <w:sz w:val="20"/>
                <w:szCs w:val="20"/>
                <w:lang w:val="sr-Cyrl-CS"/>
              </w:rPr>
              <w:t>6. Кредити приватном сектору - промена [1]</w:t>
            </w:r>
          </w:p>
        </w:tc>
        <w:tc>
          <w:tcPr>
            <w:tcW w:w="582" w:type="pct"/>
            <w:tcBorders>
              <w:top w:val="nil"/>
              <w:left w:val="nil"/>
              <w:bottom w:val="dotted" w:sz="4" w:space="0" w:color="auto"/>
              <w:right w:val="single" w:sz="8" w:space="0" w:color="auto"/>
            </w:tcBorders>
            <w:shd w:val="clear" w:color="000000" w:fill="FFFFFF"/>
            <w:vAlign w:val="center"/>
            <w:hideMark/>
          </w:tcPr>
          <w:p w14:paraId="2323AC03"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 БДП</w:t>
            </w:r>
          </w:p>
        </w:tc>
        <w:tc>
          <w:tcPr>
            <w:tcW w:w="563" w:type="pct"/>
            <w:gridSpan w:val="3"/>
            <w:tcBorders>
              <w:top w:val="nil"/>
              <w:left w:val="nil"/>
              <w:bottom w:val="dotted" w:sz="4" w:space="0" w:color="auto"/>
              <w:right w:val="dotted" w:sz="4" w:space="0" w:color="auto"/>
            </w:tcBorders>
            <w:shd w:val="clear" w:color="000000" w:fill="FFFFFF"/>
            <w:vAlign w:val="center"/>
            <w:hideMark/>
          </w:tcPr>
          <w:p w14:paraId="2A8AA9D6" w14:textId="77777777" w:rsidR="00247CBF" w:rsidRPr="00092ED7" w:rsidRDefault="00247CBF" w:rsidP="00247CBF">
            <w:pPr>
              <w:spacing w:after="0"/>
              <w:jc w:val="right"/>
              <w:rPr>
                <w:sz w:val="20"/>
                <w:szCs w:val="20"/>
                <w:lang w:val="sr-Cyrl-CS"/>
              </w:rPr>
            </w:pPr>
            <w:r w:rsidRPr="00092ED7">
              <w:rPr>
                <w:sz w:val="20"/>
                <w:szCs w:val="20"/>
                <w:lang w:val="sr-Cyrl-CS"/>
              </w:rPr>
              <w:t>3,0</w:t>
            </w:r>
          </w:p>
        </w:tc>
        <w:tc>
          <w:tcPr>
            <w:tcW w:w="563" w:type="pct"/>
            <w:gridSpan w:val="2"/>
            <w:tcBorders>
              <w:top w:val="nil"/>
              <w:left w:val="nil"/>
              <w:bottom w:val="dotted" w:sz="4" w:space="0" w:color="auto"/>
              <w:right w:val="dotted" w:sz="4" w:space="0" w:color="auto"/>
            </w:tcBorders>
            <w:shd w:val="clear" w:color="000000" w:fill="FFFFFF"/>
            <w:vAlign w:val="center"/>
            <w:hideMark/>
          </w:tcPr>
          <w:p w14:paraId="24A239CE" w14:textId="77777777" w:rsidR="00247CBF" w:rsidRPr="00092ED7" w:rsidRDefault="00247CBF" w:rsidP="00247CBF">
            <w:pPr>
              <w:spacing w:after="0"/>
              <w:jc w:val="right"/>
              <w:rPr>
                <w:sz w:val="20"/>
                <w:szCs w:val="20"/>
                <w:lang w:val="sr-Cyrl-CS"/>
              </w:rPr>
            </w:pPr>
            <w:r w:rsidRPr="00092ED7">
              <w:rPr>
                <w:sz w:val="20"/>
                <w:szCs w:val="20"/>
                <w:lang w:val="sr-Cyrl-CS"/>
              </w:rPr>
              <w:t>2,5</w:t>
            </w:r>
          </w:p>
        </w:tc>
        <w:tc>
          <w:tcPr>
            <w:tcW w:w="563" w:type="pct"/>
            <w:gridSpan w:val="2"/>
            <w:tcBorders>
              <w:top w:val="nil"/>
              <w:left w:val="nil"/>
              <w:bottom w:val="dotted" w:sz="4" w:space="0" w:color="auto"/>
              <w:right w:val="dotted" w:sz="4" w:space="0" w:color="auto"/>
            </w:tcBorders>
            <w:shd w:val="clear" w:color="000000" w:fill="FFFFFF"/>
            <w:vAlign w:val="center"/>
            <w:hideMark/>
          </w:tcPr>
          <w:p w14:paraId="7E905D1D" w14:textId="77777777" w:rsidR="00247CBF" w:rsidRPr="00092ED7" w:rsidRDefault="00247CBF" w:rsidP="00247CBF">
            <w:pPr>
              <w:spacing w:after="0"/>
              <w:jc w:val="right"/>
              <w:rPr>
                <w:sz w:val="20"/>
                <w:szCs w:val="20"/>
                <w:lang w:val="sr-Cyrl-CS"/>
              </w:rPr>
            </w:pPr>
            <w:r w:rsidRPr="00092ED7">
              <w:rPr>
                <w:sz w:val="20"/>
                <w:szCs w:val="20"/>
                <w:lang w:val="sr-Cyrl-CS"/>
              </w:rPr>
              <w:t>2,7</w:t>
            </w:r>
          </w:p>
        </w:tc>
        <w:tc>
          <w:tcPr>
            <w:tcW w:w="563" w:type="pct"/>
            <w:gridSpan w:val="2"/>
            <w:tcBorders>
              <w:top w:val="nil"/>
              <w:left w:val="nil"/>
              <w:bottom w:val="dotted" w:sz="4" w:space="0" w:color="auto"/>
              <w:right w:val="dotted" w:sz="4" w:space="0" w:color="auto"/>
            </w:tcBorders>
            <w:shd w:val="clear" w:color="000000" w:fill="FFFFFF"/>
            <w:vAlign w:val="center"/>
            <w:hideMark/>
          </w:tcPr>
          <w:p w14:paraId="0351141B" w14:textId="77777777" w:rsidR="00247CBF" w:rsidRPr="00092ED7" w:rsidRDefault="00247CBF" w:rsidP="00247CBF">
            <w:pPr>
              <w:spacing w:after="0"/>
              <w:jc w:val="right"/>
              <w:rPr>
                <w:sz w:val="20"/>
                <w:szCs w:val="20"/>
                <w:lang w:val="sr-Cyrl-CS"/>
              </w:rPr>
            </w:pPr>
            <w:r w:rsidRPr="00092ED7">
              <w:rPr>
                <w:sz w:val="20"/>
                <w:szCs w:val="20"/>
                <w:lang w:val="sr-Cyrl-CS"/>
              </w:rPr>
              <w:t>2,5</w:t>
            </w:r>
          </w:p>
        </w:tc>
        <w:tc>
          <w:tcPr>
            <w:tcW w:w="564" w:type="pct"/>
            <w:gridSpan w:val="2"/>
            <w:tcBorders>
              <w:top w:val="nil"/>
              <w:left w:val="nil"/>
              <w:bottom w:val="dotted" w:sz="4" w:space="0" w:color="auto"/>
              <w:right w:val="double" w:sz="6" w:space="0" w:color="auto"/>
            </w:tcBorders>
            <w:shd w:val="clear" w:color="000000" w:fill="FFFFFF"/>
            <w:vAlign w:val="center"/>
            <w:hideMark/>
          </w:tcPr>
          <w:p w14:paraId="587CF8F1" w14:textId="77777777" w:rsidR="00247CBF" w:rsidRPr="00092ED7" w:rsidRDefault="00247CBF" w:rsidP="00247CBF">
            <w:pPr>
              <w:spacing w:after="0"/>
              <w:jc w:val="right"/>
              <w:rPr>
                <w:sz w:val="20"/>
                <w:szCs w:val="20"/>
                <w:lang w:val="sr-Cyrl-CS"/>
              </w:rPr>
            </w:pPr>
            <w:r w:rsidRPr="00092ED7">
              <w:rPr>
                <w:sz w:val="20"/>
                <w:szCs w:val="20"/>
                <w:lang w:val="sr-Cyrl-CS"/>
              </w:rPr>
              <w:t>1,7</w:t>
            </w:r>
          </w:p>
        </w:tc>
      </w:tr>
      <w:tr w:rsidR="00247CBF" w:rsidRPr="00092ED7" w14:paraId="284F6D1C" w14:textId="77777777" w:rsidTr="00247CBF">
        <w:trPr>
          <w:gridBefore w:val="1"/>
          <w:wBefore w:w="8" w:type="pct"/>
          <w:trHeight w:val="319"/>
        </w:trPr>
        <w:tc>
          <w:tcPr>
            <w:tcW w:w="1594" w:type="pct"/>
            <w:gridSpan w:val="2"/>
            <w:tcBorders>
              <w:top w:val="nil"/>
              <w:left w:val="double" w:sz="6" w:space="0" w:color="auto"/>
              <w:bottom w:val="dotted" w:sz="4" w:space="0" w:color="auto"/>
              <w:right w:val="dotted" w:sz="4" w:space="0" w:color="auto"/>
            </w:tcBorders>
            <w:shd w:val="clear" w:color="000000" w:fill="FFFFFF"/>
            <w:vAlign w:val="center"/>
            <w:hideMark/>
          </w:tcPr>
          <w:p w14:paraId="09EB0849" w14:textId="77777777" w:rsidR="00247CBF" w:rsidRPr="00092ED7" w:rsidRDefault="00247CBF" w:rsidP="00247CBF">
            <w:pPr>
              <w:spacing w:after="0"/>
              <w:ind w:firstLineChars="100" w:firstLine="200"/>
              <w:jc w:val="left"/>
              <w:rPr>
                <w:sz w:val="20"/>
                <w:szCs w:val="20"/>
                <w:lang w:val="sr-Cyrl-CS"/>
              </w:rPr>
            </w:pPr>
            <w:r w:rsidRPr="00092ED7">
              <w:rPr>
                <w:sz w:val="20"/>
                <w:szCs w:val="20"/>
                <w:lang w:val="sr-Cyrl-CS"/>
              </w:rPr>
              <w:t>7. Дуг приватног сектора [3]</w:t>
            </w:r>
          </w:p>
        </w:tc>
        <w:tc>
          <w:tcPr>
            <w:tcW w:w="582" w:type="pct"/>
            <w:tcBorders>
              <w:top w:val="nil"/>
              <w:left w:val="nil"/>
              <w:bottom w:val="dotted" w:sz="4" w:space="0" w:color="auto"/>
              <w:right w:val="single" w:sz="8" w:space="0" w:color="auto"/>
            </w:tcBorders>
            <w:shd w:val="clear" w:color="000000" w:fill="FFFFFF"/>
            <w:vAlign w:val="center"/>
            <w:hideMark/>
          </w:tcPr>
          <w:p w14:paraId="18A99058"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 БДП</w:t>
            </w:r>
          </w:p>
        </w:tc>
        <w:tc>
          <w:tcPr>
            <w:tcW w:w="563" w:type="pct"/>
            <w:gridSpan w:val="3"/>
            <w:tcBorders>
              <w:top w:val="nil"/>
              <w:left w:val="nil"/>
              <w:bottom w:val="dotted" w:sz="4" w:space="0" w:color="auto"/>
              <w:right w:val="dotted" w:sz="4" w:space="0" w:color="auto"/>
            </w:tcBorders>
            <w:shd w:val="clear" w:color="000000" w:fill="FFFFFF"/>
            <w:vAlign w:val="center"/>
            <w:hideMark/>
          </w:tcPr>
          <w:p w14:paraId="3C133FCF" w14:textId="77777777" w:rsidR="00247CBF" w:rsidRPr="00092ED7" w:rsidRDefault="00247CBF" w:rsidP="00247CBF">
            <w:pPr>
              <w:spacing w:after="0"/>
              <w:jc w:val="right"/>
              <w:rPr>
                <w:sz w:val="20"/>
                <w:szCs w:val="20"/>
                <w:lang w:val="sr-Cyrl-CS"/>
              </w:rPr>
            </w:pPr>
            <w:r w:rsidRPr="00092ED7">
              <w:rPr>
                <w:sz w:val="20"/>
                <w:szCs w:val="20"/>
                <w:lang w:val="sr-Cyrl-CS"/>
              </w:rPr>
              <w:t>41,2</w:t>
            </w:r>
          </w:p>
        </w:tc>
        <w:tc>
          <w:tcPr>
            <w:tcW w:w="563" w:type="pct"/>
            <w:gridSpan w:val="2"/>
            <w:tcBorders>
              <w:top w:val="nil"/>
              <w:left w:val="nil"/>
              <w:bottom w:val="dotted" w:sz="4" w:space="0" w:color="auto"/>
              <w:right w:val="dotted" w:sz="4" w:space="0" w:color="auto"/>
            </w:tcBorders>
            <w:shd w:val="clear" w:color="000000" w:fill="FFFFFF"/>
            <w:vAlign w:val="center"/>
            <w:hideMark/>
          </w:tcPr>
          <w:p w14:paraId="4983B8BF" w14:textId="77777777" w:rsidR="00247CBF" w:rsidRPr="00092ED7" w:rsidRDefault="00247CBF" w:rsidP="00247CBF">
            <w:pPr>
              <w:spacing w:after="0"/>
              <w:jc w:val="right"/>
              <w:rPr>
                <w:sz w:val="20"/>
                <w:szCs w:val="20"/>
                <w:lang w:val="sr-Cyrl-CS"/>
              </w:rPr>
            </w:pPr>
            <w:r w:rsidRPr="00092ED7">
              <w:rPr>
                <w:sz w:val="20"/>
                <w:szCs w:val="20"/>
                <w:lang w:val="sr-Cyrl-CS"/>
              </w:rPr>
              <w:t>41,8</w:t>
            </w:r>
          </w:p>
        </w:tc>
        <w:tc>
          <w:tcPr>
            <w:tcW w:w="563" w:type="pct"/>
            <w:gridSpan w:val="2"/>
            <w:tcBorders>
              <w:top w:val="nil"/>
              <w:left w:val="nil"/>
              <w:bottom w:val="dotted" w:sz="4" w:space="0" w:color="auto"/>
              <w:right w:val="dotted" w:sz="4" w:space="0" w:color="auto"/>
            </w:tcBorders>
            <w:shd w:val="clear" w:color="000000" w:fill="FFFFFF"/>
            <w:vAlign w:val="center"/>
            <w:hideMark/>
          </w:tcPr>
          <w:p w14:paraId="5D535B57" w14:textId="77777777" w:rsidR="00247CBF" w:rsidRPr="00092ED7" w:rsidRDefault="00247CBF" w:rsidP="00247CBF">
            <w:pPr>
              <w:spacing w:after="0"/>
              <w:jc w:val="right"/>
              <w:rPr>
                <w:sz w:val="20"/>
                <w:szCs w:val="20"/>
                <w:lang w:val="sr-Cyrl-CS"/>
              </w:rPr>
            </w:pPr>
            <w:r w:rsidRPr="00092ED7">
              <w:rPr>
                <w:sz w:val="20"/>
                <w:szCs w:val="20"/>
                <w:lang w:val="sr-Cyrl-CS"/>
              </w:rPr>
              <w:t>45,2</w:t>
            </w:r>
          </w:p>
        </w:tc>
        <w:tc>
          <w:tcPr>
            <w:tcW w:w="563" w:type="pct"/>
            <w:gridSpan w:val="2"/>
            <w:tcBorders>
              <w:top w:val="nil"/>
              <w:left w:val="nil"/>
              <w:bottom w:val="dotted" w:sz="4" w:space="0" w:color="auto"/>
              <w:right w:val="dotted" w:sz="4" w:space="0" w:color="auto"/>
            </w:tcBorders>
            <w:shd w:val="clear" w:color="000000" w:fill="FFFFFF"/>
            <w:vAlign w:val="center"/>
            <w:hideMark/>
          </w:tcPr>
          <w:p w14:paraId="61E3FE48" w14:textId="77777777" w:rsidR="00247CBF" w:rsidRPr="00092ED7" w:rsidRDefault="00247CBF" w:rsidP="00247CBF">
            <w:pPr>
              <w:spacing w:after="0"/>
              <w:jc w:val="right"/>
              <w:rPr>
                <w:sz w:val="20"/>
                <w:szCs w:val="20"/>
                <w:lang w:val="sr-Cyrl-CS"/>
              </w:rPr>
            </w:pPr>
            <w:r w:rsidRPr="00092ED7">
              <w:rPr>
                <w:sz w:val="20"/>
                <w:szCs w:val="20"/>
                <w:lang w:val="sr-Cyrl-CS"/>
              </w:rPr>
              <w:t>43,2</w:t>
            </w:r>
          </w:p>
        </w:tc>
        <w:tc>
          <w:tcPr>
            <w:tcW w:w="564" w:type="pct"/>
            <w:gridSpan w:val="2"/>
            <w:tcBorders>
              <w:top w:val="nil"/>
              <w:left w:val="nil"/>
              <w:bottom w:val="dotted" w:sz="4" w:space="0" w:color="auto"/>
              <w:right w:val="double" w:sz="6" w:space="0" w:color="auto"/>
            </w:tcBorders>
            <w:shd w:val="clear" w:color="000000" w:fill="FFFFFF"/>
            <w:vAlign w:val="center"/>
            <w:hideMark/>
          </w:tcPr>
          <w:p w14:paraId="029EFCA8" w14:textId="77777777" w:rsidR="00247CBF" w:rsidRPr="00092ED7" w:rsidRDefault="00247CBF" w:rsidP="00247CBF">
            <w:pPr>
              <w:spacing w:after="0"/>
              <w:jc w:val="right"/>
              <w:rPr>
                <w:sz w:val="20"/>
                <w:szCs w:val="20"/>
                <w:lang w:val="sr-Cyrl-CS"/>
              </w:rPr>
            </w:pPr>
            <w:r w:rsidRPr="00092ED7">
              <w:rPr>
                <w:sz w:val="20"/>
                <w:szCs w:val="20"/>
                <w:lang w:val="sr-Cyrl-CS"/>
              </w:rPr>
              <w:t>40,5</w:t>
            </w:r>
          </w:p>
        </w:tc>
      </w:tr>
      <w:tr w:rsidR="00247CBF" w:rsidRPr="00092ED7" w14:paraId="0DD099BF" w14:textId="77777777" w:rsidTr="00247CBF">
        <w:trPr>
          <w:gridBefore w:val="1"/>
          <w:wBefore w:w="8" w:type="pct"/>
          <w:trHeight w:val="319"/>
        </w:trPr>
        <w:tc>
          <w:tcPr>
            <w:tcW w:w="1594" w:type="pct"/>
            <w:gridSpan w:val="2"/>
            <w:tcBorders>
              <w:top w:val="nil"/>
              <w:left w:val="double" w:sz="6" w:space="0" w:color="auto"/>
              <w:bottom w:val="double" w:sz="6" w:space="0" w:color="auto"/>
              <w:right w:val="dotted" w:sz="4" w:space="0" w:color="auto"/>
            </w:tcBorders>
            <w:shd w:val="clear" w:color="000000" w:fill="FFFFFF"/>
            <w:vAlign w:val="center"/>
            <w:hideMark/>
          </w:tcPr>
          <w:p w14:paraId="0A1987DF" w14:textId="77777777" w:rsidR="00247CBF" w:rsidRPr="00092ED7" w:rsidRDefault="00247CBF" w:rsidP="00247CBF">
            <w:pPr>
              <w:spacing w:after="0"/>
              <w:ind w:firstLineChars="100" w:firstLine="200"/>
              <w:jc w:val="left"/>
              <w:rPr>
                <w:sz w:val="20"/>
                <w:szCs w:val="20"/>
                <w:lang w:val="sr-Cyrl-CS"/>
              </w:rPr>
            </w:pPr>
            <w:r w:rsidRPr="00092ED7">
              <w:rPr>
                <w:sz w:val="20"/>
                <w:szCs w:val="20"/>
                <w:lang w:val="sr-Cyrl-CS"/>
              </w:rPr>
              <w:t>8. Дуг општег нивоа државе</w:t>
            </w:r>
          </w:p>
        </w:tc>
        <w:tc>
          <w:tcPr>
            <w:tcW w:w="582" w:type="pct"/>
            <w:tcBorders>
              <w:top w:val="nil"/>
              <w:left w:val="nil"/>
              <w:bottom w:val="double" w:sz="6" w:space="0" w:color="auto"/>
              <w:right w:val="single" w:sz="8" w:space="0" w:color="auto"/>
            </w:tcBorders>
            <w:shd w:val="clear" w:color="000000" w:fill="FFFFFF"/>
            <w:vAlign w:val="center"/>
            <w:hideMark/>
          </w:tcPr>
          <w:p w14:paraId="107E1F13"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 БДП</w:t>
            </w:r>
          </w:p>
        </w:tc>
        <w:tc>
          <w:tcPr>
            <w:tcW w:w="563" w:type="pct"/>
            <w:gridSpan w:val="3"/>
            <w:tcBorders>
              <w:top w:val="nil"/>
              <w:left w:val="nil"/>
              <w:bottom w:val="double" w:sz="6" w:space="0" w:color="auto"/>
              <w:right w:val="dotted" w:sz="4" w:space="0" w:color="auto"/>
            </w:tcBorders>
            <w:shd w:val="clear" w:color="000000" w:fill="FFFFFF"/>
            <w:vAlign w:val="center"/>
            <w:hideMark/>
          </w:tcPr>
          <w:p w14:paraId="517AE40F" w14:textId="77777777" w:rsidR="00247CBF" w:rsidRPr="00092ED7" w:rsidRDefault="00247CBF" w:rsidP="00247CBF">
            <w:pPr>
              <w:spacing w:after="0"/>
              <w:jc w:val="right"/>
              <w:rPr>
                <w:sz w:val="20"/>
                <w:szCs w:val="20"/>
                <w:lang w:val="sr-Cyrl-CS"/>
              </w:rPr>
            </w:pPr>
            <w:r w:rsidRPr="00092ED7">
              <w:rPr>
                <w:sz w:val="20"/>
                <w:szCs w:val="20"/>
                <w:lang w:val="sr-Cyrl-CS"/>
              </w:rPr>
              <w:t>54,4</w:t>
            </w:r>
          </w:p>
        </w:tc>
        <w:tc>
          <w:tcPr>
            <w:tcW w:w="563" w:type="pct"/>
            <w:gridSpan w:val="2"/>
            <w:tcBorders>
              <w:top w:val="nil"/>
              <w:left w:val="nil"/>
              <w:bottom w:val="double" w:sz="6" w:space="0" w:color="auto"/>
              <w:right w:val="dotted" w:sz="4" w:space="0" w:color="auto"/>
            </w:tcBorders>
            <w:shd w:val="clear" w:color="000000" w:fill="FFFFFF"/>
            <w:vAlign w:val="center"/>
            <w:hideMark/>
          </w:tcPr>
          <w:p w14:paraId="728BEA37" w14:textId="77777777" w:rsidR="00247CBF" w:rsidRPr="00092ED7" w:rsidRDefault="00247CBF" w:rsidP="00247CBF">
            <w:pPr>
              <w:spacing w:after="0"/>
              <w:jc w:val="right"/>
              <w:rPr>
                <w:sz w:val="20"/>
                <w:szCs w:val="20"/>
                <w:lang w:val="sr-Cyrl-CS"/>
              </w:rPr>
            </w:pPr>
            <w:r w:rsidRPr="00092ED7">
              <w:rPr>
                <w:sz w:val="20"/>
                <w:szCs w:val="20"/>
                <w:lang w:val="sr-Cyrl-CS"/>
              </w:rPr>
              <w:t>52,8</w:t>
            </w:r>
          </w:p>
        </w:tc>
        <w:tc>
          <w:tcPr>
            <w:tcW w:w="563" w:type="pct"/>
            <w:gridSpan w:val="2"/>
            <w:tcBorders>
              <w:top w:val="nil"/>
              <w:left w:val="nil"/>
              <w:bottom w:val="double" w:sz="6" w:space="0" w:color="auto"/>
              <w:right w:val="dotted" w:sz="4" w:space="0" w:color="auto"/>
            </w:tcBorders>
            <w:shd w:val="clear" w:color="auto" w:fill="auto"/>
            <w:vAlign w:val="center"/>
            <w:hideMark/>
          </w:tcPr>
          <w:p w14:paraId="7CA526DB" w14:textId="77777777" w:rsidR="00247CBF" w:rsidRPr="00092ED7" w:rsidRDefault="00247CBF" w:rsidP="00247CBF">
            <w:pPr>
              <w:spacing w:after="0"/>
              <w:jc w:val="right"/>
              <w:rPr>
                <w:sz w:val="20"/>
                <w:szCs w:val="20"/>
                <w:lang w:val="sr-Cyrl-CS"/>
              </w:rPr>
            </w:pPr>
            <w:r w:rsidRPr="00092ED7">
              <w:rPr>
                <w:sz w:val="20"/>
                <w:szCs w:val="20"/>
                <w:lang w:val="sr-Cyrl-CS"/>
              </w:rPr>
              <w:t>57,8</w:t>
            </w:r>
          </w:p>
        </w:tc>
        <w:tc>
          <w:tcPr>
            <w:tcW w:w="563" w:type="pct"/>
            <w:gridSpan w:val="2"/>
            <w:tcBorders>
              <w:top w:val="nil"/>
              <w:left w:val="nil"/>
              <w:bottom w:val="double" w:sz="6" w:space="0" w:color="auto"/>
              <w:right w:val="dotted" w:sz="4" w:space="0" w:color="auto"/>
            </w:tcBorders>
            <w:shd w:val="clear" w:color="auto" w:fill="auto"/>
            <w:vAlign w:val="center"/>
            <w:hideMark/>
          </w:tcPr>
          <w:p w14:paraId="66D08888" w14:textId="77777777" w:rsidR="00247CBF" w:rsidRPr="00092ED7" w:rsidRDefault="00247CBF" w:rsidP="00247CBF">
            <w:pPr>
              <w:spacing w:after="0"/>
              <w:jc w:val="right"/>
              <w:rPr>
                <w:sz w:val="20"/>
                <w:szCs w:val="20"/>
                <w:lang w:val="sr-Cyrl-CS"/>
              </w:rPr>
            </w:pPr>
            <w:r w:rsidRPr="00092ED7">
              <w:rPr>
                <w:sz w:val="20"/>
                <w:szCs w:val="20"/>
                <w:lang w:val="sr-Cyrl-CS"/>
              </w:rPr>
              <w:t>57,1</w:t>
            </w:r>
          </w:p>
        </w:tc>
        <w:tc>
          <w:tcPr>
            <w:tcW w:w="564" w:type="pct"/>
            <w:gridSpan w:val="2"/>
            <w:tcBorders>
              <w:top w:val="nil"/>
              <w:left w:val="nil"/>
              <w:bottom w:val="double" w:sz="6" w:space="0" w:color="auto"/>
              <w:right w:val="double" w:sz="6" w:space="0" w:color="auto"/>
            </w:tcBorders>
            <w:shd w:val="clear" w:color="auto" w:fill="auto"/>
            <w:vAlign w:val="center"/>
            <w:hideMark/>
          </w:tcPr>
          <w:p w14:paraId="6912B5AD" w14:textId="77777777" w:rsidR="00247CBF" w:rsidRPr="00092ED7" w:rsidRDefault="00247CBF" w:rsidP="00247CBF">
            <w:pPr>
              <w:spacing w:after="0"/>
              <w:jc w:val="right"/>
              <w:rPr>
                <w:sz w:val="20"/>
                <w:szCs w:val="20"/>
                <w:lang w:val="sr-Cyrl-CS"/>
              </w:rPr>
            </w:pPr>
            <w:r w:rsidRPr="00092ED7">
              <w:rPr>
                <w:sz w:val="20"/>
                <w:szCs w:val="20"/>
                <w:lang w:val="sr-Cyrl-CS"/>
              </w:rPr>
              <w:t>56,9</w:t>
            </w:r>
          </w:p>
        </w:tc>
      </w:tr>
      <w:tr w:rsidR="00247CBF" w:rsidRPr="00092ED7" w14:paraId="1F55B5B7" w14:textId="77777777" w:rsidTr="00247CBF">
        <w:trPr>
          <w:gridAfter w:val="13"/>
          <w:wAfter w:w="3419" w:type="pct"/>
          <w:trHeight w:val="319"/>
        </w:trPr>
        <w:tc>
          <w:tcPr>
            <w:tcW w:w="1581" w:type="pct"/>
            <w:gridSpan w:val="2"/>
            <w:tcBorders>
              <w:top w:val="nil"/>
              <w:left w:val="nil"/>
              <w:bottom w:val="nil"/>
              <w:right w:val="nil"/>
            </w:tcBorders>
            <w:shd w:val="clear" w:color="000000" w:fill="FFFFFF"/>
            <w:noWrap/>
            <w:vAlign w:val="center"/>
            <w:hideMark/>
          </w:tcPr>
          <w:p w14:paraId="16A6FD72" w14:textId="77777777" w:rsidR="00247CBF" w:rsidRPr="00092ED7" w:rsidRDefault="00247CBF" w:rsidP="00247CBF">
            <w:pPr>
              <w:spacing w:after="0"/>
              <w:jc w:val="left"/>
              <w:rPr>
                <w:sz w:val="16"/>
                <w:szCs w:val="16"/>
                <w:lang w:val="sr-Cyrl-CS"/>
              </w:rPr>
            </w:pPr>
            <w:r w:rsidRPr="00092ED7">
              <w:rPr>
                <w:sz w:val="16"/>
                <w:szCs w:val="16"/>
                <w:lang w:val="sr-Cyrl-CS"/>
              </w:rPr>
              <w:t>[1] јануар-октобар 2022.</w:t>
            </w:r>
          </w:p>
        </w:tc>
      </w:tr>
      <w:tr w:rsidR="00247CBF" w:rsidRPr="00092ED7" w14:paraId="5995A550" w14:textId="77777777" w:rsidTr="00247CBF">
        <w:trPr>
          <w:gridAfter w:val="13"/>
          <w:wAfter w:w="3419" w:type="pct"/>
          <w:trHeight w:val="300"/>
        </w:trPr>
        <w:tc>
          <w:tcPr>
            <w:tcW w:w="1581" w:type="pct"/>
            <w:gridSpan w:val="2"/>
            <w:tcBorders>
              <w:top w:val="nil"/>
              <w:left w:val="nil"/>
              <w:bottom w:val="nil"/>
              <w:right w:val="nil"/>
            </w:tcBorders>
            <w:shd w:val="clear" w:color="000000" w:fill="FFFFFF"/>
            <w:noWrap/>
            <w:vAlign w:val="center"/>
            <w:hideMark/>
          </w:tcPr>
          <w:p w14:paraId="3628E2E8" w14:textId="77777777" w:rsidR="00247CBF" w:rsidRPr="00092ED7" w:rsidRDefault="00247CBF" w:rsidP="00247CBF">
            <w:pPr>
              <w:spacing w:after="0"/>
              <w:jc w:val="left"/>
              <w:rPr>
                <w:sz w:val="16"/>
                <w:szCs w:val="16"/>
                <w:lang w:val="sr-Cyrl-CS"/>
              </w:rPr>
            </w:pPr>
            <w:r w:rsidRPr="00092ED7">
              <w:rPr>
                <w:sz w:val="16"/>
                <w:szCs w:val="16"/>
                <w:lang w:val="sr-Cyrl-CS"/>
              </w:rPr>
              <w:t>[2] крај јуна 2022.</w:t>
            </w:r>
          </w:p>
        </w:tc>
      </w:tr>
      <w:tr w:rsidR="00247CBF" w:rsidRPr="00092ED7" w14:paraId="10682DA9" w14:textId="77777777" w:rsidTr="00247CBF">
        <w:trPr>
          <w:gridAfter w:val="13"/>
          <w:wAfter w:w="3419" w:type="pct"/>
          <w:trHeight w:val="255"/>
        </w:trPr>
        <w:tc>
          <w:tcPr>
            <w:tcW w:w="1581" w:type="pct"/>
            <w:gridSpan w:val="2"/>
            <w:tcBorders>
              <w:top w:val="nil"/>
              <w:left w:val="nil"/>
              <w:bottom w:val="nil"/>
              <w:right w:val="nil"/>
            </w:tcBorders>
            <w:shd w:val="clear" w:color="000000" w:fill="FFFFFF"/>
            <w:noWrap/>
            <w:vAlign w:val="center"/>
            <w:hideMark/>
          </w:tcPr>
          <w:p w14:paraId="5CF3CF65" w14:textId="77777777" w:rsidR="00247CBF" w:rsidRPr="00092ED7" w:rsidRDefault="00247CBF" w:rsidP="00247CBF">
            <w:pPr>
              <w:spacing w:after="0"/>
              <w:jc w:val="left"/>
              <w:rPr>
                <w:sz w:val="16"/>
                <w:szCs w:val="16"/>
                <w:lang w:val="sr-Cyrl-CS"/>
              </w:rPr>
            </w:pPr>
            <w:r w:rsidRPr="00092ED7">
              <w:rPr>
                <w:sz w:val="16"/>
                <w:szCs w:val="16"/>
                <w:lang w:val="sr-Cyrl-CS"/>
              </w:rPr>
              <w:t>[3] крај октобра 2022.</w:t>
            </w:r>
          </w:p>
        </w:tc>
      </w:tr>
    </w:tbl>
    <w:p w14:paraId="07AC6951" w14:textId="77777777" w:rsidR="00247CBF" w:rsidRPr="00092ED7" w:rsidRDefault="00247CBF" w:rsidP="00247CBF">
      <w:pPr>
        <w:rPr>
          <w:rFonts w:cs="Times New Roman"/>
          <w:lang w:val="sr-Cyrl-CS"/>
        </w:rPr>
      </w:pPr>
    </w:p>
    <w:p w14:paraId="7C50EF63" w14:textId="77777777" w:rsidR="00247CBF" w:rsidRPr="00092ED7" w:rsidRDefault="00247CBF" w:rsidP="00247CBF">
      <w:pPr>
        <w:spacing w:after="160" w:line="259" w:lineRule="auto"/>
        <w:rPr>
          <w:rFonts w:eastAsia="MS PGothic" w:cs="Times New Roman"/>
          <w:b/>
          <w:sz w:val="20"/>
          <w:szCs w:val="20"/>
          <w:lang w:val="sr-Cyrl-CS"/>
        </w:rPr>
      </w:pPr>
      <w:bookmarkStart w:id="83" w:name="_Toc30499329"/>
      <w:bookmarkStart w:id="84" w:name="_Toc30754785"/>
      <w:r w:rsidRPr="00092ED7">
        <w:rPr>
          <w:rFonts w:cs="Times New Roman"/>
          <w:b/>
          <w:sz w:val="20"/>
          <w:szCs w:val="20"/>
          <w:lang w:val="sr-Cyrl-CS"/>
        </w:rPr>
        <w:br w:type="page"/>
      </w:r>
    </w:p>
    <w:p w14:paraId="47FC9430" w14:textId="77777777" w:rsidR="004B0AC2" w:rsidRPr="00092ED7" w:rsidRDefault="004B0AC2" w:rsidP="00603975">
      <w:pPr>
        <w:pStyle w:val="Heading3"/>
        <w:spacing w:before="0" w:after="120"/>
        <w:rPr>
          <w:rFonts w:ascii="Times New Roman" w:hAnsi="Times New Roman" w:cs="Times New Roman"/>
          <w:lang w:val="sr-Cyrl-CS"/>
        </w:rPr>
      </w:pPr>
      <w:bookmarkStart w:id="85" w:name="_Toc124174828"/>
      <w:bookmarkEnd w:id="83"/>
      <w:bookmarkEnd w:id="84"/>
      <w:r w:rsidRPr="00092ED7">
        <w:rPr>
          <w:rFonts w:ascii="Times New Roman" w:hAnsi="Times New Roman" w:cs="Times New Roman"/>
          <w:b/>
          <w:bCs/>
          <w:sz w:val="20"/>
          <w:szCs w:val="20"/>
          <w:lang w:val="sr-Cyrl-CS"/>
        </w:rPr>
        <w:lastRenderedPageBreak/>
        <w:t>Табела 2a + 2b:  Буџетски изгледи општег нивоа државе</w:t>
      </w:r>
      <w:bookmarkEnd w:id="85"/>
    </w:p>
    <w:tbl>
      <w:tblPr>
        <w:tblW w:w="14501" w:type="dxa"/>
        <w:tblLayout w:type="fixed"/>
        <w:tblLook w:val="04A0" w:firstRow="1" w:lastRow="0" w:firstColumn="1" w:lastColumn="0" w:noHBand="0" w:noVBand="1"/>
      </w:tblPr>
      <w:tblGrid>
        <w:gridCol w:w="6640"/>
        <w:gridCol w:w="1417"/>
        <w:gridCol w:w="1074"/>
        <w:gridCol w:w="1074"/>
        <w:gridCol w:w="670"/>
        <w:gridCol w:w="404"/>
        <w:gridCol w:w="321"/>
        <w:gridCol w:w="753"/>
        <w:gridCol w:w="1074"/>
        <w:gridCol w:w="1074"/>
      </w:tblGrid>
      <w:tr w:rsidR="004B0AC2" w:rsidRPr="00092ED7" w14:paraId="70FCB75A" w14:textId="77777777" w:rsidTr="00FB09AE">
        <w:trPr>
          <w:trHeight w:val="285"/>
        </w:trPr>
        <w:tc>
          <w:tcPr>
            <w:tcW w:w="6640" w:type="dxa"/>
            <w:tcBorders>
              <w:top w:val="double" w:sz="6" w:space="0" w:color="auto"/>
              <w:left w:val="double" w:sz="6" w:space="0" w:color="auto"/>
              <w:bottom w:val="double" w:sz="6" w:space="0" w:color="auto"/>
              <w:right w:val="nil"/>
            </w:tcBorders>
            <w:shd w:val="clear" w:color="auto" w:fill="auto"/>
            <w:noWrap/>
            <w:vAlign w:val="center"/>
            <w:hideMark/>
          </w:tcPr>
          <w:p w14:paraId="3FCDCC94" w14:textId="77777777" w:rsidR="004B0AC2" w:rsidRPr="00092ED7" w:rsidRDefault="004B0AC2" w:rsidP="00FB09AE">
            <w:pPr>
              <w:spacing w:after="0"/>
              <w:jc w:val="left"/>
              <w:rPr>
                <w:b/>
                <w:bCs/>
                <w:sz w:val="20"/>
                <w:szCs w:val="20"/>
                <w:lang w:val="sr-Cyrl-CS"/>
              </w:rPr>
            </w:pPr>
          </w:p>
        </w:tc>
        <w:tc>
          <w:tcPr>
            <w:tcW w:w="1417" w:type="dxa"/>
            <w:tcBorders>
              <w:top w:val="double" w:sz="6" w:space="0" w:color="auto"/>
              <w:left w:val="single" w:sz="8" w:space="0" w:color="auto"/>
              <w:bottom w:val="double" w:sz="6" w:space="0" w:color="auto"/>
              <w:right w:val="single" w:sz="8" w:space="0" w:color="auto"/>
            </w:tcBorders>
            <w:shd w:val="clear" w:color="auto" w:fill="auto"/>
            <w:noWrap/>
            <w:vAlign w:val="center"/>
            <w:hideMark/>
          </w:tcPr>
          <w:p w14:paraId="552E2D1F" w14:textId="77777777" w:rsidR="004B0AC2" w:rsidRPr="00092ED7" w:rsidRDefault="004B0AC2" w:rsidP="00FB09AE">
            <w:pPr>
              <w:spacing w:after="0"/>
              <w:jc w:val="center"/>
              <w:rPr>
                <w:b/>
                <w:bCs/>
                <w:sz w:val="20"/>
                <w:szCs w:val="20"/>
                <w:lang w:val="sr-Cyrl-CS"/>
              </w:rPr>
            </w:pPr>
            <w:r w:rsidRPr="00092ED7">
              <w:rPr>
                <w:b/>
                <w:bCs/>
                <w:sz w:val="20"/>
                <w:szCs w:val="20"/>
                <w:lang w:val="sr-Cyrl-CS"/>
              </w:rPr>
              <w:t>млрд РСД</w:t>
            </w:r>
          </w:p>
        </w:tc>
        <w:tc>
          <w:tcPr>
            <w:tcW w:w="1074" w:type="dxa"/>
            <w:tcBorders>
              <w:top w:val="double" w:sz="6" w:space="0" w:color="auto"/>
              <w:left w:val="nil"/>
              <w:bottom w:val="double" w:sz="6" w:space="0" w:color="auto"/>
              <w:right w:val="dashed" w:sz="4" w:space="0" w:color="auto"/>
            </w:tcBorders>
            <w:shd w:val="clear" w:color="auto" w:fill="auto"/>
            <w:noWrap/>
            <w:vAlign w:val="center"/>
            <w:hideMark/>
          </w:tcPr>
          <w:p w14:paraId="6785D28E" w14:textId="77777777" w:rsidR="004B0AC2" w:rsidRPr="00092ED7" w:rsidRDefault="004B0AC2" w:rsidP="00FB09AE">
            <w:pPr>
              <w:spacing w:after="0"/>
              <w:jc w:val="right"/>
              <w:rPr>
                <w:b/>
                <w:bCs/>
                <w:sz w:val="20"/>
                <w:szCs w:val="20"/>
                <w:lang w:val="sr-Cyrl-CS"/>
              </w:rPr>
            </w:pPr>
            <w:r w:rsidRPr="00092ED7">
              <w:rPr>
                <w:b/>
                <w:bCs/>
                <w:sz w:val="20"/>
                <w:szCs w:val="20"/>
                <w:lang w:val="sr-Cyrl-CS"/>
              </w:rPr>
              <w:t>2020</w:t>
            </w:r>
          </w:p>
        </w:tc>
        <w:tc>
          <w:tcPr>
            <w:tcW w:w="1074" w:type="dxa"/>
            <w:tcBorders>
              <w:top w:val="double" w:sz="6" w:space="0" w:color="auto"/>
              <w:left w:val="nil"/>
              <w:bottom w:val="double" w:sz="6" w:space="0" w:color="auto"/>
              <w:right w:val="dashed" w:sz="4" w:space="0" w:color="auto"/>
            </w:tcBorders>
            <w:shd w:val="clear" w:color="auto" w:fill="auto"/>
            <w:noWrap/>
            <w:vAlign w:val="center"/>
            <w:hideMark/>
          </w:tcPr>
          <w:p w14:paraId="13EB78B1" w14:textId="77777777" w:rsidR="004B0AC2" w:rsidRPr="00092ED7" w:rsidRDefault="004B0AC2" w:rsidP="00FB09AE">
            <w:pPr>
              <w:spacing w:after="0"/>
              <w:jc w:val="right"/>
              <w:rPr>
                <w:b/>
                <w:bCs/>
                <w:sz w:val="20"/>
                <w:szCs w:val="20"/>
                <w:lang w:val="sr-Cyrl-CS"/>
              </w:rPr>
            </w:pPr>
            <w:r w:rsidRPr="00092ED7">
              <w:rPr>
                <w:b/>
                <w:bCs/>
                <w:sz w:val="20"/>
                <w:szCs w:val="20"/>
                <w:lang w:val="sr-Cyrl-CS"/>
              </w:rPr>
              <w:t>2021</w:t>
            </w:r>
          </w:p>
        </w:tc>
        <w:tc>
          <w:tcPr>
            <w:tcW w:w="1074" w:type="dxa"/>
            <w:gridSpan w:val="2"/>
            <w:tcBorders>
              <w:top w:val="double" w:sz="6" w:space="0" w:color="auto"/>
              <w:left w:val="nil"/>
              <w:bottom w:val="double" w:sz="6" w:space="0" w:color="auto"/>
              <w:right w:val="dashed" w:sz="4" w:space="0" w:color="auto"/>
            </w:tcBorders>
            <w:shd w:val="clear" w:color="auto" w:fill="auto"/>
            <w:noWrap/>
            <w:vAlign w:val="center"/>
            <w:hideMark/>
          </w:tcPr>
          <w:p w14:paraId="4B81CF61" w14:textId="77777777" w:rsidR="004B0AC2" w:rsidRPr="00092ED7" w:rsidRDefault="004B0AC2" w:rsidP="00FB09AE">
            <w:pPr>
              <w:spacing w:after="0"/>
              <w:jc w:val="right"/>
              <w:rPr>
                <w:b/>
                <w:bCs/>
                <w:sz w:val="20"/>
                <w:szCs w:val="20"/>
                <w:lang w:val="sr-Cyrl-CS"/>
              </w:rPr>
            </w:pPr>
            <w:r w:rsidRPr="00092ED7">
              <w:rPr>
                <w:b/>
                <w:bCs/>
                <w:sz w:val="20"/>
                <w:szCs w:val="20"/>
                <w:lang w:val="sr-Cyrl-CS"/>
              </w:rPr>
              <w:t>2022</w:t>
            </w:r>
          </w:p>
        </w:tc>
        <w:tc>
          <w:tcPr>
            <w:tcW w:w="1074" w:type="dxa"/>
            <w:gridSpan w:val="2"/>
            <w:tcBorders>
              <w:top w:val="double" w:sz="6" w:space="0" w:color="auto"/>
              <w:left w:val="nil"/>
              <w:bottom w:val="double" w:sz="6" w:space="0" w:color="auto"/>
              <w:right w:val="dashed" w:sz="4" w:space="0" w:color="auto"/>
            </w:tcBorders>
            <w:shd w:val="clear" w:color="auto" w:fill="auto"/>
            <w:noWrap/>
            <w:vAlign w:val="center"/>
            <w:hideMark/>
          </w:tcPr>
          <w:p w14:paraId="4DFD951A" w14:textId="77777777" w:rsidR="004B0AC2" w:rsidRPr="00092ED7" w:rsidRDefault="004B0AC2" w:rsidP="00FB09AE">
            <w:pPr>
              <w:spacing w:after="0"/>
              <w:jc w:val="right"/>
              <w:rPr>
                <w:b/>
                <w:bCs/>
                <w:sz w:val="20"/>
                <w:szCs w:val="20"/>
                <w:lang w:val="sr-Cyrl-CS"/>
              </w:rPr>
            </w:pPr>
            <w:r w:rsidRPr="00092ED7">
              <w:rPr>
                <w:b/>
                <w:bCs/>
                <w:sz w:val="20"/>
                <w:szCs w:val="20"/>
                <w:lang w:val="sr-Cyrl-CS"/>
              </w:rPr>
              <w:t>2023</w:t>
            </w:r>
          </w:p>
        </w:tc>
        <w:tc>
          <w:tcPr>
            <w:tcW w:w="1074" w:type="dxa"/>
            <w:tcBorders>
              <w:top w:val="double" w:sz="6" w:space="0" w:color="auto"/>
              <w:left w:val="nil"/>
              <w:bottom w:val="double" w:sz="6" w:space="0" w:color="auto"/>
              <w:right w:val="dashed" w:sz="4" w:space="0" w:color="auto"/>
            </w:tcBorders>
            <w:shd w:val="clear" w:color="auto" w:fill="auto"/>
            <w:noWrap/>
            <w:vAlign w:val="center"/>
            <w:hideMark/>
          </w:tcPr>
          <w:p w14:paraId="144DF09F" w14:textId="77777777" w:rsidR="004B0AC2" w:rsidRPr="00092ED7" w:rsidRDefault="004B0AC2" w:rsidP="00FB09AE">
            <w:pPr>
              <w:spacing w:after="0"/>
              <w:jc w:val="right"/>
              <w:rPr>
                <w:b/>
                <w:bCs/>
                <w:sz w:val="20"/>
                <w:szCs w:val="20"/>
                <w:lang w:val="sr-Cyrl-CS"/>
              </w:rPr>
            </w:pPr>
            <w:r w:rsidRPr="00092ED7">
              <w:rPr>
                <w:b/>
                <w:bCs/>
                <w:sz w:val="20"/>
                <w:szCs w:val="20"/>
                <w:lang w:val="sr-Cyrl-CS"/>
              </w:rPr>
              <w:t>2024</w:t>
            </w:r>
          </w:p>
        </w:tc>
        <w:tc>
          <w:tcPr>
            <w:tcW w:w="1074" w:type="dxa"/>
            <w:tcBorders>
              <w:top w:val="double" w:sz="6" w:space="0" w:color="auto"/>
              <w:left w:val="nil"/>
              <w:bottom w:val="double" w:sz="6" w:space="0" w:color="auto"/>
              <w:right w:val="double" w:sz="6" w:space="0" w:color="auto"/>
            </w:tcBorders>
            <w:shd w:val="clear" w:color="auto" w:fill="auto"/>
            <w:noWrap/>
            <w:vAlign w:val="center"/>
            <w:hideMark/>
          </w:tcPr>
          <w:p w14:paraId="0D14C600" w14:textId="77777777" w:rsidR="004B0AC2" w:rsidRPr="00092ED7" w:rsidRDefault="004B0AC2" w:rsidP="00FB09AE">
            <w:pPr>
              <w:spacing w:after="0"/>
              <w:jc w:val="right"/>
              <w:rPr>
                <w:b/>
                <w:bCs/>
                <w:sz w:val="20"/>
                <w:szCs w:val="20"/>
                <w:lang w:val="sr-Cyrl-CS"/>
              </w:rPr>
            </w:pPr>
            <w:r w:rsidRPr="00092ED7">
              <w:rPr>
                <w:b/>
                <w:bCs/>
                <w:sz w:val="20"/>
                <w:szCs w:val="20"/>
                <w:lang w:val="sr-Cyrl-CS"/>
              </w:rPr>
              <w:t>2025</w:t>
            </w:r>
          </w:p>
        </w:tc>
      </w:tr>
      <w:tr w:rsidR="004B0AC2" w:rsidRPr="00092ED7" w14:paraId="128D096F" w14:textId="77777777" w:rsidTr="00FB09AE">
        <w:trPr>
          <w:trHeight w:val="270"/>
        </w:trPr>
        <w:tc>
          <w:tcPr>
            <w:tcW w:w="6640" w:type="dxa"/>
            <w:tcBorders>
              <w:top w:val="nil"/>
              <w:left w:val="double" w:sz="6" w:space="0" w:color="auto"/>
              <w:bottom w:val="single" w:sz="4" w:space="0" w:color="auto"/>
              <w:right w:val="nil"/>
            </w:tcBorders>
            <w:shd w:val="clear" w:color="auto" w:fill="auto"/>
            <w:vAlign w:val="center"/>
            <w:hideMark/>
          </w:tcPr>
          <w:p w14:paraId="2A12F13B" w14:textId="77777777" w:rsidR="004B0AC2" w:rsidRPr="00092ED7" w:rsidRDefault="004B0AC2" w:rsidP="00FB09AE">
            <w:pPr>
              <w:spacing w:after="0"/>
              <w:jc w:val="left"/>
              <w:rPr>
                <w:rFonts w:eastAsia="Times New Roman" w:cs="Times New Roman"/>
                <w:b/>
                <w:bCs/>
                <w:sz w:val="20"/>
                <w:szCs w:val="20"/>
                <w:lang w:val="sr-Cyrl-CS"/>
              </w:rPr>
            </w:pPr>
            <w:r w:rsidRPr="00092ED7">
              <w:rPr>
                <w:rFonts w:eastAsia="Times New Roman" w:cs="Times New Roman"/>
                <w:b/>
                <w:bCs/>
                <w:sz w:val="20"/>
                <w:szCs w:val="20"/>
                <w:lang w:val="sr-Cyrl-CS"/>
              </w:rPr>
              <w:t>Резултат (B9) по секторима државе</w:t>
            </w:r>
          </w:p>
        </w:tc>
        <w:tc>
          <w:tcPr>
            <w:tcW w:w="1417" w:type="dxa"/>
            <w:tcBorders>
              <w:top w:val="nil"/>
              <w:left w:val="single" w:sz="8" w:space="0" w:color="auto"/>
              <w:bottom w:val="single" w:sz="4" w:space="0" w:color="auto"/>
              <w:right w:val="single" w:sz="8" w:space="0" w:color="auto"/>
            </w:tcBorders>
            <w:shd w:val="clear" w:color="auto" w:fill="auto"/>
            <w:vAlign w:val="center"/>
            <w:hideMark/>
          </w:tcPr>
          <w:p w14:paraId="33BD2FE3" w14:textId="77777777" w:rsidR="004B0AC2" w:rsidRPr="00092ED7" w:rsidRDefault="004B0AC2" w:rsidP="00FB09AE">
            <w:pPr>
              <w:spacing w:after="0"/>
              <w:jc w:val="center"/>
              <w:rPr>
                <w:rFonts w:eastAsia="Times New Roman" w:cs="Times New Roman"/>
                <w:b/>
                <w:bCs/>
                <w:sz w:val="20"/>
                <w:szCs w:val="20"/>
                <w:lang w:val="sr-Cyrl-CS"/>
              </w:rPr>
            </w:pPr>
          </w:p>
        </w:tc>
        <w:tc>
          <w:tcPr>
            <w:tcW w:w="1074" w:type="dxa"/>
            <w:tcBorders>
              <w:top w:val="nil"/>
              <w:left w:val="nil"/>
              <w:bottom w:val="single" w:sz="4" w:space="0" w:color="auto"/>
              <w:right w:val="nil"/>
            </w:tcBorders>
            <w:shd w:val="clear" w:color="auto" w:fill="auto"/>
            <w:vAlign w:val="center"/>
            <w:hideMark/>
          </w:tcPr>
          <w:p w14:paraId="7BE2EDEE" w14:textId="77777777" w:rsidR="004B0AC2" w:rsidRPr="00092ED7" w:rsidRDefault="004B0AC2" w:rsidP="00FB09AE">
            <w:pPr>
              <w:spacing w:after="0"/>
              <w:jc w:val="right"/>
              <w:rPr>
                <w:rFonts w:eastAsia="Times New Roman" w:cs="Times New Roman"/>
                <w:b/>
                <w:bCs/>
                <w:sz w:val="20"/>
                <w:szCs w:val="20"/>
                <w:lang w:val="sr-Cyrl-CS"/>
              </w:rPr>
            </w:pPr>
            <w:r w:rsidRPr="00092ED7">
              <w:rPr>
                <w:rFonts w:eastAsia="Times New Roman" w:cs="Times New Roman"/>
                <w:b/>
                <w:bCs/>
                <w:sz w:val="20"/>
                <w:szCs w:val="20"/>
                <w:lang w:val="sr-Cyrl-CS"/>
              </w:rPr>
              <w:t> </w:t>
            </w:r>
          </w:p>
        </w:tc>
        <w:tc>
          <w:tcPr>
            <w:tcW w:w="1074" w:type="dxa"/>
            <w:tcBorders>
              <w:top w:val="nil"/>
              <w:left w:val="nil"/>
              <w:bottom w:val="single" w:sz="4" w:space="0" w:color="auto"/>
              <w:right w:val="nil"/>
            </w:tcBorders>
            <w:shd w:val="clear" w:color="auto" w:fill="auto"/>
            <w:vAlign w:val="center"/>
            <w:hideMark/>
          </w:tcPr>
          <w:p w14:paraId="4BCEB4D4" w14:textId="77777777" w:rsidR="004B0AC2" w:rsidRPr="00092ED7" w:rsidRDefault="004B0AC2" w:rsidP="00FB09AE">
            <w:pPr>
              <w:spacing w:after="0"/>
              <w:jc w:val="right"/>
              <w:rPr>
                <w:rFonts w:eastAsia="Times New Roman" w:cs="Times New Roman"/>
                <w:b/>
                <w:bCs/>
                <w:sz w:val="20"/>
                <w:szCs w:val="20"/>
                <w:lang w:val="sr-Cyrl-CS"/>
              </w:rPr>
            </w:pPr>
            <w:r w:rsidRPr="00092ED7">
              <w:rPr>
                <w:rFonts w:eastAsia="Times New Roman" w:cs="Times New Roman"/>
                <w:b/>
                <w:bCs/>
                <w:sz w:val="20"/>
                <w:szCs w:val="20"/>
                <w:lang w:val="sr-Cyrl-CS"/>
              </w:rPr>
              <w:t> </w:t>
            </w:r>
          </w:p>
        </w:tc>
        <w:tc>
          <w:tcPr>
            <w:tcW w:w="1074" w:type="dxa"/>
            <w:gridSpan w:val="2"/>
            <w:tcBorders>
              <w:top w:val="nil"/>
              <w:left w:val="nil"/>
              <w:bottom w:val="single" w:sz="4" w:space="0" w:color="auto"/>
              <w:right w:val="nil"/>
            </w:tcBorders>
            <w:shd w:val="clear" w:color="auto" w:fill="auto"/>
            <w:vAlign w:val="center"/>
            <w:hideMark/>
          </w:tcPr>
          <w:p w14:paraId="53FBFC1C" w14:textId="77777777" w:rsidR="004B0AC2" w:rsidRPr="00092ED7" w:rsidRDefault="004B0AC2" w:rsidP="00FB09AE">
            <w:pPr>
              <w:spacing w:after="0"/>
              <w:jc w:val="right"/>
              <w:rPr>
                <w:rFonts w:eastAsia="Times New Roman" w:cs="Times New Roman"/>
                <w:b/>
                <w:bCs/>
                <w:sz w:val="20"/>
                <w:szCs w:val="20"/>
                <w:lang w:val="sr-Cyrl-CS"/>
              </w:rPr>
            </w:pPr>
            <w:r w:rsidRPr="00092ED7">
              <w:rPr>
                <w:rFonts w:eastAsia="Times New Roman" w:cs="Times New Roman"/>
                <w:b/>
                <w:bCs/>
                <w:sz w:val="20"/>
                <w:szCs w:val="20"/>
                <w:lang w:val="sr-Cyrl-CS"/>
              </w:rPr>
              <w:t> </w:t>
            </w:r>
          </w:p>
        </w:tc>
        <w:tc>
          <w:tcPr>
            <w:tcW w:w="1074" w:type="dxa"/>
            <w:gridSpan w:val="2"/>
            <w:tcBorders>
              <w:top w:val="nil"/>
              <w:left w:val="nil"/>
              <w:bottom w:val="single" w:sz="4" w:space="0" w:color="auto"/>
              <w:right w:val="nil"/>
            </w:tcBorders>
            <w:shd w:val="clear" w:color="auto" w:fill="auto"/>
            <w:vAlign w:val="center"/>
            <w:hideMark/>
          </w:tcPr>
          <w:p w14:paraId="0503A8E0" w14:textId="77777777" w:rsidR="004B0AC2" w:rsidRPr="00092ED7" w:rsidRDefault="004B0AC2" w:rsidP="00FB09AE">
            <w:pPr>
              <w:spacing w:after="0"/>
              <w:jc w:val="right"/>
              <w:rPr>
                <w:rFonts w:eastAsia="Times New Roman" w:cs="Times New Roman"/>
                <w:b/>
                <w:bCs/>
                <w:sz w:val="20"/>
                <w:szCs w:val="20"/>
                <w:lang w:val="sr-Cyrl-CS"/>
              </w:rPr>
            </w:pPr>
            <w:r w:rsidRPr="00092ED7">
              <w:rPr>
                <w:rFonts w:eastAsia="Times New Roman" w:cs="Times New Roman"/>
                <w:b/>
                <w:bCs/>
                <w:sz w:val="20"/>
                <w:szCs w:val="20"/>
                <w:lang w:val="sr-Cyrl-CS"/>
              </w:rPr>
              <w:t> </w:t>
            </w:r>
          </w:p>
        </w:tc>
        <w:tc>
          <w:tcPr>
            <w:tcW w:w="1074" w:type="dxa"/>
            <w:tcBorders>
              <w:top w:val="nil"/>
              <w:left w:val="nil"/>
              <w:bottom w:val="single" w:sz="4" w:space="0" w:color="auto"/>
              <w:right w:val="nil"/>
            </w:tcBorders>
            <w:shd w:val="clear" w:color="auto" w:fill="auto"/>
            <w:vAlign w:val="center"/>
            <w:hideMark/>
          </w:tcPr>
          <w:p w14:paraId="78723FA9" w14:textId="77777777" w:rsidR="004B0AC2" w:rsidRPr="00092ED7" w:rsidRDefault="004B0AC2" w:rsidP="00FB09AE">
            <w:pPr>
              <w:spacing w:after="0"/>
              <w:jc w:val="right"/>
              <w:rPr>
                <w:rFonts w:eastAsia="Times New Roman" w:cs="Times New Roman"/>
                <w:b/>
                <w:bCs/>
                <w:sz w:val="20"/>
                <w:szCs w:val="20"/>
                <w:lang w:val="sr-Cyrl-CS"/>
              </w:rPr>
            </w:pPr>
            <w:r w:rsidRPr="00092ED7">
              <w:rPr>
                <w:rFonts w:eastAsia="Times New Roman" w:cs="Times New Roman"/>
                <w:b/>
                <w:bCs/>
                <w:sz w:val="20"/>
                <w:szCs w:val="20"/>
                <w:lang w:val="sr-Cyrl-CS"/>
              </w:rPr>
              <w:t> </w:t>
            </w:r>
          </w:p>
        </w:tc>
        <w:tc>
          <w:tcPr>
            <w:tcW w:w="1074" w:type="dxa"/>
            <w:tcBorders>
              <w:top w:val="nil"/>
              <w:left w:val="nil"/>
              <w:bottom w:val="single" w:sz="4" w:space="0" w:color="auto"/>
              <w:right w:val="double" w:sz="6" w:space="0" w:color="auto"/>
            </w:tcBorders>
            <w:shd w:val="clear" w:color="auto" w:fill="auto"/>
            <w:vAlign w:val="center"/>
            <w:hideMark/>
          </w:tcPr>
          <w:p w14:paraId="52012FA1" w14:textId="77777777" w:rsidR="004B0AC2" w:rsidRPr="00092ED7" w:rsidRDefault="004B0AC2" w:rsidP="00FB09AE">
            <w:pPr>
              <w:spacing w:after="0"/>
              <w:jc w:val="right"/>
              <w:rPr>
                <w:rFonts w:eastAsia="Times New Roman" w:cs="Times New Roman"/>
                <w:b/>
                <w:bCs/>
                <w:sz w:val="20"/>
                <w:szCs w:val="20"/>
                <w:lang w:val="sr-Cyrl-CS"/>
              </w:rPr>
            </w:pPr>
            <w:r w:rsidRPr="00092ED7">
              <w:rPr>
                <w:rFonts w:eastAsia="Times New Roman" w:cs="Times New Roman"/>
                <w:b/>
                <w:bCs/>
                <w:sz w:val="20"/>
                <w:szCs w:val="20"/>
                <w:lang w:val="sr-Cyrl-CS"/>
              </w:rPr>
              <w:t> </w:t>
            </w:r>
          </w:p>
        </w:tc>
      </w:tr>
      <w:tr w:rsidR="004B0AC2" w:rsidRPr="00092ED7" w14:paraId="79DE2DF8" w14:textId="77777777" w:rsidTr="00FB09AE">
        <w:trPr>
          <w:trHeight w:val="255"/>
        </w:trPr>
        <w:tc>
          <w:tcPr>
            <w:tcW w:w="6640" w:type="dxa"/>
            <w:tcBorders>
              <w:top w:val="nil"/>
              <w:left w:val="double" w:sz="6" w:space="0" w:color="auto"/>
              <w:bottom w:val="dotted" w:sz="4" w:space="0" w:color="auto"/>
              <w:right w:val="nil"/>
            </w:tcBorders>
            <w:shd w:val="clear" w:color="auto" w:fill="auto"/>
            <w:vAlign w:val="center"/>
            <w:hideMark/>
          </w:tcPr>
          <w:p w14:paraId="47AFA7EA" w14:textId="77777777" w:rsidR="004B0AC2" w:rsidRPr="00092ED7" w:rsidRDefault="004B0AC2" w:rsidP="00FB09AE">
            <w:pPr>
              <w:spacing w:after="0"/>
              <w:jc w:val="left"/>
              <w:rPr>
                <w:rFonts w:eastAsia="Times New Roman" w:cs="Times New Roman"/>
                <w:sz w:val="20"/>
                <w:szCs w:val="20"/>
                <w:lang w:val="sr-Cyrl-CS"/>
              </w:rPr>
            </w:pPr>
            <w:r w:rsidRPr="00092ED7">
              <w:rPr>
                <w:rFonts w:eastAsia="Times New Roman" w:cs="Times New Roman"/>
                <w:sz w:val="20"/>
                <w:szCs w:val="20"/>
                <w:lang w:val="sr-Cyrl-CS"/>
              </w:rPr>
              <w:t>1. Општи ниво државе</w:t>
            </w:r>
          </w:p>
        </w:tc>
        <w:tc>
          <w:tcPr>
            <w:tcW w:w="1417" w:type="dxa"/>
            <w:tcBorders>
              <w:top w:val="nil"/>
              <w:left w:val="single" w:sz="8" w:space="0" w:color="auto"/>
              <w:bottom w:val="dotted" w:sz="4" w:space="0" w:color="auto"/>
              <w:right w:val="single" w:sz="8" w:space="0" w:color="auto"/>
            </w:tcBorders>
            <w:shd w:val="clear" w:color="auto" w:fill="auto"/>
            <w:vAlign w:val="center"/>
            <w:hideMark/>
          </w:tcPr>
          <w:p w14:paraId="38C98583" w14:textId="77777777" w:rsidR="004B0AC2" w:rsidRPr="00092ED7" w:rsidRDefault="004B0AC2" w:rsidP="00FB09AE">
            <w:pPr>
              <w:spacing w:after="0"/>
              <w:jc w:val="center"/>
              <w:rPr>
                <w:rFonts w:eastAsia="Times New Roman" w:cs="Times New Roman"/>
                <w:sz w:val="20"/>
                <w:szCs w:val="20"/>
                <w:lang w:val="sr-Cyrl-CS"/>
              </w:rPr>
            </w:pPr>
            <w:r w:rsidRPr="00092ED7">
              <w:rPr>
                <w:rFonts w:eastAsia="Times New Roman" w:cs="Times New Roman"/>
                <w:sz w:val="20"/>
                <w:szCs w:val="20"/>
                <w:lang w:val="sr-Cyrl-CS"/>
              </w:rPr>
              <w:t>S13</w:t>
            </w:r>
          </w:p>
        </w:tc>
        <w:tc>
          <w:tcPr>
            <w:tcW w:w="1074" w:type="dxa"/>
            <w:tcBorders>
              <w:top w:val="nil"/>
              <w:left w:val="nil"/>
              <w:bottom w:val="dotted" w:sz="4" w:space="0" w:color="auto"/>
              <w:right w:val="dotted" w:sz="4" w:space="0" w:color="auto"/>
            </w:tcBorders>
            <w:shd w:val="clear" w:color="auto" w:fill="auto"/>
            <w:vAlign w:val="center"/>
            <w:hideMark/>
          </w:tcPr>
          <w:p w14:paraId="2613D3B3" w14:textId="77777777" w:rsidR="004B0AC2" w:rsidRPr="00092ED7" w:rsidRDefault="004B0AC2" w:rsidP="00FB09AE">
            <w:pPr>
              <w:spacing w:after="0"/>
              <w:jc w:val="right"/>
              <w:rPr>
                <w:sz w:val="20"/>
                <w:szCs w:val="20"/>
                <w:lang w:val="sr-Cyrl-CS"/>
              </w:rPr>
            </w:pPr>
            <w:r w:rsidRPr="00092ED7">
              <w:rPr>
                <w:sz w:val="20"/>
                <w:szCs w:val="20"/>
                <w:lang w:val="sr-Cyrl-CS"/>
              </w:rPr>
              <w:t>-442,8</w:t>
            </w:r>
          </w:p>
        </w:tc>
        <w:tc>
          <w:tcPr>
            <w:tcW w:w="1074" w:type="dxa"/>
            <w:tcBorders>
              <w:top w:val="nil"/>
              <w:left w:val="nil"/>
              <w:bottom w:val="dotted" w:sz="4" w:space="0" w:color="auto"/>
              <w:right w:val="dotted" w:sz="4" w:space="0" w:color="auto"/>
            </w:tcBorders>
            <w:shd w:val="clear" w:color="auto" w:fill="auto"/>
            <w:vAlign w:val="center"/>
            <w:hideMark/>
          </w:tcPr>
          <w:p w14:paraId="61AD3D16" w14:textId="77777777" w:rsidR="004B0AC2" w:rsidRPr="00092ED7" w:rsidRDefault="004B0AC2" w:rsidP="00FB09AE">
            <w:pPr>
              <w:spacing w:after="0"/>
              <w:jc w:val="right"/>
              <w:rPr>
                <w:sz w:val="20"/>
                <w:szCs w:val="20"/>
                <w:lang w:val="sr-Cyrl-CS"/>
              </w:rPr>
            </w:pPr>
            <w:r w:rsidRPr="00092ED7">
              <w:rPr>
                <w:sz w:val="20"/>
                <w:szCs w:val="20"/>
                <w:lang w:val="sr-Cyrl-CS"/>
              </w:rPr>
              <w:t>-259,4</w:t>
            </w:r>
          </w:p>
        </w:tc>
        <w:tc>
          <w:tcPr>
            <w:tcW w:w="1074" w:type="dxa"/>
            <w:gridSpan w:val="2"/>
            <w:tcBorders>
              <w:top w:val="nil"/>
              <w:left w:val="nil"/>
              <w:bottom w:val="dotted" w:sz="4" w:space="0" w:color="auto"/>
              <w:right w:val="dotted" w:sz="4" w:space="0" w:color="auto"/>
            </w:tcBorders>
            <w:shd w:val="clear" w:color="auto" w:fill="auto"/>
            <w:vAlign w:val="center"/>
            <w:hideMark/>
          </w:tcPr>
          <w:p w14:paraId="4E0D64A3" w14:textId="77777777" w:rsidR="004B0AC2" w:rsidRPr="00092ED7" w:rsidRDefault="004B0AC2" w:rsidP="00FB09AE">
            <w:pPr>
              <w:spacing w:after="0"/>
              <w:jc w:val="right"/>
              <w:rPr>
                <w:sz w:val="20"/>
                <w:szCs w:val="20"/>
                <w:lang w:val="sr-Cyrl-CS"/>
              </w:rPr>
            </w:pPr>
            <w:r w:rsidRPr="00092ED7">
              <w:rPr>
                <w:sz w:val="20"/>
                <w:szCs w:val="20"/>
                <w:lang w:val="sr-Cyrl-CS"/>
              </w:rPr>
              <w:t>-271,5</w:t>
            </w:r>
          </w:p>
        </w:tc>
        <w:tc>
          <w:tcPr>
            <w:tcW w:w="1074" w:type="dxa"/>
            <w:gridSpan w:val="2"/>
            <w:tcBorders>
              <w:top w:val="nil"/>
              <w:left w:val="nil"/>
              <w:bottom w:val="dotted" w:sz="4" w:space="0" w:color="auto"/>
              <w:right w:val="dotted" w:sz="4" w:space="0" w:color="auto"/>
            </w:tcBorders>
            <w:shd w:val="clear" w:color="auto" w:fill="auto"/>
            <w:vAlign w:val="center"/>
            <w:hideMark/>
          </w:tcPr>
          <w:p w14:paraId="72DA8D6A" w14:textId="77777777" w:rsidR="004B0AC2" w:rsidRPr="00092ED7" w:rsidRDefault="004B0AC2" w:rsidP="00FB09AE">
            <w:pPr>
              <w:spacing w:after="0"/>
              <w:jc w:val="right"/>
              <w:rPr>
                <w:sz w:val="20"/>
                <w:szCs w:val="20"/>
                <w:lang w:val="sr-Cyrl-CS"/>
              </w:rPr>
            </w:pPr>
            <w:r w:rsidRPr="00092ED7">
              <w:rPr>
                <w:sz w:val="20"/>
                <w:szCs w:val="20"/>
                <w:lang w:val="sr-Cyrl-CS"/>
              </w:rPr>
              <w:t>-264,0</w:t>
            </w:r>
          </w:p>
        </w:tc>
        <w:tc>
          <w:tcPr>
            <w:tcW w:w="1074" w:type="dxa"/>
            <w:tcBorders>
              <w:top w:val="nil"/>
              <w:left w:val="nil"/>
              <w:bottom w:val="dotted" w:sz="4" w:space="0" w:color="auto"/>
              <w:right w:val="dotted" w:sz="4" w:space="0" w:color="auto"/>
            </w:tcBorders>
            <w:shd w:val="clear" w:color="auto" w:fill="auto"/>
            <w:vAlign w:val="center"/>
            <w:hideMark/>
          </w:tcPr>
          <w:p w14:paraId="4570114C" w14:textId="77777777" w:rsidR="004B0AC2" w:rsidRPr="00092ED7" w:rsidRDefault="004B0AC2" w:rsidP="00FB09AE">
            <w:pPr>
              <w:spacing w:after="0"/>
              <w:jc w:val="right"/>
              <w:rPr>
                <w:sz w:val="20"/>
                <w:szCs w:val="20"/>
                <w:lang w:val="sr-Cyrl-CS"/>
              </w:rPr>
            </w:pPr>
            <w:r w:rsidRPr="00092ED7">
              <w:rPr>
                <w:sz w:val="20"/>
                <w:szCs w:val="20"/>
                <w:lang w:val="sr-Cyrl-CS"/>
              </w:rPr>
              <w:t>-189,3</w:t>
            </w:r>
          </w:p>
        </w:tc>
        <w:tc>
          <w:tcPr>
            <w:tcW w:w="1074" w:type="dxa"/>
            <w:tcBorders>
              <w:top w:val="nil"/>
              <w:left w:val="nil"/>
              <w:bottom w:val="dotted" w:sz="4" w:space="0" w:color="auto"/>
              <w:right w:val="double" w:sz="6" w:space="0" w:color="auto"/>
            </w:tcBorders>
            <w:shd w:val="clear" w:color="auto" w:fill="auto"/>
            <w:vAlign w:val="center"/>
            <w:hideMark/>
          </w:tcPr>
          <w:p w14:paraId="775458C3" w14:textId="77777777" w:rsidR="004B0AC2" w:rsidRPr="00092ED7" w:rsidRDefault="004B0AC2" w:rsidP="00FB09AE">
            <w:pPr>
              <w:spacing w:after="0"/>
              <w:jc w:val="right"/>
              <w:rPr>
                <w:sz w:val="20"/>
                <w:szCs w:val="20"/>
                <w:lang w:val="sr-Cyrl-CS"/>
              </w:rPr>
            </w:pPr>
            <w:r w:rsidRPr="00092ED7">
              <w:rPr>
                <w:sz w:val="20"/>
                <w:szCs w:val="20"/>
                <w:lang w:val="sr-Cyrl-CS"/>
              </w:rPr>
              <w:t>-129,1</w:t>
            </w:r>
          </w:p>
        </w:tc>
      </w:tr>
      <w:tr w:rsidR="004B0AC2" w:rsidRPr="00092ED7" w14:paraId="1F4FF21E" w14:textId="77777777" w:rsidTr="00FB09AE">
        <w:trPr>
          <w:trHeight w:val="255"/>
        </w:trPr>
        <w:tc>
          <w:tcPr>
            <w:tcW w:w="6640" w:type="dxa"/>
            <w:tcBorders>
              <w:top w:val="nil"/>
              <w:left w:val="double" w:sz="6" w:space="0" w:color="auto"/>
              <w:bottom w:val="dotted" w:sz="4" w:space="0" w:color="auto"/>
              <w:right w:val="nil"/>
            </w:tcBorders>
            <w:shd w:val="clear" w:color="auto" w:fill="auto"/>
            <w:vAlign w:val="center"/>
            <w:hideMark/>
          </w:tcPr>
          <w:p w14:paraId="5B966A1E" w14:textId="77777777" w:rsidR="004B0AC2" w:rsidRPr="00092ED7" w:rsidRDefault="004B0AC2" w:rsidP="00FB09AE">
            <w:pPr>
              <w:spacing w:after="0"/>
              <w:jc w:val="left"/>
              <w:rPr>
                <w:rFonts w:eastAsia="Times New Roman" w:cs="Times New Roman"/>
                <w:sz w:val="20"/>
                <w:szCs w:val="20"/>
                <w:lang w:val="sr-Cyrl-CS"/>
              </w:rPr>
            </w:pPr>
            <w:r w:rsidRPr="00092ED7">
              <w:rPr>
                <w:rFonts w:eastAsia="Times New Roman" w:cs="Times New Roman"/>
                <w:sz w:val="20"/>
                <w:szCs w:val="20"/>
                <w:lang w:val="sr-Cyrl-CS"/>
              </w:rPr>
              <w:t>2. Централни ниво државе</w:t>
            </w:r>
          </w:p>
        </w:tc>
        <w:tc>
          <w:tcPr>
            <w:tcW w:w="1417" w:type="dxa"/>
            <w:tcBorders>
              <w:top w:val="nil"/>
              <w:left w:val="single" w:sz="8" w:space="0" w:color="auto"/>
              <w:bottom w:val="dotted" w:sz="4" w:space="0" w:color="auto"/>
              <w:right w:val="single" w:sz="8" w:space="0" w:color="auto"/>
            </w:tcBorders>
            <w:shd w:val="clear" w:color="auto" w:fill="auto"/>
            <w:vAlign w:val="center"/>
            <w:hideMark/>
          </w:tcPr>
          <w:p w14:paraId="3471F7D0" w14:textId="77777777" w:rsidR="004B0AC2" w:rsidRPr="00092ED7" w:rsidRDefault="004B0AC2" w:rsidP="00FB09AE">
            <w:pPr>
              <w:spacing w:after="0"/>
              <w:jc w:val="center"/>
              <w:rPr>
                <w:rFonts w:eastAsia="Times New Roman" w:cs="Times New Roman"/>
                <w:sz w:val="20"/>
                <w:szCs w:val="20"/>
                <w:lang w:val="sr-Cyrl-CS"/>
              </w:rPr>
            </w:pPr>
            <w:r w:rsidRPr="00092ED7">
              <w:rPr>
                <w:rFonts w:eastAsia="Times New Roman" w:cs="Times New Roman"/>
                <w:sz w:val="20"/>
                <w:szCs w:val="20"/>
                <w:lang w:val="sr-Cyrl-CS"/>
              </w:rPr>
              <w:t>S1311</w:t>
            </w:r>
          </w:p>
        </w:tc>
        <w:tc>
          <w:tcPr>
            <w:tcW w:w="1074" w:type="dxa"/>
            <w:tcBorders>
              <w:top w:val="nil"/>
              <w:left w:val="nil"/>
              <w:bottom w:val="dotted" w:sz="4" w:space="0" w:color="auto"/>
              <w:right w:val="dotted" w:sz="4" w:space="0" w:color="auto"/>
            </w:tcBorders>
            <w:shd w:val="clear" w:color="auto" w:fill="auto"/>
            <w:vAlign w:val="center"/>
            <w:hideMark/>
          </w:tcPr>
          <w:p w14:paraId="133CA428" w14:textId="77777777" w:rsidR="004B0AC2" w:rsidRPr="00092ED7" w:rsidRDefault="004B0AC2" w:rsidP="00FB09AE">
            <w:pPr>
              <w:spacing w:after="0"/>
              <w:jc w:val="right"/>
              <w:rPr>
                <w:sz w:val="20"/>
                <w:szCs w:val="20"/>
                <w:lang w:val="sr-Cyrl-CS"/>
              </w:rPr>
            </w:pPr>
            <w:r w:rsidRPr="00092ED7">
              <w:rPr>
                <w:sz w:val="20"/>
                <w:szCs w:val="20"/>
                <w:lang w:val="sr-Cyrl-CS"/>
              </w:rPr>
              <w:t>-458,4</w:t>
            </w:r>
          </w:p>
        </w:tc>
        <w:tc>
          <w:tcPr>
            <w:tcW w:w="1074" w:type="dxa"/>
            <w:tcBorders>
              <w:top w:val="nil"/>
              <w:left w:val="nil"/>
              <w:bottom w:val="dotted" w:sz="4" w:space="0" w:color="auto"/>
              <w:right w:val="dotted" w:sz="4" w:space="0" w:color="auto"/>
            </w:tcBorders>
            <w:shd w:val="clear" w:color="auto" w:fill="auto"/>
            <w:vAlign w:val="center"/>
            <w:hideMark/>
          </w:tcPr>
          <w:p w14:paraId="187251D9" w14:textId="77777777" w:rsidR="004B0AC2" w:rsidRPr="00092ED7" w:rsidRDefault="004B0AC2" w:rsidP="00FB09AE">
            <w:pPr>
              <w:spacing w:after="0"/>
              <w:jc w:val="right"/>
              <w:rPr>
                <w:sz w:val="20"/>
                <w:szCs w:val="20"/>
                <w:lang w:val="sr-Cyrl-CS"/>
              </w:rPr>
            </w:pPr>
            <w:r w:rsidRPr="00092ED7">
              <w:rPr>
                <w:sz w:val="20"/>
                <w:szCs w:val="20"/>
                <w:lang w:val="sr-Cyrl-CS"/>
              </w:rPr>
              <w:t>-285,2</w:t>
            </w:r>
          </w:p>
        </w:tc>
        <w:tc>
          <w:tcPr>
            <w:tcW w:w="1074" w:type="dxa"/>
            <w:gridSpan w:val="2"/>
            <w:tcBorders>
              <w:top w:val="nil"/>
              <w:left w:val="nil"/>
              <w:bottom w:val="dotted" w:sz="4" w:space="0" w:color="auto"/>
              <w:right w:val="dotted" w:sz="4" w:space="0" w:color="auto"/>
            </w:tcBorders>
            <w:shd w:val="clear" w:color="auto" w:fill="auto"/>
            <w:vAlign w:val="center"/>
            <w:hideMark/>
          </w:tcPr>
          <w:p w14:paraId="74BAB7F6" w14:textId="77777777" w:rsidR="004B0AC2" w:rsidRPr="00092ED7" w:rsidRDefault="004B0AC2" w:rsidP="00FB09AE">
            <w:pPr>
              <w:spacing w:after="0"/>
              <w:jc w:val="right"/>
              <w:rPr>
                <w:sz w:val="20"/>
                <w:szCs w:val="20"/>
                <w:lang w:val="sr-Cyrl-CS"/>
              </w:rPr>
            </w:pPr>
            <w:r w:rsidRPr="00092ED7">
              <w:rPr>
                <w:sz w:val="20"/>
                <w:szCs w:val="20"/>
                <w:lang w:val="sr-Cyrl-CS"/>
              </w:rPr>
              <w:t>-279,1</w:t>
            </w:r>
          </w:p>
        </w:tc>
        <w:tc>
          <w:tcPr>
            <w:tcW w:w="1074" w:type="dxa"/>
            <w:gridSpan w:val="2"/>
            <w:tcBorders>
              <w:top w:val="nil"/>
              <w:left w:val="nil"/>
              <w:bottom w:val="dotted" w:sz="4" w:space="0" w:color="auto"/>
              <w:right w:val="dotted" w:sz="4" w:space="0" w:color="auto"/>
            </w:tcBorders>
            <w:shd w:val="clear" w:color="auto" w:fill="auto"/>
            <w:vAlign w:val="center"/>
            <w:hideMark/>
          </w:tcPr>
          <w:p w14:paraId="3A30592B" w14:textId="77777777" w:rsidR="004B0AC2" w:rsidRPr="00092ED7" w:rsidRDefault="004B0AC2" w:rsidP="00FB09AE">
            <w:pPr>
              <w:spacing w:after="0"/>
              <w:jc w:val="right"/>
              <w:rPr>
                <w:sz w:val="20"/>
                <w:szCs w:val="20"/>
                <w:lang w:val="sr-Cyrl-CS"/>
              </w:rPr>
            </w:pPr>
            <w:r w:rsidRPr="00092ED7">
              <w:rPr>
                <w:sz w:val="20"/>
                <w:szCs w:val="20"/>
                <w:lang w:val="sr-Cyrl-CS"/>
              </w:rPr>
              <w:t>-264,0</w:t>
            </w:r>
          </w:p>
        </w:tc>
        <w:tc>
          <w:tcPr>
            <w:tcW w:w="1074" w:type="dxa"/>
            <w:tcBorders>
              <w:top w:val="nil"/>
              <w:left w:val="nil"/>
              <w:bottom w:val="dotted" w:sz="4" w:space="0" w:color="auto"/>
              <w:right w:val="dotted" w:sz="4" w:space="0" w:color="auto"/>
            </w:tcBorders>
            <w:shd w:val="clear" w:color="auto" w:fill="auto"/>
            <w:vAlign w:val="center"/>
            <w:hideMark/>
          </w:tcPr>
          <w:p w14:paraId="6BD9A9C0" w14:textId="77777777" w:rsidR="004B0AC2" w:rsidRPr="00092ED7" w:rsidRDefault="004B0AC2" w:rsidP="00FB09AE">
            <w:pPr>
              <w:spacing w:after="0"/>
              <w:jc w:val="right"/>
              <w:rPr>
                <w:sz w:val="20"/>
                <w:szCs w:val="20"/>
                <w:lang w:val="sr-Cyrl-CS"/>
              </w:rPr>
            </w:pPr>
            <w:r w:rsidRPr="00092ED7">
              <w:rPr>
                <w:sz w:val="20"/>
                <w:szCs w:val="20"/>
                <w:lang w:val="sr-Cyrl-CS"/>
              </w:rPr>
              <w:t>-189,3</w:t>
            </w:r>
          </w:p>
        </w:tc>
        <w:tc>
          <w:tcPr>
            <w:tcW w:w="1074" w:type="dxa"/>
            <w:tcBorders>
              <w:top w:val="nil"/>
              <w:left w:val="nil"/>
              <w:bottom w:val="dotted" w:sz="4" w:space="0" w:color="auto"/>
              <w:right w:val="double" w:sz="6" w:space="0" w:color="auto"/>
            </w:tcBorders>
            <w:shd w:val="clear" w:color="auto" w:fill="auto"/>
            <w:vAlign w:val="center"/>
            <w:hideMark/>
          </w:tcPr>
          <w:p w14:paraId="18521081" w14:textId="77777777" w:rsidR="004B0AC2" w:rsidRPr="00092ED7" w:rsidRDefault="004B0AC2" w:rsidP="00FB09AE">
            <w:pPr>
              <w:spacing w:after="0"/>
              <w:jc w:val="right"/>
              <w:rPr>
                <w:sz w:val="20"/>
                <w:szCs w:val="20"/>
                <w:lang w:val="sr-Cyrl-CS"/>
              </w:rPr>
            </w:pPr>
            <w:r w:rsidRPr="00092ED7">
              <w:rPr>
                <w:sz w:val="20"/>
                <w:szCs w:val="20"/>
                <w:lang w:val="sr-Cyrl-CS"/>
              </w:rPr>
              <w:t>-129,1</w:t>
            </w:r>
          </w:p>
        </w:tc>
      </w:tr>
      <w:tr w:rsidR="004B0AC2" w:rsidRPr="00092ED7" w14:paraId="7BE662B2" w14:textId="77777777" w:rsidTr="00FB09AE">
        <w:trPr>
          <w:trHeight w:val="255"/>
        </w:trPr>
        <w:tc>
          <w:tcPr>
            <w:tcW w:w="6640" w:type="dxa"/>
            <w:tcBorders>
              <w:top w:val="nil"/>
              <w:left w:val="double" w:sz="6" w:space="0" w:color="auto"/>
              <w:bottom w:val="dotted" w:sz="4" w:space="0" w:color="auto"/>
              <w:right w:val="nil"/>
            </w:tcBorders>
            <w:shd w:val="clear" w:color="auto" w:fill="auto"/>
            <w:vAlign w:val="center"/>
            <w:hideMark/>
          </w:tcPr>
          <w:p w14:paraId="590826CA" w14:textId="77777777" w:rsidR="004B0AC2" w:rsidRPr="00092ED7" w:rsidRDefault="004B0AC2" w:rsidP="00FB09AE">
            <w:pPr>
              <w:spacing w:after="0"/>
              <w:jc w:val="left"/>
              <w:rPr>
                <w:rFonts w:eastAsia="Times New Roman" w:cs="Times New Roman"/>
                <w:sz w:val="20"/>
                <w:szCs w:val="20"/>
                <w:lang w:val="sr-Cyrl-CS"/>
              </w:rPr>
            </w:pPr>
            <w:r w:rsidRPr="00092ED7">
              <w:rPr>
                <w:rFonts w:eastAsia="Times New Roman" w:cs="Times New Roman"/>
                <w:sz w:val="20"/>
                <w:szCs w:val="20"/>
                <w:lang w:val="sr-Cyrl-CS"/>
              </w:rPr>
              <w:t>3. Ниво власти федералних јединица </w:t>
            </w:r>
          </w:p>
        </w:tc>
        <w:tc>
          <w:tcPr>
            <w:tcW w:w="1417" w:type="dxa"/>
            <w:tcBorders>
              <w:top w:val="nil"/>
              <w:left w:val="single" w:sz="8" w:space="0" w:color="auto"/>
              <w:bottom w:val="dotted" w:sz="4" w:space="0" w:color="auto"/>
              <w:right w:val="single" w:sz="8" w:space="0" w:color="auto"/>
            </w:tcBorders>
            <w:shd w:val="clear" w:color="auto" w:fill="auto"/>
            <w:vAlign w:val="center"/>
            <w:hideMark/>
          </w:tcPr>
          <w:p w14:paraId="28C4EE93" w14:textId="77777777" w:rsidR="004B0AC2" w:rsidRPr="00092ED7" w:rsidRDefault="004B0AC2" w:rsidP="00FB09AE">
            <w:pPr>
              <w:spacing w:after="0"/>
              <w:jc w:val="center"/>
              <w:rPr>
                <w:rFonts w:eastAsia="Times New Roman" w:cs="Times New Roman"/>
                <w:sz w:val="20"/>
                <w:szCs w:val="20"/>
                <w:lang w:val="sr-Cyrl-CS"/>
              </w:rPr>
            </w:pPr>
            <w:r w:rsidRPr="00092ED7">
              <w:rPr>
                <w:rFonts w:eastAsia="Times New Roman" w:cs="Times New Roman"/>
                <w:sz w:val="20"/>
                <w:szCs w:val="20"/>
                <w:lang w:val="sr-Cyrl-CS"/>
              </w:rPr>
              <w:t>S1312</w:t>
            </w:r>
          </w:p>
        </w:tc>
        <w:tc>
          <w:tcPr>
            <w:tcW w:w="1074" w:type="dxa"/>
            <w:tcBorders>
              <w:top w:val="nil"/>
              <w:left w:val="nil"/>
              <w:bottom w:val="dotted" w:sz="4" w:space="0" w:color="auto"/>
              <w:right w:val="dotted" w:sz="4" w:space="0" w:color="auto"/>
            </w:tcBorders>
            <w:shd w:val="clear" w:color="auto" w:fill="auto"/>
            <w:vAlign w:val="center"/>
            <w:hideMark/>
          </w:tcPr>
          <w:p w14:paraId="2601330E" w14:textId="77777777" w:rsidR="004B0AC2" w:rsidRPr="00092ED7" w:rsidRDefault="004B0AC2" w:rsidP="00FB09AE">
            <w:pPr>
              <w:spacing w:after="0"/>
              <w:jc w:val="right"/>
              <w:rPr>
                <w:sz w:val="20"/>
                <w:szCs w:val="20"/>
                <w:lang w:val="sr-Cyrl-CS"/>
              </w:rPr>
            </w:pPr>
            <w:r w:rsidRPr="00092ED7">
              <w:rPr>
                <w:sz w:val="20"/>
                <w:szCs w:val="20"/>
                <w:lang w:val="sr-Cyrl-CS"/>
              </w:rPr>
              <w:t> </w:t>
            </w:r>
          </w:p>
        </w:tc>
        <w:tc>
          <w:tcPr>
            <w:tcW w:w="1074" w:type="dxa"/>
            <w:tcBorders>
              <w:top w:val="nil"/>
              <w:left w:val="nil"/>
              <w:bottom w:val="dotted" w:sz="4" w:space="0" w:color="auto"/>
              <w:right w:val="dotted" w:sz="4" w:space="0" w:color="auto"/>
            </w:tcBorders>
            <w:shd w:val="clear" w:color="auto" w:fill="auto"/>
            <w:vAlign w:val="center"/>
            <w:hideMark/>
          </w:tcPr>
          <w:p w14:paraId="171055AA" w14:textId="77777777" w:rsidR="004B0AC2" w:rsidRPr="00092ED7" w:rsidRDefault="004B0AC2" w:rsidP="00FB09AE">
            <w:pPr>
              <w:spacing w:after="0"/>
              <w:jc w:val="right"/>
              <w:rPr>
                <w:sz w:val="20"/>
                <w:szCs w:val="20"/>
                <w:lang w:val="sr-Cyrl-CS"/>
              </w:rPr>
            </w:pPr>
            <w:r w:rsidRPr="00092ED7">
              <w:rPr>
                <w:sz w:val="20"/>
                <w:szCs w:val="20"/>
                <w:lang w:val="sr-Cyrl-CS"/>
              </w:rPr>
              <w:t> </w:t>
            </w:r>
          </w:p>
        </w:tc>
        <w:tc>
          <w:tcPr>
            <w:tcW w:w="1074" w:type="dxa"/>
            <w:gridSpan w:val="2"/>
            <w:tcBorders>
              <w:top w:val="nil"/>
              <w:left w:val="nil"/>
              <w:bottom w:val="dotted" w:sz="4" w:space="0" w:color="auto"/>
              <w:right w:val="dotted" w:sz="4" w:space="0" w:color="auto"/>
            </w:tcBorders>
            <w:shd w:val="clear" w:color="auto" w:fill="auto"/>
            <w:vAlign w:val="center"/>
            <w:hideMark/>
          </w:tcPr>
          <w:p w14:paraId="68B3095C" w14:textId="77777777" w:rsidR="004B0AC2" w:rsidRPr="00092ED7" w:rsidRDefault="004B0AC2" w:rsidP="00FB09AE">
            <w:pPr>
              <w:spacing w:after="0"/>
              <w:jc w:val="right"/>
              <w:rPr>
                <w:sz w:val="20"/>
                <w:szCs w:val="20"/>
                <w:lang w:val="sr-Cyrl-CS"/>
              </w:rPr>
            </w:pPr>
            <w:r w:rsidRPr="00092ED7">
              <w:rPr>
                <w:sz w:val="20"/>
                <w:szCs w:val="20"/>
                <w:lang w:val="sr-Cyrl-CS"/>
              </w:rPr>
              <w:t> </w:t>
            </w:r>
          </w:p>
        </w:tc>
        <w:tc>
          <w:tcPr>
            <w:tcW w:w="1074" w:type="dxa"/>
            <w:gridSpan w:val="2"/>
            <w:tcBorders>
              <w:top w:val="nil"/>
              <w:left w:val="nil"/>
              <w:bottom w:val="dotted" w:sz="4" w:space="0" w:color="auto"/>
              <w:right w:val="dotted" w:sz="4" w:space="0" w:color="auto"/>
            </w:tcBorders>
            <w:shd w:val="clear" w:color="auto" w:fill="auto"/>
            <w:vAlign w:val="center"/>
            <w:hideMark/>
          </w:tcPr>
          <w:p w14:paraId="377B0DE0" w14:textId="77777777" w:rsidR="004B0AC2" w:rsidRPr="00092ED7" w:rsidRDefault="004B0AC2" w:rsidP="00FB09AE">
            <w:pPr>
              <w:spacing w:after="0"/>
              <w:jc w:val="right"/>
              <w:rPr>
                <w:sz w:val="20"/>
                <w:szCs w:val="20"/>
                <w:lang w:val="sr-Cyrl-CS"/>
              </w:rPr>
            </w:pPr>
            <w:r w:rsidRPr="00092ED7">
              <w:rPr>
                <w:sz w:val="20"/>
                <w:szCs w:val="20"/>
                <w:lang w:val="sr-Cyrl-CS"/>
              </w:rPr>
              <w:t> </w:t>
            </w:r>
          </w:p>
        </w:tc>
        <w:tc>
          <w:tcPr>
            <w:tcW w:w="1074" w:type="dxa"/>
            <w:tcBorders>
              <w:top w:val="nil"/>
              <w:left w:val="nil"/>
              <w:bottom w:val="dotted" w:sz="4" w:space="0" w:color="auto"/>
              <w:right w:val="dotted" w:sz="4" w:space="0" w:color="auto"/>
            </w:tcBorders>
            <w:shd w:val="clear" w:color="auto" w:fill="auto"/>
            <w:vAlign w:val="center"/>
            <w:hideMark/>
          </w:tcPr>
          <w:p w14:paraId="06D02318" w14:textId="77777777" w:rsidR="004B0AC2" w:rsidRPr="00092ED7" w:rsidRDefault="004B0AC2" w:rsidP="00FB09AE">
            <w:pPr>
              <w:spacing w:after="0"/>
              <w:jc w:val="right"/>
              <w:rPr>
                <w:sz w:val="20"/>
                <w:szCs w:val="20"/>
                <w:lang w:val="sr-Cyrl-CS"/>
              </w:rPr>
            </w:pPr>
            <w:r w:rsidRPr="00092ED7">
              <w:rPr>
                <w:sz w:val="20"/>
                <w:szCs w:val="20"/>
                <w:lang w:val="sr-Cyrl-CS"/>
              </w:rPr>
              <w:t> </w:t>
            </w:r>
          </w:p>
        </w:tc>
        <w:tc>
          <w:tcPr>
            <w:tcW w:w="1074" w:type="dxa"/>
            <w:tcBorders>
              <w:top w:val="nil"/>
              <w:left w:val="nil"/>
              <w:bottom w:val="dotted" w:sz="4" w:space="0" w:color="auto"/>
              <w:right w:val="double" w:sz="6" w:space="0" w:color="auto"/>
            </w:tcBorders>
            <w:shd w:val="clear" w:color="auto" w:fill="auto"/>
            <w:vAlign w:val="center"/>
            <w:hideMark/>
          </w:tcPr>
          <w:p w14:paraId="79DF0597" w14:textId="77777777" w:rsidR="004B0AC2" w:rsidRPr="00092ED7" w:rsidRDefault="004B0AC2" w:rsidP="00FB09AE">
            <w:pPr>
              <w:spacing w:after="0"/>
              <w:jc w:val="right"/>
              <w:rPr>
                <w:sz w:val="20"/>
                <w:szCs w:val="20"/>
                <w:lang w:val="sr-Cyrl-CS"/>
              </w:rPr>
            </w:pPr>
            <w:r w:rsidRPr="00092ED7">
              <w:rPr>
                <w:sz w:val="20"/>
                <w:szCs w:val="20"/>
                <w:lang w:val="sr-Cyrl-CS"/>
              </w:rPr>
              <w:t> </w:t>
            </w:r>
          </w:p>
        </w:tc>
      </w:tr>
      <w:tr w:rsidR="004B0AC2" w:rsidRPr="00092ED7" w14:paraId="0F08A910" w14:textId="77777777" w:rsidTr="00FB09AE">
        <w:trPr>
          <w:trHeight w:val="255"/>
        </w:trPr>
        <w:tc>
          <w:tcPr>
            <w:tcW w:w="6640" w:type="dxa"/>
            <w:tcBorders>
              <w:top w:val="nil"/>
              <w:left w:val="double" w:sz="6" w:space="0" w:color="auto"/>
              <w:bottom w:val="dotted" w:sz="4" w:space="0" w:color="auto"/>
              <w:right w:val="nil"/>
            </w:tcBorders>
            <w:shd w:val="clear" w:color="auto" w:fill="auto"/>
            <w:vAlign w:val="center"/>
            <w:hideMark/>
          </w:tcPr>
          <w:p w14:paraId="506535C8" w14:textId="77777777" w:rsidR="004B0AC2" w:rsidRPr="00092ED7" w:rsidRDefault="004B0AC2" w:rsidP="00FB09AE">
            <w:pPr>
              <w:spacing w:after="0"/>
              <w:jc w:val="left"/>
              <w:rPr>
                <w:rFonts w:eastAsia="Times New Roman" w:cs="Times New Roman"/>
                <w:sz w:val="20"/>
                <w:szCs w:val="20"/>
                <w:lang w:val="sr-Cyrl-CS"/>
              </w:rPr>
            </w:pPr>
            <w:r w:rsidRPr="00092ED7">
              <w:rPr>
                <w:rFonts w:eastAsia="Times New Roman" w:cs="Times New Roman"/>
                <w:sz w:val="20"/>
                <w:szCs w:val="20"/>
                <w:lang w:val="sr-Cyrl-CS"/>
              </w:rPr>
              <w:t>4. Локална самоуправа</w:t>
            </w:r>
          </w:p>
        </w:tc>
        <w:tc>
          <w:tcPr>
            <w:tcW w:w="1417" w:type="dxa"/>
            <w:tcBorders>
              <w:top w:val="nil"/>
              <w:left w:val="single" w:sz="8" w:space="0" w:color="auto"/>
              <w:bottom w:val="dotted" w:sz="4" w:space="0" w:color="auto"/>
              <w:right w:val="single" w:sz="8" w:space="0" w:color="auto"/>
            </w:tcBorders>
            <w:shd w:val="clear" w:color="auto" w:fill="auto"/>
            <w:vAlign w:val="center"/>
            <w:hideMark/>
          </w:tcPr>
          <w:p w14:paraId="55CD21E1" w14:textId="77777777" w:rsidR="004B0AC2" w:rsidRPr="00092ED7" w:rsidRDefault="004B0AC2" w:rsidP="00FB09AE">
            <w:pPr>
              <w:spacing w:after="0"/>
              <w:jc w:val="center"/>
              <w:rPr>
                <w:rFonts w:eastAsia="Times New Roman" w:cs="Times New Roman"/>
                <w:sz w:val="20"/>
                <w:szCs w:val="20"/>
                <w:lang w:val="sr-Cyrl-CS"/>
              </w:rPr>
            </w:pPr>
            <w:r w:rsidRPr="00092ED7">
              <w:rPr>
                <w:rFonts w:eastAsia="Times New Roman" w:cs="Times New Roman"/>
                <w:sz w:val="20"/>
                <w:szCs w:val="20"/>
                <w:lang w:val="sr-Cyrl-CS"/>
              </w:rPr>
              <w:t>S1313</w:t>
            </w:r>
          </w:p>
        </w:tc>
        <w:tc>
          <w:tcPr>
            <w:tcW w:w="1074" w:type="dxa"/>
            <w:tcBorders>
              <w:top w:val="nil"/>
              <w:left w:val="nil"/>
              <w:bottom w:val="dotted" w:sz="4" w:space="0" w:color="auto"/>
              <w:right w:val="dotted" w:sz="4" w:space="0" w:color="auto"/>
            </w:tcBorders>
            <w:shd w:val="clear" w:color="auto" w:fill="auto"/>
            <w:vAlign w:val="center"/>
            <w:hideMark/>
          </w:tcPr>
          <w:p w14:paraId="3999A7FB" w14:textId="77777777" w:rsidR="004B0AC2" w:rsidRPr="00092ED7" w:rsidRDefault="004B0AC2" w:rsidP="00FB09AE">
            <w:pPr>
              <w:spacing w:after="0"/>
              <w:jc w:val="right"/>
              <w:rPr>
                <w:sz w:val="20"/>
                <w:szCs w:val="20"/>
                <w:lang w:val="sr-Cyrl-CS"/>
              </w:rPr>
            </w:pPr>
            <w:r w:rsidRPr="00092ED7">
              <w:rPr>
                <w:sz w:val="20"/>
                <w:szCs w:val="20"/>
                <w:lang w:val="sr-Cyrl-CS"/>
              </w:rPr>
              <w:t>6,6</w:t>
            </w:r>
          </w:p>
        </w:tc>
        <w:tc>
          <w:tcPr>
            <w:tcW w:w="1074" w:type="dxa"/>
            <w:tcBorders>
              <w:top w:val="nil"/>
              <w:left w:val="nil"/>
              <w:bottom w:val="dotted" w:sz="4" w:space="0" w:color="auto"/>
              <w:right w:val="dotted" w:sz="4" w:space="0" w:color="auto"/>
            </w:tcBorders>
            <w:shd w:val="clear" w:color="auto" w:fill="auto"/>
            <w:vAlign w:val="center"/>
            <w:hideMark/>
          </w:tcPr>
          <w:p w14:paraId="56CE0998" w14:textId="77777777" w:rsidR="004B0AC2" w:rsidRPr="00092ED7" w:rsidRDefault="004B0AC2" w:rsidP="00FB09AE">
            <w:pPr>
              <w:spacing w:after="0"/>
              <w:jc w:val="right"/>
              <w:rPr>
                <w:sz w:val="20"/>
                <w:szCs w:val="20"/>
                <w:lang w:val="sr-Cyrl-CS"/>
              </w:rPr>
            </w:pPr>
            <w:r w:rsidRPr="00092ED7">
              <w:rPr>
                <w:sz w:val="20"/>
                <w:szCs w:val="20"/>
                <w:lang w:val="sr-Cyrl-CS"/>
              </w:rPr>
              <w:t>22,5</w:t>
            </w:r>
          </w:p>
        </w:tc>
        <w:tc>
          <w:tcPr>
            <w:tcW w:w="1074" w:type="dxa"/>
            <w:gridSpan w:val="2"/>
            <w:tcBorders>
              <w:top w:val="nil"/>
              <w:left w:val="nil"/>
              <w:bottom w:val="dotted" w:sz="4" w:space="0" w:color="auto"/>
              <w:right w:val="dotted" w:sz="4" w:space="0" w:color="auto"/>
            </w:tcBorders>
            <w:shd w:val="clear" w:color="auto" w:fill="auto"/>
            <w:vAlign w:val="center"/>
            <w:hideMark/>
          </w:tcPr>
          <w:p w14:paraId="3952FC03" w14:textId="77777777" w:rsidR="004B0AC2" w:rsidRPr="00092ED7" w:rsidRDefault="004B0AC2" w:rsidP="00FB09AE">
            <w:pPr>
              <w:spacing w:after="0"/>
              <w:jc w:val="right"/>
              <w:rPr>
                <w:sz w:val="20"/>
                <w:szCs w:val="20"/>
                <w:lang w:val="sr-Cyrl-CS"/>
              </w:rPr>
            </w:pPr>
            <w:r w:rsidRPr="00092ED7">
              <w:rPr>
                <w:sz w:val="20"/>
                <w:szCs w:val="20"/>
                <w:lang w:val="sr-Cyrl-CS"/>
              </w:rPr>
              <w:t>7,6</w:t>
            </w:r>
          </w:p>
        </w:tc>
        <w:tc>
          <w:tcPr>
            <w:tcW w:w="1074" w:type="dxa"/>
            <w:gridSpan w:val="2"/>
            <w:tcBorders>
              <w:top w:val="nil"/>
              <w:left w:val="nil"/>
              <w:bottom w:val="dotted" w:sz="4" w:space="0" w:color="auto"/>
              <w:right w:val="dotted" w:sz="4" w:space="0" w:color="auto"/>
            </w:tcBorders>
            <w:shd w:val="clear" w:color="auto" w:fill="auto"/>
            <w:vAlign w:val="center"/>
            <w:hideMark/>
          </w:tcPr>
          <w:p w14:paraId="3F9AD93B" w14:textId="77777777" w:rsidR="004B0AC2" w:rsidRPr="00092ED7" w:rsidRDefault="004B0AC2" w:rsidP="00FB09AE">
            <w:pPr>
              <w:spacing w:after="0"/>
              <w:jc w:val="right"/>
              <w:rPr>
                <w:sz w:val="20"/>
                <w:szCs w:val="20"/>
                <w:lang w:val="sr-Cyrl-CS"/>
              </w:rPr>
            </w:pPr>
            <w:r w:rsidRPr="00092ED7">
              <w:rPr>
                <w:sz w:val="20"/>
                <w:szCs w:val="20"/>
                <w:lang w:val="sr-Cyrl-CS"/>
              </w:rPr>
              <w:t>0,0</w:t>
            </w:r>
          </w:p>
        </w:tc>
        <w:tc>
          <w:tcPr>
            <w:tcW w:w="1074" w:type="dxa"/>
            <w:tcBorders>
              <w:top w:val="nil"/>
              <w:left w:val="nil"/>
              <w:bottom w:val="dotted" w:sz="4" w:space="0" w:color="auto"/>
              <w:right w:val="dotted" w:sz="4" w:space="0" w:color="auto"/>
            </w:tcBorders>
            <w:shd w:val="clear" w:color="auto" w:fill="auto"/>
            <w:vAlign w:val="center"/>
            <w:hideMark/>
          </w:tcPr>
          <w:p w14:paraId="328C739E" w14:textId="77777777" w:rsidR="004B0AC2" w:rsidRPr="00092ED7" w:rsidRDefault="004B0AC2" w:rsidP="00FB09AE">
            <w:pPr>
              <w:spacing w:after="0"/>
              <w:jc w:val="right"/>
              <w:rPr>
                <w:sz w:val="20"/>
                <w:szCs w:val="20"/>
                <w:lang w:val="sr-Cyrl-CS"/>
              </w:rPr>
            </w:pPr>
            <w:r w:rsidRPr="00092ED7">
              <w:rPr>
                <w:sz w:val="20"/>
                <w:szCs w:val="20"/>
                <w:lang w:val="sr-Cyrl-CS"/>
              </w:rPr>
              <w:t>0,0</w:t>
            </w:r>
          </w:p>
        </w:tc>
        <w:tc>
          <w:tcPr>
            <w:tcW w:w="1074" w:type="dxa"/>
            <w:tcBorders>
              <w:top w:val="nil"/>
              <w:left w:val="nil"/>
              <w:bottom w:val="dotted" w:sz="4" w:space="0" w:color="auto"/>
              <w:right w:val="double" w:sz="6" w:space="0" w:color="auto"/>
            </w:tcBorders>
            <w:shd w:val="clear" w:color="auto" w:fill="auto"/>
            <w:vAlign w:val="center"/>
            <w:hideMark/>
          </w:tcPr>
          <w:p w14:paraId="513C3D4E" w14:textId="77777777" w:rsidR="004B0AC2" w:rsidRPr="00092ED7" w:rsidRDefault="004B0AC2" w:rsidP="00FB09AE">
            <w:pPr>
              <w:spacing w:after="0"/>
              <w:jc w:val="right"/>
              <w:rPr>
                <w:sz w:val="20"/>
                <w:szCs w:val="20"/>
                <w:lang w:val="sr-Cyrl-CS"/>
              </w:rPr>
            </w:pPr>
            <w:r w:rsidRPr="00092ED7">
              <w:rPr>
                <w:sz w:val="20"/>
                <w:szCs w:val="20"/>
                <w:lang w:val="sr-Cyrl-CS"/>
              </w:rPr>
              <w:t>0,0</w:t>
            </w:r>
          </w:p>
        </w:tc>
      </w:tr>
      <w:tr w:rsidR="004B0AC2" w:rsidRPr="00092ED7" w14:paraId="2F8DCFE5" w14:textId="77777777" w:rsidTr="00FB09AE">
        <w:trPr>
          <w:trHeight w:val="255"/>
        </w:trPr>
        <w:tc>
          <w:tcPr>
            <w:tcW w:w="6640" w:type="dxa"/>
            <w:tcBorders>
              <w:top w:val="nil"/>
              <w:left w:val="double" w:sz="6" w:space="0" w:color="auto"/>
              <w:bottom w:val="single" w:sz="4" w:space="0" w:color="auto"/>
              <w:right w:val="nil"/>
            </w:tcBorders>
            <w:shd w:val="clear" w:color="auto" w:fill="auto"/>
            <w:vAlign w:val="center"/>
            <w:hideMark/>
          </w:tcPr>
          <w:p w14:paraId="5A4A887A" w14:textId="77777777" w:rsidR="004B0AC2" w:rsidRPr="00092ED7" w:rsidRDefault="004B0AC2" w:rsidP="00FB09AE">
            <w:pPr>
              <w:spacing w:after="0"/>
              <w:jc w:val="left"/>
              <w:rPr>
                <w:rFonts w:eastAsia="Times New Roman" w:cs="Times New Roman"/>
                <w:sz w:val="20"/>
                <w:szCs w:val="20"/>
                <w:lang w:val="sr-Cyrl-CS"/>
              </w:rPr>
            </w:pPr>
            <w:r w:rsidRPr="00092ED7">
              <w:rPr>
                <w:rFonts w:eastAsia="Times New Roman" w:cs="Times New Roman"/>
                <w:sz w:val="20"/>
                <w:szCs w:val="20"/>
                <w:lang w:val="sr-Cyrl-CS"/>
              </w:rPr>
              <w:t>5. Фондови социјалног осигурања</w:t>
            </w:r>
          </w:p>
        </w:tc>
        <w:tc>
          <w:tcPr>
            <w:tcW w:w="1417" w:type="dxa"/>
            <w:tcBorders>
              <w:top w:val="nil"/>
              <w:left w:val="single" w:sz="8" w:space="0" w:color="auto"/>
              <w:bottom w:val="single" w:sz="4" w:space="0" w:color="auto"/>
              <w:right w:val="single" w:sz="8" w:space="0" w:color="auto"/>
            </w:tcBorders>
            <w:shd w:val="clear" w:color="auto" w:fill="auto"/>
            <w:vAlign w:val="center"/>
            <w:hideMark/>
          </w:tcPr>
          <w:p w14:paraId="78629CF7" w14:textId="77777777" w:rsidR="004B0AC2" w:rsidRPr="00092ED7" w:rsidRDefault="004B0AC2" w:rsidP="00FB09AE">
            <w:pPr>
              <w:spacing w:after="0"/>
              <w:jc w:val="center"/>
              <w:rPr>
                <w:rFonts w:eastAsia="Times New Roman" w:cs="Times New Roman"/>
                <w:sz w:val="20"/>
                <w:szCs w:val="20"/>
                <w:lang w:val="sr-Cyrl-CS"/>
              </w:rPr>
            </w:pPr>
            <w:r w:rsidRPr="00092ED7">
              <w:rPr>
                <w:rFonts w:eastAsia="Times New Roman" w:cs="Times New Roman"/>
                <w:sz w:val="20"/>
                <w:szCs w:val="20"/>
                <w:lang w:val="sr-Cyrl-CS"/>
              </w:rPr>
              <w:t>S1314</w:t>
            </w:r>
          </w:p>
        </w:tc>
        <w:tc>
          <w:tcPr>
            <w:tcW w:w="1074" w:type="dxa"/>
            <w:tcBorders>
              <w:top w:val="nil"/>
              <w:left w:val="nil"/>
              <w:bottom w:val="single" w:sz="4" w:space="0" w:color="auto"/>
              <w:right w:val="dotted" w:sz="4" w:space="0" w:color="auto"/>
            </w:tcBorders>
            <w:shd w:val="clear" w:color="auto" w:fill="auto"/>
            <w:vAlign w:val="center"/>
            <w:hideMark/>
          </w:tcPr>
          <w:p w14:paraId="7A2C981A" w14:textId="77777777" w:rsidR="004B0AC2" w:rsidRPr="00092ED7" w:rsidRDefault="004B0AC2" w:rsidP="00FB09AE">
            <w:pPr>
              <w:spacing w:after="0"/>
              <w:jc w:val="right"/>
              <w:rPr>
                <w:sz w:val="20"/>
                <w:szCs w:val="20"/>
                <w:lang w:val="sr-Cyrl-CS"/>
              </w:rPr>
            </w:pPr>
            <w:r w:rsidRPr="00092ED7">
              <w:rPr>
                <w:sz w:val="20"/>
                <w:szCs w:val="20"/>
                <w:lang w:val="sr-Cyrl-CS"/>
              </w:rPr>
              <w:t>9,0</w:t>
            </w:r>
          </w:p>
        </w:tc>
        <w:tc>
          <w:tcPr>
            <w:tcW w:w="1074" w:type="dxa"/>
            <w:tcBorders>
              <w:top w:val="nil"/>
              <w:left w:val="nil"/>
              <w:bottom w:val="single" w:sz="4" w:space="0" w:color="auto"/>
              <w:right w:val="dotted" w:sz="4" w:space="0" w:color="auto"/>
            </w:tcBorders>
            <w:shd w:val="clear" w:color="auto" w:fill="auto"/>
            <w:vAlign w:val="center"/>
            <w:hideMark/>
          </w:tcPr>
          <w:p w14:paraId="1BD41EB3" w14:textId="77777777" w:rsidR="004B0AC2" w:rsidRPr="00092ED7" w:rsidRDefault="004B0AC2" w:rsidP="00FB09AE">
            <w:pPr>
              <w:spacing w:after="0"/>
              <w:jc w:val="right"/>
              <w:rPr>
                <w:sz w:val="20"/>
                <w:szCs w:val="20"/>
                <w:lang w:val="sr-Cyrl-CS"/>
              </w:rPr>
            </w:pPr>
            <w:r w:rsidRPr="00092ED7">
              <w:rPr>
                <w:sz w:val="20"/>
                <w:szCs w:val="20"/>
                <w:lang w:val="sr-Cyrl-CS"/>
              </w:rPr>
              <w:t>3,4</w:t>
            </w:r>
          </w:p>
        </w:tc>
        <w:tc>
          <w:tcPr>
            <w:tcW w:w="1074" w:type="dxa"/>
            <w:gridSpan w:val="2"/>
            <w:tcBorders>
              <w:top w:val="nil"/>
              <w:left w:val="nil"/>
              <w:bottom w:val="single" w:sz="4" w:space="0" w:color="auto"/>
              <w:right w:val="dotted" w:sz="4" w:space="0" w:color="auto"/>
            </w:tcBorders>
            <w:shd w:val="clear" w:color="auto" w:fill="auto"/>
            <w:vAlign w:val="center"/>
            <w:hideMark/>
          </w:tcPr>
          <w:p w14:paraId="33AA793E" w14:textId="77777777" w:rsidR="004B0AC2" w:rsidRPr="00092ED7" w:rsidRDefault="004B0AC2" w:rsidP="00FB09AE">
            <w:pPr>
              <w:spacing w:after="0"/>
              <w:jc w:val="right"/>
              <w:rPr>
                <w:sz w:val="20"/>
                <w:szCs w:val="20"/>
                <w:lang w:val="sr-Cyrl-CS"/>
              </w:rPr>
            </w:pPr>
            <w:r w:rsidRPr="00092ED7">
              <w:rPr>
                <w:sz w:val="20"/>
                <w:szCs w:val="20"/>
                <w:lang w:val="sr-Cyrl-CS"/>
              </w:rPr>
              <w:t>0,0</w:t>
            </w:r>
          </w:p>
        </w:tc>
        <w:tc>
          <w:tcPr>
            <w:tcW w:w="1074" w:type="dxa"/>
            <w:gridSpan w:val="2"/>
            <w:tcBorders>
              <w:top w:val="nil"/>
              <w:left w:val="nil"/>
              <w:bottom w:val="single" w:sz="4" w:space="0" w:color="auto"/>
              <w:right w:val="dotted" w:sz="4" w:space="0" w:color="auto"/>
            </w:tcBorders>
            <w:shd w:val="clear" w:color="auto" w:fill="auto"/>
            <w:vAlign w:val="center"/>
            <w:hideMark/>
          </w:tcPr>
          <w:p w14:paraId="2DFA0C8D" w14:textId="77777777" w:rsidR="004B0AC2" w:rsidRPr="00092ED7" w:rsidRDefault="004B0AC2" w:rsidP="00FB09AE">
            <w:pPr>
              <w:spacing w:after="0"/>
              <w:jc w:val="right"/>
              <w:rPr>
                <w:sz w:val="20"/>
                <w:szCs w:val="20"/>
                <w:lang w:val="sr-Cyrl-CS"/>
              </w:rPr>
            </w:pPr>
            <w:r w:rsidRPr="00092ED7">
              <w:rPr>
                <w:sz w:val="20"/>
                <w:szCs w:val="20"/>
                <w:lang w:val="sr-Cyrl-CS"/>
              </w:rPr>
              <w:t>0,0</w:t>
            </w:r>
          </w:p>
        </w:tc>
        <w:tc>
          <w:tcPr>
            <w:tcW w:w="1074" w:type="dxa"/>
            <w:tcBorders>
              <w:top w:val="nil"/>
              <w:left w:val="nil"/>
              <w:bottom w:val="single" w:sz="4" w:space="0" w:color="auto"/>
              <w:right w:val="dotted" w:sz="4" w:space="0" w:color="auto"/>
            </w:tcBorders>
            <w:shd w:val="clear" w:color="auto" w:fill="auto"/>
            <w:vAlign w:val="center"/>
            <w:hideMark/>
          </w:tcPr>
          <w:p w14:paraId="6CC04C92" w14:textId="77777777" w:rsidR="004B0AC2" w:rsidRPr="00092ED7" w:rsidRDefault="004B0AC2" w:rsidP="00FB09AE">
            <w:pPr>
              <w:spacing w:after="0"/>
              <w:jc w:val="right"/>
              <w:rPr>
                <w:sz w:val="20"/>
                <w:szCs w:val="20"/>
                <w:lang w:val="sr-Cyrl-CS"/>
              </w:rPr>
            </w:pPr>
            <w:r w:rsidRPr="00092ED7">
              <w:rPr>
                <w:sz w:val="20"/>
                <w:szCs w:val="20"/>
                <w:lang w:val="sr-Cyrl-CS"/>
              </w:rPr>
              <w:t>0,0</w:t>
            </w:r>
          </w:p>
        </w:tc>
        <w:tc>
          <w:tcPr>
            <w:tcW w:w="1074" w:type="dxa"/>
            <w:tcBorders>
              <w:top w:val="nil"/>
              <w:left w:val="nil"/>
              <w:bottom w:val="single" w:sz="4" w:space="0" w:color="auto"/>
              <w:right w:val="double" w:sz="6" w:space="0" w:color="auto"/>
            </w:tcBorders>
            <w:shd w:val="clear" w:color="auto" w:fill="auto"/>
            <w:vAlign w:val="center"/>
            <w:hideMark/>
          </w:tcPr>
          <w:p w14:paraId="28466497" w14:textId="77777777" w:rsidR="004B0AC2" w:rsidRPr="00092ED7" w:rsidRDefault="004B0AC2" w:rsidP="00FB09AE">
            <w:pPr>
              <w:spacing w:after="0"/>
              <w:jc w:val="right"/>
              <w:rPr>
                <w:sz w:val="20"/>
                <w:szCs w:val="20"/>
                <w:lang w:val="sr-Cyrl-CS"/>
              </w:rPr>
            </w:pPr>
            <w:r w:rsidRPr="00092ED7">
              <w:rPr>
                <w:sz w:val="20"/>
                <w:szCs w:val="20"/>
                <w:lang w:val="sr-Cyrl-CS"/>
              </w:rPr>
              <w:t>0,0</w:t>
            </w:r>
          </w:p>
        </w:tc>
      </w:tr>
      <w:tr w:rsidR="004B0AC2" w:rsidRPr="00092ED7" w14:paraId="2A1493A1" w14:textId="77777777" w:rsidTr="00FB09AE">
        <w:trPr>
          <w:trHeight w:val="255"/>
        </w:trPr>
        <w:tc>
          <w:tcPr>
            <w:tcW w:w="6640" w:type="dxa"/>
            <w:tcBorders>
              <w:top w:val="nil"/>
              <w:left w:val="double" w:sz="6" w:space="0" w:color="auto"/>
              <w:bottom w:val="single" w:sz="4" w:space="0" w:color="auto"/>
              <w:right w:val="nil"/>
            </w:tcBorders>
            <w:shd w:val="clear" w:color="auto" w:fill="auto"/>
            <w:vAlign w:val="center"/>
            <w:hideMark/>
          </w:tcPr>
          <w:p w14:paraId="6E6D5244" w14:textId="77777777" w:rsidR="004B0AC2" w:rsidRPr="00092ED7" w:rsidRDefault="004B0AC2" w:rsidP="00FB09AE">
            <w:pPr>
              <w:spacing w:after="0"/>
              <w:jc w:val="left"/>
              <w:rPr>
                <w:rFonts w:eastAsia="Times New Roman" w:cs="Times New Roman"/>
                <w:b/>
                <w:bCs/>
                <w:sz w:val="20"/>
                <w:szCs w:val="20"/>
                <w:lang w:val="sr-Cyrl-CS"/>
              </w:rPr>
            </w:pPr>
            <w:r w:rsidRPr="00092ED7">
              <w:rPr>
                <w:rFonts w:eastAsia="Times New Roman" w:cs="Times New Roman"/>
                <w:b/>
                <w:bCs/>
                <w:sz w:val="20"/>
                <w:szCs w:val="20"/>
                <w:lang w:val="sr-Cyrl-CS"/>
              </w:rPr>
              <w:t>Општа ниво државе</w:t>
            </w:r>
          </w:p>
        </w:tc>
        <w:tc>
          <w:tcPr>
            <w:tcW w:w="1417" w:type="dxa"/>
            <w:tcBorders>
              <w:top w:val="nil"/>
              <w:left w:val="single" w:sz="8" w:space="0" w:color="auto"/>
              <w:bottom w:val="single" w:sz="4" w:space="0" w:color="auto"/>
              <w:right w:val="single" w:sz="8" w:space="0" w:color="auto"/>
            </w:tcBorders>
            <w:shd w:val="clear" w:color="auto" w:fill="auto"/>
            <w:vAlign w:val="center"/>
            <w:hideMark/>
          </w:tcPr>
          <w:p w14:paraId="72F9DEE1" w14:textId="77777777" w:rsidR="004B0AC2" w:rsidRPr="00092ED7" w:rsidRDefault="004B0AC2" w:rsidP="00FB09AE">
            <w:pPr>
              <w:spacing w:after="0"/>
              <w:jc w:val="center"/>
              <w:rPr>
                <w:rFonts w:eastAsia="Times New Roman" w:cs="Times New Roman"/>
                <w:b/>
                <w:bCs/>
                <w:sz w:val="20"/>
                <w:szCs w:val="20"/>
                <w:lang w:val="sr-Cyrl-CS"/>
              </w:rPr>
            </w:pPr>
          </w:p>
        </w:tc>
        <w:tc>
          <w:tcPr>
            <w:tcW w:w="1074" w:type="dxa"/>
            <w:tcBorders>
              <w:top w:val="nil"/>
              <w:left w:val="nil"/>
              <w:bottom w:val="single" w:sz="4" w:space="0" w:color="auto"/>
              <w:right w:val="nil"/>
            </w:tcBorders>
            <w:shd w:val="clear" w:color="auto" w:fill="auto"/>
            <w:vAlign w:val="center"/>
            <w:hideMark/>
          </w:tcPr>
          <w:p w14:paraId="76E85865" w14:textId="77777777" w:rsidR="004B0AC2" w:rsidRPr="00092ED7" w:rsidRDefault="004B0AC2" w:rsidP="00FB09AE">
            <w:pPr>
              <w:spacing w:after="0"/>
              <w:jc w:val="right"/>
              <w:rPr>
                <w:rFonts w:eastAsia="Times New Roman" w:cs="Times New Roman"/>
                <w:b/>
                <w:bCs/>
                <w:sz w:val="20"/>
                <w:szCs w:val="20"/>
                <w:lang w:val="sr-Cyrl-CS"/>
              </w:rPr>
            </w:pPr>
            <w:r w:rsidRPr="00092ED7">
              <w:rPr>
                <w:rFonts w:eastAsia="Times New Roman" w:cs="Times New Roman"/>
                <w:b/>
                <w:bCs/>
                <w:sz w:val="20"/>
                <w:szCs w:val="20"/>
                <w:lang w:val="sr-Cyrl-CS"/>
              </w:rPr>
              <w:t> </w:t>
            </w:r>
          </w:p>
        </w:tc>
        <w:tc>
          <w:tcPr>
            <w:tcW w:w="1074" w:type="dxa"/>
            <w:tcBorders>
              <w:top w:val="nil"/>
              <w:left w:val="nil"/>
              <w:bottom w:val="single" w:sz="4" w:space="0" w:color="auto"/>
              <w:right w:val="nil"/>
            </w:tcBorders>
            <w:shd w:val="clear" w:color="auto" w:fill="auto"/>
            <w:vAlign w:val="center"/>
            <w:hideMark/>
          </w:tcPr>
          <w:p w14:paraId="4A9401DE" w14:textId="77777777" w:rsidR="004B0AC2" w:rsidRPr="00092ED7" w:rsidRDefault="004B0AC2" w:rsidP="00FB09AE">
            <w:pPr>
              <w:spacing w:after="0"/>
              <w:jc w:val="right"/>
              <w:rPr>
                <w:rFonts w:eastAsia="Times New Roman" w:cs="Times New Roman"/>
                <w:b/>
                <w:bCs/>
                <w:sz w:val="20"/>
                <w:szCs w:val="20"/>
                <w:lang w:val="sr-Cyrl-CS"/>
              </w:rPr>
            </w:pPr>
            <w:r w:rsidRPr="00092ED7">
              <w:rPr>
                <w:rFonts w:eastAsia="Times New Roman" w:cs="Times New Roman"/>
                <w:b/>
                <w:bCs/>
                <w:sz w:val="20"/>
                <w:szCs w:val="20"/>
                <w:lang w:val="sr-Cyrl-CS"/>
              </w:rPr>
              <w:t> </w:t>
            </w:r>
          </w:p>
        </w:tc>
        <w:tc>
          <w:tcPr>
            <w:tcW w:w="1074" w:type="dxa"/>
            <w:gridSpan w:val="2"/>
            <w:tcBorders>
              <w:top w:val="nil"/>
              <w:left w:val="nil"/>
              <w:bottom w:val="single" w:sz="4" w:space="0" w:color="auto"/>
              <w:right w:val="nil"/>
            </w:tcBorders>
            <w:shd w:val="clear" w:color="auto" w:fill="auto"/>
            <w:vAlign w:val="center"/>
            <w:hideMark/>
          </w:tcPr>
          <w:p w14:paraId="2B188022" w14:textId="77777777" w:rsidR="004B0AC2" w:rsidRPr="00092ED7" w:rsidRDefault="004B0AC2" w:rsidP="00FB09AE">
            <w:pPr>
              <w:spacing w:after="0"/>
              <w:jc w:val="right"/>
              <w:rPr>
                <w:rFonts w:eastAsia="Times New Roman" w:cs="Times New Roman"/>
                <w:b/>
                <w:bCs/>
                <w:sz w:val="20"/>
                <w:szCs w:val="20"/>
                <w:lang w:val="sr-Cyrl-CS"/>
              </w:rPr>
            </w:pPr>
            <w:r w:rsidRPr="00092ED7">
              <w:rPr>
                <w:rFonts w:eastAsia="Times New Roman" w:cs="Times New Roman"/>
                <w:b/>
                <w:bCs/>
                <w:sz w:val="20"/>
                <w:szCs w:val="20"/>
                <w:lang w:val="sr-Cyrl-CS"/>
              </w:rPr>
              <w:t> </w:t>
            </w:r>
          </w:p>
        </w:tc>
        <w:tc>
          <w:tcPr>
            <w:tcW w:w="1074" w:type="dxa"/>
            <w:gridSpan w:val="2"/>
            <w:tcBorders>
              <w:top w:val="nil"/>
              <w:left w:val="nil"/>
              <w:bottom w:val="single" w:sz="4" w:space="0" w:color="auto"/>
              <w:right w:val="nil"/>
            </w:tcBorders>
            <w:shd w:val="clear" w:color="auto" w:fill="auto"/>
            <w:vAlign w:val="center"/>
            <w:hideMark/>
          </w:tcPr>
          <w:p w14:paraId="65F87410" w14:textId="77777777" w:rsidR="004B0AC2" w:rsidRPr="00092ED7" w:rsidRDefault="004B0AC2" w:rsidP="00FB09AE">
            <w:pPr>
              <w:spacing w:after="0"/>
              <w:jc w:val="right"/>
              <w:rPr>
                <w:rFonts w:eastAsia="Times New Roman" w:cs="Times New Roman"/>
                <w:b/>
                <w:bCs/>
                <w:sz w:val="20"/>
                <w:szCs w:val="20"/>
                <w:lang w:val="sr-Cyrl-CS"/>
              </w:rPr>
            </w:pPr>
            <w:r w:rsidRPr="00092ED7">
              <w:rPr>
                <w:rFonts w:eastAsia="Times New Roman" w:cs="Times New Roman"/>
                <w:b/>
                <w:bCs/>
                <w:sz w:val="20"/>
                <w:szCs w:val="20"/>
                <w:lang w:val="sr-Cyrl-CS"/>
              </w:rPr>
              <w:t> </w:t>
            </w:r>
          </w:p>
        </w:tc>
        <w:tc>
          <w:tcPr>
            <w:tcW w:w="1074" w:type="dxa"/>
            <w:tcBorders>
              <w:top w:val="nil"/>
              <w:left w:val="nil"/>
              <w:bottom w:val="single" w:sz="4" w:space="0" w:color="auto"/>
              <w:right w:val="nil"/>
            </w:tcBorders>
            <w:shd w:val="clear" w:color="auto" w:fill="auto"/>
            <w:vAlign w:val="center"/>
            <w:hideMark/>
          </w:tcPr>
          <w:p w14:paraId="0789703E" w14:textId="77777777" w:rsidR="004B0AC2" w:rsidRPr="00092ED7" w:rsidRDefault="004B0AC2" w:rsidP="00FB09AE">
            <w:pPr>
              <w:spacing w:after="0"/>
              <w:jc w:val="right"/>
              <w:rPr>
                <w:rFonts w:eastAsia="Times New Roman" w:cs="Times New Roman"/>
                <w:b/>
                <w:bCs/>
                <w:sz w:val="20"/>
                <w:szCs w:val="20"/>
                <w:lang w:val="sr-Cyrl-CS"/>
              </w:rPr>
            </w:pPr>
            <w:r w:rsidRPr="00092ED7">
              <w:rPr>
                <w:rFonts w:eastAsia="Times New Roman" w:cs="Times New Roman"/>
                <w:b/>
                <w:bCs/>
                <w:sz w:val="20"/>
                <w:szCs w:val="20"/>
                <w:lang w:val="sr-Cyrl-CS"/>
              </w:rPr>
              <w:t> </w:t>
            </w:r>
          </w:p>
        </w:tc>
        <w:tc>
          <w:tcPr>
            <w:tcW w:w="1074" w:type="dxa"/>
            <w:tcBorders>
              <w:top w:val="nil"/>
              <w:left w:val="nil"/>
              <w:bottom w:val="single" w:sz="4" w:space="0" w:color="auto"/>
              <w:right w:val="double" w:sz="6" w:space="0" w:color="auto"/>
            </w:tcBorders>
            <w:shd w:val="clear" w:color="auto" w:fill="auto"/>
            <w:vAlign w:val="center"/>
            <w:hideMark/>
          </w:tcPr>
          <w:p w14:paraId="3EA3B99D" w14:textId="77777777" w:rsidR="004B0AC2" w:rsidRPr="00092ED7" w:rsidRDefault="004B0AC2" w:rsidP="00FB09AE">
            <w:pPr>
              <w:spacing w:after="0"/>
              <w:jc w:val="right"/>
              <w:rPr>
                <w:rFonts w:eastAsia="Times New Roman" w:cs="Times New Roman"/>
                <w:b/>
                <w:bCs/>
                <w:sz w:val="20"/>
                <w:szCs w:val="20"/>
                <w:lang w:val="sr-Cyrl-CS"/>
              </w:rPr>
            </w:pPr>
            <w:r w:rsidRPr="00092ED7">
              <w:rPr>
                <w:rFonts w:eastAsia="Times New Roman" w:cs="Times New Roman"/>
                <w:b/>
                <w:bCs/>
                <w:sz w:val="20"/>
                <w:szCs w:val="20"/>
                <w:lang w:val="sr-Cyrl-CS"/>
              </w:rPr>
              <w:t> </w:t>
            </w:r>
          </w:p>
        </w:tc>
      </w:tr>
      <w:tr w:rsidR="004B0AC2" w:rsidRPr="00092ED7" w14:paraId="731E2CD0" w14:textId="77777777" w:rsidTr="00FB09AE">
        <w:trPr>
          <w:trHeight w:val="255"/>
        </w:trPr>
        <w:tc>
          <w:tcPr>
            <w:tcW w:w="6640" w:type="dxa"/>
            <w:tcBorders>
              <w:top w:val="nil"/>
              <w:left w:val="double" w:sz="6" w:space="0" w:color="auto"/>
              <w:bottom w:val="dotted" w:sz="4" w:space="0" w:color="auto"/>
              <w:right w:val="nil"/>
            </w:tcBorders>
            <w:shd w:val="clear" w:color="auto" w:fill="auto"/>
            <w:vAlign w:val="center"/>
            <w:hideMark/>
          </w:tcPr>
          <w:p w14:paraId="727047ED" w14:textId="77777777" w:rsidR="004B0AC2" w:rsidRPr="00092ED7" w:rsidRDefault="004B0AC2" w:rsidP="00FB09AE">
            <w:pPr>
              <w:spacing w:after="0"/>
              <w:jc w:val="left"/>
              <w:rPr>
                <w:rFonts w:eastAsia="Times New Roman" w:cs="Times New Roman"/>
                <w:sz w:val="20"/>
                <w:szCs w:val="20"/>
                <w:lang w:val="sr-Cyrl-CS"/>
              </w:rPr>
            </w:pPr>
            <w:r w:rsidRPr="00092ED7">
              <w:rPr>
                <w:rFonts w:eastAsia="Times New Roman" w:cs="Times New Roman"/>
                <w:sz w:val="20"/>
                <w:szCs w:val="20"/>
                <w:lang w:val="sr-Cyrl-CS"/>
              </w:rPr>
              <w:t>6. Укупни приходи</w:t>
            </w:r>
          </w:p>
        </w:tc>
        <w:tc>
          <w:tcPr>
            <w:tcW w:w="1417" w:type="dxa"/>
            <w:tcBorders>
              <w:top w:val="nil"/>
              <w:left w:val="single" w:sz="8" w:space="0" w:color="auto"/>
              <w:bottom w:val="dotted" w:sz="4" w:space="0" w:color="auto"/>
              <w:right w:val="single" w:sz="8" w:space="0" w:color="auto"/>
            </w:tcBorders>
            <w:shd w:val="clear" w:color="auto" w:fill="auto"/>
            <w:vAlign w:val="center"/>
            <w:hideMark/>
          </w:tcPr>
          <w:p w14:paraId="58843107" w14:textId="77777777" w:rsidR="004B0AC2" w:rsidRPr="00092ED7" w:rsidRDefault="004B0AC2" w:rsidP="00FB09AE">
            <w:pPr>
              <w:spacing w:after="0"/>
              <w:jc w:val="center"/>
              <w:rPr>
                <w:rFonts w:eastAsia="Times New Roman" w:cs="Times New Roman"/>
                <w:sz w:val="20"/>
                <w:szCs w:val="20"/>
                <w:lang w:val="sr-Cyrl-CS"/>
              </w:rPr>
            </w:pPr>
            <w:r w:rsidRPr="00092ED7">
              <w:rPr>
                <w:rFonts w:eastAsia="Times New Roman" w:cs="Times New Roman"/>
                <w:sz w:val="20"/>
                <w:szCs w:val="20"/>
                <w:lang w:val="sr-Cyrl-CS"/>
              </w:rPr>
              <w:t>TR</w:t>
            </w:r>
          </w:p>
        </w:tc>
        <w:tc>
          <w:tcPr>
            <w:tcW w:w="1074" w:type="dxa"/>
            <w:tcBorders>
              <w:top w:val="nil"/>
              <w:left w:val="nil"/>
              <w:bottom w:val="dotted" w:sz="4" w:space="0" w:color="auto"/>
              <w:right w:val="dotted" w:sz="4" w:space="0" w:color="auto"/>
            </w:tcBorders>
            <w:shd w:val="clear" w:color="auto" w:fill="auto"/>
            <w:vAlign w:val="center"/>
            <w:hideMark/>
          </w:tcPr>
          <w:p w14:paraId="6259C2F7" w14:textId="77777777" w:rsidR="004B0AC2" w:rsidRPr="00092ED7" w:rsidRDefault="004B0AC2" w:rsidP="00FB09AE">
            <w:pPr>
              <w:spacing w:after="0"/>
              <w:jc w:val="right"/>
              <w:rPr>
                <w:sz w:val="20"/>
                <w:szCs w:val="20"/>
                <w:lang w:val="sr-Cyrl-CS"/>
              </w:rPr>
            </w:pPr>
            <w:r w:rsidRPr="00092ED7">
              <w:rPr>
                <w:sz w:val="20"/>
                <w:szCs w:val="20"/>
                <w:lang w:val="sr-Cyrl-CS"/>
              </w:rPr>
              <w:t>2.255,0</w:t>
            </w:r>
          </w:p>
        </w:tc>
        <w:tc>
          <w:tcPr>
            <w:tcW w:w="1074" w:type="dxa"/>
            <w:tcBorders>
              <w:top w:val="nil"/>
              <w:left w:val="nil"/>
              <w:bottom w:val="dotted" w:sz="4" w:space="0" w:color="auto"/>
              <w:right w:val="dotted" w:sz="4" w:space="0" w:color="auto"/>
            </w:tcBorders>
            <w:shd w:val="clear" w:color="auto" w:fill="auto"/>
            <w:vAlign w:val="center"/>
            <w:hideMark/>
          </w:tcPr>
          <w:p w14:paraId="28996D60" w14:textId="77777777" w:rsidR="004B0AC2" w:rsidRPr="00092ED7" w:rsidRDefault="004B0AC2" w:rsidP="00FB09AE">
            <w:pPr>
              <w:spacing w:after="0"/>
              <w:jc w:val="right"/>
              <w:rPr>
                <w:sz w:val="20"/>
                <w:szCs w:val="20"/>
                <w:lang w:val="sr-Cyrl-CS"/>
              </w:rPr>
            </w:pPr>
            <w:r w:rsidRPr="00092ED7">
              <w:rPr>
                <w:sz w:val="20"/>
                <w:szCs w:val="20"/>
                <w:lang w:val="sr-Cyrl-CS"/>
              </w:rPr>
              <w:t>2.711,9</w:t>
            </w:r>
          </w:p>
        </w:tc>
        <w:tc>
          <w:tcPr>
            <w:tcW w:w="1074" w:type="dxa"/>
            <w:gridSpan w:val="2"/>
            <w:tcBorders>
              <w:top w:val="nil"/>
              <w:left w:val="nil"/>
              <w:bottom w:val="dotted" w:sz="4" w:space="0" w:color="auto"/>
              <w:right w:val="dotted" w:sz="4" w:space="0" w:color="auto"/>
            </w:tcBorders>
            <w:shd w:val="clear" w:color="auto" w:fill="auto"/>
            <w:vAlign w:val="center"/>
            <w:hideMark/>
          </w:tcPr>
          <w:p w14:paraId="2105C814" w14:textId="77777777" w:rsidR="004B0AC2" w:rsidRPr="00092ED7" w:rsidRDefault="004B0AC2" w:rsidP="00FB09AE">
            <w:pPr>
              <w:spacing w:after="0"/>
              <w:jc w:val="right"/>
              <w:rPr>
                <w:sz w:val="20"/>
                <w:szCs w:val="20"/>
                <w:lang w:val="sr-Cyrl-CS"/>
              </w:rPr>
            </w:pPr>
            <w:r w:rsidRPr="00092ED7">
              <w:rPr>
                <w:sz w:val="20"/>
                <w:szCs w:val="20"/>
                <w:lang w:val="sr-Cyrl-CS"/>
              </w:rPr>
              <w:t>3.045,8</w:t>
            </w:r>
          </w:p>
        </w:tc>
        <w:tc>
          <w:tcPr>
            <w:tcW w:w="1074" w:type="dxa"/>
            <w:gridSpan w:val="2"/>
            <w:tcBorders>
              <w:top w:val="nil"/>
              <w:left w:val="nil"/>
              <w:bottom w:val="dotted" w:sz="4" w:space="0" w:color="auto"/>
              <w:right w:val="dotted" w:sz="4" w:space="0" w:color="auto"/>
            </w:tcBorders>
            <w:shd w:val="clear" w:color="auto" w:fill="auto"/>
            <w:vAlign w:val="center"/>
            <w:hideMark/>
          </w:tcPr>
          <w:p w14:paraId="75D976B0" w14:textId="77777777" w:rsidR="004B0AC2" w:rsidRPr="00092ED7" w:rsidRDefault="004B0AC2" w:rsidP="00FB09AE">
            <w:pPr>
              <w:spacing w:after="0"/>
              <w:jc w:val="right"/>
              <w:rPr>
                <w:sz w:val="20"/>
                <w:szCs w:val="20"/>
                <w:lang w:val="sr-Cyrl-CS"/>
              </w:rPr>
            </w:pPr>
            <w:r w:rsidRPr="00092ED7">
              <w:rPr>
                <w:sz w:val="20"/>
                <w:szCs w:val="20"/>
                <w:lang w:val="sr-Cyrl-CS"/>
              </w:rPr>
              <w:t>3.283,5</w:t>
            </w:r>
          </w:p>
        </w:tc>
        <w:tc>
          <w:tcPr>
            <w:tcW w:w="1074" w:type="dxa"/>
            <w:tcBorders>
              <w:top w:val="nil"/>
              <w:left w:val="nil"/>
              <w:bottom w:val="dotted" w:sz="4" w:space="0" w:color="auto"/>
              <w:right w:val="dotted" w:sz="4" w:space="0" w:color="auto"/>
            </w:tcBorders>
            <w:shd w:val="clear" w:color="auto" w:fill="auto"/>
            <w:vAlign w:val="center"/>
            <w:hideMark/>
          </w:tcPr>
          <w:p w14:paraId="32AB2C75" w14:textId="77777777" w:rsidR="004B0AC2" w:rsidRPr="00092ED7" w:rsidRDefault="004B0AC2" w:rsidP="00FB09AE">
            <w:pPr>
              <w:spacing w:after="0"/>
              <w:jc w:val="right"/>
              <w:rPr>
                <w:sz w:val="20"/>
                <w:szCs w:val="20"/>
                <w:lang w:val="sr-Cyrl-CS"/>
              </w:rPr>
            </w:pPr>
            <w:r w:rsidRPr="00092ED7">
              <w:rPr>
                <w:sz w:val="20"/>
                <w:szCs w:val="20"/>
                <w:lang w:val="sr-Cyrl-CS"/>
              </w:rPr>
              <w:t>3.543,8</w:t>
            </w:r>
          </w:p>
        </w:tc>
        <w:tc>
          <w:tcPr>
            <w:tcW w:w="1074" w:type="dxa"/>
            <w:tcBorders>
              <w:top w:val="nil"/>
              <w:left w:val="nil"/>
              <w:bottom w:val="dotted" w:sz="4" w:space="0" w:color="auto"/>
              <w:right w:val="double" w:sz="6" w:space="0" w:color="auto"/>
            </w:tcBorders>
            <w:shd w:val="clear" w:color="auto" w:fill="auto"/>
            <w:vAlign w:val="center"/>
            <w:hideMark/>
          </w:tcPr>
          <w:p w14:paraId="6BD55B58" w14:textId="77777777" w:rsidR="004B0AC2" w:rsidRPr="00092ED7" w:rsidRDefault="004B0AC2" w:rsidP="00FB09AE">
            <w:pPr>
              <w:spacing w:after="0"/>
              <w:jc w:val="right"/>
              <w:rPr>
                <w:sz w:val="20"/>
                <w:szCs w:val="20"/>
                <w:lang w:val="sr-Cyrl-CS"/>
              </w:rPr>
            </w:pPr>
            <w:r w:rsidRPr="00092ED7">
              <w:rPr>
                <w:sz w:val="20"/>
                <w:szCs w:val="20"/>
                <w:lang w:val="sr-Cyrl-CS"/>
              </w:rPr>
              <w:t>3.772,7</w:t>
            </w:r>
          </w:p>
        </w:tc>
      </w:tr>
      <w:tr w:rsidR="004B0AC2" w:rsidRPr="00092ED7" w14:paraId="0BD5F2B2" w14:textId="77777777" w:rsidTr="00FB09AE">
        <w:trPr>
          <w:trHeight w:val="255"/>
        </w:trPr>
        <w:tc>
          <w:tcPr>
            <w:tcW w:w="6640" w:type="dxa"/>
            <w:tcBorders>
              <w:top w:val="nil"/>
              <w:left w:val="double" w:sz="6" w:space="0" w:color="auto"/>
              <w:bottom w:val="nil"/>
              <w:right w:val="single" w:sz="8" w:space="0" w:color="auto"/>
            </w:tcBorders>
            <w:shd w:val="clear" w:color="auto" w:fill="auto"/>
            <w:noWrap/>
            <w:vAlign w:val="center"/>
            <w:hideMark/>
          </w:tcPr>
          <w:p w14:paraId="67AA0C7D" w14:textId="77777777" w:rsidR="004B0AC2" w:rsidRPr="00092ED7" w:rsidRDefault="00000000" w:rsidP="00FB09AE">
            <w:pPr>
              <w:spacing w:after="0"/>
              <w:jc w:val="left"/>
              <w:rPr>
                <w:rFonts w:eastAsia="Times New Roman" w:cs="Times New Roman"/>
                <w:sz w:val="20"/>
                <w:szCs w:val="20"/>
                <w:lang w:val="sr-Cyrl-CS"/>
              </w:rPr>
            </w:pPr>
            <w:hyperlink r:id="rId51" w:anchor="RANGE!B139" w:history="1">
              <w:r w:rsidR="004B0AC2" w:rsidRPr="00092ED7">
                <w:rPr>
                  <w:rFonts w:eastAsia="Times New Roman" w:cs="Times New Roman"/>
                  <w:sz w:val="20"/>
                  <w:szCs w:val="20"/>
                  <w:lang w:val="sr-Cyrl-CS"/>
                </w:rPr>
                <w:t>7. Укупни расходи[1]</w:t>
              </w:r>
            </w:hyperlink>
          </w:p>
        </w:tc>
        <w:tc>
          <w:tcPr>
            <w:tcW w:w="1417" w:type="dxa"/>
            <w:tcBorders>
              <w:top w:val="nil"/>
              <w:left w:val="nil"/>
              <w:bottom w:val="dotted" w:sz="4" w:space="0" w:color="auto"/>
              <w:right w:val="single" w:sz="8" w:space="0" w:color="auto"/>
            </w:tcBorders>
            <w:shd w:val="clear" w:color="auto" w:fill="auto"/>
            <w:vAlign w:val="center"/>
            <w:hideMark/>
          </w:tcPr>
          <w:p w14:paraId="01AE0B07" w14:textId="77777777" w:rsidR="004B0AC2" w:rsidRPr="00092ED7" w:rsidRDefault="004B0AC2" w:rsidP="00FB09AE">
            <w:pPr>
              <w:spacing w:after="0"/>
              <w:jc w:val="center"/>
              <w:rPr>
                <w:rFonts w:eastAsia="Times New Roman" w:cs="Times New Roman"/>
                <w:sz w:val="20"/>
                <w:szCs w:val="20"/>
                <w:lang w:val="sr-Cyrl-CS"/>
              </w:rPr>
            </w:pPr>
            <w:r w:rsidRPr="00092ED7">
              <w:rPr>
                <w:rFonts w:eastAsia="Times New Roman" w:cs="Times New Roman"/>
                <w:sz w:val="20"/>
                <w:szCs w:val="20"/>
                <w:lang w:val="sr-Cyrl-CS"/>
              </w:rPr>
              <w:t>TE</w:t>
            </w:r>
          </w:p>
        </w:tc>
        <w:tc>
          <w:tcPr>
            <w:tcW w:w="1074" w:type="dxa"/>
            <w:tcBorders>
              <w:top w:val="nil"/>
              <w:left w:val="nil"/>
              <w:bottom w:val="dotted" w:sz="4" w:space="0" w:color="auto"/>
              <w:right w:val="dotted" w:sz="4" w:space="0" w:color="auto"/>
            </w:tcBorders>
            <w:shd w:val="clear" w:color="auto" w:fill="auto"/>
            <w:vAlign w:val="center"/>
            <w:hideMark/>
          </w:tcPr>
          <w:p w14:paraId="0CE9C970" w14:textId="77777777" w:rsidR="004B0AC2" w:rsidRPr="00092ED7" w:rsidRDefault="004B0AC2" w:rsidP="00FB09AE">
            <w:pPr>
              <w:spacing w:after="0"/>
              <w:jc w:val="right"/>
              <w:rPr>
                <w:sz w:val="20"/>
                <w:szCs w:val="20"/>
                <w:lang w:val="sr-Cyrl-CS"/>
              </w:rPr>
            </w:pPr>
            <w:r w:rsidRPr="00092ED7">
              <w:rPr>
                <w:sz w:val="20"/>
                <w:szCs w:val="20"/>
                <w:lang w:val="sr-Cyrl-CS"/>
              </w:rPr>
              <w:t>2.697,7</w:t>
            </w:r>
          </w:p>
        </w:tc>
        <w:tc>
          <w:tcPr>
            <w:tcW w:w="1074" w:type="dxa"/>
            <w:tcBorders>
              <w:top w:val="nil"/>
              <w:left w:val="nil"/>
              <w:bottom w:val="dotted" w:sz="4" w:space="0" w:color="auto"/>
              <w:right w:val="dotted" w:sz="4" w:space="0" w:color="auto"/>
            </w:tcBorders>
            <w:shd w:val="clear" w:color="auto" w:fill="auto"/>
            <w:vAlign w:val="center"/>
            <w:hideMark/>
          </w:tcPr>
          <w:p w14:paraId="7FE18283" w14:textId="77777777" w:rsidR="004B0AC2" w:rsidRPr="00092ED7" w:rsidRDefault="004B0AC2" w:rsidP="00FB09AE">
            <w:pPr>
              <w:spacing w:after="0"/>
              <w:jc w:val="right"/>
              <w:rPr>
                <w:sz w:val="20"/>
                <w:szCs w:val="20"/>
                <w:lang w:val="sr-Cyrl-CS"/>
              </w:rPr>
            </w:pPr>
            <w:r w:rsidRPr="00092ED7">
              <w:rPr>
                <w:sz w:val="20"/>
                <w:szCs w:val="20"/>
                <w:lang w:val="sr-Cyrl-CS"/>
              </w:rPr>
              <w:t>2.971,3</w:t>
            </w:r>
          </w:p>
        </w:tc>
        <w:tc>
          <w:tcPr>
            <w:tcW w:w="1074" w:type="dxa"/>
            <w:gridSpan w:val="2"/>
            <w:tcBorders>
              <w:top w:val="nil"/>
              <w:left w:val="nil"/>
              <w:bottom w:val="dotted" w:sz="4" w:space="0" w:color="auto"/>
              <w:right w:val="dotted" w:sz="4" w:space="0" w:color="auto"/>
            </w:tcBorders>
            <w:shd w:val="clear" w:color="auto" w:fill="auto"/>
            <w:vAlign w:val="center"/>
            <w:hideMark/>
          </w:tcPr>
          <w:p w14:paraId="0958CE99" w14:textId="77777777" w:rsidR="004B0AC2" w:rsidRPr="00092ED7" w:rsidRDefault="004B0AC2" w:rsidP="00FB09AE">
            <w:pPr>
              <w:spacing w:after="0"/>
              <w:jc w:val="right"/>
              <w:rPr>
                <w:sz w:val="20"/>
                <w:szCs w:val="20"/>
                <w:lang w:val="sr-Cyrl-CS"/>
              </w:rPr>
            </w:pPr>
            <w:r w:rsidRPr="00092ED7">
              <w:rPr>
                <w:sz w:val="20"/>
                <w:szCs w:val="20"/>
                <w:lang w:val="sr-Cyrl-CS"/>
              </w:rPr>
              <w:t>3.317,3</w:t>
            </w:r>
          </w:p>
        </w:tc>
        <w:tc>
          <w:tcPr>
            <w:tcW w:w="1074" w:type="dxa"/>
            <w:gridSpan w:val="2"/>
            <w:tcBorders>
              <w:top w:val="nil"/>
              <w:left w:val="nil"/>
              <w:bottom w:val="dotted" w:sz="4" w:space="0" w:color="auto"/>
              <w:right w:val="dotted" w:sz="4" w:space="0" w:color="auto"/>
            </w:tcBorders>
            <w:shd w:val="clear" w:color="auto" w:fill="auto"/>
            <w:vAlign w:val="center"/>
            <w:hideMark/>
          </w:tcPr>
          <w:p w14:paraId="2EFA873E" w14:textId="77777777" w:rsidR="004B0AC2" w:rsidRPr="00092ED7" w:rsidRDefault="004B0AC2" w:rsidP="00FB09AE">
            <w:pPr>
              <w:spacing w:after="0"/>
              <w:jc w:val="right"/>
              <w:rPr>
                <w:sz w:val="20"/>
                <w:szCs w:val="20"/>
                <w:lang w:val="sr-Cyrl-CS"/>
              </w:rPr>
            </w:pPr>
            <w:r w:rsidRPr="00092ED7">
              <w:rPr>
                <w:sz w:val="20"/>
                <w:szCs w:val="20"/>
                <w:lang w:val="sr-Cyrl-CS"/>
              </w:rPr>
              <w:t>3.547,5</w:t>
            </w:r>
          </w:p>
        </w:tc>
        <w:tc>
          <w:tcPr>
            <w:tcW w:w="1074" w:type="dxa"/>
            <w:tcBorders>
              <w:top w:val="nil"/>
              <w:left w:val="nil"/>
              <w:bottom w:val="dotted" w:sz="4" w:space="0" w:color="auto"/>
              <w:right w:val="dotted" w:sz="4" w:space="0" w:color="auto"/>
            </w:tcBorders>
            <w:shd w:val="clear" w:color="auto" w:fill="auto"/>
            <w:vAlign w:val="center"/>
            <w:hideMark/>
          </w:tcPr>
          <w:p w14:paraId="5C23302F" w14:textId="77777777" w:rsidR="004B0AC2" w:rsidRPr="00092ED7" w:rsidRDefault="004B0AC2" w:rsidP="00FB09AE">
            <w:pPr>
              <w:spacing w:after="0"/>
              <w:jc w:val="right"/>
              <w:rPr>
                <w:sz w:val="20"/>
                <w:szCs w:val="20"/>
                <w:lang w:val="sr-Cyrl-CS"/>
              </w:rPr>
            </w:pPr>
            <w:r w:rsidRPr="00092ED7">
              <w:rPr>
                <w:sz w:val="20"/>
                <w:szCs w:val="20"/>
                <w:lang w:val="sr-Cyrl-CS"/>
              </w:rPr>
              <w:t>3.733,1</w:t>
            </w:r>
          </w:p>
        </w:tc>
        <w:tc>
          <w:tcPr>
            <w:tcW w:w="1074" w:type="dxa"/>
            <w:tcBorders>
              <w:top w:val="nil"/>
              <w:left w:val="nil"/>
              <w:bottom w:val="dotted" w:sz="4" w:space="0" w:color="auto"/>
              <w:right w:val="double" w:sz="6" w:space="0" w:color="auto"/>
            </w:tcBorders>
            <w:shd w:val="clear" w:color="auto" w:fill="auto"/>
            <w:vAlign w:val="center"/>
            <w:hideMark/>
          </w:tcPr>
          <w:p w14:paraId="4CFC7309" w14:textId="77777777" w:rsidR="004B0AC2" w:rsidRPr="00092ED7" w:rsidRDefault="004B0AC2" w:rsidP="00FB09AE">
            <w:pPr>
              <w:spacing w:after="0"/>
              <w:jc w:val="right"/>
              <w:rPr>
                <w:sz w:val="20"/>
                <w:szCs w:val="20"/>
                <w:lang w:val="sr-Cyrl-CS"/>
              </w:rPr>
            </w:pPr>
            <w:r w:rsidRPr="00092ED7">
              <w:rPr>
                <w:sz w:val="20"/>
                <w:szCs w:val="20"/>
                <w:lang w:val="sr-Cyrl-CS"/>
              </w:rPr>
              <w:t>3.901,8</w:t>
            </w:r>
          </w:p>
        </w:tc>
      </w:tr>
      <w:tr w:rsidR="004B0AC2" w:rsidRPr="00092ED7" w14:paraId="344E0148" w14:textId="77777777" w:rsidTr="00FB09AE">
        <w:trPr>
          <w:trHeight w:val="255"/>
        </w:trPr>
        <w:tc>
          <w:tcPr>
            <w:tcW w:w="6640" w:type="dxa"/>
            <w:tcBorders>
              <w:top w:val="nil"/>
              <w:left w:val="double" w:sz="6" w:space="0" w:color="auto"/>
              <w:bottom w:val="dotted" w:sz="4" w:space="0" w:color="auto"/>
              <w:right w:val="single" w:sz="8" w:space="0" w:color="auto"/>
            </w:tcBorders>
            <w:shd w:val="clear" w:color="auto" w:fill="auto"/>
            <w:vAlign w:val="center"/>
            <w:hideMark/>
          </w:tcPr>
          <w:p w14:paraId="29CC42A6" w14:textId="77777777" w:rsidR="004B0AC2" w:rsidRPr="00092ED7" w:rsidRDefault="004B0AC2" w:rsidP="00FB09AE">
            <w:pPr>
              <w:spacing w:after="0"/>
              <w:jc w:val="left"/>
              <w:rPr>
                <w:rFonts w:eastAsia="Times New Roman" w:cs="Times New Roman"/>
                <w:sz w:val="20"/>
                <w:szCs w:val="20"/>
                <w:lang w:val="sr-Cyrl-CS"/>
              </w:rPr>
            </w:pPr>
            <w:r w:rsidRPr="00092ED7">
              <w:rPr>
                <w:rFonts w:eastAsia="Times New Roman" w:cs="Times New Roman"/>
                <w:sz w:val="20"/>
                <w:szCs w:val="20"/>
                <w:lang w:val="sr-Cyrl-CS"/>
              </w:rPr>
              <w:t>8. Нето дате/узете позајмице</w:t>
            </w:r>
          </w:p>
        </w:tc>
        <w:tc>
          <w:tcPr>
            <w:tcW w:w="1417" w:type="dxa"/>
            <w:tcBorders>
              <w:top w:val="nil"/>
              <w:left w:val="nil"/>
              <w:bottom w:val="dotted" w:sz="4" w:space="0" w:color="auto"/>
              <w:right w:val="single" w:sz="8" w:space="0" w:color="auto"/>
            </w:tcBorders>
            <w:shd w:val="clear" w:color="auto" w:fill="auto"/>
            <w:vAlign w:val="center"/>
            <w:hideMark/>
          </w:tcPr>
          <w:p w14:paraId="1C25A5AF" w14:textId="77777777" w:rsidR="004B0AC2" w:rsidRPr="00092ED7" w:rsidRDefault="004B0AC2" w:rsidP="00FB09AE">
            <w:pPr>
              <w:spacing w:after="0"/>
              <w:jc w:val="center"/>
              <w:rPr>
                <w:rFonts w:eastAsia="Times New Roman" w:cs="Times New Roman"/>
                <w:sz w:val="20"/>
                <w:szCs w:val="20"/>
                <w:lang w:val="sr-Cyrl-CS"/>
              </w:rPr>
            </w:pPr>
            <w:r w:rsidRPr="00092ED7">
              <w:rPr>
                <w:rFonts w:eastAsia="Times New Roman" w:cs="Times New Roman"/>
                <w:sz w:val="20"/>
                <w:szCs w:val="20"/>
                <w:lang w:val="sr-Cyrl-CS"/>
              </w:rPr>
              <w:t>EDP.B9</w:t>
            </w:r>
          </w:p>
        </w:tc>
        <w:tc>
          <w:tcPr>
            <w:tcW w:w="1074" w:type="dxa"/>
            <w:tcBorders>
              <w:top w:val="nil"/>
              <w:left w:val="nil"/>
              <w:bottom w:val="dotted" w:sz="4" w:space="0" w:color="auto"/>
              <w:right w:val="dotted" w:sz="4" w:space="0" w:color="auto"/>
            </w:tcBorders>
            <w:shd w:val="clear" w:color="auto" w:fill="auto"/>
            <w:vAlign w:val="center"/>
            <w:hideMark/>
          </w:tcPr>
          <w:p w14:paraId="6B51FA12" w14:textId="77777777" w:rsidR="004B0AC2" w:rsidRPr="00092ED7" w:rsidRDefault="004B0AC2" w:rsidP="00FB09AE">
            <w:pPr>
              <w:spacing w:after="0"/>
              <w:jc w:val="right"/>
              <w:rPr>
                <w:sz w:val="20"/>
                <w:szCs w:val="20"/>
                <w:lang w:val="sr-Cyrl-CS"/>
              </w:rPr>
            </w:pPr>
            <w:r w:rsidRPr="00092ED7">
              <w:rPr>
                <w:sz w:val="20"/>
                <w:szCs w:val="20"/>
                <w:lang w:val="sr-Cyrl-CS"/>
              </w:rPr>
              <w:t>-442,8</w:t>
            </w:r>
          </w:p>
        </w:tc>
        <w:tc>
          <w:tcPr>
            <w:tcW w:w="1074" w:type="dxa"/>
            <w:tcBorders>
              <w:top w:val="nil"/>
              <w:left w:val="nil"/>
              <w:bottom w:val="dotted" w:sz="4" w:space="0" w:color="auto"/>
              <w:right w:val="dotted" w:sz="4" w:space="0" w:color="auto"/>
            </w:tcBorders>
            <w:shd w:val="clear" w:color="auto" w:fill="auto"/>
            <w:vAlign w:val="center"/>
            <w:hideMark/>
          </w:tcPr>
          <w:p w14:paraId="42F37A07" w14:textId="77777777" w:rsidR="004B0AC2" w:rsidRPr="00092ED7" w:rsidRDefault="004B0AC2" w:rsidP="00FB09AE">
            <w:pPr>
              <w:spacing w:after="0"/>
              <w:jc w:val="right"/>
              <w:rPr>
                <w:sz w:val="20"/>
                <w:szCs w:val="20"/>
                <w:lang w:val="sr-Cyrl-CS"/>
              </w:rPr>
            </w:pPr>
            <w:r w:rsidRPr="00092ED7">
              <w:rPr>
                <w:sz w:val="20"/>
                <w:szCs w:val="20"/>
                <w:lang w:val="sr-Cyrl-CS"/>
              </w:rPr>
              <w:t>-259,4</w:t>
            </w:r>
          </w:p>
        </w:tc>
        <w:tc>
          <w:tcPr>
            <w:tcW w:w="1074" w:type="dxa"/>
            <w:gridSpan w:val="2"/>
            <w:tcBorders>
              <w:top w:val="nil"/>
              <w:left w:val="nil"/>
              <w:bottom w:val="dotted" w:sz="4" w:space="0" w:color="auto"/>
              <w:right w:val="dotted" w:sz="4" w:space="0" w:color="auto"/>
            </w:tcBorders>
            <w:shd w:val="clear" w:color="auto" w:fill="auto"/>
            <w:vAlign w:val="center"/>
            <w:hideMark/>
          </w:tcPr>
          <w:p w14:paraId="119D3131" w14:textId="77777777" w:rsidR="004B0AC2" w:rsidRPr="00092ED7" w:rsidRDefault="004B0AC2" w:rsidP="00FB09AE">
            <w:pPr>
              <w:spacing w:after="0"/>
              <w:jc w:val="right"/>
              <w:rPr>
                <w:sz w:val="20"/>
                <w:szCs w:val="20"/>
                <w:lang w:val="sr-Cyrl-CS"/>
              </w:rPr>
            </w:pPr>
            <w:r w:rsidRPr="00092ED7">
              <w:rPr>
                <w:sz w:val="20"/>
                <w:szCs w:val="20"/>
                <w:lang w:val="sr-Cyrl-CS"/>
              </w:rPr>
              <w:t>-271,5</w:t>
            </w:r>
          </w:p>
        </w:tc>
        <w:tc>
          <w:tcPr>
            <w:tcW w:w="1074" w:type="dxa"/>
            <w:gridSpan w:val="2"/>
            <w:tcBorders>
              <w:top w:val="nil"/>
              <w:left w:val="nil"/>
              <w:bottom w:val="dotted" w:sz="4" w:space="0" w:color="auto"/>
              <w:right w:val="dotted" w:sz="4" w:space="0" w:color="auto"/>
            </w:tcBorders>
            <w:shd w:val="clear" w:color="auto" w:fill="auto"/>
            <w:vAlign w:val="center"/>
            <w:hideMark/>
          </w:tcPr>
          <w:p w14:paraId="5674E5B0" w14:textId="77777777" w:rsidR="004B0AC2" w:rsidRPr="00092ED7" w:rsidRDefault="004B0AC2" w:rsidP="00FB09AE">
            <w:pPr>
              <w:spacing w:after="0"/>
              <w:jc w:val="right"/>
              <w:rPr>
                <w:sz w:val="20"/>
                <w:szCs w:val="20"/>
                <w:lang w:val="sr-Cyrl-CS"/>
              </w:rPr>
            </w:pPr>
            <w:r w:rsidRPr="00092ED7">
              <w:rPr>
                <w:sz w:val="20"/>
                <w:szCs w:val="20"/>
                <w:lang w:val="sr-Cyrl-CS"/>
              </w:rPr>
              <w:t>-264,0</w:t>
            </w:r>
          </w:p>
        </w:tc>
        <w:tc>
          <w:tcPr>
            <w:tcW w:w="1074" w:type="dxa"/>
            <w:tcBorders>
              <w:top w:val="nil"/>
              <w:left w:val="nil"/>
              <w:bottom w:val="dotted" w:sz="4" w:space="0" w:color="auto"/>
              <w:right w:val="dotted" w:sz="4" w:space="0" w:color="auto"/>
            </w:tcBorders>
            <w:shd w:val="clear" w:color="auto" w:fill="auto"/>
            <w:vAlign w:val="center"/>
            <w:hideMark/>
          </w:tcPr>
          <w:p w14:paraId="5D9C7650" w14:textId="77777777" w:rsidR="004B0AC2" w:rsidRPr="00092ED7" w:rsidRDefault="004B0AC2" w:rsidP="00FB09AE">
            <w:pPr>
              <w:spacing w:after="0"/>
              <w:jc w:val="right"/>
              <w:rPr>
                <w:sz w:val="20"/>
                <w:szCs w:val="20"/>
                <w:lang w:val="sr-Cyrl-CS"/>
              </w:rPr>
            </w:pPr>
            <w:r w:rsidRPr="00092ED7">
              <w:rPr>
                <w:sz w:val="20"/>
                <w:szCs w:val="20"/>
                <w:lang w:val="sr-Cyrl-CS"/>
              </w:rPr>
              <w:t>-189,3</w:t>
            </w:r>
          </w:p>
        </w:tc>
        <w:tc>
          <w:tcPr>
            <w:tcW w:w="1074" w:type="dxa"/>
            <w:tcBorders>
              <w:top w:val="nil"/>
              <w:left w:val="nil"/>
              <w:bottom w:val="dotted" w:sz="4" w:space="0" w:color="auto"/>
              <w:right w:val="double" w:sz="6" w:space="0" w:color="auto"/>
            </w:tcBorders>
            <w:shd w:val="clear" w:color="auto" w:fill="auto"/>
            <w:vAlign w:val="center"/>
            <w:hideMark/>
          </w:tcPr>
          <w:p w14:paraId="5673D20C" w14:textId="77777777" w:rsidR="004B0AC2" w:rsidRPr="00092ED7" w:rsidRDefault="004B0AC2" w:rsidP="00FB09AE">
            <w:pPr>
              <w:spacing w:after="0"/>
              <w:jc w:val="right"/>
              <w:rPr>
                <w:sz w:val="20"/>
                <w:szCs w:val="20"/>
                <w:lang w:val="sr-Cyrl-CS"/>
              </w:rPr>
            </w:pPr>
            <w:r w:rsidRPr="00092ED7">
              <w:rPr>
                <w:sz w:val="20"/>
                <w:szCs w:val="20"/>
                <w:lang w:val="sr-Cyrl-CS"/>
              </w:rPr>
              <w:t>-129,1</w:t>
            </w:r>
          </w:p>
        </w:tc>
      </w:tr>
      <w:tr w:rsidR="004B0AC2" w:rsidRPr="00092ED7" w14:paraId="4896A261" w14:textId="77777777" w:rsidTr="00FB09AE">
        <w:trPr>
          <w:trHeight w:val="510"/>
        </w:trPr>
        <w:tc>
          <w:tcPr>
            <w:tcW w:w="6640" w:type="dxa"/>
            <w:tcBorders>
              <w:top w:val="nil"/>
              <w:left w:val="double" w:sz="6" w:space="0" w:color="auto"/>
              <w:bottom w:val="dotted" w:sz="4" w:space="0" w:color="auto"/>
              <w:right w:val="single" w:sz="8" w:space="0" w:color="auto"/>
            </w:tcBorders>
            <w:shd w:val="clear" w:color="auto" w:fill="auto"/>
            <w:vAlign w:val="center"/>
            <w:hideMark/>
          </w:tcPr>
          <w:p w14:paraId="2F9408B7" w14:textId="77777777" w:rsidR="004B0AC2" w:rsidRPr="00092ED7" w:rsidRDefault="004B0AC2" w:rsidP="00FB09AE">
            <w:pPr>
              <w:spacing w:after="0"/>
              <w:jc w:val="left"/>
              <w:rPr>
                <w:rFonts w:eastAsia="Times New Roman" w:cs="Times New Roman"/>
                <w:sz w:val="20"/>
                <w:szCs w:val="20"/>
                <w:lang w:val="sr-Cyrl-CS"/>
              </w:rPr>
            </w:pPr>
            <w:r w:rsidRPr="00092ED7">
              <w:rPr>
                <w:rFonts w:eastAsia="Times New Roman" w:cs="Times New Roman"/>
                <w:sz w:val="20"/>
                <w:szCs w:val="20"/>
                <w:lang w:val="sr-Cyrl-CS"/>
              </w:rPr>
              <w:t>9.Расходи за камате</w:t>
            </w:r>
          </w:p>
        </w:tc>
        <w:tc>
          <w:tcPr>
            <w:tcW w:w="1417" w:type="dxa"/>
            <w:tcBorders>
              <w:top w:val="nil"/>
              <w:left w:val="nil"/>
              <w:bottom w:val="dotted" w:sz="4" w:space="0" w:color="auto"/>
              <w:right w:val="single" w:sz="8" w:space="0" w:color="auto"/>
            </w:tcBorders>
            <w:shd w:val="clear" w:color="auto" w:fill="auto"/>
            <w:vAlign w:val="center"/>
            <w:hideMark/>
          </w:tcPr>
          <w:p w14:paraId="5D1F1AFD" w14:textId="77777777" w:rsidR="004B0AC2" w:rsidRPr="00092ED7" w:rsidRDefault="004B0AC2" w:rsidP="00FB09AE">
            <w:pPr>
              <w:spacing w:after="0"/>
              <w:jc w:val="center"/>
              <w:rPr>
                <w:rFonts w:eastAsia="Times New Roman" w:cs="Times New Roman"/>
                <w:sz w:val="20"/>
                <w:szCs w:val="20"/>
                <w:lang w:val="sr-Cyrl-CS"/>
              </w:rPr>
            </w:pPr>
            <w:r w:rsidRPr="00092ED7">
              <w:rPr>
                <w:rFonts w:eastAsia="Times New Roman" w:cs="Times New Roman"/>
                <w:sz w:val="20"/>
                <w:szCs w:val="20"/>
                <w:lang w:val="sr-Cyrl-CS"/>
              </w:rPr>
              <w:t>EDP.D41 укљ. FISIM</w:t>
            </w:r>
          </w:p>
        </w:tc>
        <w:tc>
          <w:tcPr>
            <w:tcW w:w="1074" w:type="dxa"/>
            <w:tcBorders>
              <w:top w:val="nil"/>
              <w:left w:val="nil"/>
              <w:bottom w:val="dotted" w:sz="4" w:space="0" w:color="auto"/>
              <w:right w:val="dotted" w:sz="4" w:space="0" w:color="auto"/>
            </w:tcBorders>
            <w:shd w:val="clear" w:color="auto" w:fill="auto"/>
            <w:vAlign w:val="center"/>
            <w:hideMark/>
          </w:tcPr>
          <w:p w14:paraId="0D5B32D5" w14:textId="77777777" w:rsidR="004B0AC2" w:rsidRPr="00092ED7" w:rsidRDefault="004B0AC2" w:rsidP="00FB09AE">
            <w:pPr>
              <w:spacing w:after="0"/>
              <w:jc w:val="right"/>
              <w:rPr>
                <w:sz w:val="20"/>
                <w:szCs w:val="20"/>
                <w:lang w:val="sr-Cyrl-CS"/>
              </w:rPr>
            </w:pPr>
            <w:r w:rsidRPr="00092ED7">
              <w:rPr>
                <w:sz w:val="20"/>
                <w:szCs w:val="20"/>
                <w:lang w:val="sr-Cyrl-CS"/>
              </w:rPr>
              <w:t>110,2</w:t>
            </w:r>
          </w:p>
        </w:tc>
        <w:tc>
          <w:tcPr>
            <w:tcW w:w="1074" w:type="dxa"/>
            <w:tcBorders>
              <w:top w:val="nil"/>
              <w:left w:val="nil"/>
              <w:bottom w:val="dotted" w:sz="4" w:space="0" w:color="auto"/>
              <w:right w:val="dotted" w:sz="4" w:space="0" w:color="auto"/>
            </w:tcBorders>
            <w:shd w:val="clear" w:color="auto" w:fill="auto"/>
            <w:vAlign w:val="center"/>
            <w:hideMark/>
          </w:tcPr>
          <w:p w14:paraId="7EB9BD76" w14:textId="77777777" w:rsidR="004B0AC2" w:rsidRPr="00092ED7" w:rsidRDefault="004B0AC2" w:rsidP="00FB09AE">
            <w:pPr>
              <w:spacing w:after="0"/>
              <w:jc w:val="right"/>
              <w:rPr>
                <w:sz w:val="20"/>
                <w:szCs w:val="20"/>
                <w:lang w:val="sr-Cyrl-CS"/>
              </w:rPr>
            </w:pPr>
            <w:r w:rsidRPr="00092ED7">
              <w:rPr>
                <w:sz w:val="20"/>
                <w:szCs w:val="20"/>
                <w:lang w:val="sr-Cyrl-CS"/>
              </w:rPr>
              <w:t>108,7</w:t>
            </w:r>
          </w:p>
        </w:tc>
        <w:tc>
          <w:tcPr>
            <w:tcW w:w="1074" w:type="dxa"/>
            <w:gridSpan w:val="2"/>
            <w:tcBorders>
              <w:top w:val="nil"/>
              <w:left w:val="nil"/>
              <w:bottom w:val="dotted" w:sz="4" w:space="0" w:color="auto"/>
              <w:right w:val="dotted" w:sz="4" w:space="0" w:color="auto"/>
            </w:tcBorders>
            <w:shd w:val="clear" w:color="auto" w:fill="auto"/>
            <w:vAlign w:val="center"/>
            <w:hideMark/>
          </w:tcPr>
          <w:p w14:paraId="36A65EE4" w14:textId="77777777" w:rsidR="004B0AC2" w:rsidRPr="00092ED7" w:rsidRDefault="004B0AC2" w:rsidP="00FB09AE">
            <w:pPr>
              <w:spacing w:after="0"/>
              <w:jc w:val="right"/>
              <w:rPr>
                <w:sz w:val="20"/>
                <w:szCs w:val="20"/>
                <w:lang w:val="sr-Cyrl-CS"/>
              </w:rPr>
            </w:pPr>
            <w:r w:rsidRPr="00092ED7">
              <w:rPr>
                <w:sz w:val="20"/>
                <w:szCs w:val="20"/>
                <w:lang w:val="sr-Cyrl-CS"/>
              </w:rPr>
              <w:t>115,6</w:t>
            </w:r>
          </w:p>
        </w:tc>
        <w:tc>
          <w:tcPr>
            <w:tcW w:w="1074" w:type="dxa"/>
            <w:gridSpan w:val="2"/>
            <w:tcBorders>
              <w:top w:val="nil"/>
              <w:left w:val="nil"/>
              <w:bottom w:val="dotted" w:sz="4" w:space="0" w:color="auto"/>
              <w:right w:val="dotted" w:sz="4" w:space="0" w:color="auto"/>
            </w:tcBorders>
            <w:shd w:val="clear" w:color="auto" w:fill="auto"/>
            <w:vAlign w:val="center"/>
            <w:hideMark/>
          </w:tcPr>
          <w:p w14:paraId="27931098" w14:textId="77777777" w:rsidR="004B0AC2" w:rsidRPr="00092ED7" w:rsidRDefault="004B0AC2" w:rsidP="00FB09AE">
            <w:pPr>
              <w:spacing w:after="0"/>
              <w:jc w:val="right"/>
              <w:rPr>
                <w:sz w:val="20"/>
                <w:szCs w:val="20"/>
                <w:lang w:val="sr-Cyrl-CS"/>
              </w:rPr>
            </w:pPr>
            <w:r w:rsidRPr="00092ED7">
              <w:rPr>
                <w:sz w:val="20"/>
                <w:szCs w:val="20"/>
                <w:lang w:val="sr-Cyrl-CS"/>
              </w:rPr>
              <w:t>145,9</w:t>
            </w:r>
          </w:p>
        </w:tc>
        <w:tc>
          <w:tcPr>
            <w:tcW w:w="1074" w:type="dxa"/>
            <w:tcBorders>
              <w:top w:val="nil"/>
              <w:left w:val="nil"/>
              <w:bottom w:val="dotted" w:sz="4" w:space="0" w:color="auto"/>
              <w:right w:val="dotted" w:sz="4" w:space="0" w:color="auto"/>
            </w:tcBorders>
            <w:shd w:val="clear" w:color="auto" w:fill="auto"/>
            <w:vAlign w:val="center"/>
            <w:hideMark/>
          </w:tcPr>
          <w:p w14:paraId="4FF060CC" w14:textId="77777777" w:rsidR="004B0AC2" w:rsidRPr="00092ED7" w:rsidRDefault="004B0AC2" w:rsidP="00FB09AE">
            <w:pPr>
              <w:spacing w:after="0"/>
              <w:jc w:val="right"/>
              <w:rPr>
                <w:sz w:val="20"/>
                <w:szCs w:val="20"/>
                <w:lang w:val="sr-Cyrl-CS"/>
              </w:rPr>
            </w:pPr>
            <w:r w:rsidRPr="00092ED7">
              <w:rPr>
                <w:sz w:val="20"/>
                <w:szCs w:val="20"/>
                <w:lang w:val="sr-Cyrl-CS"/>
              </w:rPr>
              <w:t>180,6</w:t>
            </w:r>
          </w:p>
        </w:tc>
        <w:tc>
          <w:tcPr>
            <w:tcW w:w="1074" w:type="dxa"/>
            <w:tcBorders>
              <w:top w:val="nil"/>
              <w:left w:val="nil"/>
              <w:bottom w:val="dotted" w:sz="4" w:space="0" w:color="auto"/>
              <w:right w:val="double" w:sz="6" w:space="0" w:color="auto"/>
            </w:tcBorders>
            <w:shd w:val="clear" w:color="auto" w:fill="auto"/>
            <w:vAlign w:val="center"/>
            <w:hideMark/>
          </w:tcPr>
          <w:p w14:paraId="53BE5A2F" w14:textId="77777777" w:rsidR="004B0AC2" w:rsidRPr="00092ED7" w:rsidRDefault="004B0AC2" w:rsidP="00FB09AE">
            <w:pPr>
              <w:spacing w:after="0"/>
              <w:jc w:val="right"/>
              <w:rPr>
                <w:sz w:val="20"/>
                <w:szCs w:val="20"/>
                <w:lang w:val="sr-Cyrl-CS"/>
              </w:rPr>
            </w:pPr>
            <w:r w:rsidRPr="00092ED7">
              <w:rPr>
                <w:sz w:val="20"/>
                <w:szCs w:val="20"/>
                <w:lang w:val="sr-Cyrl-CS"/>
              </w:rPr>
              <w:t>183,3</w:t>
            </w:r>
          </w:p>
        </w:tc>
      </w:tr>
      <w:tr w:rsidR="004B0AC2" w:rsidRPr="00092ED7" w14:paraId="3D2C29AC" w14:textId="77777777" w:rsidTr="00FB09AE">
        <w:trPr>
          <w:trHeight w:val="255"/>
        </w:trPr>
        <w:tc>
          <w:tcPr>
            <w:tcW w:w="6640" w:type="dxa"/>
            <w:tcBorders>
              <w:top w:val="nil"/>
              <w:left w:val="double" w:sz="6" w:space="0" w:color="auto"/>
              <w:bottom w:val="dotted" w:sz="4" w:space="0" w:color="auto"/>
              <w:right w:val="single" w:sz="8" w:space="0" w:color="auto"/>
            </w:tcBorders>
            <w:shd w:val="clear" w:color="auto" w:fill="auto"/>
            <w:vAlign w:val="center"/>
            <w:hideMark/>
          </w:tcPr>
          <w:p w14:paraId="55E02CE4" w14:textId="77777777" w:rsidR="004B0AC2" w:rsidRPr="00092ED7" w:rsidRDefault="00000000" w:rsidP="00FB09AE">
            <w:pPr>
              <w:spacing w:after="0"/>
              <w:jc w:val="left"/>
              <w:rPr>
                <w:rFonts w:eastAsia="Times New Roman" w:cs="Times New Roman"/>
                <w:sz w:val="20"/>
                <w:szCs w:val="20"/>
                <w:lang w:val="sr-Cyrl-CS"/>
              </w:rPr>
            </w:pPr>
            <w:hyperlink r:id="rId52" w:anchor="RANGE!B140" w:history="1">
              <w:r w:rsidR="004B0AC2" w:rsidRPr="00092ED7">
                <w:rPr>
                  <w:rFonts w:eastAsia="Times New Roman" w:cs="Times New Roman"/>
                  <w:sz w:val="20"/>
                  <w:szCs w:val="20"/>
                  <w:lang w:val="sr-Cyrl-CS"/>
                </w:rPr>
                <w:t>10. Примарни резултат[2]</w:t>
              </w:r>
            </w:hyperlink>
          </w:p>
        </w:tc>
        <w:tc>
          <w:tcPr>
            <w:tcW w:w="1417" w:type="dxa"/>
            <w:tcBorders>
              <w:top w:val="nil"/>
              <w:left w:val="nil"/>
              <w:bottom w:val="dotted" w:sz="4" w:space="0" w:color="auto"/>
              <w:right w:val="single" w:sz="8" w:space="0" w:color="auto"/>
            </w:tcBorders>
            <w:shd w:val="clear" w:color="auto" w:fill="auto"/>
            <w:vAlign w:val="center"/>
            <w:hideMark/>
          </w:tcPr>
          <w:p w14:paraId="142715E0" w14:textId="77777777" w:rsidR="004B0AC2" w:rsidRPr="00092ED7" w:rsidRDefault="004B0AC2" w:rsidP="00FB09AE">
            <w:pPr>
              <w:spacing w:after="0"/>
              <w:jc w:val="center"/>
              <w:rPr>
                <w:rFonts w:eastAsia="Times New Roman" w:cs="Times New Roman"/>
                <w:sz w:val="20"/>
                <w:szCs w:val="20"/>
                <w:lang w:val="sr-Cyrl-CS"/>
              </w:rPr>
            </w:pPr>
          </w:p>
        </w:tc>
        <w:tc>
          <w:tcPr>
            <w:tcW w:w="1074" w:type="dxa"/>
            <w:tcBorders>
              <w:top w:val="nil"/>
              <w:left w:val="nil"/>
              <w:bottom w:val="single" w:sz="4" w:space="0" w:color="auto"/>
              <w:right w:val="dotted" w:sz="4" w:space="0" w:color="auto"/>
            </w:tcBorders>
            <w:shd w:val="clear" w:color="auto" w:fill="auto"/>
            <w:vAlign w:val="center"/>
            <w:hideMark/>
          </w:tcPr>
          <w:p w14:paraId="3A7EED32" w14:textId="77777777" w:rsidR="004B0AC2" w:rsidRPr="00092ED7" w:rsidRDefault="004B0AC2" w:rsidP="00FB09AE">
            <w:pPr>
              <w:spacing w:after="0"/>
              <w:jc w:val="right"/>
              <w:rPr>
                <w:sz w:val="20"/>
                <w:szCs w:val="20"/>
                <w:lang w:val="sr-Cyrl-CS"/>
              </w:rPr>
            </w:pPr>
            <w:r w:rsidRPr="00092ED7">
              <w:rPr>
                <w:sz w:val="20"/>
                <w:szCs w:val="20"/>
                <w:lang w:val="sr-Cyrl-CS"/>
              </w:rPr>
              <w:t>-332,5</w:t>
            </w:r>
          </w:p>
        </w:tc>
        <w:tc>
          <w:tcPr>
            <w:tcW w:w="1074" w:type="dxa"/>
            <w:tcBorders>
              <w:top w:val="nil"/>
              <w:left w:val="nil"/>
              <w:bottom w:val="single" w:sz="4" w:space="0" w:color="auto"/>
              <w:right w:val="dotted" w:sz="4" w:space="0" w:color="auto"/>
            </w:tcBorders>
            <w:shd w:val="clear" w:color="auto" w:fill="auto"/>
            <w:vAlign w:val="center"/>
            <w:hideMark/>
          </w:tcPr>
          <w:p w14:paraId="325E6132" w14:textId="77777777" w:rsidR="004B0AC2" w:rsidRPr="00092ED7" w:rsidRDefault="004B0AC2" w:rsidP="00FB09AE">
            <w:pPr>
              <w:spacing w:after="0"/>
              <w:jc w:val="right"/>
              <w:rPr>
                <w:sz w:val="20"/>
                <w:szCs w:val="20"/>
                <w:lang w:val="sr-Cyrl-CS"/>
              </w:rPr>
            </w:pPr>
            <w:r w:rsidRPr="00092ED7">
              <w:rPr>
                <w:sz w:val="20"/>
                <w:szCs w:val="20"/>
                <w:lang w:val="sr-Cyrl-CS"/>
              </w:rPr>
              <w:t>-150,6</w:t>
            </w:r>
          </w:p>
        </w:tc>
        <w:tc>
          <w:tcPr>
            <w:tcW w:w="1074" w:type="dxa"/>
            <w:gridSpan w:val="2"/>
            <w:tcBorders>
              <w:top w:val="nil"/>
              <w:left w:val="nil"/>
              <w:bottom w:val="single" w:sz="4" w:space="0" w:color="auto"/>
              <w:right w:val="dotted" w:sz="4" w:space="0" w:color="auto"/>
            </w:tcBorders>
            <w:shd w:val="clear" w:color="auto" w:fill="auto"/>
            <w:vAlign w:val="center"/>
            <w:hideMark/>
          </w:tcPr>
          <w:p w14:paraId="69C38052" w14:textId="77777777" w:rsidR="004B0AC2" w:rsidRPr="00092ED7" w:rsidRDefault="004B0AC2" w:rsidP="00FB09AE">
            <w:pPr>
              <w:spacing w:after="0"/>
              <w:jc w:val="right"/>
              <w:rPr>
                <w:sz w:val="20"/>
                <w:szCs w:val="20"/>
                <w:lang w:val="sr-Cyrl-CS"/>
              </w:rPr>
            </w:pPr>
            <w:r w:rsidRPr="00092ED7">
              <w:rPr>
                <w:sz w:val="20"/>
                <w:szCs w:val="20"/>
                <w:lang w:val="sr-Cyrl-CS"/>
              </w:rPr>
              <w:t>-155,9</w:t>
            </w:r>
          </w:p>
        </w:tc>
        <w:tc>
          <w:tcPr>
            <w:tcW w:w="1074" w:type="dxa"/>
            <w:gridSpan w:val="2"/>
            <w:tcBorders>
              <w:top w:val="nil"/>
              <w:left w:val="nil"/>
              <w:bottom w:val="single" w:sz="4" w:space="0" w:color="auto"/>
              <w:right w:val="dotted" w:sz="4" w:space="0" w:color="auto"/>
            </w:tcBorders>
            <w:shd w:val="clear" w:color="auto" w:fill="auto"/>
            <w:vAlign w:val="center"/>
            <w:hideMark/>
          </w:tcPr>
          <w:p w14:paraId="0C1EBCBC" w14:textId="77777777" w:rsidR="004B0AC2" w:rsidRPr="00092ED7" w:rsidRDefault="004B0AC2" w:rsidP="00FB09AE">
            <w:pPr>
              <w:spacing w:after="0"/>
              <w:jc w:val="right"/>
              <w:rPr>
                <w:sz w:val="20"/>
                <w:szCs w:val="20"/>
                <w:lang w:val="sr-Cyrl-CS"/>
              </w:rPr>
            </w:pPr>
            <w:r w:rsidRPr="00092ED7">
              <w:rPr>
                <w:sz w:val="20"/>
                <w:szCs w:val="20"/>
                <w:lang w:val="sr-Cyrl-CS"/>
              </w:rPr>
              <w:t>-118,1</w:t>
            </w:r>
          </w:p>
        </w:tc>
        <w:tc>
          <w:tcPr>
            <w:tcW w:w="1074" w:type="dxa"/>
            <w:tcBorders>
              <w:top w:val="nil"/>
              <w:left w:val="nil"/>
              <w:bottom w:val="single" w:sz="4" w:space="0" w:color="auto"/>
              <w:right w:val="dotted" w:sz="4" w:space="0" w:color="auto"/>
            </w:tcBorders>
            <w:shd w:val="clear" w:color="auto" w:fill="auto"/>
            <w:vAlign w:val="center"/>
            <w:hideMark/>
          </w:tcPr>
          <w:p w14:paraId="123B1DD7" w14:textId="77777777" w:rsidR="004B0AC2" w:rsidRPr="00092ED7" w:rsidRDefault="004B0AC2" w:rsidP="00FB09AE">
            <w:pPr>
              <w:spacing w:after="0"/>
              <w:jc w:val="right"/>
              <w:rPr>
                <w:sz w:val="20"/>
                <w:szCs w:val="20"/>
                <w:lang w:val="sr-Cyrl-CS"/>
              </w:rPr>
            </w:pPr>
            <w:r w:rsidRPr="00092ED7">
              <w:rPr>
                <w:sz w:val="20"/>
                <w:szCs w:val="20"/>
                <w:lang w:val="sr-Cyrl-CS"/>
              </w:rPr>
              <w:t>-8,7</w:t>
            </w:r>
          </w:p>
        </w:tc>
        <w:tc>
          <w:tcPr>
            <w:tcW w:w="1074" w:type="dxa"/>
            <w:tcBorders>
              <w:top w:val="nil"/>
              <w:left w:val="nil"/>
              <w:bottom w:val="single" w:sz="4" w:space="0" w:color="auto"/>
              <w:right w:val="double" w:sz="6" w:space="0" w:color="auto"/>
            </w:tcBorders>
            <w:shd w:val="clear" w:color="auto" w:fill="auto"/>
            <w:vAlign w:val="center"/>
            <w:hideMark/>
          </w:tcPr>
          <w:p w14:paraId="00F474A9" w14:textId="77777777" w:rsidR="004B0AC2" w:rsidRPr="00092ED7" w:rsidRDefault="004B0AC2" w:rsidP="00FB09AE">
            <w:pPr>
              <w:spacing w:after="0"/>
              <w:jc w:val="right"/>
              <w:rPr>
                <w:sz w:val="20"/>
                <w:szCs w:val="20"/>
                <w:lang w:val="sr-Cyrl-CS"/>
              </w:rPr>
            </w:pPr>
            <w:r w:rsidRPr="00092ED7">
              <w:rPr>
                <w:sz w:val="20"/>
                <w:szCs w:val="20"/>
                <w:lang w:val="sr-Cyrl-CS"/>
              </w:rPr>
              <w:t>54,2</w:t>
            </w:r>
          </w:p>
        </w:tc>
      </w:tr>
      <w:tr w:rsidR="004B0AC2" w:rsidRPr="00092ED7" w14:paraId="53008019" w14:textId="77777777" w:rsidTr="00FB09AE">
        <w:trPr>
          <w:trHeight w:val="255"/>
        </w:trPr>
        <w:tc>
          <w:tcPr>
            <w:tcW w:w="6640" w:type="dxa"/>
            <w:tcBorders>
              <w:top w:val="nil"/>
              <w:left w:val="double" w:sz="6" w:space="0" w:color="auto"/>
              <w:bottom w:val="single" w:sz="4" w:space="0" w:color="auto"/>
              <w:right w:val="single" w:sz="8" w:space="0" w:color="auto"/>
            </w:tcBorders>
            <w:shd w:val="clear" w:color="auto" w:fill="auto"/>
            <w:noWrap/>
            <w:vAlign w:val="center"/>
            <w:hideMark/>
          </w:tcPr>
          <w:p w14:paraId="624780C1" w14:textId="77777777" w:rsidR="004B0AC2" w:rsidRPr="00092ED7" w:rsidRDefault="00000000" w:rsidP="00FB09AE">
            <w:pPr>
              <w:spacing w:after="0"/>
              <w:jc w:val="left"/>
              <w:rPr>
                <w:rFonts w:eastAsia="Times New Roman" w:cs="Times New Roman"/>
                <w:sz w:val="20"/>
                <w:szCs w:val="20"/>
                <w:lang w:val="sr-Cyrl-CS"/>
              </w:rPr>
            </w:pPr>
            <w:hyperlink r:id="rId53" w:anchor="RANGE!B141" w:history="1">
              <w:r w:rsidR="004B0AC2" w:rsidRPr="00092ED7">
                <w:rPr>
                  <w:rFonts w:eastAsia="Times New Roman" w:cs="Times New Roman"/>
                  <w:sz w:val="20"/>
                  <w:szCs w:val="20"/>
                  <w:lang w:val="sr-Cyrl-CS"/>
                </w:rPr>
                <w:t>11. One-off and other temporary measures [3]</w:t>
              </w:r>
            </w:hyperlink>
          </w:p>
        </w:tc>
        <w:tc>
          <w:tcPr>
            <w:tcW w:w="1417" w:type="dxa"/>
            <w:tcBorders>
              <w:top w:val="nil"/>
              <w:left w:val="nil"/>
              <w:bottom w:val="single" w:sz="4" w:space="0" w:color="auto"/>
              <w:right w:val="single" w:sz="8" w:space="0" w:color="auto"/>
            </w:tcBorders>
            <w:shd w:val="clear" w:color="auto" w:fill="auto"/>
            <w:vAlign w:val="center"/>
            <w:hideMark/>
          </w:tcPr>
          <w:p w14:paraId="6C23462D" w14:textId="77777777" w:rsidR="004B0AC2" w:rsidRPr="00092ED7" w:rsidRDefault="004B0AC2" w:rsidP="00FB09AE">
            <w:pPr>
              <w:spacing w:after="0"/>
              <w:jc w:val="center"/>
              <w:rPr>
                <w:rFonts w:eastAsia="Times New Roman" w:cs="Times New Roman"/>
                <w:sz w:val="20"/>
                <w:szCs w:val="20"/>
                <w:lang w:val="sr-Cyrl-CS"/>
              </w:rPr>
            </w:pPr>
          </w:p>
        </w:tc>
        <w:tc>
          <w:tcPr>
            <w:tcW w:w="1074" w:type="dxa"/>
            <w:tcBorders>
              <w:top w:val="nil"/>
              <w:left w:val="nil"/>
              <w:bottom w:val="single" w:sz="4" w:space="0" w:color="auto"/>
              <w:right w:val="dotted" w:sz="4" w:space="0" w:color="auto"/>
            </w:tcBorders>
            <w:shd w:val="clear" w:color="auto" w:fill="auto"/>
            <w:vAlign w:val="center"/>
            <w:hideMark/>
          </w:tcPr>
          <w:p w14:paraId="204812ED" w14:textId="77777777" w:rsidR="004B0AC2" w:rsidRPr="00092ED7" w:rsidRDefault="004B0AC2" w:rsidP="00FB09AE">
            <w:pPr>
              <w:spacing w:after="0"/>
              <w:jc w:val="right"/>
              <w:rPr>
                <w:rFonts w:eastAsia="Times New Roman" w:cs="Times New Roman"/>
                <w:sz w:val="20"/>
                <w:szCs w:val="20"/>
                <w:lang w:val="sr-Cyrl-CS"/>
              </w:rPr>
            </w:pPr>
            <w:r w:rsidRPr="00092ED7">
              <w:rPr>
                <w:rFonts w:eastAsia="Times New Roman" w:cs="Times New Roman"/>
                <w:sz w:val="20"/>
                <w:szCs w:val="20"/>
                <w:lang w:val="sr-Cyrl-CS"/>
              </w:rPr>
              <w:t> </w:t>
            </w:r>
          </w:p>
        </w:tc>
        <w:tc>
          <w:tcPr>
            <w:tcW w:w="1074" w:type="dxa"/>
            <w:tcBorders>
              <w:top w:val="nil"/>
              <w:left w:val="nil"/>
              <w:bottom w:val="single" w:sz="4" w:space="0" w:color="auto"/>
              <w:right w:val="dotted" w:sz="4" w:space="0" w:color="auto"/>
            </w:tcBorders>
            <w:shd w:val="clear" w:color="auto" w:fill="auto"/>
            <w:vAlign w:val="center"/>
            <w:hideMark/>
          </w:tcPr>
          <w:p w14:paraId="080ADB34" w14:textId="77777777" w:rsidR="004B0AC2" w:rsidRPr="00092ED7" w:rsidRDefault="004B0AC2" w:rsidP="00FB09AE">
            <w:pPr>
              <w:spacing w:after="0"/>
              <w:jc w:val="right"/>
              <w:rPr>
                <w:rFonts w:eastAsia="Times New Roman" w:cs="Times New Roman"/>
                <w:sz w:val="20"/>
                <w:szCs w:val="20"/>
                <w:lang w:val="sr-Cyrl-CS"/>
              </w:rPr>
            </w:pPr>
            <w:r w:rsidRPr="00092ED7">
              <w:rPr>
                <w:rFonts w:eastAsia="Times New Roman" w:cs="Times New Roman"/>
                <w:sz w:val="20"/>
                <w:szCs w:val="20"/>
                <w:lang w:val="sr-Cyrl-CS"/>
              </w:rPr>
              <w:t> </w:t>
            </w:r>
          </w:p>
        </w:tc>
        <w:tc>
          <w:tcPr>
            <w:tcW w:w="1074" w:type="dxa"/>
            <w:gridSpan w:val="2"/>
            <w:tcBorders>
              <w:top w:val="nil"/>
              <w:left w:val="nil"/>
              <w:bottom w:val="single" w:sz="4" w:space="0" w:color="auto"/>
              <w:right w:val="dotted" w:sz="4" w:space="0" w:color="auto"/>
            </w:tcBorders>
            <w:shd w:val="clear" w:color="auto" w:fill="auto"/>
            <w:vAlign w:val="center"/>
            <w:hideMark/>
          </w:tcPr>
          <w:p w14:paraId="238809D9" w14:textId="77777777" w:rsidR="004B0AC2" w:rsidRPr="00092ED7" w:rsidRDefault="004B0AC2" w:rsidP="00FB09AE">
            <w:pPr>
              <w:spacing w:after="0"/>
              <w:jc w:val="right"/>
              <w:rPr>
                <w:rFonts w:eastAsia="Times New Roman" w:cs="Times New Roman"/>
                <w:sz w:val="20"/>
                <w:szCs w:val="20"/>
                <w:lang w:val="sr-Cyrl-CS"/>
              </w:rPr>
            </w:pPr>
            <w:r w:rsidRPr="00092ED7">
              <w:rPr>
                <w:rFonts w:eastAsia="Times New Roman" w:cs="Times New Roman"/>
                <w:sz w:val="20"/>
                <w:szCs w:val="20"/>
                <w:lang w:val="sr-Cyrl-CS"/>
              </w:rPr>
              <w:t> </w:t>
            </w:r>
          </w:p>
        </w:tc>
        <w:tc>
          <w:tcPr>
            <w:tcW w:w="1074" w:type="dxa"/>
            <w:gridSpan w:val="2"/>
            <w:tcBorders>
              <w:top w:val="nil"/>
              <w:left w:val="nil"/>
              <w:bottom w:val="single" w:sz="4" w:space="0" w:color="auto"/>
              <w:right w:val="dotted" w:sz="4" w:space="0" w:color="auto"/>
            </w:tcBorders>
            <w:shd w:val="clear" w:color="auto" w:fill="auto"/>
            <w:vAlign w:val="center"/>
            <w:hideMark/>
          </w:tcPr>
          <w:p w14:paraId="34EE86E6" w14:textId="77777777" w:rsidR="004B0AC2" w:rsidRPr="00092ED7" w:rsidRDefault="004B0AC2" w:rsidP="00FB09AE">
            <w:pPr>
              <w:spacing w:after="0"/>
              <w:jc w:val="right"/>
              <w:rPr>
                <w:rFonts w:eastAsia="Times New Roman" w:cs="Times New Roman"/>
                <w:sz w:val="20"/>
                <w:szCs w:val="20"/>
                <w:lang w:val="sr-Cyrl-CS"/>
              </w:rPr>
            </w:pPr>
            <w:r w:rsidRPr="00092ED7">
              <w:rPr>
                <w:rFonts w:eastAsia="Times New Roman" w:cs="Times New Roman"/>
                <w:sz w:val="20"/>
                <w:szCs w:val="20"/>
                <w:lang w:val="sr-Cyrl-CS"/>
              </w:rPr>
              <w:t> </w:t>
            </w:r>
          </w:p>
        </w:tc>
        <w:tc>
          <w:tcPr>
            <w:tcW w:w="1074" w:type="dxa"/>
            <w:tcBorders>
              <w:top w:val="nil"/>
              <w:left w:val="nil"/>
              <w:bottom w:val="single" w:sz="4" w:space="0" w:color="auto"/>
              <w:right w:val="dotted" w:sz="4" w:space="0" w:color="auto"/>
            </w:tcBorders>
            <w:shd w:val="clear" w:color="auto" w:fill="auto"/>
            <w:vAlign w:val="center"/>
            <w:hideMark/>
          </w:tcPr>
          <w:p w14:paraId="3DBA00D1" w14:textId="77777777" w:rsidR="004B0AC2" w:rsidRPr="00092ED7" w:rsidRDefault="004B0AC2" w:rsidP="00FB09AE">
            <w:pPr>
              <w:spacing w:after="0"/>
              <w:jc w:val="right"/>
              <w:rPr>
                <w:rFonts w:eastAsia="Times New Roman" w:cs="Times New Roman"/>
                <w:sz w:val="20"/>
                <w:szCs w:val="20"/>
                <w:lang w:val="sr-Cyrl-CS"/>
              </w:rPr>
            </w:pPr>
            <w:r w:rsidRPr="00092ED7">
              <w:rPr>
                <w:rFonts w:eastAsia="Times New Roman" w:cs="Times New Roman"/>
                <w:sz w:val="20"/>
                <w:szCs w:val="20"/>
                <w:lang w:val="sr-Cyrl-CS"/>
              </w:rPr>
              <w:t> </w:t>
            </w:r>
          </w:p>
        </w:tc>
        <w:tc>
          <w:tcPr>
            <w:tcW w:w="1074" w:type="dxa"/>
            <w:tcBorders>
              <w:top w:val="nil"/>
              <w:left w:val="nil"/>
              <w:bottom w:val="single" w:sz="4" w:space="0" w:color="auto"/>
              <w:right w:val="double" w:sz="6" w:space="0" w:color="auto"/>
            </w:tcBorders>
            <w:shd w:val="clear" w:color="auto" w:fill="auto"/>
            <w:vAlign w:val="center"/>
            <w:hideMark/>
          </w:tcPr>
          <w:p w14:paraId="23BE34E8" w14:textId="77777777" w:rsidR="004B0AC2" w:rsidRPr="00092ED7" w:rsidRDefault="004B0AC2" w:rsidP="00FB09AE">
            <w:pPr>
              <w:spacing w:after="0"/>
              <w:jc w:val="right"/>
              <w:rPr>
                <w:rFonts w:eastAsia="Times New Roman" w:cs="Times New Roman"/>
                <w:sz w:val="20"/>
                <w:szCs w:val="20"/>
                <w:lang w:val="sr-Cyrl-CS"/>
              </w:rPr>
            </w:pPr>
            <w:r w:rsidRPr="00092ED7">
              <w:rPr>
                <w:rFonts w:eastAsia="Times New Roman" w:cs="Times New Roman"/>
                <w:sz w:val="20"/>
                <w:szCs w:val="20"/>
                <w:lang w:val="sr-Cyrl-CS"/>
              </w:rPr>
              <w:t> </w:t>
            </w:r>
          </w:p>
        </w:tc>
      </w:tr>
      <w:tr w:rsidR="004B0AC2" w:rsidRPr="00092ED7" w14:paraId="1872B7B4" w14:textId="77777777" w:rsidTr="00FB09AE">
        <w:trPr>
          <w:trHeight w:val="255"/>
        </w:trPr>
        <w:tc>
          <w:tcPr>
            <w:tcW w:w="6640" w:type="dxa"/>
            <w:tcBorders>
              <w:top w:val="nil"/>
              <w:left w:val="double" w:sz="6" w:space="0" w:color="auto"/>
              <w:bottom w:val="single" w:sz="4" w:space="0" w:color="auto"/>
              <w:right w:val="nil"/>
            </w:tcBorders>
            <w:shd w:val="clear" w:color="auto" w:fill="auto"/>
            <w:vAlign w:val="center"/>
            <w:hideMark/>
          </w:tcPr>
          <w:p w14:paraId="553F146D" w14:textId="77777777" w:rsidR="004B0AC2" w:rsidRPr="00092ED7" w:rsidRDefault="004B0AC2" w:rsidP="00FB09AE">
            <w:pPr>
              <w:spacing w:after="0"/>
              <w:jc w:val="left"/>
              <w:rPr>
                <w:rFonts w:eastAsia="Times New Roman" w:cs="Times New Roman"/>
                <w:b/>
                <w:bCs/>
                <w:sz w:val="20"/>
                <w:szCs w:val="20"/>
                <w:lang w:val="sr-Cyrl-CS"/>
              </w:rPr>
            </w:pPr>
            <w:r w:rsidRPr="00092ED7">
              <w:rPr>
                <w:rFonts w:eastAsia="Times New Roman" w:cs="Times New Roman"/>
                <w:b/>
                <w:bCs/>
                <w:sz w:val="20"/>
                <w:szCs w:val="20"/>
                <w:lang w:val="sr-Cyrl-CS"/>
              </w:rPr>
              <w:t>Компоненте прихода</w:t>
            </w:r>
          </w:p>
        </w:tc>
        <w:tc>
          <w:tcPr>
            <w:tcW w:w="1417" w:type="dxa"/>
            <w:tcBorders>
              <w:top w:val="nil"/>
              <w:left w:val="single" w:sz="8" w:space="0" w:color="auto"/>
              <w:bottom w:val="single" w:sz="4" w:space="0" w:color="auto"/>
              <w:right w:val="single" w:sz="8" w:space="0" w:color="auto"/>
            </w:tcBorders>
            <w:shd w:val="clear" w:color="auto" w:fill="auto"/>
            <w:vAlign w:val="center"/>
            <w:hideMark/>
          </w:tcPr>
          <w:p w14:paraId="6FFF6F2A" w14:textId="77777777" w:rsidR="004B0AC2" w:rsidRPr="00092ED7" w:rsidRDefault="004B0AC2" w:rsidP="00FB09AE">
            <w:pPr>
              <w:spacing w:after="0"/>
              <w:jc w:val="center"/>
              <w:rPr>
                <w:rFonts w:eastAsia="Times New Roman" w:cs="Times New Roman"/>
                <w:b/>
                <w:bCs/>
                <w:sz w:val="20"/>
                <w:szCs w:val="20"/>
                <w:lang w:val="sr-Cyrl-CS"/>
              </w:rPr>
            </w:pPr>
          </w:p>
        </w:tc>
        <w:tc>
          <w:tcPr>
            <w:tcW w:w="1074" w:type="dxa"/>
            <w:tcBorders>
              <w:top w:val="nil"/>
              <w:left w:val="nil"/>
              <w:bottom w:val="single" w:sz="4" w:space="0" w:color="auto"/>
              <w:right w:val="nil"/>
            </w:tcBorders>
            <w:shd w:val="clear" w:color="auto" w:fill="auto"/>
            <w:vAlign w:val="center"/>
            <w:hideMark/>
          </w:tcPr>
          <w:p w14:paraId="355888BB" w14:textId="77777777" w:rsidR="004B0AC2" w:rsidRPr="00092ED7" w:rsidRDefault="004B0AC2" w:rsidP="00FB09AE">
            <w:pPr>
              <w:spacing w:after="0"/>
              <w:jc w:val="right"/>
              <w:rPr>
                <w:rFonts w:eastAsia="Times New Roman" w:cs="Times New Roman"/>
                <w:b/>
                <w:bCs/>
                <w:sz w:val="20"/>
                <w:szCs w:val="20"/>
                <w:lang w:val="sr-Cyrl-CS"/>
              </w:rPr>
            </w:pPr>
            <w:r w:rsidRPr="00092ED7">
              <w:rPr>
                <w:rFonts w:eastAsia="Times New Roman" w:cs="Times New Roman"/>
                <w:b/>
                <w:bCs/>
                <w:sz w:val="20"/>
                <w:szCs w:val="20"/>
                <w:lang w:val="sr-Cyrl-CS"/>
              </w:rPr>
              <w:t> </w:t>
            </w:r>
          </w:p>
        </w:tc>
        <w:tc>
          <w:tcPr>
            <w:tcW w:w="1074" w:type="dxa"/>
            <w:tcBorders>
              <w:top w:val="nil"/>
              <w:left w:val="nil"/>
              <w:bottom w:val="single" w:sz="4" w:space="0" w:color="auto"/>
              <w:right w:val="nil"/>
            </w:tcBorders>
            <w:shd w:val="clear" w:color="auto" w:fill="auto"/>
            <w:vAlign w:val="center"/>
            <w:hideMark/>
          </w:tcPr>
          <w:p w14:paraId="20824C1F" w14:textId="77777777" w:rsidR="004B0AC2" w:rsidRPr="00092ED7" w:rsidRDefault="004B0AC2" w:rsidP="00FB09AE">
            <w:pPr>
              <w:spacing w:after="0"/>
              <w:jc w:val="right"/>
              <w:rPr>
                <w:rFonts w:eastAsia="Times New Roman" w:cs="Times New Roman"/>
                <w:b/>
                <w:bCs/>
                <w:sz w:val="20"/>
                <w:szCs w:val="20"/>
                <w:lang w:val="sr-Cyrl-CS"/>
              </w:rPr>
            </w:pPr>
            <w:r w:rsidRPr="00092ED7">
              <w:rPr>
                <w:rFonts w:eastAsia="Times New Roman" w:cs="Times New Roman"/>
                <w:b/>
                <w:bCs/>
                <w:sz w:val="20"/>
                <w:szCs w:val="20"/>
                <w:lang w:val="sr-Cyrl-CS"/>
              </w:rPr>
              <w:t> </w:t>
            </w:r>
          </w:p>
        </w:tc>
        <w:tc>
          <w:tcPr>
            <w:tcW w:w="1074" w:type="dxa"/>
            <w:gridSpan w:val="2"/>
            <w:tcBorders>
              <w:top w:val="nil"/>
              <w:left w:val="nil"/>
              <w:bottom w:val="single" w:sz="4" w:space="0" w:color="auto"/>
              <w:right w:val="nil"/>
            </w:tcBorders>
            <w:shd w:val="clear" w:color="auto" w:fill="auto"/>
            <w:vAlign w:val="center"/>
            <w:hideMark/>
          </w:tcPr>
          <w:p w14:paraId="41AF011A" w14:textId="77777777" w:rsidR="004B0AC2" w:rsidRPr="00092ED7" w:rsidRDefault="004B0AC2" w:rsidP="00FB09AE">
            <w:pPr>
              <w:spacing w:after="0"/>
              <w:jc w:val="right"/>
              <w:rPr>
                <w:rFonts w:eastAsia="Times New Roman" w:cs="Times New Roman"/>
                <w:b/>
                <w:bCs/>
                <w:sz w:val="20"/>
                <w:szCs w:val="20"/>
                <w:lang w:val="sr-Cyrl-CS"/>
              </w:rPr>
            </w:pPr>
            <w:r w:rsidRPr="00092ED7">
              <w:rPr>
                <w:rFonts w:eastAsia="Times New Roman" w:cs="Times New Roman"/>
                <w:b/>
                <w:bCs/>
                <w:sz w:val="20"/>
                <w:szCs w:val="20"/>
                <w:lang w:val="sr-Cyrl-CS"/>
              </w:rPr>
              <w:t> </w:t>
            </w:r>
          </w:p>
        </w:tc>
        <w:tc>
          <w:tcPr>
            <w:tcW w:w="1074" w:type="dxa"/>
            <w:gridSpan w:val="2"/>
            <w:tcBorders>
              <w:top w:val="nil"/>
              <w:left w:val="nil"/>
              <w:bottom w:val="single" w:sz="4" w:space="0" w:color="auto"/>
              <w:right w:val="nil"/>
            </w:tcBorders>
            <w:shd w:val="clear" w:color="auto" w:fill="auto"/>
            <w:vAlign w:val="center"/>
            <w:hideMark/>
          </w:tcPr>
          <w:p w14:paraId="71CA12FE" w14:textId="77777777" w:rsidR="004B0AC2" w:rsidRPr="00092ED7" w:rsidRDefault="004B0AC2" w:rsidP="00FB09AE">
            <w:pPr>
              <w:spacing w:after="0"/>
              <w:jc w:val="right"/>
              <w:rPr>
                <w:rFonts w:eastAsia="Times New Roman" w:cs="Times New Roman"/>
                <w:b/>
                <w:bCs/>
                <w:sz w:val="20"/>
                <w:szCs w:val="20"/>
                <w:lang w:val="sr-Cyrl-CS"/>
              </w:rPr>
            </w:pPr>
            <w:r w:rsidRPr="00092ED7">
              <w:rPr>
                <w:rFonts w:eastAsia="Times New Roman" w:cs="Times New Roman"/>
                <w:b/>
                <w:bCs/>
                <w:sz w:val="20"/>
                <w:szCs w:val="20"/>
                <w:lang w:val="sr-Cyrl-CS"/>
              </w:rPr>
              <w:t> </w:t>
            </w:r>
          </w:p>
        </w:tc>
        <w:tc>
          <w:tcPr>
            <w:tcW w:w="1074" w:type="dxa"/>
            <w:tcBorders>
              <w:top w:val="nil"/>
              <w:left w:val="nil"/>
              <w:bottom w:val="single" w:sz="4" w:space="0" w:color="auto"/>
              <w:right w:val="nil"/>
            </w:tcBorders>
            <w:shd w:val="clear" w:color="auto" w:fill="auto"/>
            <w:vAlign w:val="center"/>
            <w:hideMark/>
          </w:tcPr>
          <w:p w14:paraId="70477E3A" w14:textId="77777777" w:rsidR="004B0AC2" w:rsidRPr="00092ED7" w:rsidRDefault="004B0AC2" w:rsidP="00FB09AE">
            <w:pPr>
              <w:spacing w:after="0"/>
              <w:jc w:val="right"/>
              <w:rPr>
                <w:rFonts w:eastAsia="Times New Roman" w:cs="Times New Roman"/>
                <w:b/>
                <w:bCs/>
                <w:sz w:val="20"/>
                <w:szCs w:val="20"/>
                <w:lang w:val="sr-Cyrl-CS"/>
              </w:rPr>
            </w:pPr>
            <w:r w:rsidRPr="00092ED7">
              <w:rPr>
                <w:rFonts w:eastAsia="Times New Roman" w:cs="Times New Roman"/>
                <w:b/>
                <w:bCs/>
                <w:sz w:val="20"/>
                <w:szCs w:val="20"/>
                <w:lang w:val="sr-Cyrl-CS"/>
              </w:rPr>
              <w:t> </w:t>
            </w:r>
          </w:p>
        </w:tc>
        <w:tc>
          <w:tcPr>
            <w:tcW w:w="1074" w:type="dxa"/>
            <w:tcBorders>
              <w:top w:val="nil"/>
              <w:left w:val="nil"/>
              <w:bottom w:val="single" w:sz="4" w:space="0" w:color="auto"/>
              <w:right w:val="double" w:sz="6" w:space="0" w:color="auto"/>
            </w:tcBorders>
            <w:shd w:val="clear" w:color="auto" w:fill="auto"/>
            <w:vAlign w:val="center"/>
            <w:hideMark/>
          </w:tcPr>
          <w:p w14:paraId="01C25CE7" w14:textId="77777777" w:rsidR="004B0AC2" w:rsidRPr="00092ED7" w:rsidRDefault="004B0AC2" w:rsidP="00FB09AE">
            <w:pPr>
              <w:spacing w:after="0"/>
              <w:jc w:val="right"/>
              <w:rPr>
                <w:rFonts w:eastAsia="Times New Roman" w:cs="Times New Roman"/>
                <w:b/>
                <w:bCs/>
                <w:sz w:val="20"/>
                <w:szCs w:val="20"/>
                <w:lang w:val="sr-Cyrl-CS"/>
              </w:rPr>
            </w:pPr>
            <w:r w:rsidRPr="00092ED7">
              <w:rPr>
                <w:rFonts w:eastAsia="Times New Roman" w:cs="Times New Roman"/>
                <w:b/>
                <w:bCs/>
                <w:sz w:val="20"/>
                <w:szCs w:val="20"/>
                <w:lang w:val="sr-Cyrl-CS"/>
              </w:rPr>
              <w:t> </w:t>
            </w:r>
          </w:p>
        </w:tc>
      </w:tr>
      <w:tr w:rsidR="004B0AC2" w:rsidRPr="00092ED7" w14:paraId="493B7241" w14:textId="77777777" w:rsidTr="00FB09AE">
        <w:trPr>
          <w:trHeight w:val="255"/>
        </w:trPr>
        <w:tc>
          <w:tcPr>
            <w:tcW w:w="6640" w:type="dxa"/>
            <w:tcBorders>
              <w:top w:val="nil"/>
              <w:left w:val="double" w:sz="6" w:space="0" w:color="auto"/>
              <w:bottom w:val="dotted" w:sz="4" w:space="0" w:color="auto"/>
              <w:right w:val="dotted" w:sz="4" w:space="0" w:color="auto"/>
            </w:tcBorders>
            <w:shd w:val="clear" w:color="auto" w:fill="auto"/>
            <w:vAlign w:val="center"/>
            <w:hideMark/>
          </w:tcPr>
          <w:p w14:paraId="03FE2733" w14:textId="77777777" w:rsidR="004B0AC2" w:rsidRPr="00092ED7" w:rsidRDefault="004B0AC2" w:rsidP="00FB09AE">
            <w:pPr>
              <w:spacing w:after="0"/>
              <w:jc w:val="left"/>
              <w:rPr>
                <w:rFonts w:eastAsia="Times New Roman" w:cs="Times New Roman"/>
                <w:sz w:val="20"/>
                <w:szCs w:val="20"/>
                <w:lang w:val="sr-Cyrl-CS"/>
              </w:rPr>
            </w:pPr>
            <w:r w:rsidRPr="00092ED7">
              <w:rPr>
                <w:rFonts w:eastAsia="Times New Roman" w:cs="Times New Roman"/>
                <w:sz w:val="20"/>
                <w:szCs w:val="20"/>
                <w:lang w:val="sr-Cyrl-CS"/>
              </w:rPr>
              <w:t>12. Укупни порески приходи  (12 = 12a+12b+12c)</w:t>
            </w:r>
          </w:p>
        </w:tc>
        <w:tc>
          <w:tcPr>
            <w:tcW w:w="1417" w:type="dxa"/>
            <w:tcBorders>
              <w:top w:val="nil"/>
              <w:left w:val="single" w:sz="8" w:space="0" w:color="auto"/>
              <w:bottom w:val="dotted" w:sz="4" w:space="0" w:color="auto"/>
              <w:right w:val="single" w:sz="8" w:space="0" w:color="auto"/>
            </w:tcBorders>
            <w:shd w:val="clear" w:color="auto" w:fill="auto"/>
            <w:vAlign w:val="center"/>
            <w:hideMark/>
          </w:tcPr>
          <w:p w14:paraId="4832797D" w14:textId="77777777" w:rsidR="004B0AC2" w:rsidRPr="00092ED7" w:rsidRDefault="004B0AC2" w:rsidP="00FB09AE">
            <w:pPr>
              <w:spacing w:after="0"/>
              <w:jc w:val="center"/>
              <w:rPr>
                <w:rFonts w:eastAsia="Times New Roman" w:cs="Times New Roman"/>
                <w:sz w:val="20"/>
                <w:szCs w:val="20"/>
                <w:lang w:val="sr-Cyrl-CS"/>
              </w:rPr>
            </w:pPr>
          </w:p>
        </w:tc>
        <w:tc>
          <w:tcPr>
            <w:tcW w:w="1074" w:type="dxa"/>
            <w:tcBorders>
              <w:top w:val="nil"/>
              <w:left w:val="nil"/>
              <w:bottom w:val="dotted" w:sz="4" w:space="0" w:color="auto"/>
              <w:right w:val="dotted" w:sz="4" w:space="0" w:color="auto"/>
            </w:tcBorders>
            <w:shd w:val="clear" w:color="auto" w:fill="auto"/>
            <w:vAlign w:val="center"/>
            <w:hideMark/>
          </w:tcPr>
          <w:p w14:paraId="536B7F75" w14:textId="77777777" w:rsidR="004B0AC2" w:rsidRPr="00092ED7" w:rsidRDefault="004B0AC2" w:rsidP="00FB09AE">
            <w:pPr>
              <w:spacing w:after="0"/>
              <w:jc w:val="right"/>
              <w:rPr>
                <w:sz w:val="20"/>
                <w:szCs w:val="20"/>
                <w:lang w:val="sr-Cyrl-CS"/>
              </w:rPr>
            </w:pPr>
            <w:r w:rsidRPr="00092ED7">
              <w:rPr>
                <w:sz w:val="20"/>
                <w:szCs w:val="20"/>
                <w:lang w:val="sr-Cyrl-CS"/>
              </w:rPr>
              <w:t>1.317,0</w:t>
            </w:r>
          </w:p>
        </w:tc>
        <w:tc>
          <w:tcPr>
            <w:tcW w:w="1074" w:type="dxa"/>
            <w:tcBorders>
              <w:top w:val="nil"/>
              <w:left w:val="nil"/>
              <w:bottom w:val="dotted" w:sz="4" w:space="0" w:color="auto"/>
              <w:right w:val="dotted" w:sz="4" w:space="0" w:color="auto"/>
            </w:tcBorders>
            <w:shd w:val="clear" w:color="auto" w:fill="auto"/>
            <w:vAlign w:val="center"/>
            <w:hideMark/>
          </w:tcPr>
          <w:p w14:paraId="5E059D8B" w14:textId="77777777" w:rsidR="004B0AC2" w:rsidRPr="00092ED7" w:rsidRDefault="004B0AC2" w:rsidP="00FB09AE">
            <w:pPr>
              <w:spacing w:after="0"/>
              <w:jc w:val="right"/>
              <w:rPr>
                <w:sz w:val="20"/>
                <w:szCs w:val="20"/>
                <w:lang w:val="sr-Cyrl-CS"/>
              </w:rPr>
            </w:pPr>
            <w:r w:rsidRPr="00092ED7">
              <w:rPr>
                <w:sz w:val="20"/>
                <w:szCs w:val="20"/>
                <w:lang w:val="sr-Cyrl-CS"/>
              </w:rPr>
              <w:t>1.558,2</w:t>
            </w:r>
          </w:p>
        </w:tc>
        <w:tc>
          <w:tcPr>
            <w:tcW w:w="1074" w:type="dxa"/>
            <w:gridSpan w:val="2"/>
            <w:tcBorders>
              <w:top w:val="nil"/>
              <w:left w:val="nil"/>
              <w:bottom w:val="dotted" w:sz="4" w:space="0" w:color="auto"/>
              <w:right w:val="dotted" w:sz="4" w:space="0" w:color="auto"/>
            </w:tcBorders>
            <w:shd w:val="clear" w:color="auto" w:fill="auto"/>
            <w:vAlign w:val="center"/>
            <w:hideMark/>
          </w:tcPr>
          <w:p w14:paraId="1879C8DF" w14:textId="77777777" w:rsidR="004B0AC2" w:rsidRPr="00092ED7" w:rsidRDefault="004B0AC2" w:rsidP="00FB09AE">
            <w:pPr>
              <w:spacing w:after="0"/>
              <w:jc w:val="right"/>
              <w:rPr>
                <w:sz w:val="20"/>
                <w:szCs w:val="20"/>
                <w:lang w:val="sr-Cyrl-CS"/>
              </w:rPr>
            </w:pPr>
            <w:r w:rsidRPr="00092ED7">
              <w:rPr>
                <w:sz w:val="20"/>
                <w:szCs w:val="20"/>
                <w:lang w:val="sr-Cyrl-CS"/>
              </w:rPr>
              <w:t>1.725,4</w:t>
            </w:r>
          </w:p>
        </w:tc>
        <w:tc>
          <w:tcPr>
            <w:tcW w:w="1074" w:type="dxa"/>
            <w:gridSpan w:val="2"/>
            <w:tcBorders>
              <w:top w:val="nil"/>
              <w:left w:val="nil"/>
              <w:bottom w:val="dotted" w:sz="4" w:space="0" w:color="auto"/>
              <w:right w:val="dotted" w:sz="4" w:space="0" w:color="auto"/>
            </w:tcBorders>
            <w:shd w:val="clear" w:color="auto" w:fill="auto"/>
            <w:vAlign w:val="center"/>
            <w:hideMark/>
          </w:tcPr>
          <w:p w14:paraId="131BD1A8" w14:textId="77777777" w:rsidR="004B0AC2" w:rsidRPr="00092ED7" w:rsidRDefault="004B0AC2" w:rsidP="00FB09AE">
            <w:pPr>
              <w:spacing w:after="0"/>
              <w:jc w:val="right"/>
              <w:rPr>
                <w:sz w:val="20"/>
                <w:szCs w:val="20"/>
                <w:lang w:val="sr-Cyrl-CS"/>
              </w:rPr>
            </w:pPr>
            <w:r w:rsidRPr="00092ED7">
              <w:rPr>
                <w:sz w:val="20"/>
                <w:szCs w:val="20"/>
                <w:lang w:val="sr-Cyrl-CS"/>
              </w:rPr>
              <w:t>1.851,1</w:t>
            </w:r>
          </w:p>
        </w:tc>
        <w:tc>
          <w:tcPr>
            <w:tcW w:w="1074" w:type="dxa"/>
            <w:tcBorders>
              <w:top w:val="nil"/>
              <w:left w:val="nil"/>
              <w:bottom w:val="dotted" w:sz="4" w:space="0" w:color="auto"/>
              <w:right w:val="dotted" w:sz="4" w:space="0" w:color="auto"/>
            </w:tcBorders>
            <w:shd w:val="clear" w:color="auto" w:fill="auto"/>
            <w:vAlign w:val="center"/>
            <w:hideMark/>
          </w:tcPr>
          <w:p w14:paraId="2D46C7D0" w14:textId="77777777" w:rsidR="004B0AC2" w:rsidRPr="00092ED7" w:rsidRDefault="004B0AC2" w:rsidP="00FB09AE">
            <w:pPr>
              <w:spacing w:after="0"/>
              <w:jc w:val="right"/>
              <w:rPr>
                <w:sz w:val="20"/>
                <w:szCs w:val="20"/>
                <w:lang w:val="sr-Cyrl-CS"/>
              </w:rPr>
            </w:pPr>
            <w:r w:rsidRPr="00092ED7">
              <w:rPr>
                <w:sz w:val="20"/>
                <w:szCs w:val="20"/>
                <w:lang w:val="sr-Cyrl-CS"/>
              </w:rPr>
              <w:t>2.017,1</w:t>
            </w:r>
          </w:p>
        </w:tc>
        <w:tc>
          <w:tcPr>
            <w:tcW w:w="1074" w:type="dxa"/>
            <w:tcBorders>
              <w:top w:val="nil"/>
              <w:left w:val="nil"/>
              <w:bottom w:val="dotted" w:sz="4" w:space="0" w:color="auto"/>
              <w:right w:val="double" w:sz="6" w:space="0" w:color="auto"/>
            </w:tcBorders>
            <w:shd w:val="clear" w:color="auto" w:fill="auto"/>
            <w:vAlign w:val="center"/>
            <w:hideMark/>
          </w:tcPr>
          <w:p w14:paraId="0F6C4FBB" w14:textId="77777777" w:rsidR="004B0AC2" w:rsidRPr="00092ED7" w:rsidRDefault="004B0AC2" w:rsidP="00FB09AE">
            <w:pPr>
              <w:spacing w:after="0"/>
              <w:jc w:val="right"/>
              <w:rPr>
                <w:sz w:val="20"/>
                <w:szCs w:val="20"/>
                <w:lang w:val="sr-Cyrl-CS"/>
              </w:rPr>
            </w:pPr>
            <w:r w:rsidRPr="00092ED7">
              <w:rPr>
                <w:sz w:val="20"/>
                <w:szCs w:val="20"/>
                <w:lang w:val="sr-Cyrl-CS"/>
              </w:rPr>
              <w:t>2.146,5</w:t>
            </w:r>
          </w:p>
        </w:tc>
      </w:tr>
      <w:tr w:rsidR="004B0AC2" w:rsidRPr="00092ED7" w14:paraId="07A9109A" w14:textId="77777777" w:rsidTr="00FB09AE">
        <w:trPr>
          <w:trHeight w:val="255"/>
        </w:trPr>
        <w:tc>
          <w:tcPr>
            <w:tcW w:w="6640" w:type="dxa"/>
            <w:tcBorders>
              <w:top w:val="nil"/>
              <w:left w:val="double" w:sz="6" w:space="0" w:color="auto"/>
              <w:bottom w:val="dotted" w:sz="4" w:space="0" w:color="auto"/>
              <w:right w:val="dotted" w:sz="4" w:space="0" w:color="auto"/>
            </w:tcBorders>
            <w:shd w:val="clear" w:color="auto" w:fill="auto"/>
            <w:vAlign w:val="center"/>
            <w:hideMark/>
          </w:tcPr>
          <w:p w14:paraId="089AFFBC" w14:textId="77777777" w:rsidR="004B0AC2" w:rsidRPr="00092ED7" w:rsidRDefault="004B0AC2" w:rsidP="00FB09AE">
            <w:pPr>
              <w:spacing w:after="0"/>
              <w:jc w:val="left"/>
              <w:rPr>
                <w:rFonts w:eastAsia="Times New Roman" w:cs="Times New Roman"/>
                <w:sz w:val="20"/>
                <w:szCs w:val="20"/>
                <w:lang w:val="sr-Cyrl-CS"/>
              </w:rPr>
            </w:pPr>
            <w:r w:rsidRPr="00092ED7">
              <w:rPr>
                <w:rFonts w:eastAsia="Times New Roman" w:cs="Times New Roman"/>
                <w:sz w:val="20"/>
                <w:szCs w:val="20"/>
                <w:lang w:val="sr-Cyrl-CS"/>
              </w:rPr>
              <w:t>12a. Порези на производњу и увоз</w:t>
            </w:r>
          </w:p>
        </w:tc>
        <w:tc>
          <w:tcPr>
            <w:tcW w:w="1417" w:type="dxa"/>
            <w:tcBorders>
              <w:top w:val="nil"/>
              <w:left w:val="single" w:sz="8" w:space="0" w:color="auto"/>
              <w:bottom w:val="dotted" w:sz="4" w:space="0" w:color="auto"/>
              <w:right w:val="single" w:sz="8" w:space="0" w:color="auto"/>
            </w:tcBorders>
            <w:shd w:val="clear" w:color="auto" w:fill="auto"/>
            <w:vAlign w:val="center"/>
            <w:hideMark/>
          </w:tcPr>
          <w:p w14:paraId="3D5173CA" w14:textId="77777777" w:rsidR="004B0AC2" w:rsidRPr="00092ED7" w:rsidRDefault="004B0AC2" w:rsidP="00FB09AE">
            <w:pPr>
              <w:spacing w:after="0"/>
              <w:jc w:val="center"/>
              <w:rPr>
                <w:rFonts w:eastAsia="Times New Roman" w:cs="Times New Roman"/>
                <w:sz w:val="20"/>
                <w:szCs w:val="20"/>
                <w:lang w:val="sr-Cyrl-CS"/>
              </w:rPr>
            </w:pPr>
            <w:r w:rsidRPr="00092ED7">
              <w:rPr>
                <w:rFonts w:eastAsia="Times New Roman" w:cs="Times New Roman"/>
                <w:sz w:val="20"/>
                <w:szCs w:val="20"/>
                <w:lang w:val="sr-Cyrl-CS"/>
              </w:rPr>
              <w:t>D2</w:t>
            </w:r>
          </w:p>
        </w:tc>
        <w:tc>
          <w:tcPr>
            <w:tcW w:w="1074" w:type="dxa"/>
            <w:tcBorders>
              <w:top w:val="nil"/>
              <w:left w:val="nil"/>
              <w:bottom w:val="dotted" w:sz="4" w:space="0" w:color="auto"/>
              <w:right w:val="dotted" w:sz="4" w:space="0" w:color="auto"/>
            </w:tcBorders>
            <w:shd w:val="clear" w:color="auto" w:fill="auto"/>
            <w:vAlign w:val="center"/>
            <w:hideMark/>
          </w:tcPr>
          <w:p w14:paraId="78D3D177" w14:textId="77777777" w:rsidR="004B0AC2" w:rsidRPr="00092ED7" w:rsidRDefault="004B0AC2" w:rsidP="00FB09AE">
            <w:pPr>
              <w:spacing w:after="0"/>
              <w:jc w:val="right"/>
              <w:rPr>
                <w:sz w:val="20"/>
                <w:szCs w:val="20"/>
                <w:lang w:val="sr-Cyrl-CS"/>
              </w:rPr>
            </w:pPr>
            <w:r w:rsidRPr="00092ED7">
              <w:rPr>
                <w:sz w:val="20"/>
                <w:szCs w:val="20"/>
                <w:lang w:val="sr-Cyrl-CS"/>
              </w:rPr>
              <w:t>944,1</w:t>
            </w:r>
          </w:p>
        </w:tc>
        <w:tc>
          <w:tcPr>
            <w:tcW w:w="1074" w:type="dxa"/>
            <w:tcBorders>
              <w:top w:val="nil"/>
              <w:left w:val="nil"/>
              <w:bottom w:val="dotted" w:sz="4" w:space="0" w:color="auto"/>
              <w:right w:val="dotted" w:sz="4" w:space="0" w:color="auto"/>
            </w:tcBorders>
            <w:shd w:val="clear" w:color="auto" w:fill="auto"/>
            <w:vAlign w:val="center"/>
            <w:hideMark/>
          </w:tcPr>
          <w:p w14:paraId="7117AE33" w14:textId="77777777" w:rsidR="004B0AC2" w:rsidRPr="00092ED7" w:rsidRDefault="004B0AC2" w:rsidP="00FB09AE">
            <w:pPr>
              <w:spacing w:after="0"/>
              <w:jc w:val="right"/>
              <w:rPr>
                <w:sz w:val="20"/>
                <w:szCs w:val="20"/>
                <w:lang w:val="sr-Cyrl-CS"/>
              </w:rPr>
            </w:pPr>
            <w:r w:rsidRPr="00092ED7">
              <w:rPr>
                <w:sz w:val="20"/>
                <w:szCs w:val="20"/>
                <w:lang w:val="sr-Cyrl-CS"/>
              </w:rPr>
              <w:t>1.092,0</w:t>
            </w:r>
          </w:p>
        </w:tc>
        <w:tc>
          <w:tcPr>
            <w:tcW w:w="1074" w:type="dxa"/>
            <w:gridSpan w:val="2"/>
            <w:tcBorders>
              <w:top w:val="nil"/>
              <w:left w:val="nil"/>
              <w:bottom w:val="dotted" w:sz="4" w:space="0" w:color="auto"/>
              <w:right w:val="dotted" w:sz="4" w:space="0" w:color="auto"/>
            </w:tcBorders>
            <w:shd w:val="clear" w:color="auto" w:fill="auto"/>
            <w:vAlign w:val="center"/>
            <w:hideMark/>
          </w:tcPr>
          <w:p w14:paraId="3482D0FD" w14:textId="77777777" w:rsidR="004B0AC2" w:rsidRPr="00092ED7" w:rsidRDefault="004B0AC2" w:rsidP="00FB09AE">
            <w:pPr>
              <w:spacing w:after="0"/>
              <w:jc w:val="right"/>
              <w:rPr>
                <w:sz w:val="20"/>
                <w:szCs w:val="20"/>
                <w:lang w:val="sr-Cyrl-CS"/>
              </w:rPr>
            </w:pPr>
            <w:r w:rsidRPr="00092ED7">
              <w:rPr>
                <w:sz w:val="20"/>
                <w:szCs w:val="20"/>
                <w:lang w:val="sr-Cyrl-CS"/>
              </w:rPr>
              <w:t>1.234,3</w:t>
            </w:r>
          </w:p>
        </w:tc>
        <w:tc>
          <w:tcPr>
            <w:tcW w:w="1074" w:type="dxa"/>
            <w:gridSpan w:val="2"/>
            <w:tcBorders>
              <w:top w:val="nil"/>
              <w:left w:val="nil"/>
              <w:bottom w:val="dotted" w:sz="4" w:space="0" w:color="auto"/>
              <w:right w:val="dotted" w:sz="4" w:space="0" w:color="auto"/>
            </w:tcBorders>
            <w:shd w:val="clear" w:color="auto" w:fill="auto"/>
            <w:vAlign w:val="center"/>
            <w:hideMark/>
          </w:tcPr>
          <w:p w14:paraId="19985A7F" w14:textId="77777777" w:rsidR="004B0AC2" w:rsidRPr="00092ED7" w:rsidRDefault="004B0AC2" w:rsidP="00FB09AE">
            <w:pPr>
              <w:spacing w:after="0"/>
              <w:jc w:val="right"/>
              <w:rPr>
                <w:sz w:val="20"/>
                <w:szCs w:val="20"/>
                <w:lang w:val="sr-Cyrl-CS"/>
              </w:rPr>
            </w:pPr>
            <w:r w:rsidRPr="00092ED7">
              <w:rPr>
                <w:sz w:val="20"/>
                <w:szCs w:val="20"/>
                <w:lang w:val="sr-Cyrl-CS"/>
              </w:rPr>
              <w:t>1.327,8</w:t>
            </w:r>
          </w:p>
        </w:tc>
        <w:tc>
          <w:tcPr>
            <w:tcW w:w="1074" w:type="dxa"/>
            <w:tcBorders>
              <w:top w:val="nil"/>
              <w:left w:val="nil"/>
              <w:bottom w:val="dotted" w:sz="4" w:space="0" w:color="auto"/>
              <w:right w:val="dotted" w:sz="4" w:space="0" w:color="auto"/>
            </w:tcBorders>
            <w:shd w:val="clear" w:color="auto" w:fill="auto"/>
            <w:vAlign w:val="center"/>
            <w:hideMark/>
          </w:tcPr>
          <w:p w14:paraId="04D472C9" w14:textId="77777777" w:rsidR="004B0AC2" w:rsidRPr="00092ED7" w:rsidRDefault="004B0AC2" w:rsidP="00FB09AE">
            <w:pPr>
              <w:spacing w:after="0"/>
              <w:jc w:val="right"/>
              <w:rPr>
                <w:sz w:val="20"/>
                <w:szCs w:val="20"/>
                <w:lang w:val="sr-Cyrl-CS"/>
              </w:rPr>
            </w:pPr>
            <w:r w:rsidRPr="00092ED7">
              <w:rPr>
                <w:sz w:val="20"/>
                <w:szCs w:val="20"/>
                <w:lang w:val="sr-Cyrl-CS"/>
              </w:rPr>
              <w:t>1.457,9</w:t>
            </w:r>
          </w:p>
        </w:tc>
        <w:tc>
          <w:tcPr>
            <w:tcW w:w="1074" w:type="dxa"/>
            <w:tcBorders>
              <w:top w:val="nil"/>
              <w:left w:val="nil"/>
              <w:bottom w:val="dotted" w:sz="4" w:space="0" w:color="auto"/>
              <w:right w:val="double" w:sz="6" w:space="0" w:color="auto"/>
            </w:tcBorders>
            <w:shd w:val="clear" w:color="auto" w:fill="auto"/>
            <w:vAlign w:val="center"/>
            <w:hideMark/>
          </w:tcPr>
          <w:p w14:paraId="654448C8" w14:textId="77777777" w:rsidR="004B0AC2" w:rsidRPr="00092ED7" w:rsidRDefault="004B0AC2" w:rsidP="00FB09AE">
            <w:pPr>
              <w:spacing w:after="0"/>
              <w:jc w:val="right"/>
              <w:rPr>
                <w:sz w:val="20"/>
                <w:szCs w:val="20"/>
                <w:lang w:val="sr-Cyrl-CS"/>
              </w:rPr>
            </w:pPr>
            <w:r w:rsidRPr="00092ED7">
              <w:rPr>
                <w:sz w:val="20"/>
                <w:szCs w:val="20"/>
                <w:lang w:val="sr-Cyrl-CS"/>
              </w:rPr>
              <w:t>1.556,3</w:t>
            </w:r>
          </w:p>
        </w:tc>
      </w:tr>
      <w:tr w:rsidR="004B0AC2" w:rsidRPr="00092ED7" w14:paraId="6DEC6706" w14:textId="77777777" w:rsidTr="00FB09AE">
        <w:trPr>
          <w:trHeight w:val="255"/>
        </w:trPr>
        <w:tc>
          <w:tcPr>
            <w:tcW w:w="6640" w:type="dxa"/>
            <w:tcBorders>
              <w:top w:val="nil"/>
              <w:left w:val="double" w:sz="6" w:space="0" w:color="auto"/>
              <w:bottom w:val="dotted" w:sz="4" w:space="0" w:color="auto"/>
              <w:right w:val="dotted" w:sz="4" w:space="0" w:color="auto"/>
            </w:tcBorders>
            <w:shd w:val="clear" w:color="auto" w:fill="auto"/>
            <w:vAlign w:val="center"/>
            <w:hideMark/>
          </w:tcPr>
          <w:p w14:paraId="7BEEA5A7" w14:textId="77777777" w:rsidR="004B0AC2" w:rsidRPr="00092ED7" w:rsidRDefault="004B0AC2" w:rsidP="00FB09AE">
            <w:pPr>
              <w:spacing w:after="0"/>
              <w:jc w:val="left"/>
              <w:rPr>
                <w:rFonts w:eastAsia="Times New Roman" w:cs="Times New Roman"/>
                <w:sz w:val="20"/>
                <w:szCs w:val="20"/>
                <w:lang w:val="sr-Cyrl-CS"/>
              </w:rPr>
            </w:pPr>
            <w:r w:rsidRPr="00092ED7">
              <w:rPr>
                <w:rFonts w:eastAsia="Times New Roman" w:cs="Times New Roman"/>
                <w:sz w:val="20"/>
                <w:szCs w:val="20"/>
                <w:lang w:val="sr-Cyrl-CS"/>
              </w:rPr>
              <w:t>12b. Текући порези на доходак и имовину</w:t>
            </w:r>
          </w:p>
        </w:tc>
        <w:tc>
          <w:tcPr>
            <w:tcW w:w="1417" w:type="dxa"/>
            <w:tcBorders>
              <w:top w:val="nil"/>
              <w:left w:val="single" w:sz="8" w:space="0" w:color="auto"/>
              <w:bottom w:val="dotted" w:sz="4" w:space="0" w:color="auto"/>
              <w:right w:val="single" w:sz="8" w:space="0" w:color="auto"/>
            </w:tcBorders>
            <w:shd w:val="clear" w:color="auto" w:fill="auto"/>
            <w:vAlign w:val="center"/>
            <w:hideMark/>
          </w:tcPr>
          <w:p w14:paraId="0D560356" w14:textId="77777777" w:rsidR="004B0AC2" w:rsidRPr="00092ED7" w:rsidRDefault="004B0AC2" w:rsidP="00FB09AE">
            <w:pPr>
              <w:spacing w:after="0"/>
              <w:jc w:val="center"/>
              <w:rPr>
                <w:rFonts w:eastAsia="Times New Roman" w:cs="Times New Roman"/>
                <w:sz w:val="20"/>
                <w:szCs w:val="20"/>
                <w:lang w:val="sr-Cyrl-CS"/>
              </w:rPr>
            </w:pPr>
            <w:r w:rsidRPr="00092ED7">
              <w:rPr>
                <w:rFonts w:eastAsia="Times New Roman" w:cs="Times New Roman"/>
                <w:sz w:val="20"/>
                <w:szCs w:val="20"/>
                <w:lang w:val="sr-Cyrl-CS"/>
              </w:rPr>
              <w:t>D5</w:t>
            </w:r>
          </w:p>
        </w:tc>
        <w:tc>
          <w:tcPr>
            <w:tcW w:w="1074" w:type="dxa"/>
            <w:tcBorders>
              <w:top w:val="nil"/>
              <w:left w:val="nil"/>
              <w:bottom w:val="dotted" w:sz="4" w:space="0" w:color="auto"/>
              <w:right w:val="dotted" w:sz="4" w:space="0" w:color="auto"/>
            </w:tcBorders>
            <w:shd w:val="clear" w:color="auto" w:fill="auto"/>
            <w:vAlign w:val="center"/>
            <w:hideMark/>
          </w:tcPr>
          <w:p w14:paraId="37CAC3E6" w14:textId="77777777" w:rsidR="004B0AC2" w:rsidRPr="00092ED7" w:rsidRDefault="004B0AC2" w:rsidP="00FB09AE">
            <w:pPr>
              <w:spacing w:after="0"/>
              <w:jc w:val="right"/>
              <w:rPr>
                <w:sz w:val="20"/>
                <w:szCs w:val="20"/>
                <w:lang w:val="sr-Cyrl-CS"/>
              </w:rPr>
            </w:pPr>
            <w:r w:rsidRPr="00092ED7">
              <w:rPr>
                <w:sz w:val="20"/>
                <w:szCs w:val="20"/>
                <w:lang w:val="sr-Cyrl-CS"/>
              </w:rPr>
              <w:t>371,6</w:t>
            </w:r>
          </w:p>
        </w:tc>
        <w:tc>
          <w:tcPr>
            <w:tcW w:w="1074" w:type="dxa"/>
            <w:tcBorders>
              <w:top w:val="nil"/>
              <w:left w:val="nil"/>
              <w:bottom w:val="dotted" w:sz="4" w:space="0" w:color="auto"/>
              <w:right w:val="dotted" w:sz="4" w:space="0" w:color="auto"/>
            </w:tcBorders>
            <w:shd w:val="clear" w:color="auto" w:fill="auto"/>
            <w:vAlign w:val="center"/>
            <w:hideMark/>
          </w:tcPr>
          <w:p w14:paraId="78CA173B" w14:textId="77777777" w:rsidR="004B0AC2" w:rsidRPr="00092ED7" w:rsidRDefault="004B0AC2" w:rsidP="00FB09AE">
            <w:pPr>
              <w:spacing w:after="0"/>
              <w:jc w:val="right"/>
              <w:rPr>
                <w:sz w:val="20"/>
                <w:szCs w:val="20"/>
                <w:lang w:val="sr-Cyrl-CS"/>
              </w:rPr>
            </w:pPr>
            <w:r w:rsidRPr="00092ED7">
              <w:rPr>
                <w:sz w:val="20"/>
                <w:szCs w:val="20"/>
                <w:lang w:val="sr-Cyrl-CS"/>
              </w:rPr>
              <w:t>464,4</w:t>
            </w:r>
          </w:p>
        </w:tc>
        <w:tc>
          <w:tcPr>
            <w:tcW w:w="1074" w:type="dxa"/>
            <w:gridSpan w:val="2"/>
            <w:tcBorders>
              <w:top w:val="nil"/>
              <w:left w:val="nil"/>
              <w:bottom w:val="dotted" w:sz="4" w:space="0" w:color="auto"/>
              <w:right w:val="dotted" w:sz="4" w:space="0" w:color="auto"/>
            </w:tcBorders>
            <w:shd w:val="clear" w:color="auto" w:fill="auto"/>
            <w:vAlign w:val="center"/>
            <w:hideMark/>
          </w:tcPr>
          <w:p w14:paraId="7BEA39FA" w14:textId="77777777" w:rsidR="004B0AC2" w:rsidRPr="00092ED7" w:rsidRDefault="004B0AC2" w:rsidP="00FB09AE">
            <w:pPr>
              <w:spacing w:after="0"/>
              <w:jc w:val="right"/>
              <w:rPr>
                <w:sz w:val="20"/>
                <w:szCs w:val="20"/>
                <w:lang w:val="sr-Cyrl-CS"/>
              </w:rPr>
            </w:pPr>
            <w:r w:rsidRPr="00092ED7">
              <w:rPr>
                <w:sz w:val="20"/>
                <w:szCs w:val="20"/>
                <w:lang w:val="sr-Cyrl-CS"/>
              </w:rPr>
              <w:t>488,6</w:t>
            </w:r>
          </w:p>
        </w:tc>
        <w:tc>
          <w:tcPr>
            <w:tcW w:w="1074" w:type="dxa"/>
            <w:gridSpan w:val="2"/>
            <w:tcBorders>
              <w:top w:val="nil"/>
              <w:left w:val="nil"/>
              <w:bottom w:val="dotted" w:sz="4" w:space="0" w:color="auto"/>
              <w:right w:val="dotted" w:sz="4" w:space="0" w:color="auto"/>
            </w:tcBorders>
            <w:shd w:val="clear" w:color="auto" w:fill="auto"/>
            <w:vAlign w:val="center"/>
            <w:hideMark/>
          </w:tcPr>
          <w:p w14:paraId="63BF1C49" w14:textId="77777777" w:rsidR="004B0AC2" w:rsidRPr="00092ED7" w:rsidRDefault="004B0AC2" w:rsidP="00FB09AE">
            <w:pPr>
              <w:spacing w:after="0"/>
              <w:jc w:val="right"/>
              <w:rPr>
                <w:sz w:val="20"/>
                <w:szCs w:val="20"/>
                <w:lang w:val="sr-Cyrl-CS"/>
              </w:rPr>
            </w:pPr>
            <w:r w:rsidRPr="00092ED7">
              <w:rPr>
                <w:sz w:val="20"/>
                <w:szCs w:val="20"/>
                <w:lang w:val="sr-Cyrl-CS"/>
              </w:rPr>
              <w:t>519,8</w:t>
            </w:r>
          </w:p>
        </w:tc>
        <w:tc>
          <w:tcPr>
            <w:tcW w:w="1074" w:type="dxa"/>
            <w:tcBorders>
              <w:top w:val="nil"/>
              <w:left w:val="nil"/>
              <w:bottom w:val="dotted" w:sz="4" w:space="0" w:color="auto"/>
              <w:right w:val="dotted" w:sz="4" w:space="0" w:color="auto"/>
            </w:tcBorders>
            <w:shd w:val="clear" w:color="auto" w:fill="auto"/>
            <w:vAlign w:val="center"/>
            <w:hideMark/>
          </w:tcPr>
          <w:p w14:paraId="35AD0F16" w14:textId="77777777" w:rsidR="004B0AC2" w:rsidRPr="00092ED7" w:rsidRDefault="004B0AC2" w:rsidP="00FB09AE">
            <w:pPr>
              <w:spacing w:after="0"/>
              <w:jc w:val="right"/>
              <w:rPr>
                <w:sz w:val="20"/>
                <w:szCs w:val="20"/>
                <w:lang w:val="sr-Cyrl-CS"/>
              </w:rPr>
            </w:pPr>
            <w:r w:rsidRPr="00092ED7">
              <w:rPr>
                <w:sz w:val="20"/>
                <w:szCs w:val="20"/>
                <w:lang w:val="sr-Cyrl-CS"/>
              </w:rPr>
              <w:t>554,4</w:t>
            </w:r>
          </w:p>
        </w:tc>
        <w:tc>
          <w:tcPr>
            <w:tcW w:w="1074" w:type="dxa"/>
            <w:tcBorders>
              <w:top w:val="nil"/>
              <w:left w:val="nil"/>
              <w:bottom w:val="dotted" w:sz="4" w:space="0" w:color="auto"/>
              <w:right w:val="double" w:sz="6" w:space="0" w:color="auto"/>
            </w:tcBorders>
            <w:shd w:val="clear" w:color="auto" w:fill="auto"/>
            <w:vAlign w:val="center"/>
            <w:hideMark/>
          </w:tcPr>
          <w:p w14:paraId="4B288E6A" w14:textId="77777777" w:rsidR="004B0AC2" w:rsidRPr="00092ED7" w:rsidRDefault="004B0AC2" w:rsidP="00FB09AE">
            <w:pPr>
              <w:spacing w:after="0"/>
              <w:jc w:val="right"/>
              <w:rPr>
                <w:sz w:val="20"/>
                <w:szCs w:val="20"/>
                <w:lang w:val="sr-Cyrl-CS"/>
              </w:rPr>
            </w:pPr>
            <w:r w:rsidRPr="00092ED7">
              <w:rPr>
                <w:sz w:val="20"/>
                <w:szCs w:val="20"/>
                <w:lang w:val="sr-Cyrl-CS"/>
              </w:rPr>
              <w:t>583,3</w:t>
            </w:r>
          </w:p>
        </w:tc>
      </w:tr>
      <w:tr w:rsidR="004B0AC2" w:rsidRPr="00092ED7" w14:paraId="08122F32" w14:textId="77777777" w:rsidTr="00FB09AE">
        <w:trPr>
          <w:trHeight w:val="255"/>
        </w:trPr>
        <w:tc>
          <w:tcPr>
            <w:tcW w:w="6640" w:type="dxa"/>
            <w:tcBorders>
              <w:top w:val="nil"/>
              <w:left w:val="double" w:sz="6" w:space="0" w:color="auto"/>
              <w:bottom w:val="dotted" w:sz="4" w:space="0" w:color="auto"/>
              <w:right w:val="dotted" w:sz="4" w:space="0" w:color="auto"/>
            </w:tcBorders>
            <w:shd w:val="clear" w:color="auto" w:fill="auto"/>
            <w:vAlign w:val="center"/>
            <w:hideMark/>
          </w:tcPr>
          <w:p w14:paraId="21394E50" w14:textId="77777777" w:rsidR="004B0AC2" w:rsidRPr="00092ED7" w:rsidRDefault="004B0AC2" w:rsidP="00FB09AE">
            <w:pPr>
              <w:spacing w:after="0"/>
              <w:jc w:val="left"/>
              <w:rPr>
                <w:rFonts w:eastAsia="Times New Roman" w:cs="Times New Roman"/>
                <w:sz w:val="20"/>
                <w:szCs w:val="20"/>
                <w:lang w:val="sr-Cyrl-CS"/>
              </w:rPr>
            </w:pPr>
            <w:r w:rsidRPr="00092ED7">
              <w:rPr>
                <w:rFonts w:eastAsia="Times New Roman" w:cs="Times New Roman"/>
                <w:sz w:val="20"/>
                <w:szCs w:val="20"/>
                <w:lang w:val="sr-Cyrl-CS"/>
              </w:rPr>
              <w:t>12c. Порези на капитал</w:t>
            </w:r>
          </w:p>
        </w:tc>
        <w:tc>
          <w:tcPr>
            <w:tcW w:w="1417" w:type="dxa"/>
            <w:tcBorders>
              <w:top w:val="nil"/>
              <w:left w:val="single" w:sz="8" w:space="0" w:color="auto"/>
              <w:bottom w:val="dotted" w:sz="4" w:space="0" w:color="auto"/>
              <w:right w:val="single" w:sz="8" w:space="0" w:color="auto"/>
            </w:tcBorders>
            <w:shd w:val="clear" w:color="auto" w:fill="auto"/>
            <w:vAlign w:val="center"/>
            <w:hideMark/>
          </w:tcPr>
          <w:p w14:paraId="2E7E13BA" w14:textId="77777777" w:rsidR="004B0AC2" w:rsidRPr="00092ED7" w:rsidRDefault="004B0AC2" w:rsidP="00FB09AE">
            <w:pPr>
              <w:spacing w:after="0"/>
              <w:jc w:val="center"/>
              <w:rPr>
                <w:rFonts w:eastAsia="Times New Roman" w:cs="Times New Roman"/>
                <w:sz w:val="20"/>
                <w:szCs w:val="20"/>
                <w:lang w:val="sr-Cyrl-CS"/>
              </w:rPr>
            </w:pPr>
            <w:r w:rsidRPr="00092ED7">
              <w:rPr>
                <w:rFonts w:eastAsia="Times New Roman" w:cs="Times New Roman"/>
                <w:sz w:val="20"/>
                <w:szCs w:val="20"/>
                <w:lang w:val="sr-Cyrl-CS"/>
              </w:rPr>
              <w:t>D91</w:t>
            </w:r>
          </w:p>
        </w:tc>
        <w:tc>
          <w:tcPr>
            <w:tcW w:w="1074" w:type="dxa"/>
            <w:tcBorders>
              <w:top w:val="nil"/>
              <w:left w:val="nil"/>
              <w:bottom w:val="dotted" w:sz="4" w:space="0" w:color="auto"/>
              <w:right w:val="dotted" w:sz="4" w:space="0" w:color="auto"/>
            </w:tcBorders>
            <w:shd w:val="clear" w:color="auto" w:fill="auto"/>
            <w:vAlign w:val="center"/>
            <w:hideMark/>
          </w:tcPr>
          <w:p w14:paraId="35C7970B" w14:textId="77777777" w:rsidR="004B0AC2" w:rsidRPr="00092ED7" w:rsidRDefault="004B0AC2" w:rsidP="00FB09AE">
            <w:pPr>
              <w:spacing w:after="0"/>
              <w:jc w:val="right"/>
              <w:rPr>
                <w:sz w:val="20"/>
                <w:szCs w:val="20"/>
                <w:lang w:val="sr-Cyrl-CS"/>
              </w:rPr>
            </w:pPr>
            <w:r w:rsidRPr="00092ED7">
              <w:rPr>
                <w:sz w:val="20"/>
                <w:szCs w:val="20"/>
                <w:lang w:val="sr-Cyrl-CS"/>
              </w:rPr>
              <w:t>1,3</w:t>
            </w:r>
          </w:p>
        </w:tc>
        <w:tc>
          <w:tcPr>
            <w:tcW w:w="1074" w:type="dxa"/>
            <w:tcBorders>
              <w:top w:val="nil"/>
              <w:left w:val="nil"/>
              <w:bottom w:val="dotted" w:sz="4" w:space="0" w:color="auto"/>
              <w:right w:val="dotted" w:sz="4" w:space="0" w:color="auto"/>
            </w:tcBorders>
            <w:shd w:val="clear" w:color="auto" w:fill="auto"/>
            <w:vAlign w:val="center"/>
            <w:hideMark/>
          </w:tcPr>
          <w:p w14:paraId="44FA5DFB" w14:textId="77777777" w:rsidR="004B0AC2" w:rsidRPr="00092ED7" w:rsidRDefault="004B0AC2" w:rsidP="00FB09AE">
            <w:pPr>
              <w:spacing w:after="0"/>
              <w:jc w:val="right"/>
              <w:rPr>
                <w:sz w:val="20"/>
                <w:szCs w:val="20"/>
                <w:lang w:val="sr-Cyrl-CS"/>
              </w:rPr>
            </w:pPr>
            <w:r w:rsidRPr="00092ED7">
              <w:rPr>
                <w:sz w:val="20"/>
                <w:szCs w:val="20"/>
                <w:lang w:val="sr-Cyrl-CS"/>
              </w:rPr>
              <w:t>1,8</w:t>
            </w:r>
          </w:p>
        </w:tc>
        <w:tc>
          <w:tcPr>
            <w:tcW w:w="1074" w:type="dxa"/>
            <w:gridSpan w:val="2"/>
            <w:tcBorders>
              <w:top w:val="nil"/>
              <w:left w:val="nil"/>
              <w:bottom w:val="dotted" w:sz="4" w:space="0" w:color="auto"/>
              <w:right w:val="dotted" w:sz="4" w:space="0" w:color="auto"/>
            </w:tcBorders>
            <w:shd w:val="clear" w:color="auto" w:fill="auto"/>
            <w:vAlign w:val="center"/>
            <w:hideMark/>
          </w:tcPr>
          <w:p w14:paraId="53F44FFB" w14:textId="77777777" w:rsidR="004B0AC2" w:rsidRPr="00092ED7" w:rsidRDefault="004B0AC2" w:rsidP="00FB09AE">
            <w:pPr>
              <w:spacing w:after="0"/>
              <w:jc w:val="right"/>
              <w:rPr>
                <w:sz w:val="20"/>
                <w:szCs w:val="20"/>
                <w:lang w:val="sr-Cyrl-CS"/>
              </w:rPr>
            </w:pPr>
            <w:r w:rsidRPr="00092ED7">
              <w:rPr>
                <w:sz w:val="20"/>
                <w:szCs w:val="20"/>
                <w:lang w:val="sr-Cyrl-CS"/>
              </w:rPr>
              <w:t>2,5</w:t>
            </w:r>
          </w:p>
        </w:tc>
        <w:tc>
          <w:tcPr>
            <w:tcW w:w="1074" w:type="dxa"/>
            <w:gridSpan w:val="2"/>
            <w:tcBorders>
              <w:top w:val="nil"/>
              <w:left w:val="nil"/>
              <w:bottom w:val="dotted" w:sz="4" w:space="0" w:color="auto"/>
              <w:right w:val="dotted" w:sz="4" w:space="0" w:color="auto"/>
            </w:tcBorders>
            <w:shd w:val="clear" w:color="auto" w:fill="auto"/>
            <w:vAlign w:val="center"/>
            <w:hideMark/>
          </w:tcPr>
          <w:p w14:paraId="5EAD3C4E" w14:textId="77777777" w:rsidR="004B0AC2" w:rsidRPr="00092ED7" w:rsidRDefault="004B0AC2" w:rsidP="00FB09AE">
            <w:pPr>
              <w:spacing w:after="0"/>
              <w:jc w:val="right"/>
              <w:rPr>
                <w:sz w:val="20"/>
                <w:szCs w:val="20"/>
                <w:lang w:val="sr-Cyrl-CS"/>
              </w:rPr>
            </w:pPr>
            <w:r w:rsidRPr="00092ED7">
              <w:rPr>
                <w:sz w:val="20"/>
                <w:szCs w:val="20"/>
                <w:lang w:val="sr-Cyrl-CS"/>
              </w:rPr>
              <w:t>3,5</w:t>
            </w:r>
          </w:p>
        </w:tc>
        <w:tc>
          <w:tcPr>
            <w:tcW w:w="1074" w:type="dxa"/>
            <w:tcBorders>
              <w:top w:val="nil"/>
              <w:left w:val="nil"/>
              <w:bottom w:val="dotted" w:sz="4" w:space="0" w:color="auto"/>
              <w:right w:val="dotted" w:sz="4" w:space="0" w:color="auto"/>
            </w:tcBorders>
            <w:shd w:val="clear" w:color="auto" w:fill="auto"/>
            <w:vAlign w:val="center"/>
            <w:hideMark/>
          </w:tcPr>
          <w:p w14:paraId="36EF5A4C" w14:textId="77777777" w:rsidR="004B0AC2" w:rsidRPr="00092ED7" w:rsidRDefault="004B0AC2" w:rsidP="00FB09AE">
            <w:pPr>
              <w:spacing w:after="0"/>
              <w:jc w:val="right"/>
              <w:rPr>
                <w:sz w:val="20"/>
                <w:szCs w:val="20"/>
                <w:lang w:val="sr-Cyrl-CS"/>
              </w:rPr>
            </w:pPr>
            <w:r w:rsidRPr="00092ED7">
              <w:rPr>
                <w:sz w:val="20"/>
                <w:szCs w:val="20"/>
                <w:lang w:val="sr-Cyrl-CS"/>
              </w:rPr>
              <w:t>4,9</w:t>
            </w:r>
          </w:p>
        </w:tc>
        <w:tc>
          <w:tcPr>
            <w:tcW w:w="1074" w:type="dxa"/>
            <w:tcBorders>
              <w:top w:val="nil"/>
              <w:left w:val="nil"/>
              <w:bottom w:val="dotted" w:sz="4" w:space="0" w:color="auto"/>
              <w:right w:val="double" w:sz="6" w:space="0" w:color="auto"/>
            </w:tcBorders>
            <w:shd w:val="clear" w:color="auto" w:fill="auto"/>
            <w:vAlign w:val="center"/>
            <w:hideMark/>
          </w:tcPr>
          <w:p w14:paraId="1767E6E9" w14:textId="77777777" w:rsidR="004B0AC2" w:rsidRPr="00092ED7" w:rsidRDefault="004B0AC2" w:rsidP="00FB09AE">
            <w:pPr>
              <w:spacing w:after="0"/>
              <w:jc w:val="right"/>
              <w:rPr>
                <w:sz w:val="20"/>
                <w:szCs w:val="20"/>
                <w:lang w:val="sr-Cyrl-CS"/>
              </w:rPr>
            </w:pPr>
            <w:r w:rsidRPr="00092ED7">
              <w:rPr>
                <w:sz w:val="20"/>
                <w:szCs w:val="20"/>
                <w:lang w:val="sr-Cyrl-CS"/>
              </w:rPr>
              <w:t>6,8</w:t>
            </w:r>
          </w:p>
        </w:tc>
      </w:tr>
      <w:tr w:rsidR="004B0AC2" w:rsidRPr="00092ED7" w14:paraId="0AF9074F" w14:textId="77777777" w:rsidTr="00FB09AE">
        <w:trPr>
          <w:trHeight w:val="255"/>
        </w:trPr>
        <w:tc>
          <w:tcPr>
            <w:tcW w:w="6640" w:type="dxa"/>
            <w:tcBorders>
              <w:top w:val="nil"/>
              <w:left w:val="double" w:sz="6" w:space="0" w:color="auto"/>
              <w:bottom w:val="dotted" w:sz="4" w:space="0" w:color="auto"/>
              <w:right w:val="dotted" w:sz="4" w:space="0" w:color="auto"/>
            </w:tcBorders>
            <w:shd w:val="clear" w:color="auto" w:fill="auto"/>
            <w:vAlign w:val="center"/>
            <w:hideMark/>
          </w:tcPr>
          <w:p w14:paraId="3CA94DA2" w14:textId="77777777" w:rsidR="004B0AC2" w:rsidRPr="00092ED7" w:rsidRDefault="004B0AC2" w:rsidP="00FB09AE">
            <w:pPr>
              <w:spacing w:after="0"/>
              <w:jc w:val="left"/>
              <w:rPr>
                <w:rFonts w:eastAsia="Times New Roman" w:cs="Times New Roman"/>
                <w:sz w:val="20"/>
                <w:szCs w:val="20"/>
                <w:lang w:val="sr-Cyrl-CS"/>
              </w:rPr>
            </w:pPr>
            <w:r w:rsidRPr="00092ED7">
              <w:rPr>
                <w:rFonts w:eastAsia="Times New Roman" w:cs="Times New Roman"/>
                <w:sz w:val="20"/>
                <w:szCs w:val="20"/>
                <w:lang w:val="sr-Cyrl-CS"/>
              </w:rPr>
              <w:t>13. Доприноси за социјално осигурање</w:t>
            </w:r>
          </w:p>
        </w:tc>
        <w:tc>
          <w:tcPr>
            <w:tcW w:w="1417" w:type="dxa"/>
            <w:tcBorders>
              <w:top w:val="nil"/>
              <w:left w:val="single" w:sz="8" w:space="0" w:color="auto"/>
              <w:bottom w:val="dotted" w:sz="4" w:space="0" w:color="auto"/>
              <w:right w:val="single" w:sz="8" w:space="0" w:color="auto"/>
            </w:tcBorders>
            <w:shd w:val="clear" w:color="auto" w:fill="auto"/>
            <w:vAlign w:val="center"/>
            <w:hideMark/>
          </w:tcPr>
          <w:p w14:paraId="461409BB" w14:textId="77777777" w:rsidR="004B0AC2" w:rsidRPr="00092ED7" w:rsidRDefault="004B0AC2" w:rsidP="00FB09AE">
            <w:pPr>
              <w:spacing w:after="0"/>
              <w:jc w:val="center"/>
              <w:rPr>
                <w:rFonts w:eastAsia="Times New Roman" w:cs="Times New Roman"/>
                <w:sz w:val="20"/>
                <w:szCs w:val="20"/>
                <w:lang w:val="sr-Cyrl-CS"/>
              </w:rPr>
            </w:pPr>
            <w:r w:rsidRPr="00092ED7">
              <w:rPr>
                <w:rFonts w:eastAsia="Times New Roman" w:cs="Times New Roman"/>
                <w:sz w:val="20"/>
                <w:szCs w:val="20"/>
                <w:lang w:val="sr-Cyrl-CS"/>
              </w:rPr>
              <w:t>D61</w:t>
            </w:r>
          </w:p>
        </w:tc>
        <w:tc>
          <w:tcPr>
            <w:tcW w:w="1074" w:type="dxa"/>
            <w:tcBorders>
              <w:top w:val="nil"/>
              <w:left w:val="nil"/>
              <w:bottom w:val="dotted" w:sz="4" w:space="0" w:color="auto"/>
              <w:right w:val="dotted" w:sz="4" w:space="0" w:color="auto"/>
            </w:tcBorders>
            <w:shd w:val="clear" w:color="auto" w:fill="auto"/>
            <w:vAlign w:val="center"/>
            <w:hideMark/>
          </w:tcPr>
          <w:p w14:paraId="09C62886" w14:textId="77777777" w:rsidR="004B0AC2" w:rsidRPr="00092ED7" w:rsidRDefault="004B0AC2" w:rsidP="00FB09AE">
            <w:pPr>
              <w:spacing w:after="0"/>
              <w:jc w:val="right"/>
              <w:rPr>
                <w:sz w:val="20"/>
                <w:szCs w:val="20"/>
                <w:lang w:val="sr-Cyrl-CS"/>
              </w:rPr>
            </w:pPr>
            <w:r w:rsidRPr="00092ED7">
              <w:rPr>
                <w:sz w:val="20"/>
                <w:szCs w:val="20"/>
                <w:lang w:val="sr-Cyrl-CS"/>
              </w:rPr>
              <w:t>673,7</w:t>
            </w:r>
          </w:p>
        </w:tc>
        <w:tc>
          <w:tcPr>
            <w:tcW w:w="1074" w:type="dxa"/>
            <w:tcBorders>
              <w:top w:val="nil"/>
              <w:left w:val="nil"/>
              <w:bottom w:val="dotted" w:sz="4" w:space="0" w:color="auto"/>
              <w:right w:val="dotted" w:sz="4" w:space="0" w:color="auto"/>
            </w:tcBorders>
            <w:shd w:val="clear" w:color="auto" w:fill="auto"/>
            <w:vAlign w:val="center"/>
            <w:hideMark/>
          </w:tcPr>
          <w:p w14:paraId="120D4B23" w14:textId="77777777" w:rsidR="004B0AC2" w:rsidRPr="00092ED7" w:rsidRDefault="004B0AC2" w:rsidP="00FB09AE">
            <w:pPr>
              <w:spacing w:after="0"/>
              <w:jc w:val="right"/>
              <w:rPr>
                <w:sz w:val="20"/>
                <w:szCs w:val="20"/>
                <w:lang w:val="sr-Cyrl-CS"/>
              </w:rPr>
            </w:pPr>
            <w:r w:rsidRPr="00092ED7">
              <w:rPr>
                <w:sz w:val="20"/>
                <w:szCs w:val="20"/>
                <w:lang w:val="sr-Cyrl-CS"/>
              </w:rPr>
              <w:t>862,0</w:t>
            </w:r>
          </w:p>
        </w:tc>
        <w:tc>
          <w:tcPr>
            <w:tcW w:w="1074" w:type="dxa"/>
            <w:gridSpan w:val="2"/>
            <w:tcBorders>
              <w:top w:val="nil"/>
              <w:left w:val="nil"/>
              <w:bottom w:val="dotted" w:sz="4" w:space="0" w:color="auto"/>
              <w:right w:val="dotted" w:sz="4" w:space="0" w:color="auto"/>
            </w:tcBorders>
            <w:shd w:val="clear" w:color="auto" w:fill="auto"/>
            <w:vAlign w:val="center"/>
            <w:hideMark/>
          </w:tcPr>
          <w:p w14:paraId="230848DF" w14:textId="77777777" w:rsidR="004B0AC2" w:rsidRPr="00092ED7" w:rsidRDefault="004B0AC2" w:rsidP="00FB09AE">
            <w:pPr>
              <w:spacing w:after="0"/>
              <w:jc w:val="right"/>
              <w:rPr>
                <w:sz w:val="20"/>
                <w:szCs w:val="20"/>
                <w:lang w:val="sr-Cyrl-CS"/>
              </w:rPr>
            </w:pPr>
            <w:r w:rsidRPr="00092ED7">
              <w:rPr>
                <w:sz w:val="20"/>
                <w:szCs w:val="20"/>
                <w:lang w:val="sr-Cyrl-CS"/>
              </w:rPr>
              <w:t>947,8</w:t>
            </w:r>
          </w:p>
        </w:tc>
        <w:tc>
          <w:tcPr>
            <w:tcW w:w="1074" w:type="dxa"/>
            <w:gridSpan w:val="2"/>
            <w:tcBorders>
              <w:top w:val="nil"/>
              <w:left w:val="nil"/>
              <w:bottom w:val="dotted" w:sz="4" w:space="0" w:color="auto"/>
              <w:right w:val="dotted" w:sz="4" w:space="0" w:color="auto"/>
            </w:tcBorders>
            <w:shd w:val="clear" w:color="auto" w:fill="auto"/>
            <w:vAlign w:val="center"/>
            <w:hideMark/>
          </w:tcPr>
          <w:p w14:paraId="0FE04D9C" w14:textId="77777777" w:rsidR="004B0AC2" w:rsidRPr="00092ED7" w:rsidRDefault="004B0AC2" w:rsidP="00FB09AE">
            <w:pPr>
              <w:spacing w:after="0"/>
              <w:jc w:val="right"/>
              <w:rPr>
                <w:sz w:val="20"/>
                <w:szCs w:val="20"/>
                <w:lang w:val="sr-Cyrl-CS"/>
              </w:rPr>
            </w:pPr>
            <w:r w:rsidRPr="00092ED7">
              <w:rPr>
                <w:sz w:val="20"/>
                <w:szCs w:val="20"/>
                <w:lang w:val="sr-Cyrl-CS"/>
              </w:rPr>
              <w:t>1.008,7</w:t>
            </w:r>
          </w:p>
        </w:tc>
        <w:tc>
          <w:tcPr>
            <w:tcW w:w="1074" w:type="dxa"/>
            <w:tcBorders>
              <w:top w:val="nil"/>
              <w:left w:val="nil"/>
              <w:bottom w:val="dotted" w:sz="4" w:space="0" w:color="auto"/>
              <w:right w:val="dotted" w:sz="4" w:space="0" w:color="auto"/>
            </w:tcBorders>
            <w:shd w:val="clear" w:color="auto" w:fill="auto"/>
            <w:vAlign w:val="center"/>
            <w:hideMark/>
          </w:tcPr>
          <w:p w14:paraId="2B0E0ECC" w14:textId="77777777" w:rsidR="004B0AC2" w:rsidRPr="00092ED7" w:rsidRDefault="004B0AC2" w:rsidP="00FB09AE">
            <w:pPr>
              <w:spacing w:after="0"/>
              <w:jc w:val="right"/>
              <w:rPr>
                <w:sz w:val="20"/>
                <w:szCs w:val="20"/>
                <w:lang w:val="sr-Cyrl-CS"/>
              </w:rPr>
            </w:pPr>
            <w:r w:rsidRPr="00092ED7">
              <w:rPr>
                <w:sz w:val="20"/>
                <w:szCs w:val="20"/>
                <w:lang w:val="sr-Cyrl-CS"/>
              </w:rPr>
              <w:t>1.097,9</w:t>
            </w:r>
          </w:p>
        </w:tc>
        <w:tc>
          <w:tcPr>
            <w:tcW w:w="1074" w:type="dxa"/>
            <w:tcBorders>
              <w:top w:val="nil"/>
              <w:left w:val="nil"/>
              <w:bottom w:val="dotted" w:sz="4" w:space="0" w:color="auto"/>
              <w:right w:val="double" w:sz="6" w:space="0" w:color="auto"/>
            </w:tcBorders>
            <w:shd w:val="clear" w:color="auto" w:fill="auto"/>
            <w:vAlign w:val="center"/>
            <w:hideMark/>
          </w:tcPr>
          <w:p w14:paraId="555A79A1" w14:textId="77777777" w:rsidR="004B0AC2" w:rsidRPr="00092ED7" w:rsidRDefault="004B0AC2" w:rsidP="00FB09AE">
            <w:pPr>
              <w:spacing w:after="0"/>
              <w:jc w:val="right"/>
              <w:rPr>
                <w:sz w:val="20"/>
                <w:szCs w:val="20"/>
                <w:lang w:val="sr-Cyrl-CS"/>
              </w:rPr>
            </w:pPr>
            <w:r w:rsidRPr="00092ED7">
              <w:rPr>
                <w:sz w:val="20"/>
                <w:szCs w:val="20"/>
                <w:lang w:val="sr-Cyrl-CS"/>
              </w:rPr>
              <w:t>1.182,0</w:t>
            </w:r>
          </w:p>
        </w:tc>
      </w:tr>
      <w:tr w:rsidR="004B0AC2" w:rsidRPr="00092ED7" w14:paraId="2CB9493B" w14:textId="77777777" w:rsidTr="00FB09AE">
        <w:trPr>
          <w:trHeight w:val="255"/>
        </w:trPr>
        <w:tc>
          <w:tcPr>
            <w:tcW w:w="6640" w:type="dxa"/>
            <w:tcBorders>
              <w:top w:val="nil"/>
              <w:left w:val="double" w:sz="6" w:space="0" w:color="auto"/>
              <w:bottom w:val="dotted" w:sz="4" w:space="0" w:color="auto"/>
              <w:right w:val="dotted" w:sz="4" w:space="0" w:color="auto"/>
            </w:tcBorders>
            <w:shd w:val="clear" w:color="auto" w:fill="auto"/>
            <w:vAlign w:val="center"/>
            <w:hideMark/>
          </w:tcPr>
          <w:p w14:paraId="0E9A11CE" w14:textId="77777777" w:rsidR="004B0AC2" w:rsidRPr="00092ED7" w:rsidRDefault="004B0AC2" w:rsidP="00FB09AE">
            <w:pPr>
              <w:spacing w:after="0"/>
              <w:jc w:val="left"/>
              <w:rPr>
                <w:rFonts w:eastAsia="Times New Roman" w:cs="Times New Roman"/>
                <w:sz w:val="20"/>
                <w:szCs w:val="20"/>
                <w:lang w:val="sr-Cyrl-CS"/>
              </w:rPr>
            </w:pPr>
            <w:bookmarkStart w:id="86" w:name="RANGE!B139"/>
            <w:r w:rsidRPr="00092ED7">
              <w:rPr>
                <w:rFonts w:eastAsia="Times New Roman" w:cs="Times New Roman"/>
                <w:sz w:val="20"/>
                <w:szCs w:val="20"/>
                <w:lang w:val="sr-Cyrl-CS"/>
              </w:rPr>
              <w:t>14. Приходи од имовине</w:t>
            </w:r>
            <w:bookmarkEnd w:id="86"/>
          </w:p>
        </w:tc>
        <w:tc>
          <w:tcPr>
            <w:tcW w:w="1417" w:type="dxa"/>
            <w:tcBorders>
              <w:top w:val="nil"/>
              <w:left w:val="single" w:sz="8" w:space="0" w:color="auto"/>
              <w:bottom w:val="dotted" w:sz="4" w:space="0" w:color="auto"/>
              <w:right w:val="single" w:sz="8" w:space="0" w:color="auto"/>
            </w:tcBorders>
            <w:shd w:val="clear" w:color="auto" w:fill="auto"/>
            <w:vAlign w:val="center"/>
            <w:hideMark/>
          </w:tcPr>
          <w:p w14:paraId="47A9D6D7" w14:textId="77777777" w:rsidR="004B0AC2" w:rsidRPr="00092ED7" w:rsidRDefault="004B0AC2" w:rsidP="00FB09AE">
            <w:pPr>
              <w:spacing w:after="0"/>
              <w:jc w:val="center"/>
              <w:rPr>
                <w:rFonts w:eastAsia="Times New Roman" w:cs="Times New Roman"/>
                <w:sz w:val="20"/>
                <w:szCs w:val="20"/>
                <w:lang w:val="sr-Cyrl-CS"/>
              </w:rPr>
            </w:pPr>
            <w:r w:rsidRPr="00092ED7">
              <w:rPr>
                <w:rFonts w:eastAsia="Times New Roman" w:cs="Times New Roman"/>
                <w:sz w:val="20"/>
                <w:szCs w:val="20"/>
                <w:lang w:val="sr-Cyrl-CS"/>
              </w:rPr>
              <w:t>D4</w:t>
            </w:r>
          </w:p>
        </w:tc>
        <w:tc>
          <w:tcPr>
            <w:tcW w:w="1074" w:type="dxa"/>
            <w:tcBorders>
              <w:top w:val="nil"/>
              <w:left w:val="nil"/>
              <w:bottom w:val="dotted" w:sz="4" w:space="0" w:color="auto"/>
              <w:right w:val="dotted" w:sz="4" w:space="0" w:color="auto"/>
            </w:tcBorders>
            <w:shd w:val="clear" w:color="auto" w:fill="auto"/>
            <w:vAlign w:val="center"/>
            <w:hideMark/>
          </w:tcPr>
          <w:p w14:paraId="59A3C920" w14:textId="77777777" w:rsidR="004B0AC2" w:rsidRPr="00092ED7" w:rsidRDefault="004B0AC2" w:rsidP="00FB09AE">
            <w:pPr>
              <w:spacing w:after="0"/>
              <w:jc w:val="right"/>
              <w:rPr>
                <w:sz w:val="20"/>
                <w:szCs w:val="20"/>
                <w:lang w:val="sr-Cyrl-CS"/>
              </w:rPr>
            </w:pPr>
            <w:r w:rsidRPr="00092ED7">
              <w:rPr>
                <w:sz w:val="20"/>
                <w:szCs w:val="20"/>
                <w:lang w:val="sr-Cyrl-CS"/>
              </w:rPr>
              <w:t>73,2</w:t>
            </w:r>
          </w:p>
        </w:tc>
        <w:tc>
          <w:tcPr>
            <w:tcW w:w="1074" w:type="dxa"/>
            <w:tcBorders>
              <w:top w:val="nil"/>
              <w:left w:val="nil"/>
              <w:bottom w:val="dotted" w:sz="4" w:space="0" w:color="auto"/>
              <w:right w:val="dotted" w:sz="4" w:space="0" w:color="auto"/>
            </w:tcBorders>
            <w:shd w:val="clear" w:color="auto" w:fill="auto"/>
            <w:vAlign w:val="center"/>
            <w:hideMark/>
          </w:tcPr>
          <w:p w14:paraId="7B67B45A" w14:textId="77777777" w:rsidR="004B0AC2" w:rsidRPr="00092ED7" w:rsidRDefault="004B0AC2" w:rsidP="00FB09AE">
            <w:pPr>
              <w:spacing w:after="0"/>
              <w:jc w:val="right"/>
              <w:rPr>
                <w:sz w:val="20"/>
                <w:szCs w:val="20"/>
                <w:lang w:val="sr-Cyrl-CS"/>
              </w:rPr>
            </w:pPr>
            <w:r w:rsidRPr="00092ED7">
              <w:rPr>
                <w:sz w:val="20"/>
                <w:szCs w:val="20"/>
                <w:lang w:val="sr-Cyrl-CS"/>
              </w:rPr>
              <w:t>69,9</w:t>
            </w:r>
          </w:p>
        </w:tc>
        <w:tc>
          <w:tcPr>
            <w:tcW w:w="1074" w:type="dxa"/>
            <w:gridSpan w:val="2"/>
            <w:tcBorders>
              <w:top w:val="nil"/>
              <w:left w:val="nil"/>
              <w:bottom w:val="dotted" w:sz="4" w:space="0" w:color="auto"/>
              <w:right w:val="dotted" w:sz="4" w:space="0" w:color="auto"/>
            </w:tcBorders>
            <w:shd w:val="clear" w:color="auto" w:fill="auto"/>
            <w:vAlign w:val="center"/>
            <w:hideMark/>
          </w:tcPr>
          <w:p w14:paraId="547ED7D5" w14:textId="77777777" w:rsidR="004B0AC2" w:rsidRPr="00092ED7" w:rsidRDefault="004B0AC2" w:rsidP="00FB09AE">
            <w:pPr>
              <w:spacing w:after="0"/>
              <w:jc w:val="right"/>
              <w:rPr>
                <w:sz w:val="20"/>
                <w:szCs w:val="20"/>
                <w:lang w:val="sr-Cyrl-CS"/>
              </w:rPr>
            </w:pPr>
            <w:r w:rsidRPr="00092ED7">
              <w:rPr>
                <w:sz w:val="20"/>
                <w:szCs w:val="20"/>
                <w:lang w:val="sr-Cyrl-CS"/>
              </w:rPr>
              <w:t>87,3</w:t>
            </w:r>
          </w:p>
        </w:tc>
        <w:tc>
          <w:tcPr>
            <w:tcW w:w="1074" w:type="dxa"/>
            <w:gridSpan w:val="2"/>
            <w:tcBorders>
              <w:top w:val="nil"/>
              <w:left w:val="nil"/>
              <w:bottom w:val="dotted" w:sz="4" w:space="0" w:color="auto"/>
              <w:right w:val="dotted" w:sz="4" w:space="0" w:color="auto"/>
            </w:tcBorders>
            <w:shd w:val="clear" w:color="auto" w:fill="auto"/>
            <w:vAlign w:val="center"/>
            <w:hideMark/>
          </w:tcPr>
          <w:p w14:paraId="212AD907" w14:textId="77777777" w:rsidR="004B0AC2" w:rsidRPr="00092ED7" w:rsidRDefault="004B0AC2" w:rsidP="00FB09AE">
            <w:pPr>
              <w:spacing w:after="0"/>
              <w:jc w:val="right"/>
              <w:rPr>
                <w:sz w:val="20"/>
                <w:szCs w:val="20"/>
                <w:lang w:val="sr-Cyrl-CS"/>
              </w:rPr>
            </w:pPr>
            <w:r w:rsidRPr="00092ED7">
              <w:rPr>
                <w:sz w:val="20"/>
                <w:szCs w:val="20"/>
                <w:lang w:val="sr-Cyrl-CS"/>
              </w:rPr>
              <w:t>87,8</w:t>
            </w:r>
          </w:p>
        </w:tc>
        <w:tc>
          <w:tcPr>
            <w:tcW w:w="1074" w:type="dxa"/>
            <w:tcBorders>
              <w:top w:val="nil"/>
              <w:left w:val="nil"/>
              <w:bottom w:val="dotted" w:sz="4" w:space="0" w:color="auto"/>
              <w:right w:val="dotted" w:sz="4" w:space="0" w:color="auto"/>
            </w:tcBorders>
            <w:shd w:val="clear" w:color="auto" w:fill="auto"/>
            <w:vAlign w:val="center"/>
            <w:hideMark/>
          </w:tcPr>
          <w:p w14:paraId="03D4A26F" w14:textId="77777777" w:rsidR="004B0AC2" w:rsidRPr="00092ED7" w:rsidRDefault="004B0AC2" w:rsidP="00FB09AE">
            <w:pPr>
              <w:spacing w:after="0"/>
              <w:jc w:val="right"/>
              <w:rPr>
                <w:sz w:val="20"/>
                <w:szCs w:val="20"/>
                <w:lang w:val="sr-Cyrl-CS"/>
              </w:rPr>
            </w:pPr>
            <w:r w:rsidRPr="00092ED7">
              <w:rPr>
                <w:sz w:val="20"/>
                <w:szCs w:val="20"/>
                <w:lang w:val="sr-Cyrl-CS"/>
              </w:rPr>
              <w:t>94,1</w:t>
            </w:r>
          </w:p>
        </w:tc>
        <w:tc>
          <w:tcPr>
            <w:tcW w:w="1074" w:type="dxa"/>
            <w:tcBorders>
              <w:top w:val="nil"/>
              <w:left w:val="nil"/>
              <w:bottom w:val="dotted" w:sz="4" w:space="0" w:color="auto"/>
              <w:right w:val="double" w:sz="6" w:space="0" w:color="auto"/>
            </w:tcBorders>
            <w:shd w:val="clear" w:color="auto" w:fill="auto"/>
            <w:vAlign w:val="center"/>
            <w:hideMark/>
          </w:tcPr>
          <w:p w14:paraId="0F683B58" w14:textId="77777777" w:rsidR="004B0AC2" w:rsidRPr="00092ED7" w:rsidRDefault="004B0AC2" w:rsidP="00FB09AE">
            <w:pPr>
              <w:spacing w:after="0"/>
              <w:jc w:val="right"/>
              <w:rPr>
                <w:sz w:val="20"/>
                <w:szCs w:val="20"/>
                <w:lang w:val="sr-Cyrl-CS"/>
              </w:rPr>
            </w:pPr>
            <w:r w:rsidRPr="00092ED7">
              <w:rPr>
                <w:sz w:val="20"/>
                <w:szCs w:val="20"/>
                <w:lang w:val="sr-Cyrl-CS"/>
              </w:rPr>
              <w:t>101,4</w:t>
            </w:r>
          </w:p>
        </w:tc>
      </w:tr>
      <w:bookmarkStart w:id="87" w:name="RANGE!B140"/>
      <w:tr w:rsidR="004B0AC2" w:rsidRPr="00092ED7" w14:paraId="155A07DE" w14:textId="77777777" w:rsidTr="00FB09AE">
        <w:trPr>
          <w:trHeight w:val="255"/>
        </w:trPr>
        <w:tc>
          <w:tcPr>
            <w:tcW w:w="6640" w:type="dxa"/>
            <w:tcBorders>
              <w:top w:val="nil"/>
              <w:left w:val="double" w:sz="6" w:space="0" w:color="auto"/>
              <w:bottom w:val="dotted" w:sz="4" w:space="0" w:color="auto"/>
              <w:right w:val="dotted" w:sz="4" w:space="0" w:color="auto"/>
            </w:tcBorders>
            <w:shd w:val="clear" w:color="auto" w:fill="auto"/>
            <w:vAlign w:val="center"/>
            <w:hideMark/>
          </w:tcPr>
          <w:p w14:paraId="5B3B20FE" w14:textId="77777777" w:rsidR="004B0AC2" w:rsidRPr="00092ED7" w:rsidRDefault="004B0AC2" w:rsidP="00FB09AE">
            <w:pPr>
              <w:spacing w:after="0"/>
              <w:jc w:val="left"/>
              <w:rPr>
                <w:rFonts w:eastAsia="Times New Roman" w:cs="Times New Roman"/>
                <w:sz w:val="20"/>
                <w:szCs w:val="20"/>
                <w:lang w:val="sr-Cyrl-CS"/>
              </w:rPr>
            </w:pPr>
            <w:r w:rsidRPr="00092ED7">
              <w:rPr>
                <w:rFonts w:eastAsia="Times New Roman" w:cs="Times New Roman"/>
                <w:sz w:val="20"/>
                <w:szCs w:val="20"/>
                <w:lang w:val="sr-Cyrl-CS"/>
              </w:rPr>
              <w:fldChar w:fldCharType="begin"/>
            </w:r>
            <w:r w:rsidRPr="00092ED7">
              <w:rPr>
                <w:rFonts w:eastAsia="Times New Roman" w:cs="Times New Roman"/>
                <w:sz w:val="20"/>
                <w:szCs w:val="20"/>
                <w:lang w:val="sr-Cyrl-CS"/>
              </w:rPr>
              <w:instrText xml:space="preserve"> HYPERLINK "file:///C:\\Users\\svetlana.aksentijevi\\AppData\\Local\\Microsoft\\Windows\\INetCache\\Content.MSO\\1D05A8A2.xlsx" \l "RANGE!B142" </w:instrText>
            </w:r>
            <w:r w:rsidRPr="00092ED7">
              <w:rPr>
                <w:rFonts w:eastAsia="Times New Roman" w:cs="Times New Roman"/>
                <w:sz w:val="20"/>
                <w:szCs w:val="20"/>
                <w:lang w:val="sr-Cyrl-CS"/>
              </w:rPr>
            </w:r>
            <w:r w:rsidRPr="00092ED7">
              <w:rPr>
                <w:rFonts w:eastAsia="Times New Roman" w:cs="Times New Roman"/>
                <w:sz w:val="20"/>
                <w:szCs w:val="20"/>
                <w:lang w:val="sr-Cyrl-CS"/>
              </w:rPr>
              <w:fldChar w:fldCharType="separate"/>
            </w:r>
            <w:r w:rsidRPr="00092ED7">
              <w:rPr>
                <w:rFonts w:eastAsia="Times New Roman" w:cs="Times New Roman"/>
                <w:sz w:val="20"/>
                <w:szCs w:val="20"/>
                <w:lang w:val="sr-Cyrl-CS"/>
              </w:rPr>
              <w:t>15. Друго (15 = 16-(12+13+14)) [4]</w:t>
            </w:r>
            <w:r w:rsidRPr="00092ED7">
              <w:rPr>
                <w:rFonts w:eastAsia="Times New Roman" w:cs="Times New Roman"/>
                <w:sz w:val="20"/>
                <w:szCs w:val="20"/>
                <w:lang w:val="sr-Cyrl-CS"/>
              </w:rPr>
              <w:fldChar w:fldCharType="end"/>
            </w:r>
            <w:bookmarkEnd w:id="87"/>
          </w:p>
        </w:tc>
        <w:tc>
          <w:tcPr>
            <w:tcW w:w="1417" w:type="dxa"/>
            <w:tcBorders>
              <w:top w:val="nil"/>
              <w:left w:val="single" w:sz="8" w:space="0" w:color="auto"/>
              <w:bottom w:val="dotted" w:sz="4" w:space="0" w:color="auto"/>
              <w:right w:val="single" w:sz="8" w:space="0" w:color="auto"/>
            </w:tcBorders>
            <w:shd w:val="clear" w:color="auto" w:fill="auto"/>
            <w:vAlign w:val="center"/>
            <w:hideMark/>
          </w:tcPr>
          <w:p w14:paraId="066D91D5" w14:textId="77777777" w:rsidR="004B0AC2" w:rsidRPr="00092ED7" w:rsidRDefault="004B0AC2" w:rsidP="00FB09AE">
            <w:pPr>
              <w:spacing w:after="0"/>
              <w:jc w:val="center"/>
              <w:rPr>
                <w:rFonts w:eastAsia="Times New Roman" w:cs="Times New Roman"/>
                <w:sz w:val="20"/>
                <w:szCs w:val="20"/>
                <w:lang w:val="sr-Cyrl-CS"/>
              </w:rPr>
            </w:pPr>
          </w:p>
        </w:tc>
        <w:tc>
          <w:tcPr>
            <w:tcW w:w="1074" w:type="dxa"/>
            <w:tcBorders>
              <w:top w:val="nil"/>
              <w:left w:val="nil"/>
              <w:bottom w:val="dotted" w:sz="4" w:space="0" w:color="auto"/>
              <w:right w:val="dotted" w:sz="4" w:space="0" w:color="auto"/>
            </w:tcBorders>
            <w:shd w:val="clear" w:color="auto" w:fill="auto"/>
            <w:vAlign w:val="center"/>
            <w:hideMark/>
          </w:tcPr>
          <w:p w14:paraId="34805EE3" w14:textId="77777777" w:rsidR="004B0AC2" w:rsidRPr="00092ED7" w:rsidRDefault="004B0AC2" w:rsidP="00FB09AE">
            <w:pPr>
              <w:spacing w:after="0"/>
              <w:jc w:val="right"/>
              <w:rPr>
                <w:sz w:val="20"/>
                <w:szCs w:val="20"/>
                <w:lang w:val="sr-Cyrl-CS"/>
              </w:rPr>
            </w:pPr>
            <w:r w:rsidRPr="00092ED7">
              <w:rPr>
                <w:sz w:val="20"/>
                <w:szCs w:val="20"/>
                <w:lang w:val="sr-Cyrl-CS"/>
              </w:rPr>
              <w:t>191,0</w:t>
            </w:r>
          </w:p>
        </w:tc>
        <w:tc>
          <w:tcPr>
            <w:tcW w:w="1074" w:type="dxa"/>
            <w:tcBorders>
              <w:top w:val="nil"/>
              <w:left w:val="nil"/>
              <w:bottom w:val="dotted" w:sz="4" w:space="0" w:color="auto"/>
              <w:right w:val="dotted" w:sz="4" w:space="0" w:color="auto"/>
            </w:tcBorders>
            <w:shd w:val="clear" w:color="auto" w:fill="auto"/>
            <w:vAlign w:val="center"/>
            <w:hideMark/>
          </w:tcPr>
          <w:p w14:paraId="3BC50162" w14:textId="77777777" w:rsidR="004B0AC2" w:rsidRPr="00092ED7" w:rsidRDefault="004B0AC2" w:rsidP="00FB09AE">
            <w:pPr>
              <w:spacing w:after="0"/>
              <w:jc w:val="right"/>
              <w:rPr>
                <w:sz w:val="20"/>
                <w:szCs w:val="20"/>
                <w:lang w:val="sr-Cyrl-CS"/>
              </w:rPr>
            </w:pPr>
            <w:r w:rsidRPr="00092ED7">
              <w:rPr>
                <w:sz w:val="20"/>
                <w:szCs w:val="20"/>
                <w:lang w:val="sr-Cyrl-CS"/>
              </w:rPr>
              <w:t>221,9</w:t>
            </w:r>
          </w:p>
        </w:tc>
        <w:tc>
          <w:tcPr>
            <w:tcW w:w="1074" w:type="dxa"/>
            <w:gridSpan w:val="2"/>
            <w:tcBorders>
              <w:top w:val="nil"/>
              <w:left w:val="nil"/>
              <w:bottom w:val="dotted" w:sz="4" w:space="0" w:color="auto"/>
              <w:right w:val="dotted" w:sz="4" w:space="0" w:color="auto"/>
            </w:tcBorders>
            <w:shd w:val="clear" w:color="auto" w:fill="auto"/>
            <w:vAlign w:val="center"/>
            <w:hideMark/>
          </w:tcPr>
          <w:p w14:paraId="0FD2DB0E" w14:textId="77777777" w:rsidR="004B0AC2" w:rsidRPr="00092ED7" w:rsidRDefault="004B0AC2" w:rsidP="00FB09AE">
            <w:pPr>
              <w:spacing w:after="0"/>
              <w:jc w:val="right"/>
              <w:rPr>
                <w:sz w:val="20"/>
                <w:szCs w:val="20"/>
                <w:lang w:val="sr-Cyrl-CS"/>
              </w:rPr>
            </w:pPr>
            <w:r w:rsidRPr="00092ED7">
              <w:rPr>
                <w:sz w:val="20"/>
                <w:szCs w:val="20"/>
                <w:lang w:val="sr-Cyrl-CS"/>
              </w:rPr>
              <w:t>285,2</w:t>
            </w:r>
          </w:p>
        </w:tc>
        <w:tc>
          <w:tcPr>
            <w:tcW w:w="1074" w:type="dxa"/>
            <w:gridSpan w:val="2"/>
            <w:tcBorders>
              <w:top w:val="nil"/>
              <w:left w:val="nil"/>
              <w:bottom w:val="dotted" w:sz="4" w:space="0" w:color="auto"/>
              <w:right w:val="dotted" w:sz="4" w:space="0" w:color="auto"/>
            </w:tcBorders>
            <w:shd w:val="clear" w:color="auto" w:fill="auto"/>
            <w:vAlign w:val="center"/>
            <w:hideMark/>
          </w:tcPr>
          <w:p w14:paraId="272A6262" w14:textId="77777777" w:rsidR="004B0AC2" w:rsidRPr="00092ED7" w:rsidRDefault="004B0AC2" w:rsidP="00FB09AE">
            <w:pPr>
              <w:spacing w:after="0"/>
              <w:jc w:val="right"/>
              <w:rPr>
                <w:sz w:val="20"/>
                <w:szCs w:val="20"/>
                <w:lang w:val="sr-Cyrl-CS"/>
              </w:rPr>
            </w:pPr>
            <w:r w:rsidRPr="00092ED7">
              <w:rPr>
                <w:sz w:val="20"/>
                <w:szCs w:val="20"/>
                <w:lang w:val="sr-Cyrl-CS"/>
              </w:rPr>
              <w:t>335,9</w:t>
            </w:r>
          </w:p>
        </w:tc>
        <w:tc>
          <w:tcPr>
            <w:tcW w:w="1074" w:type="dxa"/>
            <w:tcBorders>
              <w:top w:val="nil"/>
              <w:left w:val="nil"/>
              <w:bottom w:val="dotted" w:sz="4" w:space="0" w:color="auto"/>
              <w:right w:val="dotted" w:sz="4" w:space="0" w:color="auto"/>
            </w:tcBorders>
            <w:shd w:val="clear" w:color="auto" w:fill="auto"/>
            <w:vAlign w:val="center"/>
            <w:hideMark/>
          </w:tcPr>
          <w:p w14:paraId="200D0938" w14:textId="77777777" w:rsidR="004B0AC2" w:rsidRPr="00092ED7" w:rsidRDefault="004B0AC2" w:rsidP="00FB09AE">
            <w:pPr>
              <w:spacing w:after="0"/>
              <w:jc w:val="right"/>
              <w:rPr>
                <w:sz w:val="20"/>
                <w:szCs w:val="20"/>
                <w:lang w:val="sr-Cyrl-CS"/>
              </w:rPr>
            </w:pPr>
            <w:r w:rsidRPr="00092ED7">
              <w:rPr>
                <w:sz w:val="20"/>
                <w:szCs w:val="20"/>
                <w:lang w:val="sr-Cyrl-CS"/>
              </w:rPr>
              <w:t>334,7</w:t>
            </w:r>
          </w:p>
        </w:tc>
        <w:tc>
          <w:tcPr>
            <w:tcW w:w="1074" w:type="dxa"/>
            <w:tcBorders>
              <w:top w:val="nil"/>
              <w:left w:val="nil"/>
              <w:bottom w:val="dotted" w:sz="4" w:space="0" w:color="auto"/>
              <w:right w:val="double" w:sz="6" w:space="0" w:color="auto"/>
            </w:tcBorders>
            <w:shd w:val="clear" w:color="auto" w:fill="auto"/>
            <w:vAlign w:val="center"/>
            <w:hideMark/>
          </w:tcPr>
          <w:p w14:paraId="2F2764FD" w14:textId="77777777" w:rsidR="004B0AC2" w:rsidRPr="00092ED7" w:rsidRDefault="004B0AC2" w:rsidP="00FB09AE">
            <w:pPr>
              <w:spacing w:after="0"/>
              <w:jc w:val="right"/>
              <w:rPr>
                <w:sz w:val="20"/>
                <w:szCs w:val="20"/>
                <w:lang w:val="sr-Cyrl-CS"/>
              </w:rPr>
            </w:pPr>
            <w:r w:rsidRPr="00092ED7">
              <w:rPr>
                <w:sz w:val="20"/>
                <w:szCs w:val="20"/>
                <w:lang w:val="sr-Cyrl-CS"/>
              </w:rPr>
              <w:t>342,8</w:t>
            </w:r>
          </w:p>
        </w:tc>
      </w:tr>
      <w:tr w:rsidR="004B0AC2" w:rsidRPr="00092ED7" w14:paraId="03117003" w14:textId="77777777" w:rsidTr="00FB09AE">
        <w:trPr>
          <w:trHeight w:val="255"/>
        </w:trPr>
        <w:tc>
          <w:tcPr>
            <w:tcW w:w="6640" w:type="dxa"/>
            <w:tcBorders>
              <w:top w:val="nil"/>
              <w:left w:val="double" w:sz="6" w:space="0" w:color="auto"/>
              <w:bottom w:val="dotted" w:sz="4" w:space="0" w:color="auto"/>
              <w:right w:val="dotted" w:sz="4" w:space="0" w:color="auto"/>
            </w:tcBorders>
            <w:shd w:val="clear" w:color="auto" w:fill="auto"/>
            <w:vAlign w:val="center"/>
            <w:hideMark/>
          </w:tcPr>
          <w:p w14:paraId="39EC8DD7" w14:textId="77777777" w:rsidR="004B0AC2" w:rsidRPr="00092ED7" w:rsidRDefault="004B0AC2" w:rsidP="00FB09AE">
            <w:pPr>
              <w:spacing w:after="0"/>
              <w:jc w:val="left"/>
              <w:rPr>
                <w:rFonts w:eastAsia="Times New Roman" w:cs="Times New Roman"/>
                <w:sz w:val="20"/>
                <w:szCs w:val="20"/>
                <w:lang w:val="sr-Cyrl-CS"/>
              </w:rPr>
            </w:pPr>
            <w:bookmarkStart w:id="88" w:name="RANGE!B141"/>
            <w:r w:rsidRPr="00092ED7">
              <w:rPr>
                <w:rFonts w:eastAsia="Times New Roman" w:cs="Times New Roman"/>
                <w:sz w:val="20"/>
                <w:szCs w:val="20"/>
                <w:lang w:val="sr-Cyrl-CS"/>
              </w:rPr>
              <w:t>16 = 6. Укупни приходи</w:t>
            </w:r>
            <w:bookmarkEnd w:id="88"/>
          </w:p>
        </w:tc>
        <w:tc>
          <w:tcPr>
            <w:tcW w:w="1417" w:type="dxa"/>
            <w:tcBorders>
              <w:top w:val="nil"/>
              <w:left w:val="single" w:sz="8" w:space="0" w:color="auto"/>
              <w:bottom w:val="dotted" w:sz="4" w:space="0" w:color="auto"/>
              <w:right w:val="single" w:sz="8" w:space="0" w:color="auto"/>
            </w:tcBorders>
            <w:shd w:val="clear" w:color="auto" w:fill="auto"/>
            <w:vAlign w:val="center"/>
            <w:hideMark/>
          </w:tcPr>
          <w:p w14:paraId="430A41CE" w14:textId="77777777" w:rsidR="004B0AC2" w:rsidRPr="00092ED7" w:rsidRDefault="004B0AC2" w:rsidP="00FB09AE">
            <w:pPr>
              <w:spacing w:after="0"/>
              <w:jc w:val="center"/>
              <w:rPr>
                <w:rFonts w:eastAsia="Times New Roman" w:cs="Times New Roman"/>
                <w:sz w:val="20"/>
                <w:szCs w:val="20"/>
                <w:lang w:val="sr-Cyrl-CS"/>
              </w:rPr>
            </w:pPr>
            <w:r w:rsidRPr="00092ED7">
              <w:rPr>
                <w:rFonts w:eastAsia="Times New Roman" w:cs="Times New Roman"/>
                <w:sz w:val="20"/>
                <w:szCs w:val="20"/>
                <w:lang w:val="sr-Cyrl-CS"/>
              </w:rPr>
              <w:t>TR</w:t>
            </w:r>
          </w:p>
        </w:tc>
        <w:tc>
          <w:tcPr>
            <w:tcW w:w="1074" w:type="dxa"/>
            <w:tcBorders>
              <w:top w:val="nil"/>
              <w:left w:val="nil"/>
              <w:bottom w:val="dotted" w:sz="4" w:space="0" w:color="auto"/>
              <w:right w:val="dotted" w:sz="4" w:space="0" w:color="auto"/>
            </w:tcBorders>
            <w:shd w:val="clear" w:color="auto" w:fill="auto"/>
            <w:vAlign w:val="center"/>
            <w:hideMark/>
          </w:tcPr>
          <w:p w14:paraId="7B8B475C" w14:textId="77777777" w:rsidR="004B0AC2" w:rsidRPr="00092ED7" w:rsidRDefault="004B0AC2" w:rsidP="00FB09AE">
            <w:pPr>
              <w:spacing w:after="0"/>
              <w:jc w:val="right"/>
              <w:rPr>
                <w:sz w:val="20"/>
                <w:szCs w:val="20"/>
                <w:lang w:val="sr-Cyrl-CS"/>
              </w:rPr>
            </w:pPr>
            <w:r w:rsidRPr="00092ED7">
              <w:rPr>
                <w:sz w:val="20"/>
                <w:szCs w:val="20"/>
                <w:lang w:val="sr-Cyrl-CS"/>
              </w:rPr>
              <w:t>2.255,0</w:t>
            </w:r>
          </w:p>
        </w:tc>
        <w:tc>
          <w:tcPr>
            <w:tcW w:w="1074" w:type="dxa"/>
            <w:tcBorders>
              <w:top w:val="nil"/>
              <w:left w:val="nil"/>
              <w:bottom w:val="dotted" w:sz="4" w:space="0" w:color="auto"/>
              <w:right w:val="dotted" w:sz="4" w:space="0" w:color="auto"/>
            </w:tcBorders>
            <w:shd w:val="clear" w:color="auto" w:fill="auto"/>
            <w:vAlign w:val="center"/>
            <w:hideMark/>
          </w:tcPr>
          <w:p w14:paraId="293D9839" w14:textId="77777777" w:rsidR="004B0AC2" w:rsidRPr="00092ED7" w:rsidRDefault="004B0AC2" w:rsidP="00FB09AE">
            <w:pPr>
              <w:spacing w:after="0"/>
              <w:jc w:val="right"/>
              <w:rPr>
                <w:sz w:val="20"/>
                <w:szCs w:val="20"/>
                <w:lang w:val="sr-Cyrl-CS"/>
              </w:rPr>
            </w:pPr>
            <w:r w:rsidRPr="00092ED7">
              <w:rPr>
                <w:sz w:val="20"/>
                <w:szCs w:val="20"/>
                <w:lang w:val="sr-Cyrl-CS"/>
              </w:rPr>
              <w:t>2.711,9</w:t>
            </w:r>
          </w:p>
        </w:tc>
        <w:tc>
          <w:tcPr>
            <w:tcW w:w="1074" w:type="dxa"/>
            <w:gridSpan w:val="2"/>
            <w:tcBorders>
              <w:top w:val="nil"/>
              <w:left w:val="nil"/>
              <w:bottom w:val="dotted" w:sz="4" w:space="0" w:color="auto"/>
              <w:right w:val="dotted" w:sz="4" w:space="0" w:color="auto"/>
            </w:tcBorders>
            <w:shd w:val="clear" w:color="auto" w:fill="auto"/>
            <w:vAlign w:val="center"/>
            <w:hideMark/>
          </w:tcPr>
          <w:p w14:paraId="3B0589AA" w14:textId="77777777" w:rsidR="004B0AC2" w:rsidRPr="00092ED7" w:rsidRDefault="004B0AC2" w:rsidP="00FB09AE">
            <w:pPr>
              <w:spacing w:after="0"/>
              <w:jc w:val="right"/>
              <w:rPr>
                <w:sz w:val="20"/>
                <w:szCs w:val="20"/>
                <w:lang w:val="sr-Cyrl-CS"/>
              </w:rPr>
            </w:pPr>
            <w:r w:rsidRPr="00092ED7">
              <w:rPr>
                <w:sz w:val="20"/>
                <w:szCs w:val="20"/>
                <w:lang w:val="sr-Cyrl-CS"/>
              </w:rPr>
              <w:t>3.045,8</w:t>
            </w:r>
          </w:p>
        </w:tc>
        <w:tc>
          <w:tcPr>
            <w:tcW w:w="1074" w:type="dxa"/>
            <w:gridSpan w:val="2"/>
            <w:tcBorders>
              <w:top w:val="nil"/>
              <w:left w:val="nil"/>
              <w:bottom w:val="dotted" w:sz="4" w:space="0" w:color="auto"/>
              <w:right w:val="dotted" w:sz="4" w:space="0" w:color="auto"/>
            </w:tcBorders>
            <w:shd w:val="clear" w:color="auto" w:fill="auto"/>
            <w:vAlign w:val="center"/>
            <w:hideMark/>
          </w:tcPr>
          <w:p w14:paraId="5E7F191F" w14:textId="77777777" w:rsidR="004B0AC2" w:rsidRPr="00092ED7" w:rsidRDefault="004B0AC2" w:rsidP="00FB09AE">
            <w:pPr>
              <w:spacing w:after="0"/>
              <w:jc w:val="right"/>
              <w:rPr>
                <w:sz w:val="20"/>
                <w:szCs w:val="20"/>
                <w:lang w:val="sr-Cyrl-CS"/>
              </w:rPr>
            </w:pPr>
            <w:r w:rsidRPr="00092ED7">
              <w:rPr>
                <w:sz w:val="20"/>
                <w:szCs w:val="20"/>
                <w:lang w:val="sr-Cyrl-CS"/>
              </w:rPr>
              <w:t>3.283,5</w:t>
            </w:r>
          </w:p>
        </w:tc>
        <w:tc>
          <w:tcPr>
            <w:tcW w:w="1074" w:type="dxa"/>
            <w:tcBorders>
              <w:top w:val="nil"/>
              <w:left w:val="nil"/>
              <w:bottom w:val="dotted" w:sz="4" w:space="0" w:color="auto"/>
              <w:right w:val="dotted" w:sz="4" w:space="0" w:color="auto"/>
            </w:tcBorders>
            <w:shd w:val="clear" w:color="auto" w:fill="auto"/>
            <w:vAlign w:val="center"/>
            <w:hideMark/>
          </w:tcPr>
          <w:p w14:paraId="4CF39659" w14:textId="77777777" w:rsidR="004B0AC2" w:rsidRPr="00092ED7" w:rsidRDefault="004B0AC2" w:rsidP="00FB09AE">
            <w:pPr>
              <w:spacing w:after="0"/>
              <w:jc w:val="right"/>
              <w:rPr>
                <w:sz w:val="20"/>
                <w:szCs w:val="20"/>
                <w:lang w:val="sr-Cyrl-CS"/>
              </w:rPr>
            </w:pPr>
            <w:r w:rsidRPr="00092ED7">
              <w:rPr>
                <w:sz w:val="20"/>
                <w:szCs w:val="20"/>
                <w:lang w:val="sr-Cyrl-CS"/>
              </w:rPr>
              <w:t>3.543,8</w:t>
            </w:r>
          </w:p>
        </w:tc>
        <w:tc>
          <w:tcPr>
            <w:tcW w:w="1074" w:type="dxa"/>
            <w:tcBorders>
              <w:top w:val="nil"/>
              <w:left w:val="nil"/>
              <w:bottom w:val="dotted" w:sz="4" w:space="0" w:color="auto"/>
              <w:right w:val="double" w:sz="6" w:space="0" w:color="auto"/>
            </w:tcBorders>
            <w:shd w:val="clear" w:color="auto" w:fill="auto"/>
            <w:vAlign w:val="center"/>
            <w:hideMark/>
          </w:tcPr>
          <w:p w14:paraId="37DBB73D" w14:textId="77777777" w:rsidR="004B0AC2" w:rsidRPr="00092ED7" w:rsidRDefault="004B0AC2" w:rsidP="00FB09AE">
            <w:pPr>
              <w:spacing w:after="0"/>
              <w:jc w:val="right"/>
              <w:rPr>
                <w:sz w:val="20"/>
                <w:szCs w:val="20"/>
                <w:lang w:val="sr-Cyrl-CS"/>
              </w:rPr>
            </w:pPr>
            <w:r w:rsidRPr="00092ED7">
              <w:rPr>
                <w:sz w:val="20"/>
                <w:szCs w:val="20"/>
                <w:lang w:val="sr-Cyrl-CS"/>
              </w:rPr>
              <w:t>3.772,7</w:t>
            </w:r>
          </w:p>
        </w:tc>
      </w:tr>
      <w:bookmarkStart w:id="89" w:name="RANGE!B142"/>
      <w:tr w:rsidR="004B0AC2" w:rsidRPr="00092ED7" w14:paraId="4B59000B" w14:textId="77777777" w:rsidTr="00FB09AE">
        <w:trPr>
          <w:trHeight w:val="270"/>
        </w:trPr>
        <w:tc>
          <w:tcPr>
            <w:tcW w:w="6640" w:type="dxa"/>
            <w:tcBorders>
              <w:top w:val="nil"/>
              <w:left w:val="double" w:sz="6" w:space="0" w:color="auto"/>
              <w:bottom w:val="single" w:sz="8" w:space="0" w:color="auto"/>
              <w:right w:val="dotted" w:sz="4" w:space="0" w:color="auto"/>
            </w:tcBorders>
            <w:shd w:val="clear" w:color="auto" w:fill="auto"/>
            <w:vAlign w:val="center"/>
            <w:hideMark/>
          </w:tcPr>
          <w:p w14:paraId="4F02D631" w14:textId="77777777" w:rsidR="004B0AC2" w:rsidRPr="00092ED7" w:rsidRDefault="004B0AC2" w:rsidP="00FB09AE">
            <w:pPr>
              <w:spacing w:after="0"/>
              <w:jc w:val="left"/>
              <w:rPr>
                <w:rFonts w:eastAsia="Times New Roman" w:cs="Times New Roman"/>
                <w:sz w:val="20"/>
                <w:szCs w:val="20"/>
                <w:lang w:val="sr-Cyrl-CS"/>
              </w:rPr>
            </w:pPr>
            <w:r w:rsidRPr="00092ED7">
              <w:rPr>
                <w:rFonts w:eastAsia="Times New Roman" w:cs="Times New Roman"/>
                <w:sz w:val="20"/>
                <w:szCs w:val="20"/>
                <w:lang w:val="sr-Cyrl-CS"/>
              </w:rPr>
              <w:fldChar w:fldCharType="begin"/>
            </w:r>
            <w:r w:rsidRPr="00092ED7">
              <w:rPr>
                <w:rFonts w:eastAsia="Times New Roman" w:cs="Times New Roman"/>
                <w:sz w:val="20"/>
                <w:szCs w:val="20"/>
                <w:lang w:val="sr-Cyrl-CS"/>
              </w:rPr>
              <w:instrText xml:space="preserve"> HYPERLINK "file:///C:\\Users\\svetlana.aksentijevi\\AppData\\Local\\Microsoft\\Windows\\INetCache\\Content.MSO\\1D05A8A2.xlsx" \l "RANGE!B143" </w:instrText>
            </w:r>
            <w:r w:rsidRPr="00092ED7">
              <w:rPr>
                <w:rFonts w:eastAsia="Times New Roman" w:cs="Times New Roman"/>
                <w:sz w:val="20"/>
                <w:szCs w:val="20"/>
                <w:lang w:val="sr-Cyrl-CS"/>
              </w:rPr>
            </w:r>
            <w:r w:rsidRPr="00092ED7">
              <w:rPr>
                <w:rFonts w:eastAsia="Times New Roman" w:cs="Times New Roman"/>
                <w:sz w:val="20"/>
                <w:szCs w:val="20"/>
                <w:lang w:val="sr-Cyrl-CS"/>
              </w:rPr>
              <w:fldChar w:fldCharType="separate"/>
            </w:r>
            <w:r w:rsidRPr="00092ED7">
              <w:rPr>
                <w:rFonts w:eastAsia="Times New Roman" w:cs="Times New Roman"/>
                <w:sz w:val="20"/>
                <w:szCs w:val="20"/>
                <w:lang w:val="sr-Cyrl-CS"/>
              </w:rPr>
              <w:t>информативно: Пореско оптерећење (D2+D5+D61+D91-D995) [5]</w:t>
            </w:r>
            <w:r w:rsidRPr="00092ED7">
              <w:rPr>
                <w:rFonts w:eastAsia="Times New Roman" w:cs="Times New Roman"/>
                <w:sz w:val="20"/>
                <w:szCs w:val="20"/>
                <w:lang w:val="sr-Cyrl-CS"/>
              </w:rPr>
              <w:fldChar w:fldCharType="end"/>
            </w:r>
            <w:bookmarkEnd w:id="89"/>
          </w:p>
        </w:tc>
        <w:tc>
          <w:tcPr>
            <w:tcW w:w="1417" w:type="dxa"/>
            <w:tcBorders>
              <w:top w:val="nil"/>
              <w:left w:val="single" w:sz="8" w:space="0" w:color="auto"/>
              <w:bottom w:val="single" w:sz="4" w:space="0" w:color="auto"/>
              <w:right w:val="single" w:sz="8" w:space="0" w:color="auto"/>
            </w:tcBorders>
            <w:shd w:val="clear" w:color="auto" w:fill="auto"/>
            <w:vAlign w:val="center"/>
            <w:hideMark/>
          </w:tcPr>
          <w:p w14:paraId="3ADFEAFF" w14:textId="77777777" w:rsidR="004B0AC2" w:rsidRPr="00092ED7" w:rsidRDefault="004B0AC2" w:rsidP="00FB09AE">
            <w:pPr>
              <w:spacing w:after="0"/>
              <w:jc w:val="center"/>
              <w:rPr>
                <w:rFonts w:eastAsia="Times New Roman" w:cs="Times New Roman"/>
                <w:sz w:val="20"/>
                <w:szCs w:val="20"/>
                <w:lang w:val="sr-Cyrl-CS"/>
              </w:rPr>
            </w:pPr>
          </w:p>
        </w:tc>
        <w:tc>
          <w:tcPr>
            <w:tcW w:w="1074" w:type="dxa"/>
            <w:tcBorders>
              <w:top w:val="nil"/>
              <w:left w:val="nil"/>
              <w:bottom w:val="single" w:sz="4" w:space="0" w:color="auto"/>
              <w:right w:val="dotted" w:sz="4" w:space="0" w:color="auto"/>
            </w:tcBorders>
            <w:shd w:val="clear" w:color="auto" w:fill="auto"/>
            <w:vAlign w:val="center"/>
            <w:hideMark/>
          </w:tcPr>
          <w:p w14:paraId="3B471746" w14:textId="77777777" w:rsidR="004B0AC2" w:rsidRPr="00092ED7" w:rsidRDefault="004B0AC2" w:rsidP="00FB09AE">
            <w:pPr>
              <w:spacing w:after="0"/>
              <w:jc w:val="right"/>
              <w:rPr>
                <w:sz w:val="20"/>
                <w:szCs w:val="20"/>
                <w:lang w:val="sr-Cyrl-CS"/>
              </w:rPr>
            </w:pPr>
            <w:r w:rsidRPr="00092ED7">
              <w:rPr>
                <w:sz w:val="20"/>
                <w:szCs w:val="20"/>
                <w:lang w:val="sr-Cyrl-CS"/>
              </w:rPr>
              <w:t>1.990,8</w:t>
            </w:r>
          </w:p>
        </w:tc>
        <w:tc>
          <w:tcPr>
            <w:tcW w:w="1074" w:type="dxa"/>
            <w:tcBorders>
              <w:top w:val="nil"/>
              <w:left w:val="nil"/>
              <w:bottom w:val="single" w:sz="4" w:space="0" w:color="auto"/>
              <w:right w:val="dotted" w:sz="4" w:space="0" w:color="auto"/>
            </w:tcBorders>
            <w:shd w:val="clear" w:color="auto" w:fill="auto"/>
            <w:vAlign w:val="center"/>
            <w:hideMark/>
          </w:tcPr>
          <w:p w14:paraId="31549BB7" w14:textId="77777777" w:rsidR="004B0AC2" w:rsidRPr="00092ED7" w:rsidRDefault="004B0AC2" w:rsidP="00FB09AE">
            <w:pPr>
              <w:spacing w:after="0"/>
              <w:jc w:val="right"/>
              <w:rPr>
                <w:sz w:val="20"/>
                <w:szCs w:val="20"/>
                <w:lang w:val="sr-Cyrl-CS"/>
              </w:rPr>
            </w:pPr>
            <w:r w:rsidRPr="00092ED7">
              <w:rPr>
                <w:sz w:val="20"/>
                <w:szCs w:val="20"/>
                <w:lang w:val="sr-Cyrl-CS"/>
              </w:rPr>
              <w:t>2.420,1</w:t>
            </w:r>
          </w:p>
        </w:tc>
        <w:tc>
          <w:tcPr>
            <w:tcW w:w="1074" w:type="dxa"/>
            <w:gridSpan w:val="2"/>
            <w:tcBorders>
              <w:top w:val="nil"/>
              <w:left w:val="nil"/>
              <w:bottom w:val="single" w:sz="4" w:space="0" w:color="auto"/>
              <w:right w:val="dotted" w:sz="4" w:space="0" w:color="auto"/>
            </w:tcBorders>
            <w:shd w:val="clear" w:color="auto" w:fill="auto"/>
            <w:vAlign w:val="center"/>
            <w:hideMark/>
          </w:tcPr>
          <w:p w14:paraId="15E699AB" w14:textId="77777777" w:rsidR="004B0AC2" w:rsidRPr="00092ED7" w:rsidRDefault="004B0AC2" w:rsidP="00FB09AE">
            <w:pPr>
              <w:spacing w:after="0"/>
              <w:jc w:val="right"/>
              <w:rPr>
                <w:sz w:val="20"/>
                <w:szCs w:val="20"/>
                <w:lang w:val="sr-Cyrl-CS"/>
              </w:rPr>
            </w:pPr>
            <w:r w:rsidRPr="00092ED7">
              <w:rPr>
                <w:sz w:val="20"/>
                <w:szCs w:val="20"/>
                <w:lang w:val="sr-Cyrl-CS"/>
              </w:rPr>
              <w:t>2.673,3</w:t>
            </w:r>
          </w:p>
        </w:tc>
        <w:tc>
          <w:tcPr>
            <w:tcW w:w="1074" w:type="dxa"/>
            <w:gridSpan w:val="2"/>
            <w:tcBorders>
              <w:top w:val="nil"/>
              <w:left w:val="nil"/>
              <w:bottom w:val="single" w:sz="4" w:space="0" w:color="auto"/>
              <w:right w:val="dotted" w:sz="4" w:space="0" w:color="auto"/>
            </w:tcBorders>
            <w:shd w:val="clear" w:color="auto" w:fill="auto"/>
            <w:vAlign w:val="center"/>
            <w:hideMark/>
          </w:tcPr>
          <w:p w14:paraId="4AA1F4F6" w14:textId="77777777" w:rsidR="004B0AC2" w:rsidRPr="00092ED7" w:rsidRDefault="004B0AC2" w:rsidP="00FB09AE">
            <w:pPr>
              <w:spacing w:after="0"/>
              <w:jc w:val="right"/>
              <w:rPr>
                <w:sz w:val="20"/>
                <w:szCs w:val="20"/>
                <w:lang w:val="sr-Cyrl-CS"/>
              </w:rPr>
            </w:pPr>
            <w:r w:rsidRPr="00092ED7">
              <w:rPr>
                <w:sz w:val="20"/>
                <w:szCs w:val="20"/>
                <w:lang w:val="sr-Cyrl-CS"/>
              </w:rPr>
              <w:t>2.859,8</w:t>
            </w:r>
          </w:p>
        </w:tc>
        <w:tc>
          <w:tcPr>
            <w:tcW w:w="1074" w:type="dxa"/>
            <w:tcBorders>
              <w:top w:val="nil"/>
              <w:left w:val="nil"/>
              <w:bottom w:val="single" w:sz="4" w:space="0" w:color="auto"/>
              <w:right w:val="dotted" w:sz="4" w:space="0" w:color="auto"/>
            </w:tcBorders>
            <w:shd w:val="clear" w:color="auto" w:fill="auto"/>
            <w:vAlign w:val="center"/>
            <w:hideMark/>
          </w:tcPr>
          <w:p w14:paraId="423F51EA" w14:textId="77777777" w:rsidR="004B0AC2" w:rsidRPr="00092ED7" w:rsidRDefault="004B0AC2" w:rsidP="00FB09AE">
            <w:pPr>
              <w:spacing w:after="0"/>
              <w:jc w:val="right"/>
              <w:rPr>
                <w:sz w:val="20"/>
                <w:szCs w:val="20"/>
                <w:lang w:val="sr-Cyrl-CS"/>
              </w:rPr>
            </w:pPr>
            <w:r w:rsidRPr="00092ED7">
              <w:rPr>
                <w:sz w:val="20"/>
                <w:szCs w:val="20"/>
                <w:lang w:val="sr-Cyrl-CS"/>
              </w:rPr>
              <w:t>3.115,0</w:t>
            </w:r>
          </w:p>
        </w:tc>
        <w:tc>
          <w:tcPr>
            <w:tcW w:w="1074" w:type="dxa"/>
            <w:tcBorders>
              <w:top w:val="nil"/>
              <w:left w:val="nil"/>
              <w:bottom w:val="single" w:sz="4" w:space="0" w:color="auto"/>
              <w:right w:val="double" w:sz="6" w:space="0" w:color="auto"/>
            </w:tcBorders>
            <w:shd w:val="clear" w:color="auto" w:fill="auto"/>
            <w:vAlign w:val="center"/>
            <w:hideMark/>
          </w:tcPr>
          <w:p w14:paraId="123661F7" w14:textId="77777777" w:rsidR="004B0AC2" w:rsidRPr="00092ED7" w:rsidRDefault="004B0AC2" w:rsidP="00FB09AE">
            <w:pPr>
              <w:spacing w:after="0"/>
              <w:jc w:val="right"/>
              <w:rPr>
                <w:sz w:val="20"/>
                <w:szCs w:val="20"/>
                <w:lang w:val="sr-Cyrl-CS"/>
              </w:rPr>
            </w:pPr>
            <w:r w:rsidRPr="00092ED7">
              <w:rPr>
                <w:sz w:val="20"/>
                <w:szCs w:val="20"/>
                <w:lang w:val="sr-Cyrl-CS"/>
              </w:rPr>
              <w:t>3.328,5</w:t>
            </w:r>
          </w:p>
        </w:tc>
      </w:tr>
      <w:tr w:rsidR="004B0AC2" w:rsidRPr="00092ED7" w14:paraId="6F08C38E" w14:textId="77777777" w:rsidTr="00FB09AE">
        <w:trPr>
          <w:trHeight w:val="255"/>
        </w:trPr>
        <w:tc>
          <w:tcPr>
            <w:tcW w:w="6640" w:type="dxa"/>
            <w:tcBorders>
              <w:top w:val="nil"/>
              <w:left w:val="double" w:sz="6" w:space="0" w:color="auto"/>
              <w:bottom w:val="single" w:sz="4" w:space="0" w:color="auto"/>
              <w:right w:val="nil"/>
            </w:tcBorders>
            <w:shd w:val="clear" w:color="auto" w:fill="auto"/>
            <w:vAlign w:val="center"/>
            <w:hideMark/>
          </w:tcPr>
          <w:p w14:paraId="3063927E" w14:textId="77777777" w:rsidR="004B0AC2" w:rsidRPr="00092ED7" w:rsidRDefault="004B0AC2" w:rsidP="00FB09AE">
            <w:pPr>
              <w:spacing w:after="0"/>
              <w:jc w:val="left"/>
              <w:rPr>
                <w:rFonts w:eastAsia="Times New Roman" w:cs="Times New Roman"/>
                <w:b/>
                <w:bCs/>
                <w:sz w:val="20"/>
                <w:szCs w:val="20"/>
                <w:lang w:val="sr-Cyrl-CS"/>
              </w:rPr>
            </w:pPr>
            <w:bookmarkStart w:id="90" w:name="RANGE!B143"/>
            <w:r w:rsidRPr="00092ED7">
              <w:rPr>
                <w:rFonts w:eastAsia="Times New Roman" w:cs="Times New Roman"/>
                <w:b/>
                <w:bCs/>
                <w:sz w:val="20"/>
                <w:szCs w:val="20"/>
                <w:lang w:val="sr-Cyrl-CS"/>
              </w:rPr>
              <w:t>Изабране компоненте расхода</w:t>
            </w:r>
            <w:bookmarkEnd w:id="90"/>
          </w:p>
        </w:tc>
        <w:tc>
          <w:tcPr>
            <w:tcW w:w="1417" w:type="dxa"/>
            <w:tcBorders>
              <w:top w:val="nil"/>
              <w:left w:val="single" w:sz="8" w:space="0" w:color="auto"/>
              <w:bottom w:val="single" w:sz="4" w:space="0" w:color="auto"/>
              <w:right w:val="single" w:sz="8" w:space="0" w:color="auto"/>
            </w:tcBorders>
            <w:shd w:val="clear" w:color="auto" w:fill="auto"/>
            <w:vAlign w:val="center"/>
            <w:hideMark/>
          </w:tcPr>
          <w:p w14:paraId="76F7C635" w14:textId="77777777" w:rsidR="004B0AC2" w:rsidRPr="00092ED7" w:rsidRDefault="004B0AC2" w:rsidP="00FB09AE">
            <w:pPr>
              <w:spacing w:after="0"/>
              <w:jc w:val="center"/>
              <w:rPr>
                <w:rFonts w:eastAsia="Times New Roman" w:cs="Times New Roman"/>
                <w:b/>
                <w:bCs/>
                <w:sz w:val="20"/>
                <w:szCs w:val="20"/>
                <w:lang w:val="sr-Cyrl-CS"/>
              </w:rPr>
            </w:pPr>
          </w:p>
        </w:tc>
        <w:tc>
          <w:tcPr>
            <w:tcW w:w="1074" w:type="dxa"/>
            <w:tcBorders>
              <w:top w:val="nil"/>
              <w:left w:val="nil"/>
              <w:bottom w:val="single" w:sz="4" w:space="0" w:color="auto"/>
              <w:right w:val="nil"/>
            </w:tcBorders>
            <w:shd w:val="clear" w:color="auto" w:fill="auto"/>
            <w:vAlign w:val="center"/>
            <w:hideMark/>
          </w:tcPr>
          <w:p w14:paraId="1A7BE8AD" w14:textId="77777777" w:rsidR="004B0AC2" w:rsidRPr="00092ED7" w:rsidRDefault="004B0AC2" w:rsidP="00FB09AE">
            <w:pPr>
              <w:spacing w:after="0"/>
              <w:jc w:val="right"/>
              <w:rPr>
                <w:rFonts w:eastAsia="Times New Roman" w:cs="Times New Roman"/>
                <w:b/>
                <w:bCs/>
                <w:sz w:val="20"/>
                <w:szCs w:val="20"/>
                <w:lang w:val="sr-Cyrl-CS"/>
              </w:rPr>
            </w:pPr>
            <w:r w:rsidRPr="00092ED7">
              <w:rPr>
                <w:rFonts w:eastAsia="Times New Roman" w:cs="Times New Roman"/>
                <w:b/>
                <w:bCs/>
                <w:sz w:val="20"/>
                <w:szCs w:val="20"/>
                <w:lang w:val="sr-Cyrl-CS"/>
              </w:rPr>
              <w:t> </w:t>
            </w:r>
          </w:p>
        </w:tc>
        <w:tc>
          <w:tcPr>
            <w:tcW w:w="1074" w:type="dxa"/>
            <w:tcBorders>
              <w:top w:val="nil"/>
              <w:left w:val="nil"/>
              <w:bottom w:val="single" w:sz="4" w:space="0" w:color="auto"/>
              <w:right w:val="nil"/>
            </w:tcBorders>
            <w:shd w:val="clear" w:color="auto" w:fill="auto"/>
            <w:vAlign w:val="center"/>
            <w:hideMark/>
          </w:tcPr>
          <w:p w14:paraId="1E99ED6C" w14:textId="77777777" w:rsidR="004B0AC2" w:rsidRPr="00092ED7" w:rsidRDefault="004B0AC2" w:rsidP="00FB09AE">
            <w:pPr>
              <w:spacing w:after="0"/>
              <w:jc w:val="right"/>
              <w:rPr>
                <w:rFonts w:eastAsia="Times New Roman" w:cs="Times New Roman"/>
                <w:b/>
                <w:bCs/>
                <w:sz w:val="20"/>
                <w:szCs w:val="20"/>
                <w:lang w:val="sr-Cyrl-CS"/>
              </w:rPr>
            </w:pPr>
            <w:r w:rsidRPr="00092ED7">
              <w:rPr>
                <w:rFonts w:eastAsia="Times New Roman" w:cs="Times New Roman"/>
                <w:b/>
                <w:bCs/>
                <w:sz w:val="20"/>
                <w:szCs w:val="20"/>
                <w:lang w:val="sr-Cyrl-CS"/>
              </w:rPr>
              <w:t> </w:t>
            </w:r>
          </w:p>
        </w:tc>
        <w:tc>
          <w:tcPr>
            <w:tcW w:w="1074" w:type="dxa"/>
            <w:gridSpan w:val="2"/>
            <w:tcBorders>
              <w:top w:val="nil"/>
              <w:left w:val="nil"/>
              <w:bottom w:val="single" w:sz="4" w:space="0" w:color="auto"/>
              <w:right w:val="nil"/>
            </w:tcBorders>
            <w:shd w:val="clear" w:color="auto" w:fill="auto"/>
            <w:vAlign w:val="center"/>
            <w:hideMark/>
          </w:tcPr>
          <w:p w14:paraId="12360108" w14:textId="77777777" w:rsidR="004B0AC2" w:rsidRPr="00092ED7" w:rsidRDefault="004B0AC2" w:rsidP="00FB09AE">
            <w:pPr>
              <w:spacing w:after="0"/>
              <w:jc w:val="right"/>
              <w:rPr>
                <w:rFonts w:eastAsia="Times New Roman" w:cs="Times New Roman"/>
                <w:b/>
                <w:bCs/>
                <w:sz w:val="20"/>
                <w:szCs w:val="20"/>
                <w:lang w:val="sr-Cyrl-CS"/>
              </w:rPr>
            </w:pPr>
            <w:r w:rsidRPr="00092ED7">
              <w:rPr>
                <w:rFonts w:eastAsia="Times New Roman" w:cs="Times New Roman"/>
                <w:b/>
                <w:bCs/>
                <w:sz w:val="20"/>
                <w:szCs w:val="20"/>
                <w:lang w:val="sr-Cyrl-CS"/>
              </w:rPr>
              <w:t> </w:t>
            </w:r>
          </w:p>
        </w:tc>
        <w:tc>
          <w:tcPr>
            <w:tcW w:w="1074" w:type="dxa"/>
            <w:gridSpan w:val="2"/>
            <w:tcBorders>
              <w:top w:val="nil"/>
              <w:left w:val="nil"/>
              <w:bottom w:val="single" w:sz="4" w:space="0" w:color="auto"/>
              <w:right w:val="nil"/>
            </w:tcBorders>
            <w:shd w:val="clear" w:color="auto" w:fill="auto"/>
            <w:vAlign w:val="center"/>
            <w:hideMark/>
          </w:tcPr>
          <w:p w14:paraId="3CD25D9B" w14:textId="77777777" w:rsidR="004B0AC2" w:rsidRPr="00092ED7" w:rsidRDefault="004B0AC2" w:rsidP="00FB09AE">
            <w:pPr>
              <w:spacing w:after="0"/>
              <w:jc w:val="right"/>
              <w:rPr>
                <w:rFonts w:eastAsia="Times New Roman" w:cs="Times New Roman"/>
                <w:b/>
                <w:bCs/>
                <w:sz w:val="20"/>
                <w:szCs w:val="20"/>
                <w:lang w:val="sr-Cyrl-CS"/>
              </w:rPr>
            </w:pPr>
            <w:r w:rsidRPr="00092ED7">
              <w:rPr>
                <w:rFonts w:eastAsia="Times New Roman" w:cs="Times New Roman"/>
                <w:b/>
                <w:bCs/>
                <w:sz w:val="20"/>
                <w:szCs w:val="20"/>
                <w:lang w:val="sr-Cyrl-CS"/>
              </w:rPr>
              <w:t> </w:t>
            </w:r>
          </w:p>
        </w:tc>
        <w:tc>
          <w:tcPr>
            <w:tcW w:w="1074" w:type="dxa"/>
            <w:tcBorders>
              <w:top w:val="nil"/>
              <w:left w:val="nil"/>
              <w:bottom w:val="single" w:sz="4" w:space="0" w:color="auto"/>
              <w:right w:val="nil"/>
            </w:tcBorders>
            <w:shd w:val="clear" w:color="auto" w:fill="auto"/>
            <w:vAlign w:val="center"/>
            <w:hideMark/>
          </w:tcPr>
          <w:p w14:paraId="6D5DEB02" w14:textId="77777777" w:rsidR="004B0AC2" w:rsidRPr="00092ED7" w:rsidRDefault="004B0AC2" w:rsidP="00FB09AE">
            <w:pPr>
              <w:spacing w:after="0"/>
              <w:jc w:val="right"/>
              <w:rPr>
                <w:rFonts w:eastAsia="Times New Roman" w:cs="Times New Roman"/>
                <w:b/>
                <w:bCs/>
                <w:sz w:val="20"/>
                <w:szCs w:val="20"/>
                <w:lang w:val="sr-Cyrl-CS"/>
              </w:rPr>
            </w:pPr>
            <w:r w:rsidRPr="00092ED7">
              <w:rPr>
                <w:rFonts w:eastAsia="Times New Roman" w:cs="Times New Roman"/>
                <w:b/>
                <w:bCs/>
                <w:sz w:val="20"/>
                <w:szCs w:val="20"/>
                <w:lang w:val="sr-Cyrl-CS"/>
              </w:rPr>
              <w:t> </w:t>
            </w:r>
          </w:p>
        </w:tc>
        <w:tc>
          <w:tcPr>
            <w:tcW w:w="1074" w:type="dxa"/>
            <w:tcBorders>
              <w:top w:val="nil"/>
              <w:left w:val="nil"/>
              <w:bottom w:val="single" w:sz="4" w:space="0" w:color="auto"/>
              <w:right w:val="double" w:sz="6" w:space="0" w:color="auto"/>
            </w:tcBorders>
            <w:shd w:val="clear" w:color="auto" w:fill="auto"/>
            <w:vAlign w:val="center"/>
            <w:hideMark/>
          </w:tcPr>
          <w:p w14:paraId="470D948D" w14:textId="77777777" w:rsidR="004B0AC2" w:rsidRPr="00092ED7" w:rsidRDefault="004B0AC2" w:rsidP="00FB09AE">
            <w:pPr>
              <w:spacing w:after="0"/>
              <w:jc w:val="right"/>
              <w:rPr>
                <w:rFonts w:eastAsia="Times New Roman" w:cs="Times New Roman"/>
                <w:b/>
                <w:bCs/>
                <w:sz w:val="20"/>
                <w:szCs w:val="20"/>
                <w:lang w:val="sr-Cyrl-CS"/>
              </w:rPr>
            </w:pPr>
            <w:r w:rsidRPr="00092ED7">
              <w:rPr>
                <w:rFonts w:eastAsia="Times New Roman" w:cs="Times New Roman"/>
                <w:b/>
                <w:bCs/>
                <w:sz w:val="20"/>
                <w:szCs w:val="20"/>
                <w:lang w:val="sr-Cyrl-CS"/>
              </w:rPr>
              <w:t> </w:t>
            </w:r>
          </w:p>
        </w:tc>
      </w:tr>
      <w:tr w:rsidR="004B0AC2" w:rsidRPr="00092ED7" w14:paraId="284FF105" w14:textId="77777777" w:rsidTr="00FB09AE">
        <w:trPr>
          <w:trHeight w:val="255"/>
        </w:trPr>
        <w:tc>
          <w:tcPr>
            <w:tcW w:w="6640" w:type="dxa"/>
            <w:tcBorders>
              <w:top w:val="nil"/>
              <w:left w:val="double" w:sz="6" w:space="0" w:color="auto"/>
              <w:bottom w:val="dotted" w:sz="4" w:space="0" w:color="auto"/>
              <w:right w:val="nil"/>
            </w:tcBorders>
            <w:shd w:val="clear" w:color="auto" w:fill="auto"/>
            <w:vAlign w:val="center"/>
            <w:hideMark/>
          </w:tcPr>
          <w:p w14:paraId="3E4312BA" w14:textId="77777777" w:rsidR="004B0AC2" w:rsidRPr="00092ED7" w:rsidRDefault="004B0AC2" w:rsidP="00FB09AE">
            <w:pPr>
              <w:spacing w:after="0"/>
              <w:jc w:val="left"/>
              <w:rPr>
                <w:rFonts w:eastAsia="Times New Roman" w:cs="Times New Roman"/>
                <w:sz w:val="20"/>
                <w:szCs w:val="20"/>
                <w:lang w:val="sr-Cyrl-CS"/>
              </w:rPr>
            </w:pPr>
            <w:bookmarkStart w:id="91" w:name="RANGE!B144"/>
            <w:r w:rsidRPr="00092ED7">
              <w:rPr>
                <w:rFonts w:eastAsia="Times New Roman" w:cs="Times New Roman"/>
                <w:sz w:val="20"/>
                <w:szCs w:val="20"/>
                <w:lang w:val="sr-Cyrl-CS"/>
              </w:rPr>
              <w:t>17. Колективна потрошња</w:t>
            </w:r>
            <w:bookmarkEnd w:id="91"/>
          </w:p>
        </w:tc>
        <w:tc>
          <w:tcPr>
            <w:tcW w:w="1417" w:type="dxa"/>
            <w:tcBorders>
              <w:top w:val="nil"/>
              <w:left w:val="single" w:sz="8" w:space="0" w:color="auto"/>
              <w:bottom w:val="dotted" w:sz="4" w:space="0" w:color="auto"/>
              <w:right w:val="single" w:sz="8" w:space="0" w:color="auto"/>
            </w:tcBorders>
            <w:shd w:val="clear" w:color="auto" w:fill="auto"/>
            <w:vAlign w:val="center"/>
            <w:hideMark/>
          </w:tcPr>
          <w:p w14:paraId="2E323207" w14:textId="77777777" w:rsidR="004B0AC2" w:rsidRPr="00092ED7" w:rsidRDefault="004B0AC2" w:rsidP="00FB09AE">
            <w:pPr>
              <w:spacing w:after="0"/>
              <w:jc w:val="center"/>
              <w:rPr>
                <w:sz w:val="20"/>
                <w:szCs w:val="20"/>
                <w:lang w:val="sr-Cyrl-CS"/>
              </w:rPr>
            </w:pPr>
            <w:r w:rsidRPr="00092ED7">
              <w:rPr>
                <w:sz w:val="20"/>
                <w:szCs w:val="20"/>
                <w:lang w:val="sr-Cyrl-CS"/>
              </w:rPr>
              <w:t>P32</w:t>
            </w:r>
          </w:p>
        </w:tc>
        <w:tc>
          <w:tcPr>
            <w:tcW w:w="1074" w:type="dxa"/>
            <w:tcBorders>
              <w:top w:val="nil"/>
              <w:left w:val="nil"/>
              <w:bottom w:val="dotted" w:sz="4" w:space="0" w:color="auto"/>
              <w:right w:val="dotted" w:sz="4" w:space="0" w:color="auto"/>
            </w:tcBorders>
            <w:shd w:val="clear" w:color="auto" w:fill="auto"/>
            <w:vAlign w:val="center"/>
            <w:hideMark/>
          </w:tcPr>
          <w:p w14:paraId="56B602D2" w14:textId="77777777" w:rsidR="004B0AC2" w:rsidRPr="00092ED7" w:rsidRDefault="004B0AC2" w:rsidP="00FB09AE">
            <w:pPr>
              <w:spacing w:after="0"/>
              <w:jc w:val="right"/>
              <w:rPr>
                <w:sz w:val="20"/>
                <w:szCs w:val="20"/>
                <w:lang w:val="sr-Cyrl-CS"/>
              </w:rPr>
            </w:pPr>
            <w:r w:rsidRPr="00092ED7">
              <w:rPr>
                <w:sz w:val="20"/>
                <w:szCs w:val="20"/>
                <w:lang w:val="sr-Cyrl-CS"/>
              </w:rPr>
              <w:t>1.019,9</w:t>
            </w:r>
          </w:p>
        </w:tc>
        <w:tc>
          <w:tcPr>
            <w:tcW w:w="1074" w:type="dxa"/>
            <w:tcBorders>
              <w:top w:val="nil"/>
              <w:left w:val="nil"/>
              <w:bottom w:val="dotted" w:sz="4" w:space="0" w:color="auto"/>
              <w:right w:val="dotted" w:sz="4" w:space="0" w:color="auto"/>
            </w:tcBorders>
            <w:shd w:val="clear" w:color="auto" w:fill="auto"/>
            <w:vAlign w:val="center"/>
            <w:hideMark/>
          </w:tcPr>
          <w:p w14:paraId="1F9708AF" w14:textId="77777777" w:rsidR="004B0AC2" w:rsidRPr="00092ED7" w:rsidRDefault="004B0AC2" w:rsidP="00FB09AE">
            <w:pPr>
              <w:spacing w:after="0"/>
              <w:jc w:val="right"/>
              <w:rPr>
                <w:sz w:val="20"/>
                <w:szCs w:val="20"/>
                <w:lang w:val="sr-Cyrl-CS"/>
              </w:rPr>
            </w:pPr>
            <w:r w:rsidRPr="00092ED7">
              <w:rPr>
                <w:sz w:val="20"/>
                <w:szCs w:val="20"/>
                <w:lang w:val="sr-Cyrl-CS"/>
              </w:rPr>
              <w:t>1.119,3</w:t>
            </w:r>
          </w:p>
        </w:tc>
        <w:tc>
          <w:tcPr>
            <w:tcW w:w="1074" w:type="dxa"/>
            <w:gridSpan w:val="2"/>
            <w:tcBorders>
              <w:top w:val="nil"/>
              <w:left w:val="nil"/>
              <w:bottom w:val="dotted" w:sz="4" w:space="0" w:color="auto"/>
              <w:right w:val="dotted" w:sz="4" w:space="0" w:color="auto"/>
            </w:tcBorders>
            <w:shd w:val="clear" w:color="auto" w:fill="auto"/>
            <w:vAlign w:val="center"/>
            <w:hideMark/>
          </w:tcPr>
          <w:p w14:paraId="0034E59D" w14:textId="77777777" w:rsidR="004B0AC2" w:rsidRPr="00092ED7" w:rsidRDefault="004B0AC2" w:rsidP="00FB09AE">
            <w:pPr>
              <w:spacing w:after="0"/>
              <w:jc w:val="right"/>
              <w:rPr>
                <w:sz w:val="20"/>
                <w:szCs w:val="20"/>
                <w:lang w:val="sr-Cyrl-CS"/>
              </w:rPr>
            </w:pPr>
            <w:r w:rsidRPr="00092ED7">
              <w:rPr>
                <w:sz w:val="20"/>
                <w:szCs w:val="20"/>
                <w:lang w:val="sr-Cyrl-CS"/>
              </w:rPr>
              <w:t>1.239,3</w:t>
            </w:r>
          </w:p>
        </w:tc>
        <w:tc>
          <w:tcPr>
            <w:tcW w:w="1074" w:type="dxa"/>
            <w:gridSpan w:val="2"/>
            <w:tcBorders>
              <w:top w:val="nil"/>
              <w:left w:val="nil"/>
              <w:bottom w:val="dotted" w:sz="4" w:space="0" w:color="auto"/>
              <w:right w:val="dotted" w:sz="4" w:space="0" w:color="auto"/>
            </w:tcBorders>
            <w:shd w:val="clear" w:color="auto" w:fill="auto"/>
            <w:vAlign w:val="center"/>
            <w:hideMark/>
          </w:tcPr>
          <w:p w14:paraId="085968D1" w14:textId="77777777" w:rsidR="004B0AC2" w:rsidRPr="00092ED7" w:rsidRDefault="004B0AC2" w:rsidP="00FB09AE">
            <w:pPr>
              <w:spacing w:after="0"/>
              <w:jc w:val="right"/>
              <w:rPr>
                <w:sz w:val="20"/>
                <w:szCs w:val="20"/>
                <w:lang w:val="sr-Cyrl-CS"/>
              </w:rPr>
            </w:pPr>
            <w:r w:rsidRPr="00092ED7">
              <w:rPr>
                <w:sz w:val="20"/>
                <w:szCs w:val="20"/>
                <w:lang w:val="sr-Cyrl-CS"/>
              </w:rPr>
              <w:t>1.340,7</w:t>
            </w:r>
          </w:p>
        </w:tc>
        <w:tc>
          <w:tcPr>
            <w:tcW w:w="1074" w:type="dxa"/>
            <w:tcBorders>
              <w:top w:val="nil"/>
              <w:left w:val="nil"/>
              <w:bottom w:val="dotted" w:sz="4" w:space="0" w:color="auto"/>
              <w:right w:val="dotted" w:sz="4" w:space="0" w:color="auto"/>
            </w:tcBorders>
            <w:shd w:val="clear" w:color="auto" w:fill="auto"/>
            <w:vAlign w:val="center"/>
            <w:hideMark/>
          </w:tcPr>
          <w:p w14:paraId="6916D6EB" w14:textId="77777777" w:rsidR="004B0AC2" w:rsidRPr="00092ED7" w:rsidRDefault="004B0AC2" w:rsidP="00FB09AE">
            <w:pPr>
              <w:spacing w:after="0"/>
              <w:jc w:val="right"/>
              <w:rPr>
                <w:sz w:val="20"/>
                <w:szCs w:val="20"/>
                <w:lang w:val="sr-Cyrl-CS"/>
              </w:rPr>
            </w:pPr>
            <w:r w:rsidRPr="00092ED7">
              <w:rPr>
                <w:sz w:val="20"/>
                <w:szCs w:val="20"/>
                <w:lang w:val="sr-Cyrl-CS"/>
              </w:rPr>
              <w:t>1.446,8</w:t>
            </w:r>
          </w:p>
        </w:tc>
        <w:tc>
          <w:tcPr>
            <w:tcW w:w="1074" w:type="dxa"/>
            <w:tcBorders>
              <w:top w:val="nil"/>
              <w:left w:val="nil"/>
              <w:bottom w:val="dotted" w:sz="4" w:space="0" w:color="auto"/>
              <w:right w:val="double" w:sz="6" w:space="0" w:color="auto"/>
            </w:tcBorders>
            <w:shd w:val="clear" w:color="auto" w:fill="auto"/>
            <w:vAlign w:val="center"/>
            <w:hideMark/>
          </w:tcPr>
          <w:p w14:paraId="2C3FD80B" w14:textId="77777777" w:rsidR="004B0AC2" w:rsidRPr="00092ED7" w:rsidRDefault="004B0AC2" w:rsidP="00FB09AE">
            <w:pPr>
              <w:spacing w:after="0"/>
              <w:jc w:val="right"/>
              <w:rPr>
                <w:sz w:val="20"/>
                <w:szCs w:val="20"/>
                <w:lang w:val="sr-Cyrl-CS"/>
              </w:rPr>
            </w:pPr>
            <w:r w:rsidRPr="00092ED7">
              <w:rPr>
                <w:sz w:val="20"/>
                <w:szCs w:val="20"/>
                <w:lang w:val="sr-Cyrl-CS"/>
              </w:rPr>
              <w:t>1.545,9</w:t>
            </w:r>
          </w:p>
        </w:tc>
      </w:tr>
      <w:tr w:rsidR="004B0AC2" w:rsidRPr="00092ED7" w14:paraId="226E8CB0" w14:textId="77777777" w:rsidTr="00FB09AE">
        <w:trPr>
          <w:trHeight w:val="255"/>
        </w:trPr>
        <w:tc>
          <w:tcPr>
            <w:tcW w:w="6640" w:type="dxa"/>
            <w:tcBorders>
              <w:top w:val="nil"/>
              <w:left w:val="double" w:sz="6" w:space="0" w:color="auto"/>
              <w:bottom w:val="dotted" w:sz="4" w:space="0" w:color="auto"/>
              <w:right w:val="nil"/>
            </w:tcBorders>
            <w:shd w:val="clear" w:color="auto" w:fill="auto"/>
            <w:vAlign w:val="center"/>
            <w:hideMark/>
          </w:tcPr>
          <w:p w14:paraId="1DDE0A2F" w14:textId="77777777" w:rsidR="004B0AC2" w:rsidRPr="00092ED7" w:rsidRDefault="004B0AC2" w:rsidP="00FB09AE">
            <w:pPr>
              <w:spacing w:after="0"/>
              <w:jc w:val="left"/>
              <w:rPr>
                <w:rFonts w:eastAsia="Times New Roman" w:cs="Times New Roman"/>
                <w:sz w:val="20"/>
                <w:szCs w:val="20"/>
                <w:lang w:val="sr-Cyrl-CS"/>
              </w:rPr>
            </w:pPr>
            <w:bookmarkStart w:id="92" w:name="RANGE!B145"/>
            <w:r w:rsidRPr="00092ED7">
              <w:rPr>
                <w:rFonts w:eastAsia="Times New Roman" w:cs="Times New Roman"/>
                <w:sz w:val="20"/>
                <w:szCs w:val="20"/>
                <w:lang w:val="sr-Cyrl-CS"/>
              </w:rPr>
              <w:t>18. Укупни социјални трансфери</w:t>
            </w:r>
            <w:bookmarkEnd w:id="92"/>
          </w:p>
        </w:tc>
        <w:tc>
          <w:tcPr>
            <w:tcW w:w="1417" w:type="dxa"/>
            <w:tcBorders>
              <w:top w:val="nil"/>
              <w:left w:val="single" w:sz="8" w:space="0" w:color="auto"/>
              <w:bottom w:val="dotted" w:sz="4" w:space="0" w:color="auto"/>
              <w:right w:val="single" w:sz="8" w:space="0" w:color="auto"/>
            </w:tcBorders>
            <w:shd w:val="clear" w:color="auto" w:fill="auto"/>
            <w:vAlign w:val="center"/>
            <w:hideMark/>
          </w:tcPr>
          <w:p w14:paraId="6A397DD8" w14:textId="77777777" w:rsidR="004B0AC2" w:rsidRPr="00092ED7" w:rsidRDefault="004B0AC2" w:rsidP="00FB09AE">
            <w:pPr>
              <w:spacing w:after="0"/>
              <w:jc w:val="center"/>
              <w:rPr>
                <w:sz w:val="20"/>
                <w:szCs w:val="20"/>
                <w:lang w:val="sr-Cyrl-CS"/>
              </w:rPr>
            </w:pPr>
            <w:r w:rsidRPr="00092ED7">
              <w:rPr>
                <w:sz w:val="20"/>
                <w:szCs w:val="20"/>
                <w:lang w:val="sr-Cyrl-CS"/>
              </w:rPr>
              <w:t>D62 + D63</w:t>
            </w:r>
          </w:p>
        </w:tc>
        <w:tc>
          <w:tcPr>
            <w:tcW w:w="1074" w:type="dxa"/>
            <w:tcBorders>
              <w:top w:val="nil"/>
              <w:left w:val="nil"/>
              <w:bottom w:val="dotted" w:sz="4" w:space="0" w:color="auto"/>
              <w:right w:val="dotted" w:sz="4" w:space="0" w:color="auto"/>
            </w:tcBorders>
            <w:shd w:val="clear" w:color="auto" w:fill="auto"/>
            <w:vAlign w:val="center"/>
            <w:hideMark/>
          </w:tcPr>
          <w:p w14:paraId="3A9DC054" w14:textId="77777777" w:rsidR="004B0AC2" w:rsidRPr="00092ED7" w:rsidRDefault="004B0AC2" w:rsidP="00FB09AE">
            <w:pPr>
              <w:spacing w:after="0"/>
              <w:jc w:val="right"/>
              <w:rPr>
                <w:sz w:val="20"/>
                <w:szCs w:val="20"/>
                <w:lang w:val="sr-Cyrl-CS"/>
              </w:rPr>
            </w:pPr>
            <w:r w:rsidRPr="00092ED7">
              <w:rPr>
                <w:sz w:val="20"/>
                <w:szCs w:val="20"/>
                <w:lang w:val="sr-Cyrl-CS"/>
              </w:rPr>
              <w:t>806,3</w:t>
            </w:r>
          </w:p>
        </w:tc>
        <w:tc>
          <w:tcPr>
            <w:tcW w:w="1074" w:type="dxa"/>
            <w:tcBorders>
              <w:top w:val="nil"/>
              <w:left w:val="nil"/>
              <w:bottom w:val="dotted" w:sz="4" w:space="0" w:color="auto"/>
              <w:right w:val="dotted" w:sz="4" w:space="0" w:color="auto"/>
            </w:tcBorders>
            <w:shd w:val="clear" w:color="auto" w:fill="auto"/>
            <w:vAlign w:val="center"/>
            <w:hideMark/>
          </w:tcPr>
          <w:p w14:paraId="50E82FD4" w14:textId="77777777" w:rsidR="004B0AC2" w:rsidRPr="00092ED7" w:rsidRDefault="004B0AC2" w:rsidP="00FB09AE">
            <w:pPr>
              <w:spacing w:after="0"/>
              <w:jc w:val="right"/>
              <w:rPr>
                <w:sz w:val="20"/>
                <w:szCs w:val="20"/>
                <w:lang w:val="sr-Cyrl-CS"/>
              </w:rPr>
            </w:pPr>
            <w:r w:rsidRPr="00092ED7">
              <w:rPr>
                <w:sz w:val="20"/>
                <w:szCs w:val="20"/>
                <w:lang w:val="sr-Cyrl-CS"/>
              </w:rPr>
              <w:t>850,0</w:t>
            </w:r>
          </w:p>
        </w:tc>
        <w:tc>
          <w:tcPr>
            <w:tcW w:w="1074" w:type="dxa"/>
            <w:gridSpan w:val="2"/>
            <w:tcBorders>
              <w:top w:val="nil"/>
              <w:left w:val="nil"/>
              <w:bottom w:val="dotted" w:sz="4" w:space="0" w:color="auto"/>
              <w:right w:val="dotted" w:sz="4" w:space="0" w:color="auto"/>
            </w:tcBorders>
            <w:shd w:val="clear" w:color="auto" w:fill="auto"/>
            <w:vAlign w:val="center"/>
            <w:hideMark/>
          </w:tcPr>
          <w:p w14:paraId="767FC5A2" w14:textId="77777777" w:rsidR="004B0AC2" w:rsidRPr="00092ED7" w:rsidRDefault="004B0AC2" w:rsidP="00FB09AE">
            <w:pPr>
              <w:spacing w:after="0"/>
              <w:jc w:val="right"/>
              <w:rPr>
                <w:sz w:val="20"/>
                <w:szCs w:val="20"/>
                <w:lang w:val="sr-Cyrl-CS"/>
              </w:rPr>
            </w:pPr>
            <w:r w:rsidRPr="00092ED7">
              <w:rPr>
                <w:sz w:val="20"/>
                <w:szCs w:val="20"/>
                <w:lang w:val="sr-Cyrl-CS"/>
              </w:rPr>
              <w:t>921,9</w:t>
            </w:r>
          </w:p>
        </w:tc>
        <w:tc>
          <w:tcPr>
            <w:tcW w:w="1074" w:type="dxa"/>
            <w:gridSpan w:val="2"/>
            <w:tcBorders>
              <w:top w:val="nil"/>
              <w:left w:val="nil"/>
              <w:bottom w:val="dotted" w:sz="4" w:space="0" w:color="auto"/>
              <w:right w:val="dotted" w:sz="4" w:space="0" w:color="auto"/>
            </w:tcBorders>
            <w:shd w:val="clear" w:color="auto" w:fill="auto"/>
            <w:vAlign w:val="center"/>
            <w:hideMark/>
          </w:tcPr>
          <w:p w14:paraId="1ECDCE17" w14:textId="77777777" w:rsidR="004B0AC2" w:rsidRPr="00092ED7" w:rsidRDefault="004B0AC2" w:rsidP="00FB09AE">
            <w:pPr>
              <w:spacing w:after="0"/>
              <w:jc w:val="right"/>
              <w:rPr>
                <w:sz w:val="20"/>
                <w:szCs w:val="20"/>
                <w:lang w:val="sr-Cyrl-CS"/>
              </w:rPr>
            </w:pPr>
            <w:r w:rsidRPr="00092ED7">
              <w:rPr>
                <w:sz w:val="20"/>
                <w:szCs w:val="20"/>
                <w:lang w:val="sr-Cyrl-CS"/>
              </w:rPr>
              <w:t>1.041,6</w:t>
            </w:r>
          </w:p>
        </w:tc>
        <w:tc>
          <w:tcPr>
            <w:tcW w:w="1074" w:type="dxa"/>
            <w:tcBorders>
              <w:top w:val="nil"/>
              <w:left w:val="nil"/>
              <w:bottom w:val="dotted" w:sz="4" w:space="0" w:color="auto"/>
              <w:right w:val="dotted" w:sz="4" w:space="0" w:color="auto"/>
            </w:tcBorders>
            <w:shd w:val="clear" w:color="auto" w:fill="auto"/>
            <w:vAlign w:val="center"/>
            <w:hideMark/>
          </w:tcPr>
          <w:p w14:paraId="5868141B" w14:textId="77777777" w:rsidR="004B0AC2" w:rsidRPr="00092ED7" w:rsidRDefault="004B0AC2" w:rsidP="00FB09AE">
            <w:pPr>
              <w:spacing w:after="0"/>
              <w:jc w:val="right"/>
              <w:rPr>
                <w:sz w:val="20"/>
                <w:szCs w:val="20"/>
                <w:lang w:val="sr-Cyrl-CS"/>
              </w:rPr>
            </w:pPr>
            <w:r w:rsidRPr="00092ED7">
              <w:rPr>
                <w:sz w:val="20"/>
                <w:szCs w:val="20"/>
                <w:lang w:val="sr-Cyrl-CS"/>
              </w:rPr>
              <w:t>1.155,2</w:t>
            </w:r>
          </w:p>
        </w:tc>
        <w:tc>
          <w:tcPr>
            <w:tcW w:w="1074" w:type="dxa"/>
            <w:tcBorders>
              <w:top w:val="nil"/>
              <w:left w:val="nil"/>
              <w:bottom w:val="dotted" w:sz="4" w:space="0" w:color="auto"/>
              <w:right w:val="double" w:sz="6" w:space="0" w:color="auto"/>
            </w:tcBorders>
            <w:shd w:val="clear" w:color="auto" w:fill="auto"/>
            <w:vAlign w:val="center"/>
            <w:hideMark/>
          </w:tcPr>
          <w:p w14:paraId="2BD84227" w14:textId="77777777" w:rsidR="004B0AC2" w:rsidRPr="00092ED7" w:rsidRDefault="004B0AC2" w:rsidP="00FB09AE">
            <w:pPr>
              <w:spacing w:after="0"/>
              <w:jc w:val="right"/>
              <w:rPr>
                <w:sz w:val="20"/>
                <w:szCs w:val="20"/>
                <w:lang w:val="sr-Cyrl-CS"/>
              </w:rPr>
            </w:pPr>
            <w:r w:rsidRPr="00092ED7">
              <w:rPr>
                <w:sz w:val="20"/>
                <w:szCs w:val="20"/>
                <w:lang w:val="sr-Cyrl-CS"/>
              </w:rPr>
              <w:t>1.242,9</w:t>
            </w:r>
          </w:p>
        </w:tc>
      </w:tr>
      <w:tr w:rsidR="004B0AC2" w:rsidRPr="00092ED7" w14:paraId="059F5A2D" w14:textId="77777777" w:rsidTr="00FB09AE">
        <w:trPr>
          <w:trHeight w:val="255"/>
        </w:trPr>
        <w:tc>
          <w:tcPr>
            <w:tcW w:w="6640" w:type="dxa"/>
            <w:tcBorders>
              <w:top w:val="nil"/>
              <w:left w:val="double" w:sz="6" w:space="0" w:color="auto"/>
              <w:bottom w:val="dotted" w:sz="4" w:space="0" w:color="auto"/>
              <w:right w:val="nil"/>
            </w:tcBorders>
            <w:shd w:val="clear" w:color="auto" w:fill="auto"/>
            <w:vAlign w:val="center"/>
            <w:hideMark/>
          </w:tcPr>
          <w:p w14:paraId="06181076" w14:textId="77777777" w:rsidR="004B0AC2" w:rsidRPr="00092ED7" w:rsidRDefault="004B0AC2" w:rsidP="00FB09AE">
            <w:pPr>
              <w:spacing w:after="0"/>
              <w:jc w:val="left"/>
              <w:rPr>
                <w:rFonts w:eastAsia="Times New Roman" w:cs="Times New Roman"/>
                <w:sz w:val="20"/>
                <w:szCs w:val="20"/>
                <w:lang w:val="sr-Cyrl-CS"/>
              </w:rPr>
            </w:pPr>
            <w:r w:rsidRPr="00092ED7">
              <w:rPr>
                <w:rFonts w:eastAsia="Times New Roman" w:cs="Times New Roman"/>
                <w:sz w:val="20"/>
                <w:szCs w:val="20"/>
                <w:lang w:val="sr-Cyrl-CS"/>
              </w:rPr>
              <w:t>18a. Неновчани социјални трансфери</w:t>
            </w:r>
          </w:p>
        </w:tc>
        <w:tc>
          <w:tcPr>
            <w:tcW w:w="1417" w:type="dxa"/>
            <w:tcBorders>
              <w:top w:val="nil"/>
              <w:left w:val="single" w:sz="8" w:space="0" w:color="auto"/>
              <w:bottom w:val="dotted" w:sz="4" w:space="0" w:color="auto"/>
              <w:right w:val="single" w:sz="8" w:space="0" w:color="auto"/>
            </w:tcBorders>
            <w:shd w:val="clear" w:color="auto" w:fill="auto"/>
            <w:vAlign w:val="center"/>
            <w:hideMark/>
          </w:tcPr>
          <w:p w14:paraId="643C2E25" w14:textId="77777777" w:rsidR="004B0AC2" w:rsidRPr="00092ED7" w:rsidRDefault="004B0AC2" w:rsidP="00FB09AE">
            <w:pPr>
              <w:spacing w:after="0"/>
              <w:jc w:val="center"/>
              <w:rPr>
                <w:sz w:val="20"/>
                <w:szCs w:val="20"/>
                <w:lang w:val="sr-Cyrl-CS"/>
              </w:rPr>
            </w:pPr>
            <w:r w:rsidRPr="00092ED7">
              <w:rPr>
                <w:sz w:val="20"/>
                <w:szCs w:val="20"/>
                <w:lang w:val="sr-Cyrl-CS"/>
              </w:rPr>
              <w:t>P31 = D63</w:t>
            </w:r>
          </w:p>
        </w:tc>
        <w:tc>
          <w:tcPr>
            <w:tcW w:w="1074" w:type="dxa"/>
            <w:tcBorders>
              <w:top w:val="nil"/>
              <w:left w:val="nil"/>
              <w:bottom w:val="dotted" w:sz="4" w:space="0" w:color="auto"/>
              <w:right w:val="dotted" w:sz="4" w:space="0" w:color="auto"/>
            </w:tcBorders>
            <w:shd w:val="clear" w:color="auto" w:fill="auto"/>
            <w:vAlign w:val="center"/>
            <w:hideMark/>
          </w:tcPr>
          <w:p w14:paraId="73C332E1" w14:textId="77777777" w:rsidR="004B0AC2" w:rsidRPr="00092ED7" w:rsidRDefault="004B0AC2" w:rsidP="00FB09AE">
            <w:pPr>
              <w:spacing w:after="0"/>
              <w:jc w:val="right"/>
              <w:rPr>
                <w:sz w:val="20"/>
                <w:szCs w:val="20"/>
                <w:lang w:val="sr-Cyrl-CS"/>
              </w:rPr>
            </w:pPr>
            <w:r w:rsidRPr="00092ED7">
              <w:rPr>
                <w:sz w:val="20"/>
                <w:szCs w:val="20"/>
                <w:lang w:val="sr-Cyrl-CS"/>
              </w:rPr>
              <w:t> </w:t>
            </w:r>
          </w:p>
        </w:tc>
        <w:tc>
          <w:tcPr>
            <w:tcW w:w="1074" w:type="dxa"/>
            <w:tcBorders>
              <w:top w:val="nil"/>
              <w:left w:val="nil"/>
              <w:bottom w:val="dotted" w:sz="4" w:space="0" w:color="auto"/>
              <w:right w:val="dotted" w:sz="4" w:space="0" w:color="auto"/>
            </w:tcBorders>
            <w:shd w:val="clear" w:color="auto" w:fill="auto"/>
            <w:vAlign w:val="center"/>
            <w:hideMark/>
          </w:tcPr>
          <w:p w14:paraId="2283E218" w14:textId="77777777" w:rsidR="004B0AC2" w:rsidRPr="00092ED7" w:rsidRDefault="004B0AC2" w:rsidP="00FB09AE">
            <w:pPr>
              <w:spacing w:after="0"/>
              <w:jc w:val="right"/>
              <w:rPr>
                <w:sz w:val="20"/>
                <w:szCs w:val="20"/>
                <w:lang w:val="sr-Cyrl-CS"/>
              </w:rPr>
            </w:pPr>
            <w:r w:rsidRPr="00092ED7">
              <w:rPr>
                <w:sz w:val="20"/>
                <w:szCs w:val="20"/>
                <w:lang w:val="sr-Cyrl-CS"/>
              </w:rPr>
              <w:t> </w:t>
            </w:r>
          </w:p>
        </w:tc>
        <w:tc>
          <w:tcPr>
            <w:tcW w:w="1074" w:type="dxa"/>
            <w:gridSpan w:val="2"/>
            <w:tcBorders>
              <w:top w:val="nil"/>
              <w:left w:val="nil"/>
              <w:bottom w:val="dotted" w:sz="4" w:space="0" w:color="auto"/>
              <w:right w:val="dotted" w:sz="4" w:space="0" w:color="auto"/>
            </w:tcBorders>
            <w:shd w:val="clear" w:color="auto" w:fill="auto"/>
            <w:vAlign w:val="center"/>
            <w:hideMark/>
          </w:tcPr>
          <w:p w14:paraId="38856C0A" w14:textId="77777777" w:rsidR="004B0AC2" w:rsidRPr="00092ED7" w:rsidRDefault="004B0AC2" w:rsidP="00FB09AE">
            <w:pPr>
              <w:spacing w:after="0"/>
              <w:jc w:val="right"/>
              <w:rPr>
                <w:sz w:val="20"/>
                <w:szCs w:val="20"/>
                <w:lang w:val="sr-Cyrl-CS"/>
              </w:rPr>
            </w:pPr>
            <w:r w:rsidRPr="00092ED7">
              <w:rPr>
                <w:sz w:val="20"/>
                <w:szCs w:val="20"/>
                <w:lang w:val="sr-Cyrl-CS"/>
              </w:rPr>
              <w:t> </w:t>
            </w:r>
          </w:p>
        </w:tc>
        <w:tc>
          <w:tcPr>
            <w:tcW w:w="1074" w:type="dxa"/>
            <w:gridSpan w:val="2"/>
            <w:tcBorders>
              <w:top w:val="nil"/>
              <w:left w:val="nil"/>
              <w:bottom w:val="dotted" w:sz="4" w:space="0" w:color="auto"/>
              <w:right w:val="dotted" w:sz="4" w:space="0" w:color="auto"/>
            </w:tcBorders>
            <w:shd w:val="clear" w:color="auto" w:fill="auto"/>
            <w:vAlign w:val="center"/>
            <w:hideMark/>
          </w:tcPr>
          <w:p w14:paraId="718E93BF" w14:textId="77777777" w:rsidR="004B0AC2" w:rsidRPr="00092ED7" w:rsidRDefault="004B0AC2" w:rsidP="00FB09AE">
            <w:pPr>
              <w:spacing w:after="0"/>
              <w:jc w:val="right"/>
              <w:rPr>
                <w:sz w:val="20"/>
                <w:szCs w:val="20"/>
                <w:lang w:val="sr-Cyrl-CS"/>
              </w:rPr>
            </w:pPr>
            <w:r w:rsidRPr="00092ED7">
              <w:rPr>
                <w:sz w:val="20"/>
                <w:szCs w:val="20"/>
                <w:lang w:val="sr-Cyrl-CS"/>
              </w:rPr>
              <w:t> </w:t>
            </w:r>
          </w:p>
        </w:tc>
        <w:tc>
          <w:tcPr>
            <w:tcW w:w="1074" w:type="dxa"/>
            <w:tcBorders>
              <w:top w:val="nil"/>
              <w:left w:val="nil"/>
              <w:bottom w:val="dotted" w:sz="4" w:space="0" w:color="auto"/>
              <w:right w:val="dotted" w:sz="4" w:space="0" w:color="auto"/>
            </w:tcBorders>
            <w:shd w:val="clear" w:color="auto" w:fill="auto"/>
            <w:vAlign w:val="center"/>
            <w:hideMark/>
          </w:tcPr>
          <w:p w14:paraId="05C6F79B" w14:textId="77777777" w:rsidR="004B0AC2" w:rsidRPr="00092ED7" w:rsidRDefault="004B0AC2" w:rsidP="00FB09AE">
            <w:pPr>
              <w:spacing w:after="0"/>
              <w:jc w:val="right"/>
              <w:rPr>
                <w:sz w:val="20"/>
                <w:szCs w:val="20"/>
                <w:lang w:val="sr-Cyrl-CS"/>
              </w:rPr>
            </w:pPr>
            <w:r w:rsidRPr="00092ED7">
              <w:rPr>
                <w:sz w:val="20"/>
                <w:szCs w:val="20"/>
                <w:lang w:val="sr-Cyrl-CS"/>
              </w:rPr>
              <w:t> </w:t>
            </w:r>
          </w:p>
        </w:tc>
        <w:tc>
          <w:tcPr>
            <w:tcW w:w="1074" w:type="dxa"/>
            <w:tcBorders>
              <w:top w:val="nil"/>
              <w:left w:val="nil"/>
              <w:bottom w:val="dotted" w:sz="4" w:space="0" w:color="auto"/>
              <w:right w:val="double" w:sz="6" w:space="0" w:color="auto"/>
            </w:tcBorders>
            <w:shd w:val="clear" w:color="auto" w:fill="auto"/>
            <w:vAlign w:val="center"/>
            <w:hideMark/>
          </w:tcPr>
          <w:p w14:paraId="3D15BA78" w14:textId="77777777" w:rsidR="004B0AC2" w:rsidRPr="00092ED7" w:rsidRDefault="004B0AC2" w:rsidP="00FB09AE">
            <w:pPr>
              <w:spacing w:after="0"/>
              <w:jc w:val="right"/>
              <w:rPr>
                <w:sz w:val="20"/>
                <w:szCs w:val="20"/>
                <w:lang w:val="sr-Cyrl-CS"/>
              </w:rPr>
            </w:pPr>
            <w:r w:rsidRPr="00092ED7">
              <w:rPr>
                <w:sz w:val="20"/>
                <w:szCs w:val="20"/>
                <w:lang w:val="sr-Cyrl-CS"/>
              </w:rPr>
              <w:t> </w:t>
            </w:r>
          </w:p>
        </w:tc>
      </w:tr>
      <w:tr w:rsidR="004B0AC2" w:rsidRPr="00092ED7" w14:paraId="036A5DBB" w14:textId="77777777" w:rsidTr="00FB09AE">
        <w:trPr>
          <w:trHeight w:val="255"/>
        </w:trPr>
        <w:tc>
          <w:tcPr>
            <w:tcW w:w="6640" w:type="dxa"/>
            <w:tcBorders>
              <w:top w:val="nil"/>
              <w:left w:val="double" w:sz="6" w:space="0" w:color="auto"/>
              <w:bottom w:val="dotted" w:sz="4" w:space="0" w:color="auto"/>
              <w:right w:val="nil"/>
            </w:tcBorders>
            <w:shd w:val="clear" w:color="auto" w:fill="auto"/>
            <w:vAlign w:val="center"/>
            <w:hideMark/>
          </w:tcPr>
          <w:p w14:paraId="4D5315E3" w14:textId="77777777" w:rsidR="004B0AC2" w:rsidRPr="00092ED7" w:rsidRDefault="004B0AC2" w:rsidP="00FB09AE">
            <w:pPr>
              <w:spacing w:after="0"/>
              <w:jc w:val="left"/>
              <w:rPr>
                <w:rFonts w:eastAsia="Times New Roman" w:cs="Times New Roman"/>
                <w:sz w:val="20"/>
                <w:szCs w:val="20"/>
                <w:lang w:val="sr-Cyrl-CS"/>
              </w:rPr>
            </w:pPr>
            <w:r w:rsidRPr="00092ED7">
              <w:rPr>
                <w:rFonts w:eastAsia="Times New Roman" w:cs="Times New Roman"/>
                <w:sz w:val="20"/>
                <w:szCs w:val="20"/>
                <w:lang w:val="sr-Cyrl-CS"/>
              </w:rPr>
              <w:t>18b. Социјални трансфери осим неновчаних</w:t>
            </w:r>
          </w:p>
        </w:tc>
        <w:tc>
          <w:tcPr>
            <w:tcW w:w="1417" w:type="dxa"/>
            <w:tcBorders>
              <w:top w:val="nil"/>
              <w:left w:val="single" w:sz="8" w:space="0" w:color="auto"/>
              <w:bottom w:val="dotted" w:sz="4" w:space="0" w:color="auto"/>
              <w:right w:val="single" w:sz="8" w:space="0" w:color="auto"/>
            </w:tcBorders>
            <w:shd w:val="clear" w:color="auto" w:fill="auto"/>
            <w:vAlign w:val="center"/>
            <w:hideMark/>
          </w:tcPr>
          <w:p w14:paraId="077B7F62" w14:textId="77777777" w:rsidR="004B0AC2" w:rsidRPr="00092ED7" w:rsidRDefault="004B0AC2" w:rsidP="00FB09AE">
            <w:pPr>
              <w:spacing w:after="0"/>
              <w:jc w:val="center"/>
              <w:rPr>
                <w:sz w:val="20"/>
                <w:szCs w:val="20"/>
                <w:lang w:val="sr-Cyrl-CS"/>
              </w:rPr>
            </w:pPr>
            <w:r w:rsidRPr="00092ED7">
              <w:rPr>
                <w:sz w:val="20"/>
                <w:szCs w:val="20"/>
                <w:lang w:val="sr-Cyrl-CS"/>
              </w:rPr>
              <w:t>D62</w:t>
            </w:r>
          </w:p>
        </w:tc>
        <w:tc>
          <w:tcPr>
            <w:tcW w:w="1074" w:type="dxa"/>
            <w:tcBorders>
              <w:top w:val="nil"/>
              <w:left w:val="nil"/>
              <w:bottom w:val="dotted" w:sz="4" w:space="0" w:color="auto"/>
              <w:right w:val="dotted" w:sz="4" w:space="0" w:color="auto"/>
            </w:tcBorders>
            <w:shd w:val="clear" w:color="auto" w:fill="auto"/>
            <w:vAlign w:val="center"/>
            <w:hideMark/>
          </w:tcPr>
          <w:p w14:paraId="27D284E1" w14:textId="77777777" w:rsidR="004B0AC2" w:rsidRPr="00092ED7" w:rsidRDefault="004B0AC2" w:rsidP="00FB09AE">
            <w:pPr>
              <w:spacing w:after="0"/>
              <w:jc w:val="right"/>
              <w:rPr>
                <w:sz w:val="20"/>
                <w:szCs w:val="20"/>
                <w:lang w:val="sr-Cyrl-CS"/>
              </w:rPr>
            </w:pPr>
            <w:r w:rsidRPr="00092ED7">
              <w:rPr>
                <w:sz w:val="20"/>
                <w:szCs w:val="20"/>
                <w:lang w:val="sr-Cyrl-CS"/>
              </w:rPr>
              <w:t>806,3</w:t>
            </w:r>
          </w:p>
        </w:tc>
        <w:tc>
          <w:tcPr>
            <w:tcW w:w="1074" w:type="dxa"/>
            <w:tcBorders>
              <w:top w:val="nil"/>
              <w:left w:val="nil"/>
              <w:bottom w:val="dotted" w:sz="4" w:space="0" w:color="auto"/>
              <w:right w:val="dotted" w:sz="4" w:space="0" w:color="auto"/>
            </w:tcBorders>
            <w:shd w:val="clear" w:color="auto" w:fill="auto"/>
            <w:vAlign w:val="center"/>
            <w:hideMark/>
          </w:tcPr>
          <w:p w14:paraId="52408102" w14:textId="77777777" w:rsidR="004B0AC2" w:rsidRPr="00092ED7" w:rsidRDefault="004B0AC2" w:rsidP="00FB09AE">
            <w:pPr>
              <w:spacing w:after="0"/>
              <w:jc w:val="right"/>
              <w:rPr>
                <w:sz w:val="20"/>
                <w:szCs w:val="20"/>
                <w:lang w:val="sr-Cyrl-CS"/>
              </w:rPr>
            </w:pPr>
            <w:r w:rsidRPr="00092ED7">
              <w:rPr>
                <w:sz w:val="20"/>
                <w:szCs w:val="20"/>
                <w:lang w:val="sr-Cyrl-CS"/>
              </w:rPr>
              <w:t>850,0</w:t>
            </w:r>
          </w:p>
        </w:tc>
        <w:tc>
          <w:tcPr>
            <w:tcW w:w="1074" w:type="dxa"/>
            <w:gridSpan w:val="2"/>
            <w:tcBorders>
              <w:top w:val="nil"/>
              <w:left w:val="nil"/>
              <w:bottom w:val="dotted" w:sz="4" w:space="0" w:color="auto"/>
              <w:right w:val="dotted" w:sz="4" w:space="0" w:color="auto"/>
            </w:tcBorders>
            <w:shd w:val="clear" w:color="auto" w:fill="auto"/>
            <w:vAlign w:val="center"/>
            <w:hideMark/>
          </w:tcPr>
          <w:p w14:paraId="0FA1F854" w14:textId="77777777" w:rsidR="004B0AC2" w:rsidRPr="00092ED7" w:rsidRDefault="004B0AC2" w:rsidP="00FB09AE">
            <w:pPr>
              <w:spacing w:after="0"/>
              <w:jc w:val="right"/>
              <w:rPr>
                <w:sz w:val="20"/>
                <w:szCs w:val="20"/>
                <w:lang w:val="sr-Cyrl-CS"/>
              </w:rPr>
            </w:pPr>
            <w:r w:rsidRPr="00092ED7">
              <w:rPr>
                <w:sz w:val="20"/>
                <w:szCs w:val="20"/>
                <w:lang w:val="sr-Cyrl-CS"/>
              </w:rPr>
              <w:t>921,9</w:t>
            </w:r>
          </w:p>
        </w:tc>
        <w:tc>
          <w:tcPr>
            <w:tcW w:w="1074" w:type="dxa"/>
            <w:gridSpan w:val="2"/>
            <w:tcBorders>
              <w:top w:val="nil"/>
              <w:left w:val="nil"/>
              <w:bottom w:val="dotted" w:sz="4" w:space="0" w:color="auto"/>
              <w:right w:val="dotted" w:sz="4" w:space="0" w:color="auto"/>
            </w:tcBorders>
            <w:shd w:val="clear" w:color="auto" w:fill="auto"/>
            <w:vAlign w:val="center"/>
            <w:hideMark/>
          </w:tcPr>
          <w:p w14:paraId="53C076BF" w14:textId="77777777" w:rsidR="004B0AC2" w:rsidRPr="00092ED7" w:rsidRDefault="004B0AC2" w:rsidP="00FB09AE">
            <w:pPr>
              <w:spacing w:after="0"/>
              <w:jc w:val="right"/>
              <w:rPr>
                <w:sz w:val="20"/>
                <w:szCs w:val="20"/>
                <w:lang w:val="sr-Cyrl-CS"/>
              </w:rPr>
            </w:pPr>
            <w:r w:rsidRPr="00092ED7">
              <w:rPr>
                <w:sz w:val="20"/>
                <w:szCs w:val="20"/>
                <w:lang w:val="sr-Cyrl-CS"/>
              </w:rPr>
              <w:t>1.041,6</w:t>
            </w:r>
          </w:p>
        </w:tc>
        <w:tc>
          <w:tcPr>
            <w:tcW w:w="1074" w:type="dxa"/>
            <w:tcBorders>
              <w:top w:val="nil"/>
              <w:left w:val="nil"/>
              <w:bottom w:val="dotted" w:sz="4" w:space="0" w:color="auto"/>
              <w:right w:val="dotted" w:sz="4" w:space="0" w:color="auto"/>
            </w:tcBorders>
            <w:shd w:val="clear" w:color="auto" w:fill="auto"/>
            <w:vAlign w:val="center"/>
            <w:hideMark/>
          </w:tcPr>
          <w:p w14:paraId="19985B20" w14:textId="77777777" w:rsidR="004B0AC2" w:rsidRPr="00092ED7" w:rsidRDefault="004B0AC2" w:rsidP="00FB09AE">
            <w:pPr>
              <w:spacing w:after="0"/>
              <w:jc w:val="right"/>
              <w:rPr>
                <w:sz w:val="20"/>
                <w:szCs w:val="20"/>
                <w:lang w:val="sr-Cyrl-CS"/>
              </w:rPr>
            </w:pPr>
            <w:r w:rsidRPr="00092ED7">
              <w:rPr>
                <w:sz w:val="20"/>
                <w:szCs w:val="20"/>
                <w:lang w:val="sr-Cyrl-CS"/>
              </w:rPr>
              <w:t>1.155,2</w:t>
            </w:r>
          </w:p>
        </w:tc>
        <w:tc>
          <w:tcPr>
            <w:tcW w:w="1074" w:type="dxa"/>
            <w:tcBorders>
              <w:top w:val="nil"/>
              <w:left w:val="nil"/>
              <w:bottom w:val="dotted" w:sz="4" w:space="0" w:color="auto"/>
              <w:right w:val="double" w:sz="6" w:space="0" w:color="auto"/>
            </w:tcBorders>
            <w:shd w:val="clear" w:color="auto" w:fill="auto"/>
            <w:vAlign w:val="center"/>
            <w:hideMark/>
          </w:tcPr>
          <w:p w14:paraId="04EC9705" w14:textId="77777777" w:rsidR="004B0AC2" w:rsidRPr="00092ED7" w:rsidRDefault="004B0AC2" w:rsidP="00FB09AE">
            <w:pPr>
              <w:spacing w:after="0"/>
              <w:jc w:val="right"/>
              <w:rPr>
                <w:sz w:val="20"/>
                <w:szCs w:val="20"/>
                <w:lang w:val="sr-Cyrl-CS"/>
              </w:rPr>
            </w:pPr>
            <w:r w:rsidRPr="00092ED7">
              <w:rPr>
                <w:sz w:val="20"/>
                <w:szCs w:val="20"/>
                <w:lang w:val="sr-Cyrl-CS"/>
              </w:rPr>
              <w:t>1.242,9</w:t>
            </w:r>
          </w:p>
        </w:tc>
      </w:tr>
      <w:tr w:rsidR="004B0AC2" w:rsidRPr="00092ED7" w14:paraId="1ADAA14F" w14:textId="77777777" w:rsidTr="00FB09AE">
        <w:trPr>
          <w:trHeight w:val="330"/>
        </w:trPr>
        <w:tc>
          <w:tcPr>
            <w:tcW w:w="6640" w:type="dxa"/>
            <w:tcBorders>
              <w:top w:val="nil"/>
              <w:left w:val="double" w:sz="6" w:space="0" w:color="auto"/>
              <w:bottom w:val="dotted" w:sz="4" w:space="0" w:color="auto"/>
              <w:right w:val="nil"/>
            </w:tcBorders>
            <w:shd w:val="clear" w:color="auto" w:fill="auto"/>
            <w:vAlign w:val="center"/>
            <w:hideMark/>
          </w:tcPr>
          <w:p w14:paraId="229A8A47" w14:textId="77777777" w:rsidR="004B0AC2" w:rsidRPr="00092ED7" w:rsidRDefault="004B0AC2" w:rsidP="00FB09AE">
            <w:pPr>
              <w:spacing w:after="0"/>
              <w:jc w:val="left"/>
              <w:rPr>
                <w:rFonts w:eastAsia="Times New Roman" w:cs="Times New Roman"/>
                <w:sz w:val="20"/>
                <w:szCs w:val="20"/>
                <w:lang w:val="sr-Cyrl-CS"/>
              </w:rPr>
            </w:pPr>
            <w:r w:rsidRPr="00092ED7">
              <w:rPr>
                <w:rFonts w:eastAsia="Times New Roman" w:cs="Times New Roman"/>
                <w:sz w:val="20"/>
                <w:szCs w:val="20"/>
                <w:lang w:val="sr-Cyrl-CS"/>
              </w:rPr>
              <w:t xml:space="preserve">19 = 9. Расходи за камате (укљ. FISIM) </w:t>
            </w:r>
          </w:p>
        </w:tc>
        <w:tc>
          <w:tcPr>
            <w:tcW w:w="1417" w:type="dxa"/>
            <w:tcBorders>
              <w:top w:val="nil"/>
              <w:left w:val="single" w:sz="8" w:space="0" w:color="auto"/>
              <w:bottom w:val="dotted" w:sz="4" w:space="0" w:color="auto"/>
              <w:right w:val="single" w:sz="8" w:space="0" w:color="auto"/>
            </w:tcBorders>
            <w:shd w:val="clear" w:color="auto" w:fill="auto"/>
            <w:vAlign w:val="center"/>
            <w:hideMark/>
          </w:tcPr>
          <w:p w14:paraId="1DB79A3D" w14:textId="77777777" w:rsidR="004B0AC2" w:rsidRPr="00092ED7" w:rsidRDefault="004B0AC2" w:rsidP="00FB09AE">
            <w:pPr>
              <w:spacing w:after="0"/>
              <w:jc w:val="center"/>
              <w:rPr>
                <w:sz w:val="20"/>
                <w:szCs w:val="20"/>
                <w:lang w:val="sr-Cyrl-CS"/>
              </w:rPr>
            </w:pPr>
            <w:r w:rsidRPr="00092ED7">
              <w:rPr>
                <w:sz w:val="20"/>
                <w:szCs w:val="20"/>
                <w:lang w:val="sr-Cyrl-CS"/>
              </w:rPr>
              <w:t>EDP.D41 + FISIM</w:t>
            </w:r>
          </w:p>
        </w:tc>
        <w:tc>
          <w:tcPr>
            <w:tcW w:w="1074" w:type="dxa"/>
            <w:tcBorders>
              <w:top w:val="nil"/>
              <w:left w:val="nil"/>
              <w:bottom w:val="dotted" w:sz="4" w:space="0" w:color="auto"/>
              <w:right w:val="dotted" w:sz="4" w:space="0" w:color="auto"/>
            </w:tcBorders>
            <w:shd w:val="clear" w:color="auto" w:fill="auto"/>
            <w:vAlign w:val="center"/>
            <w:hideMark/>
          </w:tcPr>
          <w:p w14:paraId="27A4E4D6" w14:textId="77777777" w:rsidR="004B0AC2" w:rsidRPr="00092ED7" w:rsidRDefault="004B0AC2" w:rsidP="00FB09AE">
            <w:pPr>
              <w:spacing w:after="0"/>
              <w:jc w:val="right"/>
              <w:rPr>
                <w:sz w:val="20"/>
                <w:szCs w:val="20"/>
                <w:lang w:val="sr-Cyrl-CS"/>
              </w:rPr>
            </w:pPr>
            <w:r w:rsidRPr="00092ED7">
              <w:rPr>
                <w:sz w:val="20"/>
                <w:szCs w:val="20"/>
                <w:lang w:val="sr-Cyrl-CS"/>
              </w:rPr>
              <w:t>110,2</w:t>
            </w:r>
          </w:p>
        </w:tc>
        <w:tc>
          <w:tcPr>
            <w:tcW w:w="1074" w:type="dxa"/>
            <w:tcBorders>
              <w:top w:val="nil"/>
              <w:left w:val="nil"/>
              <w:bottom w:val="dotted" w:sz="4" w:space="0" w:color="auto"/>
              <w:right w:val="dotted" w:sz="4" w:space="0" w:color="auto"/>
            </w:tcBorders>
            <w:shd w:val="clear" w:color="auto" w:fill="auto"/>
            <w:vAlign w:val="center"/>
            <w:hideMark/>
          </w:tcPr>
          <w:p w14:paraId="7BEBB4F0" w14:textId="77777777" w:rsidR="004B0AC2" w:rsidRPr="00092ED7" w:rsidRDefault="004B0AC2" w:rsidP="00FB09AE">
            <w:pPr>
              <w:spacing w:after="0"/>
              <w:jc w:val="right"/>
              <w:rPr>
                <w:sz w:val="20"/>
                <w:szCs w:val="20"/>
                <w:lang w:val="sr-Cyrl-CS"/>
              </w:rPr>
            </w:pPr>
            <w:r w:rsidRPr="00092ED7">
              <w:rPr>
                <w:sz w:val="20"/>
                <w:szCs w:val="20"/>
                <w:lang w:val="sr-Cyrl-CS"/>
              </w:rPr>
              <w:t>108,7</w:t>
            </w:r>
          </w:p>
        </w:tc>
        <w:tc>
          <w:tcPr>
            <w:tcW w:w="1074" w:type="dxa"/>
            <w:gridSpan w:val="2"/>
            <w:tcBorders>
              <w:top w:val="nil"/>
              <w:left w:val="nil"/>
              <w:bottom w:val="dotted" w:sz="4" w:space="0" w:color="auto"/>
              <w:right w:val="dotted" w:sz="4" w:space="0" w:color="auto"/>
            </w:tcBorders>
            <w:shd w:val="clear" w:color="auto" w:fill="auto"/>
            <w:vAlign w:val="center"/>
            <w:hideMark/>
          </w:tcPr>
          <w:p w14:paraId="1C895B2B" w14:textId="77777777" w:rsidR="004B0AC2" w:rsidRPr="00092ED7" w:rsidRDefault="004B0AC2" w:rsidP="00FB09AE">
            <w:pPr>
              <w:spacing w:after="0"/>
              <w:jc w:val="right"/>
              <w:rPr>
                <w:sz w:val="20"/>
                <w:szCs w:val="20"/>
                <w:lang w:val="sr-Cyrl-CS"/>
              </w:rPr>
            </w:pPr>
            <w:r w:rsidRPr="00092ED7">
              <w:rPr>
                <w:sz w:val="20"/>
                <w:szCs w:val="20"/>
                <w:lang w:val="sr-Cyrl-CS"/>
              </w:rPr>
              <w:t>115,6</w:t>
            </w:r>
          </w:p>
        </w:tc>
        <w:tc>
          <w:tcPr>
            <w:tcW w:w="1074" w:type="dxa"/>
            <w:gridSpan w:val="2"/>
            <w:tcBorders>
              <w:top w:val="nil"/>
              <w:left w:val="nil"/>
              <w:bottom w:val="dotted" w:sz="4" w:space="0" w:color="auto"/>
              <w:right w:val="dotted" w:sz="4" w:space="0" w:color="auto"/>
            </w:tcBorders>
            <w:shd w:val="clear" w:color="auto" w:fill="auto"/>
            <w:vAlign w:val="center"/>
            <w:hideMark/>
          </w:tcPr>
          <w:p w14:paraId="5C7B3D63" w14:textId="77777777" w:rsidR="004B0AC2" w:rsidRPr="00092ED7" w:rsidRDefault="004B0AC2" w:rsidP="00FB09AE">
            <w:pPr>
              <w:spacing w:after="0"/>
              <w:jc w:val="right"/>
              <w:rPr>
                <w:sz w:val="20"/>
                <w:szCs w:val="20"/>
                <w:lang w:val="sr-Cyrl-CS"/>
              </w:rPr>
            </w:pPr>
            <w:r w:rsidRPr="00092ED7">
              <w:rPr>
                <w:sz w:val="20"/>
                <w:szCs w:val="20"/>
                <w:lang w:val="sr-Cyrl-CS"/>
              </w:rPr>
              <w:t>145,9</w:t>
            </w:r>
          </w:p>
        </w:tc>
        <w:tc>
          <w:tcPr>
            <w:tcW w:w="1074" w:type="dxa"/>
            <w:tcBorders>
              <w:top w:val="nil"/>
              <w:left w:val="nil"/>
              <w:bottom w:val="dotted" w:sz="4" w:space="0" w:color="auto"/>
              <w:right w:val="dotted" w:sz="4" w:space="0" w:color="auto"/>
            </w:tcBorders>
            <w:shd w:val="clear" w:color="auto" w:fill="auto"/>
            <w:vAlign w:val="center"/>
            <w:hideMark/>
          </w:tcPr>
          <w:p w14:paraId="7EEEE4B7" w14:textId="77777777" w:rsidR="004B0AC2" w:rsidRPr="00092ED7" w:rsidRDefault="004B0AC2" w:rsidP="00FB09AE">
            <w:pPr>
              <w:spacing w:after="0"/>
              <w:jc w:val="right"/>
              <w:rPr>
                <w:sz w:val="20"/>
                <w:szCs w:val="20"/>
                <w:lang w:val="sr-Cyrl-CS"/>
              </w:rPr>
            </w:pPr>
            <w:r w:rsidRPr="00092ED7">
              <w:rPr>
                <w:sz w:val="20"/>
                <w:szCs w:val="20"/>
                <w:lang w:val="sr-Cyrl-CS"/>
              </w:rPr>
              <w:t>180,6</w:t>
            </w:r>
          </w:p>
        </w:tc>
        <w:tc>
          <w:tcPr>
            <w:tcW w:w="1074" w:type="dxa"/>
            <w:tcBorders>
              <w:top w:val="nil"/>
              <w:left w:val="nil"/>
              <w:bottom w:val="dotted" w:sz="4" w:space="0" w:color="auto"/>
              <w:right w:val="double" w:sz="6" w:space="0" w:color="auto"/>
            </w:tcBorders>
            <w:shd w:val="clear" w:color="auto" w:fill="auto"/>
            <w:vAlign w:val="center"/>
            <w:hideMark/>
          </w:tcPr>
          <w:p w14:paraId="2DC933F2" w14:textId="77777777" w:rsidR="004B0AC2" w:rsidRPr="00092ED7" w:rsidRDefault="004B0AC2" w:rsidP="00FB09AE">
            <w:pPr>
              <w:spacing w:after="0"/>
              <w:jc w:val="right"/>
              <w:rPr>
                <w:sz w:val="20"/>
                <w:szCs w:val="20"/>
                <w:lang w:val="sr-Cyrl-CS"/>
              </w:rPr>
            </w:pPr>
            <w:r w:rsidRPr="00092ED7">
              <w:rPr>
                <w:sz w:val="20"/>
                <w:szCs w:val="20"/>
                <w:lang w:val="sr-Cyrl-CS"/>
              </w:rPr>
              <w:t>183,3</w:t>
            </w:r>
          </w:p>
        </w:tc>
      </w:tr>
      <w:tr w:rsidR="004B0AC2" w:rsidRPr="00092ED7" w14:paraId="4FE0786A" w14:textId="77777777" w:rsidTr="00FB09AE">
        <w:trPr>
          <w:trHeight w:val="255"/>
        </w:trPr>
        <w:tc>
          <w:tcPr>
            <w:tcW w:w="6640" w:type="dxa"/>
            <w:tcBorders>
              <w:top w:val="nil"/>
              <w:left w:val="double" w:sz="6" w:space="0" w:color="auto"/>
              <w:bottom w:val="dotted" w:sz="4" w:space="0" w:color="auto"/>
              <w:right w:val="nil"/>
            </w:tcBorders>
            <w:shd w:val="clear" w:color="auto" w:fill="auto"/>
            <w:vAlign w:val="center"/>
            <w:hideMark/>
          </w:tcPr>
          <w:p w14:paraId="506B17BC" w14:textId="77777777" w:rsidR="004B0AC2" w:rsidRPr="00092ED7" w:rsidRDefault="004B0AC2" w:rsidP="00FB09AE">
            <w:pPr>
              <w:spacing w:after="0"/>
              <w:jc w:val="left"/>
              <w:rPr>
                <w:rFonts w:eastAsia="Times New Roman" w:cs="Times New Roman"/>
                <w:sz w:val="20"/>
                <w:szCs w:val="20"/>
                <w:lang w:val="sr-Cyrl-CS"/>
              </w:rPr>
            </w:pPr>
            <w:r w:rsidRPr="00092ED7">
              <w:rPr>
                <w:rFonts w:eastAsia="Times New Roman" w:cs="Times New Roman"/>
                <w:sz w:val="20"/>
                <w:szCs w:val="20"/>
                <w:lang w:val="sr-Cyrl-CS"/>
              </w:rPr>
              <w:t>20. Субвенције</w:t>
            </w:r>
          </w:p>
        </w:tc>
        <w:tc>
          <w:tcPr>
            <w:tcW w:w="1417" w:type="dxa"/>
            <w:tcBorders>
              <w:top w:val="nil"/>
              <w:left w:val="single" w:sz="8" w:space="0" w:color="auto"/>
              <w:bottom w:val="dotted" w:sz="4" w:space="0" w:color="auto"/>
              <w:right w:val="single" w:sz="8" w:space="0" w:color="auto"/>
            </w:tcBorders>
            <w:shd w:val="clear" w:color="auto" w:fill="auto"/>
            <w:vAlign w:val="center"/>
            <w:hideMark/>
          </w:tcPr>
          <w:p w14:paraId="377A5E70" w14:textId="77777777" w:rsidR="004B0AC2" w:rsidRPr="00092ED7" w:rsidRDefault="004B0AC2" w:rsidP="00FB09AE">
            <w:pPr>
              <w:spacing w:after="0"/>
              <w:jc w:val="center"/>
              <w:rPr>
                <w:sz w:val="20"/>
                <w:szCs w:val="20"/>
                <w:lang w:val="sr-Cyrl-CS"/>
              </w:rPr>
            </w:pPr>
            <w:r w:rsidRPr="00092ED7">
              <w:rPr>
                <w:sz w:val="20"/>
                <w:szCs w:val="20"/>
                <w:lang w:val="sr-Cyrl-CS"/>
              </w:rPr>
              <w:t>D3</w:t>
            </w:r>
          </w:p>
        </w:tc>
        <w:tc>
          <w:tcPr>
            <w:tcW w:w="1074" w:type="dxa"/>
            <w:tcBorders>
              <w:top w:val="nil"/>
              <w:left w:val="nil"/>
              <w:bottom w:val="dotted" w:sz="4" w:space="0" w:color="auto"/>
              <w:right w:val="dotted" w:sz="4" w:space="0" w:color="auto"/>
            </w:tcBorders>
            <w:shd w:val="clear" w:color="auto" w:fill="auto"/>
            <w:vAlign w:val="center"/>
            <w:hideMark/>
          </w:tcPr>
          <w:p w14:paraId="6C85D20A" w14:textId="77777777" w:rsidR="004B0AC2" w:rsidRPr="00092ED7" w:rsidRDefault="004B0AC2" w:rsidP="00FB09AE">
            <w:pPr>
              <w:spacing w:after="0"/>
              <w:jc w:val="right"/>
              <w:rPr>
                <w:sz w:val="20"/>
                <w:szCs w:val="20"/>
                <w:lang w:val="sr-Cyrl-CS"/>
              </w:rPr>
            </w:pPr>
            <w:r w:rsidRPr="00092ED7">
              <w:rPr>
                <w:sz w:val="20"/>
                <w:szCs w:val="20"/>
                <w:lang w:val="sr-Cyrl-CS"/>
              </w:rPr>
              <w:t>251,5</w:t>
            </w:r>
          </w:p>
        </w:tc>
        <w:tc>
          <w:tcPr>
            <w:tcW w:w="1074" w:type="dxa"/>
            <w:tcBorders>
              <w:top w:val="nil"/>
              <w:left w:val="nil"/>
              <w:bottom w:val="dotted" w:sz="4" w:space="0" w:color="auto"/>
              <w:right w:val="dotted" w:sz="4" w:space="0" w:color="auto"/>
            </w:tcBorders>
            <w:shd w:val="clear" w:color="auto" w:fill="auto"/>
            <w:vAlign w:val="center"/>
            <w:hideMark/>
          </w:tcPr>
          <w:p w14:paraId="64D7C44A" w14:textId="77777777" w:rsidR="004B0AC2" w:rsidRPr="00092ED7" w:rsidRDefault="004B0AC2" w:rsidP="00FB09AE">
            <w:pPr>
              <w:spacing w:after="0"/>
              <w:jc w:val="right"/>
              <w:rPr>
                <w:sz w:val="20"/>
                <w:szCs w:val="20"/>
                <w:lang w:val="sr-Cyrl-CS"/>
              </w:rPr>
            </w:pPr>
            <w:r w:rsidRPr="00092ED7">
              <w:rPr>
                <w:sz w:val="20"/>
                <w:szCs w:val="20"/>
                <w:lang w:val="sr-Cyrl-CS"/>
              </w:rPr>
              <w:t>206,3</w:t>
            </w:r>
          </w:p>
        </w:tc>
        <w:tc>
          <w:tcPr>
            <w:tcW w:w="1074" w:type="dxa"/>
            <w:gridSpan w:val="2"/>
            <w:tcBorders>
              <w:top w:val="nil"/>
              <w:left w:val="nil"/>
              <w:bottom w:val="dotted" w:sz="4" w:space="0" w:color="auto"/>
              <w:right w:val="dotted" w:sz="4" w:space="0" w:color="auto"/>
            </w:tcBorders>
            <w:shd w:val="clear" w:color="auto" w:fill="auto"/>
            <w:vAlign w:val="center"/>
            <w:hideMark/>
          </w:tcPr>
          <w:p w14:paraId="4492320F" w14:textId="77777777" w:rsidR="004B0AC2" w:rsidRPr="00092ED7" w:rsidRDefault="004B0AC2" w:rsidP="00FB09AE">
            <w:pPr>
              <w:spacing w:after="0"/>
              <w:jc w:val="right"/>
              <w:rPr>
                <w:sz w:val="20"/>
                <w:szCs w:val="20"/>
                <w:lang w:val="sr-Cyrl-CS"/>
              </w:rPr>
            </w:pPr>
            <w:r w:rsidRPr="00092ED7">
              <w:rPr>
                <w:sz w:val="20"/>
                <w:szCs w:val="20"/>
                <w:lang w:val="sr-Cyrl-CS"/>
              </w:rPr>
              <w:t>186,4</w:t>
            </w:r>
          </w:p>
        </w:tc>
        <w:tc>
          <w:tcPr>
            <w:tcW w:w="1074" w:type="dxa"/>
            <w:gridSpan w:val="2"/>
            <w:tcBorders>
              <w:top w:val="nil"/>
              <w:left w:val="nil"/>
              <w:bottom w:val="dotted" w:sz="4" w:space="0" w:color="auto"/>
              <w:right w:val="dotted" w:sz="4" w:space="0" w:color="auto"/>
            </w:tcBorders>
            <w:shd w:val="clear" w:color="auto" w:fill="auto"/>
            <w:vAlign w:val="center"/>
            <w:hideMark/>
          </w:tcPr>
          <w:p w14:paraId="379747DC" w14:textId="77777777" w:rsidR="004B0AC2" w:rsidRPr="00092ED7" w:rsidRDefault="004B0AC2" w:rsidP="00FB09AE">
            <w:pPr>
              <w:spacing w:after="0"/>
              <w:jc w:val="right"/>
              <w:rPr>
                <w:sz w:val="20"/>
                <w:szCs w:val="20"/>
                <w:lang w:val="sr-Cyrl-CS"/>
              </w:rPr>
            </w:pPr>
            <w:r w:rsidRPr="00092ED7">
              <w:rPr>
                <w:sz w:val="20"/>
                <w:szCs w:val="20"/>
                <w:lang w:val="sr-Cyrl-CS"/>
              </w:rPr>
              <w:t>220,1</w:t>
            </w:r>
          </w:p>
        </w:tc>
        <w:tc>
          <w:tcPr>
            <w:tcW w:w="1074" w:type="dxa"/>
            <w:tcBorders>
              <w:top w:val="nil"/>
              <w:left w:val="nil"/>
              <w:bottom w:val="dotted" w:sz="4" w:space="0" w:color="auto"/>
              <w:right w:val="dotted" w:sz="4" w:space="0" w:color="auto"/>
            </w:tcBorders>
            <w:shd w:val="clear" w:color="auto" w:fill="auto"/>
            <w:vAlign w:val="center"/>
            <w:hideMark/>
          </w:tcPr>
          <w:p w14:paraId="41AC97AA" w14:textId="77777777" w:rsidR="004B0AC2" w:rsidRPr="00092ED7" w:rsidRDefault="004B0AC2" w:rsidP="00FB09AE">
            <w:pPr>
              <w:spacing w:after="0"/>
              <w:jc w:val="right"/>
              <w:rPr>
                <w:sz w:val="20"/>
                <w:szCs w:val="20"/>
                <w:lang w:val="sr-Cyrl-CS"/>
              </w:rPr>
            </w:pPr>
            <w:r w:rsidRPr="00092ED7">
              <w:rPr>
                <w:sz w:val="20"/>
                <w:szCs w:val="20"/>
                <w:lang w:val="sr-Cyrl-CS"/>
              </w:rPr>
              <w:t>190,4</w:t>
            </w:r>
          </w:p>
        </w:tc>
        <w:tc>
          <w:tcPr>
            <w:tcW w:w="1074" w:type="dxa"/>
            <w:tcBorders>
              <w:top w:val="nil"/>
              <w:left w:val="nil"/>
              <w:bottom w:val="dotted" w:sz="4" w:space="0" w:color="auto"/>
              <w:right w:val="double" w:sz="6" w:space="0" w:color="auto"/>
            </w:tcBorders>
            <w:shd w:val="clear" w:color="auto" w:fill="auto"/>
            <w:vAlign w:val="center"/>
            <w:hideMark/>
          </w:tcPr>
          <w:p w14:paraId="15433F4F" w14:textId="77777777" w:rsidR="004B0AC2" w:rsidRPr="00092ED7" w:rsidRDefault="004B0AC2" w:rsidP="00FB09AE">
            <w:pPr>
              <w:spacing w:after="0"/>
              <w:jc w:val="right"/>
              <w:rPr>
                <w:sz w:val="20"/>
                <w:szCs w:val="20"/>
                <w:lang w:val="sr-Cyrl-CS"/>
              </w:rPr>
            </w:pPr>
            <w:r w:rsidRPr="00092ED7">
              <w:rPr>
                <w:sz w:val="20"/>
                <w:szCs w:val="20"/>
                <w:lang w:val="sr-Cyrl-CS"/>
              </w:rPr>
              <w:t>201,2</w:t>
            </w:r>
          </w:p>
        </w:tc>
      </w:tr>
      <w:tr w:rsidR="004B0AC2" w:rsidRPr="00092ED7" w14:paraId="08603B65" w14:textId="77777777" w:rsidTr="00FB09AE">
        <w:trPr>
          <w:trHeight w:val="255"/>
        </w:trPr>
        <w:tc>
          <w:tcPr>
            <w:tcW w:w="6640" w:type="dxa"/>
            <w:tcBorders>
              <w:top w:val="nil"/>
              <w:left w:val="double" w:sz="6" w:space="0" w:color="auto"/>
              <w:bottom w:val="dotted" w:sz="4" w:space="0" w:color="auto"/>
              <w:right w:val="nil"/>
            </w:tcBorders>
            <w:shd w:val="clear" w:color="auto" w:fill="auto"/>
            <w:vAlign w:val="center"/>
            <w:hideMark/>
          </w:tcPr>
          <w:p w14:paraId="7178559E" w14:textId="77777777" w:rsidR="004B0AC2" w:rsidRPr="00092ED7" w:rsidRDefault="004B0AC2" w:rsidP="00FB09AE">
            <w:pPr>
              <w:spacing w:after="0"/>
              <w:jc w:val="left"/>
              <w:rPr>
                <w:rFonts w:eastAsia="Times New Roman" w:cs="Times New Roman"/>
                <w:sz w:val="20"/>
                <w:szCs w:val="20"/>
                <w:lang w:val="sr-Cyrl-CS"/>
              </w:rPr>
            </w:pPr>
            <w:r w:rsidRPr="00092ED7">
              <w:rPr>
                <w:rFonts w:eastAsia="Times New Roman" w:cs="Times New Roman"/>
                <w:sz w:val="20"/>
                <w:szCs w:val="20"/>
                <w:lang w:val="sr-Cyrl-CS"/>
              </w:rPr>
              <w:t>21. Бруто инвестиције у основна средства</w:t>
            </w:r>
          </w:p>
        </w:tc>
        <w:tc>
          <w:tcPr>
            <w:tcW w:w="1417" w:type="dxa"/>
            <w:tcBorders>
              <w:top w:val="nil"/>
              <w:left w:val="single" w:sz="8" w:space="0" w:color="auto"/>
              <w:bottom w:val="dotted" w:sz="4" w:space="0" w:color="auto"/>
              <w:right w:val="single" w:sz="8" w:space="0" w:color="auto"/>
            </w:tcBorders>
            <w:shd w:val="clear" w:color="auto" w:fill="auto"/>
            <w:vAlign w:val="center"/>
            <w:hideMark/>
          </w:tcPr>
          <w:p w14:paraId="307989CE" w14:textId="77777777" w:rsidR="004B0AC2" w:rsidRPr="00092ED7" w:rsidRDefault="004B0AC2" w:rsidP="00FB09AE">
            <w:pPr>
              <w:spacing w:after="0"/>
              <w:jc w:val="center"/>
              <w:rPr>
                <w:sz w:val="20"/>
                <w:szCs w:val="20"/>
                <w:lang w:val="sr-Cyrl-CS"/>
              </w:rPr>
            </w:pPr>
            <w:r w:rsidRPr="00092ED7">
              <w:rPr>
                <w:sz w:val="20"/>
                <w:szCs w:val="20"/>
                <w:lang w:val="sr-Cyrl-CS"/>
              </w:rPr>
              <w:t>P51</w:t>
            </w:r>
          </w:p>
        </w:tc>
        <w:tc>
          <w:tcPr>
            <w:tcW w:w="1074" w:type="dxa"/>
            <w:tcBorders>
              <w:top w:val="nil"/>
              <w:left w:val="nil"/>
              <w:bottom w:val="dotted" w:sz="4" w:space="0" w:color="auto"/>
              <w:right w:val="dotted" w:sz="4" w:space="0" w:color="auto"/>
            </w:tcBorders>
            <w:shd w:val="clear" w:color="auto" w:fill="auto"/>
            <w:vAlign w:val="center"/>
            <w:hideMark/>
          </w:tcPr>
          <w:p w14:paraId="41A883F8" w14:textId="77777777" w:rsidR="004B0AC2" w:rsidRPr="00092ED7" w:rsidRDefault="004B0AC2" w:rsidP="00FB09AE">
            <w:pPr>
              <w:spacing w:after="0"/>
              <w:jc w:val="right"/>
              <w:rPr>
                <w:sz w:val="20"/>
                <w:szCs w:val="20"/>
                <w:lang w:val="sr-Cyrl-CS"/>
              </w:rPr>
            </w:pPr>
            <w:r w:rsidRPr="00092ED7">
              <w:rPr>
                <w:sz w:val="20"/>
                <w:szCs w:val="20"/>
                <w:lang w:val="sr-Cyrl-CS"/>
              </w:rPr>
              <w:t>293,2</w:t>
            </w:r>
          </w:p>
        </w:tc>
        <w:tc>
          <w:tcPr>
            <w:tcW w:w="1074" w:type="dxa"/>
            <w:tcBorders>
              <w:top w:val="nil"/>
              <w:left w:val="nil"/>
              <w:bottom w:val="dotted" w:sz="4" w:space="0" w:color="auto"/>
              <w:right w:val="dotted" w:sz="4" w:space="0" w:color="auto"/>
            </w:tcBorders>
            <w:shd w:val="clear" w:color="auto" w:fill="auto"/>
            <w:vAlign w:val="center"/>
            <w:hideMark/>
          </w:tcPr>
          <w:p w14:paraId="78DB9CA7" w14:textId="77777777" w:rsidR="004B0AC2" w:rsidRPr="00092ED7" w:rsidRDefault="004B0AC2" w:rsidP="00FB09AE">
            <w:pPr>
              <w:spacing w:after="0"/>
              <w:jc w:val="right"/>
              <w:rPr>
                <w:sz w:val="20"/>
                <w:szCs w:val="20"/>
                <w:lang w:val="sr-Cyrl-CS"/>
              </w:rPr>
            </w:pPr>
            <w:r w:rsidRPr="00092ED7">
              <w:rPr>
                <w:sz w:val="20"/>
                <w:szCs w:val="20"/>
                <w:lang w:val="sr-Cyrl-CS"/>
              </w:rPr>
              <w:t>466,6</w:t>
            </w:r>
          </w:p>
        </w:tc>
        <w:tc>
          <w:tcPr>
            <w:tcW w:w="1074" w:type="dxa"/>
            <w:gridSpan w:val="2"/>
            <w:tcBorders>
              <w:top w:val="nil"/>
              <w:left w:val="nil"/>
              <w:bottom w:val="dotted" w:sz="4" w:space="0" w:color="auto"/>
              <w:right w:val="dotted" w:sz="4" w:space="0" w:color="auto"/>
            </w:tcBorders>
            <w:shd w:val="clear" w:color="auto" w:fill="auto"/>
            <w:vAlign w:val="center"/>
            <w:hideMark/>
          </w:tcPr>
          <w:p w14:paraId="1C15B186" w14:textId="77777777" w:rsidR="004B0AC2" w:rsidRPr="00092ED7" w:rsidRDefault="004B0AC2" w:rsidP="00FB09AE">
            <w:pPr>
              <w:spacing w:after="0"/>
              <w:jc w:val="right"/>
              <w:rPr>
                <w:sz w:val="20"/>
                <w:szCs w:val="20"/>
                <w:lang w:val="sr-Cyrl-CS"/>
              </w:rPr>
            </w:pPr>
            <w:r w:rsidRPr="00092ED7">
              <w:rPr>
                <w:sz w:val="20"/>
                <w:szCs w:val="20"/>
                <w:lang w:val="sr-Cyrl-CS"/>
              </w:rPr>
              <w:t>516,0</w:t>
            </w:r>
          </w:p>
        </w:tc>
        <w:tc>
          <w:tcPr>
            <w:tcW w:w="1074" w:type="dxa"/>
            <w:gridSpan w:val="2"/>
            <w:tcBorders>
              <w:top w:val="nil"/>
              <w:left w:val="nil"/>
              <w:bottom w:val="dotted" w:sz="4" w:space="0" w:color="auto"/>
              <w:right w:val="dotted" w:sz="4" w:space="0" w:color="auto"/>
            </w:tcBorders>
            <w:shd w:val="clear" w:color="auto" w:fill="auto"/>
            <w:vAlign w:val="center"/>
            <w:hideMark/>
          </w:tcPr>
          <w:p w14:paraId="07482917" w14:textId="77777777" w:rsidR="004B0AC2" w:rsidRPr="00092ED7" w:rsidRDefault="004B0AC2" w:rsidP="00FB09AE">
            <w:pPr>
              <w:spacing w:after="0"/>
              <w:jc w:val="right"/>
              <w:rPr>
                <w:sz w:val="20"/>
                <w:szCs w:val="20"/>
                <w:lang w:val="sr-Cyrl-CS"/>
              </w:rPr>
            </w:pPr>
            <w:r w:rsidRPr="00092ED7">
              <w:rPr>
                <w:sz w:val="20"/>
                <w:szCs w:val="20"/>
                <w:lang w:val="sr-Cyrl-CS"/>
              </w:rPr>
              <w:t>545,5</w:t>
            </w:r>
          </w:p>
        </w:tc>
        <w:tc>
          <w:tcPr>
            <w:tcW w:w="1074" w:type="dxa"/>
            <w:tcBorders>
              <w:top w:val="nil"/>
              <w:left w:val="nil"/>
              <w:bottom w:val="dotted" w:sz="4" w:space="0" w:color="auto"/>
              <w:right w:val="dotted" w:sz="4" w:space="0" w:color="auto"/>
            </w:tcBorders>
            <w:shd w:val="clear" w:color="auto" w:fill="auto"/>
            <w:vAlign w:val="center"/>
            <w:hideMark/>
          </w:tcPr>
          <w:p w14:paraId="765D0ECD" w14:textId="77777777" w:rsidR="004B0AC2" w:rsidRPr="00092ED7" w:rsidRDefault="004B0AC2" w:rsidP="00FB09AE">
            <w:pPr>
              <w:spacing w:after="0"/>
              <w:jc w:val="right"/>
              <w:rPr>
                <w:sz w:val="20"/>
                <w:szCs w:val="20"/>
                <w:lang w:val="sr-Cyrl-CS"/>
              </w:rPr>
            </w:pPr>
            <w:r w:rsidRPr="00092ED7">
              <w:rPr>
                <w:sz w:val="20"/>
                <w:szCs w:val="20"/>
                <w:lang w:val="sr-Cyrl-CS"/>
              </w:rPr>
              <w:t>561,4</w:t>
            </w:r>
          </w:p>
        </w:tc>
        <w:tc>
          <w:tcPr>
            <w:tcW w:w="1074" w:type="dxa"/>
            <w:tcBorders>
              <w:top w:val="nil"/>
              <w:left w:val="nil"/>
              <w:bottom w:val="dotted" w:sz="4" w:space="0" w:color="auto"/>
              <w:right w:val="double" w:sz="6" w:space="0" w:color="auto"/>
            </w:tcBorders>
            <w:shd w:val="clear" w:color="auto" w:fill="auto"/>
            <w:vAlign w:val="center"/>
            <w:hideMark/>
          </w:tcPr>
          <w:p w14:paraId="6B0DB832" w14:textId="77777777" w:rsidR="004B0AC2" w:rsidRPr="00092ED7" w:rsidRDefault="004B0AC2" w:rsidP="00FB09AE">
            <w:pPr>
              <w:spacing w:after="0"/>
              <w:jc w:val="right"/>
              <w:rPr>
                <w:sz w:val="20"/>
                <w:szCs w:val="20"/>
                <w:lang w:val="sr-Cyrl-CS"/>
              </w:rPr>
            </w:pPr>
            <w:r w:rsidRPr="00092ED7">
              <w:rPr>
                <w:sz w:val="20"/>
                <w:szCs w:val="20"/>
                <w:lang w:val="sr-Cyrl-CS"/>
              </w:rPr>
              <w:t>581,9</w:t>
            </w:r>
          </w:p>
        </w:tc>
      </w:tr>
      <w:tr w:rsidR="004B0AC2" w:rsidRPr="00092ED7" w14:paraId="07DBA3E9" w14:textId="77777777" w:rsidTr="00FB09AE">
        <w:trPr>
          <w:trHeight w:val="255"/>
        </w:trPr>
        <w:tc>
          <w:tcPr>
            <w:tcW w:w="6640" w:type="dxa"/>
            <w:tcBorders>
              <w:top w:val="nil"/>
              <w:left w:val="double" w:sz="6" w:space="0" w:color="auto"/>
              <w:bottom w:val="dotted" w:sz="4" w:space="0" w:color="auto"/>
              <w:right w:val="nil"/>
            </w:tcBorders>
            <w:shd w:val="clear" w:color="auto" w:fill="auto"/>
            <w:vAlign w:val="center"/>
            <w:hideMark/>
          </w:tcPr>
          <w:p w14:paraId="6ED35473" w14:textId="77777777" w:rsidR="004B0AC2" w:rsidRPr="00092ED7" w:rsidRDefault="00000000" w:rsidP="00FB09AE">
            <w:pPr>
              <w:spacing w:after="0"/>
              <w:jc w:val="left"/>
              <w:rPr>
                <w:rFonts w:eastAsia="Times New Roman" w:cs="Times New Roman"/>
                <w:sz w:val="20"/>
                <w:szCs w:val="20"/>
                <w:lang w:val="sr-Cyrl-CS"/>
              </w:rPr>
            </w:pPr>
            <w:hyperlink r:id="rId54" w:anchor="RANGE!B144" w:history="1">
              <w:r w:rsidR="004B0AC2" w:rsidRPr="00092ED7">
                <w:rPr>
                  <w:rFonts w:eastAsia="Times New Roman" w:cs="Times New Roman"/>
                  <w:sz w:val="20"/>
                  <w:szCs w:val="20"/>
                  <w:lang w:val="sr-Cyrl-CS"/>
                </w:rPr>
                <w:t>22. Друго (22 = 23-(17+18+19+20+21) [6]</w:t>
              </w:r>
            </w:hyperlink>
          </w:p>
        </w:tc>
        <w:tc>
          <w:tcPr>
            <w:tcW w:w="1417" w:type="dxa"/>
            <w:tcBorders>
              <w:top w:val="nil"/>
              <w:left w:val="single" w:sz="8" w:space="0" w:color="auto"/>
              <w:bottom w:val="dotted" w:sz="4" w:space="0" w:color="auto"/>
              <w:right w:val="single" w:sz="8" w:space="0" w:color="auto"/>
            </w:tcBorders>
            <w:shd w:val="clear" w:color="auto" w:fill="auto"/>
            <w:vAlign w:val="center"/>
            <w:hideMark/>
          </w:tcPr>
          <w:p w14:paraId="3C5BB9E9" w14:textId="77777777" w:rsidR="004B0AC2" w:rsidRPr="00092ED7" w:rsidRDefault="004B0AC2" w:rsidP="00FB09AE">
            <w:pPr>
              <w:spacing w:after="0"/>
              <w:jc w:val="center"/>
              <w:rPr>
                <w:sz w:val="20"/>
                <w:szCs w:val="20"/>
                <w:lang w:val="sr-Cyrl-CS"/>
              </w:rPr>
            </w:pPr>
          </w:p>
        </w:tc>
        <w:tc>
          <w:tcPr>
            <w:tcW w:w="1074" w:type="dxa"/>
            <w:tcBorders>
              <w:top w:val="nil"/>
              <w:left w:val="nil"/>
              <w:bottom w:val="dotted" w:sz="4" w:space="0" w:color="auto"/>
              <w:right w:val="dotted" w:sz="4" w:space="0" w:color="auto"/>
            </w:tcBorders>
            <w:shd w:val="clear" w:color="auto" w:fill="auto"/>
            <w:vAlign w:val="center"/>
            <w:hideMark/>
          </w:tcPr>
          <w:p w14:paraId="25F7FC7C" w14:textId="77777777" w:rsidR="004B0AC2" w:rsidRPr="00092ED7" w:rsidRDefault="004B0AC2" w:rsidP="00FB09AE">
            <w:pPr>
              <w:spacing w:after="0"/>
              <w:jc w:val="right"/>
              <w:rPr>
                <w:sz w:val="20"/>
                <w:szCs w:val="20"/>
                <w:lang w:val="sr-Cyrl-CS"/>
              </w:rPr>
            </w:pPr>
            <w:r w:rsidRPr="00092ED7">
              <w:rPr>
                <w:sz w:val="20"/>
                <w:szCs w:val="20"/>
                <w:lang w:val="sr-Cyrl-CS"/>
              </w:rPr>
              <w:t>216,5</w:t>
            </w:r>
          </w:p>
        </w:tc>
        <w:tc>
          <w:tcPr>
            <w:tcW w:w="1074" w:type="dxa"/>
            <w:tcBorders>
              <w:top w:val="nil"/>
              <w:left w:val="nil"/>
              <w:bottom w:val="dotted" w:sz="4" w:space="0" w:color="auto"/>
              <w:right w:val="dotted" w:sz="4" w:space="0" w:color="auto"/>
            </w:tcBorders>
            <w:shd w:val="clear" w:color="auto" w:fill="auto"/>
            <w:vAlign w:val="center"/>
            <w:hideMark/>
          </w:tcPr>
          <w:p w14:paraId="359DD68C" w14:textId="77777777" w:rsidR="004B0AC2" w:rsidRPr="00092ED7" w:rsidRDefault="004B0AC2" w:rsidP="00FB09AE">
            <w:pPr>
              <w:spacing w:after="0"/>
              <w:jc w:val="right"/>
              <w:rPr>
                <w:sz w:val="20"/>
                <w:szCs w:val="20"/>
                <w:lang w:val="sr-Cyrl-CS"/>
              </w:rPr>
            </w:pPr>
            <w:r w:rsidRPr="00092ED7">
              <w:rPr>
                <w:sz w:val="20"/>
                <w:szCs w:val="20"/>
                <w:lang w:val="sr-Cyrl-CS"/>
              </w:rPr>
              <w:t>220,4</w:t>
            </w:r>
          </w:p>
        </w:tc>
        <w:tc>
          <w:tcPr>
            <w:tcW w:w="1074" w:type="dxa"/>
            <w:gridSpan w:val="2"/>
            <w:tcBorders>
              <w:top w:val="nil"/>
              <w:left w:val="nil"/>
              <w:bottom w:val="dotted" w:sz="4" w:space="0" w:color="auto"/>
              <w:right w:val="dotted" w:sz="4" w:space="0" w:color="auto"/>
            </w:tcBorders>
            <w:shd w:val="clear" w:color="auto" w:fill="auto"/>
            <w:vAlign w:val="center"/>
            <w:hideMark/>
          </w:tcPr>
          <w:p w14:paraId="033C86DD" w14:textId="77777777" w:rsidR="004B0AC2" w:rsidRPr="00092ED7" w:rsidRDefault="004B0AC2" w:rsidP="00FB09AE">
            <w:pPr>
              <w:spacing w:after="0"/>
              <w:jc w:val="right"/>
              <w:rPr>
                <w:sz w:val="20"/>
                <w:szCs w:val="20"/>
                <w:lang w:val="sr-Cyrl-CS"/>
              </w:rPr>
            </w:pPr>
            <w:r w:rsidRPr="00092ED7">
              <w:rPr>
                <w:sz w:val="20"/>
                <w:szCs w:val="20"/>
                <w:lang w:val="sr-Cyrl-CS"/>
              </w:rPr>
              <w:t>338,0</w:t>
            </w:r>
          </w:p>
        </w:tc>
        <w:tc>
          <w:tcPr>
            <w:tcW w:w="1074" w:type="dxa"/>
            <w:gridSpan w:val="2"/>
            <w:tcBorders>
              <w:top w:val="nil"/>
              <w:left w:val="nil"/>
              <w:bottom w:val="dotted" w:sz="4" w:space="0" w:color="auto"/>
              <w:right w:val="dotted" w:sz="4" w:space="0" w:color="auto"/>
            </w:tcBorders>
            <w:shd w:val="clear" w:color="auto" w:fill="auto"/>
            <w:vAlign w:val="center"/>
            <w:hideMark/>
          </w:tcPr>
          <w:p w14:paraId="440E8322" w14:textId="77777777" w:rsidR="004B0AC2" w:rsidRPr="00092ED7" w:rsidRDefault="004B0AC2" w:rsidP="00FB09AE">
            <w:pPr>
              <w:spacing w:after="0"/>
              <w:jc w:val="right"/>
              <w:rPr>
                <w:sz w:val="20"/>
                <w:szCs w:val="20"/>
                <w:lang w:val="sr-Cyrl-CS"/>
              </w:rPr>
            </w:pPr>
            <w:r w:rsidRPr="00092ED7">
              <w:rPr>
                <w:sz w:val="20"/>
                <w:szCs w:val="20"/>
                <w:lang w:val="sr-Cyrl-CS"/>
              </w:rPr>
              <w:t>253,7</w:t>
            </w:r>
          </w:p>
        </w:tc>
        <w:tc>
          <w:tcPr>
            <w:tcW w:w="1074" w:type="dxa"/>
            <w:tcBorders>
              <w:top w:val="nil"/>
              <w:left w:val="nil"/>
              <w:bottom w:val="dotted" w:sz="4" w:space="0" w:color="auto"/>
              <w:right w:val="dotted" w:sz="4" w:space="0" w:color="auto"/>
            </w:tcBorders>
            <w:shd w:val="clear" w:color="auto" w:fill="auto"/>
            <w:vAlign w:val="center"/>
            <w:hideMark/>
          </w:tcPr>
          <w:p w14:paraId="7BC987B1" w14:textId="77777777" w:rsidR="004B0AC2" w:rsidRPr="00092ED7" w:rsidRDefault="004B0AC2" w:rsidP="00FB09AE">
            <w:pPr>
              <w:spacing w:after="0"/>
              <w:jc w:val="right"/>
              <w:rPr>
                <w:sz w:val="20"/>
                <w:szCs w:val="20"/>
                <w:lang w:val="sr-Cyrl-CS"/>
              </w:rPr>
            </w:pPr>
            <w:r w:rsidRPr="00092ED7">
              <w:rPr>
                <w:sz w:val="20"/>
                <w:szCs w:val="20"/>
                <w:lang w:val="sr-Cyrl-CS"/>
              </w:rPr>
              <w:t>198,7</w:t>
            </w:r>
          </w:p>
        </w:tc>
        <w:tc>
          <w:tcPr>
            <w:tcW w:w="1074" w:type="dxa"/>
            <w:tcBorders>
              <w:top w:val="nil"/>
              <w:left w:val="nil"/>
              <w:bottom w:val="dotted" w:sz="4" w:space="0" w:color="auto"/>
              <w:right w:val="double" w:sz="6" w:space="0" w:color="auto"/>
            </w:tcBorders>
            <w:shd w:val="clear" w:color="auto" w:fill="auto"/>
            <w:vAlign w:val="center"/>
            <w:hideMark/>
          </w:tcPr>
          <w:p w14:paraId="7D67880F" w14:textId="77777777" w:rsidR="004B0AC2" w:rsidRPr="00092ED7" w:rsidRDefault="004B0AC2" w:rsidP="00FB09AE">
            <w:pPr>
              <w:spacing w:after="0"/>
              <w:jc w:val="right"/>
              <w:rPr>
                <w:sz w:val="20"/>
                <w:szCs w:val="20"/>
                <w:lang w:val="sr-Cyrl-CS"/>
              </w:rPr>
            </w:pPr>
            <w:r w:rsidRPr="00092ED7">
              <w:rPr>
                <w:sz w:val="20"/>
                <w:szCs w:val="20"/>
                <w:lang w:val="sr-Cyrl-CS"/>
              </w:rPr>
              <w:t>146,6</w:t>
            </w:r>
          </w:p>
        </w:tc>
      </w:tr>
      <w:tr w:rsidR="004B0AC2" w:rsidRPr="00092ED7" w14:paraId="702C9226" w14:textId="77777777" w:rsidTr="00FB09AE">
        <w:trPr>
          <w:trHeight w:val="255"/>
        </w:trPr>
        <w:tc>
          <w:tcPr>
            <w:tcW w:w="6640" w:type="dxa"/>
            <w:tcBorders>
              <w:top w:val="nil"/>
              <w:left w:val="double" w:sz="4" w:space="0" w:color="auto"/>
              <w:bottom w:val="dotted" w:sz="4" w:space="0" w:color="auto"/>
              <w:right w:val="single" w:sz="8" w:space="0" w:color="auto"/>
            </w:tcBorders>
            <w:shd w:val="clear" w:color="auto" w:fill="auto"/>
            <w:vAlign w:val="center"/>
            <w:hideMark/>
          </w:tcPr>
          <w:p w14:paraId="102BC9E2" w14:textId="77777777" w:rsidR="004B0AC2" w:rsidRPr="00092ED7" w:rsidRDefault="00000000" w:rsidP="00FB09AE">
            <w:pPr>
              <w:spacing w:after="0"/>
              <w:jc w:val="left"/>
              <w:rPr>
                <w:rFonts w:eastAsia="Times New Roman" w:cs="Times New Roman"/>
                <w:sz w:val="20"/>
                <w:szCs w:val="20"/>
                <w:lang w:val="sr-Cyrl-CS"/>
              </w:rPr>
            </w:pPr>
            <w:hyperlink r:id="rId55" w:anchor="RANGE!B145" w:history="1">
              <w:r w:rsidR="004B0AC2" w:rsidRPr="00092ED7">
                <w:rPr>
                  <w:rFonts w:eastAsia="Times New Roman" w:cs="Times New Roman"/>
                  <w:sz w:val="20"/>
                  <w:szCs w:val="20"/>
                  <w:lang w:val="sr-Cyrl-CS"/>
                </w:rPr>
                <w:t xml:space="preserve">23. Укупни расходи [7] </w:t>
              </w:r>
            </w:hyperlink>
          </w:p>
        </w:tc>
        <w:tc>
          <w:tcPr>
            <w:tcW w:w="1417" w:type="dxa"/>
            <w:tcBorders>
              <w:top w:val="nil"/>
              <w:left w:val="nil"/>
              <w:bottom w:val="dotted" w:sz="4" w:space="0" w:color="auto"/>
              <w:right w:val="single" w:sz="8" w:space="0" w:color="auto"/>
            </w:tcBorders>
            <w:shd w:val="clear" w:color="auto" w:fill="auto"/>
            <w:vAlign w:val="center"/>
            <w:hideMark/>
          </w:tcPr>
          <w:p w14:paraId="7AECAB54" w14:textId="77777777" w:rsidR="004B0AC2" w:rsidRPr="00092ED7" w:rsidRDefault="004B0AC2" w:rsidP="00FB09AE">
            <w:pPr>
              <w:spacing w:after="0"/>
              <w:jc w:val="center"/>
              <w:rPr>
                <w:sz w:val="20"/>
                <w:szCs w:val="20"/>
                <w:lang w:val="sr-Cyrl-CS"/>
              </w:rPr>
            </w:pPr>
            <w:r w:rsidRPr="00092ED7">
              <w:rPr>
                <w:sz w:val="20"/>
                <w:szCs w:val="20"/>
                <w:lang w:val="sr-Cyrl-CS"/>
              </w:rPr>
              <w:t>TE</w:t>
            </w:r>
          </w:p>
        </w:tc>
        <w:tc>
          <w:tcPr>
            <w:tcW w:w="1074" w:type="dxa"/>
            <w:tcBorders>
              <w:top w:val="nil"/>
              <w:left w:val="nil"/>
              <w:bottom w:val="dotted" w:sz="4" w:space="0" w:color="auto"/>
              <w:right w:val="dotted" w:sz="4" w:space="0" w:color="auto"/>
            </w:tcBorders>
            <w:shd w:val="clear" w:color="auto" w:fill="auto"/>
            <w:vAlign w:val="center"/>
            <w:hideMark/>
          </w:tcPr>
          <w:p w14:paraId="6475B99D" w14:textId="77777777" w:rsidR="004B0AC2" w:rsidRPr="00092ED7" w:rsidRDefault="004B0AC2" w:rsidP="00FB09AE">
            <w:pPr>
              <w:spacing w:after="0"/>
              <w:jc w:val="right"/>
              <w:rPr>
                <w:sz w:val="20"/>
                <w:szCs w:val="20"/>
                <w:lang w:val="sr-Cyrl-CS"/>
              </w:rPr>
            </w:pPr>
            <w:r w:rsidRPr="00092ED7">
              <w:rPr>
                <w:sz w:val="20"/>
                <w:szCs w:val="20"/>
                <w:lang w:val="sr-Cyrl-CS"/>
              </w:rPr>
              <w:t>2.697,7</w:t>
            </w:r>
          </w:p>
        </w:tc>
        <w:tc>
          <w:tcPr>
            <w:tcW w:w="1074" w:type="dxa"/>
            <w:tcBorders>
              <w:top w:val="nil"/>
              <w:left w:val="nil"/>
              <w:bottom w:val="dotted" w:sz="4" w:space="0" w:color="auto"/>
              <w:right w:val="dotted" w:sz="4" w:space="0" w:color="auto"/>
            </w:tcBorders>
            <w:shd w:val="clear" w:color="auto" w:fill="auto"/>
            <w:vAlign w:val="center"/>
            <w:hideMark/>
          </w:tcPr>
          <w:p w14:paraId="135E9EDE" w14:textId="77777777" w:rsidR="004B0AC2" w:rsidRPr="00092ED7" w:rsidRDefault="004B0AC2" w:rsidP="00FB09AE">
            <w:pPr>
              <w:spacing w:after="0"/>
              <w:jc w:val="right"/>
              <w:rPr>
                <w:sz w:val="20"/>
                <w:szCs w:val="20"/>
                <w:lang w:val="sr-Cyrl-CS"/>
              </w:rPr>
            </w:pPr>
            <w:r w:rsidRPr="00092ED7">
              <w:rPr>
                <w:sz w:val="20"/>
                <w:szCs w:val="20"/>
                <w:lang w:val="sr-Cyrl-CS"/>
              </w:rPr>
              <w:t>2.971,3</w:t>
            </w:r>
          </w:p>
        </w:tc>
        <w:tc>
          <w:tcPr>
            <w:tcW w:w="1074" w:type="dxa"/>
            <w:gridSpan w:val="2"/>
            <w:tcBorders>
              <w:top w:val="nil"/>
              <w:left w:val="nil"/>
              <w:bottom w:val="dotted" w:sz="4" w:space="0" w:color="auto"/>
              <w:right w:val="dotted" w:sz="4" w:space="0" w:color="auto"/>
            </w:tcBorders>
            <w:shd w:val="clear" w:color="auto" w:fill="auto"/>
            <w:vAlign w:val="center"/>
            <w:hideMark/>
          </w:tcPr>
          <w:p w14:paraId="30017487" w14:textId="77777777" w:rsidR="004B0AC2" w:rsidRPr="00092ED7" w:rsidRDefault="004B0AC2" w:rsidP="00FB09AE">
            <w:pPr>
              <w:spacing w:after="0"/>
              <w:jc w:val="right"/>
              <w:rPr>
                <w:sz w:val="20"/>
                <w:szCs w:val="20"/>
                <w:lang w:val="sr-Cyrl-CS"/>
              </w:rPr>
            </w:pPr>
            <w:r w:rsidRPr="00092ED7">
              <w:rPr>
                <w:sz w:val="20"/>
                <w:szCs w:val="20"/>
                <w:lang w:val="sr-Cyrl-CS"/>
              </w:rPr>
              <w:t>3.317,3</w:t>
            </w:r>
          </w:p>
        </w:tc>
        <w:tc>
          <w:tcPr>
            <w:tcW w:w="1074" w:type="dxa"/>
            <w:gridSpan w:val="2"/>
            <w:tcBorders>
              <w:top w:val="nil"/>
              <w:left w:val="nil"/>
              <w:bottom w:val="dotted" w:sz="4" w:space="0" w:color="auto"/>
              <w:right w:val="dotted" w:sz="4" w:space="0" w:color="auto"/>
            </w:tcBorders>
            <w:shd w:val="clear" w:color="auto" w:fill="auto"/>
            <w:vAlign w:val="center"/>
            <w:hideMark/>
          </w:tcPr>
          <w:p w14:paraId="42E03CA1" w14:textId="77777777" w:rsidR="004B0AC2" w:rsidRPr="00092ED7" w:rsidRDefault="004B0AC2" w:rsidP="00FB09AE">
            <w:pPr>
              <w:spacing w:after="0"/>
              <w:jc w:val="right"/>
              <w:rPr>
                <w:sz w:val="20"/>
                <w:szCs w:val="20"/>
                <w:lang w:val="sr-Cyrl-CS"/>
              </w:rPr>
            </w:pPr>
            <w:r w:rsidRPr="00092ED7">
              <w:rPr>
                <w:sz w:val="20"/>
                <w:szCs w:val="20"/>
                <w:lang w:val="sr-Cyrl-CS"/>
              </w:rPr>
              <w:t>3.547,5</w:t>
            </w:r>
          </w:p>
        </w:tc>
        <w:tc>
          <w:tcPr>
            <w:tcW w:w="1074" w:type="dxa"/>
            <w:tcBorders>
              <w:top w:val="nil"/>
              <w:left w:val="nil"/>
              <w:bottom w:val="dotted" w:sz="4" w:space="0" w:color="auto"/>
              <w:right w:val="dotted" w:sz="4" w:space="0" w:color="auto"/>
            </w:tcBorders>
            <w:shd w:val="clear" w:color="auto" w:fill="auto"/>
            <w:vAlign w:val="center"/>
            <w:hideMark/>
          </w:tcPr>
          <w:p w14:paraId="2F82C14F" w14:textId="77777777" w:rsidR="004B0AC2" w:rsidRPr="00092ED7" w:rsidRDefault="004B0AC2" w:rsidP="00FB09AE">
            <w:pPr>
              <w:spacing w:after="0"/>
              <w:jc w:val="right"/>
              <w:rPr>
                <w:sz w:val="20"/>
                <w:szCs w:val="20"/>
                <w:lang w:val="sr-Cyrl-CS"/>
              </w:rPr>
            </w:pPr>
            <w:r w:rsidRPr="00092ED7">
              <w:rPr>
                <w:sz w:val="20"/>
                <w:szCs w:val="20"/>
                <w:lang w:val="sr-Cyrl-CS"/>
              </w:rPr>
              <w:t>3.733,1</w:t>
            </w:r>
          </w:p>
        </w:tc>
        <w:tc>
          <w:tcPr>
            <w:tcW w:w="1074" w:type="dxa"/>
            <w:tcBorders>
              <w:top w:val="nil"/>
              <w:left w:val="nil"/>
              <w:bottom w:val="dotted" w:sz="4" w:space="0" w:color="auto"/>
              <w:right w:val="double" w:sz="6" w:space="0" w:color="auto"/>
            </w:tcBorders>
            <w:shd w:val="clear" w:color="auto" w:fill="auto"/>
            <w:vAlign w:val="center"/>
            <w:hideMark/>
          </w:tcPr>
          <w:p w14:paraId="463EBEDA" w14:textId="77777777" w:rsidR="004B0AC2" w:rsidRPr="00092ED7" w:rsidRDefault="004B0AC2" w:rsidP="00FB09AE">
            <w:pPr>
              <w:spacing w:after="0"/>
              <w:jc w:val="right"/>
              <w:rPr>
                <w:sz w:val="20"/>
                <w:szCs w:val="20"/>
                <w:lang w:val="sr-Cyrl-CS"/>
              </w:rPr>
            </w:pPr>
            <w:r w:rsidRPr="00092ED7">
              <w:rPr>
                <w:sz w:val="20"/>
                <w:szCs w:val="20"/>
                <w:lang w:val="sr-Cyrl-CS"/>
              </w:rPr>
              <w:t>3.901,8</w:t>
            </w:r>
          </w:p>
        </w:tc>
      </w:tr>
      <w:tr w:rsidR="004B0AC2" w:rsidRPr="00092ED7" w14:paraId="3C46BE42" w14:textId="77777777" w:rsidTr="00FB09AE">
        <w:trPr>
          <w:trHeight w:val="270"/>
        </w:trPr>
        <w:tc>
          <w:tcPr>
            <w:tcW w:w="6640" w:type="dxa"/>
            <w:tcBorders>
              <w:top w:val="nil"/>
              <w:left w:val="double" w:sz="4" w:space="0" w:color="auto"/>
              <w:bottom w:val="double" w:sz="6" w:space="0" w:color="auto"/>
              <w:right w:val="nil"/>
            </w:tcBorders>
            <w:shd w:val="clear" w:color="auto" w:fill="auto"/>
            <w:vAlign w:val="center"/>
            <w:hideMark/>
          </w:tcPr>
          <w:p w14:paraId="78EFBDA7" w14:textId="77777777" w:rsidR="004B0AC2" w:rsidRPr="00092ED7" w:rsidRDefault="004B0AC2" w:rsidP="00FB09AE">
            <w:pPr>
              <w:spacing w:after="0"/>
              <w:jc w:val="left"/>
              <w:rPr>
                <w:rFonts w:eastAsia="Times New Roman" w:cs="Times New Roman"/>
                <w:sz w:val="20"/>
                <w:szCs w:val="20"/>
                <w:lang w:val="sr-Cyrl-CS"/>
              </w:rPr>
            </w:pPr>
            <w:r w:rsidRPr="00092ED7">
              <w:rPr>
                <w:rFonts w:eastAsia="Times New Roman" w:cs="Times New Roman"/>
                <w:sz w:val="20"/>
                <w:szCs w:val="20"/>
                <w:lang w:val="sr-Cyrl-CS"/>
              </w:rPr>
              <w:t>информативно: Зараде и накнаде запосленима у јавном сектору</w:t>
            </w:r>
          </w:p>
        </w:tc>
        <w:tc>
          <w:tcPr>
            <w:tcW w:w="1417" w:type="dxa"/>
            <w:tcBorders>
              <w:top w:val="nil"/>
              <w:left w:val="single" w:sz="8" w:space="0" w:color="auto"/>
              <w:bottom w:val="double" w:sz="6" w:space="0" w:color="auto"/>
              <w:right w:val="single" w:sz="8" w:space="0" w:color="auto"/>
            </w:tcBorders>
            <w:shd w:val="clear" w:color="auto" w:fill="auto"/>
            <w:vAlign w:val="center"/>
            <w:hideMark/>
          </w:tcPr>
          <w:p w14:paraId="204BA7A1" w14:textId="77777777" w:rsidR="004B0AC2" w:rsidRPr="00092ED7" w:rsidRDefault="004B0AC2" w:rsidP="00FB09AE">
            <w:pPr>
              <w:spacing w:after="0"/>
              <w:jc w:val="center"/>
              <w:rPr>
                <w:sz w:val="20"/>
                <w:szCs w:val="20"/>
                <w:lang w:val="sr-Cyrl-CS"/>
              </w:rPr>
            </w:pPr>
            <w:r w:rsidRPr="00092ED7">
              <w:rPr>
                <w:sz w:val="20"/>
                <w:szCs w:val="20"/>
                <w:lang w:val="sr-Cyrl-CS"/>
              </w:rPr>
              <w:t>D1</w:t>
            </w:r>
          </w:p>
        </w:tc>
        <w:tc>
          <w:tcPr>
            <w:tcW w:w="1074" w:type="dxa"/>
            <w:tcBorders>
              <w:top w:val="nil"/>
              <w:left w:val="nil"/>
              <w:bottom w:val="double" w:sz="6" w:space="0" w:color="auto"/>
              <w:right w:val="dotted" w:sz="4" w:space="0" w:color="auto"/>
            </w:tcBorders>
            <w:shd w:val="clear" w:color="auto" w:fill="auto"/>
            <w:vAlign w:val="center"/>
            <w:hideMark/>
          </w:tcPr>
          <w:p w14:paraId="116A9DFD" w14:textId="77777777" w:rsidR="004B0AC2" w:rsidRPr="00092ED7" w:rsidRDefault="004B0AC2" w:rsidP="00FB09AE">
            <w:pPr>
              <w:spacing w:after="0"/>
              <w:jc w:val="right"/>
              <w:rPr>
                <w:sz w:val="20"/>
                <w:szCs w:val="20"/>
                <w:lang w:val="sr-Cyrl-CS"/>
              </w:rPr>
            </w:pPr>
            <w:r w:rsidRPr="00092ED7">
              <w:rPr>
                <w:sz w:val="20"/>
                <w:szCs w:val="20"/>
                <w:lang w:val="sr-Cyrl-CS"/>
              </w:rPr>
              <w:t>578,9</w:t>
            </w:r>
          </w:p>
        </w:tc>
        <w:tc>
          <w:tcPr>
            <w:tcW w:w="1074" w:type="dxa"/>
            <w:tcBorders>
              <w:top w:val="nil"/>
              <w:left w:val="nil"/>
              <w:bottom w:val="double" w:sz="6" w:space="0" w:color="auto"/>
              <w:right w:val="dotted" w:sz="4" w:space="0" w:color="auto"/>
            </w:tcBorders>
            <w:shd w:val="clear" w:color="auto" w:fill="auto"/>
            <w:vAlign w:val="center"/>
            <w:hideMark/>
          </w:tcPr>
          <w:p w14:paraId="423BA5DD" w14:textId="77777777" w:rsidR="004B0AC2" w:rsidRPr="00092ED7" w:rsidRDefault="004B0AC2" w:rsidP="00FB09AE">
            <w:pPr>
              <w:spacing w:after="0"/>
              <w:jc w:val="right"/>
              <w:rPr>
                <w:sz w:val="20"/>
                <w:szCs w:val="20"/>
                <w:lang w:val="sr-Cyrl-CS"/>
              </w:rPr>
            </w:pPr>
            <w:r w:rsidRPr="00092ED7">
              <w:rPr>
                <w:sz w:val="20"/>
                <w:szCs w:val="20"/>
                <w:lang w:val="sr-Cyrl-CS"/>
              </w:rPr>
              <w:t>629,0</w:t>
            </w:r>
          </w:p>
        </w:tc>
        <w:tc>
          <w:tcPr>
            <w:tcW w:w="1074" w:type="dxa"/>
            <w:gridSpan w:val="2"/>
            <w:tcBorders>
              <w:top w:val="nil"/>
              <w:left w:val="nil"/>
              <w:bottom w:val="double" w:sz="6" w:space="0" w:color="auto"/>
              <w:right w:val="dotted" w:sz="4" w:space="0" w:color="auto"/>
            </w:tcBorders>
            <w:shd w:val="clear" w:color="auto" w:fill="auto"/>
            <w:vAlign w:val="center"/>
            <w:hideMark/>
          </w:tcPr>
          <w:p w14:paraId="0556D68C" w14:textId="77777777" w:rsidR="004B0AC2" w:rsidRPr="00092ED7" w:rsidRDefault="004B0AC2" w:rsidP="00FB09AE">
            <w:pPr>
              <w:spacing w:after="0"/>
              <w:jc w:val="right"/>
              <w:rPr>
                <w:sz w:val="20"/>
                <w:szCs w:val="20"/>
                <w:lang w:val="sr-Cyrl-CS"/>
              </w:rPr>
            </w:pPr>
            <w:r w:rsidRPr="00092ED7">
              <w:rPr>
                <w:sz w:val="20"/>
                <w:szCs w:val="20"/>
                <w:lang w:val="sr-Cyrl-CS"/>
              </w:rPr>
              <w:t>688,7</w:t>
            </w:r>
          </w:p>
        </w:tc>
        <w:tc>
          <w:tcPr>
            <w:tcW w:w="1074" w:type="dxa"/>
            <w:gridSpan w:val="2"/>
            <w:tcBorders>
              <w:top w:val="nil"/>
              <w:left w:val="nil"/>
              <w:bottom w:val="double" w:sz="6" w:space="0" w:color="auto"/>
              <w:right w:val="dotted" w:sz="4" w:space="0" w:color="auto"/>
            </w:tcBorders>
            <w:shd w:val="clear" w:color="auto" w:fill="auto"/>
            <w:vAlign w:val="center"/>
            <w:hideMark/>
          </w:tcPr>
          <w:p w14:paraId="6F71625E" w14:textId="77777777" w:rsidR="004B0AC2" w:rsidRPr="00092ED7" w:rsidRDefault="004B0AC2" w:rsidP="00FB09AE">
            <w:pPr>
              <w:spacing w:after="0"/>
              <w:jc w:val="right"/>
              <w:rPr>
                <w:sz w:val="20"/>
                <w:szCs w:val="20"/>
                <w:lang w:val="sr-Cyrl-CS"/>
              </w:rPr>
            </w:pPr>
            <w:r w:rsidRPr="00092ED7">
              <w:rPr>
                <w:sz w:val="20"/>
                <w:szCs w:val="20"/>
                <w:lang w:val="sr-Cyrl-CS"/>
              </w:rPr>
              <w:t>766,5</w:t>
            </w:r>
          </w:p>
        </w:tc>
        <w:tc>
          <w:tcPr>
            <w:tcW w:w="1074" w:type="dxa"/>
            <w:tcBorders>
              <w:top w:val="nil"/>
              <w:left w:val="nil"/>
              <w:bottom w:val="double" w:sz="6" w:space="0" w:color="auto"/>
              <w:right w:val="dotted" w:sz="4" w:space="0" w:color="auto"/>
            </w:tcBorders>
            <w:shd w:val="clear" w:color="auto" w:fill="auto"/>
            <w:vAlign w:val="center"/>
            <w:hideMark/>
          </w:tcPr>
          <w:p w14:paraId="6BD7A21D" w14:textId="77777777" w:rsidR="004B0AC2" w:rsidRPr="00092ED7" w:rsidRDefault="004B0AC2" w:rsidP="00FB09AE">
            <w:pPr>
              <w:spacing w:after="0"/>
              <w:jc w:val="right"/>
              <w:rPr>
                <w:sz w:val="20"/>
                <w:szCs w:val="20"/>
                <w:lang w:val="sr-Cyrl-CS"/>
              </w:rPr>
            </w:pPr>
            <w:r w:rsidRPr="00092ED7">
              <w:rPr>
                <w:sz w:val="20"/>
                <w:szCs w:val="20"/>
                <w:lang w:val="sr-Cyrl-CS"/>
              </w:rPr>
              <w:t>839,5</w:t>
            </w:r>
          </w:p>
        </w:tc>
        <w:tc>
          <w:tcPr>
            <w:tcW w:w="1074" w:type="dxa"/>
            <w:tcBorders>
              <w:top w:val="nil"/>
              <w:left w:val="nil"/>
              <w:bottom w:val="double" w:sz="6" w:space="0" w:color="auto"/>
              <w:right w:val="double" w:sz="6" w:space="0" w:color="auto"/>
            </w:tcBorders>
            <w:shd w:val="clear" w:color="auto" w:fill="auto"/>
            <w:vAlign w:val="center"/>
            <w:hideMark/>
          </w:tcPr>
          <w:p w14:paraId="4A731704" w14:textId="77777777" w:rsidR="004B0AC2" w:rsidRPr="00092ED7" w:rsidRDefault="004B0AC2" w:rsidP="00FB09AE">
            <w:pPr>
              <w:spacing w:after="0"/>
              <w:jc w:val="right"/>
              <w:rPr>
                <w:sz w:val="20"/>
                <w:szCs w:val="20"/>
                <w:lang w:val="sr-Cyrl-CS"/>
              </w:rPr>
            </w:pPr>
            <w:r w:rsidRPr="00092ED7">
              <w:rPr>
                <w:sz w:val="20"/>
                <w:szCs w:val="20"/>
                <w:lang w:val="sr-Cyrl-CS"/>
              </w:rPr>
              <w:t>912,6</w:t>
            </w:r>
          </w:p>
        </w:tc>
      </w:tr>
      <w:tr w:rsidR="004B0AC2" w:rsidRPr="00092ED7" w14:paraId="1D949F99" w14:textId="77777777" w:rsidTr="00FB09AE">
        <w:trPr>
          <w:trHeight w:val="227"/>
        </w:trPr>
        <w:tc>
          <w:tcPr>
            <w:tcW w:w="6640" w:type="dxa"/>
            <w:tcBorders>
              <w:top w:val="nil"/>
              <w:left w:val="nil"/>
              <w:bottom w:val="nil"/>
              <w:right w:val="nil"/>
            </w:tcBorders>
            <w:shd w:val="clear" w:color="000000" w:fill="FFFFFF"/>
            <w:noWrap/>
            <w:vAlign w:val="center"/>
            <w:hideMark/>
          </w:tcPr>
          <w:p w14:paraId="00FDC099" w14:textId="77777777" w:rsidR="004B0AC2" w:rsidRPr="00092ED7" w:rsidRDefault="004B0AC2" w:rsidP="00FB09AE">
            <w:pPr>
              <w:spacing w:after="0"/>
              <w:jc w:val="left"/>
              <w:rPr>
                <w:sz w:val="16"/>
                <w:szCs w:val="16"/>
                <w:lang w:val="sr-Cyrl-CS"/>
              </w:rPr>
            </w:pPr>
            <w:r w:rsidRPr="00092ED7">
              <w:rPr>
                <w:sz w:val="16"/>
                <w:szCs w:val="16"/>
                <w:lang w:val="sr-Cyrl-CS"/>
              </w:rPr>
              <w:t>[1]  Коригован за следећи ток по основу свопова, тако да је TR-TE = EDP.B9.</w:t>
            </w:r>
          </w:p>
        </w:tc>
        <w:tc>
          <w:tcPr>
            <w:tcW w:w="1417" w:type="dxa"/>
            <w:tcBorders>
              <w:top w:val="nil"/>
              <w:left w:val="nil"/>
              <w:bottom w:val="nil"/>
              <w:right w:val="nil"/>
            </w:tcBorders>
            <w:shd w:val="clear" w:color="000000" w:fill="FFFFFF"/>
            <w:noWrap/>
            <w:vAlign w:val="center"/>
            <w:hideMark/>
          </w:tcPr>
          <w:p w14:paraId="21D26029" w14:textId="77777777" w:rsidR="004B0AC2" w:rsidRPr="00092ED7" w:rsidRDefault="004B0AC2" w:rsidP="00FB09AE">
            <w:pPr>
              <w:spacing w:after="0"/>
              <w:jc w:val="left"/>
              <w:rPr>
                <w:rFonts w:eastAsia="Times New Roman" w:cs="Times New Roman"/>
                <w:sz w:val="16"/>
                <w:szCs w:val="16"/>
                <w:lang w:val="sr-Cyrl-CS"/>
              </w:rPr>
            </w:pPr>
          </w:p>
        </w:tc>
        <w:tc>
          <w:tcPr>
            <w:tcW w:w="1074" w:type="dxa"/>
            <w:tcBorders>
              <w:top w:val="nil"/>
              <w:left w:val="nil"/>
              <w:bottom w:val="nil"/>
              <w:right w:val="nil"/>
            </w:tcBorders>
            <w:shd w:val="clear" w:color="000000" w:fill="FFFFFF"/>
            <w:noWrap/>
            <w:vAlign w:val="center"/>
          </w:tcPr>
          <w:p w14:paraId="1EBFCFAD" w14:textId="77777777" w:rsidR="004B0AC2" w:rsidRPr="00092ED7" w:rsidRDefault="004B0AC2" w:rsidP="00FB09AE">
            <w:pPr>
              <w:spacing w:after="0"/>
              <w:jc w:val="left"/>
              <w:rPr>
                <w:rFonts w:eastAsia="Times New Roman" w:cs="Times New Roman"/>
                <w:sz w:val="16"/>
                <w:szCs w:val="16"/>
                <w:lang w:val="sr-Cyrl-CS"/>
              </w:rPr>
            </w:pPr>
          </w:p>
        </w:tc>
        <w:tc>
          <w:tcPr>
            <w:tcW w:w="1074" w:type="dxa"/>
            <w:tcBorders>
              <w:top w:val="nil"/>
              <w:left w:val="nil"/>
              <w:bottom w:val="nil"/>
              <w:right w:val="nil"/>
            </w:tcBorders>
            <w:shd w:val="clear" w:color="000000" w:fill="FFFFFF"/>
            <w:noWrap/>
            <w:vAlign w:val="center"/>
          </w:tcPr>
          <w:p w14:paraId="3F8EE977" w14:textId="77777777" w:rsidR="004B0AC2" w:rsidRPr="00092ED7" w:rsidRDefault="004B0AC2" w:rsidP="00FB09AE">
            <w:pPr>
              <w:spacing w:after="0"/>
              <w:jc w:val="left"/>
              <w:rPr>
                <w:rFonts w:eastAsia="Times New Roman" w:cs="Times New Roman"/>
                <w:sz w:val="16"/>
                <w:szCs w:val="16"/>
                <w:lang w:val="sr-Cyrl-CS"/>
              </w:rPr>
            </w:pPr>
          </w:p>
        </w:tc>
        <w:tc>
          <w:tcPr>
            <w:tcW w:w="1074" w:type="dxa"/>
            <w:gridSpan w:val="2"/>
            <w:tcBorders>
              <w:top w:val="nil"/>
              <w:left w:val="nil"/>
              <w:bottom w:val="nil"/>
              <w:right w:val="nil"/>
            </w:tcBorders>
            <w:shd w:val="clear" w:color="000000" w:fill="FFFFFF"/>
            <w:noWrap/>
            <w:vAlign w:val="center"/>
          </w:tcPr>
          <w:p w14:paraId="689F529B" w14:textId="77777777" w:rsidR="004B0AC2" w:rsidRPr="00092ED7" w:rsidRDefault="004B0AC2" w:rsidP="00FB09AE">
            <w:pPr>
              <w:spacing w:after="0"/>
              <w:jc w:val="left"/>
              <w:rPr>
                <w:rFonts w:eastAsia="Times New Roman" w:cs="Times New Roman"/>
                <w:sz w:val="16"/>
                <w:szCs w:val="16"/>
                <w:lang w:val="sr-Cyrl-CS"/>
              </w:rPr>
            </w:pPr>
          </w:p>
        </w:tc>
        <w:tc>
          <w:tcPr>
            <w:tcW w:w="1074" w:type="dxa"/>
            <w:gridSpan w:val="2"/>
            <w:tcBorders>
              <w:top w:val="nil"/>
              <w:left w:val="nil"/>
              <w:bottom w:val="nil"/>
              <w:right w:val="nil"/>
            </w:tcBorders>
            <w:shd w:val="clear" w:color="000000" w:fill="FFFFFF"/>
            <w:noWrap/>
            <w:vAlign w:val="center"/>
          </w:tcPr>
          <w:p w14:paraId="4330FAB2" w14:textId="77777777" w:rsidR="004B0AC2" w:rsidRPr="00092ED7" w:rsidRDefault="004B0AC2" w:rsidP="00FB09AE">
            <w:pPr>
              <w:spacing w:after="0"/>
              <w:jc w:val="left"/>
              <w:rPr>
                <w:rFonts w:eastAsia="Times New Roman" w:cs="Times New Roman"/>
                <w:sz w:val="16"/>
                <w:szCs w:val="16"/>
                <w:lang w:val="sr-Cyrl-CS"/>
              </w:rPr>
            </w:pPr>
          </w:p>
        </w:tc>
        <w:tc>
          <w:tcPr>
            <w:tcW w:w="1074" w:type="dxa"/>
            <w:tcBorders>
              <w:top w:val="nil"/>
              <w:left w:val="nil"/>
              <w:bottom w:val="nil"/>
              <w:right w:val="nil"/>
            </w:tcBorders>
            <w:shd w:val="clear" w:color="000000" w:fill="FFFFFF"/>
            <w:noWrap/>
            <w:vAlign w:val="center"/>
          </w:tcPr>
          <w:p w14:paraId="490E5834" w14:textId="77777777" w:rsidR="004B0AC2" w:rsidRPr="00092ED7" w:rsidRDefault="004B0AC2" w:rsidP="00FB09AE">
            <w:pPr>
              <w:spacing w:after="0"/>
              <w:jc w:val="left"/>
              <w:rPr>
                <w:rFonts w:eastAsia="Times New Roman" w:cs="Times New Roman"/>
                <w:sz w:val="16"/>
                <w:szCs w:val="16"/>
                <w:lang w:val="sr-Cyrl-CS"/>
              </w:rPr>
            </w:pPr>
          </w:p>
        </w:tc>
        <w:tc>
          <w:tcPr>
            <w:tcW w:w="1074" w:type="dxa"/>
            <w:tcBorders>
              <w:top w:val="nil"/>
              <w:left w:val="nil"/>
              <w:bottom w:val="nil"/>
              <w:right w:val="nil"/>
            </w:tcBorders>
            <w:shd w:val="clear" w:color="000000" w:fill="FFFFFF"/>
            <w:noWrap/>
            <w:vAlign w:val="center"/>
          </w:tcPr>
          <w:p w14:paraId="465A9F0D" w14:textId="77777777" w:rsidR="004B0AC2" w:rsidRPr="00092ED7" w:rsidRDefault="004B0AC2" w:rsidP="00FB09AE">
            <w:pPr>
              <w:spacing w:after="0"/>
              <w:jc w:val="left"/>
              <w:rPr>
                <w:rFonts w:eastAsia="Times New Roman" w:cs="Times New Roman"/>
                <w:sz w:val="16"/>
                <w:szCs w:val="16"/>
                <w:lang w:val="sr-Cyrl-CS"/>
              </w:rPr>
            </w:pPr>
          </w:p>
        </w:tc>
      </w:tr>
      <w:tr w:rsidR="004B0AC2" w:rsidRPr="00092ED7" w14:paraId="4FB794CE" w14:textId="77777777" w:rsidTr="00FB09AE">
        <w:trPr>
          <w:trHeight w:val="227"/>
        </w:trPr>
        <w:tc>
          <w:tcPr>
            <w:tcW w:w="11600" w:type="dxa"/>
            <w:gridSpan w:val="7"/>
            <w:tcBorders>
              <w:top w:val="nil"/>
              <w:left w:val="nil"/>
              <w:bottom w:val="nil"/>
              <w:right w:val="nil"/>
            </w:tcBorders>
            <w:shd w:val="clear" w:color="000000" w:fill="FFFFFF"/>
            <w:noWrap/>
            <w:vAlign w:val="center"/>
            <w:hideMark/>
          </w:tcPr>
          <w:p w14:paraId="69BB7D4E" w14:textId="77777777" w:rsidR="004B0AC2" w:rsidRPr="00092ED7" w:rsidRDefault="004B0AC2" w:rsidP="00FB09AE">
            <w:pPr>
              <w:spacing w:after="0"/>
              <w:jc w:val="left"/>
              <w:rPr>
                <w:sz w:val="16"/>
                <w:szCs w:val="16"/>
                <w:lang w:val="sr-Cyrl-CS"/>
              </w:rPr>
            </w:pPr>
            <w:r w:rsidRPr="00092ED7">
              <w:rPr>
                <w:sz w:val="16"/>
                <w:szCs w:val="16"/>
                <w:lang w:val="sr-Cyrl-CS"/>
              </w:rPr>
              <w:t>[2] Примарни резултат се израчунава као (EDP.B9, ставка 8) плус (EDP D41 + FISIM приказан као међуфазна потрошња, ставка 9).</w:t>
            </w:r>
          </w:p>
        </w:tc>
        <w:tc>
          <w:tcPr>
            <w:tcW w:w="2901" w:type="dxa"/>
            <w:gridSpan w:val="3"/>
            <w:tcBorders>
              <w:top w:val="nil"/>
              <w:left w:val="nil"/>
              <w:bottom w:val="nil"/>
              <w:right w:val="nil"/>
            </w:tcBorders>
            <w:shd w:val="clear" w:color="000000" w:fill="FFFFFF"/>
            <w:noWrap/>
            <w:vAlign w:val="center"/>
          </w:tcPr>
          <w:p w14:paraId="58C31989" w14:textId="77777777" w:rsidR="004B0AC2" w:rsidRPr="00092ED7" w:rsidRDefault="004B0AC2" w:rsidP="00FB09AE">
            <w:pPr>
              <w:spacing w:after="0"/>
              <w:jc w:val="left"/>
              <w:rPr>
                <w:rFonts w:eastAsia="Times New Roman" w:cs="Times New Roman"/>
                <w:sz w:val="16"/>
                <w:szCs w:val="16"/>
                <w:lang w:val="sr-Cyrl-CS"/>
              </w:rPr>
            </w:pPr>
          </w:p>
        </w:tc>
      </w:tr>
      <w:tr w:rsidR="004B0AC2" w:rsidRPr="00092ED7" w14:paraId="3F59E017" w14:textId="77777777" w:rsidTr="00FB09AE">
        <w:trPr>
          <w:trHeight w:val="227"/>
        </w:trPr>
        <w:tc>
          <w:tcPr>
            <w:tcW w:w="6640" w:type="dxa"/>
            <w:tcBorders>
              <w:top w:val="nil"/>
              <w:left w:val="nil"/>
              <w:bottom w:val="nil"/>
              <w:right w:val="nil"/>
            </w:tcBorders>
            <w:shd w:val="clear" w:color="000000" w:fill="FFFFFF"/>
            <w:noWrap/>
            <w:vAlign w:val="center"/>
            <w:hideMark/>
          </w:tcPr>
          <w:p w14:paraId="50D47C3A" w14:textId="77777777" w:rsidR="004B0AC2" w:rsidRPr="00092ED7" w:rsidRDefault="004B0AC2" w:rsidP="00FB09AE">
            <w:pPr>
              <w:spacing w:after="0"/>
              <w:jc w:val="left"/>
              <w:rPr>
                <w:sz w:val="16"/>
                <w:szCs w:val="16"/>
                <w:lang w:val="sr-Cyrl-CS"/>
              </w:rPr>
            </w:pPr>
            <w:r w:rsidRPr="00092ED7">
              <w:rPr>
                <w:sz w:val="16"/>
                <w:szCs w:val="16"/>
                <w:lang w:val="sr-Cyrl-CS"/>
              </w:rPr>
              <w:t>[3] Позитиван знак значи једнократне мере за смањење дефицита.</w:t>
            </w:r>
          </w:p>
        </w:tc>
        <w:tc>
          <w:tcPr>
            <w:tcW w:w="1417" w:type="dxa"/>
            <w:tcBorders>
              <w:top w:val="nil"/>
              <w:left w:val="nil"/>
              <w:bottom w:val="nil"/>
              <w:right w:val="nil"/>
            </w:tcBorders>
            <w:shd w:val="clear" w:color="000000" w:fill="FFFFFF"/>
            <w:noWrap/>
            <w:vAlign w:val="center"/>
            <w:hideMark/>
          </w:tcPr>
          <w:p w14:paraId="02AE8B4D" w14:textId="77777777" w:rsidR="004B0AC2" w:rsidRPr="00092ED7" w:rsidRDefault="004B0AC2" w:rsidP="00FB09AE">
            <w:pPr>
              <w:spacing w:after="0"/>
              <w:jc w:val="left"/>
              <w:rPr>
                <w:rFonts w:eastAsia="Times New Roman" w:cs="Times New Roman"/>
                <w:sz w:val="16"/>
                <w:szCs w:val="16"/>
                <w:lang w:val="sr-Cyrl-CS"/>
              </w:rPr>
            </w:pPr>
          </w:p>
        </w:tc>
        <w:tc>
          <w:tcPr>
            <w:tcW w:w="1074" w:type="dxa"/>
            <w:tcBorders>
              <w:top w:val="nil"/>
              <w:left w:val="nil"/>
              <w:bottom w:val="nil"/>
              <w:right w:val="nil"/>
            </w:tcBorders>
            <w:shd w:val="clear" w:color="000000" w:fill="FFFFFF"/>
            <w:noWrap/>
            <w:vAlign w:val="center"/>
          </w:tcPr>
          <w:p w14:paraId="7D22AE5C" w14:textId="77777777" w:rsidR="004B0AC2" w:rsidRPr="00092ED7" w:rsidRDefault="004B0AC2" w:rsidP="00FB09AE">
            <w:pPr>
              <w:spacing w:after="0"/>
              <w:jc w:val="left"/>
              <w:rPr>
                <w:rFonts w:eastAsia="Times New Roman" w:cs="Times New Roman"/>
                <w:sz w:val="16"/>
                <w:szCs w:val="16"/>
                <w:lang w:val="sr-Cyrl-CS"/>
              </w:rPr>
            </w:pPr>
          </w:p>
        </w:tc>
        <w:tc>
          <w:tcPr>
            <w:tcW w:w="1074" w:type="dxa"/>
            <w:tcBorders>
              <w:top w:val="nil"/>
              <w:left w:val="nil"/>
              <w:bottom w:val="nil"/>
              <w:right w:val="nil"/>
            </w:tcBorders>
            <w:shd w:val="clear" w:color="000000" w:fill="FFFFFF"/>
            <w:noWrap/>
            <w:vAlign w:val="center"/>
          </w:tcPr>
          <w:p w14:paraId="3687F1C4" w14:textId="77777777" w:rsidR="004B0AC2" w:rsidRPr="00092ED7" w:rsidRDefault="004B0AC2" w:rsidP="00FB09AE">
            <w:pPr>
              <w:spacing w:after="0"/>
              <w:jc w:val="left"/>
              <w:rPr>
                <w:rFonts w:eastAsia="Times New Roman" w:cs="Times New Roman"/>
                <w:sz w:val="16"/>
                <w:szCs w:val="16"/>
                <w:lang w:val="sr-Cyrl-CS"/>
              </w:rPr>
            </w:pPr>
          </w:p>
        </w:tc>
        <w:tc>
          <w:tcPr>
            <w:tcW w:w="1074" w:type="dxa"/>
            <w:gridSpan w:val="2"/>
            <w:tcBorders>
              <w:top w:val="nil"/>
              <w:left w:val="nil"/>
              <w:bottom w:val="nil"/>
              <w:right w:val="nil"/>
            </w:tcBorders>
            <w:shd w:val="clear" w:color="000000" w:fill="FFFFFF"/>
            <w:noWrap/>
            <w:vAlign w:val="center"/>
          </w:tcPr>
          <w:p w14:paraId="1852BDCE" w14:textId="77777777" w:rsidR="004B0AC2" w:rsidRPr="00092ED7" w:rsidRDefault="004B0AC2" w:rsidP="00FB09AE">
            <w:pPr>
              <w:spacing w:after="0"/>
              <w:jc w:val="left"/>
              <w:rPr>
                <w:rFonts w:eastAsia="Times New Roman" w:cs="Times New Roman"/>
                <w:sz w:val="16"/>
                <w:szCs w:val="16"/>
                <w:lang w:val="sr-Cyrl-CS"/>
              </w:rPr>
            </w:pPr>
          </w:p>
        </w:tc>
        <w:tc>
          <w:tcPr>
            <w:tcW w:w="1074" w:type="dxa"/>
            <w:gridSpan w:val="2"/>
            <w:tcBorders>
              <w:top w:val="nil"/>
              <w:left w:val="nil"/>
              <w:bottom w:val="nil"/>
              <w:right w:val="nil"/>
            </w:tcBorders>
            <w:shd w:val="clear" w:color="000000" w:fill="FFFFFF"/>
            <w:noWrap/>
            <w:vAlign w:val="center"/>
          </w:tcPr>
          <w:p w14:paraId="394833E5" w14:textId="77777777" w:rsidR="004B0AC2" w:rsidRPr="00092ED7" w:rsidRDefault="004B0AC2" w:rsidP="00FB09AE">
            <w:pPr>
              <w:spacing w:after="0"/>
              <w:jc w:val="left"/>
              <w:rPr>
                <w:rFonts w:eastAsia="Times New Roman" w:cs="Times New Roman"/>
                <w:sz w:val="16"/>
                <w:szCs w:val="16"/>
                <w:lang w:val="sr-Cyrl-CS"/>
              </w:rPr>
            </w:pPr>
          </w:p>
        </w:tc>
        <w:tc>
          <w:tcPr>
            <w:tcW w:w="1074" w:type="dxa"/>
            <w:tcBorders>
              <w:top w:val="nil"/>
              <w:left w:val="nil"/>
              <w:bottom w:val="nil"/>
              <w:right w:val="nil"/>
            </w:tcBorders>
            <w:shd w:val="clear" w:color="000000" w:fill="FFFFFF"/>
            <w:noWrap/>
            <w:vAlign w:val="center"/>
          </w:tcPr>
          <w:p w14:paraId="21FBAA8A" w14:textId="77777777" w:rsidR="004B0AC2" w:rsidRPr="00092ED7" w:rsidRDefault="004B0AC2" w:rsidP="00FB09AE">
            <w:pPr>
              <w:spacing w:after="0"/>
              <w:jc w:val="left"/>
              <w:rPr>
                <w:rFonts w:eastAsia="Times New Roman" w:cs="Times New Roman"/>
                <w:sz w:val="16"/>
                <w:szCs w:val="16"/>
                <w:lang w:val="sr-Cyrl-CS"/>
              </w:rPr>
            </w:pPr>
          </w:p>
        </w:tc>
        <w:tc>
          <w:tcPr>
            <w:tcW w:w="1074" w:type="dxa"/>
            <w:tcBorders>
              <w:top w:val="nil"/>
              <w:left w:val="nil"/>
              <w:bottom w:val="nil"/>
              <w:right w:val="nil"/>
            </w:tcBorders>
            <w:shd w:val="clear" w:color="000000" w:fill="FFFFFF"/>
            <w:noWrap/>
            <w:vAlign w:val="center"/>
          </w:tcPr>
          <w:p w14:paraId="4ECA3B83" w14:textId="77777777" w:rsidR="004B0AC2" w:rsidRPr="00092ED7" w:rsidRDefault="004B0AC2" w:rsidP="00FB09AE">
            <w:pPr>
              <w:spacing w:after="0"/>
              <w:jc w:val="left"/>
              <w:rPr>
                <w:rFonts w:eastAsia="Times New Roman" w:cs="Times New Roman"/>
                <w:sz w:val="16"/>
                <w:szCs w:val="16"/>
                <w:lang w:val="sr-Cyrl-CS"/>
              </w:rPr>
            </w:pPr>
          </w:p>
        </w:tc>
      </w:tr>
      <w:tr w:rsidR="004B0AC2" w:rsidRPr="00092ED7" w14:paraId="174B51AD" w14:textId="77777777" w:rsidTr="00FB09AE">
        <w:trPr>
          <w:trHeight w:val="227"/>
        </w:trPr>
        <w:tc>
          <w:tcPr>
            <w:tcW w:w="6640" w:type="dxa"/>
            <w:tcBorders>
              <w:top w:val="nil"/>
              <w:left w:val="nil"/>
              <w:bottom w:val="nil"/>
              <w:right w:val="nil"/>
            </w:tcBorders>
            <w:shd w:val="clear" w:color="000000" w:fill="FFFFFF"/>
            <w:noWrap/>
            <w:vAlign w:val="center"/>
            <w:hideMark/>
          </w:tcPr>
          <w:p w14:paraId="75F6A17A" w14:textId="77777777" w:rsidR="004B0AC2" w:rsidRPr="00092ED7" w:rsidRDefault="004B0AC2" w:rsidP="00FB09AE">
            <w:pPr>
              <w:spacing w:after="0"/>
              <w:jc w:val="left"/>
              <w:rPr>
                <w:sz w:val="16"/>
                <w:szCs w:val="16"/>
                <w:lang w:val="sr-Cyrl-CS"/>
              </w:rPr>
            </w:pPr>
            <w:r w:rsidRPr="00092ED7">
              <w:rPr>
                <w:sz w:val="16"/>
                <w:szCs w:val="16"/>
                <w:lang w:val="sr-Cyrl-CS"/>
              </w:rPr>
              <w:t>[4] P.11+P.12+P.131+D.39+D.7+D.9 (осим D.91)</w:t>
            </w:r>
          </w:p>
        </w:tc>
        <w:tc>
          <w:tcPr>
            <w:tcW w:w="1417" w:type="dxa"/>
            <w:tcBorders>
              <w:top w:val="nil"/>
              <w:left w:val="nil"/>
              <w:bottom w:val="nil"/>
              <w:right w:val="nil"/>
            </w:tcBorders>
            <w:shd w:val="clear" w:color="000000" w:fill="FFFFFF"/>
            <w:noWrap/>
            <w:vAlign w:val="center"/>
            <w:hideMark/>
          </w:tcPr>
          <w:p w14:paraId="119DBE55" w14:textId="77777777" w:rsidR="004B0AC2" w:rsidRPr="00092ED7" w:rsidRDefault="004B0AC2" w:rsidP="00FB09AE">
            <w:pPr>
              <w:spacing w:after="0"/>
              <w:jc w:val="left"/>
              <w:rPr>
                <w:rFonts w:eastAsia="Times New Roman" w:cs="Times New Roman"/>
                <w:sz w:val="16"/>
                <w:szCs w:val="16"/>
                <w:lang w:val="sr-Cyrl-CS"/>
              </w:rPr>
            </w:pPr>
          </w:p>
        </w:tc>
        <w:tc>
          <w:tcPr>
            <w:tcW w:w="1074" w:type="dxa"/>
            <w:tcBorders>
              <w:top w:val="nil"/>
              <w:left w:val="nil"/>
              <w:bottom w:val="nil"/>
              <w:right w:val="nil"/>
            </w:tcBorders>
            <w:shd w:val="clear" w:color="000000" w:fill="FFFFFF"/>
            <w:noWrap/>
            <w:vAlign w:val="center"/>
          </w:tcPr>
          <w:p w14:paraId="6B9B83D7" w14:textId="77777777" w:rsidR="004B0AC2" w:rsidRPr="00092ED7" w:rsidRDefault="004B0AC2" w:rsidP="00FB09AE">
            <w:pPr>
              <w:spacing w:after="0"/>
              <w:jc w:val="left"/>
              <w:rPr>
                <w:rFonts w:eastAsia="Times New Roman" w:cs="Times New Roman"/>
                <w:sz w:val="16"/>
                <w:szCs w:val="16"/>
                <w:lang w:val="sr-Cyrl-CS"/>
              </w:rPr>
            </w:pPr>
          </w:p>
        </w:tc>
        <w:tc>
          <w:tcPr>
            <w:tcW w:w="1074" w:type="dxa"/>
            <w:tcBorders>
              <w:top w:val="nil"/>
              <w:left w:val="nil"/>
              <w:bottom w:val="nil"/>
              <w:right w:val="nil"/>
            </w:tcBorders>
            <w:shd w:val="clear" w:color="000000" w:fill="FFFFFF"/>
            <w:noWrap/>
            <w:vAlign w:val="center"/>
          </w:tcPr>
          <w:p w14:paraId="481DBB74" w14:textId="77777777" w:rsidR="004B0AC2" w:rsidRPr="00092ED7" w:rsidRDefault="004B0AC2" w:rsidP="00FB09AE">
            <w:pPr>
              <w:spacing w:after="0"/>
              <w:jc w:val="left"/>
              <w:rPr>
                <w:rFonts w:eastAsia="Times New Roman" w:cs="Times New Roman"/>
                <w:sz w:val="16"/>
                <w:szCs w:val="16"/>
                <w:lang w:val="sr-Cyrl-CS"/>
              </w:rPr>
            </w:pPr>
          </w:p>
        </w:tc>
        <w:tc>
          <w:tcPr>
            <w:tcW w:w="1074" w:type="dxa"/>
            <w:gridSpan w:val="2"/>
            <w:tcBorders>
              <w:top w:val="nil"/>
              <w:left w:val="nil"/>
              <w:bottom w:val="nil"/>
              <w:right w:val="nil"/>
            </w:tcBorders>
            <w:shd w:val="clear" w:color="000000" w:fill="FFFFFF"/>
            <w:noWrap/>
            <w:vAlign w:val="center"/>
          </w:tcPr>
          <w:p w14:paraId="37AD1DCB" w14:textId="77777777" w:rsidR="004B0AC2" w:rsidRPr="00092ED7" w:rsidRDefault="004B0AC2" w:rsidP="00FB09AE">
            <w:pPr>
              <w:spacing w:after="0"/>
              <w:jc w:val="left"/>
              <w:rPr>
                <w:rFonts w:eastAsia="Times New Roman" w:cs="Times New Roman"/>
                <w:sz w:val="16"/>
                <w:szCs w:val="16"/>
                <w:lang w:val="sr-Cyrl-CS"/>
              </w:rPr>
            </w:pPr>
          </w:p>
        </w:tc>
        <w:tc>
          <w:tcPr>
            <w:tcW w:w="1074" w:type="dxa"/>
            <w:gridSpan w:val="2"/>
            <w:tcBorders>
              <w:top w:val="nil"/>
              <w:left w:val="nil"/>
              <w:bottom w:val="nil"/>
              <w:right w:val="nil"/>
            </w:tcBorders>
            <w:shd w:val="clear" w:color="000000" w:fill="FFFFFF"/>
            <w:noWrap/>
            <w:vAlign w:val="center"/>
          </w:tcPr>
          <w:p w14:paraId="075CC79F" w14:textId="77777777" w:rsidR="004B0AC2" w:rsidRPr="00092ED7" w:rsidRDefault="004B0AC2" w:rsidP="00FB09AE">
            <w:pPr>
              <w:spacing w:after="0"/>
              <w:jc w:val="left"/>
              <w:rPr>
                <w:rFonts w:eastAsia="Times New Roman" w:cs="Times New Roman"/>
                <w:sz w:val="16"/>
                <w:szCs w:val="16"/>
                <w:lang w:val="sr-Cyrl-CS"/>
              </w:rPr>
            </w:pPr>
          </w:p>
        </w:tc>
        <w:tc>
          <w:tcPr>
            <w:tcW w:w="1074" w:type="dxa"/>
            <w:tcBorders>
              <w:top w:val="nil"/>
              <w:left w:val="nil"/>
              <w:bottom w:val="nil"/>
              <w:right w:val="nil"/>
            </w:tcBorders>
            <w:shd w:val="clear" w:color="000000" w:fill="FFFFFF"/>
            <w:noWrap/>
            <w:vAlign w:val="center"/>
          </w:tcPr>
          <w:p w14:paraId="0D62CE32" w14:textId="77777777" w:rsidR="004B0AC2" w:rsidRPr="00092ED7" w:rsidRDefault="004B0AC2" w:rsidP="00FB09AE">
            <w:pPr>
              <w:spacing w:after="0"/>
              <w:jc w:val="left"/>
              <w:rPr>
                <w:rFonts w:eastAsia="Times New Roman" w:cs="Times New Roman"/>
                <w:sz w:val="16"/>
                <w:szCs w:val="16"/>
                <w:lang w:val="sr-Cyrl-CS"/>
              </w:rPr>
            </w:pPr>
          </w:p>
        </w:tc>
        <w:tc>
          <w:tcPr>
            <w:tcW w:w="1074" w:type="dxa"/>
            <w:tcBorders>
              <w:top w:val="nil"/>
              <w:left w:val="nil"/>
              <w:bottom w:val="nil"/>
              <w:right w:val="nil"/>
            </w:tcBorders>
            <w:shd w:val="clear" w:color="000000" w:fill="FFFFFF"/>
            <w:noWrap/>
            <w:vAlign w:val="center"/>
          </w:tcPr>
          <w:p w14:paraId="228D06D1" w14:textId="77777777" w:rsidR="004B0AC2" w:rsidRPr="00092ED7" w:rsidRDefault="004B0AC2" w:rsidP="00FB09AE">
            <w:pPr>
              <w:spacing w:after="0"/>
              <w:jc w:val="left"/>
              <w:rPr>
                <w:rFonts w:eastAsia="Times New Roman" w:cs="Times New Roman"/>
                <w:sz w:val="16"/>
                <w:szCs w:val="16"/>
                <w:lang w:val="sr-Cyrl-CS"/>
              </w:rPr>
            </w:pPr>
          </w:p>
        </w:tc>
      </w:tr>
      <w:tr w:rsidR="004B0AC2" w:rsidRPr="00092ED7" w14:paraId="71214687" w14:textId="77777777" w:rsidTr="00FB09AE">
        <w:trPr>
          <w:trHeight w:val="227"/>
        </w:trPr>
        <w:tc>
          <w:tcPr>
            <w:tcW w:w="10875" w:type="dxa"/>
            <w:gridSpan w:val="5"/>
            <w:tcBorders>
              <w:top w:val="nil"/>
              <w:left w:val="nil"/>
              <w:bottom w:val="nil"/>
              <w:right w:val="nil"/>
            </w:tcBorders>
            <w:shd w:val="clear" w:color="000000" w:fill="FFFFFF"/>
            <w:noWrap/>
            <w:vAlign w:val="center"/>
            <w:hideMark/>
          </w:tcPr>
          <w:p w14:paraId="3F8913D8" w14:textId="77777777" w:rsidR="004B0AC2" w:rsidRPr="00092ED7" w:rsidRDefault="004B0AC2" w:rsidP="00FB09AE">
            <w:pPr>
              <w:spacing w:after="0"/>
              <w:jc w:val="left"/>
              <w:rPr>
                <w:sz w:val="16"/>
                <w:szCs w:val="16"/>
                <w:lang w:val="sr-Cyrl-CS"/>
              </w:rPr>
            </w:pPr>
            <w:r w:rsidRPr="00092ED7">
              <w:rPr>
                <w:sz w:val="16"/>
                <w:szCs w:val="16"/>
                <w:lang w:val="sr-Cyrl-CS"/>
              </w:rPr>
              <w:t>[5] Укључујући оне које наплаћује ЕУ и укључујући корекцију за ненаплаћене порезе и доприносе за социјално осигурање (D995), где је то случај.</w:t>
            </w:r>
          </w:p>
        </w:tc>
        <w:tc>
          <w:tcPr>
            <w:tcW w:w="3626" w:type="dxa"/>
            <w:gridSpan w:val="5"/>
            <w:tcBorders>
              <w:top w:val="nil"/>
              <w:left w:val="nil"/>
              <w:bottom w:val="nil"/>
              <w:right w:val="nil"/>
            </w:tcBorders>
            <w:shd w:val="clear" w:color="000000" w:fill="FFFFFF"/>
            <w:noWrap/>
            <w:vAlign w:val="center"/>
          </w:tcPr>
          <w:p w14:paraId="08CB0F94" w14:textId="77777777" w:rsidR="004B0AC2" w:rsidRPr="00092ED7" w:rsidRDefault="004B0AC2" w:rsidP="00FB09AE">
            <w:pPr>
              <w:spacing w:after="0"/>
              <w:jc w:val="left"/>
              <w:rPr>
                <w:rFonts w:eastAsia="Times New Roman" w:cs="Times New Roman"/>
                <w:sz w:val="16"/>
                <w:szCs w:val="16"/>
                <w:lang w:val="sr-Cyrl-CS"/>
              </w:rPr>
            </w:pPr>
          </w:p>
        </w:tc>
      </w:tr>
      <w:tr w:rsidR="004B0AC2" w:rsidRPr="00092ED7" w14:paraId="4C0EB459" w14:textId="77777777" w:rsidTr="00FB09AE">
        <w:trPr>
          <w:trHeight w:val="227"/>
        </w:trPr>
        <w:tc>
          <w:tcPr>
            <w:tcW w:w="6640" w:type="dxa"/>
            <w:tcBorders>
              <w:top w:val="nil"/>
              <w:left w:val="nil"/>
              <w:bottom w:val="nil"/>
              <w:right w:val="nil"/>
            </w:tcBorders>
            <w:shd w:val="clear" w:color="000000" w:fill="FFFFFF"/>
            <w:noWrap/>
            <w:vAlign w:val="center"/>
            <w:hideMark/>
          </w:tcPr>
          <w:p w14:paraId="249B97DD" w14:textId="77777777" w:rsidR="004B0AC2" w:rsidRPr="00092ED7" w:rsidRDefault="004B0AC2" w:rsidP="00FB09AE">
            <w:pPr>
              <w:spacing w:after="0"/>
              <w:jc w:val="left"/>
              <w:rPr>
                <w:sz w:val="16"/>
                <w:szCs w:val="16"/>
                <w:lang w:val="sr-Cyrl-CS"/>
              </w:rPr>
            </w:pPr>
            <w:r w:rsidRPr="00092ED7">
              <w:rPr>
                <w:sz w:val="16"/>
                <w:szCs w:val="16"/>
                <w:lang w:val="sr-Cyrl-CS"/>
              </w:rPr>
              <w:t>[6] D.29+D4 (осим D.41)+ D.5+D.7+D.9+P.52+P.53+K.2+D.8</w:t>
            </w:r>
          </w:p>
        </w:tc>
        <w:tc>
          <w:tcPr>
            <w:tcW w:w="1417" w:type="dxa"/>
            <w:tcBorders>
              <w:top w:val="nil"/>
              <w:left w:val="nil"/>
              <w:bottom w:val="nil"/>
              <w:right w:val="nil"/>
            </w:tcBorders>
            <w:shd w:val="clear" w:color="000000" w:fill="FFFFFF"/>
            <w:noWrap/>
            <w:vAlign w:val="center"/>
            <w:hideMark/>
          </w:tcPr>
          <w:p w14:paraId="001DC5A4" w14:textId="77777777" w:rsidR="004B0AC2" w:rsidRPr="00092ED7" w:rsidRDefault="004B0AC2" w:rsidP="00FB09AE">
            <w:pPr>
              <w:spacing w:after="0"/>
              <w:jc w:val="left"/>
              <w:rPr>
                <w:rFonts w:eastAsia="Times New Roman" w:cs="Times New Roman"/>
                <w:sz w:val="16"/>
                <w:szCs w:val="16"/>
                <w:lang w:val="sr-Cyrl-CS"/>
              </w:rPr>
            </w:pPr>
          </w:p>
        </w:tc>
        <w:tc>
          <w:tcPr>
            <w:tcW w:w="1074" w:type="dxa"/>
            <w:tcBorders>
              <w:top w:val="nil"/>
              <w:left w:val="nil"/>
              <w:bottom w:val="nil"/>
              <w:right w:val="nil"/>
            </w:tcBorders>
            <w:shd w:val="clear" w:color="000000" w:fill="FFFFFF"/>
            <w:noWrap/>
            <w:vAlign w:val="center"/>
          </w:tcPr>
          <w:p w14:paraId="1133DB94" w14:textId="77777777" w:rsidR="004B0AC2" w:rsidRPr="00092ED7" w:rsidRDefault="004B0AC2" w:rsidP="00FB09AE">
            <w:pPr>
              <w:spacing w:after="0"/>
              <w:jc w:val="left"/>
              <w:rPr>
                <w:rFonts w:eastAsia="Times New Roman" w:cs="Times New Roman"/>
                <w:sz w:val="16"/>
                <w:szCs w:val="16"/>
                <w:lang w:val="sr-Cyrl-CS"/>
              </w:rPr>
            </w:pPr>
          </w:p>
        </w:tc>
        <w:tc>
          <w:tcPr>
            <w:tcW w:w="1074" w:type="dxa"/>
            <w:tcBorders>
              <w:top w:val="nil"/>
              <w:left w:val="nil"/>
              <w:bottom w:val="nil"/>
              <w:right w:val="nil"/>
            </w:tcBorders>
            <w:shd w:val="clear" w:color="000000" w:fill="FFFFFF"/>
            <w:noWrap/>
            <w:vAlign w:val="center"/>
          </w:tcPr>
          <w:p w14:paraId="0D7B7CAF" w14:textId="77777777" w:rsidR="004B0AC2" w:rsidRPr="00092ED7" w:rsidRDefault="004B0AC2" w:rsidP="00FB09AE">
            <w:pPr>
              <w:spacing w:after="0"/>
              <w:jc w:val="left"/>
              <w:rPr>
                <w:rFonts w:eastAsia="Times New Roman" w:cs="Times New Roman"/>
                <w:sz w:val="16"/>
                <w:szCs w:val="16"/>
                <w:lang w:val="sr-Cyrl-CS"/>
              </w:rPr>
            </w:pPr>
          </w:p>
        </w:tc>
        <w:tc>
          <w:tcPr>
            <w:tcW w:w="1074" w:type="dxa"/>
            <w:gridSpan w:val="2"/>
            <w:tcBorders>
              <w:top w:val="nil"/>
              <w:left w:val="nil"/>
              <w:bottom w:val="nil"/>
              <w:right w:val="nil"/>
            </w:tcBorders>
            <w:shd w:val="clear" w:color="000000" w:fill="FFFFFF"/>
            <w:noWrap/>
            <w:vAlign w:val="center"/>
          </w:tcPr>
          <w:p w14:paraId="556B0518" w14:textId="77777777" w:rsidR="004B0AC2" w:rsidRPr="00092ED7" w:rsidRDefault="004B0AC2" w:rsidP="00FB09AE">
            <w:pPr>
              <w:spacing w:after="0"/>
              <w:jc w:val="left"/>
              <w:rPr>
                <w:rFonts w:eastAsia="Times New Roman" w:cs="Times New Roman"/>
                <w:sz w:val="16"/>
                <w:szCs w:val="16"/>
                <w:lang w:val="sr-Cyrl-CS"/>
              </w:rPr>
            </w:pPr>
          </w:p>
        </w:tc>
        <w:tc>
          <w:tcPr>
            <w:tcW w:w="1074" w:type="dxa"/>
            <w:gridSpan w:val="2"/>
            <w:tcBorders>
              <w:top w:val="nil"/>
              <w:left w:val="nil"/>
              <w:bottom w:val="nil"/>
              <w:right w:val="nil"/>
            </w:tcBorders>
            <w:shd w:val="clear" w:color="000000" w:fill="FFFFFF"/>
            <w:noWrap/>
            <w:vAlign w:val="center"/>
          </w:tcPr>
          <w:p w14:paraId="05AF4C9C" w14:textId="77777777" w:rsidR="004B0AC2" w:rsidRPr="00092ED7" w:rsidRDefault="004B0AC2" w:rsidP="00FB09AE">
            <w:pPr>
              <w:spacing w:after="0"/>
              <w:jc w:val="left"/>
              <w:rPr>
                <w:rFonts w:eastAsia="Times New Roman" w:cs="Times New Roman"/>
                <w:sz w:val="16"/>
                <w:szCs w:val="16"/>
                <w:lang w:val="sr-Cyrl-CS"/>
              </w:rPr>
            </w:pPr>
          </w:p>
        </w:tc>
        <w:tc>
          <w:tcPr>
            <w:tcW w:w="1074" w:type="dxa"/>
            <w:tcBorders>
              <w:top w:val="nil"/>
              <w:left w:val="nil"/>
              <w:bottom w:val="nil"/>
              <w:right w:val="nil"/>
            </w:tcBorders>
            <w:shd w:val="clear" w:color="000000" w:fill="FFFFFF"/>
            <w:noWrap/>
            <w:vAlign w:val="center"/>
          </w:tcPr>
          <w:p w14:paraId="311AAF06" w14:textId="77777777" w:rsidR="004B0AC2" w:rsidRPr="00092ED7" w:rsidRDefault="004B0AC2" w:rsidP="00FB09AE">
            <w:pPr>
              <w:spacing w:after="0"/>
              <w:jc w:val="left"/>
              <w:rPr>
                <w:rFonts w:eastAsia="Times New Roman" w:cs="Times New Roman"/>
                <w:sz w:val="16"/>
                <w:szCs w:val="16"/>
                <w:lang w:val="sr-Cyrl-CS"/>
              </w:rPr>
            </w:pPr>
          </w:p>
        </w:tc>
        <w:tc>
          <w:tcPr>
            <w:tcW w:w="1074" w:type="dxa"/>
            <w:tcBorders>
              <w:top w:val="nil"/>
              <w:left w:val="nil"/>
              <w:bottom w:val="nil"/>
              <w:right w:val="nil"/>
            </w:tcBorders>
            <w:shd w:val="clear" w:color="000000" w:fill="FFFFFF"/>
            <w:noWrap/>
            <w:vAlign w:val="center"/>
          </w:tcPr>
          <w:p w14:paraId="67B9556A" w14:textId="77777777" w:rsidR="004B0AC2" w:rsidRPr="00092ED7" w:rsidRDefault="004B0AC2" w:rsidP="00FB09AE">
            <w:pPr>
              <w:spacing w:after="0"/>
              <w:jc w:val="left"/>
              <w:rPr>
                <w:rFonts w:eastAsia="Times New Roman" w:cs="Times New Roman"/>
                <w:sz w:val="16"/>
                <w:szCs w:val="16"/>
                <w:lang w:val="sr-Cyrl-CS"/>
              </w:rPr>
            </w:pPr>
          </w:p>
        </w:tc>
      </w:tr>
      <w:tr w:rsidR="004B0AC2" w:rsidRPr="00092ED7" w14:paraId="15D73716" w14:textId="77777777" w:rsidTr="00FB09AE">
        <w:trPr>
          <w:trHeight w:val="227"/>
        </w:trPr>
        <w:tc>
          <w:tcPr>
            <w:tcW w:w="6640" w:type="dxa"/>
            <w:tcBorders>
              <w:top w:val="nil"/>
              <w:left w:val="nil"/>
              <w:bottom w:val="nil"/>
              <w:right w:val="nil"/>
            </w:tcBorders>
            <w:shd w:val="clear" w:color="auto" w:fill="auto"/>
            <w:noWrap/>
            <w:vAlign w:val="center"/>
            <w:hideMark/>
          </w:tcPr>
          <w:p w14:paraId="6B29A94C" w14:textId="77777777" w:rsidR="004B0AC2" w:rsidRPr="00092ED7" w:rsidRDefault="004B0AC2" w:rsidP="00FB09AE">
            <w:pPr>
              <w:spacing w:after="0"/>
              <w:jc w:val="left"/>
              <w:rPr>
                <w:sz w:val="17"/>
                <w:szCs w:val="17"/>
                <w:lang w:val="sr-Cyrl-CS"/>
              </w:rPr>
            </w:pPr>
            <w:r w:rsidRPr="00092ED7">
              <w:rPr>
                <w:sz w:val="17"/>
                <w:szCs w:val="17"/>
                <w:lang w:val="sr-Cyrl-CS"/>
              </w:rPr>
              <w:t>[7] Коригован за следећи ток по основу свопова, тако да је TR-TE = EDP.B9.</w:t>
            </w:r>
          </w:p>
        </w:tc>
        <w:tc>
          <w:tcPr>
            <w:tcW w:w="1417" w:type="dxa"/>
            <w:tcBorders>
              <w:top w:val="nil"/>
              <w:left w:val="nil"/>
              <w:bottom w:val="nil"/>
              <w:right w:val="nil"/>
            </w:tcBorders>
            <w:shd w:val="clear" w:color="000000" w:fill="FFFFFF"/>
            <w:noWrap/>
            <w:vAlign w:val="center"/>
            <w:hideMark/>
          </w:tcPr>
          <w:p w14:paraId="3850C930" w14:textId="77777777" w:rsidR="004B0AC2" w:rsidRPr="00092ED7" w:rsidRDefault="004B0AC2" w:rsidP="00FB09AE">
            <w:pPr>
              <w:spacing w:after="0"/>
              <w:jc w:val="left"/>
              <w:rPr>
                <w:rFonts w:eastAsia="Times New Roman" w:cs="Times New Roman"/>
                <w:sz w:val="16"/>
                <w:szCs w:val="16"/>
                <w:lang w:val="sr-Cyrl-CS"/>
              </w:rPr>
            </w:pPr>
          </w:p>
        </w:tc>
        <w:tc>
          <w:tcPr>
            <w:tcW w:w="1074" w:type="dxa"/>
            <w:tcBorders>
              <w:top w:val="nil"/>
              <w:left w:val="nil"/>
              <w:bottom w:val="nil"/>
              <w:right w:val="nil"/>
            </w:tcBorders>
            <w:shd w:val="clear" w:color="000000" w:fill="FFFFFF"/>
            <w:noWrap/>
            <w:vAlign w:val="center"/>
          </w:tcPr>
          <w:p w14:paraId="0E430497" w14:textId="77777777" w:rsidR="004B0AC2" w:rsidRPr="00092ED7" w:rsidRDefault="004B0AC2" w:rsidP="00FB09AE">
            <w:pPr>
              <w:spacing w:after="0"/>
              <w:jc w:val="left"/>
              <w:rPr>
                <w:rFonts w:eastAsia="Times New Roman" w:cs="Times New Roman"/>
                <w:sz w:val="16"/>
                <w:szCs w:val="16"/>
                <w:lang w:val="sr-Cyrl-CS"/>
              </w:rPr>
            </w:pPr>
          </w:p>
        </w:tc>
        <w:tc>
          <w:tcPr>
            <w:tcW w:w="1074" w:type="dxa"/>
            <w:tcBorders>
              <w:top w:val="nil"/>
              <w:left w:val="nil"/>
              <w:bottom w:val="nil"/>
              <w:right w:val="nil"/>
            </w:tcBorders>
            <w:shd w:val="clear" w:color="000000" w:fill="FFFFFF"/>
            <w:noWrap/>
            <w:vAlign w:val="center"/>
          </w:tcPr>
          <w:p w14:paraId="3C13D9A4" w14:textId="77777777" w:rsidR="004B0AC2" w:rsidRPr="00092ED7" w:rsidRDefault="004B0AC2" w:rsidP="00FB09AE">
            <w:pPr>
              <w:spacing w:after="0"/>
              <w:jc w:val="left"/>
              <w:rPr>
                <w:rFonts w:eastAsia="Times New Roman" w:cs="Times New Roman"/>
                <w:sz w:val="16"/>
                <w:szCs w:val="16"/>
                <w:lang w:val="sr-Cyrl-CS"/>
              </w:rPr>
            </w:pPr>
          </w:p>
        </w:tc>
        <w:tc>
          <w:tcPr>
            <w:tcW w:w="1074" w:type="dxa"/>
            <w:gridSpan w:val="2"/>
            <w:tcBorders>
              <w:top w:val="nil"/>
              <w:left w:val="nil"/>
              <w:bottom w:val="nil"/>
              <w:right w:val="nil"/>
            </w:tcBorders>
            <w:shd w:val="clear" w:color="000000" w:fill="FFFFFF"/>
            <w:noWrap/>
            <w:vAlign w:val="center"/>
          </w:tcPr>
          <w:p w14:paraId="609138AD" w14:textId="77777777" w:rsidR="004B0AC2" w:rsidRPr="00092ED7" w:rsidRDefault="004B0AC2" w:rsidP="00FB09AE">
            <w:pPr>
              <w:spacing w:after="0"/>
              <w:jc w:val="left"/>
              <w:rPr>
                <w:rFonts w:eastAsia="Times New Roman" w:cs="Times New Roman"/>
                <w:sz w:val="16"/>
                <w:szCs w:val="16"/>
                <w:lang w:val="sr-Cyrl-CS"/>
              </w:rPr>
            </w:pPr>
          </w:p>
        </w:tc>
        <w:tc>
          <w:tcPr>
            <w:tcW w:w="1074" w:type="dxa"/>
            <w:gridSpan w:val="2"/>
            <w:tcBorders>
              <w:top w:val="nil"/>
              <w:left w:val="nil"/>
              <w:bottom w:val="nil"/>
              <w:right w:val="nil"/>
            </w:tcBorders>
            <w:shd w:val="clear" w:color="000000" w:fill="FFFFFF"/>
            <w:noWrap/>
            <w:vAlign w:val="center"/>
          </w:tcPr>
          <w:p w14:paraId="3E38255B" w14:textId="77777777" w:rsidR="004B0AC2" w:rsidRPr="00092ED7" w:rsidRDefault="004B0AC2" w:rsidP="00FB09AE">
            <w:pPr>
              <w:spacing w:after="0"/>
              <w:jc w:val="left"/>
              <w:rPr>
                <w:rFonts w:eastAsia="Times New Roman" w:cs="Times New Roman"/>
                <w:sz w:val="16"/>
                <w:szCs w:val="16"/>
                <w:lang w:val="sr-Cyrl-CS"/>
              </w:rPr>
            </w:pPr>
          </w:p>
        </w:tc>
        <w:tc>
          <w:tcPr>
            <w:tcW w:w="1074" w:type="dxa"/>
            <w:tcBorders>
              <w:top w:val="nil"/>
              <w:left w:val="nil"/>
              <w:bottom w:val="nil"/>
              <w:right w:val="nil"/>
            </w:tcBorders>
            <w:shd w:val="clear" w:color="000000" w:fill="FFFFFF"/>
            <w:noWrap/>
            <w:vAlign w:val="center"/>
          </w:tcPr>
          <w:p w14:paraId="0AFDEC1A" w14:textId="77777777" w:rsidR="004B0AC2" w:rsidRPr="00092ED7" w:rsidRDefault="004B0AC2" w:rsidP="00FB09AE">
            <w:pPr>
              <w:spacing w:after="0"/>
              <w:jc w:val="left"/>
              <w:rPr>
                <w:rFonts w:eastAsia="Times New Roman" w:cs="Times New Roman"/>
                <w:sz w:val="16"/>
                <w:szCs w:val="16"/>
                <w:lang w:val="sr-Cyrl-CS"/>
              </w:rPr>
            </w:pPr>
          </w:p>
        </w:tc>
        <w:tc>
          <w:tcPr>
            <w:tcW w:w="1074" w:type="dxa"/>
            <w:tcBorders>
              <w:top w:val="nil"/>
              <w:left w:val="nil"/>
              <w:bottom w:val="nil"/>
              <w:right w:val="nil"/>
            </w:tcBorders>
            <w:shd w:val="clear" w:color="000000" w:fill="FFFFFF"/>
            <w:noWrap/>
            <w:vAlign w:val="center"/>
          </w:tcPr>
          <w:p w14:paraId="4A576554" w14:textId="77777777" w:rsidR="004B0AC2" w:rsidRPr="00092ED7" w:rsidRDefault="004B0AC2" w:rsidP="00FB09AE">
            <w:pPr>
              <w:spacing w:after="0"/>
              <w:jc w:val="left"/>
              <w:rPr>
                <w:rFonts w:eastAsia="Times New Roman" w:cs="Times New Roman"/>
                <w:sz w:val="16"/>
                <w:szCs w:val="16"/>
                <w:lang w:val="sr-Cyrl-CS"/>
              </w:rPr>
            </w:pPr>
          </w:p>
        </w:tc>
      </w:tr>
    </w:tbl>
    <w:p w14:paraId="7C690C39" w14:textId="77777777" w:rsidR="004B0AC2" w:rsidRPr="00092ED7" w:rsidRDefault="004B0AC2" w:rsidP="004B0AC2">
      <w:pPr>
        <w:rPr>
          <w:rFonts w:cs="Times New Roman"/>
          <w:lang w:val="sr-Cyrl-CS"/>
        </w:rPr>
      </w:pPr>
    </w:p>
    <w:p w14:paraId="6506E09D" w14:textId="77777777" w:rsidR="004B0AC2" w:rsidRPr="00092ED7" w:rsidRDefault="004B0AC2" w:rsidP="00247CBF">
      <w:pPr>
        <w:rPr>
          <w:rFonts w:cs="Times New Roman"/>
          <w:lang w:val="sr-Cyrl-CS"/>
        </w:rPr>
      </w:pPr>
    </w:p>
    <w:p w14:paraId="53E3D541" w14:textId="77777777" w:rsidR="00247CBF" w:rsidRPr="00092ED7" w:rsidRDefault="00247CBF" w:rsidP="00603975">
      <w:pPr>
        <w:spacing w:line="230" w:lineRule="auto"/>
        <w:rPr>
          <w:rFonts w:cs="Times New Roman"/>
          <w:b/>
          <w:sz w:val="20"/>
          <w:szCs w:val="20"/>
          <w:lang w:val="sr-Cyrl-CS"/>
        </w:rPr>
      </w:pPr>
      <w:bookmarkStart w:id="93" w:name="_Toc61953861"/>
      <w:bookmarkStart w:id="94" w:name="_Toc93385997"/>
      <w:r w:rsidRPr="00092ED7">
        <w:rPr>
          <w:rFonts w:cs="Times New Roman"/>
          <w:b/>
          <w:sz w:val="20"/>
          <w:szCs w:val="20"/>
          <w:lang w:val="sr-Cyrl-CS"/>
        </w:rPr>
        <w:t>Табела 2a: Буџетски изгледи општег нивоа државе</w:t>
      </w:r>
      <w:bookmarkEnd w:id="93"/>
      <w:bookmarkEnd w:id="94"/>
      <w:r w:rsidRPr="00092ED7">
        <w:rPr>
          <w:rFonts w:cs="Times New Roman"/>
          <w:b/>
          <w:sz w:val="20"/>
          <w:szCs w:val="20"/>
          <w:lang w:val="sr-Cyrl-CS"/>
        </w:rPr>
        <w:tab/>
      </w:r>
      <w:r w:rsidRPr="00092ED7">
        <w:rPr>
          <w:rFonts w:cs="Times New Roman"/>
          <w:b/>
          <w:sz w:val="20"/>
          <w:szCs w:val="20"/>
          <w:lang w:val="sr-Cyrl-CS"/>
        </w:rPr>
        <w:tab/>
      </w:r>
      <w:r w:rsidRPr="00092ED7">
        <w:rPr>
          <w:rFonts w:cs="Times New Roman"/>
          <w:b/>
          <w:sz w:val="20"/>
          <w:szCs w:val="20"/>
          <w:lang w:val="sr-Cyrl-CS"/>
        </w:rPr>
        <w:tab/>
      </w:r>
      <w:r w:rsidRPr="00092ED7">
        <w:rPr>
          <w:rFonts w:cs="Times New Roman"/>
          <w:b/>
          <w:sz w:val="20"/>
          <w:szCs w:val="20"/>
          <w:lang w:val="sr-Cyrl-CS"/>
        </w:rPr>
        <w:tab/>
      </w:r>
      <w:r w:rsidRPr="00092ED7">
        <w:rPr>
          <w:rFonts w:cs="Times New Roman"/>
          <w:b/>
          <w:sz w:val="20"/>
          <w:szCs w:val="20"/>
          <w:lang w:val="sr-Cyrl-CS"/>
        </w:rPr>
        <w:tab/>
      </w:r>
      <w:r w:rsidRPr="00092ED7">
        <w:rPr>
          <w:rFonts w:cs="Times New Roman"/>
          <w:b/>
          <w:sz w:val="20"/>
          <w:szCs w:val="20"/>
          <w:lang w:val="sr-Cyrl-CS"/>
        </w:rPr>
        <w:tab/>
      </w:r>
      <w:r w:rsidRPr="00092ED7">
        <w:rPr>
          <w:rFonts w:cs="Times New Roman"/>
          <w:b/>
          <w:sz w:val="20"/>
          <w:szCs w:val="20"/>
          <w:lang w:val="sr-Cyrl-CS"/>
        </w:rPr>
        <w:tab/>
      </w:r>
      <w:r w:rsidRPr="00092ED7">
        <w:rPr>
          <w:rFonts w:cs="Times New Roman"/>
          <w:b/>
          <w:sz w:val="20"/>
          <w:szCs w:val="20"/>
          <w:lang w:val="sr-Cyrl-CS"/>
        </w:rPr>
        <w:tab/>
      </w:r>
      <w:r w:rsidRPr="00092ED7">
        <w:rPr>
          <w:rFonts w:cs="Times New Roman"/>
          <w:b/>
          <w:sz w:val="20"/>
          <w:szCs w:val="20"/>
          <w:lang w:val="sr-Cyrl-CS"/>
        </w:rPr>
        <w:tab/>
      </w:r>
      <w:r w:rsidRPr="00092ED7">
        <w:rPr>
          <w:rFonts w:cs="Times New Roman"/>
          <w:b/>
          <w:sz w:val="20"/>
          <w:szCs w:val="20"/>
          <w:lang w:val="sr-Cyrl-CS"/>
        </w:rPr>
        <w:tab/>
      </w:r>
      <w:r w:rsidRPr="00092ED7">
        <w:rPr>
          <w:rFonts w:cs="Times New Roman"/>
          <w:b/>
          <w:sz w:val="20"/>
          <w:szCs w:val="20"/>
          <w:lang w:val="sr-Cyrl-CS"/>
        </w:rPr>
        <w:tab/>
        <w:t xml:space="preserve">            Република Србија</w:t>
      </w:r>
    </w:p>
    <w:tbl>
      <w:tblPr>
        <w:tblW w:w="5124" w:type="pct"/>
        <w:tblLayout w:type="fixed"/>
        <w:tblLook w:val="04A0" w:firstRow="1" w:lastRow="0" w:firstColumn="1" w:lastColumn="0" w:noHBand="0" w:noVBand="1"/>
      </w:tblPr>
      <w:tblGrid>
        <w:gridCol w:w="23"/>
        <w:gridCol w:w="5292"/>
        <w:gridCol w:w="1325"/>
        <w:gridCol w:w="708"/>
        <w:gridCol w:w="469"/>
        <w:gridCol w:w="835"/>
        <w:gridCol w:w="343"/>
        <w:gridCol w:w="842"/>
        <w:gridCol w:w="336"/>
        <w:gridCol w:w="849"/>
        <w:gridCol w:w="328"/>
        <w:gridCol w:w="857"/>
        <w:gridCol w:w="321"/>
        <w:gridCol w:w="864"/>
        <w:gridCol w:w="314"/>
        <w:gridCol w:w="872"/>
        <w:gridCol w:w="306"/>
      </w:tblGrid>
      <w:tr w:rsidR="00247CBF" w:rsidRPr="00092ED7" w14:paraId="4A01C35D" w14:textId="77777777" w:rsidTr="00247CBF">
        <w:trPr>
          <w:gridBefore w:val="1"/>
          <w:gridAfter w:val="1"/>
          <w:wBefore w:w="23" w:type="dxa"/>
          <w:wAfter w:w="306" w:type="dxa"/>
          <w:trHeight w:val="284"/>
        </w:trPr>
        <w:tc>
          <w:tcPr>
            <w:tcW w:w="5292" w:type="dxa"/>
            <w:vMerge w:val="restart"/>
            <w:tcBorders>
              <w:top w:val="double" w:sz="6" w:space="0" w:color="auto"/>
              <w:left w:val="double" w:sz="6" w:space="0" w:color="auto"/>
              <w:bottom w:val="nil"/>
              <w:right w:val="dotted" w:sz="4" w:space="0" w:color="auto"/>
            </w:tcBorders>
            <w:shd w:val="clear" w:color="000000" w:fill="FFFFFF"/>
            <w:vAlign w:val="center"/>
            <w:hideMark/>
          </w:tcPr>
          <w:p w14:paraId="6678FFDE" w14:textId="77777777" w:rsidR="00247CBF" w:rsidRPr="00092ED7" w:rsidRDefault="00247CBF" w:rsidP="00247CBF">
            <w:pPr>
              <w:spacing w:after="0"/>
              <w:jc w:val="left"/>
              <w:rPr>
                <w:rFonts w:eastAsia="Times New Roman" w:cs="Times New Roman"/>
                <w:sz w:val="20"/>
                <w:szCs w:val="20"/>
                <w:lang w:val="sr-Cyrl-CS" w:eastAsia="sr-Cyrl-RS"/>
              </w:rPr>
            </w:pPr>
            <w:r w:rsidRPr="00092ED7">
              <w:rPr>
                <w:rFonts w:eastAsia="Times New Roman" w:cs="Times New Roman"/>
                <w:sz w:val="20"/>
                <w:szCs w:val="20"/>
                <w:lang w:val="sr-Cyrl-CS" w:eastAsia="sr-Cyrl-RS"/>
              </w:rPr>
              <w:t> </w:t>
            </w:r>
          </w:p>
        </w:tc>
        <w:tc>
          <w:tcPr>
            <w:tcW w:w="2033" w:type="dxa"/>
            <w:gridSpan w:val="2"/>
            <w:vMerge w:val="restart"/>
            <w:tcBorders>
              <w:top w:val="double" w:sz="6" w:space="0" w:color="auto"/>
              <w:left w:val="dotted" w:sz="4" w:space="0" w:color="auto"/>
              <w:bottom w:val="single" w:sz="8" w:space="0" w:color="000000"/>
              <w:right w:val="single" w:sz="8" w:space="0" w:color="auto"/>
            </w:tcBorders>
            <w:shd w:val="clear" w:color="000000" w:fill="FFFFFF"/>
            <w:vAlign w:val="center"/>
            <w:hideMark/>
          </w:tcPr>
          <w:p w14:paraId="4AFCDF02" w14:textId="77777777" w:rsidR="00247CBF" w:rsidRPr="00092ED7" w:rsidRDefault="00247CBF" w:rsidP="00247CBF">
            <w:pPr>
              <w:spacing w:after="0"/>
              <w:jc w:val="center"/>
              <w:rPr>
                <w:rFonts w:eastAsia="Times New Roman" w:cs="Times New Roman"/>
                <w:sz w:val="20"/>
                <w:szCs w:val="20"/>
                <w:lang w:val="sr-Cyrl-CS" w:eastAsia="sr-Cyrl-RS"/>
              </w:rPr>
            </w:pPr>
            <w:r w:rsidRPr="00092ED7">
              <w:rPr>
                <w:rFonts w:eastAsia="Times New Roman" w:cs="Times New Roman"/>
                <w:sz w:val="20"/>
                <w:szCs w:val="20"/>
                <w:lang w:val="sr-Cyrl-CS" w:eastAsia="sr-Cyrl-RS"/>
              </w:rPr>
              <w:t>ESA шифра</w:t>
            </w:r>
          </w:p>
        </w:tc>
        <w:tc>
          <w:tcPr>
            <w:tcW w:w="1304" w:type="dxa"/>
            <w:gridSpan w:val="2"/>
            <w:tcBorders>
              <w:top w:val="double" w:sz="6" w:space="0" w:color="auto"/>
              <w:left w:val="nil"/>
              <w:bottom w:val="nil"/>
              <w:right w:val="single" w:sz="8" w:space="0" w:color="auto"/>
            </w:tcBorders>
            <w:shd w:val="clear" w:color="000000" w:fill="FFFFFF"/>
            <w:vAlign w:val="center"/>
            <w:hideMark/>
          </w:tcPr>
          <w:p w14:paraId="62043720" w14:textId="77777777" w:rsidR="00247CBF" w:rsidRPr="00092ED7" w:rsidRDefault="00247CBF" w:rsidP="00247CBF">
            <w:pPr>
              <w:spacing w:after="0"/>
              <w:jc w:val="center"/>
              <w:rPr>
                <w:rFonts w:eastAsia="Times New Roman" w:cs="Times New Roman"/>
                <w:sz w:val="20"/>
                <w:szCs w:val="20"/>
                <w:lang w:val="sr-Cyrl-CS" w:eastAsia="sr-Cyrl-RS"/>
              </w:rPr>
            </w:pPr>
            <w:r w:rsidRPr="00092ED7">
              <w:rPr>
                <w:rFonts w:eastAsia="Times New Roman" w:cs="Times New Roman"/>
                <w:sz w:val="20"/>
                <w:szCs w:val="20"/>
                <w:lang w:val="sr-Cyrl-CS" w:eastAsia="sr-Cyrl-RS"/>
              </w:rPr>
              <w:t>Година</w:t>
            </w:r>
          </w:p>
        </w:tc>
        <w:tc>
          <w:tcPr>
            <w:tcW w:w="1185" w:type="dxa"/>
            <w:gridSpan w:val="2"/>
            <w:tcBorders>
              <w:top w:val="double" w:sz="6" w:space="0" w:color="auto"/>
              <w:left w:val="nil"/>
              <w:bottom w:val="nil"/>
              <w:right w:val="dotted" w:sz="4" w:space="0" w:color="auto"/>
            </w:tcBorders>
            <w:shd w:val="clear" w:color="000000" w:fill="FFFFFF"/>
            <w:vAlign w:val="center"/>
            <w:hideMark/>
          </w:tcPr>
          <w:p w14:paraId="56C3B9F0" w14:textId="77777777" w:rsidR="00247CBF" w:rsidRPr="00092ED7" w:rsidRDefault="00247CBF" w:rsidP="00247CBF">
            <w:pPr>
              <w:spacing w:after="0"/>
              <w:jc w:val="center"/>
              <w:rPr>
                <w:rFonts w:eastAsia="Times New Roman" w:cs="Times New Roman"/>
                <w:sz w:val="20"/>
                <w:szCs w:val="20"/>
                <w:lang w:val="sr-Cyrl-CS" w:eastAsia="sr-Cyrl-RS"/>
              </w:rPr>
            </w:pPr>
            <w:r w:rsidRPr="00092ED7">
              <w:rPr>
                <w:rFonts w:eastAsia="Times New Roman" w:cs="Times New Roman"/>
                <w:sz w:val="20"/>
                <w:szCs w:val="20"/>
                <w:lang w:val="sr-Cyrl-CS" w:eastAsia="sr-Cyrl-RS"/>
              </w:rPr>
              <w:t>Година</w:t>
            </w:r>
          </w:p>
        </w:tc>
        <w:tc>
          <w:tcPr>
            <w:tcW w:w="1185" w:type="dxa"/>
            <w:gridSpan w:val="2"/>
            <w:tcBorders>
              <w:top w:val="double" w:sz="6" w:space="0" w:color="auto"/>
              <w:left w:val="nil"/>
              <w:bottom w:val="nil"/>
              <w:right w:val="dotted" w:sz="4" w:space="0" w:color="auto"/>
            </w:tcBorders>
            <w:shd w:val="clear" w:color="000000" w:fill="FFFFFF"/>
            <w:vAlign w:val="center"/>
            <w:hideMark/>
          </w:tcPr>
          <w:p w14:paraId="2DC11AEF" w14:textId="77777777" w:rsidR="00247CBF" w:rsidRPr="00092ED7" w:rsidRDefault="00247CBF" w:rsidP="00247CBF">
            <w:pPr>
              <w:spacing w:after="0"/>
              <w:jc w:val="center"/>
              <w:rPr>
                <w:rFonts w:eastAsia="Times New Roman" w:cs="Times New Roman"/>
                <w:sz w:val="20"/>
                <w:szCs w:val="20"/>
                <w:lang w:val="sr-Cyrl-CS" w:eastAsia="sr-Cyrl-RS"/>
              </w:rPr>
            </w:pPr>
            <w:r w:rsidRPr="00092ED7">
              <w:rPr>
                <w:rFonts w:eastAsia="Times New Roman" w:cs="Times New Roman"/>
                <w:sz w:val="20"/>
                <w:szCs w:val="20"/>
                <w:lang w:val="sr-Cyrl-CS" w:eastAsia="sr-Cyrl-RS"/>
              </w:rPr>
              <w:t>Година</w:t>
            </w:r>
          </w:p>
        </w:tc>
        <w:tc>
          <w:tcPr>
            <w:tcW w:w="1185" w:type="dxa"/>
            <w:gridSpan w:val="2"/>
            <w:tcBorders>
              <w:top w:val="double" w:sz="6" w:space="0" w:color="auto"/>
              <w:left w:val="nil"/>
              <w:bottom w:val="nil"/>
              <w:right w:val="dotted" w:sz="4" w:space="0" w:color="auto"/>
            </w:tcBorders>
            <w:shd w:val="clear" w:color="000000" w:fill="FFFFFF"/>
            <w:vAlign w:val="center"/>
            <w:hideMark/>
          </w:tcPr>
          <w:p w14:paraId="64330822" w14:textId="77777777" w:rsidR="00247CBF" w:rsidRPr="00092ED7" w:rsidRDefault="00247CBF" w:rsidP="00247CBF">
            <w:pPr>
              <w:spacing w:after="0"/>
              <w:jc w:val="center"/>
              <w:rPr>
                <w:rFonts w:eastAsia="Times New Roman" w:cs="Times New Roman"/>
                <w:sz w:val="20"/>
                <w:szCs w:val="20"/>
                <w:lang w:val="sr-Cyrl-CS" w:eastAsia="sr-Cyrl-RS"/>
              </w:rPr>
            </w:pPr>
            <w:r w:rsidRPr="00092ED7">
              <w:rPr>
                <w:rFonts w:eastAsia="Times New Roman" w:cs="Times New Roman"/>
                <w:sz w:val="20"/>
                <w:szCs w:val="20"/>
                <w:lang w:val="sr-Cyrl-CS" w:eastAsia="sr-Cyrl-RS"/>
              </w:rPr>
              <w:t>Година</w:t>
            </w:r>
          </w:p>
        </w:tc>
        <w:tc>
          <w:tcPr>
            <w:tcW w:w="1185" w:type="dxa"/>
            <w:gridSpan w:val="2"/>
            <w:tcBorders>
              <w:top w:val="double" w:sz="6" w:space="0" w:color="auto"/>
              <w:left w:val="nil"/>
              <w:bottom w:val="nil"/>
              <w:right w:val="dotted" w:sz="4" w:space="0" w:color="auto"/>
            </w:tcBorders>
            <w:shd w:val="clear" w:color="000000" w:fill="FFFFFF"/>
            <w:vAlign w:val="center"/>
            <w:hideMark/>
          </w:tcPr>
          <w:p w14:paraId="14CBDADE" w14:textId="77777777" w:rsidR="00247CBF" w:rsidRPr="00092ED7" w:rsidRDefault="00247CBF" w:rsidP="00247CBF">
            <w:pPr>
              <w:spacing w:after="0"/>
              <w:jc w:val="center"/>
              <w:rPr>
                <w:rFonts w:eastAsia="Times New Roman" w:cs="Times New Roman"/>
                <w:sz w:val="20"/>
                <w:szCs w:val="20"/>
                <w:lang w:val="sr-Cyrl-CS" w:eastAsia="sr-Cyrl-RS"/>
              </w:rPr>
            </w:pPr>
            <w:r w:rsidRPr="00092ED7">
              <w:rPr>
                <w:rFonts w:eastAsia="Times New Roman" w:cs="Times New Roman"/>
                <w:sz w:val="20"/>
                <w:szCs w:val="20"/>
                <w:lang w:val="sr-Cyrl-CS" w:eastAsia="sr-Cyrl-RS"/>
              </w:rPr>
              <w:t>Година</w:t>
            </w:r>
          </w:p>
        </w:tc>
        <w:tc>
          <w:tcPr>
            <w:tcW w:w="1186" w:type="dxa"/>
            <w:gridSpan w:val="2"/>
            <w:tcBorders>
              <w:top w:val="double" w:sz="6" w:space="0" w:color="auto"/>
              <w:left w:val="nil"/>
              <w:bottom w:val="nil"/>
              <w:right w:val="double" w:sz="6" w:space="0" w:color="auto"/>
            </w:tcBorders>
            <w:shd w:val="clear" w:color="000000" w:fill="FFFFFF"/>
            <w:vAlign w:val="center"/>
            <w:hideMark/>
          </w:tcPr>
          <w:p w14:paraId="6B983A4E" w14:textId="77777777" w:rsidR="00247CBF" w:rsidRPr="00092ED7" w:rsidRDefault="00247CBF" w:rsidP="00247CBF">
            <w:pPr>
              <w:spacing w:after="0"/>
              <w:jc w:val="center"/>
              <w:rPr>
                <w:rFonts w:eastAsia="Times New Roman" w:cs="Times New Roman"/>
                <w:sz w:val="20"/>
                <w:szCs w:val="20"/>
                <w:lang w:val="sr-Cyrl-CS" w:eastAsia="sr-Cyrl-RS"/>
              </w:rPr>
            </w:pPr>
            <w:r w:rsidRPr="00092ED7">
              <w:rPr>
                <w:rFonts w:eastAsia="Times New Roman" w:cs="Times New Roman"/>
                <w:sz w:val="20"/>
                <w:szCs w:val="20"/>
                <w:lang w:val="sr-Cyrl-CS" w:eastAsia="sr-Cyrl-RS"/>
              </w:rPr>
              <w:t>Година</w:t>
            </w:r>
          </w:p>
        </w:tc>
      </w:tr>
      <w:tr w:rsidR="00247CBF" w:rsidRPr="00092ED7" w14:paraId="1515D6E3" w14:textId="77777777" w:rsidTr="00247CBF">
        <w:trPr>
          <w:gridBefore w:val="1"/>
          <w:gridAfter w:val="1"/>
          <w:wBefore w:w="23" w:type="dxa"/>
          <w:wAfter w:w="306" w:type="dxa"/>
          <w:trHeight w:val="79"/>
        </w:trPr>
        <w:tc>
          <w:tcPr>
            <w:tcW w:w="5292" w:type="dxa"/>
            <w:vMerge/>
            <w:tcBorders>
              <w:top w:val="double" w:sz="6" w:space="0" w:color="auto"/>
              <w:left w:val="double" w:sz="6" w:space="0" w:color="auto"/>
              <w:bottom w:val="nil"/>
              <w:right w:val="dotted" w:sz="4" w:space="0" w:color="auto"/>
            </w:tcBorders>
            <w:vAlign w:val="center"/>
            <w:hideMark/>
          </w:tcPr>
          <w:p w14:paraId="40B09888" w14:textId="77777777" w:rsidR="00247CBF" w:rsidRPr="00092ED7" w:rsidRDefault="00247CBF" w:rsidP="00247CBF">
            <w:pPr>
              <w:spacing w:after="0"/>
              <w:jc w:val="left"/>
              <w:rPr>
                <w:rFonts w:eastAsia="Times New Roman" w:cs="Times New Roman"/>
                <w:sz w:val="20"/>
                <w:szCs w:val="20"/>
                <w:lang w:val="sr-Cyrl-CS" w:eastAsia="sr-Cyrl-RS"/>
              </w:rPr>
            </w:pPr>
          </w:p>
        </w:tc>
        <w:tc>
          <w:tcPr>
            <w:tcW w:w="2033" w:type="dxa"/>
            <w:gridSpan w:val="2"/>
            <w:vMerge/>
            <w:tcBorders>
              <w:top w:val="double" w:sz="6" w:space="0" w:color="auto"/>
              <w:left w:val="dotted" w:sz="4" w:space="0" w:color="auto"/>
              <w:bottom w:val="single" w:sz="8" w:space="0" w:color="000000"/>
              <w:right w:val="single" w:sz="8" w:space="0" w:color="auto"/>
            </w:tcBorders>
            <w:vAlign w:val="center"/>
            <w:hideMark/>
          </w:tcPr>
          <w:p w14:paraId="51D879C3" w14:textId="77777777" w:rsidR="00247CBF" w:rsidRPr="00092ED7" w:rsidRDefault="00247CBF" w:rsidP="00247CBF">
            <w:pPr>
              <w:spacing w:after="0"/>
              <w:jc w:val="left"/>
              <w:rPr>
                <w:rFonts w:eastAsia="Times New Roman" w:cs="Times New Roman"/>
                <w:sz w:val="20"/>
                <w:szCs w:val="20"/>
                <w:lang w:val="sr-Cyrl-CS" w:eastAsia="sr-Cyrl-RS"/>
              </w:rPr>
            </w:pPr>
          </w:p>
        </w:tc>
        <w:tc>
          <w:tcPr>
            <w:tcW w:w="1304" w:type="dxa"/>
            <w:gridSpan w:val="2"/>
            <w:tcBorders>
              <w:top w:val="nil"/>
              <w:left w:val="nil"/>
              <w:bottom w:val="dotted" w:sz="4" w:space="0" w:color="auto"/>
              <w:right w:val="single" w:sz="8" w:space="0" w:color="auto"/>
            </w:tcBorders>
            <w:shd w:val="clear" w:color="000000" w:fill="FFFFFF"/>
            <w:vAlign w:val="center"/>
            <w:hideMark/>
          </w:tcPr>
          <w:p w14:paraId="78C41E4E" w14:textId="77777777" w:rsidR="00247CBF" w:rsidRPr="00092ED7" w:rsidRDefault="00247CBF" w:rsidP="00247CBF">
            <w:pPr>
              <w:spacing w:after="0"/>
              <w:jc w:val="center"/>
              <w:rPr>
                <w:rFonts w:eastAsia="Times New Roman" w:cs="Times New Roman"/>
                <w:sz w:val="20"/>
                <w:szCs w:val="20"/>
                <w:lang w:val="sr-Cyrl-CS" w:eastAsia="sr-Cyrl-RS"/>
              </w:rPr>
            </w:pPr>
            <w:r w:rsidRPr="00092ED7">
              <w:rPr>
                <w:rFonts w:eastAsia="Times New Roman" w:cs="Times New Roman"/>
                <w:sz w:val="20"/>
                <w:szCs w:val="20"/>
                <w:lang w:val="sr-Cyrl-CS" w:eastAsia="sr-Cyrl-RS"/>
              </w:rPr>
              <w:t>2021</w:t>
            </w:r>
          </w:p>
        </w:tc>
        <w:tc>
          <w:tcPr>
            <w:tcW w:w="1185" w:type="dxa"/>
            <w:gridSpan w:val="2"/>
            <w:tcBorders>
              <w:top w:val="nil"/>
              <w:left w:val="nil"/>
              <w:bottom w:val="dotted" w:sz="4" w:space="0" w:color="auto"/>
              <w:right w:val="dotted" w:sz="4" w:space="0" w:color="auto"/>
            </w:tcBorders>
            <w:shd w:val="clear" w:color="000000" w:fill="FFFFFF"/>
            <w:vAlign w:val="center"/>
            <w:hideMark/>
          </w:tcPr>
          <w:p w14:paraId="16CB88D4" w14:textId="77777777" w:rsidR="00247CBF" w:rsidRPr="00092ED7" w:rsidRDefault="00247CBF" w:rsidP="00247CBF">
            <w:pPr>
              <w:spacing w:after="0"/>
              <w:jc w:val="center"/>
              <w:rPr>
                <w:rFonts w:eastAsia="Times New Roman" w:cs="Times New Roman"/>
                <w:sz w:val="20"/>
                <w:szCs w:val="20"/>
                <w:lang w:val="sr-Cyrl-CS" w:eastAsia="sr-Cyrl-RS"/>
              </w:rPr>
            </w:pPr>
            <w:r w:rsidRPr="00092ED7">
              <w:rPr>
                <w:rFonts w:eastAsia="Times New Roman" w:cs="Times New Roman"/>
                <w:sz w:val="20"/>
                <w:szCs w:val="20"/>
                <w:lang w:val="sr-Cyrl-CS" w:eastAsia="sr-Cyrl-RS"/>
              </w:rPr>
              <w:t>2021</w:t>
            </w:r>
          </w:p>
        </w:tc>
        <w:tc>
          <w:tcPr>
            <w:tcW w:w="1185" w:type="dxa"/>
            <w:gridSpan w:val="2"/>
            <w:tcBorders>
              <w:top w:val="nil"/>
              <w:left w:val="nil"/>
              <w:bottom w:val="dotted" w:sz="4" w:space="0" w:color="auto"/>
              <w:right w:val="dotted" w:sz="4" w:space="0" w:color="auto"/>
            </w:tcBorders>
            <w:shd w:val="clear" w:color="000000" w:fill="FFFFFF"/>
            <w:vAlign w:val="center"/>
            <w:hideMark/>
          </w:tcPr>
          <w:p w14:paraId="194CF579" w14:textId="77777777" w:rsidR="00247CBF" w:rsidRPr="00092ED7" w:rsidRDefault="00247CBF" w:rsidP="00247CBF">
            <w:pPr>
              <w:spacing w:after="0"/>
              <w:jc w:val="center"/>
              <w:rPr>
                <w:rFonts w:eastAsia="Times New Roman" w:cs="Times New Roman"/>
                <w:sz w:val="20"/>
                <w:szCs w:val="20"/>
                <w:lang w:val="sr-Cyrl-CS" w:eastAsia="sr-Cyrl-RS"/>
              </w:rPr>
            </w:pPr>
            <w:r w:rsidRPr="00092ED7">
              <w:rPr>
                <w:rFonts w:eastAsia="Times New Roman" w:cs="Times New Roman"/>
                <w:sz w:val="20"/>
                <w:szCs w:val="20"/>
                <w:lang w:val="sr-Cyrl-CS" w:eastAsia="sr-Cyrl-RS"/>
              </w:rPr>
              <w:t>2022</w:t>
            </w:r>
          </w:p>
        </w:tc>
        <w:tc>
          <w:tcPr>
            <w:tcW w:w="1185" w:type="dxa"/>
            <w:gridSpan w:val="2"/>
            <w:tcBorders>
              <w:top w:val="nil"/>
              <w:left w:val="nil"/>
              <w:bottom w:val="dotted" w:sz="4" w:space="0" w:color="auto"/>
              <w:right w:val="dotted" w:sz="4" w:space="0" w:color="auto"/>
            </w:tcBorders>
            <w:shd w:val="clear" w:color="000000" w:fill="FFFFFF"/>
            <w:vAlign w:val="center"/>
            <w:hideMark/>
          </w:tcPr>
          <w:p w14:paraId="3871EF3C" w14:textId="77777777" w:rsidR="00247CBF" w:rsidRPr="00092ED7" w:rsidRDefault="00247CBF" w:rsidP="00247CBF">
            <w:pPr>
              <w:spacing w:after="0"/>
              <w:jc w:val="center"/>
              <w:rPr>
                <w:rFonts w:eastAsia="Times New Roman" w:cs="Times New Roman"/>
                <w:sz w:val="20"/>
                <w:szCs w:val="20"/>
                <w:lang w:val="sr-Cyrl-CS" w:eastAsia="sr-Cyrl-RS"/>
              </w:rPr>
            </w:pPr>
            <w:r w:rsidRPr="00092ED7">
              <w:rPr>
                <w:rFonts w:eastAsia="Times New Roman" w:cs="Times New Roman"/>
                <w:sz w:val="20"/>
                <w:szCs w:val="20"/>
                <w:lang w:val="sr-Cyrl-CS" w:eastAsia="sr-Cyrl-RS"/>
              </w:rPr>
              <w:t>2023</w:t>
            </w:r>
          </w:p>
        </w:tc>
        <w:tc>
          <w:tcPr>
            <w:tcW w:w="1185" w:type="dxa"/>
            <w:gridSpan w:val="2"/>
            <w:tcBorders>
              <w:top w:val="nil"/>
              <w:left w:val="nil"/>
              <w:bottom w:val="dotted" w:sz="4" w:space="0" w:color="auto"/>
              <w:right w:val="dotted" w:sz="4" w:space="0" w:color="auto"/>
            </w:tcBorders>
            <w:shd w:val="clear" w:color="000000" w:fill="FFFFFF"/>
            <w:vAlign w:val="center"/>
            <w:hideMark/>
          </w:tcPr>
          <w:p w14:paraId="05F3A731" w14:textId="77777777" w:rsidR="00247CBF" w:rsidRPr="00092ED7" w:rsidRDefault="00247CBF" w:rsidP="00247CBF">
            <w:pPr>
              <w:spacing w:after="0"/>
              <w:jc w:val="center"/>
              <w:rPr>
                <w:rFonts w:eastAsia="Times New Roman" w:cs="Times New Roman"/>
                <w:sz w:val="20"/>
                <w:szCs w:val="20"/>
                <w:lang w:val="sr-Cyrl-CS" w:eastAsia="sr-Cyrl-RS"/>
              </w:rPr>
            </w:pPr>
            <w:r w:rsidRPr="00092ED7">
              <w:rPr>
                <w:rFonts w:eastAsia="Times New Roman" w:cs="Times New Roman"/>
                <w:sz w:val="20"/>
                <w:szCs w:val="20"/>
                <w:lang w:val="sr-Cyrl-CS" w:eastAsia="sr-Cyrl-RS"/>
              </w:rPr>
              <w:t>2024</w:t>
            </w:r>
          </w:p>
        </w:tc>
        <w:tc>
          <w:tcPr>
            <w:tcW w:w="1186" w:type="dxa"/>
            <w:gridSpan w:val="2"/>
            <w:tcBorders>
              <w:top w:val="nil"/>
              <w:left w:val="nil"/>
              <w:bottom w:val="dotted" w:sz="4" w:space="0" w:color="auto"/>
              <w:right w:val="double" w:sz="6" w:space="0" w:color="auto"/>
            </w:tcBorders>
            <w:shd w:val="clear" w:color="000000" w:fill="FFFFFF"/>
            <w:vAlign w:val="center"/>
            <w:hideMark/>
          </w:tcPr>
          <w:p w14:paraId="6F61C6D5" w14:textId="77777777" w:rsidR="00247CBF" w:rsidRPr="00092ED7" w:rsidRDefault="00247CBF" w:rsidP="00247CBF">
            <w:pPr>
              <w:spacing w:after="0"/>
              <w:jc w:val="center"/>
              <w:rPr>
                <w:rFonts w:eastAsia="Times New Roman" w:cs="Times New Roman"/>
                <w:sz w:val="20"/>
                <w:szCs w:val="20"/>
                <w:lang w:val="sr-Cyrl-CS" w:eastAsia="sr-Cyrl-RS"/>
              </w:rPr>
            </w:pPr>
            <w:r w:rsidRPr="00092ED7">
              <w:rPr>
                <w:rFonts w:eastAsia="Times New Roman" w:cs="Times New Roman"/>
                <w:sz w:val="20"/>
                <w:szCs w:val="20"/>
                <w:lang w:val="sr-Cyrl-CS" w:eastAsia="sr-Cyrl-RS"/>
              </w:rPr>
              <w:t>2025</w:t>
            </w:r>
          </w:p>
        </w:tc>
      </w:tr>
      <w:tr w:rsidR="00247CBF" w:rsidRPr="00092ED7" w14:paraId="0257B6FC" w14:textId="77777777" w:rsidTr="00247CBF">
        <w:trPr>
          <w:gridBefore w:val="1"/>
          <w:gridAfter w:val="1"/>
          <w:wBefore w:w="23" w:type="dxa"/>
          <w:wAfter w:w="306" w:type="dxa"/>
          <w:trHeight w:val="284"/>
        </w:trPr>
        <w:tc>
          <w:tcPr>
            <w:tcW w:w="5292" w:type="dxa"/>
            <w:tcBorders>
              <w:top w:val="nil"/>
              <w:left w:val="double" w:sz="6" w:space="0" w:color="auto"/>
              <w:bottom w:val="single" w:sz="8" w:space="0" w:color="auto"/>
              <w:right w:val="dotted" w:sz="4" w:space="0" w:color="auto"/>
            </w:tcBorders>
            <w:shd w:val="clear" w:color="000000" w:fill="FFFFFF"/>
            <w:vAlign w:val="center"/>
            <w:hideMark/>
          </w:tcPr>
          <w:p w14:paraId="01E17F89" w14:textId="77777777" w:rsidR="00247CBF" w:rsidRPr="00092ED7" w:rsidRDefault="00247CBF" w:rsidP="00247CBF">
            <w:pPr>
              <w:spacing w:after="0"/>
              <w:jc w:val="left"/>
              <w:rPr>
                <w:rFonts w:eastAsia="Times New Roman" w:cs="Times New Roman"/>
                <w:sz w:val="20"/>
                <w:szCs w:val="20"/>
                <w:lang w:val="sr-Cyrl-CS" w:eastAsia="sr-Cyrl-RS"/>
              </w:rPr>
            </w:pPr>
            <w:r w:rsidRPr="00092ED7">
              <w:rPr>
                <w:rFonts w:eastAsia="Times New Roman" w:cs="Times New Roman"/>
                <w:sz w:val="20"/>
                <w:szCs w:val="20"/>
                <w:lang w:val="sr-Cyrl-CS" w:eastAsia="sr-Cyrl-RS"/>
              </w:rPr>
              <w:t> </w:t>
            </w:r>
          </w:p>
        </w:tc>
        <w:tc>
          <w:tcPr>
            <w:tcW w:w="2033" w:type="dxa"/>
            <w:gridSpan w:val="2"/>
            <w:vMerge/>
            <w:tcBorders>
              <w:top w:val="double" w:sz="6" w:space="0" w:color="auto"/>
              <w:left w:val="dotted" w:sz="4" w:space="0" w:color="auto"/>
              <w:bottom w:val="single" w:sz="8" w:space="0" w:color="000000"/>
              <w:right w:val="single" w:sz="8" w:space="0" w:color="auto"/>
            </w:tcBorders>
            <w:vAlign w:val="center"/>
            <w:hideMark/>
          </w:tcPr>
          <w:p w14:paraId="42E65FAB" w14:textId="77777777" w:rsidR="00247CBF" w:rsidRPr="00092ED7" w:rsidRDefault="00247CBF" w:rsidP="00247CBF">
            <w:pPr>
              <w:spacing w:after="0"/>
              <w:jc w:val="left"/>
              <w:rPr>
                <w:rFonts w:eastAsia="Times New Roman" w:cs="Times New Roman"/>
                <w:sz w:val="20"/>
                <w:szCs w:val="20"/>
                <w:lang w:val="sr-Cyrl-CS" w:eastAsia="sr-Cyrl-RS"/>
              </w:rPr>
            </w:pPr>
          </w:p>
        </w:tc>
        <w:tc>
          <w:tcPr>
            <w:tcW w:w="1304" w:type="dxa"/>
            <w:gridSpan w:val="2"/>
            <w:tcBorders>
              <w:top w:val="nil"/>
              <w:left w:val="nil"/>
              <w:bottom w:val="single" w:sz="8" w:space="0" w:color="auto"/>
              <w:right w:val="single" w:sz="8" w:space="0" w:color="auto"/>
            </w:tcBorders>
            <w:shd w:val="clear" w:color="000000" w:fill="FFFFFF"/>
            <w:vAlign w:val="center"/>
            <w:hideMark/>
          </w:tcPr>
          <w:p w14:paraId="1AF1061B" w14:textId="77777777" w:rsidR="00247CBF" w:rsidRPr="00092ED7" w:rsidRDefault="00247CBF" w:rsidP="00247CBF">
            <w:pPr>
              <w:spacing w:after="0"/>
              <w:jc w:val="center"/>
              <w:rPr>
                <w:rFonts w:eastAsia="Times New Roman" w:cs="Times New Roman"/>
                <w:sz w:val="20"/>
                <w:szCs w:val="20"/>
                <w:lang w:val="sr-Cyrl-CS" w:eastAsia="sr-Cyrl-RS"/>
              </w:rPr>
            </w:pPr>
            <w:r w:rsidRPr="00092ED7">
              <w:rPr>
                <w:rFonts w:eastAsia="Times New Roman" w:cs="Times New Roman"/>
                <w:sz w:val="20"/>
                <w:szCs w:val="20"/>
                <w:lang w:val="sr-Cyrl-CS" w:eastAsia="sr-Cyrl-RS"/>
              </w:rPr>
              <w:t>Ниво (млрд РСД)</w:t>
            </w:r>
          </w:p>
        </w:tc>
        <w:tc>
          <w:tcPr>
            <w:tcW w:w="5926" w:type="dxa"/>
            <w:gridSpan w:val="10"/>
            <w:tcBorders>
              <w:top w:val="nil"/>
              <w:left w:val="nil"/>
              <w:bottom w:val="single" w:sz="8" w:space="0" w:color="auto"/>
              <w:right w:val="double" w:sz="6" w:space="0" w:color="000000"/>
            </w:tcBorders>
            <w:shd w:val="clear" w:color="000000" w:fill="FFFFFF"/>
            <w:vAlign w:val="center"/>
          </w:tcPr>
          <w:p w14:paraId="2B840244" w14:textId="77777777" w:rsidR="00247CBF" w:rsidRPr="00092ED7" w:rsidRDefault="00247CBF" w:rsidP="00247CBF">
            <w:pPr>
              <w:spacing w:after="0"/>
              <w:jc w:val="center"/>
              <w:rPr>
                <w:rFonts w:eastAsia="Times New Roman" w:cs="Times New Roman"/>
                <w:sz w:val="20"/>
                <w:szCs w:val="20"/>
                <w:lang w:val="sr-Cyrl-CS" w:eastAsia="sr-Cyrl-RS"/>
              </w:rPr>
            </w:pPr>
            <w:r w:rsidRPr="00092ED7">
              <w:rPr>
                <w:rFonts w:eastAsia="Times New Roman" w:cs="Times New Roman"/>
                <w:sz w:val="20"/>
                <w:szCs w:val="20"/>
                <w:lang w:val="sr-Cyrl-CS" w:eastAsia="sr-Cyrl-RS"/>
              </w:rPr>
              <w:t>% БДП</w:t>
            </w:r>
          </w:p>
        </w:tc>
      </w:tr>
      <w:tr w:rsidR="00247CBF" w:rsidRPr="00092ED7" w14:paraId="5BC49ECD" w14:textId="77777777" w:rsidTr="00247CBF">
        <w:trPr>
          <w:gridBefore w:val="1"/>
          <w:gridAfter w:val="1"/>
          <w:wBefore w:w="23" w:type="dxa"/>
          <w:wAfter w:w="306" w:type="dxa"/>
          <w:trHeight w:val="284"/>
        </w:trPr>
        <w:tc>
          <w:tcPr>
            <w:tcW w:w="14555" w:type="dxa"/>
            <w:gridSpan w:val="15"/>
            <w:tcBorders>
              <w:top w:val="single" w:sz="8" w:space="0" w:color="auto"/>
              <w:left w:val="double" w:sz="6" w:space="0" w:color="auto"/>
              <w:bottom w:val="single" w:sz="8" w:space="0" w:color="auto"/>
              <w:right w:val="double" w:sz="6" w:space="0" w:color="000000"/>
            </w:tcBorders>
            <w:shd w:val="clear" w:color="000000" w:fill="FFFFFF"/>
            <w:vAlign w:val="center"/>
            <w:hideMark/>
          </w:tcPr>
          <w:p w14:paraId="7A139193" w14:textId="77777777" w:rsidR="00247CBF" w:rsidRPr="00092ED7" w:rsidRDefault="00247CBF" w:rsidP="00247CBF">
            <w:pPr>
              <w:spacing w:after="0"/>
              <w:jc w:val="center"/>
              <w:rPr>
                <w:rFonts w:eastAsia="Times New Roman" w:cs="Times New Roman"/>
                <w:b/>
                <w:bCs/>
                <w:sz w:val="20"/>
                <w:szCs w:val="20"/>
                <w:lang w:val="sr-Cyrl-CS" w:eastAsia="sr-Cyrl-RS"/>
              </w:rPr>
            </w:pPr>
            <w:r w:rsidRPr="00092ED7">
              <w:rPr>
                <w:rFonts w:eastAsia="Times New Roman" w:cs="Times New Roman"/>
                <w:b/>
                <w:bCs/>
                <w:sz w:val="20"/>
                <w:szCs w:val="20"/>
                <w:lang w:val="sr-Cyrl-CS" w:eastAsia="sr-Cyrl-RS"/>
              </w:rPr>
              <w:t>Нето позајмице (B9) по подсекторима</w:t>
            </w:r>
          </w:p>
        </w:tc>
      </w:tr>
      <w:tr w:rsidR="00247CBF" w:rsidRPr="00092ED7" w14:paraId="0F3D77B2" w14:textId="77777777" w:rsidTr="00247CBF">
        <w:trPr>
          <w:gridBefore w:val="1"/>
          <w:gridAfter w:val="1"/>
          <w:wBefore w:w="23" w:type="dxa"/>
          <w:wAfter w:w="306" w:type="dxa"/>
          <w:trHeight w:val="284"/>
        </w:trPr>
        <w:tc>
          <w:tcPr>
            <w:tcW w:w="5292" w:type="dxa"/>
            <w:tcBorders>
              <w:top w:val="nil"/>
              <w:left w:val="double" w:sz="6" w:space="0" w:color="auto"/>
              <w:bottom w:val="dotted" w:sz="4" w:space="0" w:color="auto"/>
              <w:right w:val="dotted" w:sz="4" w:space="0" w:color="auto"/>
            </w:tcBorders>
            <w:shd w:val="clear" w:color="auto" w:fill="auto"/>
            <w:vAlign w:val="center"/>
            <w:hideMark/>
          </w:tcPr>
          <w:p w14:paraId="210D0CB2" w14:textId="77777777" w:rsidR="00247CBF" w:rsidRPr="00092ED7" w:rsidRDefault="00247CBF" w:rsidP="00247CBF">
            <w:pPr>
              <w:spacing w:after="0"/>
              <w:jc w:val="left"/>
              <w:rPr>
                <w:rFonts w:eastAsia="Times New Roman" w:cs="Times New Roman"/>
                <w:sz w:val="20"/>
                <w:szCs w:val="20"/>
                <w:lang w:val="sr-Cyrl-CS" w:eastAsia="sr-Cyrl-RS"/>
              </w:rPr>
            </w:pPr>
            <w:r w:rsidRPr="00092ED7">
              <w:rPr>
                <w:rFonts w:eastAsia="Times New Roman" w:cs="Times New Roman"/>
                <w:sz w:val="20"/>
                <w:szCs w:val="20"/>
                <w:lang w:val="sr-Cyrl-CS" w:eastAsia="sr-Cyrl-RS"/>
              </w:rPr>
              <w:t>1. Општи ниво државе</w:t>
            </w:r>
          </w:p>
        </w:tc>
        <w:tc>
          <w:tcPr>
            <w:tcW w:w="2033" w:type="dxa"/>
            <w:gridSpan w:val="2"/>
            <w:tcBorders>
              <w:top w:val="nil"/>
              <w:left w:val="nil"/>
              <w:bottom w:val="dotted" w:sz="4" w:space="0" w:color="auto"/>
              <w:right w:val="single" w:sz="8" w:space="0" w:color="auto"/>
            </w:tcBorders>
            <w:shd w:val="clear" w:color="auto" w:fill="auto"/>
            <w:vAlign w:val="center"/>
            <w:hideMark/>
          </w:tcPr>
          <w:p w14:paraId="0CACC390" w14:textId="77777777" w:rsidR="00247CBF" w:rsidRPr="00092ED7" w:rsidRDefault="00247CBF" w:rsidP="00247CBF">
            <w:pPr>
              <w:spacing w:after="0"/>
              <w:jc w:val="center"/>
              <w:rPr>
                <w:rFonts w:eastAsia="Times New Roman" w:cs="Times New Roman"/>
                <w:sz w:val="20"/>
                <w:szCs w:val="20"/>
                <w:lang w:val="sr-Cyrl-CS" w:eastAsia="sr-Cyrl-RS"/>
              </w:rPr>
            </w:pPr>
            <w:r w:rsidRPr="00092ED7">
              <w:rPr>
                <w:rFonts w:eastAsia="Times New Roman" w:cs="Times New Roman"/>
                <w:sz w:val="20"/>
                <w:szCs w:val="20"/>
                <w:lang w:val="sr-Cyrl-CS" w:eastAsia="sr-Cyrl-RS"/>
              </w:rPr>
              <w:t>S13</w:t>
            </w:r>
          </w:p>
        </w:tc>
        <w:tc>
          <w:tcPr>
            <w:tcW w:w="1304" w:type="dxa"/>
            <w:gridSpan w:val="2"/>
            <w:tcBorders>
              <w:top w:val="nil"/>
              <w:left w:val="nil"/>
              <w:bottom w:val="dotted" w:sz="4" w:space="0" w:color="auto"/>
              <w:right w:val="single" w:sz="8" w:space="0" w:color="auto"/>
            </w:tcBorders>
            <w:shd w:val="clear" w:color="auto" w:fill="auto"/>
            <w:vAlign w:val="center"/>
            <w:hideMark/>
          </w:tcPr>
          <w:p w14:paraId="5AD715F2"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-259,4</w:t>
            </w:r>
          </w:p>
        </w:tc>
        <w:tc>
          <w:tcPr>
            <w:tcW w:w="1185" w:type="dxa"/>
            <w:gridSpan w:val="2"/>
            <w:tcBorders>
              <w:top w:val="nil"/>
              <w:left w:val="nil"/>
              <w:bottom w:val="dotted" w:sz="4" w:space="0" w:color="auto"/>
              <w:right w:val="dotted" w:sz="4" w:space="0" w:color="auto"/>
            </w:tcBorders>
            <w:shd w:val="clear" w:color="auto" w:fill="auto"/>
            <w:vAlign w:val="center"/>
            <w:hideMark/>
          </w:tcPr>
          <w:p w14:paraId="0871CC52"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-4,1</w:t>
            </w:r>
          </w:p>
        </w:tc>
        <w:tc>
          <w:tcPr>
            <w:tcW w:w="1185" w:type="dxa"/>
            <w:gridSpan w:val="2"/>
            <w:tcBorders>
              <w:top w:val="nil"/>
              <w:left w:val="nil"/>
              <w:bottom w:val="dotted" w:sz="4" w:space="0" w:color="auto"/>
              <w:right w:val="dotted" w:sz="4" w:space="0" w:color="auto"/>
            </w:tcBorders>
            <w:shd w:val="clear" w:color="auto" w:fill="auto"/>
            <w:vAlign w:val="center"/>
            <w:hideMark/>
          </w:tcPr>
          <w:p w14:paraId="10B80C61"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-3,8</w:t>
            </w:r>
          </w:p>
        </w:tc>
        <w:tc>
          <w:tcPr>
            <w:tcW w:w="1185" w:type="dxa"/>
            <w:gridSpan w:val="2"/>
            <w:tcBorders>
              <w:top w:val="nil"/>
              <w:left w:val="nil"/>
              <w:bottom w:val="dotted" w:sz="4" w:space="0" w:color="auto"/>
              <w:right w:val="dotted" w:sz="4" w:space="0" w:color="auto"/>
            </w:tcBorders>
            <w:shd w:val="clear" w:color="auto" w:fill="auto"/>
            <w:vAlign w:val="center"/>
            <w:hideMark/>
          </w:tcPr>
          <w:p w14:paraId="7FBFAD9E"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-3,3</w:t>
            </w:r>
          </w:p>
        </w:tc>
        <w:tc>
          <w:tcPr>
            <w:tcW w:w="1185" w:type="dxa"/>
            <w:gridSpan w:val="2"/>
            <w:tcBorders>
              <w:top w:val="nil"/>
              <w:left w:val="nil"/>
              <w:bottom w:val="dotted" w:sz="4" w:space="0" w:color="auto"/>
              <w:right w:val="dotted" w:sz="4" w:space="0" w:color="auto"/>
            </w:tcBorders>
            <w:shd w:val="clear" w:color="auto" w:fill="auto"/>
            <w:vAlign w:val="center"/>
            <w:hideMark/>
          </w:tcPr>
          <w:p w14:paraId="77747211"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-2,2</w:t>
            </w:r>
          </w:p>
        </w:tc>
        <w:tc>
          <w:tcPr>
            <w:tcW w:w="1186" w:type="dxa"/>
            <w:gridSpan w:val="2"/>
            <w:tcBorders>
              <w:top w:val="nil"/>
              <w:left w:val="nil"/>
              <w:bottom w:val="dotted" w:sz="4" w:space="0" w:color="auto"/>
              <w:right w:val="double" w:sz="6" w:space="0" w:color="auto"/>
            </w:tcBorders>
            <w:shd w:val="clear" w:color="auto" w:fill="auto"/>
            <w:vAlign w:val="center"/>
            <w:hideMark/>
          </w:tcPr>
          <w:p w14:paraId="4948F721"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-1,4</w:t>
            </w:r>
          </w:p>
        </w:tc>
      </w:tr>
      <w:tr w:rsidR="00247CBF" w:rsidRPr="00092ED7" w14:paraId="78F6A1DC" w14:textId="77777777" w:rsidTr="00247CBF">
        <w:trPr>
          <w:gridBefore w:val="1"/>
          <w:gridAfter w:val="1"/>
          <w:wBefore w:w="23" w:type="dxa"/>
          <w:wAfter w:w="306" w:type="dxa"/>
          <w:trHeight w:val="284"/>
        </w:trPr>
        <w:tc>
          <w:tcPr>
            <w:tcW w:w="5292" w:type="dxa"/>
            <w:tcBorders>
              <w:top w:val="nil"/>
              <w:left w:val="double" w:sz="6" w:space="0" w:color="auto"/>
              <w:bottom w:val="dotted" w:sz="4" w:space="0" w:color="auto"/>
              <w:right w:val="dotted" w:sz="4" w:space="0" w:color="auto"/>
            </w:tcBorders>
            <w:shd w:val="clear" w:color="auto" w:fill="auto"/>
            <w:vAlign w:val="center"/>
            <w:hideMark/>
          </w:tcPr>
          <w:p w14:paraId="44259ED0" w14:textId="77777777" w:rsidR="00247CBF" w:rsidRPr="00092ED7" w:rsidRDefault="00247CBF" w:rsidP="00247CBF">
            <w:pPr>
              <w:spacing w:after="0"/>
              <w:jc w:val="left"/>
              <w:rPr>
                <w:rFonts w:eastAsia="Times New Roman" w:cs="Times New Roman"/>
                <w:sz w:val="20"/>
                <w:szCs w:val="20"/>
                <w:lang w:val="sr-Cyrl-CS" w:eastAsia="sr-Cyrl-RS"/>
              </w:rPr>
            </w:pPr>
            <w:r w:rsidRPr="00092ED7">
              <w:rPr>
                <w:rFonts w:eastAsia="Times New Roman" w:cs="Times New Roman"/>
                <w:sz w:val="20"/>
                <w:szCs w:val="20"/>
                <w:lang w:val="sr-Cyrl-CS" w:eastAsia="sr-Cyrl-RS"/>
              </w:rPr>
              <w:t>2. Централни ниво државе</w:t>
            </w:r>
          </w:p>
        </w:tc>
        <w:tc>
          <w:tcPr>
            <w:tcW w:w="2033" w:type="dxa"/>
            <w:gridSpan w:val="2"/>
            <w:tcBorders>
              <w:top w:val="nil"/>
              <w:left w:val="nil"/>
              <w:bottom w:val="dotted" w:sz="4" w:space="0" w:color="auto"/>
              <w:right w:val="single" w:sz="8" w:space="0" w:color="auto"/>
            </w:tcBorders>
            <w:shd w:val="clear" w:color="auto" w:fill="auto"/>
            <w:vAlign w:val="center"/>
            <w:hideMark/>
          </w:tcPr>
          <w:p w14:paraId="724A5F69" w14:textId="77777777" w:rsidR="00247CBF" w:rsidRPr="00092ED7" w:rsidRDefault="00247CBF" w:rsidP="00247CBF">
            <w:pPr>
              <w:spacing w:after="0"/>
              <w:jc w:val="center"/>
              <w:rPr>
                <w:rFonts w:eastAsia="Times New Roman" w:cs="Times New Roman"/>
                <w:sz w:val="20"/>
                <w:szCs w:val="20"/>
                <w:lang w:val="sr-Cyrl-CS" w:eastAsia="sr-Cyrl-RS"/>
              </w:rPr>
            </w:pPr>
            <w:r w:rsidRPr="00092ED7">
              <w:rPr>
                <w:rFonts w:eastAsia="Times New Roman" w:cs="Times New Roman"/>
                <w:sz w:val="20"/>
                <w:szCs w:val="20"/>
                <w:lang w:val="sr-Cyrl-CS" w:eastAsia="sr-Cyrl-RS"/>
              </w:rPr>
              <w:t>S1311</w:t>
            </w:r>
          </w:p>
        </w:tc>
        <w:tc>
          <w:tcPr>
            <w:tcW w:w="1304" w:type="dxa"/>
            <w:gridSpan w:val="2"/>
            <w:tcBorders>
              <w:top w:val="nil"/>
              <w:left w:val="nil"/>
              <w:bottom w:val="dotted" w:sz="4" w:space="0" w:color="auto"/>
              <w:right w:val="single" w:sz="8" w:space="0" w:color="auto"/>
            </w:tcBorders>
            <w:shd w:val="clear" w:color="auto" w:fill="auto"/>
            <w:vAlign w:val="center"/>
            <w:hideMark/>
          </w:tcPr>
          <w:p w14:paraId="2A3B34C9"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-285,2</w:t>
            </w:r>
          </w:p>
        </w:tc>
        <w:tc>
          <w:tcPr>
            <w:tcW w:w="1185" w:type="dxa"/>
            <w:gridSpan w:val="2"/>
            <w:tcBorders>
              <w:top w:val="nil"/>
              <w:left w:val="nil"/>
              <w:bottom w:val="dotted" w:sz="4" w:space="0" w:color="auto"/>
              <w:right w:val="dotted" w:sz="4" w:space="0" w:color="auto"/>
            </w:tcBorders>
            <w:shd w:val="clear" w:color="auto" w:fill="auto"/>
            <w:vAlign w:val="center"/>
            <w:hideMark/>
          </w:tcPr>
          <w:p w14:paraId="3C64BD64"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-4,5</w:t>
            </w:r>
          </w:p>
        </w:tc>
        <w:tc>
          <w:tcPr>
            <w:tcW w:w="1185" w:type="dxa"/>
            <w:gridSpan w:val="2"/>
            <w:tcBorders>
              <w:top w:val="nil"/>
              <w:left w:val="nil"/>
              <w:bottom w:val="dotted" w:sz="4" w:space="0" w:color="auto"/>
              <w:right w:val="dotted" w:sz="4" w:space="0" w:color="auto"/>
            </w:tcBorders>
            <w:shd w:val="clear" w:color="auto" w:fill="auto"/>
            <w:vAlign w:val="center"/>
            <w:hideMark/>
          </w:tcPr>
          <w:p w14:paraId="7FC26BE8"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-3,9</w:t>
            </w:r>
          </w:p>
        </w:tc>
        <w:tc>
          <w:tcPr>
            <w:tcW w:w="1185" w:type="dxa"/>
            <w:gridSpan w:val="2"/>
            <w:tcBorders>
              <w:top w:val="nil"/>
              <w:left w:val="nil"/>
              <w:bottom w:val="dotted" w:sz="4" w:space="0" w:color="auto"/>
              <w:right w:val="dotted" w:sz="4" w:space="0" w:color="auto"/>
            </w:tcBorders>
            <w:shd w:val="clear" w:color="auto" w:fill="auto"/>
            <w:vAlign w:val="center"/>
            <w:hideMark/>
          </w:tcPr>
          <w:p w14:paraId="60B2A787"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-3,3</w:t>
            </w:r>
          </w:p>
        </w:tc>
        <w:tc>
          <w:tcPr>
            <w:tcW w:w="1185" w:type="dxa"/>
            <w:gridSpan w:val="2"/>
            <w:tcBorders>
              <w:top w:val="nil"/>
              <w:left w:val="nil"/>
              <w:bottom w:val="dotted" w:sz="4" w:space="0" w:color="auto"/>
              <w:right w:val="dotted" w:sz="4" w:space="0" w:color="auto"/>
            </w:tcBorders>
            <w:shd w:val="clear" w:color="auto" w:fill="auto"/>
            <w:vAlign w:val="center"/>
            <w:hideMark/>
          </w:tcPr>
          <w:p w14:paraId="40D1D6CF"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-2,2</w:t>
            </w:r>
          </w:p>
        </w:tc>
        <w:tc>
          <w:tcPr>
            <w:tcW w:w="1186" w:type="dxa"/>
            <w:gridSpan w:val="2"/>
            <w:tcBorders>
              <w:top w:val="nil"/>
              <w:left w:val="nil"/>
              <w:bottom w:val="dotted" w:sz="4" w:space="0" w:color="auto"/>
              <w:right w:val="double" w:sz="6" w:space="0" w:color="auto"/>
            </w:tcBorders>
            <w:shd w:val="clear" w:color="auto" w:fill="auto"/>
            <w:vAlign w:val="center"/>
            <w:hideMark/>
          </w:tcPr>
          <w:p w14:paraId="4D2AAB33"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-1,4</w:t>
            </w:r>
          </w:p>
        </w:tc>
      </w:tr>
      <w:tr w:rsidR="00247CBF" w:rsidRPr="00092ED7" w14:paraId="71F2C7C1" w14:textId="77777777" w:rsidTr="00247CBF">
        <w:trPr>
          <w:gridBefore w:val="1"/>
          <w:gridAfter w:val="1"/>
          <w:wBefore w:w="23" w:type="dxa"/>
          <w:wAfter w:w="306" w:type="dxa"/>
          <w:trHeight w:val="284"/>
        </w:trPr>
        <w:tc>
          <w:tcPr>
            <w:tcW w:w="5292" w:type="dxa"/>
            <w:tcBorders>
              <w:top w:val="nil"/>
              <w:left w:val="double" w:sz="6" w:space="0" w:color="auto"/>
              <w:bottom w:val="dotted" w:sz="4" w:space="0" w:color="auto"/>
              <w:right w:val="dotted" w:sz="4" w:space="0" w:color="auto"/>
            </w:tcBorders>
            <w:shd w:val="clear" w:color="auto" w:fill="auto"/>
            <w:vAlign w:val="center"/>
            <w:hideMark/>
          </w:tcPr>
          <w:p w14:paraId="28AC6910" w14:textId="77777777" w:rsidR="00247CBF" w:rsidRPr="00092ED7" w:rsidRDefault="00247CBF" w:rsidP="00247CBF">
            <w:pPr>
              <w:spacing w:after="0"/>
              <w:jc w:val="left"/>
              <w:rPr>
                <w:rFonts w:eastAsia="Times New Roman" w:cs="Times New Roman"/>
                <w:sz w:val="20"/>
                <w:szCs w:val="20"/>
                <w:lang w:val="sr-Cyrl-CS" w:eastAsia="sr-Cyrl-RS"/>
              </w:rPr>
            </w:pPr>
            <w:r w:rsidRPr="00092ED7">
              <w:rPr>
                <w:rFonts w:eastAsia="Times New Roman" w:cs="Times New Roman"/>
                <w:sz w:val="20"/>
                <w:szCs w:val="20"/>
                <w:lang w:val="sr-Cyrl-CS" w:eastAsia="sr-Cyrl-RS"/>
              </w:rPr>
              <w:t xml:space="preserve">3. Ниво власти федералних јединица </w:t>
            </w:r>
          </w:p>
        </w:tc>
        <w:tc>
          <w:tcPr>
            <w:tcW w:w="2033" w:type="dxa"/>
            <w:gridSpan w:val="2"/>
            <w:tcBorders>
              <w:top w:val="nil"/>
              <w:left w:val="nil"/>
              <w:bottom w:val="dotted" w:sz="4" w:space="0" w:color="auto"/>
              <w:right w:val="single" w:sz="8" w:space="0" w:color="auto"/>
            </w:tcBorders>
            <w:shd w:val="clear" w:color="auto" w:fill="auto"/>
            <w:vAlign w:val="center"/>
            <w:hideMark/>
          </w:tcPr>
          <w:p w14:paraId="79475344" w14:textId="77777777" w:rsidR="00247CBF" w:rsidRPr="00092ED7" w:rsidRDefault="00247CBF" w:rsidP="00247CBF">
            <w:pPr>
              <w:spacing w:after="0"/>
              <w:jc w:val="center"/>
              <w:rPr>
                <w:rFonts w:eastAsia="Times New Roman" w:cs="Times New Roman"/>
                <w:sz w:val="20"/>
                <w:szCs w:val="20"/>
                <w:lang w:val="sr-Cyrl-CS" w:eastAsia="sr-Cyrl-RS"/>
              </w:rPr>
            </w:pPr>
            <w:r w:rsidRPr="00092ED7">
              <w:rPr>
                <w:rFonts w:eastAsia="Times New Roman" w:cs="Times New Roman"/>
                <w:sz w:val="20"/>
                <w:szCs w:val="20"/>
                <w:lang w:val="sr-Cyrl-CS" w:eastAsia="sr-Cyrl-RS"/>
              </w:rPr>
              <w:t>S1312</w:t>
            </w:r>
          </w:p>
        </w:tc>
        <w:tc>
          <w:tcPr>
            <w:tcW w:w="1304" w:type="dxa"/>
            <w:gridSpan w:val="2"/>
            <w:tcBorders>
              <w:top w:val="nil"/>
              <w:left w:val="nil"/>
              <w:bottom w:val="dotted" w:sz="4" w:space="0" w:color="auto"/>
              <w:right w:val="single" w:sz="8" w:space="0" w:color="auto"/>
            </w:tcBorders>
            <w:shd w:val="clear" w:color="auto" w:fill="auto"/>
            <w:vAlign w:val="center"/>
            <w:hideMark/>
          </w:tcPr>
          <w:p w14:paraId="40524A58"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w:t>
            </w:r>
          </w:p>
        </w:tc>
        <w:tc>
          <w:tcPr>
            <w:tcW w:w="1185" w:type="dxa"/>
            <w:gridSpan w:val="2"/>
            <w:tcBorders>
              <w:top w:val="nil"/>
              <w:left w:val="nil"/>
              <w:bottom w:val="dotted" w:sz="4" w:space="0" w:color="auto"/>
              <w:right w:val="dotted" w:sz="4" w:space="0" w:color="auto"/>
            </w:tcBorders>
            <w:shd w:val="clear" w:color="auto" w:fill="auto"/>
            <w:vAlign w:val="center"/>
            <w:hideMark/>
          </w:tcPr>
          <w:p w14:paraId="2FFAE883"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w:t>
            </w:r>
          </w:p>
        </w:tc>
        <w:tc>
          <w:tcPr>
            <w:tcW w:w="1185" w:type="dxa"/>
            <w:gridSpan w:val="2"/>
            <w:tcBorders>
              <w:top w:val="nil"/>
              <w:left w:val="nil"/>
              <w:bottom w:val="dotted" w:sz="4" w:space="0" w:color="auto"/>
              <w:right w:val="dotted" w:sz="4" w:space="0" w:color="auto"/>
            </w:tcBorders>
            <w:shd w:val="clear" w:color="auto" w:fill="auto"/>
            <w:vAlign w:val="center"/>
            <w:hideMark/>
          </w:tcPr>
          <w:p w14:paraId="47B6BB90"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w:t>
            </w:r>
          </w:p>
        </w:tc>
        <w:tc>
          <w:tcPr>
            <w:tcW w:w="1185" w:type="dxa"/>
            <w:gridSpan w:val="2"/>
            <w:tcBorders>
              <w:top w:val="nil"/>
              <w:left w:val="nil"/>
              <w:bottom w:val="dotted" w:sz="4" w:space="0" w:color="auto"/>
              <w:right w:val="dotted" w:sz="4" w:space="0" w:color="auto"/>
            </w:tcBorders>
            <w:shd w:val="clear" w:color="auto" w:fill="auto"/>
            <w:vAlign w:val="center"/>
            <w:hideMark/>
          </w:tcPr>
          <w:p w14:paraId="48465236"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w:t>
            </w:r>
          </w:p>
        </w:tc>
        <w:tc>
          <w:tcPr>
            <w:tcW w:w="1185" w:type="dxa"/>
            <w:gridSpan w:val="2"/>
            <w:tcBorders>
              <w:top w:val="nil"/>
              <w:left w:val="nil"/>
              <w:bottom w:val="dotted" w:sz="4" w:space="0" w:color="auto"/>
              <w:right w:val="dotted" w:sz="4" w:space="0" w:color="auto"/>
            </w:tcBorders>
            <w:shd w:val="clear" w:color="auto" w:fill="auto"/>
            <w:vAlign w:val="center"/>
            <w:hideMark/>
          </w:tcPr>
          <w:p w14:paraId="4CCCC5B9"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w:t>
            </w:r>
          </w:p>
        </w:tc>
        <w:tc>
          <w:tcPr>
            <w:tcW w:w="1186" w:type="dxa"/>
            <w:gridSpan w:val="2"/>
            <w:tcBorders>
              <w:top w:val="nil"/>
              <w:left w:val="nil"/>
              <w:bottom w:val="dotted" w:sz="4" w:space="0" w:color="auto"/>
              <w:right w:val="double" w:sz="6" w:space="0" w:color="auto"/>
            </w:tcBorders>
            <w:shd w:val="clear" w:color="auto" w:fill="auto"/>
            <w:vAlign w:val="center"/>
            <w:hideMark/>
          </w:tcPr>
          <w:p w14:paraId="66CA1775"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w:t>
            </w:r>
          </w:p>
        </w:tc>
      </w:tr>
      <w:tr w:rsidR="00247CBF" w:rsidRPr="00092ED7" w14:paraId="671FC5F2" w14:textId="77777777" w:rsidTr="00247CBF">
        <w:trPr>
          <w:gridBefore w:val="1"/>
          <w:gridAfter w:val="1"/>
          <w:wBefore w:w="23" w:type="dxa"/>
          <w:wAfter w:w="306" w:type="dxa"/>
          <w:trHeight w:val="284"/>
        </w:trPr>
        <w:tc>
          <w:tcPr>
            <w:tcW w:w="5292" w:type="dxa"/>
            <w:tcBorders>
              <w:top w:val="nil"/>
              <w:left w:val="double" w:sz="6" w:space="0" w:color="auto"/>
              <w:bottom w:val="dotted" w:sz="4" w:space="0" w:color="auto"/>
              <w:right w:val="dotted" w:sz="4" w:space="0" w:color="auto"/>
            </w:tcBorders>
            <w:shd w:val="clear" w:color="auto" w:fill="auto"/>
            <w:vAlign w:val="center"/>
            <w:hideMark/>
          </w:tcPr>
          <w:p w14:paraId="09E638AB" w14:textId="77777777" w:rsidR="00247CBF" w:rsidRPr="00092ED7" w:rsidRDefault="00247CBF" w:rsidP="00247CBF">
            <w:pPr>
              <w:spacing w:after="0"/>
              <w:jc w:val="left"/>
              <w:rPr>
                <w:rFonts w:eastAsia="Times New Roman" w:cs="Times New Roman"/>
                <w:sz w:val="20"/>
                <w:szCs w:val="20"/>
                <w:lang w:val="sr-Cyrl-CS" w:eastAsia="sr-Cyrl-RS"/>
              </w:rPr>
            </w:pPr>
            <w:r w:rsidRPr="00092ED7">
              <w:rPr>
                <w:rFonts w:eastAsia="Times New Roman" w:cs="Times New Roman"/>
                <w:sz w:val="20"/>
                <w:szCs w:val="20"/>
                <w:lang w:val="sr-Cyrl-CS" w:eastAsia="sr-Cyrl-RS"/>
              </w:rPr>
              <w:t>4. Локална самоуправа</w:t>
            </w:r>
          </w:p>
        </w:tc>
        <w:tc>
          <w:tcPr>
            <w:tcW w:w="2033" w:type="dxa"/>
            <w:gridSpan w:val="2"/>
            <w:tcBorders>
              <w:top w:val="nil"/>
              <w:left w:val="nil"/>
              <w:bottom w:val="dotted" w:sz="4" w:space="0" w:color="auto"/>
              <w:right w:val="single" w:sz="8" w:space="0" w:color="auto"/>
            </w:tcBorders>
            <w:shd w:val="clear" w:color="auto" w:fill="auto"/>
            <w:vAlign w:val="center"/>
            <w:hideMark/>
          </w:tcPr>
          <w:p w14:paraId="6018ADD8" w14:textId="77777777" w:rsidR="00247CBF" w:rsidRPr="00092ED7" w:rsidRDefault="00247CBF" w:rsidP="00247CBF">
            <w:pPr>
              <w:spacing w:after="0"/>
              <w:jc w:val="center"/>
              <w:rPr>
                <w:rFonts w:eastAsia="Times New Roman" w:cs="Times New Roman"/>
                <w:sz w:val="20"/>
                <w:szCs w:val="20"/>
                <w:lang w:val="sr-Cyrl-CS" w:eastAsia="sr-Cyrl-RS"/>
              </w:rPr>
            </w:pPr>
            <w:r w:rsidRPr="00092ED7">
              <w:rPr>
                <w:rFonts w:eastAsia="Times New Roman" w:cs="Times New Roman"/>
                <w:sz w:val="20"/>
                <w:szCs w:val="20"/>
                <w:lang w:val="sr-Cyrl-CS" w:eastAsia="sr-Cyrl-RS"/>
              </w:rPr>
              <w:t>S1313</w:t>
            </w:r>
          </w:p>
        </w:tc>
        <w:tc>
          <w:tcPr>
            <w:tcW w:w="1304" w:type="dxa"/>
            <w:gridSpan w:val="2"/>
            <w:tcBorders>
              <w:top w:val="nil"/>
              <w:left w:val="nil"/>
              <w:bottom w:val="dotted" w:sz="4" w:space="0" w:color="auto"/>
              <w:right w:val="single" w:sz="8" w:space="0" w:color="auto"/>
            </w:tcBorders>
            <w:shd w:val="clear" w:color="auto" w:fill="auto"/>
            <w:vAlign w:val="center"/>
            <w:hideMark/>
          </w:tcPr>
          <w:p w14:paraId="2DD21A60"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22,5</w:t>
            </w:r>
          </w:p>
        </w:tc>
        <w:tc>
          <w:tcPr>
            <w:tcW w:w="1185" w:type="dxa"/>
            <w:gridSpan w:val="2"/>
            <w:tcBorders>
              <w:top w:val="nil"/>
              <w:left w:val="nil"/>
              <w:bottom w:val="dotted" w:sz="4" w:space="0" w:color="auto"/>
              <w:right w:val="dotted" w:sz="4" w:space="0" w:color="auto"/>
            </w:tcBorders>
            <w:shd w:val="clear" w:color="auto" w:fill="auto"/>
            <w:vAlign w:val="center"/>
            <w:hideMark/>
          </w:tcPr>
          <w:p w14:paraId="704AA5B8"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0,4</w:t>
            </w:r>
          </w:p>
        </w:tc>
        <w:tc>
          <w:tcPr>
            <w:tcW w:w="1185" w:type="dxa"/>
            <w:gridSpan w:val="2"/>
            <w:tcBorders>
              <w:top w:val="nil"/>
              <w:left w:val="nil"/>
              <w:bottom w:val="dotted" w:sz="4" w:space="0" w:color="auto"/>
              <w:right w:val="dotted" w:sz="4" w:space="0" w:color="auto"/>
            </w:tcBorders>
            <w:shd w:val="clear" w:color="auto" w:fill="auto"/>
            <w:vAlign w:val="center"/>
            <w:hideMark/>
          </w:tcPr>
          <w:p w14:paraId="7AC483AB"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0,1</w:t>
            </w:r>
          </w:p>
        </w:tc>
        <w:tc>
          <w:tcPr>
            <w:tcW w:w="1185" w:type="dxa"/>
            <w:gridSpan w:val="2"/>
            <w:tcBorders>
              <w:top w:val="nil"/>
              <w:left w:val="nil"/>
              <w:bottom w:val="dotted" w:sz="4" w:space="0" w:color="auto"/>
              <w:right w:val="dotted" w:sz="4" w:space="0" w:color="auto"/>
            </w:tcBorders>
            <w:shd w:val="clear" w:color="auto" w:fill="auto"/>
            <w:vAlign w:val="center"/>
            <w:hideMark/>
          </w:tcPr>
          <w:p w14:paraId="5FFC32D3"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0,0</w:t>
            </w:r>
          </w:p>
        </w:tc>
        <w:tc>
          <w:tcPr>
            <w:tcW w:w="1185" w:type="dxa"/>
            <w:gridSpan w:val="2"/>
            <w:tcBorders>
              <w:top w:val="nil"/>
              <w:left w:val="nil"/>
              <w:bottom w:val="dotted" w:sz="4" w:space="0" w:color="auto"/>
              <w:right w:val="dotted" w:sz="4" w:space="0" w:color="auto"/>
            </w:tcBorders>
            <w:shd w:val="clear" w:color="auto" w:fill="auto"/>
            <w:vAlign w:val="center"/>
            <w:hideMark/>
          </w:tcPr>
          <w:p w14:paraId="6936C4A8"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0,0</w:t>
            </w:r>
          </w:p>
        </w:tc>
        <w:tc>
          <w:tcPr>
            <w:tcW w:w="1186" w:type="dxa"/>
            <w:gridSpan w:val="2"/>
            <w:tcBorders>
              <w:top w:val="nil"/>
              <w:left w:val="nil"/>
              <w:bottom w:val="dotted" w:sz="4" w:space="0" w:color="auto"/>
              <w:right w:val="double" w:sz="6" w:space="0" w:color="auto"/>
            </w:tcBorders>
            <w:shd w:val="clear" w:color="auto" w:fill="auto"/>
            <w:vAlign w:val="center"/>
            <w:hideMark/>
          </w:tcPr>
          <w:p w14:paraId="75235278"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0,0</w:t>
            </w:r>
          </w:p>
        </w:tc>
      </w:tr>
      <w:tr w:rsidR="00247CBF" w:rsidRPr="00092ED7" w14:paraId="0AEB880A" w14:textId="77777777" w:rsidTr="00247CBF">
        <w:trPr>
          <w:gridBefore w:val="1"/>
          <w:gridAfter w:val="1"/>
          <w:wBefore w:w="23" w:type="dxa"/>
          <w:wAfter w:w="306" w:type="dxa"/>
          <w:trHeight w:val="284"/>
        </w:trPr>
        <w:tc>
          <w:tcPr>
            <w:tcW w:w="5292" w:type="dxa"/>
            <w:tcBorders>
              <w:top w:val="nil"/>
              <w:left w:val="double" w:sz="6" w:space="0" w:color="auto"/>
              <w:bottom w:val="single" w:sz="8" w:space="0" w:color="auto"/>
              <w:right w:val="dotted" w:sz="4" w:space="0" w:color="auto"/>
            </w:tcBorders>
            <w:shd w:val="clear" w:color="auto" w:fill="auto"/>
            <w:vAlign w:val="center"/>
            <w:hideMark/>
          </w:tcPr>
          <w:p w14:paraId="48F9B499" w14:textId="77777777" w:rsidR="00247CBF" w:rsidRPr="00092ED7" w:rsidRDefault="00247CBF" w:rsidP="00247CBF">
            <w:pPr>
              <w:spacing w:after="0"/>
              <w:jc w:val="left"/>
              <w:rPr>
                <w:rFonts w:eastAsia="Times New Roman" w:cs="Times New Roman"/>
                <w:sz w:val="20"/>
                <w:szCs w:val="20"/>
                <w:lang w:val="sr-Cyrl-CS" w:eastAsia="sr-Cyrl-RS"/>
              </w:rPr>
            </w:pPr>
            <w:r w:rsidRPr="00092ED7">
              <w:rPr>
                <w:rFonts w:eastAsia="Times New Roman" w:cs="Times New Roman"/>
                <w:sz w:val="20"/>
                <w:szCs w:val="20"/>
                <w:lang w:val="sr-Cyrl-CS" w:eastAsia="sr-Cyrl-RS"/>
              </w:rPr>
              <w:t>5. Фондови социјалног осигурања</w:t>
            </w:r>
          </w:p>
        </w:tc>
        <w:tc>
          <w:tcPr>
            <w:tcW w:w="2033" w:type="dxa"/>
            <w:gridSpan w:val="2"/>
            <w:tcBorders>
              <w:top w:val="nil"/>
              <w:left w:val="nil"/>
              <w:bottom w:val="single" w:sz="8" w:space="0" w:color="auto"/>
              <w:right w:val="single" w:sz="8" w:space="0" w:color="auto"/>
            </w:tcBorders>
            <w:shd w:val="clear" w:color="auto" w:fill="auto"/>
            <w:vAlign w:val="center"/>
            <w:hideMark/>
          </w:tcPr>
          <w:p w14:paraId="2E9229B3" w14:textId="77777777" w:rsidR="00247CBF" w:rsidRPr="00092ED7" w:rsidRDefault="00247CBF" w:rsidP="00247CBF">
            <w:pPr>
              <w:spacing w:after="0"/>
              <w:jc w:val="center"/>
              <w:rPr>
                <w:rFonts w:eastAsia="Times New Roman" w:cs="Times New Roman"/>
                <w:sz w:val="20"/>
                <w:szCs w:val="20"/>
                <w:lang w:val="sr-Cyrl-CS" w:eastAsia="sr-Cyrl-RS"/>
              </w:rPr>
            </w:pPr>
            <w:r w:rsidRPr="00092ED7">
              <w:rPr>
                <w:rFonts w:eastAsia="Times New Roman" w:cs="Times New Roman"/>
                <w:sz w:val="20"/>
                <w:szCs w:val="20"/>
                <w:lang w:val="sr-Cyrl-CS" w:eastAsia="sr-Cyrl-RS"/>
              </w:rPr>
              <w:t>S1314</w:t>
            </w:r>
          </w:p>
        </w:tc>
        <w:tc>
          <w:tcPr>
            <w:tcW w:w="1304" w:type="dxa"/>
            <w:gridSpan w:val="2"/>
            <w:tcBorders>
              <w:top w:val="nil"/>
              <w:left w:val="nil"/>
              <w:bottom w:val="single" w:sz="8" w:space="0" w:color="auto"/>
              <w:right w:val="single" w:sz="8" w:space="0" w:color="auto"/>
            </w:tcBorders>
            <w:shd w:val="clear" w:color="auto" w:fill="auto"/>
            <w:vAlign w:val="center"/>
            <w:hideMark/>
          </w:tcPr>
          <w:p w14:paraId="385682E2"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3,4</w:t>
            </w:r>
          </w:p>
        </w:tc>
        <w:tc>
          <w:tcPr>
            <w:tcW w:w="1185" w:type="dxa"/>
            <w:gridSpan w:val="2"/>
            <w:tcBorders>
              <w:top w:val="nil"/>
              <w:left w:val="nil"/>
              <w:bottom w:val="single" w:sz="8" w:space="0" w:color="auto"/>
              <w:right w:val="dotted" w:sz="4" w:space="0" w:color="auto"/>
            </w:tcBorders>
            <w:shd w:val="clear" w:color="auto" w:fill="auto"/>
            <w:vAlign w:val="center"/>
            <w:hideMark/>
          </w:tcPr>
          <w:p w14:paraId="69E7DD2F"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0,1</w:t>
            </w:r>
          </w:p>
        </w:tc>
        <w:tc>
          <w:tcPr>
            <w:tcW w:w="1185" w:type="dxa"/>
            <w:gridSpan w:val="2"/>
            <w:tcBorders>
              <w:top w:val="nil"/>
              <w:left w:val="nil"/>
              <w:bottom w:val="single" w:sz="8" w:space="0" w:color="auto"/>
              <w:right w:val="dotted" w:sz="4" w:space="0" w:color="auto"/>
            </w:tcBorders>
            <w:shd w:val="clear" w:color="auto" w:fill="auto"/>
            <w:vAlign w:val="center"/>
            <w:hideMark/>
          </w:tcPr>
          <w:p w14:paraId="7F1D400B"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0,0</w:t>
            </w:r>
          </w:p>
        </w:tc>
        <w:tc>
          <w:tcPr>
            <w:tcW w:w="1185" w:type="dxa"/>
            <w:gridSpan w:val="2"/>
            <w:tcBorders>
              <w:top w:val="nil"/>
              <w:left w:val="nil"/>
              <w:bottom w:val="single" w:sz="8" w:space="0" w:color="auto"/>
              <w:right w:val="dotted" w:sz="4" w:space="0" w:color="auto"/>
            </w:tcBorders>
            <w:shd w:val="clear" w:color="auto" w:fill="auto"/>
            <w:vAlign w:val="center"/>
            <w:hideMark/>
          </w:tcPr>
          <w:p w14:paraId="202EDC63"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0,0</w:t>
            </w:r>
          </w:p>
        </w:tc>
        <w:tc>
          <w:tcPr>
            <w:tcW w:w="1185" w:type="dxa"/>
            <w:gridSpan w:val="2"/>
            <w:tcBorders>
              <w:top w:val="nil"/>
              <w:left w:val="nil"/>
              <w:bottom w:val="single" w:sz="8" w:space="0" w:color="auto"/>
              <w:right w:val="dotted" w:sz="4" w:space="0" w:color="auto"/>
            </w:tcBorders>
            <w:shd w:val="clear" w:color="auto" w:fill="auto"/>
            <w:vAlign w:val="center"/>
            <w:hideMark/>
          </w:tcPr>
          <w:p w14:paraId="40C97524"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0,0</w:t>
            </w:r>
          </w:p>
        </w:tc>
        <w:tc>
          <w:tcPr>
            <w:tcW w:w="1186" w:type="dxa"/>
            <w:gridSpan w:val="2"/>
            <w:tcBorders>
              <w:top w:val="nil"/>
              <w:left w:val="nil"/>
              <w:bottom w:val="single" w:sz="8" w:space="0" w:color="auto"/>
              <w:right w:val="double" w:sz="6" w:space="0" w:color="auto"/>
            </w:tcBorders>
            <w:shd w:val="clear" w:color="auto" w:fill="auto"/>
            <w:vAlign w:val="center"/>
            <w:hideMark/>
          </w:tcPr>
          <w:p w14:paraId="0B9FC23E"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0,0</w:t>
            </w:r>
          </w:p>
        </w:tc>
      </w:tr>
      <w:tr w:rsidR="00247CBF" w:rsidRPr="00092ED7" w14:paraId="772A4979" w14:textId="77777777" w:rsidTr="00247CBF">
        <w:trPr>
          <w:gridBefore w:val="1"/>
          <w:gridAfter w:val="1"/>
          <w:wBefore w:w="23" w:type="dxa"/>
          <w:wAfter w:w="306" w:type="dxa"/>
          <w:trHeight w:val="284"/>
        </w:trPr>
        <w:tc>
          <w:tcPr>
            <w:tcW w:w="14555" w:type="dxa"/>
            <w:gridSpan w:val="15"/>
            <w:tcBorders>
              <w:top w:val="single" w:sz="8" w:space="0" w:color="auto"/>
              <w:left w:val="double" w:sz="6" w:space="0" w:color="auto"/>
              <w:bottom w:val="single" w:sz="8" w:space="0" w:color="auto"/>
              <w:right w:val="double" w:sz="6" w:space="0" w:color="000000"/>
            </w:tcBorders>
            <w:shd w:val="clear" w:color="auto" w:fill="auto"/>
            <w:vAlign w:val="center"/>
            <w:hideMark/>
          </w:tcPr>
          <w:p w14:paraId="08CE8E00" w14:textId="77777777" w:rsidR="00247CBF" w:rsidRPr="00092ED7" w:rsidRDefault="00247CBF" w:rsidP="00247CBF">
            <w:pPr>
              <w:spacing w:after="0"/>
              <w:jc w:val="center"/>
              <w:rPr>
                <w:rFonts w:eastAsia="Times New Roman" w:cs="Times New Roman"/>
                <w:b/>
                <w:bCs/>
                <w:sz w:val="20"/>
                <w:szCs w:val="20"/>
                <w:lang w:val="sr-Cyrl-CS" w:eastAsia="sr-Cyrl-RS"/>
              </w:rPr>
            </w:pPr>
            <w:r w:rsidRPr="00092ED7">
              <w:rPr>
                <w:rFonts w:eastAsia="Times New Roman" w:cs="Times New Roman"/>
                <w:b/>
                <w:bCs/>
                <w:sz w:val="20"/>
                <w:szCs w:val="20"/>
                <w:lang w:val="sr-Cyrl-CS" w:eastAsia="sr-Cyrl-RS"/>
              </w:rPr>
              <w:t>Општа држава (S13)</w:t>
            </w:r>
          </w:p>
        </w:tc>
      </w:tr>
      <w:tr w:rsidR="00247CBF" w:rsidRPr="00092ED7" w14:paraId="03E2D69D" w14:textId="77777777" w:rsidTr="00247CBF">
        <w:trPr>
          <w:gridBefore w:val="1"/>
          <w:gridAfter w:val="1"/>
          <w:wBefore w:w="23" w:type="dxa"/>
          <w:wAfter w:w="306" w:type="dxa"/>
          <w:trHeight w:val="284"/>
        </w:trPr>
        <w:tc>
          <w:tcPr>
            <w:tcW w:w="5292" w:type="dxa"/>
            <w:tcBorders>
              <w:top w:val="nil"/>
              <w:left w:val="double" w:sz="6" w:space="0" w:color="auto"/>
              <w:bottom w:val="dotted" w:sz="4" w:space="0" w:color="auto"/>
              <w:right w:val="dotted" w:sz="4" w:space="0" w:color="auto"/>
            </w:tcBorders>
            <w:shd w:val="clear" w:color="auto" w:fill="auto"/>
            <w:vAlign w:val="center"/>
            <w:hideMark/>
          </w:tcPr>
          <w:p w14:paraId="2C519EFE" w14:textId="77777777" w:rsidR="00247CBF" w:rsidRPr="00092ED7" w:rsidRDefault="00247CBF" w:rsidP="00247CBF">
            <w:pPr>
              <w:spacing w:after="0"/>
              <w:jc w:val="left"/>
              <w:rPr>
                <w:rFonts w:eastAsia="Times New Roman" w:cs="Times New Roman"/>
                <w:sz w:val="20"/>
                <w:szCs w:val="20"/>
                <w:lang w:val="sr-Cyrl-CS" w:eastAsia="sr-Cyrl-RS"/>
              </w:rPr>
            </w:pPr>
            <w:r w:rsidRPr="00092ED7">
              <w:rPr>
                <w:rFonts w:eastAsia="Times New Roman" w:cs="Times New Roman"/>
                <w:sz w:val="20"/>
                <w:szCs w:val="20"/>
                <w:lang w:val="sr-Cyrl-CS" w:eastAsia="sr-Cyrl-RS"/>
              </w:rPr>
              <w:t>6. Укупни приходи</w:t>
            </w:r>
          </w:p>
        </w:tc>
        <w:tc>
          <w:tcPr>
            <w:tcW w:w="2033" w:type="dxa"/>
            <w:gridSpan w:val="2"/>
            <w:tcBorders>
              <w:top w:val="nil"/>
              <w:left w:val="nil"/>
              <w:bottom w:val="dotted" w:sz="4" w:space="0" w:color="auto"/>
              <w:right w:val="single" w:sz="8" w:space="0" w:color="auto"/>
            </w:tcBorders>
            <w:shd w:val="clear" w:color="auto" w:fill="auto"/>
            <w:vAlign w:val="center"/>
            <w:hideMark/>
          </w:tcPr>
          <w:p w14:paraId="524D4FD0" w14:textId="77777777" w:rsidR="00247CBF" w:rsidRPr="00092ED7" w:rsidRDefault="00247CBF" w:rsidP="00247CBF">
            <w:pPr>
              <w:spacing w:after="0"/>
              <w:jc w:val="center"/>
              <w:rPr>
                <w:rFonts w:eastAsia="Times New Roman" w:cs="Times New Roman"/>
                <w:sz w:val="20"/>
                <w:szCs w:val="20"/>
                <w:lang w:val="sr-Cyrl-CS" w:eastAsia="sr-Cyrl-RS"/>
              </w:rPr>
            </w:pPr>
            <w:r w:rsidRPr="00092ED7">
              <w:rPr>
                <w:rFonts w:eastAsia="Times New Roman" w:cs="Times New Roman"/>
                <w:sz w:val="20"/>
                <w:szCs w:val="20"/>
                <w:lang w:val="sr-Cyrl-CS" w:eastAsia="sr-Cyrl-RS"/>
              </w:rPr>
              <w:t>TR</w:t>
            </w:r>
          </w:p>
        </w:tc>
        <w:tc>
          <w:tcPr>
            <w:tcW w:w="1304" w:type="dxa"/>
            <w:gridSpan w:val="2"/>
            <w:tcBorders>
              <w:top w:val="nil"/>
              <w:left w:val="nil"/>
              <w:bottom w:val="dotted" w:sz="4" w:space="0" w:color="auto"/>
              <w:right w:val="single" w:sz="8" w:space="0" w:color="auto"/>
            </w:tcBorders>
            <w:shd w:val="clear" w:color="auto" w:fill="auto"/>
            <w:vAlign w:val="center"/>
            <w:hideMark/>
          </w:tcPr>
          <w:p w14:paraId="7AFBBAB9"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2.711,9</w:t>
            </w:r>
          </w:p>
        </w:tc>
        <w:tc>
          <w:tcPr>
            <w:tcW w:w="1185" w:type="dxa"/>
            <w:gridSpan w:val="2"/>
            <w:tcBorders>
              <w:top w:val="nil"/>
              <w:left w:val="nil"/>
              <w:bottom w:val="dotted" w:sz="4" w:space="0" w:color="auto"/>
              <w:right w:val="dotted" w:sz="4" w:space="0" w:color="auto"/>
            </w:tcBorders>
            <w:shd w:val="clear" w:color="auto" w:fill="auto"/>
            <w:vAlign w:val="center"/>
            <w:hideMark/>
          </w:tcPr>
          <w:p w14:paraId="26373515"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43,3</w:t>
            </w:r>
          </w:p>
        </w:tc>
        <w:tc>
          <w:tcPr>
            <w:tcW w:w="1185" w:type="dxa"/>
            <w:gridSpan w:val="2"/>
            <w:tcBorders>
              <w:top w:val="nil"/>
              <w:left w:val="nil"/>
              <w:bottom w:val="dotted" w:sz="4" w:space="0" w:color="auto"/>
              <w:right w:val="dotted" w:sz="4" w:space="0" w:color="auto"/>
            </w:tcBorders>
            <w:shd w:val="clear" w:color="auto" w:fill="auto"/>
            <w:vAlign w:val="center"/>
            <w:hideMark/>
          </w:tcPr>
          <w:p w14:paraId="2EFC336F"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43,0</w:t>
            </w:r>
          </w:p>
        </w:tc>
        <w:tc>
          <w:tcPr>
            <w:tcW w:w="1185" w:type="dxa"/>
            <w:gridSpan w:val="2"/>
            <w:tcBorders>
              <w:top w:val="nil"/>
              <w:left w:val="nil"/>
              <w:bottom w:val="dotted" w:sz="4" w:space="0" w:color="auto"/>
              <w:right w:val="dotted" w:sz="4" w:space="0" w:color="auto"/>
            </w:tcBorders>
            <w:shd w:val="clear" w:color="auto" w:fill="auto"/>
            <w:vAlign w:val="center"/>
            <w:hideMark/>
          </w:tcPr>
          <w:p w14:paraId="1C4DE3C5"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40,9</w:t>
            </w:r>
          </w:p>
        </w:tc>
        <w:tc>
          <w:tcPr>
            <w:tcW w:w="1185" w:type="dxa"/>
            <w:gridSpan w:val="2"/>
            <w:tcBorders>
              <w:top w:val="nil"/>
              <w:left w:val="nil"/>
              <w:bottom w:val="dotted" w:sz="4" w:space="0" w:color="auto"/>
              <w:right w:val="dotted" w:sz="4" w:space="0" w:color="auto"/>
            </w:tcBorders>
            <w:shd w:val="clear" w:color="auto" w:fill="auto"/>
            <w:vAlign w:val="center"/>
            <w:hideMark/>
          </w:tcPr>
          <w:p w14:paraId="7327CA1D"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40,4</w:t>
            </w:r>
          </w:p>
        </w:tc>
        <w:tc>
          <w:tcPr>
            <w:tcW w:w="1186" w:type="dxa"/>
            <w:gridSpan w:val="2"/>
            <w:tcBorders>
              <w:top w:val="nil"/>
              <w:left w:val="nil"/>
              <w:bottom w:val="dotted" w:sz="4" w:space="0" w:color="auto"/>
              <w:right w:val="double" w:sz="6" w:space="0" w:color="auto"/>
            </w:tcBorders>
            <w:shd w:val="clear" w:color="auto" w:fill="auto"/>
            <w:vAlign w:val="center"/>
            <w:hideMark/>
          </w:tcPr>
          <w:p w14:paraId="5881BAA9"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39,6</w:t>
            </w:r>
          </w:p>
        </w:tc>
      </w:tr>
      <w:tr w:rsidR="00247CBF" w:rsidRPr="00092ED7" w14:paraId="5E5D976B" w14:textId="77777777" w:rsidTr="00247CBF">
        <w:trPr>
          <w:gridBefore w:val="1"/>
          <w:gridAfter w:val="1"/>
          <w:wBefore w:w="23" w:type="dxa"/>
          <w:wAfter w:w="306" w:type="dxa"/>
          <w:trHeight w:val="284"/>
        </w:trPr>
        <w:tc>
          <w:tcPr>
            <w:tcW w:w="5292" w:type="dxa"/>
            <w:tcBorders>
              <w:top w:val="nil"/>
              <w:left w:val="double" w:sz="6" w:space="0" w:color="auto"/>
              <w:bottom w:val="dotted" w:sz="4" w:space="0" w:color="auto"/>
              <w:right w:val="dotted" w:sz="4" w:space="0" w:color="auto"/>
            </w:tcBorders>
            <w:shd w:val="clear" w:color="auto" w:fill="auto"/>
            <w:vAlign w:val="center"/>
            <w:hideMark/>
          </w:tcPr>
          <w:p w14:paraId="30500A1F" w14:textId="77777777" w:rsidR="00247CBF" w:rsidRPr="00092ED7" w:rsidRDefault="00247CBF" w:rsidP="00247CBF">
            <w:pPr>
              <w:spacing w:after="0"/>
              <w:jc w:val="left"/>
              <w:rPr>
                <w:rFonts w:eastAsia="Times New Roman" w:cs="Times New Roman"/>
                <w:sz w:val="20"/>
                <w:szCs w:val="20"/>
                <w:lang w:val="sr-Cyrl-CS" w:eastAsia="sr-Cyrl-RS"/>
              </w:rPr>
            </w:pPr>
            <w:r w:rsidRPr="00092ED7">
              <w:rPr>
                <w:rFonts w:eastAsia="Times New Roman" w:cs="Times New Roman"/>
                <w:sz w:val="20"/>
                <w:szCs w:val="20"/>
                <w:lang w:val="sr-Cyrl-CS" w:eastAsia="sr-Cyrl-RS"/>
              </w:rPr>
              <w:t>7. Укупни расходи[1]</w:t>
            </w:r>
          </w:p>
        </w:tc>
        <w:tc>
          <w:tcPr>
            <w:tcW w:w="2033" w:type="dxa"/>
            <w:gridSpan w:val="2"/>
            <w:tcBorders>
              <w:top w:val="nil"/>
              <w:left w:val="nil"/>
              <w:bottom w:val="dotted" w:sz="4" w:space="0" w:color="auto"/>
              <w:right w:val="single" w:sz="8" w:space="0" w:color="auto"/>
            </w:tcBorders>
            <w:shd w:val="clear" w:color="auto" w:fill="auto"/>
            <w:vAlign w:val="center"/>
            <w:hideMark/>
          </w:tcPr>
          <w:p w14:paraId="09A10CE0" w14:textId="77777777" w:rsidR="00247CBF" w:rsidRPr="00092ED7" w:rsidRDefault="00247CBF" w:rsidP="00247CBF">
            <w:pPr>
              <w:spacing w:after="0"/>
              <w:jc w:val="center"/>
              <w:rPr>
                <w:rFonts w:eastAsia="Times New Roman" w:cs="Times New Roman"/>
                <w:sz w:val="20"/>
                <w:szCs w:val="20"/>
                <w:lang w:val="sr-Cyrl-CS" w:eastAsia="sr-Cyrl-RS"/>
              </w:rPr>
            </w:pPr>
            <w:r w:rsidRPr="00092ED7">
              <w:rPr>
                <w:rFonts w:eastAsia="Times New Roman" w:cs="Times New Roman"/>
                <w:sz w:val="20"/>
                <w:szCs w:val="20"/>
                <w:lang w:val="sr-Cyrl-CS" w:eastAsia="sr-Cyrl-RS"/>
              </w:rPr>
              <w:t>TE</w:t>
            </w:r>
          </w:p>
        </w:tc>
        <w:tc>
          <w:tcPr>
            <w:tcW w:w="1304" w:type="dxa"/>
            <w:gridSpan w:val="2"/>
            <w:tcBorders>
              <w:top w:val="nil"/>
              <w:left w:val="nil"/>
              <w:bottom w:val="dotted" w:sz="4" w:space="0" w:color="auto"/>
              <w:right w:val="single" w:sz="8" w:space="0" w:color="auto"/>
            </w:tcBorders>
            <w:shd w:val="clear" w:color="auto" w:fill="auto"/>
            <w:vAlign w:val="center"/>
            <w:hideMark/>
          </w:tcPr>
          <w:p w14:paraId="0277970A"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2.971,3</w:t>
            </w:r>
          </w:p>
        </w:tc>
        <w:tc>
          <w:tcPr>
            <w:tcW w:w="1185" w:type="dxa"/>
            <w:gridSpan w:val="2"/>
            <w:tcBorders>
              <w:top w:val="nil"/>
              <w:left w:val="nil"/>
              <w:bottom w:val="dotted" w:sz="4" w:space="0" w:color="auto"/>
              <w:right w:val="dotted" w:sz="4" w:space="0" w:color="auto"/>
            </w:tcBorders>
            <w:shd w:val="clear" w:color="auto" w:fill="auto"/>
            <w:vAlign w:val="center"/>
            <w:hideMark/>
          </w:tcPr>
          <w:p w14:paraId="40EA0DCF"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47,4</w:t>
            </w:r>
          </w:p>
        </w:tc>
        <w:tc>
          <w:tcPr>
            <w:tcW w:w="1185" w:type="dxa"/>
            <w:gridSpan w:val="2"/>
            <w:tcBorders>
              <w:top w:val="nil"/>
              <w:left w:val="nil"/>
              <w:bottom w:val="dotted" w:sz="4" w:space="0" w:color="auto"/>
              <w:right w:val="dotted" w:sz="4" w:space="0" w:color="auto"/>
            </w:tcBorders>
            <w:shd w:val="clear" w:color="auto" w:fill="auto"/>
            <w:vAlign w:val="center"/>
            <w:hideMark/>
          </w:tcPr>
          <w:p w14:paraId="6E209A5C"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46,8</w:t>
            </w:r>
          </w:p>
        </w:tc>
        <w:tc>
          <w:tcPr>
            <w:tcW w:w="1185" w:type="dxa"/>
            <w:gridSpan w:val="2"/>
            <w:tcBorders>
              <w:top w:val="nil"/>
              <w:left w:val="nil"/>
              <w:bottom w:val="dotted" w:sz="4" w:space="0" w:color="auto"/>
              <w:right w:val="dotted" w:sz="4" w:space="0" w:color="auto"/>
            </w:tcBorders>
            <w:shd w:val="clear" w:color="auto" w:fill="auto"/>
            <w:vAlign w:val="center"/>
            <w:hideMark/>
          </w:tcPr>
          <w:p w14:paraId="73CEBC4C"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44,2</w:t>
            </w:r>
          </w:p>
        </w:tc>
        <w:tc>
          <w:tcPr>
            <w:tcW w:w="1185" w:type="dxa"/>
            <w:gridSpan w:val="2"/>
            <w:tcBorders>
              <w:top w:val="nil"/>
              <w:left w:val="nil"/>
              <w:bottom w:val="dotted" w:sz="4" w:space="0" w:color="auto"/>
              <w:right w:val="dotted" w:sz="4" w:space="0" w:color="auto"/>
            </w:tcBorders>
            <w:shd w:val="clear" w:color="auto" w:fill="auto"/>
            <w:vAlign w:val="center"/>
            <w:hideMark/>
          </w:tcPr>
          <w:p w14:paraId="5D1A99A2"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42,5</w:t>
            </w:r>
          </w:p>
        </w:tc>
        <w:tc>
          <w:tcPr>
            <w:tcW w:w="1186" w:type="dxa"/>
            <w:gridSpan w:val="2"/>
            <w:tcBorders>
              <w:top w:val="nil"/>
              <w:left w:val="nil"/>
              <w:bottom w:val="dotted" w:sz="4" w:space="0" w:color="auto"/>
              <w:right w:val="double" w:sz="6" w:space="0" w:color="auto"/>
            </w:tcBorders>
            <w:shd w:val="clear" w:color="auto" w:fill="auto"/>
            <w:vAlign w:val="center"/>
            <w:hideMark/>
          </w:tcPr>
          <w:p w14:paraId="6084B697"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41,0</w:t>
            </w:r>
          </w:p>
        </w:tc>
      </w:tr>
      <w:tr w:rsidR="00247CBF" w:rsidRPr="00092ED7" w14:paraId="687FBBAE" w14:textId="77777777" w:rsidTr="00247CBF">
        <w:trPr>
          <w:gridBefore w:val="1"/>
          <w:gridAfter w:val="1"/>
          <w:wBefore w:w="23" w:type="dxa"/>
          <w:wAfter w:w="306" w:type="dxa"/>
          <w:trHeight w:val="284"/>
        </w:trPr>
        <w:tc>
          <w:tcPr>
            <w:tcW w:w="5292" w:type="dxa"/>
            <w:tcBorders>
              <w:top w:val="nil"/>
              <w:left w:val="double" w:sz="6" w:space="0" w:color="auto"/>
              <w:bottom w:val="dotted" w:sz="4" w:space="0" w:color="auto"/>
              <w:right w:val="dotted" w:sz="4" w:space="0" w:color="auto"/>
            </w:tcBorders>
            <w:shd w:val="clear" w:color="auto" w:fill="auto"/>
            <w:vAlign w:val="center"/>
            <w:hideMark/>
          </w:tcPr>
          <w:p w14:paraId="4786D889" w14:textId="77777777" w:rsidR="00247CBF" w:rsidRPr="00092ED7" w:rsidRDefault="00247CBF" w:rsidP="00247CBF">
            <w:pPr>
              <w:spacing w:after="0"/>
              <w:jc w:val="left"/>
              <w:rPr>
                <w:rFonts w:eastAsia="Times New Roman" w:cs="Times New Roman"/>
                <w:sz w:val="20"/>
                <w:szCs w:val="20"/>
                <w:lang w:val="sr-Cyrl-CS" w:eastAsia="sr-Cyrl-RS"/>
              </w:rPr>
            </w:pPr>
            <w:r w:rsidRPr="00092ED7">
              <w:rPr>
                <w:rFonts w:eastAsia="Times New Roman" w:cs="Times New Roman"/>
                <w:sz w:val="20"/>
                <w:szCs w:val="20"/>
                <w:lang w:val="sr-Cyrl-CS" w:eastAsia="sr-Cyrl-RS"/>
              </w:rPr>
              <w:t>8. Нето дате/узете позајмице</w:t>
            </w:r>
          </w:p>
        </w:tc>
        <w:tc>
          <w:tcPr>
            <w:tcW w:w="2033" w:type="dxa"/>
            <w:gridSpan w:val="2"/>
            <w:tcBorders>
              <w:top w:val="nil"/>
              <w:left w:val="nil"/>
              <w:bottom w:val="dotted" w:sz="4" w:space="0" w:color="auto"/>
              <w:right w:val="single" w:sz="8" w:space="0" w:color="auto"/>
            </w:tcBorders>
            <w:shd w:val="clear" w:color="auto" w:fill="auto"/>
            <w:vAlign w:val="center"/>
            <w:hideMark/>
          </w:tcPr>
          <w:p w14:paraId="1B2DD27E" w14:textId="77777777" w:rsidR="00247CBF" w:rsidRPr="00092ED7" w:rsidRDefault="00247CBF" w:rsidP="00247CBF">
            <w:pPr>
              <w:spacing w:after="0"/>
              <w:jc w:val="center"/>
              <w:rPr>
                <w:rFonts w:eastAsia="Times New Roman" w:cs="Times New Roman"/>
                <w:sz w:val="20"/>
                <w:szCs w:val="20"/>
                <w:lang w:val="sr-Cyrl-CS" w:eastAsia="sr-Cyrl-RS"/>
              </w:rPr>
            </w:pPr>
            <w:r w:rsidRPr="00092ED7">
              <w:rPr>
                <w:rFonts w:eastAsia="Times New Roman" w:cs="Times New Roman"/>
                <w:sz w:val="20"/>
                <w:szCs w:val="20"/>
                <w:lang w:val="sr-Cyrl-CS" w:eastAsia="sr-Cyrl-RS"/>
              </w:rPr>
              <w:t>EDP.B9</w:t>
            </w:r>
          </w:p>
        </w:tc>
        <w:tc>
          <w:tcPr>
            <w:tcW w:w="1304" w:type="dxa"/>
            <w:gridSpan w:val="2"/>
            <w:tcBorders>
              <w:top w:val="nil"/>
              <w:left w:val="nil"/>
              <w:bottom w:val="dotted" w:sz="4" w:space="0" w:color="auto"/>
              <w:right w:val="single" w:sz="8" w:space="0" w:color="auto"/>
            </w:tcBorders>
            <w:shd w:val="clear" w:color="auto" w:fill="auto"/>
            <w:vAlign w:val="center"/>
            <w:hideMark/>
          </w:tcPr>
          <w:p w14:paraId="47F0F3A1"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-259,4</w:t>
            </w:r>
          </w:p>
        </w:tc>
        <w:tc>
          <w:tcPr>
            <w:tcW w:w="1185" w:type="dxa"/>
            <w:gridSpan w:val="2"/>
            <w:tcBorders>
              <w:top w:val="nil"/>
              <w:left w:val="nil"/>
              <w:bottom w:val="dotted" w:sz="4" w:space="0" w:color="auto"/>
              <w:right w:val="dotted" w:sz="4" w:space="0" w:color="auto"/>
            </w:tcBorders>
            <w:shd w:val="clear" w:color="auto" w:fill="auto"/>
            <w:vAlign w:val="center"/>
            <w:hideMark/>
          </w:tcPr>
          <w:p w14:paraId="01BF48C0"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-4,1</w:t>
            </w:r>
          </w:p>
        </w:tc>
        <w:tc>
          <w:tcPr>
            <w:tcW w:w="1185" w:type="dxa"/>
            <w:gridSpan w:val="2"/>
            <w:tcBorders>
              <w:top w:val="nil"/>
              <w:left w:val="nil"/>
              <w:bottom w:val="dotted" w:sz="4" w:space="0" w:color="auto"/>
              <w:right w:val="dotted" w:sz="4" w:space="0" w:color="auto"/>
            </w:tcBorders>
            <w:shd w:val="clear" w:color="auto" w:fill="auto"/>
            <w:vAlign w:val="center"/>
            <w:hideMark/>
          </w:tcPr>
          <w:p w14:paraId="22569863"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-3,8</w:t>
            </w:r>
          </w:p>
        </w:tc>
        <w:tc>
          <w:tcPr>
            <w:tcW w:w="1185" w:type="dxa"/>
            <w:gridSpan w:val="2"/>
            <w:tcBorders>
              <w:top w:val="nil"/>
              <w:left w:val="nil"/>
              <w:bottom w:val="dotted" w:sz="4" w:space="0" w:color="auto"/>
              <w:right w:val="dotted" w:sz="4" w:space="0" w:color="auto"/>
            </w:tcBorders>
            <w:shd w:val="clear" w:color="auto" w:fill="auto"/>
            <w:vAlign w:val="center"/>
            <w:hideMark/>
          </w:tcPr>
          <w:p w14:paraId="6F20CF01"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-3,3</w:t>
            </w:r>
          </w:p>
        </w:tc>
        <w:tc>
          <w:tcPr>
            <w:tcW w:w="1185" w:type="dxa"/>
            <w:gridSpan w:val="2"/>
            <w:tcBorders>
              <w:top w:val="nil"/>
              <w:left w:val="nil"/>
              <w:bottom w:val="dotted" w:sz="4" w:space="0" w:color="auto"/>
              <w:right w:val="dotted" w:sz="4" w:space="0" w:color="auto"/>
            </w:tcBorders>
            <w:shd w:val="clear" w:color="auto" w:fill="auto"/>
            <w:vAlign w:val="center"/>
            <w:hideMark/>
          </w:tcPr>
          <w:p w14:paraId="58B23D51"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-2,2</w:t>
            </w:r>
          </w:p>
        </w:tc>
        <w:tc>
          <w:tcPr>
            <w:tcW w:w="1186" w:type="dxa"/>
            <w:gridSpan w:val="2"/>
            <w:tcBorders>
              <w:top w:val="nil"/>
              <w:left w:val="nil"/>
              <w:bottom w:val="dotted" w:sz="4" w:space="0" w:color="auto"/>
              <w:right w:val="double" w:sz="6" w:space="0" w:color="auto"/>
            </w:tcBorders>
            <w:shd w:val="clear" w:color="auto" w:fill="auto"/>
            <w:vAlign w:val="center"/>
            <w:hideMark/>
          </w:tcPr>
          <w:p w14:paraId="48E73241"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-1,4</w:t>
            </w:r>
          </w:p>
        </w:tc>
      </w:tr>
      <w:tr w:rsidR="00247CBF" w:rsidRPr="00092ED7" w14:paraId="013C29B7" w14:textId="77777777" w:rsidTr="00247CBF">
        <w:trPr>
          <w:gridBefore w:val="1"/>
          <w:gridAfter w:val="1"/>
          <w:wBefore w:w="23" w:type="dxa"/>
          <w:wAfter w:w="306" w:type="dxa"/>
          <w:trHeight w:val="284"/>
        </w:trPr>
        <w:tc>
          <w:tcPr>
            <w:tcW w:w="5292" w:type="dxa"/>
            <w:tcBorders>
              <w:top w:val="nil"/>
              <w:left w:val="double" w:sz="6" w:space="0" w:color="auto"/>
              <w:bottom w:val="dotted" w:sz="4" w:space="0" w:color="auto"/>
              <w:right w:val="dotted" w:sz="4" w:space="0" w:color="auto"/>
            </w:tcBorders>
            <w:shd w:val="clear" w:color="auto" w:fill="auto"/>
            <w:vAlign w:val="center"/>
            <w:hideMark/>
          </w:tcPr>
          <w:p w14:paraId="074FFAC6" w14:textId="77777777" w:rsidR="00247CBF" w:rsidRPr="00092ED7" w:rsidRDefault="00247CBF" w:rsidP="00247CBF">
            <w:pPr>
              <w:spacing w:after="0"/>
              <w:jc w:val="left"/>
              <w:rPr>
                <w:rFonts w:eastAsia="Times New Roman" w:cs="Times New Roman"/>
                <w:sz w:val="20"/>
                <w:szCs w:val="20"/>
                <w:lang w:val="sr-Cyrl-CS" w:eastAsia="sr-Cyrl-RS"/>
              </w:rPr>
            </w:pPr>
            <w:r w:rsidRPr="00092ED7">
              <w:rPr>
                <w:rFonts w:eastAsia="Times New Roman" w:cs="Times New Roman"/>
                <w:sz w:val="20"/>
                <w:szCs w:val="20"/>
                <w:lang w:val="sr-Cyrl-CS" w:eastAsia="sr-Cyrl-RS"/>
              </w:rPr>
              <w:t>9. Расходи за камате</w:t>
            </w:r>
          </w:p>
        </w:tc>
        <w:tc>
          <w:tcPr>
            <w:tcW w:w="2033" w:type="dxa"/>
            <w:gridSpan w:val="2"/>
            <w:tcBorders>
              <w:top w:val="nil"/>
              <w:left w:val="nil"/>
              <w:bottom w:val="dotted" w:sz="4" w:space="0" w:color="auto"/>
              <w:right w:val="single" w:sz="8" w:space="0" w:color="auto"/>
            </w:tcBorders>
            <w:shd w:val="clear" w:color="auto" w:fill="auto"/>
            <w:vAlign w:val="center"/>
            <w:hideMark/>
          </w:tcPr>
          <w:p w14:paraId="22543B5F" w14:textId="77777777" w:rsidR="00247CBF" w:rsidRPr="00092ED7" w:rsidRDefault="00247CBF" w:rsidP="00247CBF">
            <w:pPr>
              <w:spacing w:after="0"/>
              <w:jc w:val="center"/>
              <w:rPr>
                <w:rFonts w:eastAsia="Times New Roman" w:cs="Times New Roman"/>
                <w:sz w:val="20"/>
                <w:szCs w:val="20"/>
                <w:lang w:val="sr-Cyrl-CS" w:eastAsia="sr-Cyrl-RS"/>
              </w:rPr>
            </w:pPr>
            <w:r w:rsidRPr="00092ED7">
              <w:rPr>
                <w:rFonts w:eastAsia="Times New Roman" w:cs="Times New Roman"/>
                <w:sz w:val="20"/>
                <w:szCs w:val="20"/>
                <w:lang w:val="sr-Cyrl-CS" w:eastAsia="sr-Cyrl-RS"/>
              </w:rPr>
              <w:t>EDP.D41 укљ. FISIM</w:t>
            </w:r>
          </w:p>
        </w:tc>
        <w:tc>
          <w:tcPr>
            <w:tcW w:w="1304" w:type="dxa"/>
            <w:gridSpan w:val="2"/>
            <w:tcBorders>
              <w:top w:val="nil"/>
              <w:left w:val="nil"/>
              <w:bottom w:val="dotted" w:sz="4" w:space="0" w:color="auto"/>
              <w:right w:val="single" w:sz="8" w:space="0" w:color="auto"/>
            </w:tcBorders>
            <w:shd w:val="clear" w:color="auto" w:fill="auto"/>
            <w:vAlign w:val="center"/>
            <w:hideMark/>
          </w:tcPr>
          <w:p w14:paraId="14768341"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108,7</w:t>
            </w:r>
          </w:p>
        </w:tc>
        <w:tc>
          <w:tcPr>
            <w:tcW w:w="1185" w:type="dxa"/>
            <w:gridSpan w:val="2"/>
            <w:tcBorders>
              <w:top w:val="nil"/>
              <w:left w:val="nil"/>
              <w:bottom w:val="dotted" w:sz="4" w:space="0" w:color="auto"/>
              <w:right w:val="dotted" w:sz="4" w:space="0" w:color="auto"/>
            </w:tcBorders>
            <w:shd w:val="clear" w:color="auto" w:fill="auto"/>
            <w:vAlign w:val="center"/>
            <w:hideMark/>
          </w:tcPr>
          <w:p w14:paraId="219622FE"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1,7</w:t>
            </w:r>
          </w:p>
        </w:tc>
        <w:tc>
          <w:tcPr>
            <w:tcW w:w="1185" w:type="dxa"/>
            <w:gridSpan w:val="2"/>
            <w:tcBorders>
              <w:top w:val="nil"/>
              <w:left w:val="nil"/>
              <w:bottom w:val="dotted" w:sz="4" w:space="0" w:color="auto"/>
              <w:right w:val="dotted" w:sz="4" w:space="0" w:color="auto"/>
            </w:tcBorders>
            <w:shd w:val="clear" w:color="auto" w:fill="auto"/>
            <w:vAlign w:val="center"/>
            <w:hideMark/>
          </w:tcPr>
          <w:p w14:paraId="17C91D9A"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1,6</w:t>
            </w:r>
          </w:p>
        </w:tc>
        <w:tc>
          <w:tcPr>
            <w:tcW w:w="1185" w:type="dxa"/>
            <w:gridSpan w:val="2"/>
            <w:tcBorders>
              <w:top w:val="nil"/>
              <w:left w:val="nil"/>
              <w:bottom w:val="dotted" w:sz="4" w:space="0" w:color="auto"/>
              <w:right w:val="dotted" w:sz="4" w:space="0" w:color="auto"/>
            </w:tcBorders>
            <w:shd w:val="clear" w:color="auto" w:fill="auto"/>
            <w:vAlign w:val="center"/>
            <w:hideMark/>
          </w:tcPr>
          <w:p w14:paraId="198160AF"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1,8</w:t>
            </w:r>
          </w:p>
        </w:tc>
        <w:tc>
          <w:tcPr>
            <w:tcW w:w="1185" w:type="dxa"/>
            <w:gridSpan w:val="2"/>
            <w:tcBorders>
              <w:top w:val="nil"/>
              <w:left w:val="nil"/>
              <w:bottom w:val="dotted" w:sz="4" w:space="0" w:color="auto"/>
              <w:right w:val="dotted" w:sz="4" w:space="0" w:color="auto"/>
            </w:tcBorders>
            <w:shd w:val="clear" w:color="auto" w:fill="auto"/>
            <w:vAlign w:val="center"/>
            <w:hideMark/>
          </w:tcPr>
          <w:p w14:paraId="1366D4D8"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2,1</w:t>
            </w:r>
          </w:p>
        </w:tc>
        <w:tc>
          <w:tcPr>
            <w:tcW w:w="1186" w:type="dxa"/>
            <w:gridSpan w:val="2"/>
            <w:tcBorders>
              <w:top w:val="nil"/>
              <w:left w:val="nil"/>
              <w:bottom w:val="dotted" w:sz="4" w:space="0" w:color="auto"/>
              <w:right w:val="double" w:sz="6" w:space="0" w:color="auto"/>
            </w:tcBorders>
            <w:shd w:val="clear" w:color="auto" w:fill="auto"/>
            <w:vAlign w:val="center"/>
            <w:hideMark/>
          </w:tcPr>
          <w:p w14:paraId="6B002FF1"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1,9</w:t>
            </w:r>
          </w:p>
        </w:tc>
      </w:tr>
      <w:tr w:rsidR="00247CBF" w:rsidRPr="00092ED7" w14:paraId="3EDD11F6" w14:textId="77777777" w:rsidTr="00247CBF">
        <w:trPr>
          <w:gridBefore w:val="1"/>
          <w:gridAfter w:val="1"/>
          <w:wBefore w:w="23" w:type="dxa"/>
          <w:wAfter w:w="306" w:type="dxa"/>
          <w:trHeight w:val="284"/>
        </w:trPr>
        <w:tc>
          <w:tcPr>
            <w:tcW w:w="5292" w:type="dxa"/>
            <w:tcBorders>
              <w:top w:val="nil"/>
              <w:left w:val="double" w:sz="6" w:space="0" w:color="auto"/>
              <w:bottom w:val="dotted" w:sz="4" w:space="0" w:color="auto"/>
              <w:right w:val="dotted" w:sz="4" w:space="0" w:color="auto"/>
            </w:tcBorders>
            <w:shd w:val="clear" w:color="auto" w:fill="auto"/>
            <w:vAlign w:val="center"/>
            <w:hideMark/>
          </w:tcPr>
          <w:p w14:paraId="7C18FA03" w14:textId="77777777" w:rsidR="00247CBF" w:rsidRPr="00092ED7" w:rsidRDefault="00247CBF" w:rsidP="00247CBF">
            <w:pPr>
              <w:spacing w:after="0"/>
              <w:jc w:val="left"/>
              <w:rPr>
                <w:rFonts w:eastAsia="Times New Roman" w:cs="Times New Roman"/>
                <w:sz w:val="20"/>
                <w:szCs w:val="20"/>
                <w:lang w:val="sr-Cyrl-CS" w:eastAsia="sr-Cyrl-RS"/>
              </w:rPr>
            </w:pPr>
            <w:r w:rsidRPr="00092ED7">
              <w:rPr>
                <w:rFonts w:eastAsia="Times New Roman" w:cs="Times New Roman"/>
                <w:sz w:val="20"/>
                <w:szCs w:val="20"/>
                <w:lang w:val="sr-Cyrl-CS" w:eastAsia="sr-Cyrl-RS"/>
              </w:rPr>
              <w:t>10. Примарни резултат[2]</w:t>
            </w:r>
          </w:p>
        </w:tc>
        <w:tc>
          <w:tcPr>
            <w:tcW w:w="2033" w:type="dxa"/>
            <w:gridSpan w:val="2"/>
            <w:tcBorders>
              <w:top w:val="nil"/>
              <w:left w:val="nil"/>
              <w:bottom w:val="dotted" w:sz="4" w:space="0" w:color="auto"/>
              <w:right w:val="single" w:sz="8" w:space="0" w:color="auto"/>
            </w:tcBorders>
            <w:shd w:val="clear" w:color="auto" w:fill="auto"/>
            <w:vAlign w:val="center"/>
            <w:hideMark/>
          </w:tcPr>
          <w:p w14:paraId="653C4F8E" w14:textId="77777777" w:rsidR="00247CBF" w:rsidRPr="00092ED7" w:rsidRDefault="00247CBF" w:rsidP="00247CBF">
            <w:pPr>
              <w:spacing w:after="0"/>
              <w:jc w:val="center"/>
              <w:rPr>
                <w:rFonts w:eastAsia="Times New Roman" w:cs="Times New Roman"/>
                <w:sz w:val="20"/>
                <w:szCs w:val="20"/>
                <w:lang w:val="sr-Cyrl-CS" w:eastAsia="sr-Cyrl-RS"/>
              </w:rPr>
            </w:pPr>
            <w:r w:rsidRPr="00092ED7">
              <w:rPr>
                <w:rFonts w:eastAsia="Times New Roman" w:cs="Times New Roman"/>
                <w:sz w:val="20"/>
                <w:szCs w:val="20"/>
                <w:lang w:val="sr-Cyrl-CS" w:eastAsia="sr-Cyrl-RS"/>
              </w:rPr>
              <w:t> </w:t>
            </w:r>
          </w:p>
        </w:tc>
        <w:tc>
          <w:tcPr>
            <w:tcW w:w="1304" w:type="dxa"/>
            <w:gridSpan w:val="2"/>
            <w:tcBorders>
              <w:top w:val="nil"/>
              <w:left w:val="nil"/>
              <w:bottom w:val="dotted" w:sz="4" w:space="0" w:color="auto"/>
              <w:right w:val="single" w:sz="8" w:space="0" w:color="auto"/>
            </w:tcBorders>
            <w:shd w:val="clear" w:color="auto" w:fill="auto"/>
            <w:vAlign w:val="center"/>
            <w:hideMark/>
          </w:tcPr>
          <w:p w14:paraId="55C4F9BD"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-150,6</w:t>
            </w:r>
          </w:p>
        </w:tc>
        <w:tc>
          <w:tcPr>
            <w:tcW w:w="1185" w:type="dxa"/>
            <w:gridSpan w:val="2"/>
            <w:tcBorders>
              <w:top w:val="nil"/>
              <w:left w:val="nil"/>
              <w:bottom w:val="dotted" w:sz="4" w:space="0" w:color="auto"/>
              <w:right w:val="dotted" w:sz="4" w:space="0" w:color="auto"/>
            </w:tcBorders>
            <w:shd w:val="clear" w:color="auto" w:fill="auto"/>
            <w:vAlign w:val="center"/>
            <w:hideMark/>
          </w:tcPr>
          <w:p w14:paraId="00ADAADF"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-2,4</w:t>
            </w:r>
          </w:p>
        </w:tc>
        <w:tc>
          <w:tcPr>
            <w:tcW w:w="1185" w:type="dxa"/>
            <w:gridSpan w:val="2"/>
            <w:tcBorders>
              <w:top w:val="nil"/>
              <w:left w:val="nil"/>
              <w:bottom w:val="dotted" w:sz="4" w:space="0" w:color="auto"/>
              <w:right w:val="dotted" w:sz="4" w:space="0" w:color="auto"/>
            </w:tcBorders>
            <w:shd w:val="clear" w:color="auto" w:fill="auto"/>
            <w:vAlign w:val="center"/>
            <w:hideMark/>
          </w:tcPr>
          <w:p w14:paraId="2180CD02"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-2,2</w:t>
            </w:r>
          </w:p>
        </w:tc>
        <w:tc>
          <w:tcPr>
            <w:tcW w:w="1185" w:type="dxa"/>
            <w:gridSpan w:val="2"/>
            <w:tcBorders>
              <w:top w:val="nil"/>
              <w:left w:val="nil"/>
              <w:bottom w:val="dotted" w:sz="4" w:space="0" w:color="auto"/>
              <w:right w:val="dotted" w:sz="4" w:space="0" w:color="auto"/>
            </w:tcBorders>
            <w:shd w:val="clear" w:color="auto" w:fill="auto"/>
            <w:vAlign w:val="center"/>
            <w:hideMark/>
          </w:tcPr>
          <w:p w14:paraId="65458EB5"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-1,5</w:t>
            </w:r>
          </w:p>
        </w:tc>
        <w:tc>
          <w:tcPr>
            <w:tcW w:w="1185" w:type="dxa"/>
            <w:gridSpan w:val="2"/>
            <w:tcBorders>
              <w:top w:val="nil"/>
              <w:left w:val="nil"/>
              <w:bottom w:val="dotted" w:sz="4" w:space="0" w:color="auto"/>
              <w:right w:val="dotted" w:sz="4" w:space="0" w:color="auto"/>
            </w:tcBorders>
            <w:shd w:val="clear" w:color="auto" w:fill="auto"/>
            <w:vAlign w:val="center"/>
            <w:hideMark/>
          </w:tcPr>
          <w:p w14:paraId="388097F3"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-0,1</w:t>
            </w:r>
          </w:p>
        </w:tc>
        <w:tc>
          <w:tcPr>
            <w:tcW w:w="1186" w:type="dxa"/>
            <w:gridSpan w:val="2"/>
            <w:tcBorders>
              <w:top w:val="nil"/>
              <w:left w:val="nil"/>
              <w:bottom w:val="dotted" w:sz="4" w:space="0" w:color="auto"/>
              <w:right w:val="double" w:sz="6" w:space="0" w:color="auto"/>
            </w:tcBorders>
            <w:shd w:val="clear" w:color="auto" w:fill="auto"/>
            <w:vAlign w:val="center"/>
            <w:hideMark/>
          </w:tcPr>
          <w:p w14:paraId="38520D82"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0,6</w:t>
            </w:r>
          </w:p>
        </w:tc>
      </w:tr>
      <w:tr w:rsidR="00247CBF" w:rsidRPr="00092ED7" w14:paraId="47CF3D97" w14:textId="77777777" w:rsidTr="00247CBF">
        <w:trPr>
          <w:gridBefore w:val="1"/>
          <w:gridAfter w:val="1"/>
          <w:wBefore w:w="23" w:type="dxa"/>
          <w:wAfter w:w="306" w:type="dxa"/>
          <w:trHeight w:val="284"/>
        </w:trPr>
        <w:tc>
          <w:tcPr>
            <w:tcW w:w="5292" w:type="dxa"/>
            <w:tcBorders>
              <w:top w:val="nil"/>
              <w:left w:val="double" w:sz="6" w:space="0" w:color="auto"/>
              <w:bottom w:val="single" w:sz="8" w:space="0" w:color="auto"/>
              <w:right w:val="dotted" w:sz="4" w:space="0" w:color="auto"/>
            </w:tcBorders>
            <w:shd w:val="clear" w:color="auto" w:fill="auto"/>
            <w:vAlign w:val="center"/>
            <w:hideMark/>
          </w:tcPr>
          <w:p w14:paraId="4206ED1F" w14:textId="77777777" w:rsidR="00247CBF" w:rsidRPr="00092ED7" w:rsidRDefault="00247CBF" w:rsidP="00247CBF">
            <w:pPr>
              <w:spacing w:after="0"/>
              <w:jc w:val="left"/>
              <w:rPr>
                <w:rFonts w:eastAsia="Times New Roman" w:cs="Times New Roman"/>
                <w:sz w:val="20"/>
                <w:szCs w:val="20"/>
                <w:lang w:val="sr-Cyrl-CS" w:eastAsia="sr-Cyrl-RS"/>
              </w:rPr>
            </w:pPr>
            <w:r w:rsidRPr="00092ED7">
              <w:rPr>
                <w:rFonts w:eastAsia="Times New Roman" w:cs="Times New Roman"/>
                <w:sz w:val="20"/>
                <w:szCs w:val="20"/>
                <w:lang w:val="sr-Cyrl-CS" w:eastAsia="sr-Cyrl-RS"/>
              </w:rPr>
              <w:t>11. Једнократне и друге привремене мере [3]</w:t>
            </w:r>
          </w:p>
        </w:tc>
        <w:tc>
          <w:tcPr>
            <w:tcW w:w="2033" w:type="dxa"/>
            <w:gridSpan w:val="2"/>
            <w:tcBorders>
              <w:top w:val="nil"/>
              <w:left w:val="nil"/>
              <w:bottom w:val="single" w:sz="8" w:space="0" w:color="auto"/>
              <w:right w:val="single" w:sz="8" w:space="0" w:color="auto"/>
            </w:tcBorders>
            <w:shd w:val="clear" w:color="auto" w:fill="auto"/>
            <w:vAlign w:val="center"/>
            <w:hideMark/>
          </w:tcPr>
          <w:p w14:paraId="1EC3A78A" w14:textId="77777777" w:rsidR="00247CBF" w:rsidRPr="00092ED7" w:rsidRDefault="00247CBF" w:rsidP="00247CBF">
            <w:pPr>
              <w:spacing w:after="0"/>
              <w:jc w:val="center"/>
              <w:rPr>
                <w:rFonts w:eastAsia="Times New Roman" w:cs="Times New Roman"/>
                <w:sz w:val="20"/>
                <w:szCs w:val="20"/>
                <w:lang w:val="sr-Cyrl-CS" w:eastAsia="sr-Cyrl-RS"/>
              </w:rPr>
            </w:pPr>
          </w:p>
        </w:tc>
        <w:tc>
          <w:tcPr>
            <w:tcW w:w="1304" w:type="dxa"/>
            <w:gridSpan w:val="2"/>
            <w:tcBorders>
              <w:top w:val="nil"/>
              <w:left w:val="nil"/>
              <w:bottom w:val="single" w:sz="8" w:space="0" w:color="auto"/>
              <w:right w:val="single" w:sz="8" w:space="0" w:color="auto"/>
            </w:tcBorders>
            <w:shd w:val="clear" w:color="auto" w:fill="auto"/>
            <w:vAlign w:val="center"/>
            <w:hideMark/>
          </w:tcPr>
          <w:p w14:paraId="52FF147A"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w:t>
            </w:r>
          </w:p>
        </w:tc>
        <w:tc>
          <w:tcPr>
            <w:tcW w:w="1185" w:type="dxa"/>
            <w:gridSpan w:val="2"/>
            <w:tcBorders>
              <w:top w:val="nil"/>
              <w:left w:val="nil"/>
              <w:bottom w:val="single" w:sz="8" w:space="0" w:color="auto"/>
              <w:right w:val="dotted" w:sz="4" w:space="0" w:color="auto"/>
            </w:tcBorders>
            <w:shd w:val="clear" w:color="auto" w:fill="auto"/>
            <w:vAlign w:val="center"/>
            <w:hideMark/>
          </w:tcPr>
          <w:p w14:paraId="1EC160C4"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w:t>
            </w:r>
          </w:p>
        </w:tc>
        <w:tc>
          <w:tcPr>
            <w:tcW w:w="1185" w:type="dxa"/>
            <w:gridSpan w:val="2"/>
            <w:tcBorders>
              <w:top w:val="nil"/>
              <w:left w:val="nil"/>
              <w:bottom w:val="single" w:sz="8" w:space="0" w:color="auto"/>
              <w:right w:val="dotted" w:sz="4" w:space="0" w:color="auto"/>
            </w:tcBorders>
            <w:shd w:val="clear" w:color="auto" w:fill="auto"/>
            <w:vAlign w:val="center"/>
            <w:hideMark/>
          </w:tcPr>
          <w:p w14:paraId="7BAA0DE0"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w:t>
            </w:r>
          </w:p>
        </w:tc>
        <w:tc>
          <w:tcPr>
            <w:tcW w:w="1185" w:type="dxa"/>
            <w:gridSpan w:val="2"/>
            <w:tcBorders>
              <w:top w:val="nil"/>
              <w:left w:val="nil"/>
              <w:bottom w:val="single" w:sz="8" w:space="0" w:color="auto"/>
              <w:right w:val="dotted" w:sz="4" w:space="0" w:color="auto"/>
            </w:tcBorders>
            <w:shd w:val="clear" w:color="auto" w:fill="auto"/>
            <w:vAlign w:val="center"/>
            <w:hideMark/>
          </w:tcPr>
          <w:p w14:paraId="45E33FF0"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w:t>
            </w:r>
          </w:p>
        </w:tc>
        <w:tc>
          <w:tcPr>
            <w:tcW w:w="1185" w:type="dxa"/>
            <w:gridSpan w:val="2"/>
            <w:tcBorders>
              <w:top w:val="nil"/>
              <w:left w:val="nil"/>
              <w:bottom w:val="single" w:sz="8" w:space="0" w:color="auto"/>
              <w:right w:val="dotted" w:sz="4" w:space="0" w:color="auto"/>
            </w:tcBorders>
            <w:shd w:val="clear" w:color="auto" w:fill="auto"/>
            <w:vAlign w:val="center"/>
            <w:hideMark/>
          </w:tcPr>
          <w:p w14:paraId="3A18B3E1"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w:t>
            </w:r>
          </w:p>
        </w:tc>
        <w:tc>
          <w:tcPr>
            <w:tcW w:w="1186" w:type="dxa"/>
            <w:gridSpan w:val="2"/>
            <w:tcBorders>
              <w:top w:val="nil"/>
              <w:left w:val="nil"/>
              <w:bottom w:val="single" w:sz="8" w:space="0" w:color="auto"/>
              <w:right w:val="double" w:sz="6" w:space="0" w:color="auto"/>
            </w:tcBorders>
            <w:shd w:val="clear" w:color="auto" w:fill="auto"/>
            <w:vAlign w:val="center"/>
            <w:hideMark/>
          </w:tcPr>
          <w:p w14:paraId="60B98279"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w:t>
            </w:r>
          </w:p>
        </w:tc>
      </w:tr>
      <w:tr w:rsidR="00247CBF" w:rsidRPr="00092ED7" w14:paraId="1E0C6AAD" w14:textId="77777777" w:rsidTr="00247CBF">
        <w:trPr>
          <w:gridBefore w:val="1"/>
          <w:gridAfter w:val="1"/>
          <w:wBefore w:w="23" w:type="dxa"/>
          <w:wAfter w:w="306" w:type="dxa"/>
          <w:trHeight w:val="284"/>
        </w:trPr>
        <w:tc>
          <w:tcPr>
            <w:tcW w:w="14555" w:type="dxa"/>
            <w:gridSpan w:val="15"/>
            <w:tcBorders>
              <w:top w:val="single" w:sz="8" w:space="0" w:color="auto"/>
              <w:left w:val="double" w:sz="6" w:space="0" w:color="auto"/>
              <w:bottom w:val="single" w:sz="8" w:space="0" w:color="auto"/>
              <w:right w:val="double" w:sz="6" w:space="0" w:color="000000"/>
            </w:tcBorders>
            <w:shd w:val="clear" w:color="auto" w:fill="auto"/>
            <w:vAlign w:val="center"/>
            <w:hideMark/>
          </w:tcPr>
          <w:p w14:paraId="747A9754" w14:textId="77777777" w:rsidR="00247CBF" w:rsidRPr="00092ED7" w:rsidRDefault="00247CBF" w:rsidP="00247CBF">
            <w:pPr>
              <w:spacing w:after="0"/>
              <w:jc w:val="center"/>
              <w:rPr>
                <w:rFonts w:eastAsia="Times New Roman" w:cs="Times New Roman"/>
                <w:b/>
                <w:bCs/>
                <w:sz w:val="20"/>
                <w:szCs w:val="20"/>
                <w:lang w:val="sr-Cyrl-CS" w:eastAsia="sr-Cyrl-RS"/>
              </w:rPr>
            </w:pPr>
            <w:r w:rsidRPr="00092ED7">
              <w:rPr>
                <w:rFonts w:eastAsia="Times New Roman" w:cs="Times New Roman"/>
                <w:b/>
                <w:bCs/>
                <w:sz w:val="20"/>
                <w:szCs w:val="20"/>
                <w:lang w:val="sr-Cyrl-CS" w:eastAsia="sr-Cyrl-RS"/>
              </w:rPr>
              <w:t>Компоненте прихода</w:t>
            </w:r>
          </w:p>
        </w:tc>
      </w:tr>
      <w:tr w:rsidR="00247CBF" w:rsidRPr="00092ED7" w14:paraId="504703A2" w14:textId="77777777" w:rsidTr="00247CBF">
        <w:trPr>
          <w:gridBefore w:val="1"/>
          <w:gridAfter w:val="1"/>
          <w:wBefore w:w="23" w:type="dxa"/>
          <w:wAfter w:w="306" w:type="dxa"/>
          <w:trHeight w:val="284"/>
        </w:trPr>
        <w:tc>
          <w:tcPr>
            <w:tcW w:w="5292" w:type="dxa"/>
            <w:tcBorders>
              <w:top w:val="nil"/>
              <w:left w:val="double" w:sz="6" w:space="0" w:color="auto"/>
              <w:bottom w:val="dotted" w:sz="4" w:space="0" w:color="auto"/>
              <w:right w:val="dotted" w:sz="4" w:space="0" w:color="auto"/>
            </w:tcBorders>
            <w:shd w:val="clear" w:color="auto" w:fill="auto"/>
            <w:vAlign w:val="center"/>
            <w:hideMark/>
          </w:tcPr>
          <w:p w14:paraId="5D653DBF" w14:textId="77777777" w:rsidR="00247CBF" w:rsidRPr="00092ED7" w:rsidRDefault="00247CBF" w:rsidP="00247CBF">
            <w:pPr>
              <w:spacing w:after="0"/>
              <w:jc w:val="left"/>
              <w:rPr>
                <w:rFonts w:eastAsia="Times New Roman" w:cs="Times New Roman"/>
                <w:sz w:val="20"/>
                <w:szCs w:val="20"/>
                <w:lang w:val="sr-Cyrl-CS" w:eastAsia="sr-Cyrl-RS"/>
              </w:rPr>
            </w:pPr>
            <w:r w:rsidRPr="00092ED7">
              <w:rPr>
                <w:rFonts w:eastAsia="Times New Roman" w:cs="Times New Roman"/>
                <w:sz w:val="20"/>
                <w:szCs w:val="20"/>
                <w:lang w:val="sr-Cyrl-CS" w:eastAsia="sr-Cyrl-RS"/>
              </w:rPr>
              <w:t>12. Укупни порези (12 = 12а+12б+12ц)</w:t>
            </w:r>
          </w:p>
        </w:tc>
        <w:tc>
          <w:tcPr>
            <w:tcW w:w="2033" w:type="dxa"/>
            <w:gridSpan w:val="2"/>
            <w:tcBorders>
              <w:top w:val="nil"/>
              <w:left w:val="nil"/>
              <w:bottom w:val="dotted" w:sz="4" w:space="0" w:color="auto"/>
              <w:right w:val="single" w:sz="8" w:space="0" w:color="auto"/>
            </w:tcBorders>
            <w:shd w:val="clear" w:color="auto" w:fill="auto"/>
            <w:vAlign w:val="center"/>
            <w:hideMark/>
          </w:tcPr>
          <w:p w14:paraId="0FFEAC7F" w14:textId="77777777" w:rsidR="00247CBF" w:rsidRPr="00092ED7" w:rsidRDefault="00247CBF" w:rsidP="00247CBF">
            <w:pPr>
              <w:spacing w:after="0"/>
              <w:jc w:val="center"/>
              <w:rPr>
                <w:rFonts w:eastAsia="Times New Roman" w:cs="Times New Roman"/>
                <w:sz w:val="20"/>
                <w:szCs w:val="20"/>
                <w:lang w:val="sr-Cyrl-CS" w:eastAsia="sr-Cyrl-RS"/>
              </w:rPr>
            </w:pPr>
          </w:p>
        </w:tc>
        <w:tc>
          <w:tcPr>
            <w:tcW w:w="1304" w:type="dxa"/>
            <w:gridSpan w:val="2"/>
            <w:tcBorders>
              <w:top w:val="nil"/>
              <w:left w:val="nil"/>
              <w:bottom w:val="dotted" w:sz="4" w:space="0" w:color="auto"/>
              <w:right w:val="single" w:sz="8" w:space="0" w:color="auto"/>
            </w:tcBorders>
            <w:shd w:val="clear" w:color="auto" w:fill="auto"/>
            <w:vAlign w:val="center"/>
            <w:hideMark/>
          </w:tcPr>
          <w:p w14:paraId="382C2B06"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1.558,2</w:t>
            </w:r>
          </w:p>
        </w:tc>
        <w:tc>
          <w:tcPr>
            <w:tcW w:w="1185" w:type="dxa"/>
            <w:gridSpan w:val="2"/>
            <w:tcBorders>
              <w:top w:val="nil"/>
              <w:left w:val="nil"/>
              <w:bottom w:val="dotted" w:sz="4" w:space="0" w:color="auto"/>
              <w:right w:val="dotted" w:sz="4" w:space="0" w:color="auto"/>
            </w:tcBorders>
            <w:shd w:val="clear" w:color="auto" w:fill="auto"/>
            <w:vAlign w:val="center"/>
            <w:hideMark/>
          </w:tcPr>
          <w:p w14:paraId="117B6970"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24,9</w:t>
            </w:r>
          </w:p>
        </w:tc>
        <w:tc>
          <w:tcPr>
            <w:tcW w:w="1185" w:type="dxa"/>
            <w:gridSpan w:val="2"/>
            <w:tcBorders>
              <w:top w:val="nil"/>
              <w:left w:val="nil"/>
              <w:bottom w:val="dotted" w:sz="4" w:space="0" w:color="auto"/>
              <w:right w:val="dotted" w:sz="4" w:space="0" w:color="auto"/>
            </w:tcBorders>
            <w:shd w:val="clear" w:color="auto" w:fill="auto"/>
            <w:vAlign w:val="center"/>
            <w:hideMark/>
          </w:tcPr>
          <w:p w14:paraId="4688A283"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24,4</w:t>
            </w:r>
          </w:p>
        </w:tc>
        <w:tc>
          <w:tcPr>
            <w:tcW w:w="1185" w:type="dxa"/>
            <w:gridSpan w:val="2"/>
            <w:tcBorders>
              <w:top w:val="nil"/>
              <w:left w:val="nil"/>
              <w:bottom w:val="dotted" w:sz="4" w:space="0" w:color="auto"/>
              <w:right w:val="dotted" w:sz="4" w:space="0" w:color="auto"/>
            </w:tcBorders>
            <w:shd w:val="clear" w:color="auto" w:fill="auto"/>
            <w:vAlign w:val="center"/>
            <w:hideMark/>
          </w:tcPr>
          <w:p w14:paraId="02CF579B"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23,1</w:t>
            </w:r>
          </w:p>
        </w:tc>
        <w:tc>
          <w:tcPr>
            <w:tcW w:w="1185" w:type="dxa"/>
            <w:gridSpan w:val="2"/>
            <w:tcBorders>
              <w:top w:val="nil"/>
              <w:left w:val="nil"/>
              <w:bottom w:val="dotted" w:sz="4" w:space="0" w:color="auto"/>
              <w:right w:val="dotted" w:sz="4" w:space="0" w:color="auto"/>
            </w:tcBorders>
            <w:shd w:val="clear" w:color="auto" w:fill="auto"/>
            <w:vAlign w:val="center"/>
            <w:hideMark/>
          </w:tcPr>
          <w:p w14:paraId="67608AE1"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23,0</w:t>
            </w:r>
          </w:p>
        </w:tc>
        <w:tc>
          <w:tcPr>
            <w:tcW w:w="1186" w:type="dxa"/>
            <w:gridSpan w:val="2"/>
            <w:tcBorders>
              <w:top w:val="nil"/>
              <w:left w:val="nil"/>
              <w:bottom w:val="dotted" w:sz="4" w:space="0" w:color="auto"/>
              <w:right w:val="double" w:sz="6" w:space="0" w:color="auto"/>
            </w:tcBorders>
            <w:shd w:val="clear" w:color="auto" w:fill="auto"/>
            <w:vAlign w:val="center"/>
            <w:hideMark/>
          </w:tcPr>
          <w:p w14:paraId="7DBCD512"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22,5</w:t>
            </w:r>
          </w:p>
        </w:tc>
      </w:tr>
      <w:tr w:rsidR="00247CBF" w:rsidRPr="00092ED7" w14:paraId="6C9D0E3C" w14:textId="77777777" w:rsidTr="00247CBF">
        <w:trPr>
          <w:gridBefore w:val="1"/>
          <w:gridAfter w:val="1"/>
          <w:wBefore w:w="23" w:type="dxa"/>
          <w:wAfter w:w="306" w:type="dxa"/>
          <w:trHeight w:val="284"/>
        </w:trPr>
        <w:tc>
          <w:tcPr>
            <w:tcW w:w="5292" w:type="dxa"/>
            <w:tcBorders>
              <w:top w:val="nil"/>
              <w:left w:val="double" w:sz="6" w:space="0" w:color="auto"/>
              <w:bottom w:val="dotted" w:sz="4" w:space="0" w:color="auto"/>
              <w:right w:val="dotted" w:sz="4" w:space="0" w:color="auto"/>
            </w:tcBorders>
            <w:shd w:val="clear" w:color="auto" w:fill="auto"/>
            <w:vAlign w:val="center"/>
            <w:hideMark/>
          </w:tcPr>
          <w:p w14:paraId="4F632D80" w14:textId="77777777" w:rsidR="00247CBF" w:rsidRPr="00092ED7" w:rsidRDefault="00247CBF" w:rsidP="00247CBF">
            <w:pPr>
              <w:spacing w:after="0"/>
              <w:jc w:val="left"/>
              <w:rPr>
                <w:rFonts w:eastAsia="Times New Roman" w:cs="Times New Roman"/>
                <w:sz w:val="20"/>
                <w:szCs w:val="20"/>
                <w:lang w:val="sr-Cyrl-CS" w:eastAsia="sr-Cyrl-RS"/>
              </w:rPr>
            </w:pPr>
            <w:r w:rsidRPr="00092ED7">
              <w:rPr>
                <w:rFonts w:eastAsia="Times New Roman" w:cs="Times New Roman"/>
                <w:sz w:val="20"/>
                <w:szCs w:val="20"/>
                <w:lang w:val="sr-Cyrl-CS" w:eastAsia="sr-Cyrl-RS"/>
              </w:rPr>
              <w:t>12a. Порези на производњу и увоз</w:t>
            </w:r>
          </w:p>
        </w:tc>
        <w:tc>
          <w:tcPr>
            <w:tcW w:w="2033" w:type="dxa"/>
            <w:gridSpan w:val="2"/>
            <w:tcBorders>
              <w:top w:val="nil"/>
              <w:left w:val="nil"/>
              <w:bottom w:val="dotted" w:sz="4" w:space="0" w:color="auto"/>
              <w:right w:val="single" w:sz="8" w:space="0" w:color="auto"/>
            </w:tcBorders>
            <w:shd w:val="clear" w:color="auto" w:fill="auto"/>
            <w:vAlign w:val="center"/>
            <w:hideMark/>
          </w:tcPr>
          <w:p w14:paraId="2AD56490" w14:textId="77777777" w:rsidR="00247CBF" w:rsidRPr="00092ED7" w:rsidRDefault="00247CBF" w:rsidP="00247CBF">
            <w:pPr>
              <w:spacing w:after="0"/>
              <w:jc w:val="center"/>
              <w:rPr>
                <w:rFonts w:eastAsia="Times New Roman" w:cs="Times New Roman"/>
                <w:sz w:val="20"/>
                <w:szCs w:val="20"/>
                <w:lang w:val="sr-Cyrl-CS" w:eastAsia="sr-Cyrl-RS"/>
              </w:rPr>
            </w:pPr>
            <w:r w:rsidRPr="00092ED7">
              <w:rPr>
                <w:rFonts w:eastAsia="Times New Roman" w:cs="Times New Roman"/>
                <w:sz w:val="20"/>
                <w:szCs w:val="20"/>
                <w:lang w:val="sr-Cyrl-CS" w:eastAsia="sr-Cyrl-RS"/>
              </w:rPr>
              <w:t>D2</w:t>
            </w:r>
          </w:p>
        </w:tc>
        <w:tc>
          <w:tcPr>
            <w:tcW w:w="1304" w:type="dxa"/>
            <w:gridSpan w:val="2"/>
            <w:tcBorders>
              <w:top w:val="nil"/>
              <w:left w:val="nil"/>
              <w:bottom w:val="dotted" w:sz="4" w:space="0" w:color="auto"/>
              <w:right w:val="single" w:sz="8" w:space="0" w:color="auto"/>
            </w:tcBorders>
            <w:shd w:val="clear" w:color="auto" w:fill="auto"/>
            <w:vAlign w:val="center"/>
            <w:hideMark/>
          </w:tcPr>
          <w:p w14:paraId="577FB2B7"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1.092,0</w:t>
            </w:r>
          </w:p>
        </w:tc>
        <w:tc>
          <w:tcPr>
            <w:tcW w:w="1185" w:type="dxa"/>
            <w:gridSpan w:val="2"/>
            <w:tcBorders>
              <w:top w:val="nil"/>
              <w:left w:val="nil"/>
              <w:bottom w:val="dotted" w:sz="4" w:space="0" w:color="auto"/>
              <w:right w:val="dotted" w:sz="4" w:space="0" w:color="auto"/>
            </w:tcBorders>
            <w:shd w:val="clear" w:color="auto" w:fill="auto"/>
            <w:vAlign w:val="center"/>
            <w:hideMark/>
          </w:tcPr>
          <w:p w14:paraId="58F7FE7B"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17,4</w:t>
            </w:r>
          </w:p>
        </w:tc>
        <w:tc>
          <w:tcPr>
            <w:tcW w:w="1185" w:type="dxa"/>
            <w:gridSpan w:val="2"/>
            <w:tcBorders>
              <w:top w:val="nil"/>
              <w:left w:val="nil"/>
              <w:bottom w:val="dotted" w:sz="4" w:space="0" w:color="auto"/>
              <w:right w:val="dotted" w:sz="4" w:space="0" w:color="auto"/>
            </w:tcBorders>
            <w:shd w:val="clear" w:color="auto" w:fill="auto"/>
            <w:vAlign w:val="center"/>
            <w:hideMark/>
          </w:tcPr>
          <w:p w14:paraId="3CEA9305"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17,4</w:t>
            </w:r>
          </w:p>
        </w:tc>
        <w:tc>
          <w:tcPr>
            <w:tcW w:w="1185" w:type="dxa"/>
            <w:gridSpan w:val="2"/>
            <w:tcBorders>
              <w:top w:val="nil"/>
              <w:left w:val="nil"/>
              <w:bottom w:val="dotted" w:sz="4" w:space="0" w:color="auto"/>
              <w:right w:val="dotted" w:sz="4" w:space="0" w:color="auto"/>
            </w:tcBorders>
            <w:shd w:val="clear" w:color="auto" w:fill="auto"/>
            <w:vAlign w:val="center"/>
            <w:hideMark/>
          </w:tcPr>
          <w:p w14:paraId="0E16F498"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16,5</w:t>
            </w:r>
          </w:p>
        </w:tc>
        <w:tc>
          <w:tcPr>
            <w:tcW w:w="1185" w:type="dxa"/>
            <w:gridSpan w:val="2"/>
            <w:tcBorders>
              <w:top w:val="nil"/>
              <w:left w:val="nil"/>
              <w:bottom w:val="dotted" w:sz="4" w:space="0" w:color="auto"/>
              <w:right w:val="dotted" w:sz="4" w:space="0" w:color="auto"/>
            </w:tcBorders>
            <w:shd w:val="clear" w:color="auto" w:fill="auto"/>
            <w:vAlign w:val="center"/>
            <w:hideMark/>
          </w:tcPr>
          <w:p w14:paraId="21B23387"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16,6</w:t>
            </w:r>
          </w:p>
        </w:tc>
        <w:tc>
          <w:tcPr>
            <w:tcW w:w="1186" w:type="dxa"/>
            <w:gridSpan w:val="2"/>
            <w:tcBorders>
              <w:top w:val="nil"/>
              <w:left w:val="nil"/>
              <w:bottom w:val="dotted" w:sz="4" w:space="0" w:color="auto"/>
              <w:right w:val="double" w:sz="6" w:space="0" w:color="auto"/>
            </w:tcBorders>
            <w:shd w:val="clear" w:color="auto" w:fill="auto"/>
            <w:vAlign w:val="center"/>
            <w:hideMark/>
          </w:tcPr>
          <w:p w14:paraId="4C6F8062"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16,3</w:t>
            </w:r>
          </w:p>
        </w:tc>
      </w:tr>
      <w:tr w:rsidR="00247CBF" w:rsidRPr="00092ED7" w14:paraId="155AEB05" w14:textId="77777777" w:rsidTr="00247CBF">
        <w:trPr>
          <w:gridBefore w:val="1"/>
          <w:gridAfter w:val="1"/>
          <w:wBefore w:w="23" w:type="dxa"/>
          <w:wAfter w:w="306" w:type="dxa"/>
          <w:trHeight w:val="284"/>
        </w:trPr>
        <w:tc>
          <w:tcPr>
            <w:tcW w:w="5292" w:type="dxa"/>
            <w:tcBorders>
              <w:top w:val="nil"/>
              <w:left w:val="double" w:sz="6" w:space="0" w:color="auto"/>
              <w:bottom w:val="dotted" w:sz="4" w:space="0" w:color="auto"/>
              <w:right w:val="dotted" w:sz="4" w:space="0" w:color="auto"/>
            </w:tcBorders>
            <w:shd w:val="clear" w:color="auto" w:fill="auto"/>
            <w:vAlign w:val="center"/>
            <w:hideMark/>
          </w:tcPr>
          <w:p w14:paraId="6037FD72" w14:textId="77777777" w:rsidR="00247CBF" w:rsidRPr="00092ED7" w:rsidRDefault="00247CBF" w:rsidP="00247CBF">
            <w:pPr>
              <w:spacing w:after="0"/>
              <w:jc w:val="left"/>
              <w:rPr>
                <w:rFonts w:eastAsia="Times New Roman" w:cs="Times New Roman"/>
                <w:sz w:val="20"/>
                <w:szCs w:val="20"/>
                <w:lang w:val="sr-Cyrl-CS" w:eastAsia="sr-Cyrl-RS"/>
              </w:rPr>
            </w:pPr>
            <w:r w:rsidRPr="00092ED7">
              <w:rPr>
                <w:rFonts w:eastAsia="Times New Roman" w:cs="Times New Roman"/>
                <w:sz w:val="20"/>
                <w:szCs w:val="20"/>
                <w:lang w:val="sr-Cyrl-CS" w:eastAsia="sr-Cyrl-RS"/>
              </w:rPr>
              <w:lastRenderedPageBreak/>
              <w:t>12б. Текући порези на доходак и имовину</w:t>
            </w:r>
          </w:p>
        </w:tc>
        <w:tc>
          <w:tcPr>
            <w:tcW w:w="2033" w:type="dxa"/>
            <w:gridSpan w:val="2"/>
            <w:tcBorders>
              <w:top w:val="nil"/>
              <w:left w:val="nil"/>
              <w:bottom w:val="dotted" w:sz="4" w:space="0" w:color="auto"/>
              <w:right w:val="single" w:sz="8" w:space="0" w:color="auto"/>
            </w:tcBorders>
            <w:shd w:val="clear" w:color="auto" w:fill="auto"/>
            <w:vAlign w:val="center"/>
            <w:hideMark/>
          </w:tcPr>
          <w:p w14:paraId="5F02DCBF" w14:textId="77777777" w:rsidR="00247CBF" w:rsidRPr="00092ED7" w:rsidRDefault="00247CBF" w:rsidP="00247CBF">
            <w:pPr>
              <w:spacing w:after="0"/>
              <w:jc w:val="center"/>
              <w:rPr>
                <w:rFonts w:eastAsia="Times New Roman" w:cs="Times New Roman"/>
                <w:sz w:val="20"/>
                <w:szCs w:val="20"/>
                <w:lang w:val="sr-Cyrl-CS" w:eastAsia="sr-Cyrl-RS"/>
              </w:rPr>
            </w:pPr>
            <w:r w:rsidRPr="00092ED7">
              <w:rPr>
                <w:rFonts w:eastAsia="Times New Roman" w:cs="Times New Roman"/>
                <w:sz w:val="20"/>
                <w:szCs w:val="20"/>
                <w:lang w:val="sr-Cyrl-CS" w:eastAsia="sr-Cyrl-RS"/>
              </w:rPr>
              <w:t>D5</w:t>
            </w:r>
          </w:p>
        </w:tc>
        <w:tc>
          <w:tcPr>
            <w:tcW w:w="1304" w:type="dxa"/>
            <w:gridSpan w:val="2"/>
            <w:tcBorders>
              <w:top w:val="nil"/>
              <w:left w:val="nil"/>
              <w:bottom w:val="dotted" w:sz="4" w:space="0" w:color="auto"/>
              <w:right w:val="single" w:sz="8" w:space="0" w:color="auto"/>
            </w:tcBorders>
            <w:shd w:val="clear" w:color="auto" w:fill="auto"/>
            <w:vAlign w:val="center"/>
            <w:hideMark/>
          </w:tcPr>
          <w:p w14:paraId="0BDB7F87"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464,4</w:t>
            </w:r>
          </w:p>
        </w:tc>
        <w:tc>
          <w:tcPr>
            <w:tcW w:w="1185" w:type="dxa"/>
            <w:gridSpan w:val="2"/>
            <w:tcBorders>
              <w:top w:val="nil"/>
              <w:left w:val="nil"/>
              <w:bottom w:val="dotted" w:sz="4" w:space="0" w:color="auto"/>
              <w:right w:val="dotted" w:sz="4" w:space="0" w:color="auto"/>
            </w:tcBorders>
            <w:shd w:val="clear" w:color="auto" w:fill="auto"/>
            <w:vAlign w:val="center"/>
            <w:hideMark/>
          </w:tcPr>
          <w:p w14:paraId="7EB82658"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7,4</w:t>
            </w:r>
          </w:p>
        </w:tc>
        <w:tc>
          <w:tcPr>
            <w:tcW w:w="1185" w:type="dxa"/>
            <w:gridSpan w:val="2"/>
            <w:tcBorders>
              <w:top w:val="nil"/>
              <w:left w:val="nil"/>
              <w:bottom w:val="dotted" w:sz="4" w:space="0" w:color="auto"/>
              <w:right w:val="dotted" w:sz="4" w:space="0" w:color="auto"/>
            </w:tcBorders>
            <w:shd w:val="clear" w:color="auto" w:fill="auto"/>
            <w:vAlign w:val="center"/>
            <w:hideMark/>
          </w:tcPr>
          <w:p w14:paraId="79A40908"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6,9</w:t>
            </w:r>
          </w:p>
        </w:tc>
        <w:tc>
          <w:tcPr>
            <w:tcW w:w="1185" w:type="dxa"/>
            <w:gridSpan w:val="2"/>
            <w:tcBorders>
              <w:top w:val="nil"/>
              <w:left w:val="nil"/>
              <w:bottom w:val="dotted" w:sz="4" w:space="0" w:color="auto"/>
              <w:right w:val="dotted" w:sz="4" w:space="0" w:color="auto"/>
            </w:tcBorders>
            <w:shd w:val="clear" w:color="auto" w:fill="auto"/>
            <w:vAlign w:val="center"/>
            <w:hideMark/>
          </w:tcPr>
          <w:p w14:paraId="24FB7CE8"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6,5</w:t>
            </w:r>
          </w:p>
        </w:tc>
        <w:tc>
          <w:tcPr>
            <w:tcW w:w="1185" w:type="dxa"/>
            <w:gridSpan w:val="2"/>
            <w:tcBorders>
              <w:top w:val="nil"/>
              <w:left w:val="nil"/>
              <w:bottom w:val="dotted" w:sz="4" w:space="0" w:color="auto"/>
              <w:right w:val="dotted" w:sz="4" w:space="0" w:color="auto"/>
            </w:tcBorders>
            <w:shd w:val="clear" w:color="auto" w:fill="auto"/>
            <w:vAlign w:val="center"/>
            <w:hideMark/>
          </w:tcPr>
          <w:p w14:paraId="5EF393A4"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6,3</w:t>
            </w:r>
          </w:p>
        </w:tc>
        <w:tc>
          <w:tcPr>
            <w:tcW w:w="1186" w:type="dxa"/>
            <w:gridSpan w:val="2"/>
            <w:tcBorders>
              <w:top w:val="nil"/>
              <w:left w:val="nil"/>
              <w:bottom w:val="dotted" w:sz="4" w:space="0" w:color="auto"/>
              <w:right w:val="double" w:sz="6" w:space="0" w:color="auto"/>
            </w:tcBorders>
            <w:shd w:val="clear" w:color="auto" w:fill="auto"/>
            <w:vAlign w:val="center"/>
            <w:hideMark/>
          </w:tcPr>
          <w:p w14:paraId="4173DFBB"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6,1</w:t>
            </w:r>
          </w:p>
        </w:tc>
      </w:tr>
      <w:tr w:rsidR="00247CBF" w:rsidRPr="00092ED7" w14:paraId="63987BA6" w14:textId="77777777" w:rsidTr="00247CBF">
        <w:trPr>
          <w:gridBefore w:val="1"/>
          <w:gridAfter w:val="1"/>
          <w:wBefore w:w="23" w:type="dxa"/>
          <w:wAfter w:w="306" w:type="dxa"/>
          <w:trHeight w:val="284"/>
        </w:trPr>
        <w:tc>
          <w:tcPr>
            <w:tcW w:w="5292" w:type="dxa"/>
            <w:tcBorders>
              <w:top w:val="dotted" w:sz="4" w:space="0" w:color="auto"/>
              <w:left w:val="double" w:sz="6" w:space="0" w:color="auto"/>
              <w:bottom w:val="dotted" w:sz="4" w:space="0" w:color="auto"/>
              <w:right w:val="dotted" w:sz="4" w:space="0" w:color="auto"/>
            </w:tcBorders>
            <w:shd w:val="clear" w:color="auto" w:fill="auto"/>
            <w:vAlign w:val="center"/>
            <w:hideMark/>
          </w:tcPr>
          <w:p w14:paraId="5BF6C960" w14:textId="77777777" w:rsidR="00247CBF" w:rsidRPr="00092ED7" w:rsidRDefault="00247CBF" w:rsidP="00247CBF">
            <w:pPr>
              <w:spacing w:after="0"/>
              <w:jc w:val="left"/>
              <w:rPr>
                <w:rFonts w:eastAsia="Times New Roman" w:cs="Times New Roman"/>
                <w:sz w:val="20"/>
                <w:szCs w:val="20"/>
                <w:lang w:val="sr-Cyrl-CS" w:eastAsia="sr-Cyrl-RS"/>
              </w:rPr>
            </w:pPr>
            <w:r w:rsidRPr="00092ED7">
              <w:rPr>
                <w:rFonts w:eastAsia="Times New Roman" w:cs="Times New Roman"/>
                <w:sz w:val="20"/>
                <w:szCs w:val="20"/>
                <w:lang w:val="sr-Cyrl-CS" w:eastAsia="sr-Cyrl-RS"/>
              </w:rPr>
              <w:t>12ц. Порези на капитал</w:t>
            </w:r>
          </w:p>
        </w:tc>
        <w:tc>
          <w:tcPr>
            <w:tcW w:w="2033" w:type="dxa"/>
            <w:gridSpan w:val="2"/>
            <w:tcBorders>
              <w:top w:val="nil"/>
              <w:left w:val="nil"/>
              <w:bottom w:val="dotted" w:sz="4" w:space="0" w:color="auto"/>
              <w:right w:val="single" w:sz="8" w:space="0" w:color="auto"/>
            </w:tcBorders>
            <w:shd w:val="clear" w:color="auto" w:fill="auto"/>
            <w:vAlign w:val="center"/>
            <w:hideMark/>
          </w:tcPr>
          <w:p w14:paraId="2598484F" w14:textId="77777777" w:rsidR="00247CBF" w:rsidRPr="00092ED7" w:rsidRDefault="00247CBF" w:rsidP="00247CBF">
            <w:pPr>
              <w:spacing w:after="0"/>
              <w:jc w:val="center"/>
              <w:rPr>
                <w:rFonts w:eastAsia="Times New Roman" w:cs="Times New Roman"/>
                <w:sz w:val="20"/>
                <w:szCs w:val="20"/>
                <w:lang w:val="sr-Cyrl-CS" w:eastAsia="sr-Cyrl-RS"/>
              </w:rPr>
            </w:pPr>
            <w:r w:rsidRPr="00092ED7">
              <w:rPr>
                <w:rFonts w:eastAsia="Times New Roman" w:cs="Times New Roman"/>
                <w:sz w:val="20"/>
                <w:szCs w:val="20"/>
                <w:lang w:val="sr-Cyrl-CS" w:eastAsia="sr-Cyrl-RS"/>
              </w:rPr>
              <w:t>D91</w:t>
            </w:r>
          </w:p>
        </w:tc>
        <w:tc>
          <w:tcPr>
            <w:tcW w:w="1304" w:type="dxa"/>
            <w:gridSpan w:val="2"/>
            <w:tcBorders>
              <w:top w:val="nil"/>
              <w:left w:val="nil"/>
              <w:bottom w:val="dotted" w:sz="4" w:space="0" w:color="auto"/>
              <w:right w:val="single" w:sz="8" w:space="0" w:color="auto"/>
            </w:tcBorders>
            <w:shd w:val="clear" w:color="auto" w:fill="auto"/>
            <w:vAlign w:val="center"/>
            <w:hideMark/>
          </w:tcPr>
          <w:p w14:paraId="5E1ACFC5"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1,8</w:t>
            </w:r>
          </w:p>
        </w:tc>
        <w:tc>
          <w:tcPr>
            <w:tcW w:w="1185" w:type="dxa"/>
            <w:gridSpan w:val="2"/>
            <w:tcBorders>
              <w:top w:val="nil"/>
              <w:left w:val="nil"/>
              <w:bottom w:val="dotted" w:sz="4" w:space="0" w:color="auto"/>
              <w:right w:val="dotted" w:sz="4" w:space="0" w:color="auto"/>
            </w:tcBorders>
            <w:shd w:val="clear" w:color="auto" w:fill="auto"/>
            <w:vAlign w:val="center"/>
            <w:hideMark/>
          </w:tcPr>
          <w:p w14:paraId="45A1A6F0"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0,0</w:t>
            </w:r>
          </w:p>
        </w:tc>
        <w:tc>
          <w:tcPr>
            <w:tcW w:w="1185" w:type="dxa"/>
            <w:gridSpan w:val="2"/>
            <w:tcBorders>
              <w:top w:val="nil"/>
              <w:left w:val="nil"/>
              <w:bottom w:val="dotted" w:sz="4" w:space="0" w:color="auto"/>
              <w:right w:val="dotted" w:sz="4" w:space="0" w:color="auto"/>
            </w:tcBorders>
            <w:shd w:val="clear" w:color="auto" w:fill="auto"/>
            <w:vAlign w:val="center"/>
            <w:hideMark/>
          </w:tcPr>
          <w:p w14:paraId="658E0E04"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0,0</w:t>
            </w:r>
          </w:p>
        </w:tc>
        <w:tc>
          <w:tcPr>
            <w:tcW w:w="1185" w:type="dxa"/>
            <w:gridSpan w:val="2"/>
            <w:tcBorders>
              <w:top w:val="nil"/>
              <w:left w:val="nil"/>
              <w:bottom w:val="dotted" w:sz="4" w:space="0" w:color="auto"/>
              <w:right w:val="dotted" w:sz="4" w:space="0" w:color="auto"/>
            </w:tcBorders>
            <w:shd w:val="clear" w:color="auto" w:fill="auto"/>
            <w:vAlign w:val="center"/>
            <w:hideMark/>
          </w:tcPr>
          <w:p w14:paraId="15BC9E93"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0,0</w:t>
            </w:r>
          </w:p>
        </w:tc>
        <w:tc>
          <w:tcPr>
            <w:tcW w:w="1185" w:type="dxa"/>
            <w:gridSpan w:val="2"/>
            <w:tcBorders>
              <w:top w:val="nil"/>
              <w:left w:val="nil"/>
              <w:bottom w:val="dotted" w:sz="4" w:space="0" w:color="auto"/>
              <w:right w:val="dotted" w:sz="4" w:space="0" w:color="auto"/>
            </w:tcBorders>
            <w:shd w:val="clear" w:color="auto" w:fill="auto"/>
            <w:vAlign w:val="center"/>
            <w:hideMark/>
          </w:tcPr>
          <w:p w14:paraId="001C2F32"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0,1</w:t>
            </w:r>
          </w:p>
        </w:tc>
        <w:tc>
          <w:tcPr>
            <w:tcW w:w="1186" w:type="dxa"/>
            <w:gridSpan w:val="2"/>
            <w:tcBorders>
              <w:top w:val="nil"/>
              <w:left w:val="nil"/>
              <w:bottom w:val="dotted" w:sz="4" w:space="0" w:color="auto"/>
              <w:right w:val="double" w:sz="6" w:space="0" w:color="auto"/>
            </w:tcBorders>
            <w:shd w:val="clear" w:color="auto" w:fill="auto"/>
            <w:vAlign w:val="center"/>
            <w:hideMark/>
          </w:tcPr>
          <w:p w14:paraId="544B30B5"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0,1</w:t>
            </w:r>
          </w:p>
        </w:tc>
      </w:tr>
      <w:tr w:rsidR="00247CBF" w:rsidRPr="00092ED7" w14:paraId="5F857BF5" w14:textId="77777777" w:rsidTr="00247CBF">
        <w:trPr>
          <w:gridBefore w:val="1"/>
          <w:gridAfter w:val="1"/>
          <w:wBefore w:w="23" w:type="dxa"/>
          <w:wAfter w:w="306" w:type="dxa"/>
          <w:trHeight w:val="284"/>
        </w:trPr>
        <w:tc>
          <w:tcPr>
            <w:tcW w:w="5292" w:type="dxa"/>
            <w:tcBorders>
              <w:top w:val="dotted" w:sz="4" w:space="0" w:color="auto"/>
              <w:left w:val="double" w:sz="6" w:space="0" w:color="auto"/>
              <w:bottom w:val="dotted" w:sz="4" w:space="0" w:color="auto"/>
              <w:right w:val="dotted" w:sz="4" w:space="0" w:color="auto"/>
            </w:tcBorders>
            <w:shd w:val="clear" w:color="auto" w:fill="auto"/>
            <w:vAlign w:val="center"/>
            <w:hideMark/>
          </w:tcPr>
          <w:p w14:paraId="6BCC8D1B" w14:textId="77777777" w:rsidR="00247CBF" w:rsidRPr="00092ED7" w:rsidRDefault="00247CBF" w:rsidP="00247CBF">
            <w:pPr>
              <w:spacing w:after="0"/>
              <w:jc w:val="left"/>
              <w:rPr>
                <w:rFonts w:eastAsia="Times New Roman" w:cs="Times New Roman"/>
                <w:sz w:val="20"/>
                <w:szCs w:val="20"/>
                <w:lang w:val="sr-Cyrl-CS" w:eastAsia="sr-Cyrl-RS"/>
              </w:rPr>
            </w:pPr>
            <w:r w:rsidRPr="00092ED7">
              <w:rPr>
                <w:rFonts w:eastAsia="Times New Roman" w:cs="Times New Roman"/>
                <w:sz w:val="20"/>
                <w:szCs w:val="20"/>
                <w:lang w:val="sr-Cyrl-CS" w:eastAsia="sr-Cyrl-RS"/>
              </w:rPr>
              <w:t>13. Доприноси за социјално осигурање</w:t>
            </w:r>
          </w:p>
        </w:tc>
        <w:tc>
          <w:tcPr>
            <w:tcW w:w="2033" w:type="dxa"/>
            <w:gridSpan w:val="2"/>
            <w:tcBorders>
              <w:top w:val="nil"/>
              <w:left w:val="nil"/>
              <w:bottom w:val="dotted" w:sz="4" w:space="0" w:color="auto"/>
              <w:right w:val="single" w:sz="8" w:space="0" w:color="auto"/>
            </w:tcBorders>
            <w:shd w:val="clear" w:color="auto" w:fill="auto"/>
            <w:vAlign w:val="center"/>
            <w:hideMark/>
          </w:tcPr>
          <w:p w14:paraId="214E440A" w14:textId="77777777" w:rsidR="00247CBF" w:rsidRPr="00092ED7" w:rsidRDefault="00247CBF" w:rsidP="00247CBF">
            <w:pPr>
              <w:spacing w:after="0"/>
              <w:jc w:val="center"/>
              <w:rPr>
                <w:rFonts w:eastAsia="Times New Roman" w:cs="Times New Roman"/>
                <w:sz w:val="20"/>
                <w:szCs w:val="20"/>
                <w:lang w:val="sr-Cyrl-CS" w:eastAsia="sr-Cyrl-RS"/>
              </w:rPr>
            </w:pPr>
            <w:r w:rsidRPr="00092ED7">
              <w:rPr>
                <w:rFonts w:eastAsia="Times New Roman" w:cs="Times New Roman"/>
                <w:sz w:val="20"/>
                <w:szCs w:val="20"/>
                <w:lang w:val="sr-Cyrl-CS" w:eastAsia="sr-Cyrl-RS"/>
              </w:rPr>
              <w:t>D61</w:t>
            </w:r>
          </w:p>
        </w:tc>
        <w:tc>
          <w:tcPr>
            <w:tcW w:w="1304" w:type="dxa"/>
            <w:gridSpan w:val="2"/>
            <w:tcBorders>
              <w:top w:val="nil"/>
              <w:left w:val="nil"/>
              <w:bottom w:val="dotted" w:sz="4" w:space="0" w:color="auto"/>
              <w:right w:val="single" w:sz="8" w:space="0" w:color="auto"/>
            </w:tcBorders>
            <w:shd w:val="clear" w:color="auto" w:fill="auto"/>
            <w:vAlign w:val="center"/>
            <w:hideMark/>
          </w:tcPr>
          <w:p w14:paraId="5294F798"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862,0</w:t>
            </w:r>
          </w:p>
        </w:tc>
        <w:tc>
          <w:tcPr>
            <w:tcW w:w="1185" w:type="dxa"/>
            <w:gridSpan w:val="2"/>
            <w:tcBorders>
              <w:top w:val="nil"/>
              <w:left w:val="nil"/>
              <w:bottom w:val="dotted" w:sz="4" w:space="0" w:color="auto"/>
              <w:right w:val="dotted" w:sz="4" w:space="0" w:color="auto"/>
            </w:tcBorders>
            <w:shd w:val="clear" w:color="auto" w:fill="auto"/>
            <w:vAlign w:val="center"/>
            <w:hideMark/>
          </w:tcPr>
          <w:p w14:paraId="37EB5265"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13,7</w:t>
            </w:r>
          </w:p>
        </w:tc>
        <w:tc>
          <w:tcPr>
            <w:tcW w:w="1185" w:type="dxa"/>
            <w:gridSpan w:val="2"/>
            <w:tcBorders>
              <w:top w:val="nil"/>
              <w:left w:val="nil"/>
              <w:bottom w:val="dotted" w:sz="4" w:space="0" w:color="auto"/>
              <w:right w:val="dotted" w:sz="4" w:space="0" w:color="auto"/>
            </w:tcBorders>
            <w:shd w:val="clear" w:color="auto" w:fill="auto"/>
            <w:vAlign w:val="center"/>
            <w:hideMark/>
          </w:tcPr>
          <w:p w14:paraId="59C4ADCE"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13,4</w:t>
            </w:r>
          </w:p>
        </w:tc>
        <w:tc>
          <w:tcPr>
            <w:tcW w:w="1185" w:type="dxa"/>
            <w:gridSpan w:val="2"/>
            <w:tcBorders>
              <w:top w:val="nil"/>
              <w:left w:val="nil"/>
              <w:bottom w:val="dotted" w:sz="4" w:space="0" w:color="auto"/>
              <w:right w:val="dotted" w:sz="4" w:space="0" w:color="auto"/>
            </w:tcBorders>
            <w:shd w:val="clear" w:color="auto" w:fill="auto"/>
            <w:vAlign w:val="center"/>
            <w:hideMark/>
          </w:tcPr>
          <w:p w14:paraId="694C8BC1"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12,6</w:t>
            </w:r>
          </w:p>
        </w:tc>
        <w:tc>
          <w:tcPr>
            <w:tcW w:w="1185" w:type="dxa"/>
            <w:gridSpan w:val="2"/>
            <w:tcBorders>
              <w:top w:val="nil"/>
              <w:left w:val="nil"/>
              <w:bottom w:val="dotted" w:sz="4" w:space="0" w:color="auto"/>
              <w:right w:val="dotted" w:sz="4" w:space="0" w:color="auto"/>
            </w:tcBorders>
            <w:shd w:val="clear" w:color="auto" w:fill="auto"/>
            <w:vAlign w:val="center"/>
            <w:hideMark/>
          </w:tcPr>
          <w:p w14:paraId="389A55BD"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12,5</w:t>
            </w:r>
          </w:p>
        </w:tc>
        <w:tc>
          <w:tcPr>
            <w:tcW w:w="1186" w:type="dxa"/>
            <w:gridSpan w:val="2"/>
            <w:tcBorders>
              <w:top w:val="nil"/>
              <w:left w:val="nil"/>
              <w:bottom w:val="dotted" w:sz="4" w:space="0" w:color="auto"/>
              <w:right w:val="double" w:sz="6" w:space="0" w:color="auto"/>
            </w:tcBorders>
            <w:shd w:val="clear" w:color="auto" w:fill="auto"/>
            <w:vAlign w:val="center"/>
            <w:hideMark/>
          </w:tcPr>
          <w:p w14:paraId="13D7F959"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12,4</w:t>
            </w:r>
          </w:p>
        </w:tc>
      </w:tr>
      <w:tr w:rsidR="00247CBF" w:rsidRPr="00092ED7" w14:paraId="681CCDAF" w14:textId="77777777" w:rsidTr="00247CBF">
        <w:trPr>
          <w:gridBefore w:val="1"/>
          <w:gridAfter w:val="1"/>
          <w:wBefore w:w="23" w:type="dxa"/>
          <w:wAfter w:w="306" w:type="dxa"/>
          <w:trHeight w:val="284"/>
        </w:trPr>
        <w:tc>
          <w:tcPr>
            <w:tcW w:w="5292" w:type="dxa"/>
            <w:tcBorders>
              <w:top w:val="dotted" w:sz="4" w:space="0" w:color="auto"/>
              <w:left w:val="double" w:sz="6" w:space="0" w:color="auto"/>
              <w:bottom w:val="dotted" w:sz="4" w:space="0" w:color="auto"/>
              <w:right w:val="dotted" w:sz="4" w:space="0" w:color="auto"/>
            </w:tcBorders>
            <w:shd w:val="clear" w:color="auto" w:fill="auto"/>
            <w:vAlign w:val="center"/>
            <w:hideMark/>
          </w:tcPr>
          <w:p w14:paraId="1EF161CA" w14:textId="77777777" w:rsidR="00247CBF" w:rsidRPr="00092ED7" w:rsidRDefault="00247CBF" w:rsidP="00247CBF">
            <w:pPr>
              <w:spacing w:after="0"/>
              <w:jc w:val="left"/>
              <w:rPr>
                <w:rFonts w:eastAsia="Times New Roman" w:cs="Times New Roman"/>
                <w:sz w:val="20"/>
                <w:szCs w:val="20"/>
                <w:lang w:val="sr-Cyrl-CS" w:eastAsia="sr-Cyrl-RS"/>
              </w:rPr>
            </w:pPr>
            <w:r w:rsidRPr="00092ED7">
              <w:rPr>
                <w:rFonts w:eastAsia="Times New Roman" w:cs="Times New Roman"/>
                <w:sz w:val="20"/>
                <w:szCs w:val="20"/>
                <w:lang w:val="sr-Cyrl-CS" w:eastAsia="sr-Cyrl-RS"/>
              </w:rPr>
              <w:t>14. Приходи од имовине</w:t>
            </w:r>
          </w:p>
        </w:tc>
        <w:tc>
          <w:tcPr>
            <w:tcW w:w="2033" w:type="dxa"/>
            <w:gridSpan w:val="2"/>
            <w:tcBorders>
              <w:top w:val="nil"/>
              <w:left w:val="nil"/>
              <w:bottom w:val="dotted" w:sz="4" w:space="0" w:color="auto"/>
              <w:right w:val="single" w:sz="8" w:space="0" w:color="auto"/>
            </w:tcBorders>
            <w:shd w:val="clear" w:color="auto" w:fill="auto"/>
            <w:vAlign w:val="center"/>
            <w:hideMark/>
          </w:tcPr>
          <w:p w14:paraId="2D41388F" w14:textId="77777777" w:rsidR="00247CBF" w:rsidRPr="00092ED7" w:rsidRDefault="00247CBF" w:rsidP="00247CBF">
            <w:pPr>
              <w:spacing w:after="0"/>
              <w:jc w:val="center"/>
              <w:rPr>
                <w:rFonts w:eastAsia="Times New Roman" w:cs="Times New Roman"/>
                <w:sz w:val="20"/>
                <w:szCs w:val="20"/>
                <w:lang w:val="sr-Cyrl-CS" w:eastAsia="sr-Cyrl-RS"/>
              </w:rPr>
            </w:pPr>
            <w:r w:rsidRPr="00092ED7">
              <w:rPr>
                <w:rFonts w:eastAsia="Times New Roman" w:cs="Times New Roman"/>
                <w:sz w:val="20"/>
                <w:szCs w:val="20"/>
                <w:lang w:val="sr-Cyrl-CS" w:eastAsia="sr-Cyrl-RS"/>
              </w:rPr>
              <w:t>D4</w:t>
            </w:r>
          </w:p>
        </w:tc>
        <w:tc>
          <w:tcPr>
            <w:tcW w:w="1304" w:type="dxa"/>
            <w:gridSpan w:val="2"/>
            <w:tcBorders>
              <w:top w:val="nil"/>
              <w:left w:val="nil"/>
              <w:bottom w:val="dotted" w:sz="4" w:space="0" w:color="auto"/>
              <w:right w:val="single" w:sz="8" w:space="0" w:color="auto"/>
            </w:tcBorders>
            <w:shd w:val="clear" w:color="auto" w:fill="auto"/>
            <w:vAlign w:val="center"/>
            <w:hideMark/>
          </w:tcPr>
          <w:p w14:paraId="3A2385F0"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69,9</w:t>
            </w:r>
          </w:p>
        </w:tc>
        <w:tc>
          <w:tcPr>
            <w:tcW w:w="1185" w:type="dxa"/>
            <w:gridSpan w:val="2"/>
            <w:tcBorders>
              <w:top w:val="nil"/>
              <w:left w:val="nil"/>
              <w:bottom w:val="dotted" w:sz="4" w:space="0" w:color="auto"/>
              <w:right w:val="dotted" w:sz="4" w:space="0" w:color="auto"/>
            </w:tcBorders>
            <w:shd w:val="clear" w:color="auto" w:fill="auto"/>
            <w:vAlign w:val="center"/>
            <w:hideMark/>
          </w:tcPr>
          <w:p w14:paraId="7FD626AB"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1,1</w:t>
            </w:r>
          </w:p>
        </w:tc>
        <w:tc>
          <w:tcPr>
            <w:tcW w:w="1185" w:type="dxa"/>
            <w:gridSpan w:val="2"/>
            <w:tcBorders>
              <w:top w:val="nil"/>
              <w:left w:val="nil"/>
              <w:bottom w:val="dotted" w:sz="4" w:space="0" w:color="auto"/>
              <w:right w:val="dotted" w:sz="4" w:space="0" w:color="auto"/>
            </w:tcBorders>
            <w:shd w:val="clear" w:color="auto" w:fill="auto"/>
            <w:vAlign w:val="center"/>
            <w:hideMark/>
          </w:tcPr>
          <w:p w14:paraId="55967032"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1,2</w:t>
            </w:r>
          </w:p>
        </w:tc>
        <w:tc>
          <w:tcPr>
            <w:tcW w:w="1185" w:type="dxa"/>
            <w:gridSpan w:val="2"/>
            <w:tcBorders>
              <w:top w:val="nil"/>
              <w:left w:val="nil"/>
              <w:bottom w:val="dotted" w:sz="4" w:space="0" w:color="auto"/>
              <w:right w:val="dotted" w:sz="4" w:space="0" w:color="auto"/>
            </w:tcBorders>
            <w:shd w:val="clear" w:color="auto" w:fill="auto"/>
            <w:vAlign w:val="center"/>
            <w:hideMark/>
          </w:tcPr>
          <w:p w14:paraId="075B1498"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1,1</w:t>
            </w:r>
          </w:p>
        </w:tc>
        <w:tc>
          <w:tcPr>
            <w:tcW w:w="1185" w:type="dxa"/>
            <w:gridSpan w:val="2"/>
            <w:tcBorders>
              <w:top w:val="nil"/>
              <w:left w:val="nil"/>
              <w:bottom w:val="dotted" w:sz="4" w:space="0" w:color="auto"/>
              <w:right w:val="dotted" w:sz="4" w:space="0" w:color="auto"/>
            </w:tcBorders>
            <w:shd w:val="clear" w:color="auto" w:fill="auto"/>
            <w:vAlign w:val="center"/>
            <w:hideMark/>
          </w:tcPr>
          <w:p w14:paraId="4C31CA4F"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1,1</w:t>
            </w:r>
          </w:p>
        </w:tc>
        <w:tc>
          <w:tcPr>
            <w:tcW w:w="1186" w:type="dxa"/>
            <w:gridSpan w:val="2"/>
            <w:tcBorders>
              <w:top w:val="nil"/>
              <w:left w:val="nil"/>
              <w:bottom w:val="dotted" w:sz="4" w:space="0" w:color="auto"/>
              <w:right w:val="double" w:sz="6" w:space="0" w:color="auto"/>
            </w:tcBorders>
            <w:shd w:val="clear" w:color="auto" w:fill="auto"/>
            <w:vAlign w:val="center"/>
            <w:hideMark/>
          </w:tcPr>
          <w:p w14:paraId="2D2B104B"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1,1</w:t>
            </w:r>
          </w:p>
        </w:tc>
      </w:tr>
      <w:tr w:rsidR="00247CBF" w:rsidRPr="00092ED7" w14:paraId="59248546" w14:textId="77777777" w:rsidTr="00247CBF">
        <w:trPr>
          <w:gridBefore w:val="1"/>
          <w:gridAfter w:val="1"/>
          <w:wBefore w:w="23" w:type="dxa"/>
          <w:wAfter w:w="306" w:type="dxa"/>
          <w:trHeight w:val="284"/>
        </w:trPr>
        <w:tc>
          <w:tcPr>
            <w:tcW w:w="5292" w:type="dxa"/>
            <w:tcBorders>
              <w:top w:val="dotted" w:sz="4" w:space="0" w:color="auto"/>
              <w:left w:val="double" w:sz="6" w:space="0" w:color="auto"/>
              <w:bottom w:val="dotted" w:sz="4" w:space="0" w:color="auto"/>
              <w:right w:val="dotted" w:sz="4" w:space="0" w:color="auto"/>
            </w:tcBorders>
            <w:shd w:val="clear" w:color="auto" w:fill="auto"/>
            <w:vAlign w:val="center"/>
            <w:hideMark/>
          </w:tcPr>
          <w:p w14:paraId="340B9482" w14:textId="77777777" w:rsidR="00247CBF" w:rsidRPr="00092ED7" w:rsidRDefault="00247CBF" w:rsidP="00247CBF">
            <w:pPr>
              <w:spacing w:after="0"/>
              <w:jc w:val="left"/>
              <w:rPr>
                <w:rFonts w:eastAsia="Times New Roman" w:cs="Times New Roman"/>
                <w:sz w:val="20"/>
                <w:szCs w:val="20"/>
                <w:lang w:val="sr-Cyrl-CS" w:eastAsia="sr-Cyrl-RS"/>
              </w:rPr>
            </w:pPr>
            <w:r w:rsidRPr="00092ED7">
              <w:rPr>
                <w:rFonts w:eastAsia="Times New Roman" w:cs="Times New Roman"/>
                <w:sz w:val="20"/>
                <w:szCs w:val="20"/>
                <w:lang w:val="sr-Cyrl-CS" w:eastAsia="sr-Cyrl-RS"/>
              </w:rPr>
              <w:t>15. Друго (15 = 16-(12+13+14)) [4]</w:t>
            </w:r>
          </w:p>
        </w:tc>
        <w:tc>
          <w:tcPr>
            <w:tcW w:w="2033" w:type="dxa"/>
            <w:gridSpan w:val="2"/>
            <w:tcBorders>
              <w:top w:val="nil"/>
              <w:left w:val="nil"/>
              <w:bottom w:val="dotted" w:sz="4" w:space="0" w:color="auto"/>
              <w:right w:val="single" w:sz="8" w:space="0" w:color="auto"/>
            </w:tcBorders>
            <w:shd w:val="clear" w:color="auto" w:fill="auto"/>
            <w:vAlign w:val="center"/>
            <w:hideMark/>
          </w:tcPr>
          <w:p w14:paraId="3B4D0237" w14:textId="77777777" w:rsidR="00247CBF" w:rsidRPr="00092ED7" w:rsidRDefault="00247CBF" w:rsidP="00247CBF">
            <w:pPr>
              <w:spacing w:after="0"/>
              <w:jc w:val="center"/>
              <w:rPr>
                <w:rFonts w:eastAsia="Times New Roman" w:cs="Times New Roman"/>
                <w:sz w:val="20"/>
                <w:szCs w:val="20"/>
                <w:lang w:val="sr-Cyrl-CS" w:eastAsia="sr-Cyrl-RS"/>
              </w:rPr>
            </w:pPr>
          </w:p>
        </w:tc>
        <w:tc>
          <w:tcPr>
            <w:tcW w:w="1304" w:type="dxa"/>
            <w:gridSpan w:val="2"/>
            <w:tcBorders>
              <w:top w:val="nil"/>
              <w:left w:val="nil"/>
              <w:bottom w:val="dotted" w:sz="4" w:space="0" w:color="auto"/>
              <w:right w:val="single" w:sz="8" w:space="0" w:color="auto"/>
            </w:tcBorders>
            <w:shd w:val="clear" w:color="auto" w:fill="auto"/>
            <w:vAlign w:val="center"/>
            <w:hideMark/>
          </w:tcPr>
          <w:p w14:paraId="145ABA4C"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221,9</w:t>
            </w:r>
          </w:p>
        </w:tc>
        <w:tc>
          <w:tcPr>
            <w:tcW w:w="1185" w:type="dxa"/>
            <w:gridSpan w:val="2"/>
            <w:tcBorders>
              <w:top w:val="nil"/>
              <w:left w:val="nil"/>
              <w:bottom w:val="dotted" w:sz="4" w:space="0" w:color="auto"/>
              <w:right w:val="dotted" w:sz="4" w:space="0" w:color="auto"/>
            </w:tcBorders>
            <w:shd w:val="clear" w:color="auto" w:fill="auto"/>
            <w:vAlign w:val="center"/>
            <w:hideMark/>
          </w:tcPr>
          <w:p w14:paraId="77A99F91"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3,5</w:t>
            </w:r>
          </w:p>
        </w:tc>
        <w:tc>
          <w:tcPr>
            <w:tcW w:w="1185" w:type="dxa"/>
            <w:gridSpan w:val="2"/>
            <w:tcBorders>
              <w:top w:val="nil"/>
              <w:left w:val="nil"/>
              <w:bottom w:val="dotted" w:sz="4" w:space="0" w:color="auto"/>
              <w:right w:val="dotted" w:sz="4" w:space="0" w:color="auto"/>
            </w:tcBorders>
            <w:shd w:val="clear" w:color="auto" w:fill="auto"/>
            <w:vAlign w:val="center"/>
            <w:hideMark/>
          </w:tcPr>
          <w:p w14:paraId="415B7317"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4,0</w:t>
            </w:r>
          </w:p>
        </w:tc>
        <w:tc>
          <w:tcPr>
            <w:tcW w:w="1185" w:type="dxa"/>
            <w:gridSpan w:val="2"/>
            <w:tcBorders>
              <w:top w:val="nil"/>
              <w:left w:val="nil"/>
              <w:bottom w:val="dotted" w:sz="4" w:space="0" w:color="auto"/>
              <w:right w:val="dotted" w:sz="4" w:space="0" w:color="auto"/>
            </w:tcBorders>
            <w:shd w:val="clear" w:color="auto" w:fill="auto"/>
            <w:vAlign w:val="center"/>
            <w:hideMark/>
          </w:tcPr>
          <w:p w14:paraId="6C5B051B"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4,2</w:t>
            </w:r>
          </w:p>
        </w:tc>
        <w:tc>
          <w:tcPr>
            <w:tcW w:w="1185" w:type="dxa"/>
            <w:gridSpan w:val="2"/>
            <w:tcBorders>
              <w:top w:val="nil"/>
              <w:left w:val="nil"/>
              <w:bottom w:val="dotted" w:sz="4" w:space="0" w:color="auto"/>
              <w:right w:val="dotted" w:sz="4" w:space="0" w:color="auto"/>
            </w:tcBorders>
            <w:shd w:val="clear" w:color="auto" w:fill="auto"/>
            <w:vAlign w:val="center"/>
            <w:hideMark/>
          </w:tcPr>
          <w:p w14:paraId="7ADFCF25"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3,8</w:t>
            </w:r>
          </w:p>
        </w:tc>
        <w:tc>
          <w:tcPr>
            <w:tcW w:w="1186" w:type="dxa"/>
            <w:gridSpan w:val="2"/>
            <w:tcBorders>
              <w:top w:val="nil"/>
              <w:left w:val="nil"/>
              <w:bottom w:val="dotted" w:sz="4" w:space="0" w:color="auto"/>
              <w:right w:val="double" w:sz="6" w:space="0" w:color="auto"/>
            </w:tcBorders>
            <w:shd w:val="clear" w:color="auto" w:fill="auto"/>
            <w:vAlign w:val="center"/>
            <w:hideMark/>
          </w:tcPr>
          <w:p w14:paraId="771AC5D5"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3,6</w:t>
            </w:r>
          </w:p>
        </w:tc>
      </w:tr>
      <w:tr w:rsidR="00247CBF" w:rsidRPr="00092ED7" w14:paraId="31507E94" w14:textId="77777777" w:rsidTr="00247CBF">
        <w:trPr>
          <w:gridBefore w:val="1"/>
          <w:gridAfter w:val="1"/>
          <w:wBefore w:w="23" w:type="dxa"/>
          <w:wAfter w:w="306" w:type="dxa"/>
          <w:trHeight w:val="284"/>
        </w:trPr>
        <w:tc>
          <w:tcPr>
            <w:tcW w:w="5292" w:type="dxa"/>
            <w:tcBorders>
              <w:top w:val="dotted" w:sz="4" w:space="0" w:color="auto"/>
              <w:left w:val="double" w:sz="6" w:space="0" w:color="auto"/>
              <w:bottom w:val="dotted" w:sz="4" w:space="0" w:color="auto"/>
              <w:right w:val="dotted" w:sz="4" w:space="0" w:color="auto"/>
            </w:tcBorders>
            <w:shd w:val="clear" w:color="auto" w:fill="auto"/>
            <w:vAlign w:val="center"/>
            <w:hideMark/>
          </w:tcPr>
          <w:p w14:paraId="6919A2DF" w14:textId="77777777" w:rsidR="00247CBF" w:rsidRPr="00092ED7" w:rsidRDefault="00247CBF" w:rsidP="00247CBF">
            <w:pPr>
              <w:spacing w:after="0"/>
              <w:jc w:val="left"/>
              <w:rPr>
                <w:rFonts w:eastAsia="Times New Roman" w:cs="Times New Roman"/>
                <w:sz w:val="20"/>
                <w:szCs w:val="20"/>
                <w:lang w:val="sr-Cyrl-CS" w:eastAsia="sr-Cyrl-RS"/>
              </w:rPr>
            </w:pPr>
            <w:r w:rsidRPr="00092ED7">
              <w:rPr>
                <w:rFonts w:eastAsia="Times New Roman" w:cs="Times New Roman"/>
                <w:sz w:val="20"/>
                <w:szCs w:val="20"/>
                <w:lang w:val="sr-Cyrl-CS" w:eastAsia="sr-Cyrl-RS"/>
              </w:rPr>
              <w:t>16 = 6. Укупни приходи</w:t>
            </w:r>
          </w:p>
        </w:tc>
        <w:tc>
          <w:tcPr>
            <w:tcW w:w="2033" w:type="dxa"/>
            <w:gridSpan w:val="2"/>
            <w:tcBorders>
              <w:top w:val="nil"/>
              <w:left w:val="nil"/>
              <w:bottom w:val="dotted" w:sz="4" w:space="0" w:color="auto"/>
              <w:right w:val="single" w:sz="8" w:space="0" w:color="auto"/>
            </w:tcBorders>
            <w:shd w:val="clear" w:color="auto" w:fill="auto"/>
            <w:vAlign w:val="center"/>
            <w:hideMark/>
          </w:tcPr>
          <w:p w14:paraId="178A3A0D" w14:textId="77777777" w:rsidR="00247CBF" w:rsidRPr="00092ED7" w:rsidRDefault="00247CBF" w:rsidP="00247CBF">
            <w:pPr>
              <w:spacing w:after="0"/>
              <w:jc w:val="center"/>
              <w:rPr>
                <w:rFonts w:eastAsia="Times New Roman" w:cs="Times New Roman"/>
                <w:sz w:val="20"/>
                <w:szCs w:val="20"/>
                <w:lang w:val="sr-Cyrl-CS" w:eastAsia="sr-Cyrl-RS"/>
              </w:rPr>
            </w:pPr>
            <w:r w:rsidRPr="00092ED7">
              <w:rPr>
                <w:rFonts w:eastAsia="Times New Roman" w:cs="Times New Roman"/>
                <w:sz w:val="20"/>
                <w:szCs w:val="20"/>
                <w:lang w:val="sr-Cyrl-CS" w:eastAsia="sr-Cyrl-RS"/>
              </w:rPr>
              <w:t>TR</w:t>
            </w:r>
          </w:p>
        </w:tc>
        <w:tc>
          <w:tcPr>
            <w:tcW w:w="1304" w:type="dxa"/>
            <w:gridSpan w:val="2"/>
            <w:tcBorders>
              <w:top w:val="nil"/>
              <w:left w:val="nil"/>
              <w:bottom w:val="dotted" w:sz="4" w:space="0" w:color="auto"/>
              <w:right w:val="single" w:sz="8" w:space="0" w:color="auto"/>
            </w:tcBorders>
            <w:shd w:val="clear" w:color="auto" w:fill="auto"/>
            <w:vAlign w:val="center"/>
            <w:hideMark/>
          </w:tcPr>
          <w:p w14:paraId="2CE1D3EC"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2.711,9</w:t>
            </w:r>
          </w:p>
        </w:tc>
        <w:tc>
          <w:tcPr>
            <w:tcW w:w="1185" w:type="dxa"/>
            <w:gridSpan w:val="2"/>
            <w:tcBorders>
              <w:top w:val="nil"/>
              <w:left w:val="nil"/>
              <w:bottom w:val="dotted" w:sz="4" w:space="0" w:color="auto"/>
              <w:right w:val="dotted" w:sz="4" w:space="0" w:color="auto"/>
            </w:tcBorders>
            <w:shd w:val="clear" w:color="auto" w:fill="auto"/>
            <w:vAlign w:val="center"/>
            <w:hideMark/>
          </w:tcPr>
          <w:p w14:paraId="6E8BDE59"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43,3</w:t>
            </w:r>
          </w:p>
        </w:tc>
        <w:tc>
          <w:tcPr>
            <w:tcW w:w="1185" w:type="dxa"/>
            <w:gridSpan w:val="2"/>
            <w:tcBorders>
              <w:top w:val="nil"/>
              <w:left w:val="nil"/>
              <w:bottom w:val="dotted" w:sz="4" w:space="0" w:color="auto"/>
              <w:right w:val="dotted" w:sz="4" w:space="0" w:color="auto"/>
            </w:tcBorders>
            <w:shd w:val="clear" w:color="auto" w:fill="auto"/>
            <w:vAlign w:val="center"/>
            <w:hideMark/>
          </w:tcPr>
          <w:p w14:paraId="06DDDF77"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43,0</w:t>
            </w:r>
          </w:p>
        </w:tc>
        <w:tc>
          <w:tcPr>
            <w:tcW w:w="1185" w:type="dxa"/>
            <w:gridSpan w:val="2"/>
            <w:tcBorders>
              <w:top w:val="nil"/>
              <w:left w:val="nil"/>
              <w:bottom w:val="dotted" w:sz="4" w:space="0" w:color="auto"/>
              <w:right w:val="dotted" w:sz="4" w:space="0" w:color="auto"/>
            </w:tcBorders>
            <w:shd w:val="clear" w:color="auto" w:fill="auto"/>
            <w:vAlign w:val="center"/>
            <w:hideMark/>
          </w:tcPr>
          <w:p w14:paraId="08D297B3"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40,9</w:t>
            </w:r>
          </w:p>
        </w:tc>
        <w:tc>
          <w:tcPr>
            <w:tcW w:w="1185" w:type="dxa"/>
            <w:gridSpan w:val="2"/>
            <w:tcBorders>
              <w:top w:val="nil"/>
              <w:left w:val="nil"/>
              <w:bottom w:val="dotted" w:sz="4" w:space="0" w:color="auto"/>
              <w:right w:val="dotted" w:sz="4" w:space="0" w:color="auto"/>
            </w:tcBorders>
            <w:shd w:val="clear" w:color="auto" w:fill="auto"/>
            <w:vAlign w:val="center"/>
            <w:hideMark/>
          </w:tcPr>
          <w:p w14:paraId="12125BBD"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40,4</w:t>
            </w:r>
          </w:p>
        </w:tc>
        <w:tc>
          <w:tcPr>
            <w:tcW w:w="1186" w:type="dxa"/>
            <w:gridSpan w:val="2"/>
            <w:tcBorders>
              <w:top w:val="nil"/>
              <w:left w:val="nil"/>
              <w:bottom w:val="dotted" w:sz="4" w:space="0" w:color="auto"/>
              <w:right w:val="double" w:sz="6" w:space="0" w:color="auto"/>
            </w:tcBorders>
            <w:shd w:val="clear" w:color="auto" w:fill="auto"/>
            <w:vAlign w:val="center"/>
            <w:hideMark/>
          </w:tcPr>
          <w:p w14:paraId="65560D7E"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39,6</w:t>
            </w:r>
          </w:p>
        </w:tc>
      </w:tr>
      <w:tr w:rsidR="00247CBF" w:rsidRPr="00092ED7" w14:paraId="0C7E38E1" w14:textId="77777777" w:rsidTr="00247CBF">
        <w:trPr>
          <w:gridBefore w:val="1"/>
          <w:gridAfter w:val="1"/>
          <w:wBefore w:w="23" w:type="dxa"/>
          <w:wAfter w:w="306" w:type="dxa"/>
          <w:trHeight w:val="284"/>
        </w:trPr>
        <w:tc>
          <w:tcPr>
            <w:tcW w:w="5292" w:type="dxa"/>
            <w:tcBorders>
              <w:top w:val="dotted" w:sz="4" w:space="0" w:color="auto"/>
              <w:left w:val="double" w:sz="6" w:space="0" w:color="auto"/>
              <w:bottom w:val="single" w:sz="8" w:space="0" w:color="auto"/>
              <w:right w:val="dotted" w:sz="4" w:space="0" w:color="auto"/>
            </w:tcBorders>
            <w:shd w:val="clear" w:color="auto" w:fill="auto"/>
            <w:noWrap/>
            <w:vAlign w:val="bottom"/>
            <w:hideMark/>
          </w:tcPr>
          <w:p w14:paraId="7814CB81" w14:textId="77777777" w:rsidR="00247CBF" w:rsidRPr="00092ED7" w:rsidRDefault="00247CBF" w:rsidP="00247CBF">
            <w:pPr>
              <w:spacing w:after="0"/>
              <w:jc w:val="left"/>
              <w:rPr>
                <w:rFonts w:eastAsia="Times New Roman" w:cs="Times New Roman"/>
                <w:sz w:val="20"/>
                <w:szCs w:val="20"/>
                <w:lang w:val="sr-Cyrl-CS" w:eastAsia="sr-Cyrl-RS"/>
              </w:rPr>
            </w:pPr>
            <w:r w:rsidRPr="00092ED7">
              <w:rPr>
                <w:rFonts w:eastAsia="Times New Roman" w:cs="Times New Roman"/>
                <w:sz w:val="20"/>
                <w:szCs w:val="20"/>
                <w:lang w:val="sr-Cyrl-CS" w:eastAsia="sr-Cyrl-RS"/>
              </w:rPr>
              <w:t>информативно: пореско оптерећење (D2+D5+D61+D91-D995) [5]</w:t>
            </w:r>
          </w:p>
        </w:tc>
        <w:tc>
          <w:tcPr>
            <w:tcW w:w="2033" w:type="dxa"/>
            <w:gridSpan w:val="2"/>
            <w:tcBorders>
              <w:top w:val="nil"/>
              <w:left w:val="dotted" w:sz="4" w:space="0" w:color="auto"/>
              <w:bottom w:val="single" w:sz="8" w:space="0" w:color="000000"/>
              <w:right w:val="single" w:sz="8" w:space="0" w:color="auto"/>
            </w:tcBorders>
            <w:shd w:val="clear" w:color="auto" w:fill="auto"/>
            <w:vAlign w:val="center"/>
            <w:hideMark/>
          </w:tcPr>
          <w:p w14:paraId="50D0089A" w14:textId="77777777" w:rsidR="00247CBF" w:rsidRPr="00092ED7" w:rsidRDefault="00247CBF" w:rsidP="00247CBF">
            <w:pPr>
              <w:spacing w:after="0"/>
              <w:jc w:val="center"/>
              <w:rPr>
                <w:rFonts w:eastAsia="Times New Roman" w:cs="Times New Roman"/>
                <w:sz w:val="20"/>
                <w:szCs w:val="20"/>
                <w:lang w:val="sr-Cyrl-CS" w:eastAsia="sr-Cyrl-RS"/>
              </w:rPr>
            </w:pPr>
          </w:p>
        </w:tc>
        <w:tc>
          <w:tcPr>
            <w:tcW w:w="1304" w:type="dxa"/>
            <w:gridSpan w:val="2"/>
            <w:tcBorders>
              <w:top w:val="nil"/>
              <w:left w:val="nil"/>
              <w:bottom w:val="single" w:sz="8" w:space="0" w:color="auto"/>
              <w:right w:val="single" w:sz="8" w:space="0" w:color="auto"/>
            </w:tcBorders>
            <w:shd w:val="clear" w:color="auto" w:fill="auto"/>
            <w:vAlign w:val="center"/>
            <w:hideMark/>
          </w:tcPr>
          <w:p w14:paraId="57E6D5C8"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2.420,1</w:t>
            </w:r>
          </w:p>
        </w:tc>
        <w:tc>
          <w:tcPr>
            <w:tcW w:w="1185" w:type="dxa"/>
            <w:gridSpan w:val="2"/>
            <w:tcBorders>
              <w:top w:val="nil"/>
              <w:left w:val="nil"/>
              <w:bottom w:val="single" w:sz="8" w:space="0" w:color="000000"/>
              <w:right w:val="dotted" w:sz="4" w:space="0" w:color="auto"/>
            </w:tcBorders>
            <w:shd w:val="clear" w:color="auto" w:fill="auto"/>
            <w:vAlign w:val="center"/>
            <w:hideMark/>
          </w:tcPr>
          <w:p w14:paraId="4DA451B1"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38,6</w:t>
            </w:r>
          </w:p>
        </w:tc>
        <w:tc>
          <w:tcPr>
            <w:tcW w:w="1185" w:type="dxa"/>
            <w:gridSpan w:val="2"/>
            <w:tcBorders>
              <w:top w:val="nil"/>
              <w:left w:val="nil"/>
              <w:bottom w:val="single" w:sz="8" w:space="0" w:color="000000"/>
              <w:right w:val="dotted" w:sz="4" w:space="0" w:color="auto"/>
            </w:tcBorders>
            <w:shd w:val="clear" w:color="auto" w:fill="auto"/>
            <w:vAlign w:val="center"/>
            <w:hideMark/>
          </w:tcPr>
          <w:p w14:paraId="33DECCB1"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37,7</w:t>
            </w:r>
          </w:p>
        </w:tc>
        <w:tc>
          <w:tcPr>
            <w:tcW w:w="1185" w:type="dxa"/>
            <w:gridSpan w:val="2"/>
            <w:tcBorders>
              <w:top w:val="nil"/>
              <w:left w:val="nil"/>
              <w:bottom w:val="single" w:sz="8" w:space="0" w:color="000000"/>
              <w:right w:val="dotted" w:sz="4" w:space="0" w:color="auto"/>
            </w:tcBorders>
            <w:shd w:val="clear" w:color="auto" w:fill="auto"/>
            <w:vAlign w:val="center"/>
            <w:hideMark/>
          </w:tcPr>
          <w:p w14:paraId="055F7088"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35,6</w:t>
            </w:r>
          </w:p>
        </w:tc>
        <w:tc>
          <w:tcPr>
            <w:tcW w:w="1185" w:type="dxa"/>
            <w:gridSpan w:val="2"/>
            <w:tcBorders>
              <w:top w:val="nil"/>
              <w:left w:val="nil"/>
              <w:bottom w:val="single" w:sz="8" w:space="0" w:color="000000"/>
              <w:right w:val="dotted" w:sz="4" w:space="0" w:color="auto"/>
            </w:tcBorders>
            <w:shd w:val="clear" w:color="auto" w:fill="auto"/>
            <w:vAlign w:val="center"/>
            <w:hideMark/>
          </w:tcPr>
          <w:p w14:paraId="396CB6CC"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35,5</w:t>
            </w:r>
          </w:p>
        </w:tc>
        <w:tc>
          <w:tcPr>
            <w:tcW w:w="1186" w:type="dxa"/>
            <w:gridSpan w:val="2"/>
            <w:tcBorders>
              <w:top w:val="nil"/>
              <w:left w:val="nil"/>
              <w:bottom w:val="single" w:sz="8" w:space="0" w:color="auto"/>
              <w:right w:val="double" w:sz="6" w:space="0" w:color="auto"/>
            </w:tcBorders>
            <w:shd w:val="clear" w:color="auto" w:fill="auto"/>
            <w:vAlign w:val="center"/>
            <w:hideMark/>
          </w:tcPr>
          <w:p w14:paraId="1AAD7C17"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35,0</w:t>
            </w:r>
          </w:p>
        </w:tc>
      </w:tr>
      <w:tr w:rsidR="00247CBF" w:rsidRPr="00092ED7" w14:paraId="2479CFD6" w14:textId="77777777" w:rsidTr="00247CBF">
        <w:trPr>
          <w:gridBefore w:val="1"/>
          <w:gridAfter w:val="1"/>
          <w:wBefore w:w="23" w:type="dxa"/>
          <w:wAfter w:w="306" w:type="dxa"/>
          <w:trHeight w:val="284"/>
        </w:trPr>
        <w:tc>
          <w:tcPr>
            <w:tcW w:w="14555" w:type="dxa"/>
            <w:gridSpan w:val="15"/>
            <w:tcBorders>
              <w:top w:val="single" w:sz="8" w:space="0" w:color="auto"/>
              <w:left w:val="double" w:sz="6" w:space="0" w:color="auto"/>
              <w:bottom w:val="single" w:sz="8" w:space="0" w:color="auto"/>
              <w:right w:val="double" w:sz="6" w:space="0" w:color="000000"/>
            </w:tcBorders>
            <w:shd w:val="clear" w:color="auto" w:fill="auto"/>
            <w:vAlign w:val="center"/>
            <w:hideMark/>
          </w:tcPr>
          <w:p w14:paraId="6158BDE4" w14:textId="77777777" w:rsidR="00247CBF" w:rsidRPr="00092ED7" w:rsidRDefault="00247CBF" w:rsidP="00247CBF">
            <w:pPr>
              <w:spacing w:after="0"/>
              <w:jc w:val="center"/>
              <w:rPr>
                <w:rFonts w:eastAsia="Times New Roman" w:cs="Times New Roman"/>
                <w:b/>
                <w:bCs/>
                <w:sz w:val="20"/>
                <w:szCs w:val="20"/>
                <w:lang w:val="sr-Cyrl-CS" w:eastAsia="sr-Cyrl-RS"/>
              </w:rPr>
            </w:pPr>
            <w:r w:rsidRPr="00092ED7">
              <w:rPr>
                <w:rFonts w:eastAsia="Times New Roman" w:cs="Times New Roman"/>
                <w:b/>
                <w:bCs/>
                <w:sz w:val="20"/>
                <w:szCs w:val="20"/>
                <w:lang w:val="sr-Cyrl-CS" w:eastAsia="sr-Cyrl-RS"/>
              </w:rPr>
              <w:t>Изабране компоненте расхода</w:t>
            </w:r>
          </w:p>
        </w:tc>
      </w:tr>
      <w:tr w:rsidR="00247CBF" w:rsidRPr="00092ED7" w14:paraId="60D7A21D" w14:textId="77777777" w:rsidTr="00247CBF">
        <w:trPr>
          <w:gridBefore w:val="1"/>
          <w:gridAfter w:val="1"/>
          <w:wBefore w:w="23" w:type="dxa"/>
          <w:wAfter w:w="306" w:type="dxa"/>
          <w:trHeight w:val="284"/>
        </w:trPr>
        <w:tc>
          <w:tcPr>
            <w:tcW w:w="5292" w:type="dxa"/>
            <w:tcBorders>
              <w:top w:val="nil"/>
              <w:left w:val="double" w:sz="6" w:space="0" w:color="auto"/>
              <w:bottom w:val="dotted" w:sz="4" w:space="0" w:color="auto"/>
              <w:right w:val="dotted" w:sz="4" w:space="0" w:color="auto"/>
            </w:tcBorders>
            <w:shd w:val="clear" w:color="auto" w:fill="auto"/>
            <w:vAlign w:val="center"/>
            <w:hideMark/>
          </w:tcPr>
          <w:p w14:paraId="70270FD1" w14:textId="77777777" w:rsidR="00247CBF" w:rsidRPr="00092ED7" w:rsidRDefault="00247CBF" w:rsidP="00247CBF">
            <w:pPr>
              <w:spacing w:after="0"/>
              <w:jc w:val="left"/>
              <w:rPr>
                <w:rFonts w:eastAsia="Times New Roman" w:cs="Times New Roman"/>
                <w:sz w:val="20"/>
                <w:szCs w:val="20"/>
                <w:lang w:val="sr-Cyrl-CS" w:eastAsia="sr-Cyrl-RS"/>
              </w:rPr>
            </w:pPr>
            <w:r w:rsidRPr="00092ED7">
              <w:rPr>
                <w:rFonts w:eastAsia="Times New Roman" w:cs="Times New Roman"/>
                <w:sz w:val="20"/>
                <w:szCs w:val="20"/>
                <w:lang w:val="sr-Cyrl-CS" w:eastAsia="sr-Cyrl-RS"/>
              </w:rPr>
              <w:t>17. Колективна потрошња</w:t>
            </w:r>
          </w:p>
        </w:tc>
        <w:tc>
          <w:tcPr>
            <w:tcW w:w="2033" w:type="dxa"/>
            <w:gridSpan w:val="2"/>
            <w:tcBorders>
              <w:top w:val="nil"/>
              <w:left w:val="nil"/>
              <w:bottom w:val="dotted" w:sz="4" w:space="0" w:color="auto"/>
              <w:right w:val="single" w:sz="8" w:space="0" w:color="auto"/>
            </w:tcBorders>
            <w:shd w:val="clear" w:color="auto" w:fill="auto"/>
            <w:vAlign w:val="center"/>
            <w:hideMark/>
          </w:tcPr>
          <w:p w14:paraId="2596C548" w14:textId="77777777" w:rsidR="00247CBF" w:rsidRPr="00092ED7" w:rsidRDefault="00247CBF" w:rsidP="00247CBF">
            <w:pPr>
              <w:spacing w:after="0"/>
              <w:jc w:val="center"/>
              <w:rPr>
                <w:rFonts w:eastAsia="Times New Roman" w:cs="Times New Roman"/>
                <w:sz w:val="20"/>
                <w:szCs w:val="20"/>
                <w:lang w:val="sr-Cyrl-CS" w:eastAsia="sr-Cyrl-RS"/>
              </w:rPr>
            </w:pPr>
            <w:r w:rsidRPr="00092ED7">
              <w:rPr>
                <w:rFonts w:eastAsia="Times New Roman" w:cs="Times New Roman"/>
                <w:sz w:val="20"/>
                <w:szCs w:val="20"/>
                <w:lang w:val="sr-Cyrl-CS" w:eastAsia="sr-Cyrl-RS"/>
              </w:rPr>
              <w:t>P32</w:t>
            </w:r>
          </w:p>
        </w:tc>
        <w:tc>
          <w:tcPr>
            <w:tcW w:w="1304" w:type="dxa"/>
            <w:gridSpan w:val="2"/>
            <w:tcBorders>
              <w:top w:val="nil"/>
              <w:left w:val="nil"/>
              <w:bottom w:val="dotted" w:sz="4" w:space="0" w:color="auto"/>
              <w:right w:val="single" w:sz="8" w:space="0" w:color="auto"/>
            </w:tcBorders>
            <w:shd w:val="clear" w:color="auto" w:fill="auto"/>
            <w:vAlign w:val="center"/>
            <w:hideMark/>
          </w:tcPr>
          <w:p w14:paraId="241B147A"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1.119,3</w:t>
            </w:r>
          </w:p>
        </w:tc>
        <w:tc>
          <w:tcPr>
            <w:tcW w:w="1185" w:type="dxa"/>
            <w:gridSpan w:val="2"/>
            <w:tcBorders>
              <w:top w:val="nil"/>
              <w:left w:val="nil"/>
              <w:bottom w:val="dotted" w:sz="4" w:space="0" w:color="auto"/>
              <w:right w:val="dotted" w:sz="4" w:space="0" w:color="auto"/>
            </w:tcBorders>
            <w:shd w:val="clear" w:color="auto" w:fill="auto"/>
            <w:vAlign w:val="center"/>
            <w:hideMark/>
          </w:tcPr>
          <w:p w14:paraId="3DED6470"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17,9</w:t>
            </w:r>
          </w:p>
        </w:tc>
        <w:tc>
          <w:tcPr>
            <w:tcW w:w="1185" w:type="dxa"/>
            <w:gridSpan w:val="2"/>
            <w:tcBorders>
              <w:top w:val="nil"/>
              <w:left w:val="nil"/>
              <w:bottom w:val="dotted" w:sz="4" w:space="0" w:color="auto"/>
              <w:right w:val="dotted" w:sz="4" w:space="0" w:color="auto"/>
            </w:tcBorders>
            <w:shd w:val="clear" w:color="auto" w:fill="auto"/>
            <w:vAlign w:val="center"/>
            <w:hideMark/>
          </w:tcPr>
          <w:p w14:paraId="5732E78A"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17,5</w:t>
            </w:r>
          </w:p>
        </w:tc>
        <w:tc>
          <w:tcPr>
            <w:tcW w:w="1185" w:type="dxa"/>
            <w:gridSpan w:val="2"/>
            <w:tcBorders>
              <w:top w:val="nil"/>
              <w:left w:val="nil"/>
              <w:bottom w:val="dotted" w:sz="4" w:space="0" w:color="auto"/>
              <w:right w:val="dotted" w:sz="4" w:space="0" w:color="auto"/>
            </w:tcBorders>
            <w:shd w:val="clear" w:color="auto" w:fill="auto"/>
            <w:vAlign w:val="center"/>
            <w:hideMark/>
          </w:tcPr>
          <w:p w14:paraId="56E98494"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16,7</w:t>
            </w:r>
          </w:p>
        </w:tc>
        <w:tc>
          <w:tcPr>
            <w:tcW w:w="1185" w:type="dxa"/>
            <w:gridSpan w:val="2"/>
            <w:tcBorders>
              <w:top w:val="nil"/>
              <w:left w:val="nil"/>
              <w:bottom w:val="dotted" w:sz="4" w:space="0" w:color="auto"/>
              <w:right w:val="dotted" w:sz="4" w:space="0" w:color="auto"/>
            </w:tcBorders>
            <w:shd w:val="clear" w:color="auto" w:fill="auto"/>
            <w:vAlign w:val="center"/>
            <w:hideMark/>
          </w:tcPr>
          <w:p w14:paraId="57900DBC"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16,5</w:t>
            </w:r>
          </w:p>
        </w:tc>
        <w:tc>
          <w:tcPr>
            <w:tcW w:w="1186" w:type="dxa"/>
            <w:gridSpan w:val="2"/>
            <w:tcBorders>
              <w:top w:val="nil"/>
              <w:left w:val="nil"/>
              <w:bottom w:val="dotted" w:sz="4" w:space="0" w:color="auto"/>
              <w:right w:val="double" w:sz="6" w:space="0" w:color="auto"/>
            </w:tcBorders>
            <w:shd w:val="clear" w:color="auto" w:fill="auto"/>
            <w:vAlign w:val="center"/>
            <w:hideMark/>
          </w:tcPr>
          <w:p w14:paraId="4C6BDBAF"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16,2</w:t>
            </w:r>
          </w:p>
        </w:tc>
      </w:tr>
      <w:tr w:rsidR="00247CBF" w:rsidRPr="00092ED7" w14:paraId="5B1737E6" w14:textId="77777777" w:rsidTr="00247CBF">
        <w:trPr>
          <w:gridBefore w:val="1"/>
          <w:gridAfter w:val="1"/>
          <w:wBefore w:w="23" w:type="dxa"/>
          <w:wAfter w:w="306" w:type="dxa"/>
          <w:trHeight w:val="284"/>
        </w:trPr>
        <w:tc>
          <w:tcPr>
            <w:tcW w:w="5292" w:type="dxa"/>
            <w:tcBorders>
              <w:top w:val="nil"/>
              <w:left w:val="double" w:sz="6" w:space="0" w:color="auto"/>
              <w:bottom w:val="dotted" w:sz="4" w:space="0" w:color="auto"/>
              <w:right w:val="dotted" w:sz="4" w:space="0" w:color="auto"/>
            </w:tcBorders>
            <w:shd w:val="clear" w:color="auto" w:fill="auto"/>
            <w:vAlign w:val="center"/>
            <w:hideMark/>
          </w:tcPr>
          <w:p w14:paraId="4B730EB2" w14:textId="77777777" w:rsidR="00247CBF" w:rsidRPr="00092ED7" w:rsidRDefault="00247CBF" w:rsidP="00247CBF">
            <w:pPr>
              <w:spacing w:after="0"/>
              <w:jc w:val="left"/>
              <w:rPr>
                <w:rFonts w:eastAsia="Times New Roman" w:cs="Times New Roman"/>
                <w:sz w:val="20"/>
                <w:szCs w:val="20"/>
                <w:lang w:val="sr-Cyrl-CS" w:eastAsia="sr-Cyrl-RS"/>
              </w:rPr>
            </w:pPr>
            <w:r w:rsidRPr="00092ED7">
              <w:rPr>
                <w:rFonts w:eastAsia="Times New Roman" w:cs="Times New Roman"/>
                <w:sz w:val="20"/>
                <w:szCs w:val="20"/>
                <w:lang w:val="sr-Cyrl-CS" w:eastAsia="sr-Cyrl-RS"/>
              </w:rPr>
              <w:t>18. Укупни социјални трансфери</w:t>
            </w:r>
          </w:p>
        </w:tc>
        <w:tc>
          <w:tcPr>
            <w:tcW w:w="2033" w:type="dxa"/>
            <w:gridSpan w:val="2"/>
            <w:tcBorders>
              <w:top w:val="nil"/>
              <w:left w:val="nil"/>
              <w:bottom w:val="dotted" w:sz="4" w:space="0" w:color="auto"/>
              <w:right w:val="single" w:sz="8" w:space="0" w:color="auto"/>
            </w:tcBorders>
            <w:shd w:val="clear" w:color="auto" w:fill="auto"/>
            <w:vAlign w:val="center"/>
            <w:hideMark/>
          </w:tcPr>
          <w:p w14:paraId="1807AC8A" w14:textId="77777777" w:rsidR="00247CBF" w:rsidRPr="00092ED7" w:rsidRDefault="00247CBF" w:rsidP="00247CBF">
            <w:pPr>
              <w:spacing w:after="0"/>
              <w:jc w:val="center"/>
              <w:rPr>
                <w:rFonts w:eastAsia="Times New Roman" w:cs="Times New Roman"/>
                <w:sz w:val="20"/>
                <w:szCs w:val="20"/>
                <w:lang w:val="sr-Cyrl-CS" w:eastAsia="sr-Cyrl-RS"/>
              </w:rPr>
            </w:pPr>
            <w:r w:rsidRPr="00092ED7">
              <w:rPr>
                <w:rFonts w:eastAsia="Times New Roman" w:cs="Times New Roman"/>
                <w:sz w:val="20"/>
                <w:szCs w:val="20"/>
                <w:lang w:val="sr-Cyrl-CS" w:eastAsia="sr-Cyrl-RS"/>
              </w:rPr>
              <w:t>D62 + D63</w:t>
            </w:r>
          </w:p>
        </w:tc>
        <w:tc>
          <w:tcPr>
            <w:tcW w:w="1304" w:type="dxa"/>
            <w:gridSpan w:val="2"/>
            <w:tcBorders>
              <w:top w:val="nil"/>
              <w:left w:val="nil"/>
              <w:bottom w:val="dotted" w:sz="4" w:space="0" w:color="auto"/>
              <w:right w:val="single" w:sz="8" w:space="0" w:color="auto"/>
            </w:tcBorders>
            <w:shd w:val="clear" w:color="auto" w:fill="auto"/>
            <w:vAlign w:val="center"/>
            <w:hideMark/>
          </w:tcPr>
          <w:p w14:paraId="7972F6DB"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850,0</w:t>
            </w:r>
          </w:p>
        </w:tc>
        <w:tc>
          <w:tcPr>
            <w:tcW w:w="1185" w:type="dxa"/>
            <w:gridSpan w:val="2"/>
            <w:tcBorders>
              <w:top w:val="nil"/>
              <w:left w:val="nil"/>
              <w:bottom w:val="dotted" w:sz="4" w:space="0" w:color="auto"/>
              <w:right w:val="dotted" w:sz="4" w:space="0" w:color="auto"/>
            </w:tcBorders>
            <w:shd w:val="clear" w:color="auto" w:fill="auto"/>
            <w:vAlign w:val="center"/>
            <w:hideMark/>
          </w:tcPr>
          <w:p w14:paraId="4A752FC3"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13,6</w:t>
            </w:r>
          </w:p>
        </w:tc>
        <w:tc>
          <w:tcPr>
            <w:tcW w:w="1185" w:type="dxa"/>
            <w:gridSpan w:val="2"/>
            <w:tcBorders>
              <w:top w:val="nil"/>
              <w:left w:val="nil"/>
              <w:bottom w:val="dotted" w:sz="4" w:space="0" w:color="auto"/>
              <w:right w:val="dotted" w:sz="4" w:space="0" w:color="auto"/>
            </w:tcBorders>
            <w:shd w:val="clear" w:color="auto" w:fill="auto"/>
            <w:vAlign w:val="center"/>
            <w:hideMark/>
          </w:tcPr>
          <w:p w14:paraId="0CB61D97"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13,0</w:t>
            </w:r>
          </w:p>
        </w:tc>
        <w:tc>
          <w:tcPr>
            <w:tcW w:w="1185" w:type="dxa"/>
            <w:gridSpan w:val="2"/>
            <w:tcBorders>
              <w:top w:val="nil"/>
              <w:left w:val="nil"/>
              <w:bottom w:val="dotted" w:sz="4" w:space="0" w:color="auto"/>
              <w:right w:val="dotted" w:sz="4" w:space="0" w:color="auto"/>
            </w:tcBorders>
            <w:shd w:val="clear" w:color="auto" w:fill="auto"/>
            <w:vAlign w:val="center"/>
            <w:hideMark/>
          </w:tcPr>
          <w:p w14:paraId="4199E3DA"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13,0</w:t>
            </w:r>
          </w:p>
        </w:tc>
        <w:tc>
          <w:tcPr>
            <w:tcW w:w="1185" w:type="dxa"/>
            <w:gridSpan w:val="2"/>
            <w:tcBorders>
              <w:top w:val="nil"/>
              <w:left w:val="nil"/>
              <w:bottom w:val="dotted" w:sz="4" w:space="0" w:color="auto"/>
              <w:right w:val="dotted" w:sz="4" w:space="0" w:color="auto"/>
            </w:tcBorders>
            <w:shd w:val="clear" w:color="auto" w:fill="auto"/>
            <w:vAlign w:val="center"/>
            <w:hideMark/>
          </w:tcPr>
          <w:p w14:paraId="47C6EC4D"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13,2</w:t>
            </w:r>
          </w:p>
        </w:tc>
        <w:tc>
          <w:tcPr>
            <w:tcW w:w="1186" w:type="dxa"/>
            <w:gridSpan w:val="2"/>
            <w:tcBorders>
              <w:top w:val="nil"/>
              <w:left w:val="nil"/>
              <w:bottom w:val="dotted" w:sz="4" w:space="0" w:color="auto"/>
              <w:right w:val="double" w:sz="6" w:space="0" w:color="auto"/>
            </w:tcBorders>
            <w:shd w:val="clear" w:color="auto" w:fill="auto"/>
            <w:vAlign w:val="center"/>
            <w:hideMark/>
          </w:tcPr>
          <w:p w14:paraId="3564121A"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13,1</w:t>
            </w:r>
          </w:p>
        </w:tc>
      </w:tr>
      <w:tr w:rsidR="00247CBF" w:rsidRPr="00092ED7" w14:paraId="79EAA547" w14:textId="77777777" w:rsidTr="00247CBF">
        <w:trPr>
          <w:gridBefore w:val="1"/>
          <w:gridAfter w:val="1"/>
          <w:wBefore w:w="23" w:type="dxa"/>
          <w:wAfter w:w="306" w:type="dxa"/>
          <w:trHeight w:val="284"/>
        </w:trPr>
        <w:tc>
          <w:tcPr>
            <w:tcW w:w="5292" w:type="dxa"/>
            <w:tcBorders>
              <w:top w:val="nil"/>
              <w:left w:val="double" w:sz="6" w:space="0" w:color="auto"/>
              <w:bottom w:val="dotted" w:sz="4" w:space="0" w:color="auto"/>
              <w:right w:val="dotted" w:sz="4" w:space="0" w:color="auto"/>
            </w:tcBorders>
            <w:shd w:val="clear" w:color="auto" w:fill="auto"/>
            <w:vAlign w:val="center"/>
            <w:hideMark/>
          </w:tcPr>
          <w:p w14:paraId="24C86532" w14:textId="77777777" w:rsidR="00247CBF" w:rsidRPr="00092ED7" w:rsidRDefault="00247CBF" w:rsidP="00247CBF">
            <w:pPr>
              <w:spacing w:after="0"/>
              <w:jc w:val="left"/>
              <w:rPr>
                <w:rFonts w:eastAsia="Times New Roman" w:cs="Times New Roman"/>
                <w:sz w:val="20"/>
                <w:szCs w:val="20"/>
                <w:lang w:val="sr-Cyrl-CS" w:eastAsia="sr-Cyrl-RS"/>
              </w:rPr>
            </w:pPr>
            <w:r w:rsidRPr="00092ED7">
              <w:rPr>
                <w:rFonts w:eastAsia="Times New Roman" w:cs="Times New Roman"/>
                <w:sz w:val="20"/>
                <w:szCs w:val="20"/>
                <w:lang w:val="sr-Cyrl-CS" w:eastAsia="sr-Cyrl-RS"/>
              </w:rPr>
              <w:t>18а. Неновчани социјални трансфери</w:t>
            </w:r>
          </w:p>
        </w:tc>
        <w:tc>
          <w:tcPr>
            <w:tcW w:w="2033" w:type="dxa"/>
            <w:gridSpan w:val="2"/>
            <w:tcBorders>
              <w:top w:val="nil"/>
              <w:left w:val="nil"/>
              <w:bottom w:val="dotted" w:sz="4" w:space="0" w:color="auto"/>
              <w:right w:val="single" w:sz="8" w:space="0" w:color="auto"/>
            </w:tcBorders>
            <w:shd w:val="clear" w:color="auto" w:fill="auto"/>
            <w:vAlign w:val="center"/>
            <w:hideMark/>
          </w:tcPr>
          <w:p w14:paraId="36DF058F" w14:textId="77777777" w:rsidR="00247CBF" w:rsidRPr="00092ED7" w:rsidRDefault="00247CBF" w:rsidP="00247CBF">
            <w:pPr>
              <w:spacing w:after="0"/>
              <w:jc w:val="center"/>
              <w:rPr>
                <w:rFonts w:eastAsia="Times New Roman" w:cs="Times New Roman"/>
                <w:sz w:val="20"/>
                <w:szCs w:val="20"/>
                <w:lang w:val="sr-Cyrl-CS" w:eastAsia="sr-Cyrl-RS"/>
              </w:rPr>
            </w:pPr>
            <w:r w:rsidRPr="00092ED7">
              <w:rPr>
                <w:rFonts w:eastAsia="Times New Roman" w:cs="Times New Roman"/>
                <w:sz w:val="20"/>
                <w:szCs w:val="20"/>
                <w:lang w:val="sr-Cyrl-CS" w:eastAsia="sr-Cyrl-RS"/>
              </w:rPr>
              <w:t>P31 = D63</w:t>
            </w:r>
          </w:p>
        </w:tc>
        <w:tc>
          <w:tcPr>
            <w:tcW w:w="1304" w:type="dxa"/>
            <w:gridSpan w:val="2"/>
            <w:tcBorders>
              <w:top w:val="nil"/>
              <w:left w:val="nil"/>
              <w:bottom w:val="dotted" w:sz="4" w:space="0" w:color="auto"/>
              <w:right w:val="single" w:sz="8" w:space="0" w:color="auto"/>
            </w:tcBorders>
            <w:shd w:val="clear" w:color="auto" w:fill="auto"/>
            <w:vAlign w:val="center"/>
            <w:hideMark/>
          </w:tcPr>
          <w:p w14:paraId="24E502FC"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w:t>
            </w:r>
          </w:p>
        </w:tc>
        <w:tc>
          <w:tcPr>
            <w:tcW w:w="1185" w:type="dxa"/>
            <w:gridSpan w:val="2"/>
            <w:tcBorders>
              <w:top w:val="nil"/>
              <w:left w:val="nil"/>
              <w:bottom w:val="dotted" w:sz="4" w:space="0" w:color="auto"/>
              <w:right w:val="dotted" w:sz="4" w:space="0" w:color="auto"/>
            </w:tcBorders>
            <w:shd w:val="clear" w:color="auto" w:fill="auto"/>
            <w:vAlign w:val="center"/>
            <w:hideMark/>
          </w:tcPr>
          <w:p w14:paraId="00B054B1"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w:t>
            </w:r>
          </w:p>
        </w:tc>
        <w:tc>
          <w:tcPr>
            <w:tcW w:w="1185" w:type="dxa"/>
            <w:gridSpan w:val="2"/>
            <w:tcBorders>
              <w:top w:val="nil"/>
              <w:left w:val="nil"/>
              <w:bottom w:val="dotted" w:sz="4" w:space="0" w:color="auto"/>
              <w:right w:val="dotted" w:sz="4" w:space="0" w:color="auto"/>
            </w:tcBorders>
            <w:shd w:val="clear" w:color="auto" w:fill="auto"/>
            <w:vAlign w:val="center"/>
            <w:hideMark/>
          </w:tcPr>
          <w:p w14:paraId="07ADC74C"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w:t>
            </w:r>
          </w:p>
        </w:tc>
        <w:tc>
          <w:tcPr>
            <w:tcW w:w="1185" w:type="dxa"/>
            <w:gridSpan w:val="2"/>
            <w:tcBorders>
              <w:top w:val="nil"/>
              <w:left w:val="nil"/>
              <w:bottom w:val="dotted" w:sz="4" w:space="0" w:color="auto"/>
              <w:right w:val="dotted" w:sz="4" w:space="0" w:color="auto"/>
            </w:tcBorders>
            <w:shd w:val="clear" w:color="auto" w:fill="auto"/>
            <w:vAlign w:val="center"/>
            <w:hideMark/>
          </w:tcPr>
          <w:p w14:paraId="30C35C8B"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w:t>
            </w:r>
          </w:p>
        </w:tc>
        <w:tc>
          <w:tcPr>
            <w:tcW w:w="1185" w:type="dxa"/>
            <w:gridSpan w:val="2"/>
            <w:tcBorders>
              <w:top w:val="nil"/>
              <w:left w:val="nil"/>
              <w:bottom w:val="dotted" w:sz="4" w:space="0" w:color="auto"/>
              <w:right w:val="dotted" w:sz="4" w:space="0" w:color="auto"/>
            </w:tcBorders>
            <w:shd w:val="clear" w:color="auto" w:fill="auto"/>
            <w:vAlign w:val="center"/>
            <w:hideMark/>
          </w:tcPr>
          <w:p w14:paraId="51C20CBC"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w:t>
            </w:r>
          </w:p>
        </w:tc>
        <w:tc>
          <w:tcPr>
            <w:tcW w:w="1186" w:type="dxa"/>
            <w:gridSpan w:val="2"/>
            <w:tcBorders>
              <w:top w:val="nil"/>
              <w:left w:val="nil"/>
              <w:bottom w:val="dotted" w:sz="4" w:space="0" w:color="auto"/>
              <w:right w:val="double" w:sz="6" w:space="0" w:color="auto"/>
            </w:tcBorders>
            <w:shd w:val="clear" w:color="auto" w:fill="auto"/>
            <w:vAlign w:val="center"/>
            <w:hideMark/>
          </w:tcPr>
          <w:p w14:paraId="1C6F6E64"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w:t>
            </w:r>
          </w:p>
        </w:tc>
      </w:tr>
      <w:tr w:rsidR="00247CBF" w:rsidRPr="00092ED7" w14:paraId="236CF624" w14:textId="77777777" w:rsidTr="00247CBF">
        <w:trPr>
          <w:gridBefore w:val="1"/>
          <w:gridAfter w:val="1"/>
          <w:wBefore w:w="23" w:type="dxa"/>
          <w:wAfter w:w="306" w:type="dxa"/>
          <w:trHeight w:val="284"/>
        </w:trPr>
        <w:tc>
          <w:tcPr>
            <w:tcW w:w="5292" w:type="dxa"/>
            <w:tcBorders>
              <w:top w:val="nil"/>
              <w:left w:val="double" w:sz="6" w:space="0" w:color="auto"/>
              <w:bottom w:val="dotted" w:sz="4" w:space="0" w:color="auto"/>
              <w:right w:val="dotted" w:sz="4" w:space="0" w:color="auto"/>
            </w:tcBorders>
            <w:shd w:val="clear" w:color="auto" w:fill="auto"/>
            <w:vAlign w:val="center"/>
            <w:hideMark/>
          </w:tcPr>
          <w:p w14:paraId="39D3826A" w14:textId="77777777" w:rsidR="00247CBF" w:rsidRPr="00092ED7" w:rsidRDefault="00247CBF" w:rsidP="00247CBF">
            <w:pPr>
              <w:spacing w:after="0"/>
              <w:jc w:val="left"/>
              <w:rPr>
                <w:rFonts w:eastAsia="Times New Roman" w:cs="Times New Roman"/>
                <w:sz w:val="20"/>
                <w:szCs w:val="20"/>
                <w:lang w:val="sr-Cyrl-CS" w:eastAsia="sr-Cyrl-RS"/>
              </w:rPr>
            </w:pPr>
            <w:r w:rsidRPr="00092ED7">
              <w:rPr>
                <w:rFonts w:eastAsia="Times New Roman" w:cs="Times New Roman"/>
                <w:sz w:val="20"/>
                <w:szCs w:val="20"/>
                <w:lang w:val="sr-Cyrl-CS" w:eastAsia="sr-Cyrl-RS"/>
              </w:rPr>
              <w:t>18б. Социјални трансфери осим неновчаних</w:t>
            </w:r>
          </w:p>
        </w:tc>
        <w:tc>
          <w:tcPr>
            <w:tcW w:w="2033" w:type="dxa"/>
            <w:gridSpan w:val="2"/>
            <w:tcBorders>
              <w:top w:val="nil"/>
              <w:left w:val="nil"/>
              <w:bottom w:val="dotted" w:sz="4" w:space="0" w:color="auto"/>
              <w:right w:val="single" w:sz="8" w:space="0" w:color="auto"/>
            </w:tcBorders>
            <w:shd w:val="clear" w:color="auto" w:fill="auto"/>
            <w:vAlign w:val="center"/>
            <w:hideMark/>
          </w:tcPr>
          <w:p w14:paraId="023EEC76" w14:textId="77777777" w:rsidR="00247CBF" w:rsidRPr="00092ED7" w:rsidRDefault="00247CBF" w:rsidP="00247CBF">
            <w:pPr>
              <w:spacing w:after="0"/>
              <w:jc w:val="center"/>
              <w:rPr>
                <w:rFonts w:eastAsia="Times New Roman" w:cs="Times New Roman"/>
                <w:sz w:val="20"/>
                <w:szCs w:val="20"/>
                <w:lang w:val="sr-Cyrl-CS" w:eastAsia="sr-Cyrl-RS"/>
              </w:rPr>
            </w:pPr>
            <w:r w:rsidRPr="00092ED7">
              <w:rPr>
                <w:rFonts w:eastAsia="Times New Roman" w:cs="Times New Roman"/>
                <w:sz w:val="20"/>
                <w:szCs w:val="20"/>
                <w:lang w:val="sr-Cyrl-CS" w:eastAsia="sr-Cyrl-RS"/>
              </w:rPr>
              <w:t>D62</w:t>
            </w:r>
          </w:p>
        </w:tc>
        <w:tc>
          <w:tcPr>
            <w:tcW w:w="1304" w:type="dxa"/>
            <w:gridSpan w:val="2"/>
            <w:tcBorders>
              <w:top w:val="nil"/>
              <w:left w:val="nil"/>
              <w:bottom w:val="dotted" w:sz="4" w:space="0" w:color="auto"/>
              <w:right w:val="single" w:sz="8" w:space="0" w:color="auto"/>
            </w:tcBorders>
            <w:shd w:val="clear" w:color="auto" w:fill="auto"/>
            <w:vAlign w:val="center"/>
            <w:hideMark/>
          </w:tcPr>
          <w:p w14:paraId="43021713"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850,0</w:t>
            </w:r>
          </w:p>
        </w:tc>
        <w:tc>
          <w:tcPr>
            <w:tcW w:w="1185" w:type="dxa"/>
            <w:gridSpan w:val="2"/>
            <w:tcBorders>
              <w:top w:val="nil"/>
              <w:left w:val="nil"/>
              <w:bottom w:val="dotted" w:sz="4" w:space="0" w:color="auto"/>
              <w:right w:val="dotted" w:sz="4" w:space="0" w:color="auto"/>
            </w:tcBorders>
            <w:shd w:val="clear" w:color="auto" w:fill="auto"/>
            <w:vAlign w:val="center"/>
            <w:hideMark/>
          </w:tcPr>
          <w:p w14:paraId="423C1430"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13,6</w:t>
            </w:r>
          </w:p>
        </w:tc>
        <w:tc>
          <w:tcPr>
            <w:tcW w:w="1185" w:type="dxa"/>
            <w:gridSpan w:val="2"/>
            <w:tcBorders>
              <w:top w:val="nil"/>
              <w:left w:val="nil"/>
              <w:bottom w:val="dotted" w:sz="4" w:space="0" w:color="auto"/>
              <w:right w:val="dotted" w:sz="4" w:space="0" w:color="auto"/>
            </w:tcBorders>
            <w:shd w:val="clear" w:color="auto" w:fill="auto"/>
            <w:vAlign w:val="center"/>
            <w:hideMark/>
          </w:tcPr>
          <w:p w14:paraId="15DF4F94"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13,0</w:t>
            </w:r>
          </w:p>
        </w:tc>
        <w:tc>
          <w:tcPr>
            <w:tcW w:w="1185" w:type="dxa"/>
            <w:gridSpan w:val="2"/>
            <w:tcBorders>
              <w:top w:val="nil"/>
              <w:left w:val="nil"/>
              <w:bottom w:val="dotted" w:sz="4" w:space="0" w:color="auto"/>
              <w:right w:val="dotted" w:sz="4" w:space="0" w:color="auto"/>
            </w:tcBorders>
            <w:shd w:val="clear" w:color="auto" w:fill="auto"/>
            <w:vAlign w:val="center"/>
            <w:hideMark/>
          </w:tcPr>
          <w:p w14:paraId="32FCA7F3"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13,0</w:t>
            </w:r>
          </w:p>
        </w:tc>
        <w:tc>
          <w:tcPr>
            <w:tcW w:w="1185" w:type="dxa"/>
            <w:gridSpan w:val="2"/>
            <w:tcBorders>
              <w:top w:val="nil"/>
              <w:left w:val="nil"/>
              <w:bottom w:val="dotted" w:sz="4" w:space="0" w:color="auto"/>
              <w:right w:val="dotted" w:sz="4" w:space="0" w:color="auto"/>
            </w:tcBorders>
            <w:shd w:val="clear" w:color="auto" w:fill="auto"/>
            <w:vAlign w:val="center"/>
            <w:hideMark/>
          </w:tcPr>
          <w:p w14:paraId="21C3DE2F"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13,2</w:t>
            </w:r>
          </w:p>
        </w:tc>
        <w:tc>
          <w:tcPr>
            <w:tcW w:w="1186" w:type="dxa"/>
            <w:gridSpan w:val="2"/>
            <w:tcBorders>
              <w:top w:val="nil"/>
              <w:left w:val="nil"/>
              <w:bottom w:val="dotted" w:sz="4" w:space="0" w:color="auto"/>
              <w:right w:val="double" w:sz="6" w:space="0" w:color="auto"/>
            </w:tcBorders>
            <w:shd w:val="clear" w:color="auto" w:fill="auto"/>
            <w:vAlign w:val="center"/>
            <w:hideMark/>
          </w:tcPr>
          <w:p w14:paraId="722F80CC"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13,1</w:t>
            </w:r>
          </w:p>
        </w:tc>
      </w:tr>
      <w:tr w:rsidR="00247CBF" w:rsidRPr="00092ED7" w14:paraId="48A45B6E" w14:textId="77777777" w:rsidTr="00247CBF">
        <w:trPr>
          <w:gridBefore w:val="1"/>
          <w:gridAfter w:val="1"/>
          <w:wBefore w:w="23" w:type="dxa"/>
          <w:wAfter w:w="306" w:type="dxa"/>
          <w:trHeight w:val="284"/>
        </w:trPr>
        <w:tc>
          <w:tcPr>
            <w:tcW w:w="5292" w:type="dxa"/>
            <w:tcBorders>
              <w:top w:val="nil"/>
              <w:left w:val="double" w:sz="6" w:space="0" w:color="auto"/>
              <w:bottom w:val="dotted" w:sz="4" w:space="0" w:color="auto"/>
              <w:right w:val="dotted" w:sz="4" w:space="0" w:color="auto"/>
            </w:tcBorders>
            <w:shd w:val="clear" w:color="auto" w:fill="auto"/>
            <w:vAlign w:val="center"/>
            <w:hideMark/>
          </w:tcPr>
          <w:p w14:paraId="262B8970" w14:textId="77777777" w:rsidR="00247CBF" w:rsidRPr="00092ED7" w:rsidRDefault="00247CBF" w:rsidP="00247CBF">
            <w:pPr>
              <w:spacing w:after="0"/>
              <w:jc w:val="left"/>
              <w:rPr>
                <w:rFonts w:eastAsia="Times New Roman" w:cs="Times New Roman"/>
                <w:sz w:val="20"/>
                <w:szCs w:val="20"/>
                <w:lang w:val="sr-Cyrl-CS" w:eastAsia="sr-Cyrl-RS"/>
              </w:rPr>
            </w:pPr>
            <w:r w:rsidRPr="00092ED7">
              <w:rPr>
                <w:rFonts w:eastAsia="Times New Roman" w:cs="Times New Roman"/>
                <w:sz w:val="20"/>
                <w:szCs w:val="20"/>
                <w:lang w:val="sr-Cyrl-CS" w:eastAsia="sr-Cyrl-RS"/>
              </w:rPr>
              <w:t>19 = 9. Расходи за камате</w:t>
            </w:r>
          </w:p>
        </w:tc>
        <w:tc>
          <w:tcPr>
            <w:tcW w:w="2033" w:type="dxa"/>
            <w:gridSpan w:val="2"/>
            <w:tcBorders>
              <w:top w:val="nil"/>
              <w:left w:val="nil"/>
              <w:bottom w:val="dotted" w:sz="4" w:space="0" w:color="auto"/>
              <w:right w:val="single" w:sz="8" w:space="0" w:color="auto"/>
            </w:tcBorders>
            <w:shd w:val="clear" w:color="auto" w:fill="auto"/>
            <w:vAlign w:val="center"/>
            <w:hideMark/>
          </w:tcPr>
          <w:p w14:paraId="6F4456AA" w14:textId="77777777" w:rsidR="00247CBF" w:rsidRPr="00092ED7" w:rsidRDefault="00247CBF" w:rsidP="00247CBF">
            <w:pPr>
              <w:spacing w:after="0"/>
              <w:jc w:val="center"/>
              <w:rPr>
                <w:rFonts w:eastAsia="Times New Roman" w:cs="Times New Roman"/>
                <w:sz w:val="20"/>
                <w:szCs w:val="20"/>
                <w:lang w:val="sr-Cyrl-CS" w:eastAsia="sr-Cyrl-RS"/>
              </w:rPr>
            </w:pPr>
            <w:r w:rsidRPr="00092ED7">
              <w:rPr>
                <w:rFonts w:eastAsia="Times New Roman" w:cs="Times New Roman"/>
                <w:sz w:val="20"/>
                <w:szCs w:val="20"/>
                <w:lang w:val="sr-Cyrl-CS" w:eastAsia="sr-Cyrl-RS"/>
              </w:rPr>
              <w:t>EDP.D41 + FISIM</w:t>
            </w:r>
          </w:p>
        </w:tc>
        <w:tc>
          <w:tcPr>
            <w:tcW w:w="1304" w:type="dxa"/>
            <w:gridSpan w:val="2"/>
            <w:tcBorders>
              <w:top w:val="nil"/>
              <w:left w:val="nil"/>
              <w:bottom w:val="dotted" w:sz="4" w:space="0" w:color="auto"/>
              <w:right w:val="single" w:sz="8" w:space="0" w:color="auto"/>
            </w:tcBorders>
            <w:shd w:val="clear" w:color="auto" w:fill="auto"/>
            <w:vAlign w:val="center"/>
            <w:hideMark/>
          </w:tcPr>
          <w:p w14:paraId="2BBDB4D1"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108,7</w:t>
            </w:r>
          </w:p>
        </w:tc>
        <w:tc>
          <w:tcPr>
            <w:tcW w:w="1185" w:type="dxa"/>
            <w:gridSpan w:val="2"/>
            <w:tcBorders>
              <w:top w:val="nil"/>
              <w:left w:val="nil"/>
              <w:bottom w:val="dotted" w:sz="4" w:space="0" w:color="auto"/>
              <w:right w:val="dotted" w:sz="4" w:space="0" w:color="auto"/>
            </w:tcBorders>
            <w:shd w:val="clear" w:color="auto" w:fill="auto"/>
            <w:vAlign w:val="center"/>
            <w:hideMark/>
          </w:tcPr>
          <w:p w14:paraId="27CE6F8C"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1,7</w:t>
            </w:r>
          </w:p>
        </w:tc>
        <w:tc>
          <w:tcPr>
            <w:tcW w:w="1185" w:type="dxa"/>
            <w:gridSpan w:val="2"/>
            <w:tcBorders>
              <w:top w:val="nil"/>
              <w:left w:val="nil"/>
              <w:bottom w:val="dotted" w:sz="4" w:space="0" w:color="auto"/>
              <w:right w:val="dotted" w:sz="4" w:space="0" w:color="auto"/>
            </w:tcBorders>
            <w:shd w:val="clear" w:color="auto" w:fill="auto"/>
            <w:vAlign w:val="center"/>
            <w:hideMark/>
          </w:tcPr>
          <w:p w14:paraId="359A1B7C"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1,6</w:t>
            </w:r>
          </w:p>
        </w:tc>
        <w:tc>
          <w:tcPr>
            <w:tcW w:w="1185" w:type="dxa"/>
            <w:gridSpan w:val="2"/>
            <w:tcBorders>
              <w:top w:val="nil"/>
              <w:left w:val="nil"/>
              <w:bottom w:val="dotted" w:sz="4" w:space="0" w:color="auto"/>
              <w:right w:val="dotted" w:sz="4" w:space="0" w:color="auto"/>
            </w:tcBorders>
            <w:shd w:val="clear" w:color="auto" w:fill="auto"/>
            <w:vAlign w:val="center"/>
            <w:hideMark/>
          </w:tcPr>
          <w:p w14:paraId="741D44C7"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1,8</w:t>
            </w:r>
          </w:p>
        </w:tc>
        <w:tc>
          <w:tcPr>
            <w:tcW w:w="1185" w:type="dxa"/>
            <w:gridSpan w:val="2"/>
            <w:tcBorders>
              <w:top w:val="nil"/>
              <w:left w:val="nil"/>
              <w:bottom w:val="dotted" w:sz="4" w:space="0" w:color="auto"/>
              <w:right w:val="dotted" w:sz="4" w:space="0" w:color="auto"/>
            </w:tcBorders>
            <w:shd w:val="clear" w:color="auto" w:fill="auto"/>
            <w:vAlign w:val="center"/>
            <w:hideMark/>
          </w:tcPr>
          <w:p w14:paraId="21E4733E"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2,1</w:t>
            </w:r>
          </w:p>
        </w:tc>
        <w:tc>
          <w:tcPr>
            <w:tcW w:w="1186" w:type="dxa"/>
            <w:gridSpan w:val="2"/>
            <w:tcBorders>
              <w:top w:val="nil"/>
              <w:left w:val="nil"/>
              <w:bottom w:val="dotted" w:sz="4" w:space="0" w:color="auto"/>
              <w:right w:val="double" w:sz="6" w:space="0" w:color="auto"/>
            </w:tcBorders>
            <w:shd w:val="clear" w:color="auto" w:fill="auto"/>
            <w:vAlign w:val="center"/>
            <w:hideMark/>
          </w:tcPr>
          <w:p w14:paraId="5425C932"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1,9</w:t>
            </w:r>
          </w:p>
        </w:tc>
      </w:tr>
      <w:tr w:rsidR="00247CBF" w:rsidRPr="00092ED7" w14:paraId="455B902E" w14:textId="77777777" w:rsidTr="00247CBF">
        <w:trPr>
          <w:gridBefore w:val="1"/>
          <w:gridAfter w:val="1"/>
          <w:wBefore w:w="23" w:type="dxa"/>
          <w:wAfter w:w="306" w:type="dxa"/>
          <w:trHeight w:val="284"/>
        </w:trPr>
        <w:tc>
          <w:tcPr>
            <w:tcW w:w="5292" w:type="dxa"/>
            <w:tcBorders>
              <w:top w:val="nil"/>
              <w:left w:val="double" w:sz="6" w:space="0" w:color="auto"/>
              <w:bottom w:val="dotted" w:sz="4" w:space="0" w:color="auto"/>
              <w:right w:val="dotted" w:sz="4" w:space="0" w:color="auto"/>
            </w:tcBorders>
            <w:shd w:val="clear" w:color="auto" w:fill="auto"/>
            <w:vAlign w:val="center"/>
            <w:hideMark/>
          </w:tcPr>
          <w:p w14:paraId="645463C0" w14:textId="77777777" w:rsidR="00247CBF" w:rsidRPr="00092ED7" w:rsidRDefault="00247CBF" w:rsidP="00247CBF">
            <w:pPr>
              <w:spacing w:after="0"/>
              <w:jc w:val="left"/>
              <w:rPr>
                <w:rFonts w:eastAsia="Times New Roman" w:cs="Times New Roman"/>
                <w:sz w:val="20"/>
                <w:szCs w:val="20"/>
                <w:lang w:val="sr-Cyrl-CS" w:eastAsia="sr-Cyrl-RS"/>
              </w:rPr>
            </w:pPr>
            <w:r w:rsidRPr="00092ED7">
              <w:rPr>
                <w:rFonts w:eastAsia="Times New Roman" w:cs="Times New Roman"/>
                <w:sz w:val="20"/>
                <w:szCs w:val="20"/>
                <w:lang w:val="sr-Cyrl-CS" w:eastAsia="sr-Cyrl-RS"/>
              </w:rPr>
              <w:t>20. Субвенције</w:t>
            </w:r>
          </w:p>
        </w:tc>
        <w:tc>
          <w:tcPr>
            <w:tcW w:w="2033" w:type="dxa"/>
            <w:gridSpan w:val="2"/>
            <w:tcBorders>
              <w:top w:val="nil"/>
              <w:left w:val="nil"/>
              <w:bottom w:val="dotted" w:sz="4" w:space="0" w:color="auto"/>
              <w:right w:val="single" w:sz="8" w:space="0" w:color="auto"/>
            </w:tcBorders>
            <w:shd w:val="clear" w:color="auto" w:fill="auto"/>
            <w:vAlign w:val="center"/>
            <w:hideMark/>
          </w:tcPr>
          <w:p w14:paraId="14839FF5" w14:textId="77777777" w:rsidR="00247CBF" w:rsidRPr="00092ED7" w:rsidRDefault="00247CBF" w:rsidP="00247CBF">
            <w:pPr>
              <w:spacing w:after="0"/>
              <w:jc w:val="center"/>
              <w:rPr>
                <w:rFonts w:eastAsia="Times New Roman" w:cs="Times New Roman"/>
                <w:sz w:val="20"/>
                <w:szCs w:val="20"/>
                <w:lang w:val="sr-Cyrl-CS" w:eastAsia="sr-Cyrl-RS"/>
              </w:rPr>
            </w:pPr>
            <w:r w:rsidRPr="00092ED7">
              <w:rPr>
                <w:rFonts w:eastAsia="Times New Roman" w:cs="Times New Roman"/>
                <w:sz w:val="20"/>
                <w:szCs w:val="20"/>
                <w:lang w:val="sr-Cyrl-CS" w:eastAsia="sr-Cyrl-RS"/>
              </w:rPr>
              <w:t>D3</w:t>
            </w:r>
          </w:p>
        </w:tc>
        <w:tc>
          <w:tcPr>
            <w:tcW w:w="1304" w:type="dxa"/>
            <w:gridSpan w:val="2"/>
            <w:tcBorders>
              <w:top w:val="nil"/>
              <w:left w:val="nil"/>
              <w:bottom w:val="dotted" w:sz="4" w:space="0" w:color="auto"/>
              <w:right w:val="single" w:sz="8" w:space="0" w:color="auto"/>
            </w:tcBorders>
            <w:shd w:val="clear" w:color="auto" w:fill="auto"/>
            <w:vAlign w:val="center"/>
            <w:hideMark/>
          </w:tcPr>
          <w:p w14:paraId="189C405D"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206,3</w:t>
            </w:r>
          </w:p>
        </w:tc>
        <w:tc>
          <w:tcPr>
            <w:tcW w:w="1185" w:type="dxa"/>
            <w:gridSpan w:val="2"/>
            <w:tcBorders>
              <w:top w:val="nil"/>
              <w:left w:val="nil"/>
              <w:bottom w:val="dotted" w:sz="4" w:space="0" w:color="auto"/>
              <w:right w:val="dotted" w:sz="4" w:space="0" w:color="auto"/>
            </w:tcBorders>
            <w:shd w:val="clear" w:color="auto" w:fill="auto"/>
            <w:vAlign w:val="center"/>
            <w:hideMark/>
          </w:tcPr>
          <w:p w14:paraId="3D5DF8C4"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3,3</w:t>
            </w:r>
          </w:p>
        </w:tc>
        <w:tc>
          <w:tcPr>
            <w:tcW w:w="1185" w:type="dxa"/>
            <w:gridSpan w:val="2"/>
            <w:tcBorders>
              <w:top w:val="nil"/>
              <w:left w:val="nil"/>
              <w:bottom w:val="dotted" w:sz="4" w:space="0" w:color="auto"/>
              <w:right w:val="dotted" w:sz="4" w:space="0" w:color="auto"/>
            </w:tcBorders>
            <w:shd w:val="clear" w:color="auto" w:fill="auto"/>
            <w:vAlign w:val="center"/>
            <w:hideMark/>
          </w:tcPr>
          <w:p w14:paraId="591D4DE5"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2,6</w:t>
            </w:r>
          </w:p>
        </w:tc>
        <w:tc>
          <w:tcPr>
            <w:tcW w:w="1185" w:type="dxa"/>
            <w:gridSpan w:val="2"/>
            <w:tcBorders>
              <w:top w:val="nil"/>
              <w:left w:val="nil"/>
              <w:bottom w:val="dotted" w:sz="4" w:space="0" w:color="auto"/>
              <w:right w:val="dotted" w:sz="4" w:space="0" w:color="auto"/>
            </w:tcBorders>
            <w:shd w:val="clear" w:color="auto" w:fill="auto"/>
            <w:vAlign w:val="center"/>
            <w:hideMark/>
          </w:tcPr>
          <w:p w14:paraId="54422A19"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2,7</w:t>
            </w:r>
          </w:p>
        </w:tc>
        <w:tc>
          <w:tcPr>
            <w:tcW w:w="1185" w:type="dxa"/>
            <w:gridSpan w:val="2"/>
            <w:tcBorders>
              <w:top w:val="nil"/>
              <w:left w:val="nil"/>
              <w:bottom w:val="dotted" w:sz="4" w:space="0" w:color="auto"/>
              <w:right w:val="dotted" w:sz="4" w:space="0" w:color="auto"/>
            </w:tcBorders>
            <w:shd w:val="clear" w:color="auto" w:fill="auto"/>
            <w:vAlign w:val="center"/>
            <w:hideMark/>
          </w:tcPr>
          <w:p w14:paraId="0955EE1B"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2,2</w:t>
            </w:r>
          </w:p>
        </w:tc>
        <w:tc>
          <w:tcPr>
            <w:tcW w:w="1186" w:type="dxa"/>
            <w:gridSpan w:val="2"/>
            <w:tcBorders>
              <w:top w:val="nil"/>
              <w:left w:val="nil"/>
              <w:bottom w:val="dotted" w:sz="4" w:space="0" w:color="auto"/>
              <w:right w:val="double" w:sz="6" w:space="0" w:color="auto"/>
            </w:tcBorders>
            <w:shd w:val="clear" w:color="auto" w:fill="auto"/>
            <w:vAlign w:val="center"/>
            <w:hideMark/>
          </w:tcPr>
          <w:p w14:paraId="409C404D"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2,1</w:t>
            </w:r>
          </w:p>
        </w:tc>
      </w:tr>
      <w:tr w:rsidR="00247CBF" w:rsidRPr="00092ED7" w14:paraId="6663F692" w14:textId="77777777" w:rsidTr="00247CBF">
        <w:trPr>
          <w:gridBefore w:val="1"/>
          <w:gridAfter w:val="1"/>
          <w:wBefore w:w="23" w:type="dxa"/>
          <w:wAfter w:w="306" w:type="dxa"/>
          <w:trHeight w:val="284"/>
        </w:trPr>
        <w:tc>
          <w:tcPr>
            <w:tcW w:w="5292" w:type="dxa"/>
            <w:tcBorders>
              <w:top w:val="nil"/>
              <w:left w:val="double" w:sz="6" w:space="0" w:color="auto"/>
              <w:bottom w:val="dotted" w:sz="4" w:space="0" w:color="auto"/>
              <w:right w:val="dotted" w:sz="4" w:space="0" w:color="auto"/>
            </w:tcBorders>
            <w:shd w:val="clear" w:color="auto" w:fill="auto"/>
            <w:vAlign w:val="center"/>
            <w:hideMark/>
          </w:tcPr>
          <w:p w14:paraId="64B7161E" w14:textId="77777777" w:rsidR="00247CBF" w:rsidRPr="00092ED7" w:rsidRDefault="00247CBF" w:rsidP="00247CBF">
            <w:pPr>
              <w:spacing w:after="0"/>
              <w:jc w:val="left"/>
              <w:rPr>
                <w:rFonts w:eastAsia="Times New Roman" w:cs="Times New Roman"/>
                <w:sz w:val="20"/>
                <w:szCs w:val="20"/>
                <w:lang w:val="sr-Cyrl-CS" w:eastAsia="sr-Cyrl-RS"/>
              </w:rPr>
            </w:pPr>
            <w:r w:rsidRPr="00092ED7">
              <w:rPr>
                <w:rFonts w:eastAsia="Times New Roman" w:cs="Times New Roman"/>
                <w:sz w:val="20"/>
                <w:szCs w:val="20"/>
                <w:lang w:val="sr-Cyrl-CS" w:eastAsia="sr-Cyrl-RS"/>
              </w:rPr>
              <w:t>21. Бруто инвестиције у основна средства</w:t>
            </w:r>
          </w:p>
        </w:tc>
        <w:tc>
          <w:tcPr>
            <w:tcW w:w="2033" w:type="dxa"/>
            <w:gridSpan w:val="2"/>
            <w:tcBorders>
              <w:top w:val="nil"/>
              <w:left w:val="nil"/>
              <w:bottom w:val="dotted" w:sz="4" w:space="0" w:color="auto"/>
              <w:right w:val="single" w:sz="8" w:space="0" w:color="auto"/>
            </w:tcBorders>
            <w:shd w:val="clear" w:color="auto" w:fill="auto"/>
            <w:vAlign w:val="center"/>
            <w:hideMark/>
          </w:tcPr>
          <w:p w14:paraId="5ED85BD5" w14:textId="77777777" w:rsidR="00247CBF" w:rsidRPr="00092ED7" w:rsidRDefault="00247CBF" w:rsidP="00247CBF">
            <w:pPr>
              <w:spacing w:after="0"/>
              <w:jc w:val="center"/>
              <w:rPr>
                <w:rFonts w:eastAsia="Times New Roman" w:cs="Times New Roman"/>
                <w:sz w:val="20"/>
                <w:szCs w:val="20"/>
                <w:lang w:val="sr-Cyrl-CS" w:eastAsia="sr-Cyrl-RS"/>
              </w:rPr>
            </w:pPr>
            <w:r w:rsidRPr="00092ED7">
              <w:rPr>
                <w:rFonts w:eastAsia="Times New Roman" w:cs="Times New Roman"/>
                <w:sz w:val="20"/>
                <w:szCs w:val="20"/>
                <w:lang w:val="sr-Cyrl-CS" w:eastAsia="sr-Cyrl-RS"/>
              </w:rPr>
              <w:t>P51</w:t>
            </w:r>
          </w:p>
        </w:tc>
        <w:tc>
          <w:tcPr>
            <w:tcW w:w="1304" w:type="dxa"/>
            <w:gridSpan w:val="2"/>
            <w:tcBorders>
              <w:top w:val="nil"/>
              <w:left w:val="nil"/>
              <w:bottom w:val="dotted" w:sz="4" w:space="0" w:color="auto"/>
              <w:right w:val="single" w:sz="8" w:space="0" w:color="auto"/>
            </w:tcBorders>
            <w:shd w:val="clear" w:color="auto" w:fill="auto"/>
            <w:vAlign w:val="center"/>
            <w:hideMark/>
          </w:tcPr>
          <w:p w14:paraId="2D47D98A"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466,6</w:t>
            </w:r>
          </w:p>
        </w:tc>
        <w:tc>
          <w:tcPr>
            <w:tcW w:w="1185" w:type="dxa"/>
            <w:gridSpan w:val="2"/>
            <w:tcBorders>
              <w:top w:val="nil"/>
              <w:left w:val="nil"/>
              <w:bottom w:val="dotted" w:sz="4" w:space="0" w:color="auto"/>
              <w:right w:val="dotted" w:sz="4" w:space="0" w:color="auto"/>
            </w:tcBorders>
            <w:shd w:val="clear" w:color="auto" w:fill="auto"/>
            <w:vAlign w:val="center"/>
            <w:hideMark/>
          </w:tcPr>
          <w:p w14:paraId="387150D6"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7,4</w:t>
            </w:r>
          </w:p>
        </w:tc>
        <w:tc>
          <w:tcPr>
            <w:tcW w:w="1185" w:type="dxa"/>
            <w:gridSpan w:val="2"/>
            <w:tcBorders>
              <w:top w:val="nil"/>
              <w:left w:val="nil"/>
              <w:bottom w:val="dotted" w:sz="4" w:space="0" w:color="auto"/>
              <w:right w:val="dotted" w:sz="4" w:space="0" w:color="auto"/>
            </w:tcBorders>
            <w:shd w:val="clear" w:color="auto" w:fill="auto"/>
            <w:vAlign w:val="center"/>
            <w:hideMark/>
          </w:tcPr>
          <w:p w14:paraId="6E36E314"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7,3</w:t>
            </w:r>
          </w:p>
        </w:tc>
        <w:tc>
          <w:tcPr>
            <w:tcW w:w="1185" w:type="dxa"/>
            <w:gridSpan w:val="2"/>
            <w:tcBorders>
              <w:top w:val="nil"/>
              <w:left w:val="nil"/>
              <w:bottom w:val="dotted" w:sz="4" w:space="0" w:color="auto"/>
              <w:right w:val="dotted" w:sz="4" w:space="0" w:color="auto"/>
            </w:tcBorders>
            <w:shd w:val="clear" w:color="auto" w:fill="auto"/>
            <w:vAlign w:val="center"/>
            <w:hideMark/>
          </w:tcPr>
          <w:p w14:paraId="4AB25F17"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6,8</w:t>
            </w:r>
          </w:p>
        </w:tc>
        <w:tc>
          <w:tcPr>
            <w:tcW w:w="1185" w:type="dxa"/>
            <w:gridSpan w:val="2"/>
            <w:tcBorders>
              <w:top w:val="nil"/>
              <w:left w:val="nil"/>
              <w:bottom w:val="dotted" w:sz="4" w:space="0" w:color="auto"/>
              <w:right w:val="dotted" w:sz="4" w:space="0" w:color="auto"/>
            </w:tcBorders>
            <w:shd w:val="clear" w:color="auto" w:fill="auto"/>
            <w:vAlign w:val="center"/>
            <w:hideMark/>
          </w:tcPr>
          <w:p w14:paraId="37F6D3B1"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6,4</w:t>
            </w:r>
          </w:p>
        </w:tc>
        <w:tc>
          <w:tcPr>
            <w:tcW w:w="1186" w:type="dxa"/>
            <w:gridSpan w:val="2"/>
            <w:tcBorders>
              <w:top w:val="nil"/>
              <w:left w:val="nil"/>
              <w:bottom w:val="dotted" w:sz="4" w:space="0" w:color="auto"/>
              <w:right w:val="double" w:sz="6" w:space="0" w:color="auto"/>
            </w:tcBorders>
            <w:shd w:val="clear" w:color="auto" w:fill="auto"/>
            <w:vAlign w:val="center"/>
            <w:hideMark/>
          </w:tcPr>
          <w:p w14:paraId="1323FB14"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6,1</w:t>
            </w:r>
          </w:p>
        </w:tc>
      </w:tr>
      <w:tr w:rsidR="00247CBF" w:rsidRPr="00092ED7" w14:paraId="29FC8B41" w14:textId="77777777" w:rsidTr="00247CBF">
        <w:trPr>
          <w:gridBefore w:val="1"/>
          <w:gridAfter w:val="1"/>
          <w:wBefore w:w="23" w:type="dxa"/>
          <w:wAfter w:w="306" w:type="dxa"/>
          <w:trHeight w:val="284"/>
        </w:trPr>
        <w:tc>
          <w:tcPr>
            <w:tcW w:w="5292" w:type="dxa"/>
            <w:tcBorders>
              <w:top w:val="nil"/>
              <w:left w:val="double" w:sz="6" w:space="0" w:color="auto"/>
              <w:bottom w:val="dotted" w:sz="4" w:space="0" w:color="auto"/>
              <w:right w:val="dotted" w:sz="4" w:space="0" w:color="auto"/>
            </w:tcBorders>
            <w:shd w:val="clear" w:color="auto" w:fill="auto"/>
            <w:vAlign w:val="center"/>
            <w:hideMark/>
          </w:tcPr>
          <w:p w14:paraId="23F723BF" w14:textId="77777777" w:rsidR="00247CBF" w:rsidRPr="00092ED7" w:rsidRDefault="00247CBF" w:rsidP="00247CBF">
            <w:pPr>
              <w:spacing w:after="0"/>
              <w:jc w:val="left"/>
              <w:rPr>
                <w:rFonts w:eastAsia="Times New Roman" w:cs="Times New Roman"/>
                <w:sz w:val="20"/>
                <w:szCs w:val="20"/>
                <w:lang w:val="sr-Cyrl-CS" w:eastAsia="sr-Cyrl-RS"/>
              </w:rPr>
            </w:pPr>
            <w:r w:rsidRPr="00092ED7">
              <w:rPr>
                <w:rFonts w:eastAsia="Times New Roman" w:cs="Times New Roman"/>
                <w:sz w:val="20"/>
                <w:szCs w:val="20"/>
                <w:lang w:val="sr-Cyrl-CS" w:eastAsia="sr-Cyrl-RS"/>
              </w:rPr>
              <w:t>22. Друго (22 = 23-(17+18+19+20+21) [6]</w:t>
            </w:r>
          </w:p>
        </w:tc>
        <w:tc>
          <w:tcPr>
            <w:tcW w:w="2033" w:type="dxa"/>
            <w:gridSpan w:val="2"/>
            <w:tcBorders>
              <w:top w:val="nil"/>
              <w:left w:val="nil"/>
              <w:bottom w:val="dotted" w:sz="4" w:space="0" w:color="auto"/>
              <w:right w:val="single" w:sz="8" w:space="0" w:color="auto"/>
            </w:tcBorders>
            <w:shd w:val="clear" w:color="auto" w:fill="auto"/>
            <w:vAlign w:val="center"/>
            <w:hideMark/>
          </w:tcPr>
          <w:p w14:paraId="5B230EA8" w14:textId="77777777" w:rsidR="00247CBF" w:rsidRPr="00092ED7" w:rsidRDefault="00247CBF" w:rsidP="00247CBF">
            <w:pPr>
              <w:spacing w:after="0"/>
              <w:jc w:val="center"/>
              <w:rPr>
                <w:rFonts w:eastAsia="Times New Roman" w:cs="Times New Roman"/>
                <w:sz w:val="20"/>
                <w:szCs w:val="20"/>
                <w:lang w:val="sr-Cyrl-CS" w:eastAsia="sr-Cyrl-RS"/>
              </w:rPr>
            </w:pPr>
          </w:p>
        </w:tc>
        <w:tc>
          <w:tcPr>
            <w:tcW w:w="1304" w:type="dxa"/>
            <w:gridSpan w:val="2"/>
            <w:tcBorders>
              <w:top w:val="nil"/>
              <w:left w:val="nil"/>
              <w:bottom w:val="dotted" w:sz="4" w:space="0" w:color="auto"/>
              <w:right w:val="single" w:sz="8" w:space="0" w:color="auto"/>
            </w:tcBorders>
            <w:shd w:val="clear" w:color="auto" w:fill="auto"/>
            <w:vAlign w:val="center"/>
            <w:hideMark/>
          </w:tcPr>
          <w:p w14:paraId="6AF62CAE"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220,4</w:t>
            </w:r>
          </w:p>
        </w:tc>
        <w:tc>
          <w:tcPr>
            <w:tcW w:w="1185" w:type="dxa"/>
            <w:gridSpan w:val="2"/>
            <w:tcBorders>
              <w:top w:val="nil"/>
              <w:left w:val="nil"/>
              <w:bottom w:val="dotted" w:sz="4" w:space="0" w:color="auto"/>
              <w:right w:val="dotted" w:sz="4" w:space="0" w:color="auto"/>
            </w:tcBorders>
            <w:shd w:val="clear" w:color="auto" w:fill="auto"/>
            <w:vAlign w:val="center"/>
            <w:hideMark/>
          </w:tcPr>
          <w:p w14:paraId="011CED66"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3,5</w:t>
            </w:r>
          </w:p>
        </w:tc>
        <w:tc>
          <w:tcPr>
            <w:tcW w:w="1185" w:type="dxa"/>
            <w:gridSpan w:val="2"/>
            <w:tcBorders>
              <w:top w:val="nil"/>
              <w:left w:val="nil"/>
              <w:bottom w:val="dotted" w:sz="4" w:space="0" w:color="auto"/>
              <w:right w:val="dotted" w:sz="4" w:space="0" w:color="auto"/>
            </w:tcBorders>
            <w:shd w:val="clear" w:color="auto" w:fill="auto"/>
            <w:vAlign w:val="center"/>
            <w:hideMark/>
          </w:tcPr>
          <w:p w14:paraId="4DCC21F8"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4,8</w:t>
            </w:r>
          </w:p>
        </w:tc>
        <w:tc>
          <w:tcPr>
            <w:tcW w:w="1185" w:type="dxa"/>
            <w:gridSpan w:val="2"/>
            <w:tcBorders>
              <w:top w:val="nil"/>
              <w:left w:val="nil"/>
              <w:bottom w:val="dotted" w:sz="4" w:space="0" w:color="auto"/>
              <w:right w:val="dotted" w:sz="4" w:space="0" w:color="auto"/>
            </w:tcBorders>
            <w:shd w:val="clear" w:color="auto" w:fill="auto"/>
            <w:vAlign w:val="center"/>
            <w:hideMark/>
          </w:tcPr>
          <w:p w14:paraId="2B3FFE9D"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3,2</w:t>
            </w:r>
          </w:p>
        </w:tc>
        <w:tc>
          <w:tcPr>
            <w:tcW w:w="1185" w:type="dxa"/>
            <w:gridSpan w:val="2"/>
            <w:tcBorders>
              <w:top w:val="nil"/>
              <w:left w:val="nil"/>
              <w:bottom w:val="dotted" w:sz="4" w:space="0" w:color="auto"/>
              <w:right w:val="dotted" w:sz="4" w:space="0" w:color="auto"/>
            </w:tcBorders>
            <w:shd w:val="clear" w:color="auto" w:fill="auto"/>
            <w:vAlign w:val="center"/>
            <w:hideMark/>
          </w:tcPr>
          <w:p w14:paraId="511791F8"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2,3</w:t>
            </w:r>
          </w:p>
        </w:tc>
        <w:tc>
          <w:tcPr>
            <w:tcW w:w="1186" w:type="dxa"/>
            <w:gridSpan w:val="2"/>
            <w:tcBorders>
              <w:top w:val="nil"/>
              <w:left w:val="nil"/>
              <w:bottom w:val="dotted" w:sz="4" w:space="0" w:color="auto"/>
              <w:right w:val="double" w:sz="6" w:space="0" w:color="auto"/>
            </w:tcBorders>
            <w:shd w:val="clear" w:color="auto" w:fill="auto"/>
            <w:vAlign w:val="center"/>
            <w:hideMark/>
          </w:tcPr>
          <w:p w14:paraId="1047B522"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1,5</w:t>
            </w:r>
          </w:p>
        </w:tc>
      </w:tr>
      <w:tr w:rsidR="00247CBF" w:rsidRPr="00092ED7" w14:paraId="59877530" w14:textId="77777777" w:rsidTr="00247CBF">
        <w:trPr>
          <w:gridBefore w:val="1"/>
          <w:gridAfter w:val="1"/>
          <w:wBefore w:w="23" w:type="dxa"/>
          <w:wAfter w:w="306" w:type="dxa"/>
          <w:trHeight w:val="284"/>
        </w:trPr>
        <w:tc>
          <w:tcPr>
            <w:tcW w:w="5292" w:type="dxa"/>
            <w:tcBorders>
              <w:top w:val="nil"/>
              <w:left w:val="double" w:sz="6" w:space="0" w:color="auto"/>
              <w:bottom w:val="dotted" w:sz="4" w:space="0" w:color="auto"/>
              <w:right w:val="dotted" w:sz="4" w:space="0" w:color="auto"/>
            </w:tcBorders>
            <w:shd w:val="clear" w:color="auto" w:fill="auto"/>
            <w:vAlign w:val="center"/>
            <w:hideMark/>
          </w:tcPr>
          <w:p w14:paraId="58771567" w14:textId="77777777" w:rsidR="00247CBF" w:rsidRPr="00092ED7" w:rsidRDefault="00247CBF" w:rsidP="00247CBF">
            <w:pPr>
              <w:spacing w:after="0"/>
              <w:jc w:val="left"/>
              <w:rPr>
                <w:rFonts w:eastAsia="Times New Roman" w:cs="Times New Roman"/>
                <w:sz w:val="20"/>
                <w:szCs w:val="20"/>
                <w:lang w:val="sr-Cyrl-CS" w:eastAsia="sr-Cyrl-RS"/>
              </w:rPr>
            </w:pPr>
            <w:r w:rsidRPr="00092ED7">
              <w:rPr>
                <w:rFonts w:eastAsia="Times New Roman" w:cs="Times New Roman"/>
                <w:sz w:val="20"/>
                <w:szCs w:val="20"/>
                <w:lang w:val="sr-Cyrl-CS" w:eastAsia="sr-Cyrl-RS"/>
              </w:rPr>
              <w:t>23 = 7. Укупни расходи</w:t>
            </w:r>
          </w:p>
        </w:tc>
        <w:tc>
          <w:tcPr>
            <w:tcW w:w="2033" w:type="dxa"/>
            <w:gridSpan w:val="2"/>
            <w:tcBorders>
              <w:top w:val="nil"/>
              <w:left w:val="nil"/>
              <w:bottom w:val="dotted" w:sz="4" w:space="0" w:color="auto"/>
              <w:right w:val="single" w:sz="8" w:space="0" w:color="auto"/>
            </w:tcBorders>
            <w:shd w:val="clear" w:color="auto" w:fill="auto"/>
            <w:vAlign w:val="center"/>
            <w:hideMark/>
          </w:tcPr>
          <w:p w14:paraId="6B7CF39F" w14:textId="77777777" w:rsidR="00247CBF" w:rsidRPr="00092ED7" w:rsidRDefault="00247CBF" w:rsidP="00247CBF">
            <w:pPr>
              <w:spacing w:after="0"/>
              <w:jc w:val="center"/>
              <w:rPr>
                <w:rFonts w:eastAsia="Times New Roman" w:cs="Times New Roman"/>
                <w:sz w:val="20"/>
                <w:szCs w:val="20"/>
                <w:lang w:val="sr-Cyrl-CS" w:eastAsia="sr-Cyrl-RS"/>
              </w:rPr>
            </w:pPr>
            <w:r w:rsidRPr="00092ED7">
              <w:rPr>
                <w:rFonts w:eastAsia="Times New Roman" w:cs="Times New Roman"/>
                <w:sz w:val="20"/>
                <w:szCs w:val="20"/>
                <w:lang w:val="sr-Cyrl-CS" w:eastAsia="sr-Cyrl-RS"/>
              </w:rPr>
              <w:t>TE [1]</w:t>
            </w:r>
          </w:p>
        </w:tc>
        <w:tc>
          <w:tcPr>
            <w:tcW w:w="1304" w:type="dxa"/>
            <w:gridSpan w:val="2"/>
            <w:tcBorders>
              <w:top w:val="nil"/>
              <w:left w:val="nil"/>
              <w:bottom w:val="dotted" w:sz="4" w:space="0" w:color="auto"/>
              <w:right w:val="single" w:sz="8" w:space="0" w:color="auto"/>
            </w:tcBorders>
            <w:shd w:val="clear" w:color="auto" w:fill="auto"/>
            <w:vAlign w:val="center"/>
            <w:hideMark/>
          </w:tcPr>
          <w:p w14:paraId="339B077C"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2.971,3</w:t>
            </w:r>
          </w:p>
        </w:tc>
        <w:tc>
          <w:tcPr>
            <w:tcW w:w="1185" w:type="dxa"/>
            <w:gridSpan w:val="2"/>
            <w:tcBorders>
              <w:top w:val="nil"/>
              <w:left w:val="nil"/>
              <w:bottom w:val="dotted" w:sz="4" w:space="0" w:color="auto"/>
              <w:right w:val="dotted" w:sz="4" w:space="0" w:color="auto"/>
            </w:tcBorders>
            <w:shd w:val="clear" w:color="auto" w:fill="auto"/>
            <w:vAlign w:val="center"/>
            <w:hideMark/>
          </w:tcPr>
          <w:p w14:paraId="5D7AE91A"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47,4</w:t>
            </w:r>
          </w:p>
        </w:tc>
        <w:tc>
          <w:tcPr>
            <w:tcW w:w="1185" w:type="dxa"/>
            <w:gridSpan w:val="2"/>
            <w:tcBorders>
              <w:top w:val="nil"/>
              <w:left w:val="nil"/>
              <w:bottom w:val="dotted" w:sz="4" w:space="0" w:color="auto"/>
              <w:right w:val="dotted" w:sz="4" w:space="0" w:color="auto"/>
            </w:tcBorders>
            <w:shd w:val="clear" w:color="auto" w:fill="auto"/>
            <w:vAlign w:val="center"/>
            <w:hideMark/>
          </w:tcPr>
          <w:p w14:paraId="4F4D681B"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46,8</w:t>
            </w:r>
          </w:p>
        </w:tc>
        <w:tc>
          <w:tcPr>
            <w:tcW w:w="1185" w:type="dxa"/>
            <w:gridSpan w:val="2"/>
            <w:tcBorders>
              <w:top w:val="nil"/>
              <w:left w:val="nil"/>
              <w:bottom w:val="dotted" w:sz="4" w:space="0" w:color="auto"/>
              <w:right w:val="dotted" w:sz="4" w:space="0" w:color="auto"/>
            </w:tcBorders>
            <w:shd w:val="clear" w:color="auto" w:fill="auto"/>
            <w:vAlign w:val="center"/>
            <w:hideMark/>
          </w:tcPr>
          <w:p w14:paraId="679FAF98"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44,2</w:t>
            </w:r>
          </w:p>
        </w:tc>
        <w:tc>
          <w:tcPr>
            <w:tcW w:w="1185" w:type="dxa"/>
            <w:gridSpan w:val="2"/>
            <w:tcBorders>
              <w:top w:val="nil"/>
              <w:left w:val="nil"/>
              <w:bottom w:val="dotted" w:sz="4" w:space="0" w:color="auto"/>
              <w:right w:val="dotted" w:sz="4" w:space="0" w:color="auto"/>
            </w:tcBorders>
            <w:shd w:val="clear" w:color="auto" w:fill="auto"/>
            <w:vAlign w:val="center"/>
            <w:hideMark/>
          </w:tcPr>
          <w:p w14:paraId="7420479C"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42,5</w:t>
            </w:r>
          </w:p>
        </w:tc>
        <w:tc>
          <w:tcPr>
            <w:tcW w:w="1186" w:type="dxa"/>
            <w:gridSpan w:val="2"/>
            <w:tcBorders>
              <w:top w:val="nil"/>
              <w:left w:val="nil"/>
              <w:bottom w:val="dotted" w:sz="4" w:space="0" w:color="auto"/>
              <w:right w:val="double" w:sz="6" w:space="0" w:color="auto"/>
            </w:tcBorders>
            <w:shd w:val="clear" w:color="auto" w:fill="auto"/>
            <w:vAlign w:val="center"/>
            <w:hideMark/>
          </w:tcPr>
          <w:p w14:paraId="1568335F"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41,0</w:t>
            </w:r>
          </w:p>
        </w:tc>
      </w:tr>
      <w:tr w:rsidR="00247CBF" w:rsidRPr="00092ED7" w14:paraId="26ED7AE1" w14:textId="77777777" w:rsidTr="00247CBF">
        <w:trPr>
          <w:gridBefore w:val="1"/>
          <w:gridAfter w:val="1"/>
          <w:wBefore w:w="23" w:type="dxa"/>
          <w:wAfter w:w="306" w:type="dxa"/>
          <w:trHeight w:val="284"/>
        </w:trPr>
        <w:tc>
          <w:tcPr>
            <w:tcW w:w="5292" w:type="dxa"/>
            <w:tcBorders>
              <w:top w:val="nil"/>
              <w:left w:val="double" w:sz="6" w:space="0" w:color="auto"/>
              <w:bottom w:val="double" w:sz="6" w:space="0" w:color="auto"/>
              <w:right w:val="dotted" w:sz="4" w:space="0" w:color="auto"/>
            </w:tcBorders>
            <w:shd w:val="clear" w:color="auto" w:fill="auto"/>
            <w:vAlign w:val="bottom"/>
            <w:hideMark/>
          </w:tcPr>
          <w:p w14:paraId="3CA79CB0" w14:textId="77777777" w:rsidR="00247CBF" w:rsidRPr="00092ED7" w:rsidRDefault="00247CBF" w:rsidP="00247CBF">
            <w:pPr>
              <w:spacing w:after="0"/>
              <w:jc w:val="left"/>
              <w:rPr>
                <w:rFonts w:eastAsia="Times New Roman" w:cs="Times New Roman"/>
                <w:sz w:val="20"/>
                <w:szCs w:val="20"/>
                <w:lang w:val="sr-Cyrl-CS" w:eastAsia="sr-Cyrl-RS"/>
              </w:rPr>
            </w:pPr>
            <w:r w:rsidRPr="00092ED7">
              <w:rPr>
                <w:rFonts w:eastAsia="Times New Roman" w:cs="Times New Roman"/>
                <w:sz w:val="20"/>
                <w:szCs w:val="20"/>
                <w:lang w:val="sr-Cyrl-CS" w:eastAsia="sr-Cyrl-RS"/>
              </w:rPr>
              <w:t>Информативно: Зараде и накнаде запосленима у јавном сектору</w:t>
            </w:r>
          </w:p>
        </w:tc>
        <w:tc>
          <w:tcPr>
            <w:tcW w:w="2033" w:type="dxa"/>
            <w:gridSpan w:val="2"/>
            <w:tcBorders>
              <w:top w:val="nil"/>
              <w:left w:val="nil"/>
              <w:bottom w:val="double" w:sz="6" w:space="0" w:color="auto"/>
              <w:right w:val="single" w:sz="8" w:space="0" w:color="auto"/>
            </w:tcBorders>
            <w:shd w:val="clear" w:color="auto" w:fill="auto"/>
            <w:vAlign w:val="center"/>
            <w:hideMark/>
          </w:tcPr>
          <w:p w14:paraId="0532D525" w14:textId="77777777" w:rsidR="00247CBF" w:rsidRPr="00092ED7" w:rsidRDefault="00247CBF" w:rsidP="00247CBF">
            <w:pPr>
              <w:spacing w:after="0"/>
              <w:jc w:val="center"/>
              <w:rPr>
                <w:rFonts w:eastAsia="Times New Roman" w:cs="Times New Roman"/>
                <w:sz w:val="20"/>
                <w:szCs w:val="20"/>
                <w:lang w:val="sr-Cyrl-CS" w:eastAsia="sr-Cyrl-RS"/>
              </w:rPr>
            </w:pPr>
            <w:r w:rsidRPr="00092ED7">
              <w:rPr>
                <w:rFonts w:eastAsia="Times New Roman" w:cs="Times New Roman"/>
                <w:sz w:val="20"/>
                <w:szCs w:val="20"/>
                <w:lang w:val="sr-Cyrl-CS" w:eastAsia="sr-Cyrl-RS"/>
              </w:rPr>
              <w:t>D1</w:t>
            </w:r>
          </w:p>
        </w:tc>
        <w:tc>
          <w:tcPr>
            <w:tcW w:w="1304" w:type="dxa"/>
            <w:gridSpan w:val="2"/>
            <w:tcBorders>
              <w:top w:val="nil"/>
              <w:left w:val="nil"/>
              <w:bottom w:val="double" w:sz="6" w:space="0" w:color="auto"/>
              <w:right w:val="single" w:sz="8" w:space="0" w:color="auto"/>
            </w:tcBorders>
            <w:shd w:val="clear" w:color="auto" w:fill="auto"/>
            <w:vAlign w:val="center"/>
            <w:hideMark/>
          </w:tcPr>
          <w:p w14:paraId="0A27B1AE"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629,0</w:t>
            </w:r>
          </w:p>
        </w:tc>
        <w:tc>
          <w:tcPr>
            <w:tcW w:w="1185" w:type="dxa"/>
            <w:gridSpan w:val="2"/>
            <w:tcBorders>
              <w:top w:val="nil"/>
              <w:left w:val="nil"/>
              <w:bottom w:val="double" w:sz="6" w:space="0" w:color="auto"/>
              <w:right w:val="dotted" w:sz="4" w:space="0" w:color="auto"/>
            </w:tcBorders>
            <w:shd w:val="clear" w:color="auto" w:fill="auto"/>
            <w:vAlign w:val="center"/>
            <w:hideMark/>
          </w:tcPr>
          <w:p w14:paraId="2FD80D65"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10,0</w:t>
            </w:r>
          </w:p>
        </w:tc>
        <w:tc>
          <w:tcPr>
            <w:tcW w:w="1185" w:type="dxa"/>
            <w:gridSpan w:val="2"/>
            <w:tcBorders>
              <w:top w:val="nil"/>
              <w:left w:val="nil"/>
              <w:bottom w:val="double" w:sz="6" w:space="0" w:color="auto"/>
              <w:right w:val="dotted" w:sz="4" w:space="0" w:color="auto"/>
            </w:tcBorders>
            <w:shd w:val="clear" w:color="auto" w:fill="auto"/>
            <w:vAlign w:val="center"/>
            <w:hideMark/>
          </w:tcPr>
          <w:p w14:paraId="0E86A37A"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9,7</w:t>
            </w:r>
          </w:p>
        </w:tc>
        <w:tc>
          <w:tcPr>
            <w:tcW w:w="1185" w:type="dxa"/>
            <w:gridSpan w:val="2"/>
            <w:tcBorders>
              <w:top w:val="nil"/>
              <w:left w:val="nil"/>
              <w:bottom w:val="double" w:sz="6" w:space="0" w:color="auto"/>
              <w:right w:val="dotted" w:sz="4" w:space="0" w:color="auto"/>
            </w:tcBorders>
            <w:shd w:val="clear" w:color="auto" w:fill="auto"/>
            <w:vAlign w:val="center"/>
            <w:hideMark/>
          </w:tcPr>
          <w:p w14:paraId="5E3A333E"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9,6</w:t>
            </w:r>
          </w:p>
        </w:tc>
        <w:tc>
          <w:tcPr>
            <w:tcW w:w="1185" w:type="dxa"/>
            <w:gridSpan w:val="2"/>
            <w:tcBorders>
              <w:top w:val="nil"/>
              <w:left w:val="nil"/>
              <w:bottom w:val="double" w:sz="6" w:space="0" w:color="auto"/>
              <w:right w:val="dotted" w:sz="4" w:space="0" w:color="auto"/>
            </w:tcBorders>
            <w:shd w:val="clear" w:color="auto" w:fill="auto"/>
            <w:vAlign w:val="center"/>
            <w:hideMark/>
          </w:tcPr>
          <w:p w14:paraId="79CCCD01"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9,6</w:t>
            </w:r>
          </w:p>
        </w:tc>
        <w:tc>
          <w:tcPr>
            <w:tcW w:w="1186" w:type="dxa"/>
            <w:gridSpan w:val="2"/>
            <w:tcBorders>
              <w:top w:val="nil"/>
              <w:left w:val="nil"/>
              <w:bottom w:val="double" w:sz="6" w:space="0" w:color="auto"/>
              <w:right w:val="double" w:sz="6" w:space="0" w:color="auto"/>
            </w:tcBorders>
            <w:shd w:val="clear" w:color="auto" w:fill="auto"/>
            <w:vAlign w:val="center"/>
            <w:hideMark/>
          </w:tcPr>
          <w:p w14:paraId="40E18664" w14:textId="77777777" w:rsidR="00247CBF" w:rsidRPr="00092ED7" w:rsidRDefault="00247CBF" w:rsidP="00247CBF">
            <w:pPr>
              <w:spacing w:after="0"/>
              <w:jc w:val="right"/>
              <w:rPr>
                <w:rFonts w:eastAsia="Times New Roman" w:cs="Times New Roman"/>
                <w:sz w:val="20"/>
                <w:szCs w:val="20"/>
                <w:lang w:val="sr-Cyrl-CS" w:eastAsia="sr-Cyrl-RS"/>
              </w:rPr>
            </w:pPr>
            <w:r w:rsidRPr="00092ED7">
              <w:rPr>
                <w:rFonts w:eastAsia="Times New Roman" w:cs="Times New Roman"/>
                <w:sz w:val="20"/>
                <w:szCs w:val="20"/>
                <w:lang w:val="sr-Cyrl-CS" w:eastAsia="sr-Cyrl-RS"/>
              </w:rPr>
              <w:t>9,6</w:t>
            </w:r>
          </w:p>
        </w:tc>
      </w:tr>
      <w:tr w:rsidR="00247CBF" w:rsidRPr="00092ED7" w14:paraId="1712B305" w14:textId="77777777" w:rsidTr="00247CBF">
        <w:trPr>
          <w:trHeight w:val="227"/>
        </w:trPr>
        <w:tc>
          <w:tcPr>
            <w:tcW w:w="6640" w:type="dxa"/>
            <w:gridSpan w:val="3"/>
            <w:tcBorders>
              <w:top w:val="nil"/>
              <w:left w:val="nil"/>
              <w:bottom w:val="nil"/>
              <w:right w:val="nil"/>
            </w:tcBorders>
            <w:shd w:val="clear" w:color="000000" w:fill="FFFFFF"/>
            <w:noWrap/>
            <w:vAlign w:val="center"/>
            <w:hideMark/>
          </w:tcPr>
          <w:p w14:paraId="7F8FC753" w14:textId="77777777" w:rsidR="00247CBF" w:rsidRPr="00092ED7" w:rsidRDefault="00247CBF" w:rsidP="00247CBF">
            <w:pPr>
              <w:spacing w:after="0"/>
              <w:jc w:val="left"/>
              <w:rPr>
                <w:sz w:val="16"/>
                <w:szCs w:val="20"/>
                <w:lang w:val="sr-Cyrl-CS"/>
              </w:rPr>
            </w:pPr>
            <w:r w:rsidRPr="00092ED7">
              <w:rPr>
                <w:sz w:val="16"/>
                <w:szCs w:val="20"/>
                <w:lang w:val="sr-Cyrl-CS"/>
              </w:rPr>
              <w:t>[1]   Коригован за следећи ток по основу свопова, тако да је TR-TE = EDP.B9.</w:t>
            </w:r>
          </w:p>
        </w:tc>
        <w:tc>
          <w:tcPr>
            <w:tcW w:w="1177" w:type="dxa"/>
            <w:gridSpan w:val="2"/>
            <w:tcBorders>
              <w:top w:val="nil"/>
              <w:left w:val="nil"/>
              <w:bottom w:val="nil"/>
              <w:right w:val="nil"/>
            </w:tcBorders>
            <w:shd w:val="clear" w:color="000000" w:fill="FFFFFF"/>
            <w:noWrap/>
            <w:vAlign w:val="center"/>
            <w:hideMark/>
          </w:tcPr>
          <w:p w14:paraId="49DEC731" w14:textId="77777777" w:rsidR="00247CBF" w:rsidRPr="00092ED7" w:rsidRDefault="00247CBF" w:rsidP="00247CBF">
            <w:pPr>
              <w:spacing w:after="0"/>
              <w:jc w:val="left"/>
              <w:rPr>
                <w:rFonts w:eastAsia="Times New Roman" w:cs="Times New Roman"/>
                <w:sz w:val="16"/>
                <w:szCs w:val="16"/>
                <w:lang w:val="sr-Cyrl-CS"/>
              </w:rPr>
            </w:pPr>
            <w:r w:rsidRPr="00092ED7">
              <w:rPr>
                <w:rFonts w:eastAsia="Times New Roman" w:cs="Times New Roman"/>
                <w:sz w:val="16"/>
                <w:szCs w:val="16"/>
                <w:lang w:val="sr-Cyrl-CS"/>
              </w:rPr>
              <w:t> </w:t>
            </w:r>
          </w:p>
        </w:tc>
        <w:tc>
          <w:tcPr>
            <w:tcW w:w="1178" w:type="dxa"/>
            <w:gridSpan w:val="2"/>
            <w:tcBorders>
              <w:top w:val="nil"/>
              <w:left w:val="nil"/>
              <w:bottom w:val="nil"/>
              <w:right w:val="nil"/>
            </w:tcBorders>
            <w:shd w:val="clear" w:color="000000" w:fill="FFFFFF"/>
            <w:noWrap/>
            <w:vAlign w:val="center"/>
            <w:hideMark/>
          </w:tcPr>
          <w:p w14:paraId="028C8F60" w14:textId="77777777" w:rsidR="00247CBF" w:rsidRPr="00092ED7" w:rsidRDefault="00247CBF" w:rsidP="00247CBF">
            <w:pPr>
              <w:spacing w:after="0"/>
              <w:jc w:val="left"/>
              <w:rPr>
                <w:rFonts w:eastAsia="Times New Roman" w:cs="Times New Roman"/>
                <w:sz w:val="16"/>
                <w:szCs w:val="16"/>
                <w:lang w:val="sr-Cyrl-CS"/>
              </w:rPr>
            </w:pPr>
            <w:r w:rsidRPr="00092ED7">
              <w:rPr>
                <w:rFonts w:eastAsia="Times New Roman" w:cs="Times New Roman"/>
                <w:sz w:val="16"/>
                <w:szCs w:val="16"/>
                <w:lang w:val="sr-Cyrl-CS"/>
              </w:rPr>
              <w:t> </w:t>
            </w:r>
          </w:p>
        </w:tc>
        <w:tc>
          <w:tcPr>
            <w:tcW w:w="1178" w:type="dxa"/>
            <w:gridSpan w:val="2"/>
            <w:tcBorders>
              <w:top w:val="nil"/>
              <w:left w:val="nil"/>
              <w:bottom w:val="nil"/>
              <w:right w:val="nil"/>
            </w:tcBorders>
            <w:shd w:val="clear" w:color="000000" w:fill="FFFFFF"/>
            <w:noWrap/>
            <w:vAlign w:val="center"/>
            <w:hideMark/>
          </w:tcPr>
          <w:p w14:paraId="656510EB" w14:textId="77777777" w:rsidR="00247CBF" w:rsidRPr="00092ED7" w:rsidRDefault="00247CBF" w:rsidP="00247CBF">
            <w:pPr>
              <w:spacing w:after="0"/>
              <w:jc w:val="left"/>
              <w:rPr>
                <w:rFonts w:eastAsia="Times New Roman" w:cs="Times New Roman"/>
                <w:sz w:val="16"/>
                <w:szCs w:val="16"/>
                <w:lang w:val="sr-Cyrl-CS"/>
              </w:rPr>
            </w:pPr>
            <w:r w:rsidRPr="00092ED7">
              <w:rPr>
                <w:rFonts w:eastAsia="Times New Roman" w:cs="Times New Roman"/>
                <w:sz w:val="16"/>
                <w:szCs w:val="16"/>
                <w:lang w:val="sr-Cyrl-CS"/>
              </w:rPr>
              <w:t> </w:t>
            </w:r>
          </w:p>
        </w:tc>
        <w:tc>
          <w:tcPr>
            <w:tcW w:w="1177" w:type="dxa"/>
            <w:gridSpan w:val="2"/>
            <w:tcBorders>
              <w:top w:val="nil"/>
              <w:left w:val="nil"/>
              <w:bottom w:val="nil"/>
              <w:right w:val="nil"/>
            </w:tcBorders>
            <w:shd w:val="clear" w:color="000000" w:fill="FFFFFF"/>
            <w:noWrap/>
            <w:vAlign w:val="center"/>
            <w:hideMark/>
          </w:tcPr>
          <w:p w14:paraId="7146E64E" w14:textId="77777777" w:rsidR="00247CBF" w:rsidRPr="00092ED7" w:rsidRDefault="00247CBF" w:rsidP="00247CBF">
            <w:pPr>
              <w:spacing w:after="0"/>
              <w:jc w:val="left"/>
              <w:rPr>
                <w:rFonts w:eastAsia="Times New Roman" w:cs="Times New Roman"/>
                <w:sz w:val="16"/>
                <w:szCs w:val="16"/>
                <w:lang w:val="sr-Cyrl-CS"/>
              </w:rPr>
            </w:pPr>
            <w:r w:rsidRPr="00092ED7">
              <w:rPr>
                <w:rFonts w:eastAsia="Times New Roman" w:cs="Times New Roman"/>
                <w:sz w:val="16"/>
                <w:szCs w:val="16"/>
                <w:lang w:val="sr-Cyrl-CS"/>
              </w:rPr>
              <w:t> </w:t>
            </w:r>
          </w:p>
        </w:tc>
        <w:tc>
          <w:tcPr>
            <w:tcW w:w="1178" w:type="dxa"/>
            <w:gridSpan w:val="2"/>
            <w:tcBorders>
              <w:top w:val="nil"/>
              <w:left w:val="nil"/>
              <w:bottom w:val="nil"/>
              <w:right w:val="nil"/>
            </w:tcBorders>
            <w:shd w:val="clear" w:color="000000" w:fill="FFFFFF"/>
            <w:noWrap/>
            <w:vAlign w:val="center"/>
            <w:hideMark/>
          </w:tcPr>
          <w:p w14:paraId="47FE347F" w14:textId="77777777" w:rsidR="00247CBF" w:rsidRPr="00092ED7" w:rsidRDefault="00247CBF" w:rsidP="00247CBF">
            <w:pPr>
              <w:spacing w:after="0"/>
              <w:jc w:val="left"/>
              <w:rPr>
                <w:rFonts w:eastAsia="Times New Roman" w:cs="Times New Roman"/>
                <w:sz w:val="16"/>
                <w:szCs w:val="16"/>
                <w:lang w:val="sr-Cyrl-CS"/>
              </w:rPr>
            </w:pPr>
            <w:r w:rsidRPr="00092ED7">
              <w:rPr>
                <w:rFonts w:eastAsia="Times New Roman" w:cs="Times New Roman"/>
                <w:sz w:val="16"/>
                <w:szCs w:val="16"/>
                <w:lang w:val="sr-Cyrl-CS"/>
              </w:rPr>
              <w:t> </w:t>
            </w:r>
          </w:p>
        </w:tc>
        <w:tc>
          <w:tcPr>
            <w:tcW w:w="1178" w:type="dxa"/>
            <w:gridSpan w:val="2"/>
            <w:tcBorders>
              <w:top w:val="nil"/>
              <w:left w:val="nil"/>
              <w:bottom w:val="nil"/>
              <w:right w:val="nil"/>
            </w:tcBorders>
            <w:shd w:val="clear" w:color="000000" w:fill="FFFFFF"/>
            <w:noWrap/>
            <w:vAlign w:val="center"/>
            <w:hideMark/>
          </w:tcPr>
          <w:p w14:paraId="7E30D735" w14:textId="77777777" w:rsidR="00247CBF" w:rsidRPr="00092ED7" w:rsidRDefault="00247CBF" w:rsidP="00247CBF">
            <w:pPr>
              <w:spacing w:after="0"/>
              <w:jc w:val="left"/>
              <w:rPr>
                <w:rFonts w:eastAsia="Times New Roman" w:cs="Times New Roman"/>
                <w:sz w:val="16"/>
                <w:szCs w:val="16"/>
                <w:lang w:val="sr-Cyrl-CS"/>
              </w:rPr>
            </w:pPr>
            <w:r w:rsidRPr="00092ED7">
              <w:rPr>
                <w:rFonts w:eastAsia="Times New Roman" w:cs="Times New Roman"/>
                <w:sz w:val="16"/>
                <w:szCs w:val="16"/>
                <w:lang w:val="sr-Cyrl-CS"/>
              </w:rPr>
              <w:t> </w:t>
            </w:r>
          </w:p>
        </w:tc>
        <w:tc>
          <w:tcPr>
            <w:tcW w:w="1178" w:type="dxa"/>
            <w:gridSpan w:val="2"/>
            <w:tcBorders>
              <w:top w:val="nil"/>
              <w:left w:val="nil"/>
              <w:bottom w:val="nil"/>
              <w:right w:val="nil"/>
            </w:tcBorders>
            <w:shd w:val="clear" w:color="000000" w:fill="FFFFFF"/>
            <w:noWrap/>
            <w:vAlign w:val="center"/>
            <w:hideMark/>
          </w:tcPr>
          <w:p w14:paraId="32BCFBC0" w14:textId="77777777" w:rsidR="00247CBF" w:rsidRPr="00092ED7" w:rsidRDefault="00247CBF" w:rsidP="00247CBF">
            <w:pPr>
              <w:spacing w:after="0"/>
              <w:jc w:val="left"/>
              <w:rPr>
                <w:rFonts w:eastAsia="Times New Roman" w:cs="Times New Roman"/>
                <w:sz w:val="16"/>
                <w:szCs w:val="16"/>
                <w:lang w:val="sr-Cyrl-CS"/>
              </w:rPr>
            </w:pPr>
            <w:r w:rsidRPr="00092ED7">
              <w:rPr>
                <w:rFonts w:eastAsia="Times New Roman" w:cs="Times New Roman"/>
                <w:sz w:val="16"/>
                <w:szCs w:val="16"/>
                <w:lang w:val="sr-Cyrl-CS"/>
              </w:rPr>
              <w:t> </w:t>
            </w:r>
          </w:p>
        </w:tc>
      </w:tr>
      <w:tr w:rsidR="00247CBF" w:rsidRPr="00092ED7" w14:paraId="17B2F1EF" w14:textId="77777777" w:rsidTr="00247CBF">
        <w:trPr>
          <w:trHeight w:val="227"/>
        </w:trPr>
        <w:tc>
          <w:tcPr>
            <w:tcW w:w="7348" w:type="dxa"/>
            <w:gridSpan w:val="4"/>
            <w:tcBorders>
              <w:top w:val="nil"/>
              <w:left w:val="nil"/>
              <w:bottom w:val="nil"/>
              <w:right w:val="nil"/>
            </w:tcBorders>
            <w:shd w:val="clear" w:color="000000" w:fill="FFFFFF"/>
            <w:noWrap/>
            <w:vAlign w:val="center"/>
            <w:hideMark/>
          </w:tcPr>
          <w:p w14:paraId="436A781F" w14:textId="77777777" w:rsidR="00247CBF" w:rsidRPr="00092ED7" w:rsidRDefault="00247CBF" w:rsidP="00247CBF">
            <w:pPr>
              <w:spacing w:after="0"/>
              <w:jc w:val="left"/>
              <w:rPr>
                <w:sz w:val="16"/>
                <w:szCs w:val="20"/>
                <w:lang w:val="sr-Cyrl-CS"/>
              </w:rPr>
            </w:pPr>
            <w:r w:rsidRPr="00092ED7">
              <w:rPr>
                <w:sz w:val="16"/>
                <w:szCs w:val="20"/>
                <w:lang w:val="sr-Cyrl-CS"/>
              </w:rPr>
              <w:t>[2]   Примарни резултат се израчунава као (EDP.B9, ставка 8) плус (EDP D41 + FISIM приказан као међуфазна потрошња, ставка 9).</w:t>
            </w:r>
          </w:p>
        </w:tc>
        <w:tc>
          <w:tcPr>
            <w:tcW w:w="7536" w:type="dxa"/>
            <w:gridSpan w:val="13"/>
            <w:tcBorders>
              <w:top w:val="nil"/>
              <w:left w:val="nil"/>
              <w:bottom w:val="nil"/>
              <w:right w:val="nil"/>
            </w:tcBorders>
            <w:shd w:val="clear" w:color="000000" w:fill="FFFFFF"/>
            <w:noWrap/>
            <w:vAlign w:val="center"/>
            <w:hideMark/>
          </w:tcPr>
          <w:p w14:paraId="668F04AB" w14:textId="77777777" w:rsidR="00247CBF" w:rsidRPr="00092ED7" w:rsidRDefault="00247CBF" w:rsidP="00247CBF">
            <w:pPr>
              <w:spacing w:after="0"/>
              <w:jc w:val="left"/>
              <w:rPr>
                <w:rFonts w:eastAsia="Times New Roman" w:cs="Times New Roman"/>
                <w:sz w:val="16"/>
                <w:szCs w:val="16"/>
                <w:lang w:val="sr-Cyrl-CS"/>
              </w:rPr>
            </w:pPr>
            <w:r w:rsidRPr="00092ED7">
              <w:rPr>
                <w:rFonts w:eastAsia="Times New Roman" w:cs="Times New Roman"/>
                <w:sz w:val="16"/>
                <w:szCs w:val="16"/>
                <w:lang w:val="sr-Cyrl-CS"/>
              </w:rPr>
              <w:t> </w:t>
            </w:r>
          </w:p>
        </w:tc>
      </w:tr>
      <w:tr w:rsidR="00247CBF" w:rsidRPr="00092ED7" w14:paraId="625A0211" w14:textId="77777777" w:rsidTr="00247CBF">
        <w:trPr>
          <w:trHeight w:val="227"/>
        </w:trPr>
        <w:tc>
          <w:tcPr>
            <w:tcW w:w="6640" w:type="dxa"/>
            <w:gridSpan w:val="3"/>
            <w:tcBorders>
              <w:top w:val="nil"/>
              <w:left w:val="nil"/>
              <w:bottom w:val="nil"/>
              <w:right w:val="nil"/>
            </w:tcBorders>
            <w:shd w:val="clear" w:color="000000" w:fill="FFFFFF"/>
            <w:noWrap/>
            <w:vAlign w:val="center"/>
            <w:hideMark/>
          </w:tcPr>
          <w:p w14:paraId="46F8212F" w14:textId="77777777" w:rsidR="00247CBF" w:rsidRPr="00092ED7" w:rsidRDefault="00247CBF" w:rsidP="00247CBF">
            <w:pPr>
              <w:spacing w:after="0"/>
              <w:jc w:val="left"/>
              <w:rPr>
                <w:sz w:val="16"/>
                <w:szCs w:val="20"/>
                <w:lang w:val="sr-Cyrl-CS"/>
              </w:rPr>
            </w:pPr>
            <w:r w:rsidRPr="00092ED7">
              <w:rPr>
                <w:sz w:val="16"/>
                <w:szCs w:val="20"/>
                <w:lang w:val="sr-Cyrl-CS"/>
              </w:rPr>
              <w:t>[3]   Позитиван знак значи једнократне мере за смањење дефицита.</w:t>
            </w:r>
          </w:p>
        </w:tc>
        <w:tc>
          <w:tcPr>
            <w:tcW w:w="1177" w:type="dxa"/>
            <w:gridSpan w:val="2"/>
            <w:tcBorders>
              <w:top w:val="nil"/>
              <w:left w:val="nil"/>
              <w:bottom w:val="nil"/>
              <w:right w:val="nil"/>
            </w:tcBorders>
            <w:shd w:val="clear" w:color="000000" w:fill="FFFFFF"/>
            <w:noWrap/>
            <w:vAlign w:val="center"/>
            <w:hideMark/>
          </w:tcPr>
          <w:p w14:paraId="381DED3A" w14:textId="77777777" w:rsidR="00247CBF" w:rsidRPr="00092ED7" w:rsidRDefault="00247CBF" w:rsidP="00247CBF">
            <w:pPr>
              <w:spacing w:after="0"/>
              <w:jc w:val="left"/>
              <w:rPr>
                <w:rFonts w:eastAsia="Times New Roman" w:cs="Times New Roman"/>
                <w:sz w:val="16"/>
                <w:szCs w:val="16"/>
                <w:lang w:val="sr-Cyrl-CS"/>
              </w:rPr>
            </w:pPr>
            <w:r w:rsidRPr="00092ED7">
              <w:rPr>
                <w:rFonts w:eastAsia="Times New Roman" w:cs="Times New Roman"/>
                <w:sz w:val="16"/>
                <w:szCs w:val="16"/>
                <w:lang w:val="sr-Cyrl-CS"/>
              </w:rPr>
              <w:t> </w:t>
            </w:r>
          </w:p>
        </w:tc>
        <w:tc>
          <w:tcPr>
            <w:tcW w:w="1178" w:type="dxa"/>
            <w:gridSpan w:val="2"/>
            <w:tcBorders>
              <w:top w:val="nil"/>
              <w:left w:val="nil"/>
              <w:bottom w:val="nil"/>
              <w:right w:val="nil"/>
            </w:tcBorders>
            <w:shd w:val="clear" w:color="000000" w:fill="FFFFFF"/>
            <w:noWrap/>
            <w:vAlign w:val="center"/>
            <w:hideMark/>
          </w:tcPr>
          <w:p w14:paraId="6F22AC26" w14:textId="77777777" w:rsidR="00247CBF" w:rsidRPr="00092ED7" w:rsidRDefault="00247CBF" w:rsidP="00247CBF">
            <w:pPr>
              <w:spacing w:after="0"/>
              <w:jc w:val="left"/>
              <w:rPr>
                <w:rFonts w:eastAsia="Times New Roman" w:cs="Times New Roman"/>
                <w:sz w:val="16"/>
                <w:szCs w:val="16"/>
                <w:lang w:val="sr-Cyrl-CS"/>
              </w:rPr>
            </w:pPr>
            <w:r w:rsidRPr="00092ED7">
              <w:rPr>
                <w:rFonts w:eastAsia="Times New Roman" w:cs="Times New Roman"/>
                <w:sz w:val="16"/>
                <w:szCs w:val="16"/>
                <w:lang w:val="sr-Cyrl-CS"/>
              </w:rPr>
              <w:t> </w:t>
            </w:r>
          </w:p>
        </w:tc>
        <w:tc>
          <w:tcPr>
            <w:tcW w:w="1178" w:type="dxa"/>
            <w:gridSpan w:val="2"/>
            <w:tcBorders>
              <w:top w:val="nil"/>
              <w:left w:val="nil"/>
              <w:bottom w:val="nil"/>
              <w:right w:val="nil"/>
            </w:tcBorders>
            <w:shd w:val="clear" w:color="000000" w:fill="FFFFFF"/>
            <w:noWrap/>
            <w:vAlign w:val="center"/>
            <w:hideMark/>
          </w:tcPr>
          <w:p w14:paraId="20332518" w14:textId="77777777" w:rsidR="00247CBF" w:rsidRPr="00092ED7" w:rsidRDefault="00247CBF" w:rsidP="00247CBF">
            <w:pPr>
              <w:spacing w:after="0"/>
              <w:jc w:val="left"/>
              <w:rPr>
                <w:rFonts w:eastAsia="Times New Roman" w:cs="Times New Roman"/>
                <w:sz w:val="16"/>
                <w:szCs w:val="16"/>
                <w:lang w:val="sr-Cyrl-CS"/>
              </w:rPr>
            </w:pPr>
            <w:r w:rsidRPr="00092ED7">
              <w:rPr>
                <w:rFonts w:eastAsia="Times New Roman" w:cs="Times New Roman"/>
                <w:sz w:val="16"/>
                <w:szCs w:val="16"/>
                <w:lang w:val="sr-Cyrl-CS"/>
              </w:rPr>
              <w:t> </w:t>
            </w:r>
          </w:p>
        </w:tc>
        <w:tc>
          <w:tcPr>
            <w:tcW w:w="1177" w:type="dxa"/>
            <w:gridSpan w:val="2"/>
            <w:tcBorders>
              <w:top w:val="nil"/>
              <w:left w:val="nil"/>
              <w:bottom w:val="nil"/>
              <w:right w:val="nil"/>
            </w:tcBorders>
            <w:shd w:val="clear" w:color="000000" w:fill="FFFFFF"/>
            <w:noWrap/>
            <w:vAlign w:val="center"/>
            <w:hideMark/>
          </w:tcPr>
          <w:p w14:paraId="6522C3C9" w14:textId="77777777" w:rsidR="00247CBF" w:rsidRPr="00092ED7" w:rsidRDefault="00247CBF" w:rsidP="00247CBF">
            <w:pPr>
              <w:spacing w:after="0"/>
              <w:jc w:val="left"/>
              <w:rPr>
                <w:rFonts w:eastAsia="Times New Roman" w:cs="Times New Roman"/>
                <w:sz w:val="16"/>
                <w:szCs w:val="16"/>
                <w:lang w:val="sr-Cyrl-CS"/>
              </w:rPr>
            </w:pPr>
            <w:r w:rsidRPr="00092ED7">
              <w:rPr>
                <w:rFonts w:eastAsia="Times New Roman" w:cs="Times New Roman"/>
                <w:sz w:val="16"/>
                <w:szCs w:val="16"/>
                <w:lang w:val="sr-Cyrl-CS"/>
              </w:rPr>
              <w:t> </w:t>
            </w:r>
          </w:p>
        </w:tc>
        <w:tc>
          <w:tcPr>
            <w:tcW w:w="1178" w:type="dxa"/>
            <w:gridSpan w:val="2"/>
            <w:tcBorders>
              <w:top w:val="nil"/>
              <w:left w:val="nil"/>
              <w:bottom w:val="nil"/>
              <w:right w:val="nil"/>
            </w:tcBorders>
            <w:shd w:val="clear" w:color="000000" w:fill="FFFFFF"/>
            <w:noWrap/>
            <w:vAlign w:val="center"/>
            <w:hideMark/>
          </w:tcPr>
          <w:p w14:paraId="01BDED76" w14:textId="77777777" w:rsidR="00247CBF" w:rsidRPr="00092ED7" w:rsidRDefault="00247CBF" w:rsidP="00247CBF">
            <w:pPr>
              <w:spacing w:after="0"/>
              <w:jc w:val="left"/>
              <w:rPr>
                <w:rFonts w:eastAsia="Times New Roman" w:cs="Times New Roman"/>
                <w:sz w:val="16"/>
                <w:szCs w:val="16"/>
                <w:lang w:val="sr-Cyrl-CS"/>
              </w:rPr>
            </w:pPr>
            <w:r w:rsidRPr="00092ED7">
              <w:rPr>
                <w:rFonts w:eastAsia="Times New Roman" w:cs="Times New Roman"/>
                <w:sz w:val="16"/>
                <w:szCs w:val="16"/>
                <w:lang w:val="sr-Cyrl-CS"/>
              </w:rPr>
              <w:t> </w:t>
            </w:r>
          </w:p>
        </w:tc>
        <w:tc>
          <w:tcPr>
            <w:tcW w:w="1178" w:type="dxa"/>
            <w:gridSpan w:val="2"/>
            <w:tcBorders>
              <w:top w:val="nil"/>
              <w:left w:val="nil"/>
              <w:bottom w:val="nil"/>
              <w:right w:val="nil"/>
            </w:tcBorders>
            <w:shd w:val="clear" w:color="000000" w:fill="FFFFFF"/>
            <w:noWrap/>
            <w:vAlign w:val="center"/>
            <w:hideMark/>
          </w:tcPr>
          <w:p w14:paraId="6E4B6982" w14:textId="77777777" w:rsidR="00247CBF" w:rsidRPr="00092ED7" w:rsidRDefault="00247CBF" w:rsidP="00247CBF">
            <w:pPr>
              <w:spacing w:after="0"/>
              <w:jc w:val="left"/>
              <w:rPr>
                <w:rFonts w:eastAsia="Times New Roman" w:cs="Times New Roman"/>
                <w:sz w:val="16"/>
                <w:szCs w:val="16"/>
                <w:lang w:val="sr-Cyrl-CS"/>
              </w:rPr>
            </w:pPr>
            <w:r w:rsidRPr="00092ED7">
              <w:rPr>
                <w:rFonts w:eastAsia="Times New Roman" w:cs="Times New Roman"/>
                <w:sz w:val="16"/>
                <w:szCs w:val="16"/>
                <w:lang w:val="sr-Cyrl-CS"/>
              </w:rPr>
              <w:t> </w:t>
            </w:r>
          </w:p>
        </w:tc>
        <w:tc>
          <w:tcPr>
            <w:tcW w:w="1178" w:type="dxa"/>
            <w:gridSpan w:val="2"/>
            <w:tcBorders>
              <w:top w:val="nil"/>
              <w:left w:val="nil"/>
              <w:bottom w:val="nil"/>
              <w:right w:val="nil"/>
            </w:tcBorders>
            <w:shd w:val="clear" w:color="000000" w:fill="FFFFFF"/>
            <w:noWrap/>
            <w:vAlign w:val="center"/>
            <w:hideMark/>
          </w:tcPr>
          <w:p w14:paraId="5E1B8F6C" w14:textId="77777777" w:rsidR="00247CBF" w:rsidRPr="00092ED7" w:rsidRDefault="00247CBF" w:rsidP="00247CBF">
            <w:pPr>
              <w:spacing w:after="0"/>
              <w:jc w:val="left"/>
              <w:rPr>
                <w:rFonts w:eastAsia="Times New Roman" w:cs="Times New Roman"/>
                <w:sz w:val="16"/>
                <w:szCs w:val="16"/>
                <w:lang w:val="sr-Cyrl-CS"/>
              </w:rPr>
            </w:pPr>
            <w:r w:rsidRPr="00092ED7">
              <w:rPr>
                <w:rFonts w:eastAsia="Times New Roman" w:cs="Times New Roman"/>
                <w:sz w:val="16"/>
                <w:szCs w:val="16"/>
                <w:lang w:val="sr-Cyrl-CS"/>
              </w:rPr>
              <w:t> </w:t>
            </w:r>
          </w:p>
        </w:tc>
      </w:tr>
      <w:tr w:rsidR="00247CBF" w:rsidRPr="00092ED7" w14:paraId="747A97FC" w14:textId="77777777" w:rsidTr="00247CBF">
        <w:trPr>
          <w:trHeight w:val="227"/>
        </w:trPr>
        <w:tc>
          <w:tcPr>
            <w:tcW w:w="6640" w:type="dxa"/>
            <w:gridSpan w:val="3"/>
            <w:tcBorders>
              <w:top w:val="nil"/>
              <w:left w:val="nil"/>
              <w:bottom w:val="nil"/>
              <w:right w:val="nil"/>
            </w:tcBorders>
            <w:shd w:val="clear" w:color="000000" w:fill="FFFFFF"/>
            <w:noWrap/>
            <w:vAlign w:val="center"/>
            <w:hideMark/>
          </w:tcPr>
          <w:p w14:paraId="320E2C3B" w14:textId="77777777" w:rsidR="00247CBF" w:rsidRPr="00092ED7" w:rsidRDefault="00247CBF" w:rsidP="00247CBF">
            <w:pPr>
              <w:spacing w:after="0"/>
              <w:jc w:val="left"/>
              <w:rPr>
                <w:sz w:val="16"/>
                <w:szCs w:val="20"/>
                <w:lang w:val="sr-Cyrl-CS"/>
              </w:rPr>
            </w:pPr>
            <w:r w:rsidRPr="00092ED7">
              <w:rPr>
                <w:sz w:val="16"/>
                <w:szCs w:val="20"/>
                <w:lang w:val="sr-Cyrl-CS"/>
              </w:rPr>
              <w:t>[4]   P.11+P.12+P.131+D.39+D.7+D.9 (осим D.91).</w:t>
            </w:r>
          </w:p>
        </w:tc>
        <w:tc>
          <w:tcPr>
            <w:tcW w:w="1177" w:type="dxa"/>
            <w:gridSpan w:val="2"/>
            <w:tcBorders>
              <w:top w:val="nil"/>
              <w:left w:val="nil"/>
              <w:bottom w:val="nil"/>
              <w:right w:val="nil"/>
            </w:tcBorders>
            <w:shd w:val="clear" w:color="000000" w:fill="FFFFFF"/>
            <w:noWrap/>
            <w:vAlign w:val="center"/>
            <w:hideMark/>
          </w:tcPr>
          <w:p w14:paraId="64C3960B" w14:textId="77777777" w:rsidR="00247CBF" w:rsidRPr="00092ED7" w:rsidRDefault="00247CBF" w:rsidP="00247CBF">
            <w:pPr>
              <w:spacing w:after="0"/>
              <w:jc w:val="left"/>
              <w:rPr>
                <w:rFonts w:eastAsia="Times New Roman" w:cs="Times New Roman"/>
                <w:sz w:val="16"/>
                <w:szCs w:val="16"/>
                <w:lang w:val="sr-Cyrl-CS"/>
              </w:rPr>
            </w:pPr>
            <w:r w:rsidRPr="00092ED7">
              <w:rPr>
                <w:rFonts w:eastAsia="Times New Roman" w:cs="Times New Roman"/>
                <w:sz w:val="16"/>
                <w:szCs w:val="16"/>
                <w:lang w:val="sr-Cyrl-CS"/>
              </w:rPr>
              <w:t> </w:t>
            </w:r>
          </w:p>
        </w:tc>
        <w:tc>
          <w:tcPr>
            <w:tcW w:w="1178" w:type="dxa"/>
            <w:gridSpan w:val="2"/>
            <w:tcBorders>
              <w:top w:val="nil"/>
              <w:left w:val="nil"/>
              <w:bottom w:val="nil"/>
              <w:right w:val="nil"/>
            </w:tcBorders>
            <w:shd w:val="clear" w:color="000000" w:fill="FFFFFF"/>
            <w:noWrap/>
            <w:vAlign w:val="center"/>
            <w:hideMark/>
          </w:tcPr>
          <w:p w14:paraId="3E601031" w14:textId="77777777" w:rsidR="00247CBF" w:rsidRPr="00092ED7" w:rsidRDefault="00247CBF" w:rsidP="00247CBF">
            <w:pPr>
              <w:spacing w:after="0"/>
              <w:jc w:val="left"/>
              <w:rPr>
                <w:rFonts w:eastAsia="Times New Roman" w:cs="Times New Roman"/>
                <w:sz w:val="16"/>
                <w:szCs w:val="16"/>
                <w:lang w:val="sr-Cyrl-CS"/>
              </w:rPr>
            </w:pPr>
            <w:r w:rsidRPr="00092ED7">
              <w:rPr>
                <w:rFonts w:eastAsia="Times New Roman" w:cs="Times New Roman"/>
                <w:sz w:val="16"/>
                <w:szCs w:val="16"/>
                <w:lang w:val="sr-Cyrl-CS"/>
              </w:rPr>
              <w:t> </w:t>
            </w:r>
          </w:p>
        </w:tc>
        <w:tc>
          <w:tcPr>
            <w:tcW w:w="1178" w:type="dxa"/>
            <w:gridSpan w:val="2"/>
            <w:tcBorders>
              <w:top w:val="nil"/>
              <w:left w:val="nil"/>
              <w:bottom w:val="nil"/>
              <w:right w:val="nil"/>
            </w:tcBorders>
            <w:shd w:val="clear" w:color="000000" w:fill="FFFFFF"/>
            <w:noWrap/>
            <w:vAlign w:val="center"/>
            <w:hideMark/>
          </w:tcPr>
          <w:p w14:paraId="065A0CBC" w14:textId="77777777" w:rsidR="00247CBF" w:rsidRPr="00092ED7" w:rsidRDefault="00247CBF" w:rsidP="00247CBF">
            <w:pPr>
              <w:spacing w:after="0"/>
              <w:jc w:val="left"/>
              <w:rPr>
                <w:rFonts w:eastAsia="Times New Roman" w:cs="Times New Roman"/>
                <w:sz w:val="16"/>
                <w:szCs w:val="16"/>
                <w:lang w:val="sr-Cyrl-CS"/>
              </w:rPr>
            </w:pPr>
            <w:r w:rsidRPr="00092ED7">
              <w:rPr>
                <w:rFonts w:eastAsia="Times New Roman" w:cs="Times New Roman"/>
                <w:sz w:val="16"/>
                <w:szCs w:val="16"/>
                <w:lang w:val="sr-Cyrl-CS"/>
              </w:rPr>
              <w:t> </w:t>
            </w:r>
          </w:p>
        </w:tc>
        <w:tc>
          <w:tcPr>
            <w:tcW w:w="1177" w:type="dxa"/>
            <w:gridSpan w:val="2"/>
            <w:tcBorders>
              <w:top w:val="nil"/>
              <w:left w:val="nil"/>
              <w:bottom w:val="nil"/>
              <w:right w:val="nil"/>
            </w:tcBorders>
            <w:shd w:val="clear" w:color="000000" w:fill="FFFFFF"/>
            <w:noWrap/>
            <w:vAlign w:val="center"/>
            <w:hideMark/>
          </w:tcPr>
          <w:p w14:paraId="47A72F1C" w14:textId="77777777" w:rsidR="00247CBF" w:rsidRPr="00092ED7" w:rsidRDefault="00247CBF" w:rsidP="00247CBF">
            <w:pPr>
              <w:spacing w:after="0"/>
              <w:jc w:val="left"/>
              <w:rPr>
                <w:rFonts w:eastAsia="Times New Roman" w:cs="Times New Roman"/>
                <w:sz w:val="16"/>
                <w:szCs w:val="16"/>
                <w:lang w:val="sr-Cyrl-CS"/>
              </w:rPr>
            </w:pPr>
            <w:r w:rsidRPr="00092ED7">
              <w:rPr>
                <w:rFonts w:eastAsia="Times New Roman" w:cs="Times New Roman"/>
                <w:sz w:val="16"/>
                <w:szCs w:val="16"/>
                <w:lang w:val="sr-Cyrl-CS"/>
              </w:rPr>
              <w:t> </w:t>
            </w:r>
          </w:p>
        </w:tc>
        <w:tc>
          <w:tcPr>
            <w:tcW w:w="1178" w:type="dxa"/>
            <w:gridSpan w:val="2"/>
            <w:tcBorders>
              <w:top w:val="nil"/>
              <w:left w:val="nil"/>
              <w:bottom w:val="nil"/>
              <w:right w:val="nil"/>
            </w:tcBorders>
            <w:shd w:val="clear" w:color="000000" w:fill="FFFFFF"/>
            <w:noWrap/>
            <w:vAlign w:val="center"/>
            <w:hideMark/>
          </w:tcPr>
          <w:p w14:paraId="73C72274" w14:textId="77777777" w:rsidR="00247CBF" w:rsidRPr="00092ED7" w:rsidRDefault="00247CBF" w:rsidP="00247CBF">
            <w:pPr>
              <w:spacing w:after="0"/>
              <w:jc w:val="left"/>
              <w:rPr>
                <w:rFonts w:eastAsia="Times New Roman" w:cs="Times New Roman"/>
                <w:sz w:val="16"/>
                <w:szCs w:val="16"/>
                <w:lang w:val="sr-Cyrl-CS"/>
              </w:rPr>
            </w:pPr>
            <w:r w:rsidRPr="00092ED7">
              <w:rPr>
                <w:rFonts w:eastAsia="Times New Roman" w:cs="Times New Roman"/>
                <w:sz w:val="16"/>
                <w:szCs w:val="16"/>
                <w:lang w:val="sr-Cyrl-CS"/>
              </w:rPr>
              <w:t> </w:t>
            </w:r>
          </w:p>
        </w:tc>
        <w:tc>
          <w:tcPr>
            <w:tcW w:w="1178" w:type="dxa"/>
            <w:gridSpan w:val="2"/>
            <w:tcBorders>
              <w:top w:val="nil"/>
              <w:left w:val="nil"/>
              <w:bottom w:val="nil"/>
              <w:right w:val="nil"/>
            </w:tcBorders>
            <w:shd w:val="clear" w:color="000000" w:fill="FFFFFF"/>
            <w:noWrap/>
            <w:vAlign w:val="center"/>
            <w:hideMark/>
          </w:tcPr>
          <w:p w14:paraId="3981C1D0" w14:textId="77777777" w:rsidR="00247CBF" w:rsidRPr="00092ED7" w:rsidRDefault="00247CBF" w:rsidP="00247CBF">
            <w:pPr>
              <w:spacing w:after="0"/>
              <w:jc w:val="left"/>
              <w:rPr>
                <w:rFonts w:eastAsia="Times New Roman" w:cs="Times New Roman"/>
                <w:sz w:val="16"/>
                <w:szCs w:val="16"/>
                <w:lang w:val="sr-Cyrl-CS"/>
              </w:rPr>
            </w:pPr>
            <w:r w:rsidRPr="00092ED7">
              <w:rPr>
                <w:rFonts w:eastAsia="Times New Roman" w:cs="Times New Roman"/>
                <w:sz w:val="16"/>
                <w:szCs w:val="16"/>
                <w:lang w:val="sr-Cyrl-CS"/>
              </w:rPr>
              <w:t> </w:t>
            </w:r>
          </w:p>
        </w:tc>
        <w:tc>
          <w:tcPr>
            <w:tcW w:w="1178" w:type="dxa"/>
            <w:gridSpan w:val="2"/>
            <w:tcBorders>
              <w:top w:val="nil"/>
              <w:left w:val="nil"/>
              <w:bottom w:val="nil"/>
              <w:right w:val="nil"/>
            </w:tcBorders>
            <w:shd w:val="clear" w:color="000000" w:fill="FFFFFF"/>
            <w:noWrap/>
            <w:vAlign w:val="center"/>
            <w:hideMark/>
          </w:tcPr>
          <w:p w14:paraId="41F52433" w14:textId="77777777" w:rsidR="00247CBF" w:rsidRPr="00092ED7" w:rsidRDefault="00247CBF" w:rsidP="00247CBF">
            <w:pPr>
              <w:spacing w:after="0"/>
              <w:jc w:val="left"/>
              <w:rPr>
                <w:rFonts w:eastAsia="Times New Roman" w:cs="Times New Roman"/>
                <w:sz w:val="16"/>
                <w:szCs w:val="16"/>
                <w:lang w:val="sr-Cyrl-CS"/>
              </w:rPr>
            </w:pPr>
            <w:r w:rsidRPr="00092ED7">
              <w:rPr>
                <w:rFonts w:eastAsia="Times New Roman" w:cs="Times New Roman"/>
                <w:sz w:val="16"/>
                <w:szCs w:val="16"/>
                <w:lang w:val="sr-Cyrl-CS"/>
              </w:rPr>
              <w:t> </w:t>
            </w:r>
          </w:p>
        </w:tc>
      </w:tr>
      <w:tr w:rsidR="00247CBF" w:rsidRPr="00092ED7" w14:paraId="61C3E683" w14:textId="77777777" w:rsidTr="00247CBF">
        <w:trPr>
          <w:trHeight w:val="227"/>
        </w:trPr>
        <w:tc>
          <w:tcPr>
            <w:tcW w:w="7348" w:type="dxa"/>
            <w:gridSpan w:val="4"/>
            <w:tcBorders>
              <w:top w:val="nil"/>
              <w:left w:val="nil"/>
              <w:bottom w:val="nil"/>
              <w:right w:val="nil"/>
            </w:tcBorders>
            <w:shd w:val="clear" w:color="000000" w:fill="FFFFFF"/>
            <w:noWrap/>
            <w:vAlign w:val="center"/>
            <w:hideMark/>
          </w:tcPr>
          <w:p w14:paraId="1E258820" w14:textId="77777777" w:rsidR="00247CBF" w:rsidRPr="00092ED7" w:rsidRDefault="00247CBF" w:rsidP="00247CBF">
            <w:pPr>
              <w:spacing w:after="0"/>
              <w:jc w:val="left"/>
              <w:rPr>
                <w:sz w:val="16"/>
                <w:szCs w:val="20"/>
                <w:lang w:val="sr-Cyrl-CS"/>
              </w:rPr>
            </w:pPr>
            <w:r w:rsidRPr="00092ED7">
              <w:rPr>
                <w:sz w:val="16"/>
                <w:szCs w:val="20"/>
                <w:lang w:val="sr-Cyrl-CS"/>
              </w:rPr>
              <w:t>[5]   Укључујући оне које наплаћује ЕУ и укључујући корекцију за ненаплаћене порезе и доприносе за социјално осигурање (D995), где је то случај.</w:t>
            </w:r>
          </w:p>
        </w:tc>
        <w:tc>
          <w:tcPr>
            <w:tcW w:w="7536" w:type="dxa"/>
            <w:gridSpan w:val="13"/>
            <w:tcBorders>
              <w:top w:val="nil"/>
              <w:left w:val="nil"/>
              <w:bottom w:val="nil"/>
              <w:right w:val="nil"/>
            </w:tcBorders>
            <w:shd w:val="clear" w:color="000000" w:fill="FFFFFF"/>
            <w:noWrap/>
            <w:vAlign w:val="center"/>
            <w:hideMark/>
          </w:tcPr>
          <w:p w14:paraId="20E3E48E" w14:textId="77777777" w:rsidR="00247CBF" w:rsidRPr="00092ED7" w:rsidRDefault="00247CBF" w:rsidP="00247CBF">
            <w:pPr>
              <w:spacing w:after="0"/>
              <w:jc w:val="left"/>
              <w:rPr>
                <w:rFonts w:eastAsia="Times New Roman" w:cs="Times New Roman"/>
                <w:sz w:val="16"/>
                <w:szCs w:val="16"/>
                <w:lang w:val="sr-Cyrl-CS"/>
              </w:rPr>
            </w:pPr>
            <w:r w:rsidRPr="00092ED7">
              <w:rPr>
                <w:rFonts w:eastAsia="Times New Roman" w:cs="Times New Roman"/>
                <w:sz w:val="16"/>
                <w:szCs w:val="16"/>
                <w:lang w:val="sr-Cyrl-CS"/>
              </w:rPr>
              <w:t> </w:t>
            </w:r>
          </w:p>
        </w:tc>
      </w:tr>
      <w:tr w:rsidR="00247CBF" w:rsidRPr="00092ED7" w14:paraId="23A5C413" w14:textId="77777777" w:rsidTr="00247CBF">
        <w:trPr>
          <w:trHeight w:val="227"/>
        </w:trPr>
        <w:tc>
          <w:tcPr>
            <w:tcW w:w="6640" w:type="dxa"/>
            <w:gridSpan w:val="3"/>
            <w:tcBorders>
              <w:top w:val="nil"/>
              <w:left w:val="nil"/>
              <w:bottom w:val="nil"/>
              <w:right w:val="nil"/>
            </w:tcBorders>
            <w:shd w:val="clear" w:color="000000" w:fill="FFFFFF"/>
            <w:noWrap/>
            <w:vAlign w:val="center"/>
            <w:hideMark/>
          </w:tcPr>
          <w:p w14:paraId="336F2202" w14:textId="77777777" w:rsidR="00247CBF" w:rsidRPr="00092ED7" w:rsidRDefault="00247CBF" w:rsidP="00247CBF">
            <w:pPr>
              <w:spacing w:after="0"/>
              <w:jc w:val="left"/>
              <w:rPr>
                <w:sz w:val="16"/>
                <w:szCs w:val="20"/>
                <w:lang w:val="sr-Cyrl-CS"/>
              </w:rPr>
            </w:pPr>
            <w:r w:rsidRPr="00092ED7">
              <w:rPr>
                <w:sz w:val="16"/>
                <w:szCs w:val="20"/>
                <w:lang w:val="sr-Cyrl-CS"/>
              </w:rPr>
              <w:t>[6]  D.29+D4 (осим D.41)+ D.5+D.7+D.9+P.52+P.53+K.2+D.8</w:t>
            </w:r>
          </w:p>
        </w:tc>
        <w:tc>
          <w:tcPr>
            <w:tcW w:w="1177" w:type="dxa"/>
            <w:gridSpan w:val="2"/>
            <w:tcBorders>
              <w:top w:val="nil"/>
              <w:left w:val="nil"/>
              <w:bottom w:val="nil"/>
              <w:right w:val="nil"/>
            </w:tcBorders>
            <w:shd w:val="clear" w:color="000000" w:fill="FFFFFF"/>
            <w:noWrap/>
            <w:vAlign w:val="center"/>
            <w:hideMark/>
          </w:tcPr>
          <w:p w14:paraId="49786837" w14:textId="77777777" w:rsidR="00247CBF" w:rsidRPr="00092ED7" w:rsidRDefault="00247CBF" w:rsidP="00247CBF">
            <w:pPr>
              <w:spacing w:after="0"/>
              <w:jc w:val="left"/>
              <w:rPr>
                <w:rFonts w:eastAsia="Times New Roman" w:cs="Times New Roman"/>
                <w:sz w:val="16"/>
                <w:szCs w:val="16"/>
                <w:lang w:val="sr-Cyrl-CS"/>
              </w:rPr>
            </w:pPr>
            <w:r w:rsidRPr="00092ED7">
              <w:rPr>
                <w:rFonts w:eastAsia="Times New Roman" w:cs="Times New Roman"/>
                <w:sz w:val="16"/>
                <w:szCs w:val="16"/>
                <w:lang w:val="sr-Cyrl-CS"/>
              </w:rPr>
              <w:t> </w:t>
            </w:r>
          </w:p>
        </w:tc>
        <w:tc>
          <w:tcPr>
            <w:tcW w:w="1178" w:type="dxa"/>
            <w:gridSpan w:val="2"/>
            <w:tcBorders>
              <w:top w:val="nil"/>
              <w:left w:val="nil"/>
              <w:bottom w:val="nil"/>
              <w:right w:val="nil"/>
            </w:tcBorders>
            <w:shd w:val="clear" w:color="000000" w:fill="FFFFFF"/>
            <w:noWrap/>
            <w:vAlign w:val="center"/>
            <w:hideMark/>
          </w:tcPr>
          <w:p w14:paraId="2B42D661" w14:textId="77777777" w:rsidR="00247CBF" w:rsidRPr="00092ED7" w:rsidRDefault="00247CBF" w:rsidP="00247CBF">
            <w:pPr>
              <w:spacing w:after="0"/>
              <w:jc w:val="left"/>
              <w:rPr>
                <w:rFonts w:eastAsia="Times New Roman" w:cs="Times New Roman"/>
                <w:sz w:val="16"/>
                <w:szCs w:val="16"/>
                <w:lang w:val="sr-Cyrl-CS"/>
              </w:rPr>
            </w:pPr>
            <w:r w:rsidRPr="00092ED7">
              <w:rPr>
                <w:rFonts w:eastAsia="Times New Roman" w:cs="Times New Roman"/>
                <w:sz w:val="16"/>
                <w:szCs w:val="16"/>
                <w:lang w:val="sr-Cyrl-CS"/>
              </w:rPr>
              <w:t> </w:t>
            </w:r>
          </w:p>
        </w:tc>
        <w:tc>
          <w:tcPr>
            <w:tcW w:w="1178" w:type="dxa"/>
            <w:gridSpan w:val="2"/>
            <w:tcBorders>
              <w:top w:val="nil"/>
              <w:left w:val="nil"/>
              <w:bottom w:val="nil"/>
              <w:right w:val="nil"/>
            </w:tcBorders>
            <w:shd w:val="clear" w:color="000000" w:fill="FFFFFF"/>
            <w:noWrap/>
            <w:vAlign w:val="center"/>
            <w:hideMark/>
          </w:tcPr>
          <w:p w14:paraId="3E271D42" w14:textId="77777777" w:rsidR="00247CBF" w:rsidRPr="00092ED7" w:rsidRDefault="00247CBF" w:rsidP="00247CBF">
            <w:pPr>
              <w:spacing w:after="0"/>
              <w:jc w:val="left"/>
              <w:rPr>
                <w:rFonts w:eastAsia="Times New Roman" w:cs="Times New Roman"/>
                <w:sz w:val="16"/>
                <w:szCs w:val="16"/>
                <w:lang w:val="sr-Cyrl-CS"/>
              </w:rPr>
            </w:pPr>
            <w:r w:rsidRPr="00092ED7">
              <w:rPr>
                <w:rFonts w:eastAsia="Times New Roman" w:cs="Times New Roman"/>
                <w:sz w:val="16"/>
                <w:szCs w:val="16"/>
                <w:lang w:val="sr-Cyrl-CS"/>
              </w:rPr>
              <w:t> </w:t>
            </w:r>
          </w:p>
        </w:tc>
        <w:tc>
          <w:tcPr>
            <w:tcW w:w="1177" w:type="dxa"/>
            <w:gridSpan w:val="2"/>
            <w:tcBorders>
              <w:top w:val="nil"/>
              <w:left w:val="nil"/>
              <w:bottom w:val="nil"/>
              <w:right w:val="nil"/>
            </w:tcBorders>
            <w:shd w:val="clear" w:color="000000" w:fill="FFFFFF"/>
            <w:noWrap/>
            <w:vAlign w:val="center"/>
            <w:hideMark/>
          </w:tcPr>
          <w:p w14:paraId="7D9A3488" w14:textId="77777777" w:rsidR="00247CBF" w:rsidRPr="00092ED7" w:rsidRDefault="00247CBF" w:rsidP="00247CBF">
            <w:pPr>
              <w:spacing w:after="0"/>
              <w:jc w:val="left"/>
              <w:rPr>
                <w:rFonts w:eastAsia="Times New Roman" w:cs="Times New Roman"/>
                <w:sz w:val="16"/>
                <w:szCs w:val="16"/>
                <w:lang w:val="sr-Cyrl-CS"/>
              </w:rPr>
            </w:pPr>
            <w:r w:rsidRPr="00092ED7">
              <w:rPr>
                <w:rFonts w:eastAsia="Times New Roman" w:cs="Times New Roman"/>
                <w:sz w:val="16"/>
                <w:szCs w:val="16"/>
                <w:lang w:val="sr-Cyrl-CS"/>
              </w:rPr>
              <w:t> </w:t>
            </w:r>
          </w:p>
        </w:tc>
        <w:tc>
          <w:tcPr>
            <w:tcW w:w="1178" w:type="dxa"/>
            <w:gridSpan w:val="2"/>
            <w:tcBorders>
              <w:top w:val="nil"/>
              <w:left w:val="nil"/>
              <w:bottom w:val="nil"/>
              <w:right w:val="nil"/>
            </w:tcBorders>
            <w:shd w:val="clear" w:color="000000" w:fill="FFFFFF"/>
            <w:noWrap/>
            <w:vAlign w:val="center"/>
            <w:hideMark/>
          </w:tcPr>
          <w:p w14:paraId="1FDE3128" w14:textId="77777777" w:rsidR="00247CBF" w:rsidRPr="00092ED7" w:rsidRDefault="00247CBF" w:rsidP="00247CBF">
            <w:pPr>
              <w:spacing w:after="0"/>
              <w:jc w:val="left"/>
              <w:rPr>
                <w:rFonts w:eastAsia="Times New Roman" w:cs="Times New Roman"/>
                <w:sz w:val="16"/>
                <w:szCs w:val="16"/>
                <w:lang w:val="sr-Cyrl-CS"/>
              </w:rPr>
            </w:pPr>
            <w:r w:rsidRPr="00092ED7">
              <w:rPr>
                <w:rFonts w:eastAsia="Times New Roman" w:cs="Times New Roman"/>
                <w:sz w:val="16"/>
                <w:szCs w:val="16"/>
                <w:lang w:val="sr-Cyrl-CS"/>
              </w:rPr>
              <w:t> </w:t>
            </w:r>
          </w:p>
        </w:tc>
        <w:tc>
          <w:tcPr>
            <w:tcW w:w="1178" w:type="dxa"/>
            <w:gridSpan w:val="2"/>
            <w:tcBorders>
              <w:top w:val="nil"/>
              <w:left w:val="nil"/>
              <w:bottom w:val="nil"/>
              <w:right w:val="nil"/>
            </w:tcBorders>
            <w:shd w:val="clear" w:color="000000" w:fill="FFFFFF"/>
            <w:noWrap/>
            <w:vAlign w:val="center"/>
            <w:hideMark/>
          </w:tcPr>
          <w:p w14:paraId="2A1086CD" w14:textId="77777777" w:rsidR="00247CBF" w:rsidRPr="00092ED7" w:rsidRDefault="00247CBF" w:rsidP="00247CBF">
            <w:pPr>
              <w:spacing w:after="0"/>
              <w:jc w:val="left"/>
              <w:rPr>
                <w:rFonts w:eastAsia="Times New Roman" w:cs="Times New Roman"/>
                <w:sz w:val="16"/>
                <w:szCs w:val="16"/>
                <w:lang w:val="sr-Cyrl-CS"/>
              </w:rPr>
            </w:pPr>
            <w:r w:rsidRPr="00092ED7">
              <w:rPr>
                <w:rFonts w:eastAsia="Times New Roman" w:cs="Times New Roman"/>
                <w:sz w:val="16"/>
                <w:szCs w:val="16"/>
                <w:lang w:val="sr-Cyrl-CS"/>
              </w:rPr>
              <w:t> </w:t>
            </w:r>
          </w:p>
        </w:tc>
        <w:tc>
          <w:tcPr>
            <w:tcW w:w="1178" w:type="dxa"/>
            <w:gridSpan w:val="2"/>
            <w:tcBorders>
              <w:top w:val="nil"/>
              <w:left w:val="nil"/>
              <w:bottom w:val="nil"/>
              <w:right w:val="nil"/>
            </w:tcBorders>
            <w:shd w:val="clear" w:color="000000" w:fill="FFFFFF"/>
            <w:noWrap/>
            <w:vAlign w:val="center"/>
            <w:hideMark/>
          </w:tcPr>
          <w:p w14:paraId="571033F3" w14:textId="77777777" w:rsidR="00247CBF" w:rsidRPr="00092ED7" w:rsidRDefault="00247CBF" w:rsidP="00247CBF">
            <w:pPr>
              <w:spacing w:after="0"/>
              <w:jc w:val="left"/>
              <w:rPr>
                <w:rFonts w:eastAsia="Times New Roman" w:cs="Times New Roman"/>
                <w:sz w:val="16"/>
                <w:szCs w:val="16"/>
                <w:lang w:val="sr-Cyrl-CS"/>
              </w:rPr>
            </w:pPr>
            <w:r w:rsidRPr="00092ED7">
              <w:rPr>
                <w:rFonts w:eastAsia="Times New Roman" w:cs="Times New Roman"/>
                <w:sz w:val="16"/>
                <w:szCs w:val="16"/>
                <w:lang w:val="sr-Cyrl-CS"/>
              </w:rPr>
              <w:t> </w:t>
            </w:r>
          </w:p>
        </w:tc>
      </w:tr>
    </w:tbl>
    <w:p w14:paraId="295FDBBB" w14:textId="77777777" w:rsidR="00247CBF" w:rsidRPr="00092ED7" w:rsidRDefault="00247CBF" w:rsidP="00247CBF">
      <w:pPr>
        <w:rPr>
          <w:lang w:val="sr-Cyrl-CS"/>
        </w:rPr>
      </w:pPr>
    </w:p>
    <w:p w14:paraId="5D7D4BB4" w14:textId="77777777" w:rsidR="00247CBF" w:rsidRPr="00092ED7" w:rsidRDefault="00247CBF" w:rsidP="00247CBF">
      <w:pPr>
        <w:spacing w:after="160" w:line="259" w:lineRule="auto"/>
        <w:rPr>
          <w:rFonts w:cs="Times New Roman"/>
          <w:lang w:val="sr-Cyrl-CS"/>
        </w:rPr>
      </w:pPr>
      <w:r w:rsidRPr="00092ED7">
        <w:rPr>
          <w:rFonts w:cs="Times New Roman"/>
          <w:lang w:val="sr-Cyrl-CS"/>
        </w:rPr>
        <w:br w:type="page"/>
      </w:r>
    </w:p>
    <w:tbl>
      <w:tblPr>
        <w:tblW w:w="5026" w:type="pct"/>
        <w:tblLayout w:type="fixed"/>
        <w:tblLook w:val="04A0" w:firstRow="1" w:lastRow="0" w:firstColumn="1" w:lastColumn="0" w:noHBand="0" w:noVBand="1"/>
      </w:tblPr>
      <w:tblGrid>
        <w:gridCol w:w="7786"/>
        <w:gridCol w:w="293"/>
        <w:gridCol w:w="984"/>
        <w:gridCol w:w="431"/>
        <w:gridCol w:w="518"/>
        <w:gridCol w:w="513"/>
        <w:gridCol w:w="636"/>
        <w:gridCol w:w="395"/>
        <w:gridCol w:w="753"/>
        <w:gridCol w:w="278"/>
        <w:gridCol w:w="1031"/>
        <w:gridCol w:w="987"/>
        <w:gridCol w:w="41"/>
      </w:tblGrid>
      <w:tr w:rsidR="00247CBF" w:rsidRPr="00092ED7" w14:paraId="0A02714D" w14:textId="77777777" w:rsidTr="00247CBF">
        <w:trPr>
          <w:gridAfter w:val="1"/>
          <w:wAfter w:w="14" w:type="pct"/>
          <w:trHeight w:val="227"/>
        </w:trPr>
        <w:tc>
          <w:tcPr>
            <w:tcW w:w="3094" w:type="pct"/>
            <w:gridSpan w:val="3"/>
            <w:tcBorders>
              <w:top w:val="nil"/>
              <w:left w:val="nil"/>
              <w:bottom w:val="nil"/>
              <w:right w:val="nil"/>
            </w:tcBorders>
            <w:shd w:val="clear" w:color="000000" w:fill="FFFFFF"/>
            <w:noWrap/>
            <w:vAlign w:val="center"/>
            <w:hideMark/>
          </w:tcPr>
          <w:p w14:paraId="2ACE3021" w14:textId="77777777" w:rsidR="00247CBF" w:rsidRPr="00092ED7" w:rsidRDefault="00247CBF" w:rsidP="00603975">
            <w:pPr>
              <w:spacing w:line="230" w:lineRule="auto"/>
              <w:rPr>
                <w:rFonts w:eastAsia="Times New Roman" w:cs="Times New Roman"/>
                <w:b/>
                <w:sz w:val="20"/>
                <w:szCs w:val="20"/>
                <w:lang w:val="sr-Cyrl-CS"/>
              </w:rPr>
            </w:pPr>
            <w:r w:rsidRPr="00092ED7">
              <w:rPr>
                <w:rFonts w:eastAsia="Times New Roman" w:cs="Times New Roman"/>
                <w:b/>
                <w:sz w:val="20"/>
                <w:szCs w:val="20"/>
                <w:lang w:val="sr-Cyrl-CS"/>
              </w:rPr>
              <w:lastRenderedPageBreak/>
              <w:t>Taбела 2b: Буџетски изгледи општег нивоа државе</w:t>
            </w:r>
          </w:p>
        </w:tc>
        <w:tc>
          <w:tcPr>
            <w:tcW w:w="324" w:type="pct"/>
            <w:gridSpan w:val="2"/>
            <w:tcBorders>
              <w:top w:val="nil"/>
              <w:left w:val="nil"/>
              <w:bottom w:val="nil"/>
              <w:right w:val="nil"/>
            </w:tcBorders>
            <w:shd w:val="clear" w:color="000000" w:fill="FFFFFF"/>
            <w:noWrap/>
            <w:vAlign w:val="center"/>
            <w:hideMark/>
          </w:tcPr>
          <w:p w14:paraId="43191F81" w14:textId="77777777" w:rsidR="00247CBF" w:rsidRPr="00092ED7" w:rsidRDefault="00247CBF" w:rsidP="00603975">
            <w:pPr>
              <w:spacing w:line="230" w:lineRule="auto"/>
              <w:rPr>
                <w:rFonts w:eastAsia="Times New Roman" w:cs="Times New Roman"/>
                <w:b/>
                <w:sz w:val="20"/>
                <w:szCs w:val="20"/>
                <w:lang w:val="sr-Cyrl-CS"/>
              </w:rPr>
            </w:pPr>
            <w:r w:rsidRPr="00092ED7">
              <w:rPr>
                <w:rFonts w:eastAsia="Times New Roman" w:cs="Times New Roman"/>
                <w:b/>
                <w:sz w:val="20"/>
                <w:szCs w:val="20"/>
                <w:lang w:val="sr-Cyrl-CS"/>
              </w:rPr>
              <w:t> </w:t>
            </w:r>
          </w:p>
        </w:tc>
        <w:tc>
          <w:tcPr>
            <w:tcW w:w="392" w:type="pct"/>
            <w:gridSpan w:val="2"/>
            <w:tcBorders>
              <w:top w:val="nil"/>
              <w:left w:val="nil"/>
              <w:bottom w:val="nil"/>
              <w:right w:val="nil"/>
            </w:tcBorders>
            <w:shd w:val="clear" w:color="000000" w:fill="FFFFFF"/>
            <w:noWrap/>
            <w:vAlign w:val="center"/>
            <w:hideMark/>
          </w:tcPr>
          <w:p w14:paraId="35DA7693" w14:textId="77777777" w:rsidR="00247CBF" w:rsidRPr="00092ED7" w:rsidRDefault="00247CBF" w:rsidP="00603975">
            <w:pPr>
              <w:spacing w:line="230" w:lineRule="auto"/>
              <w:rPr>
                <w:rFonts w:eastAsia="Times New Roman" w:cs="Times New Roman"/>
                <w:b/>
                <w:sz w:val="20"/>
                <w:szCs w:val="20"/>
                <w:lang w:val="sr-Cyrl-CS"/>
              </w:rPr>
            </w:pPr>
            <w:r w:rsidRPr="00092ED7">
              <w:rPr>
                <w:rFonts w:eastAsia="Times New Roman" w:cs="Times New Roman"/>
                <w:b/>
                <w:sz w:val="20"/>
                <w:szCs w:val="20"/>
                <w:lang w:val="sr-Cyrl-CS"/>
              </w:rPr>
              <w:t> </w:t>
            </w:r>
          </w:p>
        </w:tc>
        <w:tc>
          <w:tcPr>
            <w:tcW w:w="392" w:type="pct"/>
            <w:gridSpan w:val="2"/>
            <w:tcBorders>
              <w:top w:val="nil"/>
              <w:left w:val="nil"/>
              <w:bottom w:val="nil"/>
              <w:right w:val="nil"/>
            </w:tcBorders>
            <w:shd w:val="clear" w:color="000000" w:fill="FFFFFF"/>
            <w:noWrap/>
            <w:vAlign w:val="center"/>
            <w:hideMark/>
          </w:tcPr>
          <w:p w14:paraId="1903AFA9" w14:textId="77777777" w:rsidR="00247CBF" w:rsidRPr="00092ED7" w:rsidRDefault="00247CBF" w:rsidP="00603975">
            <w:pPr>
              <w:spacing w:line="230" w:lineRule="auto"/>
              <w:rPr>
                <w:rFonts w:eastAsia="Times New Roman" w:cs="Times New Roman"/>
                <w:b/>
                <w:sz w:val="20"/>
                <w:szCs w:val="20"/>
                <w:lang w:val="sr-Cyrl-CS"/>
              </w:rPr>
            </w:pPr>
            <w:r w:rsidRPr="00092ED7">
              <w:rPr>
                <w:rFonts w:eastAsia="Times New Roman" w:cs="Times New Roman"/>
                <w:b/>
                <w:sz w:val="20"/>
                <w:szCs w:val="20"/>
                <w:lang w:val="sr-Cyrl-CS"/>
              </w:rPr>
              <w:t> </w:t>
            </w:r>
          </w:p>
        </w:tc>
        <w:tc>
          <w:tcPr>
            <w:tcW w:w="784" w:type="pct"/>
            <w:gridSpan w:val="3"/>
            <w:tcBorders>
              <w:top w:val="nil"/>
              <w:left w:val="nil"/>
              <w:bottom w:val="nil"/>
              <w:right w:val="nil"/>
            </w:tcBorders>
            <w:shd w:val="clear" w:color="000000" w:fill="FFFFFF"/>
            <w:noWrap/>
            <w:vAlign w:val="center"/>
            <w:hideMark/>
          </w:tcPr>
          <w:p w14:paraId="3D769A18" w14:textId="77777777" w:rsidR="00247CBF" w:rsidRPr="00092ED7" w:rsidRDefault="00247CBF" w:rsidP="00603975">
            <w:pPr>
              <w:spacing w:line="230" w:lineRule="auto"/>
              <w:rPr>
                <w:rFonts w:eastAsia="Times New Roman" w:cs="Times New Roman"/>
                <w:b/>
                <w:sz w:val="20"/>
                <w:szCs w:val="20"/>
                <w:lang w:val="sr-Cyrl-CS"/>
              </w:rPr>
            </w:pPr>
            <w:r w:rsidRPr="00092ED7">
              <w:rPr>
                <w:rFonts w:eastAsia="Times New Roman" w:cs="Times New Roman"/>
                <w:b/>
                <w:sz w:val="20"/>
                <w:szCs w:val="20"/>
                <w:lang w:val="sr-Cyrl-CS"/>
              </w:rPr>
              <w:t xml:space="preserve">        </w:t>
            </w:r>
            <w:r w:rsidRPr="00092ED7">
              <w:rPr>
                <w:rFonts w:eastAsia="Times New Roman" w:cs="Times New Roman"/>
                <w:b/>
                <w:bCs/>
                <w:sz w:val="20"/>
                <w:szCs w:val="20"/>
                <w:lang w:val="sr-Cyrl-CS"/>
              </w:rPr>
              <w:t>Република Србија</w:t>
            </w:r>
          </w:p>
        </w:tc>
      </w:tr>
      <w:tr w:rsidR="00247CBF" w:rsidRPr="00092ED7" w14:paraId="5787B5CE" w14:textId="77777777" w:rsidTr="00247CBF">
        <w:trPr>
          <w:trHeight w:val="227"/>
        </w:trPr>
        <w:tc>
          <w:tcPr>
            <w:tcW w:w="2658" w:type="pct"/>
            <w:vMerge w:val="restart"/>
            <w:tcBorders>
              <w:top w:val="double" w:sz="6" w:space="0" w:color="auto"/>
              <w:left w:val="double" w:sz="6" w:space="0" w:color="auto"/>
              <w:bottom w:val="nil"/>
              <w:right w:val="nil"/>
            </w:tcBorders>
            <w:shd w:val="clear" w:color="000000" w:fill="FFFFFF"/>
            <w:vAlign w:val="center"/>
            <w:hideMark/>
          </w:tcPr>
          <w:p w14:paraId="1AC13DA3" w14:textId="77777777" w:rsidR="00247CBF" w:rsidRPr="00092ED7" w:rsidRDefault="00247CBF" w:rsidP="00247CBF">
            <w:pPr>
              <w:spacing w:after="0" w:line="230" w:lineRule="auto"/>
              <w:rPr>
                <w:rFonts w:eastAsia="Times New Roman" w:cs="Times New Roman"/>
                <w:sz w:val="20"/>
                <w:szCs w:val="20"/>
                <w:lang w:val="sr-Cyrl-CS"/>
              </w:rPr>
            </w:pPr>
            <w:r w:rsidRPr="00092ED7">
              <w:rPr>
                <w:rFonts w:eastAsia="Times New Roman" w:cs="Times New Roman"/>
                <w:sz w:val="20"/>
                <w:szCs w:val="20"/>
                <w:lang w:val="sr-Cyrl-CS"/>
              </w:rPr>
              <w:t> </w:t>
            </w:r>
          </w:p>
        </w:tc>
        <w:tc>
          <w:tcPr>
            <w:tcW w:w="100" w:type="pct"/>
            <w:vMerge w:val="restart"/>
            <w:tcBorders>
              <w:top w:val="double" w:sz="6" w:space="0" w:color="auto"/>
              <w:left w:val="nil"/>
              <w:bottom w:val="single" w:sz="8" w:space="0" w:color="000000"/>
              <w:right w:val="single" w:sz="8" w:space="0" w:color="auto"/>
            </w:tcBorders>
            <w:shd w:val="clear" w:color="000000" w:fill="FFFFFF"/>
            <w:vAlign w:val="center"/>
            <w:hideMark/>
          </w:tcPr>
          <w:p w14:paraId="02666591" w14:textId="77777777" w:rsidR="00247CBF" w:rsidRPr="00092ED7" w:rsidRDefault="00247CBF" w:rsidP="00247CBF">
            <w:pPr>
              <w:spacing w:after="0" w:line="230" w:lineRule="auto"/>
              <w:jc w:val="center"/>
              <w:rPr>
                <w:rFonts w:eastAsia="Times New Roman" w:cs="Times New Roman"/>
                <w:sz w:val="20"/>
                <w:szCs w:val="20"/>
                <w:lang w:val="sr-Cyrl-CS"/>
              </w:rPr>
            </w:pPr>
            <w:r w:rsidRPr="00092ED7">
              <w:rPr>
                <w:rFonts w:eastAsia="Times New Roman" w:cs="Times New Roman"/>
                <w:sz w:val="20"/>
                <w:szCs w:val="20"/>
                <w:lang w:val="sr-Cyrl-CS"/>
              </w:rPr>
              <w:t> </w:t>
            </w:r>
          </w:p>
        </w:tc>
        <w:tc>
          <w:tcPr>
            <w:tcW w:w="483" w:type="pct"/>
            <w:gridSpan w:val="2"/>
            <w:vMerge w:val="restart"/>
            <w:tcBorders>
              <w:top w:val="double" w:sz="6" w:space="0" w:color="auto"/>
              <w:left w:val="dotted" w:sz="4" w:space="0" w:color="auto"/>
              <w:bottom w:val="single" w:sz="8" w:space="0" w:color="000000"/>
              <w:right w:val="single" w:sz="8" w:space="0" w:color="auto"/>
            </w:tcBorders>
            <w:shd w:val="clear" w:color="000000" w:fill="FFFFFF"/>
            <w:vAlign w:val="center"/>
            <w:hideMark/>
          </w:tcPr>
          <w:p w14:paraId="2D532CDD" w14:textId="77777777" w:rsidR="00247CBF" w:rsidRPr="00092ED7" w:rsidRDefault="00247CBF" w:rsidP="00247CBF">
            <w:pPr>
              <w:spacing w:after="0" w:line="230" w:lineRule="auto"/>
              <w:jc w:val="center"/>
              <w:rPr>
                <w:rFonts w:eastAsia="Times New Roman" w:cs="Times New Roman"/>
                <w:sz w:val="20"/>
                <w:szCs w:val="20"/>
                <w:lang w:val="sr-Cyrl-CS"/>
              </w:rPr>
            </w:pPr>
            <w:r w:rsidRPr="00092ED7">
              <w:rPr>
                <w:rFonts w:eastAsia="Times New Roman" w:cs="Times New Roman"/>
                <w:sz w:val="20"/>
                <w:szCs w:val="20"/>
                <w:lang w:val="sr-Cyrl-CS"/>
              </w:rPr>
              <w:t>ESA шифра</w:t>
            </w:r>
          </w:p>
        </w:tc>
        <w:tc>
          <w:tcPr>
            <w:tcW w:w="352" w:type="pct"/>
            <w:gridSpan w:val="2"/>
            <w:tcBorders>
              <w:top w:val="double" w:sz="6" w:space="0" w:color="auto"/>
              <w:left w:val="nil"/>
              <w:bottom w:val="nil"/>
              <w:right w:val="dotted" w:sz="4" w:space="0" w:color="auto"/>
            </w:tcBorders>
            <w:shd w:val="clear" w:color="000000" w:fill="FFFFFF"/>
            <w:vAlign w:val="center"/>
            <w:hideMark/>
          </w:tcPr>
          <w:p w14:paraId="6AECF52C" w14:textId="77777777" w:rsidR="00247CBF" w:rsidRPr="00092ED7" w:rsidRDefault="00247CBF" w:rsidP="00247CBF">
            <w:pPr>
              <w:spacing w:after="0" w:line="230" w:lineRule="auto"/>
              <w:jc w:val="center"/>
              <w:rPr>
                <w:rFonts w:eastAsia="Times New Roman" w:cs="Times New Roman"/>
                <w:sz w:val="20"/>
                <w:szCs w:val="20"/>
                <w:lang w:val="sr-Cyrl-CS" w:eastAsia="sr-Cyrl-RS"/>
              </w:rPr>
            </w:pPr>
            <w:r w:rsidRPr="00092ED7">
              <w:rPr>
                <w:rFonts w:eastAsia="Times New Roman" w:cs="Times New Roman"/>
                <w:sz w:val="20"/>
                <w:szCs w:val="20"/>
                <w:lang w:val="sr-Cyrl-CS" w:eastAsia="sr-Cyrl-RS"/>
              </w:rPr>
              <w:t>Година</w:t>
            </w:r>
          </w:p>
        </w:tc>
        <w:tc>
          <w:tcPr>
            <w:tcW w:w="352" w:type="pct"/>
            <w:gridSpan w:val="2"/>
            <w:tcBorders>
              <w:top w:val="double" w:sz="6" w:space="0" w:color="auto"/>
              <w:left w:val="nil"/>
              <w:bottom w:val="nil"/>
              <w:right w:val="dotted" w:sz="4" w:space="0" w:color="auto"/>
            </w:tcBorders>
            <w:shd w:val="clear" w:color="000000" w:fill="FFFFFF"/>
            <w:vAlign w:val="center"/>
            <w:hideMark/>
          </w:tcPr>
          <w:p w14:paraId="1F86967E" w14:textId="77777777" w:rsidR="00247CBF" w:rsidRPr="00092ED7" w:rsidRDefault="00247CBF" w:rsidP="00247CBF">
            <w:pPr>
              <w:spacing w:after="0" w:line="230" w:lineRule="auto"/>
              <w:jc w:val="center"/>
              <w:rPr>
                <w:rFonts w:eastAsia="Times New Roman" w:cs="Times New Roman"/>
                <w:sz w:val="20"/>
                <w:szCs w:val="20"/>
                <w:lang w:val="sr-Cyrl-CS" w:eastAsia="sr-Cyrl-RS"/>
              </w:rPr>
            </w:pPr>
            <w:r w:rsidRPr="00092ED7">
              <w:rPr>
                <w:rFonts w:eastAsia="Times New Roman" w:cs="Times New Roman"/>
                <w:sz w:val="20"/>
                <w:szCs w:val="20"/>
                <w:lang w:val="sr-Cyrl-CS" w:eastAsia="sr-Cyrl-RS"/>
              </w:rPr>
              <w:t>Година</w:t>
            </w:r>
          </w:p>
        </w:tc>
        <w:tc>
          <w:tcPr>
            <w:tcW w:w="352" w:type="pct"/>
            <w:gridSpan w:val="2"/>
            <w:tcBorders>
              <w:top w:val="double" w:sz="6" w:space="0" w:color="auto"/>
              <w:left w:val="nil"/>
              <w:bottom w:val="nil"/>
              <w:right w:val="dotted" w:sz="4" w:space="0" w:color="auto"/>
            </w:tcBorders>
            <w:shd w:val="clear" w:color="000000" w:fill="FFFFFF"/>
            <w:vAlign w:val="center"/>
            <w:hideMark/>
          </w:tcPr>
          <w:p w14:paraId="09481CD8" w14:textId="77777777" w:rsidR="00247CBF" w:rsidRPr="00092ED7" w:rsidRDefault="00247CBF" w:rsidP="00247CBF">
            <w:pPr>
              <w:spacing w:after="0" w:line="230" w:lineRule="auto"/>
              <w:jc w:val="center"/>
              <w:rPr>
                <w:rFonts w:eastAsia="Times New Roman" w:cs="Times New Roman"/>
                <w:sz w:val="20"/>
                <w:szCs w:val="20"/>
                <w:lang w:val="sr-Cyrl-CS" w:eastAsia="sr-Cyrl-RS"/>
              </w:rPr>
            </w:pPr>
            <w:r w:rsidRPr="00092ED7">
              <w:rPr>
                <w:rFonts w:eastAsia="Times New Roman" w:cs="Times New Roman"/>
                <w:sz w:val="20"/>
                <w:szCs w:val="20"/>
                <w:lang w:val="sr-Cyrl-CS" w:eastAsia="sr-Cyrl-RS"/>
              </w:rPr>
              <w:t>Година</w:t>
            </w:r>
          </w:p>
        </w:tc>
        <w:tc>
          <w:tcPr>
            <w:tcW w:w="352" w:type="pct"/>
            <w:tcBorders>
              <w:top w:val="double" w:sz="6" w:space="0" w:color="auto"/>
              <w:left w:val="nil"/>
              <w:bottom w:val="nil"/>
              <w:right w:val="dotted" w:sz="4" w:space="0" w:color="auto"/>
            </w:tcBorders>
            <w:shd w:val="clear" w:color="000000" w:fill="FFFFFF"/>
            <w:vAlign w:val="center"/>
            <w:hideMark/>
          </w:tcPr>
          <w:p w14:paraId="2E873F5F" w14:textId="77777777" w:rsidR="00247CBF" w:rsidRPr="00092ED7" w:rsidRDefault="00247CBF" w:rsidP="00247CBF">
            <w:pPr>
              <w:spacing w:after="0" w:line="230" w:lineRule="auto"/>
              <w:jc w:val="center"/>
              <w:rPr>
                <w:rFonts w:eastAsia="Times New Roman" w:cs="Times New Roman"/>
                <w:sz w:val="20"/>
                <w:szCs w:val="20"/>
                <w:lang w:val="sr-Cyrl-CS" w:eastAsia="sr-Cyrl-RS"/>
              </w:rPr>
            </w:pPr>
            <w:r w:rsidRPr="00092ED7">
              <w:rPr>
                <w:rFonts w:eastAsia="Times New Roman" w:cs="Times New Roman"/>
                <w:sz w:val="20"/>
                <w:szCs w:val="20"/>
                <w:lang w:val="sr-Cyrl-CS" w:eastAsia="sr-Cyrl-RS"/>
              </w:rPr>
              <w:t>Година</w:t>
            </w:r>
          </w:p>
        </w:tc>
        <w:tc>
          <w:tcPr>
            <w:tcW w:w="351" w:type="pct"/>
            <w:gridSpan w:val="2"/>
            <w:tcBorders>
              <w:top w:val="double" w:sz="6" w:space="0" w:color="auto"/>
              <w:left w:val="nil"/>
              <w:bottom w:val="nil"/>
              <w:right w:val="double" w:sz="6" w:space="0" w:color="auto"/>
            </w:tcBorders>
            <w:shd w:val="clear" w:color="000000" w:fill="FFFFFF"/>
            <w:vAlign w:val="center"/>
            <w:hideMark/>
          </w:tcPr>
          <w:p w14:paraId="1596DC22" w14:textId="77777777" w:rsidR="00247CBF" w:rsidRPr="00092ED7" w:rsidRDefault="00247CBF" w:rsidP="00247CBF">
            <w:pPr>
              <w:spacing w:after="0" w:line="230" w:lineRule="auto"/>
              <w:jc w:val="center"/>
              <w:rPr>
                <w:rFonts w:eastAsia="Times New Roman" w:cs="Times New Roman"/>
                <w:sz w:val="20"/>
                <w:szCs w:val="20"/>
                <w:lang w:val="sr-Cyrl-CS" w:eastAsia="sr-Cyrl-RS"/>
              </w:rPr>
            </w:pPr>
            <w:r w:rsidRPr="00092ED7">
              <w:rPr>
                <w:rFonts w:eastAsia="Times New Roman" w:cs="Times New Roman"/>
                <w:sz w:val="20"/>
                <w:szCs w:val="20"/>
                <w:lang w:val="sr-Cyrl-CS" w:eastAsia="sr-Cyrl-RS"/>
              </w:rPr>
              <w:t>Година</w:t>
            </w:r>
          </w:p>
        </w:tc>
      </w:tr>
      <w:tr w:rsidR="00247CBF" w:rsidRPr="00092ED7" w14:paraId="79DCA942" w14:textId="77777777" w:rsidTr="00247CBF">
        <w:trPr>
          <w:trHeight w:val="145"/>
        </w:trPr>
        <w:tc>
          <w:tcPr>
            <w:tcW w:w="2658" w:type="pct"/>
            <w:vMerge/>
            <w:tcBorders>
              <w:top w:val="double" w:sz="6" w:space="0" w:color="auto"/>
              <w:left w:val="double" w:sz="6" w:space="0" w:color="auto"/>
              <w:bottom w:val="nil"/>
              <w:right w:val="nil"/>
            </w:tcBorders>
            <w:vAlign w:val="center"/>
            <w:hideMark/>
          </w:tcPr>
          <w:p w14:paraId="0C56752F" w14:textId="77777777" w:rsidR="00247CBF" w:rsidRPr="00092ED7" w:rsidRDefault="00247CBF" w:rsidP="00247CBF">
            <w:pPr>
              <w:spacing w:after="0" w:line="230" w:lineRule="auto"/>
              <w:rPr>
                <w:rFonts w:eastAsia="Times New Roman" w:cs="Times New Roman"/>
                <w:sz w:val="20"/>
                <w:szCs w:val="20"/>
                <w:lang w:val="sr-Cyrl-CS"/>
              </w:rPr>
            </w:pPr>
          </w:p>
        </w:tc>
        <w:tc>
          <w:tcPr>
            <w:tcW w:w="100" w:type="pct"/>
            <w:vMerge/>
            <w:tcBorders>
              <w:top w:val="double" w:sz="6" w:space="0" w:color="auto"/>
              <w:left w:val="nil"/>
              <w:bottom w:val="single" w:sz="8" w:space="0" w:color="000000"/>
              <w:right w:val="single" w:sz="8" w:space="0" w:color="auto"/>
            </w:tcBorders>
            <w:vAlign w:val="center"/>
            <w:hideMark/>
          </w:tcPr>
          <w:p w14:paraId="6BDA3B47" w14:textId="77777777" w:rsidR="00247CBF" w:rsidRPr="00092ED7" w:rsidRDefault="00247CBF" w:rsidP="00247CBF">
            <w:pPr>
              <w:spacing w:after="0" w:line="230" w:lineRule="auto"/>
              <w:rPr>
                <w:rFonts w:eastAsia="Times New Roman" w:cs="Times New Roman"/>
                <w:sz w:val="20"/>
                <w:szCs w:val="20"/>
                <w:lang w:val="sr-Cyrl-CS"/>
              </w:rPr>
            </w:pPr>
          </w:p>
        </w:tc>
        <w:tc>
          <w:tcPr>
            <w:tcW w:w="483" w:type="pct"/>
            <w:gridSpan w:val="2"/>
            <w:vMerge/>
            <w:tcBorders>
              <w:top w:val="double" w:sz="6" w:space="0" w:color="auto"/>
              <w:left w:val="dotted" w:sz="4" w:space="0" w:color="auto"/>
              <w:bottom w:val="single" w:sz="8" w:space="0" w:color="000000"/>
              <w:right w:val="single" w:sz="8" w:space="0" w:color="auto"/>
            </w:tcBorders>
            <w:vAlign w:val="center"/>
            <w:hideMark/>
          </w:tcPr>
          <w:p w14:paraId="2E20FD44" w14:textId="77777777" w:rsidR="00247CBF" w:rsidRPr="00092ED7" w:rsidRDefault="00247CBF" w:rsidP="00247CBF">
            <w:pPr>
              <w:spacing w:after="0" w:line="230" w:lineRule="auto"/>
              <w:rPr>
                <w:rFonts w:eastAsia="Times New Roman" w:cs="Times New Roman"/>
                <w:sz w:val="20"/>
                <w:szCs w:val="20"/>
                <w:lang w:val="sr-Cyrl-CS"/>
              </w:rPr>
            </w:pPr>
          </w:p>
        </w:tc>
        <w:tc>
          <w:tcPr>
            <w:tcW w:w="352" w:type="pct"/>
            <w:gridSpan w:val="2"/>
            <w:tcBorders>
              <w:top w:val="nil"/>
              <w:left w:val="nil"/>
              <w:bottom w:val="dotted" w:sz="4" w:space="0" w:color="auto"/>
              <w:right w:val="dotted" w:sz="4" w:space="0" w:color="auto"/>
            </w:tcBorders>
            <w:shd w:val="clear" w:color="000000" w:fill="FFFFFF"/>
            <w:vAlign w:val="center"/>
            <w:hideMark/>
          </w:tcPr>
          <w:p w14:paraId="42A0F7E3" w14:textId="77777777" w:rsidR="00247CBF" w:rsidRPr="00092ED7" w:rsidRDefault="00247CBF" w:rsidP="00247CBF">
            <w:pPr>
              <w:spacing w:after="0" w:line="230" w:lineRule="auto"/>
              <w:jc w:val="center"/>
              <w:rPr>
                <w:rFonts w:eastAsia="Times New Roman" w:cs="Times New Roman"/>
                <w:sz w:val="20"/>
                <w:szCs w:val="20"/>
                <w:lang w:val="sr-Cyrl-CS" w:eastAsia="sr-Cyrl-RS"/>
              </w:rPr>
            </w:pPr>
            <w:r w:rsidRPr="00092ED7">
              <w:rPr>
                <w:rFonts w:eastAsia="Times New Roman" w:cs="Times New Roman"/>
                <w:sz w:val="20"/>
                <w:szCs w:val="20"/>
                <w:lang w:val="sr-Cyrl-CS" w:eastAsia="sr-Cyrl-RS"/>
              </w:rPr>
              <w:t>2021</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3452A5AB" w14:textId="77777777" w:rsidR="00247CBF" w:rsidRPr="00092ED7" w:rsidRDefault="00247CBF" w:rsidP="00247CBF">
            <w:pPr>
              <w:spacing w:after="0" w:line="230" w:lineRule="auto"/>
              <w:jc w:val="center"/>
              <w:rPr>
                <w:rFonts w:eastAsia="Times New Roman" w:cs="Times New Roman"/>
                <w:sz w:val="20"/>
                <w:szCs w:val="20"/>
                <w:lang w:val="sr-Cyrl-CS" w:eastAsia="sr-Cyrl-RS"/>
              </w:rPr>
            </w:pPr>
            <w:r w:rsidRPr="00092ED7">
              <w:rPr>
                <w:rFonts w:eastAsia="Times New Roman" w:cs="Times New Roman"/>
                <w:sz w:val="20"/>
                <w:szCs w:val="20"/>
                <w:lang w:val="sr-Cyrl-CS" w:eastAsia="sr-Cyrl-RS"/>
              </w:rPr>
              <w:t>2022</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61AA61AB" w14:textId="77777777" w:rsidR="00247CBF" w:rsidRPr="00092ED7" w:rsidRDefault="00247CBF" w:rsidP="00247CBF">
            <w:pPr>
              <w:spacing w:after="0" w:line="230" w:lineRule="auto"/>
              <w:jc w:val="center"/>
              <w:rPr>
                <w:rFonts w:eastAsia="Times New Roman" w:cs="Times New Roman"/>
                <w:sz w:val="20"/>
                <w:szCs w:val="20"/>
                <w:lang w:val="sr-Cyrl-CS" w:eastAsia="sr-Cyrl-RS"/>
              </w:rPr>
            </w:pPr>
            <w:r w:rsidRPr="00092ED7">
              <w:rPr>
                <w:rFonts w:eastAsia="Times New Roman" w:cs="Times New Roman"/>
                <w:sz w:val="20"/>
                <w:szCs w:val="20"/>
                <w:lang w:val="sr-Cyrl-CS" w:eastAsia="sr-Cyrl-RS"/>
              </w:rPr>
              <w:t>2023</w:t>
            </w:r>
          </w:p>
        </w:tc>
        <w:tc>
          <w:tcPr>
            <w:tcW w:w="352" w:type="pct"/>
            <w:tcBorders>
              <w:top w:val="nil"/>
              <w:left w:val="nil"/>
              <w:bottom w:val="dotted" w:sz="4" w:space="0" w:color="auto"/>
              <w:right w:val="dotted" w:sz="4" w:space="0" w:color="auto"/>
            </w:tcBorders>
            <w:shd w:val="clear" w:color="000000" w:fill="FFFFFF"/>
            <w:vAlign w:val="center"/>
            <w:hideMark/>
          </w:tcPr>
          <w:p w14:paraId="6071C113" w14:textId="77777777" w:rsidR="00247CBF" w:rsidRPr="00092ED7" w:rsidRDefault="00247CBF" w:rsidP="00247CBF">
            <w:pPr>
              <w:spacing w:after="0" w:line="230" w:lineRule="auto"/>
              <w:jc w:val="center"/>
              <w:rPr>
                <w:rFonts w:eastAsia="Times New Roman" w:cs="Times New Roman"/>
                <w:sz w:val="20"/>
                <w:szCs w:val="20"/>
                <w:lang w:val="sr-Cyrl-CS" w:eastAsia="sr-Cyrl-RS"/>
              </w:rPr>
            </w:pPr>
            <w:r w:rsidRPr="00092ED7">
              <w:rPr>
                <w:rFonts w:eastAsia="Times New Roman" w:cs="Times New Roman"/>
                <w:sz w:val="20"/>
                <w:szCs w:val="20"/>
                <w:lang w:val="sr-Cyrl-CS" w:eastAsia="sr-Cyrl-RS"/>
              </w:rPr>
              <w:t>2024</w:t>
            </w:r>
          </w:p>
        </w:tc>
        <w:tc>
          <w:tcPr>
            <w:tcW w:w="351" w:type="pct"/>
            <w:gridSpan w:val="2"/>
            <w:tcBorders>
              <w:top w:val="nil"/>
              <w:left w:val="nil"/>
              <w:bottom w:val="dotted" w:sz="4" w:space="0" w:color="auto"/>
              <w:right w:val="double" w:sz="6" w:space="0" w:color="auto"/>
            </w:tcBorders>
            <w:shd w:val="clear" w:color="000000" w:fill="FFFFFF"/>
            <w:vAlign w:val="center"/>
            <w:hideMark/>
          </w:tcPr>
          <w:p w14:paraId="0708DB95" w14:textId="77777777" w:rsidR="00247CBF" w:rsidRPr="00092ED7" w:rsidRDefault="00247CBF" w:rsidP="00247CBF">
            <w:pPr>
              <w:spacing w:after="0" w:line="230" w:lineRule="auto"/>
              <w:jc w:val="center"/>
              <w:rPr>
                <w:rFonts w:eastAsia="Times New Roman" w:cs="Times New Roman"/>
                <w:sz w:val="20"/>
                <w:szCs w:val="20"/>
                <w:lang w:val="sr-Cyrl-CS" w:eastAsia="sr-Cyrl-RS"/>
              </w:rPr>
            </w:pPr>
            <w:r w:rsidRPr="00092ED7">
              <w:rPr>
                <w:rFonts w:eastAsia="Times New Roman" w:cs="Times New Roman"/>
                <w:sz w:val="20"/>
                <w:szCs w:val="20"/>
                <w:lang w:val="sr-Cyrl-CS" w:eastAsia="sr-Cyrl-RS"/>
              </w:rPr>
              <w:t>2025</w:t>
            </w:r>
          </w:p>
        </w:tc>
      </w:tr>
      <w:tr w:rsidR="00247CBF" w:rsidRPr="00092ED7" w14:paraId="544A9A68" w14:textId="77777777" w:rsidTr="00247CBF">
        <w:trPr>
          <w:trHeight w:val="227"/>
        </w:trPr>
        <w:tc>
          <w:tcPr>
            <w:tcW w:w="2658" w:type="pct"/>
            <w:tcBorders>
              <w:top w:val="nil"/>
              <w:left w:val="double" w:sz="6" w:space="0" w:color="auto"/>
              <w:bottom w:val="single" w:sz="8" w:space="0" w:color="auto"/>
              <w:right w:val="nil"/>
            </w:tcBorders>
            <w:shd w:val="clear" w:color="000000" w:fill="FFFFFF"/>
            <w:vAlign w:val="center"/>
            <w:hideMark/>
          </w:tcPr>
          <w:p w14:paraId="215649C8" w14:textId="77777777" w:rsidR="00247CBF" w:rsidRPr="00092ED7" w:rsidRDefault="00247CBF" w:rsidP="00247CBF">
            <w:pPr>
              <w:spacing w:after="0" w:line="230" w:lineRule="auto"/>
              <w:rPr>
                <w:rFonts w:eastAsia="Times New Roman" w:cs="Times New Roman"/>
                <w:sz w:val="20"/>
                <w:szCs w:val="20"/>
                <w:lang w:val="sr-Cyrl-CS"/>
              </w:rPr>
            </w:pPr>
            <w:r w:rsidRPr="00092ED7">
              <w:rPr>
                <w:rFonts w:eastAsia="Times New Roman" w:cs="Times New Roman"/>
                <w:sz w:val="20"/>
                <w:szCs w:val="20"/>
                <w:lang w:val="sr-Cyrl-CS"/>
              </w:rPr>
              <w:t> </w:t>
            </w:r>
          </w:p>
        </w:tc>
        <w:tc>
          <w:tcPr>
            <w:tcW w:w="100" w:type="pct"/>
            <w:vMerge/>
            <w:tcBorders>
              <w:top w:val="double" w:sz="6" w:space="0" w:color="auto"/>
              <w:left w:val="nil"/>
              <w:bottom w:val="single" w:sz="8" w:space="0" w:color="000000"/>
              <w:right w:val="single" w:sz="8" w:space="0" w:color="auto"/>
            </w:tcBorders>
            <w:vAlign w:val="center"/>
            <w:hideMark/>
          </w:tcPr>
          <w:p w14:paraId="06593A6D" w14:textId="77777777" w:rsidR="00247CBF" w:rsidRPr="00092ED7" w:rsidRDefault="00247CBF" w:rsidP="00247CBF">
            <w:pPr>
              <w:spacing w:after="0" w:line="230" w:lineRule="auto"/>
              <w:rPr>
                <w:rFonts w:eastAsia="Times New Roman" w:cs="Times New Roman"/>
                <w:sz w:val="20"/>
                <w:szCs w:val="20"/>
                <w:lang w:val="sr-Cyrl-CS"/>
              </w:rPr>
            </w:pPr>
          </w:p>
        </w:tc>
        <w:tc>
          <w:tcPr>
            <w:tcW w:w="483" w:type="pct"/>
            <w:gridSpan w:val="2"/>
            <w:vMerge/>
            <w:tcBorders>
              <w:top w:val="double" w:sz="6" w:space="0" w:color="auto"/>
              <w:left w:val="dotted" w:sz="4" w:space="0" w:color="auto"/>
              <w:bottom w:val="single" w:sz="8" w:space="0" w:color="000000"/>
              <w:right w:val="single" w:sz="8" w:space="0" w:color="auto"/>
            </w:tcBorders>
            <w:vAlign w:val="center"/>
            <w:hideMark/>
          </w:tcPr>
          <w:p w14:paraId="282326FD" w14:textId="77777777" w:rsidR="00247CBF" w:rsidRPr="00092ED7" w:rsidRDefault="00247CBF" w:rsidP="00247CBF">
            <w:pPr>
              <w:spacing w:after="0" w:line="230" w:lineRule="auto"/>
              <w:rPr>
                <w:rFonts w:eastAsia="Times New Roman" w:cs="Times New Roman"/>
                <w:sz w:val="20"/>
                <w:szCs w:val="20"/>
                <w:lang w:val="sr-Cyrl-CS"/>
              </w:rPr>
            </w:pPr>
          </w:p>
        </w:tc>
        <w:tc>
          <w:tcPr>
            <w:tcW w:w="1759" w:type="pct"/>
            <w:gridSpan w:val="9"/>
            <w:tcBorders>
              <w:top w:val="dotted" w:sz="4" w:space="0" w:color="auto"/>
              <w:left w:val="nil"/>
              <w:bottom w:val="single" w:sz="8" w:space="0" w:color="auto"/>
              <w:right w:val="double" w:sz="6" w:space="0" w:color="000000"/>
            </w:tcBorders>
            <w:shd w:val="clear" w:color="000000" w:fill="FFFFFF"/>
            <w:vAlign w:val="center"/>
            <w:hideMark/>
          </w:tcPr>
          <w:p w14:paraId="679B8502" w14:textId="77777777" w:rsidR="00247CBF" w:rsidRPr="00092ED7" w:rsidRDefault="00247CBF" w:rsidP="00247CBF">
            <w:pPr>
              <w:spacing w:after="0" w:line="230" w:lineRule="auto"/>
              <w:jc w:val="center"/>
              <w:rPr>
                <w:rFonts w:eastAsia="Times New Roman" w:cs="Times New Roman"/>
                <w:sz w:val="20"/>
                <w:szCs w:val="20"/>
                <w:lang w:val="sr-Cyrl-CS"/>
              </w:rPr>
            </w:pPr>
            <w:r w:rsidRPr="00092ED7">
              <w:rPr>
                <w:rFonts w:eastAsia="Times New Roman" w:cs="Times New Roman"/>
                <w:sz w:val="20"/>
                <w:szCs w:val="20"/>
                <w:lang w:val="sr-Cyrl-CS"/>
              </w:rPr>
              <w:t>млрд РСД</w:t>
            </w:r>
          </w:p>
        </w:tc>
      </w:tr>
      <w:tr w:rsidR="00247CBF" w:rsidRPr="00092ED7" w14:paraId="56A7D1E1" w14:textId="77777777" w:rsidTr="00247CBF">
        <w:trPr>
          <w:trHeight w:val="227"/>
        </w:trPr>
        <w:tc>
          <w:tcPr>
            <w:tcW w:w="5000" w:type="pct"/>
            <w:gridSpan w:val="13"/>
            <w:tcBorders>
              <w:top w:val="single" w:sz="8" w:space="0" w:color="auto"/>
              <w:left w:val="double" w:sz="6" w:space="0" w:color="auto"/>
              <w:bottom w:val="single" w:sz="8" w:space="0" w:color="auto"/>
              <w:right w:val="double" w:sz="6" w:space="0" w:color="000000"/>
            </w:tcBorders>
            <w:shd w:val="clear" w:color="000000" w:fill="FFFFFF"/>
            <w:vAlign w:val="center"/>
            <w:hideMark/>
          </w:tcPr>
          <w:p w14:paraId="4D126B36" w14:textId="77777777" w:rsidR="00247CBF" w:rsidRPr="00092ED7" w:rsidRDefault="00247CBF" w:rsidP="00247CBF">
            <w:pPr>
              <w:spacing w:after="0" w:line="230" w:lineRule="auto"/>
              <w:jc w:val="center"/>
              <w:rPr>
                <w:rFonts w:eastAsia="Times New Roman" w:cs="Times New Roman"/>
                <w:b/>
                <w:bCs/>
                <w:sz w:val="20"/>
                <w:szCs w:val="20"/>
                <w:lang w:val="sr-Cyrl-CS"/>
              </w:rPr>
            </w:pPr>
            <w:r w:rsidRPr="00092ED7">
              <w:rPr>
                <w:rFonts w:eastAsia="Times New Roman" w:cs="Times New Roman"/>
                <w:b/>
                <w:bCs/>
                <w:sz w:val="20"/>
                <w:szCs w:val="20"/>
                <w:lang w:val="sr-Cyrl-CS"/>
              </w:rPr>
              <w:t>Нето позајмице (B9) по подсекторима</w:t>
            </w:r>
          </w:p>
        </w:tc>
      </w:tr>
      <w:tr w:rsidR="00247CBF" w:rsidRPr="00092ED7" w14:paraId="24EBC2D7" w14:textId="77777777" w:rsidTr="00247CBF">
        <w:trPr>
          <w:trHeight w:val="227"/>
        </w:trPr>
        <w:tc>
          <w:tcPr>
            <w:tcW w:w="2658" w:type="pct"/>
            <w:tcBorders>
              <w:top w:val="nil"/>
              <w:left w:val="double" w:sz="6" w:space="0" w:color="auto"/>
              <w:bottom w:val="dotted" w:sz="4" w:space="0" w:color="auto"/>
              <w:right w:val="nil"/>
            </w:tcBorders>
            <w:shd w:val="clear" w:color="000000" w:fill="FFFFFF"/>
            <w:vAlign w:val="center"/>
            <w:hideMark/>
          </w:tcPr>
          <w:p w14:paraId="7F2B87B7" w14:textId="77777777" w:rsidR="00247CBF" w:rsidRPr="00092ED7" w:rsidRDefault="00247CBF" w:rsidP="00247CBF">
            <w:pPr>
              <w:spacing w:after="0" w:line="230" w:lineRule="auto"/>
              <w:rPr>
                <w:rFonts w:eastAsia="Times New Roman" w:cs="Times New Roman"/>
                <w:sz w:val="20"/>
                <w:szCs w:val="20"/>
                <w:lang w:val="sr-Cyrl-CS"/>
              </w:rPr>
            </w:pPr>
            <w:r w:rsidRPr="00092ED7">
              <w:rPr>
                <w:rFonts w:eastAsia="Times New Roman" w:cs="Times New Roman"/>
                <w:sz w:val="20"/>
                <w:szCs w:val="20"/>
                <w:lang w:val="sr-Cyrl-CS"/>
              </w:rPr>
              <w:t>1. Општи ниво државе</w:t>
            </w:r>
          </w:p>
        </w:tc>
        <w:tc>
          <w:tcPr>
            <w:tcW w:w="100" w:type="pct"/>
            <w:tcBorders>
              <w:top w:val="nil"/>
              <w:left w:val="nil"/>
              <w:bottom w:val="dotted" w:sz="4" w:space="0" w:color="auto"/>
              <w:right w:val="single" w:sz="8" w:space="0" w:color="auto"/>
            </w:tcBorders>
            <w:shd w:val="clear" w:color="000000" w:fill="FFFFFF"/>
            <w:vAlign w:val="center"/>
            <w:hideMark/>
          </w:tcPr>
          <w:p w14:paraId="440275A9" w14:textId="77777777" w:rsidR="00247CBF" w:rsidRPr="00092ED7" w:rsidRDefault="00247CBF" w:rsidP="00247CBF">
            <w:pPr>
              <w:spacing w:after="0" w:line="230" w:lineRule="auto"/>
              <w:jc w:val="center"/>
              <w:rPr>
                <w:rFonts w:eastAsia="Times New Roman" w:cs="Times New Roman"/>
                <w:sz w:val="20"/>
                <w:szCs w:val="20"/>
                <w:lang w:val="sr-Cyrl-CS"/>
              </w:rPr>
            </w:pPr>
            <w:r w:rsidRPr="00092ED7">
              <w:rPr>
                <w:rFonts w:eastAsia="Times New Roman" w:cs="Times New Roman"/>
                <w:sz w:val="20"/>
                <w:szCs w:val="20"/>
                <w:lang w:val="sr-Cyrl-CS"/>
              </w:rPr>
              <w:t> </w:t>
            </w:r>
          </w:p>
        </w:tc>
        <w:tc>
          <w:tcPr>
            <w:tcW w:w="483" w:type="pct"/>
            <w:gridSpan w:val="2"/>
            <w:tcBorders>
              <w:top w:val="nil"/>
              <w:left w:val="nil"/>
              <w:bottom w:val="dotted" w:sz="4" w:space="0" w:color="auto"/>
              <w:right w:val="single" w:sz="8" w:space="0" w:color="auto"/>
            </w:tcBorders>
            <w:shd w:val="clear" w:color="000000" w:fill="FFFFFF"/>
            <w:vAlign w:val="center"/>
            <w:hideMark/>
          </w:tcPr>
          <w:p w14:paraId="2D68A9BD" w14:textId="77777777" w:rsidR="00247CBF" w:rsidRPr="00092ED7" w:rsidRDefault="00247CBF" w:rsidP="00247CBF">
            <w:pPr>
              <w:spacing w:after="0" w:line="230" w:lineRule="auto"/>
              <w:jc w:val="center"/>
              <w:rPr>
                <w:rFonts w:eastAsia="Times New Roman" w:cs="Times New Roman"/>
                <w:sz w:val="20"/>
                <w:szCs w:val="20"/>
                <w:lang w:val="sr-Cyrl-CS"/>
              </w:rPr>
            </w:pPr>
            <w:r w:rsidRPr="00092ED7">
              <w:rPr>
                <w:rFonts w:eastAsia="Times New Roman" w:cs="Times New Roman"/>
                <w:sz w:val="20"/>
                <w:szCs w:val="20"/>
                <w:lang w:val="sr-Cyrl-CS"/>
              </w:rPr>
              <w:t>S13</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23448D3B" w14:textId="77777777" w:rsidR="00247CBF" w:rsidRPr="00092ED7" w:rsidRDefault="00247CBF" w:rsidP="00247CBF">
            <w:pPr>
              <w:spacing w:after="0" w:line="230" w:lineRule="auto"/>
              <w:jc w:val="right"/>
              <w:rPr>
                <w:sz w:val="20"/>
                <w:lang w:val="sr-Cyrl-CS"/>
              </w:rPr>
            </w:pPr>
            <w:r w:rsidRPr="00092ED7">
              <w:rPr>
                <w:sz w:val="20"/>
                <w:lang w:val="sr-Cyrl-CS"/>
              </w:rPr>
              <w:t>-259,39</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17EAD48C" w14:textId="77777777" w:rsidR="00247CBF" w:rsidRPr="00092ED7" w:rsidRDefault="00247CBF" w:rsidP="00247CBF">
            <w:pPr>
              <w:spacing w:after="0" w:line="230" w:lineRule="auto"/>
              <w:jc w:val="right"/>
              <w:rPr>
                <w:sz w:val="20"/>
                <w:lang w:val="sr-Cyrl-CS"/>
              </w:rPr>
            </w:pPr>
            <w:r w:rsidRPr="00092ED7">
              <w:rPr>
                <w:sz w:val="20"/>
                <w:lang w:val="sr-Cyrl-CS"/>
              </w:rPr>
              <w:t>-271,53</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26E8B69C" w14:textId="77777777" w:rsidR="00247CBF" w:rsidRPr="00092ED7" w:rsidRDefault="00247CBF" w:rsidP="00247CBF">
            <w:pPr>
              <w:spacing w:after="0" w:line="230" w:lineRule="auto"/>
              <w:jc w:val="right"/>
              <w:rPr>
                <w:sz w:val="20"/>
                <w:lang w:val="sr-Cyrl-CS"/>
              </w:rPr>
            </w:pPr>
            <w:r w:rsidRPr="00092ED7">
              <w:rPr>
                <w:sz w:val="20"/>
                <w:lang w:val="sr-Cyrl-CS"/>
              </w:rPr>
              <w:t>-263,99</w:t>
            </w:r>
          </w:p>
        </w:tc>
        <w:tc>
          <w:tcPr>
            <w:tcW w:w="352" w:type="pct"/>
            <w:tcBorders>
              <w:top w:val="nil"/>
              <w:left w:val="nil"/>
              <w:bottom w:val="dotted" w:sz="4" w:space="0" w:color="auto"/>
              <w:right w:val="dotted" w:sz="4" w:space="0" w:color="auto"/>
            </w:tcBorders>
            <w:shd w:val="clear" w:color="000000" w:fill="FFFFFF"/>
            <w:vAlign w:val="center"/>
            <w:hideMark/>
          </w:tcPr>
          <w:p w14:paraId="48B2378B" w14:textId="77777777" w:rsidR="00247CBF" w:rsidRPr="00092ED7" w:rsidRDefault="00247CBF" w:rsidP="00247CBF">
            <w:pPr>
              <w:spacing w:after="0" w:line="230" w:lineRule="auto"/>
              <w:jc w:val="right"/>
              <w:rPr>
                <w:sz w:val="20"/>
                <w:lang w:val="sr-Cyrl-CS"/>
              </w:rPr>
            </w:pPr>
            <w:r w:rsidRPr="00092ED7">
              <w:rPr>
                <w:sz w:val="20"/>
                <w:lang w:val="sr-Cyrl-CS"/>
              </w:rPr>
              <w:t>-189,33</w:t>
            </w:r>
          </w:p>
        </w:tc>
        <w:tc>
          <w:tcPr>
            <w:tcW w:w="351" w:type="pct"/>
            <w:gridSpan w:val="2"/>
            <w:tcBorders>
              <w:top w:val="nil"/>
              <w:left w:val="nil"/>
              <w:bottom w:val="dotted" w:sz="4" w:space="0" w:color="auto"/>
              <w:right w:val="double" w:sz="6" w:space="0" w:color="auto"/>
            </w:tcBorders>
            <w:shd w:val="clear" w:color="000000" w:fill="FFFFFF"/>
            <w:vAlign w:val="center"/>
            <w:hideMark/>
          </w:tcPr>
          <w:p w14:paraId="7809A429" w14:textId="77777777" w:rsidR="00247CBF" w:rsidRPr="00092ED7" w:rsidRDefault="00247CBF" w:rsidP="00247CBF">
            <w:pPr>
              <w:spacing w:after="0" w:line="230" w:lineRule="auto"/>
              <w:jc w:val="right"/>
              <w:rPr>
                <w:sz w:val="20"/>
                <w:lang w:val="sr-Cyrl-CS"/>
              </w:rPr>
            </w:pPr>
            <w:r w:rsidRPr="00092ED7">
              <w:rPr>
                <w:sz w:val="20"/>
                <w:lang w:val="sr-Cyrl-CS"/>
              </w:rPr>
              <w:t>-129,12</w:t>
            </w:r>
          </w:p>
        </w:tc>
      </w:tr>
      <w:tr w:rsidR="00247CBF" w:rsidRPr="00092ED7" w14:paraId="19528C65" w14:textId="77777777" w:rsidTr="00247CBF">
        <w:trPr>
          <w:trHeight w:val="227"/>
        </w:trPr>
        <w:tc>
          <w:tcPr>
            <w:tcW w:w="2658" w:type="pct"/>
            <w:tcBorders>
              <w:top w:val="nil"/>
              <w:left w:val="double" w:sz="6" w:space="0" w:color="auto"/>
              <w:bottom w:val="dotted" w:sz="4" w:space="0" w:color="auto"/>
              <w:right w:val="nil"/>
            </w:tcBorders>
            <w:shd w:val="clear" w:color="000000" w:fill="FFFFFF"/>
            <w:vAlign w:val="center"/>
            <w:hideMark/>
          </w:tcPr>
          <w:p w14:paraId="039E7505" w14:textId="77777777" w:rsidR="00247CBF" w:rsidRPr="00092ED7" w:rsidRDefault="00247CBF" w:rsidP="00247CBF">
            <w:pPr>
              <w:spacing w:after="0" w:line="230" w:lineRule="auto"/>
              <w:rPr>
                <w:rFonts w:eastAsia="Times New Roman" w:cs="Times New Roman"/>
                <w:sz w:val="20"/>
                <w:szCs w:val="20"/>
                <w:lang w:val="sr-Cyrl-CS"/>
              </w:rPr>
            </w:pPr>
            <w:r w:rsidRPr="00092ED7">
              <w:rPr>
                <w:rFonts w:eastAsia="Times New Roman" w:cs="Times New Roman"/>
                <w:sz w:val="20"/>
                <w:szCs w:val="20"/>
                <w:lang w:val="sr-Cyrl-CS"/>
              </w:rPr>
              <w:t>2. Централни ниво државе</w:t>
            </w:r>
          </w:p>
        </w:tc>
        <w:tc>
          <w:tcPr>
            <w:tcW w:w="100" w:type="pct"/>
            <w:tcBorders>
              <w:top w:val="nil"/>
              <w:left w:val="nil"/>
              <w:bottom w:val="dotted" w:sz="4" w:space="0" w:color="auto"/>
              <w:right w:val="single" w:sz="8" w:space="0" w:color="auto"/>
            </w:tcBorders>
            <w:shd w:val="clear" w:color="000000" w:fill="FFFFFF"/>
            <w:vAlign w:val="center"/>
            <w:hideMark/>
          </w:tcPr>
          <w:p w14:paraId="70FBFC28" w14:textId="77777777" w:rsidR="00247CBF" w:rsidRPr="00092ED7" w:rsidRDefault="00247CBF" w:rsidP="00247CBF">
            <w:pPr>
              <w:spacing w:after="0" w:line="230" w:lineRule="auto"/>
              <w:jc w:val="center"/>
              <w:rPr>
                <w:rFonts w:eastAsia="Times New Roman" w:cs="Times New Roman"/>
                <w:sz w:val="20"/>
                <w:szCs w:val="20"/>
                <w:lang w:val="sr-Cyrl-CS"/>
              </w:rPr>
            </w:pPr>
            <w:r w:rsidRPr="00092ED7">
              <w:rPr>
                <w:rFonts w:eastAsia="Times New Roman" w:cs="Times New Roman"/>
                <w:sz w:val="20"/>
                <w:szCs w:val="20"/>
                <w:lang w:val="sr-Cyrl-CS"/>
              </w:rPr>
              <w:t> </w:t>
            </w:r>
          </w:p>
        </w:tc>
        <w:tc>
          <w:tcPr>
            <w:tcW w:w="483" w:type="pct"/>
            <w:gridSpan w:val="2"/>
            <w:tcBorders>
              <w:top w:val="nil"/>
              <w:left w:val="nil"/>
              <w:bottom w:val="dotted" w:sz="4" w:space="0" w:color="auto"/>
              <w:right w:val="single" w:sz="8" w:space="0" w:color="auto"/>
            </w:tcBorders>
            <w:shd w:val="clear" w:color="000000" w:fill="FFFFFF"/>
            <w:vAlign w:val="center"/>
            <w:hideMark/>
          </w:tcPr>
          <w:p w14:paraId="0E058558" w14:textId="77777777" w:rsidR="00247CBF" w:rsidRPr="00092ED7" w:rsidRDefault="00247CBF" w:rsidP="00247CBF">
            <w:pPr>
              <w:spacing w:after="0" w:line="230" w:lineRule="auto"/>
              <w:jc w:val="center"/>
              <w:rPr>
                <w:rFonts w:eastAsia="Times New Roman" w:cs="Times New Roman"/>
                <w:sz w:val="20"/>
                <w:szCs w:val="20"/>
                <w:lang w:val="sr-Cyrl-CS"/>
              </w:rPr>
            </w:pPr>
            <w:r w:rsidRPr="00092ED7">
              <w:rPr>
                <w:rFonts w:eastAsia="Times New Roman" w:cs="Times New Roman"/>
                <w:sz w:val="20"/>
                <w:szCs w:val="20"/>
                <w:lang w:val="sr-Cyrl-CS"/>
              </w:rPr>
              <w:t>S1311</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04D9295C" w14:textId="77777777" w:rsidR="00247CBF" w:rsidRPr="00092ED7" w:rsidRDefault="00247CBF" w:rsidP="00247CBF">
            <w:pPr>
              <w:spacing w:after="0" w:line="230" w:lineRule="auto"/>
              <w:jc w:val="right"/>
              <w:rPr>
                <w:sz w:val="20"/>
                <w:lang w:val="sr-Cyrl-CS"/>
              </w:rPr>
            </w:pPr>
            <w:r w:rsidRPr="00092ED7">
              <w:rPr>
                <w:sz w:val="20"/>
                <w:lang w:val="sr-Cyrl-CS"/>
              </w:rPr>
              <w:t>-285,21</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1A145E3B" w14:textId="77777777" w:rsidR="00247CBF" w:rsidRPr="00092ED7" w:rsidRDefault="00247CBF" w:rsidP="00247CBF">
            <w:pPr>
              <w:spacing w:after="0" w:line="230" w:lineRule="auto"/>
              <w:jc w:val="right"/>
              <w:rPr>
                <w:sz w:val="20"/>
                <w:lang w:val="sr-Cyrl-CS"/>
              </w:rPr>
            </w:pPr>
            <w:r w:rsidRPr="00092ED7">
              <w:rPr>
                <w:sz w:val="20"/>
                <w:lang w:val="sr-Cyrl-CS"/>
              </w:rPr>
              <w:t>-279,10</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1A6FAC91" w14:textId="77777777" w:rsidR="00247CBF" w:rsidRPr="00092ED7" w:rsidRDefault="00247CBF" w:rsidP="00247CBF">
            <w:pPr>
              <w:spacing w:after="0" w:line="230" w:lineRule="auto"/>
              <w:jc w:val="right"/>
              <w:rPr>
                <w:sz w:val="20"/>
                <w:lang w:val="sr-Cyrl-CS"/>
              </w:rPr>
            </w:pPr>
            <w:r w:rsidRPr="00092ED7">
              <w:rPr>
                <w:sz w:val="20"/>
                <w:lang w:val="sr-Cyrl-CS"/>
              </w:rPr>
              <w:t>-264,02</w:t>
            </w:r>
          </w:p>
        </w:tc>
        <w:tc>
          <w:tcPr>
            <w:tcW w:w="352" w:type="pct"/>
            <w:tcBorders>
              <w:top w:val="nil"/>
              <w:left w:val="nil"/>
              <w:bottom w:val="dotted" w:sz="4" w:space="0" w:color="auto"/>
              <w:right w:val="dotted" w:sz="4" w:space="0" w:color="auto"/>
            </w:tcBorders>
            <w:shd w:val="clear" w:color="000000" w:fill="FFFFFF"/>
            <w:vAlign w:val="center"/>
            <w:hideMark/>
          </w:tcPr>
          <w:p w14:paraId="493BF3D1" w14:textId="77777777" w:rsidR="00247CBF" w:rsidRPr="00092ED7" w:rsidRDefault="00247CBF" w:rsidP="00247CBF">
            <w:pPr>
              <w:spacing w:after="0" w:line="230" w:lineRule="auto"/>
              <w:jc w:val="right"/>
              <w:rPr>
                <w:sz w:val="20"/>
                <w:lang w:val="sr-Cyrl-CS"/>
              </w:rPr>
            </w:pPr>
            <w:r w:rsidRPr="00092ED7">
              <w:rPr>
                <w:sz w:val="20"/>
                <w:lang w:val="sr-Cyrl-CS"/>
              </w:rPr>
              <w:t>-189,30</w:t>
            </w:r>
          </w:p>
        </w:tc>
        <w:tc>
          <w:tcPr>
            <w:tcW w:w="351" w:type="pct"/>
            <w:gridSpan w:val="2"/>
            <w:tcBorders>
              <w:top w:val="nil"/>
              <w:left w:val="nil"/>
              <w:bottom w:val="dotted" w:sz="4" w:space="0" w:color="auto"/>
              <w:right w:val="double" w:sz="6" w:space="0" w:color="auto"/>
            </w:tcBorders>
            <w:shd w:val="clear" w:color="000000" w:fill="FFFFFF"/>
            <w:vAlign w:val="center"/>
            <w:hideMark/>
          </w:tcPr>
          <w:p w14:paraId="1C057B29" w14:textId="77777777" w:rsidR="00247CBF" w:rsidRPr="00092ED7" w:rsidRDefault="00247CBF" w:rsidP="00247CBF">
            <w:pPr>
              <w:spacing w:after="0" w:line="230" w:lineRule="auto"/>
              <w:jc w:val="right"/>
              <w:rPr>
                <w:sz w:val="20"/>
                <w:lang w:val="sr-Cyrl-CS"/>
              </w:rPr>
            </w:pPr>
            <w:r w:rsidRPr="00092ED7">
              <w:rPr>
                <w:sz w:val="20"/>
                <w:lang w:val="sr-Cyrl-CS"/>
              </w:rPr>
              <w:t>-129,12</w:t>
            </w:r>
          </w:p>
        </w:tc>
      </w:tr>
      <w:tr w:rsidR="00247CBF" w:rsidRPr="00092ED7" w14:paraId="6DA939DC" w14:textId="77777777" w:rsidTr="00247CBF">
        <w:trPr>
          <w:trHeight w:val="227"/>
        </w:trPr>
        <w:tc>
          <w:tcPr>
            <w:tcW w:w="2658" w:type="pct"/>
            <w:tcBorders>
              <w:top w:val="nil"/>
              <w:left w:val="double" w:sz="6" w:space="0" w:color="auto"/>
              <w:bottom w:val="dotted" w:sz="4" w:space="0" w:color="auto"/>
              <w:right w:val="nil"/>
            </w:tcBorders>
            <w:shd w:val="clear" w:color="000000" w:fill="FFFFFF"/>
            <w:vAlign w:val="center"/>
            <w:hideMark/>
          </w:tcPr>
          <w:p w14:paraId="0EE0B086" w14:textId="77777777" w:rsidR="00247CBF" w:rsidRPr="00092ED7" w:rsidRDefault="00247CBF" w:rsidP="00247CBF">
            <w:pPr>
              <w:spacing w:after="0" w:line="230" w:lineRule="auto"/>
              <w:rPr>
                <w:rFonts w:eastAsia="Times New Roman" w:cs="Times New Roman"/>
                <w:sz w:val="20"/>
                <w:szCs w:val="20"/>
                <w:lang w:val="sr-Cyrl-CS"/>
              </w:rPr>
            </w:pPr>
            <w:r w:rsidRPr="00092ED7">
              <w:rPr>
                <w:rFonts w:eastAsia="Times New Roman" w:cs="Times New Roman"/>
                <w:sz w:val="20"/>
                <w:szCs w:val="20"/>
                <w:lang w:val="sr-Cyrl-CS"/>
              </w:rPr>
              <w:t>3. Ниво власти федералних јединица </w:t>
            </w:r>
          </w:p>
        </w:tc>
        <w:tc>
          <w:tcPr>
            <w:tcW w:w="100" w:type="pct"/>
            <w:tcBorders>
              <w:top w:val="nil"/>
              <w:left w:val="nil"/>
              <w:bottom w:val="dotted" w:sz="4" w:space="0" w:color="auto"/>
              <w:right w:val="single" w:sz="8" w:space="0" w:color="auto"/>
            </w:tcBorders>
            <w:shd w:val="clear" w:color="000000" w:fill="FFFFFF"/>
            <w:vAlign w:val="center"/>
            <w:hideMark/>
          </w:tcPr>
          <w:p w14:paraId="5CE0B023" w14:textId="77777777" w:rsidR="00247CBF" w:rsidRPr="00092ED7" w:rsidRDefault="00247CBF" w:rsidP="00247CBF">
            <w:pPr>
              <w:spacing w:after="0" w:line="230" w:lineRule="auto"/>
              <w:jc w:val="center"/>
              <w:rPr>
                <w:rFonts w:eastAsia="Times New Roman" w:cs="Times New Roman"/>
                <w:sz w:val="20"/>
                <w:szCs w:val="20"/>
                <w:lang w:val="sr-Cyrl-CS"/>
              </w:rPr>
            </w:pPr>
            <w:r w:rsidRPr="00092ED7">
              <w:rPr>
                <w:rFonts w:eastAsia="Times New Roman" w:cs="Times New Roman"/>
                <w:sz w:val="20"/>
                <w:szCs w:val="20"/>
                <w:lang w:val="sr-Cyrl-CS"/>
              </w:rPr>
              <w:t> </w:t>
            </w:r>
          </w:p>
        </w:tc>
        <w:tc>
          <w:tcPr>
            <w:tcW w:w="483" w:type="pct"/>
            <w:gridSpan w:val="2"/>
            <w:tcBorders>
              <w:top w:val="nil"/>
              <w:left w:val="nil"/>
              <w:bottom w:val="dotted" w:sz="4" w:space="0" w:color="auto"/>
              <w:right w:val="single" w:sz="8" w:space="0" w:color="auto"/>
            </w:tcBorders>
            <w:shd w:val="clear" w:color="000000" w:fill="FFFFFF"/>
            <w:vAlign w:val="center"/>
            <w:hideMark/>
          </w:tcPr>
          <w:p w14:paraId="32D2160B" w14:textId="77777777" w:rsidR="00247CBF" w:rsidRPr="00092ED7" w:rsidRDefault="00247CBF" w:rsidP="00247CBF">
            <w:pPr>
              <w:spacing w:after="0" w:line="230" w:lineRule="auto"/>
              <w:jc w:val="center"/>
              <w:rPr>
                <w:rFonts w:eastAsia="Times New Roman" w:cs="Times New Roman"/>
                <w:sz w:val="20"/>
                <w:szCs w:val="20"/>
                <w:lang w:val="sr-Cyrl-CS"/>
              </w:rPr>
            </w:pPr>
            <w:r w:rsidRPr="00092ED7">
              <w:rPr>
                <w:rFonts w:eastAsia="Times New Roman" w:cs="Times New Roman"/>
                <w:sz w:val="20"/>
                <w:szCs w:val="20"/>
                <w:lang w:val="sr-Cyrl-CS"/>
              </w:rPr>
              <w:t>S1312</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40A469FB" w14:textId="77777777" w:rsidR="00247CBF" w:rsidRPr="00092ED7" w:rsidRDefault="00247CBF" w:rsidP="00247CBF">
            <w:pPr>
              <w:spacing w:after="0" w:line="230" w:lineRule="auto"/>
              <w:jc w:val="right"/>
              <w:rPr>
                <w:sz w:val="20"/>
                <w:lang w:val="sr-Cyrl-CS"/>
              </w:rPr>
            </w:pPr>
            <w:r w:rsidRPr="00092ED7">
              <w:rPr>
                <w:sz w:val="20"/>
                <w:lang w:val="sr-Cyrl-CS"/>
              </w:rPr>
              <w:t>:</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7E828EAF" w14:textId="77777777" w:rsidR="00247CBF" w:rsidRPr="00092ED7" w:rsidRDefault="00247CBF" w:rsidP="00247CBF">
            <w:pPr>
              <w:spacing w:after="0" w:line="230" w:lineRule="auto"/>
              <w:jc w:val="right"/>
              <w:rPr>
                <w:sz w:val="20"/>
                <w:lang w:val="sr-Cyrl-CS"/>
              </w:rPr>
            </w:pPr>
            <w:r w:rsidRPr="00092ED7">
              <w:rPr>
                <w:sz w:val="20"/>
                <w:lang w:val="sr-Cyrl-CS"/>
              </w:rPr>
              <w:t>:</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71A8BADE" w14:textId="77777777" w:rsidR="00247CBF" w:rsidRPr="00092ED7" w:rsidRDefault="00247CBF" w:rsidP="00247CBF">
            <w:pPr>
              <w:spacing w:after="0" w:line="230" w:lineRule="auto"/>
              <w:jc w:val="right"/>
              <w:rPr>
                <w:sz w:val="20"/>
                <w:lang w:val="sr-Cyrl-CS"/>
              </w:rPr>
            </w:pPr>
            <w:r w:rsidRPr="00092ED7">
              <w:rPr>
                <w:sz w:val="20"/>
                <w:lang w:val="sr-Cyrl-CS"/>
              </w:rPr>
              <w:t>:</w:t>
            </w:r>
          </w:p>
        </w:tc>
        <w:tc>
          <w:tcPr>
            <w:tcW w:w="352" w:type="pct"/>
            <w:tcBorders>
              <w:top w:val="nil"/>
              <w:left w:val="nil"/>
              <w:bottom w:val="dotted" w:sz="4" w:space="0" w:color="auto"/>
              <w:right w:val="dotted" w:sz="4" w:space="0" w:color="auto"/>
            </w:tcBorders>
            <w:shd w:val="clear" w:color="000000" w:fill="FFFFFF"/>
            <w:vAlign w:val="center"/>
            <w:hideMark/>
          </w:tcPr>
          <w:p w14:paraId="7115DB0B" w14:textId="77777777" w:rsidR="00247CBF" w:rsidRPr="00092ED7" w:rsidRDefault="00247CBF" w:rsidP="00247CBF">
            <w:pPr>
              <w:spacing w:after="0" w:line="230" w:lineRule="auto"/>
              <w:jc w:val="right"/>
              <w:rPr>
                <w:sz w:val="20"/>
                <w:lang w:val="sr-Cyrl-CS"/>
              </w:rPr>
            </w:pPr>
            <w:r w:rsidRPr="00092ED7">
              <w:rPr>
                <w:sz w:val="20"/>
                <w:lang w:val="sr-Cyrl-CS"/>
              </w:rPr>
              <w:t>:</w:t>
            </w:r>
          </w:p>
        </w:tc>
        <w:tc>
          <w:tcPr>
            <w:tcW w:w="351" w:type="pct"/>
            <w:gridSpan w:val="2"/>
            <w:tcBorders>
              <w:top w:val="nil"/>
              <w:left w:val="nil"/>
              <w:bottom w:val="dotted" w:sz="4" w:space="0" w:color="auto"/>
              <w:right w:val="double" w:sz="6" w:space="0" w:color="auto"/>
            </w:tcBorders>
            <w:shd w:val="clear" w:color="000000" w:fill="FFFFFF"/>
            <w:vAlign w:val="center"/>
            <w:hideMark/>
          </w:tcPr>
          <w:p w14:paraId="6E8133B3" w14:textId="77777777" w:rsidR="00247CBF" w:rsidRPr="00092ED7" w:rsidRDefault="00247CBF" w:rsidP="00247CBF">
            <w:pPr>
              <w:spacing w:after="0" w:line="230" w:lineRule="auto"/>
              <w:jc w:val="right"/>
              <w:rPr>
                <w:sz w:val="20"/>
                <w:lang w:val="sr-Cyrl-CS"/>
              </w:rPr>
            </w:pPr>
            <w:r w:rsidRPr="00092ED7">
              <w:rPr>
                <w:sz w:val="20"/>
                <w:lang w:val="sr-Cyrl-CS"/>
              </w:rPr>
              <w:t>:</w:t>
            </w:r>
          </w:p>
        </w:tc>
      </w:tr>
      <w:tr w:rsidR="00247CBF" w:rsidRPr="00092ED7" w14:paraId="45F83A97" w14:textId="77777777" w:rsidTr="00247CBF">
        <w:trPr>
          <w:trHeight w:val="227"/>
        </w:trPr>
        <w:tc>
          <w:tcPr>
            <w:tcW w:w="2658" w:type="pct"/>
            <w:tcBorders>
              <w:top w:val="nil"/>
              <w:left w:val="double" w:sz="6" w:space="0" w:color="auto"/>
              <w:bottom w:val="dotted" w:sz="4" w:space="0" w:color="auto"/>
              <w:right w:val="nil"/>
            </w:tcBorders>
            <w:shd w:val="clear" w:color="000000" w:fill="FFFFFF"/>
            <w:vAlign w:val="center"/>
            <w:hideMark/>
          </w:tcPr>
          <w:p w14:paraId="101D930D" w14:textId="77777777" w:rsidR="00247CBF" w:rsidRPr="00092ED7" w:rsidRDefault="00247CBF" w:rsidP="00247CBF">
            <w:pPr>
              <w:spacing w:after="0" w:line="230" w:lineRule="auto"/>
              <w:rPr>
                <w:rFonts w:eastAsia="Times New Roman" w:cs="Times New Roman"/>
                <w:sz w:val="20"/>
                <w:szCs w:val="20"/>
                <w:lang w:val="sr-Cyrl-CS"/>
              </w:rPr>
            </w:pPr>
            <w:r w:rsidRPr="00092ED7">
              <w:rPr>
                <w:rFonts w:eastAsia="Times New Roman" w:cs="Times New Roman"/>
                <w:sz w:val="20"/>
                <w:szCs w:val="20"/>
                <w:lang w:val="sr-Cyrl-CS"/>
              </w:rPr>
              <w:t>4. Локална самоуправа</w:t>
            </w:r>
          </w:p>
        </w:tc>
        <w:tc>
          <w:tcPr>
            <w:tcW w:w="100" w:type="pct"/>
            <w:tcBorders>
              <w:top w:val="nil"/>
              <w:left w:val="nil"/>
              <w:bottom w:val="dotted" w:sz="4" w:space="0" w:color="auto"/>
              <w:right w:val="single" w:sz="8" w:space="0" w:color="auto"/>
            </w:tcBorders>
            <w:shd w:val="clear" w:color="000000" w:fill="FFFFFF"/>
            <w:vAlign w:val="center"/>
            <w:hideMark/>
          </w:tcPr>
          <w:p w14:paraId="599F2360" w14:textId="77777777" w:rsidR="00247CBF" w:rsidRPr="00092ED7" w:rsidRDefault="00247CBF" w:rsidP="00247CBF">
            <w:pPr>
              <w:spacing w:after="0" w:line="230" w:lineRule="auto"/>
              <w:jc w:val="center"/>
              <w:rPr>
                <w:rFonts w:eastAsia="Times New Roman" w:cs="Times New Roman"/>
                <w:sz w:val="20"/>
                <w:szCs w:val="20"/>
                <w:lang w:val="sr-Cyrl-CS"/>
              </w:rPr>
            </w:pPr>
            <w:r w:rsidRPr="00092ED7">
              <w:rPr>
                <w:rFonts w:eastAsia="Times New Roman" w:cs="Times New Roman"/>
                <w:sz w:val="20"/>
                <w:szCs w:val="20"/>
                <w:lang w:val="sr-Cyrl-CS"/>
              </w:rPr>
              <w:t> </w:t>
            </w:r>
          </w:p>
        </w:tc>
        <w:tc>
          <w:tcPr>
            <w:tcW w:w="483" w:type="pct"/>
            <w:gridSpan w:val="2"/>
            <w:tcBorders>
              <w:top w:val="nil"/>
              <w:left w:val="nil"/>
              <w:bottom w:val="dotted" w:sz="4" w:space="0" w:color="auto"/>
              <w:right w:val="single" w:sz="8" w:space="0" w:color="auto"/>
            </w:tcBorders>
            <w:shd w:val="clear" w:color="000000" w:fill="FFFFFF"/>
            <w:vAlign w:val="center"/>
            <w:hideMark/>
          </w:tcPr>
          <w:p w14:paraId="491D08EB" w14:textId="77777777" w:rsidR="00247CBF" w:rsidRPr="00092ED7" w:rsidRDefault="00247CBF" w:rsidP="00247CBF">
            <w:pPr>
              <w:spacing w:after="0" w:line="230" w:lineRule="auto"/>
              <w:jc w:val="center"/>
              <w:rPr>
                <w:rFonts w:eastAsia="Times New Roman" w:cs="Times New Roman"/>
                <w:sz w:val="20"/>
                <w:szCs w:val="20"/>
                <w:lang w:val="sr-Cyrl-CS"/>
              </w:rPr>
            </w:pPr>
            <w:r w:rsidRPr="00092ED7">
              <w:rPr>
                <w:rFonts w:eastAsia="Times New Roman" w:cs="Times New Roman"/>
                <w:sz w:val="20"/>
                <w:szCs w:val="20"/>
                <w:lang w:val="sr-Cyrl-CS"/>
              </w:rPr>
              <w:t>S1313</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79EC008D" w14:textId="77777777" w:rsidR="00247CBF" w:rsidRPr="00092ED7" w:rsidRDefault="00247CBF" w:rsidP="00247CBF">
            <w:pPr>
              <w:spacing w:after="0" w:line="230" w:lineRule="auto"/>
              <w:jc w:val="right"/>
              <w:rPr>
                <w:sz w:val="20"/>
                <w:lang w:val="sr-Cyrl-CS"/>
              </w:rPr>
            </w:pPr>
            <w:r w:rsidRPr="00092ED7">
              <w:rPr>
                <w:sz w:val="20"/>
                <w:lang w:val="sr-Cyrl-CS"/>
              </w:rPr>
              <w:t>22,46</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6DDE119D" w14:textId="77777777" w:rsidR="00247CBF" w:rsidRPr="00092ED7" w:rsidRDefault="00247CBF" w:rsidP="00247CBF">
            <w:pPr>
              <w:spacing w:after="0" w:line="230" w:lineRule="auto"/>
              <w:jc w:val="right"/>
              <w:rPr>
                <w:sz w:val="20"/>
                <w:lang w:val="sr-Cyrl-CS"/>
              </w:rPr>
            </w:pPr>
            <w:r w:rsidRPr="00092ED7">
              <w:rPr>
                <w:sz w:val="20"/>
                <w:lang w:val="sr-Cyrl-CS"/>
              </w:rPr>
              <w:t>7,60</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7B569F8E" w14:textId="77777777" w:rsidR="00247CBF" w:rsidRPr="00092ED7" w:rsidRDefault="00247CBF" w:rsidP="00247CBF">
            <w:pPr>
              <w:spacing w:after="0" w:line="230" w:lineRule="auto"/>
              <w:jc w:val="right"/>
              <w:rPr>
                <w:sz w:val="20"/>
                <w:lang w:val="sr-Cyrl-CS"/>
              </w:rPr>
            </w:pPr>
            <w:r w:rsidRPr="00092ED7">
              <w:rPr>
                <w:sz w:val="20"/>
                <w:lang w:val="sr-Cyrl-CS"/>
              </w:rPr>
              <w:t>0,00</w:t>
            </w:r>
          </w:p>
        </w:tc>
        <w:tc>
          <w:tcPr>
            <w:tcW w:w="352" w:type="pct"/>
            <w:tcBorders>
              <w:top w:val="nil"/>
              <w:left w:val="nil"/>
              <w:bottom w:val="dotted" w:sz="4" w:space="0" w:color="auto"/>
              <w:right w:val="dotted" w:sz="4" w:space="0" w:color="auto"/>
            </w:tcBorders>
            <w:shd w:val="clear" w:color="000000" w:fill="FFFFFF"/>
            <w:vAlign w:val="center"/>
            <w:hideMark/>
          </w:tcPr>
          <w:p w14:paraId="4533FD9A" w14:textId="77777777" w:rsidR="00247CBF" w:rsidRPr="00092ED7" w:rsidRDefault="00247CBF" w:rsidP="00247CBF">
            <w:pPr>
              <w:spacing w:after="0" w:line="230" w:lineRule="auto"/>
              <w:jc w:val="right"/>
              <w:rPr>
                <w:sz w:val="20"/>
                <w:lang w:val="sr-Cyrl-CS"/>
              </w:rPr>
            </w:pPr>
            <w:r w:rsidRPr="00092ED7">
              <w:rPr>
                <w:sz w:val="20"/>
                <w:lang w:val="sr-Cyrl-CS"/>
              </w:rPr>
              <w:t>0,00</w:t>
            </w:r>
          </w:p>
        </w:tc>
        <w:tc>
          <w:tcPr>
            <w:tcW w:w="351" w:type="pct"/>
            <w:gridSpan w:val="2"/>
            <w:tcBorders>
              <w:top w:val="nil"/>
              <w:left w:val="nil"/>
              <w:bottom w:val="dotted" w:sz="4" w:space="0" w:color="auto"/>
              <w:right w:val="double" w:sz="6" w:space="0" w:color="auto"/>
            </w:tcBorders>
            <w:shd w:val="clear" w:color="000000" w:fill="FFFFFF"/>
            <w:vAlign w:val="center"/>
            <w:hideMark/>
          </w:tcPr>
          <w:p w14:paraId="7694CFE3" w14:textId="77777777" w:rsidR="00247CBF" w:rsidRPr="00092ED7" w:rsidRDefault="00247CBF" w:rsidP="00247CBF">
            <w:pPr>
              <w:spacing w:after="0" w:line="230" w:lineRule="auto"/>
              <w:jc w:val="right"/>
              <w:rPr>
                <w:sz w:val="20"/>
                <w:lang w:val="sr-Cyrl-CS"/>
              </w:rPr>
            </w:pPr>
            <w:r w:rsidRPr="00092ED7">
              <w:rPr>
                <w:sz w:val="20"/>
                <w:lang w:val="sr-Cyrl-CS"/>
              </w:rPr>
              <w:t>0,00</w:t>
            </w:r>
          </w:p>
        </w:tc>
      </w:tr>
      <w:tr w:rsidR="00247CBF" w:rsidRPr="00092ED7" w14:paraId="1B7A4D84" w14:textId="77777777" w:rsidTr="00247CBF">
        <w:trPr>
          <w:trHeight w:val="227"/>
        </w:trPr>
        <w:tc>
          <w:tcPr>
            <w:tcW w:w="2658" w:type="pct"/>
            <w:tcBorders>
              <w:top w:val="nil"/>
              <w:left w:val="double" w:sz="6" w:space="0" w:color="auto"/>
              <w:bottom w:val="single" w:sz="8" w:space="0" w:color="auto"/>
              <w:right w:val="nil"/>
            </w:tcBorders>
            <w:shd w:val="clear" w:color="000000" w:fill="FFFFFF"/>
            <w:vAlign w:val="center"/>
            <w:hideMark/>
          </w:tcPr>
          <w:p w14:paraId="5EEC87E6" w14:textId="77777777" w:rsidR="00247CBF" w:rsidRPr="00092ED7" w:rsidRDefault="00247CBF" w:rsidP="00247CBF">
            <w:pPr>
              <w:spacing w:after="0" w:line="230" w:lineRule="auto"/>
              <w:rPr>
                <w:rFonts w:eastAsia="Times New Roman" w:cs="Times New Roman"/>
                <w:sz w:val="20"/>
                <w:szCs w:val="20"/>
                <w:lang w:val="sr-Cyrl-CS"/>
              </w:rPr>
            </w:pPr>
            <w:r w:rsidRPr="00092ED7">
              <w:rPr>
                <w:rFonts w:eastAsia="Times New Roman" w:cs="Times New Roman"/>
                <w:sz w:val="20"/>
                <w:szCs w:val="20"/>
                <w:lang w:val="sr-Cyrl-CS"/>
              </w:rPr>
              <w:t>5. Фондови социјалног осигурања</w:t>
            </w:r>
          </w:p>
        </w:tc>
        <w:tc>
          <w:tcPr>
            <w:tcW w:w="100" w:type="pct"/>
            <w:tcBorders>
              <w:top w:val="nil"/>
              <w:left w:val="nil"/>
              <w:bottom w:val="single" w:sz="8" w:space="0" w:color="auto"/>
              <w:right w:val="single" w:sz="8" w:space="0" w:color="auto"/>
            </w:tcBorders>
            <w:shd w:val="clear" w:color="000000" w:fill="FFFFFF"/>
            <w:vAlign w:val="center"/>
            <w:hideMark/>
          </w:tcPr>
          <w:p w14:paraId="3326629D" w14:textId="77777777" w:rsidR="00247CBF" w:rsidRPr="00092ED7" w:rsidRDefault="00247CBF" w:rsidP="00247CBF">
            <w:pPr>
              <w:spacing w:after="0" w:line="230" w:lineRule="auto"/>
              <w:jc w:val="center"/>
              <w:rPr>
                <w:rFonts w:eastAsia="Times New Roman" w:cs="Times New Roman"/>
                <w:sz w:val="20"/>
                <w:szCs w:val="20"/>
                <w:lang w:val="sr-Cyrl-CS"/>
              </w:rPr>
            </w:pPr>
            <w:r w:rsidRPr="00092ED7">
              <w:rPr>
                <w:rFonts w:eastAsia="Times New Roman" w:cs="Times New Roman"/>
                <w:sz w:val="20"/>
                <w:szCs w:val="20"/>
                <w:lang w:val="sr-Cyrl-CS"/>
              </w:rPr>
              <w:t> </w:t>
            </w:r>
          </w:p>
        </w:tc>
        <w:tc>
          <w:tcPr>
            <w:tcW w:w="483" w:type="pct"/>
            <w:gridSpan w:val="2"/>
            <w:tcBorders>
              <w:top w:val="nil"/>
              <w:left w:val="nil"/>
              <w:bottom w:val="single" w:sz="8" w:space="0" w:color="auto"/>
              <w:right w:val="single" w:sz="8" w:space="0" w:color="auto"/>
            </w:tcBorders>
            <w:shd w:val="clear" w:color="000000" w:fill="FFFFFF"/>
            <w:vAlign w:val="center"/>
            <w:hideMark/>
          </w:tcPr>
          <w:p w14:paraId="62A1F5A1" w14:textId="77777777" w:rsidR="00247CBF" w:rsidRPr="00092ED7" w:rsidRDefault="00247CBF" w:rsidP="00247CBF">
            <w:pPr>
              <w:spacing w:after="0" w:line="230" w:lineRule="auto"/>
              <w:jc w:val="center"/>
              <w:rPr>
                <w:rFonts w:eastAsia="Times New Roman" w:cs="Times New Roman"/>
                <w:sz w:val="20"/>
                <w:szCs w:val="20"/>
                <w:lang w:val="sr-Cyrl-CS"/>
              </w:rPr>
            </w:pPr>
            <w:r w:rsidRPr="00092ED7">
              <w:rPr>
                <w:rFonts w:eastAsia="Times New Roman" w:cs="Times New Roman"/>
                <w:sz w:val="20"/>
                <w:szCs w:val="20"/>
                <w:lang w:val="sr-Cyrl-CS"/>
              </w:rPr>
              <w:t>S1314</w:t>
            </w:r>
          </w:p>
        </w:tc>
        <w:tc>
          <w:tcPr>
            <w:tcW w:w="352" w:type="pct"/>
            <w:gridSpan w:val="2"/>
            <w:tcBorders>
              <w:top w:val="nil"/>
              <w:left w:val="nil"/>
              <w:bottom w:val="single" w:sz="8" w:space="0" w:color="auto"/>
              <w:right w:val="dotted" w:sz="4" w:space="0" w:color="auto"/>
            </w:tcBorders>
            <w:shd w:val="clear" w:color="000000" w:fill="FFFFFF"/>
            <w:vAlign w:val="center"/>
            <w:hideMark/>
          </w:tcPr>
          <w:p w14:paraId="7A58FE19" w14:textId="77777777" w:rsidR="00247CBF" w:rsidRPr="00092ED7" w:rsidRDefault="00247CBF" w:rsidP="00247CBF">
            <w:pPr>
              <w:spacing w:after="0" w:line="230" w:lineRule="auto"/>
              <w:jc w:val="right"/>
              <w:rPr>
                <w:sz w:val="20"/>
                <w:lang w:val="sr-Cyrl-CS"/>
              </w:rPr>
            </w:pPr>
            <w:r w:rsidRPr="00092ED7">
              <w:rPr>
                <w:sz w:val="20"/>
                <w:lang w:val="sr-Cyrl-CS"/>
              </w:rPr>
              <w:t>3,36</w:t>
            </w:r>
          </w:p>
        </w:tc>
        <w:tc>
          <w:tcPr>
            <w:tcW w:w="352" w:type="pct"/>
            <w:gridSpan w:val="2"/>
            <w:tcBorders>
              <w:top w:val="nil"/>
              <w:left w:val="nil"/>
              <w:bottom w:val="single" w:sz="8" w:space="0" w:color="auto"/>
              <w:right w:val="dotted" w:sz="4" w:space="0" w:color="auto"/>
            </w:tcBorders>
            <w:shd w:val="clear" w:color="000000" w:fill="FFFFFF"/>
            <w:vAlign w:val="center"/>
            <w:hideMark/>
          </w:tcPr>
          <w:p w14:paraId="4318F267" w14:textId="77777777" w:rsidR="00247CBF" w:rsidRPr="00092ED7" w:rsidRDefault="00247CBF" w:rsidP="00247CBF">
            <w:pPr>
              <w:spacing w:after="0" w:line="230" w:lineRule="auto"/>
              <w:jc w:val="right"/>
              <w:rPr>
                <w:sz w:val="20"/>
                <w:lang w:val="sr-Cyrl-CS"/>
              </w:rPr>
            </w:pPr>
            <w:r w:rsidRPr="00092ED7">
              <w:rPr>
                <w:sz w:val="20"/>
                <w:lang w:val="sr-Cyrl-CS"/>
              </w:rPr>
              <w:t>0,00</w:t>
            </w:r>
          </w:p>
        </w:tc>
        <w:tc>
          <w:tcPr>
            <w:tcW w:w="352" w:type="pct"/>
            <w:gridSpan w:val="2"/>
            <w:tcBorders>
              <w:top w:val="nil"/>
              <w:left w:val="nil"/>
              <w:bottom w:val="single" w:sz="8" w:space="0" w:color="auto"/>
              <w:right w:val="dotted" w:sz="4" w:space="0" w:color="auto"/>
            </w:tcBorders>
            <w:shd w:val="clear" w:color="000000" w:fill="FFFFFF"/>
            <w:vAlign w:val="center"/>
            <w:hideMark/>
          </w:tcPr>
          <w:p w14:paraId="2F1833DC" w14:textId="77777777" w:rsidR="00247CBF" w:rsidRPr="00092ED7" w:rsidRDefault="00247CBF" w:rsidP="00247CBF">
            <w:pPr>
              <w:spacing w:after="0" w:line="230" w:lineRule="auto"/>
              <w:jc w:val="right"/>
              <w:rPr>
                <w:sz w:val="20"/>
                <w:lang w:val="sr-Cyrl-CS"/>
              </w:rPr>
            </w:pPr>
            <w:r w:rsidRPr="00092ED7">
              <w:rPr>
                <w:sz w:val="20"/>
                <w:lang w:val="sr-Cyrl-CS"/>
              </w:rPr>
              <w:t>0,00</w:t>
            </w:r>
          </w:p>
        </w:tc>
        <w:tc>
          <w:tcPr>
            <w:tcW w:w="352" w:type="pct"/>
            <w:tcBorders>
              <w:top w:val="nil"/>
              <w:left w:val="nil"/>
              <w:bottom w:val="single" w:sz="8" w:space="0" w:color="auto"/>
              <w:right w:val="dotted" w:sz="4" w:space="0" w:color="auto"/>
            </w:tcBorders>
            <w:shd w:val="clear" w:color="000000" w:fill="FFFFFF"/>
            <w:vAlign w:val="center"/>
            <w:hideMark/>
          </w:tcPr>
          <w:p w14:paraId="4E8A3B9D" w14:textId="77777777" w:rsidR="00247CBF" w:rsidRPr="00092ED7" w:rsidRDefault="00247CBF" w:rsidP="00247CBF">
            <w:pPr>
              <w:spacing w:after="0" w:line="230" w:lineRule="auto"/>
              <w:jc w:val="right"/>
              <w:rPr>
                <w:sz w:val="20"/>
                <w:lang w:val="sr-Cyrl-CS"/>
              </w:rPr>
            </w:pPr>
            <w:r w:rsidRPr="00092ED7">
              <w:rPr>
                <w:sz w:val="20"/>
                <w:lang w:val="sr-Cyrl-CS"/>
              </w:rPr>
              <w:t>0,00</w:t>
            </w:r>
          </w:p>
        </w:tc>
        <w:tc>
          <w:tcPr>
            <w:tcW w:w="351" w:type="pct"/>
            <w:gridSpan w:val="2"/>
            <w:tcBorders>
              <w:top w:val="nil"/>
              <w:left w:val="nil"/>
              <w:bottom w:val="single" w:sz="8" w:space="0" w:color="auto"/>
              <w:right w:val="double" w:sz="6" w:space="0" w:color="auto"/>
            </w:tcBorders>
            <w:shd w:val="clear" w:color="000000" w:fill="FFFFFF"/>
            <w:vAlign w:val="center"/>
            <w:hideMark/>
          </w:tcPr>
          <w:p w14:paraId="281DD4D2" w14:textId="77777777" w:rsidR="00247CBF" w:rsidRPr="00092ED7" w:rsidRDefault="00247CBF" w:rsidP="00247CBF">
            <w:pPr>
              <w:spacing w:after="0" w:line="230" w:lineRule="auto"/>
              <w:jc w:val="right"/>
              <w:rPr>
                <w:sz w:val="20"/>
                <w:lang w:val="sr-Cyrl-CS"/>
              </w:rPr>
            </w:pPr>
            <w:r w:rsidRPr="00092ED7">
              <w:rPr>
                <w:sz w:val="20"/>
                <w:lang w:val="sr-Cyrl-CS"/>
              </w:rPr>
              <w:t>0,00</w:t>
            </w:r>
          </w:p>
        </w:tc>
      </w:tr>
      <w:tr w:rsidR="00247CBF" w:rsidRPr="00092ED7" w14:paraId="1875F85C" w14:textId="77777777" w:rsidTr="00247CBF">
        <w:trPr>
          <w:trHeight w:val="227"/>
        </w:trPr>
        <w:tc>
          <w:tcPr>
            <w:tcW w:w="5000" w:type="pct"/>
            <w:gridSpan w:val="13"/>
            <w:tcBorders>
              <w:top w:val="single" w:sz="8" w:space="0" w:color="auto"/>
              <w:left w:val="double" w:sz="6" w:space="0" w:color="auto"/>
              <w:bottom w:val="single" w:sz="8" w:space="0" w:color="auto"/>
              <w:right w:val="double" w:sz="6" w:space="0" w:color="000000"/>
            </w:tcBorders>
            <w:shd w:val="clear" w:color="000000" w:fill="FFFFFF"/>
            <w:vAlign w:val="center"/>
            <w:hideMark/>
          </w:tcPr>
          <w:p w14:paraId="3DFC7088" w14:textId="77777777" w:rsidR="00247CBF" w:rsidRPr="00092ED7" w:rsidRDefault="00247CBF" w:rsidP="00247CBF">
            <w:pPr>
              <w:spacing w:after="0" w:line="230" w:lineRule="auto"/>
              <w:jc w:val="center"/>
              <w:rPr>
                <w:rFonts w:eastAsia="Times New Roman" w:cs="Times New Roman"/>
                <w:b/>
                <w:bCs/>
                <w:sz w:val="20"/>
                <w:szCs w:val="20"/>
                <w:lang w:val="sr-Cyrl-CS"/>
              </w:rPr>
            </w:pPr>
            <w:r w:rsidRPr="00092ED7">
              <w:rPr>
                <w:rFonts w:eastAsia="Times New Roman" w:cs="Times New Roman"/>
                <w:b/>
                <w:bCs/>
                <w:sz w:val="20"/>
                <w:szCs w:val="20"/>
                <w:lang w:val="sr-Cyrl-CS"/>
              </w:rPr>
              <w:t>Општи ниво државе (S13)</w:t>
            </w:r>
          </w:p>
        </w:tc>
      </w:tr>
      <w:tr w:rsidR="00247CBF" w:rsidRPr="00092ED7" w14:paraId="42557B5F" w14:textId="77777777" w:rsidTr="00247CBF">
        <w:trPr>
          <w:trHeight w:val="227"/>
        </w:trPr>
        <w:tc>
          <w:tcPr>
            <w:tcW w:w="2658" w:type="pct"/>
            <w:tcBorders>
              <w:top w:val="nil"/>
              <w:left w:val="double" w:sz="6" w:space="0" w:color="auto"/>
              <w:bottom w:val="dotted" w:sz="4" w:space="0" w:color="auto"/>
              <w:right w:val="nil"/>
            </w:tcBorders>
            <w:shd w:val="clear" w:color="000000" w:fill="FFFFFF"/>
            <w:vAlign w:val="center"/>
            <w:hideMark/>
          </w:tcPr>
          <w:p w14:paraId="00C5AAEE" w14:textId="77777777" w:rsidR="00247CBF" w:rsidRPr="00092ED7" w:rsidRDefault="00247CBF" w:rsidP="00247CBF">
            <w:pPr>
              <w:spacing w:after="0" w:line="230" w:lineRule="auto"/>
              <w:rPr>
                <w:rFonts w:eastAsia="Times New Roman" w:cs="Times New Roman"/>
                <w:sz w:val="20"/>
                <w:szCs w:val="20"/>
                <w:lang w:val="sr-Cyrl-CS"/>
              </w:rPr>
            </w:pPr>
            <w:r w:rsidRPr="00092ED7">
              <w:rPr>
                <w:rFonts w:eastAsia="Times New Roman" w:cs="Times New Roman"/>
                <w:sz w:val="20"/>
                <w:szCs w:val="20"/>
                <w:lang w:val="sr-Cyrl-CS"/>
              </w:rPr>
              <w:t>6. Укупни приходи</w:t>
            </w:r>
          </w:p>
        </w:tc>
        <w:tc>
          <w:tcPr>
            <w:tcW w:w="100" w:type="pct"/>
            <w:tcBorders>
              <w:top w:val="nil"/>
              <w:left w:val="nil"/>
              <w:bottom w:val="dotted" w:sz="4" w:space="0" w:color="auto"/>
              <w:right w:val="single" w:sz="8" w:space="0" w:color="auto"/>
            </w:tcBorders>
            <w:shd w:val="clear" w:color="000000" w:fill="FFFFFF"/>
            <w:vAlign w:val="center"/>
            <w:hideMark/>
          </w:tcPr>
          <w:p w14:paraId="3A3B2735" w14:textId="77777777" w:rsidR="00247CBF" w:rsidRPr="00092ED7" w:rsidRDefault="00247CBF" w:rsidP="00247CBF">
            <w:pPr>
              <w:spacing w:after="0" w:line="230" w:lineRule="auto"/>
              <w:jc w:val="center"/>
              <w:rPr>
                <w:rFonts w:eastAsia="Times New Roman" w:cs="Times New Roman"/>
                <w:sz w:val="20"/>
                <w:szCs w:val="20"/>
                <w:lang w:val="sr-Cyrl-CS"/>
              </w:rPr>
            </w:pPr>
            <w:r w:rsidRPr="00092ED7">
              <w:rPr>
                <w:rFonts w:eastAsia="Times New Roman" w:cs="Times New Roman"/>
                <w:sz w:val="20"/>
                <w:szCs w:val="20"/>
                <w:lang w:val="sr-Cyrl-CS"/>
              </w:rPr>
              <w:t> </w:t>
            </w:r>
          </w:p>
        </w:tc>
        <w:tc>
          <w:tcPr>
            <w:tcW w:w="483" w:type="pct"/>
            <w:gridSpan w:val="2"/>
            <w:tcBorders>
              <w:top w:val="nil"/>
              <w:left w:val="nil"/>
              <w:bottom w:val="dotted" w:sz="4" w:space="0" w:color="auto"/>
              <w:right w:val="single" w:sz="8" w:space="0" w:color="auto"/>
            </w:tcBorders>
            <w:shd w:val="clear" w:color="000000" w:fill="FFFFFF"/>
            <w:vAlign w:val="center"/>
            <w:hideMark/>
          </w:tcPr>
          <w:p w14:paraId="0A5BDF52" w14:textId="77777777" w:rsidR="00247CBF" w:rsidRPr="00092ED7" w:rsidRDefault="00247CBF" w:rsidP="00247CBF">
            <w:pPr>
              <w:spacing w:after="0" w:line="230" w:lineRule="auto"/>
              <w:jc w:val="center"/>
              <w:rPr>
                <w:rFonts w:eastAsia="Times New Roman" w:cs="Times New Roman"/>
                <w:sz w:val="20"/>
                <w:szCs w:val="20"/>
                <w:lang w:val="sr-Cyrl-CS"/>
              </w:rPr>
            </w:pPr>
            <w:r w:rsidRPr="00092ED7">
              <w:rPr>
                <w:rFonts w:eastAsia="Times New Roman" w:cs="Times New Roman"/>
                <w:sz w:val="20"/>
                <w:szCs w:val="20"/>
                <w:lang w:val="sr-Cyrl-CS"/>
              </w:rPr>
              <w:t>TR</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0192FB2C" w14:textId="77777777" w:rsidR="00247CBF" w:rsidRPr="00092ED7" w:rsidRDefault="00247CBF" w:rsidP="00247CBF">
            <w:pPr>
              <w:spacing w:after="0" w:line="230" w:lineRule="auto"/>
              <w:jc w:val="right"/>
              <w:rPr>
                <w:sz w:val="20"/>
                <w:lang w:val="sr-Cyrl-CS"/>
              </w:rPr>
            </w:pPr>
            <w:r w:rsidRPr="00092ED7">
              <w:rPr>
                <w:sz w:val="20"/>
                <w:lang w:val="sr-Cyrl-CS"/>
              </w:rPr>
              <w:t>2.711,93</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7EBA8B2A" w14:textId="77777777" w:rsidR="00247CBF" w:rsidRPr="00092ED7" w:rsidRDefault="00247CBF" w:rsidP="00247CBF">
            <w:pPr>
              <w:spacing w:after="0" w:line="230" w:lineRule="auto"/>
              <w:jc w:val="right"/>
              <w:rPr>
                <w:sz w:val="20"/>
                <w:lang w:val="sr-Cyrl-CS"/>
              </w:rPr>
            </w:pPr>
            <w:r w:rsidRPr="00092ED7">
              <w:rPr>
                <w:sz w:val="20"/>
                <w:lang w:val="sr-Cyrl-CS"/>
              </w:rPr>
              <w:t>3.045,81</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5579D5B3" w14:textId="77777777" w:rsidR="00247CBF" w:rsidRPr="00092ED7" w:rsidRDefault="00247CBF" w:rsidP="00247CBF">
            <w:pPr>
              <w:spacing w:after="0" w:line="230" w:lineRule="auto"/>
              <w:jc w:val="right"/>
              <w:rPr>
                <w:sz w:val="20"/>
                <w:lang w:val="sr-Cyrl-CS"/>
              </w:rPr>
            </w:pPr>
            <w:r w:rsidRPr="00092ED7">
              <w:rPr>
                <w:sz w:val="20"/>
                <w:lang w:val="sr-Cyrl-CS"/>
              </w:rPr>
              <w:t>3.283,49</w:t>
            </w:r>
          </w:p>
        </w:tc>
        <w:tc>
          <w:tcPr>
            <w:tcW w:w="352" w:type="pct"/>
            <w:tcBorders>
              <w:top w:val="nil"/>
              <w:left w:val="nil"/>
              <w:bottom w:val="dotted" w:sz="4" w:space="0" w:color="auto"/>
              <w:right w:val="dotted" w:sz="4" w:space="0" w:color="auto"/>
            </w:tcBorders>
            <w:shd w:val="clear" w:color="000000" w:fill="FFFFFF"/>
            <w:vAlign w:val="center"/>
            <w:hideMark/>
          </w:tcPr>
          <w:p w14:paraId="3E081AC1" w14:textId="77777777" w:rsidR="00247CBF" w:rsidRPr="00092ED7" w:rsidRDefault="00247CBF" w:rsidP="00247CBF">
            <w:pPr>
              <w:spacing w:after="0" w:line="230" w:lineRule="auto"/>
              <w:jc w:val="right"/>
              <w:rPr>
                <w:sz w:val="20"/>
                <w:lang w:val="sr-Cyrl-CS"/>
              </w:rPr>
            </w:pPr>
            <w:r w:rsidRPr="00092ED7">
              <w:rPr>
                <w:sz w:val="20"/>
                <w:lang w:val="sr-Cyrl-CS"/>
              </w:rPr>
              <w:t>3.543,80</w:t>
            </w:r>
          </w:p>
        </w:tc>
        <w:tc>
          <w:tcPr>
            <w:tcW w:w="351" w:type="pct"/>
            <w:gridSpan w:val="2"/>
            <w:tcBorders>
              <w:top w:val="nil"/>
              <w:left w:val="nil"/>
              <w:bottom w:val="dotted" w:sz="4" w:space="0" w:color="auto"/>
              <w:right w:val="double" w:sz="6" w:space="0" w:color="auto"/>
            </w:tcBorders>
            <w:shd w:val="clear" w:color="000000" w:fill="FFFFFF"/>
            <w:vAlign w:val="center"/>
            <w:hideMark/>
          </w:tcPr>
          <w:p w14:paraId="57F73913" w14:textId="77777777" w:rsidR="00247CBF" w:rsidRPr="00092ED7" w:rsidRDefault="00247CBF" w:rsidP="00247CBF">
            <w:pPr>
              <w:spacing w:after="0" w:line="230" w:lineRule="auto"/>
              <w:jc w:val="right"/>
              <w:rPr>
                <w:sz w:val="20"/>
                <w:lang w:val="sr-Cyrl-CS"/>
              </w:rPr>
            </w:pPr>
            <w:r w:rsidRPr="00092ED7">
              <w:rPr>
                <w:sz w:val="20"/>
                <w:lang w:val="sr-Cyrl-CS"/>
              </w:rPr>
              <w:t>3.772,66</w:t>
            </w:r>
          </w:p>
        </w:tc>
      </w:tr>
      <w:tr w:rsidR="00247CBF" w:rsidRPr="00092ED7" w14:paraId="1CD496D2" w14:textId="77777777" w:rsidTr="00247CBF">
        <w:trPr>
          <w:trHeight w:val="227"/>
        </w:trPr>
        <w:tc>
          <w:tcPr>
            <w:tcW w:w="2658" w:type="pct"/>
            <w:tcBorders>
              <w:top w:val="nil"/>
              <w:left w:val="double" w:sz="6" w:space="0" w:color="auto"/>
              <w:bottom w:val="dotted" w:sz="4" w:space="0" w:color="auto"/>
              <w:right w:val="nil"/>
            </w:tcBorders>
            <w:shd w:val="clear" w:color="000000" w:fill="FFFFFF"/>
            <w:vAlign w:val="center"/>
            <w:hideMark/>
          </w:tcPr>
          <w:p w14:paraId="646AD3CF" w14:textId="77777777" w:rsidR="00247CBF" w:rsidRPr="00092ED7" w:rsidRDefault="00247CBF" w:rsidP="00247CBF">
            <w:pPr>
              <w:spacing w:after="0" w:line="230" w:lineRule="auto"/>
              <w:rPr>
                <w:rFonts w:eastAsia="Times New Roman" w:cs="Times New Roman"/>
                <w:sz w:val="20"/>
                <w:szCs w:val="20"/>
                <w:lang w:val="sr-Cyrl-CS"/>
              </w:rPr>
            </w:pPr>
            <w:r w:rsidRPr="00092ED7">
              <w:rPr>
                <w:rFonts w:eastAsia="Times New Roman" w:cs="Times New Roman"/>
                <w:sz w:val="20"/>
                <w:szCs w:val="20"/>
                <w:lang w:val="sr-Cyrl-CS"/>
              </w:rPr>
              <w:t>7. Укупни расходи[1]</w:t>
            </w:r>
          </w:p>
        </w:tc>
        <w:tc>
          <w:tcPr>
            <w:tcW w:w="100" w:type="pct"/>
            <w:tcBorders>
              <w:top w:val="nil"/>
              <w:left w:val="nil"/>
              <w:bottom w:val="dotted" w:sz="4" w:space="0" w:color="auto"/>
              <w:right w:val="single" w:sz="8" w:space="0" w:color="auto"/>
            </w:tcBorders>
            <w:shd w:val="clear" w:color="000000" w:fill="FFFFFF"/>
            <w:vAlign w:val="center"/>
            <w:hideMark/>
          </w:tcPr>
          <w:p w14:paraId="714CA668" w14:textId="77777777" w:rsidR="00247CBF" w:rsidRPr="00092ED7" w:rsidRDefault="00247CBF" w:rsidP="00247CBF">
            <w:pPr>
              <w:spacing w:after="0" w:line="230" w:lineRule="auto"/>
              <w:jc w:val="center"/>
              <w:rPr>
                <w:rFonts w:eastAsia="Times New Roman" w:cs="Times New Roman"/>
                <w:sz w:val="20"/>
                <w:szCs w:val="20"/>
                <w:lang w:val="sr-Cyrl-CS"/>
              </w:rPr>
            </w:pPr>
            <w:r w:rsidRPr="00092ED7">
              <w:rPr>
                <w:rFonts w:eastAsia="Times New Roman" w:cs="Times New Roman"/>
                <w:sz w:val="20"/>
                <w:szCs w:val="20"/>
                <w:lang w:val="sr-Cyrl-CS"/>
              </w:rPr>
              <w:t> </w:t>
            </w:r>
          </w:p>
        </w:tc>
        <w:tc>
          <w:tcPr>
            <w:tcW w:w="483" w:type="pct"/>
            <w:gridSpan w:val="2"/>
            <w:tcBorders>
              <w:top w:val="nil"/>
              <w:left w:val="nil"/>
              <w:bottom w:val="dotted" w:sz="4" w:space="0" w:color="auto"/>
              <w:right w:val="single" w:sz="8" w:space="0" w:color="auto"/>
            </w:tcBorders>
            <w:shd w:val="clear" w:color="000000" w:fill="FFFFFF"/>
            <w:vAlign w:val="center"/>
            <w:hideMark/>
          </w:tcPr>
          <w:p w14:paraId="2498C770" w14:textId="77777777" w:rsidR="00247CBF" w:rsidRPr="00092ED7" w:rsidRDefault="00247CBF" w:rsidP="00247CBF">
            <w:pPr>
              <w:spacing w:after="0" w:line="230" w:lineRule="auto"/>
              <w:jc w:val="center"/>
              <w:rPr>
                <w:rFonts w:eastAsia="Times New Roman" w:cs="Times New Roman"/>
                <w:sz w:val="20"/>
                <w:szCs w:val="20"/>
                <w:lang w:val="sr-Cyrl-CS"/>
              </w:rPr>
            </w:pPr>
            <w:r w:rsidRPr="00092ED7">
              <w:rPr>
                <w:rFonts w:eastAsia="Times New Roman" w:cs="Times New Roman"/>
                <w:sz w:val="20"/>
                <w:szCs w:val="20"/>
                <w:lang w:val="sr-Cyrl-CS"/>
              </w:rPr>
              <w:t>TE</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1427DDA5" w14:textId="77777777" w:rsidR="00247CBF" w:rsidRPr="00092ED7" w:rsidRDefault="00247CBF" w:rsidP="00247CBF">
            <w:pPr>
              <w:spacing w:after="0" w:line="230" w:lineRule="auto"/>
              <w:jc w:val="right"/>
              <w:rPr>
                <w:sz w:val="20"/>
                <w:lang w:val="sr-Cyrl-CS"/>
              </w:rPr>
            </w:pPr>
            <w:r w:rsidRPr="00092ED7">
              <w:rPr>
                <w:sz w:val="20"/>
                <w:lang w:val="sr-Cyrl-CS"/>
              </w:rPr>
              <w:t>2.971,32</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586EC121" w14:textId="77777777" w:rsidR="00247CBF" w:rsidRPr="00092ED7" w:rsidRDefault="00247CBF" w:rsidP="00247CBF">
            <w:pPr>
              <w:spacing w:after="0" w:line="230" w:lineRule="auto"/>
              <w:jc w:val="right"/>
              <w:rPr>
                <w:sz w:val="20"/>
                <w:lang w:val="sr-Cyrl-CS"/>
              </w:rPr>
            </w:pPr>
            <w:r w:rsidRPr="00092ED7">
              <w:rPr>
                <w:sz w:val="20"/>
                <w:lang w:val="sr-Cyrl-CS"/>
              </w:rPr>
              <w:t>3.317,34</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2BF4060D" w14:textId="77777777" w:rsidR="00247CBF" w:rsidRPr="00092ED7" w:rsidRDefault="00247CBF" w:rsidP="00247CBF">
            <w:pPr>
              <w:spacing w:after="0" w:line="230" w:lineRule="auto"/>
              <w:jc w:val="right"/>
              <w:rPr>
                <w:sz w:val="20"/>
                <w:lang w:val="sr-Cyrl-CS"/>
              </w:rPr>
            </w:pPr>
            <w:r w:rsidRPr="00092ED7">
              <w:rPr>
                <w:sz w:val="20"/>
                <w:lang w:val="sr-Cyrl-CS"/>
              </w:rPr>
              <w:t>3.547,48</w:t>
            </w:r>
          </w:p>
        </w:tc>
        <w:tc>
          <w:tcPr>
            <w:tcW w:w="352" w:type="pct"/>
            <w:tcBorders>
              <w:top w:val="nil"/>
              <w:left w:val="nil"/>
              <w:bottom w:val="dotted" w:sz="4" w:space="0" w:color="auto"/>
              <w:right w:val="dotted" w:sz="4" w:space="0" w:color="auto"/>
            </w:tcBorders>
            <w:shd w:val="clear" w:color="000000" w:fill="FFFFFF"/>
            <w:vAlign w:val="center"/>
            <w:hideMark/>
          </w:tcPr>
          <w:p w14:paraId="4B98EC40" w14:textId="77777777" w:rsidR="00247CBF" w:rsidRPr="00092ED7" w:rsidRDefault="00247CBF" w:rsidP="00247CBF">
            <w:pPr>
              <w:spacing w:after="0" w:line="230" w:lineRule="auto"/>
              <w:jc w:val="right"/>
              <w:rPr>
                <w:sz w:val="20"/>
                <w:lang w:val="sr-Cyrl-CS"/>
              </w:rPr>
            </w:pPr>
            <w:r w:rsidRPr="00092ED7">
              <w:rPr>
                <w:sz w:val="20"/>
                <w:lang w:val="sr-Cyrl-CS"/>
              </w:rPr>
              <w:t>3.733,14</w:t>
            </w:r>
          </w:p>
        </w:tc>
        <w:tc>
          <w:tcPr>
            <w:tcW w:w="351" w:type="pct"/>
            <w:gridSpan w:val="2"/>
            <w:tcBorders>
              <w:top w:val="nil"/>
              <w:left w:val="nil"/>
              <w:bottom w:val="dotted" w:sz="4" w:space="0" w:color="auto"/>
              <w:right w:val="double" w:sz="6" w:space="0" w:color="auto"/>
            </w:tcBorders>
            <w:shd w:val="clear" w:color="000000" w:fill="FFFFFF"/>
            <w:vAlign w:val="center"/>
            <w:hideMark/>
          </w:tcPr>
          <w:p w14:paraId="44AC30B0" w14:textId="77777777" w:rsidR="00247CBF" w:rsidRPr="00092ED7" w:rsidRDefault="00247CBF" w:rsidP="00247CBF">
            <w:pPr>
              <w:spacing w:after="0" w:line="230" w:lineRule="auto"/>
              <w:jc w:val="right"/>
              <w:rPr>
                <w:sz w:val="20"/>
                <w:lang w:val="sr-Cyrl-CS"/>
              </w:rPr>
            </w:pPr>
            <w:r w:rsidRPr="00092ED7">
              <w:rPr>
                <w:sz w:val="20"/>
                <w:lang w:val="sr-Cyrl-CS"/>
              </w:rPr>
              <w:t>3.901,79</w:t>
            </w:r>
          </w:p>
        </w:tc>
      </w:tr>
      <w:tr w:rsidR="00247CBF" w:rsidRPr="00092ED7" w14:paraId="09A39ED9" w14:textId="77777777" w:rsidTr="00247CBF">
        <w:trPr>
          <w:trHeight w:val="227"/>
        </w:trPr>
        <w:tc>
          <w:tcPr>
            <w:tcW w:w="2658" w:type="pct"/>
            <w:tcBorders>
              <w:top w:val="nil"/>
              <w:left w:val="double" w:sz="6" w:space="0" w:color="auto"/>
              <w:bottom w:val="dotted" w:sz="4" w:space="0" w:color="auto"/>
              <w:right w:val="nil"/>
            </w:tcBorders>
            <w:shd w:val="clear" w:color="000000" w:fill="FFFFFF"/>
            <w:vAlign w:val="center"/>
            <w:hideMark/>
          </w:tcPr>
          <w:p w14:paraId="22AAC9B0" w14:textId="77777777" w:rsidR="00247CBF" w:rsidRPr="00092ED7" w:rsidRDefault="00247CBF" w:rsidP="00247CBF">
            <w:pPr>
              <w:spacing w:after="0" w:line="230" w:lineRule="auto"/>
              <w:rPr>
                <w:rFonts w:eastAsia="Times New Roman" w:cs="Times New Roman"/>
                <w:sz w:val="20"/>
                <w:szCs w:val="20"/>
                <w:lang w:val="sr-Cyrl-CS"/>
              </w:rPr>
            </w:pPr>
            <w:r w:rsidRPr="00092ED7">
              <w:rPr>
                <w:rFonts w:eastAsia="Times New Roman" w:cs="Times New Roman"/>
                <w:sz w:val="20"/>
                <w:szCs w:val="20"/>
                <w:lang w:val="sr-Cyrl-CS"/>
              </w:rPr>
              <w:t>8. Нето узете/дате позајмице</w:t>
            </w:r>
          </w:p>
        </w:tc>
        <w:tc>
          <w:tcPr>
            <w:tcW w:w="100" w:type="pct"/>
            <w:tcBorders>
              <w:top w:val="nil"/>
              <w:left w:val="nil"/>
              <w:bottom w:val="dotted" w:sz="4" w:space="0" w:color="auto"/>
              <w:right w:val="single" w:sz="8" w:space="0" w:color="auto"/>
            </w:tcBorders>
            <w:shd w:val="clear" w:color="000000" w:fill="FFFFFF"/>
            <w:vAlign w:val="center"/>
            <w:hideMark/>
          </w:tcPr>
          <w:p w14:paraId="0D081EC9" w14:textId="77777777" w:rsidR="00247CBF" w:rsidRPr="00092ED7" w:rsidRDefault="00247CBF" w:rsidP="00247CBF">
            <w:pPr>
              <w:spacing w:after="0" w:line="230" w:lineRule="auto"/>
              <w:jc w:val="center"/>
              <w:rPr>
                <w:rFonts w:eastAsia="Times New Roman" w:cs="Times New Roman"/>
                <w:sz w:val="20"/>
                <w:szCs w:val="20"/>
                <w:lang w:val="sr-Cyrl-CS"/>
              </w:rPr>
            </w:pPr>
            <w:r w:rsidRPr="00092ED7">
              <w:rPr>
                <w:rFonts w:eastAsia="Times New Roman" w:cs="Times New Roman"/>
                <w:sz w:val="20"/>
                <w:szCs w:val="20"/>
                <w:lang w:val="sr-Cyrl-CS"/>
              </w:rPr>
              <w:t> </w:t>
            </w:r>
          </w:p>
        </w:tc>
        <w:tc>
          <w:tcPr>
            <w:tcW w:w="483" w:type="pct"/>
            <w:gridSpan w:val="2"/>
            <w:tcBorders>
              <w:top w:val="nil"/>
              <w:left w:val="nil"/>
              <w:bottom w:val="dotted" w:sz="4" w:space="0" w:color="auto"/>
              <w:right w:val="single" w:sz="8" w:space="0" w:color="auto"/>
            </w:tcBorders>
            <w:shd w:val="clear" w:color="000000" w:fill="FFFFFF"/>
            <w:vAlign w:val="center"/>
            <w:hideMark/>
          </w:tcPr>
          <w:p w14:paraId="0B91C131" w14:textId="77777777" w:rsidR="00247CBF" w:rsidRPr="00092ED7" w:rsidRDefault="00247CBF" w:rsidP="00247CBF">
            <w:pPr>
              <w:spacing w:after="0" w:line="230" w:lineRule="auto"/>
              <w:jc w:val="center"/>
              <w:rPr>
                <w:rFonts w:eastAsia="Times New Roman" w:cs="Times New Roman"/>
                <w:sz w:val="20"/>
                <w:szCs w:val="20"/>
                <w:lang w:val="sr-Cyrl-CS"/>
              </w:rPr>
            </w:pPr>
            <w:r w:rsidRPr="00092ED7">
              <w:rPr>
                <w:rFonts w:eastAsia="Times New Roman" w:cs="Times New Roman"/>
                <w:sz w:val="20"/>
                <w:szCs w:val="20"/>
                <w:lang w:val="sr-Cyrl-CS"/>
              </w:rPr>
              <w:t>EDP.B9</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71AD22CE" w14:textId="77777777" w:rsidR="00247CBF" w:rsidRPr="00092ED7" w:rsidRDefault="00247CBF" w:rsidP="00247CBF">
            <w:pPr>
              <w:spacing w:after="0" w:line="230" w:lineRule="auto"/>
              <w:jc w:val="right"/>
              <w:rPr>
                <w:sz w:val="20"/>
                <w:lang w:val="sr-Cyrl-CS"/>
              </w:rPr>
            </w:pPr>
            <w:r w:rsidRPr="00092ED7">
              <w:rPr>
                <w:sz w:val="20"/>
                <w:lang w:val="sr-Cyrl-CS"/>
              </w:rPr>
              <w:t>-259,39</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1A1D26E9" w14:textId="77777777" w:rsidR="00247CBF" w:rsidRPr="00092ED7" w:rsidRDefault="00247CBF" w:rsidP="00247CBF">
            <w:pPr>
              <w:spacing w:after="0" w:line="230" w:lineRule="auto"/>
              <w:jc w:val="right"/>
              <w:rPr>
                <w:sz w:val="20"/>
                <w:lang w:val="sr-Cyrl-CS"/>
              </w:rPr>
            </w:pPr>
            <w:r w:rsidRPr="00092ED7">
              <w:rPr>
                <w:sz w:val="20"/>
                <w:lang w:val="sr-Cyrl-CS"/>
              </w:rPr>
              <w:t>-271,53</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6B6A65AD" w14:textId="77777777" w:rsidR="00247CBF" w:rsidRPr="00092ED7" w:rsidRDefault="00247CBF" w:rsidP="00247CBF">
            <w:pPr>
              <w:spacing w:after="0" w:line="230" w:lineRule="auto"/>
              <w:jc w:val="right"/>
              <w:rPr>
                <w:sz w:val="20"/>
                <w:lang w:val="sr-Cyrl-CS"/>
              </w:rPr>
            </w:pPr>
            <w:r w:rsidRPr="00092ED7">
              <w:rPr>
                <w:sz w:val="20"/>
                <w:lang w:val="sr-Cyrl-CS"/>
              </w:rPr>
              <w:t>-263,99</w:t>
            </w:r>
          </w:p>
        </w:tc>
        <w:tc>
          <w:tcPr>
            <w:tcW w:w="352" w:type="pct"/>
            <w:tcBorders>
              <w:top w:val="nil"/>
              <w:left w:val="nil"/>
              <w:bottom w:val="dotted" w:sz="4" w:space="0" w:color="auto"/>
              <w:right w:val="dotted" w:sz="4" w:space="0" w:color="auto"/>
            </w:tcBorders>
            <w:shd w:val="clear" w:color="000000" w:fill="FFFFFF"/>
            <w:vAlign w:val="center"/>
            <w:hideMark/>
          </w:tcPr>
          <w:p w14:paraId="6BCB7E0E" w14:textId="77777777" w:rsidR="00247CBF" w:rsidRPr="00092ED7" w:rsidRDefault="00247CBF" w:rsidP="00247CBF">
            <w:pPr>
              <w:spacing w:after="0" w:line="230" w:lineRule="auto"/>
              <w:jc w:val="right"/>
              <w:rPr>
                <w:sz w:val="20"/>
                <w:lang w:val="sr-Cyrl-CS"/>
              </w:rPr>
            </w:pPr>
            <w:r w:rsidRPr="00092ED7">
              <w:rPr>
                <w:sz w:val="20"/>
                <w:lang w:val="sr-Cyrl-CS"/>
              </w:rPr>
              <w:t>-189,33</w:t>
            </w:r>
          </w:p>
        </w:tc>
        <w:tc>
          <w:tcPr>
            <w:tcW w:w="351" w:type="pct"/>
            <w:gridSpan w:val="2"/>
            <w:tcBorders>
              <w:top w:val="nil"/>
              <w:left w:val="nil"/>
              <w:bottom w:val="dotted" w:sz="4" w:space="0" w:color="auto"/>
              <w:right w:val="double" w:sz="6" w:space="0" w:color="auto"/>
            </w:tcBorders>
            <w:shd w:val="clear" w:color="000000" w:fill="FFFFFF"/>
            <w:vAlign w:val="center"/>
            <w:hideMark/>
          </w:tcPr>
          <w:p w14:paraId="78AFC19D" w14:textId="77777777" w:rsidR="00247CBF" w:rsidRPr="00092ED7" w:rsidRDefault="00247CBF" w:rsidP="00247CBF">
            <w:pPr>
              <w:spacing w:after="0" w:line="230" w:lineRule="auto"/>
              <w:jc w:val="right"/>
              <w:rPr>
                <w:sz w:val="20"/>
                <w:lang w:val="sr-Cyrl-CS"/>
              </w:rPr>
            </w:pPr>
            <w:r w:rsidRPr="00092ED7">
              <w:rPr>
                <w:sz w:val="20"/>
                <w:lang w:val="sr-Cyrl-CS"/>
              </w:rPr>
              <w:t>-129,12</w:t>
            </w:r>
          </w:p>
        </w:tc>
      </w:tr>
      <w:tr w:rsidR="00247CBF" w:rsidRPr="00092ED7" w14:paraId="28DA64F0" w14:textId="77777777" w:rsidTr="00247CBF">
        <w:trPr>
          <w:trHeight w:val="227"/>
        </w:trPr>
        <w:tc>
          <w:tcPr>
            <w:tcW w:w="2658" w:type="pct"/>
            <w:tcBorders>
              <w:top w:val="nil"/>
              <w:left w:val="double" w:sz="6" w:space="0" w:color="auto"/>
              <w:bottom w:val="dotted" w:sz="4" w:space="0" w:color="auto"/>
              <w:right w:val="nil"/>
            </w:tcBorders>
            <w:shd w:val="clear" w:color="000000" w:fill="FFFFFF"/>
            <w:vAlign w:val="center"/>
            <w:hideMark/>
          </w:tcPr>
          <w:p w14:paraId="65119337" w14:textId="77777777" w:rsidR="00247CBF" w:rsidRPr="00092ED7" w:rsidRDefault="00247CBF" w:rsidP="00247CBF">
            <w:pPr>
              <w:spacing w:after="0" w:line="230" w:lineRule="auto"/>
              <w:rPr>
                <w:rFonts w:eastAsia="Times New Roman" w:cs="Times New Roman"/>
                <w:sz w:val="20"/>
                <w:szCs w:val="20"/>
                <w:lang w:val="sr-Cyrl-CS"/>
              </w:rPr>
            </w:pPr>
            <w:r w:rsidRPr="00092ED7">
              <w:rPr>
                <w:rFonts w:eastAsia="Times New Roman" w:cs="Times New Roman"/>
                <w:sz w:val="20"/>
                <w:szCs w:val="20"/>
                <w:lang w:val="sr-Cyrl-CS"/>
              </w:rPr>
              <w:t>9. Расходи за камате</w:t>
            </w:r>
          </w:p>
        </w:tc>
        <w:tc>
          <w:tcPr>
            <w:tcW w:w="100" w:type="pct"/>
            <w:tcBorders>
              <w:top w:val="nil"/>
              <w:left w:val="nil"/>
              <w:bottom w:val="dotted" w:sz="4" w:space="0" w:color="auto"/>
              <w:right w:val="single" w:sz="8" w:space="0" w:color="auto"/>
            </w:tcBorders>
            <w:shd w:val="clear" w:color="000000" w:fill="FFFFFF"/>
            <w:vAlign w:val="center"/>
            <w:hideMark/>
          </w:tcPr>
          <w:p w14:paraId="6E49A182" w14:textId="77777777" w:rsidR="00247CBF" w:rsidRPr="00092ED7" w:rsidRDefault="00247CBF" w:rsidP="00247CBF">
            <w:pPr>
              <w:spacing w:after="0" w:line="230" w:lineRule="auto"/>
              <w:jc w:val="center"/>
              <w:rPr>
                <w:rFonts w:eastAsia="Times New Roman" w:cs="Times New Roman"/>
                <w:sz w:val="20"/>
                <w:szCs w:val="20"/>
                <w:lang w:val="sr-Cyrl-CS"/>
              </w:rPr>
            </w:pPr>
            <w:r w:rsidRPr="00092ED7">
              <w:rPr>
                <w:rFonts w:eastAsia="Times New Roman" w:cs="Times New Roman"/>
                <w:sz w:val="20"/>
                <w:szCs w:val="20"/>
                <w:lang w:val="sr-Cyrl-CS"/>
              </w:rPr>
              <w:t> </w:t>
            </w:r>
          </w:p>
        </w:tc>
        <w:tc>
          <w:tcPr>
            <w:tcW w:w="483" w:type="pct"/>
            <w:gridSpan w:val="2"/>
            <w:tcBorders>
              <w:top w:val="nil"/>
              <w:left w:val="nil"/>
              <w:bottom w:val="dotted" w:sz="4" w:space="0" w:color="auto"/>
              <w:right w:val="single" w:sz="8" w:space="0" w:color="auto"/>
            </w:tcBorders>
            <w:shd w:val="clear" w:color="000000" w:fill="FFFFFF"/>
            <w:vAlign w:val="center"/>
            <w:hideMark/>
          </w:tcPr>
          <w:p w14:paraId="19C5F416" w14:textId="77777777" w:rsidR="00247CBF" w:rsidRPr="00092ED7" w:rsidRDefault="00247CBF" w:rsidP="00247CBF">
            <w:pPr>
              <w:spacing w:after="0" w:line="230" w:lineRule="auto"/>
              <w:jc w:val="center"/>
              <w:rPr>
                <w:rFonts w:eastAsia="Times New Roman" w:cs="Times New Roman"/>
                <w:sz w:val="20"/>
                <w:szCs w:val="20"/>
                <w:lang w:val="sr-Cyrl-CS"/>
              </w:rPr>
            </w:pPr>
            <w:r w:rsidRPr="00092ED7">
              <w:rPr>
                <w:rFonts w:eastAsia="Times New Roman" w:cs="Times New Roman"/>
                <w:sz w:val="20"/>
                <w:szCs w:val="20"/>
                <w:lang w:val="sr-Cyrl-CS"/>
              </w:rPr>
              <w:t>EDP.D41 incl. FISIM</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5A31AD35" w14:textId="77777777" w:rsidR="00247CBF" w:rsidRPr="00092ED7" w:rsidRDefault="00247CBF" w:rsidP="00247CBF">
            <w:pPr>
              <w:spacing w:after="0" w:line="230" w:lineRule="auto"/>
              <w:jc w:val="right"/>
              <w:rPr>
                <w:sz w:val="20"/>
                <w:lang w:val="sr-Cyrl-CS"/>
              </w:rPr>
            </w:pPr>
            <w:r w:rsidRPr="00092ED7">
              <w:rPr>
                <w:sz w:val="20"/>
                <w:lang w:val="sr-Cyrl-CS"/>
              </w:rPr>
              <w:t>108,75</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3ECEB374" w14:textId="77777777" w:rsidR="00247CBF" w:rsidRPr="00092ED7" w:rsidRDefault="00247CBF" w:rsidP="00247CBF">
            <w:pPr>
              <w:spacing w:after="0" w:line="230" w:lineRule="auto"/>
              <w:jc w:val="right"/>
              <w:rPr>
                <w:sz w:val="20"/>
                <w:lang w:val="sr-Cyrl-CS"/>
              </w:rPr>
            </w:pPr>
            <w:r w:rsidRPr="00092ED7">
              <w:rPr>
                <w:sz w:val="20"/>
                <w:lang w:val="sr-Cyrl-CS"/>
              </w:rPr>
              <w:t>115,60</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1AC743E2" w14:textId="77777777" w:rsidR="00247CBF" w:rsidRPr="00092ED7" w:rsidRDefault="00247CBF" w:rsidP="00247CBF">
            <w:pPr>
              <w:spacing w:after="0" w:line="230" w:lineRule="auto"/>
              <w:jc w:val="right"/>
              <w:rPr>
                <w:sz w:val="20"/>
                <w:lang w:val="sr-Cyrl-CS"/>
              </w:rPr>
            </w:pPr>
            <w:r w:rsidRPr="00092ED7">
              <w:rPr>
                <w:sz w:val="20"/>
                <w:lang w:val="sr-Cyrl-CS"/>
              </w:rPr>
              <w:t>145,90</w:t>
            </w:r>
          </w:p>
        </w:tc>
        <w:tc>
          <w:tcPr>
            <w:tcW w:w="352" w:type="pct"/>
            <w:tcBorders>
              <w:top w:val="nil"/>
              <w:left w:val="nil"/>
              <w:bottom w:val="dotted" w:sz="4" w:space="0" w:color="auto"/>
              <w:right w:val="dotted" w:sz="4" w:space="0" w:color="auto"/>
            </w:tcBorders>
            <w:shd w:val="clear" w:color="000000" w:fill="FFFFFF"/>
            <w:vAlign w:val="center"/>
            <w:hideMark/>
          </w:tcPr>
          <w:p w14:paraId="6983E74D" w14:textId="77777777" w:rsidR="00247CBF" w:rsidRPr="00092ED7" w:rsidRDefault="00247CBF" w:rsidP="00247CBF">
            <w:pPr>
              <w:spacing w:after="0" w:line="230" w:lineRule="auto"/>
              <w:jc w:val="right"/>
              <w:rPr>
                <w:sz w:val="20"/>
                <w:lang w:val="sr-Cyrl-CS"/>
              </w:rPr>
            </w:pPr>
            <w:r w:rsidRPr="00092ED7">
              <w:rPr>
                <w:sz w:val="20"/>
                <w:lang w:val="sr-Cyrl-CS"/>
              </w:rPr>
              <w:t>180,60</w:t>
            </w:r>
          </w:p>
        </w:tc>
        <w:tc>
          <w:tcPr>
            <w:tcW w:w="351" w:type="pct"/>
            <w:gridSpan w:val="2"/>
            <w:tcBorders>
              <w:top w:val="nil"/>
              <w:left w:val="nil"/>
              <w:bottom w:val="dotted" w:sz="4" w:space="0" w:color="auto"/>
              <w:right w:val="double" w:sz="6" w:space="0" w:color="auto"/>
            </w:tcBorders>
            <w:shd w:val="clear" w:color="000000" w:fill="FFFFFF"/>
            <w:vAlign w:val="center"/>
            <w:hideMark/>
          </w:tcPr>
          <w:p w14:paraId="044D69A4" w14:textId="77777777" w:rsidR="00247CBF" w:rsidRPr="00092ED7" w:rsidRDefault="00247CBF" w:rsidP="00247CBF">
            <w:pPr>
              <w:spacing w:after="0" w:line="230" w:lineRule="auto"/>
              <w:jc w:val="right"/>
              <w:rPr>
                <w:sz w:val="20"/>
                <w:lang w:val="sr-Cyrl-CS"/>
              </w:rPr>
            </w:pPr>
            <w:r w:rsidRPr="00092ED7">
              <w:rPr>
                <w:sz w:val="20"/>
                <w:lang w:val="sr-Cyrl-CS"/>
              </w:rPr>
              <w:t>183,30</w:t>
            </w:r>
          </w:p>
        </w:tc>
      </w:tr>
      <w:tr w:rsidR="00247CBF" w:rsidRPr="00092ED7" w14:paraId="4F768659" w14:textId="77777777" w:rsidTr="00247CBF">
        <w:trPr>
          <w:trHeight w:val="227"/>
        </w:trPr>
        <w:tc>
          <w:tcPr>
            <w:tcW w:w="2658" w:type="pct"/>
            <w:tcBorders>
              <w:top w:val="nil"/>
              <w:left w:val="double" w:sz="6" w:space="0" w:color="auto"/>
              <w:bottom w:val="dotted" w:sz="4" w:space="0" w:color="auto"/>
              <w:right w:val="nil"/>
            </w:tcBorders>
            <w:shd w:val="clear" w:color="000000" w:fill="FFFFFF"/>
            <w:vAlign w:val="center"/>
            <w:hideMark/>
          </w:tcPr>
          <w:p w14:paraId="5D5F130B" w14:textId="77777777" w:rsidR="00247CBF" w:rsidRPr="00092ED7" w:rsidRDefault="00247CBF" w:rsidP="00247CBF">
            <w:pPr>
              <w:spacing w:after="0" w:line="230" w:lineRule="auto"/>
              <w:rPr>
                <w:rFonts w:eastAsia="Times New Roman" w:cs="Times New Roman"/>
                <w:sz w:val="20"/>
                <w:szCs w:val="20"/>
                <w:lang w:val="sr-Cyrl-CS"/>
              </w:rPr>
            </w:pPr>
            <w:r w:rsidRPr="00092ED7">
              <w:rPr>
                <w:rFonts w:eastAsia="Times New Roman" w:cs="Times New Roman"/>
                <w:sz w:val="20"/>
                <w:szCs w:val="20"/>
                <w:lang w:val="sr-Cyrl-CS"/>
              </w:rPr>
              <w:t>10. Примарни резултат[2]</w:t>
            </w:r>
          </w:p>
        </w:tc>
        <w:tc>
          <w:tcPr>
            <w:tcW w:w="100" w:type="pct"/>
            <w:tcBorders>
              <w:top w:val="nil"/>
              <w:left w:val="nil"/>
              <w:bottom w:val="dotted" w:sz="4" w:space="0" w:color="auto"/>
              <w:right w:val="single" w:sz="8" w:space="0" w:color="auto"/>
            </w:tcBorders>
            <w:shd w:val="clear" w:color="000000" w:fill="FFFFFF"/>
            <w:vAlign w:val="center"/>
            <w:hideMark/>
          </w:tcPr>
          <w:p w14:paraId="236A6E41" w14:textId="77777777" w:rsidR="00247CBF" w:rsidRPr="00092ED7" w:rsidRDefault="00247CBF" w:rsidP="00247CBF">
            <w:pPr>
              <w:spacing w:after="0" w:line="230" w:lineRule="auto"/>
              <w:jc w:val="center"/>
              <w:rPr>
                <w:rFonts w:eastAsia="Times New Roman" w:cs="Times New Roman"/>
                <w:sz w:val="20"/>
                <w:szCs w:val="20"/>
                <w:lang w:val="sr-Cyrl-CS"/>
              </w:rPr>
            </w:pPr>
            <w:r w:rsidRPr="00092ED7">
              <w:rPr>
                <w:rFonts w:eastAsia="Times New Roman" w:cs="Times New Roman"/>
                <w:sz w:val="20"/>
                <w:szCs w:val="20"/>
                <w:lang w:val="sr-Cyrl-CS"/>
              </w:rPr>
              <w:t> </w:t>
            </w:r>
          </w:p>
        </w:tc>
        <w:tc>
          <w:tcPr>
            <w:tcW w:w="483" w:type="pct"/>
            <w:gridSpan w:val="2"/>
            <w:tcBorders>
              <w:top w:val="nil"/>
              <w:left w:val="nil"/>
              <w:bottom w:val="dotted" w:sz="4" w:space="0" w:color="auto"/>
              <w:right w:val="single" w:sz="8" w:space="0" w:color="auto"/>
            </w:tcBorders>
            <w:shd w:val="clear" w:color="000000" w:fill="FFFFFF"/>
            <w:vAlign w:val="center"/>
            <w:hideMark/>
          </w:tcPr>
          <w:p w14:paraId="4514849C" w14:textId="77777777" w:rsidR="00247CBF" w:rsidRPr="00092ED7" w:rsidRDefault="00247CBF" w:rsidP="00247CBF">
            <w:pPr>
              <w:spacing w:after="0" w:line="230" w:lineRule="auto"/>
              <w:jc w:val="center"/>
              <w:rPr>
                <w:rFonts w:eastAsia="Times New Roman" w:cs="Times New Roman"/>
                <w:sz w:val="20"/>
                <w:szCs w:val="20"/>
                <w:lang w:val="sr-Cyrl-CS"/>
              </w:rPr>
            </w:pPr>
            <w:r w:rsidRPr="00092ED7">
              <w:rPr>
                <w:rFonts w:eastAsia="Times New Roman" w:cs="Times New Roman"/>
                <w:sz w:val="20"/>
                <w:szCs w:val="20"/>
                <w:lang w:val="sr-Cyrl-CS"/>
              </w:rPr>
              <w:t> </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3F303C13" w14:textId="77777777" w:rsidR="00247CBF" w:rsidRPr="00092ED7" w:rsidRDefault="00247CBF" w:rsidP="00247CBF">
            <w:pPr>
              <w:spacing w:after="0" w:line="230" w:lineRule="auto"/>
              <w:jc w:val="right"/>
              <w:rPr>
                <w:sz w:val="20"/>
                <w:lang w:val="sr-Cyrl-CS"/>
              </w:rPr>
            </w:pPr>
            <w:r w:rsidRPr="00092ED7">
              <w:rPr>
                <w:sz w:val="20"/>
                <w:lang w:val="sr-Cyrl-CS"/>
              </w:rPr>
              <w:t>-150,64</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387D71DB" w14:textId="77777777" w:rsidR="00247CBF" w:rsidRPr="00092ED7" w:rsidRDefault="00247CBF" w:rsidP="00247CBF">
            <w:pPr>
              <w:spacing w:after="0" w:line="230" w:lineRule="auto"/>
              <w:jc w:val="right"/>
              <w:rPr>
                <w:sz w:val="20"/>
                <w:lang w:val="sr-Cyrl-CS"/>
              </w:rPr>
            </w:pPr>
            <w:r w:rsidRPr="00092ED7">
              <w:rPr>
                <w:sz w:val="20"/>
                <w:lang w:val="sr-Cyrl-CS"/>
              </w:rPr>
              <w:t>-155,93</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3F85A6F1" w14:textId="77777777" w:rsidR="00247CBF" w:rsidRPr="00092ED7" w:rsidRDefault="00247CBF" w:rsidP="00247CBF">
            <w:pPr>
              <w:spacing w:after="0" w:line="230" w:lineRule="auto"/>
              <w:jc w:val="right"/>
              <w:rPr>
                <w:sz w:val="20"/>
                <w:lang w:val="sr-Cyrl-CS"/>
              </w:rPr>
            </w:pPr>
            <w:r w:rsidRPr="00092ED7">
              <w:rPr>
                <w:sz w:val="20"/>
                <w:lang w:val="sr-Cyrl-CS"/>
              </w:rPr>
              <w:t>-118,09</w:t>
            </w:r>
          </w:p>
        </w:tc>
        <w:tc>
          <w:tcPr>
            <w:tcW w:w="352" w:type="pct"/>
            <w:tcBorders>
              <w:top w:val="nil"/>
              <w:left w:val="nil"/>
              <w:bottom w:val="dotted" w:sz="4" w:space="0" w:color="auto"/>
              <w:right w:val="dotted" w:sz="4" w:space="0" w:color="auto"/>
            </w:tcBorders>
            <w:shd w:val="clear" w:color="000000" w:fill="FFFFFF"/>
            <w:vAlign w:val="center"/>
            <w:hideMark/>
          </w:tcPr>
          <w:p w14:paraId="056230DD" w14:textId="77777777" w:rsidR="00247CBF" w:rsidRPr="00092ED7" w:rsidRDefault="00247CBF" w:rsidP="00247CBF">
            <w:pPr>
              <w:spacing w:after="0" w:line="230" w:lineRule="auto"/>
              <w:jc w:val="right"/>
              <w:rPr>
                <w:sz w:val="20"/>
                <w:lang w:val="sr-Cyrl-CS"/>
              </w:rPr>
            </w:pPr>
            <w:r w:rsidRPr="00092ED7">
              <w:rPr>
                <w:sz w:val="20"/>
                <w:lang w:val="sr-Cyrl-CS"/>
              </w:rPr>
              <w:t>-8,73</w:t>
            </w:r>
          </w:p>
        </w:tc>
        <w:tc>
          <w:tcPr>
            <w:tcW w:w="351" w:type="pct"/>
            <w:gridSpan w:val="2"/>
            <w:tcBorders>
              <w:top w:val="nil"/>
              <w:left w:val="nil"/>
              <w:bottom w:val="dotted" w:sz="4" w:space="0" w:color="auto"/>
              <w:right w:val="double" w:sz="6" w:space="0" w:color="auto"/>
            </w:tcBorders>
            <w:shd w:val="clear" w:color="000000" w:fill="FFFFFF"/>
            <w:vAlign w:val="center"/>
            <w:hideMark/>
          </w:tcPr>
          <w:p w14:paraId="22F94270" w14:textId="77777777" w:rsidR="00247CBF" w:rsidRPr="00092ED7" w:rsidRDefault="00247CBF" w:rsidP="00247CBF">
            <w:pPr>
              <w:spacing w:after="0" w:line="230" w:lineRule="auto"/>
              <w:jc w:val="right"/>
              <w:rPr>
                <w:sz w:val="20"/>
                <w:lang w:val="sr-Cyrl-CS"/>
              </w:rPr>
            </w:pPr>
            <w:r w:rsidRPr="00092ED7">
              <w:rPr>
                <w:sz w:val="20"/>
                <w:lang w:val="sr-Cyrl-CS"/>
              </w:rPr>
              <w:t>54,18</w:t>
            </w:r>
          </w:p>
        </w:tc>
      </w:tr>
      <w:tr w:rsidR="00247CBF" w:rsidRPr="00092ED7" w14:paraId="0E27E7C4" w14:textId="77777777" w:rsidTr="00247CBF">
        <w:trPr>
          <w:trHeight w:val="227"/>
        </w:trPr>
        <w:tc>
          <w:tcPr>
            <w:tcW w:w="2658" w:type="pct"/>
            <w:tcBorders>
              <w:top w:val="nil"/>
              <w:left w:val="double" w:sz="6" w:space="0" w:color="auto"/>
              <w:bottom w:val="single" w:sz="8" w:space="0" w:color="auto"/>
              <w:right w:val="nil"/>
            </w:tcBorders>
            <w:shd w:val="clear" w:color="000000" w:fill="FFFFFF"/>
            <w:vAlign w:val="center"/>
            <w:hideMark/>
          </w:tcPr>
          <w:p w14:paraId="110CDF00" w14:textId="77777777" w:rsidR="00247CBF" w:rsidRPr="00092ED7" w:rsidRDefault="00247CBF" w:rsidP="00247CBF">
            <w:pPr>
              <w:spacing w:after="0" w:line="230" w:lineRule="auto"/>
              <w:rPr>
                <w:rFonts w:eastAsia="Times New Roman" w:cs="Times New Roman"/>
                <w:sz w:val="20"/>
                <w:szCs w:val="20"/>
                <w:lang w:val="sr-Cyrl-CS"/>
              </w:rPr>
            </w:pPr>
            <w:r w:rsidRPr="00092ED7">
              <w:rPr>
                <w:rFonts w:eastAsia="Times New Roman" w:cs="Times New Roman"/>
                <w:sz w:val="20"/>
                <w:szCs w:val="20"/>
                <w:lang w:val="sr-Cyrl-CS"/>
              </w:rPr>
              <w:t>11. Једнократне и друге привремене мере [3]</w:t>
            </w:r>
          </w:p>
        </w:tc>
        <w:tc>
          <w:tcPr>
            <w:tcW w:w="100" w:type="pct"/>
            <w:tcBorders>
              <w:top w:val="nil"/>
              <w:left w:val="nil"/>
              <w:bottom w:val="single" w:sz="8" w:space="0" w:color="auto"/>
              <w:right w:val="single" w:sz="8" w:space="0" w:color="auto"/>
            </w:tcBorders>
            <w:shd w:val="clear" w:color="000000" w:fill="FFFFFF"/>
            <w:vAlign w:val="center"/>
            <w:hideMark/>
          </w:tcPr>
          <w:p w14:paraId="35D3AE3C" w14:textId="77777777" w:rsidR="00247CBF" w:rsidRPr="00092ED7" w:rsidRDefault="00247CBF" w:rsidP="00247CBF">
            <w:pPr>
              <w:spacing w:after="0" w:line="230" w:lineRule="auto"/>
              <w:jc w:val="center"/>
              <w:rPr>
                <w:rFonts w:eastAsia="Times New Roman" w:cs="Times New Roman"/>
                <w:sz w:val="20"/>
                <w:szCs w:val="20"/>
                <w:lang w:val="sr-Cyrl-CS"/>
              </w:rPr>
            </w:pPr>
            <w:r w:rsidRPr="00092ED7">
              <w:rPr>
                <w:rFonts w:eastAsia="Times New Roman" w:cs="Times New Roman"/>
                <w:sz w:val="20"/>
                <w:szCs w:val="20"/>
                <w:lang w:val="sr-Cyrl-CS"/>
              </w:rPr>
              <w:t> </w:t>
            </w:r>
          </w:p>
        </w:tc>
        <w:tc>
          <w:tcPr>
            <w:tcW w:w="483" w:type="pct"/>
            <w:gridSpan w:val="2"/>
            <w:tcBorders>
              <w:top w:val="nil"/>
              <w:left w:val="nil"/>
              <w:bottom w:val="single" w:sz="8" w:space="0" w:color="auto"/>
              <w:right w:val="single" w:sz="8" w:space="0" w:color="auto"/>
            </w:tcBorders>
            <w:shd w:val="clear" w:color="000000" w:fill="FFFFFF"/>
            <w:vAlign w:val="center"/>
            <w:hideMark/>
          </w:tcPr>
          <w:p w14:paraId="14D00639" w14:textId="77777777" w:rsidR="00247CBF" w:rsidRPr="00092ED7" w:rsidRDefault="00247CBF" w:rsidP="00247CBF">
            <w:pPr>
              <w:spacing w:after="0" w:line="230" w:lineRule="auto"/>
              <w:jc w:val="center"/>
              <w:rPr>
                <w:rFonts w:eastAsia="Times New Roman" w:cs="Times New Roman"/>
                <w:sz w:val="20"/>
                <w:szCs w:val="20"/>
                <w:lang w:val="sr-Cyrl-CS"/>
              </w:rPr>
            </w:pPr>
            <w:r w:rsidRPr="00092ED7">
              <w:rPr>
                <w:rFonts w:eastAsia="Times New Roman" w:cs="Times New Roman"/>
                <w:sz w:val="20"/>
                <w:szCs w:val="20"/>
                <w:lang w:val="sr-Cyrl-CS"/>
              </w:rPr>
              <w:t> </w:t>
            </w:r>
          </w:p>
        </w:tc>
        <w:tc>
          <w:tcPr>
            <w:tcW w:w="352" w:type="pct"/>
            <w:gridSpan w:val="2"/>
            <w:tcBorders>
              <w:top w:val="nil"/>
              <w:left w:val="nil"/>
              <w:bottom w:val="single" w:sz="8" w:space="0" w:color="auto"/>
              <w:right w:val="dotted" w:sz="4" w:space="0" w:color="auto"/>
            </w:tcBorders>
            <w:shd w:val="clear" w:color="000000" w:fill="FFFFFF"/>
            <w:vAlign w:val="center"/>
            <w:hideMark/>
          </w:tcPr>
          <w:p w14:paraId="0B8B64B2" w14:textId="77777777" w:rsidR="00247CBF" w:rsidRPr="00092ED7" w:rsidRDefault="00247CBF" w:rsidP="00247CBF">
            <w:pPr>
              <w:spacing w:after="0" w:line="230" w:lineRule="auto"/>
              <w:jc w:val="right"/>
              <w:rPr>
                <w:rFonts w:eastAsia="Times New Roman" w:cs="Times New Roman"/>
                <w:sz w:val="20"/>
                <w:szCs w:val="20"/>
                <w:lang w:val="sr-Cyrl-CS"/>
              </w:rPr>
            </w:pPr>
            <w:r w:rsidRPr="00092ED7">
              <w:rPr>
                <w:rFonts w:cs="Times New Roman"/>
                <w:sz w:val="20"/>
                <w:szCs w:val="20"/>
                <w:lang w:val="sr-Cyrl-CS"/>
              </w:rPr>
              <w:t>:</w:t>
            </w:r>
          </w:p>
        </w:tc>
        <w:tc>
          <w:tcPr>
            <w:tcW w:w="352" w:type="pct"/>
            <w:gridSpan w:val="2"/>
            <w:tcBorders>
              <w:top w:val="nil"/>
              <w:left w:val="nil"/>
              <w:bottom w:val="single" w:sz="8" w:space="0" w:color="auto"/>
              <w:right w:val="dotted" w:sz="4" w:space="0" w:color="auto"/>
            </w:tcBorders>
            <w:shd w:val="clear" w:color="000000" w:fill="FFFFFF"/>
            <w:vAlign w:val="center"/>
            <w:hideMark/>
          </w:tcPr>
          <w:p w14:paraId="7DA2A5AD" w14:textId="77777777" w:rsidR="00247CBF" w:rsidRPr="00092ED7" w:rsidRDefault="00247CBF" w:rsidP="00247CBF">
            <w:pPr>
              <w:spacing w:after="0" w:line="230" w:lineRule="auto"/>
              <w:jc w:val="right"/>
              <w:rPr>
                <w:rFonts w:eastAsia="Times New Roman" w:cs="Times New Roman"/>
                <w:sz w:val="20"/>
                <w:szCs w:val="20"/>
                <w:lang w:val="sr-Cyrl-CS"/>
              </w:rPr>
            </w:pPr>
            <w:r w:rsidRPr="00092ED7">
              <w:rPr>
                <w:rFonts w:cs="Times New Roman"/>
                <w:sz w:val="20"/>
                <w:szCs w:val="20"/>
                <w:lang w:val="sr-Cyrl-CS"/>
              </w:rPr>
              <w:t>:</w:t>
            </w:r>
          </w:p>
        </w:tc>
        <w:tc>
          <w:tcPr>
            <w:tcW w:w="352" w:type="pct"/>
            <w:gridSpan w:val="2"/>
            <w:tcBorders>
              <w:top w:val="nil"/>
              <w:left w:val="nil"/>
              <w:bottom w:val="single" w:sz="8" w:space="0" w:color="auto"/>
              <w:right w:val="dotted" w:sz="4" w:space="0" w:color="auto"/>
            </w:tcBorders>
            <w:shd w:val="clear" w:color="000000" w:fill="FFFFFF"/>
            <w:vAlign w:val="center"/>
            <w:hideMark/>
          </w:tcPr>
          <w:p w14:paraId="63BAD3B5" w14:textId="77777777" w:rsidR="00247CBF" w:rsidRPr="00092ED7" w:rsidRDefault="00247CBF" w:rsidP="00247CBF">
            <w:pPr>
              <w:spacing w:after="0" w:line="230" w:lineRule="auto"/>
              <w:jc w:val="right"/>
              <w:rPr>
                <w:rFonts w:eastAsia="Times New Roman" w:cs="Times New Roman"/>
                <w:sz w:val="20"/>
                <w:szCs w:val="20"/>
                <w:lang w:val="sr-Cyrl-CS"/>
              </w:rPr>
            </w:pPr>
            <w:r w:rsidRPr="00092ED7">
              <w:rPr>
                <w:rFonts w:cs="Times New Roman"/>
                <w:sz w:val="20"/>
                <w:szCs w:val="20"/>
                <w:lang w:val="sr-Cyrl-CS"/>
              </w:rPr>
              <w:t>:</w:t>
            </w:r>
          </w:p>
        </w:tc>
        <w:tc>
          <w:tcPr>
            <w:tcW w:w="352" w:type="pct"/>
            <w:tcBorders>
              <w:top w:val="nil"/>
              <w:left w:val="nil"/>
              <w:bottom w:val="single" w:sz="8" w:space="0" w:color="auto"/>
              <w:right w:val="dotted" w:sz="4" w:space="0" w:color="auto"/>
            </w:tcBorders>
            <w:shd w:val="clear" w:color="000000" w:fill="FFFFFF"/>
            <w:vAlign w:val="center"/>
            <w:hideMark/>
          </w:tcPr>
          <w:p w14:paraId="1158BC52" w14:textId="77777777" w:rsidR="00247CBF" w:rsidRPr="00092ED7" w:rsidRDefault="00247CBF" w:rsidP="00247CBF">
            <w:pPr>
              <w:spacing w:after="0" w:line="230" w:lineRule="auto"/>
              <w:jc w:val="right"/>
              <w:rPr>
                <w:rFonts w:eastAsia="Times New Roman" w:cs="Times New Roman"/>
                <w:sz w:val="20"/>
                <w:szCs w:val="20"/>
                <w:lang w:val="sr-Cyrl-CS"/>
              </w:rPr>
            </w:pPr>
            <w:r w:rsidRPr="00092ED7">
              <w:rPr>
                <w:rFonts w:cs="Times New Roman"/>
                <w:sz w:val="20"/>
                <w:szCs w:val="20"/>
                <w:lang w:val="sr-Cyrl-CS"/>
              </w:rPr>
              <w:t>:</w:t>
            </w:r>
          </w:p>
        </w:tc>
        <w:tc>
          <w:tcPr>
            <w:tcW w:w="351" w:type="pct"/>
            <w:gridSpan w:val="2"/>
            <w:tcBorders>
              <w:top w:val="nil"/>
              <w:left w:val="nil"/>
              <w:bottom w:val="single" w:sz="8" w:space="0" w:color="auto"/>
              <w:right w:val="double" w:sz="6" w:space="0" w:color="auto"/>
            </w:tcBorders>
            <w:shd w:val="clear" w:color="000000" w:fill="FFFFFF"/>
            <w:vAlign w:val="center"/>
            <w:hideMark/>
          </w:tcPr>
          <w:p w14:paraId="143D490B" w14:textId="77777777" w:rsidR="00247CBF" w:rsidRPr="00092ED7" w:rsidRDefault="00247CBF" w:rsidP="00247CBF">
            <w:pPr>
              <w:spacing w:after="0" w:line="230" w:lineRule="auto"/>
              <w:jc w:val="right"/>
              <w:rPr>
                <w:rFonts w:eastAsia="Times New Roman" w:cs="Times New Roman"/>
                <w:sz w:val="20"/>
                <w:szCs w:val="20"/>
                <w:lang w:val="sr-Cyrl-CS"/>
              </w:rPr>
            </w:pPr>
            <w:r w:rsidRPr="00092ED7">
              <w:rPr>
                <w:rFonts w:cs="Times New Roman"/>
                <w:sz w:val="20"/>
                <w:szCs w:val="20"/>
                <w:lang w:val="sr-Cyrl-CS"/>
              </w:rPr>
              <w:t>:</w:t>
            </w:r>
          </w:p>
        </w:tc>
      </w:tr>
      <w:tr w:rsidR="00247CBF" w:rsidRPr="00092ED7" w14:paraId="25C3D952" w14:textId="77777777" w:rsidTr="00247CBF">
        <w:trPr>
          <w:trHeight w:val="227"/>
        </w:trPr>
        <w:tc>
          <w:tcPr>
            <w:tcW w:w="5000" w:type="pct"/>
            <w:gridSpan w:val="13"/>
            <w:tcBorders>
              <w:top w:val="single" w:sz="8" w:space="0" w:color="auto"/>
              <w:left w:val="double" w:sz="6" w:space="0" w:color="auto"/>
              <w:bottom w:val="single" w:sz="8" w:space="0" w:color="auto"/>
              <w:right w:val="double" w:sz="6" w:space="0" w:color="000000"/>
            </w:tcBorders>
            <w:shd w:val="clear" w:color="000000" w:fill="FFFFFF"/>
            <w:vAlign w:val="center"/>
            <w:hideMark/>
          </w:tcPr>
          <w:p w14:paraId="2BF30998" w14:textId="77777777" w:rsidR="00247CBF" w:rsidRPr="00092ED7" w:rsidRDefault="00247CBF" w:rsidP="00247CBF">
            <w:pPr>
              <w:spacing w:after="0" w:line="230" w:lineRule="auto"/>
              <w:jc w:val="center"/>
              <w:rPr>
                <w:rFonts w:eastAsia="Times New Roman" w:cs="Times New Roman"/>
                <w:b/>
                <w:bCs/>
                <w:sz w:val="20"/>
                <w:szCs w:val="20"/>
                <w:lang w:val="sr-Cyrl-CS"/>
              </w:rPr>
            </w:pPr>
            <w:r w:rsidRPr="00092ED7">
              <w:rPr>
                <w:rFonts w:eastAsia="Times New Roman" w:cs="Times New Roman"/>
                <w:b/>
                <w:bCs/>
                <w:sz w:val="20"/>
                <w:szCs w:val="20"/>
                <w:lang w:val="sr-Cyrl-CS"/>
              </w:rPr>
              <w:t>Компоненте прихода</w:t>
            </w:r>
          </w:p>
        </w:tc>
      </w:tr>
      <w:tr w:rsidR="00247CBF" w:rsidRPr="00092ED7" w14:paraId="644DC941" w14:textId="77777777" w:rsidTr="00247CBF">
        <w:trPr>
          <w:trHeight w:val="227"/>
        </w:trPr>
        <w:tc>
          <w:tcPr>
            <w:tcW w:w="2658" w:type="pct"/>
            <w:tcBorders>
              <w:top w:val="nil"/>
              <w:left w:val="double" w:sz="6" w:space="0" w:color="auto"/>
              <w:bottom w:val="dotted" w:sz="4" w:space="0" w:color="auto"/>
              <w:right w:val="nil"/>
            </w:tcBorders>
            <w:shd w:val="clear" w:color="000000" w:fill="FFFFFF"/>
            <w:vAlign w:val="center"/>
            <w:hideMark/>
          </w:tcPr>
          <w:p w14:paraId="6574F51B" w14:textId="77777777" w:rsidR="00247CBF" w:rsidRPr="00092ED7" w:rsidRDefault="00247CBF" w:rsidP="00247CBF">
            <w:pPr>
              <w:spacing w:after="0" w:line="230" w:lineRule="auto"/>
              <w:rPr>
                <w:rFonts w:eastAsia="Times New Roman" w:cs="Times New Roman"/>
                <w:sz w:val="20"/>
                <w:szCs w:val="20"/>
                <w:lang w:val="sr-Cyrl-CS"/>
              </w:rPr>
            </w:pPr>
            <w:r w:rsidRPr="00092ED7">
              <w:rPr>
                <w:rFonts w:eastAsia="Times New Roman" w:cs="Times New Roman"/>
                <w:sz w:val="20"/>
                <w:szCs w:val="20"/>
                <w:lang w:val="sr-Cyrl-CS"/>
              </w:rPr>
              <w:t>12. Укупни порези  (12 = 12a+12b+12c)</w:t>
            </w:r>
          </w:p>
        </w:tc>
        <w:tc>
          <w:tcPr>
            <w:tcW w:w="100" w:type="pct"/>
            <w:tcBorders>
              <w:top w:val="nil"/>
              <w:left w:val="nil"/>
              <w:bottom w:val="dotted" w:sz="4" w:space="0" w:color="auto"/>
              <w:right w:val="single" w:sz="8" w:space="0" w:color="auto"/>
            </w:tcBorders>
            <w:shd w:val="clear" w:color="000000" w:fill="FFFFFF"/>
            <w:vAlign w:val="center"/>
            <w:hideMark/>
          </w:tcPr>
          <w:p w14:paraId="52EBF03D" w14:textId="77777777" w:rsidR="00247CBF" w:rsidRPr="00092ED7" w:rsidRDefault="00247CBF" w:rsidP="00247CBF">
            <w:pPr>
              <w:spacing w:after="0" w:line="230" w:lineRule="auto"/>
              <w:jc w:val="center"/>
              <w:rPr>
                <w:rFonts w:eastAsia="Times New Roman" w:cs="Times New Roman"/>
                <w:sz w:val="20"/>
                <w:szCs w:val="20"/>
                <w:lang w:val="sr-Cyrl-CS"/>
              </w:rPr>
            </w:pPr>
            <w:r w:rsidRPr="00092ED7">
              <w:rPr>
                <w:rFonts w:eastAsia="Times New Roman" w:cs="Times New Roman"/>
                <w:sz w:val="20"/>
                <w:szCs w:val="20"/>
                <w:lang w:val="sr-Cyrl-CS"/>
              </w:rPr>
              <w:t> </w:t>
            </w:r>
          </w:p>
        </w:tc>
        <w:tc>
          <w:tcPr>
            <w:tcW w:w="483" w:type="pct"/>
            <w:gridSpan w:val="2"/>
            <w:tcBorders>
              <w:top w:val="nil"/>
              <w:left w:val="nil"/>
              <w:bottom w:val="dotted" w:sz="4" w:space="0" w:color="auto"/>
              <w:right w:val="single" w:sz="8" w:space="0" w:color="auto"/>
            </w:tcBorders>
            <w:shd w:val="clear" w:color="000000" w:fill="FFFFFF"/>
            <w:vAlign w:val="center"/>
            <w:hideMark/>
          </w:tcPr>
          <w:p w14:paraId="406C2F6C" w14:textId="77777777" w:rsidR="00247CBF" w:rsidRPr="00092ED7" w:rsidRDefault="00247CBF" w:rsidP="00247CBF">
            <w:pPr>
              <w:spacing w:after="0" w:line="230" w:lineRule="auto"/>
              <w:jc w:val="center"/>
              <w:rPr>
                <w:rFonts w:eastAsia="Times New Roman" w:cs="Times New Roman"/>
                <w:sz w:val="20"/>
                <w:szCs w:val="20"/>
                <w:lang w:val="sr-Cyrl-CS"/>
              </w:rPr>
            </w:pPr>
            <w:r w:rsidRPr="00092ED7">
              <w:rPr>
                <w:rFonts w:eastAsia="Times New Roman" w:cs="Times New Roman"/>
                <w:sz w:val="20"/>
                <w:szCs w:val="20"/>
                <w:lang w:val="sr-Cyrl-CS"/>
              </w:rPr>
              <w:t> </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11642538" w14:textId="77777777" w:rsidR="00247CBF" w:rsidRPr="00092ED7" w:rsidRDefault="00247CBF" w:rsidP="00247CBF">
            <w:pPr>
              <w:spacing w:after="0" w:line="230" w:lineRule="auto"/>
              <w:jc w:val="right"/>
              <w:rPr>
                <w:sz w:val="20"/>
                <w:lang w:val="sr-Cyrl-CS"/>
              </w:rPr>
            </w:pPr>
            <w:r w:rsidRPr="00092ED7">
              <w:rPr>
                <w:sz w:val="20"/>
                <w:lang w:val="sr-Cyrl-CS"/>
              </w:rPr>
              <w:t>1.558,17</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49F486CC" w14:textId="77777777" w:rsidR="00247CBF" w:rsidRPr="00092ED7" w:rsidRDefault="00247CBF" w:rsidP="00247CBF">
            <w:pPr>
              <w:spacing w:after="0" w:line="230" w:lineRule="auto"/>
              <w:jc w:val="right"/>
              <w:rPr>
                <w:sz w:val="20"/>
                <w:lang w:val="sr-Cyrl-CS"/>
              </w:rPr>
            </w:pPr>
            <w:r w:rsidRPr="00092ED7">
              <w:rPr>
                <w:sz w:val="20"/>
                <w:lang w:val="sr-Cyrl-CS"/>
              </w:rPr>
              <w:t>1.725,45</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44E41574" w14:textId="77777777" w:rsidR="00247CBF" w:rsidRPr="00092ED7" w:rsidRDefault="00247CBF" w:rsidP="00247CBF">
            <w:pPr>
              <w:spacing w:after="0" w:line="230" w:lineRule="auto"/>
              <w:jc w:val="right"/>
              <w:rPr>
                <w:sz w:val="20"/>
                <w:lang w:val="sr-Cyrl-CS"/>
              </w:rPr>
            </w:pPr>
            <w:r w:rsidRPr="00092ED7">
              <w:rPr>
                <w:sz w:val="20"/>
                <w:lang w:val="sr-Cyrl-CS"/>
              </w:rPr>
              <w:t>1.851,08</w:t>
            </w:r>
          </w:p>
        </w:tc>
        <w:tc>
          <w:tcPr>
            <w:tcW w:w="352" w:type="pct"/>
            <w:tcBorders>
              <w:top w:val="nil"/>
              <w:left w:val="nil"/>
              <w:bottom w:val="dotted" w:sz="4" w:space="0" w:color="auto"/>
              <w:right w:val="dotted" w:sz="4" w:space="0" w:color="auto"/>
            </w:tcBorders>
            <w:shd w:val="clear" w:color="000000" w:fill="FFFFFF"/>
            <w:vAlign w:val="center"/>
            <w:hideMark/>
          </w:tcPr>
          <w:p w14:paraId="7D17D8B5" w14:textId="77777777" w:rsidR="00247CBF" w:rsidRPr="00092ED7" w:rsidRDefault="00247CBF" w:rsidP="00247CBF">
            <w:pPr>
              <w:spacing w:after="0" w:line="230" w:lineRule="auto"/>
              <w:jc w:val="right"/>
              <w:rPr>
                <w:sz w:val="20"/>
                <w:lang w:val="sr-Cyrl-CS"/>
              </w:rPr>
            </w:pPr>
            <w:r w:rsidRPr="00092ED7">
              <w:rPr>
                <w:sz w:val="20"/>
                <w:lang w:val="sr-Cyrl-CS"/>
              </w:rPr>
              <w:t>2.017,14</w:t>
            </w:r>
          </w:p>
        </w:tc>
        <w:tc>
          <w:tcPr>
            <w:tcW w:w="351" w:type="pct"/>
            <w:gridSpan w:val="2"/>
            <w:tcBorders>
              <w:top w:val="nil"/>
              <w:left w:val="nil"/>
              <w:bottom w:val="dotted" w:sz="4" w:space="0" w:color="auto"/>
              <w:right w:val="double" w:sz="6" w:space="0" w:color="auto"/>
            </w:tcBorders>
            <w:shd w:val="clear" w:color="000000" w:fill="FFFFFF"/>
            <w:vAlign w:val="center"/>
            <w:hideMark/>
          </w:tcPr>
          <w:p w14:paraId="16E1823B" w14:textId="77777777" w:rsidR="00247CBF" w:rsidRPr="00092ED7" w:rsidRDefault="00247CBF" w:rsidP="00247CBF">
            <w:pPr>
              <w:spacing w:after="0" w:line="230" w:lineRule="auto"/>
              <w:jc w:val="right"/>
              <w:rPr>
                <w:sz w:val="20"/>
                <w:lang w:val="sr-Cyrl-CS"/>
              </w:rPr>
            </w:pPr>
            <w:r w:rsidRPr="00092ED7">
              <w:rPr>
                <w:sz w:val="20"/>
                <w:lang w:val="sr-Cyrl-CS"/>
              </w:rPr>
              <w:t>2.146,47</w:t>
            </w:r>
          </w:p>
        </w:tc>
      </w:tr>
      <w:tr w:rsidR="00247CBF" w:rsidRPr="00092ED7" w14:paraId="0B5DABD6" w14:textId="77777777" w:rsidTr="00247CBF">
        <w:trPr>
          <w:trHeight w:val="227"/>
        </w:trPr>
        <w:tc>
          <w:tcPr>
            <w:tcW w:w="2658" w:type="pct"/>
            <w:tcBorders>
              <w:top w:val="nil"/>
              <w:left w:val="double" w:sz="6" w:space="0" w:color="auto"/>
              <w:bottom w:val="dotted" w:sz="4" w:space="0" w:color="auto"/>
              <w:right w:val="nil"/>
            </w:tcBorders>
            <w:shd w:val="clear" w:color="000000" w:fill="FFFFFF"/>
            <w:vAlign w:val="center"/>
            <w:hideMark/>
          </w:tcPr>
          <w:p w14:paraId="172EA8D1" w14:textId="77777777" w:rsidR="00247CBF" w:rsidRPr="00092ED7" w:rsidRDefault="00247CBF" w:rsidP="00247CBF">
            <w:pPr>
              <w:spacing w:after="0" w:line="230" w:lineRule="auto"/>
              <w:rPr>
                <w:rFonts w:eastAsia="Times New Roman" w:cs="Times New Roman"/>
                <w:sz w:val="20"/>
                <w:szCs w:val="20"/>
                <w:lang w:val="sr-Cyrl-CS"/>
              </w:rPr>
            </w:pPr>
            <w:r w:rsidRPr="00092ED7">
              <w:rPr>
                <w:rFonts w:eastAsia="Times New Roman" w:cs="Times New Roman"/>
                <w:sz w:val="20"/>
                <w:szCs w:val="20"/>
                <w:lang w:val="sr-Cyrl-CS"/>
              </w:rPr>
              <w:t>12a. Порези на производњу и увоз</w:t>
            </w:r>
          </w:p>
        </w:tc>
        <w:tc>
          <w:tcPr>
            <w:tcW w:w="100" w:type="pct"/>
            <w:tcBorders>
              <w:top w:val="nil"/>
              <w:left w:val="nil"/>
              <w:bottom w:val="dotted" w:sz="4" w:space="0" w:color="auto"/>
              <w:right w:val="single" w:sz="8" w:space="0" w:color="auto"/>
            </w:tcBorders>
            <w:shd w:val="clear" w:color="000000" w:fill="FFFFFF"/>
            <w:vAlign w:val="center"/>
            <w:hideMark/>
          </w:tcPr>
          <w:p w14:paraId="740F2A79" w14:textId="77777777" w:rsidR="00247CBF" w:rsidRPr="00092ED7" w:rsidRDefault="00247CBF" w:rsidP="00247CBF">
            <w:pPr>
              <w:spacing w:after="0" w:line="230" w:lineRule="auto"/>
              <w:jc w:val="center"/>
              <w:rPr>
                <w:rFonts w:eastAsia="Times New Roman" w:cs="Times New Roman"/>
                <w:sz w:val="20"/>
                <w:szCs w:val="20"/>
                <w:lang w:val="sr-Cyrl-CS"/>
              </w:rPr>
            </w:pPr>
            <w:r w:rsidRPr="00092ED7">
              <w:rPr>
                <w:rFonts w:eastAsia="Times New Roman" w:cs="Times New Roman"/>
                <w:sz w:val="20"/>
                <w:szCs w:val="20"/>
                <w:lang w:val="sr-Cyrl-CS"/>
              </w:rPr>
              <w:t> </w:t>
            </w:r>
          </w:p>
        </w:tc>
        <w:tc>
          <w:tcPr>
            <w:tcW w:w="483" w:type="pct"/>
            <w:gridSpan w:val="2"/>
            <w:tcBorders>
              <w:top w:val="nil"/>
              <w:left w:val="nil"/>
              <w:bottom w:val="dotted" w:sz="4" w:space="0" w:color="auto"/>
              <w:right w:val="single" w:sz="8" w:space="0" w:color="auto"/>
            </w:tcBorders>
            <w:shd w:val="clear" w:color="000000" w:fill="FFFFFF"/>
            <w:vAlign w:val="center"/>
            <w:hideMark/>
          </w:tcPr>
          <w:p w14:paraId="04DD47EA" w14:textId="77777777" w:rsidR="00247CBF" w:rsidRPr="00092ED7" w:rsidRDefault="00247CBF" w:rsidP="00247CBF">
            <w:pPr>
              <w:spacing w:after="0" w:line="230" w:lineRule="auto"/>
              <w:jc w:val="center"/>
              <w:rPr>
                <w:rFonts w:eastAsia="Times New Roman" w:cs="Times New Roman"/>
                <w:sz w:val="20"/>
                <w:szCs w:val="20"/>
                <w:lang w:val="sr-Cyrl-CS"/>
              </w:rPr>
            </w:pPr>
            <w:r w:rsidRPr="00092ED7">
              <w:rPr>
                <w:rFonts w:eastAsia="Times New Roman" w:cs="Times New Roman"/>
                <w:sz w:val="20"/>
                <w:szCs w:val="20"/>
                <w:lang w:val="sr-Cyrl-CS"/>
              </w:rPr>
              <w:t>D2</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381C9B79" w14:textId="77777777" w:rsidR="00247CBF" w:rsidRPr="00092ED7" w:rsidRDefault="00247CBF" w:rsidP="00247CBF">
            <w:pPr>
              <w:spacing w:after="0" w:line="230" w:lineRule="auto"/>
              <w:jc w:val="right"/>
              <w:rPr>
                <w:sz w:val="20"/>
                <w:lang w:val="sr-Cyrl-CS"/>
              </w:rPr>
            </w:pPr>
            <w:r w:rsidRPr="00092ED7">
              <w:rPr>
                <w:sz w:val="20"/>
                <w:lang w:val="sr-Cyrl-CS"/>
              </w:rPr>
              <w:t>1.091,97</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3C854507" w14:textId="77777777" w:rsidR="00247CBF" w:rsidRPr="00092ED7" w:rsidRDefault="00247CBF" w:rsidP="00247CBF">
            <w:pPr>
              <w:spacing w:after="0" w:line="230" w:lineRule="auto"/>
              <w:jc w:val="right"/>
              <w:rPr>
                <w:sz w:val="20"/>
                <w:lang w:val="sr-Cyrl-CS"/>
              </w:rPr>
            </w:pPr>
            <w:r w:rsidRPr="00092ED7">
              <w:rPr>
                <w:sz w:val="20"/>
                <w:lang w:val="sr-Cyrl-CS"/>
              </w:rPr>
              <w:t>1.234,33</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5FB5EFBD" w14:textId="77777777" w:rsidR="00247CBF" w:rsidRPr="00092ED7" w:rsidRDefault="00247CBF" w:rsidP="00247CBF">
            <w:pPr>
              <w:spacing w:after="0" w:line="230" w:lineRule="auto"/>
              <w:jc w:val="right"/>
              <w:rPr>
                <w:sz w:val="20"/>
                <w:lang w:val="sr-Cyrl-CS"/>
              </w:rPr>
            </w:pPr>
            <w:r w:rsidRPr="00092ED7">
              <w:rPr>
                <w:sz w:val="20"/>
                <w:lang w:val="sr-Cyrl-CS"/>
              </w:rPr>
              <w:t>1.327,77</w:t>
            </w:r>
          </w:p>
        </w:tc>
        <w:tc>
          <w:tcPr>
            <w:tcW w:w="352" w:type="pct"/>
            <w:tcBorders>
              <w:top w:val="nil"/>
              <w:left w:val="nil"/>
              <w:bottom w:val="dotted" w:sz="4" w:space="0" w:color="auto"/>
              <w:right w:val="dotted" w:sz="4" w:space="0" w:color="auto"/>
            </w:tcBorders>
            <w:shd w:val="clear" w:color="000000" w:fill="FFFFFF"/>
            <w:vAlign w:val="center"/>
            <w:hideMark/>
          </w:tcPr>
          <w:p w14:paraId="61BB0977" w14:textId="77777777" w:rsidR="00247CBF" w:rsidRPr="00092ED7" w:rsidRDefault="00247CBF" w:rsidP="00247CBF">
            <w:pPr>
              <w:spacing w:after="0" w:line="230" w:lineRule="auto"/>
              <w:jc w:val="right"/>
              <w:rPr>
                <w:sz w:val="20"/>
                <w:lang w:val="sr-Cyrl-CS"/>
              </w:rPr>
            </w:pPr>
            <w:r w:rsidRPr="00092ED7">
              <w:rPr>
                <w:sz w:val="20"/>
                <w:lang w:val="sr-Cyrl-CS"/>
              </w:rPr>
              <w:t>1.457,86</w:t>
            </w:r>
          </w:p>
        </w:tc>
        <w:tc>
          <w:tcPr>
            <w:tcW w:w="351" w:type="pct"/>
            <w:gridSpan w:val="2"/>
            <w:tcBorders>
              <w:top w:val="nil"/>
              <w:left w:val="nil"/>
              <w:bottom w:val="dotted" w:sz="4" w:space="0" w:color="auto"/>
              <w:right w:val="double" w:sz="6" w:space="0" w:color="auto"/>
            </w:tcBorders>
            <w:shd w:val="clear" w:color="000000" w:fill="FFFFFF"/>
            <w:vAlign w:val="center"/>
            <w:hideMark/>
          </w:tcPr>
          <w:p w14:paraId="5F66F1F8" w14:textId="77777777" w:rsidR="00247CBF" w:rsidRPr="00092ED7" w:rsidRDefault="00247CBF" w:rsidP="00247CBF">
            <w:pPr>
              <w:spacing w:after="0" w:line="230" w:lineRule="auto"/>
              <w:jc w:val="right"/>
              <w:rPr>
                <w:sz w:val="20"/>
                <w:lang w:val="sr-Cyrl-CS"/>
              </w:rPr>
            </w:pPr>
            <w:r w:rsidRPr="00092ED7">
              <w:rPr>
                <w:sz w:val="20"/>
                <w:lang w:val="sr-Cyrl-CS"/>
              </w:rPr>
              <w:t>1.556,32</w:t>
            </w:r>
          </w:p>
        </w:tc>
      </w:tr>
      <w:tr w:rsidR="00247CBF" w:rsidRPr="00092ED7" w14:paraId="43DE6EC9" w14:textId="77777777" w:rsidTr="00247CBF">
        <w:trPr>
          <w:trHeight w:val="227"/>
        </w:trPr>
        <w:tc>
          <w:tcPr>
            <w:tcW w:w="2658" w:type="pct"/>
            <w:tcBorders>
              <w:top w:val="nil"/>
              <w:left w:val="double" w:sz="6" w:space="0" w:color="auto"/>
              <w:bottom w:val="dotted" w:sz="4" w:space="0" w:color="auto"/>
              <w:right w:val="nil"/>
            </w:tcBorders>
            <w:shd w:val="clear" w:color="000000" w:fill="FFFFFF"/>
            <w:vAlign w:val="center"/>
            <w:hideMark/>
          </w:tcPr>
          <w:p w14:paraId="2395E412" w14:textId="77777777" w:rsidR="00247CBF" w:rsidRPr="00092ED7" w:rsidRDefault="00247CBF" w:rsidP="00247CBF">
            <w:pPr>
              <w:spacing w:after="0" w:line="230" w:lineRule="auto"/>
              <w:rPr>
                <w:rFonts w:eastAsia="Times New Roman" w:cs="Times New Roman"/>
                <w:sz w:val="20"/>
                <w:szCs w:val="20"/>
                <w:lang w:val="sr-Cyrl-CS"/>
              </w:rPr>
            </w:pPr>
            <w:r w:rsidRPr="00092ED7">
              <w:rPr>
                <w:rFonts w:eastAsia="Times New Roman" w:cs="Times New Roman"/>
                <w:sz w:val="20"/>
                <w:szCs w:val="20"/>
                <w:lang w:val="sr-Cyrl-CS"/>
              </w:rPr>
              <w:t>12б. Текући порези на доходак и имовину</w:t>
            </w:r>
          </w:p>
        </w:tc>
        <w:tc>
          <w:tcPr>
            <w:tcW w:w="100" w:type="pct"/>
            <w:tcBorders>
              <w:top w:val="nil"/>
              <w:left w:val="nil"/>
              <w:bottom w:val="dotted" w:sz="4" w:space="0" w:color="auto"/>
              <w:right w:val="single" w:sz="8" w:space="0" w:color="auto"/>
            </w:tcBorders>
            <w:shd w:val="clear" w:color="000000" w:fill="FFFFFF"/>
            <w:vAlign w:val="center"/>
            <w:hideMark/>
          </w:tcPr>
          <w:p w14:paraId="485B4A46" w14:textId="77777777" w:rsidR="00247CBF" w:rsidRPr="00092ED7" w:rsidRDefault="00247CBF" w:rsidP="00247CBF">
            <w:pPr>
              <w:spacing w:after="0" w:line="230" w:lineRule="auto"/>
              <w:jc w:val="center"/>
              <w:rPr>
                <w:rFonts w:eastAsia="Times New Roman" w:cs="Times New Roman"/>
                <w:sz w:val="20"/>
                <w:szCs w:val="20"/>
                <w:lang w:val="sr-Cyrl-CS"/>
              </w:rPr>
            </w:pPr>
            <w:r w:rsidRPr="00092ED7">
              <w:rPr>
                <w:rFonts w:eastAsia="Times New Roman" w:cs="Times New Roman"/>
                <w:sz w:val="20"/>
                <w:szCs w:val="20"/>
                <w:lang w:val="sr-Cyrl-CS"/>
              </w:rPr>
              <w:t> </w:t>
            </w:r>
          </w:p>
        </w:tc>
        <w:tc>
          <w:tcPr>
            <w:tcW w:w="483" w:type="pct"/>
            <w:gridSpan w:val="2"/>
            <w:tcBorders>
              <w:top w:val="nil"/>
              <w:left w:val="nil"/>
              <w:bottom w:val="dotted" w:sz="4" w:space="0" w:color="auto"/>
              <w:right w:val="single" w:sz="8" w:space="0" w:color="auto"/>
            </w:tcBorders>
            <w:shd w:val="clear" w:color="000000" w:fill="FFFFFF"/>
            <w:vAlign w:val="center"/>
            <w:hideMark/>
          </w:tcPr>
          <w:p w14:paraId="713D410F" w14:textId="77777777" w:rsidR="00247CBF" w:rsidRPr="00092ED7" w:rsidRDefault="00247CBF" w:rsidP="00247CBF">
            <w:pPr>
              <w:spacing w:after="0" w:line="230" w:lineRule="auto"/>
              <w:jc w:val="center"/>
              <w:rPr>
                <w:rFonts w:eastAsia="Times New Roman" w:cs="Times New Roman"/>
                <w:sz w:val="20"/>
                <w:szCs w:val="20"/>
                <w:lang w:val="sr-Cyrl-CS"/>
              </w:rPr>
            </w:pPr>
            <w:r w:rsidRPr="00092ED7">
              <w:rPr>
                <w:rFonts w:eastAsia="Times New Roman" w:cs="Times New Roman"/>
                <w:sz w:val="20"/>
                <w:szCs w:val="20"/>
                <w:lang w:val="sr-Cyrl-CS"/>
              </w:rPr>
              <w:t>D5</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55F5D04A" w14:textId="77777777" w:rsidR="00247CBF" w:rsidRPr="00092ED7" w:rsidRDefault="00247CBF" w:rsidP="00247CBF">
            <w:pPr>
              <w:spacing w:after="0" w:line="230" w:lineRule="auto"/>
              <w:jc w:val="right"/>
              <w:rPr>
                <w:sz w:val="20"/>
                <w:lang w:val="sr-Cyrl-CS"/>
              </w:rPr>
            </w:pPr>
            <w:r w:rsidRPr="00092ED7">
              <w:rPr>
                <w:sz w:val="20"/>
                <w:lang w:val="sr-Cyrl-CS"/>
              </w:rPr>
              <w:t>464,39</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524479D4" w14:textId="77777777" w:rsidR="00247CBF" w:rsidRPr="00092ED7" w:rsidRDefault="00247CBF" w:rsidP="00247CBF">
            <w:pPr>
              <w:spacing w:after="0" w:line="230" w:lineRule="auto"/>
              <w:jc w:val="right"/>
              <w:rPr>
                <w:sz w:val="20"/>
                <w:lang w:val="sr-Cyrl-CS"/>
              </w:rPr>
            </w:pPr>
            <w:r w:rsidRPr="00092ED7">
              <w:rPr>
                <w:sz w:val="20"/>
                <w:lang w:val="sr-Cyrl-CS"/>
              </w:rPr>
              <w:t>488,59</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280296C7" w14:textId="77777777" w:rsidR="00247CBF" w:rsidRPr="00092ED7" w:rsidRDefault="00247CBF" w:rsidP="00247CBF">
            <w:pPr>
              <w:spacing w:after="0" w:line="230" w:lineRule="auto"/>
              <w:jc w:val="right"/>
              <w:rPr>
                <w:sz w:val="20"/>
                <w:lang w:val="sr-Cyrl-CS"/>
              </w:rPr>
            </w:pPr>
            <w:r w:rsidRPr="00092ED7">
              <w:rPr>
                <w:sz w:val="20"/>
                <w:lang w:val="sr-Cyrl-CS"/>
              </w:rPr>
              <w:t>519,79</w:t>
            </w:r>
          </w:p>
        </w:tc>
        <w:tc>
          <w:tcPr>
            <w:tcW w:w="352" w:type="pct"/>
            <w:tcBorders>
              <w:top w:val="nil"/>
              <w:left w:val="nil"/>
              <w:bottom w:val="dotted" w:sz="4" w:space="0" w:color="auto"/>
              <w:right w:val="dotted" w:sz="4" w:space="0" w:color="auto"/>
            </w:tcBorders>
            <w:shd w:val="clear" w:color="000000" w:fill="FFFFFF"/>
            <w:vAlign w:val="center"/>
            <w:hideMark/>
          </w:tcPr>
          <w:p w14:paraId="065F2531" w14:textId="77777777" w:rsidR="00247CBF" w:rsidRPr="00092ED7" w:rsidRDefault="00247CBF" w:rsidP="00247CBF">
            <w:pPr>
              <w:spacing w:after="0" w:line="230" w:lineRule="auto"/>
              <w:jc w:val="right"/>
              <w:rPr>
                <w:sz w:val="20"/>
                <w:lang w:val="sr-Cyrl-CS"/>
              </w:rPr>
            </w:pPr>
            <w:r w:rsidRPr="00092ED7">
              <w:rPr>
                <w:sz w:val="20"/>
                <w:lang w:val="sr-Cyrl-CS"/>
              </w:rPr>
              <w:t>554,37</w:t>
            </w:r>
          </w:p>
        </w:tc>
        <w:tc>
          <w:tcPr>
            <w:tcW w:w="351" w:type="pct"/>
            <w:gridSpan w:val="2"/>
            <w:tcBorders>
              <w:top w:val="nil"/>
              <w:left w:val="nil"/>
              <w:bottom w:val="dotted" w:sz="4" w:space="0" w:color="auto"/>
              <w:right w:val="double" w:sz="6" w:space="0" w:color="auto"/>
            </w:tcBorders>
            <w:shd w:val="clear" w:color="000000" w:fill="FFFFFF"/>
            <w:vAlign w:val="center"/>
            <w:hideMark/>
          </w:tcPr>
          <w:p w14:paraId="0B227490" w14:textId="77777777" w:rsidR="00247CBF" w:rsidRPr="00092ED7" w:rsidRDefault="00247CBF" w:rsidP="00247CBF">
            <w:pPr>
              <w:spacing w:after="0" w:line="230" w:lineRule="auto"/>
              <w:jc w:val="right"/>
              <w:rPr>
                <w:sz w:val="20"/>
                <w:lang w:val="sr-Cyrl-CS"/>
              </w:rPr>
            </w:pPr>
            <w:r w:rsidRPr="00092ED7">
              <w:rPr>
                <w:sz w:val="20"/>
                <w:lang w:val="sr-Cyrl-CS"/>
              </w:rPr>
              <w:t>583,31</w:t>
            </w:r>
          </w:p>
        </w:tc>
      </w:tr>
      <w:tr w:rsidR="00247CBF" w:rsidRPr="00092ED7" w14:paraId="6F3ED953" w14:textId="77777777" w:rsidTr="00247CBF">
        <w:trPr>
          <w:trHeight w:val="227"/>
        </w:trPr>
        <w:tc>
          <w:tcPr>
            <w:tcW w:w="2658" w:type="pct"/>
            <w:tcBorders>
              <w:top w:val="nil"/>
              <w:left w:val="double" w:sz="6" w:space="0" w:color="auto"/>
              <w:bottom w:val="dotted" w:sz="4" w:space="0" w:color="auto"/>
              <w:right w:val="nil"/>
            </w:tcBorders>
            <w:shd w:val="clear" w:color="000000" w:fill="FFFFFF"/>
            <w:vAlign w:val="center"/>
            <w:hideMark/>
          </w:tcPr>
          <w:p w14:paraId="474CF0E2" w14:textId="77777777" w:rsidR="00247CBF" w:rsidRPr="00092ED7" w:rsidRDefault="00247CBF" w:rsidP="00247CBF">
            <w:pPr>
              <w:spacing w:after="0" w:line="230" w:lineRule="auto"/>
              <w:rPr>
                <w:rFonts w:eastAsia="Times New Roman" w:cs="Times New Roman"/>
                <w:sz w:val="20"/>
                <w:szCs w:val="20"/>
                <w:lang w:val="sr-Cyrl-CS"/>
              </w:rPr>
            </w:pPr>
            <w:r w:rsidRPr="00092ED7">
              <w:rPr>
                <w:rFonts w:eastAsia="Times New Roman" w:cs="Times New Roman"/>
                <w:sz w:val="20"/>
                <w:szCs w:val="20"/>
                <w:lang w:val="sr-Cyrl-CS"/>
              </w:rPr>
              <w:t>12ц. Порези на капитал</w:t>
            </w:r>
          </w:p>
        </w:tc>
        <w:tc>
          <w:tcPr>
            <w:tcW w:w="100" w:type="pct"/>
            <w:tcBorders>
              <w:top w:val="nil"/>
              <w:left w:val="nil"/>
              <w:bottom w:val="dotted" w:sz="4" w:space="0" w:color="auto"/>
              <w:right w:val="single" w:sz="8" w:space="0" w:color="auto"/>
            </w:tcBorders>
            <w:shd w:val="clear" w:color="000000" w:fill="FFFFFF"/>
            <w:vAlign w:val="center"/>
            <w:hideMark/>
          </w:tcPr>
          <w:p w14:paraId="6DC1DC19" w14:textId="77777777" w:rsidR="00247CBF" w:rsidRPr="00092ED7" w:rsidRDefault="00247CBF" w:rsidP="00247CBF">
            <w:pPr>
              <w:spacing w:after="0" w:line="230" w:lineRule="auto"/>
              <w:jc w:val="center"/>
              <w:rPr>
                <w:rFonts w:eastAsia="Times New Roman" w:cs="Times New Roman"/>
                <w:sz w:val="20"/>
                <w:szCs w:val="20"/>
                <w:lang w:val="sr-Cyrl-CS"/>
              </w:rPr>
            </w:pPr>
            <w:r w:rsidRPr="00092ED7">
              <w:rPr>
                <w:rFonts w:eastAsia="Times New Roman" w:cs="Times New Roman"/>
                <w:sz w:val="20"/>
                <w:szCs w:val="20"/>
                <w:lang w:val="sr-Cyrl-CS"/>
              </w:rPr>
              <w:t> </w:t>
            </w:r>
          </w:p>
        </w:tc>
        <w:tc>
          <w:tcPr>
            <w:tcW w:w="483" w:type="pct"/>
            <w:gridSpan w:val="2"/>
            <w:tcBorders>
              <w:top w:val="nil"/>
              <w:left w:val="nil"/>
              <w:bottom w:val="dotted" w:sz="4" w:space="0" w:color="auto"/>
              <w:right w:val="single" w:sz="8" w:space="0" w:color="auto"/>
            </w:tcBorders>
            <w:shd w:val="clear" w:color="000000" w:fill="FFFFFF"/>
            <w:vAlign w:val="center"/>
            <w:hideMark/>
          </w:tcPr>
          <w:p w14:paraId="4125AEA8" w14:textId="77777777" w:rsidR="00247CBF" w:rsidRPr="00092ED7" w:rsidRDefault="00247CBF" w:rsidP="00247CBF">
            <w:pPr>
              <w:spacing w:after="0" w:line="230" w:lineRule="auto"/>
              <w:jc w:val="center"/>
              <w:rPr>
                <w:rFonts w:eastAsia="Times New Roman" w:cs="Times New Roman"/>
                <w:sz w:val="20"/>
                <w:szCs w:val="20"/>
                <w:lang w:val="sr-Cyrl-CS"/>
              </w:rPr>
            </w:pPr>
            <w:r w:rsidRPr="00092ED7">
              <w:rPr>
                <w:rFonts w:eastAsia="Times New Roman" w:cs="Times New Roman"/>
                <w:sz w:val="20"/>
                <w:szCs w:val="20"/>
                <w:lang w:val="sr-Cyrl-CS"/>
              </w:rPr>
              <w:t>D91</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5DAA3B5F" w14:textId="77777777" w:rsidR="00247CBF" w:rsidRPr="00092ED7" w:rsidRDefault="00247CBF" w:rsidP="00247CBF">
            <w:pPr>
              <w:spacing w:after="0" w:line="230" w:lineRule="auto"/>
              <w:jc w:val="right"/>
              <w:rPr>
                <w:sz w:val="20"/>
                <w:lang w:val="sr-Cyrl-CS"/>
              </w:rPr>
            </w:pPr>
            <w:r w:rsidRPr="00092ED7">
              <w:rPr>
                <w:sz w:val="20"/>
                <w:lang w:val="sr-Cyrl-CS"/>
              </w:rPr>
              <w:t>1,81</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66B48B45" w14:textId="77777777" w:rsidR="00247CBF" w:rsidRPr="00092ED7" w:rsidRDefault="00247CBF" w:rsidP="00247CBF">
            <w:pPr>
              <w:spacing w:after="0" w:line="230" w:lineRule="auto"/>
              <w:jc w:val="right"/>
              <w:rPr>
                <w:sz w:val="20"/>
                <w:lang w:val="sr-Cyrl-CS"/>
              </w:rPr>
            </w:pPr>
            <w:r w:rsidRPr="00092ED7">
              <w:rPr>
                <w:sz w:val="20"/>
                <w:lang w:val="sr-Cyrl-CS"/>
              </w:rPr>
              <w:t>2,53</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374FB527" w14:textId="77777777" w:rsidR="00247CBF" w:rsidRPr="00092ED7" w:rsidRDefault="00247CBF" w:rsidP="00247CBF">
            <w:pPr>
              <w:spacing w:after="0" w:line="230" w:lineRule="auto"/>
              <w:jc w:val="right"/>
              <w:rPr>
                <w:sz w:val="20"/>
                <w:lang w:val="sr-Cyrl-CS"/>
              </w:rPr>
            </w:pPr>
            <w:r w:rsidRPr="00092ED7">
              <w:rPr>
                <w:sz w:val="20"/>
                <w:lang w:val="sr-Cyrl-CS"/>
              </w:rPr>
              <w:t>3,52</w:t>
            </w:r>
          </w:p>
        </w:tc>
        <w:tc>
          <w:tcPr>
            <w:tcW w:w="352" w:type="pct"/>
            <w:tcBorders>
              <w:top w:val="nil"/>
              <w:left w:val="nil"/>
              <w:bottom w:val="dotted" w:sz="4" w:space="0" w:color="auto"/>
              <w:right w:val="dotted" w:sz="4" w:space="0" w:color="auto"/>
            </w:tcBorders>
            <w:shd w:val="clear" w:color="000000" w:fill="FFFFFF"/>
            <w:vAlign w:val="center"/>
            <w:hideMark/>
          </w:tcPr>
          <w:p w14:paraId="07E55FE7" w14:textId="77777777" w:rsidR="00247CBF" w:rsidRPr="00092ED7" w:rsidRDefault="00247CBF" w:rsidP="00247CBF">
            <w:pPr>
              <w:spacing w:after="0" w:line="230" w:lineRule="auto"/>
              <w:jc w:val="right"/>
              <w:rPr>
                <w:sz w:val="20"/>
                <w:lang w:val="sr-Cyrl-CS"/>
              </w:rPr>
            </w:pPr>
            <w:r w:rsidRPr="00092ED7">
              <w:rPr>
                <w:sz w:val="20"/>
                <w:lang w:val="sr-Cyrl-CS"/>
              </w:rPr>
              <w:t>4,91</w:t>
            </w:r>
          </w:p>
        </w:tc>
        <w:tc>
          <w:tcPr>
            <w:tcW w:w="351" w:type="pct"/>
            <w:gridSpan w:val="2"/>
            <w:tcBorders>
              <w:top w:val="nil"/>
              <w:left w:val="nil"/>
              <w:bottom w:val="dotted" w:sz="4" w:space="0" w:color="auto"/>
              <w:right w:val="double" w:sz="6" w:space="0" w:color="auto"/>
            </w:tcBorders>
            <w:shd w:val="clear" w:color="000000" w:fill="FFFFFF"/>
            <w:vAlign w:val="center"/>
            <w:hideMark/>
          </w:tcPr>
          <w:p w14:paraId="059CE661" w14:textId="77777777" w:rsidR="00247CBF" w:rsidRPr="00092ED7" w:rsidRDefault="00247CBF" w:rsidP="00247CBF">
            <w:pPr>
              <w:spacing w:after="0" w:line="230" w:lineRule="auto"/>
              <w:jc w:val="right"/>
              <w:rPr>
                <w:sz w:val="20"/>
                <w:lang w:val="sr-Cyrl-CS"/>
              </w:rPr>
            </w:pPr>
            <w:r w:rsidRPr="00092ED7">
              <w:rPr>
                <w:sz w:val="20"/>
                <w:lang w:val="sr-Cyrl-CS"/>
              </w:rPr>
              <w:t>6,85</w:t>
            </w:r>
          </w:p>
        </w:tc>
      </w:tr>
      <w:tr w:rsidR="00247CBF" w:rsidRPr="00092ED7" w14:paraId="61BD65BC" w14:textId="77777777" w:rsidTr="00247CBF">
        <w:trPr>
          <w:trHeight w:val="227"/>
        </w:trPr>
        <w:tc>
          <w:tcPr>
            <w:tcW w:w="2658" w:type="pct"/>
            <w:tcBorders>
              <w:top w:val="nil"/>
              <w:left w:val="double" w:sz="6" w:space="0" w:color="auto"/>
              <w:bottom w:val="dotted" w:sz="4" w:space="0" w:color="auto"/>
              <w:right w:val="nil"/>
            </w:tcBorders>
            <w:shd w:val="clear" w:color="000000" w:fill="FFFFFF"/>
            <w:vAlign w:val="center"/>
            <w:hideMark/>
          </w:tcPr>
          <w:p w14:paraId="592426EF" w14:textId="77777777" w:rsidR="00247CBF" w:rsidRPr="00092ED7" w:rsidRDefault="00247CBF" w:rsidP="00247CBF">
            <w:pPr>
              <w:spacing w:after="0" w:line="230" w:lineRule="auto"/>
              <w:rPr>
                <w:rFonts w:eastAsia="Times New Roman" w:cs="Times New Roman"/>
                <w:sz w:val="20"/>
                <w:szCs w:val="20"/>
                <w:lang w:val="sr-Cyrl-CS"/>
              </w:rPr>
            </w:pPr>
            <w:r w:rsidRPr="00092ED7">
              <w:rPr>
                <w:rFonts w:eastAsia="Times New Roman" w:cs="Times New Roman"/>
                <w:sz w:val="20"/>
                <w:szCs w:val="20"/>
                <w:lang w:val="sr-Cyrl-CS"/>
              </w:rPr>
              <w:t>13. Доприноси за социјално осигурање</w:t>
            </w:r>
          </w:p>
        </w:tc>
        <w:tc>
          <w:tcPr>
            <w:tcW w:w="100" w:type="pct"/>
            <w:tcBorders>
              <w:top w:val="nil"/>
              <w:left w:val="nil"/>
              <w:bottom w:val="dotted" w:sz="4" w:space="0" w:color="auto"/>
              <w:right w:val="single" w:sz="8" w:space="0" w:color="auto"/>
            </w:tcBorders>
            <w:shd w:val="clear" w:color="000000" w:fill="FFFFFF"/>
            <w:vAlign w:val="center"/>
            <w:hideMark/>
          </w:tcPr>
          <w:p w14:paraId="5AF67A4F" w14:textId="77777777" w:rsidR="00247CBF" w:rsidRPr="00092ED7" w:rsidRDefault="00247CBF" w:rsidP="00247CBF">
            <w:pPr>
              <w:spacing w:after="0" w:line="230" w:lineRule="auto"/>
              <w:jc w:val="center"/>
              <w:rPr>
                <w:rFonts w:eastAsia="Times New Roman" w:cs="Times New Roman"/>
                <w:sz w:val="20"/>
                <w:szCs w:val="20"/>
                <w:lang w:val="sr-Cyrl-CS"/>
              </w:rPr>
            </w:pPr>
            <w:r w:rsidRPr="00092ED7">
              <w:rPr>
                <w:rFonts w:eastAsia="Times New Roman" w:cs="Times New Roman"/>
                <w:sz w:val="20"/>
                <w:szCs w:val="20"/>
                <w:lang w:val="sr-Cyrl-CS"/>
              </w:rPr>
              <w:t> </w:t>
            </w:r>
          </w:p>
        </w:tc>
        <w:tc>
          <w:tcPr>
            <w:tcW w:w="483" w:type="pct"/>
            <w:gridSpan w:val="2"/>
            <w:tcBorders>
              <w:top w:val="nil"/>
              <w:left w:val="nil"/>
              <w:bottom w:val="dotted" w:sz="4" w:space="0" w:color="auto"/>
              <w:right w:val="single" w:sz="8" w:space="0" w:color="auto"/>
            </w:tcBorders>
            <w:shd w:val="clear" w:color="000000" w:fill="FFFFFF"/>
            <w:vAlign w:val="center"/>
            <w:hideMark/>
          </w:tcPr>
          <w:p w14:paraId="3CBF2096" w14:textId="77777777" w:rsidR="00247CBF" w:rsidRPr="00092ED7" w:rsidRDefault="00247CBF" w:rsidP="00247CBF">
            <w:pPr>
              <w:spacing w:after="0" w:line="230" w:lineRule="auto"/>
              <w:jc w:val="center"/>
              <w:rPr>
                <w:rFonts w:eastAsia="Times New Roman" w:cs="Times New Roman"/>
                <w:sz w:val="20"/>
                <w:szCs w:val="20"/>
                <w:lang w:val="sr-Cyrl-CS"/>
              </w:rPr>
            </w:pPr>
            <w:r w:rsidRPr="00092ED7">
              <w:rPr>
                <w:rFonts w:eastAsia="Times New Roman" w:cs="Times New Roman"/>
                <w:sz w:val="20"/>
                <w:szCs w:val="20"/>
                <w:lang w:val="sr-Cyrl-CS"/>
              </w:rPr>
              <w:t>D61</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0B51E5F3" w14:textId="77777777" w:rsidR="00247CBF" w:rsidRPr="00092ED7" w:rsidRDefault="00247CBF" w:rsidP="00247CBF">
            <w:pPr>
              <w:spacing w:after="0" w:line="230" w:lineRule="auto"/>
              <w:jc w:val="right"/>
              <w:rPr>
                <w:sz w:val="20"/>
                <w:lang w:val="sr-Cyrl-CS"/>
              </w:rPr>
            </w:pPr>
            <w:r w:rsidRPr="00092ED7">
              <w:rPr>
                <w:sz w:val="20"/>
                <w:lang w:val="sr-Cyrl-CS"/>
              </w:rPr>
              <w:t>861,97</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5FEF4B61" w14:textId="77777777" w:rsidR="00247CBF" w:rsidRPr="00092ED7" w:rsidRDefault="00247CBF" w:rsidP="00247CBF">
            <w:pPr>
              <w:spacing w:after="0" w:line="230" w:lineRule="auto"/>
              <w:jc w:val="right"/>
              <w:rPr>
                <w:sz w:val="20"/>
                <w:lang w:val="sr-Cyrl-CS"/>
              </w:rPr>
            </w:pPr>
            <w:r w:rsidRPr="00092ED7">
              <w:rPr>
                <w:sz w:val="20"/>
                <w:lang w:val="sr-Cyrl-CS"/>
              </w:rPr>
              <w:t>947,83</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7A2BB99A" w14:textId="77777777" w:rsidR="00247CBF" w:rsidRPr="00092ED7" w:rsidRDefault="00247CBF" w:rsidP="00247CBF">
            <w:pPr>
              <w:spacing w:after="0" w:line="230" w:lineRule="auto"/>
              <w:jc w:val="right"/>
              <w:rPr>
                <w:sz w:val="20"/>
                <w:lang w:val="sr-Cyrl-CS"/>
              </w:rPr>
            </w:pPr>
            <w:r w:rsidRPr="00092ED7">
              <w:rPr>
                <w:sz w:val="20"/>
                <w:lang w:val="sr-Cyrl-CS"/>
              </w:rPr>
              <w:t>1.008,72</w:t>
            </w:r>
          </w:p>
        </w:tc>
        <w:tc>
          <w:tcPr>
            <w:tcW w:w="352" w:type="pct"/>
            <w:tcBorders>
              <w:top w:val="nil"/>
              <w:left w:val="nil"/>
              <w:bottom w:val="dotted" w:sz="4" w:space="0" w:color="auto"/>
              <w:right w:val="dotted" w:sz="4" w:space="0" w:color="auto"/>
            </w:tcBorders>
            <w:shd w:val="clear" w:color="000000" w:fill="FFFFFF"/>
            <w:vAlign w:val="center"/>
            <w:hideMark/>
          </w:tcPr>
          <w:p w14:paraId="7A7C4253" w14:textId="77777777" w:rsidR="00247CBF" w:rsidRPr="00092ED7" w:rsidRDefault="00247CBF" w:rsidP="00247CBF">
            <w:pPr>
              <w:spacing w:after="0" w:line="230" w:lineRule="auto"/>
              <w:jc w:val="right"/>
              <w:rPr>
                <w:sz w:val="20"/>
                <w:lang w:val="sr-Cyrl-CS"/>
              </w:rPr>
            </w:pPr>
            <w:r w:rsidRPr="00092ED7">
              <w:rPr>
                <w:sz w:val="20"/>
                <w:lang w:val="sr-Cyrl-CS"/>
              </w:rPr>
              <w:t>1.097,85</w:t>
            </w:r>
          </w:p>
        </w:tc>
        <w:tc>
          <w:tcPr>
            <w:tcW w:w="351" w:type="pct"/>
            <w:gridSpan w:val="2"/>
            <w:tcBorders>
              <w:top w:val="nil"/>
              <w:left w:val="nil"/>
              <w:bottom w:val="dotted" w:sz="4" w:space="0" w:color="auto"/>
              <w:right w:val="double" w:sz="6" w:space="0" w:color="auto"/>
            </w:tcBorders>
            <w:shd w:val="clear" w:color="000000" w:fill="FFFFFF"/>
            <w:vAlign w:val="center"/>
            <w:hideMark/>
          </w:tcPr>
          <w:p w14:paraId="0C097440" w14:textId="77777777" w:rsidR="00247CBF" w:rsidRPr="00092ED7" w:rsidRDefault="00247CBF" w:rsidP="00247CBF">
            <w:pPr>
              <w:spacing w:after="0" w:line="230" w:lineRule="auto"/>
              <w:jc w:val="right"/>
              <w:rPr>
                <w:sz w:val="20"/>
                <w:lang w:val="sr-Cyrl-CS"/>
              </w:rPr>
            </w:pPr>
            <w:r w:rsidRPr="00092ED7">
              <w:rPr>
                <w:sz w:val="20"/>
                <w:lang w:val="sr-Cyrl-CS"/>
              </w:rPr>
              <w:t>1.182,01</w:t>
            </w:r>
          </w:p>
        </w:tc>
      </w:tr>
      <w:tr w:rsidR="00247CBF" w:rsidRPr="00092ED7" w14:paraId="49D1FC72" w14:textId="77777777" w:rsidTr="00247CBF">
        <w:trPr>
          <w:trHeight w:val="227"/>
        </w:trPr>
        <w:tc>
          <w:tcPr>
            <w:tcW w:w="2658" w:type="pct"/>
            <w:tcBorders>
              <w:top w:val="nil"/>
              <w:left w:val="double" w:sz="6" w:space="0" w:color="auto"/>
              <w:bottom w:val="dotted" w:sz="4" w:space="0" w:color="auto"/>
              <w:right w:val="nil"/>
            </w:tcBorders>
            <w:shd w:val="clear" w:color="000000" w:fill="FFFFFF"/>
            <w:vAlign w:val="center"/>
            <w:hideMark/>
          </w:tcPr>
          <w:p w14:paraId="39F4B6C3" w14:textId="77777777" w:rsidR="00247CBF" w:rsidRPr="00092ED7" w:rsidRDefault="00247CBF" w:rsidP="00247CBF">
            <w:pPr>
              <w:spacing w:after="0" w:line="230" w:lineRule="auto"/>
              <w:rPr>
                <w:rFonts w:eastAsia="Times New Roman" w:cs="Times New Roman"/>
                <w:sz w:val="20"/>
                <w:szCs w:val="20"/>
                <w:lang w:val="sr-Cyrl-CS"/>
              </w:rPr>
            </w:pPr>
            <w:r w:rsidRPr="00092ED7">
              <w:rPr>
                <w:rFonts w:eastAsia="Times New Roman" w:cs="Times New Roman"/>
                <w:sz w:val="20"/>
                <w:szCs w:val="20"/>
                <w:lang w:val="sr-Cyrl-CS"/>
              </w:rPr>
              <w:t>14. Доходак од непокретне имовине</w:t>
            </w:r>
          </w:p>
        </w:tc>
        <w:tc>
          <w:tcPr>
            <w:tcW w:w="100" w:type="pct"/>
            <w:tcBorders>
              <w:top w:val="nil"/>
              <w:left w:val="nil"/>
              <w:bottom w:val="dotted" w:sz="4" w:space="0" w:color="auto"/>
              <w:right w:val="single" w:sz="8" w:space="0" w:color="auto"/>
            </w:tcBorders>
            <w:shd w:val="clear" w:color="000000" w:fill="FFFFFF"/>
            <w:vAlign w:val="center"/>
            <w:hideMark/>
          </w:tcPr>
          <w:p w14:paraId="7C142C08" w14:textId="77777777" w:rsidR="00247CBF" w:rsidRPr="00092ED7" w:rsidRDefault="00247CBF" w:rsidP="00247CBF">
            <w:pPr>
              <w:spacing w:after="0" w:line="230" w:lineRule="auto"/>
              <w:jc w:val="center"/>
              <w:rPr>
                <w:rFonts w:eastAsia="Times New Roman" w:cs="Times New Roman"/>
                <w:sz w:val="20"/>
                <w:szCs w:val="20"/>
                <w:lang w:val="sr-Cyrl-CS"/>
              </w:rPr>
            </w:pPr>
            <w:r w:rsidRPr="00092ED7">
              <w:rPr>
                <w:rFonts w:eastAsia="Times New Roman" w:cs="Times New Roman"/>
                <w:sz w:val="20"/>
                <w:szCs w:val="20"/>
                <w:lang w:val="sr-Cyrl-CS"/>
              </w:rPr>
              <w:t> </w:t>
            </w:r>
          </w:p>
        </w:tc>
        <w:tc>
          <w:tcPr>
            <w:tcW w:w="483" w:type="pct"/>
            <w:gridSpan w:val="2"/>
            <w:tcBorders>
              <w:top w:val="nil"/>
              <w:left w:val="nil"/>
              <w:bottom w:val="dotted" w:sz="4" w:space="0" w:color="auto"/>
              <w:right w:val="single" w:sz="8" w:space="0" w:color="auto"/>
            </w:tcBorders>
            <w:shd w:val="clear" w:color="000000" w:fill="FFFFFF"/>
            <w:vAlign w:val="center"/>
            <w:hideMark/>
          </w:tcPr>
          <w:p w14:paraId="2CEA1CE7" w14:textId="77777777" w:rsidR="00247CBF" w:rsidRPr="00092ED7" w:rsidRDefault="00247CBF" w:rsidP="00247CBF">
            <w:pPr>
              <w:spacing w:after="0" w:line="230" w:lineRule="auto"/>
              <w:jc w:val="center"/>
              <w:rPr>
                <w:rFonts w:eastAsia="Times New Roman" w:cs="Times New Roman"/>
                <w:sz w:val="20"/>
                <w:szCs w:val="20"/>
                <w:lang w:val="sr-Cyrl-CS"/>
              </w:rPr>
            </w:pPr>
            <w:r w:rsidRPr="00092ED7">
              <w:rPr>
                <w:rFonts w:eastAsia="Times New Roman" w:cs="Times New Roman"/>
                <w:sz w:val="20"/>
                <w:szCs w:val="20"/>
                <w:lang w:val="sr-Cyrl-CS"/>
              </w:rPr>
              <w:t>D4</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2C639645" w14:textId="77777777" w:rsidR="00247CBF" w:rsidRPr="00092ED7" w:rsidRDefault="00247CBF" w:rsidP="00247CBF">
            <w:pPr>
              <w:spacing w:after="0" w:line="230" w:lineRule="auto"/>
              <w:jc w:val="right"/>
              <w:rPr>
                <w:sz w:val="20"/>
                <w:lang w:val="sr-Cyrl-CS"/>
              </w:rPr>
            </w:pPr>
            <w:r w:rsidRPr="00092ED7">
              <w:rPr>
                <w:sz w:val="20"/>
                <w:lang w:val="sr-Cyrl-CS"/>
              </w:rPr>
              <w:t>69,94</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0388B26E" w14:textId="77777777" w:rsidR="00247CBF" w:rsidRPr="00092ED7" w:rsidRDefault="00247CBF" w:rsidP="00247CBF">
            <w:pPr>
              <w:spacing w:after="0" w:line="230" w:lineRule="auto"/>
              <w:jc w:val="right"/>
              <w:rPr>
                <w:sz w:val="20"/>
                <w:lang w:val="sr-Cyrl-CS"/>
              </w:rPr>
            </w:pPr>
            <w:r w:rsidRPr="00092ED7">
              <w:rPr>
                <w:sz w:val="20"/>
                <w:lang w:val="sr-Cyrl-CS"/>
              </w:rPr>
              <w:t>87,34</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2E31E5E0" w14:textId="77777777" w:rsidR="00247CBF" w:rsidRPr="00092ED7" w:rsidRDefault="00247CBF" w:rsidP="00247CBF">
            <w:pPr>
              <w:spacing w:after="0" w:line="230" w:lineRule="auto"/>
              <w:jc w:val="right"/>
              <w:rPr>
                <w:sz w:val="20"/>
                <w:lang w:val="sr-Cyrl-CS"/>
              </w:rPr>
            </w:pPr>
            <w:r w:rsidRPr="00092ED7">
              <w:rPr>
                <w:sz w:val="20"/>
                <w:lang w:val="sr-Cyrl-CS"/>
              </w:rPr>
              <w:t>87,81</w:t>
            </w:r>
          </w:p>
        </w:tc>
        <w:tc>
          <w:tcPr>
            <w:tcW w:w="352" w:type="pct"/>
            <w:tcBorders>
              <w:top w:val="nil"/>
              <w:left w:val="nil"/>
              <w:bottom w:val="dotted" w:sz="4" w:space="0" w:color="auto"/>
              <w:right w:val="dotted" w:sz="4" w:space="0" w:color="auto"/>
            </w:tcBorders>
            <w:shd w:val="clear" w:color="000000" w:fill="FFFFFF"/>
            <w:vAlign w:val="center"/>
            <w:hideMark/>
          </w:tcPr>
          <w:p w14:paraId="4B4C99E4" w14:textId="77777777" w:rsidR="00247CBF" w:rsidRPr="00092ED7" w:rsidRDefault="00247CBF" w:rsidP="00247CBF">
            <w:pPr>
              <w:spacing w:after="0" w:line="230" w:lineRule="auto"/>
              <w:jc w:val="right"/>
              <w:rPr>
                <w:sz w:val="20"/>
                <w:lang w:val="sr-Cyrl-CS"/>
              </w:rPr>
            </w:pPr>
            <w:r w:rsidRPr="00092ED7">
              <w:rPr>
                <w:sz w:val="20"/>
                <w:lang w:val="sr-Cyrl-CS"/>
              </w:rPr>
              <w:t>94,10</w:t>
            </w:r>
          </w:p>
        </w:tc>
        <w:tc>
          <w:tcPr>
            <w:tcW w:w="351" w:type="pct"/>
            <w:gridSpan w:val="2"/>
            <w:tcBorders>
              <w:top w:val="nil"/>
              <w:left w:val="nil"/>
              <w:bottom w:val="dotted" w:sz="4" w:space="0" w:color="auto"/>
              <w:right w:val="double" w:sz="6" w:space="0" w:color="auto"/>
            </w:tcBorders>
            <w:shd w:val="clear" w:color="000000" w:fill="FFFFFF"/>
            <w:vAlign w:val="center"/>
            <w:hideMark/>
          </w:tcPr>
          <w:p w14:paraId="54B89FA9" w14:textId="77777777" w:rsidR="00247CBF" w:rsidRPr="00092ED7" w:rsidRDefault="00247CBF" w:rsidP="00247CBF">
            <w:pPr>
              <w:spacing w:after="0" w:line="230" w:lineRule="auto"/>
              <w:jc w:val="right"/>
              <w:rPr>
                <w:sz w:val="20"/>
                <w:lang w:val="sr-Cyrl-CS"/>
              </w:rPr>
            </w:pPr>
            <w:r w:rsidRPr="00092ED7">
              <w:rPr>
                <w:sz w:val="20"/>
                <w:lang w:val="sr-Cyrl-CS"/>
              </w:rPr>
              <w:t>101,35</w:t>
            </w:r>
          </w:p>
        </w:tc>
      </w:tr>
      <w:tr w:rsidR="00247CBF" w:rsidRPr="00092ED7" w14:paraId="10CE5357" w14:textId="77777777" w:rsidTr="00247CBF">
        <w:trPr>
          <w:trHeight w:val="227"/>
        </w:trPr>
        <w:tc>
          <w:tcPr>
            <w:tcW w:w="2658" w:type="pct"/>
            <w:tcBorders>
              <w:top w:val="nil"/>
              <w:left w:val="double" w:sz="6" w:space="0" w:color="auto"/>
              <w:bottom w:val="dotted" w:sz="4" w:space="0" w:color="auto"/>
              <w:right w:val="nil"/>
            </w:tcBorders>
            <w:shd w:val="clear" w:color="000000" w:fill="FFFFFF"/>
            <w:vAlign w:val="center"/>
            <w:hideMark/>
          </w:tcPr>
          <w:p w14:paraId="17CE8A64" w14:textId="77777777" w:rsidR="00247CBF" w:rsidRPr="00092ED7" w:rsidRDefault="00247CBF" w:rsidP="00247CBF">
            <w:pPr>
              <w:spacing w:after="0" w:line="230" w:lineRule="auto"/>
              <w:rPr>
                <w:rFonts w:eastAsia="Times New Roman" w:cs="Times New Roman"/>
                <w:sz w:val="20"/>
                <w:szCs w:val="20"/>
                <w:lang w:val="sr-Cyrl-CS"/>
              </w:rPr>
            </w:pPr>
            <w:r w:rsidRPr="00092ED7">
              <w:rPr>
                <w:rFonts w:eastAsia="Times New Roman" w:cs="Times New Roman"/>
                <w:sz w:val="20"/>
                <w:szCs w:val="20"/>
                <w:lang w:val="sr-Cyrl-CS"/>
              </w:rPr>
              <w:t>15. Друго (15 = 16-(12+13+14)) [4]</w:t>
            </w:r>
          </w:p>
        </w:tc>
        <w:tc>
          <w:tcPr>
            <w:tcW w:w="100" w:type="pct"/>
            <w:tcBorders>
              <w:top w:val="nil"/>
              <w:left w:val="nil"/>
              <w:bottom w:val="dotted" w:sz="4" w:space="0" w:color="auto"/>
              <w:right w:val="single" w:sz="8" w:space="0" w:color="auto"/>
            </w:tcBorders>
            <w:shd w:val="clear" w:color="000000" w:fill="FFFFFF"/>
            <w:vAlign w:val="center"/>
            <w:hideMark/>
          </w:tcPr>
          <w:p w14:paraId="699FE429" w14:textId="77777777" w:rsidR="00247CBF" w:rsidRPr="00092ED7" w:rsidRDefault="00247CBF" w:rsidP="00247CBF">
            <w:pPr>
              <w:spacing w:after="0" w:line="230" w:lineRule="auto"/>
              <w:jc w:val="center"/>
              <w:rPr>
                <w:rFonts w:eastAsia="Times New Roman" w:cs="Times New Roman"/>
                <w:sz w:val="20"/>
                <w:szCs w:val="20"/>
                <w:lang w:val="sr-Cyrl-CS"/>
              </w:rPr>
            </w:pPr>
            <w:r w:rsidRPr="00092ED7">
              <w:rPr>
                <w:rFonts w:eastAsia="Times New Roman" w:cs="Times New Roman"/>
                <w:sz w:val="20"/>
                <w:szCs w:val="20"/>
                <w:lang w:val="sr-Cyrl-CS"/>
              </w:rPr>
              <w:t> </w:t>
            </w:r>
          </w:p>
        </w:tc>
        <w:tc>
          <w:tcPr>
            <w:tcW w:w="483" w:type="pct"/>
            <w:gridSpan w:val="2"/>
            <w:tcBorders>
              <w:top w:val="nil"/>
              <w:left w:val="nil"/>
              <w:bottom w:val="dotted" w:sz="4" w:space="0" w:color="auto"/>
              <w:right w:val="single" w:sz="8" w:space="0" w:color="auto"/>
            </w:tcBorders>
            <w:shd w:val="clear" w:color="000000" w:fill="FFFFFF"/>
            <w:vAlign w:val="center"/>
            <w:hideMark/>
          </w:tcPr>
          <w:p w14:paraId="3600DDD3" w14:textId="77777777" w:rsidR="00247CBF" w:rsidRPr="00092ED7" w:rsidRDefault="00247CBF" w:rsidP="00247CBF">
            <w:pPr>
              <w:spacing w:after="0" w:line="230" w:lineRule="auto"/>
              <w:jc w:val="center"/>
              <w:rPr>
                <w:rFonts w:eastAsia="Times New Roman" w:cs="Times New Roman"/>
                <w:sz w:val="20"/>
                <w:szCs w:val="20"/>
                <w:lang w:val="sr-Cyrl-CS"/>
              </w:rPr>
            </w:pPr>
            <w:r w:rsidRPr="00092ED7">
              <w:rPr>
                <w:rFonts w:eastAsia="Times New Roman" w:cs="Times New Roman"/>
                <w:sz w:val="20"/>
                <w:szCs w:val="20"/>
                <w:lang w:val="sr-Cyrl-CS"/>
              </w:rPr>
              <w:t> </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5A4AB4D4" w14:textId="77777777" w:rsidR="00247CBF" w:rsidRPr="00092ED7" w:rsidRDefault="00247CBF" w:rsidP="00247CBF">
            <w:pPr>
              <w:spacing w:after="0" w:line="230" w:lineRule="auto"/>
              <w:jc w:val="right"/>
              <w:rPr>
                <w:sz w:val="20"/>
                <w:lang w:val="sr-Cyrl-CS"/>
              </w:rPr>
            </w:pPr>
            <w:r w:rsidRPr="00092ED7">
              <w:rPr>
                <w:sz w:val="20"/>
                <w:lang w:val="sr-Cyrl-CS"/>
              </w:rPr>
              <w:t>221,85</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7F08064C" w14:textId="77777777" w:rsidR="00247CBF" w:rsidRPr="00092ED7" w:rsidRDefault="00247CBF" w:rsidP="00247CBF">
            <w:pPr>
              <w:spacing w:after="0" w:line="230" w:lineRule="auto"/>
              <w:jc w:val="right"/>
              <w:rPr>
                <w:sz w:val="20"/>
                <w:lang w:val="sr-Cyrl-CS"/>
              </w:rPr>
            </w:pPr>
            <w:r w:rsidRPr="00092ED7">
              <w:rPr>
                <w:sz w:val="20"/>
                <w:lang w:val="sr-Cyrl-CS"/>
              </w:rPr>
              <w:t>285,19</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71E69747" w14:textId="77777777" w:rsidR="00247CBF" w:rsidRPr="00092ED7" w:rsidRDefault="00247CBF" w:rsidP="00247CBF">
            <w:pPr>
              <w:spacing w:after="0" w:line="230" w:lineRule="auto"/>
              <w:jc w:val="right"/>
              <w:rPr>
                <w:sz w:val="20"/>
                <w:lang w:val="sr-Cyrl-CS"/>
              </w:rPr>
            </w:pPr>
            <w:r w:rsidRPr="00092ED7">
              <w:rPr>
                <w:sz w:val="20"/>
                <w:lang w:val="sr-Cyrl-CS"/>
              </w:rPr>
              <w:t>335,88</w:t>
            </w:r>
          </w:p>
        </w:tc>
        <w:tc>
          <w:tcPr>
            <w:tcW w:w="352" w:type="pct"/>
            <w:tcBorders>
              <w:top w:val="nil"/>
              <w:left w:val="nil"/>
              <w:bottom w:val="dotted" w:sz="4" w:space="0" w:color="auto"/>
              <w:right w:val="dotted" w:sz="4" w:space="0" w:color="auto"/>
            </w:tcBorders>
            <w:shd w:val="clear" w:color="000000" w:fill="FFFFFF"/>
            <w:vAlign w:val="center"/>
            <w:hideMark/>
          </w:tcPr>
          <w:p w14:paraId="364680CB" w14:textId="77777777" w:rsidR="00247CBF" w:rsidRPr="00092ED7" w:rsidRDefault="00247CBF" w:rsidP="00247CBF">
            <w:pPr>
              <w:spacing w:after="0" w:line="230" w:lineRule="auto"/>
              <w:jc w:val="right"/>
              <w:rPr>
                <w:sz w:val="20"/>
                <w:lang w:val="sr-Cyrl-CS"/>
              </w:rPr>
            </w:pPr>
            <w:r w:rsidRPr="00092ED7">
              <w:rPr>
                <w:sz w:val="20"/>
                <w:lang w:val="sr-Cyrl-CS"/>
              </w:rPr>
              <w:t>334,71</w:t>
            </w:r>
          </w:p>
        </w:tc>
        <w:tc>
          <w:tcPr>
            <w:tcW w:w="351" w:type="pct"/>
            <w:gridSpan w:val="2"/>
            <w:tcBorders>
              <w:top w:val="nil"/>
              <w:left w:val="nil"/>
              <w:bottom w:val="dotted" w:sz="4" w:space="0" w:color="auto"/>
              <w:right w:val="double" w:sz="6" w:space="0" w:color="auto"/>
            </w:tcBorders>
            <w:shd w:val="clear" w:color="000000" w:fill="FFFFFF"/>
            <w:vAlign w:val="center"/>
            <w:hideMark/>
          </w:tcPr>
          <w:p w14:paraId="49C7CB48" w14:textId="77777777" w:rsidR="00247CBF" w:rsidRPr="00092ED7" w:rsidRDefault="00247CBF" w:rsidP="00247CBF">
            <w:pPr>
              <w:spacing w:after="0" w:line="230" w:lineRule="auto"/>
              <w:jc w:val="right"/>
              <w:rPr>
                <w:sz w:val="20"/>
                <w:lang w:val="sr-Cyrl-CS"/>
              </w:rPr>
            </w:pPr>
            <w:r w:rsidRPr="00092ED7">
              <w:rPr>
                <w:sz w:val="20"/>
                <w:lang w:val="sr-Cyrl-CS"/>
              </w:rPr>
              <w:t>342,83</w:t>
            </w:r>
          </w:p>
        </w:tc>
      </w:tr>
      <w:tr w:rsidR="00247CBF" w:rsidRPr="00092ED7" w14:paraId="6E6F23F9" w14:textId="77777777" w:rsidTr="00247CBF">
        <w:trPr>
          <w:trHeight w:val="227"/>
        </w:trPr>
        <w:tc>
          <w:tcPr>
            <w:tcW w:w="2658" w:type="pct"/>
            <w:tcBorders>
              <w:top w:val="nil"/>
              <w:left w:val="double" w:sz="6" w:space="0" w:color="auto"/>
              <w:bottom w:val="dotted" w:sz="4" w:space="0" w:color="auto"/>
              <w:right w:val="nil"/>
            </w:tcBorders>
            <w:shd w:val="clear" w:color="000000" w:fill="FFFFFF"/>
            <w:vAlign w:val="center"/>
            <w:hideMark/>
          </w:tcPr>
          <w:p w14:paraId="565FDD56" w14:textId="77777777" w:rsidR="00247CBF" w:rsidRPr="00092ED7" w:rsidRDefault="00247CBF" w:rsidP="00247CBF">
            <w:pPr>
              <w:spacing w:after="0" w:line="230" w:lineRule="auto"/>
              <w:rPr>
                <w:rFonts w:eastAsia="Times New Roman" w:cs="Times New Roman"/>
                <w:sz w:val="20"/>
                <w:szCs w:val="20"/>
                <w:lang w:val="sr-Cyrl-CS"/>
              </w:rPr>
            </w:pPr>
            <w:r w:rsidRPr="00092ED7">
              <w:rPr>
                <w:rFonts w:eastAsia="Times New Roman" w:cs="Times New Roman"/>
                <w:sz w:val="20"/>
                <w:szCs w:val="20"/>
                <w:lang w:val="sr-Cyrl-CS"/>
              </w:rPr>
              <w:t>16 = 6. Укупни приходи</w:t>
            </w:r>
          </w:p>
        </w:tc>
        <w:tc>
          <w:tcPr>
            <w:tcW w:w="100" w:type="pct"/>
            <w:tcBorders>
              <w:top w:val="nil"/>
              <w:left w:val="nil"/>
              <w:bottom w:val="nil"/>
              <w:right w:val="single" w:sz="8" w:space="0" w:color="auto"/>
            </w:tcBorders>
            <w:shd w:val="clear" w:color="000000" w:fill="FFFFFF"/>
            <w:vAlign w:val="center"/>
            <w:hideMark/>
          </w:tcPr>
          <w:p w14:paraId="36BB16F1" w14:textId="77777777" w:rsidR="00247CBF" w:rsidRPr="00092ED7" w:rsidRDefault="00247CBF" w:rsidP="00247CBF">
            <w:pPr>
              <w:spacing w:after="0" w:line="230" w:lineRule="auto"/>
              <w:jc w:val="center"/>
              <w:rPr>
                <w:rFonts w:eastAsia="Times New Roman" w:cs="Times New Roman"/>
                <w:sz w:val="20"/>
                <w:szCs w:val="20"/>
                <w:lang w:val="sr-Cyrl-CS"/>
              </w:rPr>
            </w:pPr>
            <w:r w:rsidRPr="00092ED7">
              <w:rPr>
                <w:rFonts w:eastAsia="Times New Roman" w:cs="Times New Roman"/>
                <w:sz w:val="20"/>
                <w:szCs w:val="20"/>
                <w:lang w:val="sr-Cyrl-CS"/>
              </w:rPr>
              <w:t> </w:t>
            </w:r>
          </w:p>
        </w:tc>
        <w:tc>
          <w:tcPr>
            <w:tcW w:w="483" w:type="pct"/>
            <w:gridSpan w:val="2"/>
            <w:tcBorders>
              <w:top w:val="nil"/>
              <w:left w:val="nil"/>
              <w:bottom w:val="dotted" w:sz="4" w:space="0" w:color="auto"/>
              <w:right w:val="single" w:sz="8" w:space="0" w:color="auto"/>
            </w:tcBorders>
            <w:shd w:val="clear" w:color="000000" w:fill="FFFFFF"/>
            <w:vAlign w:val="center"/>
            <w:hideMark/>
          </w:tcPr>
          <w:p w14:paraId="426BE834" w14:textId="77777777" w:rsidR="00247CBF" w:rsidRPr="00092ED7" w:rsidRDefault="00247CBF" w:rsidP="00247CBF">
            <w:pPr>
              <w:spacing w:after="0" w:line="230" w:lineRule="auto"/>
              <w:jc w:val="center"/>
              <w:rPr>
                <w:rFonts w:eastAsia="Times New Roman" w:cs="Times New Roman"/>
                <w:sz w:val="20"/>
                <w:szCs w:val="20"/>
                <w:lang w:val="sr-Cyrl-CS"/>
              </w:rPr>
            </w:pPr>
            <w:r w:rsidRPr="00092ED7">
              <w:rPr>
                <w:rFonts w:eastAsia="Times New Roman" w:cs="Times New Roman"/>
                <w:sz w:val="20"/>
                <w:szCs w:val="20"/>
                <w:lang w:val="sr-Cyrl-CS"/>
              </w:rPr>
              <w:t>TR</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40B7E5C3" w14:textId="77777777" w:rsidR="00247CBF" w:rsidRPr="00092ED7" w:rsidRDefault="00247CBF" w:rsidP="00247CBF">
            <w:pPr>
              <w:spacing w:after="0" w:line="230" w:lineRule="auto"/>
              <w:jc w:val="right"/>
              <w:rPr>
                <w:sz w:val="20"/>
                <w:lang w:val="sr-Cyrl-CS"/>
              </w:rPr>
            </w:pPr>
            <w:r w:rsidRPr="00092ED7">
              <w:rPr>
                <w:sz w:val="20"/>
                <w:lang w:val="sr-Cyrl-CS"/>
              </w:rPr>
              <w:t>2.711,93</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69F63FA1" w14:textId="77777777" w:rsidR="00247CBF" w:rsidRPr="00092ED7" w:rsidRDefault="00247CBF" w:rsidP="00247CBF">
            <w:pPr>
              <w:spacing w:after="0" w:line="230" w:lineRule="auto"/>
              <w:jc w:val="right"/>
              <w:rPr>
                <w:sz w:val="20"/>
                <w:lang w:val="sr-Cyrl-CS"/>
              </w:rPr>
            </w:pPr>
            <w:r w:rsidRPr="00092ED7">
              <w:rPr>
                <w:sz w:val="20"/>
                <w:lang w:val="sr-Cyrl-CS"/>
              </w:rPr>
              <w:t>3.045,81</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26F402DE" w14:textId="77777777" w:rsidR="00247CBF" w:rsidRPr="00092ED7" w:rsidRDefault="00247CBF" w:rsidP="00247CBF">
            <w:pPr>
              <w:spacing w:after="0" w:line="230" w:lineRule="auto"/>
              <w:jc w:val="right"/>
              <w:rPr>
                <w:sz w:val="20"/>
                <w:lang w:val="sr-Cyrl-CS"/>
              </w:rPr>
            </w:pPr>
            <w:r w:rsidRPr="00092ED7">
              <w:rPr>
                <w:sz w:val="20"/>
                <w:lang w:val="sr-Cyrl-CS"/>
              </w:rPr>
              <w:t>3.283,49</w:t>
            </w:r>
          </w:p>
        </w:tc>
        <w:tc>
          <w:tcPr>
            <w:tcW w:w="352" w:type="pct"/>
            <w:tcBorders>
              <w:top w:val="nil"/>
              <w:left w:val="nil"/>
              <w:bottom w:val="dotted" w:sz="4" w:space="0" w:color="auto"/>
              <w:right w:val="dotted" w:sz="4" w:space="0" w:color="auto"/>
            </w:tcBorders>
            <w:shd w:val="clear" w:color="000000" w:fill="FFFFFF"/>
            <w:vAlign w:val="center"/>
            <w:hideMark/>
          </w:tcPr>
          <w:p w14:paraId="7A1ED064" w14:textId="77777777" w:rsidR="00247CBF" w:rsidRPr="00092ED7" w:rsidRDefault="00247CBF" w:rsidP="00247CBF">
            <w:pPr>
              <w:spacing w:after="0" w:line="230" w:lineRule="auto"/>
              <w:jc w:val="right"/>
              <w:rPr>
                <w:sz w:val="20"/>
                <w:lang w:val="sr-Cyrl-CS"/>
              </w:rPr>
            </w:pPr>
            <w:r w:rsidRPr="00092ED7">
              <w:rPr>
                <w:sz w:val="20"/>
                <w:lang w:val="sr-Cyrl-CS"/>
              </w:rPr>
              <w:t>3.543,80</w:t>
            </w:r>
          </w:p>
        </w:tc>
        <w:tc>
          <w:tcPr>
            <w:tcW w:w="351" w:type="pct"/>
            <w:gridSpan w:val="2"/>
            <w:tcBorders>
              <w:top w:val="nil"/>
              <w:left w:val="nil"/>
              <w:bottom w:val="dotted" w:sz="4" w:space="0" w:color="auto"/>
              <w:right w:val="double" w:sz="6" w:space="0" w:color="auto"/>
            </w:tcBorders>
            <w:shd w:val="clear" w:color="000000" w:fill="FFFFFF"/>
            <w:vAlign w:val="center"/>
            <w:hideMark/>
          </w:tcPr>
          <w:p w14:paraId="0B2D930E" w14:textId="77777777" w:rsidR="00247CBF" w:rsidRPr="00092ED7" w:rsidRDefault="00247CBF" w:rsidP="00247CBF">
            <w:pPr>
              <w:spacing w:after="0" w:line="230" w:lineRule="auto"/>
              <w:jc w:val="right"/>
              <w:rPr>
                <w:sz w:val="20"/>
                <w:lang w:val="sr-Cyrl-CS"/>
              </w:rPr>
            </w:pPr>
            <w:r w:rsidRPr="00092ED7">
              <w:rPr>
                <w:sz w:val="20"/>
                <w:lang w:val="sr-Cyrl-CS"/>
              </w:rPr>
              <w:t>3.772,66</w:t>
            </w:r>
          </w:p>
        </w:tc>
      </w:tr>
      <w:tr w:rsidR="00247CBF" w:rsidRPr="00092ED7" w14:paraId="0E621052" w14:textId="77777777" w:rsidTr="00247CBF">
        <w:trPr>
          <w:trHeight w:val="227"/>
        </w:trPr>
        <w:tc>
          <w:tcPr>
            <w:tcW w:w="2658" w:type="pct"/>
            <w:tcBorders>
              <w:top w:val="nil"/>
              <w:left w:val="double" w:sz="6" w:space="0" w:color="auto"/>
              <w:bottom w:val="single" w:sz="8" w:space="0" w:color="auto"/>
              <w:right w:val="nil"/>
            </w:tcBorders>
            <w:shd w:val="clear" w:color="auto" w:fill="auto"/>
            <w:noWrap/>
            <w:vAlign w:val="center"/>
            <w:hideMark/>
          </w:tcPr>
          <w:p w14:paraId="38C407E3" w14:textId="77777777" w:rsidR="00247CBF" w:rsidRPr="00092ED7" w:rsidRDefault="00247CBF" w:rsidP="00247CBF">
            <w:pPr>
              <w:spacing w:after="0" w:line="230" w:lineRule="auto"/>
              <w:jc w:val="left"/>
              <w:rPr>
                <w:rFonts w:eastAsia="Times New Roman" w:cs="Times New Roman"/>
                <w:sz w:val="20"/>
                <w:szCs w:val="20"/>
                <w:lang w:val="sr-Cyrl-CS"/>
              </w:rPr>
            </w:pPr>
            <w:r w:rsidRPr="00092ED7">
              <w:rPr>
                <w:rFonts w:eastAsia="Times New Roman" w:cs="Times New Roman"/>
                <w:sz w:val="20"/>
                <w:szCs w:val="20"/>
                <w:lang w:val="sr-Cyrl-CS"/>
              </w:rPr>
              <w:t>Информативно: Пореско оптерећење (D2+D5+D61+D91-D995) [5]</w:t>
            </w:r>
          </w:p>
        </w:tc>
        <w:tc>
          <w:tcPr>
            <w:tcW w:w="100" w:type="pct"/>
            <w:tcBorders>
              <w:top w:val="dotted" w:sz="4" w:space="0" w:color="auto"/>
              <w:left w:val="nil"/>
              <w:bottom w:val="single" w:sz="8" w:space="0" w:color="auto"/>
              <w:right w:val="single" w:sz="8" w:space="0" w:color="auto"/>
            </w:tcBorders>
            <w:shd w:val="clear" w:color="000000" w:fill="FFFFFF"/>
            <w:vAlign w:val="center"/>
            <w:hideMark/>
          </w:tcPr>
          <w:p w14:paraId="536F4FD4" w14:textId="77777777" w:rsidR="00247CBF" w:rsidRPr="00092ED7" w:rsidRDefault="00247CBF" w:rsidP="00247CBF">
            <w:pPr>
              <w:spacing w:after="0" w:line="230" w:lineRule="auto"/>
              <w:jc w:val="center"/>
              <w:rPr>
                <w:rFonts w:eastAsia="Times New Roman" w:cs="Times New Roman"/>
                <w:sz w:val="20"/>
                <w:szCs w:val="20"/>
                <w:lang w:val="sr-Cyrl-CS"/>
              </w:rPr>
            </w:pPr>
            <w:r w:rsidRPr="00092ED7">
              <w:rPr>
                <w:rFonts w:eastAsia="Times New Roman" w:cs="Times New Roman"/>
                <w:sz w:val="20"/>
                <w:szCs w:val="20"/>
                <w:lang w:val="sr-Cyrl-CS"/>
              </w:rPr>
              <w:t> </w:t>
            </w:r>
          </w:p>
        </w:tc>
        <w:tc>
          <w:tcPr>
            <w:tcW w:w="483" w:type="pct"/>
            <w:gridSpan w:val="2"/>
            <w:tcBorders>
              <w:top w:val="nil"/>
              <w:left w:val="nil"/>
              <w:bottom w:val="single" w:sz="8" w:space="0" w:color="000000"/>
              <w:right w:val="single" w:sz="8" w:space="0" w:color="auto"/>
            </w:tcBorders>
            <w:shd w:val="clear" w:color="000000" w:fill="FFFFFF"/>
            <w:vAlign w:val="center"/>
            <w:hideMark/>
          </w:tcPr>
          <w:p w14:paraId="705652FA" w14:textId="77777777" w:rsidR="00247CBF" w:rsidRPr="00092ED7" w:rsidRDefault="00247CBF" w:rsidP="00247CBF">
            <w:pPr>
              <w:spacing w:after="0" w:line="230" w:lineRule="auto"/>
              <w:jc w:val="center"/>
              <w:rPr>
                <w:rFonts w:eastAsia="Times New Roman" w:cs="Times New Roman"/>
                <w:sz w:val="20"/>
                <w:szCs w:val="20"/>
                <w:lang w:val="sr-Cyrl-CS"/>
              </w:rPr>
            </w:pPr>
            <w:r w:rsidRPr="00092ED7">
              <w:rPr>
                <w:rFonts w:eastAsia="Times New Roman" w:cs="Times New Roman"/>
                <w:sz w:val="20"/>
                <w:szCs w:val="20"/>
                <w:lang w:val="sr-Cyrl-CS"/>
              </w:rPr>
              <w:t> </w:t>
            </w:r>
          </w:p>
        </w:tc>
        <w:tc>
          <w:tcPr>
            <w:tcW w:w="352" w:type="pct"/>
            <w:gridSpan w:val="2"/>
            <w:tcBorders>
              <w:top w:val="nil"/>
              <w:left w:val="nil"/>
              <w:bottom w:val="single" w:sz="8" w:space="0" w:color="000000"/>
              <w:right w:val="dotted" w:sz="4" w:space="0" w:color="auto"/>
            </w:tcBorders>
            <w:shd w:val="clear" w:color="000000" w:fill="FFFFFF"/>
            <w:vAlign w:val="center"/>
            <w:hideMark/>
          </w:tcPr>
          <w:p w14:paraId="3ABA2E4B" w14:textId="77777777" w:rsidR="00247CBF" w:rsidRPr="00092ED7" w:rsidRDefault="00247CBF" w:rsidP="00247CBF">
            <w:pPr>
              <w:spacing w:after="0" w:line="230" w:lineRule="auto"/>
              <w:jc w:val="right"/>
              <w:rPr>
                <w:sz w:val="20"/>
                <w:lang w:val="sr-Cyrl-CS"/>
              </w:rPr>
            </w:pPr>
            <w:r w:rsidRPr="00092ED7">
              <w:rPr>
                <w:sz w:val="20"/>
                <w:lang w:val="sr-Cyrl-CS"/>
              </w:rPr>
              <w:t>2.420,13</w:t>
            </w:r>
          </w:p>
        </w:tc>
        <w:tc>
          <w:tcPr>
            <w:tcW w:w="352" w:type="pct"/>
            <w:gridSpan w:val="2"/>
            <w:tcBorders>
              <w:top w:val="nil"/>
              <w:left w:val="nil"/>
              <w:bottom w:val="single" w:sz="8" w:space="0" w:color="000000"/>
              <w:right w:val="dotted" w:sz="4" w:space="0" w:color="auto"/>
            </w:tcBorders>
            <w:shd w:val="clear" w:color="000000" w:fill="FFFFFF"/>
            <w:vAlign w:val="center"/>
            <w:hideMark/>
          </w:tcPr>
          <w:p w14:paraId="138EB543" w14:textId="77777777" w:rsidR="00247CBF" w:rsidRPr="00092ED7" w:rsidRDefault="00247CBF" w:rsidP="00247CBF">
            <w:pPr>
              <w:spacing w:after="0" w:line="230" w:lineRule="auto"/>
              <w:jc w:val="right"/>
              <w:rPr>
                <w:sz w:val="20"/>
                <w:lang w:val="sr-Cyrl-CS"/>
              </w:rPr>
            </w:pPr>
            <w:r w:rsidRPr="00092ED7">
              <w:rPr>
                <w:sz w:val="20"/>
                <w:lang w:val="sr-Cyrl-CS"/>
              </w:rPr>
              <w:t>2.673,27</w:t>
            </w:r>
          </w:p>
        </w:tc>
        <w:tc>
          <w:tcPr>
            <w:tcW w:w="352" w:type="pct"/>
            <w:gridSpan w:val="2"/>
            <w:tcBorders>
              <w:top w:val="nil"/>
              <w:left w:val="nil"/>
              <w:bottom w:val="single" w:sz="8" w:space="0" w:color="000000"/>
              <w:right w:val="dotted" w:sz="4" w:space="0" w:color="auto"/>
            </w:tcBorders>
            <w:shd w:val="clear" w:color="000000" w:fill="FFFFFF"/>
            <w:vAlign w:val="center"/>
            <w:hideMark/>
          </w:tcPr>
          <w:p w14:paraId="64CC7FCA" w14:textId="77777777" w:rsidR="00247CBF" w:rsidRPr="00092ED7" w:rsidRDefault="00247CBF" w:rsidP="00247CBF">
            <w:pPr>
              <w:spacing w:after="0" w:line="230" w:lineRule="auto"/>
              <w:jc w:val="right"/>
              <w:rPr>
                <w:sz w:val="20"/>
                <w:lang w:val="sr-Cyrl-CS"/>
              </w:rPr>
            </w:pPr>
            <w:r w:rsidRPr="00092ED7">
              <w:rPr>
                <w:sz w:val="20"/>
                <w:lang w:val="sr-Cyrl-CS"/>
              </w:rPr>
              <w:t>2.859,80</w:t>
            </w:r>
          </w:p>
        </w:tc>
        <w:tc>
          <w:tcPr>
            <w:tcW w:w="352" w:type="pct"/>
            <w:tcBorders>
              <w:top w:val="nil"/>
              <w:left w:val="nil"/>
              <w:bottom w:val="single" w:sz="8" w:space="0" w:color="000000"/>
              <w:right w:val="dotted" w:sz="4" w:space="0" w:color="auto"/>
            </w:tcBorders>
            <w:shd w:val="clear" w:color="000000" w:fill="FFFFFF"/>
            <w:vAlign w:val="center"/>
            <w:hideMark/>
          </w:tcPr>
          <w:p w14:paraId="144F47EB" w14:textId="77777777" w:rsidR="00247CBF" w:rsidRPr="00092ED7" w:rsidRDefault="00247CBF" w:rsidP="00247CBF">
            <w:pPr>
              <w:spacing w:after="0" w:line="230" w:lineRule="auto"/>
              <w:jc w:val="right"/>
              <w:rPr>
                <w:sz w:val="20"/>
                <w:lang w:val="sr-Cyrl-CS"/>
              </w:rPr>
            </w:pPr>
            <w:r w:rsidRPr="00092ED7">
              <w:rPr>
                <w:sz w:val="20"/>
                <w:lang w:val="sr-Cyrl-CS"/>
              </w:rPr>
              <w:t>3.114,99</w:t>
            </w:r>
          </w:p>
        </w:tc>
        <w:tc>
          <w:tcPr>
            <w:tcW w:w="351" w:type="pct"/>
            <w:gridSpan w:val="2"/>
            <w:tcBorders>
              <w:top w:val="nil"/>
              <w:left w:val="nil"/>
              <w:bottom w:val="single" w:sz="8" w:space="0" w:color="auto"/>
              <w:right w:val="double" w:sz="6" w:space="0" w:color="auto"/>
            </w:tcBorders>
            <w:shd w:val="clear" w:color="000000" w:fill="FFFFFF"/>
            <w:vAlign w:val="center"/>
            <w:hideMark/>
          </w:tcPr>
          <w:p w14:paraId="4086CC8D" w14:textId="77777777" w:rsidR="00247CBF" w:rsidRPr="00092ED7" w:rsidRDefault="00247CBF" w:rsidP="00247CBF">
            <w:pPr>
              <w:spacing w:after="0" w:line="230" w:lineRule="auto"/>
              <w:jc w:val="right"/>
              <w:rPr>
                <w:sz w:val="20"/>
                <w:lang w:val="sr-Cyrl-CS"/>
              </w:rPr>
            </w:pPr>
            <w:r w:rsidRPr="00092ED7">
              <w:rPr>
                <w:sz w:val="20"/>
                <w:lang w:val="sr-Cyrl-CS"/>
              </w:rPr>
              <w:t>3.328,48</w:t>
            </w:r>
          </w:p>
        </w:tc>
      </w:tr>
      <w:tr w:rsidR="00247CBF" w:rsidRPr="00092ED7" w14:paraId="4C0E3E47" w14:textId="77777777" w:rsidTr="00247CBF">
        <w:trPr>
          <w:trHeight w:val="227"/>
        </w:trPr>
        <w:tc>
          <w:tcPr>
            <w:tcW w:w="5000" w:type="pct"/>
            <w:gridSpan w:val="13"/>
            <w:tcBorders>
              <w:top w:val="nil"/>
              <w:left w:val="double" w:sz="6" w:space="0" w:color="auto"/>
              <w:bottom w:val="single" w:sz="8" w:space="0" w:color="auto"/>
              <w:right w:val="double" w:sz="6" w:space="0" w:color="000000"/>
            </w:tcBorders>
            <w:shd w:val="clear" w:color="000000" w:fill="FFFFFF"/>
            <w:vAlign w:val="center"/>
            <w:hideMark/>
          </w:tcPr>
          <w:p w14:paraId="6318DE1F" w14:textId="77777777" w:rsidR="00247CBF" w:rsidRPr="00092ED7" w:rsidRDefault="00247CBF" w:rsidP="00247CBF">
            <w:pPr>
              <w:spacing w:after="0" w:line="230" w:lineRule="auto"/>
              <w:jc w:val="center"/>
              <w:rPr>
                <w:rFonts w:eastAsia="Times New Roman" w:cs="Times New Roman"/>
                <w:b/>
                <w:bCs/>
                <w:sz w:val="20"/>
                <w:szCs w:val="20"/>
                <w:lang w:val="sr-Cyrl-CS"/>
              </w:rPr>
            </w:pPr>
            <w:r w:rsidRPr="00092ED7">
              <w:rPr>
                <w:rFonts w:eastAsia="Times New Roman" w:cs="Times New Roman"/>
                <w:b/>
                <w:bCs/>
                <w:sz w:val="20"/>
                <w:szCs w:val="20"/>
                <w:lang w:val="sr-Cyrl-CS"/>
              </w:rPr>
              <w:t>Изабране компоненте расхода</w:t>
            </w:r>
          </w:p>
        </w:tc>
      </w:tr>
      <w:tr w:rsidR="00247CBF" w:rsidRPr="00092ED7" w14:paraId="57228329" w14:textId="77777777" w:rsidTr="00247CBF">
        <w:trPr>
          <w:trHeight w:val="227"/>
        </w:trPr>
        <w:tc>
          <w:tcPr>
            <w:tcW w:w="2658" w:type="pct"/>
            <w:tcBorders>
              <w:top w:val="nil"/>
              <w:left w:val="double" w:sz="6" w:space="0" w:color="auto"/>
              <w:bottom w:val="dotted" w:sz="4" w:space="0" w:color="auto"/>
              <w:right w:val="nil"/>
            </w:tcBorders>
            <w:shd w:val="clear" w:color="000000" w:fill="FFFFFF"/>
            <w:vAlign w:val="center"/>
            <w:hideMark/>
          </w:tcPr>
          <w:p w14:paraId="5977FCAA" w14:textId="77777777" w:rsidR="00247CBF" w:rsidRPr="00092ED7" w:rsidRDefault="00247CBF" w:rsidP="00247CBF">
            <w:pPr>
              <w:spacing w:after="0" w:line="230" w:lineRule="auto"/>
              <w:rPr>
                <w:rFonts w:eastAsia="Times New Roman" w:cs="Times New Roman"/>
                <w:sz w:val="20"/>
                <w:szCs w:val="20"/>
                <w:lang w:val="sr-Cyrl-CS"/>
              </w:rPr>
            </w:pPr>
            <w:r w:rsidRPr="00092ED7">
              <w:rPr>
                <w:rFonts w:eastAsia="Times New Roman" w:cs="Times New Roman"/>
                <w:sz w:val="20"/>
                <w:szCs w:val="20"/>
                <w:lang w:val="sr-Cyrl-CS"/>
              </w:rPr>
              <w:t>17. Колективна потрошња</w:t>
            </w:r>
          </w:p>
        </w:tc>
        <w:tc>
          <w:tcPr>
            <w:tcW w:w="100" w:type="pct"/>
            <w:tcBorders>
              <w:top w:val="nil"/>
              <w:left w:val="nil"/>
              <w:bottom w:val="dotted" w:sz="4" w:space="0" w:color="auto"/>
              <w:right w:val="single" w:sz="8" w:space="0" w:color="auto"/>
            </w:tcBorders>
            <w:shd w:val="clear" w:color="000000" w:fill="FFFFFF"/>
            <w:vAlign w:val="center"/>
            <w:hideMark/>
          </w:tcPr>
          <w:p w14:paraId="6B24DB8C" w14:textId="77777777" w:rsidR="00247CBF" w:rsidRPr="00092ED7" w:rsidRDefault="00247CBF" w:rsidP="00247CBF">
            <w:pPr>
              <w:spacing w:after="0" w:line="230" w:lineRule="auto"/>
              <w:jc w:val="center"/>
              <w:rPr>
                <w:rFonts w:eastAsia="Times New Roman" w:cs="Times New Roman"/>
                <w:sz w:val="20"/>
                <w:szCs w:val="20"/>
                <w:lang w:val="sr-Cyrl-CS"/>
              </w:rPr>
            </w:pPr>
            <w:r w:rsidRPr="00092ED7">
              <w:rPr>
                <w:rFonts w:eastAsia="Times New Roman" w:cs="Times New Roman"/>
                <w:sz w:val="20"/>
                <w:szCs w:val="20"/>
                <w:lang w:val="sr-Cyrl-CS"/>
              </w:rPr>
              <w:t> </w:t>
            </w:r>
          </w:p>
        </w:tc>
        <w:tc>
          <w:tcPr>
            <w:tcW w:w="483" w:type="pct"/>
            <w:gridSpan w:val="2"/>
            <w:tcBorders>
              <w:top w:val="nil"/>
              <w:left w:val="nil"/>
              <w:bottom w:val="dotted" w:sz="4" w:space="0" w:color="auto"/>
              <w:right w:val="single" w:sz="8" w:space="0" w:color="auto"/>
            </w:tcBorders>
            <w:shd w:val="clear" w:color="000000" w:fill="FFFFFF"/>
            <w:vAlign w:val="center"/>
            <w:hideMark/>
          </w:tcPr>
          <w:p w14:paraId="0007893E" w14:textId="77777777" w:rsidR="00247CBF" w:rsidRPr="00092ED7" w:rsidRDefault="00247CBF" w:rsidP="00247CBF">
            <w:pPr>
              <w:spacing w:after="0" w:line="230" w:lineRule="auto"/>
              <w:jc w:val="center"/>
              <w:rPr>
                <w:rFonts w:eastAsia="Times New Roman" w:cs="Times New Roman"/>
                <w:sz w:val="20"/>
                <w:szCs w:val="20"/>
                <w:lang w:val="sr-Cyrl-CS"/>
              </w:rPr>
            </w:pPr>
            <w:r w:rsidRPr="00092ED7">
              <w:rPr>
                <w:rFonts w:eastAsia="Times New Roman" w:cs="Times New Roman"/>
                <w:sz w:val="20"/>
                <w:szCs w:val="20"/>
                <w:lang w:val="sr-Cyrl-CS"/>
              </w:rPr>
              <w:t>P32</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3C28BAE8" w14:textId="77777777" w:rsidR="00247CBF" w:rsidRPr="00092ED7" w:rsidRDefault="00247CBF" w:rsidP="00247CBF">
            <w:pPr>
              <w:spacing w:after="0" w:line="230" w:lineRule="auto"/>
              <w:jc w:val="right"/>
              <w:rPr>
                <w:sz w:val="20"/>
                <w:szCs w:val="20"/>
                <w:lang w:val="sr-Cyrl-CS"/>
              </w:rPr>
            </w:pPr>
            <w:r w:rsidRPr="00092ED7">
              <w:rPr>
                <w:sz w:val="20"/>
                <w:szCs w:val="20"/>
                <w:lang w:val="sr-Cyrl-CS"/>
              </w:rPr>
              <w:t>1.119,29</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019736A5" w14:textId="77777777" w:rsidR="00247CBF" w:rsidRPr="00092ED7" w:rsidRDefault="00247CBF" w:rsidP="00247CBF">
            <w:pPr>
              <w:spacing w:after="0" w:line="230" w:lineRule="auto"/>
              <w:jc w:val="right"/>
              <w:rPr>
                <w:sz w:val="20"/>
                <w:szCs w:val="20"/>
                <w:lang w:val="sr-Cyrl-CS"/>
              </w:rPr>
            </w:pPr>
            <w:r w:rsidRPr="00092ED7">
              <w:rPr>
                <w:sz w:val="20"/>
                <w:szCs w:val="20"/>
                <w:lang w:val="sr-Cyrl-CS"/>
              </w:rPr>
              <w:t>1.239,34</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21180952" w14:textId="77777777" w:rsidR="00247CBF" w:rsidRPr="00092ED7" w:rsidRDefault="00247CBF" w:rsidP="00247CBF">
            <w:pPr>
              <w:spacing w:after="0" w:line="230" w:lineRule="auto"/>
              <w:jc w:val="right"/>
              <w:rPr>
                <w:sz w:val="20"/>
                <w:szCs w:val="20"/>
                <w:lang w:val="sr-Cyrl-CS"/>
              </w:rPr>
            </w:pPr>
            <w:r w:rsidRPr="00092ED7">
              <w:rPr>
                <w:sz w:val="20"/>
                <w:szCs w:val="20"/>
                <w:lang w:val="sr-Cyrl-CS"/>
              </w:rPr>
              <w:t>1.340,72</w:t>
            </w:r>
          </w:p>
        </w:tc>
        <w:tc>
          <w:tcPr>
            <w:tcW w:w="352" w:type="pct"/>
            <w:tcBorders>
              <w:top w:val="nil"/>
              <w:left w:val="nil"/>
              <w:bottom w:val="dotted" w:sz="4" w:space="0" w:color="auto"/>
              <w:right w:val="dotted" w:sz="4" w:space="0" w:color="auto"/>
            </w:tcBorders>
            <w:shd w:val="clear" w:color="000000" w:fill="FFFFFF"/>
            <w:vAlign w:val="center"/>
            <w:hideMark/>
          </w:tcPr>
          <w:p w14:paraId="322A5D2B" w14:textId="77777777" w:rsidR="00247CBF" w:rsidRPr="00092ED7" w:rsidRDefault="00247CBF" w:rsidP="00247CBF">
            <w:pPr>
              <w:spacing w:after="0" w:line="230" w:lineRule="auto"/>
              <w:jc w:val="right"/>
              <w:rPr>
                <w:sz w:val="20"/>
                <w:szCs w:val="20"/>
                <w:lang w:val="sr-Cyrl-CS"/>
              </w:rPr>
            </w:pPr>
            <w:r w:rsidRPr="00092ED7">
              <w:rPr>
                <w:sz w:val="20"/>
                <w:szCs w:val="20"/>
                <w:lang w:val="sr-Cyrl-CS"/>
              </w:rPr>
              <w:t>1.446,84</w:t>
            </w:r>
          </w:p>
        </w:tc>
        <w:tc>
          <w:tcPr>
            <w:tcW w:w="351" w:type="pct"/>
            <w:gridSpan w:val="2"/>
            <w:tcBorders>
              <w:top w:val="nil"/>
              <w:left w:val="nil"/>
              <w:bottom w:val="dotted" w:sz="4" w:space="0" w:color="auto"/>
              <w:right w:val="double" w:sz="6" w:space="0" w:color="auto"/>
            </w:tcBorders>
            <w:shd w:val="clear" w:color="000000" w:fill="FFFFFF"/>
            <w:vAlign w:val="center"/>
            <w:hideMark/>
          </w:tcPr>
          <w:p w14:paraId="1E44F973" w14:textId="77777777" w:rsidR="00247CBF" w:rsidRPr="00092ED7" w:rsidRDefault="00247CBF" w:rsidP="00247CBF">
            <w:pPr>
              <w:spacing w:after="0" w:line="230" w:lineRule="auto"/>
              <w:jc w:val="right"/>
              <w:rPr>
                <w:sz w:val="20"/>
                <w:szCs w:val="20"/>
                <w:lang w:val="sr-Cyrl-CS"/>
              </w:rPr>
            </w:pPr>
            <w:r w:rsidRPr="00092ED7">
              <w:rPr>
                <w:sz w:val="20"/>
                <w:szCs w:val="20"/>
                <w:lang w:val="sr-Cyrl-CS"/>
              </w:rPr>
              <w:t>1.545,87</w:t>
            </w:r>
          </w:p>
        </w:tc>
      </w:tr>
      <w:tr w:rsidR="00247CBF" w:rsidRPr="00092ED7" w14:paraId="0B2DB0FC" w14:textId="77777777" w:rsidTr="00247CBF">
        <w:trPr>
          <w:trHeight w:val="227"/>
        </w:trPr>
        <w:tc>
          <w:tcPr>
            <w:tcW w:w="2658" w:type="pct"/>
            <w:tcBorders>
              <w:top w:val="nil"/>
              <w:left w:val="double" w:sz="6" w:space="0" w:color="auto"/>
              <w:bottom w:val="dotted" w:sz="4" w:space="0" w:color="auto"/>
              <w:right w:val="nil"/>
            </w:tcBorders>
            <w:shd w:val="clear" w:color="000000" w:fill="FFFFFF"/>
            <w:vAlign w:val="center"/>
            <w:hideMark/>
          </w:tcPr>
          <w:p w14:paraId="620E9DF0" w14:textId="77777777" w:rsidR="00247CBF" w:rsidRPr="00092ED7" w:rsidRDefault="00247CBF" w:rsidP="00247CBF">
            <w:pPr>
              <w:spacing w:after="0" w:line="230" w:lineRule="auto"/>
              <w:rPr>
                <w:rFonts w:eastAsia="Times New Roman" w:cs="Times New Roman"/>
                <w:sz w:val="20"/>
                <w:szCs w:val="20"/>
                <w:lang w:val="sr-Cyrl-CS"/>
              </w:rPr>
            </w:pPr>
            <w:r w:rsidRPr="00092ED7">
              <w:rPr>
                <w:rFonts w:eastAsia="Times New Roman" w:cs="Times New Roman"/>
                <w:sz w:val="20"/>
                <w:szCs w:val="20"/>
                <w:lang w:val="sr-Cyrl-CS"/>
              </w:rPr>
              <w:t>18. Укупни социјални трансфери</w:t>
            </w:r>
          </w:p>
        </w:tc>
        <w:tc>
          <w:tcPr>
            <w:tcW w:w="100" w:type="pct"/>
            <w:tcBorders>
              <w:top w:val="nil"/>
              <w:left w:val="nil"/>
              <w:bottom w:val="dotted" w:sz="4" w:space="0" w:color="auto"/>
              <w:right w:val="single" w:sz="8" w:space="0" w:color="auto"/>
            </w:tcBorders>
            <w:shd w:val="clear" w:color="000000" w:fill="FFFFFF"/>
            <w:vAlign w:val="center"/>
            <w:hideMark/>
          </w:tcPr>
          <w:p w14:paraId="65CDE0D8" w14:textId="77777777" w:rsidR="00247CBF" w:rsidRPr="00092ED7" w:rsidRDefault="00247CBF" w:rsidP="00247CBF">
            <w:pPr>
              <w:spacing w:after="0" w:line="230" w:lineRule="auto"/>
              <w:jc w:val="center"/>
              <w:rPr>
                <w:rFonts w:eastAsia="Times New Roman" w:cs="Times New Roman"/>
                <w:sz w:val="20"/>
                <w:szCs w:val="20"/>
                <w:lang w:val="sr-Cyrl-CS"/>
              </w:rPr>
            </w:pPr>
            <w:r w:rsidRPr="00092ED7">
              <w:rPr>
                <w:rFonts w:eastAsia="Times New Roman" w:cs="Times New Roman"/>
                <w:sz w:val="20"/>
                <w:szCs w:val="20"/>
                <w:lang w:val="sr-Cyrl-CS"/>
              </w:rPr>
              <w:t> </w:t>
            </w:r>
          </w:p>
        </w:tc>
        <w:tc>
          <w:tcPr>
            <w:tcW w:w="483" w:type="pct"/>
            <w:gridSpan w:val="2"/>
            <w:tcBorders>
              <w:top w:val="nil"/>
              <w:left w:val="nil"/>
              <w:bottom w:val="dotted" w:sz="4" w:space="0" w:color="auto"/>
              <w:right w:val="single" w:sz="8" w:space="0" w:color="auto"/>
            </w:tcBorders>
            <w:shd w:val="clear" w:color="000000" w:fill="FFFFFF"/>
            <w:vAlign w:val="center"/>
            <w:hideMark/>
          </w:tcPr>
          <w:p w14:paraId="2637A473" w14:textId="77777777" w:rsidR="00247CBF" w:rsidRPr="00092ED7" w:rsidRDefault="00247CBF" w:rsidP="00247CBF">
            <w:pPr>
              <w:spacing w:after="0" w:line="230" w:lineRule="auto"/>
              <w:jc w:val="center"/>
              <w:rPr>
                <w:rFonts w:eastAsia="Times New Roman" w:cs="Times New Roman"/>
                <w:sz w:val="20"/>
                <w:szCs w:val="20"/>
                <w:lang w:val="sr-Cyrl-CS"/>
              </w:rPr>
            </w:pPr>
            <w:r w:rsidRPr="00092ED7">
              <w:rPr>
                <w:rFonts w:eastAsia="Times New Roman" w:cs="Times New Roman"/>
                <w:sz w:val="20"/>
                <w:szCs w:val="20"/>
                <w:lang w:val="sr-Cyrl-CS"/>
              </w:rPr>
              <w:t>D62 + D63</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3FAC8B6C" w14:textId="77777777" w:rsidR="00247CBF" w:rsidRPr="00092ED7" w:rsidRDefault="00247CBF" w:rsidP="00247CBF">
            <w:pPr>
              <w:spacing w:after="0" w:line="230" w:lineRule="auto"/>
              <w:jc w:val="right"/>
              <w:rPr>
                <w:sz w:val="20"/>
                <w:szCs w:val="20"/>
                <w:lang w:val="sr-Cyrl-CS"/>
              </w:rPr>
            </w:pPr>
            <w:r w:rsidRPr="00092ED7">
              <w:rPr>
                <w:sz w:val="20"/>
                <w:szCs w:val="20"/>
                <w:lang w:val="sr-Cyrl-CS"/>
              </w:rPr>
              <w:t>850,03</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596D7830" w14:textId="77777777" w:rsidR="00247CBF" w:rsidRPr="00092ED7" w:rsidRDefault="00247CBF" w:rsidP="00247CBF">
            <w:pPr>
              <w:spacing w:after="0" w:line="230" w:lineRule="auto"/>
              <w:jc w:val="right"/>
              <w:rPr>
                <w:sz w:val="20"/>
                <w:szCs w:val="20"/>
                <w:lang w:val="sr-Cyrl-CS"/>
              </w:rPr>
            </w:pPr>
            <w:r w:rsidRPr="00092ED7">
              <w:rPr>
                <w:sz w:val="20"/>
                <w:szCs w:val="20"/>
                <w:lang w:val="sr-Cyrl-CS"/>
              </w:rPr>
              <w:t>921,94</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57A8ADFD" w14:textId="77777777" w:rsidR="00247CBF" w:rsidRPr="00092ED7" w:rsidRDefault="00247CBF" w:rsidP="00247CBF">
            <w:pPr>
              <w:spacing w:after="0" w:line="230" w:lineRule="auto"/>
              <w:jc w:val="right"/>
              <w:rPr>
                <w:sz w:val="20"/>
                <w:szCs w:val="20"/>
                <w:lang w:val="sr-Cyrl-CS"/>
              </w:rPr>
            </w:pPr>
            <w:r w:rsidRPr="00092ED7">
              <w:rPr>
                <w:sz w:val="20"/>
                <w:szCs w:val="20"/>
                <w:lang w:val="sr-Cyrl-CS"/>
              </w:rPr>
              <w:t>1.041,59</w:t>
            </w:r>
          </w:p>
        </w:tc>
        <w:tc>
          <w:tcPr>
            <w:tcW w:w="352" w:type="pct"/>
            <w:tcBorders>
              <w:top w:val="nil"/>
              <w:left w:val="nil"/>
              <w:bottom w:val="dotted" w:sz="4" w:space="0" w:color="auto"/>
              <w:right w:val="dotted" w:sz="4" w:space="0" w:color="auto"/>
            </w:tcBorders>
            <w:shd w:val="clear" w:color="000000" w:fill="FFFFFF"/>
            <w:vAlign w:val="center"/>
            <w:hideMark/>
          </w:tcPr>
          <w:p w14:paraId="7D27B9F8" w14:textId="77777777" w:rsidR="00247CBF" w:rsidRPr="00092ED7" w:rsidRDefault="00247CBF" w:rsidP="00247CBF">
            <w:pPr>
              <w:spacing w:after="0" w:line="230" w:lineRule="auto"/>
              <w:jc w:val="right"/>
              <w:rPr>
                <w:sz w:val="20"/>
                <w:szCs w:val="20"/>
                <w:lang w:val="sr-Cyrl-CS"/>
              </w:rPr>
            </w:pPr>
            <w:r w:rsidRPr="00092ED7">
              <w:rPr>
                <w:sz w:val="20"/>
                <w:szCs w:val="20"/>
                <w:lang w:val="sr-Cyrl-CS"/>
              </w:rPr>
              <w:t>1.155,19</w:t>
            </w:r>
          </w:p>
        </w:tc>
        <w:tc>
          <w:tcPr>
            <w:tcW w:w="351" w:type="pct"/>
            <w:gridSpan w:val="2"/>
            <w:tcBorders>
              <w:top w:val="nil"/>
              <w:left w:val="nil"/>
              <w:bottom w:val="dotted" w:sz="4" w:space="0" w:color="auto"/>
              <w:right w:val="double" w:sz="6" w:space="0" w:color="auto"/>
            </w:tcBorders>
            <w:shd w:val="clear" w:color="000000" w:fill="FFFFFF"/>
            <w:vAlign w:val="center"/>
            <w:hideMark/>
          </w:tcPr>
          <w:p w14:paraId="781650FB" w14:textId="77777777" w:rsidR="00247CBF" w:rsidRPr="00092ED7" w:rsidRDefault="00247CBF" w:rsidP="00247CBF">
            <w:pPr>
              <w:spacing w:after="0" w:line="230" w:lineRule="auto"/>
              <w:jc w:val="right"/>
              <w:rPr>
                <w:sz w:val="20"/>
                <w:szCs w:val="20"/>
                <w:lang w:val="sr-Cyrl-CS"/>
              </w:rPr>
            </w:pPr>
            <w:r w:rsidRPr="00092ED7">
              <w:rPr>
                <w:sz w:val="20"/>
                <w:szCs w:val="20"/>
                <w:lang w:val="sr-Cyrl-CS"/>
              </w:rPr>
              <w:t>1.242,95</w:t>
            </w:r>
          </w:p>
        </w:tc>
      </w:tr>
      <w:tr w:rsidR="00247CBF" w:rsidRPr="00092ED7" w14:paraId="129C82F2" w14:textId="77777777" w:rsidTr="00247CBF">
        <w:trPr>
          <w:trHeight w:val="227"/>
        </w:trPr>
        <w:tc>
          <w:tcPr>
            <w:tcW w:w="2658" w:type="pct"/>
            <w:tcBorders>
              <w:top w:val="nil"/>
              <w:left w:val="double" w:sz="6" w:space="0" w:color="auto"/>
              <w:bottom w:val="dotted" w:sz="4" w:space="0" w:color="auto"/>
              <w:right w:val="nil"/>
            </w:tcBorders>
            <w:shd w:val="clear" w:color="000000" w:fill="FFFFFF"/>
            <w:vAlign w:val="center"/>
            <w:hideMark/>
          </w:tcPr>
          <w:p w14:paraId="72EB7A80" w14:textId="77777777" w:rsidR="00247CBF" w:rsidRPr="00092ED7" w:rsidRDefault="00247CBF" w:rsidP="00247CBF">
            <w:pPr>
              <w:spacing w:after="0" w:line="230" w:lineRule="auto"/>
              <w:rPr>
                <w:rFonts w:eastAsia="Times New Roman" w:cs="Times New Roman"/>
                <w:sz w:val="20"/>
                <w:szCs w:val="20"/>
                <w:lang w:val="sr-Cyrl-CS"/>
              </w:rPr>
            </w:pPr>
            <w:r w:rsidRPr="00092ED7">
              <w:rPr>
                <w:rFonts w:eastAsia="Times New Roman" w:cs="Times New Roman"/>
                <w:sz w:val="20"/>
                <w:szCs w:val="20"/>
                <w:lang w:val="sr-Cyrl-CS"/>
              </w:rPr>
              <w:t>18a. Неновчани социјални трансфери</w:t>
            </w:r>
          </w:p>
        </w:tc>
        <w:tc>
          <w:tcPr>
            <w:tcW w:w="100" w:type="pct"/>
            <w:tcBorders>
              <w:top w:val="nil"/>
              <w:left w:val="nil"/>
              <w:bottom w:val="dotted" w:sz="4" w:space="0" w:color="auto"/>
              <w:right w:val="single" w:sz="8" w:space="0" w:color="auto"/>
            </w:tcBorders>
            <w:shd w:val="clear" w:color="000000" w:fill="FFFFFF"/>
            <w:vAlign w:val="center"/>
            <w:hideMark/>
          </w:tcPr>
          <w:p w14:paraId="4EC7813A" w14:textId="77777777" w:rsidR="00247CBF" w:rsidRPr="00092ED7" w:rsidRDefault="00247CBF" w:rsidP="00247CBF">
            <w:pPr>
              <w:spacing w:after="0" w:line="230" w:lineRule="auto"/>
              <w:jc w:val="center"/>
              <w:rPr>
                <w:rFonts w:eastAsia="Times New Roman" w:cs="Times New Roman"/>
                <w:sz w:val="20"/>
                <w:szCs w:val="20"/>
                <w:lang w:val="sr-Cyrl-CS"/>
              </w:rPr>
            </w:pPr>
            <w:r w:rsidRPr="00092ED7">
              <w:rPr>
                <w:rFonts w:eastAsia="Times New Roman" w:cs="Times New Roman"/>
                <w:sz w:val="20"/>
                <w:szCs w:val="20"/>
                <w:lang w:val="sr-Cyrl-CS"/>
              </w:rPr>
              <w:t> </w:t>
            </w:r>
          </w:p>
        </w:tc>
        <w:tc>
          <w:tcPr>
            <w:tcW w:w="483" w:type="pct"/>
            <w:gridSpan w:val="2"/>
            <w:tcBorders>
              <w:top w:val="nil"/>
              <w:left w:val="nil"/>
              <w:bottom w:val="dotted" w:sz="4" w:space="0" w:color="auto"/>
              <w:right w:val="single" w:sz="8" w:space="0" w:color="auto"/>
            </w:tcBorders>
            <w:shd w:val="clear" w:color="000000" w:fill="FFFFFF"/>
            <w:vAlign w:val="center"/>
            <w:hideMark/>
          </w:tcPr>
          <w:p w14:paraId="56B56A4E" w14:textId="77777777" w:rsidR="00247CBF" w:rsidRPr="00092ED7" w:rsidRDefault="00247CBF" w:rsidP="00247CBF">
            <w:pPr>
              <w:spacing w:after="0" w:line="230" w:lineRule="auto"/>
              <w:jc w:val="center"/>
              <w:rPr>
                <w:rFonts w:eastAsia="Times New Roman" w:cs="Times New Roman"/>
                <w:sz w:val="20"/>
                <w:szCs w:val="20"/>
                <w:lang w:val="sr-Cyrl-CS"/>
              </w:rPr>
            </w:pPr>
            <w:r w:rsidRPr="00092ED7">
              <w:rPr>
                <w:rFonts w:eastAsia="Times New Roman" w:cs="Times New Roman"/>
                <w:sz w:val="20"/>
                <w:szCs w:val="20"/>
                <w:lang w:val="sr-Cyrl-CS"/>
              </w:rPr>
              <w:t>P31 = D63</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08BC232F" w14:textId="77777777" w:rsidR="00247CBF" w:rsidRPr="00092ED7" w:rsidRDefault="00247CBF" w:rsidP="00247CBF">
            <w:pPr>
              <w:spacing w:after="0" w:line="230" w:lineRule="auto"/>
              <w:jc w:val="right"/>
              <w:rPr>
                <w:sz w:val="20"/>
                <w:szCs w:val="20"/>
                <w:lang w:val="sr-Cyrl-CS"/>
              </w:rPr>
            </w:pPr>
            <w:r w:rsidRPr="00092ED7">
              <w:rPr>
                <w:sz w:val="20"/>
                <w:szCs w:val="20"/>
                <w:lang w:val="sr-Cyrl-CS"/>
              </w:rPr>
              <w:t>:</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349E6451" w14:textId="77777777" w:rsidR="00247CBF" w:rsidRPr="00092ED7" w:rsidRDefault="00247CBF" w:rsidP="00247CBF">
            <w:pPr>
              <w:spacing w:after="0" w:line="230" w:lineRule="auto"/>
              <w:jc w:val="right"/>
              <w:rPr>
                <w:sz w:val="20"/>
                <w:szCs w:val="20"/>
                <w:lang w:val="sr-Cyrl-CS"/>
              </w:rPr>
            </w:pPr>
            <w:r w:rsidRPr="00092ED7">
              <w:rPr>
                <w:sz w:val="20"/>
                <w:szCs w:val="20"/>
                <w:lang w:val="sr-Cyrl-CS"/>
              </w:rPr>
              <w:t>:</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3B7B51A4" w14:textId="77777777" w:rsidR="00247CBF" w:rsidRPr="00092ED7" w:rsidRDefault="00247CBF" w:rsidP="00247CBF">
            <w:pPr>
              <w:spacing w:after="0" w:line="230" w:lineRule="auto"/>
              <w:jc w:val="right"/>
              <w:rPr>
                <w:sz w:val="20"/>
                <w:szCs w:val="20"/>
                <w:lang w:val="sr-Cyrl-CS"/>
              </w:rPr>
            </w:pPr>
            <w:r w:rsidRPr="00092ED7">
              <w:rPr>
                <w:sz w:val="20"/>
                <w:szCs w:val="20"/>
                <w:lang w:val="sr-Cyrl-CS"/>
              </w:rPr>
              <w:t>:</w:t>
            </w:r>
          </w:p>
        </w:tc>
        <w:tc>
          <w:tcPr>
            <w:tcW w:w="352" w:type="pct"/>
            <w:tcBorders>
              <w:top w:val="nil"/>
              <w:left w:val="nil"/>
              <w:bottom w:val="dotted" w:sz="4" w:space="0" w:color="auto"/>
              <w:right w:val="dotted" w:sz="4" w:space="0" w:color="auto"/>
            </w:tcBorders>
            <w:shd w:val="clear" w:color="000000" w:fill="FFFFFF"/>
            <w:vAlign w:val="center"/>
            <w:hideMark/>
          </w:tcPr>
          <w:p w14:paraId="04F7CEBB" w14:textId="77777777" w:rsidR="00247CBF" w:rsidRPr="00092ED7" w:rsidRDefault="00247CBF" w:rsidP="00247CBF">
            <w:pPr>
              <w:spacing w:after="0" w:line="230" w:lineRule="auto"/>
              <w:jc w:val="right"/>
              <w:rPr>
                <w:sz w:val="20"/>
                <w:szCs w:val="20"/>
                <w:lang w:val="sr-Cyrl-CS"/>
              </w:rPr>
            </w:pPr>
            <w:r w:rsidRPr="00092ED7">
              <w:rPr>
                <w:sz w:val="20"/>
                <w:szCs w:val="20"/>
                <w:lang w:val="sr-Cyrl-CS"/>
              </w:rPr>
              <w:t>:</w:t>
            </w:r>
          </w:p>
        </w:tc>
        <w:tc>
          <w:tcPr>
            <w:tcW w:w="351" w:type="pct"/>
            <w:gridSpan w:val="2"/>
            <w:tcBorders>
              <w:top w:val="nil"/>
              <w:left w:val="nil"/>
              <w:bottom w:val="dotted" w:sz="4" w:space="0" w:color="auto"/>
              <w:right w:val="double" w:sz="6" w:space="0" w:color="auto"/>
            </w:tcBorders>
            <w:shd w:val="clear" w:color="000000" w:fill="FFFFFF"/>
            <w:vAlign w:val="center"/>
            <w:hideMark/>
          </w:tcPr>
          <w:p w14:paraId="31C2A0B8" w14:textId="77777777" w:rsidR="00247CBF" w:rsidRPr="00092ED7" w:rsidRDefault="00247CBF" w:rsidP="00247CBF">
            <w:pPr>
              <w:spacing w:after="0" w:line="230" w:lineRule="auto"/>
              <w:jc w:val="right"/>
              <w:rPr>
                <w:sz w:val="20"/>
                <w:szCs w:val="20"/>
                <w:lang w:val="sr-Cyrl-CS"/>
              </w:rPr>
            </w:pPr>
            <w:r w:rsidRPr="00092ED7">
              <w:rPr>
                <w:sz w:val="20"/>
                <w:szCs w:val="20"/>
                <w:lang w:val="sr-Cyrl-CS"/>
              </w:rPr>
              <w:t>:</w:t>
            </w:r>
          </w:p>
        </w:tc>
      </w:tr>
      <w:tr w:rsidR="00247CBF" w:rsidRPr="00092ED7" w14:paraId="0EDEEFB2" w14:textId="77777777" w:rsidTr="00247CBF">
        <w:trPr>
          <w:trHeight w:val="227"/>
        </w:trPr>
        <w:tc>
          <w:tcPr>
            <w:tcW w:w="2658" w:type="pct"/>
            <w:tcBorders>
              <w:top w:val="nil"/>
              <w:left w:val="double" w:sz="6" w:space="0" w:color="auto"/>
              <w:bottom w:val="dotted" w:sz="4" w:space="0" w:color="auto"/>
              <w:right w:val="nil"/>
            </w:tcBorders>
            <w:shd w:val="clear" w:color="000000" w:fill="FFFFFF"/>
            <w:vAlign w:val="center"/>
            <w:hideMark/>
          </w:tcPr>
          <w:p w14:paraId="19583810" w14:textId="77777777" w:rsidR="00247CBF" w:rsidRPr="00092ED7" w:rsidRDefault="00247CBF" w:rsidP="00247CBF">
            <w:pPr>
              <w:spacing w:after="0" w:line="230" w:lineRule="auto"/>
              <w:rPr>
                <w:rFonts w:eastAsia="Times New Roman" w:cs="Times New Roman"/>
                <w:sz w:val="20"/>
                <w:szCs w:val="20"/>
                <w:lang w:val="sr-Cyrl-CS"/>
              </w:rPr>
            </w:pPr>
            <w:r w:rsidRPr="00092ED7">
              <w:rPr>
                <w:rFonts w:eastAsia="Times New Roman" w:cs="Times New Roman"/>
                <w:sz w:val="20"/>
                <w:szCs w:val="20"/>
                <w:lang w:val="sr-Cyrl-CS"/>
              </w:rPr>
              <w:t>18б. Социјални трансфери осим неновчаних</w:t>
            </w:r>
          </w:p>
        </w:tc>
        <w:tc>
          <w:tcPr>
            <w:tcW w:w="100" w:type="pct"/>
            <w:tcBorders>
              <w:top w:val="nil"/>
              <w:left w:val="nil"/>
              <w:bottom w:val="dotted" w:sz="4" w:space="0" w:color="auto"/>
              <w:right w:val="single" w:sz="8" w:space="0" w:color="auto"/>
            </w:tcBorders>
            <w:shd w:val="clear" w:color="000000" w:fill="FFFFFF"/>
            <w:vAlign w:val="center"/>
            <w:hideMark/>
          </w:tcPr>
          <w:p w14:paraId="686B6F7D" w14:textId="77777777" w:rsidR="00247CBF" w:rsidRPr="00092ED7" w:rsidRDefault="00247CBF" w:rsidP="00247CBF">
            <w:pPr>
              <w:spacing w:after="0" w:line="230" w:lineRule="auto"/>
              <w:jc w:val="center"/>
              <w:rPr>
                <w:rFonts w:eastAsia="Times New Roman" w:cs="Times New Roman"/>
                <w:sz w:val="20"/>
                <w:szCs w:val="20"/>
                <w:lang w:val="sr-Cyrl-CS"/>
              </w:rPr>
            </w:pPr>
            <w:r w:rsidRPr="00092ED7">
              <w:rPr>
                <w:rFonts w:eastAsia="Times New Roman" w:cs="Times New Roman"/>
                <w:sz w:val="20"/>
                <w:szCs w:val="20"/>
                <w:lang w:val="sr-Cyrl-CS"/>
              </w:rPr>
              <w:t> </w:t>
            </w:r>
          </w:p>
        </w:tc>
        <w:tc>
          <w:tcPr>
            <w:tcW w:w="483" w:type="pct"/>
            <w:gridSpan w:val="2"/>
            <w:tcBorders>
              <w:top w:val="nil"/>
              <w:left w:val="nil"/>
              <w:bottom w:val="dotted" w:sz="4" w:space="0" w:color="auto"/>
              <w:right w:val="single" w:sz="8" w:space="0" w:color="auto"/>
            </w:tcBorders>
            <w:shd w:val="clear" w:color="000000" w:fill="FFFFFF"/>
            <w:vAlign w:val="center"/>
            <w:hideMark/>
          </w:tcPr>
          <w:p w14:paraId="7CA0F8A8" w14:textId="77777777" w:rsidR="00247CBF" w:rsidRPr="00092ED7" w:rsidRDefault="00247CBF" w:rsidP="00247CBF">
            <w:pPr>
              <w:spacing w:after="0" w:line="230" w:lineRule="auto"/>
              <w:jc w:val="center"/>
              <w:rPr>
                <w:rFonts w:eastAsia="Times New Roman" w:cs="Times New Roman"/>
                <w:sz w:val="20"/>
                <w:szCs w:val="20"/>
                <w:lang w:val="sr-Cyrl-CS"/>
              </w:rPr>
            </w:pPr>
            <w:r w:rsidRPr="00092ED7">
              <w:rPr>
                <w:rFonts w:eastAsia="Times New Roman" w:cs="Times New Roman"/>
                <w:sz w:val="20"/>
                <w:szCs w:val="20"/>
                <w:lang w:val="sr-Cyrl-CS"/>
              </w:rPr>
              <w:t>D62</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46703499" w14:textId="77777777" w:rsidR="00247CBF" w:rsidRPr="00092ED7" w:rsidRDefault="00247CBF" w:rsidP="00247CBF">
            <w:pPr>
              <w:spacing w:after="0" w:line="230" w:lineRule="auto"/>
              <w:jc w:val="right"/>
              <w:rPr>
                <w:sz w:val="20"/>
                <w:szCs w:val="20"/>
                <w:lang w:val="sr-Cyrl-CS"/>
              </w:rPr>
            </w:pPr>
            <w:r w:rsidRPr="00092ED7">
              <w:rPr>
                <w:sz w:val="20"/>
                <w:szCs w:val="20"/>
                <w:lang w:val="sr-Cyrl-CS"/>
              </w:rPr>
              <w:t>850,03</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599EBD41" w14:textId="77777777" w:rsidR="00247CBF" w:rsidRPr="00092ED7" w:rsidRDefault="00247CBF" w:rsidP="00247CBF">
            <w:pPr>
              <w:spacing w:after="0" w:line="230" w:lineRule="auto"/>
              <w:jc w:val="right"/>
              <w:rPr>
                <w:sz w:val="20"/>
                <w:szCs w:val="20"/>
                <w:lang w:val="sr-Cyrl-CS"/>
              </w:rPr>
            </w:pPr>
            <w:r w:rsidRPr="00092ED7">
              <w:rPr>
                <w:sz w:val="20"/>
                <w:szCs w:val="20"/>
                <w:lang w:val="sr-Cyrl-CS"/>
              </w:rPr>
              <w:t>921,94</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39CF4121" w14:textId="77777777" w:rsidR="00247CBF" w:rsidRPr="00092ED7" w:rsidRDefault="00247CBF" w:rsidP="00247CBF">
            <w:pPr>
              <w:spacing w:after="0" w:line="230" w:lineRule="auto"/>
              <w:jc w:val="right"/>
              <w:rPr>
                <w:sz w:val="20"/>
                <w:szCs w:val="20"/>
                <w:lang w:val="sr-Cyrl-CS"/>
              </w:rPr>
            </w:pPr>
            <w:r w:rsidRPr="00092ED7">
              <w:rPr>
                <w:sz w:val="20"/>
                <w:szCs w:val="20"/>
                <w:lang w:val="sr-Cyrl-CS"/>
              </w:rPr>
              <w:t>1.041,59</w:t>
            </w:r>
          </w:p>
        </w:tc>
        <w:tc>
          <w:tcPr>
            <w:tcW w:w="352" w:type="pct"/>
            <w:tcBorders>
              <w:top w:val="nil"/>
              <w:left w:val="nil"/>
              <w:bottom w:val="dotted" w:sz="4" w:space="0" w:color="auto"/>
              <w:right w:val="dotted" w:sz="4" w:space="0" w:color="auto"/>
            </w:tcBorders>
            <w:shd w:val="clear" w:color="000000" w:fill="FFFFFF"/>
            <w:vAlign w:val="center"/>
            <w:hideMark/>
          </w:tcPr>
          <w:p w14:paraId="5F0252A6" w14:textId="77777777" w:rsidR="00247CBF" w:rsidRPr="00092ED7" w:rsidRDefault="00247CBF" w:rsidP="00247CBF">
            <w:pPr>
              <w:spacing w:after="0" w:line="230" w:lineRule="auto"/>
              <w:jc w:val="right"/>
              <w:rPr>
                <w:sz w:val="20"/>
                <w:szCs w:val="20"/>
                <w:lang w:val="sr-Cyrl-CS"/>
              </w:rPr>
            </w:pPr>
            <w:r w:rsidRPr="00092ED7">
              <w:rPr>
                <w:sz w:val="20"/>
                <w:szCs w:val="20"/>
                <w:lang w:val="sr-Cyrl-CS"/>
              </w:rPr>
              <w:t>1.155,19</w:t>
            </w:r>
          </w:p>
        </w:tc>
        <w:tc>
          <w:tcPr>
            <w:tcW w:w="351" w:type="pct"/>
            <w:gridSpan w:val="2"/>
            <w:tcBorders>
              <w:top w:val="nil"/>
              <w:left w:val="nil"/>
              <w:bottom w:val="dotted" w:sz="4" w:space="0" w:color="auto"/>
              <w:right w:val="double" w:sz="6" w:space="0" w:color="auto"/>
            </w:tcBorders>
            <w:shd w:val="clear" w:color="000000" w:fill="FFFFFF"/>
            <w:vAlign w:val="center"/>
            <w:hideMark/>
          </w:tcPr>
          <w:p w14:paraId="772984F7" w14:textId="77777777" w:rsidR="00247CBF" w:rsidRPr="00092ED7" w:rsidRDefault="00247CBF" w:rsidP="00247CBF">
            <w:pPr>
              <w:spacing w:after="0" w:line="230" w:lineRule="auto"/>
              <w:jc w:val="right"/>
              <w:rPr>
                <w:sz w:val="20"/>
                <w:szCs w:val="20"/>
                <w:lang w:val="sr-Cyrl-CS"/>
              </w:rPr>
            </w:pPr>
            <w:r w:rsidRPr="00092ED7">
              <w:rPr>
                <w:sz w:val="20"/>
                <w:szCs w:val="20"/>
                <w:lang w:val="sr-Cyrl-CS"/>
              </w:rPr>
              <w:t>1.242,95</w:t>
            </w:r>
          </w:p>
        </w:tc>
      </w:tr>
      <w:tr w:rsidR="00247CBF" w:rsidRPr="00092ED7" w14:paraId="025D9C14" w14:textId="77777777" w:rsidTr="00247CBF">
        <w:trPr>
          <w:trHeight w:val="227"/>
        </w:trPr>
        <w:tc>
          <w:tcPr>
            <w:tcW w:w="2658" w:type="pct"/>
            <w:tcBorders>
              <w:top w:val="nil"/>
              <w:left w:val="double" w:sz="6" w:space="0" w:color="auto"/>
              <w:bottom w:val="dotted" w:sz="4" w:space="0" w:color="auto"/>
              <w:right w:val="nil"/>
            </w:tcBorders>
            <w:shd w:val="clear" w:color="000000" w:fill="FFFFFF"/>
            <w:vAlign w:val="center"/>
            <w:hideMark/>
          </w:tcPr>
          <w:p w14:paraId="199E2BCD" w14:textId="77777777" w:rsidR="00247CBF" w:rsidRPr="00092ED7" w:rsidRDefault="00247CBF" w:rsidP="00247CBF">
            <w:pPr>
              <w:spacing w:after="0" w:line="230" w:lineRule="auto"/>
              <w:rPr>
                <w:rFonts w:eastAsia="Times New Roman" w:cs="Times New Roman"/>
                <w:sz w:val="20"/>
                <w:szCs w:val="20"/>
                <w:lang w:val="sr-Cyrl-CS"/>
              </w:rPr>
            </w:pPr>
            <w:r w:rsidRPr="00092ED7">
              <w:rPr>
                <w:rFonts w:eastAsia="Times New Roman" w:cs="Times New Roman"/>
                <w:sz w:val="20"/>
                <w:szCs w:val="20"/>
                <w:lang w:val="sr-Cyrl-CS"/>
              </w:rPr>
              <w:t xml:space="preserve">18 = 9. Расходи за камате (укљ. FISIM) </w:t>
            </w:r>
          </w:p>
        </w:tc>
        <w:tc>
          <w:tcPr>
            <w:tcW w:w="100" w:type="pct"/>
            <w:tcBorders>
              <w:top w:val="nil"/>
              <w:left w:val="nil"/>
              <w:bottom w:val="dotted" w:sz="4" w:space="0" w:color="auto"/>
              <w:right w:val="single" w:sz="8" w:space="0" w:color="auto"/>
            </w:tcBorders>
            <w:shd w:val="clear" w:color="000000" w:fill="FFFFFF"/>
            <w:vAlign w:val="center"/>
            <w:hideMark/>
          </w:tcPr>
          <w:p w14:paraId="64030A6C" w14:textId="77777777" w:rsidR="00247CBF" w:rsidRPr="00092ED7" w:rsidRDefault="00247CBF" w:rsidP="00247CBF">
            <w:pPr>
              <w:spacing w:after="0" w:line="230" w:lineRule="auto"/>
              <w:jc w:val="center"/>
              <w:rPr>
                <w:rFonts w:eastAsia="Times New Roman" w:cs="Times New Roman"/>
                <w:sz w:val="20"/>
                <w:szCs w:val="20"/>
                <w:lang w:val="sr-Cyrl-CS"/>
              </w:rPr>
            </w:pPr>
            <w:r w:rsidRPr="00092ED7">
              <w:rPr>
                <w:rFonts w:eastAsia="Times New Roman" w:cs="Times New Roman"/>
                <w:sz w:val="20"/>
                <w:szCs w:val="20"/>
                <w:lang w:val="sr-Cyrl-CS"/>
              </w:rPr>
              <w:t> </w:t>
            </w:r>
          </w:p>
        </w:tc>
        <w:tc>
          <w:tcPr>
            <w:tcW w:w="483" w:type="pct"/>
            <w:gridSpan w:val="2"/>
            <w:tcBorders>
              <w:top w:val="nil"/>
              <w:left w:val="nil"/>
              <w:bottom w:val="dotted" w:sz="4" w:space="0" w:color="auto"/>
              <w:right w:val="single" w:sz="8" w:space="0" w:color="auto"/>
            </w:tcBorders>
            <w:shd w:val="clear" w:color="000000" w:fill="FFFFFF"/>
            <w:vAlign w:val="center"/>
            <w:hideMark/>
          </w:tcPr>
          <w:p w14:paraId="63B3BEDA" w14:textId="77777777" w:rsidR="00247CBF" w:rsidRPr="00092ED7" w:rsidRDefault="00247CBF" w:rsidP="00247CBF">
            <w:pPr>
              <w:spacing w:after="0" w:line="230" w:lineRule="auto"/>
              <w:jc w:val="center"/>
              <w:rPr>
                <w:rFonts w:eastAsia="Times New Roman" w:cs="Times New Roman"/>
                <w:sz w:val="20"/>
                <w:szCs w:val="20"/>
                <w:lang w:val="sr-Cyrl-CS"/>
              </w:rPr>
            </w:pPr>
            <w:r w:rsidRPr="00092ED7">
              <w:rPr>
                <w:rFonts w:eastAsia="Times New Roman" w:cs="Times New Roman"/>
                <w:sz w:val="20"/>
                <w:szCs w:val="20"/>
                <w:lang w:val="sr-Cyrl-CS"/>
              </w:rPr>
              <w:t>EDP.D41 + FISIM</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01ADA770" w14:textId="77777777" w:rsidR="00247CBF" w:rsidRPr="00092ED7" w:rsidRDefault="00247CBF" w:rsidP="00247CBF">
            <w:pPr>
              <w:spacing w:after="0" w:line="230" w:lineRule="auto"/>
              <w:jc w:val="right"/>
              <w:rPr>
                <w:sz w:val="20"/>
                <w:szCs w:val="20"/>
                <w:lang w:val="sr-Cyrl-CS"/>
              </w:rPr>
            </w:pPr>
            <w:r w:rsidRPr="00092ED7">
              <w:rPr>
                <w:sz w:val="20"/>
                <w:szCs w:val="20"/>
                <w:lang w:val="sr-Cyrl-CS"/>
              </w:rPr>
              <w:t>108,75</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7DFD18EC" w14:textId="77777777" w:rsidR="00247CBF" w:rsidRPr="00092ED7" w:rsidRDefault="00247CBF" w:rsidP="00247CBF">
            <w:pPr>
              <w:spacing w:after="0" w:line="230" w:lineRule="auto"/>
              <w:jc w:val="right"/>
              <w:rPr>
                <w:sz w:val="20"/>
                <w:szCs w:val="20"/>
                <w:lang w:val="sr-Cyrl-CS"/>
              </w:rPr>
            </w:pPr>
            <w:r w:rsidRPr="00092ED7">
              <w:rPr>
                <w:sz w:val="20"/>
                <w:szCs w:val="20"/>
                <w:lang w:val="sr-Cyrl-CS"/>
              </w:rPr>
              <w:t>115,60</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71B22080" w14:textId="77777777" w:rsidR="00247CBF" w:rsidRPr="00092ED7" w:rsidRDefault="00247CBF" w:rsidP="00247CBF">
            <w:pPr>
              <w:spacing w:after="0" w:line="230" w:lineRule="auto"/>
              <w:jc w:val="right"/>
              <w:rPr>
                <w:sz w:val="20"/>
                <w:szCs w:val="20"/>
                <w:lang w:val="sr-Cyrl-CS"/>
              </w:rPr>
            </w:pPr>
            <w:r w:rsidRPr="00092ED7">
              <w:rPr>
                <w:sz w:val="20"/>
                <w:szCs w:val="20"/>
                <w:lang w:val="sr-Cyrl-CS"/>
              </w:rPr>
              <w:t>145,90</w:t>
            </w:r>
          </w:p>
        </w:tc>
        <w:tc>
          <w:tcPr>
            <w:tcW w:w="352" w:type="pct"/>
            <w:tcBorders>
              <w:top w:val="nil"/>
              <w:left w:val="nil"/>
              <w:bottom w:val="dotted" w:sz="4" w:space="0" w:color="auto"/>
              <w:right w:val="dotted" w:sz="4" w:space="0" w:color="auto"/>
            </w:tcBorders>
            <w:shd w:val="clear" w:color="000000" w:fill="FFFFFF"/>
            <w:vAlign w:val="center"/>
            <w:hideMark/>
          </w:tcPr>
          <w:p w14:paraId="5995CEB3" w14:textId="77777777" w:rsidR="00247CBF" w:rsidRPr="00092ED7" w:rsidRDefault="00247CBF" w:rsidP="00247CBF">
            <w:pPr>
              <w:spacing w:after="0" w:line="230" w:lineRule="auto"/>
              <w:jc w:val="right"/>
              <w:rPr>
                <w:sz w:val="20"/>
                <w:szCs w:val="20"/>
                <w:lang w:val="sr-Cyrl-CS"/>
              </w:rPr>
            </w:pPr>
            <w:r w:rsidRPr="00092ED7">
              <w:rPr>
                <w:sz w:val="20"/>
                <w:szCs w:val="20"/>
                <w:lang w:val="sr-Cyrl-CS"/>
              </w:rPr>
              <w:t>180,60</w:t>
            </w:r>
          </w:p>
        </w:tc>
        <w:tc>
          <w:tcPr>
            <w:tcW w:w="351" w:type="pct"/>
            <w:gridSpan w:val="2"/>
            <w:tcBorders>
              <w:top w:val="nil"/>
              <w:left w:val="nil"/>
              <w:bottom w:val="dotted" w:sz="4" w:space="0" w:color="auto"/>
              <w:right w:val="double" w:sz="6" w:space="0" w:color="auto"/>
            </w:tcBorders>
            <w:shd w:val="clear" w:color="000000" w:fill="FFFFFF"/>
            <w:vAlign w:val="center"/>
            <w:hideMark/>
          </w:tcPr>
          <w:p w14:paraId="6327A123" w14:textId="77777777" w:rsidR="00247CBF" w:rsidRPr="00092ED7" w:rsidRDefault="00247CBF" w:rsidP="00247CBF">
            <w:pPr>
              <w:spacing w:after="0" w:line="230" w:lineRule="auto"/>
              <w:jc w:val="right"/>
              <w:rPr>
                <w:sz w:val="20"/>
                <w:szCs w:val="20"/>
                <w:lang w:val="sr-Cyrl-CS"/>
              </w:rPr>
            </w:pPr>
            <w:r w:rsidRPr="00092ED7">
              <w:rPr>
                <w:sz w:val="20"/>
                <w:szCs w:val="20"/>
                <w:lang w:val="sr-Cyrl-CS"/>
              </w:rPr>
              <w:t>183,30</w:t>
            </w:r>
          </w:p>
        </w:tc>
      </w:tr>
      <w:tr w:rsidR="00247CBF" w:rsidRPr="00092ED7" w14:paraId="65CB97CA" w14:textId="77777777" w:rsidTr="00247CBF">
        <w:trPr>
          <w:trHeight w:val="227"/>
        </w:trPr>
        <w:tc>
          <w:tcPr>
            <w:tcW w:w="2658" w:type="pct"/>
            <w:tcBorders>
              <w:top w:val="nil"/>
              <w:left w:val="double" w:sz="6" w:space="0" w:color="auto"/>
              <w:bottom w:val="dotted" w:sz="4" w:space="0" w:color="auto"/>
              <w:right w:val="nil"/>
            </w:tcBorders>
            <w:shd w:val="clear" w:color="000000" w:fill="FFFFFF"/>
            <w:vAlign w:val="center"/>
            <w:hideMark/>
          </w:tcPr>
          <w:p w14:paraId="5C394F01" w14:textId="77777777" w:rsidR="00247CBF" w:rsidRPr="00092ED7" w:rsidRDefault="00247CBF" w:rsidP="00247CBF">
            <w:pPr>
              <w:spacing w:after="0" w:line="230" w:lineRule="auto"/>
              <w:rPr>
                <w:rFonts w:eastAsia="Times New Roman" w:cs="Times New Roman"/>
                <w:sz w:val="20"/>
                <w:szCs w:val="20"/>
                <w:lang w:val="sr-Cyrl-CS"/>
              </w:rPr>
            </w:pPr>
            <w:r w:rsidRPr="00092ED7">
              <w:rPr>
                <w:rFonts w:eastAsia="Times New Roman" w:cs="Times New Roman"/>
                <w:sz w:val="20"/>
                <w:szCs w:val="20"/>
                <w:lang w:val="sr-Cyrl-CS"/>
              </w:rPr>
              <w:t>19. Субвенције</w:t>
            </w:r>
          </w:p>
        </w:tc>
        <w:tc>
          <w:tcPr>
            <w:tcW w:w="100" w:type="pct"/>
            <w:tcBorders>
              <w:top w:val="nil"/>
              <w:left w:val="nil"/>
              <w:bottom w:val="dotted" w:sz="4" w:space="0" w:color="auto"/>
              <w:right w:val="single" w:sz="8" w:space="0" w:color="auto"/>
            </w:tcBorders>
            <w:shd w:val="clear" w:color="000000" w:fill="FFFFFF"/>
            <w:vAlign w:val="center"/>
            <w:hideMark/>
          </w:tcPr>
          <w:p w14:paraId="1D98CBDC" w14:textId="77777777" w:rsidR="00247CBF" w:rsidRPr="00092ED7" w:rsidRDefault="00247CBF" w:rsidP="00247CBF">
            <w:pPr>
              <w:spacing w:after="0" w:line="230" w:lineRule="auto"/>
              <w:jc w:val="center"/>
              <w:rPr>
                <w:rFonts w:eastAsia="Times New Roman" w:cs="Times New Roman"/>
                <w:sz w:val="20"/>
                <w:szCs w:val="20"/>
                <w:lang w:val="sr-Cyrl-CS"/>
              </w:rPr>
            </w:pPr>
            <w:r w:rsidRPr="00092ED7">
              <w:rPr>
                <w:rFonts w:eastAsia="Times New Roman" w:cs="Times New Roman"/>
                <w:sz w:val="20"/>
                <w:szCs w:val="20"/>
                <w:lang w:val="sr-Cyrl-CS"/>
              </w:rPr>
              <w:t> </w:t>
            </w:r>
          </w:p>
        </w:tc>
        <w:tc>
          <w:tcPr>
            <w:tcW w:w="483" w:type="pct"/>
            <w:gridSpan w:val="2"/>
            <w:tcBorders>
              <w:top w:val="nil"/>
              <w:left w:val="nil"/>
              <w:bottom w:val="dotted" w:sz="4" w:space="0" w:color="auto"/>
              <w:right w:val="single" w:sz="8" w:space="0" w:color="auto"/>
            </w:tcBorders>
            <w:shd w:val="clear" w:color="000000" w:fill="FFFFFF"/>
            <w:vAlign w:val="center"/>
            <w:hideMark/>
          </w:tcPr>
          <w:p w14:paraId="09D17005" w14:textId="77777777" w:rsidR="00247CBF" w:rsidRPr="00092ED7" w:rsidRDefault="00247CBF" w:rsidP="00247CBF">
            <w:pPr>
              <w:spacing w:after="0" w:line="230" w:lineRule="auto"/>
              <w:jc w:val="center"/>
              <w:rPr>
                <w:rFonts w:eastAsia="Times New Roman" w:cs="Times New Roman"/>
                <w:sz w:val="20"/>
                <w:szCs w:val="20"/>
                <w:lang w:val="sr-Cyrl-CS"/>
              </w:rPr>
            </w:pPr>
            <w:r w:rsidRPr="00092ED7">
              <w:rPr>
                <w:rFonts w:eastAsia="Times New Roman" w:cs="Times New Roman"/>
                <w:sz w:val="20"/>
                <w:szCs w:val="20"/>
                <w:lang w:val="sr-Cyrl-CS"/>
              </w:rPr>
              <w:t>D3</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42C33307" w14:textId="77777777" w:rsidR="00247CBF" w:rsidRPr="00092ED7" w:rsidRDefault="00247CBF" w:rsidP="00247CBF">
            <w:pPr>
              <w:spacing w:after="0" w:line="230" w:lineRule="auto"/>
              <w:jc w:val="right"/>
              <w:rPr>
                <w:sz w:val="20"/>
                <w:szCs w:val="20"/>
                <w:lang w:val="sr-Cyrl-CS"/>
              </w:rPr>
            </w:pPr>
            <w:r w:rsidRPr="00092ED7">
              <w:rPr>
                <w:sz w:val="20"/>
                <w:szCs w:val="20"/>
                <w:lang w:val="sr-Cyrl-CS"/>
              </w:rPr>
              <w:t>206,26</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55896AC2" w14:textId="77777777" w:rsidR="00247CBF" w:rsidRPr="00092ED7" w:rsidRDefault="00247CBF" w:rsidP="00247CBF">
            <w:pPr>
              <w:spacing w:after="0" w:line="230" w:lineRule="auto"/>
              <w:jc w:val="right"/>
              <w:rPr>
                <w:sz w:val="20"/>
                <w:szCs w:val="20"/>
                <w:lang w:val="sr-Cyrl-CS"/>
              </w:rPr>
            </w:pPr>
            <w:r w:rsidRPr="00092ED7">
              <w:rPr>
                <w:sz w:val="20"/>
                <w:szCs w:val="20"/>
                <w:lang w:val="sr-Cyrl-CS"/>
              </w:rPr>
              <w:t>186,43</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13D17ECE" w14:textId="77777777" w:rsidR="00247CBF" w:rsidRPr="00092ED7" w:rsidRDefault="00247CBF" w:rsidP="00247CBF">
            <w:pPr>
              <w:spacing w:after="0" w:line="230" w:lineRule="auto"/>
              <w:jc w:val="right"/>
              <w:rPr>
                <w:sz w:val="20"/>
                <w:szCs w:val="20"/>
                <w:lang w:val="sr-Cyrl-CS"/>
              </w:rPr>
            </w:pPr>
            <w:r w:rsidRPr="00092ED7">
              <w:rPr>
                <w:sz w:val="20"/>
                <w:szCs w:val="20"/>
                <w:lang w:val="sr-Cyrl-CS"/>
              </w:rPr>
              <w:t>220,06</w:t>
            </w:r>
          </w:p>
        </w:tc>
        <w:tc>
          <w:tcPr>
            <w:tcW w:w="352" w:type="pct"/>
            <w:tcBorders>
              <w:top w:val="nil"/>
              <w:left w:val="nil"/>
              <w:bottom w:val="dotted" w:sz="4" w:space="0" w:color="auto"/>
              <w:right w:val="dotted" w:sz="4" w:space="0" w:color="auto"/>
            </w:tcBorders>
            <w:shd w:val="clear" w:color="000000" w:fill="FFFFFF"/>
            <w:vAlign w:val="center"/>
            <w:hideMark/>
          </w:tcPr>
          <w:p w14:paraId="66FA4EA5" w14:textId="77777777" w:rsidR="00247CBF" w:rsidRPr="00092ED7" w:rsidRDefault="00247CBF" w:rsidP="00247CBF">
            <w:pPr>
              <w:spacing w:after="0" w:line="230" w:lineRule="auto"/>
              <w:jc w:val="right"/>
              <w:rPr>
                <w:sz w:val="20"/>
                <w:szCs w:val="20"/>
                <w:lang w:val="sr-Cyrl-CS"/>
              </w:rPr>
            </w:pPr>
            <w:r w:rsidRPr="00092ED7">
              <w:rPr>
                <w:sz w:val="20"/>
                <w:szCs w:val="20"/>
                <w:lang w:val="sr-Cyrl-CS"/>
              </w:rPr>
              <w:t>190,41</w:t>
            </w:r>
          </w:p>
        </w:tc>
        <w:tc>
          <w:tcPr>
            <w:tcW w:w="351" w:type="pct"/>
            <w:gridSpan w:val="2"/>
            <w:tcBorders>
              <w:top w:val="nil"/>
              <w:left w:val="nil"/>
              <w:bottom w:val="dotted" w:sz="4" w:space="0" w:color="auto"/>
              <w:right w:val="double" w:sz="6" w:space="0" w:color="auto"/>
            </w:tcBorders>
            <w:shd w:val="clear" w:color="000000" w:fill="FFFFFF"/>
            <w:vAlign w:val="center"/>
            <w:hideMark/>
          </w:tcPr>
          <w:p w14:paraId="2BA7F76B" w14:textId="77777777" w:rsidR="00247CBF" w:rsidRPr="00092ED7" w:rsidRDefault="00247CBF" w:rsidP="00247CBF">
            <w:pPr>
              <w:spacing w:after="0" w:line="230" w:lineRule="auto"/>
              <w:jc w:val="right"/>
              <w:rPr>
                <w:sz w:val="20"/>
                <w:szCs w:val="20"/>
                <w:lang w:val="sr-Cyrl-CS"/>
              </w:rPr>
            </w:pPr>
            <w:r w:rsidRPr="00092ED7">
              <w:rPr>
                <w:sz w:val="20"/>
                <w:szCs w:val="20"/>
                <w:lang w:val="sr-Cyrl-CS"/>
              </w:rPr>
              <w:t>201,18</w:t>
            </w:r>
          </w:p>
        </w:tc>
      </w:tr>
      <w:tr w:rsidR="00247CBF" w:rsidRPr="00092ED7" w14:paraId="4CAC4CFC" w14:textId="77777777" w:rsidTr="00247CBF">
        <w:trPr>
          <w:trHeight w:val="227"/>
        </w:trPr>
        <w:tc>
          <w:tcPr>
            <w:tcW w:w="2658" w:type="pct"/>
            <w:tcBorders>
              <w:top w:val="nil"/>
              <w:left w:val="double" w:sz="6" w:space="0" w:color="auto"/>
              <w:bottom w:val="dotted" w:sz="4" w:space="0" w:color="auto"/>
              <w:right w:val="nil"/>
            </w:tcBorders>
            <w:shd w:val="clear" w:color="000000" w:fill="FFFFFF"/>
            <w:vAlign w:val="center"/>
            <w:hideMark/>
          </w:tcPr>
          <w:p w14:paraId="4E8B0B01" w14:textId="77777777" w:rsidR="00247CBF" w:rsidRPr="00092ED7" w:rsidRDefault="00247CBF" w:rsidP="00247CBF">
            <w:pPr>
              <w:spacing w:after="0" w:line="230" w:lineRule="auto"/>
              <w:rPr>
                <w:rFonts w:eastAsia="Times New Roman" w:cs="Times New Roman"/>
                <w:sz w:val="20"/>
                <w:szCs w:val="20"/>
                <w:lang w:val="sr-Cyrl-CS"/>
              </w:rPr>
            </w:pPr>
            <w:r w:rsidRPr="00092ED7">
              <w:rPr>
                <w:rFonts w:eastAsia="Times New Roman" w:cs="Times New Roman"/>
                <w:sz w:val="20"/>
                <w:szCs w:val="20"/>
                <w:lang w:val="sr-Cyrl-CS"/>
              </w:rPr>
              <w:t>20. Бруто инвестиције у основна средства</w:t>
            </w:r>
          </w:p>
        </w:tc>
        <w:tc>
          <w:tcPr>
            <w:tcW w:w="100" w:type="pct"/>
            <w:tcBorders>
              <w:top w:val="nil"/>
              <w:left w:val="nil"/>
              <w:bottom w:val="dotted" w:sz="4" w:space="0" w:color="auto"/>
              <w:right w:val="single" w:sz="8" w:space="0" w:color="auto"/>
            </w:tcBorders>
            <w:shd w:val="clear" w:color="000000" w:fill="FFFFFF"/>
            <w:vAlign w:val="center"/>
            <w:hideMark/>
          </w:tcPr>
          <w:p w14:paraId="47321169" w14:textId="77777777" w:rsidR="00247CBF" w:rsidRPr="00092ED7" w:rsidRDefault="00247CBF" w:rsidP="00247CBF">
            <w:pPr>
              <w:spacing w:after="0" w:line="230" w:lineRule="auto"/>
              <w:jc w:val="center"/>
              <w:rPr>
                <w:rFonts w:eastAsia="Times New Roman" w:cs="Times New Roman"/>
                <w:sz w:val="20"/>
                <w:szCs w:val="20"/>
                <w:lang w:val="sr-Cyrl-CS"/>
              </w:rPr>
            </w:pPr>
            <w:r w:rsidRPr="00092ED7">
              <w:rPr>
                <w:rFonts w:eastAsia="Times New Roman" w:cs="Times New Roman"/>
                <w:sz w:val="20"/>
                <w:szCs w:val="20"/>
                <w:lang w:val="sr-Cyrl-CS"/>
              </w:rPr>
              <w:t> </w:t>
            </w:r>
          </w:p>
        </w:tc>
        <w:tc>
          <w:tcPr>
            <w:tcW w:w="483" w:type="pct"/>
            <w:gridSpan w:val="2"/>
            <w:tcBorders>
              <w:top w:val="nil"/>
              <w:left w:val="nil"/>
              <w:bottom w:val="dotted" w:sz="4" w:space="0" w:color="auto"/>
              <w:right w:val="single" w:sz="8" w:space="0" w:color="auto"/>
            </w:tcBorders>
            <w:shd w:val="clear" w:color="000000" w:fill="FFFFFF"/>
            <w:vAlign w:val="center"/>
            <w:hideMark/>
          </w:tcPr>
          <w:p w14:paraId="66D2C022" w14:textId="77777777" w:rsidR="00247CBF" w:rsidRPr="00092ED7" w:rsidRDefault="00247CBF" w:rsidP="00247CBF">
            <w:pPr>
              <w:spacing w:after="0" w:line="230" w:lineRule="auto"/>
              <w:jc w:val="center"/>
              <w:rPr>
                <w:rFonts w:eastAsia="Times New Roman" w:cs="Times New Roman"/>
                <w:sz w:val="20"/>
                <w:szCs w:val="20"/>
                <w:lang w:val="sr-Cyrl-CS"/>
              </w:rPr>
            </w:pPr>
            <w:r w:rsidRPr="00092ED7">
              <w:rPr>
                <w:rFonts w:eastAsia="Times New Roman" w:cs="Times New Roman"/>
                <w:sz w:val="20"/>
                <w:szCs w:val="20"/>
                <w:lang w:val="sr-Cyrl-CS"/>
              </w:rPr>
              <w:t>P51</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3E21D422" w14:textId="77777777" w:rsidR="00247CBF" w:rsidRPr="00092ED7" w:rsidRDefault="00247CBF" w:rsidP="00247CBF">
            <w:pPr>
              <w:spacing w:after="0" w:line="230" w:lineRule="auto"/>
              <w:jc w:val="right"/>
              <w:rPr>
                <w:sz w:val="20"/>
                <w:szCs w:val="20"/>
                <w:lang w:val="sr-Cyrl-CS"/>
              </w:rPr>
            </w:pPr>
            <w:r w:rsidRPr="00092ED7">
              <w:rPr>
                <w:sz w:val="20"/>
                <w:szCs w:val="20"/>
                <w:lang w:val="sr-Cyrl-CS"/>
              </w:rPr>
              <w:t>466,63</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32D3F8E4" w14:textId="77777777" w:rsidR="00247CBF" w:rsidRPr="00092ED7" w:rsidRDefault="00247CBF" w:rsidP="00247CBF">
            <w:pPr>
              <w:spacing w:after="0" w:line="230" w:lineRule="auto"/>
              <w:jc w:val="right"/>
              <w:rPr>
                <w:sz w:val="20"/>
                <w:szCs w:val="20"/>
                <w:lang w:val="sr-Cyrl-CS"/>
              </w:rPr>
            </w:pPr>
            <w:r w:rsidRPr="00092ED7">
              <w:rPr>
                <w:sz w:val="20"/>
                <w:szCs w:val="20"/>
                <w:lang w:val="sr-Cyrl-CS"/>
              </w:rPr>
              <w:t>516,03</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090002D2" w14:textId="77777777" w:rsidR="00247CBF" w:rsidRPr="00092ED7" w:rsidRDefault="00247CBF" w:rsidP="00247CBF">
            <w:pPr>
              <w:spacing w:after="0" w:line="230" w:lineRule="auto"/>
              <w:jc w:val="right"/>
              <w:rPr>
                <w:sz w:val="20"/>
                <w:szCs w:val="20"/>
                <w:lang w:val="sr-Cyrl-CS"/>
              </w:rPr>
            </w:pPr>
            <w:r w:rsidRPr="00092ED7">
              <w:rPr>
                <w:sz w:val="20"/>
                <w:szCs w:val="20"/>
                <w:lang w:val="sr-Cyrl-CS"/>
              </w:rPr>
              <w:t>545,50</w:t>
            </w:r>
          </w:p>
        </w:tc>
        <w:tc>
          <w:tcPr>
            <w:tcW w:w="352" w:type="pct"/>
            <w:tcBorders>
              <w:top w:val="nil"/>
              <w:left w:val="nil"/>
              <w:bottom w:val="dotted" w:sz="4" w:space="0" w:color="auto"/>
              <w:right w:val="dotted" w:sz="4" w:space="0" w:color="auto"/>
            </w:tcBorders>
            <w:shd w:val="clear" w:color="000000" w:fill="FFFFFF"/>
            <w:vAlign w:val="center"/>
            <w:hideMark/>
          </w:tcPr>
          <w:p w14:paraId="6078EA69" w14:textId="77777777" w:rsidR="00247CBF" w:rsidRPr="00092ED7" w:rsidRDefault="00247CBF" w:rsidP="00247CBF">
            <w:pPr>
              <w:spacing w:after="0" w:line="230" w:lineRule="auto"/>
              <w:jc w:val="right"/>
              <w:rPr>
                <w:sz w:val="20"/>
                <w:szCs w:val="20"/>
                <w:lang w:val="sr-Cyrl-CS"/>
              </w:rPr>
            </w:pPr>
            <w:r w:rsidRPr="00092ED7">
              <w:rPr>
                <w:sz w:val="20"/>
                <w:szCs w:val="20"/>
                <w:lang w:val="sr-Cyrl-CS"/>
              </w:rPr>
              <w:t>561,44</w:t>
            </w:r>
          </w:p>
        </w:tc>
        <w:tc>
          <w:tcPr>
            <w:tcW w:w="351" w:type="pct"/>
            <w:gridSpan w:val="2"/>
            <w:tcBorders>
              <w:top w:val="nil"/>
              <w:left w:val="nil"/>
              <w:bottom w:val="dotted" w:sz="4" w:space="0" w:color="auto"/>
              <w:right w:val="double" w:sz="6" w:space="0" w:color="auto"/>
            </w:tcBorders>
            <w:shd w:val="clear" w:color="000000" w:fill="FFFFFF"/>
            <w:vAlign w:val="center"/>
            <w:hideMark/>
          </w:tcPr>
          <w:p w14:paraId="19C599DC" w14:textId="77777777" w:rsidR="00247CBF" w:rsidRPr="00092ED7" w:rsidRDefault="00247CBF" w:rsidP="00247CBF">
            <w:pPr>
              <w:spacing w:after="0" w:line="230" w:lineRule="auto"/>
              <w:jc w:val="right"/>
              <w:rPr>
                <w:sz w:val="20"/>
                <w:szCs w:val="20"/>
                <w:lang w:val="sr-Cyrl-CS"/>
              </w:rPr>
            </w:pPr>
            <w:r w:rsidRPr="00092ED7">
              <w:rPr>
                <w:sz w:val="20"/>
                <w:szCs w:val="20"/>
                <w:lang w:val="sr-Cyrl-CS"/>
              </w:rPr>
              <w:t>581,94</w:t>
            </w:r>
          </w:p>
        </w:tc>
      </w:tr>
      <w:tr w:rsidR="00247CBF" w:rsidRPr="00092ED7" w14:paraId="3A375DB8" w14:textId="77777777" w:rsidTr="00247CBF">
        <w:trPr>
          <w:trHeight w:val="227"/>
        </w:trPr>
        <w:tc>
          <w:tcPr>
            <w:tcW w:w="2658" w:type="pct"/>
            <w:tcBorders>
              <w:top w:val="nil"/>
              <w:left w:val="double" w:sz="6" w:space="0" w:color="auto"/>
              <w:bottom w:val="dotted" w:sz="4" w:space="0" w:color="auto"/>
              <w:right w:val="nil"/>
            </w:tcBorders>
            <w:shd w:val="clear" w:color="000000" w:fill="FFFFFF"/>
            <w:vAlign w:val="center"/>
            <w:hideMark/>
          </w:tcPr>
          <w:p w14:paraId="09124501" w14:textId="77777777" w:rsidR="00247CBF" w:rsidRPr="00092ED7" w:rsidRDefault="00247CBF" w:rsidP="00247CBF">
            <w:pPr>
              <w:spacing w:after="0" w:line="230" w:lineRule="auto"/>
              <w:rPr>
                <w:rFonts w:eastAsia="Times New Roman" w:cs="Times New Roman"/>
                <w:sz w:val="20"/>
                <w:szCs w:val="20"/>
                <w:lang w:val="sr-Cyrl-CS"/>
              </w:rPr>
            </w:pPr>
            <w:r w:rsidRPr="00092ED7">
              <w:rPr>
                <w:rFonts w:eastAsia="Times New Roman" w:cs="Times New Roman"/>
                <w:sz w:val="20"/>
                <w:szCs w:val="20"/>
                <w:lang w:val="sr-Cyrl-CS"/>
              </w:rPr>
              <w:t>21. Друго (21 = 22-(16+17+18+19+20) [6]</w:t>
            </w:r>
          </w:p>
        </w:tc>
        <w:tc>
          <w:tcPr>
            <w:tcW w:w="100" w:type="pct"/>
            <w:tcBorders>
              <w:top w:val="nil"/>
              <w:left w:val="nil"/>
              <w:bottom w:val="dotted" w:sz="4" w:space="0" w:color="auto"/>
              <w:right w:val="single" w:sz="8" w:space="0" w:color="auto"/>
            </w:tcBorders>
            <w:shd w:val="clear" w:color="000000" w:fill="FFFFFF"/>
            <w:vAlign w:val="center"/>
            <w:hideMark/>
          </w:tcPr>
          <w:p w14:paraId="1CEDE898" w14:textId="77777777" w:rsidR="00247CBF" w:rsidRPr="00092ED7" w:rsidRDefault="00247CBF" w:rsidP="00247CBF">
            <w:pPr>
              <w:spacing w:after="0" w:line="230" w:lineRule="auto"/>
              <w:jc w:val="center"/>
              <w:rPr>
                <w:rFonts w:eastAsia="Times New Roman" w:cs="Times New Roman"/>
                <w:sz w:val="20"/>
                <w:szCs w:val="20"/>
                <w:lang w:val="sr-Cyrl-CS"/>
              </w:rPr>
            </w:pPr>
            <w:r w:rsidRPr="00092ED7">
              <w:rPr>
                <w:rFonts w:eastAsia="Times New Roman" w:cs="Times New Roman"/>
                <w:sz w:val="20"/>
                <w:szCs w:val="20"/>
                <w:lang w:val="sr-Cyrl-CS"/>
              </w:rPr>
              <w:t> </w:t>
            </w:r>
          </w:p>
        </w:tc>
        <w:tc>
          <w:tcPr>
            <w:tcW w:w="483" w:type="pct"/>
            <w:gridSpan w:val="2"/>
            <w:tcBorders>
              <w:top w:val="nil"/>
              <w:left w:val="nil"/>
              <w:bottom w:val="dotted" w:sz="4" w:space="0" w:color="auto"/>
              <w:right w:val="single" w:sz="8" w:space="0" w:color="auto"/>
            </w:tcBorders>
            <w:shd w:val="clear" w:color="000000" w:fill="FFFFFF"/>
            <w:vAlign w:val="center"/>
            <w:hideMark/>
          </w:tcPr>
          <w:p w14:paraId="6E00CFA8" w14:textId="77777777" w:rsidR="00247CBF" w:rsidRPr="00092ED7" w:rsidRDefault="00247CBF" w:rsidP="00247CBF">
            <w:pPr>
              <w:spacing w:after="0" w:line="230" w:lineRule="auto"/>
              <w:jc w:val="center"/>
              <w:rPr>
                <w:rFonts w:eastAsia="Times New Roman" w:cs="Times New Roman"/>
                <w:sz w:val="20"/>
                <w:szCs w:val="20"/>
                <w:lang w:val="sr-Cyrl-CS"/>
              </w:rPr>
            </w:pPr>
            <w:r w:rsidRPr="00092ED7">
              <w:rPr>
                <w:rFonts w:eastAsia="Times New Roman" w:cs="Times New Roman"/>
                <w:sz w:val="20"/>
                <w:szCs w:val="20"/>
                <w:lang w:val="sr-Cyrl-CS"/>
              </w:rPr>
              <w:t> </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302B41F7" w14:textId="77777777" w:rsidR="00247CBF" w:rsidRPr="00092ED7" w:rsidRDefault="00247CBF" w:rsidP="00247CBF">
            <w:pPr>
              <w:spacing w:after="0" w:line="230" w:lineRule="auto"/>
              <w:jc w:val="right"/>
              <w:rPr>
                <w:sz w:val="20"/>
                <w:szCs w:val="20"/>
                <w:lang w:val="sr-Cyrl-CS"/>
              </w:rPr>
            </w:pPr>
            <w:r w:rsidRPr="00092ED7">
              <w:rPr>
                <w:sz w:val="20"/>
                <w:szCs w:val="20"/>
                <w:lang w:val="sr-Cyrl-CS"/>
              </w:rPr>
              <w:t>220,37</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068E63CC" w14:textId="77777777" w:rsidR="00247CBF" w:rsidRPr="00092ED7" w:rsidRDefault="00247CBF" w:rsidP="00247CBF">
            <w:pPr>
              <w:spacing w:after="0" w:line="230" w:lineRule="auto"/>
              <w:jc w:val="right"/>
              <w:rPr>
                <w:sz w:val="20"/>
                <w:szCs w:val="20"/>
                <w:lang w:val="sr-Cyrl-CS"/>
              </w:rPr>
            </w:pPr>
            <w:r w:rsidRPr="00092ED7">
              <w:rPr>
                <w:sz w:val="20"/>
                <w:szCs w:val="20"/>
                <w:lang w:val="sr-Cyrl-CS"/>
              </w:rPr>
              <w:t>338,01</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1F972C07" w14:textId="77777777" w:rsidR="00247CBF" w:rsidRPr="00092ED7" w:rsidRDefault="00247CBF" w:rsidP="00247CBF">
            <w:pPr>
              <w:spacing w:after="0" w:line="230" w:lineRule="auto"/>
              <w:jc w:val="right"/>
              <w:rPr>
                <w:sz w:val="20"/>
                <w:szCs w:val="20"/>
                <w:lang w:val="sr-Cyrl-CS"/>
              </w:rPr>
            </w:pPr>
            <w:r w:rsidRPr="00092ED7">
              <w:rPr>
                <w:sz w:val="20"/>
                <w:szCs w:val="20"/>
                <w:lang w:val="sr-Cyrl-CS"/>
              </w:rPr>
              <w:t>253,71</w:t>
            </w:r>
          </w:p>
        </w:tc>
        <w:tc>
          <w:tcPr>
            <w:tcW w:w="352" w:type="pct"/>
            <w:tcBorders>
              <w:top w:val="nil"/>
              <w:left w:val="nil"/>
              <w:bottom w:val="dotted" w:sz="4" w:space="0" w:color="auto"/>
              <w:right w:val="dotted" w:sz="4" w:space="0" w:color="auto"/>
            </w:tcBorders>
            <w:shd w:val="clear" w:color="000000" w:fill="FFFFFF"/>
            <w:vAlign w:val="center"/>
            <w:hideMark/>
          </w:tcPr>
          <w:p w14:paraId="0580D4C0" w14:textId="77777777" w:rsidR="00247CBF" w:rsidRPr="00092ED7" w:rsidRDefault="00247CBF" w:rsidP="00247CBF">
            <w:pPr>
              <w:spacing w:after="0" w:line="230" w:lineRule="auto"/>
              <w:jc w:val="right"/>
              <w:rPr>
                <w:sz w:val="20"/>
                <w:szCs w:val="20"/>
                <w:lang w:val="sr-Cyrl-CS"/>
              </w:rPr>
            </w:pPr>
            <w:r w:rsidRPr="00092ED7">
              <w:rPr>
                <w:sz w:val="20"/>
                <w:szCs w:val="20"/>
                <w:lang w:val="sr-Cyrl-CS"/>
              </w:rPr>
              <w:t>198,66</w:t>
            </w:r>
          </w:p>
        </w:tc>
        <w:tc>
          <w:tcPr>
            <w:tcW w:w="351" w:type="pct"/>
            <w:gridSpan w:val="2"/>
            <w:tcBorders>
              <w:top w:val="nil"/>
              <w:left w:val="nil"/>
              <w:bottom w:val="dotted" w:sz="4" w:space="0" w:color="auto"/>
              <w:right w:val="double" w:sz="6" w:space="0" w:color="auto"/>
            </w:tcBorders>
            <w:shd w:val="clear" w:color="000000" w:fill="FFFFFF"/>
            <w:vAlign w:val="center"/>
            <w:hideMark/>
          </w:tcPr>
          <w:p w14:paraId="3A6E72D0" w14:textId="77777777" w:rsidR="00247CBF" w:rsidRPr="00092ED7" w:rsidRDefault="00247CBF" w:rsidP="00247CBF">
            <w:pPr>
              <w:spacing w:after="0" w:line="230" w:lineRule="auto"/>
              <w:jc w:val="right"/>
              <w:rPr>
                <w:sz w:val="20"/>
                <w:szCs w:val="20"/>
                <w:lang w:val="sr-Cyrl-CS"/>
              </w:rPr>
            </w:pPr>
            <w:r w:rsidRPr="00092ED7">
              <w:rPr>
                <w:sz w:val="20"/>
                <w:szCs w:val="20"/>
                <w:lang w:val="sr-Cyrl-CS"/>
              </w:rPr>
              <w:t>146,55</w:t>
            </w:r>
          </w:p>
        </w:tc>
      </w:tr>
      <w:tr w:rsidR="00247CBF" w:rsidRPr="00092ED7" w14:paraId="7FDC64D4" w14:textId="77777777" w:rsidTr="00247CBF">
        <w:trPr>
          <w:trHeight w:val="227"/>
        </w:trPr>
        <w:tc>
          <w:tcPr>
            <w:tcW w:w="2658" w:type="pct"/>
            <w:tcBorders>
              <w:top w:val="nil"/>
              <w:left w:val="double" w:sz="6" w:space="0" w:color="auto"/>
              <w:bottom w:val="dotted" w:sz="4" w:space="0" w:color="auto"/>
              <w:right w:val="nil"/>
            </w:tcBorders>
            <w:shd w:val="clear" w:color="000000" w:fill="FFFFFF"/>
            <w:vAlign w:val="center"/>
            <w:hideMark/>
          </w:tcPr>
          <w:p w14:paraId="7913329C" w14:textId="77777777" w:rsidR="00247CBF" w:rsidRPr="00092ED7" w:rsidRDefault="00247CBF" w:rsidP="00247CBF">
            <w:pPr>
              <w:spacing w:after="0" w:line="230" w:lineRule="auto"/>
              <w:rPr>
                <w:rFonts w:eastAsia="Times New Roman" w:cs="Times New Roman"/>
                <w:sz w:val="20"/>
                <w:szCs w:val="20"/>
                <w:lang w:val="sr-Cyrl-CS"/>
              </w:rPr>
            </w:pPr>
            <w:r w:rsidRPr="00092ED7">
              <w:rPr>
                <w:rFonts w:eastAsia="Times New Roman" w:cs="Times New Roman"/>
                <w:sz w:val="20"/>
                <w:szCs w:val="20"/>
                <w:lang w:val="sr-Cyrl-CS"/>
              </w:rPr>
              <w:t>22. Укупни расходи</w:t>
            </w:r>
          </w:p>
        </w:tc>
        <w:tc>
          <w:tcPr>
            <w:tcW w:w="100" w:type="pct"/>
            <w:tcBorders>
              <w:top w:val="nil"/>
              <w:left w:val="nil"/>
              <w:bottom w:val="dotted" w:sz="4" w:space="0" w:color="auto"/>
              <w:right w:val="single" w:sz="8" w:space="0" w:color="auto"/>
            </w:tcBorders>
            <w:shd w:val="clear" w:color="000000" w:fill="FFFFFF"/>
            <w:vAlign w:val="center"/>
            <w:hideMark/>
          </w:tcPr>
          <w:p w14:paraId="7089718C" w14:textId="77777777" w:rsidR="00247CBF" w:rsidRPr="00092ED7" w:rsidRDefault="00247CBF" w:rsidP="00247CBF">
            <w:pPr>
              <w:spacing w:after="0" w:line="230" w:lineRule="auto"/>
              <w:jc w:val="center"/>
              <w:rPr>
                <w:rFonts w:eastAsia="Times New Roman" w:cs="Times New Roman"/>
                <w:sz w:val="20"/>
                <w:szCs w:val="20"/>
                <w:lang w:val="sr-Cyrl-CS"/>
              </w:rPr>
            </w:pPr>
            <w:r w:rsidRPr="00092ED7">
              <w:rPr>
                <w:rFonts w:eastAsia="Times New Roman" w:cs="Times New Roman"/>
                <w:sz w:val="20"/>
                <w:szCs w:val="20"/>
                <w:lang w:val="sr-Cyrl-CS"/>
              </w:rPr>
              <w:t> </w:t>
            </w:r>
          </w:p>
        </w:tc>
        <w:tc>
          <w:tcPr>
            <w:tcW w:w="483" w:type="pct"/>
            <w:gridSpan w:val="2"/>
            <w:tcBorders>
              <w:top w:val="nil"/>
              <w:left w:val="nil"/>
              <w:bottom w:val="dotted" w:sz="4" w:space="0" w:color="auto"/>
              <w:right w:val="single" w:sz="8" w:space="0" w:color="auto"/>
            </w:tcBorders>
            <w:shd w:val="clear" w:color="000000" w:fill="FFFFFF"/>
            <w:vAlign w:val="center"/>
            <w:hideMark/>
          </w:tcPr>
          <w:p w14:paraId="63D5F0D5" w14:textId="77777777" w:rsidR="00247CBF" w:rsidRPr="00092ED7" w:rsidRDefault="00247CBF" w:rsidP="00247CBF">
            <w:pPr>
              <w:spacing w:after="0" w:line="230" w:lineRule="auto"/>
              <w:jc w:val="center"/>
              <w:rPr>
                <w:rFonts w:eastAsia="Times New Roman" w:cs="Times New Roman"/>
                <w:sz w:val="20"/>
                <w:szCs w:val="20"/>
                <w:lang w:val="sr-Cyrl-CS"/>
              </w:rPr>
            </w:pPr>
            <w:r w:rsidRPr="00092ED7">
              <w:rPr>
                <w:rFonts w:eastAsia="Times New Roman" w:cs="Times New Roman"/>
                <w:sz w:val="20"/>
                <w:szCs w:val="20"/>
                <w:lang w:val="sr-Cyrl-CS"/>
              </w:rPr>
              <w:t>TE [1]</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218507A7" w14:textId="77777777" w:rsidR="00247CBF" w:rsidRPr="00092ED7" w:rsidRDefault="00247CBF" w:rsidP="00247CBF">
            <w:pPr>
              <w:spacing w:after="0" w:line="230" w:lineRule="auto"/>
              <w:jc w:val="right"/>
              <w:rPr>
                <w:sz w:val="20"/>
                <w:szCs w:val="20"/>
                <w:lang w:val="sr-Cyrl-CS"/>
              </w:rPr>
            </w:pPr>
            <w:r w:rsidRPr="00092ED7">
              <w:rPr>
                <w:sz w:val="20"/>
                <w:szCs w:val="20"/>
                <w:lang w:val="sr-Cyrl-CS"/>
              </w:rPr>
              <w:t>2.971,32</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07835735" w14:textId="77777777" w:rsidR="00247CBF" w:rsidRPr="00092ED7" w:rsidRDefault="00247CBF" w:rsidP="00247CBF">
            <w:pPr>
              <w:spacing w:after="0" w:line="230" w:lineRule="auto"/>
              <w:jc w:val="right"/>
              <w:rPr>
                <w:sz w:val="20"/>
                <w:szCs w:val="20"/>
                <w:lang w:val="sr-Cyrl-CS"/>
              </w:rPr>
            </w:pPr>
            <w:r w:rsidRPr="00092ED7">
              <w:rPr>
                <w:sz w:val="20"/>
                <w:szCs w:val="20"/>
                <w:lang w:val="sr-Cyrl-CS"/>
              </w:rPr>
              <w:t>3.317,34</w:t>
            </w:r>
          </w:p>
        </w:tc>
        <w:tc>
          <w:tcPr>
            <w:tcW w:w="352" w:type="pct"/>
            <w:gridSpan w:val="2"/>
            <w:tcBorders>
              <w:top w:val="nil"/>
              <w:left w:val="nil"/>
              <w:bottom w:val="dotted" w:sz="4" w:space="0" w:color="auto"/>
              <w:right w:val="dotted" w:sz="4" w:space="0" w:color="auto"/>
            </w:tcBorders>
            <w:shd w:val="clear" w:color="000000" w:fill="FFFFFF"/>
            <w:vAlign w:val="center"/>
            <w:hideMark/>
          </w:tcPr>
          <w:p w14:paraId="54B52EF2" w14:textId="77777777" w:rsidR="00247CBF" w:rsidRPr="00092ED7" w:rsidRDefault="00247CBF" w:rsidP="00247CBF">
            <w:pPr>
              <w:spacing w:after="0" w:line="230" w:lineRule="auto"/>
              <w:jc w:val="right"/>
              <w:rPr>
                <w:sz w:val="20"/>
                <w:szCs w:val="20"/>
                <w:lang w:val="sr-Cyrl-CS"/>
              </w:rPr>
            </w:pPr>
            <w:r w:rsidRPr="00092ED7">
              <w:rPr>
                <w:sz w:val="20"/>
                <w:szCs w:val="20"/>
                <w:lang w:val="sr-Cyrl-CS"/>
              </w:rPr>
              <w:t>3.547,48</w:t>
            </w:r>
          </w:p>
        </w:tc>
        <w:tc>
          <w:tcPr>
            <w:tcW w:w="352" w:type="pct"/>
            <w:tcBorders>
              <w:top w:val="nil"/>
              <w:left w:val="nil"/>
              <w:bottom w:val="dotted" w:sz="4" w:space="0" w:color="auto"/>
              <w:right w:val="dotted" w:sz="4" w:space="0" w:color="auto"/>
            </w:tcBorders>
            <w:shd w:val="clear" w:color="000000" w:fill="FFFFFF"/>
            <w:vAlign w:val="center"/>
            <w:hideMark/>
          </w:tcPr>
          <w:p w14:paraId="45D6D793" w14:textId="77777777" w:rsidR="00247CBF" w:rsidRPr="00092ED7" w:rsidRDefault="00247CBF" w:rsidP="00247CBF">
            <w:pPr>
              <w:spacing w:after="0" w:line="230" w:lineRule="auto"/>
              <w:jc w:val="right"/>
              <w:rPr>
                <w:sz w:val="20"/>
                <w:szCs w:val="20"/>
                <w:lang w:val="sr-Cyrl-CS"/>
              </w:rPr>
            </w:pPr>
            <w:r w:rsidRPr="00092ED7">
              <w:rPr>
                <w:sz w:val="20"/>
                <w:szCs w:val="20"/>
                <w:lang w:val="sr-Cyrl-CS"/>
              </w:rPr>
              <w:t>3.733,14</w:t>
            </w:r>
          </w:p>
        </w:tc>
        <w:tc>
          <w:tcPr>
            <w:tcW w:w="351" w:type="pct"/>
            <w:gridSpan w:val="2"/>
            <w:tcBorders>
              <w:top w:val="nil"/>
              <w:left w:val="nil"/>
              <w:bottom w:val="dotted" w:sz="4" w:space="0" w:color="auto"/>
              <w:right w:val="double" w:sz="6" w:space="0" w:color="auto"/>
            </w:tcBorders>
            <w:shd w:val="clear" w:color="000000" w:fill="FFFFFF"/>
            <w:vAlign w:val="center"/>
            <w:hideMark/>
          </w:tcPr>
          <w:p w14:paraId="5E18FE30" w14:textId="77777777" w:rsidR="00247CBF" w:rsidRPr="00092ED7" w:rsidRDefault="00247CBF" w:rsidP="00247CBF">
            <w:pPr>
              <w:spacing w:after="0" w:line="230" w:lineRule="auto"/>
              <w:jc w:val="right"/>
              <w:rPr>
                <w:sz w:val="20"/>
                <w:szCs w:val="20"/>
                <w:lang w:val="sr-Cyrl-CS"/>
              </w:rPr>
            </w:pPr>
            <w:r w:rsidRPr="00092ED7">
              <w:rPr>
                <w:sz w:val="20"/>
                <w:szCs w:val="20"/>
                <w:lang w:val="sr-Cyrl-CS"/>
              </w:rPr>
              <w:t>3.901,79</w:t>
            </w:r>
          </w:p>
        </w:tc>
      </w:tr>
      <w:tr w:rsidR="00247CBF" w:rsidRPr="00092ED7" w14:paraId="096E1118" w14:textId="77777777" w:rsidTr="00247CBF">
        <w:trPr>
          <w:trHeight w:val="227"/>
        </w:trPr>
        <w:tc>
          <w:tcPr>
            <w:tcW w:w="2658" w:type="pct"/>
            <w:tcBorders>
              <w:top w:val="nil"/>
              <w:left w:val="double" w:sz="6" w:space="0" w:color="auto"/>
              <w:bottom w:val="double" w:sz="6" w:space="0" w:color="auto"/>
              <w:right w:val="nil"/>
            </w:tcBorders>
            <w:shd w:val="clear" w:color="000000" w:fill="FFFFFF"/>
            <w:vAlign w:val="center"/>
            <w:hideMark/>
          </w:tcPr>
          <w:p w14:paraId="451520B6" w14:textId="77777777" w:rsidR="00247CBF" w:rsidRPr="00092ED7" w:rsidRDefault="00247CBF" w:rsidP="00247CBF">
            <w:pPr>
              <w:spacing w:after="0" w:line="230" w:lineRule="auto"/>
              <w:rPr>
                <w:rFonts w:eastAsia="Times New Roman" w:cs="Times New Roman"/>
                <w:sz w:val="20"/>
                <w:szCs w:val="20"/>
                <w:lang w:val="sr-Cyrl-CS"/>
              </w:rPr>
            </w:pPr>
            <w:r w:rsidRPr="00092ED7">
              <w:rPr>
                <w:rFonts w:eastAsia="Times New Roman" w:cs="Times New Roman"/>
                <w:sz w:val="20"/>
                <w:szCs w:val="20"/>
                <w:lang w:val="sr-Cyrl-CS"/>
              </w:rPr>
              <w:lastRenderedPageBreak/>
              <w:t>Информативно: Зараде и накнаде запосленима у јавном сектору</w:t>
            </w:r>
          </w:p>
        </w:tc>
        <w:tc>
          <w:tcPr>
            <w:tcW w:w="100" w:type="pct"/>
            <w:tcBorders>
              <w:top w:val="nil"/>
              <w:left w:val="nil"/>
              <w:bottom w:val="double" w:sz="6" w:space="0" w:color="auto"/>
              <w:right w:val="single" w:sz="8" w:space="0" w:color="auto"/>
            </w:tcBorders>
            <w:shd w:val="clear" w:color="000000" w:fill="FFFFFF"/>
            <w:vAlign w:val="bottom"/>
            <w:hideMark/>
          </w:tcPr>
          <w:p w14:paraId="5694BE28" w14:textId="77777777" w:rsidR="00247CBF" w:rsidRPr="00092ED7" w:rsidRDefault="00247CBF" w:rsidP="00247CBF">
            <w:pPr>
              <w:spacing w:after="0" w:line="230" w:lineRule="auto"/>
              <w:jc w:val="center"/>
              <w:rPr>
                <w:rFonts w:eastAsia="Times New Roman" w:cs="Times New Roman"/>
                <w:sz w:val="20"/>
                <w:szCs w:val="20"/>
                <w:lang w:val="sr-Cyrl-CS"/>
              </w:rPr>
            </w:pPr>
            <w:r w:rsidRPr="00092ED7">
              <w:rPr>
                <w:rFonts w:eastAsia="Times New Roman" w:cs="Times New Roman"/>
                <w:sz w:val="20"/>
                <w:szCs w:val="20"/>
                <w:lang w:val="sr-Cyrl-CS"/>
              </w:rPr>
              <w:t> </w:t>
            </w:r>
          </w:p>
        </w:tc>
        <w:tc>
          <w:tcPr>
            <w:tcW w:w="483" w:type="pct"/>
            <w:gridSpan w:val="2"/>
            <w:tcBorders>
              <w:top w:val="nil"/>
              <w:left w:val="nil"/>
              <w:bottom w:val="double" w:sz="6" w:space="0" w:color="auto"/>
              <w:right w:val="single" w:sz="8" w:space="0" w:color="auto"/>
            </w:tcBorders>
            <w:shd w:val="clear" w:color="000000" w:fill="FFFFFF"/>
            <w:vAlign w:val="bottom"/>
            <w:hideMark/>
          </w:tcPr>
          <w:p w14:paraId="234FEEC8" w14:textId="77777777" w:rsidR="00247CBF" w:rsidRPr="00092ED7" w:rsidRDefault="00247CBF" w:rsidP="00247CBF">
            <w:pPr>
              <w:spacing w:after="0" w:line="230" w:lineRule="auto"/>
              <w:jc w:val="center"/>
              <w:rPr>
                <w:rFonts w:eastAsia="Times New Roman" w:cs="Times New Roman"/>
                <w:sz w:val="20"/>
                <w:szCs w:val="20"/>
                <w:lang w:val="sr-Cyrl-CS"/>
              </w:rPr>
            </w:pPr>
            <w:r w:rsidRPr="00092ED7">
              <w:rPr>
                <w:rFonts w:eastAsia="Times New Roman" w:cs="Times New Roman"/>
                <w:sz w:val="20"/>
                <w:szCs w:val="20"/>
                <w:lang w:val="sr-Cyrl-CS"/>
              </w:rPr>
              <w:t>D1</w:t>
            </w:r>
          </w:p>
        </w:tc>
        <w:tc>
          <w:tcPr>
            <w:tcW w:w="352" w:type="pct"/>
            <w:gridSpan w:val="2"/>
            <w:tcBorders>
              <w:top w:val="nil"/>
              <w:left w:val="nil"/>
              <w:bottom w:val="double" w:sz="6" w:space="0" w:color="auto"/>
              <w:right w:val="dotted" w:sz="4" w:space="0" w:color="auto"/>
            </w:tcBorders>
            <w:shd w:val="clear" w:color="000000" w:fill="FFFFFF"/>
            <w:vAlign w:val="center"/>
            <w:hideMark/>
          </w:tcPr>
          <w:p w14:paraId="4C8837DC" w14:textId="77777777" w:rsidR="00247CBF" w:rsidRPr="00092ED7" w:rsidRDefault="00247CBF" w:rsidP="00247CBF">
            <w:pPr>
              <w:spacing w:after="0" w:line="230" w:lineRule="auto"/>
              <w:jc w:val="right"/>
              <w:rPr>
                <w:sz w:val="20"/>
                <w:szCs w:val="20"/>
                <w:lang w:val="sr-Cyrl-CS"/>
              </w:rPr>
            </w:pPr>
            <w:r w:rsidRPr="00092ED7">
              <w:rPr>
                <w:sz w:val="20"/>
                <w:szCs w:val="20"/>
                <w:lang w:val="sr-Cyrl-CS"/>
              </w:rPr>
              <w:t>628,97</w:t>
            </w:r>
          </w:p>
        </w:tc>
        <w:tc>
          <w:tcPr>
            <w:tcW w:w="352" w:type="pct"/>
            <w:gridSpan w:val="2"/>
            <w:tcBorders>
              <w:top w:val="nil"/>
              <w:left w:val="nil"/>
              <w:bottom w:val="double" w:sz="6" w:space="0" w:color="auto"/>
              <w:right w:val="dotted" w:sz="4" w:space="0" w:color="auto"/>
            </w:tcBorders>
            <w:shd w:val="clear" w:color="000000" w:fill="FFFFFF"/>
            <w:vAlign w:val="center"/>
            <w:hideMark/>
          </w:tcPr>
          <w:p w14:paraId="20D3DE85" w14:textId="77777777" w:rsidR="00247CBF" w:rsidRPr="00092ED7" w:rsidRDefault="00247CBF" w:rsidP="00247CBF">
            <w:pPr>
              <w:spacing w:after="0" w:line="230" w:lineRule="auto"/>
              <w:jc w:val="right"/>
              <w:rPr>
                <w:sz w:val="20"/>
                <w:szCs w:val="20"/>
                <w:lang w:val="sr-Cyrl-CS"/>
              </w:rPr>
            </w:pPr>
            <w:r w:rsidRPr="00092ED7">
              <w:rPr>
                <w:sz w:val="20"/>
                <w:szCs w:val="20"/>
                <w:lang w:val="sr-Cyrl-CS"/>
              </w:rPr>
              <w:t>688,68</w:t>
            </w:r>
          </w:p>
        </w:tc>
        <w:tc>
          <w:tcPr>
            <w:tcW w:w="352" w:type="pct"/>
            <w:gridSpan w:val="2"/>
            <w:tcBorders>
              <w:top w:val="nil"/>
              <w:left w:val="nil"/>
              <w:bottom w:val="double" w:sz="6" w:space="0" w:color="auto"/>
              <w:right w:val="dotted" w:sz="4" w:space="0" w:color="auto"/>
            </w:tcBorders>
            <w:shd w:val="clear" w:color="000000" w:fill="FFFFFF"/>
            <w:vAlign w:val="center"/>
            <w:hideMark/>
          </w:tcPr>
          <w:p w14:paraId="7B0C67DC" w14:textId="77777777" w:rsidR="00247CBF" w:rsidRPr="00092ED7" w:rsidRDefault="00247CBF" w:rsidP="00247CBF">
            <w:pPr>
              <w:spacing w:after="0" w:line="230" w:lineRule="auto"/>
              <w:jc w:val="right"/>
              <w:rPr>
                <w:sz w:val="20"/>
                <w:szCs w:val="20"/>
                <w:lang w:val="sr-Cyrl-CS"/>
              </w:rPr>
            </w:pPr>
            <w:r w:rsidRPr="00092ED7">
              <w:rPr>
                <w:sz w:val="20"/>
                <w:szCs w:val="20"/>
                <w:lang w:val="sr-Cyrl-CS"/>
              </w:rPr>
              <w:t>766,53</w:t>
            </w:r>
          </w:p>
        </w:tc>
        <w:tc>
          <w:tcPr>
            <w:tcW w:w="352" w:type="pct"/>
            <w:tcBorders>
              <w:top w:val="nil"/>
              <w:left w:val="nil"/>
              <w:bottom w:val="double" w:sz="6" w:space="0" w:color="auto"/>
              <w:right w:val="dotted" w:sz="4" w:space="0" w:color="auto"/>
            </w:tcBorders>
            <w:shd w:val="clear" w:color="000000" w:fill="FFFFFF"/>
            <w:vAlign w:val="center"/>
            <w:hideMark/>
          </w:tcPr>
          <w:p w14:paraId="25F95112" w14:textId="77777777" w:rsidR="00247CBF" w:rsidRPr="00092ED7" w:rsidRDefault="00247CBF" w:rsidP="00247CBF">
            <w:pPr>
              <w:spacing w:after="0" w:line="230" w:lineRule="auto"/>
              <w:jc w:val="right"/>
              <w:rPr>
                <w:sz w:val="20"/>
                <w:szCs w:val="20"/>
                <w:lang w:val="sr-Cyrl-CS"/>
              </w:rPr>
            </w:pPr>
            <w:r w:rsidRPr="00092ED7">
              <w:rPr>
                <w:sz w:val="20"/>
                <w:szCs w:val="20"/>
                <w:lang w:val="sr-Cyrl-CS"/>
              </w:rPr>
              <w:t>839,54</w:t>
            </w:r>
          </w:p>
        </w:tc>
        <w:tc>
          <w:tcPr>
            <w:tcW w:w="351" w:type="pct"/>
            <w:gridSpan w:val="2"/>
            <w:tcBorders>
              <w:top w:val="nil"/>
              <w:left w:val="nil"/>
              <w:bottom w:val="double" w:sz="6" w:space="0" w:color="auto"/>
              <w:right w:val="double" w:sz="6" w:space="0" w:color="auto"/>
            </w:tcBorders>
            <w:shd w:val="clear" w:color="000000" w:fill="FFFFFF"/>
            <w:vAlign w:val="center"/>
            <w:hideMark/>
          </w:tcPr>
          <w:p w14:paraId="68A7D39D" w14:textId="77777777" w:rsidR="00247CBF" w:rsidRPr="00092ED7" w:rsidRDefault="00247CBF" w:rsidP="00247CBF">
            <w:pPr>
              <w:spacing w:after="0" w:line="230" w:lineRule="auto"/>
              <w:jc w:val="right"/>
              <w:rPr>
                <w:sz w:val="20"/>
                <w:szCs w:val="20"/>
                <w:lang w:val="sr-Cyrl-CS"/>
              </w:rPr>
            </w:pPr>
            <w:r w:rsidRPr="00092ED7">
              <w:rPr>
                <w:sz w:val="20"/>
                <w:szCs w:val="20"/>
                <w:lang w:val="sr-Cyrl-CS"/>
              </w:rPr>
              <w:t>912,56</w:t>
            </w:r>
          </w:p>
        </w:tc>
      </w:tr>
      <w:tr w:rsidR="00247CBF" w:rsidRPr="00092ED7" w14:paraId="34FDFC4D" w14:textId="77777777" w:rsidTr="00247CBF">
        <w:trPr>
          <w:gridAfter w:val="1"/>
          <w:wAfter w:w="14" w:type="pct"/>
          <w:trHeight w:val="227"/>
        </w:trPr>
        <w:tc>
          <w:tcPr>
            <w:tcW w:w="4986" w:type="pct"/>
            <w:gridSpan w:val="12"/>
            <w:tcBorders>
              <w:top w:val="nil"/>
              <w:left w:val="nil"/>
              <w:bottom w:val="nil"/>
              <w:right w:val="nil"/>
            </w:tcBorders>
            <w:shd w:val="clear" w:color="auto" w:fill="auto"/>
            <w:noWrap/>
            <w:vAlign w:val="center"/>
            <w:hideMark/>
          </w:tcPr>
          <w:p w14:paraId="5E927E23" w14:textId="77777777" w:rsidR="00247CBF" w:rsidRPr="00092ED7" w:rsidRDefault="00247CBF" w:rsidP="00247CBF">
            <w:pPr>
              <w:spacing w:after="0" w:line="230" w:lineRule="auto"/>
              <w:jc w:val="left"/>
              <w:rPr>
                <w:rFonts w:eastAsia="Times New Roman" w:cs="Times New Roman"/>
                <w:sz w:val="16"/>
                <w:szCs w:val="20"/>
                <w:lang w:val="sr-Cyrl-CS" w:eastAsia="sr-Cyrl-RS"/>
              </w:rPr>
            </w:pPr>
            <w:r w:rsidRPr="00092ED7">
              <w:rPr>
                <w:rFonts w:eastAsia="Times New Roman" w:cs="Times New Roman"/>
                <w:sz w:val="16"/>
                <w:szCs w:val="20"/>
                <w:lang w:val="sr-Cyrl-CS" w:eastAsia="sr-Cyrl-RS"/>
              </w:rPr>
              <w:t>[1]   Коригован за следећи ток по основу свопова, тако да је TR-TE = EDP.B9.</w:t>
            </w:r>
          </w:p>
        </w:tc>
      </w:tr>
      <w:tr w:rsidR="00247CBF" w:rsidRPr="00092ED7" w14:paraId="339B56F6" w14:textId="77777777" w:rsidTr="00247CBF">
        <w:trPr>
          <w:gridAfter w:val="1"/>
          <w:wAfter w:w="14" w:type="pct"/>
          <w:trHeight w:val="227"/>
        </w:trPr>
        <w:tc>
          <w:tcPr>
            <w:tcW w:w="4986" w:type="pct"/>
            <w:gridSpan w:val="12"/>
            <w:tcBorders>
              <w:top w:val="nil"/>
              <w:left w:val="nil"/>
              <w:bottom w:val="nil"/>
              <w:right w:val="nil"/>
            </w:tcBorders>
            <w:shd w:val="clear" w:color="000000" w:fill="FFFFFF"/>
            <w:noWrap/>
            <w:vAlign w:val="center"/>
            <w:hideMark/>
          </w:tcPr>
          <w:p w14:paraId="0EC4EBEB" w14:textId="77777777" w:rsidR="00247CBF" w:rsidRPr="00092ED7" w:rsidRDefault="00247CBF" w:rsidP="00247CBF">
            <w:pPr>
              <w:spacing w:after="0" w:line="230" w:lineRule="auto"/>
              <w:jc w:val="left"/>
              <w:rPr>
                <w:rFonts w:eastAsia="Times New Roman" w:cs="Times New Roman"/>
                <w:sz w:val="16"/>
                <w:szCs w:val="20"/>
                <w:lang w:val="sr-Cyrl-CS" w:eastAsia="sr-Cyrl-RS"/>
              </w:rPr>
            </w:pPr>
            <w:r w:rsidRPr="00092ED7">
              <w:rPr>
                <w:rFonts w:eastAsia="Times New Roman" w:cs="Times New Roman"/>
                <w:sz w:val="16"/>
                <w:szCs w:val="20"/>
                <w:lang w:val="sr-Cyrl-CS" w:eastAsia="sr-Cyrl-RS"/>
              </w:rPr>
              <w:t>[2]   Примарни резултат се израчунава као (EDP.B9, ставка 8) плус (EDP D41 + FISIM приказан као међуфазна потрошња, ставка 9).</w:t>
            </w:r>
          </w:p>
        </w:tc>
      </w:tr>
      <w:tr w:rsidR="00247CBF" w:rsidRPr="00092ED7" w14:paraId="3850201F" w14:textId="77777777" w:rsidTr="00247CBF">
        <w:trPr>
          <w:gridAfter w:val="1"/>
          <w:wAfter w:w="14" w:type="pct"/>
          <w:trHeight w:val="227"/>
        </w:trPr>
        <w:tc>
          <w:tcPr>
            <w:tcW w:w="4986" w:type="pct"/>
            <w:gridSpan w:val="12"/>
            <w:tcBorders>
              <w:top w:val="nil"/>
              <w:left w:val="nil"/>
              <w:bottom w:val="nil"/>
              <w:right w:val="nil"/>
            </w:tcBorders>
            <w:shd w:val="clear" w:color="000000" w:fill="FFFFFF"/>
            <w:noWrap/>
            <w:vAlign w:val="center"/>
            <w:hideMark/>
          </w:tcPr>
          <w:p w14:paraId="6963E4DF" w14:textId="77777777" w:rsidR="00247CBF" w:rsidRPr="00092ED7" w:rsidRDefault="00247CBF" w:rsidP="00247CBF">
            <w:pPr>
              <w:spacing w:after="0" w:line="230" w:lineRule="auto"/>
              <w:jc w:val="left"/>
              <w:rPr>
                <w:rFonts w:eastAsia="Times New Roman" w:cs="Times New Roman"/>
                <w:sz w:val="16"/>
                <w:szCs w:val="20"/>
                <w:lang w:val="sr-Cyrl-CS" w:eastAsia="sr-Cyrl-RS"/>
              </w:rPr>
            </w:pPr>
            <w:r w:rsidRPr="00092ED7">
              <w:rPr>
                <w:rFonts w:eastAsia="Times New Roman" w:cs="Times New Roman"/>
                <w:sz w:val="16"/>
                <w:szCs w:val="20"/>
                <w:lang w:val="sr-Cyrl-CS" w:eastAsia="sr-Cyrl-RS"/>
              </w:rPr>
              <w:t>[3]   Позитиван знак значи једнократне мере за смањење дефицита.</w:t>
            </w:r>
          </w:p>
        </w:tc>
      </w:tr>
      <w:tr w:rsidR="00247CBF" w:rsidRPr="00092ED7" w14:paraId="4465216F" w14:textId="77777777" w:rsidTr="00247CBF">
        <w:trPr>
          <w:gridAfter w:val="1"/>
          <w:wAfter w:w="14" w:type="pct"/>
          <w:trHeight w:val="227"/>
        </w:trPr>
        <w:tc>
          <w:tcPr>
            <w:tcW w:w="4986" w:type="pct"/>
            <w:gridSpan w:val="12"/>
            <w:tcBorders>
              <w:top w:val="nil"/>
              <w:left w:val="nil"/>
              <w:bottom w:val="nil"/>
              <w:right w:val="nil"/>
            </w:tcBorders>
            <w:shd w:val="clear" w:color="000000" w:fill="FFFFFF"/>
            <w:noWrap/>
            <w:vAlign w:val="center"/>
            <w:hideMark/>
          </w:tcPr>
          <w:p w14:paraId="74ED0852" w14:textId="77777777" w:rsidR="00247CBF" w:rsidRPr="00092ED7" w:rsidRDefault="00247CBF" w:rsidP="00247CBF">
            <w:pPr>
              <w:spacing w:after="0" w:line="230" w:lineRule="auto"/>
              <w:jc w:val="left"/>
              <w:rPr>
                <w:rFonts w:eastAsia="Times New Roman" w:cs="Times New Roman"/>
                <w:sz w:val="16"/>
                <w:szCs w:val="20"/>
                <w:lang w:val="sr-Cyrl-CS" w:eastAsia="sr-Cyrl-RS"/>
              </w:rPr>
            </w:pPr>
            <w:r w:rsidRPr="00092ED7">
              <w:rPr>
                <w:rFonts w:eastAsia="Times New Roman" w:cs="Times New Roman"/>
                <w:sz w:val="16"/>
                <w:szCs w:val="20"/>
                <w:lang w:val="sr-Cyrl-CS" w:eastAsia="sr-Cyrl-RS"/>
              </w:rPr>
              <w:t>[4]   P.11+P.12+P.131+D.39+D.7+D.9 (осим D.91).</w:t>
            </w:r>
          </w:p>
        </w:tc>
      </w:tr>
      <w:tr w:rsidR="00247CBF" w:rsidRPr="00092ED7" w14:paraId="4EEFA935" w14:textId="77777777" w:rsidTr="00247CBF">
        <w:trPr>
          <w:gridAfter w:val="1"/>
          <w:wAfter w:w="14" w:type="pct"/>
          <w:trHeight w:val="227"/>
        </w:trPr>
        <w:tc>
          <w:tcPr>
            <w:tcW w:w="4986" w:type="pct"/>
            <w:gridSpan w:val="12"/>
            <w:tcBorders>
              <w:top w:val="nil"/>
              <w:left w:val="nil"/>
              <w:bottom w:val="nil"/>
              <w:right w:val="nil"/>
            </w:tcBorders>
            <w:shd w:val="clear" w:color="000000" w:fill="FFFFFF"/>
            <w:noWrap/>
            <w:vAlign w:val="center"/>
            <w:hideMark/>
          </w:tcPr>
          <w:p w14:paraId="76C06BAC" w14:textId="77777777" w:rsidR="00247CBF" w:rsidRPr="00092ED7" w:rsidRDefault="00247CBF" w:rsidP="00247CBF">
            <w:pPr>
              <w:spacing w:after="0" w:line="230" w:lineRule="auto"/>
              <w:jc w:val="left"/>
              <w:rPr>
                <w:rFonts w:eastAsia="Times New Roman" w:cs="Times New Roman"/>
                <w:sz w:val="16"/>
                <w:szCs w:val="20"/>
                <w:lang w:val="sr-Cyrl-CS" w:eastAsia="sr-Cyrl-RS"/>
              </w:rPr>
            </w:pPr>
            <w:r w:rsidRPr="00092ED7">
              <w:rPr>
                <w:rFonts w:eastAsia="Times New Roman" w:cs="Times New Roman"/>
                <w:sz w:val="16"/>
                <w:szCs w:val="20"/>
                <w:lang w:val="sr-Cyrl-CS" w:eastAsia="sr-Cyrl-RS"/>
              </w:rPr>
              <w:t>[5]   Укључујући оне које наплаћује ЕУ и укључујући корекцију за ненаплаћене порезе и доприносе за социјално осигурање (D995), где је то случај.</w:t>
            </w:r>
          </w:p>
        </w:tc>
      </w:tr>
      <w:tr w:rsidR="00247CBF" w:rsidRPr="00092ED7" w14:paraId="0A93C4AB" w14:textId="77777777" w:rsidTr="00247CBF">
        <w:trPr>
          <w:gridAfter w:val="1"/>
          <w:wAfter w:w="14" w:type="pct"/>
          <w:trHeight w:val="227"/>
        </w:trPr>
        <w:tc>
          <w:tcPr>
            <w:tcW w:w="4986" w:type="pct"/>
            <w:gridSpan w:val="12"/>
            <w:tcBorders>
              <w:top w:val="nil"/>
              <w:left w:val="nil"/>
              <w:bottom w:val="nil"/>
              <w:right w:val="nil"/>
            </w:tcBorders>
            <w:shd w:val="clear" w:color="000000" w:fill="FFFFFF"/>
            <w:noWrap/>
            <w:vAlign w:val="center"/>
            <w:hideMark/>
          </w:tcPr>
          <w:p w14:paraId="5B3B3CAE" w14:textId="77777777" w:rsidR="00247CBF" w:rsidRPr="00092ED7" w:rsidRDefault="00247CBF" w:rsidP="00247CBF">
            <w:pPr>
              <w:spacing w:after="0" w:line="230" w:lineRule="auto"/>
              <w:jc w:val="left"/>
              <w:rPr>
                <w:rFonts w:eastAsia="Times New Roman" w:cs="Times New Roman"/>
                <w:sz w:val="16"/>
                <w:szCs w:val="20"/>
                <w:lang w:val="sr-Cyrl-CS" w:eastAsia="sr-Cyrl-RS"/>
              </w:rPr>
            </w:pPr>
            <w:r w:rsidRPr="00092ED7">
              <w:rPr>
                <w:rFonts w:eastAsia="Times New Roman" w:cs="Times New Roman"/>
                <w:sz w:val="16"/>
                <w:szCs w:val="20"/>
                <w:lang w:val="sr-Cyrl-CS" w:eastAsia="sr-Cyrl-RS"/>
              </w:rPr>
              <w:t>[6]  D.29+D4 (осим D.41)+ D.5+D.7+D.9+P.52+P.53+K.2+D.8</w:t>
            </w:r>
          </w:p>
        </w:tc>
      </w:tr>
    </w:tbl>
    <w:p w14:paraId="61EC8559" w14:textId="77777777" w:rsidR="00247CBF" w:rsidRPr="00092ED7" w:rsidRDefault="00247CBF" w:rsidP="00247CBF">
      <w:pPr>
        <w:spacing w:after="0" w:line="259" w:lineRule="auto"/>
        <w:rPr>
          <w:rFonts w:cs="Times New Roman"/>
          <w:b/>
          <w:sz w:val="20"/>
          <w:szCs w:val="20"/>
          <w:lang w:val="sr-Cyrl-CS"/>
        </w:rPr>
      </w:pPr>
    </w:p>
    <w:p w14:paraId="49C48E22" w14:textId="77777777" w:rsidR="00247CBF" w:rsidRPr="00092ED7" w:rsidRDefault="00247CBF" w:rsidP="00247CBF">
      <w:pPr>
        <w:pStyle w:val="Heading3"/>
        <w:rPr>
          <w:rFonts w:ascii="Times New Roman" w:hAnsi="Times New Roman" w:cs="Times New Roman"/>
          <w:b/>
          <w:color w:val="auto"/>
          <w:sz w:val="20"/>
          <w:szCs w:val="20"/>
          <w:lang w:val="sr-Cyrl-CS"/>
        </w:rPr>
      </w:pPr>
      <w:bookmarkStart w:id="95" w:name="_Toc124174829"/>
      <w:r w:rsidRPr="00092ED7">
        <w:rPr>
          <w:rFonts w:ascii="Times New Roman" w:hAnsi="Times New Roman" w:cs="Times New Roman"/>
          <w:b/>
          <w:color w:val="auto"/>
          <w:sz w:val="20"/>
          <w:szCs w:val="20"/>
          <w:lang w:val="sr-Cyrl-CS"/>
        </w:rPr>
        <w:t>Tабела 2c: Дискреционе мере усвојене/најављене у складу са Програмом</w:t>
      </w:r>
      <w:bookmarkEnd w:id="95"/>
    </w:p>
    <w:tbl>
      <w:tblPr>
        <w:tblW w:w="14737" w:type="dxa"/>
        <w:tblInd w:w="-23" w:type="dxa"/>
        <w:tblLayout w:type="fixed"/>
        <w:tblLook w:val="04A0" w:firstRow="1" w:lastRow="0" w:firstColumn="1" w:lastColumn="0" w:noHBand="0" w:noVBand="1"/>
      </w:tblPr>
      <w:tblGrid>
        <w:gridCol w:w="23"/>
        <w:gridCol w:w="5101"/>
        <w:gridCol w:w="1397"/>
        <w:gridCol w:w="2693"/>
        <w:gridCol w:w="920"/>
        <w:gridCol w:w="921"/>
        <w:gridCol w:w="920"/>
        <w:gridCol w:w="921"/>
        <w:gridCol w:w="920"/>
        <w:gridCol w:w="785"/>
        <w:gridCol w:w="136"/>
      </w:tblGrid>
      <w:tr w:rsidR="00247CBF" w:rsidRPr="00092ED7" w14:paraId="48AC2FF2" w14:textId="77777777" w:rsidTr="00247CBF">
        <w:trPr>
          <w:gridBefore w:val="1"/>
          <w:wBefore w:w="23" w:type="dxa"/>
          <w:trHeight w:val="227"/>
        </w:trPr>
        <w:tc>
          <w:tcPr>
            <w:tcW w:w="5101" w:type="dxa"/>
            <w:vMerge w:val="restart"/>
            <w:tcBorders>
              <w:top w:val="double" w:sz="6" w:space="0" w:color="auto"/>
              <w:left w:val="double" w:sz="6" w:space="0" w:color="auto"/>
              <w:right w:val="single" w:sz="4" w:space="0" w:color="auto"/>
            </w:tcBorders>
            <w:shd w:val="clear" w:color="auto" w:fill="auto"/>
            <w:noWrap/>
            <w:vAlign w:val="center"/>
          </w:tcPr>
          <w:p w14:paraId="148D9049" w14:textId="77777777" w:rsidR="00247CBF" w:rsidRPr="00092ED7" w:rsidRDefault="00247CBF" w:rsidP="00247CBF">
            <w:pPr>
              <w:spacing w:after="0" w:line="233" w:lineRule="auto"/>
              <w:rPr>
                <w:rFonts w:cs="Times New Roman"/>
                <w:sz w:val="20"/>
                <w:szCs w:val="20"/>
                <w:lang w:val="sr-Cyrl-CS"/>
              </w:rPr>
            </w:pPr>
            <w:r w:rsidRPr="00092ED7">
              <w:rPr>
                <w:rFonts w:cs="Times New Roman"/>
                <w:sz w:val="20"/>
                <w:szCs w:val="20"/>
                <w:lang w:val="sr-Cyrl-CS"/>
              </w:rPr>
              <w:t>Мере</w:t>
            </w:r>
          </w:p>
        </w:tc>
        <w:tc>
          <w:tcPr>
            <w:tcW w:w="1397" w:type="dxa"/>
            <w:vMerge w:val="restart"/>
            <w:tcBorders>
              <w:top w:val="double" w:sz="6" w:space="0" w:color="auto"/>
              <w:left w:val="single" w:sz="4" w:space="0" w:color="auto"/>
              <w:right w:val="single" w:sz="4" w:space="0" w:color="auto"/>
            </w:tcBorders>
            <w:shd w:val="clear" w:color="auto" w:fill="auto"/>
            <w:noWrap/>
            <w:vAlign w:val="center"/>
            <w:hideMark/>
          </w:tcPr>
          <w:p w14:paraId="15E50382" w14:textId="77777777" w:rsidR="00247CBF" w:rsidRPr="00092ED7" w:rsidRDefault="00247CBF" w:rsidP="00247CBF">
            <w:pPr>
              <w:spacing w:after="0" w:line="233" w:lineRule="auto"/>
              <w:jc w:val="center"/>
              <w:rPr>
                <w:rFonts w:cs="Times New Roman"/>
                <w:sz w:val="20"/>
                <w:szCs w:val="20"/>
                <w:lang w:val="sr-Cyrl-CS"/>
              </w:rPr>
            </w:pPr>
            <w:r w:rsidRPr="00092ED7">
              <w:rPr>
                <w:rFonts w:cs="Times New Roman"/>
                <w:sz w:val="20"/>
                <w:szCs w:val="20"/>
                <w:lang w:val="sr-Cyrl-CS"/>
              </w:rPr>
              <w:t>ESA шифра (расходна / приходна компонента)</w:t>
            </w:r>
          </w:p>
        </w:tc>
        <w:tc>
          <w:tcPr>
            <w:tcW w:w="2693" w:type="dxa"/>
            <w:vMerge w:val="restart"/>
            <w:tcBorders>
              <w:top w:val="double" w:sz="6" w:space="0" w:color="auto"/>
              <w:left w:val="single" w:sz="4" w:space="0" w:color="auto"/>
              <w:bottom w:val="single" w:sz="8" w:space="0" w:color="auto"/>
              <w:right w:val="single" w:sz="4" w:space="0" w:color="auto"/>
            </w:tcBorders>
            <w:shd w:val="clear" w:color="auto" w:fill="auto"/>
            <w:noWrap/>
            <w:vAlign w:val="center"/>
            <w:hideMark/>
          </w:tcPr>
          <w:p w14:paraId="0DC4548B" w14:textId="77777777" w:rsidR="00247CBF" w:rsidRPr="00092ED7" w:rsidRDefault="00247CBF" w:rsidP="00247CBF">
            <w:pPr>
              <w:spacing w:after="0" w:line="233" w:lineRule="auto"/>
              <w:jc w:val="center"/>
              <w:rPr>
                <w:rFonts w:cs="Times New Roman"/>
                <w:sz w:val="20"/>
                <w:szCs w:val="20"/>
                <w:lang w:val="sr-Cyrl-CS"/>
              </w:rPr>
            </w:pPr>
            <w:r w:rsidRPr="00092ED7">
              <w:rPr>
                <w:rFonts w:cs="Times New Roman"/>
                <w:sz w:val="20"/>
                <w:szCs w:val="20"/>
                <w:lang w:val="sr-Cyrl-CS"/>
              </w:rPr>
              <w:t>Датум усвајања</w:t>
            </w:r>
          </w:p>
        </w:tc>
        <w:tc>
          <w:tcPr>
            <w:tcW w:w="920" w:type="dxa"/>
            <w:tcBorders>
              <w:top w:val="double" w:sz="6" w:space="0" w:color="auto"/>
              <w:left w:val="single" w:sz="4" w:space="0" w:color="auto"/>
              <w:bottom w:val="single" w:sz="4" w:space="0" w:color="auto"/>
              <w:right w:val="single" w:sz="4" w:space="0" w:color="auto"/>
            </w:tcBorders>
            <w:shd w:val="clear" w:color="auto" w:fill="auto"/>
            <w:noWrap/>
            <w:vAlign w:val="center"/>
            <w:hideMark/>
          </w:tcPr>
          <w:p w14:paraId="3FEC0275" w14:textId="77777777" w:rsidR="00247CBF" w:rsidRPr="00092ED7" w:rsidRDefault="00247CBF" w:rsidP="00247CBF">
            <w:pPr>
              <w:spacing w:after="0" w:line="233" w:lineRule="auto"/>
              <w:jc w:val="center"/>
              <w:rPr>
                <w:b/>
                <w:bCs/>
                <w:sz w:val="20"/>
                <w:szCs w:val="20"/>
                <w:lang w:val="sr-Cyrl-CS"/>
              </w:rPr>
            </w:pPr>
            <w:r w:rsidRPr="00092ED7">
              <w:rPr>
                <w:b/>
                <w:bCs/>
                <w:sz w:val="20"/>
                <w:szCs w:val="20"/>
                <w:lang w:val="sr-Cyrl-CS"/>
              </w:rPr>
              <w:t>2020</w:t>
            </w:r>
          </w:p>
        </w:tc>
        <w:tc>
          <w:tcPr>
            <w:tcW w:w="921" w:type="dxa"/>
            <w:tcBorders>
              <w:top w:val="double" w:sz="6" w:space="0" w:color="auto"/>
              <w:left w:val="single" w:sz="4" w:space="0" w:color="auto"/>
              <w:bottom w:val="single" w:sz="4" w:space="0" w:color="auto"/>
              <w:right w:val="single" w:sz="4" w:space="0" w:color="auto"/>
            </w:tcBorders>
            <w:shd w:val="clear" w:color="auto" w:fill="auto"/>
            <w:noWrap/>
            <w:vAlign w:val="center"/>
            <w:hideMark/>
          </w:tcPr>
          <w:p w14:paraId="5C27118D" w14:textId="77777777" w:rsidR="00247CBF" w:rsidRPr="00092ED7" w:rsidRDefault="00247CBF" w:rsidP="00247CBF">
            <w:pPr>
              <w:spacing w:after="0" w:line="233" w:lineRule="auto"/>
              <w:jc w:val="center"/>
              <w:rPr>
                <w:b/>
                <w:bCs/>
                <w:sz w:val="20"/>
                <w:szCs w:val="20"/>
                <w:lang w:val="sr-Cyrl-CS"/>
              </w:rPr>
            </w:pPr>
            <w:r w:rsidRPr="00092ED7">
              <w:rPr>
                <w:b/>
                <w:bCs/>
                <w:sz w:val="20"/>
                <w:szCs w:val="20"/>
                <w:lang w:val="sr-Cyrl-CS"/>
              </w:rPr>
              <w:t>2021</w:t>
            </w:r>
          </w:p>
        </w:tc>
        <w:tc>
          <w:tcPr>
            <w:tcW w:w="920" w:type="dxa"/>
            <w:tcBorders>
              <w:top w:val="double" w:sz="6" w:space="0" w:color="auto"/>
              <w:left w:val="single" w:sz="4" w:space="0" w:color="auto"/>
              <w:bottom w:val="single" w:sz="4" w:space="0" w:color="auto"/>
              <w:right w:val="single" w:sz="4" w:space="0" w:color="auto"/>
            </w:tcBorders>
            <w:shd w:val="clear" w:color="auto" w:fill="auto"/>
            <w:noWrap/>
            <w:vAlign w:val="center"/>
            <w:hideMark/>
          </w:tcPr>
          <w:p w14:paraId="61D94043" w14:textId="77777777" w:rsidR="00247CBF" w:rsidRPr="00092ED7" w:rsidRDefault="00247CBF" w:rsidP="00247CBF">
            <w:pPr>
              <w:spacing w:after="0" w:line="233" w:lineRule="auto"/>
              <w:jc w:val="center"/>
              <w:rPr>
                <w:b/>
                <w:bCs/>
                <w:sz w:val="20"/>
                <w:szCs w:val="20"/>
                <w:lang w:val="sr-Cyrl-CS"/>
              </w:rPr>
            </w:pPr>
            <w:r w:rsidRPr="00092ED7">
              <w:rPr>
                <w:b/>
                <w:bCs/>
                <w:sz w:val="20"/>
                <w:szCs w:val="20"/>
                <w:lang w:val="sr-Cyrl-CS"/>
              </w:rPr>
              <w:t>2022</w:t>
            </w:r>
          </w:p>
        </w:tc>
        <w:tc>
          <w:tcPr>
            <w:tcW w:w="921" w:type="dxa"/>
            <w:tcBorders>
              <w:top w:val="double" w:sz="6" w:space="0" w:color="auto"/>
              <w:left w:val="single" w:sz="4" w:space="0" w:color="auto"/>
              <w:bottom w:val="single" w:sz="4" w:space="0" w:color="auto"/>
              <w:right w:val="single" w:sz="4" w:space="0" w:color="auto"/>
            </w:tcBorders>
            <w:shd w:val="clear" w:color="auto" w:fill="auto"/>
            <w:noWrap/>
            <w:vAlign w:val="center"/>
            <w:hideMark/>
          </w:tcPr>
          <w:p w14:paraId="668335B6" w14:textId="77777777" w:rsidR="00247CBF" w:rsidRPr="00092ED7" w:rsidRDefault="00247CBF" w:rsidP="00247CBF">
            <w:pPr>
              <w:spacing w:after="0" w:line="233" w:lineRule="auto"/>
              <w:jc w:val="center"/>
              <w:rPr>
                <w:b/>
                <w:bCs/>
                <w:sz w:val="20"/>
                <w:szCs w:val="20"/>
                <w:lang w:val="sr-Cyrl-CS"/>
              </w:rPr>
            </w:pPr>
            <w:r w:rsidRPr="00092ED7">
              <w:rPr>
                <w:b/>
                <w:bCs/>
                <w:sz w:val="20"/>
                <w:szCs w:val="20"/>
                <w:lang w:val="sr-Cyrl-CS"/>
              </w:rPr>
              <w:t>2023</w:t>
            </w:r>
          </w:p>
        </w:tc>
        <w:tc>
          <w:tcPr>
            <w:tcW w:w="920" w:type="dxa"/>
            <w:tcBorders>
              <w:top w:val="double" w:sz="6" w:space="0" w:color="auto"/>
              <w:left w:val="single" w:sz="4" w:space="0" w:color="auto"/>
              <w:bottom w:val="single" w:sz="4" w:space="0" w:color="auto"/>
              <w:right w:val="single" w:sz="4" w:space="0" w:color="auto"/>
            </w:tcBorders>
            <w:vAlign w:val="center"/>
          </w:tcPr>
          <w:p w14:paraId="52B06C1F" w14:textId="77777777" w:rsidR="00247CBF" w:rsidRPr="00092ED7" w:rsidRDefault="00247CBF" w:rsidP="00247CBF">
            <w:pPr>
              <w:spacing w:after="0" w:line="233" w:lineRule="auto"/>
              <w:jc w:val="center"/>
              <w:rPr>
                <w:b/>
                <w:bCs/>
                <w:sz w:val="20"/>
                <w:szCs w:val="20"/>
                <w:lang w:val="sr-Cyrl-CS"/>
              </w:rPr>
            </w:pPr>
            <w:r w:rsidRPr="00092ED7">
              <w:rPr>
                <w:b/>
                <w:bCs/>
                <w:sz w:val="20"/>
                <w:szCs w:val="20"/>
                <w:lang w:val="sr-Cyrl-CS"/>
              </w:rPr>
              <w:t>2024</w:t>
            </w:r>
          </w:p>
        </w:tc>
        <w:tc>
          <w:tcPr>
            <w:tcW w:w="921" w:type="dxa"/>
            <w:gridSpan w:val="2"/>
            <w:tcBorders>
              <w:top w:val="double" w:sz="6" w:space="0" w:color="auto"/>
              <w:left w:val="single" w:sz="4" w:space="0" w:color="auto"/>
              <w:bottom w:val="single" w:sz="4" w:space="0" w:color="auto"/>
              <w:right w:val="double" w:sz="6" w:space="0" w:color="auto"/>
            </w:tcBorders>
            <w:shd w:val="clear" w:color="auto" w:fill="auto"/>
            <w:noWrap/>
            <w:vAlign w:val="center"/>
            <w:hideMark/>
          </w:tcPr>
          <w:p w14:paraId="5530B568" w14:textId="77777777" w:rsidR="00247CBF" w:rsidRPr="00092ED7" w:rsidRDefault="00247CBF" w:rsidP="00247CBF">
            <w:pPr>
              <w:spacing w:after="0" w:line="233" w:lineRule="auto"/>
              <w:jc w:val="center"/>
              <w:rPr>
                <w:b/>
                <w:bCs/>
                <w:sz w:val="20"/>
                <w:szCs w:val="20"/>
                <w:lang w:val="sr-Cyrl-CS"/>
              </w:rPr>
            </w:pPr>
            <w:r w:rsidRPr="00092ED7">
              <w:rPr>
                <w:b/>
                <w:bCs/>
                <w:sz w:val="20"/>
                <w:szCs w:val="20"/>
                <w:lang w:val="sr-Cyrl-CS"/>
              </w:rPr>
              <w:t>2025</w:t>
            </w:r>
          </w:p>
        </w:tc>
      </w:tr>
      <w:tr w:rsidR="00247CBF" w:rsidRPr="00092ED7" w14:paraId="77F3620B" w14:textId="77777777" w:rsidTr="00247CBF">
        <w:trPr>
          <w:gridBefore w:val="1"/>
          <w:wBefore w:w="23" w:type="dxa"/>
          <w:trHeight w:val="227"/>
        </w:trPr>
        <w:tc>
          <w:tcPr>
            <w:tcW w:w="5101" w:type="dxa"/>
            <w:vMerge/>
            <w:tcBorders>
              <w:left w:val="double" w:sz="6" w:space="0" w:color="auto"/>
              <w:bottom w:val="nil"/>
              <w:right w:val="single" w:sz="4" w:space="0" w:color="auto"/>
            </w:tcBorders>
            <w:shd w:val="clear" w:color="auto" w:fill="auto"/>
            <w:vAlign w:val="center"/>
            <w:hideMark/>
          </w:tcPr>
          <w:p w14:paraId="10B8369A" w14:textId="77777777" w:rsidR="00247CBF" w:rsidRPr="00092ED7" w:rsidRDefault="00247CBF" w:rsidP="00247CBF">
            <w:pPr>
              <w:spacing w:after="0" w:line="233" w:lineRule="auto"/>
              <w:rPr>
                <w:rFonts w:cs="Times New Roman"/>
                <w:sz w:val="20"/>
                <w:szCs w:val="20"/>
                <w:lang w:val="sr-Cyrl-CS"/>
              </w:rPr>
            </w:pPr>
          </w:p>
        </w:tc>
        <w:tc>
          <w:tcPr>
            <w:tcW w:w="1397" w:type="dxa"/>
            <w:vMerge/>
            <w:tcBorders>
              <w:left w:val="single" w:sz="4" w:space="0" w:color="auto"/>
              <w:bottom w:val="nil"/>
              <w:right w:val="single" w:sz="4" w:space="0" w:color="auto"/>
            </w:tcBorders>
            <w:shd w:val="clear" w:color="auto" w:fill="auto"/>
            <w:vAlign w:val="center"/>
            <w:hideMark/>
          </w:tcPr>
          <w:p w14:paraId="061363B4" w14:textId="77777777" w:rsidR="00247CBF" w:rsidRPr="00092ED7" w:rsidRDefault="00247CBF" w:rsidP="00247CBF">
            <w:pPr>
              <w:spacing w:after="0" w:line="233" w:lineRule="auto"/>
              <w:rPr>
                <w:rFonts w:cs="Times New Roman"/>
                <w:sz w:val="20"/>
                <w:szCs w:val="20"/>
                <w:lang w:val="sr-Cyrl-CS"/>
              </w:rPr>
            </w:pPr>
          </w:p>
        </w:tc>
        <w:tc>
          <w:tcPr>
            <w:tcW w:w="2693" w:type="dxa"/>
            <w:vMerge/>
            <w:tcBorders>
              <w:left w:val="single" w:sz="4" w:space="0" w:color="auto"/>
              <w:bottom w:val="single" w:sz="8" w:space="0" w:color="auto"/>
              <w:right w:val="single" w:sz="4" w:space="0" w:color="auto"/>
            </w:tcBorders>
            <w:shd w:val="clear" w:color="auto" w:fill="auto"/>
            <w:vAlign w:val="center"/>
            <w:hideMark/>
          </w:tcPr>
          <w:p w14:paraId="30E494E2" w14:textId="77777777" w:rsidR="00247CBF" w:rsidRPr="00092ED7" w:rsidRDefault="00247CBF" w:rsidP="00247CBF">
            <w:pPr>
              <w:spacing w:after="0" w:line="233" w:lineRule="auto"/>
              <w:rPr>
                <w:rFonts w:cs="Times New Roman"/>
                <w:sz w:val="20"/>
                <w:szCs w:val="20"/>
                <w:lang w:val="sr-Cyrl-CS"/>
              </w:rPr>
            </w:pPr>
          </w:p>
        </w:tc>
        <w:tc>
          <w:tcPr>
            <w:tcW w:w="5523" w:type="dxa"/>
            <w:gridSpan w:val="7"/>
            <w:tcBorders>
              <w:left w:val="single" w:sz="4" w:space="0" w:color="auto"/>
              <w:bottom w:val="single" w:sz="8" w:space="0" w:color="auto"/>
              <w:right w:val="double" w:sz="6" w:space="0" w:color="000000"/>
            </w:tcBorders>
            <w:vAlign w:val="center"/>
          </w:tcPr>
          <w:p w14:paraId="4C30672F" w14:textId="77777777" w:rsidR="00247CBF" w:rsidRPr="00092ED7" w:rsidRDefault="00247CBF" w:rsidP="00247CBF">
            <w:pPr>
              <w:spacing w:after="0" w:line="233" w:lineRule="auto"/>
              <w:jc w:val="center"/>
              <w:rPr>
                <w:rFonts w:cs="Times New Roman"/>
                <w:sz w:val="20"/>
                <w:szCs w:val="20"/>
                <w:lang w:val="sr-Cyrl-CS"/>
              </w:rPr>
            </w:pPr>
            <w:r w:rsidRPr="00092ED7">
              <w:rPr>
                <w:rFonts w:cs="Times New Roman"/>
                <w:sz w:val="20"/>
                <w:szCs w:val="20"/>
                <w:lang w:val="sr-Cyrl-CS"/>
              </w:rPr>
              <w:t>Ефекат на буџет (млрд РСД)</w:t>
            </w:r>
          </w:p>
        </w:tc>
      </w:tr>
      <w:tr w:rsidR="00247CBF" w:rsidRPr="00092ED7" w14:paraId="4BC4534D" w14:textId="77777777" w:rsidTr="00247CBF">
        <w:trPr>
          <w:gridBefore w:val="1"/>
          <w:wBefore w:w="23" w:type="dxa"/>
          <w:trHeight w:val="227"/>
        </w:trPr>
        <w:tc>
          <w:tcPr>
            <w:tcW w:w="5101" w:type="dxa"/>
            <w:tcBorders>
              <w:top w:val="single" w:sz="8" w:space="0" w:color="auto"/>
              <w:left w:val="double" w:sz="6" w:space="0" w:color="auto"/>
              <w:bottom w:val="single" w:sz="4" w:space="0" w:color="auto"/>
              <w:right w:val="single" w:sz="4" w:space="0" w:color="auto"/>
            </w:tcBorders>
            <w:shd w:val="clear" w:color="auto" w:fill="auto"/>
            <w:vAlign w:val="center"/>
            <w:hideMark/>
          </w:tcPr>
          <w:p w14:paraId="4F053662" w14:textId="77777777" w:rsidR="00247CBF" w:rsidRPr="00092ED7" w:rsidRDefault="00247CBF" w:rsidP="00247CBF">
            <w:pPr>
              <w:spacing w:after="0" w:line="233" w:lineRule="auto"/>
              <w:rPr>
                <w:rFonts w:cs="Times New Roman"/>
                <w:sz w:val="20"/>
                <w:szCs w:val="20"/>
                <w:lang w:val="sr-Cyrl-CS"/>
              </w:rPr>
            </w:pPr>
            <w:r w:rsidRPr="00092ED7">
              <w:rPr>
                <w:rFonts w:cs="Times New Roman"/>
                <w:i/>
                <w:iCs/>
                <w:sz w:val="20"/>
                <w:szCs w:val="20"/>
                <w:lang w:val="sr-Cyrl-CS"/>
              </w:rPr>
              <w:t xml:space="preserve">Привремене мере </w:t>
            </w:r>
            <w:r w:rsidRPr="00092ED7">
              <w:rPr>
                <w:rFonts w:cs="Times New Roman"/>
                <w:sz w:val="20"/>
                <w:szCs w:val="20"/>
                <w:vertAlign w:val="superscript"/>
                <w:lang w:val="sr-Cyrl-CS"/>
              </w:rPr>
              <w:t>1</w:t>
            </w:r>
          </w:p>
        </w:tc>
        <w:tc>
          <w:tcPr>
            <w:tcW w:w="1397" w:type="dxa"/>
            <w:tcBorders>
              <w:top w:val="single" w:sz="8" w:space="0" w:color="auto"/>
              <w:left w:val="nil"/>
              <w:bottom w:val="single" w:sz="4" w:space="0" w:color="auto"/>
              <w:right w:val="single" w:sz="4" w:space="0" w:color="auto"/>
            </w:tcBorders>
            <w:shd w:val="clear" w:color="auto" w:fill="auto"/>
            <w:noWrap/>
            <w:vAlign w:val="center"/>
          </w:tcPr>
          <w:p w14:paraId="16042725" w14:textId="77777777" w:rsidR="00247CBF" w:rsidRPr="00092ED7" w:rsidRDefault="00247CBF" w:rsidP="00247CBF">
            <w:pPr>
              <w:spacing w:after="0" w:line="233" w:lineRule="auto"/>
              <w:rPr>
                <w:rFonts w:cs="Times New Roman"/>
                <w:sz w:val="20"/>
                <w:szCs w:val="20"/>
                <w:lang w:val="sr-Cyrl-CS"/>
              </w:rPr>
            </w:pPr>
          </w:p>
        </w:tc>
        <w:tc>
          <w:tcPr>
            <w:tcW w:w="2693" w:type="dxa"/>
            <w:tcBorders>
              <w:top w:val="single" w:sz="8" w:space="0" w:color="auto"/>
              <w:left w:val="nil"/>
              <w:bottom w:val="single" w:sz="4" w:space="0" w:color="auto"/>
              <w:right w:val="single" w:sz="8" w:space="0" w:color="auto"/>
            </w:tcBorders>
            <w:shd w:val="clear" w:color="auto" w:fill="auto"/>
            <w:noWrap/>
            <w:vAlign w:val="center"/>
          </w:tcPr>
          <w:p w14:paraId="385E6C3E" w14:textId="77777777" w:rsidR="00247CBF" w:rsidRPr="00092ED7" w:rsidRDefault="00247CBF" w:rsidP="00247CBF">
            <w:pPr>
              <w:spacing w:after="0" w:line="233" w:lineRule="auto"/>
              <w:rPr>
                <w:rFonts w:cs="Times New Roman"/>
                <w:sz w:val="20"/>
                <w:szCs w:val="20"/>
                <w:lang w:val="sr-Cyrl-CS"/>
              </w:rPr>
            </w:pPr>
          </w:p>
        </w:tc>
        <w:tc>
          <w:tcPr>
            <w:tcW w:w="920" w:type="dxa"/>
            <w:tcBorders>
              <w:top w:val="single" w:sz="8" w:space="0" w:color="auto"/>
              <w:left w:val="nil"/>
              <w:bottom w:val="single" w:sz="4" w:space="0" w:color="auto"/>
              <w:right w:val="single" w:sz="4" w:space="0" w:color="auto"/>
            </w:tcBorders>
            <w:shd w:val="clear" w:color="auto" w:fill="auto"/>
            <w:noWrap/>
            <w:vAlign w:val="center"/>
          </w:tcPr>
          <w:p w14:paraId="196B4A09" w14:textId="77777777" w:rsidR="00247CBF" w:rsidRPr="00092ED7" w:rsidRDefault="00247CBF" w:rsidP="00247CBF">
            <w:pPr>
              <w:spacing w:after="0" w:line="233" w:lineRule="auto"/>
              <w:rPr>
                <w:rFonts w:cs="Times New Roman"/>
                <w:sz w:val="20"/>
                <w:szCs w:val="20"/>
                <w:lang w:val="sr-Cyrl-CS"/>
              </w:rPr>
            </w:pPr>
          </w:p>
        </w:tc>
        <w:tc>
          <w:tcPr>
            <w:tcW w:w="921" w:type="dxa"/>
            <w:tcBorders>
              <w:top w:val="single" w:sz="8" w:space="0" w:color="auto"/>
              <w:left w:val="nil"/>
              <w:bottom w:val="single" w:sz="4" w:space="0" w:color="auto"/>
              <w:right w:val="nil"/>
            </w:tcBorders>
            <w:shd w:val="clear" w:color="auto" w:fill="auto"/>
            <w:noWrap/>
            <w:vAlign w:val="center"/>
          </w:tcPr>
          <w:p w14:paraId="440407FF" w14:textId="77777777" w:rsidR="00247CBF" w:rsidRPr="00092ED7" w:rsidRDefault="00247CBF" w:rsidP="00247CBF">
            <w:pPr>
              <w:spacing w:after="0" w:line="233" w:lineRule="auto"/>
              <w:rPr>
                <w:rFonts w:cs="Times New Roman"/>
                <w:sz w:val="20"/>
                <w:szCs w:val="20"/>
                <w:lang w:val="sr-Cyrl-CS"/>
              </w:rPr>
            </w:pPr>
          </w:p>
        </w:tc>
        <w:tc>
          <w:tcPr>
            <w:tcW w:w="920" w:type="dxa"/>
            <w:tcBorders>
              <w:top w:val="single" w:sz="8" w:space="0" w:color="auto"/>
              <w:left w:val="single" w:sz="4" w:space="0" w:color="auto"/>
              <w:bottom w:val="single" w:sz="4" w:space="0" w:color="auto"/>
              <w:right w:val="nil"/>
            </w:tcBorders>
            <w:shd w:val="clear" w:color="auto" w:fill="auto"/>
            <w:noWrap/>
            <w:vAlign w:val="center"/>
          </w:tcPr>
          <w:p w14:paraId="69B39B79" w14:textId="77777777" w:rsidR="00247CBF" w:rsidRPr="00092ED7" w:rsidRDefault="00247CBF" w:rsidP="00247CBF">
            <w:pPr>
              <w:spacing w:after="0" w:line="233" w:lineRule="auto"/>
              <w:rPr>
                <w:rFonts w:cs="Times New Roman"/>
                <w:sz w:val="20"/>
                <w:szCs w:val="20"/>
                <w:lang w:val="sr-Cyrl-CS"/>
              </w:rPr>
            </w:pPr>
          </w:p>
        </w:tc>
        <w:tc>
          <w:tcPr>
            <w:tcW w:w="921" w:type="dxa"/>
            <w:tcBorders>
              <w:top w:val="single" w:sz="8" w:space="0" w:color="auto"/>
              <w:left w:val="single" w:sz="4" w:space="0" w:color="auto"/>
              <w:bottom w:val="single" w:sz="4" w:space="0" w:color="auto"/>
              <w:right w:val="nil"/>
            </w:tcBorders>
            <w:shd w:val="clear" w:color="auto" w:fill="auto"/>
            <w:noWrap/>
            <w:vAlign w:val="center"/>
          </w:tcPr>
          <w:p w14:paraId="2A6068FE" w14:textId="77777777" w:rsidR="00247CBF" w:rsidRPr="00092ED7" w:rsidRDefault="00247CBF" w:rsidP="00247CBF">
            <w:pPr>
              <w:spacing w:after="0" w:line="233" w:lineRule="auto"/>
              <w:rPr>
                <w:rFonts w:cs="Times New Roman"/>
                <w:sz w:val="20"/>
                <w:szCs w:val="20"/>
                <w:lang w:val="sr-Cyrl-CS"/>
              </w:rPr>
            </w:pPr>
          </w:p>
        </w:tc>
        <w:tc>
          <w:tcPr>
            <w:tcW w:w="920" w:type="dxa"/>
            <w:tcBorders>
              <w:top w:val="single" w:sz="8" w:space="0" w:color="auto"/>
              <w:left w:val="single" w:sz="4" w:space="0" w:color="auto"/>
              <w:bottom w:val="single" w:sz="4" w:space="0" w:color="auto"/>
              <w:right w:val="single" w:sz="4" w:space="0" w:color="auto"/>
            </w:tcBorders>
            <w:vAlign w:val="center"/>
          </w:tcPr>
          <w:p w14:paraId="4FA8B1AA" w14:textId="77777777" w:rsidR="00247CBF" w:rsidRPr="00092ED7" w:rsidRDefault="00247CBF" w:rsidP="00247CBF">
            <w:pPr>
              <w:spacing w:after="0" w:line="233" w:lineRule="auto"/>
              <w:jc w:val="right"/>
              <w:rPr>
                <w:rFonts w:cs="Times New Roman"/>
                <w:sz w:val="20"/>
                <w:szCs w:val="20"/>
                <w:lang w:val="sr-Cyrl-CS"/>
              </w:rPr>
            </w:pPr>
          </w:p>
        </w:tc>
        <w:tc>
          <w:tcPr>
            <w:tcW w:w="921" w:type="dxa"/>
            <w:gridSpan w:val="2"/>
            <w:tcBorders>
              <w:top w:val="single" w:sz="8" w:space="0" w:color="auto"/>
              <w:left w:val="single" w:sz="4" w:space="0" w:color="auto"/>
              <w:bottom w:val="single" w:sz="4" w:space="0" w:color="auto"/>
              <w:right w:val="double" w:sz="6" w:space="0" w:color="auto"/>
            </w:tcBorders>
            <w:shd w:val="clear" w:color="auto" w:fill="auto"/>
            <w:noWrap/>
            <w:vAlign w:val="center"/>
          </w:tcPr>
          <w:p w14:paraId="15B494FC" w14:textId="77777777" w:rsidR="00247CBF" w:rsidRPr="00092ED7" w:rsidRDefault="00247CBF" w:rsidP="00247CBF">
            <w:pPr>
              <w:spacing w:after="0" w:line="233" w:lineRule="auto"/>
              <w:rPr>
                <w:rFonts w:cs="Times New Roman"/>
                <w:sz w:val="20"/>
                <w:szCs w:val="20"/>
                <w:lang w:val="sr-Cyrl-CS"/>
              </w:rPr>
            </w:pPr>
          </w:p>
        </w:tc>
      </w:tr>
      <w:tr w:rsidR="00247CBF" w:rsidRPr="00092ED7" w14:paraId="26B2D84A" w14:textId="77777777" w:rsidTr="00247CBF">
        <w:trPr>
          <w:gridBefore w:val="1"/>
          <w:wBefore w:w="23" w:type="dxa"/>
          <w:trHeight w:val="227"/>
        </w:trPr>
        <w:tc>
          <w:tcPr>
            <w:tcW w:w="5101" w:type="dxa"/>
            <w:tcBorders>
              <w:top w:val="nil"/>
              <w:left w:val="double" w:sz="6" w:space="0" w:color="auto"/>
              <w:bottom w:val="dotted" w:sz="4" w:space="0" w:color="auto"/>
              <w:right w:val="single" w:sz="4" w:space="0" w:color="auto"/>
            </w:tcBorders>
            <w:shd w:val="clear" w:color="auto" w:fill="auto"/>
            <w:vAlign w:val="center"/>
            <w:hideMark/>
          </w:tcPr>
          <w:p w14:paraId="45BC7CF3" w14:textId="77777777" w:rsidR="00247CBF" w:rsidRPr="00092ED7" w:rsidRDefault="00247CBF" w:rsidP="00247CBF">
            <w:pPr>
              <w:spacing w:after="0" w:line="233" w:lineRule="auto"/>
              <w:jc w:val="left"/>
              <w:rPr>
                <w:sz w:val="20"/>
                <w:szCs w:val="20"/>
                <w:lang w:val="sr-Cyrl-CS"/>
              </w:rPr>
            </w:pPr>
            <w:r w:rsidRPr="00092ED7">
              <w:rPr>
                <w:sz w:val="20"/>
                <w:szCs w:val="20"/>
                <w:lang w:val="sr-Cyrl-CS"/>
              </w:rPr>
              <w:t>Одложено плаћање пореза на зараде и доприноса за приватни сектор</w:t>
            </w:r>
          </w:p>
        </w:tc>
        <w:tc>
          <w:tcPr>
            <w:tcW w:w="1397" w:type="dxa"/>
            <w:tcBorders>
              <w:top w:val="nil"/>
              <w:left w:val="nil"/>
              <w:bottom w:val="dotted" w:sz="4" w:space="0" w:color="auto"/>
              <w:right w:val="single" w:sz="4" w:space="0" w:color="auto"/>
            </w:tcBorders>
            <w:shd w:val="clear" w:color="auto" w:fill="auto"/>
            <w:noWrap/>
            <w:vAlign w:val="center"/>
            <w:hideMark/>
          </w:tcPr>
          <w:p w14:paraId="6B125728" w14:textId="77777777" w:rsidR="00247CBF" w:rsidRPr="00092ED7" w:rsidRDefault="00247CBF" w:rsidP="00247CBF">
            <w:pPr>
              <w:spacing w:after="0" w:line="233" w:lineRule="auto"/>
              <w:jc w:val="center"/>
              <w:rPr>
                <w:sz w:val="20"/>
                <w:szCs w:val="20"/>
                <w:lang w:val="sr-Cyrl-CS"/>
              </w:rPr>
            </w:pPr>
            <w:r w:rsidRPr="00092ED7">
              <w:rPr>
                <w:sz w:val="20"/>
                <w:szCs w:val="20"/>
                <w:lang w:val="sr-Cyrl-CS"/>
              </w:rPr>
              <w:t>D5, D61</w:t>
            </w:r>
          </w:p>
        </w:tc>
        <w:tc>
          <w:tcPr>
            <w:tcW w:w="2693" w:type="dxa"/>
            <w:tcBorders>
              <w:top w:val="nil"/>
              <w:left w:val="single" w:sz="4" w:space="0" w:color="auto"/>
              <w:bottom w:val="dotted" w:sz="4" w:space="0" w:color="auto"/>
              <w:right w:val="single" w:sz="8" w:space="0" w:color="auto"/>
            </w:tcBorders>
            <w:shd w:val="clear" w:color="auto" w:fill="auto"/>
            <w:noWrap/>
            <w:vAlign w:val="center"/>
          </w:tcPr>
          <w:p w14:paraId="39A6946A" w14:textId="77777777" w:rsidR="00247CBF" w:rsidRPr="00092ED7" w:rsidRDefault="00247CBF" w:rsidP="00247CBF">
            <w:pPr>
              <w:spacing w:after="0" w:line="233" w:lineRule="auto"/>
              <w:jc w:val="center"/>
              <w:rPr>
                <w:sz w:val="20"/>
                <w:szCs w:val="20"/>
                <w:lang w:val="sr-Cyrl-CS"/>
              </w:rPr>
            </w:pPr>
            <w:r w:rsidRPr="00092ED7">
              <w:rPr>
                <w:sz w:val="20"/>
                <w:szCs w:val="20"/>
                <w:lang w:val="sr-Cyrl-CS"/>
              </w:rPr>
              <w:t>2020-04</w:t>
            </w:r>
          </w:p>
        </w:tc>
        <w:tc>
          <w:tcPr>
            <w:tcW w:w="920" w:type="dxa"/>
            <w:tcBorders>
              <w:top w:val="nil"/>
              <w:left w:val="nil"/>
              <w:bottom w:val="dotted" w:sz="4" w:space="0" w:color="auto"/>
              <w:right w:val="single" w:sz="4" w:space="0" w:color="auto"/>
            </w:tcBorders>
            <w:shd w:val="clear" w:color="auto" w:fill="auto"/>
            <w:noWrap/>
            <w:vAlign w:val="center"/>
            <w:hideMark/>
          </w:tcPr>
          <w:p w14:paraId="46987C27" w14:textId="77777777" w:rsidR="00247CBF" w:rsidRPr="00092ED7" w:rsidRDefault="00247CBF" w:rsidP="00247CBF">
            <w:pPr>
              <w:spacing w:after="0" w:line="233" w:lineRule="auto"/>
              <w:jc w:val="right"/>
              <w:rPr>
                <w:sz w:val="20"/>
                <w:szCs w:val="20"/>
                <w:lang w:val="sr-Cyrl-CS"/>
              </w:rPr>
            </w:pPr>
            <w:r w:rsidRPr="00092ED7">
              <w:rPr>
                <w:sz w:val="20"/>
                <w:szCs w:val="20"/>
                <w:lang w:val="sr-Cyrl-CS"/>
              </w:rPr>
              <w:t>-119,8</w:t>
            </w:r>
          </w:p>
        </w:tc>
        <w:tc>
          <w:tcPr>
            <w:tcW w:w="921" w:type="dxa"/>
            <w:tcBorders>
              <w:top w:val="nil"/>
              <w:left w:val="single" w:sz="4" w:space="0" w:color="auto"/>
              <w:bottom w:val="dotted" w:sz="4" w:space="0" w:color="auto"/>
              <w:right w:val="nil"/>
            </w:tcBorders>
            <w:shd w:val="clear" w:color="auto" w:fill="auto"/>
            <w:noWrap/>
            <w:vAlign w:val="center"/>
            <w:hideMark/>
          </w:tcPr>
          <w:p w14:paraId="62DFAF3F" w14:textId="77777777" w:rsidR="00247CBF" w:rsidRPr="00092ED7" w:rsidRDefault="00247CBF" w:rsidP="00247CBF">
            <w:pPr>
              <w:spacing w:after="0" w:line="233" w:lineRule="auto"/>
              <w:jc w:val="right"/>
              <w:rPr>
                <w:sz w:val="20"/>
                <w:szCs w:val="20"/>
                <w:lang w:val="sr-Cyrl-CS"/>
              </w:rPr>
            </w:pPr>
            <w:r w:rsidRPr="00092ED7">
              <w:rPr>
                <w:sz w:val="20"/>
                <w:szCs w:val="20"/>
                <w:lang w:val="sr-Cyrl-CS"/>
              </w:rPr>
              <w:t> </w:t>
            </w:r>
          </w:p>
        </w:tc>
        <w:tc>
          <w:tcPr>
            <w:tcW w:w="920" w:type="dxa"/>
            <w:tcBorders>
              <w:top w:val="nil"/>
              <w:left w:val="single" w:sz="4" w:space="0" w:color="auto"/>
              <w:bottom w:val="dotted" w:sz="4" w:space="0" w:color="auto"/>
              <w:right w:val="nil"/>
            </w:tcBorders>
            <w:shd w:val="clear" w:color="auto" w:fill="auto"/>
            <w:noWrap/>
            <w:vAlign w:val="center"/>
            <w:hideMark/>
          </w:tcPr>
          <w:p w14:paraId="3A52DDE0" w14:textId="77777777" w:rsidR="00247CBF" w:rsidRPr="00092ED7" w:rsidRDefault="00247CBF" w:rsidP="00247CBF">
            <w:pPr>
              <w:spacing w:after="0" w:line="233" w:lineRule="auto"/>
              <w:jc w:val="right"/>
              <w:rPr>
                <w:sz w:val="20"/>
                <w:szCs w:val="20"/>
                <w:lang w:val="sr-Cyrl-CS"/>
              </w:rPr>
            </w:pPr>
            <w:r w:rsidRPr="00092ED7">
              <w:rPr>
                <w:sz w:val="20"/>
                <w:szCs w:val="20"/>
                <w:lang w:val="sr-Cyrl-CS"/>
              </w:rPr>
              <w:t> </w:t>
            </w:r>
          </w:p>
        </w:tc>
        <w:tc>
          <w:tcPr>
            <w:tcW w:w="921" w:type="dxa"/>
            <w:tcBorders>
              <w:top w:val="nil"/>
              <w:left w:val="single" w:sz="4" w:space="0" w:color="auto"/>
              <w:bottom w:val="dotted" w:sz="4" w:space="0" w:color="auto"/>
              <w:right w:val="nil"/>
            </w:tcBorders>
            <w:shd w:val="clear" w:color="auto" w:fill="auto"/>
            <w:noWrap/>
            <w:vAlign w:val="center"/>
            <w:hideMark/>
          </w:tcPr>
          <w:p w14:paraId="1816B9FC" w14:textId="77777777" w:rsidR="00247CBF" w:rsidRPr="00092ED7" w:rsidRDefault="00247CBF" w:rsidP="00247CBF">
            <w:pPr>
              <w:spacing w:after="0" w:line="233" w:lineRule="auto"/>
              <w:jc w:val="right"/>
              <w:rPr>
                <w:sz w:val="20"/>
                <w:szCs w:val="20"/>
                <w:lang w:val="sr-Cyrl-CS"/>
              </w:rPr>
            </w:pPr>
            <w:r w:rsidRPr="00092ED7">
              <w:rPr>
                <w:sz w:val="20"/>
                <w:szCs w:val="20"/>
                <w:lang w:val="sr-Cyrl-CS"/>
              </w:rPr>
              <w:t> </w:t>
            </w:r>
          </w:p>
        </w:tc>
        <w:tc>
          <w:tcPr>
            <w:tcW w:w="920" w:type="dxa"/>
            <w:tcBorders>
              <w:top w:val="nil"/>
              <w:left w:val="single" w:sz="4" w:space="0" w:color="auto"/>
              <w:bottom w:val="dotted" w:sz="4" w:space="0" w:color="auto"/>
              <w:right w:val="single" w:sz="4" w:space="0" w:color="auto"/>
            </w:tcBorders>
            <w:vAlign w:val="center"/>
          </w:tcPr>
          <w:p w14:paraId="3AE9C9B2" w14:textId="77777777" w:rsidR="00247CBF" w:rsidRPr="00092ED7" w:rsidRDefault="00247CBF" w:rsidP="00247CBF">
            <w:pPr>
              <w:spacing w:after="0" w:line="233" w:lineRule="auto"/>
              <w:jc w:val="right"/>
              <w:rPr>
                <w:sz w:val="20"/>
                <w:szCs w:val="20"/>
                <w:lang w:val="sr-Cyrl-CS"/>
              </w:rPr>
            </w:pPr>
          </w:p>
        </w:tc>
        <w:tc>
          <w:tcPr>
            <w:tcW w:w="921" w:type="dxa"/>
            <w:gridSpan w:val="2"/>
            <w:tcBorders>
              <w:top w:val="nil"/>
              <w:left w:val="single" w:sz="4" w:space="0" w:color="auto"/>
              <w:bottom w:val="dotted" w:sz="4" w:space="0" w:color="auto"/>
              <w:right w:val="double" w:sz="6" w:space="0" w:color="auto"/>
            </w:tcBorders>
            <w:shd w:val="clear" w:color="auto" w:fill="auto"/>
            <w:noWrap/>
            <w:vAlign w:val="center"/>
            <w:hideMark/>
          </w:tcPr>
          <w:p w14:paraId="35EB80A4" w14:textId="77777777" w:rsidR="00247CBF" w:rsidRPr="00092ED7" w:rsidRDefault="00247CBF" w:rsidP="00247CBF">
            <w:pPr>
              <w:spacing w:after="0" w:line="233" w:lineRule="auto"/>
              <w:jc w:val="right"/>
              <w:rPr>
                <w:sz w:val="20"/>
                <w:szCs w:val="20"/>
                <w:lang w:val="sr-Cyrl-CS"/>
              </w:rPr>
            </w:pPr>
            <w:r w:rsidRPr="00092ED7">
              <w:rPr>
                <w:sz w:val="20"/>
                <w:szCs w:val="20"/>
                <w:lang w:val="sr-Cyrl-CS"/>
              </w:rPr>
              <w:t> </w:t>
            </w:r>
          </w:p>
        </w:tc>
      </w:tr>
      <w:tr w:rsidR="00247CBF" w:rsidRPr="00092ED7" w14:paraId="21C173E6" w14:textId="77777777" w:rsidTr="00247CBF">
        <w:trPr>
          <w:gridBefore w:val="1"/>
          <w:wBefore w:w="23" w:type="dxa"/>
          <w:trHeight w:val="227"/>
        </w:trPr>
        <w:tc>
          <w:tcPr>
            <w:tcW w:w="5101" w:type="dxa"/>
            <w:tcBorders>
              <w:top w:val="nil"/>
              <w:left w:val="double" w:sz="6" w:space="0" w:color="auto"/>
              <w:bottom w:val="dotted" w:sz="4" w:space="0" w:color="auto"/>
              <w:right w:val="single" w:sz="4" w:space="0" w:color="auto"/>
            </w:tcBorders>
            <w:shd w:val="clear" w:color="auto" w:fill="auto"/>
            <w:vAlign w:val="center"/>
            <w:hideMark/>
          </w:tcPr>
          <w:p w14:paraId="36205804" w14:textId="77777777" w:rsidR="00247CBF" w:rsidRPr="00092ED7" w:rsidRDefault="00247CBF" w:rsidP="00247CBF">
            <w:pPr>
              <w:spacing w:after="0" w:line="233" w:lineRule="auto"/>
              <w:rPr>
                <w:sz w:val="20"/>
                <w:szCs w:val="20"/>
                <w:lang w:val="sr-Cyrl-CS"/>
              </w:rPr>
            </w:pPr>
            <w:r w:rsidRPr="00092ED7">
              <w:rPr>
                <w:sz w:val="20"/>
                <w:szCs w:val="20"/>
                <w:lang w:val="sr-Cyrl-CS"/>
              </w:rPr>
              <w:t>Одложено плаћање аконтација пореза на добит у другом кварталу</w:t>
            </w:r>
          </w:p>
        </w:tc>
        <w:tc>
          <w:tcPr>
            <w:tcW w:w="1397" w:type="dxa"/>
            <w:tcBorders>
              <w:top w:val="nil"/>
              <w:left w:val="nil"/>
              <w:bottom w:val="dotted" w:sz="4" w:space="0" w:color="auto"/>
              <w:right w:val="single" w:sz="4" w:space="0" w:color="auto"/>
            </w:tcBorders>
            <w:shd w:val="clear" w:color="auto" w:fill="auto"/>
            <w:noWrap/>
            <w:vAlign w:val="center"/>
            <w:hideMark/>
          </w:tcPr>
          <w:p w14:paraId="11DD4FB9" w14:textId="77777777" w:rsidR="00247CBF" w:rsidRPr="00092ED7" w:rsidRDefault="00247CBF" w:rsidP="00247CBF">
            <w:pPr>
              <w:spacing w:after="0" w:line="233" w:lineRule="auto"/>
              <w:jc w:val="center"/>
              <w:rPr>
                <w:sz w:val="20"/>
                <w:szCs w:val="20"/>
                <w:lang w:val="sr-Cyrl-CS"/>
              </w:rPr>
            </w:pPr>
            <w:r w:rsidRPr="00092ED7">
              <w:rPr>
                <w:sz w:val="20"/>
                <w:szCs w:val="20"/>
                <w:lang w:val="sr-Cyrl-CS"/>
              </w:rPr>
              <w:t>D5</w:t>
            </w:r>
          </w:p>
        </w:tc>
        <w:tc>
          <w:tcPr>
            <w:tcW w:w="2693" w:type="dxa"/>
            <w:tcBorders>
              <w:top w:val="nil"/>
              <w:left w:val="single" w:sz="4" w:space="0" w:color="auto"/>
              <w:bottom w:val="dotted" w:sz="4" w:space="0" w:color="auto"/>
              <w:right w:val="single" w:sz="8" w:space="0" w:color="auto"/>
            </w:tcBorders>
            <w:shd w:val="clear" w:color="auto" w:fill="auto"/>
            <w:noWrap/>
            <w:vAlign w:val="center"/>
          </w:tcPr>
          <w:p w14:paraId="72481D82" w14:textId="77777777" w:rsidR="00247CBF" w:rsidRPr="00092ED7" w:rsidRDefault="00247CBF" w:rsidP="00247CBF">
            <w:pPr>
              <w:spacing w:after="0" w:line="233" w:lineRule="auto"/>
              <w:jc w:val="center"/>
              <w:rPr>
                <w:sz w:val="20"/>
                <w:szCs w:val="20"/>
                <w:lang w:val="sr-Cyrl-CS"/>
              </w:rPr>
            </w:pPr>
            <w:r w:rsidRPr="00092ED7">
              <w:rPr>
                <w:sz w:val="20"/>
                <w:szCs w:val="20"/>
                <w:lang w:val="sr-Cyrl-CS"/>
              </w:rPr>
              <w:t>2020-04</w:t>
            </w:r>
          </w:p>
        </w:tc>
        <w:tc>
          <w:tcPr>
            <w:tcW w:w="920" w:type="dxa"/>
            <w:tcBorders>
              <w:top w:val="nil"/>
              <w:left w:val="nil"/>
              <w:bottom w:val="dotted" w:sz="4" w:space="0" w:color="auto"/>
              <w:right w:val="single" w:sz="4" w:space="0" w:color="auto"/>
            </w:tcBorders>
            <w:shd w:val="clear" w:color="auto" w:fill="auto"/>
            <w:noWrap/>
            <w:vAlign w:val="center"/>
            <w:hideMark/>
          </w:tcPr>
          <w:p w14:paraId="53A0F1FF" w14:textId="77777777" w:rsidR="00247CBF" w:rsidRPr="00092ED7" w:rsidRDefault="00247CBF" w:rsidP="00247CBF">
            <w:pPr>
              <w:spacing w:after="0" w:line="233" w:lineRule="auto"/>
              <w:jc w:val="right"/>
              <w:rPr>
                <w:sz w:val="20"/>
                <w:szCs w:val="20"/>
                <w:lang w:val="sr-Cyrl-CS"/>
              </w:rPr>
            </w:pPr>
            <w:r w:rsidRPr="00092ED7">
              <w:rPr>
                <w:sz w:val="20"/>
                <w:szCs w:val="20"/>
                <w:lang w:val="sr-Cyrl-CS"/>
              </w:rPr>
              <w:t>-13,5</w:t>
            </w:r>
          </w:p>
        </w:tc>
        <w:tc>
          <w:tcPr>
            <w:tcW w:w="921" w:type="dxa"/>
            <w:tcBorders>
              <w:top w:val="nil"/>
              <w:left w:val="single" w:sz="4" w:space="0" w:color="auto"/>
              <w:bottom w:val="dotted" w:sz="4" w:space="0" w:color="auto"/>
              <w:right w:val="nil"/>
            </w:tcBorders>
            <w:shd w:val="clear" w:color="auto" w:fill="auto"/>
            <w:noWrap/>
            <w:vAlign w:val="center"/>
            <w:hideMark/>
          </w:tcPr>
          <w:p w14:paraId="6070A185" w14:textId="77777777" w:rsidR="00247CBF" w:rsidRPr="00092ED7" w:rsidRDefault="00247CBF" w:rsidP="00247CBF">
            <w:pPr>
              <w:spacing w:after="0" w:line="233" w:lineRule="auto"/>
              <w:jc w:val="right"/>
              <w:rPr>
                <w:sz w:val="20"/>
                <w:szCs w:val="20"/>
                <w:lang w:val="sr-Cyrl-CS"/>
              </w:rPr>
            </w:pPr>
            <w:r w:rsidRPr="00092ED7">
              <w:rPr>
                <w:sz w:val="20"/>
                <w:szCs w:val="20"/>
                <w:lang w:val="sr-Cyrl-CS"/>
              </w:rPr>
              <w:t> </w:t>
            </w:r>
          </w:p>
        </w:tc>
        <w:tc>
          <w:tcPr>
            <w:tcW w:w="920" w:type="dxa"/>
            <w:tcBorders>
              <w:top w:val="nil"/>
              <w:left w:val="single" w:sz="4" w:space="0" w:color="auto"/>
              <w:bottom w:val="dotted" w:sz="4" w:space="0" w:color="auto"/>
              <w:right w:val="nil"/>
            </w:tcBorders>
            <w:shd w:val="clear" w:color="auto" w:fill="auto"/>
            <w:noWrap/>
            <w:vAlign w:val="center"/>
            <w:hideMark/>
          </w:tcPr>
          <w:p w14:paraId="5BF15C02" w14:textId="77777777" w:rsidR="00247CBF" w:rsidRPr="00092ED7" w:rsidRDefault="00247CBF" w:rsidP="00247CBF">
            <w:pPr>
              <w:spacing w:after="0" w:line="233" w:lineRule="auto"/>
              <w:jc w:val="right"/>
              <w:rPr>
                <w:sz w:val="20"/>
                <w:szCs w:val="20"/>
                <w:lang w:val="sr-Cyrl-CS"/>
              </w:rPr>
            </w:pPr>
            <w:r w:rsidRPr="00092ED7">
              <w:rPr>
                <w:sz w:val="20"/>
                <w:szCs w:val="20"/>
                <w:lang w:val="sr-Cyrl-CS"/>
              </w:rPr>
              <w:t> </w:t>
            </w:r>
          </w:p>
        </w:tc>
        <w:tc>
          <w:tcPr>
            <w:tcW w:w="921" w:type="dxa"/>
            <w:tcBorders>
              <w:top w:val="nil"/>
              <w:left w:val="single" w:sz="4" w:space="0" w:color="auto"/>
              <w:bottom w:val="dotted" w:sz="4" w:space="0" w:color="auto"/>
              <w:right w:val="nil"/>
            </w:tcBorders>
            <w:shd w:val="clear" w:color="auto" w:fill="auto"/>
            <w:noWrap/>
            <w:vAlign w:val="center"/>
            <w:hideMark/>
          </w:tcPr>
          <w:p w14:paraId="556399C2" w14:textId="77777777" w:rsidR="00247CBF" w:rsidRPr="00092ED7" w:rsidRDefault="00247CBF" w:rsidP="00247CBF">
            <w:pPr>
              <w:spacing w:after="0" w:line="233" w:lineRule="auto"/>
              <w:jc w:val="right"/>
              <w:rPr>
                <w:sz w:val="20"/>
                <w:szCs w:val="20"/>
                <w:lang w:val="sr-Cyrl-CS"/>
              </w:rPr>
            </w:pPr>
            <w:r w:rsidRPr="00092ED7">
              <w:rPr>
                <w:sz w:val="20"/>
                <w:szCs w:val="20"/>
                <w:lang w:val="sr-Cyrl-CS"/>
              </w:rPr>
              <w:t> </w:t>
            </w:r>
          </w:p>
        </w:tc>
        <w:tc>
          <w:tcPr>
            <w:tcW w:w="920" w:type="dxa"/>
            <w:tcBorders>
              <w:top w:val="nil"/>
              <w:left w:val="single" w:sz="4" w:space="0" w:color="auto"/>
              <w:bottom w:val="dotted" w:sz="4" w:space="0" w:color="auto"/>
              <w:right w:val="single" w:sz="4" w:space="0" w:color="auto"/>
            </w:tcBorders>
            <w:vAlign w:val="center"/>
          </w:tcPr>
          <w:p w14:paraId="690E89EE" w14:textId="77777777" w:rsidR="00247CBF" w:rsidRPr="00092ED7" w:rsidRDefault="00247CBF" w:rsidP="00247CBF">
            <w:pPr>
              <w:spacing w:after="0" w:line="233" w:lineRule="auto"/>
              <w:jc w:val="right"/>
              <w:rPr>
                <w:sz w:val="20"/>
                <w:szCs w:val="20"/>
                <w:lang w:val="sr-Cyrl-CS"/>
              </w:rPr>
            </w:pPr>
          </w:p>
        </w:tc>
        <w:tc>
          <w:tcPr>
            <w:tcW w:w="921" w:type="dxa"/>
            <w:gridSpan w:val="2"/>
            <w:tcBorders>
              <w:top w:val="nil"/>
              <w:left w:val="single" w:sz="4" w:space="0" w:color="auto"/>
              <w:bottom w:val="dotted" w:sz="4" w:space="0" w:color="auto"/>
              <w:right w:val="double" w:sz="6" w:space="0" w:color="auto"/>
            </w:tcBorders>
            <w:shd w:val="clear" w:color="auto" w:fill="auto"/>
            <w:noWrap/>
            <w:vAlign w:val="center"/>
            <w:hideMark/>
          </w:tcPr>
          <w:p w14:paraId="6DCE6339" w14:textId="77777777" w:rsidR="00247CBF" w:rsidRPr="00092ED7" w:rsidRDefault="00247CBF" w:rsidP="00247CBF">
            <w:pPr>
              <w:spacing w:after="0" w:line="233" w:lineRule="auto"/>
              <w:jc w:val="right"/>
              <w:rPr>
                <w:sz w:val="20"/>
                <w:szCs w:val="20"/>
                <w:lang w:val="sr-Cyrl-CS"/>
              </w:rPr>
            </w:pPr>
            <w:r w:rsidRPr="00092ED7">
              <w:rPr>
                <w:sz w:val="20"/>
                <w:szCs w:val="20"/>
                <w:lang w:val="sr-Cyrl-CS"/>
              </w:rPr>
              <w:t> </w:t>
            </w:r>
          </w:p>
        </w:tc>
      </w:tr>
      <w:tr w:rsidR="00247CBF" w:rsidRPr="00092ED7" w14:paraId="606E2425" w14:textId="77777777" w:rsidTr="00247CBF">
        <w:trPr>
          <w:gridBefore w:val="1"/>
          <w:wBefore w:w="23" w:type="dxa"/>
          <w:trHeight w:val="227"/>
        </w:trPr>
        <w:tc>
          <w:tcPr>
            <w:tcW w:w="5101" w:type="dxa"/>
            <w:tcBorders>
              <w:top w:val="nil"/>
              <w:left w:val="double" w:sz="6" w:space="0" w:color="auto"/>
              <w:bottom w:val="dotted" w:sz="4" w:space="0" w:color="auto"/>
              <w:right w:val="single" w:sz="4" w:space="0" w:color="auto"/>
            </w:tcBorders>
            <w:shd w:val="clear" w:color="auto" w:fill="auto"/>
            <w:vAlign w:val="center"/>
            <w:hideMark/>
          </w:tcPr>
          <w:p w14:paraId="15881181" w14:textId="77777777" w:rsidR="00247CBF" w:rsidRPr="00092ED7" w:rsidRDefault="00247CBF" w:rsidP="00247CBF">
            <w:pPr>
              <w:spacing w:after="0" w:line="233" w:lineRule="auto"/>
              <w:rPr>
                <w:sz w:val="20"/>
                <w:szCs w:val="20"/>
                <w:lang w:val="sr-Cyrl-CS"/>
              </w:rPr>
            </w:pPr>
            <w:r w:rsidRPr="00092ED7">
              <w:rPr>
                <w:sz w:val="20"/>
                <w:szCs w:val="20"/>
                <w:lang w:val="sr-Cyrl-CS"/>
              </w:rPr>
              <w:t>Директна помоћ приватном сектору</w:t>
            </w:r>
          </w:p>
        </w:tc>
        <w:tc>
          <w:tcPr>
            <w:tcW w:w="1397" w:type="dxa"/>
            <w:tcBorders>
              <w:top w:val="nil"/>
              <w:left w:val="nil"/>
              <w:bottom w:val="dotted" w:sz="4" w:space="0" w:color="auto"/>
              <w:right w:val="single" w:sz="4" w:space="0" w:color="auto"/>
            </w:tcBorders>
            <w:shd w:val="clear" w:color="auto" w:fill="auto"/>
            <w:noWrap/>
            <w:vAlign w:val="center"/>
            <w:hideMark/>
          </w:tcPr>
          <w:p w14:paraId="20143843" w14:textId="77777777" w:rsidR="00247CBF" w:rsidRPr="00092ED7" w:rsidRDefault="00247CBF" w:rsidP="00247CBF">
            <w:pPr>
              <w:spacing w:after="0" w:line="233" w:lineRule="auto"/>
              <w:jc w:val="center"/>
              <w:rPr>
                <w:sz w:val="20"/>
                <w:szCs w:val="20"/>
                <w:lang w:val="sr-Cyrl-CS"/>
              </w:rPr>
            </w:pPr>
            <w:r w:rsidRPr="00092ED7">
              <w:rPr>
                <w:sz w:val="20"/>
                <w:szCs w:val="20"/>
                <w:lang w:val="sr-Cyrl-CS"/>
              </w:rPr>
              <w:t>D3</w:t>
            </w:r>
          </w:p>
        </w:tc>
        <w:tc>
          <w:tcPr>
            <w:tcW w:w="2693" w:type="dxa"/>
            <w:tcBorders>
              <w:top w:val="nil"/>
              <w:left w:val="single" w:sz="4" w:space="0" w:color="auto"/>
              <w:bottom w:val="dotted" w:sz="4" w:space="0" w:color="auto"/>
              <w:right w:val="single" w:sz="8" w:space="0" w:color="auto"/>
            </w:tcBorders>
            <w:shd w:val="clear" w:color="auto" w:fill="auto"/>
            <w:vAlign w:val="center"/>
          </w:tcPr>
          <w:p w14:paraId="42BF373C" w14:textId="77777777" w:rsidR="00247CBF" w:rsidRPr="00092ED7" w:rsidRDefault="00247CBF" w:rsidP="00247CBF">
            <w:pPr>
              <w:spacing w:after="0" w:line="233" w:lineRule="auto"/>
              <w:jc w:val="center"/>
              <w:rPr>
                <w:sz w:val="20"/>
                <w:szCs w:val="20"/>
                <w:lang w:val="sr-Cyrl-CS"/>
              </w:rPr>
            </w:pPr>
            <w:r w:rsidRPr="00092ED7">
              <w:rPr>
                <w:sz w:val="20"/>
                <w:szCs w:val="20"/>
                <w:lang w:val="sr-Cyrl-CS"/>
              </w:rPr>
              <w:t>2020-04;2021-04</w:t>
            </w:r>
          </w:p>
        </w:tc>
        <w:tc>
          <w:tcPr>
            <w:tcW w:w="920" w:type="dxa"/>
            <w:tcBorders>
              <w:top w:val="nil"/>
              <w:left w:val="nil"/>
              <w:bottom w:val="dotted" w:sz="4" w:space="0" w:color="auto"/>
              <w:right w:val="single" w:sz="4" w:space="0" w:color="auto"/>
            </w:tcBorders>
            <w:shd w:val="clear" w:color="auto" w:fill="auto"/>
            <w:noWrap/>
            <w:vAlign w:val="center"/>
            <w:hideMark/>
          </w:tcPr>
          <w:p w14:paraId="3CB6CAEB" w14:textId="77777777" w:rsidR="00247CBF" w:rsidRPr="00092ED7" w:rsidRDefault="00247CBF" w:rsidP="00247CBF">
            <w:pPr>
              <w:spacing w:after="0" w:line="233" w:lineRule="auto"/>
              <w:jc w:val="right"/>
              <w:rPr>
                <w:sz w:val="20"/>
                <w:szCs w:val="20"/>
                <w:lang w:val="sr-Cyrl-CS"/>
              </w:rPr>
            </w:pPr>
            <w:r w:rsidRPr="00092ED7">
              <w:rPr>
                <w:sz w:val="20"/>
                <w:szCs w:val="20"/>
                <w:lang w:val="sr-Cyrl-CS"/>
              </w:rPr>
              <w:t>-136,0</w:t>
            </w:r>
          </w:p>
        </w:tc>
        <w:tc>
          <w:tcPr>
            <w:tcW w:w="921" w:type="dxa"/>
            <w:tcBorders>
              <w:top w:val="nil"/>
              <w:left w:val="single" w:sz="4" w:space="0" w:color="auto"/>
              <w:bottom w:val="dotted" w:sz="4" w:space="0" w:color="auto"/>
              <w:right w:val="nil"/>
            </w:tcBorders>
            <w:shd w:val="clear" w:color="auto" w:fill="auto"/>
            <w:noWrap/>
            <w:vAlign w:val="center"/>
            <w:hideMark/>
          </w:tcPr>
          <w:p w14:paraId="4B937635" w14:textId="77777777" w:rsidR="00247CBF" w:rsidRPr="00092ED7" w:rsidRDefault="00247CBF" w:rsidP="00247CBF">
            <w:pPr>
              <w:spacing w:after="0" w:line="233" w:lineRule="auto"/>
              <w:jc w:val="right"/>
              <w:rPr>
                <w:sz w:val="20"/>
                <w:szCs w:val="20"/>
                <w:lang w:val="sr-Cyrl-CS"/>
              </w:rPr>
            </w:pPr>
            <w:r w:rsidRPr="00092ED7">
              <w:rPr>
                <w:sz w:val="20"/>
                <w:szCs w:val="20"/>
                <w:lang w:val="sr-Cyrl-CS"/>
              </w:rPr>
              <w:t>-78,1</w:t>
            </w:r>
          </w:p>
        </w:tc>
        <w:tc>
          <w:tcPr>
            <w:tcW w:w="920" w:type="dxa"/>
            <w:tcBorders>
              <w:top w:val="nil"/>
              <w:left w:val="single" w:sz="4" w:space="0" w:color="auto"/>
              <w:bottom w:val="dotted" w:sz="4" w:space="0" w:color="auto"/>
              <w:right w:val="nil"/>
            </w:tcBorders>
            <w:shd w:val="clear" w:color="auto" w:fill="auto"/>
            <w:noWrap/>
            <w:vAlign w:val="center"/>
            <w:hideMark/>
          </w:tcPr>
          <w:p w14:paraId="732AAB1D" w14:textId="77777777" w:rsidR="00247CBF" w:rsidRPr="00092ED7" w:rsidRDefault="00247CBF" w:rsidP="00247CBF">
            <w:pPr>
              <w:spacing w:after="0" w:line="233" w:lineRule="auto"/>
              <w:jc w:val="right"/>
              <w:rPr>
                <w:sz w:val="20"/>
                <w:szCs w:val="20"/>
                <w:lang w:val="sr-Cyrl-CS"/>
              </w:rPr>
            </w:pPr>
            <w:r w:rsidRPr="00092ED7">
              <w:rPr>
                <w:sz w:val="20"/>
                <w:szCs w:val="20"/>
                <w:lang w:val="sr-Cyrl-CS"/>
              </w:rPr>
              <w:t> </w:t>
            </w:r>
          </w:p>
        </w:tc>
        <w:tc>
          <w:tcPr>
            <w:tcW w:w="921" w:type="dxa"/>
            <w:tcBorders>
              <w:top w:val="nil"/>
              <w:left w:val="single" w:sz="4" w:space="0" w:color="auto"/>
              <w:bottom w:val="dotted" w:sz="4" w:space="0" w:color="auto"/>
              <w:right w:val="nil"/>
            </w:tcBorders>
            <w:shd w:val="clear" w:color="auto" w:fill="auto"/>
            <w:noWrap/>
            <w:vAlign w:val="center"/>
            <w:hideMark/>
          </w:tcPr>
          <w:p w14:paraId="46F36BE6" w14:textId="77777777" w:rsidR="00247CBF" w:rsidRPr="00092ED7" w:rsidRDefault="00247CBF" w:rsidP="00247CBF">
            <w:pPr>
              <w:spacing w:after="0" w:line="233" w:lineRule="auto"/>
              <w:jc w:val="right"/>
              <w:rPr>
                <w:sz w:val="20"/>
                <w:szCs w:val="20"/>
                <w:lang w:val="sr-Cyrl-CS"/>
              </w:rPr>
            </w:pPr>
            <w:r w:rsidRPr="00092ED7">
              <w:rPr>
                <w:sz w:val="20"/>
                <w:szCs w:val="20"/>
                <w:lang w:val="sr-Cyrl-CS"/>
              </w:rPr>
              <w:t> </w:t>
            </w:r>
          </w:p>
        </w:tc>
        <w:tc>
          <w:tcPr>
            <w:tcW w:w="920" w:type="dxa"/>
            <w:tcBorders>
              <w:top w:val="nil"/>
              <w:left w:val="single" w:sz="4" w:space="0" w:color="auto"/>
              <w:bottom w:val="dotted" w:sz="4" w:space="0" w:color="auto"/>
              <w:right w:val="single" w:sz="4" w:space="0" w:color="auto"/>
            </w:tcBorders>
            <w:vAlign w:val="center"/>
          </w:tcPr>
          <w:p w14:paraId="037F33D8" w14:textId="77777777" w:rsidR="00247CBF" w:rsidRPr="00092ED7" w:rsidRDefault="00247CBF" w:rsidP="00247CBF">
            <w:pPr>
              <w:spacing w:after="0" w:line="233" w:lineRule="auto"/>
              <w:jc w:val="right"/>
              <w:rPr>
                <w:sz w:val="20"/>
                <w:szCs w:val="20"/>
                <w:lang w:val="sr-Cyrl-CS"/>
              </w:rPr>
            </w:pPr>
          </w:p>
        </w:tc>
        <w:tc>
          <w:tcPr>
            <w:tcW w:w="921" w:type="dxa"/>
            <w:gridSpan w:val="2"/>
            <w:tcBorders>
              <w:top w:val="nil"/>
              <w:left w:val="single" w:sz="4" w:space="0" w:color="auto"/>
              <w:bottom w:val="dotted" w:sz="4" w:space="0" w:color="auto"/>
              <w:right w:val="double" w:sz="6" w:space="0" w:color="auto"/>
            </w:tcBorders>
            <w:shd w:val="clear" w:color="auto" w:fill="auto"/>
            <w:noWrap/>
            <w:vAlign w:val="center"/>
            <w:hideMark/>
          </w:tcPr>
          <w:p w14:paraId="41F49E6A" w14:textId="77777777" w:rsidR="00247CBF" w:rsidRPr="00092ED7" w:rsidRDefault="00247CBF" w:rsidP="00247CBF">
            <w:pPr>
              <w:spacing w:after="0" w:line="233" w:lineRule="auto"/>
              <w:jc w:val="right"/>
              <w:rPr>
                <w:sz w:val="20"/>
                <w:szCs w:val="20"/>
                <w:lang w:val="sr-Cyrl-CS"/>
              </w:rPr>
            </w:pPr>
            <w:r w:rsidRPr="00092ED7">
              <w:rPr>
                <w:sz w:val="20"/>
                <w:szCs w:val="20"/>
                <w:lang w:val="sr-Cyrl-CS"/>
              </w:rPr>
              <w:t> </w:t>
            </w:r>
          </w:p>
        </w:tc>
      </w:tr>
      <w:tr w:rsidR="00247CBF" w:rsidRPr="00092ED7" w14:paraId="7021E169" w14:textId="77777777" w:rsidTr="00247CBF">
        <w:trPr>
          <w:gridBefore w:val="1"/>
          <w:wBefore w:w="23" w:type="dxa"/>
          <w:trHeight w:val="227"/>
        </w:trPr>
        <w:tc>
          <w:tcPr>
            <w:tcW w:w="5101" w:type="dxa"/>
            <w:tcBorders>
              <w:top w:val="nil"/>
              <w:left w:val="double" w:sz="6" w:space="0" w:color="auto"/>
              <w:bottom w:val="dotted" w:sz="4" w:space="0" w:color="auto"/>
              <w:right w:val="single" w:sz="4" w:space="0" w:color="auto"/>
            </w:tcBorders>
            <w:shd w:val="clear" w:color="auto" w:fill="auto"/>
            <w:vAlign w:val="center"/>
            <w:hideMark/>
          </w:tcPr>
          <w:p w14:paraId="7C6D7EE6" w14:textId="77777777" w:rsidR="00247CBF" w:rsidRPr="00092ED7" w:rsidRDefault="00247CBF" w:rsidP="00247CBF">
            <w:pPr>
              <w:spacing w:after="0" w:line="233" w:lineRule="auto"/>
              <w:rPr>
                <w:sz w:val="20"/>
                <w:szCs w:val="20"/>
                <w:lang w:val="sr-Cyrl-CS"/>
              </w:rPr>
            </w:pPr>
            <w:r w:rsidRPr="00092ED7">
              <w:rPr>
                <w:sz w:val="20"/>
                <w:szCs w:val="20"/>
                <w:lang w:val="sr-Cyrl-CS"/>
              </w:rPr>
              <w:t>Програм финансијске подршке кроз Фонд за развој</w:t>
            </w:r>
          </w:p>
        </w:tc>
        <w:tc>
          <w:tcPr>
            <w:tcW w:w="1397" w:type="dxa"/>
            <w:tcBorders>
              <w:top w:val="nil"/>
              <w:left w:val="nil"/>
              <w:bottom w:val="dotted" w:sz="4" w:space="0" w:color="auto"/>
              <w:right w:val="single" w:sz="4" w:space="0" w:color="auto"/>
            </w:tcBorders>
            <w:shd w:val="clear" w:color="auto" w:fill="auto"/>
            <w:noWrap/>
            <w:vAlign w:val="center"/>
            <w:hideMark/>
          </w:tcPr>
          <w:p w14:paraId="0FAA2722" w14:textId="77777777" w:rsidR="00247CBF" w:rsidRPr="00092ED7" w:rsidRDefault="00247CBF" w:rsidP="00247CBF">
            <w:pPr>
              <w:spacing w:after="0" w:line="233" w:lineRule="auto"/>
              <w:jc w:val="center"/>
              <w:rPr>
                <w:sz w:val="20"/>
                <w:szCs w:val="20"/>
                <w:lang w:val="sr-Cyrl-CS"/>
              </w:rPr>
            </w:pPr>
            <w:r w:rsidRPr="00092ED7">
              <w:rPr>
                <w:sz w:val="20"/>
                <w:szCs w:val="20"/>
                <w:lang w:val="sr-Cyrl-CS"/>
              </w:rPr>
              <w:t>D3</w:t>
            </w:r>
          </w:p>
        </w:tc>
        <w:tc>
          <w:tcPr>
            <w:tcW w:w="2693" w:type="dxa"/>
            <w:tcBorders>
              <w:top w:val="nil"/>
              <w:left w:val="single" w:sz="4" w:space="0" w:color="auto"/>
              <w:bottom w:val="dotted" w:sz="4" w:space="0" w:color="auto"/>
              <w:right w:val="single" w:sz="8" w:space="0" w:color="auto"/>
            </w:tcBorders>
            <w:shd w:val="clear" w:color="auto" w:fill="auto"/>
            <w:noWrap/>
            <w:vAlign w:val="center"/>
          </w:tcPr>
          <w:p w14:paraId="0DABF448" w14:textId="77777777" w:rsidR="00247CBF" w:rsidRPr="00092ED7" w:rsidRDefault="00247CBF" w:rsidP="00247CBF">
            <w:pPr>
              <w:spacing w:after="0" w:line="233" w:lineRule="auto"/>
              <w:jc w:val="center"/>
              <w:rPr>
                <w:sz w:val="20"/>
                <w:szCs w:val="20"/>
                <w:lang w:val="sr-Cyrl-CS"/>
              </w:rPr>
            </w:pPr>
            <w:r w:rsidRPr="00092ED7">
              <w:rPr>
                <w:sz w:val="20"/>
                <w:szCs w:val="20"/>
                <w:lang w:val="sr-Cyrl-CS"/>
              </w:rPr>
              <w:t>2020-04</w:t>
            </w:r>
          </w:p>
        </w:tc>
        <w:tc>
          <w:tcPr>
            <w:tcW w:w="920" w:type="dxa"/>
            <w:tcBorders>
              <w:top w:val="nil"/>
              <w:left w:val="nil"/>
              <w:bottom w:val="dotted" w:sz="4" w:space="0" w:color="auto"/>
              <w:right w:val="single" w:sz="4" w:space="0" w:color="auto"/>
            </w:tcBorders>
            <w:shd w:val="clear" w:color="auto" w:fill="auto"/>
            <w:noWrap/>
            <w:vAlign w:val="center"/>
            <w:hideMark/>
          </w:tcPr>
          <w:p w14:paraId="18C73916" w14:textId="77777777" w:rsidR="00247CBF" w:rsidRPr="00092ED7" w:rsidRDefault="00247CBF" w:rsidP="00247CBF">
            <w:pPr>
              <w:spacing w:after="0" w:line="233" w:lineRule="auto"/>
              <w:jc w:val="right"/>
              <w:rPr>
                <w:sz w:val="20"/>
                <w:szCs w:val="20"/>
                <w:lang w:val="sr-Cyrl-CS"/>
              </w:rPr>
            </w:pPr>
            <w:r w:rsidRPr="00092ED7">
              <w:rPr>
                <w:sz w:val="20"/>
                <w:szCs w:val="20"/>
                <w:lang w:val="sr-Cyrl-CS"/>
              </w:rPr>
              <w:t>-16,3</w:t>
            </w:r>
          </w:p>
        </w:tc>
        <w:tc>
          <w:tcPr>
            <w:tcW w:w="921" w:type="dxa"/>
            <w:tcBorders>
              <w:top w:val="nil"/>
              <w:left w:val="single" w:sz="4" w:space="0" w:color="auto"/>
              <w:bottom w:val="dotted" w:sz="4" w:space="0" w:color="auto"/>
              <w:right w:val="nil"/>
            </w:tcBorders>
            <w:shd w:val="clear" w:color="auto" w:fill="auto"/>
            <w:noWrap/>
            <w:vAlign w:val="center"/>
            <w:hideMark/>
          </w:tcPr>
          <w:p w14:paraId="2DE5CD0C" w14:textId="77777777" w:rsidR="00247CBF" w:rsidRPr="00092ED7" w:rsidRDefault="00247CBF" w:rsidP="00247CBF">
            <w:pPr>
              <w:spacing w:after="0" w:line="233" w:lineRule="auto"/>
              <w:jc w:val="right"/>
              <w:rPr>
                <w:sz w:val="20"/>
                <w:szCs w:val="20"/>
                <w:lang w:val="sr-Cyrl-CS"/>
              </w:rPr>
            </w:pPr>
            <w:r w:rsidRPr="00092ED7">
              <w:rPr>
                <w:sz w:val="20"/>
                <w:szCs w:val="20"/>
                <w:lang w:val="sr-Cyrl-CS"/>
              </w:rPr>
              <w:t> </w:t>
            </w:r>
          </w:p>
        </w:tc>
        <w:tc>
          <w:tcPr>
            <w:tcW w:w="920" w:type="dxa"/>
            <w:tcBorders>
              <w:top w:val="nil"/>
              <w:left w:val="single" w:sz="4" w:space="0" w:color="auto"/>
              <w:bottom w:val="dotted" w:sz="4" w:space="0" w:color="auto"/>
              <w:right w:val="nil"/>
            </w:tcBorders>
            <w:shd w:val="clear" w:color="auto" w:fill="auto"/>
            <w:noWrap/>
            <w:vAlign w:val="center"/>
            <w:hideMark/>
          </w:tcPr>
          <w:p w14:paraId="63F806D8" w14:textId="77777777" w:rsidR="00247CBF" w:rsidRPr="00092ED7" w:rsidRDefault="00247CBF" w:rsidP="00247CBF">
            <w:pPr>
              <w:spacing w:after="0" w:line="233" w:lineRule="auto"/>
              <w:jc w:val="right"/>
              <w:rPr>
                <w:sz w:val="20"/>
                <w:szCs w:val="20"/>
                <w:lang w:val="sr-Cyrl-CS"/>
              </w:rPr>
            </w:pPr>
            <w:r w:rsidRPr="00092ED7">
              <w:rPr>
                <w:sz w:val="20"/>
                <w:szCs w:val="20"/>
                <w:lang w:val="sr-Cyrl-CS"/>
              </w:rPr>
              <w:t> </w:t>
            </w:r>
          </w:p>
        </w:tc>
        <w:tc>
          <w:tcPr>
            <w:tcW w:w="921" w:type="dxa"/>
            <w:tcBorders>
              <w:top w:val="nil"/>
              <w:left w:val="single" w:sz="4" w:space="0" w:color="auto"/>
              <w:bottom w:val="dotted" w:sz="4" w:space="0" w:color="auto"/>
              <w:right w:val="nil"/>
            </w:tcBorders>
            <w:shd w:val="clear" w:color="auto" w:fill="auto"/>
            <w:noWrap/>
            <w:vAlign w:val="center"/>
            <w:hideMark/>
          </w:tcPr>
          <w:p w14:paraId="3D2B833B" w14:textId="77777777" w:rsidR="00247CBF" w:rsidRPr="00092ED7" w:rsidRDefault="00247CBF" w:rsidP="00247CBF">
            <w:pPr>
              <w:spacing w:after="0" w:line="233" w:lineRule="auto"/>
              <w:jc w:val="right"/>
              <w:rPr>
                <w:sz w:val="20"/>
                <w:szCs w:val="20"/>
                <w:lang w:val="sr-Cyrl-CS"/>
              </w:rPr>
            </w:pPr>
            <w:r w:rsidRPr="00092ED7">
              <w:rPr>
                <w:sz w:val="20"/>
                <w:szCs w:val="20"/>
                <w:lang w:val="sr-Cyrl-CS"/>
              </w:rPr>
              <w:t> </w:t>
            </w:r>
          </w:p>
        </w:tc>
        <w:tc>
          <w:tcPr>
            <w:tcW w:w="920" w:type="dxa"/>
            <w:tcBorders>
              <w:top w:val="nil"/>
              <w:left w:val="single" w:sz="4" w:space="0" w:color="auto"/>
              <w:bottom w:val="dotted" w:sz="4" w:space="0" w:color="auto"/>
              <w:right w:val="single" w:sz="4" w:space="0" w:color="auto"/>
            </w:tcBorders>
            <w:vAlign w:val="center"/>
          </w:tcPr>
          <w:p w14:paraId="49564473" w14:textId="77777777" w:rsidR="00247CBF" w:rsidRPr="00092ED7" w:rsidRDefault="00247CBF" w:rsidP="00247CBF">
            <w:pPr>
              <w:spacing w:after="0" w:line="233" w:lineRule="auto"/>
              <w:jc w:val="right"/>
              <w:rPr>
                <w:sz w:val="20"/>
                <w:szCs w:val="20"/>
                <w:lang w:val="sr-Cyrl-CS"/>
              </w:rPr>
            </w:pPr>
          </w:p>
        </w:tc>
        <w:tc>
          <w:tcPr>
            <w:tcW w:w="921" w:type="dxa"/>
            <w:gridSpan w:val="2"/>
            <w:tcBorders>
              <w:top w:val="nil"/>
              <w:left w:val="single" w:sz="4" w:space="0" w:color="auto"/>
              <w:bottom w:val="dotted" w:sz="4" w:space="0" w:color="auto"/>
              <w:right w:val="double" w:sz="6" w:space="0" w:color="auto"/>
            </w:tcBorders>
            <w:shd w:val="clear" w:color="auto" w:fill="auto"/>
            <w:noWrap/>
            <w:vAlign w:val="center"/>
            <w:hideMark/>
          </w:tcPr>
          <w:p w14:paraId="0D8CDDB3" w14:textId="77777777" w:rsidR="00247CBF" w:rsidRPr="00092ED7" w:rsidRDefault="00247CBF" w:rsidP="00247CBF">
            <w:pPr>
              <w:spacing w:after="0" w:line="233" w:lineRule="auto"/>
              <w:jc w:val="right"/>
              <w:rPr>
                <w:sz w:val="20"/>
                <w:szCs w:val="20"/>
                <w:lang w:val="sr-Cyrl-CS"/>
              </w:rPr>
            </w:pPr>
            <w:r w:rsidRPr="00092ED7">
              <w:rPr>
                <w:sz w:val="20"/>
                <w:szCs w:val="20"/>
                <w:lang w:val="sr-Cyrl-CS"/>
              </w:rPr>
              <w:t> </w:t>
            </w:r>
          </w:p>
        </w:tc>
      </w:tr>
      <w:tr w:rsidR="00247CBF" w:rsidRPr="00092ED7" w14:paraId="0F5DD82A" w14:textId="77777777" w:rsidTr="00247CBF">
        <w:trPr>
          <w:gridBefore w:val="1"/>
          <w:wBefore w:w="23" w:type="dxa"/>
          <w:trHeight w:val="227"/>
        </w:trPr>
        <w:tc>
          <w:tcPr>
            <w:tcW w:w="5101" w:type="dxa"/>
            <w:tcBorders>
              <w:top w:val="nil"/>
              <w:left w:val="double" w:sz="6" w:space="0" w:color="auto"/>
              <w:bottom w:val="dotted" w:sz="4" w:space="0" w:color="auto"/>
              <w:right w:val="single" w:sz="4" w:space="0" w:color="auto"/>
            </w:tcBorders>
            <w:shd w:val="clear" w:color="auto" w:fill="auto"/>
            <w:vAlign w:val="center"/>
            <w:hideMark/>
          </w:tcPr>
          <w:p w14:paraId="5ED15AA0" w14:textId="77777777" w:rsidR="00247CBF" w:rsidRPr="00092ED7" w:rsidRDefault="00247CBF" w:rsidP="00247CBF">
            <w:pPr>
              <w:spacing w:after="0" w:line="233" w:lineRule="auto"/>
              <w:rPr>
                <w:sz w:val="20"/>
                <w:szCs w:val="20"/>
                <w:lang w:val="sr-Cyrl-CS"/>
              </w:rPr>
            </w:pPr>
            <w:r w:rsidRPr="00092ED7">
              <w:rPr>
                <w:sz w:val="20"/>
                <w:szCs w:val="20"/>
                <w:lang w:val="sr-Cyrl-CS"/>
              </w:rPr>
              <w:t>Фискални стимулус - подстицај домаћој тражњи</w:t>
            </w:r>
          </w:p>
        </w:tc>
        <w:tc>
          <w:tcPr>
            <w:tcW w:w="1397" w:type="dxa"/>
            <w:tcBorders>
              <w:top w:val="nil"/>
              <w:left w:val="nil"/>
              <w:bottom w:val="dotted" w:sz="4" w:space="0" w:color="auto"/>
              <w:right w:val="single" w:sz="4" w:space="0" w:color="auto"/>
            </w:tcBorders>
            <w:shd w:val="clear" w:color="auto" w:fill="auto"/>
            <w:noWrap/>
            <w:vAlign w:val="center"/>
            <w:hideMark/>
          </w:tcPr>
          <w:p w14:paraId="208E921B" w14:textId="77777777" w:rsidR="00247CBF" w:rsidRPr="00092ED7" w:rsidRDefault="00247CBF" w:rsidP="00247CBF">
            <w:pPr>
              <w:spacing w:after="0" w:line="233" w:lineRule="auto"/>
              <w:jc w:val="center"/>
              <w:rPr>
                <w:sz w:val="20"/>
                <w:szCs w:val="20"/>
                <w:lang w:val="sr-Cyrl-CS"/>
              </w:rPr>
            </w:pPr>
            <w:r w:rsidRPr="00092ED7">
              <w:rPr>
                <w:sz w:val="20"/>
                <w:szCs w:val="20"/>
                <w:lang w:val="sr-Cyrl-CS"/>
              </w:rPr>
              <w:t>D7</w:t>
            </w:r>
          </w:p>
        </w:tc>
        <w:tc>
          <w:tcPr>
            <w:tcW w:w="2693" w:type="dxa"/>
            <w:tcBorders>
              <w:top w:val="nil"/>
              <w:left w:val="single" w:sz="4" w:space="0" w:color="auto"/>
              <w:bottom w:val="dotted" w:sz="4" w:space="0" w:color="auto"/>
              <w:right w:val="single" w:sz="8" w:space="0" w:color="auto"/>
            </w:tcBorders>
            <w:shd w:val="clear" w:color="auto" w:fill="auto"/>
            <w:vAlign w:val="center"/>
          </w:tcPr>
          <w:p w14:paraId="1887D174" w14:textId="77777777" w:rsidR="00247CBF" w:rsidRPr="00092ED7" w:rsidRDefault="00247CBF" w:rsidP="00247CBF">
            <w:pPr>
              <w:spacing w:after="0" w:line="233" w:lineRule="auto"/>
              <w:jc w:val="center"/>
              <w:rPr>
                <w:sz w:val="20"/>
                <w:szCs w:val="20"/>
                <w:lang w:val="sr-Cyrl-CS"/>
              </w:rPr>
            </w:pPr>
            <w:r w:rsidRPr="00092ED7">
              <w:rPr>
                <w:sz w:val="20"/>
                <w:szCs w:val="20"/>
                <w:lang w:val="sr-Cyrl-CS"/>
              </w:rPr>
              <w:t>2020-04; 2021-04</w:t>
            </w:r>
          </w:p>
        </w:tc>
        <w:tc>
          <w:tcPr>
            <w:tcW w:w="920" w:type="dxa"/>
            <w:tcBorders>
              <w:top w:val="nil"/>
              <w:left w:val="nil"/>
              <w:bottom w:val="dotted" w:sz="4" w:space="0" w:color="auto"/>
              <w:right w:val="single" w:sz="4" w:space="0" w:color="auto"/>
            </w:tcBorders>
            <w:shd w:val="clear" w:color="auto" w:fill="auto"/>
            <w:noWrap/>
            <w:vAlign w:val="center"/>
            <w:hideMark/>
          </w:tcPr>
          <w:p w14:paraId="2D7B1919" w14:textId="77777777" w:rsidR="00247CBF" w:rsidRPr="00092ED7" w:rsidRDefault="00247CBF" w:rsidP="00247CBF">
            <w:pPr>
              <w:spacing w:after="0" w:line="233" w:lineRule="auto"/>
              <w:jc w:val="right"/>
              <w:rPr>
                <w:sz w:val="20"/>
                <w:szCs w:val="20"/>
                <w:lang w:val="sr-Cyrl-CS"/>
              </w:rPr>
            </w:pPr>
            <w:r w:rsidRPr="00092ED7">
              <w:rPr>
                <w:sz w:val="20"/>
                <w:szCs w:val="20"/>
                <w:lang w:val="sr-Cyrl-CS"/>
              </w:rPr>
              <w:t>-72,0</w:t>
            </w:r>
          </w:p>
        </w:tc>
        <w:tc>
          <w:tcPr>
            <w:tcW w:w="921" w:type="dxa"/>
            <w:tcBorders>
              <w:top w:val="nil"/>
              <w:left w:val="single" w:sz="4" w:space="0" w:color="auto"/>
              <w:bottom w:val="dotted" w:sz="4" w:space="0" w:color="auto"/>
              <w:right w:val="nil"/>
            </w:tcBorders>
            <w:shd w:val="clear" w:color="auto" w:fill="auto"/>
            <w:noWrap/>
            <w:vAlign w:val="center"/>
            <w:hideMark/>
          </w:tcPr>
          <w:p w14:paraId="667E9245" w14:textId="77777777" w:rsidR="00247CBF" w:rsidRPr="00092ED7" w:rsidRDefault="00247CBF" w:rsidP="00247CBF">
            <w:pPr>
              <w:spacing w:after="0" w:line="233" w:lineRule="auto"/>
              <w:jc w:val="right"/>
              <w:rPr>
                <w:sz w:val="20"/>
                <w:szCs w:val="20"/>
                <w:lang w:val="sr-Cyrl-CS"/>
              </w:rPr>
            </w:pPr>
            <w:r w:rsidRPr="00092ED7">
              <w:rPr>
                <w:sz w:val="20"/>
                <w:szCs w:val="20"/>
                <w:lang w:val="sr-Cyrl-CS"/>
              </w:rPr>
              <w:t>-67,1</w:t>
            </w:r>
          </w:p>
        </w:tc>
        <w:tc>
          <w:tcPr>
            <w:tcW w:w="920" w:type="dxa"/>
            <w:tcBorders>
              <w:top w:val="nil"/>
              <w:left w:val="single" w:sz="4" w:space="0" w:color="auto"/>
              <w:bottom w:val="dotted" w:sz="4" w:space="0" w:color="auto"/>
              <w:right w:val="nil"/>
            </w:tcBorders>
            <w:shd w:val="clear" w:color="auto" w:fill="auto"/>
            <w:noWrap/>
            <w:vAlign w:val="center"/>
            <w:hideMark/>
          </w:tcPr>
          <w:p w14:paraId="20BE5821" w14:textId="77777777" w:rsidR="00247CBF" w:rsidRPr="00092ED7" w:rsidRDefault="00247CBF" w:rsidP="00247CBF">
            <w:pPr>
              <w:spacing w:after="0" w:line="233" w:lineRule="auto"/>
              <w:jc w:val="right"/>
              <w:rPr>
                <w:sz w:val="20"/>
                <w:szCs w:val="20"/>
                <w:lang w:val="sr-Cyrl-CS"/>
              </w:rPr>
            </w:pPr>
            <w:r w:rsidRPr="00092ED7">
              <w:rPr>
                <w:sz w:val="20"/>
                <w:szCs w:val="20"/>
                <w:lang w:val="sr-Cyrl-CS"/>
              </w:rPr>
              <w:t> </w:t>
            </w:r>
          </w:p>
        </w:tc>
        <w:tc>
          <w:tcPr>
            <w:tcW w:w="921" w:type="dxa"/>
            <w:tcBorders>
              <w:top w:val="nil"/>
              <w:left w:val="single" w:sz="4" w:space="0" w:color="auto"/>
              <w:bottom w:val="dotted" w:sz="4" w:space="0" w:color="auto"/>
              <w:right w:val="nil"/>
            </w:tcBorders>
            <w:shd w:val="clear" w:color="auto" w:fill="auto"/>
            <w:noWrap/>
            <w:vAlign w:val="center"/>
            <w:hideMark/>
          </w:tcPr>
          <w:p w14:paraId="4147B584" w14:textId="77777777" w:rsidR="00247CBF" w:rsidRPr="00092ED7" w:rsidRDefault="00247CBF" w:rsidP="00247CBF">
            <w:pPr>
              <w:spacing w:after="0" w:line="233" w:lineRule="auto"/>
              <w:jc w:val="right"/>
              <w:rPr>
                <w:sz w:val="20"/>
                <w:szCs w:val="20"/>
                <w:lang w:val="sr-Cyrl-CS"/>
              </w:rPr>
            </w:pPr>
            <w:r w:rsidRPr="00092ED7">
              <w:rPr>
                <w:sz w:val="20"/>
                <w:szCs w:val="20"/>
                <w:lang w:val="sr-Cyrl-CS"/>
              </w:rPr>
              <w:t> </w:t>
            </w:r>
          </w:p>
        </w:tc>
        <w:tc>
          <w:tcPr>
            <w:tcW w:w="920" w:type="dxa"/>
            <w:tcBorders>
              <w:top w:val="nil"/>
              <w:left w:val="single" w:sz="4" w:space="0" w:color="auto"/>
              <w:bottom w:val="dotted" w:sz="4" w:space="0" w:color="auto"/>
              <w:right w:val="single" w:sz="4" w:space="0" w:color="auto"/>
            </w:tcBorders>
            <w:vAlign w:val="center"/>
          </w:tcPr>
          <w:p w14:paraId="770B6663" w14:textId="77777777" w:rsidR="00247CBF" w:rsidRPr="00092ED7" w:rsidRDefault="00247CBF" w:rsidP="00247CBF">
            <w:pPr>
              <w:spacing w:after="0" w:line="233" w:lineRule="auto"/>
              <w:jc w:val="right"/>
              <w:rPr>
                <w:sz w:val="20"/>
                <w:szCs w:val="20"/>
                <w:lang w:val="sr-Cyrl-CS"/>
              </w:rPr>
            </w:pPr>
          </w:p>
        </w:tc>
        <w:tc>
          <w:tcPr>
            <w:tcW w:w="921" w:type="dxa"/>
            <w:gridSpan w:val="2"/>
            <w:tcBorders>
              <w:top w:val="nil"/>
              <w:left w:val="single" w:sz="4" w:space="0" w:color="auto"/>
              <w:bottom w:val="dotted" w:sz="4" w:space="0" w:color="auto"/>
              <w:right w:val="double" w:sz="6" w:space="0" w:color="auto"/>
            </w:tcBorders>
            <w:shd w:val="clear" w:color="auto" w:fill="auto"/>
            <w:noWrap/>
            <w:vAlign w:val="center"/>
            <w:hideMark/>
          </w:tcPr>
          <w:p w14:paraId="0B63D137" w14:textId="77777777" w:rsidR="00247CBF" w:rsidRPr="00092ED7" w:rsidRDefault="00247CBF" w:rsidP="00247CBF">
            <w:pPr>
              <w:spacing w:after="0" w:line="233" w:lineRule="auto"/>
              <w:jc w:val="right"/>
              <w:rPr>
                <w:sz w:val="20"/>
                <w:szCs w:val="20"/>
                <w:lang w:val="sr-Cyrl-CS"/>
              </w:rPr>
            </w:pPr>
            <w:r w:rsidRPr="00092ED7">
              <w:rPr>
                <w:sz w:val="20"/>
                <w:szCs w:val="20"/>
                <w:lang w:val="sr-Cyrl-CS"/>
              </w:rPr>
              <w:t> </w:t>
            </w:r>
          </w:p>
        </w:tc>
      </w:tr>
      <w:tr w:rsidR="00247CBF" w:rsidRPr="00092ED7" w14:paraId="1FEB6350" w14:textId="77777777" w:rsidTr="00247CBF">
        <w:trPr>
          <w:gridBefore w:val="1"/>
          <w:wBefore w:w="23" w:type="dxa"/>
          <w:trHeight w:val="227"/>
        </w:trPr>
        <w:tc>
          <w:tcPr>
            <w:tcW w:w="5101" w:type="dxa"/>
            <w:tcBorders>
              <w:top w:val="nil"/>
              <w:left w:val="double" w:sz="6" w:space="0" w:color="auto"/>
              <w:bottom w:val="dotted" w:sz="4" w:space="0" w:color="auto"/>
              <w:right w:val="single" w:sz="4" w:space="0" w:color="auto"/>
            </w:tcBorders>
            <w:shd w:val="clear" w:color="auto" w:fill="auto"/>
            <w:vAlign w:val="center"/>
            <w:hideMark/>
          </w:tcPr>
          <w:p w14:paraId="1E3A8B0B" w14:textId="77777777" w:rsidR="00247CBF" w:rsidRPr="00092ED7" w:rsidRDefault="00247CBF" w:rsidP="00247CBF">
            <w:pPr>
              <w:spacing w:after="0" w:line="233" w:lineRule="auto"/>
              <w:rPr>
                <w:sz w:val="20"/>
                <w:szCs w:val="20"/>
                <w:lang w:val="sr-Cyrl-CS"/>
              </w:rPr>
            </w:pPr>
            <w:r w:rsidRPr="00092ED7">
              <w:rPr>
                <w:sz w:val="20"/>
                <w:szCs w:val="20"/>
                <w:lang w:val="sr-Cyrl-CS"/>
              </w:rPr>
              <w:t>Мораторијум на исплату дивиденди</w:t>
            </w:r>
          </w:p>
        </w:tc>
        <w:tc>
          <w:tcPr>
            <w:tcW w:w="1397" w:type="dxa"/>
            <w:tcBorders>
              <w:top w:val="nil"/>
              <w:left w:val="nil"/>
              <w:bottom w:val="dotted" w:sz="4" w:space="0" w:color="auto"/>
              <w:right w:val="single" w:sz="4" w:space="0" w:color="auto"/>
            </w:tcBorders>
            <w:shd w:val="clear" w:color="auto" w:fill="auto"/>
            <w:noWrap/>
            <w:vAlign w:val="center"/>
            <w:hideMark/>
          </w:tcPr>
          <w:p w14:paraId="46F4D8EC" w14:textId="77777777" w:rsidR="00247CBF" w:rsidRPr="00092ED7" w:rsidRDefault="00247CBF" w:rsidP="00247CBF">
            <w:pPr>
              <w:spacing w:after="0" w:line="233" w:lineRule="auto"/>
              <w:jc w:val="center"/>
              <w:rPr>
                <w:sz w:val="20"/>
                <w:szCs w:val="20"/>
                <w:lang w:val="sr-Cyrl-CS"/>
              </w:rPr>
            </w:pPr>
            <w:r w:rsidRPr="00092ED7">
              <w:rPr>
                <w:sz w:val="20"/>
                <w:szCs w:val="20"/>
                <w:lang w:val="sr-Cyrl-CS"/>
              </w:rPr>
              <w:t>D5</w:t>
            </w:r>
          </w:p>
        </w:tc>
        <w:tc>
          <w:tcPr>
            <w:tcW w:w="2693" w:type="dxa"/>
            <w:tcBorders>
              <w:top w:val="nil"/>
              <w:left w:val="single" w:sz="4" w:space="0" w:color="auto"/>
              <w:bottom w:val="dotted" w:sz="4" w:space="0" w:color="auto"/>
              <w:right w:val="single" w:sz="8" w:space="0" w:color="auto"/>
            </w:tcBorders>
            <w:shd w:val="clear" w:color="auto" w:fill="auto"/>
            <w:noWrap/>
            <w:vAlign w:val="center"/>
          </w:tcPr>
          <w:p w14:paraId="3A32AADB" w14:textId="77777777" w:rsidR="00247CBF" w:rsidRPr="00092ED7" w:rsidRDefault="00247CBF" w:rsidP="00247CBF">
            <w:pPr>
              <w:spacing w:after="0" w:line="233" w:lineRule="auto"/>
              <w:jc w:val="center"/>
              <w:rPr>
                <w:sz w:val="20"/>
                <w:szCs w:val="20"/>
                <w:lang w:val="sr-Cyrl-CS"/>
              </w:rPr>
            </w:pPr>
            <w:r w:rsidRPr="00092ED7">
              <w:rPr>
                <w:sz w:val="20"/>
                <w:szCs w:val="20"/>
                <w:lang w:val="sr-Cyrl-CS"/>
              </w:rPr>
              <w:t>2020-04</w:t>
            </w:r>
          </w:p>
        </w:tc>
        <w:tc>
          <w:tcPr>
            <w:tcW w:w="920" w:type="dxa"/>
            <w:tcBorders>
              <w:top w:val="nil"/>
              <w:left w:val="nil"/>
              <w:bottom w:val="dotted" w:sz="4" w:space="0" w:color="auto"/>
              <w:right w:val="single" w:sz="4" w:space="0" w:color="auto"/>
            </w:tcBorders>
            <w:shd w:val="clear" w:color="auto" w:fill="auto"/>
            <w:noWrap/>
            <w:vAlign w:val="center"/>
            <w:hideMark/>
          </w:tcPr>
          <w:p w14:paraId="44D15439" w14:textId="77777777" w:rsidR="00247CBF" w:rsidRPr="00092ED7" w:rsidRDefault="00247CBF" w:rsidP="00247CBF">
            <w:pPr>
              <w:spacing w:after="0" w:line="233" w:lineRule="auto"/>
              <w:jc w:val="right"/>
              <w:rPr>
                <w:sz w:val="20"/>
                <w:szCs w:val="20"/>
                <w:lang w:val="sr-Cyrl-CS"/>
              </w:rPr>
            </w:pPr>
            <w:r w:rsidRPr="00092ED7">
              <w:rPr>
                <w:sz w:val="20"/>
                <w:szCs w:val="20"/>
                <w:lang w:val="sr-Cyrl-CS"/>
              </w:rPr>
              <w:t>-6,0</w:t>
            </w:r>
          </w:p>
        </w:tc>
        <w:tc>
          <w:tcPr>
            <w:tcW w:w="921" w:type="dxa"/>
            <w:tcBorders>
              <w:top w:val="nil"/>
              <w:left w:val="single" w:sz="4" w:space="0" w:color="auto"/>
              <w:bottom w:val="dotted" w:sz="4" w:space="0" w:color="auto"/>
              <w:right w:val="nil"/>
            </w:tcBorders>
            <w:shd w:val="clear" w:color="auto" w:fill="auto"/>
            <w:noWrap/>
            <w:vAlign w:val="center"/>
            <w:hideMark/>
          </w:tcPr>
          <w:p w14:paraId="2D98DF2E" w14:textId="77777777" w:rsidR="00247CBF" w:rsidRPr="00092ED7" w:rsidRDefault="00247CBF" w:rsidP="00247CBF">
            <w:pPr>
              <w:spacing w:after="0" w:line="233" w:lineRule="auto"/>
              <w:jc w:val="right"/>
              <w:rPr>
                <w:sz w:val="20"/>
                <w:szCs w:val="20"/>
                <w:lang w:val="sr-Cyrl-CS"/>
              </w:rPr>
            </w:pPr>
            <w:r w:rsidRPr="00092ED7">
              <w:rPr>
                <w:sz w:val="20"/>
                <w:szCs w:val="20"/>
                <w:lang w:val="sr-Cyrl-CS"/>
              </w:rPr>
              <w:t> </w:t>
            </w:r>
          </w:p>
        </w:tc>
        <w:tc>
          <w:tcPr>
            <w:tcW w:w="920" w:type="dxa"/>
            <w:tcBorders>
              <w:top w:val="nil"/>
              <w:left w:val="single" w:sz="4" w:space="0" w:color="auto"/>
              <w:bottom w:val="dotted" w:sz="4" w:space="0" w:color="auto"/>
              <w:right w:val="nil"/>
            </w:tcBorders>
            <w:shd w:val="clear" w:color="auto" w:fill="auto"/>
            <w:noWrap/>
            <w:vAlign w:val="center"/>
            <w:hideMark/>
          </w:tcPr>
          <w:p w14:paraId="5CB6C4B2" w14:textId="77777777" w:rsidR="00247CBF" w:rsidRPr="00092ED7" w:rsidRDefault="00247CBF" w:rsidP="00247CBF">
            <w:pPr>
              <w:spacing w:after="0" w:line="233" w:lineRule="auto"/>
              <w:jc w:val="right"/>
              <w:rPr>
                <w:sz w:val="20"/>
                <w:szCs w:val="20"/>
                <w:lang w:val="sr-Cyrl-CS"/>
              </w:rPr>
            </w:pPr>
            <w:r w:rsidRPr="00092ED7">
              <w:rPr>
                <w:sz w:val="20"/>
                <w:szCs w:val="20"/>
                <w:lang w:val="sr-Cyrl-CS"/>
              </w:rPr>
              <w:t> </w:t>
            </w:r>
          </w:p>
        </w:tc>
        <w:tc>
          <w:tcPr>
            <w:tcW w:w="921" w:type="dxa"/>
            <w:tcBorders>
              <w:top w:val="nil"/>
              <w:left w:val="single" w:sz="4" w:space="0" w:color="auto"/>
              <w:bottom w:val="dotted" w:sz="4" w:space="0" w:color="auto"/>
              <w:right w:val="nil"/>
            </w:tcBorders>
            <w:shd w:val="clear" w:color="auto" w:fill="auto"/>
            <w:noWrap/>
            <w:vAlign w:val="center"/>
            <w:hideMark/>
          </w:tcPr>
          <w:p w14:paraId="6AA4CA76" w14:textId="77777777" w:rsidR="00247CBF" w:rsidRPr="00092ED7" w:rsidRDefault="00247CBF" w:rsidP="00247CBF">
            <w:pPr>
              <w:spacing w:after="0" w:line="233" w:lineRule="auto"/>
              <w:jc w:val="right"/>
              <w:rPr>
                <w:sz w:val="20"/>
                <w:szCs w:val="20"/>
                <w:lang w:val="sr-Cyrl-CS"/>
              </w:rPr>
            </w:pPr>
            <w:r w:rsidRPr="00092ED7">
              <w:rPr>
                <w:sz w:val="20"/>
                <w:szCs w:val="20"/>
                <w:lang w:val="sr-Cyrl-CS"/>
              </w:rPr>
              <w:t> </w:t>
            </w:r>
          </w:p>
        </w:tc>
        <w:tc>
          <w:tcPr>
            <w:tcW w:w="920" w:type="dxa"/>
            <w:tcBorders>
              <w:top w:val="nil"/>
              <w:left w:val="single" w:sz="4" w:space="0" w:color="auto"/>
              <w:bottom w:val="dotted" w:sz="4" w:space="0" w:color="auto"/>
              <w:right w:val="single" w:sz="4" w:space="0" w:color="auto"/>
            </w:tcBorders>
            <w:vAlign w:val="center"/>
          </w:tcPr>
          <w:p w14:paraId="4EF7FCFD" w14:textId="77777777" w:rsidR="00247CBF" w:rsidRPr="00092ED7" w:rsidRDefault="00247CBF" w:rsidP="00247CBF">
            <w:pPr>
              <w:spacing w:after="0" w:line="233" w:lineRule="auto"/>
              <w:jc w:val="right"/>
              <w:rPr>
                <w:sz w:val="20"/>
                <w:szCs w:val="20"/>
                <w:lang w:val="sr-Cyrl-CS"/>
              </w:rPr>
            </w:pPr>
          </w:p>
        </w:tc>
        <w:tc>
          <w:tcPr>
            <w:tcW w:w="921" w:type="dxa"/>
            <w:gridSpan w:val="2"/>
            <w:tcBorders>
              <w:top w:val="nil"/>
              <w:left w:val="single" w:sz="4" w:space="0" w:color="auto"/>
              <w:bottom w:val="dotted" w:sz="4" w:space="0" w:color="auto"/>
              <w:right w:val="double" w:sz="6" w:space="0" w:color="auto"/>
            </w:tcBorders>
            <w:shd w:val="clear" w:color="auto" w:fill="auto"/>
            <w:noWrap/>
            <w:vAlign w:val="center"/>
            <w:hideMark/>
          </w:tcPr>
          <w:p w14:paraId="1AB153DF" w14:textId="77777777" w:rsidR="00247CBF" w:rsidRPr="00092ED7" w:rsidRDefault="00247CBF" w:rsidP="00247CBF">
            <w:pPr>
              <w:spacing w:after="0" w:line="233" w:lineRule="auto"/>
              <w:jc w:val="right"/>
              <w:rPr>
                <w:sz w:val="20"/>
                <w:szCs w:val="20"/>
                <w:lang w:val="sr-Cyrl-CS"/>
              </w:rPr>
            </w:pPr>
            <w:r w:rsidRPr="00092ED7">
              <w:rPr>
                <w:sz w:val="20"/>
                <w:szCs w:val="20"/>
                <w:lang w:val="sr-Cyrl-CS"/>
              </w:rPr>
              <w:t> </w:t>
            </w:r>
          </w:p>
        </w:tc>
      </w:tr>
      <w:tr w:rsidR="00247CBF" w:rsidRPr="00092ED7" w14:paraId="5996EEDF" w14:textId="77777777" w:rsidTr="00247CBF">
        <w:trPr>
          <w:gridBefore w:val="1"/>
          <w:wBefore w:w="23" w:type="dxa"/>
          <w:trHeight w:val="227"/>
        </w:trPr>
        <w:tc>
          <w:tcPr>
            <w:tcW w:w="5101" w:type="dxa"/>
            <w:tcBorders>
              <w:top w:val="nil"/>
              <w:left w:val="double" w:sz="6" w:space="0" w:color="auto"/>
              <w:bottom w:val="dotted" w:sz="4" w:space="0" w:color="auto"/>
              <w:right w:val="single" w:sz="4" w:space="0" w:color="auto"/>
            </w:tcBorders>
            <w:shd w:val="clear" w:color="auto" w:fill="auto"/>
            <w:vAlign w:val="center"/>
            <w:hideMark/>
          </w:tcPr>
          <w:p w14:paraId="244DAA9D" w14:textId="77777777" w:rsidR="00247CBF" w:rsidRPr="00092ED7" w:rsidRDefault="00247CBF" w:rsidP="00247CBF">
            <w:pPr>
              <w:spacing w:after="0" w:line="233" w:lineRule="auto"/>
              <w:rPr>
                <w:sz w:val="20"/>
                <w:szCs w:val="20"/>
                <w:lang w:val="sr-Cyrl-CS"/>
              </w:rPr>
            </w:pPr>
            <w:r w:rsidRPr="00092ED7">
              <w:rPr>
                <w:sz w:val="20"/>
                <w:szCs w:val="20"/>
                <w:lang w:val="sr-Cyrl-CS"/>
              </w:rPr>
              <w:t>Помоћ пензионерима</w:t>
            </w:r>
          </w:p>
        </w:tc>
        <w:tc>
          <w:tcPr>
            <w:tcW w:w="1397" w:type="dxa"/>
            <w:tcBorders>
              <w:top w:val="nil"/>
              <w:left w:val="nil"/>
              <w:bottom w:val="dotted" w:sz="4" w:space="0" w:color="auto"/>
              <w:right w:val="single" w:sz="4" w:space="0" w:color="auto"/>
            </w:tcBorders>
            <w:shd w:val="clear" w:color="auto" w:fill="auto"/>
            <w:noWrap/>
            <w:vAlign w:val="center"/>
            <w:hideMark/>
          </w:tcPr>
          <w:p w14:paraId="52970580" w14:textId="77777777" w:rsidR="00247CBF" w:rsidRPr="00092ED7" w:rsidRDefault="00247CBF" w:rsidP="00247CBF">
            <w:pPr>
              <w:spacing w:after="0" w:line="233" w:lineRule="auto"/>
              <w:jc w:val="center"/>
              <w:rPr>
                <w:sz w:val="20"/>
                <w:szCs w:val="20"/>
                <w:lang w:val="sr-Cyrl-CS"/>
              </w:rPr>
            </w:pPr>
            <w:r w:rsidRPr="00092ED7">
              <w:rPr>
                <w:sz w:val="20"/>
                <w:szCs w:val="20"/>
                <w:lang w:val="sr-Cyrl-CS"/>
              </w:rPr>
              <w:t>D62</w:t>
            </w:r>
          </w:p>
        </w:tc>
        <w:tc>
          <w:tcPr>
            <w:tcW w:w="2693" w:type="dxa"/>
            <w:tcBorders>
              <w:top w:val="nil"/>
              <w:left w:val="single" w:sz="4" w:space="0" w:color="auto"/>
              <w:bottom w:val="dotted" w:sz="4" w:space="0" w:color="auto"/>
              <w:right w:val="single" w:sz="8" w:space="0" w:color="auto"/>
            </w:tcBorders>
            <w:shd w:val="clear" w:color="auto" w:fill="auto"/>
            <w:vAlign w:val="center"/>
          </w:tcPr>
          <w:p w14:paraId="06BAEFBF" w14:textId="77777777" w:rsidR="00247CBF" w:rsidRPr="00092ED7" w:rsidRDefault="00247CBF" w:rsidP="00247CBF">
            <w:pPr>
              <w:spacing w:after="0" w:line="233" w:lineRule="auto"/>
              <w:jc w:val="center"/>
              <w:rPr>
                <w:sz w:val="20"/>
                <w:szCs w:val="20"/>
                <w:lang w:val="sr-Cyrl-CS"/>
              </w:rPr>
            </w:pPr>
            <w:r w:rsidRPr="00092ED7">
              <w:rPr>
                <w:sz w:val="20"/>
                <w:szCs w:val="20"/>
                <w:lang w:val="sr-Cyrl-CS"/>
              </w:rPr>
              <w:t>2020-04; 2021-04; 2021-11</w:t>
            </w:r>
          </w:p>
        </w:tc>
        <w:tc>
          <w:tcPr>
            <w:tcW w:w="920" w:type="dxa"/>
            <w:tcBorders>
              <w:top w:val="nil"/>
              <w:left w:val="nil"/>
              <w:bottom w:val="dotted" w:sz="4" w:space="0" w:color="auto"/>
              <w:right w:val="single" w:sz="4" w:space="0" w:color="auto"/>
            </w:tcBorders>
            <w:shd w:val="clear" w:color="auto" w:fill="auto"/>
            <w:noWrap/>
            <w:vAlign w:val="center"/>
            <w:hideMark/>
          </w:tcPr>
          <w:p w14:paraId="4C8C299C" w14:textId="77777777" w:rsidR="00247CBF" w:rsidRPr="00092ED7" w:rsidRDefault="00247CBF" w:rsidP="00247CBF">
            <w:pPr>
              <w:spacing w:after="0" w:line="233" w:lineRule="auto"/>
              <w:jc w:val="right"/>
              <w:rPr>
                <w:sz w:val="20"/>
                <w:szCs w:val="20"/>
                <w:lang w:val="sr-Cyrl-CS"/>
              </w:rPr>
            </w:pPr>
            <w:r w:rsidRPr="00092ED7">
              <w:rPr>
                <w:sz w:val="20"/>
                <w:szCs w:val="20"/>
                <w:lang w:val="sr-Cyrl-CS"/>
              </w:rPr>
              <w:t>-15,3</w:t>
            </w:r>
          </w:p>
        </w:tc>
        <w:tc>
          <w:tcPr>
            <w:tcW w:w="921" w:type="dxa"/>
            <w:tcBorders>
              <w:top w:val="nil"/>
              <w:left w:val="single" w:sz="4" w:space="0" w:color="auto"/>
              <w:bottom w:val="dotted" w:sz="4" w:space="0" w:color="auto"/>
              <w:right w:val="nil"/>
            </w:tcBorders>
            <w:shd w:val="clear" w:color="auto" w:fill="auto"/>
            <w:noWrap/>
            <w:vAlign w:val="center"/>
            <w:hideMark/>
          </w:tcPr>
          <w:p w14:paraId="38251A7E" w14:textId="77777777" w:rsidR="00247CBF" w:rsidRPr="00092ED7" w:rsidRDefault="00247CBF" w:rsidP="00247CBF">
            <w:pPr>
              <w:spacing w:after="0" w:line="233" w:lineRule="auto"/>
              <w:jc w:val="right"/>
              <w:rPr>
                <w:sz w:val="20"/>
                <w:szCs w:val="20"/>
                <w:lang w:val="sr-Cyrl-CS"/>
              </w:rPr>
            </w:pPr>
            <w:r w:rsidRPr="00092ED7">
              <w:rPr>
                <w:sz w:val="20"/>
                <w:szCs w:val="20"/>
                <w:lang w:val="sr-Cyrl-CS"/>
              </w:rPr>
              <w:t>-10</w:t>
            </w:r>
          </w:p>
        </w:tc>
        <w:tc>
          <w:tcPr>
            <w:tcW w:w="920" w:type="dxa"/>
            <w:tcBorders>
              <w:top w:val="nil"/>
              <w:left w:val="single" w:sz="4" w:space="0" w:color="auto"/>
              <w:bottom w:val="dotted" w:sz="4" w:space="0" w:color="auto"/>
              <w:right w:val="nil"/>
            </w:tcBorders>
            <w:shd w:val="clear" w:color="auto" w:fill="auto"/>
            <w:noWrap/>
            <w:vAlign w:val="center"/>
            <w:hideMark/>
          </w:tcPr>
          <w:p w14:paraId="02761EEE" w14:textId="77777777" w:rsidR="00247CBF" w:rsidRPr="00092ED7" w:rsidRDefault="00247CBF" w:rsidP="00247CBF">
            <w:pPr>
              <w:spacing w:after="0" w:line="233" w:lineRule="auto"/>
              <w:jc w:val="right"/>
              <w:rPr>
                <w:sz w:val="20"/>
                <w:szCs w:val="20"/>
                <w:lang w:val="sr-Cyrl-CS"/>
              </w:rPr>
            </w:pPr>
            <w:r w:rsidRPr="00092ED7">
              <w:rPr>
                <w:sz w:val="20"/>
                <w:szCs w:val="20"/>
                <w:lang w:val="sr-Cyrl-CS"/>
              </w:rPr>
              <w:t>-33,6</w:t>
            </w:r>
          </w:p>
        </w:tc>
        <w:tc>
          <w:tcPr>
            <w:tcW w:w="921" w:type="dxa"/>
            <w:tcBorders>
              <w:top w:val="nil"/>
              <w:left w:val="single" w:sz="4" w:space="0" w:color="auto"/>
              <w:bottom w:val="dotted" w:sz="4" w:space="0" w:color="auto"/>
              <w:right w:val="nil"/>
            </w:tcBorders>
            <w:shd w:val="clear" w:color="auto" w:fill="auto"/>
            <w:noWrap/>
            <w:vAlign w:val="center"/>
            <w:hideMark/>
          </w:tcPr>
          <w:p w14:paraId="088D4B0F" w14:textId="77777777" w:rsidR="00247CBF" w:rsidRPr="00092ED7" w:rsidRDefault="00247CBF" w:rsidP="00247CBF">
            <w:pPr>
              <w:spacing w:after="0" w:line="233" w:lineRule="auto"/>
              <w:jc w:val="right"/>
              <w:rPr>
                <w:sz w:val="20"/>
                <w:szCs w:val="20"/>
                <w:lang w:val="sr-Cyrl-CS"/>
              </w:rPr>
            </w:pPr>
            <w:r w:rsidRPr="00092ED7">
              <w:rPr>
                <w:sz w:val="20"/>
                <w:szCs w:val="20"/>
                <w:lang w:val="sr-Cyrl-CS"/>
              </w:rPr>
              <w:t> </w:t>
            </w:r>
          </w:p>
        </w:tc>
        <w:tc>
          <w:tcPr>
            <w:tcW w:w="920" w:type="dxa"/>
            <w:tcBorders>
              <w:top w:val="nil"/>
              <w:left w:val="single" w:sz="4" w:space="0" w:color="auto"/>
              <w:bottom w:val="dotted" w:sz="4" w:space="0" w:color="auto"/>
              <w:right w:val="single" w:sz="4" w:space="0" w:color="auto"/>
            </w:tcBorders>
            <w:vAlign w:val="center"/>
          </w:tcPr>
          <w:p w14:paraId="2F853394" w14:textId="77777777" w:rsidR="00247CBF" w:rsidRPr="00092ED7" w:rsidRDefault="00247CBF" w:rsidP="00247CBF">
            <w:pPr>
              <w:spacing w:after="0" w:line="233" w:lineRule="auto"/>
              <w:jc w:val="right"/>
              <w:rPr>
                <w:sz w:val="20"/>
                <w:szCs w:val="20"/>
                <w:lang w:val="sr-Cyrl-CS"/>
              </w:rPr>
            </w:pPr>
          </w:p>
        </w:tc>
        <w:tc>
          <w:tcPr>
            <w:tcW w:w="921" w:type="dxa"/>
            <w:gridSpan w:val="2"/>
            <w:tcBorders>
              <w:top w:val="nil"/>
              <w:left w:val="single" w:sz="4" w:space="0" w:color="auto"/>
              <w:bottom w:val="dotted" w:sz="4" w:space="0" w:color="auto"/>
              <w:right w:val="double" w:sz="6" w:space="0" w:color="auto"/>
            </w:tcBorders>
            <w:shd w:val="clear" w:color="auto" w:fill="auto"/>
            <w:noWrap/>
            <w:vAlign w:val="center"/>
            <w:hideMark/>
          </w:tcPr>
          <w:p w14:paraId="241876EC" w14:textId="77777777" w:rsidR="00247CBF" w:rsidRPr="00092ED7" w:rsidRDefault="00247CBF" w:rsidP="00247CBF">
            <w:pPr>
              <w:spacing w:after="0" w:line="233" w:lineRule="auto"/>
              <w:jc w:val="right"/>
              <w:rPr>
                <w:sz w:val="20"/>
                <w:szCs w:val="20"/>
                <w:lang w:val="sr-Cyrl-CS"/>
              </w:rPr>
            </w:pPr>
            <w:r w:rsidRPr="00092ED7">
              <w:rPr>
                <w:sz w:val="20"/>
                <w:szCs w:val="20"/>
                <w:lang w:val="sr-Cyrl-CS"/>
              </w:rPr>
              <w:t> </w:t>
            </w:r>
          </w:p>
        </w:tc>
      </w:tr>
      <w:tr w:rsidR="00FB09AE" w:rsidRPr="00092ED7" w14:paraId="4616268F" w14:textId="77777777" w:rsidTr="00FB09AE">
        <w:trPr>
          <w:gridBefore w:val="1"/>
          <w:wBefore w:w="23" w:type="dxa"/>
          <w:trHeight w:val="227"/>
        </w:trPr>
        <w:tc>
          <w:tcPr>
            <w:tcW w:w="5101" w:type="dxa"/>
            <w:tcBorders>
              <w:top w:val="nil"/>
              <w:left w:val="double" w:sz="6" w:space="0" w:color="auto"/>
              <w:bottom w:val="dotted" w:sz="4" w:space="0" w:color="auto"/>
              <w:right w:val="single" w:sz="4" w:space="0" w:color="auto"/>
            </w:tcBorders>
            <w:shd w:val="clear" w:color="auto" w:fill="auto"/>
            <w:vAlign w:val="center"/>
            <w:hideMark/>
          </w:tcPr>
          <w:p w14:paraId="0E56CCE0" w14:textId="77777777" w:rsidR="00247CBF" w:rsidRPr="00092ED7" w:rsidRDefault="00247CBF" w:rsidP="00FB09AE">
            <w:pPr>
              <w:spacing w:after="0"/>
              <w:rPr>
                <w:sz w:val="20"/>
                <w:szCs w:val="20"/>
                <w:lang w:val="sr-Cyrl-CS"/>
              </w:rPr>
            </w:pPr>
            <w:r w:rsidRPr="00092ED7">
              <w:rPr>
                <w:sz w:val="20"/>
                <w:szCs w:val="20"/>
                <w:lang w:val="sr-Cyrl-CS"/>
              </w:rPr>
              <w:t>Помоћ незапосленима</w:t>
            </w:r>
          </w:p>
        </w:tc>
        <w:tc>
          <w:tcPr>
            <w:tcW w:w="1397" w:type="dxa"/>
            <w:tcBorders>
              <w:top w:val="nil"/>
              <w:left w:val="nil"/>
              <w:bottom w:val="dotted" w:sz="4" w:space="0" w:color="auto"/>
              <w:right w:val="single" w:sz="4" w:space="0" w:color="auto"/>
            </w:tcBorders>
            <w:shd w:val="clear" w:color="auto" w:fill="auto"/>
            <w:noWrap/>
            <w:vAlign w:val="center"/>
            <w:hideMark/>
          </w:tcPr>
          <w:p w14:paraId="32FE5FBA" w14:textId="77777777" w:rsidR="00247CBF" w:rsidRPr="00092ED7" w:rsidRDefault="00247CBF" w:rsidP="00FB09AE">
            <w:pPr>
              <w:spacing w:after="0"/>
              <w:jc w:val="center"/>
              <w:rPr>
                <w:sz w:val="20"/>
                <w:szCs w:val="20"/>
                <w:lang w:val="sr-Cyrl-CS"/>
              </w:rPr>
            </w:pPr>
            <w:r w:rsidRPr="00092ED7">
              <w:rPr>
                <w:sz w:val="20"/>
                <w:szCs w:val="20"/>
                <w:lang w:val="sr-Cyrl-CS"/>
              </w:rPr>
              <w:t>D63</w:t>
            </w:r>
          </w:p>
        </w:tc>
        <w:tc>
          <w:tcPr>
            <w:tcW w:w="2693" w:type="dxa"/>
            <w:tcBorders>
              <w:top w:val="nil"/>
              <w:left w:val="single" w:sz="4" w:space="0" w:color="auto"/>
              <w:bottom w:val="dotted" w:sz="4" w:space="0" w:color="auto"/>
              <w:right w:val="single" w:sz="8" w:space="0" w:color="auto"/>
            </w:tcBorders>
            <w:shd w:val="clear" w:color="auto" w:fill="auto"/>
            <w:noWrap/>
            <w:vAlign w:val="center"/>
          </w:tcPr>
          <w:p w14:paraId="63AB3ECE" w14:textId="77777777" w:rsidR="00247CBF" w:rsidRPr="00092ED7" w:rsidRDefault="00247CBF" w:rsidP="00FB09AE">
            <w:pPr>
              <w:spacing w:after="0"/>
              <w:jc w:val="center"/>
              <w:rPr>
                <w:sz w:val="20"/>
                <w:szCs w:val="20"/>
                <w:lang w:val="sr-Cyrl-CS"/>
              </w:rPr>
            </w:pPr>
            <w:r w:rsidRPr="00092ED7">
              <w:rPr>
                <w:sz w:val="20"/>
                <w:szCs w:val="20"/>
                <w:lang w:val="sr-Cyrl-CS"/>
              </w:rPr>
              <w:t>2021-04</w:t>
            </w:r>
          </w:p>
        </w:tc>
        <w:tc>
          <w:tcPr>
            <w:tcW w:w="920" w:type="dxa"/>
            <w:tcBorders>
              <w:top w:val="nil"/>
              <w:left w:val="nil"/>
              <w:bottom w:val="dotted" w:sz="4" w:space="0" w:color="auto"/>
              <w:right w:val="single" w:sz="4" w:space="0" w:color="auto"/>
            </w:tcBorders>
            <w:shd w:val="clear" w:color="auto" w:fill="auto"/>
            <w:noWrap/>
            <w:vAlign w:val="center"/>
            <w:hideMark/>
          </w:tcPr>
          <w:p w14:paraId="3B9555AE" w14:textId="77777777" w:rsidR="00247CBF" w:rsidRPr="00092ED7" w:rsidRDefault="00247CBF" w:rsidP="00FB09AE">
            <w:pPr>
              <w:spacing w:after="0"/>
              <w:jc w:val="right"/>
              <w:rPr>
                <w:sz w:val="20"/>
                <w:szCs w:val="20"/>
                <w:lang w:val="sr-Cyrl-CS"/>
              </w:rPr>
            </w:pPr>
            <w:r w:rsidRPr="00092ED7">
              <w:rPr>
                <w:sz w:val="20"/>
                <w:szCs w:val="20"/>
                <w:lang w:val="sr-Cyrl-CS"/>
              </w:rPr>
              <w:t> </w:t>
            </w:r>
          </w:p>
        </w:tc>
        <w:tc>
          <w:tcPr>
            <w:tcW w:w="921" w:type="dxa"/>
            <w:tcBorders>
              <w:top w:val="nil"/>
              <w:left w:val="single" w:sz="4" w:space="0" w:color="auto"/>
              <w:bottom w:val="dotted" w:sz="4" w:space="0" w:color="auto"/>
              <w:right w:val="nil"/>
            </w:tcBorders>
            <w:shd w:val="clear" w:color="auto" w:fill="auto"/>
            <w:noWrap/>
            <w:vAlign w:val="center"/>
            <w:hideMark/>
          </w:tcPr>
          <w:p w14:paraId="6B04BCD0" w14:textId="77777777" w:rsidR="00247CBF" w:rsidRPr="00092ED7" w:rsidRDefault="00247CBF" w:rsidP="00FB09AE">
            <w:pPr>
              <w:spacing w:after="0"/>
              <w:jc w:val="right"/>
              <w:rPr>
                <w:sz w:val="20"/>
                <w:szCs w:val="20"/>
                <w:lang w:val="sr-Cyrl-CS"/>
              </w:rPr>
            </w:pPr>
            <w:r w:rsidRPr="00092ED7">
              <w:rPr>
                <w:sz w:val="20"/>
                <w:szCs w:val="20"/>
                <w:lang w:val="sr-Cyrl-CS"/>
              </w:rPr>
              <w:t>-5</w:t>
            </w:r>
          </w:p>
        </w:tc>
        <w:tc>
          <w:tcPr>
            <w:tcW w:w="920" w:type="dxa"/>
            <w:tcBorders>
              <w:top w:val="nil"/>
              <w:left w:val="single" w:sz="4" w:space="0" w:color="auto"/>
              <w:bottom w:val="dotted" w:sz="4" w:space="0" w:color="auto"/>
              <w:right w:val="nil"/>
            </w:tcBorders>
            <w:shd w:val="clear" w:color="auto" w:fill="auto"/>
            <w:noWrap/>
            <w:vAlign w:val="center"/>
            <w:hideMark/>
          </w:tcPr>
          <w:p w14:paraId="2FCC7824" w14:textId="77777777" w:rsidR="00247CBF" w:rsidRPr="00092ED7" w:rsidRDefault="00247CBF" w:rsidP="00FB09AE">
            <w:pPr>
              <w:spacing w:after="0"/>
              <w:jc w:val="right"/>
              <w:rPr>
                <w:sz w:val="20"/>
                <w:szCs w:val="20"/>
                <w:lang w:val="sr-Cyrl-CS"/>
              </w:rPr>
            </w:pPr>
            <w:r w:rsidRPr="00092ED7">
              <w:rPr>
                <w:sz w:val="20"/>
                <w:szCs w:val="20"/>
                <w:lang w:val="sr-Cyrl-CS"/>
              </w:rPr>
              <w:t> </w:t>
            </w:r>
          </w:p>
        </w:tc>
        <w:tc>
          <w:tcPr>
            <w:tcW w:w="921" w:type="dxa"/>
            <w:tcBorders>
              <w:top w:val="nil"/>
              <w:left w:val="single" w:sz="4" w:space="0" w:color="auto"/>
              <w:bottom w:val="dotted" w:sz="4" w:space="0" w:color="auto"/>
              <w:right w:val="nil"/>
            </w:tcBorders>
            <w:shd w:val="clear" w:color="auto" w:fill="auto"/>
            <w:noWrap/>
            <w:vAlign w:val="center"/>
            <w:hideMark/>
          </w:tcPr>
          <w:p w14:paraId="5229CB3A" w14:textId="77777777" w:rsidR="00247CBF" w:rsidRPr="00092ED7" w:rsidRDefault="00247CBF" w:rsidP="00FB09AE">
            <w:pPr>
              <w:spacing w:after="0"/>
              <w:jc w:val="right"/>
              <w:rPr>
                <w:sz w:val="20"/>
                <w:szCs w:val="20"/>
                <w:lang w:val="sr-Cyrl-CS"/>
              </w:rPr>
            </w:pPr>
            <w:r w:rsidRPr="00092ED7">
              <w:rPr>
                <w:sz w:val="20"/>
                <w:szCs w:val="20"/>
                <w:lang w:val="sr-Cyrl-CS"/>
              </w:rPr>
              <w:t> </w:t>
            </w:r>
          </w:p>
        </w:tc>
        <w:tc>
          <w:tcPr>
            <w:tcW w:w="920" w:type="dxa"/>
            <w:tcBorders>
              <w:top w:val="nil"/>
              <w:left w:val="single" w:sz="4" w:space="0" w:color="auto"/>
              <w:bottom w:val="dotted" w:sz="4" w:space="0" w:color="auto"/>
              <w:right w:val="single" w:sz="4" w:space="0" w:color="auto"/>
            </w:tcBorders>
            <w:vAlign w:val="center"/>
          </w:tcPr>
          <w:p w14:paraId="28665B38" w14:textId="77777777" w:rsidR="00247CBF" w:rsidRPr="00092ED7" w:rsidRDefault="00247CBF" w:rsidP="00FB09AE">
            <w:pPr>
              <w:spacing w:after="0"/>
              <w:jc w:val="right"/>
              <w:rPr>
                <w:sz w:val="20"/>
                <w:szCs w:val="20"/>
                <w:lang w:val="sr-Cyrl-CS"/>
              </w:rPr>
            </w:pPr>
          </w:p>
        </w:tc>
        <w:tc>
          <w:tcPr>
            <w:tcW w:w="921" w:type="dxa"/>
            <w:gridSpan w:val="2"/>
            <w:tcBorders>
              <w:top w:val="nil"/>
              <w:left w:val="single" w:sz="4" w:space="0" w:color="auto"/>
              <w:bottom w:val="dotted" w:sz="4" w:space="0" w:color="auto"/>
              <w:right w:val="double" w:sz="6" w:space="0" w:color="auto"/>
            </w:tcBorders>
            <w:shd w:val="clear" w:color="auto" w:fill="auto"/>
            <w:noWrap/>
            <w:vAlign w:val="center"/>
            <w:hideMark/>
          </w:tcPr>
          <w:p w14:paraId="79C64370" w14:textId="77777777" w:rsidR="00247CBF" w:rsidRPr="00092ED7" w:rsidRDefault="00247CBF" w:rsidP="00FB09AE">
            <w:pPr>
              <w:spacing w:after="0"/>
              <w:jc w:val="right"/>
              <w:rPr>
                <w:sz w:val="20"/>
                <w:szCs w:val="20"/>
                <w:lang w:val="sr-Cyrl-CS"/>
              </w:rPr>
            </w:pPr>
            <w:r w:rsidRPr="00092ED7">
              <w:rPr>
                <w:sz w:val="20"/>
                <w:szCs w:val="20"/>
                <w:lang w:val="sr-Cyrl-CS"/>
              </w:rPr>
              <w:t> </w:t>
            </w:r>
          </w:p>
        </w:tc>
      </w:tr>
      <w:tr w:rsidR="00FB09AE" w:rsidRPr="00092ED7" w14:paraId="2835BCE7" w14:textId="77777777" w:rsidTr="00FB09AE">
        <w:trPr>
          <w:gridBefore w:val="1"/>
          <w:wBefore w:w="23" w:type="dxa"/>
          <w:trHeight w:val="227"/>
        </w:trPr>
        <w:tc>
          <w:tcPr>
            <w:tcW w:w="5101" w:type="dxa"/>
            <w:tcBorders>
              <w:top w:val="nil"/>
              <w:left w:val="double" w:sz="6" w:space="0" w:color="auto"/>
              <w:bottom w:val="dotted" w:sz="4" w:space="0" w:color="auto"/>
              <w:right w:val="single" w:sz="4" w:space="0" w:color="auto"/>
            </w:tcBorders>
            <w:shd w:val="clear" w:color="auto" w:fill="auto"/>
            <w:vAlign w:val="center"/>
            <w:hideMark/>
          </w:tcPr>
          <w:p w14:paraId="5AD213FD" w14:textId="77777777" w:rsidR="00247CBF" w:rsidRPr="00092ED7" w:rsidRDefault="00247CBF" w:rsidP="00FB09AE">
            <w:pPr>
              <w:spacing w:after="0"/>
              <w:rPr>
                <w:sz w:val="20"/>
                <w:szCs w:val="20"/>
                <w:lang w:val="sr-Cyrl-CS"/>
              </w:rPr>
            </w:pPr>
            <w:r w:rsidRPr="00092ED7">
              <w:rPr>
                <w:sz w:val="20"/>
                <w:szCs w:val="20"/>
                <w:lang w:val="sr-Cyrl-CS"/>
              </w:rPr>
              <w:t>Помоћ младима</w:t>
            </w:r>
          </w:p>
        </w:tc>
        <w:tc>
          <w:tcPr>
            <w:tcW w:w="1397" w:type="dxa"/>
            <w:tcBorders>
              <w:top w:val="nil"/>
              <w:left w:val="nil"/>
              <w:bottom w:val="dotted" w:sz="4" w:space="0" w:color="auto"/>
              <w:right w:val="single" w:sz="4" w:space="0" w:color="auto"/>
            </w:tcBorders>
            <w:shd w:val="clear" w:color="auto" w:fill="auto"/>
            <w:noWrap/>
            <w:vAlign w:val="center"/>
            <w:hideMark/>
          </w:tcPr>
          <w:p w14:paraId="4855BB29" w14:textId="77777777" w:rsidR="00247CBF" w:rsidRPr="00092ED7" w:rsidRDefault="00247CBF" w:rsidP="00FB09AE">
            <w:pPr>
              <w:spacing w:after="0"/>
              <w:jc w:val="center"/>
              <w:rPr>
                <w:sz w:val="20"/>
                <w:szCs w:val="20"/>
                <w:lang w:val="sr-Cyrl-CS"/>
              </w:rPr>
            </w:pPr>
            <w:r w:rsidRPr="00092ED7">
              <w:rPr>
                <w:sz w:val="20"/>
                <w:szCs w:val="20"/>
                <w:lang w:val="sr-Cyrl-CS"/>
              </w:rPr>
              <w:t>D7</w:t>
            </w:r>
          </w:p>
        </w:tc>
        <w:tc>
          <w:tcPr>
            <w:tcW w:w="2693" w:type="dxa"/>
            <w:tcBorders>
              <w:top w:val="nil"/>
              <w:left w:val="single" w:sz="4" w:space="0" w:color="auto"/>
              <w:bottom w:val="dotted" w:sz="4" w:space="0" w:color="auto"/>
              <w:right w:val="single" w:sz="8" w:space="0" w:color="auto"/>
            </w:tcBorders>
            <w:shd w:val="clear" w:color="auto" w:fill="auto"/>
            <w:noWrap/>
            <w:vAlign w:val="center"/>
          </w:tcPr>
          <w:p w14:paraId="1BF9DD1A" w14:textId="77777777" w:rsidR="00247CBF" w:rsidRPr="00092ED7" w:rsidRDefault="00247CBF" w:rsidP="00FB09AE">
            <w:pPr>
              <w:spacing w:after="0"/>
              <w:jc w:val="center"/>
              <w:rPr>
                <w:sz w:val="20"/>
                <w:szCs w:val="20"/>
                <w:lang w:val="sr-Cyrl-CS"/>
              </w:rPr>
            </w:pPr>
            <w:r w:rsidRPr="00092ED7">
              <w:rPr>
                <w:sz w:val="20"/>
                <w:szCs w:val="20"/>
                <w:lang w:val="sr-Cyrl-CS"/>
              </w:rPr>
              <w:t>2022-02; 2022-06; 2022-12</w:t>
            </w:r>
          </w:p>
        </w:tc>
        <w:tc>
          <w:tcPr>
            <w:tcW w:w="920" w:type="dxa"/>
            <w:tcBorders>
              <w:top w:val="nil"/>
              <w:left w:val="nil"/>
              <w:bottom w:val="dotted" w:sz="4" w:space="0" w:color="auto"/>
              <w:right w:val="single" w:sz="4" w:space="0" w:color="auto"/>
            </w:tcBorders>
            <w:shd w:val="clear" w:color="auto" w:fill="auto"/>
            <w:noWrap/>
            <w:vAlign w:val="center"/>
            <w:hideMark/>
          </w:tcPr>
          <w:p w14:paraId="5BA3F3AD" w14:textId="77777777" w:rsidR="00247CBF" w:rsidRPr="00092ED7" w:rsidRDefault="00247CBF" w:rsidP="00FB09AE">
            <w:pPr>
              <w:spacing w:after="0"/>
              <w:jc w:val="right"/>
              <w:rPr>
                <w:sz w:val="20"/>
                <w:szCs w:val="20"/>
                <w:lang w:val="sr-Cyrl-CS"/>
              </w:rPr>
            </w:pPr>
            <w:r w:rsidRPr="00092ED7">
              <w:rPr>
                <w:sz w:val="20"/>
                <w:szCs w:val="20"/>
                <w:lang w:val="sr-Cyrl-CS"/>
              </w:rPr>
              <w:t> </w:t>
            </w:r>
          </w:p>
        </w:tc>
        <w:tc>
          <w:tcPr>
            <w:tcW w:w="921" w:type="dxa"/>
            <w:tcBorders>
              <w:top w:val="nil"/>
              <w:left w:val="single" w:sz="4" w:space="0" w:color="auto"/>
              <w:bottom w:val="dotted" w:sz="4" w:space="0" w:color="auto"/>
              <w:right w:val="nil"/>
            </w:tcBorders>
            <w:shd w:val="clear" w:color="auto" w:fill="auto"/>
            <w:noWrap/>
            <w:vAlign w:val="center"/>
            <w:hideMark/>
          </w:tcPr>
          <w:p w14:paraId="3BC82DC2" w14:textId="77777777" w:rsidR="00247CBF" w:rsidRPr="00092ED7" w:rsidRDefault="00247CBF" w:rsidP="00FB09AE">
            <w:pPr>
              <w:spacing w:after="0"/>
              <w:jc w:val="right"/>
              <w:rPr>
                <w:sz w:val="20"/>
                <w:szCs w:val="20"/>
                <w:lang w:val="sr-Cyrl-CS"/>
              </w:rPr>
            </w:pPr>
            <w:r w:rsidRPr="00092ED7">
              <w:rPr>
                <w:sz w:val="20"/>
                <w:szCs w:val="20"/>
                <w:lang w:val="sr-Cyrl-CS"/>
              </w:rPr>
              <w:t> </w:t>
            </w:r>
          </w:p>
        </w:tc>
        <w:tc>
          <w:tcPr>
            <w:tcW w:w="920" w:type="dxa"/>
            <w:tcBorders>
              <w:top w:val="nil"/>
              <w:left w:val="single" w:sz="4" w:space="0" w:color="auto"/>
              <w:bottom w:val="dotted" w:sz="4" w:space="0" w:color="auto"/>
              <w:right w:val="nil"/>
            </w:tcBorders>
            <w:shd w:val="clear" w:color="auto" w:fill="auto"/>
            <w:noWrap/>
            <w:vAlign w:val="center"/>
            <w:hideMark/>
          </w:tcPr>
          <w:p w14:paraId="09903343" w14:textId="77777777" w:rsidR="00247CBF" w:rsidRPr="00092ED7" w:rsidRDefault="00247CBF" w:rsidP="00FB09AE">
            <w:pPr>
              <w:spacing w:after="0"/>
              <w:jc w:val="right"/>
              <w:rPr>
                <w:sz w:val="20"/>
                <w:szCs w:val="20"/>
                <w:lang w:val="sr-Cyrl-CS"/>
              </w:rPr>
            </w:pPr>
            <w:r w:rsidRPr="00092ED7">
              <w:rPr>
                <w:sz w:val="20"/>
                <w:szCs w:val="20"/>
                <w:lang w:val="sr-Cyrl-CS"/>
              </w:rPr>
              <w:t>-30,6</w:t>
            </w:r>
          </w:p>
        </w:tc>
        <w:tc>
          <w:tcPr>
            <w:tcW w:w="921" w:type="dxa"/>
            <w:tcBorders>
              <w:top w:val="nil"/>
              <w:left w:val="single" w:sz="4" w:space="0" w:color="auto"/>
              <w:bottom w:val="dotted" w:sz="4" w:space="0" w:color="auto"/>
              <w:right w:val="nil"/>
            </w:tcBorders>
            <w:shd w:val="clear" w:color="auto" w:fill="auto"/>
            <w:noWrap/>
            <w:vAlign w:val="center"/>
            <w:hideMark/>
          </w:tcPr>
          <w:p w14:paraId="7C0B4543" w14:textId="77777777" w:rsidR="00247CBF" w:rsidRPr="00092ED7" w:rsidRDefault="00247CBF" w:rsidP="00FB09AE">
            <w:pPr>
              <w:spacing w:after="0"/>
              <w:jc w:val="right"/>
              <w:rPr>
                <w:sz w:val="20"/>
                <w:szCs w:val="20"/>
                <w:lang w:val="sr-Cyrl-CS"/>
              </w:rPr>
            </w:pPr>
            <w:r w:rsidRPr="00092ED7">
              <w:rPr>
                <w:sz w:val="20"/>
                <w:szCs w:val="20"/>
                <w:lang w:val="sr-Cyrl-CS"/>
              </w:rPr>
              <w:t> </w:t>
            </w:r>
          </w:p>
        </w:tc>
        <w:tc>
          <w:tcPr>
            <w:tcW w:w="920" w:type="dxa"/>
            <w:tcBorders>
              <w:top w:val="nil"/>
              <w:left w:val="single" w:sz="4" w:space="0" w:color="auto"/>
              <w:bottom w:val="dotted" w:sz="4" w:space="0" w:color="auto"/>
              <w:right w:val="single" w:sz="4" w:space="0" w:color="auto"/>
            </w:tcBorders>
            <w:vAlign w:val="center"/>
          </w:tcPr>
          <w:p w14:paraId="576D16D2" w14:textId="77777777" w:rsidR="00247CBF" w:rsidRPr="00092ED7" w:rsidRDefault="00247CBF" w:rsidP="00FB09AE">
            <w:pPr>
              <w:spacing w:after="0"/>
              <w:jc w:val="right"/>
              <w:rPr>
                <w:sz w:val="20"/>
                <w:szCs w:val="20"/>
                <w:lang w:val="sr-Cyrl-CS"/>
              </w:rPr>
            </w:pPr>
          </w:p>
        </w:tc>
        <w:tc>
          <w:tcPr>
            <w:tcW w:w="921" w:type="dxa"/>
            <w:gridSpan w:val="2"/>
            <w:tcBorders>
              <w:top w:val="nil"/>
              <w:left w:val="single" w:sz="4" w:space="0" w:color="auto"/>
              <w:bottom w:val="dotted" w:sz="4" w:space="0" w:color="auto"/>
              <w:right w:val="double" w:sz="6" w:space="0" w:color="auto"/>
            </w:tcBorders>
            <w:shd w:val="clear" w:color="auto" w:fill="auto"/>
            <w:noWrap/>
            <w:vAlign w:val="center"/>
            <w:hideMark/>
          </w:tcPr>
          <w:p w14:paraId="0F115D52" w14:textId="77777777" w:rsidR="00247CBF" w:rsidRPr="00092ED7" w:rsidRDefault="00247CBF" w:rsidP="00FB09AE">
            <w:pPr>
              <w:spacing w:after="0"/>
              <w:jc w:val="right"/>
              <w:rPr>
                <w:sz w:val="20"/>
                <w:szCs w:val="20"/>
                <w:lang w:val="sr-Cyrl-CS"/>
              </w:rPr>
            </w:pPr>
            <w:r w:rsidRPr="00092ED7">
              <w:rPr>
                <w:sz w:val="20"/>
                <w:szCs w:val="20"/>
                <w:lang w:val="sr-Cyrl-CS"/>
              </w:rPr>
              <w:t> </w:t>
            </w:r>
          </w:p>
        </w:tc>
      </w:tr>
      <w:tr w:rsidR="00FB09AE" w:rsidRPr="00092ED7" w14:paraId="1631B2F6" w14:textId="77777777" w:rsidTr="00FB09AE">
        <w:trPr>
          <w:gridBefore w:val="1"/>
          <w:wBefore w:w="23" w:type="dxa"/>
          <w:trHeight w:val="227"/>
        </w:trPr>
        <w:tc>
          <w:tcPr>
            <w:tcW w:w="5101" w:type="dxa"/>
            <w:tcBorders>
              <w:top w:val="nil"/>
              <w:left w:val="double" w:sz="6" w:space="0" w:color="auto"/>
              <w:bottom w:val="dotted" w:sz="4" w:space="0" w:color="auto"/>
              <w:right w:val="single" w:sz="4" w:space="0" w:color="auto"/>
            </w:tcBorders>
            <w:shd w:val="clear" w:color="auto" w:fill="auto"/>
            <w:vAlign w:val="center"/>
            <w:hideMark/>
          </w:tcPr>
          <w:p w14:paraId="309CA08B" w14:textId="77777777" w:rsidR="00247CBF" w:rsidRPr="00092ED7" w:rsidRDefault="00247CBF" w:rsidP="00FB09AE">
            <w:pPr>
              <w:spacing w:after="0"/>
              <w:rPr>
                <w:sz w:val="20"/>
                <w:szCs w:val="20"/>
                <w:lang w:val="sr-Cyrl-CS"/>
              </w:rPr>
            </w:pPr>
            <w:r w:rsidRPr="00092ED7">
              <w:rPr>
                <w:sz w:val="20"/>
                <w:szCs w:val="20"/>
                <w:lang w:val="sr-Cyrl-CS"/>
              </w:rPr>
              <w:t>Помоћ запосленима у здравству, просвети и науци</w:t>
            </w:r>
          </w:p>
        </w:tc>
        <w:tc>
          <w:tcPr>
            <w:tcW w:w="1397" w:type="dxa"/>
            <w:tcBorders>
              <w:top w:val="dotted" w:sz="4" w:space="0" w:color="auto"/>
              <w:left w:val="nil"/>
              <w:bottom w:val="dotted" w:sz="4" w:space="0" w:color="auto"/>
              <w:right w:val="single" w:sz="4" w:space="0" w:color="auto"/>
            </w:tcBorders>
            <w:shd w:val="clear" w:color="auto" w:fill="auto"/>
            <w:noWrap/>
            <w:vAlign w:val="center"/>
            <w:hideMark/>
          </w:tcPr>
          <w:p w14:paraId="03C7B7F0" w14:textId="77777777" w:rsidR="00247CBF" w:rsidRPr="00092ED7" w:rsidRDefault="00247CBF" w:rsidP="00FB09AE">
            <w:pPr>
              <w:spacing w:after="0"/>
              <w:jc w:val="center"/>
              <w:rPr>
                <w:sz w:val="20"/>
                <w:szCs w:val="20"/>
                <w:lang w:val="sr-Cyrl-CS"/>
              </w:rPr>
            </w:pPr>
            <w:r w:rsidRPr="00092ED7">
              <w:rPr>
                <w:sz w:val="20"/>
                <w:szCs w:val="20"/>
                <w:lang w:val="sr-Cyrl-CS"/>
              </w:rPr>
              <w:t>D1</w:t>
            </w:r>
          </w:p>
        </w:tc>
        <w:tc>
          <w:tcPr>
            <w:tcW w:w="2693" w:type="dxa"/>
            <w:tcBorders>
              <w:top w:val="nil"/>
              <w:left w:val="single" w:sz="4" w:space="0" w:color="auto"/>
              <w:bottom w:val="dotted" w:sz="4" w:space="0" w:color="auto"/>
              <w:right w:val="single" w:sz="8" w:space="0" w:color="auto"/>
            </w:tcBorders>
            <w:shd w:val="clear" w:color="auto" w:fill="auto"/>
            <w:noWrap/>
            <w:vAlign w:val="center"/>
          </w:tcPr>
          <w:p w14:paraId="1FE81196" w14:textId="77777777" w:rsidR="00247CBF" w:rsidRPr="00092ED7" w:rsidRDefault="00247CBF" w:rsidP="00FB09AE">
            <w:pPr>
              <w:spacing w:after="0"/>
              <w:jc w:val="center"/>
              <w:rPr>
                <w:sz w:val="20"/>
                <w:szCs w:val="20"/>
                <w:lang w:val="sr-Cyrl-CS"/>
              </w:rPr>
            </w:pPr>
            <w:r w:rsidRPr="00092ED7">
              <w:rPr>
                <w:sz w:val="20"/>
                <w:szCs w:val="20"/>
                <w:lang w:val="sr-Cyrl-CS"/>
              </w:rPr>
              <w:t>2022-01;2022-04</w:t>
            </w:r>
          </w:p>
        </w:tc>
        <w:tc>
          <w:tcPr>
            <w:tcW w:w="920" w:type="dxa"/>
            <w:tcBorders>
              <w:top w:val="nil"/>
              <w:left w:val="nil"/>
              <w:bottom w:val="dotted" w:sz="4" w:space="0" w:color="auto"/>
              <w:right w:val="single" w:sz="4" w:space="0" w:color="auto"/>
            </w:tcBorders>
            <w:shd w:val="clear" w:color="auto" w:fill="auto"/>
            <w:noWrap/>
            <w:vAlign w:val="center"/>
            <w:hideMark/>
          </w:tcPr>
          <w:p w14:paraId="24F75F17" w14:textId="77777777" w:rsidR="00247CBF" w:rsidRPr="00092ED7" w:rsidRDefault="00247CBF" w:rsidP="00FB09AE">
            <w:pPr>
              <w:spacing w:after="0"/>
              <w:jc w:val="right"/>
              <w:rPr>
                <w:sz w:val="20"/>
                <w:szCs w:val="20"/>
                <w:lang w:val="sr-Cyrl-CS"/>
              </w:rPr>
            </w:pPr>
            <w:r w:rsidRPr="00092ED7">
              <w:rPr>
                <w:sz w:val="20"/>
                <w:szCs w:val="20"/>
                <w:lang w:val="sr-Cyrl-CS"/>
              </w:rPr>
              <w:t> </w:t>
            </w:r>
          </w:p>
        </w:tc>
        <w:tc>
          <w:tcPr>
            <w:tcW w:w="921" w:type="dxa"/>
            <w:tcBorders>
              <w:top w:val="nil"/>
              <w:left w:val="single" w:sz="4" w:space="0" w:color="auto"/>
              <w:bottom w:val="dotted" w:sz="4" w:space="0" w:color="auto"/>
              <w:right w:val="nil"/>
            </w:tcBorders>
            <w:shd w:val="clear" w:color="auto" w:fill="auto"/>
            <w:noWrap/>
            <w:vAlign w:val="center"/>
            <w:hideMark/>
          </w:tcPr>
          <w:p w14:paraId="4107C6A7" w14:textId="77777777" w:rsidR="00247CBF" w:rsidRPr="00092ED7" w:rsidRDefault="00247CBF" w:rsidP="00FB09AE">
            <w:pPr>
              <w:spacing w:after="0"/>
              <w:jc w:val="right"/>
              <w:rPr>
                <w:sz w:val="20"/>
                <w:szCs w:val="20"/>
                <w:lang w:val="sr-Cyrl-CS"/>
              </w:rPr>
            </w:pPr>
            <w:r w:rsidRPr="00092ED7">
              <w:rPr>
                <w:sz w:val="20"/>
                <w:szCs w:val="20"/>
                <w:lang w:val="sr-Cyrl-CS"/>
              </w:rPr>
              <w:t> </w:t>
            </w:r>
          </w:p>
        </w:tc>
        <w:tc>
          <w:tcPr>
            <w:tcW w:w="920" w:type="dxa"/>
            <w:tcBorders>
              <w:top w:val="nil"/>
              <w:left w:val="single" w:sz="4" w:space="0" w:color="auto"/>
              <w:bottom w:val="dotted" w:sz="4" w:space="0" w:color="auto"/>
              <w:right w:val="nil"/>
            </w:tcBorders>
            <w:shd w:val="clear" w:color="auto" w:fill="auto"/>
            <w:noWrap/>
            <w:vAlign w:val="center"/>
            <w:hideMark/>
          </w:tcPr>
          <w:p w14:paraId="625CD194" w14:textId="77777777" w:rsidR="00247CBF" w:rsidRPr="00092ED7" w:rsidRDefault="00247CBF" w:rsidP="00FB09AE">
            <w:pPr>
              <w:spacing w:after="0"/>
              <w:jc w:val="right"/>
              <w:rPr>
                <w:sz w:val="20"/>
                <w:szCs w:val="20"/>
                <w:lang w:val="sr-Cyrl-CS"/>
              </w:rPr>
            </w:pPr>
            <w:r w:rsidRPr="00092ED7">
              <w:rPr>
                <w:sz w:val="20"/>
                <w:szCs w:val="20"/>
                <w:lang w:val="sr-Cyrl-CS"/>
              </w:rPr>
              <w:t>3,15</w:t>
            </w:r>
          </w:p>
        </w:tc>
        <w:tc>
          <w:tcPr>
            <w:tcW w:w="921" w:type="dxa"/>
            <w:tcBorders>
              <w:top w:val="nil"/>
              <w:left w:val="single" w:sz="4" w:space="0" w:color="auto"/>
              <w:bottom w:val="dotted" w:sz="4" w:space="0" w:color="auto"/>
              <w:right w:val="nil"/>
            </w:tcBorders>
            <w:shd w:val="clear" w:color="auto" w:fill="auto"/>
            <w:noWrap/>
            <w:vAlign w:val="center"/>
            <w:hideMark/>
          </w:tcPr>
          <w:p w14:paraId="1DE0FD99" w14:textId="77777777" w:rsidR="00247CBF" w:rsidRPr="00092ED7" w:rsidRDefault="00247CBF" w:rsidP="00FB09AE">
            <w:pPr>
              <w:spacing w:after="0"/>
              <w:jc w:val="right"/>
              <w:rPr>
                <w:sz w:val="20"/>
                <w:szCs w:val="20"/>
                <w:lang w:val="sr-Cyrl-CS"/>
              </w:rPr>
            </w:pPr>
            <w:r w:rsidRPr="00092ED7">
              <w:rPr>
                <w:sz w:val="20"/>
                <w:szCs w:val="20"/>
                <w:lang w:val="sr-Cyrl-CS"/>
              </w:rPr>
              <w:t> </w:t>
            </w:r>
          </w:p>
        </w:tc>
        <w:tc>
          <w:tcPr>
            <w:tcW w:w="920" w:type="dxa"/>
            <w:tcBorders>
              <w:top w:val="nil"/>
              <w:left w:val="single" w:sz="4" w:space="0" w:color="auto"/>
              <w:bottom w:val="dotted" w:sz="4" w:space="0" w:color="auto"/>
              <w:right w:val="single" w:sz="4" w:space="0" w:color="auto"/>
            </w:tcBorders>
            <w:vAlign w:val="center"/>
          </w:tcPr>
          <w:p w14:paraId="5B6DA076" w14:textId="77777777" w:rsidR="00247CBF" w:rsidRPr="00092ED7" w:rsidRDefault="00247CBF" w:rsidP="00FB09AE">
            <w:pPr>
              <w:spacing w:after="0"/>
              <w:jc w:val="right"/>
              <w:rPr>
                <w:sz w:val="20"/>
                <w:szCs w:val="20"/>
                <w:lang w:val="sr-Cyrl-CS"/>
              </w:rPr>
            </w:pPr>
          </w:p>
        </w:tc>
        <w:tc>
          <w:tcPr>
            <w:tcW w:w="921" w:type="dxa"/>
            <w:gridSpan w:val="2"/>
            <w:tcBorders>
              <w:top w:val="nil"/>
              <w:left w:val="single" w:sz="4" w:space="0" w:color="auto"/>
              <w:bottom w:val="dotted" w:sz="4" w:space="0" w:color="auto"/>
              <w:right w:val="double" w:sz="6" w:space="0" w:color="auto"/>
            </w:tcBorders>
            <w:shd w:val="clear" w:color="auto" w:fill="auto"/>
            <w:noWrap/>
            <w:vAlign w:val="center"/>
            <w:hideMark/>
          </w:tcPr>
          <w:p w14:paraId="17B1AC75" w14:textId="77777777" w:rsidR="00247CBF" w:rsidRPr="00092ED7" w:rsidRDefault="00247CBF" w:rsidP="00FB09AE">
            <w:pPr>
              <w:spacing w:after="0"/>
              <w:jc w:val="right"/>
              <w:rPr>
                <w:sz w:val="20"/>
                <w:szCs w:val="20"/>
                <w:lang w:val="sr-Cyrl-CS"/>
              </w:rPr>
            </w:pPr>
            <w:r w:rsidRPr="00092ED7">
              <w:rPr>
                <w:sz w:val="20"/>
                <w:szCs w:val="20"/>
                <w:lang w:val="sr-Cyrl-CS"/>
              </w:rPr>
              <w:t> </w:t>
            </w:r>
          </w:p>
        </w:tc>
      </w:tr>
      <w:tr w:rsidR="00FB09AE" w:rsidRPr="00092ED7" w14:paraId="1042B661" w14:textId="77777777" w:rsidTr="00FB09AE">
        <w:trPr>
          <w:gridBefore w:val="1"/>
          <w:wBefore w:w="23" w:type="dxa"/>
          <w:trHeight w:val="227"/>
        </w:trPr>
        <w:tc>
          <w:tcPr>
            <w:tcW w:w="5101" w:type="dxa"/>
            <w:tcBorders>
              <w:top w:val="nil"/>
              <w:left w:val="double" w:sz="6" w:space="0" w:color="auto"/>
              <w:bottom w:val="dotted" w:sz="4" w:space="0" w:color="auto"/>
              <w:right w:val="single" w:sz="4" w:space="0" w:color="auto"/>
            </w:tcBorders>
            <w:shd w:val="clear" w:color="auto" w:fill="auto"/>
            <w:vAlign w:val="center"/>
            <w:hideMark/>
          </w:tcPr>
          <w:p w14:paraId="0BAB5286" w14:textId="77777777" w:rsidR="00247CBF" w:rsidRPr="00092ED7" w:rsidRDefault="00247CBF" w:rsidP="00FB09AE">
            <w:pPr>
              <w:spacing w:after="0"/>
              <w:rPr>
                <w:sz w:val="20"/>
                <w:szCs w:val="20"/>
                <w:lang w:val="sr-Cyrl-CS"/>
              </w:rPr>
            </w:pPr>
            <w:r w:rsidRPr="00092ED7">
              <w:rPr>
                <w:sz w:val="20"/>
                <w:szCs w:val="20"/>
                <w:lang w:val="sr-Cyrl-CS"/>
              </w:rPr>
              <w:t>Привремено смањење акциза на деривате нафте</w:t>
            </w:r>
          </w:p>
        </w:tc>
        <w:tc>
          <w:tcPr>
            <w:tcW w:w="1397" w:type="dxa"/>
            <w:tcBorders>
              <w:top w:val="nil"/>
              <w:left w:val="nil"/>
              <w:bottom w:val="dotted" w:sz="4" w:space="0" w:color="auto"/>
              <w:right w:val="single" w:sz="4" w:space="0" w:color="auto"/>
            </w:tcBorders>
            <w:shd w:val="clear" w:color="auto" w:fill="auto"/>
            <w:noWrap/>
            <w:vAlign w:val="center"/>
            <w:hideMark/>
          </w:tcPr>
          <w:p w14:paraId="46899946" w14:textId="77777777" w:rsidR="00247CBF" w:rsidRPr="00092ED7" w:rsidRDefault="00247CBF" w:rsidP="00FB09AE">
            <w:pPr>
              <w:spacing w:after="0"/>
              <w:jc w:val="center"/>
              <w:rPr>
                <w:sz w:val="20"/>
                <w:szCs w:val="20"/>
                <w:lang w:val="sr-Cyrl-CS"/>
              </w:rPr>
            </w:pPr>
            <w:r w:rsidRPr="00092ED7">
              <w:rPr>
                <w:sz w:val="20"/>
                <w:szCs w:val="20"/>
                <w:lang w:val="sr-Cyrl-CS"/>
              </w:rPr>
              <w:t>D2</w:t>
            </w:r>
          </w:p>
        </w:tc>
        <w:tc>
          <w:tcPr>
            <w:tcW w:w="2693" w:type="dxa"/>
            <w:tcBorders>
              <w:top w:val="nil"/>
              <w:left w:val="single" w:sz="4" w:space="0" w:color="auto"/>
              <w:bottom w:val="dotted" w:sz="4" w:space="0" w:color="auto"/>
              <w:right w:val="single" w:sz="8" w:space="0" w:color="auto"/>
            </w:tcBorders>
            <w:shd w:val="clear" w:color="auto" w:fill="auto"/>
            <w:noWrap/>
            <w:vAlign w:val="center"/>
          </w:tcPr>
          <w:p w14:paraId="27C9EDEB" w14:textId="77777777" w:rsidR="00247CBF" w:rsidRPr="00092ED7" w:rsidRDefault="00247CBF" w:rsidP="00FB09AE">
            <w:pPr>
              <w:spacing w:after="0"/>
              <w:jc w:val="center"/>
              <w:rPr>
                <w:sz w:val="20"/>
                <w:szCs w:val="20"/>
                <w:lang w:val="sr-Cyrl-CS"/>
              </w:rPr>
            </w:pPr>
            <w:r w:rsidRPr="00092ED7">
              <w:rPr>
                <w:sz w:val="20"/>
                <w:szCs w:val="20"/>
                <w:lang w:val="sr-Cyrl-CS"/>
              </w:rPr>
              <w:t>2022-04</w:t>
            </w:r>
          </w:p>
        </w:tc>
        <w:tc>
          <w:tcPr>
            <w:tcW w:w="920" w:type="dxa"/>
            <w:tcBorders>
              <w:top w:val="nil"/>
              <w:left w:val="nil"/>
              <w:bottom w:val="dotted" w:sz="4" w:space="0" w:color="auto"/>
              <w:right w:val="single" w:sz="4" w:space="0" w:color="auto"/>
            </w:tcBorders>
            <w:shd w:val="clear" w:color="auto" w:fill="auto"/>
            <w:noWrap/>
            <w:vAlign w:val="center"/>
            <w:hideMark/>
          </w:tcPr>
          <w:p w14:paraId="08B921E6" w14:textId="77777777" w:rsidR="00247CBF" w:rsidRPr="00092ED7" w:rsidRDefault="00247CBF" w:rsidP="00FB09AE">
            <w:pPr>
              <w:spacing w:after="0"/>
              <w:jc w:val="right"/>
              <w:rPr>
                <w:sz w:val="20"/>
                <w:szCs w:val="20"/>
                <w:lang w:val="sr-Cyrl-CS"/>
              </w:rPr>
            </w:pPr>
            <w:r w:rsidRPr="00092ED7">
              <w:rPr>
                <w:sz w:val="20"/>
                <w:szCs w:val="20"/>
                <w:lang w:val="sr-Cyrl-CS"/>
              </w:rPr>
              <w:t> </w:t>
            </w:r>
          </w:p>
        </w:tc>
        <w:tc>
          <w:tcPr>
            <w:tcW w:w="921" w:type="dxa"/>
            <w:tcBorders>
              <w:top w:val="nil"/>
              <w:left w:val="single" w:sz="4" w:space="0" w:color="auto"/>
              <w:bottom w:val="dotted" w:sz="4" w:space="0" w:color="auto"/>
              <w:right w:val="nil"/>
            </w:tcBorders>
            <w:shd w:val="clear" w:color="auto" w:fill="auto"/>
            <w:noWrap/>
            <w:vAlign w:val="center"/>
            <w:hideMark/>
          </w:tcPr>
          <w:p w14:paraId="415619A5" w14:textId="77777777" w:rsidR="00247CBF" w:rsidRPr="00092ED7" w:rsidRDefault="00247CBF" w:rsidP="00FB09AE">
            <w:pPr>
              <w:spacing w:after="0"/>
              <w:jc w:val="right"/>
              <w:rPr>
                <w:sz w:val="20"/>
                <w:szCs w:val="20"/>
                <w:lang w:val="sr-Cyrl-CS"/>
              </w:rPr>
            </w:pPr>
            <w:r w:rsidRPr="00092ED7">
              <w:rPr>
                <w:sz w:val="20"/>
                <w:szCs w:val="20"/>
                <w:lang w:val="sr-Cyrl-CS"/>
              </w:rPr>
              <w:t> </w:t>
            </w:r>
          </w:p>
        </w:tc>
        <w:tc>
          <w:tcPr>
            <w:tcW w:w="920" w:type="dxa"/>
            <w:tcBorders>
              <w:top w:val="nil"/>
              <w:left w:val="single" w:sz="4" w:space="0" w:color="auto"/>
              <w:bottom w:val="dotted" w:sz="4" w:space="0" w:color="auto"/>
              <w:right w:val="nil"/>
            </w:tcBorders>
            <w:shd w:val="clear" w:color="auto" w:fill="auto"/>
            <w:noWrap/>
            <w:vAlign w:val="center"/>
            <w:hideMark/>
          </w:tcPr>
          <w:p w14:paraId="1F22A569" w14:textId="77777777" w:rsidR="00247CBF" w:rsidRPr="00092ED7" w:rsidRDefault="00247CBF" w:rsidP="00FB09AE">
            <w:pPr>
              <w:spacing w:after="0"/>
              <w:jc w:val="right"/>
              <w:rPr>
                <w:sz w:val="20"/>
                <w:szCs w:val="20"/>
                <w:lang w:val="sr-Cyrl-CS"/>
              </w:rPr>
            </w:pPr>
            <w:r w:rsidRPr="00092ED7">
              <w:rPr>
                <w:sz w:val="20"/>
                <w:szCs w:val="20"/>
                <w:lang w:val="sr-Cyrl-CS"/>
              </w:rPr>
              <w:t>-16</w:t>
            </w:r>
          </w:p>
        </w:tc>
        <w:tc>
          <w:tcPr>
            <w:tcW w:w="921" w:type="dxa"/>
            <w:tcBorders>
              <w:top w:val="nil"/>
              <w:left w:val="single" w:sz="4" w:space="0" w:color="auto"/>
              <w:bottom w:val="dotted" w:sz="4" w:space="0" w:color="auto"/>
              <w:right w:val="nil"/>
            </w:tcBorders>
            <w:shd w:val="clear" w:color="auto" w:fill="auto"/>
            <w:noWrap/>
            <w:vAlign w:val="center"/>
            <w:hideMark/>
          </w:tcPr>
          <w:p w14:paraId="0F307827" w14:textId="77777777" w:rsidR="00247CBF" w:rsidRPr="00092ED7" w:rsidRDefault="00247CBF" w:rsidP="00FB09AE">
            <w:pPr>
              <w:spacing w:after="0"/>
              <w:jc w:val="right"/>
              <w:rPr>
                <w:sz w:val="20"/>
                <w:szCs w:val="20"/>
                <w:lang w:val="sr-Cyrl-CS"/>
              </w:rPr>
            </w:pPr>
            <w:r w:rsidRPr="00092ED7">
              <w:rPr>
                <w:sz w:val="20"/>
                <w:szCs w:val="20"/>
                <w:lang w:val="sr-Cyrl-CS"/>
              </w:rPr>
              <w:t>-19</w:t>
            </w:r>
          </w:p>
        </w:tc>
        <w:tc>
          <w:tcPr>
            <w:tcW w:w="920" w:type="dxa"/>
            <w:tcBorders>
              <w:top w:val="nil"/>
              <w:left w:val="single" w:sz="4" w:space="0" w:color="auto"/>
              <w:bottom w:val="dotted" w:sz="4" w:space="0" w:color="auto"/>
              <w:right w:val="single" w:sz="4" w:space="0" w:color="auto"/>
            </w:tcBorders>
            <w:vAlign w:val="center"/>
          </w:tcPr>
          <w:p w14:paraId="517E1CD3" w14:textId="77777777" w:rsidR="00247CBF" w:rsidRPr="00092ED7" w:rsidRDefault="00247CBF" w:rsidP="00FB09AE">
            <w:pPr>
              <w:spacing w:after="0"/>
              <w:jc w:val="right"/>
              <w:rPr>
                <w:sz w:val="20"/>
                <w:szCs w:val="20"/>
                <w:lang w:val="sr-Cyrl-CS"/>
              </w:rPr>
            </w:pPr>
          </w:p>
        </w:tc>
        <w:tc>
          <w:tcPr>
            <w:tcW w:w="921" w:type="dxa"/>
            <w:gridSpan w:val="2"/>
            <w:tcBorders>
              <w:top w:val="nil"/>
              <w:left w:val="single" w:sz="4" w:space="0" w:color="auto"/>
              <w:bottom w:val="dotted" w:sz="4" w:space="0" w:color="auto"/>
              <w:right w:val="double" w:sz="6" w:space="0" w:color="auto"/>
            </w:tcBorders>
            <w:shd w:val="clear" w:color="auto" w:fill="auto"/>
            <w:noWrap/>
            <w:vAlign w:val="center"/>
            <w:hideMark/>
          </w:tcPr>
          <w:p w14:paraId="6E24AE61" w14:textId="77777777" w:rsidR="00247CBF" w:rsidRPr="00092ED7" w:rsidRDefault="00247CBF" w:rsidP="00FB09AE">
            <w:pPr>
              <w:spacing w:after="0"/>
              <w:jc w:val="right"/>
              <w:rPr>
                <w:sz w:val="20"/>
                <w:szCs w:val="20"/>
                <w:lang w:val="sr-Cyrl-CS"/>
              </w:rPr>
            </w:pPr>
            <w:r w:rsidRPr="00092ED7">
              <w:rPr>
                <w:sz w:val="20"/>
                <w:szCs w:val="20"/>
                <w:lang w:val="sr-Cyrl-CS"/>
              </w:rPr>
              <w:t> </w:t>
            </w:r>
          </w:p>
        </w:tc>
      </w:tr>
      <w:tr w:rsidR="00247CBF" w:rsidRPr="00092ED7" w14:paraId="16469A65" w14:textId="77777777" w:rsidTr="00247CBF">
        <w:trPr>
          <w:gridBefore w:val="1"/>
          <w:wBefore w:w="23" w:type="dxa"/>
          <w:trHeight w:val="227"/>
        </w:trPr>
        <w:tc>
          <w:tcPr>
            <w:tcW w:w="5101" w:type="dxa"/>
            <w:tcBorders>
              <w:top w:val="dotted" w:sz="4" w:space="0" w:color="auto"/>
              <w:left w:val="double" w:sz="6" w:space="0" w:color="auto"/>
              <w:bottom w:val="single" w:sz="4" w:space="0" w:color="auto"/>
              <w:right w:val="single" w:sz="4" w:space="0" w:color="auto"/>
            </w:tcBorders>
            <w:shd w:val="clear" w:color="auto" w:fill="auto"/>
            <w:vAlign w:val="center"/>
            <w:hideMark/>
          </w:tcPr>
          <w:p w14:paraId="6A5B5385" w14:textId="77777777" w:rsidR="00247CBF" w:rsidRPr="00092ED7" w:rsidRDefault="00247CBF" w:rsidP="00247CBF">
            <w:pPr>
              <w:spacing w:after="0" w:line="233" w:lineRule="auto"/>
              <w:outlineLvl w:val="0"/>
              <w:rPr>
                <w:sz w:val="20"/>
                <w:szCs w:val="20"/>
                <w:lang w:val="sr-Cyrl-CS"/>
              </w:rPr>
            </w:pPr>
            <w:r w:rsidRPr="00092ED7">
              <w:rPr>
                <w:sz w:val="20"/>
                <w:szCs w:val="20"/>
                <w:lang w:val="sr-Cyrl-CS"/>
              </w:rPr>
              <w:t> </w:t>
            </w:r>
          </w:p>
        </w:tc>
        <w:tc>
          <w:tcPr>
            <w:tcW w:w="1397" w:type="dxa"/>
            <w:tcBorders>
              <w:top w:val="dotted" w:sz="4" w:space="0" w:color="auto"/>
              <w:left w:val="single" w:sz="4" w:space="0" w:color="auto"/>
              <w:bottom w:val="single" w:sz="4" w:space="0" w:color="auto"/>
              <w:right w:val="single" w:sz="4" w:space="0" w:color="auto"/>
            </w:tcBorders>
            <w:shd w:val="clear" w:color="auto" w:fill="auto"/>
            <w:noWrap/>
            <w:vAlign w:val="center"/>
            <w:hideMark/>
          </w:tcPr>
          <w:p w14:paraId="4C9FFC91" w14:textId="77777777" w:rsidR="00247CBF" w:rsidRPr="00092ED7" w:rsidRDefault="00247CBF" w:rsidP="00247CBF">
            <w:pPr>
              <w:spacing w:after="0" w:line="233" w:lineRule="auto"/>
              <w:jc w:val="center"/>
              <w:outlineLvl w:val="0"/>
              <w:rPr>
                <w:sz w:val="20"/>
                <w:szCs w:val="20"/>
                <w:lang w:val="sr-Cyrl-CS"/>
              </w:rPr>
            </w:pPr>
          </w:p>
        </w:tc>
        <w:tc>
          <w:tcPr>
            <w:tcW w:w="2693" w:type="dxa"/>
            <w:tcBorders>
              <w:top w:val="dotted" w:sz="4" w:space="0" w:color="auto"/>
              <w:left w:val="nil"/>
              <w:bottom w:val="single" w:sz="4" w:space="0" w:color="auto"/>
              <w:right w:val="single" w:sz="8" w:space="0" w:color="auto"/>
            </w:tcBorders>
            <w:shd w:val="clear" w:color="auto" w:fill="auto"/>
            <w:noWrap/>
            <w:vAlign w:val="center"/>
          </w:tcPr>
          <w:p w14:paraId="30A92C0E" w14:textId="77777777" w:rsidR="00247CBF" w:rsidRPr="00092ED7" w:rsidRDefault="00247CBF" w:rsidP="00247CBF">
            <w:pPr>
              <w:spacing w:after="0" w:line="233" w:lineRule="auto"/>
              <w:jc w:val="center"/>
              <w:outlineLvl w:val="0"/>
              <w:rPr>
                <w:sz w:val="20"/>
                <w:szCs w:val="20"/>
                <w:lang w:val="sr-Cyrl-CS"/>
              </w:rPr>
            </w:pPr>
          </w:p>
        </w:tc>
        <w:tc>
          <w:tcPr>
            <w:tcW w:w="920" w:type="dxa"/>
            <w:tcBorders>
              <w:top w:val="dotted" w:sz="4" w:space="0" w:color="auto"/>
              <w:left w:val="single" w:sz="4" w:space="0" w:color="auto"/>
              <w:bottom w:val="single" w:sz="4" w:space="0" w:color="auto"/>
              <w:right w:val="single" w:sz="4" w:space="0" w:color="auto"/>
            </w:tcBorders>
            <w:shd w:val="clear" w:color="auto" w:fill="auto"/>
            <w:noWrap/>
            <w:vAlign w:val="center"/>
            <w:hideMark/>
          </w:tcPr>
          <w:p w14:paraId="650BE5B5" w14:textId="77777777" w:rsidR="00247CBF" w:rsidRPr="00092ED7" w:rsidRDefault="00247CBF" w:rsidP="00247CBF">
            <w:pPr>
              <w:spacing w:after="0" w:line="233" w:lineRule="auto"/>
              <w:jc w:val="right"/>
              <w:outlineLvl w:val="0"/>
              <w:rPr>
                <w:sz w:val="20"/>
                <w:szCs w:val="20"/>
                <w:lang w:val="sr-Cyrl-CS"/>
              </w:rPr>
            </w:pPr>
            <w:r w:rsidRPr="00092ED7">
              <w:rPr>
                <w:sz w:val="20"/>
                <w:szCs w:val="20"/>
                <w:lang w:val="sr-Cyrl-CS"/>
              </w:rPr>
              <w:t> </w:t>
            </w:r>
          </w:p>
        </w:tc>
        <w:tc>
          <w:tcPr>
            <w:tcW w:w="921" w:type="dxa"/>
            <w:tcBorders>
              <w:top w:val="dotted" w:sz="4" w:space="0" w:color="auto"/>
              <w:left w:val="nil"/>
              <w:bottom w:val="single" w:sz="4" w:space="0" w:color="auto"/>
              <w:right w:val="nil"/>
            </w:tcBorders>
            <w:shd w:val="clear" w:color="auto" w:fill="auto"/>
            <w:noWrap/>
            <w:vAlign w:val="center"/>
            <w:hideMark/>
          </w:tcPr>
          <w:p w14:paraId="14783BAE" w14:textId="77777777" w:rsidR="00247CBF" w:rsidRPr="00092ED7" w:rsidRDefault="00247CBF" w:rsidP="00247CBF">
            <w:pPr>
              <w:spacing w:after="0" w:line="233" w:lineRule="auto"/>
              <w:jc w:val="right"/>
              <w:outlineLvl w:val="0"/>
              <w:rPr>
                <w:sz w:val="20"/>
                <w:szCs w:val="20"/>
                <w:lang w:val="sr-Cyrl-CS"/>
              </w:rPr>
            </w:pPr>
            <w:r w:rsidRPr="00092ED7">
              <w:rPr>
                <w:sz w:val="20"/>
                <w:szCs w:val="20"/>
                <w:lang w:val="sr-Cyrl-CS"/>
              </w:rPr>
              <w:t> </w:t>
            </w:r>
          </w:p>
        </w:tc>
        <w:tc>
          <w:tcPr>
            <w:tcW w:w="920" w:type="dxa"/>
            <w:tcBorders>
              <w:top w:val="dotted" w:sz="4" w:space="0" w:color="auto"/>
              <w:left w:val="single" w:sz="4" w:space="0" w:color="auto"/>
              <w:bottom w:val="single" w:sz="4" w:space="0" w:color="auto"/>
              <w:right w:val="nil"/>
            </w:tcBorders>
            <w:shd w:val="clear" w:color="auto" w:fill="auto"/>
            <w:noWrap/>
            <w:vAlign w:val="center"/>
            <w:hideMark/>
          </w:tcPr>
          <w:p w14:paraId="63963D67" w14:textId="77777777" w:rsidR="00247CBF" w:rsidRPr="00092ED7" w:rsidRDefault="00247CBF" w:rsidP="00247CBF">
            <w:pPr>
              <w:spacing w:after="0" w:line="233" w:lineRule="auto"/>
              <w:jc w:val="right"/>
              <w:outlineLvl w:val="0"/>
              <w:rPr>
                <w:sz w:val="20"/>
                <w:szCs w:val="20"/>
                <w:lang w:val="sr-Cyrl-CS"/>
              </w:rPr>
            </w:pPr>
            <w:r w:rsidRPr="00092ED7">
              <w:rPr>
                <w:sz w:val="20"/>
                <w:szCs w:val="20"/>
                <w:lang w:val="sr-Cyrl-CS"/>
              </w:rPr>
              <w:t> </w:t>
            </w:r>
          </w:p>
        </w:tc>
        <w:tc>
          <w:tcPr>
            <w:tcW w:w="921" w:type="dxa"/>
            <w:tcBorders>
              <w:top w:val="dotted" w:sz="4" w:space="0" w:color="auto"/>
              <w:left w:val="single" w:sz="4" w:space="0" w:color="auto"/>
              <w:bottom w:val="single" w:sz="4" w:space="0" w:color="auto"/>
              <w:right w:val="nil"/>
            </w:tcBorders>
            <w:shd w:val="clear" w:color="auto" w:fill="auto"/>
            <w:noWrap/>
            <w:vAlign w:val="center"/>
            <w:hideMark/>
          </w:tcPr>
          <w:p w14:paraId="15BE854B" w14:textId="77777777" w:rsidR="00247CBF" w:rsidRPr="00092ED7" w:rsidRDefault="00247CBF" w:rsidP="00247CBF">
            <w:pPr>
              <w:spacing w:after="0" w:line="233" w:lineRule="auto"/>
              <w:jc w:val="right"/>
              <w:outlineLvl w:val="0"/>
              <w:rPr>
                <w:sz w:val="20"/>
                <w:szCs w:val="20"/>
                <w:lang w:val="sr-Cyrl-CS"/>
              </w:rPr>
            </w:pPr>
            <w:r w:rsidRPr="00092ED7">
              <w:rPr>
                <w:sz w:val="20"/>
                <w:szCs w:val="20"/>
                <w:lang w:val="sr-Cyrl-CS"/>
              </w:rPr>
              <w:t> </w:t>
            </w:r>
          </w:p>
        </w:tc>
        <w:tc>
          <w:tcPr>
            <w:tcW w:w="920" w:type="dxa"/>
            <w:tcBorders>
              <w:top w:val="dotted" w:sz="4" w:space="0" w:color="auto"/>
              <w:left w:val="single" w:sz="4" w:space="0" w:color="auto"/>
              <w:bottom w:val="single" w:sz="4" w:space="0" w:color="auto"/>
              <w:right w:val="single" w:sz="4" w:space="0" w:color="auto"/>
            </w:tcBorders>
            <w:vAlign w:val="center"/>
          </w:tcPr>
          <w:p w14:paraId="490C3ECD" w14:textId="77777777" w:rsidR="00247CBF" w:rsidRPr="00092ED7" w:rsidRDefault="00247CBF" w:rsidP="00247CBF">
            <w:pPr>
              <w:spacing w:after="0" w:line="233" w:lineRule="auto"/>
              <w:jc w:val="right"/>
              <w:outlineLvl w:val="0"/>
              <w:rPr>
                <w:sz w:val="20"/>
                <w:szCs w:val="20"/>
                <w:lang w:val="sr-Cyrl-CS"/>
              </w:rPr>
            </w:pPr>
          </w:p>
        </w:tc>
        <w:tc>
          <w:tcPr>
            <w:tcW w:w="921" w:type="dxa"/>
            <w:gridSpan w:val="2"/>
            <w:tcBorders>
              <w:top w:val="dotted" w:sz="4" w:space="0" w:color="auto"/>
              <w:left w:val="single" w:sz="4" w:space="0" w:color="auto"/>
              <w:bottom w:val="single" w:sz="4" w:space="0" w:color="auto"/>
              <w:right w:val="double" w:sz="6" w:space="0" w:color="auto"/>
            </w:tcBorders>
            <w:shd w:val="clear" w:color="auto" w:fill="auto"/>
            <w:noWrap/>
            <w:vAlign w:val="center"/>
            <w:hideMark/>
          </w:tcPr>
          <w:p w14:paraId="75D20CEB" w14:textId="77777777" w:rsidR="00247CBF" w:rsidRPr="00092ED7" w:rsidRDefault="00247CBF" w:rsidP="00247CBF">
            <w:pPr>
              <w:spacing w:after="0" w:line="233" w:lineRule="auto"/>
              <w:jc w:val="right"/>
              <w:outlineLvl w:val="0"/>
              <w:rPr>
                <w:sz w:val="20"/>
                <w:szCs w:val="20"/>
                <w:lang w:val="sr-Cyrl-CS"/>
              </w:rPr>
            </w:pPr>
            <w:r w:rsidRPr="00092ED7">
              <w:rPr>
                <w:sz w:val="20"/>
                <w:szCs w:val="20"/>
                <w:lang w:val="sr-Cyrl-CS"/>
              </w:rPr>
              <w:t> </w:t>
            </w:r>
          </w:p>
        </w:tc>
      </w:tr>
      <w:tr w:rsidR="00247CBF" w:rsidRPr="00092ED7" w14:paraId="5731A552" w14:textId="77777777" w:rsidTr="00247CBF">
        <w:trPr>
          <w:gridBefore w:val="1"/>
          <w:wBefore w:w="23" w:type="dxa"/>
          <w:trHeight w:val="227"/>
        </w:trPr>
        <w:tc>
          <w:tcPr>
            <w:tcW w:w="9191" w:type="dxa"/>
            <w:gridSpan w:val="3"/>
            <w:tcBorders>
              <w:top w:val="single" w:sz="4" w:space="0" w:color="auto"/>
              <w:left w:val="double" w:sz="6" w:space="0" w:color="auto"/>
              <w:bottom w:val="single" w:sz="8" w:space="0" w:color="auto"/>
              <w:right w:val="single" w:sz="8" w:space="0" w:color="000000"/>
            </w:tcBorders>
            <w:shd w:val="clear" w:color="auto" w:fill="auto"/>
            <w:vAlign w:val="center"/>
            <w:hideMark/>
          </w:tcPr>
          <w:p w14:paraId="2D9DD475" w14:textId="77777777" w:rsidR="00247CBF" w:rsidRPr="00092ED7" w:rsidRDefault="00247CBF" w:rsidP="00247CBF">
            <w:pPr>
              <w:spacing w:after="0" w:line="233" w:lineRule="auto"/>
              <w:jc w:val="center"/>
              <w:rPr>
                <w:rFonts w:cs="Times New Roman"/>
                <w:b/>
                <w:sz w:val="20"/>
                <w:szCs w:val="20"/>
                <w:lang w:val="sr-Cyrl-CS"/>
              </w:rPr>
            </w:pPr>
            <w:r w:rsidRPr="00092ED7">
              <w:rPr>
                <w:rFonts w:cs="Times New Roman"/>
                <w:b/>
                <w:sz w:val="20"/>
                <w:szCs w:val="20"/>
                <w:lang w:val="sr-Cyrl-CS"/>
              </w:rPr>
              <w:t>Међузбир</w:t>
            </w:r>
          </w:p>
        </w:tc>
        <w:tc>
          <w:tcPr>
            <w:tcW w:w="920" w:type="dxa"/>
            <w:tcBorders>
              <w:top w:val="single" w:sz="4" w:space="0" w:color="auto"/>
              <w:left w:val="nil"/>
              <w:bottom w:val="single" w:sz="8" w:space="0" w:color="auto"/>
              <w:right w:val="single" w:sz="4" w:space="0" w:color="auto"/>
            </w:tcBorders>
            <w:shd w:val="clear" w:color="auto" w:fill="auto"/>
            <w:noWrap/>
            <w:vAlign w:val="center"/>
            <w:hideMark/>
          </w:tcPr>
          <w:p w14:paraId="1AEC5616" w14:textId="77777777" w:rsidR="00247CBF" w:rsidRPr="00092ED7" w:rsidRDefault="00247CBF" w:rsidP="00247CBF">
            <w:pPr>
              <w:spacing w:after="0" w:line="233" w:lineRule="auto"/>
              <w:jc w:val="right"/>
              <w:rPr>
                <w:b/>
                <w:bCs/>
                <w:sz w:val="20"/>
                <w:szCs w:val="20"/>
                <w:lang w:val="sr-Cyrl-CS"/>
              </w:rPr>
            </w:pPr>
            <w:r w:rsidRPr="00092ED7">
              <w:rPr>
                <w:b/>
                <w:bCs/>
                <w:sz w:val="20"/>
                <w:szCs w:val="20"/>
                <w:lang w:val="sr-Cyrl-CS"/>
              </w:rPr>
              <w:t>-378,9</w:t>
            </w:r>
          </w:p>
        </w:tc>
        <w:tc>
          <w:tcPr>
            <w:tcW w:w="921" w:type="dxa"/>
            <w:tcBorders>
              <w:top w:val="single" w:sz="4" w:space="0" w:color="auto"/>
              <w:left w:val="nil"/>
              <w:bottom w:val="single" w:sz="8" w:space="0" w:color="auto"/>
              <w:right w:val="nil"/>
            </w:tcBorders>
            <w:shd w:val="clear" w:color="auto" w:fill="auto"/>
            <w:noWrap/>
            <w:vAlign w:val="center"/>
            <w:hideMark/>
          </w:tcPr>
          <w:p w14:paraId="77AF4BB4" w14:textId="77777777" w:rsidR="00247CBF" w:rsidRPr="00092ED7" w:rsidRDefault="00247CBF" w:rsidP="00247CBF">
            <w:pPr>
              <w:spacing w:after="0" w:line="233" w:lineRule="auto"/>
              <w:jc w:val="right"/>
              <w:rPr>
                <w:b/>
                <w:bCs/>
                <w:sz w:val="20"/>
                <w:szCs w:val="20"/>
                <w:lang w:val="sr-Cyrl-CS"/>
              </w:rPr>
            </w:pPr>
            <w:r w:rsidRPr="00092ED7">
              <w:rPr>
                <w:b/>
                <w:bCs/>
                <w:sz w:val="20"/>
                <w:szCs w:val="20"/>
                <w:lang w:val="sr-Cyrl-CS"/>
              </w:rPr>
              <w:t>-160,2</w:t>
            </w:r>
          </w:p>
        </w:tc>
        <w:tc>
          <w:tcPr>
            <w:tcW w:w="920" w:type="dxa"/>
            <w:tcBorders>
              <w:top w:val="single" w:sz="4" w:space="0" w:color="auto"/>
              <w:left w:val="single" w:sz="4" w:space="0" w:color="auto"/>
              <w:bottom w:val="single" w:sz="8" w:space="0" w:color="auto"/>
              <w:right w:val="nil"/>
            </w:tcBorders>
            <w:shd w:val="clear" w:color="auto" w:fill="auto"/>
            <w:noWrap/>
            <w:vAlign w:val="center"/>
            <w:hideMark/>
          </w:tcPr>
          <w:p w14:paraId="1AF81DB2" w14:textId="77777777" w:rsidR="00247CBF" w:rsidRPr="00092ED7" w:rsidRDefault="00247CBF" w:rsidP="00247CBF">
            <w:pPr>
              <w:spacing w:after="0" w:line="233" w:lineRule="auto"/>
              <w:jc w:val="right"/>
              <w:rPr>
                <w:b/>
                <w:bCs/>
                <w:sz w:val="20"/>
                <w:szCs w:val="20"/>
                <w:lang w:val="sr-Cyrl-CS"/>
              </w:rPr>
            </w:pPr>
            <w:r w:rsidRPr="00092ED7">
              <w:rPr>
                <w:b/>
                <w:bCs/>
                <w:sz w:val="20"/>
                <w:szCs w:val="20"/>
                <w:lang w:val="sr-Cyrl-CS"/>
              </w:rPr>
              <w:t>-77,05</w:t>
            </w:r>
          </w:p>
        </w:tc>
        <w:tc>
          <w:tcPr>
            <w:tcW w:w="921" w:type="dxa"/>
            <w:tcBorders>
              <w:top w:val="single" w:sz="4" w:space="0" w:color="auto"/>
              <w:left w:val="single" w:sz="4" w:space="0" w:color="auto"/>
              <w:bottom w:val="single" w:sz="8" w:space="0" w:color="auto"/>
              <w:right w:val="nil"/>
            </w:tcBorders>
            <w:shd w:val="clear" w:color="auto" w:fill="auto"/>
            <w:noWrap/>
            <w:vAlign w:val="center"/>
            <w:hideMark/>
          </w:tcPr>
          <w:p w14:paraId="3B97FF52" w14:textId="77777777" w:rsidR="00247CBF" w:rsidRPr="00092ED7" w:rsidRDefault="00247CBF" w:rsidP="00247CBF">
            <w:pPr>
              <w:spacing w:after="0" w:line="233" w:lineRule="auto"/>
              <w:jc w:val="right"/>
              <w:rPr>
                <w:b/>
                <w:bCs/>
                <w:sz w:val="20"/>
                <w:szCs w:val="20"/>
                <w:lang w:val="sr-Cyrl-CS"/>
              </w:rPr>
            </w:pPr>
            <w:r w:rsidRPr="00092ED7">
              <w:rPr>
                <w:b/>
                <w:bCs/>
                <w:sz w:val="20"/>
                <w:szCs w:val="20"/>
                <w:lang w:val="sr-Cyrl-CS"/>
              </w:rPr>
              <w:t>-19,0</w:t>
            </w:r>
          </w:p>
        </w:tc>
        <w:tc>
          <w:tcPr>
            <w:tcW w:w="920" w:type="dxa"/>
            <w:tcBorders>
              <w:top w:val="single" w:sz="4" w:space="0" w:color="auto"/>
              <w:left w:val="single" w:sz="4" w:space="0" w:color="auto"/>
              <w:bottom w:val="single" w:sz="8" w:space="0" w:color="auto"/>
              <w:right w:val="single" w:sz="4" w:space="0" w:color="auto"/>
            </w:tcBorders>
            <w:vAlign w:val="center"/>
          </w:tcPr>
          <w:p w14:paraId="512AB578" w14:textId="77777777" w:rsidR="00247CBF" w:rsidRPr="00092ED7" w:rsidRDefault="00247CBF" w:rsidP="00247CBF">
            <w:pPr>
              <w:spacing w:after="0" w:line="233" w:lineRule="auto"/>
              <w:jc w:val="right"/>
              <w:rPr>
                <w:b/>
                <w:bCs/>
                <w:sz w:val="20"/>
                <w:szCs w:val="20"/>
                <w:lang w:val="sr-Cyrl-CS"/>
              </w:rPr>
            </w:pPr>
            <w:r w:rsidRPr="00092ED7">
              <w:rPr>
                <w:b/>
                <w:bCs/>
                <w:sz w:val="20"/>
                <w:szCs w:val="20"/>
                <w:lang w:val="sr-Cyrl-CS"/>
              </w:rPr>
              <w:t>0,0</w:t>
            </w:r>
          </w:p>
        </w:tc>
        <w:tc>
          <w:tcPr>
            <w:tcW w:w="921" w:type="dxa"/>
            <w:gridSpan w:val="2"/>
            <w:tcBorders>
              <w:top w:val="single" w:sz="4" w:space="0" w:color="auto"/>
              <w:left w:val="single" w:sz="4" w:space="0" w:color="auto"/>
              <w:bottom w:val="single" w:sz="8" w:space="0" w:color="auto"/>
              <w:right w:val="double" w:sz="6" w:space="0" w:color="auto"/>
            </w:tcBorders>
            <w:shd w:val="clear" w:color="auto" w:fill="auto"/>
            <w:noWrap/>
            <w:vAlign w:val="center"/>
            <w:hideMark/>
          </w:tcPr>
          <w:p w14:paraId="6E809DC6" w14:textId="77777777" w:rsidR="00247CBF" w:rsidRPr="00092ED7" w:rsidRDefault="00247CBF" w:rsidP="00247CBF">
            <w:pPr>
              <w:spacing w:after="0" w:line="233" w:lineRule="auto"/>
              <w:jc w:val="right"/>
              <w:rPr>
                <w:b/>
                <w:bCs/>
                <w:sz w:val="20"/>
                <w:szCs w:val="20"/>
                <w:lang w:val="sr-Cyrl-CS"/>
              </w:rPr>
            </w:pPr>
            <w:r w:rsidRPr="00092ED7">
              <w:rPr>
                <w:b/>
                <w:bCs/>
                <w:sz w:val="20"/>
                <w:szCs w:val="20"/>
                <w:lang w:val="sr-Cyrl-CS"/>
              </w:rPr>
              <w:t>0,0</w:t>
            </w:r>
          </w:p>
        </w:tc>
      </w:tr>
      <w:tr w:rsidR="00247CBF" w:rsidRPr="00092ED7" w14:paraId="59D37F7C" w14:textId="77777777" w:rsidTr="00247CBF">
        <w:trPr>
          <w:gridBefore w:val="1"/>
          <w:wBefore w:w="23" w:type="dxa"/>
          <w:trHeight w:val="227"/>
        </w:trPr>
        <w:tc>
          <w:tcPr>
            <w:tcW w:w="5101" w:type="dxa"/>
            <w:tcBorders>
              <w:top w:val="nil"/>
              <w:left w:val="double" w:sz="6" w:space="0" w:color="auto"/>
              <w:bottom w:val="nil"/>
              <w:right w:val="single" w:sz="4" w:space="0" w:color="auto"/>
            </w:tcBorders>
            <w:shd w:val="clear" w:color="auto" w:fill="auto"/>
            <w:vAlign w:val="center"/>
            <w:hideMark/>
          </w:tcPr>
          <w:p w14:paraId="26A02650" w14:textId="77777777" w:rsidR="00247CBF" w:rsidRPr="00092ED7" w:rsidRDefault="00247CBF" w:rsidP="00247CBF">
            <w:pPr>
              <w:spacing w:after="0" w:line="233" w:lineRule="auto"/>
              <w:rPr>
                <w:rFonts w:cs="Times New Roman"/>
                <w:sz w:val="20"/>
                <w:szCs w:val="20"/>
                <w:lang w:val="sr-Cyrl-CS"/>
              </w:rPr>
            </w:pPr>
            <w:r w:rsidRPr="00092ED7">
              <w:rPr>
                <w:rFonts w:cs="Times New Roman"/>
                <w:i/>
                <w:iCs/>
                <w:sz w:val="20"/>
                <w:szCs w:val="20"/>
                <w:lang w:val="sr-Cyrl-CS"/>
              </w:rPr>
              <w:t>Мере које нису привремене</w:t>
            </w:r>
            <w:r w:rsidRPr="00092ED7">
              <w:rPr>
                <w:rFonts w:cs="Times New Roman"/>
                <w:sz w:val="20"/>
                <w:szCs w:val="20"/>
                <w:vertAlign w:val="superscript"/>
                <w:lang w:val="sr-Cyrl-CS"/>
              </w:rPr>
              <w:t>1</w:t>
            </w:r>
          </w:p>
        </w:tc>
        <w:tc>
          <w:tcPr>
            <w:tcW w:w="1397" w:type="dxa"/>
            <w:tcBorders>
              <w:top w:val="nil"/>
              <w:left w:val="nil"/>
              <w:bottom w:val="nil"/>
              <w:right w:val="single" w:sz="4" w:space="0" w:color="auto"/>
            </w:tcBorders>
            <w:shd w:val="clear" w:color="auto" w:fill="auto"/>
            <w:noWrap/>
            <w:vAlign w:val="center"/>
          </w:tcPr>
          <w:p w14:paraId="68EA97A3" w14:textId="77777777" w:rsidR="00247CBF" w:rsidRPr="00092ED7" w:rsidRDefault="00247CBF" w:rsidP="00247CBF">
            <w:pPr>
              <w:spacing w:after="0" w:line="233" w:lineRule="auto"/>
              <w:rPr>
                <w:rFonts w:cs="Times New Roman"/>
                <w:sz w:val="20"/>
                <w:szCs w:val="20"/>
                <w:lang w:val="sr-Cyrl-CS"/>
              </w:rPr>
            </w:pPr>
          </w:p>
        </w:tc>
        <w:tc>
          <w:tcPr>
            <w:tcW w:w="2693" w:type="dxa"/>
            <w:tcBorders>
              <w:top w:val="nil"/>
              <w:left w:val="single" w:sz="4" w:space="0" w:color="auto"/>
              <w:bottom w:val="single" w:sz="4" w:space="0" w:color="auto"/>
              <w:right w:val="single" w:sz="8" w:space="0" w:color="auto"/>
            </w:tcBorders>
            <w:shd w:val="clear" w:color="auto" w:fill="auto"/>
            <w:noWrap/>
            <w:vAlign w:val="center"/>
          </w:tcPr>
          <w:p w14:paraId="0AC83A7C" w14:textId="77777777" w:rsidR="00247CBF" w:rsidRPr="00092ED7" w:rsidRDefault="00247CBF" w:rsidP="00247CBF">
            <w:pPr>
              <w:spacing w:after="0" w:line="233" w:lineRule="auto"/>
              <w:rPr>
                <w:rFonts w:cs="Times New Roman"/>
                <w:sz w:val="20"/>
                <w:szCs w:val="20"/>
                <w:lang w:val="sr-Cyrl-CS"/>
              </w:rPr>
            </w:pPr>
          </w:p>
        </w:tc>
        <w:tc>
          <w:tcPr>
            <w:tcW w:w="920" w:type="dxa"/>
            <w:tcBorders>
              <w:top w:val="nil"/>
              <w:left w:val="nil"/>
              <w:bottom w:val="nil"/>
              <w:right w:val="single" w:sz="4" w:space="0" w:color="auto"/>
            </w:tcBorders>
            <w:shd w:val="clear" w:color="auto" w:fill="auto"/>
            <w:noWrap/>
            <w:vAlign w:val="center"/>
          </w:tcPr>
          <w:p w14:paraId="3E785A99" w14:textId="77777777" w:rsidR="00247CBF" w:rsidRPr="00092ED7" w:rsidRDefault="00247CBF" w:rsidP="00247CBF">
            <w:pPr>
              <w:spacing w:after="0" w:line="233" w:lineRule="auto"/>
              <w:rPr>
                <w:rFonts w:cs="Times New Roman"/>
                <w:sz w:val="20"/>
                <w:szCs w:val="20"/>
                <w:lang w:val="sr-Cyrl-CS"/>
              </w:rPr>
            </w:pPr>
          </w:p>
        </w:tc>
        <w:tc>
          <w:tcPr>
            <w:tcW w:w="921" w:type="dxa"/>
            <w:tcBorders>
              <w:top w:val="nil"/>
              <w:left w:val="single" w:sz="4" w:space="0" w:color="auto"/>
              <w:bottom w:val="nil"/>
              <w:right w:val="nil"/>
            </w:tcBorders>
            <w:shd w:val="clear" w:color="auto" w:fill="auto"/>
            <w:noWrap/>
            <w:vAlign w:val="center"/>
          </w:tcPr>
          <w:p w14:paraId="2A387839" w14:textId="77777777" w:rsidR="00247CBF" w:rsidRPr="00092ED7" w:rsidRDefault="00247CBF" w:rsidP="00247CBF">
            <w:pPr>
              <w:spacing w:after="0" w:line="233" w:lineRule="auto"/>
              <w:rPr>
                <w:rFonts w:cs="Times New Roman"/>
                <w:sz w:val="20"/>
                <w:szCs w:val="20"/>
                <w:lang w:val="sr-Cyrl-CS"/>
              </w:rPr>
            </w:pPr>
          </w:p>
        </w:tc>
        <w:tc>
          <w:tcPr>
            <w:tcW w:w="920" w:type="dxa"/>
            <w:tcBorders>
              <w:top w:val="nil"/>
              <w:left w:val="single" w:sz="4" w:space="0" w:color="auto"/>
              <w:bottom w:val="nil"/>
              <w:right w:val="nil"/>
            </w:tcBorders>
            <w:shd w:val="clear" w:color="auto" w:fill="auto"/>
            <w:noWrap/>
            <w:vAlign w:val="center"/>
          </w:tcPr>
          <w:p w14:paraId="5368F7F9" w14:textId="77777777" w:rsidR="00247CBF" w:rsidRPr="00092ED7" w:rsidRDefault="00247CBF" w:rsidP="00247CBF">
            <w:pPr>
              <w:spacing w:after="0" w:line="233" w:lineRule="auto"/>
              <w:rPr>
                <w:rFonts w:cs="Times New Roman"/>
                <w:sz w:val="20"/>
                <w:szCs w:val="20"/>
                <w:lang w:val="sr-Cyrl-CS"/>
              </w:rPr>
            </w:pPr>
          </w:p>
        </w:tc>
        <w:tc>
          <w:tcPr>
            <w:tcW w:w="921" w:type="dxa"/>
            <w:tcBorders>
              <w:top w:val="nil"/>
              <w:left w:val="single" w:sz="4" w:space="0" w:color="auto"/>
              <w:bottom w:val="nil"/>
              <w:right w:val="nil"/>
            </w:tcBorders>
            <w:shd w:val="clear" w:color="auto" w:fill="auto"/>
            <w:noWrap/>
            <w:vAlign w:val="center"/>
          </w:tcPr>
          <w:p w14:paraId="7CFE006B" w14:textId="77777777" w:rsidR="00247CBF" w:rsidRPr="00092ED7" w:rsidRDefault="00247CBF" w:rsidP="00247CBF">
            <w:pPr>
              <w:spacing w:after="0" w:line="233" w:lineRule="auto"/>
              <w:rPr>
                <w:rFonts w:cs="Times New Roman"/>
                <w:sz w:val="20"/>
                <w:szCs w:val="20"/>
                <w:lang w:val="sr-Cyrl-CS"/>
              </w:rPr>
            </w:pPr>
          </w:p>
        </w:tc>
        <w:tc>
          <w:tcPr>
            <w:tcW w:w="920" w:type="dxa"/>
            <w:tcBorders>
              <w:top w:val="nil"/>
              <w:left w:val="single" w:sz="4" w:space="0" w:color="auto"/>
              <w:bottom w:val="nil"/>
              <w:right w:val="single" w:sz="4" w:space="0" w:color="auto"/>
            </w:tcBorders>
            <w:vAlign w:val="center"/>
          </w:tcPr>
          <w:p w14:paraId="3762F777" w14:textId="77777777" w:rsidR="00247CBF" w:rsidRPr="00092ED7" w:rsidRDefault="00247CBF" w:rsidP="00247CBF">
            <w:pPr>
              <w:spacing w:after="0" w:line="233" w:lineRule="auto"/>
              <w:jc w:val="right"/>
              <w:rPr>
                <w:rFonts w:cs="Times New Roman"/>
                <w:sz w:val="20"/>
                <w:szCs w:val="20"/>
                <w:lang w:val="sr-Cyrl-CS"/>
              </w:rPr>
            </w:pPr>
          </w:p>
        </w:tc>
        <w:tc>
          <w:tcPr>
            <w:tcW w:w="921" w:type="dxa"/>
            <w:gridSpan w:val="2"/>
            <w:tcBorders>
              <w:top w:val="nil"/>
              <w:left w:val="single" w:sz="4" w:space="0" w:color="auto"/>
              <w:bottom w:val="nil"/>
              <w:right w:val="double" w:sz="6" w:space="0" w:color="auto"/>
            </w:tcBorders>
            <w:shd w:val="clear" w:color="auto" w:fill="auto"/>
            <w:noWrap/>
            <w:vAlign w:val="center"/>
          </w:tcPr>
          <w:p w14:paraId="6ABC6DF7" w14:textId="77777777" w:rsidR="00247CBF" w:rsidRPr="00092ED7" w:rsidRDefault="00247CBF" w:rsidP="00247CBF">
            <w:pPr>
              <w:spacing w:after="0" w:line="233" w:lineRule="auto"/>
              <w:rPr>
                <w:rFonts w:cs="Times New Roman"/>
                <w:sz w:val="20"/>
                <w:szCs w:val="20"/>
                <w:lang w:val="sr-Cyrl-CS"/>
              </w:rPr>
            </w:pPr>
          </w:p>
        </w:tc>
      </w:tr>
      <w:tr w:rsidR="00247CBF" w:rsidRPr="00092ED7" w14:paraId="6B79E273" w14:textId="77777777" w:rsidTr="00247CBF">
        <w:trPr>
          <w:gridBefore w:val="1"/>
          <w:wBefore w:w="23" w:type="dxa"/>
          <w:trHeight w:val="227"/>
        </w:trPr>
        <w:tc>
          <w:tcPr>
            <w:tcW w:w="5101" w:type="dxa"/>
            <w:tcBorders>
              <w:top w:val="single" w:sz="4" w:space="0" w:color="auto"/>
              <w:left w:val="double" w:sz="6" w:space="0" w:color="auto"/>
              <w:bottom w:val="dotted" w:sz="4" w:space="0" w:color="auto"/>
              <w:right w:val="single" w:sz="4" w:space="0" w:color="auto"/>
            </w:tcBorders>
            <w:shd w:val="clear" w:color="auto" w:fill="auto"/>
            <w:vAlign w:val="center"/>
            <w:hideMark/>
          </w:tcPr>
          <w:p w14:paraId="21CEA153" w14:textId="77777777" w:rsidR="00247CBF" w:rsidRPr="00092ED7" w:rsidRDefault="00247CBF" w:rsidP="00247CBF">
            <w:pPr>
              <w:spacing w:after="0" w:line="233" w:lineRule="auto"/>
              <w:jc w:val="left"/>
              <w:rPr>
                <w:sz w:val="20"/>
                <w:szCs w:val="20"/>
                <w:lang w:val="sr-Cyrl-CS"/>
              </w:rPr>
            </w:pPr>
            <w:r w:rsidRPr="00092ED7">
              <w:rPr>
                <w:sz w:val="20"/>
                <w:szCs w:val="20"/>
                <w:lang w:val="sr-Cyrl-CS"/>
              </w:rPr>
              <w:t>Повећање плата запосленима у здравству</w:t>
            </w:r>
          </w:p>
        </w:tc>
        <w:tc>
          <w:tcPr>
            <w:tcW w:w="1397" w:type="dxa"/>
            <w:tcBorders>
              <w:top w:val="single" w:sz="4" w:space="0" w:color="auto"/>
              <w:left w:val="nil"/>
              <w:bottom w:val="dotted" w:sz="4" w:space="0" w:color="auto"/>
              <w:right w:val="single" w:sz="4" w:space="0" w:color="auto"/>
            </w:tcBorders>
            <w:shd w:val="clear" w:color="auto" w:fill="auto"/>
            <w:noWrap/>
            <w:vAlign w:val="center"/>
            <w:hideMark/>
          </w:tcPr>
          <w:p w14:paraId="0F0FA880" w14:textId="77777777" w:rsidR="00247CBF" w:rsidRPr="00092ED7" w:rsidRDefault="00247CBF" w:rsidP="00247CBF">
            <w:pPr>
              <w:spacing w:after="0" w:line="233" w:lineRule="auto"/>
              <w:jc w:val="center"/>
              <w:rPr>
                <w:sz w:val="20"/>
                <w:szCs w:val="20"/>
                <w:lang w:val="sr-Cyrl-CS"/>
              </w:rPr>
            </w:pPr>
            <w:r w:rsidRPr="00092ED7">
              <w:rPr>
                <w:sz w:val="20"/>
                <w:szCs w:val="20"/>
                <w:lang w:val="sr-Cyrl-CS"/>
              </w:rPr>
              <w:t>D1</w:t>
            </w:r>
          </w:p>
        </w:tc>
        <w:tc>
          <w:tcPr>
            <w:tcW w:w="2693" w:type="dxa"/>
            <w:tcBorders>
              <w:top w:val="nil"/>
              <w:left w:val="single" w:sz="4" w:space="0" w:color="auto"/>
              <w:bottom w:val="dotted" w:sz="4" w:space="0" w:color="auto"/>
              <w:right w:val="single" w:sz="8" w:space="0" w:color="auto"/>
            </w:tcBorders>
            <w:shd w:val="clear" w:color="auto" w:fill="auto"/>
            <w:noWrap/>
            <w:vAlign w:val="center"/>
          </w:tcPr>
          <w:p w14:paraId="66BFE494" w14:textId="77777777" w:rsidR="00247CBF" w:rsidRPr="00092ED7" w:rsidRDefault="00247CBF" w:rsidP="00247CBF">
            <w:pPr>
              <w:spacing w:after="0" w:line="233" w:lineRule="auto"/>
              <w:jc w:val="center"/>
              <w:rPr>
                <w:sz w:val="20"/>
                <w:szCs w:val="20"/>
                <w:lang w:val="sr-Cyrl-CS"/>
              </w:rPr>
            </w:pPr>
            <w:r w:rsidRPr="00092ED7">
              <w:rPr>
                <w:sz w:val="20"/>
                <w:szCs w:val="20"/>
                <w:lang w:val="sr-Cyrl-CS"/>
              </w:rPr>
              <w:t>2020-04</w:t>
            </w:r>
          </w:p>
        </w:tc>
        <w:tc>
          <w:tcPr>
            <w:tcW w:w="920" w:type="dxa"/>
            <w:tcBorders>
              <w:top w:val="single" w:sz="4" w:space="0" w:color="auto"/>
              <w:left w:val="nil"/>
              <w:bottom w:val="dotted" w:sz="4" w:space="0" w:color="auto"/>
              <w:right w:val="single" w:sz="4" w:space="0" w:color="auto"/>
            </w:tcBorders>
            <w:shd w:val="clear" w:color="auto" w:fill="auto"/>
            <w:noWrap/>
            <w:vAlign w:val="center"/>
            <w:hideMark/>
          </w:tcPr>
          <w:p w14:paraId="6AB0F6CD" w14:textId="77777777" w:rsidR="00247CBF" w:rsidRPr="00092ED7" w:rsidRDefault="00247CBF" w:rsidP="00247CBF">
            <w:pPr>
              <w:spacing w:after="0" w:line="233" w:lineRule="auto"/>
              <w:jc w:val="right"/>
              <w:rPr>
                <w:sz w:val="20"/>
                <w:szCs w:val="20"/>
                <w:lang w:val="sr-Cyrl-CS"/>
              </w:rPr>
            </w:pPr>
            <w:r w:rsidRPr="00092ED7">
              <w:rPr>
                <w:sz w:val="20"/>
                <w:szCs w:val="20"/>
                <w:lang w:val="sr-Cyrl-CS"/>
              </w:rPr>
              <w:t>-10,7</w:t>
            </w:r>
          </w:p>
        </w:tc>
        <w:tc>
          <w:tcPr>
            <w:tcW w:w="921" w:type="dxa"/>
            <w:tcBorders>
              <w:top w:val="single" w:sz="4" w:space="0" w:color="auto"/>
              <w:left w:val="single" w:sz="4" w:space="0" w:color="auto"/>
              <w:bottom w:val="dotted" w:sz="4" w:space="0" w:color="auto"/>
              <w:right w:val="nil"/>
            </w:tcBorders>
            <w:shd w:val="clear" w:color="auto" w:fill="auto"/>
            <w:noWrap/>
            <w:vAlign w:val="center"/>
            <w:hideMark/>
          </w:tcPr>
          <w:p w14:paraId="21F90C0A" w14:textId="77777777" w:rsidR="00247CBF" w:rsidRPr="00092ED7" w:rsidRDefault="00247CBF" w:rsidP="00247CBF">
            <w:pPr>
              <w:spacing w:after="0" w:line="233" w:lineRule="auto"/>
              <w:jc w:val="right"/>
              <w:rPr>
                <w:sz w:val="20"/>
                <w:szCs w:val="20"/>
                <w:lang w:val="sr-Cyrl-CS"/>
              </w:rPr>
            </w:pPr>
            <w:r w:rsidRPr="00092ED7">
              <w:rPr>
                <w:sz w:val="20"/>
                <w:szCs w:val="20"/>
                <w:lang w:val="sr-Cyrl-CS"/>
              </w:rPr>
              <w:t> </w:t>
            </w:r>
          </w:p>
        </w:tc>
        <w:tc>
          <w:tcPr>
            <w:tcW w:w="920" w:type="dxa"/>
            <w:tcBorders>
              <w:top w:val="single" w:sz="4" w:space="0" w:color="auto"/>
              <w:left w:val="single" w:sz="4" w:space="0" w:color="auto"/>
              <w:bottom w:val="dotted" w:sz="4" w:space="0" w:color="auto"/>
              <w:right w:val="nil"/>
            </w:tcBorders>
            <w:shd w:val="clear" w:color="auto" w:fill="auto"/>
            <w:noWrap/>
            <w:vAlign w:val="center"/>
            <w:hideMark/>
          </w:tcPr>
          <w:p w14:paraId="6A4F8EE2" w14:textId="77777777" w:rsidR="00247CBF" w:rsidRPr="00092ED7" w:rsidRDefault="00247CBF" w:rsidP="00247CBF">
            <w:pPr>
              <w:spacing w:after="0" w:line="233" w:lineRule="auto"/>
              <w:jc w:val="right"/>
              <w:rPr>
                <w:sz w:val="20"/>
                <w:szCs w:val="20"/>
                <w:lang w:val="sr-Cyrl-CS"/>
              </w:rPr>
            </w:pPr>
            <w:r w:rsidRPr="00092ED7">
              <w:rPr>
                <w:sz w:val="20"/>
                <w:szCs w:val="20"/>
                <w:lang w:val="sr-Cyrl-CS"/>
              </w:rPr>
              <w:t> </w:t>
            </w:r>
          </w:p>
        </w:tc>
        <w:tc>
          <w:tcPr>
            <w:tcW w:w="921" w:type="dxa"/>
            <w:tcBorders>
              <w:top w:val="single" w:sz="4" w:space="0" w:color="auto"/>
              <w:left w:val="single" w:sz="4" w:space="0" w:color="auto"/>
              <w:bottom w:val="dotted" w:sz="4" w:space="0" w:color="auto"/>
              <w:right w:val="nil"/>
            </w:tcBorders>
            <w:shd w:val="clear" w:color="auto" w:fill="auto"/>
            <w:noWrap/>
            <w:vAlign w:val="center"/>
            <w:hideMark/>
          </w:tcPr>
          <w:p w14:paraId="0929573C" w14:textId="77777777" w:rsidR="00247CBF" w:rsidRPr="00092ED7" w:rsidRDefault="00247CBF" w:rsidP="00247CBF">
            <w:pPr>
              <w:spacing w:after="0" w:line="233" w:lineRule="auto"/>
              <w:jc w:val="right"/>
              <w:rPr>
                <w:sz w:val="20"/>
                <w:szCs w:val="20"/>
                <w:lang w:val="sr-Cyrl-CS"/>
              </w:rPr>
            </w:pPr>
            <w:r w:rsidRPr="00092ED7">
              <w:rPr>
                <w:sz w:val="20"/>
                <w:szCs w:val="20"/>
                <w:lang w:val="sr-Cyrl-CS"/>
              </w:rPr>
              <w:t> </w:t>
            </w:r>
          </w:p>
        </w:tc>
        <w:tc>
          <w:tcPr>
            <w:tcW w:w="920" w:type="dxa"/>
            <w:tcBorders>
              <w:top w:val="single" w:sz="4" w:space="0" w:color="auto"/>
              <w:left w:val="single" w:sz="4" w:space="0" w:color="auto"/>
              <w:bottom w:val="dotted" w:sz="4" w:space="0" w:color="auto"/>
              <w:right w:val="single" w:sz="4" w:space="0" w:color="auto"/>
            </w:tcBorders>
            <w:vAlign w:val="center"/>
          </w:tcPr>
          <w:p w14:paraId="12045830" w14:textId="77777777" w:rsidR="00247CBF" w:rsidRPr="00092ED7" w:rsidRDefault="00247CBF" w:rsidP="00247CBF">
            <w:pPr>
              <w:spacing w:after="0" w:line="233" w:lineRule="auto"/>
              <w:jc w:val="right"/>
              <w:rPr>
                <w:sz w:val="20"/>
                <w:szCs w:val="20"/>
                <w:lang w:val="sr-Cyrl-CS"/>
              </w:rPr>
            </w:pPr>
            <w:r w:rsidRPr="00092ED7">
              <w:rPr>
                <w:sz w:val="20"/>
                <w:szCs w:val="20"/>
                <w:lang w:val="sr-Cyrl-CS"/>
              </w:rPr>
              <w:t> </w:t>
            </w:r>
          </w:p>
        </w:tc>
        <w:tc>
          <w:tcPr>
            <w:tcW w:w="921" w:type="dxa"/>
            <w:gridSpan w:val="2"/>
            <w:tcBorders>
              <w:top w:val="single" w:sz="4" w:space="0" w:color="auto"/>
              <w:left w:val="single" w:sz="4" w:space="0" w:color="auto"/>
              <w:bottom w:val="dotted" w:sz="4" w:space="0" w:color="auto"/>
              <w:right w:val="double" w:sz="6" w:space="0" w:color="auto"/>
            </w:tcBorders>
            <w:shd w:val="clear" w:color="auto" w:fill="auto"/>
            <w:noWrap/>
            <w:vAlign w:val="center"/>
            <w:hideMark/>
          </w:tcPr>
          <w:p w14:paraId="4BB7F68A" w14:textId="77777777" w:rsidR="00247CBF" w:rsidRPr="00092ED7" w:rsidRDefault="00247CBF" w:rsidP="00247CBF">
            <w:pPr>
              <w:spacing w:after="0" w:line="233" w:lineRule="auto"/>
              <w:jc w:val="right"/>
              <w:rPr>
                <w:sz w:val="20"/>
                <w:szCs w:val="20"/>
                <w:lang w:val="sr-Cyrl-CS"/>
              </w:rPr>
            </w:pPr>
            <w:r w:rsidRPr="00092ED7">
              <w:rPr>
                <w:sz w:val="20"/>
                <w:szCs w:val="20"/>
                <w:lang w:val="sr-Cyrl-CS"/>
              </w:rPr>
              <w:t> </w:t>
            </w:r>
          </w:p>
        </w:tc>
      </w:tr>
      <w:tr w:rsidR="00247CBF" w:rsidRPr="00092ED7" w14:paraId="17B5877A" w14:textId="77777777" w:rsidTr="00247CBF">
        <w:trPr>
          <w:gridBefore w:val="1"/>
          <w:wBefore w:w="23" w:type="dxa"/>
          <w:trHeight w:val="227"/>
        </w:trPr>
        <w:tc>
          <w:tcPr>
            <w:tcW w:w="5101" w:type="dxa"/>
            <w:tcBorders>
              <w:top w:val="nil"/>
              <w:left w:val="double" w:sz="6" w:space="0" w:color="auto"/>
              <w:bottom w:val="dotted" w:sz="4" w:space="0" w:color="auto"/>
              <w:right w:val="single" w:sz="4" w:space="0" w:color="auto"/>
            </w:tcBorders>
            <w:shd w:val="clear" w:color="auto" w:fill="auto"/>
            <w:vAlign w:val="center"/>
            <w:hideMark/>
          </w:tcPr>
          <w:p w14:paraId="3DF13935" w14:textId="77777777" w:rsidR="00247CBF" w:rsidRPr="00092ED7" w:rsidRDefault="00247CBF" w:rsidP="00247CBF">
            <w:pPr>
              <w:spacing w:after="0" w:line="233" w:lineRule="auto"/>
              <w:jc w:val="left"/>
              <w:rPr>
                <w:sz w:val="20"/>
                <w:szCs w:val="20"/>
                <w:lang w:val="sr-Cyrl-CS"/>
              </w:rPr>
            </w:pPr>
            <w:r w:rsidRPr="00092ED7">
              <w:rPr>
                <w:sz w:val="20"/>
                <w:szCs w:val="20"/>
                <w:lang w:val="sr-Cyrl-CS"/>
              </w:rPr>
              <w:t xml:space="preserve">Смањење доприноса за пио и повећање неопорезивог цензуса </w:t>
            </w:r>
          </w:p>
        </w:tc>
        <w:tc>
          <w:tcPr>
            <w:tcW w:w="1397" w:type="dxa"/>
            <w:tcBorders>
              <w:top w:val="nil"/>
              <w:left w:val="nil"/>
              <w:bottom w:val="dotted" w:sz="4" w:space="0" w:color="auto"/>
              <w:right w:val="single" w:sz="4" w:space="0" w:color="auto"/>
            </w:tcBorders>
            <w:shd w:val="clear" w:color="auto" w:fill="auto"/>
            <w:noWrap/>
            <w:vAlign w:val="center"/>
            <w:hideMark/>
          </w:tcPr>
          <w:p w14:paraId="6A2C8197" w14:textId="77777777" w:rsidR="00247CBF" w:rsidRPr="00092ED7" w:rsidRDefault="00247CBF" w:rsidP="00247CBF">
            <w:pPr>
              <w:spacing w:after="0" w:line="233" w:lineRule="auto"/>
              <w:jc w:val="center"/>
              <w:rPr>
                <w:sz w:val="20"/>
                <w:szCs w:val="20"/>
                <w:lang w:val="sr-Cyrl-CS"/>
              </w:rPr>
            </w:pPr>
            <w:r w:rsidRPr="00092ED7">
              <w:rPr>
                <w:sz w:val="20"/>
                <w:szCs w:val="20"/>
                <w:lang w:val="sr-Cyrl-CS"/>
              </w:rPr>
              <w:t>D5, D61</w:t>
            </w:r>
          </w:p>
        </w:tc>
        <w:tc>
          <w:tcPr>
            <w:tcW w:w="2693" w:type="dxa"/>
            <w:tcBorders>
              <w:top w:val="nil"/>
              <w:left w:val="single" w:sz="4" w:space="0" w:color="auto"/>
              <w:bottom w:val="dotted" w:sz="4" w:space="0" w:color="auto"/>
              <w:right w:val="single" w:sz="8" w:space="0" w:color="auto"/>
            </w:tcBorders>
            <w:shd w:val="clear" w:color="auto" w:fill="auto"/>
            <w:vAlign w:val="center"/>
          </w:tcPr>
          <w:p w14:paraId="487467CE" w14:textId="77777777" w:rsidR="00247CBF" w:rsidRPr="00092ED7" w:rsidRDefault="00247CBF" w:rsidP="00247CBF">
            <w:pPr>
              <w:spacing w:after="0" w:line="233" w:lineRule="auto"/>
              <w:jc w:val="center"/>
              <w:rPr>
                <w:sz w:val="20"/>
                <w:szCs w:val="20"/>
                <w:lang w:val="sr-Cyrl-CS"/>
              </w:rPr>
            </w:pPr>
            <w:r w:rsidRPr="00092ED7">
              <w:rPr>
                <w:sz w:val="20"/>
                <w:szCs w:val="20"/>
                <w:lang w:val="sr-Cyrl-CS"/>
              </w:rPr>
              <w:t>2019-11; 2020-11; 2021-11; 2022-11</w:t>
            </w:r>
          </w:p>
        </w:tc>
        <w:tc>
          <w:tcPr>
            <w:tcW w:w="920" w:type="dxa"/>
            <w:tcBorders>
              <w:top w:val="nil"/>
              <w:left w:val="nil"/>
              <w:bottom w:val="dotted" w:sz="4" w:space="0" w:color="auto"/>
              <w:right w:val="single" w:sz="4" w:space="0" w:color="auto"/>
            </w:tcBorders>
            <w:shd w:val="clear" w:color="auto" w:fill="auto"/>
            <w:noWrap/>
            <w:vAlign w:val="center"/>
            <w:hideMark/>
          </w:tcPr>
          <w:p w14:paraId="34BF1D88" w14:textId="77777777" w:rsidR="00247CBF" w:rsidRPr="00092ED7" w:rsidRDefault="00247CBF" w:rsidP="00247CBF">
            <w:pPr>
              <w:spacing w:after="0" w:line="233" w:lineRule="auto"/>
              <w:jc w:val="right"/>
              <w:rPr>
                <w:sz w:val="20"/>
                <w:szCs w:val="20"/>
                <w:lang w:val="sr-Cyrl-CS"/>
              </w:rPr>
            </w:pPr>
            <w:r w:rsidRPr="00092ED7">
              <w:rPr>
                <w:sz w:val="20"/>
                <w:szCs w:val="20"/>
                <w:lang w:val="sr-Cyrl-CS"/>
              </w:rPr>
              <w:t>-13</w:t>
            </w:r>
          </w:p>
        </w:tc>
        <w:tc>
          <w:tcPr>
            <w:tcW w:w="921" w:type="dxa"/>
            <w:tcBorders>
              <w:top w:val="nil"/>
              <w:left w:val="single" w:sz="4" w:space="0" w:color="auto"/>
              <w:bottom w:val="dotted" w:sz="4" w:space="0" w:color="auto"/>
              <w:right w:val="nil"/>
            </w:tcBorders>
            <w:shd w:val="clear" w:color="auto" w:fill="auto"/>
            <w:noWrap/>
            <w:vAlign w:val="center"/>
            <w:hideMark/>
          </w:tcPr>
          <w:p w14:paraId="22DCC020" w14:textId="77777777" w:rsidR="00247CBF" w:rsidRPr="00092ED7" w:rsidRDefault="00247CBF" w:rsidP="00247CBF">
            <w:pPr>
              <w:spacing w:after="0" w:line="233" w:lineRule="auto"/>
              <w:jc w:val="right"/>
              <w:rPr>
                <w:sz w:val="20"/>
                <w:szCs w:val="20"/>
                <w:lang w:val="sr-Cyrl-CS"/>
              </w:rPr>
            </w:pPr>
            <w:r w:rsidRPr="00092ED7">
              <w:rPr>
                <w:sz w:val="20"/>
                <w:szCs w:val="20"/>
                <w:lang w:val="sr-Cyrl-CS"/>
              </w:rPr>
              <w:t>-8</w:t>
            </w:r>
          </w:p>
        </w:tc>
        <w:tc>
          <w:tcPr>
            <w:tcW w:w="920" w:type="dxa"/>
            <w:tcBorders>
              <w:top w:val="nil"/>
              <w:left w:val="single" w:sz="4" w:space="0" w:color="auto"/>
              <w:bottom w:val="dotted" w:sz="4" w:space="0" w:color="auto"/>
              <w:right w:val="nil"/>
            </w:tcBorders>
            <w:shd w:val="clear" w:color="auto" w:fill="auto"/>
            <w:noWrap/>
            <w:vAlign w:val="center"/>
            <w:hideMark/>
          </w:tcPr>
          <w:p w14:paraId="09C35DAD" w14:textId="77777777" w:rsidR="00247CBF" w:rsidRPr="00092ED7" w:rsidRDefault="00247CBF" w:rsidP="00247CBF">
            <w:pPr>
              <w:spacing w:after="0" w:line="233" w:lineRule="auto"/>
              <w:jc w:val="right"/>
              <w:rPr>
                <w:sz w:val="20"/>
                <w:szCs w:val="20"/>
                <w:lang w:val="sr-Cyrl-CS"/>
              </w:rPr>
            </w:pPr>
            <w:r w:rsidRPr="00092ED7">
              <w:rPr>
                <w:sz w:val="20"/>
                <w:szCs w:val="20"/>
                <w:lang w:val="sr-Cyrl-CS"/>
              </w:rPr>
              <w:t>-16,2</w:t>
            </w:r>
          </w:p>
        </w:tc>
        <w:tc>
          <w:tcPr>
            <w:tcW w:w="921" w:type="dxa"/>
            <w:tcBorders>
              <w:top w:val="nil"/>
              <w:left w:val="single" w:sz="4" w:space="0" w:color="auto"/>
              <w:bottom w:val="dotted" w:sz="4" w:space="0" w:color="auto"/>
              <w:right w:val="nil"/>
            </w:tcBorders>
            <w:shd w:val="clear" w:color="auto" w:fill="auto"/>
            <w:noWrap/>
            <w:vAlign w:val="center"/>
            <w:hideMark/>
          </w:tcPr>
          <w:p w14:paraId="26ED655B" w14:textId="77777777" w:rsidR="00247CBF" w:rsidRPr="00092ED7" w:rsidRDefault="00247CBF" w:rsidP="00247CBF">
            <w:pPr>
              <w:spacing w:after="0" w:line="233" w:lineRule="auto"/>
              <w:jc w:val="right"/>
              <w:rPr>
                <w:sz w:val="20"/>
                <w:szCs w:val="20"/>
                <w:lang w:val="sr-Cyrl-CS"/>
              </w:rPr>
            </w:pPr>
            <w:r w:rsidRPr="00092ED7">
              <w:rPr>
                <w:sz w:val="20"/>
                <w:szCs w:val="20"/>
                <w:lang w:val="sr-Cyrl-CS"/>
              </w:rPr>
              <w:t>-41</w:t>
            </w:r>
          </w:p>
        </w:tc>
        <w:tc>
          <w:tcPr>
            <w:tcW w:w="920" w:type="dxa"/>
            <w:tcBorders>
              <w:top w:val="nil"/>
              <w:left w:val="single" w:sz="4" w:space="0" w:color="auto"/>
              <w:bottom w:val="dotted" w:sz="4" w:space="0" w:color="auto"/>
              <w:right w:val="single" w:sz="4" w:space="0" w:color="auto"/>
            </w:tcBorders>
            <w:vAlign w:val="center"/>
          </w:tcPr>
          <w:p w14:paraId="7C560DAD" w14:textId="77777777" w:rsidR="00247CBF" w:rsidRPr="00092ED7" w:rsidRDefault="00247CBF" w:rsidP="00247CBF">
            <w:pPr>
              <w:spacing w:after="0" w:line="233" w:lineRule="auto"/>
              <w:jc w:val="right"/>
              <w:rPr>
                <w:sz w:val="20"/>
                <w:szCs w:val="20"/>
                <w:lang w:val="sr-Cyrl-CS"/>
              </w:rPr>
            </w:pPr>
            <w:r w:rsidRPr="00092ED7">
              <w:rPr>
                <w:sz w:val="20"/>
                <w:szCs w:val="20"/>
                <w:lang w:val="sr-Cyrl-CS"/>
              </w:rPr>
              <w:t> </w:t>
            </w:r>
          </w:p>
        </w:tc>
        <w:tc>
          <w:tcPr>
            <w:tcW w:w="921" w:type="dxa"/>
            <w:gridSpan w:val="2"/>
            <w:tcBorders>
              <w:top w:val="nil"/>
              <w:left w:val="single" w:sz="4" w:space="0" w:color="auto"/>
              <w:bottom w:val="dotted" w:sz="4" w:space="0" w:color="auto"/>
              <w:right w:val="double" w:sz="6" w:space="0" w:color="auto"/>
            </w:tcBorders>
            <w:shd w:val="clear" w:color="auto" w:fill="auto"/>
            <w:noWrap/>
            <w:vAlign w:val="center"/>
            <w:hideMark/>
          </w:tcPr>
          <w:p w14:paraId="0C5799D7" w14:textId="77777777" w:rsidR="00247CBF" w:rsidRPr="00092ED7" w:rsidRDefault="00247CBF" w:rsidP="00247CBF">
            <w:pPr>
              <w:spacing w:after="0" w:line="233" w:lineRule="auto"/>
              <w:jc w:val="right"/>
              <w:rPr>
                <w:sz w:val="20"/>
                <w:szCs w:val="20"/>
                <w:lang w:val="sr-Cyrl-CS"/>
              </w:rPr>
            </w:pPr>
            <w:r w:rsidRPr="00092ED7">
              <w:rPr>
                <w:sz w:val="20"/>
                <w:szCs w:val="20"/>
                <w:lang w:val="sr-Cyrl-CS"/>
              </w:rPr>
              <w:t> </w:t>
            </w:r>
          </w:p>
        </w:tc>
      </w:tr>
      <w:tr w:rsidR="00247CBF" w:rsidRPr="00092ED7" w14:paraId="51115376" w14:textId="77777777" w:rsidTr="00247CBF">
        <w:trPr>
          <w:gridBefore w:val="1"/>
          <w:wBefore w:w="23" w:type="dxa"/>
          <w:trHeight w:val="227"/>
        </w:trPr>
        <w:tc>
          <w:tcPr>
            <w:tcW w:w="5101" w:type="dxa"/>
            <w:tcBorders>
              <w:top w:val="nil"/>
              <w:left w:val="double" w:sz="6" w:space="0" w:color="auto"/>
              <w:bottom w:val="dotted" w:sz="4" w:space="0" w:color="auto"/>
              <w:right w:val="single" w:sz="4" w:space="0" w:color="auto"/>
            </w:tcBorders>
            <w:shd w:val="clear" w:color="auto" w:fill="auto"/>
            <w:vAlign w:val="center"/>
            <w:hideMark/>
          </w:tcPr>
          <w:p w14:paraId="2A1B19E8" w14:textId="77777777" w:rsidR="00247CBF" w:rsidRPr="00092ED7" w:rsidRDefault="00247CBF" w:rsidP="00247CBF">
            <w:pPr>
              <w:spacing w:after="0" w:line="233" w:lineRule="auto"/>
              <w:jc w:val="left"/>
              <w:rPr>
                <w:sz w:val="20"/>
                <w:szCs w:val="20"/>
                <w:lang w:val="sr-Cyrl-CS"/>
              </w:rPr>
            </w:pPr>
            <w:r w:rsidRPr="00092ED7">
              <w:rPr>
                <w:sz w:val="20"/>
                <w:szCs w:val="20"/>
                <w:lang w:val="sr-Cyrl-CS"/>
              </w:rPr>
              <w:t>Измене демографске политике</w:t>
            </w:r>
          </w:p>
        </w:tc>
        <w:tc>
          <w:tcPr>
            <w:tcW w:w="1397" w:type="dxa"/>
            <w:tcBorders>
              <w:top w:val="nil"/>
              <w:left w:val="nil"/>
              <w:bottom w:val="dotted" w:sz="4" w:space="0" w:color="auto"/>
              <w:right w:val="single" w:sz="4" w:space="0" w:color="auto"/>
            </w:tcBorders>
            <w:shd w:val="clear" w:color="auto" w:fill="auto"/>
            <w:noWrap/>
            <w:vAlign w:val="center"/>
            <w:hideMark/>
          </w:tcPr>
          <w:p w14:paraId="6CBD90CD" w14:textId="77777777" w:rsidR="00247CBF" w:rsidRPr="00092ED7" w:rsidRDefault="00247CBF" w:rsidP="00247CBF">
            <w:pPr>
              <w:spacing w:after="0" w:line="233" w:lineRule="auto"/>
              <w:jc w:val="center"/>
              <w:rPr>
                <w:sz w:val="20"/>
                <w:szCs w:val="20"/>
                <w:lang w:val="sr-Cyrl-CS"/>
              </w:rPr>
            </w:pPr>
          </w:p>
        </w:tc>
        <w:tc>
          <w:tcPr>
            <w:tcW w:w="2693" w:type="dxa"/>
            <w:tcBorders>
              <w:top w:val="nil"/>
              <w:left w:val="single" w:sz="4" w:space="0" w:color="auto"/>
              <w:bottom w:val="dotted" w:sz="4" w:space="0" w:color="auto"/>
              <w:right w:val="single" w:sz="8" w:space="0" w:color="auto"/>
            </w:tcBorders>
            <w:shd w:val="clear" w:color="auto" w:fill="auto"/>
            <w:noWrap/>
            <w:vAlign w:val="center"/>
          </w:tcPr>
          <w:p w14:paraId="3F68F92A" w14:textId="77777777" w:rsidR="00247CBF" w:rsidRPr="00092ED7" w:rsidRDefault="00247CBF" w:rsidP="00247CBF">
            <w:pPr>
              <w:spacing w:after="0" w:line="233" w:lineRule="auto"/>
              <w:jc w:val="center"/>
              <w:rPr>
                <w:sz w:val="20"/>
                <w:szCs w:val="20"/>
                <w:lang w:val="sr-Cyrl-CS"/>
              </w:rPr>
            </w:pPr>
            <w:r w:rsidRPr="00092ED7">
              <w:rPr>
                <w:sz w:val="20"/>
                <w:szCs w:val="20"/>
                <w:lang w:val="sr-Cyrl-CS"/>
              </w:rPr>
              <w:t>2021-12</w:t>
            </w:r>
          </w:p>
        </w:tc>
        <w:tc>
          <w:tcPr>
            <w:tcW w:w="920" w:type="dxa"/>
            <w:tcBorders>
              <w:top w:val="nil"/>
              <w:left w:val="nil"/>
              <w:bottom w:val="dotted" w:sz="4" w:space="0" w:color="auto"/>
              <w:right w:val="single" w:sz="4" w:space="0" w:color="auto"/>
            </w:tcBorders>
            <w:shd w:val="clear" w:color="auto" w:fill="auto"/>
            <w:noWrap/>
            <w:vAlign w:val="center"/>
            <w:hideMark/>
          </w:tcPr>
          <w:p w14:paraId="392BA14A" w14:textId="77777777" w:rsidR="00247CBF" w:rsidRPr="00092ED7" w:rsidRDefault="00247CBF" w:rsidP="00247CBF">
            <w:pPr>
              <w:spacing w:after="0" w:line="233" w:lineRule="auto"/>
              <w:jc w:val="right"/>
              <w:rPr>
                <w:sz w:val="20"/>
                <w:szCs w:val="20"/>
                <w:lang w:val="sr-Cyrl-CS"/>
              </w:rPr>
            </w:pPr>
            <w:r w:rsidRPr="00092ED7">
              <w:rPr>
                <w:sz w:val="20"/>
                <w:szCs w:val="20"/>
                <w:lang w:val="sr-Cyrl-CS"/>
              </w:rPr>
              <w:t> </w:t>
            </w:r>
          </w:p>
        </w:tc>
        <w:tc>
          <w:tcPr>
            <w:tcW w:w="921" w:type="dxa"/>
            <w:tcBorders>
              <w:top w:val="nil"/>
              <w:left w:val="single" w:sz="4" w:space="0" w:color="auto"/>
              <w:bottom w:val="dotted" w:sz="4" w:space="0" w:color="auto"/>
              <w:right w:val="nil"/>
            </w:tcBorders>
            <w:shd w:val="clear" w:color="auto" w:fill="auto"/>
            <w:noWrap/>
            <w:vAlign w:val="center"/>
            <w:hideMark/>
          </w:tcPr>
          <w:p w14:paraId="59D77656" w14:textId="77777777" w:rsidR="00247CBF" w:rsidRPr="00092ED7" w:rsidRDefault="00247CBF" w:rsidP="00247CBF">
            <w:pPr>
              <w:spacing w:after="0" w:line="233" w:lineRule="auto"/>
              <w:jc w:val="right"/>
              <w:rPr>
                <w:sz w:val="20"/>
                <w:szCs w:val="20"/>
                <w:lang w:val="sr-Cyrl-CS"/>
              </w:rPr>
            </w:pPr>
            <w:r w:rsidRPr="00092ED7">
              <w:rPr>
                <w:sz w:val="20"/>
                <w:szCs w:val="20"/>
                <w:lang w:val="sr-Cyrl-CS"/>
              </w:rPr>
              <w:t> </w:t>
            </w:r>
          </w:p>
        </w:tc>
        <w:tc>
          <w:tcPr>
            <w:tcW w:w="920" w:type="dxa"/>
            <w:tcBorders>
              <w:top w:val="nil"/>
              <w:left w:val="single" w:sz="4" w:space="0" w:color="auto"/>
              <w:bottom w:val="dotted" w:sz="4" w:space="0" w:color="auto"/>
              <w:right w:val="nil"/>
            </w:tcBorders>
            <w:shd w:val="clear" w:color="auto" w:fill="auto"/>
            <w:noWrap/>
            <w:vAlign w:val="center"/>
            <w:hideMark/>
          </w:tcPr>
          <w:p w14:paraId="39E3B502" w14:textId="77777777" w:rsidR="00247CBF" w:rsidRPr="00092ED7" w:rsidRDefault="00247CBF" w:rsidP="00247CBF">
            <w:pPr>
              <w:spacing w:after="0" w:line="233" w:lineRule="auto"/>
              <w:jc w:val="right"/>
              <w:rPr>
                <w:sz w:val="20"/>
                <w:szCs w:val="20"/>
                <w:lang w:val="sr-Cyrl-CS"/>
              </w:rPr>
            </w:pPr>
            <w:r w:rsidRPr="00092ED7">
              <w:rPr>
                <w:sz w:val="20"/>
                <w:szCs w:val="20"/>
                <w:lang w:val="sr-Cyrl-CS"/>
              </w:rPr>
              <w:t>-15</w:t>
            </w:r>
          </w:p>
        </w:tc>
        <w:tc>
          <w:tcPr>
            <w:tcW w:w="921" w:type="dxa"/>
            <w:tcBorders>
              <w:top w:val="nil"/>
              <w:left w:val="single" w:sz="4" w:space="0" w:color="auto"/>
              <w:bottom w:val="dotted" w:sz="4" w:space="0" w:color="auto"/>
              <w:right w:val="nil"/>
            </w:tcBorders>
            <w:shd w:val="clear" w:color="auto" w:fill="auto"/>
            <w:noWrap/>
            <w:vAlign w:val="center"/>
            <w:hideMark/>
          </w:tcPr>
          <w:p w14:paraId="6FA3D98D" w14:textId="77777777" w:rsidR="00247CBF" w:rsidRPr="00092ED7" w:rsidRDefault="00247CBF" w:rsidP="00247CBF">
            <w:pPr>
              <w:spacing w:after="0" w:line="233" w:lineRule="auto"/>
              <w:jc w:val="right"/>
              <w:rPr>
                <w:sz w:val="20"/>
                <w:szCs w:val="20"/>
                <w:lang w:val="sr-Cyrl-CS"/>
              </w:rPr>
            </w:pPr>
            <w:r w:rsidRPr="00092ED7">
              <w:rPr>
                <w:sz w:val="20"/>
                <w:szCs w:val="20"/>
                <w:lang w:val="sr-Cyrl-CS"/>
              </w:rPr>
              <w:t> </w:t>
            </w:r>
          </w:p>
        </w:tc>
        <w:tc>
          <w:tcPr>
            <w:tcW w:w="920" w:type="dxa"/>
            <w:tcBorders>
              <w:top w:val="nil"/>
              <w:left w:val="single" w:sz="4" w:space="0" w:color="auto"/>
              <w:bottom w:val="dotted" w:sz="4" w:space="0" w:color="auto"/>
              <w:right w:val="single" w:sz="4" w:space="0" w:color="auto"/>
            </w:tcBorders>
            <w:vAlign w:val="center"/>
          </w:tcPr>
          <w:p w14:paraId="7BDDEF87" w14:textId="77777777" w:rsidR="00247CBF" w:rsidRPr="00092ED7" w:rsidRDefault="00247CBF" w:rsidP="00247CBF">
            <w:pPr>
              <w:spacing w:after="0" w:line="233" w:lineRule="auto"/>
              <w:jc w:val="right"/>
              <w:rPr>
                <w:sz w:val="20"/>
                <w:szCs w:val="20"/>
                <w:lang w:val="sr-Cyrl-CS"/>
              </w:rPr>
            </w:pPr>
            <w:r w:rsidRPr="00092ED7">
              <w:rPr>
                <w:sz w:val="20"/>
                <w:szCs w:val="20"/>
                <w:lang w:val="sr-Cyrl-CS"/>
              </w:rPr>
              <w:t> </w:t>
            </w:r>
          </w:p>
        </w:tc>
        <w:tc>
          <w:tcPr>
            <w:tcW w:w="921" w:type="dxa"/>
            <w:gridSpan w:val="2"/>
            <w:tcBorders>
              <w:top w:val="nil"/>
              <w:left w:val="single" w:sz="4" w:space="0" w:color="auto"/>
              <w:bottom w:val="dotted" w:sz="4" w:space="0" w:color="auto"/>
              <w:right w:val="double" w:sz="6" w:space="0" w:color="auto"/>
            </w:tcBorders>
            <w:shd w:val="clear" w:color="auto" w:fill="auto"/>
            <w:noWrap/>
            <w:vAlign w:val="center"/>
            <w:hideMark/>
          </w:tcPr>
          <w:p w14:paraId="0C3B113F" w14:textId="77777777" w:rsidR="00247CBF" w:rsidRPr="00092ED7" w:rsidRDefault="00247CBF" w:rsidP="00247CBF">
            <w:pPr>
              <w:spacing w:after="0" w:line="233" w:lineRule="auto"/>
              <w:jc w:val="right"/>
              <w:rPr>
                <w:sz w:val="20"/>
                <w:szCs w:val="20"/>
                <w:lang w:val="sr-Cyrl-CS"/>
              </w:rPr>
            </w:pPr>
            <w:r w:rsidRPr="00092ED7">
              <w:rPr>
                <w:sz w:val="20"/>
                <w:szCs w:val="20"/>
                <w:lang w:val="sr-Cyrl-CS"/>
              </w:rPr>
              <w:t> </w:t>
            </w:r>
          </w:p>
        </w:tc>
      </w:tr>
      <w:tr w:rsidR="00247CBF" w:rsidRPr="00092ED7" w14:paraId="2642E487" w14:textId="77777777" w:rsidTr="00247CBF">
        <w:trPr>
          <w:gridBefore w:val="1"/>
          <w:wBefore w:w="23" w:type="dxa"/>
          <w:trHeight w:val="227"/>
        </w:trPr>
        <w:tc>
          <w:tcPr>
            <w:tcW w:w="5101" w:type="dxa"/>
            <w:tcBorders>
              <w:top w:val="nil"/>
              <w:left w:val="double" w:sz="6" w:space="0" w:color="auto"/>
              <w:bottom w:val="dotted" w:sz="4" w:space="0" w:color="auto"/>
              <w:right w:val="single" w:sz="4" w:space="0" w:color="auto"/>
            </w:tcBorders>
            <w:shd w:val="clear" w:color="auto" w:fill="auto"/>
            <w:vAlign w:val="center"/>
            <w:hideMark/>
          </w:tcPr>
          <w:p w14:paraId="20BBAAD7" w14:textId="77777777" w:rsidR="00247CBF" w:rsidRPr="00092ED7" w:rsidRDefault="00247CBF" w:rsidP="00247CBF">
            <w:pPr>
              <w:spacing w:after="0" w:line="233" w:lineRule="auto"/>
              <w:jc w:val="left"/>
              <w:rPr>
                <w:sz w:val="20"/>
                <w:lang w:val="sr-Cyrl-CS"/>
              </w:rPr>
            </w:pPr>
            <w:r w:rsidRPr="00092ED7">
              <w:rPr>
                <w:sz w:val="20"/>
                <w:lang w:val="sr-Cyrl-CS"/>
              </w:rPr>
              <w:t>:</w:t>
            </w:r>
          </w:p>
        </w:tc>
        <w:tc>
          <w:tcPr>
            <w:tcW w:w="1397" w:type="dxa"/>
            <w:tcBorders>
              <w:top w:val="nil"/>
              <w:left w:val="nil"/>
              <w:bottom w:val="dotted" w:sz="4" w:space="0" w:color="auto"/>
              <w:right w:val="single" w:sz="4" w:space="0" w:color="auto"/>
            </w:tcBorders>
            <w:shd w:val="clear" w:color="auto" w:fill="auto"/>
            <w:noWrap/>
            <w:vAlign w:val="center"/>
            <w:hideMark/>
          </w:tcPr>
          <w:p w14:paraId="5A95ACD5" w14:textId="77777777" w:rsidR="00247CBF" w:rsidRPr="00092ED7" w:rsidRDefault="00247CBF" w:rsidP="00247CBF">
            <w:pPr>
              <w:spacing w:after="0" w:line="233" w:lineRule="auto"/>
              <w:jc w:val="center"/>
              <w:rPr>
                <w:sz w:val="20"/>
                <w:lang w:val="sr-Cyrl-CS"/>
              </w:rPr>
            </w:pPr>
            <w:r w:rsidRPr="00092ED7">
              <w:rPr>
                <w:sz w:val="20"/>
                <w:lang w:val="sr-Cyrl-CS"/>
              </w:rPr>
              <w:t>:</w:t>
            </w:r>
          </w:p>
        </w:tc>
        <w:tc>
          <w:tcPr>
            <w:tcW w:w="2693" w:type="dxa"/>
            <w:tcBorders>
              <w:top w:val="nil"/>
              <w:left w:val="single" w:sz="4" w:space="0" w:color="auto"/>
              <w:bottom w:val="dotted" w:sz="4" w:space="0" w:color="auto"/>
              <w:right w:val="single" w:sz="8" w:space="0" w:color="auto"/>
            </w:tcBorders>
            <w:shd w:val="clear" w:color="auto" w:fill="auto"/>
            <w:noWrap/>
            <w:vAlign w:val="center"/>
            <w:hideMark/>
          </w:tcPr>
          <w:p w14:paraId="3B144018" w14:textId="77777777" w:rsidR="00247CBF" w:rsidRPr="00092ED7" w:rsidRDefault="00247CBF" w:rsidP="00247CBF">
            <w:pPr>
              <w:spacing w:after="0" w:line="233" w:lineRule="auto"/>
              <w:jc w:val="center"/>
              <w:rPr>
                <w:sz w:val="20"/>
                <w:lang w:val="sr-Cyrl-CS"/>
              </w:rPr>
            </w:pPr>
            <w:r w:rsidRPr="00092ED7">
              <w:rPr>
                <w:sz w:val="20"/>
                <w:lang w:val="sr-Cyrl-CS"/>
              </w:rPr>
              <w:t>:</w:t>
            </w:r>
          </w:p>
        </w:tc>
        <w:tc>
          <w:tcPr>
            <w:tcW w:w="920" w:type="dxa"/>
            <w:tcBorders>
              <w:top w:val="nil"/>
              <w:left w:val="nil"/>
              <w:bottom w:val="dotted" w:sz="4" w:space="0" w:color="auto"/>
              <w:right w:val="single" w:sz="4" w:space="0" w:color="auto"/>
            </w:tcBorders>
            <w:shd w:val="clear" w:color="auto" w:fill="auto"/>
            <w:noWrap/>
            <w:vAlign w:val="center"/>
            <w:hideMark/>
          </w:tcPr>
          <w:p w14:paraId="12EBB4F5" w14:textId="77777777" w:rsidR="00247CBF" w:rsidRPr="00092ED7" w:rsidRDefault="00247CBF" w:rsidP="00247CBF">
            <w:pPr>
              <w:spacing w:after="0" w:line="233" w:lineRule="auto"/>
              <w:jc w:val="right"/>
              <w:rPr>
                <w:sz w:val="20"/>
                <w:lang w:val="sr-Cyrl-CS"/>
              </w:rPr>
            </w:pPr>
            <w:r w:rsidRPr="00092ED7">
              <w:rPr>
                <w:sz w:val="20"/>
                <w:lang w:val="sr-Cyrl-CS"/>
              </w:rPr>
              <w:t>:</w:t>
            </w:r>
          </w:p>
        </w:tc>
        <w:tc>
          <w:tcPr>
            <w:tcW w:w="921" w:type="dxa"/>
            <w:tcBorders>
              <w:top w:val="nil"/>
              <w:left w:val="single" w:sz="4" w:space="0" w:color="auto"/>
              <w:bottom w:val="dotted" w:sz="4" w:space="0" w:color="auto"/>
              <w:right w:val="nil"/>
            </w:tcBorders>
            <w:shd w:val="clear" w:color="auto" w:fill="auto"/>
            <w:noWrap/>
            <w:vAlign w:val="center"/>
            <w:hideMark/>
          </w:tcPr>
          <w:p w14:paraId="7789E57B" w14:textId="77777777" w:rsidR="00247CBF" w:rsidRPr="00092ED7" w:rsidRDefault="00247CBF" w:rsidP="00247CBF">
            <w:pPr>
              <w:spacing w:after="0" w:line="233" w:lineRule="auto"/>
              <w:jc w:val="right"/>
              <w:rPr>
                <w:sz w:val="20"/>
                <w:lang w:val="sr-Cyrl-CS"/>
              </w:rPr>
            </w:pPr>
            <w:r w:rsidRPr="00092ED7">
              <w:rPr>
                <w:sz w:val="20"/>
                <w:lang w:val="sr-Cyrl-CS"/>
              </w:rPr>
              <w:t>:</w:t>
            </w:r>
          </w:p>
        </w:tc>
        <w:tc>
          <w:tcPr>
            <w:tcW w:w="920" w:type="dxa"/>
            <w:tcBorders>
              <w:top w:val="nil"/>
              <w:left w:val="single" w:sz="4" w:space="0" w:color="auto"/>
              <w:bottom w:val="dotted" w:sz="4" w:space="0" w:color="auto"/>
              <w:right w:val="nil"/>
            </w:tcBorders>
            <w:shd w:val="clear" w:color="auto" w:fill="auto"/>
            <w:noWrap/>
            <w:vAlign w:val="center"/>
            <w:hideMark/>
          </w:tcPr>
          <w:p w14:paraId="00358EA8" w14:textId="77777777" w:rsidR="00247CBF" w:rsidRPr="00092ED7" w:rsidRDefault="00247CBF" w:rsidP="00247CBF">
            <w:pPr>
              <w:spacing w:after="0" w:line="233" w:lineRule="auto"/>
              <w:jc w:val="right"/>
              <w:rPr>
                <w:sz w:val="20"/>
                <w:lang w:val="sr-Cyrl-CS"/>
              </w:rPr>
            </w:pPr>
            <w:r w:rsidRPr="00092ED7">
              <w:rPr>
                <w:sz w:val="20"/>
                <w:lang w:val="sr-Cyrl-CS"/>
              </w:rPr>
              <w:t>:</w:t>
            </w:r>
          </w:p>
        </w:tc>
        <w:tc>
          <w:tcPr>
            <w:tcW w:w="921" w:type="dxa"/>
            <w:tcBorders>
              <w:top w:val="nil"/>
              <w:left w:val="single" w:sz="4" w:space="0" w:color="auto"/>
              <w:bottom w:val="dotted" w:sz="4" w:space="0" w:color="auto"/>
              <w:right w:val="nil"/>
            </w:tcBorders>
            <w:shd w:val="clear" w:color="auto" w:fill="auto"/>
            <w:noWrap/>
            <w:vAlign w:val="center"/>
            <w:hideMark/>
          </w:tcPr>
          <w:p w14:paraId="21AE76F5" w14:textId="77777777" w:rsidR="00247CBF" w:rsidRPr="00092ED7" w:rsidRDefault="00247CBF" w:rsidP="00247CBF">
            <w:pPr>
              <w:spacing w:after="0" w:line="233" w:lineRule="auto"/>
              <w:jc w:val="right"/>
              <w:rPr>
                <w:sz w:val="20"/>
                <w:lang w:val="sr-Cyrl-CS"/>
              </w:rPr>
            </w:pPr>
            <w:r w:rsidRPr="00092ED7">
              <w:rPr>
                <w:sz w:val="20"/>
                <w:lang w:val="sr-Cyrl-CS"/>
              </w:rPr>
              <w:t>:</w:t>
            </w:r>
          </w:p>
        </w:tc>
        <w:tc>
          <w:tcPr>
            <w:tcW w:w="920" w:type="dxa"/>
            <w:tcBorders>
              <w:top w:val="nil"/>
              <w:left w:val="single" w:sz="4" w:space="0" w:color="auto"/>
              <w:bottom w:val="dotted" w:sz="4" w:space="0" w:color="auto"/>
              <w:right w:val="single" w:sz="4" w:space="0" w:color="auto"/>
            </w:tcBorders>
            <w:vAlign w:val="center"/>
          </w:tcPr>
          <w:p w14:paraId="3D166A20" w14:textId="77777777" w:rsidR="00247CBF" w:rsidRPr="00092ED7" w:rsidRDefault="00247CBF" w:rsidP="00247CBF">
            <w:pPr>
              <w:spacing w:after="0" w:line="233" w:lineRule="auto"/>
              <w:jc w:val="right"/>
              <w:rPr>
                <w:sz w:val="20"/>
                <w:lang w:val="sr-Cyrl-CS"/>
              </w:rPr>
            </w:pPr>
          </w:p>
        </w:tc>
        <w:tc>
          <w:tcPr>
            <w:tcW w:w="921" w:type="dxa"/>
            <w:gridSpan w:val="2"/>
            <w:tcBorders>
              <w:top w:val="nil"/>
              <w:left w:val="single" w:sz="4" w:space="0" w:color="auto"/>
              <w:bottom w:val="dotted" w:sz="4" w:space="0" w:color="auto"/>
              <w:right w:val="double" w:sz="6" w:space="0" w:color="auto"/>
            </w:tcBorders>
            <w:shd w:val="clear" w:color="auto" w:fill="auto"/>
            <w:noWrap/>
            <w:vAlign w:val="center"/>
            <w:hideMark/>
          </w:tcPr>
          <w:p w14:paraId="1FF21CAD" w14:textId="77777777" w:rsidR="00247CBF" w:rsidRPr="00092ED7" w:rsidRDefault="00247CBF" w:rsidP="00247CBF">
            <w:pPr>
              <w:spacing w:after="0" w:line="233" w:lineRule="auto"/>
              <w:jc w:val="right"/>
              <w:rPr>
                <w:sz w:val="20"/>
                <w:lang w:val="sr-Cyrl-CS"/>
              </w:rPr>
            </w:pPr>
            <w:r w:rsidRPr="00092ED7">
              <w:rPr>
                <w:sz w:val="20"/>
                <w:lang w:val="sr-Cyrl-CS"/>
              </w:rPr>
              <w:t>:</w:t>
            </w:r>
          </w:p>
        </w:tc>
      </w:tr>
      <w:tr w:rsidR="00247CBF" w:rsidRPr="00092ED7" w14:paraId="120D2EDE" w14:textId="77777777" w:rsidTr="00247CBF">
        <w:trPr>
          <w:gridBefore w:val="1"/>
          <w:wBefore w:w="23" w:type="dxa"/>
          <w:trHeight w:val="227"/>
        </w:trPr>
        <w:tc>
          <w:tcPr>
            <w:tcW w:w="5101" w:type="dxa"/>
            <w:tcBorders>
              <w:top w:val="nil"/>
              <w:left w:val="double" w:sz="6" w:space="0" w:color="auto"/>
              <w:bottom w:val="single" w:sz="4" w:space="0" w:color="auto"/>
              <w:right w:val="single" w:sz="4" w:space="0" w:color="auto"/>
            </w:tcBorders>
            <w:shd w:val="clear" w:color="auto" w:fill="auto"/>
            <w:vAlign w:val="center"/>
            <w:hideMark/>
          </w:tcPr>
          <w:p w14:paraId="6F45D40D" w14:textId="77777777" w:rsidR="00247CBF" w:rsidRPr="00092ED7" w:rsidRDefault="00247CBF" w:rsidP="00247CBF">
            <w:pPr>
              <w:spacing w:after="0" w:line="233" w:lineRule="auto"/>
              <w:jc w:val="left"/>
              <w:rPr>
                <w:sz w:val="20"/>
                <w:lang w:val="sr-Cyrl-CS"/>
              </w:rPr>
            </w:pPr>
            <w:r w:rsidRPr="00092ED7">
              <w:rPr>
                <w:sz w:val="20"/>
                <w:lang w:val="sr-Cyrl-CS"/>
              </w:rPr>
              <w:t>:</w:t>
            </w:r>
          </w:p>
        </w:tc>
        <w:tc>
          <w:tcPr>
            <w:tcW w:w="1397" w:type="dxa"/>
            <w:tcBorders>
              <w:top w:val="nil"/>
              <w:left w:val="nil"/>
              <w:bottom w:val="single" w:sz="4" w:space="0" w:color="auto"/>
              <w:right w:val="single" w:sz="4" w:space="0" w:color="auto"/>
            </w:tcBorders>
            <w:shd w:val="clear" w:color="auto" w:fill="auto"/>
            <w:noWrap/>
            <w:vAlign w:val="center"/>
            <w:hideMark/>
          </w:tcPr>
          <w:p w14:paraId="64E4DBB9" w14:textId="77777777" w:rsidR="00247CBF" w:rsidRPr="00092ED7" w:rsidRDefault="00247CBF" w:rsidP="00247CBF">
            <w:pPr>
              <w:spacing w:after="0" w:line="233" w:lineRule="auto"/>
              <w:jc w:val="center"/>
              <w:rPr>
                <w:sz w:val="20"/>
                <w:lang w:val="sr-Cyrl-CS"/>
              </w:rPr>
            </w:pPr>
            <w:r w:rsidRPr="00092ED7">
              <w:rPr>
                <w:sz w:val="20"/>
                <w:lang w:val="sr-Cyrl-CS"/>
              </w:rPr>
              <w:t>:</w:t>
            </w:r>
          </w:p>
        </w:tc>
        <w:tc>
          <w:tcPr>
            <w:tcW w:w="2693" w:type="dxa"/>
            <w:tcBorders>
              <w:top w:val="nil"/>
              <w:left w:val="single" w:sz="4" w:space="0" w:color="auto"/>
              <w:bottom w:val="single" w:sz="4" w:space="0" w:color="auto"/>
              <w:right w:val="single" w:sz="8" w:space="0" w:color="auto"/>
            </w:tcBorders>
            <w:shd w:val="clear" w:color="auto" w:fill="auto"/>
            <w:noWrap/>
            <w:vAlign w:val="center"/>
            <w:hideMark/>
          </w:tcPr>
          <w:p w14:paraId="3ACE42B7" w14:textId="77777777" w:rsidR="00247CBF" w:rsidRPr="00092ED7" w:rsidRDefault="00247CBF" w:rsidP="00247CBF">
            <w:pPr>
              <w:spacing w:after="0" w:line="233" w:lineRule="auto"/>
              <w:jc w:val="center"/>
              <w:rPr>
                <w:sz w:val="20"/>
                <w:lang w:val="sr-Cyrl-CS"/>
              </w:rPr>
            </w:pPr>
            <w:r w:rsidRPr="00092ED7">
              <w:rPr>
                <w:sz w:val="20"/>
                <w:lang w:val="sr-Cyrl-CS"/>
              </w:rPr>
              <w:t>:</w:t>
            </w:r>
          </w:p>
        </w:tc>
        <w:tc>
          <w:tcPr>
            <w:tcW w:w="920" w:type="dxa"/>
            <w:tcBorders>
              <w:top w:val="nil"/>
              <w:left w:val="nil"/>
              <w:bottom w:val="single" w:sz="4" w:space="0" w:color="auto"/>
              <w:right w:val="single" w:sz="4" w:space="0" w:color="auto"/>
            </w:tcBorders>
            <w:shd w:val="clear" w:color="auto" w:fill="auto"/>
            <w:noWrap/>
            <w:vAlign w:val="center"/>
            <w:hideMark/>
          </w:tcPr>
          <w:p w14:paraId="15E23FA6" w14:textId="77777777" w:rsidR="00247CBF" w:rsidRPr="00092ED7" w:rsidRDefault="00247CBF" w:rsidP="00247CBF">
            <w:pPr>
              <w:spacing w:after="0" w:line="233" w:lineRule="auto"/>
              <w:jc w:val="right"/>
              <w:rPr>
                <w:sz w:val="20"/>
                <w:lang w:val="sr-Cyrl-CS"/>
              </w:rPr>
            </w:pPr>
            <w:r w:rsidRPr="00092ED7">
              <w:rPr>
                <w:sz w:val="20"/>
                <w:lang w:val="sr-Cyrl-CS"/>
              </w:rPr>
              <w:t>:</w:t>
            </w:r>
          </w:p>
        </w:tc>
        <w:tc>
          <w:tcPr>
            <w:tcW w:w="921" w:type="dxa"/>
            <w:tcBorders>
              <w:top w:val="nil"/>
              <w:left w:val="single" w:sz="4" w:space="0" w:color="auto"/>
              <w:bottom w:val="single" w:sz="4" w:space="0" w:color="auto"/>
              <w:right w:val="nil"/>
            </w:tcBorders>
            <w:shd w:val="clear" w:color="auto" w:fill="auto"/>
            <w:noWrap/>
            <w:vAlign w:val="center"/>
            <w:hideMark/>
          </w:tcPr>
          <w:p w14:paraId="23B07CA0" w14:textId="77777777" w:rsidR="00247CBF" w:rsidRPr="00092ED7" w:rsidRDefault="00247CBF" w:rsidP="00247CBF">
            <w:pPr>
              <w:spacing w:after="0" w:line="233" w:lineRule="auto"/>
              <w:jc w:val="right"/>
              <w:rPr>
                <w:sz w:val="20"/>
                <w:lang w:val="sr-Cyrl-CS"/>
              </w:rPr>
            </w:pPr>
            <w:r w:rsidRPr="00092ED7">
              <w:rPr>
                <w:sz w:val="20"/>
                <w:lang w:val="sr-Cyrl-CS"/>
              </w:rPr>
              <w:t>:</w:t>
            </w:r>
          </w:p>
        </w:tc>
        <w:tc>
          <w:tcPr>
            <w:tcW w:w="920" w:type="dxa"/>
            <w:tcBorders>
              <w:top w:val="nil"/>
              <w:left w:val="single" w:sz="4" w:space="0" w:color="auto"/>
              <w:bottom w:val="single" w:sz="4" w:space="0" w:color="auto"/>
              <w:right w:val="nil"/>
            </w:tcBorders>
            <w:shd w:val="clear" w:color="auto" w:fill="auto"/>
            <w:noWrap/>
            <w:vAlign w:val="center"/>
            <w:hideMark/>
          </w:tcPr>
          <w:p w14:paraId="44A9DE3E" w14:textId="77777777" w:rsidR="00247CBF" w:rsidRPr="00092ED7" w:rsidRDefault="00247CBF" w:rsidP="00247CBF">
            <w:pPr>
              <w:spacing w:after="0" w:line="233" w:lineRule="auto"/>
              <w:jc w:val="right"/>
              <w:rPr>
                <w:sz w:val="20"/>
                <w:lang w:val="sr-Cyrl-CS"/>
              </w:rPr>
            </w:pPr>
            <w:r w:rsidRPr="00092ED7">
              <w:rPr>
                <w:sz w:val="20"/>
                <w:lang w:val="sr-Cyrl-CS"/>
              </w:rPr>
              <w:t>:</w:t>
            </w:r>
          </w:p>
        </w:tc>
        <w:tc>
          <w:tcPr>
            <w:tcW w:w="921" w:type="dxa"/>
            <w:tcBorders>
              <w:top w:val="nil"/>
              <w:left w:val="single" w:sz="4" w:space="0" w:color="auto"/>
              <w:bottom w:val="single" w:sz="4" w:space="0" w:color="auto"/>
              <w:right w:val="nil"/>
            </w:tcBorders>
            <w:shd w:val="clear" w:color="auto" w:fill="auto"/>
            <w:noWrap/>
            <w:vAlign w:val="center"/>
            <w:hideMark/>
          </w:tcPr>
          <w:p w14:paraId="43BFBB60" w14:textId="77777777" w:rsidR="00247CBF" w:rsidRPr="00092ED7" w:rsidRDefault="00247CBF" w:rsidP="00247CBF">
            <w:pPr>
              <w:spacing w:after="0" w:line="233" w:lineRule="auto"/>
              <w:jc w:val="right"/>
              <w:rPr>
                <w:sz w:val="20"/>
                <w:lang w:val="sr-Cyrl-CS"/>
              </w:rPr>
            </w:pPr>
            <w:r w:rsidRPr="00092ED7">
              <w:rPr>
                <w:sz w:val="20"/>
                <w:lang w:val="sr-Cyrl-CS"/>
              </w:rPr>
              <w:t>:</w:t>
            </w:r>
          </w:p>
        </w:tc>
        <w:tc>
          <w:tcPr>
            <w:tcW w:w="920" w:type="dxa"/>
            <w:tcBorders>
              <w:top w:val="nil"/>
              <w:left w:val="single" w:sz="4" w:space="0" w:color="auto"/>
              <w:bottom w:val="single" w:sz="4" w:space="0" w:color="auto"/>
              <w:right w:val="single" w:sz="4" w:space="0" w:color="auto"/>
            </w:tcBorders>
            <w:vAlign w:val="center"/>
          </w:tcPr>
          <w:p w14:paraId="2D843D53" w14:textId="77777777" w:rsidR="00247CBF" w:rsidRPr="00092ED7" w:rsidRDefault="00247CBF" w:rsidP="00247CBF">
            <w:pPr>
              <w:spacing w:after="0" w:line="233" w:lineRule="auto"/>
              <w:jc w:val="right"/>
              <w:rPr>
                <w:sz w:val="20"/>
                <w:lang w:val="sr-Cyrl-CS"/>
              </w:rPr>
            </w:pPr>
          </w:p>
        </w:tc>
        <w:tc>
          <w:tcPr>
            <w:tcW w:w="921" w:type="dxa"/>
            <w:gridSpan w:val="2"/>
            <w:tcBorders>
              <w:top w:val="nil"/>
              <w:left w:val="single" w:sz="4" w:space="0" w:color="auto"/>
              <w:bottom w:val="single" w:sz="4" w:space="0" w:color="auto"/>
              <w:right w:val="double" w:sz="6" w:space="0" w:color="auto"/>
            </w:tcBorders>
            <w:shd w:val="clear" w:color="auto" w:fill="auto"/>
            <w:noWrap/>
            <w:vAlign w:val="center"/>
            <w:hideMark/>
          </w:tcPr>
          <w:p w14:paraId="45315EC3" w14:textId="77777777" w:rsidR="00247CBF" w:rsidRPr="00092ED7" w:rsidRDefault="00247CBF" w:rsidP="00247CBF">
            <w:pPr>
              <w:spacing w:after="0" w:line="233" w:lineRule="auto"/>
              <w:jc w:val="right"/>
              <w:rPr>
                <w:sz w:val="20"/>
                <w:lang w:val="sr-Cyrl-CS"/>
              </w:rPr>
            </w:pPr>
            <w:r w:rsidRPr="00092ED7">
              <w:rPr>
                <w:sz w:val="20"/>
                <w:lang w:val="sr-Cyrl-CS"/>
              </w:rPr>
              <w:t>:</w:t>
            </w:r>
          </w:p>
        </w:tc>
      </w:tr>
      <w:tr w:rsidR="00247CBF" w:rsidRPr="00092ED7" w14:paraId="3F286215" w14:textId="77777777" w:rsidTr="00247CBF">
        <w:trPr>
          <w:gridBefore w:val="1"/>
          <w:wBefore w:w="23" w:type="dxa"/>
          <w:trHeight w:val="227"/>
        </w:trPr>
        <w:tc>
          <w:tcPr>
            <w:tcW w:w="9191" w:type="dxa"/>
            <w:gridSpan w:val="3"/>
            <w:tcBorders>
              <w:top w:val="single" w:sz="4" w:space="0" w:color="auto"/>
              <w:left w:val="double" w:sz="6" w:space="0" w:color="auto"/>
              <w:bottom w:val="single" w:sz="8" w:space="0" w:color="auto"/>
              <w:right w:val="single" w:sz="8" w:space="0" w:color="000000"/>
            </w:tcBorders>
            <w:shd w:val="clear" w:color="auto" w:fill="auto"/>
            <w:vAlign w:val="center"/>
            <w:hideMark/>
          </w:tcPr>
          <w:p w14:paraId="1ECBADD4" w14:textId="77777777" w:rsidR="00247CBF" w:rsidRPr="00092ED7" w:rsidRDefault="00247CBF" w:rsidP="00247CBF">
            <w:pPr>
              <w:spacing w:after="0" w:line="233" w:lineRule="auto"/>
              <w:jc w:val="center"/>
              <w:rPr>
                <w:rFonts w:cs="Times New Roman"/>
                <w:b/>
                <w:sz w:val="20"/>
                <w:szCs w:val="20"/>
                <w:lang w:val="sr-Cyrl-CS"/>
              </w:rPr>
            </w:pPr>
            <w:r w:rsidRPr="00092ED7">
              <w:rPr>
                <w:rFonts w:cs="Times New Roman"/>
                <w:b/>
                <w:sz w:val="20"/>
                <w:szCs w:val="20"/>
                <w:lang w:val="sr-Cyrl-CS"/>
              </w:rPr>
              <w:t>Међузбир</w:t>
            </w:r>
          </w:p>
        </w:tc>
        <w:tc>
          <w:tcPr>
            <w:tcW w:w="920"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06D853D1" w14:textId="77777777" w:rsidR="00247CBF" w:rsidRPr="00092ED7" w:rsidRDefault="00247CBF" w:rsidP="00247CBF">
            <w:pPr>
              <w:spacing w:after="0" w:line="233" w:lineRule="auto"/>
              <w:jc w:val="right"/>
              <w:rPr>
                <w:b/>
                <w:bCs/>
                <w:sz w:val="20"/>
                <w:szCs w:val="20"/>
                <w:lang w:val="sr-Cyrl-CS"/>
              </w:rPr>
            </w:pPr>
            <w:r w:rsidRPr="00092ED7">
              <w:rPr>
                <w:b/>
                <w:bCs/>
                <w:sz w:val="20"/>
                <w:szCs w:val="20"/>
                <w:lang w:val="sr-Cyrl-CS"/>
              </w:rPr>
              <w:t>-23,7</w:t>
            </w:r>
          </w:p>
        </w:tc>
        <w:tc>
          <w:tcPr>
            <w:tcW w:w="921" w:type="dxa"/>
            <w:tcBorders>
              <w:top w:val="single" w:sz="4" w:space="0" w:color="auto"/>
              <w:left w:val="nil"/>
              <w:bottom w:val="single" w:sz="8" w:space="0" w:color="auto"/>
              <w:right w:val="nil"/>
            </w:tcBorders>
            <w:shd w:val="clear" w:color="auto" w:fill="auto"/>
            <w:noWrap/>
            <w:vAlign w:val="center"/>
            <w:hideMark/>
          </w:tcPr>
          <w:p w14:paraId="34143C70" w14:textId="77777777" w:rsidR="00247CBF" w:rsidRPr="00092ED7" w:rsidRDefault="00247CBF" w:rsidP="00247CBF">
            <w:pPr>
              <w:spacing w:after="0" w:line="233" w:lineRule="auto"/>
              <w:jc w:val="right"/>
              <w:rPr>
                <w:b/>
                <w:bCs/>
                <w:sz w:val="20"/>
                <w:szCs w:val="20"/>
                <w:lang w:val="sr-Cyrl-CS"/>
              </w:rPr>
            </w:pPr>
            <w:r w:rsidRPr="00092ED7">
              <w:rPr>
                <w:b/>
                <w:bCs/>
                <w:sz w:val="20"/>
                <w:szCs w:val="20"/>
                <w:lang w:val="sr-Cyrl-CS"/>
              </w:rPr>
              <w:t>-8</w:t>
            </w:r>
          </w:p>
        </w:tc>
        <w:tc>
          <w:tcPr>
            <w:tcW w:w="920" w:type="dxa"/>
            <w:tcBorders>
              <w:top w:val="single" w:sz="4" w:space="0" w:color="auto"/>
              <w:left w:val="single" w:sz="4" w:space="0" w:color="auto"/>
              <w:bottom w:val="single" w:sz="8" w:space="0" w:color="auto"/>
              <w:right w:val="nil"/>
            </w:tcBorders>
            <w:shd w:val="clear" w:color="auto" w:fill="auto"/>
            <w:noWrap/>
            <w:vAlign w:val="center"/>
            <w:hideMark/>
          </w:tcPr>
          <w:p w14:paraId="075F616B" w14:textId="77777777" w:rsidR="00247CBF" w:rsidRPr="00092ED7" w:rsidRDefault="00247CBF" w:rsidP="00247CBF">
            <w:pPr>
              <w:spacing w:after="0" w:line="233" w:lineRule="auto"/>
              <w:jc w:val="right"/>
              <w:rPr>
                <w:b/>
                <w:bCs/>
                <w:sz w:val="20"/>
                <w:szCs w:val="20"/>
                <w:lang w:val="sr-Cyrl-CS"/>
              </w:rPr>
            </w:pPr>
            <w:r w:rsidRPr="00092ED7">
              <w:rPr>
                <w:b/>
                <w:bCs/>
                <w:sz w:val="20"/>
                <w:szCs w:val="20"/>
                <w:lang w:val="sr-Cyrl-CS"/>
              </w:rPr>
              <w:t>-31,2</w:t>
            </w:r>
          </w:p>
        </w:tc>
        <w:tc>
          <w:tcPr>
            <w:tcW w:w="921" w:type="dxa"/>
            <w:tcBorders>
              <w:top w:val="single" w:sz="4" w:space="0" w:color="auto"/>
              <w:left w:val="single" w:sz="4" w:space="0" w:color="auto"/>
              <w:bottom w:val="single" w:sz="8" w:space="0" w:color="auto"/>
              <w:right w:val="nil"/>
            </w:tcBorders>
            <w:shd w:val="clear" w:color="auto" w:fill="auto"/>
            <w:noWrap/>
            <w:vAlign w:val="center"/>
            <w:hideMark/>
          </w:tcPr>
          <w:p w14:paraId="7128F958" w14:textId="77777777" w:rsidR="00247CBF" w:rsidRPr="00092ED7" w:rsidRDefault="00247CBF" w:rsidP="00247CBF">
            <w:pPr>
              <w:spacing w:after="0" w:line="233" w:lineRule="auto"/>
              <w:jc w:val="right"/>
              <w:rPr>
                <w:b/>
                <w:bCs/>
                <w:sz w:val="20"/>
                <w:szCs w:val="20"/>
                <w:lang w:val="sr-Cyrl-CS"/>
              </w:rPr>
            </w:pPr>
            <w:r w:rsidRPr="00092ED7">
              <w:rPr>
                <w:b/>
                <w:bCs/>
                <w:sz w:val="20"/>
                <w:szCs w:val="20"/>
                <w:lang w:val="sr-Cyrl-CS"/>
              </w:rPr>
              <w:t>-41</w:t>
            </w:r>
          </w:p>
        </w:tc>
        <w:tc>
          <w:tcPr>
            <w:tcW w:w="920" w:type="dxa"/>
            <w:tcBorders>
              <w:top w:val="single" w:sz="4" w:space="0" w:color="auto"/>
              <w:left w:val="single" w:sz="4" w:space="0" w:color="auto"/>
              <w:bottom w:val="single" w:sz="8" w:space="0" w:color="auto"/>
              <w:right w:val="single" w:sz="4" w:space="0" w:color="auto"/>
            </w:tcBorders>
            <w:vAlign w:val="center"/>
          </w:tcPr>
          <w:p w14:paraId="4BF29D01" w14:textId="77777777" w:rsidR="00247CBF" w:rsidRPr="00092ED7" w:rsidRDefault="00247CBF" w:rsidP="00247CBF">
            <w:pPr>
              <w:spacing w:after="0" w:line="233" w:lineRule="auto"/>
              <w:jc w:val="right"/>
              <w:rPr>
                <w:b/>
                <w:bCs/>
                <w:sz w:val="20"/>
                <w:szCs w:val="20"/>
                <w:lang w:val="sr-Cyrl-CS"/>
              </w:rPr>
            </w:pPr>
            <w:r w:rsidRPr="00092ED7">
              <w:rPr>
                <w:b/>
                <w:bCs/>
                <w:sz w:val="20"/>
                <w:szCs w:val="20"/>
                <w:lang w:val="sr-Cyrl-CS"/>
              </w:rPr>
              <w:t>0</w:t>
            </w:r>
          </w:p>
        </w:tc>
        <w:tc>
          <w:tcPr>
            <w:tcW w:w="921" w:type="dxa"/>
            <w:gridSpan w:val="2"/>
            <w:tcBorders>
              <w:top w:val="single" w:sz="4" w:space="0" w:color="auto"/>
              <w:left w:val="single" w:sz="4" w:space="0" w:color="auto"/>
              <w:bottom w:val="single" w:sz="8" w:space="0" w:color="auto"/>
              <w:right w:val="double" w:sz="6" w:space="0" w:color="auto"/>
            </w:tcBorders>
            <w:shd w:val="clear" w:color="auto" w:fill="auto"/>
            <w:noWrap/>
            <w:vAlign w:val="center"/>
            <w:hideMark/>
          </w:tcPr>
          <w:p w14:paraId="357E08E7" w14:textId="77777777" w:rsidR="00247CBF" w:rsidRPr="00092ED7" w:rsidRDefault="00247CBF" w:rsidP="00247CBF">
            <w:pPr>
              <w:spacing w:after="0" w:line="233" w:lineRule="auto"/>
              <w:jc w:val="right"/>
              <w:rPr>
                <w:b/>
                <w:bCs/>
                <w:sz w:val="20"/>
                <w:szCs w:val="20"/>
                <w:lang w:val="sr-Cyrl-CS"/>
              </w:rPr>
            </w:pPr>
            <w:r w:rsidRPr="00092ED7">
              <w:rPr>
                <w:b/>
                <w:bCs/>
                <w:sz w:val="20"/>
                <w:szCs w:val="20"/>
                <w:lang w:val="sr-Cyrl-CS"/>
              </w:rPr>
              <w:t>0</w:t>
            </w:r>
          </w:p>
        </w:tc>
      </w:tr>
      <w:tr w:rsidR="00247CBF" w:rsidRPr="00092ED7" w14:paraId="72EC8129" w14:textId="77777777" w:rsidTr="00247CBF">
        <w:trPr>
          <w:gridBefore w:val="1"/>
          <w:wBefore w:w="23" w:type="dxa"/>
          <w:trHeight w:val="227"/>
        </w:trPr>
        <w:tc>
          <w:tcPr>
            <w:tcW w:w="9191" w:type="dxa"/>
            <w:gridSpan w:val="3"/>
            <w:tcBorders>
              <w:top w:val="nil"/>
              <w:left w:val="double" w:sz="6" w:space="0" w:color="auto"/>
              <w:bottom w:val="double" w:sz="6" w:space="0" w:color="auto"/>
              <w:right w:val="single" w:sz="8" w:space="0" w:color="auto"/>
            </w:tcBorders>
            <w:shd w:val="clear" w:color="auto" w:fill="auto"/>
            <w:noWrap/>
            <w:vAlign w:val="center"/>
            <w:hideMark/>
          </w:tcPr>
          <w:p w14:paraId="0B478325" w14:textId="77777777" w:rsidR="00247CBF" w:rsidRPr="00092ED7" w:rsidRDefault="00247CBF" w:rsidP="00247CBF">
            <w:pPr>
              <w:spacing w:after="0" w:line="233" w:lineRule="auto"/>
              <w:jc w:val="center"/>
              <w:rPr>
                <w:rFonts w:cs="Times New Roman"/>
                <w:b/>
                <w:sz w:val="20"/>
                <w:szCs w:val="20"/>
                <w:lang w:val="sr-Cyrl-CS"/>
              </w:rPr>
            </w:pPr>
            <w:r w:rsidRPr="00092ED7">
              <w:rPr>
                <w:rFonts w:cs="Times New Roman"/>
                <w:b/>
                <w:sz w:val="20"/>
                <w:szCs w:val="20"/>
                <w:lang w:val="sr-Cyrl-CS"/>
              </w:rPr>
              <w:t>Укупно</w:t>
            </w:r>
          </w:p>
        </w:tc>
        <w:tc>
          <w:tcPr>
            <w:tcW w:w="920" w:type="dxa"/>
            <w:tcBorders>
              <w:top w:val="nil"/>
              <w:left w:val="nil"/>
              <w:bottom w:val="double" w:sz="6" w:space="0" w:color="auto"/>
              <w:right w:val="single" w:sz="4" w:space="0" w:color="auto"/>
            </w:tcBorders>
            <w:shd w:val="clear" w:color="auto" w:fill="auto"/>
            <w:noWrap/>
            <w:vAlign w:val="center"/>
            <w:hideMark/>
          </w:tcPr>
          <w:p w14:paraId="517EC8CE" w14:textId="77777777" w:rsidR="00247CBF" w:rsidRPr="00092ED7" w:rsidRDefault="00247CBF" w:rsidP="00247CBF">
            <w:pPr>
              <w:spacing w:after="0" w:line="233" w:lineRule="auto"/>
              <w:jc w:val="right"/>
              <w:rPr>
                <w:b/>
                <w:bCs/>
                <w:sz w:val="20"/>
                <w:szCs w:val="20"/>
                <w:lang w:val="sr-Cyrl-CS"/>
              </w:rPr>
            </w:pPr>
            <w:r w:rsidRPr="00092ED7">
              <w:rPr>
                <w:b/>
                <w:bCs/>
                <w:sz w:val="20"/>
                <w:szCs w:val="20"/>
                <w:lang w:val="sr-Cyrl-CS"/>
              </w:rPr>
              <w:t>-402,6</w:t>
            </w:r>
          </w:p>
        </w:tc>
        <w:tc>
          <w:tcPr>
            <w:tcW w:w="921" w:type="dxa"/>
            <w:tcBorders>
              <w:top w:val="nil"/>
              <w:left w:val="nil"/>
              <w:bottom w:val="double" w:sz="6" w:space="0" w:color="auto"/>
              <w:right w:val="single" w:sz="4" w:space="0" w:color="auto"/>
            </w:tcBorders>
            <w:shd w:val="clear" w:color="auto" w:fill="auto"/>
            <w:noWrap/>
            <w:vAlign w:val="center"/>
            <w:hideMark/>
          </w:tcPr>
          <w:p w14:paraId="07EA60AE" w14:textId="77777777" w:rsidR="00247CBF" w:rsidRPr="00092ED7" w:rsidRDefault="00247CBF" w:rsidP="00247CBF">
            <w:pPr>
              <w:spacing w:after="0" w:line="233" w:lineRule="auto"/>
              <w:jc w:val="right"/>
              <w:rPr>
                <w:b/>
                <w:bCs/>
                <w:sz w:val="20"/>
                <w:szCs w:val="20"/>
                <w:lang w:val="sr-Cyrl-CS"/>
              </w:rPr>
            </w:pPr>
            <w:r w:rsidRPr="00092ED7">
              <w:rPr>
                <w:b/>
                <w:bCs/>
                <w:sz w:val="20"/>
                <w:szCs w:val="20"/>
                <w:lang w:val="sr-Cyrl-CS"/>
              </w:rPr>
              <w:t>-168,2</w:t>
            </w:r>
          </w:p>
        </w:tc>
        <w:tc>
          <w:tcPr>
            <w:tcW w:w="920" w:type="dxa"/>
            <w:tcBorders>
              <w:top w:val="nil"/>
              <w:left w:val="nil"/>
              <w:bottom w:val="double" w:sz="6" w:space="0" w:color="auto"/>
              <w:right w:val="single" w:sz="4" w:space="0" w:color="auto"/>
            </w:tcBorders>
            <w:shd w:val="clear" w:color="auto" w:fill="auto"/>
            <w:noWrap/>
            <w:vAlign w:val="center"/>
            <w:hideMark/>
          </w:tcPr>
          <w:p w14:paraId="458B9E85" w14:textId="77777777" w:rsidR="00247CBF" w:rsidRPr="00092ED7" w:rsidRDefault="00247CBF" w:rsidP="00247CBF">
            <w:pPr>
              <w:spacing w:after="0" w:line="233" w:lineRule="auto"/>
              <w:jc w:val="right"/>
              <w:rPr>
                <w:b/>
                <w:bCs/>
                <w:sz w:val="20"/>
                <w:szCs w:val="20"/>
                <w:lang w:val="sr-Cyrl-CS"/>
              </w:rPr>
            </w:pPr>
            <w:r w:rsidRPr="00092ED7">
              <w:rPr>
                <w:b/>
                <w:bCs/>
                <w:sz w:val="20"/>
                <w:szCs w:val="20"/>
                <w:lang w:val="sr-Cyrl-CS"/>
              </w:rPr>
              <w:t>-108,25</w:t>
            </w:r>
          </w:p>
        </w:tc>
        <w:tc>
          <w:tcPr>
            <w:tcW w:w="921" w:type="dxa"/>
            <w:tcBorders>
              <w:top w:val="nil"/>
              <w:left w:val="nil"/>
              <w:bottom w:val="double" w:sz="6" w:space="0" w:color="auto"/>
              <w:right w:val="single" w:sz="4" w:space="0" w:color="auto"/>
            </w:tcBorders>
            <w:shd w:val="clear" w:color="auto" w:fill="auto"/>
            <w:noWrap/>
            <w:vAlign w:val="center"/>
            <w:hideMark/>
          </w:tcPr>
          <w:p w14:paraId="184D2DB5" w14:textId="77777777" w:rsidR="00247CBF" w:rsidRPr="00092ED7" w:rsidRDefault="00247CBF" w:rsidP="00247CBF">
            <w:pPr>
              <w:spacing w:after="0" w:line="233" w:lineRule="auto"/>
              <w:jc w:val="right"/>
              <w:rPr>
                <w:b/>
                <w:bCs/>
                <w:sz w:val="20"/>
                <w:szCs w:val="20"/>
                <w:lang w:val="sr-Cyrl-CS"/>
              </w:rPr>
            </w:pPr>
            <w:r w:rsidRPr="00092ED7">
              <w:rPr>
                <w:b/>
                <w:bCs/>
                <w:sz w:val="20"/>
                <w:szCs w:val="20"/>
                <w:lang w:val="sr-Cyrl-CS"/>
              </w:rPr>
              <w:t>-60</w:t>
            </w:r>
          </w:p>
        </w:tc>
        <w:tc>
          <w:tcPr>
            <w:tcW w:w="920" w:type="dxa"/>
            <w:tcBorders>
              <w:top w:val="nil"/>
              <w:left w:val="nil"/>
              <w:bottom w:val="double" w:sz="6" w:space="0" w:color="auto"/>
              <w:right w:val="nil"/>
            </w:tcBorders>
            <w:vAlign w:val="center"/>
          </w:tcPr>
          <w:p w14:paraId="63DF46FA" w14:textId="77777777" w:rsidR="00247CBF" w:rsidRPr="00092ED7" w:rsidRDefault="00247CBF" w:rsidP="00247CBF">
            <w:pPr>
              <w:spacing w:after="0" w:line="233" w:lineRule="auto"/>
              <w:jc w:val="right"/>
              <w:rPr>
                <w:b/>
                <w:bCs/>
                <w:sz w:val="20"/>
                <w:szCs w:val="20"/>
                <w:lang w:val="sr-Cyrl-CS"/>
              </w:rPr>
            </w:pPr>
            <w:r w:rsidRPr="00092ED7">
              <w:rPr>
                <w:b/>
                <w:bCs/>
                <w:sz w:val="20"/>
                <w:szCs w:val="20"/>
                <w:lang w:val="sr-Cyrl-CS"/>
              </w:rPr>
              <w:t>0</w:t>
            </w:r>
          </w:p>
        </w:tc>
        <w:tc>
          <w:tcPr>
            <w:tcW w:w="921" w:type="dxa"/>
            <w:gridSpan w:val="2"/>
            <w:tcBorders>
              <w:top w:val="nil"/>
              <w:left w:val="nil"/>
              <w:bottom w:val="double" w:sz="6" w:space="0" w:color="auto"/>
              <w:right w:val="double" w:sz="6" w:space="0" w:color="auto"/>
            </w:tcBorders>
            <w:shd w:val="clear" w:color="auto" w:fill="auto"/>
            <w:noWrap/>
            <w:vAlign w:val="center"/>
            <w:hideMark/>
          </w:tcPr>
          <w:p w14:paraId="07B2D6F1" w14:textId="77777777" w:rsidR="00247CBF" w:rsidRPr="00092ED7" w:rsidRDefault="00247CBF" w:rsidP="00247CBF">
            <w:pPr>
              <w:spacing w:after="0" w:line="233" w:lineRule="auto"/>
              <w:jc w:val="right"/>
              <w:rPr>
                <w:b/>
                <w:bCs/>
                <w:sz w:val="20"/>
                <w:szCs w:val="20"/>
                <w:lang w:val="sr-Cyrl-CS"/>
              </w:rPr>
            </w:pPr>
            <w:r w:rsidRPr="00092ED7">
              <w:rPr>
                <w:b/>
                <w:bCs/>
                <w:sz w:val="20"/>
                <w:szCs w:val="20"/>
                <w:lang w:val="sr-Cyrl-CS"/>
              </w:rPr>
              <w:t>0</w:t>
            </w:r>
          </w:p>
        </w:tc>
      </w:tr>
      <w:tr w:rsidR="00247CBF" w:rsidRPr="00092ED7" w14:paraId="5F7F7EAC" w14:textId="77777777" w:rsidTr="00247CBF">
        <w:trPr>
          <w:gridAfter w:val="1"/>
          <w:wAfter w:w="136" w:type="dxa"/>
          <w:trHeight w:val="227"/>
        </w:trPr>
        <w:tc>
          <w:tcPr>
            <w:tcW w:w="14601" w:type="dxa"/>
            <w:gridSpan w:val="10"/>
            <w:tcBorders>
              <w:top w:val="nil"/>
              <w:left w:val="nil"/>
              <w:bottom w:val="nil"/>
              <w:right w:val="nil"/>
            </w:tcBorders>
            <w:shd w:val="clear" w:color="000000" w:fill="FFFFFF"/>
            <w:noWrap/>
            <w:vAlign w:val="center"/>
            <w:hideMark/>
          </w:tcPr>
          <w:p w14:paraId="76240923" w14:textId="77777777" w:rsidR="00247CBF" w:rsidRPr="00092ED7" w:rsidRDefault="00247CBF" w:rsidP="00247CBF">
            <w:pPr>
              <w:spacing w:after="0" w:line="233" w:lineRule="auto"/>
              <w:jc w:val="left"/>
              <w:rPr>
                <w:rFonts w:eastAsia="Times New Roman" w:cs="Times New Roman"/>
                <w:sz w:val="16"/>
                <w:szCs w:val="16"/>
                <w:lang w:val="sr-Cyrl-CS" w:eastAsia="sr-Cyrl-RS"/>
              </w:rPr>
            </w:pPr>
            <w:r w:rsidRPr="00092ED7">
              <w:rPr>
                <w:rFonts w:eastAsia="Times New Roman" w:cs="Times New Roman"/>
                <w:sz w:val="16"/>
                <w:szCs w:val="16"/>
                <w:lang w:val="sr-Cyrl-CS" w:eastAsia="sr-Cyrl-RS"/>
              </w:rPr>
              <w:t xml:space="preserve">[1] За потребе ове табеле, привремене мере се односе на оне дискреционе мере које немају ефекат на буџет после 2023. године. Супротно томе мере које су усвојене или најављене за 2021, 2022. и 2023. годину које имају фискални ефекат једнак или већи од 0,1% БДП бар закључно са 2024. годином се сматрају мерама које нису привремене за потребе ове табеле.   </w:t>
            </w:r>
          </w:p>
        </w:tc>
      </w:tr>
      <w:tr w:rsidR="00247CBF" w:rsidRPr="00092ED7" w14:paraId="516E8AE9" w14:textId="77777777" w:rsidTr="00247CBF">
        <w:trPr>
          <w:gridAfter w:val="1"/>
          <w:wAfter w:w="136" w:type="dxa"/>
          <w:trHeight w:val="227"/>
        </w:trPr>
        <w:tc>
          <w:tcPr>
            <w:tcW w:w="14601" w:type="dxa"/>
            <w:gridSpan w:val="10"/>
            <w:tcBorders>
              <w:top w:val="nil"/>
              <w:left w:val="nil"/>
              <w:bottom w:val="nil"/>
              <w:right w:val="nil"/>
            </w:tcBorders>
            <w:shd w:val="clear" w:color="000000" w:fill="FFFFFF"/>
            <w:noWrap/>
            <w:vAlign w:val="center"/>
            <w:hideMark/>
          </w:tcPr>
          <w:p w14:paraId="392B692C" w14:textId="77777777" w:rsidR="00247CBF" w:rsidRPr="00092ED7" w:rsidRDefault="00247CBF" w:rsidP="00247CBF">
            <w:pPr>
              <w:spacing w:after="0" w:line="233" w:lineRule="auto"/>
              <w:jc w:val="left"/>
              <w:rPr>
                <w:rFonts w:eastAsia="Times New Roman" w:cs="Times New Roman"/>
                <w:sz w:val="16"/>
                <w:szCs w:val="16"/>
                <w:lang w:val="sr-Cyrl-CS" w:eastAsia="sr-Cyrl-RS"/>
              </w:rPr>
            </w:pPr>
            <w:r w:rsidRPr="00092ED7">
              <w:rPr>
                <w:rFonts w:eastAsia="Times New Roman" w:cs="Times New Roman"/>
                <w:sz w:val="16"/>
                <w:szCs w:val="16"/>
                <w:lang w:val="sr-Cyrl-CS" w:eastAsia="sr-Cyrl-RS"/>
              </w:rPr>
              <w:t>[2]Минусна ставка означава негативни утицај на буџет</w:t>
            </w:r>
          </w:p>
        </w:tc>
      </w:tr>
    </w:tbl>
    <w:p w14:paraId="18D3E2E4" w14:textId="77777777" w:rsidR="00247CBF" w:rsidRPr="00092ED7" w:rsidRDefault="00247CBF" w:rsidP="00247CBF">
      <w:pPr>
        <w:spacing w:after="0" w:line="259" w:lineRule="auto"/>
        <w:rPr>
          <w:rFonts w:cs="Times New Roman"/>
          <w:b/>
          <w:sz w:val="20"/>
          <w:szCs w:val="20"/>
          <w:lang w:val="sr-Cyrl-CS"/>
        </w:rPr>
      </w:pPr>
    </w:p>
    <w:p w14:paraId="13B3FAEE" w14:textId="77777777" w:rsidR="00247CBF" w:rsidRPr="00092ED7" w:rsidRDefault="00247CBF" w:rsidP="00603975">
      <w:pPr>
        <w:spacing w:after="0"/>
        <w:rPr>
          <w:rFonts w:cs="Times New Roman"/>
          <w:b/>
          <w:sz w:val="20"/>
          <w:szCs w:val="20"/>
          <w:lang w:val="sr-Cyrl-CS"/>
        </w:rPr>
      </w:pPr>
      <w:bookmarkStart w:id="96" w:name="_Toc93385998"/>
      <w:r w:rsidRPr="00092ED7">
        <w:rPr>
          <w:rFonts w:cs="Times New Roman"/>
          <w:b/>
          <w:sz w:val="20"/>
          <w:szCs w:val="20"/>
          <w:lang w:val="sr-Cyrl-CS"/>
        </w:rPr>
        <w:t>Tабела 2c: Дискреционе мере усвојене/најављене у складу са Програмом</w:t>
      </w:r>
      <w:bookmarkEnd w:id="96"/>
    </w:p>
    <w:tbl>
      <w:tblPr>
        <w:tblW w:w="13578" w:type="dxa"/>
        <w:tblLayout w:type="fixed"/>
        <w:tblLook w:val="04A0" w:firstRow="1" w:lastRow="0" w:firstColumn="1" w:lastColumn="0" w:noHBand="0" w:noVBand="1"/>
      </w:tblPr>
      <w:tblGrid>
        <w:gridCol w:w="6214"/>
        <w:gridCol w:w="1560"/>
        <w:gridCol w:w="1126"/>
        <w:gridCol w:w="939"/>
        <w:gridCol w:w="970"/>
        <w:gridCol w:w="970"/>
        <w:gridCol w:w="970"/>
        <w:gridCol w:w="829"/>
      </w:tblGrid>
      <w:tr w:rsidR="00247CBF" w:rsidRPr="00092ED7" w14:paraId="5353D766" w14:textId="77777777" w:rsidTr="00247CBF">
        <w:trPr>
          <w:trHeight w:val="284"/>
        </w:trPr>
        <w:tc>
          <w:tcPr>
            <w:tcW w:w="6214" w:type="dxa"/>
            <w:vMerge w:val="restart"/>
            <w:tcBorders>
              <w:top w:val="double" w:sz="6" w:space="0" w:color="auto"/>
              <w:left w:val="double" w:sz="6" w:space="0" w:color="auto"/>
              <w:right w:val="single" w:sz="4" w:space="0" w:color="auto"/>
            </w:tcBorders>
            <w:shd w:val="clear" w:color="auto" w:fill="auto"/>
            <w:noWrap/>
            <w:vAlign w:val="center"/>
          </w:tcPr>
          <w:p w14:paraId="7AAE357A" w14:textId="77777777" w:rsidR="00247CBF" w:rsidRPr="00092ED7" w:rsidRDefault="00247CBF" w:rsidP="00247CBF">
            <w:pPr>
              <w:spacing w:after="0"/>
              <w:rPr>
                <w:rFonts w:cs="Times New Roman"/>
                <w:sz w:val="20"/>
                <w:szCs w:val="20"/>
                <w:lang w:val="sr-Cyrl-CS"/>
              </w:rPr>
            </w:pPr>
            <w:r w:rsidRPr="00092ED7">
              <w:rPr>
                <w:rFonts w:cs="Times New Roman"/>
                <w:sz w:val="20"/>
                <w:szCs w:val="20"/>
                <w:lang w:val="sr-Cyrl-CS"/>
              </w:rPr>
              <w:t>Мере</w:t>
            </w:r>
          </w:p>
        </w:tc>
        <w:tc>
          <w:tcPr>
            <w:tcW w:w="1560" w:type="dxa"/>
            <w:vMerge w:val="restart"/>
            <w:tcBorders>
              <w:top w:val="double" w:sz="6" w:space="0" w:color="auto"/>
              <w:left w:val="single" w:sz="4" w:space="0" w:color="auto"/>
              <w:right w:val="single" w:sz="4" w:space="0" w:color="auto"/>
            </w:tcBorders>
            <w:shd w:val="clear" w:color="auto" w:fill="auto"/>
            <w:noWrap/>
            <w:vAlign w:val="center"/>
            <w:hideMark/>
          </w:tcPr>
          <w:p w14:paraId="0846924B" w14:textId="77777777" w:rsidR="00247CBF" w:rsidRPr="00092ED7" w:rsidRDefault="00247CBF" w:rsidP="00247CBF">
            <w:pPr>
              <w:spacing w:after="0"/>
              <w:jc w:val="center"/>
              <w:rPr>
                <w:rFonts w:cs="Times New Roman"/>
                <w:sz w:val="20"/>
                <w:szCs w:val="20"/>
                <w:lang w:val="sr-Cyrl-CS"/>
              </w:rPr>
            </w:pPr>
            <w:r w:rsidRPr="00092ED7">
              <w:rPr>
                <w:rFonts w:cs="Times New Roman"/>
                <w:sz w:val="20"/>
                <w:szCs w:val="20"/>
                <w:lang w:val="sr-Cyrl-CS"/>
              </w:rPr>
              <w:t>ESA шифра (расходна / приходна компонента)</w:t>
            </w:r>
          </w:p>
        </w:tc>
        <w:tc>
          <w:tcPr>
            <w:tcW w:w="1126" w:type="dxa"/>
            <w:vMerge w:val="restart"/>
            <w:tcBorders>
              <w:top w:val="double" w:sz="6" w:space="0" w:color="auto"/>
              <w:left w:val="single" w:sz="4" w:space="0" w:color="auto"/>
              <w:bottom w:val="single" w:sz="8" w:space="0" w:color="auto"/>
              <w:right w:val="single" w:sz="4" w:space="0" w:color="auto"/>
            </w:tcBorders>
            <w:shd w:val="clear" w:color="auto" w:fill="auto"/>
            <w:noWrap/>
            <w:vAlign w:val="center"/>
            <w:hideMark/>
          </w:tcPr>
          <w:p w14:paraId="1666FC39" w14:textId="77777777" w:rsidR="00247CBF" w:rsidRPr="00092ED7" w:rsidRDefault="00247CBF" w:rsidP="00247CBF">
            <w:pPr>
              <w:spacing w:after="0"/>
              <w:jc w:val="center"/>
              <w:rPr>
                <w:rFonts w:cs="Times New Roman"/>
                <w:sz w:val="20"/>
                <w:szCs w:val="20"/>
                <w:lang w:val="sr-Cyrl-CS"/>
              </w:rPr>
            </w:pPr>
            <w:r w:rsidRPr="00092ED7">
              <w:rPr>
                <w:rFonts w:cs="Times New Roman"/>
                <w:sz w:val="20"/>
                <w:szCs w:val="20"/>
                <w:lang w:val="sr-Cyrl-CS"/>
              </w:rPr>
              <w:t>Датум усвајања</w:t>
            </w:r>
          </w:p>
        </w:tc>
        <w:tc>
          <w:tcPr>
            <w:tcW w:w="939" w:type="dxa"/>
            <w:tcBorders>
              <w:top w:val="double" w:sz="6" w:space="0" w:color="auto"/>
              <w:left w:val="single" w:sz="4" w:space="0" w:color="auto"/>
              <w:bottom w:val="single" w:sz="4" w:space="0" w:color="auto"/>
              <w:right w:val="single" w:sz="4" w:space="0" w:color="auto"/>
            </w:tcBorders>
            <w:shd w:val="clear" w:color="auto" w:fill="auto"/>
            <w:noWrap/>
            <w:vAlign w:val="center"/>
            <w:hideMark/>
          </w:tcPr>
          <w:p w14:paraId="07E6DA4C" w14:textId="77777777" w:rsidR="00247CBF" w:rsidRPr="00092ED7" w:rsidRDefault="00247CBF" w:rsidP="00247CBF">
            <w:pPr>
              <w:spacing w:after="0"/>
              <w:jc w:val="center"/>
              <w:rPr>
                <w:b/>
                <w:bCs/>
                <w:sz w:val="20"/>
                <w:szCs w:val="20"/>
                <w:lang w:val="sr-Cyrl-CS"/>
              </w:rPr>
            </w:pPr>
            <w:r w:rsidRPr="00092ED7">
              <w:rPr>
                <w:b/>
                <w:bCs/>
                <w:sz w:val="20"/>
                <w:szCs w:val="20"/>
                <w:lang w:val="sr-Cyrl-CS"/>
              </w:rPr>
              <w:t>2021</w:t>
            </w:r>
          </w:p>
        </w:tc>
        <w:tc>
          <w:tcPr>
            <w:tcW w:w="970" w:type="dxa"/>
            <w:tcBorders>
              <w:top w:val="double" w:sz="6" w:space="0" w:color="auto"/>
              <w:left w:val="single" w:sz="4" w:space="0" w:color="auto"/>
              <w:bottom w:val="single" w:sz="4" w:space="0" w:color="auto"/>
              <w:right w:val="single" w:sz="4" w:space="0" w:color="auto"/>
            </w:tcBorders>
            <w:shd w:val="clear" w:color="auto" w:fill="auto"/>
            <w:noWrap/>
            <w:vAlign w:val="center"/>
            <w:hideMark/>
          </w:tcPr>
          <w:p w14:paraId="3E5142F1" w14:textId="77777777" w:rsidR="00247CBF" w:rsidRPr="00092ED7" w:rsidRDefault="00247CBF" w:rsidP="00247CBF">
            <w:pPr>
              <w:spacing w:after="0"/>
              <w:jc w:val="center"/>
              <w:rPr>
                <w:b/>
                <w:bCs/>
                <w:sz w:val="20"/>
                <w:szCs w:val="20"/>
                <w:lang w:val="sr-Cyrl-CS"/>
              </w:rPr>
            </w:pPr>
            <w:r w:rsidRPr="00092ED7">
              <w:rPr>
                <w:b/>
                <w:bCs/>
                <w:sz w:val="20"/>
                <w:szCs w:val="20"/>
                <w:lang w:val="sr-Cyrl-CS"/>
              </w:rPr>
              <w:t>2022</w:t>
            </w:r>
          </w:p>
        </w:tc>
        <w:tc>
          <w:tcPr>
            <w:tcW w:w="970" w:type="dxa"/>
            <w:tcBorders>
              <w:top w:val="double" w:sz="6" w:space="0" w:color="auto"/>
              <w:left w:val="single" w:sz="4" w:space="0" w:color="auto"/>
              <w:bottom w:val="single" w:sz="4" w:space="0" w:color="auto"/>
              <w:right w:val="single" w:sz="4" w:space="0" w:color="auto"/>
            </w:tcBorders>
            <w:shd w:val="clear" w:color="auto" w:fill="auto"/>
            <w:noWrap/>
            <w:vAlign w:val="center"/>
            <w:hideMark/>
          </w:tcPr>
          <w:p w14:paraId="4E81ED45" w14:textId="77777777" w:rsidR="00247CBF" w:rsidRPr="00092ED7" w:rsidRDefault="00247CBF" w:rsidP="00247CBF">
            <w:pPr>
              <w:spacing w:after="0"/>
              <w:jc w:val="center"/>
              <w:rPr>
                <w:b/>
                <w:bCs/>
                <w:sz w:val="20"/>
                <w:szCs w:val="20"/>
                <w:lang w:val="sr-Cyrl-CS"/>
              </w:rPr>
            </w:pPr>
            <w:r w:rsidRPr="00092ED7">
              <w:rPr>
                <w:b/>
                <w:bCs/>
                <w:sz w:val="20"/>
                <w:szCs w:val="20"/>
                <w:lang w:val="sr-Cyrl-CS"/>
              </w:rPr>
              <w:t>2023</w:t>
            </w:r>
          </w:p>
        </w:tc>
        <w:tc>
          <w:tcPr>
            <w:tcW w:w="970" w:type="dxa"/>
            <w:tcBorders>
              <w:top w:val="double" w:sz="6" w:space="0" w:color="auto"/>
              <w:left w:val="single" w:sz="4" w:space="0" w:color="auto"/>
              <w:bottom w:val="single" w:sz="4" w:space="0" w:color="auto"/>
              <w:right w:val="single" w:sz="4" w:space="0" w:color="auto"/>
            </w:tcBorders>
            <w:shd w:val="clear" w:color="auto" w:fill="auto"/>
            <w:noWrap/>
            <w:vAlign w:val="center"/>
            <w:hideMark/>
          </w:tcPr>
          <w:p w14:paraId="6978421C" w14:textId="77777777" w:rsidR="00247CBF" w:rsidRPr="00092ED7" w:rsidRDefault="00247CBF" w:rsidP="00247CBF">
            <w:pPr>
              <w:spacing w:after="0"/>
              <w:jc w:val="center"/>
              <w:rPr>
                <w:b/>
                <w:bCs/>
                <w:sz w:val="20"/>
                <w:szCs w:val="20"/>
                <w:lang w:val="sr-Cyrl-CS"/>
              </w:rPr>
            </w:pPr>
            <w:r w:rsidRPr="00092ED7">
              <w:rPr>
                <w:b/>
                <w:bCs/>
                <w:sz w:val="20"/>
                <w:szCs w:val="20"/>
                <w:lang w:val="sr-Cyrl-CS"/>
              </w:rPr>
              <w:t>2024</w:t>
            </w:r>
          </w:p>
        </w:tc>
        <w:tc>
          <w:tcPr>
            <w:tcW w:w="829" w:type="dxa"/>
            <w:tcBorders>
              <w:top w:val="double" w:sz="6" w:space="0" w:color="auto"/>
              <w:left w:val="single" w:sz="4" w:space="0" w:color="auto"/>
              <w:bottom w:val="single" w:sz="4" w:space="0" w:color="auto"/>
              <w:right w:val="double" w:sz="6" w:space="0" w:color="auto"/>
            </w:tcBorders>
            <w:shd w:val="clear" w:color="auto" w:fill="auto"/>
            <w:noWrap/>
            <w:vAlign w:val="center"/>
            <w:hideMark/>
          </w:tcPr>
          <w:p w14:paraId="458D2867" w14:textId="77777777" w:rsidR="00247CBF" w:rsidRPr="00092ED7" w:rsidRDefault="00247CBF" w:rsidP="00247CBF">
            <w:pPr>
              <w:spacing w:after="0"/>
              <w:jc w:val="center"/>
              <w:rPr>
                <w:b/>
                <w:bCs/>
                <w:sz w:val="20"/>
                <w:szCs w:val="20"/>
                <w:lang w:val="sr-Cyrl-CS"/>
              </w:rPr>
            </w:pPr>
            <w:r w:rsidRPr="00092ED7">
              <w:rPr>
                <w:b/>
                <w:bCs/>
                <w:sz w:val="20"/>
                <w:szCs w:val="20"/>
                <w:lang w:val="sr-Cyrl-CS"/>
              </w:rPr>
              <w:t>2025</w:t>
            </w:r>
          </w:p>
        </w:tc>
      </w:tr>
      <w:tr w:rsidR="00247CBF" w:rsidRPr="00092ED7" w14:paraId="3D3E956F" w14:textId="77777777" w:rsidTr="00247CBF">
        <w:trPr>
          <w:trHeight w:val="524"/>
        </w:trPr>
        <w:tc>
          <w:tcPr>
            <w:tcW w:w="6214" w:type="dxa"/>
            <w:vMerge/>
            <w:tcBorders>
              <w:left w:val="double" w:sz="6" w:space="0" w:color="auto"/>
              <w:bottom w:val="nil"/>
              <w:right w:val="single" w:sz="4" w:space="0" w:color="auto"/>
            </w:tcBorders>
            <w:shd w:val="clear" w:color="auto" w:fill="auto"/>
            <w:vAlign w:val="center"/>
            <w:hideMark/>
          </w:tcPr>
          <w:p w14:paraId="527B580B" w14:textId="77777777" w:rsidR="00247CBF" w:rsidRPr="00092ED7" w:rsidRDefault="00247CBF" w:rsidP="00247CBF">
            <w:pPr>
              <w:spacing w:after="0"/>
              <w:rPr>
                <w:rFonts w:cs="Times New Roman"/>
                <w:sz w:val="20"/>
                <w:szCs w:val="20"/>
                <w:lang w:val="sr-Cyrl-CS"/>
              </w:rPr>
            </w:pPr>
          </w:p>
        </w:tc>
        <w:tc>
          <w:tcPr>
            <w:tcW w:w="1560" w:type="dxa"/>
            <w:vMerge/>
            <w:tcBorders>
              <w:left w:val="single" w:sz="4" w:space="0" w:color="auto"/>
              <w:bottom w:val="nil"/>
              <w:right w:val="single" w:sz="4" w:space="0" w:color="auto"/>
            </w:tcBorders>
            <w:shd w:val="clear" w:color="auto" w:fill="auto"/>
            <w:vAlign w:val="center"/>
            <w:hideMark/>
          </w:tcPr>
          <w:p w14:paraId="60ED7EBA" w14:textId="77777777" w:rsidR="00247CBF" w:rsidRPr="00092ED7" w:rsidRDefault="00247CBF" w:rsidP="00247CBF">
            <w:pPr>
              <w:spacing w:after="0"/>
              <w:rPr>
                <w:rFonts w:cs="Times New Roman"/>
                <w:sz w:val="20"/>
                <w:szCs w:val="20"/>
                <w:lang w:val="sr-Cyrl-CS"/>
              </w:rPr>
            </w:pPr>
          </w:p>
        </w:tc>
        <w:tc>
          <w:tcPr>
            <w:tcW w:w="1126" w:type="dxa"/>
            <w:vMerge/>
            <w:tcBorders>
              <w:left w:val="single" w:sz="4" w:space="0" w:color="auto"/>
              <w:bottom w:val="single" w:sz="8" w:space="0" w:color="auto"/>
              <w:right w:val="single" w:sz="4" w:space="0" w:color="auto"/>
            </w:tcBorders>
            <w:shd w:val="clear" w:color="auto" w:fill="auto"/>
            <w:vAlign w:val="center"/>
            <w:hideMark/>
          </w:tcPr>
          <w:p w14:paraId="12239285" w14:textId="77777777" w:rsidR="00247CBF" w:rsidRPr="00092ED7" w:rsidRDefault="00247CBF" w:rsidP="00247CBF">
            <w:pPr>
              <w:spacing w:after="0"/>
              <w:rPr>
                <w:rFonts w:cs="Times New Roman"/>
                <w:sz w:val="20"/>
                <w:szCs w:val="20"/>
                <w:lang w:val="sr-Cyrl-CS"/>
              </w:rPr>
            </w:pPr>
          </w:p>
        </w:tc>
        <w:tc>
          <w:tcPr>
            <w:tcW w:w="4678" w:type="dxa"/>
            <w:gridSpan w:val="5"/>
            <w:tcBorders>
              <w:top w:val="single" w:sz="4" w:space="0" w:color="auto"/>
              <w:left w:val="single" w:sz="4" w:space="0" w:color="auto"/>
              <w:bottom w:val="single" w:sz="8" w:space="0" w:color="auto"/>
              <w:right w:val="double" w:sz="6" w:space="0" w:color="000000"/>
            </w:tcBorders>
            <w:shd w:val="clear" w:color="auto" w:fill="auto"/>
            <w:vAlign w:val="center"/>
          </w:tcPr>
          <w:p w14:paraId="79B8AFD6" w14:textId="77777777" w:rsidR="00247CBF" w:rsidRPr="00092ED7" w:rsidRDefault="00247CBF" w:rsidP="00247CBF">
            <w:pPr>
              <w:spacing w:after="0"/>
              <w:jc w:val="center"/>
              <w:rPr>
                <w:rFonts w:cs="Times New Roman"/>
                <w:sz w:val="20"/>
                <w:szCs w:val="20"/>
                <w:lang w:val="sr-Cyrl-CS"/>
              </w:rPr>
            </w:pPr>
            <w:r w:rsidRPr="00092ED7">
              <w:rPr>
                <w:rFonts w:cs="Times New Roman"/>
                <w:sz w:val="20"/>
                <w:szCs w:val="20"/>
                <w:lang w:val="sr-Cyrl-CS"/>
              </w:rPr>
              <w:t>Фискални ефекат (% БДП - промена у односу на претходну годину)</w:t>
            </w:r>
          </w:p>
        </w:tc>
      </w:tr>
      <w:tr w:rsidR="00247CBF" w:rsidRPr="00092ED7" w14:paraId="76D0386D" w14:textId="77777777" w:rsidTr="00247CBF">
        <w:trPr>
          <w:trHeight w:val="284"/>
        </w:trPr>
        <w:tc>
          <w:tcPr>
            <w:tcW w:w="6214" w:type="dxa"/>
            <w:tcBorders>
              <w:top w:val="single" w:sz="8" w:space="0" w:color="auto"/>
              <w:left w:val="double" w:sz="6" w:space="0" w:color="auto"/>
              <w:bottom w:val="single" w:sz="4" w:space="0" w:color="auto"/>
              <w:right w:val="single" w:sz="4" w:space="0" w:color="auto"/>
            </w:tcBorders>
            <w:shd w:val="clear" w:color="auto" w:fill="auto"/>
            <w:vAlign w:val="center"/>
            <w:hideMark/>
          </w:tcPr>
          <w:p w14:paraId="24F7A45C" w14:textId="77777777" w:rsidR="00247CBF" w:rsidRPr="00092ED7" w:rsidRDefault="00247CBF" w:rsidP="00247CBF">
            <w:pPr>
              <w:spacing w:after="0"/>
              <w:rPr>
                <w:rFonts w:cs="Times New Roman"/>
                <w:sz w:val="20"/>
                <w:szCs w:val="20"/>
                <w:lang w:val="sr-Cyrl-CS"/>
              </w:rPr>
            </w:pPr>
            <w:r w:rsidRPr="00092ED7">
              <w:rPr>
                <w:rFonts w:cs="Times New Roman"/>
                <w:i/>
                <w:iCs/>
                <w:sz w:val="20"/>
                <w:szCs w:val="20"/>
                <w:lang w:val="sr-Cyrl-CS"/>
              </w:rPr>
              <w:t xml:space="preserve">Привремене мере </w:t>
            </w:r>
            <w:r w:rsidRPr="00092ED7">
              <w:rPr>
                <w:rFonts w:cs="Times New Roman"/>
                <w:sz w:val="20"/>
                <w:szCs w:val="20"/>
                <w:vertAlign w:val="superscript"/>
                <w:lang w:val="sr-Cyrl-CS"/>
              </w:rPr>
              <w:t>1</w:t>
            </w:r>
          </w:p>
        </w:tc>
        <w:tc>
          <w:tcPr>
            <w:tcW w:w="1560" w:type="dxa"/>
            <w:tcBorders>
              <w:top w:val="single" w:sz="8" w:space="0" w:color="auto"/>
              <w:left w:val="nil"/>
              <w:bottom w:val="single" w:sz="4" w:space="0" w:color="auto"/>
              <w:right w:val="single" w:sz="4" w:space="0" w:color="auto"/>
            </w:tcBorders>
            <w:shd w:val="clear" w:color="auto" w:fill="auto"/>
            <w:noWrap/>
            <w:vAlign w:val="center"/>
          </w:tcPr>
          <w:p w14:paraId="4B691984" w14:textId="77777777" w:rsidR="00247CBF" w:rsidRPr="00092ED7" w:rsidRDefault="00247CBF" w:rsidP="00247CBF">
            <w:pPr>
              <w:spacing w:after="0"/>
              <w:rPr>
                <w:rFonts w:cs="Times New Roman"/>
                <w:sz w:val="20"/>
                <w:szCs w:val="20"/>
                <w:lang w:val="sr-Cyrl-CS"/>
              </w:rPr>
            </w:pPr>
          </w:p>
        </w:tc>
        <w:tc>
          <w:tcPr>
            <w:tcW w:w="1126" w:type="dxa"/>
            <w:tcBorders>
              <w:top w:val="single" w:sz="8" w:space="0" w:color="auto"/>
              <w:left w:val="nil"/>
              <w:bottom w:val="single" w:sz="4" w:space="0" w:color="auto"/>
              <w:right w:val="single" w:sz="8" w:space="0" w:color="auto"/>
            </w:tcBorders>
            <w:shd w:val="clear" w:color="auto" w:fill="auto"/>
            <w:noWrap/>
            <w:vAlign w:val="center"/>
          </w:tcPr>
          <w:p w14:paraId="1A04AA5B" w14:textId="77777777" w:rsidR="00247CBF" w:rsidRPr="00092ED7" w:rsidRDefault="00247CBF" w:rsidP="00247CBF">
            <w:pPr>
              <w:spacing w:after="0"/>
              <w:rPr>
                <w:rFonts w:cs="Times New Roman"/>
                <w:sz w:val="20"/>
                <w:szCs w:val="20"/>
                <w:lang w:val="sr-Cyrl-CS"/>
              </w:rPr>
            </w:pPr>
          </w:p>
        </w:tc>
        <w:tc>
          <w:tcPr>
            <w:tcW w:w="939" w:type="dxa"/>
            <w:tcBorders>
              <w:top w:val="single" w:sz="8" w:space="0" w:color="auto"/>
              <w:left w:val="nil"/>
              <w:bottom w:val="single" w:sz="4" w:space="0" w:color="auto"/>
              <w:right w:val="single" w:sz="4" w:space="0" w:color="auto"/>
            </w:tcBorders>
            <w:shd w:val="clear" w:color="auto" w:fill="auto"/>
            <w:noWrap/>
            <w:vAlign w:val="center"/>
          </w:tcPr>
          <w:p w14:paraId="400830E3" w14:textId="77777777" w:rsidR="00247CBF" w:rsidRPr="00092ED7" w:rsidRDefault="00247CBF" w:rsidP="00247CBF">
            <w:pPr>
              <w:spacing w:after="0"/>
              <w:rPr>
                <w:rFonts w:cs="Times New Roman"/>
                <w:sz w:val="20"/>
                <w:szCs w:val="20"/>
                <w:lang w:val="sr-Cyrl-CS"/>
              </w:rPr>
            </w:pPr>
          </w:p>
        </w:tc>
        <w:tc>
          <w:tcPr>
            <w:tcW w:w="970" w:type="dxa"/>
            <w:tcBorders>
              <w:top w:val="single" w:sz="8" w:space="0" w:color="auto"/>
              <w:left w:val="nil"/>
              <w:bottom w:val="single" w:sz="4" w:space="0" w:color="auto"/>
              <w:right w:val="nil"/>
            </w:tcBorders>
            <w:shd w:val="clear" w:color="auto" w:fill="auto"/>
            <w:noWrap/>
            <w:vAlign w:val="center"/>
          </w:tcPr>
          <w:p w14:paraId="1548476A" w14:textId="77777777" w:rsidR="00247CBF" w:rsidRPr="00092ED7" w:rsidRDefault="00247CBF" w:rsidP="00247CBF">
            <w:pPr>
              <w:spacing w:after="0"/>
              <w:rPr>
                <w:rFonts w:cs="Times New Roman"/>
                <w:sz w:val="20"/>
                <w:szCs w:val="20"/>
                <w:lang w:val="sr-Cyrl-CS"/>
              </w:rPr>
            </w:pPr>
          </w:p>
        </w:tc>
        <w:tc>
          <w:tcPr>
            <w:tcW w:w="970" w:type="dxa"/>
            <w:tcBorders>
              <w:top w:val="single" w:sz="8" w:space="0" w:color="auto"/>
              <w:left w:val="single" w:sz="4" w:space="0" w:color="auto"/>
              <w:bottom w:val="single" w:sz="4" w:space="0" w:color="auto"/>
              <w:right w:val="nil"/>
            </w:tcBorders>
            <w:shd w:val="clear" w:color="auto" w:fill="auto"/>
            <w:noWrap/>
            <w:vAlign w:val="center"/>
          </w:tcPr>
          <w:p w14:paraId="10E863E9" w14:textId="77777777" w:rsidR="00247CBF" w:rsidRPr="00092ED7" w:rsidRDefault="00247CBF" w:rsidP="00247CBF">
            <w:pPr>
              <w:spacing w:after="0"/>
              <w:rPr>
                <w:rFonts w:cs="Times New Roman"/>
                <w:sz w:val="20"/>
                <w:szCs w:val="20"/>
                <w:lang w:val="sr-Cyrl-CS"/>
              </w:rPr>
            </w:pPr>
          </w:p>
        </w:tc>
        <w:tc>
          <w:tcPr>
            <w:tcW w:w="970" w:type="dxa"/>
            <w:tcBorders>
              <w:top w:val="single" w:sz="8" w:space="0" w:color="auto"/>
              <w:left w:val="single" w:sz="4" w:space="0" w:color="auto"/>
              <w:bottom w:val="single" w:sz="4" w:space="0" w:color="auto"/>
              <w:right w:val="nil"/>
            </w:tcBorders>
            <w:shd w:val="clear" w:color="auto" w:fill="auto"/>
            <w:noWrap/>
            <w:vAlign w:val="center"/>
          </w:tcPr>
          <w:p w14:paraId="3E4D902D" w14:textId="77777777" w:rsidR="00247CBF" w:rsidRPr="00092ED7" w:rsidRDefault="00247CBF" w:rsidP="00247CBF">
            <w:pPr>
              <w:spacing w:after="0"/>
              <w:rPr>
                <w:rFonts w:cs="Times New Roman"/>
                <w:sz w:val="20"/>
                <w:szCs w:val="20"/>
                <w:lang w:val="sr-Cyrl-CS"/>
              </w:rPr>
            </w:pPr>
          </w:p>
        </w:tc>
        <w:tc>
          <w:tcPr>
            <w:tcW w:w="829" w:type="dxa"/>
            <w:tcBorders>
              <w:top w:val="single" w:sz="8" w:space="0" w:color="auto"/>
              <w:left w:val="single" w:sz="4" w:space="0" w:color="auto"/>
              <w:bottom w:val="single" w:sz="4" w:space="0" w:color="auto"/>
              <w:right w:val="double" w:sz="6" w:space="0" w:color="auto"/>
            </w:tcBorders>
            <w:shd w:val="clear" w:color="auto" w:fill="auto"/>
            <w:noWrap/>
            <w:vAlign w:val="center"/>
          </w:tcPr>
          <w:p w14:paraId="40A0E078" w14:textId="77777777" w:rsidR="00247CBF" w:rsidRPr="00092ED7" w:rsidRDefault="00247CBF" w:rsidP="00247CBF">
            <w:pPr>
              <w:spacing w:after="0"/>
              <w:rPr>
                <w:rFonts w:cs="Times New Roman"/>
                <w:sz w:val="20"/>
                <w:szCs w:val="20"/>
                <w:lang w:val="sr-Cyrl-CS"/>
              </w:rPr>
            </w:pPr>
          </w:p>
        </w:tc>
      </w:tr>
      <w:tr w:rsidR="00247CBF" w:rsidRPr="00092ED7" w14:paraId="1804607B" w14:textId="77777777" w:rsidTr="00247CBF">
        <w:trPr>
          <w:trHeight w:val="284"/>
        </w:trPr>
        <w:tc>
          <w:tcPr>
            <w:tcW w:w="6214" w:type="dxa"/>
            <w:tcBorders>
              <w:top w:val="nil"/>
              <w:left w:val="double" w:sz="6" w:space="0" w:color="auto"/>
              <w:bottom w:val="dotted" w:sz="4" w:space="0" w:color="auto"/>
              <w:right w:val="single" w:sz="4" w:space="0" w:color="auto"/>
            </w:tcBorders>
            <w:shd w:val="clear" w:color="auto" w:fill="auto"/>
            <w:vAlign w:val="center"/>
            <w:hideMark/>
          </w:tcPr>
          <w:p w14:paraId="2D11AFD3" w14:textId="77777777" w:rsidR="00247CBF" w:rsidRPr="00092ED7" w:rsidRDefault="00247CBF" w:rsidP="00247CBF">
            <w:pPr>
              <w:spacing w:after="0"/>
              <w:jc w:val="left"/>
              <w:rPr>
                <w:sz w:val="20"/>
                <w:szCs w:val="20"/>
                <w:lang w:val="sr-Cyrl-CS"/>
              </w:rPr>
            </w:pPr>
            <w:r w:rsidRPr="00092ED7">
              <w:rPr>
                <w:sz w:val="20"/>
                <w:szCs w:val="20"/>
                <w:lang w:val="sr-Cyrl-CS"/>
              </w:rPr>
              <w:t>Одложено плаћање пореза на зараде и доприноса за приватни сектор</w:t>
            </w:r>
          </w:p>
        </w:tc>
        <w:tc>
          <w:tcPr>
            <w:tcW w:w="1560" w:type="dxa"/>
            <w:tcBorders>
              <w:top w:val="nil"/>
              <w:left w:val="nil"/>
              <w:bottom w:val="dotted" w:sz="4" w:space="0" w:color="auto"/>
              <w:right w:val="single" w:sz="4" w:space="0" w:color="auto"/>
            </w:tcBorders>
            <w:shd w:val="clear" w:color="auto" w:fill="auto"/>
            <w:noWrap/>
            <w:vAlign w:val="center"/>
            <w:hideMark/>
          </w:tcPr>
          <w:p w14:paraId="1A92FFCE" w14:textId="77777777" w:rsidR="00247CBF" w:rsidRPr="00092ED7" w:rsidRDefault="00247CBF" w:rsidP="00247CBF">
            <w:pPr>
              <w:spacing w:after="0"/>
              <w:jc w:val="center"/>
              <w:rPr>
                <w:sz w:val="20"/>
                <w:szCs w:val="20"/>
                <w:lang w:val="sr-Cyrl-CS"/>
              </w:rPr>
            </w:pPr>
            <w:r w:rsidRPr="00092ED7">
              <w:rPr>
                <w:sz w:val="20"/>
                <w:szCs w:val="20"/>
                <w:lang w:val="sr-Cyrl-CS"/>
              </w:rPr>
              <w:t>D5, D61</w:t>
            </w:r>
          </w:p>
        </w:tc>
        <w:tc>
          <w:tcPr>
            <w:tcW w:w="1126" w:type="dxa"/>
            <w:tcBorders>
              <w:top w:val="nil"/>
              <w:left w:val="single" w:sz="4" w:space="0" w:color="auto"/>
              <w:bottom w:val="dotted" w:sz="4" w:space="0" w:color="auto"/>
              <w:right w:val="single" w:sz="8" w:space="0" w:color="auto"/>
            </w:tcBorders>
            <w:shd w:val="clear" w:color="auto" w:fill="auto"/>
            <w:noWrap/>
            <w:vAlign w:val="center"/>
          </w:tcPr>
          <w:p w14:paraId="146C46A0" w14:textId="77777777" w:rsidR="00247CBF" w:rsidRPr="00092ED7" w:rsidRDefault="00247CBF" w:rsidP="00247CBF">
            <w:pPr>
              <w:spacing w:after="0"/>
              <w:rPr>
                <w:rFonts w:cs="Times New Roman"/>
                <w:sz w:val="20"/>
                <w:szCs w:val="20"/>
                <w:lang w:val="sr-Cyrl-CS"/>
              </w:rPr>
            </w:pPr>
          </w:p>
        </w:tc>
        <w:tc>
          <w:tcPr>
            <w:tcW w:w="939" w:type="dxa"/>
            <w:tcBorders>
              <w:top w:val="nil"/>
              <w:left w:val="nil"/>
              <w:bottom w:val="dotted" w:sz="4" w:space="0" w:color="auto"/>
              <w:right w:val="single" w:sz="4" w:space="0" w:color="auto"/>
            </w:tcBorders>
            <w:shd w:val="clear" w:color="auto" w:fill="auto"/>
            <w:noWrap/>
            <w:vAlign w:val="center"/>
            <w:hideMark/>
          </w:tcPr>
          <w:p w14:paraId="18DE11DD"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970" w:type="dxa"/>
            <w:tcBorders>
              <w:top w:val="nil"/>
              <w:left w:val="single" w:sz="4" w:space="0" w:color="auto"/>
              <w:bottom w:val="dotted" w:sz="4" w:space="0" w:color="auto"/>
              <w:right w:val="nil"/>
            </w:tcBorders>
            <w:shd w:val="clear" w:color="auto" w:fill="auto"/>
            <w:noWrap/>
            <w:vAlign w:val="center"/>
            <w:hideMark/>
          </w:tcPr>
          <w:p w14:paraId="1A60056F"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970" w:type="dxa"/>
            <w:tcBorders>
              <w:top w:val="nil"/>
              <w:left w:val="single" w:sz="4" w:space="0" w:color="auto"/>
              <w:bottom w:val="dotted" w:sz="4" w:space="0" w:color="auto"/>
              <w:right w:val="nil"/>
            </w:tcBorders>
            <w:shd w:val="clear" w:color="auto" w:fill="auto"/>
            <w:noWrap/>
            <w:vAlign w:val="center"/>
            <w:hideMark/>
          </w:tcPr>
          <w:p w14:paraId="70BD2500"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970" w:type="dxa"/>
            <w:tcBorders>
              <w:top w:val="nil"/>
              <w:left w:val="single" w:sz="4" w:space="0" w:color="auto"/>
              <w:bottom w:val="dotted" w:sz="4" w:space="0" w:color="auto"/>
              <w:right w:val="nil"/>
            </w:tcBorders>
            <w:shd w:val="clear" w:color="auto" w:fill="auto"/>
            <w:noWrap/>
            <w:vAlign w:val="center"/>
            <w:hideMark/>
          </w:tcPr>
          <w:p w14:paraId="23415B40"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829" w:type="dxa"/>
            <w:tcBorders>
              <w:top w:val="nil"/>
              <w:left w:val="single" w:sz="4" w:space="0" w:color="auto"/>
              <w:bottom w:val="dotted" w:sz="4" w:space="0" w:color="auto"/>
              <w:right w:val="double" w:sz="6" w:space="0" w:color="auto"/>
            </w:tcBorders>
            <w:shd w:val="clear" w:color="auto" w:fill="auto"/>
            <w:noWrap/>
            <w:vAlign w:val="center"/>
            <w:hideMark/>
          </w:tcPr>
          <w:p w14:paraId="1D566F9B" w14:textId="77777777" w:rsidR="00247CBF" w:rsidRPr="00092ED7" w:rsidRDefault="00247CBF" w:rsidP="00247CBF">
            <w:pPr>
              <w:spacing w:after="0"/>
              <w:jc w:val="right"/>
              <w:rPr>
                <w:sz w:val="20"/>
                <w:szCs w:val="20"/>
                <w:lang w:val="sr-Cyrl-CS"/>
              </w:rPr>
            </w:pPr>
            <w:r w:rsidRPr="00092ED7">
              <w:rPr>
                <w:sz w:val="20"/>
                <w:szCs w:val="20"/>
                <w:lang w:val="sr-Cyrl-CS"/>
              </w:rPr>
              <w:t>:</w:t>
            </w:r>
          </w:p>
        </w:tc>
      </w:tr>
      <w:tr w:rsidR="00247CBF" w:rsidRPr="00092ED7" w14:paraId="4F3B2BEB" w14:textId="77777777" w:rsidTr="00247CBF">
        <w:trPr>
          <w:trHeight w:val="284"/>
        </w:trPr>
        <w:tc>
          <w:tcPr>
            <w:tcW w:w="6214" w:type="dxa"/>
            <w:tcBorders>
              <w:top w:val="nil"/>
              <w:left w:val="double" w:sz="6" w:space="0" w:color="auto"/>
              <w:bottom w:val="dotted" w:sz="4" w:space="0" w:color="auto"/>
              <w:right w:val="single" w:sz="4" w:space="0" w:color="auto"/>
            </w:tcBorders>
            <w:shd w:val="clear" w:color="auto" w:fill="auto"/>
            <w:vAlign w:val="center"/>
            <w:hideMark/>
          </w:tcPr>
          <w:p w14:paraId="7AF619FC" w14:textId="77777777" w:rsidR="00247CBF" w:rsidRPr="00092ED7" w:rsidRDefault="00247CBF" w:rsidP="00247CBF">
            <w:pPr>
              <w:spacing w:after="0"/>
              <w:jc w:val="left"/>
              <w:rPr>
                <w:sz w:val="20"/>
                <w:szCs w:val="20"/>
                <w:lang w:val="sr-Cyrl-CS"/>
              </w:rPr>
            </w:pPr>
            <w:r w:rsidRPr="00092ED7">
              <w:rPr>
                <w:sz w:val="20"/>
                <w:szCs w:val="20"/>
                <w:lang w:val="sr-Cyrl-CS"/>
              </w:rPr>
              <w:t>Одложено плаћање аконтација пореза на добит у другом кварталу</w:t>
            </w:r>
          </w:p>
        </w:tc>
        <w:tc>
          <w:tcPr>
            <w:tcW w:w="1560" w:type="dxa"/>
            <w:tcBorders>
              <w:top w:val="nil"/>
              <w:left w:val="nil"/>
              <w:bottom w:val="dotted" w:sz="4" w:space="0" w:color="auto"/>
              <w:right w:val="single" w:sz="4" w:space="0" w:color="auto"/>
            </w:tcBorders>
            <w:shd w:val="clear" w:color="auto" w:fill="auto"/>
            <w:noWrap/>
            <w:vAlign w:val="center"/>
            <w:hideMark/>
          </w:tcPr>
          <w:p w14:paraId="4E4FC771" w14:textId="77777777" w:rsidR="00247CBF" w:rsidRPr="00092ED7" w:rsidRDefault="00247CBF" w:rsidP="00247CBF">
            <w:pPr>
              <w:spacing w:after="0"/>
              <w:jc w:val="center"/>
              <w:rPr>
                <w:sz w:val="20"/>
                <w:szCs w:val="20"/>
                <w:lang w:val="sr-Cyrl-CS"/>
              </w:rPr>
            </w:pPr>
            <w:r w:rsidRPr="00092ED7">
              <w:rPr>
                <w:sz w:val="20"/>
                <w:szCs w:val="20"/>
                <w:lang w:val="sr-Cyrl-CS"/>
              </w:rPr>
              <w:t>D5</w:t>
            </w:r>
          </w:p>
        </w:tc>
        <w:tc>
          <w:tcPr>
            <w:tcW w:w="1126" w:type="dxa"/>
            <w:tcBorders>
              <w:top w:val="nil"/>
              <w:left w:val="single" w:sz="4" w:space="0" w:color="auto"/>
              <w:bottom w:val="dotted" w:sz="4" w:space="0" w:color="auto"/>
              <w:right w:val="single" w:sz="8" w:space="0" w:color="auto"/>
            </w:tcBorders>
            <w:shd w:val="clear" w:color="auto" w:fill="auto"/>
            <w:noWrap/>
            <w:vAlign w:val="center"/>
          </w:tcPr>
          <w:p w14:paraId="65A30D4B" w14:textId="77777777" w:rsidR="00247CBF" w:rsidRPr="00092ED7" w:rsidRDefault="00247CBF" w:rsidP="00247CBF">
            <w:pPr>
              <w:spacing w:after="0"/>
              <w:rPr>
                <w:rFonts w:cs="Times New Roman"/>
                <w:sz w:val="20"/>
                <w:szCs w:val="20"/>
                <w:lang w:val="sr-Cyrl-CS"/>
              </w:rPr>
            </w:pPr>
          </w:p>
        </w:tc>
        <w:tc>
          <w:tcPr>
            <w:tcW w:w="939" w:type="dxa"/>
            <w:tcBorders>
              <w:top w:val="nil"/>
              <w:left w:val="nil"/>
              <w:bottom w:val="dotted" w:sz="4" w:space="0" w:color="auto"/>
              <w:right w:val="single" w:sz="4" w:space="0" w:color="auto"/>
            </w:tcBorders>
            <w:shd w:val="clear" w:color="auto" w:fill="auto"/>
            <w:noWrap/>
            <w:vAlign w:val="center"/>
            <w:hideMark/>
          </w:tcPr>
          <w:p w14:paraId="3B41EEE2"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970" w:type="dxa"/>
            <w:tcBorders>
              <w:top w:val="nil"/>
              <w:left w:val="single" w:sz="4" w:space="0" w:color="auto"/>
              <w:bottom w:val="dotted" w:sz="4" w:space="0" w:color="auto"/>
              <w:right w:val="nil"/>
            </w:tcBorders>
            <w:shd w:val="clear" w:color="auto" w:fill="auto"/>
            <w:noWrap/>
            <w:vAlign w:val="center"/>
            <w:hideMark/>
          </w:tcPr>
          <w:p w14:paraId="6B761882"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970" w:type="dxa"/>
            <w:tcBorders>
              <w:top w:val="nil"/>
              <w:left w:val="single" w:sz="4" w:space="0" w:color="auto"/>
              <w:bottom w:val="dotted" w:sz="4" w:space="0" w:color="auto"/>
              <w:right w:val="nil"/>
            </w:tcBorders>
            <w:shd w:val="clear" w:color="auto" w:fill="auto"/>
            <w:noWrap/>
            <w:vAlign w:val="center"/>
            <w:hideMark/>
          </w:tcPr>
          <w:p w14:paraId="2C972D36"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970" w:type="dxa"/>
            <w:tcBorders>
              <w:top w:val="nil"/>
              <w:left w:val="single" w:sz="4" w:space="0" w:color="auto"/>
              <w:bottom w:val="dotted" w:sz="4" w:space="0" w:color="auto"/>
              <w:right w:val="nil"/>
            </w:tcBorders>
            <w:shd w:val="clear" w:color="auto" w:fill="auto"/>
            <w:noWrap/>
            <w:vAlign w:val="center"/>
            <w:hideMark/>
          </w:tcPr>
          <w:p w14:paraId="3EAE3F5E"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829" w:type="dxa"/>
            <w:tcBorders>
              <w:top w:val="nil"/>
              <w:left w:val="single" w:sz="4" w:space="0" w:color="auto"/>
              <w:bottom w:val="dotted" w:sz="4" w:space="0" w:color="auto"/>
              <w:right w:val="double" w:sz="6" w:space="0" w:color="auto"/>
            </w:tcBorders>
            <w:shd w:val="clear" w:color="auto" w:fill="auto"/>
            <w:noWrap/>
            <w:vAlign w:val="center"/>
            <w:hideMark/>
          </w:tcPr>
          <w:p w14:paraId="3DC1CF51" w14:textId="77777777" w:rsidR="00247CBF" w:rsidRPr="00092ED7" w:rsidRDefault="00247CBF" w:rsidP="00247CBF">
            <w:pPr>
              <w:spacing w:after="0"/>
              <w:jc w:val="right"/>
              <w:rPr>
                <w:sz w:val="20"/>
                <w:szCs w:val="20"/>
                <w:lang w:val="sr-Cyrl-CS"/>
              </w:rPr>
            </w:pPr>
            <w:r w:rsidRPr="00092ED7">
              <w:rPr>
                <w:sz w:val="20"/>
                <w:szCs w:val="20"/>
                <w:lang w:val="sr-Cyrl-CS"/>
              </w:rPr>
              <w:t>:</w:t>
            </w:r>
          </w:p>
        </w:tc>
      </w:tr>
      <w:tr w:rsidR="00247CBF" w:rsidRPr="00092ED7" w14:paraId="4CCCF24E" w14:textId="77777777" w:rsidTr="00247CBF">
        <w:trPr>
          <w:trHeight w:val="284"/>
        </w:trPr>
        <w:tc>
          <w:tcPr>
            <w:tcW w:w="6214" w:type="dxa"/>
            <w:tcBorders>
              <w:top w:val="nil"/>
              <w:left w:val="double" w:sz="6" w:space="0" w:color="auto"/>
              <w:bottom w:val="dotted" w:sz="4" w:space="0" w:color="auto"/>
              <w:right w:val="single" w:sz="4" w:space="0" w:color="auto"/>
            </w:tcBorders>
            <w:shd w:val="clear" w:color="auto" w:fill="auto"/>
            <w:vAlign w:val="center"/>
            <w:hideMark/>
          </w:tcPr>
          <w:p w14:paraId="2C10B9E1" w14:textId="77777777" w:rsidR="00247CBF" w:rsidRPr="00092ED7" w:rsidRDefault="00247CBF" w:rsidP="00247CBF">
            <w:pPr>
              <w:spacing w:after="0"/>
              <w:jc w:val="left"/>
              <w:rPr>
                <w:sz w:val="20"/>
                <w:szCs w:val="20"/>
                <w:lang w:val="sr-Cyrl-CS"/>
              </w:rPr>
            </w:pPr>
            <w:r w:rsidRPr="00092ED7">
              <w:rPr>
                <w:sz w:val="20"/>
                <w:szCs w:val="20"/>
                <w:lang w:val="sr-Cyrl-CS"/>
              </w:rPr>
              <w:t>Директна помоћ приватном сектору</w:t>
            </w:r>
          </w:p>
        </w:tc>
        <w:tc>
          <w:tcPr>
            <w:tcW w:w="1560" w:type="dxa"/>
            <w:tcBorders>
              <w:top w:val="nil"/>
              <w:left w:val="nil"/>
              <w:bottom w:val="dotted" w:sz="4" w:space="0" w:color="auto"/>
              <w:right w:val="single" w:sz="4" w:space="0" w:color="auto"/>
            </w:tcBorders>
            <w:shd w:val="clear" w:color="auto" w:fill="auto"/>
            <w:noWrap/>
            <w:vAlign w:val="center"/>
            <w:hideMark/>
          </w:tcPr>
          <w:p w14:paraId="18B7A89C" w14:textId="77777777" w:rsidR="00247CBF" w:rsidRPr="00092ED7" w:rsidRDefault="00247CBF" w:rsidP="00247CBF">
            <w:pPr>
              <w:spacing w:after="0"/>
              <w:jc w:val="center"/>
              <w:rPr>
                <w:sz w:val="20"/>
                <w:szCs w:val="20"/>
                <w:lang w:val="sr-Cyrl-CS"/>
              </w:rPr>
            </w:pPr>
            <w:r w:rsidRPr="00092ED7">
              <w:rPr>
                <w:sz w:val="20"/>
                <w:szCs w:val="20"/>
                <w:lang w:val="sr-Cyrl-CS"/>
              </w:rPr>
              <w:t>D3</w:t>
            </w:r>
          </w:p>
        </w:tc>
        <w:tc>
          <w:tcPr>
            <w:tcW w:w="1126" w:type="dxa"/>
            <w:tcBorders>
              <w:top w:val="nil"/>
              <w:left w:val="single" w:sz="4" w:space="0" w:color="auto"/>
              <w:bottom w:val="dotted" w:sz="4" w:space="0" w:color="auto"/>
              <w:right w:val="single" w:sz="8" w:space="0" w:color="auto"/>
            </w:tcBorders>
            <w:shd w:val="clear" w:color="auto" w:fill="auto"/>
            <w:vAlign w:val="center"/>
          </w:tcPr>
          <w:p w14:paraId="58CC212B" w14:textId="77777777" w:rsidR="00247CBF" w:rsidRPr="00092ED7" w:rsidRDefault="00247CBF" w:rsidP="00247CBF">
            <w:pPr>
              <w:spacing w:after="0"/>
              <w:rPr>
                <w:rFonts w:cs="Times New Roman"/>
                <w:sz w:val="20"/>
                <w:szCs w:val="20"/>
                <w:lang w:val="sr-Cyrl-CS"/>
              </w:rPr>
            </w:pPr>
          </w:p>
        </w:tc>
        <w:tc>
          <w:tcPr>
            <w:tcW w:w="939" w:type="dxa"/>
            <w:tcBorders>
              <w:top w:val="nil"/>
              <w:left w:val="nil"/>
              <w:bottom w:val="dotted" w:sz="4" w:space="0" w:color="auto"/>
              <w:right w:val="single" w:sz="4" w:space="0" w:color="auto"/>
            </w:tcBorders>
            <w:shd w:val="clear" w:color="auto" w:fill="auto"/>
            <w:noWrap/>
            <w:vAlign w:val="center"/>
            <w:hideMark/>
          </w:tcPr>
          <w:p w14:paraId="2A2146D0" w14:textId="77777777" w:rsidR="00247CBF" w:rsidRPr="00092ED7" w:rsidRDefault="00247CBF" w:rsidP="00247CBF">
            <w:pPr>
              <w:spacing w:after="0"/>
              <w:jc w:val="right"/>
              <w:rPr>
                <w:sz w:val="20"/>
                <w:szCs w:val="20"/>
                <w:lang w:val="sr-Cyrl-CS"/>
              </w:rPr>
            </w:pPr>
            <w:r w:rsidRPr="00092ED7">
              <w:rPr>
                <w:sz w:val="20"/>
                <w:szCs w:val="20"/>
                <w:lang w:val="sr-Cyrl-CS"/>
              </w:rPr>
              <w:t>1,2</w:t>
            </w:r>
          </w:p>
        </w:tc>
        <w:tc>
          <w:tcPr>
            <w:tcW w:w="970" w:type="dxa"/>
            <w:tcBorders>
              <w:top w:val="nil"/>
              <w:left w:val="single" w:sz="4" w:space="0" w:color="auto"/>
              <w:bottom w:val="dotted" w:sz="4" w:space="0" w:color="auto"/>
              <w:right w:val="nil"/>
            </w:tcBorders>
            <w:shd w:val="clear" w:color="auto" w:fill="auto"/>
            <w:noWrap/>
            <w:vAlign w:val="center"/>
            <w:hideMark/>
          </w:tcPr>
          <w:p w14:paraId="59A66B62"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970" w:type="dxa"/>
            <w:tcBorders>
              <w:top w:val="nil"/>
              <w:left w:val="single" w:sz="4" w:space="0" w:color="auto"/>
              <w:bottom w:val="dotted" w:sz="4" w:space="0" w:color="auto"/>
              <w:right w:val="nil"/>
            </w:tcBorders>
            <w:shd w:val="clear" w:color="auto" w:fill="auto"/>
            <w:noWrap/>
            <w:vAlign w:val="center"/>
            <w:hideMark/>
          </w:tcPr>
          <w:p w14:paraId="607275ED"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970" w:type="dxa"/>
            <w:tcBorders>
              <w:top w:val="nil"/>
              <w:left w:val="single" w:sz="4" w:space="0" w:color="auto"/>
              <w:bottom w:val="dotted" w:sz="4" w:space="0" w:color="auto"/>
              <w:right w:val="nil"/>
            </w:tcBorders>
            <w:shd w:val="clear" w:color="auto" w:fill="auto"/>
            <w:noWrap/>
            <w:vAlign w:val="center"/>
            <w:hideMark/>
          </w:tcPr>
          <w:p w14:paraId="2222F172"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829" w:type="dxa"/>
            <w:tcBorders>
              <w:top w:val="nil"/>
              <w:left w:val="single" w:sz="4" w:space="0" w:color="auto"/>
              <w:bottom w:val="dotted" w:sz="4" w:space="0" w:color="auto"/>
              <w:right w:val="double" w:sz="6" w:space="0" w:color="auto"/>
            </w:tcBorders>
            <w:shd w:val="clear" w:color="auto" w:fill="auto"/>
            <w:noWrap/>
            <w:vAlign w:val="center"/>
            <w:hideMark/>
          </w:tcPr>
          <w:p w14:paraId="31956EEB" w14:textId="77777777" w:rsidR="00247CBF" w:rsidRPr="00092ED7" w:rsidRDefault="00247CBF" w:rsidP="00247CBF">
            <w:pPr>
              <w:spacing w:after="0"/>
              <w:jc w:val="right"/>
              <w:rPr>
                <w:sz w:val="20"/>
                <w:szCs w:val="20"/>
                <w:lang w:val="sr-Cyrl-CS"/>
              </w:rPr>
            </w:pPr>
            <w:r w:rsidRPr="00092ED7">
              <w:rPr>
                <w:sz w:val="20"/>
                <w:szCs w:val="20"/>
                <w:lang w:val="sr-Cyrl-CS"/>
              </w:rPr>
              <w:t>:</w:t>
            </w:r>
          </w:p>
        </w:tc>
      </w:tr>
      <w:tr w:rsidR="00247CBF" w:rsidRPr="00092ED7" w14:paraId="09F571A9" w14:textId="77777777" w:rsidTr="00247CBF">
        <w:trPr>
          <w:trHeight w:val="284"/>
        </w:trPr>
        <w:tc>
          <w:tcPr>
            <w:tcW w:w="6214" w:type="dxa"/>
            <w:tcBorders>
              <w:top w:val="nil"/>
              <w:left w:val="double" w:sz="6" w:space="0" w:color="auto"/>
              <w:bottom w:val="dotted" w:sz="4" w:space="0" w:color="auto"/>
              <w:right w:val="single" w:sz="4" w:space="0" w:color="auto"/>
            </w:tcBorders>
            <w:shd w:val="clear" w:color="auto" w:fill="auto"/>
            <w:vAlign w:val="center"/>
            <w:hideMark/>
          </w:tcPr>
          <w:p w14:paraId="6D78785E" w14:textId="77777777" w:rsidR="00247CBF" w:rsidRPr="00092ED7" w:rsidRDefault="00247CBF" w:rsidP="00247CBF">
            <w:pPr>
              <w:spacing w:after="0"/>
              <w:jc w:val="left"/>
              <w:rPr>
                <w:sz w:val="20"/>
                <w:szCs w:val="20"/>
                <w:lang w:val="sr-Cyrl-CS"/>
              </w:rPr>
            </w:pPr>
            <w:r w:rsidRPr="00092ED7">
              <w:rPr>
                <w:sz w:val="20"/>
                <w:szCs w:val="20"/>
                <w:lang w:val="sr-Cyrl-CS"/>
              </w:rPr>
              <w:t>Програм финансијске подршке кроз Фонд за развој</w:t>
            </w:r>
          </w:p>
        </w:tc>
        <w:tc>
          <w:tcPr>
            <w:tcW w:w="1560" w:type="dxa"/>
            <w:tcBorders>
              <w:top w:val="nil"/>
              <w:left w:val="nil"/>
              <w:bottom w:val="dotted" w:sz="4" w:space="0" w:color="auto"/>
              <w:right w:val="single" w:sz="4" w:space="0" w:color="auto"/>
            </w:tcBorders>
            <w:shd w:val="clear" w:color="auto" w:fill="auto"/>
            <w:noWrap/>
            <w:vAlign w:val="center"/>
            <w:hideMark/>
          </w:tcPr>
          <w:p w14:paraId="41AEACC7" w14:textId="77777777" w:rsidR="00247CBF" w:rsidRPr="00092ED7" w:rsidRDefault="00247CBF" w:rsidP="00247CBF">
            <w:pPr>
              <w:spacing w:after="0"/>
              <w:jc w:val="center"/>
              <w:rPr>
                <w:sz w:val="20"/>
                <w:szCs w:val="20"/>
                <w:lang w:val="sr-Cyrl-CS"/>
              </w:rPr>
            </w:pPr>
            <w:r w:rsidRPr="00092ED7">
              <w:rPr>
                <w:sz w:val="20"/>
                <w:szCs w:val="20"/>
                <w:lang w:val="sr-Cyrl-CS"/>
              </w:rPr>
              <w:t>D3</w:t>
            </w:r>
          </w:p>
        </w:tc>
        <w:tc>
          <w:tcPr>
            <w:tcW w:w="1126" w:type="dxa"/>
            <w:tcBorders>
              <w:top w:val="nil"/>
              <w:left w:val="single" w:sz="4" w:space="0" w:color="auto"/>
              <w:bottom w:val="dotted" w:sz="4" w:space="0" w:color="auto"/>
              <w:right w:val="single" w:sz="8" w:space="0" w:color="auto"/>
            </w:tcBorders>
            <w:shd w:val="clear" w:color="auto" w:fill="auto"/>
            <w:noWrap/>
            <w:vAlign w:val="center"/>
          </w:tcPr>
          <w:p w14:paraId="6527273B" w14:textId="77777777" w:rsidR="00247CBF" w:rsidRPr="00092ED7" w:rsidRDefault="00247CBF" w:rsidP="00247CBF">
            <w:pPr>
              <w:spacing w:after="0"/>
              <w:rPr>
                <w:rFonts w:cs="Times New Roman"/>
                <w:sz w:val="20"/>
                <w:szCs w:val="20"/>
                <w:lang w:val="sr-Cyrl-CS"/>
              </w:rPr>
            </w:pPr>
          </w:p>
        </w:tc>
        <w:tc>
          <w:tcPr>
            <w:tcW w:w="939" w:type="dxa"/>
            <w:tcBorders>
              <w:top w:val="nil"/>
              <w:left w:val="nil"/>
              <w:bottom w:val="dotted" w:sz="4" w:space="0" w:color="auto"/>
              <w:right w:val="single" w:sz="4" w:space="0" w:color="auto"/>
            </w:tcBorders>
            <w:shd w:val="clear" w:color="auto" w:fill="auto"/>
            <w:noWrap/>
            <w:vAlign w:val="center"/>
            <w:hideMark/>
          </w:tcPr>
          <w:p w14:paraId="2A18F394"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970" w:type="dxa"/>
            <w:tcBorders>
              <w:top w:val="nil"/>
              <w:left w:val="single" w:sz="4" w:space="0" w:color="auto"/>
              <w:bottom w:val="dotted" w:sz="4" w:space="0" w:color="auto"/>
              <w:right w:val="nil"/>
            </w:tcBorders>
            <w:shd w:val="clear" w:color="auto" w:fill="auto"/>
            <w:noWrap/>
            <w:vAlign w:val="center"/>
            <w:hideMark/>
          </w:tcPr>
          <w:p w14:paraId="1A4532E2"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970" w:type="dxa"/>
            <w:tcBorders>
              <w:top w:val="nil"/>
              <w:left w:val="single" w:sz="4" w:space="0" w:color="auto"/>
              <w:bottom w:val="dotted" w:sz="4" w:space="0" w:color="auto"/>
              <w:right w:val="nil"/>
            </w:tcBorders>
            <w:shd w:val="clear" w:color="auto" w:fill="auto"/>
            <w:noWrap/>
            <w:vAlign w:val="center"/>
            <w:hideMark/>
          </w:tcPr>
          <w:p w14:paraId="6BBDD1D4"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970" w:type="dxa"/>
            <w:tcBorders>
              <w:top w:val="nil"/>
              <w:left w:val="single" w:sz="4" w:space="0" w:color="auto"/>
              <w:bottom w:val="dotted" w:sz="4" w:space="0" w:color="auto"/>
              <w:right w:val="nil"/>
            </w:tcBorders>
            <w:shd w:val="clear" w:color="auto" w:fill="auto"/>
            <w:noWrap/>
            <w:vAlign w:val="center"/>
            <w:hideMark/>
          </w:tcPr>
          <w:p w14:paraId="6C27A806"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829" w:type="dxa"/>
            <w:tcBorders>
              <w:top w:val="nil"/>
              <w:left w:val="single" w:sz="4" w:space="0" w:color="auto"/>
              <w:bottom w:val="dotted" w:sz="4" w:space="0" w:color="auto"/>
              <w:right w:val="double" w:sz="6" w:space="0" w:color="auto"/>
            </w:tcBorders>
            <w:shd w:val="clear" w:color="auto" w:fill="auto"/>
            <w:noWrap/>
            <w:vAlign w:val="center"/>
            <w:hideMark/>
          </w:tcPr>
          <w:p w14:paraId="4865F1AE" w14:textId="77777777" w:rsidR="00247CBF" w:rsidRPr="00092ED7" w:rsidRDefault="00247CBF" w:rsidP="00247CBF">
            <w:pPr>
              <w:spacing w:after="0"/>
              <w:jc w:val="right"/>
              <w:rPr>
                <w:sz w:val="20"/>
                <w:szCs w:val="20"/>
                <w:lang w:val="sr-Cyrl-CS"/>
              </w:rPr>
            </w:pPr>
            <w:r w:rsidRPr="00092ED7">
              <w:rPr>
                <w:sz w:val="20"/>
                <w:szCs w:val="20"/>
                <w:lang w:val="sr-Cyrl-CS"/>
              </w:rPr>
              <w:t>:</w:t>
            </w:r>
          </w:p>
        </w:tc>
      </w:tr>
      <w:tr w:rsidR="00247CBF" w:rsidRPr="00092ED7" w14:paraId="36DE99AB" w14:textId="77777777" w:rsidTr="00247CBF">
        <w:trPr>
          <w:trHeight w:val="284"/>
        </w:trPr>
        <w:tc>
          <w:tcPr>
            <w:tcW w:w="6214" w:type="dxa"/>
            <w:tcBorders>
              <w:top w:val="nil"/>
              <w:left w:val="double" w:sz="6" w:space="0" w:color="auto"/>
              <w:bottom w:val="dotted" w:sz="4" w:space="0" w:color="auto"/>
              <w:right w:val="single" w:sz="4" w:space="0" w:color="auto"/>
            </w:tcBorders>
            <w:shd w:val="clear" w:color="auto" w:fill="auto"/>
            <w:vAlign w:val="center"/>
            <w:hideMark/>
          </w:tcPr>
          <w:p w14:paraId="281624E1" w14:textId="77777777" w:rsidR="00247CBF" w:rsidRPr="00092ED7" w:rsidRDefault="00247CBF" w:rsidP="00247CBF">
            <w:pPr>
              <w:spacing w:after="0"/>
              <w:jc w:val="left"/>
              <w:rPr>
                <w:sz w:val="20"/>
                <w:szCs w:val="20"/>
                <w:lang w:val="sr-Cyrl-CS"/>
              </w:rPr>
            </w:pPr>
            <w:r w:rsidRPr="00092ED7">
              <w:rPr>
                <w:sz w:val="20"/>
                <w:szCs w:val="20"/>
                <w:lang w:val="sr-Cyrl-CS"/>
              </w:rPr>
              <w:t>Фискални стимулус - подстицај домаћој тражњи</w:t>
            </w:r>
          </w:p>
        </w:tc>
        <w:tc>
          <w:tcPr>
            <w:tcW w:w="1560" w:type="dxa"/>
            <w:tcBorders>
              <w:top w:val="nil"/>
              <w:left w:val="nil"/>
              <w:bottom w:val="dotted" w:sz="4" w:space="0" w:color="auto"/>
              <w:right w:val="single" w:sz="4" w:space="0" w:color="auto"/>
            </w:tcBorders>
            <w:shd w:val="clear" w:color="auto" w:fill="auto"/>
            <w:noWrap/>
            <w:vAlign w:val="center"/>
            <w:hideMark/>
          </w:tcPr>
          <w:p w14:paraId="7491A653" w14:textId="77777777" w:rsidR="00247CBF" w:rsidRPr="00092ED7" w:rsidRDefault="00247CBF" w:rsidP="00247CBF">
            <w:pPr>
              <w:spacing w:after="0"/>
              <w:jc w:val="center"/>
              <w:rPr>
                <w:sz w:val="20"/>
                <w:szCs w:val="20"/>
                <w:lang w:val="sr-Cyrl-CS"/>
              </w:rPr>
            </w:pPr>
            <w:r w:rsidRPr="00092ED7">
              <w:rPr>
                <w:sz w:val="20"/>
                <w:szCs w:val="20"/>
                <w:lang w:val="sr-Cyrl-CS"/>
              </w:rPr>
              <w:t>D7</w:t>
            </w:r>
          </w:p>
        </w:tc>
        <w:tc>
          <w:tcPr>
            <w:tcW w:w="1126" w:type="dxa"/>
            <w:tcBorders>
              <w:top w:val="nil"/>
              <w:left w:val="single" w:sz="4" w:space="0" w:color="auto"/>
              <w:bottom w:val="dotted" w:sz="4" w:space="0" w:color="auto"/>
              <w:right w:val="single" w:sz="8" w:space="0" w:color="auto"/>
            </w:tcBorders>
            <w:shd w:val="clear" w:color="auto" w:fill="auto"/>
            <w:vAlign w:val="center"/>
          </w:tcPr>
          <w:p w14:paraId="12A6AF26" w14:textId="77777777" w:rsidR="00247CBF" w:rsidRPr="00092ED7" w:rsidRDefault="00247CBF" w:rsidP="00247CBF">
            <w:pPr>
              <w:spacing w:after="0"/>
              <w:rPr>
                <w:rFonts w:cs="Times New Roman"/>
                <w:sz w:val="20"/>
                <w:szCs w:val="20"/>
                <w:lang w:val="sr-Cyrl-CS"/>
              </w:rPr>
            </w:pPr>
          </w:p>
        </w:tc>
        <w:tc>
          <w:tcPr>
            <w:tcW w:w="939" w:type="dxa"/>
            <w:tcBorders>
              <w:top w:val="nil"/>
              <w:left w:val="nil"/>
              <w:bottom w:val="dotted" w:sz="4" w:space="0" w:color="auto"/>
              <w:right w:val="single" w:sz="4" w:space="0" w:color="auto"/>
            </w:tcBorders>
            <w:shd w:val="clear" w:color="auto" w:fill="auto"/>
            <w:noWrap/>
            <w:vAlign w:val="center"/>
            <w:hideMark/>
          </w:tcPr>
          <w:p w14:paraId="1F99F4FC" w14:textId="77777777" w:rsidR="00247CBF" w:rsidRPr="00092ED7" w:rsidRDefault="00247CBF" w:rsidP="00247CBF">
            <w:pPr>
              <w:spacing w:after="0"/>
              <w:jc w:val="right"/>
              <w:rPr>
                <w:sz w:val="20"/>
                <w:szCs w:val="20"/>
                <w:lang w:val="sr-Cyrl-CS"/>
              </w:rPr>
            </w:pPr>
            <w:r w:rsidRPr="00092ED7">
              <w:rPr>
                <w:sz w:val="20"/>
                <w:szCs w:val="20"/>
                <w:lang w:val="sr-Cyrl-CS"/>
              </w:rPr>
              <w:t>0,2</w:t>
            </w:r>
          </w:p>
        </w:tc>
        <w:tc>
          <w:tcPr>
            <w:tcW w:w="970" w:type="dxa"/>
            <w:tcBorders>
              <w:top w:val="nil"/>
              <w:left w:val="single" w:sz="4" w:space="0" w:color="auto"/>
              <w:bottom w:val="dotted" w:sz="4" w:space="0" w:color="auto"/>
              <w:right w:val="nil"/>
            </w:tcBorders>
            <w:shd w:val="clear" w:color="auto" w:fill="auto"/>
            <w:noWrap/>
            <w:vAlign w:val="center"/>
            <w:hideMark/>
          </w:tcPr>
          <w:p w14:paraId="70583984"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970" w:type="dxa"/>
            <w:tcBorders>
              <w:top w:val="nil"/>
              <w:left w:val="single" w:sz="4" w:space="0" w:color="auto"/>
              <w:bottom w:val="dotted" w:sz="4" w:space="0" w:color="auto"/>
              <w:right w:val="nil"/>
            </w:tcBorders>
            <w:shd w:val="clear" w:color="auto" w:fill="auto"/>
            <w:noWrap/>
            <w:vAlign w:val="center"/>
            <w:hideMark/>
          </w:tcPr>
          <w:p w14:paraId="03A37238"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970" w:type="dxa"/>
            <w:tcBorders>
              <w:top w:val="nil"/>
              <w:left w:val="single" w:sz="4" w:space="0" w:color="auto"/>
              <w:bottom w:val="dotted" w:sz="4" w:space="0" w:color="auto"/>
              <w:right w:val="nil"/>
            </w:tcBorders>
            <w:shd w:val="clear" w:color="auto" w:fill="auto"/>
            <w:noWrap/>
            <w:vAlign w:val="center"/>
            <w:hideMark/>
          </w:tcPr>
          <w:p w14:paraId="30618C29"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829" w:type="dxa"/>
            <w:tcBorders>
              <w:top w:val="nil"/>
              <w:left w:val="single" w:sz="4" w:space="0" w:color="auto"/>
              <w:bottom w:val="dotted" w:sz="4" w:space="0" w:color="auto"/>
              <w:right w:val="double" w:sz="6" w:space="0" w:color="auto"/>
            </w:tcBorders>
            <w:shd w:val="clear" w:color="auto" w:fill="auto"/>
            <w:noWrap/>
            <w:vAlign w:val="center"/>
            <w:hideMark/>
          </w:tcPr>
          <w:p w14:paraId="294AD51E" w14:textId="77777777" w:rsidR="00247CBF" w:rsidRPr="00092ED7" w:rsidRDefault="00247CBF" w:rsidP="00247CBF">
            <w:pPr>
              <w:spacing w:after="0"/>
              <w:jc w:val="right"/>
              <w:rPr>
                <w:sz w:val="20"/>
                <w:szCs w:val="20"/>
                <w:lang w:val="sr-Cyrl-CS"/>
              </w:rPr>
            </w:pPr>
            <w:r w:rsidRPr="00092ED7">
              <w:rPr>
                <w:sz w:val="20"/>
                <w:szCs w:val="20"/>
                <w:lang w:val="sr-Cyrl-CS"/>
              </w:rPr>
              <w:t>:</w:t>
            </w:r>
          </w:p>
        </w:tc>
      </w:tr>
      <w:tr w:rsidR="00247CBF" w:rsidRPr="00092ED7" w14:paraId="218C627D" w14:textId="77777777" w:rsidTr="00247CBF">
        <w:trPr>
          <w:trHeight w:val="284"/>
        </w:trPr>
        <w:tc>
          <w:tcPr>
            <w:tcW w:w="6214" w:type="dxa"/>
            <w:tcBorders>
              <w:top w:val="nil"/>
              <w:left w:val="double" w:sz="6" w:space="0" w:color="auto"/>
              <w:bottom w:val="dotted" w:sz="4" w:space="0" w:color="auto"/>
              <w:right w:val="single" w:sz="4" w:space="0" w:color="auto"/>
            </w:tcBorders>
            <w:shd w:val="clear" w:color="auto" w:fill="auto"/>
            <w:vAlign w:val="center"/>
            <w:hideMark/>
          </w:tcPr>
          <w:p w14:paraId="14BA10B0" w14:textId="77777777" w:rsidR="00247CBF" w:rsidRPr="00092ED7" w:rsidRDefault="00247CBF" w:rsidP="00247CBF">
            <w:pPr>
              <w:spacing w:after="0"/>
              <w:jc w:val="left"/>
              <w:rPr>
                <w:sz w:val="20"/>
                <w:szCs w:val="20"/>
                <w:lang w:val="sr-Cyrl-CS"/>
              </w:rPr>
            </w:pPr>
            <w:r w:rsidRPr="00092ED7">
              <w:rPr>
                <w:sz w:val="20"/>
                <w:szCs w:val="20"/>
                <w:lang w:val="sr-Cyrl-CS"/>
              </w:rPr>
              <w:t>Мораторијум на исплату дивиденди</w:t>
            </w:r>
          </w:p>
        </w:tc>
        <w:tc>
          <w:tcPr>
            <w:tcW w:w="1560" w:type="dxa"/>
            <w:tcBorders>
              <w:top w:val="nil"/>
              <w:left w:val="nil"/>
              <w:bottom w:val="dotted" w:sz="4" w:space="0" w:color="auto"/>
              <w:right w:val="single" w:sz="4" w:space="0" w:color="auto"/>
            </w:tcBorders>
            <w:shd w:val="clear" w:color="auto" w:fill="auto"/>
            <w:noWrap/>
            <w:vAlign w:val="center"/>
            <w:hideMark/>
          </w:tcPr>
          <w:p w14:paraId="411EE211" w14:textId="77777777" w:rsidR="00247CBF" w:rsidRPr="00092ED7" w:rsidRDefault="00247CBF" w:rsidP="00247CBF">
            <w:pPr>
              <w:spacing w:after="0"/>
              <w:jc w:val="center"/>
              <w:rPr>
                <w:sz w:val="20"/>
                <w:szCs w:val="20"/>
                <w:lang w:val="sr-Cyrl-CS"/>
              </w:rPr>
            </w:pPr>
            <w:r w:rsidRPr="00092ED7">
              <w:rPr>
                <w:sz w:val="20"/>
                <w:szCs w:val="20"/>
                <w:lang w:val="sr-Cyrl-CS"/>
              </w:rPr>
              <w:t>D5</w:t>
            </w:r>
          </w:p>
        </w:tc>
        <w:tc>
          <w:tcPr>
            <w:tcW w:w="1126" w:type="dxa"/>
            <w:tcBorders>
              <w:top w:val="nil"/>
              <w:left w:val="single" w:sz="4" w:space="0" w:color="auto"/>
              <w:bottom w:val="dotted" w:sz="4" w:space="0" w:color="auto"/>
              <w:right w:val="single" w:sz="8" w:space="0" w:color="auto"/>
            </w:tcBorders>
            <w:shd w:val="clear" w:color="auto" w:fill="auto"/>
            <w:noWrap/>
            <w:vAlign w:val="center"/>
          </w:tcPr>
          <w:p w14:paraId="58D36D82" w14:textId="77777777" w:rsidR="00247CBF" w:rsidRPr="00092ED7" w:rsidRDefault="00247CBF" w:rsidP="00247CBF">
            <w:pPr>
              <w:spacing w:after="0"/>
              <w:rPr>
                <w:rFonts w:cs="Times New Roman"/>
                <w:sz w:val="20"/>
                <w:szCs w:val="20"/>
                <w:lang w:val="sr-Cyrl-CS"/>
              </w:rPr>
            </w:pPr>
          </w:p>
        </w:tc>
        <w:tc>
          <w:tcPr>
            <w:tcW w:w="939" w:type="dxa"/>
            <w:tcBorders>
              <w:top w:val="nil"/>
              <w:left w:val="nil"/>
              <w:bottom w:val="dotted" w:sz="4" w:space="0" w:color="auto"/>
              <w:right w:val="single" w:sz="4" w:space="0" w:color="auto"/>
            </w:tcBorders>
            <w:shd w:val="clear" w:color="auto" w:fill="auto"/>
            <w:noWrap/>
            <w:vAlign w:val="center"/>
            <w:hideMark/>
          </w:tcPr>
          <w:p w14:paraId="421CEB12"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970" w:type="dxa"/>
            <w:tcBorders>
              <w:top w:val="nil"/>
              <w:left w:val="single" w:sz="4" w:space="0" w:color="auto"/>
              <w:bottom w:val="dotted" w:sz="4" w:space="0" w:color="auto"/>
              <w:right w:val="nil"/>
            </w:tcBorders>
            <w:shd w:val="clear" w:color="auto" w:fill="auto"/>
            <w:noWrap/>
            <w:vAlign w:val="center"/>
            <w:hideMark/>
          </w:tcPr>
          <w:p w14:paraId="6A72D905"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970" w:type="dxa"/>
            <w:tcBorders>
              <w:top w:val="nil"/>
              <w:left w:val="single" w:sz="4" w:space="0" w:color="auto"/>
              <w:bottom w:val="dotted" w:sz="4" w:space="0" w:color="auto"/>
              <w:right w:val="nil"/>
            </w:tcBorders>
            <w:shd w:val="clear" w:color="auto" w:fill="auto"/>
            <w:noWrap/>
            <w:vAlign w:val="center"/>
            <w:hideMark/>
          </w:tcPr>
          <w:p w14:paraId="52FC7998"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970" w:type="dxa"/>
            <w:tcBorders>
              <w:top w:val="nil"/>
              <w:left w:val="single" w:sz="4" w:space="0" w:color="auto"/>
              <w:bottom w:val="dotted" w:sz="4" w:space="0" w:color="auto"/>
              <w:right w:val="nil"/>
            </w:tcBorders>
            <w:shd w:val="clear" w:color="auto" w:fill="auto"/>
            <w:noWrap/>
            <w:vAlign w:val="center"/>
            <w:hideMark/>
          </w:tcPr>
          <w:p w14:paraId="3AD1A1D2"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829" w:type="dxa"/>
            <w:tcBorders>
              <w:top w:val="nil"/>
              <w:left w:val="single" w:sz="4" w:space="0" w:color="auto"/>
              <w:bottom w:val="dotted" w:sz="4" w:space="0" w:color="auto"/>
              <w:right w:val="double" w:sz="6" w:space="0" w:color="auto"/>
            </w:tcBorders>
            <w:shd w:val="clear" w:color="auto" w:fill="auto"/>
            <w:noWrap/>
            <w:vAlign w:val="center"/>
            <w:hideMark/>
          </w:tcPr>
          <w:p w14:paraId="1739DAD2" w14:textId="77777777" w:rsidR="00247CBF" w:rsidRPr="00092ED7" w:rsidRDefault="00247CBF" w:rsidP="00247CBF">
            <w:pPr>
              <w:spacing w:after="0"/>
              <w:jc w:val="right"/>
              <w:rPr>
                <w:sz w:val="20"/>
                <w:szCs w:val="20"/>
                <w:lang w:val="sr-Cyrl-CS"/>
              </w:rPr>
            </w:pPr>
            <w:r w:rsidRPr="00092ED7">
              <w:rPr>
                <w:sz w:val="20"/>
                <w:szCs w:val="20"/>
                <w:lang w:val="sr-Cyrl-CS"/>
              </w:rPr>
              <w:t>:</w:t>
            </w:r>
          </w:p>
        </w:tc>
      </w:tr>
      <w:tr w:rsidR="00247CBF" w:rsidRPr="00092ED7" w14:paraId="46197E11" w14:textId="77777777" w:rsidTr="00247CBF">
        <w:trPr>
          <w:trHeight w:val="284"/>
        </w:trPr>
        <w:tc>
          <w:tcPr>
            <w:tcW w:w="6214" w:type="dxa"/>
            <w:tcBorders>
              <w:top w:val="nil"/>
              <w:left w:val="double" w:sz="6" w:space="0" w:color="auto"/>
              <w:bottom w:val="dotted" w:sz="4" w:space="0" w:color="auto"/>
              <w:right w:val="single" w:sz="4" w:space="0" w:color="auto"/>
            </w:tcBorders>
            <w:shd w:val="clear" w:color="auto" w:fill="auto"/>
            <w:vAlign w:val="center"/>
            <w:hideMark/>
          </w:tcPr>
          <w:p w14:paraId="21AB11BB" w14:textId="77777777" w:rsidR="00247CBF" w:rsidRPr="00092ED7" w:rsidRDefault="00247CBF" w:rsidP="00247CBF">
            <w:pPr>
              <w:spacing w:after="0"/>
              <w:jc w:val="left"/>
              <w:rPr>
                <w:sz w:val="20"/>
                <w:szCs w:val="20"/>
                <w:lang w:val="sr-Cyrl-CS"/>
              </w:rPr>
            </w:pPr>
            <w:r w:rsidRPr="00092ED7">
              <w:rPr>
                <w:sz w:val="20"/>
                <w:szCs w:val="20"/>
                <w:lang w:val="sr-Cyrl-CS"/>
              </w:rPr>
              <w:t>Помоћ пензионерима</w:t>
            </w:r>
          </w:p>
        </w:tc>
        <w:tc>
          <w:tcPr>
            <w:tcW w:w="1560" w:type="dxa"/>
            <w:tcBorders>
              <w:top w:val="nil"/>
              <w:left w:val="nil"/>
              <w:bottom w:val="dotted" w:sz="4" w:space="0" w:color="auto"/>
              <w:right w:val="single" w:sz="4" w:space="0" w:color="auto"/>
            </w:tcBorders>
            <w:shd w:val="clear" w:color="auto" w:fill="auto"/>
            <w:noWrap/>
            <w:vAlign w:val="center"/>
            <w:hideMark/>
          </w:tcPr>
          <w:p w14:paraId="3AD3EEE0" w14:textId="77777777" w:rsidR="00247CBF" w:rsidRPr="00092ED7" w:rsidRDefault="00247CBF" w:rsidP="00247CBF">
            <w:pPr>
              <w:spacing w:after="0"/>
              <w:jc w:val="center"/>
              <w:rPr>
                <w:sz w:val="20"/>
                <w:szCs w:val="20"/>
                <w:lang w:val="sr-Cyrl-CS"/>
              </w:rPr>
            </w:pPr>
            <w:r w:rsidRPr="00092ED7">
              <w:rPr>
                <w:sz w:val="20"/>
                <w:szCs w:val="20"/>
                <w:lang w:val="sr-Cyrl-CS"/>
              </w:rPr>
              <w:t>D62</w:t>
            </w:r>
          </w:p>
        </w:tc>
        <w:tc>
          <w:tcPr>
            <w:tcW w:w="1126" w:type="dxa"/>
            <w:tcBorders>
              <w:top w:val="nil"/>
              <w:left w:val="single" w:sz="4" w:space="0" w:color="auto"/>
              <w:bottom w:val="dotted" w:sz="4" w:space="0" w:color="auto"/>
              <w:right w:val="single" w:sz="8" w:space="0" w:color="auto"/>
            </w:tcBorders>
            <w:shd w:val="clear" w:color="auto" w:fill="auto"/>
            <w:vAlign w:val="center"/>
          </w:tcPr>
          <w:p w14:paraId="6F7FED33" w14:textId="77777777" w:rsidR="00247CBF" w:rsidRPr="00092ED7" w:rsidRDefault="00247CBF" w:rsidP="00247CBF">
            <w:pPr>
              <w:spacing w:after="0"/>
              <w:rPr>
                <w:rFonts w:cs="Times New Roman"/>
                <w:sz w:val="20"/>
                <w:szCs w:val="20"/>
                <w:lang w:val="sr-Cyrl-CS"/>
              </w:rPr>
            </w:pPr>
          </w:p>
        </w:tc>
        <w:tc>
          <w:tcPr>
            <w:tcW w:w="939" w:type="dxa"/>
            <w:tcBorders>
              <w:top w:val="nil"/>
              <w:left w:val="nil"/>
              <w:bottom w:val="dotted" w:sz="4" w:space="0" w:color="auto"/>
              <w:right w:val="single" w:sz="4" w:space="0" w:color="auto"/>
            </w:tcBorders>
            <w:shd w:val="clear" w:color="auto" w:fill="auto"/>
            <w:noWrap/>
            <w:vAlign w:val="center"/>
            <w:hideMark/>
          </w:tcPr>
          <w:p w14:paraId="19BBB7F6" w14:textId="77777777" w:rsidR="00247CBF" w:rsidRPr="00092ED7" w:rsidRDefault="00247CBF" w:rsidP="00247CBF">
            <w:pPr>
              <w:spacing w:after="0"/>
              <w:jc w:val="right"/>
              <w:rPr>
                <w:sz w:val="20"/>
                <w:szCs w:val="20"/>
                <w:lang w:val="sr-Cyrl-CS"/>
              </w:rPr>
            </w:pPr>
            <w:r w:rsidRPr="00092ED7">
              <w:rPr>
                <w:sz w:val="20"/>
                <w:szCs w:val="20"/>
                <w:lang w:val="sr-Cyrl-CS"/>
              </w:rPr>
              <w:t>0,1</w:t>
            </w:r>
          </w:p>
        </w:tc>
        <w:tc>
          <w:tcPr>
            <w:tcW w:w="970" w:type="dxa"/>
            <w:tcBorders>
              <w:top w:val="nil"/>
              <w:left w:val="single" w:sz="4" w:space="0" w:color="auto"/>
              <w:bottom w:val="dotted" w:sz="4" w:space="0" w:color="auto"/>
              <w:right w:val="nil"/>
            </w:tcBorders>
            <w:shd w:val="clear" w:color="auto" w:fill="auto"/>
            <w:noWrap/>
            <w:vAlign w:val="center"/>
            <w:hideMark/>
          </w:tcPr>
          <w:p w14:paraId="518D2AB6" w14:textId="77777777" w:rsidR="00247CBF" w:rsidRPr="00092ED7" w:rsidRDefault="00247CBF" w:rsidP="00247CBF">
            <w:pPr>
              <w:spacing w:after="0"/>
              <w:jc w:val="right"/>
              <w:rPr>
                <w:sz w:val="20"/>
                <w:szCs w:val="20"/>
                <w:lang w:val="sr-Cyrl-CS"/>
              </w:rPr>
            </w:pPr>
            <w:r w:rsidRPr="00092ED7">
              <w:rPr>
                <w:sz w:val="20"/>
                <w:szCs w:val="20"/>
                <w:lang w:val="sr-Cyrl-CS"/>
              </w:rPr>
              <w:t>-0,3</w:t>
            </w:r>
          </w:p>
        </w:tc>
        <w:tc>
          <w:tcPr>
            <w:tcW w:w="970" w:type="dxa"/>
            <w:tcBorders>
              <w:top w:val="nil"/>
              <w:left w:val="single" w:sz="4" w:space="0" w:color="auto"/>
              <w:bottom w:val="dotted" w:sz="4" w:space="0" w:color="auto"/>
              <w:right w:val="nil"/>
            </w:tcBorders>
            <w:shd w:val="clear" w:color="auto" w:fill="auto"/>
            <w:noWrap/>
            <w:vAlign w:val="center"/>
            <w:hideMark/>
          </w:tcPr>
          <w:p w14:paraId="2FAC79DC"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970" w:type="dxa"/>
            <w:tcBorders>
              <w:top w:val="nil"/>
              <w:left w:val="single" w:sz="4" w:space="0" w:color="auto"/>
              <w:bottom w:val="dotted" w:sz="4" w:space="0" w:color="auto"/>
              <w:right w:val="nil"/>
            </w:tcBorders>
            <w:shd w:val="clear" w:color="auto" w:fill="auto"/>
            <w:noWrap/>
            <w:vAlign w:val="center"/>
            <w:hideMark/>
          </w:tcPr>
          <w:p w14:paraId="06CBBC6D"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829" w:type="dxa"/>
            <w:tcBorders>
              <w:top w:val="nil"/>
              <w:left w:val="single" w:sz="4" w:space="0" w:color="auto"/>
              <w:bottom w:val="dotted" w:sz="4" w:space="0" w:color="auto"/>
              <w:right w:val="double" w:sz="6" w:space="0" w:color="auto"/>
            </w:tcBorders>
            <w:shd w:val="clear" w:color="auto" w:fill="auto"/>
            <w:noWrap/>
            <w:vAlign w:val="center"/>
            <w:hideMark/>
          </w:tcPr>
          <w:p w14:paraId="51084A5C" w14:textId="77777777" w:rsidR="00247CBF" w:rsidRPr="00092ED7" w:rsidRDefault="00247CBF" w:rsidP="00247CBF">
            <w:pPr>
              <w:spacing w:after="0"/>
              <w:jc w:val="right"/>
              <w:rPr>
                <w:sz w:val="20"/>
                <w:szCs w:val="20"/>
                <w:lang w:val="sr-Cyrl-CS"/>
              </w:rPr>
            </w:pPr>
            <w:r w:rsidRPr="00092ED7">
              <w:rPr>
                <w:sz w:val="20"/>
                <w:szCs w:val="20"/>
                <w:lang w:val="sr-Cyrl-CS"/>
              </w:rPr>
              <w:t>:</w:t>
            </w:r>
          </w:p>
        </w:tc>
      </w:tr>
      <w:tr w:rsidR="00247CBF" w:rsidRPr="00092ED7" w14:paraId="22AEEAA5" w14:textId="77777777" w:rsidTr="00FB09AE">
        <w:trPr>
          <w:trHeight w:val="284"/>
        </w:trPr>
        <w:tc>
          <w:tcPr>
            <w:tcW w:w="6214" w:type="dxa"/>
            <w:tcBorders>
              <w:top w:val="nil"/>
              <w:left w:val="double" w:sz="6" w:space="0" w:color="auto"/>
              <w:bottom w:val="dotted" w:sz="4" w:space="0" w:color="auto"/>
              <w:right w:val="single" w:sz="4" w:space="0" w:color="auto"/>
            </w:tcBorders>
            <w:shd w:val="clear" w:color="auto" w:fill="auto"/>
            <w:vAlign w:val="center"/>
            <w:hideMark/>
          </w:tcPr>
          <w:p w14:paraId="5B06396D" w14:textId="77777777" w:rsidR="00247CBF" w:rsidRPr="00092ED7" w:rsidRDefault="00247CBF" w:rsidP="00FB09AE">
            <w:pPr>
              <w:spacing w:after="0"/>
              <w:rPr>
                <w:sz w:val="20"/>
                <w:szCs w:val="20"/>
                <w:lang w:val="sr-Cyrl-CS"/>
              </w:rPr>
            </w:pPr>
            <w:r w:rsidRPr="00092ED7">
              <w:rPr>
                <w:sz w:val="20"/>
                <w:szCs w:val="20"/>
                <w:lang w:val="sr-Cyrl-CS"/>
              </w:rPr>
              <w:t>Помоћ незапосленима</w:t>
            </w:r>
          </w:p>
        </w:tc>
        <w:tc>
          <w:tcPr>
            <w:tcW w:w="1560" w:type="dxa"/>
            <w:tcBorders>
              <w:top w:val="nil"/>
              <w:left w:val="nil"/>
              <w:bottom w:val="dotted" w:sz="4" w:space="0" w:color="auto"/>
              <w:right w:val="single" w:sz="4" w:space="0" w:color="auto"/>
            </w:tcBorders>
            <w:shd w:val="clear" w:color="auto" w:fill="auto"/>
            <w:noWrap/>
            <w:vAlign w:val="center"/>
            <w:hideMark/>
          </w:tcPr>
          <w:p w14:paraId="18D5EFFA" w14:textId="77777777" w:rsidR="00247CBF" w:rsidRPr="00092ED7" w:rsidRDefault="00247CBF" w:rsidP="00FB09AE">
            <w:pPr>
              <w:spacing w:after="0"/>
              <w:jc w:val="center"/>
              <w:rPr>
                <w:sz w:val="20"/>
                <w:szCs w:val="20"/>
                <w:lang w:val="sr-Cyrl-CS"/>
              </w:rPr>
            </w:pPr>
            <w:r w:rsidRPr="00092ED7">
              <w:rPr>
                <w:sz w:val="20"/>
                <w:szCs w:val="20"/>
                <w:lang w:val="sr-Cyrl-CS"/>
              </w:rPr>
              <w:t>D63</w:t>
            </w:r>
          </w:p>
        </w:tc>
        <w:tc>
          <w:tcPr>
            <w:tcW w:w="1126" w:type="dxa"/>
            <w:tcBorders>
              <w:top w:val="nil"/>
              <w:left w:val="single" w:sz="4" w:space="0" w:color="auto"/>
              <w:bottom w:val="dotted" w:sz="4" w:space="0" w:color="auto"/>
              <w:right w:val="single" w:sz="8" w:space="0" w:color="auto"/>
            </w:tcBorders>
            <w:shd w:val="clear" w:color="auto" w:fill="auto"/>
            <w:noWrap/>
            <w:vAlign w:val="center"/>
          </w:tcPr>
          <w:p w14:paraId="62641A71" w14:textId="77777777" w:rsidR="00247CBF" w:rsidRPr="00092ED7" w:rsidRDefault="00247CBF" w:rsidP="00FB09AE">
            <w:pPr>
              <w:spacing w:after="0"/>
              <w:rPr>
                <w:rFonts w:cs="Times New Roman"/>
                <w:sz w:val="20"/>
                <w:szCs w:val="20"/>
                <w:lang w:val="sr-Cyrl-CS"/>
              </w:rPr>
            </w:pPr>
          </w:p>
        </w:tc>
        <w:tc>
          <w:tcPr>
            <w:tcW w:w="939" w:type="dxa"/>
            <w:tcBorders>
              <w:top w:val="nil"/>
              <w:left w:val="nil"/>
              <w:bottom w:val="dotted" w:sz="4" w:space="0" w:color="auto"/>
              <w:right w:val="single" w:sz="4" w:space="0" w:color="auto"/>
            </w:tcBorders>
            <w:shd w:val="clear" w:color="auto" w:fill="auto"/>
            <w:noWrap/>
            <w:vAlign w:val="center"/>
            <w:hideMark/>
          </w:tcPr>
          <w:p w14:paraId="35574BF9" w14:textId="77777777" w:rsidR="00247CBF" w:rsidRPr="00092ED7" w:rsidRDefault="00247CBF" w:rsidP="00FB09AE">
            <w:pPr>
              <w:spacing w:after="0"/>
              <w:jc w:val="right"/>
              <w:rPr>
                <w:sz w:val="20"/>
                <w:szCs w:val="20"/>
                <w:lang w:val="sr-Cyrl-CS"/>
              </w:rPr>
            </w:pPr>
            <w:r w:rsidRPr="00092ED7">
              <w:rPr>
                <w:sz w:val="20"/>
                <w:szCs w:val="20"/>
                <w:lang w:val="sr-Cyrl-CS"/>
              </w:rPr>
              <w:t>-0,1</w:t>
            </w:r>
          </w:p>
        </w:tc>
        <w:tc>
          <w:tcPr>
            <w:tcW w:w="970" w:type="dxa"/>
            <w:tcBorders>
              <w:top w:val="nil"/>
              <w:left w:val="single" w:sz="4" w:space="0" w:color="auto"/>
              <w:bottom w:val="dotted" w:sz="4" w:space="0" w:color="auto"/>
              <w:right w:val="nil"/>
            </w:tcBorders>
            <w:shd w:val="clear" w:color="auto" w:fill="auto"/>
            <w:noWrap/>
            <w:vAlign w:val="center"/>
            <w:hideMark/>
          </w:tcPr>
          <w:p w14:paraId="710A7103" w14:textId="77777777" w:rsidR="00247CBF" w:rsidRPr="00092ED7" w:rsidRDefault="00247CBF" w:rsidP="00FB09AE">
            <w:pPr>
              <w:spacing w:after="0"/>
              <w:jc w:val="right"/>
              <w:rPr>
                <w:sz w:val="20"/>
                <w:szCs w:val="20"/>
                <w:lang w:val="sr-Cyrl-CS"/>
              </w:rPr>
            </w:pPr>
            <w:r w:rsidRPr="00092ED7">
              <w:rPr>
                <w:sz w:val="20"/>
                <w:szCs w:val="20"/>
                <w:lang w:val="sr-Cyrl-CS"/>
              </w:rPr>
              <w:t>:</w:t>
            </w:r>
          </w:p>
        </w:tc>
        <w:tc>
          <w:tcPr>
            <w:tcW w:w="970" w:type="dxa"/>
            <w:tcBorders>
              <w:top w:val="nil"/>
              <w:left w:val="single" w:sz="4" w:space="0" w:color="auto"/>
              <w:bottom w:val="dotted" w:sz="4" w:space="0" w:color="auto"/>
              <w:right w:val="nil"/>
            </w:tcBorders>
            <w:shd w:val="clear" w:color="auto" w:fill="auto"/>
            <w:noWrap/>
            <w:vAlign w:val="center"/>
            <w:hideMark/>
          </w:tcPr>
          <w:p w14:paraId="389E6CF6" w14:textId="77777777" w:rsidR="00247CBF" w:rsidRPr="00092ED7" w:rsidRDefault="00247CBF" w:rsidP="00FB09AE">
            <w:pPr>
              <w:spacing w:after="0"/>
              <w:jc w:val="right"/>
              <w:rPr>
                <w:sz w:val="20"/>
                <w:szCs w:val="20"/>
                <w:lang w:val="sr-Cyrl-CS"/>
              </w:rPr>
            </w:pPr>
            <w:r w:rsidRPr="00092ED7">
              <w:rPr>
                <w:sz w:val="20"/>
                <w:szCs w:val="20"/>
                <w:lang w:val="sr-Cyrl-CS"/>
              </w:rPr>
              <w:t>:</w:t>
            </w:r>
          </w:p>
        </w:tc>
        <w:tc>
          <w:tcPr>
            <w:tcW w:w="970" w:type="dxa"/>
            <w:tcBorders>
              <w:top w:val="nil"/>
              <w:left w:val="single" w:sz="4" w:space="0" w:color="auto"/>
              <w:bottom w:val="dotted" w:sz="4" w:space="0" w:color="auto"/>
              <w:right w:val="nil"/>
            </w:tcBorders>
            <w:shd w:val="clear" w:color="auto" w:fill="auto"/>
            <w:noWrap/>
            <w:vAlign w:val="center"/>
            <w:hideMark/>
          </w:tcPr>
          <w:p w14:paraId="30C6F05C" w14:textId="77777777" w:rsidR="00247CBF" w:rsidRPr="00092ED7" w:rsidRDefault="00247CBF" w:rsidP="00FB09AE">
            <w:pPr>
              <w:spacing w:after="0"/>
              <w:jc w:val="right"/>
              <w:rPr>
                <w:sz w:val="20"/>
                <w:szCs w:val="20"/>
                <w:lang w:val="sr-Cyrl-CS"/>
              </w:rPr>
            </w:pPr>
            <w:r w:rsidRPr="00092ED7">
              <w:rPr>
                <w:sz w:val="20"/>
                <w:szCs w:val="20"/>
                <w:lang w:val="sr-Cyrl-CS"/>
              </w:rPr>
              <w:t>:</w:t>
            </w:r>
          </w:p>
        </w:tc>
        <w:tc>
          <w:tcPr>
            <w:tcW w:w="829" w:type="dxa"/>
            <w:tcBorders>
              <w:top w:val="nil"/>
              <w:left w:val="single" w:sz="4" w:space="0" w:color="auto"/>
              <w:bottom w:val="dotted" w:sz="4" w:space="0" w:color="auto"/>
              <w:right w:val="double" w:sz="6" w:space="0" w:color="auto"/>
            </w:tcBorders>
            <w:shd w:val="clear" w:color="auto" w:fill="auto"/>
            <w:noWrap/>
            <w:vAlign w:val="center"/>
            <w:hideMark/>
          </w:tcPr>
          <w:p w14:paraId="5AFFCED7" w14:textId="77777777" w:rsidR="00247CBF" w:rsidRPr="00092ED7" w:rsidRDefault="00247CBF" w:rsidP="00FB09AE">
            <w:pPr>
              <w:spacing w:after="0"/>
              <w:jc w:val="right"/>
              <w:rPr>
                <w:sz w:val="20"/>
                <w:szCs w:val="20"/>
                <w:lang w:val="sr-Cyrl-CS"/>
              </w:rPr>
            </w:pPr>
            <w:r w:rsidRPr="00092ED7">
              <w:rPr>
                <w:sz w:val="20"/>
                <w:szCs w:val="20"/>
                <w:lang w:val="sr-Cyrl-CS"/>
              </w:rPr>
              <w:t>:</w:t>
            </w:r>
          </w:p>
        </w:tc>
      </w:tr>
      <w:tr w:rsidR="00247CBF" w:rsidRPr="00092ED7" w14:paraId="510C0707" w14:textId="77777777" w:rsidTr="00FB09AE">
        <w:trPr>
          <w:trHeight w:val="284"/>
        </w:trPr>
        <w:tc>
          <w:tcPr>
            <w:tcW w:w="6214" w:type="dxa"/>
            <w:tcBorders>
              <w:top w:val="nil"/>
              <w:left w:val="double" w:sz="6" w:space="0" w:color="auto"/>
              <w:bottom w:val="dotted" w:sz="4" w:space="0" w:color="auto"/>
              <w:right w:val="single" w:sz="4" w:space="0" w:color="auto"/>
            </w:tcBorders>
            <w:shd w:val="clear" w:color="auto" w:fill="auto"/>
            <w:vAlign w:val="center"/>
            <w:hideMark/>
          </w:tcPr>
          <w:p w14:paraId="2B6C7BEF" w14:textId="77777777" w:rsidR="00247CBF" w:rsidRPr="00092ED7" w:rsidRDefault="00247CBF" w:rsidP="00FB09AE">
            <w:pPr>
              <w:spacing w:after="0"/>
              <w:rPr>
                <w:sz w:val="20"/>
                <w:szCs w:val="20"/>
                <w:lang w:val="sr-Cyrl-CS"/>
              </w:rPr>
            </w:pPr>
            <w:r w:rsidRPr="00092ED7">
              <w:rPr>
                <w:sz w:val="20"/>
                <w:szCs w:val="20"/>
                <w:lang w:val="sr-Cyrl-CS"/>
              </w:rPr>
              <w:t>Помоћ младима</w:t>
            </w:r>
          </w:p>
        </w:tc>
        <w:tc>
          <w:tcPr>
            <w:tcW w:w="1560" w:type="dxa"/>
            <w:tcBorders>
              <w:top w:val="nil"/>
              <w:left w:val="nil"/>
              <w:bottom w:val="dotted" w:sz="4" w:space="0" w:color="auto"/>
              <w:right w:val="single" w:sz="4" w:space="0" w:color="auto"/>
            </w:tcBorders>
            <w:shd w:val="clear" w:color="auto" w:fill="auto"/>
            <w:noWrap/>
            <w:vAlign w:val="center"/>
            <w:hideMark/>
          </w:tcPr>
          <w:p w14:paraId="7BDB37F1" w14:textId="77777777" w:rsidR="00247CBF" w:rsidRPr="00092ED7" w:rsidRDefault="00247CBF" w:rsidP="00FB09AE">
            <w:pPr>
              <w:spacing w:after="0"/>
              <w:jc w:val="center"/>
              <w:rPr>
                <w:sz w:val="20"/>
                <w:szCs w:val="20"/>
                <w:lang w:val="sr-Cyrl-CS"/>
              </w:rPr>
            </w:pPr>
            <w:r w:rsidRPr="00092ED7">
              <w:rPr>
                <w:sz w:val="20"/>
                <w:szCs w:val="20"/>
                <w:lang w:val="sr-Cyrl-CS"/>
              </w:rPr>
              <w:t>D7</w:t>
            </w:r>
          </w:p>
        </w:tc>
        <w:tc>
          <w:tcPr>
            <w:tcW w:w="1126" w:type="dxa"/>
            <w:tcBorders>
              <w:top w:val="nil"/>
              <w:left w:val="single" w:sz="4" w:space="0" w:color="auto"/>
              <w:bottom w:val="dotted" w:sz="4" w:space="0" w:color="auto"/>
              <w:right w:val="single" w:sz="8" w:space="0" w:color="auto"/>
            </w:tcBorders>
            <w:shd w:val="clear" w:color="auto" w:fill="auto"/>
            <w:noWrap/>
            <w:vAlign w:val="center"/>
          </w:tcPr>
          <w:p w14:paraId="23FE1AA1" w14:textId="77777777" w:rsidR="00247CBF" w:rsidRPr="00092ED7" w:rsidRDefault="00247CBF" w:rsidP="00FB09AE">
            <w:pPr>
              <w:spacing w:after="0"/>
              <w:rPr>
                <w:rFonts w:cs="Times New Roman"/>
                <w:sz w:val="20"/>
                <w:szCs w:val="20"/>
                <w:lang w:val="sr-Cyrl-CS"/>
              </w:rPr>
            </w:pPr>
          </w:p>
        </w:tc>
        <w:tc>
          <w:tcPr>
            <w:tcW w:w="939" w:type="dxa"/>
            <w:tcBorders>
              <w:top w:val="nil"/>
              <w:left w:val="nil"/>
              <w:bottom w:val="dotted" w:sz="4" w:space="0" w:color="auto"/>
              <w:right w:val="single" w:sz="4" w:space="0" w:color="auto"/>
            </w:tcBorders>
            <w:shd w:val="clear" w:color="auto" w:fill="auto"/>
            <w:noWrap/>
            <w:vAlign w:val="center"/>
            <w:hideMark/>
          </w:tcPr>
          <w:p w14:paraId="6650528D" w14:textId="77777777" w:rsidR="00247CBF" w:rsidRPr="00092ED7" w:rsidRDefault="00247CBF" w:rsidP="00FB09AE">
            <w:pPr>
              <w:spacing w:after="0"/>
              <w:jc w:val="right"/>
              <w:rPr>
                <w:sz w:val="20"/>
                <w:szCs w:val="20"/>
                <w:lang w:val="sr-Cyrl-CS"/>
              </w:rPr>
            </w:pPr>
            <w:r w:rsidRPr="00092ED7">
              <w:rPr>
                <w:sz w:val="20"/>
                <w:szCs w:val="20"/>
                <w:lang w:val="sr-Cyrl-CS"/>
              </w:rPr>
              <w:t>:</w:t>
            </w:r>
          </w:p>
        </w:tc>
        <w:tc>
          <w:tcPr>
            <w:tcW w:w="970" w:type="dxa"/>
            <w:tcBorders>
              <w:top w:val="nil"/>
              <w:left w:val="single" w:sz="4" w:space="0" w:color="auto"/>
              <w:bottom w:val="dotted" w:sz="4" w:space="0" w:color="auto"/>
              <w:right w:val="nil"/>
            </w:tcBorders>
            <w:shd w:val="clear" w:color="auto" w:fill="auto"/>
            <w:noWrap/>
            <w:vAlign w:val="center"/>
            <w:hideMark/>
          </w:tcPr>
          <w:p w14:paraId="327BD0AD" w14:textId="77777777" w:rsidR="00247CBF" w:rsidRPr="00092ED7" w:rsidRDefault="00247CBF" w:rsidP="00FB09AE">
            <w:pPr>
              <w:spacing w:after="0"/>
              <w:jc w:val="right"/>
              <w:rPr>
                <w:sz w:val="20"/>
                <w:szCs w:val="20"/>
                <w:lang w:val="sr-Cyrl-CS"/>
              </w:rPr>
            </w:pPr>
            <w:r w:rsidRPr="00092ED7">
              <w:rPr>
                <w:sz w:val="20"/>
                <w:szCs w:val="20"/>
                <w:lang w:val="sr-Cyrl-CS"/>
              </w:rPr>
              <w:t>-0,4</w:t>
            </w:r>
          </w:p>
        </w:tc>
        <w:tc>
          <w:tcPr>
            <w:tcW w:w="970" w:type="dxa"/>
            <w:tcBorders>
              <w:top w:val="nil"/>
              <w:left w:val="single" w:sz="4" w:space="0" w:color="auto"/>
              <w:bottom w:val="dotted" w:sz="4" w:space="0" w:color="auto"/>
              <w:right w:val="nil"/>
            </w:tcBorders>
            <w:shd w:val="clear" w:color="auto" w:fill="auto"/>
            <w:noWrap/>
            <w:vAlign w:val="center"/>
            <w:hideMark/>
          </w:tcPr>
          <w:p w14:paraId="53015470" w14:textId="77777777" w:rsidR="00247CBF" w:rsidRPr="00092ED7" w:rsidRDefault="00247CBF" w:rsidP="00FB09AE">
            <w:pPr>
              <w:spacing w:after="0"/>
              <w:jc w:val="right"/>
              <w:rPr>
                <w:sz w:val="20"/>
                <w:szCs w:val="20"/>
                <w:lang w:val="sr-Cyrl-CS"/>
              </w:rPr>
            </w:pPr>
            <w:r w:rsidRPr="00092ED7">
              <w:rPr>
                <w:sz w:val="20"/>
                <w:szCs w:val="20"/>
                <w:lang w:val="sr-Cyrl-CS"/>
              </w:rPr>
              <w:t>:</w:t>
            </w:r>
          </w:p>
        </w:tc>
        <w:tc>
          <w:tcPr>
            <w:tcW w:w="970" w:type="dxa"/>
            <w:tcBorders>
              <w:top w:val="nil"/>
              <w:left w:val="single" w:sz="4" w:space="0" w:color="auto"/>
              <w:bottom w:val="dotted" w:sz="4" w:space="0" w:color="auto"/>
              <w:right w:val="nil"/>
            </w:tcBorders>
            <w:shd w:val="clear" w:color="auto" w:fill="auto"/>
            <w:noWrap/>
            <w:vAlign w:val="center"/>
            <w:hideMark/>
          </w:tcPr>
          <w:p w14:paraId="7511337C" w14:textId="77777777" w:rsidR="00247CBF" w:rsidRPr="00092ED7" w:rsidRDefault="00247CBF" w:rsidP="00FB09AE">
            <w:pPr>
              <w:spacing w:after="0"/>
              <w:jc w:val="right"/>
              <w:rPr>
                <w:sz w:val="20"/>
                <w:szCs w:val="20"/>
                <w:lang w:val="sr-Cyrl-CS"/>
              </w:rPr>
            </w:pPr>
            <w:r w:rsidRPr="00092ED7">
              <w:rPr>
                <w:sz w:val="20"/>
                <w:szCs w:val="20"/>
                <w:lang w:val="sr-Cyrl-CS"/>
              </w:rPr>
              <w:t>:</w:t>
            </w:r>
          </w:p>
        </w:tc>
        <w:tc>
          <w:tcPr>
            <w:tcW w:w="829" w:type="dxa"/>
            <w:tcBorders>
              <w:top w:val="nil"/>
              <w:left w:val="single" w:sz="4" w:space="0" w:color="auto"/>
              <w:bottom w:val="dotted" w:sz="4" w:space="0" w:color="auto"/>
              <w:right w:val="double" w:sz="6" w:space="0" w:color="auto"/>
            </w:tcBorders>
            <w:shd w:val="clear" w:color="auto" w:fill="auto"/>
            <w:noWrap/>
            <w:vAlign w:val="center"/>
            <w:hideMark/>
          </w:tcPr>
          <w:p w14:paraId="2FF12458" w14:textId="77777777" w:rsidR="00247CBF" w:rsidRPr="00092ED7" w:rsidRDefault="00247CBF" w:rsidP="00FB09AE">
            <w:pPr>
              <w:spacing w:after="0"/>
              <w:jc w:val="right"/>
              <w:rPr>
                <w:sz w:val="20"/>
                <w:szCs w:val="20"/>
                <w:lang w:val="sr-Cyrl-CS"/>
              </w:rPr>
            </w:pPr>
            <w:r w:rsidRPr="00092ED7">
              <w:rPr>
                <w:sz w:val="20"/>
                <w:szCs w:val="20"/>
                <w:lang w:val="sr-Cyrl-CS"/>
              </w:rPr>
              <w:t>:</w:t>
            </w:r>
          </w:p>
        </w:tc>
      </w:tr>
      <w:tr w:rsidR="00247CBF" w:rsidRPr="00092ED7" w14:paraId="17DDFA3A" w14:textId="77777777" w:rsidTr="00FB09AE">
        <w:trPr>
          <w:trHeight w:val="284"/>
        </w:trPr>
        <w:tc>
          <w:tcPr>
            <w:tcW w:w="6214" w:type="dxa"/>
            <w:tcBorders>
              <w:top w:val="nil"/>
              <w:left w:val="double" w:sz="6" w:space="0" w:color="auto"/>
              <w:bottom w:val="dotted" w:sz="4" w:space="0" w:color="auto"/>
              <w:right w:val="single" w:sz="4" w:space="0" w:color="auto"/>
            </w:tcBorders>
            <w:shd w:val="clear" w:color="auto" w:fill="auto"/>
            <w:vAlign w:val="center"/>
            <w:hideMark/>
          </w:tcPr>
          <w:p w14:paraId="5576872F" w14:textId="77777777" w:rsidR="00247CBF" w:rsidRPr="00092ED7" w:rsidRDefault="00247CBF" w:rsidP="00FB09AE">
            <w:pPr>
              <w:spacing w:after="0"/>
              <w:rPr>
                <w:sz w:val="20"/>
                <w:szCs w:val="20"/>
                <w:lang w:val="sr-Cyrl-CS"/>
              </w:rPr>
            </w:pPr>
            <w:r w:rsidRPr="00092ED7">
              <w:rPr>
                <w:sz w:val="20"/>
                <w:szCs w:val="20"/>
                <w:lang w:val="sr-Cyrl-CS"/>
              </w:rPr>
              <w:t>Помоћ запосленима у здравству, просвети и науци</w:t>
            </w:r>
          </w:p>
        </w:tc>
        <w:tc>
          <w:tcPr>
            <w:tcW w:w="1560" w:type="dxa"/>
            <w:tcBorders>
              <w:top w:val="dotted" w:sz="4" w:space="0" w:color="auto"/>
              <w:left w:val="nil"/>
              <w:bottom w:val="dotted" w:sz="4" w:space="0" w:color="auto"/>
              <w:right w:val="single" w:sz="4" w:space="0" w:color="auto"/>
            </w:tcBorders>
            <w:shd w:val="clear" w:color="auto" w:fill="auto"/>
            <w:noWrap/>
            <w:vAlign w:val="center"/>
            <w:hideMark/>
          </w:tcPr>
          <w:p w14:paraId="3F2D08A4" w14:textId="77777777" w:rsidR="00247CBF" w:rsidRPr="00092ED7" w:rsidRDefault="00247CBF" w:rsidP="00FB09AE">
            <w:pPr>
              <w:spacing w:after="0"/>
              <w:jc w:val="center"/>
              <w:rPr>
                <w:sz w:val="20"/>
                <w:szCs w:val="20"/>
                <w:lang w:val="sr-Cyrl-CS"/>
              </w:rPr>
            </w:pPr>
            <w:r w:rsidRPr="00092ED7">
              <w:rPr>
                <w:sz w:val="20"/>
                <w:szCs w:val="20"/>
                <w:lang w:val="sr-Cyrl-CS"/>
              </w:rPr>
              <w:t>D1</w:t>
            </w:r>
          </w:p>
        </w:tc>
        <w:tc>
          <w:tcPr>
            <w:tcW w:w="1126" w:type="dxa"/>
            <w:tcBorders>
              <w:top w:val="nil"/>
              <w:left w:val="single" w:sz="4" w:space="0" w:color="auto"/>
              <w:bottom w:val="dotted" w:sz="4" w:space="0" w:color="auto"/>
              <w:right w:val="single" w:sz="8" w:space="0" w:color="auto"/>
            </w:tcBorders>
            <w:shd w:val="clear" w:color="auto" w:fill="auto"/>
            <w:noWrap/>
            <w:vAlign w:val="center"/>
          </w:tcPr>
          <w:p w14:paraId="3DB14B01" w14:textId="77777777" w:rsidR="00247CBF" w:rsidRPr="00092ED7" w:rsidRDefault="00247CBF" w:rsidP="00FB09AE">
            <w:pPr>
              <w:spacing w:after="0"/>
              <w:rPr>
                <w:rFonts w:cs="Times New Roman"/>
                <w:sz w:val="20"/>
                <w:szCs w:val="20"/>
                <w:lang w:val="sr-Cyrl-CS"/>
              </w:rPr>
            </w:pPr>
          </w:p>
        </w:tc>
        <w:tc>
          <w:tcPr>
            <w:tcW w:w="939" w:type="dxa"/>
            <w:tcBorders>
              <w:top w:val="nil"/>
              <w:left w:val="nil"/>
              <w:bottom w:val="dotted" w:sz="4" w:space="0" w:color="auto"/>
              <w:right w:val="single" w:sz="4" w:space="0" w:color="auto"/>
            </w:tcBorders>
            <w:shd w:val="clear" w:color="auto" w:fill="auto"/>
            <w:noWrap/>
            <w:vAlign w:val="center"/>
            <w:hideMark/>
          </w:tcPr>
          <w:p w14:paraId="55972D85" w14:textId="77777777" w:rsidR="00247CBF" w:rsidRPr="00092ED7" w:rsidRDefault="00247CBF" w:rsidP="00FB09AE">
            <w:pPr>
              <w:spacing w:after="0"/>
              <w:jc w:val="right"/>
              <w:rPr>
                <w:sz w:val="20"/>
                <w:szCs w:val="20"/>
                <w:lang w:val="sr-Cyrl-CS"/>
              </w:rPr>
            </w:pPr>
            <w:r w:rsidRPr="00092ED7">
              <w:rPr>
                <w:sz w:val="20"/>
                <w:szCs w:val="20"/>
                <w:lang w:val="sr-Cyrl-CS"/>
              </w:rPr>
              <w:t>:</w:t>
            </w:r>
          </w:p>
        </w:tc>
        <w:tc>
          <w:tcPr>
            <w:tcW w:w="970" w:type="dxa"/>
            <w:tcBorders>
              <w:top w:val="nil"/>
              <w:left w:val="single" w:sz="4" w:space="0" w:color="auto"/>
              <w:bottom w:val="dotted" w:sz="4" w:space="0" w:color="auto"/>
              <w:right w:val="nil"/>
            </w:tcBorders>
            <w:shd w:val="clear" w:color="auto" w:fill="auto"/>
            <w:noWrap/>
            <w:vAlign w:val="center"/>
            <w:hideMark/>
          </w:tcPr>
          <w:p w14:paraId="23BA1E16" w14:textId="77777777" w:rsidR="00247CBF" w:rsidRPr="00092ED7" w:rsidRDefault="00247CBF" w:rsidP="00FB09AE">
            <w:pPr>
              <w:spacing w:after="0"/>
              <w:jc w:val="right"/>
              <w:rPr>
                <w:sz w:val="20"/>
                <w:szCs w:val="20"/>
                <w:lang w:val="sr-Cyrl-CS"/>
              </w:rPr>
            </w:pPr>
            <w:r w:rsidRPr="00092ED7">
              <w:rPr>
                <w:sz w:val="20"/>
                <w:szCs w:val="20"/>
                <w:lang w:val="sr-Cyrl-CS"/>
              </w:rPr>
              <w:t>0,0</w:t>
            </w:r>
          </w:p>
        </w:tc>
        <w:tc>
          <w:tcPr>
            <w:tcW w:w="970" w:type="dxa"/>
            <w:tcBorders>
              <w:top w:val="nil"/>
              <w:left w:val="single" w:sz="4" w:space="0" w:color="auto"/>
              <w:bottom w:val="dotted" w:sz="4" w:space="0" w:color="auto"/>
              <w:right w:val="nil"/>
            </w:tcBorders>
            <w:shd w:val="clear" w:color="auto" w:fill="auto"/>
            <w:noWrap/>
            <w:vAlign w:val="center"/>
            <w:hideMark/>
          </w:tcPr>
          <w:p w14:paraId="3620F282" w14:textId="77777777" w:rsidR="00247CBF" w:rsidRPr="00092ED7" w:rsidRDefault="00247CBF" w:rsidP="00FB09AE">
            <w:pPr>
              <w:spacing w:after="0"/>
              <w:jc w:val="right"/>
              <w:rPr>
                <w:sz w:val="20"/>
                <w:szCs w:val="20"/>
                <w:lang w:val="sr-Cyrl-CS"/>
              </w:rPr>
            </w:pPr>
            <w:r w:rsidRPr="00092ED7">
              <w:rPr>
                <w:sz w:val="20"/>
                <w:szCs w:val="20"/>
                <w:lang w:val="sr-Cyrl-CS"/>
              </w:rPr>
              <w:t>:</w:t>
            </w:r>
          </w:p>
        </w:tc>
        <w:tc>
          <w:tcPr>
            <w:tcW w:w="970" w:type="dxa"/>
            <w:tcBorders>
              <w:top w:val="nil"/>
              <w:left w:val="single" w:sz="4" w:space="0" w:color="auto"/>
              <w:bottom w:val="dotted" w:sz="4" w:space="0" w:color="auto"/>
              <w:right w:val="nil"/>
            </w:tcBorders>
            <w:shd w:val="clear" w:color="auto" w:fill="auto"/>
            <w:noWrap/>
            <w:vAlign w:val="center"/>
            <w:hideMark/>
          </w:tcPr>
          <w:p w14:paraId="290427C4" w14:textId="77777777" w:rsidR="00247CBF" w:rsidRPr="00092ED7" w:rsidRDefault="00247CBF" w:rsidP="00FB09AE">
            <w:pPr>
              <w:spacing w:after="0"/>
              <w:jc w:val="right"/>
              <w:rPr>
                <w:sz w:val="20"/>
                <w:szCs w:val="20"/>
                <w:lang w:val="sr-Cyrl-CS"/>
              </w:rPr>
            </w:pPr>
            <w:r w:rsidRPr="00092ED7">
              <w:rPr>
                <w:sz w:val="20"/>
                <w:szCs w:val="20"/>
                <w:lang w:val="sr-Cyrl-CS"/>
              </w:rPr>
              <w:t>:</w:t>
            </w:r>
          </w:p>
        </w:tc>
        <w:tc>
          <w:tcPr>
            <w:tcW w:w="829" w:type="dxa"/>
            <w:tcBorders>
              <w:top w:val="nil"/>
              <w:left w:val="single" w:sz="4" w:space="0" w:color="auto"/>
              <w:bottom w:val="dotted" w:sz="4" w:space="0" w:color="auto"/>
              <w:right w:val="double" w:sz="6" w:space="0" w:color="auto"/>
            </w:tcBorders>
            <w:shd w:val="clear" w:color="auto" w:fill="auto"/>
            <w:noWrap/>
            <w:vAlign w:val="center"/>
            <w:hideMark/>
          </w:tcPr>
          <w:p w14:paraId="1F764912" w14:textId="77777777" w:rsidR="00247CBF" w:rsidRPr="00092ED7" w:rsidRDefault="00247CBF" w:rsidP="00FB09AE">
            <w:pPr>
              <w:spacing w:after="0"/>
              <w:jc w:val="right"/>
              <w:rPr>
                <w:sz w:val="20"/>
                <w:szCs w:val="20"/>
                <w:lang w:val="sr-Cyrl-CS"/>
              </w:rPr>
            </w:pPr>
            <w:r w:rsidRPr="00092ED7">
              <w:rPr>
                <w:sz w:val="20"/>
                <w:szCs w:val="20"/>
                <w:lang w:val="sr-Cyrl-CS"/>
              </w:rPr>
              <w:t>:</w:t>
            </w:r>
          </w:p>
        </w:tc>
      </w:tr>
      <w:tr w:rsidR="00247CBF" w:rsidRPr="00092ED7" w14:paraId="487B9A49" w14:textId="77777777" w:rsidTr="00FB09AE">
        <w:trPr>
          <w:trHeight w:val="284"/>
        </w:trPr>
        <w:tc>
          <w:tcPr>
            <w:tcW w:w="6214" w:type="dxa"/>
            <w:tcBorders>
              <w:top w:val="nil"/>
              <w:left w:val="double" w:sz="6" w:space="0" w:color="auto"/>
              <w:bottom w:val="dotted" w:sz="4" w:space="0" w:color="auto"/>
              <w:right w:val="single" w:sz="4" w:space="0" w:color="auto"/>
            </w:tcBorders>
            <w:shd w:val="clear" w:color="auto" w:fill="auto"/>
            <w:vAlign w:val="center"/>
            <w:hideMark/>
          </w:tcPr>
          <w:p w14:paraId="39D54FDF" w14:textId="77777777" w:rsidR="00247CBF" w:rsidRPr="00092ED7" w:rsidRDefault="00247CBF" w:rsidP="00FB09AE">
            <w:pPr>
              <w:spacing w:after="0"/>
              <w:rPr>
                <w:sz w:val="20"/>
                <w:szCs w:val="20"/>
                <w:lang w:val="sr-Cyrl-CS"/>
              </w:rPr>
            </w:pPr>
            <w:r w:rsidRPr="00092ED7">
              <w:rPr>
                <w:sz w:val="20"/>
                <w:szCs w:val="20"/>
                <w:lang w:val="sr-Cyrl-CS"/>
              </w:rPr>
              <w:t>Привремено смањење акциза на деривате нафте</w:t>
            </w:r>
          </w:p>
        </w:tc>
        <w:tc>
          <w:tcPr>
            <w:tcW w:w="1560" w:type="dxa"/>
            <w:tcBorders>
              <w:top w:val="nil"/>
              <w:left w:val="nil"/>
              <w:bottom w:val="dotted" w:sz="4" w:space="0" w:color="auto"/>
              <w:right w:val="single" w:sz="4" w:space="0" w:color="auto"/>
            </w:tcBorders>
            <w:shd w:val="clear" w:color="auto" w:fill="auto"/>
            <w:noWrap/>
            <w:vAlign w:val="center"/>
            <w:hideMark/>
          </w:tcPr>
          <w:p w14:paraId="4765FED2" w14:textId="77777777" w:rsidR="00247CBF" w:rsidRPr="00092ED7" w:rsidRDefault="00247CBF" w:rsidP="00FB09AE">
            <w:pPr>
              <w:spacing w:after="0"/>
              <w:jc w:val="center"/>
              <w:rPr>
                <w:sz w:val="20"/>
                <w:szCs w:val="20"/>
                <w:lang w:val="sr-Cyrl-CS"/>
              </w:rPr>
            </w:pPr>
            <w:r w:rsidRPr="00092ED7">
              <w:rPr>
                <w:sz w:val="20"/>
                <w:szCs w:val="20"/>
                <w:lang w:val="sr-Cyrl-CS"/>
              </w:rPr>
              <w:t>D2</w:t>
            </w:r>
          </w:p>
        </w:tc>
        <w:tc>
          <w:tcPr>
            <w:tcW w:w="1126" w:type="dxa"/>
            <w:tcBorders>
              <w:top w:val="nil"/>
              <w:left w:val="single" w:sz="4" w:space="0" w:color="auto"/>
              <w:bottom w:val="dotted" w:sz="4" w:space="0" w:color="auto"/>
              <w:right w:val="single" w:sz="8" w:space="0" w:color="auto"/>
            </w:tcBorders>
            <w:shd w:val="clear" w:color="auto" w:fill="auto"/>
            <w:noWrap/>
            <w:vAlign w:val="center"/>
          </w:tcPr>
          <w:p w14:paraId="2EED8BD7" w14:textId="77777777" w:rsidR="00247CBF" w:rsidRPr="00092ED7" w:rsidRDefault="00247CBF" w:rsidP="00FB09AE">
            <w:pPr>
              <w:spacing w:after="0"/>
              <w:rPr>
                <w:rFonts w:cs="Times New Roman"/>
                <w:sz w:val="20"/>
                <w:szCs w:val="20"/>
                <w:lang w:val="sr-Cyrl-CS"/>
              </w:rPr>
            </w:pPr>
          </w:p>
        </w:tc>
        <w:tc>
          <w:tcPr>
            <w:tcW w:w="939" w:type="dxa"/>
            <w:tcBorders>
              <w:top w:val="nil"/>
              <w:left w:val="nil"/>
              <w:bottom w:val="dotted" w:sz="4" w:space="0" w:color="auto"/>
              <w:right w:val="single" w:sz="4" w:space="0" w:color="auto"/>
            </w:tcBorders>
            <w:shd w:val="clear" w:color="auto" w:fill="auto"/>
            <w:noWrap/>
            <w:vAlign w:val="center"/>
            <w:hideMark/>
          </w:tcPr>
          <w:p w14:paraId="6A1A90DE" w14:textId="77777777" w:rsidR="00247CBF" w:rsidRPr="00092ED7" w:rsidRDefault="00247CBF" w:rsidP="00FB09AE">
            <w:pPr>
              <w:spacing w:after="0"/>
              <w:jc w:val="right"/>
              <w:rPr>
                <w:sz w:val="20"/>
                <w:szCs w:val="20"/>
                <w:lang w:val="sr-Cyrl-CS"/>
              </w:rPr>
            </w:pPr>
            <w:r w:rsidRPr="00092ED7">
              <w:rPr>
                <w:sz w:val="20"/>
                <w:szCs w:val="20"/>
                <w:lang w:val="sr-Cyrl-CS"/>
              </w:rPr>
              <w:t>:</w:t>
            </w:r>
          </w:p>
        </w:tc>
        <w:tc>
          <w:tcPr>
            <w:tcW w:w="970" w:type="dxa"/>
            <w:tcBorders>
              <w:top w:val="nil"/>
              <w:left w:val="single" w:sz="4" w:space="0" w:color="auto"/>
              <w:bottom w:val="dotted" w:sz="4" w:space="0" w:color="auto"/>
              <w:right w:val="nil"/>
            </w:tcBorders>
            <w:shd w:val="clear" w:color="auto" w:fill="auto"/>
            <w:noWrap/>
            <w:vAlign w:val="center"/>
            <w:hideMark/>
          </w:tcPr>
          <w:p w14:paraId="183485B8" w14:textId="77777777" w:rsidR="00247CBF" w:rsidRPr="00092ED7" w:rsidRDefault="00247CBF" w:rsidP="00FB09AE">
            <w:pPr>
              <w:spacing w:after="0"/>
              <w:jc w:val="right"/>
              <w:rPr>
                <w:sz w:val="20"/>
                <w:szCs w:val="20"/>
                <w:lang w:val="sr-Cyrl-CS"/>
              </w:rPr>
            </w:pPr>
            <w:r w:rsidRPr="00092ED7">
              <w:rPr>
                <w:sz w:val="20"/>
                <w:szCs w:val="20"/>
                <w:lang w:val="sr-Cyrl-CS"/>
              </w:rPr>
              <w:t>-0,2</w:t>
            </w:r>
          </w:p>
        </w:tc>
        <w:tc>
          <w:tcPr>
            <w:tcW w:w="970" w:type="dxa"/>
            <w:tcBorders>
              <w:top w:val="nil"/>
              <w:left w:val="single" w:sz="4" w:space="0" w:color="auto"/>
              <w:bottom w:val="dotted" w:sz="4" w:space="0" w:color="auto"/>
              <w:right w:val="nil"/>
            </w:tcBorders>
            <w:shd w:val="clear" w:color="auto" w:fill="auto"/>
            <w:noWrap/>
            <w:vAlign w:val="center"/>
            <w:hideMark/>
          </w:tcPr>
          <w:p w14:paraId="31FA9AFE" w14:textId="77777777" w:rsidR="00247CBF" w:rsidRPr="00092ED7" w:rsidRDefault="00247CBF" w:rsidP="00FB09AE">
            <w:pPr>
              <w:spacing w:after="0"/>
              <w:jc w:val="right"/>
              <w:rPr>
                <w:sz w:val="20"/>
                <w:szCs w:val="20"/>
                <w:lang w:val="sr-Cyrl-CS"/>
              </w:rPr>
            </w:pPr>
            <w:r w:rsidRPr="00092ED7">
              <w:rPr>
                <w:sz w:val="20"/>
                <w:szCs w:val="20"/>
                <w:lang w:val="sr-Cyrl-CS"/>
              </w:rPr>
              <w:t>0,0</w:t>
            </w:r>
          </w:p>
        </w:tc>
        <w:tc>
          <w:tcPr>
            <w:tcW w:w="970" w:type="dxa"/>
            <w:tcBorders>
              <w:top w:val="nil"/>
              <w:left w:val="single" w:sz="4" w:space="0" w:color="auto"/>
              <w:bottom w:val="dotted" w:sz="4" w:space="0" w:color="auto"/>
              <w:right w:val="nil"/>
            </w:tcBorders>
            <w:shd w:val="clear" w:color="auto" w:fill="auto"/>
            <w:noWrap/>
            <w:vAlign w:val="center"/>
            <w:hideMark/>
          </w:tcPr>
          <w:p w14:paraId="7618D01F" w14:textId="77777777" w:rsidR="00247CBF" w:rsidRPr="00092ED7" w:rsidRDefault="00247CBF" w:rsidP="00FB09AE">
            <w:pPr>
              <w:spacing w:after="0"/>
              <w:jc w:val="right"/>
              <w:rPr>
                <w:sz w:val="20"/>
                <w:szCs w:val="20"/>
                <w:lang w:val="sr-Cyrl-CS"/>
              </w:rPr>
            </w:pPr>
            <w:r w:rsidRPr="00092ED7">
              <w:rPr>
                <w:sz w:val="20"/>
                <w:szCs w:val="20"/>
                <w:lang w:val="sr-Cyrl-CS"/>
              </w:rPr>
              <w:t>:</w:t>
            </w:r>
          </w:p>
        </w:tc>
        <w:tc>
          <w:tcPr>
            <w:tcW w:w="829" w:type="dxa"/>
            <w:tcBorders>
              <w:top w:val="nil"/>
              <w:left w:val="single" w:sz="4" w:space="0" w:color="auto"/>
              <w:bottom w:val="dotted" w:sz="4" w:space="0" w:color="auto"/>
              <w:right w:val="double" w:sz="6" w:space="0" w:color="auto"/>
            </w:tcBorders>
            <w:shd w:val="clear" w:color="auto" w:fill="auto"/>
            <w:noWrap/>
            <w:vAlign w:val="center"/>
            <w:hideMark/>
          </w:tcPr>
          <w:p w14:paraId="30F52AE7" w14:textId="77777777" w:rsidR="00247CBF" w:rsidRPr="00092ED7" w:rsidRDefault="00247CBF" w:rsidP="00FB09AE">
            <w:pPr>
              <w:spacing w:after="0"/>
              <w:jc w:val="right"/>
              <w:rPr>
                <w:sz w:val="20"/>
                <w:szCs w:val="20"/>
                <w:lang w:val="sr-Cyrl-CS"/>
              </w:rPr>
            </w:pPr>
            <w:r w:rsidRPr="00092ED7">
              <w:rPr>
                <w:sz w:val="20"/>
                <w:szCs w:val="20"/>
                <w:lang w:val="sr-Cyrl-CS"/>
              </w:rPr>
              <w:t>:</w:t>
            </w:r>
          </w:p>
        </w:tc>
      </w:tr>
      <w:tr w:rsidR="00FB09AE" w:rsidRPr="00092ED7" w14:paraId="39AC20E1" w14:textId="77777777" w:rsidTr="00FB09AE">
        <w:trPr>
          <w:trHeight w:val="284"/>
        </w:trPr>
        <w:tc>
          <w:tcPr>
            <w:tcW w:w="6214" w:type="dxa"/>
            <w:tcBorders>
              <w:top w:val="dotted" w:sz="4" w:space="0" w:color="auto"/>
              <w:left w:val="double" w:sz="6" w:space="0" w:color="auto"/>
              <w:bottom w:val="single" w:sz="4" w:space="0" w:color="auto"/>
              <w:right w:val="single" w:sz="4" w:space="0" w:color="auto"/>
            </w:tcBorders>
            <w:shd w:val="clear" w:color="auto" w:fill="auto"/>
            <w:vAlign w:val="center"/>
            <w:hideMark/>
          </w:tcPr>
          <w:p w14:paraId="48DACF77" w14:textId="77777777" w:rsidR="00247CBF" w:rsidRPr="00092ED7" w:rsidRDefault="00247CBF" w:rsidP="00FB09AE">
            <w:pPr>
              <w:spacing w:after="0"/>
              <w:rPr>
                <w:sz w:val="20"/>
                <w:szCs w:val="20"/>
                <w:lang w:val="sr-Cyrl-CS"/>
              </w:rPr>
            </w:pPr>
            <w:r w:rsidRPr="00092ED7">
              <w:rPr>
                <w:sz w:val="20"/>
                <w:szCs w:val="20"/>
                <w:lang w:val="sr-Cyrl-CS"/>
              </w:rPr>
              <w:t>:</w:t>
            </w:r>
          </w:p>
        </w:tc>
        <w:tc>
          <w:tcPr>
            <w:tcW w:w="1560" w:type="dxa"/>
            <w:tcBorders>
              <w:top w:val="dotted" w:sz="4" w:space="0" w:color="auto"/>
              <w:left w:val="single" w:sz="4" w:space="0" w:color="auto"/>
              <w:bottom w:val="single" w:sz="4" w:space="0" w:color="auto"/>
              <w:right w:val="single" w:sz="4" w:space="0" w:color="auto"/>
            </w:tcBorders>
            <w:shd w:val="clear" w:color="auto" w:fill="auto"/>
            <w:noWrap/>
            <w:vAlign w:val="center"/>
            <w:hideMark/>
          </w:tcPr>
          <w:p w14:paraId="0D55E61E" w14:textId="77777777" w:rsidR="00247CBF" w:rsidRPr="00092ED7" w:rsidRDefault="00247CBF" w:rsidP="00FB09AE">
            <w:pPr>
              <w:spacing w:after="0"/>
              <w:jc w:val="center"/>
              <w:rPr>
                <w:sz w:val="20"/>
                <w:szCs w:val="20"/>
                <w:lang w:val="sr-Cyrl-CS"/>
              </w:rPr>
            </w:pPr>
            <w:r w:rsidRPr="00092ED7">
              <w:rPr>
                <w:sz w:val="20"/>
                <w:szCs w:val="20"/>
                <w:lang w:val="sr-Cyrl-CS"/>
              </w:rPr>
              <w:t>:</w:t>
            </w:r>
          </w:p>
        </w:tc>
        <w:tc>
          <w:tcPr>
            <w:tcW w:w="1126" w:type="dxa"/>
            <w:tcBorders>
              <w:top w:val="dotted" w:sz="4" w:space="0" w:color="auto"/>
              <w:left w:val="nil"/>
              <w:bottom w:val="single" w:sz="4" w:space="0" w:color="auto"/>
              <w:right w:val="single" w:sz="8" w:space="0" w:color="auto"/>
            </w:tcBorders>
            <w:shd w:val="clear" w:color="auto" w:fill="auto"/>
            <w:noWrap/>
            <w:vAlign w:val="center"/>
          </w:tcPr>
          <w:p w14:paraId="3369D73A" w14:textId="77777777" w:rsidR="00247CBF" w:rsidRPr="00092ED7" w:rsidRDefault="00247CBF" w:rsidP="00FB09AE">
            <w:pPr>
              <w:spacing w:after="0"/>
              <w:rPr>
                <w:rFonts w:cs="Times New Roman"/>
                <w:sz w:val="20"/>
                <w:szCs w:val="20"/>
                <w:lang w:val="sr-Cyrl-CS"/>
              </w:rPr>
            </w:pPr>
          </w:p>
        </w:tc>
        <w:tc>
          <w:tcPr>
            <w:tcW w:w="939" w:type="dxa"/>
            <w:tcBorders>
              <w:top w:val="dotted" w:sz="4" w:space="0" w:color="auto"/>
              <w:left w:val="single" w:sz="4" w:space="0" w:color="auto"/>
              <w:bottom w:val="single" w:sz="4" w:space="0" w:color="auto"/>
              <w:right w:val="single" w:sz="4" w:space="0" w:color="auto"/>
            </w:tcBorders>
            <w:shd w:val="clear" w:color="auto" w:fill="auto"/>
            <w:noWrap/>
            <w:vAlign w:val="center"/>
            <w:hideMark/>
          </w:tcPr>
          <w:p w14:paraId="7E72AD19" w14:textId="77777777" w:rsidR="00247CBF" w:rsidRPr="00092ED7" w:rsidRDefault="00247CBF" w:rsidP="00FB09AE">
            <w:pPr>
              <w:spacing w:after="0"/>
              <w:jc w:val="right"/>
              <w:rPr>
                <w:sz w:val="20"/>
                <w:szCs w:val="20"/>
                <w:lang w:val="sr-Cyrl-CS"/>
              </w:rPr>
            </w:pPr>
            <w:r w:rsidRPr="00092ED7">
              <w:rPr>
                <w:sz w:val="20"/>
                <w:szCs w:val="20"/>
                <w:lang w:val="sr-Cyrl-CS"/>
              </w:rPr>
              <w:t>:</w:t>
            </w:r>
          </w:p>
        </w:tc>
        <w:tc>
          <w:tcPr>
            <w:tcW w:w="970" w:type="dxa"/>
            <w:tcBorders>
              <w:top w:val="dotted" w:sz="4" w:space="0" w:color="auto"/>
              <w:left w:val="nil"/>
              <w:bottom w:val="single" w:sz="4" w:space="0" w:color="auto"/>
              <w:right w:val="nil"/>
            </w:tcBorders>
            <w:shd w:val="clear" w:color="auto" w:fill="auto"/>
            <w:noWrap/>
            <w:vAlign w:val="center"/>
            <w:hideMark/>
          </w:tcPr>
          <w:p w14:paraId="1067A0E8" w14:textId="77777777" w:rsidR="00247CBF" w:rsidRPr="00092ED7" w:rsidRDefault="00247CBF" w:rsidP="00FB09AE">
            <w:pPr>
              <w:spacing w:after="0"/>
              <w:jc w:val="right"/>
              <w:rPr>
                <w:sz w:val="20"/>
                <w:szCs w:val="20"/>
                <w:lang w:val="sr-Cyrl-CS"/>
              </w:rPr>
            </w:pPr>
            <w:r w:rsidRPr="00092ED7">
              <w:rPr>
                <w:sz w:val="20"/>
                <w:szCs w:val="20"/>
                <w:lang w:val="sr-Cyrl-CS"/>
              </w:rPr>
              <w:t>:</w:t>
            </w:r>
          </w:p>
        </w:tc>
        <w:tc>
          <w:tcPr>
            <w:tcW w:w="970" w:type="dxa"/>
            <w:tcBorders>
              <w:top w:val="dotted" w:sz="4" w:space="0" w:color="auto"/>
              <w:left w:val="single" w:sz="4" w:space="0" w:color="auto"/>
              <w:bottom w:val="single" w:sz="4" w:space="0" w:color="auto"/>
              <w:right w:val="nil"/>
            </w:tcBorders>
            <w:shd w:val="clear" w:color="auto" w:fill="auto"/>
            <w:noWrap/>
            <w:vAlign w:val="center"/>
            <w:hideMark/>
          </w:tcPr>
          <w:p w14:paraId="72948B77" w14:textId="77777777" w:rsidR="00247CBF" w:rsidRPr="00092ED7" w:rsidRDefault="00247CBF" w:rsidP="00FB09AE">
            <w:pPr>
              <w:spacing w:after="0"/>
              <w:jc w:val="right"/>
              <w:rPr>
                <w:sz w:val="20"/>
                <w:szCs w:val="20"/>
                <w:lang w:val="sr-Cyrl-CS"/>
              </w:rPr>
            </w:pPr>
            <w:r w:rsidRPr="00092ED7">
              <w:rPr>
                <w:sz w:val="20"/>
                <w:szCs w:val="20"/>
                <w:lang w:val="sr-Cyrl-CS"/>
              </w:rPr>
              <w:t>:</w:t>
            </w:r>
          </w:p>
        </w:tc>
        <w:tc>
          <w:tcPr>
            <w:tcW w:w="970" w:type="dxa"/>
            <w:tcBorders>
              <w:top w:val="dotted" w:sz="4" w:space="0" w:color="auto"/>
              <w:left w:val="single" w:sz="4" w:space="0" w:color="auto"/>
              <w:bottom w:val="single" w:sz="4" w:space="0" w:color="auto"/>
              <w:right w:val="nil"/>
            </w:tcBorders>
            <w:shd w:val="clear" w:color="auto" w:fill="auto"/>
            <w:noWrap/>
            <w:vAlign w:val="center"/>
            <w:hideMark/>
          </w:tcPr>
          <w:p w14:paraId="47B7545C" w14:textId="77777777" w:rsidR="00247CBF" w:rsidRPr="00092ED7" w:rsidRDefault="00247CBF" w:rsidP="00FB09AE">
            <w:pPr>
              <w:spacing w:after="0"/>
              <w:jc w:val="right"/>
              <w:rPr>
                <w:sz w:val="20"/>
                <w:szCs w:val="20"/>
                <w:lang w:val="sr-Cyrl-CS"/>
              </w:rPr>
            </w:pPr>
            <w:r w:rsidRPr="00092ED7">
              <w:rPr>
                <w:sz w:val="20"/>
                <w:szCs w:val="20"/>
                <w:lang w:val="sr-Cyrl-CS"/>
              </w:rPr>
              <w:t>:</w:t>
            </w:r>
          </w:p>
        </w:tc>
        <w:tc>
          <w:tcPr>
            <w:tcW w:w="829" w:type="dxa"/>
            <w:tcBorders>
              <w:top w:val="dotted" w:sz="4" w:space="0" w:color="auto"/>
              <w:left w:val="single" w:sz="4" w:space="0" w:color="auto"/>
              <w:bottom w:val="single" w:sz="4" w:space="0" w:color="auto"/>
              <w:right w:val="double" w:sz="6" w:space="0" w:color="auto"/>
            </w:tcBorders>
            <w:shd w:val="clear" w:color="auto" w:fill="auto"/>
            <w:noWrap/>
            <w:vAlign w:val="center"/>
            <w:hideMark/>
          </w:tcPr>
          <w:p w14:paraId="5F2C1846" w14:textId="77777777" w:rsidR="00247CBF" w:rsidRPr="00092ED7" w:rsidRDefault="00247CBF" w:rsidP="00FB09AE">
            <w:pPr>
              <w:spacing w:after="0"/>
              <w:jc w:val="right"/>
              <w:rPr>
                <w:sz w:val="20"/>
                <w:szCs w:val="20"/>
                <w:lang w:val="sr-Cyrl-CS"/>
              </w:rPr>
            </w:pPr>
            <w:r w:rsidRPr="00092ED7">
              <w:rPr>
                <w:sz w:val="20"/>
                <w:szCs w:val="20"/>
                <w:lang w:val="sr-Cyrl-CS"/>
              </w:rPr>
              <w:t>:</w:t>
            </w:r>
          </w:p>
        </w:tc>
      </w:tr>
      <w:tr w:rsidR="00247CBF" w:rsidRPr="00092ED7" w14:paraId="44A775FF" w14:textId="77777777" w:rsidTr="00247CBF">
        <w:trPr>
          <w:trHeight w:val="284"/>
        </w:trPr>
        <w:tc>
          <w:tcPr>
            <w:tcW w:w="8900" w:type="dxa"/>
            <w:gridSpan w:val="3"/>
            <w:tcBorders>
              <w:top w:val="single" w:sz="4" w:space="0" w:color="auto"/>
              <w:left w:val="double" w:sz="6" w:space="0" w:color="auto"/>
              <w:bottom w:val="single" w:sz="8" w:space="0" w:color="auto"/>
              <w:right w:val="single" w:sz="8" w:space="0" w:color="000000"/>
            </w:tcBorders>
            <w:shd w:val="clear" w:color="auto" w:fill="auto"/>
            <w:vAlign w:val="center"/>
            <w:hideMark/>
          </w:tcPr>
          <w:p w14:paraId="1B761D59" w14:textId="77777777" w:rsidR="00247CBF" w:rsidRPr="00092ED7" w:rsidRDefault="00247CBF" w:rsidP="00247CBF">
            <w:pPr>
              <w:spacing w:after="0"/>
              <w:jc w:val="center"/>
              <w:rPr>
                <w:rFonts w:cs="Times New Roman"/>
                <w:b/>
                <w:sz w:val="20"/>
                <w:szCs w:val="20"/>
                <w:lang w:val="sr-Cyrl-CS"/>
              </w:rPr>
            </w:pPr>
            <w:r w:rsidRPr="00092ED7">
              <w:rPr>
                <w:rFonts w:cs="Times New Roman"/>
                <w:b/>
                <w:sz w:val="20"/>
                <w:szCs w:val="20"/>
                <w:lang w:val="sr-Cyrl-CS"/>
              </w:rPr>
              <w:t>Међузбир</w:t>
            </w:r>
          </w:p>
        </w:tc>
        <w:tc>
          <w:tcPr>
            <w:tcW w:w="939" w:type="dxa"/>
            <w:tcBorders>
              <w:top w:val="single" w:sz="4" w:space="0" w:color="auto"/>
              <w:left w:val="nil"/>
              <w:bottom w:val="single" w:sz="8" w:space="0" w:color="auto"/>
              <w:right w:val="single" w:sz="4" w:space="0" w:color="auto"/>
            </w:tcBorders>
            <w:shd w:val="clear" w:color="auto" w:fill="auto"/>
            <w:noWrap/>
            <w:vAlign w:val="center"/>
            <w:hideMark/>
          </w:tcPr>
          <w:p w14:paraId="1D50AF5C" w14:textId="77777777" w:rsidR="00247CBF" w:rsidRPr="00092ED7" w:rsidRDefault="00247CBF" w:rsidP="00247CBF">
            <w:pPr>
              <w:spacing w:after="0"/>
              <w:jc w:val="right"/>
              <w:rPr>
                <w:b/>
                <w:bCs/>
                <w:sz w:val="20"/>
                <w:szCs w:val="20"/>
                <w:lang w:val="sr-Cyrl-CS"/>
              </w:rPr>
            </w:pPr>
            <w:r w:rsidRPr="00092ED7">
              <w:rPr>
                <w:b/>
                <w:bCs/>
                <w:sz w:val="20"/>
                <w:szCs w:val="20"/>
                <w:lang w:val="sr-Cyrl-CS"/>
              </w:rPr>
              <w:t>1,5</w:t>
            </w:r>
          </w:p>
        </w:tc>
        <w:tc>
          <w:tcPr>
            <w:tcW w:w="970" w:type="dxa"/>
            <w:tcBorders>
              <w:top w:val="single" w:sz="4" w:space="0" w:color="auto"/>
              <w:left w:val="nil"/>
              <w:bottom w:val="single" w:sz="8" w:space="0" w:color="auto"/>
              <w:right w:val="nil"/>
            </w:tcBorders>
            <w:shd w:val="clear" w:color="auto" w:fill="auto"/>
            <w:noWrap/>
            <w:vAlign w:val="center"/>
            <w:hideMark/>
          </w:tcPr>
          <w:p w14:paraId="3B640F99" w14:textId="77777777" w:rsidR="00247CBF" w:rsidRPr="00092ED7" w:rsidRDefault="00247CBF" w:rsidP="00247CBF">
            <w:pPr>
              <w:spacing w:after="0"/>
              <w:jc w:val="right"/>
              <w:rPr>
                <w:b/>
                <w:bCs/>
                <w:sz w:val="20"/>
                <w:szCs w:val="20"/>
                <w:lang w:val="sr-Cyrl-CS"/>
              </w:rPr>
            </w:pPr>
            <w:r w:rsidRPr="00092ED7">
              <w:rPr>
                <w:b/>
                <w:bCs/>
                <w:sz w:val="20"/>
                <w:szCs w:val="20"/>
                <w:lang w:val="sr-Cyrl-CS"/>
              </w:rPr>
              <w:t>-0,9</w:t>
            </w:r>
          </w:p>
        </w:tc>
        <w:tc>
          <w:tcPr>
            <w:tcW w:w="970" w:type="dxa"/>
            <w:tcBorders>
              <w:top w:val="single" w:sz="4" w:space="0" w:color="auto"/>
              <w:left w:val="single" w:sz="4" w:space="0" w:color="auto"/>
              <w:bottom w:val="single" w:sz="8" w:space="0" w:color="auto"/>
              <w:right w:val="nil"/>
            </w:tcBorders>
            <w:shd w:val="clear" w:color="auto" w:fill="auto"/>
            <w:noWrap/>
            <w:vAlign w:val="center"/>
            <w:hideMark/>
          </w:tcPr>
          <w:p w14:paraId="08B73CBF" w14:textId="77777777" w:rsidR="00247CBF" w:rsidRPr="00092ED7" w:rsidRDefault="00247CBF" w:rsidP="00247CBF">
            <w:pPr>
              <w:spacing w:after="0"/>
              <w:jc w:val="right"/>
              <w:rPr>
                <w:b/>
                <w:bCs/>
                <w:sz w:val="20"/>
                <w:szCs w:val="20"/>
                <w:lang w:val="sr-Cyrl-CS"/>
              </w:rPr>
            </w:pPr>
            <w:r w:rsidRPr="00092ED7">
              <w:rPr>
                <w:b/>
                <w:bCs/>
                <w:sz w:val="20"/>
                <w:szCs w:val="20"/>
                <w:lang w:val="sr-Cyrl-CS"/>
              </w:rPr>
              <w:t>0,0</w:t>
            </w:r>
          </w:p>
        </w:tc>
        <w:tc>
          <w:tcPr>
            <w:tcW w:w="970" w:type="dxa"/>
            <w:tcBorders>
              <w:top w:val="single" w:sz="4" w:space="0" w:color="auto"/>
              <w:left w:val="single" w:sz="4" w:space="0" w:color="auto"/>
              <w:bottom w:val="single" w:sz="8" w:space="0" w:color="auto"/>
              <w:right w:val="nil"/>
            </w:tcBorders>
            <w:shd w:val="clear" w:color="auto" w:fill="auto"/>
            <w:noWrap/>
            <w:vAlign w:val="center"/>
            <w:hideMark/>
          </w:tcPr>
          <w:p w14:paraId="78A22EE5" w14:textId="77777777" w:rsidR="00247CBF" w:rsidRPr="00092ED7" w:rsidRDefault="00247CBF" w:rsidP="00247CBF">
            <w:pPr>
              <w:spacing w:after="0"/>
              <w:jc w:val="right"/>
              <w:rPr>
                <w:b/>
                <w:bCs/>
                <w:sz w:val="20"/>
                <w:szCs w:val="20"/>
                <w:lang w:val="sr-Cyrl-CS"/>
              </w:rPr>
            </w:pPr>
            <w:r w:rsidRPr="00092ED7">
              <w:rPr>
                <w:b/>
                <w:bCs/>
                <w:sz w:val="20"/>
                <w:szCs w:val="20"/>
                <w:lang w:val="sr-Cyrl-CS"/>
              </w:rPr>
              <w:t>0,0</w:t>
            </w:r>
          </w:p>
        </w:tc>
        <w:tc>
          <w:tcPr>
            <w:tcW w:w="829" w:type="dxa"/>
            <w:tcBorders>
              <w:top w:val="single" w:sz="4" w:space="0" w:color="auto"/>
              <w:left w:val="single" w:sz="4" w:space="0" w:color="auto"/>
              <w:bottom w:val="single" w:sz="8" w:space="0" w:color="auto"/>
              <w:right w:val="double" w:sz="6" w:space="0" w:color="auto"/>
            </w:tcBorders>
            <w:shd w:val="clear" w:color="auto" w:fill="auto"/>
            <w:noWrap/>
            <w:vAlign w:val="center"/>
            <w:hideMark/>
          </w:tcPr>
          <w:p w14:paraId="00EDFA49" w14:textId="77777777" w:rsidR="00247CBF" w:rsidRPr="00092ED7" w:rsidRDefault="00247CBF" w:rsidP="00247CBF">
            <w:pPr>
              <w:spacing w:after="0"/>
              <w:jc w:val="right"/>
              <w:rPr>
                <w:b/>
                <w:bCs/>
                <w:sz w:val="20"/>
                <w:szCs w:val="20"/>
                <w:lang w:val="sr-Cyrl-CS"/>
              </w:rPr>
            </w:pPr>
            <w:r w:rsidRPr="00092ED7">
              <w:rPr>
                <w:b/>
                <w:bCs/>
                <w:sz w:val="20"/>
                <w:szCs w:val="20"/>
                <w:lang w:val="sr-Cyrl-CS"/>
              </w:rPr>
              <w:t>0,0</w:t>
            </w:r>
          </w:p>
        </w:tc>
      </w:tr>
      <w:tr w:rsidR="00247CBF" w:rsidRPr="00092ED7" w14:paraId="5685B36C" w14:textId="77777777" w:rsidTr="00247CBF">
        <w:trPr>
          <w:trHeight w:val="284"/>
        </w:trPr>
        <w:tc>
          <w:tcPr>
            <w:tcW w:w="6214" w:type="dxa"/>
            <w:tcBorders>
              <w:top w:val="nil"/>
              <w:left w:val="double" w:sz="6" w:space="0" w:color="auto"/>
              <w:bottom w:val="nil"/>
              <w:right w:val="single" w:sz="4" w:space="0" w:color="auto"/>
            </w:tcBorders>
            <w:shd w:val="clear" w:color="auto" w:fill="auto"/>
            <w:vAlign w:val="center"/>
            <w:hideMark/>
          </w:tcPr>
          <w:p w14:paraId="6766894F" w14:textId="77777777" w:rsidR="00247CBF" w:rsidRPr="00092ED7" w:rsidRDefault="00247CBF" w:rsidP="00247CBF">
            <w:pPr>
              <w:spacing w:after="0"/>
              <w:rPr>
                <w:rFonts w:cs="Times New Roman"/>
                <w:sz w:val="20"/>
                <w:szCs w:val="20"/>
                <w:lang w:val="sr-Cyrl-CS"/>
              </w:rPr>
            </w:pPr>
            <w:r w:rsidRPr="00092ED7">
              <w:rPr>
                <w:rFonts w:cs="Times New Roman"/>
                <w:i/>
                <w:iCs/>
                <w:sz w:val="20"/>
                <w:szCs w:val="20"/>
                <w:lang w:val="sr-Cyrl-CS"/>
              </w:rPr>
              <w:t>Мере које нису привремене</w:t>
            </w:r>
            <w:r w:rsidRPr="00092ED7">
              <w:rPr>
                <w:rFonts w:cs="Times New Roman"/>
                <w:sz w:val="20"/>
                <w:szCs w:val="20"/>
                <w:vertAlign w:val="superscript"/>
                <w:lang w:val="sr-Cyrl-CS"/>
              </w:rPr>
              <w:t>1</w:t>
            </w:r>
          </w:p>
        </w:tc>
        <w:tc>
          <w:tcPr>
            <w:tcW w:w="1560" w:type="dxa"/>
            <w:tcBorders>
              <w:top w:val="nil"/>
              <w:left w:val="nil"/>
              <w:bottom w:val="nil"/>
              <w:right w:val="single" w:sz="4" w:space="0" w:color="auto"/>
            </w:tcBorders>
            <w:shd w:val="clear" w:color="auto" w:fill="auto"/>
            <w:noWrap/>
            <w:vAlign w:val="center"/>
          </w:tcPr>
          <w:p w14:paraId="63AE808D" w14:textId="77777777" w:rsidR="00247CBF" w:rsidRPr="00092ED7" w:rsidRDefault="00247CBF" w:rsidP="00247CBF">
            <w:pPr>
              <w:spacing w:after="0"/>
              <w:rPr>
                <w:rFonts w:cs="Times New Roman"/>
                <w:sz w:val="20"/>
                <w:szCs w:val="20"/>
                <w:lang w:val="sr-Cyrl-CS"/>
              </w:rPr>
            </w:pPr>
          </w:p>
        </w:tc>
        <w:tc>
          <w:tcPr>
            <w:tcW w:w="1126" w:type="dxa"/>
            <w:tcBorders>
              <w:top w:val="nil"/>
              <w:left w:val="single" w:sz="4" w:space="0" w:color="auto"/>
              <w:bottom w:val="single" w:sz="4" w:space="0" w:color="auto"/>
              <w:right w:val="single" w:sz="8" w:space="0" w:color="auto"/>
            </w:tcBorders>
            <w:shd w:val="clear" w:color="auto" w:fill="auto"/>
            <w:noWrap/>
            <w:vAlign w:val="center"/>
          </w:tcPr>
          <w:p w14:paraId="38868DCB" w14:textId="77777777" w:rsidR="00247CBF" w:rsidRPr="00092ED7" w:rsidRDefault="00247CBF" w:rsidP="00247CBF">
            <w:pPr>
              <w:spacing w:after="0"/>
              <w:rPr>
                <w:rFonts w:cs="Times New Roman"/>
                <w:sz w:val="20"/>
                <w:szCs w:val="20"/>
                <w:lang w:val="sr-Cyrl-CS"/>
              </w:rPr>
            </w:pPr>
          </w:p>
        </w:tc>
        <w:tc>
          <w:tcPr>
            <w:tcW w:w="939" w:type="dxa"/>
            <w:tcBorders>
              <w:top w:val="nil"/>
              <w:left w:val="nil"/>
              <w:bottom w:val="nil"/>
              <w:right w:val="single" w:sz="4" w:space="0" w:color="auto"/>
            </w:tcBorders>
            <w:shd w:val="clear" w:color="auto" w:fill="auto"/>
            <w:noWrap/>
            <w:vAlign w:val="center"/>
          </w:tcPr>
          <w:p w14:paraId="1CFA8628" w14:textId="77777777" w:rsidR="00247CBF" w:rsidRPr="00092ED7" w:rsidRDefault="00247CBF" w:rsidP="00247CBF">
            <w:pPr>
              <w:spacing w:after="0"/>
              <w:rPr>
                <w:rFonts w:cs="Times New Roman"/>
                <w:sz w:val="20"/>
                <w:szCs w:val="20"/>
                <w:lang w:val="sr-Cyrl-CS"/>
              </w:rPr>
            </w:pPr>
          </w:p>
        </w:tc>
        <w:tc>
          <w:tcPr>
            <w:tcW w:w="970" w:type="dxa"/>
            <w:tcBorders>
              <w:top w:val="nil"/>
              <w:left w:val="single" w:sz="4" w:space="0" w:color="auto"/>
              <w:bottom w:val="nil"/>
              <w:right w:val="nil"/>
            </w:tcBorders>
            <w:shd w:val="clear" w:color="auto" w:fill="auto"/>
            <w:noWrap/>
            <w:vAlign w:val="center"/>
          </w:tcPr>
          <w:p w14:paraId="51F9651A" w14:textId="77777777" w:rsidR="00247CBF" w:rsidRPr="00092ED7" w:rsidRDefault="00247CBF" w:rsidP="00247CBF">
            <w:pPr>
              <w:spacing w:after="0"/>
              <w:rPr>
                <w:rFonts w:cs="Times New Roman"/>
                <w:sz w:val="20"/>
                <w:szCs w:val="20"/>
                <w:lang w:val="sr-Cyrl-CS"/>
              </w:rPr>
            </w:pPr>
          </w:p>
        </w:tc>
        <w:tc>
          <w:tcPr>
            <w:tcW w:w="970" w:type="dxa"/>
            <w:tcBorders>
              <w:top w:val="nil"/>
              <w:left w:val="single" w:sz="4" w:space="0" w:color="auto"/>
              <w:bottom w:val="nil"/>
              <w:right w:val="nil"/>
            </w:tcBorders>
            <w:shd w:val="clear" w:color="auto" w:fill="auto"/>
            <w:noWrap/>
            <w:vAlign w:val="center"/>
          </w:tcPr>
          <w:p w14:paraId="67A8759A" w14:textId="77777777" w:rsidR="00247CBF" w:rsidRPr="00092ED7" w:rsidRDefault="00247CBF" w:rsidP="00247CBF">
            <w:pPr>
              <w:spacing w:after="0"/>
              <w:rPr>
                <w:rFonts w:cs="Times New Roman"/>
                <w:sz w:val="20"/>
                <w:szCs w:val="20"/>
                <w:lang w:val="sr-Cyrl-CS"/>
              </w:rPr>
            </w:pPr>
          </w:p>
        </w:tc>
        <w:tc>
          <w:tcPr>
            <w:tcW w:w="970" w:type="dxa"/>
            <w:tcBorders>
              <w:top w:val="nil"/>
              <w:left w:val="single" w:sz="4" w:space="0" w:color="auto"/>
              <w:bottom w:val="nil"/>
              <w:right w:val="nil"/>
            </w:tcBorders>
            <w:shd w:val="clear" w:color="auto" w:fill="auto"/>
            <w:noWrap/>
            <w:vAlign w:val="center"/>
          </w:tcPr>
          <w:p w14:paraId="44B48902" w14:textId="77777777" w:rsidR="00247CBF" w:rsidRPr="00092ED7" w:rsidRDefault="00247CBF" w:rsidP="00247CBF">
            <w:pPr>
              <w:spacing w:after="0"/>
              <w:rPr>
                <w:rFonts w:cs="Times New Roman"/>
                <w:sz w:val="20"/>
                <w:szCs w:val="20"/>
                <w:lang w:val="sr-Cyrl-CS"/>
              </w:rPr>
            </w:pPr>
          </w:p>
        </w:tc>
        <w:tc>
          <w:tcPr>
            <w:tcW w:w="829" w:type="dxa"/>
            <w:tcBorders>
              <w:top w:val="nil"/>
              <w:left w:val="single" w:sz="4" w:space="0" w:color="auto"/>
              <w:bottom w:val="nil"/>
              <w:right w:val="double" w:sz="6" w:space="0" w:color="auto"/>
            </w:tcBorders>
            <w:shd w:val="clear" w:color="auto" w:fill="auto"/>
            <w:noWrap/>
            <w:vAlign w:val="center"/>
          </w:tcPr>
          <w:p w14:paraId="5CF8F96D" w14:textId="77777777" w:rsidR="00247CBF" w:rsidRPr="00092ED7" w:rsidRDefault="00247CBF" w:rsidP="00247CBF">
            <w:pPr>
              <w:spacing w:after="0"/>
              <w:rPr>
                <w:rFonts w:cs="Times New Roman"/>
                <w:sz w:val="20"/>
                <w:szCs w:val="20"/>
                <w:lang w:val="sr-Cyrl-CS"/>
              </w:rPr>
            </w:pPr>
          </w:p>
        </w:tc>
      </w:tr>
      <w:tr w:rsidR="00247CBF" w:rsidRPr="00092ED7" w14:paraId="26227EEE" w14:textId="77777777" w:rsidTr="00247CBF">
        <w:trPr>
          <w:trHeight w:val="284"/>
        </w:trPr>
        <w:tc>
          <w:tcPr>
            <w:tcW w:w="6214" w:type="dxa"/>
            <w:tcBorders>
              <w:top w:val="single" w:sz="4" w:space="0" w:color="auto"/>
              <w:left w:val="double" w:sz="6" w:space="0" w:color="auto"/>
              <w:bottom w:val="dotted" w:sz="4" w:space="0" w:color="auto"/>
              <w:right w:val="single" w:sz="4" w:space="0" w:color="auto"/>
            </w:tcBorders>
            <w:shd w:val="clear" w:color="auto" w:fill="auto"/>
            <w:vAlign w:val="center"/>
            <w:hideMark/>
          </w:tcPr>
          <w:p w14:paraId="6241147E" w14:textId="77777777" w:rsidR="00247CBF" w:rsidRPr="00092ED7" w:rsidRDefault="00247CBF" w:rsidP="00247CBF">
            <w:pPr>
              <w:spacing w:after="0"/>
              <w:jc w:val="left"/>
              <w:rPr>
                <w:sz w:val="20"/>
                <w:lang w:val="sr-Cyrl-CS"/>
              </w:rPr>
            </w:pPr>
            <w:r w:rsidRPr="00092ED7">
              <w:rPr>
                <w:sz w:val="20"/>
                <w:lang w:val="sr-Cyrl-CS"/>
              </w:rPr>
              <w:t>Повећање плата запосленима у здравству</w:t>
            </w:r>
          </w:p>
        </w:tc>
        <w:tc>
          <w:tcPr>
            <w:tcW w:w="1560" w:type="dxa"/>
            <w:tcBorders>
              <w:top w:val="single" w:sz="4" w:space="0" w:color="auto"/>
              <w:left w:val="nil"/>
              <w:bottom w:val="dotted" w:sz="4" w:space="0" w:color="auto"/>
              <w:right w:val="single" w:sz="4" w:space="0" w:color="auto"/>
            </w:tcBorders>
            <w:shd w:val="clear" w:color="auto" w:fill="auto"/>
            <w:noWrap/>
            <w:vAlign w:val="center"/>
            <w:hideMark/>
          </w:tcPr>
          <w:p w14:paraId="75BC12F1" w14:textId="77777777" w:rsidR="00247CBF" w:rsidRPr="00092ED7" w:rsidRDefault="00247CBF" w:rsidP="00247CBF">
            <w:pPr>
              <w:spacing w:after="0"/>
              <w:jc w:val="center"/>
              <w:rPr>
                <w:sz w:val="20"/>
                <w:lang w:val="sr-Cyrl-CS"/>
              </w:rPr>
            </w:pPr>
            <w:r w:rsidRPr="00092ED7">
              <w:rPr>
                <w:sz w:val="20"/>
                <w:lang w:val="sr-Cyrl-CS"/>
              </w:rPr>
              <w:t>D1</w:t>
            </w:r>
          </w:p>
        </w:tc>
        <w:tc>
          <w:tcPr>
            <w:tcW w:w="1126" w:type="dxa"/>
            <w:tcBorders>
              <w:top w:val="nil"/>
              <w:left w:val="single" w:sz="4" w:space="0" w:color="auto"/>
              <w:bottom w:val="dotted" w:sz="4" w:space="0" w:color="auto"/>
              <w:right w:val="single" w:sz="8" w:space="0" w:color="auto"/>
            </w:tcBorders>
            <w:shd w:val="clear" w:color="auto" w:fill="auto"/>
            <w:noWrap/>
            <w:vAlign w:val="center"/>
          </w:tcPr>
          <w:p w14:paraId="4B2F9A57" w14:textId="77777777" w:rsidR="00247CBF" w:rsidRPr="00092ED7" w:rsidRDefault="00247CBF" w:rsidP="00247CBF">
            <w:pPr>
              <w:spacing w:after="0"/>
              <w:jc w:val="center"/>
              <w:rPr>
                <w:sz w:val="20"/>
                <w:lang w:val="sr-Cyrl-CS"/>
              </w:rPr>
            </w:pPr>
            <w:r w:rsidRPr="00092ED7">
              <w:rPr>
                <w:sz w:val="20"/>
                <w:lang w:val="sr-Cyrl-CS"/>
              </w:rPr>
              <w:t>:</w:t>
            </w:r>
          </w:p>
        </w:tc>
        <w:tc>
          <w:tcPr>
            <w:tcW w:w="939" w:type="dxa"/>
            <w:tcBorders>
              <w:top w:val="single" w:sz="4" w:space="0" w:color="auto"/>
              <w:left w:val="nil"/>
              <w:bottom w:val="dotted" w:sz="4" w:space="0" w:color="auto"/>
              <w:right w:val="single" w:sz="4" w:space="0" w:color="auto"/>
            </w:tcBorders>
            <w:shd w:val="clear" w:color="auto" w:fill="auto"/>
            <w:noWrap/>
            <w:vAlign w:val="center"/>
            <w:hideMark/>
          </w:tcPr>
          <w:p w14:paraId="7C40DFEE" w14:textId="77777777" w:rsidR="00247CBF" w:rsidRPr="00092ED7" w:rsidRDefault="00247CBF" w:rsidP="00247CBF">
            <w:pPr>
              <w:spacing w:after="0"/>
              <w:jc w:val="right"/>
              <w:rPr>
                <w:sz w:val="20"/>
                <w:lang w:val="sr-Cyrl-CS"/>
              </w:rPr>
            </w:pPr>
            <w:r w:rsidRPr="00092ED7">
              <w:rPr>
                <w:sz w:val="20"/>
                <w:lang w:val="sr-Cyrl-CS"/>
              </w:rPr>
              <w:t>:</w:t>
            </w:r>
          </w:p>
        </w:tc>
        <w:tc>
          <w:tcPr>
            <w:tcW w:w="970" w:type="dxa"/>
            <w:tcBorders>
              <w:top w:val="single" w:sz="4" w:space="0" w:color="auto"/>
              <w:left w:val="single" w:sz="4" w:space="0" w:color="auto"/>
              <w:bottom w:val="dotted" w:sz="4" w:space="0" w:color="auto"/>
              <w:right w:val="nil"/>
            </w:tcBorders>
            <w:shd w:val="clear" w:color="auto" w:fill="auto"/>
            <w:noWrap/>
            <w:vAlign w:val="center"/>
            <w:hideMark/>
          </w:tcPr>
          <w:p w14:paraId="5FDBB5FB" w14:textId="77777777" w:rsidR="00247CBF" w:rsidRPr="00092ED7" w:rsidRDefault="00247CBF" w:rsidP="00247CBF">
            <w:pPr>
              <w:spacing w:after="0"/>
              <w:jc w:val="right"/>
              <w:rPr>
                <w:sz w:val="20"/>
                <w:lang w:val="sr-Cyrl-CS"/>
              </w:rPr>
            </w:pPr>
            <w:r w:rsidRPr="00092ED7">
              <w:rPr>
                <w:sz w:val="20"/>
                <w:lang w:val="sr-Cyrl-CS"/>
              </w:rPr>
              <w:t>:</w:t>
            </w:r>
          </w:p>
        </w:tc>
        <w:tc>
          <w:tcPr>
            <w:tcW w:w="970" w:type="dxa"/>
            <w:tcBorders>
              <w:top w:val="single" w:sz="4" w:space="0" w:color="auto"/>
              <w:left w:val="single" w:sz="4" w:space="0" w:color="auto"/>
              <w:bottom w:val="dotted" w:sz="4" w:space="0" w:color="auto"/>
              <w:right w:val="nil"/>
            </w:tcBorders>
            <w:shd w:val="clear" w:color="auto" w:fill="auto"/>
            <w:noWrap/>
            <w:vAlign w:val="center"/>
            <w:hideMark/>
          </w:tcPr>
          <w:p w14:paraId="0AE1363A" w14:textId="77777777" w:rsidR="00247CBF" w:rsidRPr="00092ED7" w:rsidRDefault="00247CBF" w:rsidP="00247CBF">
            <w:pPr>
              <w:spacing w:after="0"/>
              <w:jc w:val="right"/>
              <w:rPr>
                <w:sz w:val="20"/>
                <w:lang w:val="sr-Cyrl-CS"/>
              </w:rPr>
            </w:pPr>
            <w:r w:rsidRPr="00092ED7">
              <w:rPr>
                <w:sz w:val="20"/>
                <w:lang w:val="sr-Cyrl-CS"/>
              </w:rPr>
              <w:t>:</w:t>
            </w:r>
          </w:p>
        </w:tc>
        <w:tc>
          <w:tcPr>
            <w:tcW w:w="970" w:type="dxa"/>
            <w:tcBorders>
              <w:top w:val="single" w:sz="4" w:space="0" w:color="auto"/>
              <w:left w:val="single" w:sz="4" w:space="0" w:color="auto"/>
              <w:bottom w:val="dotted" w:sz="4" w:space="0" w:color="auto"/>
              <w:right w:val="nil"/>
            </w:tcBorders>
            <w:shd w:val="clear" w:color="auto" w:fill="auto"/>
            <w:noWrap/>
            <w:vAlign w:val="center"/>
            <w:hideMark/>
          </w:tcPr>
          <w:p w14:paraId="7CEA12F4" w14:textId="77777777" w:rsidR="00247CBF" w:rsidRPr="00092ED7" w:rsidRDefault="00247CBF" w:rsidP="00247CBF">
            <w:pPr>
              <w:spacing w:after="0"/>
              <w:jc w:val="right"/>
              <w:rPr>
                <w:sz w:val="20"/>
                <w:lang w:val="sr-Cyrl-CS"/>
              </w:rPr>
            </w:pPr>
            <w:r w:rsidRPr="00092ED7">
              <w:rPr>
                <w:sz w:val="20"/>
                <w:lang w:val="sr-Cyrl-CS"/>
              </w:rPr>
              <w:t>:</w:t>
            </w:r>
          </w:p>
        </w:tc>
        <w:tc>
          <w:tcPr>
            <w:tcW w:w="829" w:type="dxa"/>
            <w:tcBorders>
              <w:top w:val="single" w:sz="4" w:space="0" w:color="auto"/>
              <w:left w:val="single" w:sz="4" w:space="0" w:color="auto"/>
              <w:bottom w:val="dotted" w:sz="4" w:space="0" w:color="auto"/>
              <w:right w:val="double" w:sz="6" w:space="0" w:color="auto"/>
            </w:tcBorders>
            <w:shd w:val="clear" w:color="auto" w:fill="auto"/>
            <w:noWrap/>
            <w:vAlign w:val="center"/>
            <w:hideMark/>
          </w:tcPr>
          <w:p w14:paraId="3AE60A36" w14:textId="77777777" w:rsidR="00247CBF" w:rsidRPr="00092ED7" w:rsidRDefault="00247CBF" w:rsidP="00247CBF">
            <w:pPr>
              <w:spacing w:after="0"/>
              <w:jc w:val="right"/>
              <w:rPr>
                <w:sz w:val="20"/>
                <w:lang w:val="sr-Cyrl-CS"/>
              </w:rPr>
            </w:pPr>
            <w:r w:rsidRPr="00092ED7">
              <w:rPr>
                <w:sz w:val="20"/>
                <w:lang w:val="sr-Cyrl-CS"/>
              </w:rPr>
              <w:t>:</w:t>
            </w:r>
          </w:p>
        </w:tc>
      </w:tr>
      <w:tr w:rsidR="00247CBF" w:rsidRPr="00092ED7" w14:paraId="6FCD2EBA" w14:textId="77777777" w:rsidTr="00247CBF">
        <w:trPr>
          <w:trHeight w:val="284"/>
        </w:trPr>
        <w:tc>
          <w:tcPr>
            <w:tcW w:w="6214" w:type="dxa"/>
            <w:tcBorders>
              <w:top w:val="nil"/>
              <w:left w:val="double" w:sz="6" w:space="0" w:color="auto"/>
              <w:bottom w:val="dotted" w:sz="4" w:space="0" w:color="auto"/>
              <w:right w:val="single" w:sz="4" w:space="0" w:color="auto"/>
            </w:tcBorders>
            <w:shd w:val="clear" w:color="auto" w:fill="auto"/>
            <w:vAlign w:val="center"/>
            <w:hideMark/>
          </w:tcPr>
          <w:p w14:paraId="146C249D" w14:textId="77777777" w:rsidR="00247CBF" w:rsidRPr="00092ED7" w:rsidRDefault="00247CBF" w:rsidP="00247CBF">
            <w:pPr>
              <w:spacing w:after="0"/>
              <w:jc w:val="left"/>
              <w:rPr>
                <w:sz w:val="20"/>
                <w:lang w:val="sr-Cyrl-CS"/>
              </w:rPr>
            </w:pPr>
            <w:r w:rsidRPr="00092ED7">
              <w:rPr>
                <w:sz w:val="20"/>
                <w:lang w:val="sr-Cyrl-CS"/>
              </w:rPr>
              <w:t xml:space="preserve">Смањење доприноса за пио и повећање неопорезивог цензуса </w:t>
            </w:r>
          </w:p>
        </w:tc>
        <w:tc>
          <w:tcPr>
            <w:tcW w:w="1560" w:type="dxa"/>
            <w:tcBorders>
              <w:top w:val="nil"/>
              <w:left w:val="nil"/>
              <w:bottom w:val="dotted" w:sz="4" w:space="0" w:color="auto"/>
              <w:right w:val="single" w:sz="4" w:space="0" w:color="auto"/>
            </w:tcBorders>
            <w:shd w:val="clear" w:color="auto" w:fill="auto"/>
            <w:noWrap/>
            <w:vAlign w:val="center"/>
            <w:hideMark/>
          </w:tcPr>
          <w:p w14:paraId="13C55EB3" w14:textId="77777777" w:rsidR="00247CBF" w:rsidRPr="00092ED7" w:rsidRDefault="00247CBF" w:rsidP="00247CBF">
            <w:pPr>
              <w:spacing w:after="0"/>
              <w:jc w:val="center"/>
              <w:rPr>
                <w:sz w:val="20"/>
                <w:lang w:val="sr-Cyrl-CS"/>
              </w:rPr>
            </w:pPr>
            <w:r w:rsidRPr="00092ED7">
              <w:rPr>
                <w:sz w:val="20"/>
                <w:lang w:val="sr-Cyrl-CS"/>
              </w:rPr>
              <w:t>D5, D61</w:t>
            </w:r>
          </w:p>
        </w:tc>
        <w:tc>
          <w:tcPr>
            <w:tcW w:w="1126" w:type="dxa"/>
            <w:tcBorders>
              <w:top w:val="nil"/>
              <w:left w:val="single" w:sz="4" w:space="0" w:color="auto"/>
              <w:bottom w:val="dotted" w:sz="4" w:space="0" w:color="auto"/>
              <w:right w:val="single" w:sz="8" w:space="0" w:color="auto"/>
            </w:tcBorders>
            <w:shd w:val="clear" w:color="auto" w:fill="auto"/>
            <w:vAlign w:val="center"/>
          </w:tcPr>
          <w:p w14:paraId="15CEAD55" w14:textId="77777777" w:rsidR="00247CBF" w:rsidRPr="00092ED7" w:rsidRDefault="00247CBF" w:rsidP="00247CBF">
            <w:pPr>
              <w:spacing w:after="0"/>
              <w:jc w:val="center"/>
              <w:rPr>
                <w:sz w:val="20"/>
                <w:lang w:val="sr-Cyrl-CS"/>
              </w:rPr>
            </w:pPr>
            <w:r w:rsidRPr="00092ED7">
              <w:rPr>
                <w:sz w:val="20"/>
                <w:lang w:val="sr-Cyrl-CS"/>
              </w:rPr>
              <w:t>:</w:t>
            </w:r>
          </w:p>
        </w:tc>
        <w:tc>
          <w:tcPr>
            <w:tcW w:w="939" w:type="dxa"/>
            <w:tcBorders>
              <w:top w:val="nil"/>
              <w:left w:val="nil"/>
              <w:bottom w:val="dotted" w:sz="4" w:space="0" w:color="auto"/>
              <w:right w:val="single" w:sz="4" w:space="0" w:color="auto"/>
            </w:tcBorders>
            <w:shd w:val="clear" w:color="auto" w:fill="auto"/>
            <w:noWrap/>
            <w:vAlign w:val="center"/>
            <w:hideMark/>
          </w:tcPr>
          <w:p w14:paraId="34DC411D" w14:textId="77777777" w:rsidR="00247CBF" w:rsidRPr="00092ED7" w:rsidRDefault="00247CBF" w:rsidP="00247CBF">
            <w:pPr>
              <w:spacing w:after="0"/>
              <w:jc w:val="right"/>
              <w:rPr>
                <w:sz w:val="20"/>
                <w:lang w:val="sr-Cyrl-CS"/>
              </w:rPr>
            </w:pPr>
            <w:r w:rsidRPr="00092ED7">
              <w:rPr>
                <w:sz w:val="20"/>
                <w:lang w:val="sr-Cyrl-CS"/>
              </w:rPr>
              <w:t>:</w:t>
            </w:r>
          </w:p>
        </w:tc>
        <w:tc>
          <w:tcPr>
            <w:tcW w:w="970" w:type="dxa"/>
            <w:tcBorders>
              <w:top w:val="nil"/>
              <w:left w:val="single" w:sz="4" w:space="0" w:color="auto"/>
              <w:bottom w:val="dotted" w:sz="4" w:space="0" w:color="auto"/>
              <w:right w:val="nil"/>
            </w:tcBorders>
            <w:shd w:val="clear" w:color="auto" w:fill="auto"/>
            <w:noWrap/>
            <w:vAlign w:val="center"/>
            <w:hideMark/>
          </w:tcPr>
          <w:p w14:paraId="00BAC7F6" w14:textId="77777777" w:rsidR="00247CBF" w:rsidRPr="00092ED7" w:rsidRDefault="00247CBF" w:rsidP="00247CBF">
            <w:pPr>
              <w:spacing w:after="0"/>
              <w:jc w:val="right"/>
              <w:rPr>
                <w:sz w:val="20"/>
                <w:lang w:val="sr-Cyrl-CS"/>
              </w:rPr>
            </w:pPr>
            <w:r w:rsidRPr="00092ED7">
              <w:rPr>
                <w:sz w:val="20"/>
                <w:lang w:val="sr-Cyrl-CS"/>
              </w:rPr>
              <w:t>:</w:t>
            </w:r>
          </w:p>
        </w:tc>
        <w:tc>
          <w:tcPr>
            <w:tcW w:w="970" w:type="dxa"/>
            <w:tcBorders>
              <w:top w:val="nil"/>
              <w:left w:val="single" w:sz="4" w:space="0" w:color="auto"/>
              <w:bottom w:val="dotted" w:sz="4" w:space="0" w:color="auto"/>
              <w:right w:val="nil"/>
            </w:tcBorders>
            <w:shd w:val="clear" w:color="auto" w:fill="auto"/>
            <w:noWrap/>
            <w:vAlign w:val="center"/>
            <w:hideMark/>
          </w:tcPr>
          <w:p w14:paraId="1895D45A" w14:textId="77777777" w:rsidR="00247CBF" w:rsidRPr="00092ED7" w:rsidRDefault="00247CBF" w:rsidP="00247CBF">
            <w:pPr>
              <w:spacing w:after="0"/>
              <w:jc w:val="right"/>
              <w:rPr>
                <w:sz w:val="20"/>
                <w:lang w:val="sr-Cyrl-CS"/>
              </w:rPr>
            </w:pPr>
            <w:r w:rsidRPr="00092ED7">
              <w:rPr>
                <w:sz w:val="20"/>
                <w:lang w:val="sr-Cyrl-CS"/>
              </w:rPr>
              <w:t>:</w:t>
            </w:r>
          </w:p>
        </w:tc>
        <w:tc>
          <w:tcPr>
            <w:tcW w:w="970" w:type="dxa"/>
            <w:tcBorders>
              <w:top w:val="nil"/>
              <w:left w:val="single" w:sz="4" w:space="0" w:color="auto"/>
              <w:bottom w:val="dotted" w:sz="4" w:space="0" w:color="auto"/>
              <w:right w:val="nil"/>
            </w:tcBorders>
            <w:shd w:val="clear" w:color="auto" w:fill="auto"/>
            <w:noWrap/>
            <w:vAlign w:val="center"/>
            <w:hideMark/>
          </w:tcPr>
          <w:p w14:paraId="47004C13" w14:textId="77777777" w:rsidR="00247CBF" w:rsidRPr="00092ED7" w:rsidRDefault="00247CBF" w:rsidP="00247CBF">
            <w:pPr>
              <w:spacing w:after="0"/>
              <w:jc w:val="right"/>
              <w:rPr>
                <w:sz w:val="20"/>
                <w:lang w:val="sr-Cyrl-CS"/>
              </w:rPr>
            </w:pPr>
            <w:r w:rsidRPr="00092ED7">
              <w:rPr>
                <w:sz w:val="20"/>
                <w:lang w:val="sr-Cyrl-CS"/>
              </w:rPr>
              <w:t>:</w:t>
            </w:r>
          </w:p>
        </w:tc>
        <w:tc>
          <w:tcPr>
            <w:tcW w:w="829" w:type="dxa"/>
            <w:tcBorders>
              <w:top w:val="nil"/>
              <w:left w:val="single" w:sz="4" w:space="0" w:color="auto"/>
              <w:bottom w:val="dotted" w:sz="4" w:space="0" w:color="auto"/>
              <w:right w:val="double" w:sz="6" w:space="0" w:color="auto"/>
            </w:tcBorders>
            <w:shd w:val="clear" w:color="auto" w:fill="auto"/>
            <w:noWrap/>
            <w:vAlign w:val="center"/>
            <w:hideMark/>
          </w:tcPr>
          <w:p w14:paraId="71734FE6" w14:textId="77777777" w:rsidR="00247CBF" w:rsidRPr="00092ED7" w:rsidRDefault="00247CBF" w:rsidP="00247CBF">
            <w:pPr>
              <w:spacing w:after="0"/>
              <w:jc w:val="right"/>
              <w:rPr>
                <w:sz w:val="20"/>
                <w:lang w:val="sr-Cyrl-CS"/>
              </w:rPr>
            </w:pPr>
            <w:r w:rsidRPr="00092ED7">
              <w:rPr>
                <w:sz w:val="20"/>
                <w:lang w:val="sr-Cyrl-CS"/>
              </w:rPr>
              <w:t>:</w:t>
            </w:r>
          </w:p>
        </w:tc>
      </w:tr>
      <w:tr w:rsidR="00247CBF" w:rsidRPr="00092ED7" w14:paraId="68166785" w14:textId="77777777" w:rsidTr="00247CBF">
        <w:trPr>
          <w:trHeight w:val="284"/>
        </w:trPr>
        <w:tc>
          <w:tcPr>
            <w:tcW w:w="6214" w:type="dxa"/>
            <w:tcBorders>
              <w:top w:val="nil"/>
              <w:left w:val="double" w:sz="6" w:space="0" w:color="auto"/>
              <w:bottom w:val="dotted" w:sz="4" w:space="0" w:color="auto"/>
              <w:right w:val="single" w:sz="4" w:space="0" w:color="auto"/>
            </w:tcBorders>
            <w:shd w:val="clear" w:color="auto" w:fill="auto"/>
            <w:vAlign w:val="center"/>
            <w:hideMark/>
          </w:tcPr>
          <w:p w14:paraId="2D867F4C" w14:textId="77777777" w:rsidR="00247CBF" w:rsidRPr="00092ED7" w:rsidRDefault="00247CBF" w:rsidP="00247CBF">
            <w:pPr>
              <w:spacing w:after="0"/>
              <w:jc w:val="left"/>
              <w:rPr>
                <w:sz w:val="20"/>
                <w:lang w:val="sr-Cyrl-CS"/>
              </w:rPr>
            </w:pPr>
            <w:r w:rsidRPr="00092ED7">
              <w:rPr>
                <w:sz w:val="20"/>
                <w:lang w:val="sr-Cyrl-CS"/>
              </w:rPr>
              <w:t>Измене демографске политике</w:t>
            </w:r>
          </w:p>
        </w:tc>
        <w:tc>
          <w:tcPr>
            <w:tcW w:w="1560" w:type="dxa"/>
            <w:tcBorders>
              <w:top w:val="nil"/>
              <w:left w:val="nil"/>
              <w:bottom w:val="dotted" w:sz="4" w:space="0" w:color="auto"/>
              <w:right w:val="single" w:sz="4" w:space="0" w:color="auto"/>
            </w:tcBorders>
            <w:shd w:val="clear" w:color="auto" w:fill="auto"/>
            <w:noWrap/>
            <w:vAlign w:val="center"/>
            <w:hideMark/>
          </w:tcPr>
          <w:p w14:paraId="1BCE457A" w14:textId="77777777" w:rsidR="00247CBF" w:rsidRPr="00092ED7" w:rsidRDefault="00247CBF" w:rsidP="00247CBF">
            <w:pPr>
              <w:spacing w:after="0"/>
              <w:jc w:val="center"/>
              <w:rPr>
                <w:sz w:val="20"/>
                <w:lang w:val="sr-Cyrl-CS"/>
              </w:rPr>
            </w:pPr>
            <w:r w:rsidRPr="00092ED7">
              <w:rPr>
                <w:sz w:val="20"/>
                <w:lang w:val="sr-Cyrl-CS"/>
              </w:rPr>
              <w:t>:</w:t>
            </w:r>
          </w:p>
        </w:tc>
        <w:tc>
          <w:tcPr>
            <w:tcW w:w="1126" w:type="dxa"/>
            <w:tcBorders>
              <w:top w:val="nil"/>
              <w:left w:val="single" w:sz="4" w:space="0" w:color="auto"/>
              <w:bottom w:val="dotted" w:sz="4" w:space="0" w:color="auto"/>
              <w:right w:val="single" w:sz="8" w:space="0" w:color="auto"/>
            </w:tcBorders>
            <w:shd w:val="clear" w:color="auto" w:fill="auto"/>
            <w:noWrap/>
            <w:vAlign w:val="center"/>
          </w:tcPr>
          <w:p w14:paraId="534C1C01" w14:textId="77777777" w:rsidR="00247CBF" w:rsidRPr="00092ED7" w:rsidRDefault="00247CBF" w:rsidP="00247CBF">
            <w:pPr>
              <w:spacing w:after="0"/>
              <w:jc w:val="center"/>
              <w:rPr>
                <w:sz w:val="20"/>
                <w:lang w:val="sr-Cyrl-CS"/>
              </w:rPr>
            </w:pPr>
            <w:r w:rsidRPr="00092ED7">
              <w:rPr>
                <w:sz w:val="20"/>
                <w:lang w:val="sr-Cyrl-CS"/>
              </w:rPr>
              <w:t>:</w:t>
            </w:r>
          </w:p>
        </w:tc>
        <w:tc>
          <w:tcPr>
            <w:tcW w:w="939" w:type="dxa"/>
            <w:tcBorders>
              <w:top w:val="nil"/>
              <w:left w:val="nil"/>
              <w:bottom w:val="dotted" w:sz="4" w:space="0" w:color="auto"/>
              <w:right w:val="single" w:sz="4" w:space="0" w:color="auto"/>
            </w:tcBorders>
            <w:shd w:val="clear" w:color="auto" w:fill="auto"/>
            <w:noWrap/>
            <w:vAlign w:val="center"/>
            <w:hideMark/>
          </w:tcPr>
          <w:p w14:paraId="29DB4588" w14:textId="77777777" w:rsidR="00247CBF" w:rsidRPr="00092ED7" w:rsidRDefault="00247CBF" w:rsidP="00247CBF">
            <w:pPr>
              <w:spacing w:after="0"/>
              <w:jc w:val="right"/>
              <w:rPr>
                <w:sz w:val="20"/>
                <w:lang w:val="sr-Cyrl-CS"/>
              </w:rPr>
            </w:pPr>
            <w:r w:rsidRPr="00092ED7">
              <w:rPr>
                <w:sz w:val="20"/>
                <w:lang w:val="sr-Cyrl-CS"/>
              </w:rPr>
              <w:t>0,1</w:t>
            </w:r>
          </w:p>
        </w:tc>
        <w:tc>
          <w:tcPr>
            <w:tcW w:w="970" w:type="dxa"/>
            <w:tcBorders>
              <w:top w:val="nil"/>
              <w:left w:val="single" w:sz="4" w:space="0" w:color="auto"/>
              <w:bottom w:val="dotted" w:sz="4" w:space="0" w:color="auto"/>
              <w:right w:val="nil"/>
            </w:tcBorders>
            <w:shd w:val="clear" w:color="auto" w:fill="auto"/>
            <w:noWrap/>
            <w:vAlign w:val="center"/>
            <w:hideMark/>
          </w:tcPr>
          <w:p w14:paraId="5C072CD9" w14:textId="77777777" w:rsidR="00247CBF" w:rsidRPr="00092ED7" w:rsidRDefault="00247CBF" w:rsidP="00247CBF">
            <w:pPr>
              <w:spacing w:after="0"/>
              <w:jc w:val="right"/>
              <w:rPr>
                <w:sz w:val="20"/>
                <w:lang w:val="sr-Cyrl-CS"/>
              </w:rPr>
            </w:pPr>
            <w:r w:rsidRPr="00092ED7">
              <w:rPr>
                <w:sz w:val="20"/>
                <w:lang w:val="sr-Cyrl-CS"/>
              </w:rPr>
              <w:t>-0,1</w:t>
            </w:r>
          </w:p>
        </w:tc>
        <w:tc>
          <w:tcPr>
            <w:tcW w:w="970" w:type="dxa"/>
            <w:tcBorders>
              <w:top w:val="nil"/>
              <w:left w:val="single" w:sz="4" w:space="0" w:color="auto"/>
              <w:bottom w:val="dotted" w:sz="4" w:space="0" w:color="auto"/>
              <w:right w:val="nil"/>
            </w:tcBorders>
            <w:shd w:val="clear" w:color="auto" w:fill="auto"/>
            <w:noWrap/>
            <w:vAlign w:val="center"/>
            <w:hideMark/>
          </w:tcPr>
          <w:p w14:paraId="1A5074C0" w14:textId="77777777" w:rsidR="00247CBF" w:rsidRPr="00092ED7" w:rsidRDefault="00247CBF" w:rsidP="00247CBF">
            <w:pPr>
              <w:spacing w:after="0"/>
              <w:jc w:val="right"/>
              <w:rPr>
                <w:sz w:val="20"/>
                <w:lang w:val="sr-Cyrl-CS"/>
              </w:rPr>
            </w:pPr>
            <w:r w:rsidRPr="00092ED7">
              <w:rPr>
                <w:sz w:val="20"/>
                <w:lang w:val="sr-Cyrl-CS"/>
              </w:rPr>
              <w:t>-0,3</w:t>
            </w:r>
          </w:p>
        </w:tc>
        <w:tc>
          <w:tcPr>
            <w:tcW w:w="970" w:type="dxa"/>
            <w:tcBorders>
              <w:top w:val="nil"/>
              <w:left w:val="single" w:sz="4" w:space="0" w:color="auto"/>
              <w:bottom w:val="dotted" w:sz="4" w:space="0" w:color="auto"/>
              <w:right w:val="nil"/>
            </w:tcBorders>
            <w:shd w:val="clear" w:color="auto" w:fill="auto"/>
            <w:noWrap/>
            <w:vAlign w:val="center"/>
            <w:hideMark/>
          </w:tcPr>
          <w:p w14:paraId="1B9B9D27" w14:textId="77777777" w:rsidR="00247CBF" w:rsidRPr="00092ED7" w:rsidRDefault="00247CBF" w:rsidP="00247CBF">
            <w:pPr>
              <w:spacing w:after="0"/>
              <w:jc w:val="right"/>
              <w:rPr>
                <w:sz w:val="20"/>
                <w:lang w:val="sr-Cyrl-CS"/>
              </w:rPr>
            </w:pPr>
            <w:r w:rsidRPr="00092ED7">
              <w:rPr>
                <w:sz w:val="20"/>
                <w:lang w:val="sr-Cyrl-CS"/>
              </w:rPr>
              <w:t>:</w:t>
            </w:r>
          </w:p>
        </w:tc>
        <w:tc>
          <w:tcPr>
            <w:tcW w:w="829" w:type="dxa"/>
            <w:tcBorders>
              <w:top w:val="nil"/>
              <w:left w:val="single" w:sz="4" w:space="0" w:color="auto"/>
              <w:bottom w:val="dotted" w:sz="4" w:space="0" w:color="auto"/>
              <w:right w:val="double" w:sz="6" w:space="0" w:color="auto"/>
            </w:tcBorders>
            <w:shd w:val="clear" w:color="auto" w:fill="auto"/>
            <w:noWrap/>
            <w:vAlign w:val="center"/>
            <w:hideMark/>
          </w:tcPr>
          <w:p w14:paraId="3BE8ABDF" w14:textId="77777777" w:rsidR="00247CBF" w:rsidRPr="00092ED7" w:rsidRDefault="00247CBF" w:rsidP="00247CBF">
            <w:pPr>
              <w:spacing w:after="0"/>
              <w:jc w:val="right"/>
              <w:rPr>
                <w:sz w:val="20"/>
                <w:lang w:val="sr-Cyrl-CS"/>
              </w:rPr>
            </w:pPr>
            <w:r w:rsidRPr="00092ED7">
              <w:rPr>
                <w:sz w:val="20"/>
                <w:lang w:val="sr-Cyrl-CS"/>
              </w:rPr>
              <w:t>:</w:t>
            </w:r>
          </w:p>
        </w:tc>
      </w:tr>
      <w:tr w:rsidR="00247CBF" w:rsidRPr="00092ED7" w14:paraId="1E311A93" w14:textId="77777777" w:rsidTr="00247CBF">
        <w:trPr>
          <w:trHeight w:val="284"/>
        </w:trPr>
        <w:tc>
          <w:tcPr>
            <w:tcW w:w="6214" w:type="dxa"/>
            <w:tcBorders>
              <w:top w:val="nil"/>
              <w:left w:val="double" w:sz="6" w:space="0" w:color="auto"/>
              <w:bottom w:val="dotted" w:sz="4" w:space="0" w:color="auto"/>
              <w:right w:val="single" w:sz="4" w:space="0" w:color="auto"/>
            </w:tcBorders>
            <w:shd w:val="clear" w:color="auto" w:fill="auto"/>
            <w:vAlign w:val="center"/>
            <w:hideMark/>
          </w:tcPr>
          <w:p w14:paraId="3E8E4D88" w14:textId="77777777" w:rsidR="00247CBF" w:rsidRPr="00092ED7" w:rsidRDefault="00247CBF" w:rsidP="00247CBF">
            <w:pPr>
              <w:spacing w:after="0"/>
              <w:jc w:val="left"/>
              <w:rPr>
                <w:sz w:val="20"/>
                <w:lang w:val="sr-Cyrl-CS"/>
              </w:rPr>
            </w:pPr>
            <w:r w:rsidRPr="00092ED7">
              <w:rPr>
                <w:sz w:val="20"/>
                <w:lang w:val="sr-Cyrl-CS"/>
              </w:rPr>
              <w:t>:</w:t>
            </w:r>
          </w:p>
        </w:tc>
        <w:tc>
          <w:tcPr>
            <w:tcW w:w="1560" w:type="dxa"/>
            <w:tcBorders>
              <w:top w:val="nil"/>
              <w:left w:val="nil"/>
              <w:bottom w:val="dotted" w:sz="4" w:space="0" w:color="auto"/>
              <w:right w:val="single" w:sz="4" w:space="0" w:color="auto"/>
            </w:tcBorders>
            <w:shd w:val="clear" w:color="auto" w:fill="auto"/>
            <w:noWrap/>
            <w:vAlign w:val="center"/>
            <w:hideMark/>
          </w:tcPr>
          <w:p w14:paraId="744129AD" w14:textId="77777777" w:rsidR="00247CBF" w:rsidRPr="00092ED7" w:rsidRDefault="00247CBF" w:rsidP="00247CBF">
            <w:pPr>
              <w:spacing w:after="0"/>
              <w:jc w:val="center"/>
              <w:rPr>
                <w:sz w:val="20"/>
                <w:lang w:val="sr-Cyrl-CS"/>
              </w:rPr>
            </w:pPr>
            <w:r w:rsidRPr="00092ED7">
              <w:rPr>
                <w:sz w:val="20"/>
                <w:lang w:val="sr-Cyrl-CS"/>
              </w:rPr>
              <w:t>:</w:t>
            </w:r>
          </w:p>
        </w:tc>
        <w:tc>
          <w:tcPr>
            <w:tcW w:w="1126" w:type="dxa"/>
            <w:tcBorders>
              <w:top w:val="nil"/>
              <w:left w:val="single" w:sz="4" w:space="0" w:color="auto"/>
              <w:bottom w:val="dotted" w:sz="4" w:space="0" w:color="auto"/>
              <w:right w:val="single" w:sz="8" w:space="0" w:color="auto"/>
            </w:tcBorders>
            <w:shd w:val="clear" w:color="auto" w:fill="auto"/>
            <w:noWrap/>
            <w:vAlign w:val="center"/>
            <w:hideMark/>
          </w:tcPr>
          <w:p w14:paraId="02E8D8CC" w14:textId="77777777" w:rsidR="00247CBF" w:rsidRPr="00092ED7" w:rsidRDefault="00247CBF" w:rsidP="00247CBF">
            <w:pPr>
              <w:spacing w:after="0"/>
              <w:jc w:val="center"/>
              <w:rPr>
                <w:sz w:val="20"/>
                <w:lang w:val="sr-Cyrl-CS"/>
              </w:rPr>
            </w:pPr>
            <w:r w:rsidRPr="00092ED7">
              <w:rPr>
                <w:sz w:val="20"/>
                <w:lang w:val="sr-Cyrl-CS"/>
              </w:rPr>
              <w:t>:</w:t>
            </w:r>
          </w:p>
        </w:tc>
        <w:tc>
          <w:tcPr>
            <w:tcW w:w="939" w:type="dxa"/>
            <w:tcBorders>
              <w:top w:val="nil"/>
              <w:left w:val="nil"/>
              <w:bottom w:val="dotted" w:sz="4" w:space="0" w:color="auto"/>
              <w:right w:val="single" w:sz="4" w:space="0" w:color="auto"/>
            </w:tcBorders>
            <w:shd w:val="clear" w:color="auto" w:fill="auto"/>
            <w:noWrap/>
            <w:vAlign w:val="center"/>
            <w:hideMark/>
          </w:tcPr>
          <w:p w14:paraId="39D1C2D5" w14:textId="77777777" w:rsidR="00247CBF" w:rsidRPr="00092ED7" w:rsidRDefault="00247CBF" w:rsidP="00247CBF">
            <w:pPr>
              <w:spacing w:after="0"/>
              <w:jc w:val="right"/>
              <w:rPr>
                <w:sz w:val="20"/>
                <w:lang w:val="sr-Cyrl-CS"/>
              </w:rPr>
            </w:pPr>
            <w:r w:rsidRPr="00092ED7">
              <w:rPr>
                <w:sz w:val="20"/>
                <w:lang w:val="sr-Cyrl-CS"/>
              </w:rPr>
              <w:t>:</w:t>
            </w:r>
          </w:p>
        </w:tc>
        <w:tc>
          <w:tcPr>
            <w:tcW w:w="970" w:type="dxa"/>
            <w:tcBorders>
              <w:top w:val="nil"/>
              <w:left w:val="single" w:sz="4" w:space="0" w:color="auto"/>
              <w:bottom w:val="dotted" w:sz="4" w:space="0" w:color="auto"/>
              <w:right w:val="nil"/>
            </w:tcBorders>
            <w:shd w:val="clear" w:color="auto" w:fill="auto"/>
            <w:noWrap/>
            <w:vAlign w:val="center"/>
            <w:hideMark/>
          </w:tcPr>
          <w:p w14:paraId="3F2C2C1D" w14:textId="77777777" w:rsidR="00247CBF" w:rsidRPr="00092ED7" w:rsidRDefault="00247CBF" w:rsidP="00247CBF">
            <w:pPr>
              <w:spacing w:after="0"/>
              <w:jc w:val="right"/>
              <w:rPr>
                <w:sz w:val="20"/>
                <w:lang w:val="sr-Cyrl-CS"/>
              </w:rPr>
            </w:pPr>
            <w:r w:rsidRPr="00092ED7">
              <w:rPr>
                <w:sz w:val="20"/>
                <w:lang w:val="sr-Cyrl-CS"/>
              </w:rPr>
              <w:t>-0,2</w:t>
            </w:r>
          </w:p>
        </w:tc>
        <w:tc>
          <w:tcPr>
            <w:tcW w:w="970" w:type="dxa"/>
            <w:tcBorders>
              <w:top w:val="nil"/>
              <w:left w:val="single" w:sz="4" w:space="0" w:color="auto"/>
              <w:bottom w:val="dotted" w:sz="4" w:space="0" w:color="auto"/>
              <w:right w:val="nil"/>
            </w:tcBorders>
            <w:shd w:val="clear" w:color="auto" w:fill="auto"/>
            <w:noWrap/>
            <w:vAlign w:val="center"/>
            <w:hideMark/>
          </w:tcPr>
          <w:p w14:paraId="1CA53100" w14:textId="77777777" w:rsidR="00247CBF" w:rsidRPr="00092ED7" w:rsidRDefault="00247CBF" w:rsidP="00247CBF">
            <w:pPr>
              <w:spacing w:after="0"/>
              <w:jc w:val="right"/>
              <w:rPr>
                <w:sz w:val="20"/>
                <w:lang w:val="sr-Cyrl-CS"/>
              </w:rPr>
            </w:pPr>
            <w:r w:rsidRPr="00092ED7">
              <w:rPr>
                <w:sz w:val="20"/>
                <w:lang w:val="sr-Cyrl-CS"/>
              </w:rPr>
              <w:t>:</w:t>
            </w:r>
          </w:p>
        </w:tc>
        <w:tc>
          <w:tcPr>
            <w:tcW w:w="970" w:type="dxa"/>
            <w:tcBorders>
              <w:top w:val="nil"/>
              <w:left w:val="single" w:sz="4" w:space="0" w:color="auto"/>
              <w:bottom w:val="dotted" w:sz="4" w:space="0" w:color="auto"/>
              <w:right w:val="nil"/>
            </w:tcBorders>
            <w:shd w:val="clear" w:color="auto" w:fill="auto"/>
            <w:noWrap/>
            <w:vAlign w:val="center"/>
            <w:hideMark/>
          </w:tcPr>
          <w:p w14:paraId="08558606" w14:textId="77777777" w:rsidR="00247CBF" w:rsidRPr="00092ED7" w:rsidRDefault="00247CBF" w:rsidP="00247CBF">
            <w:pPr>
              <w:spacing w:after="0"/>
              <w:jc w:val="right"/>
              <w:rPr>
                <w:sz w:val="20"/>
                <w:lang w:val="sr-Cyrl-CS"/>
              </w:rPr>
            </w:pPr>
            <w:r w:rsidRPr="00092ED7">
              <w:rPr>
                <w:sz w:val="20"/>
                <w:lang w:val="sr-Cyrl-CS"/>
              </w:rPr>
              <w:t>:</w:t>
            </w:r>
          </w:p>
        </w:tc>
        <w:tc>
          <w:tcPr>
            <w:tcW w:w="829" w:type="dxa"/>
            <w:tcBorders>
              <w:top w:val="nil"/>
              <w:left w:val="single" w:sz="4" w:space="0" w:color="auto"/>
              <w:bottom w:val="dotted" w:sz="4" w:space="0" w:color="auto"/>
              <w:right w:val="double" w:sz="6" w:space="0" w:color="auto"/>
            </w:tcBorders>
            <w:shd w:val="clear" w:color="auto" w:fill="auto"/>
            <w:noWrap/>
            <w:vAlign w:val="center"/>
            <w:hideMark/>
          </w:tcPr>
          <w:p w14:paraId="5403506C" w14:textId="77777777" w:rsidR="00247CBF" w:rsidRPr="00092ED7" w:rsidRDefault="00247CBF" w:rsidP="00247CBF">
            <w:pPr>
              <w:spacing w:after="0"/>
              <w:jc w:val="right"/>
              <w:rPr>
                <w:sz w:val="20"/>
                <w:lang w:val="sr-Cyrl-CS"/>
              </w:rPr>
            </w:pPr>
            <w:r w:rsidRPr="00092ED7">
              <w:rPr>
                <w:sz w:val="20"/>
                <w:lang w:val="sr-Cyrl-CS"/>
              </w:rPr>
              <w:t>:</w:t>
            </w:r>
          </w:p>
        </w:tc>
      </w:tr>
      <w:tr w:rsidR="00247CBF" w:rsidRPr="00092ED7" w14:paraId="03D074F2" w14:textId="77777777" w:rsidTr="00247CBF">
        <w:trPr>
          <w:trHeight w:val="284"/>
        </w:trPr>
        <w:tc>
          <w:tcPr>
            <w:tcW w:w="6214" w:type="dxa"/>
            <w:tcBorders>
              <w:top w:val="nil"/>
              <w:left w:val="double" w:sz="6" w:space="0" w:color="auto"/>
              <w:bottom w:val="single" w:sz="4" w:space="0" w:color="auto"/>
              <w:right w:val="single" w:sz="4" w:space="0" w:color="auto"/>
            </w:tcBorders>
            <w:shd w:val="clear" w:color="auto" w:fill="auto"/>
            <w:vAlign w:val="center"/>
            <w:hideMark/>
          </w:tcPr>
          <w:p w14:paraId="5CD53CFC" w14:textId="77777777" w:rsidR="00247CBF" w:rsidRPr="00092ED7" w:rsidRDefault="00247CBF" w:rsidP="00247CBF">
            <w:pPr>
              <w:spacing w:after="0"/>
              <w:jc w:val="left"/>
              <w:rPr>
                <w:sz w:val="20"/>
                <w:lang w:val="sr-Cyrl-CS"/>
              </w:rPr>
            </w:pPr>
            <w:r w:rsidRPr="00092ED7">
              <w:rPr>
                <w:sz w:val="20"/>
                <w:lang w:val="sr-Cyrl-CS"/>
              </w:rPr>
              <w:t>:</w:t>
            </w:r>
          </w:p>
        </w:tc>
        <w:tc>
          <w:tcPr>
            <w:tcW w:w="1560" w:type="dxa"/>
            <w:tcBorders>
              <w:top w:val="nil"/>
              <w:left w:val="nil"/>
              <w:bottom w:val="single" w:sz="4" w:space="0" w:color="auto"/>
              <w:right w:val="single" w:sz="4" w:space="0" w:color="auto"/>
            </w:tcBorders>
            <w:shd w:val="clear" w:color="auto" w:fill="auto"/>
            <w:noWrap/>
            <w:vAlign w:val="center"/>
            <w:hideMark/>
          </w:tcPr>
          <w:p w14:paraId="7B91899A" w14:textId="77777777" w:rsidR="00247CBF" w:rsidRPr="00092ED7" w:rsidRDefault="00247CBF" w:rsidP="00247CBF">
            <w:pPr>
              <w:spacing w:after="0"/>
              <w:jc w:val="center"/>
              <w:rPr>
                <w:sz w:val="20"/>
                <w:lang w:val="sr-Cyrl-CS"/>
              </w:rPr>
            </w:pPr>
            <w:r w:rsidRPr="00092ED7">
              <w:rPr>
                <w:sz w:val="20"/>
                <w:lang w:val="sr-Cyrl-CS"/>
              </w:rPr>
              <w:t>:</w:t>
            </w:r>
          </w:p>
        </w:tc>
        <w:tc>
          <w:tcPr>
            <w:tcW w:w="1126" w:type="dxa"/>
            <w:tcBorders>
              <w:top w:val="nil"/>
              <w:left w:val="single" w:sz="4" w:space="0" w:color="auto"/>
              <w:bottom w:val="single" w:sz="4" w:space="0" w:color="auto"/>
              <w:right w:val="single" w:sz="8" w:space="0" w:color="auto"/>
            </w:tcBorders>
            <w:shd w:val="clear" w:color="auto" w:fill="auto"/>
            <w:noWrap/>
            <w:vAlign w:val="center"/>
            <w:hideMark/>
          </w:tcPr>
          <w:p w14:paraId="1958D507" w14:textId="77777777" w:rsidR="00247CBF" w:rsidRPr="00092ED7" w:rsidRDefault="00247CBF" w:rsidP="00247CBF">
            <w:pPr>
              <w:spacing w:after="0"/>
              <w:jc w:val="center"/>
              <w:rPr>
                <w:sz w:val="20"/>
                <w:lang w:val="sr-Cyrl-CS"/>
              </w:rPr>
            </w:pPr>
            <w:r w:rsidRPr="00092ED7">
              <w:rPr>
                <w:sz w:val="20"/>
                <w:lang w:val="sr-Cyrl-CS"/>
              </w:rPr>
              <w:t>:</w:t>
            </w:r>
          </w:p>
        </w:tc>
        <w:tc>
          <w:tcPr>
            <w:tcW w:w="939" w:type="dxa"/>
            <w:tcBorders>
              <w:top w:val="nil"/>
              <w:left w:val="nil"/>
              <w:bottom w:val="single" w:sz="4" w:space="0" w:color="auto"/>
              <w:right w:val="single" w:sz="4" w:space="0" w:color="auto"/>
            </w:tcBorders>
            <w:shd w:val="clear" w:color="auto" w:fill="auto"/>
            <w:noWrap/>
            <w:vAlign w:val="center"/>
            <w:hideMark/>
          </w:tcPr>
          <w:p w14:paraId="7FF13F96" w14:textId="77777777" w:rsidR="00247CBF" w:rsidRPr="00092ED7" w:rsidRDefault="00247CBF" w:rsidP="00247CBF">
            <w:pPr>
              <w:spacing w:after="0"/>
              <w:jc w:val="right"/>
              <w:rPr>
                <w:sz w:val="20"/>
                <w:lang w:val="sr-Cyrl-CS"/>
              </w:rPr>
            </w:pPr>
            <w:r w:rsidRPr="00092ED7">
              <w:rPr>
                <w:sz w:val="20"/>
                <w:lang w:val="sr-Cyrl-CS"/>
              </w:rPr>
              <w:t>:</w:t>
            </w:r>
          </w:p>
        </w:tc>
        <w:tc>
          <w:tcPr>
            <w:tcW w:w="970" w:type="dxa"/>
            <w:tcBorders>
              <w:top w:val="nil"/>
              <w:left w:val="single" w:sz="4" w:space="0" w:color="auto"/>
              <w:bottom w:val="single" w:sz="4" w:space="0" w:color="auto"/>
              <w:right w:val="nil"/>
            </w:tcBorders>
            <w:shd w:val="clear" w:color="auto" w:fill="auto"/>
            <w:noWrap/>
            <w:vAlign w:val="center"/>
            <w:hideMark/>
          </w:tcPr>
          <w:p w14:paraId="652159B9" w14:textId="77777777" w:rsidR="00247CBF" w:rsidRPr="00092ED7" w:rsidRDefault="00247CBF" w:rsidP="00247CBF">
            <w:pPr>
              <w:spacing w:after="0"/>
              <w:jc w:val="right"/>
              <w:rPr>
                <w:sz w:val="20"/>
                <w:lang w:val="sr-Cyrl-CS"/>
              </w:rPr>
            </w:pPr>
            <w:r w:rsidRPr="00092ED7">
              <w:rPr>
                <w:sz w:val="20"/>
                <w:lang w:val="sr-Cyrl-CS"/>
              </w:rPr>
              <w:t>:</w:t>
            </w:r>
          </w:p>
        </w:tc>
        <w:tc>
          <w:tcPr>
            <w:tcW w:w="970" w:type="dxa"/>
            <w:tcBorders>
              <w:top w:val="nil"/>
              <w:left w:val="single" w:sz="4" w:space="0" w:color="auto"/>
              <w:bottom w:val="single" w:sz="4" w:space="0" w:color="auto"/>
              <w:right w:val="nil"/>
            </w:tcBorders>
            <w:shd w:val="clear" w:color="auto" w:fill="auto"/>
            <w:noWrap/>
            <w:vAlign w:val="center"/>
            <w:hideMark/>
          </w:tcPr>
          <w:p w14:paraId="4B7BEE57" w14:textId="77777777" w:rsidR="00247CBF" w:rsidRPr="00092ED7" w:rsidRDefault="00247CBF" w:rsidP="00247CBF">
            <w:pPr>
              <w:spacing w:after="0"/>
              <w:jc w:val="right"/>
              <w:rPr>
                <w:sz w:val="20"/>
                <w:lang w:val="sr-Cyrl-CS"/>
              </w:rPr>
            </w:pPr>
            <w:r w:rsidRPr="00092ED7">
              <w:rPr>
                <w:sz w:val="20"/>
                <w:lang w:val="sr-Cyrl-CS"/>
              </w:rPr>
              <w:t>:</w:t>
            </w:r>
          </w:p>
        </w:tc>
        <w:tc>
          <w:tcPr>
            <w:tcW w:w="970" w:type="dxa"/>
            <w:tcBorders>
              <w:top w:val="nil"/>
              <w:left w:val="single" w:sz="4" w:space="0" w:color="auto"/>
              <w:bottom w:val="single" w:sz="4" w:space="0" w:color="auto"/>
              <w:right w:val="nil"/>
            </w:tcBorders>
            <w:shd w:val="clear" w:color="auto" w:fill="auto"/>
            <w:noWrap/>
            <w:vAlign w:val="center"/>
            <w:hideMark/>
          </w:tcPr>
          <w:p w14:paraId="6C735B2A" w14:textId="77777777" w:rsidR="00247CBF" w:rsidRPr="00092ED7" w:rsidRDefault="00247CBF" w:rsidP="00247CBF">
            <w:pPr>
              <w:spacing w:after="0"/>
              <w:jc w:val="right"/>
              <w:rPr>
                <w:sz w:val="20"/>
                <w:lang w:val="sr-Cyrl-CS"/>
              </w:rPr>
            </w:pPr>
            <w:r w:rsidRPr="00092ED7">
              <w:rPr>
                <w:sz w:val="20"/>
                <w:lang w:val="sr-Cyrl-CS"/>
              </w:rPr>
              <w:t>:</w:t>
            </w:r>
          </w:p>
        </w:tc>
        <w:tc>
          <w:tcPr>
            <w:tcW w:w="829" w:type="dxa"/>
            <w:tcBorders>
              <w:top w:val="nil"/>
              <w:left w:val="single" w:sz="4" w:space="0" w:color="auto"/>
              <w:bottom w:val="single" w:sz="4" w:space="0" w:color="auto"/>
              <w:right w:val="double" w:sz="6" w:space="0" w:color="auto"/>
            </w:tcBorders>
            <w:shd w:val="clear" w:color="auto" w:fill="auto"/>
            <w:noWrap/>
            <w:vAlign w:val="center"/>
            <w:hideMark/>
          </w:tcPr>
          <w:p w14:paraId="207D591D" w14:textId="77777777" w:rsidR="00247CBF" w:rsidRPr="00092ED7" w:rsidRDefault="00247CBF" w:rsidP="00247CBF">
            <w:pPr>
              <w:spacing w:after="0"/>
              <w:jc w:val="right"/>
              <w:rPr>
                <w:sz w:val="20"/>
                <w:lang w:val="sr-Cyrl-CS"/>
              </w:rPr>
            </w:pPr>
            <w:r w:rsidRPr="00092ED7">
              <w:rPr>
                <w:sz w:val="20"/>
                <w:lang w:val="sr-Cyrl-CS"/>
              </w:rPr>
              <w:t>:</w:t>
            </w:r>
          </w:p>
        </w:tc>
      </w:tr>
      <w:tr w:rsidR="00247CBF" w:rsidRPr="00092ED7" w14:paraId="79629490" w14:textId="77777777" w:rsidTr="00247CBF">
        <w:trPr>
          <w:trHeight w:val="284"/>
        </w:trPr>
        <w:tc>
          <w:tcPr>
            <w:tcW w:w="8900" w:type="dxa"/>
            <w:gridSpan w:val="3"/>
            <w:tcBorders>
              <w:top w:val="single" w:sz="4" w:space="0" w:color="auto"/>
              <w:left w:val="double" w:sz="6" w:space="0" w:color="auto"/>
              <w:bottom w:val="single" w:sz="8" w:space="0" w:color="auto"/>
              <w:right w:val="single" w:sz="8" w:space="0" w:color="000000"/>
            </w:tcBorders>
            <w:shd w:val="clear" w:color="auto" w:fill="auto"/>
            <w:vAlign w:val="center"/>
            <w:hideMark/>
          </w:tcPr>
          <w:p w14:paraId="6F231F5C" w14:textId="77777777" w:rsidR="00247CBF" w:rsidRPr="00092ED7" w:rsidRDefault="00247CBF" w:rsidP="00247CBF">
            <w:pPr>
              <w:spacing w:after="0"/>
              <w:jc w:val="center"/>
              <w:rPr>
                <w:rFonts w:cs="Times New Roman"/>
                <w:b/>
                <w:sz w:val="20"/>
                <w:szCs w:val="20"/>
                <w:lang w:val="sr-Cyrl-CS"/>
              </w:rPr>
            </w:pPr>
            <w:r w:rsidRPr="00092ED7">
              <w:rPr>
                <w:rFonts w:cs="Times New Roman"/>
                <w:b/>
                <w:sz w:val="20"/>
                <w:szCs w:val="20"/>
                <w:lang w:val="sr-Cyrl-CS"/>
              </w:rPr>
              <w:t>Међузбир</w:t>
            </w:r>
          </w:p>
        </w:tc>
        <w:tc>
          <w:tcPr>
            <w:tcW w:w="939"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3176F626" w14:textId="77777777" w:rsidR="00247CBF" w:rsidRPr="00092ED7" w:rsidRDefault="00247CBF" w:rsidP="00247CBF">
            <w:pPr>
              <w:spacing w:after="0"/>
              <w:jc w:val="right"/>
              <w:rPr>
                <w:b/>
                <w:bCs/>
                <w:sz w:val="20"/>
                <w:lang w:val="sr-Cyrl-CS"/>
              </w:rPr>
            </w:pPr>
            <w:r w:rsidRPr="00092ED7">
              <w:rPr>
                <w:b/>
                <w:bCs/>
                <w:sz w:val="20"/>
                <w:lang w:val="sr-Cyrl-CS"/>
              </w:rPr>
              <w:t>0,1</w:t>
            </w:r>
          </w:p>
        </w:tc>
        <w:tc>
          <w:tcPr>
            <w:tcW w:w="970" w:type="dxa"/>
            <w:tcBorders>
              <w:top w:val="single" w:sz="4" w:space="0" w:color="auto"/>
              <w:left w:val="nil"/>
              <w:bottom w:val="single" w:sz="8" w:space="0" w:color="auto"/>
              <w:right w:val="nil"/>
            </w:tcBorders>
            <w:shd w:val="clear" w:color="auto" w:fill="auto"/>
            <w:noWrap/>
            <w:vAlign w:val="center"/>
            <w:hideMark/>
          </w:tcPr>
          <w:p w14:paraId="3BCDCEAC" w14:textId="77777777" w:rsidR="00247CBF" w:rsidRPr="00092ED7" w:rsidRDefault="00247CBF" w:rsidP="00247CBF">
            <w:pPr>
              <w:spacing w:after="0"/>
              <w:jc w:val="right"/>
              <w:rPr>
                <w:b/>
                <w:bCs/>
                <w:sz w:val="20"/>
                <w:lang w:val="sr-Cyrl-CS"/>
              </w:rPr>
            </w:pPr>
            <w:r w:rsidRPr="00092ED7">
              <w:rPr>
                <w:b/>
                <w:bCs/>
                <w:sz w:val="20"/>
                <w:lang w:val="sr-Cyrl-CS"/>
              </w:rPr>
              <w:t>-0,3</w:t>
            </w:r>
          </w:p>
        </w:tc>
        <w:tc>
          <w:tcPr>
            <w:tcW w:w="970" w:type="dxa"/>
            <w:tcBorders>
              <w:top w:val="single" w:sz="4" w:space="0" w:color="auto"/>
              <w:left w:val="single" w:sz="4" w:space="0" w:color="auto"/>
              <w:bottom w:val="single" w:sz="8" w:space="0" w:color="auto"/>
              <w:right w:val="nil"/>
            </w:tcBorders>
            <w:shd w:val="clear" w:color="auto" w:fill="auto"/>
            <w:noWrap/>
            <w:vAlign w:val="center"/>
            <w:hideMark/>
          </w:tcPr>
          <w:p w14:paraId="617E5F2B" w14:textId="77777777" w:rsidR="00247CBF" w:rsidRPr="00092ED7" w:rsidRDefault="00247CBF" w:rsidP="00247CBF">
            <w:pPr>
              <w:spacing w:after="0"/>
              <w:jc w:val="right"/>
              <w:rPr>
                <w:b/>
                <w:bCs/>
                <w:sz w:val="20"/>
                <w:lang w:val="sr-Cyrl-CS"/>
              </w:rPr>
            </w:pPr>
            <w:r w:rsidRPr="00092ED7">
              <w:rPr>
                <w:b/>
                <w:bCs/>
                <w:sz w:val="20"/>
                <w:lang w:val="sr-Cyrl-CS"/>
              </w:rPr>
              <w:t>-0,3</w:t>
            </w:r>
          </w:p>
        </w:tc>
        <w:tc>
          <w:tcPr>
            <w:tcW w:w="970" w:type="dxa"/>
            <w:tcBorders>
              <w:top w:val="single" w:sz="4" w:space="0" w:color="auto"/>
              <w:left w:val="single" w:sz="4" w:space="0" w:color="auto"/>
              <w:bottom w:val="single" w:sz="8" w:space="0" w:color="auto"/>
              <w:right w:val="nil"/>
            </w:tcBorders>
            <w:shd w:val="clear" w:color="auto" w:fill="auto"/>
            <w:noWrap/>
            <w:vAlign w:val="center"/>
            <w:hideMark/>
          </w:tcPr>
          <w:p w14:paraId="4815E7C9" w14:textId="77777777" w:rsidR="00247CBF" w:rsidRPr="00092ED7" w:rsidRDefault="00247CBF" w:rsidP="00247CBF">
            <w:pPr>
              <w:spacing w:after="0"/>
              <w:jc w:val="right"/>
              <w:rPr>
                <w:b/>
                <w:bCs/>
                <w:sz w:val="20"/>
                <w:lang w:val="sr-Cyrl-CS"/>
              </w:rPr>
            </w:pPr>
            <w:r w:rsidRPr="00092ED7">
              <w:rPr>
                <w:b/>
                <w:bCs/>
                <w:sz w:val="20"/>
                <w:lang w:val="sr-Cyrl-CS"/>
              </w:rPr>
              <w:t>0,0</w:t>
            </w:r>
          </w:p>
        </w:tc>
        <w:tc>
          <w:tcPr>
            <w:tcW w:w="829" w:type="dxa"/>
            <w:tcBorders>
              <w:top w:val="single" w:sz="4" w:space="0" w:color="auto"/>
              <w:left w:val="single" w:sz="4" w:space="0" w:color="auto"/>
              <w:bottom w:val="single" w:sz="8" w:space="0" w:color="auto"/>
              <w:right w:val="double" w:sz="6" w:space="0" w:color="auto"/>
            </w:tcBorders>
            <w:shd w:val="clear" w:color="auto" w:fill="auto"/>
            <w:noWrap/>
            <w:vAlign w:val="center"/>
            <w:hideMark/>
          </w:tcPr>
          <w:p w14:paraId="0B69EAD5" w14:textId="77777777" w:rsidR="00247CBF" w:rsidRPr="00092ED7" w:rsidRDefault="00247CBF" w:rsidP="00247CBF">
            <w:pPr>
              <w:spacing w:after="0"/>
              <w:jc w:val="right"/>
              <w:rPr>
                <w:b/>
                <w:bCs/>
                <w:sz w:val="20"/>
                <w:lang w:val="sr-Cyrl-CS"/>
              </w:rPr>
            </w:pPr>
            <w:r w:rsidRPr="00092ED7">
              <w:rPr>
                <w:b/>
                <w:bCs/>
                <w:sz w:val="20"/>
                <w:lang w:val="sr-Cyrl-CS"/>
              </w:rPr>
              <w:t>0,0</w:t>
            </w:r>
          </w:p>
        </w:tc>
      </w:tr>
      <w:tr w:rsidR="00247CBF" w:rsidRPr="00092ED7" w14:paraId="28331CB0" w14:textId="77777777" w:rsidTr="00247CBF">
        <w:trPr>
          <w:trHeight w:val="284"/>
        </w:trPr>
        <w:tc>
          <w:tcPr>
            <w:tcW w:w="8900" w:type="dxa"/>
            <w:gridSpan w:val="3"/>
            <w:tcBorders>
              <w:top w:val="nil"/>
              <w:left w:val="double" w:sz="6" w:space="0" w:color="auto"/>
              <w:bottom w:val="double" w:sz="6" w:space="0" w:color="auto"/>
              <w:right w:val="single" w:sz="8" w:space="0" w:color="auto"/>
            </w:tcBorders>
            <w:shd w:val="clear" w:color="auto" w:fill="auto"/>
            <w:noWrap/>
            <w:vAlign w:val="center"/>
            <w:hideMark/>
          </w:tcPr>
          <w:p w14:paraId="55EA5870" w14:textId="77777777" w:rsidR="00247CBF" w:rsidRPr="00092ED7" w:rsidRDefault="00247CBF" w:rsidP="00247CBF">
            <w:pPr>
              <w:spacing w:after="0"/>
              <w:jc w:val="center"/>
              <w:rPr>
                <w:rFonts w:cs="Times New Roman"/>
                <w:b/>
                <w:sz w:val="20"/>
                <w:szCs w:val="20"/>
                <w:lang w:val="sr-Cyrl-CS"/>
              </w:rPr>
            </w:pPr>
            <w:r w:rsidRPr="00092ED7">
              <w:rPr>
                <w:rFonts w:cs="Times New Roman"/>
                <w:b/>
                <w:sz w:val="20"/>
                <w:szCs w:val="20"/>
                <w:lang w:val="sr-Cyrl-CS"/>
              </w:rPr>
              <w:t>Укупно</w:t>
            </w:r>
          </w:p>
        </w:tc>
        <w:tc>
          <w:tcPr>
            <w:tcW w:w="939" w:type="dxa"/>
            <w:tcBorders>
              <w:top w:val="nil"/>
              <w:left w:val="nil"/>
              <w:bottom w:val="double" w:sz="6" w:space="0" w:color="auto"/>
              <w:right w:val="single" w:sz="4" w:space="0" w:color="auto"/>
            </w:tcBorders>
            <w:shd w:val="clear" w:color="auto" w:fill="auto"/>
            <w:noWrap/>
            <w:vAlign w:val="center"/>
            <w:hideMark/>
          </w:tcPr>
          <w:p w14:paraId="1A4FB1E8" w14:textId="77777777" w:rsidR="00247CBF" w:rsidRPr="00092ED7" w:rsidRDefault="00247CBF" w:rsidP="00247CBF">
            <w:pPr>
              <w:spacing w:after="0"/>
              <w:jc w:val="right"/>
              <w:rPr>
                <w:b/>
                <w:bCs/>
                <w:sz w:val="20"/>
                <w:lang w:val="sr-Cyrl-CS"/>
              </w:rPr>
            </w:pPr>
            <w:r w:rsidRPr="00092ED7">
              <w:rPr>
                <w:b/>
                <w:bCs/>
                <w:sz w:val="20"/>
                <w:lang w:val="sr-Cyrl-CS"/>
              </w:rPr>
              <w:t>1,6</w:t>
            </w:r>
          </w:p>
        </w:tc>
        <w:tc>
          <w:tcPr>
            <w:tcW w:w="970" w:type="dxa"/>
            <w:tcBorders>
              <w:top w:val="nil"/>
              <w:left w:val="nil"/>
              <w:bottom w:val="double" w:sz="6" w:space="0" w:color="auto"/>
              <w:right w:val="single" w:sz="4" w:space="0" w:color="auto"/>
            </w:tcBorders>
            <w:shd w:val="clear" w:color="auto" w:fill="auto"/>
            <w:noWrap/>
            <w:vAlign w:val="center"/>
            <w:hideMark/>
          </w:tcPr>
          <w:p w14:paraId="7E68D65D" w14:textId="77777777" w:rsidR="00247CBF" w:rsidRPr="00092ED7" w:rsidRDefault="00247CBF" w:rsidP="00247CBF">
            <w:pPr>
              <w:spacing w:after="0"/>
              <w:jc w:val="right"/>
              <w:rPr>
                <w:b/>
                <w:bCs/>
                <w:sz w:val="20"/>
                <w:lang w:val="sr-Cyrl-CS"/>
              </w:rPr>
            </w:pPr>
            <w:r w:rsidRPr="00092ED7">
              <w:rPr>
                <w:b/>
                <w:bCs/>
                <w:sz w:val="20"/>
                <w:lang w:val="sr-Cyrl-CS"/>
              </w:rPr>
              <w:t>-1,2</w:t>
            </w:r>
          </w:p>
        </w:tc>
        <w:tc>
          <w:tcPr>
            <w:tcW w:w="970" w:type="dxa"/>
            <w:tcBorders>
              <w:top w:val="nil"/>
              <w:left w:val="nil"/>
              <w:bottom w:val="double" w:sz="6" w:space="0" w:color="auto"/>
              <w:right w:val="single" w:sz="4" w:space="0" w:color="auto"/>
            </w:tcBorders>
            <w:shd w:val="clear" w:color="auto" w:fill="auto"/>
            <w:noWrap/>
            <w:vAlign w:val="center"/>
            <w:hideMark/>
          </w:tcPr>
          <w:p w14:paraId="16F499C2" w14:textId="77777777" w:rsidR="00247CBF" w:rsidRPr="00092ED7" w:rsidRDefault="00247CBF" w:rsidP="00247CBF">
            <w:pPr>
              <w:spacing w:after="0"/>
              <w:jc w:val="right"/>
              <w:rPr>
                <w:b/>
                <w:bCs/>
                <w:sz w:val="20"/>
                <w:lang w:val="sr-Cyrl-CS"/>
              </w:rPr>
            </w:pPr>
            <w:r w:rsidRPr="00092ED7">
              <w:rPr>
                <w:b/>
                <w:bCs/>
                <w:sz w:val="20"/>
                <w:lang w:val="sr-Cyrl-CS"/>
              </w:rPr>
              <w:t>-0,3</w:t>
            </w:r>
          </w:p>
        </w:tc>
        <w:tc>
          <w:tcPr>
            <w:tcW w:w="970" w:type="dxa"/>
            <w:tcBorders>
              <w:top w:val="nil"/>
              <w:left w:val="nil"/>
              <w:bottom w:val="double" w:sz="6" w:space="0" w:color="auto"/>
              <w:right w:val="single" w:sz="4" w:space="0" w:color="auto"/>
            </w:tcBorders>
            <w:shd w:val="clear" w:color="auto" w:fill="auto"/>
            <w:noWrap/>
            <w:vAlign w:val="center"/>
            <w:hideMark/>
          </w:tcPr>
          <w:p w14:paraId="40BB7793" w14:textId="77777777" w:rsidR="00247CBF" w:rsidRPr="00092ED7" w:rsidRDefault="00247CBF" w:rsidP="00247CBF">
            <w:pPr>
              <w:spacing w:after="0"/>
              <w:jc w:val="right"/>
              <w:rPr>
                <w:b/>
                <w:bCs/>
                <w:sz w:val="20"/>
                <w:lang w:val="sr-Cyrl-CS"/>
              </w:rPr>
            </w:pPr>
            <w:r w:rsidRPr="00092ED7">
              <w:rPr>
                <w:b/>
                <w:bCs/>
                <w:sz w:val="20"/>
                <w:lang w:val="sr-Cyrl-CS"/>
              </w:rPr>
              <w:t>0,0</w:t>
            </w:r>
          </w:p>
        </w:tc>
        <w:tc>
          <w:tcPr>
            <w:tcW w:w="829" w:type="dxa"/>
            <w:tcBorders>
              <w:top w:val="nil"/>
              <w:left w:val="nil"/>
              <w:bottom w:val="double" w:sz="6" w:space="0" w:color="auto"/>
              <w:right w:val="double" w:sz="6" w:space="0" w:color="auto"/>
            </w:tcBorders>
            <w:shd w:val="clear" w:color="auto" w:fill="auto"/>
            <w:noWrap/>
            <w:vAlign w:val="center"/>
            <w:hideMark/>
          </w:tcPr>
          <w:p w14:paraId="72E722E8" w14:textId="77777777" w:rsidR="00247CBF" w:rsidRPr="00092ED7" w:rsidRDefault="00247CBF" w:rsidP="00247CBF">
            <w:pPr>
              <w:spacing w:after="0"/>
              <w:jc w:val="right"/>
              <w:rPr>
                <w:b/>
                <w:bCs/>
                <w:sz w:val="20"/>
                <w:lang w:val="sr-Cyrl-CS"/>
              </w:rPr>
            </w:pPr>
            <w:r w:rsidRPr="00092ED7">
              <w:rPr>
                <w:b/>
                <w:bCs/>
                <w:sz w:val="20"/>
                <w:lang w:val="sr-Cyrl-CS"/>
              </w:rPr>
              <w:t>0,0</w:t>
            </w:r>
          </w:p>
        </w:tc>
      </w:tr>
      <w:tr w:rsidR="00247CBF" w:rsidRPr="00092ED7" w14:paraId="7765FABA" w14:textId="77777777" w:rsidTr="00247CBF">
        <w:trPr>
          <w:trHeight w:val="284"/>
        </w:trPr>
        <w:tc>
          <w:tcPr>
            <w:tcW w:w="13578" w:type="dxa"/>
            <w:gridSpan w:val="8"/>
            <w:tcBorders>
              <w:top w:val="nil"/>
              <w:left w:val="nil"/>
              <w:bottom w:val="nil"/>
              <w:right w:val="nil"/>
            </w:tcBorders>
            <w:shd w:val="clear" w:color="000000" w:fill="FFFFFF"/>
            <w:vAlign w:val="center"/>
            <w:hideMark/>
          </w:tcPr>
          <w:p w14:paraId="4BE04FE6" w14:textId="77777777" w:rsidR="00247CBF" w:rsidRPr="00092ED7" w:rsidRDefault="00247CBF" w:rsidP="00247CBF">
            <w:pPr>
              <w:spacing w:after="0"/>
              <w:rPr>
                <w:sz w:val="16"/>
                <w:szCs w:val="16"/>
                <w:lang w:val="sr-Cyrl-CS"/>
              </w:rPr>
            </w:pPr>
            <w:r w:rsidRPr="00092ED7">
              <w:rPr>
                <w:sz w:val="16"/>
                <w:szCs w:val="16"/>
                <w:lang w:val="sr-Cyrl-CS"/>
              </w:rPr>
              <w:t xml:space="preserve">[1] За потребе ове табеле, привремене мере се односе на оне дискреционе мере које немају ефекат на буџет после 2023. године. Супротно томе мере које су усвојене или најављене за 2021, 2022. и 2023. годину које имају фискални ефекат једнак или већи од 0,1% БДП бар закључно са 2024. годином се сматрају мерама које нису привремене за потребе ове табеле.   </w:t>
            </w:r>
          </w:p>
        </w:tc>
      </w:tr>
    </w:tbl>
    <w:p w14:paraId="1E50990C" w14:textId="77777777" w:rsidR="00247CBF" w:rsidRPr="00092ED7" w:rsidRDefault="00247CBF" w:rsidP="00247CBF">
      <w:pPr>
        <w:spacing w:after="160" w:line="259" w:lineRule="auto"/>
        <w:rPr>
          <w:rFonts w:cs="Times New Roman"/>
          <w:b/>
          <w:sz w:val="20"/>
          <w:szCs w:val="20"/>
          <w:lang w:val="sr-Cyrl-CS"/>
        </w:rPr>
      </w:pPr>
    </w:p>
    <w:p w14:paraId="150C355B" w14:textId="77777777" w:rsidR="00247CBF" w:rsidRPr="00092ED7" w:rsidRDefault="00247CBF" w:rsidP="00247CBF">
      <w:pPr>
        <w:spacing w:after="160" w:line="259" w:lineRule="auto"/>
        <w:rPr>
          <w:rFonts w:cs="Times New Roman"/>
          <w:b/>
          <w:sz w:val="20"/>
          <w:szCs w:val="20"/>
          <w:lang w:val="sr-Cyrl-CS"/>
        </w:rPr>
      </w:pPr>
    </w:p>
    <w:p w14:paraId="1067AF4A" w14:textId="77777777" w:rsidR="00247CBF" w:rsidRPr="00092ED7" w:rsidRDefault="00247CBF" w:rsidP="00247CBF">
      <w:pPr>
        <w:pStyle w:val="Heading3"/>
        <w:rPr>
          <w:rFonts w:ascii="Times New Roman" w:hAnsi="Times New Roman" w:cs="Times New Roman"/>
          <w:b/>
          <w:color w:val="auto"/>
          <w:sz w:val="20"/>
          <w:szCs w:val="20"/>
          <w:lang w:val="sr-Cyrl-CS"/>
        </w:rPr>
      </w:pPr>
      <w:bookmarkStart w:id="97" w:name="_Toc61953862"/>
      <w:bookmarkStart w:id="98" w:name="_Toc93385999"/>
      <w:bookmarkStart w:id="99" w:name="_Toc124174830"/>
      <w:r w:rsidRPr="00092ED7">
        <w:rPr>
          <w:rFonts w:ascii="Times New Roman" w:hAnsi="Times New Roman" w:cs="Times New Roman"/>
          <w:b/>
          <w:color w:val="auto"/>
          <w:sz w:val="20"/>
          <w:szCs w:val="20"/>
          <w:lang w:val="sr-Cyrl-CS"/>
        </w:rPr>
        <w:lastRenderedPageBreak/>
        <w:t>Tабела 3: Расходи општег нивоа државе по функцијама (у млрд РСД)</w:t>
      </w:r>
      <w:bookmarkEnd w:id="97"/>
      <w:bookmarkEnd w:id="98"/>
      <w:bookmarkEnd w:id="99"/>
    </w:p>
    <w:tbl>
      <w:tblPr>
        <w:tblW w:w="14578" w:type="dxa"/>
        <w:tblLayout w:type="fixed"/>
        <w:tblLook w:val="04A0" w:firstRow="1" w:lastRow="0" w:firstColumn="1" w:lastColumn="0" w:noHBand="0" w:noVBand="1"/>
      </w:tblPr>
      <w:tblGrid>
        <w:gridCol w:w="6000"/>
        <w:gridCol w:w="1520"/>
        <w:gridCol w:w="1176"/>
        <w:gridCol w:w="1176"/>
        <w:gridCol w:w="1177"/>
        <w:gridCol w:w="1176"/>
        <w:gridCol w:w="1176"/>
        <w:gridCol w:w="1177"/>
      </w:tblGrid>
      <w:tr w:rsidR="00247CBF" w:rsidRPr="00092ED7" w14:paraId="7B3F31F3" w14:textId="77777777" w:rsidTr="00247CBF">
        <w:trPr>
          <w:trHeight w:val="285"/>
        </w:trPr>
        <w:tc>
          <w:tcPr>
            <w:tcW w:w="6000" w:type="dxa"/>
            <w:tcBorders>
              <w:top w:val="double" w:sz="6" w:space="0" w:color="auto"/>
              <w:left w:val="double" w:sz="6" w:space="0" w:color="auto"/>
              <w:bottom w:val="nil"/>
              <w:right w:val="nil"/>
            </w:tcBorders>
            <w:shd w:val="clear" w:color="auto" w:fill="auto"/>
            <w:noWrap/>
            <w:vAlign w:val="center"/>
            <w:hideMark/>
          </w:tcPr>
          <w:p w14:paraId="74BC6B71" w14:textId="77777777" w:rsidR="00247CBF" w:rsidRPr="00092ED7" w:rsidRDefault="00247CBF" w:rsidP="00247CBF">
            <w:pPr>
              <w:spacing w:after="0"/>
              <w:rPr>
                <w:rFonts w:eastAsia="Times New Roman" w:cs="Times New Roman"/>
                <w:b/>
                <w:bCs/>
                <w:sz w:val="20"/>
                <w:szCs w:val="20"/>
                <w:lang w:val="sr-Cyrl-CS"/>
              </w:rPr>
            </w:pPr>
          </w:p>
        </w:tc>
        <w:tc>
          <w:tcPr>
            <w:tcW w:w="1520" w:type="dxa"/>
            <w:tcBorders>
              <w:top w:val="double" w:sz="6" w:space="0" w:color="auto"/>
              <w:left w:val="single" w:sz="8" w:space="0" w:color="000000"/>
              <w:bottom w:val="nil"/>
              <w:right w:val="single" w:sz="8" w:space="0" w:color="000000"/>
            </w:tcBorders>
            <w:shd w:val="clear" w:color="auto" w:fill="auto"/>
            <w:noWrap/>
            <w:vAlign w:val="center"/>
            <w:hideMark/>
          </w:tcPr>
          <w:p w14:paraId="7B72CBC7" w14:textId="77777777" w:rsidR="00247CBF" w:rsidRPr="00092ED7" w:rsidRDefault="00247CBF" w:rsidP="00247CBF">
            <w:pPr>
              <w:spacing w:after="0"/>
              <w:jc w:val="center"/>
              <w:rPr>
                <w:sz w:val="20"/>
                <w:szCs w:val="20"/>
                <w:lang w:val="sr-Cyrl-CS"/>
              </w:rPr>
            </w:pPr>
            <w:r w:rsidRPr="00092ED7">
              <w:rPr>
                <w:sz w:val="20"/>
                <w:szCs w:val="20"/>
                <w:lang w:val="sr-Cyrl-CS"/>
              </w:rPr>
              <w:t>COFOG шифра</w:t>
            </w:r>
          </w:p>
        </w:tc>
        <w:tc>
          <w:tcPr>
            <w:tcW w:w="1176" w:type="dxa"/>
            <w:tcBorders>
              <w:top w:val="double" w:sz="6" w:space="0" w:color="auto"/>
              <w:left w:val="nil"/>
              <w:bottom w:val="double" w:sz="6" w:space="0" w:color="auto"/>
              <w:right w:val="dashed" w:sz="4" w:space="0" w:color="auto"/>
            </w:tcBorders>
            <w:shd w:val="clear" w:color="auto" w:fill="auto"/>
            <w:noWrap/>
            <w:vAlign w:val="center"/>
            <w:hideMark/>
          </w:tcPr>
          <w:p w14:paraId="7E0089B3" w14:textId="77777777" w:rsidR="00247CBF" w:rsidRPr="00092ED7" w:rsidRDefault="00247CBF" w:rsidP="00247CBF">
            <w:pPr>
              <w:spacing w:after="0"/>
              <w:jc w:val="center"/>
              <w:rPr>
                <w:b/>
                <w:bCs/>
                <w:sz w:val="20"/>
                <w:szCs w:val="20"/>
                <w:lang w:val="sr-Cyrl-CS"/>
              </w:rPr>
            </w:pPr>
            <w:r w:rsidRPr="00092ED7">
              <w:rPr>
                <w:b/>
                <w:bCs/>
                <w:sz w:val="20"/>
                <w:szCs w:val="20"/>
                <w:lang w:val="sr-Cyrl-CS"/>
              </w:rPr>
              <w:t>2020</w:t>
            </w:r>
          </w:p>
        </w:tc>
        <w:tc>
          <w:tcPr>
            <w:tcW w:w="1176" w:type="dxa"/>
            <w:tcBorders>
              <w:top w:val="double" w:sz="6" w:space="0" w:color="auto"/>
              <w:left w:val="nil"/>
              <w:bottom w:val="double" w:sz="6" w:space="0" w:color="auto"/>
              <w:right w:val="dashed" w:sz="4" w:space="0" w:color="auto"/>
            </w:tcBorders>
            <w:shd w:val="clear" w:color="auto" w:fill="auto"/>
            <w:noWrap/>
            <w:vAlign w:val="center"/>
            <w:hideMark/>
          </w:tcPr>
          <w:p w14:paraId="75AF9455" w14:textId="77777777" w:rsidR="00247CBF" w:rsidRPr="00092ED7" w:rsidRDefault="00247CBF" w:rsidP="00247CBF">
            <w:pPr>
              <w:spacing w:after="0"/>
              <w:jc w:val="center"/>
              <w:rPr>
                <w:b/>
                <w:bCs/>
                <w:sz w:val="20"/>
                <w:szCs w:val="20"/>
                <w:lang w:val="sr-Cyrl-CS"/>
              </w:rPr>
            </w:pPr>
            <w:r w:rsidRPr="00092ED7">
              <w:rPr>
                <w:b/>
                <w:bCs/>
                <w:sz w:val="20"/>
                <w:szCs w:val="20"/>
                <w:lang w:val="sr-Cyrl-CS"/>
              </w:rPr>
              <w:t>2021</w:t>
            </w:r>
          </w:p>
        </w:tc>
        <w:tc>
          <w:tcPr>
            <w:tcW w:w="1177" w:type="dxa"/>
            <w:tcBorders>
              <w:top w:val="double" w:sz="6" w:space="0" w:color="auto"/>
              <w:left w:val="nil"/>
              <w:bottom w:val="double" w:sz="6" w:space="0" w:color="auto"/>
              <w:right w:val="dashed" w:sz="4" w:space="0" w:color="auto"/>
            </w:tcBorders>
            <w:shd w:val="clear" w:color="auto" w:fill="auto"/>
            <w:noWrap/>
            <w:vAlign w:val="center"/>
            <w:hideMark/>
          </w:tcPr>
          <w:p w14:paraId="6BDA67E7" w14:textId="77777777" w:rsidR="00247CBF" w:rsidRPr="00092ED7" w:rsidRDefault="00247CBF" w:rsidP="00247CBF">
            <w:pPr>
              <w:spacing w:after="0"/>
              <w:jc w:val="center"/>
              <w:rPr>
                <w:b/>
                <w:bCs/>
                <w:sz w:val="20"/>
                <w:szCs w:val="20"/>
                <w:lang w:val="sr-Cyrl-CS"/>
              </w:rPr>
            </w:pPr>
            <w:r w:rsidRPr="00092ED7">
              <w:rPr>
                <w:b/>
                <w:bCs/>
                <w:sz w:val="20"/>
                <w:szCs w:val="20"/>
                <w:lang w:val="sr-Cyrl-CS"/>
              </w:rPr>
              <w:t>2022</w:t>
            </w:r>
          </w:p>
        </w:tc>
        <w:tc>
          <w:tcPr>
            <w:tcW w:w="1176" w:type="dxa"/>
            <w:tcBorders>
              <w:top w:val="double" w:sz="6" w:space="0" w:color="auto"/>
              <w:left w:val="nil"/>
              <w:bottom w:val="double" w:sz="6" w:space="0" w:color="auto"/>
              <w:right w:val="dashed" w:sz="4" w:space="0" w:color="auto"/>
            </w:tcBorders>
            <w:shd w:val="clear" w:color="auto" w:fill="auto"/>
            <w:noWrap/>
            <w:vAlign w:val="center"/>
            <w:hideMark/>
          </w:tcPr>
          <w:p w14:paraId="34D0FFD5" w14:textId="77777777" w:rsidR="00247CBF" w:rsidRPr="00092ED7" w:rsidRDefault="00247CBF" w:rsidP="00247CBF">
            <w:pPr>
              <w:spacing w:after="0"/>
              <w:jc w:val="center"/>
              <w:rPr>
                <w:b/>
                <w:bCs/>
                <w:sz w:val="20"/>
                <w:szCs w:val="20"/>
                <w:lang w:val="sr-Cyrl-CS"/>
              </w:rPr>
            </w:pPr>
            <w:r w:rsidRPr="00092ED7">
              <w:rPr>
                <w:b/>
                <w:bCs/>
                <w:sz w:val="20"/>
                <w:szCs w:val="20"/>
                <w:lang w:val="sr-Cyrl-CS"/>
              </w:rPr>
              <w:t>2023</w:t>
            </w:r>
          </w:p>
        </w:tc>
        <w:tc>
          <w:tcPr>
            <w:tcW w:w="1176" w:type="dxa"/>
            <w:tcBorders>
              <w:top w:val="double" w:sz="6" w:space="0" w:color="auto"/>
              <w:left w:val="nil"/>
              <w:bottom w:val="double" w:sz="6" w:space="0" w:color="auto"/>
              <w:right w:val="dashed" w:sz="4" w:space="0" w:color="auto"/>
            </w:tcBorders>
            <w:shd w:val="clear" w:color="auto" w:fill="auto"/>
            <w:noWrap/>
            <w:vAlign w:val="center"/>
            <w:hideMark/>
          </w:tcPr>
          <w:p w14:paraId="50F34C0B" w14:textId="77777777" w:rsidR="00247CBF" w:rsidRPr="00092ED7" w:rsidRDefault="00247CBF" w:rsidP="00247CBF">
            <w:pPr>
              <w:spacing w:after="0"/>
              <w:jc w:val="center"/>
              <w:rPr>
                <w:b/>
                <w:bCs/>
                <w:sz w:val="20"/>
                <w:szCs w:val="20"/>
                <w:lang w:val="sr-Cyrl-CS"/>
              </w:rPr>
            </w:pPr>
            <w:r w:rsidRPr="00092ED7">
              <w:rPr>
                <w:b/>
                <w:bCs/>
                <w:sz w:val="20"/>
                <w:szCs w:val="20"/>
                <w:lang w:val="sr-Cyrl-CS"/>
              </w:rPr>
              <w:t>2024</w:t>
            </w:r>
          </w:p>
        </w:tc>
        <w:tc>
          <w:tcPr>
            <w:tcW w:w="1177" w:type="dxa"/>
            <w:tcBorders>
              <w:top w:val="double" w:sz="6" w:space="0" w:color="auto"/>
              <w:left w:val="nil"/>
              <w:bottom w:val="double" w:sz="6" w:space="0" w:color="auto"/>
              <w:right w:val="double" w:sz="6" w:space="0" w:color="auto"/>
            </w:tcBorders>
            <w:shd w:val="clear" w:color="auto" w:fill="auto"/>
            <w:noWrap/>
            <w:vAlign w:val="center"/>
            <w:hideMark/>
          </w:tcPr>
          <w:p w14:paraId="20B92EA5" w14:textId="77777777" w:rsidR="00247CBF" w:rsidRPr="00092ED7" w:rsidRDefault="00247CBF" w:rsidP="00247CBF">
            <w:pPr>
              <w:spacing w:after="0"/>
              <w:jc w:val="center"/>
              <w:rPr>
                <w:b/>
                <w:bCs/>
                <w:sz w:val="20"/>
                <w:szCs w:val="20"/>
                <w:lang w:val="sr-Cyrl-CS"/>
              </w:rPr>
            </w:pPr>
            <w:r w:rsidRPr="00092ED7">
              <w:rPr>
                <w:b/>
                <w:bCs/>
                <w:sz w:val="20"/>
                <w:szCs w:val="20"/>
                <w:lang w:val="sr-Cyrl-CS"/>
              </w:rPr>
              <w:t>2025</w:t>
            </w:r>
          </w:p>
        </w:tc>
      </w:tr>
      <w:tr w:rsidR="00247CBF" w:rsidRPr="00092ED7" w14:paraId="5CAD65E9" w14:textId="77777777" w:rsidTr="00247CBF">
        <w:trPr>
          <w:trHeight w:val="270"/>
        </w:trPr>
        <w:tc>
          <w:tcPr>
            <w:tcW w:w="6000" w:type="dxa"/>
            <w:tcBorders>
              <w:top w:val="double" w:sz="6" w:space="0" w:color="000000"/>
              <w:left w:val="double" w:sz="6" w:space="0" w:color="auto"/>
              <w:bottom w:val="dotted" w:sz="4" w:space="0" w:color="000000"/>
              <w:right w:val="nil"/>
            </w:tcBorders>
            <w:shd w:val="clear" w:color="auto" w:fill="auto"/>
            <w:vAlign w:val="center"/>
            <w:hideMark/>
          </w:tcPr>
          <w:p w14:paraId="426C3874"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1. Опште јавне услуге</w:t>
            </w:r>
          </w:p>
        </w:tc>
        <w:tc>
          <w:tcPr>
            <w:tcW w:w="1520" w:type="dxa"/>
            <w:tcBorders>
              <w:top w:val="double" w:sz="6" w:space="0" w:color="000000"/>
              <w:left w:val="single" w:sz="8" w:space="0" w:color="000000"/>
              <w:bottom w:val="dotted" w:sz="4" w:space="0" w:color="000000"/>
              <w:right w:val="single" w:sz="8" w:space="0" w:color="000000"/>
            </w:tcBorders>
            <w:shd w:val="clear" w:color="auto" w:fill="auto"/>
            <w:vAlign w:val="center"/>
            <w:hideMark/>
          </w:tcPr>
          <w:p w14:paraId="4CBE99AC" w14:textId="77777777" w:rsidR="00247CBF" w:rsidRPr="00092ED7" w:rsidRDefault="00247CBF" w:rsidP="00247CBF">
            <w:pPr>
              <w:spacing w:after="0"/>
              <w:jc w:val="center"/>
              <w:rPr>
                <w:sz w:val="20"/>
                <w:szCs w:val="20"/>
                <w:lang w:val="sr-Cyrl-CS"/>
              </w:rPr>
            </w:pPr>
            <w:r w:rsidRPr="00092ED7">
              <w:rPr>
                <w:sz w:val="20"/>
                <w:szCs w:val="20"/>
                <w:lang w:val="sr-Cyrl-CS"/>
              </w:rPr>
              <w:t>1</w:t>
            </w:r>
          </w:p>
        </w:tc>
        <w:tc>
          <w:tcPr>
            <w:tcW w:w="1176" w:type="dxa"/>
            <w:tcBorders>
              <w:top w:val="nil"/>
              <w:left w:val="nil"/>
              <w:bottom w:val="dotted" w:sz="4" w:space="0" w:color="000000"/>
              <w:right w:val="dotted" w:sz="4" w:space="0" w:color="000000"/>
            </w:tcBorders>
            <w:shd w:val="clear" w:color="auto" w:fill="auto"/>
            <w:noWrap/>
            <w:vAlign w:val="center"/>
            <w:hideMark/>
          </w:tcPr>
          <w:p w14:paraId="471A4C07" w14:textId="77777777" w:rsidR="00247CBF" w:rsidRPr="00092ED7" w:rsidRDefault="00247CBF" w:rsidP="00247CBF">
            <w:pPr>
              <w:spacing w:after="0"/>
              <w:jc w:val="right"/>
              <w:rPr>
                <w:sz w:val="20"/>
                <w:szCs w:val="20"/>
                <w:lang w:val="sr-Cyrl-CS"/>
              </w:rPr>
            </w:pPr>
            <w:r w:rsidRPr="00092ED7">
              <w:rPr>
                <w:sz w:val="20"/>
                <w:szCs w:val="20"/>
                <w:lang w:val="sr-Cyrl-CS"/>
              </w:rPr>
              <w:t>421,006</w:t>
            </w:r>
          </w:p>
        </w:tc>
        <w:tc>
          <w:tcPr>
            <w:tcW w:w="1176" w:type="dxa"/>
            <w:tcBorders>
              <w:top w:val="nil"/>
              <w:left w:val="nil"/>
              <w:bottom w:val="dotted" w:sz="4" w:space="0" w:color="000000"/>
              <w:right w:val="dotted" w:sz="4" w:space="0" w:color="000000"/>
            </w:tcBorders>
            <w:shd w:val="clear" w:color="auto" w:fill="auto"/>
            <w:noWrap/>
            <w:vAlign w:val="center"/>
            <w:hideMark/>
          </w:tcPr>
          <w:p w14:paraId="56E37BA3" w14:textId="77777777" w:rsidR="00247CBF" w:rsidRPr="00092ED7" w:rsidRDefault="00247CBF" w:rsidP="00247CBF">
            <w:pPr>
              <w:spacing w:after="0"/>
              <w:jc w:val="right"/>
              <w:rPr>
                <w:sz w:val="20"/>
                <w:szCs w:val="20"/>
                <w:lang w:val="sr-Cyrl-CS"/>
              </w:rPr>
            </w:pPr>
            <w:r w:rsidRPr="00092ED7">
              <w:rPr>
                <w:sz w:val="20"/>
                <w:szCs w:val="20"/>
                <w:lang w:val="sr-Cyrl-CS"/>
              </w:rPr>
              <w:t>423,909</w:t>
            </w:r>
          </w:p>
        </w:tc>
        <w:tc>
          <w:tcPr>
            <w:tcW w:w="1177" w:type="dxa"/>
            <w:tcBorders>
              <w:top w:val="nil"/>
              <w:left w:val="nil"/>
              <w:bottom w:val="dotted" w:sz="4" w:space="0" w:color="000000"/>
              <w:right w:val="dotted" w:sz="4" w:space="0" w:color="000000"/>
            </w:tcBorders>
            <w:shd w:val="clear" w:color="auto" w:fill="auto"/>
            <w:noWrap/>
            <w:vAlign w:val="center"/>
            <w:hideMark/>
          </w:tcPr>
          <w:p w14:paraId="700B06E9" w14:textId="77777777" w:rsidR="00247CBF" w:rsidRPr="00092ED7" w:rsidRDefault="00247CBF" w:rsidP="00247CBF">
            <w:pPr>
              <w:spacing w:after="0"/>
              <w:jc w:val="right"/>
              <w:rPr>
                <w:sz w:val="20"/>
                <w:szCs w:val="20"/>
                <w:lang w:val="sr-Cyrl-CS"/>
              </w:rPr>
            </w:pPr>
            <w:r w:rsidRPr="00092ED7">
              <w:rPr>
                <w:sz w:val="20"/>
                <w:szCs w:val="20"/>
                <w:lang w:val="sr-Cyrl-CS"/>
              </w:rPr>
              <w:t>626,983</w:t>
            </w:r>
          </w:p>
        </w:tc>
        <w:tc>
          <w:tcPr>
            <w:tcW w:w="1176" w:type="dxa"/>
            <w:tcBorders>
              <w:top w:val="nil"/>
              <w:left w:val="nil"/>
              <w:bottom w:val="dotted" w:sz="4" w:space="0" w:color="000000"/>
              <w:right w:val="dotted" w:sz="4" w:space="0" w:color="000000"/>
            </w:tcBorders>
            <w:shd w:val="clear" w:color="auto" w:fill="auto"/>
            <w:noWrap/>
            <w:vAlign w:val="center"/>
            <w:hideMark/>
          </w:tcPr>
          <w:p w14:paraId="72150BA8" w14:textId="77777777" w:rsidR="00247CBF" w:rsidRPr="00092ED7" w:rsidRDefault="00247CBF" w:rsidP="00247CBF">
            <w:pPr>
              <w:spacing w:after="0"/>
              <w:jc w:val="right"/>
              <w:rPr>
                <w:sz w:val="20"/>
                <w:szCs w:val="20"/>
                <w:lang w:val="sr-Cyrl-CS"/>
              </w:rPr>
            </w:pPr>
            <w:r w:rsidRPr="00092ED7">
              <w:rPr>
                <w:sz w:val="20"/>
                <w:szCs w:val="20"/>
                <w:lang w:val="sr-Cyrl-CS"/>
              </w:rPr>
              <w:t>614,238</w:t>
            </w:r>
          </w:p>
        </w:tc>
        <w:tc>
          <w:tcPr>
            <w:tcW w:w="1176" w:type="dxa"/>
            <w:tcBorders>
              <w:top w:val="nil"/>
              <w:left w:val="nil"/>
              <w:bottom w:val="dotted" w:sz="4" w:space="0" w:color="000000"/>
              <w:right w:val="dotted" w:sz="4" w:space="0" w:color="000000"/>
            </w:tcBorders>
            <w:shd w:val="clear" w:color="auto" w:fill="auto"/>
            <w:noWrap/>
            <w:vAlign w:val="center"/>
            <w:hideMark/>
          </w:tcPr>
          <w:p w14:paraId="2C6D2557" w14:textId="77777777" w:rsidR="00247CBF" w:rsidRPr="00092ED7" w:rsidRDefault="00247CBF" w:rsidP="00247CBF">
            <w:pPr>
              <w:spacing w:after="0"/>
              <w:jc w:val="right"/>
              <w:rPr>
                <w:sz w:val="20"/>
                <w:szCs w:val="20"/>
                <w:lang w:val="sr-Cyrl-CS"/>
              </w:rPr>
            </w:pPr>
            <w:r w:rsidRPr="00092ED7">
              <w:rPr>
                <w:sz w:val="20"/>
                <w:szCs w:val="20"/>
                <w:lang w:val="sr-Cyrl-CS"/>
              </w:rPr>
              <w:t>554,662</w:t>
            </w:r>
          </w:p>
        </w:tc>
        <w:tc>
          <w:tcPr>
            <w:tcW w:w="1177" w:type="dxa"/>
            <w:tcBorders>
              <w:top w:val="nil"/>
              <w:left w:val="nil"/>
              <w:bottom w:val="dotted" w:sz="4" w:space="0" w:color="000000"/>
              <w:right w:val="double" w:sz="6" w:space="0" w:color="auto"/>
            </w:tcBorders>
            <w:shd w:val="clear" w:color="auto" w:fill="auto"/>
            <w:noWrap/>
            <w:vAlign w:val="center"/>
            <w:hideMark/>
          </w:tcPr>
          <w:p w14:paraId="723E5770" w14:textId="77777777" w:rsidR="00247CBF" w:rsidRPr="00092ED7" w:rsidRDefault="00247CBF" w:rsidP="00247CBF">
            <w:pPr>
              <w:spacing w:after="0"/>
              <w:jc w:val="right"/>
              <w:rPr>
                <w:sz w:val="20"/>
                <w:szCs w:val="20"/>
                <w:lang w:val="sr-Cyrl-CS"/>
              </w:rPr>
            </w:pPr>
            <w:r w:rsidRPr="00092ED7">
              <w:rPr>
                <w:sz w:val="20"/>
                <w:szCs w:val="20"/>
                <w:lang w:val="sr-Cyrl-CS"/>
              </w:rPr>
              <w:t>504,528</w:t>
            </w:r>
          </w:p>
        </w:tc>
      </w:tr>
      <w:tr w:rsidR="00247CBF" w:rsidRPr="00092ED7" w14:paraId="15B75D7A" w14:textId="77777777" w:rsidTr="00247CBF">
        <w:trPr>
          <w:trHeight w:val="255"/>
        </w:trPr>
        <w:tc>
          <w:tcPr>
            <w:tcW w:w="6000" w:type="dxa"/>
            <w:tcBorders>
              <w:top w:val="nil"/>
              <w:left w:val="double" w:sz="6" w:space="0" w:color="auto"/>
              <w:bottom w:val="dotted" w:sz="4" w:space="0" w:color="000000"/>
              <w:right w:val="nil"/>
            </w:tcBorders>
            <w:shd w:val="clear" w:color="auto" w:fill="auto"/>
            <w:vAlign w:val="center"/>
            <w:hideMark/>
          </w:tcPr>
          <w:p w14:paraId="032B9029"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2. Одбрана</w:t>
            </w:r>
          </w:p>
        </w:tc>
        <w:tc>
          <w:tcPr>
            <w:tcW w:w="1520" w:type="dxa"/>
            <w:tcBorders>
              <w:top w:val="nil"/>
              <w:left w:val="single" w:sz="8" w:space="0" w:color="000000"/>
              <w:bottom w:val="dotted" w:sz="4" w:space="0" w:color="000000"/>
              <w:right w:val="single" w:sz="8" w:space="0" w:color="000000"/>
            </w:tcBorders>
            <w:shd w:val="clear" w:color="auto" w:fill="auto"/>
            <w:vAlign w:val="center"/>
            <w:hideMark/>
          </w:tcPr>
          <w:p w14:paraId="394639AE" w14:textId="77777777" w:rsidR="00247CBF" w:rsidRPr="00092ED7" w:rsidRDefault="00247CBF" w:rsidP="00247CBF">
            <w:pPr>
              <w:spacing w:after="0"/>
              <w:jc w:val="center"/>
              <w:rPr>
                <w:sz w:val="20"/>
                <w:szCs w:val="20"/>
                <w:lang w:val="sr-Cyrl-CS"/>
              </w:rPr>
            </w:pPr>
            <w:r w:rsidRPr="00092ED7">
              <w:rPr>
                <w:sz w:val="20"/>
                <w:szCs w:val="20"/>
                <w:lang w:val="sr-Cyrl-CS"/>
              </w:rPr>
              <w:t>2</w:t>
            </w:r>
          </w:p>
        </w:tc>
        <w:tc>
          <w:tcPr>
            <w:tcW w:w="1176" w:type="dxa"/>
            <w:tcBorders>
              <w:top w:val="nil"/>
              <w:left w:val="nil"/>
              <w:bottom w:val="dotted" w:sz="4" w:space="0" w:color="000000"/>
              <w:right w:val="dotted" w:sz="4" w:space="0" w:color="000000"/>
            </w:tcBorders>
            <w:shd w:val="clear" w:color="auto" w:fill="auto"/>
            <w:noWrap/>
            <w:vAlign w:val="center"/>
            <w:hideMark/>
          </w:tcPr>
          <w:p w14:paraId="561F9850" w14:textId="77777777" w:rsidR="00247CBF" w:rsidRPr="00092ED7" w:rsidRDefault="00247CBF" w:rsidP="00247CBF">
            <w:pPr>
              <w:spacing w:after="0"/>
              <w:jc w:val="right"/>
              <w:rPr>
                <w:sz w:val="20"/>
                <w:szCs w:val="20"/>
                <w:lang w:val="sr-Cyrl-CS"/>
              </w:rPr>
            </w:pPr>
            <w:r w:rsidRPr="00092ED7">
              <w:rPr>
                <w:sz w:val="20"/>
                <w:szCs w:val="20"/>
                <w:lang w:val="sr-Cyrl-CS"/>
              </w:rPr>
              <w:t>108,125</w:t>
            </w:r>
          </w:p>
        </w:tc>
        <w:tc>
          <w:tcPr>
            <w:tcW w:w="1176" w:type="dxa"/>
            <w:tcBorders>
              <w:top w:val="nil"/>
              <w:left w:val="nil"/>
              <w:bottom w:val="dotted" w:sz="4" w:space="0" w:color="000000"/>
              <w:right w:val="dotted" w:sz="4" w:space="0" w:color="000000"/>
            </w:tcBorders>
            <w:shd w:val="clear" w:color="auto" w:fill="auto"/>
            <w:noWrap/>
            <w:vAlign w:val="center"/>
            <w:hideMark/>
          </w:tcPr>
          <w:p w14:paraId="15230636" w14:textId="77777777" w:rsidR="00247CBF" w:rsidRPr="00092ED7" w:rsidRDefault="00247CBF" w:rsidP="00247CBF">
            <w:pPr>
              <w:spacing w:after="0"/>
              <w:jc w:val="right"/>
              <w:rPr>
                <w:sz w:val="20"/>
                <w:szCs w:val="20"/>
                <w:lang w:val="sr-Cyrl-CS"/>
              </w:rPr>
            </w:pPr>
            <w:r w:rsidRPr="00092ED7">
              <w:rPr>
                <w:sz w:val="20"/>
                <w:szCs w:val="20"/>
                <w:lang w:val="sr-Cyrl-CS"/>
              </w:rPr>
              <w:t>155,128</w:t>
            </w:r>
          </w:p>
        </w:tc>
        <w:tc>
          <w:tcPr>
            <w:tcW w:w="1177" w:type="dxa"/>
            <w:tcBorders>
              <w:top w:val="nil"/>
              <w:left w:val="nil"/>
              <w:bottom w:val="dotted" w:sz="4" w:space="0" w:color="000000"/>
              <w:right w:val="dotted" w:sz="4" w:space="0" w:color="000000"/>
            </w:tcBorders>
            <w:shd w:val="clear" w:color="auto" w:fill="auto"/>
            <w:noWrap/>
            <w:vAlign w:val="center"/>
            <w:hideMark/>
          </w:tcPr>
          <w:p w14:paraId="7BB21497" w14:textId="77777777" w:rsidR="00247CBF" w:rsidRPr="00092ED7" w:rsidRDefault="00247CBF" w:rsidP="00247CBF">
            <w:pPr>
              <w:spacing w:after="0"/>
              <w:jc w:val="right"/>
              <w:rPr>
                <w:sz w:val="20"/>
                <w:szCs w:val="20"/>
                <w:lang w:val="sr-Cyrl-CS"/>
              </w:rPr>
            </w:pPr>
            <w:r w:rsidRPr="00092ED7">
              <w:rPr>
                <w:sz w:val="20"/>
                <w:szCs w:val="20"/>
                <w:lang w:val="sr-Cyrl-CS"/>
              </w:rPr>
              <w:t>138,947</w:t>
            </w:r>
          </w:p>
        </w:tc>
        <w:tc>
          <w:tcPr>
            <w:tcW w:w="1176" w:type="dxa"/>
            <w:tcBorders>
              <w:top w:val="nil"/>
              <w:left w:val="nil"/>
              <w:bottom w:val="dotted" w:sz="4" w:space="0" w:color="000000"/>
              <w:right w:val="dotted" w:sz="4" w:space="0" w:color="000000"/>
            </w:tcBorders>
            <w:shd w:val="clear" w:color="auto" w:fill="auto"/>
            <w:noWrap/>
            <w:vAlign w:val="center"/>
            <w:hideMark/>
          </w:tcPr>
          <w:p w14:paraId="79CCCFED" w14:textId="77777777" w:rsidR="00247CBF" w:rsidRPr="00092ED7" w:rsidRDefault="00247CBF" w:rsidP="00247CBF">
            <w:pPr>
              <w:spacing w:after="0"/>
              <w:jc w:val="right"/>
              <w:rPr>
                <w:sz w:val="20"/>
                <w:szCs w:val="20"/>
                <w:lang w:val="sr-Cyrl-CS"/>
              </w:rPr>
            </w:pPr>
            <w:r w:rsidRPr="00092ED7">
              <w:rPr>
                <w:sz w:val="20"/>
                <w:szCs w:val="20"/>
                <w:lang w:val="sr-Cyrl-CS"/>
              </w:rPr>
              <w:t>160,502</w:t>
            </w:r>
          </w:p>
        </w:tc>
        <w:tc>
          <w:tcPr>
            <w:tcW w:w="1176" w:type="dxa"/>
            <w:tcBorders>
              <w:top w:val="nil"/>
              <w:left w:val="nil"/>
              <w:bottom w:val="dotted" w:sz="4" w:space="0" w:color="000000"/>
              <w:right w:val="dotted" w:sz="4" w:space="0" w:color="000000"/>
            </w:tcBorders>
            <w:shd w:val="clear" w:color="auto" w:fill="auto"/>
            <w:noWrap/>
            <w:vAlign w:val="center"/>
            <w:hideMark/>
          </w:tcPr>
          <w:p w14:paraId="4151A6AB" w14:textId="77777777" w:rsidR="00247CBF" w:rsidRPr="00092ED7" w:rsidRDefault="00247CBF" w:rsidP="00247CBF">
            <w:pPr>
              <w:spacing w:after="0"/>
              <w:jc w:val="right"/>
              <w:rPr>
                <w:sz w:val="20"/>
                <w:szCs w:val="20"/>
                <w:lang w:val="sr-Cyrl-CS"/>
              </w:rPr>
            </w:pPr>
            <w:r w:rsidRPr="00092ED7">
              <w:rPr>
                <w:sz w:val="20"/>
                <w:szCs w:val="20"/>
                <w:lang w:val="sr-Cyrl-CS"/>
              </w:rPr>
              <w:t>175,526</w:t>
            </w:r>
          </w:p>
        </w:tc>
        <w:tc>
          <w:tcPr>
            <w:tcW w:w="1177" w:type="dxa"/>
            <w:tcBorders>
              <w:top w:val="nil"/>
              <w:left w:val="nil"/>
              <w:bottom w:val="dotted" w:sz="4" w:space="0" w:color="000000"/>
              <w:right w:val="double" w:sz="6" w:space="0" w:color="auto"/>
            </w:tcBorders>
            <w:shd w:val="clear" w:color="auto" w:fill="auto"/>
            <w:noWrap/>
            <w:vAlign w:val="center"/>
            <w:hideMark/>
          </w:tcPr>
          <w:p w14:paraId="7473B36D" w14:textId="77777777" w:rsidR="00247CBF" w:rsidRPr="00092ED7" w:rsidRDefault="00247CBF" w:rsidP="00247CBF">
            <w:pPr>
              <w:spacing w:after="0"/>
              <w:jc w:val="right"/>
              <w:rPr>
                <w:sz w:val="20"/>
                <w:szCs w:val="20"/>
                <w:lang w:val="sr-Cyrl-CS"/>
              </w:rPr>
            </w:pPr>
            <w:r w:rsidRPr="00092ED7">
              <w:rPr>
                <w:sz w:val="20"/>
                <w:szCs w:val="20"/>
                <w:lang w:val="sr-Cyrl-CS"/>
              </w:rPr>
              <w:t>190,388</w:t>
            </w:r>
          </w:p>
        </w:tc>
      </w:tr>
      <w:tr w:rsidR="00247CBF" w:rsidRPr="00092ED7" w14:paraId="26098D0E" w14:textId="77777777" w:rsidTr="00247CBF">
        <w:trPr>
          <w:trHeight w:val="255"/>
        </w:trPr>
        <w:tc>
          <w:tcPr>
            <w:tcW w:w="6000" w:type="dxa"/>
            <w:tcBorders>
              <w:top w:val="nil"/>
              <w:left w:val="double" w:sz="6" w:space="0" w:color="auto"/>
              <w:bottom w:val="dotted" w:sz="4" w:space="0" w:color="000000"/>
              <w:right w:val="nil"/>
            </w:tcBorders>
            <w:shd w:val="clear" w:color="auto" w:fill="auto"/>
            <w:vAlign w:val="center"/>
            <w:hideMark/>
          </w:tcPr>
          <w:p w14:paraId="3689D4FB"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3. Јавни ред и безбедност</w:t>
            </w:r>
          </w:p>
        </w:tc>
        <w:tc>
          <w:tcPr>
            <w:tcW w:w="1520" w:type="dxa"/>
            <w:tcBorders>
              <w:top w:val="nil"/>
              <w:left w:val="single" w:sz="8" w:space="0" w:color="000000"/>
              <w:bottom w:val="dotted" w:sz="4" w:space="0" w:color="000000"/>
              <w:right w:val="single" w:sz="8" w:space="0" w:color="000000"/>
            </w:tcBorders>
            <w:shd w:val="clear" w:color="auto" w:fill="auto"/>
            <w:vAlign w:val="center"/>
            <w:hideMark/>
          </w:tcPr>
          <w:p w14:paraId="60BC7BD8" w14:textId="77777777" w:rsidR="00247CBF" w:rsidRPr="00092ED7" w:rsidRDefault="00247CBF" w:rsidP="00247CBF">
            <w:pPr>
              <w:spacing w:after="0"/>
              <w:jc w:val="center"/>
              <w:rPr>
                <w:sz w:val="20"/>
                <w:szCs w:val="20"/>
                <w:lang w:val="sr-Cyrl-CS"/>
              </w:rPr>
            </w:pPr>
            <w:r w:rsidRPr="00092ED7">
              <w:rPr>
                <w:sz w:val="20"/>
                <w:szCs w:val="20"/>
                <w:lang w:val="sr-Cyrl-CS"/>
              </w:rPr>
              <w:t>3</w:t>
            </w:r>
          </w:p>
        </w:tc>
        <w:tc>
          <w:tcPr>
            <w:tcW w:w="1176" w:type="dxa"/>
            <w:tcBorders>
              <w:top w:val="nil"/>
              <w:left w:val="nil"/>
              <w:bottom w:val="dotted" w:sz="4" w:space="0" w:color="000000"/>
              <w:right w:val="dotted" w:sz="4" w:space="0" w:color="000000"/>
            </w:tcBorders>
            <w:shd w:val="clear" w:color="auto" w:fill="auto"/>
            <w:noWrap/>
            <w:vAlign w:val="center"/>
            <w:hideMark/>
          </w:tcPr>
          <w:p w14:paraId="39E8056E" w14:textId="77777777" w:rsidR="00247CBF" w:rsidRPr="00092ED7" w:rsidRDefault="00247CBF" w:rsidP="00247CBF">
            <w:pPr>
              <w:spacing w:after="0"/>
              <w:jc w:val="right"/>
              <w:rPr>
                <w:sz w:val="20"/>
                <w:szCs w:val="20"/>
                <w:lang w:val="sr-Cyrl-CS"/>
              </w:rPr>
            </w:pPr>
            <w:r w:rsidRPr="00092ED7">
              <w:rPr>
                <w:sz w:val="20"/>
                <w:szCs w:val="20"/>
                <w:lang w:val="sr-Cyrl-CS"/>
              </w:rPr>
              <w:t>149,692</w:t>
            </w:r>
          </w:p>
        </w:tc>
        <w:tc>
          <w:tcPr>
            <w:tcW w:w="1176" w:type="dxa"/>
            <w:tcBorders>
              <w:top w:val="nil"/>
              <w:left w:val="nil"/>
              <w:bottom w:val="dotted" w:sz="4" w:space="0" w:color="000000"/>
              <w:right w:val="dotted" w:sz="4" w:space="0" w:color="000000"/>
            </w:tcBorders>
            <w:shd w:val="clear" w:color="auto" w:fill="auto"/>
            <w:noWrap/>
            <w:vAlign w:val="center"/>
            <w:hideMark/>
          </w:tcPr>
          <w:p w14:paraId="15251F63" w14:textId="77777777" w:rsidR="00247CBF" w:rsidRPr="00092ED7" w:rsidRDefault="00247CBF" w:rsidP="00247CBF">
            <w:pPr>
              <w:spacing w:after="0"/>
              <w:jc w:val="right"/>
              <w:rPr>
                <w:sz w:val="20"/>
                <w:szCs w:val="20"/>
                <w:lang w:val="sr-Cyrl-CS"/>
              </w:rPr>
            </w:pPr>
            <w:r w:rsidRPr="00092ED7">
              <w:rPr>
                <w:sz w:val="20"/>
                <w:szCs w:val="20"/>
                <w:lang w:val="sr-Cyrl-CS"/>
              </w:rPr>
              <w:t>167,544</w:t>
            </w:r>
          </w:p>
        </w:tc>
        <w:tc>
          <w:tcPr>
            <w:tcW w:w="1177" w:type="dxa"/>
            <w:tcBorders>
              <w:top w:val="nil"/>
              <w:left w:val="nil"/>
              <w:bottom w:val="dotted" w:sz="4" w:space="0" w:color="000000"/>
              <w:right w:val="dotted" w:sz="4" w:space="0" w:color="000000"/>
            </w:tcBorders>
            <w:shd w:val="clear" w:color="auto" w:fill="auto"/>
            <w:noWrap/>
            <w:vAlign w:val="center"/>
            <w:hideMark/>
          </w:tcPr>
          <w:p w14:paraId="4C31C4F3" w14:textId="77777777" w:rsidR="00247CBF" w:rsidRPr="00092ED7" w:rsidRDefault="00247CBF" w:rsidP="00247CBF">
            <w:pPr>
              <w:spacing w:after="0"/>
              <w:jc w:val="right"/>
              <w:rPr>
                <w:sz w:val="20"/>
                <w:szCs w:val="20"/>
                <w:lang w:val="sr-Cyrl-CS"/>
              </w:rPr>
            </w:pPr>
            <w:r w:rsidRPr="00092ED7">
              <w:rPr>
                <w:sz w:val="20"/>
                <w:szCs w:val="20"/>
                <w:lang w:val="sr-Cyrl-CS"/>
              </w:rPr>
              <w:t>173,076</w:t>
            </w:r>
          </w:p>
        </w:tc>
        <w:tc>
          <w:tcPr>
            <w:tcW w:w="1176" w:type="dxa"/>
            <w:tcBorders>
              <w:top w:val="nil"/>
              <w:left w:val="nil"/>
              <w:bottom w:val="dotted" w:sz="4" w:space="0" w:color="000000"/>
              <w:right w:val="dotted" w:sz="4" w:space="0" w:color="000000"/>
            </w:tcBorders>
            <w:shd w:val="clear" w:color="auto" w:fill="auto"/>
            <w:noWrap/>
            <w:vAlign w:val="center"/>
            <w:hideMark/>
          </w:tcPr>
          <w:p w14:paraId="2C5D69A8" w14:textId="77777777" w:rsidR="00247CBF" w:rsidRPr="00092ED7" w:rsidRDefault="00247CBF" w:rsidP="00247CBF">
            <w:pPr>
              <w:spacing w:after="0"/>
              <w:jc w:val="right"/>
              <w:rPr>
                <w:sz w:val="20"/>
                <w:szCs w:val="20"/>
                <w:lang w:val="sr-Cyrl-CS"/>
              </w:rPr>
            </w:pPr>
            <w:r w:rsidRPr="00092ED7">
              <w:rPr>
                <w:sz w:val="20"/>
                <w:szCs w:val="20"/>
                <w:lang w:val="sr-Cyrl-CS"/>
              </w:rPr>
              <w:t>184,001</w:t>
            </w:r>
          </w:p>
        </w:tc>
        <w:tc>
          <w:tcPr>
            <w:tcW w:w="1176" w:type="dxa"/>
            <w:tcBorders>
              <w:top w:val="nil"/>
              <w:left w:val="nil"/>
              <w:bottom w:val="dotted" w:sz="4" w:space="0" w:color="000000"/>
              <w:right w:val="dotted" w:sz="4" w:space="0" w:color="000000"/>
            </w:tcBorders>
            <w:shd w:val="clear" w:color="auto" w:fill="auto"/>
            <w:noWrap/>
            <w:vAlign w:val="center"/>
            <w:hideMark/>
          </w:tcPr>
          <w:p w14:paraId="16AB2188" w14:textId="77777777" w:rsidR="00247CBF" w:rsidRPr="00092ED7" w:rsidRDefault="00247CBF" w:rsidP="00247CBF">
            <w:pPr>
              <w:spacing w:after="0"/>
              <w:jc w:val="right"/>
              <w:rPr>
                <w:sz w:val="20"/>
                <w:szCs w:val="20"/>
                <w:lang w:val="sr-Cyrl-CS"/>
              </w:rPr>
            </w:pPr>
            <w:r w:rsidRPr="00092ED7">
              <w:rPr>
                <w:sz w:val="20"/>
                <w:szCs w:val="20"/>
                <w:lang w:val="sr-Cyrl-CS"/>
              </w:rPr>
              <w:t>201,855</w:t>
            </w:r>
          </w:p>
        </w:tc>
        <w:tc>
          <w:tcPr>
            <w:tcW w:w="1177" w:type="dxa"/>
            <w:tcBorders>
              <w:top w:val="nil"/>
              <w:left w:val="nil"/>
              <w:bottom w:val="dotted" w:sz="4" w:space="0" w:color="000000"/>
              <w:right w:val="double" w:sz="6" w:space="0" w:color="auto"/>
            </w:tcBorders>
            <w:shd w:val="clear" w:color="auto" w:fill="auto"/>
            <w:noWrap/>
            <w:vAlign w:val="center"/>
            <w:hideMark/>
          </w:tcPr>
          <w:p w14:paraId="3E322D88" w14:textId="77777777" w:rsidR="00247CBF" w:rsidRPr="00092ED7" w:rsidRDefault="00247CBF" w:rsidP="00247CBF">
            <w:pPr>
              <w:spacing w:after="0"/>
              <w:jc w:val="right"/>
              <w:rPr>
                <w:sz w:val="20"/>
                <w:szCs w:val="20"/>
                <w:lang w:val="sr-Cyrl-CS"/>
              </w:rPr>
            </w:pPr>
            <w:r w:rsidRPr="00092ED7">
              <w:rPr>
                <w:sz w:val="20"/>
                <w:szCs w:val="20"/>
                <w:lang w:val="sr-Cyrl-CS"/>
              </w:rPr>
              <w:t>218,946</w:t>
            </w:r>
          </w:p>
        </w:tc>
      </w:tr>
      <w:tr w:rsidR="00247CBF" w:rsidRPr="00092ED7" w14:paraId="19FA492B" w14:textId="77777777" w:rsidTr="00247CBF">
        <w:trPr>
          <w:trHeight w:val="255"/>
        </w:trPr>
        <w:tc>
          <w:tcPr>
            <w:tcW w:w="6000" w:type="dxa"/>
            <w:tcBorders>
              <w:top w:val="nil"/>
              <w:left w:val="double" w:sz="6" w:space="0" w:color="auto"/>
              <w:bottom w:val="dotted" w:sz="4" w:space="0" w:color="000000"/>
              <w:right w:val="nil"/>
            </w:tcBorders>
            <w:shd w:val="clear" w:color="auto" w:fill="auto"/>
            <w:vAlign w:val="center"/>
            <w:hideMark/>
          </w:tcPr>
          <w:p w14:paraId="577512F9"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4. Економски послови</w:t>
            </w:r>
          </w:p>
        </w:tc>
        <w:tc>
          <w:tcPr>
            <w:tcW w:w="1520" w:type="dxa"/>
            <w:tcBorders>
              <w:top w:val="nil"/>
              <w:left w:val="single" w:sz="8" w:space="0" w:color="000000"/>
              <w:bottom w:val="dotted" w:sz="4" w:space="0" w:color="000000"/>
              <w:right w:val="single" w:sz="8" w:space="0" w:color="000000"/>
            </w:tcBorders>
            <w:shd w:val="clear" w:color="auto" w:fill="auto"/>
            <w:vAlign w:val="center"/>
            <w:hideMark/>
          </w:tcPr>
          <w:p w14:paraId="4165BFD6" w14:textId="77777777" w:rsidR="00247CBF" w:rsidRPr="00092ED7" w:rsidRDefault="00247CBF" w:rsidP="00247CBF">
            <w:pPr>
              <w:spacing w:after="0"/>
              <w:jc w:val="center"/>
              <w:rPr>
                <w:sz w:val="20"/>
                <w:szCs w:val="20"/>
                <w:lang w:val="sr-Cyrl-CS"/>
              </w:rPr>
            </w:pPr>
            <w:r w:rsidRPr="00092ED7">
              <w:rPr>
                <w:sz w:val="20"/>
                <w:szCs w:val="20"/>
                <w:lang w:val="sr-Cyrl-CS"/>
              </w:rPr>
              <w:t>4</w:t>
            </w:r>
          </w:p>
        </w:tc>
        <w:tc>
          <w:tcPr>
            <w:tcW w:w="1176" w:type="dxa"/>
            <w:tcBorders>
              <w:top w:val="nil"/>
              <w:left w:val="nil"/>
              <w:bottom w:val="dotted" w:sz="4" w:space="0" w:color="000000"/>
              <w:right w:val="dotted" w:sz="4" w:space="0" w:color="000000"/>
            </w:tcBorders>
            <w:shd w:val="clear" w:color="auto" w:fill="auto"/>
            <w:noWrap/>
            <w:vAlign w:val="center"/>
            <w:hideMark/>
          </w:tcPr>
          <w:p w14:paraId="777D455D" w14:textId="77777777" w:rsidR="00247CBF" w:rsidRPr="00092ED7" w:rsidRDefault="00247CBF" w:rsidP="00247CBF">
            <w:pPr>
              <w:spacing w:after="0"/>
              <w:jc w:val="right"/>
              <w:rPr>
                <w:sz w:val="20"/>
                <w:szCs w:val="20"/>
                <w:lang w:val="sr-Cyrl-CS"/>
              </w:rPr>
            </w:pPr>
            <w:r w:rsidRPr="00092ED7">
              <w:rPr>
                <w:sz w:val="20"/>
                <w:szCs w:val="20"/>
                <w:lang w:val="sr-Cyrl-CS"/>
              </w:rPr>
              <w:t>494,914</w:t>
            </w:r>
          </w:p>
        </w:tc>
        <w:tc>
          <w:tcPr>
            <w:tcW w:w="1176" w:type="dxa"/>
            <w:tcBorders>
              <w:top w:val="nil"/>
              <w:left w:val="nil"/>
              <w:bottom w:val="dotted" w:sz="4" w:space="0" w:color="000000"/>
              <w:right w:val="dotted" w:sz="4" w:space="0" w:color="000000"/>
            </w:tcBorders>
            <w:shd w:val="clear" w:color="auto" w:fill="auto"/>
            <w:noWrap/>
            <w:vAlign w:val="center"/>
            <w:hideMark/>
          </w:tcPr>
          <w:p w14:paraId="1BDAEBB6" w14:textId="77777777" w:rsidR="00247CBF" w:rsidRPr="00092ED7" w:rsidRDefault="00247CBF" w:rsidP="00247CBF">
            <w:pPr>
              <w:spacing w:after="0"/>
              <w:jc w:val="right"/>
              <w:rPr>
                <w:sz w:val="20"/>
                <w:szCs w:val="20"/>
                <w:lang w:val="sr-Cyrl-CS"/>
              </w:rPr>
            </w:pPr>
            <w:r w:rsidRPr="00092ED7">
              <w:rPr>
                <w:sz w:val="20"/>
                <w:szCs w:val="20"/>
                <w:lang w:val="sr-Cyrl-CS"/>
              </w:rPr>
              <w:t>562,278</w:t>
            </w:r>
          </w:p>
        </w:tc>
        <w:tc>
          <w:tcPr>
            <w:tcW w:w="1177" w:type="dxa"/>
            <w:tcBorders>
              <w:top w:val="nil"/>
              <w:left w:val="nil"/>
              <w:bottom w:val="dotted" w:sz="4" w:space="0" w:color="000000"/>
              <w:right w:val="dotted" w:sz="4" w:space="0" w:color="000000"/>
            </w:tcBorders>
            <w:shd w:val="clear" w:color="auto" w:fill="auto"/>
            <w:noWrap/>
            <w:vAlign w:val="center"/>
            <w:hideMark/>
          </w:tcPr>
          <w:p w14:paraId="38916063" w14:textId="77777777" w:rsidR="00247CBF" w:rsidRPr="00092ED7" w:rsidRDefault="00247CBF" w:rsidP="00247CBF">
            <w:pPr>
              <w:spacing w:after="0"/>
              <w:jc w:val="right"/>
              <w:rPr>
                <w:sz w:val="20"/>
                <w:szCs w:val="20"/>
                <w:lang w:val="sr-Cyrl-CS"/>
              </w:rPr>
            </w:pPr>
            <w:r w:rsidRPr="00092ED7">
              <w:rPr>
                <w:sz w:val="20"/>
                <w:szCs w:val="20"/>
                <w:lang w:val="sr-Cyrl-CS"/>
              </w:rPr>
              <w:t>557,791</w:t>
            </w:r>
          </w:p>
        </w:tc>
        <w:tc>
          <w:tcPr>
            <w:tcW w:w="1176" w:type="dxa"/>
            <w:tcBorders>
              <w:top w:val="nil"/>
              <w:left w:val="nil"/>
              <w:bottom w:val="dotted" w:sz="4" w:space="0" w:color="000000"/>
              <w:right w:val="dotted" w:sz="4" w:space="0" w:color="000000"/>
            </w:tcBorders>
            <w:shd w:val="clear" w:color="auto" w:fill="auto"/>
            <w:noWrap/>
            <w:vAlign w:val="center"/>
            <w:hideMark/>
          </w:tcPr>
          <w:p w14:paraId="3C2B8371" w14:textId="77777777" w:rsidR="00247CBF" w:rsidRPr="00092ED7" w:rsidRDefault="00247CBF" w:rsidP="00247CBF">
            <w:pPr>
              <w:spacing w:after="0"/>
              <w:jc w:val="right"/>
              <w:rPr>
                <w:sz w:val="20"/>
                <w:szCs w:val="20"/>
                <w:lang w:val="sr-Cyrl-CS"/>
              </w:rPr>
            </w:pPr>
            <w:r w:rsidRPr="00092ED7">
              <w:rPr>
                <w:sz w:val="20"/>
                <w:szCs w:val="20"/>
                <w:lang w:val="sr-Cyrl-CS"/>
              </w:rPr>
              <w:t>586,267</w:t>
            </w:r>
          </w:p>
        </w:tc>
        <w:tc>
          <w:tcPr>
            <w:tcW w:w="1176" w:type="dxa"/>
            <w:tcBorders>
              <w:top w:val="nil"/>
              <w:left w:val="nil"/>
              <w:bottom w:val="dotted" w:sz="4" w:space="0" w:color="000000"/>
              <w:right w:val="dotted" w:sz="4" w:space="0" w:color="000000"/>
            </w:tcBorders>
            <w:shd w:val="clear" w:color="auto" w:fill="auto"/>
            <w:noWrap/>
            <w:vAlign w:val="center"/>
            <w:hideMark/>
          </w:tcPr>
          <w:p w14:paraId="6C5E58D8" w14:textId="77777777" w:rsidR="00247CBF" w:rsidRPr="00092ED7" w:rsidRDefault="00247CBF" w:rsidP="00247CBF">
            <w:pPr>
              <w:spacing w:after="0"/>
              <w:jc w:val="right"/>
              <w:rPr>
                <w:sz w:val="20"/>
                <w:szCs w:val="20"/>
                <w:lang w:val="sr-Cyrl-CS"/>
              </w:rPr>
            </w:pPr>
            <w:r w:rsidRPr="00092ED7">
              <w:rPr>
                <w:sz w:val="20"/>
                <w:szCs w:val="20"/>
                <w:lang w:val="sr-Cyrl-CS"/>
              </w:rPr>
              <w:t>596,788</w:t>
            </w:r>
          </w:p>
        </w:tc>
        <w:tc>
          <w:tcPr>
            <w:tcW w:w="1177" w:type="dxa"/>
            <w:tcBorders>
              <w:top w:val="nil"/>
              <w:left w:val="nil"/>
              <w:bottom w:val="dotted" w:sz="4" w:space="0" w:color="000000"/>
              <w:right w:val="double" w:sz="6" w:space="0" w:color="auto"/>
            </w:tcBorders>
            <w:shd w:val="clear" w:color="auto" w:fill="auto"/>
            <w:noWrap/>
            <w:vAlign w:val="center"/>
            <w:hideMark/>
          </w:tcPr>
          <w:p w14:paraId="7A834BA7" w14:textId="77777777" w:rsidR="00247CBF" w:rsidRPr="00092ED7" w:rsidRDefault="00247CBF" w:rsidP="00247CBF">
            <w:pPr>
              <w:spacing w:after="0"/>
              <w:jc w:val="right"/>
              <w:rPr>
                <w:sz w:val="20"/>
                <w:szCs w:val="20"/>
                <w:lang w:val="sr-Cyrl-CS"/>
              </w:rPr>
            </w:pPr>
            <w:r w:rsidRPr="00092ED7">
              <w:rPr>
                <w:sz w:val="20"/>
                <w:szCs w:val="20"/>
                <w:lang w:val="sr-Cyrl-CS"/>
              </w:rPr>
              <w:t>609,242</w:t>
            </w:r>
          </w:p>
        </w:tc>
      </w:tr>
      <w:tr w:rsidR="00247CBF" w:rsidRPr="00092ED7" w14:paraId="1033E7EE" w14:textId="77777777" w:rsidTr="00247CBF">
        <w:trPr>
          <w:trHeight w:val="255"/>
        </w:trPr>
        <w:tc>
          <w:tcPr>
            <w:tcW w:w="6000" w:type="dxa"/>
            <w:tcBorders>
              <w:top w:val="nil"/>
              <w:left w:val="double" w:sz="6" w:space="0" w:color="auto"/>
              <w:bottom w:val="dotted" w:sz="4" w:space="0" w:color="000000"/>
              <w:right w:val="nil"/>
            </w:tcBorders>
            <w:shd w:val="clear" w:color="auto" w:fill="auto"/>
            <w:vAlign w:val="center"/>
            <w:hideMark/>
          </w:tcPr>
          <w:p w14:paraId="31D5C812"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5. Заштита животне средине</w:t>
            </w:r>
          </w:p>
        </w:tc>
        <w:tc>
          <w:tcPr>
            <w:tcW w:w="1520" w:type="dxa"/>
            <w:tcBorders>
              <w:top w:val="nil"/>
              <w:left w:val="single" w:sz="8" w:space="0" w:color="000000"/>
              <w:bottom w:val="dotted" w:sz="4" w:space="0" w:color="000000"/>
              <w:right w:val="single" w:sz="8" w:space="0" w:color="000000"/>
            </w:tcBorders>
            <w:shd w:val="clear" w:color="auto" w:fill="auto"/>
            <w:vAlign w:val="center"/>
            <w:hideMark/>
          </w:tcPr>
          <w:p w14:paraId="71691F05" w14:textId="77777777" w:rsidR="00247CBF" w:rsidRPr="00092ED7" w:rsidRDefault="00247CBF" w:rsidP="00247CBF">
            <w:pPr>
              <w:spacing w:after="0"/>
              <w:jc w:val="center"/>
              <w:rPr>
                <w:sz w:val="20"/>
                <w:szCs w:val="20"/>
                <w:lang w:val="sr-Cyrl-CS"/>
              </w:rPr>
            </w:pPr>
            <w:r w:rsidRPr="00092ED7">
              <w:rPr>
                <w:sz w:val="20"/>
                <w:szCs w:val="20"/>
                <w:lang w:val="sr-Cyrl-CS"/>
              </w:rPr>
              <w:t>5</w:t>
            </w:r>
          </w:p>
        </w:tc>
        <w:tc>
          <w:tcPr>
            <w:tcW w:w="1176" w:type="dxa"/>
            <w:tcBorders>
              <w:top w:val="nil"/>
              <w:left w:val="nil"/>
              <w:bottom w:val="dotted" w:sz="4" w:space="0" w:color="000000"/>
              <w:right w:val="dotted" w:sz="4" w:space="0" w:color="000000"/>
            </w:tcBorders>
            <w:shd w:val="clear" w:color="auto" w:fill="auto"/>
            <w:noWrap/>
            <w:vAlign w:val="center"/>
            <w:hideMark/>
          </w:tcPr>
          <w:p w14:paraId="68D803C4" w14:textId="77777777" w:rsidR="00247CBF" w:rsidRPr="00092ED7" w:rsidRDefault="00247CBF" w:rsidP="00247CBF">
            <w:pPr>
              <w:spacing w:after="0"/>
              <w:jc w:val="right"/>
              <w:rPr>
                <w:sz w:val="20"/>
                <w:szCs w:val="20"/>
                <w:lang w:val="sr-Cyrl-CS"/>
              </w:rPr>
            </w:pPr>
            <w:r w:rsidRPr="00092ED7">
              <w:rPr>
                <w:sz w:val="20"/>
                <w:szCs w:val="20"/>
                <w:lang w:val="sr-Cyrl-CS"/>
              </w:rPr>
              <w:t>15,815</w:t>
            </w:r>
          </w:p>
        </w:tc>
        <w:tc>
          <w:tcPr>
            <w:tcW w:w="1176" w:type="dxa"/>
            <w:tcBorders>
              <w:top w:val="nil"/>
              <w:left w:val="nil"/>
              <w:bottom w:val="dotted" w:sz="4" w:space="0" w:color="000000"/>
              <w:right w:val="dotted" w:sz="4" w:space="0" w:color="000000"/>
            </w:tcBorders>
            <w:shd w:val="clear" w:color="auto" w:fill="auto"/>
            <w:noWrap/>
            <w:vAlign w:val="center"/>
            <w:hideMark/>
          </w:tcPr>
          <w:p w14:paraId="42156745" w14:textId="77777777" w:rsidR="00247CBF" w:rsidRPr="00092ED7" w:rsidRDefault="00247CBF" w:rsidP="00247CBF">
            <w:pPr>
              <w:spacing w:after="0"/>
              <w:jc w:val="right"/>
              <w:rPr>
                <w:sz w:val="20"/>
                <w:szCs w:val="20"/>
                <w:lang w:val="sr-Cyrl-CS"/>
              </w:rPr>
            </w:pPr>
            <w:r w:rsidRPr="00092ED7">
              <w:rPr>
                <w:sz w:val="20"/>
                <w:szCs w:val="20"/>
                <w:lang w:val="sr-Cyrl-CS"/>
              </w:rPr>
              <w:t>28,580</w:t>
            </w:r>
          </w:p>
        </w:tc>
        <w:tc>
          <w:tcPr>
            <w:tcW w:w="1177" w:type="dxa"/>
            <w:tcBorders>
              <w:top w:val="nil"/>
              <w:left w:val="nil"/>
              <w:bottom w:val="dotted" w:sz="4" w:space="0" w:color="000000"/>
              <w:right w:val="dotted" w:sz="4" w:space="0" w:color="000000"/>
            </w:tcBorders>
            <w:shd w:val="clear" w:color="auto" w:fill="auto"/>
            <w:noWrap/>
            <w:vAlign w:val="center"/>
            <w:hideMark/>
          </w:tcPr>
          <w:p w14:paraId="4A279F94" w14:textId="77777777" w:rsidR="00247CBF" w:rsidRPr="00092ED7" w:rsidRDefault="00247CBF" w:rsidP="00247CBF">
            <w:pPr>
              <w:spacing w:after="0"/>
              <w:jc w:val="right"/>
              <w:rPr>
                <w:sz w:val="20"/>
                <w:szCs w:val="20"/>
                <w:lang w:val="sr-Cyrl-CS"/>
              </w:rPr>
            </w:pPr>
            <w:r w:rsidRPr="00092ED7">
              <w:rPr>
                <w:sz w:val="20"/>
                <w:szCs w:val="20"/>
                <w:lang w:val="sr-Cyrl-CS"/>
              </w:rPr>
              <w:t>27,128</w:t>
            </w:r>
          </w:p>
        </w:tc>
        <w:tc>
          <w:tcPr>
            <w:tcW w:w="1176" w:type="dxa"/>
            <w:tcBorders>
              <w:top w:val="nil"/>
              <w:left w:val="nil"/>
              <w:bottom w:val="dotted" w:sz="4" w:space="0" w:color="000000"/>
              <w:right w:val="dotted" w:sz="4" w:space="0" w:color="000000"/>
            </w:tcBorders>
            <w:shd w:val="clear" w:color="auto" w:fill="auto"/>
            <w:noWrap/>
            <w:vAlign w:val="center"/>
            <w:hideMark/>
          </w:tcPr>
          <w:p w14:paraId="6D21BE9D" w14:textId="77777777" w:rsidR="00247CBF" w:rsidRPr="00092ED7" w:rsidRDefault="00247CBF" w:rsidP="00247CBF">
            <w:pPr>
              <w:spacing w:after="0"/>
              <w:jc w:val="right"/>
              <w:rPr>
                <w:sz w:val="20"/>
                <w:szCs w:val="20"/>
                <w:lang w:val="sr-Cyrl-CS"/>
              </w:rPr>
            </w:pPr>
            <w:r w:rsidRPr="00092ED7">
              <w:rPr>
                <w:sz w:val="20"/>
                <w:szCs w:val="20"/>
                <w:lang w:val="sr-Cyrl-CS"/>
              </w:rPr>
              <w:t>32,780</w:t>
            </w:r>
          </w:p>
        </w:tc>
        <w:tc>
          <w:tcPr>
            <w:tcW w:w="1176" w:type="dxa"/>
            <w:tcBorders>
              <w:top w:val="nil"/>
              <w:left w:val="nil"/>
              <w:bottom w:val="dotted" w:sz="4" w:space="0" w:color="000000"/>
              <w:right w:val="dotted" w:sz="4" w:space="0" w:color="000000"/>
            </w:tcBorders>
            <w:shd w:val="clear" w:color="auto" w:fill="auto"/>
            <w:noWrap/>
            <w:vAlign w:val="center"/>
            <w:hideMark/>
          </w:tcPr>
          <w:p w14:paraId="429A82AC" w14:textId="77777777" w:rsidR="00247CBF" w:rsidRPr="00092ED7" w:rsidRDefault="00247CBF" w:rsidP="00247CBF">
            <w:pPr>
              <w:spacing w:after="0"/>
              <w:jc w:val="right"/>
              <w:rPr>
                <w:sz w:val="20"/>
                <w:szCs w:val="20"/>
                <w:lang w:val="sr-Cyrl-CS"/>
              </w:rPr>
            </w:pPr>
            <w:r w:rsidRPr="00092ED7">
              <w:rPr>
                <w:sz w:val="20"/>
                <w:szCs w:val="20"/>
                <w:lang w:val="sr-Cyrl-CS"/>
              </w:rPr>
              <w:t>35,105</w:t>
            </w:r>
          </w:p>
        </w:tc>
        <w:tc>
          <w:tcPr>
            <w:tcW w:w="1177" w:type="dxa"/>
            <w:tcBorders>
              <w:top w:val="nil"/>
              <w:left w:val="nil"/>
              <w:bottom w:val="dotted" w:sz="4" w:space="0" w:color="000000"/>
              <w:right w:val="double" w:sz="6" w:space="0" w:color="auto"/>
            </w:tcBorders>
            <w:shd w:val="clear" w:color="auto" w:fill="auto"/>
            <w:noWrap/>
            <w:vAlign w:val="center"/>
            <w:hideMark/>
          </w:tcPr>
          <w:p w14:paraId="3C93E138" w14:textId="77777777" w:rsidR="00247CBF" w:rsidRPr="00092ED7" w:rsidRDefault="00247CBF" w:rsidP="00247CBF">
            <w:pPr>
              <w:spacing w:after="0"/>
              <w:jc w:val="right"/>
              <w:rPr>
                <w:sz w:val="20"/>
                <w:szCs w:val="20"/>
                <w:lang w:val="sr-Cyrl-CS"/>
              </w:rPr>
            </w:pPr>
            <w:r w:rsidRPr="00092ED7">
              <w:rPr>
                <w:sz w:val="20"/>
                <w:szCs w:val="20"/>
                <w:lang w:val="sr-Cyrl-CS"/>
              </w:rPr>
              <w:t>38,078</w:t>
            </w:r>
          </w:p>
        </w:tc>
      </w:tr>
      <w:tr w:rsidR="00247CBF" w:rsidRPr="00092ED7" w14:paraId="4AE7B7C4" w14:textId="77777777" w:rsidTr="00247CBF">
        <w:trPr>
          <w:trHeight w:val="255"/>
        </w:trPr>
        <w:tc>
          <w:tcPr>
            <w:tcW w:w="6000" w:type="dxa"/>
            <w:tcBorders>
              <w:top w:val="nil"/>
              <w:left w:val="double" w:sz="6" w:space="0" w:color="auto"/>
              <w:bottom w:val="dotted" w:sz="4" w:space="0" w:color="000000"/>
              <w:right w:val="nil"/>
            </w:tcBorders>
            <w:shd w:val="clear" w:color="auto" w:fill="auto"/>
            <w:vAlign w:val="center"/>
            <w:hideMark/>
          </w:tcPr>
          <w:p w14:paraId="32554CFC"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6. Послови становања и заједнице</w:t>
            </w:r>
          </w:p>
        </w:tc>
        <w:tc>
          <w:tcPr>
            <w:tcW w:w="1520" w:type="dxa"/>
            <w:tcBorders>
              <w:top w:val="nil"/>
              <w:left w:val="single" w:sz="8" w:space="0" w:color="000000"/>
              <w:bottom w:val="dotted" w:sz="4" w:space="0" w:color="000000"/>
              <w:right w:val="single" w:sz="8" w:space="0" w:color="000000"/>
            </w:tcBorders>
            <w:shd w:val="clear" w:color="auto" w:fill="auto"/>
            <w:vAlign w:val="center"/>
            <w:hideMark/>
          </w:tcPr>
          <w:p w14:paraId="0D7729E1" w14:textId="77777777" w:rsidR="00247CBF" w:rsidRPr="00092ED7" w:rsidRDefault="00247CBF" w:rsidP="00247CBF">
            <w:pPr>
              <w:spacing w:after="0"/>
              <w:jc w:val="center"/>
              <w:rPr>
                <w:sz w:val="20"/>
                <w:szCs w:val="20"/>
                <w:lang w:val="sr-Cyrl-CS"/>
              </w:rPr>
            </w:pPr>
            <w:r w:rsidRPr="00092ED7">
              <w:rPr>
                <w:sz w:val="20"/>
                <w:szCs w:val="20"/>
                <w:lang w:val="sr-Cyrl-CS"/>
              </w:rPr>
              <w:t>6</w:t>
            </w:r>
          </w:p>
        </w:tc>
        <w:tc>
          <w:tcPr>
            <w:tcW w:w="1176" w:type="dxa"/>
            <w:tcBorders>
              <w:top w:val="nil"/>
              <w:left w:val="nil"/>
              <w:bottom w:val="dotted" w:sz="4" w:space="0" w:color="000000"/>
              <w:right w:val="dotted" w:sz="4" w:space="0" w:color="000000"/>
            </w:tcBorders>
            <w:shd w:val="clear" w:color="auto" w:fill="auto"/>
            <w:noWrap/>
            <w:vAlign w:val="center"/>
            <w:hideMark/>
          </w:tcPr>
          <w:p w14:paraId="2F8E5769" w14:textId="77777777" w:rsidR="00247CBF" w:rsidRPr="00092ED7" w:rsidRDefault="00247CBF" w:rsidP="00247CBF">
            <w:pPr>
              <w:spacing w:after="0"/>
              <w:jc w:val="right"/>
              <w:rPr>
                <w:sz w:val="20"/>
                <w:szCs w:val="20"/>
                <w:lang w:val="sr-Cyrl-CS"/>
              </w:rPr>
            </w:pPr>
            <w:r w:rsidRPr="00092ED7">
              <w:rPr>
                <w:sz w:val="20"/>
                <w:szCs w:val="20"/>
                <w:lang w:val="sr-Cyrl-CS"/>
              </w:rPr>
              <w:t>78,055</w:t>
            </w:r>
          </w:p>
        </w:tc>
        <w:tc>
          <w:tcPr>
            <w:tcW w:w="1176" w:type="dxa"/>
            <w:tcBorders>
              <w:top w:val="nil"/>
              <w:left w:val="nil"/>
              <w:bottom w:val="dotted" w:sz="4" w:space="0" w:color="000000"/>
              <w:right w:val="dotted" w:sz="4" w:space="0" w:color="000000"/>
            </w:tcBorders>
            <w:shd w:val="clear" w:color="auto" w:fill="auto"/>
            <w:noWrap/>
            <w:vAlign w:val="center"/>
            <w:hideMark/>
          </w:tcPr>
          <w:p w14:paraId="02BC133E" w14:textId="77777777" w:rsidR="00247CBF" w:rsidRPr="00092ED7" w:rsidRDefault="00247CBF" w:rsidP="00247CBF">
            <w:pPr>
              <w:spacing w:after="0"/>
              <w:jc w:val="right"/>
              <w:rPr>
                <w:sz w:val="20"/>
                <w:szCs w:val="20"/>
                <w:lang w:val="sr-Cyrl-CS"/>
              </w:rPr>
            </w:pPr>
            <w:r w:rsidRPr="00092ED7">
              <w:rPr>
                <w:sz w:val="20"/>
                <w:szCs w:val="20"/>
                <w:lang w:val="sr-Cyrl-CS"/>
              </w:rPr>
              <w:t>56,108</w:t>
            </w:r>
          </w:p>
        </w:tc>
        <w:tc>
          <w:tcPr>
            <w:tcW w:w="1177" w:type="dxa"/>
            <w:tcBorders>
              <w:top w:val="nil"/>
              <w:left w:val="nil"/>
              <w:bottom w:val="dotted" w:sz="4" w:space="0" w:color="000000"/>
              <w:right w:val="dotted" w:sz="4" w:space="0" w:color="000000"/>
            </w:tcBorders>
            <w:shd w:val="clear" w:color="auto" w:fill="auto"/>
            <w:noWrap/>
            <w:vAlign w:val="center"/>
            <w:hideMark/>
          </w:tcPr>
          <w:p w14:paraId="043AD891" w14:textId="77777777" w:rsidR="00247CBF" w:rsidRPr="00092ED7" w:rsidRDefault="00247CBF" w:rsidP="00247CBF">
            <w:pPr>
              <w:spacing w:after="0"/>
              <w:jc w:val="right"/>
              <w:rPr>
                <w:sz w:val="20"/>
                <w:szCs w:val="20"/>
                <w:lang w:val="sr-Cyrl-CS"/>
              </w:rPr>
            </w:pPr>
            <w:r w:rsidRPr="00092ED7">
              <w:rPr>
                <w:sz w:val="20"/>
                <w:szCs w:val="20"/>
                <w:lang w:val="sr-Cyrl-CS"/>
              </w:rPr>
              <w:t>100,937</w:t>
            </w:r>
          </w:p>
        </w:tc>
        <w:tc>
          <w:tcPr>
            <w:tcW w:w="1176" w:type="dxa"/>
            <w:tcBorders>
              <w:top w:val="nil"/>
              <w:left w:val="nil"/>
              <w:bottom w:val="dotted" w:sz="4" w:space="0" w:color="000000"/>
              <w:right w:val="dotted" w:sz="4" w:space="0" w:color="000000"/>
            </w:tcBorders>
            <w:shd w:val="clear" w:color="auto" w:fill="auto"/>
            <w:noWrap/>
            <w:vAlign w:val="center"/>
            <w:hideMark/>
          </w:tcPr>
          <w:p w14:paraId="6092D824" w14:textId="77777777" w:rsidR="00247CBF" w:rsidRPr="00092ED7" w:rsidRDefault="00247CBF" w:rsidP="00247CBF">
            <w:pPr>
              <w:spacing w:after="0"/>
              <w:jc w:val="right"/>
              <w:rPr>
                <w:sz w:val="20"/>
                <w:szCs w:val="20"/>
                <w:lang w:val="sr-Cyrl-CS"/>
              </w:rPr>
            </w:pPr>
            <w:r w:rsidRPr="00092ED7">
              <w:rPr>
                <w:sz w:val="20"/>
                <w:szCs w:val="20"/>
                <w:lang w:val="sr-Cyrl-CS"/>
              </w:rPr>
              <w:t>114,008</w:t>
            </w:r>
          </w:p>
        </w:tc>
        <w:tc>
          <w:tcPr>
            <w:tcW w:w="1176" w:type="dxa"/>
            <w:tcBorders>
              <w:top w:val="nil"/>
              <w:left w:val="nil"/>
              <w:bottom w:val="dotted" w:sz="4" w:space="0" w:color="000000"/>
              <w:right w:val="dotted" w:sz="4" w:space="0" w:color="000000"/>
            </w:tcBorders>
            <w:shd w:val="clear" w:color="auto" w:fill="auto"/>
            <w:noWrap/>
            <w:vAlign w:val="center"/>
            <w:hideMark/>
          </w:tcPr>
          <w:p w14:paraId="7C7AC704" w14:textId="77777777" w:rsidR="00247CBF" w:rsidRPr="00092ED7" w:rsidRDefault="00247CBF" w:rsidP="00247CBF">
            <w:pPr>
              <w:spacing w:after="0"/>
              <w:jc w:val="right"/>
              <w:rPr>
                <w:sz w:val="20"/>
                <w:szCs w:val="20"/>
                <w:lang w:val="sr-Cyrl-CS"/>
              </w:rPr>
            </w:pPr>
            <w:r w:rsidRPr="00092ED7">
              <w:rPr>
                <w:sz w:val="20"/>
                <w:szCs w:val="20"/>
                <w:lang w:val="sr-Cyrl-CS"/>
              </w:rPr>
              <w:t>122,868</w:t>
            </w:r>
          </w:p>
        </w:tc>
        <w:tc>
          <w:tcPr>
            <w:tcW w:w="1177" w:type="dxa"/>
            <w:tcBorders>
              <w:top w:val="nil"/>
              <w:left w:val="nil"/>
              <w:bottom w:val="dotted" w:sz="4" w:space="0" w:color="000000"/>
              <w:right w:val="double" w:sz="6" w:space="0" w:color="auto"/>
            </w:tcBorders>
            <w:shd w:val="clear" w:color="auto" w:fill="auto"/>
            <w:noWrap/>
            <w:vAlign w:val="center"/>
            <w:hideMark/>
          </w:tcPr>
          <w:p w14:paraId="0D31CF3B" w14:textId="77777777" w:rsidR="00247CBF" w:rsidRPr="00092ED7" w:rsidRDefault="00247CBF" w:rsidP="00247CBF">
            <w:pPr>
              <w:spacing w:after="0"/>
              <w:jc w:val="right"/>
              <w:rPr>
                <w:sz w:val="20"/>
                <w:szCs w:val="20"/>
                <w:lang w:val="sr-Cyrl-CS"/>
              </w:rPr>
            </w:pPr>
            <w:r w:rsidRPr="00092ED7">
              <w:rPr>
                <w:sz w:val="20"/>
                <w:szCs w:val="20"/>
                <w:lang w:val="sr-Cyrl-CS"/>
              </w:rPr>
              <w:t>133,272</w:t>
            </w:r>
          </w:p>
        </w:tc>
      </w:tr>
      <w:tr w:rsidR="00247CBF" w:rsidRPr="00092ED7" w14:paraId="44AA525A" w14:textId="77777777" w:rsidTr="00247CBF">
        <w:trPr>
          <w:trHeight w:val="255"/>
        </w:trPr>
        <w:tc>
          <w:tcPr>
            <w:tcW w:w="6000" w:type="dxa"/>
            <w:tcBorders>
              <w:top w:val="nil"/>
              <w:left w:val="double" w:sz="6" w:space="0" w:color="auto"/>
              <w:bottom w:val="dotted" w:sz="4" w:space="0" w:color="000000"/>
              <w:right w:val="nil"/>
            </w:tcBorders>
            <w:shd w:val="clear" w:color="auto" w:fill="auto"/>
            <w:vAlign w:val="center"/>
            <w:hideMark/>
          </w:tcPr>
          <w:p w14:paraId="3681AFEC"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7. Здравство</w:t>
            </w:r>
          </w:p>
        </w:tc>
        <w:tc>
          <w:tcPr>
            <w:tcW w:w="1520" w:type="dxa"/>
            <w:tcBorders>
              <w:top w:val="nil"/>
              <w:left w:val="single" w:sz="8" w:space="0" w:color="000000"/>
              <w:bottom w:val="dotted" w:sz="4" w:space="0" w:color="000000"/>
              <w:right w:val="single" w:sz="8" w:space="0" w:color="000000"/>
            </w:tcBorders>
            <w:shd w:val="clear" w:color="auto" w:fill="auto"/>
            <w:vAlign w:val="center"/>
            <w:hideMark/>
          </w:tcPr>
          <w:p w14:paraId="2846C2C8" w14:textId="77777777" w:rsidR="00247CBF" w:rsidRPr="00092ED7" w:rsidRDefault="00247CBF" w:rsidP="00247CBF">
            <w:pPr>
              <w:spacing w:after="0"/>
              <w:jc w:val="center"/>
              <w:rPr>
                <w:sz w:val="20"/>
                <w:szCs w:val="20"/>
                <w:lang w:val="sr-Cyrl-CS"/>
              </w:rPr>
            </w:pPr>
            <w:r w:rsidRPr="00092ED7">
              <w:rPr>
                <w:sz w:val="20"/>
                <w:szCs w:val="20"/>
                <w:lang w:val="sr-Cyrl-CS"/>
              </w:rPr>
              <w:t>7</w:t>
            </w:r>
          </w:p>
        </w:tc>
        <w:tc>
          <w:tcPr>
            <w:tcW w:w="1176" w:type="dxa"/>
            <w:tcBorders>
              <w:top w:val="nil"/>
              <w:left w:val="nil"/>
              <w:bottom w:val="dotted" w:sz="4" w:space="0" w:color="000000"/>
              <w:right w:val="dotted" w:sz="4" w:space="0" w:color="000000"/>
            </w:tcBorders>
            <w:shd w:val="clear" w:color="auto" w:fill="auto"/>
            <w:noWrap/>
            <w:vAlign w:val="center"/>
            <w:hideMark/>
          </w:tcPr>
          <w:p w14:paraId="3DAB4886" w14:textId="77777777" w:rsidR="00247CBF" w:rsidRPr="00092ED7" w:rsidRDefault="00247CBF" w:rsidP="00247CBF">
            <w:pPr>
              <w:spacing w:after="0"/>
              <w:jc w:val="right"/>
              <w:rPr>
                <w:sz w:val="20"/>
                <w:szCs w:val="20"/>
                <w:lang w:val="sr-Cyrl-CS"/>
              </w:rPr>
            </w:pPr>
            <w:r w:rsidRPr="00092ED7">
              <w:rPr>
                <w:sz w:val="20"/>
                <w:szCs w:val="20"/>
                <w:lang w:val="sr-Cyrl-CS"/>
              </w:rPr>
              <w:t>392,071</w:t>
            </w:r>
          </w:p>
        </w:tc>
        <w:tc>
          <w:tcPr>
            <w:tcW w:w="1176" w:type="dxa"/>
            <w:tcBorders>
              <w:top w:val="nil"/>
              <w:left w:val="nil"/>
              <w:bottom w:val="dotted" w:sz="4" w:space="0" w:color="000000"/>
              <w:right w:val="dotted" w:sz="4" w:space="0" w:color="000000"/>
            </w:tcBorders>
            <w:shd w:val="clear" w:color="auto" w:fill="auto"/>
            <w:noWrap/>
            <w:vAlign w:val="center"/>
            <w:hideMark/>
          </w:tcPr>
          <w:p w14:paraId="6F0A1CA9" w14:textId="77777777" w:rsidR="00247CBF" w:rsidRPr="00092ED7" w:rsidRDefault="00247CBF" w:rsidP="00247CBF">
            <w:pPr>
              <w:spacing w:after="0"/>
              <w:jc w:val="right"/>
              <w:rPr>
                <w:sz w:val="20"/>
                <w:szCs w:val="20"/>
                <w:lang w:val="sr-Cyrl-CS"/>
              </w:rPr>
            </w:pPr>
            <w:r w:rsidRPr="00092ED7">
              <w:rPr>
                <w:sz w:val="20"/>
                <w:szCs w:val="20"/>
                <w:lang w:val="sr-Cyrl-CS"/>
              </w:rPr>
              <w:t>438,904</w:t>
            </w:r>
          </w:p>
        </w:tc>
        <w:tc>
          <w:tcPr>
            <w:tcW w:w="1177" w:type="dxa"/>
            <w:tcBorders>
              <w:top w:val="nil"/>
              <w:left w:val="nil"/>
              <w:bottom w:val="dotted" w:sz="4" w:space="0" w:color="000000"/>
              <w:right w:val="dotted" w:sz="4" w:space="0" w:color="000000"/>
            </w:tcBorders>
            <w:shd w:val="clear" w:color="auto" w:fill="auto"/>
            <w:noWrap/>
            <w:vAlign w:val="center"/>
            <w:hideMark/>
          </w:tcPr>
          <w:p w14:paraId="71FA7361" w14:textId="77777777" w:rsidR="00247CBF" w:rsidRPr="00092ED7" w:rsidRDefault="00247CBF" w:rsidP="00247CBF">
            <w:pPr>
              <w:spacing w:after="0"/>
              <w:jc w:val="right"/>
              <w:rPr>
                <w:sz w:val="20"/>
                <w:szCs w:val="20"/>
                <w:lang w:val="sr-Cyrl-CS"/>
              </w:rPr>
            </w:pPr>
            <w:r w:rsidRPr="00092ED7">
              <w:rPr>
                <w:sz w:val="20"/>
                <w:szCs w:val="20"/>
                <w:lang w:val="sr-Cyrl-CS"/>
              </w:rPr>
              <w:t>468,928</w:t>
            </w:r>
          </w:p>
        </w:tc>
        <w:tc>
          <w:tcPr>
            <w:tcW w:w="1176" w:type="dxa"/>
            <w:tcBorders>
              <w:top w:val="nil"/>
              <w:left w:val="nil"/>
              <w:bottom w:val="dotted" w:sz="4" w:space="0" w:color="000000"/>
              <w:right w:val="dotted" w:sz="4" w:space="0" w:color="000000"/>
            </w:tcBorders>
            <w:shd w:val="clear" w:color="auto" w:fill="auto"/>
            <w:noWrap/>
            <w:vAlign w:val="center"/>
            <w:hideMark/>
          </w:tcPr>
          <w:p w14:paraId="30295756" w14:textId="77777777" w:rsidR="00247CBF" w:rsidRPr="00092ED7" w:rsidRDefault="00247CBF" w:rsidP="00247CBF">
            <w:pPr>
              <w:spacing w:after="0"/>
              <w:jc w:val="right"/>
              <w:rPr>
                <w:sz w:val="20"/>
                <w:szCs w:val="20"/>
                <w:lang w:val="sr-Cyrl-CS"/>
              </w:rPr>
            </w:pPr>
            <w:r w:rsidRPr="00092ED7">
              <w:rPr>
                <w:sz w:val="20"/>
                <w:szCs w:val="20"/>
                <w:lang w:val="sr-Cyrl-CS"/>
              </w:rPr>
              <w:t>492,005</w:t>
            </w:r>
          </w:p>
        </w:tc>
        <w:tc>
          <w:tcPr>
            <w:tcW w:w="1176" w:type="dxa"/>
            <w:tcBorders>
              <w:top w:val="nil"/>
              <w:left w:val="nil"/>
              <w:bottom w:val="dotted" w:sz="4" w:space="0" w:color="000000"/>
              <w:right w:val="dotted" w:sz="4" w:space="0" w:color="000000"/>
            </w:tcBorders>
            <w:shd w:val="clear" w:color="auto" w:fill="auto"/>
            <w:noWrap/>
            <w:vAlign w:val="center"/>
            <w:hideMark/>
          </w:tcPr>
          <w:p w14:paraId="3D0844E6" w14:textId="77777777" w:rsidR="00247CBF" w:rsidRPr="00092ED7" w:rsidRDefault="00247CBF" w:rsidP="00247CBF">
            <w:pPr>
              <w:spacing w:after="0"/>
              <w:jc w:val="right"/>
              <w:rPr>
                <w:sz w:val="20"/>
                <w:szCs w:val="20"/>
                <w:lang w:val="sr-Cyrl-CS"/>
              </w:rPr>
            </w:pPr>
            <w:r w:rsidRPr="00092ED7">
              <w:rPr>
                <w:sz w:val="20"/>
                <w:szCs w:val="20"/>
                <w:lang w:val="sr-Cyrl-CS"/>
              </w:rPr>
              <w:t>535,354</w:t>
            </w:r>
          </w:p>
        </w:tc>
        <w:tc>
          <w:tcPr>
            <w:tcW w:w="1177" w:type="dxa"/>
            <w:tcBorders>
              <w:top w:val="nil"/>
              <w:left w:val="nil"/>
              <w:bottom w:val="dotted" w:sz="4" w:space="0" w:color="000000"/>
              <w:right w:val="double" w:sz="6" w:space="0" w:color="auto"/>
            </w:tcBorders>
            <w:shd w:val="clear" w:color="auto" w:fill="auto"/>
            <w:noWrap/>
            <w:vAlign w:val="center"/>
            <w:hideMark/>
          </w:tcPr>
          <w:p w14:paraId="0148106A" w14:textId="77777777" w:rsidR="00247CBF" w:rsidRPr="00092ED7" w:rsidRDefault="00247CBF" w:rsidP="00247CBF">
            <w:pPr>
              <w:spacing w:after="0"/>
              <w:jc w:val="right"/>
              <w:rPr>
                <w:sz w:val="20"/>
                <w:szCs w:val="20"/>
                <w:lang w:val="sr-Cyrl-CS"/>
              </w:rPr>
            </w:pPr>
            <w:r w:rsidRPr="00092ED7">
              <w:rPr>
                <w:sz w:val="20"/>
                <w:szCs w:val="20"/>
                <w:lang w:val="sr-Cyrl-CS"/>
              </w:rPr>
              <w:t>580,683</w:t>
            </w:r>
          </w:p>
        </w:tc>
      </w:tr>
      <w:tr w:rsidR="00247CBF" w:rsidRPr="00092ED7" w14:paraId="061ED567" w14:textId="77777777" w:rsidTr="00247CBF">
        <w:trPr>
          <w:trHeight w:val="255"/>
        </w:trPr>
        <w:tc>
          <w:tcPr>
            <w:tcW w:w="6000" w:type="dxa"/>
            <w:tcBorders>
              <w:top w:val="nil"/>
              <w:left w:val="double" w:sz="6" w:space="0" w:color="auto"/>
              <w:bottom w:val="dotted" w:sz="4" w:space="0" w:color="000000"/>
              <w:right w:val="nil"/>
            </w:tcBorders>
            <w:shd w:val="clear" w:color="auto" w:fill="auto"/>
            <w:vAlign w:val="center"/>
            <w:hideMark/>
          </w:tcPr>
          <w:p w14:paraId="5526281A"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8. Рекреација, култура и религија</w:t>
            </w:r>
          </w:p>
        </w:tc>
        <w:tc>
          <w:tcPr>
            <w:tcW w:w="1520" w:type="dxa"/>
            <w:tcBorders>
              <w:top w:val="nil"/>
              <w:left w:val="single" w:sz="8" w:space="0" w:color="000000"/>
              <w:bottom w:val="dotted" w:sz="4" w:space="0" w:color="000000"/>
              <w:right w:val="single" w:sz="8" w:space="0" w:color="000000"/>
            </w:tcBorders>
            <w:shd w:val="clear" w:color="auto" w:fill="auto"/>
            <w:vAlign w:val="center"/>
            <w:hideMark/>
          </w:tcPr>
          <w:p w14:paraId="33DD57D8" w14:textId="77777777" w:rsidR="00247CBF" w:rsidRPr="00092ED7" w:rsidRDefault="00247CBF" w:rsidP="00247CBF">
            <w:pPr>
              <w:spacing w:after="0"/>
              <w:jc w:val="center"/>
              <w:rPr>
                <w:sz w:val="20"/>
                <w:szCs w:val="20"/>
                <w:lang w:val="sr-Cyrl-CS"/>
              </w:rPr>
            </w:pPr>
            <w:r w:rsidRPr="00092ED7">
              <w:rPr>
                <w:sz w:val="20"/>
                <w:szCs w:val="20"/>
                <w:lang w:val="sr-Cyrl-CS"/>
              </w:rPr>
              <w:t>8</w:t>
            </w:r>
          </w:p>
        </w:tc>
        <w:tc>
          <w:tcPr>
            <w:tcW w:w="1176" w:type="dxa"/>
            <w:tcBorders>
              <w:top w:val="nil"/>
              <w:left w:val="nil"/>
              <w:bottom w:val="dotted" w:sz="4" w:space="0" w:color="000000"/>
              <w:right w:val="dotted" w:sz="4" w:space="0" w:color="000000"/>
            </w:tcBorders>
            <w:shd w:val="clear" w:color="auto" w:fill="auto"/>
            <w:noWrap/>
            <w:vAlign w:val="center"/>
            <w:hideMark/>
          </w:tcPr>
          <w:p w14:paraId="4D7FD09C" w14:textId="77777777" w:rsidR="00247CBF" w:rsidRPr="00092ED7" w:rsidRDefault="00247CBF" w:rsidP="00247CBF">
            <w:pPr>
              <w:spacing w:after="0"/>
              <w:jc w:val="right"/>
              <w:rPr>
                <w:sz w:val="20"/>
                <w:szCs w:val="20"/>
                <w:lang w:val="sr-Cyrl-CS"/>
              </w:rPr>
            </w:pPr>
            <w:r w:rsidRPr="00092ED7">
              <w:rPr>
                <w:sz w:val="20"/>
                <w:szCs w:val="20"/>
                <w:lang w:val="sr-Cyrl-CS"/>
              </w:rPr>
              <w:t>47,842</w:t>
            </w:r>
          </w:p>
        </w:tc>
        <w:tc>
          <w:tcPr>
            <w:tcW w:w="1176" w:type="dxa"/>
            <w:tcBorders>
              <w:top w:val="nil"/>
              <w:left w:val="nil"/>
              <w:bottom w:val="dotted" w:sz="4" w:space="0" w:color="000000"/>
              <w:right w:val="dotted" w:sz="4" w:space="0" w:color="000000"/>
            </w:tcBorders>
            <w:shd w:val="clear" w:color="auto" w:fill="auto"/>
            <w:noWrap/>
            <w:vAlign w:val="center"/>
            <w:hideMark/>
          </w:tcPr>
          <w:p w14:paraId="3B72D407" w14:textId="77777777" w:rsidR="00247CBF" w:rsidRPr="00092ED7" w:rsidRDefault="00247CBF" w:rsidP="00247CBF">
            <w:pPr>
              <w:spacing w:after="0"/>
              <w:jc w:val="right"/>
              <w:rPr>
                <w:sz w:val="20"/>
                <w:szCs w:val="20"/>
                <w:lang w:val="sr-Cyrl-CS"/>
              </w:rPr>
            </w:pPr>
            <w:r w:rsidRPr="00092ED7">
              <w:rPr>
                <w:sz w:val="20"/>
                <w:szCs w:val="20"/>
                <w:lang w:val="sr-Cyrl-CS"/>
              </w:rPr>
              <w:t>63,315</w:t>
            </w:r>
          </w:p>
        </w:tc>
        <w:tc>
          <w:tcPr>
            <w:tcW w:w="1177" w:type="dxa"/>
            <w:tcBorders>
              <w:top w:val="nil"/>
              <w:left w:val="nil"/>
              <w:bottom w:val="dotted" w:sz="4" w:space="0" w:color="000000"/>
              <w:right w:val="dotted" w:sz="4" w:space="0" w:color="000000"/>
            </w:tcBorders>
            <w:shd w:val="clear" w:color="auto" w:fill="auto"/>
            <w:noWrap/>
            <w:vAlign w:val="center"/>
            <w:hideMark/>
          </w:tcPr>
          <w:p w14:paraId="3F3CE4D6" w14:textId="77777777" w:rsidR="00247CBF" w:rsidRPr="00092ED7" w:rsidRDefault="00247CBF" w:rsidP="00247CBF">
            <w:pPr>
              <w:spacing w:after="0"/>
              <w:jc w:val="right"/>
              <w:rPr>
                <w:sz w:val="20"/>
                <w:szCs w:val="20"/>
                <w:lang w:val="sr-Cyrl-CS"/>
              </w:rPr>
            </w:pPr>
            <w:r w:rsidRPr="00092ED7">
              <w:rPr>
                <w:sz w:val="20"/>
                <w:szCs w:val="20"/>
                <w:lang w:val="sr-Cyrl-CS"/>
              </w:rPr>
              <w:t>60,953</w:t>
            </w:r>
          </w:p>
        </w:tc>
        <w:tc>
          <w:tcPr>
            <w:tcW w:w="1176" w:type="dxa"/>
            <w:tcBorders>
              <w:top w:val="nil"/>
              <w:left w:val="nil"/>
              <w:bottom w:val="dotted" w:sz="4" w:space="0" w:color="000000"/>
              <w:right w:val="dotted" w:sz="4" w:space="0" w:color="000000"/>
            </w:tcBorders>
            <w:shd w:val="clear" w:color="auto" w:fill="auto"/>
            <w:noWrap/>
            <w:vAlign w:val="center"/>
            <w:hideMark/>
          </w:tcPr>
          <w:p w14:paraId="1E23CCD9" w14:textId="77777777" w:rsidR="00247CBF" w:rsidRPr="00092ED7" w:rsidRDefault="00247CBF" w:rsidP="00247CBF">
            <w:pPr>
              <w:spacing w:after="0"/>
              <w:jc w:val="right"/>
              <w:rPr>
                <w:sz w:val="20"/>
                <w:szCs w:val="20"/>
                <w:lang w:val="sr-Cyrl-CS"/>
              </w:rPr>
            </w:pPr>
            <w:r w:rsidRPr="00092ED7">
              <w:rPr>
                <w:sz w:val="20"/>
                <w:szCs w:val="20"/>
                <w:lang w:val="sr-Cyrl-CS"/>
              </w:rPr>
              <w:t>65,739</w:t>
            </w:r>
          </w:p>
        </w:tc>
        <w:tc>
          <w:tcPr>
            <w:tcW w:w="1176" w:type="dxa"/>
            <w:tcBorders>
              <w:top w:val="nil"/>
              <w:left w:val="nil"/>
              <w:bottom w:val="dotted" w:sz="4" w:space="0" w:color="000000"/>
              <w:right w:val="dotted" w:sz="4" w:space="0" w:color="000000"/>
            </w:tcBorders>
            <w:shd w:val="clear" w:color="auto" w:fill="auto"/>
            <w:noWrap/>
            <w:vAlign w:val="center"/>
            <w:hideMark/>
          </w:tcPr>
          <w:p w14:paraId="5E7651E9" w14:textId="77777777" w:rsidR="00247CBF" w:rsidRPr="00092ED7" w:rsidRDefault="00247CBF" w:rsidP="00247CBF">
            <w:pPr>
              <w:spacing w:after="0"/>
              <w:jc w:val="right"/>
              <w:rPr>
                <w:sz w:val="20"/>
                <w:szCs w:val="20"/>
                <w:lang w:val="sr-Cyrl-CS"/>
              </w:rPr>
            </w:pPr>
            <w:r w:rsidRPr="00092ED7">
              <w:rPr>
                <w:sz w:val="20"/>
                <w:szCs w:val="20"/>
                <w:lang w:val="sr-Cyrl-CS"/>
              </w:rPr>
              <w:t>70,210</w:t>
            </w:r>
          </w:p>
        </w:tc>
        <w:tc>
          <w:tcPr>
            <w:tcW w:w="1177" w:type="dxa"/>
            <w:tcBorders>
              <w:top w:val="nil"/>
              <w:left w:val="nil"/>
              <w:bottom w:val="dotted" w:sz="4" w:space="0" w:color="000000"/>
              <w:right w:val="double" w:sz="6" w:space="0" w:color="auto"/>
            </w:tcBorders>
            <w:shd w:val="clear" w:color="auto" w:fill="auto"/>
            <w:noWrap/>
            <w:vAlign w:val="center"/>
            <w:hideMark/>
          </w:tcPr>
          <w:p w14:paraId="7C313082" w14:textId="77777777" w:rsidR="00247CBF" w:rsidRPr="00092ED7" w:rsidRDefault="00247CBF" w:rsidP="00247CBF">
            <w:pPr>
              <w:spacing w:after="0"/>
              <w:jc w:val="right"/>
              <w:rPr>
                <w:sz w:val="20"/>
                <w:szCs w:val="20"/>
                <w:lang w:val="sr-Cyrl-CS"/>
              </w:rPr>
            </w:pPr>
            <w:r w:rsidRPr="00092ED7">
              <w:rPr>
                <w:sz w:val="20"/>
                <w:szCs w:val="20"/>
                <w:lang w:val="sr-Cyrl-CS"/>
              </w:rPr>
              <w:t>76,155</w:t>
            </w:r>
          </w:p>
        </w:tc>
      </w:tr>
      <w:tr w:rsidR="00247CBF" w:rsidRPr="00092ED7" w14:paraId="2FB8AA5B" w14:textId="77777777" w:rsidTr="00247CBF">
        <w:trPr>
          <w:trHeight w:val="255"/>
        </w:trPr>
        <w:tc>
          <w:tcPr>
            <w:tcW w:w="6000" w:type="dxa"/>
            <w:tcBorders>
              <w:top w:val="nil"/>
              <w:left w:val="double" w:sz="6" w:space="0" w:color="auto"/>
              <w:bottom w:val="dotted" w:sz="4" w:space="0" w:color="000000"/>
              <w:right w:val="nil"/>
            </w:tcBorders>
            <w:shd w:val="clear" w:color="auto" w:fill="auto"/>
            <w:vAlign w:val="center"/>
            <w:hideMark/>
          </w:tcPr>
          <w:p w14:paraId="67ED92BA"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9. Образовање</w:t>
            </w:r>
          </w:p>
        </w:tc>
        <w:tc>
          <w:tcPr>
            <w:tcW w:w="1520" w:type="dxa"/>
            <w:tcBorders>
              <w:top w:val="nil"/>
              <w:left w:val="single" w:sz="8" w:space="0" w:color="000000"/>
              <w:bottom w:val="dotted" w:sz="4" w:space="0" w:color="000000"/>
              <w:right w:val="single" w:sz="8" w:space="0" w:color="000000"/>
            </w:tcBorders>
            <w:shd w:val="clear" w:color="auto" w:fill="auto"/>
            <w:vAlign w:val="center"/>
            <w:hideMark/>
          </w:tcPr>
          <w:p w14:paraId="2022E042" w14:textId="77777777" w:rsidR="00247CBF" w:rsidRPr="00092ED7" w:rsidRDefault="00247CBF" w:rsidP="00247CBF">
            <w:pPr>
              <w:spacing w:after="0"/>
              <w:jc w:val="center"/>
              <w:rPr>
                <w:sz w:val="20"/>
                <w:szCs w:val="20"/>
                <w:lang w:val="sr-Cyrl-CS"/>
              </w:rPr>
            </w:pPr>
            <w:r w:rsidRPr="00092ED7">
              <w:rPr>
                <w:sz w:val="20"/>
                <w:szCs w:val="20"/>
                <w:lang w:val="sr-Cyrl-CS"/>
              </w:rPr>
              <w:t>9</w:t>
            </w:r>
          </w:p>
        </w:tc>
        <w:tc>
          <w:tcPr>
            <w:tcW w:w="1176" w:type="dxa"/>
            <w:tcBorders>
              <w:top w:val="nil"/>
              <w:left w:val="nil"/>
              <w:bottom w:val="dotted" w:sz="4" w:space="0" w:color="000000"/>
              <w:right w:val="dotted" w:sz="4" w:space="0" w:color="000000"/>
            </w:tcBorders>
            <w:shd w:val="clear" w:color="auto" w:fill="auto"/>
            <w:noWrap/>
            <w:vAlign w:val="center"/>
            <w:hideMark/>
          </w:tcPr>
          <w:p w14:paraId="75021306" w14:textId="77777777" w:rsidR="00247CBF" w:rsidRPr="00092ED7" w:rsidRDefault="00247CBF" w:rsidP="00247CBF">
            <w:pPr>
              <w:spacing w:after="0"/>
              <w:jc w:val="right"/>
              <w:rPr>
                <w:sz w:val="20"/>
                <w:szCs w:val="20"/>
                <w:lang w:val="sr-Cyrl-CS"/>
              </w:rPr>
            </w:pPr>
            <w:r w:rsidRPr="00092ED7">
              <w:rPr>
                <w:sz w:val="20"/>
                <w:szCs w:val="20"/>
                <w:lang w:val="sr-Cyrl-CS"/>
              </w:rPr>
              <w:t>181,577</w:t>
            </w:r>
          </w:p>
        </w:tc>
        <w:tc>
          <w:tcPr>
            <w:tcW w:w="1176" w:type="dxa"/>
            <w:tcBorders>
              <w:top w:val="nil"/>
              <w:left w:val="nil"/>
              <w:bottom w:val="dotted" w:sz="4" w:space="0" w:color="000000"/>
              <w:right w:val="dotted" w:sz="4" w:space="0" w:color="000000"/>
            </w:tcBorders>
            <w:shd w:val="clear" w:color="auto" w:fill="auto"/>
            <w:noWrap/>
            <w:vAlign w:val="center"/>
            <w:hideMark/>
          </w:tcPr>
          <w:p w14:paraId="6BA0BF38" w14:textId="77777777" w:rsidR="00247CBF" w:rsidRPr="00092ED7" w:rsidRDefault="00247CBF" w:rsidP="00247CBF">
            <w:pPr>
              <w:spacing w:after="0"/>
              <w:jc w:val="right"/>
              <w:rPr>
                <w:sz w:val="20"/>
                <w:szCs w:val="20"/>
                <w:lang w:val="sr-Cyrl-CS"/>
              </w:rPr>
            </w:pPr>
            <w:r w:rsidRPr="00092ED7">
              <w:rPr>
                <w:sz w:val="20"/>
                <w:szCs w:val="20"/>
                <w:lang w:val="sr-Cyrl-CS"/>
              </w:rPr>
              <w:t>243,150</w:t>
            </w:r>
          </w:p>
        </w:tc>
        <w:tc>
          <w:tcPr>
            <w:tcW w:w="1177" w:type="dxa"/>
            <w:tcBorders>
              <w:top w:val="nil"/>
              <w:left w:val="nil"/>
              <w:bottom w:val="dotted" w:sz="4" w:space="0" w:color="000000"/>
              <w:right w:val="dotted" w:sz="4" w:space="0" w:color="000000"/>
            </w:tcBorders>
            <w:shd w:val="clear" w:color="auto" w:fill="auto"/>
            <w:noWrap/>
            <w:vAlign w:val="center"/>
            <w:hideMark/>
          </w:tcPr>
          <w:p w14:paraId="10D4B2DE" w14:textId="77777777" w:rsidR="00247CBF" w:rsidRPr="00092ED7" w:rsidRDefault="00247CBF" w:rsidP="00247CBF">
            <w:pPr>
              <w:spacing w:after="0"/>
              <w:jc w:val="right"/>
              <w:rPr>
                <w:sz w:val="20"/>
                <w:szCs w:val="20"/>
                <w:lang w:val="sr-Cyrl-CS"/>
              </w:rPr>
            </w:pPr>
            <w:r w:rsidRPr="00092ED7">
              <w:rPr>
                <w:sz w:val="20"/>
                <w:szCs w:val="20"/>
                <w:lang w:val="sr-Cyrl-CS"/>
              </w:rPr>
              <w:t>222,599</w:t>
            </w:r>
          </w:p>
        </w:tc>
        <w:tc>
          <w:tcPr>
            <w:tcW w:w="1176" w:type="dxa"/>
            <w:tcBorders>
              <w:top w:val="nil"/>
              <w:left w:val="nil"/>
              <w:bottom w:val="dotted" w:sz="4" w:space="0" w:color="000000"/>
              <w:right w:val="dotted" w:sz="4" w:space="0" w:color="000000"/>
            </w:tcBorders>
            <w:shd w:val="clear" w:color="auto" w:fill="auto"/>
            <w:noWrap/>
            <w:vAlign w:val="center"/>
            <w:hideMark/>
          </w:tcPr>
          <w:p w14:paraId="4ADEBB4D" w14:textId="77777777" w:rsidR="00247CBF" w:rsidRPr="00092ED7" w:rsidRDefault="00247CBF" w:rsidP="00247CBF">
            <w:pPr>
              <w:spacing w:after="0"/>
              <w:jc w:val="right"/>
              <w:rPr>
                <w:sz w:val="20"/>
                <w:szCs w:val="20"/>
                <w:lang w:val="sr-Cyrl-CS"/>
              </w:rPr>
            </w:pPr>
            <w:r w:rsidRPr="00092ED7">
              <w:rPr>
                <w:sz w:val="20"/>
                <w:szCs w:val="20"/>
                <w:lang w:val="sr-Cyrl-CS"/>
              </w:rPr>
              <w:t>247,456</w:t>
            </w:r>
          </w:p>
        </w:tc>
        <w:tc>
          <w:tcPr>
            <w:tcW w:w="1176" w:type="dxa"/>
            <w:tcBorders>
              <w:top w:val="nil"/>
              <w:left w:val="nil"/>
              <w:bottom w:val="dotted" w:sz="4" w:space="0" w:color="000000"/>
              <w:right w:val="dotted" w:sz="4" w:space="0" w:color="000000"/>
            </w:tcBorders>
            <w:shd w:val="clear" w:color="auto" w:fill="auto"/>
            <w:noWrap/>
            <w:vAlign w:val="center"/>
            <w:hideMark/>
          </w:tcPr>
          <w:p w14:paraId="5DC44BD8" w14:textId="77777777" w:rsidR="00247CBF" w:rsidRPr="00092ED7" w:rsidRDefault="00247CBF" w:rsidP="00247CBF">
            <w:pPr>
              <w:spacing w:after="0"/>
              <w:jc w:val="right"/>
              <w:rPr>
                <w:sz w:val="20"/>
                <w:szCs w:val="20"/>
                <w:lang w:val="sr-Cyrl-CS"/>
              </w:rPr>
            </w:pPr>
            <w:r w:rsidRPr="00092ED7">
              <w:rPr>
                <w:sz w:val="20"/>
                <w:szCs w:val="20"/>
                <w:lang w:val="sr-Cyrl-CS"/>
              </w:rPr>
              <w:t>272,065</w:t>
            </w:r>
          </w:p>
        </w:tc>
        <w:tc>
          <w:tcPr>
            <w:tcW w:w="1177" w:type="dxa"/>
            <w:tcBorders>
              <w:top w:val="nil"/>
              <w:left w:val="nil"/>
              <w:bottom w:val="dotted" w:sz="4" w:space="0" w:color="000000"/>
              <w:right w:val="double" w:sz="6" w:space="0" w:color="auto"/>
            </w:tcBorders>
            <w:shd w:val="clear" w:color="auto" w:fill="auto"/>
            <w:noWrap/>
            <w:vAlign w:val="center"/>
            <w:hideMark/>
          </w:tcPr>
          <w:p w14:paraId="4E9E7343" w14:textId="77777777" w:rsidR="00247CBF" w:rsidRPr="00092ED7" w:rsidRDefault="00247CBF" w:rsidP="00247CBF">
            <w:pPr>
              <w:spacing w:after="0"/>
              <w:jc w:val="right"/>
              <w:rPr>
                <w:sz w:val="20"/>
                <w:szCs w:val="20"/>
                <w:lang w:val="sr-Cyrl-CS"/>
              </w:rPr>
            </w:pPr>
            <w:r w:rsidRPr="00092ED7">
              <w:rPr>
                <w:sz w:val="20"/>
                <w:szCs w:val="20"/>
                <w:lang w:val="sr-Cyrl-CS"/>
              </w:rPr>
              <w:t>295,101</w:t>
            </w:r>
          </w:p>
        </w:tc>
      </w:tr>
      <w:tr w:rsidR="00247CBF" w:rsidRPr="00092ED7" w14:paraId="11F570E9" w14:textId="77777777" w:rsidTr="00247CBF">
        <w:trPr>
          <w:trHeight w:val="255"/>
        </w:trPr>
        <w:tc>
          <w:tcPr>
            <w:tcW w:w="6000" w:type="dxa"/>
            <w:tcBorders>
              <w:top w:val="nil"/>
              <w:left w:val="double" w:sz="6" w:space="0" w:color="auto"/>
              <w:bottom w:val="single" w:sz="4" w:space="0" w:color="auto"/>
              <w:right w:val="nil"/>
            </w:tcBorders>
            <w:shd w:val="clear" w:color="auto" w:fill="auto"/>
            <w:vAlign w:val="center"/>
            <w:hideMark/>
          </w:tcPr>
          <w:p w14:paraId="5A6C36CE"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10. Социјална заштита</w:t>
            </w:r>
          </w:p>
        </w:tc>
        <w:tc>
          <w:tcPr>
            <w:tcW w:w="1520" w:type="dxa"/>
            <w:tcBorders>
              <w:top w:val="nil"/>
              <w:left w:val="single" w:sz="8" w:space="0" w:color="000000"/>
              <w:bottom w:val="single" w:sz="4" w:space="0" w:color="auto"/>
              <w:right w:val="single" w:sz="8" w:space="0" w:color="000000"/>
            </w:tcBorders>
            <w:shd w:val="clear" w:color="auto" w:fill="auto"/>
            <w:vAlign w:val="center"/>
            <w:hideMark/>
          </w:tcPr>
          <w:p w14:paraId="047F5D33" w14:textId="77777777" w:rsidR="00247CBF" w:rsidRPr="00092ED7" w:rsidRDefault="00247CBF" w:rsidP="00247CBF">
            <w:pPr>
              <w:spacing w:after="0"/>
              <w:jc w:val="center"/>
              <w:rPr>
                <w:sz w:val="20"/>
                <w:szCs w:val="20"/>
                <w:lang w:val="sr-Cyrl-CS"/>
              </w:rPr>
            </w:pPr>
            <w:r w:rsidRPr="00092ED7">
              <w:rPr>
                <w:sz w:val="20"/>
                <w:szCs w:val="20"/>
                <w:lang w:val="sr-Cyrl-CS"/>
              </w:rPr>
              <w:t>10</w:t>
            </w:r>
          </w:p>
        </w:tc>
        <w:tc>
          <w:tcPr>
            <w:tcW w:w="1176" w:type="dxa"/>
            <w:tcBorders>
              <w:top w:val="nil"/>
              <w:left w:val="nil"/>
              <w:bottom w:val="single" w:sz="4" w:space="0" w:color="auto"/>
              <w:right w:val="dotted" w:sz="4" w:space="0" w:color="000000"/>
            </w:tcBorders>
            <w:shd w:val="clear" w:color="auto" w:fill="auto"/>
            <w:noWrap/>
            <w:vAlign w:val="center"/>
            <w:hideMark/>
          </w:tcPr>
          <w:p w14:paraId="25271145" w14:textId="77777777" w:rsidR="00247CBF" w:rsidRPr="00092ED7" w:rsidRDefault="00247CBF" w:rsidP="00247CBF">
            <w:pPr>
              <w:spacing w:after="0"/>
              <w:jc w:val="right"/>
              <w:rPr>
                <w:sz w:val="20"/>
                <w:szCs w:val="20"/>
                <w:lang w:val="sr-Cyrl-CS"/>
              </w:rPr>
            </w:pPr>
            <w:r w:rsidRPr="00092ED7">
              <w:rPr>
                <w:sz w:val="20"/>
                <w:szCs w:val="20"/>
                <w:lang w:val="sr-Cyrl-CS"/>
              </w:rPr>
              <w:t>808,6</w:t>
            </w:r>
          </w:p>
        </w:tc>
        <w:tc>
          <w:tcPr>
            <w:tcW w:w="1176" w:type="dxa"/>
            <w:tcBorders>
              <w:top w:val="nil"/>
              <w:left w:val="nil"/>
              <w:bottom w:val="single" w:sz="4" w:space="0" w:color="auto"/>
              <w:right w:val="dotted" w:sz="4" w:space="0" w:color="000000"/>
            </w:tcBorders>
            <w:shd w:val="clear" w:color="auto" w:fill="auto"/>
            <w:noWrap/>
            <w:vAlign w:val="center"/>
            <w:hideMark/>
          </w:tcPr>
          <w:p w14:paraId="66CE5031" w14:textId="77777777" w:rsidR="00247CBF" w:rsidRPr="00092ED7" w:rsidRDefault="00247CBF" w:rsidP="00247CBF">
            <w:pPr>
              <w:spacing w:after="0"/>
              <w:jc w:val="right"/>
              <w:rPr>
                <w:sz w:val="20"/>
                <w:szCs w:val="20"/>
                <w:lang w:val="sr-Cyrl-CS"/>
              </w:rPr>
            </w:pPr>
            <w:r w:rsidRPr="00092ED7">
              <w:rPr>
                <w:sz w:val="20"/>
                <w:szCs w:val="20"/>
                <w:lang w:val="sr-Cyrl-CS"/>
              </w:rPr>
              <w:t>832,405</w:t>
            </w:r>
          </w:p>
        </w:tc>
        <w:tc>
          <w:tcPr>
            <w:tcW w:w="1177" w:type="dxa"/>
            <w:tcBorders>
              <w:top w:val="nil"/>
              <w:left w:val="nil"/>
              <w:bottom w:val="single" w:sz="4" w:space="0" w:color="auto"/>
              <w:right w:val="dotted" w:sz="4" w:space="0" w:color="000000"/>
            </w:tcBorders>
            <w:shd w:val="clear" w:color="auto" w:fill="auto"/>
            <w:noWrap/>
            <w:vAlign w:val="center"/>
            <w:hideMark/>
          </w:tcPr>
          <w:p w14:paraId="13E7569F" w14:textId="77777777" w:rsidR="00247CBF" w:rsidRPr="00092ED7" w:rsidRDefault="00247CBF" w:rsidP="00247CBF">
            <w:pPr>
              <w:spacing w:after="0"/>
              <w:jc w:val="right"/>
              <w:rPr>
                <w:sz w:val="20"/>
                <w:szCs w:val="20"/>
                <w:lang w:val="sr-Cyrl-CS"/>
              </w:rPr>
            </w:pPr>
            <w:r w:rsidRPr="00092ED7">
              <w:rPr>
                <w:sz w:val="20"/>
                <w:szCs w:val="20"/>
                <w:lang w:val="sr-Cyrl-CS"/>
              </w:rPr>
              <w:t>939,989</w:t>
            </w:r>
          </w:p>
        </w:tc>
        <w:tc>
          <w:tcPr>
            <w:tcW w:w="1176" w:type="dxa"/>
            <w:tcBorders>
              <w:top w:val="nil"/>
              <w:left w:val="nil"/>
              <w:bottom w:val="single" w:sz="4" w:space="0" w:color="auto"/>
              <w:right w:val="dotted" w:sz="4" w:space="0" w:color="000000"/>
            </w:tcBorders>
            <w:shd w:val="clear" w:color="auto" w:fill="auto"/>
            <w:noWrap/>
            <w:vAlign w:val="center"/>
            <w:hideMark/>
          </w:tcPr>
          <w:p w14:paraId="2CF2DE0A" w14:textId="77777777" w:rsidR="00247CBF" w:rsidRPr="00092ED7" w:rsidRDefault="00247CBF" w:rsidP="00247CBF">
            <w:pPr>
              <w:spacing w:after="0"/>
              <w:jc w:val="right"/>
              <w:rPr>
                <w:sz w:val="20"/>
                <w:szCs w:val="20"/>
                <w:lang w:val="sr-Cyrl-CS"/>
              </w:rPr>
            </w:pPr>
            <w:r w:rsidRPr="00092ED7">
              <w:rPr>
                <w:sz w:val="20"/>
                <w:szCs w:val="20"/>
                <w:lang w:val="sr-Cyrl-CS"/>
              </w:rPr>
              <w:t>1050,522</w:t>
            </w:r>
          </w:p>
        </w:tc>
        <w:tc>
          <w:tcPr>
            <w:tcW w:w="1176" w:type="dxa"/>
            <w:tcBorders>
              <w:top w:val="nil"/>
              <w:left w:val="nil"/>
              <w:bottom w:val="single" w:sz="4" w:space="0" w:color="auto"/>
              <w:right w:val="dotted" w:sz="4" w:space="0" w:color="000000"/>
            </w:tcBorders>
            <w:shd w:val="clear" w:color="auto" w:fill="auto"/>
            <w:noWrap/>
            <w:vAlign w:val="center"/>
            <w:hideMark/>
          </w:tcPr>
          <w:p w14:paraId="7C3CFC06" w14:textId="77777777" w:rsidR="00247CBF" w:rsidRPr="00092ED7" w:rsidRDefault="00247CBF" w:rsidP="00247CBF">
            <w:pPr>
              <w:spacing w:after="0"/>
              <w:jc w:val="right"/>
              <w:rPr>
                <w:sz w:val="20"/>
                <w:szCs w:val="20"/>
                <w:lang w:val="sr-Cyrl-CS"/>
              </w:rPr>
            </w:pPr>
            <w:r w:rsidRPr="00092ED7">
              <w:rPr>
                <w:sz w:val="20"/>
                <w:szCs w:val="20"/>
                <w:lang w:val="sr-Cyrl-CS"/>
              </w:rPr>
              <w:t>1168,696</w:t>
            </w:r>
          </w:p>
        </w:tc>
        <w:tc>
          <w:tcPr>
            <w:tcW w:w="1177" w:type="dxa"/>
            <w:tcBorders>
              <w:top w:val="nil"/>
              <w:left w:val="nil"/>
              <w:bottom w:val="single" w:sz="4" w:space="0" w:color="auto"/>
              <w:right w:val="double" w:sz="6" w:space="0" w:color="auto"/>
            </w:tcBorders>
            <w:shd w:val="clear" w:color="auto" w:fill="auto"/>
            <w:noWrap/>
            <w:vAlign w:val="center"/>
            <w:hideMark/>
          </w:tcPr>
          <w:p w14:paraId="4A9D5C94" w14:textId="77777777" w:rsidR="00247CBF" w:rsidRPr="00092ED7" w:rsidRDefault="00247CBF" w:rsidP="00247CBF">
            <w:pPr>
              <w:spacing w:after="0"/>
              <w:jc w:val="right"/>
              <w:rPr>
                <w:sz w:val="20"/>
                <w:szCs w:val="20"/>
                <w:lang w:val="sr-Cyrl-CS"/>
              </w:rPr>
            </w:pPr>
            <w:r w:rsidRPr="00092ED7">
              <w:rPr>
                <w:sz w:val="20"/>
                <w:szCs w:val="20"/>
                <w:lang w:val="sr-Cyrl-CS"/>
              </w:rPr>
              <w:t>1255,399</w:t>
            </w:r>
          </w:p>
        </w:tc>
      </w:tr>
      <w:tr w:rsidR="00247CBF" w:rsidRPr="00092ED7" w14:paraId="41E27823" w14:textId="77777777" w:rsidTr="00247CBF">
        <w:trPr>
          <w:trHeight w:val="255"/>
        </w:trPr>
        <w:tc>
          <w:tcPr>
            <w:tcW w:w="6000" w:type="dxa"/>
            <w:tcBorders>
              <w:top w:val="dotted" w:sz="4" w:space="0" w:color="000000"/>
              <w:left w:val="double" w:sz="6" w:space="0" w:color="auto"/>
              <w:bottom w:val="single" w:sz="4" w:space="0" w:color="auto"/>
              <w:right w:val="nil"/>
            </w:tcBorders>
            <w:shd w:val="clear" w:color="auto" w:fill="auto"/>
            <w:vAlign w:val="center"/>
            <w:hideMark/>
          </w:tcPr>
          <w:p w14:paraId="0FF957A4"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Друге релевантне променљиве</w:t>
            </w:r>
          </w:p>
        </w:tc>
        <w:tc>
          <w:tcPr>
            <w:tcW w:w="1520" w:type="dxa"/>
            <w:tcBorders>
              <w:top w:val="nil"/>
              <w:left w:val="single" w:sz="8" w:space="0" w:color="000000"/>
              <w:bottom w:val="single" w:sz="4" w:space="0" w:color="auto"/>
              <w:right w:val="single" w:sz="8" w:space="0" w:color="000000"/>
            </w:tcBorders>
            <w:shd w:val="clear" w:color="auto" w:fill="auto"/>
            <w:vAlign w:val="center"/>
            <w:hideMark/>
          </w:tcPr>
          <w:p w14:paraId="6BA3DC82" w14:textId="77777777" w:rsidR="00247CBF" w:rsidRPr="00092ED7" w:rsidRDefault="00247CBF" w:rsidP="00247CBF">
            <w:pPr>
              <w:spacing w:after="0"/>
              <w:jc w:val="center"/>
              <w:rPr>
                <w:sz w:val="20"/>
                <w:szCs w:val="20"/>
                <w:lang w:val="sr-Cyrl-CS"/>
              </w:rPr>
            </w:pPr>
          </w:p>
        </w:tc>
        <w:tc>
          <w:tcPr>
            <w:tcW w:w="1176" w:type="dxa"/>
            <w:tcBorders>
              <w:top w:val="nil"/>
              <w:left w:val="nil"/>
              <w:bottom w:val="single" w:sz="4" w:space="0" w:color="auto"/>
              <w:right w:val="dotted" w:sz="4" w:space="0" w:color="000000"/>
            </w:tcBorders>
            <w:shd w:val="clear" w:color="auto" w:fill="auto"/>
            <w:noWrap/>
            <w:vAlign w:val="center"/>
            <w:hideMark/>
          </w:tcPr>
          <w:p w14:paraId="084F4E55"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176" w:type="dxa"/>
            <w:tcBorders>
              <w:top w:val="nil"/>
              <w:left w:val="nil"/>
              <w:bottom w:val="single" w:sz="4" w:space="0" w:color="auto"/>
              <w:right w:val="dotted" w:sz="4" w:space="0" w:color="000000"/>
            </w:tcBorders>
            <w:shd w:val="clear" w:color="auto" w:fill="auto"/>
            <w:noWrap/>
            <w:vAlign w:val="center"/>
            <w:hideMark/>
          </w:tcPr>
          <w:p w14:paraId="657CC3F4"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177" w:type="dxa"/>
            <w:tcBorders>
              <w:top w:val="nil"/>
              <w:left w:val="nil"/>
              <w:bottom w:val="single" w:sz="4" w:space="0" w:color="auto"/>
              <w:right w:val="dotted" w:sz="4" w:space="0" w:color="000000"/>
            </w:tcBorders>
            <w:shd w:val="clear" w:color="auto" w:fill="auto"/>
            <w:noWrap/>
            <w:vAlign w:val="center"/>
            <w:hideMark/>
          </w:tcPr>
          <w:p w14:paraId="7E7666DE"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176" w:type="dxa"/>
            <w:tcBorders>
              <w:top w:val="nil"/>
              <w:left w:val="nil"/>
              <w:bottom w:val="single" w:sz="4" w:space="0" w:color="auto"/>
              <w:right w:val="dotted" w:sz="4" w:space="0" w:color="000000"/>
            </w:tcBorders>
            <w:shd w:val="clear" w:color="auto" w:fill="auto"/>
            <w:noWrap/>
            <w:vAlign w:val="center"/>
            <w:hideMark/>
          </w:tcPr>
          <w:p w14:paraId="1F553CD3"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176" w:type="dxa"/>
            <w:tcBorders>
              <w:top w:val="nil"/>
              <w:left w:val="nil"/>
              <w:bottom w:val="single" w:sz="4" w:space="0" w:color="auto"/>
              <w:right w:val="dotted" w:sz="4" w:space="0" w:color="000000"/>
            </w:tcBorders>
            <w:shd w:val="clear" w:color="auto" w:fill="auto"/>
            <w:noWrap/>
            <w:vAlign w:val="center"/>
            <w:hideMark/>
          </w:tcPr>
          <w:p w14:paraId="240B2CF7"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177" w:type="dxa"/>
            <w:tcBorders>
              <w:top w:val="nil"/>
              <w:left w:val="nil"/>
              <w:bottom w:val="single" w:sz="4" w:space="0" w:color="auto"/>
              <w:right w:val="double" w:sz="6" w:space="0" w:color="auto"/>
            </w:tcBorders>
            <w:shd w:val="clear" w:color="auto" w:fill="auto"/>
            <w:noWrap/>
            <w:vAlign w:val="center"/>
            <w:hideMark/>
          </w:tcPr>
          <w:p w14:paraId="5BC8D00D" w14:textId="77777777" w:rsidR="00247CBF" w:rsidRPr="00092ED7" w:rsidRDefault="00247CBF" w:rsidP="00247CBF">
            <w:pPr>
              <w:spacing w:after="0"/>
              <w:jc w:val="right"/>
              <w:rPr>
                <w:sz w:val="20"/>
                <w:szCs w:val="20"/>
                <w:lang w:val="sr-Cyrl-CS"/>
              </w:rPr>
            </w:pPr>
            <w:r w:rsidRPr="00092ED7">
              <w:rPr>
                <w:sz w:val="20"/>
                <w:szCs w:val="20"/>
                <w:lang w:val="sr-Cyrl-CS"/>
              </w:rPr>
              <w:t> </w:t>
            </w:r>
          </w:p>
        </w:tc>
      </w:tr>
      <w:tr w:rsidR="00247CBF" w:rsidRPr="00092ED7" w14:paraId="42C0F5F1" w14:textId="77777777" w:rsidTr="00247CBF">
        <w:trPr>
          <w:trHeight w:val="270"/>
        </w:trPr>
        <w:tc>
          <w:tcPr>
            <w:tcW w:w="6000" w:type="dxa"/>
            <w:tcBorders>
              <w:top w:val="nil"/>
              <w:left w:val="double" w:sz="6" w:space="0" w:color="auto"/>
              <w:bottom w:val="double" w:sz="6" w:space="0" w:color="auto"/>
              <w:right w:val="nil"/>
            </w:tcBorders>
            <w:shd w:val="clear" w:color="auto" w:fill="auto"/>
            <w:vAlign w:val="center"/>
            <w:hideMark/>
          </w:tcPr>
          <w:p w14:paraId="2827A265"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11. Укупни расходи (ставка 7 = 23 у Табели 2)</w:t>
            </w:r>
          </w:p>
        </w:tc>
        <w:tc>
          <w:tcPr>
            <w:tcW w:w="1520" w:type="dxa"/>
            <w:tcBorders>
              <w:top w:val="nil"/>
              <w:left w:val="single" w:sz="8" w:space="0" w:color="000000"/>
              <w:bottom w:val="double" w:sz="6" w:space="0" w:color="auto"/>
              <w:right w:val="single" w:sz="8" w:space="0" w:color="000000"/>
            </w:tcBorders>
            <w:shd w:val="clear" w:color="auto" w:fill="auto"/>
            <w:vAlign w:val="center"/>
            <w:hideMark/>
          </w:tcPr>
          <w:p w14:paraId="138DC1B4" w14:textId="77777777" w:rsidR="00247CBF" w:rsidRPr="00092ED7" w:rsidRDefault="00247CBF" w:rsidP="00247CBF">
            <w:pPr>
              <w:spacing w:after="0"/>
              <w:jc w:val="center"/>
              <w:rPr>
                <w:sz w:val="20"/>
                <w:szCs w:val="20"/>
                <w:lang w:val="sr-Cyrl-CS"/>
              </w:rPr>
            </w:pPr>
            <w:r w:rsidRPr="00092ED7">
              <w:rPr>
                <w:sz w:val="20"/>
                <w:szCs w:val="20"/>
                <w:lang w:val="sr-Cyrl-CS"/>
              </w:rPr>
              <w:t>TE</w:t>
            </w:r>
          </w:p>
        </w:tc>
        <w:tc>
          <w:tcPr>
            <w:tcW w:w="1176" w:type="dxa"/>
            <w:tcBorders>
              <w:top w:val="nil"/>
              <w:left w:val="nil"/>
              <w:bottom w:val="double" w:sz="6" w:space="0" w:color="auto"/>
              <w:right w:val="dotted" w:sz="4" w:space="0" w:color="000000"/>
            </w:tcBorders>
            <w:shd w:val="clear" w:color="auto" w:fill="auto"/>
            <w:noWrap/>
            <w:vAlign w:val="center"/>
            <w:hideMark/>
          </w:tcPr>
          <w:p w14:paraId="404CD508" w14:textId="77777777" w:rsidR="00247CBF" w:rsidRPr="00092ED7" w:rsidRDefault="00247CBF" w:rsidP="00247CBF">
            <w:pPr>
              <w:spacing w:after="0"/>
              <w:jc w:val="right"/>
              <w:rPr>
                <w:sz w:val="20"/>
                <w:szCs w:val="20"/>
                <w:lang w:val="sr-Cyrl-CS"/>
              </w:rPr>
            </w:pPr>
            <w:r w:rsidRPr="00092ED7">
              <w:rPr>
                <w:sz w:val="20"/>
                <w:szCs w:val="20"/>
                <w:lang w:val="sr-Cyrl-CS"/>
              </w:rPr>
              <w:t>2.697,7</w:t>
            </w:r>
          </w:p>
        </w:tc>
        <w:tc>
          <w:tcPr>
            <w:tcW w:w="1176" w:type="dxa"/>
            <w:tcBorders>
              <w:top w:val="nil"/>
              <w:left w:val="nil"/>
              <w:bottom w:val="double" w:sz="6" w:space="0" w:color="auto"/>
              <w:right w:val="dotted" w:sz="4" w:space="0" w:color="000000"/>
            </w:tcBorders>
            <w:shd w:val="clear" w:color="auto" w:fill="auto"/>
            <w:noWrap/>
            <w:vAlign w:val="center"/>
            <w:hideMark/>
          </w:tcPr>
          <w:p w14:paraId="5E95680D" w14:textId="77777777" w:rsidR="00247CBF" w:rsidRPr="00092ED7" w:rsidRDefault="00247CBF" w:rsidP="00247CBF">
            <w:pPr>
              <w:spacing w:after="0"/>
              <w:jc w:val="right"/>
              <w:rPr>
                <w:sz w:val="20"/>
                <w:szCs w:val="20"/>
                <w:lang w:val="sr-Cyrl-CS"/>
              </w:rPr>
            </w:pPr>
            <w:r w:rsidRPr="00092ED7">
              <w:rPr>
                <w:sz w:val="20"/>
                <w:szCs w:val="20"/>
                <w:lang w:val="sr-Cyrl-CS"/>
              </w:rPr>
              <w:t>2.971,3</w:t>
            </w:r>
          </w:p>
        </w:tc>
        <w:tc>
          <w:tcPr>
            <w:tcW w:w="1177" w:type="dxa"/>
            <w:tcBorders>
              <w:top w:val="nil"/>
              <w:left w:val="nil"/>
              <w:bottom w:val="double" w:sz="6" w:space="0" w:color="auto"/>
              <w:right w:val="dotted" w:sz="4" w:space="0" w:color="000000"/>
            </w:tcBorders>
            <w:shd w:val="clear" w:color="auto" w:fill="auto"/>
            <w:noWrap/>
            <w:vAlign w:val="center"/>
            <w:hideMark/>
          </w:tcPr>
          <w:p w14:paraId="24C593E4" w14:textId="77777777" w:rsidR="00247CBF" w:rsidRPr="00092ED7" w:rsidRDefault="00247CBF" w:rsidP="00247CBF">
            <w:pPr>
              <w:spacing w:after="0"/>
              <w:jc w:val="right"/>
              <w:rPr>
                <w:sz w:val="20"/>
                <w:szCs w:val="20"/>
                <w:lang w:val="sr-Cyrl-CS"/>
              </w:rPr>
            </w:pPr>
            <w:r w:rsidRPr="00092ED7">
              <w:rPr>
                <w:sz w:val="20"/>
                <w:szCs w:val="20"/>
                <w:lang w:val="sr-Cyrl-CS"/>
              </w:rPr>
              <w:t>3.317,3</w:t>
            </w:r>
          </w:p>
        </w:tc>
        <w:tc>
          <w:tcPr>
            <w:tcW w:w="1176" w:type="dxa"/>
            <w:tcBorders>
              <w:top w:val="nil"/>
              <w:left w:val="nil"/>
              <w:bottom w:val="double" w:sz="6" w:space="0" w:color="auto"/>
              <w:right w:val="dotted" w:sz="4" w:space="0" w:color="000000"/>
            </w:tcBorders>
            <w:shd w:val="clear" w:color="auto" w:fill="auto"/>
            <w:noWrap/>
            <w:vAlign w:val="center"/>
            <w:hideMark/>
          </w:tcPr>
          <w:p w14:paraId="4AC74B26" w14:textId="77777777" w:rsidR="00247CBF" w:rsidRPr="00092ED7" w:rsidRDefault="00247CBF" w:rsidP="00247CBF">
            <w:pPr>
              <w:spacing w:after="0"/>
              <w:jc w:val="right"/>
              <w:rPr>
                <w:sz w:val="20"/>
                <w:szCs w:val="20"/>
                <w:lang w:val="sr-Cyrl-CS"/>
              </w:rPr>
            </w:pPr>
            <w:r w:rsidRPr="00092ED7">
              <w:rPr>
                <w:sz w:val="20"/>
                <w:szCs w:val="20"/>
                <w:lang w:val="sr-Cyrl-CS"/>
              </w:rPr>
              <w:t>3.547,5</w:t>
            </w:r>
          </w:p>
        </w:tc>
        <w:tc>
          <w:tcPr>
            <w:tcW w:w="1176" w:type="dxa"/>
            <w:tcBorders>
              <w:top w:val="nil"/>
              <w:left w:val="nil"/>
              <w:bottom w:val="double" w:sz="6" w:space="0" w:color="auto"/>
              <w:right w:val="dotted" w:sz="4" w:space="0" w:color="000000"/>
            </w:tcBorders>
            <w:shd w:val="clear" w:color="auto" w:fill="auto"/>
            <w:noWrap/>
            <w:vAlign w:val="center"/>
            <w:hideMark/>
          </w:tcPr>
          <w:p w14:paraId="5A9AC8EB" w14:textId="77777777" w:rsidR="00247CBF" w:rsidRPr="00092ED7" w:rsidRDefault="00247CBF" w:rsidP="00247CBF">
            <w:pPr>
              <w:spacing w:after="0"/>
              <w:jc w:val="right"/>
              <w:rPr>
                <w:sz w:val="20"/>
                <w:szCs w:val="20"/>
                <w:lang w:val="sr-Cyrl-CS"/>
              </w:rPr>
            </w:pPr>
            <w:r w:rsidRPr="00092ED7">
              <w:rPr>
                <w:sz w:val="20"/>
                <w:szCs w:val="20"/>
                <w:lang w:val="sr-Cyrl-CS"/>
              </w:rPr>
              <w:t>3.733,1</w:t>
            </w:r>
          </w:p>
        </w:tc>
        <w:tc>
          <w:tcPr>
            <w:tcW w:w="1177" w:type="dxa"/>
            <w:tcBorders>
              <w:top w:val="nil"/>
              <w:left w:val="nil"/>
              <w:bottom w:val="double" w:sz="6" w:space="0" w:color="auto"/>
              <w:right w:val="double" w:sz="6" w:space="0" w:color="auto"/>
            </w:tcBorders>
            <w:shd w:val="clear" w:color="auto" w:fill="auto"/>
            <w:noWrap/>
            <w:vAlign w:val="center"/>
            <w:hideMark/>
          </w:tcPr>
          <w:p w14:paraId="7F1AD096" w14:textId="77777777" w:rsidR="00247CBF" w:rsidRPr="00092ED7" w:rsidRDefault="00247CBF" w:rsidP="00247CBF">
            <w:pPr>
              <w:spacing w:after="0"/>
              <w:jc w:val="right"/>
              <w:rPr>
                <w:sz w:val="20"/>
                <w:szCs w:val="20"/>
                <w:lang w:val="sr-Cyrl-CS"/>
              </w:rPr>
            </w:pPr>
            <w:r w:rsidRPr="00092ED7">
              <w:rPr>
                <w:sz w:val="20"/>
                <w:szCs w:val="20"/>
                <w:lang w:val="sr-Cyrl-CS"/>
              </w:rPr>
              <w:t>3.901,8</w:t>
            </w:r>
          </w:p>
        </w:tc>
      </w:tr>
    </w:tbl>
    <w:p w14:paraId="7FA7E44E" w14:textId="77777777" w:rsidR="00247CBF" w:rsidRPr="00092ED7" w:rsidRDefault="00247CBF" w:rsidP="00247CBF">
      <w:pPr>
        <w:rPr>
          <w:rFonts w:cs="Times New Roman"/>
          <w:lang w:val="sr-Cyrl-CS"/>
        </w:rPr>
      </w:pPr>
    </w:p>
    <w:tbl>
      <w:tblPr>
        <w:tblW w:w="5000" w:type="pct"/>
        <w:tblLook w:val="04A0" w:firstRow="1" w:lastRow="0" w:firstColumn="1" w:lastColumn="0" w:noHBand="0" w:noVBand="1"/>
      </w:tblPr>
      <w:tblGrid>
        <w:gridCol w:w="23"/>
        <w:gridCol w:w="6073"/>
        <w:gridCol w:w="1416"/>
        <w:gridCol w:w="1008"/>
        <w:gridCol w:w="402"/>
        <w:gridCol w:w="848"/>
        <w:gridCol w:w="562"/>
        <w:gridCol w:w="688"/>
        <w:gridCol w:w="726"/>
        <w:gridCol w:w="525"/>
        <w:gridCol w:w="886"/>
        <w:gridCol w:w="1413"/>
      </w:tblGrid>
      <w:tr w:rsidR="00247CBF" w:rsidRPr="00092ED7" w14:paraId="0C880F5C" w14:textId="77777777" w:rsidTr="00247CBF">
        <w:trPr>
          <w:trHeight w:val="255"/>
        </w:trPr>
        <w:tc>
          <w:tcPr>
            <w:tcW w:w="2924" w:type="pct"/>
            <w:gridSpan w:val="4"/>
            <w:tcBorders>
              <w:top w:val="nil"/>
              <w:left w:val="nil"/>
              <w:bottom w:val="nil"/>
              <w:right w:val="nil"/>
            </w:tcBorders>
            <w:shd w:val="clear" w:color="000000" w:fill="FFFFFF"/>
            <w:noWrap/>
            <w:vAlign w:val="center"/>
            <w:hideMark/>
          </w:tcPr>
          <w:p w14:paraId="66EE88A8" w14:textId="77777777" w:rsidR="00247CBF" w:rsidRPr="00092ED7" w:rsidRDefault="00247CBF" w:rsidP="00247CBF">
            <w:pPr>
              <w:spacing w:after="0"/>
              <w:rPr>
                <w:rFonts w:eastAsia="Times New Roman" w:cs="Times New Roman"/>
                <w:b/>
                <w:bCs/>
                <w:sz w:val="20"/>
                <w:szCs w:val="20"/>
                <w:lang w:val="sr-Cyrl-CS"/>
              </w:rPr>
            </w:pPr>
            <w:r w:rsidRPr="00092ED7">
              <w:rPr>
                <w:rFonts w:eastAsia="Times New Roman" w:cs="Times New Roman"/>
                <w:b/>
                <w:bCs/>
                <w:sz w:val="20"/>
                <w:szCs w:val="20"/>
                <w:lang w:val="sr-Cyrl-CS"/>
              </w:rPr>
              <w:t>Табела 3: Расходи општег нивоа државе по функцијама</w:t>
            </w:r>
          </w:p>
        </w:tc>
        <w:tc>
          <w:tcPr>
            <w:tcW w:w="429" w:type="pct"/>
            <w:gridSpan w:val="2"/>
            <w:tcBorders>
              <w:top w:val="nil"/>
              <w:left w:val="nil"/>
              <w:bottom w:val="nil"/>
              <w:right w:val="nil"/>
            </w:tcBorders>
            <w:shd w:val="clear" w:color="000000" w:fill="FFFFFF"/>
            <w:noWrap/>
            <w:vAlign w:val="center"/>
            <w:hideMark/>
          </w:tcPr>
          <w:p w14:paraId="67FD8CD7"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429" w:type="pct"/>
            <w:gridSpan w:val="2"/>
            <w:tcBorders>
              <w:top w:val="nil"/>
              <w:left w:val="nil"/>
              <w:bottom w:val="nil"/>
              <w:right w:val="nil"/>
            </w:tcBorders>
            <w:shd w:val="clear" w:color="000000" w:fill="FFFFFF"/>
            <w:noWrap/>
            <w:vAlign w:val="center"/>
            <w:hideMark/>
          </w:tcPr>
          <w:p w14:paraId="0510FEF5"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429" w:type="pct"/>
            <w:gridSpan w:val="2"/>
            <w:tcBorders>
              <w:top w:val="nil"/>
              <w:left w:val="nil"/>
              <w:bottom w:val="nil"/>
              <w:right w:val="nil"/>
            </w:tcBorders>
            <w:shd w:val="clear" w:color="000000" w:fill="FFFFFF"/>
            <w:noWrap/>
            <w:vAlign w:val="center"/>
            <w:hideMark/>
          </w:tcPr>
          <w:p w14:paraId="7811B13A"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789" w:type="pct"/>
            <w:gridSpan w:val="2"/>
            <w:tcBorders>
              <w:top w:val="nil"/>
              <w:left w:val="nil"/>
              <w:bottom w:val="nil"/>
              <w:right w:val="nil"/>
            </w:tcBorders>
            <w:shd w:val="clear" w:color="000000" w:fill="FFFFFF"/>
            <w:noWrap/>
            <w:vAlign w:val="center"/>
            <w:hideMark/>
          </w:tcPr>
          <w:p w14:paraId="59C8EF10"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b/>
                <w:bCs/>
                <w:sz w:val="20"/>
                <w:szCs w:val="20"/>
                <w:lang w:val="sr-Cyrl-CS"/>
              </w:rPr>
              <w:t>Република Србија</w:t>
            </w:r>
          </w:p>
        </w:tc>
      </w:tr>
      <w:tr w:rsidR="00247CBF" w:rsidRPr="00092ED7" w14:paraId="2472E859" w14:textId="77777777" w:rsidTr="00247CBF">
        <w:trPr>
          <w:gridBefore w:val="1"/>
          <w:wBefore w:w="8" w:type="pct"/>
          <w:trHeight w:val="255"/>
        </w:trPr>
        <w:tc>
          <w:tcPr>
            <w:tcW w:w="2084" w:type="pct"/>
            <w:vMerge w:val="restart"/>
            <w:tcBorders>
              <w:top w:val="double" w:sz="6" w:space="0" w:color="000000"/>
              <w:left w:val="double" w:sz="6" w:space="0" w:color="000000"/>
              <w:bottom w:val="single" w:sz="8" w:space="0" w:color="000000"/>
              <w:right w:val="dotted" w:sz="4" w:space="0" w:color="auto"/>
            </w:tcBorders>
            <w:shd w:val="clear" w:color="000000" w:fill="FFFFFF"/>
            <w:vAlign w:val="center"/>
            <w:hideMark/>
          </w:tcPr>
          <w:p w14:paraId="5AC1E807"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 БДП</w:t>
            </w:r>
          </w:p>
        </w:tc>
        <w:tc>
          <w:tcPr>
            <w:tcW w:w="486" w:type="pct"/>
            <w:vMerge w:val="restart"/>
            <w:tcBorders>
              <w:top w:val="double" w:sz="6" w:space="0" w:color="000000"/>
              <w:left w:val="dotted" w:sz="4" w:space="0" w:color="auto"/>
              <w:bottom w:val="single" w:sz="8" w:space="0" w:color="000000"/>
              <w:right w:val="single" w:sz="8" w:space="0" w:color="auto"/>
            </w:tcBorders>
            <w:shd w:val="clear" w:color="000000" w:fill="FFFFFF"/>
            <w:vAlign w:val="center"/>
            <w:hideMark/>
          </w:tcPr>
          <w:p w14:paraId="5BEF49CE"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COFOG шифра</w:t>
            </w:r>
          </w:p>
        </w:tc>
        <w:tc>
          <w:tcPr>
            <w:tcW w:w="484" w:type="pct"/>
            <w:gridSpan w:val="2"/>
            <w:tcBorders>
              <w:top w:val="double" w:sz="6" w:space="0" w:color="000000"/>
              <w:left w:val="nil"/>
              <w:bottom w:val="nil"/>
              <w:right w:val="dotted" w:sz="4" w:space="0" w:color="auto"/>
            </w:tcBorders>
            <w:shd w:val="clear" w:color="000000" w:fill="FFFFFF"/>
            <w:vAlign w:val="center"/>
            <w:hideMark/>
          </w:tcPr>
          <w:p w14:paraId="05EF47F2" w14:textId="77777777" w:rsidR="00247CBF" w:rsidRPr="00092ED7" w:rsidRDefault="00247CBF" w:rsidP="00247CBF">
            <w:pPr>
              <w:spacing w:after="0"/>
              <w:jc w:val="center"/>
              <w:rPr>
                <w:sz w:val="20"/>
                <w:szCs w:val="20"/>
                <w:lang w:val="sr-Cyrl-CS"/>
              </w:rPr>
            </w:pPr>
            <w:r w:rsidRPr="00092ED7">
              <w:rPr>
                <w:sz w:val="20"/>
                <w:szCs w:val="20"/>
                <w:lang w:val="sr-Cyrl-CS"/>
              </w:rPr>
              <w:t>Година</w:t>
            </w:r>
          </w:p>
        </w:tc>
        <w:tc>
          <w:tcPr>
            <w:tcW w:w="484" w:type="pct"/>
            <w:gridSpan w:val="2"/>
            <w:tcBorders>
              <w:top w:val="double" w:sz="6" w:space="0" w:color="000000"/>
              <w:left w:val="nil"/>
              <w:bottom w:val="nil"/>
              <w:right w:val="dotted" w:sz="4" w:space="0" w:color="auto"/>
            </w:tcBorders>
            <w:shd w:val="clear" w:color="000000" w:fill="FFFFFF"/>
            <w:vAlign w:val="center"/>
            <w:hideMark/>
          </w:tcPr>
          <w:p w14:paraId="47A7B5CD" w14:textId="77777777" w:rsidR="00247CBF" w:rsidRPr="00092ED7" w:rsidRDefault="00247CBF" w:rsidP="00247CBF">
            <w:pPr>
              <w:spacing w:after="0"/>
              <w:jc w:val="center"/>
              <w:rPr>
                <w:sz w:val="20"/>
                <w:szCs w:val="20"/>
                <w:lang w:val="sr-Cyrl-CS"/>
              </w:rPr>
            </w:pPr>
            <w:r w:rsidRPr="00092ED7">
              <w:rPr>
                <w:sz w:val="20"/>
                <w:szCs w:val="20"/>
                <w:lang w:val="sr-Cyrl-CS"/>
              </w:rPr>
              <w:t>Година</w:t>
            </w:r>
          </w:p>
        </w:tc>
        <w:tc>
          <w:tcPr>
            <w:tcW w:w="485" w:type="pct"/>
            <w:gridSpan w:val="2"/>
            <w:tcBorders>
              <w:top w:val="double" w:sz="6" w:space="0" w:color="000000"/>
              <w:left w:val="nil"/>
              <w:bottom w:val="nil"/>
              <w:right w:val="dotted" w:sz="4" w:space="0" w:color="auto"/>
            </w:tcBorders>
            <w:shd w:val="clear" w:color="000000" w:fill="FFFFFF"/>
            <w:vAlign w:val="center"/>
            <w:hideMark/>
          </w:tcPr>
          <w:p w14:paraId="07F65DBB" w14:textId="77777777" w:rsidR="00247CBF" w:rsidRPr="00092ED7" w:rsidRDefault="00247CBF" w:rsidP="00247CBF">
            <w:pPr>
              <w:spacing w:after="0"/>
              <w:jc w:val="center"/>
              <w:rPr>
                <w:sz w:val="20"/>
                <w:szCs w:val="20"/>
                <w:lang w:val="sr-Cyrl-CS"/>
              </w:rPr>
            </w:pPr>
            <w:r w:rsidRPr="00092ED7">
              <w:rPr>
                <w:sz w:val="20"/>
                <w:szCs w:val="20"/>
                <w:lang w:val="sr-Cyrl-CS"/>
              </w:rPr>
              <w:t>Година</w:t>
            </w:r>
          </w:p>
        </w:tc>
        <w:tc>
          <w:tcPr>
            <w:tcW w:w="484" w:type="pct"/>
            <w:gridSpan w:val="2"/>
            <w:tcBorders>
              <w:top w:val="double" w:sz="6" w:space="0" w:color="000000"/>
              <w:left w:val="nil"/>
              <w:bottom w:val="nil"/>
              <w:right w:val="dotted" w:sz="4" w:space="0" w:color="auto"/>
            </w:tcBorders>
            <w:shd w:val="clear" w:color="000000" w:fill="FFFFFF"/>
            <w:vAlign w:val="center"/>
            <w:hideMark/>
          </w:tcPr>
          <w:p w14:paraId="117683C3" w14:textId="77777777" w:rsidR="00247CBF" w:rsidRPr="00092ED7" w:rsidRDefault="00247CBF" w:rsidP="00247CBF">
            <w:pPr>
              <w:spacing w:after="0"/>
              <w:jc w:val="center"/>
              <w:rPr>
                <w:sz w:val="20"/>
                <w:szCs w:val="20"/>
                <w:lang w:val="sr-Cyrl-CS"/>
              </w:rPr>
            </w:pPr>
            <w:r w:rsidRPr="00092ED7">
              <w:rPr>
                <w:sz w:val="20"/>
                <w:szCs w:val="20"/>
                <w:lang w:val="sr-Cyrl-CS"/>
              </w:rPr>
              <w:t>Година</w:t>
            </w:r>
          </w:p>
        </w:tc>
        <w:tc>
          <w:tcPr>
            <w:tcW w:w="485" w:type="pct"/>
            <w:tcBorders>
              <w:top w:val="double" w:sz="6" w:space="0" w:color="000000"/>
              <w:left w:val="nil"/>
              <w:bottom w:val="nil"/>
              <w:right w:val="double" w:sz="6" w:space="0" w:color="auto"/>
            </w:tcBorders>
            <w:shd w:val="clear" w:color="000000" w:fill="FFFFFF"/>
            <w:vAlign w:val="center"/>
            <w:hideMark/>
          </w:tcPr>
          <w:p w14:paraId="0AA9857E" w14:textId="77777777" w:rsidR="00247CBF" w:rsidRPr="00092ED7" w:rsidRDefault="00247CBF" w:rsidP="00247CBF">
            <w:pPr>
              <w:spacing w:after="0"/>
              <w:jc w:val="center"/>
              <w:rPr>
                <w:sz w:val="20"/>
                <w:szCs w:val="20"/>
                <w:lang w:val="sr-Cyrl-CS"/>
              </w:rPr>
            </w:pPr>
            <w:r w:rsidRPr="00092ED7">
              <w:rPr>
                <w:sz w:val="20"/>
                <w:szCs w:val="20"/>
                <w:lang w:val="sr-Cyrl-CS"/>
              </w:rPr>
              <w:t>Година</w:t>
            </w:r>
          </w:p>
        </w:tc>
      </w:tr>
      <w:tr w:rsidR="00247CBF" w:rsidRPr="00092ED7" w14:paraId="46490537" w14:textId="77777777" w:rsidTr="00247CBF">
        <w:trPr>
          <w:gridBefore w:val="1"/>
          <w:wBefore w:w="8" w:type="pct"/>
          <w:trHeight w:val="255"/>
        </w:trPr>
        <w:tc>
          <w:tcPr>
            <w:tcW w:w="2084" w:type="pct"/>
            <w:vMerge/>
            <w:tcBorders>
              <w:top w:val="double" w:sz="6" w:space="0" w:color="000000"/>
              <w:left w:val="double" w:sz="6" w:space="0" w:color="000000"/>
              <w:bottom w:val="single" w:sz="8" w:space="0" w:color="000000"/>
              <w:right w:val="dotted" w:sz="4" w:space="0" w:color="auto"/>
            </w:tcBorders>
            <w:vAlign w:val="center"/>
            <w:hideMark/>
          </w:tcPr>
          <w:p w14:paraId="6748734C" w14:textId="77777777" w:rsidR="00247CBF" w:rsidRPr="00092ED7" w:rsidRDefault="00247CBF" w:rsidP="00247CBF">
            <w:pPr>
              <w:spacing w:after="0"/>
              <w:rPr>
                <w:rFonts w:eastAsia="Times New Roman" w:cs="Times New Roman"/>
                <w:sz w:val="20"/>
                <w:szCs w:val="20"/>
                <w:lang w:val="sr-Cyrl-CS"/>
              </w:rPr>
            </w:pPr>
          </w:p>
        </w:tc>
        <w:tc>
          <w:tcPr>
            <w:tcW w:w="486" w:type="pct"/>
            <w:vMerge/>
            <w:tcBorders>
              <w:top w:val="double" w:sz="6" w:space="0" w:color="000000"/>
              <w:left w:val="dotted" w:sz="4" w:space="0" w:color="auto"/>
              <w:bottom w:val="single" w:sz="8" w:space="0" w:color="000000"/>
              <w:right w:val="single" w:sz="8" w:space="0" w:color="auto"/>
            </w:tcBorders>
            <w:vAlign w:val="center"/>
            <w:hideMark/>
          </w:tcPr>
          <w:p w14:paraId="617C2A10" w14:textId="77777777" w:rsidR="00247CBF" w:rsidRPr="00092ED7" w:rsidRDefault="00247CBF" w:rsidP="00247CBF">
            <w:pPr>
              <w:spacing w:after="0"/>
              <w:rPr>
                <w:rFonts w:eastAsia="Times New Roman" w:cs="Times New Roman"/>
                <w:sz w:val="20"/>
                <w:szCs w:val="20"/>
                <w:lang w:val="sr-Cyrl-CS"/>
              </w:rPr>
            </w:pPr>
          </w:p>
        </w:tc>
        <w:tc>
          <w:tcPr>
            <w:tcW w:w="484" w:type="pct"/>
            <w:gridSpan w:val="2"/>
            <w:tcBorders>
              <w:top w:val="nil"/>
              <w:left w:val="nil"/>
              <w:bottom w:val="single" w:sz="8" w:space="0" w:color="auto"/>
              <w:right w:val="dotted" w:sz="4" w:space="0" w:color="auto"/>
            </w:tcBorders>
            <w:shd w:val="clear" w:color="000000" w:fill="FFFFFF"/>
            <w:vAlign w:val="center"/>
            <w:hideMark/>
          </w:tcPr>
          <w:p w14:paraId="73668086" w14:textId="77777777" w:rsidR="00247CBF" w:rsidRPr="00092ED7" w:rsidRDefault="00247CBF" w:rsidP="00247CBF">
            <w:pPr>
              <w:spacing w:after="0"/>
              <w:jc w:val="center"/>
              <w:rPr>
                <w:sz w:val="20"/>
                <w:szCs w:val="20"/>
                <w:lang w:val="sr-Cyrl-CS"/>
              </w:rPr>
            </w:pPr>
            <w:r w:rsidRPr="00092ED7">
              <w:rPr>
                <w:sz w:val="20"/>
                <w:szCs w:val="20"/>
                <w:lang w:val="sr-Cyrl-CS"/>
              </w:rPr>
              <w:t>2021</w:t>
            </w:r>
          </w:p>
        </w:tc>
        <w:tc>
          <w:tcPr>
            <w:tcW w:w="484" w:type="pct"/>
            <w:gridSpan w:val="2"/>
            <w:tcBorders>
              <w:top w:val="nil"/>
              <w:left w:val="nil"/>
              <w:bottom w:val="single" w:sz="8" w:space="0" w:color="auto"/>
              <w:right w:val="dotted" w:sz="4" w:space="0" w:color="auto"/>
            </w:tcBorders>
            <w:shd w:val="clear" w:color="000000" w:fill="FFFFFF"/>
            <w:vAlign w:val="center"/>
            <w:hideMark/>
          </w:tcPr>
          <w:p w14:paraId="3E5D9748" w14:textId="77777777" w:rsidR="00247CBF" w:rsidRPr="00092ED7" w:rsidRDefault="00247CBF" w:rsidP="00247CBF">
            <w:pPr>
              <w:spacing w:after="0"/>
              <w:jc w:val="center"/>
              <w:rPr>
                <w:sz w:val="20"/>
                <w:szCs w:val="20"/>
                <w:lang w:val="sr-Cyrl-CS"/>
              </w:rPr>
            </w:pPr>
            <w:r w:rsidRPr="00092ED7">
              <w:rPr>
                <w:sz w:val="20"/>
                <w:szCs w:val="20"/>
                <w:lang w:val="sr-Cyrl-CS"/>
              </w:rPr>
              <w:t>2022</w:t>
            </w:r>
          </w:p>
        </w:tc>
        <w:tc>
          <w:tcPr>
            <w:tcW w:w="485" w:type="pct"/>
            <w:gridSpan w:val="2"/>
            <w:tcBorders>
              <w:top w:val="nil"/>
              <w:left w:val="nil"/>
              <w:bottom w:val="single" w:sz="8" w:space="0" w:color="auto"/>
              <w:right w:val="dotted" w:sz="4" w:space="0" w:color="auto"/>
            </w:tcBorders>
            <w:shd w:val="clear" w:color="000000" w:fill="FFFFFF"/>
            <w:vAlign w:val="center"/>
            <w:hideMark/>
          </w:tcPr>
          <w:p w14:paraId="27816FB6" w14:textId="77777777" w:rsidR="00247CBF" w:rsidRPr="00092ED7" w:rsidRDefault="00247CBF" w:rsidP="00247CBF">
            <w:pPr>
              <w:spacing w:after="0"/>
              <w:jc w:val="center"/>
              <w:rPr>
                <w:sz w:val="20"/>
                <w:szCs w:val="20"/>
                <w:lang w:val="sr-Cyrl-CS"/>
              </w:rPr>
            </w:pPr>
            <w:r w:rsidRPr="00092ED7">
              <w:rPr>
                <w:sz w:val="20"/>
                <w:szCs w:val="20"/>
                <w:lang w:val="sr-Cyrl-CS"/>
              </w:rPr>
              <w:t>2023</w:t>
            </w:r>
          </w:p>
        </w:tc>
        <w:tc>
          <w:tcPr>
            <w:tcW w:w="484" w:type="pct"/>
            <w:gridSpan w:val="2"/>
            <w:tcBorders>
              <w:top w:val="nil"/>
              <w:left w:val="nil"/>
              <w:bottom w:val="single" w:sz="8" w:space="0" w:color="auto"/>
              <w:right w:val="dotted" w:sz="4" w:space="0" w:color="auto"/>
            </w:tcBorders>
            <w:shd w:val="clear" w:color="000000" w:fill="FFFFFF"/>
            <w:vAlign w:val="center"/>
            <w:hideMark/>
          </w:tcPr>
          <w:p w14:paraId="2BA768B1" w14:textId="77777777" w:rsidR="00247CBF" w:rsidRPr="00092ED7" w:rsidRDefault="00247CBF" w:rsidP="00247CBF">
            <w:pPr>
              <w:spacing w:after="0"/>
              <w:jc w:val="center"/>
              <w:rPr>
                <w:sz w:val="20"/>
                <w:szCs w:val="20"/>
                <w:lang w:val="sr-Cyrl-CS"/>
              </w:rPr>
            </w:pPr>
            <w:r w:rsidRPr="00092ED7">
              <w:rPr>
                <w:sz w:val="20"/>
                <w:szCs w:val="20"/>
                <w:lang w:val="sr-Cyrl-CS"/>
              </w:rPr>
              <w:t>2024</w:t>
            </w:r>
          </w:p>
        </w:tc>
        <w:tc>
          <w:tcPr>
            <w:tcW w:w="485" w:type="pct"/>
            <w:tcBorders>
              <w:top w:val="nil"/>
              <w:left w:val="nil"/>
              <w:bottom w:val="single" w:sz="8" w:space="0" w:color="auto"/>
              <w:right w:val="double" w:sz="6" w:space="0" w:color="auto"/>
            </w:tcBorders>
            <w:shd w:val="clear" w:color="000000" w:fill="FFFFFF"/>
            <w:vAlign w:val="center"/>
            <w:hideMark/>
          </w:tcPr>
          <w:p w14:paraId="50682465" w14:textId="77777777" w:rsidR="00247CBF" w:rsidRPr="00092ED7" w:rsidRDefault="00247CBF" w:rsidP="00247CBF">
            <w:pPr>
              <w:spacing w:after="0"/>
              <w:jc w:val="center"/>
              <w:rPr>
                <w:sz w:val="20"/>
                <w:szCs w:val="20"/>
                <w:lang w:val="sr-Cyrl-CS"/>
              </w:rPr>
            </w:pPr>
            <w:r w:rsidRPr="00092ED7">
              <w:rPr>
                <w:sz w:val="20"/>
                <w:szCs w:val="20"/>
                <w:lang w:val="sr-Cyrl-CS"/>
              </w:rPr>
              <w:t>2025</w:t>
            </w:r>
          </w:p>
        </w:tc>
      </w:tr>
      <w:tr w:rsidR="00247CBF" w:rsidRPr="00092ED7" w14:paraId="3139E44C" w14:textId="77777777" w:rsidTr="00247CBF">
        <w:trPr>
          <w:gridBefore w:val="1"/>
          <w:wBefore w:w="8" w:type="pct"/>
          <w:trHeight w:val="255"/>
        </w:trPr>
        <w:tc>
          <w:tcPr>
            <w:tcW w:w="2084" w:type="pct"/>
            <w:tcBorders>
              <w:top w:val="nil"/>
              <w:left w:val="double" w:sz="6" w:space="0" w:color="000000"/>
              <w:bottom w:val="dotted" w:sz="4" w:space="0" w:color="auto"/>
              <w:right w:val="dotted" w:sz="4" w:space="0" w:color="auto"/>
            </w:tcBorders>
            <w:shd w:val="clear" w:color="000000" w:fill="FFFFFF"/>
            <w:vAlign w:val="center"/>
            <w:hideMark/>
          </w:tcPr>
          <w:p w14:paraId="7A59F69A"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1. Опште јавне услуге</w:t>
            </w:r>
          </w:p>
        </w:tc>
        <w:tc>
          <w:tcPr>
            <w:tcW w:w="486" w:type="pct"/>
            <w:tcBorders>
              <w:top w:val="nil"/>
              <w:left w:val="nil"/>
              <w:bottom w:val="dotted" w:sz="4" w:space="0" w:color="auto"/>
              <w:right w:val="single" w:sz="8" w:space="0" w:color="auto"/>
            </w:tcBorders>
            <w:shd w:val="clear" w:color="000000" w:fill="FFFFFF"/>
            <w:vAlign w:val="center"/>
            <w:hideMark/>
          </w:tcPr>
          <w:p w14:paraId="68567A2A"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1</w:t>
            </w:r>
          </w:p>
        </w:tc>
        <w:tc>
          <w:tcPr>
            <w:tcW w:w="484" w:type="pct"/>
            <w:gridSpan w:val="2"/>
            <w:tcBorders>
              <w:top w:val="nil"/>
              <w:left w:val="nil"/>
              <w:bottom w:val="dotted" w:sz="4" w:space="0" w:color="auto"/>
              <w:right w:val="dotted" w:sz="4" w:space="0" w:color="auto"/>
            </w:tcBorders>
            <w:shd w:val="clear" w:color="000000" w:fill="FFFFFF"/>
            <w:vAlign w:val="center"/>
            <w:hideMark/>
          </w:tcPr>
          <w:p w14:paraId="58997FCA" w14:textId="77777777" w:rsidR="00247CBF" w:rsidRPr="00092ED7" w:rsidRDefault="00247CBF" w:rsidP="00247CBF">
            <w:pPr>
              <w:spacing w:after="0"/>
              <w:jc w:val="center"/>
              <w:rPr>
                <w:sz w:val="20"/>
                <w:szCs w:val="20"/>
                <w:lang w:val="sr-Cyrl-CS"/>
              </w:rPr>
            </w:pPr>
            <w:r w:rsidRPr="00092ED7">
              <w:rPr>
                <w:sz w:val="20"/>
                <w:szCs w:val="20"/>
                <w:lang w:val="sr-Cyrl-CS"/>
              </w:rPr>
              <w:t>6,8</w:t>
            </w:r>
          </w:p>
        </w:tc>
        <w:tc>
          <w:tcPr>
            <w:tcW w:w="484" w:type="pct"/>
            <w:gridSpan w:val="2"/>
            <w:tcBorders>
              <w:top w:val="nil"/>
              <w:left w:val="nil"/>
              <w:bottom w:val="dotted" w:sz="4" w:space="0" w:color="auto"/>
              <w:right w:val="dotted" w:sz="4" w:space="0" w:color="auto"/>
            </w:tcBorders>
            <w:shd w:val="clear" w:color="000000" w:fill="FFFFFF"/>
            <w:vAlign w:val="center"/>
            <w:hideMark/>
          </w:tcPr>
          <w:p w14:paraId="13C83CC1" w14:textId="77777777" w:rsidR="00247CBF" w:rsidRPr="00092ED7" w:rsidRDefault="00247CBF" w:rsidP="00247CBF">
            <w:pPr>
              <w:spacing w:after="0"/>
              <w:jc w:val="center"/>
              <w:rPr>
                <w:sz w:val="20"/>
                <w:szCs w:val="20"/>
                <w:lang w:val="sr-Cyrl-CS"/>
              </w:rPr>
            </w:pPr>
            <w:r w:rsidRPr="00092ED7">
              <w:rPr>
                <w:sz w:val="20"/>
                <w:szCs w:val="20"/>
                <w:lang w:val="sr-Cyrl-CS"/>
              </w:rPr>
              <w:t>8,9</w:t>
            </w:r>
          </w:p>
        </w:tc>
        <w:tc>
          <w:tcPr>
            <w:tcW w:w="485" w:type="pct"/>
            <w:gridSpan w:val="2"/>
            <w:tcBorders>
              <w:top w:val="nil"/>
              <w:left w:val="nil"/>
              <w:bottom w:val="dotted" w:sz="4" w:space="0" w:color="auto"/>
              <w:right w:val="dotted" w:sz="4" w:space="0" w:color="auto"/>
            </w:tcBorders>
            <w:shd w:val="clear" w:color="000000" w:fill="FFFFFF"/>
            <w:vAlign w:val="center"/>
            <w:hideMark/>
          </w:tcPr>
          <w:p w14:paraId="03CF7FD3" w14:textId="77777777" w:rsidR="00247CBF" w:rsidRPr="00092ED7" w:rsidRDefault="00247CBF" w:rsidP="00247CBF">
            <w:pPr>
              <w:spacing w:after="0"/>
              <w:jc w:val="center"/>
              <w:rPr>
                <w:sz w:val="20"/>
                <w:szCs w:val="20"/>
                <w:lang w:val="sr-Cyrl-CS"/>
              </w:rPr>
            </w:pPr>
            <w:r w:rsidRPr="00092ED7">
              <w:rPr>
                <w:sz w:val="20"/>
                <w:szCs w:val="20"/>
                <w:lang w:val="sr-Cyrl-CS"/>
              </w:rPr>
              <w:t>7,7</w:t>
            </w:r>
          </w:p>
        </w:tc>
        <w:tc>
          <w:tcPr>
            <w:tcW w:w="484" w:type="pct"/>
            <w:gridSpan w:val="2"/>
            <w:tcBorders>
              <w:top w:val="nil"/>
              <w:left w:val="nil"/>
              <w:bottom w:val="dotted" w:sz="4" w:space="0" w:color="auto"/>
              <w:right w:val="dotted" w:sz="4" w:space="0" w:color="auto"/>
            </w:tcBorders>
            <w:shd w:val="clear" w:color="000000" w:fill="FFFFFF"/>
            <w:vAlign w:val="center"/>
            <w:hideMark/>
          </w:tcPr>
          <w:p w14:paraId="4A676E9C" w14:textId="77777777" w:rsidR="00247CBF" w:rsidRPr="00092ED7" w:rsidRDefault="00247CBF" w:rsidP="00247CBF">
            <w:pPr>
              <w:spacing w:after="0"/>
              <w:jc w:val="center"/>
              <w:rPr>
                <w:sz w:val="20"/>
                <w:szCs w:val="20"/>
                <w:lang w:val="sr-Cyrl-CS"/>
              </w:rPr>
            </w:pPr>
            <w:r w:rsidRPr="00092ED7">
              <w:rPr>
                <w:sz w:val="20"/>
                <w:szCs w:val="20"/>
                <w:lang w:val="sr-Cyrl-CS"/>
              </w:rPr>
              <w:t>6,3</w:t>
            </w:r>
          </w:p>
        </w:tc>
        <w:tc>
          <w:tcPr>
            <w:tcW w:w="485" w:type="pct"/>
            <w:tcBorders>
              <w:top w:val="nil"/>
              <w:left w:val="nil"/>
              <w:bottom w:val="dotted" w:sz="4" w:space="0" w:color="auto"/>
              <w:right w:val="double" w:sz="6" w:space="0" w:color="000000"/>
            </w:tcBorders>
            <w:shd w:val="clear" w:color="000000" w:fill="FFFFFF"/>
            <w:vAlign w:val="center"/>
            <w:hideMark/>
          </w:tcPr>
          <w:p w14:paraId="7D0B2FE8" w14:textId="77777777" w:rsidR="00247CBF" w:rsidRPr="00092ED7" w:rsidRDefault="00247CBF" w:rsidP="00247CBF">
            <w:pPr>
              <w:spacing w:after="0"/>
              <w:jc w:val="center"/>
              <w:rPr>
                <w:sz w:val="20"/>
                <w:szCs w:val="20"/>
                <w:lang w:val="sr-Cyrl-CS"/>
              </w:rPr>
            </w:pPr>
            <w:r w:rsidRPr="00092ED7">
              <w:rPr>
                <w:sz w:val="20"/>
                <w:szCs w:val="20"/>
                <w:lang w:val="sr-Cyrl-CS"/>
              </w:rPr>
              <w:t>5,3</w:t>
            </w:r>
          </w:p>
        </w:tc>
      </w:tr>
      <w:tr w:rsidR="00247CBF" w:rsidRPr="00092ED7" w14:paraId="7B84C2AE" w14:textId="77777777" w:rsidTr="00247CBF">
        <w:trPr>
          <w:gridBefore w:val="1"/>
          <w:wBefore w:w="8" w:type="pct"/>
          <w:trHeight w:val="255"/>
        </w:trPr>
        <w:tc>
          <w:tcPr>
            <w:tcW w:w="2084" w:type="pct"/>
            <w:tcBorders>
              <w:top w:val="nil"/>
              <w:left w:val="double" w:sz="6" w:space="0" w:color="000000"/>
              <w:bottom w:val="dotted" w:sz="4" w:space="0" w:color="auto"/>
              <w:right w:val="dotted" w:sz="4" w:space="0" w:color="auto"/>
            </w:tcBorders>
            <w:shd w:val="clear" w:color="000000" w:fill="FFFFFF"/>
            <w:vAlign w:val="center"/>
            <w:hideMark/>
          </w:tcPr>
          <w:p w14:paraId="14F80BC2"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2. Одбрана</w:t>
            </w:r>
          </w:p>
        </w:tc>
        <w:tc>
          <w:tcPr>
            <w:tcW w:w="486" w:type="pct"/>
            <w:tcBorders>
              <w:top w:val="nil"/>
              <w:left w:val="nil"/>
              <w:bottom w:val="dotted" w:sz="4" w:space="0" w:color="auto"/>
              <w:right w:val="single" w:sz="8" w:space="0" w:color="auto"/>
            </w:tcBorders>
            <w:shd w:val="clear" w:color="000000" w:fill="FFFFFF"/>
            <w:vAlign w:val="center"/>
            <w:hideMark/>
          </w:tcPr>
          <w:p w14:paraId="0AE7C448"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2</w:t>
            </w:r>
          </w:p>
        </w:tc>
        <w:tc>
          <w:tcPr>
            <w:tcW w:w="484" w:type="pct"/>
            <w:gridSpan w:val="2"/>
            <w:tcBorders>
              <w:top w:val="nil"/>
              <w:left w:val="nil"/>
              <w:bottom w:val="dotted" w:sz="4" w:space="0" w:color="auto"/>
              <w:right w:val="dotted" w:sz="4" w:space="0" w:color="auto"/>
            </w:tcBorders>
            <w:shd w:val="clear" w:color="000000" w:fill="FFFFFF"/>
            <w:vAlign w:val="center"/>
            <w:hideMark/>
          </w:tcPr>
          <w:p w14:paraId="7861B779" w14:textId="77777777" w:rsidR="00247CBF" w:rsidRPr="00092ED7" w:rsidRDefault="00247CBF" w:rsidP="00247CBF">
            <w:pPr>
              <w:spacing w:after="0"/>
              <w:jc w:val="center"/>
              <w:rPr>
                <w:sz w:val="20"/>
                <w:szCs w:val="20"/>
                <w:lang w:val="sr-Cyrl-CS"/>
              </w:rPr>
            </w:pPr>
            <w:r w:rsidRPr="00092ED7">
              <w:rPr>
                <w:sz w:val="20"/>
                <w:szCs w:val="20"/>
                <w:lang w:val="sr-Cyrl-CS"/>
              </w:rPr>
              <w:t>2,5</w:t>
            </w:r>
          </w:p>
        </w:tc>
        <w:tc>
          <w:tcPr>
            <w:tcW w:w="484" w:type="pct"/>
            <w:gridSpan w:val="2"/>
            <w:tcBorders>
              <w:top w:val="nil"/>
              <w:left w:val="nil"/>
              <w:bottom w:val="dotted" w:sz="4" w:space="0" w:color="auto"/>
              <w:right w:val="dotted" w:sz="4" w:space="0" w:color="auto"/>
            </w:tcBorders>
            <w:shd w:val="clear" w:color="000000" w:fill="FFFFFF"/>
            <w:vAlign w:val="center"/>
            <w:hideMark/>
          </w:tcPr>
          <w:p w14:paraId="57C89B6F" w14:textId="77777777" w:rsidR="00247CBF" w:rsidRPr="00092ED7" w:rsidRDefault="00247CBF" w:rsidP="00247CBF">
            <w:pPr>
              <w:spacing w:after="0"/>
              <w:jc w:val="center"/>
              <w:rPr>
                <w:sz w:val="20"/>
                <w:szCs w:val="20"/>
                <w:lang w:val="sr-Cyrl-CS"/>
              </w:rPr>
            </w:pPr>
            <w:r w:rsidRPr="00092ED7">
              <w:rPr>
                <w:sz w:val="20"/>
                <w:szCs w:val="20"/>
                <w:lang w:val="sr-Cyrl-CS"/>
              </w:rPr>
              <w:t>2,0</w:t>
            </w:r>
          </w:p>
        </w:tc>
        <w:tc>
          <w:tcPr>
            <w:tcW w:w="485" w:type="pct"/>
            <w:gridSpan w:val="2"/>
            <w:tcBorders>
              <w:top w:val="nil"/>
              <w:left w:val="nil"/>
              <w:bottom w:val="dotted" w:sz="4" w:space="0" w:color="auto"/>
              <w:right w:val="dotted" w:sz="4" w:space="0" w:color="auto"/>
            </w:tcBorders>
            <w:shd w:val="clear" w:color="000000" w:fill="FFFFFF"/>
            <w:vAlign w:val="center"/>
            <w:hideMark/>
          </w:tcPr>
          <w:p w14:paraId="45FFE28A" w14:textId="77777777" w:rsidR="00247CBF" w:rsidRPr="00092ED7" w:rsidRDefault="00247CBF" w:rsidP="00247CBF">
            <w:pPr>
              <w:spacing w:after="0"/>
              <w:jc w:val="center"/>
              <w:rPr>
                <w:sz w:val="20"/>
                <w:szCs w:val="20"/>
                <w:lang w:val="sr-Cyrl-CS"/>
              </w:rPr>
            </w:pPr>
            <w:r w:rsidRPr="00092ED7">
              <w:rPr>
                <w:sz w:val="20"/>
                <w:szCs w:val="20"/>
                <w:lang w:val="sr-Cyrl-CS"/>
              </w:rPr>
              <w:t>2,0</w:t>
            </w:r>
          </w:p>
        </w:tc>
        <w:tc>
          <w:tcPr>
            <w:tcW w:w="484" w:type="pct"/>
            <w:gridSpan w:val="2"/>
            <w:tcBorders>
              <w:top w:val="nil"/>
              <w:left w:val="nil"/>
              <w:bottom w:val="dotted" w:sz="4" w:space="0" w:color="auto"/>
              <w:right w:val="dotted" w:sz="4" w:space="0" w:color="auto"/>
            </w:tcBorders>
            <w:shd w:val="clear" w:color="000000" w:fill="FFFFFF"/>
            <w:vAlign w:val="center"/>
            <w:hideMark/>
          </w:tcPr>
          <w:p w14:paraId="04A2B395" w14:textId="77777777" w:rsidR="00247CBF" w:rsidRPr="00092ED7" w:rsidRDefault="00247CBF" w:rsidP="00247CBF">
            <w:pPr>
              <w:spacing w:after="0"/>
              <w:jc w:val="center"/>
              <w:rPr>
                <w:sz w:val="20"/>
                <w:szCs w:val="20"/>
                <w:lang w:val="sr-Cyrl-CS"/>
              </w:rPr>
            </w:pPr>
            <w:r w:rsidRPr="00092ED7">
              <w:rPr>
                <w:sz w:val="20"/>
                <w:szCs w:val="20"/>
                <w:lang w:val="sr-Cyrl-CS"/>
              </w:rPr>
              <w:t>2,0</w:t>
            </w:r>
          </w:p>
        </w:tc>
        <w:tc>
          <w:tcPr>
            <w:tcW w:w="485" w:type="pct"/>
            <w:tcBorders>
              <w:top w:val="nil"/>
              <w:left w:val="nil"/>
              <w:bottom w:val="dotted" w:sz="4" w:space="0" w:color="auto"/>
              <w:right w:val="double" w:sz="6" w:space="0" w:color="000000"/>
            </w:tcBorders>
            <w:shd w:val="clear" w:color="000000" w:fill="FFFFFF"/>
            <w:vAlign w:val="center"/>
            <w:hideMark/>
          </w:tcPr>
          <w:p w14:paraId="70D020BC" w14:textId="77777777" w:rsidR="00247CBF" w:rsidRPr="00092ED7" w:rsidRDefault="00247CBF" w:rsidP="00247CBF">
            <w:pPr>
              <w:spacing w:after="0"/>
              <w:jc w:val="center"/>
              <w:rPr>
                <w:sz w:val="20"/>
                <w:szCs w:val="20"/>
                <w:lang w:val="sr-Cyrl-CS"/>
              </w:rPr>
            </w:pPr>
            <w:r w:rsidRPr="00092ED7">
              <w:rPr>
                <w:sz w:val="20"/>
                <w:szCs w:val="20"/>
                <w:lang w:val="sr-Cyrl-CS"/>
              </w:rPr>
              <w:t>2,0</w:t>
            </w:r>
          </w:p>
        </w:tc>
      </w:tr>
      <w:tr w:rsidR="00247CBF" w:rsidRPr="00092ED7" w14:paraId="3DC278A9" w14:textId="77777777" w:rsidTr="00247CBF">
        <w:trPr>
          <w:gridBefore w:val="1"/>
          <w:wBefore w:w="8" w:type="pct"/>
          <w:trHeight w:val="255"/>
        </w:trPr>
        <w:tc>
          <w:tcPr>
            <w:tcW w:w="2084" w:type="pct"/>
            <w:tcBorders>
              <w:top w:val="nil"/>
              <w:left w:val="double" w:sz="6" w:space="0" w:color="000000"/>
              <w:bottom w:val="dotted" w:sz="4" w:space="0" w:color="auto"/>
              <w:right w:val="dotted" w:sz="4" w:space="0" w:color="auto"/>
            </w:tcBorders>
            <w:shd w:val="clear" w:color="000000" w:fill="FFFFFF"/>
            <w:vAlign w:val="center"/>
            <w:hideMark/>
          </w:tcPr>
          <w:p w14:paraId="2F2D8D1D"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3. Јавни ред и безбедност</w:t>
            </w:r>
          </w:p>
        </w:tc>
        <w:tc>
          <w:tcPr>
            <w:tcW w:w="486" w:type="pct"/>
            <w:tcBorders>
              <w:top w:val="nil"/>
              <w:left w:val="nil"/>
              <w:bottom w:val="dotted" w:sz="4" w:space="0" w:color="auto"/>
              <w:right w:val="single" w:sz="8" w:space="0" w:color="auto"/>
            </w:tcBorders>
            <w:shd w:val="clear" w:color="000000" w:fill="FFFFFF"/>
            <w:vAlign w:val="center"/>
            <w:hideMark/>
          </w:tcPr>
          <w:p w14:paraId="018B6DC7"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3</w:t>
            </w:r>
          </w:p>
        </w:tc>
        <w:tc>
          <w:tcPr>
            <w:tcW w:w="484" w:type="pct"/>
            <w:gridSpan w:val="2"/>
            <w:tcBorders>
              <w:top w:val="nil"/>
              <w:left w:val="nil"/>
              <w:bottom w:val="dotted" w:sz="4" w:space="0" w:color="auto"/>
              <w:right w:val="dotted" w:sz="4" w:space="0" w:color="auto"/>
            </w:tcBorders>
            <w:shd w:val="clear" w:color="000000" w:fill="FFFFFF"/>
            <w:vAlign w:val="center"/>
            <w:hideMark/>
          </w:tcPr>
          <w:p w14:paraId="5CFF0F68" w14:textId="77777777" w:rsidR="00247CBF" w:rsidRPr="00092ED7" w:rsidRDefault="00247CBF" w:rsidP="00247CBF">
            <w:pPr>
              <w:spacing w:after="0"/>
              <w:jc w:val="center"/>
              <w:rPr>
                <w:sz w:val="20"/>
                <w:szCs w:val="20"/>
                <w:lang w:val="sr-Cyrl-CS"/>
              </w:rPr>
            </w:pPr>
            <w:r w:rsidRPr="00092ED7">
              <w:rPr>
                <w:sz w:val="20"/>
                <w:szCs w:val="20"/>
                <w:lang w:val="sr-Cyrl-CS"/>
              </w:rPr>
              <w:t>2,7</w:t>
            </w:r>
          </w:p>
        </w:tc>
        <w:tc>
          <w:tcPr>
            <w:tcW w:w="484" w:type="pct"/>
            <w:gridSpan w:val="2"/>
            <w:tcBorders>
              <w:top w:val="nil"/>
              <w:left w:val="nil"/>
              <w:bottom w:val="dotted" w:sz="4" w:space="0" w:color="auto"/>
              <w:right w:val="dotted" w:sz="4" w:space="0" w:color="auto"/>
            </w:tcBorders>
            <w:shd w:val="clear" w:color="000000" w:fill="FFFFFF"/>
            <w:vAlign w:val="center"/>
            <w:hideMark/>
          </w:tcPr>
          <w:p w14:paraId="3FFEF7C0" w14:textId="77777777" w:rsidR="00247CBF" w:rsidRPr="00092ED7" w:rsidRDefault="00247CBF" w:rsidP="00247CBF">
            <w:pPr>
              <w:spacing w:after="0"/>
              <w:jc w:val="center"/>
              <w:rPr>
                <w:sz w:val="20"/>
                <w:szCs w:val="20"/>
                <w:lang w:val="sr-Cyrl-CS"/>
              </w:rPr>
            </w:pPr>
            <w:r w:rsidRPr="00092ED7">
              <w:rPr>
                <w:sz w:val="20"/>
                <w:szCs w:val="20"/>
                <w:lang w:val="sr-Cyrl-CS"/>
              </w:rPr>
              <w:t>2,4</w:t>
            </w:r>
          </w:p>
        </w:tc>
        <w:tc>
          <w:tcPr>
            <w:tcW w:w="485" w:type="pct"/>
            <w:gridSpan w:val="2"/>
            <w:tcBorders>
              <w:top w:val="nil"/>
              <w:left w:val="nil"/>
              <w:bottom w:val="dotted" w:sz="4" w:space="0" w:color="auto"/>
              <w:right w:val="dotted" w:sz="4" w:space="0" w:color="auto"/>
            </w:tcBorders>
            <w:shd w:val="clear" w:color="000000" w:fill="FFFFFF"/>
            <w:vAlign w:val="center"/>
            <w:hideMark/>
          </w:tcPr>
          <w:p w14:paraId="3373666E" w14:textId="77777777" w:rsidR="00247CBF" w:rsidRPr="00092ED7" w:rsidRDefault="00247CBF" w:rsidP="00247CBF">
            <w:pPr>
              <w:spacing w:after="0"/>
              <w:jc w:val="center"/>
              <w:rPr>
                <w:sz w:val="20"/>
                <w:szCs w:val="20"/>
                <w:lang w:val="sr-Cyrl-CS"/>
              </w:rPr>
            </w:pPr>
            <w:r w:rsidRPr="00092ED7">
              <w:rPr>
                <w:sz w:val="20"/>
                <w:szCs w:val="20"/>
                <w:lang w:val="sr-Cyrl-CS"/>
              </w:rPr>
              <w:t>2,3</w:t>
            </w:r>
          </w:p>
        </w:tc>
        <w:tc>
          <w:tcPr>
            <w:tcW w:w="484" w:type="pct"/>
            <w:gridSpan w:val="2"/>
            <w:tcBorders>
              <w:top w:val="nil"/>
              <w:left w:val="nil"/>
              <w:bottom w:val="dotted" w:sz="4" w:space="0" w:color="auto"/>
              <w:right w:val="dotted" w:sz="4" w:space="0" w:color="auto"/>
            </w:tcBorders>
            <w:shd w:val="clear" w:color="000000" w:fill="FFFFFF"/>
            <w:vAlign w:val="center"/>
            <w:hideMark/>
          </w:tcPr>
          <w:p w14:paraId="6D2D5017" w14:textId="77777777" w:rsidR="00247CBF" w:rsidRPr="00092ED7" w:rsidRDefault="00247CBF" w:rsidP="00247CBF">
            <w:pPr>
              <w:spacing w:after="0"/>
              <w:jc w:val="center"/>
              <w:rPr>
                <w:sz w:val="20"/>
                <w:szCs w:val="20"/>
                <w:lang w:val="sr-Cyrl-CS"/>
              </w:rPr>
            </w:pPr>
            <w:r w:rsidRPr="00092ED7">
              <w:rPr>
                <w:sz w:val="20"/>
                <w:szCs w:val="20"/>
                <w:lang w:val="sr-Cyrl-CS"/>
              </w:rPr>
              <w:t>2,3</w:t>
            </w:r>
          </w:p>
        </w:tc>
        <w:tc>
          <w:tcPr>
            <w:tcW w:w="485" w:type="pct"/>
            <w:tcBorders>
              <w:top w:val="nil"/>
              <w:left w:val="nil"/>
              <w:bottom w:val="dotted" w:sz="4" w:space="0" w:color="auto"/>
              <w:right w:val="double" w:sz="6" w:space="0" w:color="000000"/>
            </w:tcBorders>
            <w:shd w:val="clear" w:color="000000" w:fill="FFFFFF"/>
            <w:vAlign w:val="center"/>
            <w:hideMark/>
          </w:tcPr>
          <w:p w14:paraId="7E668327" w14:textId="77777777" w:rsidR="00247CBF" w:rsidRPr="00092ED7" w:rsidRDefault="00247CBF" w:rsidP="00247CBF">
            <w:pPr>
              <w:spacing w:after="0"/>
              <w:jc w:val="center"/>
              <w:rPr>
                <w:sz w:val="20"/>
                <w:szCs w:val="20"/>
                <w:lang w:val="sr-Cyrl-CS"/>
              </w:rPr>
            </w:pPr>
            <w:r w:rsidRPr="00092ED7">
              <w:rPr>
                <w:sz w:val="20"/>
                <w:szCs w:val="20"/>
                <w:lang w:val="sr-Cyrl-CS"/>
              </w:rPr>
              <w:t>2,3</w:t>
            </w:r>
          </w:p>
        </w:tc>
      </w:tr>
      <w:tr w:rsidR="00247CBF" w:rsidRPr="00092ED7" w14:paraId="2460F307" w14:textId="77777777" w:rsidTr="00247CBF">
        <w:trPr>
          <w:gridBefore w:val="1"/>
          <w:wBefore w:w="8" w:type="pct"/>
          <w:trHeight w:val="255"/>
        </w:trPr>
        <w:tc>
          <w:tcPr>
            <w:tcW w:w="2084" w:type="pct"/>
            <w:tcBorders>
              <w:top w:val="nil"/>
              <w:left w:val="double" w:sz="6" w:space="0" w:color="000000"/>
              <w:bottom w:val="dotted" w:sz="4" w:space="0" w:color="auto"/>
              <w:right w:val="dotted" w:sz="4" w:space="0" w:color="auto"/>
            </w:tcBorders>
            <w:shd w:val="clear" w:color="000000" w:fill="FFFFFF"/>
            <w:vAlign w:val="center"/>
            <w:hideMark/>
          </w:tcPr>
          <w:p w14:paraId="689BD138"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4. Економски послови</w:t>
            </w:r>
          </w:p>
        </w:tc>
        <w:tc>
          <w:tcPr>
            <w:tcW w:w="486" w:type="pct"/>
            <w:tcBorders>
              <w:top w:val="nil"/>
              <w:left w:val="nil"/>
              <w:bottom w:val="dotted" w:sz="4" w:space="0" w:color="auto"/>
              <w:right w:val="single" w:sz="8" w:space="0" w:color="auto"/>
            </w:tcBorders>
            <w:shd w:val="clear" w:color="000000" w:fill="FFFFFF"/>
            <w:vAlign w:val="center"/>
            <w:hideMark/>
          </w:tcPr>
          <w:p w14:paraId="3CB64BC7"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4</w:t>
            </w:r>
          </w:p>
        </w:tc>
        <w:tc>
          <w:tcPr>
            <w:tcW w:w="484" w:type="pct"/>
            <w:gridSpan w:val="2"/>
            <w:tcBorders>
              <w:top w:val="nil"/>
              <w:left w:val="nil"/>
              <w:bottom w:val="dotted" w:sz="4" w:space="0" w:color="auto"/>
              <w:right w:val="dotted" w:sz="4" w:space="0" w:color="auto"/>
            </w:tcBorders>
            <w:shd w:val="clear" w:color="000000" w:fill="FFFFFF"/>
            <w:vAlign w:val="center"/>
            <w:hideMark/>
          </w:tcPr>
          <w:p w14:paraId="3885E37D" w14:textId="77777777" w:rsidR="00247CBF" w:rsidRPr="00092ED7" w:rsidRDefault="00247CBF" w:rsidP="00247CBF">
            <w:pPr>
              <w:spacing w:after="0"/>
              <w:jc w:val="center"/>
              <w:rPr>
                <w:sz w:val="20"/>
                <w:szCs w:val="20"/>
                <w:lang w:val="sr-Cyrl-CS"/>
              </w:rPr>
            </w:pPr>
            <w:r w:rsidRPr="00092ED7">
              <w:rPr>
                <w:sz w:val="20"/>
                <w:szCs w:val="20"/>
                <w:lang w:val="sr-Cyrl-CS"/>
              </w:rPr>
              <w:t>9,0</w:t>
            </w:r>
          </w:p>
        </w:tc>
        <w:tc>
          <w:tcPr>
            <w:tcW w:w="484" w:type="pct"/>
            <w:gridSpan w:val="2"/>
            <w:tcBorders>
              <w:top w:val="nil"/>
              <w:left w:val="nil"/>
              <w:bottom w:val="dotted" w:sz="4" w:space="0" w:color="auto"/>
              <w:right w:val="dotted" w:sz="4" w:space="0" w:color="auto"/>
            </w:tcBorders>
            <w:shd w:val="clear" w:color="000000" w:fill="FFFFFF"/>
            <w:vAlign w:val="center"/>
            <w:hideMark/>
          </w:tcPr>
          <w:p w14:paraId="03751638" w14:textId="77777777" w:rsidR="00247CBF" w:rsidRPr="00092ED7" w:rsidRDefault="00247CBF" w:rsidP="00247CBF">
            <w:pPr>
              <w:spacing w:after="0"/>
              <w:jc w:val="center"/>
              <w:rPr>
                <w:sz w:val="20"/>
                <w:szCs w:val="20"/>
                <w:lang w:val="sr-Cyrl-CS"/>
              </w:rPr>
            </w:pPr>
            <w:r w:rsidRPr="00092ED7">
              <w:rPr>
                <w:sz w:val="20"/>
                <w:szCs w:val="20"/>
                <w:lang w:val="sr-Cyrl-CS"/>
              </w:rPr>
              <w:t>7,9</w:t>
            </w:r>
          </w:p>
        </w:tc>
        <w:tc>
          <w:tcPr>
            <w:tcW w:w="485" w:type="pct"/>
            <w:gridSpan w:val="2"/>
            <w:tcBorders>
              <w:top w:val="nil"/>
              <w:left w:val="nil"/>
              <w:bottom w:val="dotted" w:sz="4" w:space="0" w:color="auto"/>
              <w:right w:val="dotted" w:sz="4" w:space="0" w:color="auto"/>
            </w:tcBorders>
            <w:shd w:val="clear" w:color="000000" w:fill="FFFFFF"/>
            <w:vAlign w:val="center"/>
            <w:hideMark/>
          </w:tcPr>
          <w:p w14:paraId="3DE213B9" w14:textId="77777777" w:rsidR="00247CBF" w:rsidRPr="00092ED7" w:rsidRDefault="00247CBF" w:rsidP="00247CBF">
            <w:pPr>
              <w:spacing w:after="0"/>
              <w:jc w:val="center"/>
              <w:rPr>
                <w:sz w:val="20"/>
                <w:szCs w:val="20"/>
                <w:lang w:val="sr-Cyrl-CS"/>
              </w:rPr>
            </w:pPr>
            <w:r w:rsidRPr="00092ED7">
              <w:rPr>
                <w:sz w:val="20"/>
                <w:szCs w:val="20"/>
                <w:lang w:val="sr-Cyrl-CS"/>
              </w:rPr>
              <w:t>7,3</w:t>
            </w:r>
          </w:p>
        </w:tc>
        <w:tc>
          <w:tcPr>
            <w:tcW w:w="484" w:type="pct"/>
            <w:gridSpan w:val="2"/>
            <w:tcBorders>
              <w:top w:val="nil"/>
              <w:left w:val="nil"/>
              <w:bottom w:val="dotted" w:sz="4" w:space="0" w:color="auto"/>
              <w:right w:val="dotted" w:sz="4" w:space="0" w:color="auto"/>
            </w:tcBorders>
            <w:shd w:val="clear" w:color="000000" w:fill="FFFFFF"/>
            <w:vAlign w:val="center"/>
            <w:hideMark/>
          </w:tcPr>
          <w:p w14:paraId="251B6E96" w14:textId="77777777" w:rsidR="00247CBF" w:rsidRPr="00092ED7" w:rsidRDefault="00247CBF" w:rsidP="00247CBF">
            <w:pPr>
              <w:spacing w:after="0"/>
              <w:jc w:val="center"/>
              <w:rPr>
                <w:sz w:val="20"/>
                <w:szCs w:val="20"/>
                <w:lang w:val="sr-Cyrl-CS"/>
              </w:rPr>
            </w:pPr>
            <w:r w:rsidRPr="00092ED7">
              <w:rPr>
                <w:sz w:val="20"/>
                <w:szCs w:val="20"/>
                <w:lang w:val="sr-Cyrl-CS"/>
              </w:rPr>
              <w:t>6,8</w:t>
            </w:r>
          </w:p>
        </w:tc>
        <w:tc>
          <w:tcPr>
            <w:tcW w:w="485" w:type="pct"/>
            <w:tcBorders>
              <w:top w:val="nil"/>
              <w:left w:val="nil"/>
              <w:bottom w:val="dotted" w:sz="4" w:space="0" w:color="auto"/>
              <w:right w:val="double" w:sz="6" w:space="0" w:color="000000"/>
            </w:tcBorders>
            <w:shd w:val="clear" w:color="000000" w:fill="FFFFFF"/>
            <w:vAlign w:val="center"/>
            <w:hideMark/>
          </w:tcPr>
          <w:p w14:paraId="286E23D2" w14:textId="77777777" w:rsidR="00247CBF" w:rsidRPr="00092ED7" w:rsidRDefault="00247CBF" w:rsidP="00247CBF">
            <w:pPr>
              <w:spacing w:after="0"/>
              <w:jc w:val="center"/>
              <w:rPr>
                <w:sz w:val="20"/>
                <w:szCs w:val="20"/>
                <w:lang w:val="sr-Cyrl-CS"/>
              </w:rPr>
            </w:pPr>
            <w:r w:rsidRPr="00092ED7">
              <w:rPr>
                <w:sz w:val="20"/>
                <w:szCs w:val="20"/>
                <w:lang w:val="sr-Cyrl-CS"/>
              </w:rPr>
              <w:t>6,4</w:t>
            </w:r>
          </w:p>
        </w:tc>
      </w:tr>
      <w:tr w:rsidR="00247CBF" w:rsidRPr="00092ED7" w14:paraId="4DD5430F" w14:textId="77777777" w:rsidTr="00247CBF">
        <w:trPr>
          <w:gridBefore w:val="1"/>
          <w:wBefore w:w="8" w:type="pct"/>
          <w:trHeight w:val="255"/>
        </w:trPr>
        <w:tc>
          <w:tcPr>
            <w:tcW w:w="2084" w:type="pct"/>
            <w:tcBorders>
              <w:top w:val="nil"/>
              <w:left w:val="double" w:sz="6" w:space="0" w:color="000000"/>
              <w:bottom w:val="dotted" w:sz="4" w:space="0" w:color="auto"/>
              <w:right w:val="dotted" w:sz="4" w:space="0" w:color="auto"/>
            </w:tcBorders>
            <w:shd w:val="clear" w:color="000000" w:fill="FFFFFF"/>
            <w:vAlign w:val="center"/>
            <w:hideMark/>
          </w:tcPr>
          <w:p w14:paraId="36580ED0"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5. Заштита животне средине</w:t>
            </w:r>
          </w:p>
        </w:tc>
        <w:tc>
          <w:tcPr>
            <w:tcW w:w="486" w:type="pct"/>
            <w:tcBorders>
              <w:top w:val="nil"/>
              <w:left w:val="nil"/>
              <w:bottom w:val="dotted" w:sz="4" w:space="0" w:color="auto"/>
              <w:right w:val="single" w:sz="8" w:space="0" w:color="auto"/>
            </w:tcBorders>
            <w:shd w:val="clear" w:color="000000" w:fill="FFFFFF"/>
            <w:vAlign w:val="center"/>
            <w:hideMark/>
          </w:tcPr>
          <w:p w14:paraId="6B3D0F09"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5</w:t>
            </w:r>
          </w:p>
        </w:tc>
        <w:tc>
          <w:tcPr>
            <w:tcW w:w="484" w:type="pct"/>
            <w:gridSpan w:val="2"/>
            <w:tcBorders>
              <w:top w:val="nil"/>
              <w:left w:val="nil"/>
              <w:bottom w:val="dotted" w:sz="4" w:space="0" w:color="auto"/>
              <w:right w:val="dotted" w:sz="4" w:space="0" w:color="auto"/>
            </w:tcBorders>
            <w:shd w:val="clear" w:color="000000" w:fill="FFFFFF"/>
            <w:vAlign w:val="center"/>
            <w:hideMark/>
          </w:tcPr>
          <w:p w14:paraId="2076C56E" w14:textId="77777777" w:rsidR="00247CBF" w:rsidRPr="00092ED7" w:rsidRDefault="00247CBF" w:rsidP="00247CBF">
            <w:pPr>
              <w:spacing w:after="0"/>
              <w:jc w:val="center"/>
              <w:rPr>
                <w:sz w:val="20"/>
                <w:szCs w:val="20"/>
                <w:lang w:val="sr-Cyrl-CS"/>
              </w:rPr>
            </w:pPr>
            <w:r w:rsidRPr="00092ED7">
              <w:rPr>
                <w:sz w:val="20"/>
                <w:szCs w:val="20"/>
                <w:lang w:val="sr-Cyrl-CS"/>
              </w:rPr>
              <w:t>0,5</w:t>
            </w:r>
          </w:p>
        </w:tc>
        <w:tc>
          <w:tcPr>
            <w:tcW w:w="484" w:type="pct"/>
            <w:gridSpan w:val="2"/>
            <w:tcBorders>
              <w:top w:val="nil"/>
              <w:left w:val="nil"/>
              <w:bottom w:val="dotted" w:sz="4" w:space="0" w:color="auto"/>
              <w:right w:val="dotted" w:sz="4" w:space="0" w:color="auto"/>
            </w:tcBorders>
            <w:shd w:val="clear" w:color="000000" w:fill="FFFFFF"/>
            <w:vAlign w:val="center"/>
            <w:hideMark/>
          </w:tcPr>
          <w:p w14:paraId="0780DBDD" w14:textId="77777777" w:rsidR="00247CBF" w:rsidRPr="00092ED7" w:rsidRDefault="00247CBF" w:rsidP="00247CBF">
            <w:pPr>
              <w:spacing w:after="0"/>
              <w:jc w:val="center"/>
              <w:rPr>
                <w:sz w:val="20"/>
                <w:szCs w:val="20"/>
                <w:lang w:val="sr-Cyrl-CS"/>
              </w:rPr>
            </w:pPr>
            <w:r w:rsidRPr="00092ED7">
              <w:rPr>
                <w:sz w:val="20"/>
                <w:szCs w:val="20"/>
                <w:lang w:val="sr-Cyrl-CS"/>
              </w:rPr>
              <w:t>0,4</w:t>
            </w:r>
          </w:p>
        </w:tc>
        <w:tc>
          <w:tcPr>
            <w:tcW w:w="485" w:type="pct"/>
            <w:gridSpan w:val="2"/>
            <w:tcBorders>
              <w:top w:val="nil"/>
              <w:left w:val="nil"/>
              <w:bottom w:val="dotted" w:sz="4" w:space="0" w:color="auto"/>
              <w:right w:val="dotted" w:sz="4" w:space="0" w:color="auto"/>
            </w:tcBorders>
            <w:shd w:val="clear" w:color="000000" w:fill="FFFFFF"/>
            <w:vAlign w:val="center"/>
            <w:hideMark/>
          </w:tcPr>
          <w:p w14:paraId="757F6B06" w14:textId="77777777" w:rsidR="00247CBF" w:rsidRPr="00092ED7" w:rsidRDefault="00247CBF" w:rsidP="00247CBF">
            <w:pPr>
              <w:spacing w:after="0"/>
              <w:jc w:val="center"/>
              <w:rPr>
                <w:sz w:val="20"/>
                <w:szCs w:val="20"/>
                <w:lang w:val="sr-Cyrl-CS"/>
              </w:rPr>
            </w:pPr>
            <w:r w:rsidRPr="00092ED7">
              <w:rPr>
                <w:sz w:val="20"/>
                <w:szCs w:val="20"/>
                <w:lang w:val="sr-Cyrl-CS"/>
              </w:rPr>
              <w:t>0,4</w:t>
            </w:r>
          </w:p>
        </w:tc>
        <w:tc>
          <w:tcPr>
            <w:tcW w:w="484" w:type="pct"/>
            <w:gridSpan w:val="2"/>
            <w:tcBorders>
              <w:top w:val="nil"/>
              <w:left w:val="nil"/>
              <w:bottom w:val="dotted" w:sz="4" w:space="0" w:color="auto"/>
              <w:right w:val="dotted" w:sz="4" w:space="0" w:color="auto"/>
            </w:tcBorders>
            <w:shd w:val="clear" w:color="000000" w:fill="FFFFFF"/>
            <w:vAlign w:val="center"/>
            <w:hideMark/>
          </w:tcPr>
          <w:p w14:paraId="3439B8CC" w14:textId="77777777" w:rsidR="00247CBF" w:rsidRPr="00092ED7" w:rsidRDefault="00247CBF" w:rsidP="00247CBF">
            <w:pPr>
              <w:spacing w:after="0"/>
              <w:jc w:val="center"/>
              <w:rPr>
                <w:sz w:val="20"/>
                <w:szCs w:val="20"/>
                <w:lang w:val="sr-Cyrl-CS"/>
              </w:rPr>
            </w:pPr>
            <w:r w:rsidRPr="00092ED7">
              <w:rPr>
                <w:sz w:val="20"/>
                <w:szCs w:val="20"/>
                <w:lang w:val="sr-Cyrl-CS"/>
              </w:rPr>
              <w:t>0,4</w:t>
            </w:r>
          </w:p>
        </w:tc>
        <w:tc>
          <w:tcPr>
            <w:tcW w:w="485" w:type="pct"/>
            <w:tcBorders>
              <w:top w:val="nil"/>
              <w:left w:val="nil"/>
              <w:bottom w:val="dotted" w:sz="4" w:space="0" w:color="auto"/>
              <w:right w:val="double" w:sz="6" w:space="0" w:color="000000"/>
            </w:tcBorders>
            <w:shd w:val="clear" w:color="000000" w:fill="FFFFFF"/>
            <w:vAlign w:val="center"/>
            <w:hideMark/>
          </w:tcPr>
          <w:p w14:paraId="25732814" w14:textId="77777777" w:rsidR="00247CBF" w:rsidRPr="00092ED7" w:rsidRDefault="00247CBF" w:rsidP="00247CBF">
            <w:pPr>
              <w:spacing w:after="0"/>
              <w:jc w:val="center"/>
              <w:rPr>
                <w:sz w:val="20"/>
                <w:szCs w:val="20"/>
                <w:lang w:val="sr-Cyrl-CS"/>
              </w:rPr>
            </w:pPr>
            <w:r w:rsidRPr="00092ED7">
              <w:rPr>
                <w:sz w:val="20"/>
                <w:szCs w:val="20"/>
                <w:lang w:val="sr-Cyrl-CS"/>
              </w:rPr>
              <w:t>0,4</w:t>
            </w:r>
          </w:p>
        </w:tc>
      </w:tr>
      <w:tr w:rsidR="00247CBF" w:rsidRPr="00092ED7" w14:paraId="490AA97A" w14:textId="77777777" w:rsidTr="00247CBF">
        <w:trPr>
          <w:gridBefore w:val="1"/>
          <w:wBefore w:w="8" w:type="pct"/>
          <w:trHeight w:val="255"/>
        </w:trPr>
        <w:tc>
          <w:tcPr>
            <w:tcW w:w="2084" w:type="pct"/>
            <w:tcBorders>
              <w:top w:val="nil"/>
              <w:left w:val="double" w:sz="6" w:space="0" w:color="000000"/>
              <w:bottom w:val="dotted" w:sz="4" w:space="0" w:color="auto"/>
              <w:right w:val="dotted" w:sz="4" w:space="0" w:color="auto"/>
            </w:tcBorders>
            <w:shd w:val="clear" w:color="000000" w:fill="FFFFFF"/>
            <w:vAlign w:val="center"/>
            <w:hideMark/>
          </w:tcPr>
          <w:p w14:paraId="097A6E58"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6. Послови становања и заједнице</w:t>
            </w:r>
          </w:p>
        </w:tc>
        <w:tc>
          <w:tcPr>
            <w:tcW w:w="486" w:type="pct"/>
            <w:tcBorders>
              <w:top w:val="nil"/>
              <w:left w:val="nil"/>
              <w:bottom w:val="dotted" w:sz="4" w:space="0" w:color="auto"/>
              <w:right w:val="single" w:sz="8" w:space="0" w:color="auto"/>
            </w:tcBorders>
            <w:shd w:val="clear" w:color="000000" w:fill="FFFFFF"/>
            <w:vAlign w:val="center"/>
            <w:hideMark/>
          </w:tcPr>
          <w:p w14:paraId="38E7DBEB"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6</w:t>
            </w:r>
          </w:p>
        </w:tc>
        <w:tc>
          <w:tcPr>
            <w:tcW w:w="484" w:type="pct"/>
            <w:gridSpan w:val="2"/>
            <w:tcBorders>
              <w:top w:val="nil"/>
              <w:left w:val="nil"/>
              <w:bottom w:val="dotted" w:sz="4" w:space="0" w:color="auto"/>
              <w:right w:val="dotted" w:sz="4" w:space="0" w:color="auto"/>
            </w:tcBorders>
            <w:shd w:val="clear" w:color="000000" w:fill="FFFFFF"/>
            <w:vAlign w:val="center"/>
            <w:hideMark/>
          </w:tcPr>
          <w:p w14:paraId="31EC97D2" w14:textId="77777777" w:rsidR="00247CBF" w:rsidRPr="00092ED7" w:rsidRDefault="00247CBF" w:rsidP="00247CBF">
            <w:pPr>
              <w:spacing w:after="0"/>
              <w:jc w:val="center"/>
              <w:rPr>
                <w:sz w:val="20"/>
                <w:szCs w:val="20"/>
                <w:lang w:val="sr-Cyrl-CS"/>
              </w:rPr>
            </w:pPr>
            <w:r w:rsidRPr="00092ED7">
              <w:rPr>
                <w:sz w:val="20"/>
                <w:szCs w:val="20"/>
                <w:lang w:val="sr-Cyrl-CS"/>
              </w:rPr>
              <w:t>0,9</w:t>
            </w:r>
          </w:p>
        </w:tc>
        <w:tc>
          <w:tcPr>
            <w:tcW w:w="484" w:type="pct"/>
            <w:gridSpan w:val="2"/>
            <w:tcBorders>
              <w:top w:val="nil"/>
              <w:left w:val="nil"/>
              <w:bottom w:val="dotted" w:sz="4" w:space="0" w:color="auto"/>
              <w:right w:val="dotted" w:sz="4" w:space="0" w:color="auto"/>
            </w:tcBorders>
            <w:shd w:val="clear" w:color="000000" w:fill="FFFFFF"/>
            <w:vAlign w:val="center"/>
            <w:hideMark/>
          </w:tcPr>
          <w:p w14:paraId="5C8917C6" w14:textId="77777777" w:rsidR="00247CBF" w:rsidRPr="00092ED7" w:rsidRDefault="00247CBF" w:rsidP="00247CBF">
            <w:pPr>
              <w:spacing w:after="0"/>
              <w:jc w:val="center"/>
              <w:rPr>
                <w:sz w:val="20"/>
                <w:szCs w:val="20"/>
                <w:lang w:val="sr-Cyrl-CS"/>
              </w:rPr>
            </w:pPr>
            <w:r w:rsidRPr="00092ED7">
              <w:rPr>
                <w:sz w:val="20"/>
                <w:szCs w:val="20"/>
                <w:lang w:val="sr-Cyrl-CS"/>
              </w:rPr>
              <w:t>1,4</w:t>
            </w:r>
          </w:p>
        </w:tc>
        <w:tc>
          <w:tcPr>
            <w:tcW w:w="485" w:type="pct"/>
            <w:gridSpan w:val="2"/>
            <w:tcBorders>
              <w:top w:val="nil"/>
              <w:left w:val="nil"/>
              <w:bottom w:val="dotted" w:sz="4" w:space="0" w:color="auto"/>
              <w:right w:val="dotted" w:sz="4" w:space="0" w:color="auto"/>
            </w:tcBorders>
            <w:shd w:val="clear" w:color="000000" w:fill="FFFFFF"/>
            <w:vAlign w:val="center"/>
            <w:hideMark/>
          </w:tcPr>
          <w:p w14:paraId="1261E185" w14:textId="77777777" w:rsidR="00247CBF" w:rsidRPr="00092ED7" w:rsidRDefault="00247CBF" w:rsidP="00247CBF">
            <w:pPr>
              <w:spacing w:after="0"/>
              <w:jc w:val="center"/>
              <w:rPr>
                <w:sz w:val="20"/>
                <w:szCs w:val="20"/>
                <w:lang w:val="sr-Cyrl-CS"/>
              </w:rPr>
            </w:pPr>
            <w:r w:rsidRPr="00092ED7">
              <w:rPr>
                <w:sz w:val="20"/>
                <w:szCs w:val="20"/>
                <w:lang w:val="sr-Cyrl-CS"/>
              </w:rPr>
              <w:t>1,4</w:t>
            </w:r>
          </w:p>
        </w:tc>
        <w:tc>
          <w:tcPr>
            <w:tcW w:w="484" w:type="pct"/>
            <w:gridSpan w:val="2"/>
            <w:tcBorders>
              <w:top w:val="nil"/>
              <w:left w:val="nil"/>
              <w:bottom w:val="dotted" w:sz="4" w:space="0" w:color="auto"/>
              <w:right w:val="dotted" w:sz="4" w:space="0" w:color="auto"/>
            </w:tcBorders>
            <w:shd w:val="clear" w:color="000000" w:fill="FFFFFF"/>
            <w:vAlign w:val="center"/>
            <w:hideMark/>
          </w:tcPr>
          <w:p w14:paraId="501575F2" w14:textId="77777777" w:rsidR="00247CBF" w:rsidRPr="00092ED7" w:rsidRDefault="00247CBF" w:rsidP="00247CBF">
            <w:pPr>
              <w:spacing w:after="0"/>
              <w:jc w:val="center"/>
              <w:rPr>
                <w:sz w:val="20"/>
                <w:szCs w:val="20"/>
                <w:lang w:val="sr-Cyrl-CS"/>
              </w:rPr>
            </w:pPr>
            <w:r w:rsidRPr="00092ED7">
              <w:rPr>
                <w:sz w:val="20"/>
                <w:szCs w:val="20"/>
                <w:lang w:val="sr-Cyrl-CS"/>
              </w:rPr>
              <w:t>1,4</w:t>
            </w:r>
          </w:p>
        </w:tc>
        <w:tc>
          <w:tcPr>
            <w:tcW w:w="485" w:type="pct"/>
            <w:tcBorders>
              <w:top w:val="nil"/>
              <w:left w:val="nil"/>
              <w:bottom w:val="dotted" w:sz="4" w:space="0" w:color="auto"/>
              <w:right w:val="double" w:sz="6" w:space="0" w:color="000000"/>
            </w:tcBorders>
            <w:shd w:val="clear" w:color="000000" w:fill="FFFFFF"/>
            <w:vAlign w:val="center"/>
            <w:hideMark/>
          </w:tcPr>
          <w:p w14:paraId="625A9B74" w14:textId="77777777" w:rsidR="00247CBF" w:rsidRPr="00092ED7" w:rsidRDefault="00247CBF" w:rsidP="00247CBF">
            <w:pPr>
              <w:spacing w:after="0"/>
              <w:jc w:val="center"/>
              <w:rPr>
                <w:sz w:val="20"/>
                <w:szCs w:val="20"/>
                <w:lang w:val="sr-Cyrl-CS"/>
              </w:rPr>
            </w:pPr>
            <w:r w:rsidRPr="00092ED7">
              <w:rPr>
                <w:sz w:val="20"/>
                <w:szCs w:val="20"/>
                <w:lang w:val="sr-Cyrl-CS"/>
              </w:rPr>
              <w:t>1,4</w:t>
            </w:r>
          </w:p>
        </w:tc>
      </w:tr>
      <w:tr w:rsidR="00247CBF" w:rsidRPr="00092ED7" w14:paraId="232AB5E4" w14:textId="77777777" w:rsidTr="00247CBF">
        <w:trPr>
          <w:gridBefore w:val="1"/>
          <w:wBefore w:w="8" w:type="pct"/>
          <w:trHeight w:val="255"/>
        </w:trPr>
        <w:tc>
          <w:tcPr>
            <w:tcW w:w="2084" w:type="pct"/>
            <w:tcBorders>
              <w:top w:val="nil"/>
              <w:left w:val="double" w:sz="6" w:space="0" w:color="000000"/>
              <w:bottom w:val="dotted" w:sz="4" w:space="0" w:color="auto"/>
              <w:right w:val="dotted" w:sz="4" w:space="0" w:color="auto"/>
            </w:tcBorders>
            <w:shd w:val="clear" w:color="000000" w:fill="FFFFFF"/>
            <w:vAlign w:val="center"/>
            <w:hideMark/>
          </w:tcPr>
          <w:p w14:paraId="39147C38"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7. Здравство</w:t>
            </w:r>
          </w:p>
        </w:tc>
        <w:tc>
          <w:tcPr>
            <w:tcW w:w="486" w:type="pct"/>
            <w:tcBorders>
              <w:top w:val="nil"/>
              <w:left w:val="nil"/>
              <w:bottom w:val="dotted" w:sz="4" w:space="0" w:color="auto"/>
              <w:right w:val="single" w:sz="8" w:space="0" w:color="auto"/>
            </w:tcBorders>
            <w:shd w:val="clear" w:color="000000" w:fill="FFFFFF"/>
            <w:vAlign w:val="center"/>
            <w:hideMark/>
          </w:tcPr>
          <w:p w14:paraId="61EE5472"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7</w:t>
            </w:r>
          </w:p>
        </w:tc>
        <w:tc>
          <w:tcPr>
            <w:tcW w:w="484" w:type="pct"/>
            <w:gridSpan w:val="2"/>
            <w:tcBorders>
              <w:top w:val="nil"/>
              <w:left w:val="nil"/>
              <w:bottom w:val="dotted" w:sz="4" w:space="0" w:color="auto"/>
              <w:right w:val="dotted" w:sz="4" w:space="0" w:color="auto"/>
            </w:tcBorders>
            <w:shd w:val="clear" w:color="000000" w:fill="FFFFFF"/>
            <w:vAlign w:val="center"/>
            <w:hideMark/>
          </w:tcPr>
          <w:p w14:paraId="0F2A8D08" w14:textId="77777777" w:rsidR="00247CBF" w:rsidRPr="00092ED7" w:rsidRDefault="00247CBF" w:rsidP="00247CBF">
            <w:pPr>
              <w:spacing w:after="0"/>
              <w:jc w:val="center"/>
              <w:rPr>
                <w:sz w:val="20"/>
                <w:szCs w:val="20"/>
                <w:lang w:val="sr-Cyrl-CS"/>
              </w:rPr>
            </w:pPr>
            <w:r w:rsidRPr="00092ED7">
              <w:rPr>
                <w:sz w:val="20"/>
                <w:szCs w:val="20"/>
                <w:lang w:val="sr-Cyrl-CS"/>
              </w:rPr>
              <w:t>7,0</w:t>
            </w:r>
          </w:p>
        </w:tc>
        <w:tc>
          <w:tcPr>
            <w:tcW w:w="484" w:type="pct"/>
            <w:gridSpan w:val="2"/>
            <w:tcBorders>
              <w:top w:val="nil"/>
              <w:left w:val="nil"/>
              <w:bottom w:val="dotted" w:sz="4" w:space="0" w:color="auto"/>
              <w:right w:val="dotted" w:sz="4" w:space="0" w:color="auto"/>
            </w:tcBorders>
            <w:shd w:val="clear" w:color="000000" w:fill="FFFFFF"/>
            <w:vAlign w:val="center"/>
            <w:hideMark/>
          </w:tcPr>
          <w:p w14:paraId="6E7129CB" w14:textId="77777777" w:rsidR="00247CBF" w:rsidRPr="00092ED7" w:rsidRDefault="00247CBF" w:rsidP="00247CBF">
            <w:pPr>
              <w:spacing w:after="0"/>
              <w:jc w:val="center"/>
              <w:rPr>
                <w:sz w:val="20"/>
                <w:szCs w:val="20"/>
                <w:lang w:val="sr-Cyrl-CS"/>
              </w:rPr>
            </w:pPr>
            <w:r w:rsidRPr="00092ED7">
              <w:rPr>
                <w:sz w:val="20"/>
                <w:szCs w:val="20"/>
                <w:lang w:val="sr-Cyrl-CS"/>
              </w:rPr>
              <w:t>6,6</w:t>
            </w:r>
          </w:p>
        </w:tc>
        <w:tc>
          <w:tcPr>
            <w:tcW w:w="485" w:type="pct"/>
            <w:gridSpan w:val="2"/>
            <w:tcBorders>
              <w:top w:val="nil"/>
              <w:left w:val="nil"/>
              <w:bottom w:val="dotted" w:sz="4" w:space="0" w:color="auto"/>
              <w:right w:val="dotted" w:sz="4" w:space="0" w:color="auto"/>
            </w:tcBorders>
            <w:shd w:val="clear" w:color="000000" w:fill="FFFFFF"/>
            <w:vAlign w:val="center"/>
            <w:hideMark/>
          </w:tcPr>
          <w:p w14:paraId="065D524D" w14:textId="77777777" w:rsidR="00247CBF" w:rsidRPr="00092ED7" w:rsidRDefault="00247CBF" w:rsidP="00247CBF">
            <w:pPr>
              <w:spacing w:after="0"/>
              <w:jc w:val="center"/>
              <w:rPr>
                <w:sz w:val="20"/>
                <w:szCs w:val="20"/>
                <w:lang w:val="sr-Cyrl-CS"/>
              </w:rPr>
            </w:pPr>
            <w:r w:rsidRPr="00092ED7">
              <w:rPr>
                <w:sz w:val="20"/>
                <w:szCs w:val="20"/>
                <w:lang w:val="sr-Cyrl-CS"/>
              </w:rPr>
              <w:t>6,1</w:t>
            </w:r>
          </w:p>
        </w:tc>
        <w:tc>
          <w:tcPr>
            <w:tcW w:w="484" w:type="pct"/>
            <w:gridSpan w:val="2"/>
            <w:tcBorders>
              <w:top w:val="nil"/>
              <w:left w:val="nil"/>
              <w:bottom w:val="dotted" w:sz="4" w:space="0" w:color="auto"/>
              <w:right w:val="dotted" w:sz="4" w:space="0" w:color="auto"/>
            </w:tcBorders>
            <w:shd w:val="clear" w:color="000000" w:fill="FFFFFF"/>
            <w:vAlign w:val="center"/>
            <w:hideMark/>
          </w:tcPr>
          <w:p w14:paraId="452B09B2" w14:textId="77777777" w:rsidR="00247CBF" w:rsidRPr="00092ED7" w:rsidRDefault="00247CBF" w:rsidP="00247CBF">
            <w:pPr>
              <w:spacing w:after="0"/>
              <w:jc w:val="center"/>
              <w:rPr>
                <w:sz w:val="20"/>
                <w:szCs w:val="20"/>
                <w:lang w:val="sr-Cyrl-CS"/>
              </w:rPr>
            </w:pPr>
            <w:r w:rsidRPr="00092ED7">
              <w:rPr>
                <w:sz w:val="20"/>
                <w:szCs w:val="20"/>
                <w:lang w:val="sr-Cyrl-CS"/>
              </w:rPr>
              <w:t>6,1</w:t>
            </w:r>
          </w:p>
        </w:tc>
        <w:tc>
          <w:tcPr>
            <w:tcW w:w="485" w:type="pct"/>
            <w:tcBorders>
              <w:top w:val="nil"/>
              <w:left w:val="nil"/>
              <w:bottom w:val="dotted" w:sz="4" w:space="0" w:color="auto"/>
              <w:right w:val="double" w:sz="6" w:space="0" w:color="000000"/>
            </w:tcBorders>
            <w:shd w:val="clear" w:color="000000" w:fill="FFFFFF"/>
            <w:vAlign w:val="center"/>
            <w:hideMark/>
          </w:tcPr>
          <w:p w14:paraId="1F1FD492" w14:textId="77777777" w:rsidR="00247CBF" w:rsidRPr="00092ED7" w:rsidRDefault="00247CBF" w:rsidP="00247CBF">
            <w:pPr>
              <w:spacing w:after="0"/>
              <w:jc w:val="center"/>
              <w:rPr>
                <w:sz w:val="20"/>
                <w:szCs w:val="20"/>
                <w:lang w:val="sr-Cyrl-CS"/>
              </w:rPr>
            </w:pPr>
            <w:r w:rsidRPr="00092ED7">
              <w:rPr>
                <w:sz w:val="20"/>
                <w:szCs w:val="20"/>
                <w:lang w:val="sr-Cyrl-CS"/>
              </w:rPr>
              <w:t>6,1</w:t>
            </w:r>
          </w:p>
        </w:tc>
      </w:tr>
      <w:tr w:rsidR="00247CBF" w:rsidRPr="00092ED7" w14:paraId="4CA7F030" w14:textId="77777777" w:rsidTr="00247CBF">
        <w:trPr>
          <w:gridBefore w:val="1"/>
          <w:wBefore w:w="8" w:type="pct"/>
          <w:trHeight w:val="255"/>
        </w:trPr>
        <w:tc>
          <w:tcPr>
            <w:tcW w:w="2084" w:type="pct"/>
            <w:tcBorders>
              <w:top w:val="nil"/>
              <w:left w:val="double" w:sz="6" w:space="0" w:color="000000"/>
              <w:bottom w:val="dotted" w:sz="4" w:space="0" w:color="auto"/>
              <w:right w:val="dotted" w:sz="4" w:space="0" w:color="auto"/>
            </w:tcBorders>
            <w:shd w:val="clear" w:color="000000" w:fill="FFFFFF"/>
            <w:vAlign w:val="center"/>
            <w:hideMark/>
          </w:tcPr>
          <w:p w14:paraId="38909EEE"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8. Рекреација, култура и религија</w:t>
            </w:r>
          </w:p>
        </w:tc>
        <w:tc>
          <w:tcPr>
            <w:tcW w:w="486" w:type="pct"/>
            <w:tcBorders>
              <w:top w:val="nil"/>
              <w:left w:val="nil"/>
              <w:bottom w:val="dotted" w:sz="4" w:space="0" w:color="auto"/>
              <w:right w:val="single" w:sz="8" w:space="0" w:color="auto"/>
            </w:tcBorders>
            <w:shd w:val="clear" w:color="000000" w:fill="FFFFFF"/>
            <w:vAlign w:val="center"/>
            <w:hideMark/>
          </w:tcPr>
          <w:p w14:paraId="1F2DE5A8"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8</w:t>
            </w:r>
          </w:p>
        </w:tc>
        <w:tc>
          <w:tcPr>
            <w:tcW w:w="484" w:type="pct"/>
            <w:gridSpan w:val="2"/>
            <w:tcBorders>
              <w:top w:val="nil"/>
              <w:left w:val="nil"/>
              <w:bottom w:val="dotted" w:sz="4" w:space="0" w:color="auto"/>
              <w:right w:val="dotted" w:sz="4" w:space="0" w:color="auto"/>
            </w:tcBorders>
            <w:shd w:val="clear" w:color="000000" w:fill="FFFFFF"/>
            <w:vAlign w:val="center"/>
            <w:hideMark/>
          </w:tcPr>
          <w:p w14:paraId="3ED025AA" w14:textId="77777777" w:rsidR="00247CBF" w:rsidRPr="00092ED7" w:rsidRDefault="00247CBF" w:rsidP="00247CBF">
            <w:pPr>
              <w:spacing w:after="0"/>
              <w:jc w:val="center"/>
              <w:rPr>
                <w:sz w:val="20"/>
                <w:szCs w:val="20"/>
                <w:lang w:val="sr-Cyrl-CS"/>
              </w:rPr>
            </w:pPr>
            <w:r w:rsidRPr="00092ED7">
              <w:rPr>
                <w:sz w:val="20"/>
                <w:szCs w:val="20"/>
                <w:lang w:val="sr-Cyrl-CS"/>
              </w:rPr>
              <w:t>1,0</w:t>
            </w:r>
          </w:p>
        </w:tc>
        <w:tc>
          <w:tcPr>
            <w:tcW w:w="484" w:type="pct"/>
            <w:gridSpan w:val="2"/>
            <w:tcBorders>
              <w:top w:val="nil"/>
              <w:left w:val="nil"/>
              <w:bottom w:val="dotted" w:sz="4" w:space="0" w:color="auto"/>
              <w:right w:val="dotted" w:sz="4" w:space="0" w:color="auto"/>
            </w:tcBorders>
            <w:shd w:val="clear" w:color="000000" w:fill="FFFFFF"/>
            <w:vAlign w:val="center"/>
            <w:hideMark/>
          </w:tcPr>
          <w:p w14:paraId="5241B71C" w14:textId="77777777" w:rsidR="00247CBF" w:rsidRPr="00092ED7" w:rsidRDefault="00247CBF" w:rsidP="00247CBF">
            <w:pPr>
              <w:spacing w:after="0"/>
              <w:jc w:val="center"/>
              <w:rPr>
                <w:sz w:val="20"/>
                <w:szCs w:val="20"/>
                <w:lang w:val="sr-Cyrl-CS"/>
              </w:rPr>
            </w:pPr>
            <w:r w:rsidRPr="00092ED7">
              <w:rPr>
                <w:sz w:val="20"/>
                <w:szCs w:val="20"/>
                <w:lang w:val="sr-Cyrl-CS"/>
              </w:rPr>
              <w:t>0,9</w:t>
            </w:r>
          </w:p>
        </w:tc>
        <w:tc>
          <w:tcPr>
            <w:tcW w:w="485" w:type="pct"/>
            <w:gridSpan w:val="2"/>
            <w:tcBorders>
              <w:top w:val="nil"/>
              <w:left w:val="nil"/>
              <w:bottom w:val="dotted" w:sz="4" w:space="0" w:color="auto"/>
              <w:right w:val="dotted" w:sz="4" w:space="0" w:color="auto"/>
            </w:tcBorders>
            <w:shd w:val="clear" w:color="000000" w:fill="FFFFFF"/>
            <w:vAlign w:val="center"/>
            <w:hideMark/>
          </w:tcPr>
          <w:p w14:paraId="3E1A8A88" w14:textId="77777777" w:rsidR="00247CBF" w:rsidRPr="00092ED7" w:rsidRDefault="00247CBF" w:rsidP="00247CBF">
            <w:pPr>
              <w:spacing w:after="0"/>
              <w:jc w:val="center"/>
              <w:rPr>
                <w:sz w:val="20"/>
                <w:szCs w:val="20"/>
                <w:lang w:val="sr-Cyrl-CS"/>
              </w:rPr>
            </w:pPr>
            <w:r w:rsidRPr="00092ED7">
              <w:rPr>
                <w:sz w:val="20"/>
                <w:szCs w:val="20"/>
                <w:lang w:val="sr-Cyrl-CS"/>
              </w:rPr>
              <w:t>0,8</w:t>
            </w:r>
          </w:p>
        </w:tc>
        <w:tc>
          <w:tcPr>
            <w:tcW w:w="484" w:type="pct"/>
            <w:gridSpan w:val="2"/>
            <w:tcBorders>
              <w:top w:val="nil"/>
              <w:left w:val="nil"/>
              <w:bottom w:val="dotted" w:sz="4" w:space="0" w:color="auto"/>
              <w:right w:val="dotted" w:sz="4" w:space="0" w:color="auto"/>
            </w:tcBorders>
            <w:shd w:val="clear" w:color="000000" w:fill="FFFFFF"/>
            <w:vAlign w:val="center"/>
            <w:hideMark/>
          </w:tcPr>
          <w:p w14:paraId="1B4169B0" w14:textId="77777777" w:rsidR="00247CBF" w:rsidRPr="00092ED7" w:rsidRDefault="00247CBF" w:rsidP="00247CBF">
            <w:pPr>
              <w:spacing w:after="0"/>
              <w:jc w:val="center"/>
              <w:rPr>
                <w:sz w:val="20"/>
                <w:szCs w:val="20"/>
                <w:lang w:val="sr-Cyrl-CS"/>
              </w:rPr>
            </w:pPr>
            <w:r w:rsidRPr="00092ED7">
              <w:rPr>
                <w:sz w:val="20"/>
                <w:szCs w:val="20"/>
                <w:lang w:val="sr-Cyrl-CS"/>
              </w:rPr>
              <w:t>0,8</w:t>
            </w:r>
          </w:p>
        </w:tc>
        <w:tc>
          <w:tcPr>
            <w:tcW w:w="485" w:type="pct"/>
            <w:tcBorders>
              <w:top w:val="nil"/>
              <w:left w:val="nil"/>
              <w:bottom w:val="dotted" w:sz="4" w:space="0" w:color="auto"/>
              <w:right w:val="double" w:sz="6" w:space="0" w:color="000000"/>
            </w:tcBorders>
            <w:shd w:val="clear" w:color="000000" w:fill="FFFFFF"/>
            <w:vAlign w:val="center"/>
            <w:hideMark/>
          </w:tcPr>
          <w:p w14:paraId="37803617" w14:textId="77777777" w:rsidR="00247CBF" w:rsidRPr="00092ED7" w:rsidRDefault="00247CBF" w:rsidP="00247CBF">
            <w:pPr>
              <w:spacing w:after="0"/>
              <w:jc w:val="center"/>
              <w:rPr>
                <w:sz w:val="20"/>
                <w:szCs w:val="20"/>
                <w:lang w:val="sr-Cyrl-CS"/>
              </w:rPr>
            </w:pPr>
            <w:r w:rsidRPr="00092ED7">
              <w:rPr>
                <w:sz w:val="20"/>
                <w:szCs w:val="20"/>
                <w:lang w:val="sr-Cyrl-CS"/>
              </w:rPr>
              <w:t>0,8</w:t>
            </w:r>
          </w:p>
        </w:tc>
      </w:tr>
      <w:tr w:rsidR="00247CBF" w:rsidRPr="00092ED7" w14:paraId="6AF55DE5" w14:textId="77777777" w:rsidTr="00247CBF">
        <w:trPr>
          <w:gridBefore w:val="1"/>
          <w:wBefore w:w="8" w:type="pct"/>
          <w:trHeight w:val="255"/>
        </w:trPr>
        <w:tc>
          <w:tcPr>
            <w:tcW w:w="2084" w:type="pct"/>
            <w:tcBorders>
              <w:top w:val="nil"/>
              <w:left w:val="double" w:sz="6" w:space="0" w:color="000000"/>
              <w:bottom w:val="dotted" w:sz="4" w:space="0" w:color="auto"/>
              <w:right w:val="dotted" w:sz="4" w:space="0" w:color="auto"/>
            </w:tcBorders>
            <w:shd w:val="clear" w:color="000000" w:fill="FFFFFF"/>
            <w:vAlign w:val="center"/>
            <w:hideMark/>
          </w:tcPr>
          <w:p w14:paraId="61B6477D"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9. Образовање</w:t>
            </w:r>
          </w:p>
        </w:tc>
        <w:tc>
          <w:tcPr>
            <w:tcW w:w="486" w:type="pct"/>
            <w:tcBorders>
              <w:top w:val="nil"/>
              <w:left w:val="nil"/>
              <w:bottom w:val="dotted" w:sz="4" w:space="0" w:color="auto"/>
              <w:right w:val="single" w:sz="8" w:space="0" w:color="auto"/>
            </w:tcBorders>
            <w:shd w:val="clear" w:color="000000" w:fill="FFFFFF"/>
            <w:vAlign w:val="center"/>
            <w:hideMark/>
          </w:tcPr>
          <w:p w14:paraId="28E16F63"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9</w:t>
            </w:r>
          </w:p>
        </w:tc>
        <w:tc>
          <w:tcPr>
            <w:tcW w:w="484" w:type="pct"/>
            <w:gridSpan w:val="2"/>
            <w:tcBorders>
              <w:top w:val="nil"/>
              <w:left w:val="nil"/>
              <w:bottom w:val="dotted" w:sz="4" w:space="0" w:color="auto"/>
              <w:right w:val="dotted" w:sz="4" w:space="0" w:color="auto"/>
            </w:tcBorders>
            <w:shd w:val="clear" w:color="000000" w:fill="FFFFFF"/>
            <w:vAlign w:val="center"/>
            <w:hideMark/>
          </w:tcPr>
          <w:p w14:paraId="6B7AEECC" w14:textId="77777777" w:rsidR="00247CBF" w:rsidRPr="00092ED7" w:rsidRDefault="00247CBF" w:rsidP="00247CBF">
            <w:pPr>
              <w:spacing w:after="0"/>
              <w:jc w:val="center"/>
              <w:rPr>
                <w:sz w:val="20"/>
                <w:szCs w:val="20"/>
                <w:lang w:val="sr-Cyrl-CS"/>
              </w:rPr>
            </w:pPr>
            <w:r w:rsidRPr="00092ED7">
              <w:rPr>
                <w:sz w:val="20"/>
                <w:szCs w:val="20"/>
                <w:lang w:val="sr-Cyrl-CS"/>
              </w:rPr>
              <w:t>3,9</w:t>
            </w:r>
          </w:p>
        </w:tc>
        <w:tc>
          <w:tcPr>
            <w:tcW w:w="484" w:type="pct"/>
            <w:gridSpan w:val="2"/>
            <w:tcBorders>
              <w:top w:val="nil"/>
              <w:left w:val="nil"/>
              <w:bottom w:val="dotted" w:sz="4" w:space="0" w:color="auto"/>
              <w:right w:val="dotted" w:sz="4" w:space="0" w:color="auto"/>
            </w:tcBorders>
            <w:shd w:val="clear" w:color="000000" w:fill="FFFFFF"/>
            <w:vAlign w:val="center"/>
            <w:hideMark/>
          </w:tcPr>
          <w:p w14:paraId="6627ED09" w14:textId="77777777" w:rsidR="00247CBF" w:rsidRPr="00092ED7" w:rsidRDefault="00247CBF" w:rsidP="00247CBF">
            <w:pPr>
              <w:spacing w:after="0"/>
              <w:jc w:val="center"/>
              <w:rPr>
                <w:sz w:val="20"/>
                <w:szCs w:val="20"/>
                <w:lang w:val="sr-Cyrl-CS"/>
              </w:rPr>
            </w:pPr>
            <w:r w:rsidRPr="00092ED7">
              <w:rPr>
                <w:sz w:val="20"/>
                <w:szCs w:val="20"/>
                <w:lang w:val="sr-Cyrl-CS"/>
              </w:rPr>
              <w:t>3,1</w:t>
            </w:r>
          </w:p>
        </w:tc>
        <w:tc>
          <w:tcPr>
            <w:tcW w:w="485" w:type="pct"/>
            <w:gridSpan w:val="2"/>
            <w:tcBorders>
              <w:top w:val="nil"/>
              <w:left w:val="nil"/>
              <w:bottom w:val="dotted" w:sz="4" w:space="0" w:color="auto"/>
              <w:right w:val="dotted" w:sz="4" w:space="0" w:color="auto"/>
            </w:tcBorders>
            <w:shd w:val="clear" w:color="000000" w:fill="FFFFFF"/>
            <w:vAlign w:val="center"/>
            <w:hideMark/>
          </w:tcPr>
          <w:p w14:paraId="24BD65E3" w14:textId="77777777" w:rsidR="00247CBF" w:rsidRPr="00092ED7" w:rsidRDefault="00247CBF" w:rsidP="00247CBF">
            <w:pPr>
              <w:spacing w:after="0"/>
              <w:jc w:val="center"/>
              <w:rPr>
                <w:sz w:val="20"/>
                <w:szCs w:val="20"/>
                <w:lang w:val="sr-Cyrl-CS"/>
              </w:rPr>
            </w:pPr>
            <w:r w:rsidRPr="00092ED7">
              <w:rPr>
                <w:sz w:val="20"/>
                <w:szCs w:val="20"/>
                <w:lang w:val="sr-Cyrl-CS"/>
              </w:rPr>
              <w:t>3,1</w:t>
            </w:r>
          </w:p>
        </w:tc>
        <w:tc>
          <w:tcPr>
            <w:tcW w:w="484" w:type="pct"/>
            <w:gridSpan w:val="2"/>
            <w:tcBorders>
              <w:top w:val="nil"/>
              <w:left w:val="nil"/>
              <w:bottom w:val="dotted" w:sz="4" w:space="0" w:color="auto"/>
              <w:right w:val="dotted" w:sz="4" w:space="0" w:color="auto"/>
            </w:tcBorders>
            <w:shd w:val="clear" w:color="000000" w:fill="FFFFFF"/>
            <w:vAlign w:val="center"/>
            <w:hideMark/>
          </w:tcPr>
          <w:p w14:paraId="10FA735C" w14:textId="77777777" w:rsidR="00247CBF" w:rsidRPr="00092ED7" w:rsidRDefault="00247CBF" w:rsidP="00247CBF">
            <w:pPr>
              <w:spacing w:after="0"/>
              <w:jc w:val="center"/>
              <w:rPr>
                <w:sz w:val="20"/>
                <w:szCs w:val="20"/>
                <w:lang w:val="sr-Cyrl-CS"/>
              </w:rPr>
            </w:pPr>
            <w:r w:rsidRPr="00092ED7">
              <w:rPr>
                <w:sz w:val="20"/>
                <w:szCs w:val="20"/>
                <w:lang w:val="sr-Cyrl-CS"/>
              </w:rPr>
              <w:t>3,1</w:t>
            </w:r>
          </w:p>
        </w:tc>
        <w:tc>
          <w:tcPr>
            <w:tcW w:w="485" w:type="pct"/>
            <w:tcBorders>
              <w:top w:val="nil"/>
              <w:left w:val="nil"/>
              <w:bottom w:val="dotted" w:sz="4" w:space="0" w:color="auto"/>
              <w:right w:val="double" w:sz="6" w:space="0" w:color="000000"/>
            </w:tcBorders>
            <w:shd w:val="clear" w:color="000000" w:fill="FFFFFF"/>
            <w:vAlign w:val="center"/>
            <w:hideMark/>
          </w:tcPr>
          <w:p w14:paraId="7328453E" w14:textId="77777777" w:rsidR="00247CBF" w:rsidRPr="00092ED7" w:rsidRDefault="00247CBF" w:rsidP="00247CBF">
            <w:pPr>
              <w:spacing w:after="0"/>
              <w:jc w:val="center"/>
              <w:rPr>
                <w:sz w:val="20"/>
                <w:szCs w:val="20"/>
                <w:lang w:val="sr-Cyrl-CS"/>
              </w:rPr>
            </w:pPr>
            <w:r w:rsidRPr="00092ED7">
              <w:rPr>
                <w:sz w:val="20"/>
                <w:szCs w:val="20"/>
                <w:lang w:val="sr-Cyrl-CS"/>
              </w:rPr>
              <w:t>3,1</w:t>
            </w:r>
          </w:p>
        </w:tc>
      </w:tr>
      <w:tr w:rsidR="00247CBF" w:rsidRPr="00092ED7" w14:paraId="5F032CB1" w14:textId="77777777" w:rsidTr="00247CBF">
        <w:trPr>
          <w:gridBefore w:val="1"/>
          <w:wBefore w:w="8" w:type="pct"/>
          <w:trHeight w:val="255"/>
        </w:trPr>
        <w:tc>
          <w:tcPr>
            <w:tcW w:w="2084" w:type="pct"/>
            <w:tcBorders>
              <w:top w:val="nil"/>
              <w:left w:val="double" w:sz="6" w:space="0" w:color="000000"/>
              <w:bottom w:val="dotted" w:sz="4" w:space="0" w:color="auto"/>
              <w:right w:val="dotted" w:sz="4" w:space="0" w:color="auto"/>
            </w:tcBorders>
            <w:shd w:val="clear" w:color="000000" w:fill="FFFFFF"/>
            <w:vAlign w:val="center"/>
            <w:hideMark/>
          </w:tcPr>
          <w:p w14:paraId="62201C7D"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10. Социјална заштита</w:t>
            </w:r>
          </w:p>
        </w:tc>
        <w:tc>
          <w:tcPr>
            <w:tcW w:w="486" w:type="pct"/>
            <w:tcBorders>
              <w:top w:val="nil"/>
              <w:left w:val="nil"/>
              <w:bottom w:val="dotted" w:sz="4" w:space="0" w:color="auto"/>
              <w:right w:val="single" w:sz="8" w:space="0" w:color="auto"/>
            </w:tcBorders>
            <w:shd w:val="clear" w:color="000000" w:fill="FFFFFF"/>
            <w:vAlign w:val="center"/>
            <w:hideMark/>
          </w:tcPr>
          <w:p w14:paraId="04F1E2D2"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10</w:t>
            </w:r>
          </w:p>
        </w:tc>
        <w:tc>
          <w:tcPr>
            <w:tcW w:w="484" w:type="pct"/>
            <w:gridSpan w:val="2"/>
            <w:tcBorders>
              <w:top w:val="nil"/>
              <w:left w:val="nil"/>
              <w:bottom w:val="dotted" w:sz="4" w:space="0" w:color="auto"/>
              <w:right w:val="dotted" w:sz="4" w:space="0" w:color="auto"/>
            </w:tcBorders>
            <w:shd w:val="clear" w:color="000000" w:fill="FFFFFF"/>
            <w:vAlign w:val="center"/>
            <w:hideMark/>
          </w:tcPr>
          <w:p w14:paraId="4E974BFC" w14:textId="77777777" w:rsidR="00247CBF" w:rsidRPr="00092ED7" w:rsidRDefault="00247CBF" w:rsidP="00247CBF">
            <w:pPr>
              <w:spacing w:after="0"/>
              <w:jc w:val="center"/>
              <w:rPr>
                <w:sz w:val="20"/>
                <w:szCs w:val="20"/>
                <w:lang w:val="sr-Cyrl-CS"/>
              </w:rPr>
            </w:pPr>
            <w:r w:rsidRPr="00092ED7">
              <w:rPr>
                <w:sz w:val="20"/>
                <w:szCs w:val="20"/>
                <w:lang w:val="sr-Cyrl-CS"/>
              </w:rPr>
              <w:t>13,3</w:t>
            </w:r>
          </w:p>
        </w:tc>
        <w:tc>
          <w:tcPr>
            <w:tcW w:w="484" w:type="pct"/>
            <w:gridSpan w:val="2"/>
            <w:tcBorders>
              <w:top w:val="nil"/>
              <w:left w:val="nil"/>
              <w:bottom w:val="dotted" w:sz="4" w:space="0" w:color="auto"/>
              <w:right w:val="dotted" w:sz="4" w:space="0" w:color="auto"/>
            </w:tcBorders>
            <w:shd w:val="clear" w:color="000000" w:fill="FFFFFF"/>
            <w:vAlign w:val="center"/>
            <w:hideMark/>
          </w:tcPr>
          <w:p w14:paraId="1D4AD725" w14:textId="77777777" w:rsidR="00247CBF" w:rsidRPr="00092ED7" w:rsidRDefault="00247CBF" w:rsidP="00247CBF">
            <w:pPr>
              <w:spacing w:after="0"/>
              <w:jc w:val="center"/>
              <w:rPr>
                <w:sz w:val="20"/>
                <w:szCs w:val="20"/>
                <w:lang w:val="sr-Cyrl-CS"/>
              </w:rPr>
            </w:pPr>
            <w:r w:rsidRPr="00092ED7">
              <w:rPr>
                <w:sz w:val="20"/>
                <w:szCs w:val="20"/>
                <w:lang w:val="sr-Cyrl-CS"/>
              </w:rPr>
              <w:t>13,3</w:t>
            </w:r>
          </w:p>
        </w:tc>
        <w:tc>
          <w:tcPr>
            <w:tcW w:w="485" w:type="pct"/>
            <w:gridSpan w:val="2"/>
            <w:tcBorders>
              <w:top w:val="nil"/>
              <w:left w:val="nil"/>
              <w:bottom w:val="dotted" w:sz="4" w:space="0" w:color="auto"/>
              <w:right w:val="dotted" w:sz="4" w:space="0" w:color="auto"/>
            </w:tcBorders>
            <w:shd w:val="clear" w:color="000000" w:fill="FFFFFF"/>
            <w:vAlign w:val="center"/>
            <w:hideMark/>
          </w:tcPr>
          <w:p w14:paraId="5B2C5CB0" w14:textId="77777777" w:rsidR="00247CBF" w:rsidRPr="00092ED7" w:rsidRDefault="00247CBF" w:rsidP="00247CBF">
            <w:pPr>
              <w:spacing w:after="0"/>
              <w:jc w:val="center"/>
              <w:rPr>
                <w:sz w:val="20"/>
                <w:szCs w:val="20"/>
                <w:lang w:val="sr-Cyrl-CS"/>
              </w:rPr>
            </w:pPr>
            <w:r w:rsidRPr="00092ED7">
              <w:rPr>
                <w:sz w:val="20"/>
                <w:szCs w:val="20"/>
                <w:lang w:val="sr-Cyrl-CS"/>
              </w:rPr>
              <w:t>13,1</w:t>
            </w:r>
          </w:p>
        </w:tc>
        <w:tc>
          <w:tcPr>
            <w:tcW w:w="484" w:type="pct"/>
            <w:gridSpan w:val="2"/>
            <w:tcBorders>
              <w:top w:val="nil"/>
              <w:left w:val="nil"/>
              <w:bottom w:val="dotted" w:sz="4" w:space="0" w:color="auto"/>
              <w:right w:val="dotted" w:sz="4" w:space="0" w:color="auto"/>
            </w:tcBorders>
            <w:shd w:val="clear" w:color="000000" w:fill="FFFFFF"/>
            <w:vAlign w:val="center"/>
            <w:hideMark/>
          </w:tcPr>
          <w:p w14:paraId="4FECB942" w14:textId="77777777" w:rsidR="00247CBF" w:rsidRPr="00092ED7" w:rsidRDefault="00247CBF" w:rsidP="00247CBF">
            <w:pPr>
              <w:spacing w:after="0"/>
              <w:jc w:val="center"/>
              <w:rPr>
                <w:sz w:val="20"/>
                <w:szCs w:val="20"/>
                <w:lang w:val="sr-Cyrl-CS"/>
              </w:rPr>
            </w:pPr>
            <w:r w:rsidRPr="00092ED7">
              <w:rPr>
                <w:sz w:val="20"/>
                <w:szCs w:val="20"/>
                <w:lang w:val="sr-Cyrl-CS"/>
              </w:rPr>
              <w:t>13,3</w:t>
            </w:r>
          </w:p>
        </w:tc>
        <w:tc>
          <w:tcPr>
            <w:tcW w:w="485" w:type="pct"/>
            <w:tcBorders>
              <w:top w:val="nil"/>
              <w:left w:val="nil"/>
              <w:bottom w:val="dotted" w:sz="4" w:space="0" w:color="auto"/>
              <w:right w:val="double" w:sz="6" w:space="0" w:color="000000"/>
            </w:tcBorders>
            <w:shd w:val="clear" w:color="000000" w:fill="FFFFFF"/>
            <w:vAlign w:val="center"/>
            <w:hideMark/>
          </w:tcPr>
          <w:p w14:paraId="478BF357" w14:textId="77777777" w:rsidR="00247CBF" w:rsidRPr="00092ED7" w:rsidRDefault="00247CBF" w:rsidP="00247CBF">
            <w:pPr>
              <w:spacing w:after="0"/>
              <w:jc w:val="center"/>
              <w:rPr>
                <w:sz w:val="20"/>
                <w:szCs w:val="20"/>
                <w:lang w:val="sr-Cyrl-CS"/>
              </w:rPr>
            </w:pPr>
            <w:r w:rsidRPr="00092ED7">
              <w:rPr>
                <w:sz w:val="20"/>
                <w:szCs w:val="20"/>
                <w:lang w:val="sr-Cyrl-CS"/>
              </w:rPr>
              <w:t>13,2</w:t>
            </w:r>
          </w:p>
        </w:tc>
      </w:tr>
      <w:tr w:rsidR="00247CBF" w:rsidRPr="00092ED7" w14:paraId="456073ED" w14:textId="77777777" w:rsidTr="00247CBF">
        <w:trPr>
          <w:gridBefore w:val="1"/>
          <w:wBefore w:w="8" w:type="pct"/>
          <w:trHeight w:val="255"/>
        </w:trPr>
        <w:tc>
          <w:tcPr>
            <w:tcW w:w="2084" w:type="pct"/>
            <w:tcBorders>
              <w:top w:val="nil"/>
              <w:left w:val="double" w:sz="6" w:space="0" w:color="000000"/>
              <w:bottom w:val="double" w:sz="6" w:space="0" w:color="000000"/>
              <w:right w:val="dotted" w:sz="4" w:space="0" w:color="auto"/>
            </w:tcBorders>
            <w:shd w:val="clear" w:color="000000" w:fill="FFFFFF"/>
            <w:vAlign w:val="center"/>
            <w:hideMark/>
          </w:tcPr>
          <w:p w14:paraId="17D66535"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11. Укупни расходи (ставка 7 = 23 у Табели 2)</w:t>
            </w:r>
          </w:p>
        </w:tc>
        <w:tc>
          <w:tcPr>
            <w:tcW w:w="486" w:type="pct"/>
            <w:tcBorders>
              <w:top w:val="nil"/>
              <w:left w:val="nil"/>
              <w:bottom w:val="double" w:sz="6" w:space="0" w:color="000000"/>
              <w:right w:val="single" w:sz="8" w:space="0" w:color="auto"/>
            </w:tcBorders>
            <w:shd w:val="clear" w:color="000000" w:fill="FFFFFF"/>
            <w:vAlign w:val="center"/>
            <w:hideMark/>
          </w:tcPr>
          <w:p w14:paraId="16F5731B"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TE</w:t>
            </w:r>
          </w:p>
        </w:tc>
        <w:tc>
          <w:tcPr>
            <w:tcW w:w="484" w:type="pct"/>
            <w:gridSpan w:val="2"/>
            <w:tcBorders>
              <w:top w:val="nil"/>
              <w:left w:val="nil"/>
              <w:bottom w:val="double" w:sz="6" w:space="0" w:color="000000"/>
              <w:right w:val="dotted" w:sz="4" w:space="0" w:color="auto"/>
            </w:tcBorders>
            <w:shd w:val="clear" w:color="000000" w:fill="FFFFFF"/>
            <w:vAlign w:val="center"/>
            <w:hideMark/>
          </w:tcPr>
          <w:p w14:paraId="614D85E8" w14:textId="77777777" w:rsidR="00247CBF" w:rsidRPr="00092ED7" w:rsidRDefault="00247CBF" w:rsidP="00247CBF">
            <w:pPr>
              <w:spacing w:after="0"/>
              <w:jc w:val="center"/>
              <w:rPr>
                <w:sz w:val="20"/>
                <w:szCs w:val="20"/>
                <w:lang w:val="sr-Cyrl-CS"/>
              </w:rPr>
            </w:pPr>
            <w:r w:rsidRPr="00092ED7">
              <w:rPr>
                <w:sz w:val="20"/>
                <w:szCs w:val="20"/>
                <w:lang w:val="sr-Cyrl-CS"/>
              </w:rPr>
              <w:t>47,4</w:t>
            </w:r>
          </w:p>
        </w:tc>
        <w:tc>
          <w:tcPr>
            <w:tcW w:w="484" w:type="pct"/>
            <w:gridSpan w:val="2"/>
            <w:tcBorders>
              <w:top w:val="nil"/>
              <w:left w:val="nil"/>
              <w:bottom w:val="double" w:sz="6" w:space="0" w:color="000000"/>
              <w:right w:val="dotted" w:sz="4" w:space="0" w:color="auto"/>
            </w:tcBorders>
            <w:shd w:val="clear" w:color="000000" w:fill="FFFFFF"/>
            <w:vAlign w:val="center"/>
            <w:hideMark/>
          </w:tcPr>
          <w:p w14:paraId="761710D6" w14:textId="77777777" w:rsidR="00247CBF" w:rsidRPr="00092ED7" w:rsidRDefault="00247CBF" w:rsidP="00247CBF">
            <w:pPr>
              <w:spacing w:after="0"/>
              <w:jc w:val="center"/>
              <w:rPr>
                <w:sz w:val="20"/>
                <w:szCs w:val="20"/>
                <w:lang w:val="sr-Cyrl-CS"/>
              </w:rPr>
            </w:pPr>
            <w:r w:rsidRPr="00092ED7">
              <w:rPr>
                <w:sz w:val="20"/>
                <w:szCs w:val="20"/>
                <w:lang w:val="sr-Cyrl-CS"/>
              </w:rPr>
              <w:t>46,8</w:t>
            </w:r>
          </w:p>
        </w:tc>
        <w:tc>
          <w:tcPr>
            <w:tcW w:w="485" w:type="pct"/>
            <w:gridSpan w:val="2"/>
            <w:tcBorders>
              <w:top w:val="nil"/>
              <w:left w:val="nil"/>
              <w:bottom w:val="double" w:sz="6" w:space="0" w:color="000000"/>
              <w:right w:val="dotted" w:sz="4" w:space="0" w:color="auto"/>
            </w:tcBorders>
            <w:shd w:val="clear" w:color="000000" w:fill="FFFFFF"/>
            <w:vAlign w:val="center"/>
            <w:hideMark/>
          </w:tcPr>
          <w:p w14:paraId="6DEDCFBC" w14:textId="77777777" w:rsidR="00247CBF" w:rsidRPr="00092ED7" w:rsidRDefault="00247CBF" w:rsidP="00247CBF">
            <w:pPr>
              <w:spacing w:after="0"/>
              <w:jc w:val="center"/>
              <w:rPr>
                <w:sz w:val="20"/>
                <w:szCs w:val="20"/>
                <w:lang w:val="sr-Cyrl-CS"/>
              </w:rPr>
            </w:pPr>
            <w:r w:rsidRPr="00092ED7">
              <w:rPr>
                <w:sz w:val="20"/>
                <w:szCs w:val="20"/>
                <w:lang w:val="sr-Cyrl-CS"/>
              </w:rPr>
              <w:t>44,2</w:t>
            </w:r>
          </w:p>
        </w:tc>
        <w:tc>
          <w:tcPr>
            <w:tcW w:w="484" w:type="pct"/>
            <w:gridSpan w:val="2"/>
            <w:tcBorders>
              <w:top w:val="nil"/>
              <w:left w:val="nil"/>
              <w:bottom w:val="double" w:sz="6" w:space="0" w:color="000000"/>
              <w:right w:val="dotted" w:sz="4" w:space="0" w:color="auto"/>
            </w:tcBorders>
            <w:shd w:val="clear" w:color="000000" w:fill="FFFFFF"/>
            <w:vAlign w:val="center"/>
            <w:hideMark/>
          </w:tcPr>
          <w:p w14:paraId="57475203" w14:textId="77777777" w:rsidR="00247CBF" w:rsidRPr="00092ED7" w:rsidRDefault="00247CBF" w:rsidP="00247CBF">
            <w:pPr>
              <w:spacing w:after="0"/>
              <w:jc w:val="center"/>
              <w:rPr>
                <w:sz w:val="20"/>
                <w:szCs w:val="20"/>
                <w:lang w:val="sr-Cyrl-CS"/>
              </w:rPr>
            </w:pPr>
            <w:r w:rsidRPr="00092ED7">
              <w:rPr>
                <w:sz w:val="20"/>
                <w:szCs w:val="20"/>
                <w:lang w:val="sr-Cyrl-CS"/>
              </w:rPr>
              <w:t>42,5</w:t>
            </w:r>
          </w:p>
        </w:tc>
        <w:tc>
          <w:tcPr>
            <w:tcW w:w="485" w:type="pct"/>
            <w:tcBorders>
              <w:top w:val="nil"/>
              <w:left w:val="nil"/>
              <w:bottom w:val="double" w:sz="6" w:space="0" w:color="000000"/>
              <w:right w:val="double" w:sz="6" w:space="0" w:color="000000"/>
            </w:tcBorders>
            <w:shd w:val="clear" w:color="000000" w:fill="FFFFFF"/>
            <w:vAlign w:val="center"/>
            <w:hideMark/>
          </w:tcPr>
          <w:p w14:paraId="66221A86" w14:textId="77777777" w:rsidR="00247CBF" w:rsidRPr="00092ED7" w:rsidRDefault="00247CBF" w:rsidP="00247CBF">
            <w:pPr>
              <w:spacing w:after="0"/>
              <w:jc w:val="center"/>
              <w:rPr>
                <w:sz w:val="20"/>
                <w:szCs w:val="20"/>
                <w:lang w:val="sr-Cyrl-CS"/>
              </w:rPr>
            </w:pPr>
            <w:r w:rsidRPr="00092ED7">
              <w:rPr>
                <w:sz w:val="20"/>
                <w:szCs w:val="20"/>
                <w:lang w:val="sr-Cyrl-CS"/>
              </w:rPr>
              <w:t>41,0</w:t>
            </w:r>
          </w:p>
        </w:tc>
      </w:tr>
    </w:tbl>
    <w:p w14:paraId="204C1E7F" w14:textId="77777777" w:rsidR="00247CBF" w:rsidRPr="00092ED7" w:rsidRDefault="00247CBF" w:rsidP="00247CBF">
      <w:pPr>
        <w:rPr>
          <w:rFonts w:cs="Times New Roman"/>
          <w:lang w:val="sr-Cyrl-CS"/>
        </w:rPr>
      </w:pPr>
    </w:p>
    <w:p w14:paraId="233AA7FC" w14:textId="77777777" w:rsidR="00247CBF" w:rsidRPr="00092ED7" w:rsidRDefault="00247CBF" w:rsidP="00247CBF">
      <w:pPr>
        <w:rPr>
          <w:rFonts w:cs="Times New Roman"/>
          <w:lang w:val="sr-Cyrl-CS"/>
        </w:rPr>
      </w:pPr>
    </w:p>
    <w:p w14:paraId="1C4B2AB8" w14:textId="77777777" w:rsidR="00247CBF" w:rsidRPr="00092ED7" w:rsidRDefault="00247CBF" w:rsidP="00247CBF">
      <w:pPr>
        <w:rPr>
          <w:rFonts w:cs="Times New Roman"/>
          <w:lang w:val="sr-Cyrl-CS"/>
        </w:rPr>
      </w:pPr>
    </w:p>
    <w:p w14:paraId="0AB282DA" w14:textId="77777777" w:rsidR="00247CBF" w:rsidRPr="00092ED7" w:rsidRDefault="00247CBF" w:rsidP="00247CBF">
      <w:pPr>
        <w:pStyle w:val="Heading3"/>
        <w:rPr>
          <w:rFonts w:ascii="Times New Roman" w:hAnsi="Times New Roman" w:cs="Times New Roman"/>
          <w:b/>
          <w:color w:val="auto"/>
          <w:sz w:val="20"/>
          <w:szCs w:val="20"/>
          <w:lang w:val="sr-Cyrl-CS"/>
        </w:rPr>
      </w:pPr>
      <w:bookmarkStart w:id="100" w:name="_Toc61953863"/>
      <w:bookmarkStart w:id="101" w:name="_Toc93386000"/>
      <w:bookmarkStart w:id="102" w:name="_Toc124174831"/>
      <w:r w:rsidRPr="00092ED7">
        <w:rPr>
          <w:rFonts w:ascii="Times New Roman" w:hAnsi="Times New Roman" w:cs="Times New Roman"/>
          <w:b/>
          <w:color w:val="auto"/>
          <w:sz w:val="20"/>
          <w:szCs w:val="20"/>
          <w:lang w:val="sr-Cyrl-CS"/>
        </w:rPr>
        <w:lastRenderedPageBreak/>
        <w:t>Табела 4: Кретање дуга општег нивоа државе</w:t>
      </w:r>
      <w:bookmarkEnd w:id="100"/>
      <w:bookmarkEnd w:id="101"/>
      <w:bookmarkEnd w:id="102"/>
    </w:p>
    <w:tbl>
      <w:tblPr>
        <w:tblW w:w="14570" w:type="dxa"/>
        <w:tblLayout w:type="fixed"/>
        <w:tblLook w:val="04A0" w:firstRow="1" w:lastRow="0" w:firstColumn="1" w:lastColumn="0" w:noHBand="0" w:noVBand="1"/>
      </w:tblPr>
      <w:tblGrid>
        <w:gridCol w:w="6255"/>
        <w:gridCol w:w="1585"/>
        <w:gridCol w:w="1120"/>
        <w:gridCol w:w="1120"/>
        <w:gridCol w:w="1120"/>
        <w:gridCol w:w="1120"/>
        <w:gridCol w:w="1120"/>
        <w:gridCol w:w="1120"/>
        <w:gridCol w:w="10"/>
      </w:tblGrid>
      <w:tr w:rsidR="00247CBF" w:rsidRPr="00092ED7" w14:paraId="09944603" w14:textId="77777777" w:rsidTr="00247CBF">
        <w:trPr>
          <w:gridAfter w:val="1"/>
          <w:wAfter w:w="10" w:type="dxa"/>
          <w:trHeight w:val="227"/>
        </w:trPr>
        <w:tc>
          <w:tcPr>
            <w:tcW w:w="6255" w:type="dxa"/>
            <w:tcBorders>
              <w:top w:val="double" w:sz="6" w:space="0" w:color="auto"/>
              <w:left w:val="double" w:sz="6" w:space="0" w:color="auto"/>
              <w:bottom w:val="double" w:sz="6" w:space="0" w:color="auto"/>
              <w:right w:val="nil"/>
            </w:tcBorders>
            <w:shd w:val="clear" w:color="auto" w:fill="auto"/>
            <w:noWrap/>
            <w:vAlign w:val="center"/>
            <w:hideMark/>
          </w:tcPr>
          <w:p w14:paraId="7D52ACE6" w14:textId="77777777" w:rsidR="00247CBF" w:rsidRPr="00092ED7" w:rsidRDefault="00247CBF" w:rsidP="00247CBF">
            <w:pPr>
              <w:spacing w:after="0"/>
              <w:jc w:val="left"/>
              <w:rPr>
                <w:rFonts w:eastAsia="Times New Roman" w:cs="Times New Roman"/>
                <w:b/>
                <w:bCs/>
                <w:sz w:val="20"/>
                <w:szCs w:val="20"/>
                <w:lang w:val="sr-Cyrl-CS"/>
              </w:rPr>
            </w:pPr>
          </w:p>
        </w:tc>
        <w:tc>
          <w:tcPr>
            <w:tcW w:w="1585" w:type="dxa"/>
            <w:tcBorders>
              <w:top w:val="double" w:sz="6" w:space="0" w:color="auto"/>
              <w:left w:val="single" w:sz="8" w:space="0" w:color="auto"/>
              <w:bottom w:val="double" w:sz="6" w:space="0" w:color="auto"/>
              <w:right w:val="single" w:sz="8" w:space="0" w:color="auto"/>
            </w:tcBorders>
            <w:shd w:val="clear" w:color="auto" w:fill="auto"/>
            <w:noWrap/>
            <w:vAlign w:val="center"/>
            <w:hideMark/>
          </w:tcPr>
          <w:p w14:paraId="67BFED3C" w14:textId="77777777" w:rsidR="00247CBF" w:rsidRPr="00092ED7" w:rsidRDefault="00247CBF" w:rsidP="00247CBF">
            <w:pPr>
              <w:spacing w:after="0"/>
              <w:jc w:val="center"/>
              <w:rPr>
                <w:sz w:val="20"/>
                <w:szCs w:val="20"/>
                <w:lang w:val="sr-Cyrl-CS"/>
              </w:rPr>
            </w:pPr>
          </w:p>
        </w:tc>
        <w:tc>
          <w:tcPr>
            <w:tcW w:w="1120" w:type="dxa"/>
            <w:tcBorders>
              <w:top w:val="double" w:sz="6" w:space="0" w:color="auto"/>
              <w:left w:val="nil"/>
              <w:bottom w:val="double" w:sz="6" w:space="0" w:color="auto"/>
              <w:right w:val="dashed" w:sz="4" w:space="0" w:color="auto"/>
            </w:tcBorders>
            <w:shd w:val="clear" w:color="auto" w:fill="auto"/>
            <w:noWrap/>
            <w:vAlign w:val="center"/>
            <w:hideMark/>
          </w:tcPr>
          <w:p w14:paraId="48FD1666" w14:textId="77777777" w:rsidR="00247CBF" w:rsidRPr="00092ED7" w:rsidRDefault="00247CBF" w:rsidP="00247CBF">
            <w:pPr>
              <w:spacing w:after="0"/>
              <w:jc w:val="right"/>
              <w:rPr>
                <w:b/>
                <w:bCs/>
                <w:sz w:val="20"/>
                <w:szCs w:val="20"/>
                <w:lang w:val="sr-Cyrl-CS"/>
              </w:rPr>
            </w:pPr>
            <w:r w:rsidRPr="00092ED7">
              <w:rPr>
                <w:b/>
                <w:bCs/>
                <w:sz w:val="20"/>
                <w:szCs w:val="20"/>
                <w:lang w:val="sr-Cyrl-CS"/>
              </w:rPr>
              <w:t>2020</w:t>
            </w:r>
          </w:p>
        </w:tc>
        <w:tc>
          <w:tcPr>
            <w:tcW w:w="1120" w:type="dxa"/>
            <w:tcBorders>
              <w:top w:val="double" w:sz="6" w:space="0" w:color="auto"/>
              <w:left w:val="nil"/>
              <w:bottom w:val="double" w:sz="6" w:space="0" w:color="auto"/>
              <w:right w:val="dashed" w:sz="4" w:space="0" w:color="auto"/>
            </w:tcBorders>
            <w:shd w:val="clear" w:color="auto" w:fill="auto"/>
            <w:noWrap/>
            <w:vAlign w:val="center"/>
            <w:hideMark/>
          </w:tcPr>
          <w:p w14:paraId="30512DB5" w14:textId="77777777" w:rsidR="00247CBF" w:rsidRPr="00092ED7" w:rsidRDefault="00247CBF" w:rsidP="00247CBF">
            <w:pPr>
              <w:spacing w:after="0"/>
              <w:jc w:val="right"/>
              <w:rPr>
                <w:b/>
                <w:bCs/>
                <w:sz w:val="20"/>
                <w:szCs w:val="20"/>
                <w:lang w:val="sr-Cyrl-CS"/>
              </w:rPr>
            </w:pPr>
            <w:r w:rsidRPr="00092ED7">
              <w:rPr>
                <w:b/>
                <w:bCs/>
                <w:sz w:val="20"/>
                <w:szCs w:val="20"/>
                <w:lang w:val="sr-Cyrl-CS"/>
              </w:rPr>
              <w:t>2021</w:t>
            </w:r>
          </w:p>
        </w:tc>
        <w:tc>
          <w:tcPr>
            <w:tcW w:w="1120" w:type="dxa"/>
            <w:tcBorders>
              <w:top w:val="double" w:sz="6" w:space="0" w:color="auto"/>
              <w:left w:val="nil"/>
              <w:bottom w:val="double" w:sz="6" w:space="0" w:color="auto"/>
              <w:right w:val="dashed" w:sz="4" w:space="0" w:color="auto"/>
            </w:tcBorders>
            <w:shd w:val="clear" w:color="auto" w:fill="auto"/>
            <w:noWrap/>
            <w:vAlign w:val="center"/>
            <w:hideMark/>
          </w:tcPr>
          <w:p w14:paraId="35534CC0" w14:textId="77777777" w:rsidR="00247CBF" w:rsidRPr="00092ED7" w:rsidRDefault="00247CBF" w:rsidP="00247CBF">
            <w:pPr>
              <w:spacing w:after="0"/>
              <w:jc w:val="right"/>
              <w:rPr>
                <w:b/>
                <w:bCs/>
                <w:sz w:val="20"/>
                <w:szCs w:val="20"/>
                <w:lang w:val="sr-Cyrl-CS"/>
              </w:rPr>
            </w:pPr>
            <w:r w:rsidRPr="00092ED7">
              <w:rPr>
                <w:b/>
                <w:bCs/>
                <w:sz w:val="20"/>
                <w:szCs w:val="20"/>
                <w:lang w:val="sr-Cyrl-CS"/>
              </w:rPr>
              <w:t>2022</w:t>
            </w:r>
          </w:p>
        </w:tc>
        <w:tc>
          <w:tcPr>
            <w:tcW w:w="1120" w:type="dxa"/>
            <w:tcBorders>
              <w:top w:val="double" w:sz="6" w:space="0" w:color="auto"/>
              <w:left w:val="nil"/>
              <w:bottom w:val="double" w:sz="6" w:space="0" w:color="auto"/>
              <w:right w:val="dashed" w:sz="4" w:space="0" w:color="auto"/>
            </w:tcBorders>
            <w:shd w:val="clear" w:color="auto" w:fill="auto"/>
            <w:noWrap/>
            <w:vAlign w:val="center"/>
            <w:hideMark/>
          </w:tcPr>
          <w:p w14:paraId="57B42CFA" w14:textId="77777777" w:rsidR="00247CBF" w:rsidRPr="00092ED7" w:rsidRDefault="00247CBF" w:rsidP="00247CBF">
            <w:pPr>
              <w:spacing w:after="0"/>
              <w:jc w:val="right"/>
              <w:rPr>
                <w:b/>
                <w:bCs/>
                <w:sz w:val="20"/>
                <w:szCs w:val="20"/>
                <w:lang w:val="sr-Cyrl-CS"/>
              </w:rPr>
            </w:pPr>
            <w:r w:rsidRPr="00092ED7">
              <w:rPr>
                <w:b/>
                <w:bCs/>
                <w:sz w:val="20"/>
                <w:szCs w:val="20"/>
                <w:lang w:val="sr-Cyrl-CS"/>
              </w:rPr>
              <w:t>2023</w:t>
            </w:r>
          </w:p>
        </w:tc>
        <w:tc>
          <w:tcPr>
            <w:tcW w:w="1120" w:type="dxa"/>
            <w:tcBorders>
              <w:top w:val="double" w:sz="6" w:space="0" w:color="auto"/>
              <w:left w:val="nil"/>
              <w:bottom w:val="double" w:sz="6" w:space="0" w:color="auto"/>
              <w:right w:val="dashed" w:sz="4" w:space="0" w:color="auto"/>
            </w:tcBorders>
            <w:shd w:val="clear" w:color="auto" w:fill="auto"/>
            <w:noWrap/>
            <w:vAlign w:val="center"/>
            <w:hideMark/>
          </w:tcPr>
          <w:p w14:paraId="362E5ABF" w14:textId="77777777" w:rsidR="00247CBF" w:rsidRPr="00092ED7" w:rsidRDefault="00247CBF" w:rsidP="00247CBF">
            <w:pPr>
              <w:spacing w:after="0"/>
              <w:jc w:val="right"/>
              <w:rPr>
                <w:b/>
                <w:bCs/>
                <w:sz w:val="20"/>
                <w:szCs w:val="20"/>
                <w:lang w:val="sr-Cyrl-CS"/>
              </w:rPr>
            </w:pPr>
            <w:r w:rsidRPr="00092ED7">
              <w:rPr>
                <w:b/>
                <w:bCs/>
                <w:sz w:val="20"/>
                <w:szCs w:val="20"/>
                <w:lang w:val="sr-Cyrl-CS"/>
              </w:rPr>
              <w:t>2024</w:t>
            </w:r>
          </w:p>
        </w:tc>
        <w:tc>
          <w:tcPr>
            <w:tcW w:w="1120" w:type="dxa"/>
            <w:tcBorders>
              <w:top w:val="double" w:sz="6" w:space="0" w:color="auto"/>
              <w:left w:val="nil"/>
              <w:bottom w:val="double" w:sz="6" w:space="0" w:color="auto"/>
              <w:right w:val="double" w:sz="6" w:space="0" w:color="auto"/>
            </w:tcBorders>
            <w:shd w:val="clear" w:color="auto" w:fill="auto"/>
            <w:noWrap/>
            <w:vAlign w:val="center"/>
            <w:hideMark/>
          </w:tcPr>
          <w:p w14:paraId="2B5C28C1" w14:textId="77777777" w:rsidR="00247CBF" w:rsidRPr="00092ED7" w:rsidRDefault="00247CBF" w:rsidP="00247CBF">
            <w:pPr>
              <w:spacing w:after="0"/>
              <w:jc w:val="right"/>
              <w:rPr>
                <w:b/>
                <w:bCs/>
                <w:sz w:val="20"/>
                <w:szCs w:val="20"/>
                <w:lang w:val="sr-Cyrl-CS"/>
              </w:rPr>
            </w:pPr>
            <w:r w:rsidRPr="00092ED7">
              <w:rPr>
                <w:b/>
                <w:bCs/>
                <w:sz w:val="20"/>
                <w:szCs w:val="20"/>
                <w:lang w:val="sr-Cyrl-CS"/>
              </w:rPr>
              <w:t>2025</w:t>
            </w:r>
          </w:p>
        </w:tc>
      </w:tr>
      <w:tr w:rsidR="00247CBF" w:rsidRPr="00092ED7" w14:paraId="354A9A6D" w14:textId="77777777" w:rsidTr="00247CBF">
        <w:trPr>
          <w:gridAfter w:val="1"/>
          <w:wAfter w:w="10" w:type="dxa"/>
          <w:trHeight w:val="227"/>
        </w:trPr>
        <w:tc>
          <w:tcPr>
            <w:tcW w:w="6255" w:type="dxa"/>
            <w:tcBorders>
              <w:top w:val="nil"/>
              <w:left w:val="double" w:sz="6" w:space="0" w:color="auto"/>
              <w:bottom w:val="single" w:sz="8" w:space="0" w:color="auto"/>
              <w:right w:val="single" w:sz="8" w:space="0" w:color="auto"/>
            </w:tcBorders>
            <w:shd w:val="clear" w:color="auto" w:fill="auto"/>
            <w:noWrap/>
            <w:vAlign w:val="center"/>
            <w:hideMark/>
          </w:tcPr>
          <w:p w14:paraId="184EA906" w14:textId="77777777" w:rsidR="00247CBF" w:rsidRPr="00092ED7" w:rsidRDefault="00000000" w:rsidP="00247CBF">
            <w:pPr>
              <w:spacing w:after="0"/>
              <w:jc w:val="left"/>
              <w:rPr>
                <w:rFonts w:eastAsia="Times New Roman" w:cs="Times New Roman"/>
                <w:sz w:val="20"/>
                <w:szCs w:val="20"/>
                <w:lang w:val="sr-Cyrl-CS"/>
              </w:rPr>
            </w:pPr>
            <w:hyperlink r:id="rId56" w:anchor="RANGE!B175" w:history="1">
              <w:r w:rsidR="00247CBF" w:rsidRPr="00092ED7">
                <w:rPr>
                  <w:rFonts w:eastAsia="Times New Roman" w:cs="Times New Roman"/>
                  <w:sz w:val="20"/>
                  <w:szCs w:val="20"/>
                  <w:lang w:val="sr-Cyrl-CS"/>
                </w:rPr>
                <w:t>1. Бруто дуг [1]</w:t>
              </w:r>
            </w:hyperlink>
          </w:p>
        </w:tc>
        <w:tc>
          <w:tcPr>
            <w:tcW w:w="1585" w:type="dxa"/>
            <w:tcBorders>
              <w:top w:val="nil"/>
              <w:left w:val="nil"/>
              <w:bottom w:val="single" w:sz="8" w:space="0" w:color="auto"/>
              <w:right w:val="single" w:sz="8" w:space="0" w:color="auto"/>
            </w:tcBorders>
            <w:shd w:val="clear" w:color="auto" w:fill="auto"/>
            <w:vAlign w:val="center"/>
            <w:hideMark/>
          </w:tcPr>
          <w:p w14:paraId="1CB70D0B" w14:textId="77777777" w:rsidR="00247CBF" w:rsidRPr="00092ED7" w:rsidRDefault="00247CBF" w:rsidP="00247CBF">
            <w:pPr>
              <w:spacing w:after="0"/>
              <w:jc w:val="center"/>
              <w:rPr>
                <w:sz w:val="20"/>
                <w:szCs w:val="20"/>
                <w:lang w:val="sr-Cyrl-CS"/>
              </w:rPr>
            </w:pPr>
            <w:r w:rsidRPr="00092ED7">
              <w:rPr>
                <w:sz w:val="20"/>
                <w:szCs w:val="20"/>
                <w:lang w:val="sr-Cyrl-CS"/>
              </w:rPr>
              <w:t>млрд РСД</w:t>
            </w:r>
          </w:p>
        </w:tc>
        <w:tc>
          <w:tcPr>
            <w:tcW w:w="1120" w:type="dxa"/>
            <w:tcBorders>
              <w:top w:val="nil"/>
              <w:left w:val="nil"/>
              <w:bottom w:val="single" w:sz="8" w:space="0" w:color="auto"/>
              <w:right w:val="dotted" w:sz="4" w:space="0" w:color="auto"/>
            </w:tcBorders>
            <w:shd w:val="clear" w:color="auto" w:fill="auto"/>
            <w:vAlign w:val="center"/>
            <w:hideMark/>
          </w:tcPr>
          <w:p w14:paraId="357C2BE0" w14:textId="77777777" w:rsidR="00247CBF" w:rsidRPr="00092ED7" w:rsidRDefault="00247CBF" w:rsidP="00247CBF">
            <w:pPr>
              <w:spacing w:after="0"/>
              <w:jc w:val="right"/>
              <w:rPr>
                <w:sz w:val="20"/>
                <w:szCs w:val="20"/>
                <w:lang w:val="sr-Cyrl-CS"/>
              </w:rPr>
            </w:pPr>
            <w:r w:rsidRPr="00092ED7">
              <w:rPr>
                <w:sz w:val="20"/>
                <w:szCs w:val="20"/>
                <w:lang w:val="sr-Cyrl-CS"/>
              </w:rPr>
              <w:t>3.181,2</w:t>
            </w:r>
          </w:p>
        </w:tc>
        <w:tc>
          <w:tcPr>
            <w:tcW w:w="1120" w:type="dxa"/>
            <w:tcBorders>
              <w:top w:val="nil"/>
              <w:left w:val="nil"/>
              <w:bottom w:val="single" w:sz="8" w:space="0" w:color="auto"/>
              <w:right w:val="dotted" w:sz="4" w:space="0" w:color="auto"/>
            </w:tcBorders>
            <w:shd w:val="clear" w:color="auto" w:fill="auto"/>
            <w:vAlign w:val="center"/>
            <w:hideMark/>
          </w:tcPr>
          <w:p w14:paraId="77ABF1C9" w14:textId="77777777" w:rsidR="00247CBF" w:rsidRPr="00092ED7" w:rsidRDefault="00247CBF" w:rsidP="00247CBF">
            <w:pPr>
              <w:spacing w:after="0"/>
              <w:jc w:val="right"/>
              <w:rPr>
                <w:sz w:val="20"/>
                <w:szCs w:val="20"/>
                <w:lang w:val="sr-Cyrl-CS"/>
              </w:rPr>
            </w:pPr>
            <w:r w:rsidRPr="00092ED7">
              <w:rPr>
                <w:sz w:val="20"/>
                <w:szCs w:val="20"/>
                <w:lang w:val="sr-Cyrl-CS"/>
              </w:rPr>
              <w:t>3.581,8</w:t>
            </w:r>
          </w:p>
        </w:tc>
        <w:tc>
          <w:tcPr>
            <w:tcW w:w="1120" w:type="dxa"/>
            <w:tcBorders>
              <w:top w:val="nil"/>
              <w:left w:val="nil"/>
              <w:bottom w:val="single" w:sz="8" w:space="0" w:color="auto"/>
              <w:right w:val="dotted" w:sz="4" w:space="0" w:color="auto"/>
            </w:tcBorders>
            <w:shd w:val="clear" w:color="auto" w:fill="auto"/>
            <w:vAlign w:val="center"/>
            <w:hideMark/>
          </w:tcPr>
          <w:p w14:paraId="1A679BD1" w14:textId="77777777" w:rsidR="00247CBF" w:rsidRPr="00092ED7" w:rsidRDefault="00247CBF" w:rsidP="00247CBF">
            <w:pPr>
              <w:spacing w:after="0"/>
              <w:jc w:val="right"/>
              <w:rPr>
                <w:sz w:val="20"/>
                <w:szCs w:val="20"/>
                <w:lang w:val="sr-Cyrl-CS"/>
              </w:rPr>
            </w:pPr>
            <w:r w:rsidRPr="00092ED7">
              <w:rPr>
                <w:sz w:val="20"/>
                <w:szCs w:val="20"/>
                <w:lang w:val="sr-Cyrl-CS"/>
              </w:rPr>
              <w:t>4.030,6</w:t>
            </w:r>
          </w:p>
        </w:tc>
        <w:tc>
          <w:tcPr>
            <w:tcW w:w="1120" w:type="dxa"/>
            <w:tcBorders>
              <w:top w:val="nil"/>
              <w:left w:val="nil"/>
              <w:bottom w:val="single" w:sz="8" w:space="0" w:color="auto"/>
              <w:right w:val="dotted" w:sz="4" w:space="0" w:color="auto"/>
            </w:tcBorders>
            <w:shd w:val="clear" w:color="auto" w:fill="auto"/>
            <w:vAlign w:val="center"/>
            <w:hideMark/>
          </w:tcPr>
          <w:p w14:paraId="13D154B4" w14:textId="77777777" w:rsidR="00247CBF" w:rsidRPr="00092ED7" w:rsidRDefault="00247CBF" w:rsidP="00247CBF">
            <w:pPr>
              <w:spacing w:after="0"/>
              <w:jc w:val="right"/>
              <w:rPr>
                <w:sz w:val="20"/>
                <w:szCs w:val="20"/>
                <w:lang w:val="sr-Cyrl-CS"/>
              </w:rPr>
            </w:pPr>
            <w:r w:rsidRPr="00092ED7">
              <w:rPr>
                <w:sz w:val="20"/>
                <w:szCs w:val="20"/>
                <w:lang w:val="sr-Cyrl-CS"/>
              </w:rPr>
              <w:t>4.499,3</w:t>
            </w:r>
          </w:p>
        </w:tc>
        <w:tc>
          <w:tcPr>
            <w:tcW w:w="1120" w:type="dxa"/>
            <w:tcBorders>
              <w:top w:val="nil"/>
              <w:left w:val="nil"/>
              <w:bottom w:val="single" w:sz="8" w:space="0" w:color="auto"/>
              <w:right w:val="dotted" w:sz="4" w:space="0" w:color="auto"/>
            </w:tcBorders>
            <w:shd w:val="clear" w:color="auto" w:fill="auto"/>
            <w:vAlign w:val="center"/>
            <w:hideMark/>
          </w:tcPr>
          <w:p w14:paraId="60AB4492" w14:textId="77777777" w:rsidR="00247CBF" w:rsidRPr="00092ED7" w:rsidRDefault="00247CBF" w:rsidP="00247CBF">
            <w:pPr>
              <w:spacing w:after="0"/>
              <w:jc w:val="right"/>
              <w:rPr>
                <w:sz w:val="20"/>
                <w:szCs w:val="20"/>
                <w:lang w:val="sr-Cyrl-CS"/>
              </w:rPr>
            </w:pPr>
            <w:r w:rsidRPr="00092ED7">
              <w:rPr>
                <w:sz w:val="20"/>
                <w:szCs w:val="20"/>
                <w:lang w:val="sr-Cyrl-CS"/>
              </w:rPr>
              <w:t>4.832,8</w:t>
            </w:r>
          </w:p>
        </w:tc>
        <w:tc>
          <w:tcPr>
            <w:tcW w:w="1120" w:type="dxa"/>
            <w:tcBorders>
              <w:top w:val="nil"/>
              <w:left w:val="nil"/>
              <w:bottom w:val="single" w:sz="8" w:space="0" w:color="auto"/>
              <w:right w:val="double" w:sz="6" w:space="0" w:color="auto"/>
            </w:tcBorders>
            <w:shd w:val="clear" w:color="auto" w:fill="auto"/>
            <w:noWrap/>
            <w:vAlign w:val="center"/>
            <w:hideMark/>
          </w:tcPr>
          <w:p w14:paraId="2572844F" w14:textId="77777777" w:rsidR="00247CBF" w:rsidRPr="00092ED7" w:rsidRDefault="00247CBF" w:rsidP="00247CBF">
            <w:pPr>
              <w:spacing w:after="0"/>
              <w:jc w:val="right"/>
              <w:rPr>
                <w:sz w:val="20"/>
                <w:szCs w:val="20"/>
                <w:lang w:val="sr-Cyrl-CS"/>
              </w:rPr>
            </w:pPr>
            <w:r w:rsidRPr="00092ED7">
              <w:rPr>
                <w:sz w:val="20"/>
                <w:szCs w:val="20"/>
                <w:lang w:val="sr-Cyrl-CS"/>
              </w:rPr>
              <w:t>5.136,2</w:t>
            </w:r>
          </w:p>
        </w:tc>
      </w:tr>
      <w:tr w:rsidR="00247CBF" w:rsidRPr="00092ED7" w14:paraId="53141815" w14:textId="77777777" w:rsidTr="00247CBF">
        <w:trPr>
          <w:gridAfter w:val="1"/>
          <w:wAfter w:w="10" w:type="dxa"/>
          <w:trHeight w:val="227"/>
        </w:trPr>
        <w:tc>
          <w:tcPr>
            <w:tcW w:w="6255" w:type="dxa"/>
            <w:tcBorders>
              <w:top w:val="nil"/>
              <w:left w:val="double" w:sz="6" w:space="0" w:color="auto"/>
              <w:bottom w:val="single" w:sz="4" w:space="0" w:color="auto"/>
              <w:right w:val="nil"/>
            </w:tcBorders>
            <w:shd w:val="clear" w:color="auto" w:fill="auto"/>
            <w:vAlign w:val="center"/>
            <w:hideMark/>
          </w:tcPr>
          <w:p w14:paraId="0A130544" w14:textId="77777777" w:rsidR="00247CBF" w:rsidRPr="00092ED7" w:rsidRDefault="00247CBF" w:rsidP="00247CBF">
            <w:pPr>
              <w:spacing w:after="0"/>
              <w:jc w:val="left"/>
              <w:rPr>
                <w:rFonts w:eastAsia="Times New Roman" w:cs="Times New Roman"/>
                <w:b/>
                <w:bCs/>
                <w:sz w:val="20"/>
                <w:szCs w:val="20"/>
                <w:lang w:val="sr-Cyrl-CS"/>
              </w:rPr>
            </w:pPr>
            <w:r w:rsidRPr="00092ED7">
              <w:rPr>
                <w:rFonts w:eastAsia="Times New Roman" w:cs="Times New Roman"/>
                <w:b/>
                <w:bCs/>
                <w:sz w:val="20"/>
                <w:szCs w:val="20"/>
                <w:lang w:val="sr-Cyrl-CS"/>
              </w:rPr>
              <w:t>Доприноси промени бруто дуга</w:t>
            </w:r>
          </w:p>
        </w:tc>
        <w:tc>
          <w:tcPr>
            <w:tcW w:w="1585" w:type="dxa"/>
            <w:tcBorders>
              <w:top w:val="nil"/>
              <w:left w:val="single" w:sz="8" w:space="0" w:color="auto"/>
              <w:bottom w:val="single" w:sz="4" w:space="0" w:color="auto"/>
              <w:right w:val="single" w:sz="8" w:space="0" w:color="auto"/>
            </w:tcBorders>
            <w:shd w:val="clear" w:color="auto" w:fill="auto"/>
            <w:vAlign w:val="center"/>
            <w:hideMark/>
          </w:tcPr>
          <w:p w14:paraId="16BDC7FD" w14:textId="77777777" w:rsidR="00247CBF" w:rsidRPr="00092ED7" w:rsidRDefault="00247CBF" w:rsidP="00247CBF">
            <w:pPr>
              <w:spacing w:after="0"/>
              <w:jc w:val="center"/>
              <w:rPr>
                <w:b/>
                <w:bCs/>
                <w:sz w:val="20"/>
                <w:szCs w:val="20"/>
                <w:lang w:val="sr-Cyrl-CS"/>
              </w:rPr>
            </w:pPr>
          </w:p>
        </w:tc>
        <w:tc>
          <w:tcPr>
            <w:tcW w:w="1120" w:type="dxa"/>
            <w:tcBorders>
              <w:top w:val="nil"/>
              <w:left w:val="nil"/>
              <w:bottom w:val="single" w:sz="4" w:space="0" w:color="auto"/>
              <w:right w:val="nil"/>
            </w:tcBorders>
            <w:shd w:val="clear" w:color="auto" w:fill="auto"/>
            <w:vAlign w:val="center"/>
            <w:hideMark/>
          </w:tcPr>
          <w:p w14:paraId="09ADF6ED" w14:textId="77777777" w:rsidR="00247CBF" w:rsidRPr="00092ED7" w:rsidRDefault="00247CBF" w:rsidP="00247CBF">
            <w:pPr>
              <w:spacing w:after="0"/>
              <w:jc w:val="right"/>
              <w:rPr>
                <w:b/>
                <w:bCs/>
                <w:sz w:val="20"/>
                <w:szCs w:val="20"/>
                <w:lang w:val="sr-Cyrl-CS"/>
              </w:rPr>
            </w:pPr>
            <w:r w:rsidRPr="00092ED7">
              <w:rPr>
                <w:b/>
                <w:bCs/>
                <w:sz w:val="20"/>
                <w:szCs w:val="20"/>
                <w:lang w:val="sr-Cyrl-CS"/>
              </w:rPr>
              <w:t> </w:t>
            </w:r>
          </w:p>
        </w:tc>
        <w:tc>
          <w:tcPr>
            <w:tcW w:w="1120" w:type="dxa"/>
            <w:tcBorders>
              <w:top w:val="nil"/>
              <w:left w:val="nil"/>
              <w:bottom w:val="single" w:sz="4" w:space="0" w:color="auto"/>
              <w:right w:val="nil"/>
            </w:tcBorders>
            <w:shd w:val="clear" w:color="auto" w:fill="auto"/>
            <w:vAlign w:val="center"/>
            <w:hideMark/>
          </w:tcPr>
          <w:p w14:paraId="71E6968B" w14:textId="77777777" w:rsidR="00247CBF" w:rsidRPr="00092ED7" w:rsidRDefault="00247CBF" w:rsidP="00247CBF">
            <w:pPr>
              <w:spacing w:after="0"/>
              <w:jc w:val="right"/>
              <w:rPr>
                <w:b/>
                <w:bCs/>
                <w:sz w:val="20"/>
                <w:szCs w:val="20"/>
                <w:lang w:val="sr-Cyrl-CS"/>
              </w:rPr>
            </w:pPr>
            <w:r w:rsidRPr="00092ED7">
              <w:rPr>
                <w:b/>
                <w:bCs/>
                <w:sz w:val="20"/>
                <w:szCs w:val="20"/>
                <w:lang w:val="sr-Cyrl-CS"/>
              </w:rPr>
              <w:t> </w:t>
            </w:r>
          </w:p>
        </w:tc>
        <w:tc>
          <w:tcPr>
            <w:tcW w:w="1120" w:type="dxa"/>
            <w:tcBorders>
              <w:top w:val="nil"/>
              <w:left w:val="nil"/>
              <w:bottom w:val="single" w:sz="4" w:space="0" w:color="auto"/>
              <w:right w:val="nil"/>
            </w:tcBorders>
            <w:shd w:val="clear" w:color="auto" w:fill="auto"/>
            <w:vAlign w:val="center"/>
            <w:hideMark/>
          </w:tcPr>
          <w:p w14:paraId="362A5865" w14:textId="77777777" w:rsidR="00247CBF" w:rsidRPr="00092ED7" w:rsidRDefault="00247CBF" w:rsidP="00247CBF">
            <w:pPr>
              <w:spacing w:after="0"/>
              <w:jc w:val="right"/>
              <w:rPr>
                <w:b/>
                <w:bCs/>
                <w:sz w:val="20"/>
                <w:szCs w:val="20"/>
                <w:lang w:val="sr-Cyrl-CS"/>
              </w:rPr>
            </w:pPr>
            <w:r w:rsidRPr="00092ED7">
              <w:rPr>
                <w:b/>
                <w:bCs/>
                <w:sz w:val="20"/>
                <w:szCs w:val="20"/>
                <w:lang w:val="sr-Cyrl-CS"/>
              </w:rPr>
              <w:t> </w:t>
            </w:r>
          </w:p>
        </w:tc>
        <w:tc>
          <w:tcPr>
            <w:tcW w:w="1120" w:type="dxa"/>
            <w:tcBorders>
              <w:top w:val="nil"/>
              <w:left w:val="nil"/>
              <w:bottom w:val="single" w:sz="4" w:space="0" w:color="auto"/>
              <w:right w:val="nil"/>
            </w:tcBorders>
            <w:shd w:val="clear" w:color="auto" w:fill="auto"/>
            <w:vAlign w:val="center"/>
            <w:hideMark/>
          </w:tcPr>
          <w:p w14:paraId="118DE4F3" w14:textId="77777777" w:rsidR="00247CBF" w:rsidRPr="00092ED7" w:rsidRDefault="00247CBF" w:rsidP="00247CBF">
            <w:pPr>
              <w:spacing w:after="0"/>
              <w:jc w:val="right"/>
              <w:rPr>
                <w:b/>
                <w:bCs/>
                <w:sz w:val="20"/>
                <w:szCs w:val="20"/>
                <w:lang w:val="sr-Cyrl-CS"/>
              </w:rPr>
            </w:pPr>
            <w:r w:rsidRPr="00092ED7">
              <w:rPr>
                <w:b/>
                <w:bCs/>
                <w:sz w:val="20"/>
                <w:szCs w:val="20"/>
                <w:lang w:val="sr-Cyrl-CS"/>
              </w:rPr>
              <w:t> </w:t>
            </w:r>
          </w:p>
        </w:tc>
        <w:tc>
          <w:tcPr>
            <w:tcW w:w="1120" w:type="dxa"/>
            <w:tcBorders>
              <w:top w:val="nil"/>
              <w:left w:val="nil"/>
              <w:bottom w:val="single" w:sz="4" w:space="0" w:color="auto"/>
              <w:right w:val="nil"/>
            </w:tcBorders>
            <w:shd w:val="clear" w:color="auto" w:fill="auto"/>
            <w:vAlign w:val="center"/>
            <w:hideMark/>
          </w:tcPr>
          <w:p w14:paraId="0B94F1FB" w14:textId="77777777" w:rsidR="00247CBF" w:rsidRPr="00092ED7" w:rsidRDefault="00247CBF" w:rsidP="00247CBF">
            <w:pPr>
              <w:spacing w:after="0"/>
              <w:jc w:val="right"/>
              <w:rPr>
                <w:b/>
                <w:bCs/>
                <w:sz w:val="20"/>
                <w:szCs w:val="20"/>
                <w:lang w:val="sr-Cyrl-CS"/>
              </w:rPr>
            </w:pPr>
            <w:r w:rsidRPr="00092ED7">
              <w:rPr>
                <w:b/>
                <w:bCs/>
                <w:sz w:val="20"/>
                <w:szCs w:val="20"/>
                <w:lang w:val="sr-Cyrl-CS"/>
              </w:rPr>
              <w:t> </w:t>
            </w:r>
          </w:p>
        </w:tc>
        <w:tc>
          <w:tcPr>
            <w:tcW w:w="1120" w:type="dxa"/>
            <w:tcBorders>
              <w:top w:val="nil"/>
              <w:left w:val="nil"/>
              <w:bottom w:val="single" w:sz="4" w:space="0" w:color="auto"/>
              <w:right w:val="double" w:sz="6" w:space="0" w:color="auto"/>
            </w:tcBorders>
            <w:shd w:val="clear" w:color="auto" w:fill="auto"/>
            <w:noWrap/>
            <w:vAlign w:val="center"/>
            <w:hideMark/>
          </w:tcPr>
          <w:p w14:paraId="6C13EA65" w14:textId="77777777" w:rsidR="00247CBF" w:rsidRPr="00092ED7" w:rsidRDefault="00247CBF" w:rsidP="00247CBF">
            <w:pPr>
              <w:spacing w:after="0"/>
              <w:jc w:val="right"/>
              <w:rPr>
                <w:sz w:val="20"/>
                <w:szCs w:val="20"/>
                <w:lang w:val="sr-Cyrl-CS"/>
              </w:rPr>
            </w:pPr>
            <w:r w:rsidRPr="00092ED7">
              <w:rPr>
                <w:sz w:val="20"/>
                <w:szCs w:val="20"/>
                <w:lang w:val="sr-Cyrl-CS"/>
              </w:rPr>
              <w:t> </w:t>
            </w:r>
          </w:p>
        </w:tc>
      </w:tr>
      <w:tr w:rsidR="00247CBF" w:rsidRPr="00092ED7" w14:paraId="5C2E8EFA" w14:textId="77777777" w:rsidTr="00247CBF">
        <w:trPr>
          <w:gridAfter w:val="1"/>
          <w:wAfter w:w="10" w:type="dxa"/>
          <w:trHeight w:val="227"/>
        </w:trPr>
        <w:tc>
          <w:tcPr>
            <w:tcW w:w="6255" w:type="dxa"/>
            <w:tcBorders>
              <w:top w:val="nil"/>
              <w:left w:val="double" w:sz="6" w:space="0" w:color="auto"/>
              <w:bottom w:val="dotted" w:sz="4" w:space="0" w:color="auto"/>
              <w:right w:val="nil"/>
            </w:tcBorders>
            <w:shd w:val="clear" w:color="auto" w:fill="auto"/>
            <w:vAlign w:val="center"/>
            <w:hideMark/>
          </w:tcPr>
          <w:p w14:paraId="44ECACFA" w14:textId="77777777" w:rsidR="00247CBF" w:rsidRPr="00092ED7" w:rsidRDefault="00247CBF" w:rsidP="00247CBF">
            <w:pPr>
              <w:spacing w:after="0"/>
              <w:jc w:val="left"/>
              <w:rPr>
                <w:rFonts w:eastAsia="Times New Roman" w:cs="Times New Roman"/>
                <w:sz w:val="20"/>
                <w:szCs w:val="20"/>
                <w:lang w:val="sr-Cyrl-CS"/>
              </w:rPr>
            </w:pPr>
            <w:r w:rsidRPr="00092ED7">
              <w:rPr>
                <w:rFonts w:eastAsia="Times New Roman" w:cs="Times New Roman"/>
                <w:sz w:val="20"/>
                <w:szCs w:val="20"/>
                <w:lang w:val="sr-Cyrl-CS"/>
              </w:rPr>
              <w:t>Прилагођавање стања и промена дуга (stock-flow adjustment)</w:t>
            </w:r>
          </w:p>
        </w:tc>
        <w:tc>
          <w:tcPr>
            <w:tcW w:w="1585" w:type="dxa"/>
            <w:tcBorders>
              <w:top w:val="nil"/>
              <w:left w:val="single" w:sz="8" w:space="0" w:color="auto"/>
              <w:bottom w:val="dotted" w:sz="4" w:space="0" w:color="auto"/>
              <w:right w:val="single" w:sz="8" w:space="0" w:color="auto"/>
            </w:tcBorders>
            <w:shd w:val="clear" w:color="auto" w:fill="auto"/>
            <w:vAlign w:val="center"/>
            <w:hideMark/>
          </w:tcPr>
          <w:p w14:paraId="46B4DA5F" w14:textId="77777777" w:rsidR="00247CBF" w:rsidRPr="00092ED7" w:rsidRDefault="00247CBF" w:rsidP="00247CBF">
            <w:pPr>
              <w:spacing w:after="0"/>
              <w:jc w:val="center"/>
              <w:rPr>
                <w:sz w:val="20"/>
                <w:szCs w:val="20"/>
                <w:lang w:val="sr-Cyrl-CS"/>
              </w:rPr>
            </w:pPr>
            <w:r w:rsidRPr="00092ED7">
              <w:rPr>
                <w:sz w:val="20"/>
                <w:szCs w:val="20"/>
                <w:lang w:val="sr-Cyrl-CS"/>
              </w:rPr>
              <w:t>млрд РСД</w:t>
            </w:r>
          </w:p>
        </w:tc>
        <w:tc>
          <w:tcPr>
            <w:tcW w:w="1120" w:type="dxa"/>
            <w:tcBorders>
              <w:top w:val="dotted" w:sz="4" w:space="0" w:color="auto"/>
              <w:left w:val="nil"/>
              <w:bottom w:val="dotted" w:sz="4" w:space="0" w:color="auto"/>
              <w:right w:val="dotted" w:sz="4" w:space="0" w:color="auto"/>
            </w:tcBorders>
            <w:shd w:val="clear" w:color="auto" w:fill="auto"/>
            <w:vAlign w:val="center"/>
            <w:hideMark/>
          </w:tcPr>
          <w:p w14:paraId="232A4967" w14:textId="77777777" w:rsidR="00247CBF" w:rsidRPr="00092ED7" w:rsidRDefault="00247CBF" w:rsidP="00247CBF">
            <w:pPr>
              <w:spacing w:after="0"/>
              <w:jc w:val="right"/>
              <w:rPr>
                <w:sz w:val="20"/>
                <w:szCs w:val="20"/>
                <w:lang w:val="sr-Cyrl-CS"/>
              </w:rPr>
            </w:pPr>
            <w:r w:rsidRPr="00092ED7">
              <w:rPr>
                <w:sz w:val="20"/>
                <w:szCs w:val="20"/>
                <w:lang w:val="sr-Cyrl-CS"/>
              </w:rPr>
              <w:t>-125,5</w:t>
            </w:r>
          </w:p>
        </w:tc>
        <w:tc>
          <w:tcPr>
            <w:tcW w:w="1120" w:type="dxa"/>
            <w:tcBorders>
              <w:top w:val="dotted" w:sz="4" w:space="0" w:color="auto"/>
              <w:left w:val="nil"/>
              <w:bottom w:val="dotted" w:sz="4" w:space="0" w:color="auto"/>
              <w:right w:val="dotted" w:sz="4" w:space="0" w:color="auto"/>
            </w:tcBorders>
            <w:shd w:val="clear" w:color="auto" w:fill="auto"/>
            <w:vAlign w:val="center"/>
            <w:hideMark/>
          </w:tcPr>
          <w:p w14:paraId="284EB48F" w14:textId="77777777" w:rsidR="00247CBF" w:rsidRPr="00092ED7" w:rsidRDefault="00247CBF" w:rsidP="00247CBF">
            <w:pPr>
              <w:spacing w:after="0"/>
              <w:jc w:val="right"/>
              <w:rPr>
                <w:sz w:val="20"/>
                <w:szCs w:val="20"/>
                <w:lang w:val="sr-Cyrl-CS"/>
              </w:rPr>
            </w:pPr>
            <w:r w:rsidRPr="00092ED7">
              <w:rPr>
                <w:sz w:val="20"/>
                <w:szCs w:val="20"/>
                <w:lang w:val="sr-Cyrl-CS"/>
              </w:rPr>
              <w:t>141,1</w:t>
            </w:r>
          </w:p>
        </w:tc>
        <w:tc>
          <w:tcPr>
            <w:tcW w:w="1120" w:type="dxa"/>
            <w:tcBorders>
              <w:top w:val="dotted" w:sz="4" w:space="0" w:color="auto"/>
              <w:left w:val="nil"/>
              <w:bottom w:val="dotted" w:sz="4" w:space="0" w:color="auto"/>
              <w:right w:val="dotted" w:sz="4" w:space="0" w:color="auto"/>
            </w:tcBorders>
            <w:shd w:val="clear" w:color="auto" w:fill="auto"/>
            <w:vAlign w:val="center"/>
            <w:hideMark/>
          </w:tcPr>
          <w:p w14:paraId="6E719801" w14:textId="77777777" w:rsidR="00247CBF" w:rsidRPr="00092ED7" w:rsidRDefault="00247CBF" w:rsidP="00247CBF">
            <w:pPr>
              <w:spacing w:after="0"/>
              <w:jc w:val="right"/>
              <w:rPr>
                <w:sz w:val="20"/>
                <w:szCs w:val="20"/>
                <w:lang w:val="sr-Cyrl-CS"/>
              </w:rPr>
            </w:pPr>
            <w:r w:rsidRPr="00092ED7">
              <w:rPr>
                <w:sz w:val="20"/>
                <w:szCs w:val="20"/>
                <w:lang w:val="sr-Cyrl-CS"/>
              </w:rPr>
              <w:t>177,3</w:t>
            </w:r>
          </w:p>
        </w:tc>
        <w:tc>
          <w:tcPr>
            <w:tcW w:w="1120" w:type="dxa"/>
            <w:tcBorders>
              <w:top w:val="dotted" w:sz="4" w:space="0" w:color="auto"/>
              <w:left w:val="nil"/>
              <w:bottom w:val="dotted" w:sz="4" w:space="0" w:color="auto"/>
              <w:right w:val="dotted" w:sz="4" w:space="0" w:color="auto"/>
            </w:tcBorders>
            <w:shd w:val="clear" w:color="auto" w:fill="auto"/>
            <w:vAlign w:val="center"/>
            <w:hideMark/>
          </w:tcPr>
          <w:p w14:paraId="16E15833" w14:textId="77777777" w:rsidR="00247CBF" w:rsidRPr="00092ED7" w:rsidRDefault="00247CBF" w:rsidP="00247CBF">
            <w:pPr>
              <w:spacing w:after="0"/>
              <w:jc w:val="right"/>
              <w:rPr>
                <w:sz w:val="20"/>
                <w:szCs w:val="20"/>
                <w:lang w:val="sr-Cyrl-CS"/>
              </w:rPr>
            </w:pPr>
            <w:r w:rsidRPr="00092ED7">
              <w:rPr>
                <w:sz w:val="20"/>
                <w:szCs w:val="20"/>
                <w:lang w:val="sr-Cyrl-CS"/>
              </w:rPr>
              <w:t>204,7</w:t>
            </w:r>
          </w:p>
        </w:tc>
        <w:tc>
          <w:tcPr>
            <w:tcW w:w="1120" w:type="dxa"/>
            <w:tcBorders>
              <w:top w:val="dotted" w:sz="4" w:space="0" w:color="auto"/>
              <w:left w:val="nil"/>
              <w:bottom w:val="dotted" w:sz="4" w:space="0" w:color="auto"/>
              <w:right w:val="dotted" w:sz="4" w:space="0" w:color="auto"/>
            </w:tcBorders>
            <w:shd w:val="clear" w:color="auto" w:fill="auto"/>
            <w:vAlign w:val="center"/>
            <w:hideMark/>
          </w:tcPr>
          <w:p w14:paraId="5E015D7D" w14:textId="77777777" w:rsidR="00247CBF" w:rsidRPr="00092ED7" w:rsidRDefault="00247CBF" w:rsidP="00247CBF">
            <w:pPr>
              <w:spacing w:after="0"/>
              <w:jc w:val="right"/>
              <w:rPr>
                <w:sz w:val="20"/>
                <w:szCs w:val="20"/>
                <w:lang w:val="sr-Cyrl-CS"/>
              </w:rPr>
            </w:pPr>
            <w:r w:rsidRPr="00092ED7">
              <w:rPr>
                <w:sz w:val="20"/>
                <w:szCs w:val="20"/>
                <w:lang w:val="sr-Cyrl-CS"/>
              </w:rPr>
              <w:t>144,2</w:t>
            </w:r>
          </w:p>
        </w:tc>
        <w:tc>
          <w:tcPr>
            <w:tcW w:w="1120" w:type="dxa"/>
            <w:tcBorders>
              <w:top w:val="nil"/>
              <w:left w:val="nil"/>
              <w:bottom w:val="dotted" w:sz="4" w:space="0" w:color="auto"/>
              <w:right w:val="double" w:sz="6" w:space="0" w:color="auto"/>
            </w:tcBorders>
            <w:shd w:val="clear" w:color="auto" w:fill="auto"/>
            <w:vAlign w:val="center"/>
            <w:hideMark/>
          </w:tcPr>
          <w:p w14:paraId="756C70C1" w14:textId="77777777" w:rsidR="00247CBF" w:rsidRPr="00092ED7" w:rsidRDefault="00247CBF" w:rsidP="00247CBF">
            <w:pPr>
              <w:spacing w:after="0"/>
              <w:jc w:val="right"/>
              <w:rPr>
                <w:sz w:val="20"/>
                <w:szCs w:val="20"/>
                <w:lang w:val="sr-Cyrl-CS"/>
              </w:rPr>
            </w:pPr>
            <w:r w:rsidRPr="00092ED7">
              <w:rPr>
                <w:sz w:val="20"/>
                <w:szCs w:val="20"/>
                <w:lang w:val="sr-Cyrl-CS"/>
              </w:rPr>
              <w:t>174,3</w:t>
            </w:r>
          </w:p>
        </w:tc>
      </w:tr>
      <w:tr w:rsidR="00247CBF" w:rsidRPr="00092ED7" w14:paraId="58BB95BF" w14:textId="77777777" w:rsidTr="00247CBF">
        <w:trPr>
          <w:gridAfter w:val="1"/>
          <w:wAfter w:w="10" w:type="dxa"/>
          <w:trHeight w:val="227"/>
        </w:trPr>
        <w:tc>
          <w:tcPr>
            <w:tcW w:w="6255" w:type="dxa"/>
            <w:tcBorders>
              <w:top w:val="nil"/>
              <w:left w:val="double" w:sz="6" w:space="0" w:color="auto"/>
              <w:bottom w:val="dotted" w:sz="4" w:space="0" w:color="auto"/>
              <w:right w:val="nil"/>
            </w:tcBorders>
            <w:shd w:val="clear" w:color="auto" w:fill="auto"/>
            <w:vAlign w:val="center"/>
            <w:hideMark/>
          </w:tcPr>
          <w:p w14:paraId="012FF832" w14:textId="77777777" w:rsidR="00247CBF" w:rsidRPr="00092ED7" w:rsidRDefault="00247CBF" w:rsidP="00247CBF">
            <w:pPr>
              <w:spacing w:after="0"/>
              <w:jc w:val="left"/>
              <w:rPr>
                <w:rFonts w:eastAsia="Times New Roman" w:cs="Times New Roman"/>
                <w:i/>
                <w:iCs/>
                <w:sz w:val="20"/>
                <w:szCs w:val="20"/>
                <w:lang w:val="sr-Cyrl-CS"/>
              </w:rPr>
            </w:pPr>
            <w:r w:rsidRPr="00092ED7">
              <w:rPr>
                <w:rFonts w:eastAsia="Times New Roman" w:cs="Times New Roman"/>
                <w:i/>
                <w:iCs/>
                <w:sz w:val="20"/>
                <w:szCs w:val="20"/>
                <w:lang w:val="sr-Cyrl-CS"/>
              </w:rPr>
              <w:t>од чега:</w:t>
            </w:r>
          </w:p>
        </w:tc>
        <w:tc>
          <w:tcPr>
            <w:tcW w:w="1585" w:type="dxa"/>
            <w:tcBorders>
              <w:top w:val="nil"/>
              <w:left w:val="single" w:sz="8" w:space="0" w:color="auto"/>
              <w:bottom w:val="dotted" w:sz="4" w:space="0" w:color="auto"/>
              <w:right w:val="single" w:sz="8" w:space="0" w:color="auto"/>
            </w:tcBorders>
            <w:shd w:val="clear" w:color="auto" w:fill="auto"/>
            <w:vAlign w:val="center"/>
            <w:hideMark/>
          </w:tcPr>
          <w:p w14:paraId="285154CE" w14:textId="77777777" w:rsidR="00247CBF" w:rsidRPr="00092ED7" w:rsidRDefault="00247CBF" w:rsidP="00247CBF">
            <w:pPr>
              <w:spacing w:after="0"/>
              <w:jc w:val="center"/>
              <w:rPr>
                <w:sz w:val="20"/>
                <w:szCs w:val="20"/>
                <w:lang w:val="sr-Cyrl-CS"/>
              </w:rPr>
            </w:pPr>
          </w:p>
        </w:tc>
        <w:tc>
          <w:tcPr>
            <w:tcW w:w="1120" w:type="dxa"/>
            <w:tcBorders>
              <w:top w:val="nil"/>
              <w:left w:val="nil"/>
              <w:bottom w:val="dotted" w:sz="4" w:space="0" w:color="auto"/>
              <w:right w:val="dotted" w:sz="4" w:space="0" w:color="auto"/>
            </w:tcBorders>
            <w:shd w:val="clear" w:color="auto" w:fill="auto"/>
            <w:vAlign w:val="center"/>
            <w:hideMark/>
          </w:tcPr>
          <w:p w14:paraId="532F36FB"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120" w:type="dxa"/>
            <w:tcBorders>
              <w:top w:val="nil"/>
              <w:left w:val="nil"/>
              <w:bottom w:val="dotted" w:sz="4" w:space="0" w:color="auto"/>
              <w:right w:val="dotted" w:sz="4" w:space="0" w:color="auto"/>
            </w:tcBorders>
            <w:shd w:val="clear" w:color="auto" w:fill="auto"/>
            <w:vAlign w:val="center"/>
            <w:hideMark/>
          </w:tcPr>
          <w:p w14:paraId="555D1FD9"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120" w:type="dxa"/>
            <w:tcBorders>
              <w:top w:val="nil"/>
              <w:left w:val="nil"/>
              <w:bottom w:val="dotted" w:sz="4" w:space="0" w:color="auto"/>
              <w:right w:val="dotted" w:sz="4" w:space="0" w:color="auto"/>
            </w:tcBorders>
            <w:shd w:val="clear" w:color="auto" w:fill="auto"/>
            <w:vAlign w:val="center"/>
            <w:hideMark/>
          </w:tcPr>
          <w:p w14:paraId="709BB620"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120" w:type="dxa"/>
            <w:tcBorders>
              <w:top w:val="nil"/>
              <w:left w:val="nil"/>
              <w:bottom w:val="dotted" w:sz="4" w:space="0" w:color="auto"/>
              <w:right w:val="dotted" w:sz="4" w:space="0" w:color="auto"/>
            </w:tcBorders>
            <w:shd w:val="clear" w:color="auto" w:fill="auto"/>
            <w:vAlign w:val="center"/>
            <w:hideMark/>
          </w:tcPr>
          <w:p w14:paraId="20A6D1DA"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120" w:type="dxa"/>
            <w:tcBorders>
              <w:top w:val="nil"/>
              <w:left w:val="nil"/>
              <w:bottom w:val="dotted" w:sz="4" w:space="0" w:color="auto"/>
              <w:right w:val="dotted" w:sz="4" w:space="0" w:color="auto"/>
            </w:tcBorders>
            <w:shd w:val="clear" w:color="auto" w:fill="auto"/>
            <w:vAlign w:val="center"/>
            <w:hideMark/>
          </w:tcPr>
          <w:p w14:paraId="3ACD6526"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120" w:type="dxa"/>
            <w:tcBorders>
              <w:top w:val="nil"/>
              <w:left w:val="nil"/>
              <w:bottom w:val="dotted" w:sz="4" w:space="0" w:color="auto"/>
              <w:right w:val="double" w:sz="6" w:space="0" w:color="auto"/>
            </w:tcBorders>
            <w:shd w:val="clear" w:color="auto" w:fill="auto"/>
            <w:noWrap/>
            <w:vAlign w:val="center"/>
            <w:hideMark/>
          </w:tcPr>
          <w:p w14:paraId="74AE2B2F" w14:textId="77777777" w:rsidR="00247CBF" w:rsidRPr="00092ED7" w:rsidRDefault="00247CBF" w:rsidP="00247CBF">
            <w:pPr>
              <w:spacing w:after="0"/>
              <w:jc w:val="right"/>
              <w:rPr>
                <w:sz w:val="20"/>
                <w:szCs w:val="20"/>
                <w:lang w:val="sr-Cyrl-CS"/>
              </w:rPr>
            </w:pPr>
            <w:r w:rsidRPr="00092ED7">
              <w:rPr>
                <w:sz w:val="20"/>
                <w:szCs w:val="20"/>
                <w:lang w:val="sr-Cyrl-CS"/>
              </w:rPr>
              <w:t> </w:t>
            </w:r>
          </w:p>
        </w:tc>
      </w:tr>
      <w:tr w:rsidR="00247CBF" w:rsidRPr="00092ED7" w14:paraId="43A9EFC9" w14:textId="77777777" w:rsidTr="00247CBF">
        <w:trPr>
          <w:gridAfter w:val="1"/>
          <w:wAfter w:w="10" w:type="dxa"/>
          <w:trHeight w:val="227"/>
        </w:trPr>
        <w:tc>
          <w:tcPr>
            <w:tcW w:w="6255" w:type="dxa"/>
            <w:tcBorders>
              <w:top w:val="nil"/>
              <w:left w:val="double" w:sz="6" w:space="0" w:color="auto"/>
              <w:bottom w:val="dotted" w:sz="4" w:space="0" w:color="auto"/>
              <w:right w:val="nil"/>
            </w:tcBorders>
            <w:shd w:val="clear" w:color="auto" w:fill="auto"/>
            <w:vAlign w:val="center"/>
            <w:hideMark/>
          </w:tcPr>
          <w:p w14:paraId="2F6C9AFA" w14:textId="77777777" w:rsidR="00247CBF" w:rsidRPr="00092ED7" w:rsidRDefault="00247CBF" w:rsidP="00247CBF">
            <w:pPr>
              <w:spacing w:after="0"/>
              <w:jc w:val="left"/>
              <w:rPr>
                <w:rFonts w:eastAsia="Times New Roman" w:cs="Times New Roman"/>
                <w:sz w:val="20"/>
                <w:szCs w:val="20"/>
                <w:lang w:val="sr-Cyrl-CS"/>
              </w:rPr>
            </w:pPr>
            <w:r w:rsidRPr="00092ED7">
              <w:rPr>
                <w:rFonts w:eastAsia="Times New Roman" w:cs="Times New Roman"/>
                <w:sz w:val="20"/>
                <w:szCs w:val="20"/>
                <w:lang w:val="sr-Cyrl-CS"/>
              </w:rPr>
              <w:t>- Разлике између готовинске и обрачунске основе (4)</w:t>
            </w:r>
          </w:p>
        </w:tc>
        <w:tc>
          <w:tcPr>
            <w:tcW w:w="1585" w:type="dxa"/>
            <w:tcBorders>
              <w:top w:val="nil"/>
              <w:left w:val="single" w:sz="8" w:space="0" w:color="auto"/>
              <w:bottom w:val="dotted" w:sz="4" w:space="0" w:color="auto"/>
              <w:right w:val="single" w:sz="8" w:space="0" w:color="auto"/>
            </w:tcBorders>
            <w:shd w:val="clear" w:color="auto" w:fill="auto"/>
            <w:vAlign w:val="center"/>
            <w:hideMark/>
          </w:tcPr>
          <w:p w14:paraId="74823372" w14:textId="77777777" w:rsidR="00247CBF" w:rsidRPr="00092ED7" w:rsidRDefault="00247CBF" w:rsidP="00247CBF">
            <w:pPr>
              <w:spacing w:after="0"/>
              <w:jc w:val="center"/>
              <w:rPr>
                <w:sz w:val="20"/>
                <w:szCs w:val="20"/>
                <w:lang w:val="sr-Cyrl-CS"/>
              </w:rPr>
            </w:pPr>
            <w:r w:rsidRPr="00092ED7">
              <w:rPr>
                <w:sz w:val="20"/>
                <w:szCs w:val="20"/>
                <w:lang w:val="sr-Cyrl-CS"/>
              </w:rPr>
              <w:t>млрд РСД</w:t>
            </w:r>
          </w:p>
        </w:tc>
        <w:tc>
          <w:tcPr>
            <w:tcW w:w="1120" w:type="dxa"/>
            <w:tcBorders>
              <w:top w:val="nil"/>
              <w:left w:val="nil"/>
              <w:bottom w:val="dotted" w:sz="4" w:space="0" w:color="auto"/>
              <w:right w:val="dotted" w:sz="4" w:space="0" w:color="auto"/>
            </w:tcBorders>
            <w:shd w:val="clear" w:color="auto" w:fill="auto"/>
            <w:vAlign w:val="center"/>
            <w:hideMark/>
          </w:tcPr>
          <w:p w14:paraId="41FC9952"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120" w:type="dxa"/>
            <w:tcBorders>
              <w:top w:val="nil"/>
              <w:left w:val="nil"/>
              <w:bottom w:val="dotted" w:sz="4" w:space="0" w:color="auto"/>
              <w:right w:val="dotted" w:sz="4" w:space="0" w:color="auto"/>
            </w:tcBorders>
            <w:shd w:val="clear" w:color="auto" w:fill="auto"/>
            <w:vAlign w:val="center"/>
            <w:hideMark/>
          </w:tcPr>
          <w:p w14:paraId="1292B0D7"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120" w:type="dxa"/>
            <w:tcBorders>
              <w:top w:val="nil"/>
              <w:left w:val="nil"/>
              <w:bottom w:val="dotted" w:sz="4" w:space="0" w:color="auto"/>
              <w:right w:val="dotted" w:sz="4" w:space="0" w:color="auto"/>
            </w:tcBorders>
            <w:shd w:val="clear" w:color="auto" w:fill="auto"/>
            <w:vAlign w:val="center"/>
            <w:hideMark/>
          </w:tcPr>
          <w:p w14:paraId="2096D79D"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120" w:type="dxa"/>
            <w:tcBorders>
              <w:top w:val="nil"/>
              <w:left w:val="nil"/>
              <w:bottom w:val="dotted" w:sz="4" w:space="0" w:color="auto"/>
              <w:right w:val="dotted" w:sz="4" w:space="0" w:color="auto"/>
            </w:tcBorders>
            <w:shd w:val="clear" w:color="auto" w:fill="auto"/>
            <w:vAlign w:val="center"/>
            <w:hideMark/>
          </w:tcPr>
          <w:p w14:paraId="55DA5BA7"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120" w:type="dxa"/>
            <w:tcBorders>
              <w:top w:val="nil"/>
              <w:left w:val="nil"/>
              <w:bottom w:val="dotted" w:sz="4" w:space="0" w:color="auto"/>
              <w:right w:val="dotted" w:sz="4" w:space="0" w:color="auto"/>
            </w:tcBorders>
            <w:shd w:val="clear" w:color="auto" w:fill="auto"/>
            <w:vAlign w:val="center"/>
            <w:hideMark/>
          </w:tcPr>
          <w:p w14:paraId="34FB09A8"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120" w:type="dxa"/>
            <w:tcBorders>
              <w:top w:val="nil"/>
              <w:left w:val="nil"/>
              <w:bottom w:val="dotted" w:sz="4" w:space="0" w:color="auto"/>
              <w:right w:val="double" w:sz="6" w:space="0" w:color="auto"/>
            </w:tcBorders>
            <w:shd w:val="clear" w:color="auto" w:fill="auto"/>
            <w:noWrap/>
            <w:vAlign w:val="center"/>
            <w:hideMark/>
          </w:tcPr>
          <w:p w14:paraId="1DAE52C4" w14:textId="77777777" w:rsidR="00247CBF" w:rsidRPr="00092ED7" w:rsidRDefault="00247CBF" w:rsidP="00247CBF">
            <w:pPr>
              <w:spacing w:after="0"/>
              <w:jc w:val="right"/>
              <w:rPr>
                <w:sz w:val="20"/>
                <w:szCs w:val="20"/>
                <w:lang w:val="sr-Cyrl-CS"/>
              </w:rPr>
            </w:pPr>
            <w:r w:rsidRPr="00092ED7">
              <w:rPr>
                <w:sz w:val="20"/>
                <w:szCs w:val="20"/>
                <w:lang w:val="sr-Cyrl-CS"/>
              </w:rPr>
              <w:t> </w:t>
            </w:r>
          </w:p>
        </w:tc>
      </w:tr>
      <w:tr w:rsidR="00247CBF" w:rsidRPr="00092ED7" w14:paraId="070112DF" w14:textId="77777777" w:rsidTr="00247CBF">
        <w:trPr>
          <w:gridAfter w:val="1"/>
          <w:wAfter w:w="10" w:type="dxa"/>
          <w:trHeight w:val="227"/>
        </w:trPr>
        <w:tc>
          <w:tcPr>
            <w:tcW w:w="6255" w:type="dxa"/>
            <w:tcBorders>
              <w:top w:val="nil"/>
              <w:left w:val="double" w:sz="6" w:space="0" w:color="auto"/>
              <w:bottom w:val="nil"/>
              <w:right w:val="single" w:sz="8" w:space="0" w:color="auto"/>
            </w:tcBorders>
            <w:shd w:val="clear" w:color="auto" w:fill="auto"/>
            <w:noWrap/>
            <w:vAlign w:val="center"/>
            <w:hideMark/>
          </w:tcPr>
          <w:p w14:paraId="6960CFE7" w14:textId="77777777" w:rsidR="00247CBF" w:rsidRPr="00092ED7" w:rsidRDefault="00247CBF" w:rsidP="00247CBF">
            <w:pPr>
              <w:spacing w:after="0"/>
              <w:jc w:val="left"/>
              <w:rPr>
                <w:rFonts w:eastAsia="Times New Roman" w:cs="Times New Roman"/>
                <w:sz w:val="20"/>
                <w:szCs w:val="20"/>
                <w:lang w:val="sr-Cyrl-CS"/>
              </w:rPr>
            </w:pPr>
            <w:r w:rsidRPr="00092ED7">
              <w:rPr>
                <w:rFonts w:eastAsia="Times New Roman" w:cs="Times New Roman"/>
                <w:sz w:val="20"/>
                <w:szCs w:val="20"/>
                <w:lang w:val="sr-Cyrl-CS"/>
              </w:rPr>
              <w:t>- Нето акумулација финансијских средстава (5)</w:t>
            </w:r>
          </w:p>
        </w:tc>
        <w:tc>
          <w:tcPr>
            <w:tcW w:w="1585" w:type="dxa"/>
            <w:tcBorders>
              <w:top w:val="nil"/>
              <w:left w:val="nil"/>
              <w:bottom w:val="dotted" w:sz="4" w:space="0" w:color="auto"/>
              <w:right w:val="single" w:sz="8" w:space="0" w:color="auto"/>
            </w:tcBorders>
            <w:shd w:val="clear" w:color="auto" w:fill="auto"/>
            <w:vAlign w:val="center"/>
            <w:hideMark/>
          </w:tcPr>
          <w:p w14:paraId="4214C19C" w14:textId="77777777" w:rsidR="00247CBF" w:rsidRPr="00092ED7" w:rsidRDefault="00247CBF" w:rsidP="00247CBF">
            <w:pPr>
              <w:spacing w:after="0"/>
              <w:jc w:val="center"/>
              <w:rPr>
                <w:sz w:val="20"/>
                <w:szCs w:val="20"/>
                <w:lang w:val="sr-Cyrl-CS"/>
              </w:rPr>
            </w:pPr>
            <w:r w:rsidRPr="00092ED7">
              <w:rPr>
                <w:sz w:val="20"/>
                <w:szCs w:val="20"/>
                <w:lang w:val="sr-Cyrl-CS"/>
              </w:rPr>
              <w:t>млрд РСД</w:t>
            </w:r>
          </w:p>
        </w:tc>
        <w:tc>
          <w:tcPr>
            <w:tcW w:w="1120" w:type="dxa"/>
            <w:tcBorders>
              <w:top w:val="nil"/>
              <w:left w:val="nil"/>
              <w:bottom w:val="dotted" w:sz="4" w:space="0" w:color="auto"/>
              <w:right w:val="dotted" w:sz="4" w:space="0" w:color="auto"/>
            </w:tcBorders>
            <w:shd w:val="clear" w:color="auto" w:fill="auto"/>
            <w:vAlign w:val="center"/>
            <w:hideMark/>
          </w:tcPr>
          <w:p w14:paraId="31545EB5"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120" w:type="dxa"/>
            <w:tcBorders>
              <w:top w:val="nil"/>
              <w:left w:val="nil"/>
              <w:bottom w:val="dotted" w:sz="4" w:space="0" w:color="auto"/>
              <w:right w:val="dotted" w:sz="4" w:space="0" w:color="auto"/>
            </w:tcBorders>
            <w:shd w:val="clear" w:color="auto" w:fill="auto"/>
            <w:vAlign w:val="center"/>
            <w:hideMark/>
          </w:tcPr>
          <w:p w14:paraId="0CC201DA"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120" w:type="dxa"/>
            <w:tcBorders>
              <w:top w:val="nil"/>
              <w:left w:val="nil"/>
              <w:bottom w:val="dotted" w:sz="4" w:space="0" w:color="auto"/>
              <w:right w:val="dotted" w:sz="4" w:space="0" w:color="auto"/>
            </w:tcBorders>
            <w:shd w:val="clear" w:color="auto" w:fill="auto"/>
            <w:vAlign w:val="center"/>
            <w:hideMark/>
          </w:tcPr>
          <w:p w14:paraId="09CDAF3D"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120" w:type="dxa"/>
            <w:tcBorders>
              <w:top w:val="nil"/>
              <w:left w:val="nil"/>
              <w:bottom w:val="dotted" w:sz="4" w:space="0" w:color="auto"/>
              <w:right w:val="dotted" w:sz="4" w:space="0" w:color="auto"/>
            </w:tcBorders>
            <w:shd w:val="clear" w:color="auto" w:fill="auto"/>
            <w:vAlign w:val="center"/>
            <w:hideMark/>
          </w:tcPr>
          <w:p w14:paraId="32C85CA0"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120" w:type="dxa"/>
            <w:tcBorders>
              <w:top w:val="nil"/>
              <w:left w:val="nil"/>
              <w:bottom w:val="dotted" w:sz="4" w:space="0" w:color="auto"/>
              <w:right w:val="dotted" w:sz="4" w:space="0" w:color="auto"/>
            </w:tcBorders>
            <w:shd w:val="clear" w:color="auto" w:fill="auto"/>
            <w:vAlign w:val="center"/>
            <w:hideMark/>
          </w:tcPr>
          <w:p w14:paraId="4B963912"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120" w:type="dxa"/>
            <w:tcBorders>
              <w:top w:val="nil"/>
              <w:left w:val="nil"/>
              <w:bottom w:val="dotted" w:sz="4" w:space="0" w:color="auto"/>
              <w:right w:val="double" w:sz="6" w:space="0" w:color="auto"/>
            </w:tcBorders>
            <w:shd w:val="clear" w:color="auto" w:fill="auto"/>
            <w:noWrap/>
            <w:vAlign w:val="center"/>
            <w:hideMark/>
          </w:tcPr>
          <w:p w14:paraId="5D18444D" w14:textId="77777777" w:rsidR="00247CBF" w:rsidRPr="00092ED7" w:rsidRDefault="00247CBF" w:rsidP="00247CBF">
            <w:pPr>
              <w:spacing w:after="0"/>
              <w:jc w:val="right"/>
              <w:rPr>
                <w:sz w:val="20"/>
                <w:szCs w:val="20"/>
                <w:lang w:val="sr-Cyrl-CS"/>
              </w:rPr>
            </w:pPr>
            <w:r w:rsidRPr="00092ED7">
              <w:rPr>
                <w:sz w:val="20"/>
                <w:szCs w:val="20"/>
                <w:lang w:val="sr-Cyrl-CS"/>
              </w:rPr>
              <w:t> </w:t>
            </w:r>
          </w:p>
        </w:tc>
      </w:tr>
      <w:tr w:rsidR="00247CBF" w:rsidRPr="00092ED7" w14:paraId="215627C1" w14:textId="77777777" w:rsidTr="00247CBF">
        <w:trPr>
          <w:gridAfter w:val="1"/>
          <w:wAfter w:w="10" w:type="dxa"/>
          <w:trHeight w:val="227"/>
        </w:trPr>
        <w:tc>
          <w:tcPr>
            <w:tcW w:w="6255" w:type="dxa"/>
            <w:tcBorders>
              <w:top w:val="dotted" w:sz="4" w:space="0" w:color="auto"/>
              <w:left w:val="double" w:sz="6" w:space="0" w:color="auto"/>
              <w:bottom w:val="dotted" w:sz="4" w:space="0" w:color="auto"/>
              <w:right w:val="single" w:sz="8" w:space="0" w:color="auto"/>
            </w:tcBorders>
            <w:shd w:val="clear" w:color="auto" w:fill="auto"/>
            <w:vAlign w:val="center"/>
            <w:hideMark/>
          </w:tcPr>
          <w:p w14:paraId="4F3DA0C5" w14:textId="77777777" w:rsidR="00247CBF" w:rsidRPr="00092ED7" w:rsidRDefault="00247CBF" w:rsidP="00247CBF">
            <w:pPr>
              <w:spacing w:after="0"/>
              <w:jc w:val="left"/>
              <w:rPr>
                <w:rFonts w:eastAsia="Times New Roman" w:cs="Times New Roman"/>
                <w:i/>
                <w:iCs/>
                <w:sz w:val="20"/>
                <w:szCs w:val="20"/>
                <w:lang w:val="sr-Cyrl-CS"/>
              </w:rPr>
            </w:pPr>
            <w:r w:rsidRPr="00092ED7">
              <w:rPr>
                <w:rFonts w:eastAsia="Times New Roman" w:cs="Times New Roman"/>
                <w:i/>
                <w:iCs/>
                <w:sz w:val="20"/>
                <w:szCs w:val="20"/>
                <w:lang w:val="sr-Cyrl-CS"/>
              </w:rPr>
              <w:t>од чега:</w:t>
            </w:r>
          </w:p>
        </w:tc>
        <w:tc>
          <w:tcPr>
            <w:tcW w:w="1585" w:type="dxa"/>
            <w:tcBorders>
              <w:top w:val="nil"/>
              <w:left w:val="nil"/>
              <w:bottom w:val="dotted" w:sz="4" w:space="0" w:color="auto"/>
              <w:right w:val="single" w:sz="8" w:space="0" w:color="auto"/>
            </w:tcBorders>
            <w:shd w:val="clear" w:color="auto" w:fill="auto"/>
            <w:vAlign w:val="center"/>
            <w:hideMark/>
          </w:tcPr>
          <w:p w14:paraId="0A4D8268" w14:textId="77777777" w:rsidR="00247CBF" w:rsidRPr="00092ED7" w:rsidRDefault="00247CBF" w:rsidP="00247CBF">
            <w:pPr>
              <w:spacing w:after="0"/>
              <w:jc w:val="center"/>
              <w:rPr>
                <w:sz w:val="20"/>
                <w:szCs w:val="20"/>
                <w:lang w:val="sr-Cyrl-CS"/>
              </w:rPr>
            </w:pPr>
          </w:p>
        </w:tc>
        <w:tc>
          <w:tcPr>
            <w:tcW w:w="1120" w:type="dxa"/>
            <w:tcBorders>
              <w:top w:val="nil"/>
              <w:left w:val="nil"/>
              <w:bottom w:val="dotted" w:sz="4" w:space="0" w:color="auto"/>
              <w:right w:val="dotted" w:sz="4" w:space="0" w:color="auto"/>
            </w:tcBorders>
            <w:shd w:val="clear" w:color="auto" w:fill="auto"/>
            <w:vAlign w:val="center"/>
            <w:hideMark/>
          </w:tcPr>
          <w:p w14:paraId="5A908547"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120" w:type="dxa"/>
            <w:tcBorders>
              <w:top w:val="nil"/>
              <w:left w:val="nil"/>
              <w:bottom w:val="dotted" w:sz="4" w:space="0" w:color="auto"/>
              <w:right w:val="dotted" w:sz="4" w:space="0" w:color="auto"/>
            </w:tcBorders>
            <w:shd w:val="clear" w:color="auto" w:fill="auto"/>
            <w:vAlign w:val="center"/>
            <w:hideMark/>
          </w:tcPr>
          <w:p w14:paraId="7555E927"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120" w:type="dxa"/>
            <w:tcBorders>
              <w:top w:val="nil"/>
              <w:left w:val="nil"/>
              <w:bottom w:val="dotted" w:sz="4" w:space="0" w:color="auto"/>
              <w:right w:val="dotted" w:sz="4" w:space="0" w:color="auto"/>
            </w:tcBorders>
            <w:shd w:val="clear" w:color="auto" w:fill="auto"/>
            <w:vAlign w:val="center"/>
            <w:hideMark/>
          </w:tcPr>
          <w:p w14:paraId="7BDE80BD"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120" w:type="dxa"/>
            <w:tcBorders>
              <w:top w:val="nil"/>
              <w:left w:val="nil"/>
              <w:bottom w:val="dotted" w:sz="4" w:space="0" w:color="auto"/>
              <w:right w:val="dotted" w:sz="4" w:space="0" w:color="auto"/>
            </w:tcBorders>
            <w:shd w:val="clear" w:color="auto" w:fill="auto"/>
            <w:vAlign w:val="center"/>
            <w:hideMark/>
          </w:tcPr>
          <w:p w14:paraId="21FDD15E"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120" w:type="dxa"/>
            <w:tcBorders>
              <w:top w:val="nil"/>
              <w:left w:val="nil"/>
              <w:bottom w:val="dotted" w:sz="4" w:space="0" w:color="auto"/>
              <w:right w:val="dotted" w:sz="4" w:space="0" w:color="auto"/>
            </w:tcBorders>
            <w:shd w:val="clear" w:color="auto" w:fill="auto"/>
            <w:vAlign w:val="center"/>
            <w:hideMark/>
          </w:tcPr>
          <w:p w14:paraId="2155BC9F"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120" w:type="dxa"/>
            <w:tcBorders>
              <w:top w:val="nil"/>
              <w:left w:val="nil"/>
              <w:bottom w:val="dotted" w:sz="4" w:space="0" w:color="auto"/>
              <w:right w:val="double" w:sz="6" w:space="0" w:color="auto"/>
            </w:tcBorders>
            <w:shd w:val="clear" w:color="auto" w:fill="auto"/>
            <w:noWrap/>
            <w:vAlign w:val="center"/>
            <w:hideMark/>
          </w:tcPr>
          <w:p w14:paraId="7131DF73" w14:textId="77777777" w:rsidR="00247CBF" w:rsidRPr="00092ED7" w:rsidRDefault="00247CBF" w:rsidP="00247CBF">
            <w:pPr>
              <w:spacing w:after="0"/>
              <w:jc w:val="right"/>
              <w:rPr>
                <w:sz w:val="20"/>
                <w:szCs w:val="20"/>
                <w:lang w:val="sr-Cyrl-CS"/>
              </w:rPr>
            </w:pPr>
            <w:r w:rsidRPr="00092ED7">
              <w:rPr>
                <w:sz w:val="20"/>
                <w:szCs w:val="20"/>
                <w:lang w:val="sr-Cyrl-CS"/>
              </w:rPr>
              <w:t> </w:t>
            </w:r>
          </w:p>
        </w:tc>
      </w:tr>
      <w:tr w:rsidR="00247CBF" w:rsidRPr="00092ED7" w14:paraId="0910AB93" w14:textId="77777777" w:rsidTr="00247CBF">
        <w:trPr>
          <w:gridAfter w:val="1"/>
          <w:wAfter w:w="10" w:type="dxa"/>
          <w:trHeight w:val="227"/>
        </w:trPr>
        <w:tc>
          <w:tcPr>
            <w:tcW w:w="6255" w:type="dxa"/>
            <w:tcBorders>
              <w:top w:val="nil"/>
              <w:left w:val="double" w:sz="6" w:space="0" w:color="auto"/>
              <w:bottom w:val="dotted" w:sz="4" w:space="0" w:color="auto"/>
              <w:right w:val="single" w:sz="8" w:space="0" w:color="auto"/>
            </w:tcBorders>
            <w:shd w:val="clear" w:color="auto" w:fill="auto"/>
            <w:vAlign w:val="center"/>
            <w:hideMark/>
          </w:tcPr>
          <w:p w14:paraId="013FDD07" w14:textId="77777777" w:rsidR="00247CBF" w:rsidRPr="00092ED7" w:rsidRDefault="00247CBF" w:rsidP="00247CBF">
            <w:pPr>
              <w:spacing w:after="0"/>
              <w:jc w:val="left"/>
              <w:rPr>
                <w:rFonts w:eastAsia="Times New Roman" w:cs="Times New Roman"/>
                <w:sz w:val="20"/>
                <w:szCs w:val="20"/>
                <w:lang w:val="sr-Cyrl-CS"/>
              </w:rPr>
            </w:pPr>
            <w:r w:rsidRPr="00092ED7">
              <w:rPr>
                <w:rFonts w:eastAsia="Times New Roman" w:cs="Times New Roman"/>
                <w:sz w:val="20"/>
                <w:szCs w:val="20"/>
                <w:lang w:val="sr-Cyrl-CS"/>
              </w:rPr>
              <w:t>- Приходи од приватизације</w:t>
            </w:r>
          </w:p>
        </w:tc>
        <w:tc>
          <w:tcPr>
            <w:tcW w:w="1585" w:type="dxa"/>
            <w:tcBorders>
              <w:top w:val="nil"/>
              <w:left w:val="nil"/>
              <w:bottom w:val="dotted" w:sz="4" w:space="0" w:color="auto"/>
              <w:right w:val="single" w:sz="8" w:space="0" w:color="auto"/>
            </w:tcBorders>
            <w:shd w:val="clear" w:color="auto" w:fill="auto"/>
            <w:vAlign w:val="center"/>
            <w:hideMark/>
          </w:tcPr>
          <w:p w14:paraId="0A0EF4B7" w14:textId="77777777" w:rsidR="00247CBF" w:rsidRPr="00092ED7" w:rsidRDefault="00247CBF" w:rsidP="00247CBF">
            <w:pPr>
              <w:spacing w:after="0"/>
              <w:jc w:val="center"/>
              <w:rPr>
                <w:sz w:val="20"/>
                <w:szCs w:val="20"/>
                <w:lang w:val="sr-Cyrl-CS"/>
              </w:rPr>
            </w:pPr>
            <w:r w:rsidRPr="00092ED7">
              <w:rPr>
                <w:sz w:val="20"/>
                <w:szCs w:val="20"/>
                <w:lang w:val="sr-Cyrl-CS"/>
              </w:rPr>
              <w:t>млрд РСД</w:t>
            </w:r>
          </w:p>
        </w:tc>
        <w:tc>
          <w:tcPr>
            <w:tcW w:w="1120" w:type="dxa"/>
            <w:tcBorders>
              <w:top w:val="nil"/>
              <w:left w:val="nil"/>
              <w:bottom w:val="dotted" w:sz="4" w:space="0" w:color="auto"/>
              <w:right w:val="dotted" w:sz="4" w:space="0" w:color="auto"/>
            </w:tcBorders>
            <w:shd w:val="clear" w:color="auto" w:fill="auto"/>
            <w:vAlign w:val="center"/>
            <w:hideMark/>
          </w:tcPr>
          <w:p w14:paraId="7ACED989"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120" w:type="dxa"/>
            <w:tcBorders>
              <w:top w:val="nil"/>
              <w:left w:val="nil"/>
              <w:bottom w:val="dotted" w:sz="4" w:space="0" w:color="auto"/>
              <w:right w:val="dotted" w:sz="4" w:space="0" w:color="auto"/>
            </w:tcBorders>
            <w:shd w:val="clear" w:color="auto" w:fill="auto"/>
            <w:vAlign w:val="center"/>
            <w:hideMark/>
          </w:tcPr>
          <w:p w14:paraId="6C7C45EE"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120" w:type="dxa"/>
            <w:tcBorders>
              <w:top w:val="nil"/>
              <w:left w:val="nil"/>
              <w:bottom w:val="dotted" w:sz="4" w:space="0" w:color="auto"/>
              <w:right w:val="dotted" w:sz="4" w:space="0" w:color="auto"/>
            </w:tcBorders>
            <w:shd w:val="clear" w:color="auto" w:fill="auto"/>
            <w:vAlign w:val="center"/>
            <w:hideMark/>
          </w:tcPr>
          <w:p w14:paraId="7693A5EE"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120" w:type="dxa"/>
            <w:tcBorders>
              <w:top w:val="nil"/>
              <w:left w:val="nil"/>
              <w:bottom w:val="dotted" w:sz="4" w:space="0" w:color="auto"/>
              <w:right w:val="dotted" w:sz="4" w:space="0" w:color="auto"/>
            </w:tcBorders>
            <w:shd w:val="clear" w:color="auto" w:fill="auto"/>
            <w:vAlign w:val="center"/>
            <w:hideMark/>
          </w:tcPr>
          <w:p w14:paraId="1951A003"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120" w:type="dxa"/>
            <w:tcBorders>
              <w:top w:val="nil"/>
              <w:left w:val="nil"/>
              <w:bottom w:val="dotted" w:sz="4" w:space="0" w:color="auto"/>
              <w:right w:val="dotted" w:sz="4" w:space="0" w:color="auto"/>
            </w:tcBorders>
            <w:shd w:val="clear" w:color="auto" w:fill="auto"/>
            <w:vAlign w:val="center"/>
            <w:hideMark/>
          </w:tcPr>
          <w:p w14:paraId="6B745300"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120" w:type="dxa"/>
            <w:tcBorders>
              <w:top w:val="nil"/>
              <w:left w:val="nil"/>
              <w:bottom w:val="dotted" w:sz="4" w:space="0" w:color="auto"/>
              <w:right w:val="double" w:sz="6" w:space="0" w:color="auto"/>
            </w:tcBorders>
            <w:shd w:val="clear" w:color="auto" w:fill="auto"/>
            <w:noWrap/>
            <w:vAlign w:val="center"/>
            <w:hideMark/>
          </w:tcPr>
          <w:p w14:paraId="68A124E1" w14:textId="77777777" w:rsidR="00247CBF" w:rsidRPr="00092ED7" w:rsidRDefault="00247CBF" w:rsidP="00247CBF">
            <w:pPr>
              <w:spacing w:after="0"/>
              <w:jc w:val="right"/>
              <w:rPr>
                <w:sz w:val="20"/>
                <w:szCs w:val="20"/>
                <w:lang w:val="sr-Cyrl-CS"/>
              </w:rPr>
            </w:pPr>
            <w:r w:rsidRPr="00092ED7">
              <w:rPr>
                <w:sz w:val="20"/>
                <w:szCs w:val="20"/>
                <w:lang w:val="sr-Cyrl-CS"/>
              </w:rPr>
              <w:t> </w:t>
            </w:r>
          </w:p>
        </w:tc>
      </w:tr>
      <w:tr w:rsidR="00247CBF" w:rsidRPr="00092ED7" w14:paraId="793BD6D7" w14:textId="77777777" w:rsidTr="00247CBF">
        <w:trPr>
          <w:gridAfter w:val="1"/>
          <w:wAfter w:w="10" w:type="dxa"/>
          <w:trHeight w:val="227"/>
        </w:trPr>
        <w:tc>
          <w:tcPr>
            <w:tcW w:w="6255" w:type="dxa"/>
            <w:tcBorders>
              <w:top w:val="nil"/>
              <w:left w:val="double" w:sz="6" w:space="0" w:color="auto"/>
              <w:bottom w:val="single" w:sz="4" w:space="0" w:color="auto"/>
              <w:right w:val="single" w:sz="8" w:space="0" w:color="auto"/>
            </w:tcBorders>
            <w:shd w:val="clear" w:color="auto" w:fill="auto"/>
            <w:noWrap/>
            <w:vAlign w:val="center"/>
            <w:hideMark/>
          </w:tcPr>
          <w:p w14:paraId="5F92E617" w14:textId="77777777" w:rsidR="00247CBF" w:rsidRPr="00092ED7" w:rsidRDefault="00247CBF" w:rsidP="00247CBF">
            <w:pPr>
              <w:spacing w:after="0"/>
              <w:jc w:val="left"/>
              <w:rPr>
                <w:rFonts w:eastAsia="Times New Roman" w:cs="Times New Roman"/>
                <w:sz w:val="20"/>
                <w:szCs w:val="20"/>
                <w:lang w:val="sr-Cyrl-CS"/>
              </w:rPr>
            </w:pPr>
            <w:r w:rsidRPr="00092ED7">
              <w:rPr>
                <w:rFonts w:eastAsia="Times New Roman" w:cs="Times New Roman"/>
                <w:sz w:val="20"/>
                <w:szCs w:val="20"/>
                <w:lang w:val="sr-Cyrl-CS"/>
              </w:rPr>
              <w:t>- Ефекти вредновања и др. (6)</w:t>
            </w:r>
          </w:p>
        </w:tc>
        <w:tc>
          <w:tcPr>
            <w:tcW w:w="1585" w:type="dxa"/>
            <w:tcBorders>
              <w:top w:val="nil"/>
              <w:left w:val="nil"/>
              <w:bottom w:val="dotted" w:sz="4" w:space="0" w:color="auto"/>
              <w:right w:val="single" w:sz="8" w:space="0" w:color="auto"/>
            </w:tcBorders>
            <w:shd w:val="clear" w:color="auto" w:fill="auto"/>
            <w:vAlign w:val="center"/>
            <w:hideMark/>
          </w:tcPr>
          <w:p w14:paraId="2191E955" w14:textId="77777777" w:rsidR="00247CBF" w:rsidRPr="00092ED7" w:rsidRDefault="00247CBF" w:rsidP="00247CBF">
            <w:pPr>
              <w:spacing w:after="0"/>
              <w:jc w:val="center"/>
              <w:rPr>
                <w:sz w:val="20"/>
                <w:szCs w:val="20"/>
                <w:lang w:val="sr-Cyrl-CS"/>
              </w:rPr>
            </w:pPr>
            <w:r w:rsidRPr="00092ED7">
              <w:rPr>
                <w:sz w:val="20"/>
                <w:szCs w:val="20"/>
                <w:lang w:val="sr-Cyrl-CS"/>
              </w:rPr>
              <w:t>млрд РСД</w:t>
            </w:r>
          </w:p>
        </w:tc>
        <w:tc>
          <w:tcPr>
            <w:tcW w:w="1120" w:type="dxa"/>
            <w:tcBorders>
              <w:top w:val="nil"/>
              <w:left w:val="nil"/>
              <w:bottom w:val="single" w:sz="4" w:space="0" w:color="auto"/>
              <w:right w:val="dotted" w:sz="4" w:space="0" w:color="auto"/>
            </w:tcBorders>
            <w:shd w:val="clear" w:color="auto" w:fill="auto"/>
            <w:vAlign w:val="center"/>
            <w:hideMark/>
          </w:tcPr>
          <w:p w14:paraId="75B127B6"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120" w:type="dxa"/>
            <w:tcBorders>
              <w:top w:val="nil"/>
              <w:left w:val="nil"/>
              <w:bottom w:val="single" w:sz="4" w:space="0" w:color="auto"/>
              <w:right w:val="dotted" w:sz="4" w:space="0" w:color="auto"/>
            </w:tcBorders>
            <w:shd w:val="clear" w:color="auto" w:fill="auto"/>
            <w:vAlign w:val="center"/>
            <w:hideMark/>
          </w:tcPr>
          <w:p w14:paraId="284D560C"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120" w:type="dxa"/>
            <w:tcBorders>
              <w:top w:val="nil"/>
              <w:left w:val="nil"/>
              <w:bottom w:val="single" w:sz="4" w:space="0" w:color="auto"/>
              <w:right w:val="dotted" w:sz="4" w:space="0" w:color="auto"/>
            </w:tcBorders>
            <w:shd w:val="clear" w:color="auto" w:fill="auto"/>
            <w:vAlign w:val="center"/>
            <w:hideMark/>
          </w:tcPr>
          <w:p w14:paraId="39EAD79C"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120" w:type="dxa"/>
            <w:tcBorders>
              <w:top w:val="nil"/>
              <w:left w:val="nil"/>
              <w:bottom w:val="single" w:sz="4" w:space="0" w:color="auto"/>
              <w:right w:val="dotted" w:sz="4" w:space="0" w:color="auto"/>
            </w:tcBorders>
            <w:shd w:val="clear" w:color="auto" w:fill="auto"/>
            <w:vAlign w:val="center"/>
            <w:hideMark/>
          </w:tcPr>
          <w:p w14:paraId="015E5FEE"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120" w:type="dxa"/>
            <w:tcBorders>
              <w:top w:val="nil"/>
              <w:left w:val="nil"/>
              <w:bottom w:val="single" w:sz="4" w:space="0" w:color="auto"/>
              <w:right w:val="dotted" w:sz="4" w:space="0" w:color="auto"/>
            </w:tcBorders>
            <w:shd w:val="clear" w:color="auto" w:fill="auto"/>
            <w:vAlign w:val="center"/>
            <w:hideMark/>
          </w:tcPr>
          <w:p w14:paraId="1C92E24A"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120" w:type="dxa"/>
            <w:tcBorders>
              <w:top w:val="nil"/>
              <w:left w:val="nil"/>
              <w:bottom w:val="single" w:sz="4" w:space="0" w:color="auto"/>
              <w:right w:val="double" w:sz="6" w:space="0" w:color="auto"/>
            </w:tcBorders>
            <w:shd w:val="clear" w:color="auto" w:fill="auto"/>
            <w:noWrap/>
            <w:vAlign w:val="center"/>
            <w:hideMark/>
          </w:tcPr>
          <w:p w14:paraId="49FFE688" w14:textId="77777777" w:rsidR="00247CBF" w:rsidRPr="00092ED7" w:rsidRDefault="00247CBF" w:rsidP="00247CBF">
            <w:pPr>
              <w:spacing w:after="0"/>
              <w:jc w:val="right"/>
              <w:rPr>
                <w:sz w:val="20"/>
                <w:szCs w:val="20"/>
                <w:lang w:val="sr-Cyrl-CS"/>
              </w:rPr>
            </w:pPr>
            <w:r w:rsidRPr="00092ED7">
              <w:rPr>
                <w:sz w:val="20"/>
                <w:szCs w:val="20"/>
                <w:lang w:val="sr-Cyrl-CS"/>
              </w:rPr>
              <w:t> </w:t>
            </w:r>
          </w:p>
        </w:tc>
      </w:tr>
      <w:tr w:rsidR="00247CBF" w:rsidRPr="00092ED7" w14:paraId="4A654578" w14:textId="77777777" w:rsidTr="00247CBF">
        <w:trPr>
          <w:gridAfter w:val="1"/>
          <w:wAfter w:w="10" w:type="dxa"/>
          <w:trHeight w:val="227"/>
        </w:trPr>
        <w:tc>
          <w:tcPr>
            <w:tcW w:w="6255" w:type="dxa"/>
            <w:tcBorders>
              <w:top w:val="nil"/>
              <w:left w:val="double" w:sz="6" w:space="0" w:color="auto"/>
              <w:bottom w:val="single" w:sz="4" w:space="0" w:color="auto"/>
              <w:right w:val="nil"/>
            </w:tcBorders>
            <w:shd w:val="clear" w:color="auto" w:fill="auto"/>
            <w:vAlign w:val="center"/>
            <w:hideMark/>
          </w:tcPr>
          <w:p w14:paraId="07AE0021" w14:textId="77777777" w:rsidR="00247CBF" w:rsidRPr="00092ED7" w:rsidRDefault="00247CBF" w:rsidP="00247CBF">
            <w:pPr>
              <w:spacing w:after="0"/>
              <w:jc w:val="left"/>
              <w:rPr>
                <w:rFonts w:eastAsia="Times New Roman" w:cs="Times New Roman"/>
                <w:b/>
                <w:bCs/>
                <w:sz w:val="20"/>
                <w:szCs w:val="20"/>
                <w:lang w:val="sr-Cyrl-CS"/>
              </w:rPr>
            </w:pPr>
            <w:r w:rsidRPr="00092ED7">
              <w:rPr>
                <w:rFonts w:eastAsia="Times New Roman" w:cs="Times New Roman"/>
                <w:b/>
                <w:bCs/>
                <w:sz w:val="20"/>
                <w:szCs w:val="20"/>
                <w:lang w:val="sr-Cyrl-CS"/>
              </w:rPr>
              <w:t>Остале релевантне променљиве</w:t>
            </w:r>
          </w:p>
        </w:tc>
        <w:tc>
          <w:tcPr>
            <w:tcW w:w="1585"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39479594" w14:textId="77777777" w:rsidR="00247CBF" w:rsidRPr="00092ED7" w:rsidRDefault="00247CBF" w:rsidP="00247CBF">
            <w:pPr>
              <w:spacing w:after="0"/>
              <w:jc w:val="center"/>
              <w:rPr>
                <w:b/>
                <w:bCs/>
                <w:sz w:val="20"/>
                <w:szCs w:val="20"/>
                <w:lang w:val="sr-Cyrl-CS"/>
              </w:rPr>
            </w:pPr>
          </w:p>
        </w:tc>
        <w:tc>
          <w:tcPr>
            <w:tcW w:w="1120" w:type="dxa"/>
            <w:tcBorders>
              <w:top w:val="nil"/>
              <w:left w:val="nil"/>
              <w:bottom w:val="single" w:sz="4" w:space="0" w:color="auto"/>
              <w:right w:val="nil"/>
            </w:tcBorders>
            <w:shd w:val="clear" w:color="auto" w:fill="auto"/>
            <w:vAlign w:val="center"/>
            <w:hideMark/>
          </w:tcPr>
          <w:p w14:paraId="0A423353" w14:textId="77777777" w:rsidR="00247CBF" w:rsidRPr="00092ED7" w:rsidRDefault="00247CBF" w:rsidP="00247CBF">
            <w:pPr>
              <w:spacing w:after="0"/>
              <w:jc w:val="right"/>
              <w:rPr>
                <w:b/>
                <w:bCs/>
                <w:sz w:val="20"/>
                <w:szCs w:val="20"/>
                <w:lang w:val="sr-Cyrl-CS"/>
              </w:rPr>
            </w:pPr>
            <w:r w:rsidRPr="00092ED7">
              <w:rPr>
                <w:b/>
                <w:bCs/>
                <w:sz w:val="20"/>
                <w:szCs w:val="20"/>
                <w:lang w:val="sr-Cyrl-CS"/>
              </w:rPr>
              <w:t> </w:t>
            </w:r>
          </w:p>
        </w:tc>
        <w:tc>
          <w:tcPr>
            <w:tcW w:w="1120" w:type="dxa"/>
            <w:tcBorders>
              <w:top w:val="nil"/>
              <w:left w:val="nil"/>
              <w:bottom w:val="single" w:sz="4" w:space="0" w:color="auto"/>
              <w:right w:val="nil"/>
            </w:tcBorders>
            <w:shd w:val="clear" w:color="auto" w:fill="auto"/>
            <w:vAlign w:val="center"/>
            <w:hideMark/>
          </w:tcPr>
          <w:p w14:paraId="28B7A17D" w14:textId="77777777" w:rsidR="00247CBF" w:rsidRPr="00092ED7" w:rsidRDefault="00247CBF" w:rsidP="00247CBF">
            <w:pPr>
              <w:spacing w:after="0"/>
              <w:jc w:val="right"/>
              <w:rPr>
                <w:b/>
                <w:bCs/>
                <w:sz w:val="20"/>
                <w:szCs w:val="20"/>
                <w:lang w:val="sr-Cyrl-CS"/>
              </w:rPr>
            </w:pPr>
            <w:r w:rsidRPr="00092ED7">
              <w:rPr>
                <w:b/>
                <w:bCs/>
                <w:sz w:val="20"/>
                <w:szCs w:val="20"/>
                <w:lang w:val="sr-Cyrl-CS"/>
              </w:rPr>
              <w:t> </w:t>
            </w:r>
          </w:p>
        </w:tc>
        <w:tc>
          <w:tcPr>
            <w:tcW w:w="1120" w:type="dxa"/>
            <w:tcBorders>
              <w:top w:val="nil"/>
              <w:left w:val="nil"/>
              <w:bottom w:val="single" w:sz="4" w:space="0" w:color="auto"/>
              <w:right w:val="nil"/>
            </w:tcBorders>
            <w:shd w:val="clear" w:color="auto" w:fill="auto"/>
            <w:vAlign w:val="center"/>
            <w:hideMark/>
          </w:tcPr>
          <w:p w14:paraId="27BB03F1" w14:textId="77777777" w:rsidR="00247CBF" w:rsidRPr="00092ED7" w:rsidRDefault="00247CBF" w:rsidP="00247CBF">
            <w:pPr>
              <w:spacing w:after="0"/>
              <w:jc w:val="right"/>
              <w:rPr>
                <w:b/>
                <w:bCs/>
                <w:sz w:val="20"/>
                <w:szCs w:val="20"/>
                <w:lang w:val="sr-Cyrl-CS"/>
              </w:rPr>
            </w:pPr>
            <w:r w:rsidRPr="00092ED7">
              <w:rPr>
                <w:b/>
                <w:bCs/>
                <w:sz w:val="20"/>
                <w:szCs w:val="20"/>
                <w:lang w:val="sr-Cyrl-CS"/>
              </w:rPr>
              <w:t> </w:t>
            </w:r>
          </w:p>
        </w:tc>
        <w:tc>
          <w:tcPr>
            <w:tcW w:w="1120" w:type="dxa"/>
            <w:tcBorders>
              <w:top w:val="nil"/>
              <w:left w:val="nil"/>
              <w:bottom w:val="single" w:sz="4" w:space="0" w:color="auto"/>
              <w:right w:val="nil"/>
            </w:tcBorders>
            <w:shd w:val="clear" w:color="auto" w:fill="auto"/>
            <w:vAlign w:val="center"/>
            <w:hideMark/>
          </w:tcPr>
          <w:p w14:paraId="4C92EB9F" w14:textId="77777777" w:rsidR="00247CBF" w:rsidRPr="00092ED7" w:rsidRDefault="00247CBF" w:rsidP="00247CBF">
            <w:pPr>
              <w:spacing w:after="0"/>
              <w:jc w:val="right"/>
              <w:rPr>
                <w:b/>
                <w:bCs/>
                <w:sz w:val="20"/>
                <w:szCs w:val="20"/>
                <w:lang w:val="sr-Cyrl-CS"/>
              </w:rPr>
            </w:pPr>
            <w:r w:rsidRPr="00092ED7">
              <w:rPr>
                <w:b/>
                <w:bCs/>
                <w:sz w:val="20"/>
                <w:szCs w:val="20"/>
                <w:lang w:val="sr-Cyrl-CS"/>
              </w:rPr>
              <w:t> </w:t>
            </w:r>
          </w:p>
        </w:tc>
        <w:tc>
          <w:tcPr>
            <w:tcW w:w="1120" w:type="dxa"/>
            <w:tcBorders>
              <w:top w:val="nil"/>
              <w:left w:val="nil"/>
              <w:bottom w:val="single" w:sz="4" w:space="0" w:color="auto"/>
              <w:right w:val="nil"/>
            </w:tcBorders>
            <w:shd w:val="clear" w:color="auto" w:fill="auto"/>
            <w:vAlign w:val="center"/>
            <w:hideMark/>
          </w:tcPr>
          <w:p w14:paraId="3B662002" w14:textId="77777777" w:rsidR="00247CBF" w:rsidRPr="00092ED7" w:rsidRDefault="00247CBF" w:rsidP="00247CBF">
            <w:pPr>
              <w:spacing w:after="0"/>
              <w:jc w:val="right"/>
              <w:rPr>
                <w:b/>
                <w:bCs/>
                <w:sz w:val="20"/>
                <w:szCs w:val="20"/>
                <w:lang w:val="sr-Cyrl-CS"/>
              </w:rPr>
            </w:pPr>
            <w:r w:rsidRPr="00092ED7">
              <w:rPr>
                <w:b/>
                <w:bCs/>
                <w:sz w:val="20"/>
                <w:szCs w:val="20"/>
                <w:lang w:val="sr-Cyrl-CS"/>
              </w:rPr>
              <w:t> </w:t>
            </w:r>
          </w:p>
        </w:tc>
        <w:tc>
          <w:tcPr>
            <w:tcW w:w="1120" w:type="dxa"/>
            <w:tcBorders>
              <w:top w:val="nil"/>
              <w:left w:val="nil"/>
              <w:bottom w:val="single" w:sz="4" w:space="0" w:color="auto"/>
              <w:right w:val="double" w:sz="6" w:space="0" w:color="auto"/>
            </w:tcBorders>
            <w:shd w:val="clear" w:color="auto" w:fill="auto"/>
            <w:noWrap/>
            <w:vAlign w:val="center"/>
            <w:hideMark/>
          </w:tcPr>
          <w:p w14:paraId="57E6C01F" w14:textId="77777777" w:rsidR="00247CBF" w:rsidRPr="00092ED7" w:rsidRDefault="00247CBF" w:rsidP="00247CBF">
            <w:pPr>
              <w:spacing w:after="0"/>
              <w:jc w:val="right"/>
              <w:rPr>
                <w:sz w:val="20"/>
                <w:szCs w:val="20"/>
                <w:lang w:val="sr-Cyrl-CS"/>
              </w:rPr>
            </w:pPr>
            <w:r w:rsidRPr="00092ED7">
              <w:rPr>
                <w:sz w:val="20"/>
                <w:szCs w:val="20"/>
                <w:lang w:val="sr-Cyrl-CS"/>
              </w:rPr>
              <w:t> </w:t>
            </w:r>
          </w:p>
        </w:tc>
      </w:tr>
      <w:tr w:rsidR="00247CBF" w:rsidRPr="00092ED7" w14:paraId="5A9E78C8" w14:textId="77777777" w:rsidTr="00247CBF">
        <w:trPr>
          <w:gridAfter w:val="1"/>
          <w:wAfter w:w="10" w:type="dxa"/>
          <w:trHeight w:val="227"/>
        </w:trPr>
        <w:tc>
          <w:tcPr>
            <w:tcW w:w="6255" w:type="dxa"/>
            <w:tcBorders>
              <w:top w:val="nil"/>
              <w:left w:val="double" w:sz="6" w:space="0" w:color="auto"/>
              <w:bottom w:val="double" w:sz="6" w:space="0" w:color="auto"/>
              <w:right w:val="single" w:sz="8" w:space="0" w:color="auto"/>
            </w:tcBorders>
            <w:shd w:val="clear" w:color="auto" w:fill="auto"/>
            <w:noWrap/>
            <w:vAlign w:val="center"/>
            <w:hideMark/>
          </w:tcPr>
          <w:p w14:paraId="2A26EF20" w14:textId="77777777" w:rsidR="00247CBF" w:rsidRPr="00092ED7" w:rsidRDefault="00000000" w:rsidP="00247CBF">
            <w:pPr>
              <w:spacing w:after="0"/>
              <w:jc w:val="left"/>
              <w:rPr>
                <w:rFonts w:eastAsia="Times New Roman" w:cs="Times New Roman"/>
                <w:sz w:val="20"/>
                <w:szCs w:val="20"/>
                <w:lang w:val="sr-Cyrl-CS"/>
              </w:rPr>
            </w:pPr>
            <w:hyperlink r:id="rId57" w:anchor="RANGE!B179" w:history="1">
              <w:r w:rsidR="00247CBF" w:rsidRPr="00092ED7">
                <w:rPr>
                  <w:rFonts w:eastAsia="Times New Roman" w:cs="Times New Roman"/>
                  <w:sz w:val="20"/>
                  <w:szCs w:val="20"/>
                  <w:lang w:val="sr-Cyrl-CS"/>
                </w:rPr>
                <w:t>6. Ликвидна финансијска средства (8)</w:t>
              </w:r>
            </w:hyperlink>
          </w:p>
        </w:tc>
        <w:tc>
          <w:tcPr>
            <w:tcW w:w="1585" w:type="dxa"/>
            <w:tcBorders>
              <w:top w:val="nil"/>
              <w:left w:val="nil"/>
              <w:bottom w:val="double" w:sz="6" w:space="0" w:color="auto"/>
              <w:right w:val="single" w:sz="8" w:space="0" w:color="auto"/>
            </w:tcBorders>
            <w:shd w:val="clear" w:color="auto" w:fill="auto"/>
            <w:vAlign w:val="center"/>
            <w:hideMark/>
          </w:tcPr>
          <w:p w14:paraId="32B072FF" w14:textId="77777777" w:rsidR="00247CBF" w:rsidRPr="00092ED7" w:rsidRDefault="00247CBF" w:rsidP="00247CBF">
            <w:pPr>
              <w:spacing w:after="0"/>
              <w:jc w:val="center"/>
              <w:rPr>
                <w:sz w:val="20"/>
                <w:szCs w:val="20"/>
                <w:lang w:val="sr-Cyrl-CS"/>
              </w:rPr>
            </w:pPr>
            <w:r w:rsidRPr="00092ED7">
              <w:rPr>
                <w:sz w:val="20"/>
                <w:szCs w:val="20"/>
                <w:lang w:val="sr-Cyrl-CS"/>
              </w:rPr>
              <w:t>млрд РСД</w:t>
            </w:r>
          </w:p>
        </w:tc>
        <w:tc>
          <w:tcPr>
            <w:tcW w:w="1120" w:type="dxa"/>
            <w:tcBorders>
              <w:top w:val="nil"/>
              <w:left w:val="nil"/>
              <w:bottom w:val="double" w:sz="6" w:space="0" w:color="auto"/>
              <w:right w:val="dotted" w:sz="4" w:space="0" w:color="auto"/>
            </w:tcBorders>
            <w:shd w:val="clear" w:color="auto" w:fill="auto"/>
            <w:vAlign w:val="center"/>
            <w:hideMark/>
          </w:tcPr>
          <w:p w14:paraId="36386858"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120" w:type="dxa"/>
            <w:tcBorders>
              <w:top w:val="nil"/>
              <w:left w:val="nil"/>
              <w:bottom w:val="double" w:sz="6" w:space="0" w:color="auto"/>
              <w:right w:val="dotted" w:sz="4" w:space="0" w:color="auto"/>
            </w:tcBorders>
            <w:shd w:val="clear" w:color="auto" w:fill="auto"/>
            <w:vAlign w:val="center"/>
            <w:hideMark/>
          </w:tcPr>
          <w:p w14:paraId="2D07CB4A"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120" w:type="dxa"/>
            <w:tcBorders>
              <w:top w:val="nil"/>
              <w:left w:val="nil"/>
              <w:bottom w:val="double" w:sz="6" w:space="0" w:color="auto"/>
              <w:right w:val="dotted" w:sz="4" w:space="0" w:color="auto"/>
            </w:tcBorders>
            <w:shd w:val="clear" w:color="auto" w:fill="auto"/>
            <w:vAlign w:val="center"/>
            <w:hideMark/>
          </w:tcPr>
          <w:p w14:paraId="1F0EAF20"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120" w:type="dxa"/>
            <w:tcBorders>
              <w:top w:val="nil"/>
              <w:left w:val="nil"/>
              <w:bottom w:val="double" w:sz="6" w:space="0" w:color="auto"/>
              <w:right w:val="dotted" w:sz="4" w:space="0" w:color="auto"/>
            </w:tcBorders>
            <w:shd w:val="clear" w:color="auto" w:fill="auto"/>
            <w:vAlign w:val="center"/>
            <w:hideMark/>
          </w:tcPr>
          <w:p w14:paraId="11611EEB"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120" w:type="dxa"/>
            <w:tcBorders>
              <w:top w:val="nil"/>
              <w:left w:val="nil"/>
              <w:bottom w:val="double" w:sz="6" w:space="0" w:color="auto"/>
              <w:right w:val="dotted" w:sz="4" w:space="0" w:color="auto"/>
            </w:tcBorders>
            <w:shd w:val="clear" w:color="auto" w:fill="auto"/>
            <w:vAlign w:val="center"/>
            <w:hideMark/>
          </w:tcPr>
          <w:p w14:paraId="55EBCB00"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1120" w:type="dxa"/>
            <w:tcBorders>
              <w:top w:val="nil"/>
              <w:left w:val="nil"/>
              <w:bottom w:val="double" w:sz="6" w:space="0" w:color="auto"/>
              <w:right w:val="double" w:sz="6" w:space="0" w:color="auto"/>
            </w:tcBorders>
            <w:shd w:val="clear" w:color="auto" w:fill="auto"/>
            <w:noWrap/>
            <w:vAlign w:val="center"/>
            <w:hideMark/>
          </w:tcPr>
          <w:p w14:paraId="51D7B097" w14:textId="77777777" w:rsidR="00247CBF" w:rsidRPr="00092ED7" w:rsidRDefault="00247CBF" w:rsidP="00247CBF">
            <w:pPr>
              <w:spacing w:after="0"/>
              <w:jc w:val="right"/>
              <w:rPr>
                <w:sz w:val="20"/>
                <w:szCs w:val="20"/>
                <w:lang w:val="sr-Cyrl-CS"/>
              </w:rPr>
            </w:pPr>
            <w:r w:rsidRPr="00092ED7">
              <w:rPr>
                <w:sz w:val="20"/>
                <w:szCs w:val="20"/>
                <w:lang w:val="sr-Cyrl-CS"/>
              </w:rPr>
              <w:t> </w:t>
            </w:r>
          </w:p>
        </w:tc>
      </w:tr>
      <w:tr w:rsidR="00247CBF" w:rsidRPr="00092ED7" w14:paraId="2E3D08F2" w14:textId="77777777" w:rsidTr="00247CBF">
        <w:trPr>
          <w:gridAfter w:val="1"/>
          <w:wAfter w:w="10" w:type="dxa"/>
          <w:trHeight w:val="199"/>
        </w:trPr>
        <w:tc>
          <w:tcPr>
            <w:tcW w:w="6255" w:type="dxa"/>
            <w:tcBorders>
              <w:top w:val="nil"/>
              <w:left w:val="nil"/>
              <w:bottom w:val="nil"/>
              <w:right w:val="nil"/>
            </w:tcBorders>
            <w:shd w:val="clear" w:color="000000" w:fill="FFFFFF"/>
            <w:noWrap/>
            <w:vAlign w:val="center"/>
            <w:hideMark/>
          </w:tcPr>
          <w:p w14:paraId="0C8C6807" w14:textId="77777777" w:rsidR="00247CBF" w:rsidRPr="00092ED7" w:rsidRDefault="00247CBF" w:rsidP="00247CBF">
            <w:pPr>
              <w:spacing w:after="0"/>
              <w:jc w:val="left"/>
              <w:rPr>
                <w:rFonts w:eastAsia="Times New Roman" w:cs="Times New Roman"/>
                <w:sz w:val="16"/>
                <w:szCs w:val="16"/>
                <w:lang w:val="sr-Cyrl-CS"/>
              </w:rPr>
            </w:pPr>
            <w:r w:rsidRPr="00092ED7">
              <w:rPr>
                <w:rFonts w:eastAsia="Times New Roman" w:cs="Times New Roman"/>
                <w:sz w:val="16"/>
                <w:szCs w:val="16"/>
                <w:lang w:val="sr-Cyrl-CS"/>
              </w:rPr>
              <w:t>[1]   Као што је дефинисано у Уредби 3605/93 (није појам из ESA).</w:t>
            </w:r>
          </w:p>
        </w:tc>
        <w:tc>
          <w:tcPr>
            <w:tcW w:w="1585" w:type="dxa"/>
            <w:tcBorders>
              <w:top w:val="nil"/>
              <w:left w:val="nil"/>
              <w:bottom w:val="nil"/>
              <w:right w:val="nil"/>
            </w:tcBorders>
            <w:shd w:val="clear" w:color="000000" w:fill="FFFFFF"/>
            <w:noWrap/>
            <w:vAlign w:val="center"/>
            <w:hideMark/>
          </w:tcPr>
          <w:p w14:paraId="017F8015" w14:textId="77777777" w:rsidR="00247CBF" w:rsidRPr="00092ED7" w:rsidRDefault="00247CBF" w:rsidP="00247CBF">
            <w:pPr>
              <w:spacing w:after="0"/>
              <w:jc w:val="left"/>
              <w:rPr>
                <w:rFonts w:eastAsia="Times New Roman" w:cs="Times New Roman"/>
                <w:sz w:val="16"/>
                <w:szCs w:val="16"/>
                <w:lang w:val="sr-Cyrl-CS"/>
              </w:rPr>
            </w:pPr>
            <w:r w:rsidRPr="00092ED7">
              <w:rPr>
                <w:rFonts w:eastAsia="Times New Roman" w:cs="Times New Roman"/>
                <w:sz w:val="16"/>
                <w:szCs w:val="16"/>
                <w:lang w:val="sr-Cyrl-CS"/>
              </w:rPr>
              <w:t> </w:t>
            </w:r>
          </w:p>
        </w:tc>
        <w:tc>
          <w:tcPr>
            <w:tcW w:w="1120" w:type="dxa"/>
            <w:tcBorders>
              <w:top w:val="nil"/>
              <w:left w:val="nil"/>
              <w:bottom w:val="nil"/>
              <w:right w:val="nil"/>
            </w:tcBorders>
            <w:shd w:val="clear" w:color="000000" w:fill="FFFFFF"/>
            <w:noWrap/>
            <w:vAlign w:val="center"/>
            <w:hideMark/>
          </w:tcPr>
          <w:p w14:paraId="13614733" w14:textId="77777777" w:rsidR="00247CBF" w:rsidRPr="00092ED7" w:rsidRDefault="00247CBF" w:rsidP="00247CBF">
            <w:pPr>
              <w:spacing w:after="0"/>
              <w:jc w:val="left"/>
              <w:rPr>
                <w:rFonts w:eastAsia="Times New Roman" w:cs="Times New Roman"/>
                <w:sz w:val="16"/>
                <w:szCs w:val="16"/>
                <w:lang w:val="sr-Cyrl-CS"/>
              </w:rPr>
            </w:pPr>
            <w:r w:rsidRPr="00092ED7">
              <w:rPr>
                <w:rFonts w:eastAsia="Times New Roman" w:cs="Times New Roman"/>
                <w:sz w:val="16"/>
                <w:szCs w:val="16"/>
                <w:lang w:val="sr-Cyrl-CS"/>
              </w:rPr>
              <w:t> </w:t>
            </w:r>
          </w:p>
        </w:tc>
        <w:tc>
          <w:tcPr>
            <w:tcW w:w="1120" w:type="dxa"/>
            <w:tcBorders>
              <w:top w:val="nil"/>
              <w:left w:val="nil"/>
              <w:bottom w:val="nil"/>
              <w:right w:val="nil"/>
            </w:tcBorders>
            <w:shd w:val="clear" w:color="000000" w:fill="FFFFFF"/>
            <w:noWrap/>
            <w:vAlign w:val="center"/>
            <w:hideMark/>
          </w:tcPr>
          <w:p w14:paraId="15F53165" w14:textId="77777777" w:rsidR="00247CBF" w:rsidRPr="00092ED7" w:rsidRDefault="00247CBF" w:rsidP="00247CBF">
            <w:pPr>
              <w:spacing w:after="0"/>
              <w:jc w:val="left"/>
              <w:rPr>
                <w:rFonts w:eastAsia="Times New Roman" w:cs="Times New Roman"/>
                <w:sz w:val="16"/>
                <w:szCs w:val="16"/>
                <w:lang w:val="sr-Cyrl-CS"/>
              </w:rPr>
            </w:pPr>
            <w:r w:rsidRPr="00092ED7">
              <w:rPr>
                <w:rFonts w:eastAsia="Times New Roman" w:cs="Times New Roman"/>
                <w:sz w:val="16"/>
                <w:szCs w:val="16"/>
                <w:lang w:val="sr-Cyrl-CS"/>
              </w:rPr>
              <w:t> </w:t>
            </w:r>
          </w:p>
        </w:tc>
        <w:tc>
          <w:tcPr>
            <w:tcW w:w="1120" w:type="dxa"/>
            <w:tcBorders>
              <w:top w:val="nil"/>
              <w:left w:val="nil"/>
              <w:bottom w:val="nil"/>
              <w:right w:val="nil"/>
            </w:tcBorders>
            <w:shd w:val="clear" w:color="000000" w:fill="FFFFFF"/>
            <w:noWrap/>
            <w:vAlign w:val="center"/>
            <w:hideMark/>
          </w:tcPr>
          <w:p w14:paraId="7A74A1B4" w14:textId="77777777" w:rsidR="00247CBF" w:rsidRPr="00092ED7" w:rsidRDefault="00247CBF" w:rsidP="00247CBF">
            <w:pPr>
              <w:spacing w:after="0"/>
              <w:jc w:val="left"/>
              <w:rPr>
                <w:rFonts w:eastAsia="Times New Roman" w:cs="Times New Roman"/>
                <w:sz w:val="16"/>
                <w:szCs w:val="16"/>
                <w:lang w:val="sr-Cyrl-CS"/>
              </w:rPr>
            </w:pPr>
            <w:r w:rsidRPr="00092ED7">
              <w:rPr>
                <w:rFonts w:eastAsia="Times New Roman" w:cs="Times New Roman"/>
                <w:sz w:val="16"/>
                <w:szCs w:val="16"/>
                <w:lang w:val="sr-Cyrl-CS"/>
              </w:rPr>
              <w:t> </w:t>
            </w:r>
          </w:p>
        </w:tc>
        <w:tc>
          <w:tcPr>
            <w:tcW w:w="1120" w:type="dxa"/>
            <w:tcBorders>
              <w:top w:val="nil"/>
              <w:left w:val="nil"/>
              <w:bottom w:val="nil"/>
              <w:right w:val="nil"/>
            </w:tcBorders>
            <w:shd w:val="clear" w:color="000000" w:fill="FFFFFF"/>
            <w:noWrap/>
            <w:vAlign w:val="center"/>
            <w:hideMark/>
          </w:tcPr>
          <w:p w14:paraId="676C6CD0" w14:textId="77777777" w:rsidR="00247CBF" w:rsidRPr="00092ED7" w:rsidRDefault="00247CBF" w:rsidP="00247CBF">
            <w:pPr>
              <w:spacing w:after="0"/>
              <w:jc w:val="left"/>
              <w:rPr>
                <w:rFonts w:eastAsia="Times New Roman" w:cs="Times New Roman"/>
                <w:sz w:val="16"/>
                <w:szCs w:val="16"/>
                <w:lang w:val="sr-Cyrl-CS"/>
              </w:rPr>
            </w:pPr>
            <w:r w:rsidRPr="00092ED7">
              <w:rPr>
                <w:rFonts w:eastAsia="Times New Roman" w:cs="Times New Roman"/>
                <w:sz w:val="16"/>
                <w:szCs w:val="16"/>
                <w:lang w:val="sr-Cyrl-CS"/>
              </w:rPr>
              <w:t> </w:t>
            </w:r>
          </w:p>
        </w:tc>
        <w:tc>
          <w:tcPr>
            <w:tcW w:w="1120" w:type="dxa"/>
            <w:tcBorders>
              <w:top w:val="nil"/>
              <w:left w:val="nil"/>
              <w:bottom w:val="nil"/>
              <w:right w:val="nil"/>
            </w:tcBorders>
            <w:shd w:val="clear" w:color="000000" w:fill="FFFFFF"/>
            <w:noWrap/>
            <w:vAlign w:val="center"/>
            <w:hideMark/>
          </w:tcPr>
          <w:p w14:paraId="459757E1" w14:textId="77777777" w:rsidR="00247CBF" w:rsidRPr="00092ED7" w:rsidRDefault="00247CBF" w:rsidP="00247CBF">
            <w:pPr>
              <w:spacing w:after="0"/>
              <w:jc w:val="left"/>
              <w:rPr>
                <w:rFonts w:eastAsia="Times New Roman" w:cs="Times New Roman"/>
                <w:sz w:val="16"/>
                <w:szCs w:val="16"/>
                <w:lang w:val="sr-Cyrl-CS"/>
              </w:rPr>
            </w:pPr>
            <w:r w:rsidRPr="00092ED7">
              <w:rPr>
                <w:rFonts w:eastAsia="Times New Roman" w:cs="Times New Roman"/>
                <w:sz w:val="16"/>
                <w:szCs w:val="16"/>
                <w:lang w:val="sr-Cyrl-CS"/>
              </w:rPr>
              <w:t> </w:t>
            </w:r>
          </w:p>
        </w:tc>
        <w:tc>
          <w:tcPr>
            <w:tcW w:w="1120" w:type="dxa"/>
            <w:tcBorders>
              <w:top w:val="nil"/>
              <w:left w:val="nil"/>
              <w:bottom w:val="nil"/>
              <w:right w:val="nil"/>
            </w:tcBorders>
            <w:shd w:val="clear" w:color="000000" w:fill="FFFFFF"/>
            <w:noWrap/>
            <w:vAlign w:val="center"/>
            <w:hideMark/>
          </w:tcPr>
          <w:p w14:paraId="5A13374A" w14:textId="77777777" w:rsidR="00247CBF" w:rsidRPr="00092ED7" w:rsidRDefault="00247CBF" w:rsidP="00247CBF">
            <w:pPr>
              <w:spacing w:after="0"/>
              <w:jc w:val="left"/>
              <w:rPr>
                <w:rFonts w:eastAsia="Times New Roman" w:cs="Times New Roman"/>
                <w:sz w:val="16"/>
                <w:szCs w:val="16"/>
                <w:lang w:val="sr-Cyrl-CS"/>
              </w:rPr>
            </w:pPr>
            <w:r w:rsidRPr="00092ED7">
              <w:rPr>
                <w:rFonts w:eastAsia="Times New Roman" w:cs="Times New Roman"/>
                <w:sz w:val="16"/>
                <w:szCs w:val="16"/>
                <w:lang w:val="sr-Cyrl-CS"/>
              </w:rPr>
              <w:t> </w:t>
            </w:r>
          </w:p>
        </w:tc>
      </w:tr>
      <w:tr w:rsidR="00247CBF" w:rsidRPr="00092ED7" w14:paraId="18FD877D" w14:textId="77777777" w:rsidTr="00247CBF">
        <w:trPr>
          <w:gridAfter w:val="1"/>
          <w:wAfter w:w="10" w:type="dxa"/>
          <w:trHeight w:val="199"/>
        </w:trPr>
        <w:tc>
          <w:tcPr>
            <w:tcW w:w="14560" w:type="dxa"/>
            <w:gridSpan w:val="8"/>
            <w:tcBorders>
              <w:top w:val="nil"/>
              <w:left w:val="nil"/>
              <w:bottom w:val="nil"/>
              <w:right w:val="nil"/>
            </w:tcBorders>
            <w:shd w:val="clear" w:color="000000" w:fill="FFFFFF"/>
            <w:noWrap/>
            <w:vAlign w:val="center"/>
            <w:hideMark/>
          </w:tcPr>
          <w:p w14:paraId="768CF770" w14:textId="77777777" w:rsidR="00247CBF" w:rsidRPr="00092ED7" w:rsidRDefault="00247CBF" w:rsidP="00247CBF">
            <w:pPr>
              <w:spacing w:after="0"/>
              <w:jc w:val="left"/>
              <w:rPr>
                <w:rFonts w:eastAsia="Times New Roman" w:cs="Times New Roman"/>
                <w:sz w:val="16"/>
                <w:szCs w:val="16"/>
                <w:lang w:val="sr-Cyrl-CS"/>
              </w:rPr>
            </w:pPr>
            <w:r w:rsidRPr="00092ED7">
              <w:rPr>
                <w:rFonts w:eastAsia="Times New Roman" w:cs="Times New Roman"/>
                <w:sz w:val="16"/>
                <w:szCs w:val="16"/>
                <w:lang w:val="sr-Cyrl-CS"/>
              </w:rPr>
              <w:t>[4]   Где је то релевантно, може се направити разлика између расхода на камату, других расхода и прихода. </w:t>
            </w:r>
          </w:p>
        </w:tc>
      </w:tr>
      <w:tr w:rsidR="00247CBF" w:rsidRPr="00092ED7" w14:paraId="27932984" w14:textId="77777777" w:rsidTr="00247CBF">
        <w:trPr>
          <w:trHeight w:val="199"/>
        </w:trPr>
        <w:tc>
          <w:tcPr>
            <w:tcW w:w="14570" w:type="dxa"/>
            <w:gridSpan w:val="9"/>
            <w:tcBorders>
              <w:top w:val="nil"/>
              <w:left w:val="nil"/>
              <w:bottom w:val="nil"/>
              <w:right w:val="nil"/>
            </w:tcBorders>
            <w:shd w:val="clear" w:color="000000" w:fill="FFFFFF"/>
            <w:noWrap/>
            <w:vAlign w:val="center"/>
            <w:hideMark/>
          </w:tcPr>
          <w:p w14:paraId="51438D5E" w14:textId="77777777" w:rsidR="00247CBF" w:rsidRPr="00092ED7" w:rsidRDefault="00247CBF" w:rsidP="00247CBF">
            <w:pPr>
              <w:spacing w:after="0"/>
              <w:jc w:val="left"/>
              <w:rPr>
                <w:rFonts w:eastAsia="Times New Roman" w:cs="Times New Roman"/>
                <w:sz w:val="16"/>
                <w:szCs w:val="16"/>
                <w:lang w:val="sr-Cyrl-CS"/>
              </w:rPr>
            </w:pPr>
            <w:r w:rsidRPr="00092ED7">
              <w:rPr>
                <w:rFonts w:eastAsia="Times New Roman" w:cs="Times New Roman"/>
                <w:sz w:val="16"/>
                <w:szCs w:val="16"/>
                <w:lang w:val="sr-Cyrl-CS"/>
              </w:rPr>
              <w:t>[5]   Где је то релевантно, може се направити разлика између ликвидних средстава, средстава у трећим државама, предузећа под контролом државе, и котираних и некотираних средстава.</w:t>
            </w:r>
          </w:p>
        </w:tc>
      </w:tr>
      <w:tr w:rsidR="00247CBF" w:rsidRPr="00092ED7" w14:paraId="175269C1" w14:textId="77777777" w:rsidTr="00247CBF">
        <w:trPr>
          <w:trHeight w:val="199"/>
        </w:trPr>
        <w:tc>
          <w:tcPr>
            <w:tcW w:w="14570" w:type="dxa"/>
            <w:gridSpan w:val="9"/>
            <w:tcBorders>
              <w:top w:val="nil"/>
              <w:left w:val="nil"/>
              <w:bottom w:val="nil"/>
              <w:right w:val="nil"/>
            </w:tcBorders>
            <w:shd w:val="clear" w:color="000000" w:fill="FFFFFF"/>
            <w:noWrap/>
            <w:vAlign w:val="center"/>
            <w:hideMark/>
          </w:tcPr>
          <w:p w14:paraId="53AC62AD" w14:textId="77777777" w:rsidR="00247CBF" w:rsidRPr="00092ED7" w:rsidRDefault="00247CBF" w:rsidP="00247CBF">
            <w:pPr>
              <w:spacing w:after="0"/>
              <w:jc w:val="left"/>
              <w:rPr>
                <w:rFonts w:eastAsia="Times New Roman" w:cs="Times New Roman"/>
                <w:sz w:val="16"/>
                <w:szCs w:val="16"/>
                <w:lang w:val="sr-Cyrl-CS"/>
              </w:rPr>
            </w:pPr>
            <w:r w:rsidRPr="00092ED7">
              <w:rPr>
                <w:rFonts w:eastAsia="Times New Roman" w:cs="Times New Roman"/>
                <w:sz w:val="16"/>
                <w:szCs w:val="16"/>
                <w:lang w:val="sr-Cyrl-CS"/>
              </w:rPr>
              <w:t>[6]  Где је то релевантно, може се направити разлика између промена услед кретања девизног курса и операција на секундарном тржишту.</w:t>
            </w:r>
          </w:p>
        </w:tc>
      </w:tr>
      <w:tr w:rsidR="00247CBF" w:rsidRPr="00092ED7" w14:paraId="297C73D5" w14:textId="77777777" w:rsidTr="00247CBF">
        <w:trPr>
          <w:gridAfter w:val="1"/>
          <w:wAfter w:w="10" w:type="dxa"/>
          <w:trHeight w:val="199"/>
        </w:trPr>
        <w:tc>
          <w:tcPr>
            <w:tcW w:w="14560" w:type="dxa"/>
            <w:gridSpan w:val="8"/>
            <w:tcBorders>
              <w:top w:val="nil"/>
              <w:left w:val="nil"/>
              <w:bottom w:val="nil"/>
              <w:right w:val="nil"/>
            </w:tcBorders>
            <w:shd w:val="clear" w:color="000000" w:fill="FFFFFF"/>
            <w:noWrap/>
            <w:vAlign w:val="center"/>
            <w:hideMark/>
          </w:tcPr>
          <w:p w14:paraId="4FAFE1F6" w14:textId="77777777" w:rsidR="00247CBF" w:rsidRPr="00092ED7" w:rsidRDefault="00247CBF" w:rsidP="00247CBF">
            <w:pPr>
              <w:spacing w:after="0"/>
              <w:jc w:val="left"/>
              <w:rPr>
                <w:rFonts w:eastAsia="Times New Roman" w:cs="Times New Roman"/>
                <w:sz w:val="16"/>
                <w:szCs w:val="16"/>
                <w:lang w:val="sr-Cyrl-CS"/>
              </w:rPr>
            </w:pPr>
            <w:r w:rsidRPr="00092ED7">
              <w:rPr>
                <w:rFonts w:eastAsia="Times New Roman" w:cs="Times New Roman"/>
                <w:sz w:val="16"/>
                <w:szCs w:val="16"/>
                <w:lang w:val="sr-Cyrl-CS"/>
              </w:rPr>
              <w:t>[8]   AF1, AF2, AF3 (консолидовани по тржишној вредности, AF5 (уколико су котирани на берзи; укључујући акције узајамних фондова).</w:t>
            </w:r>
          </w:p>
        </w:tc>
      </w:tr>
    </w:tbl>
    <w:p w14:paraId="26748793" w14:textId="77777777" w:rsidR="00247CBF" w:rsidRPr="00092ED7" w:rsidRDefault="00247CBF" w:rsidP="00247CBF">
      <w:pPr>
        <w:spacing w:after="0"/>
        <w:rPr>
          <w:rFonts w:cs="Times New Roman"/>
          <w:lang w:val="sr-Cyrl-CS"/>
        </w:rPr>
      </w:pPr>
    </w:p>
    <w:tbl>
      <w:tblPr>
        <w:tblW w:w="5013" w:type="pct"/>
        <w:tblLook w:val="04A0" w:firstRow="1" w:lastRow="0" w:firstColumn="1" w:lastColumn="0" w:noHBand="0" w:noVBand="1"/>
      </w:tblPr>
      <w:tblGrid>
        <w:gridCol w:w="23"/>
        <w:gridCol w:w="6769"/>
        <w:gridCol w:w="722"/>
        <w:gridCol w:w="494"/>
        <w:gridCol w:w="815"/>
        <w:gridCol w:w="503"/>
        <w:gridCol w:w="684"/>
        <w:gridCol w:w="634"/>
        <w:gridCol w:w="552"/>
        <w:gridCol w:w="768"/>
        <w:gridCol w:w="418"/>
        <w:gridCol w:w="900"/>
        <w:gridCol w:w="1177"/>
        <w:gridCol w:w="149"/>
      </w:tblGrid>
      <w:tr w:rsidR="00247CBF" w:rsidRPr="00092ED7" w14:paraId="5EF914C4" w14:textId="77777777" w:rsidTr="00247CBF">
        <w:trPr>
          <w:trHeight w:val="227"/>
        </w:trPr>
        <w:tc>
          <w:tcPr>
            <w:tcW w:w="2572" w:type="pct"/>
            <w:gridSpan w:val="3"/>
            <w:tcBorders>
              <w:top w:val="nil"/>
              <w:left w:val="nil"/>
              <w:bottom w:val="nil"/>
              <w:right w:val="nil"/>
            </w:tcBorders>
            <w:shd w:val="clear" w:color="000000" w:fill="FFFFFF"/>
            <w:noWrap/>
            <w:vAlign w:val="bottom"/>
            <w:hideMark/>
          </w:tcPr>
          <w:p w14:paraId="5F81DA08" w14:textId="77777777" w:rsidR="00247CBF" w:rsidRPr="00092ED7" w:rsidRDefault="00247CBF" w:rsidP="00247CBF">
            <w:pPr>
              <w:spacing w:after="0"/>
              <w:rPr>
                <w:rFonts w:eastAsia="Times New Roman" w:cs="Times New Roman"/>
                <w:b/>
                <w:bCs/>
                <w:sz w:val="20"/>
                <w:szCs w:val="20"/>
                <w:lang w:val="sr-Cyrl-CS"/>
              </w:rPr>
            </w:pPr>
            <w:r w:rsidRPr="00092ED7">
              <w:rPr>
                <w:rFonts w:eastAsia="Times New Roman" w:cs="Times New Roman"/>
                <w:b/>
                <w:bCs/>
                <w:sz w:val="20"/>
                <w:szCs w:val="20"/>
                <w:lang w:val="sr-Cyrl-CS"/>
              </w:rPr>
              <w:t>Табела 4: Кретање дуга општег нивоа државе</w:t>
            </w:r>
          </w:p>
        </w:tc>
        <w:tc>
          <w:tcPr>
            <w:tcW w:w="448" w:type="pct"/>
            <w:gridSpan w:val="2"/>
            <w:tcBorders>
              <w:top w:val="nil"/>
              <w:left w:val="nil"/>
              <w:bottom w:val="nil"/>
              <w:right w:val="nil"/>
            </w:tcBorders>
            <w:shd w:val="clear" w:color="000000" w:fill="FFFFFF"/>
            <w:noWrap/>
            <w:vAlign w:val="bottom"/>
            <w:hideMark/>
          </w:tcPr>
          <w:p w14:paraId="139657A0"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406" w:type="pct"/>
            <w:gridSpan w:val="2"/>
            <w:tcBorders>
              <w:top w:val="nil"/>
              <w:left w:val="nil"/>
              <w:bottom w:val="nil"/>
              <w:right w:val="nil"/>
            </w:tcBorders>
            <w:shd w:val="clear" w:color="000000" w:fill="FFFFFF"/>
            <w:noWrap/>
            <w:vAlign w:val="bottom"/>
            <w:hideMark/>
          </w:tcPr>
          <w:p w14:paraId="09AC4C20"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406" w:type="pct"/>
            <w:gridSpan w:val="2"/>
            <w:tcBorders>
              <w:top w:val="nil"/>
              <w:left w:val="nil"/>
              <w:bottom w:val="nil"/>
              <w:right w:val="nil"/>
            </w:tcBorders>
            <w:shd w:val="clear" w:color="000000" w:fill="FFFFFF"/>
            <w:noWrap/>
            <w:vAlign w:val="bottom"/>
            <w:hideMark/>
          </w:tcPr>
          <w:p w14:paraId="31F1278A"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406" w:type="pct"/>
            <w:gridSpan w:val="2"/>
            <w:tcBorders>
              <w:top w:val="nil"/>
              <w:left w:val="nil"/>
              <w:bottom w:val="nil"/>
              <w:right w:val="nil"/>
            </w:tcBorders>
            <w:shd w:val="clear" w:color="000000" w:fill="FFFFFF"/>
            <w:noWrap/>
            <w:vAlign w:val="bottom"/>
            <w:hideMark/>
          </w:tcPr>
          <w:p w14:paraId="0B86B0A7"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750" w:type="pct"/>
            <w:gridSpan w:val="3"/>
            <w:tcBorders>
              <w:top w:val="nil"/>
              <w:left w:val="nil"/>
              <w:bottom w:val="nil"/>
              <w:right w:val="nil"/>
            </w:tcBorders>
            <w:shd w:val="clear" w:color="000000" w:fill="FFFFFF"/>
            <w:noWrap/>
            <w:vAlign w:val="bottom"/>
            <w:hideMark/>
          </w:tcPr>
          <w:p w14:paraId="4933B023"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b/>
                <w:bCs/>
                <w:sz w:val="20"/>
                <w:szCs w:val="20"/>
                <w:lang w:val="sr-Cyrl-CS"/>
              </w:rPr>
              <w:t>Република Србија</w:t>
            </w:r>
          </w:p>
        </w:tc>
      </w:tr>
      <w:tr w:rsidR="00247CBF" w:rsidRPr="00092ED7" w14:paraId="766546C6" w14:textId="77777777" w:rsidTr="00247CBF">
        <w:trPr>
          <w:gridBefore w:val="1"/>
          <w:wBefore w:w="8" w:type="pct"/>
          <w:trHeight w:val="227"/>
        </w:trPr>
        <w:tc>
          <w:tcPr>
            <w:tcW w:w="2317" w:type="pct"/>
            <w:vMerge w:val="restart"/>
            <w:tcBorders>
              <w:top w:val="double" w:sz="6" w:space="0" w:color="auto"/>
              <w:left w:val="double" w:sz="6" w:space="0" w:color="auto"/>
              <w:bottom w:val="single" w:sz="8" w:space="0" w:color="000000"/>
              <w:right w:val="dotted" w:sz="4" w:space="0" w:color="auto"/>
            </w:tcBorders>
            <w:shd w:val="clear" w:color="000000" w:fill="FFFFFF"/>
            <w:vAlign w:val="center"/>
            <w:hideMark/>
          </w:tcPr>
          <w:p w14:paraId="149E8C2E"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 БДП</w:t>
            </w:r>
          </w:p>
        </w:tc>
        <w:tc>
          <w:tcPr>
            <w:tcW w:w="416" w:type="pct"/>
            <w:gridSpan w:val="2"/>
            <w:vMerge w:val="restart"/>
            <w:tcBorders>
              <w:top w:val="double" w:sz="6" w:space="0" w:color="auto"/>
              <w:left w:val="dotted" w:sz="4" w:space="0" w:color="auto"/>
              <w:bottom w:val="single" w:sz="8" w:space="0" w:color="000000"/>
              <w:right w:val="single" w:sz="8" w:space="0" w:color="auto"/>
            </w:tcBorders>
            <w:shd w:val="clear" w:color="000000" w:fill="FFFFFF"/>
            <w:vAlign w:val="center"/>
            <w:hideMark/>
          </w:tcPr>
          <w:p w14:paraId="2174868C"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ESA шифра</w:t>
            </w:r>
          </w:p>
        </w:tc>
        <w:tc>
          <w:tcPr>
            <w:tcW w:w="451" w:type="pct"/>
            <w:gridSpan w:val="2"/>
            <w:tcBorders>
              <w:top w:val="double" w:sz="6" w:space="0" w:color="auto"/>
              <w:left w:val="nil"/>
              <w:bottom w:val="nil"/>
              <w:right w:val="dotted" w:sz="4" w:space="0" w:color="auto"/>
            </w:tcBorders>
            <w:shd w:val="clear" w:color="000000" w:fill="FFFFFF"/>
            <w:vAlign w:val="center"/>
            <w:hideMark/>
          </w:tcPr>
          <w:p w14:paraId="0E5A676E" w14:textId="77777777" w:rsidR="00247CBF" w:rsidRPr="00092ED7" w:rsidRDefault="00247CBF" w:rsidP="00247CBF">
            <w:pPr>
              <w:spacing w:after="0"/>
              <w:jc w:val="center"/>
              <w:rPr>
                <w:sz w:val="20"/>
                <w:szCs w:val="20"/>
                <w:lang w:val="sr-Cyrl-CS"/>
              </w:rPr>
            </w:pPr>
            <w:r w:rsidRPr="00092ED7">
              <w:rPr>
                <w:sz w:val="20"/>
                <w:szCs w:val="20"/>
                <w:lang w:val="sr-Cyrl-CS"/>
              </w:rPr>
              <w:t>Година</w:t>
            </w:r>
          </w:p>
        </w:tc>
        <w:tc>
          <w:tcPr>
            <w:tcW w:w="451" w:type="pct"/>
            <w:gridSpan w:val="2"/>
            <w:tcBorders>
              <w:top w:val="double" w:sz="6" w:space="0" w:color="auto"/>
              <w:left w:val="nil"/>
              <w:bottom w:val="nil"/>
              <w:right w:val="dotted" w:sz="4" w:space="0" w:color="auto"/>
            </w:tcBorders>
            <w:shd w:val="clear" w:color="000000" w:fill="FFFFFF"/>
            <w:vAlign w:val="center"/>
            <w:hideMark/>
          </w:tcPr>
          <w:p w14:paraId="3D3E8DC6" w14:textId="77777777" w:rsidR="00247CBF" w:rsidRPr="00092ED7" w:rsidRDefault="00247CBF" w:rsidP="00247CBF">
            <w:pPr>
              <w:spacing w:after="0"/>
              <w:jc w:val="center"/>
              <w:rPr>
                <w:sz w:val="20"/>
                <w:szCs w:val="20"/>
                <w:lang w:val="sr-Cyrl-CS"/>
              </w:rPr>
            </w:pPr>
            <w:r w:rsidRPr="00092ED7">
              <w:rPr>
                <w:sz w:val="20"/>
                <w:szCs w:val="20"/>
                <w:lang w:val="sr-Cyrl-CS"/>
              </w:rPr>
              <w:t>Година</w:t>
            </w:r>
          </w:p>
        </w:tc>
        <w:tc>
          <w:tcPr>
            <w:tcW w:w="452" w:type="pct"/>
            <w:gridSpan w:val="2"/>
            <w:tcBorders>
              <w:top w:val="double" w:sz="6" w:space="0" w:color="auto"/>
              <w:left w:val="nil"/>
              <w:bottom w:val="nil"/>
              <w:right w:val="dotted" w:sz="4" w:space="0" w:color="auto"/>
            </w:tcBorders>
            <w:shd w:val="clear" w:color="000000" w:fill="FFFFFF"/>
            <w:vAlign w:val="center"/>
            <w:hideMark/>
          </w:tcPr>
          <w:p w14:paraId="23D1C238" w14:textId="77777777" w:rsidR="00247CBF" w:rsidRPr="00092ED7" w:rsidRDefault="00247CBF" w:rsidP="00247CBF">
            <w:pPr>
              <w:spacing w:after="0"/>
              <w:jc w:val="center"/>
              <w:rPr>
                <w:sz w:val="20"/>
                <w:szCs w:val="20"/>
                <w:lang w:val="sr-Cyrl-CS"/>
              </w:rPr>
            </w:pPr>
            <w:r w:rsidRPr="00092ED7">
              <w:rPr>
                <w:sz w:val="20"/>
                <w:szCs w:val="20"/>
                <w:lang w:val="sr-Cyrl-CS"/>
              </w:rPr>
              <w:t>Година</w:t>
            </w:r>
          </w:p>
        </w:tc>
        <w:tc>
          <w:tcPr>
            <w:tcW w:w="451" w:type="pct"/>
            <w:gridSpan w:val="2"/>
            <w:tcBorders>
              <w:top w:val="double" w:sz="6" w:space="0" w:color="auto"/>
              <w:left w:val="nil"/>
              <w:bottom w:val="nil"/>
              <w:right w:val="dotted" w:sz="4" w:space="0" w:color="auto"/>
            </w:tcBorders>
            <w:shd w:val="clear" w:color="000000" w:fill="FFFFFF"/>
            <w:vAlign w:val="center"/>
            <w:hideMark/>
          </w:tcPr>
          <w:p w14:paraId="4114974A" w14:textId="77777777" w:rsidR="00247CBF" w:rsidRPr="00092ED7" w:rsidRDefault="00247CBF" w:rsidP="00247CBF">
            <w:pPr>
              <w:spacing w:after="0"/>
              <w:jc w:val="center"/>
              <w:rPr>
                <w:sz w:val="20"/>
                <w:szCs w:val="20"/>
                <w:lang w:val="sr-Cyrl-CS"/>
              </w:rPr>
            </w:pPr>
            <w:r w:rsidRPr="00092ED7">
              <w:rPr>
                <w:sz w:val="20"/>
                <w:szCs w:val="20"/>
                <w:lang w:val="sr-Cyrl-CS"/>
              </w:rPr>
              <w:t>Година</w:t>
            </w:r>
          </w:p>
        </w:tc>
        <w:tc>
          <w:tcPr>
            <w:tcW w:w="451" w:type="pct"/>
            <w:gridSpan w:val="2"/>
            <w:tcBorders>
              <w:top w:val="double" w:sz="6" w:space="0" w:color="auto"/>
              <w:left w:val="nil"/>
              <w:bottom w:val="nil"/>
              <w:right w:val="double" w:sz="6" w:space="0" w:color="auto"/>
            </w:tcBorders>
            <w:shd w:val="clear" w:color="000000" w:fill="FFFFFF"/>
            <w:vAlign w:val="center"/>
            <w:hideMark/>
          </w:tcPr>
          <w:p w14:paraId="4DFCCD85" w14:textId="77777777" w:rsidR="00247CBF" w:rsidRPr="00092ED7" w:rsidRDefault="00247CBF" w:rsidP="00247CBF">
            <w:pPr>
              <w:spacing w:after="0"/>
              <w:jc w:val="center"/>
              <w:rPr>
                <w:sz w:val="20"/>
                <w:szCs w:val="20"/>
                <w:lang w:val="sr-Cyrl-CS"/>
              </w:rPr>
            </w:pPr>
            <w:r w:rsidRPr="00092ED7">
              <w:rPr>
                <w:sz w:val="20"/>
                <w:szCs w:val="20"/>
                <w:lang w:val="sr-Cyrl-CS"/>
              </w:rPr>
              <w:t>Година</w:t>
            </w:r>
          </w:p>
        </w:tc>
      </w:tr>
      <w:tr w:rsidR="00247CBF" w:rsidRPr="00092ED7" w14:paraId="6FE97171" w14:textId="77777777" w:rsidTr="00247CBF">
        <w:trPr>
          <w:gridBefore w:val="1"/>
          <w:wBefore w:w="8" w:type="pct"/>
          <w:trHeight w:val="227"/>
        </w:trPr>
        <w:tc>
          <w:tcPr>
            <w:tcW w:w="2317" w:type="pct"/>
            <w:vMerge/>
            <w:tcBorders>
              <w:top w:val="double" w:sz="6" w:space="0" w:color="auto"/>
              <w:left w:val="double" w:sz="6" w:space="0" w:color="auto"/>
              <w:bottom w:val="single" w:sz="8" w:space="0" w:color="000000"/>
              <w:right w:val="dotted" w:sz="4" w:space="0" w:color="auto"/>
            </w:tcBorders>
            <w:vAlign w:val="center"/>
            <w:hideMark/>
          </w:tcPr>
          <w:p w14:paraId="26590381" w14:textId="77777777" w:rsidR="00247CBF" w:rsidRPr="00092ED7" w:rsidRDefault="00247CBF" w:rsidP="00247CBF">
            <w:pPr>
              <w:spacing w:after="0"/>
              <w:rPr>
                <w:rFonts w:eastAsia="Times New Roman" w:cs="Times New Roman"/>
                <w:sz w:val="20"/>
                <w:szCs w:val="20"/>
                <w:lang w:val="sr-Cyrl-CS"/>
              </w:rPr>
            </w:pPr>
          </w:p>
        </w:tc>
        <w:tc>
          <w:tcPr>
            <w:tcW w:w="416" w:type="pct"/>
            <w:gridSpan w:val="2"/>
            <w:vMerge/>
            <w:tcBorders>
              <w:top w:val="double" w:sz="6" w:space="0" w:color="auto"/>
              <w:left w:val="dotted" w:sz="4" w:space="0" w:color="auto"/>
              <w:bottom w:val="single" w:sz="8" w:space="0" w:color="000000"/>
              <w:right w:val="single" w:sz="8" w:space="0" w:color="auto"/>
            </w:tcBorders>
            <w:vAlign w:val="center"/>
            <w:hideMark/>
          </w:tcPr>
          <w:p w14:paraId="3FE84328" w14:textId="77777777" w:rsidR="00247CBF" w:rsidRPr="00092ED7" w:rsidRDefault="00247CBF" w:rsidP="00247CBF">
            <w:pPr>
              <w:spacing w:after="0"/>
              <w:rPr>
                <w:rFonts w:eastAsia="Times New Roman" w:cs="Times New Roman"/>
                <w:sz w:val="20"/>
                <w:szCs w:val="20"/>
                <w:lang w:val="sr-Cyrl-CS"/>
              </w:rPr>
            </w:pPr>
          </w:p>
        </w:tc>
        <w:tc>
          <w:tcPr>
            <w:tcW w:w="451" w:type="pct"/>
            <w:gridSpan w:val="2"/>
            <w:tcBorders>
              <w:top w:val="nil"/>
              <w:left w:val="nil"/>
              <w:bottom w:val="single" w:sz="8" w:space="0" w:color="auto"/>
              <w:right w:val="dotted" w:sz="4" w:space="0" w:color="auto"/>
            </w:tcBorders>
            <w:shd w:val="clear" w:color="000000" w:fill="FFFFFF"/>
            <w:vAlign w:val="center"/>
            <w:hideMark/>
          </w:tcPr>
          <w:p w14:paraId="4C652076" w14:textId="77777777" w:rsidR="00247CBF" w:rsidRPr="00092ED7" w:rsidRDefault="00247CBF" w:rsidP="00247CBF">
            <w:pPr>
              <w:spacing w:after="0"/>
              <w:jc w:val="center"/>
              <w:rPr>
                <w:sz w:val="20"/>
                <w:szCs w:val="20"/>
                <w:lang w:val="sr-Cyrl-CS"/>
              </w:rPr>
            </w:pPr>
            <w:r w:rsidRPr="00092ED7">
              <w:rPr>
                <w:sz w:val="20"/>
                <w:szCs w:val="20"/>
                <w:lang w:val="sr-Cyrl-CS"/>
              </w:rPr>
              <w:t>2021</w:t>
            </w:r>
          </w:p>
        </w:tc>
        <w:tc>
          <w:tcPr>
            <w:tcW w:w="451" w:type="pct"/>
            <w:gridSpan w:val="2"/>
            <w:tcBorders>
              <w:top w:val="nil"/>
              <w:left w:val="nil"/>
              <w:bottom w:val="single" w:sz="8" w:space="0" w:color="auto"/>
              <w:right w:val="dotted" w:sz="4" w:space="0" w:color="auto"/>
            </w:tcBorders>
            <w:shd w:val="clear" w:color="000000" w:fill="FFFFFF"/>
            <w:vAlign w:val="center"/>
            <w:hideMark/>
          </w:tcPr>
          <w:p w14:paraId="5E9B1AEB" w14:textId="77777777" w:rsidR="00247CBF" w:rsidRPr="00092ED7" w:rsidRDefault="00247CBF" w:rsidP="00247CBF">
            <w:pPr>
              <w:spacing w:after="0"/>
              <w:jc w:val="center"/>
              <w:rPr>
                <w:sz w:val="20"/>
                <w:szCs w:val="20"/>
                <w:lang w:val="sr-Cyrl-CS"/>
              </w:rPr>
            </w:pPr>
            <w:r w:rsidRPr="00092ED7">
              <w:rPr>
                <w:sz w:val="20"/>
                <w:szCs w:val="20"/>
                <w:lang w:val="sr-Cyrl-CS"/>
              </w:rPr>
              <w:t>2022</w:t>
            </w:r>
          </w:p>
        </w:tc>
        <w:tc>
          <w:tcPr>
            <w:tcW w:w="452" w:type="pct"/>
            <w:gridSpan w:val="2"/>
            <w:tcBorders>
              <w:top w:val="nil"/>
              <w:left w:val="nil"/>
              <w:bottom w:val="single" w:sz="8" w:space="0" w:color="auto"/>
              <w:right w:val="dotted" w:sz="4" w:space="0" w:color="auto"/>
            </w:tcBorders>
            <w:shd w:val="clear" w:color="000000" w:fill="FFFFFF"/>
            <w:vAlign w:val="center"/>
            <w:hideMark/>
          </w:tcPr>
          <w:p w14:paraId="7F649138" w14:textId="77777777" w:rsidR="00247CBF" w:rsidRPr="00092ED7" w:rsidRDefault="00247CBF" w:rsidP="00247CBF">
            <w:pPr>
              <w:spacing w:after="0"/>
              <w:jc w:val="center"/>
              <w:rPr>
                <w:sz w:val="20"/>
                <w:szCs w:val="20"/>
                <w:lang w:val="sr-Cyrl-CS"/>
              </w:rPr>
            </w:pPr>
            <w:r w:rsidRPr="00092ED7">
              <w:rPr>
                <w:sz w:val="20"/>
                <w:szCs w:val="20"/>
                <w:lang w:val="sr-Cyrl-CS"/>
              </w:rPr>
              <w:t>2023</w:t>
            </w:r>
          </w:p>
        </w:tc>
        <w:tc>
          <w:tcPr>
            <w:tcW w:w="451" w:type="pct"/>
            <w:gridSpan w:val="2"/>
            <w:tcBorders>
              <w:top w:val="nil"/>
              <w:left w:val="nil"/>
              <w:bottom w:val="single" w:sz="8" w:space="0" w:color="auto"/>
              <w:right w:val="dotted" w:sz="4" w:space="0" w:color="auto"/>
            </w:tcBorders>
            <w:shd w:val="clear" w:color="000000" w:fill="FFFFFF"/>
            <w:vAlign w:val="center"/>
            <w:hideMark/>
          </w:tcPr>
          <w:p w14:paraId="5024081B" w14:textId="77777777" w:rsidR="00247CBF" w:rsidRPr="00092ED7" w:rsidRDefault="00247CBF" w:rsidP="00247CBF">
            <w:pPr>
              <w:spacing w:after="0"/>
              <w:jc w:val="center"/>
              <w:rPr>
                <w:sz w:val="20"/>
                <w:szCs w:val="20"/>
                <w:lang w:val="sr-Cyrl-CS"/>
              </w:rPr>
            </w:pPr>
            <w:r w:rsidRPr="00092ED7">
              <w:rPr>
                <w:sz w:val="20"/>
                <w:szCs w:val="20"/>
                <w:lang w:val="sr-Cyrl-CS"/>
              </w:rPr>
              <w:t>2024</w:t>
            </w:r>
          </w:p>
        </w:tc>
        <w:tc>
          <w:tcPr>
            <w:tcW w:w="451" w:type="pct"/>
            <w:gridSpan w:val="2"/>
            <w:tcBorders>
              <w:top w:val="nil"/>
              <w:left w:val="nil"/>
              <w:bottom w:val="single" w:sz="8" w:space="0" w:color="auto"/>
              <w:right w:val="double" w:sz="6" w:space="0" w:color="auto"/>
            </w:tcBorders>
            <w:shd w:val="clear" w:color="000000" w:fill="FFFFFF"/>
            <w:vAlign w:val="center"/>
            <w:hideMark/>
          </w:tcPr>
          <w:p w14:paraId="1157C9E8" w14:textId="77777777" w:rsidR="00247CBF" w:rsidRPr="00092ED7" w:rsidRDefault="00247CBF" w:rsidP="00247CBF">
            <w:pPr>
              <w:spacing w:after="0"/>
              <w:jc w:val="center"/>
              <w:rPr>
                <w:sz w:val="20"/>
                <w:szCs w:val="20"/>
                <w:lang w:val="sr-Cyrl-CS"/>
              </w:rPr>
            </w:pPr>
            <w:r w:rsidRPr="00092ED7">
              <w:rPr>
                <w:sz w:val="20"/>
                <w:szCs w:val="20"/>
                <w:lang w:val="sr-Cyrl-CS"/>
              </w:rPr>
              <w:t>2025</w:t>
            </w:r>
          </w:p>
        </w:tc>
      </w:tr>
      <w:tr w:rsidR="00247CBF" w:rsidRPr="00092ED7" w14:paraId="4AE11F1D" w14:textId="77777777" w:rsidTr="00247CBF">
        <w:trPr>
          <w:gridBefore w:val="1"/>
          <w:wBefore w:w="8" w:type="pct"/>
          <w:trHeight w:val="227"/>
        </w:trPr>
        <w:tc>
          <w:tcPr>
            <w:tcW w:w="2317" w:type="pct"/>
            <w:tcBorders>
              <w:top w:val="nil"/>
              <w:left w:val="double" w:sz="6" w:space="0" w:color="auto"/>
              <w:bottom w:val="single" w:sz="8" w:space="0" w:color="auto"/>
              <w:right w:val="dotted" w:sz="4" w:space="0" w:color="auto"/>
            </w:tcBorders>
            <w:shd w:val="clear" w:color="auto" w:fill="auto"/>
            <w:noWrap/>
            <w:vAlign w:val="center"/>
            <w:hideMark/>
          </w:tcPr>
          <w:p w14:paraId="69B1E3AD" w14:textId="77777777" w:rsidR="00247CBF" w:rsidRPr="00092ED7" w:rsidRDefault="00247CBF" w:rsidP="00247CBF">
            <w:pPr>
              <w:spacing w:after="0"/>
              <w:jc w:val="left"/>
              <w:rPr>
                <w:rFonts w:eastAsia="Times New Roman" w:cs="Times New Roman"/>
                <w:b/>
                <w:bCs/>
                <w:sz w:val="20"/>
                <w:szCs w:val="20"/>
                <w:lang w:val="sr-Cyrl-CS"/>
              </w:rPr>
            </w:pPr>
            <w:r w:rsidRPr="00092ED7">
              <w:rPr>
                <w:rFonts w:eastAsia="Times New Roman" w:cs="Times New Roman"/>
                <w:b/>
                <w:bCs/>
                <w:sz w:val="20"/>
                <w:szCs w:val="20"/>
                <w:lang w:val="sr-Cyrl-CS"/>
              </w:rPr>
              <w:t xml:space="preserve">  1. Бруто дуг [1]</w:t>
            </w:r>
          </w:p>
        </w:tc>
        <w:tc>
          <w:tcPr>
            <w:tcW w:w="416" w:type="pct"/>
            <w:gridSpan w:val="2"/>
            <w:tcBorders>
              <w:top w:val="nil"/>
              <w:left w:val="nil"/>
              <w:bottom w:val="single" w:sz="8" w:space="0" w:color="auto"/>
              <w:right w:val="single" w:sz="8" w:space="0" w:color="auto"/>
            </w:tcBorders>
            <w:shd w:val="clear" w:color="000000" w:fill="FFFFFF"/>
            <w:vAlign w:val="center"/>
            <w:hideMark/>
          </w:tcPr>
          <w:p w14:paraId="687845C7" w14:textId="77777777" w:rsidR="00247CBF" w:rsidRPr="00092ED7" w:rsidRDefault="00247CBF" w:rsidP="00247CBF">
            <w:pPr>
              <w:spacing w:after="0"/>
              <w:jc w:val="left"/>
              <w:rPr>
                <w:rFonts w:eastAsia="Times New Roman" w:cs="Times New Roman"/>
                <w:b/>
                <w:sz w:val="20"/>
                <w:szCs w:val="20"/>
                <w:lang w:val="sr-Cyrl-CS"/>
              </w:rPr>
            </w:pPr>
            <w:r w:rsidRPr="00092ED7">
              <w:rPr>
                <w:rFonts w:eastAsia="Times New Roman" w:cs="Times New Roman"/>
                <w:b/>
                <w:sz w:val="20"/>
                <w:szCs w:val="20"/>
                <w:lang w:val="sr-Cyrl-CS"/>
              </w:rPr>
              <w:t> </w:t>
            </w:r>
          </w:p>
        </w:tc>
        <w:tc>
          <w:tcPr>
            <w:tcW w:w="451" w:type="pct"/>
            <w:gridSpan w:val="2"/>
            <w:tcBorders>
              <w:top w:val="nil"/>
              <w:left w:val="nil"/>
              <w:bottom w:val="single" w:sz="8" w:space="0" w:color="auto"/>
              <w:right w:val="dotted" w:sz="4" w:space="0" w:color="auto"/>
            </w:tcBorders>
            <w:shd w:val="clear" w:color="000000" w:fill="FFFFFF"/>
            <w:vAlign w:val="center"/>
            <w:hideMark/>
          </w:tcPr>
          <w:p w14:paraId="6919CCA4" w14:textId="77777777" w:rsidR="00247CBF" w:rsidRPr="00092ED7" w:rsidRDefault="00247CBF" w:rsidP="00247CBF">
            <w:pPr>
              <w:spacing w:after="0"/>
              <w:jc w:val="center"/>
              <w:rPr>
                <w:sz w:val="20"/>
                <w:szCs w:val="20"/>
                <w:lang w:val="sr-Cyrl-CS"/>
              </w:rPr>
            </w:pPr>
            <w:r w:rsidRPr="00092ED7">
              <w:rPr>
                <w:sz w:val="20"/>
                <w:szCs w:val="20"/>
                <w:lang w:val="sr-Cyrl-CS"/>
              </w:rPr>
              <w:t>57,1</w:t>
            </w:r>
          </w:p>
        </w:tc>
        <w:tc>
          <w:tcPr>
            <w:tcW w:w="451" w:type="pct"/>
            <w:gridSpan w:val="2"/>
            <w:tcBorders>
              <w:top w:val="nil"/>
              <w:left w:val="nil"/>
              <w:bottom w:val="single" w:sz="8" w:space="0" w:color="auto"/>
              <w:right w:val="dotted" w:sz="4" w:space="0" w:color="auto"/>
            </w:tcBorders>
            <w:shd w:val="clear" w:color="000000" w:fill="FFFFFF"/>
            <w:vAlign w:val="center"/>
            <w:hideMark/>
          </w:tcPr>
          <w:p w14:paraId="1DCC9841" w14:textId="77777777" w:rsidR="00247CBF" w:rsidRPr="00092ED7" w:rsidRDefault="00247CBF" w:rsidP="00247CBF">
            <w:pPr>
              <w:spacing w:after="0"/>
              <w:jc w:val="center"/>
              <w:rPr>
                <w:sz w:val="20"/>
                <w:szCs w:val="20"/>
                <w:lang w:val="sr-Cyrl-CS"/>
              </w:rPr>
            </w:pPr>
            <w:r w:rsidRPr="00092ED7">
              <w:rPr>
                <w:sz w:val="20"/>
                <w:szCs w:val="20"/>
                <w:lang w:val="sr-Cyrl-CS"/>
              </w:rPr>
              <w:t>56,9</w:t>
            </w:r>
          </w:p>
        </w:tc>
        <w:tc>
          <w:tcPr>
            <w:tcW w:w="452" w:type="pct"/>
            <w:gridSpan w:val="2"/>
            <w:tcBorders>
              <w:top w:val="nil"/>
              <w:left w:val="nil"/>
              <w:bottom w:val="single" w:sz="8" w:space="0" w:color="auto"/>
              <w:right w:val="dotted" w:sz="4" w:space="0" w:color="auto"/>
            </w:tcBorders>
            <w:shd w:val="clear" w:color="000000" w:fill="FFFFFF"/>
            <w:vAlign w:val="center"/>
            <w:hideMark/>
          </w:tcPr>
          <w:p w14:paraId="4CF9C5F0" w14:textId="77777777" w:rsidR="00247CBF" w:rsidRPr="00092ED7" w:rsidRDefault="00247CBF" w:rsidP="00247CBF">
            <w:pPr>
              <w:spacing w:after="0"/>
              <w:jc w:val="center"/>
              <w:rPr>
                <w:sz w:val="20"/>
                <w:szCs w:val="20"/>
                <w:lang w:val="sr-Cyrl-CS"/>
              </w:rPr>
            </w:pPr>
            <w:r w:rsidRPr="00092ED7">
              <w:rPr>
                <w:sz w:val="20"/>
                <w:szCs w:val="20"/>
                <w:lang w:val="sr-Cyrl-CS"/>
              </w:rPr>
              <w:t>56,1</w:t>
            </w:r>
          </w:p>
        </w:tc>
        <w:tc>
          <w:tcPr>
            <w:tcW w:w="451" w:type="pct"/>
            <w:gridSpan w:val="2"/>
            <w:tcBorders>
              <w:top w:val="nil"/>
              <w:left w:val="nil"/>
              <w:bottom w:val="single" w:sz="8" w:space="0" w:color="auto"/>
              <w:right w:val="dotted" w:sz="4" w:space="0" w:color="auto"/>
            </w:tcBorders>
            <w:shd w:val="clear" w:color="000000" w:fill="FFFFFF"/>
            <w:vAlign w:val="center"/>
            <w:hideMark/>
          </w:tcPr>
          <w:p w14:paraId="252B573D" w14:textId="77777777" w:rsidR="00247CBF" w:rsidRPr="00092ED7" w:rsidRDefault="00247CBF" w:rsidP="00247CBF">
            <w:pPr>
              <w:spacing w:after="0"/>
              <w:jc w:val="center"/>
              <w:rPr>
                <w:sz w:val="20"/>
                <w:szCs w:val="20"/>
                <w:lang w:val="sr-Cyrl-CS"/>
              </w:rPr>
            </w:pPr>
            <w:r w:rsidRPr="00092ED7">
              <w:rPr>
                <w:sz w:val="20"/>
                <w:szCs w:val="20"/>
                <w:lang w:val="sr-Cyrl-CS"/>
              </w:rPr>
              <w:t>55,1</w:t>
            </w:r>
          </w:p>
        </w:tc>
        <w:tc>
          <w:tcPr>
            <w:tcW w:w="451" w:type="pct"/>
            <w:gridSpan w:val="2"/>
            <w:tcBorders>
              <w:top w:val="nil"/>
              <w:left w:val="nil"/>
              <w:bottom w:val="single" w:sz="8" w:space="0" w:color="auto"/>
              <w:right w:val="double" w:sz="6" w:space="0" w:color="auto"/>
            </w:tcBorders>
            <w:shd w:val="clear" w:color="000000" w:fill="FFFFFF"/>
            <w:vAlign w:val="center"/>
            <w:hideMark/>
          </w:tcPr>
          <w:p w14:paraId="0ABE8AD7" w14:textId="77777777" w:rsidR="00247CBF" w:rsidRPr="00092ED7" w:rsidRDefault="00247CBF" w:rsidP="00247CBF">
            <w:pPr>
              <w:spacing w:after="0"/>
              <w:jc w:val="center"/>
              <w:rPr>
                <w:sz w:val="20"/>
                <w:szCs w:val="20"/>
                <w:lang w:val="sr-Cyrl-CS"/>
              </w:rPr>
            </w:pPr>
            <w:r w:rsidRPr="00092ED7">
              <w:rPr>
                <w:sz w:val="20"/>
                <w:szCs w:val="20"/>
                <w:lang w:val="sr-Cyrl-CS"/>
              </w:rPr>
              <w:t>54,0</w:t>
            </w:r>
          </w:p>
        </w:tc>
      </w:tr>
      <w:tr w:rsidR="00247CBF" w:rsidRPr="00092ED7" w14:paraId="71C113D2" w14:textId="77777777" w:rsidTr="00247CBF">
        <w:trPr>
          <w:gridBefore w:val="1"/>
          <w:wBefore w:w="8" w:type="pct"/>
          <w:trHeight w:val="227"/>
        </w:trPr>
        <w:tc>
          <w:tcPr>
            <w:tcW w:w="2317" w:type="pct"/>
            <w:tcBorders>
              <w:top w:val="nil"/>
              <w:left w:val="double" w:sz="6" w:space="0" w:color="auto"/>
              <w:bottom w:val="single" w:sz="8" w:space="0" w:color="auto"/>
              <w:right w:val="dotted" w:sz="4" w:space="0" w:color="auto"/>
            </w:tcBorders>
            <w:shd w:val="clear" w:color="000000" w:fill="FFFFFF"/>
            <w:vAlign w:val="center"/>
            <w:hideMark/>
          </w:tcPr>
          <w:p w14:paraId="3973808A" w14:textId="77777777" w:rsidR="00247CBF" w:rsidRPr="00092ED7" w:rsidRDefault="00247CBF" w:rsidP="00247CBF">
            <w:pPr>
              <w:spacing w:after="0"/>
              <w:jc w:val="left"/>
              <w:rPr>
                <w:rFonts w:eastAsia="Times New Roman" w:cs="Times New Roman"/>
                <w:b/>
                <w:bCs/>
                <w:sz w:val="20"/>
                <w:szCs w:val="20"/>
                <w:lang w:val="sr-Cyrl-CS"/>
              </w:rPr>
            </w:pPr>
            <w:r w:rsidRPr="00092ED7">
              <w:rPr>
                <w:rFonts w:eastAsia="Times New Roman" w:cs="Times New Roman"/>
                <w:b/>
                <w:bCs/>
                <w:sz w:val="20"/>
                <w:szCs w:val="20"/>
                <w:lang w:val="sr-Cyrl-CS"/>
              </w:rPr>
              <w:t xml:space="preserve">  2. Промена учешћа бруто дуга</w:t>
            </w:r>
          </w:p>
        </w:tc>
        <w:tc>
          <w:tcPr>
            <w:tcW w:w="416" w:type="pct"/>
            <w:gridSpan w:val="2"/>
            <w:tcBorders>
              <w:top w:val="nil"/>
              <w:left w:val="nil"/>
              <w:bottom w:val="single" w:sz="8" w:space="0" w:color="auto"/>
              <w:right w:val="single" w:sz="8" w:space="0" w:color="auto"/>
            </w:tcBorders>
            <w:shd w:val="clear" w:color="000000" w:fill="FFFFFF"/>
            <w:vAlign w:val="center"/>
            <w:hideMark/>
          </w:tcPr>
          <w:p w14:paraId="1F170248" w14:textId="77777777" w:rsidR="00247CBF" w:rsidRPr="00092ED7" w:rsidRDefault="00247CBF" w:rsidP="00247CBF">
            <w:pPr>
              <w:spacing w:after="0"/>
              <w:jc w:val="left"/>
              <w:rPr>
                <w:rFonts w:eastAsia="Times New Roman" w:cs="Times New Roman"/>
                <w:b/>
                <w:sz w:val="20"/>
                <w:szCs w:val="20"/>
                <w:lang w:val="sr-Cyrl-CS"/>
              </w:rPr>
            </w:pPr>
            <w:r w:rsidRPr="00092ED7">
              <w:rPr>
                <w:rFonts w:eastAsia="Times New Roman" w:cs="Times New Roman"/>
                <w:b/>
                <w:sz w:val="20"/>
                <w:szCs w:val="20"/>
                <w:lang w:val="sr-Cyrl-CS"/>
              </w:rPr>
              <w:t> </w:t>
            </w:r>
          </w:p>
        </w:tc>
        <w:tc>
          <w:tcPr>
            <w:tcW w:w="451" w:type="pct"/>
            <w:gridSpan w:val="2"/>
            <w:tcBorders>
              <w:top w:val="nil"/>
              <w:left w:val="nil"/>
              <w:bottom w:val="single" w:sz="8" w:space="0" w:color="auto"/>
              <w:right w:val="dotted" w:sz="4" w:space="0" w:color="auto"/>
            </w:tcBorders>
            <w:shd w:val="clear" w:color="000000" w:fill="FFFFFF"/>
            <w:vAlign w:val="center"/>
            <w:hideMark/>
          </w:tcPr>
          <w:p w14:paraId="50BF36F5" w14:textId="77777777" w:rsidR="00247CBF" w:rsidRPr="00092ED7" w:rsidRDefault="00247CBF" w:rsidP="00247CBF">
            <w:pPr>
              <w:spacing w:after="0"/>
              <w:jc w:val="center"/>
              <w:rPr>
                <w:sz w:val="20"/>
                <w:szCs w:val="20"/>
                <w:lang w:val="sr-Cyrl-CS"/>
              </w:rPr>
            </w:pPr>
            <w:r w:rsidRPr="00092ED7">
              <w:rPr>
                <w:sz w:val="20"/>
                <w:szCs w:val="20"/>
                <w:lang w:val="sr-Cyrl-CS"/>
              </w:rPr>
              <w:t>-0,7</w:t>
            </w:r>
          </w:p>
        </w:tc>
        <w:tc>
          <w:tcPr>
            <w:tcW w:w="451" w:type="pct"/>
            <w:gridSpan w:val="2"/>
            <w:tcBorders>
              <w:top w:val="nil"/>
              <w:left w:val="nil"/>
              <w:bottom w:val="single" w:sz="8" w:space="0" w:color="auto"/>
              <w:right w:val="dotted" w:sz="4" w:space="0" w:color="auto"/>
            </w:tcBorders>
            <w:shd w:val="clear" w:color="000000" w:fill="FFFFFF"/>
            <w:vAlign w:val="center"/>
            <w:hideMark/>
          </w:tcPr>
          <w:p w14:paraId="52AC34B0" w14:textId="77777777" w:rsidR="00247CBF" w:rsidRPr="00092ED7" w:rsidRDefault="00247CBF" w:rsidP="00247CBF">
            <w:pPr>
              <w:spacing w:after="0"/>
              <w:jc w:val="center"/>
              <w:rPr>
                <w:sz w:val="20"/>
                <w:szCs w:val="20"/>
                <w:lang w:val="sr-Cyrl-CS"/>
              </w:rPr>
            </w:pPr>
            <w:r w:rsidRPr="00092ED7">
              <w:rPr>
                <w:sz w:val="20"/>
                <w:szCs w:val="20"/>
                <w:lang w:val="sr-Cyrl-CS"/>
              </w:rPr>
              <w:t>-0,2</w:t>
            </w:r>
          </w:p>
        </w:tc>
        <w:tc>
          <w:tcPr>
            <w:tcW w:w="452" w:type="pct"/>
            <w:gridSpan w:val="2"/>
            <w:tcBorders>
              <w:top w:val="nil"/>
              <w:left w:val="nil"/>
              <w:bottom w:val="single" w:sz="8" w:space="0" w:color="auto"/>
              <w:right w:val="dotted" w:sz="4" w:space="0" w:color="auto"/>
            </w:tcBorders>
            <w:shd w:val="clear" w:color="000000" w:fill="FFFFFF"/>
            <w:vAlign w:val="center"/>
            <w:hideMark/>
          </w:tcPr>
          <w:p w14:paraId="336E1C0E" w14:textId="77777777" w:rsidR="00247CBF" w:rsidRPr="00092ED7" w:rsidRDefault="00247CBF" w:rsidP="00247CBF">
            <w:pPr>
              <w:spacing w:after="0"/>
              <w:jc w:val="center"/>
              <w:rPr>
                <w:sz w:val="20"/>
                <w:szCs w:val="20"/>
                <w:lang w:val="sr-Cyrl-CS"/>
              </w:rPr>
            </w:pPr>
            <w:r w:rsidRPr="00092ED7">
              <w:rPr>
                <w:sz w:val="20"/>
                <w:szCs w:val="20"/>
                <w:lang w:val="sr-Cyrl-CS"/>
              </w:rPr>
              <w:t>-0,8</w:t>
            </w:r>
          </w:p>
        </w:tc>
        <w:tc>
          <w:tcPr>
            <w:tcW w:w="451" w:type="pct"/>
            <w:gridSpan w:val="2"/>
            <w:tcBorders>
              <w:top w:val="nil"/>
              <w:left w:val="nil"/>
              <w:bottom w:val="single" w:sz="8" w:space="0" w:color="auto"/>
              <w:right w:val="dotted" w:sz="4" w:space="0" w:color="auto"/>
            </w:tcBorders>
            <w:shd w:val="clear" w:color="000000" w:fill="FFFFFF"/>
            <w:vAlign w:val="center"/>
            <w:hideMark/>
          </w:tcPr>
          <w:p w14:paraId="22370FF1" w14:textId="77777777" w:rsidR="00247CBF" w:rsidRPr="00092ED7" w:rsidRDefault="00247CBF" w:rsidP="00247CBF">
            <w:pPr>
              <w:spacing w:after="0"/>
              <w:jc w:val="center"/>
              <w:rPr>
                <w:sz w:val="20"/>
                <w:szCs w:val="20"/>
                <w:lang w:val="sr-Cyrl-CS"/>
              </w:rPr>
            </w:pPr>
            <w:r w:rsidRPr="00092ED7">
              <w:rPr>
                <w:sz w:val="20"/>
                <w:szCs w:val="20"/>
                <w:lang w:val="sr-Cyrl-CS"/>
              </w:rPr>
              <w:t>-1,0</w:t>
            </w:r>
          </w:p>
        </w:tc>
        <w:tc>
          <w:tcPr>
            <w:tcW w:w="451" w:type="pct"/>
            <w:gridSpan w:val="2"/>
            <w:tcBorders>
              <w:top w:val="nil"/>
              <w:left w:val="nil"/>
              <w:bottom w:val="single" w:sz="8" w:space="0" w:color="auto"/>
              <w:right w:val="double" w:sz="6" w:space="0" w:color="auto"/>
            </w:tcBorders>
            <w:shd w:val="clear" w:color="000000" w:fill="FFFFFF"/>
            <w:vAlign w:val="center"/>
            <w:hideMark/>
          </w:tcPr>
          <w:p w14:paraId="356B55A3" w14:textId="77777777" w:rsidR="00247CBF" w:rsidRPr="00092ED7" w:rsidRDefault="00247CBF" w:rsidP="00247CBF">
            <w:pPr>
              <w:spacing w:after="0"/>
              <w:jc w:val="center"/>
              <w:rPr>
                <w:sz w:val="20"/>
                <w:szCs w:val="20"/>
                <w:lang w:val="sr-Cyrl-CS"/>
              </w:rPr>
            </w:pPr>
            <w:r w:rsidRPr="00092ED7">
              <w:rPr>
                <w:sz w:val="20"/>
                <w:szCs w:val="20"/>
                <w:lang w:val="sr-Cyrl-CS"/>
              </w:rPr>
              <w:t>-1,1</w:t>
            </w:r>
          </w:p>
        </w:tc>
      </w:tr>
      <w:tr w:rsidR="00247CBF" w:rsidRPr="00092ED7" w14:paraId="1B3DA764" w14:textId="77777777" w:rsidTr="00247CBF">
        <w:trPr>
          <w:gridBefore w:val="1"/>
          <w:wBefore w:w="8" w:type="pct"/>
          <w:trHeight w:val="227"/>
        </w:trPr>
        <w:tc>
          <w:tcPr>
            <w:tcW w:w="4992" w:type="pct"/>
            <w:gridSpan w:val="13"/>
            <w:tcBorders>
              <w:top w:val="single" w:sz="8" w:space="0" w:color="auto"/>
              <w:left w:val="double" w:sz="6" w:space="0" w:color="auto"/>
              <w:bottom w:val="single" w:sz="8" w:space="0" w:color="auto"/>
              <w:right w:val="nil"/>
            </w:tcBorders>
            <w:shd w:val="clear" w:color="000000" w:fill="FFFFFF"/>
            <w:vAlign w:val="center"/>
            <w:hideMark/>
          </w:tcPr>
          <w:p w14:paraId="172255AE" w14:textId="77777777" w:rsidR="00247CBF" w:rsidRPr="00092ED7" w:rsidRDefault="00247CBF" w:rsidP="00247CBF">
            <w:pPr>
              <w:spacing w:after="0"/>
              <w:jc w:val="center"/>
              <w:rPr>
                <w:rFonts w:eastAsia="Times New Roman" w:cs="Times New Roman"/>
                <w:b/>
                <w:bCs/>
                <w:sz w:val="20"/>
                <w:szCs w:val="20"/>
                <w:lang w:val="sr-Cyrl-CS"/>
              </w:rPr>
            </w:pPr>
            <w:r w:rsidRPr="00092ED7">
              <w:rPr>
                <w:rFonts w:eastAsia="Times New Roman" w:cs="Times New Roman"/>
                <w:b/>
                <w:bCs/>
                <w:sz w:val="20"/>
                <w:szCs w:val="20"/>
                <w:lang w:val="sr-Cyrl-CS"/>
              </w:rPr>
              <w:t>Доприноси промени бруто дуга</w:t>
            </w:r>
          </w:p>
        </w:tc>
      </w:tr>
      <w:tr w:rsidR="00247CBF" w:rsidRPr="00092ED7" w14:paraId="5356731F" w14:textId="77777777" w:rsidTr="00247CBF">
        <w:trPr>
          <w:gridBefore w:val="1"/>
          <w:wBefore w:w="8" w:type="pct"/>
          <w:trHeight w:val="227"/>
        </w:trPr>
        <w:tc>
          <w:tcPr>
            <w:tcW w:w="2317" w:type="pct"/>
            <w:tcBorders>
              <w:top w:val="nil"/>
              <w:left w:val="double" w:sz="6" w:space="0" w:color="auto"/>
              <w:bottom w:val="nil"/>
              <w:right w:val="dotted" w:sz="4" w:space="0" w:color="auto"/>
            </w:tcBorders>
            <w:shd w:val="clear" w:color="auto" w:fill="auto"/>
            <w:noWrap/>
            <w:vAlign w:val="center"/>
            <w:hideMark/>
          </w:tcPr>
          <w:p w14:paraId="274B5D21" w14:textId="77777777" w:rsidR="00247CBF" w:rsidRPr="00092ED7" w:rsidRDefault="00247CBF" w:rsidP="00247CBF">
            <w:pPr>
              <w:spacing w:after="0"/>
              <w:jc w:val="left"/>
              <w:rPr>
                <w:rFonts w:eastAsia="Times New Roman" w:cs="Times New Roman"/>
                <w:b/>
                <w:bCs/>
                <w:sz w:val="20"/>
                <w:szCs w:val="20"/>
                <w:lang w:val="sr-Cyrl-CS"/>
              </w:rPr>
            </w:pPr>
            <w:r w:rsidRPr="00092ED7">
              <w:rPr>
                <w:rFonts w:eastAsia="Times New Roman" w:cs="Times New Roman"/>
                <w:b/>
                <w:bCs/>
                <w:sz w:val="20"/>
                <w:szCs w:val="20"/>
                <w:lang w:val="sr-Cyrl-CS"/>
              </w:rPr>
              <w:t xml:space="preserve">  3. Примарни резултат [2]</w:t>
            </w:r>
          </w:p>
        </w:tc>
        <w:tc>
          <w:tcPr>
            <w:tcW w:w="416" w:type="pct"/>
            <w:gridSpan w:val="2"/>
            <w:tcBorders>
              <w:top w:val="nil"/>
              <w:left w:val="nil"/>
              <w:bottom w:val="dotted" w:sz="4" w:space="0" w:color="auto"/>
              <w:right w:val="single" w:sz="8" w:space="0" w:color="auto"/>
            </w:tcBorders>
            <w:shd w:val="clear" w:color="000000" w:fill="FFFFFF"/>
            <w:vAlign w:val="center"/>
            <w:hideMark/>
          </w:tcPr>
          <w:p w14:paraId="11407E80"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 </w:t>
            </w:r>
          </w:p>
        </w:tc>
        <w:tc>
          <w:tcPr>
            <w:tcW w:w="451" w:type="pct"/>
            <w:gridSpan w:val="2"/>
            <w:tcBorders>
              <w:top w:val="nil"/>
              <w:left w:val="nil"/>
              <w:bottom w:val="dotted" w:sz="4" w:space="0" w:color="auto"/>
              <w:right w:val="dotted" w:sz="4" w:space="0" w:color="auto"/>
            </w:tcBorders>
            <w:shd w:val="clear" w:color="000000" w:fill="FFFFFF"/>
            <w:vAlign w:val="center"/>
            <w:hideMark/>
          </w:tcPr>
          <w:p w14:paraId="7241C139" w14:textId="77777777" w:rsidR="00247CBF" w:rsidRPr="00092ED7" w:rsidRDefault="00247CBF" w:rsidP="00247CBF">
            <w:pPr>
              <w:spacing w:after="0"/>
              <w:jc w:val="right"/>
              <w:rPr>
                <w:sz w:val="20"/>
                <w:szCs w:val="20"/>
                <w:lang w:val="sr-Cyrl-CS"/>
              </w:rPr>
            </w:pPr>
            <w:r w:rsidRPr="00092ED7">
              <w:rPr>
                <w:sz w:val="20"/>
                <w:szCs w:val="20"/>
                <w:lang w:val="sr-Cyrl-CS"/>
              </w:rPr>
              <w:t>2,4</w:t>
            </w:r>
          </w:p>
        </w:tc>
        <w:tc>
          <w:tcPr>
            <w:tcW w:w="451" w:type="pct"/>
            <w:gridSpan w:val="2"/>
            <w:tcBorders>
              <w:top w:val="nil"/>
              <w:left w:val="nil"/>
              <w:bottom w:val="dotted" w:sz="4" w:space="0" w:color="auto"/>
              <w:right w:val="dotted" w:sz="4" w:space="0" w:color="auto"/>
            </w:tcBorders>
            <w:shd w:val="clear" w:color="000000" w:fill="FFFFFF"/>
            <w:vAlign w:val="center"/>
            <w:hideMark/>
          </w:tcPr>
          <w:p w14:paraId="5F9EA7E8" w14:textId="77777777" w:rsidR="00247CBF" w:rsidRPr="00092ED7" w:rsidRDefault="00247CBF" w:rsidP="00247CBF">
            <w:pPr>
              <w:spacing w:after="0"/>
              <w:jc w:val="right"/>
              <w:rPr>
                <w:sz w:val="20"/>
                <w:szCs w:val="20"/>
                <w:lang w:val="sr-Cyrl-CS"/>
              </w:rPr>
            </w:pPr>
            <w:r w:rsidRPr="00092ED7">
              <w:rPr>
                <w:sz w:val="20"/>
                <w:szCs w:val="20"/>
                <w:lang w:val="sr-Cyrl-CS"/>
              </w:rPr>
              <w:t>2,2</w:t>
            </w:r>
          </w:p>
        </w:tc>
        <w:tc>
          <w:tcPr>
            <w:tcW w:w="452" w:type="pct"/>
            <w:gridSpan w:val="2"/>
            <w:tcBorders>
              <w:top w:val="nil"/>
              <w:left w:val="nil"/>
              <w:bottom w:val="dotted" w:sz="4" w:space="0" w:color="auto"/>
              <w:right w:val="dotted" w:sz="4" w:space="0" w:color="auto"/>
            </w:tcBorders>
            <w:shd w:val="clear" w:color="000000" w:fill="FFFFFF"/>
            <w:vAlign w:val="center"/>
            <w:hideMark/>
          </w:tcPr>
          <w:p w14:paraId="649C6764" w14:textId="77777777" w:rsidR="00247CBF" w:rsidRPr="00092ED7" w:rsidRDefault="00247CBF" w:rsidP="00247CBF">
            <w:pPr>
              <w:spacing w:after="0"/>
              <w:jc w:val="right"/>
              <w:rPr>
                <w:sz w:val="20"/>
                <w:szCs w:val="20"/>
                <w:lang w:val="sr-Cyrl-CS"/>
              </w:rPr>
            </w:pPr>
            <w:r w:rsidRPr="00092ED7">
              <w:rPr>
                <w:sz w:val="20"/>
                <w:szCs w:val="20"/>
                <w:lang w:val="sr-Cyrl-CS"/>
              </w:rPr>
              <w:t>1,5</w:t>
            </w:r>
          </w:p>
        </w:tc>
        <w:tc>
          <w:tcPr>
            <w:tcW w:w="451" w:type="pct"/>
            <w:gridSpan w:val="2"/>
            <w:tcBorders>
              <w:top w:val="nil"/>
              <w:left w:val="nil"/>
              <w:bottom w:val="dotted" w:sz="4" w:space="0" w:color="auto"/>
              <w:right w:val="dotted" w:sz="4" w:space="0" w:color="auto"/>
            </w:tcBorders>
            <w:shd w:val="clear" w:color="000000" w:fill="FFFFFF"/>
            <w:vAlign w:val="center"/>
            <w:hideMark/>
          </w:tcPr>
          <w:p w14:paraId="5F3747AF" w14:textId="77777777" w:rsidR="00247CBF" w:rsidRPr="00092ED7" w:rsidRDefault="00247CBF" w:rsidP="00247CBF">
            <w:pPr>
              <w:spacing w:after="0"/>
              <w:jc w:val="right"/>
              <w:rPr>
                <w:sz w:val="20"/>
                <w:szCs w:val="20"/>
                <w:lang w:val="sr-Cyrl-CS"/>
              </w:rPr>
            </w:pPr>
            <w:r w:rsidRPr="00092ED7">
              <w:rPr>
                <w:sz w:val="20"/>
                <w:szCs w:val="20"/>
                <w:lang w:val="sr-Cyrl-CS"/>
              </w:rPr>
              <w:t>0,1</w:t>
            </w:r>
          </w:p>
        </w:tc>
        <w:tc>
          <w:tcPr>
            <w:tcW w:w="451" w:type="pct"/>
            <w:gridSpan w:val="2"/>
            <w:tcBorders>
              <w:top w:val="nil"/>
              <w:left w:val="nil"/>
              <w:bottom w:val="dotted" w:sz="4" w:space="0" w:color="auto"/>
              <w:right w:val="double" w:sz="6" w:space="0" w:color="auto"/>
            </w:tcBorders>
            <w:shd w:val="clear" w:color="000000" w:fill="FFFFFF"/>
            <w:vAlign w:val="center"/>
            <w:hideMark/>
          </w:tcPr>
          <w:p w14:paraId="66C5F50A" w14:textId="77777777" w:rsidR="00247CBF" w:rsidRPr="00092ED7" w:rsidRDefault="00247CBF" w:rsidP="00247CBF">
            <w:pPr>
              <w:spacing w:after="0"/>
              <w:jc w:val="right"/>
              <w:rPr>
                <w:sz w:val="20"/>
                <w:szCs w:val="20"/>
                <w:lang w:val="sr-Cyrl-CS"/>
              </w:rPr>
            </w:pPr>
            <w:r w:rsidRPr="00092ED7">
              <w:rPr>
                <w:sz w:val="20"/>
                <w:szCs w:val="20"/>
                <w:lang w:val="sr-Cyrl-CS"/>
              </w:rPr>
              <w:t>-0,6</w:t>
            </w:r>
          </w:p>
        </w:tc>
      </w:tr>
      <w:tr w:rsidR="00247CBF" w:rsidRPr="00092ED7" w14:paraId="1E241603" w14:textId="77777777" w:rsidTr="00247CBF">
        <w:trPr>
          <w:gridBefore w:val="1"/>
          <w:wBefore w:w="8" w:type="pct"/>
          <w:trHeight w:val="227"/>
        </w:trPr>
        <w:tc>
          <w:tcPr>
            <w:tcW w:w="2317" w:type="pct"/>
            <w:tcBorders>
              <w:top w:val="dotted" w:sz="4" w:space="0" w:color="auto"/>
              <w:left w:val="double" w:sz="6" w:space="0" w:color="auto"/>
              <w:bottom w:val="dotted" w:sz="4" w:space="0" w:color="auto"/>
              <w:right w:val="dotted" w:sz="4" w:space="0" w:color="auto"/>
            </w:tcBorders>
            <w:shd w:val="clear" w:color="auto" w:fill="auto"/>
            <w:noWrap/>
            <w:vAlign w:val="center"/>
            <w:hideMark/>
          </w:tcPr>
          <w:p w14:paraId="368B5B15" w14:textId="77777777" w:rsidR="00247CBF" w:rsidRPr="00092ED7" w:rsidRDefault="00247CBF" w:rsidP="00247CBF">
            <w:pPr>
              <w:spacing w:after="0"/>
              <w:jc w:val="left"/>
              <w:rPr>
                <w:rFonts w:eastAsia="Times New Roman" w:cs="Times New Roman"/>
                <w:b/>
                <w:bCs/>
                <w:sz w:val="20"/>
                <w:szCs w:val="20"/>
                <w:lang w:val="sr-Cyrl-CS"/>
              </w:rPr>
            </w:pPr>
            <w:r w:rsidRPr="00092ED7">
              <w:rPr>
                <w:rFonts w:eastAsia="Times New Roman" w:cs="Times New Roman"/>
                <w:b/>
                <w:bCs/>
                <w:sz w:val="20"/>
                <w:szCs w:val="20"/>
                <w:lang w:val="sr-Cyrl-CS"/>
              </w:rPr>
              <w:t xml:space="preserve">  4. Расходи за камате  [3]</w:t>
            </w:r>
          </w:p>
        </w:tc>
        <w:tc>
          <w:tcPr>
            <w:tcW w:w="416" w:type="pct"/>
            <w:gridSpan w:val="2"/>
            <w:tcBorders>
              <w:top w:val="dotted" w:sz="4" w:space="0" w:color="auto"/>
              <w:left w:val="nil"/>
              <w:bottom w:val="dotted" w:sz="4" w:space="0" w:color="auto"/>
              <w:right w:val="single" w:sz="8" w:space="0" w:color="auto"/>
            </w:tcBorders>
            <w:shd w:val="clear" w:color="000000" w:fill="FFFFFF"/>
            <w:vAlign w:val="center"/>
            <w:hideMark/>
          </w:tcPr>
          <w:p w14:paraId="1B3200E9"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EDP D.41</w:t>
            </w:r>
          </w:p>
        </w:tc>
        <w:tc>
          <w:tcPr>
            <w:tcW w:w="451" w:type="pct"/>
            <w:gridSpan w:val="2"/>
            <w:tcBorders>
              <w:top w:val="dotted" w:sz="4" w:space="0" w:color="auto"/>
              <w:left w:val="nil"/>
              <w:bottom w:val="dotted" w:sz="4" w:space="0" w:color="auto"/>
              <w:right w:val="dotted" w:sz="4" w:space="0" w:color="auto"/>
            </w:tcBorders>
            <w:shd w:val="clear" w:color="000000" w:fill="FFFFFF"/>
            <w:vAlign w:val="center"/>
            <w:hideMark/>
          </w:tcPr>
          <w:p w14:paraId="68599AAC" w14:textId="77777777" w:rsidR="00247CBF" w:rsidRPr="00092ED7" w:rsidRDefault="00247CBF" w:rsidP="00247CBF">
            <w:pPr>
              <w:spacing w:after="0"/>
              <w:jc w:val="right"/>
              <w:rPr>
                <w:sz w:val="20"/>
                <w:szCs w:val="20"/>
                <w:lang w:val="sr-Cyrl-CS"/>
              </w:rPr>
            </w:pPr>
            <w:r w:rsidRPr="00092ED7">
              <w:rPr>
                <w:sz w:val="20"/>
                <w:szCs w:val="20"/>
                <w:lang w:val="sr-Cyrl-CS"/>
              </w:rPr>
              <w:t>1,7</w:t>
            </w:r>
          </w:p>
        </w:tc>
        <w:tc>
          <w:tcPr>
            <w:tcW w:w="451" w:type="pct"/>
            <w:gridSpan w:val="2"/>
            <w:tcBorders>
              <w:top w:val="dotted" w:sz="4" w:space="0" w:color="auto"/>
              <w:left w:val="nil"/>
              <w:bottom w:val="dotted" w:sz="4" w:space="0" w:color="auto"/>
              <w:right w:val="dotted" w:sz="4" w:space="0" w:color="auto"/>
            </w:tcBorders>
            <w:shd w:val="clear" w:color="000000" w:fill="FFFFFF"/>
            <w:vAlign w:val="center"/>
            <w:hideMark/>
          </w:tcPr>
          <w:p w14:paraId="508FA2E2" w14:textId="77777777" w:rsidR="00247CBF" w:rsidRPr="00092ED7" w:rsidRDefault="00247CBF" w:rsidP="00247CBF">
            <w:pPr>
              <w:spacing w:after="0"/>
              <w:jc w:val="right"/>
              <w:rPr>
                <w:sz w:val="20"/>
                <w:szCs w:val="20"/>
                <w:lang w:val="sr-Cyrl-CS"/>
              </w:rPr>
            </w:pPr>
            <w:r w:rsidRPr="00092ED7">
              <w:rPr>
                <w:sz w:val="20"/>
                <w:szCs w:val="20"/>
                <w:lang w:val="sr-Cyrl-CS"/>
              </w:rPr>
              <w:t>1,6</w:t>
            </w:r>
          </w:p>
        </w:tc>
        <w:tc>
          <w:tcPr>
            <w:tcW w:w="452" w:type="pct"/>
            <w:gridSpan w:val="2"/>
            <w:tcBorders>
              <w:top w:val="dotted" w:sz="4" w:space="0" w:color="auto"/>
              <w:left w:val="nil"/>
              <w:bottom w:val="dotted" w:sz="4" w:space="0" w:color="auto"/>
              <w:right w:val="dotted" w:sz="4" w:space="0" w:color="auto"/>
            </w:tcBorders>
            <w:shd w:val="clear" w:color="000000" w:fill="FFFFFF"/>
            <w:vAlign w:val="center"/>
            <w:hideMark/>
          </w:tcPr>
          <w:p w14:paraId="31688F3F" w14:textId="77777777" w:rsidR="00247CBF" w:rsidRPr="00092ED7" w:rsidRDefault="00247CBF" w:rsidP="00247CBF">
            <w:pPr>
              <w:spacing w:after="0"/>
              <w:jc w:val="right"/>
              <w:rPr>
                <w:sz w:val="20"/>
                <w:szCs w:val="20"/>
                <w:lang w:val="sr-Cyrl-CS"/>
              </w:rPr>
            </w:pPr>
            <w:r w:rsidRPr="00092ED7">
              <w:rPr>
                <w:sz w:val="20"/>
                <w:szCs w:val="20"/>
                <w:lang w:val="sr-Cyrl-CS"/>
              </w:rPr>
              <w:t>1,8</w:t>
            </w:r>
          </w:p>
        </w:tc>
        <w:tc>
          <w:tcPr>
            <w:tcW w:w="451" w:type="pct"/>
            <w:gridSpan w:val="2"/>
            <w:tcBorders>
              <w:top w:val="dotted" w:sz="4" w:space="0" w:color="auto"/>
              <w:left w:val="nil"/>
              <w:bottom w:val="dotted" w:sz="4" w:space="0" w:color="auto"/>
              <w:right w:val="dotted" w:sz="4" w:space="0" w:color="auto"/>
            </w:tcBorders>
            <w:shd w:val="clear" w:color="000000" w:fill="FFFFFF"/>
            <w:vAlign w:val="center"/>
            <w:hideMark/>
          </w:tcPr>
          <w:p w14:paraId="134C20E2" w14:textId="77777777" w:rsidR="00247CBF" w:rsidRPr="00092ED7" w:rsidRDefault="00247CBF" w:rsidP="00247CBF">
            <w:pPr>
              <w:spacing w:after="0"/>
              <w:jc w:val="right"/>
              <w:rPr>
                <w:sz w:val="20"/>
                <w:szCs w:val="20"/>
                <w:lang w:val="sr-Cyrl-CS"/>
              </w:rPr>
            </w:pPr>
            <w:r w:rsidRPr="00092ED7">
              <w:rPr>
                <w:sz w:val="20"/>
                <w:szCs w:val="20"/>
                <w:lang w:val="sr-Cyrl-CS"/>
              </w:rPr>
              <w:t>2,1</w:t>
            </w:r>
          </w:p>
        </w:tc>
        <w:tc>
          <w:tcPr>
            <w:tcW w:w="451" w:type="pct"/>
            <w:gridSpan w:val="2"/>
            <w:tcBorders>
              <w:top w:val="dotted" w:sz="4" w:space="0" w:color="auto"/>
              <w:left w:val="nil"/>
              <w:bottom w:val="dotted" w:sz="4" w:space="0" w:color="auto"/>
              <w:right w:val="double" w:sz="6" w:space="0" w:color="auto"/>
            </w:tcBorders>
            <w:shd w:val="clear" w:color="000000" w:fill="FFFFFF"/>
            <w:vAlign w:val="center"/>
            <w:hideMark/>
          </w:tcPr>
          <w:p w14:paraId="6A962C08" w14:textId="77777777" w:rsidR="00247CBF" w:rsidRPr="00092ED7" w:rsidRDefault="00247CBF" w:rsidP="00247CBF">
            <w:pPr>
              <w:spacing w:after="0"/>
              <w:jc w:val="right"/>
              <w:rPr>
                <w:sz w:val="20"/>
                <w:szCs w:val="20"/>
                <w:lang w:val="sr-Cyrl-CS"/>
              </w:rPr>
            </w:pPr>
            <w:r w:rsidRPr="00092ED7">
              <w:rPr>
                <w:sz w:val="20"/>
                <w:szCs w:val="20"/>
                <w:lang w:val="sr-Cyrl-CS"/>
              </w:rPr>
              <w:t>1,9</w:t>
            </w:r>
          </w:p>
        </w:tc>
      </w:tr>
      <w:tr w:rsidR="00247CBF" w:rsidRPr="00092ED7" w14:paraId="4DB74EC3" w14:textId="77777777" w:rsidTr="00247CBF">
        <w:trPr>
          <w:gridBefore w:val="1"/>
          <w:wBefore w:w="8" w:type="pct"/>
          <w:trHeight w:val="227"/>
        </w:trPr>
        <w:tc>
          <w:tcPr>
            <w:tcW w:w="2317" w:type="pct"/>
            <w:tcBorders>
              <w:top w:val="nil"/>
              <w:left w:val="double" w:sz="6" w:space="0" w:color="auto"/>
              <w:bottom w:val="dotted" w:sz="4" w:space="0" w:color="auto"/>
              <w:right w:val="dotted" w:sz="4" w:space="0" w:color="auto"/>
            </w:tcBorders>
            <w:shd w:val="clear" w:color="auto" w:fill="auto"/>
            <w:noWrap/>
            <w:vAlign w:val="center"/>
            <w:hideMark/>
          </w:tcPr>
          <w:p w14:paraId="696D222A" w14:textId="77777777" w:rsidR="00247CBF" w:rsidRPr="00092ED7" w:rsidRDefault="00247CBF" w:rsidP="00247CBF">
            <w:pPr>
              <w:spacing w:after="0"/>
              <w:jc w:val="left"/>
              <w:rPr>
                <w:rFonts w:eastAsia="Times New Roman" w:cs="Times New Roman"/>
                <w:b/>
                <w:bCs/>
                <w:sz w:val="20"/>
                <w:szCs w:val="20"/>
                <w:lang w:val="sr-Cyrl-CS"/>
              </w:rPr>
            </w:pPr>
            <w:r w:rsidRPr="00092ED7">
              <w:rPr>
                <w:rFonts w:eastAsia="Times New Roman" w:cs="Times New Roman"/>
                <w:b/>
                <w:bCs/>
                <w:sz w:val="20"/>
                <w:szCs w:val="20"/>
                <w:lang w:val="sr-Cyrl-CS"/>
              </w:rPr>
              <w:t xml:space="preserve">  5. Ефекат реалног раста</w:t>
            </w:r>
          </w:p>
        </w:tc>
        <w:tc>
          <w:tcPr>
            <w:tcW w:w="416" w:type="pct"/>
            <w:gridSpan w:val="2"/>
            <w:tcBorders>
              <w:top w:val="nil"/>
              <w:left w:val="nil"/>
              <w:bottom w:val="dotted" w:sz="4" w:space="0" w:color="auto"/>
              <w:right w:val="single" w:sz="8" w:space="0" w:color="auto"/>
            </w:tcBorders>
            <w:shd w:val="clear" w:color="000000" w:fill="FFFFFF"/>
            <w:vAlign w:val="center"/>
            <w:hideMark/>
          </w:tcPr>
          <w:p w14:paraId="1AC4A47D"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 </w:t>
            </w:r>
          </w:p>
        </w:tc>
        <w:tc>
          <w:tcPr>
            <w:tcW w:w="451" w:type="pct"/>
            <w:gridSpan w:val="2"/>
            <w:tcBorders>
              <w:top w:val="nil"/>
              <w:left w:val="nil"/>
              <w:bottom w:val="dotted" w:sz="4" w:space="0" w:color="auto"/>
              <w:right w:val="dotted" w:sz="4" w:space="0" w:color="auto"/>
            </w:tcBorders>
            <w:shd w:val="clear" w:color="000000" w:fill="FFFFFF"/>
            <w:vAlign w:val="center"/>
            <w:hideMark/>
          </w:tcPr>
          <w:p w14:paraId="04E71339" w14:textId="77777777" w:rsidR="00247CBF" w:rsidRPr="00092ED7" w:rsidRDefault="00247CBF" w:rsidP="00247CBF">
            <w:pPr>
              <w:spacing w:after="0"/>
              <w:jc w:val="right"/>
              <w:rPr>
                <w:sz w:val="20"/>
                <w:szCs w:val="20"/>
                <w:lang w:val="sr-Cyrl-CS"/>
              </w:rPr>
            </w:pPr>
            <w:r w:rsidRPr="00092ED7">
              <w:rPr>
                <w:sz w:val="20"/>
                <w:szCs w:val="20"/>
                <w:lang w:val="sr-Cyrl-CS"/>
              </w:rPr>
              <w:t>-3,8</w:t>
            </w:r>
          </w:p>
        </w:tc>
        <w:tc>
          <w:tcPr>
            <w:tcW w:w="451" w:type="pct"/>
            <w:gridSpan w:val="2"/>
            <w:tcBorders>
              <w:top w:val="nil"/>
              <w:left w:val="nil"/>
              <w:bottom w:val="dotted" w:sz="4" w:space="0" w:color="auto"/>
              <w:right w:val="dotted" w:sz="4" w:space="0" w:color="auto"/>
            </w:tcBorders>
            <w:shd w:val="clear" w:color="000000" w:fill="FFFFFF"/>
            <w:vAlign w:val="center"/>
            <w:hideMark/>
          </w:tcPr>
          <w:p w14:paraId="2FD933F2" w14:textId="77777777" w:rsidR="00247CBF" w:rsidRPr="00092ED7" w:rsidRDefault="00247CBF" w:rsidP="00247CBF">
            <w:pPr>
              <w:spacing w:after="0"/>
              <w:jc w:val="right"/>
              <w:rPr>
                <w:sz w:val="20"/>
                <w:szCs w:val="20"/>
                <w:lang w:val="sr-Cyrl-CS"/>
              </w:rPr>
            </w:pPr>
            <w:r w:rsidRPr="00092ED7">
              <w:rPr>
                <w:sz w:val="20"/>
                <w:szCs w:val="20"/>
                <w:lang w:val="sr-Cyrl-CS"/>
              </w:rPr>
              <w:t>-1,3</w:t>
            </w:r>
          </w:p>
        </w:tc>
        <w:tc>
          <w:tcPr>
            <w:tcW w:w="452" w:type="pct"/>
            <w:gridSpan w:val="2"/>
            <w:tcBorders>
              <w:top w:val="nil"/>
              <w:left w:val="nil"/>
              <w:bottom w:val="dotted" w:sz="4" w:space="0" w:color="auto"/>
              <w:right w:val="dotted" w:sz="4" w:space="0" w:color="auto"/>
            </w:tcBorders>
            <w:shd w:val="clear" w:color="000000" w:fill="FFFFFF"/>
            <w:vAlign w:val="center"/>
            <w:hideMark/>
          </w:tcPr>
          <w:p w14:paraId="3AAA9445" w14:textId="77777777" w:rsidR="00247CBF" w:rsidRPr="00092ED7" w:rsidRDefault="00247CBF" w:rsidP="00247CBF">
            <w:pPr>
              <w:spacing w:after="0"/>
              <w:jc w:val="right"/>
              <w:rPr>
                <w:sz w:val="20"/>
                <w:szCs w:val="20"/>
                <w:lang w:val="sr-Cyrl-CS"/>
              </w:rPr>
            </w:pPr>
            <w:r w:rsidRPr="00092ED7">
              <w:rPr>
                <w:sz w:val="20"/>
                <w:szCs w:val="20"/>
                <w:lang w:val="sr-Cyrl-CS"/>
              </w:rPr>
              <w:t>-1,2</w:t>
            </w:r>
          </w:p>
        </w:tc>
        <w:tc>
          <w:tcPr>
            <w:tcW w:w="451" w:type="pct"/>
            <w:gridSpan w:val="2"/>
            <w:tcBorders>
              <w:top w:val="nil"/>
              <w:left w:val="nil"/>
              <w:bottom w:val="dotted" w:sz="4" w:space="0" w:color="auto"/>
              <w:right w:val="dotted" w:sz="4" w:space="0" w:color="auto"/>
            </w:tcBorders>
            <w:shd w:val="clear" w:color="000000" w:fill="FFFFFF"/>
            <w:vAlign w:val="center"/>
            <w:hideMark/>
          </w:tcPr>
          <w:p w14:paraId="3D06EE3D" w14:textId="77777777" w:rsidR="00247CBF" w:rsidRPr="00092ED7" w:rsidRDefault="00247CBF" w:rsidP="00247CBF">
            <w:pPr>
              <w:spacing w:after="0"/>
              <w:jc w:val="right"/>
              <w:rPr>
                <w:sz w:val="20"/>
                <w:szCs w:val="20"/>
                <w:lang w:val="sr-Cyrl-CS"/>
              </w:rPr>
            </w:pPr>
            <w:r w:rsidRPr="00092ED7">
              <w:rPr>
                <w:sz w:val="20"/>
                <w:szCs w:val="20"/>
                <w:lang w:val="sr-Cyrl-CS"/>
              </w:rPr>
              <w:t>-1,8</w:t>
            </w:r>
          </w:p>
        </w:tc>
        <w:tc>
          <w:tcPr>
            <w:tcW w:w="451" w:type="pct"/>
            <w:gridSpan w:val="2"/>
            <w:tcBorders>
              <w:top w:val="nil"/>
              <w:left w:val="nil"/>
              <w:bottom w:val="dotted" w:sz="4" w:space="0" w:color="auto"/>
              <w:right w:val="double" w:sz="6" w:space="0" w:color="auto"/>
            </w:tcBorders>
            <w:shd w:val="clear" w:color="000000" w:fill="FFFFFF"/>
            <w:vAlign w:val="center"/>
            <w:hideMark/>
          </w:tcPr>
          <w:p w14:paraId="4DEE6576" w14:textId="77777777" w:rsidR="00247CBF" w:rsidRPr="00092ED7" w:rsidRDefault="00247CBF" w:rsidP="00247CBF">
            <w:pPr>
              <w:spacing w:after="0"/>
              <w:jc w:val="right"/>
              <w:rPr>
                <w:sz w:val="20"/>
                <w:szCs w:val="20"/>
                <w:lang w:val="sr-Cyrl-CS"/>
              </w:rPr>
            </w:pPr>
            <w:r w:rsidRPr="00092ED7">
              <w:rPr>
                <w:sz w:val="20"/>
                <w:szCs w:val="20"/>
                <w:lang w:val="sr-Cyrl-CS"/>
              </w:rPr>
              <w:t>-2,0</w:t>
            </w:r>
          </w:p>
        </w:tc>
      </w:tr>
      <w:tr w:rsidR="00247CBF" w:rsidRPr="00092ED7" w14:paraId="1FDC0486" w14:textId="77777777" w:rsidTr="00247CBF">
        <w:trPr>
          <w:gridBefore w:val="1"/>
          <w:wBefore w:w="8" w:type="pct"/>
          <w:trHeight w:val="227"/>
        </w:trPr>
        <w:tc>
          <w:tcPr>
            <w:tcW w:w="2317" w:type="pct"/>
            <w:tcBorders>
              <w:top w:val="nil"/>
              <w:left w:val="double" w:sz="6" w:space="0" w:color="auto"/>
              <w:bottom w:val="single" w:sz="4" w:space="0" w:color="auto"/>
              <w:right w:val="dotted" w:sz="4" w:space="0" w:color="auto"/>
            </w:tcBorders>
            <w:shd w:val="clear" w:color="auto" w:fill="auto"/>
            <w:noWrap/>
            <w:vAlign w:val="center"/>
            <w:hideMark/>
          </w:tcPr>
          <w:p w14:paraId="0C556217" w14:textId="77777777" w:rsidR="00247CBF" w:rsidRPr="00092ED7" w:rsidRDefault="00247CBF" w:rsidP="00247CBF">
            <w:pPr>
              <w:spacing w:after="0"/>
              <w:jc w:val="left"/>
              <w:rPr>
                <w:rFonts w:eastAsia="Times New Roman" w:cs="Times New Roman"/>
                <w:b/>
                <w:bCs/>
                <w:sz w:val="20"/>
                <w:szCs w:val="20"/>
                <w:lang w:val="sr-Cyrl-CS"/>
              </w:rPr>
            </w:pPr>
            <w:r w:rsidRPr="00092ED7">
              <w:rPr>
                <w:rFonts w:eastAsia="Times New Roman" w:cs="Times New Roman"/>
                <w:b/>
                <w:bCs/>
                <w:sz w:val="20"/>
                <w:szCs w:val="20"/>
                <w:lang w:val="sr-Cyrl-CS"/>
              </w:rPr>
              <w:t xml:space="preserve">  6. Ефекат инфлације</w:t>
            </w:r>
          </w:p>
        </w:tc>
        <w:tc>
          <w:tcPr>
            <w:tcW w:w="416" w:type="pct"/>
            <w:gridSpan w:val="2"/>
            <w:tcBorders>
              <w:top w:val="nil"/>
              <w:left w:val="nil"/>
              <w:bottom w:val="single" w:sz="4" w:space="0" w:color="auto"/>
              <w:right w:val="single" w:sz="8" w:space="0" w:color="auto"/>
            </w:tcBorders>
            <w:shd w:val="clear" w:color="000000" w:fill="FFFFFF"/>
            <w:vAlign w:val="center"/>
            <w:hideMark/>
          </w:tcPr>
          <w:p w14:paraId="42A0B843"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 </w:t>
            </w:r>
          </w:p>
        </w:tc>
        <w:tc>
          <w:tcPr>
            <w:tcW w:w="451" w:type="pct"/>
            <w:gridSpan w:val="2"/>
            <w:tcBorders>
              <w:top w:val="nil"/>
              <w:left w:val="nil"/>
              <w:bottom w:val="single" w:sz="4" w:space="0" w:color="auto"/>
              <w:right w:val="dotted" w:sz="4" w:space="0" w:color="auto"/>
            </w:tcBorders>
            <w:shd w:val="clear" w:color="000000" w:fill="FFFFFF"/>
            <w:vAlign w:val="center"/>
            <w:hideMark/>
          </w:tcPr>
          <w:p w14:paraId="2AC9CD1D" w14:textId="77777777" w:rsidR="00247CBF" w:rsidRPr="00092ED7" w:rsidRDefault="00247CBF" w:rsidP="00247CBF">
            <w:pPr>
              <w:spacing w:after="0"/>
              <w:jc w:val="right"/>
              <w:rPr>
                <w:sz w:val="20"/>
                <w:szCs w:val="20"/>
                <w:lang w:val="sr-Cyrl-CS"/>
              </w:rPr>
            </w:pPr>
            <w:r w:rsidRPr="00092ED7">
              <w:rPr>
                <w:sz w:val="20"/>
                <w:szCs w:val="20"/>
                <w:lang w:val="sr-Cyrl-CS"/>
              </w:rPr>
              <w:t>-3,0</w:t>
            </w:r>
          </w:p>
        </w:tc>
        <w:tc>
          <w:tcPr>
            <w:tcW w:w="451" w:type="pct"/>
            <w:gridSpan w:val="2"/>
            <w:tcBorders>
              <w:top w:val="nil"/>
              <w:left w:val="nil"/>
              <w:bottom w:val="single" w:sz="4" w:space="0" w:color="auto"/>
              <w:right w:val="dotted" w:sz="4" w:space="0" w:color="auto"/>
            </w:tcBorders>
            <w:shd w:val="clear" w:color="000000" w:fill="FFFFFF"/>
            <w:vAlign w:val="center"/>
            <w:hideMark/>
          </w:tcPr>
          <w:p w14:paraId="1ACEA528" w14:textId="77777777" w:rsidR="00247CBF" w:rsidRPr="00092ED7" w:rsidRDefault="00247CBF" w:rsidP="00247CBF">
            <w:pPr>
              <w:spacing w:after="0"/>
              <w:jc w:val="right"/>
              <w:rPr>
                <w:sz w:val="20"/>
                <w:szCs w:val="20"/>
                <w:lang w:val="sr-Cyrl-CS"/>
              </w:rPr>
            </w:pPr>
            <w:r w:rsidRPr="00092ED7">
              <w:rPr>
                <w:sz w:val="20"/>
                <w:szCs w:val="20"/>
                <w:lang w:val="sr-Cyrl-CS"/>
              </w:rPr>
              <w:t>-5,1</w:t>
            </w:r>
          </w:p>
        </w:tc>
        <w:tc>
          <w:tcPr>
            <w:tcW w:w="452" w:type="pct"/>
            <w:gridSpan w:val="2"/>
            <w:tcBorders>
              <w:top w:val="nil"/>
              <w:left w:val="nil"/>
              <w:bottom w:val="single" w:sz="4" w:space="0" w:color="auto"/>
              <w:right w:val="dotted" w:sz="4" w:space="0" w:color="auto"/>
            </w:tcBorders>
            <w:shd w:val="clear" w:color="000000" w:fill="FFFFFF"/>
            <w:vAlign w:val="center"/>
            <w:hideMark/>
          </w:tcPr>
          <w:p w14:paraId="04A2BE49" w14:textId="77777777" w:rsidR="00247CBF" w:rsidRPr="00092ED7" w:rsidRDefault="00247CBF" w:rsidP="00247CBF">
            <w:pPr>
              <w:spacing w:after="0"/>
              <w:jc w:val="right"/>
              <w:rPr>
                <w:sz w:val="20"/>
                <w:szCs w:val="20"/>
                <w:lang w:val="sr-Cyrl-CS"/>
              </w:rPr>
            </w:pPr>
            <w:r w:rsidRPr="00092ED7">
              <w:rPr>
                <w:sz w:val="20"/>
                <w:szCs w:val="20"/>
                <w:lang w:val="sr-Cyrl-CS"/>
              </w:rPr>
              <w:t>-5,3</w:t>
            </w:r>
          </w:p>
        </w:tc>
        <w:tc>
          <w:tcPr>
            <w:tcW w:w="451" w:type="pct"/>
            <w:gridSpan w:val="2"/>
            <w:tcBorders>
              <w:top w:val="nil"/>
              <w:left w:val="nil"/>
              <w:bottom w:val="single" w:sz="4" w:space="0" w:color="auto"/>
              <w:right w:val="dotted" w:sz="4" w:space="0" w:color="auto"/>
            </w:tcBorders>
            <w:shd w:val="clear" w:color="000000" w:fill="FFFFFF"/>
            <w:vAlign w:val="center"/>
            <w:hideMark/>
          </w:tcPr>
          <w:p w14:paraId="726AA652" w14:textId="77777777" w:rsidR="00247CBF" w:rsidRPr="00092ED7" w:rsidRDefault="00247CBF" w:rsidP="00247CBF">
            <w:pPr>
              <w:spacing w:after="0"/>
              <w:jc w:val="right"/>
              <w:rPr>
                <w:sz w:val="20"/>
                <w:szCs w:val="20"/>
                <w:lang w:val="sr-Cyrl-CS"/>
              </w:rPr>
            </w:pPr>
            <w:r w:rsidRPr="00092ED7">
              <w:rPr>
                <w:sz w:val="20"/>
                <w:szCs w:val="20"/>
                <w:lang w:val="sr-Cyrl-CS"/>
              </w:rPr>
              <w:t>-2,9</w:t>
            </w:r>
          </w:p>
        </w:tc>
        <w:tc>
          <w:tcPr>
            <w:tcW w:w="451" w:type="pct"/>
            <w:gridSpan w:val="2"/>
            <w:tcBorders>
              <w:top w:val="nil"/>
              <w:left w:val="nil"/>
              <w:bottom w:val="single" w:sz="4" w:space="0" w:color="auto"/>
              <w:right w:val="double" w:sz="6" w:space="0" w:color="auto"/>
            </w:tcBorders>
            <w:shd w:val="clear" w:color="000000" w:fill="FFFFFF"/>
            <w:vAlign w:val="center"/>
            <w:hideMark/>
          </w:tcPr>
          <w:p w14:paraId="007B93A6" w14:textId="77777777" w:rsidR="00247CBF" w:rsidRPr="00092ED7" w:rsidRDefault="00247CBF" w:rsidP="00247CBF">
            <w:pPr>
              <w:spacing w:after="0"/>
              <w:jc w:val="right"/>
              <w:rPr>
                <w:sz w:val="20"/>
                <w:szCs w:val="20"/>
                <w:lang w:val="sr-Cyrl-CS"/>
              </w:rPr>
            </w:pPr>
            <w:r w:rsidRPr="00092ED7">
              <w:rPr>
                <w:sz w:val="20"/>
                <w:szCs w:val="20"/>
                <w:lang w:val="sr-Cyrl-CS"/>
              </w:rPr>
              <w:t>-2,2</w:t>
            </w:r>
          </w:p>
        </w:tc>
      </w:tr>
      <w:tr w:rsidR="00247CBF" w:rsidRPr="00092ED7" w14:paraId="4AD54716" w14:textId="77777777" w:rsidTr="00247CBF">
        <w:trPr>
          <w:gridBefore w:val="1"/>
          <w:wBefore w:w="8" w:type="pct"/>
          <w:trHeight w:val="227"/>
        </w:trPr>
        <w:tc>
          <w:tcPr>
            <w:tcW w:w="2317" w:type="pct"/>
            <w:tcBorders>
              <w:top w:val="nil"/>
              <w:left w:val="double" w:sz="6" w:space="0" w:color="auto"/>
              <w:bottom w:val="single" w:sz="4" w:space="0" w:color="auto"/>
              <w:right w:val="dotted" w:sz="4" w:space="0" w:color="auto"/>
            </w:tcBorders>
            <w:shd w:val="clear" w:color="000000" w:fill="FFFFFF"/>
            <w:vAlign w:val="center"/>
            <w:hideMark/>
          </w:tcPr>
          <w:p w14:paraId="56A64B84" w14:textId="77777777" w:rsidR="00247CBF" w:rsidRPr="00092ED7" w:rsidRDefault="00247CBF" w:rsidP="00247CBF">
            <w:pPr>
              <w:spacing w:after="0"/>
              <w:jc w:val="left"/>
              <w:rPr>
                <w:rFonts w:eastAsia="Times New Roman" w:cs="Times New Roman"/>
                <w:b/>
                <w:bCs/>
                <w:sz w:val="20"/>
                <w:szCs w:val="20"/>
                <w:lang w:val="sr-Cyrl-CS"/>
              </w:rPr>
            </w:pPr>
            <w:bookmarkStart w:id="103" w:name="RANGE!B14"/>
            <w:r w:rsidRPr="00092ED7">
              <w:rPr>
                <w:rFonts w:eastAsia="Times New Roman" w:cs="Times New Roman"/>
                <w:b/>
                <w:bCs/>
                <w:sz w:val="20"/>
                <w:szCs w:val="20"/>
                <w:lang w:val="sr-Cyrl-CS"/>
              </w:rPr>
              <w:t xml:space="preserve">  7. Прилагођавање стања и промена дуга (stock-flow adjustment)</w:t>
            </w:r>
            <w:bookmarkEnd w:id="103"/>
          </w:p>
        </w:tc>
        <w:tc>
          <w:tcPr>
            <w:tcW w:w="416" w:type="pct"/>
            <w:gridSpan w:val="2"/>
            <w:tcBorders>
              <w:top w:val="dotted" w:sz="4" w:space="0" w:color="auto"/>
              <w:left w:val="nil"/>
              <w:bottom w:val="single" w:sz="4" w:space="0" w:color="auto"/>
              <w:right w:val="single" w:sz="8" w:space="0" w:color="auto"/>
            </w:tcBorders>
            <w:shd w:val="clear" w:color="000000" w:fill="FFFFFF"/>
            <w:vAlign w:val="center"/>
            <w:hideMark/>
          </w:tcPr>
          <w:p w14:paraId="44ABED31"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 </w:t>
            </w:r>
          </w:p>
        </w:tc>
        <w:tc>
          <w:tcPr>
            <w:tcW w:w="451" w:type="pct"/>
            <w:gridSpan w:val="2"/>
            <w:tcBorders>
              <w:top w:val="dotted" w:sz="4" w:space="0" w:color="auto"/>
              <w:left w:val="nil"/>
              <w:bottom w:val="single" w:sz="4" w:space="0" w:color="auto"/>
              <w:right w:val="dotted" w:sz="4" w:space="0" w:color="auto"/>
            </w:tcBorders>
            <w:shd w:val="clear" w:color="000000" w:fill="FFFFFF"/>
            <w:vAlign w:val="center"/>
            <w:hideMark/>
          </w:tcPr>
          <w:p w14:paraId="12B7580E" w14:textId="77777777" w:rsidR="00247CBF" w:rsidRPr="00092ED7" w:rsidRDefault="00247CBF" w:rsidP="00247CBF">
            <w:pPr>
              <w:spacing w:after="0"/>
              <w:jc w:val="right"/>
              <w:rPr>
                <w:sz w:val="20"/>
                <w:szCs w:val="20"/>
                <w:lang w:val="sr-Cyrl-CS"/>
              </w:rPr>
            </w:pPr>
            <w:r w:rsidRPr="00092ED7">
              <w:rPr>
                <w:sz w:val="20"/>
                <w:szCs w:val="20"/>
                <w:lang w:val="sr-Cyrl-CS"/>
              </w:rPr>
              <w:t>2,0</w:t>
            </w:r>
          </w:p>
        </w:tc>
        <w:tc>
          <w:tcPr>
            <w:tcW w:w="451" w:type="pct"/>
            <w:gridSpan w:val="2"/>
            <w:tcBorders>
              <w:top w:val="dotted" w:sz="4" w:space="0" w:color="auto"/>
              <w:left w:val="nil"/>
              <w:bottom w:val="single" w:sz="4" w:space="0" w:color="auto"/>
              <w:right w:val="dotted" w:sz="4" w:space="0" w:color="auto"/>
            </w:tcBorders>
            <w:shd w:val="clear" w:color="000000" w:fill="FFFFFF"/>
            <w:vAlign w:val="center"/>
            <w:hideMark/>
          </w:tcPr>
          <w:p w14:paraId="1EB9D01A" w14:textId="77777777" w:rsidR="00247CBF" w:rsidRPr="00092ED7" w:rsidRDefault="00247CBF" w:rsidP="00247CBF">
            <w:pPr>
              <w:spacing w:after="0"/>
              <w:jc w:val="right"/>
              <w:rPr>
                <w:sz w:val="20"/>
                <w:szCs w:val="20"/>
                <w:lang w:val="sr-Cyrl-CS"/>
              </w:rPr>
            </w:pPr>
            <w:r w:rsidRPr="00092ED7">
              <w:rPr>
                <w:sz w:val="20"/>
                <w:szCs w:val="20"/>
                <w:lang w:val="sr-Cyrl-CS"/>
              </w:rPr>
              <w:t>2,4</w:t>
            </w:r>
          </w:p>
        </w:tc>
        <w:tc>
          <w:tcPr>
            <w:tcW w:w="452" w:type="pct"/>
            <w:gridSpan w:val="2"/>
            <w:tcBorders>
              <w:top w:val="dotted" w:sz="4" w:space="0" w:color="auto"/>
              <w:left w:val="nil"/>
              <w:bottom w:val="single" w:sz="4" w:space="0" w:color="auto"/>
              <w:right w:val="dotted" w:sz="4" w:space="0" w:color="auto"/>
            </w:tcBorders>
            <w:shd w:val="clear" w:color="000000" w:fill="FFFFFF"/>
            <w:vAlign w:val="center"/>
            <w:hideMark/>
          </w:tcPr>
          <w:p w14:paraId="59714611" w14:textId="77777777" w:rsidR="00247CBF" w:rsidRPr="00092ED7" w:rsidRDefault="00247CBF" w:rsidP="00247CBF">
            <w:pPr>
              <w:spacing w:after="0"/>
              <w:jc w:val="right"/>
              <w:rPr>
                <w:sz w:val="20"/>
                <w:szCs w:val="20"/>
                <w:lang w:val="sr-Cyrl-CS"/>
              </w:rPr>
            </w:pPr>
            <w:r w:rsidRPr="00092ED7">
              <w:rPr>
                <w:sz w:val="20"/>
                <w:szCs w:val="20"/>
                <w:lang w:val="sr-Cyrl-CS"/>
              </w:rPr>
              <w:t>2,4</w:t>
            </w:r>
          </w:p>
        </w:tc>
        <w:tc>
          <w:tcPr>
            <w:tcW w:w="451" w:type="pct"/>
            <w:gridSpan w:val="2"/>
            <w:tcBorders>
              <w:top w:val="dotted" w:sz="4" w:space="0" w:color="auto"/>
              <w:left w:val="nil"/>
              <w:bottom w:val="single" w:sz="4" w:space="0" w:color="auto"/>
              <w:right w:val="dotted" w:sz="4" w:space="0" w:color="auto"/>
            </w:tcBorders>
            <w:shd w:val="clear" w:color="000000" w:fill="FFFFFF"/>
            <w:vAlign w:val="center"/>
            <w:hideMark/>
          </w:tcPr>
          <w:p w14:paraId="6999E519" w14:textId="77777777" w:rsidR="00247CBF" w:rsidRPr="00092ED7" w:rsidRDefault="00247CBF" w:rsidP="00247CBF">
            <w:pPr>
              <w:spacing w:after="0"/>
              <w:jc w:val="right"/>
              <w:rPr>
                <w:sz w:val="20"/>
                <w:szCs w:val="20"/>
                <w:lang w:val="sr-Cyrl-CS"/>
              </w:rPr>
            </w:pPr>
            <w:r w:rsidRPr="00092ED7">
              <w:rPr>
                <w:sz w:val="20"/>
                <w:szCs w:val="20"/>
                <w:lang w:val="sr-Cyrl-CS"/>
              </w:rPr>
              <w:t>1,5</w:t>
            </w:r>
          </w:p>
        </w:tc>
        <w:tc>
          <w:tcPr>
            <w:tcW w:w="451" w:type="pct"/>
            <w:gridSpan w:val="2"/>
            <w:tcBorders>
              <w:top w:val="dotted" w:sz="4" w:space="0" w:color="auto"/>
              <w:left w:val="nil"/>
              <w:bottom w:val="single" w:sz="4" w:space="0" w:color="auto"/>
              <w:right w:val="double" w:sz="6" w:space="0" w:color="auto"/>
            </w:tcBorders>
            <w:shd w:val="clear" w:color="000000" w:fill="FFFFFF"/>
            <w:vAlign w:val="center"/>
            <w:hideMark/>
          </w:tcPr>
          <w:p w14:paraId="4FF6D1A3" w14:textId="77777777" w:rsidR="00247CBF" w:rsidRPr="00092ED7" w:rsidRDefault="00247CBF" w:rsidP="00247CBF">
            <w:pPr>
              <w:spacing w:after="0"/>
              <w:jc w:val="right"/>
              <w:rPr>
                <w:sz w:val="20"/>
                <w:szCs w:val="20"/>
                <w:lang w:val="sr-Cyrl-CS"/>
              </w:rPr>
            </w:pPr>
            <w:r w:rsidRPr="00092ED7">
              <w:rPr>
                <w:sz w:val="20"/>
                <w:szCs w:val="20"/>
                <w:lang w:val="sr-Cyrl-CS"/>
              </w:rPr>
              <w:t>1,7</w:t>
            </w:r>
          </w:p>
        </w:tc>
      </w:tr>
      <w:tr w:rsidR="00247CBF" w:rsidRPr="00092ED7" w14:paraId="0FC2FEAE" w14:textId="77777777" w:rsidTr="00247CBF">
        <w:trPr>
          <w:gridBefore w:val="1"/>
          <w:wBefore w:w="8" w:type="pct"/>
          <w:trHeight w:val="227"/>
        </w:trPr>
        <w:tc>
          <w:tcPr>
            <w:tcW w:w="2317" w:type="pct"/>
            <w:tcBorders>
              <w:top w:val="nil"/>
              <w:left w:val="double" w:sz="6" w:space="0" w:color="auto"/>
              <w:bottom w:val="nil"/>
              <w:right w:val="dotted" w:sz="4" w:space="0" w:color="auto"/>
            </w:tcBorders>
            <w:shd w:val="clear" w:color="000000" w:fill="FFFFFF"/>
            <w:vAlign w:val="center"/>
            <w:hideMark/>
          </w:tcPr>
          <w:p w14:paraId="7314EDE8" w14:textId="77777777" w:rsidR="00247CBF" w:rsidRPr="00092ED7" w:rsidRDefault="00247CBF" w:rsidP="00247CBF">
            <w:pPr>
              <w:spacing w:after="0"/>
              <w:jc w:val="left"/>
              <w:rPr>
                <w:rFonts w:eastAsia="Times New Roman" w:cs="Times New Roman"/>
                <w:i/>
                <w:iCs/>
                <w:sz w:val="20"/>
                <w:szCs w:val="20"/>
                <w:lang w:val="sr-Cyrl-CS"/>
              </w:rPr>
            </w:pPr>
            <w:r w:rsidRPr="00092ED7">
              <w:rPr>
                <w:rFonts w:eastAsia="Times New Roman" w:cs="Times New Roman"/>
                <w:i/>
                <w:iCs/>
                <w:sz w:val="20"/>
                <w:szCs w:val="20"/>
                <w:lang w:val="sr-Cyrl-CS"/>
              </w:rPr>
              <w:t>од чега:</w:t>
            </w:r>
          </w:p>
        </w:tc>
        <w:tc>
          <w:tcPr>
            <w:tcW w:w="416" w:type="pct"/>
            <w:gridSpan w:val="2"/>
            <w:tcBorders>
              <w:top w:val="nil"/>
              <w:left w:val="nil"/>
              <w:bottom w:val="nil"/>
              <w:right w:val="single" w:sz="8" w:space="0" w:color="auto"/>
            </w:tcBorders>
            <w:shd w:val="clear" w:color="000000" w:fill="FFFFFF"/>
            <w:vAlign w:val="center"/>
            <w:hideMark/>
          </w:tcPr>
          <w:p w14:paraId="04F7D219"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 </w:t>
            </w:r>
          </w:p>
        </w:tc>
        <w:tc>
          <w:tcPr>
            <w:tcW w:w="451" w:type="pct"/>
            <w:gridSpan w:val="2"/>
            <w:tcBorders>
              <w:top w:val="nil"/>
              <w:left w:val="nil"/>
              <w:bottom w:val="nil"/>
              <w:right w:val="dotted" w:sz="4" w:space="0" w:color="auto"/>
            </w:tcBorders>
            <w:shd w:val="clear" w:color="000000" w:fill="FFFFFF"/>
            <w:vAlign w:val="center"/>
            <w:hideMark/>
          </w:tcPr>
          <w:p w14:paraId="3243C374"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451" w:type="pct"/>
            <w:gridSpan w:val="2"/>
            <w:tcBorders>
              <w:top w:val="nil"/>
              <w:left w:val="nil"/>
              <w:bottom w:val="nil"/>
              <w:right w:val="dotted" w:sz="4" w:space="0" w:color="auto"/>
            </w:tcBorders>
            <w:shd w:val="clear" w:color="000000" w:fill="FFFFFF"/>
            <w:vAlign w:val="center"/>
            <w:hideMark/>
          </w:tcPr>
          <w:p w14:paraId="6CADFFB8"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452" w:type="pct"/>
            <w:gridSpan w:val="2"/>
            <w:tcBorders>
              <w:top w:val="nil"/>
              <w:left w:val="nil"/>
              <w:bottom w:val="nil"/>
              <w:right w:val="dotted" w:sz="4" w:space="0" w:color="auto"/>
            </w:tcBorders>
            <w:shd w:val="clear" w:color="000000" w:fill="FFFFFF"/>
            <w:vAlign w:val="center"/>
            <w:hideMark/>
          </w:tcPr>
          <w:p w14:paraId="6A383A17"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451" w:type="pct"/>
            <w:gridSpan w:val="2"/>
            <w:tcBorders>
              <w:top w:val="nil"/>
              <w:left w:val="nil"/>
              <w:bottom w:val="nil"/>
              <w:right w:val="dotted" w:sz="4" w:space="0" w:color="auto"/>
            </w:tcBorders>
            <w:shd w:val="clear" w:color="000000" w:fill="FFFFFF"/>
            <w:vAlign w:val="center"/>
            <w:hideMark/>
          </w:tcPr>
          <w:p w14:paraId="0A197520"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451" w:type="pct"/>
            <w:gridSpan w:val="2"/>
            <w:tcBorders>
              <w:top w:val="nil"/>
              <w:left w:val="nil"/>
              <w:bottom w:val="nil"/>
              <w:right w:val="double" w:sz="6" w:space="0" w:color="auto"/>
            </w:tcBorders>
            <w:shd w:val="clear" w:color="000000" w:fill="FFFFFF"/>
            <w:vAlign w:val="center"/>
            <w:hideMark/>
          </w:tcPr>
          <w:p w14:paraId="0DAF0E44" w14:textId="77777777" w:rsidR="00247CBF" w:rsidRPr="00092ED7" w:rsidRDefault="00247CBF" w:rsidP="00247CBF">
            <w:pPr>
              <w:spacing w:after="0"/>
              <w:jc w:val="right"/>
              <w:rPr>
                <w:sz w:val="20"/>
                <w:szCs w:val="20"/>
                <w:lang w:val="sr-Cyrl-CS"/>
              </w:rPr>
            </w:pPr>
            <w:r w:rsidRPr="00092ED7">
              <w:rPr>
                <w:sz w:val="20"/>
                <w:szCs w:val="20"/>
                <w:lang w:val="sr-Cyrl-CS"/>
              </w:rPr>
              <w:t> </w:t>
            </w:r>
          </w:p>
        </w:tc>
      </w:tr>
      <w:tr w:rsidR="00247CBF" w:rsidRPr="00092ED7" w14:paraId="1C84C73A" w14:textId="77777777" w:rsidTr="00247CBF">
        <w:trPr>
          <w:gridBefore w:val="1"/>
          <w:wBefore w:w="8" w:type="pct"/>
          <w:trHeight w:val="227"/>
        </w:trPr>
        <w:tc>
          <w:tcPr>
            <w:tcW w:w="2317" w:type="pct"/>
            <w:tcBorders>
              <w:top w:val="nil"/>
              <w:left w:val="double" w:sz="6" w:space="0" w:color="auto"/>
              <w:bottom w:val="nil"/>
              <w:right w:val="dotted" w:sz="4" w:space="0" w:color="auto"/>
            </w:tcBorders>
            <w:shd w:val="clear" w:color="000000" w:fill="FFFFFF"/>
            <w:noWrap/>
            <w:vAlign w:val="center"/>
            <w:hideMark/>
          </w:tcPr>
          <w:p w14:paraId="46B100A0" w14:textId="77777777" w:rsidR="00247CBF" w:rsidRPr="00092ED7" w:rsidRDefault="00247CBF" w:rsidP="00247CBF">
            <w:pPr>
              <w:spacing w:after="0"/>
              <w:jc w:val="left"/>
              <w:rPr>
                <w:rFonts w:eastAsia="Times New Roman" w:cs="Times New Roman"/>
                <w:sz w:val="20"/>
                <w:szCs w:val="20"/>
                <w:lang w:val="sr-Cyrl-CS"/>
              </w:rPr>
            </w:pPr>
            <w:r w:rsidRPr="00092ED7">
              <w:rPr>
                <w:rFonts w:eastAsia="Times New Roman" w:cs="Times New Roman"/>
                <w:sz w:val="20"/>
                <w:szCs w:val="20"/>
                <w:lang w:val="sr-Cyrl-CS"/>
              </w:rPr>
              <w:t xml:space="preserve">   - Разлике између готовинске и обрачунске основе[4]</w:t>
            </w:r>
          </w:p>
        </w:tc>
        <w:tc>
          <w:tcPr>
            <w:tcW w:w="416" w:type="pct"/>
            <w:gridSpan w:val="2"/>
            <w:tcBorders>
              <w:top w:val="nil"/>
              <w:left w:val="nil"/>
              <w:bottom w:val="nil"/>
              <w:right w:val="single" w:sz="8" w:space="0" w:color="auto"/>
            </w:tcBorders>
            <w:shd w:val="clear" w:color="000000" w:fill="FFFFFF"/>
            <w:vAlign w:val="center"/>
            <w:hideMark/>
          </w:tcPr>
          <w:p w14:paraId="0F71C26F"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 </w:t>
            </w:r>
          </w:p>
        </w:tc>
        <w:tc>
          <w:tcPr>
            <w:tcW w:w="451" w:type="pct"/>
            <w:gridSpan w:val="2"/>
            <w:tcBorders>
              <w:top w:val="nil"/>
              <w:left w:val="nil"/>
              <w:bottom w:val="nil"/>
              <w:right w:val="dotted" w:sz="4" w:space="0" w:color="auto"/>
            </w:tcBorders>
            <w:shd w:val="clear" w:color="000000" w:fill="FFFFFF"/>
            <w:vAlign w:val="center"/>
            <w:hideMark/>
          </w:tcPr>
          <w:p w14:paraId="1A3CDAAB"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451" w:type="pct"/>
            <w:gridSpan w:val="2"/>
            <w:tcBorders>
              <w:top w:val="nil"/>
              <w:left w:val="nil"/>
              <w:bottom w:val="nil"/>
              <w:right w:val="dotted" w:sz="4" w:space="0" w:color="auto"/>
            </w:tcBorders>
            <w:shd w:val="clear" w:color="000000" w:fill="FFFFFF"/>
            <w:vAlign w:val="center"/>
            <w:hideMark/>
          </w:tcPr>
          <w:p w14:paraId="2B9D8A65"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452" w:type="pct"/>
            <w:gridSpan w:val="2"/>
            <w:tcBorders>
              <w:top w:val="nil"/>
              <w:left w:val="nil"/>
              <w:bottom w:val="nil"/>
              <w:right w:val="dotted" w:sz="4" w:space="0" w:color="auto"/>
            </w:tcBorders>
            <w:shd w:val="clear" w:color="000000" w:fill="FFFFFF"/>
            <w:vAlign w:val="center"/>
            <w:hideMark/>
          </w:tcPr>
          <w:p w14:paraId="55D307FA"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451" w:type="pct"/>
            <w:gridSpan w:val="2"/>
            <w:tcBorders>
              <w:top w:val="nil"/>
              <w:left w:val="nil"/>
              <w:bottom w:val="nil"/>
              <w:right w:val="dotted" w:sz="4" w:space="0" w:color="auto"/>
            </w:tcBorders>
            <w:shd w:val="clear" w:color="000000" w:fill="FFFFFF"/>
            <w:vAlign w:val="center"/>
            <w:hideMark/>
          </w:tcPr>
          <w:p w14:paraId="1BE5E002"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451" w:type="pct"/>
            <w:gridSpan w:val="2"/>
            <w:tcBorders>
              <w:top w:val="nil"/>
              <w:left w:val="nil"/>
              <w:bottom w:val="nil"/>
              <w:right w:val="double" w:sz="6" w:space="0" w:color="auto"/>
            </w:tcBorders>
            <w:shd w:val="clear" w:color="000000" w:fill="FFFFFF"/>
            <w:vAlign w:val="center"/>
            <w:hideMark/>
          </w:tcPr>
          <w:p w14:paraId="5CCF6C90" w14:textId="77777777" w:rsidR="00247CBF" w:rsidRPr="00092ED7" w:rsidRDefault="00247CBF" w:rsidP="00247CBF">
            <w:pPr>
              <w:spacing w:after="0"/>
              <w:jc w:val="right"/>
              <w:rPr>
                <w:sz w:val="20"/>
                <w:szCs w:val="20"/>
                <w:lang w:val="sr-Cyrl-CS"/>
              </w:rPr>
            </w:pPr>
            <w:r w:rsidRPr="00092ED7">
              <w:rPr>
                <w:sz w:val="20"/>
                <w:szCs w:val="20"/>
                <w:lang w:val="sr-Cyrl-CS"/>
              </w:rPr>
              <w:t>:</w:t>
            </w:r>
          </w:p>
        </w:tc>
      </w:tr>
      <w:tr w:rsidR="00247CBF" w:rsidRPr="00092ED7" w14:paraId="1A68D862" w14:textId="77777777" w:rsidTr="00247CBF">
        <w:trPr>
          <w:gridBefore w:val="1"/>
          <w:wBefore w:w="8" w:type="pct"/>
          <w:trHeight w:val="227"/>
        </w:trPr>
        <w:tc>
          <w:tcPr>
            <w:tcW w:w="2317" w:type="pct"/>
            <w:tcBorders>
              <w:top w:val="nil"/>
              <w:left w:val="double" w:sz="6" w:space="0" w:color="auto"/>
              <w:bottom w:val="single" w:sz="4" w:space="0" w:color="auto"/>
              <w:right w:val="dotted" w:sz="4" w:space="0" w:color="auto"/>
            </w:tcBorders>
            <w:shd w:val="clear" w:color="auto" w:fill="auto"/>
            <w:noWrap/>
            <w:vAlign w:val="center"/>
            <w:hideMark/>
          </w:tcPr>
          <w:p w14:paraId="2CDBB9AA" w14:textId="77777777" w:rsidR="00247CBF" w:rsidRPr="00092ED7" w:rsidRDefault="00247CBF" w:rsidP="00247CBF">
            <w:pPr>
              <w:spacing w:after="0"/>
              <w:jc w:val="left"/>
              <w:rPr>
                <w:rFonts w:eastAsia="Times New Roman" w:cs="Times New Roman"/>
                <w:sz w:val="20"/>
                <w:szCs w:val="20"/>
                <w:lang w:val="sr-Cyrl-CS"/>
              </w:rPr>
            </w:pPr>
            <w:r w:rsidRPr="00092ED7">
              <w:rPr>
                <w:rFonts w:eastAsia="Times New Roman" w:cs="Times New Roman"/>
                <w:sz w:val="20"/>
                <w:szCs w:val="20"/>
                <w:lang w:val="sr-Cyrl-CS"/>
              </w:rPr>
              <w:t xml:space="preserve">  - Нето акумулација финансијских средстава [5]</w:t>
            </w:r>
          </w:p>
        </w:tc>
        <w:tc>
          <w:tcPr>
            <w:tcW w:w="416" w:type="pct"/>
            <w:gridSpan w:val="2"/>
            <w:tcBorders>
              <w:top w:val="nil"/>
              <w:left w:val="nil"/>
              <w:bottom w:val="single" w:sz="4" w:space="0" w:color="auto"/>
              <w:right w:val="single" w:sz="8" w:space="0" w:color="auto"/>
            </w:tcBorders>
            <w:shd w:val="clear" w:color="000000" w:fill="FFFFFF"/>
            <w:vAlign w:val="center"/>
            <w:hideMark/>
          </w:tcPr>
          <w:p w14:paraId="046E6E14"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 </w:t>
            </w:r>
          </w:p>
        </w:tc>
        <w:tc>
          <w:tcPr>
            <w:tcW w:w="451" w:type="pct"/>
            <w:gridSpan w:val="2"/>
            <w:tcBorders>
              <w:top w:val="nil"/>
              <w:left w:val="nil"/>
              <w:bottom w:val="single" w:sz="4" w:space="0" w:color="auto"/>
              <w:right w:val="dotted" w:sz="4" w:space="0" w:color="auto"/>
            </w:tcBorders>
            <w:shd w:val="clear" w:color="000000" w:fill="FFFFFF"/>
            <w:vAlign w:val="center"/>
            <w:hideMark/>
          </w:tcPr>
          <w:p w14:paraId="1B81950A"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451" w:type="pct"/>
            <w:gridSpan w:val="2"/>
            <w:tcBorders>
              <w:top w:val="nil"/>
              <w:left w:val="nil"/>
              <w:bottom w:val="single" w:sz="4" w:space="0" w:color="auto"/>
              <w:right w:val="dotted" w:sz="4" w:space="0" w:color="auto"/>
            </w:tcBorders>
            <w:shd w:val="clear" w:color="000000" w:fill="FFFFFF"/>
            <w:vAlign w:val="center"/>
            <w:hideMark/>
          </w:tcPr>
          <w:p w14:paraId="553F54B5"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452" w:type="pct"/>
            <w:gridSpan w:val="2"/>
            <w:tcBorders>
              <w:top w:val="nil"/>
              <w:left w:val="nil"/>
              <w:bottom w:val="single" w:sz="4" w:space="0" w:color="auto"/>
              <w:right w:val="dotted" w:sz="4" w:space="0" w:color="auto"/>
            </w:tcBorders>
            <w:shd w:val="clear" w:color="000000" w:fill="FFFFFF"/>
            <w:vAlign w:val="center"/>
            <w:hideMark/>
          </w:tcPr>
          <w:p w14:paraId="79A186CE"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451" w:type="pct"/>
            <w:gridSpan w:val="2"/>
            <w:tcBorders>
              <w:top w:val="nil"/>
              <w:left w:val="nil"/>
              <w:bottom w:val="single" w:sz="4" w:space="0" w:color="auto"/>
              <w:right w:val="dotted" w:sz="4" w:space="0" w:color="auto"/>
            </w:tcBorders>
            <w:shd w:val="clear" w:color="000000" w:fill="FFFFFF"/>
            <w:vAlign w:val="center"/>
            <w:hideMark/>
          </w:tcPr>
          <w:p w14:paraId="44BD91FC"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451" w:type="pct"/>
            <w:gridSpan w:val="2"/>
            <w:tcBorders>
              <w:top w:val="nil"/>
              <w:left w:val="nil"/>
              <w:bottom w:val="single" w:sz="4" w:space="0" w:color="auto"/>
              <w:right w:val="double" w:sz="6" w:space="0" w:color="auto"/>
            </w:tcBorders>
            <w:shd w:val="clear" w:color="000000" w:fill="FFFFFF"/>
            <w:vAlign w:val="center"/>
            <w:hideMark/>
          </w:tcPr>
          <w:p w14:paraId="379641D8" w14:textId="77777777" w:rsidR="00247CBF" w:rsidRPr="00092ED7" w:rsidRDefault="00247CBF" w:rsidP="00247CBF">
            <w:pPr>
              <w:spacing w:after="0"/>
              <w:jc w:val="right"/>
              <w:rPr>
                <w:sz w:val="20"/>
                <w:szCs w:val="20"/>
                <w:lang w:val="sr-Cyrl-CS"/>
              </w:rPr>
            </w:pPr>
            <w:r w:rsidRPr="00092ED7">
              <w:rPr>
                <w:sz w:val="20"/>
                <w:szCs w:val="20"/>
                <w:lang w:val="sr-Cyrl-CS"/>
              </w:rPr>
              <w:t>:</w:t>
            </w:r>
          </w:p>
        </w:tc>
      </w:tr>
      <w:tr w:rsidR="00247CBF" w:rsidRPr="00092ED7" w14:paraId="1E512090" w14:textId="77777777" w:rsidTr="00247CBF">
        <w:trPr>
          <w:gridBefore w:val="1"/>
          <w:wBefore w:w="8" w:type="pct"/>
          <w:trHeight w:val="227"/>
        </w:trPr>
        <w:tc>
          <w:tcPr>
            <w:tcW w:w="2317" w:type="pct"/>
            <w:tcBorders>
              <w:top w:val="nil"/>
              <w:left w:val="double" w:sz="6" w:space="0" w:color="auto"/>
              <w:bottom w:val="nil"/>
              <w:right w:val="dotted" w:sz="4" w:space="0" w:color="auto"/>
            </w:tcBorders>
            <w:shd w:val="clear" w:color="000000" w:fill="FFFFFF"/>
            <w:vAlign w:val="center"/>
            <w:hideMark/>
          </w:tcPr>
          <w:p w14:paraId="4341E412" w14:textId="77777777" w:rsidR="00247CBF" w:rsidRPr="00092ED7" w:rsidRDefault="00247CBF" w:rsidP="00247CBF">
            <w:pPr>
              <w:spacing w:after="0"/>
              <w:jc w:val="left"/>
              <w:rPr>
                <w:rFonts w:eastAsia="Times New Roman" w:cs="Times New Roman"/>
                <w:i/>
                <w:iCs/>
                <w:sz w:val="20"/>
                <w:szCs w:val="20"/>
                <w:lang w:val="sr-Cyrl-CS"/>
              </w:rPr>
            </w:pPr>
            <w:r w:rsidRPr="00092ED7">
              <w:rPr>
                <w:rFonts w:eastAsia="Times New Roman" w:cs="Times New Roman"/>
                <w:i/>
                <w:iCs/>
                <w:sz w:val="20"/>
                <w:szCs w:val="20"/>
                <w:lang w:val="sr-Cyrl-CS"/>
              </w:rPr>
              <w:t>од чега:</w:t>
            </w:r>
          </w:p>
        </w:tc>
        <w:tc>
          <w:tcPr>
            <w:tcW w:w="416" w:type="pct"/>
            <w:gridSpan w:val="2"/>
            <w:tcBorders>
              <w:top w:val="nil"/>
              <w:left w:val="nil"/>
              <w:bottom w:val="nil"/>
              <w:right w:val="single" w:sz="8" w:space="0" w:color="auto"/>
            </w:tcBorders>
            <w:shd w:val="clear" w:color="000000" w:fill="FFFFFF"/>
            <w:vAlign w:val="center"/>
            <w:hideMark/>
          </w:tcPr>
          <w:p w14:paraId="51D7506B"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 </w:t>
            </w:r>
          </w:p>
        </w:tc>
        <w:tc>
          <w:tcPr>
            <w:tcW w:w="451" w:type="pct"/>
            <w:gridSpan w:val="2"/>
            <w:tcBorders>
              <w:top w:val="nil"/>
              <w:left w:val="nil"/>
              <w:bottom w:val="nil"/>
              <w:right w:val="dotted" w:sz="4" w:space="0" w:color="auto"/>
            </w:tcBorders>
            <w:shd w:val="clear" w:color="000000" w:fill="FFFFFF"/>
            <w:vAlign w:val="center"/>
            <w:hideMark/>
          </w:tcPr>
          <w:p w14:paraId="4C34F675"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451" w:type="pct"/>
            <w:gridSpan w:val="2"/>
            <w:tcBorders>
              <w:top w:val="nil"/>
              <w:left w:val="nil"/>
              <w:bottom w:val="nil"/>
              <w:right w:val="dotted" w:sz="4" w:space="0" w:color="auto"/>
            </w:tcBorders>
            <w:shd w:val="clear" w:color="000000" w:fill="FFFFFF"/>
            <w:vAlign w:val="center"/>
            <w:hideMark/>
          </w:tcPr>
          <w:p w14:paraId="26DFBB53"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452" w:type="pct"/>
            <w:gridSpan w:val="2"/>
            <w:tcBorders>
              <w:top w:val="nil"/>
              <w:left w:val="nil"/>
              <w:bottom w:val="nil"/>
              <w:right w:val="dotted" w:sz="4" w:space="0" w:color="auto"/>
            </w:tcBorders>
            <w:shd w:val="clear" w:color="000000" w:fill="FFFFFF"/>
            <w:vAlign w:val="center"/>
            <w:hideMark/>
          </w:tcPr>
          <w:p w14:paraId="70222A4E"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451" w:type="pct"/>
            <w:gridSpan w:val="2"/>
            <w:tcBorders>
              <w:top w:val="nil"/>
              <w:left w:val="nil"/>
              <w:bottom w:val="nil"/>
              <w:right w:val="dotted" w:sz="4" w:space="0" w:color="auto"/>
            </w:tcBorders>
            <w:shd w:val="clear" w:color="000000" w:fill="FFFFFF"/>
            <w:vAlign w:val="center"/>
            <w:hideMark/>
          </w:tcPr>
          <w:p w14:paraId="69BDD34A" w14:textId="77777777" w:rsidR="00247CBF" w:rsidRPr="00092ED7" w:rsidRDefault="00247CBF" w:rsidP="00247CBF">
            <w:pPr>
              <w:spacing w:after="0"/>
              <w:jc w:val="right"/>
              <w:rPr>
                <w:sz w:val="20"/>
                <w:szCs w:val="20"/>
                <w:lang w:val="sr-Cyrl-CS"/>
              </w:rPr>
            </w:pPr>
            <w:r w:rsidRPr="00092ED7">
              <w:rPr>
                <w:sz w:val="20"/>
                <w:szCs w:val="20"/>
                <w:lang w:val="sr-Cyrl-CS"/>
              </w:rPr>
              <w:t> </w:t>
            </w:r>
          </w:p>
        </w:tc>
        <w:tc>
          <w:tcPr>
            <w:tcW w:w="451" w:type="pct"/>
            <w:gridSpan w:val="2"/>
            <w:tcBorders>
              <w:top w:val="nil"/>
              <w:left w:val="nil"/>
              <w:bottom w:val="nil"/>
              <w:right w:val="double" w:sz="6" w:space="0" w:color="auto"/>
            </w:tcBorders>
            <w:shd w:val="clear" w:color="000000" w:fill="FFFFFF"/>
            <w:vAlign w:val="center"/>
            <w:hideMark/>
          </w:tcPr>
          <w:p w14:paraId="325FBFE2" w14:textId="77777777" w:rsidR="00247CBF" w:rsidRPr="00092ED7" w:rsidRDefault="00247CBF" w:rsidP="00247CBF">
            <w:pPr>
              <w:spacing w:after="0"/>
              <w:jc w:val="right"/>
              <w:rPr>
                <w:sz w:val="20"/>
                <w:szCs w:val="20"/>
                <w:lang w:val="sr-Cyrl-CS"/>
              </w:rPr>
            </w:pPr>
            <w:r w:rsidRPr="00092ED7">
              <w:rPr>
                <w:sz w:val="20"/>
                <w:szCs w:val="20"/>
                <w:lang w:val="sr-Cyrl-CS"/>
              </w:rPr>
              <w:t> </w:t>
            </w:r>
          </w:p>
        </w:tc>
      </w:tr>
      <w:tr w:rsidR="00247CBF" w:rsidRPr="00092ED7" w14:paraId="1DC860D5" w14:textId="77777777" w:rsidTr="00247CBF">
        <w:trPr>
          <w:gridBefore w:val="1"/>
          <w:wBefore w:w="8" w:type="pct"/>
          <w:trHeight w:val="227"/>
        </w:trPr>
        <w:tc>
          <w:tcPr>
            <w:tcW w:w="2317" w:type="pct"/>
            <w:tcBorders>
              <w:top w:val="nil"/>
              <w:left w:val="double" w:sz="6" w:space="0" w:color="auto"/>
              <w:bottom w:val="nil"/>
              <w:right w:val="dotted" w:sz="4" w:space="0" w:color="auto"/>
            </w:tcBorders>
            <w:shd w:val="clear" w:color="000000" w:fill="FFFFFF"/>
            <w:vAlign w:val="center"/>
            <w:hideMark/>
          </w:tcPr>
          <w:p w14:paraId="295AF786" w14:textId="77777777" w:rsidR="00247CBF" w:rsidRPr="00092ED7" w:rsidRDefault="00247CBF" w:rsidP="00247CBF">
            <w:pPr>
              <w:spacing w:after="0"/>
              <w:jc w:val="left"/>
              <w:rPr>
                <w:rFonts w:eastAsia="Times New Roman" w:cs="Times New Roman"/>
                <w:sz w:val="20"/>
                <w:szCs w:val="20"/>
                <w:lang w:val="sr-Cyrl-CS"/>
              </w:rPr>
            </w:pPr>
            <w:r w:rsidRPr="00092ED7">
              <w:rPr>
                <w:rFonts w:eastAsia="Times New Roman" w:cs="Times New Roman"/>
                <w:sz w:val="20"/>
                <w:szCs w:val="20"/>
                <w:lang w:val="sr-Cyrl-CS"/>
              </w:rPr>
              <w:t xml:space="preserve">   - приходи од приватизације</w:t>
            </w:r>
          </w:p>
        </w:tc>
        <w:tc>
          <w:tcPr>
            <w:tcW w:w="416" w:type="pct"/>
            <w:gridSpan w:val="2"/>
            <w:tcBorders>
              <w:top w:val="nil"/>
              <w:left w:val="nil"/>
              <w:bottom w:val="nil"/>
              <w:right w:val="single" w:sz="8" w:space="0" w:color="auto"/>
            </w:tcBorders>
            <w:shd w:val="clear" w:color="000000" w:fill="FFFFFF"/>
            <w:vAlign w:val="center"/>
            <w:hideMark/>
          </w:tcPr>
          <w:p w14:paraId="21D6A6E6"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 </w:t>
            </w:r>
          </w:p>
        </w:tc>
        <w:tc>
          <w:tcPr>
            <w:tcW w:w="451" w:type="pct"/>
            <w:gridSpan w:val="2"/>
            <w:tcBorders>
              <w:top w:val="nil"/>
              <w:left w:val="nil"/>
              <w:bottom w:val="nil"/>
              <w:right w:val="dotted" w:sz="4" w:space="0" w:color="auto"/>
            </w:tcBorders>
            <w:shd w:val="clear" w:color="000000" w:fill="FFFFFF"/>
            <w:vAlign w:val="center"/>
            <w:hideMark/>
          </w:tcPr>
          <w:p w14:paraId="42CD8984"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451" w:type="pct"/>
            <w:gridSpan w:val="2"/>
            <w:tcBorders>
              <w:top w:val="nil"/>
              <w:left w:val="nil"/>
              <w:bottom w:val="nil"/>
              <w:right w:val="dotted" w:sz="4" w:space="0" w:color="auto"/>
            </w:tcBorders>
            <w:shd w:val="clear" w:color="000000" w:fill="FFFFFF"/>
            <w:vAlign w:val="center"/>
            <w:hideMark/>
          </w:tcPr>
          <w:p w14:paraId="62215D20"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452" w:type="pct"/>
            <w:gridSpan w:val="2"/>
            <w:tcBorders>
              <w:top w:val="nil"/>
              <w:left w:val="nil"/>
              <w:bottom w:val="nil"/>
              <w:right w:val="dotted" w:sz="4" w:space="0" w:color="auto"/>
            </w:tcBorders>
            <w:shd w:val="clear" w:color="000000" w:fill="FFFFFF"/>
            <w:vAlign w:val="center"/>
            <w:hideMark/>
          </w:tcPr>
          <w:p w14:paraId="34FE7C1A"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451" w:type="pct"/>
            <w:gridSpan w:val="2"/>
            <w:tcBorders>
              <w:top w:val="nil"/>
              <w:left w:val="nil"/>
              <w:bottom w:val="nil"/>
              <w:right w:val="dotted" w:sz="4" w:space="0" w:color="auto"/>
            </w:tcBorders>
            <w:shd w:val="clear" w:color="000000" w:fill="FFFFFF"/>
            <w:vAlign w:val="center"/>
            <w:hideMark/>
          </w:tcPr>
          <w:p w14:paraId="21EBC55E"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451" w:type="pct"/>
            <w:gridSpan w:val="2"/>
            <w:tcBorders>
              <w:top w:val="nil"/>
              <w:left w:val="nil"/>
              <w:bottom w:val="nil"/>
              <w:right w:val="double" w:sz="6" w:space="0" w:color="auto"/>
            </w:tcBorders>
            <w:shd w:val="clear" w:color="000000" w:fill="FFFFFF"/>
            <w:vAlign w:val="center"/>
            <w:hideMark/>
          </w:tcPr>
          <w:p w14:paraId="6CFF6B68" w14:textId="77777777" w:rsidR="00247CBF" w:rsidRPr="00092ED7" w:rsidRDefault="00247CBF" w:rsidP="00247CBF">
            <w:pPr>
              <w:spacing w:after="0"/>
              <w:jc w:val="right"/>
              <w:rPr>
                <w:sz w:val="20"/>
                <w:szCs w:val="20"/>
                <w:lang w:val="sr-Cyrl-CS"/>
              </w:rPr>
            </w:pPr>
            <w:r w:rsidRPr="00092ED7">
              <w:rPr>
                <w:sz w:val="20"/>
                <w:szCs w:val="20"/>
                <w:lang w:val="sr-Cyrl-CS"/>
              </w:rPr>
              <w:t>:</w:t>
            </w:r>
          </w:p>
        </w:tc>
      </w:tr>
      <w:tr w:rsidR="00247CBF" w:rsidRPr="00092ED7" w14:paraId="77EED923" w14:textId="77777777" w:rsidTr="00247CBF">
        <w:trPr>
          <w:gridBefore w:val="1"/>
          <w:wBefore w:w="8" w:type="pct"/>
          <w:trHeight w:val="227"/>
        </w:trPr>
        <w:tc>
          <w:tcPr>
            <w:tcW w:w="2317" w:type="pct"/>
            <w:tcBorders>
              <w:top w:val="nil"/>
              <w:left w:val="double" w:sz="6" w:space="0" w:color="auto"/>
              <w:bottom w:val="single" w:sz="4" w:space="0" w:color="auto"/>
              <w:right w:val="dotted" w:sz="4" w:space="0" w:color="auto"/>
            </w:tcBorders>
            <w:shd w:val="clear" w:color="auto" w:fill="auto"/>
            <w:noWrap/>
            <w:vAlign w:val="center"/>
            <w:hideMark/>
          </w:tcPr>
          <w:p w14:paraId="2B377C29" w14:textId="77777777" w:rsidR="00247CBF" w:rsidRPr="00092ED7" w:rsidRDefault="00247CBF" w:rsidP="00247CBF">
            <w:pPr>
              <w:spacing w:after="0"/>
              <w:jc w:val="left"/>
              <w:rPr>
                <w:rFonts w:eastAsia="Times New Roman" w:cs="Times New Roman"/>
                <w:sz w:val="20"/>
                <w:szCs w:val="20"/>
                <w:lang w:val="sr-Cyrl-CS"/>
              </w:rPr>
            </w:pPr>
            <w:bookmarkStart w:id="104" w:name="RANGE!B20"/>
            <w:r w:rsidRPr="00092ED7">
              <w:rPr>
                <w:rFonts w:eastAsia="Times New Roman" w:cs="Times New Roman"/>
                <w:sz w:val="20"/>
                <w:szCs w:val="20"/>
                <w:lang w:val="sr-Cyrl-CS"/>
              </w:rPr>
              <w:t xml:space="preserve">   - ефекти вредновања и другоr [6]</w:t>
            </w:r>
            <w:bookmarkEnd w:id="104"/>
          </w:p>
        </w:tc>
        <w:tc>
          <w:tcPr>
            <w:tcW w:w="416" w:type="pct"/>
            <w:gridSpan w:val="2"/>
            <w:tcBorders>
              <w:top w:val="nil"/>
              <w:left w:val="nil"/>
              <w:bottom w:val="single" w:sz="4" w:space="0" w:color="auto"/>
              <w:right w:val="single" w:sz="8" w:space="0" w:color="auto"/>
            </w:tcBorders>
            <w:shd w:val="clear" w:color="000000" w:fill="FFFFFF"/>
            <w:vAlign w:val="center"/>
            <w:hideMark/>
          </w:tcPr>
          <w:p w14:paraId="0AA2EDE4"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 </w:t>
            </w:r>
          </w:p>
        </w:tc>
        <w:tc>
          <w:tcPr>
            <w:tcW w:w="451" w:type="pct"/>
            <w:gridSpan w:val="2"/>
            <w:tcBorders>
              <w:top w:val="nil"/>
              <w:left w:val="nil"/>
              <w:bottom w:val="single" w:sz="4" w:space="0" w:color="auto"/>
              <w:right w:val="dotted" w:sz="4" w:space="0" w:color="auto"/>
            </w:tcBorders>
            <w:shd w:val="clear" w:color="000000" w:fill="FFFFFF"/>
            <w:vAlign w:val="center"/>
            <w:hideMark/>
          </w:tcPr>
          <w:p w14:paraId="278CF1C3"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451" w:type="pct"/>
            <w:gridSpan w:val="2"/>
            <w:tcBorders>
              <w:top w:val="nil"/>
              <w:left w:val="nil"/>
              <w:bottom w:val="single" w:sz="4" w:space="0" w:color="auto"/>
              <w:right w:val="dotted" w:sz="4" w:space="0" w:color="auto"/>
            </w:tcBorders>
            <w:shd w:val="clear" w:color="000000" w:fill="FFFFFF"/>
            <w:vAlign w:val="center"/>
            <w:hideMark/>
          </w:tcPr>
          <w:p w14:paraId="65238693"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452" w:type="pct"/>
            <w:gridSpan w:val="2"/>
            <w:tcBorders>
              <w:top w:val="nil"/>
              <w:left w:val="nil"/>
              <w:bottom w:val="single" w:sz="4" w:space="0" w:color="auto"/>
              <w:right w:val="dotted" w:sz="4" w:space="0" w:color="auto"/>
            </w:tcBorders>
            <w:shd w:val="clear" w:color="000000" w:fill="FFFFFF"/>
            <w:vAlign w:val="center"/>
            <w:hideMark/>
          </w:tcPr>
          <w:p w14:paraId="1EEEB336"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451" w:type="pct"/>
            <w:gridSpan w:val="2"/>
            <w:tcBorders>
              <w:top w:val="nil"/>
              <w:left w:val="nil"/>
              <w:bottom w:val="single" w:sz="4" w:space="0" w:color="auto"/>
              <w:right w:val="dotted" w:sz="4" w:space="0" w:color="auto"/>
            </w:tcBorders>
            <w:shd w:val="clear" w:color="000000" w:fill="FFFFFF"/>
            <w:vAlign w:val="center"/>
            <w:hideMark/>
          </w:tcPr>
          <w:p w14:paraId="465DD11E" w14:textId="77777777" w:rsidR="00247CBF" w:rsidRPr="00092ED7" w:rsidRDefault="00247CBF" w:rsidP="00247CBF">
            <w:pPr>
              <w:spacing w:after="0"/>
              <w:jc w:val="right"/>
              <w:rPr>
                <w:sz w:val="20"/>
                <w:szCs w:val="20"/>
                <w:lang w:val="sr-Cyrl-CS"/>
              </w:rPr>
            </w:pPr>
            <w:r w:rsidRPr="00092ED7">
              <w:rPr>
                <w:sz w:val="20"/>
                <w:szCs w:val="20"/>
                <w:lang w:val="sr-Cyrl-CS"/>
              </w:rPr>
              <w:t>:</w:t>
            </w:r>
          </w:p>
        </w:tc>
        <w:tc>
          <w:tcPr>
            <w:tcW w:w="451" w:type="pct"/>
            <w:gridSpan w:val="2"/>
            <w:tcBorders>
              <w:top w:val="nil"/>
              <w:left w:val="nil"/>
              <w:bottom w:val="single" w:sz="4" w:space="0" w:color="auto"/>
              <w:right w:val="double" w:sz="6" w:space="0" w:color="auto"/>
            </w:tcBorders>
            <w:shd w:val="clear" w:color="000000" w:fill="FFFFFF"/>
            <w:vAlign w:val="center"/>
            <w:hideMark/>
          </w:tcPr>
          <w:p w14:paraId="182C5613" w14:textId="77777777" w:rsidR="00247CBF" w:rsidRPr="00092ED7" w:rsidRDefault="00247CBF" w:rsidP="00247CBF">
            <w:pPr>
              <w:spacing w:after="0"/>
              <w:jc w:val="right"/>
              <w:rPr>
                <w:sz w:val="20"/>
                <w:szCs w:val="20"/>
                <w:lang w:val="sr-Cyrl-CS"/>
              </w:rPr>
            </w:pPr>
            <w:r w:rsidRPr="00092ED7">
              <w:rPr>
                <w:sz w:val="20"/>
                <w:szCs w:val="20"/>
                <w:lang w:val="sr-Cyrl-CS"/>
              </w:rPr>
              <w:t>:</w:t>
            </w:r>
          </w:p>
        </w:tc>
      </w:tr>
      <w:tr w:rsidR="00247CBF" w:rsidRPr="00092ED7" w14:paraId="2B4479C2" w14:textId="77777777" w:rsidTr="00247CBF">
        <w:trPr>
          <w:gridBefore w:val="1"/>
          <w:wBefore w:w="8" w:type="pct"/>
          <w:trHeight w:val="227"/>
        </w:trPr>
        <w:tc>
          <w:tcPr>
            <w:tcW w:w="2317" w:type="pct"/>
            <w:tcBorders>
              <w:top w:val="nil"/>
              <w:left w:val="double" w:sz="6" w:space="0" w:color="auto"/>
              <w:bottom w:val="single" w:sz="4" w:space="0" w:color="auto"/>
              <w:right w:val="dotted" w:sz="4" w:space="0" w:color="auto"/>
            </w:tcBorders>
            <w:shd w:val="clear" w:color="auto" w:fill="auto"/>
            <w:noWrap/>
            <w:vAlign w:val="center"/>
          </w:tcPr>
          <w:p w14:paraId="210D036F" w14:textId="77777777" w:rsidR="00247CBF" w:rsidRPr="00092ED7" w:rsidRDefault="00247CBF" w:rsidP="00247CBF">
            <w:pPr>
              <w:spacing w:after="0"/>
              <w:jc w:val="left"/>
              <w:rPr>
                <w:rFonts w:eastAsia="Times New Roman" w:cs="Times New Roman"/>
                <w:sz w:val="20"/>
                <w:szCs w:val="20"/>
                <w:lang w:val="sr-Cyrl-CS"/>
              </w:rPr>
            </w:pPr>
            <w:r w:rsidRPr="00092ED7">
              <w:rPr>
                <w:rFonts w:eastAsia="Times New Roman" w:cs="Times New Roman"/>
                <w:b/>
                <w:bCs/>
                <w:sz w:val="20"/>
                <w:szCs w:val="20"/>
                <w:lang w:val="sr-Cyrl-CS"/>
              </w:rPr>
              <w:t>Информативно: имплицитна каматна стопа на дуг [7]</w:t>
            </w:r>
          </w:p>
        </w:tc>
        <w:tc>
          <w:tcPr>
            <w:tcW w:w="416" w:type="pct"/>
            <w:gridSpan w:val="2"/>
            <w:tcBorders>
              <w:top w:val="nil"/>
              <w:left w:val="nil"/>
              <w:bottom w:val="single" w:sz="4" w:space="0" w:color="auto"/>
              <w:right w:val="single" w:sz="8" w:space="0" w:color="auto"/>
            </w:tcBorders>
            <w:shd w:val="clear" w:color="000000" w:fill="FFFFFF"/>
            <w:vAlign w:val="center"/>
          </w:tcPr>
          <w:p w14:paraId="0B498C93" w14:textId="77777777" w:rsidR="00247CBF" w:rsidRPr="00092ED7" w:rsidRDefault="00247CBF" w:rsidP="00247CBF">
            <w:pPr>
              <w:spacing w:after="0"/>
              <w:jc w:val="center"/>
              <w:rPr>
                <w:rFonts w:eastAsia="Times New Roman" w:cs="Times New Roman"/>
                <w:sz w:val="20"/>
                <w:szCs w:val="20"/>
                <w:lang w:val="sr-Cyrl-CS"/>
              </w:rPr>
            </w:pPr>
          </w:p>
        </w:tc>
        <w:tc>
          <w:tcPr>
            <w:tcW w:w="451" w:type="pct"/>
            <w:gridSpan w:val="2"/>
            <w:tcBorders>
              <w:top w:val="nil"/>
              <w:left w:val="nil"/>
              <w:bottom w:val="single" w:sz="4" w:space="0" w:color="auto"/>
              <w:right w:val="dotted" w:sz="4" w:space="0" w:color="auto"/>
            </w:tcBorders>
            <w:shd w:val="clear" w:color="000000" w:fill="FFFFFF"/>
            <w:vAlign w:val="center"/>
          </w:tcPr>
          <w:p w14:paraId="1FA28F50" w14:textId="77777777" w:rsidR="00247CBF" w:rsidRPr="00092ED7" w:rsidRDefault="00247CBF" w:rsidP="00247CBF">
            <w:pPr>
              <w:spacing w:after="0"/>
              <w:jc w:val="right"/>
              <w:rPr>
                <w:sz w:val="20"/>
                <w:szCs w:val="20"/>
                <w:lang w:val="sr-Cyrl-CS"/>
              </w:rPr>
            </w:pPr>
            <w:r w:rsidRPr="00092ED7">
              <w:rPr>
                <w:sz w:val="20"/>
                <w:szCs w:val="20"/>
                <w:lang w:val="sr-Cyrl-CS"/>
              </w:rPr>
              <w:t>3,4</w:t>
            </w:r>
          </w:p>
        </w:tc>
        <w:tc>
          <w:tcPr>
            <w:tcW w:w="451" w:type="pct"/>
            <w:gridSpan w:val="2"/>
            <w:tcBorders>
              <w:top w:val="nil"/>
              <w:left w:val="nil"/>
              <w:bottom w:val="single" w:sz="4" w:space="0" w:color="auto"/>
              <w:right w:val="dotted" w:sz="4" w:space="0" w:color="auto"/>
            </w:tcBorders>
            <w:shd w:val="clear" w:color="000000" w:fill="FFFFFF"/>
            <w:vAlign w:val="center"/>
          </w:tcPr>
          <w:p w14:paraId="3A60B479" w14:textId="77777777" w:rsidR="00247CBF" w:rsidRPr="00092ED7" w:rsidRDefault="00247CBF" w:rsidP="00247CBF">
            <w:pPr>
              <w:spacing w:after="0"/>
              <w:jc w:val="right"/>
              <w:rPr>
                <w:sz w:val="20"/>
                <w:szCs w:val="20"/>
                <w:lang w:val="sr-Cyrl-CS"/>
              </w:rPr>
            </w:pPr>
            <w:r w:rsidRPr="00092ED7">
              <w:rPr>
                <w:sz w:val="20"/>
                <w:szCs w:val="20"/>
                <w:lang w:val="sr-Cyrl-CS"/>
              </w:rPr>
              <w:t>3,2</w:t>
            </w:r>
          </w:p>
        </w:tc>
        <w:tc>
          <w:tcPr>
            <w:tcW w:w="452" w:type="pct"/>
            <w:gridSpan w:val="2"/>
            <w:tcBorders>
              <w:top w:val="nil"/>
              <w:left w:val="nil"/>
              <w:bottom w:val="single" w:sz="4" w:space="0" w:color="auto"/>
              <w:right w:val="dotted" w:sz="4" w:space="0" w:color="auto"/>
            </w:tcBorders>
            <w:shd w:val="clear" w:color="000000" w:fill="FFFFFF"/>
            <w:vAlign w:val="center"/>
          </w:tcPr>
          <w:p w14:paraId="2AF85994" w14:textId="77777777" w:rsidR="00247CBF" w:rsidRPr="00092ED7" w:rsidRDefault="00247CBF" w:rsidP="00247CBF">
            <w:pPr>
              <w:spacing w:after="0"/>
              <w:jc w:val="right"/>
              <w:rPr>
                <w:sz w:val="20"/>
                <w:szCs w:val="20"/>
                <w:lang w:val="sr-Cyrl-CS"/>
              </w:rPr>
            </w:pPr>
            <w:r w:rsidRPr="00092ED7">
              <w:rPr>
                <w:sz w:val="20"/>
                <w:szCs w:val="20"/>
                <w:lang w:val="sr-Cyrl-CS"/>
              </w:rPr>
              <w:t>3,6</w:t>
            </w:r>
          </w:p>
        </w:tc>
        <w:tc>
          <w:tcPr>
            <w:tcW w:w="451" w:type="pct"/>
            <w:gridSpan w:val="2"/>
            <w:tcBorders>
              <w:top w:val="nil"/>
              <w:left w:val="nil"/>
              <w:bottom w:val="single" w:sz="4" w:space="0" w:color="auto"/>
              <w:right w:val="dotted" w:sz="4" w:space="0" w:color="auto"/>
            </w:tcBorders>
            <w:shd w:val="clear" w:color="000000" w:fill="FFFFFF"/>
            <w:vAlign w:val="center"/>
          </w:tcPr>
          <w:p w14:paraId="14915185" w14:textId="77777777" w:rsidR="00247CBF" w:rsidRPr="00092ED7" w:rsidRDefault="00247CBF" w:rsidP="00247CBF">
            <w:pPr>
              <w:spacing w:after="0"/>
              <w:jc w:val="right"/>
              <w:rPr>
                <w:sz w:val="20"/>
                <w:szCs w:val="20"/>
                <w:lang w:val="sr-Cyrl-CS"/>
              </w:rPr>
            </w:pPr>
            <w:r w:rsidRPr="00092ED7">
              <w:rPr>
                <w:sz w:val="20"/>
                <w:szCs w:val="20"/>
                <w:lang w:val="sr-Cyrl-CS"/>
              </w:rPr>
              <w:t>4,0</w:t>
            </w:r>
          </w:p>
        </w:tc>
        <w:tc>
          <w:tcPr>
            <w:tcW w:w="451" w:type="pct"/>
            <w:gridSpan w:val="2"/>
            <w:tcBorders>
              <w:top w:val="nil"/>
              <w:left w:val="nil"/>
              <w:bottom w:val="single" w:sz="4" w:space="0" w:color="auto"/>
              <w:right w:val="double" w:sz="6" w:space="0" w:color="auto"/>
            </w:tcBorders>
            <w:shd w:val="clear" w:color="000000" w:fill="FFFFFF"/>
            <w:vAlign w:val="center"/>
          </w:tcPr>
          <w:p w14:paraId="25F10B1F" w14:textId="77777777" w:rsidR="00247CBF" w:rsidRPr="00092ED7" w:rsidRDefault="00247CBF" w:rsidP="00247CBF">
            <w:pPr>
              <w:spacing w:after="0"/>
              <w:jc w:val="right"/>
              <w:rPr>
                <w:sz w:val="20"/>
                <w:szCs w:val="20"/>
                <w:lang w:val="sr-Cyrl-CS"/>
              </w:rPr>
            </w:pPr>
            <w:r w:rsidRPr="00092ED7">
              <w:rPr>
                <w:sz w:val="20"/>
                <w:szCs w:val="20"/>
                <w:lang w:val="sr-Cyrl-CS"/>
              </w:rPr>
              <w:t>3,8</w:t>
            </w:r>
          </w:p>
        </w:tc>
      </w:tr>
      <w:tr w:rsidR="00247CBF" w:rsidRPr="00092ED7" w14:paraId="7B26C3A0" w14:textId="77777777" w:rsidTr="00247CBF">
        <w:trPr>
          <w:gridBefore w:val="1"/>
          <w:wBefore w:w="8" w:type="pct"/>
          <w:trHeight w:val="227"/>
        </w:trPr>
        <w:tc>
          <w:tcPr>
            <w:tcW w:w="4989" w:type="pct"/>
            <w:gridSpan w:val="13"/>
            <w:tcBorders>
              <w:top w:val="nil"/>
              <w:left w:val="double" w:sz="6" w:space="0" w:color="auto"/>
              <w:bottom w:val="single" w:sz="4" w:space="0" w:color="auto"/>
              <w:right w:val="double" w:sz="6" w:space="0" w:color="auto"/>
            </w:tcBorders>
            <w:shd w:val="clear" w:color="auto" w:fill="auto"/>
            <w:noWrap/>
            <w:vAlign w:val="center"/>
          </w:tcPr>
          <w:p w14:paraId="7CFFC49D"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b/>
                <w:bCs/>
                <w:sz w:val="20"/>
                <w:szCs w:val="20"/>
                <w:lang w:val="sr-Cyrl-CS"/>
              </w:rPr>
              <w:t>Остале релевантне променљиве</w:t>
            </w:r>
          </w:p>
        </w:tc>
      </w:tr>
      <w:tr w:rsidR="00247CBF" w:rsidRPr="00092ED7" w14:paraId="795FF438" w14:textId="77777777" w:rsidTr="00247CBF">
        <w:trPr>
          <w:gridBefore w:val="1"/>
          <w:wBefore w:w="8" w:type="pct"/>
          <w:trHeight w:val="227"/>
        </w:trPr>
        <w:tc>
          <w:tcPr>
            <w:tcW w:w="2317" w:type="pct"/>
            <w:tcBorders>
              <w:top w:val="nil"/>
              <w:left w:val="double" w:sz="6" w:space="0" w:color="auto"/>
              <w:bottom w:val="single" w:sz="4" w:space="0" w:color="auto"/>
              <w:right w:val="dotted" w:sz="4" w:space="0" w:color="auto"/>
            </w:tcBorders>
            <w:shd w:val="clear" w:color="auto" w:fill="auto"/>
            <w:noWrap/>
            <w:vAlign w:val="center"/>
          </w:tcPr>
          <w:p w14:paraId="192BD66D" w14:textId="77777777" w:rsidR="00247CBF" w:rsidRPr="00092ED7" w:rsidRDefault="00247CBF" w:rsidP="00247CBF">
            <w:pPr>
              <w:spacing w:after="0"/>
              <w:jc w:val="left"/>
              <w:rPr>
                <w:rFonts w:eastAsia="Times New Roman" w:cs="Times New Roman"/>
                <w:b/>
                <w:bCs/>
                <w:sz w:val="20"/>
                <w:szCs w:val="20"/>
                <w:lang w:val="sr-Cyrl-CS"/>
              </w:rPr>
            </w:pPr>
            <w:r w:rsidRPr="00092ED7">
              <w:rPr>
                <w:rFonts w:eastAsia="Times New Roman" w:cs="Times New Roman"/>
                <w:sz w:val="20"/>
                <w:szCs w:val="20"/>
                <w:lang w:val="sr-Cyrl-CS"/>
              </w:rPr>
              <w:t xml:space="preserve">  6. Ликвидна финансијска средства [8]</w:t>
            </w:r>
          </w:p>
        </w:tc>
        <w:tc>
          <w:tcPr>
            <w:tcW w:w="416" w:type="pct"/>
            <w:gridSpan w:val="2"/>
            <w:tcBorders>
              <w:top w:val="nil"/>
              <w:left w:val="nil"/>
              <w:bottom w:val="single" w:sz="4" w:space="0" w:color="auto"/>
              <w:right w:val="single" w:sz="8" w:space="0" w:color="auto"/>
            </w:tcBorders>
            <w:shd w:val="clear" w:color="000000" w:fill="FFFFFF"/>
            <w:vAlign w:val="center"/>
          </w:tcPr>
          <w:p w14:paraId="41CDCC78" w14:textId="77777777" w:rsidR="00247CBF" w:rsidRPr="00092ED7" w:rsidRDefault="00247CBF" w:rsidP="00247CBF">
            <w:pPr>
              <w:spacing w:after="0"/>
              <w:jc w:val="center"/>
              <w:rPr>
                <w:rFonts w:eastAsia="Times New Roman" w:cs="Times New Roman"/>
                <w:sz w:val="20"/>
                <w:szCs w:val="20"/>
                <w:lang w:val="sr-Cyrl-CS"/>
              </w:rPr>
            </w:pPr>
          </w:p>
        </w:tc>
        <w:tc>
          <w:tcPr>
            <w:tcW w:w="451" w:type="pct"/>
            <w:gridSpan w:val="2"/>
            <w:tcBorders>
              <w:top w:val="nil"/>
              <w:left w:val="nil"/>
              <w:bottom w:val="single" w:sz="4" w:space="0" w:color="auto"/>
              <w:right w:val="dotted" w:sz="4" w:space="0" w:color="auto"/>
            </w:tcBorders>
            <w:shd w:val="clear" w:color="000000" w:fill="FFFFFF"/>
            <w:vAlign w:val="center"/>
          </w:tcPr>
          <w:p w14:paraId="0F29EC44" w14:textId="77777777" w:rsidR="00247CBF" w:rsidRPr="00092ED7" w:rsidRDefault="00247CBF" w:rsidP="00247CBF">
            <w:pPr>
              <w:spacing w:after="0"/>
              <w:jc w:val="right"/>
              <w:rPr>
                <w:rFonts w:eastAsia="Times New Roman" w:cs="Times New Roman"/>
                <w:sz w:val="20"/>
                <w:szCs w:val="20"/>
                <w:lang w:val="sr-Cyrl-CS"/>
              </w:rPr>
            </w:pPr>
            <w:r w:rsidRPr="00092ED7">
              <w:rPr>
                <w:rFonts w:eastAsia="Times New Roman" w:cs="Times New Roman"/>
                <w:sz w:val="20"/>
                <w:szCs w:val="20"/>
                <w:lang w:val="sr-Cyrl-CS"/>
              </w:rPr>
              <w:t>:</w:t>
            </w:r>
          </w:p>
        </w:tc>
        <w:tc>
          <w:tcPr>
            <w:tcW w:w="451" w:type="pct"/>
            <w:gridSpan w:val="2"/>
            <w:tcBorders>
              <w:top w:val="nil"/>
              <w:left w:val="nil"/>
              <w:bottom w:val="single" w:sz="4" w:space="0" w:color="auto"/>
              <w:right w:val="dotted" w:sz="4" w:space="0" w:color="auto"/>
            </w:tcBorders>
            <w:shd w:val="clear" w:color="000000" w:fill="FFFFFF"/>
            <w:vAlign w:val="center"/>
          </w:tcPr>
          <w:p w14:paraId="5659A9EB" w14:textId="77777777" w:rsidR="00247CBF" w:rsidRPr="00092ED7" w:rsidRDefault="00247CBF" w:rsidP="00247CBF">
            <w:pPr>
              <w:spacing w:after="0"/>
              <w:jc w:val="right"/>
              <w:rPr>
                <w:rFonts w:eastAsia="Times New Roman" w:cs="Times New Roman"/>
                <w:sz w:val="20"/>
                <w:szCs w:val="20"/>
                <w:lang w:val="sr-Cyrl-CS"/>
              </w:rPr>
            </w:pPr>
            <w:r w:rsidRPr="00092ED7">
              <w:rPr>
                <w:rFonts w:eastAsia="Times New Roman" w:cs="Times New Roman"/>
                <w:sz w:val="20"/>
                <w:szCs w:val="20"/>
                <w:lang w:val="sr-Cyrl-CS"/>
              </w:rPr>
              <w:t>:</w:t>
            </w:r>
          </w:p>
        </w:tc>
        <w:tc>
          <w:tcPr>
            <w:tcW w:w="452" w:type="pct"/>
            <w:gridSpan w:val="2"/>
            <w:tcBorders>
              <w:top w:val="nil"/>
              <w:left w:val="nil"/>
              <w:bottom w:val="single" w:sz="4" w:space="0" w:color="auto"/>
              <w:right w:val="dotted" w:sz="4" w:space="0" w:color="auto"/>
            </w:tcBorders>
            <w:shd w:val="clear" w:color="000000" w:fill="FFFFFF"/>
            <w:vAlign w:val="center"/>
          </w:tcPr>
          <w:p w14:paraId="48D88592" w14:textId="77777777" w:rsidR="00247CBF" w:rsidRPr="00092ED7" w:rsidRDefault="00247CBF" w:rsidP="00247CBF">
            <w:pPr>
              <w:spacing w:after="0"/>
              <w:jc w:val="right"/>
              <w:rPr>
                <w:rFonts w:eastAsia="Times New Roman" w:cs="Times New Roman"/>
                <w:sz w:val="20"/>
                <w:szCs w:val="20"/>
                <w:lang w:val="sr-Cyrl-CS"/>
              </w:rPr>
            </w:pPr>
            <w:r w:rsidRPr="00092ED7">
              <w:rPr>
                <w:rFonts w:eastAsia="Times New Roman" w:cs="Times New Roman"/>
                <w:sz w:val="20"/>
                <w:szCs w:val="20"/>
                <w:lang w:val="sr-Cyrl-CS"/>
              </w:rPr>
              <w:t>:</w:t>
            </w:r>
          </w:p>
        </w:tc>
        <w:tc>
          <w:tcPr>
            <w:tcW w:w="451" w:type="pct"/>
            <w:gridSpan w:val="2"/>
            <w:tcBorders>
              <w:top w:val="nil"/>
              <w:left w:val="nil"/>
              <w:bottom w:val="single" w:sz="4" w:space="0" w:color="auto"/>
              <w:right w:val="dotted" w:sz="4" w:space="0" w:color="auto"/>
            </w:tcBorders>
            <w:shd w:val="clear" w:color="000000" w:fill="FFFFFF"/>
            <w:vAlign w:val="center"/>
          </w:tcPr>
          <w:p w14:paraId="35890CC7" w14:textId="77777777" w:rsidR="00247CBF" w:rsidRPr="00092ED7" w:rsidRDefault="00247CBF" w:rsidP="00247CBF">
            <w:pPr>
              <w:spacing w:after="0"/>
              <w:jc w:val="right"/>
              <w:rPr>
                <w:rFonts w:eastAsia="Times New Roman" w:cs="Times New Roman"/>
                <w:sz w:val="20"/>
                <w:szCs w:val="20"/>
                <w:lang w:val="sr-Cyrl-CS"/>
              </w:rPr>
            </w:pPr>
            <w:r w:rsidRPr="00092ED7">
              <w:rPr>
                <w:rFonts w:eastAsia="Times New Roman" w:cs="Times New Roman"/>
                <w:sz w:val="20"/>
                <w:szCs w:val="20"/>
                <w:lang w:val="sr-Cyrl-CS"/>
              </w:rPr>
              <w:t>:</w:t>
            </w:r>
          </w:p>
        </w:tc>
        <w:tc>
          <w:tcPr>
            <w:tcW w:w="451" w:type="pct"/>
            <w:gridSpan w:val="2"/>
            <w:tcBorders>
              <w:top w:val="nil"/>
              <w:left w:val="nil"/>
              <w:bottom w:val="single" w:sz="4" w:space="0" w:color="auto"/>
              <w:right w:val="double" w:sz="6" w:space="0" w:color="auto"/>
            </w:tcBorders>
            <w:shd w:val="clear" w:color="000000" w:fill="FFFFFF"/>
            <w:vAlign w:val="center"/>
          </w:tcPr>
          <w:p w14:paraId="65BC06DB" w14:textId="77777777" w:rsidR="00247CBF" w:rsidRPr="00092ED7" w:rsidRDefault="00247CBF" w:rsidP="00247CBF">
            <w:pPr>
              <w:spacing w:after="0"/>
              <w:jc w:val="right"/>
              <w:rPr>
                <w:rFonts w:eastAsia="Times New Roman" w:cs="Times New Roman"/>
                <w:sz w:val="20"/>
                <w:szCs w:val="20"/>
                <w:lang w:val="sr-Cyrl-CS"/>
              </w:rPr>
            </w:pPr>
            <w:r w:rsidRPr="00092ED7">
              <w:rPr>
                <w:rFonts w:eastAsia="Times New Roman" w:cs="Times New Roman"/>
                <w:sz w:val="20"/>
                <w:szCs w:val="20"/>
                <w:lang w:val="sr-Cyrl-CS"/>
              </w:rPr>
              <w:t>:</w:t>
            </w:r>
          </w:p>
        </w:tc>
      </w:tr>
      <w:tr w:rsidR="00247CBF" w:rsidRPr="00092ED7" w14:paraId="59CF75DD" w14:textId="77777777" w:rsidTr="00247CBF">
        <w:trPr>
          <w:gridBefore w:val="1"/>
          <w:wBefore w:w="8" w:type="pct"/>
          <w:trHeight w:val="227"/>
        </w:trPr>
        <w:tc>
          <w:tcPr>
            <w:tcW w:w="2317" w:type="pct"/>
            <w:tcBorders>
              <w:top w:val="nil"/>
              <w:left w:val="double" w:sz="6" w:space="0" w:color="auto"/>
              <w:bottom w:val="double" w:sz="4" w:space="0" w:color="auto"/>
              <w:right w:val="dotted" w:sz="4" w:space="0" w:color="auto"/>
            </w:tcBorders>
            <w:shd w:val="clear" w:color="auto" w:fill="auto"/>
            <w:noWrap/>
            <w:vAlign w:val="center"/>
          </w:tcPr>
          <w:p w14:paraId="7129016D" w14:textId="77777777" w:rsidR="00247CBF" w:rsidRPr="00092ED7" w:rsidRDefault="00247CBF" w:rsidP="00247CBF">
            <w:pPr>
              <w:spacing w:after="0"/>
              <w:jc w:val="left"/>
              <w:rPr>
                <w:rFonts w:eastAsia="Times New Roman" w:cs="Times New Roman"/>
                <w:b/>
                <w:bCs/>
                <w:sz w:val="20"/>
                <w:szCs w:val="20"/>
                <w:lang w:val="sr-Cyrl-CS"/>
              </w:rPr>
            </w:pPr>
            <w:r w:rsidRPr="00092ED7">
              <w:rPr>
                <w:rFonts w:eastAsia="Times New Roman" w:cs="Times New Roman"/>
                <w:sz w:val="20"/>
                <w:szCs w:val="20"/>
                <w:lang w:val="sr-Cyrl-CS"/>
              </w:rPr>
              <w:t xml:space="preserve">  7. Нето финансијски дуг (7 = 1 - 6)</w:t>
            </w:r>
          </w:p>
        </w:tc>
        <w:tc>
          <w:tcPr>
            <w:tcW w:w="416" w:type="pct"/>
            <w:gridSpan w:val="2"/>
            <w:tcBorders>
              <w:top w:val="nil"/>
              <w:left w:val="nil"/>
              <w:bottom w:val="double" w:sz="4" w:space="0" w:color="auto"/>
              <w:right w:val="single" w:sz="8" w:space="0" w:color="auto"/>
            </w:tcBorders>
            <w:shd w:val="clear" w:color="000000" w:fill="FFFFFF"/>
            <w:vAlign w:val="center"/>
          </w:tcPr>
          <w:p w14:paraId="4D28A0D1" w14:textId="77777777" w:rsidR="00247CBF" w:rsidRPr="00092ED7" w:rsidRDefault="00247CBF" w:rsidP="00247CBF">
            <w:pPr>
              <w:spacing w:after="0"/>
              <w:jc w:val="center"/>
              <w:rPr>
                <w:rFonts w:eastAsia="Times New Roman" w:cs="Times New Roman"/>
                <w:sz w:val="20"/>
                <w:szCs w:val="20"/>
                <w:lang w:val="sr-Cyrl-CS"/>
              </w:rPr>
            </w:pPr>
          </w:p>
        </w:tc>
        <w:tc>
          <w:tcPr>
            <w:tcW w:w="451" w:type="pct"/>
            <w:gridSpan w:val="2"/>
            <w:tcBorders>
              <w:top w:val="nil"/>
              <w:left w:val="nil"/>
              <w:bottom w:val="double" w:sz="4" w:space="0" w:color="auto"/>
              <w:right w:val="dotted" w:sz="4" w:space="0" w:color="auto"/>
            </w:tcBorders>
            <w:shd w:val="clear" w:color="000000" w:fill="FFFFFF"/>
            <w:vAlign w:val="center"/>
          </w:tcPr>
          <w:p w14:paraId="2AAE5342" w14:textId="77777777" w:rsidR="00247CBF" w:rsidRPr="00092ED7" w:rsidRDefault="00247CBF" w:rsidP="00247CBF">
            <w:pPr>
              <w:spacing w:after="0"/>
              <w:jc w:val="right"/>
              <w:rPr>
                <w:rFonts w:eastAsia="Times New Roman" w:cs="Times New Roman"/>
                <w:sz w:val="20"/>
                <w:szCs w:val="20"/>
                <w:lang w:val="sr-Cyrl-CS"/>
              </w:rPr>
            </w:pPr>
            <w:r w:rsidRPr="00092ED7">
              <w:rPr>
                <w:rFonts w:eastAsia="Times New Roman" w:cs="Times New Roman"/>
                <w:sz w:val="20"/>
                <w:szCs w:val="20"/>
                <w:lang w:val="sr-Cyrl-CS"/>
              </w:rPr>
              <w:t>:</w:t>
            </w:r>
          </w:p>
        </w:tc>
        <w:tc>
          <w:tcPr>
            <w:tcW w:w="451" w:type="pct"/>
            <w:gridSpan w:val="2"/>
            <w:tcBorders>
              <w:top w:val="nil"/>
              <w:left w:val="nil"/>
              <w:bottom w:val="double" w:sz="4" w:space="0" w:color="auto"/>
              <w:right w:val="dotted" w:sz="4" w:space="0" w:color="auto"/>
            </w:tcBorders>
            <w:shd w:val="clear" w:color="000000" w:fill="FFFFFF"/>
            <w:vAlign w:val="center"/>
          </w:tcPr>
          <w:p w14:paraId="7CBCE2F0" w14:textId="77777777" w:rsidR="00247CBF" w:rsidRPr="00092ED7" w:rsidRDefault="00247CBF" w:rsidP="00247CBF">
            <w:pPr>
              <w:spacing w:after="0"/>
              <w:jc w:val="right"/>
              <w:rPr>
                <w:rFonts w:eastAsia="Times New Roman" w:cs="Times New Roman"/>
                <w:sz w:val="20"/>
                <w:szCs w:val="20"/>
                <w:lang w:val="sr-Cyrl-CS"/>
              </w:rPr>
            </w:pPr>
            <w:r w:rsidRPr="00092ED7">
              <w:rPr>
                <w:rFonts w:eastAsia="Times New Roman" w:cs="Times New Roman"/>
                <w:sz w:val="20"/>
                <w:szCs w:val="20"/>
                <w:lang w:val="sr-Cyrl-CS"/>
              </w:rPr>
              <w:t>:</w:t>
            </w:r>
          </w:p>
        </w:tc>
        <w:tc>
          <w:tcPr>
            <w:tcW w:w="452" w:type="pct"/>
            <w:gridSpan w:val="2"/>
            <w:tcBorders>
              <w:top w:val="nil"/>
              <w:left w:val="nil"/>
              <w:bottom w:val="double" w:sz="4" w:space="0" w:color="auto"/>
              <w:right w:val="dotted" w:sz="4" w:space="0" w:color="auto"/>
            </w:tcBorders>
            <w:shd w:val="clear" w:color="000000" w:fill="FFFFFF"/>
            <w:vAlign w:val="center"/>
          </w:tcPr>
          <w:p w14:paraId="755B1AD4" w14:textId="77777777" w:rsidR="00247CBF" w:rsidRPr="00092ED7" w:rsidRDefault="00247CBF" w:rsidP="00247CBF">
            <w:pPr>
              <w:spacing w:after="0"/>
              <w:jc w:val="right"/>
              <w:rPr>
                <w:rFonts w:eastAsia="Times New Roman" w:cs="Times New Roman"/>
                <w:sz w:val="20"/>
                <w:szCs w:val="20"/>
                <w:lang w:val="sr-Cyrl-CS"/>
              </w:rPr>
            </w:pPr>
            <w:r w:rsidRPr="00092ED7">
              <w:rPr>
                <w:rFonts w:eastAsia="Times New Roman" w:cs="Times New Roman"/>
                <w:sz w:val="20"/>
                <w:szCs w:val="20"/>
                <w:lang w:val="sr-Cyrl-CS"/>
              </w:rPr>
              <w:t>:</w:t>
            </w:r>
          </w:p>
        </w:tc>
        <w:tc>
          <w:tcPr>
            <w:tcW w:w="451" w:type="pct"/>
            <w:gridSpan w:val="2"/>
            <w:tcBorders>
              <w:top w:val="nil"/>
              <w:left w:val="nil"/>
              <w:bottom w:val="double" w:sz="4" w:space="0" w:color="auto"/>
              <w:right w:val="dotted" w:sz="4" w:space="0" w:color="auto"/>
            </w:tcBorders>
            <w:shd w:val="clear" w:color="000000" w:fill="FFFFFF"/>
            <w:vAlign w:val="center"/>
          </w:tcPr>
          <w:p w14:paraId="43212AC8" w14:textId="77777777" w:rsidR="00247CBF" w:rsidRPr="00092ED7" w:rsidRDefault="00247CBF" w:rsidP="00247CBF">
            <w:pPr>
              <w:spacing w:after="0"/>
              <w:jc w:val="right"/>
              <w:rPr>
                <w:rFonts w:eastAsia="Times New Roman" w:cs="Times New Roman"/>
                <w:sz w:val="20"/>
                <w:szCs w:val="20"/>
                <w:lang w:val="sr-Cyrl-CS"/>
              </w:rPr>
            </w:pPr>
            <w:r w:rsidRPr="00092ED7">
              <w:rPr>
                <w:rFonts w:eastAsia="Times New Roman" w:cs="Times New Roman"/>
                <w:sz w:val="20"/>
                <w:szCs w:val="20"/>
                <w:lang w:val="sr-Cyrl-CS"/>
              </w:rPr>
              <w:t>:</w:t>
            </w:r>
          </w:p>
        </w:tc>
        <w:tc>
          <w:tcPr>
            <w:tcW w:w="451" w:type="pct"/>
            <w:gridSpan w:val="2"/>
            <w:tcBorders>
              <w:top w:val="nil"/>
              <w:left w:val="nil"/>
              <w:bottom w:val="double" w:sz="4" w:space="0" w:color="auto"/>
              <w:right w:val="double" w:sz="6" w:space="0" w:color="auto"/>
            </w:tcBorders>
            <w:shd w:val="clear" w:color="000000" w:fill="FFFFFF"/>
            <w:vAlign w:val="center"/>
          </w:tcPr>
          <w:p w14:paraId="6A73068E" w14:textId="77777777" w:rsidR="00247CBF" w:rsidRPr="00092ED7" w:rsidRDefault="00247CBF" w:rsidP="00247CBF">
            <w:pPr>
              <w:spacing w:after="0"/>
              <w:jc w:val="right"/>
              <w:rPr>
                <w:rFonts w:eastAsia="Times New Roman" w:cs="Times New Roman"/>
                <w:sz w:val="20"/>
                <w:szCs w:val="20"/>
                <w:lang w:val="sr-Cyrl-CS"/>
              </w:rPr>
            </w:pPr>
            <w:r w:rsidRPr="00092ED7">
              <w:rPr>
                <w:rFonts w:eastAsia="Times New Roman" w:cs="Times New Roman"/>
                <w:sz w:val="20"/>
                <w:szCs w:val="20"/>
                <w:lang w:val="sr-Cyrl-CS"/>
              </w:rPr>
              <w:t>:</w:t>
            </w:r>
          </w:p>
        </w:tc>
      </w:tr>
      <w:tr w:rsidR="00247CBF" w:rsidRPr="00092ED7" w14:paraId="45AA945E" w14:textId="77777777" w:rsidTr="00247CBF">
        <w:trPr>
          <w:gridAfter w:val="1"/>
          <w:wAfter w:w="51" w:type="pct"/>
          <w:trHeight w:val="199"/>
        </w:trPr>
        <w:tc>
          <w:tcPr>
            <w:tcW w:w="4949" w:type="pct"/>
            <w:gridSpan w:val="13"/>
            <w:tcBorders>
              <w:top w:val="nil"/>
              <w:left w:val="nil"/>
              <w:bottom w:val="nil"/>
              <w:right w:val="nil"/>
            </w:tcBorders>
            <w:shd w:val="clear" w:color="000000" w:fill="FFFFFF"/>
            <w:noWrap/>
            <w:vAlign w:val="center"/>
            <w:hideMark/>
          </w:tcPr>
          <w:p w14:paraId="06E977EE" w14:textId="77777777" w:rsidR="00247CBF" w:rsidRPr="00092ED7" w:rsidRDefault="00247CBF" w:rsidP="00247CBF">
            <w:pPr>
              <w:spacing w:after="0"/>
              <w:jc w:val="left"/>
              <w:rPr>
                <w:rFonts w:eastAsia="Times New Roman" w:cs="Times New Roman"/>
                <w:sz w:val="16"/>
                <w:szCs w:val="20"/>
                <w:lang w:val="sr-Cyrl-CS" w:eastAsia="sr-Cyrl-RS"/>
              </w:rPr>
            </w:pPr>
            <w:r w:rsidRPr="00092ED7">
              <w:rPr>
                <w:rFonts w:eastAsia="Times New Roman" w:cs="Times New Roman"/>
                <w:sz w:val="16"/>
                <w:szCs w:val="20"/>
                <w:lang w:val="sr-Cyrl-CS" w:eastAsia="sr-Cyrl-RS"/>
              </w:rPr>
              <w:lastRenderedPageBreak/>
              <w:t>[1]   Као што је дефинисано у Уредби 3605/93 (није појам из ESA).</w:t>
            </w:r>
          </w:p>
        </w:tc>
      </w:tr>
      <w:tr w:rsidR="00247CBF" w:rsidRPr="00092ED7" w14:paraId="7FF895FA" w14:textId="77777777" w:rsidTr="00247CBF">
        <w:trPr>
          <w:gridAfter w:val="1"/>
          <w:wAfter w:w="51" w:type="pct"/>
          <w:trHeight w:val="199"/>
        </w:trPr>
        <w:tc>
          <w:tcPr>
            <w:tcW w:w="4949" w:type="pct"/>
            <w:gridSpan w:val="13"/>
            <w:tcBorders>
              <w:top w:val="nil"/>
              <w:left w:val="nil"/>
              <w:bottom w:val="nil"/>
              <w:right w:val="nil"/>
            </w:tcBorders>
            <w:shd w:val="clear" w:color="000000" w:fill="FFFFFF"/>
            <w:noWrap/>
            <w:vAlign w:val="center"/>
            <w:hideMark/>
          </w:tcPr>
          <w:p w14:paraId="3C0AA8C0" w14:textId="77777777" w:rsidR="00247CBF" w:rsidRPr="00092ED7" w:rsidRDefault="00247CBF" w:rsidP="00247CBF">
            <w:pPr>
              <w:spacing w:after="0"/>
              <w:jc w:val="left"/>
              <w:rPr>
                <w:rFonts w:eastAsia="Times New Roman" w:cs="Times New Roman"/>
                <w:sz w:val="16"/>
                <w:szCs w:val="20"/>
                <w:lang w:val="sr-Cyrl-CS" w:eastAsia="sr-Cyrl-RS"/>
              </w:rPr>
            </w:pPr>
            <w:r w:rsidRPr="00092ED7">
              <w:rPr>
                <w:rFonts w:eastAsia="Times New Roman" w:cs="Times New Roman"/>
                <w:sz w:val="16"/>
                <w:szCs w:val="20"/>
                <w:lang w:val="sr-Cyrl-CS" w:eastAsia="sr-Cyrl-RS"/>
              </w:rPr>
              <w:t>[2]   Уп. ставку 10 у табели 2.</w:t>
            </w:r>
          </w:p>
        </w:tc>
      </w:tr>
      <w:tr w:rsidR="00247CBF" w:rsidRPr="00092ED7" w14:paraId="25D06934" w14:textId="77777777" w:rsidTr="00247CBF">
        <w:trPr>
          <w:gridAfter w:val="1"/>
          <w:wAfter w:w="51" w:type="pct"/>
          <w:trHeight w:val="199"/>
        </w:trPr>
        <w:tc>
          <w:tcPr>
            <w:tcW w:w="4949" w:type="pct"/>
            <w:gridSpan w:val="13"/>
            <w:tcBorders>
              <w:top w:val="nil"/>
              <w:left w:val="nil"/>
              <w:bottom w:val="nil"/>
              <w:right w:val="nil"/>
            </w:tcBorders>
            <w:shd w:val="clear" w:color="000000" w:fill="FFFFFF"/>
            <w:noWrap/>
            <w:vAlign w:val="center"/>
            <w:hideMark/>
          </w:tcPr>
          <w:p w14:paraId="7E9E9BEA" w14:textId="77777777" w:rsidR="00247CBF" w:rsidRPr="00092ED7" w:rsidRDefault="00247CBF" w:rsidP="00247CBF">
            <w:pPr>
              <w:spacing w:after="0"/>
              <w:jc w:val="left"/>
              <w:rPr>
                <w:rFonts w:eastAsia="Times New Roman" w:cs="Times New Roman"/>
                <w:sz w:val="16"/>
                <w:szCs w:val="20"/>
                <w:lang w:val="sr-Cyrl-CS" w:eastAsia="sr-Cyrl-RS"/>
              </w:rPr>
            </w:pPr>
            <w:r w:rsidRPr="00092ED7">
              <w:rPr>
                <w:rFonts w:eastAsia="Times New Roman" w:cs="Times New Roman"/>
                <w:sz w:val="16"/>
                <w:szCs w:val="20"/>
                <w:lang w:val="sr-Cyrl-CS" w:eastAsia="sr-Cyrl-RS"/>
              </w:rPr>
              <w:t>[3]   Уп. ставку 9 у табели 2.</w:t>
            </w:r>
          </w:p>
        </w:tc>
      </w:tr>
      <w:tr w:rsidR="00247CBF" w:rsidRPr="00092ED7" w14:paraId="64C67805" w14:textId="77777777" w:rsidTr="00247CBF">
        <w:trPr>
          <w:gridAfter w:val="1"/>
          <w:wAfter w:w="51" w:type="pct"/>
          <w:trHeight w:val="199"/>
        </w:trPr>
        <w:tc>
          <w:tcPr>
            <w:tcW w:w="4949" w:type="pct"/>
            <w:gridSpan w:val="13"/>
            <w:tcBorders>
              <w:top w:val="nil"/>
              <w:left w:val="nil"/>
              <w:bottom w:val="nil"/>
              <w:right w:val="nil"/>
            </w:tcBorders>
            <w:shd w:val="clear" w:color="000000" w:fill="FFFFFF"/>
            <w:noWrap/>
            <w:vAlign w:val="center"/>
            <w:hideMark/>
          </w:tcPr>
          <w:p w14:paraId="4760B9D8" w14:textId="77777777" w:rsidR="00247CBF" w:rsidRPr="00092ED7" w:rsidRDefault="00247CBF" w:rsidP="00247CBF">
            <w:pPr>
              <w:spacing w:after="0"/>
              <w:jc w:val="left"/>
              <w:rPr>
                <w:rFonts w:eastAsia="Times New Roman" w:cs="Times New Roman"/>
                <w:sz w:val="16"/>
                <w:szCs w:val="20"/>
                <w:lang w:val="sr-Cyrl-CS" w:eastAsia="sr-Cyrl-RS"/>
              </w:rPr>
            </w:pPr>
            <w:r w:rsidRPr="00092ED7">
              <w:rPr>
                <w:rFonts w:eastAsia="Times New Roman" w:cs="Times New Roman"/>
                <w:sz w:val="16"/>
                <w:szCs w:val="20"/>
                <w:lang w:val="sr-Cyrl-CS" w:eastAsia="sr-Cyrl-RS"/>
              </w:rPr>
              <w:t>[4]   Где је то релевантно, може се направити разлика између расхода на камату, других расхода и прихода.</w:t>
            </w:r>
          </w:p>
        </w:tc>
      </w:tr>
      <w:tr w:rsidR="00247CBF" w:rsidRPr="00092ED7" w14:paraId="2699D945" w14:textId="77777777" w:rsidTr="00247CBF">
        <w:trPr>
          <w:gridAfter w:val="1"/>
          <w:wAfter w:w="51" w:type="pct"/>
          <w:trHeight w:val="199"/>
        </w:trPr>
        <w:tc>
          <w:tcPr>
            <w:tcW w:w="4949" w:type="pct"/>
            <w:gridSpan w:val="13"/>
            <w:tcBorders>
              <w:top w:val="nil"/>
              <w:left w:val="nil"/>
              <w:bottom w:val="nil"/>
              <w:right w:val="nil"/>
            </w:tcBorders>
            <w:shd w:val="clear" w:color="000000" w:fill="FFFFFF"/>
            <w:noWrap/>
            <w:vAlign w:val="center"/>
            <w:hideMark/>
          </w:tcPr>
          <w:p w14:paraId="2CF74EE1" w14:textId="77777777" w:rsidR="00247CBF" w:rsidRPr="00092ED7" w:rsidRDefault="00247CBF" w:rsidP="00247CBF">
            <w:pPr>
              <w:spacing w:after="0"/>
              <w:jc w:val="left"/>
              <w:rPr>
                <w:rFonts w:eastAsia="Times New Roman" w:cs="Times New Roman"/>
                <w:sz w:val="16"/>
                <w:szCs w:val="20"/>
                <w:lang w:val="sr-Cyrl-CS" w:eastAsia="sr-Cyrl-RS"/>
              </w:rPr>
            </w:pPr>
            <w:r w:rsidRPr="00092ED7">
              <w:rPr>
                <w:rFonts w:eastAsia="Times New Roman" w:cs="Times New Roman"/>
                <w:sz w:val="16"/>
                <w:szCs w:val="20"/>
                <w:lang w:val="sr-Cyrl-CS" w:eastAsia="sr-Cyrl-RS"/>
              </w:rPr>
              <w:t>[5]   Где је то релевантно, може се направити разлика између ликвидних средстава, средстава у трећим државама, предузећа под контролом државе, и котираних и некотираних средстава.</w:t>
            </w:r>
          </w:p>
        </w:tc>
      </w:tr>
      <w:tr w:rsidR="00247CBF" w:rsidRPr="00092ED7" w14:paraId="2986A2F6" w14:textId="77777777" w:rsidTr="00247CBF">
        <w:trPr>
          <w:gridAfter w:val="1"/>
          <w:wAfter w:w="51" w:type="pct"/>
          <w:trHeight w:val="199"/>
        </w:trPr>
        <w:tc>
          <w:tcPr>
            <w:tcW w:w="4949" w:type="pct"/>
            <w:gridSpan w:val="13"/>
            <w:tcBorders>
              <w:top w:val="nil"/>
              <w:left w:val="nil"/>
              <w:bottom w:val="nil"/>
              <w:right w:val="nil"/>
            </w:tcBorders>
            <w:shd w:val="clear" w:color="000000" w:fill="FFFFFF"/>
            <w:noWrap/>
            <w:vAlign w:val="center"/>
            <w:hideMark/>
          </w:tcPr>
          <w:p w14:paraId="7730E323" w14:textId="77777777" w:rsidR="00247CBF" w:rsidRPr="00092ED7" w:rsidRDefault="00247CBF" w:rsidP="00247CBF">
            <w:pPr>
              <w:spacing w:after="0"/>
              <w:jc w:val="left"/>
              <w:rPr>
                <w:rFonts w:eastAsia="Times New Roman" w:cs="Times New Roman"/>
                <w:sz w:val="16"/>
                <w:szCs w:val="20"/>
                <w:lang w:val="sr-Cyrl-CS" w:eastAsia="sr-Cyrl-RS"/>
              </w:rPr>
            </w:pPr>
            <w:r w:rsidRPr="00092ED7">
              <w:rPr>
                <w:rFonts w:eastAsia="Times New Roman" w:cs="Times New Roman"/>
                <w:sz w:val="16"/>
                <w:szCs w:val="20"/>
                <w:lang w:val="sr-Cyrl-CS" w:eastAsia="sr-Cyrl-RS"/>
              </w:rPr>
              <w:t>[6]  Где је то релевантно, може се направити разлика између промена услед кретања девизног курса и операција на секундарном тржишту.</w:t>
            </w:r>
          </w:p>
        </w:tc>
      </w:tr>
      <w:tr w:rsidR="00247CBF" w:rsidRPr="00092ED7" w14:paraId="3AABFACA" w14:textId="77777777" w:rsidTr="00247CBF">
        <w:trPr>
          <w:gridAfter w:val="1"/>
          <w:wAfter w:w="51" w:type="pct"/>
          <w:trHeight w:val="199"/>
        </w:trPr>
        <w:tc>
          <w:tcPr>
            <w:tcW w:w="4949" w:type="pct"/>
            <w:gridSpan w:val="13"/>
            <w:tcBorders>
              <w:top w:val="nil"/>
              <w:left w:val="nil"/>
              <w:bottom w:val="nil"/>
              <w:right w:val="nil"/>
            </w:tcBorders>
            <w:shd w:val="clear" w:color="000000" w:fill="FFFFFF"/>
            <w:noWrap/>
            <w:vAlign w:val="center"/>
            <w:hideMark/>
          </w:tcPr>
          <w:p w14:paraId="2D268AEA" w14:textId="77777777" w:rsidR="00247CBF" w:rsidRPr="00092ED7" w:rsidRDefault="00247CBF" w:rsidP="00247CBF">
            <w:pPr>
              <w:spacing w:after="0"/>
              <w:jc w:val="left"/>
              <w:rPr>
                <w:rFonts w:eastAsia="Times New Roman" w:cs="Times New Roman"/>
                <w:sz w:val="16"/>
                <w:szCs w:val="20"/>
                <w:lang w:val="sr-Cyrl-CS" w:eastAsia="sr-Cyrl-RS"/>
              </w:rPr>
            </w:pPr>
            <w:r w:rsidRPr="00092ED7">
              <w:rPr>
                <w:rFonts w:eastAsia="Times New Roman" w:cs="Times New Roman"/>
                <w:sz w:val="16"/>
                <w:szCs w:val="20"/>
                <w:lang w:val="sr-Cyrl-CS" w:eastAsia="sr-Cyrl-RS"/>
              </w:rPr>
              <w:t>[7]   Као изведена мера се користе расходи на камате подељени са нивоом дуга из претходне године.</w:t>
            </w:r>
          </w:p>
        </w:tc>
      </w:tr>
      <w:tr w:rsidR="00247CBF" w:rsidRPr="00092ED7" w14:paraId="6F04289A" w14:textId="77777777" w:rsidTr="00247CBF">
        <w:trPr>
          <w:gridAfter w:val="1"/>
          <w:wAfter w:w="51" w:type="pct"/>
          <w:trHeight w:val="199"/>
        </w:trPr>
        <w:tc>
          <w:tcPr>
            <w:tcW w:w="4949" w:type="pct"/>
            <w:gridSpan w:val="13"/>
            <w:tcBorders>
              <w:top w:val="nil"/>
              <w:left w:val="nil"/>
              <w:bottom w:val="nil"/>
              <w:right w:val="nil"/>
            </w:tcBorders>
            <w:shd w:val="clear" w:color="000000" w:fill="FFFFFF"/>
            <w:noWrap/>
            <w:vAlign w:val="center"/>
            <w:hideMark/>
          </w:tcPr>
          <w:p w14:paraId="72C0F1AB" w14:textId="77777777" w:rsidR="00247CBF" w:rsidRPr="00092ED7" w:rsidRDefault="00247CBF" w:rsidP="00247CBF">
            <w:pPr>
              <w:spacing w:after="0"/>
              <w:jc w:val="left"/>
              <w:rPr>
                <w:rFonts w:eastAsia="Times New Roman" w:cs="Times New Roman"/>
                <w:sz w:val="16"/>
                <w:szCs w:val="20"/>
                <w:lang w:val="sr-Cyrl-CS" w:eastAsia="sr-Cyrl-RS"/>
              </w:rPr>
            </w:pPr>
            <w:r w:rsidRPr="00092ED7">
              <w:rPr>
                <w:rFonts w:eastAsia="Times New Roman" w:cs="Times New Roman"/>
                <w:sz w:val="16"/>
                <w:szCs w:val="20"/>
                <w:lang w:val="sr-Cyrl-CS" w:eastAsia="sr-Cyrl-RS"/>
              </w:rPr>
              <w:t>[8]   AF1, AF2, AF3 (консолидовани по тржишној вредности, AF5 (уколико су котирани на берзи; укључујући акције узајамних фондова).</w:t>
            </w:r>
          </w:p>
        </w:tc>
      </w:tr>
    </w:tbl>
    <w:p w14:paraId="0D9682FA" w14:textId="77777777" w:rsidR="00247CBF" w:rsidRPr="00092ED7" w:rsidRDefault="00247CBF" w:rsidP="00247CBF">
      <w:pPr>
        <w:rPr>
          <w:rFonts w:cs="Times New Roman"/>
          <w:lang w:val="sr-Cyrl-CS"/>
        </w:rPr>
      </w:pPr>
    </w:p>
    <w:p w14:paraId="622B5B01" w14:textId="77777777" w:rsidR="00247CBF" w:rsidRPr="00092ED7" w:rsidRDefault="00247CBF" w:rsidP="00247CBF">
      <w:pPr>
        <w:pStyle w:val="Heading3"/>
        <w:rPr>
          <w:rFonts w:ascii="Times New Roman" w:hAnsi="Times New Roman" w:cs="Times New Roman"/>
          <w:b/>
          <w:color w:val="auto"/>
          <w:sz w:val="20"/>
          <w:szCs w:val="20"/>
          <w:lang w:val="sr-Cyrl-CS"/>
        </w:rPr>
      </w:pPr>
      <w:bookmarkStart w:id="105" w:name="_Toc61953864"/>
      <w:bookmarkStart w:id="106" w:name="_Toc93386001"/>
      <w:bookmarkStart w:id="107" w:name="_Toc124174832"/>
      <w:r w:rsidRPr="00092ED7">
        <w:rPr>
          <w:rFonts w:ascii="Times New Roman" w:hAnsi="Times New Roman" w:cs="Times New Roman"/>
          <w:b/>
          <w:color w:val="auto"/>
          <w:sz w:val="20"/>
          <w:szCs w:val="20"/>
          <w:lang w:val="sr-Cyrl-CS"/>
        </w:rPr>
        <w:t>Табела 5: Циклична кретања</w:t>
      </w:r>
      <w:bookmarkEnd w:id="105"/>
      <w:bookmarkEnd w:id="106"/>
      <w:bookmarkEnd w:id="107"/>
    </w:p>
    <w:tbl>
      <w:tblPr>
        <w:tblW w:w="14524" w:type="dxa"/>
        <w:tblLayout w:type="fixed"/>
        <w:tblLook w:val="04A0" w:firstRow="1" w:lastRow="0" w:firstColumn="1" w:lastColumn="0" w:noHBand="0" w:noVBand="1"/>
      </w:tblPr>
      <w:tblGrid>
        <w:gridCol w:w="6538"/>
        <w:gridCol w:w="893"/>
        <w:gridCol w:w="1370"/>
        <w:gridCol w:w="1144"/>
        <w:gridCol w:w="1145"/>
        <w:gridCol w:w="1144"/>
        <w:gridCol w:w="1145"/>
        <w:gridCol w:w="1145"/>
      </w:tblGrid>
      <w:tr w:rsidR="00247CBF" w:rsidRPr="00092ED7" w14:paraId="7A1ADB21" w14:textId="77777777" w:rsidTr="00247CBF">
        <w:trPr>
          <w:trHeight w:val="227"/>
        </w:trPr>
        <w:tc>
          <w:tcPr>
            <w:tcW w:w="6538" w:type="dxa"/>
            <w:tcBorders>
              <w:top w:val="double" w:sz="6" w:space="0" w:color="auto"/>
              <w:left w:val="double" w:sz="6" w:space="0" w:color="auto"/>
              <w:bottom w:val="double" w:sz="6" w:space="0" w:color="auto"/>
              <w:right w:val="nil"/>
            </w:tcBorders>
            <w:shd w:val="clear" w:color="auto" w:fill="auto"/>
            <w:noWrap/>
            <w:vAlign w:val="center"/>
            <w:hideMark/>
          </w:tcPr>
          <w:p w14:paraId="344F1952" w14:textId="77777777" w:rsidR="00247CBF" w:rsidRPr="00092ED7" w:rsidRDefault="00247CBF" w:rsidP="00247CBF">
            <w:pPr>
              <w:spacing w:after="0"/>
              <w:rPr>
                <w:rFonts w:eastAsia="Times New Roman" w:cs="Times New Roman"/>
                <w:b/>
                <w:bCs/>
                <w:sz w:val="20"/>
                <w:szCs w:val="20"/>
                <w:lang w:val="sr-Cyrl-CS"/>
              </w:rPr>
            </w:pPr>
          </w:p>
        </w:tc>
        <w:tc>
          <w:tcPr>
            <w:tcW w:w="893" w:type="dxa"/>
            <w:tcBorders>
              <w:top w:val="double" w:sz="6" w:space="0" w:color="auto"/>
              <w:left w:val="single" w:sz="8" w:space="0" w:color="auto"/>
              <w:bottom w:val="double" w:sz="6" w:space="0" w:color="auto"/>
              <w:right w:val="nil"/>
            </w:tcBorders>
            <w:shd w:val="clear" w:color="auto" w:fill="auto"/>
            <w:noWrap/>
            <w:vAlign w:val="center"/>
            <w:hideMark/>
          </w:tcPr>
          <w:p w14:paraId="598B1E1A"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1370" w:type="dxa"/>
            <w:tcBorders>
              <w:top w:val="double" w:sz="6" w:space="0" w:color="auto"/>
              <w:left w:val="nil"/>
              <w:bottom w:val="double" w:sz="6" w:space="0" w:color="auto"/>
              <w:right w:val="single" w:sz="8" w:space="0" w:color="auto"/>
            </w:tcBorders>
            <w:shd w:val="clear" w:color="auto" w:fill="auto"/>
            <w:noWrap/>
            <w:vAlign w:val="center"/>
            <w:hideMark/>
          </w:tcPr>
          <w:p w14:paraId="490EB7F1"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1144" w:type="dxa"/>
            <w:tcBorders>
              <w:top w:val="double" w:sz="6" w:space="0" w:color="auto"/>
              <w:left w:val="nil"/>
              <w:bottom w:val="double" w:sz="6" w:space="0" w:color="auto"/>
              <w:right w:val="dashed" w:sz="4" w:space="0" w:color="auto"/>
            </w:tcBorders>
            <w:shd w:val="clear" w:color="auto" w:fill="auto"/>
            <w:noWrap/>
            <w:vAlign w:val="center"/>
            <w:hideMark/>
          </w:tcPr>
          <w:p w14:paraId="54B372FD" w14:textId="77777777" w:rsidR="00247CBF" w:rsidRPr="00092ED7" w:rsidRDefault="00247CBF" w:rsidP="00247CBF">
            <w:pPr>
              <w:spacing w:after="0"/>
              <w:jc w:val="center"/>
              <w:rPr>
                <w:b/>
                <w:bCs/>
                <w:sz w:val="20"/>
                <w:szCs w:val="20"/>
                <w:lang w:val="sr-Cyrl-CS"/>
              </w:rPr>
            </w:pPr>
            <w:r w:rsidRPr="00092ED7">
              <w:rPr>
                <w:b/>
                <w:bCs/>
                <w:sz w:val="20"/>
                <w:szCs w:val="20"/>
                <w:lang w:val="sr-Cyrl-CS"/>
              </w:rPr>
              <w:t>2021</w:t>
            </w:r>
          </w:p>
        </w:tc>
        <w:tc>
          <w:tcPr>
            <w:tcW w:w="1145" w:type="dxa"/>
            <w:tcBorders>
              <w:top w:val="double" w:sz="6" w:space="0" w:color="auto"/>
              <w:left w:val="nil"/>
              <w:bottom w:val="double" w:sz="6" w:space="0" w:color="auto"/>
              <w:right w:val="dashed" w:sz="4" w:space="0" w:color="auto"/>
            </w:tcBorders>
            <w:shd w:val="clear" w:color="auto" w:fill="auto"/>
            <w:noWrap/>
            <w:vAlign w:val="center"/>
            <w:hideMark/>
          </w:tcPr>
          <w:p w14:paraId="034F36F8" w14:textId="77777777" w:rsidR="00247CBF" w:rsidRPr="00092ED7" w:rsidRDefault="00247CBF" w:rsidP="00247CBF">
            <w:pPr>
              <w:spacing w:after="0"/>
              <w:jc w:val="center"/>
              <w:rPr>
                <w:b/>
                <w:bCs/>
                <w:sz w:val="20"/>
                <w:szCs w:val="20"/>
                <w:lang w:val="sr-Cyrl-CS"/>
              </w:rPr>
            </w:pPr>
            <w:r w:rsidRPr="00092ED7">
              <w:rPr>
                <w:b/>
                <w:bCs/>
                <w:sz w:val="20"/>
                <w:szCs w:val="20"/>
                <w:lang w:val="sr-Cyrl-CS"/>
              </w:rPr>
              <w:t>2022</w:t>
            </w:r>
          </w:p>
        </w:tc>
        <w:tc>
          <w:tcPr>
            <w:tcW w:w="1144" w:type="dxa"/>
            <w:tcBorders>
              <w:top w:val="double" w:sz="6" w:space="0" w:color="auto"/>
              <w:left w:val="nil"/>
              <w:bottom w:val="double" w:sz="6" w:space="0" w:color="auto"/>
              <w:right w:val="dashed" w:sz="4" w:space="0" w:color="auto"/>
            </w:tcBorders>
            <w:shd w:val="clear" w:color="auto" w:fill="auto"/>
            <w:noWrap/>
            <w:vAlign w:val="center"/>
            <w:hideMark/>
          </w:tcPr>
          <w:p w14:paraId="10FC8085" w14:textId="77777777" w:rsidR="00247CBF" w:rsidRPr="00092ED7" w:rsidRDefault="00247CBF" w:rsidP="00247CBF">
            <w:pPr>
              <w:spacing w:after="0"/>
              <w:jc w:val="center"/>
              <w:rPr>
                <w:b/>
                <w:bCs/>
                <w:sz w:val="20"/>
                <w:szCs w:val="20"/>
                <w:lang w:val="sr-Cyrl-CS"/>
              </w:rPr>
            </w:pPr>
            <w:r w:rsidRPr="00092ED7">
              <w:rPr>
                <w:b/>
                <w:bCs/>
                <w:sz w:val="20"/>
                <w:szCs w:val="20"/>
                <w:lang w:val="sr-Cyrl-CS"/>
              </w:rPr>
              <w:t>2023</w:t>
            </w:r>
          </w:p>
        </w:tc>
        <w:tc>
          <w:tcPr>
            <w:tcW w:w="1145" w:type="dxa"/>
            <w:tcBorders>
              <w:top w:val="double" w:sz="6" w:space="0" w:color="auto"/>
              <w:left w:val="nil"/>
              <w:bottom w:val="double" w:sz="6" w:space="0" w:color="auto"/>
              <w:right w:val="dashed" w:sz="4" w:space="0" w:color="auto"/>
            </w:tcBorders>
            <w:shd w:val="clear" w:color="auto" w:fill="auto"/>
            <w:noWrap/>
            <w:vAlign w:val="center"/>
            <w:hideMark/>
          </w:tcPr>
          <w:p w14:paraId="41DB192E" w14:textId="77777777" w:rsidR="00247CBF" w:rsidRPr="00092ED7" w:rsidRDefault="00247CBF" w:rsidP="00247CBF">
            <w:pPr>
              <w:spacing w:after="0"/>
              <w:jc w:val="center"/>
              <w:rPr>
                <w:b/>
                <w:bCs/>
                <w:sz w:val="20"/>
                <w:szCs w:val="20"/>
                <w:lang w:val="sr-Cyrl-CS"/>
              </w:rPr>
            </w:pPr>
            <w:r w:rsidRPr="00092ED7">
              <w:rPr>
                <w:b/>
                <w:bCs/>
                <w:sz w:val="20"/>
                <w:szCs w:val="20"/>
                <w:lang w:val="sr-Cyrl-CS"/>
              </w:rPr>
              <w:t>2024</w:t>
            </w:r>
          </w:p>
        </w:tc>
        <w:tc>
          <w:tcPr>
            <w:tcW w:w="1145" w:type="dxa"/>
            <w:tcBorders>
              <w:top w:val="double" w:sz="6" w:space="0" w:color="auto"/>
              <w:left w:val="nil"/>
              <w:bottom w:val="double" w:sz="6" w:space="0" w:color="auto"/>
              <w:right w:val="double" w:sz="6" w:space="0" w:color="auto"/>
            </w:tcBorders>
            <w:shd w:val="clear" w:color="auto" w:fill="auto"/>
            <w:noWrap/>
            <w:vAlign w:val="center"/>
            <w:hideMark/>
          </w:tcPr>
          <w:p w14:paraId="0D61C04C" w14:textId="77777777" w:rsidR="00247CBF" w:rsidRPr="00092ED7" w:rsidRDefault="00247CBF" w:rsidP="00247CBF">
            <w:pPr>
              <w:spacing w:after="0"/>
              <w:jc w:val="center"/>
              <w:rPr>
                <w:b/>
                <w:bCs/>
                <w:sz w:val="20"/>
                <w:szCs w:val="20"/>
                <w:lang w:val="sr-Cyrl-CS"/>
              </w:rPr>
            </w:pPr>
            <w:r w:rsidRPr="00092ED7">
              <w:rPr>
                <w:b/>
                <w:bCs/>
                <w:sz w:val="20"/>
                <w:szCs w:val="20"/>
                <w:lang w:val="sr-Cyrl-CS"/>
              </w:rPr>
              <w:t>2025</w:t>
            </w:r>
          </w:p>
        </w:tc>
      </w:tr>
      <w:tr w:rsidR="00247CBF" w:rsidRPr="00092ED7" w14:paraId="3CC49166" w14:textId="77777777" w:rsidTr="00247CBF">
        <w:trPr>
          <w:trHeight w:val="227"/>
        </w:trPr>
        <w:tc>
          <w:tcPr>
            <w:tcW w:w="6538" w:type="dxa"/>
            <w:tcBorders>
              <w:top w:val="dotted" w:sz="4" w:space="0" w:color="000000"/>
              <w:left w:val="double" w:sz="6" w:space="0" w:color="000000"/>
              <w:bottom w:val="dotted" w:sz="4" w:space="0" w:color="000000"/>
              <w:right w:val="nil"/>
            </w:tcBorders>
            <w:shd w:val="clear" w:color="auto" w:fill="auto"/>
            <w:vAlign w:val="center"/>
            <w:hideMark/>
          </w:tcPr>
          <w:p w14:paraId="735571AD" w14:textId="77777777" w:rsidR="00247CBF" w:rsidRPr="00092ED7" w:rsidRDefault="00247CBF" w:rsidP="00247CBF">
            <w:pPr>
              <w:spacing w:after="0"/>
              <w:ind w:firstLineChars="100" w:firstLine="200"/>
              <w:jc w:val="left"/>
              <w:rPr>
                <w:rFonts w:eastAsia="Times New Roman" w:cs="Times New Roman"/>
                <w:sz w:val="20"/>
                <w:szCs w:val="20"/>
                <w:lang w:val="sr-Cyrl-CS"/>
              </w:rPr>
            </w:pPr>
            <w:r w:rsidRPr="00092ED7">
              <w:rPr>
                <w:rFonts w:eastAsia="Times New Roman" w:cs="Times New Roman"/>
                <w:sz w:val="20"/>
                <w:szCs w:val="20"/>
                <w:lang w:val="sr-Cyrl-CS"/>
              </w:rPr>
              <w:t>4. Једнократне и друге привремене мере [1]</w:t>
            </w:r>
          </w:p>
        </w:tc>
        <w:tc>
          <w:tcPr>
            <w:tcW w:w="2263" w:type="dxa"/>
            <w:gridSpan w:val="2"/>
            <w:tcBorders>
              <w:top w:val="double" w:sz="6" w:space="0" w:color="auto"/>
              <w:left w:val="single" w:sz="8" w:space="0" w:color="000000"/>
              <w:bottom w:val="dotted" w:sz="4" w:space="0" w:color="000000"/>
              <w:right w:val="single" w:sz="8" w:space="0" w:color="000000"/>
            </w:tcBorders>
            <w:shd w:val="clear" w:color="auto" w:fill="auto"/>
            <w:noWrap/>
            <w:vAlign w:val="bottom"/>
            <w:hideMark/>
          </w:tcPr>
          <w:p w14:paraId="2FF7013F" w14:textId="77777777" w:rsidR="00247CBF" w:rsidRPr="00092ED7" w:rsidRDefault="00247CBF" w:rsidP="00247CBF">
            <w:pPr>
              <w:spacing w:after="0"/>
              <w:jc w:val="center"/>
              <w:rPr>
                <w:rFonts w:eastAsia="Times New Roman" w:cs="Times New Roman"/>
                <w:sz w:val="16"/>
                <w:szCs w:val="16"/>
                <w:lang w:val="sr-Cyrl-CS"/>
              </w:rPr>
            </w:pPr>
            <w:r w:rsidRPr="00092ED7">
              <w:rPr>
                <w:rFonts w:eastAsia="Times New Roman" w:cs="Times New Roman"/>
                <w:sz w:val="16"/>
                <w:szCs w:val="16"/>
                <w:lang w:val="sr-Cyrl-CS"/>
              </w:rPr>
              <w:t>% БДП</w:t>
            </w:r>
          </w:p>
        </w:tc>
        <w:tc>
          <w:tcPr>
            <w:tcW w:w="1144" w:type="dxa"/>
            <w:tcBorders>
              <w:top w:val="dotted" w:sz="4" w:space="0" w:color="000000"/>
              <w:left w:val="nil"/>
              <w:bottom w:val="dotted" w:sz="4" w:space="0" w:color="000000"/>
              <w:right w:val="dotted" w:sz="4" w:space="0" w:color="000000"/>
            </w:tcBorders>
            <w:shd w:val="clear" w:color="auto" w:fill="auto"/>
            <w:vAlign w:val="center"/>
            <w:hideMark/>
          </w:tcPr>
          <w:p w14:paraId="31F78A0E" w14:textId="77777777" w:rsidR="00247CBF" w:rsidRPr="00092ED7" w:rsidRDefault="00247CBF" w:rsidP="00247CBF">
            <w:pPr>
              <w:spacing w:after="0"/>
              <w:jc w:val="center"/>
              <w:rPr>
                <w:sz w:val="20"/>
                <w:szCs w:val="20"/>
                <w:lang w:val="sr-Cyrl-CS"/>
              </w:rPr>
            </w:pPr>
            <w:r w:rsidRPr="00092ED7">
              <w:rPr>
                <w:sz w:val="20"/>
                <w:szCs w:val="20"/>
                <w:lang w:val="sr-Cyrl-CS"/>
              </w:rPr>
              <w:t>-4,1</w:t>
            </w:r>
          </w:p>
        </w:tc>
        <w:tc>
          <w:tcPr>
            <w:tcW w:w="1145" w:type="dxa"/>
            <w:tcBorders>
              <w:top w:val="dotted" w:sz="4" w:space="0" w:color="000000"/>
              <w:left w:val="nil"/>
              <w:bottom w:val="dotted" w:sz="4" w:space="0" w:color="000000"/>
              <w:right w:val="dotted" w:sz="4" w:space="0" w:color="000000"/>
            </w:tcBorders>
            <w:shd w:val="clear" w:color="auto" w:fill="auto"/>
            <w:vAlign w:val="center"/>
            <w:hideMark/>
          </w:tcPr>
          <w:p w14:paraId="00780F76" w14:textId="77777777" w:rsidR="00247CBF" w:rsidRPr="00092ED7" w:rsidRDefault="00247CBF" w:rsidP="00247CBF">
            <w:pPr>
              <w:spacing w:after="0"/>
              <w:jc w:val="center"/>
              <w:rPr>
                <w:sz w:val="20"/>
                <w:szCs w:val="20"/>
                <w:lang w:val="sr-Cyrl-CS"/>
              </w:rPr>
            </w:pPr>
            <w:r w:rsidRPr="00092ED7">
              <w:rPr>
                <w:sz w:val="20"/>
                <w:szCs w:val="20"/>
                <w:lang w:val="sr-Cyrl-CS"/>
              </w:rPr>
              <w:t>-2,9</w:t>
            </w:r>
          </w:p>
        </w:tc>
        <w:tc>
          <w:tcPr>
            <w:tcW w:w="1144" w:type="dxa"/>
            <w:tcBorders>
              <w:top w:val="dotted" w:sz="4" w:space="0" w:color="000000"/>
              <w:left w:val="nil"/>
              <w:bottom w:val="dotted" w:sz="4" w:space="0" w:color="000000"/>
              <w:right w:val="dotted" w:sz="4" w:space="0" w:color="000000"/>
            </w:tcBorders>
            <w:shd w:val="clear" w:color="auto" w:fill="auto"/>
            <w:vAlign w:val="center"/>
            <w:hideMark/>
          </w:tcPr>
          <w:p w14:paraId="18F5C337" w14:textId="77777777" w:rsidR="00247CBF" w:rsidRPr="00092ED7" w:rsidRDefault="00247CBF" w:rsidP="00247CBF">
            <w:pPr>
              <w:spacing w:after="0"/>
              <w:jc w:val="center"/>
              <w:rPr>
                <w:sz w:val="20"/>
                <w:szCs w:val="20"/>
                <w:lang w:val="sr-Cyrl-CS"/>
              </w:rPr>
            </w:pPr>
            <w:r w:rsidRPr="00092ED7">
              <w:rPr>
                <w:sz w:val="20"/>
                <w:szCs w:val="20"/>
                <w:lang w:val="sr-Cyrl-CS"/>
              </w:rPr>
              <w:t>-1,6</w:t>
            </w:r>
          </w:p>
        </w:tc>
        <w:tc>
          <w:tcPr>
            <w:tcW w:w="1145" w:type="dxa"/>
            <w:tcBorders>
              <w:top w:val="dotted" w:sz="4" w:space="0" w:color="000000"/>
              <w:left w:val="nil"/>
              <w:bottom w:val="dotted" w:sz="4" w:space="0" w:color="000000"/>
              <w:right w:val="dotted" w:sz="4" w:space="0" w:color="000000"/>
            </w:tcBorders>
            <w:shd w:val="clear" w:color="auto" w:fill="auto"/>
            <w:vAlign w:val="center"/>
            <w:hideMark/>
          </w:tcPr>
          <w:p w14:paraId="274EC1F1" w14:textId="77777777" w:rsidR="00247CBF" w:rsidRPr="00092ED7" w:rsidRDefault="00247CBF" w:rsidP="00247CBF">
            <w:pPr>
              <w:spacing w:after="0"/>
              <w:jc w:val="center"/>
              <w:rPr>
                <w:sz w:val="20"/>
                <w:szCs w:val="20"/>
                <w:lang w:val="sr-Cyrl-CS"/>
              </w:rPr>
            </w:pPr>
            <w:r w:rsidRPr="00092ED7">
              <w:rPr>
                <w:sz w:val="20"/>
                <w:szCs w:val="20"/>
                <w:lang w:val="sr-Cyrl-CS"/>
              </w:rPr>
              <w:t>0,0</w:t>
            </w:r>
          </w:p>
        </w:tc>
        <w:tc>
          <w:tcPr>
            <w:tcW w:w="1145" w:type="dxa"/>
            <w:tcBorders>
              <w:top w:val="dotted" w:sz="4" w:space="0" w:color="000000"/>
              <w:left w:val="nil"/>
              <w:bottom w:val="dotted" w:sz="4" w:space="0" w:color="000000"/>
              <w:right w:val="double" w:sz="6" w:space="0" w:color="000000"/>
            </w:tcBorders>
            <w:shd w:val="clear" w:color="auto" w:fill="auto"/>
            <w:vAlign w:val="center"/>
            <w:hideMark/>
          </w:tcPr>
          <w:p w14:paraId="1372F8EE" w14:textId="77777777" w:rsidR="00247CBF" w:rsidRPr="00092ED7" w:rsidRDefault="00247CBF" w:rsidP="00247CBF">
            <w:pPr>
              <w:spacing w:after="0"/>
              <w:jc w:val="center"/>
              <w:rPr>
                <w:sz w:val="20"/>
                <w:szCs w:val="20"/>
                <w:lang w:val="sr-Cyrl-CS"/>
              </w:rPr>
            </w:pPr>
            <w:r w:rsidRPr="00092ED7">
              <w:rPr>
                <w:sz w:val="20"/>
                <w:szCs w:val="20"/>
                <w:lang w:val="sr-Cyrl-CS"/>
              </w:rPr>
              <w:t>0,0</w:t>
            </w:r>
          </w:p>
        </w:tc>
      </w:tr>
      <w:tr w:rsidR="00247CBF" w:rsidRPr="00092ED7" w14:paraId="1EAD6DD3" w14:textId="77777777" w:rsidTr="00247CBF">
        <w:trPr>
          <w:trHeight w:val="227"/>
        </w:trPr>
        <w:tc>
          <w:tcPr>
            <w:tcW w:w="6538" w:type="dxa"/>
            <w:tcBorders>
              <w:top w:val="nil"/>
              <w:left w:val="double" w:sz="6" w:space="0" w:color="000000"/>
              <w:bottom w:val="single" w:sz="4" w:space="0" w:color="auto"/>
              <w:right w:val="nil"/>
            </w:tcBorders>
            <w:shd w:val="clear" w:color="auto" w:fill="auto"/>
            <w:vAlign w:val="center"/>
            <w:hideMark/>
          </w:tcPr>
          <w:p w14:paraId="5C0ACA76" w14:textId="77777777" w:rsidR="00247CBF" w:rsidRPr="00092ED7" w:rsidRDefault="00247CBF" w:rsidP="00247CBF">
            <w:pPr>
              <w:spacing w:after="0"/>
              <w:ind w:firstLineChars="100" w:firstLine="200"/>
              <w:jc w:val="left"/>
              <w:rPr>
                <w:rFonts w:eastAsia="Times New Roman" w:cs="Times New Roman"/>
                <w:sz w:val="20"/>
                <w:szCs w:val="20"/>
                <w:lang w:val="sr-Cyrl-CS"/>
              </w:rPr>
            </w:pPr>
            <w:r w:rsidRPr="00092ED7">
              <w:rPr>
                <w:rFonts w:eastAsia="Times New Roman" w:cs="Times New Roman"/>
                <w:sz w:val="20"/>
                <w:szCs w:val="20"/>
                <w:lang w:val="sr-Cyrl-CS"/>
              </w:rPr>
              <w:t xml:space="preserve">5. Потенцијални раст БДП-а </w:t>
            </w:r>
          </w:p>
        </w:tc>
        <w:tc>
          <w:tcPr>
            <w:tcW w:w="2263" w:type="dxa"/>
            <w:gridSpan w:val="2"/>
            <w:tcBorders>
              <w:top w:val="dotted" w:sz="4" w:space="0" w:color="000000"/>
              <w:left w:val="single" w:sz="8" w:space="0" w:color="000000"/>
              <w:bottom w:val="single" w:sz="4" w:space="0" w:color="auto"/>
              <w:right w:val="single" w:sz="8" w:space="0" w:color="000000"/>
            </w:tcBorders>
            <w:shd w:val="clear" w:color="auto" w:fill="auto"/>
            <w:noWrap/>
            <w:vAlign w:val="bottom"/>
            <w:hideMark/>
          </w:tcPr>
          <w:p w14:paraId="2505EF47"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 мг</w:t>
            </w:r>
          </w:p>
        </w:tc>
        <w:tc>
          <w:tcPr>
            <w:tcW w:w="1144" w:type="dxa"/>
            <w:tcBorders>
              <w:top w:val="nil"/>
              <w:left w:val="nil"/>
              <w:bottom w:val="single" w:sz="4" w:space="0" w:color="auto"/>
              <w:right w:val="dotted" w:sz="4" w:space="0" w:color="000000"/>
            </w:tcBorders>
            <w:shd w:val="clear" w:color="auto" w:fill="auto"/>
            <w:vAlign w:val="center"/>
            <w:hideMark/>
          </w:tcPr>
          <w:p w14:paraId="6FB94B89" w14:textId="77777777" w:rsidR="00247CBF" w:rsidRPr="00092ED7" w:rsidRDefault="00247CBF" w:rsidP="00247CBF">
            <w:pPr>
              <w:spacing w:after="0"/>
              <w:jc w:val="center"/>
              <w:rPr>
                <w:sz w:val="20"/>
                <w:szCs w:val="20"/>
                <w:lang w:val="sr-Cyrl-CS"/>
              </w:rPr>
            </w:pPr>
            <w:r w:rsidRPr="00092ED7">
              <w:rPr>
                <w:sz w:val="20"/>
                <w:szCs w:val="20"/>
                <w:lang w:val="sr-Cyrl-CS"/>
              </w:rPr>
              <w:t>3,5</w:t>
            </w:r>
          </w:p>
        </w:tc>
        <w:tc>
          <w:tcPr>
            <w:tcW w:w="1145" w:type="dxa"/>
            <w:tcBorders>
              <w:top w:val="nil"/>
              <w:left w:val="nil"/>
              <w:bottom w:val="single" w:sz="4" w:space="0" w:color="auto"/>
              <w:right w:val="dotted" w:sz="4" w:space="0" w:color="000000"/>
            </w:tcBorders>
            <w:shd w:val="clear" w:color="auto" w:fill="auto"/>
            <w:vAlign w:val="center"/>
            <w:hideMark/>
          </w:tcPr>
          <w:p w14:paraId="3293B152" w14:textId="77777777" w:rsidR="00247CBF" w:rsidRPr="00092ED7" w:rsidRDefault="00247CBF" w:rsidP="00247CBF">
            <w:pPr>
              <w:spacing w:after="0"/>
              <w:jc w:val="center"/>
              <w:rPr>
                <w:sz w:val="20"/>
                <w:szCs w:val="20"/>
                <w:lang w:val="sr-Cyrl-CS"/>
              </w:rPr>
            </w:pPr>
            <w:r w:rsidRPr="00092ED7">
              <w:rPr>
                <w:sz w:val="20"/>
                <w:szCs w:val="20"/>
                <w:lang w:val="sr-Cyrl-CS"/>
              </w:rPr>
              <w:t>3,6</w:t>
            </w:r>
          </w:p>
        </w:tc>
        <w:tc>
          <w:tcPr>
            <w:tcW w:w="1144" w:type="dxa"/>
            <w:tcBorders>
              <w:top w:val="nil"/>
              <w:left w:val="nil"/>
              <w:bottom w:val="single" w:sz="4" w:space="0" w:color="auto"/>
              <w:right w:val="dotted" w:sz="4" w:space="0" w:color="000000"/>
            </w:tcBorders>
            <w:shd w:val="clear" w:color="auto" w:fill="auto"/>
            <w:vAlign w:val="center"/>
            <w:hideMark/>
          </w:tcPr>
          <w:p w14:paraId="670655A7" w14:textId="77777777" w:rsidR="00247CBF" w:rsidRPr="00092ED7" w:rsidRDefault="00247CBF" w:rsidP="00247CBF">
            <w:pPr>
              <w:spacing w:after="0"/>
              <w:jc w:val="center"/>
              <w:rPr>
                <w:sz w:val="20"/>
                <w:szCs w:val="20"/>
                <w:lang w:val="sr-Cyrl-CS"/>
              </w:rPr>
            </w:pPr>
            <w:r w:rsidRPr="00092ED7">
              <w:rPr>
                <w:sz w:val="20"/>
                <w:szCs w:val="20"/>
                <w:lang w:val="sr-Cyrl-CS"/>
              </w:rPr>
              <w:t>3,6</w:t>
            </w:r>
          </w:p>
        </w:tc>
        <w:tc>
          <w:tcPr>
            <w:tcW w:w="1145" w:type="dxa"/>
            <w:tcBorders>
              <w:top w:val="nil"/>
              <w:left w:val="nil"/>
              <w:bottom w:val="single" w:sz="4" w:space="0" w:color="auto"/>
              <w:right w:val="dotted" w:sz="4" w:space="0" w:color="000000"/>
            </w:tcBorders>
            <w:shd w:val="clear" w:color="auto" w:fill="auto"/>
            <w:vAlign w:val="center"/>
            <w:hideMark/>
          </w:tcPr>
          <w:p w14:paraId="7910D0B7" w14:textId="77777777" w:rsidR="00247CBF" w:rsidRPr="00092ED7" w:rsidRDefault="00247CBF" w:rsidP="00247CBF">
            <w:pPr>
              <w:spacing w:after="0"/>
              <w:jc w:val="center"/>
              <w:rPr>
                <w:sz w:val="20"/>
                <w:szCs w:val="20"/>
                <w:lang w:val="sr-Cyrl-CS"/>
              </w:rPr>
            </w:pPr>
            <w:r w:rsidRPr="00092ED7">
              <w:rPr>
                <w:sz w:val="20"/>
                <w:szCs w:val="20"/>
                <w:lang w:val="sr-Cyrl-CS"/>
              </w:rPr>
              <w:t>3,7</w:t>
            </w:r>
          </w:p>
        </w:tc>
        <w:tc>
          <w:tcPr>
            <w:tcW w:w="1145" w:type="dxa"/>
            <w:tcBorders>
              <w:top w:val="nil"/>
              <w:left w:val="nil"/>
              <w:bottom w:val="single" w:sz="4" w:space="0" w:color="auto"/>
              <w:right w:val="double" w:sz="6" w:space="0" w:color="000000"/>
            </w:tcBorders>
            <w:shd w:val="clear" w:color="auto" w:fill="auto"/>
            <w:vAlign w:val="center"/>
            <w:hideMark/>
          </w:tcPr>
          <w:p w14:paraId="1523EFA6" w14:textId="77777777" w:rsidR="00247CBF" w:rsidRPr="00092ED7" w:rsidRDefault="00247CBF" w:rsidP="00247CBF">
            <w:pPr>
              <w:spacing w:after="0"/>
              <w:jc w:val="center"/>
              <w:rPr>
                <w:sz w:val="20"/>
                <w:szCs w:val="20"/>
                <w:lang w:val="sr-Cyrl-CS"/>
              </w:rPr>
            </w:pPr>
            <w:r w:rsidRPr="00092ED7">
              <w:rPr>
                <w:sz w:val="20"/>
                <w:szCs w:val="20"/>
                <w:lang w:val="sr-Cyrl-CS"/>
              </w:rPr>
              <w:t>3,8</w:t>
            </w:r>
          </w:p>
        </w:tc>
      </w:tr>
      <w:tr w:rsidR="00247CBF" w:rsidRPr="00092ED7" w14:paraId="35DBCC1C" w14:textId="77777777" w:rsidTr="00247CBF">
        <w:trPr>
          <w:trHeight w:val="102"/>
        </w:trPr>
        <w:tc>
          <w:tcPr>
            <w:tcW w:w="6538" w:type="dxa"/>
            <w:tcBorders>
              <w:top w:val="nil"/>
              <w:left w:val="double" w:sz="6" w:space="0" w:color="000000"/>
              <w:bottom w:val="single" w:sz="4" w:space="0" w:color="000000"/>
              <w:right w:val="nil"/>
            </w:tcBorders>
            <w:shd w:val="clear" w:color="auto" w:fill="auto"/>
            <w:vAlign w:val="center"/>
            <w:hideMark/>
          </w:tcPr>
          <w:p w14:paraId="7E5B0C2B" w14:textId="77777777" w:rsidR="00247CBF" w:rsidRPr="00092ED7" w:rsidRDefault="00247CBF" w:rsidP="00247CBF">
            <w:pPr>
              <w:spacing w:after="0"/>
              <w:ind w:firstLineChars="200" w:firstLine="400"/>
              <w:jc w:val="left"/>
              <w:rPr>
                <w:rFonts w:eastAsia="Times New Roman" w:cs="Times New Roman"/>
                <w:sz w:val="20"/>
                <w:szCs w:val="20"/>
                <w:lang w:val="sr-Cyrl-CS"/>
              </w:rPr>
            </w:pPr>
            <w:r w:rsidRPr="00092ED7">
              <w:rPr>
                <w:rFonts w:eastAsia="Times New Roman" w:cs="Times New Roman"/>
                <w:sz w:val="20"/>
                <w:szCs w:val="20"/>
                <w:lang w:val="sr-Cyrl-CS"/>
              </w:rPr>
              <w:t>Доприноси:</w:t>
            </w:r>
          </w:p>
        </w:tc>
        <w:tc>
          <w:tcPr>
            <w:tcW w:w="2263" w:type="dxa"/>
            <w:gridSpan w:val="2"/>
            <w:tcBorders>
              <w:top w:val="nil"/>
              <w:left w:val="single" w:sz="8" w:space="0" w:color="000000"/>
              <w:bottom w:val="single" w:sz="4" w:space="0" w:color="000000"/>
              <w:right w:val="single" w:sz="8" w:space="0" w:color="auto"/>
            </w:tcBorders>
            <w:shd w:val="clear" w:color="auto" w:fill="auto"/>
            <w:noWrap/>
            <w:vAlign w:val="bottom"/>
          </w:tcPr>
          <w:p w14:paraId="05EEC9A2" w14:textId="77777777" w:rsidR="00247CBF" w:rsidRPr="00092ED7" w:rsidRDefault="00247CBF" w:rsidP="00247CBF">
            <w:pPr>
              <w:spacing w:after="0"/>
              <w:jc w:val="center"/>
              <w:rPr>
                <w:sz w:val="20"/>
                <w:szCs w:val="20"/>
                <w:lang w:val="sr-Cyrl-CS"/>
              </w:rPr>
            </w:pPr>
          </w:p>
        </w:tc>
        <w:tc>
          <w:tcPr>
            <w:tcW w:w="1144" w:type="dxa"/>
            <w:tcBorders>
              <w:top w:val="nil"/>
              <w:left w:val="nil"/>
              <w:bottom w:val="single" w:sz="4" w:space="0" w:color="000000"/>
              <w:right w:val="nil"/>
            </w:tcBorders>
            <w:shd w:val="clear" w:color="auto" w:fill="auto"/>
            <w:vAlign w:val="center"/>
            <w:hideMark/>
          </w:tcPr>
          <w:p w14:paraId="34B9F0A4" w14:textId="77777777" w:rsidR="00247CBF" w:rsidRPr="00092ED7" w:rsidRDefault="00247CBF" w:rsidP="00247CBF">
            <w:pPr>
              <w:spacing w:after="0"/>
              <w:jc w:val="center"/>
              <w:rPr>
                <w:sz w:val="20"/>
                <w:szCs w:val="20"/>
                <w:lang w:val="sr-Cyrl-CS"/>
              </w:rPr>
            </w:pPr>
          </w:p>
        </w:tc>
        <w:tc>
          <w:tcPr>
            <w:tcW w:w="1145" w:type="dxa"/>
            <w:tcBorders>
              <w:top w:val="nil"/>
              <w:left w:val="nil"/>
              <w:bottom w:val="single" w:sz="4" w:space="0" w:color="000000"/>
              <w:right w:val="nil"/>
            </w:tcBorders>
            <w:shd w:val="clear" w:color="auto" w:fill="auto"/>
            <w:vAlign w:val="center"/>
            <w:hideMark/>
          </w:tcPr>
          <w:p w14:paraId="5C51A489" w14:textId="77777777" w:rsidR="00247CBF" w:rsidRPr="00092ED7" w:rsidRDefault="00247CBF" w:rsidP="00247CBF">
            <w:pPr>
              <w:spacing w:after="0"/>
              <w:jc w:val="center"/>
              <w:rPr>
                <w:sz w:val="20"/>
                <w:szCs w:val="20"/>
                <w:lang w:val="sr-Cyrl-CS"/>
              </w:rPr>
            </w:pPr>
          </w:p>
        </w:tc>
        <w:tc>
          <w:tcPr>
            <w:tcW w:w="1144" w:type="dxa"/>
            <w:tcBorders>
              <w:top w:val="nil"/>
              <w:left w:val="nil"/>
              <w:bottom w:val="single" w:sz="4" w:space="0" w:color="000000"/>
              <w:right w:val="nil"/>
            </w:tcBorders>
            <w:shd w:val="clear" w:color="auto" w:fill="auto"/>
            <w:vAlign w:val="center"/>
            <w:hideMark/>
          </w:tcPr>
          <w:p w14:paraId="4321F742" w14:textId="77777777" w:rsidR="00247CBF" w:rsidRPr="00092ED7" w:rsidRDefault="00247CBF" w:rsidP="00247CBF">
            <w:pPr>
              <w:spacing w:after="0"/>
              <w:jc w:val="center"/>
              <w:rPr>
                <w:sz w:val="20"/>
                <w:szCs w:val="20"/>
                <w:lang w:val="sr-Cyrl-CS"/>
              </w:rPr>
            </w:pPr>
          </w:p>
        </w:tc>
        <w:tc>
          <w:tcPr>
            <w:tcW w:w="1145" w:type="dxa"/>
            <w:tcBorders>
              <w:top w:val="nil"/>
              <w:left w:val="nil"/>
              <w:bottom w:val="single" w:sz="4" w:space="0" w:color="000000"/>
              <w:right w:val="nil"/>
            </w:tcBorders>
            <w:shd w:val="clear" w:color="auto" w:fill="auto"/>
            <w:vAlign w:val="center"/>
            <w:hideMark/>
          </w:tcPr>
          <w:p w14:paraId="09177081" w14:textId="77777777" w:rsidR="00247CBF" w:rsidRPr="00092ED7" w:rsidRDefault="00247CBF" w:rsidP="00247CBF">
            <w:pPr>
              <w:spacing w:after="0"/>
              <w:jc w:val="center"/>
              <w:rPr>
                <w:sz w:val="20"/>
                <w:szCs w:val="20"/>
                <w:lang w:val="sr-Cyrl-CS"/>
              </w:rPr>
            </w:pPr>
          </w:p>
        </w:tc>
        <w:tc>
          <w:tcPr>
            <w:tcW w:w="1145" w:type="dxa"/>
            <w:tcBorders>
              <w:top w:val="nil"/>
              <w:left w:val="nil"/>
              <w:bottom w:val="single" w:sz="4" w:space="0" w:color="000000"/>
              <w:right w:val="double" w:sz="6" w:space="0" w:color="000000"/>
            </w:tcBorders>
            <w:shd w:val="clear" w:color="auto" w:fill="auto"/>
            <w:vAlign w:val="center"/>
            <w:hideMark/>
          </w:tcPr>
          <w:p w14:paraId="6343A9F3" w14:textId="77777777" w:rsidR="00247CBF" w:rsidRPr="00092ED7" w:rsidRDefault="00247CBF" w:rsidP="00247CBF">
            <w:pPr>
              <w:spacing w:after="0"/>
              <w:jc w:val="center"/>
              <w:rPr>
                <w:sz w:val="20"/>
                <w:szCs w:val="20"/>
                <w:lang w:val="sr-Cyrl-CS"/>
              </w:rPr>
            </w:pPr>
          </w:p>
        </w:tc>
      </w:tr>
      <w:tr w:rsidR="00247CBF" w:rsidRPr="00092ED7" w14:paraId="02C6A3E2" w14:textId="77777777" w:rsidTr="00247CBF">
        <w:trPr>
          <w:trHeight w:val="227"/>
        </w:trPr>
        <w:tc>
          <w:tcPr>
            <w:tcW w:w="6538" w:type="dxa"/>
            <w:tcBorders>
              <w:top w:val="nil"/>
              <w:left w:val="double" w:sz="6" w:space="0" w:color="000000"/>
              <w:bottom w:val="dotted" w:sz="4" w:space="0" w:color="000000"/>
              <w:right w:val="nil"/>
            </w:tcBorders>
            <w:shd w:val="clear" w:color="auto" w:fill="auto"/>
            <w:vAlign w:val="center"/>
            <w:hideMark/>
          </w:tcPr>
          <w:p w14:paraId="4C32192D" w14:textId="77777777" w:rsidR="00247CBF" w:rsidRPr="00092ED7" w:rsidRDefault="00247CBF" w:rsidP="00247CBF">
            <w:pPr>
              <w:spacing w:after="0"/>
              <w:ind w:firstLineChars="300" w:firstLine="600"/>
              <w:jc w:val="left"/>
              <w:rPr>
                <w:rFonts w:eastAsia="Times New Roman" w:cs="Times New Roman"/>
                <w:sz w:val="20"/>
                <w:szCs w:val="20"/>
                <w:lang w:val="sr-Cyrl-CS"/>
              </w:rPr>
            </w:pPr>
            <w:r w:rsidRPr="00092ED7">
              <w:rPr>
                <w:rFonts w:eastAsia="Times New Roman" w:cs="Times New Roman"/>
                <w:sz w:val="20"/>
                <w:szCs w:val="20"/>
                <w:lang w:val="sr-Cyrl-CS"/>
              </w:rPr>
              <w:t>- рад</w:t>
            </w:r>
          </w:p>
        </w:tc>
        <w:tc>
          <w:tcPr>
            <w:tcW w:w="2263" w:type="dxa"/>
            <w:gridSpan w:val="2"/>
            <w:tcBorders>
              <w:top w:val="single" w:sz="4" w:space="0" w:color="000000"/>
              <w:left w:val="single" w:sz="8" w:space="0" w:color="000000"/>
              <w:bottom w:val="dotted" w:sz="4" w:space="0" w:color="000000"/>
              <w:right w:val="single" w:sz="8" w:space="0" w:color="000000"/>
            </w:tcBorders>
            <w:shd w:val="clear" w:color="auto" w:fill="auto"/>
            <w:noWrap/>
            <w:vAlign w:val="bottom"/>
            <w:hideMark/>
          </w:tcPr>
          <w:p w14:paraId="38FCA65E"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 </w:t>
            </w:r>
          </w:p>
        </w:tc>
        <w:tc>
          <w:tcPr>
            <w:tcW w:w="1144" w:type="dxa"/>
            <w:tcBorders>
              <w:top w:val="nil"/>
              <w:left w:val="nil"/>
              <w:bottom w:val="dotted" w:sz="4" w:space="0" w:color="000000"/>
              <w:right w:val="dotted" w:sz="4" w:space="0" w:color="000000"/>
            </w:tcBorders>
            <w:shd w:val="clear" w:color="auto" w:fill="auto"/>
            <w:vAlign w:val="center"/>
            <w:hideMark/>
          </w:tcPr>
          <w:p w14:paraId="4F8747E1" w14:textId="77777777" w:rsidR="00247CBF" w:rsidRPr="00092ED7" w:rsidRDefault="00247CBF" w:rsidP="00247CBF">
            <w:pPr>
              <w:spacing w:after="0"/>
              <w:jc w:val="center"/>
              <w:rPr>
                <w:sz w:val="20"/>
                <w:szCs w:val="20"/>
                <w:lang w:val="sr-Cyrl-CS"/>
              </w:rPr>
            </w:pPr>
            <w:r w:rsidRPr="00092ED7">
              <w:rPr>
                <w:sz w:val="20"/>
                <w:szCs w:val="20"/>
                <w:lang w:val="sr-Cyrl-CS"/>
              </w:rPr>
              <w:t>1,1</w:t>
            </w:r>
          </w:p>
        </w:tc>
        <w:tc>
          <w:tcPr>
            <w:tcW w:w="1145" w:type="dxa"/>
            <w:tcBorders>
              <w:top w:val="nil"/>
              <w:left w:val="nil"/>
              <w:bottom w:val="dotted" w:sz="4" w:space="0" w:color="000000"/>
              <w:right w:val="dotted" w:sz="4" w:space="0" w:color="000000"/>
            </w:tcBorders>
            <w:shd w:val="clear" w:color="auto" w:fill="auto"/>
            <w:vAlign w:val="center"/>
            <w:hideMark/>
          </w:tcPr>
          <w:p w14:paraId="13DD5384" w14:textId="77777777" w:rsidR="00247CBF" w:rsidRPr="00092ED7" w:rsidRDefault="00247CBF" w:rsidP="00247CBF">
            <w:pPr>
              <w:spacing w:after="0"/>
              <w:jc w:val="center"/>
              <w:rPr>
                <w:sz w:val="20"/>
                <w:szCs w:val="20"/>
                <w:lang w:val="sr-Cyrl-CS"/>
              </w:rPr>
            </w:pPr>
            <w:r w:rsidRPr="00092ED7">
              <w:rPr>
                <w:sz w:val="20"/>
                <w:szCs w:val="20"/>
                <w:lang w:val="sr-Cyrl-CS"/>
              </w:rPr>
              <w:t>1,0</w:t>
            </w:r>
          </w:p>
        </w:tc>
        <w:tc>
          <w:tcPr>
            <w:tcW w:w="1144" w:type="dxa"/>
            <w:tcBorders>
              <w:top w:val="nil"/>
              <w:left w:val="nil"/>
              <w:bottom w:val="dotted" w:sz="4" w:space="0" w:color="000000"/>
              <w:right w:val="dotted" w:sz="4" w:space="0" w:color="000000"/>
            </w:tcBorders>
            <w:shd w:val="clear" w:color="auto" w:fill="auto"/>
            <w:vAlign w:val="center"/>
            <w:hideMark/>
          </w:tcPr>
          <w:p w14:paraId="2CD99B16" w14:textId="77777777" w:rsidR="00247CBF" w:rsidRPr="00092ED7" w:rsidRDefault="00247CBF" w:rsidP="00247CBF">
            <w:pPr>
              <w:spacing w:after="0"/>
              <w:jc w:val="center"/>
              <w:rPr>
                <w:sz w:val="20"/>
                <w:szCs w:val="20"/>
                <w:lang w:val="sr-Cyrl-CS"/>
              </w:rPr>
            </w:pPr>
            <w:r w:rsidRPr="00092ED7">
              <w:rPr>
                <w:sz w:val="20"/>
                <w:szCs w:val="20"/>
                <w:lang w:val="sr-Cyrl-CS"/>
              </w:rPr>
              <w:t>1,1</w:t>
            </w:r>
          </w:p>
        </w:tc>
        <w:tc>
          <w:tcPr>
            <w:tcW w:w="1145" w:type="dxa"/>
            <w:tcBorders>
              <w:top w:val="nil"/>
              <w:left w:val="nil"/>
              <w:bottom w:val="dotted" w:sz="4" w:space="0" w:color="000000"/>
              <w:right w:val="dotted" w:sz="4" w:space="0" w:color="000000"/>
            </w:tcBorders>
            <w:shd w:val="clear" w:color="auto" w:fill="auto"/>
            <w:vAlign w:val="center"/>
            <w:hideMark/>
          </w:tcPr>
          <w:p w14:paraId="331F744F" w14:textId="77777777" w:rsidR="00247CBF" w:rsidRPr="00092ED7" w:rsidRDefault="00247CBF" w:rsidP="00247CBF">
            <w:pPr>
              <w:spacing w:after="0"/>
              <w:jc w:val="center"/>
              <w:rPr>
                <w:sz w:val="20"/>
                <w:szCs w:val="20"/>
                <w:lang w:val="sr-Cyrl-CS"/>
              </w:rPr>
            </w:pPr>
            <w:r w:rsidRPr="00092ED7">
              <w:rPr>
                <w:sz w:val="20"/>
                <w:szCs w:val="20"/>
                <w:lang w:val="sr-Cyrl-CS"/>
              </w:rPr>
              <w:t>0,9</w:t>
            </w:r>
          </w:p>
        </w:tc>
        <w:tc>
          <w:tcPr>
            <w:tcW w:w="1145" w:type="dxa"/>
            <w:tcBorders>
              <w:top w:val="nil"/>
              <w:left w:val="nil"/>
              <w:bottom w:val="dotted" w:sz="4" w:space="0" w:color="000000"/>
              <w:right w:val="double" w:sz="6" w:space="0" w:color="000000"/>
            </w:tcBorders>
            <w:shd w:val="clear" w:color="auto" w:fill="auto"/>
            <w:vAlign w:val="center"/>
            <w:hideMark/>
          </w:tcPr>
          <w:p w14:paraId="58BDC1F4" w14:textId="77777777" w:rsidR="00247CBF" w:rsidRPr="00092ED7" w:rsidRDefault="00247CBF" w:rsidP="00247CBF">
            <w:pPr>
              <w:spacing w:after="0"/>
              <w:jc w:val="center"/>
              <w:rPr>
                <w:sz w:val="20"/>
                <w:szCs w:val="20"/>
                <w:lang w:val="sr-Cyrl-CS"/>
              </w:rPr>
            </w:pPr>
            <w:r w:rsidRPr="00092ED7">
              <w:rPr>
                <w:sz w:val="20"/>
                <w:szCs w:val="20"/>
                <w:lang w:val="sr-Cyrl-CS"/>
              </w:rPr>
              <w:t>0,8</w:t>
            </w:r>
          </w:p>
        </w:tc>
      </w:tr>
      <w:tr w:rsidR="00247CBF" w:rsidRPr="00092ED7" w14:paraId="1226124F" w14:textId="77777777" w:rsidTr="00247CBF">
        <w:trPr>
          <w:trHeight w:val="227"/>
        </w:trPr>
        <w:tc>
          <w:tcPr>
            <w:tcW w:w="6538" w:type="dxa"/>
            <w:tcBorders>
              <w:top w:val="nil"/>
              <w:left w:val="double" w:sz="6" w:space="0" w:color="000000"/>
              <w:bottom w:val="dotted" w:sz="4" w:space="0" w:color="000000"/>
              <w:right w:val="nil"/>
            </w:tcBorders>
            <w:shd w:val="clear" w:color="auto" w:fill="auto"/>
            <w:vAlign w:val="center"/>
            <w:hideMark/>
          </w:tcPr>
          <w:p w14:paraId="1989BA58" w14:textId="77777777" w:rsidR="00247CBF" w:rsidRPr="00092ED7" w:rsidRDefault="00247CBF" w:rsidP="00247CBF">
            <w:pPr>
              <w:spacing w:after="0"/>
              <w:ind w:firstLineChars="300" w:firstLine="600"/>
              <w:jc w:val="left"/>
              <w:rPr>
                <w:rFonts w:eastAsia="Times New Roman" w:cs="Times New Roman"/>
                <w:sz w:val="20"/>
                <w:szCs w:val="20"/>
                <w:lang w:val="sr-Cyrl-CS"/>
              </w:rPr>
            </w:pPr>
            <w:r w:rsidRPr="00092ED7">
              <w:rPr>
                <w:rFonts w:eastAsia="Times New Roman" w:cs="Times New Roman"/>
                <w:sz w:val="20"/>
                <w:szCs w:val="20"/>
                <w:lang w:val="sr-Cyrl-CS"/>
              </w:rPr>
              <w:t>- капитал</w:t>
            </w:r>
          </w:p>
        </w:tc>
        <w:tc>
          <w:tcPr>
            <w:tcW w:w="2263" w:type="dxa"/>
            <w:gridSpan w:val="2"/>
            <w:tcBorders>
              <w:top w:val="dotted" w:sz="4" w:space="0" w:color="000000"/>
              <w:left w:val="single" w:sz="8" w:space="0" w:color="000000"/>
              <w:bottom w:val="dotted" w:sz="4" w:space="0" w:color="000000"/>
              <w:right w:val="single" w:sz="8" w:space="0" w:color="000000"/>
            </w:tcBorders>
            <w:shd w:val="clear" w:color="auto" w:fill="auto"/>
            <w:noWrap/>
            <w:vAlign w:val="bottom"/>
            <w:hideMark/>
          </w:tcPr>
          <w:p w14:paraId="53BE8003"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 </w:t>
            </w:r>
          </w:p>
        </w:tc>
        <w:tc>
          <w:tcPr>
            <w:tcW w:w="1144" w:type="dxa"/>
            <w:tcBorders>
              <w:top w:val="nil"/>
              <w:left w:val="nil"/>
              <w:bottom w:val="dotted" w:sz="4" w:space="0" w:color="000000"/>
              <w:right w:val="dotted" w:sz="4" w:space="0" w:color="000000"/>
            </w:tcBorders>
            <w:shd w:val="clear" w:color="auto" w:fill="auto"/>
            <w:vAlign w:val="center"/>
            <w:hideMark/>
          </w:tcPr>
          <w:p w14:paraId="4E41CCDA" w14:textId="77777777" w:rsidR="00247CBF" w:rsidRPr="00092ED7" w:rsidRDefault="00247CBF" w:rsidP="00247CBF">
            <w:pPr>
              <w:spacing w:after="0"/>
              <w:jc w:val="center"/>
              <w:rPr>
                <w:sz w:val="20"/>
                <w:szCs w:val="20"/>
                <w:lang w:val="sr-Cyrl-CS"/>
              </w:rPr>
            </w:pPr>
            <w:r w:rsidRPr="00092ED7">
              <w:rPr>
                <w:sz w:val="20"/>
                <w:szCs w:val="20"/>
                <w:lang w:val="sr-Cyrl-CS"/>
              </w:rPr>
              <w:t>1,7</w:t>
            </w:r>
          </w:p>
        </w:tc>
        <w:tc>
          <w:tcPr>
            <w:tcW w:w="1145" w:type="dxa"/>
            <w:tcBorders>
              <w:top w:val="nil"/>
              <w:left w:val="nil"/>
              <w:bottom w:val="dotted" w:sz="4" w:space="0" w:color="000000"/>
              <w:right w:val="dotted" w:sz="4" w:space="0" w:color="000000"/>
            </w:tcBorders>
            <w:shd w:val="clear" w:color="auto" w:fill="auto"/>
            <w:vAlign w:val="center"/>
            <w:hideMark/>
          </w:tcPr>
          <w:p w14:paraId="4D5CB843" w14:textId="77777777" w:rsidR="00247CBF" w:rsidRPr="00092ED7" w:rsidRDefault="00247CBF" w:rsidP="00247CBF">
            <w:pPr>
              <w:spacing w:after="0"/>
              <w:jc w:val="center"/>
              <w:rPr>
                <w:sz w:val="20"/>
                <w:szCs w:val="20"/>
                <w:lang w:val="sr-Cyrl-CS"/>
              </w:rPr>
            </w:pPr>
            <w:r w:rsidRPr="00092ED7">
              <w:rPr>
                <w:sz w:val="20"/>
                <w:szCs w:val="20"/>
                <w:lang w:val="sr-Cyrl-CS"/>
              </w:rPr>
              <w:t>1,2</w:t>
            </w:r>
          </w:p>
        </w:tc>
        <w:tc>
          <w:tcPr>
            <w:tcW w:w="1144" w:type="dxa"/>
            <w:tcBorders>
              <w:top w:val="nil"/>
              <w:left w:val="nil"/>
              <w:bottom w:val="dotted" w:sz="4" w:space="0" w:color="000000"/>
              <w:right w:val="dotted" w:sz="4" w:space="0" w:color="000000"/>
            </w:tcBorders>
            <w:shd w:val="clear" w:color="auto" w:fill="auto"/>
            <w:vAlign w:val="center"/>
            <w:hideMark/>
          </w:tcPr>
          <w:p w14:paraId="7915BFD9" w14:textId="77777777" w:rsidR="00247CBF" w:rsidRPr="00092ED7" w:rsidRDefault="00247CBF" w:rsidP="00247CBF">
            <w:pPr>
              <w:spacing w:after="0"/>
              <w:jc w:val="center"/>
              <w:rPr>
                <w:sz w:val="20"/>
                <w:szCs w:val="20"/>
                <w:lang w:val="sr-Cyrl-CS"/>
              </w:rPr>
            </w:pPr>
            <w:r w:rsidRPr="00092ED7">
              <w:rPr>
                <w:sz w:val="20"/>
                <w:szCs w:val="20"/>
                <w:lang w:val="sr-Cyrl-CS"/>
              </w:rPr>
              <w:t>1,4</w:t>
            </w:r>
          </w:p>
        </w:tc>
        <w:tc>
          <w:tcPr>
            <w:tcW w:w="1145" w:type="dxa"/>
            <w:tcBorders>
              <w:top w:val="nil"/>
              <w:left w:val="nil"/>
              <w:bottom w:val="dotted" w:sz="4" w:space="0" w:color="000000"/>
              <w:right w:val="dotted" w:sz="4" w:space="0" w:color="000000"/>
            </w:tcBorders>
            <w:shd w:val="clear" w:color="auto" w:fill="auto"/>
            <w:vAlign w:val="center"/>
            <w:hideMark/>
          </w:tcPr>
          <w:p w14:paraId="526DDC0C" w14:textId="77777777" w:rsidR="00247CBF" w:rsidRPr="00092ED7" w:rsidRDefault="00247CBF" w:rsidP="00247CBF">
            <w:pPr>
              <w:spacing w:after="0"/>
              <w:jc w:val="center"/>
              <w:rPr>
                <w:sz w:val="20"/>
                <w:szCs w:val="20"/>
                <w:lang w:val="sr-Cyrl-CS"/>
              </w:rPr>
            </w:pPr>
            <w:r w:rsidRPr="00092ED7">
              <w:rPr>
                <w:sz w:val="20"/>
                <w:szCs w:val="20"/>
                <w:lang w:val="sr-Cyrl-CS"/>
              </w:rPr>
              <w:t>1,5</w:t>
            </w:r>
          </w:p>
        </w:tc>
        <w:tc>
          <w:tcPr>
            <w:tcW w:w="1145" w:type="dxa"/>
            <w:tcBorders>
              <w:top w:val="nil"/>
              <w:left w:val="nil"/>
              <w:bottom w:val="dotted" w:sz="4" w:space="0" w:color="000000"/>
              <w:right w:val="double" w:sz="6" w:space="0" w:color="000000"/>
            </w:tcBorders>
            <w:shd w:val="clear" w:color="auto" w:fill="auto"/>
            <w:vAlign w:val="center"/>
            <w:hideMark/>
          </w:tcPr>
          <w:p w14:paraId="5B9F87B5" w14:textId="77777777" w:rsidR="00247CBF" w:rsidRPr="00092ED7" w:rsidRDefault="00247CBF" w:rsidP="00247CBF">
            <w:pPr>
              <w:spacing w:after="0"/>
              <w:jc w:val="center"/>
              <w:rPr>
                <w:sz w:val="20"/>
                <w:szCs w:val="20"/>
                <w:lang w:val="sr-Cyrl-CS"/>
              </w:rPr>
            </w:pPr>
            <w:r w:rsidRPr="00092ED7">
              <w:rPr>
                <w:sz w:val="20"/>
                <w:szCs w:val="20"/>
                <w:lang w:val="sr-Cyrl-CS"/>
              </w:rPr>
              <w:t>1,5</w:t>
            </w:r>
          </w:p>
        </w:tc>
      </w:tr>
      <w:tr w:rsidR="00247CBF" w:rsidRPr="00092ED7" w14:paraId="57142D05" w14:textId="77777777" w:rsidTr="00247CBF">
        <w:trPr>
          <w:trHeight w:val="227"/>
        </w:trPr>
        <w:tc>
          <w:tcPr>
            <w:tcW w:w="6538" w:type="dxa"/>
            <w:tcBorders>
              <w:top w:val="nil"/>
              <w:left w:val="double" w:sz="6" w:space="0" w:color="000000"/>
              <w:bottom w:val="dotted" w:sz="4" w:space="0" w:color="000000"/>
              <w:right w:val="nil"/>
            </w:tcBorders>
            <w:shd w:val="clear" w:color="auto" w:fill="auto"/>
            <w:vAlign w:val="center"/>
          </w:tcPr>
          <w:p w14:paraId="59991539" w14:textId="77777777" w:rsidR="00247CBF" w:rsidRPr="00092ED7" w:rsidRDefault="00247CBF" w:rsidP="00247CBF">
            <w:pPr>
              <w:spacing w:after="0"/>
              <w:ind w:firstLineChars="300" w:firstLine="600"/>
              <w:jc w:val="left"/>
              <w:rPr>
                <w:rFonts w:eastAsia="Times New Roman" w:cs="Times New Roman"/>
                <w:sz w:val="20"/>
                <w:szCs w:val="20"/>
                <w:lang w:val="sr-Cyrl-CS"/>
              </w:rPr>
            </w:pPr>
            <w:r w:rsidRPr="00092ED7">
              <w:rPr>
                <w:rFonts w:eastAsia="Times New Roman" w:cs="Times New Roman"/>
                <w:sz w:val="20"/>
                <w:szCs w:val="20"/>
                <w:lang w:val="sr-Cyrl-CS"/>
              </w:rPr>
              <w:t>- укупна факторска продуктивност</w:t>
            </w:r>
          </w:p>
        </w:tc>
        <w:tc>
          <w:tcPr>
            <w:tcW w:w="2263" w:type="dxa"/>
            <w:gridSpan w:val="2"/>
            <w:tcBorders>
              <w:top w:val="dotted" w:sz="4" w:space="0" w:color="000000"/>
              <w:left w:val="single" w:sz="8" w:space="0" w:color="000000"/>
              <w:bottom w:val="dotted" w:sz="4" w:space="0" w:color="000000"/>
              <w:right w:val="single" w:sz="8" w:space="0" w:color="000000"/>
            </w:tcBorders>
            <w:shd w:val="clear" w:color="auto" w:fill="auto"/>
            <w:noWrap/>
            <w:vAlign w:val="bottom"/>
          </w:tcPr>
          <w:p w14:paraId="60D01235"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 </w:t>
            </w:r>
          </w:p>
        </w:tc>
        <w:tc>
          <w:tcPr>
            <w:tcW w:w="1144" w:type="dxa"/>
            <w:tcBorders>
              <w:top w:val="nil"/>
              <w:left w:val="nil"/>
              <w:bottom w:val="dotted" w:sz="4" w:space="0" w:color="000000"/>
              <w:right w:val="dotted" w:sz="4" w:space="0" w:color="000000"/>
            </w:tcBorders>
            <w:shd w:val="clear" w:color="auto" w:fill="auto"/>
            <w:vAlign w:val="center"/>
          </w:tcPr>
          <w:p w14:paraId="295767AD" w14:textId="77777777" w:rsidR="00247CBF" w:rsidRPr="00092ED7" w:rsidRDefault="00247CBF" w:rsidP="00247CBF">
            <w:pPr>
              <w:spacing w:after="0"/>
              <w:jc w:val="center"/>
              <w:rPr>
                <w:sz w:val="20"/>
                <w:szCs w:val="20"/>
                <w:lang w:val="sr-Cyrl-CS"/>
              </w:rPr>
            </w:pPr>
            <w:r w:rsidRPr="00092ED7">
              <w:rPr>
                <w:sz w:val="20"/>
                <w:szCs w:val="20"/>
                <w:lang w:val="sr-Cyrl-CS"/>
              </w:rPr>
              <w:t>0,7</w:t>
            </w:r>
          </w:p>
        </w:tc>
        <w:tc>
          <w:tcPr>
            <w:tcW w:w="1145" w:type="dxa"/>
            <w:tcBorders>
              <w:top w:val="nil"/>
              <w:left w:val="nil"/>
              <w:bottom w:val="dotted" w:sz="4" w:space="0" w:color="000000"/>
              <w:right w:val="dotted" w:sz="4" w:space="0" w:color="000000"/>
            </w:tcBorders>
            <w:shd w:val="clear" w:color="auto" w:fill="auto"/>
            <w:vAlign w:val="center"/>
          </w:tcPr>
          <w:p w14:paraId="19312B52" w14:textId="77777777" w:rsidR="00247CBF" w:rsidRPr="00092ED7" w:rsidRDefault="00247CBF" w:rsidP="00247CBF">
            <w:pPr>
              <w:spacing w:after="0"/>
              <w:jc w:val="center"/>
              <w:rPr>
                <w:sz w:val="20"/>
                <w:szCs w:val="20"/>
                <w:lang w:val="sr-Cyrl-CS"/>
              </w:rPr>
            </w:pPr>
            <w:r w:rsidRPr="00092ED7">
              <w:rPr>
                <w:sz w:val="20"/>
                <w:szCs w:val="20"/>
                <w:lang w:val="sr-Cyrl-CS"/>
              </w:rPr>
              <w:t>1,4</w:t>
            </w:r>
          </w:p>
        </w:tc>
        <w:tc>
          <w:tcPr>
            <w:tcW w:w="1144" w:type="dxa"/>
            <w:tcBorders>
              <w:top w:val="nil"/>
              <w:left w:val="nil"/>
              <w:bottom w:val="dotted" w:sz="4" w:space="0" w:color="000000"/>
              <w:right w:val="dotted" w:sz="4" w:space="0" w:color="000000"/>
            </w:tcBorders>
            <w:shd w:val="clear" w:color="auto" w:fill="auto"/>
            <w:vAlign w:val="center"/>
          </w:tcPr>
          <w:p w14:paraId="0E57A99B" w14:textId="77777777" w:rsidR="00247CBF" w:rsidRPr="00092ED7" w:rsidRDefault="00247CBF" w:rsidP="00247CBF">
            <w:pPr>
              <w:spacing w:after="0"/>
              <w:jc w:val="center"/>
              <w:rPr>
                <w:sz w:val="20"/>
                <w:szCs w:val="20"/>
                <w:lang w:val="sr-Cyrl-CS"/>
              </w:rPr>
            </w:pPr>
            <w:r w:rsidRPr="00092ED7">
              <w:rPr>
                <w:sz w:val="20"/>
                <w:szCs w:val="20"/>
                <w:lang w:val="sr-Cyrl-CS"/>
              </w:rPr>
              <w:t>1,1</w:t>
            </w:r>
          </w:p>
        </w:tc>
        <w:tc>
          <w:tcPr>
            <w:tcW w:w="1145" w:type="dxa"/>
            <w:tcBorders>
              <w:top w:val="nil"/>
              <w:left w:val="nil"/>
              <w:bottom w:val="dotted" w:sz="4" w:space="0" w:color="000000"/>
              <w:right w:val="dotted" w:sz="4" w:space="0" w:color="000000"/>
            </w:tcBorders>
            <w:shd w:val="clear" w:color="auto" w:fill="auto"/>
            <w:vAlign w:val="center"/>
          </w:tcPr>
          <w:p w14:paraId="5412575B" w14:textId="77777777" w:rsidR="00247CBF" w:rsidRPr="00092ED7" w:rsidRDefault="00247CBF" w:rsidP="00247CBF">
            <w:pPr>
              <w:spacing w:after="0"/>
              <w:jc w:val="center"/>
              <w:rPr>
                <w:sz w:val="20"/>
                <w:szCs w:val="20"/>
                <w:lang w:val="sr-Cyrl-CS"/>
              </w:rPr>
            </w:pPr>
            <w:r w:rsidRPr="00092ED7">
              <w:rPr>
                <w:sz w:val="20"/>
                <w:szCs w:val="20"/>
                <w:lang w:val="sr-Cyrl-CS"/>
              </w:rPr>
              <w:t>1,3</w:t>
            </w:r>
          </w:p>
        </w:tc>
        <w:tc>
          <w:tcPr>
            <w:tcW w:w="1145" w:type="dxa"/>
            <w:tcBorders>
              <w:top w:val="nil"/>
              <w:left w:val="nil"/>
              <w:bottom w:val="dotted" w:sz="4" w:space="0" w:color="000000"/>
              <w:right w:val="double" w:sz="6" w:space="0" w:color="000000"/>
            </w:tcBorders>
            <w:shd w:val="clear" w:color="auto" w:fill="auto"/>
            <w:vAlign w:val="center"/>
          </w:tcPr>
          <w:p w14:paraId="5EAE12CD" w14:textId="77777777" w:rsidR="00247CBF" w:rsidRPr="00092ED7" w:rsidRDefault="00247CBF" w:rsidP="00247CBF">
            <w:pPr>
              <w:spacing w:after="0"/>
              <w:jc w:val="center"/>
              <w:rPr>
                <w:sz w:val="20"/>
                <w:szCs w:val="20"/>
                <w:lang w:val="sr-Cyrl-CS"/>
              </w:rPr>
            </w:pPr>
            <w:r w:rsidRPr="00092ED7">
              <w:rPr>
                <w:sz w:val="20"/>
                <w:szCs w:val="20"/>
                <w:lang w:val="sr-Cyrl-CS"/>
              </w:rPr>
              <w:t>1,4</w:t>
            </w:r>
          </w:p>
        </w:tc>
      </w:tr>
      <w:tr w:rsidR="00247CBF" w:rsidRPr="00092ED7" w14:paraId="6A503FA6" w14:textId="77777777" w:rsidTr="00247CBF">
        <w:trPr>
          <w:trHeight w:val="227"/>
        </w:trPr>
        <w:tc>
          <w:tcPr>
            <w:tcW w:w="6538" w:type="dxa"/>
            <w:tcBorders>
              <w:top w:val="dotted" w:sz="4" w:space="0" w:color="000000"/>
              <w:left w:val="double" w:sz="6" w:space="0" w:color="000000"/>
              <w:bottom w:val="dotted" w:sz="4" w:space="0" w:color="000000"/>
              <w:right w:val="nil"/>
            </w:tcBorders>
            <w:shd w:val="clear" w:color="auto" w:fill="auto"/>
            <w:vAlign w:val="center"/>
            <w:hideMark/>
          </w:tcPr>
          <w:p w14:paraId="3C0FFDE5" w14:textId="77777777" w:rsidR="00247CBF" w:rsidRPr="00092ED7" w:rsidRDefault="00247CBF" w:rsidP="00247CBF">
            <w:pPr>
              <w:spacing w:after="0"/>
              <w:ind w:firstLineChars="100" w:firstLine="200"/>
              <w:jc w:val="left"/>
              <w:rPr>
                <w:rFonts w:eastAsia="Times New Roman" w:cs="Times New Roman"/>
                <w:sz w:val="20"/>
                <w:szCs w:val="20"/>
                <w:lang w:val="sr-Cyrl-CS"/>
              </w:rPr>
            </w:pPr>
            <w:r w:rsidRPr="00092ED7">
              <w:rPr>
                <w:rFonts w:eastAsia="Times New Roman" w:cs="Times New Roman"/>
                <w:sz w:val="20"/>
                <w:szCs w:val="20"/>
                <w:lang w:val="sr-Cyrl-CS"/>
              </w:rPr>
              <w:t>6. Производни јаз</w:t>
            </w:r>
          </w:p>
        </w:tc>
        <w:tc>
          <w:tcPr>
            <w:tcW w:w="2263" w:type="dxa"/>
            <w:gridSpan w:val="2"/>
            <w:tcBorders>
              <w:top w:val="single" w:sz="4" w:space="0" w:color="auto"/>
              <w:left w:val="single" w:sz="8" w:space="0" w:color="000000"/>
              <w:bottom w:val="dotted" w:sz="4" w:space="0" w:color="000000"/>
              <w:right w:val="single" w:sz="8" w:space="0" w:color="000000"/>
            </w:tcBorders>
            <w:shd w:val="clear" w:color="auto" w:fill="auto"/>
            <w:noWrap/>
            <w:vAlign w:val="bottom"/>
            <w:hideMark/>
          </w:tcPr>
          <w:p w14:paraId="4C8C154E"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 БДП</w:t>
            </w:r>
          </w:p>
        </w:tc>
        <w:tc>
          <w:tcPr>
            <w:tcW w:w="1144" w:type="dxa"/>
            <w:tcBorders>
              <w:top w:val="nil"/>
              <w:left w:val="nil"/>
              <w:bottom w:val="dotted" w:sz="4" w:space="0" w:color="000000"/>
              <w:right w:val="dotted" w:sz="4" w:space="0" w:color="000000"/>
            </w:tcBorders>
            <w:shd w:val="clear" w:color="auto" w:fill="auto"/>
            <w:vAlign w:val="center"/>
            <w:hideMark/>
          </w:tcPr>
          <w:p w14:paraId="351A2661" w14:textId="77777777" w:rsidR="00247CBF" w:rsidRPr="00092ED7" w:rsidRDefault="00247CBF" w:rsidP="00247CBF">
            <w:pPr>
              <w:spacing w:after="0"/>
              <w:jc w:val="center"/>
              <w:rPr>
                <w:sz w:val="20"/>
                <w:szCs w:val="20"/>
                <w:lang w:val="sr-Cyrl-CS"/>
              </w:rPr>
            </w:pPr>
            <w:r w:rsidRPr="00092ED7">
              <w:rPr>
                <w:sz w:val="20"/>
                <w:szCs w:val="20"/>
                <w:lang w:val="sr-Cyrl-CS"/>
              </w:rPr>
              <w:t>1,3</w:t>
            </w:r>
          </w:p>
        </w:tc>
        <w:tc>
          <w:tcPr>
            <w:tcW w:w="1145" w:type="dxa"/>
            <w:tcBorders>
              <w:top w:val="nil"/>
              <w:left w:val="nil"/>
              <w:bottom w:val="dotted" w:sz="4" w:space="0" w:color="000000"/>
              <w:right w:val="dotted" w:sz="4" w:space="0" w:color="000000"/>
            </w:tcBorders>
            <w:shd w:val="clear" w:color="auto" w:fill="auto"/>
            <w:vAlign w:val="center"/>
            <w:hideMark/>
          </w:tcPr>
          <w:p w14:paraId="473F374C" w14:textId="77777777" w:rsidR="00247CBF" w:rsidRPr="00092ED7" w:rsidRDefault="00247CBF" w:rsidP="00247CBF">
            <w:pPr>
              <w:spacing w:after="0"/>
              <w:jc w:val="center"/>
              <w:rPr>
                <w:sz w:val="20"/>
                <w:szCs w:val="20"/>
                <w:lang w:val="sr-Cyrl-CS"/>
              </w:rPr>
            </w:pPr>
            <w:r w:rsidRPr="00092ED7">
              <w:rPr>
                <w:sz w:val="20"/>
                <w:szCs w:val="20"/>
                <w:lang w:val="sr-Cyrl-CS"/>
              </w:rPr>
              <w:t>0,7</w:t>
            </w:r>
          </w:p>
        </w:tc>
        <w:tc>
          <w:tcPr>
            <w:tcW w:w="1144" w:type="dxa"/>
            <w:tcBorders>
              <w:top w:val="nil"/>
              <w:left w:val="nil"/>
              <w:bottom w:val="dotted" w:sz="4" w:space="0" w:color="000000"/>
              <w:right w:val="dotted" w:sz="4" w:space="0" w:color="000000"/>
            </w:tcBorders>
            <w:shd w:val="clear" w:color="auto" w:fill="auto"/>
            <w:vAlign w:val="center"/>
            <w:hideMark/>
          </w:tcPr>
          <w:p w14:paraId="5F393334" w14:textId="77777777" w:rsidR="00247CBF" w:rsidRPr="00092ED7" w:rsidRDefault="00247CBF" w:rsidP="00247CBF">
            <w:pPr>
              <w:spacing w:after="0"/>
              <w:jc w:val="center"/>
              <w:rPr>
                <w:sz w:val="20"/>
                <w:szCs w:val="20"/>
                <w:lang w:val="sr-Cyrl-CS"/>
              </w:rPr>
            </w:pPr>
            <w:r w:rsidRPr="00092ED7">
              <w:rPr>
                <w:sz w:val="20"/>
                <w:szCs w:val="20"/>
                <w:lang w:val="sr-Cyrl-CS"/>
              </w:rPr>
              <w:t>-0,3</w:t>
            </w:r>
          </w:p>
        </w:tc>
        <w:tc>
          <w:tcPr>
            <w:tcW w:w="1145" w:type="dxa"/>
            <w:tcBorders>
              <w:top w:val="nil"/>
              <w:left w:val="nil"/>
              <w:bottom w:val="dotted" w:sz="4" w:space="0" w:color="000000"/>
              <w:right w:val="dotted" w:sz="4" w:space="0" w:color="000000"/>
            </w:tcBorders>
            <w:shd w:val="clear" w:color="auto" w:fill="auto"/>
            <w:vAlign w:val="center"/>
            <w:hideMark/>
          </w:tcPr>
          <w:p w14:paraId="306E2E81" w14:textId="77777777" w:rsidR="00247CBF" w:rsidRPr="00092ED7" w:rsidRDefault="00247CBF" w:rsidP="00247CBF">
            <w:pPr>
              <w:spacing w:after="0"/>
              <w:jc w:val="center"/>
              <w:rPr>
                <w:sz w:val="20"/>
                <w:szCs w:val="20"/>
                <w:lang w:val="sr-Cyrl-CS"/>
              </w:rPr>
            </w:pPr>
            <w:r w:rsidRPr="00092ED7">
              <w:rPr>
                <w:sz w:val="20"/>
                <w:szCs w:val="20"/>
                <w:lang w:val="sr-Cyrl-CS"/>
              </w:rPr>
              <w:t>-0,4</w:t>
            </w:r>
          </w:p>
        </w:tc>
        <w:tc>
          <w:tcPr>
            <w:tcW w:w="1145" w:type="dxa"/>
            <w:tcBorders>
              <w:top w:val="nil"/>
              <w:left w:val="nil"/>
              <w:bottom w:val="dotted" w:sz="4" w:space="0" w:color="000000"/>
              <w:right w:val="double" w:sz="6" w:space="0" w:color="000000"/>
            </w:tcBorders>
            <w:shd w:val="clear" w:color="auto" w:fill="auto"/>
            <w:vAlign w:val="center"/>
            <w:hideMark/>
          </w:tcPr>
          <w:p w14:paraId="0DFAD1D3" w14:textId="77777777" w:rsidR="00247CBF" w:rsidRPr="00092ED7" w:rsidRDefault="00247CBF" w:rsidP="00247CBF">
            <w:pPr>
              <w:spacing w:after="0"/>
              <w:jc w:val="center"/>
              <w:rPr>
                <w:sz w:val="20"/>
                <w:szCs w:val="20"/>
                <w:lang w:val="sr-Cyrl-CS"/>
              </w:rPr>
            </w:pPr>
            <w:r w:rsidRPr="00092ED7">
              <w:rPr>
                <w:sz w:val="20"/>
                <w:szCs w:val="20"/>
                <w:lang w:val="sr-Cyrl-CS"/>
              </w:rPr>
              <w:t>-0,2</w:t>
            </w:r>
          </w:p>
        </w:tc>
      </w:tr>
      <w:tr w:rsidR="00247CBF" w:rsidRPr="00092ED7" w14:paraId="0A12E287" w14:textId="77777777" w:rsidTr="00247CBF">
        <w:trPr>
          <w:trHeight w:val="227"/>
        </w:trPr>
        <w:tc>
          <w:tcPr>
            <w:tcW w:w="6538" w:type="dxa"/>
            <w:tcBorders>
              <w:top w:val="nil"/>
              <w:left w:val="double" w:sz="6" w:space="0" w:color="000000"/>
              <w:bottom w:val="double" w:sz="6" w:space="0" w:color="000000"/>
              <w:right w:val="single" w:sz="8" w:space="0" w:color="000000"/>
            </w:tcBorders>
            <w:shd w:val="clear" w:color="auto" w:fill="auto"/>
            <w:vAlign w:val="center"/>
            <w:hideMark/>
          </w:tcPr>
          <w:p w14:paraId="23A6C5C2" w14:textId="77777777" w:rsidR="00247CBF" w:rsidRPr="00092ED7" w:rsidRDefault="00247CBF" w:rsidP="00247CBF">
            <w:pPr>
              <w:spacing w:after="0"/>
              <w:ind w:firstLineChars="100" w:firstLine="200"/>
              <w:jc w:val="left"/>
              <w:rPr>
                <w:rFonts w:eastAsia="Times New Roman" w:cs="Times New Roman"/>
                <w:sz w:val="20"/>
                <w:szCs w:val="20"/>
                <w:lang w:val="sr-Cyrl-CS"/>
              </w:rPr>
            </w:pPr>
            <w:r w:rsidRPr="00092ED7">
              <w:rPr>
                <w:rFonts w:eastAsia="Times New Roman" w:cs="Times New Roman"/>
                <w:sz w:val="20"/>
                <w:szCs w:val="20"/>
                <w:lang w:val="sr-Cyrl-CS"/>
              </w:rPr>
              <w:t>7. Циклична компонента буџета</w:t>
            </w:r>
          </w:p>
        </w:tc>
        <w:tc>
          <w:tcPr>
            <w:tcW w:w="2263" w:type="dxa"/>
            <w:gridSpan w:val="2"/>
            <w:tcBorders>
              <w:top w:val="dotted" w:sz="4" w:space="0" w:color="000000"/>
              <w:left w:val="nil"/>
              <w:bottom w:val="double" w:sz="6" w:space="0" w:color="000000"/>
              <w:right w:val="single" w:sz="8" w:space="0" w:color="000000"/>
            </w:tcBorders>
            <w:shd w:val="clear" w:color="auto" w:fill="auto"/>
            <w:noWrap/>
            <w:vAlign w:val="bottom"/>
            <w:hideMark/>
          </w:tcPr>
          <w:p w14:paraId="4FFD6005"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 БДП</w:t>
            </w:r>
          </w:p>
        </w:tc>
        <w:tc>
          <w:tcPr>
            <w:tcW w:w="1144" w:type="dxa"/>
            <w:tcBorders>
              <w:top w:val="nil"/>
              <w:left w:val="nil"/>
              <w:bottom w:val="double" w:sz="6" w:space="0" w:color="000000"/>
              <w:right w:val="dotted" w:sz="4" w:space="0" w:color="000000"/>
            </w:tcBorders>
            <w:shd w:val="clear" w:color="auto" w:fill="auto"/>
            <w:vAlign w:val="center"/>
            <w:hideMark/>
          </w:tcPr>
          <w:p w14:paraId="465970AA" w14:textId="77777777" w:rsidR="00247CBF" w:rsidRPr="00092ED7" w:rsidRDefault="00247CBF" w:rsidP="00247CBF">
            <w:pPr>
              <w:spacing w:after="0"/>
              <w:jc w:val="center"/>
              <w:rPr>
                <w:sz w:val="20"/>
                <w:szCs w:val="20"/>
                <w:lang w:val="sr-Cyrl-CS"/>
              </w:rPr>
            </w:pPr>
            <w:r w:rsidRPr="00092ED7">
              <w:rPr>
                <w:sz w:val="20"/>
                <w:szCs w:val="20"/>
                <w:lang w:val="sr-Cyrl-CS"/>
              </w:rPr>
              <w:t>0,5</w:t>
            </w:r>
          </w:p>
        </w:tc>
        <w:tc>
          <w:tcPr>
            <w:tcW w:w="1145" w:type="dxa"/>
            <w:tcBorders>
              <w:top w:val="nil"/>
              <w:left w:val="nil"/>
              <w:bottom w:val="double" w:sz="6" w:space="0" w:color="000000"/>
              <w:right w:val="dotted" w:sz="4" w:space="0" w:color="000000"/>
            </w:tcBorders>
            <w:shd w:val="clear" w:color="auto" w:fill="auto"/>
            <w:vAlign w:val="center"/>
            <w:hideMark/>
          </w:tcPr>
          <w:p w14:paraId="70440338" w14:textId="77777777" w:rsidR="00247CBF" w:rsidRPr="00092ED7" w:rsidRDefault="00247CBF" w:rsidP="00247CBF">
            <w:pPr>
              <w:spacing w:after="0"/>
              <w:jc w:val="center"/>
              <w:rPr>
                <w:sz w:val="20"/>
                <w:szCs w:val="20"/>
                <w:lang w:val="sr-Cyrl-CS"/>
              </w:rPr>
            </w:pPr>
            <w:r w:rsidRPr="00092ED7">
              <w:rPr>
                <w:sz w:val="20"/>
                <w:szCs w:val="20"/>
                <w:lang w:val="sr-Cyrl-CS"/>
              </w:rPr>
              <w:t>0,3</w:t>
            </w:r>
          </w:p>
        </w:tc>
        <w:tc>
          <w:tcPr>
            <w:tcW w:w="1144" w:type="dxa"/>
            <w:tcBorders>
              <w:top w:val="nil"/>
              <w:left w:val="nil"/>
              <w:bottom w:val="double" w:sz="6" w:space="0" w:color="000000"/>
              <w:right w:val="dotted" w:sz="4" w:space="0" w:color="000000"/>
            </w:tcBorders>
            <w:shd w:val="clear" w:color="auto" w:fill="auto"/>
            <w:vAlign w:val="center"/>
            <w:hideMark/>
          </w:tcPr>
          <w:p w14:paraId="7C3C76E6" w14:textId="77777777" w:rsidR="00247CBF" w:rsidRPr="00092ED7" w:rsidRDefault="00247CBF" w:rsidP="00247CBF">
            <w:pPr>
              <w:spacing w:after="0"/>
              <w:jc w:val="center"/>
              <w:rPr>
                <w:sz w:val="20"/>
                <w:szCs w:val="20"/>
                <w:lang w:val="sr-Cyrl-CS"/>
              </w:rPr>
            </w:pPr>
            <w:r w:rsidRPr="00092ED7">
              <w:rPr>
                <w:sz w:val="20"/>
                <w:szCs w:val="20"/>
                <w:lang w:val="sr-Cyrl-CS"/>
              </w:rPr>
              <w:t>-0,1</w:t>
            </w:r>
          </w:p>
        </w:tc>
        <w:tc>
          <w:tcPr>
            <w:tcW w:w="1145" w:type="dxa"/>
            <w:tcBorders>
              <w:top w:val="nil"/>
              <w:left w:val="nil"/>
              <w:bottom w:val="double" w:sz="6" w:space="0" w:color="000000"/>
              <w:right w:val="dotted" w:sz="4" w:space="0" w:color="000000"/>
            </w:tcBorders>
            <w:shd w:val="clear" w:color="auto" w:fill="auto"/>
            <w:vAlign w:val="center"/>
            <w:hideMark/>
          </w:tcPr>
          <w:p w14:paraId="36AA43A0" w14:textId="77777777" w:rsidR="00247CBF" w:rsidRPr="00092ED7" w:rsidRDefault="00247CBF" w:rsidP="00247CBF">
            <w:pPr>
              <w:spacing w:after="0"/>
              <w:jc w:val="center"/>
              <w:rPr>
                <w:sz w:val="20"/>
                <w:szCs w:val="20"/>
                <w:lang w:val="sr-Cyrl-CS"/>
              </w:rPr>
            </w:pPr>
            <w:r w:rsidRPr="00092ED7">
              <w:rPr>
                <w:sz w:val="20"/>
                <w:szCs w:val="20"/>
                <w:lang w:val="sr-Cyrl-CS"/>
              </w:rPr>
              <w:t>-0,2</w:t>
            </w:r>
          </w:p>
        </w:tc>
        <w:tc>
          <w:tcPr>
            <w:tcW w:w="1145" w:type="dxa"/>
            <w:tcBorders>
              <w:top w:val="nil"/>
              <w:left w:val="nil"/>
              <w:bottom w:val="double" w:sz="6" w:space="0" w:color="000000"/>
              <w:right w:val="double" w:sz="6" w:space="0" w:color="000000"/>
            </w:tcBorders>
            <w:shd w:val="clear" w:color="auto" w:fill="auto"/>
            <w:vAlign w:val="center"/>
            <w:hideMark/>
          </w:tcPr>
          <w:p w14:paraId="3CF12485" w14:textId="77777777" w:rsidR="00247CBF" w:rsidRPr="00092ED7" w:rsidRDefault="00247CBF" w:rsidP="00247CBF">
            <w:pPr>
              <w:spacing w:after="0"/>
              <w:jc w:val="center"/>
              <w:rPr>
                <w:sz w:val="20"/>
                <w:szCs w:val="20"/>
                <w:lang w:val="sr-Cyrl-CS"/>
              </w:rPr>
            </w:pPr>
            <w:r w:rsidRPr="00092ED7">
              <w:rPr>
                <w:sz w:val="20"/>
                <w:szCs w:val="20"/>
                <w:lang w:val="sr-Cyrl-CS"/>
              </w:rPr>
              <w:t>-0,1</w:t>
            </w:r>
          </w:p>
        </w:tc>
      </w:tr>
      <w:tr w:rsidR="00247CBF" w:rsidRPr="00092ED7" w14:paraId="330AC8D2" w14:textId="77777777" w:rsidTr="00247CBF">
        <w:trPr>
          <w:trHeight w:val="227"/>
        </w:trPr>
        <w:tc>
          <w:tcPr>
            <w:tcW w:w="6538" w:type="dxa"/>
            <w:tcBorders>
              <w:top w:val="nil"/>
              <w:left w:val="nil"/>
              <w:bottom w:val="nil"/>
              <w:right w:val="nil"/>
            </w:tcBorders>
            <w:shd w:val="clear" w:color="auto" w:fill="auto"/>
            <w:noWrap/>
            <w:vAlign w:val="bottom"/>
            <w:hideMark/>
          </w:tcPr>
          <w:p w14:paraId="11891137" w14:textId="77777777" w:rsidR="00247CBF" w:rsidRPr="00092ED7" w:rsidRDefault="00247CBF" w:rsidP="00247CBF">
            <w:pPr>
              <w:spacing w:after="0"/>
              <w:rPr>
                <w:rFonts w:eastAsia="Times New Roman" w:cs="Times New Roman"/>
                <w:sz w:val="16"/>
                <w:szCs w:val="16"/>
                <w:lang w:val="sr-Cyrl-CS"/>
              </w:rPr>
            </w:pPr>
            <w:r w:rsidRPr="00092ED7">
              <w:rPr>
                <w:rFonts w:eastAsia="Times New Roman" w:cs="Times New Roman"/>
                <w:sz w:val="16"/>
                <w:szCs w:val="16"/>
                <w:lang w:val="sr-Cyrl-CS"/>
              </w:rPr>
              <w:t>[1] Позитиван знак значи једнократне мере за смањење дефицита.</w:t>
            </w:r>
          </w:p>
        </w:tc>
        <w:tc>
          <w:tcPr>
            <w:tcW w:w="893" w:type="dxa"/>
            <w:tcBorders>
              <w:top w:val="nil"/>
              <w:left w:val="nil"/>
              <w:bottom w:val="nil"/>
              <w:right w:val="nil"/>
            </w:tcBorders>
            <w:shd w:val="clear" w:color="auto" w:fill="auto"/>
            <w:noWrap/>
            <w:vAlign w:val="bottom"/>
            <w:hideMark/>
          </w:tcPr>
          <w:p w14:paraId="526618FC" w14:textId="77777777" w:rsidR="00247CBF" w:rsidRPr="00092ED7" w:rsidRDefault="00247CBF" w:rsidP="00247CBF">
            <w:pPr>
              <w:spacing w:after="0"/>
              <w:rPr>
                <w:rFonts w:ascii="Arial" w:eastAsia="Times New Roman" w:hAnsi="Arial" w:cs="Arial"/>
                <w:sz w:val="16"/>
                <w:szCs w:val="16"/>
                <w:lang w:val="sr-Cyrl-CS"/>
              </w:rPr>
            </w:pPr>
            <w:r w:rsidRPr="00092ED7">
              <w:rPr>
                <w:rFonts w:ascii="Arial" w:eastAsia="Times New Roman" w:hAnsi="Arial" w:cs="Arial"/>
                <w:sz w:val="16"/>
                <w:szCs w:val="16"/>
                <w:lang w:val="sr-Cyrl-CS"/>
              </w:rPr>
              <w:t> </w:t>
            </w:r>
          </w:p>
        </w:tc>
        <w:tc>
          <w:tcPr>
            <w:tcW w:w="1370" w:type="dxa"/>
            <w:tcBorders>
              <w:top w:val="nil"/>
              <w:left w:val="nil"/>
              <w:bottom w:val="nil"/>
              <w:right w:val="nil"/>
            </w:tcBorders>
            <w:shd w:val="clear" w:color="auto" w:fill="auto"/>
            <w:noWrap/>
            <w:vAlign w:val="bottom"/>
            <w:hideMark/>
          </w:tcPr>
          <w:p w14:paraId="31D9699E" w14:textId="77777777" w:rsidR="00247CBF" w:rsidRPr="00092ED7" w:rsidRDefault="00247CBF" w:rsidP="00247CBF">
            <w:pPr>
              <w:spacing w:after="0"/>
              <w:rPr>
                <w:rFonts w:ascii="Arial" w:eastAsia="Times New Roman" w:hAnsi="Arial" w:cs="Arial"/>
                <w:sz w:val="16"/>
                <w:szCs w:val="16"/>
                <w:lang w:val="sr-Cyrl-CS"/>
              </w:rPr>
            </w:pPr>
            <w:r w:rsidRPr="00092ED7">
              <w:rPr>
                <w:rFonts w:ascii="Arial" w:eastAsia="Times New Roman" w:hAnsi="Arial" w:cs="Arial"/>
                <w:sz w:val="16"/>
                <w:szCs w:val="16"/>
                <w:lang w:val="sr-Cyrl-CS"/>
              </w:rPr>
              <w:t> </w:t>
            </w:r>
          </w:p>
        </w:tc>
        <w:tc>
          <w:tcPr>
            <w:tcW w:w="1144" w:type="dxa"/>
            <w:tcBorders>
              <w:top w:val="nil"/>
              <w:left w:val="nil"/>
              <w:bottom w:val="nil"/>
              <w:right w:val="nil"/>
            </w:tcBorders>
            <w:shd w:val="clear" w:color="auto" w:fill="auto"/>
            <w:noWrap/>
            <w:vAlign w:val="bottom"/>
            <w:hideMark/>
          </w:tcPr>
          <w:p w14:paraId="7CB5A5B7" w14:textId="77777777" w:rsidR="00247CBF" w:rsidRPr="00092ED7" w:rsidRDefault="00247CBF" w:rsidP="00247CBF">
            <w:pPr>
              <w:spacing w:after="0"/>
              <w:rPr>
                <w:rFonts w:ascii="Arial" w:eastAsia="Times New Roman" w:hAnsi="Arial" w:cs="Arial"/>
                <w:sz w:val="16"/>
                <w:szCs w:val="16"/>
                <w:lang w:val="sr-Cyrl-CS"/>
              </w:rPr>
            </w:pPr>
            <w:r w:rsidRPr="00092ED7">
              <w:rPr>
                <w:rFonts w:ascii="Arial" w:eastAsia="Times New Roman" w:hAnsi="Arial" w:cs="Arial"/>
                <w:sz w:val="16"/>
                <w:szCs w:val="16"/>
                <w:lang w:val="sr-Cyrl-CS"/>
              </w:rPr>
              <w:t> </w:t>
            </w:r>
          </w:p>
        </w:tc>
        <w:tc>
          <w:tcPr>
            <w:tcW w:w="1145" w:type="dxa"/>
            <w:tcBorders>
              <w:top w:val="nil"/>
              <w:left w:val="nil"/>
              <w:bottom w:val="nil"/>
              <w:right w:val="nil"/>
            </w:tcBorders>
            <w:shd w:val="clear" w:color="auto" w:fill="auto"/>
            <w:noWrap/>
            <w:vAlign w:val="bottom"/>
            <w:hideMark/>
          </w:tcPr>
          <w:p w14:paraId="5FA35D15" w14:textId="77777777" w:rsidR="00247CBF" w:rsidRPr="00092ED7" w:rsidRDefault="00247CBF" w:rsidP="00247CBF">
            <w:pPr>
              <w:spacing w:after="0"/>
              <w:rPr>
                <w:rFonts w:ascii="Arial" w:eastAsia="Times New Roman" w:hAnsi="Arial" w:cs="Arial"/>
                <w:sz w:val="16"/>
                <w:szCs w:val="16"/>
                <w:lang w:val="sr-Cyrl-CS"/>
              </w:rPr>
            </w:pPr>
            <w:r w:rsidRPr="00092ED7">
              <w:rPr>
                <w:rFonts w:ascii="Arial" w:eastAsia="Times New Roman" w:hAnsi="Arial" w:cs="Arial"/>
                <w:sz w:val="16"/>
                <w:szCs w:val="16"/>
                <w:lang w:val="sr-Cyrl-CS"/>
              </w:rPr>
              <w:t> </w:t>
            </w:r>
          </w:p>
        </w:tc>
        <w:tc>
          <w:tcPr>
            <w:tcW w:w="1144" w:type="dxa"/>
            <w:tcBorders>
              <w:top w:val="nil"/>
              <w:left w:val="nil"/>
              <w:bottom w:val="nil"/>
              <w:right w:val="nil"/>
            </w:tcBorders>
            <w:shd w:val="clear" w:color="auto" w:fill="auto"/>
            <w:noWrap/>
            <w:vAlign w:val="bottom"/>
            <w:hideMark/>
          </w:tcPr>
          <w:p w14:paraId="1936D55C" w14:textId="77777777" w:rsidR="00247CBF" w:rsidRPr="00092ED7" w:rsidRDefault="00247CBF" w:rsidP="00247CBF">
            <w:pPr>
              <w:spacing w:after="0"/>
              <w:rPr>
                <w:rFonts w:ascii="Arial" w:eastAsia="Times New Roman" w:hAnsi="Arial" w:cs="Arial"/>
                <w:sz w:val="16"/>
                <w:szCs w:val="16"/>
                <w:lang w:val="sr-Cyrl-CS"/>
              </w:rPr>
            </w:pPr>
            <w:r w:rsidRPr="00092ED7">
              <w:rPr>
                <w:rFonts w:ascii="Arial" w:eastAsia="Times New Roman" w:hAnsi="Arial" w:cs="Arial"/>
                <w:sz w:val="16"/>
                <w:szCs w:val="16"/>
                <w:lang w:val="sr-Cyrl-CS"/>
              </w:rPr>
              <w:t> </w:t>
            </w:r>
          </w:p>
        </w:tc>
        <w:tc>
          <w:tcPr>
            <w:tcW w:w="1145" w:type="dxa"/>
            <w:tcBorders>
              <w:top w:val="nil"/>
              <w:left w:val="nil"/>
              <w:bottom w:val="nil"/>
              <w:right w:val="nil"/>
            </w:tcBorders>
            <w:shd w:val="clear" w:color="auto" w:fill="auto"/>
            <w:noWrap/>
            <w:vAlign w:val="bottom"/>
            <w:hideMark/>
          </w:tcPr>
          <w:p w14:paraId="67A3DF05" w14:textId="77777777" w:rsidR="00247CBF" w:rsidRPr="00092ED7" w:rsidRDefault="00247CBF" w:rsidP="00247CBF">
            <w:pPr>
              <w:spacing w:after="0"/>
              <w:rPr>
                <w:rFonts w:ascii="Arial" w:eastAsia="Times New Roman" w:hAnsi="Arial" w:cs="Arial"/>
                <w:sz w:val="16"/>
                <w:szCs w:val="16"/>
                <w:lang w:val="sr-Cyrl-CS"/>
              </w:rPr>
            </w:pPr>
            <w:r w:rsidRPr="00092ED7">
              <w:rPr>
                <w:rFonts w:ascii="Arial" w:eastAsia="Times New Roman" w:hAnsi="Arial" w:cs="Arial"/>
                <w:sz w:val="16"/>
                <w:szCs w:val="16"/>
                <w:lang w:val="sr-Cyrl-CS"/>
              </w:rPr>
              <w:t> </w:t>
            </w:r>
          </w:p>
        </w:tc>
        <w:tc>
          <w:tcPr>
            <w:tcW w:w="1145" w:type="dxa"/>
            <w:tcBorders>
              <w:top w:val="nil"/>
              <w:left w:val="nil"/>
              <w:bottom w:val="nil"/>
              <w:right w:val="nil"/>
            </w:tcBorders>
            <w:shd w:val="clear" w:color="auto" w:fill="auto"/>
            <w:noWrap/>
            <w:vAlign w:val="bottom"/>
            <w:hideMark/>
          </w:tcPr>
          <w:p w14:paraId="14AFB04A" w14:textId="77777777" w:rsidR="00247CBF" w:rsidRPr="00092ED7" w:rsidRDefault="00247CBF" w:rsidP="00247CBF">
            <w:pPr>
              <w:spacing w:after="0"/>
              <w:jc w:val="right"/>
              <w:rPr>
                <w:rFonts w:ascii="Arial" w:eastAsia="Times New Roman" w:hAnsi="Arial" w:cs="Arial"/>
                <w:sz w:val="16"/>
                <w:szCs w:val="16"/>
                <w:lang w:val="sr-Cyrl-CS"/>
              </w:rPr>
            </w:pPr>
            <w:r w:rsidRPr="00092ED7">
              <w:rPr>
                <w:rFonts w:ascii="Arial" w:eastAsia="Times New Roman" w:hAnsi="Arial" w:cs="Arial"/>
                <w:sz w:val="16"/>
                <w:szCs w:val="16"/>
                <w:lang w:val="sr-Cyrl-CS"/>
              </w:rPr>
              <w:t> </w:t>
            </w:r>
          </w:p>
        </w:tc>
      </w:tr>
    </w:tbl>
    <w:p w14:paraId="3FC6F422" w14:textId="77777777" w:rsidR="00247CBF" w:rsidRPr="00092ED7" w:rsidRDefault="00247CBF" w:rsidP="00247CBF">
      <w:pPr>
        <w:rPr>
          <w:rFonts w:cs="Times New Roman"/>
          <w:lang w:val="sr-Cyrl-CS"/>
        </w:rPr>
      </w:pPr>
    </w:p>
    <w:tbl>
      <w:tblPr>
        <w:tblW w:w="5000" w:type="pct"/>
        <w:tblLook w:val="04A0" w:firstRow="1" w:lastRow="0" w:firstColumn="1" w:lastColumn="0" w:noHBand="0" w:noVBand="1"/>
      </w:tblPr>
      <w:tblGrid>
        <w:gridCol w:w="23"/>
        <w:gridCol w:w="6641"/>
        <w:gridCol w:w="29"/>
        <w:gridCol w:w="1169"/>
        <w:gridCol w:w="219"/>
        <w:gridCol w:w="1139"/>
        <w:gridCol w:w="157"/>
        <w:gridCol w:w="938"/>
        <w:gridCol w:w="358"/>
        <w:gridCol w:w="729"/>
        <w:gridCol w:w="568"/>
        <w:gridCol w:w="1297"/>
        <w:gridCol w:w="1303"/>
      </w:tblGrid>
      <w:tr w:rsidR="00247CBF" w:rsidRPr="00092ED7" w14:paraId="610CD743" w14:textId="77777777" w:rsidTr="00247CBF">
        <w:trPr>
          <w:trHeight w:val="227"/>
        </w:trPr>
        <w:tc>
          <w:tcPr>
            <w:tcW w:w="2297" w:type="pct"/>
            <w:gridSpan w:val="3"/>
            <w:tcBorders>
              <w:top w:val="nil"/>
              <w:left w:val="nil"/>
              <w:bottom w:val="nil"/>
              <w:right w:val="nil"/>
            </w:tcBorders>
            <w:shd w:val="clear" w:color="000000" w:fill="FFFFFF"/>
            <w:noWrap/>
            <w:vAlign w:val="bottom"/>
            <w:hideMark/>
          </w:tcPr>
          <w:p w14:paraId="4E90A001" w14:textId="77777777" w:rsidR="00247CBF" w:rsidRPr="00092ED7" w:rsidRDefault="00247CBF" w:rsidP="00247CBF">
            <w:pPr>
              <w:spacing w:after="0"/>
              <w:rPr>
                <w:rFonts w:eastAsia="Times New Roman" w:cs="Times New Roman"/>
                <w:b/>
                <w:bCs/>
                <w:sz w:val="20"/>
                <w:szCs w:val="20"/>
                <w:lang w:val="sr-Cyrl-CS"/>
              </w:rPr>
            </w:pPr>
            <w:r w:rsidRPr="00092ED7">
              <w:rPr>
                <w:rFonts w:eastAsia="Times New Roman" w:cs="Times New Roman"/>
                <w:b/>
                <w:bCs/>
                <w:sz w:val="20"/>
                <w:szCs w:val="20"/>
                <w:lang w:val="sr-Cyrl-CS"/>
              </w:rPr>
              <w:t>Табела 5: Циклична кретања</w:t>
            </w:r>
          </w:p>
        </w:tc>
        <w:tc>
          <w:tcPr>
            <w:tcW w:w="401" w:type="pct"/>
            <w:tcBorders>
              <w:top w:val="nil"/>
              <w:left w:val="nil"/>
              <w:bottom w:val="nil"/>
              <w:right w:val="nil"/>
            </w:tcBorders>
            <w:shd w:val="clear" w:color="000000" w:fill="FFFFFF"/>
            <w:noWrap/>
            <w:vAlign w:val="bottom"/>
            <w:hideMark/>
          </w:tcPr>
          <w:p w14:paraId="1D573689"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466" w:type="pct"/>
            <w:gridSpan w:val="2"/>
            <w:tcBorders>
              <w:top w:val="nil"/>
              <w:left w:val="nil"/>
              <w:bottom w:val="nil"/>
              <w:right w:val="nil"/>
            </w:tcBorders>
            <w:shd w:val="clear" w:color="000000" w:fill="FFFFFF"/>
            <w:noWrap/>
            <w:vAlign w:val="bottom"/>
            <w:hideMark/>
          </w:tcPr>
          <w:p w14:paraId="35D3D606"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376" w:type="pct"/>
            <w:gridSpan w:val="2"/>
            <w:tcBorders>
              <w:top w:val="nil"/>
              <w:left w:val="nil"/>
              <w:bottom w:val="nil"/>
              <w:right w:val="nil"/>
            </w:tcBorders>
            <w:shd w:val="clear" w:color="000000" w:fill="FFFFFF"/>
            <w:noWrap/>
            <w:vAlign w:val="bottom"/>
            <w:hideMark/>
          </w:tcPr>
          <w:p w14:paraId="1AC67D1F"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373" w:type="pct"/>
            <w:gridSpan w:val="2"/>
            <w:tcBorders>
              <w:top w:val="nil"/>
              <w:left w:val="nil"/>
              <w:bottom w:val="nil"/>
              <w:right w:val="nil"/>
            </w:tcBorders>
            <w:shd w:val="clear" w:color="000000" w:fill="FFFFFF"/>
            <w:noWrap/>
            <w:vAlign w:val="bottom"/>
            <w:hideMark/>
          </w:tcPr>
          <w:p w14:paraId="4BBAD90A"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1087" w:type="pct"/>
            <w:gridSpan w:val="3"/>
            <w:tcBorders>
              <w:top w:val="nil"/>
              <w:left w:val="nil"/>
              <w:bottom w:val="nil"/>
              <w:right w:val="nil"/>
            </w:tcBorders>
            <w:shd w:val="clear" w:color="000000" w:fill="FFFFFF"/>
            <w:noWrap/>
            <w:vAlign w:val="bottom"/>
            <w:hideMark/>
          </w:tcPr>
          <w:p w14:paraId="5A25391C" w14:textId="77777777" w:rsidR="00247CBF" w:rsidRPr="00092ED7" w:rsidRDefault="00247CBF" w:rsidP="00247CBF">
            <w:pPr>
              <w:spacing w:after="0"/>
              <w:jc w:val="right"/>
              <w:rPr>
                <w:rFonts w:eastAsia="Times New Roman" w:cs="Times New Roman"/>
                <w:sz w:val="20"/>
                <w:szCs w:val="20"/>
                <w:lang w:val="sr-Cyrl-CS"/>
              </w:rPr>
            </w:pPr>
            <w:r w:rsidRPr="00092ED7">
              <w:rPr>
                <w:rFonts w:eastAsia="Times New Roman" w:cs="Times New Roman"/>
                <w:b/>
                <w:bCs/>
                <w:sz w:val="20"/>
                <w:szCs w:val="20"/>
                <w:lang w:val="sr-Cyrl-CS"/>
              </w:rPr>
              <w:t>Република Србија</w:t>
            </w:r>
          </w:p>
        </w:tc>
      </w:tr>
      <w:tr w:rsidR="00247CBF" w:rsidRPr="00092ED7" w14:paraId="7B5D20A2" w14:textId="77777777" w:rsidTr="00247CBF">
        <w:trPr>
          <w:gridBefore w:val="1"/>
          <w:wBefore w:w="8" w:type="pct"/>
          <w:trHeight w:val="227"/>
        </w:trPr>
        <w:tc>
          <w:tcPr>
            <w:tcW w:w="2279" w:type="pct"/>
            <w:vMerge w:val="restart"/>
            <w:tcBorders>
              <w:top w:val="double" w:sz="6" w:space="0" w:color="000000"/>
              <w:left w:val="double" w:sz="6" w:space="0" w:color="000000"/>
              <w:right w:val="nil"/>
            </w:tcBorders>
            <w:shd w:val="clear" w:color="000000" w:fill="FFFFFF"/>
            <w:vAlign w:val="center"/>
            <w:hideMark/>
          </w:tcPr>
          <w:p w14:paraId="44AB1B5A"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 БДП</w:t>
            </w:r>
          </w:p>
        </w:tc>
        <w:tc>
          <w:tcPr>
            <w:tcW w:w="486" w:type="pct"/>
            <w:gridSpan w:val="3"/>
            <w:vMerge w:val="restart"/>
            <w:tcBorders>
              <w:top w:val="double" w:sz="6" w:space="0" w:color="000000"/>
              <w:left w:val="single" w:sz="4" w:space="0" w:color="000000"/>
              <w:right w:val="single" w:sz="4" w:space="0" w:color="000000"/>
            </w:tcBorders>
            <w:shd w:val="clear" w:color="000000" w:fill="FFFFFF"/>
            <w:vAlign w:val="center"/>
            <w:hideMark/>
          </w:tcPr>
          <w:p w14:paraId="734528C1"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ESA шифра</w:t>
            </w:r>
          </w:p>
        </w:tc>
        <w:tc>
          <w:tcPr>
            <w:tcW w:w="445" w:type="pct"/>
            <w:gridSpan w:val="2"/>
            <w:tcBorders>
              <w:top w:val="double" w:sz="6" w:space="0" w:color="000000"/>
              <w:left w:val="nil"/>
              <w:bottom w:val="nil"/>
              <w:right w:val="nil"/>
            </w:tcBorders>
            <w:shd w:val="clear" w:color="000000" w:fill="FFFFFF"/>
            <w:vAlign w:val="center"/>
            <w:hideMark/>
          </w:tcPr>
          <w:p w14:paraId="3F3964E1" w14:textId="77777777" w:rsidR="00247CBF" w:rsidRPr="00092ED7" w:rsidRDefault="00247CBF" w:rsidP="00247CBF">
            <w:pPr>
              <w:spacing w:after="0"/>
              <w:jc w:val="center"/>
              <w:rPr>
                <w:sz w:val="20"/>
                <w:szCs w:val="20"/>
                <w:lang w:val="sr-Cyrl-CS"/>
              </w:rPr>
            </w:pPr>
            <w:r w:rsidRPr="00092ED7">
              <w:rPr>
                <w:sz w:val="20"/>
                <w:szCs w:val="20"/>
                <w:lang w:val="sr-Cyrl-CS"/>
              </w:rPr>
              <w:t>Година</w:t>
            </w:r>
          </w:p>
        </w:tc>
        <w:tc>
          <w:tcPr>
            <w:tcW w:w="445" w:type="pct"/>
            <w:gridSpan w:val="2"/>
            <w:tcBorders>
              <w:top w:val="double" w:sz="6" w:space="0" w:color="000000"/>
              <w:left w:val="dotted" w:sz="4" w:space="0" w:color="000000"/>
              <w:bottom w:val="nil"/>
              <w:right w:val="dotted" w:sz="4" w:space="0" w:color="000000"/>
            </w:tcBorders>
            <w:shd w:val="clear" w:color="000000" w:fill="FFFFFF"/>
            <w:vAlign w:val="center"/>
            <w:hideMark/>
          </w:tcPr>
          <w:p w14:paraId="17DFF3D1" w14:textId="77777777" w:rsidR="00247CBF" w:rsidRPr="00092ED7" w:rsidRDefault="00247CBF" w:rsidP="00247CBF">
            <w:pPr>
              <w:spacing w:after="0"/>
              <w:jc w:val="center"/>
              <w:rPr>
                <w:sz w:val="20"/>
                <w:szCs w:val="20"/>
                <w:lang w:val="sr-Cyrl-CS"/>
              </w:rPr>
            </w:pPr>
            <w:r w:rsidRPr="00092ED7">
              <w:rPr>
                <w:sz w:val="20"/>
                <w:szCs w:val="20"/>
                <w:lang w:val="sr-Cyrl-CS"/>
              </w:rPr>
              <w:t>Година</w:t>
            </w:r>
          </w:p>
        </w:tc>
        <w:tc>
          <w:tcPr>
            <w:tcW w:w="445" w:type="pct"/>
            <w:gridSpan w:val="2"/>
            <w:tcBorders>
              <w:top w:val="double" w:sz="6" w:space="0" w:color="000000"/>
              <w:left w:val="nil"/>
              <w:bottom w:val="nil"/>
              <w:right w:val="dotted" w:sz="4" w:space="0" w:color="000000"/>
            </w:tcBorders>
            <w:shd w:val="clear" w:color="000000" w:fill="FFFFFF"/>
            <w:vAlign w:val="center"/>
            <w:hideMark/>
          </w:tcPr>
          <w:p w14:paraId="059957DF" w14:textId="77777777" w:rsidR="00247CBF" w:rsidRPr="00092ED7" w:rsidRDefault="00247CBF" w:rsidP="00247CBF">
            <w:pPr>
              <w:spacing w:after="0"/>
              <w:jc w:val="center"/>
              <w:rPr>
                <w:sz w:val="20"/>
                <w:szCs w:val="20"/>
                <w:lang w:val="sr-Cyrl-CS"/>
              </w:rPr>
            </w:pPr>
            <w:r w:rsidRPr="00092ED7">
              <w:rPr>
                <w:sz w:val="20"/>
                <w:szCs w:val="20"/>
                <w:lang w:val="sr-Cyrl-CS"/>
              </w:rPr>
              <w:t>Година</w:t>
            </w:r>
          </w:p>
        </w:tc>
        <w:tc>
          <w:tcPr>
            <w:tcW w:w="445" w:type="pct"/>
            <w:tcBorders>
              <w:top w:val="double" w:sz="6" w:space="0" w:color="000000"/>
              <w:left w:val="nil"/>
              <w:bottom w:val="nil"/>
              <w:right w:val="dotted" w:sz="4" w:space="0" w:color="000000"/>
            </w:tcBorders>
            <w:shd w:val="clear" w:color="000000" w:fill="FFFFFF"/>
            <w:vAlign w:val="center"/>
            <w:hideMark/>
          </w:tcPr>
          <w:p w14:paraId="66CCA94D" w14:textId="77777777" w:rsidR="00247CBF" w:rsidRPr="00092ED7" w:rsidRDefault="00247CBF" w:rsidP="00247CBF">
            <w:pPr>
              <w:spacing w:after="0"/>
              <w:jc w:val="center"/>
              <w:rPr>
                <w:sz w:val="20"/>
                <w:szCs w:val="20"/>
                <w:lang w:val="sr-Cyrl-CS"/>
              </w:rPr>
            </w:pPr>
            <w:r w:rsidRPr="00092ED7">
              <w:rPr>
                <w:sz w:val="20"/>
                <w:szCs w:val="20"/>
                <w:lang w:val="sr-Cyrl-CS"/>
              </w:rPr>
              <w:t>Година</w:t>
            </w:r>
          </w:p>
        </w:tc>
        <w:tc>
          <w:tcPr>
            <w:tcW w:w="447" w:type="pct"/>
            <w:tcBorders>
              <w:top w:val="double" w:sz="6" w:space="0" w:color="000000"/>
              <w:left w:val="nil"/>
              <w:bottom w:val="nil"/>
              <w:right w:val="double" w:sz="6" w:space="0" w:color="000000"/>
            </w:tcBorders>
            <w:shd w:val="clear" w:color="000000" w:fill="FFFFFF"/>
            <w:vAlign w:val="center"/>
            <w:hideMark/>
          </w:tcPr>
          <w:p w14:paraId="5487DE04" w14:textId="77777777" w:rsidR="00247CBF" w:rsidRPr="00092ED7" w:rsidRDefault="00247CBF" w:rsidP="00247CBF">
            <w:pPr>
              <w:spacing w:after="0"/>
              <w:jc w:val="center"/>
              <w:rPr>
                <w:sz w:val="20"/>
                <w:szCs w:val="20"/>
                <w:lang w:val="sr-Cyrl-CS"/>
              </w:rPr>
            </w:pPr>
            <w:r w:rsidRPr="00092ED7">
              <w:rPr>
                <w:sz w:val="20"/>
                <w:szCs w:val="20"/>
                <w:lang w:val="sr-Cyrl-CS"/>
              </w:rPr>
              <w:t>Година</w:t>
            </w:r>
          </w:p>
        </w:tc>
      </w:tr>
      <w:tr w:rsidR="00247CBF" w:rsidRPr="00092ED7" w14:paraId="51D39B84" w14:textId="77777777" w:rsidTr="00247CBF">
        <w:trPr>
          <w:gridBefore w:val="1"/>
          <w:wBefore w:w="8" w:type="pct"/>
          <w:trHeight w:val="227"/>
        </w:trPr>
        <w:tc>
          <w:tcPr>
            <w:tcW w:w="2279" w:type="pct"/>
            <w:vMerge/>
            <w:tcBorders>
              <w:left w:val="double" w:sz="6" w:space="0" w:color="000000"/>
              <w:bottom w:val="single" w:sz="4" w:space="0" w:color="000000"/>
              <w:right w:val="nil"/>
            </w:tcBorders>
            <w:shd w:val="clear" w:color="000000" w:fill="FFFFFF"/>
            <w:vAlign w:val="bottom"/>
            <w:hideMark/>
          </w:tcPr>
          <w:p w14:paraId="3EB9D73F" w14:textId="77777777" w:rsidR="00247CBF" w:rsidRPr="00092ED7" w:rsidRDefault="00247CBF" w:rsidP="00247CBF">
            <w:pPr>
              <w:spacing w:after="0"/>
              <w:rPr>
                <w:rFonts w:eastAsia="Times New Roman" w:cs="Times New Roman"/>
                <w:sz w:val="20"/>
                <w:szCs w:val="20"/>
                <w:lang w:val="sr-Cyrl-CS"/>
              </w:rPr>
            </w:pPr>
          </w:p>
        </w:tc>
        <w:tc>
          <w:tcPr>
            <w:tcW w:w="486" w:type="pct"/>
            <w:gridSpan w:val="3"/>
            <w:vMerge/>
            <w:tcBorders>
              <w:left w:val="single" w:sz="4" w:space="0" w:color="000000"/>
              <w:bottom w:val="single" w:sz="4" w:space="0" w:color="000000"/>
              <w:right w:val="single" w:sz="4" w:space="0" w:color="000000"/>
            </w:tcBorders>
            <w:shd w:val="clear" w:color="000000" w:fill="FFFFFF"/>
            <w:vAlign w:val="center"/>
            <w:hideMark/>
          </w:tcPr>
          <w:p w14:paraId="7A83510B" w14:textId="77777777" w:rsidR="00247CBF" w:rsidRPr="00092ED7" w:rsidRDefault="00247CBF" w:rsidP="00247CBF">
            <w:pPr>
              <w:spacing w:after="0"/>
              <w:jc w:val="center"/>
              <w:rPr>
                <w:rFonts w:eastAsia="Times New Roman" w:cs="Times New Roman"/>
                <w:sz w:val="20"/>
                <w:szCs w:val="20"/>
                <w:lang w:val="sr-Cyrl-CS"/>
              </w:rPr>
            </w:pPr>
          </w:p>
        </w:tc>
        <w:tc>
          <w:tcPr>
            <w:tcW w:w="445" w:type="pct"/>
            <w:gridSpan w:val="2"/>
            <w:tcBorders>
              <w:top w:val="nil"/>
              <w:left w:val="nil"/>
              <w:bottom w:val="single" w:sz="4" w:space="0" w:color="000000"/>
              <w:right w:val="nil"/>
            </w:tcBorders>
            <w:shd w:val="clear" w:color="000000" w:fill="FFFFFF"/>
            <w:vAlign w:val="center"/>
            <w:hideMark/>
          </w:tcPr>
          <w:p w14:paraId="1AC905F0" w14:textId="77777777" w:rsidR="00247CBF" w:rsidRPr="00092ED7" w:rsidRDefault="00247CBF" w:rsidP="00247CBF">
            <w:pPr>
              <w:spacing w:after="0"/>
              <w:jc w:val="center"/>
              <w:rPr>
                <w:sz w:val="20"/>
                <w:szCs w:val="20"/>
                <w:lang w:val="sr-Cyrl-CS"/>
              </w:rPr>
            </w:pPr>
            <w:r w:rsidRPr="00092ED7">
              <w:rPr>
                <w:sz w:val="20"/>
                <w:szCs w:val="20"/>
                <w:lang w:val="sr-Cyrl-CS"/>
              </w:rPr>
              <w:t>2021</w:t>
            </w:r>
          </w:p>
        </w:tc>
        <w:tc>
          <w:tcPr>
            <w:tcW w:w="445" w:type="pct"/>
            <w:gridSpan w:val="2"/>
            <w:tcBorders>
              <w:top w:val="nil"/>
              <w:left w:val="dotted" w:sz="4" w:space="0" w:color="000000"/>
              <w:bottom w:val="single" w:sz="4" w:space="0" w:color="000000"/>
              <w:right w:val="dotted" w:sz="4" w:space="0" w:color="000000"/>
            </w:tcBorders>
            <w:shd w:val="clear" w:color="000000" w:fill="FFFFFF"/>
            <w:vAlign w:val="center"/>
            <w:hideMark/>
          </w:tcPr>
          <w:p w14:paraId="2CF5943E" w14:textId="77777777" w:rsidR="00247CBF" w:rsidRPr="00092ED7" w:rsidRDefault="00247CBF" w:rsidP="00247CBF">
            <w:pPr>
              <w:spacing w:after="0"/>
              <w:jc w:val="center"/>
              <w:rPr>
                <w:sz w:val="20"/>
                <w:szCs w:val="20"/>
                <w:lang w:val="sr-Cyrl-CS"/>
              </w:rPr>
            </w:pPr>
            <w:r w:rsidRPr="00092ED7">
              <w:rPr>
                <w:sz w:val="20"/>
                <w:szCs w:val="20"/>
                <w:lang w:val="sr-Cyrl-CS"/>
              </w:rPr>
              <w:t>2022</w:t>
            </w:r>
          </w:p>
        </w:tc>
        <w:tc>
          <w:tcPr>
            <w:tcW w:w="445" w:type="pct"/>
            <w:gridSpan w:val="2"/>
            <w:tcBorders>
              <w:top w:val="nil"/>
              <w:left w:val="nil"/>
              <w:bottom w:val="single" w:sz="4" w:space="0" w:color="000000"/>
              <w:right w:val="dotted" w:sz="4" w:space="0" w:color="000000"/>
            </w:tcBorders>
            <w:shd w:val="clear" w:color="000000" w:fill="FFFFFF"/>
            <w:vAlign w:val="center"/>
            <w:hideMark/>
          </w:tcPr>
          <w:p w14:paraId="6444D002" w14:textId="77777777" w:rsidR="00247CBF" w:rsidRPr="00092ED7" w:rsidRDefault="00247CBF" w:rsidP="00247CBF">
            <w:pPr>
              <w:spacing w:after="0"/>
              <w:jc w:val="center"/>
              <w:rPr>
                <w:sz w:val="20"/>
                <w:szCs w:val="20"/>
                <w:lang w:val="sr-Cyrl-CS"/>
              </w:rPr>
            </w:pPr>
            <w:r w:rsidRPr="00092ED7">
              <w:rPr>
                <w:sz w:val="20"/>
                <w:szCs w:val="20"/>
                <w:lang w:val="sr-Cyrl-CS"/>
              </w:rPr>
              <w:t>2023</w:t>
            </w:r>
          </w:p>
        </w:tc>
        <w:tc>
          <w:tcPr>
            <w:tcW w:w="445" w:type="pct"/>
            <w:tcBorders>
              <w:top w:val="nil"/>
              <w:left w:val="nil"/>
              <w:bottom w:val="single" w:sz="4" w:space="0" w:color="000000"/>
              <w:right w:val="dotted" w:sz="4" w:space="0" w:color="000000"/>
            </w:tcBorders>
            <w:shd w:val="clear" w:color="000000" w:fill="FFFFFF"/>
            <w:vAlign w:val="center"/>
            <w:hideMark/>
          </w:tcPr>
          <w:p w14:paraId="3EECD37D" w14:textId="77777777" w:rsidR="00247CBF" w:rsidRPr="00092ED7" w:rsidRDefault="00247CBF" w:rsidP="00247CBF">
            <w:pPr>
              <w:spacing w:after="0"/>
              <w:jc w:val="center"/>
              <w:rPr>
                <w:sz w:val="20"/>
                <w:szCs w:val="20"/>
                <w:lang w:val="sr-Cyrl-CS"/>
              </w:rPr>
            </w:pPr>
            <w:r w:rsidRPr="00092ED7">
              <w:rPr>
                <w:sz w:val="20"/>
                <w:szCs w:val="20"/>
                <w:lang w:val="sr-Cyrl-CS"/>
              </w:rPr>
              <w:t>2024</w:t>
            </w:r>
          </w:p>
        </w:tc>
        <w:tc>
          <w:tcPr>
            <w:tcW w:w="447" w:type="pct"/>
            <w:tcBorders>
              <w:top w:val="nil"/>
              <w:left w:val="nil"/>
              <w:bottom w:val="single" w:sz="4" w:space="0" w:color="000000"/>
              <w:right w:val="double" w:sz="6" w:space="0" w:color="000000"/>
            </w:tcBorders>
            <w:shd w:val="clear" w:color="000000" w:fill="FFFFFF"/>
            <w:vAlign w:val="center"/>
            <w:hideMark/>
          </w:tcPr>
          <w:p w14:paraId="1E7A386E" w14:textId="77777777" w:rsidR="00247CBF" w:rsidRPr="00092ED7" w:rsidRDefault="00247CBF" w:rsidP="00247CBF">
            <w:pPr>
              <w:spacing w:after="0"/>
              <w:jc w:val="center"/>
              <w:rPr>
                <w:sz w:val="20"/>
                <w:szCs w:val="20"/>
                <w:lang w:val="sr-Cyrl-CS"/>
              </w:rPr>
            </w:pPr>
            <w:r w:rsidRPr="00092ED7">
              <w:rPr>
                <w:sz w:val="20"/>
                <w:szCs w:val="20"/>
                <w:lang w:val="sr-Cyrl-CS"/>
              </w:rPr>
              <w:t>2025</w:t>
            </w:r>
          </w:p>
        </w:tc>
      </w:tr>
      <w:tr w:rsidR="00247CBF" w:rsidRPr="00092ED7" w14:paraId="058A03AF" w14:textId="77777777" w:rsidTr="00247CBF">
        <w:trPr>
          <w:gridBefore w:val="1"/>
          <w:wBefore w:w="8" w:type="pct"/>
          <w:trHeight w:val="227"/>
        </w:trPr>
        <w:tc>
          <w:tcPr>
            <w:tcW w:w="2279" w:type="pct"/>
            <w:tcBorders>
              <w:top w:val="nil"/>
              <w:left w:val="double" w:sz="6" w:space="0" w:color="000000"/>
              <w:bottom w:val="dotted" w:sz="4" w:space="0" w:color="000000"/>
              <w:right w:val="nil"/>
            </w:tcBorders>
            <w:shd w:val="clear" w:color="000000" w:fill="FFFFFF"/>
            <w:vAlign w:val="center"/>
            <w:hideMark/>
          </w:tcPr>
          <w:p w14:paraId="3E0202B3" w14:textId="77777777" w:rsidR="00247CBF" w:rsidRPr="00092ED7" w:rsidRDefault="00247CBF" w:rsidP="00247CBF">
            <w:pPr>
              <w:spacing w:after="0"/>
              <w:ind w:firstLineChars="100" w:firstLine="200"/>
              <w:jc w:val="left"/>
              <w:rPr>
                <w:rFonts w:eastAsia="Times New Roman" w:cs="Times New Roman"/>
                <w:sz w:val="20"/>
                <w:szCs w:val="20"/>
                <w:lang w:val="sr-Cyrl-CS"/>
              </w:rPr>
            </w:pPr>
            <w:r w:rsidRPr="00092ED7">
              <w:rPr>
                <w:rFonts w:eastAsia="Times New Roman" w:cs="Times New Roman"/>
                <w:sz w:val="20"/>
                <w:szCs w:val="20"/>
                <w:lang w:val="sr-Cyrl-CS"/>
              </w:rPr>
              <w:t>1. Реални раст БДП-а (%, мг)</w:t>
            </w:r>
          </w:p>
        </w:tc>
        <w:tc>
          <w:tcPr>
            <w:tcW w:w="486" w:type="pct"/>
            <w:gridSpan w:val="3"/>
            <w:tcBorders>
              <w:top w:val="nil"/>
              <w:left w:val="single" w:sz="4" w:space="0" w:color="000000"/>
              <w:bottom w:val="dotted" w:sz="4" w:space="0" w:color="000000"/>
              <w:right w:val="single" w:sz="4" w:space="0" w:color="000000"/>
            </w:tcBorders>
            <w:shd w:val="clear" w:color="000000" w:fill="FFFFFF"/>
            <w:vAlign w:val="center"/>
            <w:hideMark/>
          </w:tcPr>
          <w:p w14:paraId="6E2E6E82" w14:textId="77777777" w:rsidR="00247CBF" w:rsidRPr="00092ED7" w:rsidRDefault="00247CBF" w:rsidP="00247CBF">
            <w:pPr>
              <w:spacing w:after="0"/>
              <w:jc w:val="center"/>
              <w:rPr>
                <w:rFonts w:eastAsia="Times New Roman" w:cs="Times New Roman"/>
                <w:sz w:val="18"/>
                <w:szCs w:val="18"/>
                <w:lang w:val="sr-Cyrl-CS"/>
              </w:rPr>
            </w:pPr>
            <w:r w:rsidRPr="00092ED7">
              <w:rPr>
                <w:rFonts w:eastAsia="Times New Roman" w:cs="Times New Roman"/>
                <w:sz w:val="18"/>
                <w:szCs w:val="18"/>
                <w:lang w:val="sr-Cyrl-CS"/>
              </w:rPr>
              <w:t>B1g</w:t>
            </w:r>
          </w:p>
        </w:tc>
        <w:tc>
          <w:tcPr>
            <w:tcW w:w="445" w:type="pct"/>
            <w:gridSpan w:val="2"/>
            <w:tcBorders>
              <w:top w:val="nil"/>
              <w:left w:val="nil"/>
              <w:bottom w:val="dotted" w:sz="4" w:space="0" w:color="000000"/>
              <w:right w:val="dotted" w:sz="4" w:space="0" w:color="000000"/>
            </w:tcBorders>
            <w:shd w:val="clear" w:color="000000" w:fill="FFFFFF"/>
            <w:vAlign w:val="center"/>
            <w:hideMark/>
          </w:tcPr>
          <w:p w14:paraId="06525722" w14:textId="77777777" w:rsidR="00247CBF" w:rsidRPr="00092ED7" w:rsidRDefault="00247CBF" w:rsidP="00247CBF">
            <w:pPr>
              <w:spacing w:after="0"/>
              <w:jc w:val="center"/>
              <w:rPr>
                <w:sz w:val="20"/>
                <w:szCs w:val="20"/>
                <w:lang w:val="sr-Cyrl-CS"/>
              </w:rPr>
            </w:pPr>
            <w:r w:rsidRPr="00092ED7">
              <w:rPr>
                <w:sz w:val="20"/>
                <w:szCs w:val="20"/>
                <w:lang w:val="sr-Cyrl-CS"/>
              </w:rPr>
              <w:t>7,5</w:t>
            </w:r>
          </w:p>
        </w:tc>
        <w:tc>
          <w:tcPr>
            <w:tcW w:w="445" w:type="pct"/>
            <w:gridSpan w:val="2"/>
            <w:tcBorders>
              <w:top w:val="nil"/>
              <w:left w:val="nil"/>
              <w:bottom w:val="dotted" w:sz="4" w:space="0" w:color="000000"/>
              <w:right w:val="dotted" w:sz="4" w:space="0" w:color="000000"/>
            </w:tcBorders>
            <w:shd w:val="clear" w:color="000000" w:fill="FFFFFF"/>
            <w:vAlign w:val="center"/>
            <w:hideMark/>
          </w:tcPr>
          <w:p w14:paraId="1FE56807" w14:textId="77777777" w:rsidR="00247CBF" w:rsidRPr="00092ED7" w:rsidRDefault="00247CBF" w:rsidP="00247CBF">
            <w:pPr>
              <w:spacing w:after="0"/>
              <w:jc w:val="center"/>
              <w:rPr>
                <w:sz w:val="20"/>
                <w:szCs w:val="20"/>
                <w:lang w:val="sr-Cyrl-CS"/>
              </w:rPr>
            </w:pPr>
            <w:r w:rsidRPr="00092ED7">
              <w:rPr>
                <w:sz w:val="20"/>
                <w:szCs w:val="20"/>
                <w:lang w:val="sr-Cyrl-CS"/>
              </w:rPr>
              <w:t>2,5</w:t>
            </w:r>
          </w:p>
        </w:tc>
        <w:tc>
          <w:tcPr>
            <w:tcW w:w="445" w:type="pct"/>
            <w:gridSpan w:val="2"/>
            <w:tcBorders>
              <w:top w:val="nil"/>
              <w:left w:val="nil"/>
              <w:bottom w:val="dotted" w:sz="4" w:space="0" w:color="000000"/>
              <w:right w:val="dotted" w:sz="4" w:space="0" w:color="000000"/>
            </w:tcBorders>
            <w:shd w:val="clear" w:color="000000" w:fill="FFFFFF"/>
            <w:vAlign w:val="center"/>
            <w:hideMark/>
          </w:tcPr>
          <w:p w14:paraId="3ED4A29E" w14:textId="77777777" w:rsidR="00247CBF" w:rsidRPr="00092ED7" w:rsidRDefault="00247CBF" w:rsidP="00247CBF">
            <w:pPr>
              <w:spacing w:after="0"/>
              <w:jc w:val="center"/>
              <w:rPr>
                <w:sz w:val="20"/>
                <w:szCs w:val="20"/>
                <w:lang w:val="sr-Cyrl-CS"/>
              </w:rPr>
            </w:pPr>
            <w:r w:rsidRPr="00092ED7">
              <w:rPr>
                <w:sz w:val="20"/>
                <w:szCs w:val="20"/>
                <w:lang w:val="sr-Cyrl-CS"/>
              </w:rPr>
              <w:t>2,5</w:t>
            </w:r>
          </w:p>
        </w:tc>
        <w:tc>
          <w:tcPr>
            <w:tcW w:w="445" w:type="pct"/>
            <w:tcBorders>
              <w:top w:val="nil"/>
              <w:left w:val="nil"/>
              <w:bottom w:val="dotted" w:sz="4" w:space="0" w:color="000000"/>
              <w:right w:val="dotted" w:sz="4" w:space="0" w:color="000000"/>
            </w:tcBorders>
            <w:shd w:val="clear" w:color="000000" w:fill="FFFFFF"/>
            <w:vAlign w:val="center"/>
            <w:hideMark/>
          </w:tcPr>
          <w:p w14:paraId="7E6F6B93" w14:textId="77777777" w:rsidR="00247CBF" w:rsidRPr="00092ED7" w:rsidRDefault="00247CBF" w:rsidP="00247CBF">
            <w:pPr>
              <w:spacing w:after="0"/>
              <w:jc w:val="center"/>
              <w:rPr>
                <w:sz w:val="20"/>
                <w:szCs w:val="20"/>
                <w:lang w:val="sr-Cyrl-CS"/>
              </w:rPr>
            </w:pPr>
            <w:r w:rsidRPr="00092ED7">
              <w:rPr>
                <w:sz w:val="20"/>
                <w:szCs w:val="20"/>
                <w:lang w:val="sr-Cyrl-CS"/>
              </w:rPr>
              <w:t>3,5</w:t>
            </w:r>
          </w:p>
        </w:tc>
        <w:tc>
          <w:tcPr>
            <w:tcW w:w="447" w:type="pct"/>
            <w:tcBorders>
              <w:top w:val="nil"/>
              <w:left w:val="nil"/>
              <w:bottom w:val="dotted" w:sz="4" w:space="0" w:color="000000"/>
              <w:right w:val="double" w:sz="6" w:space="0" w:color="000000"/>
            </w:tcBorders>
            <w:shd w:val="clear" w:color="000000" w:fill="FFFFFF"/>
            <w:vAlign w:val="center"/>
            <w:hideMark/>
          </w:tcPr>
          <w:p w14:paraId="137EE0FD" w14:textId="77777777" w:rsidR="00247CBF" w:rsidRPr="00092ED7" w:rsidRDefault="00247CBF" w:rsidP="00247CBF">
            <w:pPr>
              <w:spacing w:after="0"/>
              <w:jc w:val="center"/>
              <w:rPr>
                <w:sz w:val="20"/>
                <w:szCs w:val="20"/>
                <w:lang w:val="sr-Cyrl-CS"/>
              </w:rPr>
            </w:pPr>
            <w:r w:rsidRPr="00092ED7">
              <w:rPr>
                <w:sz w:val="20"/>
                <w:szCs w:val="20"/>
                <w:lang w:val="sr-Cyrl-CS"/>
              </w:rPr>
              <w:t>4,0</w:t>
            </w:r>
          </w:p>
        </w:tc>
      </w:tr>
      <w:tr w:rsidR="00247CBF" w:rsidRPr="00092ED7" w14:paraId="4714C25B" w14:textId="77777777" w:rsidTr="00247CBF">
        <w:trPr>
          <w:gridBefore w:val="1"/>
          <w:wBefore w:w="8" w:type="pct"/>
          <w:trHeight w:val="227"/>
        </w:trPr>
        <w:tc>
          <w:tcPr>
            <w:tcW w:w="2279" w:type="pct"/>
            <w:tcBorders>
              <w:top w:val="nil"/>
              <w:left w:val="double" w:sz="6" w:space="0" w:color="000000"/>
              <w:bottom w:val="dotted" w:sz="4" w:space="0" w:color="000000"/>
              <w:right w:val="nil"/>
            </w:tcBorders>
            <w:shd w:val="clear" w:color="000000" w:fill="FFFFFF"/>
            <w:vAlign w:val="center"/>
            <w:hideMark/>
          </w:tcPr>
          <w:p w14:paraId="1ABC05C7" w14:textId="77777777" w:rsidR="00247CBF" w:rsidRPr="00092ED7" w:rsidRDefault="00247CBF" w:rsidP="00247CBF">
            <w:pPr>
              <w:spacing w:after="0"/>
              <w:ind w:firstLineChars="100" w:firstLine="200"/>
              <w:jc w:val="left"/>
              <w:rPr>
                <w:rFonts w:eastAsia="Times New Roman" w:cs="Times New Roman"/>
                <w:sz w:val="20"/>
                <w:szCs w:val="20"/>
                <w:lang w:val="sr-Cyrl-CS"/>
              </w:rPr>
            </w:pPr>
            <w:r w:rsidRPr="00092ED7">
              <w:rPr>
                <w:rFonts w:eastAsia="Times New Roman" w:cs="Times New Roman"/>
                <w:sz w:val="20"/>
                <w:szCs w:val="20"/>
                <w:lang w:val="sr-Cyrl-CS"/>
              </w:rPr>
              <w:t>2. Нето позајмице општег нивоа државе</w:t>
            </w:r>
          </w:p>
        </w:tc>
        <w:tc>
          <w:tcPr>
            <w:tcW w:w="486" w:type="pct"/>
            <w:gridSpan w:val="3"/>
            <w:tcBorders>
              <w:top w:val="nil"/>
              <w:left w:val="single" w:sz="4" w:space="0" w:color="000000"/>
              <w:bottom w:val="dotted" w:sz="4" w:space="0" w:color="000000"/>
              <w:right w:val="single" w:sz="4" w:space="0" w:color="000000"/>
            </w:tcBorders>
            <w:shd w:val="clear" w:color="000000" w:fill="FFFFFF"/>
            <w:vAlign w:val="center"/>
            <w:hideMark/>
          </w:tcPr>
          <w:p w14:paraId="3A36556C" w14:textId="77777777" w:rsidR="00247CBF" w:rsidRPr="00092ED7" w:rsidRDefault="00247CBF" w:rsidP="00247CBF">
            <w:pPr>
              <w:spacing w:after="0"/>
              <w:jc w:val="center"/>
              <w:rPr>
                <w:rFonts w:eastAsia="Times New Roman" w:cs="Times New Roman"/>
                <w:sz w:val="18"/>
                <w:szCs w:val="18"/>
                <w:lang w:val="sr-Cyrl-CS"/>
              </w:rPr>
            </w:pPr>
            <w:r w:rsidRPr="00092ED7">
              <w:rPr>
                <w:rFonts w:eastAsia="Times New Roman" w:cs="Times New Roman"/>
                <w:sz w:val="18"/>
                <w:szCs w:val="18"/>
                <w:lang w:val="sr-Cyrl-CS"/>
              </w:rPr>
              <w:t>EDP.B.9</w:t>
            </w:r>
          </w:p>
        </w:tc>
        <w:tc>
          <w:tcPr>
            <w:tcW w:w="445" w:type="pct"/>
            <w:gridSpan w:val="2"/>
            <w:tcBorders>
              <w:top w:val="nil"/>
              <w:left w:val="nil"/>
              <w:bottom w:val="dotted" w:sz="4" w:space="0" w:color="000000"/>
              <w:right w:val="dotted" w:sz="4" w:space="0" w:color="000000"/>
            </w:tcBorders>
            <w:shd w:val="clear" w:color="000000" w:fill="FFFFFF"/>
            <w:vAlign w:val="center"/>
            <w:hideMark/>
          </w:tcPr>
          <w:p w14:paraId="5177D791" w14:textId="77777777" w:rsidR="00247CBF" w:rsidRPr="00092ED7" w:rsidRDefault="00247CBF" w:rsidP="00247CBF">
            <w:pPr>
              <w:spacing w:after="0"/>
              <w:jc w:val="center"/>
              <w:rPr>
                <w:sz w:val="20"/>
                <w:szCs w:val="20"/>
                <w:lang w:val="sr-Cyrl-CS"/>
              </w:rPr>
            </w:pPr>
            <w:r w:rsidRPr="00092ED7">
              <w:rPr>
                <w:sz w:val="20"/>
                <w:szCs w:val="20"/>
                <w:lang w:val="sr-Cyrl-CS"/>
              </w:rPr>
              <w:t>-4,1</w:t>
            </w:r>
          </w:p>
        </w:tc>
        <w:tc>
          <w:tcPr>
            <w:tcW w:w="445" w:type="pct"/>
            <w:gridSpan w:val="2"/>
            <w:tcBorders>
              <w:top w:val="nil"/>
              <w:left w:val="nil"/>
              <w:bottom w:val="dotted" w:sz="4" w:space="0" w:color="000000"/>
              <w:right w:val="dotted" w:sz="4" w:space="0" w:color="000000"/>
            </w:tcBorders>
            <w:shd w:val="clear" w:color="000000" w:fill="FFFFFF"/>
            <w:vAlign w:val="center"/>
            <w:hideMark/>
          </w:tcPr>
          <w:p w14:paraId="7D95AC84" w14:textId="77777777" w:rsidR="00247CBF" w:rsidRPr="00092ED7" w:rsidRDefault="00247CBF" w:rsidP="00247CBF">
            <w:pPr>
              <w:spacing w:after="0"/>
              <w:jc w:val="center"/>
              <w:rPr>
                <w:sz w:val="20"/>
                <w:szCs w:val="20"/>
                <w:lang w:val="sr-Cyrl-CS"/>
              </w:rPr>
            </w:pPr>
            <w:r w:rsidRPr="00092ED7">
              <w:rPr>
                <w:sz w:val="20"/>
                <w:szCs w:val="20"/>
                <w:lang w:val="sr-Cyrl-CS"/>
              </w:rPr>
              <w:t>-3,8</w:t>
            </w:r>
          </w:p>
        </w:tc>
        <w:tc>
          <w:tcPr>
            <w:tcW w:w="445" w:type="pct"/>
            <w:gridSpan w:val="2"/>
            <w:tcBorders>
              <w:top w:val="nil"/>
              <w:left w:val="nil"/>
              <w:bottom w:val="dotted" w:sz="4" w:space="0" w:color="000000"/>
              <w:right w:val="dotted" w:sz="4" w:space="0" w:color="000000"/>
            </w:tcBorders>
            <w:shd w:val="clear" w:color="000000" w:fill="FFFFFF"/>
            <w:vAlign w:val="center"/>
            <w:hideMark/>
          </w:tcPr>
          <w:p w14:paraId="720831CC" w14:textId="77777777" w:rsidR="00247CBF" w:rsidRPr="00092ED7" w:rsidRDefault="00247CBF" w:rsidP="00247CBF">
            <w:pPr>
              <w:spacing w:after="0"/>
              <w:jc w:val="center"/>
              <w:rPr>
                <w:sz w:val="20"/>
                <w:szCs w:val="20"/>
                <w:lang w:val="sr-Cyrl-CS"/>
              </w:rPr>
            </w:pPr>
            <w:r w:rsidRPr="00092ED7">
              <w:rPr>
                <w:sz w:val="20"/>
                <w:szCs w:val="20"/>
                <w:lang w:val="sr-Cyrl-CS"/>
              </w:rPr>
              <w:t>-3,3</w:t>
            </w:r>
          </w:p>
        </w:tc>
        <w:tc>
          <w:tcPr>
            <w:tcW w:w="445" w:type="pct"/>
            <w:tcBorders>
              <w:top w:val="nil"/>
              <w:left w:val="nil"/>
              <w:bottom w:val="dotted" w:sz="4" w:space="0" w:color="000000"/>
              <w:right w:val="dotted" w:sz="4" w:space="0" w:color="000000"/>
            </w:tcBorders>
            <w:shd w:val="clear" w:color="000000" w:fill="FFFFFF"/>
            <w:vAlign w:val="center"/>
            <w:hideMark/>
          </w:tcPr>
          <w:p w14:paraId="3F6B440A" w14:textId="77777777" w:rsidR="00247CBF" w:rsidRPr="00092ED7" w:rsidRDefault="00247CBF" w:rsidP="00247CBF">
            <w:pPr>
              <w:spacing w:after="0"/>
              <w:jc w:val="center"/>
              <w:rPr>
                <w:sz w:val="20"/>
                <w:szCs w:val="20"/>
                <w:lang w:val="sr-Cyrl-CS"/>
              </w:rPr>
            </w:pPr>
            <w:r w:rsidRPr="00092ED7">
              <w:rPr>
                <w:sz w:val="20"/>
                <w:szCs w:val="20"/>
                <w:lang w:val="sr-Cyrl-CS"/>
              </w:rPr>
              <w:t>-2,2</w:t>
            </w:r>
          </w:p>
        </w:tc>
        <w:tc>
          <w:tcPr>
            <w:tcW w:w="447" w:type="pct"/>
            <w:tcBorders>
              <w:top w:val="nil"/>
              <w:left w:val="nil"/>
              <w:bottom w:val="dotted" w:sz="4" w:space="0" w:color="000000"/>
              <w:right w:val="double" w:sz="6" w:space="0" w:color="000000"/>
            </w:tcBorders>
            <w:shd w:val="clear" w:color="000000" w:fill="FFFFFF"/>
            <w:vAlign w:val="center"/>
            <w:hideMark/>
          </w:tcPr>
          <w:p w14:paraId="111E00E3" w14:textId="77777777" w:rsidR="00247CBF" w:rsidRPr="00092ED7" w:rsidRDefault="00247CBF" w:rsidP="00247CBF">
            <w:pPr>
              <w:spacing w:after="0"/>
              <w:jc w:val="center"/>
              <w:rPr>
                <w:sz w:val="20"/>
                <w:szCs w:val="20"/>
                <w:lang w:val="sr-Cyrl-CS"/>
              </w:rPr>
            </w:pPr>
            <w:r w:rsidRPr="00092ED7">
              <w:rPr>
                <w:sz w:val="20"/>
                <w:szCs w:val="20"/>
                <w:lang w:val="sr-Cyrl-CS"/>
              </w:rPr>
              <w:t>-1,4</w:t>
            </w:r>
          </w:p>
        </w:tc>
      </w:tr>
      <w:tr w:rsidR="00247CBF" w:rsidRPr="00092ED7" w14:paraId="6C64B70A" w14:textId="77777777" w:rsidTr="00247CBF">
        <w:trPr>
          <w:gridBefore w:val="1"/>
          <w:wBefore w:w="8" w:type="pct"/>
          <w:trHeight w:val="227"/>
        </w:trPr>
        <w:tc>
          <w:tcPr>
            <w:tcW w:w="2279" w:type="pct"/>
            <w:tcBorders>
              <w:top w:val="nil"/>
              <w:left w:val="double" w:sz="6" w:space="0" w:color="000000"/>
              <w:bottom w:val="dotted" w:sz="4" w:space="0" w:color="000000"/>
              <w:right w:val="nil"/>
            </w:tcBorders>
            <w:shd w:val="clear" w:color="000000" w:fill="FFFFFF"/>
            <w:vAlign w:val="center"/>
            <w:hideMark/>
          </w:tcPr>
          <w:p w14:paraId="0270F840" w14:textId="77777777" w:rsidR="00247CBF" w:rsidRPr="00092ED7" w:rsidRDefault="00247CBF" w:rsidP="00247CBF">
            <w:pPr>
              <w:spacing w:after="0"/>
              <w:ind w:firstLineChars="100" w:firstLine="200"/>
              <w:jc w:val="left"/>
              <w:rPr>
                <w:rFonts w:eastAsia="Times New Roman" w:cs="Times New Roman"/>
                <w:sz w:val="20"/>
                <w:szCs w:val="20"/>
                <w:lang w:val="sr-Cyrl-CS"/>
              </w:rPr>
            </w:pPr>
            <w:r w:rsidRPr="00092ED7">
              <w:rPr>
                <w:rFonts w:eastAsia="Times New Roman" w:cs="Times New Roman"/>
                <w:sz w:val="20"/>
                <w:szCs w:val="20"/>
                <w:lang w:val="sr-Cyrl-CS"/>
              </w:rPr>
              <w:t>3. Расходи за камате</w:t>
            </w:r>
          </w:p>
        </w:tc>
        <w:tc>
          <w:tcPr>
            <w:tcW w:w="486" w:type="pct"/>
            <w:gridSpan w:val="3"/>
            <w:tcBorders>
              <w:top w:val="nil"/>
              <w:left w:val="single" w:sz="4" w:space="0" w:color="000000"/>
              <w:bottom w:val="dotted" w:sz="4" w:space="0" w:color="000000"/>
              <w:right w:val="single" w:sz="4" w:space="0" w:color="000000"/>
            </w:tcBorders>
            <w:shd w:val="clear" w:color="000000" w:fill="FFFFFF"/>
            <w:vAlign w:val="center"/>
            <w:hideMark/>
          </w:tcPr>
          <w:p w14:paraId="42F064E6" w14:textId="77777777" w:rsidR="00247CBF" w:rsidRPr="00092ED7" w:rsidRDefault="00247CBF" w:rsidP="00247CBF">
            <w:pPr>
              <w:spacing w:after="0"/>
              <w:jc w:val="center"/>
              <w:rPr>
                <w:rFonts w:eastAsia="Times New Roman" w:cs="Times New Roman"/>
                <w:sz w:val="16"/>
                <w:szCs w:val="16"/>
                <w:lang w:val="sr-Cyrl-CS"/>
              </w:rPr>
            </w:pPr>
            <w:r w:rsidRPr="00092ED7">
              <w:rPr>
                <w:rFonts w:eastAsia="Times New Roman" w:cs="Times New Roman"/>
                <w:sz w:val="16"/>
                <w:szCs w:val="16"/>
                <w:lang w:val="sr-Cyrl-CS"/>
              </w:rPr>
              <w:t>EDP.D.41</w:t>
            </w:r>
          </w:p>
        </w:tc>
        <w:tc>
          <w:tcPr>
            <w:tcW w:w="445" w:type="pct"/>
            <w:gridSpan w:val="2"/>
            <w:tcBorders>
              <w:top w:val="nil"/>
              <w:left w:val="nil"/>
              <w:bottom w:val="dotted" w:sz="4" w:space="0" w:color="000000"/>
              <w:right w:val="dotted" w:sz="4" w:space="0" w:color="000000"/>
            </w:tcBorders>
            <w:shd w:val="clear" w:color="000000" w:fill="FFFFFF"/>
            <w:vAlign w:val="center"/>
            <w:hideMark/>
          </w:tcPr>
          <w:p w14:paraId="1B5BA77F" w14:textId="77777777" w:rsidR="00247CBF" w:rsidRPr="00092ED7" w:rsidRDefault="00247CBF" w:rsidP="00247CBF">
            <w:pPr>
              <w:spacing w:after="0"/>
              <w:jc w:val="center"/>
              <w:rPr>
                <w:sz w:val="20"/>
                <w:szCs w:val="20"/>
                <w:lang w:val="sr-Cyrl-CS"/>
              </w:rPr>
            </w:pPr>
            <w:r w:rsidRPr="00092ED7">
              <w:rPr>
                <w:sz w:val="20"/>
                <w:szCs w:val="20"/>
                <w:lang w:val="sr-Cyrl-CS"/>
              </w:rPr>
              <w:t>1,7</w:t>
            </w:r>
          </w:p>
        </w:tc>
        <w:tc>
          <w:tcPr>
            <w:tcW w:w="445" w:type="pct"/>
            <w:gridSpan w:val="2"/>
            <w:tcBorders>
              <w:top w:val="nil"/>
              <w:left w:val="nil"/>
              <w:bottom w:val="dotted" w:sz="4" w:space="0" w:color="000000"/>
              <w:right w:val="dotted" w:sz="4" w:space="0" w:color="000000"/>
            </w:tcBorders>
            <w:shd w:val="clear" w:color="000000" w:fill="FFFFFF"/>
            <w:vAlign w:val="center"/>
            <w:hideMark/>
          </w:tcPr>
          <w:p w14:paraId="263578BF" w14:textId="77777777" w:rsidR="00247CBF" w:rsidRPr="00092ED7" w:rsidRDefault="00247CBF" w:rsidP="00247CBF">
            <w:pPr>
              <w:spacing w:after="0"/>
              <w:jc w:val="center"/>
              <w:rPr>
                <w:sz w:val="20"/>
                <w:szCs w:val="20"/>
                <w:lang w:val="sr-Cyrl-CS"/>
              </w:rPr>
            </w:pPr>
            <w:r w:rsidRPr="00092ED7">
              <w:rPr>
                <w:sz w:val="20"/>
                <w:szCs w:val="20"/>
                <w:lang w:val="sr-Cyrl-CS"/>
              </w:rPr>
              <w:t>1,6</w:t>
            </w:r>
          </w:p>
        </w:tc>
        <w:tc>
          <w:tcPr>
            <w:tcW w:w="445" w:type="pct"/>
            <w:gridSpan w:val="2"/>
            <w:tcBorders>
              <w:top w:val="nil"/>
              <w:left w:val="nil"/>
              <w:bottom w:val="dotted" w:sz="4" w:space="0" w:color="000000"/>
              <w:right w:val="dotted" w:sz="4" w:space="0" w:color="000000"/>
            </w:tcBorders>
            <w:shd w:val="clear" w:color="000000" w:fill="FFFFFF"/>
            <w:vAlign w:val="center"/>
            <w:hideMark/>
          </w:tcPr>
          <w:p w14:paraId="6C660768" w14:textId="77777777" w:rsidR="00247CBF" w:rsidRPr="00092ED7" w:rsidRDefault="00247CBF" w:rsidP="00247CBF">
            <w:pPr>
              <w:spacing w:after="0"/>
              <w:jc w:val="center"/>
              <w:rPr>
                <w:sz w:val="20"/>
                <w:szCs w:val="20"/>
                <w:lang w:val="sr-Cyrl-CS"/>
              </w:rPr>
            </w:pPr>
            <w:r w:rsidRPr="00092ED7">
              <w:rPr>
                <w:sz w:val="20"/>
                <w:szCs w:val="20"/>
                <w:lang w:val="sr-Cyrl-CS"/>
              </w:rPr>
              <w:t>1,8</w:t>
            </w:r>
          </w:p>
        </w:tc>
        <w:tc>
          <w:tcPr>
            <w:tcW w:w="445" w:type="pct"/>
            <w:tcBorders>
              <w:top w:val="nil"/>
              <w:left w:val="nil"/>
              <w:bottom w:val="dotted" w:sz="4" w:space="0" w:color="000000"/>
              <w:right w:val="dotted" w:sz="4" w:space="0" w:color="000000"/>
            </w:tcBorders>
            <w:shd w:val="clear" w:color="000000" w:fill="FFFFFF"/>
            <w:vAlign w:val="center"/>
            <w:hideMark/>
          </w:tcPr>
          <w:p w14:paraId="213720B0" w14:textId="77777777" w:rsidR="00247CBF" w:rsidRPr="00092ED7" w:rsidRDefault="00247CBF" w:rsidP="00247CBF">
            <w:pPr>
              <w:spacing w:after="0"/>
              <w:jc w:val="center"/>
              <w:rPr>
                <w:sz w:val="20"/>
                <w:szCs w:val="20"/>
                <w:lang w:val="sr-Cyrl-CS"/>
              </w:rPr>
            </w:pPr>
            <w:r w:rsidRPr="00092ED7">
              <w:rPr>
                <w:sz w:val="20"/>
                <w:szCs w:val="20"/>
                <w:lang w:val="sr-Cyrl-CS"/>
              </w:rPr>
              <w:t>2,1</w:t>
            </w:r>
          </w:p>
        </w:tc>
        <w:tc>
          <w:tcPr>
            <w:tcW w:w="447" w:type="pct"/>
            <w:tcBorders>
              <w:top w:val="nil"/>
              <w:left w:val="nil"/>
              <w:bottom w:val="dotted" w:sz="4" w:space="0" w:color="000000"/>
              <w:right w:val="double" w:sz="6" w:space="0" w:color="000000"/>
            </w:tcBorders>
            <w:shd w:val="clear" w:color="000000" w:fill="FFFFFF"/>
            <w:vAlign w:val="center"/>
            <w:hideMark/>
          </w:tcPr>
          <w:p w14:paraId="5AEDB5CF" w14:textId="77777777" w:rsidR="00247CBF" w:rsidRPr="00092ED7" w:rsidRDefault="00247CBF" w:rsidP="00247CBF">
            <w:pPr>
              <w:spacing w:after="0"/>
              <w:jc w:val="center"/>
              <w:rPr>
                <w:sz w:val="20"/>
                <w:szCs w:val="20"/>
                <w:lang w:val="sr-Cyrl-CS"/>
              </w:rPr>
            </w:pPr>
            <w:r w:rsidRPr="00092ED7">
              <w:rPr>
                <w:sz w:val="20"/>
                <w:szCs w:val="20"/>
                <w:lang w:val="sr-Cyrl-CS"/>
              </w:rPr>
              <w:t>1,9</w:t>
            </w:r>
          </w:p>
        </w:tc>
      </w:tr>
      <w:tr w:rsidR="00247CBF" w:rsidRPr="00092ED7" w14:paraId="42FEDB99" w14:textId="77777777" w:rsidTr="00247CBF">
        <w:trPr>
          <w:gridBefore w:val="1"/>
          <w:wBefore w:w="8" w:type="pct"/>
          <w:trHeight w:val="227"/>
        </w:trPr>
        <w:tc>
          <w:tcPr>
            <w:tcW w:w="2279" w:type="pct"/>
            <w:tcBorders>
              <w:top w:val="nil"/>
              <w:left w:val="double" w:sz="6" w:space="0" w:color="000000"/>
              <w:bottom w:val="dotted" w:sz="4" w:space="0" w:color="000000"/>
              <w:right w:val="nil"/>
            </w:tcBorders>
            <w:shd w:val="clear" w:color="000000" w:fill="FFFFFF"/>
            <w:noWrap/>
            <w:vAlign w:val="center"/>
            <w:hideMark/>
          </w:tcPr>
          <w:p w14:paraId="6ECEE999" w14:textId="77777777" w:rsidR="00247CBF" w:rsidRPr="00092ED7" w:rsidRDefault="00247CBF" w:rsidP="00247CBF">
            <w:pPr>
              <w:spacing w:after="0"/>
              <w:ind w:firstLineChars="100" w:firstLine="200"/>
              <w:jc w:val="left"/>
              <w:rPr>
                <w:rFonts w:eastAsia="Times New Roman" w:cs="Times New Roman"/>
                <w:sz w:val="20"/>
                <w:szCs w:val="20"/>
                <w:lang w:val="sr-Cyrl-CS"/>
              </w:rPr>
            </w:pPr>
            <w:r w:rsidRPr="00092ED7">
              <w:rPr>
                <w:rFonts w:eastAsia="Times New Roman" w:cs="Times New Roman"/>
                <w:sz w:val="20"/>
                <w:szCs w:val="20"/>
                <w:lang w:val="sr-Cyrl-CS"/>
              </w:rPr>
              <w:t>4. Једнократне и друге привремене мере [1]</w:t>
            </w:r>
          </w:p>
        </w:tc>
        <w:tc>
          <w:tcPr>
            <w:tcW w:w="486" w:type="pct"/>
            <w:gridSpan w:val="3"/>
            <w:tcBorders>
              <w:top w:val="nil"/>
              <w:left w:val="single" w:sz="4" w:space="0" w:color="000000"/>
              <w:bottom w:val="dotted" w:sz="4" w:space="0" w:color="000000"/>
              <w:right w:val="single" w:sz="4" w:space="0" w:color="000000"/>
            </w:tcBorders>
            <w:shd w:val="clear" w:color="000000" w:fill="FFFFFF"/>
            <w:vAlign w:val="center"/>
            <w:hideMark/>
          </w:tcPr>
          <w:p w14:paraId="12E4933D" w14:textId="77777777" w:rsidR="00247CBF" w:rsidRPr="00092ED7" w:rsidRDefault="00247CBF" w:rsidP="00247CBF">
            <w:pPr>
              <w:spacing w:after="0"/>
              <w:jc w:val="center"/>
              <w:rPr>
                <w:rFonts w:eastAsia="Times New Roman" w:cs="Times New Roman"/>
                <w:sz w:val="16"/>
                <w:szCs w:val="16"/>
                <w:lang w:val="sr-Cyrl-CS"/>
              </w:rPr>
            </w:pPr>
          </w:p>
        </w:tc>
        <w:tc>
          <w:tcPr>
            <w:tcW w:w="445" w:type="pct"/>
            <w:gridSpan w:val="2"/>
            <w:tcBorders>
              <w:top w:val="nil"/>
              <w:left w:val="nil"/>
              <w:bottom w:val="dotted" w:sz="4" w:space="0" w:color="000000"/>
              <w:right w:val="dotted" w:sz="4" w:space="0" w:color="000000"/>
            </w:tcBorders>
            <w:shd w:val="clear" w:color="auto" w:fill="auto"/>
            <w:vAlign w:val="center"/>
            <w:hideMark/>
          </w:tcPr>
          <w:p w14:paraId="65F139FD" w14:textId="77777777" w:rsidR="00247CBF" w:rsidRPr="00092ED7" w:rsidRDefault="00247CBF" w:rsidP="00247CBF">
            <w:pPr>
              <w:spacing w:after="0"/>
              <w:jc w:val="center"/>
              <w:rPr>
                <w:sz w:val="20"/>
                <w:szCs w:val="20"/>
                <w:lang w:val="sr-Cyrl-CS"/>
              </w:rPr>
            </w:pPr>
            <w:r w:rsidRPr="00092ED7">
              <w:rPr>
                <w:sz w:val="20"/>
                <w:szCs w:val="20"/>
                <w:lang w:val="sr-Cyrl-CS"/>
              </w:rPr>
              <w:t>-4,1</w:t>
            </w:r>
          </w:p>
        </w:tc>
        <w:tc>
          <w:tcPr>
            <w:tcW w:w="445" w:type="pct"/>
            <w:gridSpan w:val="2"/>
            <w:tcBorders>
              <w:top w:val="nil"/>
              <w:left w:val="nil"/>
              <w:bottom w:val="dotted" w:sz="4" w:space="0" w:color="000000"/>
              <w:right w:val="dotted" w:sz="4" w:space="0" w:color="000000"/>
            </w:tcBorders>
            <w:shd w:val="clear" w:color="auto" w:fill="auto"/>
            <w:vAlign w:val="center"/>
            <w:hideMark/>
          </w:tcPr>
          <w:p w14:paraId="724A8CE7" w14:textId="77777777" w:rsidR="00247CBF" w:rsidRPr="00092ED7" w:rsidRDefault="00247CBF" w:rsidP="00247CBF">
            <w:pPr>
              <w:spacing w:after="0"/>
              <w:jc w:val="center"/>
              <w:rPr>
                <w:sz w:val="20"/>
                <w:szCs w:val="20"/>
                <w:lang w:val="sr-Cyrl-CS"/>
              </w:rPr>
            </w:pPr>
            <w:r w:rsidRPr="00092ED7">
              <w:rPr>
                <w:sz w:val="20"/>
                <w:szCs w:val="20"/>
                <w:lang w:val="sr-Cyrl-CS"/>
              </w:rPr>
              <w:t>-2,9</w:t>
            </w:r>
          </w:p>
        </w:tc>
        <w:tc>
          <w:tcPr>
            <w:tcW w:w="445" w:type="pct"/>
            <w:gridSpan w:val="2"/>
            <w:tcBorders>
              <w:top w:val="nil"/>
              <w:left w:val="nil"/>
              <w:bottom w:val="dotted" w:sz="4" w:space="0" w:color="000000"/>
              <w:right w:val="dotted" w:sz="4" w:space="0" w:color="000000"/>
            </w:tcBorders>
            <w:shd w:val="clear" w:color="auto" w:fill="auto"/>
            <w:vAlign w:val="center"/>
            <w:hideMark/>
          </w:tcPr>
          <w:p w14:paraId="310C6CA2" w14:textId="77777777" w:rsidR="00247CBF" w:rsidRPr="00092ED7" w:rsidRDefault="00247CBF" w:rsidP="00247CBF">
            <w:pPr>
              <w:spacing w:after="0"/>
              <w:jc w:val="center"/>
              <w:rPr>
                <w:sz w:val="20"/>
                <w:szCs w:val="20"/>
                <w:lang w:val="sr-Cyrl-CS"/>
              </w:rPr>
            </w:pPr>
            <w:r w:rsidRPr="00092ED7">
              <w:rPr>
                <w:sz w:val="20"/>
                <w:szCs w:val="20"/>
                <w:lang w:val="sr-Cyrl-CS"/>
              </w:rPr>
              <w:t>-1,6</w:t>
            </w:r>
          </w:p>
        </w:tc>
        <w:tc>
          <w:tcPr>
            <w:tcW w:w="445" w:type="pct"/>
            <w:tcBorders>
              <w:top w:val="nil"/>
              <w:left w:val="nil"/>
              <w:bottom w:val="dotted" w:sz="4" w:space="0" w:color="000000"/>
              <w:right w:val="dotted" w:sz="4" w:space="0" w:color="000000"/>
            </w:tcBorders>
            <w:shd w:val="clear" w:color="auto" w:fill="auto"/>
            <w:vAlign w:val="center"/>
            <w:hideMark/>
          </w:tcPr>
          <w:p w14:paraId="44B0604A" w14:textId="77777777" w:rsidR="00247CBF" w:rsidRPr="00092ED7" w:rsidRDefault="00247CBF" w:rsidP="00247CBF">
            <w:pPr>
              <w:spacing w:after="0"/>
              <w:jc w:val="center"/>
              <w:rPr>
                <w:sz w:val="20"/>
                <w:szCs w:val="20"/>
                <w:lang w:val="sr-Cyrl-CS"/>
              </w:rPr>
            </w:pPr>
            <w:r w:rsidRPr="00092ED7">
              <w:rPr>
                <w:sz w:val="20"/>
                <w:szCs w:val="20"/>
                <w:lang w:val="sr-Cyrl-CS"/>
              </w:rPr>
              <w:t>0,0</w:t>
            </w:r>
          </w:p>
        </w:tc>
        <w:tc>
          <w:tcPr>
            <w:tcW w:w="447" w:type="pct"/>
            <w:tcBorders>
              <w:top w:val="nil"/>
              <w:left w:val="nil"/>
              <w:bottom w:val="dotted" w:sz="4" w:space="0" w:color="000000"/>
              <w:right w:val="double" w:sz="6" w:space="0" w:color="000000"/>
            </w:tcBorders>
            <w:shd w:val="clear" w:color="auto" w:fill="auto"/>
            <w:vAlign w:val="center"/>
            <w:hideMark/>
          </w:tcPr>
          <w:p w14:paraId="3D6ABDC4" w14:textId="77777777" w:rsidR="00247CBF" w:rsidRPr="00092ED7" w:rsidRDefault="00247CBF" w:rsidP="00247CBF">
            <w:pPr>
              <w:spacing w:after="0"/>
              <w:jc w:val="center"/>
              <w:rPr>
                <w:sz w:val="20"/>
                <w:szCs w:val="20"/>
                <w:lang w:val="sr-Cyrl-CS"/>
              </w:rPr>
            </w:pPr>
            <w:r w:rsidRPr="00092ED7">
              <w:rPr>
                <w:sz w:val="20"/>
                <w:szCs w:val="20"/>
                <w:lang w:val="sr-Cyrl-CS"/>
              </w:rPr>
              <w:t>0,0</w:t>
            </w:r>
          </w:p>
        </w:tc>
      </w:tr>
      <w:tr w:rsidR="00247CBF" w:rsidRPr="00092ED7" w14:paraId="59826B8F" w14:textId="77777777" w:rsidTr="00247CBF">
        <w:trPr>
          <w:gridBefore w:val="1"/>
          <w:wBefore w:w="8" w:type="pct"/>
          <w:trHeight w:val="227"/>
        </w:trPr>
        <w:tc>
          <w:tcPr>
            <w:tcW w:w="2279" w:type="pct"/>
            <w:tcBorders>
              <w:top w:val="nil"/>
              <w:left w:val="double" w:sz="6" w:space="0" w:color="000000"/>
              <w:bottom w:val="dotted" w:sz="4" w:space="0" w:color="000000"/>
              <w:right w:val="nil"/>
            </w:tcBorders>
            <w:shd w:val="clear" w:color="000000" w:fill="FFFFFF"/>
            <w:vAlign w:val="center"/>
            <w:hideMark/>
          </w:tcPr>
          <w:p w14:paraId="463B5CCA" w14:textId="77777777" w:rsidR="00247CBF" w:rsidRPr="00092ED7" w:rsidRDefault="00247CBF" w:rsidP="00247CBF">
            <w:pPr>
              <w:spacing w:after="0"/>
              <w:ind w:firstLineChars="100" w:firstLine="200"/>
              <w:jc w:val="left"/>
              <w:rPr>
                <w:rFonts w:eastAsia="Times New Roman" w:cs="Times New Roman"/>
                <w:sz w:val="20"/>
                <w:szCs w:val="20"/>
                <w:lang w:val="sr-Cyrl-CS"/>
              </w:rPr>
            </w:pPr>
            <w:r w:rsidRPr="00092ED7">
              <w:rPr>
                <w:rFonts w:eastAsia="Times New Roman" w:cs="Times New Roman"/>
                <w:sz w:val="20"/>
                <w:szCs w:val="20"/>
                <w:lang w:val="sr-Cyrl-CS"/>
              </w:rPr>
              <w:t>5. Потенцијални раст БДП-а (%, мг)</w:t>
            </w:r>
          </w:p>
        </w:tc>
        <w:tc>
          <w:tcPr>
            <w:tcW w:w="486" w:type="pct"/>
            <w:gridSpan w:val="3"/>
            <w:tcBorders>
              <w:top w:val="nil"/>
              <w:left w:val="single" w:sz="4" w:space="0" w:color="000000"/>
              <w:bottom w:val="single" w:sz="4" w:space="0" w:color="auto"/>
              <w:right w:val="single" w:sz="4" w:space="0" w:color="000000"/>
            </w:tcBorders>
            <w:shd w:val="clear" w:color="000000" w:fill="FFFFFF"/>
            <w:vAlign w:val="center"/>
            <w:hideMark/>
          </w:tcPr>
          <w:p w14:paraId="6E6393E9" w14:textId="77777777" w:rsidR="00247CBF" w:rsidRPr="00092ED7" w:rsidRDefault="00247CBF" w:rsidP="00247CBF">
            <w:pPr>
              <w:spacing w:after="0"/>
              <w:jc w:val="center"/>
              <w:rPr>
                <w:rFonts w:eastAsia="Times New Roman" w:cs="Times New Roman"/>
                <w:sz w:val="20"/>
                <w:szCs w:val="20"/>
                <w:lang w:val="sr-Cyrl-CS"/>
              </w:rPr>
            </w:pPr>
          </w:p>
        </w:tc>
        <w:tc>
          <w:tcPr>
            <w:tcW w:w="445" w:type="pct"/>
            <w:gridSpan w:val="2"/>
            <w:tcBorders>
              <w:top w:val="nil"/>
              <w:left w:val="nil"/>
              <w:bottom w:val="single" w:sz="4" w:space="0" w:color="auto"/>
              <w:right w:val="dotted" w:sz="4" w:space="0" w:color="000000"/>
            </w:tcBorders>
            <w:shd w:val="clear" w:color="auto" w:fill="auto"/>
            <w:vAlign w:val="center"/>
            <w:hideMark/>
          </w:tcPr>
          <w:p w14:paraId="7D2E4C60" w14:textId="77777777" w:rsidR="00247CBF" w:rsidRPr="00092ED7" w:rsidRDefault="00247CBF" w:rsidP="00247CBF">
            <w:pPr>
              <w:spacing w:after="0"/>
              <w:jc w:val="center"/>
              <w:rPr>
                <w:sz w:val="20"/>
                <w:szCs w:val="20"/>
                <w:lang w:val="sr-Cyrl-CS"/>
              </w:rPr>
            </w:pPr>
            <w:r w:rsidRPr="00092ED7">
              <w:rPr>
                <w:sz w:val="20"/>
                <w:szCs w:val="20"/>
                <w:lang w:val="sr-Cyrl-CS"/>
              </w:rPr>
              <w:t>3,5</w:t>
            </w:r>
          </w:p>
        </w:tc>
        <w:tc>
          <w:tcPr>
            <w:tcW w:w="445" w:type="pct"/>
            <w:gridSpan w:val="2"/>
            <w:tcBorders>
              <w:top w:val="nil"/>
              <w:left w:val="nil"/>
              <w:bottom w:val="single" w:sz="4" w:space="0" w:color="auto"/>
              <w:right w:val="dotted" w:sz="4" w:space="0" w:color="000000"/>
            </w:tcBorders>
            <w:shd w:val="clear" w:color="auto" w:fill="auto"/>
            <w:vAlign w:val="center"/>
            <w:hideMark/>
          </w:tcPr>
          <w:p w14:paraId="7434ED17" w14:textId="77777777" w:rsidR="00247CBF" w:rsidRPr="00092ED7" w:rsidRDefault="00247CBF" w:rsidP="00247CBF">
            <w:pPr>
              <w:spacing w:after="0"/>
              <w:jc w:val="center"/>
              <w:rPr>
                <w:sz w:val="20"/>
                <w:szCs w:val="20"/>
                <w:lang w:val="sr-Cyrl-CS"/>
              </w:rPr>
            </w:pPr>
            <w:r w:rsidRPr="00092ED7">
              <w:rPr>
                <w:sz w:val="20"/>
                <w:szCs w:val="20"/>
                <w:lang w:val="sr-Cyrl-CS"/>
              </w:rPr>
              <w:t>3,6</w:t>
            </w:r>
          </w:p>
        </w:tc>
        <w:tc>
          <w:tcPr>
            <w:tcW w:w="445" w:type="pct"/>
            <w:gridSpan w:val="2"/>
            <w:tcBorders>
              <w:top w:val="nil"/>
              <w:left w:val="nil"/>
              <w:bottom w:val="single" w:sz="4" w:space="0" w:color="auto"/>
              <w:right w:val="dotted" w:sz="4" w:space="0" w:color="000000"/>
            </w:tcBorders>
            <w:shd w:val="clear" w:color="auto" w:fill="auto"/>
            <w:vAlign w:val="center"/>
            <w:hideMark/>
          </w:tcPr>
          <w:p w14:paraId="2D78930D" w14:textId="77777777" w:rsidR="00247CBF" w:rsidRPr="00092ED7" w:rsidRDefault="00247CBF" w:rsidP="00247CBF">
            <w:pPr>
              <w:spacing w:after="0"/>
              <w:jc w:val="center"/>
              <w:rPr>
                <w:sz w:val="20"/>
                <w:szCs w:val="20"/>
                <w:lang w:val="sr-Cyrl-CS"/>
              </w:rPr>
            </w:pPr>
            <w:r w:rsidRPr="00092ED7">
              <w:rPr>
                <w:sz w:val="20"/>
                <w:szCs w:val="20"/>
                <w:lang w:val="sr-Cyrl-CS"/>
              </w:rPr>
              <w:t>3,6</w:t>
            </w:r>
          </w:p>
        </w:tc>
        <w:tc>
          <w:tcPr>
            <w:tcW w:w="445" w:type="pct"/>
            <w:tcBorders>
              <w:top w:val="nil"/>
              <w:left w:val="nil"/>
              <w:bottom w:val="single" w:sz="4" w:space="0" w:color="auto"/>
              <w:right w:val="dotted" w:sz="4" w:space="0" w:color="000000"/>
            </w:tcBorders>
            <w:shd w:val="clear" w:color="auto" w:fill="auto"/>
            <w:vAlign w:val="center"/>
            <w:hideMark/>
          </w:tcPr>
          <w:p w14:paraId="05AE31C4" w14:textId="77777777" w:rsidR="00247CBF" w:rsidRPr="00092ED7" w:rsidRDefault="00247CBF" w:rsidP="00247CBF">
            <w:pPr>
              <w:spacing w:after="0"/>
              <w:jc w:val="center"/>
              <w:rPr>
                <w:sz w:val="20"/>
                <w:szCs w:val="20"/>
                <w:lang w:val="sr-Cyrl-CS"/>
              </w:rPr>
            </w:pPr>
            <w:r w:rsidRPr="00092ED7">
              <w:rPr>
                <w:sz w:val="20"/>
                <w:szCs w:val="20"/>
                <w:lang w:val="sr-Cyrl-CS"/>
              </w:rPr>
              <w:t>3,7</w:t>
            </w:r>
          </w:p>
        </w:tc>
        <w:tc>
          <w:tcPr>
            <w:tcW w:w="447" w:type="pct"/>
            <w:tcBorders>
              <w:top w:val="nil"/>
              <w:left w:val="nil"/>
              <w:bottom w:val="single" w:sz="4" w:space="0" w:color="auto"/>
              <w:right w:val="double" w:sz="6" w:space="0" w:color="000000"/>
            </w:tcBorders>
            <w:shd w:val="clear" w:color="auto" w:fill="auto"/>
            <w:vAlign w:val="center"/>
            <w:hideMark/>
          </w:tcPr>
          <w:p w14:paraId="06B7F018" w14:textId="77777777" w:rsidR="00247CBF" w:rsidRPr="00092ED7" w:rsidRDefault="00247CBF" w:rsidP="00247CBF">
            <w:pPr>
              <w:spacing w:after="0"/>
              <w:jc w:val="center"/>
              <w:rPr>
                <w:sz w:val="20"/>
                <w:szCs w:val="20"/>
                <w:lang w:val="sr-Cyrl-CS"/>
              </w:rPr>
            </w:pPr>
            <w:r w:rsidRPr="00092ED7">
              <w:rPr>
                <w:sz w:val="20"/>
                <w:szCs w:val="20"/>
                <w:lang w:val="sr-Cyrl-CS"/>
              </w:rPr>
              <w:t>3,8</w:t>
            </w:r>
          </w:p>
        </w:tc>
      </w:tr>
      <w:tr w:rsidR="00247CBF" w:rsidRPr="00092ED7" w14:paraId="3BBEE308" w14:textId="77777777" w:rsidTr="00247CBF">
        <w:trPr>
          <w:gridBefore w:val="1"/>
          <w:wBefore w:w="8" w:type="pct"/>
          <w:trHeight w:val="227"/>
        </w:trPr>
        <w:tc>
          <w:tcPr>
            <w:tcW w:w="2279" w:type="pct"/>
            <w:tcBorders>
              <w:top w:val="nil"/>
              <w:left w:val="double" w:sz="6" w:space="0" w:color="000000"/>
              <w:bottom w:val="dotted" w:sz="4" w:space="0" w:color="000000"/>
              <w:right w:val="nil"/>
            </w:tcBorders>
            <w:shd w:val="clear" w:color="000000" w:fill="FFFFFF"/>
            <w:vAlign w:val="center"/>
            <w:hideMark/>
          </w:tcPr>
          <w:p w14:paraId="7B65388B" w14:textId="77777777" w:rsidR="00247CBF" w:rsidRPr="00092ED7" w:rsidRDefault="00247CBF" w:rsidP="00247CBF">
            <w:pPr>
              <w:spacing w:after="0"/>
              <w:ind w:firstLineChars="200" w:firstLine="400"/>
              <w:jc w:val="left"/>
              <w:rPr>
                <w:rFonts w:eastAsia="Times New Roman" w:cs="Times New Roman"/>
                <w:sz w:val="20"/>
                <w:szCs w:val="20"/>
                <w:lang w:val="sr-Cyrl-CS"/>
              </w:rPr>
            </w:pPr>
            <w:r w:rsidRPr="00092ED7">
              <w:rPr>
                <w:rFonts w:eastAsia="Times New Roman" w:cs="Times New Roman"/>
                <w:sz w:val="20"/>
                <w:szCs w:val="20"/>
                <w:lang w:val="sr-Cyrl-CS"/>
              </w:rPr>
              <w:t>Доприноси:</w:t>
            </w:r>
          </w:p>
        </w:tc>
        <w:tc>
          <w:tcPr>
            <w:tcW w:w="486" w:type="pct"/>
            <w:gridSpan w:val="3"/>
            <w:tcBorders>
              <w:top w:val="nil"/>
              <w:left w:val="single" w:sz="4" w:space="0" w:color="000000"/>
              <w:bottom w:val="dotted" w:sz="4" w:space="0" w:color="000000"/>
              <w:right w:val="single" w:sz="4" w:space="0" w:color="000000"/>
            </w:tcBorders>
            <w:shd w:val="clear" w:color="000000" w:fill="FFFFFF"/>
            <w:vAlign w:val="center"/>
            <w:hideMark/>
          </w:tcPr>
          <w:p w14:paraId="75372667" w14:textId="77777777" w:rsidR="00247CBF" w:rsidRPr="00092ED7" w:rsidRDefault="00247CBF" w:rsidP="00247CBF">
            <w:pPr>
              <w:spacing w:after="0"/>
              <w:jc w:val="center"/>
              <w:rPr>
                <w:rFonts w:eastAsia="Times New Roman" w:cs="Times New Roman"/>
                <w:sz w:val="20"/>
                <w:szCs w:val="20"/>
                <w:lang w:val="sr-Cyrl-CS"/>
              </w:rPr>
            </w:pPr>
          </w:p>
        </w:tc>
        <w:tc>
          <w:tcPr>
            <w:tcW w:w="445" w:type="pct"/>
            <w:gridSpan w:val="2"/>
            <w:tcBorders>
              <w:top w:val="nil"/>
              <w:left w:val="nil"/>
              <w:bottom w:val="dotted" w:sz="4" w:space="0" w:color="000000"/>
              <w:right w:val="dotted" w:sz="4" w:space="0" w:color="000000"/>
            </w:tcBorders>
            <w:shd w:val="clear" w:color="auto" w:fill="auto"/>
            <w:vAlign w:val="center"/>
            <w:hideMark/>
          </w:tcPr>
          <w:p w14:paraId="5FC92BA3" w14:textId="77777777" w:rsidR="00247CBF" w:rsidRPr="00092ED7" w:rsidRDefault="00247CBF" w:rsidP="00247CBF">
            <w:pPr>
              <w:spacing w:after="0"/>
              <w:jc w:val="center"/>
              <w:rPr>
                <w:sz w:val="20"/>
                <w:szCs w:val="20"/>
                <w:lang w:val="sr-Cyrl-CS"/>
              </w:rPr>
            </w:pPr>
          </w:p>
        </w:tc>
        <w:tc>
          <w:tcPr>
            <w:tcW w:w="445" w:type="pct"/>
            <w:gridSpan w:val="2"/>
            <w:tcBorders>
              <w:top w:val="nil"/>
              <w:left w:val="nil"/>
              <w:bottom w:val="dotted" w:sz="4" w:space="0" w:color="000000"/>
              <w:right w:val="dotted" w:sz="4" w:space="0" w:color="000000"/>
            </w:tcBorders>
            <w:shd w:val="clear" w:color="auto" w:fill="auto"/>
            <w:vAlign w:val="center"/>
            <w:hideMark/>
          </w:tcPr>
          <w:p w14:paraId="439BED8C" w14:textId="77777777" w:rsidR="00247CBF" w:rsidRPr="00092ED7" w:rsidRDefault="00247CBF" w:rsidP="00247CBF">
            <w:pPr>
              <w:spacing w:after="0"/>
              <w:jc w:val="center"/>
              <w:rPr>
                <w:sz w:val="20"/>
                <w:szCs w:val="20"/>
                <w:lang w:val="sr-Cyrl-CS"/>
              </w:rPr>
            </w:pPr>
          </w:p>
        </w:tc>
        <w:tc>
          <w:tcPr>
            <w:tcW w:w="445" w:type="pct"/>
            <w:gridSpan w:val="2"/>
            <w:tcBorders>
              <w:top w:val="nil"/>
              <w:left w:val="nil"/>
              <w:bottom w:val="dotted" w:sz="4" w:space="0" w:color="000000"/>
              <w:right w:val="dotted" w:sz="4" w:space="0" w:color="000000"/>
            </w:tcBorders>
            <w:shd w:val="clear" w:color="auto" w:fill="auto"/>
            <w:vAlign w:val="center"/>
            <w:hideMark/>
          </w:tcPr>
          <w:p w14:paraId="4FF4EBD3" w14:textId="77777777" w:rsidR="00247CBF" w:rsidRPr="00092ED7" w:rsidRDefault="00247CBF" w:rsidP="00247CBF">
            <w:pPr>
              <w:spacing w:after="0"/>
              <w:jc w:val="center"/>
              <w:rPr>
                <w:sz w:val="20"/>
                <w:szCs w:val="20"/>
                <w:lang w:val="sr-Cyrl-CS"/>
              </w:rPr>
            </w:pPr>
          </w:p>
        </w:tc>
        <w:tc>
          <w:tcPr>
            <w:tcW w:w="445" w:type="pct"/>
            <w:tcBorders>
              <w:top w:val="nil"/>
              <w:left w:val="nil"/>
              <w:bottom w:val="dotted" w:sz="4" w:space="0" w:color="000000"/>
              <w:right w:val="dotted" w:sz="4" w:space="0" w:color="000000"/>
            </w:tcBorders>
            <w:shd w:val="clear" w:color="auto" w:fill="auto"/>
            <w:vAlign w:val="center"/>
            <w:hideMark/>
          </w:tcPr>
          <w:p w14:paraId="0207E0F0" w14:textId="77777777" w:rsidR="00247CBF" w:rsidRPr="00092ED7" w:rsidRDefault="00247CBF" w:rsidP="00247CBF">
            <w:pPr>
              <w:spacing w:after="0"/>
              <w:jc w:val="center"/>
              <w:rPr>
                <w:sz w:val="20"/>
                <w:szCs w:val="20"/>
                <w:lang w:val="sr-Cyrl-CS"/>
              </w:rPr>
            </w:pPr>
          </w:p>
        </w:tc>
        <w:tc>
          <w:tcPr>
            <w:tcW w:w="447" w:type="pct"/>
            <w:tcBorders>
              <w:top w:val="nil"/>
              <w:left w:val="nil"/>
              <w:bottom w:val="dotted" w:sz="4" w:space="0" w:color="000000"/>
              <w:right w:val="double" w:sz="6" w:space="0" w:color="000000"/>
            </w:tcBorders>
            <w:shd w:val="clear" w:color="auto" w:fill="auto"/>
            <w:vAlign w:val="center"/>
            <w:hideMark/>
          </w:tcPr>
          <w:p w14:paraId="034CFE27" w14:textId="77777777" w:rsidR="00247CBF" w:rsidRPr="00092ED7" w:rsidRDefault="00247CBF" w:rsidP="00247CBF">
            <w:pPr>
              <w:spacing w:after="0"/>
              <w:jc w:val="center"/>
              <w:rPr>
                <w:sz w:val="20"/>
                <w:szCs w:val="20"/>
                <w:lang w:val="sr-Cyrl-CS"/>
              </w:rPr>
            </w:pPr>
          </w:p>
        </w:tc>
      </w:tr>
      <w:tr w:rsidR="00247CBF" w:rsidRPr="00092ED7" w14:paraId="438496D9" w14:textId="77777777" w:rsidTr="00247CBF">
        <w:trPr>
          <w:gridBefore w:val="1"/>
          <w:wBefore w:w="8" w:type="pct"/>
          <w:trHeight w:val="227"/>
        </w:trPr>
        <w:tc>
          <w:tcPr>
            <w:tcW w:w="2279" w:type="pct"/>
            <w:tcBorders>
              <w:top w:val="nil"/>
              <w:left w:val="double" w:sz="6" w:space="0" w:color="000000"/>
              <w:bottom w:val="dotted" w:sz="4" w:space="0" w:color="000000"/>
              <w:right w:val="nil"/>
            </w:tcBorders>
            <w:shd w:val="clear" w:color="000000" w:fill="FFFFFF"/>
            <w:vAlign w:val="center"/>
            <w:hideMark/>
          </w:tcPr>
          <w:p w14:paraId="2518719C" w14:textId="77777777" w:rsidR="00247CBF" w:rsidRPr="00092ED7" w:rsidRDefault="00247CBF" w:rsidP="00247CBF">
            <w:pPr>
              <w:spacing w:after="0"/>
              <w:ind w:firstLineChars="300" w:firstLine="600"/>
              <w:jc w:val="left"/>
              <w:rPr>
                <w:rFonts w:eastAsia="Times New Roman" w:cs="Times New Roman"/>
                <w:sz w:val="20"/>
                <w:szCs w:val="20"/>
                <w:lang w:val="sr-Cyrl-CS"/>
              </w:rPr>
            </w:pPr>
            <w:r w:rsidRPr="00092ED7">
              <w:rPr>
                <w:rFonts w:eastAsia="Times New Roman" w:cs="Times New Roman"/>
                <w:sz w:val="20"/>
                <w:szCs w:val="20"/>
                <w:lang w:val="sr-Cyrl-CS"/>
              </w:rPr>
              <w:t>- рад</w:t>
            </w:r>
          </w:p>
        </w:tc>
        <w:tc>
          <w:tcPr>
            <w:tcW w:w="486" w:type="pct"/>
            <w:gridSpan w:val="3"/>
            <w:tcBorders>
              <w:top w:val="nil"/>
              <w:left w:val="single" w:sz="4" w:space="0" w:color="000000"/>
              <w:bottom w:val="dotted" w:sz="4" w:space="0" w:color="000000"/>
              <w:right w:val="single" w:sz="4" w:space="0" w:color="000000"/>
            </w:tcBorders>
            <w:shd w:val="clear" w:color="000000" w:fill="FFFFFF"/>
            <w:vAlign w:val="center"/>
            <w:hideMark/>
          </w:tcPr>
          <w:p w14:paraId="35CB395A" w14:textId="77777777" w:rsidR="00247CBF" w:rsidRPr="00092ED7" w:rsidRDefault="00247CBF" w:rsidP="00247CBF">
            <w:pPr>
              <w:spacing w:after="0"/>
              <w:jc w:val="center"/>
              <w:rPr>
                <w:rFonts w:eastAsia="Times New Roman" w:cs="Times New Roman"/>
                <w:sz w:val="20"/>
                <w:szCs w:val="20"/>
                <w:lang w:val="sr-Cyrl-CS"/>
              </w:rPr>
            </w:pPr>
          </w:p>
        </w:tc>
        <w:tc>
          <w:tcPr>
            <w:tcW w:w="445" w:type="pct"/>
            <w:gridSpan w:val="2"/>
            <w:tcBorders>
              <w:top w:val="nil"/>
              <w:left w:val="nil"/>
              <w:bottom w:val="dotted" w:sz="4" w:space="0" w:color="000000"/>
              <w:right w:val="dotted" w:sz="4" w:space="0" w:color="000000"/>
            </w:tcBorders>
            <w:shd w:val="clear" w:color="auto" w:fill="auto"/>
            <w:vAlign w:val="center"/>
            <w:hideMark/>
          </w:tcPr>
          <w:p w14:paraId="5063F6B4" w14:textId="77777777" w:rsidR="00247CBF" w:rsidRPr="00092ED7" w:rsidRDefault="00247CBF" w:rsidP="00247CBF">
            <w:pPr>
              <w:spacing w:after="0"/>
              <w:jc w:val="center"/>
              <w:rPr>
                <w:sz w:val="20"/>
                <w:szCs w:val="20"/>
                <w:lang w:val="sr-Cyrl-CS"/>
              </w:rPr>
            </w:pPr>
            <w:r w:rsidRPr="00092ED7">
              <w:rPr>
                <w:sz w:val="20"/>
                <w:szCs w:val="20"/>
                <w:lang w:val="sr-Cyrl-CS"/>
              </w:rPr>
              <w:t>1,1</w:t>
            </w:r>
          </w:p>
        </w:tc>
        <w:tc>
          <w:tcPr>
            <w:tcW w:w="445" w:type="pct"/>
            <w:gridSpan w:val="2"/>
            <w:tcBorders>
              <w:top w:val="nil"/>
              <w:left w:val="nil"/>
              <w:bottom w:val="dotted" w:sz="4" w:space="0" w:color="000000"/>
              <w:right w:val="dotted" w:sz="4" w:space="0" w:color="000000"/>
            </w:tcBorders>
            <w:shd w:val="clear" w:color="auto" w:fill="auto"/>
            <w:vAlign w:val="center"/>
            <w:hideMark/>
          </w:tcPr>
          <w:p w14:paraId="25FC3C65" w14:textId="77777777" w:rsidR="00247CBF" w:rsidRPr="00092ED7" w:rsidRDefault="00247CBF" w:rsidP="00247CBF">
            <w:pPr>
              <w:spacing w:after="0"/>
              <w:jc w:val="center"/>
              <w:rPr>
                <w:sz w:val="20"/>
                <w:szCs w:val="20"/>
                <w:lang w:val="sr-Cyrl-CS"/>
              </w:rPr>
            </w:pPr>
            <w:r w:rsidRPr="00092ED7">
              <w:rPr>
                <w:sz w:val="20"/>
                <w:szCs w:val="20"/>
                <w:lang w:val="sr-Cyrl-CS"/>
              </w:rPr>
              <w:t>1,0</w:t>
            </w:r>
          </w:p>
        </w:tc>
        <w:tc>
          <w:tcPr>
            <w:tcW w:w="445" w:type="pct"/>
            <w:gridSpan w:val="2"/>
            <w:tcBorders>
              <w:top w:val="nil"/>
              <w:left w:val="nil"/>
              <w:bottom w:val="dotted" w:sz="4" w:space="0" w:color="000000"/>
              <w:right w:val="dotted" w:sz="4" w:space="0" w:color="000000"/>
            </w:tcBorders>
            <w:shd w:val="clear" w:color="auto" w:fill="auto"/>
            <w:vAlign w:val="center"/>
            <w:hideMark/>
          </w:tcPr>
          <w:p w14:paraId="58A5C2D6" w14:textId="77777777" w:rsidR="00247CBF" w:rsidRPr="00092ED7" w:rsidRDefault="00247CBF" w:rsidP="00247CBF">
            <w:pPr>
              <w:spacing w:after="0"/>
              <w:jc w:val="center"/>
              <w:rPr>
                <w:sz w:val="20"/>
                <w:szCs w:val="20"/>
                <w:lang w:val="sr-Cyrl-CS"/>
              </w:rPr>
            </w:pPr>
            <w:r w:rsidRPr="00092ED7">
              <w:rPr>
                <w:sz w:val="20"/>
                <w:szCs w:val="20"/>
                <w:lang w:val="sr-Cyrl-CS"/>
              </w:rPr>
              <w:t>1,1</w:t>
            </w:r>
          </w:p>
        </w:tc>
        <w:tc>
          <w:tcPr>
            <w:tcW w:w="445" w:type="pct"/>
            <w:tcBorders>
              <w:top w:val="nil"/>
              <w:left w:val="nil"/>
              <w:bottom w:val="dotted" w:sz="4" w:space="0" w:color="000000"/>
              <w:right w:val="dotted" w:sz="4" w:space="0" w:color="000000"/>
            </w:tcBorders>
            <w:shd w:val="clear" w:color="auto" w:fill="auto"/>
            <w:vAlign w:val="center"/>
            <w:hideMark/>
          </w:tcPr>
          <w:p w14:paraId="6A3064E8" w14:textId="77777777" w:rsidR="00247CBF" w:rsidRPr="00092ED7" w:rsidRDefault="00247CBF" w:rsidP="00247CBF">
            <w:pPr>
              <w:spacing w:after="0"/>
              <w:jc w:val="center"/>
              <w:rPr>
                <w:sz w:val="20"/>
                <w:szCs w:val="20"/>
                <w:lang w:val="sr-Cyrl-CS"/>
              </w:rPr>
            </w:pPr>
            <w:r w:rsidRPr="00092ED7">
              <w:rPr>
                <w:sz w:val="20"/>
                <w:szCs w:val="20"/>
                <w:lang w:val="sr-Cyrl-CS"/>
              </w:rPr>
              <w:t>0,9</w:t>
            </w:r>
          </w:p>
        </w:tc>
        <w:tc>
          <w:tcPr>
            <w:tcW w:w="447" w:type="pct"/>
            <w:tcBorders>
              <w:top w:val="nil"/>
              <w:left w:val="nil"/>
              <w:bottom w:val="dotted" w:sz="4" w:space="0" w:color="000000"/>
              <w:right w:val="double" w:sz="6" w:space="0" w:color="000000"/>
            </w:tcBorders>
            <w:shd w:val="clear" w:color="auto" w:fill="auto"/>
            <w:vAlign w:val="center"/>
            <w:hideMark/>
          </w:tcPr>
          <w:p w14:paraId="5D9BF7F7" w14:textId="77777777" w:rsidR="00247CBF" w:rsidRPr="00092ED7" w:rsidRDefault="00247CBF" w:rsidP="00247CBF">
            <w:pPr>
              <w:spacing w:after="0"/>
              <w:jc w:val="center"/>
              <w:rPr>
                <w:sz w:val="20"/>
                <w:szCs w:val="20"/>
                <w:lang w:val="sr-Cyrl-CS"/>
              </w:rPr>
            </w:pPr>
            <w:r w:rsidRPr="00092ED7">
              <w:rPr>
                <w:sz w:val="20"/>
                <w:szCs w:val="20"/>
                <w:lang w:val="sr-Cyrl-CS"/>
              </w:rPr>
              <w:t>0,8</w:t>
            </w:r>
          </w:p>
        </w:tc>
      </w:tr>
      <w:tr w:rsidR="00247CBF" w:rsidRPr="00092ED7" w14:paraId="4D9359E3" w14:textId="77777777" w:rsidTr="00247CBF">
        <w:trPr>
          <w:gridBefore w:val="1"/>
          <w:wBefore w:w="8" w:type="pct"/>
          <w:trHeight w:val="227"/>
        </w:trPr>
        <w:tc>
          <w:tcPr>
            <w:tcW w:w="2279" w:type="pct"/>
            <w:tcBorders>
              <w:top w:val="nil"/>
              <w:left w:val="double" w:sz="6" w:space="0" w:color="000000"/>
              <w:bottom w:val="dotted" w:sz="4" w:space="0" w:color="000000"/>
              <w:right w:val="nil"/>
            </w:tcBorders>
            <w:shd w:val="clear" w:color="000000" w:fill="FFFFFF"/>
            <w:vAlign w:val="center"/>
            <w:hideMark/>
          </w:tcPr>
          <w:p w14:paraId="509BCDAF" w14:textId="77777777" w:rsidR="00247CBF" w:rsidRPr="00092ED7" w:rsidRDefault="00247CBF" w:rsidP="00247CBF">
            <w:pPr>
              <w:spacing w:after="0"/>
              <w:ind w:firstLineChars="300" w:firstLine="600"/>
              <w:jc w:val="left"/>
              <w:rPr>
                <w:rFonts w:eastAsia="Times New Roman" w:cs="Times New Roman"/>
                <w:sz w:val="20"/>
                <w:szCs w:val="20"/>
                <w:lang w:val="sr-Cyrl-CS"/>
              </w:rPr>
            </w:pPr>
            <w:r w:rsidRPr="00092ED7">
              <w:rPr>
                <w:rFonts w:eastAsia="Times New Roman" w:cs="Times New Roman"/>
                <w:sz w:val="20"/>
                <w:szCs w:val="20"/>
                <w:lang w:val="sr-Cyrl-CS"/>
              </w:rPr>
              <w:t>- капитал</w:t>
            </w:r>
          </w:p>
        </w:tc>
        <w:tc>
          <w:tcPr>
            <w:tcW w:w="486" w:type="pct"/>
            <w:gridSpan w:val="3"/>
            <w:tcBorders>
              <w:top w:val="nil"/>
              <w:left w:val="single" w:sz="4" w:space="0" w:color="000000"/>
              <w:bottom w:val="dotted" w:sz="4" w:space="0" w:color="000000"/>
              <w:right w:val="single" w:sz="4" w:space="0" w:color="000000"/>
            </w:tcBorders>
            <w:shd w:val="clear" w:color="000000" w:fill="FFFFFF"/>
            <w:vAlign w:val="center"/>
            <w:hideMark/>
          </w:tcPr>
          <w:p w14:paraId="042E9E06" w14:textId="77777777" w:rsidR="00247CBF" w:rsidRPr="00092ED7" w:rsidRDefault="00247CBF" w:rsidP="00247CBF">
            <w:pPr>
              <w:spacing w:after="0"/>
              <w:jc w:val="center"/>
              <w:rPr>
                <w:rFonts w:eastAsia="Times New Roman" w:cs="Times New Roman"/>
                <w:sz w:val="20"/>
                <w:szCs w:val="20"/>
                <w:lang w:val="sr-Cyrl-CS"/>
              </w:rPr>
            </w:pPr>
          </w:p>
        </w:tc>
        <w:tc>
          <w:tcPr>
            <w:tcW w:w="445" w:type="pct"/>
            <w:gridSpan w:val="2"/>
            <w:tcBorders>
              <w:top w:val="nil"/>
              <w:left w:val="nil"/>
              <w:bottom w:val="dotted" w:sz="4" w:space="0" w:color="000000"/>
              <w:right w:val="dotted" w:sz="4" w:space="0" w:color="000000"/>
            </w:tcBorders>
            <w:shd w:val="clear" w:color="auto" w:fill="auto"/>
            <w:vAlign w:val="center"/>
            <w:hideMark/>
          </w:tcPr>
          <w:p w14:paraId="0B7111CB" w14:textId="77777777" w:rsidR="00247CBF" w:rsidRPr="00092ED7" w:rsidRDefault="00247CBF" w:rsidP="00247CBF">
            <w:pPr>
              <w:spacing w:after="0"/>
              <w:jc w:val="center"/>
              <w:rPr>
                <w:sz w:val="20"/>
                <w:szCs w:val="20"/>
                <w:lang w:val="sr-Cyrl-CS"/>
              </w:rPr>
            </w:pPr>
            <w:r w:rsidRPr="00092ED7">
              <w:rPr>
                <w:sz w:val="20"/>
                <w:szCs w:val="20"/>
                <w:lang w:val="sr-Cyrl-CS"/>
              </w:rPr>
              <w:t>1,7</w:t>
            </w:r>
          </w:p>
        </w:tc>
        <w:tc>
          <w:tcPr>
            <w:tcW w:w="445" w:type="pct"/>
            <w:gridSpan w:val="2"/>
            <w:tcBorders>
              <w:top w:val="nil"/>
              <w:left w:val="nil"/>
              <w:bottom w:val="dotted" w:sz="4" w:space="0" w:color="000000"/>
              <w:right w:val="dotted" w:sz="4" w:space="0" w:color="000000"/>
            </w:tcBorders>
            <w:shd w:val="clear" w:color="auto" w:fill="auto"/>
            <w:vAlign w:val="center"/>
            <w:hideMark/>
          </w:tcPr>
          <w:p w14:paraId="0BC44269" w14:textId="77777777" w:rsidR="00247CBF" w:rsidRPr="00092ED7" w:rsidRDefault="00247CBF" w:rsidP="00247CBF">
            <w:pPr>
              <w:spacing w:after="0"/>
              <w:jc w:val="center"/>
              <w:rPr>
                <w:sz w:val="20"/>
                <w:szCs w:val="20"/>
                <w:lang w:val="sr-Cyrl-CS"/>
              </w:rPr>
            </w:pPr>
            <w:r w:rsidRPr="00092ED7">
              <w:rPr>
                <w:sz w:val="20"/>
                <w:szCs w:val="20"/>
                <w:lang w:val="sr-Cyrl-CS"/>
              </w:rPr>
              <w:t>1,2</w:t>
            </w:r>
          </w:p>
        </w:tc>
        <w:tc>
          <w:tcPr>
            <w:tcW w:w="445" w:type="pct"/>
            <w:gridSpan w:val="2"/>
            <w:tcBorders>
              <w:top w:val="nil"/>
              <w:left w:val="nil"/>
              <w:bottom w:val="dotted" w:sz="4" w:space="0" w:color="000000"/>
              <w:right w:val="dotted" w:sz="4" w:space="0" w:color="000000"/>
            </w:tcBorders>
            <w:shd w:val="clear" w:color="auto" w:fill="auto"/>
            <w:vAlign w:val="center"/>
            <w:hideMark/>
          </w:tcPr>
          <w:p w14:paraId="03346953" w14:textId="77777777" w:rsidR="00247CBF" w:rsidRPr="00092ED7" w:rsidRDefault="00247CBF" w:rsidP="00247CBF">
            <w:pPr>
              <w:spacing w:after="0"/>
              <w:jc w:val="center"/>
              <w:rPr>
                <w:sz w:val="20"/>
                <w:szCs w:val="20"/>
                <w:lang w:val="sr-Cyrl-CS"/>
              </w:rPr>
            </w:pPr>
            <w:r w:rsidRPr="00092ED7">
              <w:rPr>
                <w:sz w:val="20"/>
                <w:szCs w:val="20"/>
                <w:lang w:val="sr-Cyrl-CS"/>
              </w:rPr>
              <w:t>1,4</w:t>
            </w:r>
          </w:p>
        </w:tc>
        <w:tc>
          <w:tcPr>
            <w:tcW w:w="445" w:type="pct"/>
            <w:tcBorders>
              <w:top w:val="nil"/>
              <w:left w:val="nil"/>
              <w:bottom w:val="dotted" w:sz="4" w:space="0" w:color="000000"/>
              <w:right w:val="dotted" w:sz="4" w:space="0" w:color="000000"/>
            </w:tcBorders>
            <w:shd w:val="clear" w:color="auto" w:fill="auto"/>
            <w:vAlign w:val="center"/>
            <w:hideMark/>
          </w:tcPr>
          <w:p w14:paraId="0CB94AF4" w14:textId="77777777" w:rsidR="00247CBF" w:rsidRPr="00092ED7" w:rsidRDefault="00247CBF" w:rsidP="00247CBF">
            <w:pPr>
              <w:spacing w:after="0"/>
              <w:jc w:val="center"/>
              <w:rPr>
                <w:sz w:val="20"/>
                <w:szCs w:val="20"/>
                <w:lang w:val="sr-Cyrl-CS"/>
              </w:rPr>
            </w:pPr>
            <w:r w:rsidRPr="00092ED7">
              <w:rPr>
                <w:sz w:val="20"/>
                <w:szCs w:val="20"/>
                <w:lang w:val="sr-Cyrl-CS"/>
              </w:rPr>
              <w:t>1,5</w:t>
            </w:r>
          </w:p>
        </w:tc>
        <w:tc>
          <w:tcPr>
            <w:tcW w:w="447" w:type="pct"/>
            <w:tcBorders>
              <w:top w:val="nil"/>
              <w:left w:val="nil"/>
              <w:bottom w:val="dotted" w:sz="4" w:space="0" w:color="000000"/>
              <w:right w:val="double" w:sz="6" w:space="0" w:color="000000"/>
            </w:tcBorders>
            <w:shd w:val="clear" w:color="auto" w:fill="auto"/>
            <w:vAlign w:val="center"/>
            <w:hideMark/>
          </w:tcPr>
          <w:p w14:paraId="3B7D3627" w14:textId="77777777" w:rsidR="00247CBF" w:rsidRPr="00092ED7" w:rsidRDefault="00247CBF" w:rsidP="00247CBF">
            <w:pPr>
              <w:spacing w:after="0"/>
              <w:jc w:val="center"/>
              <w:rPr>
                <w:sz w:val="20"/>
                <w:szCs w:val="20"/>
                <w:lang w:val="sr-Cyrl-CS"/>
              </w:rPr>
            </w:pPr>
            <w:r w:rsidRPr="00092ED7">
              <w:rPr>
                <w:sz w:val="20"/>
                <w:szCs w:val="20"/>
                <w:lang w:val="sr-Cyrl-CS"/>
              </w:rPr>
              <w:t>1,5</w:t>
            </w:r>
          </w:p>
        </w:tc>
      </w:tr>
      <w:tr w:rsidR="00247CBF" w:rsidRPr="00092ED7" w14:paraId="1298C56D" w14:textId="77777777" w:rsidTr="00247CBF">
        <w:trPr>
          <w:gridBefore w:val="1"/>
          <w:wBefore w:w="8" w:type="pct"/>
          <w:trHeight w:val="227"/>
        </w:trPr>
        <w:tc>
          <w:tcPr>
            <w:tcW w:w="2279" w:type="pct"/>
            <w:tcBorders>
              <w:top w:val="nil"/>
              <w:left w:val="double" w:sz="6" w:space="0" w:color="000000"/>
              <w:bottom w:val="single" w:sz="4" w:space="0" w:color="auto"/>
              <w:right w:val="nil"/>
            </w:tcBorders>
            <w:shd w:val="clear" w:color="000000" w:fill="FFFFFF"/>
            <w:vAlign w:val="center"/>
            <w:hideMark/>
          </w:tcPr>
          <w:p w14:paraId="28EC4151" w14:textId="77777777" w:rsidR="00247CBF" w:rsidRPr="00092ED7" w:rsidRDefault="00247CBF" w:rsidP="00247CBF">
            <w:pPr>
              <w:spacing w:after="0"/>
              <w:ind w:firstLineChars="300" w:firstLine="600"/>
              <w:jc w:val="left"/>
              <w:rPr>
                <w:rFonts w:eastAsia="Times New Roman" w:cs="Times New Roman"/>
                <w:sz w:val="20"/>
                <w:szCs w:val="20"/>
                <w:lang w:val="sr-Cyrl-CS"/>
              </w:rPr>
            </w:pPr>
            <w:r w:rsidRPr="00092ED7">
              <w:rPr>
                <w:rFonts w:eastAsia="Times New Roman" w:cs="Times New Roman"/>
                <w:sz w:val="20"/>
                <w:szCs w:val="20"/>
                <w:lang w:val="sr-Cyrl-CS"/>
              </w:rPr>
              <w:t>- укупна факторска продуктивност</w:t>
            </w:r>
          </w:p>
        </w:tc>
        <w:tc>
          <w:tcPr>
            <w:tcW w:w="486" w:type="pct"/>
            <w:gridSpan w:val="3"/>
            <w:tcBorders>
              <w:top w:val="nil"/>
              <w:left w:val="single" w:sz="4" w:space="0" w:color="000000"/>
              <w:bottom w:val="single" w:sz="4" w:space="0" w:color="auto"/>
              <w:right w:val="single" w:sz="4" w:space="0" w:color="000000"/>
            </w:tcBorders>
            <w:shd w:val="clear" w:color="000000" w:fill="FFFFFF"/>
            <w:vAlign w:val="center"/>
            <w:hideMark/>
          </w:tcPr>
          <w:p w14:paraId="0A9290D4" w14:textId="77777777" w:rsidR="00247CBF" w:rsidRPr="00092ED7" w:rsidRDefault="00247CBF" w:rsidP="00247CBF">
            <w:pPr>
              <w:spacing w:after="0"/>
              <w:jc w:val="center"/>
              <w:rPr>
                <w:rFonts w:eastAsia="Times New Roman" w:cs="Times New Roman"/>
                <w:sz w:val="20"/>
                <w:szCs w:val="20"/>
                <w:lang w:val="sr-Cyrl-CS"/>
              </w:rPr>
            </w:pPr>
          </w:p>
        </w:tc>
        <w:tc>
          <w:tcPr>
            <w:tcW w:w="445" w:type="pct"/>
            <w:gridSpan w:val="2"/>
            <w:tcBorders>
              <w:top w:val="nil"/>
              <w:left w:val="nil"/>
              <w:bottom w:val="single" w:sz="4" w:space="0" w:color="auto"/>
              <w:right w:val="dotted" w:sz="4" w:space="0" w:color="000000"/>
            </w:tcBorders>
            <w:shd w:val="clear" w:color="auto" w:fill="auto"/>
            <w:vAlign w:val="center"/>
            <w:hideMark/>
          </w:tcPr>
          <w:p w14:paraId="33CAC4AC" w14:textId="77777777" w:rsidR="00247CBF" w:rsidRPr="00092ED7" w:rsidRDefault="00247CBF" w:rsidP="00247CBF">
            <w:pPr>
              <w:spacing w:after="0"/>
              <w:jc w:val="center"/>
              <w:rPr>
                <w:sz w:val="20"/>
                <w:szCs w:val="20"/>
                <w:lang w:val="sr-Cyrl-CS"/>
              </w:rPr>
            </w:pPr>
            <w:r w:rsidRPr="00092ED7">
              <w:rPr>
                <w:sz w:val="20"/>
                <w:szCs w:val="20"/>
                <w:lang w:val="sr-Cyrl-CS"/>
              </w:rPr>
              <w:t>0,7</w:t>
            </w:r>
          </w:p>
        </w:tc>
        <w:tc>
          <w:tcPr>
            <w:tcW w:w="445" w:type="pct"/>
            <w:gridSpan w:val="2"/>
            <w:tcBorders>
              <w:top w:val="nil"/>
              <w:left w:val="nil"/>
              <w:bottom w:val="single" w:sz="4" w:space="0" w:color="auto"/>
              <w:right w:val="dotted" w:sz="4" w:space="0" w:color="000000"/>
            </w:tcBorders>
            <w:shd w:val="clear" w:color="auto" w:fill="auto"/>
            <w:vAlign w:val="center"/>
            <w:hideMark/>
          </w:tcPr>
          <w:p w14:paraId="04E7C20B" w14:textId="77777777" w:rsidR="00247CBF" w:rsidRPr="00092ED7" w:rsidRDefault="00247CBF" w:rsidP="00247CBF">
            <w:pPr>
              <w:spacing w:after="0"/>
              <w:jc w:val="center"/>
              <w:rPr>
                <w:sz w:val="20"/>
                <w:szCs w:val="20"/>
                <w:lang w:val="sr-Cyrl-CS"/>
              </w:rPr>
            </w:pPr>
            <w:r w:rsidRPr="00092ED7">
              <w:rPr>
                <w:sz w:val="20"/>
                <w:szCs w:val="20"/>
                <w:lang w:val="sr-Cyrl-CS"/>
              </w:rPr>
              <w:t>1,4</w:t>
            </w:r>
          </w:p>
        </w:tc>
        <w:tc>
          <w:tcPr>
            <w:tcW w:w="445" w:type="pct"/>
            <w:gridSpan w:val="2"/>
            <w:tcBorders>
              <w:top w:val="nil"/>
              <w:left w:val="nil"/>
              <w:bottom w:val="single" w:sz="4" w:space="0" w:color="auto"/>
              <w:right w:val="dotted" w:sz="4" w:space="0" w:color="000000"/>
            </w:tcBorders>
            <w:shd w:val="clear" w:color="auto" w:fill="auto"/>
            <w:vAlign w:val="center"/>
            <w:hideMark/>
          </w:tcPr>
          <w:p w14:paraId="4A0BE561" w14:textId="77777777" w:rsidR="00247CBF" w:rsidRPr="00092ED7" w:rsidRDefault="00247CBF" w:rsidP="00247CBF">
            <w:pPr>
              <w:spacing w:after="0"/>
              <w:jc w:val="center"/>
              <w:rPr>
                <w:sz w:val="20"/>
                <w:szCs w:val="20"/>
                <w:lang w:val="sr-Cyrl-CS"/>
              </w:rPr>
            </w:pPr>
            <w:r w:rsidRPr="00092ED7">
              <w:rPr>
                <w:sz w:val="20"/>
                <w:szCs w:val="20"/>
                <w:lang w:val="sr-Cyrl-CS"/>
              </w:rPr>
              <w:t>1,1</w:t>
            </w:r>
          </w:p>
        </w:tc>
        <w:tc>
          <w:tcPr>
            <w:tcW w:w="445" w:type="pct"/>
            <w:tcBorders>
              <w:top w:val="nil"/>
              <w:left w:val="nil"/>
              <w:bottom w:val="single" w:sz="4" w:space="0" w:color="auto"/>
              <w:right w:val="dotted" w:sz="4" w:space="0" w:color="000000"/>
            </w:tcBorders>
            <w:shd w:val="clear" w:color="auto" w:fill="auto"/>
            <w:vAlign w:val="center"/>
            <w:hideMark/>
          </w:tcPr>
          <w:p w14:paraId="456B9BB8" w14:textId="77777777" w:rsidR="00247CBF" w:rsidRPr="00092ED7" w:rsidRDefault="00247CBF" w:rsidP="00247CBF">
            <w:pPr>
              <w:spacing w:after="0"/>
              <w:jc w:val="center"/>
              <w:rPr>
                <w:sz w:val="20"/>
                <w:szCs w:val="20"/>
                <w:lang w:val="sr-Cyrl-CS"/>
              </w:rPr>
            </w:pPr>
            <w:r w:rsidRPr="00092ED7">
              <w:rPr>
                <w:sz w:val="20"/>
                <w:szCs w:val="20"/>
                <w:lang w:val="sr-Cyrl-CS"/>
              </w:rPr>
              <w:t>1,3</w:t>
            </w:r>
          </w:p>
        </w:tc>
        <w:tc>
          <w:tcPr>
            <w:tcW w:w="447" w:type="pct"/>
            <w:tcBorders>
              <w:top w:val="nil"/>
              <w:left w:val="nil"/>
              <w:bottom w:val="single" w:sz="4" w:space="0" w:color="auto"/>
              <w:right w:val="double" w:sz="6" w:space="0" w:color="000000"/>
            </w:tcBorders>
            <w:shd w:val="clear" w:color="auto" w:fill="auto"/>
            <w:vAlign w:val="center"/>
            <w:hideMark/>
          </w:tcPr>
          <w:p w14:paraId="4C41C7BF" w14:textId="77777777" w:rsidR="00247CBF" w:rsidRPr="00092ED7" w:rsidRDefault="00247CBF" w:rsidP="00247CBF">
            <w:pPr>
              <w:spacing w:after="0"/>
              <w:jc w:val="center"/>
              <w:rPr>
                <w:sz w:val="20"/>
                <w:szCs w:val="20"/>
                <w:lang w:val="sr-Cyrl-CS"/>
              </w:rPr>
            </w:pPr>
            <w:r w:rsidRPr="00092ED7">
              <w:rPr>
                <w:sz w:val="20"/>
                <w:szCs w:val="20"/>
                <w:lang w:val="sr-Cyrl-CS"/>
              </w:rPr>
              <w:t>1,4</w:t>
            </w:r>
          </w:p>
        </w:tc>
      </w:tr>
      <w:tr w:rsidR="00247CBF" w:rsidRPr="00092ED7" w14:paraId="49A779AA" w14:textId="77777777" w:rsidTr="00247CBF">
        <w:trPr>
          <w:gridBefore w:val="1"/>
          <w:wBefore w:w="8" w:type="pct"/>
          <w:trHeight w:val="227"/>
        </w:trPr>
        <w:tc>
          <w:tcPr>
            <w:tcW w:w="2279" w:type="pct"/>
            <w:tcBorders>
              <w:top w:val="nil"/>
              <w:left w:val="double" w:sz="6" w:space="0" w:color="000000"/>
              <w:bottom w:val="dotted" w:sz="4" w:space="0" w:color="000000"/>
              <w:right w:val="nil"/>
            </w:tcBorders>
            <w:shd w:val="clear" w:color="000000" w:fill="FFFFFF"/>
            <w:vAlign w:val="center"/>
            <w:hideMark/>
          </w:tcPr>
          <w:p w14:paraId="09DAB4AD" w14:textId="77777777" w:rsidR="00247CBF" w:rsidRPr="00092ED7" w:rsidRDefault="00247CBF" w:rsidP="00247CBF">
            <w:pPr>
              <w:spacing w:after="0"/>
              <w:ind w:firstLineChars="100" w:firstLine="200"/>
              <w:jc w:val="left"/>
              <w:rPr>
                <w:rFonts w:eastAsia="Times New Roman" w:cs="Times New Roman"/>
                <w:sz w:val="20"/>
                <w:szCs w:val="20"/>
                <w:lang w:val="sr-Cyrl-CS"/>
              </w:rPr>
            </w:pPr>
            <w:r w:rsidRPr="00092ED7">
              <w:rPr>
                <w:rFonts w:eastAsia="Times New Roman" w:cs="Times New Roman"/>
                <w:sz w:val="20"/>
                <w:szCs w:val="20"/>
                <w:lang w:val="sr-Cyrl-CS"/>
              </w:rPr>
              <w:t>6. Производни јаз</w:t>
            </w:r>
          </w:p>
        </w:tc>
        <w:tc>
          <w:tcPr>
            <w:tcW w:w="486" w:type="pct"/>
            <w:gridSpan w:val="3"/>
            <w:tcBorders>
              <w:top w:val="nil"/>
              <w:left w:val="single" w:sz="4" w:space="0" w:color="000000"/>
              <w:bottom w:val="dotted" w:sz="4" w:space="0" w:color="000000"/>
              <w:right w:val="single" w:sz="4" w:space="0" w:color="000000"/>
            </w:tcBorders>
            <w:shd w:val="clear" w:color="000000" w:fill="FFFFFF"/>
            <w:vAlign w:val="center"/>
            <w:hideMark/>
          </w:tcPr>
          <w:p w14:paraId="26520EAA" w14:textId="77777777" w:rsidR="00247CBF" w:rsidRPr="00092ED7" w:rsidRDefault="00247CBF" w:rsidP="00247CBF">
            <w:pPr>
              <w:spacing w:after="0"/>
              <w:jc w:val="center"/>
              <w:rPr>
                <w:rFonts w:eastAsia="Times New Roman" w:cs="Times New Roman"/>
                <w:sz w:val="20"/>
                <w:szCs w:val="20"/>
                <w:lang w:val="sr-Cyrl-CS"/>
              </w:rPr>
            </w:pPr>
          </w:p>
        </w:tc>
        <w:tc>
          <w:tcPr>
            <w:tcW w:w="445" w:type="pct"/>
            <w:gridSpan w:val="2"/>
            <w:tcBorders>
              <w:top w:val="nil"/>
              <w:left w:val="nil"/>
              <w:bottom w:val="dotted" w:sz="4" w:space="0" w:color="000000"/>
              <w:right w:val="dotted" w:sz="4" w:space="0" w:color="000000"/>
            </w:tcBorders>
            <w:shd w:val="clear" w:color="auto" w:fill="auto"/>
            <w:vAlign w:val="center"/>
            <w:hideMark/>
          </w:tcPr>
          <w:p w14:paraId="350963FA" w14:textId="77777777" w:rsidR="00247CBF" w:rsidRPr="00092ED7" w:rsidRDefault="00247CBF" w:rsidP="00247CBF">
            <w:pPr>
              <w:spacing w:after="0"/>
              <w:jc w:val="center"/>
              <w:rPr>
                <w:sz w:val="20"/>
                <w:szCs w:val="20"/>
                <w:lang w:val="sr-Cyrl-CS"/>
              </w:rPr>
            </w:pPr>
            <w:r w:rsidRPr="00092ED7">
              <w:rPr>
                <w:sz w:val="20"/>
                <w:szCs w:val="20"/>
                <w:lang w:val="sr-Cyrl-CS"/>
              </w:rPr>
              <w:t>1,3</w:t>
            </w:r>
          </w:p>
        </w:tc>
        <w:tc>
          <w:tcPr>
            <w:tcW w:w="445" w:type="pct"/>
            <w:gridSpan w:val="2"/>
            <w:tcBorders>
              <w:top w:val="nil"/>
              <w:left w:val="nil"/>
              <w:bottom w:val="dotted" w:sz="4" w:space="0" w:color="000000"/>
              <w:right w:val="dotted" w:sz="4" w:space="0" w:color="000000"/>
            </w:tcBorders>
            <w:shd w:val="clear" w:color="auto" w:fill="auto"/>
            <w:vAlign w:val="center"/>
            <w:hideMark/>
          </w:tcPr>
          <w:p w14:paraId="444D4DF4" w14:textId="77777777" w:rsidR="00247CBF" w:rsidRPr="00092ED7" w:rsidRDefault="00247CBF" w:rsidP="00247CBF">
            <w:pPr>
              <w:spacing w:after="0"/>
              <w:jc w:val="center"/>
              <w:rPr>
                <w:sz w:val="20"/>
                <w:szCs w:val="20"/>
                <w:lang w:val="sr-Cyrl-CS"/>
              </w:rPr>
            </w:pPr>
            <w:r w:rsidRPr="00092ED7">
              <w:rPr>
                <w:sz w:val="20"/>
                <w:szCs w:val="20"/>
                <w:lang w:val="sr-Cyrl-CS"/>
              </w:rPr>
              <w:t>0,7</w:t>
            </w:r>
          </w:p>
        </w:tc>
        <w:tc>
          <w:tcPr>
            <w:tcW w:w="445" w:type="pct"/>
            <w:gridSpan w:val="2"/>
            <w:tcBorders>
              <w:top w:val="nil"/>
              <w:left w:val="nil"/>
              <w:bottom w:val="dotted" w:sz="4" w:space="0" w:color="000000"/>
              <w:right w:val="dotted" w:sz="4" w:space="0" w:color="000000"/>
            </w:tcBorders>
            <w:shd w:val="clear" w:color="auto" w:fill="auto"/>
            <w:vAlign w:val="center"/>
            <w:hideMark/>
          </w:tcPr>
          <w:p w14:paraId="64B46533" w14:textId="77777777" w:rsidR="00247CBF" w:rsidRPr="00092ED7" w:rsidRDefault="00247CBF" w:rsidP="00247CBF">
            <w:pPr>
              <w:spacing w:after="0"/>
              <w:jc w:val="center"/>
              <w:rPr>
                <w:sz w:val="20"/>
                <w:szCs w:val="20"/>
                <w:lang w:val="sr-Cyrl-CS"/>
              </w:rPr>
            </w:pPr>
            <w:r w:rsidRPr="00092ED7">
              <w:rPr>
                <w:sz w:val="20"/>
                <w:szCs w:val="20"/>
                <w:lang w:val="sr-Cyrl-CS"/>
              </w:rPr>
              <w:t>-0,3</w:t>
            </w:r>
          </w:p>
        </w:tc>
        <w:tc>
          <w:tcPr>
            <w:tcW w:w="445" w:type="pct"/>
            <w:tcBorders>
              <w:top w:val="nil"/>
              <w:left w:val="nil"/>
              <w:bottom w:val="dotted" w:sz="4" w:space="0" w:color="000000"/>
              <w:right w:val="dotted" w:sz="4" w:space="0" w:color="000000"/>
            </w:tcBorders>
            <w:shd w:val="clear" w:color="auto" w:fill="auto"/>
            <w:vAlign w:val="center"/>
            <w:hideMark/>
          </w:tcPr>
          <w:p w14:paraId="779B5461" w14:textId="77777777" w:rsidR="00247CBF" w:rsidRPr="00092ED7" w:rsidRDefault="00247CBF" w:rsidP="00247CBF">
            <w:pPr>
              <w:spacing w:after="0"/>
              <w:jc w:val="center"/>
              <w:rPr>
                <w:sz w:val="20"/>
                <w:szCs w:val="20"/>
                <w:lang w:val="sr-Cyrl-CS"/>
              </w:rPr>
            </w:pPr>
            <w:r w:rsidRPr="00092ED7">
              <w:rPr>
                <w:sz w:val="20"/>
                <w:szCs w:val="20"/>
                <w:lang w:val="sr-Cyrl-CS"/>
              </w:rPr>
              <w:t>-0,4</w:t>
            </w:r>
          </w:p>
        </w:tc>
        <w:tc>
          <w:tcPr>
            <w:tcW w:w="447" w:type="pct"/>
            <w:tcBorders>
              <w:top w:val="nil"/>
              <w:left w:val="nil"/>
              <w:bottom w:val="dotted" w:sz="4" w:space="0" w:color="000000"/>
              <w:right w:val="double" w:sz="6" w:space="0" w:color="000000"/>
            </w:tcBorders>
            <w:shd w:val="clear" w:color="auto" w:fill="auto"/>
            <w:vAlign w:val="center"/>
            <w:hideMark/>
          </w:tcPr>
          <w:p w14:paraId="1D00FAF0" w14:textId="77777777" w:rsidR="00247CBF" w:rsidRPr="00092ED7" w:rsidRDefault="00247CBF" w:rsidP="00247CBF">
            <w:pPr>
              <w:spacing w:after="0"/>
              <w:jc w:val="center"/>
              <w:rPr>
                <w:sz w:val="20"/>
                <w:szCs w:val="20"/>
                <w:lang w:val="sr-Cyrl-CS"/>
              </w:rPr>
            </w:pPr>
            <w:r w:rsidRPr="00092ED7">
              <w:rPr>
                <w:sz w:val="20"/>
                <w:szCs w:val="20"/>
                <w:lang w:val="sr-Cyrl-CS"/>
              </w:rPr>
              <w:t>-0,2</w:t>
            </w:r>
          </w:p>
        </w:tc>
      </w:tr>
      <w:tr w:rsidR="00247CBF" w:rsidRPr="00092ED7" w14:paraId="0CB2875C" w14:textId="77777777" w:rsidTr="00247CBF">
        <w:trPr>
          <w:gridBefore w:val="1"/>
          <w:wBefore w:w="8" w:type="pct"/>
          <w:trHeight w:val="227"/>
        </w:trPr>
        <w:tc>
          <w:tcPr>
            <w:tcW w:w="2279" w:type="pct"/>
            <w:tcBorders>
              <w:top w:val="nil"/>
              <w:left w:val="double" w:sz="6" w:space="0" w:color="000000"/>
              <w:bottom w:val="single" w:sz="4" w:space="0" w:color="auto"/>
              <w:right w:val="nil"/>
            </w:tcBorders>
            <w:shd w:val="clear" w:color="000000" w:fill="FFFFFF"/>
            <w:vAlign w:val="center"/>
            <w:hideMark/>
          </w:tcPr>
          <w:p w14:paraId="38F35C9A" w14:textId="77777777" w:rsidR="00247CBF" w:rsidRPr="00092ED7" w:rsidRDefault="00247CBF" w:rsidP="00247CBF">
            <w:pPr>
              <w:spacing w:after="0"/>
              <w:ind w:firstLineChars="100" w:firstLine="200"/>
              <w:jc w:val="left"/>
              <w:rPr>
                <w:rFonts w:eastAsia="Times New Roman" w:cs="Times New Roman"/>
                <w:sz w:val="20"/>
                <w:szCs w:val="20"/>
                <w:lang w:val="sr-Cyrl-CS"/>
              </w:rPr>
            </w:pPr>
            <w:r w:rsidRPr="00092ED7">
              <w:rPr>
                <w:rFonts w:eastAsia="Times New Roman" w:cs="Times New Roman"/>
                <w:sz w:val="20"/>
                <w:szCs w:val="20"/>
                <w:lang w:val="sr-Cyrl-CS"/>
              </w:rPr>
              <w:t>7. Циклична компонента буџета</w:t>
            </w:r>
          </w:p>
        </w:tc>
        <w:tc>
          <w:tcPr>
            <w:tcW w:w="486" w:type="pct"/>
            <w:gridSpan w:val="3"/>
            <w:tcBorders>
              <w:top w:val="nil"/>
              <w:left w:val="single" w:sz="4" w:space="0" w:color="000000"/>
              <w:bottom w:val="single" w:sz="4" w:space="0" w:color="auto"/>
              <w:right w:val="single" w:sz="4" w:space="0" w:color="000000"/>
            </w:tcBorders>
            <w:shd w:val="clear" w:color="000000" w:fill="FFFFFF"/>
            <w:vAlign w:val="center"/>
            <w:hideMark/>
          </w:tcPr>
          <w:p w14:paraId="6B3464B9" w14:textId="77777777" w:rsidR="00247CBF" w:rsidRPr="00092ED7" w:rsidRDefault="00247CBF" w:rsidP="00247CBF">
            <w:pPr>
              <w:spacing w:after="0"/>
              <w:jc w:val="center"/>
              <w:rPr>
                <w:rFonts w:eastAsia="Times New Roman" w:cs="Times New Roman"/>
                <w:sz w:val="20"/>
                <w:szCs w:val="20"/>
                <w:lang w:val="sr-Cyrl-CS"/>
              </w:rPr>
            </w:pPr>
          </w:p>
        </w:tc>
        <w:tc>
          <w:tcPr>
            <w:tcW w:w="445" w:type="pct"/>
            <w:gridSpan w:val="2"/>
            <w:tcBorders>
              <w:top w:val="nil"/>
              <w:left w:val="nil"/>
              <w:bottom w:val="single" w:sz="4" w:space="0" w:color="auto"/>
              <w:right w:val="dotted" w:sz="4" w:space="0" w:color="000000"/>
            </w:tcBorders>
            <w:shd w:val="clear" w:color="auto" w:fill="auto"/>
            <w:vAlign w:val="center"/>
            <w:hideMark/>
          </w:tcPr>
          <w:p w14:paraId="5408F2CF" w14:textId="77777777" w:rsidR="00247CBF" w:rsidRPr="00092ED7" w:rsidRDefault="00247CBF" w:rsidP="00247CBF">
            <w:pPr>
              <w:spacing w:after="0"/>
              <w:jc w:val="center"/>
              <w:rPr>
                <w:sz w:val="20"/>
                <w:szCs w:val="20"/>
                <w:lang w:val="sr-Cyrl-CS"/>
              </w:rPr>
            </w:pPr>
            <w:r w:rsidRPr="00092ED7">
              <w:rPr>
                <w:sz w:val="20"/>
                <w:szCs w:val="20"/>
                <w:lang w:val="sr-Cyrl-CS"/>
              </w:rPr>
              <w:t>0,5</w:t>
            </w:r>
          </w:p>
        </w:tc>
        <w:tc>
          <w:tcPr>
            <w:tcW w:w="445" w:type="pct"/>
            <w:gridSpan w:val="2"/>
            <w:tcBorders>
              <w:top w:val="nil"/>
              <w:left w:val="nil"/>
              <w:bottom w:val="single" w:sz="4" w:space="0" w:color="auto"/>
              <w:right w:val="dotted" w:sz="4" w:space="0" w:color="000000"/>
            </w:tcBorders>
            <w:shd w:val="clear" w:color="auto" w:fill="auto"/>
            <w:vAlign w:val="center"/>
            <w:hideMark/>
          </w:tcPr>
          <w:p w14:paraId="7657D4B9" w14:textId="77777777" w:rsidR="00247CBF" w:rsidRPr="00092ED7" w:rsidRDefault="00247CBF" w:rsidP="00247CBF">
            <w:pPr>
              <w:spacing w:after="0"/>
              <w:jc w:val="center"/>
              <w:rPr>
                <w:sz w:val="20"/>
                <w:szCs w:val="20"/>
                <w:lang w:val="sr-Cyrl-CS"/>
              </w:rPr>
            </w:pPr>
            <w:r w:rsidRPr="00092ED7">
              <w:rPr>
                <w:sz w:val="20"/>
                <w:szCs w:val="20"/>
                <w:lang w:val="sr-Cyrl-CS"/>
              </w:rPr>
              <w:t>0,3</w:t>
            </w:r>
          </w:p>
        </w:tc>
        <w:tc>
          <w:tcPr>
            <w:tcW w:w="445" w:type="pct"/>
            <w:gridSpan w:val="2"/>
            <w:tcBorders>
              <w:top w:val="nil"/>
              <w:left w:val="nil"/>
              <w:bottom w:val="single" w:sz="4" w:space="0" w:color="auto"/>
              <w:right w:val="dotted" w:sz="4" w:space="0" w:color="000000"/>
            </w:tcBorders>
            <w:shd w:val="clear" w:color="auto" w:fill="auto"/>
            <w:vAlign w:val="center"/>
            <w:hideMark/>
          </w:tcPr>
          <w:p w14:paraId="2288C222" w14:textId="77777777" w:rsidR="00247CBF" w:rsidRPr="00092ED7" w:rsidRDefault="00247CBF" w:rsidP="00247CBF">
            <w:pPr>
              <w:spacing w:after="0"/>
              <w:jc w:val="center"/>
              <w:rPr>
                <w:sz w:val="20"/>
                <w:szCs w:val="20"/>
                <w:lang w:val="sr-Cyrl-CS"/>
              </w:rPr>
            </w:pPr>
            <w:r w:rsidRPr="00092ED7">
              <w:rPr>
                <w:sz w:val="20"/>
                <w:szCs w:val="20"/>
                <w:lang w:val="sr-Cyrl-CS"/>
              </w:rPr>
              <w:t>-0,1</w:t>
            </w:r>
          </w:p>
        </w:tc>
        <w:tc>
          <w:tcPr>
            <w:tcW w:w="445" w:type="pct"/>
            <w:tcBorders>
              <w:top w:val="nil"/>
              <w:left w:val="nil"/>
              <w:bottom w:val="single" w:sz="4" w:space="0" w:color="auto"/>
              <w:right w:val="dotted" w:sz="4" w:space="0" w:color="000000"/>
            </w:tcBorders>
            <w:shd w:val="clear" w:color="auto" w:fill="auto"/>
            <w:vAlign w:val="center"/>
            <w:hideMark/>
          </w:tcPr>
          <w:p w14:paraId="738C4ED1" w14:textId="77777777" w:rsidR="00247CBF" w:rsidRPr="00092ED7" w:rsidRDefault="00247CBF" w:rsidP="00247CBF">
            <w:pPr>
              <w:spacing w:after="0"/>
              <w:jc w:val="center"/>
              <w:rPr>
                <w:sz w:val="20"/>
                <w:szCs w:val="20"/>
                <w:lang w:val="sr-Cyrl-CS"/>
              </w:rPr>
            </w:pPr>
            <w:r w:rsidRPr="00092ED7">
              <w:rPr>
                <w:sz w:val="20"/>
                <w:szCs w:val="20"/>
                <w:lang w:val="sr-Cyrl-CS"/>
              </w:rPr>
              <w:t>-0,2</w:t>
            </w:r>
          </w:p>
        </w:tc>
        <w:tc>
          <w:tcPr>
            <w:tcW w:w="447" w:type="pct"/>
            <w:tcBorders>
              <w:top w:val="nil"/>
              <w:left w:val="nil"/>
              <w:bottom w:val="single" w:sz="4" w:space="0" w:color="auto"/>
              <w:right w:val="double" w:sz="6" w:space="0" w:color="000000"/>
            </w:tcBorders>
            <w:shd w:val="clear" w:color="auto" w:fill="auto"/>
            <w:vAlign w:val="center"/>
            <w:hideMark/>
          </w:tcPr>
          <w:p w14:paraId="68B8982B" w14:textId="77777777" w:rsidR="00247CBF" w:rsidRPr="00092ED7" w:rsidRDefault="00247CBF" w:rsidP="00247CBF">
            <w:pPr>
              <w:spacing w:after="0"/>
              <w:jc w:val="center"/>
              <w:rPr>
                <w:sz w:val="20"/>
                <w:szCs w:val="20"/>
                <w:lang w:val="sr-Cyrl-CS"/>
              </w:rPr>
            </w:pPr>
            <w:r w:rsidRPr="00092ED7">
              <w:rPr>
                <w:sz w:val="20"/>
                <w:szCs w:val="20"/>
                <w:lang w:val="sr-Cyrl-CS"/>
              </w:rPr>
              <w:t>-0,1</w:t>
            </w:r>
          </w:p>
        </w:tc>
      </w:tr>
      <w:tr w:rsidR="00247CBF" w:rsidRPr="00092ED7" w14:paraId="7A1FAF1E" w14:textId="77777777" w:rsidTr="00247CBF">
        <w:trPr>
          <w:gridBefore w:val="1"/>
          <w:wBefore w:w="8" w:type="pct"/>
          <w:trHeight w:val="227"/>
        </w:trPr>
        <w:tc>
          <w:tcPr>
            <w:tcW w:w="2279" w:type="pct"/>
            <w:tcBorders>
              <w:top w:val="nil"/>
              <w:left w:val="double" w:sz="6" w:space="0" w:color="000000"/>
              <w:bottom w:val="dotted" w:sz="4" w:space="0" w:color="000000"/>
              <w:right w:val="nil"/>
            </w:tcBorders>
            <w:shd w:val="clear" w:color="000000" w:fill="FFFFFF"/>
            <w:vAlign w:val="center"/>
            <w:hideMark/>
          </w:tcPr>
          <w:p w14:paraId="37FF90D1" w14:textId="77777777" w:rsidR="00247CBF" w:rsidRPr="00092ED7" w:rsidRDefault="00247CBF" w:rsidP="00247CBF">
            <w:pPr>
              <w:spacing w:after="0"/>
              <w:ind w:firstLineChars="100" w:firstLine="200"/>
              <w:jc w:val="left"/>
              <w:rPr>
                <w:rFonts w:eastAsia="Times New Roman" w:cs="Times New Roman"/>
                <w:sz w:val="20"/>
                <w:szCs w:val="20"/>
                <w:lang w:val="sr-Cyrl-CS"/>
              </w:rPr>
            </w:pPr>
            <w:r w:rsidRPr="00092ED7">
              <w:rPr>
                <w:rFonts w:eastAsia="Times New Roman" w:cs="Times New Roman"/>
                <w:sz w:val="20"/>
                <w:szCs w:val="20"/>
                <w:lang w:val="sr-Cyrl-CS"/>
              </w:rPr>
              <w:t>8. Циклично прилагођени биланс (2-7)</w:t>
            </w:r>
          </w:p>
        </w:tc>
        <w:tc>
          <w:tcPr>
            <w:tcW w:w="486" w:type="pct"/>
            <w:gridSpan w:val="3"/>
            <w:tcBorders>
              <w:top w:val="nil"/>
              <w:left w:val="single" w:sz="4" w:space="0" w:color="000000"/>
              <w:bottom w:val="dotted" w:sz="4" w:space="0" w:color="000000"/>
              <w:right w:val="single" w:sz="4" w:space="0" w:color="000000"/>
            </w:tcBorders>
            <w:shd w:val="clear" w:color="000000" w:fill="FFFFFF"/>
            <w:vAlign w:val="center"/>
            <w:hideMark/>
          </w:tcPr>
          <w:p w14:paraId="626364D6" w14:textId="77777777" w:rsidR="00247CBF" w:rsidRPr="00092ED7" w:rsidRDefault="00247CBF" w:rsidP="00247CBF">
            <w:pPr>
              <w:spacing w:after="0"/>
              <w:jc w:val="center"/>
              <w:rPr>
                <w:rFonts w:eastAsia="Times New Roman" w:cs="Times New Roman"/>
                <w:sz w:val="20"/>
                <w:szCs w:val="20"/>
                <w:lang w:val="sr-Cyrl-CS"/>
              </w:rPr>
            </w:pPr>
          </w:p>
        </w:tc>
        <w:tc>
          <w:tcPr>
            <w:tcW w:w="445" w:type="pct"/>
            <w:gridSpan w:val="2"/>
            <w:tcBorders>
              <w:top w:val="nil"/>
              <w:left w:val="nil"/>
              <w:bottom w:val="dotted" w:sz="4" w:space="0" w:color="000000"/>
              <w:right w:val="dotted" w:sz="4" w:space="0" w:color="000000"/>
            </w:tcBorders>
            <w:shd w:val="clear" w:color="auto" w:fill="auto"/>
            <w:vAlign w:val="center"/>
            <w:hideMark/>
          </w:tcPr>
          <w:p w14:paraId="1A204774" w14:textId="77777777" w:rsidR="00247CBF" w:rsidRPr="00092ED7" w:rsidRDefault="00247CBF" w:rsidP="00247CBF">
            <w:pPr>
              <w:spacing w:after="0"/>
              <w:jc w:val="center"/>
              <w:rPr>
                <w:sz w:val="20"/>
                <w:szCs w:val="20"/>
                <w:lang w:val="sr-Cyrl-CS"/>
              </w:rPr>
            </w:pPr>
            <w:r w:rsidRPr="00092ED7">
              <w:rPr>
                <w:sz w:val="20"/>
                <w:szCs w:val="20"/>
                <w:lang w:val="sr-Cyrl-CS"/>
              </w:rPr>
              <w:t>-4,6</w:t>
            </w:r>
          </w:p>
        </w:tc>
        <w:tc>
          <w:tcPr>
            <w:tcW w:w="445" w:type="pct"/>
            <w:gridSpan w:val="2"/>
            <w:tcBorders>
              <w:top w:val="nil"/>
              <w:left w:val="nil"/>
              <w:bottom w:val="dotted" w:sz="4" w:space="0" w:color="000000"/>
              <w:right w:val="dotted" w:sz="4" w:space="0" w:color="000000"/>
            </w:tcBorders>
            <w:shd w:val="clear" w:color="auto" w:fill="auto"/>
            <w:vAlign w:val="center"/>
            <w:hideMark/>
          </w:tcPr>
          <w:p w14:paraId="6361DB38" w14:textId="77777777" w:rsidR="00247CBF" w:rsidRPr="00092ED7" w:rsidRDefault="00247CBF" w:rsidP="00247CBF">
            <w:pPr>
              <w:spacing w:after="0"/>
              <w:jc w:val="center"/>
              <w:rPr>
                <w:sz w:val="20"/>
                <w:szCs w:val="20"/>
                <w:lang w:val="sr-Cyrl-CS"/>
              </w:rPr>
            </w:pPr>
            <w:r w:rsidRPr="00092ED7">
              <w:rPr>
                <w:sz w:val="20"/>
                <w:szCs w:val="20"/>
                <w:lang w:val="sr-Cyrl-CS"/>
              </w:rPr>
              <w:t>-4,1</w:t>
            </w:r>
          </w:p>
        </w:tc>
        <w:tc>
          <w:tcPr>
            <w:tcW w:w="445" w:type="pct"/>
            <w:gridSpan w:val="2"/>
            <w:tcBorders>
              <w:top w:val="nil"/>
              <w:left w:val="nil"/>
              <w:bottom w:val="dotted" w:sz="4" w:space="0" w:color="000000"/>
              <w:right w:val="dotted" w:sz="4" w:space="0" w:color="000000"/>
            </w:tcBorders>
            <w:shd w:val="clear" w:color="auto" w:fill="auto"/>
            <w:vAlign w:val="center"/>
            <w:hideMark/>
          </w:tcPr>
          <w:p w14:paraId="3C23E862" w14:textId="77777777" w:rsidR="00247CBF" w:rsidRPr="00092ED7" w:rsidRDefault="00247CBF" w:rsidP="00247CBF">
            <w:pPr>
              <w:spacing w:after="0"/>
              <w:jc w:val="center"/>
              <w:rPr>
                <w:sz w:val="20"/>
                <w:szCs w:val="20"/>
                <w:lang w:val="sr-Cyrl-CS"/>
              </w:rPr>
            </w:pPr>
            <w:r w:rsidRPr="00092ED7">
              <w:rPr>
                <w:sz w:val="20"/>
                <w:szCs w:val="20"/>
                <w:lang w:val="sr-Cyrl-CS"/>
              </w:rPr>
              <w:t>-3,2</w:t>
            </w:r>
          </w:p>
        </w:tc>
        <w:tc>
          <w:tcPr>
            <w:tcW w:w="445" w:type="pct"/>
            <w:tcBorders>
              <w:top w:val="nil"/>
              <w:left w:val="nil"/>
              <w:bottom w:val="dotted" w:sz="4" w:space="0" w:color="000000"/>
              <w:right w:val="dotted" w:sz="4" w:space="0" w:color="000000"/>
            </w:tcBorders>
            <w:shd w:val="clear" w:color="auto" w:fill="auto"/>
            <w:vAlign w:val="center"/>
            <w:hideMark/>
          </w:tcPr>
          <w:p w14:paraId="4896C6CD" w14:textId="77777777" w:rsidR="00247CBF" w:rsidRPr="00092ED7" w:rsidRDefault="00247CBF" w:rsidP="00247CBF">
            <w:pPr>
              <w:spacing w:after="0"/>
              <w:jc w:val="center"/>
              <w:rPr>
                <w:sz w:val="20"/>
                <w:szCs w:val="20"/>
                <w:lang w:val="sr-Cyrl-CS"/>
              </w:rPr>
            </w:pPr>
            <w:r w:rsidRPr="00092ED7">
              <w:rPr>
                <w:sz w:val="20"/>
                <w:szCs w:val="20"/>
                <w:lang w:val="sr-Cyrl-CS"/>
              </w:rPr>
              <w:t>-2,0</w:t>
            </w:r>
          </w:p>
        </w:tc>
        <w:tc>
          <w:tcPr>
            <w:tcW w:w="447" w:type="pct"/>
            <w:tcBorders>
              <w:top w:val="nil"/>
              <w:left w:val="nil"/>
              <w:bottom w:val="dotted" w:sz="4" w:space="0" w:color="000000"/>
              <w:right w:val="double" w:sz="6" w:space="0" w:color="000000"/>
            </w:tcBorders>
            <w:shd w:val="clear" w:color="auto" w:fill="auto"/>
            <w:vAlign w:val="center"/>
            <w:hideMark/>
          </w:tcPr>
          <w:p w14:paraId="5B558016" w14:textId="77777777" w:rsidR="00247CBF" w:rsidRPr="00092ED7" w:rsidRDefault="00247CBF" w:rsidP="00247CBF">
            <w:pPr>
              <w:spacing w:after="0"/>
              <w:jc w:val="center"/>
              <w:rPr>
                <w:sz w:val="20"/>
                <w:szCs w:val="20"/>
                <w:lang w:val="sr-Cyrl-CS"/>
              </w:rPr>
            </w:pPr>
            <w:r w:rsidRPr="00092ED7">
              <w:rPr>
                <w:sz w:val="20"/>
                <w:szCs w:val="20"/>
                <w:lang w:val="sr-Cyrl-CS"/>
              </w:rPr>
              <w:t>-1,3</w:t>
            </w:r>
          </w:p>
        </w:tc>
      </w:tr>
      <w:tr w:rsidR="00247CBF" w:rsidRPr="00092ED7" w14:paraId="2513969F" w14:textId="77777777" w:rsidTr="00247CBF">
        <w:trPr>
          <w:gridBefore w:val="1"/>
          <w:wBefore w:w="8" w:type="pct"/>
          <w:trHeight w:val="227"/>
        </w:trPr>
        <w:tc>
          <w:tcPr>
            <w:tcW w:w="2279" w:type="pct"/>
            <w:tcBorders>
              <w:top w:val="nil"/>
              <w:left w:val="double" w:sz="6" w:space="0" w:color="000000"/>
              <w:bottom w:val="dotted" w:sz="4" w:space="0" w:color="000000"/>
              <w:right w:val="nil"/>
            </w:tcBorders>
            <w:shd w:val="clear" w:color="000000" w:fill="FFFFFF"/>
            <w:noWrap/>
            <w:vAlign w:val="center"/>
            <w:hideMark/>
          </w:tcPr>
          <w:p w14:paraId="2C8E1E04" w14:textId="77777777" w:rsidR="00247CBF" w:rsidRPr="00092ED7" w:rsidRDefault="00247CBF" w:rsidP="00247CBF">
            <w:pPr>
              <w:spacing w:after="0"/>
              <w:ind w:firstLineChars="100" w:firstLine="200"/>
              <w:jc w:val="left"/>
              <w:rPr>
                <w:rFonts w:eastAsia="Times New Roman" w:cs="Times New Roman"/>
                <w:sz w:val="20"/>
                <w:szCs w:val="20"/>
                <w:lang w:val="sr-Cyrl-CS"/>
              </w:rPr>
            </w:pPr>
            <w:r w:rsidRPr="00092ED7">
              <w:rPr>
                <w:rFonts w:eastAsia="Times New Roman" w:cs="Times New Roman"/>
                <w:sz w:val="20"/>
                <w:szCs w:val="20"/>
                <w:lang w:val="sr-Cyrl-CS"/>
              </w:rPr>
              <w:t>9. Циклично прилагођени примарни биланс (8+3)</w:t>
            </w:r>
          </w:p>
        </w:tc>
        <w:tc>
          <w:tcPr>
            <w:tcW w:w="486" w:type="pct"/>
            <w:gridSpan w:val="3"/>
            <w:tcBorders>
              <w:top w:val="nil"/>
              <w:left w:val="single" w:sz="4" w:space="0" w:color="000000"/>
              <w:bottom w:val="dotted" w:sz="4" w:space="0" w:color="000000"/>
              <w:right w:val="single" w:sz="4" w:space="0" w:color="000000"/>
            </w:tcBorders>
            <w:shd w:val="clear" w:color="000000" w:fill="FFFFFF"/>
            <w:vAlign w:val="center"/>
            <w:hideMark/>
          </w:tcPr>
          <w:p w14:paraId="63224CB4" w14:textId="77777777" w:rsidR="00247CBF" w:rsidRPr="00092ED7" w:rsidRDefault="00247CBF" w:rsidP="00247CBF">
            <w:pPr>
              <w:spacing w:after="0"/>
              <w:jc w:val="center"/>
              <w:rPr>
                <w:rFonts w:eastAsia="Times New Roman" w:cs="Times New Roman"/>
                <w:sz w:val="20"/>
                <w:szCs w:val="20"/>
                <w:lang w:val="sr-Cyrl-CS"/>
              </w:rPr>
            </w:pPr>
          </w:p>
        </w:tc>
        <w:tc>
          <w:tcPr>
            <w:tcW w:w="445" w:type="pct"/>
            <w:gridSpan w:val="2"/>
            <w:tcBorders>
              <w:top w:val="nil"/>
              <w:left w:val="nil"/>
              <w:bottom w:val="dotted" w:sz="4" w:space="0" w:color="000000"/>
              <w:right w:val="dotted" w:sz="4" w:space="0" w:color="000000"/>
            </w:tcBorders>
            <w:shd w:val="clear" w:color="auto" w:fill="auto"/>
            <w:vAlign w:val="center"/>
            <w:hideMark/>
          </w:tcPr>
          <w:p w14:paraId="35E579A5" w14:textId="77777777" w:rsidR="00247CBF" w:rsidRPr="00092ED7" w:rsidRDefault="00247CBF" w:rsidP="00247CBF">
            <w:pPr>
              <w:spacing w:after="0"/>
              <w:jc w:val="center"/>
              <w:rPr>
                <w:sz w:val="20"/>
                <w:szCs w:val="20"/>
                <w:lang w:val="sr-Cyrl-CS"/>
              </w:rPr>
            </w:pPr>
            <w:r w:rsidRPr="00092ED7">
              <w:rPr>
                <w:sz w:val="20"/>
                <w:szCs w:val="20"/>
                <w:lang w:val="sr-Cyrl-CS"/>
              </w:rPr>
              <w:t>-2,9</w:t>
            </w:r>
          </w:p>
        </w:tc>
        <w:tc>
          <w:tcPr>
            <w:tcW w:w="445" w:type="pct"/>
            <w:gridSpan w:val="2"/>
            <w:tcBorders>
              <w:top w:val="nil"/>
              <w:left w:val="nil"/>
              <w:bottom w:val="dotted" w:sz="4" w:space="0" w:color="000000"/>
              <w:right w:val="dotted" w:sz="4" w:space="0" w:color="000000"/>
            </w:tcBorders>
            <w:shd w:val="clear" w:color="auto" w:fill="auto"/>
            <w:vAlign w:val="center"/>
            <w:hideMark/>
          </w:tcPr>
          <w:p w14:paraId="3F788A21" w14:textId="77777777" w:rsidR="00247CBF" w:rsidRPr="00092ED7" w:rsidRDefault="00247CBF" w:rsidP="00247CBF">
            <w:pPr>
              <w:spacing w:after="0"/>
              <w:jc w:val="center"/>
              <w:rPr>
                <w:sz w:val="20"/>
                <w:szCs w:val="20"/>
                <w:lang w:val="sr-Cyrl-CS"/>
              </w:rPr>
            </w:pPr>
            <w:r w:rsidRPr="00092ED7">
              <w:rPr>
                <w:sz w:val="20"/>
                <w:szCs w:val="20"/>
                <w:lang w:val="sr-Cyrl-CS"/>
              </w:rPr>
              <w:t>-2,5</w:t>
            </w:r>
          </w:p>
        </w:tc>
        <w:tc>
          <w:tcPr>
            <w:tcW w:w="445" w:type="pct"/>
            <w:gridSpan w:val="2"/>
            <w:tcBorders>
              <w:top w:val="nil"/>
              <w:left w:val="nil"/>
              <w:bottom w:val="dotted" w:sz="4" w:space="0" w:color="000000"/>
              <w:right w:val="dotted" w:sz="4" w:space="0" w:color="000000"/>
            </w:tcBorders>
            <w:shd w:val="clear" w:color="auto" w:fill="auto"/>
            <w:vAlign w:val="center"/>
            <w:hideMark/>
          </w:tcPr>
          <w:p w14:paraId="0E57F001" w14:textId="77777777" w:rsidR="00247CBF" w:rsidRPr="00092ED7" w:rsidRDefault="00247CBF" w:rsidP="00247CBF">
            <w:pPr>
              <w:spacing w:after="0"/>
              <w:jc w:val="center"/>
              <w:rPr>
                <w:sz w:val="20"/>
                <w:szCs w:val="20"/>
                <w:lang w:val="sr-Cyrl-CS"/>
              </w:rPr>
            </w:pPr>
            <w:r w:rsidRPr="00092ED7">
              <w:rPr>
                <w:sz w:val="20"/>
                <w:szCs w:val="20"/>
                <w:lang w:val="sr-Cyrl-CS"/>
              </w:rPr>
              <w:t>-1,4</w:t>
            </w:r>
          </w:p>
        </w:tc>
        <w:tc>
          <w:tcPr>
            <w:tcW w:w="445" w:type="pct"/>
            <w:tcBorders>
              <w:top w:val="nil"/>
              <w:left w:val="nil"/>
              <w:bottom w:val="dotted" w:sz="4" w:space="0" w:color="000000"/>
              <w:right w:val="dotted" w:sz="4" w:space="0" w:color="000000"/>
            </w:tcBorders>
            <w:shd w:val="clear" w:color="auto" w:fill="auto"/>
            <w:vAlign w:val="center"/>
            <w:hideMark/>
          </w:tcPr>
          <w:p w14:paraId="5E9F0BEF" w14:textId="77777777" w:rsidR="00247CBF" w:rsidRPr="00092ED7" w:rsidRDefault="00247CBF" w:rsidP="00247CBF">
            <w:pPr>
              <w:spacing w:after="0"/>
              <w:jc w:val="center"/>
              <w:rPr>
                <w:sz w:val="20"/>
                <w:szCs w:val="20"/>
                <w:lang w:val="sr-Cyrl-CS"/>
              </w:rPr>
            </w:pPr>
            <w:r w:rsidRPr="00092ED7">
              <w:rPr>
                <w:sz w:val="20"/>
                <w:szCs w:val="20"/>
                <w:lang w:val="sr-Cyrl-CS"/>
              </w:rPr>
              <w:t>0,1</w:t>
            </w:r>
          </w:p>
        </w:tc>
        <w:tc>
          <w:tcPr>
            <w:tcW w:w="447" w:type="pct"/>
            <w:tcBorders>
              <w:top w:val="nil"/>
              <w:left w:val="nil"/>
              <w:bottom w:val="dotted" w:sz="4" w:space="0" w:color="000000"/>
              <w:right w:val="double" w:sz="6" w:space="0" w:color="000000"/>
            </w:tcBorders>
            <w:shd w:val="clear" w:color="auto" w:fill="auto"/>
            <w:vAlign w:val="center"/>
            <w:hideMark/>
          </w:tcPr>
          <w:p w14:paraId="1699CB29" w14:textId="77777777" w:rsidR="00247CBF" w:rsidRPr="00092ED7" w:rsidRDefault="00247CBF" w:rsidP="00247CBF">
            <w:pPr>
              <w:spacing w:after="0"/>
              <w:jc w:val="center"/>
              <w:rPr>
                <w:sz w:val="20"/>
                <w:szCs w:val="20"/>
                <w:lang w:val="sr-Cyrl-CS"/>
              </w:rPr>
            </w:pPr>
            <w:r w:rsidRPr="00092ED7">
              <w:rPr>
                <w:sz w:val="20"/>
                <w:szCs w:val="20"/>
                <w:lang w:val="sr-Cyrl-CS"/>
              </w:rPr>
              <w:t>0,7</w:t>
            </w:r>
          </w:p>
        </w:tc>
      </w:tr>
      <w:tr w:rsidR="00247CBF" w:rsidRPr="00092ED7" w14:paraId="437A0881" w14:textId="77777777" w:rsidTr="00247CBF">
        <w:trPr>
          <w:gridBefore w:val="1"/>
          <w:wBefore w:w="8" w:type="pct"/>
          <w:trHeight w:val="227"/>
        </w:trPr>
        <w:tc>
          <w:tcPr>
            <w:tcW w:w="2279" w:type="pct"/>
            <w:tcBorders>
              <w:top w:val="nil"/>
              <w:left w:val="double" w:sz="6" w:space="0" w:color="000000"/>
              <w:bottom w:val="double" w:sz="6" w:space="0" w:color="000000"/>
              <w:right w:val="nil"/>
            </w:tcBorders>
            <w:shd w:val="clear" w:color="000000" w:fill="FFFFFF"/>
            <w:vAlign w:val="center"/>
            <w:hideMark/>
          </w:tcPr>
          <w:p w14:paraId="7B862A79" w14:textId="77777777" w:rsidR="00247CBF" w:rsidRPr="00092ED7" w:rsidRDefault="00247CBF" w:rsidP="00247CBF">
            <w:pPr>
              <w:spacing w:after="0"/>
              <w:jc w:val="left"/>
              <w:rPr>
                <w:rFonts w:eastAsia="Times New Roman" w:cs="Times New Roman"/>
                <w:sz w:val="20"/>
                <w:szCs w:val="20"/>
                <w:lang w:val="sr-Cyrl-CS"/>
              </w:rPr>
            </w:pPr>
            <w:r w:rsidRPr="00092ED7">
              <w:rPr>
                <w:rFonts w:eastAsia="Times New Roman" w:cs="Times New Roman"/>
                <w:sz w:val="20"/>
                <w:szCs w:val="20"/>
                <w:lang w:val="sr-Cyrl-CS"/>
              </w:rPr>
              <w:t xml:space="preserve">   10. Структурни биланс (8-4)</w:t>
            </w:r>
          </w:p>
        </w:tc>
        <w:tc>
          <w:tcPr>
            <w:tcW w:w="486" w:type="pct"/>
            <w:gridSpan w:val="3"/>
            <w:tcBorders>
              <w:top w:val="nil"/>
              <w:left w:val="single" w:sz="4" w:space="0" w:color="000000"/>
              <w:bottom w:val="double" w:sz="6" w:space="0" w:color="000000"/>
              <w:right w:val="single" w:sz="4" w:space="0" w:color="000000"/>
            </w:tcBorders>
            <w:shd w:val="clear" w:color="000000" w:fill="FFFFFF"/>
            <w:vAlign w:val="center"/>
            <w:hideMark/>
          </w:tcPr>
          <w:p w14:paraId="6518668E" w14:textId="77777777" w:rsidR="00247CBF" w:rsidRPr="00092ED7" w:rsidRDefault="00247CBF" w:rsidP="00247CBF">
            <w:pPr>
              <w:spacing w:after="0"/>
              <w:jc w:val="center"/>
              <w:rPr>
                <w:rFonts w:eastAsia="Times New Roman" w:cs="Times New Roman"/>
                <w:sz w:val="20"/>
                <w:szCs w:val="20"/>
                <w:lang w:val="sr-Cyrl-CS"/>
              </w:rPr>
            </w:pPr>
          </w:p>
        </w:tc>
        <w:tc>
          <w:tcPr>
            <w:tcW w:w="445" w:type="pct"/>
            <w:gridSpan w:val="2"/>
            <w:tcBorders>
              <w:top w:val="nil"/>
              <w:left w:val="nil"/>
              <w:bottom w:val="double" w:sz="6" w:space="0" w:color="000000"/>
              <w:right w:val="dotted" w:sz="4" w:space="0" w:color="000000"/>
            </w:tcBorders>
            <w:shd w:val="clear" w:color="auto" w:fill="auto"/>
            <w:vAlign w:val="center"/>
            <w:hideMark/>
          </w:tcPr>
          <w:p w14:paraId="74234680" w14:textId="77777777" w:rsidR="00247CBF" w:rsidRPr="00092ED7" w:rsidRDefault="00247CBF" w:rsidP="00247CBF">
            <w:pPr>
              <w:spacing w:after="0"/>
              <w:jc w:val="center"/>
              <w:rPr>
                <w:sz w:val="20"/>
                <w:szCs w:val="20"/>
                <w:lang w:val="sr-Cyrl-CS"/>
              </w:rPr>
            </w:pPr>
            <w:r w:rsidRPr="00092ED7">
              <w:rPr>
                <w:sz w:val="20"/>
                <w:szCs w:val="20"/>
                <w:lang w:val="sr-Cyrl-CS"/>
              </w:rPr>
              <w:t>-0,5</w:t>
            </w:r>
          </w:p>
        </w:tc>
        <w:tc>
          <w:tcPr>
            <w:tcW w:w="445" w:type="pct"/>
            <w:gridSpan w:val="2"/>
            <w:tcBorders>
              <w:top w:val="nil"/>
              <w:left w:val="nil"/>
              <w:bottom w:val="double" w:sz="6" w:space="0" w:color="000000"/>
              <w:right w:val="dotted" w:sz="4" w:space="0" w:color="000000"/>
            </w:tcBorders>
            <w:shd w:val="clear" w:color="auto" w:fill="auto"/>
            <w:vAlign w:val="center"/>
            <w:hideMark/>
          </w:tcPr>
          <w:p w14:paraId="08549271" w14:textId="77777777" w:rsidR="00247CBF" w:rsidRPr="00092ED7" w:rsidRDefault="00247CBF" w:rsidP="00247CBF">
            <w:pPr>
              <w:spacing w:after="0"/>
              <w:jc w:val="center"/>
              <w:rPr>
                <w:sz w:val="20"/>
                <w:szCs w:val="20"/>
                <w:lang w:val="sr-Cyrl-CS"/>
              </w:rPr>
            </w:pPr>
            <w:r w:rsidRPr="00092ED7">
              <w:rPr>
                <w:sz w:val="20"/>
                <w:szCs w:val="20"/>
                <w:lang w:val="sr-Cyrl-CS"/>
              </w:rPr>
              <w:t>-1,2</w:t>
            </w:r>
          </w:p>
        </w:tc>
        <w:tc>
          <w:tcPr>
            <w:tcW w:w="445" w:type="pct"/>
            <w:gridSpan w:val="2"/>
            <w:tcBorders>
              <w:top w:val="nil"/>
              <w:left w:val="nil"/>
              <w:bottom w:val="double" w:sz="6" w:space="0" w:color="000000"/>
              <w:right w:val="dotted" w:sz="4" w:space="0" w:color="000000"/>
            </w:tcBorders>
            <w:shd w:val="clear" w:color="auto" w:fill="auto"/>
            <w:vAlign w:val="center"/>
            <w:hideMark/>
          </w:tcPr>
          <w:p w14:paraId="2F82A8EE" w14:textId="77777777" w:rsidR="00247CBF" w:rsidRPr="00092ED7" w:rsidRDefault="00247CBF" w:rsidP="00247CBF">
            <w:pPr>
              <w:spacing w:after="0"/>
              <w:jc w:val="center"/>
              <w:rPr>
                <w:sz w:val="20"/>
                <w:szCs w:val="20"/>
                <w:lang w:val="sr-Cyrl-CS"/>
              </w:rPr>
            </w:pPr>
            <w:r w:rsidRPr="00092ED7">
              <w:rPr>
                <w:sz w:val="20"/>
                <w:szCs w:val="20"/>
                <w:lang w:val="sr-Cyrl-CS"/>
              </w:rPr>
              <w:t>-1,6</w:t>
            </w:r>
          </w:p>
        </w:tc>
        <w:tc>
          <w:tcPr>
            <w:tcW w:w="445" w:type="pct"/>
            <w:tcBorders>
              <w:top w:val="nil"/>
              <w:left w:val="nil"/>
              <w:bottom w:val="double" w:sz="6" w:space="0" w:color="000000"/>
              <w:right w:val="dotted" w:sz="4" w:space="0" w:color="000000"/>
            </w:tcBorders>
            <w:shd w:val="clear" w:color="auto" w:fill="auto"/>
            <w:vAlign w:val="center"/>
            <w:hideMark/>
          </w:tcPr>
          <w:p w14:paraId="42978EEC" w14:textId="77777777" w:rsidR="00247CBF" w:rsidRPr="00092ED7" w:rsidRDefault="00247CBF" w:rsidP="00247CBF">
            <w:pPr>
              <w:spacing w:after="0"/>
              <w:jc w:val="center"/>
              <w:rPr>
                <w:sz w:val="20"/>
                <w:szCs w:val="20"/>
                <w:lang w:val="sr-Cyrl-CS"/>
              </w:rPr>
            </w:pPr>
            <w:r w:rsidRPr="00092ED7">
              <w:rPr>
                <w:sz w:val="20"/>
                <w:szCs w:val="20"/>
                <w:lang w:val="sr-Cyrl-CS"/>
              </w:rPr>
              <w:t>-2,0</w:t>
            </w:r>
          </w:p>
        </w:tc>
        <w:tc>
          <w:tcPr>
            <w:tcW w:w="447" w:type="pct"/>
            <w:tcBorders>
              <w:top w:val="nil"/>
              <w:left w:val="nil"/>
              <w:bottom w:val="double" w:sz="6" w:space="0" w:color="000000"/>
              <w:right w:val="double" w:sz="6" w:space="0" w:color="000000"/>
            </w:tcBorders>
            <w:shd w:val="clear" w:color="auto" w:fill="auto"/>
            <w:vAlign w:val="center"/>
            <w:hideMark/>
          </w:tcPr>
          <w:p w14:paraId="4B52D31E" w14:textId="77777777" w:rsidR="00247CBF" w:rsidRPr="00092ED7" w:rsidRDefault="00247CBF" w:rsidP="00247CBF">
            <w:pPr>
              <w:spacing w:after="0"/>
              <w:jc w:val="center"/>
              <w:rPr>
                <w:sz w:val="20"/>
                <w:szCs w:val="20"/>
                <w:lang w:val="sr-Cyrl-CS"/>
              </w:rPr>
            </w:pPr>
            <w:r w:rsidRPr="00092ED7">
              <w:rPr>
                <w:sz w:val="20"/>
                <w:szCs w:val="20"/>
                <w:lang w:val="sr-Cyrl-CS"/>
              </w:rPr>
              <w:t>-1,3</w:t>
            </w:r>
          </w:p>
        </w:tc>
      </w:tr>
      <w:tr w:rsidR="00247CBF" w:rsidRPr="00092ED7" w14:paraId="3BB618A2" w14:textId="77777777" w:rsidTr="00247CBF">
        <w:trPr>
          <w:gridBefore w:val="1"/>
          <w:wBefore w:w="8" w:type="pct"/>
          <w:trHeight w:val="227"/>
        </w:trPr>
        <w:tc>
          <w:tcPr>
            <w:tcW w:w="2279" w:type="pct"/>
            <w:tcBorders>
              <w:top w:val="nil"/>
              <w:left w:val="nil"/>
              <w:bottom w:val="nil"/>
              <w:right w:val="nil"/>
            </w:tcBorders>
            <w:shd w:val="clear" w:color="auto" w:fill="auto"/>
            <w:noWrap/>
            <w:vAlign w:val="bottom"/>
            <w:hideMark/>
          </w:tcPr>
          <w:p w14:paraId="3BA51834" w14:textId="77777777" w:rsidR="00247CBF" w:rsidRPr="00092ED7" w:rsidRDefault="00247CBF" w:rsidP="00247CBF">
            <w:pPr>
              <w:spacing w:after="0"/>
              <w:rPr>
                <w:rFonts w:eastAsia="Times New Roman" w:cs="Times New Roman"/>
                <w:sz w:val="16"/>
                <w:szCs w:val="20"/>
                <w:lang w:val="sr-Cyrl-CS"/>
              </w:rPr>
            </w:pPr>
            <w:r w:rsidRPr="00092ED7">
              <w:rPr>
                <w:rFonts w:eastAsia="Times New Roman" w:cs="Times New Roman"/>
                <w:sz w:val="16"/>
                <w:szCs w:val="20"/>
                <w:lang w:val="sr-Cyrl-CS"/>
              </w:rPr>
              <w:t>[1] Позитиван знак значи једнократне мере за смањење дефицита.</w:t>
            </w:r>
          </w:p>
        </w:tc>
        <w:tc>
          <w:tcPr>
            <w:tcW w:w="486" w:type="pct"/>
            <w:gridSpan w:val="3"/>
            <w:tcBorders>
              <w:top w:val="nil"/>
              <w:left w:val="nil"/>
              <w:bottom w:val="nil"/>
              <w:right w:val="nil"/>
            </w:tcBorders>
            <w:shd w:val="clear" w:color="000000" w:fill="FFFFFF"/>
            <w:noWrap/>
            <w:vAlign w:val="bottom"/>
            <w:hideMark/>
          </w:tcPr>
          <w:p w14:paraId="479E467A" w14:textId="77777777" w:rsidR="00247CBF" w:rsidRPr="00092ED7" w:rsidRDefault="00247CBF" w:rsidP="00247CBF">
            <w:pPr>
              <w:spacing w:after="0"/>
              <w:rPr>
                <w:rFonts w:ascii="Arial" w:eastAsia="Times New Roman" w:hAnsi="Arial" w:cs="Arial"/>
                <w:sz w:val="16"/>
                <w:szCs w:val="20"/>
                <w:lang w:val="sr-Cyrl-CS"/>
              </w:rPr>
            </w:pPr>
            <w:r w:rsidRPr="00092ED7">
              <w:rPr>
                <w:rFonts w:ascii="Arial" w:eastAsia="Times New Roman" w:hAnsi="Arial" w:cs="Arial"/>
                <w:sz w:val="16"/>
                <w:szCs w:val="20"/>
                <w:lang w:val="sr-Cyrl-CS"/>
              </w:rPr>
              <w:t> </w:t>
            </w:r>
          </w:p>
        </w:tc>
        <w:tc>
          <w:tcPr>
            <w:tcW w:w="445" w:type="pct"/>
            <w:gridSpan w:val="2"/>
            <w:tcBorders>
              <w:top w:val="nil"/>
              <w:left w:val="nil"/>
              <w:bottom w:val="nil"/>
              <w:right w:val="nil"/>
            </w:tcBorders>
            <w:shd w:val="clear" w:color="000000" w:fill="FFFFFF"/>
            <w:noWrap/>
            <w:vAlign w:val="bottom"/>
            <w:hideMark/>
          </w:tcPr>
          <w:p w14:paraId="1E028A05" w14:textId="77777777" w:rsidR="00247CBF" w:rsidRPr="00092ED7" w:rsidRDefault="00247CBF" w:rsidP="00247CBF">
            <w:pPr>
              <w:spacing w:after="0"/>
              <w:rPr>
                <w:rFonts w:ascii="Arial" w:eastAsia="Times New Roman" w:hAnsi="Arial" w:cs="Arial"/>
                <w:sz w:val="16"/>
                <w:szCs w:val="20"/>
                <w:lang w:val="sr-Cyrl-CS"/>
              </w:rPr>
            </w:pPr>
            <w:r w:rsidRPr="00092ED7">
              <w:rPr>
                <w:rFonts w:ascii="Arial" w:eastAsia="Times New Roman" w:hAnsi="Arial" w:cs="Arial"/>
                <w:sz w:val="16"/>
                <w:szCs w:val="20"/>
                <w:lang w:val="sr-Cyrl-CS"/>
              </w:rPr>
              <w:t> </w:t>
            </w:r>
          </w:p>
        </w:tc>
        <w:tc>
          <w:tcPr>
            <w:tcW w:w="445" w:type="pct"/>
            <w:gridSpan w:val="2"/>
            <w:tcBorders>
              <w:top w:val="nil"/>
              <w:left w:val="nil"/>
              <w:bottom w:val="nil"/>
              <w:right w:val="nil"/>
            </w:tcBorders>
            <w:shd w:val="clear" w:color="000000" w:fill="FFFFFF"/>
            <w:noWrap/>
            <w:vAlign w:val="bottom"/>
            <w:hideMark/>
          </w:tcPr>
          <w:p w14:paraId="6275912B" w14:textId="77777777" w:rsidR="00247CBF" w:rsidRPr="00092ED7" w:rsidRDefault="00247CBF" w:rsidP="00247CBF">
            <w:pPr>
              <w:spacing w:after="0"/>
              <w:rPr>
                <w:rFonts w:ascii="Arial" w:eastAsia="Times New Roman" w:hAnsi="Arial" w:cs="Arial"/>
                <w:sz w:val="16"/>
                <w:szCs w:val="20"/>
                <w:lang w:val="sr-Cyrl-CS"/>
              </w:rPr>
            </w:pPr>
            <w:r w:rsidRPr="00092ED7">
              <w:rPr>
                <w:rFonts w:ascii="Arial" w:eastAsia="Times New Roman" w:hAnsi="Arial" w:cs="Arial"/>
                <w:sz w:val="16"/>
                <w:szCs w:val="20"/>
                <w:lang w:val="sr-Cyrl-CS"/>
              </w:rPr>
              <w:t> </w:t>
            </w:r>
          </w:p>
        </w:tc>
        <w:tc>
          <w:tcPr>
            <w:tcW w:w="445" w:type="pct"/>
            <w:gridSpan w:val="2"/>
            <w:tcBorders>
              <w:top w:val="nil"/>
              <w:left w:val="nil"/>
              <w:bottom w:val="nil"/>
              <w:right w:val="nil"/>
            </w:tcBorders>
            <w:shd w:val="clear" w:color="000000" w:fill="FFFFFF"/>
            <w:noWrap/>
            <w:vAlign w:val="bottom"/>
            <w:hideMark/>
          </w:tcPr>
          <w:p w14:paraId="534F1708" w14:textId="77777777" w:rsidR="00247CBF" w:rsidRPr="00092ED7" w:rsidRDefault="00247CBF" w:rsidP="00247CBF">
            <w:pPr>
              <w:spacing w:after="0"/>
              <w:rPr>
                <w:rFonts w:ascii="Arial" w:eastAsia="Times New Roman" w:hAnsi="Arial" w:cs="Arial"/>
                <w:sz w:val="16"/>
                <w:szCs w:val="20"/>
                <w:lang w:val="sr-Cyrl-CS"/>
              </w:rPr>
            </w:pPr>
            <w:r w:rsidRPr="00092ED7">
              <w:rPr>
                <w:rFonts w:ascii="Arial" w:eastAsia="Times New Roman" w:hAnsi="Arial" w:cs="Arial"/>
                <w:sz w:val="16"/>
                <w:szCs w:val="20"/>
                <w:lang w:val="sr-Cyrl-CS"/>
              </w:rPr>
              <w:t> </w:t>
            </w:r>
          </w:p>
        </w:tc>
        <w:tc>
          <w:tcPr>
            <w:tcW w:w="445" w:type="pct"/>
            <w:tcBorders>
              <w:top w:val="nil"/>
              <w:left w:val="nil"/>
              <w:bottom w:val="nil"/>
              <w:right w:val="nil"/>
            </w:tcBorders>
            <w:shd w:val="clear" w:color="000000" w:fill="FFFFFF"/>
            <w:noWrap/>
            <w:vAlign w:val="bottom"/>
            <w:hideMark/>
          </w:tcPr>
          <w:p w14:paraId="1C3363C7" w14:textId="77777777" w:rsidR="00247CBF" w:rsidRPr="00092ED7" w:rsidRDefault="00247CBF" w:rsidP="00247CBF">
            <w:pPr>
              <w:spacing w:after="0"/>
              <w:rPr>
                <w:rFonts w:ascii="Arial" w:eastAsia="Times New Roman" w:hAnsi="Arial" w:cs="Arial"/>
                <w:sz w:val="16"/>
                <w:szCs w:val="20"/>
                <w:lang w:val="sr-Cyrl-CS"/>
              </w:rPr>
            </w:pPr>
            <w:r w:rsidRPr="00092ED7">
              <w:rPr>
                <w:rFonts w:ascii="Arial" w:eastAsia="Times New Roman" w:hAnsi="Arial" w:cs="Arial"/>
                <w:sz w:val="16"/>
                <w:szCs w:val="20"/>
                <w:lang w:val="sr-Cyrl-CS"/>
              </w:rPr>
              <w:t> </w:t>
            </w:r>
          </w:p>
        </w:tc>
        <w:tc>
          <w:tcPr>
            <w:tcW w:w="447" w:type="pct"/>
            <w:tcBorders>
              <w:top w:val="nil"/>
              <w:left w:val="nil"/>
              <w:bottom w:val="nil"/>
              <w:right w:val="nil"/>
            </w:tcBorders>
            <w:shd w:val="clear" w:color="000000" w:fill="FFFFFF"/>
            <w:noWrap/>
            <w:vAlign w:val="bottom"/>
            <w:hideMark/>
          </w:tcPr>
          <w:p w14:paraId="7A8782E9" w14:textId="77777777" w:rsidR="00247CBF" w:rsidRPr="00092ED7" w:rsidRDefault="00247CBF" w:rsidP="00247CBF">
            <w:pPr>
              <w:spacing w:after="0"/>
              <w:rPr>
                <w:rFonts w:ascii="Arial" w:eastAsia="Times New Roman" w:hAnsi="Arial" w:cs="Arial"/>
                <w:sz w:val="16"/>
                <w:szCs w:val="20"/>
                <w:lang w:val="sr-Cyrl-CS"/>
              </w:rPr>
            </w:pPr>
            <w:r w:rsidRPr="00092ED7">
              <w:rPr>
                <w:rFonts w:ascii="Arial" w:eastAsia="Times New Roman" w:hAnsi="Arial" w:cs="Arial"/>
                <w:sz w:val="16"/>
                <w:szCs w:val="20"/>
                <w:lang w:val="sr-Cyrl-CS"/>
              </w:rPr>
              <w:t> </w:t>
            </w:r>
          </w:p>
        </w:tc>
      </w:tr>
    </w:tbl>
    <w:p w14:paraId="53DBDF95" w14:textId="77777777" w:rsidR="00247CBF" w:rsidRPr="00092ED7" w:rsidRDefault="00247CBF" w:rsidP="00247CBF">
      <w:pPr>
        <w:pStyle w:val="Heading3"/>
        <w:rPr>
          <w:rFonts w:ascii="Times New Roman" w:hAnsi="Times New Roman" w:cs="Times New Roman"/>
          <w:b/>
          <w:color w:val="auto"/>
          <w:sz w:val="20"/>
          <w:szCs w:val="20"/>
          <w:lang w:val="sr-Cyrl-CS"/>
        </w:rPr>
      </w:pPr>
      <w:bookmarkStart w:id="108" w:name="_Toc61953865"/>
      <w:bookmarkStart w:id="109" w:name="_Toc93386002"/>
      <w:bookmarkStart w:id="110" w:name="_Toc124174833"/>
      <w:r w:rsidRPr="00092ED7">
        <w:rPr>
          <w:rFonts w:ascii="Times New Roman" w:hAnsi="Times New Roman" w:cs="Times New Roman"/>
          <w:b/>
          <w:color w:val="auto"/>
          <w:sz w:val="20"/>
          <w:szCs w:val="20"/>
          <w:lang w:val="sr-Cyrl-CS"/>
        </w:rPr>
        <w:lastRenderedPageBreak/>
        <w:t>Табела 6: Одступање од претходног Програма</w:t>
      </w:r>
      <w:bookmarkEnd w:id="108"/>
      <w:bookmarkEnd w:id="109"/>
      <w:bookmarkEnd w:id="110"/>
      <w:r w:rsidRPr="00092ED7">
        <w:rPr>
          <w:rFonts w:ascii="Times New Roman" w:hAnsi="Times New Roman" w:cs="Times New Roman"/>
          <w:b/>
          <w:color w:val="auto"/>
          <w:sz w:val="20"/>
          <w:szCs w:val="20"/>
          <w:lang w:val="sr-Cyrl-CS"/>
        </w:rPr>
        <w:t xml:space="preserve"> </w:t>
      </w:r>
    </w:p>
    <w:tbl>
      <w:tblPr>
        <w:tblW w:w="5008" w:type="pct"/>
        <w:tblInd w:w="-23" w:type="dxa"/>
        <w:tblLayout w:type="fixed"/>
        <w:tblLook w:val="04A0" w:firstRow="1" w:lastRow="0" w:firstColumn="1" w:lastColumn="0" w:noHBand="0" w:noVBand="1"/>
      </w:tblPr>
      <w:tblGrid>
        <w:gridCol w:w="6759"/>
        <w:gridCol w:w="1606"/>
        <w:gridCol w:w="994"/>
        <w:gridCol w:w="985"/>
        <w:gridCol w:w="985"/>
        <w:gridCol w:w="985"/>
        <w:gridCol w:w="985"/>
        <w:gridCol w:w="988"/>
        <w:gridCol w:w="283"/>
      </w:tblGrid>
      <w:tr w:rsidR="00247CBF" w:rsidRPr="00092ED7" w14:paraId="444CD9BD" w14:textId="77777777" w:rsidTr="00247CBF">
        <w:trPr>
          <w:trHeight w:val="297"/>
        </w:trPr>
        <w:tc>
          <w:tcPr>
            <w:tcW w:w="2319" w:type="pct"/>
            <w:tcBorders>
              <w:top w:val="double" w:sz="6" w:space="0" w:color="auto"/>
              <w:left w:val="double" w:sz="6" w:space="0" w:color="auto"/>
              <w:bottom w:val="double" w:sz="6" w:space="0" w:color="auto"/>
              <w:right w:val="nil"/>
            </w:tcBorders>
            <w:shd w:val="clear" w:color="auto" w:fill="auto"/>
            <w:noWrap/>
            <w:vAlign w:val="center"/>
            <w:hideMark/>
          </w:tcPr>
          <w:p w14:paraId="351D4413" w14:textId="77777777" w:rsidR="00247CBF" w:rsidRPr="00092ED7" w:rsidRDefault="00247CBF" w:rsidP="00247CBF">
            <w:pPr>
              <w:spacing w:after="0"/>
              <w:rPr>
                <w:rFonts w:eastAsia="Times New Roman" w:cs="Times New Roman"/>
                <w:bCs/>
                <w:sz w:val="20"/>
                <w:szCs w:val="20"/>
                <w:lang w:val="sr-Cyrl-CS"/>
              </w:rPr>
            </w:pPr>
          </w:p>
        </w:tc>
        <w:tc>
          <w:tcPr>
            <w:tcW w:w="551" w:type="pct"/>
            <w:tcBorders>
              <w:top w:val="double" w:sz="6" w:space="0" w:color="auto"/>
              <w:left w:val="single" w:sz="8" w:space="0" w:color="auto"/>
              <w:bottom w:val="double" w:sz="6" w:space="0" w:color="auto"/>
              <w:right w:val="nil"/>
            </w:tcBorders>
            <w:shd w:val="clear" w:color="auto" w:fill="auto"/>
            <w:noWrap/>
            <w:vAlign w:val="center"/>
            <w:hideMark/>
          </w:tcPr>
          <w:p w14:paraId="3EC96ACA" w14:textId="77777777" w:rsidR="00247CBF" w:rsidRPr="00092ED7" w:rsidRDefault="00247CBF" w:rsidP="00247CBF">
            <w:pPr>
              <w:spacing w:after="0"/>
              <w:jc w:val="center"/>
              <w:rPr>
                <w:rFonts w:eastAsia="Times New Roman" w:cs="Times New Roman"/>
                <w:bCs/>
                <w:sz w:val="20"/>
                <w:szCs w:val="20"/>
                <w:lang w:val="sr-Cyrl-CS"/>
              </w:rPr>
            </w:pPr>
            <w:r w:rsidRPr="00092ED7">
              <w:rPr>
                <w:rFonts w:eastAsia="Times New Roman" w:cs="Times New Roman"/>
                <w:bCs/>
                <w:sz w:val="20"/>
                <w:szCs w:val="20"/>
                <w:lang w:val="sr-Cyrl-CS"/>
              </w:rPr>
              <w:t> </w:t>
            </w:r>
          </w:p>
        </w:tc>
        <w:tc>
          <w:tcPr>
            <w:tcW w:w="341" w:type="pct"/>
            <w:tcBorders>
              <w:top w:val="double" w:sz="6" w:space="0" w:color="auto"/>
              <w:left w:val="nil"/>
              <w:bottom w:val="double" w:sz="6" w:space="0" w:color="auto"/>
              <w:right w:val="single" w:sz="8" w:space="0" w:color="auto"/>
            </w:tcBorders>
            <w:shd w:val="clear" w:color="auto" w:fill="auto"/>
            <w:noWrap/>
            <w:vAlign w:val="center"/>
            <w:hideMark/>
          </w:tcPr>
          <w:p w14:paraId="501291B6" w14:textId="77777777" w:rsidR="00247CBF" w:rsidRPr="00092ED7" w:rsidRDefault="00247CBF" w:rsidP="00247CBF">
            <w:pPr>
              <w:spacing w:after="0"/>
              <w:jc w:val="right"/>
              <w:rPr>
                <w:rFonts w:eastAsia="Times New Roman" w:cs="Times New Roman"/>
                <w:bCs/>
                <w:sz w:val="20"/>
                <w:szCs w:val="20"/>
                <w:lang w:val="sr-Cyrl-CS"/>
              </w:rPr>
            </w:pPr>
            <w:r w:rsidRPr="00092ED7">
              <w:rPr>
                <w:rFonts w:eastAsia="Times New Roman" w:cs="Times New Roman"/>
                <w:bCs/>
                <w:sz w:val="20"/>
                <w:szCs w:val="20"/>
                <w:lang w:val="sr-Cyrl-CS"/>
              </w:rPr>
              <w:t> </w:t>
            </w:r>
          </w:p>
        </w:tc>
        <w:tc>
          <w:tcPr>
            <w:tcW w:w="338" w:type="pct"/>
            <w:tcBorders>
              <w:top w:val="double" w:sz="6" w:space="0" w:color="auto"/>
              <w:left w:val="nil"/>
              <w:bottom w:val="double" w:sz="6" w:space="0" w:color="auto"/>
              <w:right w:val="dotted" w:sz="4" w:space="0" w:color="auto"/>
            </w:tcBorders>
            <w:shd w:val="clear" w:color="auto" w:fill="auto"/>
            <w:noWrap/>
            <w:vAlign w:val="center"/>
            <w:hideMark/>
          </w:tcPr>
          <w:p w14:paraId="736CD426" w14:textId="77777777" w:rsidR="00247CBF" w:rsidRPr="00092ED7" w:rsidRDefault="00247CBF" w:rsidP="00247CBF">
            <w:pPr>
              <w:spacing w:after="0"/>
              <w:jc w:val="center"/>
              <w:rPr>
                <w:b/>
                <w:bCs/>
                <w:sz w:val="20"/>
                <w:szCs w:val="20"/>
                <w:lang w:val="sr-Cyrl-CS"/>
              </w:rPr>
            </w:pPr>
            <w:r w:rsidRPr="00092ED7">
              <w:rPr>
                <w:b/>
                <w:bCs/>
                <w:sz w:val="20"/>
                <w:szCs w:val="20"/>
                <w:lang w:val="sr-Cyrl-CS"/>
              </w:rPr>
              <w:t>2021</w:t>
            </w:r>
          </w:p>
        </w:tc>
        <w:tc>
          <w:tcPr>
            <w:tcW w:w="338" w:type="pct"/>
            <w:tcBorders>
              <w:top w:val="double" w:sz="6" w:space="0" w:color="auto"/>
              <w:left w:val="dotted" w:sz="4" w:space="0" w:color="auto"/>
              <w:bottom w:val="double" w:sz="6" w:space="0" w:color="auto"/>
              <w:right w:val="dotted" w:sz="4" w:space="0" w:color="auto"/>
            </w:tcBorders>
            <w:shd w:val="clear" w:color="auto" w:fill="auto"/>
            <w:noWrap/>
            <w:vAlign w:val="center"/>
            <w:hideMark/>
          </w:tcPr>
          <w:p w14:paraId="31139843" w14:textId="77777777" w:rsidR="00247CBF" w:rsidRPr="00092ED7" w:rsidRDefault="00247CBF" w:rsidP="00247CBF">
            <w:pPr>
              <w:spacing w:after="0"/>
              <w:jc w:val="center"/>
              <w:rPr>
                <w:b/>
                <w:bCs/>
                <w:sz w:val="20"/>
                <w:szCs w:val="20"/>
                <w:lang w:val="sr-Cyrl-CS"/>
              </w:rPr>
            </w:pPr>
            <w:r w:rsidRPr="00092ED7">
              <w:rPr>
                <w:b/>
                <w:bCs/>
                <w:sz w:val="20"/>
                <w:szCs w:val="20"/>
                <w:lang w:val="sr-Cyrl-CS"/>
              </w:rPr>
              <w:t>2022</w:t>
            </w:r>
          </w:p>
        </w:tc>
        <w:tc>
          <w:tcPr>
            <w:tcW w:w="338" w:type="pct"/>
            <w:tcBorders>
              <w:top w:val="double" w:sz="6" w:space="0" w:color="auto"/>
              <w:left w:val="dotted" w:sz="4" w:space="0" w:color="auto"/>
              <w:bottom w:val="double" w:sz="6" w:space="0" w:color="auto"/>
              <w:right w:val="dotted" w:sz="4" w:space="0" w:color="auto"/>
            </w:tcBorders>
            <w:shd w:val="clear" w:color="auto" w:fill="auto"/>
            <w:noWrap/>
            <w:vAlign w:val="center"/>
            <w:hideMark/>
          </w:tcPr>
          <w:p w14:paraId="57C50FE4" w14:textId="77777777" w:rsidR="00247CBF" w:rsidRPr="00092ED7" w:rsidRDefault="00247CBF" w:rsidP="00247CBF">
            <w:pPr>
              <w:spacing w:after="0"/>
              <w:jc w:val="center"/>
              <w:rPr>
                <w:b/>
                <w:bCs/>
                <w:sz w:val="20"/>
                <w:szCs w:val="20"/>
                <w:lang w:val="sr-Cyrl-CS"/>
              </w:rPr>
            </w:pPr>
            <w:r w:rsidRPr="00092ED7">
              <w:rPr>
                <w:b/>
                <w:bCs/>
                <w:sz w:val="20"/>
                <w:szCs w:val="20"/>
                <w:lang w:val="sr-Cyrl-CS"/>
              </w:rPr>
              <w:t>2023</w:t>
            </w:r>
          </w:p>
        </w:tc>
        <w:tc>
          <w:tcPr>
            <w:tcW w:w="338" w:type="pct"/>
            <w:tcBorders>
              <w:top w:val="double" w:sz="6" w:space="0" w:color="auto"/>
              <w:left w:val="dotted" w:sz="4" w:space="0" w:color="auto"/>
              <w:bottom w:val="double" w:sz="6" w:space="0" w:color="auto"/>
              <w:right w:val="dotted" w:sz="4" w:space="0" w:color="auto"/>
            </w:tcBorders>
            <w:shd w:val="clear" w:color="auto" w:fill="auto"/>
            <w:noWrap/>
            <w:vAlign w:val="center"/>
            <w:hideMark/>
          </w:tcPr>
          <w:p w14:paraId="3DFF7798" w14:textId="77777777" w:rsidR="00247CBF" w:rsidRPr="00092ED7" w:rsidRDefault="00247CBF" w:rsidP="00247CBF">
            <w:pPr>
              <w:spacing w:after="0"/>
              <w:jc w:val="center"/>
              <w:rPr>
                <w:b/>
                <w:bCs/>
                <w:sz w:val="20"/>
                <w:szCs w:val="20"/>
                <w:lang w:val="sr-Cyrl-CS"/>
              </w:rPr>
            </w:pPr>
            <w:r w:rsidRPr="00092ED7">
              <w:rPr>
                <w:b/>
                <w:bCs/>
                <w:sz w:val="20"/>
                <w:szCs w:val="20"/>
                <w:lang w:val="sr-Cyrl-CS"/>
              </w:rPr>
              <w:t>2024</w:t>
            </w:r>
          </w:p>
        </w:tc>
        <w:tc>
          <w:tcPr>
            <w:tcW w:w="339" w:type="pct"/>
            <w:tcBorders>
              <w:top w:val="double" w:sz="6" w:space="0" w:color="auto"/>
              <w:left w:val="dotted" w:sz="4" w:space="0" w:color="auto"/>
              <w:bottom w:val="double" w:sz="6" w:space="0" w:color="auto"/>
              <w:right w:val="double" w:sz="6" w:space="0" w:color="auto"/>
            </w:tcBorders>
            <w:shd w:val="clear" w:color="auto" w:fill="auto"/>
            <w:noWrap/>
            <w:vAlign w:val="center"/>
            <w:hideMark/>
          </w:tcPr>
          <w:p w14:paraId="0C9BCCED" w14:textId="77777777" w:rsidR="00247CBF" w:rsidRPr="00092ED7" w:rsidRDefault="00247CBF" w:rsidP="00247CBF">
            <w:pPr>
              <w:spacing w:after="0"/>
              <w:jc w:val="center"/>
              <w:rPr>
                <w:b/>
                <w:bCs/>
                <w:sz w:val="20"/>
                <w:szCs w:val="20"/>
                <w:lang w:val="sr-Cyrl-CS"/>
              </w:rPr>
            </w:pPr>
            <w:r w:rsidRPr="00092ED7">
              <w:rPr>
                <w:b/>
                <w:bCs/>
                <w:sz w:val="20"/>
                <w:szCs w:val="20"/>
                <w:lang w:val="sr-Cyrl-CS"/>
              </w:rPr>
              <w:t>2025</w:t>
            </w:r>
          </w:p>
        </w:tc>
        <w:tc>
          <w:tcPr>
            <w:tcW w:w="97" w:type="pct"/>
            <w:tcBorders>
              <w:top w:val="nil"/>
              <w:left w:val="nil"/>
              <w:bottom w:val="nil"/>
              <w:right w:val="nil"/>
            </w:tcBorders>
            <w:shd w:val="clear" w:color="auto" w:fill="auto"/>
            <w:noWrap/>
            <w:vAlign w:val="bottom"/>
            <w:hideMark/>
          </w:tcPr>
          <w:p w14:paraId="5011573F"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r>
      <w:tr w:rsidR="00247CBF" w:rsidRPr="00092ED7" w14:paraId="5B2F2481" w14:textId="77777777" w:rsidTr="00247CBF">
        <w:trPr>
          <w:trHeight w:val="227"/>
        </w:trPr>
        <w:tc>
          <w:tcPr>
            <w:tcW w:w="2319" w:type="pct"/>
            <w:tcBorders>
              <w:top w:val="nil"/>
              <w:left w:val="double" w:sz="6" w:space="0" w:color="auto"/>
              <w:bottom w:val="dotted" w:sz="4" w:space="0" w:color="auto"/>
              <w:right w:val="nil"/>
            </w:tcBorders>
            <w:shd w:val="clear" w:color="auto" w:fill="auto"/>
            <w:vAlign w:val="center"/>
            <w:hideMark/>
          </w:tcPr>
          <w:p w14:paraId="5349F6EF" w14:textId="77777777" w:rsidR="00247CBF" w:rsidRPr="00092ED7" w:rsidRDefault="00247CBF" w:rsidP="00247CBF">
            <w:pPr>
              <w:spacing w:after="0" w:line="228" w:lineRule="auto"/>
              <w:jc w:val="left"/>
              <w:rPr>
                <w:rFonts w:eastAsia="Times New Roman" w:cs="Times New Roman"/>
                <w:bCs/>
                <w:sz w:val="20"/>
                <w:szCs w:val="20"/>
                <w:lang w:val="sr-Cyrl-CS"/>
              </w:rPr>
            </w:pPr>
            <w:r w:rsidRPr="00092ED7">
              <w:rPr>
                <w:rFonts w:eastAsia="Times New Roman" w:cs="Times New Roman"/>
                <w:sz w:val="20"/>
                <w:szCs w:val="20"/>
                <w:lang w:val="sr-Cyrl-CS"/>
              </w:rPr>
              <w:t>1. Раст БДП</w:t>
            </w:r>
          </w:p>
        </w:tc>
        <w:tc>
          <w:tcPr>
            <w:tcW w:w="892" w:type="pct"/>
            <w:gridSpan w:val="2"/>
            <w:tcBorders>
              <w:top w:val="double" w:sz="6" w:space="0" w:color="auto"/>
              <w:left w:val="single" w:sz="8" w:space="0" w:color="auto"/>
              <w:bottom w:val="dotted" w:sz="4" w:space="0" w:color="auto"/>
              <w:right w:val="single" w:sz="8" w:space="0" w:color="000000"/>
            </w:tcBorders>
            <w:shd w:val="clear" w:color="auto" w:fill="auto"/>
            <w:noWrap/>
            <w:vAlign w:val="center"/>
            <w:hideMark/>
          </w:tcPr>
          <w:p w14:paraId="57930F68" w14:textId="77777777" w:rsidR="00247CBF" w:rsidRPr="00092ED7" w:rsidRDefault="00247CBF" w:rsidP="00247CBF">
            <w:pPr>
              <w:spacing w:after="0" w:line="228" w:lineRule="auto"/>
              <w:jc w:val="center"/>
              <w:rPr>
                <w:rFonts w:eastAsia="Times New Roman" w:cs="Times New Roman"/>
                <w:bCs/>
                <w:sz w:val="20"/>
                <w:szCs w:val="20"/>
                <w:lang w:val="sr-Cyrl-CS"/>
              </w:rPr>
            </w:pPr>
            <w:r w:rsidRPr="00092ED7">
              <w:rPr>
                <w:rFonts w:eastAsia="Times New Roman" w:cs="Times New Roman"/>
                <w:sz w:val="20"/>
                <w:szCs w:val="20"/>
                <w:lang w:val="sr-Cyrl-CS"/>
              </w:rPr>
              <w:t>%, мг, претходни програм</w:t>
            </w:r>
          </w:p>
        </w:tc>
        <w:tc>
          <w:tcPr>
            <w:tcW w:w="338" w:type="pct"/>
            <w:tcBorders>
              <w:top w:val="nil"/>
              <w:left w:val="nil"/>
              <w:bottom w:val="dotted" w:sz="4" w:space="0" w:color="auto"/>
              <w:right w:val="dotted" w:sz="4" w:space="0" w:color="auto"/>
            </w:tcBorders>
            <w:shd w:val="clear" w:color="auto" w:fill="auto"/>
            <w:vAlign w:val="center"/>
          </w:tcPr>
          <w:p w14:paraId="3FC2E7CA" w14:textId="77777777" w:rsidR="00247CBF" w:rsidRPr="00092ED7" w:rsidRDefault="00247CBF" w:rsidP="00247CBF">
            <w:pPr>
              <w:spacing w:after="0" w:line="228" w:lineRule="auto"/>
              <w:jc w:val="center"/>
              <w:rPr>
                <w:sz w:val="20"/>
                <w:szCs w:val="20"/>
                <w:lang w:val="sr-Cyrl-CS"/>
              </w:rPr>
            </w:pPr>
            <w:r w:rsidRPr="00092ED7">
              <w:rPr>
                <w:sz w:val="20"/>
                <w:szCs w:val="20"/>
                <w:lang w:val="sr-Cyrl-CS"/>
              </w:rPr>
              <w:t>7,0</w:t>
            </w:r>
          </w:p>
        </w:tc>
        <w:tc>
          <w:tcPr>
            <w:tcW w:w="338" w:type="pct"/>
            <w:tcBorders>
              <w:top w:val="nil"/>
              <w:left w:val="nil"/>
              <w:bottom w:val="dotted" w:sz="4" w:space="0" w:color="auto"/>
              <w:right w:val="dotted" w:sz="4" w:space="0" w:color="auto"/>
            </w:tcBorders>
            <w:shd w:val="clear" w:color="auto" w:fill="auto"/>
            <w:vAlign w:val="center"/>
          </w:tcPr>
          <w:p w14:paraId="33431683" w14:textId="77777777" w:rsidR="00247CBF" w:rsidRPr="00092ED7" w:rsidRDefault="00247CBF" w:rsidP="00247CBF">
            <w:pPr>
              <w:spacing w:after="0" w:line="228" w:lineRule="auto"/>
              <w:jc w:val="center"/>
              <w:rPr>
                <w:sz w:val="20"/>
                <w:szCs w:val="20"/>
                <w:lang w:val="sr-Cyrl-CS"/>
              </w:rPr>
            </w:pPr>
            <w:r w:rsidRPr="00092ED7">
              <w:rPr>
                <w:sz w:val="20"/>
                <w:szCs w:val="20"/>
                <w:lang w:val="sr-Cyrl-CS"/>
              </w:rPr>
              <w:t>4,5</w:t>
            </w:r>
          </w:p>
        </w:tc>
        <w:tc>
          <w:tcPr>
            <w:tcW w:w="338" w:type="pct"/>
            <w:tcBorders>
              <w:top w:val="nil"/>
              <w:left w:val="nil"/>
              <w:bottom w:val="dotted" w:sz="4" w:space="0" w:color="auto"/>
              <w:right w:val="dotted" w:sz="4" w:space="0" w:color="auto"/>
            </w:tcBorders>
            <w:shd w:val="clear" w:color="auto" w:fill="auto"/>
            <w:vAlign w:val="center"/>
          </w:tcPr>
          <w:p w14:paraId="2FC3692C" w14:textId="77777777" w:rsidR="00247CBF" w:rsidRPr="00092ED7" w:rsidRDefault="00247CBF" w:rsidP="00247CBF">
            <w:pPr>
              <w:spacing w:after="0" w:line="228" w:lineRule="auto"/>
              <w:jc w:val="center"/>
              <w:rPr>
                <w:sz w:val="20"/>
                <w:szCs w:val="20"/>
                <w:lang w:val="sr-Cyrl-CS"/>
              </w:rPr>
            </w:pPr>
            <w:r w:rsidRPr="00092ED7">
              <w:rPr>
                <w:sz w:val="20"/>
                <w:szCs w:val="20"/>
                <w:lang w:val="sr-Cyrl-CS"/>
              </w:rPr>
              <w:t>5,0</w:t>
            </w:r>
          </w:p>
        </w:tc>
        <w:tc>
          <w:tcPr>
            <w:tcW w:w="338" w:type="pct"/>
            <w:tcBorders>
              <w:top w:val="nil"/>
              <w:left w:val="nil"/>
              <w:bottom w:val="dotted" w:sz="4" w:space="0" w:color="auto"/>
              <w:right w:val="dotted" w:sz="4" w:space="0" w:color="auto"/>
            </w:tcBorders>
            <w:shd w:val="clear" w:color="auto" w:fill="auto"/>
            <w:vAlign w:val="center"/>
          </w:tcPr>
          <w:p w14:paraId="76A67EB2" w14:textId="77777777" w:rsidR="00247CBF" w:rsidRPr="00092ED7" w:rsidRDefault="00247CBF" w:rsidP="00247CBF">
            <w:pPr>
              <w:spacing w:after="0" w:line="228" w:lineRule="auto"/>
              <w:jc w:val="center"/>
              <w:rPr>
                <w:sz w:val="20"/>
                <w:szCs w:val="20"/>
                <w:lang w:val="sr-Cyrl-CS"/>
              </w:rPr>
            </w:pPr>
            <w:r w:rsidRPr="00092ED7">
              <w:rPr>
                <w:sz w:val="20"/>
                <w:szCs w:val="20"/>
                <w:lang w:val="sr-Cyrl-CS"/>
              </w:rPr>
              <w:t>5,0</w:t>
            </w:r>
          </w:p>
        </w:tc>
        <w:tc>
          <w:tcPr>
            <w:tcW w:w="339" w:type="pct"/>
            <w:tcBorders>
              <w:top w:val="nil"/>
              <w:left w:val="nil"/>
              <w:bottom w:val="dotted" w:sz="4" w:space="0" w:color="auto"/>
              <w:right w:val="double" w:sz="6" w:space="0" w:color="auto"/>
            </w:tcBorders>
            <w:shd w:val="clear" w:color="auto" w:fill="auto"/>
            <w:vAlign w:val="center"/>
          </w:tcPr>
          <w:p w14:paraId="6C5757F7" w14:textId="77777777" w:rsidR="00247CBF" w:rsidRPr="00092ED7" w:rsidRDefault="00247CBF" w:rsidP="00247CBF">
            <w:pPr>
              <w:spacing w:after="0" w:line="228" w:lineRule="auto"/>
              <w:jc w:val="center"/>
              <w:rPr>
                <w:sz w:val="20"/>
                <w:szCs w:val="20"/>
                <w:lang w:val="sr-Cyrl-CS"/>
              </w:rPr>
            </w:pPr>
          </w:p>
        </w:tc>
        <w:tc>
          <w:tcPr>
            <w:tcW w:w="97" w:type="pct"/>
            <w:tcBorders>
              <w:top w:val="nil"/>
              <w:left w:val="nil"/>
              <w:bottom w:val="nil"/>
              <w:right w:val="nil"/>
            </w:tcBorders>
            <w:shd w:val="clear" w:color="auto" w:fill="auto"/>
            <w:noWrap/>
            <w:hideMark/>
          </w:tcPr>
          <w:p w14:paraId="6DD68EBF" w14:textId="77777777" w:rsidR="00247CBF" w:rsidRPr="00092ED7" w:rsidRDefault="00247CBF" w:rsidP="00247CBF">
            <w:pPr>
              <w:jc w:val="center"/>
              <w:rPr>
                <w:sz w:val="20"/>
                <w:szCs w:val="20"/>
                <w:lang w:val="sr-Cyrl-CS"/>
              </w:rPr>
            </w:pPr>
            <w:r w:rsidRPr="00092ED7">
              <w:rPr>
                <w:sz w:val="20"/>
                <w:szCs w:val="20"/>
                <w:lang w:val="sr-Cyrl-CS"/>
              </w:rPr>
              <w:t> </w:t>
            </w:r>
          </w:p>
        </w:tc>
      </w:tr>
      <w:tr w:rsidR="00247CBF" w:rsidRPr="00092ED7" w14:paraId="7875A844" w14:textId="77777777" w:rsidTr="00247CBF">
        <w:trPr>
          <w:trHeight w:val="227"/>
        </w:trPr>
        <w:tc>
          <w:tcPr>
            <w:tcW w:w="2319" w:type="pct"/>
            <w:tcBorders>
              <w:top w:val="dotted" w:sz="4" w:space="0" w:color="auto"/>
              <w:left w:val="double" w:sz="6" w:space="0" w:color="auto"/>
              <w:bottom w:val="dotted" w:sz="4" w:space="0" w:color="auto"/>
              <w:right w:val="nil"/>
            </w:tcBorders>
            <w:shd w:val="clear" w:color="auto" w:fill="auto"/>
            <w:noWrap/>
            <w:vAlign w:val="center"/>
            <w:hideMark/>
          </w:tcPr>
          <w:p w14:paraId="3A985117" w14:textId="77777777" w:rsidR="00247CBF" w:rsidRPr="00092ED7" w:rsidRDefault="00247CBF" w:rsidP="00247CBF">
            <w:pPr>
              <w:spacing w:after="0" w:line="228" w:lineRule="auto"/>
              <w:jc w:val="left"/>
              <w:rPr>
                <w:rFonts w:eastAsia="Times New Roman" w:cs="Times New Roman"/>
                <w:bCs/>
                <w:sz w:val="20"/>
                <w:szCs w:val="20"/>
                <w:lang w:val="sr-Cyrl-CS"/>
              </w:rPr>
            </w:pPr>
            <w:r w:rsidRPr="00092ED7">
              <w:rPr>
                <w:rFonts w:eastAsia="Times New Roman" w:cs="Times New Roman"/>
                <w:sz w:val="20"/>
                <w:szCs w:val="20"/>
                <w:lang w:val="sr-Cyrl-CS"/>
              </w:rPr>
              <w:t xml:space="preserve">2. Нето позајмице општег нивоа државе </w:t>
            </w:r>
          </w:p>
        </w:tc>
        <w:tc>
          <w:tcPr>
            <w:tcW w:w="892" w:type="pct"/>
            <w:gridSpan w:val="2"/>
            <w:tcBorders>
              <w:top w:val="dotted" w:sz="4" w:space="0" w:color="auto"/>
              <w:left w:val="single" w:sz="8" w:space="0" w:color="auto"/>
              <w:bottom w:val="dotted" w:sz="4" w:space="0" w:color="auto"/>
              <w:right w:val="single" w:sz="8" w:space="0" w:color="000000"/>
            </w:tcBorders>
            <w:shd w:val="clear" w:color="auto" w:fill="auto"/>
            <w:noWrap/>
            <w:vAlign w:val="center"/>
            <w:hideMark/>
          </w:tcPr>
          <w:p w14:paraId="006BAC3C" w14:textId="77777777" w:rsidR="00247CBF" w:rsidRPr="00092ED7" w:rsidRDefault="00247CBF" w:rsidP="00247CBF">
            <w:pPr>
              <w:spacing w:after="0" w:line="228" w:lineRule="auto"/>
              <w:jc w:val="center"/>
              <w:rPr>
                <w:rFonts w:eastAsia="Times New Roman" w:cs="Times New Roman"/>
                <w:bCs/>
                <w:sz w:val="20"/>
                <w:szCs w:val="20"/>
                <w:lang w:val="sr-Cyrl-CS"/>
              </w:rPr>
            </w:pPr>
            <w:r w:rsidRPr="00092ED7">
              <w:rPr>
                <w:rFonts w:eastAsia="Times New Roman" w:cs="Times New Roman"/>
                <w:sz w:val="20"/>
                <w:szCs w:val="20"/>
                <w:lang w:val="sr-Cyrl-CS"/>
              </w:rPr>
              <w:t>% БДП, претходни програм</w:t>
            </w:r>
          </w:p>
        </w:tc>
        <w:tc>
          <w:tcPr>
            <w:tcW w:w="338" w:type="pct"/>
            <w:tcBorders>
              <w:top w:val="dotted" w:sz="4" w:space="0" w:color="auto"/>
              <w:left w:val="nil"/>
              <w:bottom w:val="dotted" w:sz="4" w:space="0" w:color="auto"/>
              <w:right w:val="dotted" w:sz="4" w:space="0" w:color="auto"/>
            </w:tcBorders>
            <w:shd w:val="clear" w:color="auto" w:fill="auto"/>
            <w:vAlign w:val="center"/>
          </w:tcPr>
          <w:p w14:paraId="3DBB3B36" w14:textId="77777777" w:rsidR="00247CBF" w:rsidRPr="00092ED7" w:rsidRDefault="00247CBF" w:rsidP="00247CBF">
            <w:pPr>
              <w:spacing w:after="0" w:line="228" w:lineRule="auto"/>
              <w:jc w:val="center"/>
              <w:rPr>
                <w:sz w:val="20"/>
                <w:szCs w:val="20"/>
                <w:lang w:val="sr-Cyrl-CS"/>
              </w:rPr>
            </w:pPr>
            <w:r w:rsidRPr="00092ED7">
              <w:rPr>
                <w:sz w:val="20"/>
                <w:szCs w:val="20"/>
                <w:lang w:val="sr-Cyrl-CS"/>
              </w:rPr>
              <w:t>-4,9</w:t>
            </w:r>
          </w:p>
        </w:tc>
        <w:tc>
          <w:tcPr>
            <w:tcW w:w="338" w:type="pct"/>
            <w:tcBorders>
              <w:top w:val="dotted" w:sz="4" w:space="0" w:color="auto"/>
              <w:left w:val="nil"/>
              <w:bottom w:val="dotted" w:sz="4" w:space="0" w:color="auto"/>
              <w:right w:val="dotted" w:sz="4" w:space="0" w:color="auto"/>
            </w:tcBorders>
            <w:shd w:val="clear" w:color="auto" w:fill="auto"/>
            <w:vAlign w:val="center"/>
          </w:tcPr>
          <w:p w14:paraId="52DB500C" w14:textId="77777777" w:rsidR="00247CBF" w:rsidRPr="00092ED7" w:rsidRDefault="00247CBF" w:rsidP="00247CBF">
            <w:pPr>
              <w:spacing w:after="0" w:line="228" w:lineRule="auto"/>
              <w:jc w:val="center"/>
              <w:rPr>
                <w:sz w:val="20"/>
                <w:szCs w:val="20"/>
                <w:lang w:val="sr-Cyrl-CS"/>
              </w:rPr>
            </w:pPr>
            <w:r w:rsidRPr="00092ED7">
              <w:rPr>
                <w:sz w:val="20"/>
                <w:szCs w:val="20"/>
                <w:lang w:val="sr-Cyrl-CS"/>
              </w:rPr>
              <w:t>-3,0</w:t>
            </w:r>
          </w:p>
        </w:tc>
        <w:tc>
          <w:tcPr>
            <w:tcW w:w="338" w:type="pct"/>
            <w:tcBorders>
              <w:top w:val="dotted" w:sz="4" w:space="0" w:color="auto"/>
              <w:left w:val="nil"/>
              <w:bottom w:val="dotted" w:sz="4" w:space="0" w:color="auto"/>
              <w:right w:val="dotted" w:sz="4" w:space="0" w:color="auto"/>
            </w:tcBorders>
            <w:shd w:val="clear" w:color="auto" w:fill="auto"/>
            <w:vAlign w:val="center"/>
          </w:tcPr>
          <w:p w14:paraId="429AC1F6" w14:textId="77777777" w:rsidR="00247CBF" w:rsidRPr="00092ED7" w:rsidRDefault="00247CBF" w:rsidP="00247CBF">
            <w:pPr>
              <w:spacing w:after="0" w:line="228" w:lineRule="auto"/>
              <w:jc w:val="center"/>
              <w:rPr>
                <w:sz w:val="20"/>
                <w:szCs w:val="20"/>
                <w:lang w:val="sr-Cyrl-CS"/>
              </w:rPr>
            </w:pPr>
            <w:r w:rsidRPr="00092ED7">
              <w:rPr>
                <w:sz w:val="20"/>
                <w:szCs w:val="20"/>
                <w:lang w:val="sr-Cyrl-CS"/>
              </w:rPr>
              <w:t>-1,5</w:t>
            </w:r>
          </w:p>
        </w:tc>
        <w:tc>
          <w:tcPr>
            <w:tcW w:w="338" w:type="pct"/>
            <w:tcBorders>
              <w:top w:val="dotted" w:sz="4" w:space="0" w:color="auto"/>
              <w:left w:val="nil"/>
              <w:bottom w:val="dotted" w:sz="4" w:space="0" w:color="auto"/>
              <w:right w:val="dotted" w:sz="4" w:space="0" w:color="auto"/>
            </w:tcBorders>
            <w:shd w:val="clear" w:color="auto" w:fill="auto"/>
            <w:vAlign w:val="center"/>
          </w:tcPr>
          <w:p w14:paraId="460FDFE5" w14:textId="77777777" w:rsidR="00247CBF" w:rsidRPr="00092ED7" w:rsidRDefault="00247CBF" w:rsidP="00247CBF">
            <w:pPr>
              <w:spacing w:after="0" w:line="228" w:lineRule="auto"/>
              <w:jc w:val="center"/>
              <w:rPr>
                <w:sz w:val="20"/>
                <w:szCs w:val="20"/>
                <w:lang w:val="sr-Cyrl-CS"/>
              </w:rPr>
            </w:pPr>
            <w:r w:rsidRPr="00092ED7">
              <w:rPr>
                <w:sz w:val="20"/>
                <w:szCs w:val="20"/>
                <w:lang w:val="sr-Cyrl-CS"/>
              </w:rPr>
              <w:t>-1,0</w:t>
            </w:r>
          </w:p>
        </w:tc>
        <w:tc>
          <w:tcPr>
            <w:tcW w:w="339" w:type="pct"/>
            <w:tcBorders>
              <w:top w:val="dotted" w:sz="4" w:space="0" w:color="auto"/>
              <w:left w:val="nil"/>
              <w:bottom w:val="dotted" w:sz="4" w:space="0" w:color="auto"/>
              <w:right w:val="double" w:sz="6" w:space="0" w:color="auto"/>
            </w:tcBorders>
            <w:shd w:val="clear" w:color="auto" w:fill="auto"/>
            <w:vAlign w:val="center"/>
          </w:tcPr>
          <w:p w14:paraId="6A0D32C0" w14:textId="77777777" w:rsidR="00247CBF" w:rsidRPr="00092ED7" w:rsidRDefault="00247CBF" w:rsidP="00247CBF">
            <w:pPr>
              <w:spacing w:after="0" w:line="228" w:lineRule="auto"/>
              <w:jc w:val="center"/>
              <w:rPr>
                <w:sz w:val="20"/>
                <w:szCs w:val="20"/>
                <w:lang w:val="sr-Cyrl-CS"/>
              </w:rPr>
            </w:pPr>
          </w:p>
        </w:tc>
        <w:tc>
          <w:tcPr>
            <w:tcW w:w="97" w:type="pct"/>
            <w:tcBorders>
              <w:top w:val="nil"/>
              <w:left w:val="nil"/>
              <w:bottom w:val="nil"/>
              <w:right w:val="nil"/>
            </w:tcBorders>
            <w:shd w:val="clear" w:color="auto" w:fill="auto"/>
            <w:noWrap/>
            <w:hideMark/>
          </w:tcPr>
          <w:p w14:paraId="1760D26F" w14:textId="77777777" w:rsidR="00247CBF" w:rsidRPr="00092ED7" w:rsidRDefault="00247CBF" w:rsidP="00247CBF">
            <w:pPr>
              <w:jc w:val="center"/>
              <w:rPr>
                <w:sz w:val="20"/>
                <w:szCs w:val="20"/>
                <w:lang w:val="sr-Cyrl-CS"/>
              </w:rPr>
            </w:pPr>
            <w:r w:rsidRPr="00092ED7">
              <w:rPr>
                <w:sz w:val="20"/>
                <w:szCs w:val="20"/>
                <w:lang w:val="sr-Cyrl-CS"/>
              </w:rPr>
              <w:t> </w:t>
            </w:r>
          </w:p>
        </w:tc>
      </w:tr>
      <w:tr w:rsidR="00247CBF" w:rsidRPr="00092ED7" w14:paraId="5213026B" w14:textId="77777777" w:rsidTr="00247CBF">
        <w:trPr>
          <w:trHeight w:val="227"/>
        </w:trPr>
        <w:tc>
          <w:tcPr>
            <w:tcW w:w="2319" w:type="pct"/>
            <w:tcBorders>
              <w:top w:val="dotted" w:sz="4" w:space="0" w:color="auto"/>
              <w:left w:val="double" w:sz="6" w:space="0" w:color="auto"/>
              <w:bottom w:val="double" w:sz="6" w:space="0" w:color="auto"/>
              <w:right w:val="nil"/>
            </w:tcBorders>
            <w:shd w:val="clear" w:color="auto" w:fill="auto"/>
            <w:noWrap/>
            <w:vAlign w:val="center"/>
            <w:hideMark/>
          </w:tcPr>
          <w:p w14:paraId="54C51E88" w14:textId="77777777" w:rsidR="00247CBF" w:rsidRPr="00092ED7" w:rsidRDefault="00247CBF" w:rsidP="00247CBF">
            <w:pPr>
              <w:spacing w:after="0" w:line="228" w:lineRule="auto"/>
              <w:jc w:val="left"/>
              <w:rPr>
                <w:rFonts w:eastAsia="Times New Roman" w:cs="Times New Roman"/>
                <w:bCs/>
                <w:sz w:val="20"/>
                <w:szCs w:val="20"/>
                <w:lang w:val="sr-Cyrl-CS"/>
              </w:rPr>
            </w:pPr>
            <w:r w:rsidRPr="00092ED7">
              <w:rPr>
                <w:rFonts w:eastAsia="Times New Roman" w:cs="Times New Roman"/>
                <w:sz w:val="20"/>
                <w:szCs w:val="20"/>
                <w:lang w:val="sr-Cyrl-CS"/>
              </w:rPr>
              <w:t xml:space="preserve">3. Бруто дуг општег нивоа државе </w:t>
            </w:r>
          </w:p>
        </w:tc>
        <w:tc>
          <w:tcPr>
            <w:tcW w:w="892" w:type="pct"/>
            <w:gridSpan w:val="2"/>
            <w:tcBorders>
              <w:top w:val="dotted" w:sz="4" w:space="0" w:color="auto"/>
              <w:left w:val="single" w:sz="8" w:space="0" w:color="auto"/>
              <w:bottom w:val="double" w:sz="6" w:space="0" w:color="auto"/>
              <w:right w:val="single" w:sz="8" w:space="0" w:color="000000"/>
            </w:tcBorders>
            <w:shd w:val="clear" w:color="auto" w:fill="auto"/>
            <w:noWrap/>
            <w:vAlign w:val="center"/>
            <w:hideMark/>
          </w:tcPr>
          <w:p w14:paraId="29311B8D" w14:textId="77777777" w:rsidR="00247CBF" w:rsidRPr="00092ED7" w:rsidRDefault="00247CBF" w:rsidP="00247CBF">
            <w:pPr>
              <w:spacing w:after="0" w:line="228" w:lineRule="auto"/>
              <w:jc w:val="center"/>
              <w:rPr>
                <w:rFonts w:eastAsia="Times New Roman" w:cs="Times New Roman"/>
                <w:bCs/>
                <w:sz w:val="20"/>
                <w:szCs w:val="20"/>
                <w:lang w:val="sr-Cyrl-CS"/>
              </w:rPr>
            </w:pPr>
            <w:r w:rsidRPr="00092ED7">
              <w:rPr>
                <w:rFonts w:eastAsia="Times New Roman" w:cs="Times New Roman"/>
                <w:sz w:val="20"/>
                <w:szCs w:val="20"/>
                <w:lang w:val="sr-Cyrl-CS"/>
              </w:rPr>
              <w:t>% БДП, претходни програм</w:t>
            </w:r>
          </w:p>
        </w:tc>
        <w:tc>
          <w:tcPr>
            <w:tcW w:w="338" w:type="pct"/>
            <w:tcBorders>
              <w:top w:val="dotted" w:sz="4" w:space="0" w:color="auto"/>
              <w:left w:val="nil"/>
              <w:bottom w:val="double" w:sz="6" w:space="0" w:color="auto"/>
              <w:right w:val="dotted" w:sz="4" w:space="0" w:color="auto"/>
            </w:tcBorders>
            <w:shd w:val="clear" w:color="auto" w:fill="auto"/>
            <w:vAlign w:val="center"/>
          </w:tcPr>
          <w:p w14:paraId="5BFAC963" w14:textId="77777777" w:rsidR="00247CBF" w:rsidRPr="00092ED7" w:rsidRDefault="00247CBF" w:rsidP="00247CBF">
            <w:pPr>
              <w:spacing w:after="0" w:line="228" w:lineRule="auto"/>
              <w:jc w:val="center"/>
              <w:rPr>
                <w:sz w:val="20"/>
                <w:szCs w:val="20"/>
                <w:lang w:val="sr-Cyrl-CS"/>
              </w:rPr>
            </w:pPr>
            <w:r w:rsidRPr="00092ED7">
              <w:rPr>
                <w:sz w:val="20"/>
                <w:szCs w:val="20"/>
                <w:lang w:val="sr-Cyrl-CS"/>
              </w:rPr>
              <w:t>58,2</w:t>
            </w:r>
          </w:p>
        </w:tc>
        <w:tc>
          <w:tcPr>
            <w:tcW w:w="338" w:type="pct"/>
            <w:tcBorders>
              <w:top w:val="dotted" w:sz="4" w:space="0" w:color="auto"/>
              <w:left w:val="nil"/>
              <w:bottom w:val="double" w:sz="6" w:space="0" w:color="auto"/>
              <w:right w:val="dotted" w:sz="4" w:space="0" w:color="auto"/>
            </w:tcBorders>
            <w:shd w:val="clear" w:color="auto" w:fill="auto"/>
            <w:vAlign w:val="center"/>
          </w:tcPr>
          <w:p w14:paraId="3F0CBAA6" w14:textId="77777777" w:rsidR="00247CBF" w:rsidRPr="00092ED7" w:rsidRDefault="00247CBF" w:rsidP="00247CBF">
            <w:pPr>
              <w:spacing w:after="0" w:line="228" w:lineRule="auto"/>
              <w:jc w:val="center"/>
              <w:rPr>
                <w:sz w:val="20"/>
                <w:szCs w:val="20"/>
                <w:lang w:val="sr-Cyrl-CS"/>
              </w:rPr>
            </w:pPr>
            <w:r w:rsidRPr="00092ED7">
              <w:rPr>
                <w:sz w:val="20"/>
                <w:szCs w:val="20"/>
                <w:lang w:val="sr-Cyrl-CS"/>
              </w:rPr>
              <w:t>56,5</w:t>
            </w:r>
          </w:p>
        </w:tc>
        <w:tc>
          <w:tcPr>
            <w:tcW w:w="338" w:type="pct"/>
            <w:tcBorders>
              <w:top w:val="dotted" w:sz="4" w:space="0" w:color="auto"/>
              <w:left w:val="nil"/>
              <w:bottom w:val="double" w:sz="6" w:space="0" w:color="auto"/>
              <w:right w:val="dotted" w:sz="4" w:space="0" w:color="auto"/>
            </w:tcBorders>
            <w:shd w:val="clear" w:color="auto" w:fill="auto"/>
            <w:vAlign w:val="center"/>
          </w:tcPr>
          <w:p w14:paraId="66614A6B" w14:textId="77777777" w:rsidR="00247CBF" w:rsidRPr="00092ED7" w:rsidRDefault="00247CBF" w:rsidP="00247CBF">
            <w:pPr>
              <w:spacing w:after="0" w:line="228" w:lineRule="auto"/>
              <w:jc w:val="center"/>
              <w:rPr>
                <w:sz w:val="20"/>
                <w:szCs w:val="20"/>
                <w:lang w:val="sr-Cyrl-CS"/>
              </w:rPr>
            </w:pPr>
            <w:r w:rsidRPr="00092ED7">
              <w:rPr>
                <w:sz w:val="20"/>
                <w:szCs w:val="20"/>
                <w:lang w:val="sr-Cyrl-CS"/>
              </w:rPr>
              <w:t>55,3</w:t>
            </w:r>
          </w:p>
        </w:tc>
        <w:tc>
          <w:tcPr>
            <w:tcW w:w="338" w:type="pct"/>
            <w:tcBorders>
              <w:top w:val="dotted" w:sz="4" w:space="0" w:color="auto"/>
              <w:left w:val="nil"/>
              <w:bottom w:val="double" w:sz="6" w:space="0" w:color="auto"/>
              <w:right w:val="dotted" w:sz="4" w:space="0" w:color="auto"/>
            </w:tcBorders>
            <w:shd w:val="clear" w:color="auto" w:fill="auto"/>
            <w:vAlign w:val="center"/>
          </w:tcPr>
          <w:p w14:paraId="3D70DC17" w14:textId="77777777" w:rsidR="00247CBF" w:rsidRPr="00092ED7" w:rsidRDefault="00247CBF" w:rsidP="00247CBF">
            <w:pPr>
              <w:spacing w:after="0" w:line="228" w:lineRule="auto"/>
              <w:jc w:val="center"/>
              <w:rPr>
                <w:sz w:val="20"/>
                <w:szCs w:val="20"/>
                <w:lang w:val="sr-Cyrl-CS"/>
              </w:rPr>
            </w:pPr>
            <w:r w:rsidRPr="00092ED7">
              <w:rPr>
                <w:sz w:val="20"/>
                <w:szCs w:val="20"/>
                <w:lang w:val="sr-Cyrl-CS"/>
              </w:rPr>
              <w:t>53,8</w:t>
            </w:r>
          </w:p>
        </w:tc>
        <w:tc>
          <w:tcPr>
            <w:tcW w:w="339" w:type="pct"/>
            <w:tcBorders>
              <w:top w:val="dotted" w:sz="4" w:space="0" w:color="auto"/>
              <w:left w:val="nil"/>
              <w:bottom w:val="double" w:sz="6" w:space="0" w:color="auto"/>
              <w:right w:val="double" w:sz="6" w:space="0" w:color="auto"/>
            </w:tcBorders>
            <w:shd w:val="clear" w:color="auto" w:fill="auto"/>
            <w:vAlign w:val="center"/>
          </w:tcPr>
          <w:p w14:paraId="2DB82371" w14:textId="77777777" w:rsidR="00247CBF" w:rsidRPr="00092ED7" w:rsidRDefault="00247CBF" w:rsidP="00247CBF">
            <w:pPr>
              <w:spacing w:after="0" w:line="228" w:lineRule="auto"/>
              <w:jc w:val="center"/>
              <w:rPr>
                <w:sz w:val="20"/>
                <w:szCs w:val="20"/>
                <w:lang w:val="sr-Cyrl-CS"/>
              </w:rPr>
            </w:pPr>
          </w:p>
        </w:tc>
        <w:tc>
          <w:tcPr>
            <w:tcW w:w="97" w:type="pct"/>
            <w:tcBorders>
              <w:top w:val="nil"/>
              <w:left w:val="nil"/>
              <w:bottom w:val="nil"/>
              <w:right w:val="nil"/>
            </w:tcBorders>
            <w:shd w:val="clear" w:color="auto" w:fill="auto"/>
            <w:noWrap/>
            <w:hideMark/>
          </w:tcPr>
          <w:p w14:paraId="0C346BAA" w14:textId="77777777" w:rsidR="00247CBF" w:rsidRPr="00092ED7" w:rsidRDefault="00247CBF" w:rsidP="00247CBF">
            <w:pPr>
              <w:jc w:val="center"/>
              <w:rPr>
                <w:sz w:val="20"/>
                <w:szCs w:val="20"/>
                <w:lang w:val="sr-Cyrl-CS"/>
              </w:rPr>
            </w:pPr>
            <w:r w:rsidRPr="00092ED7">
              <w:rPr>
                <w:sz w:val="20"/>
                <w:szCs w:val="20"/>
                <w:lang w:val="sr-Cyrl-CS"/>
              </w:rPr>
              <w:t> </w:t>
            </w:r>
          </w:p>
        </w:tc>
      </w:tr>
    </w:tbl>
    <w:p w14:paraId="3E509C69" w14:textId="77777777" w:rsidR="00247CBF" w:rsidRPr="00092ED7" w:rsidRDefault="00247CBF" w:rsidP="00247CBF">
      <w:pPr>
        <w:rPr>
          <w:rFonts w:cs="Times New Roman"/>
          <w:lang w:val="sr-Cyrl-CS"/>
        </w:rPr>
      </w:pPr>
    </w:p>
    <w:tbl>
      <w:tblPr>
        <w:tblW w:w="5000" w:type="pct"/>
        <w:tblLook w:val="04A0" w:firstRow="1" w:lastRow="0" w:firstColumn="1" w:lastColumn="0" w:noHBand="0" w:noVBand="1"/>
      </w:tblPr>
      <w:tblGrid>
        <w:gridCol w:w="5660"/>
        <w:gridCol w:w="1783"/>
        <w:gridCol w:w="1460"/>
        <w:gridCol w:w="323"/>
        <w:gridCol w:w="1206"/>
        <w:gridCol w:w="577"/>
        <w:gridCol w:w="953"/>
        <w:gridCol w:w="830"/>
        <w:gridCol w:w="1778"/>
      </w:tblGrid>
      <w:tr w:rsidR="00247CBF" w:rsidRPr="00092ED7" w14:paraId="592DA5DF" w14:textId="77777777" w:rsidTr="00247CBF">
        <w:trPr>
          <w:trHeight w:val="227"/>
        </w:trPr>
        <w:tc>
          <w:tcPr>
            <w:tcW w:w="3055" w:type="pct"/>
            <w:gridSpan w:val="3"/>
            <w:tcBorders>
              <w:top w:val="nil"/>
              <w:left w:val="nil"/>
              <w:bottom w:val="nil"/>
              <w:right w:val="nil"/>
            </w:tcBorders>
            <w:shd w:val="clear" w:color="000000" w:fill="FFFFFF"/>
            <w:noWrap/>
            <w:vAlign w:val="center"/>
            <w:hideMark/>
          </w:tcPr>
          <w:p w14:paraId="358D444F" w14:textId="77777777" w:rsidR="00247CBF" w:rsidRPr="00092ED7" w:rsidRDefault="00247CBF" w:rsidP="00247CBF">
            <w:pPr>
              <w:spacing w:after="0"/>
              <w:jc w:val="left"/>
              <w:rPr>
                <w:rFonts w:eastAsia="Times New Roman" w:cs="Times New Roman"/>
                <w:b/>
                <w:bCs/>
                <w:sz w:val="20"/>
                <w:szCs w:val="20"/>
                <w:lang w:val="sr-Cyrl-CS"/>
              </w:rPr>
            </w:pPr>
            <w:r w:rsidRPr="00092ED7">
              <w:rPr>
                <w:rFonts w:eastAsia="Times New Roman" w:cs="Times New Roman"/>
                <w:b/>
                <w:bCs/>
                <w:sz w:val="20"/>
                <w:szCs w:val="20"/>
                <w:lang w:val="sr-Cyrl-CS"/>
              </w:rPr>
              <w:t>Табела 6: Одступање од претходног Програма</w:t>
            </w:r>
          </w:p>
        </w:tc>
        <w:tc>
          <w:tcPr>
            <w:tcW w:w="525" w:type="pct"/>
            <w:gridSpan w:val="2"/>
            <w:tcBorders>
              <w:top w:val="nil"/>
              <w:left w:val="nil"/>
              <w:bottom w:val="nil"/>
              <w:right w:val="nil"/>
            </w:tcBorders>
            <w:shd w:val="clear" w:color="000000" w:fill="FFFFFF"/>
            <w:noWrap/>
            <w:vAlign w:val="center"/>
            <w:hideMark/>
          </w:tcPr>
          <w:p w14:paraId="07824E37" w14:textId="77777777" w:rsidR="00247CBF" w:rsidRPr="00092ED7" w:rsidRDefault="00247CBF" w:rsidP="00247CBF">
            <w:pPr>
              <w:spacing w:after="0"/>
              <w:jc w:val="center"/>
              <w:rPr>
                <w:rFonts w:eastAsia="Times New Roman" w:cs="Times New Roman"/>
                <w:sz w:val="20"/>
                <w:szCs w:val="20"/>
                <w:lang w:val="sr-Cyrl-CS"/>
              </w:rPr>
            </w:pPr>
          </w:p>
        </w:tc>
        <w:tc>
          <w:tcPr>
            <w:tcW w:w="525" w:type="pct"/>
            <w:gridSpan w:val="2"/>
            <w:tcBorders>
              <w:top w:val="nil"/>
              <w:left w:val="nil"/>
              <w:bottom w:val="nil"/>
              <w:right w:val="nil"/>
            </w:tcBorders>
            <w:shd w:val="clear" w:color="000000" w:fill="FFFFFF"/>
            <w:noWrap/>
            <w:vAlign w:val="center"/>
            <w:hideMark/>
          </w:tcPr>
          <w:p w14:paraId="2CFF3A58" w14:textId="77777777" w:rsidR="00247CBF" w:rsidRPr="00092ED7" w:rsidRDefault="00247CBF" w:rsidP="00247CBF">
            <w:pPr>
              <w:spacing w:after="0"/>
              <w:jc w:val="center"/>
              <w:rPr>
                <w:rFonts w:eastAsia="Times New Roman" w:cs="Times New Roman"/>
                <w:sz w:val="20"/>
                <w:szCs w:val="20"/>
                <w:lang w:val="sr-Cyrl-CS"/>
              </w:rPr>
            </w:pPr>
          </w:p>
        </w:tc>
        <w:tc>
          <w:tcPr>
            <w:tcW w:w="895" w:type="pct"/>
            <w:gridSpan w:val="2"/>
            <w:tcBorders>
              <w:top w:val="nil"/>
              <w:left w:val="nil"/>
              <w:bottom w:val="nil"/>
              <w:right w:val="nil"/>
            </w:tcBorders>
            <w:shd w:val="clear" w:color="000000" w:fill="FFFFFF"/>
            <w:noWrap/>
            <w:vAlign w:val="center"/>
            <w:hideMark/>
          </w:tcPr>
          <w:p w14:paraId="566E1BCF"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b/>
                <w:bCs/>
                <w:sz w:val="20"/>
                <w:szCs w:val="20"/>
                <w:lang w:val="sr-Cyrl-CS"/>
              </w:rPr>
              <w:t>Република Србија</w:t>
            </w:r>
          </w:p>
        </w:tc>
      </w:tr>
      <w:tr w:rsidR="00247CBF" w:rsidRPr="00092ED7" w14:paraId="6CB7E99B" w14:textId="77777777" w:rsidTr="00247CBF">
        <w:trPr>
          <w:trHeight w:val="227"/>
        </w:trPr>
        <w:tc>
          <w:tcPr>
            <w:tcW w:w="1942" w:type="pct"/>
            <w:vMerge w:val="restart"/>
            <w:tcBorders>
              <w:top w:val="double" w:sz="6" w:space="0" w:color="auto"/>
              <w:left w:val="double" w:sz="6" w:space="0" w:color="auto"/>
              <w:bottom w:val="single" w:sz="8" w:space="0" w:color="000000"/>
              <w:right w:val="single" w:sz="8" w:space="0" w:color="auto"/>
            </w:tcBorders>
            <w:shd w:val="clear" w:color="auto" w:fill="auto"/>
            <w:vAlign w:val="center"/>
            <w:hideMark/>
          </w:tcPr>
          <w:p w14:paraId="47413567" w14:textId="77777777" w:rsidR="00247CBF" w:rsidRPr="00092ED7" w:rsidRDefault="00247CBF" w:rsidP="00247CBF">
            <w:pPr>
              <w:spacing w:after="0"/>
              <w:jc w:val="center"/>
              <w:rPr>
                <w:rFonts w:eastAsia="Times New Roman" w:cs="Times New Roman"/>
                <w:sz w:val="20"/>
                <w:szCs w:val="20"/>
                <w:lang w:val="sr-Cyrl-CS"/>
              </w:rPr>
            </w:pPr>
          </w:p>
        </w:tc>
        <w:tc>
          <w:tcPr>
            <w:tcW w:w="612" w:type="pct"/>
            <w:tcBorders>
              <w:top w:val="double" w:sz="6" w:space="0" w:color="auto"/>
              <w:left w:val="nil"/>
              <w:bottom w:val="nil"/>
              <w:right w:val="dotted" w:sz="4" w:space="0" w:color="auto"/>
            </w:tcBorders>
            <w:shd w:val="clear" w:color="auto" w:fill="auto"/>
            <w:vAlign w:val="center"/>
            <w:hideMark/>
          </w:tcPr>
          <w:p w14:paraId="2BAA7EA5" w14:textId="77777777" w:rsidR="00247CBF" w:rsidRPr="00092ED7" w:rsidRDefault="00247CBF" w:rsidP="00247CBF">
            <w:pPr>
              <w:spacing w:after="0"/>
              <w:jc w:val="center"/>
              <w:rPr>
                <w:sz w:val="20"/>
                <w:szCs w:val="20"/>
                <w:lang w:val="sr-Cyrl-CS"/>
              </w:rPr>
            </w:pPr>
            <w:r w:rsidRPr="00092ED7">
              <w:rPr>
                <w:sz w:val="20"/>
                <w:szCs w:val="20"/>
                <w:lang w:val="sr-Cyrl-CS"/>
              </w:rPr>
              <w:t>Година</w:t>
            </w:r>
          </w:p>
        </w:tc>
        <w:tc>
          <w:tcPr>
            <w:tcW w:w="612" w:type="pct"/>
            <w:gridSpan w:val="2"/>
            <w:tcBorders>
              <w:top w:val="double" w:sz="6" w:space="0" w:color="auto"/>
              <w:left w:val="nil"/>
              <w:bottom w:val="nil"/>
              <w:right w:val="dotted" w:sz="4" w:space="0" w:color="auto"/>
            </w:tcBorders>
            <w:shd w:val="clear" w:color="auto" w:fill="auto"/>
            <w:vAlign w:val="center"/>
            <w:hideMark/>
          </w:tcPr>
          <w:p w14:paraId="46C94BB2" w14:textId="77777777" w:rsidR="00247CBF" w:rsidRPr="00092ED7" w:rsidRDefault="00247CBF" w:rsidP="00247CBF">
            <w:pPr>
              <w:spacing w:after="0"/>
              <w:jc w:val="center"/>
              <w:rPr>
                <w:sz w:val="20"/>
                <w:szCs w:val="20"/>
                <w:lang w:val="sr-Cyrl-CS"/>
              </w:rPr>
            </w:pPr>
            <w:r w:rsidRPr="00092ED7">
              <w:rPr>
                <w:sz w:val="20"/>
                <w:szCs w:val="20"/>
                <w:lang w:val="sr-Cyrl-CS"/>
              </w:rPr>
              <w:t>Година</w:t>
            </w:r>
          </w:p>
        </w:tc>
        <w:tc>
          <w:tcPr>
            <w:tcW w:w="612" w:type="pct"/>
            <w:gridSpan w:val="2"/>
            <w:tcBorders>
              <w:top w:val="double" w:sz="6" w:space="0" w:color="auto"/>
              <w:left w:val="nil"/>
              <w:bottom w:val="nil"/>
              <w:right w:val="dotted" w:sz="4" w:space="0" w:color="auto"/>
            </w:tcBorders>
            <w:shd w:val="clear" w:color="auto" w:fill="auto"/>
            <w:vAlign w:val="center"/>
            <w:hideMark/>
          </w:tcPr>
          <w:p w14:paraId="3369B7A4" w14:textId="77777777" w:rsidR="00247CBF" w:rsidRPr="00092ED7" w:rsidRDefault="00247CBF" w:rsidP="00247CBF">
            <w:pPr>
              <w:spacing w:after="0"/>
              <w:jc w:val="center"/>
              <w:rPr>
                <w:sz w:val="20"/>
                <w:szCs w:val="20"/>
                <w:lang w:val="sr-Cyrl-CS"/>
              </w:rPr>
            </w:pPr>
            <w:r w:rsidRPr="00092ED7">
              <w:rPr>
                <w:sz w:val="20"/>
                <w:szCs w:val="20"/>
                <w:lang w:val="sr-Cyrl-CS"/>
              </w:rPr>
              <w:t>Година</w:t>
            </w:r>
          </w:p>
        </w:tc>
        <w:tc>
          <w:tcPr>
            <w:tcW w:w="612" w:type="pct"/>
            <w:gridSpan w:val="2"/>
            <w:tcBorders>
              <w:top w:val="double" w:sz="6" w:space="0" w:color="auto"/>
              <w:left w:val="nil"/>
              <w:bottom w:val="nil"/>
              <w:right w:val="dotted" w:sz="4" w:space="0" w:color="auto"/>
            </w:tcBorders>
            <w:shd w:val="clear" w:color="auto" w:fill="auto"/>
            <w:vAlign w:val="center"/>
            <w:hideMark/>
          </w:tcPr>
          <w:p w14:paraId="79B6EF75" w14:textId="77777777" w:rsidR="00247CBF" w:rsidRPr="00092ED7" w:rsidRDefault="00247CBF" w:rsidP="00247CBF">
            <w:pPr>
              <w:spacing w:after="0"/>
              <w:jc w:val="center"/>
              <w:rPr>
                <w:sz w:val="20"/>
                <w:szCs w:val="20"/>
                <w:lang w:val="sr-Cyrl-CS"/>
              </w:rPr>
            </w:pPr>
            <w:r w:rsidRPr="00092ED7">
              <w:rPr>
                <w:sz w:val="20"/>
                <w:szCs w:val="20"/>
                <w:lang w:val="sr-Cyrl-CS"/>
              </w:rPr>
              <w:t>Година</w:t>
            </w:r>
          </w:p>
        </w:tc>
        <w:tc>
          <w:tcPr>
            <w:tcW w:w="610" w:type="pct"/>
            <w:tcBorders>
              <w:top w:val="double" w:sz="6" w:space="0" w:color="auto"/>
              <w:left w:val="nil"/>
              <w:bottom w:val="nil"/>
              <w:right w:val="double" w:sz="6" w:space="0" w:color="auto"/>
            </w:tcBorders>
            <w:shd w:val="clear" w:color="auto" w:fill="auto"/>
            <w:vAlign w:val="center"/>
            <w:hideMark/>
          </w:tcPr>
          <w:p w14:paraId="7A0D5662" w14:textId="77777777" w:rsidR="00247CBF" w:rsidRPr="00092ED7" w:rsidRDefault="00247CBF" w:rsidP="00247CBF">
            <w:pPr>
              <w:spacing w:after="0"/>
              <w:jc w:val="center"/>
              <w:rPr>
                <w:sz w:val="20"/>
                <w:szCs w:val="20"/>
                <w:lang w:val="sr-Cyrl-CS"/>
              </w:rPr>
            </w:pPr>
            <w:r w:rsidRPr="00092ED7">
              <w:rPr>
                <w:sz w:val="20"/>
                <w:szCs w:val="20"/>
                <w:lang w:val="sr-Cyrl-CS"/>
              </w:rPr>
              <w:t>Година</w:t>
            </w:r>
          </w:p>
        </w:tc>
      </w:tr>
      <w:tr w:rsidR="00247CBF" w:rsidRPr="00092ED7" w14:paraId="447670AC" w14:textId="77777777" w:rsidTr="00247CBF">
        <w:trPr>
          <w:trHeight w:val="227"/>
        </w:trPr>
        <w:tc>
          <w:tcPr>
            <w:tcW w:w="1942" w:type="pct"/>
            <w:vMerge/>
            <w:tcBorders>
              <w:top w:val="double" w:sz="6" w:space="0" w:color="auto"/>
              <w:left w:val="double" w:sz="6" w:space="0" w:color="auto"/>
              <w:bottom w:val="single" w:sz="8" w:space="0" w:color="000000"/>
              <w:right w:val="single" w:sz="8" w:space="0" w:color="auto"/>
            </w:tcBorders>
            <w:shd w:val="clear" w:color="auto" w:fill="auto"/>
            <w:vAlign w:val="center"/>
            <w:hideMark/>
          </w:tcPr>
          <w:p w14:paraId="6689D0D3" w14:textId="77777777" w:rsidR="00247CBF" w:rsidRPr="00092ED7" w:rsidRDefault="00247CBF" w:rsidP="00247CBF">
            <w:pPr>
              <w:spacing w:after="0"/>
              <w:jc w:val="center"/>
              <w:rPr>
                <w:rFonts w:eastAsia="Times New Roman" w:cs="Times New Roman"/>
                <w:sz w:val="20"/>
                <w:szCs w:val="20"/>
                <w:lang w:val="sr-Cyrl-CS"/>
              </w:rPr>
            </w:pPr>
          </w:p>
        </w:tc>
        <w:tc>
          <w:tcPr>
            <w:tcW w:w="612" w:type="pct"/>
            <w:tcBorders>
              <w:top w:val="nil"/>
              <w:left w:val="nil"/>
              <w:bottom w:val="single" w:sz="8" w:space="0" w:color="auto"/>
              <w:right w:val="dotted" w:sz="4" w:space="0" w:color="auto"/>
            </w:tcBorders>
            <w:shd w:val="clear" w:color="auto" w:fill="auto"/>
            <w:vAlign w:val="center"/>
            <w:hideMark/>
          </w:tcPr>
          <w:p w14:paraId="501D0FAF" w14:textId="77777777" w:rsidR="00247CBF" w:rsidRPr="00092ED7" w:rsidRDefault="00247CBF" w:rsidP="00247CBF">
            <w:pPr>
              <w:spacing w:after="0"/>
              <w:jc w:val="center"/>
              <w:rPr>
                <w:sz w:val="20"/>
                <w:szCs w:val="20"/>
                <w:lang w:val="sr-Cyrl-CS"/>
              </w:rPr>
            </w:pPr>
            <w:r w:rsidRPr="00092ED7">
              <w:rPr>
                <w:sz w:val="20"/>
                <w:szCs w:val="20"/>
                <w:lang w:val="sr-Cyrl-CS"/>
              </w:rPr>
              <w:t>2021</w:t>
            </w:r>
          </w:p>
        </w:tc>
        <w:tc>
          <w:tcPr>
            <w:tcW w:w="612" w:type="pct"/>
            <w:gridSpan w:val="2"/>
            <w:tcBorders>
              <w:top w:val="nil"/>
              <w:left w:val="nil"/>
              <w:bottom w:val="single" w:sz="8" w:space="0" w:color="auto"/>
              <w:right w:val="dotted" w:sz="4" w:space="0" w:color="auto"/>
            </w:tcBorders>
            <w:shd w:val="clear" w:color="auto" w:fill="auto"/>
            <w:vAlign w:val="center"/>
            <w:hideMark/>
          </w:tcPr>
          <w:p w14:paraId="05EF8F09" w14:textId="77777777" w:rsidR="00247CBF" w:rsidRPr="00092ED7" w:rsidRDefault="00247CBF" w:rsidP="00247CBF">
            <w:pPr>
              <w:spacing w:after="0"/>
              <w:jc w:val="center"/>
              <w:rPr>
                <w:sz w:val="20"/>
                <w:szCs w:val="20"/>
                <w:lang w:val="sr-Cyrl-CS"/>
              </w:rPr>
            </w:pPr>
            <w:r w:rsidRPr="00092ED7">
              <w:rPr>
                <w:sz w:val="20"/>
                <w:szCs w:val="20"/>
                <w:lang w:val="sr-Cyrl-CS"/>
              </w:rPr>
              <w:t>2022</w:t>
            </w:r>
          </w:p>
        </w:tc>
        <w:tc>
          <w:tcPr>
            <w:tcW w:w="612" w:type="pct"/>
            <w:gridSpan w:val="2"/>
            <w:tcBorders>
              <w:top w:val="nil"/>
              <w:left w:val="nil"/>
              <w:bottom w:val="single" w:sz="8" w:space="0" w:color="auto"/>
              <w:right w:val="dotted" w:sz="4" w:space="0" w:color="auto"/>
            </w:tcBorders>
            <w:shd w:val="clear" w:color="auto" w:fill="auto"/>
            <w:vAlign w:val="center"/>
            <w:hideMark/>
          </w:tcPr>
          <w:p w14:paraId="524EF34E" w14:textId="77777777" w:rsidR="00247CBF" w:rsidRPr="00092ED7" w:rsidRDefault="00247CBF" w:rsidP="00247CBF">
            <w:pPr>
              <w:spacing w:after="0"/>
              <w:jc w:val="center"/>
              <w:rPr>
                <w:sz w:val="20"/>
                <w:szCs w:val="20"/>
                <w:lang w:val="sr-Cyrl-CS"/>
              </w:rPr>
            </w:pPr>
            <w:r w:rsidRPr="00092ED7">
              <w:rPr>
                <w:sz w:val="20"/>
                <w:szCs w:val="20"/>
                <w:lang w:val="sr-Cyrl-CS"/>
              </w:rPr>
              <w:t>2023</w:t>
            </w:r>
          </w:p>
        </w:tc>
        <w:tc>
          <w:tcPr>
            <w:tcW w:w="612" w:type="pct"/>
            <w:gridSpan w:val="2"/>
            <w:tcBorders>
              <w:top w:val="nil"/>
              <w:left w:val="nil"/>
              <w:bottom w:val="single" w:sz="8" w:space="0" w:color="auto"/>
              <w:right w:val="dotted" w:sz="4" w:space="0" w:color="auto"/>
            </w:tcBorders>
            <w:shd w:val="clear" w:color="auto" w:fill="auto"/>
            <w:vAlign w:val="center"/>
            <w:hideMark/>
          </w:tcPr>
          <w:p w14:paraId="39D8E987" w14:textId="77777777" w:rsidR="00247CBF" w:rsidRPr="00092ED7" w:rsidRDefault="00247CBF" w:rsidP="00247CBF">
            <w:pPr>
              <w:spacing w:after="0"/>
              <w:jc w:val="center"/>
              <w:rPr>
                <w:sz w:val="20"/>
                <w:szCs w:val="20"/>
                <w:lang w:val="sr-Cyrl-CS"/>
              </w:rPr>
            </w:pPr>
            <w:r w:rsidRPr="00092ED7">
              <w:rPr>
                <w:sz w:val="20"/>
                <w:szCs w:val="20"/>
                <w:lang w:val="sr-Cyrl-CS"/>
              </w:rPr>
              <w:t>2024</w:t>
            </w:r>
          </w:p>
        </w:tc>
        <w:tc>
          <w:tcPr>
            <w:tcW w:w="610" w:type="pct"/>
            <w:tcBorders>
              <w:top w:val="nil"/>
              <w:left w:val="nil"/>
              <w:bottom w:val="single" w:sz="8" w:space="0" w:color="auto"/>
              <w:right w:val="double" w:sz="6" w:space="0" w:color="auto"/>
            </w:tcBorders>
            <w:shd w:val="clear" w:color="auto" w:fill="auto"/>
            <w:vAlign w:val="center"/>
            <w:hideMark/>
          </w:tcPr>
          <w:p w14:paraId="5183B2FD" w14:textId="77777777" w:rsidR="00247CBF" w:rsidRPr="00092ED7" w:rsidRDefault="00247CBF" w:rsidP="00247CBF">
            <w:pPr>
              <w:spacing w:after="0"/>
              <w:jc w:val="center"/>
              <w:rPr>
                <w:sz w:val="20"/>
                <w:szCs w:val="20"/>
                <w:lang w:val="sr-Cyrl-CS"/>
              </w:rPr>
            </w:pPr>
            <w:r w:rsidRPr="00092ED7">
              <w:rPr>
                <w:sz w:val="20"/>
                <w:szCs w:val="20"/>
                <w:lang w:val="sr-Cyrl-CS"/>
              </w:rPr>
              <w:t>2025</w:t>
            </w:r>
          </w:p>
        </w:tc>
      </w:tr>
      <w:tr w:rsidR="00247CBF" w:rsidRPr="00092ED7" w14:paraId="74D19A5B" w14:textId="77777777" w:rsidTr="00247CBF">
        <w:trPr>
          <w:trHeight w:val="227"/>
        </w:trPr>
        <w:tc>
          <w:tcPr>
            <w:tcW w:w="5000" w:type="pct"/>
            <w:gridSpan w:val="9"/>
            <w:tcBorders>
              <w:top w:val="single" w:sz="8" w:space="0" w:color="auto"/>
              <w:left w:val="double" w:sz="6" w:space="0" w:color="auto"/>
              <w:bottom w:val="single" w:sz="4" w:space="0" w:color="auto"/>
              <w:right w:val="double" w:sz="6" w:space="0" w:color="000000"/>
            </w:tcBorders>
            <w:shd w:val="clear" w:color="auto" w:fill="auto"/>
            <w:vAlign w:val="center"/>
            <w:hideMark/>
          </w:tcPr>
          <w:p w14:paraId="0ECD4B62" w14:textId="77777777" w:rsidR="00247CBF" w:rsidRPr="00092ED7" w:rsidRDefault="00247CBF" w:rsidP="00247CBF">
            <w:pPr>
              <w:spacing w:after="0"/>
              <w:jc w:val="center"/>
              <w:rPr>
                <w:rFonts w:eastAsia="Times New Roman" w:cs="Times New Roman"/>
                <w:b/>
                <w:bCs/>
                <w:sz w:val="20"/>
                <w:szCs w:val="20"/>
                <w:lang w:val="sr-Cyrl-CS"/>
              </w:rPr>
            </w:pPr>
            <w:r w:rsidRPr="00092ED7">
              <w:rPr>
                <w:rFonts w:eastAsia="Times New Roman" w:cs="Times New Roman"/>
                <w:b/>
                <w:bCs/>
                <w:sz w:val="20"/>
                <w:szCs w:val="20"/>
                <w:lang w:val="sr-Cyrl-CS"/>
              </w:rPr>
              <w:t>1. Раст БДП-а (%. мг)</w:t>
            </w:r>
          </w:p>
        </w:tc>
      </w:tr>
      <w:tr w:rsidR="00247CBF" w:rsidRPr="00092ED7" w14:paraId="733E54DF" w14:textId="77777777" w:rsidTr="00247CBF">
        <w:trPr>
          <w:trHeight w:val="227"/>
        </w:trPr>
        <w:tc>
          <w:tcPr>
            <w:tcW w:w="1942" w:type="pct"/>
            <w:tcBorders>
              <w:top w:val="nil"/>
              <w:left w:val="double" w:sz="6" w:space="0" w:color="auto"/>
              <w:bottom w:val="dotted" w:sz="4" w:space="0" w:color="auto"/>
              <w:right w:val="single" w:sz="8" w:space="0" w:color="auto"/>
            </w:tcBorders>
            <w:shd w:val="clear" w:color="auto" w:fill="auto"/>
            <w:vAlign w:val="center"/>
            <w:hideMark/>
          </w:tcPr>
          <w:p w14:paraId="281B9843" w14:textId="77777777" w:rsidR="00247CBF" w:rsidRPr="00092ED7" w:rsidRDefault="00247CBF" w:rsidP="00247CBF">
            <w:pPr>
              <w:spacing w:after="0"/>
              <w:jc w:val="left"/>
              <w:rPr>
                <w:rFonts w:eastAsia="Times New Roman" w:cs="Times New Roman"/>
                <w:sz w:val="20"/>
                <w:szCs w:val="20"/>
                <w:lang w:val="sr-Cyrl-CS"/>
              </w:rPr>
            </w:pPr>
            <w:r w:rsidRPr="00092ED7">
              <w:rPr>
                <w:rFonts w:eastAsia="Times New Roman" w:cs="Times New Roman"/>
                <w:sz w:val="20"/>
                <w:szCs w:val="20"/>
                <w:lang w:val="sr-Cyrl-CS"/>
              </w:rPr>
              <w:t>Претходни</w:t>
            </w:r>
          </w:p>
        </w:tc>
        <w:tc>
          <w:tcPr>
            <w:tcW w:w="612" w:type="pct"/>
            <w:tcBorders>
              <w:top w:val="nil"/>
              <w:left w:val="nil"/>
              <w:bottom w:val="dotted" w:sz="4" w:space="0" w:color="auto"/>
              <w:right w:val="dotted" w:sz="4" w:space="0" w:color="auto"/>
            </w:tcBorders>
            <w:shd w:val="clear" w:color="auto" w:fill="auto"/>
            <w:vAlign w:val="center"/>
          </w:tcPr>
          <w:p w14:paraId="45ACF7EA" w14:textId="77777777" w:rsidR="00247CBF" w:rsidRPr="00092ED7" w:rsidRDefault="00247CBF" w:rsidP="00247CBF">
            <w:pPr>
              <w:spacing w:after="0"/>
              <w:jc w:val="center"/>
              <w:rPr>
                <w:sz w:val="20"/>
                <w:szCs w:val="20"/>
                <w:lang w:val="sr-Cyrl-CS"/>
              </w:rPr>
            </w:pPr>
            <w:r w:rsidRPr="00092ED7">
              <w:rPr>
                <w:sz w:val="20"/>
                <w:szCs w:val="20"/>
                <w:lang w:val="sr-Cyrl-CS"/>
              </w:rPr>
              <w:t>7,0</w:t>
            </w:r>
          </w:p>
        </w:tc>
        <w:tc>
          <w:tcPr>
            <w:tcW w:w="612" w:type="pct"/>
            <w:gridSpan w:val="2"/>
            <w:tcBorders>
              <w:top w:val="nil"/>
              <w:left w:val="nil"/>
              <w:bottom w:val="dotted" w:sz="4" w:space="0" w:color="auto"/>
              <w:right w:val="dotted" w:sz="4" w:space="0" w:color="auto"/>
            </w:tcBorders>
            <w:shd w:val="clear" w:color="auto" w:fill="auto"/>
            <w:vAlign w:val="center"/>
          </w:tcPr>
          <w:p w14:paraId="17AFA0FB" w14:textId="77777777" w:rsidR="00247CBF" w:rsidRPr="00092ED7" w:rsidRDefault="00247CBF" w:rsidP="00247CBF">
            <w:pPr>
              <w:spacing w:after="0"/>
              <w:jc w:val="center"/>
              <w:rPr>
                <w:sz w:val="20"/>
                <w:szCs w:val="20"/>
                <w:lang w:val="sr-Cyrl-CS"/>
              </w:rPr>
            </w:pPr>
            <w:r w:rsidRPr="00092ED7">
              <w:rPr>
                <w:sz w:val="20"/>
                <w:szCs w:val="20"/>
                <w:lang w:val="sr-Cyrl-CS"/>
              </w:rPr>
              <w:t>4,5</w:t>
            </w:r>
          </w:p>
        </w:tc>
        <w:tc>
          <w:tcPr>
            <w:tcW w:w="612" w:type="pct"/>
            <w:gridSpan w:val="2"/>
            <w:tcBorders>
              <w:top w:val="nil"/>
              <w:left w:val="nil"/>
              <w:bottom w:val="dotted" w:sz="4" w:space="0" w:color="auto"/>
              <w:right w:val="dotted" w:sz="4" w:space="0" w:color="auto"/>
            </w:tcBorders>
            <w:shd w:val="clear" w:color="auto" w:fill="auto"/>
            <w:vAlign w:val="center"/>
          </w:tcPr>
          <w:p w14:paraId="47BF6FE9" w14:textId="77777777" w:rsidR="00247CBF" w:rsidRPr="00092ED7" w:rsidRDefault="00247CBF" w:rsidP="00247CBF">
            <w:pPr>
              <w:spacing w:after="0"/>
              <w:jc w:val="center"/>
              <w:rPr>
                <w:sz w:val="20"/>
                <w:szCs w:val="20"/>
                <w:lang w:val="sr-Cyrl-CS"/>
              </w:rPr>
            </w:pPr>
            <w:r w:rsidRPr="00092ED7">
              <w:rPr>
                <w:sz w:val="20"/>
                <w:szCs w:val="20"/>
                <w:lang w:val="sr-Cyrl-CS"/>
              </w:rPr>
              <w:t>5,0</w:t>
            </w:r>
          </w:p>
        </w:tc>
        <w:tc>
          <w:tcPr>
            <w:tcW w:w="612" w:type="pct"/>
            <w:gridSpan w:val="2"/>
            <w:tcBorders>
              <w:top w:val="nil"/>
              <w:left w:val="nil"/>
              <w:bottom w:val="dotted" w:sz="4" w:space="0" w:color="auto"/>
              <w:right w:val="dotted" w:sz="4" w:space="0" w:color="auto"/>
            </w:tcBorders>
            <w:shd w:val="clear" w:color="auto" w:fill="auto"/>
            <w:vAlign w:val="center"/>
          </w:tcPr>
          <w:p w14:paraId="1635165D" w14:textId="77777777" w:rsidR="00247CBF" w:rsidRPr="00092ED7" w:rsidRDefault="00247CBF" w:rsidP="00247CBF">
            <w:pPr>
              <w:spacing w:after="0"/>
              <w:jc w:val="center"/>
              <w:rPr>
                <w:sz w:val="20"/>
                <w:szCs w:val="20"/>
                <w:lang w:val="sr-Cyrl-CS"/>
              </w:rPr>
            </w:pPr>
            <w:r w:rsidRPr="00092ED7">
              <w:rPr>
                <w:sz w:val="20"/>
                <w:szCs w:val="20"/>
                <w:lang w:val="sr-Cyrl-CS"/>
              </w:rPr>
              <w:t>5,0</w:t>
            </w:r>
          </w:p>
        </w:tc>
        <w:tc>
          <w:tcPr>
            <w:tcW w:w="610" w:type="pct"/>
            <w:tcBorders>
              <w:top w:val="nil"/>
              <w:left w:val="nil"/>
              <w:bottom w:val="dotted" w:sz="4" w:space="0" w:color="auto"/>
              <w:right w:val="double" w:sz="6" w:space="0" w:color="auto"/>
            </w:tcBorders>
            <w:shd w:val="clear" w:color="auto" w:fill="auto"/>
            <w:vAlign w:val="center"/>
          </w:tcPr>
          <w:p w14:paraId="0DA7A3A9" w14:textId="77777777" w:rsidR="00247CBF" w:rsidRPr="00092ED7" w:rsidRDefault="00247CBF" w:rsidP="00247CBF">
            <w:pPr>
              <w:spacing w:after="0"/>
              <w:jc w:val="center"/>
              <w:rPr>
                <w:sz w:val="20"/>
                <w:szCs w:val="20"/>
                <w:lang w:val="sr-Cyrl-CS"/>
              </w:rPr>
            </w:pPr>
            <w:r w:rsidRPr="00092ED7">
              <w:rPr>
                <w:sz w:val="20"/>
                <w:szCs w:val="20"/>
                <w:lang w:val="sr-Cyrl-CS"/>
              </w:rPr>
              <w:t>:</w:t>
            </w:r>
          </w:p>
        </w:tc>
      </w:tr>
      <w:tr w:rsidR="00247CBF" w:rsidRPr="00092ED7" w14:paraId="75D5B3FF" w14:textId="77777777" w:rsidTr="00247CBF">
        <w:trPr>
          <w:trHeight w:val="227"/>
        </w:trPr>
        <w:tc>
          <w:tcPr>
            <w:tcW w:w="1942" w:type="pct"/>
            <w:tcBorders>
              <w:top w:val="nil"/>
              <w:left w:val="double" w:sz="6" w:space="0" w:color="auto"/>
              <w:bottom w:val="dotted" w:sz="4" w:space="0" w:color="auto"/>
              <w:right w:val="single" w:sz="8" w:space="0" w:color="auto"/>
            </w:tcBorders>
            <w:shd w:val="clear" w:color="auto" w:fill="auto"/>
            <w:vAlign w:val="center"/>
            <w:hideMark/>
          </w:tcPr>
          <w:p w14:paraId="394ADDFB" w14:textId="77777777" w:rsidR="00247CBF" w:rsidRPr="00092ED7" w:rsidRDefault="00247CBF" w:rsidP="00247CBF">
            <w:pPr>
              <w:spacing w:after="0"/>
              <w:jc w:val="left"/>
              <w:rPr>
                <w:rFonts w:eastAsia="Times New Roman" w:cs="Times New Roman"/>
                <w:sz w:val="20"/>
                <w:szCs w:val="20"/>
                <w:lang w:val="sr-Cyrl-CS"/>
              </w:rPr>
            </w:pPr>
            <w:r w:rsidRPr="00092ED7">
              <w:rPr>
                <w:rFonts w:eastAsia="Times New Roman" w:cs="Times New Roman"/>
                <w:sz w:val="20"/>
                <w:szCs w:val="20"/>
                <w:lang w:val="sr-Cyrl-CS"/>
              </w:rPr>
              <w:t>Садашњи</w:t>
            </w:r>
          </w:p>
        </w:tc>
        <w:tc>
          <w:tcPr>
            <w:tcW w:w="612" w:type="pct"/>
            <w:tcBorders>
              <w:top w:val="nil"/>
              <w:left w:val="nil"/>
              <w:bottom w:val="dotted" w:sz="4" w:space="0" w:color="auto"/>
              <w:right w:val="dotted" w:sz="4" w:space="0" w:color="auto"/>
            </w:tcBorders>
            <w:shd w:val="clear" w:color="auto" w:fill="auto"/>
            <w:vAlign w:val="center"/>
          </w:tcPr>
          <w:p w14:paraId="0832C07A" w14:textId="77777777" w:rsidR="00247CBF" w:rsidRPr="00092ED7" w:rsidRDefault="00247CBF" w:rsidP="00247CBF">
            <w:pPr>
              <w:spacing w:after="0"/>
              <w:jc w:val="center"/>
              <w:rPr>
                <w:sz w:val="20"/>
                <w:szCs w:val="20"/>
                <w:lang w:val="sr-Cyrl-CS"/>
              </w:rPr>
            </w:pPr>
            <w:r w:rsidRPr="00092ED7">
              <w:rPr>
                <w:sz w:val="20"/>
                <w:szCs w:val="20"/>
                <w:lang w:val="sr-Cyrl-CS"/>
              </w:rPr>
              <w:t>7,5</w:t>
            </w:r>
          </w:p>
        </w:tc>
        <w:tc>
          <w:tcPr>
            <w:tcW w:w="612" w:type="pct"/>
            <w:gridSpan w:val="2"/>
            <w:tcBorders>
              <w:top w:val="nil"/>
              <w:left w:val="nil"/>
              <w:bottom w:val="dotted" w:sz="4" w:space="0" w:color="auto"/>
              <w:right w:val="dotted" w:sz="4" w:space="0" w:color="auto"/>
            </w:tcBorders>
            <w:shd w:val="clear" w:color="auto" w:fill="auto"/>
            <w:vAlign w:val="center"/>
          </w:tcPr>
          <w:p w14:paraId="1E0EB714" w14:textId="77777777" w:rsidR="00247CBF" w:rsidRPr="00092ED7" w:rsidRDefault="00247CBF" w:rsidP="00247CBF">
            <w:pPr>
              <w:spacing w:after="0"/>
              <w:jc w:val="center"/>
              <w:rPr>
                <w:sz w:val="20"/>
                <w:szCs w:val="20"/>
                <w:lang w:val="sr-Cyrl-CS"/>
              </w:rPr>
            </w:pPr>
            <w:r w:rsidRPr="00092ED7">
              <w:rPr>
                <w:sz w:val="20"/>
                <w:szCs w:val="20"/>
                <w:lang w:val="sr-Cyrl-CS"/>
              </w:rPr>
              <w:t>2,5</w:t>
            </w:r>
          </w:p>
        </w:tc>
        <w:tc>
          <w:tcPr>
            <w:tcW w:w="612" w:type="pct"/>
            <w:gridSpan w:val="2"/>
            <w:tcBorders>
              <w:top w:val="nil"/>
              <w:left w:val="nil"/>
              <w:bottom w:val="dotted" w:sz="4" w:space="0" w:color="auto"/>
              <w:right w:val="dotted" w:sz="4" w:space="0" w:color="auto"/>
            </w:tcBorders>
            <w:shd w:val="clear" w:color="auto" w:fill="auto"/>
            <w:vAlign w:val="center"/>
          </w:tcPr>
          <w:p w14:paraId="35923AEE" w14:textId="77777777" w:rsidR="00247CBF" w:rsidRPr="00092ED7" w:rsidRDefault="00247CBF" w:rsidP="00247CBF">
            <w:pPr>
              <w:spacing w:after="0"/>
              <w:jc w:val="center"/>
              <w:rPr>
                <w:sz w:val="20"/>
                <w:szCs w:val="20"/>
                <w:lang w:val="sr-Cyrl-CS"/>
              </w:rPr>
            </w:pPr>
            <w:r w:rsidRPr="00092ED7">
              <w:rPr>
                <w:sz w:val="20"/>
                <w:szCs w:val="20"/>
                <w:lang w:val="sr-Cyrl-CS"/>
              </w:rPr>
              <w:t>2,5</w:t>
            </w:r>
          </w:p>
        </w:tc>
        <w:tc>
          <w:tcPr>
            <w:tcW w:w="612" w:type="pct"/>
            <w:gridSpan w:val="2"/>
            <w:tcBorders>
              <w:top w:val="nil"/>
              <w:left w:val="nil"/>
              <w:bottom w:val="dotted" w:sz="4" w:space="0" w:color="auto"/>
              <w:right w:val="dotted" w:sz="4" w:space="0" w:color="auto"/>
            </w:tcBorders>
            <w:shd w:val="clear" w:color="auto" w:fill="auto"/>
            <w:vAlign w:val="center"/>
          </w:tcPr>
          <w:p w14:paraId="45EB8CEF" w14:textId="77777777" w:rsidR="00247CBF" w:rsidRPr="00092ED7" w:rsidRDefault="00247CBF" w:rsidP="00247CBF">
            <w:pPr>
              <w:spacing w:after="0"/>
              <w:jc w:val="center"/>
              <w:rPr>
                <w:sz w:val="20"/>
                <w:szCs w:val="20"/>
                <w:lang w:val="sr-Cyrl-CS"/>
              </w:rPr>
            </w:pPr>
            <w:r w:rsidRPr="00092ED7">
              <w:rPr>
                <w:sz w:val="20"/>
                <w:szCs w:val="20"/>
                <w:lang w:val="sr-Cyrl-CS"/>
              </w:rPr>
              <w:t>3,5</w:t>
            </w:r>
          </w:p>
        </w:tc>
        <w:tc>
          <w:tcPr>
            <w:tcW w:w="610" w:type="pct"/>
            <w:tcBorders>
              <w:top w:val="nil"/>
              <w:left w:val="nil"/>
              <w:bottom w:val="dotted" w:sz="4" w:space="0" w:color="auto"/>
              <w:right w:val="double" w:sz="6" w:space="0" w:color="auto"/>
            </w:tcBorders>
            <w:shd w:val="clear" w:color="auto" w:fill="auto"/>
            <w:vAlign w:val="center"/>
          </w:tcPr>
          <w:p w14:paraId="788A89CF" w14:textId="77777777" w:rsidR="00247CBF" w:rsidRPr="00092ED7" w:rsidRDefault="00247CBF" w:rsidP="00247CBF">
            <w:pPr>
              <w:spacing w:after="0"/>
              <w:jc w:val="center"/>
              <w:rPr>
                <w:sz w:val="20"/>
                <w:szCs w:val="20"/>
                <w:lang w:val="sr-Cyrl-CS"/>
              </w:rPr>
            </w:pPr>
            <w:r w:rsidRPr="00092ED7">
              <w:rPr>
                <w:sz w:val="20"/>
                <w:szCs w:val="20"/>
                <w:lang w:val="sr-Cyrl-CS"/>
              </w:rPr>
              <w:t>4,0</w:t>
            </w:r>
          </w:p>
        </w:tc>
      </w:tr>
      <w:tr w:rsidR="00247CBF" w:rsidRPr="00092ED7" w14:paraId="3BCD45A5" w14:textId="77777777" w:rsidTr="00247CBF">
        <w:trPr>
          <w:trHeight w:val="227"/>
        </w:trPr>
        <w:tc>
          <w:tcPr>
            <w:tcW w:w="1942" w:type="pct"/>
            <w:tcBorders>
              <w:top w:val="nil"/>
              <w:left w:val="double" w:sz="6" w:space="0" w:color="auto"/>
              <w:bottom w:val="single" w:sz="8" w:space="0" w:color="auto"/>
              <w:right w:val="single" w:sz="8" w:space="0" w:color="auto"/>
            </w:tcBorders>
            <w:shd w:val="clear" w:color="auto" w:fill="auto"/>
            <w:vAlign w:val="center"/>
            <w:hideMark/>
          </w:tcPr>
          <w:p w14:paraId="226729C3" w14:textId="77777777" w:rsidR="00247CBF" w:rsidRPr="00092ED7" w:rsidRDefault="00247CBF" w:rsidP="00247CBF">
            <w:pPr>
              <w:spacing w:after="0"/>
              <w:jc w:val="left"/>
              <w:rPr>
                <w:rFonts w:eastAsia="Times New Roman" w:cs="Times New Roman"/>
                <w:sz w:val="20"/>
                <w:szCs w:val="20"/>
                <w:lang w:val="sr-Cyrl-CS"/>
              </w:rPr>
            </w:pPr>
            <w:r w:rsidRPr="00092ED7">
              <w:rPr>
                <w:rFonts w:eastAsia="Times New Roman" w:cs="Times New Roman"/>
                <w:sz w:val="20"/>
                <w:szCs w:val="20"/>
                <w:lang w:val="sr-Cyrl-CS"/>
              </w:rPr>
              <w:t>Разлика (процентни поени)</w:t>
            </w:r>
          </w:p>
        </w:tc>
        <w:tc>
          <w:tcPr>
            <w:tcW w:w="612" w:type="pct"/>
            <w:tcBorders>
              <w:top w:val="nil"/>
              <w:left w:val="nil"/>
              <w:bottom w:val="single" w:sz="8" w:space="0" w:color="auto"/>
              <w:right w:val="dotted" w:sz="4" w:space="0" w:color="auto"/>
            </w:tcBorders>
            <w:shd w:val="clear" w:color="auto" w:fill="auto"/>
            <w:vAlign w:val="center"/>
          </w:tcPr>
          <w:p w14:paraId="6AB9D582" w14:textId="77777777" w:rsidR="00247CBF" w:rsidRPr="00092ED7" w:rsidRDefault="00247CBF" w:rsidP="00247CBF">
            <w:pPr>
              <w:spacing w:after="0"/>
              <w:jc w:val="center"/>
              <w:rPr>
                <w:sz w:val="20"/>
                <w:szCs w:val="20"/>
                <w:lang w:val="sr-Cyrl-CS"/>
              </w:rPr>
            </w:pPr>
            <w:r w:rsidRPr="00092ED7">
              <w:rPr>
                <w:sz w:val="20"/>
                <w:szCs w:val="20"/>
                <w:lang w:val="sr-Cyrl-CS"/>
              </w:rPr>
              <w:t>0,5</w:t>
            </w:r>
          </w:p>
        </w:tc>
        <w:tc>
          <w:tcPr>
            <w:tcW w:w="612" w:type="pct"/>
            <w:gridSpan w:val="2"/>
            <w:tcBorders>
              <w:top w:val="nil"/>
              <w:left w:val="nil"/>
              <w:bottom w:val="single" w:sz="8" w:space="0" w:color="auto"/>
              <w:right w:val="dotted" w:sz="4" w:space="0" w:color="auto"/>
            </w:tcBorders>
            <w:shd w:val="clear" w:color="auto" w:fill="auto"/>
            <w:vAlign w:val="center"/>
          </w:tcPr>
          <w:p w14:paraId="7640DADA" w14:textId="77777777" w:rsidR="00247CBF" w:rsidRPr="00092ED7" w:rsidRDefault="00247CBF" w:rsidP="00247CBF">
            <w:pPr>
              <w:spacing w:after="0"/>
              <w:jc w:val="center"/>
              <w:rPr>
                <w:sz w:val="20"/>
                <w:szCs w:val="20"/>
                <w:lang w:val="sr-Cyrl-CS"/>
              </w:rPr>
            </w:pPr>
            <w:r w:rsidRPr="00092ED7">
              <w:rPr>
                <w:sz w:val="20"/>
                <w:szCs w:val="20"/>
                <w:lang w:val="sr-Cyrl-CS"/>
              </w:rPr>
              <w:t>-2,0</w:t>
            </w:r>
          </w:p>
        </w:tc>
        <w:tc>
          <w:tcPr>
            <w:tcW w:w="612" w:type="pct"/>
            <w:gridSpan w:val="2"/>
            <w:tcBorders>
              <w:top w:val="nil"/>
              <w:left w:val="nil"/>
              <w:bottom w:val="single" w:sz="8" w:space="0" w:color="auto"/>
              <w:right w:val="dotted" w:sz="4" w:space="0" w:color="auto"/>
            </w:tcBorders>
            <w:shd w:val="clear" w:color="auto" w:fill="auto"/>
            <w:vAlign w:val="center"/>
          </w:tcPr>
          <w:p w14:paraId="3118DC5A" w14:textId="77777777" w:rsidR="00247CBF" w:rsidRPr="00092ED7" w:rsidRDefault="00247CBF" w:rsidP="00247CBF">
            <w:pPr>
              <w:spacing w:after="0"/>
              <w:jc w:val="center"/>
              <w:rPr>
                <w:sz w:val="20"/>
                <w:szCs w:val="20"/>
                <w:lang w:val="sr-Cyrl-CS"/>
              </w:rPr>
            </w:pPr>
            <w:r w:rsidRPr="00092ED7">
              <w:rPr>
                <w:sz w:val="20"/>
                <w:szCs w:val="20"/>
                <w:lang w:val="sr-Cyrl-CS"/>
              </w:rPr>
              <w:t>-2,5</w:t>
            </w:r>
          </w:p>
        </w:tc>
        <w:tc>
          <w:tcPr>
            <w:tcW w:w="612" w:type="pct"/>
            <w:gridSpan w:val="2"/>
            <w:tcBorders>
              <w:top w:val="nil"/>
              <w:left w:val="nil"/>
              <w:bottom w:val="single" w:sz="8" w:space="0" w:color="auto"/>
              <w:right w:val="dotted" w:sz="4" w:space="0" w:color="auto"/>
            </w:tcBorders>
            <w:shd w:val="clear" w:color="auto" w:fill="auto"/>
            <w:vAlign w:val="center"/>
          </w:tcPr>
          <w:p w14:paraId="21CA259D" w14:textId="77777777" w:rsidR="00247CBF" w:rsidRPr="00092ED7" w:rsidRDefault="00247CBF" w:rsidP="00247CBF">
            <w:pPr>
              <w:spacing w:after="0"/>
              <w:jc w:val="center"/>
              <w:rPr>
                <w:sz w:val="20"/>
                <w:szCs w:val="20"/>
                <w:lang w:val="sr-Cyrl-CS"/>
              </w:rPr>
            </w:pPr>
            <w:r w:rsidRPr="00092ED7">
              <w:rPr>
                <w:sz w:val="20"/>
                <w:szCs w:val="20"/>
                <w:lang w:val="sr-Cyrl-CS"/>
              </w:rPr>
              <w:t>-1,5</w:t>
            </w:r>
          </w:p>
        </w:tc>
        <w:tc>
          <w:tcPr>
            <w:tcW w:w="610" w:type="pct"/>
            <w:tcBorders>
              <w:top w:val="nil"/>
              <w:left w:val="nil"/>
              <w:bottom w:val="single" w:sz="8" w:space="0" w:color="auto"/>
              <w:right w:val="double" w:sz="6" w:space="0" w:color="auto"/>
            </w:tcBorders>
            <w:shd w:val="clear" w:color="auto" w:fill="auto"/>
            <w:vAlign w:val="center"/>
          </w:tcPr>
          <w:p w14:paraId="6311C55C" w14:textId="77777777" w:rsidR="00247CBF" w:rsidRPr="00092ED7" w:rsidRDefault="00247CBF" w:rsidP="00247CBF">
            <w:pPr>
              <w:spacing w:after="0"/>
              <w:jc w:val="center"/>
              <w:rPr>
                <w:sz w:val="20"/>
                <w:szCs w:val="20"/>
                <w:lang w:val="sr-Cyrl-CS"/>
              </w:rPr>
            </w:pPr>
            <w:r w:rsidRPr="00092ED7">
              <w:rPr>
                <w:sz w:val="20"/>
                <w:szCs w:val="20"/>
                <w:lang w:val="sr-Cyrl-CS"/>
              </w:rPr>
              <w:t>:</w:t>
            </w:r>
          </w:p>
        </w:tc>
      </w:tr>
      <w:tr w:rsidR="00247CBF" w:rsidRPr="00092ED7" w14:paraId="0655031E" w14:textId="77777777" w:rsidTr="00247CBF">
        <w:trPr>
          <w:trHeight w:val="227"/>
        </w:trPr>
        <w:tc>
          <w:tcPr>
            <w:tcW w:w="5000" w:type="pct"/>
            <w:gridSpan w:val="9"/>
            <w:tcBorders>
              <w:top w:val="single" w:sz="8" w:space="0" w:color="auto"/>
              <w:left w:val="double" w:sz="6" w:space="0" w:color="auto"/>
              <w:bottom w:val="single" w:sz="4" w:space="0" w:color="auto"/>
              <w:right w:val="double" w:sz="6" w:space="0" w:color="000000"/>
            </w:tcBorders>
            <w:shd w:val="clear" w:color="auto" w:fill="auto"/>
            <w:vAlign w:val="center"/>
            <w:hideMark/>
          </w:tcPr>
          <w:p w14:paraId="4CF5A202" w14:textId="77777777" w:rsidR="00247CBF" w:rsidRPr="00092ED7" w:rsidRDefault="00247CBF" w:rsidP="00247CBF">
            <w:pPr>
              <w:spacing w:after="0"/>
              <w:jc w:val="center"/>
              <w:rPr>
                <w:rFonts w:cs="Times New Roman"/>
                <w:sz w:val="20"/>
                <w:szCs w:val="20"/>
                <w:lang w:val="sr-Cyrl-CS"/>
              </w:rPr>
            </w:pPr>
            <w:r w:rsidRPr="00092ED7">
              <w:rPr>
                <w:rFonts w:eastAsia="Times New Roman" w:cs="Times New Roman"/>
                <w:b/>
                <w:bCs/>
                <w:sz w:val="20"/>
                <w:szCs w:val="20"/>
                <w:lang w:val="sr-Cyrl-CS"/>
              </w:rPr>
              <w:t>2. Нето позајмице општег нивоа државе (% БДП-а)</w:t>
            </w:r>
          </w:p>
        </w:tc>
      </w:tr>
      <w:tr w:rsidR="00247CBF" w:rsidRPr="00092ED7" w14:paraId="1A43902B" w14:textId="77777777" w:rsidTr="00247CBF">
        <w:trPr>
          <w:trHeight w:val="227"/>
        </w:trPr>
        <w:tc>
          <w:tcPr>
            <w:tcW w:w="1942" w:type="pct"/>
            <w:tcBorders>
              <w:top w:val="nil"/>
              <w:left w:val="double" w:sz="6" w:space="0" w:color="auto"/>
              <w:bottom w:val="dotted" w:sz="4" w:space="0" w:color="auto"/>
              <w:right w:val="single" w:sz="8" w:space="0" w:color="auto"/>
            </w:tcBorders>
            <w:shd w:val="clear" w:color="auto" w:fill="auto"/>
            <w:vAlign w:val="center"/>
            <w:hideMark/>
          </w:tcPr>
          <w:p w14:paraId="066547F4" w14:textId="77777777" w:rsidR="00247CBF" w:rsidRPr="00092ED7" w:rsidRDefault="00247CBF" w:rsidP="00247CBF">
            <w:pPr>
              <w:spacing w:after="0"/>
              <w:jc w:val="left"/>
              <w:rPr>
                <w:rFonts w:eastAsia="Times New Roman" w:cs="Times New Roman"/>
                <w:sz w:val="20"/>
                <w:szCs w:val="20"/>
                <w:lang w:val="sr-Cyrl-CS"/>
              </w:rPr>
            </w:pPr>
            <w:r w:rsidRPr="00092ED7">
              <w:rPr>
                <w:rFonts w:eastAsia="Times New Roman" w:cs="Times New Roman"/>
                <w:sz w:val="20"/>
                <w:szCs w:val="20"/>
                <w:lang w:val="sr-Cyrl-CS"/>
              </w:rPr>
              <w:t>Претходни</w:t>
            </w:r>
          </w:p>
        </w:tc>
        <w:tc>
          <w:tcPr>
            <w:tcW w:w="612" w:type="pct"/>
            <w:tcBorders>
              <w:top w:val="nil"/>
              <w:left w:val="nil"/>
              <w:bottom w:val="dotted" w:sz="4" w:space="0" w:color="auto"/>
              <w:right w:val="dotted" w:sz="4" w:space="0" w:color="auto"/>
            </w:tcBorders>
            <w:shd w:val="clear" w:color="auto" w:fill="auto"/>
            <w:vAlign w:val="center"/>
          </w:tcPr>
          <w:p w14:paraId="76861C00" w14:textId="77777777" w:rsidR="00247CBF" w:rsidRPr="00092ED7" w:rsidRDefault="00247CBF" w:rsidP="00247CBF">
            <w:pPr>
              <w:spacing w:after="0"/>
              <w:jc w:val="center"/>
              <w:rPr>
                <w:sz w:val="20"/>
                <w:szCs w:val="20"/>
                <w:lang w:val="sr-Cyrl-CS"/>
              </w:rPr>
            </w:pPr>
            <w:r w:rsidRPr="00092ED7">
              <w:rPr>
                <w:sz w:val="20"/>
                <w:szCs w:val="20"/>
                <w:lang w:val="sr-Cyrl-CS"/>
              </w:rPr>
              <w:t>-4,9</w:t>
            </w:r>
          </w:p>
        </w:tc>
        <w:tc>
          <w:tcPr>
            <w:tcW w:w="612" w:type="pct"/>
            <w:gridSpan w:val="2"/>
            <w:tcBorders>
              <w:top w:val="nil"/>
              <w:left w:val="nil"/>
              <w:bottom w:val="dotted" w:sz="4" w:space="0" w:color="auto"/>
              <w:right w:val="dotted" w:sz="4" w:space="0" w:color="auto"/>
            </w:tcBorders>
            <w:shd w:val="clear" w:color="auto" w:fill="auto"/>
            <w:vAlign w:val="center"/>
          </w:tcPr>
          <w:p w14:paraId="11ED2D54" w14:textId="77777777" w:rsidR="00247CBF" w:rsidRPr="00092ED7" w:rsidRDefault="00247CBF" w:rsidP="00247CBF">
            <w:pPr>
              <w:spacing w:after="0"/>
              <w:jc w:val="center"/>
              <w:rPr>
                <w:sz w:val="20"/>
                <w:szCs w:val="20"/>
                <w:lang w:val="sr-Cyrl-CS"/>
              </w:rPr>
            </w:pPr>
            <w:r w:rsidRPr="00092ED7">
              <w:rPr>
                <w:sz w:val="20"/>
                <w:szCs w:val="20"/>
                <w:lang w:val="sr-Cyrl-CS"/>
              </w:rPr>
              <w:t>-3,0</w:t>
            </w:r>
          </w:p>
        </w:tc>
        <w:tc>
          <w:tcPr>
            <w:tcW w:w="612" w:type="pct"/>
            <w:gridSpan w:val="2"/>
            <w:tcBorders>
              <w:top w:val="nil"/>
              <w:left w:val="nil"/>
              <w:bottom w:val="dotted" w:sz="4" w:space="0" w:color="auto"/>
              <w:right w:val="dotted" w:sz="4" w:space="0" w:color="auto"/>
            </w:tcBorders>
            <w:shd w:val="clear" w:color="auto" w:fill="auto"/>
            <w:vAlign w:val="center"/>
          </w:tcPr>
          <w:p w14:paraId="52F0B6C6" w14:textId="77777777" w:rsidR="00247CBF" w:rsidRPr="00092ED7" w:rsidRDefault="00247CBF" w:rsidP="00247CBF">
            <w:pPr>
              <w:spacing w:after="0"/>
              <w:jc w:val="center"/>
              <w:rPr>
                <w:sz w:val="20"/>
                <w:szCs w:val="20"/>
                <w:lang w:val="sr-Cyrl-CS"/>
              </w:rPr>
            </w:pPr>
            <w:r w:rsidRPr="00092ED7">
              <w:rPr>
                <w:sz w:val="20"/>
                <w:szCs w:val="20"/>
                <w:lang w:val="sr-Cyrl-CS"/>
              </w:rPr>
              <w:t>-1,5</w:t>
            </w:r>
          </w:p>
        </w:tc>
        <w:tc>
          <w:tcPr>
            <w:tcW w:w="612" w:type="pct"/>
            <w:gridSpan w:val="2"/>
            <w:tcBorders>
              <w:top w:val="nil"/>
              <w:left w:val="nil"/>
              <w:bottom w:val="dotted" w:sz="4" w:space="0" w:color="auto"/>
              <w:right w:val="dotted" w:sz="4" w:space="0" w:color="auto"/>
            </w:tcBorders>
            <w:shd w:val="clear" w:color="auto" w:fill="auto"/>
            <w:vAlign w:val="center"/>
          </w:tcPr>
          <w:p w14:paraId="77A099CD" w14:textId="77777777" w:rsidR="00247CBF" w:rsidRPr="00092ED7" w:rsidRDefault="00247CBF" w:rsidP="00247CBF">
            <w:pPr>
              <w:spacing w:after="0"/>
              <w:jc w:val="center"/>
              <w:rPr>
                <w:sz w:val="20"/>
                <w:szCs w:val="20"/>
                <w:lang w:val="sr-Cyrl-CS"/>
              </w:rPr>
            </w:pPr>
            <w:r w:rsidRPr="00092ED7">
              <w:rPr>
                <w:sz w:val="20"/>
                <w:szCs w:val="20"/>
                <w:lang w:val="sr-Cyrl-CS"/>
              </w:rPr>
              <w:t>-1,0</w:t>
            </w:r>
          </w:p>
        </w:tc>
        <w:tc>
          <w:tcPr>
            <w:tcW w:w="610" w:type="pct"/>
            <w:tcBorders>
              <w:top w:val="nil"/>
              <w:left w:val="nil"/>
              <w:bottom w:val="dotted" w:sz="4" w:space="0" w:color="auto"/>
              <w:right w:val="double" w:sz="6" w:space="0" w:color="auto"/>
            </w:tcBorders>
            <w:shd w:val="clear" w:color="auto" w:fill="auto"/>
            <w:vAlign w:val="center"/>
          </w:tcPr>
          <w:p w14:paraId="67393F70" w14:textId="77777777" w:rsidR="00247CBF" w:rsidRPr="00092ED7" w:rsidRDefault="00247CBF" w:rsidP="00247CBF">
            <w:pPr>
              <w:spacing w:after="0"/>
              <w:jc w:val="center"/>
              <w:rPr>
                <w:sz w:val="20"/>
                <w:szCs w:val="20"/>
                <w:lang w:val="sr-Cyrl-CS"/>
              </w:rPr>
            </w:pPr>
            <w:r w:rsidRPr="00092ED7">
              <w:rPr>
                <w:sz w:val="20"/>
                <w:szCs w:val="20"/>
                <w:lang w:val="sr-Cyrl-CS"/>
              </w:rPr>
              <w:t>:</w:t>
            </w:r>
          </w:p>
        </w:tc>
      </w:tr>
      <w:tr w:rsidR="00247CBF" w:rsidRPr="00092ED7" w14:paraId="5CE0B5A2" w14:textId="77777777" w:rsidTr="00247CBF">
        <w:trPr>
          <w:trHeight w:val="227"/>
        </w:trPr>
        <w:tc>
          <w:tcPr>
            <w:tcW w:w="1942" w:type="pct"/>
            <w:tcBorders>
              <w:top w:val="nil"/>
              <w:left w:val="double" w:sz="6" w:space="0" w:color="auto"/>
              <w:bottom w:val="dotted" w:sz="4" w:space="0" w:color="auto"/>
              <w:right w:val="single" w:sz="8" w:space="0" w:color="auto"/>
            </w:tcBorders>
            <w:shd w:val="clear" w:color="auto" w:fill="auto"/>
            <w:vAlign w:val="center"/>
            <w:hideMark/>
          </w:tcPr>
          <w:p w14:paraId="2CFE8B5A" w14:textId="77777777" w:rsidR="00247CBF" w:rsidRPr="00092ED7" w:rsidRDefault="00247CBF" w:rsidP="00247CBF">
            <w:pPr>
              <w:spacing w:after="0"/>
              <w:jc w:val="left"/>
              <w:rPr>
                <w:rFonts w:eastAsia="Times New Roman" w:cs="Times New Roman"/>
                <w:sz w:val="20"/>
                <w:szCs w:val="20"/>
                <w:lang w:val="sr-Cyrl-CS"/>
              </w:rPr>
            </w:pPr>
            <w:r w:rsidRPr="00092ED7">
              <w:rPr>
                <w:rFonts w:eastAsia="Times New Roman" w:cs="Times New Roman"/>
                <w:sz w:val="20"/>
                <w:szCs w:val="20"/>
                <w:lang w:val="sr-Cyrl-CS"/>
              </w:rPr>
              <w:t>Садашњи</w:t>
            </w:r>
          </w:p>
        </w:tc>
        <w:tc>
          <w:tcPr>
            <w:tcW w:w="612" w:type="pct"/>
            <w:tcBorders>
              <w:top w:val="nil"/>
              <w:left w:val="nil"/>
              <w:bottom w:val="dotted" w:sz="4" w:space="0" w:color="auto"/>
              <w:right w:val="dotted" w:sz="4" w:space="0" w:color="auto"/>
            </w:tcBorders>
            <w:shd w:val="clear" w:color="auto" w:fill="auto"/>
            <w:vAlign w:val="center"/>
          </w:tcPr>
          <w:p w14:paraId="3C34CB58" w14:textId="77777777" w:rsidR="00247CBF" w:rsidRPr="00092ED7" w:rsidRDefault="00247CBF" w:rsidP="00247CBF">
            <w:pPr>
              <w:spacing w:after="0"/>
              <w:jc w:val="center"/>
              <w:rPr>
                <w:sz w:val="20"/>
                <w:szCs w:val="20"/>
                <w:lang w:val="sr-Cyrl-CS"/>
              </w:rPr>
            </w:pPr>
            <w:r w:rsidRPr="00092ED7">
              <w:rPr>
                <w:sz w:val="20"/>
                <w:szCs w:val="20"/>
                <w:lang w:val="sr-Cyrl-CS"/>
              </w:rPr>
              <w:t>-4,1</w:t>
            </w:r>
          </w:p>
        </w:tc>
        <w:tc>
          <w:tcPr>
            <w:tcW w:w="612" w:type="pct"/>
            <w:gridSpan w:val="2"/>
            <w:tcBorders>
              <w:top w:val="nil"/>
              <w:left w:val="nil"/>
              <w:bottom w:val="dotted" w:sz="4" w:space="0" w:color="auto"/>
              <w:right w:val="dotted" w:sz="4" w:space="0" w:color="auto"/>
            </w:tcBorders>
            <w:shd w:val="clear" w:color="auto" w:fill="auto"/>
            <w:vAlign w:val="center"/>
          </w:tcPr>
          <w:p w14:paraId="5069CC07" w14:textId="77777777" w:rsidR="00247CBF" w:rsidRPr="00092ED7" w:rsidRDefault="00247CBF" w:rsidP="00247CBF">
            <w:pPr>
              <w:spacing w:after="0"/>
              <w:jc w:val="center"/>
              <w:rPr>
                <w:sz w:val="20"/>
                <w:szCs w:val="20"/>
                <w:lang w:val="sr-Cyrl-CS"/>
              </w:rPr>
            </w:pPr>
            <w:r w:rsidRPr="00092ED7">
              <w:rPr>
                <w:sz w:val="20"/>
                <w:szCs w:val="20"/>
                <w:lang w:val="sr-Cyrl-CS"/>
              </w:rPr>
              <w:t>-3,8</w:t>
            </w:r>
          </w:p>
        </w:tc>
        <w:tc>
          <w:tcPr>
            <w:tcW w:w="612" w:type="pct"/>
            <w:gridSpan w:val="2"/>
            <w:tcBorders>
              <w:top w:val="nil"/>
              <w:left w:val="nil"/>
              <w:bottom w:val="dotted" w:sz="4" w:space="0" w:color="auto"/>
              <w:right w:val="dotted" w:sz="4" w:space="0" w:color="auto"/>
            </w:tcBorders>
            <w:shd w:val="clear" w:color="auto" w:fill="auto"/>
            <w:vAlign w:val="center"/>
          </w:tcPr>
          <w:p w14:paraId="05C51950" w14:textId="77777777" w:rsidR="00247CBF" w:rsidRPr="00092ED7" w:rsidRDefault="00247CBF" w:rsidP="00247CBF">
            <w:pPr>
              <w:spacing w:after="0"/>
              <w:jc w:val="center"/>
              <w:rPr>
                <w:sz w:val="20"/>
                <w:szCs w:val="20"/>
                <w:lang w:val="sr-Cyrl-CS"/>
              </w:rPr>
            </w:pPr>
            <w:r w:rsidRPr="00092ED7">
              <w:rPr>
                <w:sz w:val="20"/>
                <w:szCs w:val="20"/>
                <w:lang w:val="sr-Cyrl-CS"/>
              </w:rPr>
              <w:t>-3,3</w:t>
            </w:r>
          </w:p>
        </w:tc>
        <w:tc>
          <w:tcPr>
            <w:tcW w:w="612" w:type="pct"/>
            <w:gridSpan w:val="2"/>
            <w:tcBorders>
              <w:top w:val="nil"/>
              <w:left w:val="nil"/>
              <w:bottom w:val="dotted" w:sz="4" w:space="0" w:color="auto"/>
              <w:right w:val="dotted" w:sz="4" w:space="0" w:color="auto"/>
            </w:tcBorders>
            <w:shd w:val="clear" w:color="auto" w:fill="auto"/>
            <w:vAlign w:val="center"/>
          </w:tcPr>
          <w:p w14:paraId="7568D3B2" w14:textId="77777777" w:rsidR="00247CBF" w:rsidRPr="00092ED7" w:rsidRDefault="00247CBF" w:rsidP="00247CBF">
            <w:pPr>
              <w:spacing w:after="0"/>
              <w:jc w:val="center"/>
              <w:rPr>
                <w:sz w:val="20"/>
                <w:szCs w:val="20"/>
                <w:lang w:val="sr-Cyrl-CS"/>
              </w:rPr>
            </w:pPr>
            <w:r w:rsidRPr="00092ED7">
              <w:rPr>
                <w:sz w:val="20"/>
                <w:szCs w:val="20"/>
                <w:lang w:val="sr-Cyrl-CS"/>
              </w:rPr>
              <w:t>-2,2</w:t>
            </w:r>
          </w:p>
        </w:tc>
        <w:tc>
          <w:tcPr>
            <w:tcW w:w="610" w:type="pct"/>
            <w:tcBorders>
              <w:top w:val="nil"/>
              <w:left w:val="nil"/>
              <w:bottom w:val="dotted" w:sz="4" w:space="0" w:color="auto"/>
              <w:right w:val="double" w:sz="6" w:space="0" w:color="auto"/>
            </w:tcBorders>
            <w:shd w:val="clear" w:color="auto" w:fill="auto"/>
            <w:vAlign w:val="center"/>
          </w:tcPr>
          <w:p w14:paraId="518E585C" w14:textId="77777777" w:rsidR="00247CBF" w:rsidRPr="00092ED7" w:rsidRDefault="00247CBF" w:rsidP="00247CBF">
            <w:pPr>
              <w:spacing w:after="0"/>
              <w:jc w:val="center"/>
              <w:rPr>
                <w:sz w:val="20"/>
                <w:szCs w:val="20"/>
                <w:lang w:val="sr-Cyrl-CS"/>
              </w:rPr>
            </w:pPr>
            <w:r w:rsidRPr="00092ED7">
              <w:rPr>
                <w:sz w:val="20"/>
                <w:szCs w:val="20"/>
                <w:lang w:val="sr-Cyrl-CS"/>
              </w:rPr>
              <w:t>-1,4</w:t>
            </w:r>
          </w:p>
        </w:tc>
      </w:tr>
      <w:tr w:rsidR="00247CBF" w:rsidRPr="00092ED7" w14:paraId="5A545BD5" w14:textId="77777777" w:rsidTr="00247CBF">
        <w:trPr>
          <w:trHeight w:val="227"/>
        </w:trPr>
        <w:tc>
          <w:tcPr>
            <w:tcW w:w="1942" w:type="pct"/>
            <w:tcBorders>
              <w:top w:val="nil"/>
              <w:left w:val="double" w:sz="6" w:space="0" w:color="auto"/>
              <w:bottom w:val="single" w:sz="8" w:space="0" w:color="auto"/>
              <w:right w:val="single" w:sz="8" w:space="0" w:color="auto"/>
            </w:tcBorders>
            <w:shd w:val="clear" w:color="auto" w:fill="auto"/>
            <w:vAlign w:val="center"/>
            <w:hideMark/>
          </w:tcPr>
          <w:p w14:paraId="33A4FD7D" w14:textId="77777777" w:rsidR="00247CBF" w:rsidRPr="00092ED7" w:rsidRDefault="00247CBF" w:rsidP="00247CBF">
            <w:pPr>
              <w:spacing w:after="0"/>
              <w:jc w:val="left"/>
              <w:rPr>
                <w:rFonts w:eastAsia="Times New Roman" w:cs="Times New Roman"/>
                <w:sz w:val="20"/>
                <w:szCs w:val="20"/>
                <w:lang w:val="sr-Cyrl-CS"/>
              </w:rPr>
            </w:pPr>
            <w:r w:rsidRPr="00092ED7">
              <w:rPr>
                <w:rFonts w:eastAsia="Times New Roman" w:cs="Times New Roman"/>
                <w:sz w:val="20"/>
                <w:szCs w:val="20"/>
                <w:lang w:val="sr-Cyrl-CS"/>
              </w:rPr>
              <w:t>Разлика</w:t>
            </w:r>
          </w:p>
        </w:tc>
        <w:tc>
          <w:tcPr>
            <w:tcW w:w="612" w:type="pct"/>
            <w:tcBorders>
              <w:top w:val="nil"/>
              <w:left w:val="nil"/>
              <w:bottom w:val="single" w:sz="8" w:space="0" w:color="auto"/>
              <w:right w:val="dotted" w:sz="4" w:space="0" w:color="auto"/>
            </w:tcBorders>
            <w:shd w:val="clear" w:color="auto" w:fill="auto"/>
            <w:vAlign w:val="center"/>
          </w:tcPr>
          <w:p w14:paraId="5B9D84FE" w14:textId="77777777" w:rsidR="00247CBF" w:rsidRPr="00092ED7" w:rsidRDefault="00247CBF" w:rsidP="00247CBF">
            <w:pPr>
              <w:spacing w:after="0"/>
              <w:jc w:val="center"/>
              <w:rPr>
                <w:sz w:val="20"/>
                <w:szCs w:val="20"/>
                <w:lang w:val="sr-Cyrl-CS"/>
              </w:rPr>
            </w:pPr>
            <w:r w:rsidRPr="00092ED7">
              <w:rPr>
                <w:sz w:val="20"/>
                <w:szCs w:val="20"/>
                <w:lang w:val="sr-Cyrl-CS"/>
              </w:rPr>
              <w:t>0,8</w:t>
            </w:r>
          </w:p>
        </w:tc>
        <w:tc>
          <w:tcPr>
            <w:tcW w:w="612" w:type="pct"/>
            <w:gridSpan w:val="2"/>
            <w:tcBorders>
              <w:top w:val="nil"/>
              <w:left w:val="nil"/>
              <w:bottom w:val="single" w:sz="8" w:space="0" w:color="auto"/>
              <w:right w:val="dotted" w:sz="4" w:space="0" w:color="auto"/>
            </w:tcBorders>
            <w:shd w:val="clear" w:color="auto" w:fill="auto"/>
            <w:vAlign w:val="center"/>
          </w:tcPr>
          <w:p w14:paraId="4503E348" w14:textId="77777777" w:rsidR="00247CBF" w:rsidRPr="00092ED7" w:rsidRDefault="00247CBF" w:rsidP="00247CBF">
            <w:pPr>
              <w:spacing w:after="0"/>
              <w:jc w:val="center"/>
              <w:rPr>
                <w:sz w:val="20"/>
                <w:szCs w:val="20"/>
                <w:lang w:val="sr-Cyrl-CS"/>
              </w:rPr>
            </w:pPr>
            <w:r w:rsidRPr="00092ED7">
              <w:rPr>
                <w:sz w:val="20"/>
                <w:szCs w:val="20"/>
                <w:lang w:val="sr-Cyrl-CS"/>
              </w:rPr>
              <w:t>-0,8</w:t>
            </w:r>
          </w:p>
        </w:tc>
        <w:tc>
          <w:tcPr>
            <w:tcW w:w="612" w:type="pct"/>
            <w:gridSpan w:val="2"/>
            <w:tcBorders>
              <w:top w:val="nil"/>
              <w:left w:val="nil"/>
              <w:bottom w:val="single" w:sz="8" w:space="0" w:color="auto"/>
              <w:right w:val="dotted" w:sz="4" w:space="0" w:color="auto"/>
            </w:tcBorders>
            <w:shd w:val="clear" w:color="auto" w:fill="auto"/>
            <w:vAlign w:val="center"/>
          </w:tcPr>
          <w:p w14:paraId="41332749" w14:textId="77777777" w:rsidR="00247CBF" w:rsidRPr="00092ED7" w:rsidRDefault="00247CBF" w:rsidP="00247CBF">
            <w:pPr>
              <w:spacing w:after="0"/>
              <w:jc w:val="center"/>
              <w:rPr>
                <w:sz w:val="20"/>
                <w:szCs w:val="20"/>
                <w:lang w:val="sr-Cyrl-CS"/>
              </w:rPr>
            </w:pPr>
            <w:r w:rsidRPr="00092ED7">
              <w:rPr>
                <w:sz w:val="20"/>
                <w:szCs w:val="20"/>
                <w:lang w:val="sr-Cyrl-CS"/>
              </w:rPr>
              <w:t>-1,8</w:t>
            </w:r>
          </w:p>
        </w:tc>
        <w:tc>
          <w:tcPr>
            <w:tcW w:w="612" w:type="pct"/>
            <w:gridSpan w:val="2"/>
            <w:tcBorders>
              <w:top w:val="nil"/>
              <w:left w:val="nil"/>
              <w:bottom w:val="single" w:sz="8" w:space="0" w:color="auto"/>
              <w:right w:val="dotted" w:sz="4" w:space="0" w:color="auto"/>
            </w:tcBorders>
            <w:shd w:val="clear" w:color="auto" w:fill="auto"/>
            <w:vAlign w:val="center"/>
          </w:tcPr>
          <w:p w14:paraId="6276E519" w14:textId="77777777" w:rsidR="00247CBF" w:rsidRPr="00092ED7" w:rsidRDefault="00247CBF" w:rsidP="00247CBF">
            <w:pPr>
              <w:spacing w:after="0"/>
              <w:jc w:val="center"/>
              <w:rPr>
                <w:sz w:val="20"/>
                <w:szCs w:val="20"/>
                <w:lang w:val="sr-Cyrl-CS"/>
              </w:rPr>
            </w:pPr>
            <w:r w:rsidRPr="00092ED7">
              <w:rPr>
                <w:sz w:val="20"/>
                <w:szCs w:val="20"/>
                <w:lang w:val="sr-Cyrl-CS"/>
              </w:rPr>
              <w:t>-1,2</w:t>
            </w:r>
          </w:p>
        </w:tc>
        <w:tc>
          <w:tcPr>
            <w:tcW w:w="610" w:type="pct"/>
            <w:tcBorders>
              <w:top w:val="nil"/>
              <w:left w:val="nil"/>
              <w:bottom w:val="single" w:sz="8" w:space="0" w:color="auto"/>
              <w:right w:val="double" w:sz="6" w:space="0" w:color="auto"/>
            </w:tcBorders>
            <w:shd w:val="clear" w:color="auto" w:fill="auto"/>
            <w:vAlign w:val="center"/>
          </w:tcPr>
          <w:p w14:paraId="063FD829" w14:textId="77777777" w:rsidR="00247CBF" w:rsidRPr="00092ED7" w:rsidRDefault="00247CBF" w:rsidP="00247CBF">
            <w:pPr>
              <w:spacing w:after="0"/>
              <w:jc w:val="center"/>
              <w:rPr>
                <w:sz w:val="20"/>
                <w:szCs w:val="20"/>
                <w:lang w:val="sr-Cyrl-CS"/>
              </w:rPr>
            </w:pPr>
            <w:r w:rsidRPr="00092ED7">
              <w:rPr>
                <w:sz w:val="20"/>
                <w:szCs w:val="20"/>
                <w:lang w:val="sr-Cyrl-CS"/>
              </w:rPr>
              <w:t>:</w:t>
            </w:r>
          </w:p>
        </w:tc>
      </w:tr>
      <w:tr w:rsidR="00247CBF" w:rsidRPr="00092ED7" w14:paraId="3B5413BC" w14:textId="77777777" w:rsidTr="00247CBF">
        <w:trPr>
          <w:trHeight w:val="227"/>
        </w:trPr>
        <w:tc>
          <w:tcPr>
            <w:tcW w:w="5000" w:type="pct"/>
            <w:gridSpan w:val="9"/>
            <w:tcBorders>
              <w:top w:val="single" w:sz="8" w:space="0" w:color="auto"/>
              <w:left w:val="double" w:sz="6" w:space="0" w:color="auto"/>
              <w:bottom w:val="single" w:sz="4" w:space="0" w:color="auto"/>
              <w:right w:val="double" w:sz="6" w:space="0" w:color="000000"/>
            </w:tcBorders>
            <w:shd w:val="clear" w:color="auto" w:fill="auto"/>
            <w:vAlign w:val="center"/>
            <w:hideMark/>
          </w:tcPr>
          <w:p w14:paraId="7153EA65" w14:textId="77777777" w:rsidR="00247CBF" w:rsidRPr="00092ED7" w:rsidRDefault="00247CBF" w:rsidP="00247CBF">
            <w:pPr>
              <w:spacing w:after="0"/>
              <w:jc w:val="center"/>
              <w:rPr>
                <w:rFonts w:eastAsia="Times New Roman" w:cs="Times New Roman"/>
                <w:b/>
                <w:sz w:val="20"/>
                <w:szCs w:val="20"/>
                <w:lang w:val="sr-Cyrl-CS"/>
              </w:rPr>
            </w:pPr>
            <w:r w:rsidRPr="00092ED7">
              <w:rPr>
                <w:rFonts w:eastAsia="Times New Roman" w:cs="Times New Roman"/>
                <w:b/>
                <w:sz w:val="20"/>
                <w:szCs w:val="20"/>
                <w:lang w:val="sr-Cyrl-CS"/>
              </w:rPr>
              <w:t>3. Бруто дуг општег нивоа државе (% БДП-а)</w:t>
            </w:r>
          </w:p>
        </w:tc>
      </w:tr>
      <w:tr w:rsidR="00247CBF" w:rsidRPr="00092ED7" w14:paraId="1FDDB01D" w14:textId="77777777" w:rsidTr="00247CBF">
        <w:trPr>
          <w:trHeight w:val="227"/>
        </w:trPr>
        <w:tc>
          <w:tcPr>
            <w:tcW w:w="1942" w:type="pct"/>
            <w:tcBorders>
              <w:top w:val="nil"/>
              <w:left w:val="double" w:sz="6" w:space="0" w:color="auto"/>
              <w:bottom w:val="dotted" w:sz="4" w:space="0" w:color="auto"/>
              <w:right w:val="single" w:sz="8" w:space="0" w:color="auto"/>
            </w:tcBorders>
            <w:shd w:val="clear" w:color="auto" w:fill="auto"/>
            <w:vAlign w:val="center"/>
            <w:hideMark/>
          </w:tcPr>
          <w:p w14:paraId="2385F4A1" w14:textId="77777777" w:rsidR="00247CBF" w:rsidRPr="00092ED7" w:rsidRDefault="00247CBF" w:rsidP="00247CBF">
            <w:pPr>
              <w:spacing w:after="0"/>
              <w:jc w:val="left"/>
              <w:rPr>
                <w:rFonts w:eastAsia="Times New Roman" w:cs="Times New Roman"/>
                <w:sz w:val="20"/>
                <w:szCs w:val="20"/>
                <w:lang w:val="sr-Cyrl-CS"/>
              </w:rPr>
            </w:pPr>
            <w:r w:rsidRPr="00092ED7">
              <w:rPr>
                <w:rFonts w:eastAsia="Times New Roman" w:cs="Times New Roman"/>
                <w:sz w:val="20"/>
                <w:szCs w:val="20"/>
                <w:lang w:val="sr-Cyrl-CS"/>
              </w:rPr>
              <w:t>Претходни</w:t>
            </w:r>
          </w:p>
        </w:tc>
        <w:tc>
          <w:tcPr>
            <w:tcW w:w="612" w:type="pct"/>
            <w:tcBorders>
              <w:top w:val="nil"/>
              <w:left w:val="nil"/>
              <w:bottom w:val="dotted" w:sz="4" w:space="0" w:color="auto"/>
              <w:right w:val="dotted" w:sz="4" w:space="0" w:color="auto"/>
            </w:tcBorders>
            <w:shd w:val="clear" w:color="auto" w:fill="auto"/>
            <w:vAlign w:val="center"/>
          </w:tcPr>
          <w:p w14:paraId="65069C74" w14:textId="77777777" w:rsidR="00247CBF" w:rsidRPr="00092ED7" w:rsidRDefault="00247CBF" w:rsidP="00247CBF">
            <w:pPr>
              <w:spacing w:after="0"/>
              <w:jc w:val="center"/>
              <w:rPr>
                <w:sz w:val="20"/>
                <w:szCs w:val="20"/>
                <w:lang w:val="sr-Cyrl-CS"/>
              </w:rPr>
            </w:pPr>
            <w:r w:rsidRPr="00092ED7">
              <w:rPr>
                <w:sz w:val="20"/>
                <w:szCs w:val="20"/>
                <w:lang w:val="sr-Cyrl-CS"/>
              </w:rPr>
              <w:t>58,2</w:t>
            </w:r>
          </w:p>
        </w:tc>
        <w:tc>
          <w:tcPr>
            <w:tcW w:w="612" w:type="pct"/>
            <w:gridSpan w:val="2"/>
            <w:tcBorders>
              <w:top w:val="nil"/>
              <w:left w:val="nil"/>
              <w:bottom w:val="dotted" w:sz="4" w:space="0" w:color="auto"/>
              <w:right w:val="dotted" w:sz="4" w:space="0" w:color="auto"/>
            </w:tcBorders>
            <w:shd w:val="clear" w:color="auto" w:fill="auto"/>
            <w:vAlign w:val="center"/>
          </w:tcPr>
          <w:p w14:paraId="49ACF16C" w14:textId="77777777" w:rsidR="00247CBF" w:rsidRPr="00092ED7" w:rsidRDefault="00247CBF" w:rsidP="00247CBF">
            <w:pPr>
              <w:spacing w:after="0"/>
              <w:jc w:val="center"/>
              <w:rPr>
                <w:sz w:val="20"/>
                <w:szCs w:val="20"/>
                <w:lang w:val="sr-Cyrl-CS"/>
              </w:rPr>
            </w:pPr>
            <w:r w:rsidRPr="00092ED7">
              <w:rPr>
                <w:sz w:val="20"/>
                <w:szCs w:val="20"/>
                <w:lang w:val="sr-Cyrl-CS"/>
              </w:rPr>
              <w:t>56,5</w:t>
            </w:r>
          </w:p>
        </w:tc>
        <w:tc>
          <w:tcPr>
            <w:tcW w:w="612" w:type="pct"/>
            <w:gridSpan w:val="2"/>
            <w:tcBorders>
              <w:top w:val="nil"/>
              <w:left w:val="nil"/>
              <w:bottom w:val="dotted" w:sz="4" w:space="0" w:color="auto"/>
              <w:right w:val="dotted" w:sz="4" w:space="0" w:color="auto"/>
            </w:tcBorders>
            <w:shd w:val="clear" w:color="auto" w:fill="auto"/>
            <w:vAlign w:val="center"/>
          </w:tcPr>
          <w:p w14:paraId="0AB68990" w14:textId="77777777" w:rsidR="00247CBF" w:rsidRPr="00092ED7" w:rsidRDefault="00247CBF" w:rsidP="00247CBF">
            <w:pPr>
              <w:spacing w:after="0"/>
              <w:jc w:val="center"/>
              <w:rPr>
                <w:sz w:val="20"/>
                <w:szCs w:val="20"/>
                <w:lang w:val="sr-Cyrl-CS"/>
              </w:rPr>
            </w:pPr>
            <w:r w:rsidRPr="00092ED7">
              <w:rPr>
                <w:sz w:val="20"/>
                <w:szCs w:val="20"/>
                <w:lang w:val="sr-Cyrl-CS"/>
              </w:rPr>
              <w:t>55,3</w:t>
            </w:r>
          </w:p>
        </w:tc>
        <w:tc>
          <w:tcPr>
            <w:tcW w:w="612" w:type="pct"/>
            <w:gridSpan w:val="2"/>
            <w:tcBorders>
              <w:top w:val="nil"/>
              <w:left w:val="nil"/>
              <w:bottom w:val="dotted" w:sz="4" w:space="0" w:color="auto"/>
              <w:right w:val="dotted" w:sz="4" w:space="0" w:color="auto"/>
            </w:tcBorders>
            <w:shd w:val="clear" w:color="auto" w:fill="auto"/>
            <w:vAlign w:val="center"/>
          </w:tcPr>
          <w:p w14:paraId="17C81E2D" w14:textId="77777777" w:rsidR="00247CBF" w:rsidRPr="00092ED7" w:rsidRDefault="00247CBF" w:rsidP="00247CBF">
            <w:pPr>
              <w:spacing w:after="0"/>
              <w:jc w:val="center"/>
              <w:rPr>
                <w:sz w:val="20"/>
                <w:szCs w:val="20"/>
                <w:lang w:val="sr-Cyrl-CS"/>
              </w:rPr>
            </w:pPr>
            <w:r w:rsidRPr="00092ED7">
              <w:rPr>
                <w:sz w:val="20"/>
                <w:szCs w:val="20"/>
                <w:lang w:val="sr-Cyrl-CS"/>
              </w:rPr>
              <w:t>53,8</w:t>
            </w:r>
          </w:p>
        </w:tc>
        <w:tc>
          <w:tcPr>
            <w:tcW w:w="610" w:type="pct"/>
            <w:tcBorders>
              <w:top w:val="nil"/>
              <w:left w:val="nil"/>
              <w:bottom w:val="dotted" w:sz="4" w:space="0" w:color="auto"/>
              <w:right w:val="double" w:sz="6" w:space="0" w:color="auto"/>
            </w:tcBorders>
            <w:shd w:val="clear" w:color="auto" w:fill="auto"/>
            <w:vAlign w:val="center"/>
          </w:tcPr>
          <w:p w14:paraId="733A550C" w14:textId="77777777" w:rsidR="00247CBF" w:rsidRPr="00092ED7" w:rsidRDefault="00247CBF" w:rsidP="00247CBF">
            <w:pPr>
              <w:spacing w:after="0"/>
              <w:jc w:val="center"/>
              <w:rPr>
                <w:sz w:val="20"/>
                <w:szCs w:val="20"/>
                <w:lang w:val="sr-Cyrl-CS"/>
              </w:rPr>
            </w:pPr>
            <w:r w:rsidRPr="00092ED7">
              <w:rPr>
                <w:sz w:val="20"/>
                <w:szCs w:val="20"/>
                <w:lang w:val="sr-Cyrl-CS"/>
              </w:rPr>
              <w:t>:</w:t>
            </w:r>
          </w:p>
        </w:tc>
      </w:tr>
      <w:tr w:rsidR="00247CBF" w:rsidRPr="00092ED7" w14:paraId="2E24E1F6" w14:textId="77777777" w:rsidTr="00247CBF">
        <w:trPr>
          <w:trHeight w:val="227"/>
        </w:trPr>
        <w:tc>
          <w:tcPr>
            <w:tcW w:w="1942" w:type="pct"/>
            <w:tcBorders>
              <w:top w:val="nil"/>
              <w:left w:val="double" w:sz="6" w:space="0" w:color="auto"/>
              <w:bottom w:val="dotted" w:sz="4" w:space="0" w:color="auto"/>
              <w:right w:val="single" w:sz="8" w:space="0" w:color="auto"/>
            </w:tcBorders>
            <w:shd w:val="clear" w:color="auto" w:fill="auto"/>
            <w:vAlign w:val="center"/>
            <w:hideMark/>
          </w:tcPr>
          <w:p w14:paraId="16B9FAAA" w14:textId="77777777" w:rsidR="00247CBF" w:rsidRPr="00092ED7" w:rsidRDefault="00247CBF" w:rsidP="00247CBF">
            <w:pPr>
              <w:spacing w:after="0"/>
              <w:jc w:val="left"/>
              <w:rPr>
                <w:rFonts w:eastAsia="Times New Roman" w:cs="Times New Roman"/>
                <w:sz w:val="20"/>
                <w:szCs w:val="20"/>
                <w:lang w:val="sr-Cyrl-CS"/>
              </w:rPr>
            </w:pPr>
            <w:r w:rsidRPr="00092ED7">
              <w:rPr>
                <w:rFonts w:eastAsia="Times New Roman" w:cs="Times New Roman"/>
                <w:sz w:val="20"/>
                <w:szCs w:val="20"/>
                <w:lang w:val="sr-Cyrl-CS"/>
              </w:rPr>
              <w:t>Садашњи</w:t>
            </w:r>
          </w:p>
        </w:tc>
        <w:tc>
          <w:tcPr>
            <w:tcW w:w="612" w:type="pct"/>
            <w:tcBorders>
              <w:top w:val="nil"/>
              <w:left w:val="nil"/>
              <w:bottom w:val="dotted" w:sz="4" w:space="0" w:color="auto"/>
              <w:right w:val="dotted" w:sz="4" w:space="0" w:color="auto"/>
            </w:tcBorders>
            <w:shd w:val="clear" w:color="auto" w:fill="auto"/>
            <w:vAlign w:val="center"/>
          </w:tcPr>
          <w:p w14:paraId="77D21316" w14:textId="77777777" w:rsidR="00247CBF" w:rsidRPr="00092ED7" w:rsidRDefault="00247CBF" w:rsidP="00247CBF">
            <w:pPr>
              <w:spacing w:after="0"/>
              <w:jc w:val="center"/>
              <w:rPr>
                <w:sz w:val="20"/>
                <w:szCs w:val="20"/>
                <w:lang w:val="sr-Cyrl-CS"/>
              </w:rPr>
            </w:pPr>
            <w:r w:rsidRPr="00092ED7">
              <w:rPr>
                <w:sz w:val="20"/>
                <w:szCs w:val="20"/>
                <w:lang w:val="sr-Cyrl-CS"/>
              </w:rPr>
              <w:t>57,1</w:t>
            </w:r>
          </w:p>
        </w:tc>
        <w:tc>
          <w:tcPr>
            <w:tcW w:w="612" w:type="pct"/>
            <w:gridSpan w:val="2"/>
            <w:tcBorders>
              <w:top w:val="nil"/>
              <w:left w:val="nil"/>
              <w:bottom w:val="dotted" w:sz="4" w:space="0" w:color="auto"/>
              <w:right w:val="dotted" w:sz="4" w:space="0" w:color="auto"/>
            </w:tcBorders>
            <w:shd w:val="clear" w:color="auto" w:fill="auto"/>
            <w:vAlign w:val="center"/>
          </w:tcPr>
          <w:p w14:paraId="51333032" w14:textId="77777777" w:rsidR="00247CBF" w:rsidRPr="00092ED7" w:rsidRDefault="00247CBF" w:rsidP="00247CBF">
            <w:pPr>
              <w:spacing w:after="0"/>
              <w:jc w:val="center"/>
              <w:rPr>
                <w:sz w:val="20"/>
                <w:szCs w:val="20"/>
                <w:lang w:val="sr-Cyrl-CS"/>
              </w:rPr>
            </w:pPr>
            <w:r w:rsidRPr="00092ED7">
              <w:rPr>
                <w:sz w:val="20"/>
                <w:szCs w:val="20"/>
                <w:lang w:val="sr-Cyrl-CS"/>
              </w:rPr>
              <w:t>56,9</w:t>
            </w:r>
          </w:p>
        </w:tc>
        <w:tc>
          <w:tcPr>
            <w:tcW w:w="612" w:type="pct"/>
            <w:gridSpan w:val="2"/>
            <w:tcBorders>
              <w:top w:val="nil"/>
              <w:left w:val="nil"/>
              <w:bottom w:val="dotted" w:sz="4" w:space="0" w:color="auto"/>
              <w:right w:val="dotted" w:sz="4" w:space="0" w:color="auto"/>
            </w:tcBorders>
            <w:shd w:val="clear" w:color="auto" w:fill="auto"/>
            <w:vAlign w:val="center"/>
          </w:tcPr>
          <w:p w14:paraId="33CCDC16" w14:textId="77777777" w:rsidR="00247CBF" w:rsidRPr="00092ED7" w:rsidRDefault="00247CBF" w:rsidP="00247CBF">
            <w:pPr>
              <w:spacing w:after="0"/>
              <w:jc w:val="center"/>
              <w:rPr>
                <w:sz w:val="20"/>
                <w:szCs w:val="20"/>
                <w:lang w:val="sr-Cyrl-CS"/>
              </w:rPr>
            </w:pPr>
            <w:r w:rsidRPr="00092ED7">
              <w:rPr>
                <w:sz w:val="20"/>
                <w:szCs w:val="20"/>
                <w:lang w:val="sr-Cyrl-CS"/>
              </w:rPr>
              <w:t>56,1</w:t>
            </w:r>
          </w:p>
        </w:tc>
        <w:tc>
          <w:tcPr>
            <w:tcW w:w="612" w:type="pct"/>
            <w:gridSpan w:val="2"/>
            <w:tcBorders>
              <w:top w:val="nil"/>
              <w:left w:val="nil"/>
              <w:bottom w:val="dotted" w:sz="4" w:space="0" w:color="auto"/>
              <w:right w:val="dotted" w:sz="4" w:space="0" w:color="auto"/>
            </w:tcBorders>
            <w:shd w:val="clear" w:color="auto" w:fill="auto"/>
            <w:vAlign w:val="center"/>
          </w:tcPr>
          <w:p w14:paraId="5523FD60" w14:textId="77777777" w:rsidR="00247CBF" w:rsidRPr="00092ED7" w:rsidRDefault="00247CBF" w:rsidP="00247CBF">
            <w:pPr>
              <w:spacing w:after="0"/>
              <w:jc w:val="center"/>
              <w:rPr>
                <w:sz w:val="20"/>
                <w:szCs w:val="20"/>
                <w:lang w:val="sr-Cyrl-CS"/>
              </w:rPr>
            </w:pPr>
            <w:r w:rsidRPr="00092ED7">
              <w:rPr>
                <w:sz w:val="20"/>
                <w:szCs w:val="20"/>
                <w:lang w:val="sr-Cyrl-CS"/>
              </w:rPr>
              <w:t>55,1</w:t>
            </w:r>
          </w:p>
        </w:tc>
        <w:tc>
          <w:tcPr>
            <w:tcW w:w="610" w:type="pct"/>
            <w:tcBorders>
              <w:top w:val="nil"/>
              <w:left w:val="nil"/>
              <w:bottom w:val="dotted" w:sz="4" w:space="0" w:color="auto"/>
              <w:right w:val="double" w:sz="6" w:space="0" w:color="auto"/>
            </w:tcBorders>
            <w:shd w:val="clear" w:color="auto" w:fill="auto"/>
            <w:vAlign w:val="center"/>
          </w:tcPr>
          <w:p w14:paraId="60BC2D5B" w14:textId="77777777" w:rsidR="00247CBF" w:rsidRPr="00092ED7" w:rsidRDefault="00247CBF" w:rsidP="00247CBF">
            <w:pPr>
              <w:spacing w:after="0"/>
              <w:jc w:val="center"/>
              <w:rPr>
                <w:sz w:val="20"/>
                <w:szCs w:val="20"/>
                <w:lang w:val="sr-Cyrl-CS"/>
              </w:rPr>
            </w:pPr>
            <w:r w:rsidRPr="00092ED7">
              <w:rPr>
                <w:sz w:val="20"/>
                <w:szCs w:val="20"/>
                <w:lang w:val="sr-Cyrl-CS"/>
              </w:rPr>
              <w:t>54,0</w:t>
            </w:r>
          </w:p>
        </w:tc>
      </w:tr>
      <w:tr w:rsidR="00247CBF" w:rsidRPr="00092ED7" w14:paraId="7ED3740A" w14:textId="77777777" w:rsidTr="00247CBF">
        <w:trPr>
          <w:trHeight w:val="227"/>
        </w:trPr>
        <w:tc>
          <w:tcPr>
            <w:tcW w:w="1942" w:type="pct"/>
            <w:tcBorders>
              <w:top w:val="nil"/>
              <w:left w:val="double" w:sz="6" w:space="0" w:color="auto"/>
              <w:bottom w:val="double" w:sz="6" w:space="0" w:color="auto"/>
              <w:right w:val="single" w:sz="8" w:space="0" w:color="auto"/>
            </w:tcBorders>
            <w:shd w:val="clear" w:color="auto" w:fill="auto"/>
            <w:vAlign w:val="center"/>
            <w:hideMark/>
          </w:tcPr>
          <w:p w14:paraId="57FD7567" w14:textId="77777777" w:rsidR="00247CBF" w:rsidRPr="00092ED7" w:rsidRDefault="00247CBF" w:rsidP="00247CBF">
            <w:pPr>
              <w:spacing w:after="0"/>
              <w:jc w:val="left"/>
              <w:rPr>
                <w:rFonts w:eastAsia="Times New Roman" w:cs="Times New Roman"/>
                <w:sz w:val="20"/>
                <w:szCs w:val="20"/>
                <w:lang w:val="sr-Cyrl-CS"/>
              </w:rPr>
            </w:pPr>
            <w:r w:rsidRPr="00092ED7">
              <w:rPr>
                <w:rFonts w:eastAsia="Times New Roman" w:cs="Times New Roman"/>
                <w:sz w:val="20"/>
                <w:szCs w:val="20"/>
                <w:lang w:val="sr-Cyrl-CS"/>
              </w:rPr>
              <w:t>Разлика</w:t>
            </w:r>
          </w:p>
        </w:tc>
        <w:tc>
          <w:tcPr>
            <w:tcW w:w="612" w:type="pct"/>
            <w:tcBorders>
              <w:top w:val="nil"/>
              <w:left w:val="nil"/>
              <w:bottom w:val="double" w:sz="6" w:space="0" w:color="auto"/>
              <w:right w:val="dotted" w:sz="4" w:space="0" w:color="auto"/>
            </w:tcBorders>
            <w:shd w:val="clear" w:color="auto" w:fill="auto"/>
            <w:vAlign w:val="center"/>
          </w:tcPr>
          <w:p w14:paraId="318DE4DC" w14:textId="77777777" w:rsidR="00247CBF" w:rsidRPr="00092ED7" w:rsidRDefault="00247CBF" w:rsidP="00247CBF">
            <w:pPr>
              <w:spacing w:after="0"/>
              <w:jc w:val="center"/>
              <w:rPr>
                <w:sz w:val="20"/>
                <w:szCs w:val="20"/>
                <w:lang w:val="sr-Cyrl-CS"/>
              </w:rPr>
            </w:pPr>
            <w:r w:rsidRPr="00092ED7">
              <w:rPr>
                <w:sz w:val="20"/>
                <w:szCs w:val="20"/>
                <w:lang w:val="sr-Cyrl-CS"/>
              </w:rPr>
              <w:t>-1,1</w:t>
            </w:r>
          </w:p>
        </w:tc>
        <w:tc>
          <w:tcPr>
            <w:tcW w:w="612" w:type="pct"/>
            <w:gridSpan w:val="2"/>
            <w:tcBorders>
              <w:top w:val="nil"/>
              <w:left w:val="nil"/>
              <w:bottom w:val="double" w:sz="6" w:space="0" w:color="auto"/>
              <w:right w:val="dotted" w:sz="4" w:space="0" w:color="auto"/>
            </w:tcBorders>
            <w:shd w:val="clear" w:color="auto" w:fill="auto"/>
            <w:vAlign w:val="center"/>
          </w:tcPr>
          <w:p w14:paraId="2B9189BD" w14:textId="77777777" w:rsidR="00247CBF" w:rsidRPr="00092ED7" w:rsidRDefault="00247CBF" w:rsidP="00247CBF">
            <w:pPr>
              <w:spacing w:after="0"/>
              <w:jc w:val="center"/>
              <w:rPr>
                <w:sz w:val="20"/>
                <w:szCs w:val="20"/>
                <w:lang w:val="sr-Cyrl-CS"/>
              </w:rPr>
            </w:pPr>
            <w:r w:rsidRPr="00092ED7">
              <w:rPr>
                <w:sz w:val="20"/>
                <w:szCs w:val="20"/>
                <w:lang w:val="sr-Cyrl-CS"/>
              </w:rPr>
              <w:t>0,4</w:t>
            </w:r>
          </w:p>
        </w:tc>
        <w:tc>
          <w:tcPr>
            <w:tcW w:w="612" w:type="pct"/>
            <w:gridSpan w:val="2"/>
            <w:tcBorders>
              <w:top w:val="nil"/>
              <w:left w:val="nil"/>
              <w:bottom w:val="double" w:sz="6" w:space="0" w:color="auto"/>
              <w:right w:val="dotted" w:sz="4" w:space="0" w:color="auto"/>
            </w:tcBorders>
            <w:shd w:val="clear" w:color="auto" w:fill="auto"/>
            <w:vAlign w:val="center"/>
          </w:tcPr>
          <w:p w14:paraId="095DEBE2" w14:textId="77777777" w:rsidR="00247CBF" w:rsidRPr="00092ED7" w:rsidRDefault="00247CBF" w:rsidP="00247CBF">
            <w:pPr>
              <w:spacing w:after="0"/>
              <w:jc w:val="center"/>
              <w:rPr>
                <w:sz w:val="20"/>
                <w:szCs w:val="20"/>
                <w:lang w:val="sr-Cyrl-CS"/>
              </w:rPr>
            </w:pPr>
            <w:r w:rsidRPr="00092ED7">
              <w:rPr>
                <w:sz w:val="20"/>
                <w:szCs w:val="20"/>
                <w:lang w:val="sr-Cyrl-CS"/>
              </w:rPr>
              <w:t>0,8</w:t>
            </w:r>
          </w:p>
        </w:tc>
        <w:tc>
          <w:tcPr>
            <w:tcW w:w="612" w:type="pct"/>
            <w:gridSpan w:val="2"/>
            <w:tcBorders>
              <w:top w:val="nil"/>
              <w:left w:val="nil"/>
              <w:bottom w:val="double" w:sz="6" w:space="0" w:color="auto"/>
              <w:right w:val="dotted" w:sz="4" w:space="0" w:color="auto"/>
            </w:tcBorders>
            <w:shd w:val="clear" w:color="auto" w:fill="auto"/>
            <w:vAlign w:val="center"/>
          </w:tcPr>
          <w:p w14:paraId="732EF6DE" w14:textId="77777777" w:rsidR="00247CBF" w:rsidRPr="00092ED7" w:rsidRDefault="00247CBF" w:rsidP="00247CBF">
            <w:pPr>
              <w:spacing w:after="0"/>
              <w:jc w:val="center"/>
              <w:rPr>
                <w:sz w:val="20"/>
                <w:szCs w:val="20"/>
                <w:lang w:val="sr-Cyrl-CS"/>
              </w:rPr>
            </w:pPr>
            <w:r w:rsidRPr="00092ED7">
              <w:rPr>
                <w:sz w:val="20"/>
                <w:szCs w:val="20"/>
                <w:lang w:val="sr-Cyrl-CS"/>
              </w:rPr>
              <w:t>1,3</w:t>
            </w:r>
          </w:p>
        </w:tc>
        <w:tc>
          <w:tcPr>
            <w:tcW w:w="610" w:type="pct"/>
            <w:tcBorders>
              <w:top w:val="nil"/>
              <w:left w:val="nil"/>
              <w:bottom w:val="double" w:sz="6" w:space="0" w:color="auto"/>
              <w:right w:val="double" w:sz="6" w:space="0" w:color="auto"/>
            </w:tcBorders>
            <w:shd w:val="clear" w:color="auto" w:fill="auto"/>
            <w:vAlign w:val="center"/>
          </w:tcPr>
          <w:p w14:paraId="6BC1A492" w14:textId="77777777" w:rsidR="00247CBF" w:rsidRPr="00092ED7" w:rsidRDefault="00247CBF" w:rsidP="00247CBF">
            <w:pPr>
              <w:spacing w:after="0"/>
              <w:jc w:val="center"/>
              <w:rPr>
                <w:sz w:val="20"/>
                <w:szCs w:val="20"/>
                <w:lang w:val="sr-Cyrl-CS"/>
              </w:rPr>
            </w:pPr>
            <w:r w:rsidRPr="00092ED7">
              <w:rPr>
                <w:sz w:val="20"/>
                <w:szCs w:val="20"/>
                <w:lang w:val="sr-Cyrl-CS"/>
              </w:rPr>
              <w:t>:</w:t>
            </w:r>
          </w:p>
        </w:tc>
      </w:tr>
    </w:tbl>
    <w:p w14:paraId="11179F58" w14:textId="77777777" w:rsidR="00247CBF" w:rsidRPr="00092ED7" w:rsidRDefault="00247CBF" w:rsidP="00247CBF">
      <w:pPr>
        <w:rPr>
          <w:rFonts w:cs="Times New Roman"/>
          <w:lang w:val="sr-Cyrl-CS"/>
        </w:rPr>
      </w:pPr>
    </w:p>
    <w:p w14:paraId="5248A23F" w14:textId="77777777" w:rsidR="00247CBF" w:rsidRPr="00092ED7" w:rsidRDefault="00247CBF" w:rsidP="00247CBF">
      <w:pPr>
        <w:spacing w:after="160" w:line="259" w:lineRule="auto"/>
        <w:rPr>
          <w:rFonts w:eastAsia="MS PGothic" w:cs="Times New Roman"/>
          <w:b/>
          <w:sz w:val="20"/>
          <w:szCs w:val="20"/>
          <w:lang w:val="sr-Cyrl-CS"/>
        </w:rPr>
      </w:pPr>
      <w:r w:rsidRPr="00092ED7">
        <w:rPr>
          <w:rFonts w:cs="Times New Roman"/>
          <w:b/>
          <w:sz w:val="20"/>
          <w:szCs w:val="20"/>
          <w:lang w:val="sr-Cyrl-CS"/>
        </w:rPr>
        <w:br w:type="page"/>
      </w:r>
    </w:p>
    <w:p w14:paraId="47853C54" w14:textId="77777777" w:rsidR="00247CBF" w:rsidRPr="00092ED7" w:rsidRDefault="00247CBF" w:rsidP="00247CBF">
      <w:pPr>
        <w:pStyle w:val="Heading3"/>
        <w:rPr>
          <w:rFonts w:ascii="Times New Roman" w:hAnsi="Times New Roman" w:cs="Times New Roman"/>
          <w:b/>
          <w:color w:val="auto"/>
          <w:sz w:val="20"/>
          <w:szCs w:val="20"/>
          <w:lang w:val="sr-Cyrl-CS"/>
        </w:rPr>
      </w:pPr>
      <w:bookmarkStart w:id="111" w:name="_Toc61953866"/>
      <w:bookmarkStart w:id="112" w:name="_Toc93386003"/>
      <w:bookmarkStart w:id="113" w:name="_Toc124174834"/>
      <w:r w:rsidRPr="00092ED7">
        <w:rPr>
          <w:rFonts w:ascii="Times New Roman" w:hAnsi="Times New Roman" w:cs="Times New Roman"/>
          <w:b/>
          <w:color w:val="auto"/>
          <w:sz w:val="20"/>
          <w:szCs w:val="20"/>
          <w:lang w:val="sr-Cyrl-CS"/>
        </w:rPr>
        <w:lastRenderedPageBreak/>
        <w:t>Табела 7: Дугорочна одрживост јавних финансија</w:t>
      </w:r>
      <w:bookmarkEnd w:id="111"/>
      <w:bookmarkEnd w:id="112"/>
      <w:r w:rsidRPr="00092ED7">
        <w:rPr>
          <w:rFonts w:ascii="Times New Roman" w:hAnsi="Times New Roman" w:cs="Times New Roman"/>
          <w:b/>
          <w:color w:val="auto"/>
          <w:sz w:val="20"/>
          <w:szCs w:val="20"/>
          <w:lang w:val="sr-Cyrl-CS"/>
        </w:rPr>
        <w:t xml:space="preserve"> (% БДП)</w:t>
      </w:r>
      <w:bookmarkEnd w:id="113"/>
    </w:p>
    <w:tbl>
      <w:tblPr>
        <w:tblW w:w="14436" w:type="dxa"/>
        <w:tblLayout w:type="fixed"/>
        <w:tblLook w:val="04A0" w:firstRow="1" w:lastRow="0" w:firstColumn="1" w:lastColumn="0" w:noHBand="0" w:noVBand="1"/>
      </w:tblPr>
      <w:tblGrid>
        <w:gridCol w:w="6000"/>
        <w:gridCol w:w="1205"/>
        <w:gridCol w:w="1205"/>
        <w:gridCol w:w="1205"/>
        <w:gridCol w:w="1205"/>
        <w:gridCol w:w="1205"/>
        <w:gridCol w:w="1205"/>
        <w:gridCol w:w="1206"/>
      </w:tblGrid>
      <w:tr w:rsidR="00247CBF" w:rsidRPr="00092ED7" w14:paraId="43C49388" w14:textId="77777777" w:rsidTr="00247CBF">
        <w:trPr>
          <w:trHeight w:val="285"/>
        </w:trPr>
        <w:tc>
          <w:tcPr>
            <w:tcW w:w="6000" w:type="dxa"/>
            <w:tcBorders>
              <w:top w:val="double" w:sz="6" w:space="0" w:color="auto"/>
              <w:left w:val="double" w:sz="6" w:space="0" w:color="auto"/>
              <w:bottom w:val="double" w:sz="6" w:space="0" w:color="auto"/>
              <w:right w:val="nil"/>
            </w:tcBorders>
            <w:shd w:val="clear" w:color="auto" w:fill="auto"/>
            <w:noWrap/>
            <w:vAlign w:val="center"/>
            <w:hideMark/>
          </w:tcPr>
          <w:p w14:paraId="5D683C81" w14:textId="77777777" w:rsidR="00247CBF" w:rsidRPr="00092ED7" w:rsidRDefault="00247CBF" w:rsidP="00247CBF">
            <w:pPr>
              <w:spacing w:after="0"/>
              <w:rPr>
                <w:rFonts w:eastAsia="Times New Roman" w:cs="Times New Roman"/>
                <w:b/>
                <w:bCs/>
                <w:sz w:val="20"/>
                <w:szCs w:val="20"/>
                <w:lang w:val="sr-Cyrl-CS"/>
              </w:rPr>
            </w:pPr>
          </w:p>
        </w:tc>
        <w:tc>
          <w:tcPr>
            <w:tcW w:w="1205" w:type="dxa"/>
            <w:tcBorders>
              <w:top w:val="double" w:sz="6" w:space="0" w:color="auto"/>
              <w:left w:val="single" w:sz="8" w:space="0" w:color="auto"/>
              <w:bottom w:val="double" w:sz="6" w:space="0" w:color="auto"/>
              <w:right w:val="dashed" w:sz="4" w:space="0" w:color="auto"/>
            </w:tcBorders>
            <w:shd w:val="clear" w:color="auto" w:fill="auto"/>
            <w:noWrap/>
            <w:vAlign w:val="center"/>
            <w:hideMark/>
          </w:tcPr>
          <w:p w14:paraId="02E6007A" w14:textId="77777777" w:rsidR="00247CBF" w:rsidRPr="00092ED7" w:rsidRDefault="00247CBF" w:rsidP="00247CBF">
            <w:pPr>
              <w:spacing w:after="0"/>
              <w:jc w:val="right"/>
              <w:rPr>
                <w:rFonts w:eastAsia="Times New Roman" w:cs="Times New Roman"/>
                <w:b/>
                <w:bCs/>
                <w:sz w:val="20"/>
                <w:szCs w:val="20"/>
                <w:lang w:val="sr-Cyrl-CS"/>
              </w:rPr>
            </w:pPr>
            <w:r w:rsidRPr="00092ED7">
              <w:rPr>
                <w:rFonts w:eastAsia="Times New Roman" w:cs="Times New Roman"/>
                <w:b/>
                <w:bCs/>
                <w:sz w:val="20"/>
                <w:szCs w:val="20"/>
                <w:lang w:val="sr-Cyrl-CS"/>
              </w:rPr>
              <w:t>2007</w:t>
            </w:r>
          </w:p>
        </w:tc>
        <w:tc>
          <w:tcPr>
            <w:tcW w:w="1205" w:type="dxa"/>
            <w:tcBorders>
              <w:top w:val="double" w:sz="6" w:space="0" w:color="auto"/>
              <w:left w:val="nil"/>
              <w:bottom w:val="double" w:sz="6" w:space="0" w:color="auto"/>
              <w:right w:val="dashed" w:sz="4" w:space="0" w:color="auto"/>
            </w:tcBorders>
            <w:shd w:val="clear" w:color="auto" w:fill="auto"/>
            <w:noWrap/>
            <w:vAlign w:val="center"/>
            <w:hideMark/>
          </w:tcPr>
          <w:p w14:paraId="4CACF31B" w14:textId="77777777" w:rsidR="00247CBF" w:rsidRPr="00092ED7" w:rsidRDefault="00247CBF" w:rsidP="00247CBF">
            <w:pPr>
              <w:spacing w:after="0"/>
              <w:jc w:val="right"/>
              <w:rPr>
                <w:rFonts w:eastAsia="Times New Roman" w:cs="Times New Roman"/>
                <w:b/>
                <w:bCs/>
                <w:sz w:val="20"/>
                <w:szCs w:val="20"/>
                <w:lang w:val="sr-Cyrl-CS"/>
              </w:rPr>
            </w:pPr>
            <w:r w:rsidRPr="00092ED7">
              <w:rPr>
                <w:rFonts w:eastAsia="Times New Roman" w:cs="Times New Roman"/>
                <w:b/>
                <w:bCs/>
                <w:sz w:val="20"/>
                <w:szCs w:val="20"/>
                <w:lang w:val="sr-Cyrl-CS"/>
              </w:rPr>
              <w:t>2010</w:t>
            </w:r>
          </w:p>
        </w:tc>
        <w:tc>
          <w:tcPr>
            <w:tcW w:w="1205" w:type="dxa"/>
            <w:tcBorders>
              <w:top w:val="double" w:sz="6" w:space="0" w:color="auto"/>
              <w:left w:val="nil"/>
              <w:bottom w:val="double" w:sz="6" w:space="0" w:color="auto"/>
              <w:right w:val="dashed" w:sz="4" w:space="0" w:color="auto"/>
            </w:tcBorders>
            <w:shd w:val="clear" w:color="auto" w:fill="auto"/>
            <w:noWrap/>
            <w:vAlign w:val="center"/>
            <w:hideMark/>
          </w:tcPr>
          <w:p w14:paraId="21F721CA" w14:textId="77777777" w:rsidR="00247CBF" w:rsidRPr="00092ED7" w:rsidRDefault="00247CBF" w:rsidP="00247CBF">
            <w:pPr>
              <w:spacing w:after="0"/>
              <w:jc w:val="right"/>
              <w:rPr>
                <w:rFonts w:eastAsia="Times New Roman" w:cs="Times New Roman"/>
                <w:b/>
                <w:bCs/>
                <w:sz w:val="20"/>
                <w:szCs w:val="20"/>
                <w:lang w:val="sr-Cyrl-CS"/>
              </w:rPr>
            </w:pPr>
            <w:r w:rsidRPr="00092ED7">
              <w:rPr>
                <w:rFonts w:eastAsia="Times New Roman" w:cs="Times New Roman"/>
                <w:b/>
                <w:bCs/>
                <w:sz w:val="20"/>
                <w:szCs w:val="20"/>
                <w:lang w:val="sr-Cyrl-CS"/>
              </w:rPr>
              <w:t>2020</w:t>
            </w:r>
          </w:p>
        </w:tc>
        <w:tc>
          <w:tcPr>
            <w:tcW w:w="1205" w:type="dxa"/>
            <w:tcBorders>
              <w:top w:val="double" w:sz="6" w:space="0" w:color="auto"/>
              <w:left w:val="nil"/>
              <w:bottom w:val="double" w:sz="6" w:space="0" w:color="auto"/>
              <w:right w:val="dashed" w:sz="4" w:space="0" w:color="auto"/>
            </w:tcBorders>
            <w:shd w:val="clear" w:color="auto" w:fill="auto"/>
            <w:noWrap/>
            <w:vAlign w:val="center"/>
            <w:hideMark/>
          </w:tcPr>
          <w:p w14:paraId="20D7F7BC" w14:textId="77777777" w:rsidR="00247CBF" w:rsidRPr="00092ED7" w:rsidRDefault="00247CBF" w:rsidP="00247CBF">
            <w:pPr>
              <w:spacing w:after="0"/>
              <w:jc w:val="right"/>
              <w:rPr>
                <w:rFonts w:eastAsia="Times New Roman" w:cs="Times New Roman"/>
                <w:b/>
                <w:bCs/>
                <w:sz w:val="20"/>
                <w:szCs w:val="20"/>
                <w:lang w:val="sr-Cyrl-CS"/>
              </w:rPr>
            </w:pPr>
            <w:r w:rsidRPr="00092ED7">
              <w:rPr>
                <w:rFonts w:eastAsia="Times New Roman" w:cs="Times New Roman"/>
                <w:b/>
                <w:bCs/>
                <w:sz w:val="20"/>
                <w:szCs w:val="20"/>
                <w:lang w:val="sr-Cyrl-CS"/>
              </w:rPr>
              <w:t>2030</w:t>
            </w:r>
          </w:p>
        </w:tc>
        <w:tc>
          <w:tcPr>
            <w:tcW w:w="1205" w:type="dxa"/>
            <w:tcBorders>
              <w:top w:val="double" w:sz="6" w:space="0" w:color="auto"/>
              <w:left w:val="nil"/>
              <w:bottom w:val="double" w:sz="6" w:space="0" w:color="auto"/>
              <w:right w:val="dashed" w:sz="4" w:space="0" w:color="auto"/>
            </w:tcBorders>
            <w:shd w:val="clear" w:color="auto" w:fill="auto"/>
            <w:noWrap/>
            <w:vAlign w:val="center"/>
            <w:hideMark/>
          </w:tcPr>
          <w:p w14:paraId="1847A75D" w14:textId="77777777" w:rsidR="00247CBF" w:rsidRPr="00092ED7" w:rsidRDefault="00247CBF" w:rsidP="00247CBF">
            <w:pPr>
              <w:spacing w:after="0"/>
              <w:jc w:val="right"/>
              <w:rPr>
                <w:rFonts w:eastAsia="Times New Roman" w:cs="Times New Roman"/>
                <w:b/>
                <w:bCs/>
                <w:sz w:val="20"/>
                <w:szCs w:val="20"/>
                <w:lang w:val="sr-Cyrl-CS"/>
              </w:rPr>
            </w:pPr>
            <w:r w:rsidRPr="00092ED7">
              <w:rPr>
                <w:rFonts w:eastAsia="Times New Roman" w:cs="Times New Roman"/>
                <w:b/>
                <w:bCs/>
                <w:sz w:val="20"/>
                <w:szCs w:val="20"/>
                <w:lang w:val="sr-Cyrl-CS"/>
              </w:rPr>
              <w:t>2040</w:t>
            </w:r>
          </w:p>
        </w:tc>
        <w:tc>
          <w:tcPr>
            <w:tcW w:w="1205" w:type="dxa"/>
            <w:tcBorders>
              <w:top w:val="double" w:sz="6" w:space="0" w:color="auto"/>
              <w:left w:val="nil"/>
              <w:bottom w:val="double" w:sz="6" w:space="0" w:color="auto"/>
              <w:right w:val="dashed" w:sz="4" w:space="0" w:color="auto"/>
            </w:tcBorders>
            <w:shd w:val="clear" w:color="auto" w:fill="auto"/>
            <w:noWrap/>
            <w:vAlign w:val="center"/>
            <w:hideMark/>
          </w:tcPr>
          <w:p w14:paraId="0FEC59E1" w14:textId="77777777" w:rsidR="00247CBF" w:rsidRPr="00092ED7" w:rsidRDefault="00247CBF" w:rsidP="00247CBF">
            <w:pPr>
              <w:spacing w:after="0"/>
              <w:jc w:val="right"/>
              <w:rPr>
                <w:rFonts w:eastAsia="Times New Roman" w:cs="Times New Roman"/>
                <w:b/>
                <w:bCs/>
                <w:sz w:val="20"/>
                <w:szCs w:val="20"/>
                <w:lang w:val="sr-Cyrl-CS"/>
              </w:rPr>
            </w:pPr>
            <w:r w:rsidRPr="00092ED7">
              <w:rPr>
                <w:rFonts w:eastAsia="Times New Roman" w:cs="Times New Roman"/>
                <w:b/>
                <w:bCs/>
                <w:sz w:val="20"/>
                <w:szCs w:val="20"/>
                <w:lang w:val="sr-Cyrl-CS"/>
              </w:rPr>
              <w:t>2050</w:t>
            </w:r>
          </w:p>
        </w:tc>
        <w:tc>
          <w:tcPr>
            <w:tcW w:w="1206" w:type="dxa"/>
            <w:tcBorders>
              <w:top w:val="double" w:sz="6" w:space="0" w:color="auto"/>
              <w:left w:val="nil"/>
              <w:bottom w:val="double" w:sz="6" w:space="0" w:color="auto"/>
              <w:right w:val="double" w:sz="6" w:space="0" w:color="auto"/>
            </w:tcBorders>
            <w:shd w:val="clear" w:color="auto" w:fill="auto"/>
            <w:noWrap/>
            <w:vAlign w:val="center"/>
            <w:hideMark/>
          </w:tcPr>
          <w:p w14:paraId="7940BDF7" w14:textId="77777777" w:rsidR="00247CBF" w:rsidRPr="00092ED7" w:rsidRDefault="00247CBF" w:rsidP="00247CBF">
            <w:pPr>
              <w:spacing w:after="0"/>
              <w:jc w:val="right"/>
              <w:rPr>
                <w:rFonts w:eastAsia="Times New Roman" w:cs="Times New Roman"/>
                <w:b/>
                <w:bCs/>
                <w:sz w:val="20"/>
                <w:szCs w:val="20"/>
                <w:lang w:val="sr-Cyrl-CS"/>
              </w:rPr>
            </w:pPr>
            <w:r w:rsidRPr="00092ED7">
              <w:rPr>
                <w:rFonts w:eastAsia="Times New Roman" w:cs="Times New Roman"/>
                <w:b/>
                <w:bCs/>
                <w:sz w:val="20"/>
                <w:szCs w:val="20"/>
                <w:lang w:val="sr-Cyrl-CS"/>
              </w:rPr>
              <w:t>2060</w:t>
            </w:r>
          </w:p>
        </w:tc>
      </w:tr>
      <w:tr w:rsidR="00247CBF" w:rsidRPr="00092ED7" w14:paraId="6849E835" w14:textId="77777777" w:rsidTr="00247CBF">
        <w:trPr>
          <w:trHeight w:val="270"/>
        </w:trPr>
        <w:tc>
          <w:tcPr>
            <w:tcW w:w="6000" w:type="dxa"/>
            <w:tcBorders>
              <w:top w:val="single" w:sz="4" w:space="0" w:color="auto"/>
              <w:left w:val="double" w:sz="6" w:space="0" w:color="000000"/>
              <w:bottom w:val="dotted" w:sz="4" w:space="0" w:color="000000"/>
              <w:right w:val="single" w:sz="4" w:space="0" w:color="auto"/>
            </w:tcBorders>
            <w:shd w:val="clear" w:color="auto" w:fill="auto"/>
            <w:hideMark/>
          </w:tcPr>
          <w:p w14:paraId="675CAA56"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Укупни расходи</w:t>
            </w:r>
          </w:p>
        </w:tc>
        <w:tc>
          <w:tcPr>
            <w:tcW w:w="1205" w:type="dxa"/>
            <w:tcBorders>
              <w:top w:val="nil"/>
              <w:left w:val="nil"/>
              <w:bottom w:val="dotted" w:sz="4" w:space="0" w:color="000000"/>
              <w:right w:val="dotted" w:sz="4" w:space="0" w:color="000000"/>
            </w:tcBorders>
            <w:shd w:val="clear" w:color="auto" w:fill="auto"/>
          </w:tcPr>
          <w:p w14:paraId="68FF8E97" w14:textId="77777777" w:rsidR="00247CBF" w:rsidRPr="00092ED7" w:rsidRDefault="00247CBF" w:rsidP="00247CBF">
            <w:pPr>
              <w:spacing w:after="0"/>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2F0E1F88" w14:textId="77777777" w:rsidR="00247CBF" w:rsidRPr="00092ED7" w:rsidRDefault="00247CBF" w:rsidP="00247CBF">
            <w:pPr>
              <w:spacing w:after="0"/>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4BDC74BB" w14:textId="77777777" w:rsidR="00247CBF" w:rsidRPr="00092ED7" w:rsidRDefault="00247CBF" w:rsidP="00247CBF">
            <w:pPr>
              <w:spacing w:after="0"/>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6376F8FB" w14:textId="77777777" w:rsidR="00247CBF" w:rsidRPr="00092ED7" w:rsidRDefault="00247CBF" w:rsidP="00247CBF">
            <w:pPr>
              <w:spacing w:after="0"/>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663AA739" w14:textId="77777777" w:rsidR="00247CBF" w:rsidRPr="00092ED7" w:rsidRDefault="00247CBF" w:rsidP="00247CBF">
            <w:pPr>
              <w:spacing w:after="0"/>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732E2114" w14:textId="77777777" w:rsidR="00247CBF" w:rsidRPr="00092ED7" w:rsidRDefault="00247CBF" w:rsidP="00247CBF">
            <w:pPr>
              <w:spacing w:after="0"/>
              <w:rPr>
                <w:rFonts w:eastAsia="Times New Roman" w:cs="Times New Roman"/>
                <w:sz w:val="20"/>
                <w:szCs w:val="20"/>
                <w:lang w:val="sr-Cyrl-CS"/>
              </w:rPr>
            </w:pPr>
          </w:p>
        </w:tc>
        <w:tc>
          <w:tcPr>
            <w:tcW w:w="1206" w:type="dxa"/>
            <w:tcBorders>
              <w:top w:val="nil"/>
              <w:left w:val="nil"/>
              <w:bottom w:val="dotted" w:sz="4" w:space="0" w:color="000000"/>
              <w:right w:val="double" w:sz="6" w:space="0" w:color="000000"/>
            </w:tcBorders>
            <w:shd w:val="clear" w:color="auto" w:fill="auto"/>
          </w:tcPr>
          <w:p w14:paraId="4BB7E145" w14:textId="77777777" w:rsidR="00247CBF" w:rsidRPr="00092ED7" w:rsidRDefault="00247CBF" w:rsidP="00247CBF">
            <w:pPr>
              <w:spacing w:after="0"/>
              <w:rPr>
                <w:rFonts w:eastAsia="Times New Roman" w:cs="Times New Roman"/>
                <w:sz w:val="20"/>
                <w:szCs w:val="20"/>
                <w:lang w:val="sr-Cyrl-CS"/>
              </w:rPr>
            </w:pPr>
          </w:p>
        </w:tc>
      </w:tr>
      <w:tr w:rsidR="00247CBF" w:rsidRPr="00092ED7" w14:paraId="27919B2F" w14:textId="77777777" w:rsidTr="00247CBF">
        <w:trPr>
          <w:trHeight w:val="255"/>
        </w:trPr>
        <w:tc>
          <w:tcPr>
            <w:tcW w:w="6000" w:type="dxa"/>
            <w:tcBorders>
              <w:top w:val="nil"/>
              <w:left w:val="double" w:sz="6" w:space="0" w:color="000000"/>
              <w:bottom w:val="dotted" w:sz="4" w:space="0" w:color="000000"/>
              <w:right w:val="single" w:sz="4" w:space="0" w:color="auto"/>
            </w:tcBorders>
            <w:shd w:val="clear" w:color="auto" w:fill="auto"/>
            <w:hideMark/>
          </w:tcPr>
          <w:p w14:paraId="765E38C7"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xml:space="preserve">од чега: </w:t>
            </w:r>
          </w:p>
        </w:tc>
        <w:tc>
          <w:tcPr>
            <w:tcW w:w="1205" w:type="dxa"/>
            <w:tcBorders>
              <w:top w:val="nil"/>
              <w:left w:val="nil"/>
              <w:bottom w:val="dotted" w:sz="4" w:space="0" w:color="000000"/>
              <w:right w:val="dotted" w:sz="4" w:space="0" w:color="000000"/>
            </w:tcBorders>
            <w:shd w:val="clear" w:color="auto" w:fill="auto"/>
          </w:tcPr>
          <w:p w14:paraId="17B53058" w14:textId="77777777" w:rsidR="00247CBF" w:rsidRPr="00092ED7" w:rsidRDefault="00247CBF" w:rsidP="00247CBF">
            <w:pPr>
              <w:spacing w:after="0"/>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1D0C51CC" w14:textId="77777777" w:rsidR="00247CBF" w:rsidRPr="00092ED7" w:rsidRDefault="00247CBF" w:rsidP="00247CBF">
            <w:pPr>
              <w:spacing w:after="0"/>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7CAAD0ED" w14:textId="77777777" w:rsidR="00247CBF" w:rsidRPr="00092ED7" w:rsidRDefault="00247CBF" w:rsidP="00247CBF">
            <w:pPr>
              <w:spacing w:after="0"/>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401E21CA" w14:textId="77777777" w:rsidR="00247CBF" w:rsidRPr="00092ED7" w:rsidRDefault="00247CBF" w:rsidP="00247CBF">
            <w:pPr>
              <w:spacing w:after="0"/>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5F030870" w14:textId="77777777" w:rsidR="00247CBF" w:rsidRPr="00092ED7" w:rsidRDefault="00247CBF" w:rsidP="00247CBF">
            <w:pPr>
              <w:spacing w:after="0"/>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1267AA86" w14:textId="77777777" w:rsidR="00247CBF" w:rsidRPr="00092ED7" w:rsidRDefault="00247CBF" w:rsidP="00247CBF">
            <w:pPr>
              <w:spacing w:after="0"/>
              <w:rPr>
                <w:rFonts w:eastAsia="Times New Roman" w:cs="Times New Roman"/>
                <w:sz w:val="20"/>
                <w:szCs w:val="20"/>
                <w:lang w:val="sr-Cyrl-CS"/>
              </w:rPr>
            </w:pPr>
          </w:p>
        </w:tc>
        <w:tc>
          <w:tcPr>
            <w:tcW w:w="1206" w:type="dxa"/>
            <w:tcBorders>
              <w:top w:val="nil"/>
              <w:left w:val="nil"/>
              <w:bottom w:val="dotted" w:sz="4" w:space="0" w:color="000000"/>
              <w:right w:val="double" w:sz="6" w:space="0" w:color="000000"/>
            </w:tcBorders>
            <w:shd w:val="clear" w:color="auto" w:fill="auto"/>
          </w:tcPr>
          <w:p w14:paraId="2E05977E" w14:textId="77777777" w:rsidR="00247CBF" w:rsidRPr="00092ED7" w:rsidRDefault="00247CBF" w:rsidP="00247CBF">
            <w:pPr>
              <w:spacing w:after="0"/>
              <w:rPr>
                <w:rFonts w:eastAsia="Times New Roman" w:cs="Times New Roman"/>
                <w:sz w:val="20"/>
                <w:szCs w:val="20"/>
                <w:lang w:val="sr-Cyrl-CS"/>
              </w:rPr>
            </w:pPr>
          </w:p>
        </w:tc>
      </w:tr>
      <w:tr w:rsidR="00247CBF" w:rsidRPr="00092ED7" w14:paraId="63CD378A" w14:textId="77777777" w:rsidTr="00247CBF">
        <w:trPr>
          <w:trHeight w:val="255"/>
        </w:trPr>
        <w:tc>
          <w:tcPr>
            <w:tcW w:w="6000" w:type="dxa"/>
            <w:tcBorders>
              <w:top w:val="nil"/>
              <w:left w:val="double" w:sz="6" w:space="0" w:color="000000"/>
              <w:bottom w:val="dotted" w:sz="4" w:space="0" w:color="000000"/>
              <w:right w:val="single" w:sz="4" w:space="0" w:color="auto"/>
            </w:tcBorders>
            <w:shd w:val="clear" w:color="auto" w:fill="auto"/>
            <w:hideMark/>
          </w:tcPr>
          <w:p w14:paraId="17FB2ED2" w14:textId="77777777" w:rsidR="00247CBF" w:rsidRPr="00092ED7" w:rsidRDefault="00247CBF" w:rsidP="00247CBF">
            <w:pPr>
              <w:spacing w:after="0"/>
              <w:ind w:firstLineChars="100" w:firstLine="200"/>
              <w:rPr>
                <w:rFonts w:eastAsia="Times New Roman" w:cs="Times New Roman"/>
                <w:sz w:val="20"/>
                <w:szCs w:val="20"/>
                <w:lang w:val="sr-Cyrl-CS"/>
              </w:rPr>
            </w:pPr>
            <w:r w:rsidRPr="00092ED7">
              <w:rPr>
                <w:rFonts w:eastAsia="Times New Roman" w:cs="Times New Roman"/>
                <w:sz w:val="20"/>
                <w:szCs w:val="20"/>
                <w:lang w:val="sr-Cyrl-CS"/>
              </w:rPr>
              <w:t>- Расходи везани за године живота</w:t>
            </w:r>
          </w:p>
        </w:tc>
        <w:tc>
          <w:tcPr>
            <w:tcW w:w="1205" w:type="dxa"/>
            <w:tcBorders>
              <w:top w:val="nil"/>
              <w:left w:val="nil"/>
              <w:bottom w:val="dotted" w:sz="4" w:space="0" w:color="000000"/>
              <w:right w:val="dotted" w:sz="4" w:space="0" w:color="000000"/>
            </w:tcBorders>
            <w:shd w:val="clear" w:color="auto" w:fill="auto"/>
          </w:tcPr>
          <w:p w14:paraId="1A3FF27A"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2245F10A"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703CC161"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65D3A1A5"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02ED1714"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5C9B0F77" w14:textId="77777777" w:rsidR="00247CBF" w:rsidRPr="00092ED7" w:rsidRDefault="00247CBF" w:rsidP="00247CBF">
            <w:pPr>
              <w:spacing w:after="0"/>
              <w:jc w:val="center"/>
              <w:rPr>
                <w:rFonts w:eastAsia="Times New Roman" w:cs="Times New Roman"/>
                <w:sz w:val="20"/>
                <w:szCs w:val="20"/>
                <w:lang w:val="sr-Cyrl-CS"/>
              </w:rPr>
            </w:pPr>
          </w:p>
        </w:tc>
        <w:tc>
          <w:tcPr>
            <w:tcW w:w="1206" w:type="dxa"/>
            <w:tcBorders>
              <w:top w:val="nil"/>
              <w:left w:val="nil"/>
              <w:bottom w:val="dotted" w:sz="4" w:space="0" w:color="000000"/>
              <w:right w:val="double" w:sz="6" w:space="0" w:color="000000"/>
            </w:tcBorders>
            <w:shd w:val="clear" w:color="auto" w:fill="auto"/>
          </w:tcPr>
          <w:p w14:paraId="43AD20B9" w14:textId="77777777" w:rsidR="00247CBF" w:rsidRPr="00092ED7" w:rsidRDefault="00247CBF" w:rsidP="00247CBF">
            <w:pPr>
              <w:spacing w:after="0"/>
              <w:jc w:val="center"/>
              <w:rPr>
                <w:rFonts w:eastAsia="Times New Roman" w:cs="Times New Roman"/>
                <w:sz w:val="20"/>
                <w:szCs w:val="20"/>
                <w:lang w:val="sr-Cyrl-CS"/>
              </w:rPr>
            </w:pPr>
          </w:p>
        </w:tc>
      </w:tr>
      <w:tr w:rsidR="00247CBF" w:rsidRPr="00092ED7" w14:paraId="422B7C4F" w14:textId="77777777" w:rsidTr="00247CBF">
        <w:trPr>
          <w:trHeight w:val="255"/>
        </w:trPr>
        <w:tc>
          <w:tcPr>
            <w:tcW w:w="6000" w:type="dxa"/>
            <w:tcBorders>
              <w:top w:val="nil"/>
              <w:left w:val="double" w:sz="6" w:space="0" w:color="000000"/>
              <w:bottom w:val="dotted" w:sz="4" w:space="0" w:color="000000"/>
              <w:right w:val="single" w:sz="4" w:space="0" w:color="auto"/>
            </w:tcBorders>
            <w:shd w:val="clear" w:color="auto" w:fill="auto"/>
            <w:hideMark/>
          </w:tcPr>
          <w:p w14:paraId="52D89D45" w14:textId="77777777" w:rsidR="00247CBF" w:rsidRPr="00092ED7" w:rsidRDefault="00247CBF" w:rsidP="00247CBF">
            <w:pPr>
              <w:spacing w:after="0"/>
              <w:ind w:firstLineChars="100" w:firstLine="200"/>
              <w:rPr>
                <w:rFonts w:eastAsia="Times New Roman" w:cs="Times New Roman"/>
                <w:sz w:val="20"/>
                <w:szCs w:val="20"/>
                <w:lang w:val="sr-Cyrl-CS"/>
              </w:rPr>
            </w:pPr>
            <w:r w:rsidRPr="00092ED7">
              <w:rPr>
                <w:rFonts w:eastAsia="Times New Roman" w:cs="Times New Roman"/>
                <w:sz w:val="20"/>
                <w:szCs w:val="20"/>
                <w:lang w:val="sr-Cyrl-CS"/>
              </w:rPr>
              <w:t>- расходи за пензије</w:t>
            </w:r>
          </w:p>
        </w:tc>
        <w:tc>
          <w:tcPr>
            <w:tcW w:w="1205" w:type="dxa"/>
            <w:tcBorders>
              <w:top w:val="nil"/>
              <w:left w:val="nil"/>
              <w:bottom w:val="dotted" w:sz="4" w:space="0" w:color="000000"/>
              <w:right w:val="dotted" w:sz="4" w:space="0" w:color="000000"/>
            </w:tcBorders>
            <w:shd w:val="clear" w:color="auto" w:fill="auto"/>
          </w:tcPr>
          <w:p w14:paraId="5B164EBC"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01D76701"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3F9749A3"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29F0B581"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126FE4B1"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69A51112" w14:textId="77777777" w:rsidR="00247CBF" w:rsidRPr="00092ED7" w:rsidRDefault="00247CBF" w:rsidP="00247CBF">
            <w:pPr>
              <w:spacing w:after="0"/>
              <w:jc w:val="center"/>
              <w:rPr>
                <w:rFonts w:eastAsia="Times New Roman" w:cs="Times New Roman"/>
                <w:sz w:val="20"/>
                <w:szCs w:val="20"/>
                <w:lang w:val="sr-Cyrl-CS"/>
              </w:rPr>
            </w:pPr>
          </w:p>
        </w:tc>
        <w:tc>
          <w:tcPr>
            <w:tcW w:w="1206" w:type="dxa"/>
            <w:tcBorders>
              <w:top w:val="nil"/>
              <w:left w:val="nil"/>
              <w:bottom w:val="dotted" w:sz="4" w:space="0" w:color="000000"/>
              <w:right w:val="double" w:sz="6" w:space="0" w:color="000000"/>
            </w:tcBorders>
            <w:shd w:val="clear" w:color="auto" w:fill="auto"/>
          </w:tcPr>
          <w:p w14:paraId="7C8CD745" w14:textId="77777777" w:rsidR="00247CBF" w:rsidRPr="00092ED7" w:rsidRDefault="00247CBF" w:rsidP="00247CBF">
            <w:pPr>
              <w:spacing w:after="0"/>
              <w:jc w:val="center"/>
              <w:rPr>
                <w:rFonts w:eastAsia="Times New Roman" w:cs="Times New Roman"/>
                <w:sz w:val="20"/>
                <w:szCs w:val="20"/>
                <w:lang w:val="sr-Cyrl-CS"/>
              </w:rPr>
            </w:pPr>
          </w:p>
        </w:tc>
      </w:tr>
      <w:tr w:rsidR="00247CBF" w:rsidRPr="00092ED7" w14:paraId="239B5613" w14:textId="77777777" w:rsidTr="00247CBF">
        <w:trPr>
          <w:trHeight w:val="255"/>
        </w:trPr>
        <w:tc>
          <w:tcPr>
            <w:tcW w:w="6000" w:type="dxa"/>
            <w:tcBorders>
              <w:top w:val="nil"/>
              <w:left w:val="double" w:sz="6" w:space="0" w:color="000000"/>
              <w:bottom w:val="dotted" w:sz="4" w:space="0" w:color="000000"/>
              <w:right w:val="single" w:sz="4" w:space="0" w:color="auto"/>
            </w:tcBorders>
            <w:shd w:val="clear" w:color="auto" w:fill="auto"/>
            <w:hideMark/>
          </w:tcPr>
          <w:p w14:paraId="194CC17C" w14:textId="77777777" w:rsidR="00247CBF" w:rsidRPr="00092ED7" w:rsidRDefault="00247CBF" w:rsidP="00247CBF">
            <w:pPr>
              <w:spacing w:after="0"/>
              <w:ind w:firstLineChars="100" w:firstLine="200"/>
              <w:rPr>
                <w:rFonts w:eastAsia="Times New Roman" w:cs="Times New Roman"/>
                <w:sz w:val="20"/>
                <w:szCs w:val="20"/>
                <w:lang w:val="sr-Cyrl-CS"/>
              </w:rPr>
            </w:pPr>
            <w:r w:rsidRPr="00092ED7">
              <w:rPr>
                <w:rFonts w:eastAsia="Times New Roman" w:cs="Times New Roman"/>
                <w:sz w:val="20"/>
                <w:szCs w:val="20"/>
                <w:lang w:val="sr-Cyrl-CS"/>
              </w:rPr>
              <w:t>- Социјалне пензије </w:t>
            </w:r>
          </w:p>
        </w:tc>
        <w:tc>
          <w:tcPr>
            <w:tcW w:w="1205" w:type="dxa"/>
            <w:tcBorders>
              <w:top w:val="nil"/>
              <w:left w:val="nil"/>
              <w:bottom w:val="dotted" w:sz="4" w:space="0" w:color="000000"/>
              <w:right w:val="dotted" w:sz="4" w:space="0" w:color="000000"/>
            </w:tcBorders>
            <w:shd w:val="clear" w:color="auto" w:fill="auto"/>
          </w:tcPr>
          <w:p w14:paraId="30A78345"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2563C403"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7F6367AD"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238D47B8"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7E0518A9"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248FFBCA" w14:textId="77777777" w:rsidR="00247CBF" w:rsidRPr="00092ED7" w:rsidRDefault="00247CBF" w:rsidP="00247CBF">
            <w:pPr>
              <w:spacing w:after="0"/>
              <w:jc w:val="center"/>
              <w:rPr>
                <w:rFonts w:eastAsia="Times New Roman" w:cs="Times New Roman"/>
                <w:sz w:val="20"/>
                <w:szCs w:val="20"/>
                <w:lang w:val="sr-Cyrl-CS"/>
              </w:rPr>
            </w:pPr>
          </w:p>
        </w:tc>
        <w:tc>
          <w:tcPr>
            <w:tcW w:w="1206" w:type="dxa"/>
            <w:tcBorders>
              <w:top w:val="nil"/>
              <w:left w:val="nil"/>
              <w:bottom w:val="dotted" w:sz="4" w:space="0" w:color="000000"/>
              <w:right w:val="double" w:sz="6" w:space="0" w:color="000000"/>
            </w:tcBorders>
            <w:shd w:val="clear" w:color="auto" w:fill="auto"/>
          </w:tcPr>
          <w:p w14:paraId="42BB398B" w14:textId="77777777" w:rsidR="00247CBF" w:rsidRPr="00092ED7" w:rsidRDefault="00247CBF" w:rsidP="00247CBF">
            <w:pPr>
              <w:spacing w:after="0"/>
              <w:jc w:val="center"/>
              <w:rPr>
                <w:rFonts w:eastAsia="Times New Roman" w:cs="Times New Roman"/>
                <w:sz w:val="20"/>
                <w:szCs w:val="20"/>
                <w:lang w:val="sr-Cyrl-CS"/>
              </w:rPr>
            </w:pPr>
          </w:p>
        </w:tc>
      </w:tr>
      <w:tr w:rsidR="00247CBF" w:rsidRPr="00092ED7" w14:paraId="74356563" w14:textId="77777777" w:rsidTr="00247CBF">
        <w:trPr>
          <w:trHeight w:val="255"/>
        </w:trPr>
        <w:tc>
          <w:tcPr>
            <w:tcW w:w="6000" w:type="dxa"/>
            <w:tcBorders>
              <w:top w:val="nil"/>
              <w:left w:val="double" w:sz="6" w:space="0" w:color="000000"/>
              <w:bottom w:val="dotted" w:sz="4" w:space="0" w:color="000000"/>
              <w:right w:val="single" w:sz="4" w:space="0" w:color="auto"/>
            </w:tcBorders>
            <w:shd w:val="clear" w:color="auto" w:fill="auto"/>
            <w:hideMark/>
          </w:tcPr>
          <w:p w14:paraId="1941E2CF" w14:textId="77777777" w:rsidR="00247CBF" w:rsidRPr="00092ED7" w:rsidRDefault="00247CBF" w:rsidP="00247CBF">
            <w:pPr>
              <w:spacing w:after="0"/>
              <w:ind w:firstLineChars="100" w:firstLine="200"/>
              <w:rPr>
                <w:rFonts w:eastAsia="Times New Roman" w:cs="Times New Roman"/>
                <w:sz w:val="20"/>
                <w:szCs w:val="20"/>
                <w:lang w:val="sr-Cyrl-CS"/>
              </w:rPr>
            </w:pPr>
            <w:r w:rsidRPr="00092ED7">
              <w:rPr>
                <w:rFonts w:eastAsia="Times New Roman" w:cs="Times New Roman"/>
                <w:sz w:val="20"/>
                <w:szCs w:val="20"/>
                <w:lang w:val="sr-Cyrl-CS"/>
              </w:rPr>
              <w:t>- Старосне и превремене пензије</w:t>
            </w:r>
          </w:p>
        </w:tc>
        <w:tc>
          <w:tcPr>
            <w:tcW w:w="1205" w:type="dxa"/>
            <w:tcBorders>
              <w:top w:val="nil"/>
              <w:left w:val="nil"/>
              <w:bottom w:val="dotted" w:sz="4" w:space="0" w:color="000000"/>
              <w:right w:val="dotted" w:sz="4" w:space="0" w:color="000000"/>
            </w:tcBorders>
            <w:shd w:val="clear" w:color="auto" w:fill="auto"/>
          </w:tcPr>
          <w:p w14:paraId="0FA6D2C1"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0DEFE865"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47B31999"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3CE9D12F"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710AC04D"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44804E12" w14:textId="77777777" w:rsidR="00247CBF" w:rsidRPr="00092ED7" w:rsidRDefault="00247CBF" w:rsidP="00247CBF">
            <w:pPr>
              <w:spacing w:after="0"/>
              <w:jc w:val="center"/>
              <w:rPr>
                <w:rFonts w:eastAsia="Times New Roman" w:cs="Times New Roman"/>
                <w:sz w:val="20"/>
                <w:szCs w:val="20"/>
                <w:lang w:val="sr-Cyrl-CS"/>
              </w:rPr>
            </w:pPr>
          </w:p>
        </w:tc>
        <w:tc>
          <w:tcPr>
            <w:tcW w:w="1206" w:type="dxa"/>
            <w:tcBorders>
              <w:top w:val="nil"/>
              <w:left w:val="nil"/>
              <w:bottom w:val="dotted" w:sz="4" w:space="0" w:color="000000"/>
              <w:right w:val="double" w:sz="6" w:space="0" w:color="000000"/>
            </w:tcBorders>
            <w:shd w:val="clear" w:color="auto" w:fill="auto"/>
          </w:tcPr>
          <w:p w14:paraId="093FEB60" w14:textId="77777777" w:rsidR="00247CBF" w:rsidRPr="00092ED7" w:rsidRDefault="00247CBF" w:rsidP="00247CBF">
            <w:pPr>
              <w:spacing w:after="0"/>
              <w:jc w:val="center"/>
              <w:rPr>
                <w:rFonts w:eastAsia="Times New Roman" w:cs="Times New Roman"/>
                <w:sz w:val="20"/>
                <w:szCs w:val="20"/>
                <w:lang w:val="sr-Cyrl-CS"/>
              </w:rPr>
            </w:pPr>
          </w:p>
        </w:tc>
      </w:tr>
      <w:tr w:rsidR="00247CBF" w:rsidRPr="00092ED7" w14:paraId="37729D48" w14:textId="77777777" w:rsidTr="00247CBF">
        <w:trPr>
          <w:trHeight w:val="255"/>
        </w:trPr>
        <w:tc>
          <w:tcPr>
            <w:tcW w:w="6000" w:type="dxa"/>
            <w:tcBorders>
              <w:top w:val="nil"/>
              <w:left w:val="double" w:sz="6" w:space="0" w:color="000000"/>
              <w:bottom w:val="dotted" w:sz="4" w:space="0" w:color="000000"/>
              <w:right w:val="single" w:sz="4" w:space="0" w:color="auto"/>
            </w:tcBorders>
            <w:shd w:val="clear" w:color="auto" w:fill="auto"/>
            <w:hideMark/>
          </w:tcPr>
          <w:p w14:paraId="3F7F8AEA" w14:textId="77777777" w:rsidR="00247CBF" w:rsidRPr="00092ED7" w:rsidRDefault="00247CBF" w:rsidP="00247CBF">
            <w:pPr>
              <w:spacing w:after="0"/>
              <w:ind w:firstLineChars="100" w:firstLine="200"/>
              <w:rPr>
                <w:rFonts w:eastAsia="Times New Roman" w:cs="Times New Roman"/>
                <w:sz w:val="20"/>
                <w:szCs w:val="20"/>
                <w:lang w:val="sr-Cyrl-CS"/>
              </w:rPr>
            </w:pPr>
            <w:r w:rsidRPr="00092ED7">
              <w:rPr>
                <w:rFonts w:eastAsia="Times New Roman" w:cs="Times New Roman"/>
                <w:sz w:val="20"/>
                <w:szCs w:val="20"/>
                <w:lang w:val="sr-Cyrl-CS"/>
              </w:rPr>
              <w:t>- Остале пензије (инвалидске, породичне)</w:t>
            </w:r>
          </w:p>
        </w:tc>
        <w:tc>
          <w:tcPr>
            <w:tcW w:w="1205" w:type="dxa"/>
            <w:tcBorders>
              <w:top w:val="nil"/>
              <w:left w:val="nil"/>
              <w:bottom w:val="dotted" w:sz="4" w:space="0" w:color="000000"/>
              <w:right w:val="dotted" w:sz="4" w:space="0" w:color="000000"/>
            </w:tcBorders>
            <w:shd w:val="clear" w:color="auto" w:fill="auto"/>
          </w:tcPr>
          <w:p w14:paraId="1B0107E7"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1198FB0B"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34E38B78"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186A5675"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42839481"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4CE4F613" w14:textId="77777777" w:rsidR="00247CBF" w:rsidRPr="00092ED7" w:rsidRDefault="00247CBF" w:rsidP="00247CBF">
            <w:pPr>
              <w:spacing w:after="0"/>
              <w:jc w:val="center"/>
              <w:rPr>
                <w:rFonts w:eastAsia="Times New Roman" w:cs="Times New Roman"/>
                <w:sz w:val="20"/>
                <w:szCs w:val="20"/>
                <w:lang w:val="sr-Cyrl-CS"/>
              </w:rPr>
            </w:pPr>
          </w:p>
        </w:tc>
        <w:tc>
          <w:tcPr>
            <w:tcW w:w="1206" w:type="dxa"/>
            <w:tcBorders>
              <w:top w:val="nil"/>
              <w:left w:val="nil"/>
              <w:bottom w:val="dotted" w:sz="4" w:space="0" w:color="000000"/>
              <w:right w:val="double" w:sz="6" w:space="0" w:color="000000"/>
            </w:tcBorders>
            <w:shd w:val="clear" w:color="auto" w:fill="auto"/>
          </w:tcPr>
          <w:p w14:paraId="06C10F3F" w14:textId="77777777" w:rsidR="00247CBF" w:rsidRPr="00092ED7" w:rsidRDefault="00247CBF" w:rsidP="00247CBF">
            <w:pPr>
              <w:spacing w:after="0"/>
              <w:jc w:val="center"/>
              <w:rPr>
                <w:rFonts w:eastAsia="Times New Roman" w:cs="Times New Roman"/>
                <w:sz w:val="20"/>
                <w:szCs w:val="20"/>
                <w:lang w:val="sr-Cyrl-CS"/>
              </w:rPr>
            </w:pPr>
          </w:p>
        </w:tc>
      </w:tr>
      <w:tr w:rsidR="00247CBF" w:rsidRPr="00092ED7" w14:paraId="17876E85" w14:textId="77777777" w:rsidTr="00247CBF">
        <w:trPr>
          <w:trHeight w:val="510"/>
        </w:trPr>
        <w:tc>
          <w:tcPr>
            <w:tcW w:w="6000" w:type="dxa"/>
            <w:tcBorders>
              <w:top w:val="nil"/>
              <w:left w:val="double" w:sz="6" w:space="0" w:color="000000"/>
              <w:bottom w:val="dotted" w:sz="4" w:space="0" w:color="000000"/>
              <w:right w:val="single" w:sz="4" w:space="0" w:color="auto"/>
            </w:tcBorders>
            <w:shd w:val="clear" w:color="auto" w:fill="auto"/>
            <w:hideMark/>
          </w:tcPr>
          <w:p w14:paraId="4308B23E" w14:textId="77777777" w:rsidR="00247CBF" w:rsidRPr="00092ED7" w:rsidRDefault="00247CBF" w:rsidP="00247CBF">
            <w:pPr>
              <w:spacing w:after="0"/>
              <w:ind w:firstLineChars="100" w:firstLine="200"/>
              <w:rPr>
                <w:rFonts w:eastAsia="Times New Roman" w:cs="Times New Roman"/>
                <w:sz w:val="20"/>
                <w:szCs w:val="20"/>
                <w:lang w:val="sr-Cyrl-CS"/>
              </w:rPr>
            </w:pPr>
            <w:r w:rsidRPr="00092ED7">
              <w:rPr>
                <w:rFonts w:eastAsia="Times New Roman" w:cs="Times New Roman"/>
                <w:sz w:val="20"/>
                <w:szCs w:val="20"/>
                <w:lang w:val="sr-Cyrl-CS"/>
              </w:rPr>
              <w:t>- Професионалне пензије (уколико припадају општем нивоу државе)</w:t>
            </w:r>
          </w:p>
        </w:tc>
        <w:tc>
          <w:tcPr>
            <w:tcW w:w="1205" w:type="dxa"/>
            <w:tcBorders>
              <w:top w:val="nil"/>
              <w:left w:val="nil"/>
              <w:bottom w:val="dotted" w:sz="4" w:space="0" w:color="000000"/>
              <w:right w:val="dotted" w:sz="4" w:space="0" w:color="000000"/>
            </w:tcBorders>
            <w:shd w:val="clear" w:color="auto" w:fill="auto"/>
          </w:tcPr>
          <w:p w14:paraId="3FAABB42"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13DE9870"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5D8AC2C6"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2F5F07B6"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6BB7AC87"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0062A7F7" w14:textId="77777777" w:rsidR="00247CBF" w:rsidRPr="00092ED7" w:rsidRDefault="00247CBF" w:rsidP="00247CBF">
            <w:pPr>
              <w:spacing w:after="0"/>
              <w:jc w:val="center"/>
              <w:rPr>
                <w:rFonts w:eastAsia="Times New Roman" w:cs="Times New Roman"/>
                <w:sz w:val="20"/>
                <w:szCs w:val="20"/>
                <w:lang w:val="sr-Cyrl-CS"/>
              </w:rPr>
            </w:pPr>
          </w:p>
        </w:tc>
        <w:tc>
          <w:tcPr>
            <w:tcW w:w="1206" w:type="dxa"/>
            <w:tcBorders>
              <w:top w:val="nil"/>
              <w:left w:val="nil"/>
              <w:bottom w:val="dotted" w:sz="4" w:space="0" w:color="000000"/>
              <w:right w:val="double" w:sz="6" w:space="0" w:color="000000"/>
            </w:tcBorders>
            <w:shd w:val="clear" w:color="auto" w:fill="auto"/>
          </w:tcPr>
          <w:p w14:paraId="63D25804" w14:textId="77777777" w:rsidR="00247CBF" w:rsidRPr="00092ED7" w:rsidRDefault="00247CBF" w:rsidP="00247CBF">
            <w:pPr>
              <w:spacing w:after="0"/>
              <w:jc w:val="center"/>
              <w:rPr>
                <w:rFonts w:eastAsia="Times New Roman" w:cs="Times New Roman"/>
                <w:sz w:val="20"/>
                <w:szCs w:val="20"/>
                <w:lang w:val="sr-Cyrl-CS"/>
              </w:rPr>
            </w:pPr>
          </w:p>
        </w:tc>
      </w:tr>
      <w:tr w:rsidR="00247CBF" w:rsidRPr="00092ED7" w14:paraId="294F4221" w14:textId="77777777" w:rsidTr="00247CBF">
        <w:trPr>
          <w:trHeight w:val="255"/>
        </w:trPr>
        <w:tc>
          <w:tcPr>
            <w:tcW w:w="6000" w:type="dxa"/>
            <w:tcBorders>
              <w:top w:val="nil"/>
              <w:left w:val="double" w:sz="6" w:space="0" w:color="000000"/>
              <w:bottom w:val="dotted" w:sz="4" w:space="0" w:color="000000"/>
              <w:right w:val="single" w:sz="4" w:space="0" w:color="auto"/>
            </w:tcBorders>
            <w:shd w:val="clear" w:color="auto" w:fill="auto"/>
            <w:hideMark/>
          </w:tcPr>
          <w:p w14:paraId="41A796BE" w14:textId="77777777" w:rsidR="00247CBF" w:rsidRPr="00092ED7" w:rsidRDefault="00247CBF" w:rsidP="00247CBF">
            <w:pPr>
              <w:spacing w:after="0"/>
              <w:ind w:firstLineChars="100" w:firstLine="200"/>
              <w:rPr>
                <w:rFonts w:eastAsia="Times New Roman" w:cs="Times New Roman"/>
                <w:sz w:val="20"/>
                <w:szCs w:val="20"/>
                <w:lang w:val="sr-Cyrl-CS"/>
              </w:rPr>
            </w:pPr>
            <w:r w:rsidRPr="00092ED7">
              <w:rPr>
                <w:rFonts w:eastAsia="Times New Roman" w:cs="Times New Roman"/>
                <w:sz w:val="20"/>
                <w:szCs w:val="20"/>
                <w:lang w:val="sr-Cyrl-CS"/>
              </w:rPr>
              <w:t>- Здравство</w:t>
            </w:r>
          </w:p>
        </w:tc>
        <w:tc>
          <w:tcPr>
            <w:tcW w:w="1205" w:type="dxa"/>
            <w:tcBorders>
              <w:top w:val="nil"/>
              <w:left w:val="nil"/>
              <w:bottom w:val="dotted" w:sz="4" w:space="0" w:color="000000"/>
              <w:right w:val="dotted" w:sz="4" w:space="0" w:color="000000"/>
            </w:tcBorders>
            <w:shd w:val="clear" w:color="auto" w:fill="auto"/>
          </w:tcPr>
          <w:p w14:paraId="554EDA3A"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4D16CFCA"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7F2E67B9"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324E2143"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7A5EE752"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25DD28C8" w14:textId="77777777" w:rsidR="00247CBF" w:rsidRPr="00092ED7" w:rsidRDefault="00247CBF" w:rsidP="00247CBF">
            <w:pPr>
              <w:spacing w:after="0"/>
              <w:jc w:val="center"/>
              <w:rPr>
                <w:rFonts w:eastAsia="Times New Roman" w:cs="Times New Roman"/>
                <w:sz w:val="20"/>
                <w:szCs w:val="20"/>
                <w:lang w:val="sr-Cyrl-CS"/>
              </w:rPr>
            </w:pPr>
          </w:p>
        </w:tc>
        <w:tc>
          <w:tcPr>
            <w:tcW w:w="1206" w:type="dxa"/>
            <w:tcBorders>
              <w:top w:val="nil"/>
              <w:left w:val="nil"/>
              <w:bottom w:val="dotted" w:sz="4" w:space="0" w:color="000000"/>
              <w:right w:val="double" w:sz="6" w:space="0" w:color="000000"/>
            </w:tcBorders>
            <w:shd w:val="clear" w:color="auto" w:fill="auto"/>
          </w:tcPr>
          <w:p w14:paraId="30723B07" w14:textId="77777777" w:rsidR="00247CBF" w:rsidRPr="00092ED7" w:rsidRDefault="00247CBF" w:rsidP="00247CBF">
            <w:pPr>
              <w:spacing w:after="0"/>
              <w:jc w:val="center"/>
              <w:rPr>
                <w:rFonts w:eastAsia="Times New Roman" w:cs="Times New Roman"/>
                <w:sz w:val="20"/>
                <w:szCs w:val="20"/>
                <w:lang w:val="sr-Cyrl-CS"/>
              </w:rPr>
            </w:pPr>
          </w:p>
        </w:tc>
      </w:tr>
      <w:tr w:rsidR="00247CBF" w:rsidRPr="00092ED7" w14:paraId="7B9AEF58" w14:textId="77777777" w:rsidTr="00247CBF">
        <w:trPr>
          <w:trHeight w:val="255"/>
        </w:trPr>
        <w:tc>
          <w:tcPr>
            <w:tcW w:w="6000" w:type="dxa"/>
            <w:tcBorders>
              <w:top w:val="nil"/>
              <w:left w:val="double" w:sz="6" w:space="0" w:color="000000"/>
              <w:bottom w:val="dotted" w:sz="4" w:space="0" w:color="000000"/>
              <w:right w:val="single" w:sz="4" w:space="0" w:color="auto"/>
            </w:tcBorders>
            <w:shd w:val="clear" w:color="auto" w:fill="auto"/>
            <w:hideMark/>
          </w:tcPr>
          <w:p w14:paraId="60A8A382" w14:textId="77777777" w:rsidR="00247CBF" w:rsidRPr="00092ED7" w:rsidRDefault="00247CBF" w:rsidP="00247CBF">
            <w:pPr>
              <w:spacing w:after="0"/>
              <w:ind w:firstLineChars="100" w:firstLine="200"/>
              <w:rPr>
                <w:rFonts w:eastAsia="Times New Roman" w:cs="Times New Roman"/>
                <w:sz w:val="20"/>
                <w:szCs w:val="20"/>
                <w:lang w:val="sr-Cyrl-CS"/>
              </w:rPr>
            </w:pPr>
            <w:r w:rsidRPr="00092ED7">
              <w:rPr>
                <w:rFonts w:eastAsia="Times New Roman" w:cs="Times New Roman"/>
                <w:sz w:val="20"/>
                <w:szCs w:val="20"/>
                <w:lang w:val="sr-Cyrl-CS"/>
              </w:rPr>
              <w:t>- Дуготрајна нега (раније је била укључена у здравство)</w:t>
            </w:r>
          </w:p>
        </w:tc>
        <w:tc>
          <w:tcPr>
            <w:tcW w:w="1205" w:type="dxa"/>
            <w:tcBorders>
              <w:top w:val="nil"/>
              <w:left w:val="nil"/>
              <w:bottom w:val="dotted" w:sz="4" w:space="0" w:color="000000"/>
              <w:right w:val="dotted" w:sz="4" w:space="0" w:color="000000"/>
            </w:tcBorders>
            <w:shd w:val="clear" w:color="auto" w:fill="auto"/>
          </w:tcPr>
          <w:p w14:paraId="4095A2EB"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4797F267"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2B3B3BE0"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1A74CDC7"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0E071720"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410ED335" w14:textId="77777777" w:rsidR="00247CBF" w:rsidRPr="00092ED7" w:rsidRDefault="00247CBF" w:rsidP="00247CBF">
            <w:pPr>
              <w:spacing w:after="0"/>
              <w:jc w:val="center"/>
              <w:rPr>
                <w:rFonts w:eastAsia="Times New Roman" w:cs="Times New Roman"/>
                <w:sz w:val="20"/>
                <w:szCs w:val="20"/>
                <w:lang w:val="sr-Cyrl-CS"/>
              </w:rPr>
            </w:pPr>
          </w:p>
        </w:tc>
        <w:tc>
          <w:tcPr>
            <w:tcW w:w="1206" w:type="dxa"/>
            <w:tcBorders>
              <w:top w:val="nil"/>
              <w:left w:val="nil"/>
              <w:bottom w:val="dotted" w:sz="4" w:space="0" w:color="000000"/>
              <w:right w:val="double" w:sz="6" w:space="0" w:color="000000"/>
            </w:tcBorders>
            <w:shd w:val="clear" w:color="auto" w:fill="auto"/>
          </w:tcPr>
          <w:p w14:paraId="70C97503" w14:textId="77777777" w:rsidR="00247CBF" w:rsidRPr="00092ED7" w:rsidRDefault="00247CBF" w:rsidP="00247CBF">
            <w:pPr>
              <w:spacing w:after="0"/>
              <w:jc w:val="center"/>
              <w:rPr>
                <w:rFonts w:eastAsia="Times New Roman" w:cs="Times New Roman"/>
                <w:sz w:val="20"/>
                <w:szCs w:val="20"/>
                <w:lang w:val="sr-Cyrl-CS"/>
              </w:rPr>
            </w:pPr>
          </w:p>
        </w:tc>
      </w:tr>
      <w:tr w:rsidR="00247CBF" w:rsidRPr="00092ED7" w14:paraId="6BB13CEA" w14:textId="77777777" w:rsidTr="00247CBF">
        <w:trPr>
          <w:trHeight w:val="255"/>
        </w:trPr>
        <w:tc>
          <w:tcPr>
            <w:tcW w:w="6000" w:type="dxa"/>
            <w:tcBorders>
              <w:top w:val="nil"/>
              <w:left w:val="double" w:sz="6" w:space="0" w:color="000000"/>
              <w:bottom w:val="dotted" w:sz="4" w:space="0" w:color="000000"/>
              <w:right w:val="single" w:sz="4" w:space="0" w:color="auto"/>
            </w:tcBorders>
            <w:shd w:val="clear" w:color="auto" w:fill="auto"/>
            <w:hideMark/>
          </w:tcPr>
          <w:p w14:paraId="01DCFB88"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Расходи за образовање</w:t>
            </w:r>
          </w:p>
        </w:tc>
        <w:tc>
          <w:tcPr>
            <w:tcW w:w="1205" w:type="dxa"/>
            <w:tcBorders>
              <w:top w:val="nil"/>
              <w:left w:val="nil"/>
              <w:bottom w:val="dotted" w:sz="4" w:space="0" w:color="000000"/>
              <w:right w:val="dotted" w:sz="4" w:space="0" w:color="000000"/>
            </w:tcBorders>
            <w:shd w:val="clear" w:color="auto" w:fill="auto"/>
          </w:tcPr>
          <w:p w14:paraId="15AA4DED"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417C3572"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551B37AC"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1033927C"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25876016"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557DF8F1" w14:textId="77777777" w:rsidR="00247CBF" w:rsidRPr="00092ED7" w:rsidRDefault="00247CBF" w:rsidP="00247CBF">
            <w:pPr>
              <w:spacing w:after="0"/>
              <w:jc w:val="center"/>
              <w:rPr>
                <w:rFonts w:eastAsia="Times New Roman" w:cs="Times New Roman"/>
                <w:sz w:val="20"/>
                <w:szCs w:val="20"/>
                <w:lang w:val="sr-Cyrl-CS"/>
              </w:rPr>
            </w:pPr>
          </w:p>
        </w:tc>
        <w:tc>
          <w:tcPr>
            <w:tcW w:w="1206" w:type="dxa"/>
            <w:tcBorders>
              <w:top w:val="nil"/>
              <w:left w:val="nil"/>
              <w:bottom w:val="dotted" w:sz="4" w:space="0" w:color="000000"/>
              <w:right w:val="double" w:sz="6" w:space="0" w:color="000000"/>
            </w:tcBorders>
            <w:shd w:val="clear" w:color="auto" w:fill="auto"/>
          </w:tcPr>
          <w:p w14:paraId="5CC4244B" w14:textId="77777777" w:rsidR="00247CBF" w:rsidRPr="00092ED7" w:rsidRDefault="00247CBF" w:rsidP="00247CBF">
            <w:pPr>
              <w:spacing w:after="0"/>
              <w:jc w:val="center"/>
              <w:rPr>
                <w:rFonts w:eastAsia="Times New Roman" w:cs="Times New Roman"/>
                <w:sz w:val="20"/>
                <w:szCs w:val="20"/>
                <w:lang w:val="sr-Cyrl-CS"/>
              </w:rPr>
            </w:pPr>
          </w:p>
        </w:tc>
      </w:tr>
      <w:tr w:rsidR="00247CBF" w:rsidRPr="00092ED7" w14:paraId="65ECAF23" w14:textId="77777777" w:rsidTr="00247CBF">
        <w:trPr>
          <w:trHeight w:val="255"/>
        </w:trPr>
        <w:tc>
          <w:tcPr>
            <w:tcW w:w="6000" w:type="dxa"/>
            <w:tcBorders>
              <w:top w:val="nil"/>
              <w:left w:val="double" w:sz="6" w:space="0" w:color="000000"/>
              <w:bottom w:val="dotted" w:sz="4" w:space="0" w:color="000000"/>
              <w:right w:val="single" w:sz="4" w:space="0" w:color="auto"/>
            </w:tcBorders>
            <w:shd w:val="clear" w:color="auto" w:fill="auto"/>
            <w:hideMark/>
          </w:tcPr>
          <w:p w14:paraId="097ADDE3"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Остали расходи везани за године живота</w:t>
            </w:r>
          </w:p>
        </w:tc>
        <w:tc>
          <w:tcPr>
            <w:tcW w:w="1205" w:type="dxa"/>
            <w:tcBorders>
              <w:top w:val="nil"/>
              <w:left w:val="nil"/>
              <w:bottom w:val="dotted" w:sz="4" w:space="0" w:color="000000"/>
              <w:right w:val="dotted" w:sz="4" w:space="0" w:color="000000"/>
            </w:tcBorders>
            <w:shd w:val="clear" w:color="auto" w:fill="auto"/>
          </w:tcPr>
          <w:p w14:paraId="499F1120"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7660D349"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7B968F7A"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5A0B342E"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7ADDA219"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23A08DAC" w14:textId="77777777" w:rsidR="00247CBF" w:rsidRPr="00092ED7" w:rsidRDefault="00247CBF" w:rsidP="00247CBF">
            <w:pPr>
              <w:spacing w:after="0"/>
              <w:jc w:val="center"/>
              <w:rPr>
                <w:rFonts w:eastAsia="Times New Roman" w:cs="Times New Roman"/>
                <w:sz w:val="20"/>
                <w:szCs w:val="20"/>
                <w:lang w:val="sr-Cyrl-CS"/>
              </w:rPr>
            </w:pPr>
          </w:p>
        </w:tc>
        <w:tc>
          <w:tcPr>
            <w:tcW w:w="1206" w:type="dxa"/>
            <w:tcBorders>
              <w:top w:val="nil"/>
              <w:left w:val="nil"/>
              <w:bottom w:val="dotted" w:sz="4" w:space="0" w:color="000000"/>
              <w:right w:val="double" w:sz="6" w:space="0" w:color="000000"/>
            </w:tcBorders>
            <w:shd w:val="clear" w:color="auto" w:fill="auto"/>
          </w:tcPr>
          <w:p w14:paraId="6167CB3C" w14:textId="77777777" w:rsidR="00247CBF" w:rsidRPr="00092ED7" w:rsidRDefault="00247CBF" w:rsidP="00247CBF">
            <w:pPr>
              <w:spacing w:after="0"/>
              <w:jc w:val="center"/>
              <w:rPr>
                <w:rFonts w:eastAsia="Times New Roman" w:cs="Times New Roman"/>
                <w:sz w:val="20"/>
                <w:szCs w:val="20"/>
                <w:lang w:val="sr-Cyrl-CS"/>
              </w:rPr>
            </w:pPr>
          </w:p>
        </w:tc>
      </w:tr>
      <w:tr w:rsidR="00247CBF" w:rsidRPr="00092ED7" w14:paraId="4716BD09" w14:textId="77777777" w:rsidTr="00247CBF">
        <w:trPr>
          <w:trHeight w:val="255"/>
        </w:trPr>
        <w:tc>
          <w:tcPr>
            <w:tcW w:w="6000" w:type="dxa"/>
            <w:tcBorders>
              <w:top w:val="nil"/>
              <w:left w:val="double" w:sz="6" w:space="0" w:color="000000"/>
              <w:bottom w:val="dotted" w:sz="4" w:space="0" w:color="000000"/>
              <w:right w:val="single" w:sz="4" w:space="0" w:color="auto"/>
            </w:tcBorders>
            <w:shd w:val="clear" w:color="auto" w:fill="auto"/>
            <w:hideMark/>
          </w:tcPr>
          <w:p w14:paraId="4407B299"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Расходи за камате</w:t>
            </w:r>
          </w:p>
        </w:tc>
        <w:tc>
          <w:tcPr>
            <w:tcW w:w="1205" w:type="dxa"/>
            <w:tcBorders>
              <w:top w:val="nil"/>
              <w:left w:val="nil"/>
              <w:bottom w:val="dotted" w:sz="4" w:space="0" w:color="000000"/>
              <w:right w:val="dotted" w:sz="4" w:space="0" w:color="000000"/>
            </w:tcBorders>
            <w:shd w:val="clear" w:color="auto" w:fill="auto"/>
          </w:tcPr>
          <w:p w14:paraId="765B6C19"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2C4EF717"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6C69F882"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386F742F"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26C90AB7"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09ACC794" w14:textId="77777777" w:rsidR="00247CBF" w:rsidRPr="00092ED7" w:rsidRDefault="00247CBF" w:rsidP="00247CBF">
            <w:pPr>
              <w:spacing w:after="0"/>
              <w:jc w:val="center"/>
              <w:rPr>
                <w:rFonts w:eastAsia="Times New Roman" w:cs="Times New Roman"/>
                <w:sz w:val="20"/>
                <w:szCs w:val="20"/>
                <w:lang w:val="sr-Cyrl-CS"/>
              </w:rPr>
            </w:pPr>
          </w:p>
        </w:tc>
        <w:tc>
          <w:tcPr>
            <w:tcW w:w="1206" w:type="dxa"/>
            <w:tcBorders>
              <w:top w:val="nil"/>
              <w:left w:val="nil"/>
              <w:bottom w:val="dotted" w:sz="4" w:space="0" w:color="000000"/>
              <w:right w:val="double" w:sz="6" w:space="0" w:color="000000"/>
            </w:tcBorders>
            <w:shd w:val="clear" w:color="auto" w:fill="auto"/>
          </w:tcPr>
          <w:p w14:paraId="44713BFA" w14:textId="77777777" w:rsidR="00247CBF" w:rsidRPr="00092ED7" w:rsidRDefault="00247CBF" w:rsidP="00247CBF">
            <w:pPr>
              <w:spacing w:after="0"/>
              <w:jc w:val="center"/>
              <w:rPr>
                <w:rFonts w:eastAsia="Times New Roman" w:cs="Times New Roman"/>
                <w:sz w:val="20"/>
                <w:szCs w:val="20"/>
                <w:lang w:val="sr-Cyrl-CS"/>
              </w:rPr>
            </w:pPr>
          </w:p>
        </w:tc>
      </w:tr>
      <w:tr w:rsidR="00247CBF" w:rsidRPr="00092ED7" w14:paraId="1AFC4D8F" w14:textId="77777777" w:rsidTr="00247CBF">
        <w:trPr>
          <w:trHeight w:val="255"/>
        </w:trPr>
        <w:tc>
          <w:tcPr>
            <w:tcW w:w="6000" w:type="dxa"/>
            <w:tcBorders>
              <w:top w:val="nil"/>
              <w:left w:val="double" w:sz="6" w:space="0" w:color="000000"/>
              <w:bottom w:val="dotted" w:sz="4" w:space="0" w:color="000000"/>
              <w:right w:val="single" w:sz="4" w:space="0" w:color="auto"/>
            </w:tcBorders>
            <w:shd w:val="clear" w:color="auto" w:fill="auto"/>
            <w:hideMark/>
          </w:tcPr>
          <w:p w14:paraId="4E5EEC98"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Укупни приходи</w:t>
            </w:r>
          </w:p>
        </w:tc>
        <w:tc>
          <w:tcPr>
            <w:tcW w:w="1205" w:type="dxa"/>
            <w:tcBorders>
              <w:top w:val="nil"/>
              <w:left w:val="nil"/>
              <w:bottom w:val="dotted" w:sz="4" w:space="0" w:color="000000"/>
              <w:right w:val="dotted" w:sz="4" w:space="0" w:color="000000"/>
            </w:tcBorders>
            <w:shd w:val="clear" w:color="auto" w:fill="auto"/>
          </w:tcPr>
          <w:p w14:paraId="2AA75365"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70370ACD"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0AA654C2"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2A0E5ABD"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03BBCA59"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564E68F6" w14:textId="77777777" w:rsidR="00247CBF" w:rsidRPr="00092ED7" w:rsidRDefault="00247CBF" w:rsidP="00247CBF">
            <w:pPr>
              <w:spacing w:after="0"/>
              <w:jc w:val="center"/>
              <w:rPr>
                <w:rFonts w:eastAsia="Times New Roman" w:cs="Times New Roman"/>
                <w:sz w:val="20"/>
                <w:szCs w:val="20"/>
                <w:lang w:val="sr-Cyrl-CS"/>
              </w:rPr>
            </w:pPr>
          </w:p>
        </w:tc>
        <w:tc>
          <w:tcPr>
            <w:tcW w:w="1206" w:type="dxa"/>
            <w:tcBorders>
              <w:top w:val="nil"/>
              <w:left w:val="nil"/>
              <w:bottom w:val="dotted" w:sz="4" w:space="0" w:color="000000"/>
              <w:right w:val="double" w:sz="6" w:space="0" w:color="000000"/>
            </w:tcBorders>
            <w:shd w:val="clear" w:color="auto" w:fill="auto"/>
          </w:tcPr>
          <w:p w14:paraId="191D7ACA" w14:textId="77777777" w:rsidR="00247CBF" w:rsidRPr="00092ED7" w:rsidRDefault="00247CBF" w:rsidP="00247CBF">
            <w:pPr>
              <w:spacing w:after="0"/>
              <w:jc w:val="center"/>
              <w:rPr>
                <w:rFonts w:eastAsia="Times New Roman" w:cs="Times New Roman"/>
                <w:sz w:val="20"/>
                <w:szCs w:val="20"/>
                <w:lang w:val="sr-Cyrl-CS"/>
              </w:rPr>
            </w:pPr>
          </w:p>
        </w:tc>
      </w:tr>
      <w:tr w:rsidR="00247CBF" w:rsidRPr="00092ED7" w14:paraId="426635D4" w14:textId="77777777" w:rsidTr="00247CBF">
        <w:trPr>
          <w:trHeight w:val="255"/>
        </w:trPr>
        <w:tc>
          <w:tcPr>
            <w:tcW w:w="6000" w:type="dxa"/>
            <w:tcBorders>
              <w:top w:val="nil"/>
              <w:left w:val="double" w:sz="6" w:space="0" w:color="000000"/>
              <w:bottom w:val="dotted" w:sz="4" w:space="0" w:color="000000"/>
              <w:right w:val="single" w:sz="4" w:space="0" w:color="auto"/>
            </w:tcBorders>
            <w:shd w:val="clear" w:color="auto" w:fill="auto"/>
            <w:hideMark/>
          </w:tcPr>
          <w:p w14:paraId="5C3826F0" w14:textId="77777777" w:rsidR="00247CBF" w:rsidRPr="00092ED7" w:rsidRDefault="00247CBF" w:rsidP="00247CBF">
            <w:pPr>
              <w:spacing w:after="0"/>
              <w:ind w:firstLineChars="100" w:firstLine="200"/>
              <w:rPr>
                <w:rFonts w:eastAsia="Times New Roman" w:cs="Times New Roman"/>
                <w:i/>
                <w:iCs/>
                <w:sz w:val="20"/>
                <w:szCs w:val="20"/>
                <w:lang w:val="sr-Cyrl-CS"/>
              </w:rPr>
            </w:pPr>
            <w:r w:rsidRPr="00092ED7">
              <w:rPr>
                <w:rFonts w:eastAsia="Times New Roman" w:cs="Times New Roman"/>
                <w:i/>
                <w:iCs/>
                <w:sz w:val="20"/>
                <w:szCs w:val="20"/>
                <w:lang w:val="sr-Cyrl-CS"/>
              </w:rPr>
              <w:t xml:space="preserve">од чега: </w:t>
            </w:r>
            <w:r w:rsidRPr="00092ED7">
              <w:rPr>
                <w:rFonts w:eastAsia="Times New Roman" w:cs="Times New Roman"/>
                <w:sz w:val="20"/>
                <w:szCs w:val="20"/>
                <w:lang w:val="sr-Cyrl-CS"/>
              </w:rPr>
              <w:t>приходи од имовине</w:t>
            </w:r>
          </w:p>
        </w:tc>
        <w:tc>
          <w:tcPr>
            <w:tcW w:w="1205" w:type="dxa"/>
            <w:tcBorders>
              <w:top w:val="nil"/>
              <w:left w:val="nil"/>
              <w:bottom w:val="dotted" w:sz="4" w:space="0" w:color="000000"/>
              <w:right w:val="dotted" w:sz="4" w:space="0" w:color="000000"/>
            </w:tcBorders>
            <w:shd w:val="clear" w:color="auto" w:fill="auto"/>
          </w:tcPr>
          <w:p w14:paraId="713AA3AB"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71A5D932"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028A3998"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0BD03B63"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4E82FD2A"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12370792" w14:textId="77777777" w:rsidR="00247CBF" w:rsidRPr="00092ED7" w:rsidRDefault="00247CBF" w:rsidP="00247CBF">
            <w:pPr>
              <w:spacing w:after="0"/>
              <w:jc w:val="center"/>
              <w:rPr>
                <w:rFonts w:eastAsia="Times New Roman" w:cs="Times New Roman"/>
                <w:sz w:val="20"/>
                <w:szCs w:val="20"/>
                <w:lang w:val="sr-Cyrl-CS"/>
              </w:rPr>
            </w:pPr>
          </w:p>
        </w:tc>
        <w:tc>
          <w:tcPr>
            <w:tcW w:w="1206" w:type="dxa"/>
            <w:tcBorders>
              <w:top w:val="nil"/>
              <w:left w:val="nil"/>
              <w:bottom w:val="dotted" w:sz="4" w:space="0" w:color="000000"/>
              <w:right w:val="double" w:sz="6" w:space="0" w:color="000000"/>
            </w:tcBorders>
            <w:shd w:val="clear" w:color="auto" w:fill="auto"/>
          </w:tcPr>
          <w:p w14:paraId="642A35FE" w14:textId="77777777" w:rsidR="00247CBF" w:rsidRPr="00092ED7" w:rsidRDefault="00247CBF" w:rsidP="00247CBF">
            <w:pPr>
              <w:spacing w:after="0"/>
              <w:jc w:val="center"/>
              <w:rPr>
                <w:rFonts w:eastAsia="Times New Roman" w:cs="Times New Roman"/>
                <w:sz w:val="20"/>
                <w:szCs w:val="20"/>
                <w:lang w:val="sr-Cyrl-CS"/>
              </w:rPr>
            </w:pPr>
          </w:p>
        </w:tc>
      </w:tr>
      <w:tr w:rsidR="00247CBF" w:rsidRPr="00092ED7" w14:paraId="7063B1C3" w14:textId="77777777" w:rsidTr="00247CBF">
        <w:trPr>
          <w:trHeight w:val="510"/>
        </w:trPr>
        <w:tc>
          <w:tcPr>
            <w:tcW w:w="6000" w:type="dxa"/>
            <w:tcBorders>
              <w:top w:val="nil"/>
              <w:left w:val="double" w:sz="6" w:space="0" w:color="000000"/>
              <w:bottom w:val="dotted" w:sz="4" w:space="0" w:color="000000"/>
              <w:right w:val="single" w:sz="4" w:space="0" w:color="auto"/>
            </w:tcBorders>
            <w:shd w:val="clear" w:color="auto" w:fill="auto"/>
            <w:hideMark/>
          </w:tcPr>
          <w:p w14:paraId="662BD6B6" w14:textId="77777777" w:rsidR="00247CBF" w:rsidRPr="00092ED7" w:rsidRDefault="00247CBF" w:rsidP="00247CBF">
            <w:pPr>
              <w:spacing w:after="0"/>
              <w:ind w:firstLineChars="200" w:firstLine="400"/>
              <w:rPr>
                <w:rFonts w:eastAsia="Times New Roman" w:cs="Times New Roman"/>
                <w:sz w:val="20"/>
                <w:szCs w:val="20"/>
                <w:lang w:val="sr-Cyrl-CS"/>
              </w:rPr>
            </w:pPr>
            <w:r w:rsidRPr="00092ED7">
              <w:rPr>
                <w:rFonts w:eastAsia="Times New Roman" w:cs="Times New Roman"/>
                <w:i/>
                <w:iCs/>
                <w:sz w:val="20"/>
                <w:szCs w:val="20"/>
                <w:lang w:val="sr-Cyrl-CS"/>
              </w:rPr>
              <w:t>од чега:</w:t>
            </w:r>
            <w:r w:rsidRPr="00092ED7">
              <w:rPr>
                <w:rFonts w:eastAsia="Times New Roman" w:cs="Times New Roman"/>
                <w:sz w:val="20"/>
                <w:szCs w:val="20"/>
                <w:lang w:val="sr-Cyrl-CS"/>
              </w:rPr>
              <w:t xml:space="preserve"> од доприноса за пензијско осигурање (или доприноса за социјално осигурање, уколико је то случај)</w:t>
            </w:r>
          </w:p>
        </w:tc>
        <w:tc>
          <w:tcPr>
            <w:tcW w:w="1205" w:type="dxa"/>
            <w:tcBorders>
              <w:top w:val="nil"/>
              <w:left w:val="nil"/>
              <w:bottom w:val="dotted" w:sz="4" w:space="0" w:color="000000"/>
              <w:right w:val="dotted" w:sz="4" w:space="0" w:color="000000"/>
            </w:tcBorders>
            <w:shd w:val="clear" w:color="auto" w:fill="auto"/>
          </w:tcPr>
          <w:p w14:paraId="3AD8F602"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3062882A"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4F0E7A24"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79708A78"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6D7D242A"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74E141C9" w14:textId="77777777" w:rsidR="00247CBF" w:rsidRPr="00092ED7" w:rsidRDefault="00247CBF" w:rsidP="00247CBF">
            <w:pPr>
              <w:spacing w:after="0"/>
              <w:jc w:val="center"/>
              <w:rPr>
                <w:rFonts w:eastAsia="Times New Roman" w:cs="Times New Roman"/>
                <w:sz w:val="20"/>
                <w:szCs w:val="20"/>
                <w:lang w:val="sr-Cyrl-CS"/>
              </w:rPr>
            </w:pPr>
          </w:p>
        </w:tc>
        <w:tc>
          <w:tcPr>
            <w:tcW w:w="1206" w:type="dxa"/>
            <w:tcBorders>
              <w:top w:val="nil"/>
              <w:left w:val="nil"/>
              <w:bottom w:val="dotted" w:sz="4" w:space="0" w:color="000000"/>
              <w:right w:val="double" w:sz="6" w:space="0" w:color="000000"/>
            </w:tcBorders>
            <w:shd w:val="clear" w:color="auto" w:fill="auto"/>
          </w:tcPr>
          <w:p w14:paraId="00A5B6D5" w14:textId="77777777" w:rsidR="00247CBF" w:rsidRPr="00092ED7" w:rsidRDefault="00247CBF" w:rsidP="00247CBF">
            <w:pPr>
              <w:spacing w:after="0"/>
              <w:jc w:val="center"/>
              <w:rPr>
                <w:rFonts w:eastAsia="Times New Roman" w:cs="Times New Roman"/>
                <w:sz w:val="20"/>
                <w:szCs w:val="20"/>
                <w:lang w:val="sr-Cyrl-CS"/>
              </w:rPr>
            </w:pPr>
          </w:p>
        </w:tc>
      </w:tr>
      <w:tr w:rsidR="00247CBF" w:rsidRPr="00092ED7" w14:paraId="3E993AED" w14:textId="77777777" w:rsidTr="00247CBF">
        <w:trPr>
          <w:trHeight w:val="255"/>
        </w:trPr>
        <w:tc>
          <w:tcPr>
            <w:tcW w:w="6000" w:type="dxa"/>
            <w:tcBorders>
              <w:top w:val="nil"/>
              <w:left w:val="double" w:sz="6" w:space="0" w:color="000000"/>
              <w:bottom w:val="dotted" w:sz="4" w:space="0" w:color="000000"/>
              <w:right w:val="single" w:sz="4" w:space="0" w:color="auto"/>
            </w:tcBorders>
            <w:shd w:val="clear" w:color="auto" w:fill="auto"/>
            <w:hideMark/>
          </w:tcPr>
          <w:p w14:paraId="3BA7825F"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Средства резервног пензијског фонда</w:t>
            </w:r>
          </w:p>
        </w:tc>
        <w:tc>
          <w:tcPr>
            <w:tcW w:w="1205" w:type="dxa"/>
            <w:tcBorders>
              <w:top w:val="nil"/>
              <w:left w:val="nil"/>
              <w:bottom w:val="dotted" w:sz="4" w:space="0" w:color="000000"/>
              <w:right w:val="dotted" w:sz="4" w:space="0" w:color="000000"/>
            </w:tcBorders>
            <w:shd w:val="clear" w:color="auto" w:fill="auto"/>
          </w:tcPr>
          <w:p w14:paraId="2441578C"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79C851F3"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14FCCB0B"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410630E6"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258EC178"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70A0F13B" w14:textId="77777777" w:rsidR="00247CBF" w:rsidRPr="00092ED7" w:rsidRDefault="00247CBF" w:rsidP="00247CBF">
            <w:pPr>
              <w:spacing w:after="0"/>
              <w:jc w:val="center"/>
              <w:rPr>
                <w:rFonts w:eastAsia="Times New Roman" w:cs="Times New Roman"/>
                <w:sz w:val="20"/>
                <w:szCs w:val="20"/>
                <w:lang w:val="sr-Cyrl-CS"/>
              </w:rPr>
            </w:pPr>
          </w:p>
        </w:tc>
        <w:tc>
          <w:tcPr>
            <w:tcW w:w="1206" w:type="dxa"/>
            <w:tcBorders>
              <w:top w:val="nil"/>
              <w:left w:val="nil"/>
              <w:bottom w:val="dotted" w:sz="4" w:space="0" w:color="000000"/>
              <w:right w:val="double" w:sz="6" w:space="0" w:color="000000"/>
            </w:tcBorders>
            <w:shd w:val="clear" w:color="auto" w:fill="auto"/>
          </w:tcPr>
          <w:p w14:paraId="69536010" w14:textId="77777777" w:rsidR="00247CBF" w:rsidRPr="00092ED7" w:rsidRDefault="00247CBF" w:rsidP="00247CBF">
            <w:pPr>
              <w:spacing w:after="0"/>
              <w:jc w:val="center"/>
              <w:rPr>
                <w:rFonts w:eastAsia="Times New Roman" w:cs="Times New Roman"/>
                <w:sz w:val="20"/>
                <w:szCs w:val="20"/>
                <w:lang w:val="sr-Cyrl-CS"/>
              </w:rPr>
            </w:pPr>
          </w:p>
        </w:tc>
      </w:tr>
      <w:tr w:rsidR="00247CBF" w:rsidRPr="00092ED7" w14:paraId="6EA1AE44" w14:textId="77777777" w:rsidTr="00247CBF">
        <w:trPr>
          <w:trHeight w:val="510"/>
        </w:trPr>
        <w:tc>
          <w:tcPr>
            <w:tcW w:w="6000" w:type="dxa"/>
            <w:tcBorders>
              <w:top w:val="nil"/>
              <w:left w:val="double" w:sz="6" w:space="0" w:color="000000"/>
              <w:bottom w:val="single" w:sz="4" w:space="0" w:color="auto"/>
              <w:right w:val="single" w:sz="4" w:space="0" w:color="auto"/>
            </w:tcBorders>
            <w:shd w:val="clear" w:color="auto" w:fill="auto"/>
            <w:hideMark/>
          </w:tcPr>
          <w:p w14:paraId="17766C45" w14:textId="77777777" w:rsidR="00247CBF" w:rsidRPr="00092ED7" w:rsidRDefault="00247CBF" w:rsidP="00247CBF">
            <w:pPr>
              <w:spacing w:after="0"/>
              <w:ind w:firstLineChars="200" w:firstLine="400"/>
              <w:rPr>
                <w:rFonts w:eastAsia="Times New Roman" w:cs="Times New Roman"/>
                <w:i/>
                <w:iCs/>
                <w:sz w:val="20"/>
                <w:szCs w:val="20"/>
                <w:lang w:val="sr-Cyrl-CS"/>
              </w:rPr>
            </w:pPr>
            <w:r w:rsidRPr="00092ED7">
              <w:rPr>
                <w:rFonts w:eastAsia="Times New Roman" w:cs="Times New Roman"/>
                <w:i/>
                <w:iCs/>
                <w:sz w:val="20"/>
                <w:szCs w:val="20"/>
                <w:lang w:val="sr-Cyrl-CS"/>
              </w:rPr>
              <w:t xml:space="preserve">од чега: </w:t>
            </w:r>
            <w:r w:rsidRPr="00092ED7">
              <w:rPr>
                <w:rFonts w:eastAsia="Times New Roman" w:cs="Times New Roman"/>
                <w:sz w:val="20"/>
                <w:szCs w:val="20"/>
                <w:lang w:val="sr-Cyrl-CS"/>
              </w:rPr>
              <w:t>консолидована средства јавног пензијског фонда (средства без државних обавеза)</w:t>
            </w:r>
          </w:p>
        </w:tc>
        <w:tc>
          <w:tcPr>
            <w:tcW w:w="1205" w:type="dxa"/>
            <w:tcBorders>
              <w:top w:val="nil"/>
              <w:left w:val="nil"/>
              <w:bottom w:val="single" w:sz="4" w:space="0" w:color="auto"/>
              <w:right w:val="dotted" w:sz="4" w:space="0" w:color="000000"/>
            </w:tcBorders>
            <w:shd w:val="clear" w:color="auto" w:fill="auto"/>
          </w:tcPr>
          <w:p w14:paraId="35244233"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single" w:sz="4" w:space="0" w:color="auto"/>
              <w:right w:val="dotted" w:sz="4" w:space="0" w:color="000000"/>
            </w:tcBorders>
            <w:shd w:val="clear" w:color="auto" w:fill="auto"/>
          </w:tcPr>
          <w:p w14:paraId="4B0C5BAB"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single" w:sz="4" w:space="0" w:color="auto"/>
              <w:right w:val="dotted" w:sz="4" w:space="0" w:color="000000"/>
            </w:tcBorders>
            <w:shd w:val="clear" w:color="auto" w:fill="auto"/>
          </w:tcPr>
          <w:p w14:paraId="3425915A"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single" w:sz="4" w:space="0" w:color="auto"/>
              <w:right w:val="dotted" w:sz="4" w:space="0" w:color="000000"/>
            </w:tcBorders>
            <w:shd w:val="clear" w:color="auto" w:fill="auto"/>
          </w:tcPr>
          <w:p w14:paraId="2046088F"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single" w:sz="4" w:space="0" w:color="auto"/>
              <w:right w:val="dotted" w:sz="4" w:space="0" w:color="000000"/>
            </w:tcBorders>
            <w:shd w:val="clear" w:color="auto" w:fill="auto"/>
          </w:tcPr>
          <w:p w14:paraId="39C307C7"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single" w:sz="4" w:space="0" w:color="auto"/>
              <w:right w:val="dotted" w:sz="4" w:space="0" w:color="000000"/>
            </w:tcBorders>
            <w:shd w:val="clear" w:color="auto" w:fill="auto"/>
          </w:tcPr>
          <w:p w14:paraId="0A0E2F1E" w14:textId="77777777" w:rsidR="00247CBF" w:rsidRPr="00092ED7" w:rsidRDefault="00247CBF" w:rsidP="00247CBF">
            <w:pPr>
              <w:spacing w:after="0"/>
              <w:jc w:val="center"/>
              <w:rPr>
                <w:rFonts w:eastAsia="Times New Roman" w:cs="Times New Roman"/>
                <w:sz w:val="20"/>
                <w:szCs w:val="20"/>
                <w:lang w:val="sr-Cyrl-CS"/>
              </w:rPr>
            </w:pPr>
          </w:p>
        </w:tc>
        <w:tc>
          <w:tcPr>
            <w:tcW w:w="1206" w:type="dxa"/>
            <w:tcBorders>
              <w:top w:val="nil"/>
              <w:left w:val="nil"/>
              <w:bottom w:val="single" w:sz="4" w:space="0" w:color="auto"/>
              <w:right w:val="double" w:sz="6" w:space="0" w:color="000000"/>
            </w:tcBorders>
            <w:shd w:val="clear" w:color="auto" w:fill="auto"/>
          </w:tcPr>
          <w:p w14:paraId="5D3252DC" w14:textId="77777777" w:rsidR="00247CBF" w:rsidRPr="00092ED7" w:rsidRDefault="00247CBF" w:rsidP="00247CBF">
            <w:pPr>
              <w:spacing w:after="0"/>
              <w:jc w:val="center"/>
              <w:rPr>
                <w:rFonts w:eastAsia="Times New Roman" w:cs="Times New Roman"/>
                <w:sz w:val="20"/>
                <w:szCs w:val="20"/>
                <w:lang w:val="sr-Cyrl-CS"/>
              </w:rPr>
            </w:pPr>
          </w:p>
        </w:tc>
      </w:tr>
      <w:tr w:rsidR="00247CBF" w:rsidRPr="00092ED7" w14:paraId="043348D1" w14:textId="77777777" w:rsidTr="00247CBF">
        <w:trPr>
          <w:trHeight w:val="255"/>
        </w:trPr>
        <w:tc>
          <w:tcPr>
            <w:tcW w:w="6000" w:type="dxa"/>
            <w:tcBorders>
              <w:top w:val="nil"/>
              <w:left w:val="double" w:sz="6" w:space="0" w:color="000000"/>
              <w:bottom w:val="single" w:sz="4" w:space="0" w:color="auto"/>
              <w:right w:val="nil"/>
            </w:tcBorders>
            <w:shd w:val="clear" w:color="auto" w:fill="auto"/>
            <w:hideMark/>
          </w:tcPr>
          <w:p w14:paraId="4BA75991" w14:textId="77777777" w:rsidR="00247CBF" w:rsidRPr="00092ED7" w:rsidRDefault="00247CBF" w:rsidP="00247CBF">
            <w:pPr>
              <w:spacing w:after="0"/>
              <w:jc w:val="center"/>
              <w:rPr>
                <w:rFonts w:eastAsia="Times New Roman" w:cs="Times New Roman"/>
                <w:b/>
                <w:bCs/>
                <w:sz w:val="20"/>
                <w:szCs w:val="20"/>
                <w:lang w:val="sr-Cyrl-CS"/>
              </w:rPr>
            </w:pPr>
            <w:r w:rsidRPr="00092ED7">
              <w:rPr>
                <w:rFonts w:eastAsia="Times New Roman" w:cs="Times New Roman"/>
                <w:b/>
                <w:bCs/>
                <w:sz w:val="20"/>
                <w:szCs w:val="20"/>
                <w:lang w:val="sr-Cyrl-CS"/>
              </w:rPr>
              <w:t>Претпоставке</w:t>
            </w:r>
          </w:p>
        </w:tc>
        <w:tc>
          <w:tcPr>
            <w:tcW w:w="1205" w:type="dxa"/>
            <w:tcBorders>
              <w:top w:val="nil"/>
              <w:left w:val="nil"/>
              <w:bottom w:val="single" w:sz="4" w:space="0" w:color="auto"/>
              <w:right w:val="nil"/>
            </w:tcBorders>
            <w:shd w:val="clear" w:color="auto" w:fill="auto"/>
          </w:tcPr>
          <w:p w14:paraId="6E23FB0C" w14:textId="77777777" w:rsidR="00247CBF" w:rsidRPr="00092ED7" w:rsidRDefault="00247CBF" w:rsidP="00247CBF">
            <w:pPr>
              <w:spacing w:after="0"/>
              <w:jc w:val="center"/>
              <w:rPr>
                <w:rFonts w:eastAsia="Times New Roman" w:cs="Times New Roman"/>
                <w:b/>
                <w:bCs/>
                <w:sz w:val="20"/>
                <w:szCs w:val="20"/>
                <w:lang w:val="sr-Cyrl-CS"/>
              </w:rPr>
            </w:pPr>
          </w:p>
        </w:tc>
        <w:tc>
          <w:tcPr>
            <w:tcW w:w="1205" w:type="dxa"/>
            <w:tcBorders>
              <w:top w:val="nil"/>
              <w:left w:val="nil"/>
              <w:bottom w:val="single" w:sz="4" w:space="0" w:color="auto"/>
              <w:right w:val="nil"/>
            </w:tcBorders>
            <w:shd w:val="clear" w:color="auto" w:fill="auto"/>
          </w:tcPr>
          <w:p w14:paraId="7562E05C" w14:textId="77777777" w:rsidR="00247CBF" w:rsidRPr="00092ED7" w:rsidRDefault="00247CBF" w:rsidP="00247CBF">
            <w:pPr>
              <w:spacing w:after="0"/>
              <w:jc w:val="center"/>
              <w:rPr>
                <w:rFonts w:eastAsia="Times New Roman" w:cs="Times New Roman"/>
                <w:b/>
                <w:bCs/>
                <w:sz w:val="20"/>
                <w:szCs w:val="20"/>
                <w:lang w:val="sr-Cyrl-CS"/>
              </w:rPr>
            </w:pPr>
          </w:p>
        </w:tc>
        <w:tc>
          <w:tcPr>
            <w:tcW w:w="1205" w:type="dxa"/>
            <w:tcBorders>
              <w:top w:val="nil"/>
              <w:left w:val="nil"/>
              <w:bottom w:val="single" w:sz="4" w:space="0" w:color="auto"/>
              <w:right w:val="nil"/>
            </w:tcBorders>
            <w:shd w:val="clear" w:color="auto" w:fill="auto"/>
          </w:tcPr>
          <w:p w14:paraId="6D4623ED" w14:textId="77777777" w:rsidR="00247CBF" w:rsidRPr="00092ED7" w:rsidRDefault="00247CBF" w:rsidP="00247CBF">
            <w:pPr>
              <w:spacing w:after="0"/>
              <w:jc w:val="center"/>
              <w:rPr>
                <w:rFonts w:eastAsia="Times New Roman" w:cs="Times New Roman"/>
                <w:b/>
                <w:bCs/>
                <w:sz w:val="20"/>
                <w:szCs w:val="20"/>
                <w:lang w:val="sr-Cyrl-CS"/>
              </w:rPr>
            </w:pPr>
          </w:p>
        </w:tc>
        <w:tc>
          <w:tcPr>
            <w:tcW w:w="1205" w:type="dxa"/>
            <w:tcBorders>
              <w:top w:val="nil"/>
              <w:left w:val="nil"/>
              <w:bottom w:val="single" w:sz="4" w:space="0" w:color="auto"/>
              <w:right w:val="nil"/>
            </w:tcBorders>
            <w:shd w:val="clear" w:color="auto" w:fill="auto"/>
          </w:tcPr>
          <w:p w14:paraId="36DD3AB4" w14:textId="77777777" w:rsidR="00247CBF" w:rsidRPr="00092ED7" w:rsidRDefault="00247CBF" w:rsidP="00247CBF">
            <w:pPr>
              <w:spacing w:after="0"/>
              <w:jc w:val="center"/>
              <w:rPr>
                <w:rFonts w:eastAsia="Times New Roman" w:cs="Times New Roman"/>
                <w:b/>
                <w:bCs/>
                <w:sz w:val="20"/>
                <w:szCs w:val="20"/>
                <w:lang w:val="sr-Cyrl-CS"/>
              </w:rPr>
            </w:pPr>
          </w:p>
        </w:tc>
        <w:tc>
          <w:tcPr>
            <w:tcW w:w="1205" w:type="dxa"/>
            <w:tcBorders>
              <w:top w:val="nil"/>
              <w:left w:val="nil"/>
              <w:bottom w:val="single" w:sz="4" w:space="0" w:color="auto"/>
              <w:right w:val="nil"/>
            </w:tcBorders>
            <w:shd w:val="clear" w:color="auto" w:fill="auto"/>
          </w:tcPr>
          <w:p w14:paraId="6021CBC1" w14:textId="77777777" w:rsidR="00247CBF" w:rsidRPr="00092ED7" w:rsidRDefault="00247CBF" w:rsidP="00247CBF">
            <w:pPr>
              <w:spacing w:after="0"/>
              <w:jc w:val="center"/>
              <w:rPr>
                <w:rFonts w:eastAsia="Times New Roman" w:cs="Times New Roman"/>
                <w:b/>
                <w:bCs/>
                <w:sz w:val="20"/>
                <w:szCs w:val="20"/>
                <w:lang w:val="sr-Cyrl-CS"/>
              </w:rPr>
            </w:pPr>
          </w:p>
        </w:tc>
        <w:tc>
          <w:tcPr>
            <w:tcW w:w="1205" w:type="dxa"/>
            <w:tcBorders>
              <w:top w:val="nil"/>
              <w:left w:val="nil"/>
              <w:bottom w:val="single" w:sz="4" w:space="0" w:color="auto"/>
              <w:right w:val="nil"/>
            </w:tcBorders>
            <w:shd w:val="clear" w:color="auto" w:fill="auto"/>
          </w:tcPr>
          <w:p w14:paraId="0B928614" w14:textId="77777777" w:rsidR="00247CBF" w:rsidRPr="00092ED7" w:rsidRDefault="00247CBF" w:rsidP="00247CBF">
            <w:pPr>
              <w:spacing w:after="0"/>
              <w:jc w:val="center"/>
              <w:rPr>
                <w:rFonts w:eastAsia="Times New Roman" w:cs="Times New Roman"/>
                <w:b/>
                <w:bCs/>
                <w:sz w:val="20"/>
                <w:szCs w:val="20"/>
                <w:lang w:val="sr-Cyrl-CS"/>
              </w:rPr>
            </w:pPr>
          </w:p>
        </w:tc>
        <w:tc>
          <w:tcPr>
            <w:tcW w:w="1206" w:type="dxa"/>
            <w:tcBorders>
              <w:top w:val="nil"/>
              <w:left w:val="nil"/>
              <w:bottom w:val="single" w:sz="4" w:space="0" w:color="auto"/>
              <w:right w:val="double" w:sz="6" w:space="0" w:color="000000"/>
            </w:tcBorders>
            <w:shd w:val="clear" w:color="auto" w:fill="auto"/>
          </w:tcPr>
          <w:p w14:paraId="0F2E7460" w14:textId="77777777" w:rsidR="00247CBF" w:rsidRPr="00092ED7" w:rsidRDefault="00247CBF" w:rsidP="00247CBF">
            <w:pPr>
              <w:spacing w:after="0"/>
              <w:jc w:val="center"/>
              <w:rPr>
                <w:rFonts w:eastAsia="Times New Roman" w:cs="Times New Roman"/>
                <w:b/>
                <w:bCs/>
                <w:sz w:val="20"/>
                <w:szCs w:val="20"/>
                <w:lang w:val="sr-Cyrl-CS"/>
              </w:rPr>
            </w:pPr>
          </w:p>
        </w:tc>
      </w:tr>
      <w:tr w:rsidR="00247CBF" w:rsidRPr="00092ED7" w14:paraId="5A673E28" w14:textId="77777777" w:rsidTr="00247CBF">
        <w:trPr>
          <w:trHeight w:val="255"/>
        </w:trPr>
        <w:tc>
          <w:tcPr>
            <w:tcW w:w="6000" w:type="dxa"/>
            <w:tcBorders>
              <w:top w:val="nil"/>
              <w:left w:val="double" w:sz="6" w:space="0" w:color="000000"/>
              <w:bottom w:val="dotted" w:sz="4" w:space="0" w:color="000000"/>
              <w:right w:val="single" w:sz="4" w:space="0" w:color="auto"/>
            </w:tcBorders>
            <w:shd w:val="clear" w:color="auto" w:fill="auto"/>
            <w:hideMark/>
          </w:tcPr>
          <w:p w14:paraId="3E7D2768"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Раст продуктивности рада</w:t>
            </w:r>
          </w:p>
        </w:tc>
        <w:tc>
          <w:tcPr>
            <w:tcW w:w="1205" w:type="dxa"/>
            <w:tcBorders>
              <w:top w:val="nil"/>
              <w:left w:val="nil"/>
              <w:bottom w:val="dotted" w:sz="4" w:space="0" w:color="000000"/>
              <w:right w:val="dotted" w:sz="4" w:space="0" w:color="000000"/>
            </w:tcBorders>
            <w:shd w:val="clear" w:color="auto" w:fill="auto"/>
          </w:tcPr>
          <w:p w14:paraId="625DA46F"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3D7A267E"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12238665"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77E78344"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07A3B8D9"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2EF71B19" w14:textId="77777777" w:rsidR="00247CBF" w:rsidRPr="00092ED7" w:rsidRDefault="00247CBF" w:rsidP="00247CBF">
            <w:pPr>
              <w:spacing w:after="0"/>
              <w:jc w:val="center"/>
              <w:rPr>
                <w:rFonts w:eastAsia="Times New Roman" w:cs="Times New Roman"/>
                <w:sz w:val="20"/>
                <w:szCs w:val="20"/>
                <w:lang w:val="sr-Cyrl-CS"/>
              </w:rPr>
            </w:pPr>
          </w:p>
        </w:tc>
        <w:tc>
          <w:tcPr>
            <w:tcW w:w="1206" w:type="dxa"/>
            <w:tcBorders>
              <w:top w:val="nil"/>
              <w:left w:val="nil"/>
              <w:bottom w:val="dotted" w:sz="4" w:space="0" w:color="000000"/>
              <w:right w:val="double" w:sz="6" w:space="0" w:color="000000"/>
            </w:tcBorders>
            <w:shd w:val="clear" w:color="auto" w:fill="auto"/>
          </w:tcPr>
          <w:p w14:paraId="58D765BF" w14:textId="77777777" w:rsidR="00247CBF" w:rsidRPr="00092ED7" w:rsidRDefault="00247CBF" w:rsidP="00247CBF">
            <w:pPr>
              <w:spacing w:after="0"/>
              <w:jc w:val="center"/>
              <w:rPr>
                <w:rFonts w:eastAsia="Times New Roman" w:cs="Times New Roman"/>
                <w:sz w:val="20"/>
                <w:szCs w:val="20"/>
                <w:lang w:val="sr-Cyrl-CS"/>
              </w:rPr>
            </w:pPr>
          </w:p>
        </w:tc>
      </w:tr>
      <w:tr w:rsidR="00247CBF" w:rsidRPr="00092ED7" w14:paraId="2A37437F" w14:textId="77777777" w:rsidTr="00247CBF">
        <w:trPr>
          <w:trHeight w:val="255"/>
        </w:trPr>
        <w:tc>
          <w:tcPr>
            <w:tcW w:w="6000" w:type="dxa"/>
            <w:tcBorders>
              <w:top w:val="nil"/>
              <w:left w:val="double" w:sz="6" w:space="0" w:color="000000"/>
              <w:bottom w:val="dotted" w:sz="4" w:space="0" w:color="000000"/>
              <w:right w:val="single" w:sz="4" w:space="0" w:color="auto"/>
            </w:tcBorders>
            <w:shd w:val="clear" w:color="auto" w:fill="auto"/>
            <w:hideMark/>
          </w:tcPr>
          <w:p w14:paraId="45C86257"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Реални раст БДП-а</w:t>
            </w:r>
          </w:p>
        </w:tc>
        <w:tc>
          <w:tcPr>
            <w:tcW w:w="1205" w:type="dxa"/>
            <w:tcBorders>
              <w:top w:val="nil"/>
              <w:left w:val="nil"/>
              <w:bottom w:val="dotted" w:sz="4" w:space="0" w:color="000000"/>
              <w:right w:val="dotted" w:sz="4" w:space="0" w:color="000000"/>
            </w:tcBorders>
            <w:shd w:val="clear" w:color="auto" w:fill="auto"/>
          </w:tcPr>
          <w:p w14:paraId="33718D55"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2647B4AC"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27EAE634"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798E29CF"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5DE6F0FE"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7FB837C8" w14:textId="77777777" w:rsidR="00247CBF" w:rsidRPr="00092ED7" w:rsidRDefault="00247CBF" w:rsidP="00247CBF">
            <w:pPr>
              <w:spacing w:after="0"/>
              <w:jc w:val="center"/>
              <w:rPr>
                <w:rFonts w:eastAsia="Times New Roman" w:cs="Times New Roman"/>
                <w:sz w:val="20"/>
                <w:szCs w:val="20"/>
                <w:lang w:val="sr-Cyrl-CS"/>
              </w:rPr>
            </w:pPr>
          </w:p>
        </w:tc>
        <w:tc>
          <w:tcPr>
            <w:tcW w:w="1206" w:type="dxa"/>
            <w:tcBorders>
              <w:top w:val="nil"/>
              <w:left w:val="nil"/>
              <w:bottom w:val="dotted" w:sz="4" w:space="0" w:color="000000"/>
              <w:right w:val="double" w:sz="6" w:space="0" w:color="000000"/>
            </w:tcBorders>
            <w:shd w:val="clear" w:color="auto" w:fill="auto"/>
          </w:tcPr>
          <w:p w14:paraId="5940E8FE" w14:textId="77777777" w:rsidR="00247CBF" w:rsidRPr="00092ED7" w:rsidRDefault="00247CBF" w:rsidP="00247CBF">
            <w:pPr>
              <w:spacing w:after="0"/>
              <w:jc w:val="center"/>
              <w:rPr>
                <w:rFonts w:eastAsia="Times New Roman" w:cs="Times New Roman"/>
                <w:sz w:val="20"/>
                <w:szCs w:val="20"/>
                <w:lang w:val="sr-Cyrl-CS"/>
              </w:rPr>
            </w:pPr>
          </w:p>
        </w:tc>
      </w:tr>
      <w:tr w:rsidR="00247CBF" w:rsidRPr="00092ED7" w14:paraId="48A42A80" w14:textId="77777777" w:rsidTr="00247CBF">
        <w:trPr>
          <w:trHeight w:val="255"/>
        </w:trPr>
        <w:tc>
          <w:tcPr>
            <w:tcW w:w="6000" w:type="dxa"/>
            <w:tcBorders>
              <w:top w:val="nil"/>
              <w:left w:val="double" w:sz="6" w:space="0" w:color="000000"/>
              <w:bottom w:val="dotted" w:sz="4" w:space="0" w:color="000000"/>
              <w:right w:val="single" w:sz="4" w:space="0" w:color="auto"/>
            </w:tcBorders>
            <w:shd w:val="clear" w:color="auto" w:fill="auto"/>
            <w:hideMark/>
          </w:tcPr>
          <w:p w14:paraId="25253635"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Стопа активности мушкараца (20-64 год.)</w:t>
            </w:r>
          </w:p>
        </w:tc>
        <w:tc>
          <w:tcPr>
            <w:tcW w:w="1205" w:type="dxa"/>
            <w:tcBorders>
              <w:top w:val="nil"/>
              <w:left w:val="nil"/>
              <w:bottom w:val="dotted" w:sz="4" w:space="0" w:color="000000"/>
              <w:right w:val="dotted" w:sz="4" w:space="0" w:color="000000"/>
            </w:tcBorders>
            <w:shd w:val="clear" w:color="auto" w:fill="auto"/>
          </w:tcPr>
          <w:p w14:paraId="1F9D4548"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6F778D35"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587110FB"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04A5483A"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53D080C8"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00E95CD7" w14:textId="77777777" w:rsidR="00247CBF" w:rsidRPr="00092ED7" w:rsidRDefault="00247CBF" w:rsidP="00247CBF">
            <w:pPr>
              <w:spacing w:after="0"/>
              <w:jc w:val="center"/>
              <w:rPr>
                <w:rFonts w:eastAsia="Times New Roman" w:cs="Times New Roman"/>
                <w:sz w:val="20"/>
                <w:szCs w:val="20"/>
                <w:lang w:val="sr-Cyrl-CS"/>
              </w:rPr>
            </w:pPr>
          </w:p>
        </w:tc>
        <w:tc>
          <w:tcPr>
            <w:tcW w:w="1206" w:type="dxa"/>
            <w:tcBorders>
              <w:top w:val="nil"/>
              <w:left w:val="nil"/>
              <w:bottom w:val="dotted" w:sz="4" w:space="0" w:color="000000"/>
              <w:right w:val="double" w:sz="6" w:space="0" w:color="000000"/>
            </w:tcBorders>
            <w:shd w:val="clear" w:color="auto" w:fill="auto"/>
          </w:tcPr>
          <w:p w14:paraId="139B51F7" w14:textId="77777777" w:rsidR="00247CBF" w:rsidRPr="00092ED7" w:rsidRDefault="00247CBF" w:rsidP="00247CBF">
            <w:pPr>
              <w:spacing w:after="0"/>
              <w:jc w:val="center"/>
              <w:rPr>
                <w:rFonts w:eastAsia="Times New Roman" w:cs="Times New Roman"/>
                <w:sz w:val="20"/>
                <w:szCs w:val="20"/>
                <w:lang w:val="sr-Cyrl-CS"/>
              </w:rPr>
            </w:pPr>
          </w:p>
        </w:tc>
      </w:tr>
      <w:tr w:rsidR="00247CBF" w:rsidRPr="00092ED7" w14:paraId="191865DE" w14:textId="77777777" w:rsidTr="00247CBF">
        <w:trPr>
          <w:trHeight w:val="255"/>
        </w:trPr>
        <w:tc>
          <w:tcPr>
            <w:tcW w:w="6000" w:type="dxa"/>
            <w:tcBorders>
              <w:top w:val="nil"/>
              <w:left w:val="double" w:sz="6" w:space="0" w:color="000000"/>
              <w:bottom w:val="dotted" w:sz="4" w:space="0" w:color="000000"/>
              <w:right w:val="single" w:sz="4" w:space="0" w:color="auto"/>
            </w:tcBorders>
            <w:shd w:val="clear" w:color="auto" w:fill="auto"/>
            <w:hideMark/>
          </w:tcPr>
          <w:p w14:paraId="5CFF5790"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Стопа активности жена (20-64 год.)</w:t>
            </w:r>
          </w:p>
        </w:tc>
        <w:tc>
          <w:tcPr>
            <w:tcW w:w="1205" w:type="dxa"/>
            <w:tcBorders>
              <w:top w:val="nil"/>
              <w:left w:val="nil"/>
              <w:bottom w:val="dotted" w:sz="4" w:space="0" w:color="000000"/>
              <w:right w:val="dotted" w:sz="4" w:space="0" w:color="000000"/>
            </w:tcBorders>
            <w:shd w:val="clear" w:color="auto" w:fill="auto"/>
          </w:tcPr>
          <w:p w14:paraId="4ACF166A"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059BB7F4"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41ECBE24"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32475541"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759E60D9"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57F6548D" w14:textId="77777777" w:rsidR="00247CBF" w:rsidRPr="00092ED7" w:rsidRDefault="00247CBF" w:rsidP="00247CBF">
            <w:pPr>
              <w:spacing w:after="0"/>
              <w:jc w:val="center"/>
              <w:rPr>
                <w:rFonts w:eastAsia="Times New Roman" w:cs="Times New Roman"/>
                <w:sz w:val="20"/>
                <w:szCs w:val="20"/>
                <w:lang w:val="sr-Cyrl-CS"/>
              </w:rPr>
            </w:pPr>
          </w:p>
        </w:tc>
        <w:tc>
          <w:tcPr>
            <w:tcW w:w="1206" w:type="dxa"/>
            <w:tcBorders>
              <w:top w:val="nil"/>
              <w:left w:val="nil"/>
              <w:bottom w:val="dotted" w:sz="4" w:space="0" w:color="000000"/>
              <w:right w:val="double" w:sz="6" w:space="0" w:color="000000"/>
            </w:tcBorders>
            <w:shd w:val="clear" w:color="auto" w:fill="auto"/>
          </w:tcPr>
          <w:p w14:paraId="20167878" w14:textId="77777777" w:rsidR="00247CBF" w:rsidRPr="00092ED7" w:rsidRDefault="00247CBF" w:rsidP="00247CBF">
            <w:pPr>
              <w:spacing w:after="0"/>
              <w:jc w:val="center"/>
              <w:rPr>
                <w:rFonts w:eastAsia="Times New Roman" w:cs="Times New Roman"/>
                <w:sz w:val="20"/>
                <w:szCs w:val="20"/>
                <w:lang w:val="sr-Cyrl-CS"/>
              </w:rPr>
            </w:pPr>
          </w:p>
        </w:tc>
      </w:tr>
      <w:tr w:rsidR="00247CBF" w:rsidRPr="00092ED7" w14:paraId="3CD72E1C" w14:textId="77777777" w:rsidTr="00247CBF">
        <w:trPr>
          <w:trHeight w:val="255"/>
        </w:trPr>
        <w:tc>
          <w:tcPr>
            <w:tcW w:w="6000" w:type="dxa"/>
            <w:tcBorders>
              <w:top w:val="nil"/>
              <w:left w:val="double" w:sz="6" w:space="0" w:color="000000"/>
              <w:bottom w:val="dotted" w:sz="4" w:space="0" w:color="000000"/>
              <w:right w:val="single" w:sz="4" w:space="0" w:color="auto"/>
            </w:tcBorders>
            <w:shd w:val="clear" w:color="auto" w:fill="auto"/>
            <w:hideMark/>
          </w:tcPr>
          <w:p w14:paraId="5808BA0F"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Општа стопа активности (20-64 год.)</w:t>
            </w:r>
          </w:p>
        </w:tc>
        <w:tc>
          <w:tcPr>
            <w:tcW w:w="1205" w:type="dxa"/>
            <w:tcBorders>
              <w:top w:val="nil"/>
              <w:left w:val="nil"/>
              <w:bottom w:val="dotted" w:sz="4" w:space="0" w:color="000000"/>
              <w:right w:val="dotted" w:sz="4" w:space="0" w:color="000000"/>
            </w:tcBorders>
            <w:shd w:val="clear" w:color="auto" w:fill="auto"/>
          </w:tcPr>
          <w:p w14:paraId="61D6A511"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0287724B"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2138570D"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09706339"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379B2F7D"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5779A793" w14:textId="77777777" w:rsidR="00247CBF" w:rsidRPr="00092ED7" w:rsidRDefault="00247CBF" w:rsidP="00247CBF">
            <w:pPr>
              <w:spacing w:after="0"/>
              <w:jc w:val="center"/>
              <w:rPr>
                <w:rFonts w:eastAsia="Times New Roman" w:cs="Times New Roman"/>
                <w:sz w:val="20"/>
                <w:szCs w:val="20"/>
                <w:lang w:val="sr-Cyrl-CS"/>
              </w:rPr>
            </w:pPr>
          </w:p>
        </w:tc>
        <w:tc>
          <w:tcPr>
            <w:tcW w:w="1206" w:type="dxa"/>
            <w:tcBorders>
              <w:top w:val="nil"/>
              <w:left w:val="nil"/>
              <w:bottom w:val="dotted" w:sz="4" w:space="0" w:color="000000"/>
              <w:right w:val="double" w:sz="6" w:space="0" w:color="000000"/>
            </w:tcBorders>
            <w:shd w:val="clear" w:color="auto" w:fill="auto"/>
          </w:tcPr>
          <w:p w14:paraId="711E9215" w14:textId="77777777" w:rsidR="00247CBF" w:rsidRPr="00092ED7" w:rsidRDefault="00247CBF" w:rsidP="00247CBF">
            <w:pPr>
              <w:spacing w:after="0"/>
              <w:jc w:val="center"/>
              <w:rPr>
                <w:rFonts w:eastAsia="Times New Roman" w:cs="Times New Roman"/>
                <w:sz w:val="20"/>
                <w:szCs w:val="20"/>
                <w:lang w:val="sr-Cyrl-CS"/>
              </w:rPr>
            </w:pPr>
          </w:p>
        </w:tc>
      </w:tr>
      <w:tr w:rsidR="00247CBF" w:rsidRPr="00092ED7" w14:paraId="49C1A89E" w14:textId="77777777" w:rsidTr="00247CBF">
        <w:trPr>
          <w:trHeight w:val="255"/>
        </w:trPr>
        <w:tc>
          <w:tcPr>
            <w:tcW w:w="6000" w:type="dxa"/>
            <w:tcBorders>
              <w:top w:val="nil"/>
              <w:left w:val="double" w:sz="6" w:space="0" w:color="000000"/>
              <w:bottom w:val="dotted" w:sz="4" w:space="0" w:color="000000"/>
              <w:right w:val="single" w:sz="4" w:space="0" w:color="auto"/>
            </w:tcBorders>
            <w:shd w:val="clear" w:color="auto" w:fill="auto"/>
            <w:hideMark/>
          </w:tcPr>
          <w:p w14:paraId="2610B307"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Стопа незапослености</w:t>
            </w:r>
          </w:p>
        </w:tc>
        <w:tc>
          <w:tcPr>
            <w:tcW w:w="1205" w:type="dxa"/>
            <w:tcBorders>
              <w:top w:val="nil"/>
              <w:left w:val="nil"/>
              <w:bottom w:val="dotted" w:sz="4" w:space="0" w:color="000000"/>
              <w:right w:val="dotted" w:sz="4" w:space="0" w:color="000000"/>
            </w:tcBorders>
            <w:shd w:val="clear" w:color="auto" w:fill="auto"/>
          </w:tcPr>
          <w:p w14:paraId="69B0D8A0"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40735E19"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24EDB51C"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4E49A659"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7A7F807E"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tted" w:sz="4" w:space="0" w:color="000000"/>
              <w:right w:val="dotted" w:sz="4" w:space="0" w:color="000000"/>
            </w:tcBorders>
            <w:shd w:val="clear" w:color="auto" w:fill="auto"/>
          </w:tcPr>
          <w:p w14:paraId="08714BA7" w14:textId="77777777" w:rsidR="00247CBF" w:rsidRPr="00092ED7" w:rsidRDefault="00247CBF" w:rsidP="00247CBF">
            <w:pPr>
              <w:spacing w:after="0"/>
              <w:jc w:val="center"/>
              <w:rPr>
                <w:rFonts w:eastAsia="Times New Roman" w:cs="Times New Roman"/>
                <w:sz w:val="20"/>
                <w:szCs w:val="20"/>
                <w:lang w:val="sr-Cyrl-CS"/>
              </w:rPr>
            </w:pPr>
          </w:p>
        </w:tc>
        <w:tc>
          <w:tcPr>
            <w:tcW w:w="1206" w:type="dxa"/>
            <w:tcBorders>
              <w:top w:val="nil"/>
              <w:left w:val="nil"/>
              <w:bottom w:val="dotted" w:sz="4" w:space="0" w:color="000000"/>
              <w:right w:val="double" w:sz="6" w:space="0" w:color="000000"/>
            </w:tcBorders>
            <w:shd w:val="clear" w:color="auto" w:fill="auto"/>
          </w:tcPr>
          <w:p w14:paraId="7D6FEC1A" w14:textId="77777777" w:rsidR="00247CBF" w:rsidRPr="00092ED7" w:rsidRDefault="00247CBF" w:rsidP="00247CBF">
            <w:pPr>
              <w:spacing w:after="0"/>
              <w:jc w:val="center"/>
              <w:rPr>
                <w:rFonts w:eastAsia="Times New Roman" w:cs="Times New Roman"/>
                <w:sz w:val="20"/>
                <w:szCs w:val="20"/>
                <w:lang w:val="sr-Cyrl-CS"/>
              </w:rPr>
            </w:pPr>
          </w:p>
        </w:tc>
      </w:tr>
      <w:tr w:rsidR="00247CBF" w:rsidRPr="00092ED7" w14:paraId="55201AF1" w14:textId="77777777" w:rsidTr="00247CBF">
        <w:trPr>
          <w:trHeight w:val="270"/>
        </w:trPr>
        <w:tc>
          <w:tcPr>
            <w:tcW w:w="6000" w:type="dxa"/>
            <w:tcBorders>
              <w:top w:val="nil"/>
              <w:left w:val="double" w:sz="6" w:space="0" w:color="000000"/>
              <w:bottom w:val="double" w:sz="6" w:space="0" w:color="000000"/>
              <w:right w:val="single" w:sz="4" w:space="0" w:color="auto"/>
            </w:tcBorders>
            <w:shd w:val="clear" w:color="auto" w:fill="auto"/>
            <w:hideMark/>
          </w:tcPr>
          <w:p w14:paraId="256E82F3"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Становништво узраста 65+ у укупном становништву</w:t>
            </w:r>
          </w:p>
        </w:tc>
        <w:tc>
          <w:tcPr>
            <w:tcW w:w="1205" w:type="dxa"/>
            <w:tcBorders>
              <w:top w:val="nil"/>
              <w:left w:val="nil"/>
              <w:bottom w:val="double" w:sz="6" w:space="0" w:color="000000"/>
              <w:right w:val="dotted" w:sz="4" w:space="0" w:color="000000"/>
            </w:tcBorders>
            <w:shd w:val="clear" w:color="auto" w:fill="auto"/>
          </w:tcPr>
          <w:p w14:paraId="1BA27E0B" w14:textId="77777777" w:rsidR="00247CBF" w:rsidRPr="00092ED7" w:rsidRDefault="00247CBF" w:rsidP="00247CBF">
            <w:pPr>
              <w:spacing w:after="0"/>
              <w:jc w:val="center"/>
              <w:rPr>
                <w:rFonts w:eastAsia="Times New Roman" w:cs="Times New Roman"/>
                <w:b/>
                <w:bCs/>
                <w:sz w:val="20"/>
                <w:szCs w:val="20"/>
                <w:lang w:val="sr-Cyrl-CS"/>
              </w:rPr>
            </w:pPr>
          </w:p>
        </w:tc>
        <w:tc>
          <w:tcPr>
            <w:tcW w:w="1205" w:type="dxa"/>
            <w:tcBorders>
              <w:top w:val="nil"/>
              <w:left w:val="nil"/>
              <w:bottom w:val="double" w:sz="6" w:space="0" w:color="000000"/>
              <w:right w:val="dotted" w:sz="4" w:space="0" w:color="000000"/>
            </w:tcBorders>
            <w:shd w:val="clear" w:color="auto" w:fill="auto"/>
          </w:tcPr>
          <w:p w14:paraId="43CA36B3"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uble" w:sz="6" w:space="0" w:color="000000"/>
              <w:right w:val="dotted" w:sz="4" w:space="0" w:color="000000"/>
            </w:tcBorders>
            <w:shd w:val="clear" w:color="auto" w:fill="auto"/>
          </w:tcPr>
          <w:p w14:paraId="3FA14E8A"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uble" w:sz="6" w:space="0" w:color="000000"/>
              <w:right w:val="dotted" w:sz="4" w:space="0" w:color="000000"/>
            </w:tcBorders>
            <w:shd w:val="clear" w:color="auto" w:fill="auto"/>
          </w:tcPr>
          <w:p w14:paraId="2A4ED1FC"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uble" w:sz="6" w:space="0" w:color="000000"/>
              <w:right w:val="dotted" w:sz="4" w:space="0" w:color="000000"/>
            </w:tcBorders>
            <w:shd w:val="clear" w:color="auto" w:fill="auto"/>
          </w:tcPr>
          <w:p w14:paraId="2CDA7FD3" w14:textId="77777777" w:rsidR="00247CBF" w:rsidRPr="00092ED7" w:rsidRDefault="00247CBF" w:rsidP="00247CBF">
            <w:pPr>
              <w:spacing w:after="0"/>
              <w:jc w:val="center"/>
              <w:rPr>
                <w:rFonts w:eastAsia="Times New Roman" w:cs="Times New Roman"/>
                <w:sz w:val="20"/>
                <w:szCs w:val="20"/>
                <w:lang w:val="sr-Cyrl-CS"/>
              </w:rPr>
            </w:pPr>
          </w:p>
        </w:tc>
        <w:tc>
          <w:tcPr>
            <w:tcW w:w="1205" w:type="dxa"/>
            <w:tcBorders>
              <w:top w:val="nil"/>
              <w:left w:val="nil"/>
              <w:bottom w:val="double" w:sz="6" w:space="0" w:color="000000"/>
              <w:right w:val="dotted" w:sz="4" w:space="0" w:color="000000"/>
            </w:tcBorders>
            <w:shd w:val="clear" w:color="auto" w:fill="auto"/>
          </w:tcPr>
          <w:p w14:paraId="55667BDF" w14:textId="77777777" w:rsidR="00247CBF" w:rsidRPr="00092ED7" w:rsidRDefault="00247CBF" w:rsidP="00247CBF">
            <w:pPr>
              <w:spacing w:after="0"/>
              <w:jc w:val="center"/>
              <w:rPr>
                <w:rFonts w:eastAsia="Times New Roman" w:cs="Times New Roman"/>
                <w:sz w:val="20"/>
                <w:szCs w:val="20"/>
                <w:lang w:val="sr-Cyrl-CS"/>
              </w:rPr>
            </w:pPr>
          </w:p>
        </w:tc>
        <w:tc>
          <w:tcPr>
            <w:tcW w:w="1206" w:type="dxa"/>
            <w:tcBorders>
              <w:top w:val="nil"/>
              <w:left w:val="nil"/>
              <w:bottom w:val="double" w:sz="6" w:space="0" w:color="000000"/>
              <w:right w:val="double" w:sz="6" w:space="0" w:color="000000"/>
            </w:tcBorders>
            <w:shd w:val="clear" w:color="auto" w:fill="auto"/>
          </w:tcPr>
          <w:p w14:paraId="57AAF905" w14:textId="77777777" w:rsidR="00247CBF" w:rsidRPr="00092ED7" w:rsidRDefault="00247CBF" w:rsidP="00247CBF">
            <w:pPr>
              <w:spacing w:after="0"/>
              <w:jc w:val="center"/>
              <w:rPr>
                <w:rFonts w:eastAsia="Times New Roman" w:cs="Times New Roman"/>
                <w:sz w:val="20"/>
                <w:szCs w:val="20"/>
                <w:lang w:val="sr-Cyrl-CS"/>
              </w:rPr>
            </w:pPr>
          </w:p>
        </w:tc>
      </w:tr>
    </w:tbl>
    <w:p w14:paraId="4BB67F7E" w14:textId="77777777" w:rsidR="00247CBF" w:rsidRPr="00092ED7" w:rsidRDefault="00247CBF" w:rsidP="00247CBF">
      <w:pPr>
        <w:rPr>
          <w:rFonts w:cs="Times New Roman"/>
          <w:lang w:val="sr-Cyrl-CS"/>
        </w:rPr>
      </w:pPr>
    </w:p>
    <w:p w14:paraId="3345ECDA" w14:textId="77777777" w:rsidR="00247CBF" w:rsidRPr="00092ED7" w:rsidRDefault="00247CBF" w:rsidP="00247CBF">
      <w:pPr>
        <w:rPr>
          <w:rFonts w:cs="Times New Roman"/>
          <w:lang w:val="sr-Cyrl-CS"/>
        </w:rPr>
      </w:pPr>
    </w:p>
    <w:p w14:paraId="1C9C2623" w14:textId="77777777" w:rsidR="00247CBF" w:rsidRPr="00092ED7" w:rsidRDefault="00247CBF" w:rsidP="00247CBF">
      <w:pPr>
        <w:rPr>
          <w:rFonts w:cs="Times New Roman"/>
          <w:lang w:val="sr-Cyrl-CS"/>
        </w:rPr>
      </w:pPr>
    </w:p>
    <w:tbl>
      <w:tblPr>
        <w:tblW w:w="5000" w:type="pct"/>
        <w:tblInd w:w="23" w:type="dxa"/>
        <w:tblLook w:val="04A0" w:firstRow="1" w:lastRow="0" w:firstColumn="1" w:lastColumn="0" w:noHBand="0" w:noVBand="1"/>
      </w:tblPr>
      <w:tblGrid>
        <w:gridCol w:w="67"/>
        <w:gridCol w:w="6994"/>
        <w:gridCol w:w="1043"/>
        <w:gridCol w:w="29"/>
        <w:gridCol w:w="851"/>
        <w:gridCol w:w="221"/>
        <w:gridCol w:w="624"/>
        <w:gridCol w:w="449"/>
        <w:gridCol w:w="431"/>
        <w:gridCol w:w="641"/>
        <w:gridCol w:w="207"/>
        <w:gridCol w:w="865"/>
        <w:gridCol w:w="15"/>
        <w:gridCol w:w="1058"/>
        <w:gridCol w:w="1043"/>
        <w:gridCol w:w="32"/>
      </w:tblGrid>
      <w:tr w:rsidR="00247CBF" w:rsidRPr="00092ED7" w14:paraId="4C0A01AA" w14:textId="77777777" w:rsidTr="00247CBF">
        <w:trPr>
          <w:gridBefore w:val="1"/>
          <w:gridAfter w:val="1"/>
          <w:wBefore w:w="23" w:type="pct"/>
          <w:wAfter w:w="11" w:type="pct"/>
          <w:trHeight w:val="330"/>
        </w:trPr>
        <w:tc>
          <w:tcPr>
            <w:tcW w:w="2758" w:type="pct"/>
            <w:gridSpan w:val="2"/>
            <w:tcBorders>
              <w:top w:val="nil"/>
              <w:left w:val="nil"/>
              <w:bottom w:val="nil"/>
              <w:right w:val="nil"/>
            </w:tcBorders>
            <w:shd w:val="clear" w:color="000000" w:fill="FFFFFF"/>
            <w:noWrap/>
            <w:vAlign w:val="bottom"/>
            <w:hideMark/>
          </w:tcPr>
          <w:p w14:paraId="2D6FD65F" w14:textId="77777777" w:rsidR="00247CBF" w:rsidRPr="00092ED7" w:rsidRDefault="00247CBF" w:rsidP="00247CBF">
            <w:pPr>
              <w:spacing w:after="0"/>
              <w:rPr>
                <w:rFonts w:eastAsia="Times New Roman" w:cs="Times New Roman"/>
                <w:b/>
                <w:bCs/>
                <w:sz w:val="20"/>
                <w:szCs w:val="20"/>
                <w:lang w:val="sr-Cyrl-CS"/>
              </w:rPr>
            </w:pPr>
            <w:r w:rsidRPr="00092ED7">
              <w:rPr>
                <w:rFonts w:eastAsia="Times New Roman" w:cs="Times New Roman"/>
                <w:b/>
                <w:bCs/>
                <w:sz w:val="20"/>
                <w:szCs w:val="20"/>
                <w:lang w:val="sr-Cyrl-CS"/>
              </w:rPr>
              <w:lastRenderedPageBreak/>
              <w:t>Табела 7: Дугорочна одрживост јавних финансија</w:t>
            </w:r>
          </w:p>
        </w:tc>
        <w:tc>
          <w:tcPr>
            <w:tcW w:w="302" w:type="pct"/>
            <w:gridSpan w:val="2"/>
            <w:tcBorders>
              <w:top w:val="nil"/>
              <w:left w:val="nil"/>
              <w:bottom w:val="nil"/>
              <w:right w:val="nil"/>
            </w:tcBorders>
            <w:shd w:val="clear" w:color="000000" w:fill="FFFFFF"/>
            <w:noWrap/>
            <w:vAlign w:val="bottom"/>
            <w:hideMark/>
          </w:tcPr>
          <w:p w14:paraId="367FC331"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290" w:type="pct"/>
            <w:gridSpan w:val="2"/>
            <w:tcBorders>
              <w:top w:val="nil"/>
              <w:left w:val="nil"/>
              <w:bottom w:val="nil"/>
              <w:right w:val="nil"/>
            </w:tcBorders>
            <w:shd w:val="clear" w:color="000000" w:fill="FFFFFF"/>
            <w:noWrap/>
            <w:vAlign w:val="bottom"/>
            <w:hideMark/>
          </w:tcPr>
          <w:p w14:paraId="5E700FFB"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302" w:type="pct"/>
            <w:gridSpan w:val="2"/>
            <w:tcBorders>
              <w:top w:val="nil"/>
              <w:left w:val="nil"/>
              <w:bottom w:val="nil"/>
              <w:right w:val="nil"/>
            </w:tcBorders>
            <w:shd w:val="clear" w:color="000000" w:fill="FFFFFF"/>
            <w:noWrap/>
            <w:vAlign w:val="bottom"/>
            <w:hideMark/>
          </w:tcPr>
          <w:p w14:paraId="0C220094"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291" w:type="pct"/>
            <w:gridSpan w:val="2"/>
            <w:tcBorders>
              <w:top w:val="nil"/>
              <w:left w:val="nil"/>
              <w:bottom w:val="nil"/>
              <w:right w:val="nil"/>
            </w:tcBorders>
            <w:shd w:val="clear" w:color="000000" w:fill="FFFFFF"/>
            <w:noWrap/>
            <w:vAlign w:val="bottom"/>
            <w:hideMark/>
          </w:tcPr>
          <w:p w14:paraId="0F7CF2ED"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302" w:type="pct"/>
            <w:gridSpan w:val="2"/>
            <w:tcBorders>
              <w:top w:val="nil"/>
              <w:left w:val="nil"/>
              <w:bottom w:val="nil"/>
              <w:right w:val="nil"/>
            </w:tcBorders>
            <w:shd w:val="clear" w:color="000000" w:fill="FFFFFF"/>
            <w:noWrap/>
            <w:vAlign w:val="bottom"/>
            <w:hideMark/>
          </w:tcPr>
          <w:p w14:paraId="47803AAD"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721" w:type="pct"/>
            <w:gridSpan w:val="2"/>
            <w:tcBorders>
              <w:top w:val="nil"/>
              <w:left w:val="nil"/>
              <w:bottom w:val="nil"/>
              <w:right w:val="nil"/>
            </w:tcBorders>
            <w:shd w:val="clear" w:color="auto" w:fill="auto"/>
            <w:noWrap/>
            <w:vAlign w:val="bottom"/>
            <w:hideMark/>
          </w:tcPr>
          <w:p w14:paraId="1D57CAC1" w14:textId="77777777" w:rsidR="00247CBF" w:rsidRPr="00092ED7" w:rsidRDefault="00247CBF" w:rsidP="00247CBF">
            <w:pPr>
              <w:spacing w:after="0"/>
              <w:jc w:val="right"/>
              <w:rPr>
                <w:rFonts w:eastAsia="Times New Roman" w:cs="Times New Roman"/>
                <w:b/>
                <w:bCs/>
                <w:sz w:val="20"/>
                <w:szCs w:val="20"/>
                <w:lang w:val="sr-Cyrl-CS"/>
              </w:rPr>
            </w:pPr>
            <w:r w:rsidRPr="00092ED7">
              <w:rPr>
                <w:rFonts w:eastAsia="Times New Roman" w:cs="Times New Roman"/>
                <w:b/>
                <w:bCs/>
                <w:sz w:val="20"/>
                <w:szCs w:val="20"/>
                <w:lang w:val="sr-Cyrl-CS"/>
              </w:rPr>
              <w:t>Република Србија</w:t>
            </w:r>
          </w:p>
        </w:tc>
      </w:tr>
      <w:tr w:rsidR="00247CBF" w:rsidRPr="00092ED7" w14:paraId="0DF1D2DE" w14:textId="77777777" w:rsidTr="00247CBF">
        <w:trPr>
          <w:trHeight w:val="300"/>
        </w:trPr>
        <w:tc>
          <w:tcPr>
            <w:tcW w:w="2423" w:type="pct"/>
            <w:gridSpan w:val="2"/>
            <w:tcBorders>
              <w:top w:val="double" w:sz="6" w:space="0" w:color="000000"/>
              <w:left w:val="double" w:sz="6" w:space="0" w:color="000000"/>
              <w:bottom w:val="single" w:sz="4" w:space="0" w:color="auto"/>
              <w:right w:val="single" w:sz="4" w:space="0" w:color="auto"/>
            </w:tcBorders>
            <w:shd w:val="clear" w:color="000000" w:fill="FFFFFF"/>
            <w:vAlign w:val="center"/>
            <w:hideMark/>
          </w:tcPr>
          <w:p w14:paraId="36EEAF66"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 БДП</w:t>
            </w:r>
          </w:p>
        </w:tc>
        <w:tc>
          <w:tcPr>
            <w:tcW w:w="368" w:type="pct"/>
            <w:gridSpan w:val="2"/>
            <w:tcBorders>
              <w:top w:val="double" w:sz="6" w:space="0" w:color="000000"/>
              <w:left w:val="nil"/>
              <w:bottom w:val="single" w:sz="4" w:space="0" w:color="auto"/>
              <w:right w:val="dotted" w:sz="4" w:space="0" w:color="000000"/>
            </w:tcBorders>
            <w:shd w:val="clear" w:color="000000" w:fill="FFFFFF"/>
            <w:vAlign w:val="center"/>
            <w:hideMark/>
          </w:tcPr>
          <w:p w14:paraId="7DCBB152" w14:textId="77777777" w:rsidR="00247CBF" w:rsidRPr="00092ED7" w:rsidRDefault="00247CBF" w:rsidP="00247CBF">
            <w:pPr>
              <w:spacing w:after="0"/>
              <w:jc w:val="center"/>
              <w:rPr>
                <w:sz w:val="20"/>
                <w:szCs w:val="20"/>
                <w:lang w:val="sr-Cyrl-CS"/>
              </w:rPr>
            </w:pPr>
            <w:r w:rsidRPr="00092ED7">
              <w:rPr>
                <w:sz w:val="20"/>
                <w:szCs w:val="20"/>
                <w:lang w:val="sr-Cyrl-CS"/>
              </w:rPr>
              <w:t>2007</w:t>
            </w:r>
          </w:p>
        </w:tc>
        <w:tc>
          <w:tcPr>
            <w:tcW w:w="368" w:type="pct"/>
            <w:gridSpan w:val="2"/>
            <w:tcBorders>
              <w:top w:val="double" w:sz="6" w:space="0" w:color="000000"/>
              <w:left w:val="nil"/>
              <w:bottom w:val="single" w:sz="4" w:space="0" w:color="auto"/>
              <w:right w:val="dotted" w:sz="4" w:space="0" w:color="000000"/>
            </w:tcBorders>
            <w:shd w:val="clear" w:color="000000" w:fill="FFFFFF"/>
            <w:vAlign w:val="center"/>
            <w:hideMark/>
          </w:tcPr>
          <w:p w14:paraId="0A5E8BC1" w14:textId="77777777" w:rsidR="00247CBF" w:rsidRPr="00092ED7" w:rsidRDefault="00247CBF" w:rsidP="00247CBF">
            <w:pPr>
              <w:spacing w:after="0"/>
              <w:jc w:val="center"/>
              <w:rPr>
                <w:sz w:val="20"/>
                <w:szCs w:val="20"/>
                <w:lang w:val="sr-Cyrl-CS"/>
              </w:rPr>
            </w:pPr>
            <w:r w:rsidRPr="00092ED7">
              <w:rPr>
                <w:sz w:val="20"/>
                <w:szCs w:val="20"/>
                <w:lang w:val="sr-Cyrl-CS"/>
              </w:rPr>
              <w:t>2010</w:t>
            </w:r>
          </w:p>
        </w:tc>
        <w:tc>
          <w:tcPr>
            <w:tcW w:w="368" w:type="pct"/>
            <w:gridSpan w:val="2"/>
            <w:tcBorders>
              <w:top w:val="double" w:sz="6" w:space="0" w:color="000000"/>
              <w:left w:val="nil"/>
              <w:bottom w:val="single" w:sz="4" w:space="0" w:color="auto"/>
              <w:right w:val="dotted" w:sz="4" w:space="0" w:color="000000"/>
            </w:tcBorders>
            <w:shd w:val="clear" w:color="000000" w:fill="FFFFFF"/>
            <w:vAlign w:val="center"/>
            <w:hideMark/>
          </w:tcPr>
          <w:p w14:paraId="6824336B" w14:textId="77777777" w:rsidR="00247CBF" w:rsidRPr="00092ED7" w:rsidRDefault="00247CBF" w:rsidP="00247CBF">
            <w:pPr>
              <w:spacing w:after="0"/>
              <w:jc w:val="center"/>
              <w:rPr>
                <w:sz w:val="20"/>
                <w:szCs w:val="20"/>
                <w:lang w:val="sr-Cyrl-CS"/>
              </w:rPr>
            </w:pPr>
            <w:r w:rsidRPr="00092ED7">
              <w:rPr>
                <w:sz w:val="20"/>
                <w:szCs w:val="20"/>
                <w:lang w:val="sr-Cyrl-CS"/>
              </w:rPr>
              <w:t>2020</w:t>
            </w:r>
          </w:p>
        </w:tc>
        <w:tc>
          <w:tcPr>
            <w:tcW w:w="368" w:type="pct"/>
            <w:gridSpan w:val="2"/>
            <w:tcBorders>
              <w:top w:val="double" w:sz="6" w:space="0" w:color="000000"/>
              <w:left w:val="nil"/>
              <w:bottom w:val="single" w:sz="4" w:space="0" w:color="auto"/>
              <w:right w:val="dotted" w:sz="4" w:space="0" w:color="000000"/>
            </w:tcBorders>
            <w:shd w:val="clear" w:color="000000" w:fill="FFFFFF"/>
            <w:vAlign w:val="center"/>
            <w:hideMark/>
          </w:tcPr>
          <w:p w14:paraId="4FD57493" w14:textId="77777777" w:rsidR="00247CBF" w:rsidRPr="00092ED7" w:rsidRDefault="00247CBF" w:rsidP="00247CBF">
            <w:pPr>
              <w:spacing w:after="0"/>
              <w:jc w:val="center"/>
              <w:rPr>
                <w:sz w:val="20"/>
                <w:szCs w:val="20"/>
                <w:lang w:val="sr-Cyrl-CS"/>
              </w:rPr>
            </w:pPr>
            <w:r w:rsidRPr="00092ED7">
              <w:rPr>
                <w:sz w:val="20"/>
                <w:szCs w:val="20"/>
                <w:lang w:val="sr-Cyrl-CS"/>
              </w:rPr>
              <w:t>2030</w:t>
            </w:r>
          </w:p>
        </w:tc>
        <w:tc>
          <w:tcPr>
            <w:tcW w:w="368" w:type="pct"/>
            <w:gridSpan w:val="2"/>
            <w:tcBorders>
              <w:top w:val="double" w:sz="6" w:space="0" w:color="000000"/>
              <w:left w:val="nil"/>
              <w:bottom w:val="single" w:sz="4" w:space="0" w:color="auto"/>
              <w:right w:val="dotted" w:sz="4" w:space="0" w:color="000000"/>
            </w:tcBorders>
            <w:shd w:val="clear" w:color="000000" w:fill="FFFFFF"/>
            <w:vAlign w:val="center"/>
            <w:hideMark/>
          </w:tcPr>
          <w:p w14:paraId="4AE60A09" w14:textId="77777777" w:rsidR="00247CBF" w:rsidRPr="00092ED7" w:rsidRDefault="00247CBF" w:rsidP="00247CBF">
            <w:pPr>
              <w:spacing w:after="0"/>
              <w:jc w:val="center"/>
              <w:rPr>
                <w:sz w:val="20"/>
                <w:szCs w:val="20"/>
                <w:lang w:val="sr-Cyrl-CS"/>
              </w:rPr>
            </w:pPr>
            <w:r w:rsidRPr="00092ED7">
              <w:rPr>
                <w:sz w:val="20"/>
                <w:szCs w:val="20"/>
                <w:lang w:val="sr-Cyrl-CS"/>
              </w:rPr>
              <w:t>2040</w:t>
            </w:r>
          </w:p>
        </w:tc>
        <w:tc>
          <w:tcPr>
            <w:tcW w:w="368" w:type="pct"/>
            <w:gridSpan w:val="2"/>
            <w:tcBorders>
              <w:top w:val="double" w:sz="6" w:space="0" w:color="000000"/>
              <w:left w:val="nil"/>
              <w:bottom w:val="single" w:sz="4" w:space="0" w:color="auto"/>
              <w:right w:val="dotted" w:sz="4" w:space="0" w:color="000000"/>
            </w:tcBorders>
            <w:shd w:val="clear" w:color="000000" w:fill="FFFFFF"/>
            <w:vAlign w:val="center"/>
            <w:hideMark/>
          </w:tcPr>
          <w:p w14:paraId="761BE4EA" w14:textId="77777777" w:rsidR="00247CBF" w:rsidRPr="00092ED7" w:rsidRDefault="00247CBF" w:rsidP="00247CBF">
            <w:pPr>
              <w:spacing w:after="0"/>
              <w:jc w:val="center"/>
              <w:rPr>
                <w:sz w:val="20"/>
                <w:szCs w:val="20"/>
                <w:lang w:val="sr-Cyrl-CS"/>
              </w:rPr>
            </w:pPr>
            <w:r w:rsidRPr="00092ED7">
              <w:rPr>
                <w:sz w:val="20"/>
                <w:szCs w:val="20"/>
                <w:lang w:val="sr-Cyrl-CS"/>
              </w:rPr>
              <w:t>2050</w:t>
            </w:r>
          </w:p>
        </w:tc>
        <w:tc>
          <w:tcPr>
            <w:tcW w:w="369" w:type="pct"/>
            <w:gridSpan w:val="2"/>
            <w:tcBorders>
              <w:top w:val="double" w:sz="6" w:space="0" w:color="000000"/>
              <w:left w:val="nil"/>
              <w:bottom w:val="single" w:sz="4" w:space="0" w:color="auto"/>
              <w:right w:val="double" w:sz="6" w:space="0" w:color="000000"/>
            </w:tcBorders>
            <w:shd w:val="clear" w:color="000000" w:fill="FFFFFF"/>
            <w:vAlign w:val="center"/>
            <w:hideMark/>
          </w:tcPr>
          <w:p w14:paraId="2729E98F" w14:textId="77777777" w:rsidR="00247CBF" w:rsidRPr="00092ED7" w:rsidRDefault="00247CBF" w:rsidP="00247CBF">
            <w:pPr>
              <w:spacing w:after="0"/>
              <w:jc w:val="center"/>
              <w:rPr>
                <w:sz w:val="20"/>
                <w:szCs w:val="20"/>
                <w:lang w:val="sr-Cyrl-CS"/>
              </w:rPr>
            </w:pPr>
            <w:r w:rsidRPr="00092ED7">
              <w:rPr>
                <w:sz w:val="20"/>
                <w:szCs w:val="20"/>
                <w:lang w:val="sr-Cyrl-CS"/>
              </w:rPr>
              <w:t>2060</w:t>
            </w:r>
          </w:p>
        </w:tc>
      </w:tr>
      <w:tr w:rsidR="00247CBF" w:rsidRPr="00092ED7" w14:paraId="79BF0CB4" w14:textId="77777777" w:rsidTr="00247CBF">
        <w:trPr>
          <w:trHeight w:val="255"/>
        </w:trPr>
        <w:tc>
          <w:tcPr>
            <w:tcW w:w="2423" w:type="pct"/>
            <w:gridSpan w:val="2"/>
            <w:tcBorders>
              <w:top w:val="nil"/>
              <w:left w:val="double" w:sz="6" w:space="0" w:color="000000"/>
              <w:bottom w:val="dotted" w:sz="4" w:space="0" w:color="000000"/>
              <w:right w:val="single" w:sz="4" w:space="0" w:color="auto"/>
            </w:tcBorders>
            <w:shd w:val="clear" w:color="000000" w:fill="FFFFFF"/>
            <w:hideMark/>
          </w:tcPr>
          <w:p w14:paraId="11333FCE"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Укупни расходи</w:t>
            </w:r>
          </w:p>
        </w:tc>
        <w:tc>
          <w:tcPr>
            <w:tcW w:w="368" w:type="pct"/>
            <w:gridSpan w:val="2"/>
            <w:tcBorders>
              <w:top w:val="nil"/>
              <w:left w:val="nil"/>
              <w:bottom w:val="dotted" w:sz="4" w:space="0" w:color="000000"/>
              <w:right w:val="dotted" w:sz="4" w:space="0" w:color="000000"/>
            </w:tcBorders>
            <w:shd w:val="clear" w:color="auto" w:fill="auto"/>
            <w:hideMark/>
          </w:tcPr>
          <w:p w14:paraId="76237B4E"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4A3E4563"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51F8D017"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5153D620"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184A6650"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7943D8FC"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9" w:type="pct"/>
            <w:gridSpan w:val="2"/>
            <w:tcBorders>
              <w:top w:val="nil"/>
              <w:left w:val="nil"/>
              <w:bottom w:val="dotted" w:sz="4" w:space="0" w:color="000000"/>
              <w:right w:val="double" w:sz="6" w:space="0" w:color="000000"/>
            </w:tcBorders>
            <w:shd w:val="clear" w:color="auto" w:fill="auto"/>
            <w:hideMark/>
          </w:tcPr>
          <w:p w14:paraId="3AE83827"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r>
      <w:tr w:rsidR="00247CBF" w:rsidRPr="00092ED7" w14:paraId="21C2086E" w14:textId="77777777" w:rsidTr="00247CBF">
        <w:trPr>
          <w:trHeight w:val="255"/>
        </w:trPr>
        <w:tc>
          <w:tcPr>
            <w:tcW w:w="2423" w:type="pct"/>
            <w:gridSpan w:val="2"/>
            <w:tcBorders>
              <w:top w:val="nil"/>
              <w:left w:val="double" w:sz="6" w:space="0" w:color="000000"/>
              <w:bottom w:val="dotted" w:sz="4" w:space="0" w:color="000000"/>
              <w:right w:val="single" w:sz="4" w:space="0" w:color="auto"/>
            </w:tcBorders>
            <w:shd w:val="clear" w:color="000000" w:fill="FFFFFF"/>
            <w:hideMark/>
          </w:tcPr>
          <w:p w14:paraId="31573BBE"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xml:space="preserve">од чега: </w:t>
            </w:r>
          </w:p>
        </w:tc>
        <w:tc>
          <w:tcPr>
            <w:tcW w:w="368" w:type="pct"/>
            <w:gridSpan w:val="2"/>
            <w:tcBorders>
              <w:top w:val="nil"/>
              <w:left w:val="nil"/>
              <w:bottom w:val="dotted" w:sz="4" w:space="0" w:color="000000"/>
              <w:right w:val="dotted" w:sz="4" w:space="0" w:color="000000"/>
            </w:tcBorders>
            <w:shd w:val="clear" w:color="auto" w:fill="auto"/>
            <w:hideMark/>
          </w:tcPr>
          <w:p w14:paraId="7A9BC6A8"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452104AE"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1EBD658C"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62ED79A2"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4B602A85"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434C1505"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9" w:type="pct"/>
            <w:gridSpan w:val="2"/>
            <w:tcBorders>
              <w:top w:val="nil"/>
              <w:left w:val="nil"/>
              <w:bottom w:val="dotted" w:sz="4" w:space="0" w:color="000000"/>
              <w:right w:val="double" w:sz="6" w:space="0" w:color="000000"/>
            </w:tcBorders>
            <w:shd w:val="clear" w:color="auto" w:fill="auto"/>
            <w:hideMark/>
          </w:tcPr>
          <w:p w14:paraId="58CF3F73"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r>
      <w:tr w:rsidR="00247CBF" w:rsidRPr="00092ED7" w14:paraId="36E61249" w14:textId="77777777" w:rsidTr="00247CBF">
        <w:trPr>
          <w:trHeight w:val="255"/>
        </w:trPr>
        <w:tc>
          <w:tcPr>
            <w:tcW w:w="2423" w:type="pct"/>
            <w:gridSpan w:val="2"/>
            <w:tcBorders>
              <w:top w:val="nil"/>
              <w:left w:val="double" w:sz="6" w:space="0" w:color="000000"/>
              <w:bottom w:val="dotted" w:sz="4" w:space="0" w:color="000000"/>
              <w:right w:val="single" w:sz="4" w:space="0" w:color="auto"/>
            </w:tcBorders>
            <w:shd w:val="clear" w:color="000000" w:fill="FFFFFF"/>
            <w:hideMark/>
          </w:tcPr>
          <w:p w14:paraId="2BCA1BC9" w14:textId="77777777" w:rsidR="00247CBF" w:rsidRPr="00092ED7" w:rsidRDefault="00247CBF" w:rsidP="00247CBF">
            <w:pPr>
              <w:spacing w:after="0"/>
              <w:ind w:firstLineChars="100" w:firstLine="200"/>
              <w:rPr>
                <w:rFonts w:eastAsia="Times New Roman" w:cs="Times New Roman"/>
                <w:sz w:val="20"/>
                <w:szCs w:val="20"/>
                <w:lang w:val="sr-Cyrl-CS"/>
              </w:rPr>
            </w:pPr>
            <w:r w:rsidRPr="00092ED7">
              <w:rPr>
                <w:rFonts w:eastAsia="Times New Roman" w:cs="Times New Roman"/>
                <w:sz w:val="20"/>
                <w:szCs w:val="20"/>
                <w:lang w:val="sr-Cyrl-CS"/>
              </w:rPr>
              <w:t>- Расходи везани за године живота</w:t>
            </w:r>
          </w:p>
        </w:tc>
        <w:tc>
          <w:tcPr>
            <w:tcW w:w="368" w:type="pct"/>
            <w:gridSpan w:val="2"/>
            <w:tcBorders>
              <w:top w:val="nil"/>
              <w:left w:val="nil"/>
              <w:bottom w:val="dotted" w:sz="4" w:space="0" w:color="000000"/>
              <w:right w:val="dotted" w:sz="4" w:space="0" w:color="000000"/>
            </w:tcBorders>
            <w:shd w:val="clear" w:color="auto" w:fill="auto"/>
            <w:hideMark/>
          </w:tcPr>
          <w:p w14:paraId="0398ADDD"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1352A179"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64095C8C"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56304C89"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15F51045"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757DDB23"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9" w:type="pct"/>
            <w:gridSpan w:val="2"/>
            <w:tcBorders>
              <w:top w:val="nil"/>
              <w:left w:val="nil"/>
              <w:bottom w:val="dotted" w:sz="4" w:space="0" w:color="000000"/>
              <w:right w:val="double" w:sz="6" w:space="0" w:color="000000"/>
            </w:tcBorders>
            <w:shd w:val="clear" w:color="auto" w:fill="auto"/>
            <w:hideMark/>
          </w:tcPr>
          <w:p w14:paraId="784CD721"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r>
      <w:tr w:rsidR="00247CBF" w:rsidRPr="00092ED7" w14:paraId="11E213BB" w14:textId="77777777" w:rsidTr="00247CBF">
        <w:trPr>
          <w:trHeight w:val="255"/>
        </w:trPr>
        <w:tc>
          <w:tcPr>
            <w:tcW w:w="2423" w:type="pct"/>
            <w:gridSpan w:val="2"/>
            <w:tcBorders>
              <w:top w:val="nil"/>
              <w:left w:val="double" w:sz="6" w:space="0" w:color="000000"/>
              <w:bottom w:val="dotted" w:sz="4" w:space="0" w:color="000000"/>
              <w:right w:val="single" w:sz="4" w:space="0" w:color="auto"/>
            </w:tcBorders>
            <w:shd w:val="clear" w:color="000000" w:fill="FFFFFF"/>
            <w:hideMark/>
          </w:tcPr>
          <w:p w14:paraId="335859C1" w14:textId="77777777" w:rsidR="00247CBF" w:rsidRPr="00092ED7" w:rsidRDefault="00247CBF" w:rsidP="00247CBF">
            <w:pPr>
              <w:spacing w:after="0"/>
              <w:ind w:firstLineChars="100" w:firstLine="200"/>
              <w:rPr>
                <w:rFonts w:eastAsia="Times New Roman" w:cs="Times New Roman"/>
                <w:sz w:val="20"/>
                <w:szCs w:val="20"/>
                <w:lang w:val="sr-Cyrl-CS"/>
              </w:rPr>
            </w:pPr>
            <w:r w:rsidRPr="00092ED7">
              <w:rPr>
                <w:rFonts w:eastAsia="Times New Roman" w:cs="Times New Roman"/>
                <w:sz w:val="20"/>
                <w:szCs w:val="20"/>
                <w:lang w:val="sr-Cyrl-CS"/>
              </w:rPr>
              <w:t>- расходи за пензије</w:t>
            </w:r>
          </w:p>
        </w:tc>
        <w:tc>
          <w:tcPr>
            <w:tcW w:w="368" w:type="pct"/>
            <w:gridSpan w:val="2"/>
            <w:tcBorders>
              <w:top w:val="nil"/>
              <w:left w:val="nil"/>
              <w:bottom w:val="dotted" w:sz="4" w:space="0" w:color="000000"/>
              <w:right w:val="dotted" w:sz="4" w:space="0" w:color="000000"/>
            </w:tcBorders>
            <w:shd w:val="clear" w:color="auto" w:fill="auto"/>
            <w:hideMark/>
          </w:tcPr>
          <w:p w14:paraId="5F7815C8"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1CE87D3D"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1E195000"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4C1EC460"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53606F70"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35A0105A"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9" w:type="pct"/>
            <w:gridSpan w:val="2"/>
            <w:tcBorders>
              <w:top w:val="nil"/>
              <w:left w:val="nil"/>
              <w:bottom w:val="dotted" w:sz="4" w:space="0" w:color="000000"/>
              <w:right w:val="double" w:sz="6" w:space="0" w:color="000000"/>
            </w:tcBorders>
            <w:shd w:val="clear" w:color="auto" w:fill="auto"/>
            <w:hideMark/>
          </w:tcPr>
          <w:p w14:paraId="58A01F6A"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r>
      <w:tr w:rsidR="00247CBF" w:rsidRPr="00092ED7" w14:paraId="6D778655" w14:textId="77777777" w:rsidTr="00247CBF">
        <w:trPr>
          <w:trHeight w:val="255"/>
        </w:trPr>
        <w:tc>
          <w:tcPr>
            <w:tcW w:w="2423" w:type="pct"/>
            <w:gridSpan w:val="2"/>
            <w:tcBorders>
              <w:top w:val="nil"/>
              <w:left w:val="double" w:sz="6" w:space="0" w:color="000000"/>
              <w:bottom w:val="dotted" w:sz="4" w:space="0" w:color="000000"/>
              <w:right w:val="single" w:sz="4" w:space="0" w:color="auto"/>
            </w:tcBorders>
            <w:shd w:val="clear" w:color="000000" w:fill="FFFFFF"/>
            <w:hideMark/>
          </w:tcPr>
          <w:p w14:paraId="291BA7D4" w14:textId="77777777" w:rsidR="00247CBF" w:rsidRPr="00092ED7" w:rsidRDefault="00247CBF" w:rsidP="00247CBF">
            <w:pPr>
              <w:spacing w:after="0"/>
              <w:ind w:firstLineChars="100" w:firstLine="200"/>
              <w:rPr>
                <w:rFonts w:eastAsia="Times New Roman" w:cs="Times New Roman"/>
                <w:sz w:val="20"/>
                <w:szCs w:val="20"/>
                <w:lang w:val="sr-Cyrl-CS"/>
              </w:rPr>
            </w:pPr>
            <w:r w:rsidRPr="00092ED7">
              <w:rPr>
                <w:rFonts w:eastAsia="Times New Roman" w:cs="Times New Roman"/>
                <w:sz w:val="20"/>
                <w:szCs w:val="20"/>
                <w:lang w:val="sr-Cyrl-CS"/>
              </w:rPr>
              <w:t>- Социјалне пензије </w:t>
            </w:r>
          </w:p>
        </w:tc>
        <w:tc>
          <w:tcPr>
            <w:tcW w:w="368" w:type="pct"/>
            <w:gridSpan w:val="2"/>
            <w:tcBorders>
              <w:top w:val="nil"/>
              <w:left w:val="nil"/>
              <w:bottom w:val="dotted" w:sz="4" w:space="0" w:color="000000"/>
              <w:right w:val="dotted" w:sz="4" w:space="0" w:color="000000"/>
            </w:tcBorders>
            <w:shd w:val="clear" w:color="auto" w:fill="auto"/>
            <w:hideMark/>
          </w:tcPr>
          <w:p w14:paraId="25024104"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6284F77D"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221769BA"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773FCCF3"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65A671F3"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3D6E51DE"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9" w:type="pct"/>
            <w:gridSpan w:val="2"/>
            <w:tcBorders>
              <w:top w:val="nil"/>
              <w:left w:val="nil"/>
              <w:bottom w:val="dotted" w:sz="4" w:space="0" w:color="000000"/>
              <w:right w:val="double" w:sz="6" w:space="0" w:color="000000"/>
            </w:tcBorders>
            <w:shd w:val="clear" w:color="auto" w:fill="auto"/>
            <w:hideMark/>
          </w:tcPr>
          <w:p w14:paraId="4C477C47"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r>
      <w:tr w:rsidR="00247CBF" w:rsidRPr="00092ED7" w14:paraId="4DCF7385" w14:textId="77777777" w:rsidTr="00247CBF">
        <w:trPr>
          <w:trHeight w:val="255"/>
        </w:trPr>
        <w:tc>
          <w:tcPr>
            <w:tcW w:w="2423" w:type="pct"/>
            <w:gridSpan w:val="2"/>
            <w:tcBorders>
              <w:top w:val="nil"/>
              <w:left w:val="double" w:sz="6" w:space="0" w:color="000000"/>
              <w:bottom w:val="dotted" w:sz="4" w:space="0" w:color="000000"/>
              <w:right w:val="single" w:sz="4" w:space="0" w:color="auto"/>
            </w:tcBorders>
            <w:shd w:val="clear" w:color="000000" w:fill="FFFFFF"/>
            <w:hideMark/>
          </w:tcPr>
          <w:p w14:paraId="1D696337" w14:textId="77777777" w:rsidR="00247CBF" w:rsidRPr="00092ED7" w:rsidRDefault="00247CBF" w:rsidP="00247CBF">
            <w:pPr>
              <w:spacing w:after="0"/>
              <w:ind w:firstLineChars="100" w:firstLine="200"/>
              <w:rPr>
                <w:rFonts w:eastAsia="Times New Roman" w:cs="Times New Roman"/>
                <w:sz w:val="20"/>
                <w:szCs w:val="20"/>
                <w:lang w:val="sr-Cyrl-CS"/>
              </w:rPr>
            </w:pPr>
            <w:r w:rsidRPr="00092ED7">
              <w:rPr>
                <w:rFonts w:eastAsia="Times New Roman" w:cs="Times New Roman"/>
                <w:sz w:val="20"/>
                <w:szCs w:val="20"/>
                <w:lang w:val="sr-Cyrl-CS"/>
              </w:rPr>
              <w:t>- Старосне и превремене пензије</w:t>
            </w:r>
          </w:p>
        </w:tc>
        <w:tc>
          <w:tcPr>
            <w:tcW w:w="368" w:type="pct"/>
            <w:gridSpan w:val="2"/>
            <w:tcBorders>
              <w:top w:val="nil"/>
              <w:left w:val="nil"/>
              <w:bottom w:val="dotted" w:sz="4" w:space="0" w:color="000000"/>
              <w:right w:val="dotted" w:sz="4" w:space="0" w:color="000000"/>
            </w:tcBorders>
            <w:shd w:val="clear" w:color="auto" w:fill="auto"/>
            <w:hideMark/>
          </w:tcPr>
          <w:p w14:paraId="6F100407"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54777295"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0573A9A8"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4140383F"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57BA94CA"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2BEAE34C"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9" w:type="pct"/>
            <w:gridSpan w:val="2"/>
            <w:tcBorders>
              <w:top w:val="nil"/>
              <w:left w:val="nil"/>
              <w:bottom w:val="dotted" w:sz="4" w:space="0" w:color="000000"/>
              <w:right w:val="double" w:sz="6" w:space="0" w:color="000000"/>
            </w:tcBorders>
            <w:shd w:val="clear" w:color="auto" w:fill="auto"/>
            <w:hideMark/>
          </w:tcPr>
          <w:p w14:paraId="6D1EB33F"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r>
      <w:tr w:rsidR="00247CBF" w:rsidRPr="00092ED7" w14:paraId="5A50B280" w14:textId="77777777" w:rsidTr="00247CBF">
        <w:trPr>
          <w:trHeight w:val="300"/>
        </w:trPr>
        <w:tc>
          <w:tcPr>
            <w:tcW w:w="2423" w:type="pct"/>
            <w:gridSpan w:val="2"/>
            <w:tcBorders>
              <w:top w:val="nil"/>
              <w:left w:val="double" w:sz="6" w:space="0" w:color="000000"/>
              <w:bottom w:val="dotted" w:sz="4" w:space="0" w:color="000000"/>
              <w:right w:val="single" w:sz="4" w:space="0" w:color="auto"/>
            </w:tcBorders>
            <w:shd w:val="clear" w:color="000000" w:fill="FFFFFF"/>
            <w:hideMark/>
          </w:tcPr>
          <w:p w14:paraId="2A8F8411" w14:textId="77777777" w:rsidR="00247CBF" w:rsidRPr="00092ED7" w:rsidRDefault="00247CBF" w:rsidP="00247CBF">
            <w:pPr>
              <w:spacing w:after="0"/>
              <w:ind w:firstLineChars="100" w:firstLine="200"/>
              <w:rPr>
                <w:rFonts w:eastAsia="Times New Roman" w:cs="Times New Roman"/>
                <w:sz w:val="20"/>
                <w:szCs w:val="20"/>
                <w:lang w:val="sr-Cyrl-CS"/>
              </w:rPr>
            </w:pPr>
            <w:r w:rsidRPr="00092ED7">
              <w:rPr>
                <w:rFonts w:eastAsia="Times New Roman" w:cs="Times New Roman"/>
                <w:sz w:val="20"/>
                <w:szCs w:val="20"/>
                <w:lang w:val="sr-Cyrl-CS"/>
              </w:rPr>
              <w:t>- Остале пензије (инвалидске, породичне)</w:t>
            </w:r>
          </w:p>
        </w:tc>
        <w:tc>
          <w:tcPr>
            <w:tcW w:w="368" w:type="pct"/>
            <w:gridSpan w:val="2"/>
            <w:tcBorders>
              <w:top w:val="nil"/>
              <w:left w:val="nil"/>
              <w:bottom w:val="dotted" w:sz="4" w:space="0" w:color="000000"/>
              <w:right w:val="dotted" w:sz="4" w:space="0" w:color="000000"/>
            </w:tcBorders>
            <w:shd w:val="clear" w:color="auto" w:fill="auto"/>
            <w:hideMark/>
          </w:tcPr>
          <w:p w14:paraId="5ECA5657"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135F4377"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48ABE95F"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0624C3BF"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4B762EE2"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0FF16C4C"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9" w:type="pct"/>
            <w:gridSpan w:val="2"/>
            <w:tcBorders>
              <w:top w:val="nil"/>
              <w:left w:val="nil"/>
              <w:bottom w:val="dotted" w:sz="4" w:space="0" w:color="000000"/>
              <w:right w:val="double" w:sz="6" w:space="0" w:color="000000"/>
            </w:tcBorders>
            <w:shd w:val="clear" w:color="auto" w:fill="auto"/>
            <w:hideMark/>
          </w:tcPr>
          <w:p w14:paraId="3BD44B12"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r>
      <w:tr w:rsidR="00247CBF" w:rsidRPr="00092ED7" w14:paraId="24CF6D5A" w14:textId="77777777" w:rsidTr="00247CBF">
        <w:trPr>
          <w:trHeight w:val="525"/>
        </w:trPr>
        <w:tc>
          <w:tcPr>
            <w:tcW w:w="2423" w:type="pct"/>
            <w:gridSpan w:val="2"/>
            <w:tcBorders>
              <w:top w:val="nil"/>
              <w:left w:val="double" w:sz="6" w:space="0" w:color="000000"/>
              <w:bottom w:val="dotted" w:sz="4" w:space="0" w:color="000000"/>
              <w:right w:val="single" w:sz="4" w:space="0" w:color="auto"/>
            </w:tcBorders>
            <w:shd w:val="clear" w:color="000000" w:fill="FFFFFF"/>
            <w:hideMark/>
          </w:tcPr>
          <w:p w14:paraId="64DCC4D8" w14:textId="77777777" w:rsidR="00247CBF" w:rsidRPr="00092ED7" w:rsidRDefault="00247CBF" w:rsidP="00247CBF">
            <w:pPr>
              <w:spacing w:after="0"/>
              <w:ind w:firstLineChars="100" w:firstLine="200"/>
              <w:rPr>
                <w:rFonts w:eastAsia="Times New Roman" w:cs="Times New Roman"/>
                <w:sz w:val="20"/>
                <w:szCs w:val="20"/>
                <w:lang w:val="sr-Cyrl-CS"/>
              </w:rPr>
            </w:pPr>
            <w:r w:rsidRPr="00092ED7">
              <w:rPr>
                <w:rFonts w:eastAsia="Times New Roman" w:cs="Times New Roman"/>
                <w:sz w:val="20"/>
                <w:szCs w:val="20"/>
                <w:lang w:val="sr-Cyrl-CS"/>
              </w:rPr>
              <w:t>- Професионалне пензије (уколико припадају општем нивоу државе)</w:t>
            </w:r>
          </w:p>
        </w:tc>
        <w:tc>
          <w:tcPr>
            <w:tcW w:w="368" w:type="pct"/>
            <w:gridSpan w:val="2"/>
            <w:tcBorders>
              <w:top w:val="nil"/>
              <w:left w:val="nil"/>
              <w:bottom w:val="dotted" w:sz="4" w:space="0" w:color="000000"/>
              <w:right w:val="dotted" w:sz="4" w:space="0" w:color="000000"/>
            </w:tcBorders>
            <w:shd w:val="clear" w:color="auto" w:fill="auto"/>
            <w:hideMark/>
          </w:tcPr>
          <w:p w14:paraId="04788556"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1E9FF92E"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7A271161"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47D2B4DE"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79718196"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128548A3"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9" w:type="pct"/>
            <w:gridSpan w:val="2"/>
            <w:tcBorders>
              <w:top w:val="nil"/>
              <w:left w:val="nil"/>
              <w:bottom w:val="dotted" w:sz="4" w:space="0" w:color="000000"/>
              <w:right w:val="double" w:sz="6" w:space="0" w:color="000000"/>
            </w:tcBorders>
            <w:shd w:val="clear" w:color="auto" w:fill="auto"/>
            <w:hideMark/>
          </w:tcPr>
          <w:p w14:paraId="1E40537C"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r>
      <w:tr w:rsidR="00247CBF" w:rsidRPr="00092ED7" w14:paraId="143CDE0F" w14:textId="77777777" w:rsidTr="00247CBF">
        <w:trPr>
          <w:trHeight w:val="255"/>
        </w:trPr>
        <w:tc>
          <w:tcPr>
            <w:tcW w:w="2423" w:type="pct"/>
            <w:gridSpan w:val="2"/>
            <w:tcBorders>
              <w:top w:val="nil"/>
              <w:left w:val="double" w:sz="6" w:space="0" w:color="000000"/>
              <w:bottom w:val="dotted" w:sz="4" w:space="0" w:color="000000"/>
              <w:right w:val="single" w:sz="4" w:space="0" w:color="auto"/>
            </w:tcBorders>
            <w:shd w:val="clear" w:color="000000" w:fill="FFFFFF"/>
            <w:hideMark/>
          </w:tcPr>
          <w:p w14:paraId="44A2DD1A" w14:textId="77777777" w:rsidR="00247CBF" w:rsidRPr="00092ED7" w:rsidRDefault="00247CBF" w:rsidP="00247CBF">
            <w:pPr>
              <w:spacing w:after="0"/>
              <w:ind w:firstLineChars="100" w:firstLine="200"/>
              <w:rPr>
                <w:rFonts w:eastAsia="Times New Roman" w:cs="Times New Roman"/>
                <w:sz w:val="20"/>
                <w:szCs w:val="20"/>
                <w:lang w:val="sr-Cyrl-CS"/>
              </w:rPr>
            </w:pPr>
            <w:r w:rsidRPr="00092ED7">
              <w:rPr>
                <w:rFonts w:eastAsia="Times New Roman" w:cs="Times New Roman"/>
                <w:sz w:val="20"/>
                <w:szCs w:val="20"/>
                <w:lang w:val="sr-Cyrl-CS"/>
              </w:rPr>
              <w:t>- Здравство</w:t>
            </w:r>
          </w:p>
        </w:tc>
        <w:tc>
          <w:tcPr>
            <w:tcW w:w="368" w:type="pct"/>
            <w:gridSpan w:val="2"/>
            <w:tcBorders>
              <w:top w:val="nil"/>
              <w:left w:val="nil"/>
              <w:bottom w:val="dotted" w:sz="4" w:space="0" w:color="000000"/>
              <w:right w:val="dotted" w:sz="4" w:space="0" w:color="000000"/>
            </w:tcBorders>
            <w:shd w:val="clear" w:color="auto" w:fill="auto"/>
            <w:hideMark/>
          </w:tcPr>
          <w:p w14:paraId="37090C42"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71280356"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2714DF66"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66CB07EC"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15FBC799"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7724EA68"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9" w:type="pct"/>
            <w:gridSpan w:val="2"/>
            <w:tcBorders>
              <w:top w:val="nil"/>
              <w:left w:val="nil"/>
              <w:bottom w:val="dotted" w:sz="4" w:space="0" w:color="000000"/>
              <w:right w:val="double" w:sz="6" w:space="0" w:color="000000"/>
            </w:tcBorders>
            <w:shd w:val="clear" w:color="auto" w:fill="auto"/>
            <w:hideMark/>
          </w:tcPr>
          <w:p w14:paraId="5E418FF7"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r>
      <w:tr w:rsidR="00247CBF" w:rsidRPr="00092ED7" w14:paraId="1F9A357A" w14:textId="77777777" w:rsidTr="00247CBF">
        <w:trPr>
          <w:trHeight w:val="300"/>
        </w:trPr>
        <w:tc>
          <w:tcPr>
            <w:tcW w:w="2423" w:type="pct"/>
            <w:gridSpan w:val="2"/>
            <w:tcBorders>
              <w:top w:val="nil"/>
              <w:left w:val="double" w:sz="6" w:space="0" w:color="000000"/>
              <w:bottom w:val="dotted" w:sz="4" w:space="0" w:color="000000"/>
              <w:right w:val="single" w:sz="4" w:space="0" w:color="auto"/>
            </w:tcBorders>
            <w:shd w:val="clear" w:color="000000" w:fill="FFFFFF"/>
            <w:hideMark/>
          </w:tcPr>
          <w:p w14:paraId="7E1FAB6E" w14:textId="77777777" w:rsidR="00247CBF" w:rsidRPr="00092ED7" w:rsidRDefault="00247CBF" w:rsidP="00247CBF">
            <w:pPr>
              <w:spacing w:after="0"/>
              <w:ind w:firstLineChars="100" w:firstLine="200"/>
              <w:rPr>
                <w:rFonts w:eastAsia="Times New Roman" w:cs="Times New Roman"/>
                <w:sz w:val="20"/>
                <w:szCs w:val="20"/>
                <w:lang w:val="sr-Cyrl-CS"/>
              </w:rPr>
            </w:pPr>
            <w:r w:rsidRPr="00092ED7">
              <w:rPr>
                <w:rFonts w:eastAsia="Times New Roman" w:cs="Times New Roman"/>
                <w:sz w:val="20"/>
                <w:szCs w:val="20"/>
                <w:lang w:val="sr-Cyrl-CS"/>
              </w:rPr>
              <w:t>- Дуготрајна нега (раније је била укључена у здравство)</w:t>
            </w:r>
          </w:p>
        </w:tc>
        <w:tc>
          <w:tcPr>
            <w:tcW w:w="368" w:type="pct"/>
            <w:gridSpan w:val="2"/>
            <w:tcBorders>
              <w:top w:val="nil"/>
              <w:left w:val="nil"/>
              <w:bottom w:val="dotted" w:sz="4" w:space="0" w:color="000000"/>
              <w:right w:val="dotted" w:sz="4" w:space="0" w:color="000000"/>
            </w:tcBorders>
            <w:shd w:val="clear" w:color="auto" w:fill="auto"/>
            <w:hideMark/>
          </w:tcPr>
          <w:p w14:paraId="20008DD4"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504DC306"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523FA22F"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6E3DB937"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50F77282"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3FF0C50F"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9" w:type="pct"/>
            <w:gridSpan w:val="2"/>
            <w:tcBorders>
              <w:top w:val="nil"/>
              <w:left w:val="nil"/>
              <w:bottom w:val="dotted" w:sz="4" w:space="0" w:color="000000"/>
              <w:right w:val="double" w:sz="6" w:space="0" w:color="000000"/>
            </w:tcBorders>
            <w:shd w:val="clear" w:color="auto" w:fill="auto"/>
            <w:hideMark/>
          </w:tcPr>
          <w:p w14:paraId="12C4B681"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r>
      <w:tr w:rsidR="00247CBF" w:rsidRPr="00092ED7" w14:paraId="2FA7CD58" w14:textId="77777777" w:rsidTr="00247CBF">
        <w:trPr>
          <w:trHeight w:val="255"/>
        </w:trPr>
        <w:tc>
          <w:tcPr>
            <w:tcW w:w="2423" w:type="pct"/>
            <w:gridSpan w:val="2"/>
            <w:tcBorders>
              <w:top w:val="nil"/>
              <w:left w:val="double" w:sz="6" w:space="0" w:color="000000"/>
              <w:bottom w:val="dotted" w:sz="4" w:space="0" w:color="000000"/>
              <w:right w:val="single" w:sz="4" w:space="0" w:color="auto"/>
            </w:tcBorders>
            <w:shd w:val="clear" w:color="000000" w:fill="FFFFFF"/>
            <w:hideMark/>
          </w:tcPr>
          <w:p w14:paraId="7A024F26"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Расходи за образовање</w:t>
            </w:r>
          </w:p>
        </w:tc>
        <w:tc>
          <w:tcPr>
            <w:tcW w:w="368" w:type="pct"/>
            <w:gridSpan w:val="2"/>
            <w:tcBorders>
              <w:top w:val="nil"/>
              <w:left w:val="nil"/>
              <w:bottom w:val="dotted" w:sz="4" w:space="0" w:color="000000"/>
              <w:right w:val="dotted" w:sz="4" w:space="0" w:color="000000"/>
            </w:tcBorders>
            <w:shd w:val="clear" w:color="auto" w:fill="auto"/>
            <w:hideMark/>
          </w:tcPr>
          <w:p w14:paraId="45A37019"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2A103C56"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4BE76D22"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08528C8B"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61E66625"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5EE97560"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9" w:type="pct"/>
            <w:gridSpan w:val="2"/>
            <w:tcBorders>
              <w:top w:val="nil"/>
              <w:left w:val="nil"/>
              <w:bottom w:val="dotted" w:sz="4" w:space="0" w:color="000000"/>
              <w:right w:val="double" w:sz="6" w:space="0" w:color="000000"/>
            </w:tcBorders>
            <w:shd w:val="clear" w:color="auto" w:fill="auto"/>
            <w:hideMark/>
          </w:tcPr>
          <w:p w14:paraId="3D48DF35"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r>
      <w:tr w:rsidR="00247CBF" w:rsidRPr="00092ED7" w14:paraId="73DE39A4" w14:textId="77777777" w:rsidTr="00247CBF">
        <w:trPr>
          <w:trHeight w:val="255"/>
        </w:trPr>
        <w:tc>
          <w:tcPr>
            <w:tcW w:w="2423" w:type="pct"/>
            <w:gridSpan w:val="2"/>
            <w:tcBorders>
              <w:top w:val="nil"/>
              <w:left w:val="double" w:sz="6" w:space="0" w:color="000000"/>
              <w:bottom w:val="dotted" w:sz="4" w:space="0" w:color="000000"/>
              <w:right w:val="single" w:sz="4" w:space="0" w:color="auto"/>
            </w:tcBorders>
            <w:shd w:val="clear" w:color="000000" w:fill="FFFFFF"/>
            <w:hideMark/>
          </w:tcPr>
          <w:p w14:paraId="537D81AF"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Остали расходи везани за године живота</w:t>
            </w:r>
          </w:p>
        </w:tc>
        <w:tc>
          <w:tcPr>
            <w:tcW w:w="368" w:type="pct"/>
            <w:gridSpan w:val="2"/>
            <w:tcBorders>
              <w:top w:val="nil"/>
              <w:left w:val="nil"/>
              <w:bottom w:val="dotted" w:sz="4" w:space="0" w:color="000000"/>
              <w:right w:val="dotted" w:sz="4" w:space="0" w:color="000000"/>
            </w:tcBorders>
            <w:shd w:val="clear" w:color="auto" w:fill="auto"/>
            <w:hideMark/>
          </w:tcPr>
          <w:p w14:paraId="10E4F2D0"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3A43E00B"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58F6CE9A"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0F60C42A"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0E52270C"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00B0BC26"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9" w:type="pct"/>
            <w:gridSpan w:val="2"/>
            <w:tcBorders>
              <w:top w:val="nil"/>
              <w:left w:val="nil"/>
              <w:bottom w:val="dotted" w:sz="4" w:space="0" w:color="000000"/>
              <w:right w:val="double" w:sz="6" w:space="0" w:color="000000"/>
            </w:tcBorders>
            <w:shd w:val="clear" w:color="auto" w:fill="auto"/>
            <w:hideMark/>
          </w:tcPr>
          <w:p w14:paraId="172EA78B"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r>
      <w:tr w:rsidR="00247CBF" w:rsidRPr="00092ED7" w14:paraId="6F41F223" w14:textId="77777777" w:rsidTr="00247CBF">
        <w:trPr>
          <w:trHeight w:val="255"/>
        </w:trPr>
        <w:tc>
          <w:tcPr>
            <w:tcW w:w="2423" w:type="pct"/>
            <w:gridSpan w:val="2"/>
            <w:tcBorders>
              <w:top w:val="nil"/>
              <w:left w:val="double" w:sz="6" w:space="0" w:color="000000"/>
              <w:bottom w:val="dotted" w:sz="4" w:space="0" w:color="000000"/>
              <w:right w:val="single" w:sz="4" w:space="0" w:color="auto"/>
            </w:tcBorders>
            <w:shd w:val="clear" w:color="000000" w:fill="FFFFFF"/>
            <w:hideMark/>
          </w:tcPr>
          <w:p w14:paraId="2F562C1F"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Расходи за камате</w:t>
            </w:r>
          </w:p>
        </w:tc>
        <w:tc>
          <w:tcPr>
            <w:tcW w:w="368" w:type="pct"/>
            <w:gridSpan w:val="2"/>
            <w:tcBorders>
              <w:top w:val="nil"/>
              <w:left w:val="nil"/>
              <w:bottom w:val="dotted" w:sz="4" w:space="0" w:color="000000"/>
              <w:right w:val="dotted" w:sz="4" w:space="0" w:color="000000"/>
            </w:tcBorders>
            <w:shd w:val="clear" w:color="auto" w:fill="auto"/>
            <w:hideMark/>
          </w:tcPr>
          <w:p w14:paraId="17E773E9"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25567289"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0074B0CA"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17AEDFA5"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2AC68181"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1C62F890"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9" w:type="pct"/>
            <w:gridSpan w:val="2"/>
            <w:tcBorders>
              <w:top w:val="nil"/>
              <w:left w:val="nil"/>
              <w:bottom w:val="dotted" w:sz="4" w:space="0" w:color="000000"/>
              <w:right w:val="double" w:sz="6" w:space="0" w:color="000000"/>
            </w:tcBorders>
            <w:shd w:val="clear" w:color="auto" w:fill="auto"/>
            <w:hideMark/>
          </w:tcPr>
          <w:p w14:paraId="1BE65B1C"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r>
      <w:tr w:rsidR="00247CBF" w:rsidRPr="00092ED7" w14:paraId="5F8B9B30" w14:textId="77777777" w:rsidTr="00247CBF">
        <w:trPr>
          <w:trHeight w:val="255"/>
        </w:trPr>
        <w:tc>
          <w:tcPr>
            <w:tcW w:w="2423" w:type="pct"/>
            <w:gridSpan w:val="2"/>
            <w:tcBorders>
              <w:top w:val="nil"/>
              <w:left w:val="double" w:sz="6" w:space="0" w:color="000000"/>
              <w:bottom w:val="dotted" w:sz="4" w:space="0" w:color="000000"/>
              <w:right w:val="single" w:sz="4" w:space="0" w:color="auto"/>
            </w:tcBorders>
            <w:shd w:val="clear" w:color="000000" w:fill="FFFFFF"/>
            <w:hideMark/>
          </w:tcPr>
          <w:p w14:paraId="4FF30A4F"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Укупни приходи</w:t>
            </w:r>
          </w:p>
        </w:tc>
        <w:tc>
          <w:tcPr>
            <w:tcW w:w="368" w:type="pct"/>
            <w:gridSpan w:val="2"/>
            <w:tcBorders>
              <w:top w:val="nil"/>
              <w:left w:val="nil"/>
              <w:bottom w:val="dotted" w:sz="4" w:space="0" w:color="000000"/>
              <w:right w:val="dotted" w:sz="4" w:space="0" w:color="000000"/>
            </w:tcBorders>
            <w:shd w:val="clear" w:color="auto" w:fill="auto"/>
            <w:hideMark/>
          </w:tcPr>
          <w:p w14:paraId="39DF55FC"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47F283DB"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3DB94432"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077A11A0"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7102EA55"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17E4BC76"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9" w:type="pct"/>
            <w:gridSpan w:val="2"/>
            <w:tcBorders>
              <w:top w:val="nil"/>
              <w:left w:val="nil"/>
              <w:bottom w:val="dotted" w:sz="4" w:space="0" w:color="000000"/>
              <w:right w:val="double" w:sz="6" w:space="0" w:color="000000"/>
            </w:tcBorders>
            <w:shd w:val="clear" w:color="auto" w:fill="auto"/>
            <w:hideMark/>
          </w:tcPr>
          <w:p w14:paraId="3D1EBED4"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r>
      <w:tr w:rsidR="00247CBF" w:rsidRPr="00092ED7" w14:paraId="2A16D26F" w14:textId="77777777" w:rsidTr="00247CBF">
        <w:trPr>
          <w:trHeight w:val="255"/>
        </w:trPr>
        <w:tc>
          <w:tcPr>
            <w:tcW w:w="2423" w:type="pct"/>
            <w:gridSpan w:val="2"/>
            <w:tcBorders>
              <w:top w:val="nil"/>
              <w:left w:val="double" w:sz="6" w:space="0" w:color="000000"/>
              <w:bottom w:val="dotted" w:sz="4" w:space="0" w:color="000000"/>
              <w:right w:val="single" w:sz="4" w:space="0" w:color="auto"/>
            </w:tcBorders>
            <w:shd w:val="clear" w:color="000000" w:fill="FFFFFF"/>
            <w:hideMark/>
          </w:tcPr>
          <w:p w14:paraId="09CD67EB" w14:textId="77777777" w:rsidR="00247CBF" w:rsidRPr="00092ED7" w:rsidRDefault="00247CBF" w:rsidP="00247CBF">
            <w:pPr>
              <w:spacing w:after="0"/>
              <w:ind w:firstLineChars="100" w:firstLine="200"/>
              <w:rPr>
                <w:rFonts w:eastAsia="Times New Roman" w:cs="Times New Roman"/>
                <w:sz w:val="20"/>
                <w:szCs w:val="20"/>
                <w:lang w:val="sr-Cyrl-CS"/>
              </w:rPr>
            </w:pPr>
            <w:r w:rsidRPr="00092ED7">
              <w:rPr>
                <w:rFonts w:eastAsia="Times New Roman" w:cs="Times New Roman"/>
                <w:i/>
                <w:iCs/>
                <w:sz w:val="20"/>
                <w:szCs w:val="20"/>
                <w:lang w:val="sr-Cyrl-CS"/>
              </w:rPr>
              <w:t>од чега</w:t>
            </w:r>
            <w:r w:rsidRPr="00092ED7">
              <w:rPr>
                <w:rFonts w:eastAsia="Times New Roman" w:cs="Times New Roman"/>
                <w:sz w:val="20"/>
                <w:szCs w:val="20"/>
                <w:lang w:val="sr-Cyrl-CS"/>
              </w:rPr>
              <w:t>: приходи од имовине</w:t>
            </w:r>
          </w:p>
        </w:tc>
        <w:tc>
          <w:tcPr>
            <w:tcW w:w="368" w:type="pct"/>
            <w:gridSpan w:val="2"/>
            <w:tcBorders>
              <w:top w:val="nil"/>
              <w:left w:val="nil"/>
              <w:bottom w:val="dotted" w:sz="4" w:space="0" w:color="000000"/>
              <w:right w:val="dotted" w:sz="4" w:space="0" w:color="000000"/>
            </w:tcBorders>
            <w:shd w:val="clear" w:color="auto" w:fill="auto"/>
            <w:hideMark/>
          </w:tcPr>
          <w:p w14:paraId="28184FEE"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47BF21B8"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0A7D7BE5"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0B06B0D3"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1ABA3DB6"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75DE254A"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9" w:type="pct"/>
            <w:gridSpan w:val="2"/>
            <w:tcBorders>
              <w:top w:val="nil"/>
              <w:left w:val="nil"/>
              <w:bottom w:val="dotted" w:sz="4" w:space="0" w:color="000000"/>
              <w:right w:val="double" w:sz="6" w:space="0" w:color="000000"/>
            </w:tcBorders>
            <w:shd w:val="clear" w:color="auto" w:fill="auto"/>
            <w:hideMark/>
          </w:tcPr>
          <w:p w14:paraId="66496E3C"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r>
      <w:tr w:rsidR="00247CBF" w:rsidRPr="00092ED7" w14:paraId="1E2E7B10" w14:textId="77777777" w:rsidTr="00247CBF">
        <w:trPr>
          <w:trHeight w:val="540"/>
        </w:trPr>
        <w:tc>
          <w:tcPr>
            <w:tcW w:w="2423" w:type="pct"/>
            <w:gridSpan w:val="2"/>
            <w:tcBorders>
              <w:top w:val="nil"/>
              <w:left w:val="double" w:sz="6" w:space="0" w:color="000000"/>
              <w:bottom w:val="dotted" w:sz="4" w:space="0" w:color="000000"/>
              <w:right w:val="single" w:sz="4" w:space="0" w:color="auto"/>
            </w:tcBorders>
            <w:shd w:val="clear" w:color="000000" w:fill="FFFFFF"/>
            <w:hideMark/>
          </w:tcPr>
          <w:p w14:paraId="4893AF9C" w14:textId="77777777" w:rsidR="00247CBF" w:rsidRPr="00092ED7" w:rsidRDefault="00247CBF" w:rsidP="00247CBF">
            <w:pPr>
              <w:spacing w:after="0"/>
              <w:ind w:firstLineChars="200" w:firstLine="400"/>
              <w:rPr>
                <w:rFonts w:eastAsia="Times New Roman" w:cs="Times New Roman"/>
                <w:sz w:val="20"/>
                <w:szCs w:val="20"/>
                <w:lang w:val="sr-Cyrl-CS"/>
              </w:rPr>
            </w:pPr>
            <w:r w:rsidRPr="00092ED7">
              <w:rPr>
                <w:rFonts w:eastAsia="Times New Roman" w:cs="Times New Roman"/>
                <w:i/>
                <w:iCs/>
                <w:sz w:val="20"/>
                <w:szCs w:val="20"/>
                <w:lang w:val="sr-Cyrl-CS"/>
              </w:rPr>
              <w:t>од чега:</w:t>
            </w:r>
            <w:r w:rsidRPr="00092ED7">
              <w:rPr>
                <w:rFonts w:eastAsia="Times New Roman" w:cs="Times New Roman"/>
                <w:sz w:val="20"/>
                <w:szCs w:val="20"/>
                <w:lang w:val="sr-Cyrl-CS"/>
              </w:rPr>
              <w:t xml:space="preserve"> од доприноса за пензијско осигурање (или доприноса за социјално осигурање, уколико је то случај)</w:t>
            </w:r>
          </w:p>
        </w:tc>
        <w:tc>
          <w:tcPr>
            <w:tcW w:w="368" w:type="pct"/>
            <w:gridSpan w:val="2"/>
            <w:tcBorders>
              <w:top w:val="nil"/>
              <w:left w:val="nil"/>
              <w:bottom w:val="dotted" w:sz="4" w:space="0" w:color="000000"/>
              <w:right w:val="dotted" w:sz="4" w:space="0" w:color="000000"/>
            </w:tcBorders>
            <w:shd w:val="clear" w:color="auto" w:fill="auto"/>
            <w:hideMark/>
          </w:tcPr>
          <w:p w14:paraId="64C4D1DB"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6DB3A4C2"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1FC49D64"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54D6C2FE"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4E0376EB"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75F5FDBE"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9" w:type="pct"/>
            <w:gridSpan w:val="2"/>
            <w:tcBorders>
              <w:top w:val="nil"/>
              <w:left w:val="nil"/>
              <w:bottom w:val="dotted" w:sz="4" w:space="0" w:color="000000"/>
              <w:right w:val="double" w:sz="6" w:space="0" w:color="000000"/>
            </w:tcBorders>
            <w:shd w:val="clear" w:color="auto" w:fill="auto"/>
            <w:hideMark/>
          </w:tcPr>
          <w:p w14:paraId="79146332"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r>
      <w:tr w:rsidR="00247CBF" w:rsidRPr="00092ED7" w14:paraId="6A7B3A9B" w14:textId="77777777" w:rsidTr="00247CBF">
        <w:trPr>
          <w:trHeight w:val="255"/>
        </w:trPr>
        <w:tc>
          <w:tcPr>
            <w:tcW w:w="2423" w:type="pct"/>
            <w:gridSpan w:val="2"/>
            <w:tcBorders>
              <w:top w:val="nil"/>
              <w:left w:val="double" w:sz="6" w:space="0" w:color="000000"/>
              <w:bottom w:val="dotted" w:sz="4" w:space="0" w:color="000000"/>
              <w:right w:val="single" w:sz="4" w:space="0" w:color="auto"/>
            </w:tcBorders>
            <w:shd w:val="clear" w:color="000000" w:fill="FFFFFF"/>
            <w:hideMark/>
          </w:tcPr>
          <w:p w14:paraId="7833DF10"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Средства резервног пензијског фонда</w:t>
            </w:r>
          </w:p>
        </w:tc>
        <w:tc>
          <w:tcPr>
            <w:tcW w:w="368" w:type="pct"/>
            <w:gridSpan w:val="2"/>
            <w:tcBorders>
              <w:top w:val="nil"/>
              <w:left w:val="nil"/>
              <w:bottom w:val="dotted" w:sz="4" w:space="0" w:color="000000"/>
              <w:right w:val="dotted" w:sz="4" w:space="0" w:color="000000"/>
            </w:tcBorders>
            <w:shd w:val="clear" w:color="auto" w:fill="auto"/>
            <w:hideMark/>
          </w:tcPr>
          <w:p w14:paraId="7901693D"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462F2FE3"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1B4CF281"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72000CF0"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06FD375F"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3B41E572"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9" w:type="pct"/>
            <w:gridSpan w:val="2"/>
            <w:tcBorders>
              <w:top w:val="nil"/>
              <w:left w:val="nil"/>
              <w:bottom w:val="dotted" w:sz="4" w:space="0" w:color="000000"/>
              <w:right w:val="double" w:sz="6" w:space="0" w:color="000000"/>
            </w:tcBorders>
            <w:shd w:val="clear" w:color="auto" w:fill="auto"/>
            <w:hideMark/>
          </w:tcPr>
          <w:p w14:paraId="6A0C0726"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r>
      <w:tr w:rsidR="00247CBF" w:rsidRPr="00092ED7" w14:paraId="2FA0BF71" w14:textId="77777777" w:rsidTr="00247CBF">
        <w:trPr>
          <w:trHeight w:val="525"/>
        </w:trPr>
        <w:tc>
          <w:tcPr>
            <w:tcW w:w="2423" w:type="pct"/>
            <w:gridSpan w:val="2"/>
            <w:tcBorders>
              <w:top w:val="nil"/>
              <w:left w:val="double" w:sz="6" w:space="0" w:color="000000"/>
              <w:bottom w:val="single" w:sz="4" w:space="0" w:color="auto"/>
              <w:right w:val="single" w:sz="4" w:space="0" w:color="auto"/>
            </w:tcBorders>
            <w:shd w:val="clear" w:color="000000" w:fill="FFFFFF"/>
            <w:hideMark/>
          </w:tcPr>
          <w:p w14:paraId="14844B8A" w14:textId="77777777" w:rsidR="00247CBF" w:rsidRPr="00092ED7" w:rsidRDefault="00247CBF" w:rsidP="00247CBF">
            <w:pPr>
              <w:spacing w:after="0"/>
              <w:ind w:firstLineChars="200" w:firstLine="400"/>
              <w:rPr>
                <w:rFonts w:eastAsia="Times New Roman" w:cs="Times New Roman"/>
                <w:i/>
                <w:iCs/>
                <w:sz w:val="20"/>
                <w:szCs w:val="20"/>
                <w:lang w:val="sr-Cyrl-CS"/>
              </w:rPr>
            </w:pPr>
            <w:r w:rsidRPr="00092ED7">
              <w:rPr>
                <w:rFonts w:eastAsia="Times New Roman" w:cs="Times New Roman"/>
                <w:i/>
                <w:iCs/>
                <w:sz w:val="20"/>
                <w:szCs w:val="20"/>
                <w:lang w:val="sr-Cyrl-CS"/>
              </w:rPr>
              <w:t xml:space="preserve">од чега: </w:t>
            </w:r>
            <w:r w:rsidRPr="00092ED7">
              <w:rPr>
                <w:rFonts w:eastAsia="Times New Roman" w:cs="Times New Roman"/>
                <w:sz w:val="20"/>
                <w:szCs w:val="20"/>
                <w:lang w:val="sr-Cyrl-CS"/>
              </w:rPr>
              <w:t>консолидована средства јавног пензијског фонда (средства без државних обавеза)</w:t>
            </w:r>
          </w:p>
        </w:tc>
        <w:tc>
          <w:tcPr>
            <w:tcW w:w="368" w:type="pct"/>
            <w:gridSpan w:val="2"/>
            <w:tcBorders>
              <w:top w:val="nil"/>
              <w:left w:val="nil"/>
              <w:bottom w:val="single" w:sz="4" w:space="0" w:color="auto"/>
              <w:right w:val="dotted" w:sz="4" w:space="0" w:color="000000"/>
            </w:tcBorders>
            <w:shd w:val="clear" w:color="auto" w:fill="auto"/>
            <w:hideMark/>
          </w:tcPr>
          <w:p w14:paraId="3252B0F2"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single" w:sz="4" w:space="0" w:color="auto"/>
              <w:right w:val="dotted" w:sz="4" w:space="0" w:color="000000"/>
            </w:tcBorders>
            <w:shd w:val="clear" w:color="auto" w:fill="auto"/>
            <w:hideMark/>
          </w:tcPr>
          <w:p w14:paraId="295AF627"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single" w:sz="4" w:space="0" w:color="auto"/>
              <w:right w:val="dotted" w:sz="4" w:space="0" w:color="000000"/>
            </w:tcBorders>
            <w:shd w:val="clear" w:color="auto" w:fill="auto"/>
            <w:hideMark/>
          </w:tcPr>
          <w:p w14:paraId="21A1FF86"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single" w:sz="4" w:space="0" w:color="auto"/>
              <w:right w:val="dotted" w:sz="4" w:space="0" w:color="000000"/>
            </w:tcBorders>
            <w:shd w:val="clear" w:color="auto" w:fill="auto"/>
            <w:hideMark/>
          </w:tcPr>
          <w:p w14:paraId="5ED48AD9"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single" w:sz="4" w:space="0" w:color="auto"/>
              <w:right w:val="dotted" w:sz="4" w:space="0" w:color="000000"/>
            </w:tcBorders>
            <w:shd w:val="clear" w:color="auto" w:fill="auto"/>
            <w:hideMark/>
          </w:tcPr>
          <w:p w14:paraId="1ADF9880"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single" w:sz="4" w:space="0" w:color="auto"/>
              <w:right w:val="dotted" w:sz="4" w:space="0" w:color="000000"/>
            </w:tcBorders>
            <w:shd w:val="clear" w:color="auto" w:fill="auto"/>
            <w:hideMark/>
          </w:tcPr>
          <w:p w14:paraId="0EEA2F09"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9" w:type="pct"/>
            <w:gridSpan w:val="2"/>
            <w:tcBorders>
              <w:top w:val="nil"/>
              <w:left w:val="nil"/>
              <w:bottom w:val="single" w:sz="4" w:space="0" w:color="auto"/>
              <w:right w:val="double" w:sz="6" w:space="0" w:color="000000"/>
            </w:tcBorders>
            <w:shd w:val="clear" w:color="auto" w:fill="auto"/>
            <w:hideMark/>
          </w:tcPr>
          <w:p w14:paraId="491B1927"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r>
      <w:tr w:rsidR="00247CBF" w:rsidRPr="00092ED7" w14:paraId="70B3807C" w14:textId="77777777" w:rsidTr="00247CBF">
        <w:trPr>
          <w:trHeight w:val="255"/>
        </w:trPr>
        <w:tc>
          <w:tcPr>
            <w:tcW w:w="5000" w:type="pct"/>
            <w:gridSpan w:val="16"/>
            <w:tcBorders>
              <w:top w:val="single" w:sz="4" w:space="0" w:color="auto"/>
              <w:left w:val="double" w:sz="6" w:space="0" w:color="000000"/>
              <w:bottom w:val="single" w:sz="4" w:space="0" w:color="auto"/>
              <w:right w:val="double" w:sz="6" w:space="0" w:color="000000"/>
            </w:tcBorders>
            <w:shd w:val="clear" w:color="000000" w:fill="FFFFFF"/>
            <w:hideMark/>
          </w:tcPr>
          <w:p w14:paraId="44DD1676" w14:textId="77777777" w:rsidR="00247CBF" w:rsidRPr="00092ED7" w:rsidRDefault="00247CBF" w:rsidP="00247CBF">
            <w:pPr>
              <w:spacing w:after="0"/>
              <w:jc w:val="center"/>
              <w:rPr>
                <w:rFonts w:eastAsia="Times New Roman" w:cs="Times New Roman"/>
                <w:b/>
                <w:bCs/>
                <w:sz w:val="20"/>
                <w:szCs w:val="20"/>
                <w:lang w:val="sr-Cyrl-CS"/>
              </w:rPr>
            </w:pPr>
            <w:r w:rsidRPr="00092ED7">
              <w:rPr>
                <w:rFonts w:eastAsia="Times New Roman" w:cs="Times New Roman"/>
                <w:b/>
                <w:bCs/>
                <w:sz w:val="20"/>
                <w:szCs w:val="20"/>
                <w:lang w:val="sr-Cyrl-CS"/>
              </w:rPr>
              <w:t>Претпоставке</w:t>
            </w:r>
          </w:p>
        </w:tc>
      </w:tr>
      <w:tr w:rsidR="00247CBF" w:rsidRPr="00092ED7" w14:paraId="1715F486" w14:textId="77777777" w:rsidTr="00247CBF">
        <w:trPr>
          <w:trHeight w:val="255"/>
        </w:trPr>
        <w:tc>
          <w:tcPr>
            <w:tcW w:w="2423" w:type="pct"/>
            <w:gridSpan w:val="2"/>
            <w:tcBorders>
              <w:top w:val="nil"/>
              <w:left w:val="double" w:sz="6" w:space="0" w:color="000000"/>
              <w:bottom w:val="dotted" w:sz="4" w:space="0" w:color="000000"/>
              <w:right w:val="single" w:sz="4" w:space="0" w:color="auto"/>
            </w:tcBorders>
            <w:shd w:val="clear" w:color="000000" w:fill="FFFFFF"/>
            <w:hideMark/>
          </w:tcPr>
          <w:p w14:paraId="31550A29"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Раст продуктивности рада</w:t>
            </w:r>
          </w:p>
        </w:tc>
        <w:tc>
          <w:tcPr>
            <w:tcW w:w="368" w:type="pct"/>
            <w:gridSpan w:val="2"/>
            <w:tcBorders>
              <w:top w:val="nil"/>
              <w:left w:val="nil"/>
              <w:bottom w:val="dotted" w:sz="4" w:space="0" w:color="000000"/>
              <w:right w:val="dotted" w:sz="4" w:space="0" w:color="000000"/>
            </w:tcBorders>
            <w:shd w:val="clear" w:color="auto" w:fill="auto"/>
            <w:hideMark/>
          </w:tcPr>
          <w:p w14:paraId="26739D24"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3C60242D"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4F58B1BB"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18A7358B"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61BDCA78"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490D478B"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9" w:type="pct"/>
            <w:gridSpan w:val="2"/>
            <w:tcBorders>
              <w:top w:val="nil"/>
              <w:left w:val="nil"/>
              <w:bottom w:val="dotted" w:sz="4" w:space="0" w:color="000000"/>
              <w:right w:val="double" w:sz="6" w:space="0" w:color="000000"/>
            </w:tcBorders>
            <w:shd w:val="clear" w:color="auto" w:fill="auto"/>
            <w:hideMark/>
          </w:tcPr>
          <w:p w14:paraId="1D7E7332"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r>
      <w:tr w:rsidR="00247CBF" w:rsidRPr="00092ED7" w14:paraId="55DA0289" w14:textId="77777777" w:rsidTr="00247CBF">
        <w:trPr>
          <w:trHeight w:val="255"/>
        </w:trPr>
        <w:tc>
          <w:tcPr>
            <w:tcW w:w="2423" w:type="pct"/>
            <w:gridSpan w:val="2"/>
            <w:tcBorders>
              <w:top w:val="nil"/>
              <w:left w:val="double" w:sz="6" w:space="0" w:color="000000"/>
              <w:bottom w:val="dotted" w:sz="4" w:space="0" w:color="000000"/>
              <w:right w:val="single" w:sz="4" w:space="0" w:color="auto"/>
            </w:tcBorders>
            <w:shd w:val="clear" w:color="000000" w:fill="FFFFFF"/>
            <w:hideMark/>
          </w:tcPr>
          <w:p w14:paraId="4052645D"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Реални раст БДП-а</w:t>
            </w:r>
          </w:p>
        </w:tc>
        <w:tc>
          <w:tcPr>
            <w:tcW w:w="368" w:type="pct"/>
            <w:gridSpan w:val="2"/>
            <w:tcBorders>
              <w:top w:val="nil"/>
              <w:left w:val="nil"/>
              <w:bottom w:val="dotted" w:sz="4" w:space="0" w:color="000000"/>
              <w:right w:val="dotted" w:sz="4" w:space="0" w:color="000000"/>
            </w:tcBorders>
            <w:shd w:val="clear" w:color="auto" w:fill="auto"/>
            <w:hideMark/>
          </w:tcPr>
          <w:p w14:paraId="33E119A7"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5DA1FBA6"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2A40034C"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74CB34FA"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32BC47C4"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7C1A083C"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9" w:type="pct"/>
            <w:gridSpan w:val="2"/>
            <w:tcBorders>
              <w:top w:val="nil"/>
              <w:left w:val="nil"/>
              <w:bottom w:val="dotted" w:sz="4" w:space="0" w:color="000000"/>
              <w:right w:val="double" w:sz="6" w:space="0" w:color="000000"/>
            </w:tcBorders>
            <w:shd w:val="clear" w:color="auto" w:fill="auto"/>
            <w:hideMark/>
          </w:tcPr>
          <w:p w14:paraId="0DBAE46E"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r>
      <w:tr w:rsidR="00247CBF" w:rsidRPr="00092ED7" w14:paraId="071EECAA" w14:textId="77777777" w:rsidTr="00247CBF">
        <w:trPr>
          <w:trHeight w:val="255"/>
        </w:trPr>
        <w:tc>
          <w:tcPr>
            <w:tcW w:w="2423" w:type="pct"/>
            <w:gridSpan w:val="2"/>
            <w:tcBorders>
              <w:top w:val="nil"/>
              <w:left w:val="double" w:sz="6" w:space="0" w:color="000000"/>
              <w:bottom w:val="dotted" w:sz="4" w:space="0" w:color="000000"/>
              <w:right w:val="single" w:sz="4" w:space="0" w:color="auto"/>
            </w:tcBorders>
            <w:shd w:val="clear" w:color="000000" w:fill="FFFFFF"/>
            <w:hideMark/>
          </w:tcPr>
          <w:p w14:paraId="27A032EA"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Стопа активности мушкараца (20-64 год.)</w:t>
            </w:r>
          </w:p>
        </w:tc>
        <w:tc>
          <w:tcPr>
            <w:tcW w:w="368" w:type="pct"/>
            <w:gridSpan w:val="2"/>
            <w:tcBorders>
              <w:top w:val="nil"/>
              <w:left w:val="nil"/>
              <w:bottom w:val="dotted" w:sz="4" w:space="0" w:color="000000"/>
              <w:right w:val="dotted" w:sz="4" w:space="0" w:color="000000"/>
            </w:tcBorders>
            <w:shd w:val="clear" w:color="auto" w:fill="auto"/>
            <w:hideMark/>
          </w:tcPr>
          <w:p w14:paraId="47CDF920"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43DB0A5B"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452914B5"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540C40D0"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751F5C54"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4F25EA84"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9" w:type="pct"/>
            <w:gridSpan w:val="2"/>
            <w:tcBorders>
              <w:top w:val="nil"/>
              <w:left w:val="nil"/>
              <w:bottom w:val="dotted" w:sz="4" w:space="0" w:color="000000"/>
              <w:right w:val="double" w:sz="6" w:space="0" w:color="000000"/>
            </w:tcBorders>
            <w:shd w:val="clear" w:color="auto" w:fill="auto"/>
            <w:hideMark/>
          </w:tcPr>
          <w:p w14:paraId="7CA2A849"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r>
      <w:tr w:rsidR="00247CBF" w:rsidRPr="00092ED7" w14:paraId="1B1CD211" w14:textId="77777777" w:rsidTr="00247CBF">
        <w:trPr>
          <w:trHeight w:val="255"/>
        </w:trPr>
        <w:tc>
          <w:tcPr>
            <w:tcW w:w="2423" w:type="pct"/>
            <w:gridSpan w:val="2"/>
            <w:tcBorders>
              <w:top w:val="nil"/>
              <w:left w:val="double" w:sz="6" w:space="0" w:color="000000"/>
              <w:bottom w:val="dotted" w:sz="4" w:space="0" w:color="000000"/>
              <w:right w:val="single" w:sz="4" w:space="0" w:color="auto"/>
            </w:tcBorders>
            <w:shd w:val="clear" w:color="000000" w:fill="FFFFFF"/>
            <w:hideMark/>
          </w:tcPr>
          <w:p w14:paraId="4869D7DA"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Стопа активности жена (20-64 год.)</w:t>
            </w:r>
          </w:p>
        </w:tc>
        <w:tc>
          <w:tcPr>
            <w:tcW w:w="368" w:type="pct"/>
            <w:gridSpan w:val="2"/>
            <w:tcBorders>
              <w:top w:val="nil"/>
              <w:left w:val="nil"/>
              <w:bottom w:val="dotted" w:sz="4" w:space="0" w:color="000000"/>
              <w:right w:val="dotted" w:sz="4" w:space="0" w:color="000000"/>
            </w:tcBorders>
            <w:shd w:val="clear" w:color="auto" w:fill="auto"/>
            <w:hideMark/>
          </w:tcPr>
          <w:p w14:paraId="1F8A927A"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2222025A"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0DC0FABC"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3F5FAF13"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54CC4F42"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3D096B45"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9" w:type="pct"/>
            <w:gridSpan w:val="2"/>
            <w:tcBorders>
              <w:top w:val="nil"/>
              <w:left w:val="nil"/>
              <w:bottom w:val="dotted" w:sz="4" w:space="0" w:color="000000"/>
              <w:right w:val="double" w:sz="6" w:space="0" w:color="000000"/>
            </w:tcBorders>
            <w:shd w:val="clear" w:color="auto" w:fill="auto"/>
            <w:hideMark/>
          </w:tcPr>
          <w:p w14:paraId="2D651D2B"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r>
      <w:tr w:rsidR="00247CBF" w:rsidRPr="00092ED7" w14:paraId="3BB6FCF9" w14:textId="77777777" w:rsidTr="00247CBF">
        <w:trPr>
          <w:trHeight w:val="255"/>
        </w:trPr>
        <w:tc>
          <w:tcPr>
            <w:tcW w:w="2423" w:type="pct"/>
            <w:gridSpan w:val="2"/>
            <w:tcBorders>
              <w:top w:val="nil"/>
              <w:left w:val="double" w:sz="6" w:space="0" w:color="000000"/>
              <w:bottom w:val="dotted" w:sz="4" w:space="0" w:color="000000"/>
              <w:right w:val="single" w:sz="4" w:space="0" w:color="auto"/>
            </w:tcBorders>
            <w:shd w:val="clear" w:color="000000" w:fill="FFFFFF"/>
            <w:hideMark/>
          </w:tcPr>
          <w:p w14:paraId="3BB388AE"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Општа стопа активности (20-64 год.)</w:t>
            </w:r>
          </w:p>
        </w:tc>
        <w:tc>
          <w:tcPr>
            <w:tcW w:w="368" w:type="pct"/>
            <w:gridSpan w:val="2"/>
            <w:tcBorders>
              <w:top w:val="nil"/>
              <w:left w:val="nil"/>
              <w:bottom w:val="dotted" w:sz="4" w:space="0" w:color="000000"/>
              <w:right w:val="dotted" w:sz="4" w:space="0" w:color="000000"/>
            </w:tcBorders>
            <w:shd w:val="clear" w:color="auto" w:fill="auto"/>
            <w:hideMark/>
          </w:tcPr>
          <w:p w14:paraId="718F3F05"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1F718B6B"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61FE5139"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747EF13D"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44F9A2D4"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37E8679F"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9" w:type="pct"/>
            <w:gridSpan w:val="2"/>
            <w:tcBorders>
              <w:top w:val="nil"/>
              <w:left w:val="nil"/>
              <w:bottom w:val="dotted" w:sz="4" w:space="0" w:color="000000"/>
              <w:right w:val="double" w:sz="6" w:space="0" w:color="000000"/>
            </w:tcBorders>
            <w:shd w:val="clear" w:color="auto" w:fill="auto"/>
            <w:hideMark/>
          </w:tcPr>
          <w:p w14:paraId="69DC18F9"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r>
      <w:tr w:rsidR="00247CBF" w:rsidRPr="00092ED7" w14:paraId="23C90D30" w14:textId="77777777" w:rsidTr="00247CBF">
        <w:trPr>
          <w:trHeight w:val="255"/>
        </w:trPr>
        <w:tc>
          <w:tcPr>
            <w:tcW w:w="2423" w:type="pct"/>
            <w:gridSpan w:val="2"/>
            <w:tcBorders>
              <w:top w:val="nil"/>
              <w:left w:val="double" w:sz="6" w:space="0" w:color="000000"/>
              <w:bottom w:val="dotted" w:sz="4" w:space="0" w:color="000000"/>
              <w:right w:val="single" w:sz="4" w:space="0" w:color="auto"/>
            </w:tcBorders>
            <w:shd w:val="clear" w:color="000000" w:fill="FFFFFF"/>
            <w:hideMark/>
          </w:tcPr>
          <w:p w14:paraId="7613A13D"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Стопа незапослености</w:t>
            </w:r>
          </w:p>
        </w:tc>
        <w:tc>
          <w:tcPr>
            <w:tcW w:w="368" w:type="pct"/>
            <w:gridSpan w:val="2"/>
            <w:tcBorders>
              <w:top w:val="nil"/>
              <w:left w:val="nil"/>
              <w:bottom w:val="dotted" w:sz="4" w:space="0" w:color="000000"/>
              <w:right w:val="dotted" w:sz="4" w:space="0" w:color="000000"/>
            </w:tcBorders>
            <w:shd w:val="clear" w:color="auto" w:fill="auto"/>
            <w:hideMark/>
          </w:tcPr>
          <w:p w14:paraId="6A1D979F"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0C4E8F59"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3CDE01FA"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2BFEB9F3"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663068DB"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tted" w:sz="4" w:space="0" w:color="000000"/>
              <w:right w:val="dotted" w:sz="4" w:space="0" w:color="000000"/>
            </w:tcBorders>
            <w:shd w:val="clear" w:color="auto" w:fill="auto"/>
            <w:hideMark/>
          </w:tcPr>
          <w:p w14:paraId="6A3381A2"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9" w:type="pct"/>
            <w:gridSpan w:val="2"/>
            <w:tcBorders>
              <w:top w:val="nil"/>
              <w:left w:val="nil"/>
              <w:bottom w:val="dotted" w:sz="4" w:space="0" w:color="000000"/>
              <w:right w:val="double" w:sz="6" w:space="0" w:color="000000"/>
            </w:tcBorders>
            <w:shd w:val="clear" w:color="auto" w:fill="auto"/>
            <w:hideMark/>
          </w:tcPr>
          <w:p w14:paraId="55010927"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r>
      <w:tr w:rsidR="00247CBF" w:rsidRPr="00092ED7" w14:paraId="3F039DCE" w14:textId="77777777" w:rsidTr="00247CBF">
        <w:trPr>
          <w:trHeight w:val="270"/>
        </w:trPr>
        <w:tc>
          <w:tcPr>
            <w:tcW w:w="2423" w:type="pct"/>
            <w:gridSpan w:val="2"/>
            <w:tcBorders>
              <w:top w:val="nil"/>
              <w:left w:val="double" w:sz="6" w:space="0" w:color="000000"/>
              <w:bottom w:val="double" w:sz="6" w:space="0" w:color="000000"/>
              <w:right w:val="single" w:sz="4" w:space="0" w:color="auto"/>
            </w:tcBorders>
            <w:shd w:val="clear" w:color="000000" w:fill="FFFFFF"/>
            <w:hideMark/>
          </w:tcPr>
          <w:p w14:paraId="730BB31D"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Становништво узраста 65+ у укупном становништву</w:t>
            </w:r>
          </w:p>
        </w:tc>
        <w:tc>
          <w:tcPr>
            <w:tcW w:w="368" w:type="pct"/>
            <w:gridSpan w:val="2"/>
            <w:tcBorders>
              <w:top w:val="nil"/>
              <w:left w:val="nil"/>
              <w:bottom w:val="double" w:sz="6" w:space="0" w:color="000000"/>
              <w:right w:val="dotted" w:sz="4" w:space="0" w:color="000000"/>
            </w:tcBorders>
            <w:shd w:val="clear" w:color="auto" w:fill="auto"/>
            <w:hideMark/>
          </w:tcPr>
          <w:p w14:paraId="22E36715"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uble" w:sz="6" w:space="0" w:color="000000"/>
              <w:right w:val="dotted" w:sz="4" w:space="0" w:color="000000"/>
            </w:tcBorders>
            <w:shd w:val="clear" w:color="auto" w:fill="auto"/>
            <w:hideMark/>
          </w:tcPr>
          <w:p w14:paraId="08F65ABD"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uble" w:sz="6" w:space="0" w:color="000000"/>
              <w:right w:val="dotted" w:sz="4" w:space="0" w:color="000000"/>
            </w:tcBorders>
            <w:shd w:val="clear" w:color="auto" w:fill="auto"/>
            <w:hideMark/>
          </w:tcPr>
          <w:p w14:paraId="6E03AA6C"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uble" w:sz="6" w:space="0" w:color="000000"/>
              <w:right w:val="dotted" w:sz="4" w:space="0" w:color="000000"/>
            </w:tcBorders>
            <w:shd w:val="clear" w:color="auto" w:fill="auto"/>
            <w:hideMark/>
          </w:tcPr>
          <w:p w14:paraId="1DADE00E"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uble" w:sz="6" w:space="0" w:color="000000"/>
              <w:right w:val="dotted" w:sz="4" w:space="0" w:color="000000"/>
            </w:tcBorders>
            <w:shd w:val="clear" w:color="auto" w:fill="auto"/>
            <w:hideMark/>
          </w:tcPr>
          <w:p w14:paraId="32794570"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8" w:type="pct"/>
            <w:gridSpan w:val="2"/>
            <w:tcBorders>
              <w:top w:val="nil"/>
              <w:left w:val="nil"/>
              <w:bottom w:val="double" w:sz="6" w:space="0" w:color="000000"/>
              <w:right w:val="dotted" w:sz="4" w:space="0" w:color="000000"/>
            </w:tcBorders>
            <w:shd w:val="clear" w:color="auto" w:fill="auto"/>
            <w:hideMark/>
          </w:tcPr>
          <w:p w14:paraId="7169B70C"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369" w:type="pct"/>
            <w:gridSpan w:val="2"/>
            <w:tcBorders>
              <w:top w:val="nil"/>
              <w:left w:val="nil"/>
              <w:bottom w:val="double" w:sz="6" w:space="0" w:color="000000"/>
              <w:right w:val="double" w:sz="6" w:space="0" w:color="000000"/>
            </w:tcBorders>
            <w:shd w:val="clear" w:color="auto" w:fill="auto"/>
            <w:hideMark/>
          </w:tcPr>
          <w:p w14:paraId="7FA02DA2"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r>
    </w:tbl>
    <w:p w14:paraId="08C9CEB7" w14:textId="77777777" w:rsidR="00247CBF" w:rsidRPr="00092ED7" w:rsidRDefault="00247CBF" w:rsidP="00247CBF">
      <w:pPr>
        <w:rPr>
          <w:rFonts w:cs="Times New Roman"/>
          <w:lang w:val="sr-Cyrl-CS"/>
        </w:rPr>
      </w:pPr>
    </w:p>
    <w:p w14:paraId="410C0504" w14:textId="77777777" w:rsidR="00247CBF" w:rsidRPr="00092ED7" w:rsidRDefault="00247CBF" w:rsidP="00247CBF">
      <w:pPr>
        <w:spacing w:after="160" w:line="259" w:lineRule="auto"/>
        <w:rPr>
          <w:rFonts w:cs="Times New Roman"/>
          <w:lang w:val="sr-Cyrl-CS"/>
        </w:rPr>
      </w:pPr>
      <w:r w:rsidRPr="00092ED7">
        <w:rPr>
          <w:rFonts w:cs="Times New Roman"/>
          <w:lang w:val="sr-Cyrl-CS"/>
        </w:rPr>
        <w:br w:type="page"/>
      </w:r>
    </w:p>
    <w:p w14:paraId="05294FAF" w14:textId="77777777" w:rsidR="00247CBF" w:rsidRPr="00092ED7" w:rsidRDefault="00247CBF" w:rsidP="00247CBF">
      <w:pPr>
        <w:pStyle w:val="Heading3"/>
        <w:rPr>
          <w:rFonts w:ascii="Times New Roman" w:hAnsi="Times New Roman" w:cs="Times New Roman"/>
          <w:color w:val="auto"/>
          <w:lang w:val="sr-Cyrl-CS"/>
        </w:rPr>
      </w:pPr>
      <w:bookmarkStart w:id="114" w:name="_Toc93386004"/>
      <w:bookmarkStart w:id="115" w:name="_Toc124174835"/>
      <w:r w:rsidRPr="00092ED7">
        <w:rPr>
          <w:rFonts w:ascii="Times New Roman" w:hAnsi="Times New Roman" w:cs="Times New Roman"/>
          <w:b/>
          <w:color w:val="auto"/>
          <w:sz w:val="20"/>
          <w:szCs w:val="20"/>
          <w:lang w:val="sr-Cyrl-CS"/>
        </w:rPr>
        <w:lastRenderedPageBreak/>
        <w:t xml:space="preserve">Табела </w:t>
      </w:r>
      <w:r w:rsidRPr="00092ED7">
        <w:rPr>
          <w:rFonts w:ascii="Times New Roman" w:eastAsia="Times New Roman" w:hAnsi="Times New Roman" w:cs="Times New Roman"/>
          <w:b/>
          <w:bCs/>
          <w:color w:val="auto"/>
          <w:sz w:val="20"/>
          <w:szCs w:val="20"/>
          <w:lang w:val="sr-Cyrl-CS"/>
        </w:rPr>
        <w:t>7a: Издавање гаранција усвојено/најављено у складу са Програмом</w:t>
      </w:r>
      <w:bookmarkEnd w:id="114"/>
      <w:bookmarkEnd w:id="115"/>
    </w:p>
    <w:tbl>
      <w:tblPr>
        <w:tblW w:w="14436" w:type="dxa"/>
        <w:tblLayout w:type="fixed"/>
        <w:tblLook w:val="04A0" w:firstRow="1" w:lastRow="0" w:firstColumn="1" w:lastColumn="0" w:noHBand="0" w:noVBand="1"/>
      </w:tblPr>
      <w:tblGrid>
        <w:gridCol w:w="6923"/>
        <w:gridCol w:w="567"/>
        <w:gridCol w:w="1559"/>
        <w:gridCol w:w="1795"/>
        <w:gridCol w:w="1796"/>
        <w:gridCol w:w="1796"/>
      </w:tblGrid>
      <w:tr w:rsidR="00247CBF" w:rsidRPr="00092ED7" w14:paraId="6568FC4A" w14:textId="77777777" w:rsidTr="00247CBF">
        <w:trPr>
          <w:trHeight w:val="503"/>
        </w:trPr>
        <w:tc>
          <w:tcPr>
            <w:tcW w:w="9049" w:type="dxa"/>
            <w:gridSpan w:val="3"/>
            <w:tcBorders>
              <w:top w:val="double" w:sz="6" w:space="0" w:color="auto"/>
              <w:left w:val="double" w:sz="6" w:space="0" w:color="auto"/>
              <w:bottom w:val="single" w:sz="8" w:space="0" w:color="auto"/>
              <w:right w:val="single" w:sz="4" w:space="0" w:color="000000"/>
            </w:tcBorders>
            <w:shd w:val="clear" w:color="auto" w:fill="auto"/>
            <w:noWrap/>
            <w:vAlign w:val="center"/>
            <w:hideMark/>
          </w:tcPr>
          <w:p w14:paraId="1CE2AF43" w14:textId="77777777" w:rsidR="00247CBF" w:rsidRPr="00092ED7" w:rsidRDefault="00247CBF" w:rsidP="00247CBF">
            <w:pPr>
              <w:spacing w:after="0"/>
              <w:rPr>
                <w:rFonts w:cs="Times New Roman"/>
                <w:sz w:val="20"/>
                <w:szCs w:val="20"/>
                <w:lang w:val="sr-Cyrl-CS"/>
              </w:rPr>
            </w:pPr>
            <w:r w:rsidRPr="00092ED7">
              <w:rPr>
                <w:rFonts w:cs="Times New Roman"/>
                <w:sz w:val="20"/>
                <w:szCs w:val="20"/>
                <w:lang w:val="sr-Cyrl-CS"/>
              </w:rPr>
              <w:t>Мере</w:t>
            </w:r>
          </w:p>
        </w:tc>
        <w:tc>
          <w:tcPr>
            <w:tcW w:w="1795" w:type="dxa"/>
            <w:tcBorders>
              <w:top w:val="double" w:sz="6" w:space="0" w:color="auto"/>
              <w:left w:val="single" w:sz="4" w:space="0" w:color="auto"/>
              <w:bottom w:val="single" w:sz="8" w:space="0" w:color="auto"/>
              <w:right w:val="single" w:sz="8" w:space="0" w:color="auto"/>
            </w:tcBorders>
            <w:shd w:val="clear" w:color="auto" w:fill="auto"/>
            <w:vAlign w:val="center"/>
            <w:hideMark/>
          </w:tcPr>
          <w:p w14:paraId="3F6A6A24" w14:textId="77777777" w:rsidR="00247CBF" w:rsidRPr="00092ED7" w:rsidRDefault="00247CBF" w:rsidP="00247CBF">
            <w:pPr>
              <w:spacing w:after="0"/>
              <w:jc w:val="center"/>
              <w:rPr>
                <w:rFonts w:cs="Times New Roman"/>
                <w:sz w:val="20"/>
                <w:szCs w:val="20"/>
                <w:lang w:val="sr-Cyrl-CS"/>
              </w:rPr>
            </w:pPr>
            <w:r w:rsidRPr="00092ED7">
              <w:rPr>
                <w:rFonts w:cs="Times New Roman"/>
                <w:sz w:val="20"/>
                <w:szCs w:val="20"/>
                <w:lang w:val="sr-Cyrl-CS"/>
              </w:rPr>
              <w:t>Датум усвајања</w:t>
            </w:r>
          </w:p>
        </w:tc>
        <w:tc>
          <w:tcPr>
            <w:tcW w:w="1796" w:type="dxa"/>
            <w:tcBorders>
              <w:top w:val="double" w:sz="6" w:space="0" w:color="auto"/>
              <w:left w:val="nil"/>
              <w:bottom w:val="single" w:sz="8" w:space="0" w:color="auto"/>
              <w:right w:val="single" w:sz="4" w:space="0" w:color="auto"/>
            </w:tcBorders>
            <w:shd w:val="clear" w:color="auto" w:fill="auto"/>
            <w:vAlign w:val="center"/>
            <w:hideMark/>
          </w:tcPr>
          <w:p w14:paraId="7076C7E2" w14:textId="77777777" w:rsidR="00247CBF" w:rsidRPr="00092ED7" w:rsidRDefault="00247CBF" w:rsidP="00247CBF">
            <w:pPr>
              <w:spacing w:after="0"/>
              <w:jc w:val="center"/>
              <w:rPr>
                <w:rFonts w:cs="Times New Roman"/>
                <w:sz w:val="20"/>
                <w:szCs w:val="20"/>
                <w:lang w:val="sr-Cyrl-CS"/>
              </w:rPr>
            </w:pPr>
            <w:r w:rsidRPr="00092ED7">
              <w:rPr>
                <w:rFonts w:cs="Times New Roman"/>
                <w:sz w:val="20"/>
                <w:szCs w:val="20"/>
                <w:lang w:val="sr-Cyrl-CS"/>
              </w:rPr>
              <w:t>Максимални износ гаранције</w:t>
            </w:r>
            <w:r w:rsidRPr="00092ED7">
              <w:rPr>
                <w:rFonts w:cs="Times New Roman"/>
                <w:sz w:val="20"/>
                <w:szCs w:val="20"/>
                <w:vertAlign w:val="superscript"/>
                <w:lang w:val="sr-Cyrl-CS"/>
              </w:rPr>
              <w:t>1</w:t>
            </w:r>
          </w:p>
        </w:tc>
        <w:tc>
          <w:tcPr>
            <w:tcW w:w="1796" w:type="dxa"/>
            <w:tcBorders>
              <w:top w:val="double" w:sz="6" w:space="0" w:color="auto"/>
              <w:left w:val="single" w:sz="4" w:space="0" w:color="auto"/>
              <w:bottom w:val="single" w:sz="8" w:space="0" w:color="auto"/>
              <w:right w:val="double" w:sz="6" w:space="0" w:color="auto"/>
            </w:tcBorders>
            <w:shd w:val="clear" w:color="auto" w:fill="auto"/>
            <w:vAlign w:val="center"/>
            <w:hideMark/>
          </w:tcPr>
          <w:p w14:paraId="17DF1D05" w14:textId="77777777" w:rsidR="00247CBF" w:rsidRPr="00092ED7" w:rsidRDefault="00247CBF" w:rsidP="00247CBF">
            <w:pPr>
              <w:spacing w:after="0"/>
              <w:jc w:val="center"/>
              <w:rPr>
                <w:rFonts w:cs="Times New Roman"/>
                <w:sz w:val="20"/>
                <w:szCs w:val="20"/>
                <w:lang w:val="sr-Cyrl-CS"/>
              </w:rPr>
            </w:pPr>
            <w:r w:rsidRPr="00092ED7">
              <w:rPr>
                <w:rFonts w:cs="Times New Roman"/>
                <w:sz w:val="20"/>
                <w:szCs w:val="20"/>
                <w:lang w:val="sr-Cyrl-CS"/>
              </w:rPr>
              <w:t>Процењени активирани износ</w:t>
            </w:r>
          </w:p>
        </w:tc>
      </w:tr>
      <w:tr w:rsidR="00247CBF" w:rsidRPr="00092ED7" w14:paraId="5ECE9A70" w14:textId="77777777" w:rsidTr="00247CBF">
        <w:trPr>
          <w:trHeight w:val="300"/>
        </w:trPr>
        <w:tc>
          <w:tcPr>
            <w:tcW w:w="9049" w:type="dxa"/>
            <w:gridSpan w:val="3"/>
            <w:tcBorders>
              <w:top w:val="single" w:sz="8" w:space="0" w:color="auto"/>
              <w:left w:val="double" w:sz="6" w:space="0" w:color="auto"/>
              <w:bottom w:val="single" w:sz="8" w:space="0" w:color="auto"/>
              <w:right w:val="single" w:sz="4" w:space="0" w:color="000000"/>
            </w:tcBorders>
            <w:shd w:val="clear" w:color="auto" w:fill="auto"/>
            <w:vAlign w:val="center"/>
            <w:hideMark/>
          </w:tcPr>
          <w:p w14:paraId="07A39AEC" w14:textId="77777777" w:rsidR="00247CBF" w:rsidRPr="00092ED7" w:rsidRDefault="00247CBF" w:rsidP="00247CBF">
            <w:pPr>
              <w:spacing w:after="0"/>
              <w:rPr>
                <w:rFonts w:cs="Times New Roman"/>
                <w:sz w:val="20"/>
                <w:szCs w:val="20"/>
                <w:lang w:val="sr-Cyrl-CS"/>
              </w:rPr>
            </w:pPr>
            <w:r w:rsidRPr="00092ED7">
              <w:rPr>
                <w:rFonts w:cs="Times New Roman"/>
                <w:sz w:val="20"/>
                <w:szCs w:val="20"/>
                <w:lang w:val="sr-Cyrl-CS"/>
              </w:rPr>
              <w:t>Као одговор на COVID 19</w:t>
            </w:r>
          </w:p>
        </w:tc>
        <w:tc>
          <w:tcPr>
            <w:tcW w:w="1795" w:type="dxa"/>
            <w:tcBorders>
              <w:top w:val="nil"/>
              <w:left w:val="nil"/>
              <w:bottom w:val="single" w:sz="8" w:space="0" w:color="auto"/>
              <w:right w:val="single" w:sz="8" w:space="0" w:color="auto"/>
            </w:tcBorders>
            <w:shd w:val="clear" w:color="auto" w:fill="auto"/>
            <w:noWrap/>
            <w:vAlign w:val="bottom"/>
            <w:hideMark/>
          </w:tcPr>
          <w:p w14:paraId="2A7B02C3" w14:textId="77777777" w:rsidR="00247CBF" w:rsidRPr="00092ED7" w:rsidRDefault="00247CBF" w:rsidP="00247CBF">
            <w:pPr>
              <w:spacing w:after="0"/>
              <w:rPr>
                <w:rFonts w:cs="Times New Roman"/>
                <w:sz w:val="20"/>
                <w:szCs w:val="20"/>
                <w:lang w:val="sr-Cyrl-CS"/>
              </w:rPr>
            </w:pPr>
            <w:r w:rsidRPr="00092ED7">
              <w:rPr>
                <w:rFonts w:cs="Times New Roman"/>
                <w:sz w:val="20"/>
                <w:szCs w:val="20"/>
                <w:lang w:val="sr-Cyrl-CS"/>
              </w:rPr>
              <w:t> </w:t>
            </w:r>
          </w:p>
        </w:tc>
        <w:tc>
          <w:tcPr>
            <w:tcW w:w="1796" w:type="dxa"/>
            <w:tcBorders>
              <w:top w:val="nil"/>
              <w:left w:val="nil"/>
              <w:bottom w:val="single" w:sz="8" w:space="0" w:color="auto"/>
              <w:right w:val="single" w:sz="4" w:space="0" w:color="auto"/>
            </w:tcBorders>
            <w:shd w:val="clear" w:color="auto" w:fill="auto"/>
            <w:noWrap/>
            <w:vAlign w:val="bottom"/>
            <w:hideMark/>
          </w:tcPr>
          <w:p w14:paraId="4C25C111" w14:textId="77777777" w:rsidR="00247CBF" w:rsidRPr="00092ED7" w:rsidRDefault="00247CBF" w:rsidP="00247CBF">
            <w:pPr>
              <w:spacing w:after="0"/>
              <w:rPr>
                <w:rFonts w:cs="Times New Roman"/>
                <w:sz w:val="20"/>
                <w:szCs w:val="20"/>
                <w:lang w:val="sr-Cyrl-CS"/>
              </w:rPr>
            </w:pPr>
            <w:r w:rsidRPr="00092ED7">
              <w:rPr>
                <w:rFonts w:cs="Times New Roman"/>
                <w:sz w:val="20"/>
                <w:szCs w:val="20"/>
                <w:lang w:val="sr-Cyrl-CS"/>
              </w:rPr>
              <w:t>2022</w:t>
            </w:r>
          </w:p>
        </w:tc>
        <w:tc>
          <w:tcPr>
            <w:tcW w:w="1796" w:type="dxa"/>
            <w:tcBorders>
              <w:top w:val="nil"/>
              <w:left w:val="nil"/>
              <w:bottom w:val="single" w:sz="8" w:space="0" w:color="auto"/>
              <w:right w:val="double" w:sz="6" w:space="0" w:color="auto"/>
            </w:tcBorders>
            <w:shd w:val="clear" w:color="auto" w:fill="auto"/>
            <w:noWrap/>
            <w:vAlign w:val="bottom"/>
            <w:hideMark/>
          </w:tcPr>
          <w:p w14:paraId="5F6C74ED" w14:textId="77777777" w:rsidR="00247CBF" w:rsidRPr="00092ED7" w:rsidRDefault="00247CBF" w:rsidP="00247CBF">
            <w:pPr>
              <w:spacing w:after="0"/>
              <w:rPr>
                <w:rFonts w:cs="Times New Roman"/>
                <w:sz w:val="20"/>
                <w:szCs w:val="20"/>
                <w:lang w:val="sr-Cyrl-CS"/>
              </w:rPr>
            </w:pPr>
            <w:r w:rsidRPr="00092ED7">
              <w:rPr>
                <w:rFonts w:cs="Times New Roman"/>
                <w:sz w:val="20"/>
                <w:szCs w:val="20"/>
                <w:lang w:val="sr-Cyrl-CS"/>
              </w:rPr>
              <w:t>2022</w:t>
            </w:r>
          </w:p>
        </w:tc>
      </w:tr>
      <w:tr w:rsidR="00247CBF" w:rsidRPr="00092ED7" w14:paraId="23FFC7F3" w14:textId="77777777" w:rsidTr="00247CBF">
        <w:trPr>
          <w:trHeight w:val="300"/>
        </w:trPr>
        <w:tc>
          <w:tcPr>
            <w:tcW w:w="6923" w:type="dxa"/>
            <w:tcBorders>
              <w:top w:val="nil"/>
              <w:left w:val="double" w:sz="6" w:space="0" w:color="auto"/>
              <w:bottom w:val="dotted" w:sz="4" w:space="0" w:color="auto"/>
              <w:right w:val="nil"/>
            </w:tcBorders>
            <w:shd w:val="clear" w:color="auto" w:fill="auto"/>
            <w:vAlign w:val="center"/>
            <w:hideMark/>
          </w:tcPr>
          <w:p w14:paraId="37079B92" w14:textId="77777777" w:rsidR="00247CBF" w:rsidRPr="00092ED7" w:rsidRDefault="00247CBF" w:rsidP="00247CBF">
            <w:pPr>
              <w:spacing w:after="0"/>
              <w:rPr>
                <w:rFonts w:cs="Times New Roman"/>
                <w:sz w:val="20"/>
                <w:szCs w:val="20"/>
                <w:lang w:val="sr-Cyrl-CS"/>
              </w:rPr>
            </w:pPr>
            <w:r w:rsidRPr="00092ED7">
              <w:rPr>
                <w:rFonts w:cs="Times New Roman"/>
                <w:sz w:val="20"/>
                <w:szCs w:val="20"/>
                <w:lang w:val="sr-Cyrl-CS"/>
              </w:rPr>
              <w:t> </w:t>
            </w:r>
          </w:p>
        </w:tc>
        <w:tc>
          <w:tcPr>
            <w:tcW w:w="567" w:type="dxa"/>
            <w:tcBorders>
              <w:top w:val="nil"/>
              <w:left w:val="nil"/>
              <w:bottom w:val="dotted" w:sz="4" w:space="0" w:color="auto"/>
              <w:right w:val="single" w:sz="4" w:space="0" w:color="auto"/>
            </w:tcBorders>
            <w:shd w:val="clear" w:color="auto" w:fill="auto"/>
            <w:vAlign w:val="center"/>
            <w:hideMark/>
          </w:tcPr>
          <w:p w14:paraId="39E8048F" w14:textId="77777777" w:rsidR="00247CBF" w:rsidRPr="00092ED7" w:rsidRDefault="00247CBF" w:rsidP="00247CBF">
            <w:pPr>
              <w:spacing w:after="0"/>
              <w:rPr>
                <w:rFonts w:cs="Times New Roman"/>
                <w:sz w:val="20"/>
                <w:szCs w:val="20"/>
                <w:lang w:val="sr-Cyrl-CS"/>
              </w:rPr>
            </w:pPr>
            <w:r w:rsidRPr="00092ED7">
              <w:rPr>
                <w:rFonts w:cs="Times New Roman"/>
                <w:sz w:val="20"/>
                <w:szCs w:val="20"/>
                <w:lang w:val="sr-Cyrl-CS"/>
              </w:rPr>
              <w:t> </w:t>
            </w:r>
          </w:p>
        </w:tc>
        <w:tc>
          <w:tcPr>
            <w:tcW w:w="1559" w:type="dxa"/>
            <w:tcBorders>
              <w:top w:val="nil"/>
              <w:left w:val="single" w:sz="8" w:space="0" w:color="auto"/>
              <w:bottom w:val="dotted" w:sz="4" w:space="0" w:color="auto"/>
              <w:right w:val="single" w:sz="8" w:space="0" w:color="auto"/>
            </w:tcBorders>
            <w:shd w:val="clear" w:color="auto" w:fill="auto"/>
            <w:vAlign w:val="center"/>
            <w:hideMark/>
          </w:tcPr>
          <w:p w14:paraId="1503B798" w14:textId="77777777" w:rsidR="00247CBF" w:rsidRPr="00092ED7" w:rsidRDefault="00247CBF" w:rsidP="00247CBF">
            <w:pPr>
              <w:spacing w:after="0"/>
              <w:rPr>
                <w:rFonts w:cs="Times New Roman"/>
                <w:sz w:val="20"/>
                <w:szCs w:val="20"/>
                <w:lang w:val="sr-Cyrl-CS"/>
              </w:rPr>
            </w:pPr>
            <w:r w:rsidRPr="00092ED7">
              <w:rPr>
                <w:rFonts w:cs="Times New Roman"/>
                <w:sz w:val="20"/>
                <w:szCs w:val="20"/>
                <w:lang w:val="sr-Cyrl-CS"/>
              </w:rPr>
              <w:t>млрд РСД</w:t>
            </w:r>
          </w:p>
        </w:tc>
        <w:tc>
          <w:tcPr>
            <w:tcW w:w="1795" w:type="dxa"/>
            <w:tcBorders>
              <w:top w:val="nil"/>
              <w:left w:val="single" w:sz="4" w:space="0" w:color="auto"/>
              <w:bottom w:val="dotted" w:sz="4" w:space="0" w:color="auto"/>
              <w:right w:val="single" w:sz="8" w:space="0" w:color="auto"/>
            </w:tcBorders>
            <w:shd w:val="clear" w:color="auto" w:fill="auto"/>
            <w:noWrap/>
            <w:vAlign w:val="center"/>
            <w:hideMark/>
          </w:tcPr>
          <w:p w14:paraId="4AA70D4C" w14:textId="77777777" w:rsidR="00247CBF" w:rsidRPr="00092ED7" w:rsidRDefault="00247CBF" w:rsidP="00247CBF">
            <w:pPr>
              <w:spacing w:after="0"/>
              <w:jc w:val="center"/>
              <w:rPr>
                <w:rFonts w:cs="Times New Roman"/>
                <w:sz w:val="20"/>
                <w:szCs w:val="20"/>
                <w:lang w:val="sr-Cyrl-CS"/>
              </w:rPr>
            </w:pPr>
          </w:p>
        </w:tc>
        <w:tc>
          <w:tcPr>
            <w:tcW w:w="1796" w:type="dxa"/>
            <w:tcBorders>
              <w:top w:val="nil"/>
              <w:left w:val="nil"/>
              <w:bottom w:val="dotted" w:sz="4" w:space="0" w:color="auto"/>
              <w:right w:val="single" w:sz="4" w:space="0" w:color="auto"/>
            </w:tcBorders>
            <w:shd w:val="clear" w:color="auto" w:fill="auto"/>
            <w:noWrap/>
            <w:vAlign w:val="center"/>
            <w:hideMark/>
          </w:tcPr>
          <w:p w14:paraId="05B5F69A" w14:textId="77777777" w:rsidR="00247CBF" w:rsidRPr="00092ED7" w:rsidRDefault="00247CBF" w:rsidP="00247CBF">
            <w:pPr>
              <w:spacing w:after="0"/>
              <w:jc w:val="center"/>
              <w:rPr>
                <w:rFonts w:cs="Times New Roman"/>
                <w:sz w:val="20"/>
                <w:szCs w:val="20"/>
                <w:lang w:val="sr-Cyrl-CS"/>
              </w:rPr>
            </w:pPr>
          </w:p>
        </w:tc>
        <w:tc>
          <w:tcPr>
            <w:tcW w:w="1796" w:type="dxa"/>
            <w:tcBorders>
              <w:top w:val="nil"/>
              <w:left w:val="nil"/>
              <w:bottom w:val="dotted" w:sz="4" w:space="0" w:color="auto"/>
              <w:right w:val="double" w:sz="6" w:space="0" w:color="auto"/>
            </w:tcBorders>
            <w:shd w:val="clear" w:color="auto" w:fill="auto"/>
            <w:noWrap/>
            <w:vAlign w:val="center"/>
            <w:hideMark/>
          </w:tcPr>
          <w:p w14:paraId="30C22B31" w14:textId="77777777" w:rsidR="00247CBF" w:rsidRPr="00092ED7" w:rsidRDefault="00247CBF" w:rsidP="00247CBF">
            <w:pPr>
              <w:spacing w:after="0"/>
              <w:jc w:val="center"/>
              <w:rPr>
                <w:rFonts w:cs="Times New Roman"/>
                <w:sz w:val="20"/>
                <w:szCs w:val="20"/>
                <w:lang w:val="sr-Cyrl-CS"/>
              </w:rPr>
            </w:pPr>
          </w:p>
        </w:tc>
      </w:tr>
      <w:tr w:rsidR="00247CBF" w:rsidRPr="00092ED7" w14:paraId="52348BC7" w14:textId="77777777" w:rsidTr="00247CBF">
        <w:trPr>
          <w:trHeight w:val="300"/>
        </w:trPr>
        <w:tc>
          <w:tcPr>
            <w:tcW w:w="6923" w:type="dxa"/>
            <w:tcBorders>
              <w:top w:val="nil"/>
              <w:left w:val="double" w:sz="6" w:space="0" w:color="auto"/>
              <w:bottom w:val="dotted" w:sz="4" w:space="0" w:color="auto"/>
              <w:right w:val="nil"/>
            </w:tcBorders>
            <w:shd w:val="clear" w:color="auto" w:fill="auto"/>
            <w:vAlign w:val="center"/>
            <w:hideMark/>
          </w:tcPr>
          <w:p w14:paraId="26A68441" w14:textId="77777777" w:rsidR="00247CBF" w:rsidRPr="00092ED7" w:rsidRDefault="00247CBF" w:rsidP="00247CBF">
            <w:pPr>
              <w:spacing w:after="0"/>
              <w:rPr>
                <w:rFonts w:cs="Times New Roman"/>
                <w:sz w:val="20"/>
                <w:szCs w:val="20"/>
                <w:lang w:val="sr-Cyrl-CS"/>
              </w:rPr>
            </w:pPr>
            <w:r w:rsidRPr="00092ED7">
              <w:rPr>
                <w:rFonts w:cs="Times New Roman"/>
                <w:sz w:val="20"/>
                <w:szCs w:val="20"/>
                <w:lang w:val="sr-Cyrl-CS"/>
              </w:rPr>
              <w:t> </w:t>
            </w:r>
          </w:p>
        </w:tc>
        <w:tc>
          <w:tcPr>
            <w:tcW w:w="567" w:type="dxa"/>
            <w:tcBorders>
              <w:top w:val="nil"/>
              <w:left w:val="nil"/>
              <w:bottom w:val="dotted" w:sz="4" w:space="0" w:color="auto"/>
              <w:right w:val="single" w:sz="4" w:space="0" w:color="auto"/>
            </w:tcBorders>
            <w:shd w:val="clear" w:color="auto" w:fill="auto"/>
            <w:vAlign w:val="center"/>
            <w:hideMark/>
          </w:tcPr>
          <w:p w14:paraId="5D2C7652" w14:textId="77777777" w:rsidR="00247CBF" w:rsidRPr="00092ED7" w:rsidRDefault="00247CBF" w:rsidP="00247CBF">
            <w:pPr>
              <w:spacing w:after="0"/>
              <w:rPr>
                <w:rFonts w:cs="Times New Roman"/>
                <w:sz w:val="20"/>
                <w:szCs w:val="20"/>
                <w:lang w:val="sr-Cyrl-CS"/>
              </w:rPr>
            </w:pPr>
            <w:r w:rsidRPr="00092ED7">
              <w:rPr>
                <w:rFonts w:cs="Times New Roman"/>
                <w:sz w:val="20"/>
                <w:szCs w:val="20"/>
                <w:lang w:val="sr-Cyrl-CS"/>
              </w:rPr>
              <w:t> </w:t>
            </w:r>
          </w:p>
        </w:tc>
        <w:tc>
          <w:tcPr>
            <w:tcW w:w="1559" w:type="dxa"/>
            <w:tcBorders>
              <w:top w:val="nil"/>
              <w:left w:val="single" w:sz="8" w:space="0" w:color="auto"/>
              <w:bottom w:val="dotted" w:sz="4" w:space="0" w:color="auto"/>
              <w:right w:val="single" w:sz="8" w:space="0" w:color="auto"/>
            </w:tcBorders>
            <w:shd w:val="clear" w:color="auto" w:fill="auto"/>
            <w:vAlign w:val="center"/>
            <w:hideMark/>
          </w:tcPr>
          <w:p w14:paraId="0DC41749" w14:textId="77777777" w:rsidR="00247CBF" w:rsidRPr="00092ED7" w:rsidRDefault="00247CBF" w:rsidP="00247CBF">
            <w:pPr>
              <w:spacing w:after="0"/>
              <w:rPr>
                <w:rFonts w:cs="Times New Roman"/>
                <w:sz w:val="20"/>
                <w:szCs w:val="20"/>
                <w:lang w:val="sr-Cyrl-CS"/>
              </w:rPr>
            </w:pPr>
            <w:r w:rsidRPr="00092ED7">
              <w:rPr>
                <w:rFonts w:cs="Times New Roman"/>
                <w:sz w:val="20"/>
                <w:szCs w:val="20"/>
                <w:lang w:val="sr-Cyrl-CS"/>
              </w:rPr>
              <w:t>млрд РСД</w:t>
            </w:r>
          </w:p>
        </w:tc>
        <w:tc>
          <w:tcPr>
            <w:tcW w:w="1795" w:type="dxa"/>
            <w:tcBorders>
              <w:top w:val="nil"/>
              <w:left w:val="single" w:sz="4" w:space="0" w:color="auto"/>
              <w:bottom w:val="dotted" w:sz="4" w:space="0" w:color="auto"/>
              <w:right w:val="single" w:sz="8" w:space="0" w:color="auto"/>
            </w:tcBorders>
            <w:shd w:val="clear" w:color="auto" w:fill="auto"/>
            <w:noWrap/>
            <w:vAlign w:val="center"/>
            <w:hideMark/>
          </w:tcPr>
          <w:p w14:paraId="36BE09C9" w14:textId="77777777" w:rsidR="00247CBF" w:rsidRPr="00092ED7" w:rsidRDefault="00247CBF" w:rsidP="00247CBF">
            <w:pPr>
              <w:spacing w:after="0"/>
              <w:jc w:val="center"/>
              <w:rPr>
                <w:rFonts w:cs="Times New Roman"/>
                <w:sz w:val="20"/>
                <w:szCs w:val="20"/>
                <w:lang w:val="sr-Cyrl-CS"/>
              </w:rPr>
            </w:pPr>
          </w:p>
        </w:tc>
        <w:tc>
          <w:tcPr>
            <w:tcW w:w="1796" w:type="dxa"/>
            <w:tcBorders>
              <w:top w:val="nil"/>
              <w:left w:val="nil"/>
              <w:bottom w:val="dotted" w:sz="4" w:space="0" w:color="auto"/>
              <w:right w:val="single" w:sz="4" w:space="0" w:color="auto"/>
            </w:tcBorders>
            <w:shd w:val="clear" w:color="auto" w:fill="auto"/>
            <w:noWrap/>
            <w:vAlign w:val="center"/>
            <w:hideMark/>
          </w:tcPr>
          <w:p w14:paraId="338A3BB0" w14:textId="77777777" w:rsidR="00247CBF" w:rsidRPr="00092ED7" w:rsidRDefault="00247CBF" w:rsidP="00247CBF">
            <w:pPr>
              <w:spacing w:after="0"/>
              <w:jc w:val="center"/>
              <w:rPr>
                <w:rFonts w:cs="Times New Roman"/>
                <w:sz w:val="20"/>
                <w:szCs w:val="20"/>
                <w:lang w:val="sr-Cyrl-CS"/>
              </w:rPr>
            </w:pPr>
          </w:p>
        </w:tc>
        <w:tc>
          <w:tcPr>
            <w:tcW w:w="1796" w:type="dxa"/>
            <w:tcBorders>
              <w:top w:val="nil"/>
              <w:left w:val="nil"/>
              <w:bottom w:val="dotted" w:sz="4" w:space="0" w:color="auto"/>
              <w:right w:val="double" w:sz="6" w:space="0" w:color="auto"/>
            </w:tcBorders>
            <w:shd w:val="clear" w:color="auto" w:fill="auto"/>
            <w:noWrap/>
            <w:vAlign w:val="center"/>
            <w:hideMark/>
          </w:tcPr>
          <w:p w14:paraId="59209658" w14:textId="77777777" w:rsidR="00247CBF" w:rsidRPr="00092ED7" w:rsidRDefault="00247CBF" w:rsidP="00247CBF">
            <w:pPr>
              <w:spacing w:after="0"/>
              <w:jc w:val="center"/>
              <w:rPr>
                <w:rFonts w:cs="Times New Roman"/>
                <w:sz w:val="20"/>
                <w:szCs w:val="20"/>
                <w:lang w:val="sr-Cyrl-CS"/>
              </w:rPr>
            </w:pPr>
          </w:p>
        </w:tc>
      </w:tr>
      <w:tr w:rsidR="00247CBF" w:rsidRPr="00092ED7" w14:paraId="66E6FF4F" w14:textId="77777777" w:rsidTr="00247CBF">
        <w:trPr>
          <w:trHeight w:val="300"/>
        </w:trPr>
        <w:tc>
          <w:tcPr>
            <w:tcW w:w="6923" w:type="dxa"/>
            <w:tcBorders>
              <w:top w:val="nil"/>
              <w:left w:val="double" w:sz="6" w:space="0" w:color="auto"/>
              <w:bottom w:val="dotted" w:sz="4" w:space="0" w:color="auto"/>
              <w:right w:val="nil"/>
            </w:tcBorders>
            <w:shd w:val="clear" w:color="auto" w:fill="auto"/>
            <w:vAlign w:val="center"/>
            <w:hideMark/>
          </w:tcPr>
          <w:p w14:paraId="44E33B04" w14:textId="77777777" w:rsidR="00247CBF" w:rsidRPr="00092ED7" w:rsidRDefault="00247CBF" w:rsidP="00247CBF">
            <w:pPr>
              <w:spacing w:after="0"/>
              <w:rPr>
                <w:rFonts w:cs="Times New Roman"/>
                <w:sz w:val="20"/>
                <w:szCs w:val="20"/>
                <w:lang w:val="sr-Cyrl-CS"/>
              </w:rPr>
            </w:pPr>
            <w:r w:rsidRPr="00092ED7">
              <w:rPr>
                <w:rFonts w:cs="Times New Roman"/>
                <w:sz w:val="20"/>
                <w:szCs w:val="20"/>
                <w:lang w:val="sr-Cyrl-CS"/>
              </w:rPr>
              <w:t> </w:t>
            </w:r>
          </w:p>
        </w:tc>
        <w:tc>
          <w:tcPr>
            <w:tcW w:w="567" w:type="dxa"/>
            <w:tcBorders>
              <w:top w:val="nil"/>
              <w:left w:val="nil"/>
              <w:bottom w:val="dotted" w:sz="4" w:space="0" w:color="auto"/>
              <w:right w:val="single" w:sz="4" w:space="0" w:color="auto"/>
            </w:tcBorders>
            <w:shd w:val="clear" w:color="auto" w:fill="auto"/>
            <w:vAlign w:val="center"/>
            <w:hideMark/>
          </w:tcPr>
          <w:p w14:paraId="5C5BED9B" w14:textId="77777777" w:rsidR="00247CBF" w:rsidRPr="00092ED7" w:rsidRDefault="00247CBF" w:rsidP="00247CBF">
            <w:pPr>
              <w:spacing w:after="0"/>
              <w:rPr>
                <w:rFonts w:cs="Times New Roman"/>
                <w:sz w:val="20"/>
                <w:szCs w:val="20"/>
                <w:lang w:val="sr-Cyrl-CS"/>
              </w:rPr>
            </w:pPr>
            <w:r w:rsidRPr="00092ED7">
              <w:rPr>
                <w:rFonts w:cs="Times New Roman"/>
                <w:sz w:val="20"/>
                <w:szCs w:val="20"/>
                <w:lang w:val="sr-Cyrl-CS"/>
              </w:rPr>
              <w:t> </w:t>
            </w:r>
          </w:p>
        </w:tc>
        <w:tc>
          <w:tcPr>
            <w:tcW w:w="1559" w:type="dxa"/>
            <w:tcBorders>
              <w:top w:val="nil"/>
              <w:left w:val="single" w:sz="8" w:space="0" w:color="auto"/>
              <w:bottom w:val="dotted" w:sz="4" w:space="0" w:color="auto"/>
              <w:right w:val="single" w:sz="8" w:space="0" w:color="auto"/>
            </w:tcBorders>
            <w:shd w:val="clear" w:color="auto" w:fill="auto"/>
            <w:vAlign w:val="center"/>
            <w:hideMark/>
          </w:tcPr>
          <w:p w14:paraId="4DB73564" w14:textId="77777777" w:rsidR="00247CBF" w:rsidRPr="00092ED7" w:rsidRDefault="00247CBF" w:rsidP="00247CBF">
            <w:pPr>
              <w:spacing w:after="0"/>
              <w:rPr>
                <w:rFonts w:cs="Times New Roman"/>
                <w:sz w:val="20"/>
                <w:szCs w:val="20"/>
                <w:lang w:val="sr-Cyrl-CS"/>
              </w:rPr>
            </w:pPr>
            <w:r w:rsidRPr="00092ED7">
              <w:rPr>
                <w:rFonts w:cs="Times New Roman"/>
                <w:sz w:val="20"/>
                <w:szCs w:val="20"/>
                <w:lang w:val="sr-Cyrl-CS"/>
              </w:rPr>
              <w:t>млрд РСД</w:t>
            </w:r>
          </w:p>
        </w:tc>
        <w:tc>
          <w:tcPr>
            <w:tcW w:w="1795" w:type="dxa"/>
            <w:tcBorders>
              <w:top w:val="nil"/>
              <w:left w:val="single" w:sz="4" w:space="0" w:color="auto"/>
              <w:bottom w:val="dotted" w:sz="4" w:space="0" w:color="auto"/>
              <w:right w:val="single" w:sz="8" w:space="0" w:color="auto"/>
            </w:tcBorders>
            <w:shd w:val="clear" w:color="auto" w:fill="auto"/>
            <w:noWrap/>
            <w:vAlign w:val="center"/>
            <w:hideMark/>
          </w:tcPr>
          <w:p w14:paraId="08880E41" w14:textId="77777777" w:rsidR="00247CBF" w:rsidRPr="00092ED7" w:rsidRDefault="00247CBF" w:rsidP="00247CBF">
            <w:pPr>
              <w:spacing w:after="0"/>
              <w:jc w:val="center"/>
              <w:rPr>
                <w:rFonts w:cs="Times New Roman"/>
                <w:sz w:val="20"/>
                <w:szCs w:val="20"/>
                <w:lang w:val="sr-Cyrl-CS"/>
              </w:rPr>
            </w:pPr>
          </w:p>
        </w:tc>
        <w:tc>
          <w:tcPr>
            <w:tcW w:w="1796" w:type="dxa"/>
            <w:tcBorders>
              <w:top w:val="nil"/>
              <w:left w:val="nil"/>
              <w:bottom w:val="dotted" w:sz="4" w:space="0" w:color="auto"/>
              <w:right w:val="single" w:sz="4" w:space="0" w:color="auto"/>
            </w:tcBorders>
            <w:shd w:val="clear" w:color="auto" w:fill="auto"/>
            <w:noWrap/>
            <w:vAlign w:val="center"/>
            <w:hideMark/>
          </w:tcPr>
          <w:p w14:paraId="66978DAE" w14:textId="77777777" w:rsidR="00247CBF" w:rsidRPr="00092ED7" w:rsidRDefault="00247CBF" w:rsidP="00247CBF">
            <w:pPr>
              <w:spacing w:after="0"/>
              <w:jc w:val="center"/>
              <w:rPr>
                <w:rFonts w:cs="Times New Roman"/>
                <w:sz w:val="20"/>
                <w:szCs w:val="20"/>
                <w:lang w:val="sr-Cyrl-CS"/>
              </w:rPr>
            </w:pPr>
          </w:p>
        </w:tc>
        <w:tc>
          <w:tcPr>
            <w:tcW w:w="1796" w:type="dxa"/>
            <w:tcBorders>
              <w:top w:val="nil"/>
              <w:left w:val="nil"/>
              <w:bottom w:val="dotted" w:sz="4" w:space="0" w:color="auto"/>
              <w:right w:val="double" w:sz="6" w:space="0" w:color="auto"/>
            </w:tcBorders>
            <w:shd w:val="clear" w:color="auto" w:fill="auto"/>
            <w:noWrap/>
            <w:vAlign w:val="center"/>
            <w:hideMark/>
          </w:tcPr>
          <w:p w14:paraId="5F2343A5" w14:textId="77777777" w:rsidR="00247CBF" w:rsidRPr="00092ED7" w:rsidRDefault="00247CBF" w:rsidP="00247CBF">
            <w:pPr>
              <w:spacing w:after="0"/>
              <w:jc w:val="center"/>
              <w:rPr>
                <w:rFonts w:cs="Times New Roman"/>
                <w:sz w:val="20"/>
                <w:szCs w:val="20"/>
                <w:lang w:val="sr-Cyrl-CS"/>
              </w:rPr>
            </w:pPr>
          </w:p>
        </w:tc>
      </w:tr>
      <w:tr w:rsidR="00247CBF" w:rsidRPr="00092ED7" w14:paraId="501C3CBE" w14:textId="77777777" w:rsidTr="00247CBF">
        <w:trPr>
          <w:trHeight w:val="315"/>
        </w:trPr>
        <w:tc>
          <w:tcPr>
            <w:tcW w:w="6923" w:type="dxa"/>
            <w:tcBorders>
              <w:top w:val="single" w:sz="8" w:space="0" w:color="auto"/>
              <w:left w:val="double" w:sz="6" w:space="0" w:color="auto"/>
              <w:bottom w:val="single" w:sz="8" w:space="0" w:color="auto"/>
              <w:right w:val="nil"/>
            </w:tcBorders>
            <w:shd w:val="clear" w:color="auto" w:fill="auto"/>
            <w:vAlign w:val="center"/>
            <w:hideMark/>
          </w:tcPr>
          <w:p w14:paraId="46DD68E5" w14:textId="77777777" w:rsidR="00247CBF" w:rsidRPr="00092ED7" w:rsidRDefault="00247CBF" w:rsidP="00247CBF">
            <w:pPr>
              <w:spacing w:after="0"/>
              <w:rPr>
                <w:rFonts w:cs="Times New Roman"/>
                <w:sz w:val="20"/>
                <w:szCs w:val="20"/>
                <w:lang w:val="sr-Cyrl-CS"/>
              </w:rPr>
            </w:pPr>
            <w:r w:rsidRPr="00092ED7">
              <w:rPr>
                <w:rFonts w:cs="Times New Roman"/>
                <w:sz w:val="20"/>
                <w:szCs w:val="20"/>
                <w:lang w:val="sr-Cyrl-CS"/>
              </w:rPr>
              <w:t> </w:t>
            </w:r>
          </w:p>
        </w:tc>
        <w:tc>
          <w:tcPr>
            <w:tcW w:w="567" w:type="dxa"/>
            <w:tcBorders>
              <w:top w:val="single" w:sz="8" w:space="0" w:color="auto"/>
              <w:left w:val="nil"/>
              <w:bottom w:val="single" w:sz="8" w:space="0" w:color="auto"/>
              <w:right w:val="nil"/>
            </w:tcBorders>
            <w:shd w:val="clear" w:color="auto" w:fill="auto"/>
            <w:vAlign w:val="center"/>
            <w:hideMark/>
          </w:tcPr>
          <w:p w14:paraId="370DE1F3" w14:textId="77777777" w:rsidR="00247CBF" w:rsidRPr="00092ED7" w:rsidRDefault="00247CBF" w:rsidP="00247CBF">
            <w:pPr>
              <w:spacing w:after="0"/>
              <w:rPr>
                <w:rFonts w:cs="Times New Roman"/>
                <w:sz w:val="20"/>
                <w:szCs w:val="20"/>
                <w:lang w:val="sr-Cyrl-CS"/>
              </w:rPr>
            </w:pPr>
            <w:r w:rsidRPr="00092ED7">
              <w:rPr>
                <w:rFonts w:cs="Times New Roman"/>
                <w:sz w:val="20"/>
                <w:szCs w:val="20"/>
                <w:lang w:val="sr-Cyrl-CS"/>
              </w:rPr>
              <w:t> </w:t>
            </w:r>
          </w:p>
        </w:tc>
        <w:tc>
          <w:tcPr>
            <w:tcW w:w="155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2AA1E911" w14:textId="77777777" w:rsidR="00247CBF" w:rsidRPr="00092ED7" w:rsidRDefault="00247CBF" w:rsidP="00247CBF">
            <w:pPr>
              <w:spacing w:after="0"/>
              <w:rPr>
                <w:rFonts w:cs="Times New Roman"/>
                <w:b/>
                <w:sz w:val="20"/>
                <w:szCs w:val="20"/>
                <w:lang w:val="sr-Cyrl-CS"/>
              </w:rPr>
            </w:pPr>
            <w:r w:rsidRPr="00092ED7">
              <w:rPr>
                <w:rFonts w:cs="Times New Roman"/>
                <w:b/>
                <w:sz w:val="20"/>
                <w:szCs w:val="20"/>
                <w:lang w:val="sr-Cyrl-CS"/>
              </w:rPr>
              <w:t>Међузбир</w:t>
            </w:r>
          </w:p>
        </w:tc>
        <w:tc>
          <w:tcPr>
            <w:tcW w:w="1795" w:type="dxa"/>
            <w:tcBorders>
              <w:top w:val="single" w:sz="8" w:space="0" w:color="auto"/>
              <w:left w:val="nil"/>
              <w:bottom w:val="single" w:sz="8" w:space="0" w:color="auto"/>
              <w:right w:val="single" w:sz="8" w:space="0" w:color="auto"/>
            </w:tcBorders>
            <w:shd w:val="clear" w:color="auto" w:fill="auto"/>
            <w:noWrap/>
            <w:vAlign w:val="center"/>
            <w:hideMark/>
          </w:tcPr>
          <w:p w14:paraId="2076F716" w14:textId="77777777" w:rsidR="00247CBF" w:rsidRPr="00092ED7" w:rsidRDefault="00247CBF" w:rsidP="00247CBF">
            <w:pPr>
              <w:spacing w:after="0"/>
              <w:jc w:val="center"/>
              <w:rPr>
                <w:rFonts w:cs="Times New Roman"/>
                <w:sz w:val="20"/>
                <w:szCs w:val="20"/>
                <w:lang w:val="sr-Cyrl-CS"/>
              </w:rPr>
            </w:pPr>
          </w:p>
        </w:tc>
        <w:tc>
          <w:tcPr>
            <w:tcW w:w="1796" w:type="dxa"/>
            <w:tcBorders>
              <w:top w:val="single" w:sz="8" w:space="0" w:color="auto"/>
              <w:left w:val="nil"/>
              <w:bottom w:val="single" w:sz="8" w:space="0" w:color="auto"/>
              <w:right w:val="single" w:sz="4" w:space="0" w:color="auto"/>
            </w:tcBorders>
            <w:shd w:val="clear" w:color="auto" w:fill="auto"/>
            <w:noWrap/>
            <w:vAlign w:val="center"/>
            <w:hideMark/>
          </w:tcPr>
          <w:p w14:paraId="0EF1CC87" w14:textId="77777777" w:rsidR="00247CBF" w:rsidRPr="00092ED7" w:rsidRDefault="00247CBF" w:rsidP="00247CBF">
            <w:pPr>
              <w:spacing w:after="0"/>
              <w:jc w:val="center"/>
              <w:rPr>
                <w:rFonts w:cs="Times New Roman"/>
                <w:sz w:val="20"/>
                <w:szCs w:val="20"/>
                <w:lang w:val="sr-Cyrl-CS"/>
              </w:rPr>
            </w:pPr>
            <w:r w:rsidRPr="00092ED7">
              <w:rPr>
                <w:rFonts w:cs="Times New Roman"/>
                <w:sz w:val="20"/>
                <w:szCs w:val="20"/>
                <w:lang w:val="sr-Cyrl-CS"/>
              </w:rPr>
              <w:t>0</w:t>
            </w:r>
          </w:p>
        </w:tc>
        <w:tc>
          <w:tcPr>
            <w:tcW w:w="1796" w:type="dxa"/>
            <w:tcBorders>
              <w:top w:val="single" w:sz="8" w:space="0" w:color="auto"/>
              <w:left w:val="nil"/>
              <w:bottom w:val="single" w:sz="8" w:space="0" w:color="auto"/>
              <w:right w:val="double" w:sz="6" w:space="0" w:color="auto"/>
            </w:tcBorders>
            <w:shd w:val="clear" w:color="auto" w:fill="auto"/>
            <w:noWrap/>
            <w:vAlign w:val="center"/>
            <w:hideMark/>
          </w:tcPr>
          <w:p w14:paraId="6D402018" w14:textId="77777777" w:rsidR="00247CBF" w:rsidRPr="00092ED7" w:rsidRDefault="00247CBF" w:rsidP="00247CBF">
            <w:pPr>
              <w:spacing w:after="0"/>
              <w:jc w:val="center"/>
              <w:rPr>
                <w:rFonts w:cs="Times New Roman"/>
                <w:sz w:val="20"/>
                <w:szCs w:val="20"/>
                <w:lang w:val="sr-Cyrl-CS"/>
              </w:rPr>
            </w:pPr>
            <w:r w:rsidRPr="00092ED7">
              <w:rPr>
                <w:rFonts w:cs="Times New Roman"/>
                <w:sz w:val="20"/>
                <w:szCs w:val="20"/>
                <w:lang w:val="sr-Cyrl-CS"/>
              </w:rPr>
              <w:t>0</w:t>
            </w:r>
          </w:p>
        </w:tc>
      </w:tr>
      <w:tr w:rsidR="00247CBF" w:rsidRPr="00092ED7" w14:paraId="5752FA74" w14:textId="77777777" w:rsidTr="00247CBF">
        <w:trPr>
          <w:trHeight w:val="300"/>
        </w:trPr>
        <w:tc>
          <w:tcPr>
            <w:tcW w:w="9049" w:type="dxa"/>
            <w:gridSpan w:val="3"/>
            <w:tcBorders>
              <w:top w:val="single" w:sz="8" w:space="0" w:color="auto"/>
              <w:left w:val="double" w:sz="6" w:space="0" w:color="auto"/>
              <w:bottom w:val="single" w:sz="8" w:space="0" w:color="auto"/>
              <w:right w:val="single" w:sz="4" w:space="0" w:color="000000"/>
            </w:tcBorders>
            <w:shd w:val="clear" w:color="auto" w:fill="auto"/>
            <w:vAlign w:val="center"/>
            <w:hideMark/>
          </w:tcPr>
          <w:p w14:paraId="665320F5" w14:textId="77777777" w:rsidR="00247CBF" w:rsidRPr="00092ED7" w:rsidRDefault="00247CBF" w:rsidP="00247CBF">
            <w:pPr>
              <w:spacing w:after="0"/>
              <w:rPr>
                <w:rFonts w:cs="Times New Roman"/>
                <w:sz w:val="20"/>
                <w:szCs w:val="20"/>
                <w:lang w:val="sr-Cyrl-CS"/>
              </w:rPr>
            </w:pPr>
            <w:r w:rsidRPr="00092ED7">
              <w:rPr>
                <w:rFonts w:cs="Times New Roman"/>
                <w:sz w:val="20"/>
                <w:szCs w:val="20"/>
                <w:lang w:val="sr-Cyrl-CS"/>
              </w:rPr>
              <w:t>Oстало</w:t>
            </w:r>
          </w:p>
        </w:tc>
        <w:tc>
          <w:tcPr>
            <w:tcW w:w="1795" w:type="dxa"/>
            <w:tcBorders>
              <w:top w:val="nil"/>
              <w:left w:val="nil"/>
              <w:bottom w:val="single" w:sz="8" w:space="0" w:color="auto"/>
              <w:right w:val="single" w:sz="8" w:space="0" w:color="auto"/>
            </w:tcBorders>
            <w:shd w:val="clear" w:color="auto" w:fill="auto"/>
            <w:noWrap/>
            <w:vAlign w:val="center"/>
            <w:hideMark/>
          </w:tcPr>
          <w:p w14:paraId="1E245257" w14:textId="77777777" w:rsidR="00247CBF" w:rsidRPr="00092ED7" w:rsidRDefault="00247CBF" w:rsidP="00247CBF">
            <w:pPr>
              <w:spacing w:after="0"/>
              <w:jc w:val="center"/>
              <w:rPr>
                <w:rFonts w:cs="Times New Roman"/>
                <w:sz w:val="20"/>
                <w:szCs w:val="20"/>
                <w:lang w:val="sr-Cyrl-CS"/>
              </w:rPr>
            </w:pPr>
          </w:p>
        </w:tc>
        <w:tc>
          <w:tcPr>
            <w:tcW w:w="1796" w:type="dxa"/>
            <w:tcBorders>
              <w:top w:val="nil"/>
              <w:left w:val="nil"/>
              <w:bottom w:val="single" w:sz="8" w:space="0" w:color="auto"/>
              <w:right w:val="single" w:sz="4" w:space="0" w:color="auto"/>
            </w:tcBorders>
            <w:shd w:val="clear" w:color="auto" w:fill="auto"/>
            <w:noWrap/>
            <w:vAlign w:val="center"/>
            <w:hideMark/>
          </w:tcPr>
          <w:p w14:paraId="72778654" w14:textId="77777777" w:rsidR="00247CBF" w:rsidRPr="00092ED7" w:rsidRDefault="00247CBF" w:rsidP="00247CBF">
            <w:pPr>
              <w:spacing w:after="0"/>
              <w:jc w:val="center"/>
              <w:rPr>
                <w:rFonts w:cs="Times New Roman"/>
                <w:sz w:val="20"/>
                <w:szCs w:val="20"/>
                <w:lang w:val="sr-Cyrl-CS"/>
              </w:rPr>
            </w:pPr>
          </w:p>
        </w:tc>
        <w:tc>
          <w:tcPr>
            <w:tcW w:w="1796" w:type="dxa"/>
            <w:tcBorders>
              <w:top w:val="nil"/>
              <w:left w:val="nil"/>
              <w:bottom w:val="single" w:sz="8" w:space="0" w:color="auto"/>
              <w:right w:val="double" w:sz="6" w:space="0" w:color="auto"/>
            </w:tcBorders>
            <w:shd w:val="clear" w:color="auto" w:fill="auto"/>
            <w:noWrap/>
            <w:vAlign w:val="center"/>
            <w:hideMark/>
          </w:tcPr>
          <w:p w14:paraId="6E694397" w14:textId="77777777" w:rsidR="00247CBF" w:rsidRPr="00092ED7" w:rsidRDefault="00247CBF" w:rsidP="00247CBF">
            <w:pPr>
              <w:spacing w:after="0"/>
              <w:jc w:val="center"/>
              <w:rPr>
                <w:rFonts w:cs="Times New Roman"/>
                <w:sz w:val="20"/>
                <w:szCs w:val="20"/>
                <w:lang w:val="sr-Cyrl-CS"/>
              </w:rPr>
            </w:pPr>
          </w:p>
        </w:tc>
      </w:tr>
      <w:tr w:rsidR="00247CBF" w:rsidRPr="00092ED7" w14:paraId="69D58554" w14:textId="77777777" w:rsidTr="00247CBF">
        <w:trPr>
          <w:trHeight w:val="300"/>
        </w:trPr>
        <w:tc>
          <w:tcPr>
            <w:tcW w:w="6923" w:type="dxa"/>
            <w:tcBorders>
              <w:top w:val="nil"/>
              <w:left w:val="double" w:sz="6" w:space="0" w:color="auto"/>
              <w:bottom w:val="dotted" w:sz="4" w:space="0" w:color="auto"/>
              <w:right w:val="nil"/>
            </w:tcBorders>
            <w:shd w:val="clear" w:color="auto" w:fill="auto"/>
            <w:vAlign w:val="center"/>
            <w:hideMark/>
          </w:tcPr>
          <w:p w14:paraId="255F250F" w14:textId="77777777" w:rsidR="00247CBF" w:rsidRPr="00092ED7" w:rsidRDefault="00247CBF" w:rsidP="00247CBF">
            <w:pPr>
              <w:spacing w:after="0"/>
              <w:rPr>
                <w:rFonts w:cs="Times New Roman"/>
                <w:sz w:val="20"/>
                <w:szCs w:val="20"/>
                <w:lang w:val="sr-Cyrl-CS"/>
              </w:rPr>
            </w:pPr>
            <w:r w:rsidRPr="00092ED7">
              <w:rPr>
                <w:rFonts w:cs="Times New Roman"/>
                <w:sz w:val="20"/>
                <w:szCs w:val="20"/>
                <w:lang w:val="sr-Cyrl-CS"/>
              </w:rPr>
              <w:t>Србијагас</w:t>
            </w:r>
          </w:p>
        </w:tc>
        <w:tc>
          <w:tcPr>
            <w:tcW w:w="567" w:type="dxa"/>
            <w:tcBorders>
              <w:top w:val="dotted" w:sz="4" w:space="0" w:color="auto"/>
              <w:left w:val="nil"/>
              <w:bottom w:val="dotted" w:sz="4" w:space="0" w:color="auto"/>
              <w:right w:val="single" w:sz="4" w:space="0" w:color="auto"/>
            </w:tcBorders>
            <w:shd w:val="clear" w:color="auto" w:fill="auto"/>
            <w:vAlign w:val="center"/>
            <w:hideMark/>
          </w:tcPr>
          <w:p w14:paraId="4E1D8006" w14:textId="77777777" w:rsidR="00247CBF" w:rsidRPr="00092ED7" w:rsidRDefault="00247CBF" w:rsidP="00247CBF">
            <w:pPr>
              <w:spacing w:after="0"/>
              <w:rPr>
                <w:rFonts w:cs="Times New Roman"/>
                <w:sz w:val="20"/>
                <w:szCs w:val="20"/>
                <w:lang w:val="sr-Cyrl-CS"/>
              </w:rPr>
            </w:pPr>
            <w:r w:rsidRPr="00092ED7">
              <w:rPr>
                <w:rFonts w:cs="Times New Roman"/>
                <w:sz w:val="20"/>
                <w:szCs w:val="20"/>
                <w:lang w:val="sr-Cyrl-CS"/>
              </w:rPr>
              <w:t> </w:t>
            </w:r>
          </w:p>
        </w:tc>
        <w:tc>
          <w:tcPr>
            <w:tcW w:w="1559" w:type="dxa"/>
            <w:tcBorders>
              <w:top w:val="nil"/>
              <w:left w:val="single" w:sz="8" w:space="0" w:color="auto"/>
              <w:bottom w:val="dotted" w:sz="4" w:space="0" w:color="auto"/>
              <w:right w:val="single" w:sz="8" w:space="0" w:color="auto"/>
            </w:tcBorders>
            <w:shd w:val="clear" w:color="auto" w:fill="auto"/>
            <w:vAlign w:val="center"/>
            <w:hideMark/>
          </w:tcPr>
          <w:p w14:paraId="5CC53C45" w14:textId="77777777" w:rsidR="00247CBF" w:rsidRPr="00092ED7" w:rsidRDefault="00247CBF" w:rsidP="00247CBF">
            <w:pPr>
              <w:spacing w:after="0"/>
              <w:rPr>
                <w:rFonts w:cs="Times New Roman"/>
                <w:sz w:val="20"/>
                <w:szCs w:val="20"/>
                <w:lang w:val="sr-Cyrl-CS"/>
              </w:rPr>
            </w:pPr>
            <w:r w:rsidRPr="00092ED7">
              <w:rPr>
                <w:rFonts w:cs="Times New Roman"/>
                <w:sz w:val="20"/>
                <w:szCs w:val="20"/>
                <w:lang w:val="sr-Cyrl-CS"/>
              </w:rPr>
              <w:t>млрд РСД</w:t>
            </w:r>
          </w:p>
        </w:tc>
        <w:tc>
          <w:tcPr>
            <w:tcW w:w="1795" w:type="dxa"/>
            <w:tcBorders>
              <w:top w:val="nil"/>
              <w:left w:val="single" w:sz="4" w:space="0" w:color="auto"/>
              <w:bottom w:val="dotted" w:sz="4" w:space="0" w:color="auto"/>
              <w:right w:val="single" w:sz="8" w:space="0" w:color="auto"/>
            </w:tcBorders>
            <w:shd w:val="clear" w:color="auto" w:fill="auto"/>
            <w:noWrap/>
            <w:vAlign w:val="center"/>
            <w:hideMark/>
          </w:tcPr>
          <w:p w14:paraId="15A617F5" w14:textId="77777777" w:rsidR="00247CBF" w:rsidRPr="00092ED7" w:rsidRDefault="00247CBF" w:rsidP="00247CBF">
            <w:pPr>
              <w:spacing w:after="0"/>
              <w:jc w:val="center"/>
              <w:rPr>
                <w:sz w:val="20"/>
                <w:szCs w:val="20"/>
                <w:lang w:val="sr-Cyrl-CS"/>
              </w:rPr>
            </w:pPr>
            <w:r w:rsidRPr="00092ED7">
              <w:rPr>
                <w:sz w:val="20"/>
                <w:szCs w:val="20"/>
                <w:lang w:val="sr-Cyrl-CS"/>
              </w:rPr>
              <w:t>2022-02</w:t>
            </w:r>
          </w:p>
        </w:tc>
        <w:tc>
          <w:tcPr>
            <w:tcW w:w="1796" w:type="dxa"/>
            <w:tcBorders>
              <w:top w:val="dotted" w:sz="4" w:space="0" w:color="auto"/>
              <w:left w:val="nil"/>
              <w:bottom w:val="dotted" w:sz="4" w:space="0" w:color="auto"/>
              <w:right w:val="single" w:sz="4" w:space="0" w:color="auto"/>
            </w:tcBorders>
            <w:shd w:val="clear" w:color="auto" w:fill="auto"/>
            <w:noWrap/>
            <w:vAlign w:val="center"/>
            <w:hideMark/>
          </w:tcPr>
          <w:p w14:paraId="1FF1D345" w14:textId="77777777" w:rsidR="00247CBF" w:rsidRPr="00092ED7" w:rsidRDefault="00247CBF" w:rsidP="00247CBF">
            <w:pPr>
              <w:spacing w:after="0"/>
              <w:jc w:val="center"/>
              <w:rPr>
                <w:sz w:val="20"/>
                <w:szCs w:val="20"/>
                <w:lang w:val="sr-Cyrl-CS"/>
              </w:rPr>
            </w:pPr>
            <w:r w:rsidRPr="00092ED7">
              <w:rPr>
                <w:sz w:val="20"/>
                <w:szCs w:val="20"/>
                <w:lang w:val="sr-Cyrl-CS"/>
              </w:rPr>
              <w:t>23,5</w:t>
            </w:r>
          </w:p>
        </w:tc>
        <w:tc>
          <w:tcPr>
            <w:tcW w:w="1796" w:type="dxa"/>
            <w:tcBorders>
              <w:top w:val="nil"/>
              <w:left w:val="nil"/>
              <w:bottom w:val="dotted" w:sz="4" w:space="0" w:color="auto"/>
              <w:right w:val="double" w:sz="6" w:space="0" w:color="auto"/>
            </w:tcBorders>
            <w:shd w:val="clear" w:color="auto" w:fill="auto"/>
            <w:noWrap/>
            <w:vAlign w:val="center"/>
            <w:hideMark/>
          </w:tcPr>
          <w:p w14:paraId="1B42B990" w14:textId="77777777" w:rsidR="00247CBF" w:rsidRPr="00092ED7" w:rsidRDefault="00247CBF" w:rsidP="00247CBF">
            <w:pPr>
              <w:spacing w:after="0"/>
              <w:jc w:val="center"/>
              <w:rPr>
                <w:rFonts w:cs="Times New Roman"/>
                <w:sz w:val="20"/>
                <w:szCs w:val="20"/>
                <w:lang w:val="sr-Cyrl-CS"/>
              </w:rPr>
            </w:pPr>
          </w:p>
        </w:tc>
      </w:tr>
      <w:tr w:rsidR="00247CBF" w:rsidRPr="00092ED7" w14:paraId="04372B1B" w14:textId="77777777" w:rsidTr="00247CBF">
        <w:trPr>
          <w:trHeight w:val="300"/>
        </w:trPr>
        <w:tc>
          <w:tcPr>
            <w:tcW w:w="6923" w:type="dxa"/>
            <w:tcBorders>
              <w:top w:val="nil"/>
              <w:left w:val="double" w:sz="6" w:space="0" w:color="auto"/>
              <w:bottom w:val="dotted" w:sz="4" w:space="0" w:color="auto"/>
              <w:right w:val="nil"/>
            </w:tcBorders>
            <w:shd w:val="clear" w:color="auto" w:fill="auto"/>
            <w:vAlign w:val="center"/>
            <w:hideMark/>
          </w:tcPr>
          <w:p w14:paraId="3F68D450" w14:textId="77777777" w:rsidR="00247CBF" w:rsidRPr="00092ED7" w:rsidRDefault="00247CBF" w:rsidP="00247CBF">
            <w:pPr>
              <w:spacing w:after="0"/>
              <w:rPr>
                <w:rFonts w:cs="Times New Roman"/>
                <w:sz w:val="20"/>
                <w:szCs w:val="20"/>
                <w:lang w:val="sr-Cyrl-CS"/>
              </w:rPr>
            </w:pPr>
            <w:r w:rsidRPr="00092ED7">
              <w:rPr>
                <w:rFonts w:cs="Times New Roman"/>
                <w:sz w:val="20"/>
                <w:szCs w:val="20"/>
                <w:lang w:val="sr-Cyrl-CS"/>
              </w:rPr>
              <w:t> </w:t>
            </w:r>
          </w:p>
        </w:tc>
        <w:tc>
          <w:tcPr>
            <w:tcW w:w="567" w:type="dxa"/>
            <w:tcBorders>
              <w:top w:val="nil"/>
              <w:left w:val="nil"/>
              <w:bottom w:val="dotted" w:sz="4" w:space="0" w:color="auto"/>
              <w:right w:val="single" w:sz="4" w:space="0" w:color="auto"/>
            </w:tcBorders>
            <w:shd w:val="clear" w:color="auto" w:fill="auto"/>
            <w:vAlign w:val="center"/>
            <w:hideMark/>
          </w:tcPr>
          <w:p w14:paraId="33A5D103" w14:textId="77777777" w:rsidR="00247CBF" w:rsidRPr="00092ED7" w:rsidRDefault="00247CBF" w:rsidP="00247CBF">
            <w:pPr>
              <w:spacing w:after="0"/>
              <w:rPr>
                <w:rFonts w:cs="Times New Roman"/>
                <w:sz w:val="20"/>
                <w:szCs w:val="20"/>
                <w:lang w:val="sr-Cyrl-CS"/>
              </w:rPr>
            </w:pPr>
            <w:r w:rsidRPr="00092ED7">
              <w:rPr>
                <w:rFonts w:cs="Times New Roman"/>
                <w:sz w:val="20"/>
                <w:szCs w:val="20"/>
                <w:lang w:val="sr-Cyrl-CS"/>
              </w:rPr>
              <w:t> </w:t>
            </w:r>
          </w:p>
        </w:tc>
        <w:tc>
          <w:tcPr>
            <w:tcW w:w="1559" w:type="dxa"/>
            <w:tcBorders>
              <w:top w:val="nil"/>
              <w:left w:val="single" w:sz="8" w:space="0" w:color="auto"/>
              <w:bottom w:val="dotted" w:sz="4" w:space="0" w:color="auto"/>
              <w:right w:val="single" w:sz="8" w:space="0" w:color="auto"/>
            </w:tcBorders>
            <w:shd w:val="clear" w:color="auto" w:fill="auto"/>
            <w:vAlign w:val="center"/>
            <w:hideMark/>
          </w:tcPr>
          <w:p w14:paraId="7B5032A8" w14:textId="77777777" w:rsidR="00247CBF" w:rsidRPr="00092ED7" w:rsidRDefault="00247CBF" w:rsidP="00247CBF">
            <w:pPr>
              <w:spacing w:after="0"/>
              <w:rPr>
                <w:rFonts w:cs="Times New Roman"/>
                <w:sz w:val="20"/>
                <w:szCs w:val="20"/>
                <w:lang w:val="sr-Cyrl-CS"/>
              </w:rPr>
            </w:pPr>
            <w:r w:rsidRPr="00092ED7">
              <w:rPr>
                <w:rFonts w:cs="Times New Roman"/>
                <w:sz w:val="20"/>
                <w:szCs w:val="20"/>
                <w:lang w:val="sr-Cyrl-CS"/>
              </w:rPr>
              <w:t>млрд РСД</w:t>
            </w:r>
          </w:p>
        </w:tc>
        <w:tc>
          <w:tcPr>
            <w:tcW w:w="1795" w:type="dxa"/>
            <w:tcBorders>
              <w:top w:val="nil"/>
              <w:left w:val="single" w:sz="4" w:space="0" w:color="auto"/>
              <w:bottom w:val="dotted" w:sz="4" w:space="0" w:color="auto"/>
              <w:right w:val="single" w:sz="8" w:space="0" w:color="auto"/>
            </w:tcBorders>
            <w:shd w:val="clear" w:color="auto" w:fill="auto"/>
            <w:noWrap/>
            <w:vAlign w:val="center"/>
            <w:hideMark/>
          </w:tcPr>
          <w:p w14:paraId="4EB45DAD" w14:textId="77777777" w:rsidR="00247CBF" w:rsidRPr="00092ED7" w:rsidRDefault="00247CBF" w:rsidP="00247CBF">
            <w:pPr>
              <w:spacing w:after="0"/>
              <w:jc w:val="center"/>
              <w:rPr>
                <w:rFonts w:cs="Times New Roman"/>
                <w:sz w:val="20"/>
                <w:szCs w:val="20"/>
                <w:lang w:val="sr-Cyrl-CS"/>
              </w:rPr>
            </w:pPr>
          </w:p>
        </w:tc>
        <w:tc>
          <w:tcPr>
            <w:tcW w:w="1796" w:type="dxa"/>
            <w:tcBorders>
              <w:top w:val="nil"/>
              <w:left w:val="nil"/>
              <w:bottom w:val="dotted" w:sz="4" w:space="0" w:color="auto"/>
              <w:right w:val="single" w:sz="4" w:space="0" w:color="auto"/>
            </w:tcBorders>
            <w:shd w:val="clear" w:color="auto" w:fill="auto"/>
            <w:noWrap/>
            <w:vAlign w:val="center"/>
            <w:hideMark/>
          </w:tcPr>
          <w:p w14:paraId="787A9F6B" w14:textId="77777777" w:rsidR="00247CBF" w:rsidRPr="00092ED7" w:rsidRDefault="00247CBF" w:rsidP="00247CBF">
            <w:pPr>
              <w:spacing w:after="0"/>
              <w:jc w:val="center"/>
              <w:rPr>
                <w:rFonts w:cs="Times New Roman"/>
                <w:sz w:val="20"/>
                <w:szCs w:val="20"/>
                <w:lang w:val="sr-Cyrl-CS"/>
              </w:rPr>
            </w:pPr>
          </w:p>
        </w:tc>
        <w:tc>
          <w:tcPr>
            <w:tcW w:w="1796" w:type="dxa"/>
            <w:tcBorders>
              <w:top w:val="nil"/>
              <w:left w:val="nil"/>
              <w:bottom w:val="dotted" w:sz="4" w:space="0" w:color="auto"/>
              <w:right w:val="double" w:sz="6" w:space="0" w:color="auto"/>
            </w:tcBorders>
            <w:shd w:val="clear" w:color="auto" w:fill="auto"/>
            <w:noWrap/>
            <w:vAlign w:val="center"/>
            <w:hideMark/>
          </w:tcPr>
          <w:p w14:paraId="1342C974" w14:textId="77777777" w:rsidR="00247CBF" w:rsidRPr="00092ED7" w:rsidRDefault="00247CBF" w:rsidP="00247CBF">
            <w:pPr>
              <w:spacing w:after="0"/>
              <w:jc w:val="center"/>
              <w:rPr>
                <w:rFonts w:cs="Times New Roman"/>
                <w:sz w:val="20"/>
                <w:szCs w:val="20"/>
                <w:lang w:val="sr-Cyrl-CS"/>
              </w:rPr>
            </w:pPr>
          </w:p>
        </w:tc>
      </w:tr>
      <w:tr w:rsidR="00247CBF" w:rsidRPr="00092ED7" w14:paraId="5224B973" w14:textId="77777777" w:rsidTr="00247CBF">
        <w:trPr>
          <w:trHeight w:val="315"/>
        </w:trPr>
        <w:tc>
          <w:tcPr>
            <w:tcW w:w="6923" w:type="dxa"/>
            <w:tcBorders>
              <w:top w:val="nil"/>
              <w:left w:val="double" w:sz="6" w:space="0" w:color="auto"/>
              <w:bottom w:val="dotted" w:sz="4" w:space="0" w:color="auto"/>
              <w:right w:val="nil"/>
            </w:tcBorders>
            <w:shd w:val="clear" w:color="auto" w:fill="auto"/>
            <w:vAlign w:val="center"/>
            <w:hideMark/>
          </w:tcPr>
          <w:p w14:paraId="537D549E" w14:textId="77777777" w:rsidR="00247CBF" w:rsidRPr="00092ED7" w:rsidRDefault="00247CBF" w:rsidP="00247CBF">
            <w:pPr>
              <w:spacing w:after="0"/>
              <w:rPr>
                <w:rFonts w:cs="Times New Roman"/>
                <w:sz w:val="20"/>
                <w:szCs w:val="20"/>
                <w:lang w:val="sr-Cyrl-CS"/>
              </w:rPr>
            </w:pPr>
            <w:r w:rsidRPr="00092ED7">
              <w:rPr>
                <w:rFonts w:cs="Times New Roman"/>
                <w:sz w:val="20"/>
                <w:szCs w:val="20"/>
                <w:lang w:val="sr-Cyrl-CS"/>
              </w:rPr>
              <w:t> </w:t>
            </w:r>
          </w:p>
        </w:tc>
        <w:tc>
          <w:tcPr>
            <w:tcW w:w="567" w:type="dxa"/>
            <w:tcBorders>
              <w:top w:val="nil"/>
              <w:left w:val="nil"/>
              <w:bottom w:val="dotted" w:sz="4" w:space="0" w:color="auto"/>
              <w:right w:val="single" w:sz="4" w:space="0" w:color="auto"/>
            </w:tcBorders>
            <w:shd w:val="clear" w:color="auto" w:fill="auto"/>
            <w:vAlign w:val="center"/>
            <w:hideMark/>
          </w:tcPr>
          <w:p w14:paraId="0A2418E1" w14:textId="77777777" w:rsidR="00247CBF" w:rsidRPr="00092ED7" w:rsidRDefault="00247CBF" w:rsidP="00247CBF">
            <w:pPr>
              <w:spacing w:after="0"/>
              <w:rPr>
                <w:rFonts w:cs="Times New Roman"/>
                <w:sz w:val="20"/>
                <w:szCs w:val="20"/>
                <w:lang w:val="sr-Cyrl-CS"/>
              </w:rPr>
            </w:pPr>
            <w:r w:rsidRPr="00092ED7">
              <w:rPr>
                <w:rFonts w:cs="Times New Roman"/>
                <w:sz w:val="20"/>
                <w:szCs w:val="20"/>
                <w:lang w:val="sr-Cyrl-CS"/>
              </w:rPr>
              <w:t> </w:t>
            </w:r>
          </w:p>
        </w:tc>
        <w:tc>
          <w:tcPr>
            <w:tcW w:w="1559" w:type="dxa"/>
            <w:tcBorders>
              <w:top w:val="nil"/>
              <w:left w:val="single" w:sz="8" w:space="0" w:color="auto"/>
              <w:bottom w:val="dotted" w:sz="4" w:space="0" w:color="auto"/>
              <w:right w:val="single" w:sz="8" w:space="0" w:color="auto"/>
            </w:tcBorders>
            <w:shd w:val="clear" w:color="auto" w:fill="auto"/>
            <w:vAlign w:val="center"/>
            <w:hideMark/>
          </w:tcPr>
          <w:p w14:paraId="25DB1D4C" w14:textId="77777777" w:rsidR="00247CBF" w:rsidRPr="00092ED7" w:rsidRDefault="00247CBF" w:rsidP="00247CBF">
            <w:pPr>
              <w:spacing w:after="0"/>
              <w:rPr>
                <w:rFonts w:cs="Times New Roman"/>
                <w:sz w:val="20"/>
                <w:szCs w:val="20"/>
                <w:lang w:val="sr-Cyrl-CS"/>
              </w:rPr>
            </w:pPr>
            <w:r w:rsidRPr="00092ED7">
              <w:rPr>
                <w:rFonts w:cs="Times New Roman"/>
                <w:sz w:val="20"/>
                <w:szCs w:val="20"/>
                <w:lang w:val="sr-Cyrl-CS"/>
              </w:rPr>
              <w:t>млрд РСД</w:t>
            </w:r>
          </w:p>
        </w:tc>
        <w:tc>
          <w:tcPr>
            <w:tcW w:w="1795" w:type="dxa"/>
            <w:tcBorders>
              <w:top w:val="nil"/>
              <w:left w:val="single" w:sz="4" w:space="0" w:color="auto"/>
              <w:bottom w:val="dotted" w:sz="4" w:space="0" w:color="auto"/>
              <w:right w:val="single" w:sz="8" w:space="0" w:color="auto"/>
            </w:tcBorders>
            <w:shd w:val="clear" w:color="auto" w:fill="auto"/>
            <w:noWrap/>
            <w:vAlign w:val="center"/>
            <w:hideMark/>
          </w:tcPr>
          <w:p w14:paraId="61FFB0DE" w14:textId="77777777" w:rsidR="00247CBF" w:rsidRPr="00092ED7" w:rsidRDefault="00247CBF" w:rsidP="00247CBF">
            <w:pPr>
              <w:spacing w:after="0"/>
              <w:jc w:val="center"/>
              <w:rPr>
                <w:rFonts w:cs="Times New Roman"/>
                <w:sz w:val="20"/>
                <w:szCs w:val="20"/>
                <w:lang w:val="sr-Cyrl-CS"/>
              </w:rPr>
            </w:pPr>
          </w:p>
        </w:tc>
        <w:tc>
          <w:tcPr>
            <w:tcW w:w="1796" w:type="dxa"/>
            <w:tcBorders>
              <w:top w:val="nil"/>
              <w:left w:val="nil"/>
              <w:bottom w:val="dotted" w:sz="4" w:space="0" w:color="auto"/>
              <w:right w:val="single" w:sz="4" w:space="0" w:color="auto"/>
            </w:tcBorders>
            <w:shd w:val="clear" w:color="auto" w:fill="auto"/>
            <w:noWrap/>
            <w:vAlign w:val="center"/>
            <w:hideMark/>
          </w:tcPr>
          <w:p w14:paraId="293120B2" w14:textId="77777777" w:rsidR="00247CBF" w:rsidRPr="00092ED7" w:rsidRDefault="00247CBF" w:rsidP="00247CBF">
            <w:pPr>
              <w:spacing w:after="0"/>
              <w:jc w:val="center"/>
              <w:rPr>
                <w:rFonts w:cs="Times New Roman"/>
                <w:sz w:val="20"/>
                <w:szCs w:val="20"/>
                <w:lang w:val="sr-Cyrl-CS"/>
              </w:rPr>
            </w:pPr>
          </w:p>
        </w:tc>
        <w:tc>
          <w:tcPr>
            <w:tcW w:w="1796" w:type="dxa"/>
            <w:tcBorders>
              <w:top w:val="nil"/>
              <w:left w:val="nil"/>
              <w:bottom w:val="dotted" w:sz="4" w:space="0" w:color="auto"/>
              <w:right w:val="double" w:sz="6" w:space="0" w:color="auto"/>
            </w:tcBorders>
            <w:shd w:val="clear" w:color="auto" w:fill="auto"/>
            <w:noWrap/>
            <w:vAlign w:val="center"/>
            <w:hideMark/>
          </w:tcPr>
          <w:p w14:paraId="5CC023A8" w14:textId="77777777" w:rsidR="00247CBF" w:rsidRPr="00092ED7" w:rsidRDefault="00247CBF" w:rsidP="00247CBF">
            <w:pPr>
              <w:spacing w:after="0"/>
              <w:jc w:val="center"/>
              <w:rPr>
                <w:rFonts w:cs="Times New Roman"/>
                <w:sz w:val="20"/>
                <w:szCs w:val="20"/>
                <w:lang w:val="sr-Cyrl-CS"/>
              </w:rPr>
            </w:pPr>
          </w:p>
        </w:tc>
      </w:tr>
      <w:tr w:rsidR="00247CBF" w:rsidRPr="00092ED7" w14:paraId="476EB73C" w14:textId="77777777" w:rsidTr="00247CBF">
        <w:trPr>
          <w:trHeight w:val="330"/>
        </w:trPr>
        <w:tc>
          <w:tcPr>
            <w:tcW w:w="6923" w:type="dxa"/>
            <w:tcBorders>
              <w:top w:val="single" w:sz="8" w:space="0" w:color="auto"/>
              <w:left w:val="double" w:sz="6" w:space="0" w:color="auto"/>
              <w:bottom w:val="single" w:sz="8" w:space="0" w:color="auto"/>
              <w:right w:val="nil"/>
            </w:tcBorders>
            <w:shd w:val="clear" w:color="auto" w:fill="auto"/>
            <w:vAlign w:val="center"/>
            <w:hideMark/>
          </w:tcPr>
          <w:p w14:paraId="65EB4D50" w14:textId="77777777" w:rsidR="00247CBF" w:rsidRPr="00092ED7" w:rsidRDefault="00247CBF" w:rsidP="00247CBF">
            <w:pPr>
              <w:spacing w:after="0"/>
              <w:rPr>
                <w:rFonts w:cs="Times New Roman"/>
                <w:sz w:val="20"/>
                <w:szCs w:val="20"/>
                <w:lang w:val="sr-Cyrl-CS"/>
              </w:rPr>
            </w:pPr>
            <w:r w:rsidRPr="00092ED7">
              <w:rPr>
                <w:rFonts w:cs="Times New Roman"/>
                <w:sz w:val="20"/>
                <w:szCs w:val="20"/>
                <w:lang w:val="sr-Cyrl-CS"/>
              </w:rPr>
              <w:t> </w:t>
            </w:r>
          </w:p>
        </w:tc>
        <w:tc>
          <w:tcPr>
            <w:tcW w:w="567" w:type="dxa"/>
            <w:tcBorders>
              <w:top w:val="single" w:sz="8" w:space="0" w:color="auto"/>
              <w:left w:val="nil"/>
              <w:bottom w:val="single" w:sz="8" w:space="0" w:color="auto"/>
              <w:right w:val="nil"/>
            </w:tcBorders>
            <w:shd w:val="clear" w:color="auto" w:fill="auto"/>
            <w:vAlign w:val="center"/>
            <w:hideMark/>
          </w:tcPr>
          <w:p w14:paraId="0F01DC6B" w14:textId="77777777" w:rsidR="00247CBF" w:rsidRPr="00092ED7" w:rsidRDefault="00247CBF" w:rsidP="00247CBF">
            <w:pPr>
              <w:spacing w:after="0"/>
              <w:rPr>
                <w:rFonts w:cs="Times New Roman"/>
                <w:sz w:val="20"/>
                <w:szCs w:val="20"/>
                <w:lang w:val="sr-Cyrl-CS"/>
              </w:rPr>
            </w:pPr>
            <w:r w:rsidRPr="00092ED7">
              <w:rPr>
                <w:rFonts w:cs="Times New Roman"/>
                <w:sz w:val="20"/>
                <w:szCs w:val="20"/>
                <w:lang w:val="sr-Cyrl-CS"/>
              </w:rPr>
              <w:t> </w:t>
            </w:r>
          </w:p>
        </w:tc>
        <w:tc>
          <w:tcPr>
            <w:tcW w:w="155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5571ACFE" w14:textId="77777777" w:rsidR="00247CBF" w:rsidRPr="00092ED7" w:rsidRDefault="00247CBF" w:rsidP="00247CBF">
            <w:pPr>
              <w:spacing w:after="0"/>
              <w:jc w:val="left"/>
              <w:rPr>
                <w:rFonts w:cs="Times New Roman"/>
                <w:b/>
                <w:sz w:val="20"/>
                <w:szCs w:val="20"/>
                <w:lang w:val="sr-Cyrl-CS"/>
              </w:rPr>
            </w:pPr>
            <w:r w:rsidRPr="00092ED7">
              <w:rPr>
                <w:rFonts w:cs="Times New Roman"/>
                <w:b/>
                <w:sz w:val="20"/>
                <w:szCs w:val="20"/>
                <w:lang w:val="sr-Cyrl-CS"/>
              </w:rPr>
              <w:t>Међузбир</w:t>
            </w:r>
          </w:p>
        </w:tc>
        <w:tc>
          <w:tcPr>
            <w:tcW w:w="1795" w:type="dxa"/>
            <w:tcBorders>
              <w:top w:val="single" w:sz="8" w:space="0" w:color="auto"/>
              <w:left w:val="nil"/>
              <w:bottom w:val="single" w:sz="8" w:space="0" w:color="auto"/>
              <w:right w:val="single" w:sz="8" w:space="0" w:color="auto"/>
            </w:tcBorders>
            <w:shd w:val="clear" w:color="auto" w:fill="auto"/>
            <w:noWrap/>
            <w:vAlign w:val="center"/>
            <w:hideMark/>
          </w:tcPr>
          <w:p w14:paraId="050667FD" w14:textId="77777777" w:rsidR="00247CBF" w:rsidRPr="00092ED7" w:rsidRDefault="00247CBF" w:rsidP="00247CBF">
            <w:pPr>
              <w:spacing w:after="0"/>
              <w:jc w:val="left"/>
              <w:rPr>
                <w:rFonts w:cs="Times New Roman"/>
                <w:b/>
                <w:sz w:val="20"/>
                <w:szCs w:val="20"/>
                <w:lang w:val="sr-Cyrl-CS"/>
              </w:rPr>
            </w:pPr>
            <w:r w:rsidRPr="00092ED7">
              <w:rPr>
                <w:rFonts w:cs="Times New Roman"/>
                <w:b/>
                <w:sz w:val="20"/>
                <w:szCs w:val="20"/>
                <w:lang w:val="sr-Cyrl-CS"/>
              </w:rPr>
              <w:t> </w:t>
            </w:r>
          </w:p>
        </w:tc>
        <w:tc>
          <w:tcPr>
            <w:tcW w:w="1796" w:type="dxa"/>
            <w:tcBorders>
              <w:top w:val="single" w:sz="8" w:space="0" w:color="auto"/>
              <w:left w:val="nil"/>
              <w:bottom w:val="single" w:sz="8" w:space="0" w:color="auto"/>
              <w:right w:val="single" w:sz="4" w:space="0" w:color="auto"/>
            </w:tcBorders>
            <w:shd w:val="clear" w:color="auto" w:fill="auto"/>
            <w:noWrap/>
            <w:vAlign w:val="center"/>
            <w:hideMark/>
          </w:tcPr>
          <w:p w14:paraId="61D014F9" w14:textId="77777777" w:rsidR="00247CBF" w:rsidRPr="00092ED7" w:rsidRDefault="00247CBF" w:rsidP="00247CBF">
            <w:pPr>
              <w:spacing w:after="0"/>
              <w:jc w:val="center"/>
              <w:rPr>
                <w:rFonts w:cs="Times New Roman"/>
                <w:b/>
                <w:sz w:val="20"/>
                <w:szCs w:val="20"/>
                <w:lang w:val="sr-Cyrl-CS"/>
              </w:rPr>
            </w:pPr>
            <w:r w:rsidRPr="00092ED7">
              <w:rPr>
                <w:sz w:val="20"/>
                <w:szCs w:val="20"/>
                <w:lang w:val="sr-Cyrl-CS"/>
              </w:rPr>
              <w:t>23,5</w:t>
            </w:r>
          </w:p>
        </w:tc>
        <w:tc>
          <w:tcPr>
            <w:tcW w:w="1796" w:type="dxa"/>
            <w:tcBorders>
              <w:top w:val="single" w:sz="8" w:space="0" w:color="auto"/>
              <w:left w:val="nil"/>
              <w:bottom w:val="single" w:sz="8" w:space="0" w:color="auto"/>
              <w:right w:val="double" w:sz="6" w:space="0" w:color="auto"/>
            </w:tcBorders>
            <w:shd w:val="clear" w:color="auto" w:fill="auto"/>
            <w:noWrap/>
            <w:vAlign w:val="center"/>
            <w:hideMark/>
          </w:tcPr>
          <w:p w14:paraId="06C179EA" w14:textId="77777777" w:rsidR="00247CBF" w:rsidRPr="00092ED7" w:rsidRDefault="00247CBF" w:rsidP="00247CBF">
            <w:pPr>
              <w:spacing w:after="0"/>
              <w:jc w:val="center"/>
              <w:rPr>
                <w:rFonts w:cs="Times New Roman"/>
                <w:b/>
                <w:sz w:val="20"/>
                <w:szCs w:val="20"/>
                <w:lang w:val="sr-Cyrl-CS"/>
              </w:rPr>
            </w:pPr>
            <w:r w:rsidRPr="00092ED7">
              <w:rPr>
                <w:rFonts w:cs="Times New Roman"/>
                <w:b/>
                <w:sz w:val="20"/>
                <w:szCs w:val="20"/>
                <w:lang w:val="sr-Cyrl-CS"/>
              </w:rPr>
              <w:t>0</w:t>
            </w:r>
          </w:p>
        </w:tc>
      </w:tr>
      <w:tr w:rsidR="00247CBF" w:rsidRPr="00092ED7" w14:paraId="60A1B0EC" w14:textId="77777777" w:rsidTr="00247CBF">
        <w:trPr>
          <w:trHeight w:val="300"/>
        </w:trPr>
        <w:tc>
          <w:tcPr>
            <w:tcW w:w="7490" w:type="dxa"/>
            <w:gridSpan w:val="2"/>
            <w:tcBorders>
              <w:top w:val="single" w:sz="8" w:space="0" w:color="auto"/>
              <w:left w:val="double" w:sz="6" w:space="0" w:color="auto"/>
              <w:bottom w:val="double" w:sz="6" w:space="0" w:color="auto"/>
              <w:right w:val="single" w:sz="4" w:space="0" w:color="000000"/>
            </w:tcBorders>
            <w:shd w:val="clear" w:color="auto" w:fill="auto"/>
            <w:noWrap/>
            <w:vAlign w:val="center"/>
            <w:hideMark/>
          </w:tcPr>
          <w:p w14:paraId="7D785F98" w14:textId="77777777" w:rsidR="00247CBF" w:rsidRPr="00092ED7" w:rsidRDefault="00247CBF" w:rsidP="00247CBF">
            <w:pPr>
              <w:spacing w:after="0"/>
              <w:rPr>
                <w:rFonts w:cs="Times New Roman"/>
                <w:sz w:val="20"/>
                <w:szCs w:val="20"/>
                <w:lang w:val="sr-Cyrl-CS"/>
              </w:rPr>
            </w:pPr>
            <w:r w:rsidRPr="00092ED7">
              <w:rPr>
                <w:rFonts w:cs="Times New Roman"/>
                <w:sz w:val="20"/>
                <w:szCs w:val="20"/>
                <w:lang w:val="sr-Cyrl-CS"/>
              </w:rPr>
              <w:t> </w:t>
            </w:r>
          </w:p>
        </w:tc>
        <w:tc>
          <w:tcPr>
            <w:tcW w:w="1559" w:type="dxa"/>
            <w:tcBorders>
              <w:top w:val="nil"/>
              <w:left w:val="single" w:sz="4" w:space="0" w:color="auto"/>
              <w:bottom w:val="double" w:sz="6" w:space="0" w:color="auto"/>
              <w:right w:val="single" w:sz="4" w:space="0" w:color="auto"/>
            </w:tcBorders>
            <w:shd w:val="clear" w:color="auto" w:fill="auto"/>
            <w:noWrap/>
            <w:vAlign w:val="center"/>
            <w:hideMark/>
          </w:tcPr>
          <w:p w14:paraId="0DF85284" w14:textId="77777777" w:rsidR="00247CBF" w:rsidRPr="00092ED7" w:rsidRDefault="00247CBF" w:rsidP="00247CBF">
            <w:pPr>
              <w:spacing w:after="0"/>
              <w:jc w:val="left"/>
              <w:rPr>
                <w:rFonts w:cs="Times New Roman"/>
                <w:b/>
                <w:sz w:val="20"/>
                <w:szCs w:val="20"/>
                <w:lang w:val="sr-Cyrl-CS"/>
              </w:rPr>
            </w:pPr>
            <w:r w:rsidRPr="00092ED7">
              <w:rPr>
                <w:rFonts w:cs="Times New Roman"/>
                <w:b/>
                <w:sz w:val="20"/>
                <w:szCs w:val="20"/>
                <w:lang w:val="sr-Cyrl-CS"/>
              </w:rPr>
              <w:t>Укупно</w:t>
            </w:r>
          </w:p>
        </w:tc>
        <w:tc>
          <w:tcPr>
            <w:tcW w:w="1795" w:type="dxa"/>
            <w:tcBorders>
              <w:top w:val="nil"/>
              <w:left w:val="nil"/>
              <w:bottom w:val="double" w:sz="6" w:space="0" w:color="auto"/>
              <w:right w:val="single" w:sz="8" w:space="0" w:color="auto"/>
            </w:tcBorders>
            <w:shd w:val="clear" w:color="auto" w:fill="auto"/>
            <w:noWrap/>
            <w:vAlign w:val="center"/>
            <w:hideMark/>
          </w:tcPr>
          <w:p w14:paraId="0A825504" w14:textId="77777777" w:rsidR="00247CBF" w:rsidRPr="00092ED7" w:rsidRDefault="00247CBF" w:rsidP="00247CBF">
            <w:pPr>
              <w:spacing w:after="0"/>
              <w:jc w:val="left"/>
              <w:rPr>
                <w:rFonts w:cs="Times New Roman"/>
                <w:b/>
                <w:sz w:val="20"/>
                <w:szCs w:val="20"/>
                <w:lang w:val="sr-Cyrl-CS"/>
              </w:rPr>
            </w:pPr>
            <w:r w:rsidRPr="00092ED7">
              <w:rPr>
                <w:rFonts w:cs="Times New Roman"/>
                <w:b/>
                <w:sz w:val="20"/>
                <w:szCs w:val="20"/>
                <w:lang w:val="sr-Cyrl-CS"/>
              </w:rPr>
              <w:t> </w:t>
            </w:r>
          </w:p>
        </w:tc>
        <w:tc>
          <w:tcPr>
            <w:tcW w:w="1796" w:type="dxa"/>
            <w:tcBorders>
              <w:top w:val="nil"/>
              <w:left w:val="nil"/>
              <w:bottom w:val="double" w:sz="6" w:space="0" w:color="auto"/>
              <w:right w:val="single" w:sz="4" w:space="0" w:color="auto"/>
            </w:tcBorders>
            <w:shd w:val="clear" w:color="auto" w:fill="auto"/>
            <w:noWrap/>
            <w:vAlign w:val="center"/>
            <w:hideMark/>
          </w:tcPr>
          <w:p w14:paraId="450443BC" w14:textId="77777777" w:rsidR="00247CBF" w:rsidRPr="00092ED7" w:rsidRDefault="00247CBF" w:rsidP="00247CBF">
            <w:pPr>
              <w:spacing w:after="0"/>
              <w:jc w:val="center"/>
              <w:rPr>
                <w:rFonts w:cs="Times New Roman"/>
                <w:b/>
                <w:sz w:val="20"/>
                <w:szCs w:val="20"/>
                <w:lang w:val="sr-Cyrl-CS"/>
              </w:rPr>
            </w:pPr>
            <w:r w:rsidRPr="00092ED7">
              <w:rPr>
                <w:sz w:val="20"/>
                <w:szCs w:val="20"/>
                <w:lang w:val="sr-Cyrl-CS"/>
              </w:rPr>
              <w:t>23,5</w:t>
            </w:r>
          </w:p>
        </w:tc>
        <w:tc>
          <w:tcPr>
            <w:tcW w:w="1796" w:type="dxa"/>
            <w:tcBorders>
              <w:top w:val="nil"/>
              <w:left w:val="nil"/>
              <w:bottom w:val="double" w:sz="6" w:space="0" w:color="auto"/>
              <w:right w:val="double" w:sz="6" w:space="0" w:color="auto"/>
            </w:tcBorders>
            <w:shd w:val="clear" w:color="auto" w:fill="auto"/>
            <w:noWrap/>
            <w:vAlign w:val="center"/>
            <w:hideMark/>
          </w:tcPr>
          <w:p w14:paraId="4FA74F80" w14:textId="77777777" w:rsidR="00247CBF" w:rsidRPr="00092ED7" w:rsidRDefault="00247CBF" w:rsidP="00247CBF">
            <w:pPr>
              <w:spacing w:after="0"/>
              <w:jc w:val="center"/>
              <w:rPr>
                <w:rFonts w:cs="Times New Roman"/>
                <w:b/>
                <w:sz w:val="20"/>
                <w:szCs w:val="20"/>
                <w:lang w:val="sr-Cyrl-CS"/>
              </w:rPr>
            </w:pPr>
            <w:r w:rsidRPr="00092ED7">
              <w:rPr>
                <w:rFonts w:cs="Times New Roman"/>
                <w:b/>
                <w:sz w:val="20"/>
                <w:szCs w:val="20"/>
                <w:lang w:val="sr-Cyrl-CS"/>
              </w:rPr>
              <w:t>0</w:t>
            </w:r>
          </w:p>
        </w:tc>
      </w:tr>
      <w:tr w:rsidR="00247CBF" w:rsidRPr="00092ED7" w14:paraId="34CD6062" w14:textId="77777777" w:rsidTr="00247CBF">
        <w:trPr>
          <w:trHeight w:val="330"/>
        </w:trPr>
        <w:tc>
          <w:tcPr>
            <w:tcW w:w="14436" w:type="dxa"/>
            <w:gridSpan w:val="6"/>
            <w:tcBorders>
              <w:top w:val="nil"/>
              <w:left w:val="nil"/>
              <w:bottom w:val="nil"/>
              <w:right w:val="nil"/>
            </w:tcBorders>
            <w:shd w:val="clear" w:color="000000" w:fill="FFFFFF"/>
            <w:noWrap/>
            <w:vAlign w:val="bottom"/>
            <w:hideMark/>
          </w:tcPr>
          <w:p w14:paraId="360D3C41" w14:textId="77777777" w:rsidR="00247CBF" w:rsidRPr="00092ED7" w:rsidRDefault="00247CBF" w:rsidP="00247CBF">
            <w:pPr>
              <w:spacing w:after="0"/>
              <w:rPr>
                <w:rFonts w:cs="Times New Roman"/>
                <w:sz w:val="18"/>
                <w:szCs w:val="20"/>
                <w:lang w:val="sr-Cyrl-CS"/>
              </w:rPr>
            </w:pPr>
            <w:r w:rsidRPr="00092ED7">
              <w:rPr>
                <w:rFonts w:cs="Times New Roman"/>
                <w:sz w:val="18"/>
                <w:szCs w:val="20"/>
                <w:vertAlign w:val="superscript"/>
                <w:lang w:val="sr-Cyrl-CS"/>
              </w:rPr>
              <w:t>1</w:t>
            </w:r>
            <w:r w:rsidRPr="00092ED7">
              <w:rPr>
                <w:rFonts w:cs="Times New Roman"/>
                <w:sz w:val="18"/>
                <w:szCs w:val="20"/>
                <w:lang w:val="sr-Cyrl-CS"/>
              </w:rPr>
              <w:t xml:space="preserve"> Свако активирање гаранција које има фискални ефекат требало би да се прикаже у табели дискреционих мера</w:t>
            </w:r>
          </w:p>
        </w:tc>
      </w:tr>
    </w:tbl>
    <w:p w14:paraId="45F7501D" w14:textId="77777777" w:rsidR="00247CBF" w:rsidRPr="00092ED7" w:rsidRDefault="00247CBF" w:rsidP="00247CBF">
      <w:pPr>
        <w:rPr>
          <w:rFonts w:cs="Times New Roman"/>
          <w:b/>
          <w:sz w:val="20"/>
          <w:szCs w:val="20"/>
          <w:lang w:val="sr-Cyrl-CS"/>
        </w:rPr>
      </w:pPr>
    </w:p>
    <w:p w14:paraId="3BC9516F" w14:textId="77777777" w:rsidR="00247CBF" w:rsidRPr="00092ED7" w:rsidRDefault="00247CBF" w:rsidP="00247CBF">
      <w:pPr>
        <w:spacing w:after="0"/>
        <w:rPr>
          <w:rFonts w:cs="Times New Roman"/>
          <w:b/>
          <w:sz w:val="20"/>
          <w:szCs w:val="20"/>
          <w:lang w:val="sr-Cyrl-CS"/>
        </w:rPr>
      </w:pPr>
      <w:r w:rsidRPr="00092ED7">
        <w:rPr>
          <w:rFonts w:cs="Times New Roman"/>
          <w:b/>
          <w:sz w:val="20"/>
          <w:szCs w:val="20"/>
          <w:lang w:val="sr-Cyrl-CS"/>
        </w:rPr>
        <w:t>Табела 7a: Издавање гаранција усвојено/најављено у складу са Програмом</w:t>
      </w:r>
    </w:p>
    <w:tbl>
      <w:tblPr>
        <w:tblW w:w="14436" w:type="dxa"/>
        <w:tblLayout w:type="fixed"/>
        <w:tblLook w:val="04A0" w:firstRow="1" w:lastRow="0" w:firstColumn="1" w:lastColumn="0" w:noHBand="0" w:noVBand="1"/>
      </w:tblPr>
      <w:tblGrid>
        <w:gridCol w:w="1670"/>
        <w:gridCol w:w="6387"/>
        <w:gridCol w:w="1701"/>
        <w:gridCol w:w="2126"/>
        <w:gridCol w:w="2552"/>
      </w:tblGrid>
      <w:tr w:rsidR="00247CBF" w:rsidRPr="00092ED7" w14:paraId="279362AB" w14:textId="77777777" w:rsidTr="00247CBF">
        <w:trPr>
          <w:trHeight w:val="227"/>
        </w:trPr>
        <w:tc>
          <w:tcPr>
            <w:tcW w:w="1670" w:type="dxa"/>
            <w:tcBorders>
              <w:top w:val="double" w:sz="6" w:space="0" w:color="auto"/>
              <w:left w:val="double" w:sz="6" w:space="0" w:color="auto"/>
              <w:bottom w:val="single" w:sz="8" w:space="0" w:color="auto"/>
              <w:right w:val="nil"/>
            </w:tcBorders>
            <w:shd w:val="clear" w:color="000000" w:fill="FFFFFF"/>
            <w:noWrap/>
            <w:vAlign w:val="bottom"/>
            <w:hideMark/>
          </w:tcPr>
          <w:p w14:paraId="3545F48E" w14:textId="77777777" w:rsidR="00247CBF" w:rsidRPr="00092ED7" w:rsidRDefault="00247CBF" w:rsidP="00247CBF">
            <w:pPr>
              <w:spacing w:after="0"/>
              <w:rPr>
                <w:rFonts w:eastAsia="Times New Roman" w:cs="Times New Roman"/>
                <w:sz w:val="20"/>
                <w:szCs w:val="20"/>
                <w:lang w:val="sr-Cyrl-CS"/>
              </w:rPr>
            </w:pPr>
          </w:p>
        </w:tc>
        <w:tc>
          <w:tcPr>
            <w:tcW w:w="6387" w:type="dxa"/>
            <w:tcBorders>
              <w:top w:val="double" w:sz="6" w:space="0" w:color="auto"/>
              <w:left w:val="nil"/>
              <w:bottom w:val="single" w:sz="8" w:space="0" w:color="auto"/>
              <w:right w:val="single" w:sz="4" w:space="0" w:color="auto"/>
            </w:tcBorders>
            <w:shd w:val="clear" w:color="auto" w:fill="auto"/>
            <w:noWrap/>
            <w:vAlign w:val="center"/>
            <w:hideMark/>
          </w:tcPr>
          <w:p w14:paraId="57C3AE45" w14:textId="77777777" w:rsidR="00247CBF" w:rsidRPr="00092ED7" w:rsidRDefault="00247CBF" w:rsidP="00247CBF">
            <w:pPr>
              <w:spacing w:after="0"/>
              <w:jc w:val="center"/>
              <w:rPr>
                <w:rFonts w:eastAsia="Times New Roman" w:cs="Times New Roman"/>
                <w:bCs/>
                <w:sz w:val="20"/>
                <w:szCs w:val="20"/>
                <w:lang w:val="sr-Cyrl-CS"/>
              </w:rPr>
            </w:pPr>
            <w:r w:rsidRPr="00092ED7">
              <w:rPr>
                <w:rFonts w:eastAsia="Times New Roman" w:cs="Times New Roman"/>
                <w:bCs/>
                <w:sz w:val="20"/>
                <w:szCs w:val="20"/>
                <w:lang w:val="sr-Cyrl-CS"/>
              </w:rPr>
              <w:t>Мере</w:t>
            </w:r>
          </w:p>
        </w:tc>
        <w:tc>
          <w:tcPr>
            <w:tcW w:w="1701" w:type="dxa"/>
            <w:tcBorders>
              <w:top w:val="double" w:sz="6" w:space="0" w:color="auto"/>
              <w:left w:val="single" w:sz="4" w:space="0" w:color="auto"/>
              <w:bottom w:val="single" w:sz="8" w:space="0" w:color="auto"/>
              <w:right w:val="single" w:sz="8" w:space="0" w:color="auto"/>
            </w:tcBorders>
            <w:shd w:val="clear" w:color="auto" w:fill="auto"/>
            <w:vAlign w:val="center"/>
            <w:hideMark/>
          </w:tcPr>
          <w:p w14:paraId="0901803C" w14:textId="77777777" w:rsidR="00247CBF" w:rsidRPr="00092ED7" w:rsidRDefault="00247CBF" w:rsidP="00247CBF">
            <w:pPr>
              <w:spacing w:after="0"/>
              <w:jc w:val="center"/>
              <w:rPr>
                <w:rFonts w:eastAsia="Times New Roman" w:cs="Times New Roman"/>
                <w:bCs/>
                <w:sz w:val="20"/>
                <w:szCs w:val="20"/>
                <w:lang w:val="sr-Cyrl-CS"/>
              </w:rPr>
            </w:pPr>
            <w:r w:rsidRPr="00092ED7">
              <w:rPr>
                <w:rFonts w:eastAsia="Times New Roman" w:cs="Times New Roman"/>
                <w:bCs/>
                <w:sz w:val="20"/>
                <w:szCs w:val="20"/>
                <w:lang w:val="sr-Cyrl-CS"/>
              </w:rPr>
              <w:t>Датум усвајања</w:t>
            </w:r>
          </w:p>
        </w:tc>
        <w:tc>
          <w:tcPr>
            <w:tcW w:w="2126" w:type="dxa"/>
            <w:tcBorders>
              <w:top w:val="double" w:sz="6" w:space="0" w:color="auto"/>
              <w:left w:val="nil"/>
              <w:bottom w:val="single" w:sz="8" w:space="0" w:color="auto"/>
              <w:right w:val="single" w:sz="4" w:space="0" w:color="auto"/>
            </w:tcBorders>
            <w:shd w:val="clear" w:color="auto" w:fill="auto"/>
            <w:vAlign w:val="center"/>
            <w:hideMark/>
          </w:tcPr>
          <w:p w14:paraId="19A1383E" w14:textId="77777777" w:rsidR="00247CBF" w:rsidRPr="00092ED7" w:rsidRDefault="00247CBF" w:rsidP="00247CBF">
            <w:pPr>
              <w:spacing w:after="0"/>
              <w:jc w:val="center"/>
              <w:rPr>
                <w:rFonts w:eastAsia="Times New Roman" w:cs="Times New Roman"/>
                <w:bCs/>
                <w:sz w:val="20"/>
                <w:szCs w:val="20"/>
                <w:lang w:val="sr-Cyrl-CS"/>
              </w:rPr>
            </w:pPr>
            <w:r w:rsidRPr="00092ED7">
              <w:rPr>
                <w:rFonts w:eastAsia="Times New Roman" w:cs="Times New Roman"/>
                <w:bCs/>
                <w:sz w:val="20"/>
                <w:szCs w:val="20"/>
                <w:lang w:val="sr-Cyrl-CS"/>
              </w:rPr>
              <w:t>Максимални износ гаранције</w:t>
            </w:r>
            <w:r w:rsidRPr="00092ED7">
              <w:rPr>
                <w:rFonts w:eastAsia="Times New Roman" w:cs="Times New Roman"/>
                <w:bCs/>
                <w:sz w:val="20"/>
                <w:szCs w:val="20"/>
                <w:vertAlign w:val="superscript"/>
                <w:lang w:val="sr-Cyrl-CS"/>
              </w:rPr>
              <w:t>1 (% БДП)</w:t>
            </w:r>
          </w:p>
        </w:tc>
        <w:tc>
          <w:tcPr>
            <w:tcW w:w="2552" w:type="dxa"/>
            <w:tcBorders>
              <w:top w:val="double" w:sz="6" w:space="0" w:color="auto"/>
              <w:left w:val="single" w:sz="4" w:space="0" w:color="auto"/>
              <w:bottom w:val="single" w:sz="8" w:space="0" w:color="auto"/>
              <w:right w:val="double" w:sz="6" w:space="0" w:color="auto"/>
            </w:tcBorders>
            <w:shd w:val="clear" w:color="auto" w:fill="auto"/>
            <w:vAlign w:val="center"/>
            <w:hideMark/>
          </w:tcPr>
          <w:p w14:paraId="58F77013" w14:textId="77777777" w:rsidR="00247CBF" w:rsidRPr="00092ED7" w:rsidRDefault="00247CBF" w:rsidP="00247CBF">
            <w:pPr>
              <w:spacing w:after="0"/>
              <w:jc w:val="center"/>
              <w:rPr>
                <w:rFonts w:eastAsia="Times New Roman" w:cs="Times New Roman"/>
                <w:bCs/>
                <w:sz w:val="20"/>
                <w:szCs w:val="20"/>
                <w:lang w:val="sr-Cyrl-CS"/>
              </w:rPr>
            </w:pPr>
            <w:r w:rsidRPr="00092ED7">
              <w:rPr>
                <w:rFonts w:eastAsia="Times New Roman" w:cs="Times New Roman"/>
                <w:bCs/>
                <w:sz w:val="20"/>
                <w:szCs w:val="20"/>
                <w:lang w:val="sr-Cyrl-CS"/>
              </w:rPr>
              <w:t>Процењени активирани износ (% БДП)</w:t>
            </w:r>
          </w:p>
        </w:tc>
      </w:tr>
      <w:tr w:rsidR="00247CBF" w:rsidRPr="00092ED7" w14:paraId="03134CA6" w14:textId="77777777" w:rsidTr="00247CBF">
        <w:trPr>
          <w:trHeight w:val="227"/>
        </w:trPr>
        <w:tc>
          <w:tcPr>
            <w:tcW w:w="1670" w:type="dxa"/>
            <w:tcBorders>
              <w:top w:val="single" w:sz="8" w:space="0" w:color="auto"/>
              <w:left w:val="double" w:sz="6" w:space="0" w:color="auto"/>
              <w:bottom w:val="single" w:sz="8" w:space="0" w:color="auto"/>
              <w:right w:val="nil"/>
            </w:tcBorders>
            <w:shd w:val="clear" w:color="000000" w:fill="FFFFFF"/>
            <w:noWrap/>
            <w:vAlign w:val="bottom"/>
            <w:hideMark/>
          </w:tcPr>
          <w:p w14:paraId="5C3D04D3" w14:textId="77777777" w:rsidR="00247CBF" w:rsidRPr="00092ED7" w:rsidRDefault="00247CBF" w:rsidP="00247CBF">
            <w:pPr>
              <w:spacing w:after="0"/>
              <w:rPr>
                <w:rFonts w:eastAsia="Times New Roman" w:cs="Times New Roman"/>
                <w:szCs w:val="24"/>
                <w:lang w:val="sr-Cyrl-CS"/>
              </w:rPr>
            </w:pPr>
            <w:r w:rsidRPr="00092ED7">
              <w:rPr>
                <w:rFonts w:eastAsia="Times New Roman" w:cs="Times New Roman"/>
                <w:szCs w:val="24"/>
                <w:lang w:val="sr-Cyrl-CS"/>
              </w:rPr>
              <w:t> </w:t>
            </w:r>
          </w:p>
        </w:tc>
        <w:tc>
          <w:tcPr>
            <w:tcW w:w="6387" w:type="dxa"/>
            <w:tcBorders>
              <w:top w:val="nil"/>
              <w:left w:val="nil"/>
              <w:bottom w:val="single" w:sz="8" w:space="0" w:color="auto"/>
              <w:right w:val="single" w:sz="4" w:space="0" w:color="auto"/>
            </w:tcBorders>
            <w:shd w:val="clear" w:color="auto" w:fill="auto"/>
            <w:noWrap/>
            <w:vAlign w:val="center"/>
            <w:hideMark/>
          </w:tcPr>
          <w:p w14:paraId="2BEEF02A" w14:textId="77777777" w:rsidR="00247CBF" w:rsidRPr="00092ED7" w:rsidRDefault="00247CBF" w:rsidP="00247CBF">
            <w:pPr>
              <w:spacing w:after="0"/>
              <w:jc w:val="center"/>
              <w:rPr>
                <w:rFonts w:eastAsia="Times New Roman" w:cs="Times New Roman"/>
                <w:b/>
                <w:bCs/>
                <w:sz w:val="20"/>
                <w:szCs w:val="20"/>
                <w:lang w:val="sr-Cyrl-CS"/>
              </w:rPr>
            </w:pPr>
            <w:r w:rsidRPr="00092ED7">
              <w:rPr>
                <w:rFonts w:eastAsia="Times New Roman" w:cs="Times New Roman"/>
                <w:b/>
                <w:bCs/>
                <w:sz w:val="20"/>
                <w:szCs w:val="20"/>
                <w:lang w:val="sr-Cyrl-CS"/>
              </w:rPr>
              <w:t> </w:t>
            </w:r>
          </w:p>
        </w:tc>
        <w:tc>
          <w:tcPr>
            <w:tcW w:w="1701" w:type="dxa"/>
            <w:tcBorders>
              <w:top w:val="nil"/>
              <w:left w:val="nil"/>
              <w:bottom w:val="single" w:sz="8" w:space="0" w:color="auto"/>
              <w:right w:val="single" w:sz="8" w:space="0" w:color="auto"/>
            </w:tcBorders>
            <w:shd w:val="clear" w:color="auto" w:fill="auto"/>
            <w:vAlign w:val="center"/>
            <w:hideMark/>
          </w:tcPr>
          <w:p w14:paraId="0880491D" w14:textId="77777777" w:rsidR="00247CBF" w:rsidRPr="00092ED7" w:rsidRDefault="00247CBF" w:rsidP="00247CBF">
            <w:pPr>
              <w:spacing w:after="0"/>
              <w:jc w:val="center"/>
              <w:rPr>
                <w:rFonts w:eastAsia="Times New Roman" w:cs="Times New Roman"/>
                <w:b/>
                <w:bCs/>
                <w:sz w:val="20"/>
                <w:szCs w:val="20"/>
                <w:lang w:val="sr-Cyrl-CS"/>
              </w:rPr>
            </w:pPr>
            <w:r w:rsidRPr="00092ED7">
              <w:rPr>
                <w:rFonts w:eastAsia="Times New Roman" w:cs="Times New Roman"/>
                <w:b/>
                <w:bCs/>
                <w:sz w:val="20"/>
                <w:szCs w:val="20"/>
                <w:lang w:val="sr-Cyrl-CS"/>
              </w:rPr>
              <w:t> </w:t>
            </w:r>
          </w:p>
        </w:tc>
        <w:tc>
          <w:tcPr>
            <w:tcW w:w="2126" w:type="dxa"/>
            <w:tcBorders>
              <w:top w:val="nil"/>
              <w:left w:val="nil"/>
              <w:bottom w:val="single" w:sz="8" w:space="0" w:color="auto"/>
              <w:right w:val="single" w:sz="4" w:space="0" w:color="auto"/>
            </w:tcBorders>
            <w:shd w:val="clear" w:color="auto" w:fill="auto"/>
            <w:vAlign w:val="center"/>
            <w:hideMark/>
          </w:tcPr>
          <w:p w14:paraId="3C818672" w14:textId="77777777" w:rsidR="00247CBF" w:rsidRPr="00092ED7" w:rsidRDefault="00247CBF" w:rsidP="00247CBF">
            <w:pPr>
              <w:spacing w:after="0"/>
              <w:jc w:val="center"/>
              <w:rPr>
                <w:rFonts w:eastAsia="Times New Roman" w:cs="Times New Roman"/>
                <w:b/>
                <w:bCs/>
                <w:sz w:val="20"/>
                <w:szCs w:val="20"/>
                <w:lang w:val="sr-Cyrl-CS"/>
              </w:rPr>
            </w:pPr>
            <w:r w:rsidRPr="00092ED7">
              <w:rPr>
                <w:rFonts w:eastAsia="Times New Roman" w:cs="Times New Roman"/>
                <w:b/>
                <w:bCs/>
                <w:sz w:val="20"/>
                <w:szCs w:val="20"/>
                <w:lang w:val="sr-Cyrl-CS"/>
              </w:rPr>
              <w:t>2022</w:t>
            </w:r>
          </w:p>
        </w:tc>
        <w:tc>
          <w:tcPr>
            <w:tcW w:w="2552" w:type="dxa"/>
            <w:tcBorders>
              <w:top w:val="nil"/>
              <w:left w:val="nil"/>
              <w:bottom w:val="single" w:sz="8" w:space="0" w:color="auto"/>
              <w:right w:val="double" w:sz="6" w:space="0" w:color="auto"/>
            </w:tcBorders>
            <w:shd w:val="clear" w:color="auto" w:fill="auto"/>
            <w:vAlign w:val="center"/>
            <w:hideMark/>
          </w:tcPr>
          <w:p w14:paraId="500FA3FF" w14:textId="77777777" w:rsidR="00247CBF" w:rsidRPr="00092ED7" w:rsidRDefault="00247CBF" w:rsidP="00247CBF">
            <w:pPr>
              <w:spacing w:after="0"/>
              <w:jc w:val="center"/>
              <w:rPr>
                <w:rFonts w:eastAsia="Times New Roman" w:cs="Times New Roman"/>
                <w:b/>
                <w:bCs/>
                <w:sz w:val="20"/>
                <w:szCs w:val="20"/>
                <w:lang w:val="sr-Cyrl-CS"/>
              </w:rPr>
            </w:pPr>
            <w:r w:rsidRPr="00092ED7">
              <w:rPr>
                <w:rFonts w:eastAsia="Times New Roman" w:cs="Times New Roman"/>
                <w:b/>
                <w:bCs/>
                <w:sz w:val="20"/>
                <w:szCs w:val="20"/>
                <w:lang w:val="sr-Cyrl-CS"/>
              </w:rPr>
              <w:t>2022</w:t>
            </w:r>
          </w:p>
        </w:tc>
      </w:tr>
      <w:tr w:rsidR="00247CBF" w:rsidRPr="00092ED7" w14:paraId="1E48FBF1" w14:textId="77777777" w:rsidTr="00247CBF">
        <w:trPr>
          <w:trHeight w:val="227"/>
        </w:trPr>
        <w:tc>
          <w:tcPr>
            <w:tcW w:w="1670" w:type="dxa"/>
            <w:vMerge w:val="restart"/>
            <w:tcBorders>
              <w:top w:val="single" w:sz="8" w:space="0" w:color="auto"/>
              <w:left w:val="double" w:sz="6" w:space="0" w:color="auto"/>
              <w:right w:val="single" w:sz="4" w:space="0" w:color="auto"/>
            </w:tcBorders>
            <w:shd w:val="clear" w:color="000000" w:fill="FFFFFF"/>
            <w:vAlign w:val="center"/>
            <w:hideMark/>
          </w:tcPr>
          <w:p w14:paraId="16703C12" w14:textId="77777777" w:rsidR="00247CBF" w:rsidRPr="00092ED7" w:rsidRDefault="00247CBF" w:rsidP="00247CBF">
            <w:pPr>
              <w:spacing w:after="0"/>
              <w:jc w:val="left"/>
              <w:rPr>
                <w:rFonts w:eastAsia="Times New Roman" w:cs="Times New Roman"/>
                <w:sz w:val="20"/>
                <w:szCs w:val="20"/>
                <w:lang w:val="sr-Cyrl-CS"/>
              </w:rPr>
            </w:pPr>
            <w:r w:rsidRPr="00092ED7">
              <w:rPr>
                <w:rFonts w:eastAsia="Times New Roman" w:cs="Times New Roman"/>
                <w:bCs/>
                <w:sz w:val="20"/>
                <w:szCs w:val="20"/>
                <w:lang w:val="sr-Cyrl-CS"/>
              </w:rPr>
              <w:t>Као одговор на COVID 19</w:t>
            </w:r>
          </w:p>
        </w:tc>
        <w:tc>
          <w:tcPr>
            <w:tcW w:w="6387" w:type="dxa"/>
            <w:tcBorders>
              <w:top w:val="dotted" w:sz="4" w:space="0" w:color="auto"/>
              <w:left w:val="single" w:sz="4" w:space="0" w:color="auto"/>
              <w:bottom w:val="dotted" w:sz="4" w:space="0" w:color="auto"/>
              <w:right w:val="single" w:sz="4" w:space="0" w:color="auto"/>
            </w:tcBorders>
            <w:shd w:val="clear" w:color="auto" w:fill="auto"/>
            <w:noWrap/>
            <w:vAlign w:val="bottom"/>
            <w:hideMark/>
          </w:tcPr>
          <w:p w14:paraId="6ABD481E"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w:t>
            </w:r>
          </w:p>
        </w:tc>
        <w:tc>
          <w:tcPr>
            <w:tcW w:w="1701" w:type="dxa"/>
            <w:tcBorders>
              <w:top w:val="dotted" w:sz="4" w:space="0" w:color="auto"/>
              <w:left w:val="single" w:sz="4" w:space="0" w:color="auto"/>
              <w:bottom w:val="dotted" w:sz="4" w:space="0" w:color="auto"/>
              <w:right w:val="single" w:sz="8" w:space="0" w:color="auto"/>
            </w:tcBorders>
            <w:shd w:val="clear" w:color="auto" w:fill="auto"/>
            <w:noWrap/>
            <w:vAlign w:val="center"/>
            <w:hideMark/>
          </w:tcPr>
          <w:p w14:paraId="7A84A5F9"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2126" w:type="dxa"/>
            <w:tcBorders>
              <w:top w:val="dotted" w:sz="4" w:space="0" w:color="auto"/>
              <w:left w:val="nil"/>
              <w:bottom w:val="dotted" w:sz="4" w:space="0" w:color="auto"/>
              <w:right w:val="single" w:sz="4" w:space="0" w:color="auto"/>
            </w:tcBorders>
            <w:shd w:val="clear" w:color="auto" w:fill="auto"/>
            <w:noWrap/>
            <w:vAlign w:val="center"/>
            <w:hideMark/>
          </w:tcPr>
          <w:p w14:paraId="4DE0440E"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2552" w:type="dxa"/>
            <w:tcBorders>
              <w:top w:val="dotted" w:sz="4" w:space="0" w:color="auto"/>
              <w:left w:val="nil"/>
              <w:bottom w:val="dotted" w:sz="4" w:space="0" w:color="auto"/>
              <w:right w:val="double" w:sz="6" w:space="0" w:color="auto"/>
            </w:tcBorders>
            <w:shd w:val="clear" w:color="auto" w:fill="auto"/>
            <w:noWrap/>
            <w:vAlign w:val="bottom"/>
            <w:hideMark/>
          </w:tcPr>
          <w:p w14:paraId="2F9FBE01"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r>
      <w:tr w:rsidR="00247CBF" w:rsidRPr="00092ED7" w14:paraId="40E80E3D" w14:textId="77777777" w:rsidTr="00247CBF">
        <w:trPr>
          <w:trHeight w:val="227"/>
        </w:trPr>
        <w:tc>
          <w:tcPr>
            <w:tcW w:w="1670" w:type="dxa"/>
            <w:vMerge/>
            <w:tcBorders>
              <w:left w:val="double" w:sz="6" w:space="0" w:color="auto"/>
              <w:right w:val="single" w:sz="4" w:space="0" w:color="auto"/>
            </w:tcBorders>
            <w:shd w:val="clear" w:color="000000" w:fill="FFFFFF"/>
            <w:vAlign w:val="center"/>
            <w:hideMark/>
          </w:tcPr>
          <w:p w14:paraId="70F5FC47" w14:textId="77777777" w:rsidR="00247CBF" w:rsidRPr="00092ED7" w:rsidRDefault="00247CBF" w:rsidP="00247CBF">
            <w:pPr>
              <w:spacing w:after="0"/>
              <w:rPr>
                <w:rFonts w:eastAsia="Times New Roman" w:cs="Times New Roman"/>
                <w:sz w:val="20"/>
                <w:szCs w:val="20"/>
                <w:lang w:val="sr-Cyrl-CS"/>
              </w:rPr>
            </w:pPr>
          </w:p>
        </w:tc>
        <w:tc>
          <w:tcPr>
            <w:tcW w:w="6387" w:type="dxa"/>
            <w:tcBorders>
              <w:top w:val="nil"/>
              <w:left w:val="single" w:sz="4" w:space="0" w:color="auto"/>
              <w:bottom w:val="dotted" w:sz="4" w:space="0" w:color="auto"/>
              <w:right w:val="single" w:sz="4" w:space="0" w:color="auto"/>
            </w:tcBorders>
            <w:shd w:val="clear" w:color="auto" w:fill="auto"/>
            <w:noWrap/>
            <w:vAlign w:val="bottom"/>
            <w:hideMark/>
          </w:tcPr>
          <w:p w14:paraId="27DC24AF"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w:t>
            </w:r>
          </w:p>
        </w:tc>
        <w:tc>
          <w:tcPr>
            <w:tcW w:w="1701" w:type="dxa"/>
            <w:tcBorders>
              <w:top w:val="nil"/>
              <w:left w:val="single" w:sz="4" w:space="0" w:color="auto"/>
              <w:bottom w:val="dotted" w:sz="4" w:space="0" w:color="auto"/>
              <w:right w:val="single" w:sz="8" w:space="0" w:color="auto"/>
            </w:tcBorders>
            <w:shd w:val="clear" w:color="auto" w:fill="auto"/>
            <w:noWrap/>
            <w:vAlign w:val="center"/>
            <w:hideMark/>
          </w:tcPr>
          <w:p w14:paraId="43780ED6"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2126" w:type="dxa"/>
            <w:tcBorders>
              <w:top w:val="nil"/>
              <w:left w:val="nil"/>
              <w:bottom w:val="dotted" w:sz="4" w:space="0" w:color="auto"/>
              <w:right w:val="single" w:sz="4" w:space="0" w:color="auto"/>
            </w:tcBorders>
            <w:shd w:val="clear" w:color="auto" w:fill="auto"/>
            <w:noWrap/>
            <w:vAlign w:val="center"/>
            <w:hideMark/>
          </w:tcPr>
          <w:p w14:paraId="6FDE0999"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2552" w:type="dxa"/>
            <w:tcBorders>
              <w:top w:val="nil"/>
              <w:left w:val="nil"/>
              <w:bottom w:val="dotted" w:sz="4" w:space="0" w:color="auto"/>
              <w:right w:val="double" w:sz="6" w:space="0" w:color="auto"/>
            </w:tcBorders>
            <w:shd w:val="clear" w:color="auto" w:fill="auto"/>
            <w:noWrap/>
            <w:vAlign w:val="bottom"/>
            <w:hideMark/>
          </w:tcPr>
          <w:p w14:paraId="342314F7"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r>
      <w:tr w:rsidR="00247CBF" w:rsidRPr="00092ED7" w14:paraId="38421B70" w14:textId="77777777" w:rsidTr="00247CBF">
        <w:trPr>
          <w:trHeight w:val="227"/>
        </w:trPr>
        <w:tc>
          <w:tcPr>
            <w:tcW w:w="1670" w:type="dxa"/>
            <w:vMerge/>
            <w:tcBorders>
              <w:left w:val="double" w:sz="6" w:space="0" w:color="auto"/>
              <w:right w:val="single" w:sz="4" w:space="0" w:color="auto"/>
            </w:tcBorders>
            <w:shd w:val="clear" w:color="000000" w:fill="FFFFFF"/>
            <w:vAlign w:val="center"/>
            <w:hideMark/>
          </w:tcPr>
          <w:p w14:paraId="21771114" w14:textId="77777777" w:rsidR="00247CBF" w:rsidRPr="00092ED7" w:rsidRDefault="00247CBF" w:rsidP="00247CBF">
            <w:pPr>
              <w:spacing w:after="0"/>
              <w:rPr>
                <w:rFonts w:eastAsia="Times New Roman" w:cs="Times New Roman"/>
                <w:sz w:val="20"/>
                <w:szCs w:val="20"/>
                <w:lang w:val="sr-Cyrl-CS"/>
              </w:rPr>
            </w:pPr>
          </w:p>
        </w:tc>
        <w:tc>
          <w:tcPr>
            <w:tcW w:w="6387" w:type="dxa"/>
            <w:tcBorders>
              <w:top w:val="nil"/>
              <w:left w:val="single" w:sz="4" w:space="0" w:color="auto"/>
              <w:bottom w:val="dotted" w:sz="4" w:space="0" w:color="auto"/>
              <w:right w:val="single" w:sz="4" w:space="0" w:color="auto"/>
            </w:tcBorders>
            <w:shd w:val="clear" w:color="auto" w:fill="auto"/>
            <w:noWrap/>
            <w:vAlign w:val="bottom"/>
            <w:hideMark/>
          </w:tcPr>
          <w:p w14:paraId="6FD6FAB7"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w:t>
            </w:r>
          </w:p>
        </w:tc>
        <w:tc>
          <w:tcPr>
            <w:tcW w:w="1701" w:type="dxa"/>
            <w:tcBorders>
              <w:top w:val="nil"/>
              <w:left w:val="single" w:sz="4" w:space="0" w:color="auto"/>
              <w:bottom w:val="dotted" w:sz="4" w:space="0" w:color="auto"/>
              <w:right w:val="single" w:sz="8" w:space="0" w:color="auto"/>
            </w:tcBorders>
            <w:shd w:val="clear" w:color="auto" w:fill="auto"/>
            <w:noWrap/>
            <w:vAlign w:val="center"/>
            <w:hideMark/>
          </w:tcPr>
          <w:p w14:paraId="255D1F24"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2126" w:type="dxa"/>
            <w:tcBorders>
              <w:top w:val="nil"/>
              <w:left w:val="nil"/>
              <w:bottom w:val="dotted" w:sz="4" w:space="0" w:color="auto"/>
              <w:right w:val="single" w:sz="4" w:space="0" w:color="auto"/>
            </w:tcBorders>
            <w:shd w:val="clear" w:color="auto" w:fill="auto"/>
            <w:noWrap/>
            <w:vAlign w:val="center"/>
            <w:hideMark/>
          </w:tcPr>
          <w:p w14:paraId="008067D9"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2552" w:type="dxa"/>
            <w:tcBorders>
              <w:top w:val="nil"/>
              <w:left w:val="nil"/>
              <w:bottom w:val="dotted" w:sz="4" w:space="0" w:color="auto"/>
              <w:right w:val="double" w:sz="6" w:space="0" w:color="auto"/>
            </w:tcBorders>
            <w:shd w:val="clear" w:color="auto" w:fill="auto"/>
            <w:noWrap/>
            <w:vAlign w:val="bottom"/>
            <w:hideMark/>
          </w:tcPr>
          <w:p w14:paraId="591C930C"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r>
      <w:tr w:rsidR="00247CBF" w:rsidRPr="00092ED7" w14:paraId="6149C626" w14:textId="77777777" w:rsidTr="00247CBF">
        <w:trPr>
          <w:trHeight w:val="227"/>
        </w:trPr>
        <w:tc>
          <w:tcPr>
            <w:tcW w:w="1670" w:type="dxa"/>
            <w:vMerge/>
            <w:tcBorders>
              <w:left w:val="double" w:sz="6" w:space="0" w:color="auto"/>
              <w:right w:val="single" w:sz="4" w:space="0" w:color="auto"/>
            </w:tcBorders>
            <w:shd w:val="clear" w:color="000000" w:fill="FFFFFF"/>
            <w:vAlign w:val="center"/>
            <w:hideMark/>
          </w:tcPr>
          <w:p w14:paraId="5B236217" w14:textId="77777777" w:rsidR="00247CBF" w:rsidRPr="00092ED7" w:rsidRDefault="00247CBF" w:rsidP="00247CBF">
            <w:pPr>
              <w:spacing w:after="0"/>
              <w:rPr>
                <w:rFonts w:eastAsia="Times New Roman" w:cs="Times New Roman"/>
                <w:sz w:val="20"/>
                <w:szCs w:val="20"/>
                <w:lang w:val="sr-Cyrl-CS"/>
              </w:rPr>
            </w:pPr>
          </w:p>
        </w:tc>
        <w:tc>
          <w:tcPr>
            <w:tcW w:w="6387" w:type="dxa"/>
            <w:tcBorders>
              <w:top w:val="nil"/>
              <w:left w:val="single" w:sz="4" w:space="0" w:color="auto"/>
              <w:bottom w:val="dotted" w:sz="4" w:space="0" w:color="auto"/>
              <w:right w:val="single" w:sz="4" w:space="0" w:color="auto"/>
            </w:tcBorders>
            <w:shd w:val="clear" w:color="auto" w:fill="auto"/>
            <w:noWrap/>
            <w:vAlign w:val="bottom"/>
            <w:hideMark/>
          </w:tcPr>
          <w:p w14:paraId="7776F45A"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w:t>
            </w:r>
          </w:p>
        </w:tc>
        <w:tc>
          <w:tcPr>
            <w:tcW w:w="1701" w:type="dxa"/>
            <w:tcBorders>
              <w:top w:val="nil"/>
              <w:left w:val="single" w:sz="4" w:space="0" w:color="auto"/>
              <w:bottom w:val="dotted" w:sz="4" w:space="0" w:color="auto"/>
              <w:right w:val="single" w:sz="8" w:space="0" w:color="auto"/>
            </w:tcBorders>
            <w:shd w:val="clear" w:color="auto" w:fill="auto"/>
            <w:noWrap/>
            <w:vAlign w:val="center"/>
            <w:hideMark/>
          </w:tcPr>
          <w:p w14:paraId="29892565"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2126" w:type="dxa"/>
            <w:tcBorders>
              <w:top w:val="nil"/>
              <w:left w:val="nil"/>
              <w:bottom w:val="dotted" w:sz="4" w:space="0" w:color="auto"/>
              <w:right w:val="single" w:sz="4" w:space="0" w:color="auto"/>
            </w:tcBorders>
            <w:shd w:val="clear" w:color="auto" w:fill="auto"/>
            <w:noWrap/>
            <w:vAlign w:val="center"/>
            <w:hideMark/>
          </w:tcPr>
          <w:p w14:paraId="0D6C618C"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2552" w:type="dxa"/>
            <w:tcBorders>
              <w:top w:val="nil"/>
              <w:left w:val="nil"/>
              <w:bottom w:val="dotted" w:sz="4" w:space="0" w:color="auto"/>
              <w:right w:val="double" w:sz="6" w:space="0" w:color="auto"/>
            </w:tcBorders>
            <w:shd w:val="clear" w:color="auto" w:fill="auto"/>
            <w:noWrap/>
            <w:vAlign w:val="bottom"/>
            <w:hideMark/>
          </w:tcPr>
          <w:p w14:paraId="11E6E0C6"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r>
      <w:tr w:rsidR="00247CBF" w:rsidRPr="00092ED7" w14:paraId="2DDEC74E" w14:textId="77777777" w:rsidTr="00247CBF">
        <w:trPr>
          <w:trHeight w:val="227"/>
        </w:trPr>
        <w:tc>
          <w:tcPr>
            <w:tcW w:w="1670" w:type="dxa"/>
            <w:vMerge/>
            <w:tcBorders>
              <w:left w:val="double" w:sz="6" w:space="0" w:color="auto"/>
              <w:right w:val="single" w:sz="4" w:space="0" w:color="auto"/>
            </w:tcBorders>
            <w:shd w:val="clear" w:color="000000" w:fill="FFFFFF"/>
            <w:vAlign w:val="center"/>
            <w:hideMark/>
          </w:tcPr>
          <w:p w14:paraId="66437ED0" w14:textId="77777777" w:rsidR="00247CBF" w:rsidRPr="00092ED7" w:rsidRDefault="00247CBF" w:rsidP="00247CBF">
            <w:pPr>
              <w:spacing w:after="0"/>
              <w:rPr>
                <w:rFonts w:eastAsia="Times New Roman" w:cs="Times New Roman"/>
                <w:sz w:val="20"/>
                <w:szCs w:val="20"/>
                <w:lang w:val="sr-Cyrl-CS"/>
              </w:rPr>
            </w:pPr>
          </w:p>
        </w:tc>
        <w:tc>
          <w:tcPr>
            <w:tcW w:w="6387" w:type="dxa"/>
            <w:tcBorders>
              <w:top w:val="nil"/>
              <w:left w:val="single" w:sz="4" w:space="0" w:color="auto"/>
              <w:bottom w:val="dotted" w:sz="4" w:space="0" w:color="auto"/>
              <w:right w:val="single" w:sz="4" w:space="0" w:color="auto"/>
            </w:tcBorders>
            <w:shd w:val="clear" w:color="auto" w:fill="auto"/>
            <w:noWrap/>
            <w:vAlign w:val="bottom"/>
            <w:hideMark/>
          </w:tcPr>
          <w:p w14:paraId="4664D7B1"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w:t>
            </w:r>
          </w:p>
        </w:tc>
        <w:tc>
          <w:tcPr>
            <w:tcW w:w="1701" w:type="dxa"/>
            <w:tcBorders>
              <w:top w:val="nil"/>
              <w:left w:val="single" w:sz="4" w:space="0" w:color="auto"/>
              <w:bottom w:val="dotted" w:sz="4" w:space="0" w:color="auto"/>
              <w:right w:val="single" w:sz="8" w:space="0" w:color="auto"/>
            </w:tcBorders>
            <w:shd w:val="clear" w:color="auto" w:fill="auto"/>
            <w:noWrap/>
            <w:vAlign w:val="center"/>
            <w:hideMark/>
          </w:tcPr>
          <w:p w14:paraId="25B36AE2"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2126" w:type="dxa"/>
            <w:tcBorders>
              <w:top w:val="nil"/>
              <w:left w:val="nil"/>
              <w:bottom w:val="dotted" w:sz="4" w:space="0" w:color="auto"/>
              <w:right w:val="single" w:sz="4" w:space="0" w:color="auto"/>
            </w:tcBorders>
            <w:shd w:val="clear" w:color="auto" w:fill="auto"/>
            <w:noWrap/>
            <w:vAlign w:val="center"/>
            <w:hideMark/>
          </w:tcPr>
          <w:p w14:paraId="6F1821D0"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2552" w:type="dxa"/>
            <w:tcBorders>
              <w:top w:val="nil"/>
              <w:left w:val="nil"/>
              <w:bottom w:val="dotted" w:sz="4" w:space="0" w:color="auto"/>
              <w:right w:val="double" w:sz="6" w:space="0" w:color="auto"/>
            </w:tcBorders>
            <w:shd w:val="clear" w:color="auto" w:fill="auto"/>
            <w:noWrap/>
            <w:vAlign w:val="bottom"/>
            <w:hideMark/>
          </w:tcPr>
          <w:p w14:paraId="0BD60DDE"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r>
      <w:tr w:rsidR="00247CBF" w:rsidRPr="00092ED7" w14:paraId="6C1A8216" w14:textId="77777777" w:rsidTr="00247CBF">
        <w:trPr>
          <w:trHeight w:val="227"/>
        </w:trPr>
        <w:tc>
          <w:tcPr>
            <w:tcW w:w="1670" w:type="dxa"/>
            <w:vMerge/>
            <w:tcBorders>
              <w:left w:val="double" w:sz="6" w:space="0" w:color="auto"/>
              <w:bottom w:val="nil"/>
              <w:right w:val="single" w:sz="4" w:space="0" w:color="auto"/>
            </w:tcBorders>
            <w:shd w:val="clear" w:color="000000" w:fill="FFFFFF"/>
            <w:vAlign w:val="center"/>
            <w:hideMark/>
          </w:tcPr>
          <w:p w14:paraId="5690C404" w14:textId="77777777" w:rsidR="00247CBF" w:rsidRPr="00092ED7" w:rsidRDefault="00247CBF" w:rsidP="00247CBF">
            <w:pPr>
              <w:spacing w:after="0"/>
              <w:rPr>
                <w:rFonts w:eastAsia="Times New Roman" w:cs="Times New Roman"/>
                <w:sz w:val="20"/>
                <w:szCs w:val="20"/>
                <w:lang w:val="sr-Cyrl-CS"/>
              </w:rPr>
            </w:pPr>
          </w:p>
        </w:tc>
        <w:tc>
          <w:tcPr>
            <w:tcW w:w="6387" w:type="dxa"/>
            <w:tcBorders>
              <w:top w:val="single" w:sz="8" w:space="0" w:color="auto"/>
              <w:left w:val="nil"/>
              <w:bottom w:val="single" w:sz="8" w:space="0" w:color="auto"/>
              <w:right w:val="nil"/>
            </w:tcBorders>
            <w:shd w:val="clear" w:color="auto" w:fill="auto"/>
            <w:noWrap/>
            <w:vAlign w:val="center"/>
            <w:hideMark/>
          </w:tcPr>
          <w:p w14:paraId="0ABCAEA4"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b/>
                <w:bCs/>
                <w:sz w:val="20"/>
                <w:szCs w:val="20"/>
                <w:lang w:val="sr-Cyrl-CS"/>
              </w:rPr>
              <w:t>Међузбир</w:t>
            </w:r>
          </w:p>
        </w:tc>
        <w:tc>
          <w:tcPr>
            <w:tcW w:w="1701" w:type="dxa"/>
            <w:tcBorders>
              <w:top w:val="single" w:sz="8" w:space="0" w:color="auto"/>
              <w:left w:val="single" w:sz="4" w:space="0" w:color="auto"/>
              <w:bottom w:val="single" w:sz="8" w:space="0" w:color="auto"/>
              <w:right w:val="single" w:sz="8" w:space="0" w:color="auto"/>
            </w:tcBorders>
            <w:shd w:val="clear" w:color="auto" w:fill="auto"/>
            <w:noWrap/>
            <w:vAlign w:val="bottom"/>
            <w:hideMark/>
          </w:tcPr>
          <w:p w14:paraId="03846D3F"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b/>
                <w:bCs/>
                <w:sz w:val="20"/>
                <w:szCs w:val="20"/>
                <w:lang w:val="sr-Cyrl-CS"/>
              </w:rPr>
              <w:t>% БДП</w:t>
            </w:r>
          </w:p>
        </w:tc>
        <w:tc>
          <w:tcPr>
            <w:tcW w:w="2126" w:type="dxa"/>
            <w:tcBorders>
              <w:top w:val="single" w:sz="8" w:space="0" w:color="auto"/>
              <w:left w:val="nil"/>
              <w:bottom w:val="single" w:sz="8" w:space="0" w:color="auto"/>
              <w:right w:val="single" w:sz="4" w:space="0" w:color="auto"/>
            </w:tcBorders>
            <w:shd w:val="clear" w:color="auto" w:fill="auto"/>
            <w:noWrap/>
            <w:vAlign w:val="bottom"/>
            <w:hideMark/>
          </w:tcPr>
          <w:p w14:paraId="0A5FCF0D"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b/>
                <w:bCs/>
                <w:sz w:val="20"/>
                <w:szCs w:val="20"/>
                <w:lang w:val="sr-Cyrl-CS"/>
              </w:rPr>
              <w:t>0,0</w:t>
            </w:r>
          </w:p>
        </w:tc>
        <w:tc>
          <w:tcPr>
            <w:tcW w:w="2552" w:type="dxa"/>
            <w:tcBorders>
              <w:top w:val="single" w:sz="8" w:space="0" w:color="auto"/>
              <w:left w:val="nil"/>
              <w:bottom w:val="single" w:sz="8" w:space="0" w:color="auto"/>
              <w:right w:val="double" w:sz="6" w:space="0" w:color="auto"/>
            </w:tcBorders>
            <w:shd w:val="clear" w:color="auto" w:fill="auto"/>
            <w:noWrap/>
            <w:vAlign w:val="bottom"/>
            <w:hideMark/>
          </w:tcPr>
          <w:p w14:paraId="1896CBF0"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b/>
                <w:bCs/>
                <w:sz w:val="20"/>
                <w:szCs w:val="20"/>
                <w:lang w:val="sr-Cyrl-CS"/>
              </w:rPr>
              <w:t>0,0</w:t>
            </w:r>
          </w:p>
        </w:tc>
      </w:tr>
      <w:tr w:rsidR="00247CBF" w:rsidRPr="00092ED7" w14:paraId="4A002C33" w14:textId="77777777" w:rsidTr="00247CBF">
        <w:trPr>
          <w:trHeight w:val="227"/>
        </w:trPr>
        <w:tc>
          <w:tcPr>
            <w:tcW w:w="1670" w:type="dxa"/>
            <w:vMerge w:val="restart"/>
            <w:tcBorders>
              <w:top w:val="single" w:sz="8" w:space="0" w:color="auto"/>
              <w:left w:val="double" w:sz="6" w:space="0" w:color="auto"/>
              <w:right w:val="single" w:sz="4" w:space="0" w:color="auto"/>
            </w:tcBorders>
            <w:shd w:val="clear" w:color="000000" w:fill="FFFFFF"/>
            <w:vAlign w:val="center"/>
            <w:hideMark/>
          </w:tcPr>
          <w:p w14:paraId="4FFD8645" w14:textId="77777777" w:rsidR="00247CBF" w:rsidRPr="00092ED7" w:rsidRDefault="00247CBF" w:rsidP="00247CBF">
            <w:pPr>
              <w:spacing w:after="0"/>
              <w:jc w:val="left"/>
              <w:rPr>
                <w:rFonts w:eastAsia="Times New Roman" w:cs="Times New Roman"/>
                <w:sz w:val="20"/>
                <w:szCs w:val="20"/>
                <w:lang w:val="sr-Cyrl-CS"/>
              </w:rPr>
            </w:pPr>
            <w:r w:rsidRPr="00092ED7">
              <w:rPr>
                <w:rFonts w:eastAsia="Times New Roman" w:cs="Times New Roman"/>
                <w:bCs/>
                <w:sz w:val="20"/>
                <w:szCs w:val="20"/>
                <w:lang w:val="sr-Cyrl-CS"/>
              </w:rPr>
              <w:t>Oстало</w:t>
            </w:r>
          </w:p>
        </w:tc>
        <w:tc>
          <w:tcPr>
            <w:tcW w:w="6387" w:type="dxa"/>
            <w:tcBorders>
              <w:top w:val="dotted" w:sz="4" w:space="0" w:color="auto"/>
              <w:left w:val="single" w:sz="4" w:space="0" w:color="auto"/>
              <w:bottom w:val="dotted" w:sz="4" w:space="0" w:color="auto"/>
              <w:right w:val="single" w:sz="4" w:space="0" w:color="auto"/>
            </w:tcBorders>
            <w:shd w:val="clear" w:color="auto" w:fill="auto"/>
            <w:noWrap/>
            <w:vAlign w:val="bottom"/>
            <w:hideMark/>
          </w:tcPr>
          <w:p w14:paraId="4C14DDB5"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Србијагас</w:t>
            </w:r>
          </w:p>
        </w:tc>
        <w:tc>
          <w:tcPr>
            <w:tcW w:w="1701" w:type="dxa"/>
            <w:tcBorders>
              <w:top w:val="dotted" w:sz="4" w:space="0" w:color="auto"/>
              <w:left w:val="single" w:sz="4" w:space="0" w:color="auto"/>
              <w:bottom w:val="dotted" w:sz="4" w:space="0" w:color="auto"/>
              <w:right w:val="single" w:sz="8" w:space="0" w:color="auto"/>
            </w:tcBorders>
            <w:shd w:val="clear" w:color="auto" w:fill="auto"/>
            <w:noWrap/>
            <w:vAlign w:val="center"/>
            <w:hideMark/>
          </w:tcPr>
          <w:p w14:paraId="578A3E05" w14:textId="77777777" w:rsidR="00247CBF" w:rsidRPr="00092ED7" w:rsidRDefault="00247CBF" w:rsidP="00247CBF">
            <w:pPr>
              <w:spacing w:after="0"/>
              <w:jc w:val="center"/>
              <w:rPr>
                <w:rFonts w:eastAsia="Times New Roman" w:cs="Times New Roman"/>
                <w:sz w:val="20"/>
                <w:szCs w:val="20"/>
                <w:lang w:val="sr-Cyrl-CS"/>
              </w:rPr>
            </w:pPr>
          </w:p>
        </w:tc>
        <w:tc>
          <w:tcPr>
            <w:tcW w:w="2126" w:type="dxa"/>
            <w:tcBorders>
              <w:top w:val="dotted" w:sz="4" w:space="0" w:color="auto"/>
              <w:left w:val="nil"/>
              <w:bottom w:val="dotted" w:sz="4" w:space="0" w:color="auto"/>
              <w:right w:val="single" w:sz="4" w:space="0" w:color="auto"/>
            </w:tcBorders>
            <w:shd w:val="clear" w:color="auto" w:fill="auto"/>
            <w:noWrap/>
            <w:vAlign w:val="center"/>
            <w:hideMark/>
          </w:tcPr>
          <w:p w14:paraId="6D7A3AC7"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0,3</w:t>
            </w:r>
          </w:p>
        </w:tc>
        <w:tc>
          <w:tcPr>
            <w:tcW w:w="2552" w:type="dxa"/>
            <w:tcBorders>
              <w:top w:val="dotted" w:sz="4" w:space="0" w:color="auto"/>
              <w:left w:val="nil"/>
              <w:bottom w:val="dotted" w:sz="4" w:space="0" w:color="auto"/>
              <w:right w:val="double" w:sz="6" w:space="0" w:color="auto"/>
            </w:tcBorders>
            <w:shd w:val="clear" w:color="auto" w:fill="auto"/>
            <w:noWrap/>
            <w:vAlign w:val="bottom"/>
            <w:hideMark/>
          </w:tcPr>
          <w:p w14:paraId="052DD2E4"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r>
      <w:tr w:rsidR="00247CBF" w:rsidRPr="00092ED7" w14:paraId="1F563FD8" w14:textId="77777777" w:rsidTr="00247CBF">
        <w:trPr>
          <w:trHeight w:val="227"/>
        </w:trPr>
        <w:tc>
          <w:tcPr>
            <w:tcW w:w="1670" w:type="dxa"/>
            <w:vMerge/>
            <w:tcBorders>
              <w:left w:val="double" w:sz="6" w:space="0" w:color="auto"/>
              <w:right w:val="single" w:sz="4" w:space="0" w:color="auto"/>
            </w:tcBorders>
            <w:shd w:val="clear" w:color="000000" w:fill="FFFFFF"/>
            <w:vAlign w:val="center"/>
            <w:hideMark/>
          </w:tcPr>
          <w:p w14:paraId="03AC8349" w14:textId="77777777" w:rsidR="00247CBF" w:rsidRPr="00092ED7" w:rsidRDefault="00247CBF" w:rsidP="00247CBF">
            <w:pPr>
              <w:spacing w:after="0"/>
              <w:jc w:val="center"/>
              <w:rPr>
                <w:rFonts w:eastAsia="Times New Roman" w:cs="Times New Roman"/>
                <w:sz w:val="20"/>
                <w:szCs w:val="20"/>
                <w:lang w:val="sr-Cyrl-CS"/>
              </w:rPr>
            </w:pPr>
          </w:p>
        </w:tc>
        <w:tc>
          <w:tcPr>
            <w:tcW w:w="6387" w:type="dxa"/>
            <w:tcBorders>
              <w:top w:val="nil"/>
              <w:left w:val="nil"/>
              <w:bottom w:val="dotted" w:sz="4" w:space="0" w:color="auto"/>
              <w:right w:val="single" w:sz="4" w:space="0" w:color="auto"/>
            </w:tcBorders>
            <w:shd w:val="clear" w:color="auto" w:fill="auto"/>
            <w:vAlign w:val="bottom"/>
            <w:hideMark/>
          </w:tcPr>
          <w:p w14:paraId="0C354A6F" w14:textId="77777777" w:rsidR="00247CBF" w:rsidRPr="00092ED7" w:rsidRDefault="00247CBF" w:rsidP="00247CBF">
            <w:pPr>
              <w:spacing w:after="0"/>
              <w:jc w:val="center"/>
              <w:rPr>
                <w:rFonts w:eastAsia="Times New Roman" w:cs="Times New Roman"/>
                <w:b/>
                <w:bCs/>
                <w:sz w:val="20"/>
                <w:szCs w:val="20"/>
                <w:lang w:val="sr-Cyrl-CS"/>
              </w:rPr>
            </w:pPr>
          </w:p>
        </w:tc>
        <w:tc>
          <w:tcPr>
            <w:tcW w:w="1701" w:type="dxa"/>
            <w:tcBorders>
              <w:top w:val="nil"/>
              <w:left w:val="single" w:sz="4" w:space="0" w:color="auto"/>
              <w:bottom w:val="dotted" w:sz="4" w:space="0" w:color="auto"/>
              <w:right w:val="single" w:sz="8" w:space="0" w:color="auto"/>
            </w:tcBorders>
            <w:shd w:val="clear" w:color="auto" w:fill="auto"/>
            <w:noWrap/>
            <w:vAlign w:val="center"/>
            <w:hideMark/>
          </w:tcPr>
          <w:p w14:paraId="73753FAA" w14:textId="77777777" w:rsidR="00247CBF" w:rsidRPr="00092ED7" w:rsidRDefault="00247CBF" w:rsidP="00247CBF">
            <w:pPr>
              <w:spacing w:after="0"/>
              <w:jc w:val="center"/>
              <w:rPr>
                <w:rFonts w:eastAsia="Times New Roman" w:cs="Times New Roman"/>
                <w:b/>
                <w:bCs/>
                <w:sz w:val="20"/>
                <w:szCs w:val="20"/>
                <w:lang w:val="sr-Cyrl-CS"/>
              </w:rPr>
            </w:pPr>
            <w:r w:rsidRPr="00092ED7">
              <w:rPr>
                <w:rFonts w:eastAsia="Times New Roman" w:cs="Times New Roman"/>
                <w:sz w:val="20"/>
                <w:szCs w:val="20"/>
                <w:lang w:val="sr-Cyrl-CS"/>
              </w:rPr>
              <w:t>:</w:t>
            </w:r>
          </w:p>
        </w:tc>
        <w:tc>
          <w:tcPr>
            <w:tcW w:w="2126" w:type="dxa"/>
            <w:tcBorders>
              <w:top w:val="nil"/>
              <w:left w:val="nil"/>
              <w:bottom w:val="dotted" w:sz="4" w:space="0" w:color="auto"/>
              <w:right w:val="single" w:sz="4" w:space="0" w:color="auto"/>
            </w:tcBorders>
            <w:shd w:val="clear" w:color="auto" w:fill="auto"/>
            <w:noWrap/>
            <w:vAlign w:val="center"/>
            <w:hideMark/>
          </w:tcPr>
          <w:p w14:paraId="74185790" w14:textId="77777777" w:rsidR="00247CBF" w:rsidRPr="00092ED7" w:rsidRDefault="00247CBF" w:rsidP="00247CBF">
            <w:pPr>
              <w:spacing w:after="0"/>
              <w:jc w:val="center"/>
              <w:rPr>
                <w:rFonts w:eastAsia="Times New Roman" w:cs="Times New Roman"/>
                <w:b/>
                <w:bCs/>
                <w:sz w:val="20"/>
                <w:szCs w:val="20"/>
                <w:lang w:val="sr-Cyrl-CS"/>
              </w:rPr>
            </w:pPr>
          </w:p>
        </w:tc>
        <w:tc>
          <w:tcPr>
            <w:tcW w:w="2552" w:type="dxa"/>
            <w:tcBorders>
              <w:top w:val="nil"/>
              <w:left w:val="nil"/>
              <w:bottom w:val="dotted" w:sz="4" w:space="0" w:color="auto"/>
              <w:right w:val="double" w:sz="6" w:space="0" w:color="auto"/>
            </w:tcBorders>
            <w:shd w:val="clear" w:color="auto" w:fill="auto"/>
            <w:noWrap/>
            <w:vAlign w:val="bottom"/>
            <w:hideMark/>
          </w:tcPr>
          <w:p w14:paraId="64E4246C" w14:textId="77777777" w:rsidR="00247CBF" w:rsidRPr="00092ED7" w:rsidRDefault="00247CBF" w:rsidP="00247CBF">
            <w:pPr>
              <w:spacing w:after="0"/>
              <w:jc w:val="center"/>
              <w:rPr>
                <w:rFonts w:eastAsia="Times New Roman" w:cs="Times New Roman"/>
                <w:b/>
                <w:bCs/>
                <w:sz w:val="20"/>
                <w:szCs w:val="20"/>
                <w:lang w:val="sr-Cyrl-CS"/>
              </w:rPr>
            </w:pPr>
            <w:r w:rsidRPr="00092ED7">
              <w:rPr>
                <w:rFonts w:eastAsia="Times New Roman" w:cs="Times New Roman"/>
                <w:sz w:val="20"/>
                <w:szCs w:val="20"/>
                <w:lang w:val="sr-Cyrl-CS"/>
              </w:rPr>
              <w:t>:</w:t>
            </w:r>
          </w:p>
        </w:tc>
      </w:tr>
      <w:tr w:rsidR="00247CBF" w:rsidRPr="00092ED7" w14:paraId="075696C6" w14:textId="77777777" w:rsidTr="00247CBF">
        <w:trPr>
          <w:trHeight w:val="227"/>
        </w:trPr>
        <w:tc>
          <w:tcPr>
            <w:tcW w:w="1670" w:type="dxa"/>
            <w:vMerge/>
            <w:tcBorders>
              <w:left w:val="double" w:sz="6" w:space="0" w:color="auto"/>
              <w:right w:val="single" w:sz="4" w:space="0" w:color="auto"/>
            </w:tcBorders>
            <w:shd w:val="clear" w:color="000000" w:fill="FFFFFF"/>
            <w:vAlign w:val="center"/>
            <w:hideMark/>
          </w:tcPr>
          <w:p w14:paraId="4ADBF791" w14:textId="77777777" w:rsidR="00247CBF" w:rsidRPr="00092ED7" w:rsidRDefault="00247CBF" w:rsidP="00247CBF">
            <w:pPr>
              <w:spacing w:after="0"/>
              <w:jc w:val="center"/>
              <w:rPr>
                <w:rFonts w:eastAsia="Times New Roman" w:cs="Times New Roman"/>
                <w:sz w:val="20"/>
                <w:szCs w:val="20"/>
                <w:lang w:val="sr-Cyrl-CS"/>
              </w:rPr>
            </w:pPr>
          </w:p>
        </w:tc>
        <w:tc>
          <w:tcPr>
            <w:tcW w:w="6387" w:type="dxa"/>
            <w:tcBorders>
              <w:top w:val="nil"/>
              <w:left w:val="nil"/>
              <w:bottom w:val="dotted" w:sz="4" w:space="0" w:color="auto"/>
              <w:right w:val="single" w:sz="4" w:space="0" w:color="auto"/>
            </w:tcBorders>
            <w:shd w:val="clear" w:color="auto" w:fill="auto"/>
            <w:noWrap/>
            <w:vAlign w:val="bottom"/>
          </w:tcPr>
          <w:p w14:paraId="73B5550F" w14:textId="77777777" w:rsidR="00247CBF" w:rsidRPr="00092ED7" w:rsidRDefault="00247CBF" w:rsidP="00247CBF">
            <w:pPr>
              <w:spacing w:after="0"/>
              <w:rPr>
                <w:rFonts w:eastAsia="Times New Roman" w:cs="Times New Roman"/>
                <w:sz w:val="20"/>
                <w:szCs w:val="20"/>
                <w:lang w:val="sr-Cyrl-CS"/>
              </w:rPr>
            </w:pPr>
          </w:p>
        </w:tc>
        <w:tc>
          <w:tcPr>
            <w:tcW w:w="1701" w:type="dxa"/>
            <w:tcBorders>
              <w:top w:val="nil"/>
              <w:left w:val="single" w:sz="4" w:space="0" w:color="auto"/>
              <w:bottom w:val="dotted" w:sz="4" w:space="0" w:color="auto"/>
              <w:right w:val="single" w:sz="8" w:space="0" w:color="auto"/>
            </w:tcBorders>
            <w:shd w:val="clear" w:color="auto" w:fill="auto"/>
            <w:noWrap/>
            <w:vAlign w:val="center"/>
          </w:tcPr>
          <w:p w14:paraId="0E8D030F"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2126" w:type="dxa"/>
            <w:tcBorders>
              <w:top w:val="nil"/>
              <w:left w:val="nil"/>
              <w:bottom w:val="dotted" w:sz="4" w:space="0" w:color="auto"/>
              <w:right w:val="single" w:sz="4" w:space="0" w:color="auto"/>
            </w:tcBorders>
            <w:shd w:val="clear" w:color="auto" w:fill="auto"/>
            <w:noWrap/>
            <w:vAlign w:val="center"/>
          </w:tcPr>
          <w:p w14:paraId="52BB0B6C" w14:textId="77777777" w:rsidR="00247CBF" w:rsidRPr="00092ED7" w:rsidRDefault="00247CBF" w:rsidP="00247CBF">
            <w:pPr>
              <w:spacing w:after="0"/>
              <w:jc w:val="center"/>
              <w:rPr>
                <w:rFonts w:eastAsia="Times New Roman" w:cs="Times New Roman"/>
                <w:sz w:val="20"/>
                <w:szCs w:val="20"/>
                <w:lang w:val="sr-Cyrl-CS"/>
              </w:rPr>
            </w:pPr>
          </w:p>
        </w:tc>
        <w:tc>
          <w:tcPr>
            <w:tcW w:w="2552" w:type="dxa"/>
            <w:tcBorders>
              <w:top w:val="nil"/>
              <w:left w:val="nil"/>
              <w:bottom w:val="dotted" w:sz="4" w:space="0" w:color="auto"/>
              <w:right w:val="double" w:sz="6" w:space="0" w:color="auto"/>
            </w:tcBorders>
            <w:shd w:val="clear" w:color="auto" w:fill="auto"/>
            <w:noWrap/>
            <w:vAlign w:val="bottom"/>
            <w:hideMark/>
          </w:tcPr>
          <w:p w14:paraId="6CB2182E"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r>
      <w:tr w:rsidR="00247CBF" w:rsidRPr="00092ED7" w14:paraId="1C193157" w14:textId="77777777" w:rsidTr="00247CBF">
        <w:trPr>
          <w:trHeight w:val="227"/>
        </w:trPr>
        <w:tc>
          <w:tcPr>
            <w:tcW w:w="1670" w:type="dxa"/>
            <w:vMerge/>
            <w:tcBorders>
              <w:left w:val="double" w:sz="6" w:space="0" w:color="auto"/>
              <w:right w:val="single" w:sz="4" w:space="0" w:color="auto"/>
            </w:tcBorders>
            <w:shd w:val="clear" w:color="000000" w:fill="FFFFFF"/>
            <w:vAlign w:val="center"/>
            <w:hideMark/>
          </w:tcPr>
          <w:p w14:paraId="1FE2D95D" w14:textId="77777777" w:rsidR="00247CBF" w:rsidRPr="00092ED7" w:rsidRDefault="00247CBF" w:rsidP="00247CBF">
            <w:pPr>
              <w:spacing w:after="0"/>
              <w:rPr>
                <w:rFonts w:eastAsia="Times New Roman" w:cs="Times New Roman"/>
                <w:sz w:val="20"/>
                <w:szCs w:val="20"/>
                <w:lang w:val="sr-Cyrl-CS"/>
              </w:rPr>
            </w:pPr>
          </w:p>
        </w:tc>
        <w:tc>
          <w:tcPr>
            <w:tcW w:w="6387" w:type="dxa"/>
            <w:tcBorders>
              <w:top w:val="nil"/>
              <w:left w:val="nil"/>
              <w:bottom w:val="dotted" w:sz="4" w:space="0" w:color="auto"/>
              <w:right w:val="single" w:sz="4" w:space="0" w:color="auto"/>
            </w:tcBorders>
            <w:shd w:val="clear" w:color="auto" w:fill="auto"/>
            <w:noWrap/>
            <w:vAlign w:val="bottom"/>
          </w:tcPr>
          <w:p w14:paraId="5CB9776F" w14:textId="77777777" w:rsidR="00247CBF" w:rsidRPr="00092ED7" w:rsidRDefault="00247CBF" w:rsidP="00247CBF">
            <w:pPr>
              <w:spacing w:after="0"/>
              <w:rPr>
                <w:rFonts w:eastAsia="Times New Roman" w:cs="Times New Roman"/>
                <w:sz w:val="20"/>
                <w:szCs w:val="20"/>
                <w:lang w:val="sr-Cyrl-CS"/>
              </w:rPr>
            </w:pPr>
          </w:p>
        </w:tc>
        <w:tc>
          <w:tcPr>
            <w:tcW w:w="1701" w:type="dxa"/>
            <w:tcBorders>
              <w:top w:val="dotted" w:sz="4" w:space="0" w:color="auto"/>
              <w:left w:val="single" w:sz="4" w:space="0" w:color="auto"/>
              <w:bottom w:val="single" w:sz="8" w:space="0" w:color="auto"/>
              <w:right w:val="single" w:sz="8" w:space="0" w:color="auto"/>
            </w:tcBorders>
            <w:shd w:val="clear" w:color="auto" w:fill="auto"/>
            <w:noWrap/>
            <w:vAlign w:val="center"/>
            <w:hideMark/>
          </w:tcPr>
          <w:p w14:paraId="5227D56F"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2126" w:type="dxa"/>
            <w:tcBorders>
              <w:top w:val="nil"/>
              <w:left w:val="nil"/>
              <w:bottom w:val="dotted" w:sz="4" w:space="0" w:color="auto"/>
              <w:right w:val="single" w:sz="4" w:space="0" w:color="auto"/>
            </w:tcBorders>
            <w:shd w:val="clear" w:color="auto" w:fill="auto"/>
            <w:noWrap/>
            <w:vAlign w:val="center"/>
          </w:tcPr>
          <w:p w14:paraId="5D33E3AE"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c>
          <w:tcPr>
            <w:tcW w:w="2552" w:type="dxa"/>
            <w:tcBorders>
              <w:top w:val="nil"/>
              <w:left w:val="nil"/>
              <w:bottom w:val="dotted" w:sz="4" w:space="0" w:color="auto"/>
              <w:right w:val="double" w:sz="6" w:space="0" w:color="auto"/>
            </w:tcBorders>
            <w:shd w:val="clear" w:color="auto" w:fill="auto"/>
            <w:noWrap/>
            <w:vAlign w:val="bottom"/>
            <w:hideMark/>
          </w:tcPr>
          <w:p w14:paraId="2AB27AAE"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sz w:val="20"/>
                <w:szCs w:val="20"/>
                <w:lang w:val="sr-Cyrl-CS"/>
              </w:rPr>
              <w:t>:</w:t>
            </w:r>
          </w:p>
        </w:tc>
      </w:tr>
      <w:tr w:rsidR="00247CBF" w:rsidRPr="00092ED7" w14:paraId="11283077" w14:textId="77777777" w:rsidTr="00247CBF">
        <w:trPr>
          <w:trHeight w:val="227"/>
        </w:trPr>
        <w:tc>
          <w:tcPr>
            <w:tcW w:w="1670" w:type="dxa"/>
            <w:vMerge/>
            <w:tcBorders>
              <w:left w:val="double" w:sz="6" w:space="0" w:color="auto"/>
              <w:bottom w:val="double" w:sz="6" w:space="0" w:color="auto"/>
              <w:right w:val="single" w:sz="4" w:space="0" w:color="auto"/>
            </w:tcBorders>
            <w:shd w:val="clear" w:color="000000" w:fill="FFFFFF"/>
            <w:vAlign w:val="center"/>
            <w:hideMark/>
          </w:tcPr>
          <w:p w14:paraId="0D869F11" w14:textId="77777777" w:rsidR="00247CBF" w:rsidRPr="00092ED7" w:rsidRDefault="00247CBF" w:rsidP="00247CBF">
            <w:pPr>
              <w:spacing w:after="0"/>
              <w:rPr>
                <w:rFonts w:eastAsia="Times New Roman" w:cs="Times New Roman"/>
                <w:szCs w:val="24"/>
                <w:lang w:val="sr-Cyrl-CS"/>
              </w:rPr>
            </w:pPr>
          </w:p>
        </w:tc>
        <w:tc>
          <w:tcPr>
            <w:tcW w:w="6387" w:type="dxa"/>
            <w:tcBorders>
              <w:top w:val="single" w:sz="8" w:space="0" w:color="auto"/>
              <w:left w:val="nil"/>
              <w:bottom w:val="double" w:sz="6" w:space="0" w:color="auto"/>
              <w:right w:val="nil"/>
            </w:tcBorders>
            <w:shd w:val="clear" w:color="auto" w:fill="auto"/>
            <w:noWrap/>
            <w:vAlign w:val="center"/>
          </w:tcPr>
          <w:p w14:paraId="0090F518"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b/>
                <w:bCs/>
                <w:sz w:val="20"/>
                <w:szCs w:val="20"/>
                <w:lang w:val="sr-Cyrl-CS"/>
              </w:rPr>
              <w:t>Међузбир</w:t>
            </w:r>
          </w:p>
        </w:tc>
        <w:tc>
          <w:tcPr>
            <w:tcW w:w="1701" w:type="dxa"/>
            <w:tcBorders>
              <w:top w:val="nil"/>
              <w:left w:val="single" w:sz="4" w:space="0" w:color="auto"/>
              <w:bottom w:val="double" w:sz="6" w:space="0" w:color="auto"/>
              <w:right w:val="single" w:sz="8" w:space="0" w:color="auto"/>
            </w:tcBorders>
            <w:shd w:val="clear" w:color="auto" w:fill="auto"/>
            <w:noWrap/>
            <w:vAlign w:val="bottom"/>
            <w:hideMark/>
          </w:tcPr>
          <w:p w14:paraId="541749BF"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b/>
                <w:bCs/>
                <w:sz w:val="20"/>
                <w:szCs w:val="20"/>
                <w:lang w:val="sr-Cyrl-CS"/>
              </w:rPr>
              <w:t>% БДП</w:t>
            </w:r>
          </w:p>
        </w:tc>
        <w:tc>
          <w:tcPr>
            <w:tcW w:w="2126" w:type="dxa"/>
            <w:tcBorders>
              <w:top w:val="single" w:sz="8" w:space="0" w:color="auto"/>
              <w:left w:val="single" w:sz="8" w:space="0" w:color="auto"/>
              <w:bottom w:val="double" w:sz="6" w:space="0" w:color="auto"/>
              <w:right w:val="single" w:sz="4" w:space="0" w:color="auto"/>
            </w:tcBorders>
            <w:shd w:val="clear" w:color="auto" w:fill="auto"/>
            <w:noWrap/>
            <w:vAlign w:val="bottom"/>
          </w:tcPr>
          <w:p w14:paraId="1C750ECA"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b/>
                <w:bCs/>
                <w:sz w:val="20"/>
                <w:szCs w:val="20"/>
                <w:lang w:val="sr-Cyrl-CS"/>
              </w:rPr>
              <w:t>0,3</w:t>
            </w:r>
          </w:p>
        </w:tc>
        <w:tc>
          <w:tcPr>
            <w:tcW w:w="2552" w:type="dxa"/>
            <w:tcBorders>
              <w:top w:val="single" w:sz="8" w:space="0" w:color="auto"/>
              <w:left w:val="single" w:sz="4" w:space="0" w:color="auto"/>
              <w:bottom w:val="double" w:sz="6" w:space="0" w:color="auto"/>
              <w:right w:val="double" w:sz="6" w:space="0" w:color="auto"/>
            </w:tcBorders>
            <w:shd w:val="clear" w:color="auto" w:fill="auto"/>
            <w:noWrap/>
            <w:vAlign w:val="bottom"/>
            <w:hideMark/>
          </w:tcPr>
          <w:p w14:paraId="51C517A0"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b/>
                <w:bCs/>
                <w:sz w:val="20"/>
                <w:szCs w:val="20"/>
                <w:lang w:val="sr-Cyrl-CS"/>
              </w:rPr>
              <w:t>0,0</w:t>
            </w:r>
          </w:p>
        </w:tc>
      </w:tr>
      <w:tr w:rsidR="00247CBF" w:rsidRPr="00092ED7" w14:paraId="56DA5174" w14:textId="77777777" w:rsidTr="00247CBF">
        <w:trPr>
          <w:trHeight w:val="227"/>
        </w:trPr>
        <w:tc>
          <w:tcPr>
            <w:tcW w:w="1670" w:type="dxa"/>
            <w:tcBorders>
              <w:top w:val="double" w:sz="6" w:space="0" w:color="auto"/>
              <w:left w:val="double" w:sz="6" w:space="0" w:color="auto"/>
              <w:bottom w:val="double" w:sz="6" w:space="0" w:color="auto"/>
              <w:right w:val="single" w:sz="4" w:space="0" w:color="auto"/>
            </w:tcBorders>
            <w:shd w:val="clear" w:color="000000" w:fill="FFFFFF"/>
            <w:vAlign w:val="center"/>
            <w:hideMark/>
          </w:tcPr>
          <w:p w14:paraId="4DD808D1" w14:textId="77777777" w:rsidR="00247CBF" w:rsidRPr="00092ED7" w:rsidRDefault="00247CBF" w:rsidP="00247CBF">
            <w:pPr>
              <w:spacing w:after="0"/>
              <w:rPr>
                <w:rFonts w:eastAsia="Times New Roman" w:cs="Times New Roman"/>
                <w:szCs w:val="24"/>
                <w:lang w:val="sr-Cyrl-CS"/>
              </w:rPr>
            </w:pPr>
          </w:p>
        </w:tc>
        <w:tc>
          <w:tcPr>
            <w:tcW w:w="6387" w:type="dxa"/>
            <w:tcBorders>
              <w:top w:val="double" w:sz="6" w:space="0" w:color="auto"/>
              <w:left w:val="nil"/>
              <w:bottom w:val="double" w:sz="6" w:space="0" w:color="auto"/>
              <w:right w:val="single" w:sz="4" w:space="0" w:color="auto"/>
            </w:tcBorders>
            <w:shd w:val="clear" w:color="auto" w:fill="auto"/>
            <w:noWrap/>
            <w:vAlign w:val="center"/>
          </w:tcPr>
          <w:p w14:paraId="73D70D9E"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b/>
                <w:bCs/>
                <w:sz w:val="20"/>
                <w:szCs w:val="20"/>
                <w:lang w:val="sr-Cyrl-CS"/>
              </w:rPr>
              <w:t>Укупно</w:t>
            </w:r>
          </w:p>
        </w:tc>
        <w:tc>
          <w:tcPr>
            <w:tcW w:w="1701" w:type="dxa"/>
            <w:tcBorders>
              <w:top w:val="double" w:sz="6" w:space="0" w:color="auto"/>
              <w:left w:val="nil"/>
              <w:bottom w:val="double" w:sz="6" w:space="0" w:color="auto"/>
              <w:right w:val="single" w:sz="8" w:space="0" w:color="auto"/>
            </w:tcBorders>
            <w:shd w:val="clear" w:color="auto" w:fill="auto"/>
            <w:noWrap/>
            <w:vAlign w:val="center"/>
            <w:hideMark/>
          </w:tcPr>
          <w:p w14:paraId="1C32627B"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b/>
                <w:bCs/>
                <w:sz w:val="20"/>
                <w:szCs w:val="20"/>
                <w:lang w:val="sr-Cyrl-CS"/>
              </w:rPr>
              <w:t>% БДП</w:t>
            </w:r>
          </w:p>
        </w:tc>
        <w:tc>
          <w:tcPr>
            <w:tcW w:w="2126" w:type="dxa"/>
            <w:tcBorders>
              <w:top w:val="double" w:sz="6" w:space="0" w:color="auto"/>
              <w:left w:val="nil"/>
              <w:bottom w:val="double" w:sz="6" w:space="0" w:color="auto"/>
              <w:right w:val="single" w:sz="4" w:space="0" w:color="auto"/>
            </w:tcBorders>
            <w:shd w:val="clear" w:color="auto" w:fill="auto"/>
            <w:noWrap/>
            <w:vAlign w:val="center"/>
          </w:tcPr>
          <w:p w14:paraId="53F8DABB"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b/>
                <w:bCs/>
                <w:sz w:val="20"/>
                <w:szCs w:val="20"/>
                <w:lang w:val="sr-Cyrl-CS"/>
              </w:rPr>
              <w:t>0,3</w:t>
            </w:r>
          </w:p>
        </w:tc>
        <w:tc>
          <w:tcPr>
            <w:tcW w:w="2552" w:type="dxa"/>
            <w:tcBorders>
              <w:top w:val="double" w:sz="6" w:space="0" w:color="auto"/>
              <w:left w:val="nil"/>
              <w:bottom w:val="double" w:sz="6" w:space="0" w:color="auto"/>
              <w:right w:val="double" w:sz="6" w:space="0" w:color="auto"/>
            </w:tcBorders>
            <w:shd w:val="clear" w:color="auto" w:fill="auto"/>
            <w:noWrap/>
            <w:vAlign w:val="center"/>
            <w:hideMark/>
          </w:tcPr>
          <w:p w14:paraId="0CEC0DCE" w14:textId="77777777" w:rsidR="00247CBF" w:rsidRPr="00092ED7" w:rsidRDefault="00247CBF" w:rsidP="00247CBF">
            <w:pPr>
              <w:spacing w:after="0"/>
              <w:jc w:val="center"/>
              <w:rPr>
                <w:rFonts w:eastAsia="Times New Roman" w:cs="Times New Roman"/>
                <w:sz w:val="20"/>
                <w:szCs w:val="20"/>
                <w:lang w:val="sr-Cyrl-CS"/>
              </w:rPr>
            </w:pPr>
            <w:r w:rsidRPr="00092ED7">
              <w:rPr>
                <w:rFonts w:eastAsia="Times New Roman" w:cs="Times New Roman"/>
                <w:b/>
                <w:bCs/>
                <w:sz w:val="20"/>
                <w:szCs w:val="20"/>
                <w:lang w:val="sr-Cyrl-CS"/>
              </w:rPr>
              <w:t>0,0</w:t>
            </w:r>
          </w:p>
        </w:tc>
      </w:tr>
    </w:tbl>
    <w:p w14:paraId="1073C322" w14:textId="77777777" w:rsidR="00247CBF" w:rsidRPr="00092ED7" w:rsidRDefault="00247CBF" w:rsidP="00247CBF">
      <w:pPr>
        <w:rPr>
          <w:rFonts w:cs="Times New Roman"/>
          <w:lang w:val="sr-Cyrl-CS"/>
        </w:rPr>
      </w:pPr>
      <w:r w:rsidRPr="00092ED7">
        <w:rPr>
          <w:rFonts w:cs="Times New Roman"/>
          <w:lang w:val="sr-Cyrl-CS"/>
        </w:rPr>
        <w:br w:type="page"/>
      </w:r>
    </w:p>
    <w:p w14:paraId="4411A9B9" w14:textId="77777777" w:rsidR="00247CBF" w:rsidRPr="00092ED7" w:rsidRDefault="00247CBF" w:rsidP="00247CBF">
      <w:pPr>
        <w:pStyle w:val="Heading3"/>
        <w:rPr>
          <w:rFonts w:ascii="Times New Roman" w:hAnsi="Times New Roman" w:cs="Times New Roman"/>
          <w:b/>
          <w:color w:val="auto"/>
          <w:sz w:val="20"/>
          <w:szCs w:val="20"/>
          <w:lang w:val="sr-Cyrl-CS"/>
        </w:rPr>
      </w:pPr>
      <w:bookmarkStart w:id="116" w:name="_Toc30499335"/>
      <w:bookmarkStart w:id="117" w:name="_Toc30754791"/>
      <w:bookmarkStart w:id="118" w:name="_Toc61953867"/>
      <w:bookmarkStart w:id="119" w:name="_Toc93386005"/>
      <w:bookmarkStart w:id="120" w:name="_Toc124174836"/>
      <w:r w:rsidRPr="00092ED7">
        <w:rPr>
          <w:rFonts w:ascii="Times New Roman" w:hAnsi="Times New Roman" w:cs="Times New Roman"/>
          <w:b/>
          <w:color w:val="auto"/>
          <w:sz w:val="20"/>
          <w:szCs w:val="20"/>
          <w:lang w:val="sr-Cyrl-CS"/>
        </w:rPr>
        <w:lastRenderedPageBreak/>
        <w:t>Табела 8: Основне претпоставке о екстерном економском окружењу на ком се заснива програмски оквир [1]</w:t>
      </w:r>
      <w:bookmarkEnd w:id="116"/>
      <w:bookmarkEnd w:id="117"/>
      <w:bookmarkEnd w:id="118"/>
      <w:bookmarkEnd w:id="119"/>
      <w:bookmarkEnd w:id="120"/>
    </w:p>
    <w:tbl>
      <w:tblPr>
        <w:tblW w:w="5009" w:type="pct"/>
        <w:tblInd w:w="-23" w:type="dxa"/>
        <w:tblLayout w:type="fixed"/>
        <w:tblLook w:val="04A0" w:firstRow="1" w:lastRow="0" w:firstColumn="1" w:lastColumn="0" w:noHBand="0" w:noVBand="1"/>
      </w:tblPr>
      <w:tblGrid>
        <w:gridCol w:w="6762"/>
        <w:gridCol w:w="1606"/>
        <w:gridCol w:w="994"/>
        <w:gridCol w:w="985"/>
        <w:gridCol w:w="9"/>
        <w:gridCol w:w="976"/>
        <w:gridCol w:w="41"/>
        <w:gridCol w:w="944"/>
        <w:gridCol w:w="29"/>
        <w:gridCol w:w="956"/>
        <w:gridCol w:w="15"/>
        <w:gridCol w:w="1000"/>
        <w:gridCol w:w="256"/>
      </w:tblGrid>
      <w:tr w:rsidR="00247CBF" w:rsidRPr="00092ED7" w14:paraId="1399D1F5" w14:textId="77777777" w:rsidTr="00247CBF">
        <w:trPr>
          <w:trHeight w:val="345"/>
        </w:trPr>
        <w:tc>
          <w:tcPr>
            <w:tcW w:w="2320" w:type="pct"/>
            <w:tcBorders>
              <w:top w:val="double" w:sz="6" w:space="0" w:color="auto"/>
              <w:left w:val="double" w:sz="6" w:space="0" w:color="auto"/>
              <w:bottom w:val="double" w:sz="6" w:space="0" w:color="auto"/>
              <w:right w:val="nil"/>
            </w:tcBorders>
            <w:shd w:val="clear" w:color="auto" w:fill="auto"/>
            <w:noWrap/>
            <w:vAlign w:val="center"/>
            <w:hideMark/>
          </w:tcPr>
          <w:p w14:paraId="74A8E4C9" w14:textId="77777777" w:rsidR="00247CBF" w:rsidRPr="00092ED7" w:rsidRDefault="00247CBF" w:rsidP="00247CBF">
            <w:pPr>
              <w:spacing w:after="0"/>
              <w:rPr>
                <w:rFonts w:eastAsia="Times New Roman" w:cs="Times New Roman"/>
                <w:b/>
                <w:bCs/>
                <w:sz w:val="20"/>
                <w:szCs w:val="20"/>
                <w:lang w:val="sr-Cyrl-CS"/>
              </w:rPr>
            </w:pPr>
          </w:p>
        </w:tc>
        <w:tc>
          <w:tcPr>
            <w:tcW w:w="892" w:type="pct"/>
            <w:gridSpan w:val="2"/>
            <w:tcBorders>
              <w:top w:val="double" w:sz="6" w:space="0" w:color="auto"/>
              <w:left w:val="single" w:sz="8" w:space="0" w:color="auto"/>
              <w:bottom w:val="double" w:sz="6" w:space="0" w:color="auto"/>
              <w:right w:val="single" w:sz="8" w:space="0" w:color="000000"/>
            </w:tcBorders>
            <w:shd w:val="clear" w:color="auto" w:fill="auto"/>
            <w:vAlign w:val="center"/>
            <w:hideMark/>
          </w:tcPr>
          <w:p w14:paraId="0E5DF745" w14:textId="77777777" w:rsidR="00247CBF" w:rsidRPr="00092ED7" w:rsidRDefault="00247CBF" w:rsidP="00247CBF">
            <w:pPr>
              <w:spacing w:after="0"/>
              <w:jc w:val="center"/>
              <w:rPr>
                <w:rFonts w:eastAsia="Times New Roman" w:cs="Times New Roman"/>
                <w:b/>
                <w:bCs/>
                <w:sz w:val="20"/>
                <w:szCs w:val="20"/>
                <w:lang w:val="sr-Cyrl-CS"/>
              </w:rPr>
            </w:pPr>
            <w:r w:rsidRPr="00092ED7">
              <w:rPr>
                <w:rFonts w:eastAsia="Times New Roman" w:cs="Times New Roman"/>
                <w:b/>
                <w:bCs/>
                <w:sz w:val="20"/>
                <w:szCs w:val="20"/>
                <w:lang w:val="sr-Cyrl-CS"/>
              </w:rPr>
              <w:t>Димензија</w:t>
            </w:r>
          </w:p>
        </w:tc>
        <w:tc>
          <w:tcPr>
            <w:tcW w:w="338" w:type="pct"/>
            <w:tcBorders>
              <w:top w:val="double" w:sz="6" w:space="0" w:color="auto"/>
              <w:left w:val="nil"/>
              <w:bottom w:val="double" w:sz="6" w:space="0" w:color="auto"/>
              <w:right w:val="dotted" w:sz="4" w:space="0" w:color="auto"/>
            </w:tcBorders>
            <w:shd w:val="clear" w:color="auto" w:fill="auto"/>
            <w:noWrap/>
            <w:vAlign w:val="center"/>
            <w:hideMark/>
          </w:tcPr>
          <w:p w14:paraId="45E3DC78" w14:textId="77777777" w:rsidR="00247CBF" w:rsidRPr="00092ED7" w:rsidRDefault="00247CBF" w:rsidP="00247CBF">
            <w:pPr>
              <w:spacing w:after="0"/>
              <w:jc w:val="right"/>
              <w:rPr>
                <w:rFonts w:eastAsia="Times New Roman" w:cs="Times New Roman"/>
                <w:b/>
                <w:bCs/>
                <w:sz w:val="20"/>
                <w:szCs w:val="20"/>
                <w:lang w:val="sr-Cyrl-CS"/>
              </w:rPr>
            </w:pPr>
            <w:r w:rsidRPr="00092ED7">
              <w:rPr>
                <w:rFonts w:eastAsia="Times New Roman" w:cs="Times New Roman"/>
                <w:b/>
                <w:bCs/>
                <w:sz w:val="20"/>
                <w:szCs w:val="20"/>
                <w:lang w:val="sr-Cyrl-CS"/>
              </w:rPr>
              <w:t>2021</w:t>
            </w:r>
          </w:p>
        </w:tc>
        <w:tc>
          <w:tcPr>
            <w:tcW w:w="338" w:type="pct"/>
            <w:gridSpan w:val="2"/>
            <w:tcBorders>
              <w:top w:val="double" w:sz="6" w:space="0" w:color="auto"/>
              <w:left w:val="dotted" w:sz="4" w:space="0" w:color="auto"/>
              <w:bottom w:val="double" w:sz="6" w:space="0" w:color="auto"/>
              <w:right w:val="dotted" w:sz="4" w:space="0" w:color="auto"/>
            </w:tcBorders>
            <w:shd w:val="clear" w:color="auto" w:fill="auto"/>
            <w:noWrap/>
            <w:vAlign w:val="center"/>
            <w:hideMark/>
          </w:tcPr>
          <w:p w14:paraId="518DCF98" w14:textId="77777777" w:rsidR="00247CBF" w:rsidRPr="00092ED7" w:rsidRDefault="00247CBF" w:rsidP="00247CBF">
            <w:pPr>
              <w:spacing w:after="0"/>
              <w:jc w:val="right"/>
              <w:rPr>
                <w:rFonts w:eastAsia="Times New Roman" w:cs="Times New Roman"/>
                <w:b/>
                <w:bCs/>
                <w:sz w:val="20"/>
                <w:szCs w:val="20"/>
                <w:lang w:val="sr-Cyrl-CS"/>
              </w:rPr>
            </w:pPr>
            <w:r w:rsidRPr="00092ED7">
              <w:rPr>
                <w:rFonts w:eastAsia="Times New Roman" w:cs="Times New Roman"/>
                <w:b/>
                <w:bCs/>
                <w:sz w:val="20"/>
                <w:szCs w:val="20"/>
                <w:lang w:val="sr-Cyrl-CS"/>
              </w:rPr>
              <w:t>2022</w:t>
            </w:r>
          </w:p>
        </w:tc>
        <w:tc>
          <w:tcPr>
            <w:tcW w:w="338" w:type="pct"/>
            <w:gridSpan w:val="2"/>
            <w:tcBorders>
              <w:top w:val="double" w:sz="6" w:space="0" w:color="auto"/>
              <w:left w:val="dotted" w:sz="4" w:space="0" w:color="auto"/>
              <w:bottom w:val="double" w:sz="6" w:space="0" w:color="auto"/>
              <w:right w:val="dotted" w:sz="4" w:space="0" w:color="auto"/>
            </w:tcBorders>
            <w:shd w:val="clear" w:color="auto" w:fill="auto"/>
            <w:noWrap/>
            <w:vAlign w:val="center"/>
            <w:hideMark/>
          </w:tcPr>
          <w:p w14:paraId="4861D88E" w14:textId="77777777" w:rsidR="00247CBF" w:rsidRPr="00092ED7" w:rsidRDefault="00247CBF" w:rsidP="00247CBF">
            <w:pPr>
              <w:spacing w:after="0"/>
              <w:jc w:val="right"/>
              <w:rPr>
                <w:rFonts w:eastAsia="Times New Roman" w:cs="Times New Roman"/>
                <w:b/>
                <w:bCs/>
                <w:sz w:val="20"/>
                <w:szCs w:val="20"/>
                <w:lang w:val="sr-Cyrl-CS"/>
              </w:rPr>
            </w:pPr>
            <w:r w:rsidRPr="00092ED7">
              <w:rPr>
                <w:rFonts w:eastAsia="Times New Roman" w:cs="Times New Roman"/>
                <w:b/>
                <w:bCs/>
                <w:sz w:val="20"/>
                <w:szCs w:val="20"/>
                <w:lang w:val="sr-Cyrl-CS"/>
              </w:rPr>
              <w:t>2023</w:t>
            </w:r>
          </w:p>
        </w:tc>
        <w:tc>
          <w:tcPr>
            <w:tcW w:w="338" w:type="pct"/>
            <w:gridSpan w:val="2"/>
            <w:tcBorders>
              <w:top w:val="double" w:sz="6" w:space="0" w:color="auto"/>
              <w:left w:val="dotted" w:sz="4" w:space="0" w:color="auto"/>
              <w:bottom w:val="double" w:sz="6" w:space="0" w:color="auto"/>
              <w:right w:val="dotted" w:sz="4" w:space="0" w:color="auto"/>
            </w:tcBorders>
            <w:shd w:val="clear" w:color="auto" w:fill="auto"/>
            <w:noWrap/>
            <w:vAlign w:val="center"/>
            <w:hideMark/>
          </w:tcPr>
          <w:p w14:paraId="6CBD8D5C" w14:textId="77777777" w:rsidR="00247CBF" w:rsidRPr="00092ED7" w:rsidRDefault="00247CBF" w:rsidP="00247CBF">
            <w:pPr>
              <w:spacing w:after="0"/>
              <w:jc w:val="right"/>
              <w:rPr>
                <w:rFonts w:eastAsia="Times New Roman" w:cs="Times New Roman"/>
                <w:b/>
                <w:bCs/>
                <w:sz w:val="20"/>
                <w:szCs w:val="20"/>
                <w:lang w:val="sr-Cyrl-CS"/>
              </w:rPr>
            </w:pPr>
            <w:r w:rsidRPr="00092ED7">
              <w:rPr>
                <w:rFonts w:eastAsia="Times New Roman" w:cs="Times New Roman"/>
                <w:b/>
                <w:bCs/>
                <w:sz w:val="20"/>
                <w:szCs w:val="20"/>
                <w:lang w:val="sr-Cyrl-CS"/>
              </w:rPr>
              <w:t>2024</w:t>
            </w:r>
          </w:p>
        </w:tc>
        <w:tc>
          <w:tcPr>
            <w:tcW w:w="348" w:type="pct"/>
            <w:gridSpan w:val="2"/>
            <w:tcBorders>
              <w:top w:val="double" w:sz="6" w:space="0" w:color="auto"/>
              <w:left w:val="dotted" w:sz="4" w:space="0" w:color="auto"/>
              <w:bottom w:val="double" w:sz="6" w:space="0" w:color="auto"/>
              <w:right w:val="double" w:sz="6" w:space="0" w:color="auto"/>
            </w:tcBorders>
            <w:shd w:val="clear" w:color="auto" w:fill="auto"/>
            <w:noWrap/>
            <w:vAlign w:val="center"/>
            <w:hideMark/>
          </w:tcPr>
          <w:p w14:paraId="3EE4F117" w14:textId="77777777" w:rsidR="00247CBF" w:rsidRPr="00092ED7" w:rsidRDefault="00247CBF" w:rsidP="00247CBF">
            <w:pPr>
              <w:spacing w:after="0"/>
              <w:jc w:val="right"/>
              <w:rPr>
                <w:rFonts w:eastAsia="Times New Roman" w:cs="Times New Roman"/>
                <w:b/>
                <w:bCs/>
                <w:sz w:val="20"/>
                <w:szCs w:val="20"/>
                <w:lang w:val="sr-Cyrl-CS"/>
              </w:rPr>
            </w:pPr>
            <w:r w:rsidRPr="00092ED7">
              <w:rPr>
                <w:rFonts w:eastAsia="Times New Roman" w:cs="Times New Roman"/>
                <w:b/>
                <w:bCs/>
                <w:sz w:val="20"/>
                <w:szCs w:val="20"/>
                <w:lang w:val="sr-Cyrl-CS"/>
              </w:rPr>
              <w:t>2025</w:t>
            </w:r>
          </w:p>
        </w:tc>
        <w:tc>
          <w:tcPr>
            <w:tcW w:w="88" w:type="pct"/>
            <w:tcBorders>
              <w:top w:val="nil"/>
              <w:left w:val="nil"/>
              <w:bottom w:val="nil"/>
              <w:right w:val="nil"/>
            </w:tcBorders>
            <w:shd w:val="clear" w:color="auto" w:fill="auto"/>
            <w:noWrap/>
            <w:vAlign w:val="center"/>
            <w:hideMark/>
          </w:tcPr>
          <w:p w14:paraId="7001E422" w14:textId="77777777" w:rsidR="00247CBF" w:rsidRPr="00092ED7" w:rsidRDefault="00247CBF" w:rsidP="00247CBF">
            <w:pPr>
              <w:spacing w:after="0"/>
              <w:rPr>
                <w:rFonts w:eastAsia="Times New Roman" w:cs="Times New Roman"/>
                <w:b/>
                <w:bCs/>
                <w:szCs w:val="24"/>
                <w:lang w:val="sr-Cyrl-CS"/>
              </w:rPr>
            </w:pPr>
            <w:r w:rsidRPr="00092ED7">
              <w:rPr>
                <w:rFonts w:eastAsia="Times New Roman" w:cs="Times New Roman"/>
                <w:b/>
                <w:bCs/>
                <w:szCs w:val="24"/>
                <w:lang w:val="sr-Cyrl-CS"/>
              </w:rPr>
              <w:t> </w:t>
            </w:r>
          </w:p>
        </w:tc>
      </w:tr>
      <w:tr w:rsidR="00247CBF" w:rsidRPr="00092ED7" w14:paraId="7A156D05" w14:textId="77777777" w:rsidTr="00247CBF">
        <w:trPr>
          <w:trHeight w:val="283"/>
        </w:trPr>
        <w:tc>
          <w:tcPr>
            <w:tcW w:w="2320" w:type="pct"/>
            <w:tcBorders>
              <w:top w:val="nil"/>
              <w:left w:val="double" w:sz="6" w:space="0" w:color="auto"/>
              <w:bottom w:val="dotted" w:sz="4" w:space="0" w:color="auto"/>
              <w:right w:val="nil"/>
            </w:tcBorders>
            <w:shd w:val="clear" w:color="auto" w:fill="auto"/>
            <w:vAlign w:val="center"/>
            <w:hideMark/>
          </w:tcPr>
          <w:p w14:paraId="0F18632C" w14:textId="77777777" w:rsidR="00247CBF" w:rsidRPr="00092ED7" w:rsidRDefault="00247CBF" w:rsidP="00247CBF">
            <w:pPr>
              <w:spacing w:after="0"/>
              <w:jc w:val="left"/>
              <w:rPr>
                <w:rFonts w:eastAsia="Times New Roman" w:cs="Times New Roman"/>
                <w:sz w:val="20"/>
                <w:szCs w:val="20"/>
                <w:lang w:val="sr-Cyrl-CS"/>
              </w:rPr>
            </w:pPr>
            <w:r w:rsidRPr="00092ED7">
              <w:rPr>
                <w:rFonts w:eastAsia="Times New Roman" w:cs="Times New Roman"/>
                <w:sz w:val="20"/>
                <w:szCs w:val="20"/>
                <w:lang w:val="sr-Cyrl-CS"/>
              </w:rPr>
              <w:t>Краткорочна каматна стопа [1]</w:t>
            </w:r>
          </w:p>
        </w:tc>
        <w:tc>
          <w:tcPr>
            <w:tcW w:w="892" w:type="pct"/>
            <w:gridSpan w:val="2"/>
            <w:tcBorders>
              <w:top w:val="double" w:sz="6" w:space="0" w:color="auto"/>
              <w:left w:val="single" w:sz="4" w:space="0" w:color="auto"/>
              <w:bottom w:val="dotted" w:sz="4" w:space="0" w:color="auto"/>
              <w:right w:val="single" w:sz="8" w:space="0" w:color="000000"/>
            </w:tcBorders>
            <w:shd w:val="clear" w:color="auto" w:fill="auto"/>
            <w:vAlign w:val="center"/>
            <w:hideMark/>
          </w:tcPr>
          <w:p w14:paraId="35A1472E" w14:textId="77777777" w:rsidR="00247CBF" w:rsidRPr="00092ED7" w:rsidRDefault="00247CBF" w:rsidP="00247CBF">
            <w:pPr>
              <w:spacing w:after="0"/>
              <w:jc w:val="center"/>
              <w:rPr>
                <w:rFonts w:eastAsia="Times New Roman" w:cs="Times New Roman"/>
                <w:sz w:val="18"/>
                <w:szCs w:val="18"/>
                <w:lang w:val="sr-Cyrl-CS"/>
              </w:rPr>
            </w:pPr>
            <w:r w:rsidRPr="00092ED7">
              <w:rPr>
                <w:rFonts w:eastAsia="Times New Roman" w:cs="Times New Roman"/>
                <w:sz w:val="18"/>
                <w:szCs w:val="18"/>
                <w:lang w:val="sr-Cyrl-CS"/>
              </w:rPr>
              <w:t>Год. просек</w:t>
            </w:r>
          </w:p>
        </w:tc>
        <w:tc>
          <w:tcPr>
            <w:tcW w:w="338" w:type="pct"/>
            <w:tcBorders>
              <w:top w:val="single" w:sz="8" w:space="0" w:color="000000"/>
              <w:left w:val="nil"/>
              <w:bottom w:val="dotted" w:sz="4" w:space="0" w:color="auto"/>
              <w:right w:val="dotted" w:sz="4" w:space="0" w:color="auto"/>
            </w:tcBorders>
            <w:shd w:val="clear" w:color="auto" w:fill="auto"/>
            <w:vAlign w:val="center"/>
          </w:tcPr>
          <w:p w14:paraId="07349265" w14:textId="77777777" w:rsidR="00247CBF" w:rsidRPr="00092ED7" w:rsidRDefault="00247CBF" w:rsidP="00247CBF">
            <w:pPr>
              <w:spacing w:after="0"/>
              <w:jc w:val="center"/>
              <w:rPr>
                <w:rFonts w:eastAsia="Times New Roman" w:cs="Times New Roman"/>
                <w:sz w:val="23"/>
                <w:szCs w:val="23"/>
                <w:lang w:val="sr-Cyrl-CS"/>
              </w:rPr>
            </w:pPr>
          </w:p>
        </w:tc>
        <w:tc>
          <w:tcPr>
            <w:tcW w:w="338" w:type="pct"/>
            <w:gridSpan w:val="2"/>
            <w:tcBorders>
              <w:top w:val="single" w:sz="8" w:space="0" w:color="000000"/>
              <w:left w:val="nil"/>
              <w:bottom w:val="dotted" w:sz="4" w:space="0" w:color="auto"/>
              <w:right w:val="dotted" w:sz="4" w:space="0" w:color="auto"/>
            </w:tcBorders>
            <w:shd w:val="clear" w:color="auto" w:fill="auto"/>
            <w:vAlign w:val="center"/>
          </w:tcPr>
          <w:p w14:paraId="06E0E8A3" w14:textId="77777777" w:rsidR="00247CBF" w:rsidRPr="00092ED7" w:rsidRDefault="00247CBF" w:rsidP="00247CBF">
            <w:pPr>
              <w:spacing w:after="0"/>
              <w:jc w:val="center"/>
              <w:rPr>
                <w:rFonts w:eastAsia="Times New Roman" w:cs="Times New Roman"/>
                <w:sz w:val="23"/>
                <w:szCs w:val="23"/>
                <w:lang w:val="sr-Cyrl-CS"/>
              </w:rPr>
            </w:pPr>
          </w:p>
        </w:tc>
        <w:tc>
          <w:tcPr>
            <w:tcW w:w="338" w:type="pct"/>
            <w:gridSpan w:val="2"/>
            <w:tcBorders>
              <w:top w:val="single" w:sz="8" w:space="0" w:color="000000"/>
              <w:left w:val="nil"/>
              <w:bottom w:val="dotted" w:sz="4" w:space="0" w:color="auto"/>
              <w:right w:val="dotted" w:sz="4" w:space="0" w:color="auto"/>
            </w:tcBorders>
            <w:shd w:val="clear" w:color="auto" w:fill="auto"/>
            <w:vAlign w:val="center"/>
          </w:tcPr>
          <w:p w14:paraId="7D4974AD" w14:textId="77777777" w:rsidR="00247CBF" w:rsidRPr="00092ED7" w:rsidRDefault="00247CBF" w:rsidP="00247CBF">
            <w:pPr>
              <w:spacing w:after="0"/>
              <w:jc w:val="center"/>
              <w:rPr>
                <w:rFonts w:eastAsia="Times New Roman" w:cs="Times New Roman"/>
                <w:sz w:val="23"/>
                <w:szCs w:val="23"/>
                <w:lang w:val="sr-Cyrl-CS"/>
              </w:rPr>
            </w:pPr>
          </w:p>
        </w:tc>
        <w:tc>
          <w:tcPr>
            <w:tcW w:w="338" w:type="pct"/>
            <w:gridSpan w:val="2"/>
            <w:tcBorders>
              <w:top w:val="single" w:sz="8" w:space="0" w:color="000000"/>
              <w:left w:val="nil"/>
              <w:bottom w:val="dotted" w:sz="4" w:space="0" w:color="auto"/>
              <w:right w:val="dotted" w:sz="4" w:space="0" w:color="auto"/>
            </w:tcBorders>
            <w:shd w:val="clear" w:color="auto" w:fill="auto"/>
            <w:vAlign w:val="center"/>
          </w:tcPr>
          <w:p w14:paraId="060E0B49" w14:textId="77777777" w:rsidR="00247CBF" w:rsidRPr="00092ED7" w:rsidRDefault="00247CBF" w:rsidP="00247CBF">
            <w:pPr>
              <w:spacing w:after="0"/>
              <w:jc w:val="center"/>
              <w:rPr>
                <w:rFonts w:eastAsia="Times New Roman" w:cs="Times New Roman"/>
                <w:sz w:val="23"/>
                <w:szCs w:val="23"/>
                <w:lang w:val="sr-Cyrl-CS"/>
              </w:rPr>
            </w:pPr>
          </w:p>
        </w:tc>
        <w:tc>
          <w:tcPr>
            <w:tcW w:w="348" w:type="pct"/>
            <w:gridSpan w:val="2"/>
            <w:tcBorders>
              <w:top w:val="single" w:sz="8" w:space="0" w:color="000000"/>
              <w:left w:val="nil"/>
              <w:bottom w:val="dotted" w:sz="4" w:space="0" w:color="auto"/>
              <w:right w:val="double" w:sz="6" w:space="0" w:color="auto"/>
            </w:tcBorders>
            <w:shd w:val="clear" w:color="auto" w:fill="auto"/>
            <w:vAlign w:val="center"/>
          </w:tcPr>
          <w:p w14:paraId="63D39B80" w14:textId="77777777" w:rsidR="00247CBF" w:rsidRPr="00092ED7" w:rsidRDefault="00247CBF" w:rsidP="00247CBF">
            <w:pPr>
              <w:spacing w:after="0"/>
              <w:jc w:val="center"/>
              <w:rPr>
                <w:rFonts w:eastAsia="Times New Roman" w:cs="Times New Roman"/>
                <w:sz w:val="23"/>
                <w:szCs w:val="23"/>
                <w:lang w:val="sr-Cyrl-CS"/>
              </w:rPr>
            </w:pPr>
          </w:p>
        </w:tc>
        <w:tc>
          <w:tcPr>
            <w:tcW w:w="88" w:type="pct"/>
            <w:tcBorders>
              <w:top w:val="nil"/>
              <w:left w:val="nil"/>
              <w:bottom w:val="nil"/>
              <w:right w:val="nil"/>
            </w:tcBorders>
            <w:shd w:val="clear" w:color="auto" w:fill="auto"/>
            <w:noWrap/>
            <w:vAlign w:val="center"/>
            <w:hideMark/>
          </w:tcPr>
          <w:p w14:paraId="48016F3E" w14:textId="77777777" w:rsidR="00247CBF" w:rsidRPr="00092ED7" w:rsidRDefault="00247CBF" w:rsidP="00247CBF">
            <w:pPr>
              <w:spacing w:after="0"/>
              <w:rPr>
                <w:rFonts w:eastAsia="Times New Roman" w:cs="Times New Roman"/>
                <w:b/>
                <w:bCs/>
                <w:szCs w:val="24"/>
                <w:lang w:val="sr-Cyrl-CS"/>
              </w:rPr>
            </w:pPr>
            <w:r w:rsidRPr="00092ED7">
              <w:rPr>
                <w:rFonts w:eastAsia="Times New Roman" w:cs="Times New Roman"/>
                <w:b/>
                <w:bCs/>
                <w:szCs w:val="24"/>
                <w:lang w:val="sr-Cyrl-CS"/>
              </w:rPr>
              <w:t> </w:t>
            </w:r>
          </w:p>
        </w:tc>
      </w:tr>
      <w:tr w:rsidR="00247CBF" w:rsidRPr="00092ED7" w14:paraId="2828F8AA" w14:textId="77777777" w:rsidTr="00247CBF">
        <w:trPr>
          <w:trHeight w:val="283"/>
        </w:trPr>
        <w:tc>
          <w:tcPr>
            <w:tcW w:w="2320" w:type="pct"/>
            <w:tcBorders>
              <w:top w:val="nil"/>
              <w:left w:val="double" w:sz="6" w:space="0" w:color="auto"/>
              <w:bottom w:val="dotted" w:sz="4" w:space="0" w:color="auto"/>
              <w:right w:val="nil"/>
            </w:tcBorders>
            <w:shd w:val="clear" w:color="auto" w:fill="auto"/>
            <w:vAlign w:val="center"/>
            <w:hideMark/>
          </w:tcPr>
          <w:p w14:paraId="23044E4E" w14:textId="77777777" w:rsidR="00247CBF" w:rsidRPr="00092ED7" w:rsidRDefault="00247CBF" w:rsidP="00247CBF">
            <w:pPr>
              <w:spacing w:after="0"/>
              <w:jc w:val="left"/>
              <w:rPr>
                <w:rFonts w:eastAsia="Times New Roman" w:cs="Times New Roman"/>
                <w:sz w:val="20"/>
                <w:szCs w:val="20"/>
                <w:lang w:val="sr-Cyrl-CS"/>
              </w:rPr>
            </w:pPr>
            <w:r w:rsidRPr="00092ED7">
              <w:rPr>
                <w:rFonts w:eastAsia="Times New Roman" w:cs="Times New Roman"/>
                <w:sz w:val="20"/>
                <w:szCs w:val="20"/>
                <w:lang w:val="sr-Cyrl-CS"/>
              </w:rPr>
              <w:t>Дугорочна каматна стопа</w:t>
            </w:r>
          </w:p>
        </w:tc>
        <w:tc>
          <w:tcPr>
            <w:tcW w:w="892" w:type="pct"/>
            <w:gridSpan w:val="2"/>
            <w:tcBorders>
              <w:top w:val="dotted" w:sz="4" w:space="0" w:color="auto"/>
              <w:left w:val="single" w:sz="4" w:space="0" w:color="auto"/>
              <w:bottom w:val="dotted" w:sz="4" w:space="0" w:color="auto"/>
              <w:right w:val="single" w:sz="8" w:space="0" w:color="000000"/>
            </w:tcBorders>
            <w:shd w:val="clear" w:color="auto" w:fill="auto"/>
            <w:vAlign w:val="center"/>
            <w:hideMark/>
          </w:tcPr>
          <w:p w14:paraId="773CD8FB" w14:textId="77777777" w:rsidR="00247CBF" w:rsidRPr="00092ED7" w:rsidRDefault="00247CBF" w:rsidP="00247CBF">
            <w:pPr>
              <w:spacing w:after="0"/>
              <w:jc w:val="center"/>
              <w:rPr>
                <w:rFonts w:eastAsia="Times New Roman" w:cs="Times New Roman"/>
                <w:sz w:val="18"/>
                <w:szCs w:val="18"/>
                <w:lang w:val="sr-Cyrl-CS"/>
              </w:rPr>
            </w:pPr>
            <w:r w:rsidRPr="00092ED7">
              <w:rPr>
                <w:rFonts w:eastAsia="Times New Roman" w:cs="Times New Roman"/>
                <w:sz w:val="18"/>
                <w:szCs w:val="18"/>
                <w:lang w:val="sr-Cyrl-CS"/>
              </w:rPr>
              <w:t>Год. просек</w:t>
            </w:r>
          </w:p>
        </w:tc>
        <w:tc>
          <w:tcPr>
            <w:tcW w:w="338" w:type="pct"/>
            <w:tcBorders>
              <w:top w:val="nil"/>
              <w:left w:val="nil"/>
              <w:bottom w:val="dotted" w:sz="4" w:space="0" w:color="auto"/>
              <w:right w:val="dotted" w:sz="4" w:space="0" w:color="auto"/>
            </w:tcBorders>
            <w:shd w:val="clear" w:color="auto" w:fill="auto"/>
            <w:vAlign w:val="center"/>
          </w:tcPr>
          <w:p w14:paraId="745CFC6F" w14:textId="77777777" w:rsidR="00247CBF" w:rsidRPr="00092ED7" w:rsidRDefault="00247CBF" w:rsidP="00247CBF">
            <w:pPr>
              <w:spacing w:after="0"/>
              <w:jc w:val="center"/>
              <w:rPr>
                <w:rFonts w:eastAsia="Times New Roman" w:cs="Times New Roman"/>
                <w:sz w:val="20"/>
                <w:szCs w:val="20"/>
                <w:lang w:val="sr-Cyrl-CS"/>
              </w:rPr>
            </w:pPr>
          </w:p>
        </w:tc>
        <w:tc>
          <w:tcPr>
            <w:tcW w:w="338" w:type="pct"/>
            <w:gridSpan w:val="2"/>
            <w:tcBorders>
              <w:top w:val="nil"/>
              <w:left w:val="nil"/>
              <w:bottom w:val="dotted" w:sz="4" w:space="0" w:color="auto"/>
              <w:right w:val="dotted" w:sz="4" w:space="0" w:color="auto"/>
            </w:tcBorders>
            <w:shd w:val="clear" w:color="auto" w:fill="auto"/>
            <w:vAlign w:val="center"/>
          </w:tcPr>
          <w:p w14:paraId="2E4D13DA" w14:textId="77777777" w:rsidR="00247CBF" w:rsidRPr="00092ED7" w:rsidRDefault="00247CBF" w:rsidP="00247CBF">
            <w:pPr>
              <w:spacing w:after="0"/>
              <w:jc w:val="center"/>
              <w:rPr>
                <w:rFonts w:eastAsia="Times New Roman" w:cs="Times New Roman"/>
                <w:sz w:val="20"/>
                <w:szCs w:val="20"/>
                <w:lang w:val="sr-Cyrl-CS"/>
              </w:rPr>
            </w:pPr>
          </w:p>
        </w:tc>
        <w:tc>
          <w:tcPr>
            <w:tcW w:w="338" w:type="pct"/>
            <w:gridSpan w:val="2"/>
            <w:tcBorders>
              <w:top w:val="nil"/>
              <w:left w:val="nil"/>
              <w:bottom w:val="dotted" w:sz="4" w:space="0" w:color="auto"/>
              <w:right w:val="dotted" w:sz="4" w:space="0" w:color="auto"/>
            </w:tcBorders>
            <w:shd w:val="clear" w:color="auto" w:fill="auto"/>
            <w:vAlign w:val="center"/>
          </w:tcPr>
          <w:p w14:paraId="5DFF70D4" w14:textId="77777777" w:rsidR="00247CBF" w:rsidRPr="00092ED7" w:rsidRDefault="00247CBF" w:rsidP="00247CBF">
            <w:pPr>
              <w:spacing w:after="0"/>
              <w:jc w:val="center"/>
              <w:rPr>
                <w:rFonts w:eastAsia="Times New Roman" w:cs="Times New Roman"/>
                <w:sz w:val="20"/>
                <w:szCs w:val="20"/>
                <w:lang w:val="sr-Cyrl-CS"/>
              </w:rPr>
            </w:pPr>
          </w:p>
        </w:tc>
        <w:tc>
          <w:tcPr>
            <w:tcW w:w="338" w:type="pct"/>
            <w:gridSpan w:val="2"/>
            <w:tcBorders>
              <w:top w:val="nil"/>
              <w:left w:val="nil"/>
              <w:bottom w:val="dotted" w:sz="4" w:space="0" w:color="auto"/>
              <w:right w:val="dotted" w:sz="4" w:space="0" w:color="auto"/>
            </w:tcBorders>
            <w:shd w:val="clear" w:color="auto" w:fill="auto"/>
            <w:vAlign w:val="center"/>
          </w:tcPr>
          <w:p w14:paraId="2B985EAB" w14:textId="77777777" w:rsidR="00247CBF" w:rsidRPr="00092ED7" w:rsidRDefault="00247CBF" w:rsidP="00247CBF">
            <w:pPr>
              <w:spacing w:after="0"/>
              <w:jc w:val="center"/>
              <w:rPr>
                <w:rFonts w:eastAsia="Times New Roman" w:cs="Times New Roman"/>
                <w:sz w:val="20"/>
                <w:szCs w:val="20"/>
                <w:lang w:val="sr-Cyrl-CS"/>
              </w:rPr>
            </w:pPr>
          </w:p>
        </w:tc>
        <w:tc>
          <w:tcPr>
            <w:tcW w:w="348" w:type="pct"/>
            <w:gridSpan w:val="2"/>
            <w:tcBorders>
              <w:top w:val="nil"/>
              <w:left w:val="nil"/>
              <w:bottom w:val="dotted" w:sz="4" w:space="0" w:color="auto"/>
              <w:right w:val="double" w:sz="6" w:space="0" w:color="auto"/>
            </w:tcBorders>
            <w:shd w:val="clear" w:color="auto" w:fill="auto"/>
            <w:vAlign w:val="center"/>
          </w:tcPr>
          <w:p w14:paraId="0F747DF2" w14:textId="77777777" w:rsidR="00247CBF" w:rsidRPr="00092ED7" w:rsidRDefault="00247CBF" w:rsidP="00247CBF">
            <w:pPr>
              <w:spacing w:after="0"/>
              <w:jc w:val="center"/>
              <w:rPr>
                <w:rFonts w:eastAsia="Times New Roman" w:cs="Times New Roman"/>
                <w:sz w:val="23"/>
                <w:szCs w:val="23"/>
                <w:lang w:val="sr-Cyrl-CS"/>
              </w:rPr>
            </w:pPr>
          </w:p>
        </w:tc>
        <w:tc>
          <w:tcPr>
            <w:tcW w:w="88" w:type="pct"/>
            <w:tcBorders>
              <w:top w:val="nil"/>
              <w:left w:val="nil"/>
              <w:bottom w:val="nil"/>
              <w:right w:val="nil"/>
            </w:tcBorders>
            <w:shd w:val="clear" w:color="auto" w:fill="auto"/>
            <w:noWrap/>
            <w:vAlign w:val="center"/>
            <w:hideMark/>
          </w:tcPr>
          <w:p w14:paraId="03106CC2" w14:textId="77777777" w:rsidR="00247CBF" w:rsidRPr="00092ED7" w:rsidRDefault="00247CBF" w:rsidP="00247CBF">
            <w:pPr>
              <w:spacing w:after="0"/>
              <w:rPr>
                <w:rFonts w:eastAsia="Times New Roman" w:cs="Times New Roman"/>
                <w:b/>
                <w:bCs/>
                <w:szCs w:val="24"/>
                <w:lang w:val="sr-Cyrl-CS"/>
              </w:rPr>
            </w:pPr>
            <w:r w:rsidRPr="00092ED7">
              <w:rPr>
                <w:rFonts w:eastAsia="Times New Roman" w:cs="Times New Roman"/>
                <w:b/>
                <w:bCs/>
                <w:szCs w:val="24"/>
                <w:lang w:val="sr-Cyrl-CS"/>
              </w:rPr>
              <w:t> </w:t>
            </w:r>
          </w:p>
        </w:tc>
      </w:tr>
      <w:tr w:rsidR="00247CBF" w:rsidRPr="00092ED7" w14:paraId="7184C029" w14:textId="77777777" w:rsidTr="00247CBF">
        <w:trPr>
          <w:trHeight w:val="283"/>
        </w:trPr>
        <w:tc>
          <w:tcPr>
            <w:tcW w:w="2320" w:type="pct"/>
            <w:tcBorders>
              <w:top w:val="nil"/>
              <w:left w:val="double" w:sz="6" w:space="0" w:color="auto"/>
              <w:bottom w:val="dotted" w:sz="4" w:space="0" w:color="auto"/>
              <w:right w:val="nil"/>
            </w:tcBorders>
            <w:shd w:val="clear" w:color="auto" w:fill="auto"/>
            <w:vAlign w:val="center"/>
            <w:hideMark/>
          </w:tcPr>
          <w:p w14:paraId="46D84F5A" w14:textId="77777777" w:rsidR="00247CBF" w:rsidRPr="00092ED7" w:rsidRDefault="00247CBF" w:rsidP="00247CBF">
            <w:pPr>
              <w:spacing w:after="0"/>
              <w:jc w:val="left"/>
              <w:rPr>
                <w:rFonts w:eastAsia="Times New Roman" w:cs="Times New Roman"/>
                <w:sz w:val="20"/>
                <w:szCs w:val="20"/>
                <w:lang w:val="sr-Cyrl-CS"/>
              </w:rPr>
            </w:pPr>
            <w:r w:rsidRPr="00092ED7">
              <w:rPr>
                <w:rFonts w:eastAsia="Times New Roman" w:cs="Times New Roman"/>
                <w:sz w:val="20"/>
                <w:szCs w:val="20"/>
                <w:lang w:val="sr-Cyrl-CS"/>
              </w:rPr>
              <w:t>Курс УСД/ЕУР</w:t>
            </w:r>
          </w:p>
        </w:tc>
        <w:tc>
          <w:tcPr>
            <w:tcW w:w="892" w:type="pct"/>
            <w:gridSpan w:val="2"/>
            <w:tcBorders>
              <w:top w:val="dotted" w:sz="4" w:space="0" w:color="auto"/>
              <w:left w:val="single" w:sz="4" w:space="0" w:color="auto"/>
              <w:bottom w:val="dotted" w:sz="4" w:space="0" w:color="auto"/>
              <w:right w:val="single" w:sz="8" w:space="0" w:color="000000"/>
            </w:tcBorders>
            <w:shd w:val="clear" w:color="auto" w:fill="auto"/>
            <w:vAlign w:val="center"/>
            <w:hideMark/>
          </w:tcPr>
          <w:p w14:paraId="73690603" w14:textId="77777777" w:rsidR="00247CBF" w:rsidRPr="00092ED7" w:rsidRDefault="00247CBF" w:rsidP="00247CBF">
            <w:pPr>
              <w:spacing w:after="0"/>
              <w:jc w:val="center"/>
              <w:rPr>
                <w:rFonts w:eastAsia="Times New Roman" w:cs="Times New Roman"/>
                <w:sz w:val="18"/>
                <w:szCs w:val="18"/>
                <w:lang w:val="sr-Cyrl-CS"/>
              </w:rPr>
            </w:pPr>
            <w:r w:rsidRPr="00092ED7">
              <w:rPr>
                <w:rFonts w:eastAsia="Times New Roman" w:cs="Times New Roman"/>
                <w:sz w:val="18"/>
                <w:szCs w:val="18"/>
                <w:lang w:val="sr-Cyrl-CS"/>
              </w:rPr>
              <w:t>Год. просек</w:t>
            </w:r>
          </w:p>
        </w:tc>
        <w:tc>
          <w:tcPr>
            <w:tcW w:w="338" w:type="pct"/>
            <w:tcBorders>
              <w:top w:val="nil"/>
              <w:left w:val="nil"/>
              <w:bottom w:val="dotted" w:sz="4" w:space="0" w:color="auto"/>
              <w:right w:val="dotted" w:sz="4" w:space="0" w:color="auto"/>
            </w:tcBorders>
            <w:shd w:val="clear" w:color="auto" w:fill="auto"/>
            <w:vAlign w:val="center"/>
          </w:tcPr>
          <w:p w14:paraId="1F188486" w14:textId="77777777" w:rsidR="00247CBF" w:rsidRPr="00092ED7" w:rsidRDefault="00247CBF" w:rsidP="00247CBF">
            <w:pPr>
              <w:spacing w:after="0"/>
              <w:jc w:val="center"/>
              <w:rPr>
                <w:rFonts w:eastAsia="Times New Roman" w:cs="Times New Roman"/>
                <w:sz w:val="20"/>
                <w:szCs w:val="20"/>
                <w:lang w:val="sr-Cyrl-CS"/>
              </w:rPr>
            </w:pPr>
          </w:p>
        </w:tc>
        <w:tc>
          <w:tcPr>
            <w:tcW w:w="338" w:type="pct"/>
            <w:gridSpan w:val="2"/>
            <w:tcBorders>
              <w:top w:val="nil"/>
              <w:left w:val="nil"/>
              <w:bottom w:val="dotted" w:sz="4" w:space="0" w:color="auto"/>
              <w:right w:val="dotted" w:sz="4" w:space="0" w:color="auto"/>
            </w:tcBorders>
            <w:shd w:val="clear" w:color="auto" w:fill="auto"/>
            <w:vAlign w:val="center"/>
          </w:tcPr>
          <w:p w14:paraId="0AA0BDA8" w14:textId="77777777" w:rsidR="00247CBF" w:rsidRPr="00092ED7" w:rsidRDefault="00247CBF" w:rsidP="00247CBF">
            <w:pPr>
              <w:spacing w:after="0"/>
              <w:jc w:val="center"/>
              <w:rPr>
                <w:rFonts w:eastAsia="Times New Roman" w:cs="Times New Roman"/>
                <w:sz w:val="20"/>
                <w:szCs w:val="20"/>
                <w:lang w:val="sr-Cyrl-CS"/>
              </w:rPr>
            </w:pPr>
          </w:p>
        </w:tc>
        <w:tc>
          <w:tcPr>
            <w:tcW w:w="338" w:type="pct"/>
            <w:gridSpan w:val="2"/>
            <w:tcBorders>
              <w:top w:val="nil"/>
              <w:left w:val="nil"/>
              <w:bottom w:val="dotted" w:sz="4" w:space="0" w:color="auto"/>
              <w:right w:val="dotted" w:sz="4" w:space="0" w:color="auto"/>
            </w:tcBorders>
            <w:shd w:val="clear" w:color="auto" w:fill="auto"/>
            <w:vAlign w:val="center"/>
          </w:tcPr>
          <w:p w14:paraId="5398999E" w14:textId="77777777" w:rsidR="00247CBF" w:rsidRPr="00092ED7" w:rsidRDefault="00247CBF" w:rsidP="00247CBF">
            <w:pPr>
              <w:spacing w:after="0"/>
              <w:jc w:val="center"/>
              <w:rPr>
                <w:rFonts w:eastAsia="Times New Roman" w:cs="Times New Roman"/>
                <w:sz w:val="20"/>
                <w:szCs w:val="20"/>
                <w:lang w:val="sr-Cyrl-CS"/>
              </w:rPr>
            </w:pPr>
          </w:p>
        </w:tc>
        <w:tc>
          <w:tcPr>
            <w:tcW w:w="338" w:type="pct"/>
            <w:gridSpan w:val="2"/>
            <w:tcBorders>
              <w:top w:val="nil"/>
              <w:left w:val="nil"/>
              <w:bottom w:val="dotted" w:sz="4" w:space="0" w:color="auto"/>
              <w:right w:val="dotted" w:sz="4" w:space="0" w:color="auto"/>
            </w:tcBorders>
            <w:shd w:val="clear" w:color="auto" w:fill="auto"/>
            <w:vAlign w:val="center"/>
          </w:tcPr>
          <w:p w14:paraId="204A1618" w14:textId="77777777" w:rsidR="00247CBF" w:rsidRPr="00092ED7" w:rsidRDefault="00247CBF" w:rsidP="00247CBF">
            <w:pPr>
              <w:spacing w:after="0"/>
              <w:jc w:val="center"/>
              <w:rPr>
                <w:rFonts w:eastAsia="Times New Roman" w:cs="Times New Roman"/>
                <w:sz w:val="20"/>
                <w:szCs w:val="20"/>
                <w:lang w:val="sr-Cyrl-CS"/>
              </w:rPr>
            </w:pPr>
          </w:p>
        </w:tc>
        <w:tc>
          <w:tcPr>
            <w:tcW w:w="348" w:type="pct"/>
            <w:gridSpan w:val="2"/>
            <w:tcBorders>
              <w:top w:val="nil"/>
              <w:left w:val="nil"/>
              <w:bottom w:val="dotted" w:sz="4" w:space="0" w:color="auto"/>
              <w:right w:val="double" w:sz="6" w:space="0" w:color="auto"/>
            </w:tcBorders>
            <w:shd w:val="clear" w:color="auto" w:fill="auto"/>
            <w:vAlign w:val="center"/>
          </w:tcPr>
          <w:p w14:paraId="553E6C70" w14:textId="77777777" w:rsidR="00247CBF" w:rsidRPr="00092ED7" w:rsidRDefault="00247CBF" w:rsidP="00247CBF">
            <w:pPr>
              <w:spacing w:after="0"/>
              <w:jc w:val="center"/>
              <w:rPr>
                <w:rFonts w:eastAsia="Times New Roman" w:cs="Times New Roman"/>
                <w:sz w:val="23"/>
                <w:szCs w:val="23"/>
                <w:lang w:val="sr-Cyrl-CS"/>
              </w:rPr>
            </w:pPr>
          </w:p>
        </w:tc>
        <w:tc>
          <w:tcPr>
            <w:tcW w:w="88" w:type="pct"/>
            <w:tcBorders>
              <w:top w:val="nil"/>
              <w:left w:val="nil"/>
              <w:bottom w:val="nil"/>
              <w:right w:val="nil"/>
            </w:tcBorders>
            <w:shd w:val="clear" w:color="auto" w:fill="auto"/>
            <w:noWrap/>
            <w:vAlign w:val="center"/>
            <w:hideMark/>
          </w:tcPr>
          <w:p w14:paraId="56D2D6BC" w14:textId="77777777" w:rsidR="00247CBF" w:rsidRPr="00092ED7" w:rsidRDefault="00247CBF" w:rsidP="00247CBF">
            <w:pPr>
              <w:spacing w:after="0"/>
              <w:rPr>
                <w:rFonts w:eastAsia="Times New Roman" w:cs="Times New Roman"/>
                <w:b/>
                <w:bCs/>
                <w:szCs w:val="24"/>
                <w:lang w:val="sr-Cyrl-CS"/>
              </w:rPr>
            </w:pPr>
            <w:r w:rsidRPr="00092ED7">
              <w:rPr>
                <w:rFonts w:eastAsia="Times New Roman" w:cs="Times New Roman"/>
                <w:b/>
                <w:bCs/>
                <w:szCs w:val="24"/>
                <w:lang w:val="sr-Cyrl-CS"/>
              </w:rPr>
              <w:t> </w:t>
            </w:r>
          </w:p>
        </w:tc>
      </w:tr>
      <w:tr w:rsidR="00247CBF" w:rsidRPr="00092ED7" w14:paraId="21B6397F" w14:textId="77777777" w:rsidTr="00247CBF">
        <w:trPr>
          <w:trHeight w:val="283"/>
        </w:trPr>
        <w:tc>
          <w:tcPr>
            <w:tcW w:w="2320" w:type="pct"/>
            <w:tcBorders>
              <w:top w:val="nil"/>
              <w:left w:val="double" w:sz="6" w:space="0" w:color="auto"/>
              <w:bottom w:val="dotted" w:sz="4" w:space="0" w:color="auto"/>
              <w:right w:val="nil"/>
            </w:tcBorders>
            <w:shd w:val="clear" w:color="auto" w:fill="auto"/>
            <w:vAlign w:val="center"/>
            <w:hideMark/>
          </w:tcPr>
          <w:p w14:paraId="0CCCEB3F" w14:textId="77777777" w:rsidR="00247CBF" w:rsidRPr="00092ED7" w:rsidRDefault="00247CBF" w:rsidP="00247CBF">
            <w:pPr>
              <w:spacing w:after="0"/>
              <w:jc w:val="left"/>
              <w:rPr>
                <w:rFonts w:eastAsia="Times New Roman" w:cs="Times New Roman"/>
                <w:sz w:val="20"/>
                <w:szCs w:val="20"/>
                <w:lang w:val="sr-Cyrl-CS"/>
              </w:rPr>
            </w:pPr>
            <w:r w:rsidRPr="00092ED7">
              <w:rPr>
                <w:rFonts w:eastAsia="Times New Roman" w:cs="Times New Roman"/>
                <w:sz w:val="20"/>
                <w:szCs w:val="20"/>
                <w:lang w:val="sr-Cyrl-CS"/>
              </w:rPr>
              <w:t>Номинални ефективни девизни курс</w:t>
            </w:r>
          </w:p>
        </w:tc>
        <w:tc>
          <w:tcPr>
            <w:tcW w:w="892" w:type="pct"/>
            <w:gridSpan w:val="2"/>
            <w:tcBorders>
              <w:top w:val="dotted" w:sz="4" w:space="0" w:color="auto"/>
              <w:left w:val="single" w:sz="4" w:space="0" w:color="auto"/>
              <w:bottom w:val="dotted" w:sz="4" w:space="0" w:color="auto"/>
              <w:right w:val="single" w:sz="8" w:space="0" w:color="000000"/>
            </w:tcBorders>
            <w:shd w:val="clear" w:color="auto" w:fill="auto"/>
            <w:vAlign w:val="center"/>
            <w:hideMark/>
          </w:tcPr>
          <w:p w14:paraId="2C69773A" w14:textId="77777777" w:rsidR="00247CBF" w:rsidRPr="00092ED7" w:rsidRDefault="00247CBF" w:rsidP="00247CBF">
            <w:pPr>
              <w:spacing w:after="0"/>
              <w:jc w:val="center"/>
              <w:rPr>
                <w:rFonts w:eastAsia="Times New Roman" w:cs="Times New Roman"/>
                <w:sz w:val="18"/>
                <w:szCs w:val="18"/>
                <w:lang w:val="sr-Cyrl-CS"/>
              </w:rPr>
            </w:pPr>
            <w:r w:rsidRPr="00092ED7">
              <w:rPr>
                <w:rFonts w:eastAsia="Times New Roman" w:cs="Times New Roman"/>
                <w:sz w:val="18"/>
                <w:szCs w:val="18"/>
                <w:lang w:val="sr-Cyrl-CS"/>
              </w:rPr>
              <w:t>Год. просек</w:t>
            </w:r>
          </w:p>
        </w:tc>
        <w:tc>
          <w:tcPr>
            <w:tcW w:w="338" w:type="pct"/>
            <w:tcBorders>
              <w:top w:val="nil"/>
              <w:left w:val="nil"/>
              <w:bottom w:val="dotted" w:sz="4" w:space="0" w:color="auto"/>
              <w:right w:val="dotted" w:sz="4" w:space="0" w:color="auto"/>
            </w:tcBorders>
            <w:shd w:val="clear" w:color="auto" w:fill="auto"/>
            <w:vAlign w:val="center"/>
          </w:tcPr>
          <w:p w14:paraId="650FAD68" w14:textId="77777777" w:rsidR="00247CBF" w:rsidRPr="00092ED7" w:rsidRDefault="00247CBF" w:rsidP="00247CBF">
            <w:pPr>
              <w:spacing w:after="0"/>
              <w:jc w:val="center"/>
              <w:rPr>
                <w:rFonts w:eastAsia="Times New Roman" w:cs="Times New Roman"/>
                <w:sz w:val="20"/>
                <w:szCs w:val="20"/>
                <w:lang w:val="sr-Cyrl-CS"/>
              </w:rPr>
            </w:pPr>
          </w:p>
        </w:tc>
        <w:tc>
          <w:tcPr>
            <w:tcW w:w="338" w:type="pct"/>
            <w:gridSpan w:val="2"/>
            <w:tcBorders>
              <w:top w:val="nil"/>
              <w:left w:val="nil"/>
              <w:bottom w:val="dotted" w:sz="4" w:space="0" w:color="auto"/>
              <w:right w:val="dotted" w:sz="4" w:space="0" w:color="auto"/>
            </w:tcBorders>
            <w:shd w:val="clear" w:color="auto" w:fill="auto"/>
            <w:vAlign w:val="center"/>
          </w:tcPr>
          <w:p w14:paraId="257C579C" w14:textId="77777777" w:rsidR="00247CBF" w:rsidRPr="00092ED7" w:rsidRDefault="00247CBF" w:rsidP="00247CBF">
            <w:pPr>
              <w:spacing w:after="0"/>
              <w:jc w:val="center"/>
              <w:rPr>
                <w:rFonts w:eastAsia="Times New Roman" w:cs="Times New Roman"/>
                <w:sz w:val="20"/>
                <w:szCs w:val="20"/>
                <w:lang w:val="sr-Cyrl-CS"/>
              </w:rPr>
            </w:pPr>
          </w:p>
        </w:tc>
        <w:tc>
          <w:tcPr>
            <w:tcW w:w="338" w:type="pct"/>
            <w:gridSpan w:val="2"/>
            <w:tcBorders>
              <w:top w:val="nil"/>
              <w:left w:val="nil"/>
              <w:bottom w:val="dotted" w:sz="4" w:space="0" w:color="auto"/>
              <w:right w:val="dotted" w:sz="4" w:space="0" w:color="auto"/>
            </w:tcBorders>
            <w:shd w:val="clear" w:color="auto" w:fill="auto"/>
            <w:vAlign w:val="center"/>
          </w:tcPr>
          <w:p w14:paraId="2E39B392" w14:textId="77777777" w:rsidR="00247CBF" w:rsidRPr="00092ED7" w:rsidRDefault="00247CBF" w:rsidP="00247CBF">
            <w:pPr>
              <w:spacing w:after="0"/>
              <w:jc w:val="center"/>
              <w:rPr>
                <w:rFonts w:eastAsia="Times New Roman" w:cs="Times New Roman"/>
                <w:sz w:val="20"/>
                <w:szCs w:val="20"/>
                <w:lang w:val="sr-Cyrl-CS"/>
              </w:rPr>
            </w:pPr>
          </w:p>
        </w:tc>
        <w:tc>
          <w:tcPr>
            <w:tcW w:w="338" w:type="pct"/>
            <w:gridSpan w:val="2"/>
            <w:tcBorders>
              <w:top w:val="nil"/>
              <w:left w:val="nil"/>
              <w:bottom w:val="dotted" w:sz="4" w:space="0" w:color="auto"/>
              <w:right w:val="dotted" w:sz="4" w:space="0" w:color="auto"/>
            </w:tcBorders>
            <w:shd w:val="clear" w:color="auto" w:fill="auto"/>
            <w:vAlign w:val="center"/>
          </w:tcPr>
          <w:p w14:paraId="76AAAED8" w14:textId="77777777" w:rsidR="00247CBF" w:rsidRPr="00092ED7" w:rsidRDefault="00247CBF" w:rsidP="00247CBF">
            <w:pPr>
              <w:spacing w:after="0"/>
              <w:jc w:val="center"/>
              <w:rPr>
                <w:rFonts w:eastAsia="Times New Roman" w:cs="Times New Roman"/>
                <w:sz w:val="20"/>
                <w:szCs w:val="20"/>
                <w:lang w:val="sr-Cyrl-CS"/>
              </w:rPr>
            </w:pPr>
          </w:p>
        </w:tc>
        <w:tc>
          <w:tcPr>
            <w:tcW w:w="348" w:type="pct"/>
            <w:gridSpan w:val="2"/>
            <w:tcBorders>
              <w:top w:val="nil"/>
              <w:left w:val="nil"/>
              <w:bottom w:val="dotted" w:sz="4" w:space="0" w:color="auto"/>
              <w:right w:val="double" w:sz="6" w:space="0" w:color="auto"/>
            </w:tcBorders>
            <w:shd w:val="clear" w:color="auto" w:fill="auto"/>
            <w:vAlign w:val="center"/>
          </w:tcPr>
          <w:p w14:paraId="0D028743" w14:textId="77777777" w:rsidR="00247CBF" w:rsidRPr="00092ED7" w:rsidRDefault="00247CBF" w:rsidP="00247CBF">
            <w:pPr>
              <w:spacing w:after="0"/>
              <w:jc w:val="center"/>
              <w:rPr>
                <w:rFonts w:eastAsia="Times New Roman" w:cs="Times New Roman"/>
                <w:sz w:val="23"/>
                <w:szCs w:val="23"/>
                <w:lang w:val="sr-Cyrl-CS"/>
              </w:rPr>
            </w:pPr>
          </w:p>
        </w:tc>
        <w:tc>
          <w:tcPr>
            <w:tcW w:w="88" w:type="pct"/>
            <w:tcBorders>
              <w:top w:val="nil"/>
              <w:left w:val="nil"/>
              <w:bottom w:val="nil"/>
              <w:right w:val="nil"/>
            </w:tcBorders>
            <w:shd w:val="clear" w:color="auto" w:fill="auto"/>
            <w:noWrap/>
            <w:vAlign w:val="center"/>
            <w:hideMark/>
          </w:tcPr>
          <w:p w14:paraId="350BD34E" w14:textId="77777777" w:rsidR="00247CBF" w:rsidRPr="00092ED7" w:rsidRDefault="00247CBF" w:rsidP="00247CBF">
            <w:pPr>
              <w:spacing w:after="0"/>
              <w:rPr>
                <w:rFonts w:eastAsia="Times New Roman" w:cs="Times New Roman"/>
                <w:b/>
                <w:bCs/>
                <w:szCs w:val="24"/>
                <w:lang w:val="sr-Cyrl-CS"/>
              </w:rPr>
            </w:pPr>
            <w:r w:rsidRPr="00092ED7">
              <w:rPr>
                <w:rFonts w:eastAsia="Times New Roman" w:cs="Times New Roman"/>
                <w:b/>
                <w:bCs/>
                <w:szCs w:val="24"/>
                <w:lang w:val="sr-Cyrl-CS"/>
              </w:rPr>
              <w:t> </w:t>
            </w:r>
          </w:p>
        </w:tc>
      </w:tr>
      <w:tr w:rsidR="00247CBF" w:rsidRPr="00092ED7" w14:paraId="6143B86B" w14:textId="77777777" w:rsidTr="00247CBF">
        <w:trPr>
          <w:trHeight w:val="283"/>
        </w:trPr>
        <w:tc>
          <w:tcPr>
            <w:tcW w:w="2320" w:type="pct"/>
            <w:tcBorders>
              <w:top w:val="nil"/>
              <w:left w:val="double" w:sz="6" w:space="0" w:color="auto"/>
              <w:bottom w:val="dotted" w:sz="4" w:space="0" w:color="auto"/>
              <w:right w:val="nil"/>
            </w:tcBorders>
            <w:shd w:val="clear" w:color="auto" w:fill="auto"/>
            <w:vAlign w:val="center"/>
            <w:hideMark/>
          </w:tcPr>
          <w:p w14:paraId="66C86EAA" w14:textId="77777777" w:rsidR="00247CBF" w:rsidRPr="00092ED7" w:rsidRDefault="00247CBF" w:rsidP="00247CBF">
            <w:pPr>
              <w:spacing w:after="0"/>
              <w:jc w:val="left"/>
              <w:rPr>
                <w:rFonts w:eastAsia="Times New Roman" w:cs="Times New Roman"/>
                <w:sz w:val="20"/>
                <w:szCs w:val="20"/>
                <w:lang w:val="sr-Cyrl-CS"/>
              </w:rPr>
            </w:pPr>
            <w:r w:rsidRPr="00092ED7">
              <w:rPr>
                <w:rFonts w:eastAsia="Times New Roman" w:cs="Times New Roman"/>
                <w:sz w:val="20"/>
                <w:szCs w:val="20"/>
                <w:lang w:val="sr-Cyrl-CS"/>
              </w:rPr>
              <w:t>Курс у односу на ЕУР</w:t>
            </w:r>
          </w:p>
        </w:tc>
        <w:tc>
          <w:tcPr>
            <w:tcW w:w="892" w:type="pct"/>
            <w:gridSpan w:val="2"/>
            <w:tcBorders>
              <w:top w:val="dotted" w:sz="4" w:space="0" w:color="auto"/>
              <w:left w:val="single" w:sz="4" w:space="0" w:color="auto"/>
              <w:bottom w:val="dotted" w:sz="4" w:space="0" w:color="auto"/>
              <w:right w:val="single" w:sz="8" w:space="0" w:color="000000"/>
            </w:tcBorders>
            <w:shd w:val="clear" w:color="auto" w:fill="auto"/>
            <w:vAlign w:val="center"/>
            <w:hideMark/>
          </w:tcPr>
          <w:p w14:paraId="324A4C12" w14:textId="77777777" w:rsidR="00247CBF" w:rsidRPr="00092ED7" w:rsidRDefault="00247CBF" w:rsidP="00247CBF">
            <w:pPr>
              <w:spacing w:after="0"/>
              <w:jc w:val="center"/>
              <w:rPr>
                <w:rFonts w:eastAsia="Times New Roman" w:cs="Times New Roman"/>
                <w:sz w:val="18"/>
                <w:szCs w:val="18"/>
                <w:lang w:val="sr-Cyrl-CS"/>
              </w:rPr>
            </w:pPr>
            <w:r w:rsidRPr="00092ED7">
              <w:rPr>
                <w:rFonts w:eastAsia="Times New Roman" w:cs="Times New Roman"/>
                <w:sz w:val="18"/>
                <w:szCs w:val="18"/>
                <w:lang w:val="sr-Cyrl-CS"/>
              </w:rPr>
              <w:t>Год. просек</w:t>
            </w:r>
          </w:p>
        </w:tc>
        <w:tc>
          <w:tcPr>
            <w:tcW w:w="338" w:type="pct"/>
            <w:tcBorders>
              <w:top w:val="nil"/>
              <w:left w:val="nil"/>
              <w:bottom w:val="dotted" w:sz="4" w:space="0" w:color="auto"/>
              <w:right w:val="dotted" w:sz="4" w:space="0" w:color="auto"/>
            </w:tcBorders>
            <w:shd w:val="clear" w:color="auto" w:fill="auto"/>
            <w:vAlign w:val="center"/>
          </w:tcPr>
          <w:p w14:paraId="67551FFC" w14:textId="77777777" w:rsidR="00247CBF" w:rsidRPr="00092ED7" w:rsidRDefault="00247CBF" w:rsidP="00247CBF">
            <w:pPr>
              <w:spacing w:after="0"/>
              <w:jc w:val="center"/>
              <w:rPr>
                <w:rFonts w:eastAsia="Times New Roman" w:cs="Times New Roman"/>
                <w:sz w:val="20"/>
                <w:szCs w:val="20"/>
                <w:lang w:val="sr-Cyrl-CS"/>
              </w:rPr>
            </w:pPr>
          </w:p>
        </w:tc>
        <w:tc>
          <w:tcPr>
            <w:tcW w:w="338" w:type="pct"/>
            <w:gridSpan w:val="2"/>
            <w:tcBorders>
              <w:top w:val="nil"/>
              <w:left w:val="nil"/>
              <w:bottom w:val="dotted" w:sz="4" w:space="0" w:color="auto"/>
              <w:right w:val="dotted" w:sz="4" w:space="0" w:color="auto"/>
            </w:tcBorders>
            <w:shd w:val="clear" w:color="auto" w:fill="auto"/>
            <w:vAlign w:val="center"/>
          </w:tcPr>
          <w:p w14:paraId="47B8F165" w14:textId="77777777" w:rsidR="00247CBF" w:rsidRPr="00092ED7" w:rsidRDefault="00247CBF" w:rsidP="00247CBF">
            <w:pPr>
              <w:spacing w:after="0"/>
              <w:jc w:val="center"/>
              <w:rPr>
                <w:rFonts w:eastAsia="Times New Roman" w:cs="Times New Roman"/>
                <w:sz w:val="20"/>
                <w:szCs w:val="20"/>
                <w:lang w:val="sr-Cyrl-CS"/>
              </w:rPr>
            </w:pPr>
          </w:p>
        </w:tc>
        <w:tc>
          <w:tcPr>
            <w:tcW w:w="338" w:type="pct"/>
            <w:gridSpan w:val="2"/>
            <w:tcBorders>
              <w:top w:val="nil"/>
              <w:left w:val="nil"/>
              <w:bottom w:val="dotted" w:sz="4" w:space="0" w:color="auto"/>
              <w:right w:val="dotted" w:sz="4" w:space="0" w:color="auto"/>
            </w:tcBorders>
            <w:shd w:val="clear" w:color="auto" w:fill="auto"/>
            <w:vAlign w:val="center"/>
          </w:tcPr>
          <w:p w14:paraId="1D118A48" w14:textId="77777777" w:rsidR="00247CBF" w:rsidRPr="00092ED7" w:rsidRDefault="00247CBF" w:rsidP="00247CBF">
            <w:pPr>
              <w:spacing w:after="0"/>
              <w:jc w:val="center"/>
              <w:rPr>
                <w:rFonts w:eastAsia="Times New Roman" w:cs="Times New Roman"/>
                <w:sz w:val="20"/>
                <w:szCs w:val="20"/>
                <w:lang w:val="sr-Cyrl-CS"/>
              </w:rPr>
            </w:pPr>
          </w:p>
        </w:tc>
        <w:tc>
          <w:tcPr>
            <w:tcW w:w="338" w:type="pct"/>
            <w:gridSpan w:val="2"/>
            <w:tcBorders>
              <w:top w:val="nil"/>
              <w:left w:val="nil"/>
              <w:bottom w:val="dotted" w:sz="4" w:space="0" w:color="auto"/>
              <w:right w:val="dotted" w:sz="4" w:space="0" w:color="auto"/>
            </w:tcBorders>
            <w:shd w:val="clear" w:color="auto" w:fill="auto"/>
            <w:vAlign w:val="center"/>
          </w:tcPr>
          <w:p w14:paraId="44F2B6C9" w14:textId="77777777" w:rsidR="00247CBF" w:rsidRPr="00092ED7" w:rsidRDefault="00247CBF" w:rsidP="00247CBF">
            <w:pPr>
              <w:spacing w:after="0"/>
              <w:jc w:val="center"/>
              <w:rPr>
                <w:rFonts w:eastAsia="Times New Roman" w:cs="Times New Roman"/>
                <w:sz w:val="20"/>
                <w:szCs w:val="20"/>
                <w:lang w:val="sr-Cyrl-CS"/>
              </w:rPr>
            </w:pPr>
          </w:p>
        </w:tc>
        <w:tc>
          <w:tcPr>
            <w:tcW w:w="348" w:type="pct"/>
            <w:gridSpan w:val="2"/>
            <w:tcBorders>
              <w:top w:val="nil"/>
              <w:left w:val="nil"/>
              <w:bottom w:val="dotted" w:sz="4" w:space="0" w:color="auto"/>
              <w:right w:val="double" w:sz="6" w:space="0" w:color="auto"/>
            </w:tcBorders>
            <w:shd w:val="clear" w:color="auto" w:fill="auto"/>
            <w:vAlign w:val="center"/>
          </w:tcPr>
          <w:p w14:paraId="2E5B1390" w14:textId="77777777" w:rsidR="00247CBF" w:rsidRPr="00092ED7" w:rsidRDefault="00247CBF" w:rsidP="00247CBF">
            <w:pPr>
              <w:spacing w:after="0"/>
              <w:jc w:val="center"/>
              <w:rPr>
                <w:rFonts w:eastAsia="Times New Roman" w:cs="Times New Roman"/>
                <w:sz w:val="20"/>
                <w:szCs w:val="20"/>
                <w:lang w:val="sr-Cyrl-CS"/>
              </w:rPr>
            </w:pPr>
          </w:p>
        </w:tc>
        <w:tc>
          <w:tcPr>
            <w:tcW w:w="88" w:type="pct"/>
            <w:tcBorders>
              <w:top w:val="nil"/>
              <w:left w:val="nil"/>
              <w:bottom w:val="nil"/>
              <w:right w:val="nil"/>
            </w:tcBorders>
            <w:shd w:val="clear" w:color="auto" w:fill="auto"/>
            <w:noWrap/>
            <w:vAlign w:val="center"/>
            <w:hideMark/>
          </w:tcPr>
          <w:p w14:paraId="770A4D48" w14:textId="77777777" w:rsidR="00247CBF" w:rsidRPr="00092ED7" w:rsidRDefault="00247CBF" w:rsidP="00247CBF">
            <w:pPr>
              <w:spacing w:after="0"/>
              <w:rPr>
                <w:rFonts w:eastAsia="Times New Roman" w:cs="Times New Roman"/>
                <w:b/>
                <w:bCs/>
                <w:szCs w:val="24"/>
                <w:lang w:val="sr-Cyrl-CS"/>
              </w:rPr>
            </w:pPr>
            <w:r w:rsidRPr="00092ED7">
              <w:rPr>
                <w:rFonts w:eastAsia="Times New Roman" w:cs="Times New Roman"/>
                <w:b/>
                <w:bCs/>
                <w:szCs w:val="24"/>
                <w:lang w:val="sr-Cyrl-CS"/>
              </w:rPr>
              <w:t> </w:t>
            </w:r>
          </w:p>
        </w:tc>
      </w:tr>
      <w:tr w:rsidR="00247CBF" w:rsidRPr="00092ED7" w14:paraId="7329A0FC" w14:textId="77777777" w:rsidTr="00247CBF">
        <w:trPr>
          <w:trHeight w:val="283"/>
        </w:trPr>
        <w:tc>
          <w:tcPr>
            <w:tcW w:w="2320" w:type="pct"/>
            <w:tcBorders>
              <w:top w:val="nil"/>
              <w:left w:val="double" w:sz="6" w:space="0" w:color="auto"/>
              <w:bottom w:val="dotted" w:sz="4" w:space="0" w:color="auto"/>
              <w:right w:val="nil"/>
            </w:tcBorders>
            <w:shd w:val="clear" w:color="auto" w:fill="auto"/>
            <w:vAlign w:val="center"/>
            <w:hideMark/>
          </w:tcPr>
          <w:p w14:paraId="7E06C50C" w14:textId="77777777" w:rsidR="00247CBF" w:rsidRPr="00092ED7" w:rsidRDefault="00247CBF" w:rsidP="00247CBF">
            <w:pPr>
              <w:spacing w:after="0"/>
              <w:jc w:val="left"/>
              <w:rPr>
                <w:rFonts w:eastAsia="Times New Roman" w:cs="Times New Roman"/>
                <w:sz w:val="20"/>
                <w:szCs w:val="20"/>
                <w:lang w:val="sr-Cyrl-CS"/>
              </w:rPr>
            </w:pPr>
            <w:r w:rsidRPr="00092ED7">
              <w:rPr>
                <w:rFonts w:eastAsia="Times New Roman" w:cs="Times New Roman"/>
                <w:sz w:val="20"/>
                <w:szCs w:val="20"/>
                <w:lang w:val="sr-Cyrl-CS"/>
              </w:rPr>
              <w:t>Раст светског БДП-а, без ЕУ</w:t>
            </w:r>
          </w:p>
        </w:tc>
        <w:tc>
          <w:tcPr>
            <w:tcW w:w="892" w:type="pct"/>
            <w:gridSpan w:val="2"/>
            <w:tcBorders>
              <w:top w:val="dotted" w:sz="4" w:space="0" w:color="auto"/>
              <w:left w:val="single" w:sz="4" w:space="0" w:color="auto"/>
              <w:bottom w:val="dotted" w:sz="4" w:space="0" w:color="auto"/>
              <w:right w:val="single" w:sz="8" w:space="0" w:color="000000"/>
            </w:tcBorders>
            <w:shd w:val="clear" w:color="auto" w:fill="auto"/>
            <w:vAlign w:val="center"/>
            <w:hideMark/>
          </w:tcPr>
          <w:p w14:paraId="64C257F1" w14:textId="77777777" w:rsidR="00247CBF" w:rsidRPr="00092ED7" w:rsidRDefault="00247CBF" w:rsidP="00247CBF">
            <w:pPr>
              <w:spacing w:after="0"/>
              <w:jc w:val="center"/>
              <w:rPr>
                <w:rFonts w:eastAsia="Times New Roman" w:cs="Times New Roman"/>
                <w:sz w:val="18"/>
                <w:szCs w:val="18"/>
                <w:lang w:val="sr-Cyrl-CS"/>
              </w:rPr>
            </w:pPr>
            <w:r w:rsidRPr="00092ED7">
              <w:rPr>
                <w:rFonts w:eastAsia="Times New Roman" w:cs="Times New Roman"/>
                <w:sz w:val="18"/>
                <w:szCs w:val="18"/>
                <w:lang w:val="sr-Cyrl-CS"/>
              </w:rPr>
              <w:t>Год. просек</w:t>
            </w:r>
          </w:p>
        </w:tc>
        <w:tc>
          <w:tcPr>
            <w:tcW w:w="338" w:type="pct"/>
            <w:tcBorders>
              <w:top w:val="nil"/>
              <w:left w:val="nil"/>
              <w:bottom w:val="dotted" w:sz="4" w:space="0" w:color="auto"/>
              <w:right w:val="dotted" w:sz="4" w:space="0" w:color="auto"/>
            </w:tcBorders>
            <w:shd w:val="clear" w:color="auto" w:fill="auto"/>
            <w:vAlign w:val="center"/>
          </w:tcPr>
          <w:p w14:paraId="0EB498B0" w14:textId="77777777" w:rsidR="00247CBF" w:rsidRPr="00092ED7" w:rsidRDefault="00247CBF" w:rsidP="00247CBF">
            <w:pPr>
              <w:spacing w:after="0"/>
              <w:jc w:val="center"/>
              <w:rPr>
                <w:rFonts w:eastAsia="Times New Roman" w:cs="Times New Roman"/>
                <w:sz w:val="20"/>
                <w:szCs w:val="20"/>
                <w:lang w:val="sr-Cyrl-CS"/>
              </w:rPr>
            </w:pPr>
          </w:p>
        </w:tc>
        <w:tc>
          <w:tcPr>
            <w:tcW w:w="338" w:type="pct"/>
            <w:gridSpan w:val="2"/>
            <w:tcBorders>
              <w:top w:val="nil"/>
              <w:left w:val="nil"/>
              <w:bottom w:val="dotted" w:sz="4" w:space="0" w:color="auto"/>
              <w:right w:val="dotted" w:sz="4" w:space="0" w:color="auto"/>
            </w:tcBorders>
            <w:shd w:val="clear" w:color="auto" w:fill="auto"/>
            <w:vAlign w:val="center"/>
          </w:tcPr>
          <w:p w14:paraId="41524D23" w14:textId="77777777" w:rsidR="00247CBF" w:rsidRPr="00092ED7" w:rsidRDefault="00247CBF" w:rsidP="00247CBF">
            <w:pPr>
              <w:spacing w:after="0"/>
              <w:jc w:val="center"/>
              <w:rPr>
                <w:rFonts w:eastAsia="Times New Roman" w:cs="Times New Roman"/>
                <w:sz w:val="20"/>
                <w:szCs w:val="20"/>
                <w:lang w:val="sr-Cyrl-CS"/>
              </w:rPr>
            </w:pPr>
          </w:p>
        </w:tc>
        <w:tc>
          <w:tcPr>
            <w:tcW w:w="338" w:type="pct"/>
            <w:gridSpan w:val="2"/>
            <w:tcBorders>
              <w:top w:val="nil"/>
              <w:left w:val="nil"/>
              <w:bottom w:val="dotted" w:sz="4" w:space="0" w:color="auto"/>
              <w:right w:val="dotted" w:sz="4" w:space="0" w:color="auto"/>
            </w:tcBorders>
            <w:shd w:val="clear" w:color="auto" w:fill="auto"/>
            <w:vAlign w:val="center"/>
          </w:tcPr>
          <w:p w14:paraId="0D661035" w14:textId="77777777" w:rsidR="00247CBF" w:rsidRPr="00092ED7" w:rsidRDefault="00247CBF" w:rsidP="00247CBF">
            <w:pPr>
              <w:spacing w:after="0"/>
              <w:jc w:val="center"/>
              <w:rPr>
                <w:rFonts w:eastAsia="Times New Roman" w:cs="Times New Roman"/>
                <w:sz w:val="20"/>
                <w:szCs w:val="20"/>
                <w:lang w:val="sr-Cyrl-CS"/>
              </w:rPr>
            </w:pPr>
          </w:p>
        </w:tc>
        <w:tc>
          <w:tcPr>
            <w:tcW w:w="338" w:type="pct"/>
            <w:gridSpan w:val="2"/>
            <w:tcBorders>
              <w:top w:val="nil"/>
              <w:left w:val="nil"/>
              <w:bottom w:val="dotted" w:sz="4" w:space="0" w:color="auto"/>
              <w:right w:val="dotted" w:sz="4" w:space="0" w:color="auto"/>
            </w:tcBorders>
            <w:shd w:val="clear" w:color="auto" w:fill="auto"/>
            <w:vAlign w:val="center"/>
          </w:tcPr>
          <w:p w14:paraId="1F888897" w14:textId="77777777" w:rsidR="00247CBF" w:rsidRPr="00092ED7" w:rsidRDefault="00247CBF" w:rsidP="00247CBF">
            <w:pPr>
              <w:spacing w:after="0"/>
              <w:jc w:val="center"/>
              <w:rPr>
                <w:rFonts w:eastAsia="Times New Roman" w:cs="Times New Roman"/>
                <w:sz w:val="20"/>
                <w:szCs w:val="20"/>
                <w:lang w:val="sr-Cyrl-CS"/>
              </w:rPr>
            </w:pPr>
          </w:p>
        </w:tc>
        <w:tc>
          <w:tcPr>
            <w:tcW w:w="348" w:type="pct"/>
            <w:gridSpan w:val="2"/>
            <w:tcBorders>
              <w:top w:val="nil"/>
              <w:left w:val="nil"/>
              <w:bottom w:val="dotted" w:sz="4" w:space="0" w:color="auto"/>
              <w:right w:val="double" w:sz="6" w:space="0" w:color="auto"/>
            </w:tcBorders>
            <w:shd w:val="clear" w:color="auto" w:fill="auto"/>
            <w:vAlign w:val="center"/>
          </w:tcPr>
          <w:p w14:paraId="53ECB955" w14:textId="77777777" w:rsidR="00247CBF" w:rsidRPr="00092ED7" w:rsidRDefault="00247CBF" w:rsidP="00247CBF">
            <w:pPr>
              <w:spacing w:after="0"/>
              <w:jc w:val="center"/>
              <w:rPr>
                <w:rFonts w:eastAsia="Times New Roman" w:cs="Times New Roman"/>
                <w:sz w:val="23"/>
                <w:szCs w:val="23"/>
                <w:lang w:val="sr-Cyrl-CS"/>
              </w:rPr>
            </w:pPr>
          </w:p>
        </w:tc>
        <w:tc>
          <w:tcPr>
            <w:tcW w:w="88" w:type="pct"/>
            <w:tcBorders>
              <w:top w:val="nil"/>
              <w:left w:val="nil"/>
              <w:bottom w:val="nil"/>
              <w:right w:val="nil"/>
            </w:tcBorders>
            <w:shd w:val="clear" w:color="auto" w:fill="auto"/>
            <w:noWrap/>
            <w:vAlign w:val="center"/>
            <w:hideMark/>
          </w:tcPr>
          <w:p w14:paraId="3B8EDFB9" w14:textId="77777777" w:rsidR="00247CBF" w:rsidRPr="00092ED7" w:rsidRDefault="00247CBF" w:rsidP="00247CBF">
            <w:pPr>
              <w:spacing w:after="0"/>
              <w:rPr>
                <w:rFonts w:eastAsia="Times New Roman" w:cs="Times New Roman"/>
                <w:b/>
                <w:bCs/>
                <w:szCs w:val="24"/>
                <w:lang w:val="sr-Cyrl-CS"/>
              </w:rPr>
            </w:pPr>
            <w:r w:rsidRPr="00092ED7">
              <w:rPr>
                <w:rFonts w:eastAsia="Times New Roman" w:cs="Times New Roman"/>
                <w:b/>
                <w:bCs/>
                <w:szCs w:val="24"/>
                <w:lang w:val="sr-Cyrl-CS"/>
              </w:rPr>
              <w:t> </w:t>
            </w:r>
          </w:p>
        </w:tc>
      </w:tr>
      <w:tr w:rsidR="00247CBF" w:rsidRPr="00092ED7" w14:paraId="356815B0" w14:textId="77777777" w:rsidTr="00247CBF">
        <w:trPr>
          <w:trHeight w:val="283"/>
        </w:trPr>
        <w:tc>
          <w:tcPr>
            <w:tcW w:w="2320" w:type="pct"/>
            <w:tcBorders>
              <w:top w:val="nil"/>
              <w:left w:val="double" w:sz="6" w:space="0" w:color="auto"/>
              <w:bottom w:val="dotted" w:sz="4" w:space="0" w:color="auto"/>
              <w:right w:val="nil"/>
            </w:tcBorders>
            <w:shd w:val="clear" w:color="auto" w:fill="auto"/>
            <w:vAlign w:val="center"/>
            <w:hideMark/>
          </w:tcPr>
          <w:p w14:paraId="1F11C927" w14:textId="77777777" w:rsidR="00247CBF" w:rsidRPr="00092ED7" w:rsidRDefault="00247CBF" w:rsidP="00247CBF">
            <w:pPr>
              <w:spacing w:after="0"/>
              <w:jc w:val="left"/>
              <w:rPr>
                <w:rFonts w:eastAsia="Times New Roman" w:cs="Times New Roman"/>
                <w:sz w:val="20"/>
                <w:szCs w:val="20"/>
                <w:lang w:val="sr-Cyrl-CS"/>
              </w:rPr>
            </w:pPr>
            <w:r w:rsidRPr="00092ED7">
              <w:rPr>
                <w:rFonts w:eastAsia="Times New Roman" w:cs="Times New Roman"/>
                <w:sz w:val="20"/>
                <w:szCs w:val="20"/>
                <w:lang w:val="sr-Cyrl-CS"/>
              </w:rPr>
              <w:t>Раст БДП-а у ЕУ</w:t>
            </w:r>
          </w:p>
        </w:tc>
        <w:tc>
          <w:tcPr>
            <w:tcW w:w="892" w:type="pct"/>
            <w:gridSpan w:val="2"/>
            <w:tcBorders>
              <w:top w:val="dotted" w:sz="4" w:space="0" w:color="auto"/>
              <w:left w:val="single" w:sz="4" w:space="0" w:color="auto"/>
              <w:bottom w:val="dotted" w:sz="4" w:space="0" w:color="auto"/>
              <w:right w:val="single" w:sz="8" w:space="0" w:color="000000"/>
            </w:tcBorders>
            <w:shd w:val="clear" w:color="auto" w:fill="auto"/>
            <w:vAlign w:val="center"/>
            <w:hideMark/>
          </w:tcPr>
          <w:p w14:paraId="085E9C56" w14:textId="77777777" w:rsidR="00247CBF" w:rsidRPr="00092ED7" w:rsidRDefault="00247CBF" w:rsidP="00247CBF">
            <w:pPr>
              <w:spacing w:after="0"/>
              <w:jc w:val="center"/>
              <w:rPr>
                <w:rFonts w:eastAsia="Times New Roman" w:cs="Times New Roman"/>
                <w:sz w:val="18"/>
                <w:szCs w:val="18"/>
                <w:lang w:val="sr-Cyrl-CS"/>
              </w:rPr>
            </w:pPr>
            <w:r w:rsidRPr="00092ED7">
              <w:rPr>
                <w:rFonts w:eastAsia="Times New Roman" w:cs="Times New Roman"/>
                <w:sz w:val="18"/>
                <w:szCs w:val="18"/>
                <w:lang w:val="sr-Cyrl-CS"/>
              </w:rPr>
              <w:t>Год. просек</w:t>
            </w:r>
          </w:p>
        </w:tc>
        <w:tc>
          <w:tcPr>
            <w:tcW w:w="338" w:type="pct"/>
            <w:tcBorders>
              <w:top w:val="nil"/>
              <w:left w:val="nil"/>
              <w:bottom w:val="dotted" w:sz="4" w:space="0" w:color="auto"/>
              <w:right w:val="dotted" w:sz="4" w:space="0" w:color="auto"/>
            </w:tcBorders>
            <w:shd w:val="clear" w:color="auto" w:fill="auto"/>
            <w:vAlign w:val="center"/>
          </w:tcPr>
          <w:p w14:paraId="30A04771" w14:textId="77777777" w:rsidR="00247CBF" w:rsidRPr="00092ED7" w:rsidRDefault="00247CBF" w:rsidP="00247CBF">
            <w:pPr>
              <w:spacing w:after="0"/>
              <w:jc w:val="center"/>
              <w:rPr>
                <w:rFonts w:eastAsia="Times New Roman" w:cs="Times New Roman"/>
                <w:sz w:val="20"/>
                <w:szCs w:val="20"/>
                <w:lang w:val="sr-Cyrl-CS"/>
              </w:rPr>
            </w:pPr>
          </w:p>
        </w:tc>
        <w:tc>
          <w:tcPr>
            <w:tcW w:w="338" w:type="pct"/>
            <w:gridSpan w:val="2"/>
            <w:tcBorders>
              <w:top w:val="nil"/>
              <w:left w:val="nil"/>
              <w:bottom w:val="dotted" w:sz="4" w:space="0" w:color="auto"/>
              <w:right w:val="dotted" w:sz="4" w:space="0" w:color="auto"/>
            </w:tcBorders>
            <w:shd w:val="clear" w:color="auto" w:fill="auto"/>
            <w:vAlign w:val="center"/>
          </w:tcPr>
          <w:p w14:paraId="0FE1765F" w14:textId="77777777" w:rsidR="00247CBF" w:rsidRPr="00092ED7" w:rsidRDefault="00247CBF" w:rsidP="00247CBF">
            <w:pPr>
              <w:spacing w:after="0"/>
              <w:jc w:val="center"/>
              <w:rPr>
                <w:rFonts w:eastAsia="Times New Roman" w:cs="Times New Roman"/>
                <w:sz w:val="20"/>
                <w:szCs w:val="20"/>
                <w:lang w:val="sr-Cyrl-CS"/>
              </w:rPr>
            </w:pPr>
          </w:p>
        </w:tc>
        <w:tc>
          <w:tcPr>
            <w:tcW w:w="338" w:type="pct"/>
            <w:gridSpan w:val="2"/>
            <w:tcBorders>
              <w:top w:val="nil"/>
              <w:left w:val="nil"/>
              <w:bottom w:val="dotted" w:sz="4" w:space="0" w:color="auto"/>
              <w:right w:val="dotted" w:sz="4" w:space="0" w:color="auto"/>
            </w:tcBorders>
            <w:shd w:val="clear" w:color="auto" w:fill="auto"/>
            <w:vAlign w:val="center"/>
          </w:tcPr>
          <w:p w14:paraId="5786D674" w14:textId="77777777" w:rsidR="00247CBF" w:rsidRPr="00092ED7" w:rsidRDefault="00247CBF" w:rsidP="00247CBF">
            <w:pPr>
              <w:spacing w:after="0"/>
              <w:jc w:val="center"/>
              <w:rPr>
                <w:rFonts w:eastAsia="Times New Roman" w:cs="Times New Roman"/>
                <w:sz w:val="20"/>
                <w:szCs w:val="20"/>
                <w:lang w:val="sr-Cyrl-CS"/>
              </w:rPr>
            </w:pPr>
          </w:p>
        </w:tc>
        <w:tc>
          <w:tcPr>
            <w:tcW w:w="338" w:type="pct"/>
            <w:gridSpan w:val="2"/>
            <w:tcBorders>
              <w:top w:val="nil"/>
              <w:left w:val="nil"/>
              <w:bottom w:val="dotted" w:sz="4" w:space="0" w:color="auto"/>
              <w:right w:val="dotted" w:sz="4" w:space="0" w:color="auto"/>
            </w:tcBorders>
            <w:shd w:val="clear" w:color="auto" w:fill="auto"/>
            <w:vAlign w:val="center"/>
          </w:tcPr>
          <w:p w14:paraId="6ADE05F7" w14:textId="77777777" w:rsidR="00247CBF" w:rsidRPr="00092ED7" w:rsidRDefault="00247CBF" w:rsidP="00247CBF">
            <w:pPr>
              <w:spacing w:after="0"/>
              <w:jc w:val="center"/>
              <w:rPr>
                <w:rFonts w:eastAsia="Times New Roman" w:cs="Times New Roman"/>
                <w:sz w:val="20"/>
                <w:szCs w:val="20"/>
                <w:lang w:val="sr-Cyrl-CS"/>
              </w:rPr>
            </w:pPr>
          </w:p>
        </w:tc>
        <w:tc>
          <w:tcPr>
            <w:tcW w:w="348" w:type="pct"/>
            <w:gridSpan w:val="2"/>
            <w:tcBorders>
              <w:top w:val="nil"/>
              <w:left w:val="nil"/>
              <w:bottom w:val="dotted" w:sz="4" w:space="0" w:color="auto"/>
              <w:right w:val="double" w:sz="6" w:space="0" w:color="auto"/>
            </w:tcBorders>
            <w:shd w:val="clear" w:color="auto" w:fill="auto"/>
            <w:vAlign w:val="center"/>
          </w:tcPr>
          <w:p w14:paraId="6297CF29" w14:textId="77777777" w:rsidR="00247CBF" w:rsidRPr="00092ED7" w:rsidRDefault="00247CBF" w:rsidP="00247CBF">
            <w:pPr>
              <w:spacing w:after="0"/>
              <w:jc w:val="center"/>
              <w:rPr>
                <w:rFonts w:eastAsia="Times New Roman" w:cs="Times New Roman"/>
                <w:sz w:val="23"/>
                <w:szCs w:val="23"/>
                <w:lang w:val="sr-Cyrl-CS"/>
              </w:rPr>
            </w:pPr>
          </w:p>
        </w:tc>
        <w:tc>
          <w:tcPr>
            <w:tcW w:w="88" w:type="pct"/>
            <w:tcBorders>
              <w:top w:val="nil"/>
              <w:left w:val="nil"/>
              <w:bottom w:val="nil"/>
              <w:right w:val="nil"/>
            </w:tcBorders>
            <w:shd w:val="clear" w:color="auto" w:fill="auto"/>
            <w:noWrap/>
            <w:vAlign w:val="center"/>
            <w:hideMark/>
          </w:tcPr>
          <w:p w14:paraId="74F3509A" w14:textId="77777777" w:rsidR="00247CBF" w:rsidRPr="00092ED7" w:rsidRDefault="00247CBF" w:rsidP="00247CBF">
            <w:pPr>
              <w:spacing w:after="0"/>
              <w:rPr>
                <w:rFonts w:eastAsia="Times New Roman" w:cs="Times New Roman"/>
                <w:b/>
                <w:bCs/>
                <w:szCs w:val="24"/>
                <w:lang w:val="sr-Cyrl-CS"/>
              </w:rPr>
            </w:pPr>
            <w:r w:rsidRPr="00092ED7">
              <w:rPr>
                <w:rFonts w:eastAsia="Times New Roman" w:cs="Times New Roman"/>
                <w:b/>
                <w:bCs/>
                <w:szCs w:val="24"/>
                <w:lang w:val="sr-Cyrl-CS"/>
              </w:rPr>
              <w:t> </w:t>
            </w:r>
          </w:p>
        </w:tc>
      </w:tr>
      <w:tr w:rsidR="00247CBF" w:rsidRPr="00092ED7" w14:paraId="55BEAF88" w14:textId="77777777" w:rsidTr="00247CBF">
        <w:trPr>
          <w:trHeight w:val="283"/>
        </w:trPr>
        <w:tc>
          <w:tcPr>
            <w:tcW w:w="2320" w:type="pct"/>
            <w:tcBorders>
              <w:top w:val="nil"/>
              <w:left w:val="double" w:sz="6" w:space="0" w:color="auto"/>
              <w:bottom w:val="dotted" w:sz="4" w:space="0" w:color="auto"/>
              <w:right w:val="nil"/>
            </w:tcBorders>
            <w:shd w:val="clear" w:color="auto" w:fill="auto"/>
            <w:vAlign w:val="center"/>
            <w:hideMark/>
          </w:tcPr>
          <w:p w14:paraId="7514D095" w14:textId="77777777" w:rsidR="00247CBF" w:rsidRPr="00092ED7" w:rsidRDefault="00247CBF" w:rsidP="00247CBF">
            <w:pPr>
              <w:spacing w:after="0"/>
              <w:jc w:val="left"/>
              <w:rPr>
                <w:rFonts w:eastAsia="Times New Roman" w:cs="Times New Roman"/>
                <w:sz w:val="20"/>
                <w:szCs w:val="20"/>
                <w:lang w:val="sr-Cyrl-CS"/>
              </w:rPr>
            </w:pPr>
            <w:r w:rsidRPr="00092ED7">
              <w:rPr>
                <w:rFonts w:eastAsia="Times New Roman" w:cs="Times New Roman"/>
                <w:sz w:val="20"/>
                <w:szCs w:val="20"/>
                <w:lang w:val="sr-Cyrl-CS"/>
              </w:rPr>
              <w:t>Раст релевантних страних тржишта</w:t>
            </w:r>
          </w:p>
        </w:tc>
        <w:tc>
          <w:tcPr>
            <w:tcW w:w="892" w:type="pct"/>
            <w:gridSpan w:val="2"/>
            <w:tcBorders>
              <w:top w:val="dotted" w:sz="4" w:space="0" w:color="auto"/>
              <w:left w:val="single" w:sz="4" w:space="0" w:color="auto"/>
              <w:bottom w:val="dotted" w:sz="4" w:space="0" w:color="auto"/>
              <w:right w:val="single" w:sz="8" w:space="0" w:color="000000"/>
            </w:tcBorders>
            <w:shd w:val="clear" w:color="auto" w:fill="auto"/>
            <w:vAlign w:val="center"/>
            <w:hideMark/>
          </w:tcPr>
          <w:p w14:paraId="3A92E78E" w14:textId="77777777" w:rsidR="00247CBF" w:rsidRPr="00092ED7" w:rsidRDefault="00247CBF" w:rsidP="00247CBF">
            <w:pPr>
              <w:spacing w:after="0"/>
              <w:jc w:val="center"/>
              <w:rPr>
                <w:rFonts w:eastAsia="Times New Roman" w:cs="Times New Roman"/>
                <w:sz w:val="18"/>
                <w:szCs w:val="18"/>
                <w:lang w:val="sr-Cyrl-CS"/>
              </w:rPr>
            </w:pPr>
            <w:r w:rsidRPr="00092ED7">
              <w:rPr>
                <w:rFonts w:eastAsia="Times New Roman" w:cs="Times New Roman"/>
                <w:sz w:val="18"/>
                <w:szCs w:val="18"/>
                <w:lang w:val="sr-Cyrl-CS"/>
              </w:rPr>
              <w:t>Год. просек</w:t>
            </w:r>
          </w:p>
        </w:tc>
        <w:tc>
          <w:tcPr>
            <w:tcW w:w="338" w:type="pct"/>
            <w:tcBorders>
              <w:top w:val="nil"/>
              <w:left w:val="nil"/>
              <w:bottom w:val="dotted" w:sz="4" w:space="0" w:color="auto"/>
              <w:right w:val="dotted" w:sz="4" w:space="0" w:color="auto"/>
            </w:tcBorders>
            <w:shd w:val="clear" w:color="auto" w:fill="auto"/>
            <w:vAlign w:val="center"/>
          </w:tcPr>
          <w:p w14:paraId="30C9FD24" w14:textId="77777777" w:rsidR="00247CBF" w:rsidRPr="00092ED7" w:rsidRDefault="00247CBF" w:rsidP="00247CBF">
            <w:pPr>
              <w:spacing w:after="0"/>
              <w:jc w:val="center"/>
              <w:rPr>
                <w:rFonts w:eastAsia="Times New Roman" w:cs="Times New Roman"/>
                <w:sz w:val="23"/>
                <w:szCs w:val="23"/>
                <w:lang w:val="sr-Cyrl-CS"/>
              </w:rPr>
            </w:pPr>
          </w:p>
        </w:tc>
        <w:tc>
          <w:tcPr>
            <w:tcW w:w="338" w:type="pct"/>
            <w:gridSpan w:val="2"/>
            <w:tcBorders>
              <w:top w:val="nil"/>
              <w:left w:val="nil"/>
              <w:bottom w:val="dotted" w:sz="4" w:space="0" w:color="auto"/>
              <w:right w:val="dotted" w:sz="4" w:space="0" w:color="auto"/>
            </w:tcBorders>
            <w:shd w:val="clear" w:color="auto" w:fill="auto"/>
            <w:vAlign w:val="center"/>
          </w:tcPr>
          <w:p w14:paraId="50011DA7" w14:textId="77777777" w:rsidR="00247CBF" w:rsidRPr="00092ED7" w:rsidRDefault="00247CBF" w:rsidP="00247CBF">
            <w:pPr>
              <w:spacing w:after="0"/>
              <w:jc w:val="center"/>
              <w:rPr>
                <w:rFonts w:eastAsia="Times New Roman" w:cs="Times New Roman"/>
                <w:sz w:val="23"/>
                <w:szCs w:val="23"/>
                <w:lang w:val="sr-Cyrl-CS"/>
              </w:rPr>
            </w:pPr>
          </w:p>
        </w:tc>
        <w:tc>
          <w:tcPr>
            <w:tcW w:w="338" w:type="pct"/>
            <w:gridSpan w:val="2"/>
            <w:tcBorders>
              <w:top w:val="nil"/>
              <w:left w:val="nil"/>
              <w:bottom w:val="dotted" w:sz="4" w:space="0" w:color="auto"/>
              <w:right w:val="dotted" w:sz="4" w:space="0" w:color="auto"/>
            </w:tcBorders>
            <w:shd w:val="clear" w:color="auto" w:fill="auto"/>
            <w:vAlign w:val="center"/>
          </w:tcPr>
          <w:p w14:paraId="55DB65C2" w14:textId="77777777" w:rsidR="00247CBF" w:rsidRPr="00092ED7" w:rsidRDefault="00247CBF" w:rsidP="00247CBF">
            <w:pPr>
              <w:spacing w:after="0"/>
              <w:jc w:val="center"/>
              <w:rPr>
                <w:rFonts w:eastAsia="Times New Roman" w:cs="Times New Roman"/>
                <w:sz w:val="23"/>
                <w:szCs w:val="23"/>
                <w:lang w:val="sr-Cyrl-CS"/>
              </w:rPr>
            </w:pPr>
          </w:p>
        </w:tc>
        <w:tc>
          <w:tcPr>
            <w:tcW w:w="338" w:type="pct"/>
            <w:gridSpan w:val="2"/>
            <w:tcBorders>
              <w:top w:val="nil"/>
              <w:left w:val="nil"/>
              <w:bottom w:val="dotted" w:sz="4" w:space="0" w:color="auto"/>
              <w:right w:val="dotted" w:sz="4" w:space="0" w:color="auto"/>
            </w:tcBorders>
            <w:shd w:val="clear" w:color="auto" w:fill="auto"/>
            <w:vAlign w:val="center"/>
          </w:tcPr>
          <w:p w14:paraId="5CDBB85D" w14:textId="77777777" w:rsidR="00247CBF" w:rsidRPr="00092ED7" w:rsidRDefault="00247CBF" w:rsidP="00247CBF">
            <w:pPr>
              <w:spacing w:after="0"/>
              <w:jc w:val="center"/>
              <w:rPr>
                <w:rFonts w:eastAsia="Times New Roman" w:cs="Times New Roman"/>
                <w:sz w:val="23"/>
                <w:szCs w:val="23"/>
                <w:lang w:val="sr-Cyrl-CS"/>
              </w:rPr>
            </w:pPr>
          </w:p>
        </w:tc>
        <w:tc>
          <w:tcPr>
            <w:tcW w:w="348" w:type="pct"/>
            <w:gridSpan w:val="2"/>
            <w:tcBorders>
              <w:top w:val="nil"/>
              <w:left w:val="nil"/>
              <w:bottom w:val="dotted" w:sz="4" w:space="0" w:color="auto"/>
              <w:right w:val="double" w:sz="6" w:space="0" w:color="auto"/>
            </w:tcBorders>
            <w:shd w:val="clear" w:color="auto" w:fill="auto"/>
            <w:vAlign w:val="center"/>
          </w:tcPr>
          <w:p w14:paraId="743CAF68" w14:textId="77777777" w:rsidR="00247CBF" w:rsidRPr="00092ED7" w:rsidRDefault="00247CBF" w:rsidP="00247CBF">
            <w:pPr>
              <w:spacing w:after="0"/>
              <w:jc w:val="center"/>
              <w:rPr>
                <w:rFonts w:eastAsia="Times New Roman" w:cs="Times New Roman"/>
                <w:sz w:val="23"/>
                <w:szCs w:val="23"/>
                <w:lang w:val="sr-Cyrl-CS"/>
              </w:rPr>
            </w:pPr>
          </w:p>
        </w:tc>
        <w:tc>
          <w:tcPr>
            <w:tcW w:w="88" w:type="pct"/>
            <w:tcBorders>
              <w:top w:val="nil"/>
              <w:left w:val="nil"/>
              <w:bottom w:val="nil"/>
              <w:right w:val="nil"/>
            </w:tcBorders>
            <w:shd w:val="clear" w:color="auto" w:fill="auto"/>
            <w:noWrap/>
            <w:vAlign w:val="center"/>
            <w:hideMark/>
          </w:tcPr>
          <w:p w14:paraId="57223100" w14:textId="77777777" w:rsidR="00247CBF" w:rsidRPr="00092ED7" w:rsidRDefault="00247CBF" w:rsidP="00247CBF">
            <w:pPr>
              <w:spacing w:after="0"/>
              <w:rPr>
                <w:rFonts w:eastAsia="Times New Roman" w:cs="Times New Roman"/>
                <w:b/>
                <w:bCs/>
                <w:szCs w:val="24"/>
                <w:lang w:val="sr-Cyrl-CS"/>
              </w:rPr>
            </w:pPr>
            <w:r w:rsidRPr="00092ED7">
              <w:rPr>
                <w:rFonts w:eastAsia="Times New Roman" w:cs="Times New Roman"/>
                <w:b/>
                <w:bCs/>
                <w:szCs w:val="24"/>
                <w:lang w:val="sr-Cyrl-CS"/>
              </w:rPr>
              <w:t> </w:t>
            </w:r>
          </w:p>
        </w:tc>
      </w:tr>
      <w:tr w:rsidR="00247CBF" w:rsidRPr="00092ED7" w14:paraId="2A5B1ACE" w14:textId="77777777" w:rsidTr="00247CBF">
        <w:trPr>
          <w:trHeight w:val="283"/>
        </w:trPr>
        <w:tc>
          <w:tcPr>
            <w:tcW w:w="2320" w:type="pct"/>
            <w:tcBorders>
              <w:top w:val="nil"/>
              <w:left w:val="double" w:sz="6" w:space="0" w:color="auto"/>
              <w:bottom w:val="dotted" w:sz="4" w:space="0" w:color="auto"/>
              <w:right w:val="nil"/>
            </w:tcBorders>
            <w:shd w:val="clear" w:color="auto" w:fill="auto"/>
            <w:vAlign w:val="center"/>
            <w:hideMark/>
          </w:tcPr>
          <w:p w14:paraId="0F60C8C7" w14:textId="77777777" w:rsidR="00247CBF" w:rsidRPr="00092ED7" w:rsidRDefault="00247CBF" w:rsidP="00247CBF">
            <w:pPr>
              <w:spacing w:after="0"/>
              <w:jc w:val="left"/>
              <w:rPr>
                <w:rFonts w:eastAsia="Times New Roman" w:cs="Times New Roman"/>
                <w:sz w:val="20"/>
                <w:szCs w:val="20"/>
                <w:lang w:val="sr-Cyrl-CS"/>
              </w:rPr>
            </w:pPr>
            <w:r w:rsidRPr="00092ED7">
              <w:rPr>
                <w:rFonts w:eastAsia="Times New Roman" w:cs="Times New Roman"/>
                <w:sz w:val="20"/>
                <w:szCs w:val="20"/>
                <w:lang w:val="sr-Cyrl-CS"/>
              </w:rPr>
              <w:t>Обим светског увоза, без ЕУ</w:t>
            </w:r>
          </w:p>
        </w:tc>
        <w:tc>
          <w:tcPr>
            <w:tcW w:w="892" w:type="pct"/>
            <w:gridSpan w:val="2"/>
            <w:tcBorders>
              <w:top w:val="dotted" w:sz="4" w:space="0" w:color="auto"/>
              <w:left w:val="single" w:sz="4" w:space="0" w:color="auto"/>
              <w:bottom w:val="dotted" w:sz="4" w:space="0" w:color="auto"/>
              <w:right w:val="single" w:sz="8" w:space="0" w:color="000000"/>
            </w:tcBorders>
            <w:shd w:val="clear" w:color="auto" w:fill="auto"/>
            <w:vAlign w:val="center"/>
            <w:hideMark/>
          </w:tcPr>
          <w:p w14:paraId="0F034201" w14:textId="77777777" w:rsidR="00247CBF" w:rsidRPr="00092ED7" w:rsidRDefault="00247CBF" w:rsidP="00247CBF">
            <w:pPr>
              <w:spacing w:after="0"/>
              <w:jc w:val="center"/>
              <w:rPr>
                <w:rFonts w:eastAsia="Times New Roman" w:cs="Times New Roman"/>
                <w:sz w:val="18"/>
                <w:szCs w:val="18"/>
                <w:lang w:val="sr-Cyrl-CS"/>
              </w:rPr>
            </w:pPr>
            <w:r w:rsidRPr="00092ED7">
              <w:rPr>
                <w:rFonts w:eastAsia="Times New Roman" w:cs="Times New Roman"/>
                <w:sz w:val="18"/>
                <w:szCs w:val="18"/>
                <w:lang w:val="sr-Cyrl-CS"/>
              </w:rPr>
              <w:t>Год. просек</w:t>
            </w:r>
          </w:p>
        </w:tc>
        <w:tc>
          <w:tcPr>
            <w:tcW w:w="338" w:type="pct"/>
            <w:tcBorders>
              <w:top w:val="nil"/>
              <w:left w:val="nil"/>
              <w:bottom w:val="dotted" w:sz="4" w:space="0" w:color="auto"/>
              <w:right w:val="dotted" w:sz="4" w:space="0" w:color="auto"/>
            </w:tcBorders>
            <w:shd w:val="clear" w:color="auto" w:fill="auto"/>
            <w:vAlign w:val="center"/>
          </w:tcPr>
          <w:p w14:paraId="0B07CD53" w14:textId="77777777" w:rsidR="00247CBF" w:rsidRPr="00092ED7" w:rsidRDefault="00247CBF" w:rsidP="00247CBF">
            <w:pPr>
              <w:spacing w:after="0"/>
              <w:jc w:val="center"/>
              <w:rPr>
                <w:rFonts w:eastAsia="Times New Roman" w:cs="Times New Roman"/>
                <w:sz w:val="20"/>
                <w:szCs w:val="20"/>
                <w:lang w:val="sr-Cyrl-CS"/>
              </w:rPr>
            </w:pPr>
          </w:p>
        </w:tc>
        <w:tc>
          <w:tcPr>
            <w:tcW w:w="338" w:type="pct"/>
            <w:gridSpan w:val="2"/>
            <w:tcBorders>
              <w:top w:val="nil"/>
              <w:left w:val="nil"/>
              <w:bottom w:val="dotted" w:sz="4" w:space="0" w:color="auto"/>
              <w:right w:val="dotted" w:sz="4" w:space="0" w:color="auto"/>
            </w:tcBorders>
            <w:shd w:val="clear" w:color="auto" w:fill="auto"/>
            <w:vAlign w:val="center"/>
          </w:tcPr>
          <w:p w14:paraId="455C9C07" w14:textId="77777777" w:rsidR="00247CBF" w:rsidRPr="00092ED7" w:rsidRDefault="00247CBF" w:rsidP="00247CBF">
            <w:pPr>
              <w:spacing w:after="0"/>
              <w:jc w:val="center"/>
              <w:rPr>
                <w:rFonts w:eastAsia="Times New Roman" w:cs="Times New Roman"/>
                <w:sz w:val="20"/>
                <w:szCs w:val="20"/>
                <w:lang w:val="sr-Cyrl-CS"/>
              </w:rPr>
            </w:pPr>
          </w:p>
        </w:tc>
        <w:tc>
          <w:tcPr>
            <w:tcW w:w="338" w:type="pct"/>
            <w:gridSpan w:val="2"/>
            <w:tcBorders>
              <w:top w:val="nil"/>
              <w:left w:val="nil"/>
              <w:bottom w:val="dotted" w:sz="4" w:space="0" w:color="auto"/>
              <w:right w:val="dotted" w:sz="4" w:space="0" w:color="auto"/>
            </w:tcBorders>
            <w:shd w:val="clear" w:color="auto" w:fill="auto"/>
            <w:vAlign w:val="center"/>
          </w:tcPr>
          <w:p w14:paraId="0CDA9F33" w14:textId="77777777" w:rsidR="00247CBF" w:rsidRPr="00092ED7" w:rsidRDefault="00247CBF" w:rsidP="00247CBF">
            <w:pPr>
              <w:spacing w:after="0"/>
              <w:jc w:val="center"/>
              <w:rPr>
                <w:rFonts w:eastAsia="Times New Roman" w:cs="Times New Roman"/>
                <w:sz w:val="20"/>
                <w:szCs w:val="20"/>
                <w:lang w:val="sr-Cyrl-CS"/>
              </w:rPr>
            </w:pPr>
          </w:p>
        </w:tc>
        <w:tc>
          <w:tcPr>
            <w:tcW w:w="338" w:type="pct"/>
            <w:gridSpan w:val="2"/>
            <w:tcBorders>
              <w:top w:val="nil"/>
              <w:left w:val="nil"/>
              <w:bottom w:val="dotted" w:sz="4" w:space="0" w:color="auto"/>
              <w:right w:val="dotted" w:sz="4" w:space="0" w:color="auto"/>
            </w:tcBorders>
            <w:shd w:val="clear" w:color="auto" w:fill="auto"/>
            <w:vAlign w:val="center"/>
          </w:tcPr>
          <w:p w14:paraId="3A1A1529" w14:textId="77777777" w:rsidR="00247CBF" w:rsidRPr="00092ED7" w:rsidRDefault="00247CBF" w:rsidP="00247CBF">
            <w:pPr>
              <w:spacing w:after="0"/>
              <w:jc w:val="center"/>
              <w:rPr>
                <w:rFonts w:eastAsia="Times New Roman" w:cs="Times New Roman"/>
                <w:sz w:val="20"/>
                <w:szCs w:val="20"/>
                <w:lang w:val="sr-Cyrl-CS"/>
              </w:rPr>
            </w:pPr>
          </w:p>
        </w:tc>
        <w:tc>
          <w:tcPr>
            <w:tcW w:w="348" w:type="pct"/>
            <w:gridSpan w:val="2"/>
            <w:tcBorders>
              <w:top w:val="nil"/>
              <w:left w:val="nil"/>
              <w:bottom w:val="dotted" w:sz="4" w:space="0" w:color="auto"/>
              <w:right w:val="double" w:sz="6" w:space="0" w:color="auto"/>
            </w:tcBorders>
            <w:shd w:val="clear" w:color="auto" w:fill="auto"/>
            <w:vAlign w:val="center"/>
          </w:tcPr>
          <w:p w14:paraId="15AA9120" w14:textId="77777777" w:rsidR="00247CBF" w:rsidRPr="00092ED7" w:rsidRDefault="00247CBF" w:rsidP="00247CBF">
            <w:pPr>
              <w:spacing w:after="0"/>
              <w:jc w:val="center"/>
              <w:rPr>
                <w:rFonts w:eastAsia="Times New Roman" w:cs="Times New Roman"/>
                <w:sz w:val="23"/>
                <w:szCs w:val="23"/>
                <w:lang w:val="sr-Cyrl-CS"/>
              </w:rPr>
            </w:pPr>
          </w:p>
        </w:tc>
        <w:tc>
          <w:tcPr>
            <w:tcW w:w="88" w:type="pct"/>
            <w:tcBorders>
              <w:top w:val="nil"/>
              <w:left w:val="nil"/>
              <w:bottom w:val="nil"/>
              <w:right w:val="nil"/>
            </w:tcBorders>
            <w:shd w:val="clear" w:color="auto" w:fill="auto"/>
            <w:noWrap/>
            <w:vAlign w:val="center"/>
            <w:hideMark/>
          </w:tcPr>
          <w:p w14:paraId="4B8E3A30" w14:textId="77777777" w:rsidR="00247CBF" w:rsidRPr="00092ED7" w:rsidRDefault="00247CBF" w:rsidP="00247CBF">
            <w:pPr>
              <w:spacing w:after="0"/>
              <w:rPr>
                <w:rFonts w:eastAsia="Times New Roman" w:cs="Times New Roman"/>
                <w:b/>
                <w:bCs/>
                <w:szCs w:val="24"/>
                <w:lang w:val="sr-Cyrl-CS"/>
              </w:rPr>
            </w:pPr>
            <w:r w:rsidRPr="00092ED7">
              <w:rPr>
                <w:rFonts w:eastAsia="Times New Roman" w:cs="Times New Roman"/>
                <w:b/>
                <w:bCs/>
                <w:szCs w:val="24"/>
                <w:lang w:val="sr-Cyrl-CS"/>
              </w:rPr>
              <w:t> </w:t>
            </w:r>
          </w:p>
        </w:tc>
      </w:tr>
      <w:tr w:rsidR="00247CBF" w:rsidRPr="00092ED7" w14:paraId="6041BCDB" w14:textId="77777777" w:rsidTr="00247CBF">
        <w:trPr>
          <w:trHeight w:val="283"/>
        </w:trPr>
        <w:tc>
          <w:tcPr>
            <w:tcW w:w="2320" w:type="pct"/>
            <w:tcBorders>
              <w:top w:val="nil"/>
              <w:left w:val="double" w:sz="6" w:space="0" w:color="auto"/>
              <w:bottom w:val="double" w:sz="6" w:space="0" w:color="auto"/>
              <w:right w:val="nil"/>
            </w:tcBorders>
            <w:shd w:val="clear" w:color="auto" w:fill="auto"/>
            <w:vAlign w:val="center"/>
            <w:hideMark/>
          </w:tcPr>
          <w:p w14:paraId="042022BD" w14:textId="77777777" w:rsidR="00247CBF" w:rsidRPr="00092ED7" w:rsidRDefault="00247CBF" w:rsidP="00247CBF">
            <w:pPr>
              <w:spacing w:after="0"/>
              <w:jc w:val="left"/>
              <w:rPr>
                <w:rFonts w:eastAsia="Times New Roman" w:cs="Times New Roman"/>
                <w:sz w:val="20"/>
                <w:szCs w:val="20"/>
                <w:lang w:val="sr-Cyrl-CS"/>
              </w:rPr>
            </w:pPr>
            <w:r w:rsidRPr="00092ED7">
              <w:rPr>
                <w:rFonts w:eastAsia="Times New Roman" w:cs="Times New Roman"/>
                <w:sz w:val="20"/>
                <w:szCs w:val="20"/>
                <w:lang w:val="sr-Cyrl-CS"/>
              </w:rPr>
              <w:t>Цене нафте (Брент, УСД/барел)</w:t>
            </w:r>
          </w:p>
        </w:tc>
        <w:tc>
          <w:tcPr>
            <w:tcW w:w="892" w:type="pct"/>
            <w:gridSpan w:val="2"/>
            <w:tcBorders>
              <w:top w:val="dotted" w:sz="4" w:space="0" w:color="auto"/>
              <w:left w:val="single" w:sz="4" w:space="0" w:color="auto"/>
              <w:bottom w:val="double" w:sz="6" w:space="0" w:color="auto"/>
              <w:right w:val="single" w:sz="8" w:space="0" w:color="000000"/>
            </w:tcBorders>
            <w:shd w:val="clear" w:color="auto" w:fill="auto"/>
            <w:vAlign w:val="center"/>
            <w:hideMark/>
          </w:tcPr>
          <w:p w14:paraId="5FE14E3A" w14:textId="77777777" w:rsidR="00247CBF" w:rsidRPr="00092ED7" w:rsidRDefault="00247CBF" w:rsidP="00247CBF">
            <w:pPr>
              <w:spacing w:after="0"/>
              <w:jc w:val="center"/>
              <w:rPr>
                <w:rFonts w:eastAsia="Times New Roman" w:cs="Times New Roman"/>
                <w:sz w:val="18"/>
                <w:szCs w:val="18"/>
                <w:lang w:val="sr-Cyrl-CS"/>
              </w:rPr>
            </w:pPr>
            <w:r w:rsidRPr="00092ED7">
              <w:rPr>
                <w:rFonts w:eastAsia="Times New Roman" w:cs="Times New Roman"/>
                <w:sz w:val="18"/>
                <w:szCs w:val="18"/>
                <w:lang w:val="sr-Cyrl-CS"/>
              </w:rPr>
              <w:t>Год. просек</w:t>
            </w:r>
          </w:p>
        </w:tc>
        <w:tc>
          <w:tcPr>
            <w:tcW w:w="338" w:type="pct"/>
            <w:tcBorders>
              <w:top w:val="nil"/>
              <w:left w:val="nil"/>
              <w:bottom w:val="double" w:sz="6" w:space="0" w:color="auto"/>
              <w:right w:val="dotted" w:sz="4" w:space="0" w:color="auto"/>
            </w:tcBorders>
            <w:shd w:val="clear" w:color="auto" w:fill="auto"/>
            <w:vAlign w:val="center"/>
          </w:tcPr>
          <w:p w14:paraId="6182EF4B" w14:textId="77777777" w:rsidR="00247CBF" w:rsidRPr="00092ED7" w:rsidRDefault="00247CBF" w:rsidP="00247CBF">
            <w:pPr>
              <w:spacing w:after="0"/>
              <w:jc w:val="center"/>
              <w:rPr>
                <w:rFonts w:eastAsia="Times New Roman" w:cs="Times New Roman"/>
                <w:sz w:val="20"/>
                <w:szCs w:val="20"/>
                <w:lang w:val="sr-Cyrl-CS"/>
              </w:rPr>
            </w:pPr>
          </w:p>
        </w:tc>
        <w:tc>
          <w:tcPr>
            <w:tcW w:w="338" w:type="pct"/>
            <w:gridSpan w:val="2"/>
            <w:tcBorders>
              <w:top w:val="nil"/>
              <w:left w:val="nil"/>
              <w:bottom w:val="double" w:sz="6" w:space="0" w:color="auto"/>
              <w:right w:val="dotted" w:sz="4" w:space="0" w:color="auto"/>
            </w:tcBorders>
            <w:shd w:val="clear" w:color="auto" w:fill="auto"/>
            <w:vAlign w:val="center"/>
          </w:tcPr>
          <w:p w14:paraId="7723037C" w14:textId="77777777" w:rsidR="00247CBF" w:rsidRPr="00092ED7" w:rsidRDefault="00247CBF" w:rsidP="00247CBF">
            <w:pPr>
              <w:spacing w:after="0"/>
              <w:jc w:val="center"/>
              <w:rPr>
                <w:rFonts w:eastAsia="Times New Roman" w:cs="Times New Roman"/>
                <w:sz w:val="20"/>
                <w:szCs w:val="20"/>
                <w:lang w:val="sr-Cyrl-CS"/>
              </w:rPr>
            </w:pPr>
          </w:p>
        </w:tc>
        <w:tc>
          <w:tcPr>
            <w:tcW w:w="338" w:type="pct"/>
            <w:gridSpan w:val="2"/>
            <w:tcBorders>
              <w:top w:val="nil"/>
              <w:left w:val="nil"/>
              <w:bottom w:val="double" w:sz="6" w:space="0" w:color="auto"/>
              <w:right w:val="dotted" w:sz="4" w:space="0" w:color="auto"/>
            </w:tcBorders>
            <w:shd w:val="clear" w:color="auto" w:fill="auto"/>
            <w:vAlign w:val="center"/>
          </w:tcPr>
          <w:p w14:paraId="154993D3" w14:textId="77777777" w:rsidR="00247CBF" w:rsidRPr="00092ED7" w:rsidRDefault="00247CBF" w:rsidP="00247CBF">
            <w:pPr>
              <w:spacing w:after="0"/>
              <w:jc w:val="center"/>
              <w:rPr>
                <w:rFonts w:eastAsia="Times New Roman" w:cs="Times New Roman"/>
                <w:sz w:val="20"/>
                <w:szCs w:val="20"/>
                <w:lang w:val="sr-Cyrl-CS"/>
              </w:rPr>
            </w:pPr>
          </w:p>
        </w:tc>
        <w:tc>
          <w:tcPr>
            <w:tcW w:w="338" w:type="pct"/>
            <w:gridSpan w:val="2"/>
            <w:tcBorders>
              <w:top w:val="nil"/>
              <w:left w:val="nil"/>
              <w:bottom w:val="double" w:sz="6" w:space="0" w:color="auto"/>
              <w:right w:val="dotted" w:sz="4" w:space="0" w:color="auto"/>
            </w:tcBorders>
            <w:shd w:val="clear" w:color="auto" w:fill="auto"/>
            <w:vAlign w:val="center"/>
          </w:tcPr>
          <w:p w14:paraId="42B8CF28" w14:textId="77777777" w:rsidR="00247CBF" w:rsidRPr="00092ED7" w:rsidRDefault="00247CBF" w:rsidP="00247CBF">
            <w:pPr>
              <w:spacing w:after="0"/>
              <w:jc w:val="center"/>
              <w:rPr>
                <w:rFonts w:eastAsia="Times New Roman" w:cs="Times New Roman"/>
                <w:sz w:val="20"/>
                <w:szCs w:val="20"/>
                <w:lang w:val="sr-Cyrl-CS"/>
              </w:rPr>
            </w:pPr>
          </w:p>
        </w:tc>
        <w:tc>
          <w:tcPr>
            <w:tcW w:w="348" w:type="pct"/>
            <w:gridSpan w:val="2"/>
            <w:tcBorders>
              <w:top w:val="nil"/>
              <w:left w:val="nil"/>
              <w:bottom w:val="double" w:sz="6" w:space="0" w:color="auto"/>
              <w:right w:val="double" w:sz="6" w:space="0" w:color="auto"/>
            </w:tcBorders>
            <w:shd w:val="clear" w:color="auto" w:fill="auto"/>
            <w:vAlign w:val="center"/>
          </w:tcPr>
          <w:p w14:paraId="46F012A3" w14:textId="77777777" w:rsidR="00247CBF" w:rsidRPr="00092ED7" w:rsidRDefault="00247CBF" w:rsidP="00247CBF">
            <w:pPr>
              <w:spacing w:after="0"/>
              <w:jc w:val="center"/>
              <w:rPr>
                <w:rFonts w:eastAsia="Times New Roman" w:cs="Times New Roman"/>
                <w:sz w:val="23"/>
                <w:szCs w:val="23"/>
                <w:lang w:val="sr-Cyrl-CS"/>
              </w:rPr>
            </w:pPr>
          </w:p>
        </w:tc>
        <w:tc>
          <w:tcPr>
            <w:tcW w:w="88" w:type="pct"/>
            <w:tcBorders>
              <w:top w:val="nil"/>
              <w:left w:val="nil"/>
              <w:bottom w:val="nil"/>
              <w:right w:val="nil"/>
            </w:tcBorders>
            <w:shd w:val="clear" w:color="auto" w:fill="auto"/>
            <w:noWrap/>
            <w:vAlign w:val="center"/>
            <w:hideMark/>
          </w:tcPr>
          <w:p w14:paraId="0307E0A5" w14:textId="77777777" w:rsidR="00247CBF" w:rsidRPr="00092ED7" w:rsidRDefault="00247CBF" w:rsidP="00247CBF">
            <w:pPr>
              <w:spacing w:after="0"/>
              <w:rPr>
                <w:rFonts w:eastAsia="Times New Roman" w:cs="Times New Roman"/>
                <w:b/>
                <w:bCs/>
                <w:szCs w:val="24"/>
                <w:lang w:val="sr-Cyrl-CS"/>
              </w:rPr>
            </w:pPr>
            <w:r w:rsidRPr="00092ED7">
              <w:rPr>
                <w:rFonts w:eastAsia="Times New Roman" w:cs="Times New Roman"/>
                <w:b/>
                <w:bCs/>
                <w:szCs w:val="24"/>
                <w:lang w:val="sr-Cyrl-CS"/>
              </w:rPr>
              <w:t> </w:t>
            </w:r>
          </w:p>
        </w:tc>
      </w:tr>
      <w:tr w:rsidR="00247CBF" w:rsidRPr="00092ED7" w14:paraId="223BBA3F" w14:textId="77777777" w:rsidTr="00247CBF">
        <w:trPr>
          <w:trHeight w:val="315"/>
        </w:trPr>
        <w:tc>
          <w:tcPr>
            <w:tcW w:w="2320" w:type="pct"/>
            <w:tcBorders>
              <w:top w:val="nil"/>
              <w:left w:val="nil"/>
              <w:bottom w:val="nil"/>
              <w:right w:val="nil"/>
            </w:tcBorders>
            <w:shd w:val="clear" w:color="auto" w:fill="auto"/>
            <w:noWrap/>
            <w:vAlign w:val="center"/>
            <w:hideMark/>
          </w:tcPr>
          <w:p w14:paraId="54F71020"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[1] Уколико је потребно, само техничка претпоставка.</w:t>
            </w:r>
          </w:p>
        </w:tc>
        <w:tc>
          <w:tcPr>
            <w:tcW w:w="551" w:type="pct"/>
            <w:tcBorders>
              <w:top w:val="nil"/>
              <w:left w:val="nil"/>
              <w:bottom w:val="nil"/>
              <w:right w:val="nil"/>
            </w:tcBorders>
            <w:shd w:val="clear" w:color="auto" w:fill="auto"/>
            <w:noWrap/>
            <w:vAlign w:val="bottom"/>
            <w:hideMark/>
          </w:tcPr>
          <w:p w14:paraId="2532820E"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341" w:type="pct"/>
            <w:tcBorders>
              <w:top w:val="nil"/>
              <w:left w:val="nil"/>
              <w:bottom w:val="nil"/>
              <w:right w:val="nil"/>
            </w:tcBorders>
            <w:shd w:val="clear" w:color="auto" w:fill="auto"/>
            <w:noWrap/>
            <w:vAlign w:val="bottom"/>
            <w:hideMark/>
          </w:tcPr>
          <w:p w14:paraId="1DB4122E"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341" w:type="pct"/>
            <w:gridSpan w:val="2"/>
            <w:tcBorders>
              <w:top w:val="nil"/>
              <w:left w:val="nil"/>
              <w:bottom w:val="nil"/>
              <w:right w:val="nil"/>
            </w:tcBorders>
            <w:shd w:val="clear" w:color="auto" w:fill="auto"/>
            <w:noWrap/>
            <w:vAlign w:val="bottom"/>
            <w:hideMark/>
          </w:tcPr>
          <w:p w14:paraId="202A1FF1"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349" w:type="pct"/>
            <w:gridSpan w:val="2"/>
            <w:tcBorders>
              <w:top w:val="nil"/>
              <w:left w:val="nil"/>
              <w:bottom w:val="nil"/>
              <w:right w:val="nil"/>
            </w:tcBorders>
            <w:shd w:val="clear" w:color="auto" w:fill="auto"/>
            <w:noWrap/>
            <w:vAlign w:val="bottom"/>
            <w:hideMark/>
          </w:tcPr>
          <w:p w14:paraId="0B1820FE"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334" w:type="pct"/>
            <w:gridSpan w:val="2"/>
            <w:tcBorders>
              <w:top w:val="nil"/>
              <w:left w:val="nil"/>
              <w:bottom w:val="nil"/>
              <w:right w:val="nil"/>
            </w:tcBorders>
            <w:shd w:val="clear" w:color="auto" w:fill="auto"/>
            <w:noWrap/>
            <w:vAlign w:val="bottom"/>
            <w:hideMark/>
          </w:tcPr>
          <w:p w14:paraId="37B66BD8"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333" w:type="pct"/>
            <w:gridSpan w:val="2"/>
            <w:tcBorders>
              <w:top w:val="nil"/>
              <w:left w:val="nil"/>
              <w:bottom w:val="nil"/>
              <w:right w:val="nil"/>
            </w:tcBorders>
            <w:shd w:val="clear" w:color="auto" w:fill="auto"/>
            <w:noWrap/>
            <w:vAlign w:val="bottom"/>
            <w:hideMark/>
          </w:tcPr>
          <w:p w14:paraId="6C540074"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343" w:type="pct"/>
            <w:tcBorders>
              <w:top w:val="nil"/>
              <w:left w:val="nil"/>
              <w:bottom w:val="nil"/>
              <w:right w:val="nil"/>
            </w:tcBorders>
            <w:shd w:val="clear" w:color="auto" w:fill="auto"/>
            <w:noWrap/>
            <w:vAlign w:val="bottom"/>
            <w:hideMark/>
          </w:tcPr>
          <w:p w14:paraId="6DA24AD0"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88" w:type="pct"/>
            <w:tcBorders>
              <w:top w:val="nil"/>
              <w:left w:val="nil"/>
              <w:bottom w:val="nil"/>
              <w:right w:val="nil"/>
            </w:tcBorders>
            <w:shd w:val="clear" w:color="auto" w:fill="auto"/>
            <w:noWrap/>
            <w:vAlign w:val="center"/>
            <w:hideMark/>
          </w:tcPr>
          <w:p w14:paraId="061D0454" w14:textId="77777777" w:rsidR="00247CBF" w:rsidRPr="00092ED7" w:rsidRDefault="00247CBF" w:rsidP="00247CBF">
            <w:pPr>
              <w:spacing w:after="0"/>
              <w:rPr>
                <w:rFonts w:eastAsia="Times New Roman" w:cs="Times New Roman"/>
                <w:b/>
                <w:bCs/>
                <w:sz w:val="20"/>
                <w:szCs w:val="20"/>
                <w:lang w:val="sr-Cyrl-CS"/>
              </w:rPr>
            </w:pPr>
            <w:r w:rsidRPr="00092ED7">
              <w:rPr>
                <w:rFonts w:eastAsia="Times New Roman" w:cs="Times New Roman"/>
                <w:b/>
                <w:bCs/>
                <w:sz w:val="20"/>
                <w:szCs w:val="20"/>
                <w:lang w:val="sr-Cyrl-CS"/>
              </w:rPr>
              <w:t> </w:t>
            </w:r>
          </w:p>
        </w:tc>
      </w:tr>
    </w:tbl>
    <w:p w14:paraId="6864D169" w14:textId="77777777" w:rsidR="00247CBF" w:rsidRPr="00092ED7" w:rsidRDefault="00247CBF" w:rsidP="00247CBF">
      <w:pPr>
        <w:rPr>
          <w:rFonts w:cs="Times New Roman"/>
          <w:lang w:val="sr-Cyrl-CS"/>
        </w:rPr>
      </w:pPr>
    </w:p>
    <w:tbl>
      <w:tblPr>
        <w:tblW w:w="5000" w:type="pct"/>
        <w:tblLayout w:type="fixed"/>
        <w:tblLook w:val="04A0" w:firstRow="1" w:lastRow="0" w:firstColumn="1" w:lastColumn="0" w:noHBand="0" w:noVBand="1"/>
      </w:tblPr>
      <w:tblGrid>
        <w:gridCol w:w="6757"/>
        <w:gridCol w:w="1606"/>
        <w:gridCol w:w="994"/>
        <w:gridCol w:w="985"/>
        <w:gridCol w:w="9"/>
        <w:gridCol w:w="976"/>
        <w:gridCol w:w="41"/>
        <w:gridCol w:w="944"/>
        <w:gridCol w:w="32"/>
        <w:gridCol w:w="953"/>
        <w:gridCol w:w="17"/>
        <w:gridCol w:w="973"/>
        <w:gridCol w:w="283"/>
      </w:tblGrid>
      <w:tr w:rsidR="00247CBF" w:rsidRPr="00092ED7" w14:paraId="6AE20F92" w14:textId="77777777" w:rsidTr="00247CBF">
        <w:trPr>
          <w:trHeight w:val="270"/>
        </w:trPr>
        <w:tc>
          <w:tcPr>
            <w:tcW w:w="4236" w:type="pct"/>
            <w:gridSpan w:val="9"/>
            <w:tcBorders>
              <w:top w:val="nil"/>
              <w:left w:val="nil"/>
              <w:bottom w:val="nil"/>
              <w:right w:val="nil"/>
            </w:tcBorders>
            <w:shd w:val="clear" w:color="000000" w:fill="FFFFFF"/>
            <w:noWrap/>
            <w:vAlign w:val="bottom"/>
            <w:hideMark/>
          </w:tcPr>
          <w:p w14:paraId="7EC290C4" w14:textId="77777777" w:rsidR="00247CBF" w:rsidRPr="00092ED7" w:rsidRDefault="00247CBF" w:rsidP="00247CBF">
            <w:pPr>
              <w:rPr>
                <w:rFonts w:cs="Times New Roman"/>
                <w:b/>
                <w:bCs/>
                <w:sz w:val="20"/>
                <w:szCs w:val="20"/>
                <w:lang w:val="sr-Cyrl-CS"/>
              </w:rPr>
            </w:pPr>
            <w:r w:rsidRPr="00092ED7">
              <w:rPr>
                <w:rFonts w:cs="Times New Roman"/>
                <w:b/>
                <w:bCs/>
                <w:sz w:val="20"/>
                <w:szCs w:val="20"/>
                <w:lang w:val="sr-Cyrl-CS"/>
              </w:rPr>
              <w:t>Табела 8: Основне претпоставке о екстерном економском окружењу на ком се заснива програмски оквир [1]</w:t>
            </w:r>
          </w:p>
        </w:tc>
        <w:tc>
          <w:tcPr>
            <w:tcW w:w="667" w:type="pct"/>
            <w:gridSpan w:val="3"/>
            <w:tcBorders>
              <w:top w:val="nil"/>
              <w:left w:val="nil"/>
              <w:bottom w:val="nil"/>
              <w:right w:val="nil"/>
            </w:tcBorders>
            <w:shd w:val="clear" w:color="000000" w:fill="FFFFFF"/>
            <w:noWrap/>
            <w:vAlign w:val="center"/>
            <w:hideMark/>
          </w:tcPr>
          <w:p w14:paraId="0938B76D" w14:textId="77777777" w:rsidR="00247CBF" w:rsidRPr="00092ED7" w:rsidRDefault="00247CBF" w:rsidP="00247CBF">
            <w:pPr>
              <w:spacing w:after="0"/>
              <w:jc w:val="right"/>
              <w:rPr>
                <w:rFonts w:eastAsia="Times New Roman" w:cs="Times New Roman"/>
                <w:b/>
                <w:bCs/>
                <w:sz w:val="20"/>
                <w:szCs w:val="20"/>
                <w:lang w:val="sr-Cyrl-CS"/>
              </w:rPr>
            </w:pPr>
            <w:r w:rsidRPr="00092ED7">
              <w:rPr>
                <w:rFonts w:eastAsia="Times New Roman" w:cs="Times New Roman"/>
                <w:b/>
                <w:bCs/>
                <w:sz w:val="20"/>
                <w:szCs w:val="20"/>
                <w:lang w:val="sr-Cyrl-CS"/>
              </w:rPr>
              <w:t>Република Србија</w:t>
            </w:r>
          </w:p>
        </w:tc>
        <w:tc>
          <w:tcPr>
            <w:tcW w:w="97" w:type="pct"/>
            <w:tcBorders>
              <w:top w:val="nil"/>
              <w:left w:val="nil"/>
              <w:bottom w:val="nil"/>
              <w:right w:val="nil"/>
            </w:tcBorders>
            <w:shd w:val="clear" w:color="000000" w:fill="FFFFFF"/>
            <w:noWrap/>
            <w:vAlign w:val="bottom"/>
            <w:hideMark/>
          </w:tcPr>
          <w:p w14:paraId="5FE18CC3" w14:textId="77777777" w:rsidR="00247CBF" w:rsidRPr="00092ED7" w:rsidRDefault="00247CBF" w:rsidP="00247CBF">
            <w:pPr>
              <w:spacing w:after="0"/>
              <w:rPr>
                <w:rFonts w:eastAsia="Times New Roman" w:cs="Times New Roman"/>
                <w:b/>
                <w:bCs/>
                <w:sz w:val="20"/>
                <w:szCs w:val="20"/>
                <w:lang w:val="sr-Cyrl-CS"/>
              </w:rPr>
            </w:pPr>
            <w:r w:rsidRPr="00092ED7">
              <w:rPr>
                <w:rFonts w:eastAsia="Times New Roman" w:cs="Times New Roman"/>
                <w:b/>
                <w:bCs/>
                <w:sz w:val="20"/>
                <w:szCs w:val="20"/>
                <w:lang w:val="sr-Cyrl-CS"/>
              </w:rPr>
              <w:t> </w:t>
            </w:r>
          </w:p>
        </w:tc>
      </w:tr>
      <w:tr w:rsidR="00247CBF" w:rsidRPr="00092ED7" w14:paraId="4A34214A" w14:textId="77777777" w:rsidTr="00247CBF">
        <w:trPr>
          <w:trHeight w:val="20"/>
        </w:trPr>
        <w:tc>
          <w:tcPr>
            <w:tcW w:w="2319" w:type="pct"/>
            <w:vMerge w:val="restart"/>
            <w:tcBorders>
              <w:top w:val="double" w:sz="6" w:space="0" w:color="auto"/>
              <w:left w:val="double" w:sz="6" w:space="0" w:color="auto"/>
              <w:right w:val="nil"/>
            </w:tcBorders>
            <w:shd w:val="clear" w:color="auto" w:fill="auto"/>
            <w:noWrap/>
            <w:vAlign w:val="center"/>
            <w:hideMark/>
          </w:tcPr>
          <w:p w14:paraId="7D7C421B" w14:textId="77777777" w:rsidR="00247CBF" w:rsidRPr="00092ED7" w:rsidRDefault="00247CBF" w:rsidP="00247CBF">
            <w:pPr>
              <w:spacing w:after="0"/>
              <w:rPr>
                <w:rFonts w:eastAsia="Times New Roman" w:cs="Times New Roman"/>
                <w:b/>
                <w:bCs/>
                <w:sz w:val="20"/>
                <w:szCs w:val="20"/>
                <w:lang w:val="sr-Cyrl-CS"/>
              </w:rPr>
            </w:pPr>
          </w:p>
        </w:tc>
        <w:tc>
          <w:tcPr>
            <w:tcW w:w="892" w:type="pct"/>
            <w:gridSpan w:val="2"/>
            <w:vMerge w:val="restart"/>
            <w:tcBorders>
              <w:top w:val="double" w:sz="6" w:space="0" w:color="auto"/>
              <w:left w:val="single" w:sz="8" w:space="0" w:color="auto"/>
              <w:right w:val="single" w:sz="8" w:space="0" w:color="000000"/>
            </w:tcBorders>
            <w:shd w:val="clear" w:color="auto" w:fill="auto"/>
            <w:vAlign w:val="center"/>
            <w:hideMark/>
          </w:tcPr>
          <w:p w14:paraId="2300FF92" w14:textId="77777777" w:rsidR="00247CBF" w:rsidRPr="00092ED7" w:rsidRDefault="00247CBF" w:rsidP="00247CBF">
            <w:pPr>
              <w:spacing w:after="0"/>
              <w:jc w:val="center"/>
              <w:rPr>
                <w:rFonts w:eastAsia="Times New Roman" w:cs="Times New Roman"/>
                <w:b/>
                <w:bCs/>
                <w:sz w:val="20"/>
                <w:szCs w:val="20"/>
                <w:lang w:val="sr-Cyrl-CS"/>
              </w:rPr>
            </w:pPr>
            <w:r w:rsidRPr="00092ED7">
              <w:rPr>
                <w:rFonts w:eastAsia="Times New Roman" w:cs="Times New Roman"/>
                <w:b/>
                <w:bCs/>
                <w:sz w:val="20"/>
                <w:szCs w:val="20"/>
                <w:lang w:val="sr-Cyrl-CS"/>
              </w:rPr>
              <w:t>Димензија</w:t>
            </w:r>
          </w:p>
        </w:tc>
        <w:tc>
          <w:tcPr>
            <w:tcW w:w="338" w:type="pct"/>
            <w:tcBorders>
              <w:top w:val="double" w:sz="6" w:space="0" w:color="auto"/>
              <w:left w:val="nil"/>
              <w:right w:val="dotted" w:sz="4" w:space="0" w:color="auto"/>
            </w:tcBorders>
            <w:shd w:val="clear" w:color="auto" w:fill="auto"/>
            <w:noWrap/>
            <w:vAlign w:val="center"/>
            <w:hideMark/>
          </w:tcPr>
          <w:p w14:paraId="78593DF5" w14:textId="77777777" w:rsidR="00247CBF" w:rsidRPr="00092ED7" w:rsidRDefault="00247CBF" w:rsidP="00247CBF">
            <w:pPr>
              <w:spacing w:after="0"/>
              <w:jc w:val="center"/>
              <w:rPr>
                <w:sz w:val="20"/>
                <w:szCs w:val="20"/>
                <w:lang w:val="sr-Cyrl-CS"/>
              </w:rPr>
            </w:pPr>
            <w:r w:rsidRPr="00092ED7">
              <w:rPr>
                <w:sz w:val="20"/>
                <w:szCs w:val="20"/>
                <w:lang w:val="sr-Cyrl-CS"/>
              </w:rPr>
              <w:t>Година</w:t>
            </w:r>
          </w:p>
        </w:tc>
        <w:tc>
          <w:tcPr>
            <w:tcW w:w="338" w:type="pct"/>
            <w:gridSpan w:val="2"/>
            <w:tcBorders>
              <w:top w:val="double" w:sz="6" w:space="0" w:color="auto"/>
              <w:left w:val="dotted" w:sz="4" w:space="0" w:color="auto"/>
              <w:right w:val="dotted" w:sz="4" w:space="0" w:color="auto"/>
            </w:tcBorders>
            <w:shd w:val="clear" w:color="auto" w:fill="auto"/>
            <w:noWrap/>
            <w:vAlign w:val="center"/>
            <w:hideMark/>
          </w:tcPr>
          <w:p w14:paraId="12AAC982" w14:textId="77777777" w:rsidR="00247CBF" w:rsidRPr="00092ED7" w:rsidRDefault="00247CBF" w:rsidP="00247CBF">
            <w:pPr>
              <w:spacing w:after="0"/>
              <w:jc w:val="center"/>
              <w:rPr>
                <w:sz w:val="20"/>
                <w:szCs w:val="20"/>
                <w:lang w:val="sr-Cyrl-CS"/>
              </w:rPr>
            </w:pPr>
            <w:r w:rsidRPr="00092ED7">
              <w:rPr>
                <w:sz w:val="20"/>
                <w:szCs w:val="20"/>
                <w:lang w:val="sr-Cyrl-CS"/>
              </w:rPr>
              <w:t>Година</w:t>
            </w:r>
          </w:p>
        </w:tc>
        <w:tc>
          <w:tcPr>
            <w:tcW w:w="338" w:type="pct"/>
            <w:gridSpan w:val="2"/>
            <w:tcBorders>
              <w:top w:val="double" w:sz="6" w:space="0" w:color="auto"/>
              <w:left w:val="dotted" w:sz="4" w:space="0" w:color="auto"/>
              <w:right w:val="dotted" w:sz="4" w:space="0" w:color="auto"/>
            </w:tcBorders>
            <w:shd w:val="clear" w:color="auto" w:fill="auto"/>
            <w:noWrap/>
            <w:vAlign w:val="center"/>
            <w:hideMark/>
          </w:tcPr>
          <w:p w14:paraId="3D012A1D" w14:textId="77777777" w:rsidR="00247CBF" w:rsidRPr="00092ED7" w:rsidRDefault="00247CBF" w:rsidP="00247CBF">
            <w:pPr>
              <w:spacing w:after="0"/>
              <w:jc w:val="center"/>
              <w:rPr>
                <w:sz w:val="20"/>
                <w:szCs w:val="20"/>
                <w:lang w:val="sr-Cyrl-CS"/>
              </w:rPr>
            </w:pPr>
            <w:r w:rsidRPr="00092ED7">
              <w:rPr>
                <w:sz w:val="20"/>
                <w:szCs w:val="20"/>
                <w:lang w:val="sr-Cyrl-CS"/>
              </w:rPr>
              <w:t>Година</w:t>
            </w:r>
          </w:p>
        </w:tc>
        <w:tc>
          <w:tcPr>
            <w:tcW w:w="338" w:type="pct"/>
            <w:gridSpan w:val="2"/>
            <w:tcBorders>
              <w:top w:val="double" w:sz="6" w:space="0" w:color="auto"/>
              <w:left w:val="dotted" w:sz="4" w:space="0" w:color="auto"/>
              <w:right w:val="dotted" w:sz="4" w:space="0" w:color="auto"/>
            </w:tcBorders>
            <w:shd w:val="clear" w:color="auto" w:fill="auto"/>
            <w:noWrap/>
            <w:vAlign w:val="center"/>
            <w:hideMark/>
          </w:tcPr>
          <w:p w14:paraId="70B9629D" w14:textId="77777777" w:rsidR="00247CBF" w:rsidRPr="00092ED7" w:rsidRDefault="00247CBF" w:rsidP="00247CBF">
            <w:pPr>
              <w:spacing w:after="0"/>
              <w:jc w:val="center"/>
              <w:rPr>
                <w:sz w:val="20"/>
                <w:szCs w:val="20"/>
                <w:lang w:val="sr-Cyrl-CS"/>
              </w:rPr>
            </w:pPr>
            <w:r w:rsidRPr="00092ED7">
              <w:rPr>
                <w:sz w:val="20"/>
                <w:szCs w:val="20"/>
                <w:lang w:val="sr-Cyrl-CS"/>
              </w:rPr>
              <w:t>Година</w:t>
            </w:r>
          </w:p>
        </w:tc>
        <w:tc>
          <w:tcPr>
            <w:tcW w:w="340" w:type="pct"/>
            <w:gridSpan w:val="2"/>
            <w:tcBorders>
              <w:top w:val="double" w:sz="6" w:space="0" w:color="auto"/>
              <w:left w:val="dotted" w:sz="4" w:space="0" w:color="auto"/>
              <w:right w:val="double" w:sz="6" w:space="0" w:color="auto"/>
            </w:tcBorders>
            <w:shd w:val="clear" w:color="auto" w:fill="auto"/>
            <w:noWrap/>
            <w:vAlign w:val="center"/>
            <w:hideMark/>
          </w:tcPr>
          <w:p w14:paraId="13091733" w14:textId="77777777" w:rsidR="00247CBF" w:rsidRPr="00092ED7" w:rsidRDefault="00247CBF" w:rsidP="00247CBF">
            <w:pPr>
              <w:spacing w:after="0"/>
              <w:jc w:val="center"/>
              <w:rPr>
                <w:sz w:val="20"/>
                <w:szCs w:val="20"/>
                <w:lang w:val="sr-Cyrl-CS"/>
              </w:rPr>
            </w:pPr>
            <w:r w:rsidRPr="00092ED7">
              <w:rPr>
                <w:sz w:val="20"/>
                <w:szCs w:val="20"/>
                <w:lang w:val="sr-Cyrl-CS"/>
              </w:rPr>
              <w:t>Година</w:t>
            </w:r>
          </w:p>
        </w:tc>
        <w:tc>
          <w:tcPr>
            <w:tcW w:w="97" w:type="pct"/>
            <w:tcBorders>
              <w:top w:val="nil"/>
              <w:left w:val="nil"/>
              <w:bottom w:val="nil"/>
              <w:right w:val="nil"/>
            </w:tcBorders>
            <w:shd w:val="clear" w:color="auto" w:fill="auto"/>
            <w:noWrap/>
            <w:vAlign w:val="center"/>
            <w:hideMark/>
          </w:tcPr>
          <w:p w14:paraId="5ECBC43C" w14:textId="77777777" w:rsidR="00247CBF" w:rsidRPr="00092ED7" w:rsidRDefault="00247CBF" w:rsidP="00247CBF">
            <w:pPr>
              <w:spacing w:after="0"/>
              <w:rPr>
                <w:rFonts w:eastAsia="Times New Roman" w:cs="Times New Roman"/>
                <w:b/>
                <w:bCs/>
                <w:szCs w:val="24"/>
                <w:lang w:val="sr-Cyrl-CS"/>
              </w:rPr>
            </w:pPr>
            <w:r w:rsidRPr="00092ED7">
              <w:rPr>
                <w:rFonts w:eastAsia="Times New Roman" w:cs="Times New Roman"/>
                <w:b/>
                <w:bCs/>
                <w:szCs w:val="24"/>
                <w:lang w:val="sr-Cyrl-CS"/>
              </w:rPr>
              <w:t> </w:t>
            </w:r>
          </w:p>
        </w:tc>
      </w:tr>
      <w:tr w:rsidR="00247CBF" w:rsidRPr="00092ED7" w14:paraId="50D3A0A9" w14:textId="77777777" w:rsidTr="00247CBF">
        <w:trPr>
          <w:trHeight w:val="20"/>
        </w:trPr>
        <w:tc>
          <w:tcPr>
            <w:tcW w:w="2319" w:type="pct"/>
            <w:vMerge/>
            <w:tcBorders>
              <w:left w:val="double" w:sz="6" w:space="0" w:color="auto"/>
              <w:bottom w:val="double" w:sz="6" w:space="0" w:color="auto"/>
              <w:right w:val="nil"/>
            </w:tcBorders>
            <w:shd w:val="clear" w:color="auto" w:fill="auto"/>
            <w:noWrap/>
            <w:vAlign w:val="center"/>
          </w:tcPr>
          <w:p w14:paraId="4CEDF883" w14:textId="77777777" w:rsidR="00247CBF" w:rsidRPr="00092ED7" w:rsidRDefault="00247CBF" w:rsidP="00247CBF">
            <w:pPr>
              <w:spacing w:after="0"/>
              <w:rPr>
                <w:rFonts w:eastAsia="Times New Roman" w:cs="Times New Roman"/>
                <w:b/>
                <w:bCs/>
                <w:sz w:val="20"/>
                <w:szCs w:val="20"/>
                <w:lang w:val="sr-Cyrl-CS"/>
              </w:rPr>
            </w:pPr>
          </w:p>
        </w:tc>
        <w:tc>
          <w:tcPr>
            <w:tcW w:w="892" w:type="pct"/>
            <w:gridSpan w:val="2"/>
            <w:vMerge/>
            <w:tcBorders>
              <w:left w:val="single" w:sz="8" w:space="0" w:color="auto"/>
              <w:bottom w:val="double" w:sz="6" w:space="0" w:color="auto"/>
              <w:right w:val="single" w:sz="8" w:space="0" w:color="000000"/>
            </w:tcBorders>
            <w:shd w:val="clear" w:color="auto" w:fill="auto"/>
            <w:vAlign w:val="center"/>
          </w:tcPr>
          <w:p w14:paraId="60639141" w14:textId="77777777" w:rsidR="00247CBF" w:rsidRPr="00092ED7" w:rsidRDefault="00247CBF" w:rsidP="00247CBF">
            <w:pPr>
              <w:spacing w:after="0"/>
              <w:jc w:val="center"/>
              <w:rPr>
                <w:rFonts w:eastAsia="Times New Roman" w:cs="Times New Roman"/>
                <w:b/>
                <w:bCs/>
                <w:sz w:val="20"/>
                <w:szCs w:val="20"/>
                <w:lang w:val="sr-Cyrl-CS"/>
              </w:rPr>
            </w:pPr>
          </w:p>
        </w:tc>
        <w:tc>
          <w:tcPr>
            <w:tcW w:w="338" w:type="pct"/>
            <w:tcBorders>
              <w:left w:val="nil"/>
              <w:bottom w:val="double" w:sz="6" w:space="0" w:color="auto"/>
              <w:right w:val="dotted" w:sz="4" w:space="0" w:color="auto"/>
            </w:tcBorders>
            <w:shd w:val="clear" w:color="auto" w:fill="auto"/>
            <w:noWrap/>
            <w:vAlign w:val="center"/>
          </w:tcPr>
          <w:p w14:paraId="66C85862" w14:textId="77777777" w:rsidR="00247CBF" w:rsidRPr="00092ED7" w:rsidRDefault="00247CBF" w:rsidP="00247CBF">
            <w:pPr>
              <w:spacing w:after="0"/>
              <w:jc w:val="center"/>
              <w:rPr>
                <w:sz w:val="20"/>
                <w:szCs w:val="20"/>
                <w:lang w:val="sr-Cyrl-CS"/>
              </w:rPr>
            </w:pPr>
            <w:r w:rsidRPr="00092ED7">
              <w:rPr>
                <w:sz w:val="20"/>
                <w:szCs w:val="20"/>
                <w:lang w:val="sr-Cyrl-CS"/>
              </w:rPr>
              <w:t>2021</w:t>
            </w:r>
          </w:p>
        </w:tc>
        <w:tc>
          <w:tcPr>
            <w:tcW w:w="338" w:type="pct"/>
            <w:gridSpan w:val="2"/>
            <w:tcBorders>
              <w:left w:val="dotted" w:sz="4" w:space="0" w:color="auto"/>
              <w:bottom w:val="double" w:sz="6" w:space="0" w:color="auto"/>
              <w:right w:val="dotted" w:sz="4" w:space="0" w:color="auto"/>
            </w:tcBorders>
            <w:shd w:val="clear" w:color="auto" w:fill="auto"/>
            <w:noWrap/>
            <w:vAlign w:val="center"/>
          </w:tcPr>
          <w:p w14:paraId="2EF3856A" w14:textId="77777777" w:rsidR="00247CBF" w:rsidRPr="00092ED7" w:rsidRDefault="00247CBF" w:rsidP="00247CBF">
            <w:pPr>
              <w:spacing w:after="0"/>
              <w:jc w:val="center"/>
              <w:rPr>
                <w:sz w:val="20"/>
                <w:szCs w:val="20"/>
                <w:lang w:val="sr-Cyrl-CS"/>
              </w:rPr>
            </w:pPr>
            <w:r w:rsidRPr="00092ED7">
              <w:rPr>
                <w:sz w:val="20"/>
                <w:szCs w:val="20"/>
                <w:lang w:val="sr-Cyrl-CS"/>
              </w:rPr>
              <w:t>2022</w:t>
            </w:r>
          </w:p>
        </w:tc>
        <w:tc>
          <w:tcPr>
            <w:tcW w:w="338" w:type="pct"/>
            <w:gridSpan w:val="2"/>
            <w:tcBorders>
              <w:left w:val="dotted" w:sz="4" w:space="0" w:color="auto"/>
              <w:bottom w:val="double" w:sz="6" w:space="0" w:color="auto"/>
              <w:right w:val="dotted" w:sz="4" w:space="0" w:color="auto"/>
            </w:tcBorders>
            <w:shd w:val="clear" w:color="auto" w:fill="auto"/>
            <w:noWrap/>
            <w:vAlign w:val="center"/>
          </w:tcPr>
          <w:p w14:paraId="4F51F6DE" w14:textId="77777777" w:rsidR="00247CBF" w:rsidRPr="00092ED7" w:rsidRDefault="00247CBF" w:rsidP="00247CBF">
            <w:pPr>
              <w:spacing w:after="0"/>
              <w:jc w:val="center"/>
              <w:rPr>
                <w:sz w:val="20"/>
                <w:szCs w:val="20"/>
                <w:lang w:val="sr-Cyrl-CS"/>
              </w:rPr>
            </w:pPr>
            <w:r w:rsidRPr="00092ED7">
              <w:rPr>
                <w:sz w:val="20"/>
                <w:szCs w:val="20"/>
                <w:lang w:val="sr-Cyrl-CS"/>
              </w:rPr>
              <w:t>2023</w:t>
            </w:r>
          </w:p>
        </w:tc>
        <w:tc>
          <w:tcPr>
            <w:tcW w:w="338" w:type="pct"/>
            <w:gridSpan w:val="2"/>
            <w:tcBorders>
              <w:left w:val="dotted" w:sz="4" w:space="0" w:color="auto"/>
              <w:bottom w:val="double" w:sz="6" w:space="0" w:color="auto"/>
              <w:right w:val="dotted" w:sz="4" w:space="0" w:color="auto"/>
            </w:tcBorders>
            <w:shd w:val="clear" w:color="auto" w:fill="auto"/>
            <w:noWrap/>
            <w:vAlign w:val="center"/>
          </w:tcPr>
          <w:p w14:paraId="167887CE" w14:textId="77777777" w:rsidR="00247CBF" w:rsidRPr="00092ED7" w:rsidRDefault="00247CBF" w:rsidP="00247CBF">
            <w:pPr>
              <w:spacing w:after="0"/>
              <w:jc w:val="center"/>
              <w:rPr>
                <w:sz w:val="20"/>
                <w:szCs w:val="20"/>
                <w:lang w:val="sr-Cyrl-CS"/>
              </w:rPr>
            </w:pPr>
            <w:r w:rsidRPr="00092ED7">
              <w:rPr>
                <w:sz w:val="20"/>
                <w:szCs w:val="20"/>
                <w:lang w:val="sr-Cyrl-CS"/>
              </w:rPr>
              <w:t>2024</w:t>
            </w:r>
          </w:p>
        </w:tc>
        <w:tc>
          <w:tcPr>
            <w:tcW w:w="340" w:type="pct"/>
            <w:gridSpan w:val="2"/>
            <w:tcBorders>
              <w:left w:val="dotted" w:sz="4" w:space="0" w:color="auto"/>
              <w:bottom w:val="double" w:sz="6" w:space="0" w:color="auto"/>
              <w:right w:val="double" w:sz="6" w:space="0" w:color="auto"/>
            </w:tcBorders>
            <w:shd w:val="clear" w:color="auto" w:fill="auto"/>
            <w:noWrap/>
            <w:vAlign w:val="center"/>
          </w:tcPr>
          <w:p w14:paraId="28FEA58E" w14:textId="77777777" w:rsidR="00247CBF" w:rsidRPr="00092ED7" w:rsidRDefault="00247CBF" w:rsidP="00247CBF">
            <w:pPr>
              <w:spacing w:after="0"/>
              <w:jc w:val="center"/>
              <w:rPr>
                <w:sz w:val="20"/>
                <w:szCs w:val="20"/>
                <w:lang w:val="sr-Cyrl-CS"/>
              </w:rPr>
            </w:pPr>
            <w:r w:rsidRPr="00092ED7">
              <w:rPr>
                <w:sz w:val="20"/>
                <w:szCs w:val="20"/>
                <w:lang w:val="sr-Cyrl-CS"/>
              </w:rPr>
              <w:t>2025</w:t>
            </w:r>
          </w:p>
        </w:tc>
        <w:tc>
          <w:tcPr>
            <w:tcW w:w="97" w:type="pct"/>
            <w:tcBorders>
              <w:top w:val="nil"/>
              <w:left w:val="nil"/>
              <w:bottom w:val="nil"/>
              <w:right w:val="nil"/>
            </w:tcBorders>
            <w:shd w:val="clear" w:color="auto" w:fill="auto"/>
            <w:noWrap/>
            <w:vAlign w:val="center"/>
          </w:tcPr>
          <w:p w14:paraId="4C220982" w14:textId="77777777" w:rsidR="00247CBF" w:rsidRPr="00092ED7" w:rsidRDefault="00247CBF" w:rsidP="00247CBF">
            <w:pPr>
              <w:spacing w:after="0"/>
              <w:rPr>
                <w:rFonts w:eastAsia="Times New Roman" w:cs="Times New Roman"/>
                <w:b/>
                <w:bCs/>
                <w:szCs w:val="24"/>
                <w:lang w:val="sr-Cyrl-CS"/>
              </w:rPr>
            </w:pPr>
          </w:p>
        </w:tc>
      </w:tr>
      <w:tr w:rsidR="00247CBF" w:rsidRPr="00092ED7" w14:paraId="1466691D" w14:textId="77777777" w:rsidTr="00247CBF">
        <w:trPr>
          <w:trHeight w:val="283"/>
        </w:trPr>
        <w:tc>
          <w:tcPr>
            <w:tcW w:w="2319" w:type="pct"/>
            <w:tcBorders>
              <w:top w:val="nil"/>
              <w:left w:val="double" w:sz="6" w:space="0" w:color="auto"/>
              <w:bottom w:val="dotted" w:sz="4" w:space="0" w:color="auto"/>
              <w:right w:val="nil"/>
            </w:tcBorders>
            <w:shd w:val="clear" w:color="auto" w:fill="auto"/>
            <w:vAlign w:val="center"/>
            <w:hideMark/>
          </w:tcPr>
          <w:p w14:paraId="61C74477" w14:textId="77777777" w:rsidR="00247CBF" w:rsidRPr="00092ED7" w:rsidRDefault="00247CBF" w:rsidP="00247CBF">
            <w:pPr>
              <w:spacing w:after="0"/>
              <w:jc w:val="left"/>
              <w:rPr>
                <w:rFonts w:eastAsia="Times New Roman" w:cs="Times New Roman"/>
                <w:sz w:val="20"/>
                <w:szCs w:val="20"/>
                <w:lang w:val="sr-Cyrl-CS"/>
              </w:rPr>
            </w:pPr>
            <w:r w:rsidRPr="00092ED7">
              <w:rPr>
                <w:rFonts w:eastAsia="Times New Roman" w:cs="Times New Roman"/>
                <w:sz w:val="20"/>
                <w:szCs w:val="20"/>
                <w:lang w:val="sr-Cyrl-CS"/>
              </w:rPr>
              <w:t>Краткорочна каматна стопа</w:t>
            </w:r>
          </w:p>
        </w:tc>
        <w:tc>
          <w:tcPr>
            <w:tcW w:w="892" w:type="pct"/>
            <w:gridSpan w:val="2"/>
            <w:tcBorders>
              <w:top w:val="double" w:sz="6" w:space="0" w:color="auto"/>
              <w:left w:val="single" w:sz="4" w:space="0" w:color="auto"/>
              <w:bottom w:val="dotted" w:sz="4" w:space="0" w:color="auto"/>
              <w:right w:val="single" w:sz="8" w:space="0" w:color="000000"/>
            </w:tcBorders>
            <w:shd w:val="clear" w:color="auto" w:fill="auto"/>
            <w:vAlign w:val="center"/>
            <w:hideMark/>
          </w:tcPr>
          <w:p w14:paraId="349A779A" w14:textId="77777777" w:rsidR="00247CBF" w:rsidRPr="00092ED7" w:rsidRDefault="00247CBF" w:rsidP="00247CBF">
            <w:pPr>
              <w:spacing w:after="0"/>
              <w:jc w:val="center"/>
              <w:rPr>
                <w:rFonts w:eastAsia="Times New Roman" w:cs="Times New Roman"/>
                <w:sz w:val="18"/>
                <w:szCs w:val="18"/>
                <w:lang w:val="sr-Cyrl-CS"/>
              </w:rPr>
            </w:pPr>
            <w:r w:rsidRPr="00092ED7">
              <w:rPr>
                <w:rFonts w:eastAsia="Times New Roman" w:cs="Times New Roman"/>
                <w:sz w:val="18"/>
                <w:szCs w:val="18"/>
                <w:lang w:val="sr-Cyrl-CS"/>
              </w:rPr>
              <w:t>Год. просек</w:t>
            </w:r>
          </w:p>
        </w:tc>
        <w:tc>
          <w:tcPr>
            <w:tcW w:w="338" w:type="pct"/>
            <w:tcBorders>
              <w:top w:val="single" w:sz="8" w:space="0" w:color="000000"/>
              <w:left w:val="nil"/>
              <w:bottom w:val="dotted" w:sz="4" w:space="0" w:color="auto"/>
              <w:right w:val="dotted" w:sz="4" w:space="0" w:color="auto"/>
            </w:tcBorders>
            <w:shd w:val="clear" w:color="auto" w:fill="auto"/>
            <w:vAlign w:val="bottom"/>
            <w:hideMark/>
          </w:tcPr>
          <w:p w14:paraId="24EB17C7" w14:textId="77777777" w:rsidR="00247CBF" w:rsidRPr="00092ED7" w:rsidRDefault="00247CBF" w:rsidP="00247CBF">
            <w:pPr>
              <w:spacing w:after="0"/>
              <w:jc w:val="center"/>
              <w:rPr>
                <w:rFonts w:eastAsia="Times New Roman" w:cs="Times New Roman"/>
                <w:sz w:val="23"/>
                <w:szCs w:val="23"/>
                <w:lang w:val="sr-Cyrl-CS"/>
              </w:rPr>
            </w:pPr>
            <w:r w:rsidRPr="00092ED7">
              <w:rPr>
                <w:rFonts w:cs="Times New Roman"/>
                <w:sz w:val="20"/>
                <w:szCs w:val="20"/>
                <w:lang w:val="sr-Cyrl-CS"/>
              </w:rPr>
              <w:t>:</w:t>
            </w:r>
          </w:p>
        </w:tc>
        <w:tc>
          <w:tcPr>
            <w:tcW w:w="338" w:type="pct"/>
            <w:gridSpan w:val="2"/>
            <w:tcBorders>
              <w:top w:val="single" w:sz="8" w:space="0" w:color="000000"/>
              <w:left w:val="nil"/>
              <w:bottom w:val="dotted" w:sz="4" w:space="0" w:color="auto"/>
              <w:right w:val="dotted" w:sz="4" w:space="0" w:color="auto"/>
            </w:tcBorders>
            <w:shd w:val="clear" w:color="auto" w:fill="auto"/>
            <w:vAlign w:val="bottom"/>
            <w:hideMark/>
          </w:tcPr>
          <w:p w14:paraId="69FBF60C" w14:textId="77777777" w:rsidR="00247CBF" w:rsidRPr="00092ED7" w:rsidRDefault="00247CBF" w:rsidP="00247CBF">
            <w:pPr>
              <w:spacing w:after="0"/>
              <w:jc w:val="center"/>
              <w:rPr>
                <w:rFonts w:eastAsia="Times New Roman" w:cs="Times New Roman"/>
                <w:sz w:val="23"/>
                <w:szCs w:val="23"/>
                <w:lang w:val="sr-Cyrl-CS"/>
              </w:rPr>
            </w:pPr>
            <w:r w:rsidRPr="00092ED7">
              <w:rPr>
                <w:rFonts w:cs="Times New Roman"/>
                <w:sz w:val="20"/>
                <w:szCs w:val="20"/>
                <w:lang w:val="sr-Cyrl-CS"/>
              </w:rPr>
              <w:t>:</w:t>
            </w:r>
          </w:p>
        </w:tc>
        <w:tc>
          <w:tcPr>
            <w:tcW w:w="338" w:type="pct"/>
            <w:gridSpan w:val="2"/>
            <w:tcBorders>
              <w:top w:val="single" w:sz="8" w:space="0" w:color="000000"/>
              <w:left w:val="nil"/>
              <w:bottom w:val="dotted" w:sz="4" w:space="0" w:color="auto"/>
              <w:right w:val="dotted" w:sz="4" w:space="0" w:color="auto"/>
            </w:tcBorders>
            <w:shd w:val="clear" w:color="auto" w:fill="auto"/>
            <w:vAlign w:val="bottom"/>
            <w:hideMark/>
          </w:tcPr>
          <w:p w14:paraId="021B1284" w14:textId="77777777" w:rsidR="00247CBF" w:rsidRPr="00092ED7" w:rsidRDefault="00247CBF" w:rsidP="00247CBF">
            <w:pPr>
              <w:spacing w:after="0"/>
              <w:jc w:val="center"/>
              <w:rPr>
                <w:rFonts w:eastAsia="Times New Roman" w:cs="Times New Roman"/>
                <w:sz w:val="23"/>
                <w:szCs w:val="23"/>
                <w:lang w:val="sr-Cyrl-CS"/>
              </w:rPr>
            </w:pPr>
            <w:r w:rsidRPr="00092ED7">
              <w:rPr>
                <w:rFonts w:cs="Times New Roman"/>
                <w:sz w:val="20"/>
                <w:szCs w:val="20"/>
                <w:lang w:val="sr-Cyrl-CS"/>
              </w:rPr>
              <w:t>:</w:t>
            </w:r>
          </w:p>
        </w:tc>
        <w:tc>
          <w:tcPr>
            <w:tcW w:w="338" w:type="pct"/>
            <w:gridSpan w:val="2"/>
            <w:tcBorders>
              <w:top w:val="single" w:sz="8" w:space="0" w:color="000000"/>
              <w:left w:val="nil"/>
              <w:bottom w:val="dotted" w:sz="4" w:space="0" w:color="auto"/>
              <w:right w:val="dotted" w:sz="4" w:space="0" w:color="auto"/>
            </w:tcBorders>
            <w:shd w:val="clear" w:color="auto" w:fill="auto"/>
            <w:vAlign w:val="bottom"/>
            <w:hideMark/>
          </w:tcPr>
          <w:p w14:paraId="63A1F17F" w14:textId="77777777" w:rsidR="00247CBF" w:rsidRPr="00092ED7" w:rsidRDefault="00247CBF" w:rsidP="00247CBF">
            <w:pPr>
              <w:spacing w:after="0"/>
              <w:jc w:val="center"/>
              <w:rPr>
                <w:rFonts w:eastAsia="Times New Roman" w:cs="Times New Roman"/>
                <w:sz w:val="23"/>
                <w:szCs w:val="23"/>
                <w:lang w:val="sr-Cyrl-CS"/>
              </w:rPr>
            </w:pPr>
            <w:r w:rsidRPr="00092ED7">
              <w:rPr>
                <w:rFonts w:cs="Times New Roman"/>
                <w:sz w:val="20"/>
                <w:szCs w:val="20"/>
                <w:lang w:val="sr-Cyrl-CS"/>
              </w:rPr>
              <w:t>:</w:t>
            </w:r>
          </w:p>
        </w:tc>
        <w:tc>
          <w:tcPr>
            <w:tcW w:w="340" w:type="pct"/>
            <w:gridSpan w:val="2"/>
            <w:tcBorders>
              <w:top w:val="single" w:sz="8" w:space="0" w:color="000000"/>
              <w:left w:val="nil"/>
              <w:bottom w:val="dotted" w:sz="4" w:space="0" w:color="auto"/>
              <w:right w:val="double" w:sz="6" w:space="0" w:color="auto"/>
            </w:tcBorders>
            <w:shd w:val="clear" w:color="auto" w:fill="auto"/>
            <w:vAlign w:val="bottom"/>
            <w:hideMark/>
          </w:tcPr>
          <w:p w14:paraId="56BA8109" w14:textId="77777777" w:rsidR="00247CBF" w:rsidRPr="00092ED7" w:rsidRDefault="00247CBF" w:rsidP="00247CBF">
            <w:pPr>
              <w:spacing w:after="0"/>
              <w:jc w:val="center"/>
              <w:rPr>
                <w:rFonts w:eastAsia="Times New Roman" w:cs="Times New Roman"/>
                <w:sz w:val="23"/>
                <w:szCs w:val="23"/>
                <w:lang w:val="sr-Cyrl-CS"/>
              </w:rPr>
            </w:pPr>
            <w:r w:rsidRPr="00092ED7">
              <w:rPr>
                <w:rFonts w:cs="Times New Roman"/>
                <w:sz w:val="20"/>
                <w:szCs w:val="20"/>
                <w:lang w:val="sr-Cyrl-CS"/>
              </w:rPr>
              <w:t>:</w:t>
            </w:r>
          </w:p>
        </w:tc>
        <w:tc>
          <w:tcPr>
            <w:tcW w:w="97" w:type="pct"/>
            <w:tcBorders>
              <w:top w:val="nil"/>
              <w:left w:val="nil"/>
              <w:bottom w:val="nil"/>
              <w:right w:val="nil"/>
            </w:tcBorders>
            <w:shd w:val="clear" w:color="auto" w:fill="auto"/>
            <w:noWrap/>
            <w:vAlign w:val="center"/>
            <w:hideMark/>
          </w:tcPr>
          <w:p w14:paraId="4BF51654" w14:textId="77777777" w:rsidR="00247CBF" w:rsidRPr="00092ED7" w:rsidRDefault="00247CBF" w:rsidP="00247CBF">
            <w:pPr>
              <w:spacing w:after="0"/>
              <w:rPr>
                <w:rFonts w:eastAsia="Times New Roman" w:cs="Times New Roman"/>
                <w:b/>
                <w:bCs/>
                <w:szCs w:val="24"/>
                <w:lang w:val="sr-Cyrl-CS"/>
              </w:rPr>
            </w:pPr>
            <w:r w:rsidRPr="00092ED7">
              <w:rPr>
                <w:rFonts w:eastAsia="Times New Roman" w:cs="Times New Roman"/>
                <w:b/>
                <w:bCs/>
                <w:szCs w:val="24"/>
                <w:lang w:val="sr-Cyrl-CS"/>
              </w:rPr>
              <w:t> </w:t>
            </w:r>
          </w:p>
        </w:tc>
      </w:tr>
      <w:tr w:rsidR="00247CBF" w:rsidRPr="00092ED7" w14:paraId="7D83DBA4" w14:textId="77777777" w:rsidTr="00247CBF">
        <w:trPr>
          <w:trHeight w:val="283"/>
        </w:trPr>
        <w:tc>
          <w:tcPr>
            <w:tcW w:w="2319" w:type="pct"/>
            <w:tcBorders>
              <w:top w:val="nil"/>
              <w:left w:val="double" w:sz="6" w:space="0" w:color="auto"/>
              <w:bottom w:val="dotted" w:sz="4" w:space="0" w:color="auto"/>
              <w:right w:val="nil"/>
            </w:tcBorders>
            <w:shd w:val="clear" w:color="auto" w:fill="auto"/>
            <w:vAlign w:val="center"/>
            <w:hideMark/>
          </w:tcPr>
          <w:p w14:paraId="37DB33C9" w14:textId="77777777" w:rsidR="00247CBF" w:rsidRPr="00092ED7" w:rsidRDefault="00247CBF" w:rsidP="00247CBF">
            <w:pPr>
              <w:spacing w:after="0"/>
              <w:jc w:val="left"/>
              <w:rPr>
                <w:rFonts w:eastAsia="Times New Roman" w:cs="Times New Roman"/>
                <w:sz w:val="20"/>
                <w:szCs w:val="20"/>
                <w:lang w:val="sr-Cyrl-CS"/>
              </w:rPr>
            </w:pPr>
            <w:r w:rsidRPr="00092ED7">
              <w:rPr>
                <w:rFonts w:eastAsia="Times New Roman" w:cs="Times New Roman"/>
                <w:sz w:val="20"/>
                <w:szCs w:val="20"/>
                <w:lang w:val="sr-Cyrl-CS"/>
              </w:rPr>
              <w:t>Дугорочна каматна стопа</w:t>
            </w:r>
          </w:p>
        </w:tc>
        <w:tc>
          <w:tcPr>
            <w:tcW w:w="892" w:type="pct"/>
            <w:gridSpan w:val="2"/>
            <w:tcBorders>
              <w:top w:val="dotted" w:sz="4" w:space="0" w:color="auto"/>
              <w:left w:val="single" w:sz="4" w:space="0" w:color="auto"/>
              <w:bottom w:val="dotted" w:sz="4" w:space="0" w:color="auto"/>
              <w:right w:val="single" w:sz="8" w:space="0" w:color="000000"/>
            </w:tcBorders>
            <w:shd w:val="clear" w:color="auto" w:fill="auto"/>
            <w:vAlign w:val="center"/>
            <w:hideMark/>
          </w:tcPr>
          <w:p w14:paraId="6F5E6CF9" w14:textId="77777777" w:rsidR="00247CBF" w:rsidRPr="00092ED7" w:rsidRDefault="00247CBF" w:rsidP="00247CBF">
            <w:pPr>
              <w:spacing w:after="0"/>
              <w:jc w:val="center"/>
              <w:rPr>
                <w:rFonts w:eastAsia="Times New Roman" w:cs="Times New Roman"/>
                <w:sz w:val="18"/>
                <w:szCs w:val="18"/>
                <w:lang w:val="sr-Cyrl-CS"/>
              </w:rPr>
            </w:pPr>
            <w:r w:rsidRPr="00092ED7">
              <w:rPr>
                <w:rFonts w:eastAsia="Times New Roman" w:cs="Times New Roman"/>
                <w:sz w:val="18"/>
                <w:szCs w:val="18"/>
                <w:lang w:val="sr-Cyrl-CS"/>
              </w:rPr>
              <w:t>Год. просек</w:t>
            </w:r>
          </w:p>
        </w:tc>
        <w:tc>
          <w:tcPr>
            <w:tcW w:w="338" w:type="pct"/>
            <w:tcBorders>
              <w:top w:val="nil"/>
              <w:left w:val="nil"/>
              <w:bottom w:val="dotted" w:sz="4" w:space="0" w:color="auto"/>
              <w:right w:val="dotted" w:sz="4" w:space="0" w:color="auto"/>
            </w:tcBorders>
            <w:shd w:val="clear" w:color="auto" w:fill="auto"/>
            <w:vAlign w:val="bottom"/>
            <w:hideMark/>
          </w:tcPr>
          <w:p w14:paraId="14878D30" w14:textId="77777777" w:rsidR="00247CBF" w:rsidRPr="00092ED7" w:rsidRDefault="00247CBF" w:rsidP="00247CBF">
            <w:pPr>
              <w:spacing w:after="0"/>
              <w:jc w:val="center"/>
              <w:rPr>
                <w:rFonts w:eastAsia="Times New Roman" w:cs="Times New Roman"/>
                <w:sz w:val="20"/>
                <w:szCs w:val="20"/>
                <w:lang w:val="sr-Cyrl-CS"/>
              </w:rPr>
            </w:pPr>
            <w:r w:rsidRPr="00092ED7">
              <w:rPr>
                <w:rFonts w:cs="Times New Roman"/>
                <w:sz w:val="20"/>
                <w:szCs w:val="20"/>
                <w:lang w:val="sr-Cyrl-CS"/>
              </w:rPr>
              <w:t>:</w:t>
            </w:r>
          </w:p>
        </w:tc>
        <w:tc>
          <w:tcPr>
            <w:tcW w:w="338" w:type="pct"/>
            <w:gridSpan w:val="2"/>
            <w:tcBorders>
              <w:top w:val="nil"/>
              <w:left w:val="nil"/>
              <w:bottom w:val="dotted" w:sz="4" w:space="0" w:color="auto"/>
              <w:right w:val="dotted" w:sz="4" w:space="0" w:color="auto"/>
            </w:tcBorders>
            <w:shd w:val="clear" w:color="auto" w:fill="auto"/>
            <w:vAlign w:val="bottom"/>
            <w:hideMark/>
          </w:tcPr>
          <w:p w14:paraId="2F402050" w14:textId="77777777" w:rsidR="00247CBF" w:rsidRPr="00092ED7" w:rsidRDefault="00247CBF" w:rsidP="00247CBF">
            <w:pPr>
              <w:spacing w:after="0"/>
              <w:jc w:val="center"/>
              <w:rPr>
                <w:rFonts w:eastAsia="Times New Roman" w:cs="Times New Roman"/>
                <w:sz w:val="20"/>
                <w:szCs w:val="20"/>
                <w:lang w:val="sr-Cyrl-CS"/>
              </w:rPr>
            </w:pPr>
            <w:r w:rsidRPr="00092ED7">
              <w:rPr>
                <w:rFonts w:cs="Times New Roman"/>
                <w:sz w:val="20"/>
                <w:szCs w:val="20"/>
                <w:lang w:val="sr-Cyrl-CS"/>
              </w:rPr>
              <w:t>:</w:t>
            </w:r>
          </w:p>
        </w:tc>
        <w:tc>
          <w:tcPr>
            <w:tcW w:w="338" w:type="pct"/>
            <w:gridSpan w:val="2"/>
            <w:tcBorders>
              <w:top w:val="nil"/>
              <w:left w:val="nil"/>
              <w:bottom w:val="dotted" w:sz="4" w:space="0" w:color="auto"/>
              <w:right w:val="dotted" w:sz="4" w:space="0" w:color="auto"/>
            </w:tcBorders>
            <w:shd w:val="clear" w:color="auto" w:fill="auto"/>
            <w:vAlign w:val="bottom"/>
            <w:hideMark/>
          </w:tcPr>
          <w:p w14:paraId="4A24678A" w14:textId="77777777" w:rsidR="00247CBF" w:rsidRPr="00092ED7" w:rsidRDefault="00247CBF" w:rsidP="00247CBF">
            <w:pPr>
              <w:spacing w:after="0"/>
              <w:jc w:val="center"/>
              <w:rPr>
                <w:rFonts w:eastAsia="Times New Roman" w:cs="Times New Roman"/>
                <w:sz w:val="20"/>
                <w:szCs w:val="20"/>
                <w:lang w:val="sr-Cyrl-CS"/>
              </w:rPr>
            </w:pPr>
            <w:r w:rsidRPr="00092ED7">
              <w:rPr>
                <w:rFonts w:cs="Times New Roman"/>
                <w:sz w:val="20"/>
                <w:szCs w:val="20"/>
                <w:lang w:val="sr-Cyrl-CS"/>
              </w:rPr>
              <w:t>:</w:t>
            </w:r>
          </w:p>
        </w:tc>
        <w:tc>
          <w:tcPr>
            <w:tcW w:w="338" w:type="pct"/>
            <w:gridSpan w:val="2"/>
            <w:tcBorders>
              <w:top w:val="nil"/>
              <w:left w:val="nil"/>
              <w:bottom w:val="dotted" w:sz="4" w:space="0" w:color="auto"/>
              <w:right w:val="dotted" w:sz="4" w:space="0" w:color="auto"/>
            </w:tcBorders>
            <w:shd w:val="clear" w:color="auto" w:fill="auto"/>
            <w:vAlign w:val="bottom"/>
            <w:hideMark/>
          </w:tcPr>
          <w:p w14:paraId="71A50819" w14:textId="77777777" w:rsidR="00247CBF" w:rsidRPr="00092ED7" w:rsidRDefault="00247CBF" w:rsidP="00247CBF">
            <w:pPr>
              <w:spacing w:after="0"/>
              <w:jc w:val="center"/>
              <w:rPr>
                <w:rFonts w:eastAsia="Times New Roman" w:cs="Times New Roman"/>
                <w:sz w:val="20"/>
                <w:szCs w:val="20"/>
                <w:lang w:val="sr-Cyrl-CS"/>
              </w:rPr>
            </w:pPr>
            <w:r w:rsidRPr="00092ED7">
              <w:rPr>
                <w:rFonts w:cs="Times New Roman"/>
                <w:sz w:val="20"/>
                <w:szCs w:val="20"/>
                <w:lang w:val="sr-Cyrl-CS"/>
              </w:rPr>
              <w:t>:</w:t>
            </w:r>
          </w:p>
        </w:tc>
        <w:tc>
          <w:tcPr>
            <w:tcW w:w="340" w:type="pct"/>
            <w:gridSpan w:val="2"/>
            <w:tcBorders>
              <w:top w:val="nil"/>
              <w:left w:val="nil"/>
              <w:bottom w:val="dotted" w:sz="4" w:space="0" w:color="auto"/>
              <w:right w:val="double" w:sz="6" w:space="0" w:color="auto"/>
            </w:tcBorders>
            <w:shd w:val="clear" w:color="auto" w:fill="auto"/>
            <w:vAlign w:val="bottom"/>
            <w:hideMark/>
          </w:tcPr>
          <w:p w14:paraId="6334A7A8" w14:textId="77777777" w:rsidR="00247CBF" w:rsidRPr="00092ED7" w:rsidRDefault="00247CBF" w:rsidP="00247CBF">
            <w:pPr>
              <w:spacing w:after="0"/>
              <w:jc w:val="center"/>
              <w:rPr>
                <w:rFonts w:eastAsia="Times New Roman" w:cs="Times New Roman"/>
                <w:sz w:val="23"/>
                <w:szCs w:val="23"/>
                <w:lang w:val="sr-Cyrl-CS"/>
              </w:rPr>
            </w:pPr>
            <w:r w:rsidRPr="00092ED7">
              <w:rPr>
                <w:rFonts w:cs="Times New Roman"/>
                <w:sz w:val="20"/>
                <w:szCs w:val="20"/>
                <w:lang w:val="sr-Cyrl-CS"/>
              </w:rPr>
              <w:t>:</w:t>
            </w:r>
          </w:p>
        </w:tc>
        <w:tc>
          <w:tcPr>
            <w:tcW w:w="97" w:type="pct"/>
            <w:tcBorders>
              <w:top w:val="nil"/>
              <w:left w:val="nil"/>
              <w:bottom w:val="nil"/>
              <w:right w:val="nil"/>
            </w:tcBorders>
            <w:shd w:val="clear" w:color="auto" w:fill="auto"/>
            <w:noWrap/>
            <w:vAlign w:val="center"/>
            <w:hideMark/>
          </w:tcPr>
          <w:p w14:paraId="7610CC8B" w14:textId="77777777" w:rsidR="00247CBF" w:rsidRPr="00092ED7" w:rsidRDefault="00247CBF" w:rsidP="00247CBF">
            <w:pPr>
              <w:spacing w:after="0"/>
              <w:rPr>
                <w:rFonts w:eastAsia="Times New Roman" w:cs="Times New Roman"/>
                <w:b/>
                <w:bCs/>
                <w:szCs w:val="24"/>
                <w:lang w:val="sr-Cyrl-CS"/>
              </w:rPr>
            </w:pPr>
            <w:r w:rsidRPr="00092ED7">
              <w:rPr>
                <w:rFonts w:eastAsia="Times New Roman" w:cs="Times New Roman"/>
                <w:b/>
                <w:bCs/>
                <w:szCs w:val="24"/>
                <w:lang w:val="sr-Cyrl-CS"/>
              </w:rPr>
              <w:t> </w:t>
            </w:r>
          </w:p>
        </w:tc>
      </w:tr>
      <w:tr w:rsidR="00247CBF" w:rsidRPr="00092ED7" w14:paraId="26EC2B02" w14:textId="77777777" w:rsidTr="00247CBF">
        <w:trPr>
          <w:trHeight w:val="283"/>
        </w:trPr>
        <w:tc>
          <w:tcPr>
            <w:tcW w:w="2319" w:type="pct"/>
            <w:tcBorders>
              <w:top w:val="nil"/>
              <w:left w:val="double" w:sz="6" w:space="0" w:color="auto"/>
              <w:bottom w:val="dotted" w:sz="4" w:space="0" w:color="auto"/>
              <w:right w:val="nil"/>
            </w:tcBorders>
            <w:shd w:val="clear" w:color="auto" w:fill="auto"/>
            <w:vAlign w:val="center"/>
            <w:hideMark/>
          </w:tcPr>
          <w:p w14:paraId="468E1931" w14:textId="77777777" w:rsidR="00247CBF" w:rsidRPr="00092ED7" w:rsidRDefault="00247CBF" w:rsidP="00247CBF">
            <w:pPr>
              <w:spacing w:after="0"/>
              <w:jc w:val="left"/>
              <w:rPr>
                <w:rFonts w:eastAsia="Times New Roman" w:cs="Times New Roman"/>
                <w:sz w:val="20"/>
                <w:szCs w:val="20"/>
                <w:lang w:val="sr-Cyrl-CS"/>
              </w:rPr>
            </w:pPr>
            <w:r w:rsidRPr="00092ED7">
              <w:rPr>
                <w:rFonts w:eastAsia="Times New Roman" w:cs="Times New Roman"/>
                <w:sz w:val="20"/>
                <w:szCs w:val="20"/>
                <w:lang w:val="sr-Cyrl-CS"/>
              </w:rPr>
              <w:t>Курс УСД/ЕУР</w:t>
            </w:r>
          </w:p>
        </w:tc>
        <w:tc>
          <w:tcPr>
            <w:tcW w:w="892" w:type="pct"/>
            <w:gridSpan w:val="2"/>
            <w:tcBorders>
              <w:top w:val="dotted" w:sz="4" w:space="0" w:color="auto"/>
              <w:left w:val="single" w:sz="4" w:space="0" w:color="auto"/>
              <w:bottom w:val="dotted" w:sz="4" w:space="0" w:color="auto"/>
              <w:right w:val="single" w:sz="8" w:space="0" w:color="000000"/>
            </w:tcBorders>
            <w:shd w:val="clear" w:color="auto" w:fill="auto"/>
            <w:vAlign w:val="center"/>
            <w:hideMark/>
          </w:tcPr>
          <w:p w14:paraId="546934F5" w14:textId="77777777" w:rsidR="00247CBF" w:rsidRPr="00092ED7" w:rsidRDefault="00247CBF" w:rsidP="00247CBF">
            <w:pPr>
              <w:spacing w:after="0"/>
              <w:jc w:val="center"/>
              <w:rPr>
                <w:rFonts w:eastAsia="Times New Roman" w:cs="Times New Roman"/>
                <w:sz w:val="18"/>
                <w:szCs w:val="18"/>
                <w:lang w:val="sr-Cyrl-CS"/>
              </w:rPr>
            </w:pPr>
            <w:r w:rsidRPr="00092ED7">
              <w:rPr>
                <w:rFonts w:eastAsia="Times New Roman" w:cs="Times New Roman"/>
                <w:sz w:val="18"/>
                <w:szCs w:val="18"/>
                <w:lang w:val="sr-Cyrl-CS"/>
              </w:rPr>
              <w:t>Год. просек</w:t>
            </w:r>
          </w:p>
        </w:tc>
        <w:tc>
          <w:tcPr>
            <w:tcW w:w="338" w:type="pct"/>
            <w:tcBorders>
              <w:top w:val="nil"/>
              <w:left w:val="nil"/>
              <w:bottom w:val="dotted" w:sz="4" w:space="0" w:color="auto"/>
              <w:right w:val="dotted" w:sz="4" w:space="0" w:color="auto"/>
            </w:tcBorders>
            <w:shd w:val="clear" w:color="auto" w:fill="auto"/>
            <w:vAlign w:val="bottom"/>
            <w:hideMark/>
          </w:tcPr>
          <w:p w14:paraId="632171C5" w14:textId="77777777" w:rsidR="00247CBF" w:rsidRPr="00092ED7" w:rsidRDefault="00247CBF" w:rsidP="00247CBF">
            <w:pPr>
              <w:spacing w:after="0"/>
              <w:jc w:val="center"/>
              <w:rPr>
                <w:rFonts w:eastAsia="Times New Roman" w:cs="Times New Roman"/>
                <w:sz w:val="20"/>
                <w:szCs w:val="20"/>
                <w:lang w:val="sr-Cyrl-CS"/>
              </w:rPr>
            </w:pPr>
            <w:r w:rsidRPr="00092ED7">
              <w:rPr>
                <w:rFonts w:cs="Times New Roman"/>
                <w:sz w:val="20"/>
                <w:szCs w:val="20"/>
                <w:lang w:val="sr-Cyrl-CS"/>
              </w:rPr>
              <w:t>:</w:t>
            </w:r>
          </w:p>
        </w:tc>
        <w:tc>
          <w:tcPr>
            <w:tcW w:w="338" w:type="pct"/>
            <w:gridSpan w:val="2"/>
            <w:tcBorders>
              <w:top w:val="nil"/>
              <w:left w:val="nil"/>
              <w:bottom w:val="dotted" w:sz="4" w:space="0" w:color="auto"/>
              <w:right w:val="dotted" w:sz="4" w:space="0" w:color="auto"/>
            </w:tcBorders>
            <w:shd w:val="clear" w:color="auto" w:fill="auto"/>
            <w:vAlign w:val="bottom"/>
            <w:hideMark/>
          </w:tcPr>
          <w:p w14:paraId="15167972" w14:textId="77777777" w:rsidR="00247CBF" w:rsidRPr="00092ED7" w:rsidRDefault="00247CBF" w:rsidP="00247CBF">
            <w:pPr>
              <w:spacing w:after="0"/>
              <w:jc w:val="center"/>
              <w:rPr>
                <w:rFonts w:eastAsia="Times New Roman" w:cs="Times New Roman"/>
                <w:sz w:val="20"/>
                <w:szCs w:val="20"/>
                <w:lang w:val="sr-Cyrl-CS"/>
              </w:rPr>
            </w:pPr>
            <w:r w:rsidRPr="00092ED7">
              <w:rPr>
                <w:rFonts w:cs="Times New Roman"/>
                <w:sz w:val="20"/>
                <w:szCs w:val="20"/>
                <w:lang w:val="sr-Cyrl-CS"/>
              </w:rPr>
              <w:t>:</w:t>
            </w:r>
          </w:p>
        </w:tc>
        <w:tc>
          <w:tcPr>
            <w:tcW w:w="338" w:type="pct"/>
            <w:gridSpan w:val="2"/>
            <w:tcBorders>
              <w:top w:val="nil"/>
              <w:left w:val="nil"/>
              <w:bottom w:val="dotted" w:sz="4" w:space="0" w:color="auto"/>
              <w:right w:val="dotted" w:sz="4" w:space="0" w:color="auto"/>
            </w:tcBorders>
            <w:shd w:val="clear" w:color="auto" w:fill="auto"/>
            <w:vAlign w:val="bottom"/>
            <w:hideMark/>
          </w:tcPr>
          <w:p w14:paraId="1A3DCCF4" w14:textId="77777777" w:rsidR="00247CBF" w:rsidRPr="00092ED7" w:rsidRDefault="00247CBF" w:rsidP="00247CBF">
            <w:pPr>
              <w:spacing w:after="0"/>
              <w:jc w:val="center"/>
              <w:rPr>
                <w:rFonts w:eastAsia="Times New Roman" w:cs="Times New Roman"/>
                <w:sz w:val="20"/>
                <w:szCs w:val="20"/>
                <w:lang w:val="sr-Cyrl-CS"/>
              </w:rPr>
            </w:pPr>
            <w:r w:rsidRPr="00092ED7">
              <w:rPr>
                <w:rFonts w:cs="Times New Roman"/>
                <w:sz w:val="20"/>
                <w:szCs w:val="20"/>
                <w:lang w:val="sr-Cyrl-CS"/>
              </w:rPr>
              <w:t>:</w:t>
            </w:r>
          </w:p>
        </w:tc>
        <w:tc>
          <w:tcPr>
            <w:tcW w:w="338" w:type="pct"/>
            <w:gridSpan w:val="2"/>
            <w:tcBorders>
              <w:top w:val="nil"/>
              <w:left w:val="nil"/>
              <w:bottom w:val="dotted" w:sz="4" w:space="0" w:color="auto"/>
              <w:right w:val="dotted" w:sz="4" w:space="0" w:color="auto"/>
            </w:tcBorders>
            <w:shd w:val="clear" w:color="auto" w:fill="auto"/>
            <w:vAlign w:val="bottom"/>
            <w:hideMark/>
          </w:tcPr>
          <w:p w14:paraId="4FEC6B81" w14:textId="77777777" w:rsidR="00247CBF" w:rsidRPr="00092ED7" w:rsidRDefault="00247CBF" w:rsidP="00247CBF">
            <w:pPr>
              <w:spacing w:after="0"/>
              <w:jc w:val="center"/>
              <w:rPr>
                <w:rFonts w:eastAsia="Times New Roman" w:cs="Times New Roman"/>
                <w:sz w:val="20"/>
                <w:szCs w:val="20"/>
                <w:lang w:val="sr-Cyrl-CS"/>
              </w:rPr>
            </w:pPr>
            <w:r w:rsidRPr="00092ED7">
              <w:rPr>
                <w:rFonts w:cs="Times New Roman"/>
                <w:sz w:val="20"/>
                <w:szCs w:val="20"/>
                <w:lang w:val="sr-Cyrl-CS"/>
              </w:rPr>
              <w:t>:</w:t>
            </w:r>
          </w:p>
        </w:tc>
        <w:tc>
          <w:tcPr>
            <w:tcW w:w="340" w:type="pct"/>
            <w:gridSpan w:val="2"/>
            <w:tcBorders>
              <w:top w:val="nil"/>
              <w:left w:val="nil"/>
              <w:bottom w:val="dotted" w:sz="4" w:space="0" w:color="auto"/>
              <w:right w:val="double" w:sz="6" w:space="0" w:color="auto"/>
            </w:tcBorders>
            <w:shd w:val="clear" w:color="auto" w:fill="auto"/>
            <w:vAlign w:val="bottom"/>
            <w:hideMark/>
          </w:tcPr>
          <w:p w14:paraId="3BE51CEA" w14:textId="77777777" w:rsidR="00247CBF" w:rsidRPr="00092ED7" w:rsidRDefault="00247CBF" w:rsidP="00247CBF">
            <w:pPr>
              <w:spacing w:after="0"/>
              <w:jc w:val="center"/>
              <w:rPr>
                <w:rFonts w:eastAsia="Times New Roman" w:cs="Times New Roman"/>
                <w:sz w:val="23"/>
                <w:szCs w:val="23"/>
                <w:lang w:val="sr-Cyrl-CS"/>
              </w:rPr>
            </w:pPr>
            <w:r w:rsidRPr="00092ED7">
              <w:rPr>
                <w:rFonts w:cs="Times New Roman"/>
                <w:sz w:val="20"/>
                <w:szCs w:val="20"/>
                <w:lang w:val="sr-Cyrl-CS"/>
              </w:rPr>
              <w:t>:</w:t>
            </w:r>
          </w:p>
        </w:tc>
        <w:tc>
          <w:tcPr>
            <w:tcW w:w="97" w:type="pct"/>
            <w:tcBorders>
              <w:top w:val="nil"/>
              <w:left w:val="nil"/>
              <w:bottom w:val="nil"/>
              <w:right w:val="nil"/>
            </w:tcBorders>
            <w:shd w:val="clear" w:color="auto" w:fill="auto"/>
            <w:noWrap/>
            <w:vAlign w:val="center"/>
            <w:hideMark/>
          </w:tcPr>
          <w:p w14:paraId="5F9309CF" w14:textId="77777777" w:rsidR="00247CBF" w:rsidRPr="00092ED7" w:rsidRDefault="00247CBF" w:rsidP="00247CBF">
            <w:pPr>
              <w:spacing w:after="0"/>
              <w:rPr>
                <w:rFonts w:eastAsia="Times New Roman" w:cs="Times New Roman"/>
                <w:b/>
                <w:bCs/>
                <w:szCs w:val="24"/>
                <w:lang w:val="sr-Cyrl-CS"/>
              </w:rPr>
            </w:pPr>
            <w:r w:rsidRPr="00092ED7">
              <w:rPr>
                <w:rFonts w:eastAsia="Times New Roman" w:cs="Times New Roman"/>
                <w:b/>
                <w:bCs/>
                <w:szCs w:val="24"/>
                <w:lang w:val="sr-Cyrl-CS"/>
              </w:rPr>
              <w:t> </w:t>
            </w:r>
          </w:p>
        </w:tc>
      </w:tr>
      <w:tr w:rsidR="00247CBF" w:rsidRPr="00092ED7" w14:paraId="399925C6" w14:textId="77777777" w:rsidTr="00247CBF">
        <w:trPr>
          <w:trHeight w:val="283"/>
        </w:trPr>
        <w:tc>
          <w:tcPr>
            <w:tcW w:w="2319" w:type="pct"/>
            <w:tcBorders>
              <w:top w:val="nil"/>
              <w:left w:val="double" w:sz="6" w:space="0" w:color="auto"/>
              <w:bottom w:val="dotted" w:sz="4" w:space="0" w:color="auto"/>
              <w:right w:val="nil"/>
            </w:tcBorders>
            <w:shd w:val="clear" w:color="auto" w:fill="auto"/>
            <w:vAlign w:val="center"/>
            <w:hideMark/>
          </w:tcPr>
          <w:p w14:paraId="4D3AB947" w14:textId="77777777" w:rsidR="00247CBF" w:rsidRPr="00092ED7" w:rsidRDefault="00247CBF" w:rsidP="00247CBF">
            <w:pPr>
              <w:spacing w:after="0"/>
              <w:jc w:val="left"/>
              <w:rPr>
                <w:rFonts w:eastAsia="Times New Roman" w:cs="Times New Roman"/>
                <w:sz w:val="20"/>
                <w:szCs w:val="20"/>
                <w:lang w:val="sr-Cyrl-CS"/>
              </w:rPr>
            </w:pPr>
            <w:r w:rsidRPr="00092ED7">
              <w:rPr>
                <w:rFonts w:eastAsia="Times New Roman" w:cs="Times New Roman"/>
                <w:sz w:val="20"/>
                <w:szCs w:val="20"/>
                <w:lang w:val="sr-Cyrl-CS"/>
              </w:rPr>
              <w:t>Номинални ефективни девизни курс</w:t>
            </w:r>
          </w:p>
        </w:tc>
        <w:tc>
          <w:tcPr>
            <w:tcW w:w="892" w:type="pct"/>
            <w:gridSpan w:val="2"/>
            <w:tcBorders>
              <w:top w:val="dotted" w:sz="4" w:space="0" w:color="auto"/>
              <w:left w:val="single" w:sz="4" w:space="0" w:color="auto"/>
              <w:bottom w:val="dotted" w:sz="4" w:space="0" w:color="auto"/>
              <w:right w:val="single" w:sz="8" w:space="0" w:color="000000"/>
            </w:tcBorders>
            <w:shd w:val="clear" w:color="auto" w:fill="auto"/>
            <w:vAlign w:val="center"/>
            <w:hideMark/>
          </w:tcPr>
          <w:p w14:paraId="60E2B28E" w14:textId="77777777" w:rsidR="00247CBF" w:rsidRPr="00092ED7" w:rsidRDefault="00247CBF" w:rsidP="00247CBF">
            <w:pPr>
              <w:spacing w:after="0"/>
              <w:jc w:val="center"/>
              <w:rPr>
                <w:rFonts w:eastAsia="Times New Roman" w:cs="Times New Roman"/>
                <w:sz w:val="18"/>
                <w:szCs w:val="18"/>
                <w:lang w:val="sr-Cyrl-CS"/>
              </w:rPr>
            </w:pPr>
            <w:r w:rsidRPr="00092ED7">
              <w:rPr>
                <w:rFonts w:eastAsia="Times New Roman" w:cs="Times New Roman"/>
                <w:sz w:val="18"/>
                <w:szCs w:val="18"/>
                <w:lang w:val="sr-Cyrl-CS"/>
              </w:rPr>
              <w:t>Год. просек</w:t>
            </w:r>
          </w:p>
        </w:tc>
        <w:tc>
          <w:tcPr>
            <w:tcW w:w="338" w:type="pct"/>
            <w:tcBorders>
              <w:top w:val="nil"/>
              <w:left w:val="nil"/>
              <w:bottom w:val="dotted" w:sz="4" w:space="0" w:color="auto"/>
              <w:right w:val="dotted" w:sz="4" w:space="0" w:color="auto"/>
            </w:tcBorders>
            <w:shd w:val="clear" w:color="auto" w:fill="auto"/>
            <w:vAlign w:val="bottom"/>
            <w:hideMark/>
          </w:tcPr>
          <w:p w14:paraId="73E8E2A6" w14:textId="77777777" w:rsidR="00247CBF" w:rsidRPr="00092ED7" w:rsidRDefault="00247CBF" w:rsidP="00247CBF">
            <w:pPr>
              <w:spacing w:after="0"/>
              <w:jc w:val="center"/>
              <w:rPr>
                <w:rFonts w:eastAsia="Times New Roman" w:cs="Times New Roman"/>
                <w:color w:val="000000"/>
                <w:sz w:val="20"/>
                <w:szCs w:val="20"/>
                <w:lang w:val="sr-Cyrl-CS"/>
              </w:rPr>
            </w:pPr>
            <w:r w:rsidRPr="00092ED7">
              <w:rPr>
                <w:rFonts w:cs="Times New Roman"/>
                <w:sz w:val="20"/>
                <w:szCs w:val="20"/>
                <w:lang w:val="sr-Cyrl-CS"/>
              </w:rPr>
              <w:t>:</w:t>
            </w:r>
          </w:p>
        </w:tc>
        <w:tc>
          <w:tcPr>
            <w:tcW w:w="338" w:type="pct"/>
            <w:gridSpan w:val="2"/>
            <w:tcBorders>
              <w:top w:val="nil"/>
              <w:left w:val="nil"/>
              <w:bottom w:val="dotted" w:sz="4" w:space="0" w:color="auto"/>
              <w:right w:val="dotted" w:sz="4" w:space="0" w:color="auto"/>
            </w:tcBorders>
            <w:shd w:val="clear" w:color="auto" w:fill="auto"/>
            <w:vAlign w:val="bottom"/>
            <w:hideMark/>
          </w:tcPr>
          <w:p w14:paraId="484BFE2E" w14:textId="77777777" w:rsidR="00247CBF" w:rsidRPr="00092ED7" w:rsidRDefault="00247CBF" w:rsidP="00247CBF">
            <w:pPr>
              <w:spacing w:after="0"/>
              <w:jc w:val="center"/>
              <w:rPr>
                <w:rFonts w:eastAsia="Times New Roman" w:cs="Times New Roman"/>
                <w:color w:val="000000"/>
                <w:sz w:val="20"/>
                <w:szCs w:val="20"/>
                <w:lang w:val="sr-Cyrl-CS"/>
              </w:rPr>
            </w:pPr>
            <w:r w:rsidRPr="00092ED7">
              <w:rPr>
                <w:rFonts w:cs="Times New Roman"/>
                <w:sz w:val="20"/>
                <w:szCs w:val="20"/>
                <w:lang w:val="sr-Cyrl-CS"/>
              </w:rPr>
              <w:t>:</w:t>
            </w:r>
          </w:p>
        </w:tc>
        <w:tc>
          <w:tcPr>
            <w:tcW w:w="338" w:type="pct"/>
            <w:gridSpan w:val="2"/>
            <w:tcBorders>
              <w:top w:val="nil"/>
              <w:left w:val="nil"/>
              <w:bottom w:val="dotted" w:sz="4" w:space="0" w:color="auto"/>
              <w:right w:val="dotted" w:sz="4" w:space="0" w:color="auto"/>
            </w:tcBorders>
            <w:shd w:val="clear" w:color="auto" w:fill="auto"/>
            <w:vAlign w:val="bottom"/>
            <w:hideMark/>
          </w:tcPr>
          <w:p w14:paraId="2662F890" w14:textId="77777777" w:rsidR="00247CBF" w:rsidRPr="00092ED7" w:rsidRDefault="00247CBF" w:rsidP="00247CBF">
            <w:pPr>
              <w:spacing w:after="0"/>
              <w:jc w:val="center"/>
              <w:rPr>
                <w:rFonts w:eastAsia="Times New Roman" w:cs="Times New Roman"/>
                <w:color w:val="000000"/>
                <w:sz w:val="20"/>
                <w:szCs w:val="20"/>
                <w:lang w:val="sr-Cyrl-CS"/>
              </w:rPr>
            </w:pPr>
            <w:r w:rsidRPr="00092ED7">
              <w:rPr>
                <w:rFonts w:cs="Times New Roman"/>
                <w:sz w:val="20"/>
                <w:szCs w:val="20"/>
                <w:lang w:val="sr-Cyrl-CS"/>
              </w:rPr>
              <w:t>:</w:t>
            </w:r>
          </w:p>
        </w:tc>
        <w:tc>
          <w:tcPr>
            <w:tcW w:w="338" w:type="pct"/>
            <w:gridSpan w:val="2"/>
            <w:tcBorders>
              <w:top w:val="nil"/>
              <w:left w:val="nil"/>
              <w:bottom w:val="dotted" w:sz="4" w:space="0" w:color="auto"/>
              <w:right w:val="dotted" w:sz="4" w:space="0" w:color="auto"/>
            </w:tcBorders>
            <w:shd w:val="clear" w:color="auto" w:fill="auto"/>
            <w:vAlign w:val="bottom"/>
            <w:hideMark/>
          </w:tcPr>
          <w:p w14:paraId="3DE67B96" w14:textId="77777777" w:rsidR="00247CBF" w:rsidRPr="00092ED7" w:rsidRDefault="00247CBF" w:rsidP="00247CBF">
            <w:pPr>
              <w:spacing w:after="0"/>
              <w:jc w:val="center"/>
              <w:rPr>
                <w:rFonts w:eastAsia="Times New Roman" w:cs="Times New Roman"/>
                <w:color w:val="000000"/>
                <w:sz w:val="20"/>
                <w:szCs w:val="20"/>
                <w:lang w:val="sr-Cyrl-CS"/>
              </w:rPr>
            </w:pPr>
            <w:r w:rsidRPr="00092ED7">
              <w:rPr>
                <w:rFonts w:cs="Times New Roman"/>
                <w:sz w:val="20"/>
                <w:szCs w:val="20"/>
                <w:lang w:val="sr-Cyrl-CS"/>
              </w:rPr>
              <w:t>:</w:t>
            </w:r>
          </w:p>
        </w:tc>
        <w:tc>
          <w:tcPr>
            <w:tcW w:w="340" w:type="pct"/>
            <w:gridSpan w:val="2"/>
            <w:tcBorders>
              <w:top w:val="nil"/>
              <w:left w:val="nil"/>
              <w:bottom w:val="dotted" w:sz="4" w:space="0" w:color="auto"/>
              <w:right w:val="double" w:sz="6" w:space="0" w:color="auto"/>
            </w:tcBorders>
            <w:shd w:val="clear" w:color="auto" w:fill="auto"/>
            <w:vAlign w:val="bottom"/>
            <w:hideMark/>
          </w:tcPr>
          <w:p w14:paraId="4E200A13" w14:textId="77777777" w:rsidR="00247CBF" w:rsidRPr="00092ED7" w:rsidRDefault="00247CBF" w:rsidP="00247CBF">
            <w:pPr>
              <w:spacing w:after="0"/>
              <w:jc w:val="center"/>
              <w:rPr>
                <w:rFonts w:eastAsia="Times New Roman" w:cs="Times New Roman"/>
                <w:color w:val="000000"/>
                <w:sz w:val="23"/>
                <w:szCs w:val="23"/>
                <w:lang w:val="sr-Cyrl-CS"/>
              </w:rPr>
            </w:pPr>
            <w:r w:rsidRPr="00092ED7">
              <w:rPr>
                <w:rFonts w:cs="Times New Roman"/>
                <w:sz w:val="20"/>
                <w:szCs w:val="20"/>
                <w:lang w:val="sr-Cyrl-CS"/>
              </w:rPr>
              <w:t>:</w:t>
            </w:r>
          </w:p>
        </w:tc>
        <w:tc>
          <w:tcPr>
            <w:tcW w:w="97" w:type="pct"/>
            <w:tcBorders>
              <w:top w:val="nil"/>
              <w:left w:val="nil"/>
              <w:bottom w:val="nil"/>
              <w:right w:val="nil"/>
            </w:tcBorders>
            <w:shd w:val="clear" w:color="auto" w:fill="auto"/>
            <w:noWrap/>
            <w:vAlign w:val="center"/>
            <w:hideMark/>
          </w:tcPr>
          <w:p w14:paraId="3E2F59E9" w14:textId="77777777" w:rsidR="00247CBF" w:rsidRPr="00092ED7" w:rsidRDefault="00247CBF" w:rsidP="00247CBF">
            <w:pPr>
              <w:spacing w:after="0"/>
              <w:rPr>
                <w:rFonts w:eastAsia="Times New Roman" w:cs="Times New Roman"/>
                <w:b/>
                <w:bCs/>
                <w:szCs w:val="24"/>
                <w:lang w:val="sr-Cyrl-CS"/>
              </w:rPr>
            </w:pPr>
            <w:r w:rsidRPr="00092ED7">
              <w:rPr>
                <w:rFonts w:eastAsia="Times New Roman" w:cs="Times New Roman"/>
                <w:b/>
                <w:bCs/>
                <w:szCs w:val="24"/>
                <w:lang w:val="sr-Cyrl-CS"/>
              </w:rPr>
              <w:t> </w:t>
            </w:r>
          </w:p>
        </w:tc>
      </w:tr>
      <w:tr w:rsidR="00247CBF" w:rsidRPr="00092ED7" w14:paraId="7E9C9962" w14:textId="77777777" w:rsidTr="00247CBF">
        <w:trPr>
          <w:trHeight w:val="283"/>
        </w:trPr>
        <w:tc>
          <w:tcPr>
            <w:tcW w:w="2319" w:type="pct"/>
            <w:tcBorders>
              <w:top w:val="nil"/>
              <w:left w:val="double" w:sz="6" w:space="0" w:color="auto"/>
              <w:bottom w:val="dotted" w:sz="4" w:space="0" w:color="auto"/>
              <w:right w:val="nil"/>
            </w:tcBorders>
            <w:shd w:val="clear" w:color="auto" w:fill="auto"/>
            <w:vAlign w:val="center"/>
            <w:hideMark/>
          </w:tcPr>
          <w:p w14:paraId="434AE682" w14:textId="77777777" w:rsidR="00247CBF" w:rsidRPr="00092ED7" w:rsidRDefault="00247CBF" w:rsidP="00247CBF">
            <w:pPr>
              <w:spacing w:after="0"/>
              <w:jc w:val="left"/>
              <w:rPr>
                <w:rFonts w:eastAsia="Times New Roman" w:cs="Times New Roman"/>
                <w:sz w:val="20"/>
                <w:szCs w:val="20"/>
                <w:lang w:val="sr-Cyrl-CS"/>
              </w:rPr>
            </w:pPr>
            <w:r w:rsidRPr="00092ED7">
              <w:rPr>
                <w:rFonts w:eastAsia="Times New Roman" w:cs="Times New Roman"/>
                <w:sz w:val="20"/>
                <w:szCs w:val="20"/>
                <w:lang w:val="sr-Cyrl-CS"/>
              </w:rPr>
              <w:t>Курс у односу на ЕУР</w:t>
            </w:r>
          </w:p>
        </w:tc>
        <w:tc>
          <w:tcPr>
            <w:tcW w:w="892" w:type="pct"/>
            <w:gridSpan w:val="2"/>
            <w:tcBorders>
              <w:top w:val="dotted" w:sz="4" w:space="0" w:color="auto"/>
              <w:left w:val="single" w:sz="4" w:space="0" w:color="auto"/>
              <w:bottom w:val="dotted" w:sz="4" w:space="0" w:color="auto"/>
              <w:right w:val="single" w:sz="8" w:space="0" w:color="000000"/>
            </w:tcBorders>
            <w:shd w:val="clear" w:color="auto" w:fill="auto"/>
            <w:vAlign w:val="center"/>
            <w:hideMark/>
          </w:tcPr>
          <w:p w14:paraId="2B79F14E" w14:textId="77777777" w:rsidR="00247CBF" w:rsidRPr="00092ED7" w:rsidRDefault="00247CBF" w:rsidP="00247CBF">
            <w:pPr>
              <w:spacing w:after="0"/>
              <w:jc w:val="center"/>
              <w:rPr>
                <w:rFonts w:eastAsia="Times New Roman" w:cs="Times New Roman"/>
                <w:sz w:val="18"/>
                <w:szCs w:val="18"/>
                <w:lang w:val="sr-Cyrl-CS"/>
              </w:rPr>
            </w:pPr>
            <w:r w:rsidRPr="00092ED7">
              <w:rPr>
                <w:rFonts w:eastAsia="Times New Roman" w:cs="Times New Roman"/>
                <w:sz w:val="18"/>
                <w:szCs w:val="18"/>
                <w:lang w:val="sr-Cyrl-CS"/>
              </w:rPr>
              <w:t>Год. просек</w:t>
            </w:r>
          </w:p>
        </w:tc>
        <w:tc>
          <w:tcPr>
            <w:tcW w:w="338" w:type="pct"/>
            <w:tcBorders>
              <w:top w:val="nil"/>
              <w:left w:val="nil"/>
              <w:bottom w:val="dotted" w:sz="4" w:space="0" w:color="auto"/>
              <w:right w:val="dotted" w:sz="4" w:space="0" w:color="auto"/>
            </w:tcBorders>
            <w:shd w:val="clear" w:color="auto" w:fill="auto"/>
            <w:vAlign w:val="bottom"/>
            <w:hideMark/>
          </w:tcPr>
          <w:p w14:paraId="002AFC48" w14:textId="77777777" w:rsidR="00247CBF" w:rsidRPr="00092ED7" w:rsidRDefault="00247CBF" w:rsidP="00247CBF">
            <w:pPr>
              <w:spacing w:after="0"/>
              <w:jc w:val="center"/>
              <w:rPr>
                <w:rFonts w:eastAsia="Times New Roman" w:cs="Times New Roman"/>
                <w:color w:val="000000"/>
                <w:sz w:val="20"/>
                <w:szCs w:val="20"/>
                <w:lang w:val="sr-Cyrl-CS"/>
              </w:rPr>
            </w:pPr>
            <w:r w:rsidRPr="00092ED7">
              <w:rPr>
                <w:rFonts w:cs="Times New Roman"/>
                <w:sz w:val="20"/>
                <w:szCs w:val="20"/>
                <w:lang w:val="sr-Cyrl-CS"/>
              </w:rPr>
              <w:t>:</w:t>
            </w:r>
          </w:p>
        </w:tc>
        <w:tc>
          <w:tcPr>
            <w:tcW w:w="338" w:type="pct"/>
            <w:gridSpan w:val="2"/>
            <w:tcBorders>
              <w:top w:val="nil"/>
              <w:left w:val="nil"/>
              <w:bottom w:val="dotted" w:sz="4" w:space="0" w:color="auto"/>
              <w:right w:val="dotted" w:sz="4" w:space="0" w:color="auto"/>
            </w:tcBorders>
            <w:shd w:val="clear" w:color="auto" w:fill="auto"/>
            <w:vAlign w:val="bottom"/>
            <w:hideMark/>
          </w:tcPr>
          <w:p w14:paraId="0C1CF973" w14:textId="77777777" w:rsidR="00247CBF" w:rsidRPr="00092ED7" w:rsidRDefault="00247CBF" w:rsidP="00247CBF">
            <w:pPr>
              <w:spacing w:after="0"/>
              <w:jc w:val="center"/>
              <w:rPr>
                <w:rFonts w:eastAsia="Times New Roman" w:cs="Times New Roman"/>
                <w:color w:val="000000"/>
                <w:sz w:val="20"/>
                <w:szCs w:val="20"/>
                <w:lang w:val="sr-Cyrl-CS"/>
              </w:rPr>
            </w:pPr>
            <w:r w:rsidRPr="00092ED7">
              <w:rPr>
                <w:rFonts w:cs="Times New Roman"/>
                <w:sz w:val="20"/>
                <w:szCs w:val="20"/>
                <w:lang w:val="sr-Cyrl-CS"/>
              </w:rPr>
              <w:t>:</w:t>
            </w:r>
          </w:p>
        </w:tc>
        <w:tc>
          <w:tcPr>
            <w:tcW w:w="338" w:type="pct"/>
            <w:gridSpan w:val="2"/>
            <w:tcBorders>
              <w:top w:val="nil"/>
              <w:left w:val="nil"/>
              <w:bottom w:val="dotted" w:sz="4" w:space="0" w:color="auto"/>
              <w:right w:val="dotted" w:sz="4" w:space="0" w:color="auto"/>
            </w:tcBorders>
            <w:shd w:val="clear" w:color="auto" w:fill="auto"/>
            <w:vAlign w:val="bottom"/>
            <w:hideMark/>
          </w:tcPr>
          <w:p w14:paraId="4E9A7975" w14:textId="77777777" w:rsidR="00247CBF" w:rsidRPr="00092ED7" w:rsidRDefault="00247CBF" w:rsidP="00247CBF">
            <w:pPr>
              <w:spacing w:after="0"/>
              <w:jc w:val="center"/>
              <w:rPr>
                <w:rFonts w:eastAsia="Times New Roman" w:cs="Times New Roman"/>
                <w:color w:val="000000"/>
                <w:sz w:val="20"/>
                <w:szCs w:val="20"/>
                <w:lang w:val="sr-Cyrl-CS"/>
              </w:rPr>
            </w:pPr>
            <w:r w:rsidRPr="00092ED7">
              <w:rPr>
                <w:rFonts w:cs="Times New Roman"/>
                <w:sz w:val="20"/>
                <w:szCs w:val="20"/>
                <w:lang w:val="sr-Cyrl-CS"/>
              </w:rPr>
              <w:t>:</w:t>
            </w:r>
          </w:p>
        </w:tc>
        <w:tc>
          <w:tcPr>
            <w:tcW w:w="338" w:type="pct"/>
            <w:gridSpan w:val="2"/>
            <w:tcBorders>
              <w:top w:val="nil"/>
              <w:left w:val="nil"/>
              <w:bottom w:val="dotted" w:sz="4" w:space="0" w:color="auto"/>
              <w:right w:val="dotted" w:sz="4" w:space="0" w:color="auto"/>
            </w:tcBorders>
            <w:shd w:val="clear" w:color="auto" w:fill="auto"/>
            <w:vAlign w:val="bottom"/>
            <w:hideMark/>
          </w:tcPr>
          <w:p w14:paraId="17326D11" w14:textId="77777777" w:rsidR="00247CBF" w:rsidRPr="00092ED7" w:rsidRDefault="00247CBF" w:rsidP="00247CBF">
            <w:pPr>
              <w:spacing w:after="0"/>
              <w:jc w:val="center"/>
              <w:rPr>
                <w:rFonts w:eastAsia="Times New Roman" w:cs="Times New Roman"/>
                <w:color w:val="000000"/>
                <w:sz w:val="20"/>
                <w:szCs w:val="20"/>
                <w:lang w:val="sr-Cyrl-CS"/>
              </w:rPr>
            </w:pPr>
            <w:r w:rsidRPr="00092ED7">
              <w:rPr>
                <w:rFonts w:cs="Times New Roman"/>
                <w:sz w:val="20"/>
                <w:szCs w:val="20"/>
                <w:lang w:val="sr-Cyrl-CS"/>
              </w:rPr>
              <w:t>:</w:t>
            </w:r>
          </w:p>
        </w:tc>
        <w:tc>
          <w:tcPr>
            <w:tcW w:w="340" w:type="pct"/>
            <w:gridSpan w:val="2"/>
            <w:tcBorders>
              <w:top w:val="nil"/>
              <w:left w:val="nil"/>
              <w:bottom w:val="dotted" w:sz="4" w:space="0" w:color="auto"/>
              <w:right w:val="double" w:sz="6" w:space="0" w:color="auto"/>
            </w:tcBorders>
            <w:shd w:val="clear" w:color="auto" w:fill="auto"/>
            <w:vAlign w:val="bottom"/>
            <w:hideMark/>
          </w:tcPr>
          <w:p w14:paraId="048EDB21" w14:textId="77777777" w:rsidR="00247CBF" w:rsidRPr="00092ED7" w:rsidRDefault="00247CBF" w:rsidP="00247CBF">
            <w:pPr>
              <w:spacing w:after="0"/>
              <w:jc w:val="center"/>
              <w:rPr>
                <w:rFonts w:eastAsia="Times New Roman" w:cs="Times New Roman"/>
                <w:color w:val="000000"/>
                <w:sz w:val="20"/>
                <w:szCs w:val="20"/>
                <w:lang w:val="sr-Cyrl-CS"/>
              </w:rPr>
            </w:pPr>
            <w:r w:rsidRPr="00092ED7">
              <w:rPr>
                <w:rFonts w:cs="Times New Roman"/>
                <w:sz w:val="20"/>
                <w:szCs w:val="20"/>
                <w:lang w:val="sr-Cyrl-CS"/>
              </w:rPr>
              <w:t>:</w:t>
            </w:r>
          </w:p>
        </w:tc>
        <w:tc>
          <w:tcPr>
            <w:tcW w:w="97" w:type="pct"/>
            <w:tcBorders>
              <w:top w:val="nil"/>
              <w:left w:val="nil"/>
              <w:bottom w:val="nil"/>
              <w:right w:val="nil"/>
            </w:tcBorders>
            <w:shd w:val="clear" w:color="auto" w:fill="auto"/>
            <w:noWrap/>
            <w:vAlign w:val="center"/>
            <w:hideMark/>
          </w:tcPr>
          <w:p w14:paraId="77792C12" w14:textId="77777777" w:rsidR="00247CBF" w:rsidRPr="00092ED7" w:rsidRDefault="00247CBF" w:rsidP="00247CBF">
            <w:pPr>
              <w:spacing w:after="0"/>
              <w:rPr>
                <w:rFonts w:eastAsia="Times New Roman" w:cs="Times New Roman"/>
                <w:b/>
                <w:bCs/>
                <w:szCs w:val="24"/>
                <w:lang w:val="sr-Cyrl-CS"/>
              </w:rPr>
            </w:pPr>
            <w:r w:rsidRPr="00092ED7">
              <w:rPr>
                <w:rFonts w:eastAsia="Times New Roman" w:cs="Times New Roman"/>
                <w:b/>
                <w:bCs/>
                <w:szCs w:val="24"/>
                <w:lang w:val="sr-Cyrl-CS"/>
              </w:rPr>
              <w:t> </w:t>
            </w:r>
          </w:p>
        </w:tc>
      </w:tr>
      <w:tr w:rsidR="00247CBF" w:rsidRPr="00092ED7" w14:paraId="77214C79" w14:textId="77777777" w:rsidTr="00247CBF">
        <w:trPr>
          <w:trHeight w:val="283"/>
        </w:trPr>
        <w:tc>
          <w:tcPr>
            <w:tcW w:w="2319" w:type="pct"/>
            <w:tcBorders>
              <w:top w:val="nil"/>
              <w:left w:val="double" w:sz="6" w:space="0" w:color="auto"/>
              <w:bottom w:val="dotted" w:sz="4" w:space="0" w:color="auto"/>
              <w:right w:val="nil"/>
            </w:tcBorders>
            <w:shd w:val="clear" w:color="auto" w:fill="auto"/>
            <w:vAlign w:val="center"/>
            <w:hideMark/>
          </w:tcPr>
          <w:p w14:paraId="58B545B4" w14:textId="77777777" w:rsidR="00247CBF" w:rsidRPr="00092ED7" w:rsidRDefault="00247CBF" w:rsidP="00247CBF">
            <w:pPr>
              <w:spacing w:after="0"/>
              <w:jc w:val="left"/>
              <w:rPr>
                <w:rFonts w:eastAsia="Times New Roman" w:cs="Times New Roman"/>
                <w:sz w:val="20"/>
                <w:szCs w:val="20"/>
                <w:lang w:val="sr-Cyrl-CS"/>
              </w:rPr>
            </w:pPr>
            <w:r w:rsidRPr="00092ED7">
              <w:rPr>
                <w:rFonts w:eastAsia="Times New Roman" w:cs="Times New Roman"/>
                <w:sz w:val="20"/>
                <w:szCs w:val="20"/>
                <w:lang w:val="sr-Cyrl-CS"/>
              </w:rPr>
              <w:t>Раст светског БДП-а, без ЕУ</w:t>
            </w:r>
          </w:p>
        </w:tc>
        <w:tc>
          <w:tcPr>
            <w:tcW w:w="892" w:type="pct"/>
            <w:gridSpan w:val="2"/>
            <w:tcBorders>
              <w:top w:val="dotted" w:sz="4" w:space="0" w:color="auto"/>
              <w:left w:val="single" w:sz="4" w:space="0" w:color="auto"/>
              <w:bottom w:val="dotted" w:sz="4" w:space="0" w:color="auto"/>
              <w:right w:val="single" w:sz="8" w:space="0" w:color="000000"/>
            </w:tcBorders>
            <w:shd w:val="clear" w:color="auto" w:fill="auto"/>
            <w:vAlign w:val="center"/>
            <w:hideMark/>
          </w:tcPr>
          <w:p w14:paraId="3D3FE308" w14:textId="77777777" w:rsidR="00247CBF" w:rsidRPr="00092ED7" w:rsidRDefault="00247CBF" w:rsidP="00247CBF">
            <w:pPr>
              <w:spacing w:after="0"/>
              <w:jc w:val="center"/>
              <w:rPr>
                <w:rFonts w:eastAsia="Times New Roman" w:cs="Times New Roman"/>
                <w:sz w:val="18"/>
                <w:szCs w:val="18"/>
                <w:lang w:val="sr-Cyrl-CS"/>
              </w:rPr>
            </w:pPr>
            <w:r w:rsidRPr="00092ED7">
              <w:rPr>
                <w:rFonts w:eastAsia="Times New Roman" w:cs="Times New Roman"/>
                <w:sz w:val="18"/>
                <w:szCs w:val="18"/>
                <w:lang w:val="sr-Cyrl-CS"/>
              </w:rPr>
              <w:t>Год. просек</w:t>
            </w:r>
          </w:p>
        </w:tc>
        <w:tc>
          <w:tcPr>
            <w:tcW w:w="338" w:type="pct"/>
            <w:tcBorders>
              <w:top w:val="nil"/>
              <w:left w:val="nil"/>
              <w:bottom w:val="dotted" w:sz="4" w:space="0" w:color="auto"/>
              <w:right w:val="dotted" w:sz="4" w:space="0" w:color="auto"/>
            </w:tcBorders>
            <w:shd w:val="clear" w:color="auto" w:fill="auto"/>
            <w:vAlign w:val="bottom"/>
            <w:hideMark/>
          </w:tcPr>
          <w:p w14:paraId="56F57F2C" w14:textId="77777777" w:rsidR="00247CBF" w:rsidRPr="00092ED7" w:rsidRDefault="00247CBF" w:rsidP="00247CBF">
            <w:pPr>
              <w:spacing w:after="0"/>
              <w:jc w:val="center"/>
              <w:rPr>
                <w:rFonts w:eastAsia="Times New Roman" w:cs="Times New Roman"/>
                <w:color w:val="000000"/>
                <w:sz w:val="20"/>
                <w:szCs w:val="20"/>
                <w:lang w:val="sr-Cyrl-CS"/>
              </w:rPr>
            </w:pPr>
            <w:r w:rsidRPr="00092ED7">
              <w:rPr>
                <w:rFonts w:cs="Times New Roman"/>
                <w:sz w:val="20"/>
                <w:szCs w:val="20"/>
                <w:lang w:val="sr-Cyrl-CS"/>
              </w:rPr>
              <w:t>:</w:t>
            </w:r>
          </w:p>
        </w:tc>
        <w:tc>
          <w:tcPr>
            <w:tcW w:w="338" w:type="pct"/>
            <w:gridSpan w:val="2"/>
            <w:tcBorders>
              <w:top w:val="nil"/>
              <w:left w:val="nil"/>
              <w:bottom w:val="dotted" w:sz="4" w:space="0" w:color="auto"/>
              <w:right w:val="dotted" w:sz="4" w:space="0" w:color="auto"/>
            </w:tcBorders>
            <w:shd w:val="clear" w:color="auto" w:fill="auto"/>
            <w:vAlign w:val="bottom"/>
            <w:hideMark/>
          </w:tcPr>
          <w:p w14:paraId="231CAFF3" w14:textId="77777777" w:rsidR="00247CBF" w:rsidRPr="00092ED7" w:rsidRDefault="00247CBF" w:rsidP="00247CBF">
            <w:pPr>
              <w:spacing w:after="0"/>
              <w:jc w:val="center"/>
              <w:rPr>
                <w:rFonts w:eastAsia="Times New Roman" w:cs="Times New Roman"/>
                <w:color w:val="000000"/>
                <w:sz w:val="20"/>
                <w:szCs w:val="20"/>
                <w:lang w:val="sr-Cyrl-CS"/>
              </w:rPr>
            </w:pPr>
            <w:r w:rsidRPr="00092ED7">
              <w:rPr>
                <w:rFonts w:cs="Times New Roman"/>
                <w:sz w:val="20"/>
                <w:szCs w:val="20"/>
                <w:lang w:val="sr-Cyrl-CS"/>
              </w:rPr>
              <w:t>:</w:t>
            </w:r>
          </w:p>
        </w:tc>
        <w:tc>
          <w:tcPr>
            <w:tcW w:w="338" w:type="pct"/>
            <w:gridSpan w:val="2"/>
            <w:tcBorders>
              <w:top w:val="nil"/>
              <w:left w:val="nil"/>
              <w:bottom w:val="dotted" w:sz="4" w:space="0" w:color="auto"/>
              <w:right w:val="dotted" w:sz="4" w:space="0" w:color="auto"/>
            </w:tcBorders>
            <w:shd w:val="clear" w:color="auto" w:fill="auto"/>
            <w:vAlign w:val="bottom"/>
            <w:hideMark/>
          </w:tcPr>
          <w:p w14:paraId="1E96C583" w14:textId="77777777" w:rsidR="00247CBF" w:rsidRPr="00092ED7" w:rsidRDefault="00247CBF" w:rsidP="00247CBF">
            <w:pPr>
              <w:spacing w:after="0"/>
              <w:jc w:val="center"/>
              <w:rPr>
                <w:rFonts w:eastAsia="Times New Roman" w:cs="Times New Roman"/>
                <w:color w:val="000000"/>
                <w:sz w:val="20"/>
                <w:szCs w:val="20"/>
                <w:lang w:val="sr-Cyrl-CS"/>
              </w:rPr>
            </w:pPr>
            <w:r w:rsidRPr="00092ED7">
              <w:rPr>
                <w:rFonts w:cs="Times New Roman"/>
                <w:sz w:val="20"/>
                <w:szCs w:val="20"/>
                <w:lang w:val="sr-Cyrl-CS"/>
              </w:rPr>
              <w:t>:</w:t>
            </w:r>
          </w:p>
        </w:tc>
        <w:tc>
          <w:tcPr>
            <w:tcW w:w="338" w:type="pct"/>
            <w:gridSpan w:val="2"/>
            <w:tcBorders>
              <w:top w:val="nil"/>
              <w:left w:val="nil"/>
              <w:bottom w:val="dotted" w:sz="4" w:space="0" w:color="auto"/>
              <w:right w:val="dotted" w:sz="4" w:space="0" w:color="auto"/>
            </w:tcBorders>
            <w:shd w:val="clear" w:color="auto" w:fill="auto"/>
            <w:vAlign w:val="bottom"/>
            <w:hideMark/>
          </w:tcPr>
          <w:p w14:paraId="1923E9F7" w14:textId="77777777" w:rsidR="00247CBF" w:rsidRPr="00092ED7" w:rsidRDefault="00247CBF" w:rsidP="00247CBF">
            <w:pPr>
              <w:spacing w:after="0"/>
              <w:jc w:val="center"/>
              <w:rPr>
                <w:rFonts w:eastAsia="Times New Roman" w:cs="Times New Roman"/>
                <w:color w:val="000000"/>
                <w:sz w:val="20"/>
                <w:szCs w:val="20"/>
                <w:lang w:val="sr-Cyrl-CS"/>
              </w:rPr>
            </w:pPr>
            <w:r w:rsidRPr="00092ED7">
              <w:rPr>
                <w:rFonts w:cs="Times New Roman"/>
                <w:sz w:val="20"/>
                <w:szCs w:val="20"/>
                <w:lang w:val="sr-Cyrl-CS"/>
              </w:rPr>
              <w:t>:</w:t>
            </w:r>
          </w:p>
        </w:tc>
        <w:tc>
          <w:tcPr>
            <w:tcW w:w="340" w:type="pct"/>
            <w:gridSpan w:val="2"/>
            <w:tcBorders>
              <w:top w:val="nil"/>
              <w:left w:val="nil"/>
              <w:bottom w:val="dotted" w:sz="4" w:space="0" w:color="auto"/>
              <w:right w:val="double" w:sz="6" w:space="0" w:color="auto"/>
            </w:tcBorders>
            <w:shd w:val="clear" w:color="auto" w:fill="auto"/>
            <w:vAlign w:val="bottom"/>
            <w:hideMark/>
          </w:tcPr>
          <w:p w14:paraId="11D36520" w14:textId="77777777" w:rsidR="00247CBF" w:rsidRPr="00092ED7" w:rsidRDefault="00247CBF" w:rsidP="00247CBF">
            <w:pPr>
              <w:spacing w:after="0"/>
              <w:jc w:val="center"/>
              <w:rPr>
                <w:rFonts w:eastAsia="Times New Roman" w:cs="Times New Roman"/>
                <w:color w:val="000000"/>
                <w:sz w:val="23"/>
                <w:szCs w:val="23"/>
                <w:lang w:val="sr-Cyrl-CS"/>
              </w:rPr>
            </w:pPr>
            <w:r w:rsidRPr="00092ED7">
              <w:rPr>
                <w:rFonts w:cs="Times New Roman"/>
                <w:sz w:val="20"/>
                <w:szCs w:val="20"/>
                <w:lang w:val="sr-Cyrl-CS"/>
              </w:rPr>
              <w:t>:</w:t>
            </w:r>
          </w:p>
        </w:tc>
        <w:tc>
          <w:tcPr>
            <w:tcW w:w="97" w:type="pct"/>
            <w:tcBorders>
              <w:top w:val="nil"/>
              <w:left w:val="nil"/>
              <w:bottom w:val="nil"/>
              <w:right w:val="nil"/>
            </w:tcBorders>
            <w:shd w:val="clear" w:color="auto" w:fill="auto"/>
            <w:noWrap/>
            <w:vAlign w:val="center"/>
            <w:hideMark/>
          </w:tcPr>
          <w:p w14:paraId="75DB3F88" w14:textId="77777777" w:rsidR="00247CBF" w:rsidRPr="00092ED7" w:rsidRDefault="00247CBF" w:rsidP="00247CBF">
            <w:pPr>
              <w:spacing w:after="0"/>
              <w:rPr>
                <w:rFonts w:eastAsia="Times New Roman" w:cs="Times New Roman"/>
                <w:b/>
                <w:bCs/>
                <w:szCs w:val="24"/>
                <w:lang w:val="sr-Cyrl-CS"/>
              </w:rPr>
            </w:pPr>
            <w:r w:rsidRPr="00092ED7">
              <w:rPr>
                <w:rFonts w:eastAsia="Times New Roman" w:cs="Times New Roman"/>
                <w:b/>
                <w:bCs/>
                <w:szCs w:val="24"/>
                <w:lang w:val="sr-Cyrl-CS"/>
              </w:rPr>
              <w:t> </w:t>
            </w:r>
          </w:p>
        </w:tc>
      </w:tr>
      <w:tr w:rsidR="00247CBF" w:rsidRPr="00092ED7" w14:paraId="3E03FFB0" w14:textId="77777777" w:rsidTr="00247CBF">
        <w:trPr>
          <w:trHeight w:val="283"/>
        </w:trPr>
        <w:tc>
          <w:tcPr>
            <w:tcW w:w="2319" w:type="pct"/>
            <w:tcBorders>
              <w:top w:val="nil"/>
              <w:left w:val="double" w:sz="6" w:space="0" w:color="auto"/>
              <w:bottom w:val="dotted" w:sz="4" w:space="0" w:color="auto"/>
              <w:right w:val="nil"/>
            </w:tcBorders>
            <w:shd w:val="clear" w:color="auto" w:fill="auto"/>
            <w:vAlign w:val="center"/>
            <w:hideMark/>
          </w:tcPr>
          <w:p w14:paraId="537FB8C3" w14:textId="77777777" w:rsidR="00247CBF" w:rsidRPr="00092ED7" w:rsidRDefault="00247CBF" w:rsidP="00247CBF">
            <w:pPr>
              <w:spacing w:after="0"/>
              <w:jc w:val="left"/>
              <w:rPr>
                <w:rFonts w:eastAsia="Times New Roman" w:cs="Times New Roman"/>
                <w:sz w:val="20"/>
                <w:szCs w:val="20"/>
                <w:lang w:val="sr-Cyrl-CS"/>
              </w:rPr>
            </w:pPr>
            <w:r w:rsidRPr="00092ED7">
              <w:rPr>
                <w:rFonts w:eastAsia="Times New Roman" w:cs="Times New Roman"/>
                <w:sz w:val="20"/>
                <w:szCs w:val="20"/>
                <w:lang w:val="sr-Cyrl-CS"/>
              </w:rPr>
              <w:t>Раст БДП-а у ЕУ</w:t>
            </w:r>
          </w:p>
        </w:tc>
        <w:tc>
          <w:tcPr>
            <w:tcW w:w="892" w:type="pct"/>
            <w:gridSpan w:val="2"/>
            <w:tcBorders>
              <w:top w:val="dotted" w:sz="4" w:space="0" w:color="auto"/>
              <w:left w:val="single" w:sz="4" w:space="0" w:color="auto"/>
              <w:bottom w:val="dotted" w:sz="4" w:space="0" w:color="auto"/>
              <w:right w:val="single" w:sz="8" w:space="0" w:color="000000"/>
            </w:tcBorders>
            <w:shd w:val="clear" w:color="auto" w:fill="auto"/>
            <w:vAlign w:val="center"/>
            <w:hideMark/>
          </w:tcPr>
          <w:p w14:paraId="65E005F3" w14:textId="77777777" w:rsidR="00247CBF" w:rsidRPr="00092ED7" w:rsidRDefault="00247CBF" w:rsidP="00247CBF">
            <w:pPr>
              <w:spacing w:after="0"/>
              <w:jc w:val="center"/>
              <w:rPr>
                <w:rFonts w:eastAsia="Times New Roman" w:cs="Times New Roman"/>
                <w:sz w:val="18"/>
                <w:szCs w:val="18"/>
                <w:lang w:val="sr-Cyrl-CS"/>
              </w:rPr>
            </w:pPr>
            <w:r w:rsidRPr="00092ED7">
              <w:rPr>
                <w:rFonts w:eastAsia="Times New Roman" w:cs="Times New Roman"/>
                <w:sz w:val="18"/>
                <w:szCs w:val="18"/>
                <w:lang w:val="sr-Cyrl-CS"/>
              </w:rPr>
              <w:t>Год. просек</w:t>
            </w:r>
          </w:p>
        </w:tc>
        <w:tc>
          <w:tcPr>
            <w:tcW w:w="338" w:type="pct"/>
            <w:tcBorders>
              <w:top w:val="nil"/>
              <w:left w:val="nil"/>
              <w:bottom w:val="dotted" w:sz="4" w:space="0" w:color="auto"/>
              <w:right w:val="dotted" w:sz="4" w:space="0" w:color="auto"/>
            </w:tcBorders>
            <w:shd w:val="clear" w:color="auto" w:fill="auto"/>
            <w:vAlign w:val="bottom"/>
            <w:hideMark/>
          </w:tcPr>
          <w:p w14:paraId="5E5137CE" w14:textId="77777777" w:rsidR="00247CBF" w:rsidRPr="00092ED7" w:rsidRDefault="00247CBF" w:rsidP="00247CBF">
            <w:pPr>
              <w:spacing w:after="0"/>
              <w:jc w:val="center"/>
              <w:rPr>
                <w:rFonts w:eastAsia="Times New Roman" w:cs="Times New Roman"/>
                <w:color w:val="000000"/>
                <w:sz w:val="20"/>
                <w:szCs w:val="20"/>
                <w:lang w:val="sr-Cyrl-CS"/>
              </w:rPr>
            </w:pPr>
            <w:r w:rsidRPr="00092ED7">
              <w:rPr>
                <w:rFonts w:cs="Times New Roman"/>
                <w:sz w:val="20"/>
                <w:szCs w:val="20"/>
                <w:lang w:val="sr-Cyrl-CS"/>
              </w:rPr>
              <w:t>:</w:t>
            </w:r>
          </w:p>
        </w:tc>
        <w:tc>
          <w:tcPr>
            <w:tcW w:w="338" w:type="pct"/>
            <w:gridSpan w:val="2"/>
            <w:tcBorders>
              <w:top w:val="nil"/>
              <w:left w:val="nil"/>
              <w:bottom w:val="dotted" w:sz="4" w:space="0" w:color="auto"/>
              <w:right w:val="dotted" w:sz="4" w:space="0" w:color="auto"/>
            </w:tcBorders>
            <w:shd w:val="clear" w:color="auto" w:fill="auto"/>
            <w:vAlign w:val="bottom"/>
            <w:hideMark/>
          </w:tcPr>
          <w:p w14:paraId="6CD6D5B1" w14:textId="77777777" w:rsidR="00247CBF" w:rsidRPr="00092ED7" w:rsidRDefault="00247CBF" w:rsidP="00247CBF">
            <w:pPr>
              <w:spacing w:after="0"/>
              <w:jc w:val="center"/>
              <w:rPr>
                <w:rFonts w:eastAsia="Times New Roman" w:cs="Times New Roman"/>
                <w:color w:val="000000"/>
                <w:sz w:val="20"/>
                <w:szCs w:val="20"/>
                <w:lang w:val="sr-Cyrl-CS"/>
              </w:rPr>
            </w:pPr>
            <w:r w:rsidRPr="00092ED7">
              <w:rPr>
                <w:rFonts w:cs="Times New Roman"/>
                <w:sz w:val="20"/>
                <w:szCs w:val="20"/>
                <w:lang w:val="sr-Cyrl-CS"/>
              </w:rPr>
              <w:t>:</w:t>
            </w:r>
          </w:p>
        </w:tc>
        <w:tc>
          <w:tcPr>
            <w:tcW w:w="338" w:type="pct"/>
            <w:gridSpan w:val="2"/>
            <w:tcBorders>
              <w:top w:val="nil"/>
              <w:left w:val="nil"/>
              <w:bottom w:val="dotted" w:sz="4" w:space="0" w:color="auto"/>
              <w:right w:val="dotted" w:sz="4" w:space="0" w:color="auto"/>
            </w:tcBorders>
            <w:shd w:val="clear" w:color="auto" w:fill="auto"/>
            <w:vAlign w:val="bottom"/>
            <w:hideMark/>
          </w:tcPr>
          <w:p w14:paraId="08D0CACF" w14:textId="77777777" w:rsidR="00247CBF" w:rsidRPr="00092ED7" w:rsidRDefault="00247CBF" w:rsidP="00247CBF">
            <w:pPr>
              <w:spacing w:after="0"/>
              <w:jc w:val="center"/>
              <w:rPr>
                <w:rFonts w:eastAsia="Times New Roman" w:cs="Times New Roman"/>
                <w:color w:val="000000"/>
                <w:sz w:val="20"/>
                <w:szCs w:val="20"/>
                <w:lang w:val="sr-Cyrl-CS"/>
              </w:rPr>
            </w:pPr>
            <w:r w:rsidRPr="00092ED7">
              <w:rPr>
                <w:rFonts w:cs="Times New Roman"/>
                <w:sz w:val="20"/>
                <w:szCs w:val="20"/>
                <w:lang w:val="sr-Cyrl-CS"/>
              </w:rPr>
              <w:t>:</w:t>
            </w:r>
          </w:p>
        </w:tc>
        <w:tc>
          <w:tcPr>
            <w:tcW w:w="338" w:type="pct"/>
            <w:gridSpan w:val="2"/>
            <w:tcBorders>
              <w:top w:val="nil"/>
              <w:left w:val="nil"/>
              <w:bottom w:val="dotted" w:sz="4" w:space="0" w:color="auto"/>
              <w:right w:val="dotted" w:sz="4" w:space="0" w:color="auto"/>
            </w:tcBorders>
            <w:shd w:val="clear" w:color="auto" w:fill="auto"/>
            <w:vAlign w:val="bottom"/>
            <w:hideMark/>
          </w:tcPr>
          <w:p w14:paraId="4D012311" w14:textId="77777777" w:rsidR="00247CBF" w:rsidRPr="00092ED7" w:rsidRDefault="00247CBF" w:rsidP="00247CBF">
            <w:pPr>
              <w:spacing w:after="0"/>
              <w:jc w:val="center"/>
              <w:rPr>
                <w:rFonts w:eastAsia="Times New Roman" w:cs="Times New Roman"/>
                <w:color w:val="000000"/>
                <w:sz w:val="20"/>
                <w:szCs w:val="20"/>
                <w:lang w:val="sr-Cyrl-CS"/>
              </w:rPr>
            </w:pPr>
            <w:r w:rsidRPr="00092ED7">
              <w:rPr>
                <w:rFonts w:cs="Times New Roman"/>
                <w:sz w:val="20"/>
                <w:szCs w:val="20"/>
                <w:lang w:val="sr-Cyrl-CS"/>
              </w:rPr>
              <w:t>:</w:t>
            </w:r>
          </w:p>
        </w:tc>
        <w:tc>
          <w:tcPr>
            <w:tcW w:w="340" w:type="pct"/>
            <w:gridSpan w:val="2"/>
            <w:tcBorders>
              <w:top w:val="nil"/>
              <w:left w:val="nil"/>
              <w:bottom w:val="dotted" w:sz="4" w:space="0" w:color="auto"/>
              <w:right w:val="double" w:sz="6" w:space="0" w:color="auto"/>
            </w:tcBorders>
            <w:shd w:val="clear" w:color="auto" w:fill="auto"/>
            <w:vAlign w:val="bottom"/>
            <w:hideMark/>
          </w:tcPr>
          <w:p w14:paraId="3FAB2209" w14:textId="77777777" w:rsidR="00247CBF" w:rsidRPr="00092ED7" w:rsidRDefault="00247CBF" w:rsidP="00247CBF">
            <w:pPr>
              <w:spacing w:after="0"/>
              <w:jc w:val="center"/>
              <w:rPr>
                <w:rFonts w:eastAsia="Times New Roman" w:cs="Times New Roman"/>
                <w:color w:val="000000"/>
                <w:sz w:val="23"/>
                <w:szCs w:val="23"/>
                <w:lang w:val="sr-Cyrl-CS"/>
              </w:rPr>
            </w:pPr>
            <w:r w:rsidRPr="00092ED7">
              <w:rPr>
                <w:rFonts w:cs="Times New Roman"/>
                <w:sz w:val="20"/>
                <w:szCs w:val="20"/>
                <w:lang w:val="sr-Cyrl-CS"/>
              </w:rPr>
              <w:t>:</w:t>
            </w:r>
          </w:p>
        </w:tc>
        <w:tc>
          <w:tcPr>
            <w:tcW w:w="97" w:type="pct"/>
            <w:tcBorders>
              <w:top w:val="nil"/>
              <w:left w:val="nil"/>
              <w:bottom w:val="nil"/>
              <w:right w:val="nil"/>
            </w:tcBorders>
            <w:shd w:val="clear" w:color="auto" w:fill="auto"/>
            <w:noWrap/>
            <w:vAlign w:val="center"/>
            <w:hideMark/>
          </w:tcPr>
          <w:p w14:paraId="23458B76" w14:textId="77777777" w:rsidR="00247CBF" w:rsidRPr="00092ED7" w:rsidRDefault="00247CBF" w:rsidP="00247CBF">
            <w:pPr>
              <w:spacing w:after="0"/>
              <w:rPr>
                <w:rFonts w:eastAsia="Times New Roman" w:cs="Times New Roman"/>
                <w:b/>
                <w:bCs/>
                <w:szCs w:val="24"/>
                <w:lang w:val="sr-Cyrl-CS"/>
              </w:rPr>
            </w:pPr>
            <w:r w:rsidRPr="00092ED7">
              <w:rPr>
                <w:rFonts w:eastAsia="Times New Roman" w:cs="Times New Roman"/>
                <w:b/>
                <w:bCs/>
                <w:szCs w:val="24"/>
                <w:lang w:val="sr-Cyrl-CS"/>
              </w:rPr>
              <w:t> </w:t>
            </w:r>
          </w:p>
        </w:tc>
      </w:tr>
      <w:tr w:rsidR="00247CBF" w:rsidRPr="00092ED7" w14:paraId="47521930" w14:textId="77777777" w:rsidTr="00247CBF">
        <w:trPr>
          <w:trHeight w:val="283"/>
        </w:trPr>
        <w:tc>
          <w:tcPr>
            <w:tcW w:w="2319" w:type="pct"/>
            <w:tcBorders>
              <w:top w:val="nil"/>
              <w:left w:val="double" w:sz="6" w:space="0" w:color="auto"/>
              <w:bottom w:val="dotted" w:sz="4" w:space="0" w:color="auto"/>
              <w:right w:val="nil"/>
            </w:tcBorders>
            <w:shd w:val="clear" w:color="auto" w:fill="auto"/>
            <w:vAlign w:val="center"/>
            <w:hideMark/>
          </w:tcPr>
          <w:p w14:paraId="3A74EA44" w14:textId="77777777" w:rsidR="00247CBF" w:rsidRPr="00092ED7" w:rsidRDefault="00247CBF" w:rsidP="00247CBF">
            <w:pPr>
              <w:spacing w:after="0"/>
              <w:jc w:val="left"/>
              <w:rPr>
                <w:rFonts w:eastAsia="Times New Roman" w:cs="Times New Roman"/>
                <w:sz w:val="20"/>
                <w:szCs w:val="20"/>
                <w:lang w:val="sr-Cyrl-CS"/>
              </w:rPr>
            </w:pPr>
            <w:r w:rsidRPr="00092ED7">
              <w:rPr>
                <w:rFonts w:eastAsia="Times New Roman" w:cs="Times New Roman"/>
                <w:sz w:val="20"/>
                <w:szCs w:val="20"/>
                <w:lang w:val="sr-Cyrl-CS"/>
              </w:rPr>
              <w:t>Раст релевантних страних тржишта</w:t>
            </w:r>
          </w:p>
        </w:tc>
        <w:tc>
          <w:tcPr>
            <w:tcW w:w="892" w:type="pct"/>
            <w:gridSpan w:val="2"/>
            <w:tcBorders>
              <w:top w:val="dotted" w:sz="4" w:space="0" w:color="auto"/>
              <w:left w:val="single" w:sz="4" w:space="0" w:color="auto"/>
              <w:bottom w:val="dotted" w:sz="4" w:space="0" w:color="auto"/>
              <w:right w:val="single" w:sz="8" w:space="0" w:color="000000"/>
            </w:tcBorders>
            <w:shd w:val="clear" w:color="auto" w:fill="auto"/>
            <w:vAlign w:val="center"/>
            <w:hideMark/>
          </w:tcPr>
          <w:p w14:paraId="324BF8B0" w14:textId="77777777" w:rsidR="00247CBF" w:rsidRPr="00092ED7" w:rsidRDefault="00247CBF" w:rsidP="00247CBF">
            <w:pPr>
              <w:spacing w:after="0"/>
              <w:jc w:val="center"/>
              <w:rPr>
                <w:rFonts w:eastAsia="Times New Roman" w:cs="Times New Roman"/>
                <w:sz w:val="18"/>
                <w:szCs w:val="18"/>
                <w:lang w:val="sr-Cyrl-CS"/>
              </w:rPr>
            </w:pPr>
            <w:r w:rsidRPr="00092ED7">
              <w:rPr>
                <w:rFonts w:eastAsia="Times New Roman" w:cs="Times New Roman"/>
                <w:sz w:val="18"/>
                <w:szCs w:val="18"/>
                <w:lang w:val="sr-Cyrl-CS"/>
              </w:rPr>
              <w:t>Год. просек</w:t>
            </w:r>
          </w:p>
        </w:tc>
        <w:tc>
          <w:tcPr>
            <w:tcW w:w="338" w:type="pct"/>
            <w:tcBorders>
              <w:top w:val="nil"/>
              <w:left w:val="nil"/>
              <w:bottom w:val="dotted" w:sz="4" w:space="0" w:color="auto"/>
              <w:right w:val="dotted" w:sz="4" w:space="0" w:color="auto"/>
            </w:tcBorders>
            <w:shd w:val="clear" w:color="auto" w:fill="auto"/>
            <w:vAlign w:val="bottom"/>
            <w:hideMark/>
          </w:tcPr>
          <w:p w14:paraId="27904471" w14:textId="77777777" w:rsidR="00247CBF" w:rsidRPr="00092ED7" w:rsidRDefault="00247CBF" w:rsidP="00247CBF">
            <w:pPr>
              <w:spacing w:after="0"/>
              <w:jc w:val="center"/>
              <w:rPr>
                <w:rFonts w:eastAsia="Times New Roman" w:cs="Times New Roman"/>
                <w:color w:val="000000"/>
                <w:sz w:val="23"/>
                <w:szCs w:val="23"/>
                <w:lang w:val="sr-Cyrl-CS"/>
              </w:rPr>
            </w:pPr>
            <w:r w:rsidRPr="00092ED7">
              <w:rPr>
                <w:rFonts w:cs="Times New Roman"/>
                <w:sz w:val="20"/>
                <w:szCs w:val="20"/>
                <w:lang w:val="sr-Cyrl-CS"/>
              </w:rPr>
              <w:t>:</w:t>
            </w:r>
          </w:p>
        </w:tc>
        <w:tc>
          <w:tcPr>
            <w:tcW w:w="338" w:type="pct"/>
            <w:gridSpan w:val="2"/>
            <w:tcBorders>
              <w:top w:val="nil"/>
              <w:left w:val="nil"/>
              <w:bottom w:val="dotted" w:sz="4" w:space="0" w:color="auto"/>
              <w:right w:val="dotted" w:sz="4" w:space="0" w:color="auto"/>
            </w:tcBorders>
            <w:shd w:val="clear" w:color="auto" w:fill="auto"/>
            <w:vAlign w:val="bottom"/>
            <w:hideMark/>
          </w:tcPr>
          <w:p w14:paraId="649E67FC" w14:textId="77777777" w:rsidR="00247CBF" w:rsidRPr="00092ED7" w:rsidRDefault="00247CBF" w:rsidP="00247CBF">
            <w:pPr>
              <w:spacing w:after="0"/>
              <w:jc w:val="center"/>
              <w:rPr>
                <w:rFonts w:eastAsia="Times New Roman" w:cs="Times New Roman"/>
                <w:color w:val="000000"/>
                <w:sz w:val="23"/>
                <w:szCs w:val="23"/>
                <w:lang w:val="sr-Cyrl-CS"/>
              </w:rPr>
            </w:pPr>
            <w:r w:rsidRPr="00092ED7">
              <w:rPr>
                <w:rFonts w:cs="Times New Roman"/>
                <w:sz w:val="20"/>
                <w:szCs w:val="20"/>
                <w:lang w:val="sr-Cyrl-CS"/>
              </w:rPr>
              <w:t>:</w:t>
            </w:r>
          </w:p>
        </w:tc>
        <w:tc>
          <w:tcPr>
            <w:tcW w:w="338" w:type="pct"/>
            <w:gridSpan w:val="2"/>
            <w:tcBorders>
              <w:top w:val="nil"/>
              <w:left w:val="nil"/>
              <w:bottom w:val="dotted" w:sz="4" w:space="0" w:color="auto"/>
              <w:right w:val="dotted" w:sz="4" w:space="0" w:color="auto"/>
            </w:tcBorders>
            <w:shd w:val="clear" w:color="auto" w:fill="auto"/>
            <w:vAlign w:val="bottom"/>
            <w:hideMark/>
          </w:tcPr>
          <w:p w14:paraId="2C080C95" w14:textId="77777777" w:rsidR="00247CBF" w:rsidRPr="00092ED7" w:rsidRDefault="00247CBF" w:rsidP="00247CBF">
            <w:pPr>
              <w:spacing w:after="0"/>
              <w:jc w:val="center"/>
              <w:rPr>
                <w:rFonts w:eastAsia="Times New Roman" w:cs="Times New Roman"/>
                <w:color w:val="000000"/>
                <w:sz w:val="23"/>
                <w:szCs w:val="23"/>
                <w:lang w:val="sr-Cyrl-CS"/>
              </w:rPr>
            </w:pPr>
            <w:r w:rsidRPr="00092ED7">
              <w:rPr>
                <w:rFonts w:cs="Times New Roman"/>
                <w:sz w:val="20"/>
                <w:szCs w:val="20"/>
                <w:lang w:val="sr-Cyrl-CS"/>
              </w:rPr>
              <w:t>:</w:t>
            </w:r>
          </w:p>
        </w:tc>
        <w:tc>
          <w:tcPr>
            <w:tcW w:w="338" w:type="pct"/>
            <w:gridSpan w:val="2"/>
            <w:tcBorders>
              <w:top w:val="nil"/>
              <w:left w:val="nil"/>
              <w:bottom w:val="dotted" w:sz="4" w:space="0" w:color="auto"/>
              <w:right w:val="dotted" w:sz="4" w:space="0" w:color="auto"/>
            </w:tcBorders>
            <w:shd w:val="clear" w:color="auto" w:fill="auto"/>
            <w:vAlign w:val="bottom"/>
            <w:hideMark/>
          </w:tcPr>
          <w:p w14:paraId="4BD78865" w14:textId="77777777" w:rsidR="00247CBF" w:rsidRPr="00092ED7" w:rsidRDefault="00247CBF" w:rsidP="00247CBF">
            <w:pPr>
              <w:spacing w:after="0"/>
              <w:jc w:val="center"/>
              <w:rPr>
                <w:rFonts w:eastAsia="Times New Roman" w:cs="Times New Roman"/>
                <w:color w:val="000000"/>
                <w:sz w:val="23"/>
                <w:szCs w:val="23"/>
                <w:lang w:val="sr-Cyrl-CS"/>
              </w:rPr>
            </w:pPr>
            <w:r w:rsidRPr="00092ED7">
              <w:rPr>
                <w:rFonts w:cs="Times New Roman"/>
                <w:sz w:val="20"/>
                <w:szCs w:val="20"/>
                <w:lang w:val="sr-Cyrl-CS"/>
              </w:rPr>
              <w:t>:</w:t>
            </w:r>
          </w:p>
        </w:tc>
        <w:tc>
          <w:tcPr>
            <w:tcW w:w="340" w:type="pct"/>
            <w:gridSpan w:val="2"/>
            <w:tcBorders>
              <w:top w:val="nil"/>
              <w:left w:val="nil"/>
              <w:bottom w:val="dotted" w:sz="4" w:space="0" w:color="auto"/>
              <w:right w:val="double" w:sz="6" w:space="0" w:color="auto"/>
            </w:tcBorders>
            <w:shd w:val="clear" w:color="auto" w:fill="auto"/>
            <w:vAlign w:val="bottom"/>
            <w:hideMark/>
          </w:tcPr>
          <w:p w14:paraId="2698637C" w14:textId="77777777" w:rsidR="00247CBF" w:rsidRPr="00092ED7" w:rsidRDefault="00247CBF" w:rsidP="00247CBF">
            <w:pPr>
              <w:spacing w:after="0"/>
              <w:jc w:val="center"/>
              <w:rPr>
                <w:rFonts w:eastAsia="Times New Roman" w:cs="Times New Roman"/>
                <w:color w:val="000000"/>
                <w:sz w:val="23"/>
                <w:szCs w:val="23"/>
                <w:lang w:val="sr-Cyrl-CS"/>
              </w:rPr>
            </w:pPr>
            <w:r w:rsidRPr="00092ED7">
              <w:rPr>
                <w:rFonts w:cs="Times New Roman"/>
                <w:sz w:val="20"/>
                <w:szCs w:val="20"/>
                <w:lang w:val="sr-Cyrl-CS"/>
              </w:rPr>
              <w:t>:</w:t>
            </w:r>
          </w:p>
        </w:tc>
        <w:tc>
          <w:tcPr>
            <w:tcW w:w="97" w:type="pct"/>
            <w:tcBorders>
              <w:top w:val="nil"/>
              <w:left w:val="nil"/>
              <w:bottom w:val="nil"/>
              <w:right w:val="nil"/>
            </w:tcBorders>
            <w:shd w:val="clear" w:color="auto" w:fill="auto"/>
            <w:noWrap/>
            <w:vAlign w:val="center"/>
            <w:hideMark/>
          </w:tcPr>
          <w:p w14:paraId="3F2D48E4" w14:textId="77777777" w:rsidR="00247CBF" w:rsidRPr="00092ED7" w:rsidRDefault="00247CBF" w:rsidP="00247CBF">
            <w:pPr>
              <w:spacing w:after="0"/>
              <w:rPr>
                <w:rFonts w:eastAsia="Times New Roman" w:cs="Times New Roman"/>
                <w:b/>
                <w:bCs/>
                <w:szCs w:val="24"/>
                <w:lang w:val="sr-Cyrl-CS"/>
              </w:rPr>
            </w:pPr>
            <w:r w:rsidRPr="00092ED7">
              <w:rPr>
                <w:rFonts w:eastAsia="Times New Roman" w:cs="Times New Roman"/>
                <w:b/>
                <w:bCs/>
                <w:szCs w:val="24"/>
                <w:lang w:val="sr-Cyrl-CS"/>
              </w:rPr>
              <w:t> </w:t>
            </w:r>
          </w:p>
        </w:tc>
      </w:tr>
      <w:tr w:rsidR="00247CBF" w:rsidRPr="00092ED7" w14:paraId="4D676A75" w14:textId="77777777" w:rsidTr="00247CBF">
        <w:trPr>
          <w:trHeight w:val="283"/>
        </w:trPr>
        <w:tc>
          <w:tcPr>
            <w:tcW w:w="2319" w:type="pct"/>
            <w:tcBorders>
              <w:top w:val="nil"/>
              <w:left w:val="double" w:sz="6" w:space="0" w:color="auto"/>
              <w:bottom w:val="dotted" w:sz="4" w:space="0" w:color="auto"/>
              <w:right w:val="nil"/>
            </w:tcBorders>
            <w:shd w:val="clear" w:color="auto" w:fill="auto"/>
            <w:vAlign w:val="center"/>
            <w:hideMark/>
          </w:tcPr>
          <w:p w14:paraId="339D0F6B" w14:textId="77777777" w:rsidR="00247CBF" w:rsidRPr="00092ED7" w:rsidRDefault="00247CBF" w:rsidP="00247CBF">
            <w:pPr>
              <w:spacing w:after="0"/>
              <w:jc w:val="left"/>
              <w:rPr>
                <w:rFonts w:eastAsia="Times New Roman" w:cs="Times New Roman"/>
                <w:sz w:val="20"/>
                <w:szCs w:val="20"/>
                <w:lang w:val="sr-Cyrl-CS"/>
              </w:rPr>
            </w:pPr>
            <w:r w:rsidRPr="00092ED7">
              <w:rPr>
                <w:rFonts w:eastAsia="Times New Roman" w:cs="Times New Roman"/>
                <w:sz w:val="20"/>
                <w:szCs w:val="20"/>
                <w:lang w:val="sr-Cyrl-CS"/>
              </w:rPr>
              <w:t>Обим светског увоза, без ЕУ</w:t>
            </w:r>
          </w:p>
        </w:tc>
        <w:tc>
          <w:tcPr>
            <w:tcW w:w="892" w:type="pct"/>
            <w:gridSpan w:val="2"/>
            <w:tcBorders>
              <w:top w:val="dotted" w:sz="4" w:space="0" w:color="auto"/>
              <w:left w:val="single" w:sz="4" w:space="0" w:color="auto"/>
              <w:bottom w:val="dotted" w:sz="4" w:space="0" w:color="auto"/>
              <w:right w:val="single" w:sz="8" w:space="0" w:color="000000"/>
            </w:tcBorders>
            <w:shd w:val="clear" w:color="auto" w:fill="auto"/>
            <w:vAlign w:val="center"/>
            <w:hideMark/>
          </w:tcPr>
          <w:p w14:paraId="2B655291" w14:textId="77777777" w:rsidR="00247CBF" w:rsidRPr="00092ED7" w:rsidRDefault="00247CBF" w:rsidP="00247CBF">
            <w:pPr>
              <w:spacing w:after="0"/>
              <w:jc w:val="center"/>
              <w:rPr>
                <w:rFonts w:eastAsia="Times New Roman" w:cs="Times New Roman"/>
                <w:sz w:val="18"/>
                <w:szCs w:val="18"/>
                <w:lang w:val="sr-Cyrl-CS"/>
              </w:rPr>
            </w:pPr>
            <w:r w:rsidRPr="00092ED7">
              <w:rPr>
                <w:rFonts w:eastAsia="Times New Roman" w:cs="Times New Roman"/>
                <w:sz w:val="18"/>
                <w:szCs w:val="18"/>
                <w:lang w:val="sr-Cyrl-CS"/>
              </w:rPr>
              <w:t>Год. просек</w:t>
            </w:r>
          </w:p>
        </w:tc>
        <w:tc>
          <w:tcPr>
            <w:tcW w:w="338" w:type="pct"/>
            <w:tcBorders>
              <w:top w:val="nil"/>
              <w:left w:val="nil"/>
              <w:bottom w:val="dotted" w:sz="4" w:space="0" w:color="auto"/>
              <w:right w:val="dotted" w:sz="4" w:space="0" w:color="auto"/>
            </w:tcBorders>
            <w:shd w:val="clear" w:color="auto" w:fill="auto"/>
            <w:vAlign w:val="bottom"/>
            <w:hideMark/>
          </w:tcPr>
          <w:p w14:paraId="691D3E38" w14:textId="77777777" w:rsidR="00247CBF" w:rsidRPr="00092ED7" w:rsidRDefault="00247CBF" w:rsidP="00247CBF">
            <w:pPr>
              <w:spacing w:after="0"/>
              <w:jc w:val="center"/>
              <w:rPr>
                <w:rFonts w:eastAsia="Times New Roman" w:cs="Times New Roman"/>
                <w:color w:val="000000"/>
                <w:sz w:val="20"/>
                <w:szCs w:val="20"/>
                <w:lang w:val="sr-Cyrl-CS"/>
              </w:rPr>
            </w:pPr>
            <w:r w:rsidRPr="00092ED7">
              <w:rPr>
                <w:rFonts w:cs="Times New Roman"/>
                <w:sz w:val="20"/>
                <w:szCs w:val="20"/>
                <w:lang w:val="sr-Cyrl-CS"/>
              </w:rPr>
              <w:t>:</w:t>
            </w:r>
          </w:p>
        </w:tc>
        <w:tc>
          <w:tcPr>
            <w:tcW w:w="338" w:type="pct"/>
            <w:gridSpan w:val="2"/>
            <w:tcBorders>
              <w:top w:val="nil"/>
              <w:left w:val="nil"/>
              <w:bottom w:val="dotted" w:sz="4" w:space="0" w:color="auto"/>
              <w:right w:val="dotted" w:sz="4" w:space="0" w:color="auto"/>
            </w:tcBorders>
            <w:shd w:val="clear" w:color="auto" w:fill="auto"/>
            <w:vAlign w:val="bottom"/>
            <w:hideMark/>
          </w:tcPr>
          <w:p w14:paraId="21E8D75E" w14:textId="77777777" w:rsidR="00247CBF" w:rsidRPr="00092ED7" w:rsidRDefault="00247CBF" w:rsidP="00247CBF">
            <w:pPr>
              <w:spacing w:after="0"/>
              <w:jc w:val="center"/>
              <w:rPr>
                <w:rFonts w:eastAsia="Times New Roman" w:cs="Times New Roman"/>
                <w:color w:val="000000"/>
                <w:sz w:val="20"/>
                <w:szCs w:val="20"/>
                <w:lang w:val="sr-Cyrl-CS"/>
              </w:rPr>
            </w:pPr>
            <w:r w:rsidRPr="00092ED7">
              <w:rPr>
                <w:rFonts w:cs="Times New Roman"/>
                <w:sz w:val="20"/>
                <w:szCs w:val="20"/>
                <w:lang w:val="sr-Cyrl-CS"/>
              </w:rPr>
              <w:t>:</w:t>
            </w:r>
          </w:p>
        </w:tc>
        <w:tc>
          <w:tcPr>
            <w:tcW w:w="338" w:type="pct"/>
            <w:gridSpan w:val="2"/>
            <w:tcBorders>
              <w:top w:val="nil"/>
              <w:left w:val="nil"/>
              <w:bottom w:val="dotted" w:sz="4" w:space="0" w:color="auto"/>
              <w:right w:val="dotted" w:sz="4" w:space="0" w:color="auto"/>
            </w:tcBorders>
            <w:shd w:val="clear" w:color="auto" w:fill="auto"/>
            <w:vAlign w:val="bottom"/>
            <w:hideMark/>
          </w:tcPr>
          <w:p w14:paraId="7C9AEFA3" w14:textId="77777777" w:rsidR="00247CBF" w:rsidRPr="00092ED7" w:rsidRDefault="00247CBF" w:rsidP="00247CBF">
            <w:pPr>
              <w:spacing w:after="0"/>
              <w:jc w:val="center"/>
              <w:rPr>
                <w:rFonts w:eastAsia="Times New Roman" w:cs="Times New Roman"/>
                <w:color w:val="000000"/>
                <w:sz w:val="20"/>
                <w:szCs w:val="20"/>
                <w:lang w:val="sr-Cyrl-CS"/>
              </w:rPr>
            </w:pPr>
            <w:r w:rsidRPr="00092ED7">
              <w:rPr>
                <w:rFonts w:cs="Times New Roman"/>
                <w:sz w:val="20"/>
                <w:szCs w:val="20"/>
                <w:lang w:val="sr-Cyrl-CS"/>
              </w:rPr>
              <w:t>:</w:t>
            </w:r>
          </w:p>
        </w:tc>
        <w:tc>
          <w:tcPr>
            <w:tcW w:w="338" w:type="pct"/>
            <w:gridSpan w:val="2"/>
            <w:tcBorders>
              <w:top w:val="nil"/>
              <w:left w:val="nil"/>
              <w:bottom w:val="dotted" w:sz="4" w:space="0" w:color="auto"/>
              <w:right w:val="dotted" w:sz="4" w:space="0" w:color="auto"/>
            </w:tcBorders>
            <w:shd w:val="clear" w:color="auto" w:fill="auto"/>
            <w:vAlign w:val="bottom"/>
            <w:hideMark/>
          </w:tcPr>
          <w:p w14:paraId="5EE82CC9" w14:textId="77777777" w:rsidR="00247CBF" w:rsidRPr="00092ED7" w:rsidRDefault="00247CBF" w:rsidP="00247CBF">
            <w:pPr>
              <w:spacing w:after="0"/>
              <w:jc w:val="center"/>
              <w:rPr>
                <w:rFonts w:eastAsia="Times New Roman" w:cs="Times New Roman"/>
                <w:color w:val="000000"/>
                <w:sz w:val="20"/>
                <w:szCs w:val="20"/>
                <w:lang w:val="sr-Cyrl-CS"/>
              </w:rPr>
            </w:pPr>
            <w:r w:rsidRPr="00092ED7">
              <w:rPr>
                <w:rFonts w:cs="Times New Roman"/>
                <w:sz w:val="20"/>
                <w:szCs w:val="20"/>
                <w:lang w:val="sr-Cyrl-CS"/>
              </w:rPr>
              <w:t>:</w:t>
            </w:r>
          </w:p>
        </w:tc>
        <w:tc>
          <w:tcPr>
            <w:tcW w:w="340" w:type="pct"/>
            <w:gridSpan w:val="2"/>
            <w:tcBorders>
              <w:top w:val="nil"/>
              <w:left w:val="nil"/>
              <w:bottom w:val="dotted" w:sz="4" w:space="0" w:color="auto"/>
              <w:right w:val="double" w:sz="6" w:space="0" w:color="auto"/>
            </w:tcBorders>
            <w:shd w:val="clear" w:color="auto" w:fill="auto"/>
            <w:vAlign w:val="bottom"/>
            <w:hideMark/>
          </w:tcPr>
          <w:p w14:paraId="0C0AFC81" w14:textId="77777777" w:rsidR="00247CBF" w:rsidRPr="00092ED7" w:rsidRDefault="00247CBF" w:rsidP="00247CBF">
            <w:pPr>
              <w:spacing w:after="0"/>
              <w:jc w:val="center"/>
              <w:rPr>
                <w:rFonts w:eastAsia="Times New Roman" w:cs="Times New Roman"/>
                <w:color w:val="000000"/>
                <w:sz w:val="23"/>
                <w:szCs w:val="23"/>
                <w:lang w:val="sr-Cyrl-CS"/>
              </w:rPr>
            </w:pPr>
            <w:r w:rsidRPr="00092ED7">
              <w:rPr>
                <w:rFonts w:cs="Times New Roman"/>
                <w:sz w:val="20"/>
                <w:szCs w:val="20"/>
                <w:lang w:val="sr-Cyrl-CS"/>
              </w:rPr>
              <w:t>:</w:t>
            </w:r>
          </w:p>
        </w:tc>
        <w:tc>
          <w:tcPr>
            <w:tcW w:w="97" w:type="pct"/>
            <w:tcBorders>
              <w:top w:val="nil"/>
              <w:left w:val="nil"/>
              <w:bottom w:val="nil"/>
              <w:right w:val="nil"/>
            </w:tcBorders>
            <w:shd w:val="clear" w:color="auto" w:fill="auto"/>
            <w:noWrap/>
            <w:vAlign w:val="center"/>
            <w:hideMark/>
          </w:tcPr>
          <w:p w14:paraId="1C85A068" w14:textId="77777777" w:rsidR="00247CBF" w:rsidRPr="00092ED7" w:rsidRDefault="00247CBF" w:rsidP="00247CBF">
            <w:pPr>
              <w:spacing w:after="0"/>
              <w:rPr>
                <w:rFonts w:eastAsia="Times New Roman" w:cs="Times New Roman"/>
                <w:b/>
                <w:bCs/>
                <w:szCs w:val="24"/>
                <w:lang w:val="sr-Cyrl-CS"/>
              </w:rPr>
            </w:pPr>
            <w:r w:rsidRPr="00092ED7">
              <w:rPr>
                <w:rFonts w:eastAsia="Times New Roman" w:cs="Times New Roman"/>
                <w:b/>
                <w:bCs/>
                <w:szCs w:val="24"/>
                <w:lang w:val="sr-Cyrl-CS"/>
              </w:rPr>
              <w:t> </w:t>
            </w:r>
          </w:p>
        </w:tc>
      </w:tr>
      <w:tr w:rsidR="00247CBF" w:rsidRPr="00092ED7" w14:paraId="472EB183" w14:textId="77777777" w:rsidTr="00247CBF">
        <w:trPr>
          <w:trHeight w:val="283"/>
        </w:trPr>
        <w:tc>
          <w:tcPr>
            <w:tcW w:w="2319" w:type="pct"/>
            <w:tcBorders>
              <w:top w:val="nil"/>
              <w:left w:val="double" w:sz="6" w:space="0" w:color="auto"/>
              <w:bottom w:val="double" w:sz="6" w:space="0" w:color="auto"/>
              <w:right w:val="nil"/>
            </w:tcBorders>
            <w:shd w:val="clear" w:color="auto" w:fill="auto"/>
            <w:vAlign w:val="center"/>
            <w:hideMark/>
          </w:tcPr>
          <w:p w14:paraId="136BD895" w14:textId="77777777" w:rsidR="00247CBF" w:rsidRPr="00092ED7" w:rsidRDefault="00247CBF" w:rsidP="00247CBF">
            <w:pPr>
              <w:spacing w:after="0"/>
              <w:jc w:val="left"/>
              <w:rPr>
                <w:rFonts w:eastAsia="Times New Roman" w:cs="Times New Roman"/>
                <w:sz w:val="20"/>
                <w:szCs w:val="20"/>
                <w:lang w:val="sr-Cyrl-CS"/>
              </w:rPr>
            </w:pPr>
            <w:r w:rsidRPr="00092ED7">
              <w:rPr>
                <w:rFonts w:eastAsia="Times New Roman" w:cs="Times New Roman"/>
                <w:sz w:val="20"/>
                <w:szCs w:val="20"/>
                <w:lang w:val="sr-Cyrl-CS"/>
              </w:rPr>
              <w:t>Цене нафте (Брент, УСД/барел)</w:t>
            </w:r>
          </w:p>
        </w:tc>
        <w:tc>
          <w:tcPr>
            <w:tcW w:w="892" w:type="pct"/>
            <w:gridSpan w:val="2"/>
            <w:tcBorders>
              <w:top w:val="dotted" w:sz="4" w:space="0" w:color="auto"/>
              <w:left w:val="single" w:sz="4" w:space="0" w:color="auto"/>
              <w:bottom w:val="double" w:sz="6" w:space="0" w:color="auto"/>
              <w:right w:val="single" w:sz="8" w:space="0" w:color="000000"/>
            </w:tcBorders>
            <w:shd w:val="clear" w:color="auto" w:fill="auto"/>
            <w:vAlign w:val="center"/>
            <w:hideMark/>
          </w:tcPr>
          <w:p w14:paraId="2B6089F2" w14:textId="77777777" w:rsidR="00247CBF" w:rsidRPr="00092ED7" w:rsidRDefault="00247CBF" w:rsidP="00247CBF">
            <w:pPr>
              <w:spacing w:after="0"/>
              <w:jc w:val="center"/>
              <w:rPr>
                <w:rFonts w:eastAsia="Times New Roman" w:cs="Times New Roman"/>
                <w:sz w:val="18"/>
                <w:szCs w:val="18"/>
                <w:lang w:val="sr-Cyrl-CS"/>
              </w:rPr>
            </w:pPr>
            <w:r w:rsidRPr="00092ED7">
              <w:rPr>
                <w:rFonts w:eastAsia="Times New Roman" w:cs="Times New Roman"/>
                <w:sz w:val="18"/>
                <w:szCs w:val="18"/>
                <w:lang w:val="sr-Cyrl-CS"/>
              </w:rPr>
              <w:t>Год. просек</w:t>
            </w:r>
          </w:p>
        </w:tc>
        <w:tc>
          <w:tcPr>
            <w:tcW w:w="338" w:type="pct"/>
            <w:tcBorders>
              <w:top w:val="nil"/>
              <w:left w:val="nil"/>
              <w:bottom w:val="double" w:sz="6" w:space="0" w:color="auto"/>
              <w:right w:val="dotted" w:sz="4" w:space="0" w:color="auto"/>
            </w:tcBorders>
            <w:shd w:val="clear" w:color="auto" w:fill="auto"/>
            <w:vAlign w:val="bottom"/>
            <w:hideMark/>
          </w:tcPr>
          <w:p w14:paraId="3198DD22" w14:textId="77777777" w:rsidR="00247CBF" w:rsidRPr="00092ED7" w:rsidRDefault="00247CBF" w:rsidP="00247CBF">
            <w:pPr>
              <w:spacing w:after="0"/>
              <w:jc w:val="center"/>
              <w:rPr>
                <w:rFonts w:eastAsia="Times New Roman" w:cs="Times New Roman"/>
                <w:color w:val="000000"/>
                <w:sz w:val="20"/>
                <w:szCs w:val="20"/>
                <w:lang w:val="sr-Cyrl-CS"/>
              </w:rPr>
            </w:pPr>
            <w:r w:rsidRPr="00092ED7">
              <w:rPr>
                <w:rFonts w:cs="Times New Roman"/>
                <w:sz w:val="20"/>
                <w:szCs w:val="20"/>
                <w:lang w:val="sr-Cyrl-CS"/>
              </w:rPr>
              <w:t>:</w:t>
            </w:r>
          </w:p>
        </w:tc>
        <w:tc>
          <w:tcPr>
            <w:tcW w:w="338" w:type="pct"/>
            <w:gridSpan w:val="2"/>
            <w:tcBorders>
              <w:top w:val="nil"/>
              <w:left w:val="nil"/>
              <w:bottom w:val="double" w:sz="6" w:space="0" w:color="auto"/>
              <w:right w:val="dotted" w:sz="4" w:space="0" w:color="auto"/>
            </w:tcBorders>
            <w:shd w:val="clear" w:color="auto" w:fill="auto"/>
            <w:vAlign w:val="bottom"/>
            <w:hideMark/>
          </w:tcPr>
          <w:p w14:paraId="5068417C" w14:textId="77777777" w:rsidR="00247CBF" w:rsidRPr="00092ED7" w:rsidRDefault="00247CBF" w:rsidP="00247CBF">
            <w:pPr>
              <w:spacing w:after="0"/>
              <w:jc w:val="center"/>
              <w:rPr>
                <w:rFonts w:eastAsia="Times New Roman" w:cs="Times New Roman"/>
                <w:color w:val="000000"/>
                <w:sz w:val="20"/>
                <w:szCs w:val="20"/>
                <w:lang w:val="sr-Cyrl-CS"/>
              </w:rPr>
            </w:pPr>
            <w:r w:rsidRPr="00092ED7">
              <w:rPr>
                <w:rFonts w:cs="Times New Roman"/>
                <w:sz w:val="20"/>
                <w:szCs w:val="20"/>
                <w:lang w:val="sr-Cyrl-CS"/>
              </w:rPr>
              <w:t>:</w:t>
            </w:r>
          </w:p>
        </w:tc>
        <w:tc>
          <w:tcPr>
            <w:tcW w:w="338" w:type="pct"/>
            <w:gridSpan w:val="2"/>
            <w:tcBorders>
              <w:top w:val="nil"/>
              <w:left w:val="nil"/>
              <w:bottom w:val="double" w:sz="6" w:space="0" w:color="auto"/>
              <w:right w:val="dotted" w:sz="4" w:space="0" w:color="auto"/>
            </w:tcBorders>
            <w:shd w:val="clear" w:color="auto" w:fill="auto"/>
            <w:vAlign w:val="bottom"/>
            <w:hideMark/>
          </w:tcPr>
          <w:p w14:paraId="4AA50D9C" w14:textId="77777777" w:rsidR="00247CBF" w:rsidRPr="00092ED7" w:rsidRDefault="00247CBF" w:rsidP="00247CBF">
            <w:pPr>
              <w:spacing w:after="0"/>
              <w:jc w:val="center"/>
              <w:rPr>
                <w:rFonts w:eastAsia="Times New Roman" w:cs="Times New Roman"/>
                <w:color w:val="000000"/>
                <w:sz w:val="20"/>
                <w:szCs w:val="20"/>
                <w:lang w:val="sr-Cyrl-CS"/>
              </w:rPr>
            </w:pPr>
            <w:r w:rsidRPr="00092ED7">
              <w:rPr>
                <w:rFonts w:cs="Times New Roman"/>
                <w:sz w:val="20"/>
                <w:szCs w:val="20"/>
                <w:lang w:val="sr-Cyrl-CS"/>
              </w:rPr>
              <w:t>:</w:t>
            </w:r>
          </w:p>
        </w:tc>
        <w:tc>
          <w:tcPr>
            <w:tcW w:w="338" w:type="pct"/>
            <w:gridSpan w:val="2"/>
            <w:tcBorders>
              <w:top w:val="nil"/>
              <w:left w:val="nil"/>
              <w:bottom w:val="double" w:sz="6" w:space="0" w:color="auto"/>
              <w:right w:val="dotted" w:sz="4" w:space="0" w:color="auto"/>
            </w:tcBorders>
            <w:shd w:val="clear" w:color="auto" w:fill="auto"/>
            <w:vAlign w:val="bottom"/>
            <w:hideMark/>
          </w:tcPr>
          <w:p w14:paraId="3907F22A" w14:textId="77777777" w:rsidR="00247CBF" w:rsidRPr="00092ED7" w:rsidRDefault="00247CBF" w:rsidP="00247CBF">
            <w:pPr>
              <w:spacing w:after="0"/>
              <w:jc w:val="center"/>
              <w:rPr>
                <w:rFonts w:eastAsia="Times New Roman" w:cs="Times New Roman"/>
                <w:color w:val="000000"/>
                <w:sz w:val="20"/>
                <w:szCs w:val="20"/>
                <w:lang w:val="sr-Cyrl-CS"/>
              </w:rPr>
            </w:pPr>
            <w:r w:rsidRPr="00092ED7">
              <w:rPr>
                <w:rFonts w:cs="Times New Roman"/>
                <w:sz w:val="20"/>
                <w:szCs w:val="20"/>
                <w:lang w:val="sr-Cyrl-CS"/>
              </w:rPr>
              <w:t>:</w:t>
            </w:r>
          </w:p>
        </w:tc>
        <w:tc>
          <w:tcPr>
            <w:tcW w:w="340" w:type="pct"/>
            <w:gridSpan w:val="2"/>
            <w:tcBorders>
              <w:top w:val="nil"/>
              <w:left w:val="nil"/>
              <w:bottom w:val="double" w:sz="6" w:space="0" w:color="auto"/>
              <w:right w:val="double" w:sz="6" w:space="0" w:color="auto"/>
            </w:tcBorders>
            <w:shd w:val="clear" w:color="auto" w:fill="auto"/>
            <w:vAlign w:val="bottom"/>
            <w:hideMark/>
          </w:tcPr>
          <w:p w14:paraId="00E1FC98" w14:textId="77777777" w:rsidR="00247CBF" w:rsidRPr="00092ED7" w:rsidRDefault="00247CBF" w:rsidP="00247CBF">
            <w:pPr>
              <w:spacing w:after="0"/>
              <w:jc w:val="center"/>
              <w:rPr>
                <w:rFonts w:eastAsia="Times New Roman" w:cs="Times New Roman"/>
                <w:color w:val="000000"/>
                <w:sz w:val="23"/>
                <w:szCs w:val="23"/>
                <w:lang w:val="sr-Cyrl-CS"/>
              </w:rPr>
            </w:pPr>
            <w:r w:rsidRPr="00092ED7">
              <w:rPr>
                <w:rFonts w:cs="Times New Roman"/>
                <w:sz w:val="20"/>
                <w:szCs w:val="20"/>
                <w:lang w:val="sr-Cyrl-CS"/>
              </w:rPr>
              <w:t>:</w:t>
            </w:r>
          </w:p>
        </w:tc>
        <w:tc>
          <w:tcPr>
            <w:tcW w:w="97" w:type="pct"/>
            <w:tcBorders>
              <w:top w:val="nil"/>
              <w:left w:val="nil"/>
              <w:bottom w:val="nil"/>
              <w:right w:val="nil"/>
            </w:tcBorders>
            <w:shd w:val="clear" w:color="auto" w:fill="auto"/>
            <w:noWrap/>
            <w:vAlign w:val="center"/>
            <w:hideMark/>
          </w:tcPr>
          <w:p w14:paraId="78A403B2" w14:textId="77777777" w:rsidR="00247CBF" w:rsidRPr="00092ED7" w:rsidRDefault="00247CBF" w:rsidP="00247CBF">
            <w:pPr>
              <w:spacing w:after="0"/>
              <w:rPr>
                <w:rFonts w:eastAsia="Times New Roman" w:cs="Times New Roman"/>
                <w:b/>
                <w:bCs/>
                <w:szCs w:val="24"/>
                <w:lang w:val="sr-Cyrl-CS"/>
              </w:rPr>
            </w:pPr>
            <w:r w:rsidRPr="00092ED7">
              <w:rPr>
                <w:rFonts w:eastAsia="Times New Roman" w:cs="Times New Roman"/>
                <w:b/>
                <w:bCs/>
                <w:szCs w:val="24"/>
                <w:lang w:val="sr-Cyrl-CS"/>
              </w:rPr>
              <w:t> </w:t>
            </w:r>
          </w:p>
        </w:tc>
      </w:tr>
      <w:tr w:rsidR="00247CBF" w:rsidRPr="00092ED7" w14:paraId="054304F9" w14:textId="77777777" w:rsidTr="00247CBF">
        <w:trPr>
          <w:trHeight w:val="315"/>
        </w:trPr>
        <w:tc>
          <w:tcPr>
            <w:tcW w:w="2319" w:type="pct"/>
            <w:tcBorders>
              <w:top w:val="nil"/>
              <w:left w:val="nil"/>
              <w:bottom w:val="nil"/>
              <w:right w:val="nil"/>
            </w:tcBorders>
            <w:shd w:val="clear" w:color="auto" w:fill="auto"/>
            <w:noWrap/>
            <w:vAlign w:val="center"/>
            <w:hideMark/>
          </w:tcPr>
          <w:p w14:paraId="655CB88B"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[1] Уколико је потребно, само техничка претпоставка.</w:t>
            </w:r>
          </w:p>
        </w:tc>
        <w:tc>
          <w:tcPr>
            <w:tcW w:w="551" w:type="pct"/>
            <w:tcBorders>
              <w:top w:val="nil"/>
              <w:left w:val="nil"/>
              <w:bottom w:val="nil"/>
              <w:right w:val="nil"/>
            </w:tcBorders>
            <w:shd w:val="clear" w:color="auto" w:fill="auto"/>
            <w:noWrap/>
            <w:vAlign w:val="bottom"/>
            <w:hideMark/>
          </w:tcPr>
          <w:p w14:paraId="3120910D"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341" w:type="pct"/>
            <w:tcBorders>
              <w:top w:val="nil"/>
              <w:left w:val="nil"/>
              <w:bottom w:val="nil"/>
              <w:right w:val="nil"/>
            </w:tcBorders>
            <w:shd w:val="clear" w:color="auto" w:fill="auto"/>
            <w:noWrap/>
            <w:vAlign w:val="bottom"/>
            <w:hideMark/>
          </w:tcPr>
          <w:p w14:paraId="4969706C"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341" w:type="pct"/>
            <w:gridSpan w:val="2"/>
            <w:tcBorders>
              <w:top w:val="nil"/>
              <w:left w:val="nil"/>
              <w:bottom w:val="nil"/>
              <w:right w:val="nil"/>
            </w:tcBorders>
            <w:shd w:val="clear" w:color="auto" w:fill="auto"/>
            <w:noWrap/>
            <w:vAlign w:val="bottom"/>
            <w:hideMark/>
          </w:tcPr>
          <w:p w14:paraId="6D0AAAC2"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349" w:type="pct"/>
            <w:gridSpan w:val="2"/>
            <w:tcBorders>
              <w:top w:val="nil"/>
              <w:left w:val="nil"/>
              <w:bottom w:val="nil"/>
              <w:right w:val="nil"/>
            </w:tcBorders>
            <w:shd w:val="clear" w:color="auto" w:fill="auto"/>
            <w:noWrap/>
            <w:vAlign w:val="bottom"/>
            <w:hideMark/>
          </w:tcPr>
          <w:p w14:paraId="4D45D846"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335" w:type="pct"/>
            <w:gridSpan w:val="2"/>
            <w:tcBorders>
              <w:top w:val="nil"/>
              <w:left w:val="nil"/>
              <w:bottom w:val="nil"/>
              <w:right w:val="nil"/>
            </w:tcBorders>
            <w:shd w:val="clear" w:color="auto" w:fill="auto"/>
            <w:noWrap/>
            <w:vAlign w:val="bottom"/>
            <w:hideMark/>
          </w:tcPr>
          <w:p w14:paraId="0B86E2C1"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333" w:type="pct"/>
            <w:gridSpan w:val="2"/>
            <w:tcBorders>
              <w:top w:val="nil"/>
              <w:left w:val="nil"/>
              <w:bottom w:val="nil"/>
              <w:right w:val="nil"/>
            </w:tcBorders>
            <w:shd w:val="clear" w:color="auto" w:fill="auto"/>
            <w:noWrap/>
            <w:vAlign w:val="bottom"/>
            <w:hideMark/>
          </w:tcPr>
          <w:p w14:paraId="50B5BA1D"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334" w:type="pct"/>
            <w:tcBorders>
              <w:top w:val="nil"/>
              <w:left w:val="nil"/>
              <w:bottom w:val="nil"/>
              <w:right w:val="nil"/>
            </w:tcBorders>
            <w:shd w:val="clear" w:color="auto" w:fill="auto"/>
            <w:noWrap/>
            <w:vAlign w:val="bottom"/>
            <w:hideMark/>
          </w:tcPr>
          <w:p w14:paraId="66B1C69F" w14:textId="77777777" w:rsidR="00247CBF" w:rsidRPr="00092ED7" w:rsidRDefault="00247CBF" w:rsidP="00247CBF">
            <w:pPr>
              <w:spacing w:after="0"/>
              <w:rPr>
                <w:rFonts w:eastAsia="Times New Roman" w:cs="Times New Roman"/>
                <w:sz w:val="20"/>
                <w:szCs w:val="20"/>
                <w:lang w:val="sr-Cyrl-CS"/>
              </w:rPr>
            </w:pPr>
            <w:r w:rsidRPr="00092ED7">
              <w:rPr>
                <w:rFonts w:eastAsia="Times New Roman" w:cs="Times New Roman"/>
                <w:sz w:val="20"/>
                <w:szCs w:val="20"/>
                <w:lang w:val="sr-Cyrl-CS"/>
              </w:rPr>
              <w:t> </w:t>
            </w:r>
          </w:p>
        </w:tc>
        <w:tc>
          <w:tcPr>
            <w:tcW w:w="97" w:type="pct"/>
            <w:tcBorders>
              <w:top w:val="nil"/>
              <w:left w:val="nil"/>
              <w:bottom w:val="nil"/>
              <w:right w:val="nil"/>
            </w:tcBorders>
            <w:shd w:val="clear" w:color="auto" w:fill="auto"/>
            <w:noWrap/>
            <w:vAlign w:val="center"/>
            <w:hideMark/>
          </w:tcPr>
          <w:p w14:paraId="4D1DA4AB" w14:textId="77777777" w:rsidR="00247CBF" w:rsidRPr="00092ED7" w:rsidRDefault="00247CBF" w:rsidP="00247CBF">
            <w:pPr>
              <w:spacing w:after="0"/>
              <w:rPr>
                <w:rFonts w:eastAsia="Times New Roman" w:cs="Times New Roman"/>
                <w:b/>
                <w:bCs/>
                <w:sz w:val="20"/>
                <w:szCs w:val="20"/>
                <w:lang w:val="sr-Cyrl-CS"/>
              </w:rPr>
            </w:pPr>
            <w:r w:rsidRPr="00092ED7">
              <w:rPr>
                <w:rFonts w:eastAsia="Times New Roman" w:cs="Times New Roman"/>
                <w:b/>
                <w:bCs/>
                <w:sz w:val="20"/>
                <w:szCs w:val="20"/>
                <w:lang w:val="sr-Cyrl-CS"/>
              </w:rPr>
              <w:t> </w:t>
            </w:r>
          </w:p>
        </w:tc>
      </w:tr>
    </w:tbl>
    <w:p w14:paraId="7722778E" w14:textId="77777777" w:rsidR="00247CBF" w:rsidRPr="00092ED7" w:rsidRDefault="00247CBF" w:rsidP="00247CBF">
      <w:pPr>
        <w:spacing w:after="160" w:line="259" w:lineRule="auto"/>
        <w:rPr>
          <w:rFonts w:cs="Times New Roman"/>
          <w:b/>
          <w:lang w:val="sr-Cyrl-CS"/>
        </w:rPr>
        <w:sectPr w:rsidR="00247CBF" w:rsidRPr="00092ED7" w:rsidSect="00247CBF">
          <w:footerReference w:type="default" r:id="rId58"/>
          <w:pgSz w:w="16838" w:h="11906" w:orient="landscape" w:code="9"/>
          <w:pgMar w:top="1134" w:right="1134" w:bottom="1134" w:left="1134" w:header="720" w:footer="720" w:gutter="0"/>
          <w:cols w:space="720"/>
          <w:titlePg/>
          <w:docGrid w:linePitch="360"/>
        </w:sectPr>
      </w:pPr>
      <w:r w:rsidRPr="00092ED7">
        <w:rPr>
          <w:rFonts w:cs="Times New Roman"/>
          <w:b/>
          <w:lang w:val="sr-Cyrl-CS"/>
        </w:rPr>
        <w:br w:type="page"/>
      </w:r>
    </w:p>
    <w:p w14:paraId="00517E26" w14:textId="77777777" w:rsidR="00B11AE5" w:rsidRPr="00092ED7" w:rsidRDefault="00EA4E6A" w:rsidP="00EA4E6A">
      <w:pPr>
        <w:pStyle w:val="Heading3"/>
        <w:spacing w:before="0" w:after="120"/>
        <w:rPr>
          <w:rFonts w:cs="Times New Roman"/>
          <w:b/>
          <w:lang w:val="sr-Cyrl-CS"/>
        </w:rPr>
      </w:pPr>
      <w:bookmarkStart w:id="121" w:name="_Toc124174837"/>
      <w:r w:rsidRPr="00092ED7">
        <w:rPr>
          <w:rFonts w:ascii="Times New Roman" w:hAnsi="Times New Roman" w:cs="Times New Roman"/>
          <w:b/>
          <w:lang w:val="sr-Cyrl-CS"/>
        </w:rPr>
        <w:lastRenderedPageBreak/>
        <w:t>Табела 9 а: Социјални индикатори</w:t>
      </w:r>
      <w:bookmarkEnd w:id="121"/>
    </w:p>
    <w:tbl>
      <w:tblPr>
        <w:tblW w:w="9493" w:type="dxa"/>
        <w:tblLook w:val="04A0" w:firstRow="1" w:lastRow="0" w:firstColumn="1" w:lastColumn="0" w:noHBand="0" w:noVBand="1"/>
      </w:tblPr>
      <w:tblGrid>
        <w:gridCol w:w="4670"/>
        <w:gridCol w:w="1261"/>
        <w:gridCol w:w="727"/>
        <w:gridCol w:w="708"/>
        <w:gridCol w:w="709"/>
        <w:gridCol w:w="709"/>
        <w:gridCol w:w="709"/>
      </w:tblGrid>
      <w:tr w:rsidR="00EA4E6A" w:rsidRPr="00092ED7" w14:paraId="0DBD495E" w14:textId="77777777" w:rsidTr="00053B2B">
        <w:trPr>
          <w:trHeight w:val="630"/>
        </w:trPr>
        <w:tc>
          <w:tcPr>
            <w:tcW w:w="467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611926" w14:textId="77777777" w:rsidR="00EA4E6A" w:rsidRPr="00092ED7" w:rsidRDefault="00EA4E6A" w:rsidP="00EA4E6A">
            <w:pPr>
              <w:spacing w:after="0"/>
              <w:jc w:val="left"/>
              <w:rPr>
                <w:rFonts w:eastAsia="Times New Roman" w:cs="Times New Roman"/>
                <w:i/>
                <w:iCs/>
                <w:color w:val="000000"/>
                <w:sz w:val="20"/>
                <w:szCs w:val="20"/>
                <w:lang w:val="sr-Cyrl-CS" w:eastAsia="sr-Latn-RS"/>
              </w:rPr>
            </w:pPr>
            <w:r w:rsidRPr="00092ED7">
              <w:rPr>
                <w:rFonts w:eastAsia="Times New Roman" w:cs="Times New Roman"/>
                <w:i/>
                <w:iCs/>
                <w:color w:val="000000"/>
                <w:sz w:val="20"/>
                <w:szCs w:val="20"/>
                <w:lang w:val="sr-Cyrl-CS" w:eastAsia="sr-Latn-RS"/>
              </w:rPr>
              <w:t> </w:t>
            </w:r>
            <w:r w:rsidRPr="00092ED7">
              <w:rPr>
                <w:rFonts w:eastAsia="Times New Roman" w:cs="Times New Roman"/>
                <w:color w:val="000000"/>
                <w:sz w:val="20"/>
                <w:szCs w:val="20"/>
                <w:lang w:val="sr-Cyrl-CS" w:eastAsia="sr-Latn-RS"/>
              </w:rPr>
              <w:t> </w:t>
            </w:r>
          </w:p>
        </w:tc>
        <w:tc>
          <w:tcPr>
            <w:tcW w:w="1258" w:type="dxa"/>
            <w:tcBorders>
              <w:top w:val="single" w:sz="4" w:space="0" w:color="auto"/>
              <w:left w:val="nil"/>
              <w:bottom w:val="single" w:sz="4" w:space="0" w:color="auto"/>
              <w:right w:val="single" w:sz="4" w:space="0" w:color="auto"/>
            </w:tcBorders>
            <w:shd w:val="clear" w:color="auto" w:fill="auto"/>
            <w:vAlign w:val="center"/>
            <w:hideMark/>
          </w:tcPr>
          <w:p w14:paraId="150E9A21" w14:textId="77777777" w:rsidR="00EA4E6A" w:rsidRPr="00092ED7" w:rsidRDefault="00EA4E6A" w:rsidP="00EA4E6A">
            <w:pPr>
              <w:spacing w:after="0"/>
              <w:ind w:firstLineChars="100" w:firstLine="20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Извор података</w:t>
            </w:r>
          </w:p>
        </w:tc>
        <w:tc>
          <w:tcPr>
            <w:tcW w:w="727" w:type="dxa"/>
            <w:tcBorders>
              <w:top w:val="single" w:sz="4" w:space="0" w:color="auto"/>
              <w:left w:val="nil"/>
              <w:bottom w:val="single" w:sz="4" w:space="0" w:color="auto"/>
              <w:right w:val="single" w:sz="4" w:space="0" w:color="auto"/>
            </w:tcBorders>
            <w:shd w:val="clear" w:color="auto" w:fill="auto"/>
            <w:vAlign w:val="center"/>
            <w:hideMark/>
          </w:tcPr>
          <w:p w14:paraId="6C3BA540" w14:textId="77777777" w:rsidR="00EA4E6A" w:rsidRPr="00092ED7" w:rsidRDefault="00EA4E6A" w:rsidP="00EA4E6A">
            <w:pPr>
              <w:spacing w:after="0"/>
              <w:jc w:val="center"/>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2018</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473F6A1B" w14:textId="77777777" w:rsidR="00EA4E6A" w:rsidRPr="00092ED7" w:rsidRDefault="00EA4E6A" w:rsidP="00EA4E6A">
            <w:pPr>
              <w:spacing w:after="0"/>
              <w:jc w:val="center"/>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2019</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66D67056" w14:textId="77777777" w:rsidR="00EA4E6A" w:rsidRPr="00092ED7" w:rsidRDefault="00EA4E6A" w:rsidP="00EA4E6A">
            <w:pPr>
              <w:spacing w:after="0"/>
              <w:jc w:val="center"/>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2020</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4BA08DF9" w14:textId="77777777" w:rsidR="00EA4E6A" w:rsidRPr="00092ED7" w:rsidRDefault="00EA4E6A" w:rsidP="00EA4E6A">
            <w:pPr>
              <w:spacing w:after="0"/>
              <w:jc w:val="center"/>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2021</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69737786" w14:textId="77777777" w:rsidR="00EA4E6A" w:rsidRPr="00092ED7" w:rsidRDefault="00EA4E6A" w:rsidP="00EA4E6A">
            <w:pPr>
              <w:spacing w:after="0"/>
              <w:jc w:val="center"/>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2022</w:t>
            </w:r>
          </w:p>
        </w:tc>
      </w:tr>
      <w:tr w:rsidR="00EA4E6A" w:rsidRPr="00092ED7" w14:paraId="30217084" w14:textId="77777777" w:rsidTr="00053B2B">
        <w:trPr>
          <w:trHeight w:val="276"/>
        </w:trPr>
        <w:tc>
          <w:tcPr>
            <w:tcW w:w="4673" w:type="dxa"/>
            <w:tcBorders>
              <w:top w:val="nil"/>
              <w:left w:val="single" w:sz="4" w:space="0" w:color="auto"/>
              <w:bottom w:val="single" w:sz="4" w:space="0" w:color="auto"/>
              <w:right w:val="single" w:sz="4" w:space="0" w:color="auto"/>
            </w:tcBorders>
            <w:shd w:val="clear" w:color="auto" w:fill="auto"/>
            <w:vAlign w:val="center"/>
            <w:hideMark/>
          </w:tcPr>
          <w:p w14:paraId="31B44E07" w14:textId="77777777" w:rsidR="00EA4E6A" w:rsidRPr="00092ED7" w:rsidRDefault="00EA4E6A" w:rsidP="008219D5">
            <w:pPr>
              <w:spacing w:after="0"/>
              <w:ind w:left="601"/>
              <w:jc w:val="left"/>
              <w:rPr>
                <w:rFonts w:eastAsia="Times New Roman" w:cs="Times New Roman"/>
                <w:b/>
                <w:i/>
                <w:iCs/>
                <w:color w:val="000000"/>
                <w:sz w:val="20"/>
                <w:szCs w:val="20"/>
                <w:lang w:val="sr-Cyrl-CS" w:eastAsia="sr-Latn-RS"/>
              </w:rPr>
            </w:pPr>
            <w:r w:rsidRPr="00092ED7">
              <w:rPr>
                <w:rFonts w:eastAsia="Times New Roman" w:cs="Times New Roman"/>
                <w:b/>
                <w:i/>
                <w:iCs/>
                <w:color w:val="000000"/>
                <w:sz w:val="20"/>
                <w:szCs w:val="20"/>
                <w:lang w:val="sr-Cyrl-CS" w:eastAsia="sr-Latn-RS"/>
              </w:rPr>
              <w:t>Једнаке шансе</w:t>
            </w:r>
          </w:p>
        </w:tc>
        <w:tc>
          <w:tcPr>
            <w:tcW w:w="1258" w:type="dxa"/>
            <w:tcBorders>
              <w:top w:val="nil"/>
              <w:left w:val="nil"/>
              <w:bottom w:val="single" w:sz="4" w:space="0" w:color="auto"/>
              <w:right w:val="single" w:sz="4" w:space="0" w:color="auto"/>
            </w:tcBorders>
            <w:shd w:val="clear" w:color="auto" w:fill="auto"/>
            <w:vAlign w:val="center"/>
            <w:hideMark/>
          </w:tcPr>
          <w:p w14:paraId="6D2222D4" w14:textId="77777777" w:rsidR="00EA4E6A" w:rsidRPr="00092ED7" w:rsidRDefault="00EA4E6A" w:rsidP="00EA4E6A">
            <w:pPr>
              <w:spacing w:after="0"/>
              <w:jc w:val="left"/>
              <w:rPr>
                <w:rFonts w:eastAsia="Times New Roman" w:cs="Times New Roman"/>
                <w:i/>
                <w:iCs/>
                <w:color w:val="000000"/>
                <w:sz w:val="20"/>
                <w:szCs w:val="20"/>
                <w:lang w:val="sr-Cyrl-CS" w:eastAsia="sr-Latn-RS"/>
              </w:rPr>
            </w:pPr>
            <w:r w:rsidRPr="00092ED7">
              <w:rPr>
                <w:rFonts w:eastAsia="Times New Roman" w:cs="Times New Roman"/>
                <w:i/>
                <w:iCs/>
                <w:color w:val="000000"/>
                <w:sz w:val="20"/>
                <w:szCs w:val="20"/>
                <w:lang w:val="sr-Cyrl-CS" w:eastAsia="sr-Latn-RS"/>
              </w:rPr>
              <w:t> </w:t>
            </w:r>
          </w:p>
        </w:tc>
        <w:tc>
          <w:tcPr>
            <w:tcW w:w="727" w:type="dxa"/>
            <w:tcBorders>
              <w:top w:val="nil"/>
              <w:left w:val="nil"/>
              <w:bottom w:val="single" w:sz="4" w:space="0" w:color="auto"/>
              <w:right w:val="single" w:sz="4" w:space="0" w:color="auto"/>
            </w:tcBorders>
            <w:shd w:val="clear" w:color="auto" w:fill="auto"/>
            <w:vAlign w:val="center"/>
            <w:hideMark/>
          </w:tcPr>
          <w:p w14:paraId="519F195F" w14:textId="77777777" w:rsidR="00EA4E6A" w:rsidRPr="00092ED7" w:rsidRDefault="00EA4E6A" w:rsidP="00EA4E6A">
            <w:pPr>
              <w:spacing w:after="0"/>
              <w:jc w:val="left"/>
              <w:rPr>
                <w:rFonts w:eastAsia="Times New Roman" w:cs="Times New Roman"/>
                <w:i/>
                <w:iCs/>
                <w:color w:val="000000"/>
                <w:sz w:val="20"/>
                <w:szCs w:val="20"/>
                <w:lang w:val="sr-Cyrl-CS" w:eastAsia="sr-Latn-RS"/>
              </w:rPr>
            </w:pPr>
            <w:r w:rsidRPr="00092ED7">
              <w:rPr>
                <w:rFonts w:eastAsia="Times New Roman" w:cs="Times New Roman"/>
                <w:i/>
                <w:iCs/>
                <w:color w:val="000000"/>
                <w:sz w:val="20"/>
                <w:szCs w:val="20"/>
                <w:lang w:val="sr-Cyrl-CS" w:eastAsia="sr-Latn-RS"/>
              </w:rPr>
              <w:t> </w:t>
            </w:r>
          </w:p>
        </w:tc>
        <w:tc>
          <w:tcPr>
            <w:tcW w:w="708" w:type="dxa"/>
            <w:tcBorders>
              <w:top w:val="nil"/>
              <w:left w:val="nil"/>
              <w:bottom w:val="single" w:sz="4" w:space="0" w:color="auto"/>
              <w:right w:val="single" w:sz="4" w:space="0" w:color="auto"/>
            </w:tcBorders>
            <w:shd w:val="clear" w:color="auto" w:fill="auto"/>
            <w:vAlign w:val="center"/>
            <w:hideMark/>
          </w:tcPr>
          <w:p w14:paraId="5F9D432D" w14:textId="77777777" w:rsidR="00EA4E6A" w:rsidRPr="00092ED7" w:rsidRDefault="00EA4E6A" w:rsidP="00EA4E6A">
            <w:pPr>
              <w:spacing w:after="0"/>
              <w:jc w:val="left"/>
              <w:rPr>
                <w:rFonts w:eastAsia="Times New Roman" w:cs="Times New Roman"/>
                <w:i/>
                <w:iCs/>
                <w:color w:val="000000"/>
                <w:sz w:val="20"/>
                <w:szCs w:val="20"/>
                <w:lang w:val="sr-Cyrl-CS" w:eastAsia="sr-Latn-RS"/>
              </w:rPr>
            </w:pPr>
            <w:r w:rsidRPr="00092ED7">
              <w:rPr>
                <w:rFonts w:eastAsia="Times New Roman" w:cs="Times New Roman"/>
                <w:i/>
                <w:iCs/>
                <w:color w:val="000000"/>
                <w:sz w:val="20"/>
                <w:szCs w:val="20"/>
                <w:lang w:val="sr-Cyrl-CS" w:eastAsia="sr-Latn-RS"/>
              </w:rPr>
              <w:t> </w:t>
            </w:r>
          </w:p>
        </w:tc>
        <w:tc>
          <w:tcPr>
            <w:tcW w:w="709" w:type="dxa"/>
            <w:tcBorders>
              <w:top w:val="nil"/>
              <w:left w:val="nil"/>
              <w:bottom w:val="single" w:sz="4" w:space="0" w:color="auto"/>
              <w:right w:val="single" w:sz="4" w:space="0" w:color="auto"/>
            </w:tcBorders>
            <w:shd w:val="clear" w:color="auto" w:fill="auto"/>
            <w:vAlign w:val="center"/>
            <w:hideMark/>
          </w:tcPr>
          <w:p w14:paraId="2F27043E" w14:textId="77777777" w:rsidR="00EA4E6A" w:rsidRPr="00092ED7" w:rsidRDefault="00EA4E6A" w:rsidP="00EA4E6A">
            <w:pPr>
              <w:spacing w:after="0"/>
              <w:jc w:val="left"/>
              <w:rPr>
                <w:rFonts w:eastAsia="Times New Roman" w:cs="Times New Roman"/>
                <w:i/>
                <w:iCs/>
                <w:color w:val="000000"/>
                <w:sz w:val="20"/>
                <w:szCs w:val="20"/>
                <w:lang w:val="sr-Cyrl-CS" w:eastAsia="sr-Latn-RS"/>
              </w:rPr>
            </w:pPr>
            <w:r w:rsidRPr="00092ED7">
              <w:rPr>
                <w:rFonts w:eastAsia="Times New Roman" w:cs="Times New Roman"/>
                <w:i/>
                <w:iCs/>
                <w:color w:val="000000"/>
                <w:sz w:val="20"/>
                <w:szCs w:val="20"/>
                <w:lang w:val="sr-Cyrl-CS" w:eastAsia="sr-Latn-RS"/>
              </w:rPr>
              <w:t> </w:t>
            </w:r>
          </w:p>
        </w:tc>
        <w:tc>
          <w:tcPr>
            <w:tcW w:w="709" w:type="dxa"/>
            <w:tcBorders>
              <w:top w:val="nil"/>
              <w:left w:val="nil"/>
              <w:bottom w:val="single" w:sz="4" w:space="0" w:color="auto"/>
              <w:right w:val="single" w:sz="4" w:space="0" w:color="auto"/>
            </w:tcBorders>
            <w:shd w:val="clear" w:color="auto" w:fill="auto"/>
            <w:vAlign w:val="center"/>
            <w:hideMark/>
          </w:tcPr>
          <w:p w14:paraId="06DA91C6" w14:textId="77777777" w:rsidR="00EA4E6A" w:rsidRPr="00092ED7" w:rsidRDefault="00EA4E6A" w:rsidP="00EA4E6A">
            <w:pPr>
              <w:spacing w:after="0"/>
              <w:jc w:val="left"/>
              <w:rPr>
                <w:rFonts w:eastAsia="Times New Roman" w:cs="Times New Roman"/>
                <w:i/>
                <w:iCs/>
                <w:color w:val="000000"/>
                <w:sz w:val="20"/>
                <w:szCs w:val="20"/>
                <w:lang w:val="sr-Cyrl-CS" w:eastAsia="sr-Latn-RS"/>
              </w:rPr>
            </w:pPr>
            <w:r w:rsidRPr="00092ED7">
              <w:rPr>
                <w:rFonts w:eastAsia="Times New Roman" w:cs="Times New Roman"/>
                <w:i/>
                <w:iCs/>
                <w:color w:val="000000"/>
                <w:sz w:val="20"/>
                <w:szCs w:val="20"/>
                <w:lang w:val="sr-Cyrl-CS" w:eastAsia="sr-Latn-RS"/>
              </w:rPr>
              <w:t> </w:t>
            </w:r>
          </w:p>
        </w:tc>
        <w:tc>
          <w:tcPr>
            <w:tcW w:w="709" w:type="dxa"/>
            <w:tcBorders>
              <w:top w:val="nil"/>
              <w:left w:val="nil"/>
              <w:bottom w:val="single" w:sz="4" w:space="0" w:color="auto"/>
              <w:right w:val="single" w:sz="4" w:space="0" w:color="auto"/>
            </w:tcBorders>
            <w:shd w:val="clear" w:color="auto" w:fill="auto"/>
            <w:vAlign w:val="center"/>
            <w:hideMark/>
          </w:tcPr>
          <w:p w14:paraId="0A1704D7" w14:textId="77777777" w:rsidR="00EA4E6A" w:rsidRPr="00092ED7" w:rsidRDefault="00EA4E6A" w:rsidP="00EA4E6A">
            <w:pPr>
              <w:spacing w:after="0"/>
              <w:jc w:val="left"/>
              <w:rPr>
                <w:rFonts w:eastAsia="Times New Roman" w:cs="Times New Roman"/>
                <w:i/>
                <w:iCs/>
                <w:color w:val="000000"/>
                <w:sz w:val="20"/>
                <w:szCs w:val="20"/>
                <w:lang w:val="sr-Cyrl-CS" w:eastAsia="sr-Latn-RS"/>
              </w:rPr>
            </w:pPr>
            <w:r w:rsidRPr="00092ED7">
              <w:rPr>
                <w:rFonts w:eastAsia="Times New Roman" w:cs="Times New Roman"/>
                <w:i/>
                <w:iCs/>
                <w:color w:val="000000"/>
                <w:sz w:val="20"/>
                <w:szCs w:val="20"/>
                <w:lang w:val="sr-Cyrl-CS" w:eastAsia="sr-Latn-RS"/>
              </w:rPr>
              <w:t> </w:t>
            </w:r>
          </w:p>
        </w:tc>
      </w:tr>
      <w:tr w:rsidR="00EA4E6A" w:rsidRPr="00092ED7" w14:paraId="237D7771" w14:textId="77777777" w:rsidTr="00053B2B">
        <w:trPr>
          <w:trHeight w:val="276"/>
        </w:trPr>
        <w:tc>
          <w:tcPr>
            <w:tcW w:w="4673" w:type="dxa"/>
            <w:tcBorders>
              <w:top w:val="nil"/>
              <w:left w:val="single" w:sz="4" w:space="0" w:color="auto"/>
              <w:bottom w:val="single" w:sz="4" w:space="0" w:color="auto"/>
              <w:right w:val="single" w:sz="4" w:space="0" w:color="auto"/>
            </w:tcBorders>
            <w:shd w:val="clear" w:color="auto" w:fill="auto"/>
            <w:vAlign w:val="center"/>
            <w:hideMark/>
          </w:tcPr>
          <w:p w14:paraId="0DE64B94" w14:textId="77777777" w:rsidR="00EA4E6A" w:rsidRPr="00092ED7" w:rsidRDefault="00EA4E6A" w:rsidP="00EA4E6A">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 xml:space="preserve">1. Учешће одраслих у учењу током последњих 12 месеци, </w:t>
            </w:r>
            <w:r w:rsidRPr="00092ED7">
              <w:rPr>
                <w:rFonts w:eastAsia="Times New Roman" w:cs="Times New Roman"/>
                <w:bCs/>
                <w:color w:val="000000"/>
                <w:sz w:val="20"/>
                <w:szCs w:val="20"/>
                <w:lang w:val="sr-Cyrl-CS" w:eastAsia="sr-Latn-RS"/>
              </w:rPr>
              <w:t>25-64 год.</w:t>
            </w:r>
          </w:p>
        </w:tc>
        <w:tc>
          <w:tcPr>
            <w:tcW w:w="1258" w:type="dxa"/>
            <w:tcBorders>
              <w:top w:val="nil"/>
              <w:left w:val="nil"/>
              <w:bottom w:val="single" w:sz="4" w:space="0" w:color="auto"/>
              <w:right w:val="single" w:sz="4" w:space="0" w:color="auto"/>
            </w:tcBorders>
            <w:shd w:val="clear" w:color="auto" w:fill="auto"/>
            <w:vAlign w:val="center"/>
            <w:hideMark/>
          </w:tcPr>
          <w:p w14:paraId="56EE1527" w14:textId="033ADBCF" w:rsidR="00EA4E6A" w:rsidRPr="00092ED7" w:rsidRDefault="002A4877" w:rsidP="00EA4E6A">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EUROSTAT</w:t>
            </w:r>
          </w:p>
        </w:tc>
        <w:tc>
          <w:tcPr>
            <w:tcW w:w="727" w:type="dxa"/>
            <w:tcBorders>
              <w:top w:val="nil"/>
              <w:left w:val="nil"/>
              <w:bottom w:val="single" w:sz="4" w:space="0" w:color="auto"/>
              <w:right w:val="single" w:sz="4" w:space="0" w:color="auto"/>
            </w:tcBorders>
            <w:shd w:val="clear" w:color="auto" w:fill="auto"/>
            <w:vAlign w:val="center"/>
            <w:hideMark/>
          </w:tcPr>
          <w:p w14:paraId="06AE4F57" w14:textId="77777777" w:rsidR="00EA4E6A" w:rsidRPr="00092ED7" w:rsidRDefault="00EA4E6A" w:rsidP="00EA4E6A">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4,1</w:t>
            </w:r>
          </w:p>
        </w:tc>
        <w:tc>
          <w:tcPr>
            <w:tcW w:w="708" w:type="dxa"/>
            <w:tcBorders>
              <w:top w:val="nil"/>
              <w:left w:val="nil"/>
              <w:bottom w:val="single" w:sz="4" w:space="0" w:color="auto"/>
              <w:right w:val="single" w:sz="4" w:space="0" w:color="auto"/>
            </w:tcBorders>
            <w:shd w:val="clear" w:color="auto" w:fill="auto"/>
            <w:vAlign w:val="center"/>
            <w:hideMark/>
          </w:tcPr>
          <w:p w14:paraId="68266BBC" w14:textId="77777777" w:rsidR="00EA4E6A" w:rsidRPr="00092ED7" w:rsidRDefault="00EA4E6A" w:rsidP="00EA4E6A">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4,3</w:t>
            </w:r>
          </w:p>
        </w:tc>
        <w:tc>
          <w:tcPr>
            <w:tcW w:w="709" w:type="dxa"/>
            <w:tcBorders>
              <w:top w:val="nil"/>
              <w:left w:val="nil"/>
              <w:bottom w:val="single" w:sz="4" w:space="0" w:color="auto"/>
              <w:right w:val="single" w:sz="4" w:space="0" w:color="auto"/>
            </w:tcBorders>
            <w:shd w:val="clear" w:color="auto" w:fill="auto"/>
            <w:vAlign w:val="center"/>
            <w:hideMark/>
          </w:tcPr>
          <w:p w14:paraId="24FFEECE" w14:textId="77777777" w:rsidR="00EA4E6A" w:rsidRPr="00092ED7" w:rsidRDefault="00EA4E6A" w:rsidP="00EA4E6A">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3,7</w:t>
            </w:r>
          </w:p>
        </w:tc>
        <w:tc>
          <w:tcPr>
            <w:tcW w:w="709" w:type="dxa"/>
            <w:tcBorders>
              <w:top w:val="nil"/>
              <w:left w:val="nil"/>
              <w:bottom w:val="single" w:sz="4" w:space="0" w:color="auto"/>
              <w:right w:val="single" w:sz="4" w:space="0" w:color="auto"/>
            </w:tcBorders>
            <w:shd w:val="clear" w:color="auto" w:fill="auto"/>
            <w:vAlign w:val="center"/>
            <w:hideMark/>
          </w:tcPr>
          <w:p w14:paraId="097910B5" w14:textId="77777777" w:rsidR="00EA4E6A" w:rsidRPr="00092ED7" w:rsidRDefault="00EA4E6A" w:rsidP="00EA4E6A">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4,8</w:t>
            </w:r>
          </w:p>
        </w:tc>
        <w:tc>
          <w:tcPr>
            <w:tcW w:w="709" w:type="dxa"/>
            <w:tcBorders>
              <w:top w:val="nil"/>
              <w:left w:val="nil"/>
              <w:bottom w:val="single" w:sz="4" w:space="0" w:color="auto"/>
              <w:right w:val="single" w:sz="4" w:space="0" w:color="auto"/>
            </w:tcBorders>
            <w:shd w:val="clear" w:color="auto" w:fill="auto"/>
            <w:vAlign w:val="center"/>
            <w:hideMark/>
          </w:tcPr>
          <w:p w14:paraId="0482A841" w14:textId="77777777" w:rsidR="00EA4E6A" w:rsidRPr="00092ED7" w:rsidRDefault="00EA4E6A" w:rsidP="00EA4E6A">
            <w:pPr>
              <w:spacing w:after="0"/>
              <w:jc w:val="left"/>
              <w:rPr>
                <w:rFonts w:eastAsia="Times New Roman" w:cs="Times New Roman"/>
                <w:sz w:val="20"/>
                <w:szCs w:val="20"/>
                <w:lang w:val="sr-Cyrl-CS" w:eastAsia="sr-Latn-RS"/>
              </w:rPr>
            </w:pPr>
            <w:r w:rsidRPr="00092ED7">
              <w:rPr>
                <w:rFonts w:eastAsia="Times New Roman" w:cs="Times New Roman"/>
                <w:sz w:val="20"/>
                <w:szCs w:val="20"/>
                <w:lang w:val="sr-Cyrl-CS" w:eastAsia="sr-Latn-RS"/>
              </w:rPr>
              <w:t> </w:t>
            </w:r>
          </w:p>
        </w:tc>
      </w:tr>
      <w:tr w:rsidR="00EA4E6A" w:rsidRPr="00092ED7" w14:paraId="68229456" w14:textId="77777777" w:rsidTr="00053B2B">
        <w:trPr>
          <w:trHeight w:val="528"/>
        </w:trPr>
        <w:tc>
          <w:tcPr>
            <w:tcW w:w="4673" w:type="dxa"/>
            <w:tcBorders>
              <w:top w:val="nil"/>
              <w:left w:val="single" w:sz="4" w:space="0" w:color="auto"/>
              <w:bottom w:val="single" w:sz="4" w:space="0" w:color="auto"/>
              <w:right w:val="single" w:sz="4" w:space="0" w:color="auto"/>
            </w:tcBorders>
            <w:shd w:val="clear" w:color="auto" w:fill="auto"/>
            <w:vAlign w:val="center"/>
            <w:hideMark/>
          </w:tcPr>
          <w:p w14:paraId="1F5BFBE0" w14:textId="77777777" w:rsidR="00EA4E6A" w:rsidRPr="00092ED7" w:rsidRDefault="00EA4E6A" w:rsidP="00EA4E6A">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 xml:space="preserve">2. Удео особа које су прерано напустиле образовање и обуку, узраста </w:t>
            </w:r>
            <w:r w:rsidRPr="00092ED7">
              <w:rPr>
                <w:rFonts w:eastAsia="Times New Roman" w:cs="Times New Roman"/>
                <w:bCs/>
                <w:color w:val="000000"/>
                <w:sz w:val="20"/>
                <w:szCs w:val="20"/>
                <w:lang w:val="sr-Cyrl-CS" w:eastAsia="sr-Latn-RS"/>
              </w:rPr>
              <w:t>18-24 год.</w:t>
            </w:r>
          </w:p>
        </w:tc>
        <w:tc>
          <w:tcPr>
            <w:tcW w:w="1258" w:type="dxa"/>
            <w:tcBorders>
              <w:top w:val="nil"/>
              <w:left w:val="nil"/>
              <w:bottom w:val="single" w:sz="4" w:space="0" w:color="auto"/>
              <w:right w:val="single" w:sz="4" w:space="0" w:color="auto"/>
            </w:tcBorders>
            <w:shd w:val="clear" w:color="auto" w:fill="auto"/>
            <w:vAlign w:val="center"/>
            <w:hideMark/>
          </w:tcPr>
          <w:p w14:paraId="26DA8157" w14:textId="040F3B2A" w:rsidR="00EA4E6A" w:rsidRPr="00092ED7" w:rsidRDefault="002A4877" w:rsidP="00EA4E6A">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EUROSTAT</w:t>
            </w:r>
          </w:p>
        </w:tc>
        <w:tc>
          <w:tcPr>
            <w:tcW w:w="727" w:type="dxa"/>
            <w:tcBorders>
              <w:top w:val="nil"/>
              <w:left w:val="nil"/>
              <w:bottom w:val="single" w:sz="4" w:space="0" w:color="auto"/>
              <w:right w:val="single" w:sz="4" w:space="0" w:color="auto"/>
            </w:tcBorders>
            <w:shd w:val="clear" w:color="auto" w:fill="auto"/>
            <w:vAlign w:val="center"/>
            <w:hideMark/>
          </w:tcPr>
          <w:p w14:paraId="27A0AC97" w14:textId="77777777" w:rsidR="00EA4E6A" w:rsidRPr="00092ED7" w:rsidRDefault="00EA4E6A" w:rsidP="00EA4E6A">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6,8</w:t>
            </w:r>
          </w:p>
        </w:tc>
        <w:tc>
          <w:tcPr>
            <w:tcW w:w="708" w:type="dxa"/>
            <w:tcBorders>
              <w:top w:val="nil"/>
              <w:left w:val="nil"/>
              <w:bottom w:val="single" w:sz="4" w:space="0" w:color="auto"/>
              <w:right w:val="single" w:sz="4" w:space="0" w:color="auto"/>
            </w:tcBorders>
            <w:shd w:val="clear" w:color="auto" w:fill="auto"/>
            <w:vAlign w:val="center"/>
            <w:hideMark/>
          </w:tcPr>
          <w:p w14:paraId="5A09E95B" w14:textId="77777777" w:rsidR="00EA4E6A" w:rsidRPr="00092ED7" w:rsidRDefault="00EA4E6A" w:rsidP="00EA4E6A">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6,6</w:t>
            </w:r>
          </w:p>
        </w:tc>
        <w:tc>
          <w:tcPr>
            <w:tcW w:w="709" w:type="dxa"/>
            <w:tcBorders>
              <w:top w:val="nil"/>
              <w:left w:val="nil"/>
              <w:bottom w:val="single" w:sz="4" w:space="0" w:color="auto"/>
              <w:right w:val="single" w:sz="4" w:space="0" w:color="auto"/>
            </w:tcBorders>
            <w:shd w:val="clear" w:color="auto" w:fill="auto"/>
            <w:vAlign w:val="center"/>
            <w:hideMark/>
          </w:tcPr>
          <w:p w14:paraId="494A335B" w14:textId="77777777" w:rsidR="00EA4E6A" w:rsidRPr="00092ED7" w:rsidRDefault="00EA4E6A" w:rsidP="00EA4E6A">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5,6</w:t>
            </w:r>
          </w:p>
        </w:tc>
        <w:tc>
          <w:tcPr>
            <w:tcW w:w="709" w:type="dxa"/>
            <w:tcBorders>
              <w:top w:val="nil"/>
              <w:left w:val="nil"/>
              <w:bottom w:val="single" w:sz="4" w:space="0" w:color="auto"/>
              <w:right w:val="single" w:sz="4" w:space="0" w:color="auto"/>
            </w:tcBorders>
            <w:shd w:val="clear" w:color="auto" w:fill="auto"/>
            <w:vAlign w:val="center"/>
            <w:hideMark/>
          </w:tcPr>
          <w:p w14:paraId="3EA10818" w14:textId="77777777" w:rsidR="00EA4E6A" w:rsidRPr="00092ED7" w:rsidRDefault="00EA4E6A" w:rsidP="00EA4E6A">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6,3</w:t>
            </w:r>
          </w:p>
        </w:tc>
        <w:tc>
          <w:tcPr>
            <w:tcW w:w="709" w:type="dxa"/>
            <w:tcBorders>
              <w:top w:val="nil"/>
              <w:left w:val="nil"/>
              <w:bottom w:val="single" w:sz="4" w:space="0" w:color="auto"/>
              <w:right w:val="single" w:sz="4" w:space="0" w:color="auto"/>
            </w:tcBorders>
            <w:shd w:val="clear" w:color="auto" w:fill="auto"/>
            <w:vAlign w:val="center"/>
            <w:hideMark/>
          </w:tcPr>
          <w:p w14:paraId="42C058FC" w14:textId="77777777" w:rsidR="00EA4E6A" w:rsidRPr="00092ED7" w:rsidRDefault="00EA4E6A" w:rsidP="00EA4E6A">
            <w:pPr>
              <w:spacing w:after="0"/>
              <w:jc w:val="left"/>
              <w:rPr>
                <w:rFonts w:eastAsia="Times New Roman" w:cs="Times New Roman"/>
                <w:sz w:val="20"/>
                <w:szCs w:val="20"/>
                <w:lang w:val="sr-Cyrl-CS" w:eastAsia="sr-Latn-RS"/>
              </w:rPr>
            </w:pPr>
            <w:r w:rsidRPr="00092ED7">
              <w:rPr>
                <w:rFonts w:eastAsia="Times New Roman" w:cs="Times New Roman"/>
                <w:sz w:val="20"/>
                <w:szCs w:val="20"/>
                <w:lang w:val="sr-Cyrl-CS" w:eastAsia="sr-Latn-RS"/>
              </w:rPr>
              <w:t> </w:t>
            </w:r>
          </w:p>
        </w:tc>
      </w:tr>
      <w:tr w:rsidR="00EA4E6A" w:rsidRPr="00092ED7" w14:paraId="41BAAD75" w14:textId="77777777" w:rsidTr="00053B2B">
        <w:trPr>
          <w:trHeight w:val="528"/>
        </w:trPr>
        <w:tc>
          <w:tcPr>
            <w:tcW w:w="4673" w:type="dxa"/>
            <w:tcBorders>
              <w:top w:val="nil"/>
              <w:left w:val="single" w:sz="4" w:space="0" w:color="auto"/>
              <w:bottom w:val="single" w:sz="4" w:space="0" w:color="auto"/>
              <w:right w:val="single" w:sz="4" w:space="0" w:color="auto"/>
            </w:tcBorders>
            <w:shd w:val="clear" w:color="auto" w:fill="auto"/>
            <w:vAlign w:val="center"/>
            <w:hideMark/>
          </w:tcPr>
          <w:p w14:paraId="11A18A73" w14:textId="77777777" w:rsidR="00EA4E6A" w:rsidRPr="00092ED7" w:rsidRDefault="00EA4E6A" w:rsidP="00EA4E6A">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3. Удео становништва са основним укупним дигитални</w:t>
            </w:r>
            <w:r w:rsidR="008219D5" w:rsidRPr="00092ED7">
              <w:rPr>
                <w:rFonts w:eastAsia="Times New Roman" w:cs="Times New Roman"/>
                <w:color w:val="000000"/>
                <w:sz w:val="20"/>
                <w:szCs w:val="20"/>
                <w:lang w:val="sr-Cyrl-CS" w:eastAsia="sr-Latn-RS"/>
              </w:rPr>
              <w:t xml:space="preserve">м </w:t>
            </w:r>
            <w:r w:rsidRPr="00092ED7">
              <w:rPr>
                <w:rFonts w:eastAsia="Times New Roman" w:cs="Times New Roman"/>
                <w:color w:val="000000"/>
                <w:sz w:val="20"/>
                <w:szCs w:val="20"/>
                <w:lang w:val="sr-Cyrl-CS" w:eastAsia="sr-Latn-RS"/>
              </w:rPr>
              <w:t xml:space="preserve">вештинама или вишим, старости </w:t>
            </w:r>
            <w:r w:rsidRPr="00092ED7">
              <w:rPr>
                <w:rFonts w:eastAsia="Times New Roman" w:cs="Times New Roman"/>
                <w:bCs/>
                <w:color w:val="000000"/>
                <w:sz w:val="20"/>
                <w:szCs w:val="20"/>
                <w:lang w:val="sr-Cyrl-CS" w:eastAsia="sr-Latn-RS"/>
              </w:rPr>
              <w:t>16-74 год.</w:t>
            </w:r>
          </w:p>
        </w:tc>
        <w:tc>
          <w:tcPr>
            <w:tcW w:w="1258" w:type="dxa"/>
            <w:tcBorders>
              <w:top w:val="nil"/>
              <w:left w:val="nil"/>
              <w:bottom w:val="single" w:sz="4" w:space="0" w:color="auto"/>
              <w:right w:val="single" w:sz="4" w:space="0" w:color="auto"/>
            </w:tcBorders>
            <w:shd w:val="clear" w:color="auto" w:fill="auto"/>
            <w:vAlign w:val="center"/>
            <w:hideMark/>
          </w:tcPr>
          <w:p w14:paraId="7D492422" w14:textId="575D7F1E" w:rsidR="00EA4E6A" w:rsidRPr="00092ED7" w:rsidRDefault="002A4877" w:rsidP="00EA4E6A">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EUROSTAT</w:t>
            </w:r>
          </w:p>
        </w:tc>
        <w:tc>
          <w:tcPr>
            <w:tcW w:w="727" w:type="dxa"/>
            <w:tcBorders>
              <w:top w:val="nil"/>
              <w:left w:val="nil"/>
              <w:bottom w:val="single" w:sz="4" w:space="0" w:color="auto"/>
              <w:right w:val="single" w:sz="4" w:space="0" w:color="auto"/>
            </w:tcBorders>
            <w:shd w:val="clear" w:color="auto" w:fill="auto"/>
            <w:vAlign w:val="center"/>
            <w:hideMark/>
          </w:tcPr>
          <w:p w14:paraId="79FC1BB1" w14:textId="77777777" w:rsidR="00EA4E6A" w:rsidRPr="00092ED7" w:rsidRDefault="00EA4E6A" w:rsidP="00EA4E6A">
            <w:pPr>
              <w:spacing w:after="0"/>
              <w:jc w:val="left"/>
              <w:rPr>
                <w:rFonts w:eastAsia="Times New Roman" w:cs="Times New Roman"/>
                <w:sz w:val="20"/>
                <w:szCs w:val="20"/>
                <w:lang w:val="sr-Cyrl-CS" w:eastAsia="sr-Latn-RS"/>
              </w:rPr>
            </w:pPr>
            <w:r w:rsidRPr="00092ED7">
              <w:rPr>
                <w:rFonts w:eastAsia="Times New Roman" w:cs="Times New Roman"/>
                <w:sz w:val="20"/>
                <w:szCs w:val="20"/>
                <w:lang w:val="sr-Cyrl-CS" w:eastAsia="sr-Latn-RS"/>
              </w:rPr>
              <w:t> </w:t>
            </w:r>
          </w:p>
        </w:tc>
        <w:tc>
          <w:tcPr>
            <w:tcW w:w="708" w:type="dxa"/>
            <w:tcBorders>
              <w:top w:val="nil"/>
              <w:left w:val="nil"/>
              <w:bottom w:val="single" w:sz="4" w:space="0" w:color="auto"/>
              <w:right w:val="single" w:sz="4" w:space="0" w:color="auto"/>
            </w:tcBorders>
            <w:shd w:val="clear" w:color="auto" w:fill="auto"/>
            <w:vAlign w:val="center"/>
            <w:hideMark/>
          </w:tcPr>
          <w:p w14:paraId="57BF5281" w14:textId="77777777" w:rsidR="00EA4E6A" w:rsidRPr="00092ED7" w:rsidRDefault="00EA4E6A" w:rsidP="00EA4E6A">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46</w:t>
            </w:r>
          </w:p>
        </w:tc>
        <w:tc>
          <w:tcPr>
            <w:tcW w:w="709" w:type="dxa"/>
            <w:tcBorders>
              <w:top w:val="nil"/>
              <w:left w:val="nil"/>
              <w:bottom w:val="single" w:sz="4" w:space="0" w:color="auto"/>
              <w:right w:val="single" w:sz="4" w:space="0" w:color="auto"/>
            </w:tcBorders>
            <w:shd w:val="clear" w:color="auto" w:fill="auto"/>
            <w:vAlign w:val="center"/>
            <w:hideMark/>
          </w:tcPr>
          <w:p w14:paraId="61CD0CC8" w14:textId="77777777" w:rsidR="00EA4E6A" w:rsidRPr="00092ED7" w:rsidRDefault="00EA4E6A" w:rsidP="00EA4E6A">
            <w:pPr>
              <w:spacing w:after="0"/>
              <w:jc w:val="left"/>
              <w:rPr>
                <w:rFonts w:eastAsia="Times New Roman" w:cs="Times New Roman"/>
                <w:sz w:val="20"/>
                <w:szCs w:val="20"/>
                <w:lang w:val="sr-Cyrl-CS" w:eastAsia="sr-Latn-RS"/>
              </w:rPr>
            </w:pPr>
            <w:r w:rsidRPr="00092ED7">
              <w:rPr>
                <w:rFonts w:eastAsia="Times New Roman" w:cs="Times New Roman"/>
                <w:sz w:val="20"/>
                <w:szCs w:val="20"/>
                <w:lang w:val="sr-Cyrl-CS" w:eastAsia="sr-Latn-RS"/>
              </w:rPr>
              <w:t> </w:t>
            </w:r>
          </w:p>
        </w:tc>
        <w:tc>
          <w:tcPr>
            <w:tcW w:w="709" w:type="dxa"/>
            <w:tcBorders>
              <w:top w:val="nil"/>
              <w:left w:val="nil"/>
              <w:bottom w:val="single" w:sz="4" w:space="0" w:color="auto"/>
              <w:right w:val="single" w:sz="4" w:space="0" w:color="auto"/>
            </w:tcBorders>
            <w:shd w:val="clear" w:color="auto" w:fill="auto"/>
            <w:vAlign w:val="center"/>
            <w:hideMark/>
          </w:tcPr>
          <w:p w14:paraId="12704068" w14:textId="77777777" w:rsidR="00EA4E6A" w:rsidRPr="00092ED7" w:rsidRDefault="00EA4E6A" w:rsidP="00EA4E6A">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41</w:t>
            </w:r>
          </w:p>
        </w:tc>
        <w:tc>
          <w:tcPr>
            <w:tcW w:w="709" w:type="dxa"/>
            <w:tcBorders>
              <w:top w:val="nil"/>
              <w:left w:val="nil"/>
              <w:bottom w:val="single" w:sz="4" w:space="0" w:color="auto"/>
              <w:right w:val="single" w:sz="4" w:space="0" w:color="auto"/>
            </w:tcBorders>
            <w:shd w:val="clear" w:color="auto" w:fill="auto"/>
            <w:vAlign w:val="center"/>
            <w:hideMark/>
          </w:tcPr>
          <w:p w14:paraId="776390E6" w14:textId="77777777" w:rsidR="00EA4E6A" w:rsidRPr="00092ED7" w:rsidRDefault="00EA4E6A" w:rsidP="00EA4E6A">
            <w:pPr>
              <w:spacing w:after="0"/>
              <w:jc w:val="left"/>
              <w:rPr>
                <w:rFonts w:eastAsia="Times New Roman" w:cs="Times New Roman"/>
                <w:sz w:val="20"/>
                <w:szCs w:val="20"/>
                <w:lang w:val="sr-Cyrl-CS" w:eastAsia="sr-Latn-RS"/>
              </w:rPr>
            </w:pPr>
            <w:r w:rsidRPr="00092ED7">
              <w:rPr>
                <w:rFonts w:eastAsia="Times New Roman" w:cs="Times New Roman"/>
                <w:sz w:val="20"/>
                <w:szCs w:val="20"/>
                <w:lang w:val="sr-Cyrl-CS" w:eastAsia="sr-Latn-RS"/>
              </w:rPr>
              <w:t> </w:t>
            </w:r>
          </w:p>
        </w:tc>
      </w:tr>
      <w:tr w:rsidR="00EA4E6A" w:rsidRPr="00092ED7" w14:paraId="6CC1D9C3" w14:textId="77777777" w:rsidTr="00053B2B">
        <w:trPr>
          <w:trHeight w:val="528"/>
        </w:trPr>
        <w:tc>
          <w:tcPr>
            <w:tcW w:w="4673" w:type="dxa"/>
            <w:tcBorders>
              <w:top w:val="nil"/>
              <w:left w:val="single" w:sz="4" w:space="0" w:color="auto"/>
              <w:bottom w:val="single" w:sz="4" w:space="0" w:color="auto"/>
              <w:right w:val="single" w:sz="4" w:space="0" w:color="auto"/>
            </w:tcBorders>
            <w:shd w:val="clear" w:color="auto" w:fill="auto"/>
            <w:vAlign w:val="center"/>
            <w:hideMark/>
          </w:tcPr>
          <w:p w14:paraId="319D3C8B" w14:textId="77777777" w:rsidR="00EA4E6A" w:rsidRPr="00092ED7" w:rsidRDefault="00EA4E6A" w:rsidP="00EA4E6A">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 xml:space="preserve">4. Млади који нису запослени и нису укључени у образовање или обуку (NEET), у %  </w:t>
            </w:r>
            <w:r w:rsidRPr="00092ED7">
              <w:rPr>
                <w:rFonts w:eastAsia="Times New Roman" w:cs="Times New Roman"/>
                <w:bCs/>
                <w:color w:val="000000"/>
                <w:sz w:val="20"/>
                <w:szCs w:val="20"/>
                <w:lang w:val="sr-Cyrl-CS" w:eastAsia="sr-Latn-RS"/>
              </w:rPr>
              <w:t>15-29 год.</w:t>
            </w:r>
          </w:p>
        </w:tc>
        <w:tc>
          <w:tcPr>
            <w:tcW w:w="1258" w:type="dxa"/>
            <w:tcBorders>
              <w:top w:val="nil"/>
              <w:left w:val="nil"/>
              <w:bottom w:val="single" w:sz="4" w:space="0" w:color="auto"/>
              <w:right w:val="single" w:sz="4" w:space="0" w:color="auto"/>
            </w:tcBorders>
            <w:shd w:val="clear" w:color="auto" w:fill="auto"/>
            <w:vAlign w:val="center"/>
            <w:hideMark/>
          </w:tcPr>
          <w:p w14:paraId="78286E91" w14:textId="38E28FF6" w:rsidR="00EA4E6A" w:rsidRPr="00092ED7" w:rsidRDefault="002A4877" w:rsidP="00EA4E6A">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EUROSTAT</w:t>
            </w:r>
          </w:p>
        </w:tc>
        <w:tc>
          <w:tcPr>
            <w:tcW w:w="727" w:type="dxa"/>
            <w:tcBorders>
              <w:top w:val="nil"/>
              <w:left w:val="nil"/>
              <w:bottom w:val="single" w:sz="4" w:space="0" w:color="auto"/>
              <w:right w:val="single" w:sz="4" w:space="0" w:color="auto"/>
            </w:tcBorders>
            <w:shd w:val="clear" w:color="auto" w:fill="auto"/>
            <w:vAlign w:val="center"/>
            <w:hideMark/>
          </w:tcPr>
          <w:p w14:paraId="4226BB38" w14:textId="77777777" w:rsidR="00EA4E6A" w:rsidRPr="00092ED7" w:rsidRDefault="00EA4E6A" w:rsidP="00EA4E6A">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20,4</w:t>
            </w:r>
          </w:p>
        </w:tc>
        <w:tc>
          <w:tcPr>
            <w:tcW w:w="708" w:type="dxa"/>
            <w:tcBorders>
              <w:top w:val="nil"/>
              <w:left w:val="nil"/>
              <w:bottom w:val="single" w:sz="4" w:space="0" w:color="auto"/>
              <w:right w:val="single" w:sz="4" w:space="0" w:color="auto"/>
            </w:tcBorders>
            <w:shd w:val="clear" w:color="auto" w:fill="auto"/>
            <w:vAlign w:val="center"/>
            <w:hideMark/>
          </w:tcPr>
          <w:p w14:paraId="62E927A3" w14:textId="77777777" w:rsidR="00EA4E6A" w:rsidRPr="00092ED7" w:rsidRDefault="00EA4E6A" w:rsidP="00EA4E6A">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19,3</w:t>
            </w:r>
          </w:p>
        </w:tc>
        <w:tc>
          <w:tcPr>
            <w:tcW w:w="709" w:type="dxa"/>
            <w:tcBorders>
              <w:top w:val="nil"/>
              <w:left w:val="nil"/>
              <w:bottom w:val="single" w:sz="4" w:space="0" w:color="auto"/>
              <w:right w:val="single" w:sz="4" w:space="0" w:color="auto"/>
            </w:tcBorders>
            <w:shd w:val="clear" w:color="auto" w:fill="auto"/>
            <w:vAlign w:val="center"/>
            <w:hideMark/>
          </w:tcPr>
          <w:p w14:paraId="25A27F51" w14:textId="77777777" w:rsidR="00EA4E6A" w:rsidRPr="00092ED7" w:rsidRDefault="00EA4E6A" w:rsidP="00EA4E6A">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20,3</w:t>
            </w:r>
          </w:p>
        </w:tc>
        <w:tc>
          <w:tcPr>
            <w:tcW w:w="709" w:type="dxa"/>
            <w:tcBorders>
              <w:top w:val="nil"/>
              <w:left w:val="nil"/>
              <w:bottom w:val="single" w:sz="4" w:space="0" w:color="auto"/>
              <w:right w:val="single" w:sz="4" w:space="0" w:color="auto"/>
            </w:tcBorders>
            <w:shd w:val="clear" w:color="auto" w:fill="auto"/>
            <w:vAlign w:val="center"/>
            <w:hideMark/>
          </w:tcPr>
          <w:p w14:paraId="65FB1DDD" w14:textId="77777777" w:rsidR="00EA4E6A" w:rsidRPr="00092ED7" w:rsidRDefault="00EA4E6A" w:rsidP="00EA4E6A">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18,8</w:t>
            </w:r>
          </w:p>
        </w:tc>
        <w:tc>
          <w:tcPr>
            <w:tcW w:w="709" w:type="dxa"/>
            <w:tcBorders>
              <w:top w:val="nil"/>
              <w:left w:val="nil"/>
              <w:bottom w:val="single" w:sz="4" w:space="0" w:color="auto"/>
              <w:right w:val="single" w:sz="4" w:space="0" w:color="auto"/>
            </w:tcBorders>
            <w:shd w:val="clear" w:color="auto" w:fill="auto"/>
            <w:vAlign w:val="center"/>
            <w:hideMark/>
          </w:tcPr>
          <w:p w14:paraId="6DB5A683" w14:textId="0A84A3BE" w:rsidR="00EA4E6A" w:rsidRPr="00092ED7" w:rsidRDefault="00EA4E6A" w:rsidP="00EA4E6A">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15,</w:t>
            </w:r>
            <w:r w:rsidR="00AA3FDC" w:rsidRPr="00092ED7">
              <w:rPr>
                <w:rFonts w:eastAsia="Times New Roman" w:cs="Times New Roman"/>
                <w:sz w:val="20"/>
                <w:szCs w:val="20"/>
                <w:lang w:val="sr-Cyrl-CS" w:eastAsia="sr-Latn-RS"/>
              </w:rPr>
              <w:t>7</w:t>
            </w:r>
            <w:r w:rsidRPr="00092ED7">
              <w:rPr>
                <w:rFonts w:eastAsia="Times New Roman" w:cs="Times New Roman"/>
                <w:sz w:val="20"/>
                <w:szCs w:val="20"/>
                <w:lang w:val="sr-Cyrl-CS" w:eastAsia="sr-Latn-RS"/>
              </w:rPr>
              <w:t xml:space="preserve"> (Q</w:t>
            </w:r>
            <w:r w:rsidR="00AA3FDC" w:rsidRPr="00092ED7">
              <w:rPr>
                <w:rFonts w:eastAsia="Times New Roman" w:cs="Times New Roman"/>
                <w:sz w:val="20"/>
                <w:szCs w:val="20"/>
                <w:lang w:val="sr-Cyrl-CS" w:eastAsia="sr-Latn-RS"/>
              </w:rPr>
              <w:t>3</w:t>
            </w:r>
            <w:r w:rsidRPr="00092ED7">
              <w:rPr>
                <w:rFonts w:eastAsia="Times New Roman" w:cs="Times New Roman"/>
                <w:sz w:val="20"/>
                <w:szCs w:val="20"/>
                <w:lang w:val="sr-Cyrl-CS" w:eastAsia="sr-Latn-RS"/>
              </w:rPr>
              <w:t>)</w:t>
            </w:r>
          </w:p>
        </w:tc>
      </w:tr>
      <w:tr w:rsidR="00EA4E6A" w:rsidRPr="00092ED7" w14:paraId="345D5F9C" w14:textId="77777777" w:rsidTr="00053B2B">
        <w:trPr>
          <w:trHeight w:val="276"/>
        </w:trPr>
        <w:tc>
          <w:tcPr>
            <w:tcW w:w="4673" w:type="dxa"/>
            <w:tcBorders>
              <w:top w:val="nil"/>
              <w:left w:val="single" w:sz="4" w:space="0" w:color="auto"/>
              <w:bottom w:val="single" w:sz="4" w:space="0" w:color="auto"/>
              <w:right w:val="single" w:sz="4" w:space="0" w:color="auto"/>
            </w:tcBorders>
            <w:shd w:val="clear" w:color="auto" w:fill="auto"/>
            <w:vAlign w:val="center"/>
            <w:hideMark/>
          </w:tcPr>
          <w:p w14:paraId="63CBF683" w14:textId="77777777" w:rsidR="00EA4E6A" w:rsidRPr="00092ED7" w:rsidRDefault="00EA4E6A" w:rsidP="00EA4E6A">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 xml:space="preserve">5. Родна разлика у стопи запослености, </w:t>
            </w:r>
            <w:r w:rsidRPr="00092ED7">
              <w:rPr>
                <w:rFonts w:eastAsia="Times New Roman" w:cs="Times New Roman"/>
                <w:bCs/>
                <w:color w:val="000000"/>
                <w:sz w:val="20"/>
                <w:szCs w:val="20"/>
                <w:lang w:val="sr-Cyrl-CS" w:eastAsia="sr-Latn-RS"/>
              </w:rPr>
              <w:t>20-64 године</w:t>
            </w:r>
          </w:p>
        </w:tc>
        <w:tc>
          <w:tcPr>
            <w:tcW w:w="1258" w:type="dxa"/>
            <w:tcBorders>
              <w:top w:val="nil"/>
              <w:left w:val="nil"/>
              <w:bottom w:val="single" w:sz="4" w:space="0" w:color="auto"/>
              <w:right w:val="single" w:sz="4" w:space="0" w:color="auto"/>
            </w:tcBorders>
            <w:shd w:val="clear" w:color="auto" w:fill="auto"/>
            <w:vAlign w:val="center"/>
            <w:hideMark/>
          </w:tcPr>
          <w:p w14:paraId="22BCF65A" w14:textId="66B99466" w:rsidR="00EA4E6A" w:rsidRPr="00092ED7" w:rsidRDefault="002A4877" w:rsidP="00EA4E6A">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EUROSTAT</w:t>
            </w:r>
          </w:p>
        </w:tc>
        <w:tc>
          <w:tcPr>
            <w:tcW w:w="727" w:type="dxa"/>
            <w:tcBorders>
              <w:top w:val="nil"/>
              <w:left w:val="nil"/>
              <w:bottom w:val="single" w:sz="4" w:space="0" w:color="auto"/>
              <w:right w:val="single" w:sz="4" w:space="0" w:color="auto"/>
            </w:tcBorders>
            <w:shd w:val="clear" w:color="auto" w:fill="auto"/>
            <w:vAlign w:val="center"/>
            <w:hideMark/>
          </w:tcPr>
          <w:p w14:paraId="4643B0B7" w14:textId="77777777" w:rsidR="00EA4E6A" w:rsidRPr="00092ED7" w:rsidRDefault="00EA4E6A" w:rsidP="00EA4E6A">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15,4</w:t>
            </w:r>
          </w:p>
        </w:tc>
        <w:tc>
          <w:tcPr>
            <w:tcW w:w="708" w:type="dxa"/>
            <w:tcBorders>
              <w:top w:val="nil"/>
              <w:left w:val="nil"/>
              <w:bottom w:val="single" w:sz="4" w:space="0" w:color="auto"/>
              <w:right w:val="single" w:sz="4" w:space="0" w:color="auto"/>
            </w:tcBorders>
            <w:shd w:val="clear" w:color="auto" w:fill="auto"/>
            <w:vAlign w:val="center"/>
            <w:hideMark/>
          </w:tcPr>
          <w:p w14:paraId="2DDF240A" w14:textId="77777777" w:rsidR="00EA4E6A" w:rsidRPr="00092ED7" w:rsidRDefault="00EA4E6A" w:rsidP="00EA4E6A">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14,6</w:t>
            </w:r>
          </w:p>
        </w:tc>
        <w:tc>
          <w:tcPr>
            <w:tcW w:w="709" w:type="dxa"/>
            <w:tcBorders>
              <w:top w:val="nil"/>
              <w:left w:val="nil"/>
              <w:bottom w:val="single" w:sz="4" w:space="0" w:color="auto"/>
              <w:right w:val="single" w:sz="4" w:space="0" w:color="auto"/>
            </w:tcBorders>
            <w:shd w:val="clear" w:color="auto" w:fill="auto"/>
            <w:vAlign w:val="center"/>
            <w:hideMark/>
          </w:tcPr>
          <w:p w14:paraId="64765904" w14:textId="77777777" w:rsidR="00EA4E6A" w:rsidRPr="00092ED7" w:rsidRDefault="00EA4E6A" w:rsidP="00EA4E6A">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14,6</w:t>
            </w:r>
          </w:p>
        </w:tc>
        <w:tc>
          <w:tcPr>
            <w:tcW w:w="709" w:type="dxa"/>
            <w:tcBorders>
              <w:top w:val="nil"/>
              <w:left w:val="nil"/>
              <w:bottom w:val="single" w:sz="4" w:space="0" w:color="auto"/>
              <w:right w:val="single" w:sz="4" w:space="0" w:color="auto"/>
            </w:tcBorders>
            <w:shd w:val="clear" w:color="auto" w:fill="auto"/>
            <w:vAlign w:val="center"/>
            <w:hideMark/>
          </w:tcPr>
          <w:p w14:paraId="2B41CFF0" w14:textId="77777777" w:rsidR="00EA4E6A" w:rsidRPr="00092ED7" w:rsidRDefault="00EA4E6A" w:rsidP="00EA4E6A">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14,9</w:t>
            </w:r>
          </w:p>
        </w:tc>
        <w:tc>
          <w:tcPr>
            <w:tcW w:w="709" w:type="dxa"/>
            <w:tcBorders>
              <w:top w:val="nil"/>
              <w:left w:val="nil"/>
              <w:bottom w:val="single" w:sz="4" w:space="0" w:color="auto"/>
              <w:right w:val="single" w:sz="4" w:space="0" w:color="auto"/>
            </w:tcBorders>
            <w:shd w:val="clear" w:color="auto" w:fill="auto"/>
            <w:vAlign w:val="center"/>
            <w:hideMark/>
          </w:tcPr>
          <w:p w14:paraId="16D2E9BB" w14:textId="77777777" w:rsidR="00EA4E6A" w:rsidRPr="00092ED7" w:rsidRDefault="00EA4E6A" w:rsidP="00EA4E6A">
            <w:pPr>
              <w:spacing w:after="0"/>
              <w:jc w:val="left"/>
              <w:rPr>
                <w:rFonts w:eastAsia="Times New Roman" w:cs="Times New Roman"/>
                <w:sz w:val="20"/>
                <w:szCs w:val="20"/>
                <w:lang w:val="sr-Cyrl-CS" w:eastAsia="sr-Latn-RS"/>
              </w:rPr>
            </w:pPr>
            <w:r w:rsidRPr="00092ED7">
              <w:rPr>
                <w:rFonts w:eastAsia="Times New Roman" w:cs="Times New Roman"/>
                <w:sz w:val="20"/>
                <w:szCs w:val="20"/>
                <w:lang w:val="sr-Cyrl-CS" w:eastAsia="sr-Latn-RS"/>
              </w:rPr>
              <w:t> </w:t>
            </w:r>
          </w:p>
        </w:tc>
      </w:tr>
      <w:tr w:rsidR="00EA4E6A" w:rsidRPr="00092ED7" w14:paraId="7C215C21" w14:textId="77777777" w:rsidTr="00053B2B">
        <w:trPr>
          <w:trHeight w:val="276"/>
        </w:trPr>
        <w:tc>
          <w:tcPr>
            <w:tcW w:w="4673" w:type="dxa"/>
            <w:tcBorders>
              <w:top w:val="nil"/>
              <w:left w:val="single" w:sz="4" w:space="0" w:color="auto"/>
              <w:bottom w:val="single" w:sz="4" w:space="0" w:color="auto"/>
              <w:right w:val="single" w:sz="4" w:space="0" w:color="auto"/>
            </w:tcBorders>
            <w:shd w:val="clear" w:color="auto" w:fill="auto"/>
            <w:vAlign w:val="center"/>
            <w:hideMark/>
          </w:tcPr>
          <w:p w14:paraId="7D29B1BE" w14:textId="77777777" w:rsidR="00EA4E6A" w:rsidRPr="00092ED7" w:rsidRDefault="00EA4E6A" w:rsidP="00EA4E6A">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6. Неједнакост расподеле дохотка C80/C20</w:t>
            </w:r>
          </w:p>
        </w:tc>
        <w:tc>
          <w:tcPr>
            <w:tcW w:w="1258" w:type="dxa"/>
            <w:tcBorders>
              <w:top w:val="nil"/>
              <w:left w:val="nil"/>
              <w:bottom w:val="single" w:sz="4" w:space="0" w:color="auto"/>
              <w:right w:val="single" w:sz="4" w:space="0" w:color="auto"/>
            </w:tcBorders>
            <w:shd w:val="clear" w:color="auto" w:fill="auto"/>
            <w:vAlign w:val="center"/>
            <w:hideMark/>
          </w:tcPr>
          <w:p w14:paraId="4394D091" w14:textId="787F0A8E" w:rsidR="00EA4E6A" w:rsidRPr="00092ED7" w:rsidRDefault="002A4877" w:rsidP="00EA4E6A">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EUROSTAT</w:t>
            </w:r>
          </w:p>
        </w:tc>
        <w:tc>
          <w:tcPr>
            <w:tcW w:w="727" w:type="dxa"/>
            <w:tcBorders>
              <w:top w:val="nil"/>
              <w:left w:val="nil"/>
              <w:bottom w:val="single" w:sz="4" w:space="0" w:color="auto"/>
              <w:right w:val="single" w:sz="4" w:space="0" w:color="auto"/>
            </w:tcBorders>
            <w:shd w:val="clear" w:color="auto" w:fill="auto"/>
            <w:vAlign w:val="center"/>
            <w:hideMark/>
          </w:tcPr>
          <w:p w14:paraId="3F121EF8" w14:textId="77777777" w:rsidR="00EA4E6A" w:rsidRPr="00092ED7" w:rsidRDefault="00EA4E6A" w:rsidP="00EA4E6A">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8,58</w:t>
            </w:r>
          </w:p>
        </w:tc>
        <w:tc>
          <w:tcPr>
            <w:tcW w:w="708" w:type="dxa"/>
            <w:tcBorders>
              <w:top w:val="nil"/>
              <w:left w:val="nil"/>
              <w:bottom w:val="single" w:sz="4" w:space="0" w:color="auto"/>
              <w:right w:val="single" w:sz="4" w:space="0" w:color="auto"/>
            </w:tcBorders>
            <w:shd w:val="clear" w:color="auto" w:fill="auto"/>
            <w:vAlign w:val="center"/>
            <w:hideMark/>
          </w:tcPr>
          <w:p w14:paraId="353AF732" w14:textId="77777777" w:rsidR="00EA4E6A" w:rsidRPr="00092ED7" w:rsidRDefault="00EA4E6A" w:rsidP="00EA4E6A">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6,46</w:t>
            </w:r>
          </w:p>
        </w:tc>
        <w:tc>
          <w:tcPr>
            <w:tcW w:w="709" w:type="dxa"/>
            <w:tcBorders>
              <w:top w:val="nil"/>
              <w:left w:val="nil"/>
              <w:bottom w:val="single" w:sz="4" w:space="0" w:color="auto"/>
              <w:right w:val="single" w:sz="4" w:space="0" w:color="auto"/>
            </w:tcBorders>
            <w:shd w:val="clear" w:color="auto" w:fill="auto"/>
            <w:vAlign w:val="center"/>
            <w:hideMark/>
          </w:tcPr>
          <w:p w14:paraId="322A109B" w14:textId="77777777" w:rsidR="00EA4E6A" w:rsidRPr="00092ED7" w:rsidRDefault="00EA4E6A" w:rsidP="00EA4E6A">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6,06</w:t>
            </w:r>
          </w:p>
        </w:tc>
        <w:tc>
          <w:tcPr>
            <w:tcW w:w="709" w:type="dxa"/>
            <w:tcBorders>
              <w:top w:val="nil"/>
              <w:left w:val="nil"/>
              <w:bottom w:val="single" w:sz="4" w:space="0" w:color="auto"/>
              <w:right w:val="single" w:sz="4" w:space="0" w:color="auto"/>
            </w:tcBorders>
            <w:shd w:val="clear" w:color="auto" w:fill="auto"/>
            <w:vAlign w:val="center"/>
            <w:hideMark/>
          </w:tcPr>
          <w:p w14:paraId="12CBE32D" w14:textId="1D8A5437" w:rsidR="00EA4E6A" w:rsidRPr="00092ED7" w:rsidRDefault="00BE6584" w:rsidP="004E2954">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5,9</w:t>
            </w:r>
          </w:p>
        </w:tc>
        <w:tc>
          <w:tcPr>
            <w:tcW w:w="709" w:type="dxa"/>
            <w:tcBorders>
              <w:top w:val="nil"/>
              <w:left w:val="nil"/>
              <w:bottom w:val="single" w:sz="4" w:space="0" w:color="auto"/>
              <w:right w:val="single" w:sz="4" w:space="0" w:color="auto"/>
            </w:tcBorders>
            <w:shd w:val="clear" w:color="auto" w:fill="auto"/>
            <w:vAlign w:val="center"/>
            <w:hideMark/>
          </w:tcPr>
          <w:p w14:paraId="32D6F929" w14:textId="77777777" w:rsidR="00EA4E6A" w:rsidRPr="00092ED7" w:rsidRDefault="00EA4E6A" w:rsidP="004E2954">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 </w:t>
            </w:r>
          </w:p>
        </w:tc>
      </w:tr>
      <w:tr w:rsidR="00EA4E6A" w:rsidRPr="00092ED7" w14:paraId="39DD2BA6" w14:textId="77777777" w:rsidTr="00053B2B">
        <w:trPr>
          <w:trHeight w:val="276"/>
        </w:trPr>
        <w:tc>
          <w:tcPr>
            <w:tcW w:w="4673" w:type="dxa"/>
            <w:tcBorders>
              <w:top w:val="nil"/>
              <w:left w:val="single" w:sz="4" w:space="0" w:color="auto"/>
              <w:bottom w:val="single" w:sz="4" w:space="0" w:color="auto"/>
              <w:right w:val="single" w:sz="4" w:space="0" w:color="auto"/>
            </w:tcBorders>
            <w:shd w:val="clear" w:color="auto" w:fill="auto"/>
            <w:vAlign w:val="center"/>
            <w:hideMark/>
          </w:tcPr>
          <w:p w14:paraId="26D84DB5" w14:textId="77777777" w:rsidR="00EA4E6A" w:rsidRPr="00092ED7" w:rsidRDefault="00EA4E6A" w:rsidP="008219D5">
            <w:pPr>
              <w:spacing w:after="0"/>
              <w:ind w:left="601"/>
              <w:jc w:val="left"/>
              <w:rPr>
                <w:rFonts w:eastAsia="Times New Roman" w:cs="Times New Roman"/>
                <w:b/>
                <w:i/>
                <w:iCs/>
                <w:color w:val="000000"/>
                <w:sz w:val="20"/>
                <w:szCs w:val="20"/>
                <w:lang w:val="sr-Cyrl-CS" w:eastAsia="sr-Latn-RS"/>
              </w:rPr>
            </w:pPr>
            <w:r w:rsidRPr="00092ED7">
              <w:rPr>
                <w:rFonts w:eastAsia="Times New Roman" w:cs="Times New Roman"/>
                <w:b/>
                <w:i/>
                <w:iCs/>
                <w:color w:val="000000"/>
                <w:sz w:val="20"/>
                <w:szCs w:val="20"/>
                <w:lang w:val="sr-Cyrl-CS" w:eastAsia="sr-Latn-RS"/>
              </w:rPr>
              <w:t>Услови рада</w:t>
            </w:r>
          </w:p>
        </w:tc>
        <w:tc>
          <w:tcPr>
            <w:tcW w:w="1258" w:type="dxa"/>
            <w:tcBorders>
              <w:top w:val="nil"/>
              <w:left w:val="nil"/>
              <w:bottom w:val="single" w:sz="4" w:space="0" w:color="auto"/>
              <w:right w:val="single" w:sz="4" w:space="0" w:color="auto"/>
            </w:tcBorders>
            <w:shd w:val="clear" w:color="auto" w:fill="auto"/>
            <w:vAlign w:val="center"/>
            <w:hideMark/>
          </w:tcPr>
          <w:p w14:paraId="5329EC00" w14:textId="77777777" w:rsidR="00EA4E6A" w:rsidRPr="00092ED7" w:rsidRDefault="00EA4E6A" w:rsidP="00EA4E6A">
            <w:pPr>
              <w:spacing w:after="0"/>
              <w:jc w:val="left"/>
              <w:rPr>
                <w:rFonts w:eastAsia="Times New Roman" w:cs="Times New Roman"/>
                <w:i/>
                <w:iCs/>
                <w:color w:val="000000"/>
                <w:sz w:val="20"/>
                <w:szCs w:val="20"/>
                <w:lang w:val="sr-Cyrl-CS" w:eastAsia="sr-Latn-RS"/>
              </w:rPr>
            </w:pPr>
            <w:r w:rsidRPr="00092ED7">
              <w:rPr>
                <w:rFonts w:eastAsia="Times New Roman" w:cs="Times New Roman"/>
                <w:i/>
                <w:iCs/>
                <w:color w:val="000000"/>
                <w:sz w:val="20"/>
                <w:szCs w:val="20"/>
                <w:lang w:val="sr-Cyrl-CS" w:eastAsia="sr-Latn-RS"/>
              </w:rPr>
              <w:t> </w:t>
            </w:r>
          </w:p>
        </w:tc>
        <w:tc>
          <w:tcPr>
            <w:tcW w:w="727" w:type="dxa"/>
            <w:tcBorders>
              <w:top w:val="nil"/>
              <w:left w:val="nil"/>
              <w:bottom w:val="single" w:sz="4" w:space="0" w:color="auto"/>
              <w:right w:val="single" w:sz="4" w:space="0" w:color="auto"/>
            </w:tcBorders>
            <w:shd w:val="clear" w:color="auto" w:fill="auto"/>
            <w:vAlign w:val="center"/>
            <w:hideMark/>
          </w:tcPr>
          <w:p w14:paraId="0A4F8E46" w14:textId="77777777" w:rsidR="00EA4E6A" w:rsidRPr="00092ED7" w:rsidRDefault="00EA4E6A" w:rsidP="00EA4E6A">
            <w:pPr>
              <w:spacing w:after="0"/>
              <w:jc w:val="left"/>
              <w:rPr>
                <w:rFonts w:eastAsia="Times New Roman" w:cs="Times New Roman"/>
                <w:i/>
                <w:iCs/>
                <w:sz w:val="20"/>
                <w:szCs w:val="20"/>
                <w:lang w:val="sr-Cyrl-CS" w:eastAsia="sr-Latn-RS"/>
              </w:rPr>
            </w:pPr>
            <w:r w:rsidRPr="00092ED7">
              <w:rPr>
                <w:rFonts w:eastAsia="Times New Roman" w:cs="Times New Roman"/>
                <w:i/>
                <w:iCs/>
                <w:sz w:val="20"/>
                <w:szCs w:val="20"/>
                <w:lang w:val="sr-Cyrl-CS" w:eastAsia="sr-Latn-RS"/>
              </w:rPr>
              <w:t> </w:t>
            </w:r>
          </w:p>
        </w:tc>
        <w:tc>
          <w:tcPr>
            <w:tcW w:w="708" w:type="dxa"/>
            <w:tcBorders>
              <w:top w:val="nil"/>
              <w:left w:val="nil"/>
              <w:bottom w:val="single" w:sz="4" w:space="0" w:color="auto"/>
              <w:right w:val="single" w:sz="4" w:space="0" w:color="auto"/>
            </w:tcBorders>
            <w:shd w:val="clear" w:color="auto" w:fill="auto"/>
            <w:vAlign w:val="center"/>
            <w:hideMark/>
          </w:tcPr>
          <w:p w14:paraId="2911D7D7" w14:textId="77777777" w:rsidR="00EA4E6A" w:rsidRPr="00092ED7" w:rsidRDefault="00EA4E6A" w:rsidP="00EA4E6A">
            <w:pPr>
              <w:spacing w:after="0"/>
              <w:jc w:val="left"/>
              <w:rPr>
                <w:rFonts w:eastAsia="Times New Roman" w:cs="Times New Roman"/>
                <w:i/>
                <w:iCs/>
                <w:sz w:val="20"/>
                <w:szCs w:val="20"/>
                <w:lang w:val="sr-Cyrl-CS" w:eastAsia="sr-Latn-RS"/>
              </w:rPr>
            </w:pPr>
            <w:r w:rsidRPr="00092ED7">
              <w:rPr>
                <w:rFonts w:eastAsia="Times New Roman" w:cs="Times New Roman"/>
                <w:i/>
                <w:iCs/>
                <w:sz w:val="20"/>
                <w:szCs w:val="20"/>
                <w:lang w:val="sr-Cyrl-CS" w:eastAsia="sr-Latn-RS"/>
              </w:rPr>
              <w:t> </w:t>
            </w:r>
          </w:p>
        </w:tc>
        <w:tc>
          <w:tcPr>
            <w:tcW w:w="709" w:type="dxa"/>
            <w:tcBorders>
              <w:top w:val="nil"/>
              <w:left w:val="nil"/>
              <w:bottom w:val="single" w:sz="4" w:space="0" w:color="auto"/>
              <w:right w:val="single" w:sz="4" w:space="0" w:color="auto"/>
            </w:tcBorders>
            <w:shd w:val="clear" w:color="auto" w:fill="auto"/>
            <w:vAlign w:val="center"/>
            <w:hideMark/>
          </w:tcPr>
          <w:p w14:paraId="2C9226BA" w14:textId="77777777" w:rsidR="00EA4E6A" w:rsidRPr="00092ED7" w:rsidRDefault="00EA4E6A" w:rsidP="00EA4E6A">
            <w:pPr>
              <w:spacing w:after="0"/>
              <w:jc w:val="left"/>
              <w:rPr>
                <w:rFonts w:eastAsia="Times New Roman" w:cs="Times New Roman"/>
                <w:i/>
                <w:iCs/>
                <w:sz w:val="20"/>
                <w:szCs w:val="20"/>
                <w:lang w:val="sr-Cyrl-CS" w:eastAsia="sr-Latn-RS"/>
              </w:rPr>
            </w:pPr>
            <w:r w:rsidRPr="00092ED7">
              <w:rPr>
                <w:rFonts w:eastAsia="Times New Roman" w:cs="Times New Roman"/>
                <w:i/>
                <w:iCs/>
                <w:sz w:val="20"/>
                <w:szCs w:val="20"/>
                <w:lang w:val="sr-Cyrl-CS" w:eastAsia="sr-Latn-RS"/>
              </w:rPr>
              <w:t> </w:t>
            </w:r>
          </w:p>
        </w:tc>
        <w:tc>
          <w:tcPr>
            <w:tcW w:w="709" w:type="dxa"/>
            <w:tcBorders>
              <w:top w:val="nil"/>
              <w:left w:val="nil"/>
              <w:bottom w:val="single" w:sz="4" w:space="0" w:color="auto"/>
              <w:right w:val="single" w:sz="4" w:space="0" w:color="auto"/>
            </w:tcBorders>
            <w:shd w:val="clear" w:color="auto" w:fill="auto"/>
            <w:vAlign w:val="center"/>
            <w:hideMark/>
          </w:tcPr>
          <w:p w14:paraId="7DE47C51" w14:textId="77777777" w:rsidR="00EA4E6A" w:rsidRPr="00092ED7" w:rsidRDefault="00EA4E6A" w:rsidP="00EA4E6A">
            <w:pPr>
              <w:spacing w:after="0"/>
              <w:jc w:val="left"/>
              <w:rPr>
                <w:rFonts w:eastAsia="Times New Roman" w:cs="Times New Roman"/>
                <w:i/>
                <w:iCs/>
                <w:sz w:val="20"/>
                <w:szCs w:val="20"/>
                <w:lang w:val="sr-Cyrl-CS" w:eastAsia="sr-Latn-RS"/>
              </w:rPr>
            </w:pPr>
            <w:r w:rsidRPr="00092ED7">
              <w:rPr>
                <w:rFonts w:eastAsia="Times New Roman" w:cs="Times New Roman"/>
                <w:i/>
                <w:iCs/>
                <w:sz w:val="20"/>
                <w:szCs w:val="20"/>
                <w:lang w:val="sr-Cyrl-CS" w:eastAsia="sr-Latn-RS"/>
              </w:rPr>
              <w:t> </w:t>
            </w:r>
          </w:p>
        </w:tc>
        <w:tc>
          <w:tcPr>
            <w:tcW w:w="709" w:type="dxa"/>
            <w:tcBorders>
              <w:top w:val="nil"/>
              <w:left w:val="nil"/>
              <w:bottom w:val="single" w:sz="4" w:space="0" w:color="auto"/>
              <w:right w:val="single" w:sz="4" w:space="0" w:color="auto"/>
            </w:tcBorders>
            <w:shd w:val="clear" w:color="auto" w:fill="auto"/>
            <w:vAlign w:val="center"/>
            <w:hideMark/>
          </w:tcPr>
          <w:p w14:paraId="41822BF5" w14:textId="77777777" w:rsidR="00EA4E6A" w:rsidRPr="00092ED7" w:rsidRDefault="00EA4E6A" w:rsidP="00EA4E6A">
            <w:pPr>
              <w:spacing w:after="0"/>
              <w:jc w:val="left"/>
              <w:rPr>
                <w:rFonts w:eastAsia="Times New Roman" w:cs="Times New Roman"/>
                <w:i/>
                <w:iCs/>
                <w:sz w:val="20"/>
                <w:szCs w:val="20"/>
                <w:lang w:val="sr-Cyrl-CS" w:eastAsia="sr-Latn-RS"/>
              </w:rPr>
            </w:pPr>
            <w:r w:rsidRPr="00092ED7">
              <w:rPr>
                <w:rFonts w:eastAsia="Times New Roman" w:cs="Times New Roman"/>
                <w:i/>
                <w:iCs/>
                <w:sz w:val="20"/>
                <w:szCs w:val="20"/>
                <w:lang w:val="sr-Cyrl-CS" w:eastAsia="sr-Latn-RS"/>
              </w:rPr>
              <w:t> </w:t>
            </w:r>
          </w:p>
        </w:tc>
      </w:tr>
      <w:tr w:rsidR="00EA4E6A" w:rsidRPr="00092ED7" w14:paraId="30B0197F" w14:textId="77777777" w:rsidTr="00053B2B">
        <w:trPr>
          <w:trHeight w:val="276"/>
        </w:trPr>
        <w:tc>
          <w:tcPr>
            <w:tcW w:w="4673" w:type="dxa"/>
            <w:tcBorders>
              <w:top w:val="nil"/>
              <w:left w:val="single" w:sz="4" w:space="0" w:color="auto"/>
              <w:bottom w:val="single" w:sz="4" w:space="0" w:color="auto"/>
              <w:right w:val="single" w:sz="4" w:space="0" w:color="auto"/>
            </w:tcBorders>
            <w:shd w:val="clear" w:color="auto" w:fill="auto"/>
            <w:vAlign w:val="center"/>
            <w:hideMark/>
          </w:tcPr>
          <w:p w14:paraId="74E04A61" w14:textId="77777777" w:rsidR="00EA4E6A" w:rsidRPr="00092ED7" w:rsidRDefault="00EA4E6A" w:rsidP="00EA4E6A">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 xml:space="preserve">7. Стопа запослености, старост </w:t>
            </w:r>
            <w:r w:rsidRPr="00092ED7">
              <w:rPr>
                <w:rFonts w:eastAsia="Times New Roman" w:cs="Times New Roman"/>
                <w:bCs/>
                <w:color w:val="000000"/>
                <w:sz w:val="20"/>
                <w:szCs w:val="20"/>
                <w:lang w:val="sr-Cyrl-CS" w:eastAsia="sr-Latn-RS"/>
              </w:rPr>
              <w:t>20-64 год.</w:t>
            </w:r>
          </w:p>
        </w:tc>
        <w:tc>
          <w:tcPr>
            <w:tcW w:w="1258" w:type="dxa"/>
            <w:tcBorders>
              <w:top w:val="nil"/>
              <w:left w:val="nil"/>
              <w:bottom w:val="single" w:sz="4" w:space="0" w:color="auto"/>
              <w:right w:val="single" w:sz="4" w:space="0" w:color="auto"/>
            </w:tcBorders>
            <w:shd w:val="clear" w:color="auto" w:fill="auto"/>
            <w:vAlign w:val="center"/>
            <w:hideMark/>
          </w:tcPr>
          <w:p w14:paraId="5B926B97" w14:textId="3CC4F34E" w:rsidR="00EA4E6A" w:rsidRPr="00092ED7" w:rsidRDefault="002A4877" w:rsidP="00EA4E6A">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EUROSTAT</w:t>
            </w:r>
          </w:p>
        </w:tc>
        <w:tc>
          <w:tcPr>
            <w:tcW w:w="727" w:type="dxa"/>
            <w:tcBorders>
              <w:top w:val="nil"/>
              <w:left w:val="nil"/>
              <w:bottom w:val="single" w:sz="4" w:space="0" w:color="auto"/>
              <w:right w:val="single" w:sz="4" w:space="0" w:color="auto"/>
            </w:tcBorders>
            <w:shd w:val="clear" w:color="auto" w:fill="auto"/>
            <w:vAlign w:val="center"/>
            <w:hideMark/>
          </w:tcPr>
          <w:p w14:paraId="1B365F8B" w14:textId="77777777" w:rsidR="00EA4E6A" w:rsidRPr="00092ED7" w:rsidRDefault="00EA4E6A" w:rsidP="00EA4E6A">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61,6</w:t>
            </w:r>
          </w:p>
        </w:tc>
        <w:tc>
          <w:tcPr>
            <w:tcW w:w="708" w:type="dxa"/>
            <w:tcBorders>
              <w:top w:val="nil"/>
              <w:left w:val="nil"/>
              <w:bottom w:val="single" w:sz="4" w:space="0" w:color="auto"/>
              <w:right w:val="single" w:sz="4" w:space="0" w:color="auto"/>
            </w:tcBorders>
            <w:shd w:val="clear" w:color="auto" w:fill="auto"/>
            <w:vAlign w:val="center"/>
            <w:hideMark/>
          </w:tcPr>
          <w:p w14:paraId="0FFC0940" w14:textId="77777777" w:rsidR="00EA4E6A" w:rsidRPr="00092ED7" w:rsidRDefault="00EA4E6A" w:rsidP="00EA4E6A">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63,6</w:t>
            </w:r>
          </w:p>
        </w:tc>
        <w:tc>
          <w:tcPr>
            <w:tcW w:w="709" w:type="dxa"/>
            <w:tcBorders>
              <w:top w:val="nil"/>
              <w:left w:val="nil"/>
              <w:bottom w:val="single" w:sz="4" w:space="0" w:color="auto"/>
              <w:right w:val="single" w:sz="4" w:space="0" w:color="auto"/>
            </w:tcBorders>
            <w:shd w:val="clear" w:color="auto" w:fill="auto"/>
            <w:vAlign w:val="center"/>
            <w:hideMark/>
          </w:tcPr>
          <w:p w14:paraId="52FBA71A" w14:textId="77777777" w:rsidR="00EA4E6A" w:rsidRPr="00092ED7" w:rsidRDefault="00EA4E6A" w:rsidP="00EA4E6A">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64,3</w:t>
            </w:r>
          </w:p>
        </w:tc>
        <w:tc>
          <w:tcPr>
            <w:tcW w:w="709" w:type="dxa"/>
            <w:tcBorders>
              <w:top w:val="nil"/>
              <w:left w:val="nil"/>
              <w:bottom w:val="single" w:sz="4" w:space="0" w:color="auto"/>
              <w:right w:val="single" w:sz="4" w:space="0" w:color="auto"/>
            </w:tcBorders>
            <w:shd w:val="clear" w:color="auto" w:fill="auto"/>
            <w:vAlign w:val="center"/>
            <w:hideMark/>
          </w:tcPr>
          <w:p w14:paraId="1B467BE5" w14:textId="77777777" w:rsidR="00EA4E6A" w:rsidRPr="00092ED7" w:rsidRDefault="00EA4E6A" w:rsidP="00EA4E6A">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66,7</w:t>
            </w:r>
          </w:p>
        </w:tc>
        <w:tc>
          <w:tcPr>
            <w:tcW w:w="709" w:type="dxa"/>
            <w:tcBorders>
              <w:top w:val="nil"/>
              <w:left w:val="nil"/>
              <w:bottom w:val="single" w:sz="4" w:space="0" w:color="auto"/>
              <w:right w:val="single" w:sz="4" w:space="0" w:color="auto"/>
            </w:tcBorders>
            <w:shd w:val="clear" w:color="auto" w:fill="auto"/>
            <w:vAlign w:val="center"/>
            <w:hideMark/>
          </w:tcPr>
          <w:p w14:paraId="7A0BC5CC" w14:textId="0F55CAAF" w:rsidR="00EA4E6A" w:rsidRPr="00092ED7" w:rsidRDefault="00BE6584" w:rsidP="00EA4E6A">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69,8</w:t>
            </w:r>
            <w:r w:rsidR="00EA4E6A" w:rsidRPr="00092ED7">
              <w:rPr>
                <w:rFonts w:eastAsia="Times New Roman" w:cs="Times New Roman"/>
                <w:sz w:val="20"/>
                <w:szCs w:val="20"/>
                <w:lang w:val="sr-Cyrl-CS" w:eastAsia="sr-Latn-RS"/>
              </w:rPr>
              <w:t xml:space="preserve"> (Q</w:t>
            </w:r>
            <w:r w:rsidRPr="00092ED7">
              <w:rPr>
                <w:rFonts w:eastAsia="Times New Roman" w:cs="Times New Roman"/>
                <w:sz w:val="20"/>
                <w:szCs w:val="20"/>
                <w:lang w:val="sr-Cyrl-CS" w:eastAsia="sr-Latn-RS"/>
              </w:rPr>
              <w:t>3</w:t>
            </w:r>
            <w:r w:rsidR="00EA4E6A" w:rsidRPr="00092ED7">
              <w:rPr>
                <w:rFonts w:eastAsia="Times New Roman" w:cs="Times New Roman"/>
                <w:sz w:val="20"/>
                <w:szCs w:val="20"/>
                <w:lang w:val="sr-Cyrl-CS" w:eastAsia="sr-Latn-RS"/>
              </w:rPr>
              <w:t>)</w:t>
            </w:r>
          </w:p>
        </w:tc>
      </w:tr>
      <w:tr w:rsidR="00EA4E6A" w:rsidRPr="00092ED7" w14:paraId="28F8B1CC" w14:textId="77777777" w:rsidTr="00053B2B">
        <w:trPr>
          <w:trHeight w:val="276"/>
        </w:trPr>
        <w:tc>
          <w:tcPr>
            <w:tcW w:w="4673" w:type="dxa"/>
            <w:tcBorders>
              <w:top w:val="nil"/>
              <w:left w:val="single" w:sz="4" w:space="0" w:color="auto"/>
              <w:bottom w:val="single" w:sz="4" w:space="0" w:color="auto"/>
              <w:right w:val="single" w:sz="4" w:space="0" w:color="auto"/>
            </w:tcBorders>
            <w:shd w:val="clear" w:color="auto" w:fill="auto"/>
            <w:vAlign w:val="center"/>
            <w:hideMark/>
          </w:tcPr>
          <w:p w14:paraId="6ECEF6AC" w14:textId="77777777" w:rsidR="00EA4E6A" w:rsidRPr="00092ED7" w:rsidRDefault="00EA4E6A" w:rsidP="00EA4E6A">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 xml:space="preserve">8. Стопа незапослености, старост </w:t>
            </w:r>
            <w:r w:rsidRPr="00092ED7">
              <w:rPr>
                <w:rFonts w:eastAsia="Times New Roman" w:cs="Times New Roman"/>
                <w:bCs/>
                <w:color w:val="000000"/>
                <w:sz w:val="20"/>
                <w:szCs w:val="20"/>
                <w:lang w:val="sr-Cyrl-CS" w:eastAsia="sr-Latn-RS"/>
              </w:rPr>
              <w:t>15-74 год.</w:t>
            </w:r>
          </w:p>
        </w:tc>
        <w:tc>
          <w:tcPr>
            <w:tcW w:w="1258" w:type="dxa"/>
            <w:tcBorders>
              <w:top w:val="nil"/>
              <w:left w:val="nil"/>
              <w:bottom w:val="single" w:sz="4" w:space="0" w:color="auto"/>
              <w:right w:val="single" w:sz="4" w:space="0" w:color="auto"/>
            </w:tcBorders>
            <w:shd w:val="clear" w:color="auto" w:fill="auto"/>
            <w:vAlign w:val="center"/>
            <w:hideMark/>
          </w:tcPr>
          <w:p w14:paraId="14DA2703" w14:textId="6AB6CBC7" w:rsidR="00EA4E6A" w:rsidRPr="00092ED7" w:rsidRDefault="002A4877" w:rsidP="00EA4E6A">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EUROSTAT</w:t>
            </w:r>
          </w:p>
        </w:tc>
        <w:tc>
          <w:tcPr>
            <w:tcW w:w="727" w:type="dxa"/>
            <w:tcBorders>
              <w:top w:val="nil"/>
              <w:left w:val="nil"/>
              <w:bottom w:val="single" w:sz="4" w:space="0" w:color="auto"/>
              <w:right w:val="single" w:sz="4" w:space="0" w:color="auto"/>
            </w:tcBorders>
            <w:shd w:val="clear" w:color="auto" w:fill="auto"/>
            <w:vAlign w:val="center"/>
            <w:hideMark/>
          </w:tcPr>
          <w:p w14:paraId="101761C1" w14:textId="77777777" w:rsidR="00EA4E6A" w:rsidRPr="00092ED7" w:rsidRDefault="00EA4E6A" w:rsidP="00EA4E6A">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13,8</w:t>
            </w:r>
          </w:p>
        </w:tc>
        <w:tc>
          <w:tcPr>
            <w:tcW w:w="708" w:type="dxa"/>
            <w:tcBorders>
              <w:top w:val="nil"/>
              <w:left w:val="nil"/>
              <w:bottom w:val="single" w:sz="4" w:space="0" w:color="auto"/>
              <w:right w:val="single" w:sz="4" w:space="0" w:color="auto"/>
            </w:tcBorders>
            <w:shd w:val="clear" w:color="auto" w:fill="auto"/>
            <w:vAlign w:val="center"/>
            <w:hideMark/>
          </w:tcPr>
          <w:p w14:paraId="6C0DDD69" w14:textId="77777777" w:rsidR="00EA4E6A" w:rsidRPr="00092ED7" w:rsidRDefault="00EA4E6A" w:rsidP="00EA4E6A">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11,3</w:t>
            </w:r>
          </w:p>
        </w:tc>
        <w:tc>
          <w:tcPr>
            <w:tcW w:w="709" w:type="dxa"/>
            <w:tcBorders>
              <w:top w:val="nil"/>
              <w:left w:val="nil"/>
              <w:bottom w:val="single" w:sz="4" w:space="0" w:color="auto"/>
              <w:right w:val="single" w:sz="4" w:space="0" w:color="auto"/>
            </w:tcBorders>
            <w:shd w:val="clear" w:color="auto" w:fill="auto"/>
            <w:vAlign w:val="center"/>
            <w:hideMark/>
          </w:tcPr>
          <w:p w14:paraId="6AF3FD1A" w14:textId="77777777" w:rsidR="00EA4E6A" w:rsidRPr="00092ED7" w:rsidRDefault="00EA4E6A" w:rsidP="00EA4E6A">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9,8</w:t>
            </w:r>
          </w:p>
        </w:tc>
        <w:tc>
          <w:tcPr>
            <w:tcW w:w="709" w:type="dxa"/>
            <w:tcBorders>
              <w:top w:val="nil"/>
              <w:left w:val="nil"/>
              <w:bottom w:val="single" w:sz="4" w:space="0" w:color="auto"/>
              <w:right w:val="single" w:sz="4" w:space="0" w:color="auto"/>
            </w:tcBorders>
            <w:shd w:val="clear" w:color="auto" w:fill="auto"/>
            <w:vAlign w:val="center"/>
            <w:hideMark/>
          </w:tcPr>
          <w:p w14:paraId="2D41C74E" w14:textId="77777777" w:rsidR="00EA4E6A" w:rsidRPr="00092ED7" w:rsidRDefault="00EA4E6A" w:rsidP="00EA4E6A">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11,1</w:t>
            </w:r>
          </w:p>
        </w:tc>
        <w:tc>
          <w:tcPr>
            <w:tcW w:w="709" w:type="dxa"/>
            <w:tcBorders>
              <w:top w:val="nil"/>
              <w:left w:val="nil"/>
              <w:bottom w:val="single" w:sz="4" w:space="0" w:color="auto"/>
              <w:right w:val="single" w:sz="4" w:space="0" w:color="auto"/>
            </w:tcBorders>
            <w:shd w:val="clear" w:color="auto" w:fill="auto"/>
            <w:vAlign w:val="center"/>
            <w:hideMark/>
          </w:tcPr>
          <w:p w14:paraId="4F87D4BA" w14:textId="542C6AEC" w:rsidR="00EA4E6A" w:rsidRPr="00092ED7" w:rsidRDefault="00EA4E6A" w:rsidP="00EA4E6A">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9</w:t>
            </w:r>
            <w:r w:rsidR="00AA3FDC" w:rsidRPr="00092ED7">
              <w:rPr>
                <w:rFonts w:eastAsia="Times New Roman" w:cs="Times New Roman"/>
                <w:sz w:val="20"/>
                <w:szCs w:val="20"/>
                <w:lang w:val="sr-Cyrl-CS" w:eastAsia="sr-Latn-RS"/>
              </w:rPr>
              <w:t>,0</w:t>
            </w:r>
            <w:r w:rsidRPr="00092ED7">
              <w:rPr>
                <w:rFonts w:eastAsia="Times New Roman" w:cs="Times New Roman"/>
                <w:sz w:val="20"/>
                <w:szCs w:val="20"/>
                <w:lang w:val="sr-Cyrl-CS" w:eastAsia="sr-Latn-RS"/>
              </w:rPr>
              <w:t xml:space="preserve"> (Q</w:t>
            </w:r>
            <w:r w:rsidR="00AA3FDC" w:rsidRPr="00092ED7">
              <w:rPr>
                <w:rFonts w:eastAsia="Times New Roman" w:cs="Times New Roman"/>
                <w:sz w:val="20"/>
                <w:szCs w:val="20"/>
                <w:lang w:val="sr-Cyrl-CS" w:eastAsia="sr-Latn-RS"/>
              </w:rPr>
              <w:t>3</w:t>
            </w:r>
            <w:r w:rsidRPr="00092ED7">
              <w:rPr>
                <w:rFonts w:eastAsia="Times New Roman" w:cs="Times New Roman"/>
                <w:sz w:val="20"/>
                <w:szCs w:val="20"/>
                <w:lang w:val="sr-Cyrl-CS" w:eastAsia="sr-Latn-RS"/>
              </w:rPr>
              <w:t>)</w:t>
            </w:r>
          </w:p>
        </w:tc>
      </w:tr>
      <w:tr w:rsidR="00EA4E6A" w:rsidRPr="00092ED7" w14:paraId="4AA1A211" w14:textId="77777777" w:rsidTr="00053B2B">
        <w:trPr>
          <w:trHeight w:val="276"/>
        </w:trPr>
        <w:tc>
          <w:tcPr>
            <w:tcW w:w="4673" w:type="dxa"/>
            <w:tcBorders>
              <w:top w:val="nil"/>
              <w:left w:val="single" w:sz="4" w:space="0" w:color="auto"/>
              <w:bottom w:val="single" w:sz="4" w:space="0" w:color="auto"/>
              <w:right w:val="single" w:sz="4" w:space="0" w:color="auto"/>
            </w:tcBorders>
            <w:shd w:val="clear" w:color="auto" w:fill="auto"/>
            <w:vAlign w:val="center"/>
            <w:hideMark/>
          </w:tcPr>
          <w:p w14:paraId="67C9AADC" w14:textId="77777777" w:rsidR="00EA4E6A" w:rsidRPr="00092ED7" w:rsidRDefault="00EA4E6A" w:rsidP="00EA4E6A">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 xml:space="preserve">9. Стопа дуготрајне незапослености, старост </w:t>
            </w:r>
            <w:r w:rsidRPr="00092ED7">
              <w:rPr>
                <w:rFonts w:eastAsia="Times New Roman" w:cs="Times New Roman"/>
                <w:bCs/>
                <w:color w:val="000000"/>
                <w:sz w:val="20"/>
                <w:szCs w:val="20"/>
                <w:lang w:val="sr-Cyrl-CS" w:eastAsia="sr-Latn-RS"/>
              </w:rPr>
              <w:t>15-74 год.</w:t>
            </w:r>
          </w:p>
        </w:tc>
        <w:tc>
          <w:tcPr>
            <w:tcW w:w="1258" w:type="dxa"/>
            <w:tcBorders>
              <w:top w:val="nil"/>
              <w:left w:val="nil"/>
              <w:bottom w:val="single" w:sz="4" w:space="0" w:color="auto"/>
              <w:right w:val="single" w:sz="4" w:space="0" w:color="auto"/>
            </w:tcBorders>
            <w:shd w:val="clear" w:color="auto" w:fill="auto"/>
            <w:vAlign w:val="center"/>
            <w:hideMark/>
          </w:tcPr>
          <w:p w14:paraId="3EACAC43" w14:textId="01B48656" w:rsidR="00EA4E6A" w:rsidRPr="00092ED7" w:rsidRDefault="002A4877" w:rsidP="00EA4E6A">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EUROSTAT</w:t>
            </w:r>
          </w:p>
        </w:tc>
        <w:tc>
          <w:tcPr>
            <w:tcW w:w="727" w:type="dxa"/>
            <w:tcBorders>
              <w:top w:val="nil"/>
              <w:left w:val="nil"/>
              <w:bottom w:val="single" w:sz="4" w:space="0" w:color="auto"/>
              <w:right w:val="single" w:sz="4" w:space="0" w:color="auto"/>
            </w:tcBorders>
            <w:shd w:val="clear" w:color="auto" w:fill="auto"/>
            <w:vAlign w:val="center"/>
            <w:hideMark/>
          </w:tcPr>
          <w:p w14:paraId="0159673A" w14:textId="77777777" w:rsidR="00EA4E6A" w:rsidRPr="00092ED7" w:rsidRDefault="00EA4E6A" w:rsidP="00EA4E6A">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6,7</w:t>
            </w:r>
          </w:p>
        </w:tc>
        <w:tc>
          <w:tcPr>
            <w:tcW w:w="708" w:type="dxa"/>
            <w:tcBorders>
              <w:top w:val="nil"/>
              <w:left w:val="nil"/>
              <w:bottom w:val="single" w:sz="4" w:space="0" w:color="auto"/>
              <w:right w:val="single" w:sz="4" w:space="0" w:color="auto"/>
            </w:tcBorders>
            <w:shd w:val="clear" w:color="auto" w:fill="auto"/>
            <w:vAlign w:val="center"/>
            <w:hideMark/>
          </w:tcPr>
          <w:p w14:paraId="5DD9CA3A" w14:textId="77777777" w:rsidR="00EA4E6A" w:rsidRPr="00092ED7" w:rsidRDefault="00EA4E6A" w:rsidP="00EA4E6A">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5,5</w:t>
            </w:r>
          </w:p>
        </w:tc>
        <w:tc>
          <w:tcPr>
            <w:tcW w:w="709" w:type="dxa"/>
            <w:tcBorders>
              <w:top w:val="nil"/>
              <w:left w:val="nil"/>
              <w:bottom w:val="single" w:sz="4" w:space="0" w:color="auto"/>
              <w:right w:val="single" w:sz="4" w:space="0" w:color="auto"/>
            </w:tcBorders>
            <w:shd w:val="clear" w:color="auto" w:fill="auto"/>
            <w:vAlign w:val="center"/>
            <w:hideMark/>
          </w:tcPr>
          <w:p w14:paraId="072FE8B8" w14:textId="77777777" w:rsidR="00EA4E6A" w:rsidRPr="00092ED7" w:rsidRDefault="00EA4E6A" w:rsidP="00EA4E6A">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4,5</w:t>
            </w:r>
          </w:p>
        </w:tc>
        <w:tc>
          <w:tcPr>
            <w:tcW w:w="709" w:type="dxa"/>
            <w:tcBorders>
              <w:top w:val="nil"/>
              <w:left w:val="nil"/>
              <w:bottom w:val="single" w:sz="4" w:space="0" w:color="auto"/>
              <w:right w:val="single" w:sz="4" w:space="0" w:color="auto"/>
            </w:tcBorders>
            <w:shd w:val="clear" w:color="auto" w:fill="auto"/>
            <w:vAlign w:val="center"/>
            <w:hideMark/>
          </w:tcPr>
          <w:p w14:paraId="53FF8B06" w14:textId="77777777" w:rsidR="00EA4E6A" w:rsidRPr="00092ED7" w:rsidRDefault="00EA4E6A" w:rsidP="00EA4E6A">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4,9</w:t>
            </w:r>
          </w:p>
        </w:tc>
        <w:tc>
          <w:tcPr>
            <w:tcW w:w="709" w:type="dxa"/>
            <w:tcBorders>
              <w:top w:val="nil"/>
              <w:left w:val="nil"/>
              <w:bottom w:val="single" w:sz="4" w:space="0" w:color="auto"/>
              <w:right w:val="single" w:sz="4" w:space="0" w:color="auto"/>
            </w:tcBorders>
            <w:shd w:val="clear" w:color="auto" w:fill="auto"/>
            <w:vAlign w:val="center"/>
            <w:hideMark/>
          </w:tcPr>
          <w:p w14:paraId="0D853728" w14:textId="77777777" w:rsidR="00EA4E6A" w:rsidRPr="00092ED7" w:rsidRDefault="00EA4E6A" w:rsidP="00EA4E6A">
            <w:pPr>
              <w:spacing w:after="0"/>
              <w:jc w:val="left"/>
              <w:rPr>
                <w:rFonts w:eastAsia="Times New Roman" w:cs="Times New Roman"/>
                <w:sz w:val="20"/>
                <w:szCs w:val="20"/>
                <w:lang w:val="sr-Cyrl-CS" w:eastAsia="sr-Latn-RS"/>
              </w:rPr>
            </w:pPr>
            <w:r w:rsidRPr="00092ED7">
              <w:rPr>
                <w:rFonts w:eastAsia="Times New Roman" w:cs="Times New Roman"/>
                <w:sz w:val="20"/>
                <w:szCs w:val="20"/>
                <w:lang w:val="sr-Cyrl-CS" w:eastAsia="sr-Latn-RS"/>
              </w:rPr>
              <w:t> </w:t>
            </w:r>
          </w:p>
        </w:tc>
      </w:tr>
      <w:tr w:rsidR="00EA4E6A" w:rsidRPr="00092ED7" w14:paraId="466C1412" w14:textId="77777777" w:rsidTr="00053B2B">
        <w:trPr>
          <w:trHeight w:val="528"/>
        </w:trPr>
        <w:tc>
          <w:tcPr>
            <w:tcW w:w="4673" w:type="dxa"/>
            <w:tcBorders>
              <w:top w:val="nil"/>
              <w:left w:val="single" w:sz="4" w:space="0" w:color="auto"/>
              <w:bottom w:val="single" w:sz="4" w:space="0" w:color="auto"/>
              <w:right w:val="single" w:sz="4" w:space="0" w:color="auto"/>
            </w:tcBorders>
            <w:shd w:val="clear" w:color="auto" w:fill="auto"/>
            <w:vAlign w:val="center"/>
            <w:hideMark/>
          </w:tcPr>
          <w:p w14:paraId="35D34A48" w14:textId="77777777" w:rsidR="00EA4E6A" w:rsidRPr="00092ED7" w:rsidRDefault="00EA4E6A" w:rsidP="00EA4E6A">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10. Бруто расположиви доходак домаћинстава у реалном износу, по становнику</w:t>
            </w:r>
          </w:p>
        </w:tc>
        <w:tc>
          <w:tcPr>
            <w:tcW w:w="1258" w:type="dxa"/>
            <w:tcBorders>
              <w:top w:val="nil"/>
              <w:left w:val="nil"/>
              <w:bottom w:val="single" w:sz="4" w:space="0" w:color="auto"/>
              <w:right w:val="single" w:sz="4" w:space="0" w:color="auto"/>
            </w:tcBorders>
            <w:shd w:val="clear" w:color="auto" w:fill="auto"/>
            <w:vAlign w:val="center"/>
            <w:hideMark/>
          </w:tcPr>
          <w:p w14:paraId="05D57969" w14:textId="05923A15" w:rsidR="00EA4E6A" w:rsidRPr="00092ED7" w:rsidRDefault="002A4877" w:rsidP="00EA4E6A">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EUROSTAT</w:t>
            </w:r>
          </w:p>
        </w:tc>
        <w:tc>
          <w:tcPr>
            <w:tcW w:w="727" w:type="dxa"/>
            <w:tcBorders>
              <w:top w:val="nil"/>
              <w:left w:val="nil"/>
              <w:bottom w:val="single" w:sz="4" w:space="0" w:color="auto"/>
              <w:right w:val="single" w:sz="4" w:space="0" w:color="auto"/>
            </w:tcBorders>
            <w:shd w:val="clear" w:color="auto" w:fill="auto"/>
            <w:vAlign w:val="center"/>
            <w:hideMark/>
          </w:tcPr>
          <w:p w14:paraId="699F6F08" w14:textId="77777777" w:rsidR="00EA4E6A" w:rsidRPr="00092ED7" w:rsidRDefault="00EA4E6A" w:rsidP="00EA4E6A">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w:t>
            </w:r>
          </w:p>
        </w:tc>
        <w:tc>
          <w:tcPr>
            <w:tcW w:w="708" w:type="dxa"/>
            <w:tcBorders>
              <w:top w:val="nil"/>
              <w:left w:val="nil"/>
              <w:bottom w:val="single" w:sz="4" w:space="0" w:color="auto"/>
              <w:right w:val="single" w:sz="4" w:space="0" w:color="auto"/>
            </w:tcBorders>
            <w:shd w:val="clear" w:color="auto" w:fill="auto"/>
            <w:vAlign w:val="center"/>
            <w:hideMark/>
          </w:tcPr>
          <w:p w14:paraId="24738776" w14:textId="77777777" w:rsidR="00EA4E6A" w:rsidRPr="00092ED7" w:rsidRDefault="00EA4E6A" w:rsidP="00EA4E6A">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w:t>
            </w:r>
          </w:p>
        </w:tc>
        <w:tc>
          <w:tcPr>
            <w:tcW w:w="709" w:type="dxa"/>
            <w:tcBorders>
              <w:top w:val="nil"/>
              <w:left w:val="nil"/>
              <w:bottom w:val="single" w:sz="4" w:space="0" w:color="auto"/>
              <w:right w:val="single" w:sz="4" w:space="0" w:color="auto"/>
            </w:tcBorders>
            <w:shd w:val="clear" w:color="auto" w:fill="auto"/>
            <w:vAlign w:val="center"/>
            <w:hideMark/>
          </w:tcPr>
          <w:p w14:paraId="7F206F83" w14:textId="77777777" w:rsidR="00EA4E6A" w:rsidRPr="00092ED7" w:rsidRDefault="00EA4E6A" w:rsidP="00EA4E6A">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w:t>
            </w:r>
          </w:p>
        </w:tc>
        <w:tc>
          <w:tcPr>
            <w:tcW w:w="709" w:type="dxa"/>
            <w:tcBorders>
              <w:top w:val="nil"/>
              <w:left w:val="nil"/>
              <w:bottom w:val="single" w:sz="4" w:space="0" w:color="auto"/>
              <w:right w:val="single" w:sz="4" w:space="0" w:color="auto"/>
            </w:tcBorders>
            <w:shd w:val="clear" w:color="auto" w:fill="auto"/>
            <w:vAlign w:val="center"/>
            <w:hideMark/>
          </w:tcPr>
          <w:p w14:paraId="1A62F6E5" w14:textId="77777777" w:rsidR="00EA4E6A" w:rsidRPr="00092ED7" w:rsidRDefault="00AA3FDC" w:rsidP="00EA4E6A">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w:t>
            </w:r>
            <w:r w:rsidR="00EA4E6A" w:rsidRPr="00092ED7">
              <w:rPr>
                <w:rFonts w:eastAsia="Times New Roman" w:cs="Times New Roman"/>
                <w:sz w:val="20"/>
                <w:szCs w:val="20"/>
                <w:lang w:val="sr-Cyrl-CS" w:eastAsia="sr-Latn-RS"/>
              </w:rPr>
              <w:t> </w:t>
            </w:r>
          </w:p>
        </w:tc>
        <w:tc>
          <w:tcPr>
            <w:tcW w:w="709" w:type="dxa"/>
            <w:tcBorders>
              <w:top w:val="nil"/>
              <w:left w:val="nil"/>
              <w:bottom w:val="single" w:sz="4" w:space="0" w:color="auto"/>
              <w:right w:val="single" w:sz="4" w:space="0" w:color="auto"/>
            </w:tcBorders>
            <w:shd w:val="clear" w:color="auto" w:fill="auto"/>
            <w:vAlign w:val="center"/>
            <w:hideMark/>
          </w:tcPr>
          <w:p w14:paraId="61A65DDF" w14:textId="77777777" w:rsidR="00EA4E6A" w:rsidRPr="00092ED7" w:rsidRDefault="00EA4E6A" w:rsidP="00EA4E6A">
            <w:pPr>
              <w:spacing w:after="0"/>
              <w:jc w:val="left"/>
              <w:rPr>
                <w:rFonts w:eastAsia="Times New Roman" w:cs="Times New Roman"/>
                <w:sz w:val="20"/>
                <w:szCs w:val="20"/>
                <w:lang w:val="sr-Cyrl-CS" w:eastAsia="sr-Latn-RS"/>
              </w:rPr>
            </w:pPr>
            <w:r w:rsidRPr="00092ED7">
              <w:rPr>
                <w:rFonts w:eastAsia="Times New Roman" w:cs="Times New Roman"/>
                <w:sz w:val="20"/>
                <w:szCs w:val="20"/>
                <w:lang w:val="sr-Cyrl-CS" w:eastAsia="sr-Latn-RS"/>
              </w:rPr>
              <w:t> </w:t>
            </w:r>
          </w:p>
        </w:tc>
      </w:tr>
      <w:tr w:rsidR="00EA4E6A" w:rsidRPr="00092ED7" w14:paraId="0097EBC0" w14:textId="77777777" w:rsidTr="00053B2B">
        <w:trPr>
          <w:trHeight w:val="276"/>
        </w:trPr>
        <w:tc>
          <w:tcPr>
            <w:tcW w:w="4673" w:type="dxa"/>
            <w:tcBorders>
              <w:top w:val="nil"/>
              <w:left w:val="single" w:sz="4" w:space="0" w:color="auto"/>
              <w:bottom w:val="single" w:sz="4" w:space="0" w:color="auto"/>
              <w:right w:val="single" w:sz="4" w:space="0" w:color="auto"/>
            </w:tcBorders>
            <w:shd w:val="clear" w:color="auto" w:fill="auto"/>
            <w:vAlign w:val="center"/>
            <w:hideMark/>
          </w:tcPr>
          <w:p w14:paraId="3B4ACB22" w14:textId="77777777" w:rsidR="00EA4E6A" w:rsidRPr="00092ED7" w:rsidRDefault="00EA4E6A" w:rsidP="008219D5">
            <w:pPr>
              <w:spacing w:after="0"/>
              <w:ind w:left="601"/>
              <w:jc w:val="left"/>
              <w:rPr>
                <w:rFonts w:eastAsia="Times New Roman" w:cs="Times New Roman"/>
                <w:b/>
                <w:i/>
                <w:iCs/>
                <w:color w:val="000000"/>
                <w:sz w:val="20"/>
                <w:szCs w:val="20"/>
                <w:lang w:val="sr-Cyrl-CS" w:eastAsia="sr-Latn-RS"/>
              </w:rPr>
            </w:pPr>
            <w:r w:rsidRPr="00092ED7">
              <w:rPr>
                <w:rFonts w:eastAsia="Times New Roman" w:cs="Times New Roman"/>
                <w:b/>
                <w:i/>
                <w:iCs/>
                <w:color w:val="000000"/>
                <w:sz w:val="20"/>
                <w:szCs w:val="20"/>
                <w:lang w:val="sr-Cyrl-CS" w:eastAsia="sr-Latn-RS"/>
              </w:rPr>
              <w:t>Социјална заштита и инклузија</w:t>
            </w:r>
          </w:p>
        </w:tc>
        <w:tc>
          <w:tcPr>
            <w:tcW w:w="1258" w:type="dxa"/>
            <w:tcBorders>
              <w:top w:val="nil"/>
              <w:left w:val="nil"/>
              <w:bottom w:val="single" w:sz="4" w:space="0" w:color="auto"/>
              <w:right w:val="single" w:sz="4" w:space="0" w:color="auto"/>
            </w:tcBorders>
            <w:shd w:val="clear" w:color="auto" w:fill="auto"/>
            <w:vAlign w:val="center"/>
            <w:hideMark/>
          </w:tcPr>
          <w:p w14:paraId="3F5FB3F7" w14:textId="77777777" w:rsidR="00EA4E6A" w:rsidRPr="00092ED7" w:rsidRDefault="00EA4E6A" w:rsidP="00EA4E6A">
            <w:pPr>
              <w:spacing w:after="0"/>
              <w:jc w:val="left"/>
              <w:rPr>
                <w:rFonts w:eastAsia="Times New Roman" w:cs="Times New Roman"/>
                <w:i/>
                <w:iCs/>
                <w:color w:val="000000"/>
                <w:sz w:val="20"/>
                <w:szCs w:val="20"/>
                <w:lang w:val="sr-Cyrl-CS" w:eastAsia="sr-Latn-RS"/>
              </w:rPr>
            </w:pPr>
            <w:r w:rsidRPr="00092ED7">
              <w:rPr>
                <w:rFonts w:eastAsia="Times New Roman" w:cs="Times New Roman"/>
                <w:i/>
                <w:iCs/>
                <w:color w:val="000000"/>
                <w:sz w:val="20"/>
                <w:szCs w:val="20"/>
                <w:lang w:val="sr-Cyrl-CS" w:eastAsia="sr-Latn-RS"/>
              </w:rPr>
              <w:t> </w:t>
            </w:r>
          </w:p>
        </w:tc>
        <w:tc>
          <w:tcPr>
            <w:tcW w:w="727" w:type="dxa"/>
            <w:tcBorders>
              <w:top w:val="nil"/>
              <w:left w:val="nil"/>
              <w:bottom w:val="single" w:sz="4" w:space="0" w:color="auto"/>
              <w:right w:val="single" w:sz="4" w:space="0" w:color="auto"/>
            </w:tcBorders>
            <w:shd w:val="clear" w:color="auto" w:fill="auto"/>
            <w:vAlign w:val="center"/>
            <w:hideMark/>
          </w:tcPr>
          <w:p w14:paraId="5587D1B0" w14:textId="77777777" w:rsidR="00EA4E6A" w:rsidRPr="00092ED7" w:rsidRDefault="00EA4E6A" w:rsidP="00EA4E6A">
            <w:pPr>
              <w:spacing w:after="0"/>
              <w:jc w:val="left"/>
              <w:rPr>
                <w:rFonts w:eastAsia="Times New Roman" w:cs="Times New Roman"/>
                <w:i/>
                <w:iCs/>
                <w:sz w:val="20"/>
                <w:szCs w:val="20"/>
                <w:lang w:val="sr-Cyrl-CS" w:eastAsia="sr-Latn-RS"/>
              </w:rPr>
            </w:pPr>
            <w:r w:rsidRPr="00092ED7">
              <w:rPr>
                <w:rFonts w:eastAsia="Times New Roman" w:cs="Times New Roman"/>
                <w:i/>
                <w:iCs/>
                <w:sz w:val="20"/>
                <w:szCs w:val="20"/>
                <w:lang w:val="sr-Cyrl-CS" w:eastAsia="sr-Latn-RS"/>
              </w:rPr>
              <w:t> </w:t>
            </w:r>
          </w:p>
        </w:tc>
        <w:tc>
          <w:tcPr>
            <w:tcW w:w="708" w:type="dxa"/>
            <w:tcBorders>
              <w:top w:val="nil"/>
              <w:left w:val="nil"/>
              <w:bottom w:val="single" w:sz="4" w:space="0" w:color="auto"/>
              <w:right w:val="single" w:sz="4" w:space="0" w:color="auto"/>
            </w:tcBorders>
            <w:shd w:val="clear" w:color="auto" w:fill="auto"/>
            <w:vAlign w:val="center"/>
            <w:hideMark/>
          </w:tcPr>
          <w:p w14:paraId="5684274D" w14:textId="77777777" w:rsidR="00EA4E6A" w:rsidRPr="00092ED7" w:rsidRDefault="00EA4E6A" w:rsidP="00EA4E6A">
            <w:pPr>
              <w:spacing w:after="0"/>
              <w:jc w:val="left"/>
              <w:rPr>
                <w:rFonts w:eastAsia="Times New Roman" w:cs="Times New Roman"/>
                <w:i/>
                <w:iCs/>
                <w:sz w:val="20"/>
                <w:szCs w:val="20"/>
                <w:lang w:val="sr-Cyrl-CS" w:eastAsia="sr-Latn-RS"/>
              </w:rPr>
            </w:pPr>
            <w:r w:rsidRPr="00092ED7">
              <w:rPr>
                <w:rFonts w:eastAsia="Times New Roman" w:cs="Times New Roman"/>
                <w:i/>
                <w:iCs/>
                <w:sz w:val="20"/>
                <w:szCs w:val="20"/>
                <w:lang w:val="sr-Cyrl-CS" w:eastAsia="sr-Latn-RS"/>
              </w:rPr>
              <w:t> </w:t>
            </w:r>
          </w:p>
        </w:tc>
        <w:tc>
          <w:tcPr>
            <w:tcW w:w="709" w:type="dxa"/>
            <w:tcBorders>
              <w:top w:val="nil"/>
              <w:left w:val="nil"/>
              <w:bottom w:val="single" w:sz="4" w:space="0" w:color="auto"/>
              <w:right w:val="single" w:sz="4" w:space="0" w:color="auto"/>
            </w:tcBorders>
            <w:shd w:val="clear" w:color="auto" w:fill="auto"/>
            <w:vAlign w:val="center"/>
            <w:hideMark/>
          </w:tcPr>
          <w:p w14:paraId="26E49110" w14:textId="77777777" w:rsidR="00EA4E6A" w:rsidRPr="00092ED7" w:rsidRDefault="00EA4E6A" w:rsidP="00EA4E6A">
            <w:pPr>
              <w:spacing w:after="0"/>
              <w:jc w:val="left"/>
              <w:rPr>
                <w:rFonts w:eastAsia="Times New Roman" w:cs="Times New Roman"/>
                <w:i/>
                <w:iCs/>
                <w:sz w:val="20"/>
                <w:szCs w:val="20"/>
                <w:lang w:val="sr-Cyrl-CS" w:eastAsia="sr-Latn-RS"/>
              </w:rPr>
            </w:pPr>
            <w:r w:rsidRPr="00092ED7">
              <w:rPr>
                <w:rFonts w:eastAsia="Times New Roman" w:cs="Times New Roman"/>
                <w:i/>
                <w:iCs/>
                <w:sz w:val="20"/>
                <w:szCs w:val="20"/>
                <w:lang w:val="sr-Cyrl-CS" w:eastAsia="sr-Latn-RS"/>
              </w:rPr>
              <w:t> </w:t>
            </w:r>
          </w:p>
        </w:tc>
        <w:tc>
          <w:tcPr>
            <w:tcW w:w="709" w:type="dxa"/>
            <w:tcBorders>
              <w:top w:val="nil"/>
              <w:left w:val="nil"/>
              <w:bottom w:val="single" w:sz="4" w:space="0" w:color="auto"/>
              <w:right w:val="single" w:sz="4" w:space="0" w:color="auto"/>
            </w:tcBorders>
            <w:shd w:val="clear" w:color="auto" w:fill="auto"/>
            <w:vAlign w:val="center"/>
            <w:hideMark/>
          </w:tcPr>
          <w:p w14:paraId="299DCF5B" w14:textId="77777777" w:rsidR="00EA4E6A" w:rsidRPr="00092ED7" w:rsidRDefault="00EA4E6A" w:rsidP="00EA4E6A">
            <w:pPr>
              <w:spacing w:after="0"/>
              <w:jc w:val="left"/>
              <w:rPr>
                <w:rFonts w:eastAsia="Times New Roman" w:cs="Times New Roman"/>
                <w:i/>
                <w:iCs/>
                <w:sz w:val="20"/>
                <w:szCs w:val="20"/>
                <w:lang w:val="sr-Cyrl-CS" w:eastAsia="sr-Latn-RS"/>
              </w:rPr>
            </w:pPr>
            <w:r w:rsidRPr="00092ED7">
              <w:rPr>
                <w:rFonts w:eastAsia="Times New Roman" w:cs="Times New Roman"/>
                <w:i/>
                <w:iCs/>
                <w:sz w:val="20"/>
                <w:szCs w:val="20"/>
                <w:lang w:val="sr-Cyrl-CS" w:eastAsia="sr-Latn-RS"/>
              </w:rPr>
              <w:t> </w:t>
            </w:r>
          </w:p>
        </w:tc>
        <w:tc>
          <w:tcPr>
            <w:tcW w:w="709" w:type="dxa"/>
            <w:tcBorders>
              <w:top w:val="nil"/>
              <w:left w:val="nil"/>
              <w:bottom w:val="single" w:sz="4" w:space="0" w:color="auto"/>
              <w:right w:val="single" w:sz="4" w:space="0" w:color="auto"/>
            </w:tcBorders>
            <w:shd w:val="clear" w:color="auto" w:fill="auto"/>
            <w:vAlign w:val="center"/>
            <w:hideMark/>
          </w:tcPr>
          <w:p w14:paraId="2628A6E8" w14:textId="77777777" w:rsidR="00EA4E6A" w:rsidRPr="00092ED7" w:rsidRDefault="00EA4E6A" w:rsidP="00EA4E6A">
            <w:pPr>
              <w:spacing w:after="0"/>
              <w:jc w:val="left"/>
              <w:rPr>
                <w:rFonts w:eastAsia="Times New Roman" w:cs="Times New Roman"/>
                <w:i/>
                <w:iCs/>
                <w:sz w:val="20"/>
                <w:szCs w:val="20"/>
                <w:lang w:val="sr-Cyrl-CS" w:eastAsia="sr-Latn-RS"/>
              </w:rPr>
            </w:pPr>
            <w:r w:rsidRPr="00092ED7">
              <w:rPr>
                <w:rFonts w:eastAsia="Times New Roman" w:cs="Times New Roman"/>
                <w:i/>
                <w:iCs/>
                <w:sz w:val="20"/>
                <w:szCs w:val="20"/>
                <w:lang w:val="sr-Cyrl-CS" w:eastAsia="sr-Latn-RS"/>
              </w:rPr>
              <w:t> </w:t>
            </w:r>
          </w:p>
        </w:tc>
      </w:tr>
      <w:tr w:rsidR="00EA4E6A" w:rsidRPr="00092ED7" w14:paraId="1FE4EB9E" w14:textId="77777777" w:rsidTr="00053B2B">
        <w:trPr>
          <w:trHeight w:val="528"/>
        </w:trPr>
        <w:tc>
          <w:tcPr>
            <w:tcW w:w="4673" w:type="dxa"/>
            <w:tcBorders>
              <w:top w:val="nil"/>
              <w:left w:val="single" w:sz="4" w:space="0" w:color="auto"/>
              <w:bottom w:val="single" w:sz="4" w:space="0" w:color="auto"/>
              <w:right w:val="single" w:sz="4" w:space="0" w:color="auto"/>
            </w:tcBorders>
            <w:shd w:val="clear" w:color="auto" w:fill="auto"/>
            <w:vAlign w:val="center"/>
            <w:hideMark/>
          </w:tcPr>
          <w:p w14:paraId="5F3BD394" w14:textId="77777777" w:rsidR="00EA4E6A" w:rsidRPr="00092ED7" w:rsidRDefault="00EA4E6A" w:rsidP="00EA4E6A">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11. Стопа ризика од сиромаштва или социјалне искључености (AROPE)</w:t>
            </w:r>
          </w:p>
        </w:tc>
        <w:tc>
          <w:tcPr>
            <w:tcW w:w="1258" w:type="dxa"/>
            <w:tcBorders>
              <w:top w:val="nil"/>
              <w:left w:val="nil"/>
              <w:bottom w:val="single" w:sz="4" w:space="0" w:color="auto"/>
              <w:right w:val="single" w:sz="4" w:space="0" w:color="auto"/>
            </w:tcBorders>
            <w:shd w:val="clear" w:color="auto" w:fill="auto"/>
            <w:vAlign w:val="center"/>
            <w:hideMark/>
          </w:tcPr>
          <w:p w14:paraId="1530C2C4" w14:textId="55CAEAE2" w:rsidR="00EA4E6A" w:rsidRPr="00092ED7" w:rsidRDefault="002A4877" w:rsidP="00EA4E6A">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EUROSTAT</w:t>
            </w:r>
          </w:p>
        </w:tc>
        <w:tc>
          <w:tcPr>
            <w:tcW w:w="727" w:type="dxa"/>
            <w:tcBorders>
              <w:top w:val="nil"/>
              <w:left w:val="nil"/>
              <w:bottom w:val="single" w:sz="4" w:space="0" w:color="auto"/>
              <w:right w:val="single" w:sz="4" w:space="0" w:color="auto"/>
            </w:tcBorders>
            <w:shd w:val="clear" w:color="auto" w:fill="auto"/>
            <w:vAlign w:val="center"/>
            <w:hideMark/>
          </w:tcPr>
          <w:p w14:paraId="0AAC8AA9" w14:textId="77777777" w:rsidR="00EA4E6A" w:rsidRPr="00092ED7" w:rsidRDefault="00EA4E6A" w:rsidP="00EA4E6A">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34,3</w:t>
            </w:r>
          </w:p>
        </w:tc>
        <w:tc>
          <w:tcPr>
            <w:tcW w:w="708" w:type="dxa"/>
            <w:tcBorders>
              <w:top w:val="nil"/>
              <w:left w:val="nil"/>
              <w:bottom w:val="single" w:sz="4" w:space="0" w:color="auto"/>
              <w:right w:val="single" w:sz="4" w:space="0" w:color="auto"/>
            </w:tcBorders>
            <w:shd w:val="clear" w:color="auto" w:fill="auto"/>
            <w:vAlign w:val="center"/>
            <w:hideMark/>
          </w:tcPr>
          <w:p w14:paraId="18502461" w14:textId="77777777" w:rsidR="00EA4E6A" w:rsidRPr="00092ED7" w:rsidRDefault="00EA4E6A" w:rsidP="00EA4E6A">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31,7</w:t>
            </w:r>
          </w:p>
        </w:tc>
        <w:tc>
          <w:tcPr>
            <w:tcW w:w="709" w:type="dxa"/>
            <w:tcBorders>
              <w:top w:val="nil"/>
              <w:left w:val="nil"/>
              <w:bottom w:val="single" w:sz="4" w:space="0" w:color="auto"/>
              <w:right w:val="single" w:sz="4" w:space="0" w:color="auto"/>
            </w:tcBorders>
            <w:shd w:val="clear" w:color="auto" w:fill="auto"/>
            <w:vAlign w:val="center"/>
            <w:hideMark/>
          </w:tcPr>
          <w:p w14:paraId="55904C71" w14:textId="77777777" w:rsidR="00EA4E6A" w:rsidRPr="00092ED7" w:rsidRDefault="00EA4E6A" w:rsidP="00EA4E6A">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29,8</w:t>
            </w:r>
          </w:p>
        </w:tc>
        <w:tc>
          <w:tcPr>
            <w:tcW w:w="709" w:type="dxa"/>
            <w:tcBorders>
              <w:top w:val="nil"/>
              <w:left w:val="nil"/>
              <w:bottom w:val="single" w:sz="4" w:space="0" w:color="auto"/>
              <w:right w:val="single" w:sz="4" w:space="0" w:color="auto"/>
            </w:tcBorders>
            <w:shd w:val="clear" w:color="auto" w:fill="auto"/>
            <w:vAlign w:val="center"/>
            <w:hideMark/>
          </w:tcPr>
          <w:p w14:paraId="1BD17587" w14:textId="470EC197" w:rsidR="00EA4E6A" w:rsidRPr="00092ED7" w:rsidRDefault="00AA3FDC" w:rsidP="00EA4E6A">
            <w:pPr>
              <w:spacing w:after="0"/>
              <w:jc w:val="left"/>
              <w:rPr>
                <w:rFonts w:eastAsia="Times New Roman" w:cs="Times New Roman"/>
                <w:sz w:val="20"/>
                <w:szCs w:val="20"/>
                <w:lang w:val="sr-Cyrl-CS" w:eastAsia="sr-Latn-RS"/>
              </w:rPr>
            </w:pPr>
            <w:r w:rsidRPr="00092ED7">
              <w:rPr>
                <w:rFonts w:eastAsia="Times New Roman" w:cs="Times New Roman"/>
                <w:sz w:val="20"/>
                <w:szCs w:val="20"/>
                <w:lang w:val="sr-Cyrl-CS" w:eastAsia="sr-Latn-RS"/>
              </w:rPr>
              <w:t>28,5</w:t>
            </w:r>
          </w:p>
        </w:tc>
        <w:tc>
          <w:tcPr>
            <w:tcW w:w="709" w:type="dxa"/>
            <w:tcBorders>
              <w:top w:val="nil"/>
              <w:left w:val="nil"/>
              <w:bottom w:val="single" w:sz="4" w:space="0" w:color="auto"/>
              <w:right w:val="single" w:sz="4" w:space="0" w:color="auto"/>
            </w:tcBorders>
            <w:shd w:val="clear" w:color="auto" w:fill="auto"/>
            <w:vAlign w:val="center"/>
            <w:hideMark/>
          </w:tcPr>
          <w:p w14:paraId="4D9673CA" w14:textId="77777777" w:rsidR="00EA4E6A" w:rsidRPr="00092ED7" w:rsidRDefault="00EA4E6A" w:rsidP="00EA4E6A">
            <w:pPr>
              <w:spacing w:after="0"/>
              <w:jc w:val="left"/>
              <w:rPr>
                <w:rFonts w:eastAsia="Times New Roman" w:cs="Times New Roman"/>
                <w:sz w:val="20"/>
                <w:szCs w:val="20"/>
                <w:lang w:val="sr-Cyrl-CS" w:eastAsia="sr-Latn-RS"/>
              </w:rPr>
            </w:pPr>
            <w:r w:rsidRPr="00092ED7">
              <w:rPr>
                <w:rFonts w:eastAsia="Times New Roman" w:cs="Times New Roman"/>
                <w:sz w:val="20"/>
                <w:szCs w:val="20"/>
                <w:lang w:val="sr-Cyrl-CS" w:eastAsia="sr-Latn-RS"/>
              </w:rPr>
              <w:t> </w:t>
            </w:r>
          </w:p>
        </w:tc>
      </w:tr>
      <w:tr w:rsidR="00EA4E6A" w:rsidRPr="00092ED7" w14:paraId="6A3147B7" w14:textId="77777777" w:rsidTr="00053B2B">
        <w:trPr>
          <w:trHeight w:val="528"/>
        </w:trPr>
        <w:tc>
          <w:tcPr>
            <w:tcW w:w="4673" w:type="dxa"/>
            <w:tcBorders>
              <w:top w:val="nil"/>
              <w:left w:val="single" w:sz="4" w:space="0" w:color="auto"/>
              <w:bottom w:val="single" w:sz="4" w:space="0" w:color="auto"/>
              <w:right w:val="single" w:sz="4" w:space="0" w:color="auto"/>
            </w:tcBorders>
            <w:shd w:val="clear" w:color="auto" w:fill="auto"/>
            <w:vAlign w:val="center"/>
            <w:hideMark/>
          </w:tcPr>
          <w:p w14:paraId="2C2FE112" w14:textId="77777777" w:rsidR="00EA4E6A" w:rsidRPr="00092ED7" w:rsidRDefault="00EA4E6A" w:rsidP="008219D5">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12. Стопа ризика од сиромаштва или социјалне искључености (АROPE) за децу (</w:t>
            </w:r>
            <w:r w:rsidRPr="00092ED7">
              <w:rPr>
                <w:rFonts w:eastAsia="Times New Roman" w:cs="Times New Roman"/>
                <w:bCs/>
                <w:color w:val="000000"/>
                <w:sz w:val="20"/>
                <w:szCs w:val="20"/>
                <w:lang w:val="sr-Cyrl-CS" w:eastAsia="sr-Latn-RS"/>
              </w:rPr>
              <w:t xml:space="preserve">0-17) </w:t>
            </w:r>
            <w:r w:rsidRPr="00092ED7">
              <w:rPr>
                <w:rFonts w:eastAsia="Times New Roman" w:cs="Times New Roman"/>
                <w:color w:val="000000"/>
                <w:sz w:val="20"/>
                <w:szCs w:val="20"/>
                <w:lang w:val="sr-Cyrl-CS" w:eastAsia="sr-Latn-RS"/>
              </w:rPr>
              <w:t>год.</w:t>
            </w:r>
          </w:p>
        </w:tc>
        <w:tc>
          <w:tcPr>
            <w:tcW w:w="1258" w:type="dxa"/>
            <w:tcBorders>
              <w:top w:val="nil"/>
              <w:left w:val="nil"/>
              <w:bottom w:val="single" w:sz="4" w:space="0" w:color="auto"/>
              <w:right w:val="single" w:sz="4" w:space="0" w:color="auto"/>
            </w:tcBorders>
            <w:shd w:val="clear" w:color="auto" w:fill="auto"/>
            <w:vAlign w:val="center"/>
            <w:hideMark/>
          </w:tcPr>
          <w:p w14:paraId="43DA2CC1" w14:textId="64A1B3DC" w:rsidR="00EA4E6A" w:rsidRPr="00092ED7" w:rsidRDefault="002A4877" w:rsidP="00EA4E6A">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EUROSTAT</w:t>
            </w:r>
          </w:p>
        </w:tc>
        <w:tc>
          <w:tcPr>
            <w:tcW w:w="727" w:type="dxa"/>
            <w:tcBorders>
              <w:top w:val="nil"/>
              <w:left w:val="nil"/>
              <w:bottom w:val="single" w:sz="4" w:space="0" w:color="auto"/>
              <w:right w:val="single" w:sz="4" w:space="0" w:color="auto"/>
            </w:tcBorders>
            <w:shd w:val="clear" w:color="auto" w:fill="auto"/>
            <w:vAlign w:val="center"/>
            <w:hideMark/>
          </w:tcPr>
          <w:p w14:paraId="23F3D151" w14:textId="1C25A03D" w:rsidR="00EA4E6A" w:rsidRPr="00092ED7" w:rsidRDefault="00AA3FDC" w:rsidP="00EA4E6A">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35,9</w:t>
            </w:r>
          </w:p>
        </w:tc>
        <w:tc>
          <w:tcPr>
            <w:tcW w:w="708" w:type="dxa"/>
            <w:tcBorders>
              <w:top w:val="nil"/>
              <w:left w:val="nil"/>
              <w:bottom w:val="single" w:sz="4" w:space="0" w:color="auto"/>
              <w:right w:val="single" w:sz="4" w:space="0" w:color="auto"/>
            </w:tcBorders>
            <w:shd w:val="clear" w:color="auto" w:fill="auto"/>
            <w:vAlign w:val="center"/>
            <w:hideMark/>
          </w:tcPr>
          <w:p w14:paraId="5BB1C4CD" w14:textId="6A810A97" w:rsidR="00EA4E6A" w:rsidRPr="00092ED7" w:rsidRDefault="00AA3FDC" w:rsidP="00EA4E6A">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35,3</w:t>
            </w:r>
          </w:p>
        </w:tc>
        <w:tc>
          <w:tcPr>
            <w:tcW w:w="709" w:type="dxa"/>
            <w:tcBorders>
              <w:top w:val="nil"/>
              <w:left w:val="nil"/>
              <w:bottom w:val="single" w:sz="4" w:space="0" w:color="auto"/>
              <w:right w:val="single" w:sz="4" w:space="0" w:color="auto"/>
            </w:tcBorders>
            <w:shd w:val="clear" w:color="auto" w:fill="auto"/>
            <w:vAlign w:val="center"/>
            <w:hideMark/>
          </w:tcPr>
          <w:p w14:paraId="4DD7C50A" w14:textId="7380392A" w:rsidR="00EA4E6A" w:rsidRPr="00092ED7" w:rsidRDefault="00AA3FDC" w:rsidP="00EA4E6A">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29,9</w:t>
            </w:r>
          </w:p>
        </w:tc>
        <w:tc>
          <w:tcPr>
            <w:tcW w:w="709" w:type="dxa"/>
            <w:tcBorders>
              <w:top w:val="nil"/>
              <w:left w:val="nil"/>
              <w:bottom w:val="single" w:sz="4" w:space="0" w:color="auto"/>
              <w:right w:val="single" w:sz="4" w:space="0" w:color="auto"/>
            </w:tcBorders>
            <w:shd w:val="clear" w:color="auto" w:fill="auto"/>
            <w:vAlign w:val="center"/>
            <w:hideMark/>
          </w:tcPr>
          <w:p w14:paraId="69AEDEEE" w14:textId="191DF932" w:rsidR="00EA4E6A" w:rsidRPr="00092ED7" w:rsidRDefault="00AA3FDC" w:rsidP="00EA4E6A">
            <w:pPr>
              <w:spacing w:after="0"/>
              <w:jc w:val="left"/>
              <w:rPr>
                <w:rFonts w:eastAsia="Times New Roman" w:cs="Times New Roman"/>
                <w:sz w:val="20"/>
                <w:szCs w:val="20"/>
                <w:lang w:val="sr-Cyrl-CS" w:eastAsia="sr-Latn-RS"/>
              </w:rPr>
            </w:pPr>
            <w:r w:rsidRPr="00092ED7">
              <w:rPr>
                <w:rFonts w:eastAsia="Times New Roman" w:cs="Times New Roman"/>
                <w:sz w:val="20"/>
                <w:szCs w:val="20"/>
                <w:lang w:val="sr-Cyrl-CS" w:eastAsia="sr-Latn-RS"/>
              </w:rPr>
              <w:t>27,8</w:t>
            </w:r>
          </w:p>
        </w:tc>
        <w:tc>
          <w:tcPr>
            <w:tcW w:w="709" w:type="dxa"/>
            <w:tcBorders>
              <w:top w:val="nil"/>
              <w:left w:val="nil"/>
              <w:bottom w:val="single" w:sz="4" w:space="0" w:color="auto"/>
              <w:right w:val="single" w:sz="4" w:space="0" w:color="auto"/>
            </w:tcBorders>
            <w:shd w:val="clear" w:color="auto" w:fill="auto"/>
            <w:vAlign w:val="center"/>
            <w:hideMark/>
          </w:tcPr>
          <w:p w14:paraId="74AB498B" w14:textId="77777777" w:rsidR="00EA4E6A" w:rsidRPr="00092ED7" w:rsidRDefault="00EA4E6A" w:rsidP="00EA4E6A">
            <w:pPr>
              <w:spacing w:after="0"/>
              <w:jc w:val="left"/>
              <w:rPr>
                <w:rFonts w:eastAsia="Times New Roman" w:cs="Times New Roman"/>
                <w:sz w:val="20"/>
                <w:szCs w:val="20"/>
                <w:lang w:val="sr-Cyrl-CS" w:eastAsia="sr-Latn-RS"/>
              </w:rPr>
            </w:pPr>
            <w:r w:rsidRPr="00092ED7">
              <w:rPr>
                <w:rFonts w:eastAsia="Times New Roman" w:cs="Times New Roman"/>
                <w:sz w:val="20"/>
                <w:szCs w:val="20"/>
                <w:lang w:val="sr-Cyrl-CS" w:eastAsia="sr-Latn-RS"/>
              </w:rPr>
              <w:t> </w:t>
            </w:r>
          </w:p>
        </w:tc>
      </w:tr>
      <w:tr w:rsidR="00EA4E6A" w:rsidRPr="00092ED7" w14:paraId="3BC2F942" w14:textId="77777777" w:rsidTr="00053B2B">
        <w:trPr>
          <w:trHeight w:val="528"/>
        </w:trPr>
        <w:tc>
          <w:tcPr>
            <w:tcW w:w="4673" w:type="dxa"/>
            <w:tcBorders>
              <w:top w:val="nil"/>
              <w:left w:val="single" w:sz="4" w:space="0" w:color="auto"/>
              <w:bottom w:val="single" w:sz="4" w:space="0" w:color="auto"/>
              <w:right w:val="single" w:sz="4" w:space="0" w:color="auto"/>
            </w:tcBorders>
            <w:shd w:val="clear" w:color="auto" w:fill="auto"/>
            <w:vAlign w:val="center"/>
            <w:hideMark/>
          </w:tcPr>
          <w:p w14:paraId="7F9918CF" w14:textId="77777777" w:rsidR="00EA4E6A" w:rsidRPr="00092ED7" w:rsidRDefault="00EA4E6A" w:rsidP="00EA4E6A">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13. Ут</w:t>
            </w:r>
            <w:r w:rsidR="008219D5" w:rsidRPr="00092ED7">
              <w:rPr>
                <w:rFonts w:eastAsia="Times New Roman" w:cs="Times New Roman"/>
                <w:color w:val="000000"/>
                <w:sz w:val="20"/>
                <w:szCs w:val="20"/>
                <w:lang w:val="sr-Cyrl-CS" w:eastAsia="sr-Latn-RS"/>
              </w:rPr>
              <w:t xml:space="preserve">ицај социјалних трансфера (осим </w:t>
            </w:r>
            <w:r w:rsidRPr="00092ED7">
              <w:rPr>
                <w:rFonts w:eastAsia="Times New Roman" w:cs="Times New Roman"/>
                <w:color w:val="000000"/>
                <w:sz w:val="20"/>
                <w:szCs w:val="20"/>
                <w:lang w:val="sr-Cyrl-CS" w:eastAsia="sr-Latn-RS"/>
              </w:rPr>
              <w:t>пензија) на смањење сиромаштва</w:t>
            </w:r>
          </w:p>
        </w:tc>
        <w:tc>
          <w:tcPr>
            <w:tcW w:w="1258" w:type="dxa"/>
            <w:tcBorders>
              <w:top w:val="nil"/>
              <w:left w:val="nil"/>
              <w:bottom w:val="single" w:sz="4" w:space="0" w:color="auto"/>
              <w:right w:val="single" w:sz="4" w:space="0" w:color="auto"/>
            </w:tcBorders>
            <w:shd w:val="clear" w:color="auto" w:fill="auto"/>
            <w:vAlign w:val="center"/>
            <w:hideMark/>
          </w:tcPr>
          <w:p w14:paraId="2F59BB88" w14:textId="2A7DF2B0" w:rsidR="00EA4E6A" w:rsidRPr="00092ED7" w:rsidRDefault="002A4877" w:rsidP="00EA4E6A">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EUROSTAT</w:t>
            </w:r>
          </w:p>
        </w:tc>
        <w:tc>
          <w:tcPr>
            <w:tcW w:w="727" w:type="dxa"/>
            <w:tcBorders>
              <w:top w:val="nil"/>
              <w:left w:val="nil"/>
              <w:bottom w:val="single" w:sz="4" w:space="0" w:color="auto"/>
              <w:right w:val="single" w:sz="4" w:space="0" w:color="auto"/>
            </w:tcBorders>
            <w:shd w:val="clear" w:color="auto" w:fill="auto"/>
            <w:vAlign w:val="center"/>
            <w:hideMark/>
          </w:tcPr>
          <w:p w14:paraId="207C0D7A" w14:textId="77777777" w:rsidR="00EA4E6A" w:rsidRPr="00092ED7" w:rsidRDefault="00EA4E6A" w:rsidP="00EA4E6A">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17,91</w:t>
            </w:r>
          </w:p>
        </w:tc>
        <w:tc>
          <w:tcPr>
            <w:tcW w:w="708" w:type="dxa"/>
            <w:tcBorders>
              <w:top w:val="nil"/>
              <w:left w:val="nil"/>
              <w:bottom w:val="single" w:sz="4" w:space="0" w:color="auto"/>
              <w:right w:val="single" w:sz="4" w:space="0" w:color="auto"/>
            </w:tcBorders>
            <w:shd w:val="clear" w:color="auto" w:fill="auto"/>
            <w:vAlign w:val="center"/>
            <w:hideMark/>
          </w:tcPr>
          <w:p w14:paraId="521DB638" w14:textId="77777777" w:rsidR="00EA4E6A" w:rsidRPr="00092ED7" w:rsidRDefault="00EA4E6A" w:rsidP="00EA4E6A">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18,02</w:t>
            </w:r>
          </w:p>
        </w:tc>
        <w:tc>
          <w:tcPr>
            <w:tcW w:w="709" w:type="dxa"/>
            <w:tcBorders>
              <w:top w:val="nil"/>
              <w:left w:val="nil"/>
              <w:bottom w:val="single" w:sz="4" w:space="0" w:color="auto"/>
              <w:right w:val="single" w:sz="4" w:space="0" w:color="auto"/>
            </w:tcBorders>
            <w:shd w:val="clear" w:color="auto" w:fill="auto"/>
            <w:vAlign w:val="center"/>
            <w:hideMark/>
          </w:tcPr>
          <w:p w14:paraId="58E46553" w14:textId="77777777" w:rsidR="00EA4E6A" w:rsidRPr="00092ED7" w:rsidRDefault="00EA4E6A" w:rsidP="00EA4E6A">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18,73</w:t>
            </w:r>
          </w:p>
        </w:tc>
        <w:tc>
          <w:tcPr>
            <w:tcW w:w="709" w:type="dxa"/>
            <w:tcBorders>
              <w:top w:val="nil"/>
              <w:left w:val="nil"/>
              <w:bottom w:val="single" w:sz="4" w:space="0" w:color="auto"/>
              <w:right w:val="single" w:sz="4" w:space="0" w:color="auto"/>
            </w:tcBorders>
            <w:shd w:val="clear" w:color="auto" w:fill="auto"/>
            <w:vAlign w:val="center"/>
            <w:hideMark/>
          </w:tcPr>
          <w:p w14:paraId="4D0FF8F8" w14:textId="77777777" w:rsidR="00EA4E6A" w:rsidRPr="00092ED7" w:rsidRDefault="00EA4E6A" w:rsidP="00EA4E6A">
            <w:pPr>
              <w:spacing w:after="0"/>
              <w:jc w:val="left"/>
              <w:rPr>
                <w:rFonts w:eastAsia="Times New Roman" w:cs="Times New Roman"/>
                <w:sz w:val="20"/>
                <w:szCs w:val="20"/>
                <w:lang w:val="sr-Cyrl-CS" w:eastAsia="sr-Latn-RS"/>
              </w:rPr>
            </w:pPr>
            <w:r w:rsidRPr="00092ED7">
              <w:rPr>
                <w:rFonts w:eastAsia="Times New Roman" w:cs="Times New Roman"/>
                <w:sz w:val="20"/>
                <w:szCs w:val="20"/>
                <w:lang w:val="sr-Cyrl-CS" w:eastAsia="sr-Latn-RS"/>
              </w:rPr>
              <w:t>-</w:t>
            </w:r>
          </w:p>
        </w:tc>
        <w:tc>
          <w:tcPr>
            <w:tcW w:w="709" w:type="dxa"/>
            <w:tcBorders>
              <w:top w:val="nil"/>
              <w:left w:val="nil"/>
              <w:bottom w:val="single" w:sz="4" w:space="0" w:color="auto"/>
              <w:right w:val="single" w:sz="4" w:space="0" w:color="auto"/>
            </w:tcBorders>
            <w:shd w:val="clear" w:color="auto" w:fill="auto"/>
            <w:vAlign w:val="center"/>
            <w:hideMark/>
          </w:tcPr>
          <w:p w14:paraId="78CF176F" w14:textId="77777777" w:rsidR="00EA4E6A" w:rsidRPr="00092ED7" w:rsidRDefault="00EA4E6A" w:rsidP="00EA4E6A">
            <w:pPr>
              <w:spacing w:after="0"/>
              <w:jc w:val="left"/>
              <w:rPr>
                <w:rFonts w:eastAsia="Times New Roman" w:cs="Times New Roman"/>
                <w:sz w:val="20"/>
                <w:szCs w:val="20"/>
                <w:lang w:val="sr-Cyrl-CS" w:eastAsia="sr-Latn-RS"/>
              </w:rPr>
            </w:pPr>
            <w:r w:rsidRPr="00092ED7">
              <w:rPr>
                <w:rFonts w:eastAsia="Times New Roman" w:cs="Times New Roman"/>
                <w:sz w:val="20"/>
                <w:szCs w:val="20"/>
                <w:lang w:val="sr-Cyrl-CS" w:eastAsia="sr-Latn-RS"/>
              </w:rPr>
              <w:t> </w:t>
            </w:r>
          </w:p>
        </w:tc>
      </w:tr>
      <w:tr w:rsidR="00EA4E6A" w:rsidRPr="00092ED7" w14:paraId="36962511" w14:textId="77777777" w:rsidTr="00053B2B">
        <w:trPr>
          <w:trHeight w:val="276"/>
        </w:trPr>
        <w:tc>
          <w:tcPr>
            <w:tcW w:w="4673" w:type="dxa"/>
            <w:tcBorders>
              <w:top w:val="nil"/>
              <w:left w:val="single" w:sz="4" w:space="0" w:color="auto"/>
              <w:bottom w:val="single" w:sz="4" w:space="0" w:color="auto"/>
              <w:right w:val="single" w:sz="4" w:space="0" w:color="auto"/>
            </w:tcBorders>
            <w:shd w:val="clear" w:color="auto" w:fill="auto"/>
            <w:vAlign w:val="center"/>
            <w:hideMark/>
          </w:tcPr>
          <w:p w14:paraId="41E11D3D" w14:textId="77777777" w:rsidR="00EA4E6A" w:rsidRPr="00092ED7" w:rsidRDefault="00EA4E6A" w:rsidP="00EA4E6A">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 xml:space="preserve">14. Јаз у запошљавању особа са инвалидитетом, </w:t>
            </w:r>
            <w:r w:rsidRPr="00092ED7">
              <w:rPr>
                <w:rFonts w:eastAsia="Times New Roman" w:cs="Times New Roman"/>
                <w:bCs/>
                <w:color w:val="000000"/>
                <w:sz w:val="20"/>
                <w:szCs w:val="20"/>
                <w:lang w:val="sr-Cyrl-CS" w:eastAsia="sr-Latn-RS"/>
              </w:rPr>
              <w:t>20-64 год.</w:t>
            </w:r>
          </w:p>
        </w:tc>
        <w:tc>
          <w:tcPr>
            <w:tcW w:w="1258" w:type="dxa"/>
            <w:tcBorders>
              <w:top w:val="nil"/>
              <w:left w:val="nil"/>
              <w:bottom w:val="single" w:sz="4" w:space="0" w:color="auto"/>
              <w:right w:val="single" w:sz="4" w:space="0" w:color="auto"/>
            </w:tcBorders>
            <w:shd w:val="clear" w:color="auto" w:fill="auto"/>
            <w:vAlign w:val="center"/>
            <w:hideMark/>
          </w:tcPr>
          <w:p w14:paraId="742B72D7" w14:textId="3CD415C4" w:rsidR="00EA4E6A" w:rsidRPr="00092ED7" w:rsidRDefault="002A4877" w:rsidP="00EA4E6A">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EUROSTAT</w:t>
            </w:r>
          </w:p>
        </w:tc>
        <w:tc>
          <w:tcPr>
            <w:tcW w:w="727" w:type="dxa"/>
            <w:tcBorders>
              <w:top w:val="nil"/>
              <w:left w:val="nil"/>
              <w:bottom w:val="single" w:sz="4" w:space="0" w:color="auto"/>
              <w:right w:val="single" w:sz="4" w:space="0" w:color="auto"/>
            </w:tcBorders>
            <w:shd w:val="clear" w:color="auto" w:fill="auto"/>
            <w:vAlign w:val="center"/>
            <w:hideMark/>
          </w:tcPr>
          <w:p w14:paraId="41E19F76" w14:textId="77777777" w:rsidR="00EA4E6A" w:rsidRPr="00092ED7" w:rsidRDefault="00EA4E6A" w:rsidP="00EA4E6A">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27,2</w:t>
            </w:r>
          </w:p>
        </w:tc>
        <w:tc>
          <w:tcPr>
            <w:tcW w:w="708" w:type="dxa"/>
            <w:tcBorders>
              <w:top w:val="nil"/>
              <w:left w:val="nil"/>
              <w:bottom w:val="single" w:sz="4" w:space="0" w:color="auto"/>
              <w:right w:val="single" w:sz="4" w:space="0" w:color="auto"/>
            </w:tcBorders>
            <w:shd w:val="clear" w:color="auto" w:fill="auto"/>
            <w:vAlign w:val="center"/>
            <w:hideMark/>
          </w:tcPr>
          <w:p w14:paraId="07AF475D" w14:textId="77777777" w:rsidR="00EA4E6A" w:rsidRPr="00092ED7" w:rsidRDefault="00EA4E6A" w:rsidP="00EA4E6A">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36</w:t>
            </w:r>
          </w:p>
        </w:tc>
        <w:tc>
          <w:tcPr>
            <w:tcW w:w="709" w:type="dxa"/>
            <w:tcBorders>
              <w:top w:val="nil"/>
              <w:left w:val="nil"/>
              <w:bottom w:val="single" w:sz="4" w:space="0" w:color="auto"/>
              <w:right w:val="single" w:sz="4" w:space="0" w:color="auto"/>
            </w:tcBorders>
            <w:shd w:val="clear" w:color="auto" w:fill="auto"/>
            <w:vAlign w:val="center"/>
            <w:hideMark/>
          </w:tcPr>
          <w:p w14:paraId="6A5177ED" w14:textId="77777777" w:rsidR="00EA4E6A" w:rsidRPr="00092ED7" w:rsidRDefault="00EA4E6A" w:rsidP="00EA4E6A">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34,8</w:t>
            </w:r>
          </w:p>
        </w:tc>
        <w:tc>
          <w:tcPr>
            <w:tcW w:w="709" w:type="dxa"/>
            <w:tcBorders>
              <w:top w:val="nil"/>
              <w:left w:val="nil"/>
              <w:bottom w:val="single" w:sz="4" w:space="0" w:color="auto"/>
              <w:right w:val="single" w:sz="4" w:space="0" w:color="auto"/>
            </w:tcBorders>
            <w:shd w:val="clear" w:color="auto" w:fill="auto"/>
            <w:vAlign w:val="center"/>
            <w:hideMark/>
          </w:tcPr>
          <w:p w14:paraId="5272A154" w14:textId="2DEDAD3C" w:rsidR="00EA4E6A" w:rsidRPr="00092ED7" w:rsidRDefault="00AA3FDC" w:rsidP="00EA4E6A">
            <w:pPr>
              <w:spacing w:after="0"/>
              <w:jc w:val="left"/>
              <w:rPr>
                <w:rFonts w:eastAsia="Times New Roman" w:cs="Times New Roman"/>
                <w:sz w:val="20"/>
                <w:szCs w:val="20"/>
                <w:lang w:val="sr-Cyrl-CS" w:eastAsia="sr-Latn-RS"/>
              </w:rPr>
            </w:pPr>
            <w:r w:rsidRPr="00092ED7">
              <w:rPr>
                <w:rFonts w:eastAsia="Times New Roman" w:cs="Times New Roman"/>
                <w:sz w:val="20"/>
                <w:szCs w:val="20"/>
                <w:lang w:val="sr-Cyrl-CS" w:eastAsia="sr-Latn-RS"/>
              </w:rPr>
              <w:t>:</w:t>
            </w:r>
          </w:p>
        </w:tc>
        <w:tc>
          <w:tcPr>
            <w:tcW w:w="709" w:type="dxa"/>
            <w:tcBorders>
              <w:top w:val="nil"/>
              <w:left w:val="nil"/>
              <w:bottom w:val="single" w:sz="4" w:space="0" w:color="auto"/>
              <w:right w:val="single" w:sz="4" w:space="0" w:color="auto"/>
            </w:tcBorders>
            <w:shd w:val="clear" w:color="auto" w:fill="auto"/>
            <w:vAlign w:val="center"/>
            <w:hideMark/>
          </w:tcPr>
          <w:p w14:paraId="12A3F261" w14:textId="77777777" w:rsidR="00EA4E6A" w:rsidRPr="00092ED7" w:rsidRDefault="00EA4E6A" w:rsidP="00EA4E6A">
            <w:pPr>
              <w:spacing w:after="0"/>
              <w:jc w:val="left"/>
              <w:rPr>
                <w:rFonts w:eastAsia="Times New Roman" w:cs="Times New Roman"/>
                <w:sz w:val="20"/>
                <w:szCs w:val="20"/>
                <w:lang w:val="sr-Cyrl-CS" w:eastAsia="sr-Latn-RS"/>
              </w:rPr>
            </w:pPr>
            <w:r w:rsidRPr="00092ED7">
              <w:rPr>
                <w:rFonts w:eastAsia="Times New Roman" w:cs="Times New Roman"/>
                <w:sz w:val="20"/>
                <w:szCs w:val="20"/>
                <w:lang w:val="sr-Cyrl-CS" w:eastAsia="sr-Latn-RS"/>
              </w:rPr>
              <w:t> </w:t>
            </w:r>
          </w:p>
        </w:tc>
      </w:tr>
      <w:tr w:rsidR="00EA4E6A" w:rsidRPr="00092ED7" w14:paraId="79C6C5F5" w14:textId="77777777" w:rsidTr="00053B2B">
        <w:trPr>
          <w:trHeight w:val="276"/>
        </w:trPr>
        <w:tc>
          <w:tcPr>
            <w:tcW w:w="4673" w:type="dxa"/>
            <w:tcBorders>
              <w:top w:val="nil"/>
              <w:left w:val="single" w:sz="4" w:space="0" w:color="auto"/>
              <w:bottom w:val="single" w:sz="4" w:space="0" w:color="auto"/>
              <w:right w:val="single" w:sz="4" w:space="0" w:color="auto"/>
            </w:tcBorders>
            <w:shd w:val="clear" w:color="auto" w:fill="auto"/>
            <w:vAlign w:val="center"/>
            <w:hideMark/>
          </w:tcPr>
          <w:p w14:paraId="3918CF00" w14:textId="77777777" w:rsidR="00EA4E6A" w:rsidRPr="00092ED7" w:rsidRDefault="00EA4E6A" w:rsidP="00EA4E6A">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15. Стопа преоптерећења трошкова становања</w:t>
            </w:r>
          </w:p>
        </w:tc>
        <w:tc>
          <w:tcPr>
            <w:tcW w:w="1258" w:type="dxa"/>
            <w:tcBorders>
              <w:top w:val="nil"/>
              <w:left w:val="nil"/>
              <w:bottom w:val="single" w:sz="4" w:space="0" w:color="auto"/>
              <w:right w:val="single" w:sz="4" w:space="0" w:color="auto"/>
            </w:tcBorders>
            <w:shd w:val="clear" w:color="auto" w:fill="auto"/>
            <w:vAlign w:val="center"/>
            <w:hideMark/>
          </w:tcPr>
          <w:p w14:paraId="07C9F3F7" w14:textId="2F53D326" w:rsidR="00EA4E6A" w:rsidRPr="00092ED7" w:rsidRDefault="002A4877" w:rsidP="00EA4E6A">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EUROSTAT</w:t>
            </w:r>
          </w:p>
        </w:tc>
        <w:tc>
          <w:tcPr>
            <w:tcW w:w="727" w:type="dxa"/>
            <w:tcBorders>
              <w:top w:val="nil"/>
              <w:left w:val="nil"/>
              <w:bottom w:val="single" w:sz="4" w:space="0" w:color="auto"/>
              <w:right w:val="single" w:sz="4" w:space="0" w:color="auto"/>
            </w:tcBorders>
            <w:shd w:val="clear" w:color="auto" w:fill="auto"/>
            <w:vAlign w:val="center"/>
            <w:hideMark/>
          </w:tcPr>
          <w:p w14:paraId="69A110B6" w14:textId="77777777" w:rsidR="00EA4E6A" w:rsidRPr="00092ED7" w:rsidRDefault="00EA4E6A" w:rsidP="00EA4E6A">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31,3</w:t>
            </w:r>
          </w:p>
        </w:tc>
        <w:tc>
          <w:tcPr>
            <w:tcW w:w="708" w:type="dxa"/>
            <w:tcBorders>
              <w:top w:val="nil"/>
              <w:left w:val="nil"/>
              <w:bottom w:val="single" w:sz="4" w:space="0" w:color="auto"/>
              <w:right w:val="single" w:sz="4" w:space="0" w:color="auto"/>
            </w:tcBorders>
            <w:shd w:val="clear" w:color="auto" w:fill="auto"/>
            <w:vAlign w:val="center"/>
            <w:hideMark/>
          </w:tcPr>
          <w:p w14:paraId="630B08FB" w14:textId="77777777" w:rsidR="00EA4E6A" w:rsidRPr="00092ED7" w:rsidRDefault="00EA4E6A" w:rsidP="00EA4E6A">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21,6</w:t>
            </w:r>
          </w:p>
        </w:tc>
        <w:tc>
          <w:tcPr>
            <w:tcW w:w="709" w:type="dxa"/>
            <w:tcBorders>
              <w:top w:val="nil"/>
              <w:left w:val="nil"/>
              <w:bottom w:val="single" w:sz="4" w:space="0" w:color="auto"/>
              <w:right w:val="single" w:sz="4" w:space="0" w:color="auto"/>
            </w:tcBorders>
            <w:shd w:val="clear" w:color="auto" w:fill="auto"/>
            <w:vAlign w:val="center"/>
            <w:hideMark/>
          </w:tcPr>
          <w:p w14:paraId="3964707B" w14:textId="77777777" w:rsidR="00EA4E6A" w:rsidRPr="00092ED7" w:rsidRDefault="00EA4E6A" w:rsidP="00EA4E6A">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17,8</w:t>
            </w:r>
          </w:p>
        </w:tc>
        <w:tc>
          <w:tcPr>
            <w:tcW w:w="709" w:type="dxa"/>
            <w:tcBorders>
              <w:top w:val="nil"/>
              <w:left w:val="nil"/>
              <w:bottom w:val="single" w:sz="4" w:space="0" w:color="auto"/>
              <w:right w:val="single" w:sz="4" w:space="0" w:color="auto"/>
            </w:tcBorders>
            <w:shd w:val="clear" w:color="auto" w:fill="auto"/>
            <w:vAlign w:val="center"/>
            <w:hideMark/>
          </w:tcPr>
          <w:p w14:paraId="5D3BFCB8" w14:textId="121BA7DF" w:rsidR="00EA4E6A" w:rsidRPr="00092ED7" w:rsidRDefault="00AA3FDC" w:rsidP="00EA4E6A">
            <w:pPr>
              <w:spacing w:after="0"/>
              <w:jc w:val="left"/>
              <w:rPr>
                <w:rFonts w:eastAsia="Times New Roman" w:cs="Times New Roman"/>
                <w:sz w:val="20"/>
                <w:szCs w:val="20"/>
                <w:lang w:val="sr-Cyrl-CS" w:eastAsia="sr-Latn-RS"/>
              </w:rPr>
            </w:pPr>
            <w:r w:rsidRPr="00092ED7">
              <w:rPr>
                <w:rFonts w:eastAsia="Times New Roman" w:cs="Times New Roman"/>
                <w:sz w:val="20"/>
                <w:szCs w:val="20"/>
                <w:lang w:val="sr-Cyrl-CS" w:eastAsia="sr-Latn-RS"/>
              </w:rPr>
              <w:t>:</w:t>
            </w:r>
          </w:p>
        </w:tc>
        <w:tc>
          <w:tcPr>
            <w:tcW w:w="709" w:type="dxa"/>
            <w:tcBorders>
              <w:top w:val="nil"/>
              <w:left w:val="nil"/>
              <w:bottom w:val="single" w:sz="4" w:space="0" w:color="auto"/>
              <w:right w:val="single" w:sz="4" w:space="0" w:color="auto"/>
            </w:tcBorders>
            <w:shd w:val="clear" w:color="auto" w:fill="auto"/>
            <w:vAlign w:val="center"/>
            <w:hideMark/>
          </w:tcPr>
          <w:p w14:paraId="615AF71C" w14:textId="77777777" w:rsidR="00EA4E6A" w:rsidRPr="00092ED7" w:rsidRDefault="00EA4E6A" w:rsidP="00EA4E6A">
            <w:pPr>
              <w:spacing w:after="0"/>
              <w:jc w:val="left"/>
              <w:rPr>
                <w:rFonts w:eastAsia="Times New Roman" w:cs="Times New Roman"/>
                <w:sz w:val="20"/>
                <w:szCs w:val="20"/>
                <w:lang w:val="sr-Cyrl-CS" w:eastAsia="sr-Latn-RS"/>
              </w:rPr>
            </w:pPr>
            <w:r w:rsidRPr="00092ED7">
              <w:rPr>
                <w:rFonts w:eastAsia="Times New Roman" w:cs="Times New Roman"/>
                <w:sz w:val="20"/>
                <w:szCs w:val="20"/>
                <w:lang w:val="sr-Cyrl-CS" w:eastAsia="sr-Latn-RS"/>
              </w:rPr>
              <w:t> </w:t>
            </w:r>
          </w:p>
        </w:tc>
      </w:tr>
      <w:tr w:rsidR="00EA4E6A" w:rsidRPr="00092ED7" w14:paraId="773B3457" w14:textId="77777777" w:rsidTr="00053B2B">
        <w:trPr>
          <w:trHeight w:val="276"/>
        </w:trPr>
        <w:tc>
          <w:tcPr>
            <w:tcW w:w="4673" w:type="dxa"/>
            <w:tcBorders>
              <w:top w:val="nil"/>
              <w:left w:val="single" w:sz="4" w:space="0" w:color="auto"/>
              <w:bottom w:val="single" w:sz="4" w:space="0" w:color="auto"/>
              <w:right w:val="single" w:sz="4" w:space="0" w:color="auto"/>
            </w:tcBorders>
            <w:shd w:val="clear" w:color="auto" w:fill="auto"/>
            <w:vAlign w:val="center"/>
            <w:hideMark/>
          </w:tcPr>
          <w:p w14:paraId="59A55192" w14:textId="77777777" w:rsidR="00EA4E6A" w:rsidRPr="00092ED7" w:rsidRDefault="00EA4E6A" w:rsidP="00EA4E6A">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16. Деца млађа од 3 године у формалном смештају деце</w:t>
            </w:r>
          </w:p>
        </w:tc>
        <w:tc>
          <w:tcPr>
            <w:tcW w:w="1258" w:type="dxa"/>
            <w:tcBorders>
              <w:top w:val="nil"/>
              <w:left w:val="nil"/>
              <w:bottom w:val="single" w:sz="4" w:space="0" w:color="auto"/>
              <w:right w:val="single" w:sz="4" w:space="0" w:color="auto"/>
            </w:tcBorders>
            <w:shd w:val="clear" w:color="auto" w:fill="auto"/>
            <w:vAlign w:val="center"/>
            <w:hideMark/>
          </w:tcPr>
          <w:p w14:paraId="36373AC3" w14:textId="3DD83591" w:rsidR="00EA4E6A" w:rsidRPr="00092ED7" w:rsidRDefault="002A4877" w:rsidP="00EA4E6A">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EUROSTAT</w:t>
            </w:r>
          </w:p>
        </w:tc>
        <w:tc>
          <w:tcPr>
            <w:tcW w:w="727" w:type="dxa"/>
            <w:tcBorders>
              <w:top w:val="nil"/>
              <w:left w:val="nil"/>
              <w:bottom w:val="single" w:sz="4" w:space="0" w:color="auto"/>
              <w:right w:val="single" w:sz="4" w:space="0" w:color="auto"/>
            </w:tcBorders>
            <w:shd w:val="clear" w:color="auto" w:fill="auto"/>
            <w:vAlign w:val="center"/>
            <w:hideMark/>
          </w:tcPr>
          <w:p w14:paraId="7FD613D1" w14:textId="77777777" w:rsidR="00EA4E6A" w:rsidRPr="00092ED7" w:rsidRDefault="00EA4E6A" w:rsidP="00EA4E6A">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13,3</w:t>
            </w:r>
          </w:p>
        </w:tc>
        <w:tc>
          <w:tcPr>
            <w:tcW w:w="708" w:type="dxa"/>
            <w:tcBorders>
              <w:top w:val="nil"/>
              <w:left w:val="nil"/>
              <w:bottom w:val="single" w:sz="4" w:space="0" w:color="auto"/>
              <w:right w:val="single" w:sz="4" w:space="0" w:color="auto"/>
            </w:tcBorders>
            <w:shd w:val="clear" w:color="auto" w:fill="auto"/>
            <w:vAlign w:val="center"/>
            <w:hideMark/>
          </w:tcPr>
          <w:p w14:paraId="52C335FB" w14:textId="77777777" w:rsidR="00EA4E6A" w:rsidRPr="00092ED7" w:rsidRDefault="00EA4E6A" w:rsidP="00EA4E6A">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17,2</w:t>
            </w:r>
          </w:p>
        </w:tc>
        <w:tc>
          <w:tcPr>
            <w:tcW w:w="709" w:type="dxa"/>
            <w:tcBorders>
              <w:top w:val="nil"/>
              <w:left w:val="nil"/>
              <w:bottom w:val="single" w:sz="4" w:space="0" w:color="auto"/>
              <w:right w:val="single" w:sz="4" w:space="0" w:color="auto"/>
            </w:tcBorders>
            <w:shd w:val="clear" w:color="auto" w:fill="auto"/>
            <w:vAlign w:val="center"/>
            <w:hideMark/>
          </w:tcPr>
          <w:p w14:paraId="25FABE2B" w14:textId="77777777" w:rsidR="00EA4E6A" w:rsidRPr="00092ED7" w:rsidRDefault="00EA4E6A" w:rsidP="00EA4E6A">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18,1</w:t>
            </w:r>
          </w:p>
        </w:tc>
        <w:tc>
          <w:tcPr>
            <w:tcW w:w="709" w:type="dxa"/>
            <w:tcBorders>
              <w:top w:val="nil"/>
              <w:left w:val="nil"/>
              <w:bottom w:val="single" w:sz="4" w:space="0" w:color="auto"/>
              <w:right w:val="single" w:sz="4" w:space="0" w:color="auto"/>
            </w:tcBorders>
            <w:shd w:val="clear" w:color="auto" w:fill="auto"/>
            <w:vAlign w:val="center"/>
            <w:hideMark/>
          </w:tcPr>
          <w:p w14:paraId="1F5E4540" w14:textId="4A03DE04" w:rsidR="00EA4E6A" w:rsidRPr="00092ED7" w:rsidRDefault="00AA3FDC" w:rsidP="00EA4E6A">
            <w:pPr>
              <w:spacing w:after="0"/>
              <w:jc w:val="left"/>
              <w:rPr>
                <w:rFonts w:eastAsia="Times New Roman" w:cs="Times New Roman"/>
                <w:sz w:val="20"/>
                <w:szCs w:val="20"/>
                <w:lang w:val="sr-Cyrl-CS" w:eastAsia="sr-Latn-RS"/>
              </w:rPr>
            </w:pPr>
            <w:r w:rsidRPr="00092ED7">
              <w:rPr>
                <w:rFonts w:eastAsia="Times New Roman" w:cs="Times New Roman"/>
                <w:sz w:val="20"/>
                <w:szCs w:val="20"/>
                <w:lang w:val="sr-Cyrl-CS" w:eastAsia="sr-Latn-RS"/>
              </w:rPr>
              <w:t>:</w:t>
            </w:r>
          </w:p>
        </w:tc>
        <w:tc>
          <w:tcPr>
            <w:tcW w:w="709" w:type="dxa"/>
            <w:tcBorders>
              <w:top w:val="nil"/>
              <w:left w:val="nil"/>
              <w:bottom w:val="single" w:sz="4" w:space="0" w:color="auto"/>
              <w:right w:val="single" w:sz="4" w:space="0" w:color="auto"/>
            </w:tcBorders>
            <w:shd w:val="clear" w:color="auto" w:fill="auto"/>
            <w:vAlign w:val="center"/>
            <w:hideMark/>
          </w:tcPr>
          <w:p w14:paraId="7E93629E" w14:textId="77777777" w:rsidR="00EA4E6A" w:rsidRPr="00092ED7" w:rsidRDefault="00EA4E6A" w:rsidP="00EA4E6A">
            <w:pPr>
              <w:spacing w:after="0"/>
              <w:jc w:val="left"/>
              <w:rPr>
                <w:rFonts w:eastAsia="Times New Roman" w:cs="Times New Roman"/>
                <w:sz w:val="20"/>
                <w:szCs w:val="20"/>
                <w:lang w:val="sr-Cyrl-CS" w:eastAsia="sr-Latn-RS"/>
              </w:rPr>
            </w:pPr>
            <w:r w:rsidRPr="00092ED7">
              <w:rPr>
                <w:rFonts w:eastAsia="Times New Roman" w:cs="Times New Roman"/>
                <w:sz w:val="20"/>
                <w:szCs w:val="20"/>
                <w:lang w:val="sr-Cyrl-CS" w:eastAsia="sr-Latn-RS"/>
              </w:rPr>
              <w:t> </w:t>
            </w:r>
          </w:p>
        </w:tc>
      </w:tr>
      <w:tr w:rsidR="00EA4E6A" w:rsidRPr="00092ED7" w14:paraId="227CB2D8" w14:textId="77777777" w:rsidTr="00053B2B">
        <w:trPr>
          <w:trHeight w:val="528"/>
        </w:trPr>
        <w:tc>
          <w:tcPr>
            <w:tcW w:w="4673" w:type="dxa"/>
            <w:tcBorders>
              <w:top w:val="nil"/>
              <w:left w:val="single" w:sz="4" w:space="0" w:color="auto"/>
              <w:bottom w:val="single" w:sz="4" w:space="0" w:color="auto"/>
              <w:right w:val="single" w:sz="4" w:space="0" w:color="auto"/>
            </w:tcBorders>
            <w:shd w:val="clear" w:color="auto" w:fill="auto"/>
            <w:vAlign w:val="center"/>
            <w:hideMark/>
          </w:tcPr>
          <w:p w14:paraId="3553F201" w14:textId="77777777" w:rsidR="00EA4E6A" w:rsidRPr="00092ED7" w:rsidRDefault="00EA4E6A" w:rsidP="00EA4E6A">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17. Незадовољене потребе за медицинском негом које су сами пријавили</w:t>
            </w:r>
          </w:p>
        </w:tc>
        <w:tc>
          <w:tcPr>
            <w:tcW w:w="1258" w:type="dxa"/>
            <w:tcBorders>
              <w:top w:val="nil"/>
              <w:left w:val="nil"/>
              <w:bottom w:val="single" w:sz="4" w:space="0" w:color="auto"/>
              <w:right w:val="single" w:sz="4" w:space="0" w:color="auto"/>
            </w:tcBorders>
            <w:shd w:val="clear" w:color="auto" w:fill="auto"/>
            <w:vAlign w:val="center"/>
            <w:hideMark/>
          </w:tcPr>
          <w:p w14:paraId="7077E8B3" w14:textId="2A8BD092" w:rsidR="00EA4E6A" w:rsidRPr="00092ED7" w:rsidRDefault="002A4877" w:rsidP="00EA4E6A">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EUROSTAT</w:t>
            </w:r>
          </w:p>
        </w:tc>
        <w:tc>
          <w:tcPr>
            <w:tcW w:w="727" w:type="dxa"/>
            <w:tcBorders>
              <w:top w:val="nil"/>
              <w:left w:val="nil"/>
              <w:bottom w:val="single" w:sz="4" w:space="0" w:color="auto"/>
              <w:right w:val="single" w:sz="4" w:space="0" w:color="auto"/>
            </w:tcBorders>
            <w:shd w:val="clear" w:color="auto" w:fill="auto"/>
            <w:vAlign w:val="center"/>
            <w:hideMark/>
          </w:tcPr>
          <w:p w14:paraId="43272126" w14:textId="77777777" w:rsidR="00EA4E6A" w:rsidRPr="00092ED7" w:rsidRDefault="00EA4E6A" w:rsidP="00EA4E6A">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5,8</w:t>
            </w:r>
          </w:p>
        </w:tc>
        <w:tc>
          <w:tcPr>
            <w:tcW w:w="708" w:type="dxa"/>
            <w:tcBorders>
              <w:top w:val="nil"/>
              <w:left w:val="nil"/>
              <w:bottom w:val="single" w:sz="4" w:space="0" w:color="auto"/>
              <w:right w:val="single" w:sz="4" w:space="0" w:color="auto"/>
            </w:tcBorders>
            <w:shd w:val="clear" w:color="auto" w:fill="auto"/>
            <w:vAlign w:val="center"/>
            <w:hideMark/>
          </w:tcPr>
          <w:p w14:paraId="4F2F8E0A" w14:textId="77777777" w:rsidR="00EA4E6A" w:rsidRPr="00092ED7" w:rsidRDefault="00EA4E6A" w:rsidP="00EA4E6A">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4,8</w:t>
            </w:r>
          </w:p>
        </w:tc>
        <w:tc>
          <w:tcPr>
            <w:tcW w:w="709" w:type="dxa"/>
            <w:tcBorders>
              <w:top w:val="nil"/>
              <w:left w:val="nil"/>
              <w:bottom w:val="single" w:sz="4" w:space="0" w:color="auto"/>
              <w:right w:val="single" w:sz="4" w:space="0" w:color="auto"/>
            </w:tcBorders>
            <w:shd w:val="clear" w:color="auto" w:fill="auto"/>
            <w:vAlign w:val="center"/>
            <w:hideMark/>
          </w:tcPr>
          <w:p w14:paraId="6E68EA4D" w14:textId="77777777" w:rsidR="00EA4E6A" w:rsidRPr="00092ED7" w:rsidRDefault="00EA4E6A" w:rsidP="00EA4E6A">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3,8</w:t>
            </w:r>
          </w:p>
        </w:tc>
        <w:tc>
          <w:tcPr>
            <w:tcW w:w="709" w:type="dxa"/>
            <w:tcBorders>
              <w:top w:val="nil"/>
              <w:left w:val="nil"/>
              <w:bottom w:val="single" w:sz="4" w:space="0" w:color="auto"/>
              <w:right w:val="single" w:sz="4" w:space="0" w:color="auto"/>
            </w:tcBorders>
            <w:shd w:val="clear" w:color="auto" w:fill="auto"/>
            <w:vAlign w:val="center"/>
            <w:hideMark/>
          </w:tcPr>
          <w:p w14:paraId="49F16F8D" w14:textId="11692EA6" w:rsidR="00EA4E6A" w:rsidRPr="00092ED7" w:rsidRDefault="00AA3FDC" w:rsidP="00EA4E6A">
            <w:pPr>
              <w:spacing w:after="0"/>
              <w:jc w:val="left"/>
              <w:rPr>
                <w:rFonts w:eastAsia="Times New Roman" w:cs="Times New Roman"/>
                <w:sz w:val="20"/>
                <w:szCs w:val="20"/>
                <w:lang w:val="sr-Cyrl-CS" w:eastAsia="sr-Latn-RS"/>
              </w:rPr>
            </w:pPr>
            <w:r w:rsidRPr="00092ED7">
              <w:rPr>
                <w:rFonts w:eastAsia="Times New Roman" w:cs="Times New Roman"/>
                <w:sz w:val="20"/>
                <w:szCs w:val="20"/>
                <w:lang w:val="sr-Cyrl-CS" w:eastAsia="sr-Latn-RS"/>
              </w:rPr>
              <w:t>:</w:t>
            </w:r>
          </w:p>
        </w:tc>
        <w:tc>
          <w:tcPr>
            <w:tcW w:w="709" w:type="dxa"/>
            <w:tcBorders>
              <w:top w:val="nil"/>
              <w:left w:val="nil"/>
              <w:bottom w:val="single" w:sz="4" w:space="0" w:color="auto"/>
              <w:right w:val="single" w:sz="4" w:space="0" w:color="auto"/>
            </w:tcBorders>
            <w:shd w:val="clear" w:color="auto" w:fill="auto"/>
            <w:vAlign w:val="center"/>
            <w:hideMark/>
          </w:tcPr>
          <w:p w14:paraId="4E515D7F" w14:textId="77777777" w:rsidR="00EA4E6A" w:rsidRPr="00092ED7" w:rsidRDefault="00EA4E6A" w:rsidP="00EA4E6A">
            <w:pPr>
              <w:spacing w:after="0"/>
              <w:jc w:val="left"/>
              <w:rPr>
                <w:rFonts w:eastAsia="Times New Roman" w:cs="Times New Roman"/>
                <w:sz w:val="20"/>
                <w:szCs w:val="20"/>
                <w:lang w:val="sr-Cyrl-CS" w:eastAsia="sr-Latn-RS"/>
              </w:rPr>
            </w:pPr>
            <w:r w:rsidRPr="00092ED7">
              <w:rPr>
                <w:rFonts w:eastAsia="Times New Roman" w:cs="Times New Roman"/>
                <w:sz w:val="20"/>
                <w:szCs w:val="20"/>
                <w:lang w:val="sr-Cyrl-CS" w:eastAsia="sr-Latn-RS"/>
              </w:rPr>
              <w:t> </w:t>
            </w:r>
          </w:p>
        </w:tc>
      </w:tr>
    </w:tbl>
    <w:p w14:paraId="24E5DCEA" w14:textId="77777777" w:rsidR="00B11AE5" w:rsidRPr="00092ED7" w:rsidRDefault="00BE6584" w:rsidP="00734F11">
      <w:pPr>
        <w:rPr>
          <w:rFonts w:cs="Times New Roman"/>
          <w:bCs/>
          <w:sz w:val="20"/>
          <w:szCs w:val="20"/>
          <w:lang w:val="sr-Cyrl-CS"/>
        </w:rPr>
      </w:pPr>
      <w:r w:rsidRPr="00092ED7">
        <w:rPr>
          <w:rFonts w:cs="Times New Roman"/>
          <w:bCs/>
          <w:sz w:val="20"/>
          <w:szCs w:val="20"/>
          <w:lang w:val="sr-Cyrl-CS"/>
        </w:rPr>
        <w:t>*(:) податак није расположив</w:t>
      </w:r>
    </w:p>
    <w:p w14:paraId="2158CBAF" w14:textId="77777777" w:rsidR="00B11AE5" w:rsidRPr="00092ED7" w:rsidRDefault="00734F11" w:rsidP="00053B2B">
      <w:pPr>
        <w:pStyle w:val="Heading3"/>
        <w:spacing w:before="0" w:after="120"/>
        <w:rPr>
          <w:rFonts w:cs="Times New Roman"/>
          <w:b/>
          <w:bCs/>
          <w:lang w:val="sr-Cyrl-CS"/>
        </w:rPr>
      </w:pPr>
      <w:bookmarkStart w:id="122" w:name="_Toc124174838"/>
      <w:r w:rsidRPr="00092ED7">
        <w:rPr>
          <w:rFonts w:ascii="Times New Roman" w:hAnsi="Times New Roman" w:cs="Times New Roman"/>
          <w:b/>
          <w:lang w:val="sr-Cyrl-CS"/>
        </w:rPr>
        <w:t>Табела 9 б: Остали изабрани показатељи</w:t>
      </w:r>
      <w:bookmarkEnd w:id="122"/>
    </w:p>
    <w:tbl>
      <w:tblPr>
        <w:tblW w:w="9491" w:type="dxa"/>
        <w:tblLook w:val="04A0" w:firstRow="1" w:lastRow="0" w:firstColumn="1" w:lastColumn="0" w:noHBand="0" w:noVBand="1"/>
      </w:tblPr>
      <w:tblGrid>
        <w:gridCol w:w="4957"/>
        <w:gridCol w:w="1261"/>
        <w:gridCol w:w="815"/>
        <w:gridCol w:w="849"/>
        <w:gridCol w:w="766"/>
        <w:gridCol w:w="843"/>
      </w:tblGrid>
      <w:tr w:rsidR="008219D5" w:rsidRPr="00092ED7" w14:paraId="01336EF2" w14:textId="77777777" w:rsidTr="00053B2B">
        <w:trPr>
          <w:trHeight w:val="528"/>
        </w:trPr>
        <w:tc>
          <w:tcPr>
            <w:tcW w:w="49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8AC7C5" w14:textId="77777777" w:rsidR="008219D5" w:rsidRPr="00092ED7" w:rsidRDefault="008219D5" w:rsidP="008219D5">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 </w:t>
            </w:r>
          </w:p>
        </w:tc>
        <w:tc>
          <w:tcPr>
            <w:tcW w:w="1261" w:type="dxa"/>
            <w:tcBorders>
              <w:top w:val="single" w:sz="4" w:space="0" w:color="auto"/>
              <w:left w:val="nil"/>
              <w:bottom w:val="single" w:sz="4" w:space="0" w:color="auto"/>
              <w:right w:val="single" w:sz="4" w:space="0" w:color="auto"/>
            </w:tcBorders>
            <w:shd w:val="clear" w:color="auto" w:fill="auto"/>
            <w:vAlign w:val="center"/>
            <w:hideMark/>
          </w:tcPr>
          <w:p w14:paraId="751ED08A" w14:textId="77777777" w:rsidR="008219D5" w:rsidRPr="00092ED7" w:rsidRDefault="008219D5" w:rsidP="008219D5">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Извор података</w:t>
            </w:r>
          </w:p>
        </w:tc>
        <w:tc>
          <w:tcPr>
            <w:tcW w:w="815" w:type="dxa"/>
            <w:tcBorders>
              <w:top w:val="single" w:sz="4" w:space="0" w:color="auto"/>
              <w:left w:val="nil"/>
              <w:bottom w:val="single" w:sz="4" w:space="0" w:color="auto"/>
              <w:right w:val="single" w:sz="4" w:space="0" w:color="auto"/>
            </w:tcBorders>
            <w:shd w:val="clear" w:color="auto" w:fill="auto"/>
            <w:vAlign w:val="center"/>
            <w:hideMark/>
          </w:tcPr>
          <w:p w14:paraId="3A3347A0" w14:textId="77777777" w:rsidR="008219D5" w:rsidRPr="00092ED7" w:rsidRDefault="008219D5" w:rsidP="008219D5">
            <w:pPr>
              <w:spacing w:after="0"/>
              <w:jc w:val="center"/>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2018</w:t>
            </w:r>
          </w:p>
        </w:tc>
        <w:tc>
          <w:tcPr>
            <w:tcW w:w="849" w:type="dxa"/>
            <w:tcBorders>
              <w:top w:val="single" w:sz="4" w:space="0" w:color="auto"/>
              <w:left w:val="nil"/>
              <w:bottom w:val="single" w:sz="4" w:space="0" w:color="auto"/>
              <w:right w:val="single" w:sz="4" w:space="0" w:color="auto"/>
            </w:tcBorders>
            <w:shd w:val="clear" w:color="auto" w:fill="auto"/>
            <w:vAlign w:val="center"/>
            <w:hideMark/>
          </w:tcPr>
          <w:p w14:paraId="5C4FAAF3" w14:textId="77777777" w:rsidR="008219D5" w:rsidRPr="00092ED7" w:rsidRDefault="008219D5" w:rsidP="008219D5">
            <w:pPr>
              <w:spacing w:after="0"/>
              <w:jc w:val="center"/>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2019</w:t>
            </w:r>
          </w:p>
        </w:tc>
        <w:tc>
          <w:tcPr>
            <w:tcW w:w="766" w:type="dxa"/>
            <w:tcBorders>
              <w:top w:val="single" w:sz="4" w:space="0" w:color="auto"/>
              <w:left w:val="nil"/>
              <w:bottom w:val="single" w:sz="4" w:space="0" w:color="auto"/>
              <w:right w:val="single" w:sz="4" w:space="0" w:color="auto"/>
            </w:tcBorders>
            <w:shd w:val="clear" w:color="auto" w:fill="auto"/>
            <w:vAlign w:val="center"/>
            <w:hideMark/>
          </w:tcPr>
          <w:p w14:paraId="775E26B5" w14:textId="77777777" w:rsidR="008219D5" w:rsidRPr="00092ED7" w:rsidRDefault="008219D5" w:rsidP="008219D5">
            <w:pPr>
              <w:spacing w:after="0"/>
              <w:jc w:val="center"/>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2020</w:t>
            </w:r>
          </w:p>
        </w:tc>
        <w:tc>
          <w:tcPr>
            <w:tcW w:w="843" w:type="dxa"/>
            <w:tcBorders>
              <w:top w:val="single" w:sz="4" w:space="0" w:color="auto"/>
              <w:left w:val="nil"/>
              <w:bottom w:val="single" w:sz="4" w:space="0" w:color="auto"/>
              <w:right w:val="single" w:sz="4" w:space="0" w:color="auto"/>
            </w:tcBorders>
            <w:shd w:val="clear" w:color="auto" w:fill="auto"/>
            <w:vAlign w:val="center"/>
            <w:hideMark/>
          </w:tcPr>
          <w:p w14:paraId="71FFE650" w14:textId="77777777" w:rsidR="008219D5" w:rsidRPr="00092ED7" w:rsidRDefault="008219D5" w:rsidP="008219D5">
            <w:pPr>
              <w:spacing w:after="0"/>
              <w:jc w:val="center"/>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2021</w:t>
            </w:r>
          </w:p>
        </w:tc>
      </w:tr>
      <w:tr w:rsidR="008219D5" w:rsidRPr="00092ED7" w14:paraId="422E2C65" w14:textId="77777777" w:rsidTr="00053B2B">
        <w:trPr>
          <w:trHeight w:val="276"/>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2D33F256" w14:textId="77777777" w:rsidR="008219D5" w:rsidRPr="00092ED7" w:rsidRDefault="008219D5" w:rsidP="00734F11">
            <w:pPr>
              <w:spacing w:after="0"/>
              <w:ind w:firstLine="601"/>
              <w:jc w:val="left"/>
              <w:rPr>
                <w:rFonts w:eastAsia="Times New Roman" w:cs="Times New Roman"/>
                <w:b/>
                <w:i/>
                <w:color w:val="000000"/>
                <w:sz w:val="20"/>
                <w:szCs w:val="20"/>
                <w:lang w:val="sr-Cyrl-CS" w:eastAsia="sr-Latn-RS"/>
              </w:rPr>
            </w:pPr>
            <w:r w:rsidRPr="00092ED7">
              <w:rPr>
                <w:rFonts w:eastAsia="Times New Roman" w:cs="Times New Roman"/>
                <w:b/>
                <w:i/>
                <w:color w:val="000000"/>
                <w:sz w:val="20"/>
                <w:szCs w:val="20"/>
                <w:lang w:val="sr-Cyrl-CS" w:eastAsia="sr-Latn-RS"/>
              </w:rPr>
              <w:t>Остали социјални и здравствени индикатори</w:t>
            </w:r>
          </w:p>
        </w:tc>
        <w:tc>
          <w:tcPr>
            <w:tcW w:w="1261" w:type="dxa"/>
            <w:tcBorders>
              <w:top w:val="nil"/>
              <w:left w:val="nil"/>
              <w:bottom w:val="single" w:sz="4" w:space="0" w:color="auto"/>
              <w:right w:val="single" w:sz="4" w:space="0" w:color="auto"/>
            </w:tcBorders>
            <w:shd w:val="clear" w:color="auto" w:fill="auto"/>
            <w:vAlign w:val="center"/>
            <w:hideMark/>
          </w:tcPr>
          <w:p w14:paraId="3CE49E77" w14:textId="77777777" w:rsidR="008219D5" w:rsidRPr="00092ED7" w:rsidRDefault="008219D5" w:rsidP="008219D5">
            <w:pPr>
              <w:spacing w:after="0"/>
              <w:jc w:val="left"/>
              <w:rPr>
                <w:rFonts w:eastAsia="Times New Roman" w:cs="Times New Roman"/>
                <w:b/>
                <w:color w:val="000000"/>
                <w:sz w:val="20"/>
                <w:szCs w:val="20"/>
                <w:lang w:val="sr-Cyrl-CS" w:eastAsia="sr-Latn-RS"/>
              </w:rPr>
            </w:pPr>
            <w:r w:rsidRPr="00092ED7">
              <w:rPr>
                <w:rFonts w:eastAsia="Times New Roman" w:cs="Times New Roman"/>
                <w:b/>
                <w:color w:val="000000"/>
                <w:sz w:val="20"/>
                <w:szCs w:val="20"/>
                <w:lang w:val="sr-Cyrl-CS" w:eastAsia="sr-Latn-RS"/>
              </w:rPr>
              <w:t> </w:t>
            </w:r>
          </w:p>
        </w:tc>
        <w:tc>
          <w:tcPr>
            <w:tcW w:w="815" w:type="dxa"/>
            <w:tcBorders>
              <w:top w:val="nil"/>
              <w:left w:val="nil"/>
              <w:bottom w:val="single" w:sz="4" w:space="0" w:color="auto"/>
              <w:right w:val="single" w:sz="4" w:space="0" w:color="auto"/>
            </w:tcBorders>
            <w:shd w:val="clear" w:color="auto" w:fill="auto"/>
            <w:vAlign w:val="center"/>
            <w:hideMark/>
          </w:tcPr>
          <w:p w14:paraId="29A01CAD" w14:textId="77777777" w:rsidR="008219D5" w:rsidRPr="00092ED7" w:rsidRDefault="008219D5" w:rsidP="008219D5">
            <w:pPr>
              <w:spacing w:after="0"/>
              <w:jc w:val="left"/>
              <w:rPr>
                <w:rFonts w:eastAsia="Times New Roman" w:cs="Times New Roman"/>
                <w:b/>
                <w:sz w:val="20"/>
                <w:szCs w:val="20"/>
                <w:lang w:val="sr-Cyrl-CS" w:eastAsia="sr-Latn-RS"/>
              </w:rPr>
            </w:pPr>
            <w:r w:rsidRPr="00092ED7">
              <w:rPr>
                <w:rFonts w:eastAsia="Times New Roman" w:cs="Times New Roman"/>
                <w:b/>
                <w:sz w:val="20"/>
                <w:szCs w:val="20"/>
                <w:lang w:val="sr-Cyrl-CS" w:eastAsia="sr-Latn-RS"/>
              </w:rPr>
              <w:t> </w:t>
            </w:r>
          </w:p>
        </w:tc>
        <w:tc>
          <w:tcPr>
            <w:tcW w:w="849" w:type="dxa"/>
            <w:tcBorders>
              <w:top w:val="nil"/>
              <w:left w:val="nil"/>
              <w:bottom w:val="single" w:sz="4" w:space="0" w:color="auto"/>
              <w:right w:val="single" w:sz="4" w:space="0" w:color="auto"/>
            </w:tcBorders>
            <w:shd w:val="clear" w:color="auto" w:fill="auto"/>
            <w:vAlign w:val="center"/>
            <w:hideMark/>
          </w:tcPr>
          <w:p w14:paraId="7E78E81E" w14:textId="77777777" w:rsidR="008219D5" w:rsidRPr="00092ED7" w:rsidRDefault="008219D5" w:rsidP="008219D5">
            <w:pPr>
              <w:spacing w:after="0"/>
              <w:jc w:val="left"/>
              <w:rPr>
                <w:rFonts w:eastAsia="Times New Roman" w:cs="Times New Roman"/>
                <w:b/>
                <w:sz w:val="20"/>
                <w:szCs w:val="20"/>
                <w:lang w:val="sr-Cyrl-CS" w:eastAsia="sr-Latn-RS"/>
              </w:rPr>
            </w:pPr>
            <w:r w:rsidRPr="00092ED7">
              <w:rPr>
                <w:rFonts w:eastAsia="Times New Roman" w:cs="Times New Roman"/>
                <w:b/>
                <w:sz w:val="20"/>
                <w:szCs w:val="20"/>
                <w:lang w:val="sr-Cyrl-CS" w:eastAsia="sr-Latn-RS"/>
              </w:rPr>
              <w:t> </w:t>
            </w:r>
          </w:p>
        </w:tc>
        <w:tc>
          <w:tcPr>
            <w:tcW w:w="766" w:type="dxa"/>
            <w:tcBorders>
              <w:top w:val="nil"/>
              <w:left w:val="nil"/>
              <w:bottom w:val="single" w:sz="4" w:space="0" w:color="auto"/>
              <w:right w:val="single" w:sz="4" w:space="0" w:color="auto"/>
            </w:tcBorders>
            <w:shd w:val="clear" w:color="auto" w:fill="auto"/>
            <w:vAlign w:val="center"/>
            <w:hideMark/>
          </w:tcPr>
          <w:p w14:paraId="7F6DCDD7" w14:textId="77777777" w:rsidR="008219D5" w:rsidRPr="00092ED7" w:rsidRDefault="008219D5" w:rsidP="008219D5">
            <w:pPr>
              <w:spacing w:after="0"/>
              <w:jc w:val="left"/>
              <w:rPr>
                <w:rFonts w:eastAsia="Times New Roman" w:cs="Times New Roman"/>
                <w:b/>
                <w:sz w:val="20"/>
                <w:szCs w:val="20"/>
                <w:lang w:val="sr-Cyrl-CS" w:eastAsia="sr-Latn-RS"/>
              </w:rPr>
            </w:pPr>
            <w:r w:rsidRPr="00092ED7">
              <w:rPr>
                <w:rFonts w:eastAsia="Times New Roman" w:cs="Times New Roman"/>
                <w:b/>
                <w:sz w:val="20"/>
                <w:szCs w:val="20"/>
                <w:lang w:val="sr-Cyrl-CS" w:eastAsia="sr-Latn-RS"/>
              </w:rPr>
              <w:t> </w:t>
            </w:r>
          </w:p>
        </w:tc>
        <w:tc>
          <w:tcPr>
            <w:tcW w:w="843" w:type="dxa"/>
            <w:tcBorders>
              <w:top w:val="nil"/>
              <w:left w:val="nil"/>
              <w:bottom w:val="single" w:sz="4" w:space="0" w:color="auto"/>
              <w:right w:val="single" w:sz="4" w:space="0" w:color="auto"/>
            </w:tcBorders>
            <w:shd w:val="clear" w:color="auto" w:fill="auto"/>
            <w:vAlign w:val="center"/>
            <w:hideMark/>
          </w:tcPr>
          <w:p w14:paraId="327EB68E" w14:textId="77777777" w:rsidR="008219D5" w:rsidRPr="00092ED7" w:rsidRDefault="008219D5" w:rsidP="008219D5">
            <w:pPr>
              <w:spacing w:after="0"/>
              <w:jc w:val="left"/>
              <w:rPr>
                <w:rFonts w:eastAsia="Times New Roman" w:cs="Times New Roman"/>
                <w:b/>
                <w:sz w:val="20"/>
                <w:szCs w:val="20"/>
                <w:lang w:val="sr-Cyrl-CS" w:eastAsia="sr-Latn-RS"/>
              </w:rPr>
            </w:pPr>
            <w:r w:rsidRPr="00092ED7">
              <w:rPr>
                <w:rFonts w:eastAsia="Times New Roman" w:cs="Times New Roman"/>
                <w:b/>
                <w:sz w:val="20"/>
                <w:szCs w:val="20"/>
                <w:lang w:val="sr-Cyrl-CS" w:eastAsia="sr-Latn-RS"/>
              </w:rPr>
              <w:t> </w:t>
            </w:r>
          </w:p>
        </w:tc>
      </w:tr>
      <w:tr w:rsidR="008219D5" w:rsidRPr="00092ED7" w14:paraId="387C98D0" w14:textId="77777777" w:rsidTr="00053B2B">
        <w:trPr>
          <w:trHeight w:val="276"/>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0069EB1F" w14:textId="77777777" w:rsidR="008219D5" w:rsidRPr="00092ED7" w:rsidRDefault="00734F11" w:rsidP="00734F11">
            <w:pPr>
              <w:spacing w:after="0"/>
              <w:ind w:firstLineChars="17" w:firstLine="34"/>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 xml:space="preserve">1. </w:t>
            </w:r>
            <w:r w:rsidR="008219D5" w:rsidRPr="00092ED7">
              <w:rPr>
                <w:rFonts w:eastAsia="Times New Roman" w:cs="Times New Roman"/>
                <w:color w:val="000000"/>
                <w:sz w:val="20"/>
                <w:szCs w:val="20"/>
                <w:lang w:val="sr-Cyrl-CS" w:eastAsia="sr-Latn-RS"/>
              </w:rPr>
              <w:t>Јавни издаци за социјал</w:t>
            </w:r>
            <w:r w:rsidRPr="00092ED7">
              <w:rPr>
                <w:rFonts w:eastAsia="Times New Roman" w:cs="Times New Roman"/>
                <w:color w:val="000000"/>
                <w:sz w:val="20"/>
                <w:szCs w:val="20"/>
                <w:lang w:val="sr-Cyrl-CS" w:eastAsia="sr-Latn-RS"/>
              </w:rPr>
              <w:t>ну заштиту у % БДП-а</w:t>
            </w:r>
          </w:p>
        </w:tc>
        <w:tc>
          <w:tcPr>
            <w:tcW w:w="1261" w:type="dxa"/>
            <w:tcBorders>
              <w:top w:val="nil"/>
              <w:left w:val="nil"/>
              <w:bottom w:val="single" w:sz="4" w:space="0" w:color="auto"/>
              <w:right w:val="single" w:sz="4" w:space="0" w:color="auto"/>
            </w:tcBorders>
            <w:shd w:val="clear" w:color="auto" w:fill="auto"/>
            <w:vAlign w:val="center"/>
            <w:hideMark/>
          </w:tcPr>
          <w:p w14:paraId="7A6DC239" w14:textId="77777777" w:rsidR="008219D5" w:rsidRPr="00092ED7" w:rsidRDefault="008219D5" w:rsidP="008219D5">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 </w:t>
            </w:r>
          </w:p>
        </w:tc>
        <w:tc>
          <w:tcPr>
            <w:tcW w:w="815" w:type="dxa"/>
            <w:tcBorders>
              <w:top w:val="nil"/>
              <w:left w:val="nil"/>
              <w:bottom w:val="single" w:sz="4" w:space="0" w:color="auto"/>
              <w:right w:val="single" w:sz="4" w:space="0" w:color="auto"/>
            </w:tcBorders>
            <w:shd w:val="clear" w:color="auto" w:fill="auto"/>
            <w:vAlign w:val="center"/>
            <w:hideMark/>
          </w:tcPr>
          <w:p w14:paraId="5FC10D3A" w14:textId="77777777" w:rsidR="008219D5" w:rsidRPr="00092ED7" w:rsidRDefault="008219D5" w:rsidP="008219D5">
            <w:pPr>
              <w:spacing w:after="0"/>
              <w:jc w:val="left"/>
              <w:rPr>
                <w:rFonts w:eastAsia="Times New Roman" w:cs="Times New Roman"/>
                <w:sz w:val="20"/>
                <w:szCs w:val="20"/>
                <w:lang w:val="sr-Cyrl-CS" w:eastAsia="sr-Latn-RS"/>
              </w:rPr>
            </w:pPr>
            <w:r w:rsidRPr="00092ED7">
              <w:rPr>
                <w:rFonts w:eastAsia="Times New Roman" w:cs="Times New Roman"/>
                <w:sz w:val="20"/>
                <w:szCs w:val="20"/>
                <w:lang w:val="sr-Cyrl-CS" w:eastAsia="sr-Latn-RS"/>
              </w:rPr>
              <w:t> </w:t>
            </w:r>
          </w:p>
        </w:tc>
        <w:tc>
          <w:tcPr>
            <w:tcW w:w="849" w:type="dxa"/>
            <w:tcBorders>
              <w:top w:val="nil"/>
              <w:left w:val="nil"/>
              <w:bottom w:val="single" w:sz="4" w:space="0" w:color="auto"/>
              <w:right w:val="single" w:sz="4" w:space="0" w:color="auto"/>
            </w:tcBorders>
            <w:shd w:val="clear" w:color="auto" w:fill="auto"/>
            <w:vAlign w:val="center"/>
            <w:hideMark/>
          </w:tcPr>
          <w:p w14:paraId="0C25505A" w14:textId="77777777" w:rsidR="008219D5" w:rsidRPr="00092ED7" w:rsidRDefault="008219D5" w:rsidP="008219D5">
            <w:pPr>
              <w:spacing w:after="0"/>
              <w:jc w:val="left"/>
              <w:rPr>
                <w:rFonts w:eastAsia="Times New Roman" w:cs="Times New Roman"/>
                <w:sz w:val="20"/>
                <w:szCs w:val="20"/>
                <w:lang w:val="sr-Cyrl-CS" w:eastAsia="sr-Latn-RS"/>
              </w:rPr>
            </w:pPr>
            <w:r w:rsidRPr="00092ED7">
              <w:rPr>
                <w:rFonts w:eastAsia="Times New Roman" w:cs="Times New Roman"/>
                <w:sz w:val="20"/>
                <w:szCs w:val="20"/>
                <w:lang w:val="sr-Cyrl-CS" w:eastAsia="sr-Latn-RS"/>
              </w:rPr>
              <w:t> </w:t>
            </w:r>
          </w:p>
        </w:tc>
        <w:tc>
          <w:tcPr>
            <w:tcW w:w="766" w:type="dxa"/>
            <w:tcBorders>
              <w:top w:val="nil"/>
              <w:left w:val="nil"/>
              <w:bottom w:val="single" w:sz="4" w:space="0" w:color="auto"/>
              <w:right w:val="single" w:sz="4" w:space="0" w:color="auto"/>
            </w:tcBorders>
            <w:shd w:val="clear" w:color="auto" w:fill="auto"/>
            <w:vAlign w:val="center"/>
            <w:hideMark/>
          </w:tcPr>
          <w:p w14:paraId="0E883DDA" w14:textId="77777777" w:rsidR="008219D5" w:rsidRPr="00092ED7" w:rsidRDefault="008219D5" w:rsidP="008219D5">
            <w:pPr>
              <w:spacing w:after="0"/>
              <w:jc w:val="left"/>
              <w:rPr>
                <w:rFonts w:eastAsia="Times New Roman" w:cs="Times New Roman"/>
                <w:sz w:val="20"/>
                <w:szCs w:val="20"/>
                <w:lang w:val="sr-Cyrl-CS" w:eastAsia="sr-Latn-RS"/>
              </w:rPr>
            </w:pPr>
            <w:r w:rsidRPr="00092ED7">
              <w:rPr>
                <w:rFonts w:eastAsia="Times New Roman" w:cs="Times New Roman"/>
                <w:sz w:val="20"/>
                <w:szCs w:val="20"/>
                <w:lang w:val="sr-Cyrl-CS" w:eastAsia="sr-Latn-RS"/>
              </w:rPr>
              <w:t> </w:t>
            </w:r>
          </w:p>
        </w:tc>
        <w:tc>
          <w:tcPr>
            <w:tcW w:w="843" w:type="dxa"/>
            <w:tcBorders>
              <w:top w:val="nil"/>
              <w:left w:val="nil"/>
              <w:bottom w:val="single" w:sz="4" w:space="0" w:color="auto"/>
              <w:right w:val="single" w:sz="4" w:space="0" w:color="auto"/>
            </w:tcBorders>
            <w:shd w:val="clear" w:color="auto" w:fill="auto"/>
            <w:vAlign w:val="center"/>
            <w:hideMark/>
          </w:tcPr>
          <w:p w14:paraId="1BB98DAB" w14:textId="77777777" w:rsidR="008219D5" w:rsidRPr="00092ED7" w:rsidRDefault="008219D5" w:rsidP="008219D5">
            <w:pPr>
              <w:spacing w:after="0"/>
              <w:jc w:val="left"/>
              <w:rPr>
                <w:rFonts w:eastAsia="Times New Roman" w:cs="Times New Roman"/>
                <w:sz w:val="20"/>
                <w:szCs w:val="20"/>
                <w:lang w:val="sr-Cyrl-CS" w:eastAsia="sr-Latn-RS"/>
              </w:rPr>
            </w:pPr>
            <w:r w:rsidRPr="00092ED7">
              <w:rPr>
                <w:rFonts w:eastAsia="Times New Roman" w:cs="Times New Roman"/>
                <w:sz w:val="20"/>
                <w:szCs w:val="20"/>
                <w:lang w:val="sr-Cyrl-CS" w:eastAsia="sr-Latn-RS"/>
              </w:rPr>
              <w:t> </w:t>
            </w:r>
          </w:p>
        </w:tc>
      </w:tr>
      <w:tr w:rsidR="008219D5" w:rsidRPr="00092ED7" w14:paraId="0406076D" w14:textId="77777777" w:rsidTr="00053B2B">
        <w:trPr>
          <w:trHeight w:val="276"/>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1EFF262D" w14:textId="77777777" w:rsidR="008219D5" w:rsidRPr="00092ED7" w:rsidRDefault="00734F11" w:rsidP="00734F11">
            <w:pPr>
              <w:spacing w:after="0"/>
              <w:ind w:firstLineChars="17" w:firstLine="34"/>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 xml:space="preserve">2. </w:t>
            </w:r>
            <w:r w:rsidR="008219D5" w:rsidRPr="00092ED7">
              <w:rPr>
                <w:rFonts w:eastAsia="Times New Roman" w:cs="Times New Roman"/>
                <w:color w:val="000000"/>
                <w:sz w:val="20"/>
                <w:szCs w:val="20"/>
                <w:lang w:val="sr-Cyrl-CS" w:eastAsia="sr-Latn-RS"/>
              </w:rPr>
              <w:t>Јавни издаци за здравствен</w:t>
            </w:r>
            <w:r w:rsidRPr="00092ED7">
              <w:rPr>
                <w:rFonts w:eastAsia="Times New Roman" w:cs="Times New Roman"/>
                <w:color w:val="000000"/>
                <w:sz w:val="20"/>
                <w:szCs w:val="20"/>
                <w:lang w:val="sr-Cyrl-CS" w:eastAsia="sr-Latn-RS"/>
              </w:rPr>
              <w:t>у заштиту у % БДП-а</w:t>
            </w:r>
          </w:p>
        </w:tc>
        <w:tc>
          <w:tcPr>
            <w:tcW w:w="1261" w:type="dxa"/>
            <w:tcBorders>
              <w:top w:val="nil"/>
              <w:left w:val="nil"/>
              <w:bottom w:val="single" w:sz="4" w:space="0" w:color="auto"/>
              <w:right w:val="single" w:sz="4" w:space="0" w:color="auto"/>
            </w:tcBorders>
            <w:shd w:val="clear" w:color="auto" w:fill="auto"/>
            <w:vAlign w:val="center"/>
            <w:hideMark/>
          </w:tcPr>
          <w:p w14:paraId="3D68522E" w14:textId="77777777" w:rsidR="008219D5" w:rsidRPr="00092ED7" w:rsidRDefault="008219D5" w:rsidP="008219D5">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WB</w:t>
            </w:r>
          </w:p>
        </w:tc>
        <w:tc>
          <w:tcPr>
            <w:tcW w:w="815" w:type="dxa"/>
            <w:tcBorders>
              <w:top w:val="nil"/>
              <w:left w:val="nil"/>
              <w:bottom w:val="single" w:sz="4" w:space="0" w:color="auto"/>
              <w:right w:val="single" w:sz="4" w:space="0" w:color="auto"/>
            </w:tcBorders>
            <w:shd w:val="clear" w:color="auto" w:fill="auto"/>
            <w:vAlign w:val="center"/>
            <w:hideMark/>
          </w:tcPr>
          <w:p w14:paraId="662593A3"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8,5</w:t>
            </w:r>
          </w:p>
        </w:tc>
        <w:tc>
          <w:tcPr>
            <w:tcW w:w="849" w:type="dxa"/>
            <w:tcBorders>
              <w:top w:val="nil"/>
              <w:left w:val="nil"/>
              <w:bottom w:val="single" w:sz="4" w:space="0" w:color="auto"/>
              <w:right w:val="single" w:sz="4" w:space="0" w:color="auto"/>
            </w:tcBorders>
            <w:shd w:val="clear" w:color="auto" w:fill="auto"/>
            <w:vAlign w:val="center"/>
            <w:hideMark/>
          </w:tcPr>
          <w:p w14:paraId="4A9DC7C1"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8,67</w:t>
            </w:r>
          </w:p>
        </w:tc>
        <w:tc>
          <w:tcPr>
            <w:tcW w:w="766" w:type="dxa"/>
            <w:tcBorders>
              <w:top w:val="nil"/>
              <w:left w:val="nil"/>
              <w:bottom w:val="single" w:sz="4" w:space="0" w:color="auto"/>
              <w:right w:val="single" w:sz="4" w:space="0" w:color="auto"/>
            </w:tcBorders>
            <w:shd w:val="clear" w:color="auto" w:fill="auto"/>
            <w:vAlign w:val="center"/>
            <w:hideMark/>
          </w:tcPr>
          <w:p w14:paraId="22051467" w14:textId="77777777" w:rsidR="008219D5" w:rsidRPr="00092ED7" w:rsidRDefault="008219D5" w:rsidP="008219D5">
            <w:pPr>
              <w:spacing w:after="0"/>
              <w:jc w:val="left"/>
              <w:rPr>
                <w:rFonts w:eastAsia="Times New Roman" w:cs="Times New Roman"/>
                <w:sz w:val="20"/>
                <w:szCs w:val="20"/>
                <w:lang w:val="sr-Cyrl-CS" w:eastAsia="sr-Latn-RS"/>
              </w:rPr>
            </w:pPr>
            <w:r w:rsidRPr="00092ED7">
              <w:rPr>
                <w:rFonts w:eastAsia="Times New Roman" w:cs="Times New Roman"/>
                <w:sz w:val="20"/>
                <w:szCs w:val="20"/>
                <w:lang w:val="sr-Cyrl-CS" w:eastAsia="sr-Latn-RS"/>
              </w:rPr>
              <w:t> </w:t>
            </w:r>
          </w:p>
        </w:tc>
        <w:tc>
          <w:tcPr>
            <w:tcW w:w="843" w:type="dxa"/>
            <w:tcBorders>
              <w:top w:val="nil"/>
              <w:left w:val="nil"/>
              <w:bottom w:val="single" w:sz="4" w:space="0" w:color="auto"/>
              <w:right w:val="single" w:sz="4" w:space="0" w:color="auto"/>
            </w:tcBorders>
            <w:shd w:val="clear" w:color="auto" w:fill="auto"/>
            <w:vAlign w:val="center"/>
            <w:hideMark/>
          </w:tcPr>
          <w:p w14:paraId="37EC6C5D" w14:textId="77777777" w:rsidR="008219D5" w:rsidRPr="00092ED7" w:rsidRDefault="008219D5" w:rsidP="008219D5">
            <w:pPr>
              <w:spacing w:after="0"/>
              <w:jc w:val="left"/>
              <w:rPr>
                <w:rFonts w:eastAsia="Times New Roman" w:cs="Times New Roman"/>
                <w:sz w:val="20"/>
                <w:szCs w:val="20"/>
                <w:lang w:val="sr-Cyrl-CS" w:eastAsia="sr-Latn-RS"/>
              </w:rPr>
            </w:pPr>
            <w:r w:rsidRPr="00092ED7">
              <w:rPr>
                <w:rFonts w:eastAsia="Times New Roman" w:cs="Times New Roman"/>
                <w:sz w:val="20"/>
                <w:szCs w:val="20"/>
                <w:lang w:val="sr-Cyrl-CS" w:eastAsia="sr-Latn-RS"/>
              </w:rPr>
              <w:t> </w:t>
            </w:r>
          </w:p>
        </w:tc>
      </w:tr>
      <w:tr w:rsidR="008219D5" w:rsidRPr="00092ED7" w14:paraId="0A46F0EE" w14:textId="77777777" w:rsidTr="00053B2B">
        <w:trPr>
          <w:trHeight w:val="285"/>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765799B1" w14:textId="77777777" w:rsidR="008219D5" w:rsidRPr="00092ED7" w:rsidRDefault="00734F11" w:rsidP="00734F11">
            <w:pPr>
              <w:spacing w:after="0"/>
              <w:ind w:firstLineChars="17" w:firstLine="34"/>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 xml:space="preserve">3. </w:t>
            </w:r>
            <w:r w:rsidR="008219D5" w:rsidRPr="00092ED7">
              <w:rPr>
                <w:rFonts w:eastAsia="Times New Roman" w:cs="Times New Roman"/>
                <w:color w:val="000000"/>
                <w:sz w:val="20"/>
                <w:szCs w:val="20"/>
                <w:lang w:val="sr-Cyrl-CS" w:eastAsia="sr-Latn-RS"/>
              </w:rPr>
              <w:t>Исплате домаћинстава из џепа као проценат укупних зд</w:t>
            </w:r>
            <w:r w:rsidRPr="00092ED7">
              <w:rPr>
                <w:rFonts w:eastAsia="Times New Roman" w:cs="Times New Roman"/>
                <w:color w:val="000000"/>
                <w:sz w:val="20"/>
                <w:szCs w:val="20"/>
                <w:lang w:val="sr-Cyrl-CS" w:eastAsia="sr-Latn-RS"/>
              </w:rPr>
              <w:t>равствених трошкова</w:t>
            </w:r>
          </w:p>
        </w:tc>
        <w:tc>
          <w:tcPr>
            <w:tcW w:w="1261" w:type="dxa"/>
            <w:tcBorders>
              <w:top w:val="nil"/>
              <w:left w:val="nil"/>
              <w:bottom w:val="single" w:sz="4" w:space="0" w:color="auto"/>
              <w:right w:val="single" w:sz="4" w:space="0" w:color="auto"/>
            </w:tcBorders>
            <w:shd w:val="clear" w:color="auto" w:fill="auto"/>
            <w:vAlign w:val="center"/>
            <w:hideMark/>
          </w:tcPr>
          <w:p w14:paraId="19B004E1" w14:textId="77777777" w:rsidR="008219D5" w:rsidRPr="00092ED7" w:rsidRDefault="008219D5" w:rsidP="008219D5">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WB</w:t>
            </w:r>
          </w:p>
        </w:tc>
        <w:tc>
          <w:tcPr>
            <w:tcW w:w="815" w:type="dxa"/>
            <w:tcBorders>
              <w:top w:val="nil"/>
              <w:left w:val="nil"/>
              <w:bottom w:val="single" w:sz="4" w:space="0" w:color="auto"/>
              <w:right w:val="single" w:sz="4" w:space="0" w:color="auto"/>
            </w:tcBorders>
            <w:shd w:val="clear" w:color="auto" w:fill="auto"/>
            <w:vAlign w:val="center"/>
            <w:hideMark/>
          </w:tcPr>
          <w:p w14:paraId="10B7DCAB"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38,3</w:t>
            </w:r>
          </w:p>
        </w:tc>
        <w:tc>
          <w:tcPr>
            <w:tcW w:w="849" w:type="dxa"/>
            <w:tcBorders>
              <w:top w:val="nil"/>
              <w:left w:val="nil"/>
              <w:bottom w:val="single" w:sz="4" w:space="0" w:color="auto"/>
              <w:right w:val="single" w:sz="4" w:space="0" w:color="auto"/>
            </w:tcBorders>
            <w:shd w:val="clear" w:color="auto" w:fill="auto"/>
            <w:vAlign w:val="center"/>
            <w:hideMark/>
          </w:tcPr>
          <w:p w14:paraId="7899570C"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37,04</w:t>
            </w:r>
          </w:p>
        </w:tc>
        <w:tc>
          <w:tcPr>
            <w:tcW w:w="766" w:type="dxa"/>
            <w:tcBorders>
              <w:top w:val="nil"/>
              <w:left w:val="nil"/>
              <w:bottom w:val="single" w:sz="4" w:space="0" w:color="auto"/>
              <w:right w:val="single" w:sz="4" w:space="0" w:color="auto"/>
            </w:tcBorders>
            <w:shd w:val="clear" w:color="auto" w:fill="auto"/>
            <w:vAlign w:val="center"/>
            <w:hideMark/>
          </w:tcPr>
          <w:p w14:paraId="2DAD59C7" w14:textId="77777777" w:rsidR="008219D5" w:rsidRPr="00092ED7" w:rsidRDefault="008219D5" w:rsidP="008219D5">
            <w:pPr>
              <w:spacing w:after="0"/>
              <w:jc w:val="left"/>
              <w:rPr>
                <w:rFonts w:eastAsia="Times New Roman" w:cs="Times New Roman"/>
                <w:sz w:val="20"/>
                <w:szCs w:val="20"/>
                <w:lang w:val="sr-Cyrl-CS" w:eastAsia="sr-Latn-RS"/>
              </w:rPr>
            </w:pPr>
            <w:r w:rsidRPr="00092ED7">
              <w:rPr>
                <w:rFonts w:eastAsia="Times New Roman" w:cs="Times New Roman"/>
                <w:sz w:val="20"/>
                <w:szCs w:val="20"/>
                <w:lang w:val="sr-Cyrl-CS" w:eastAsia="sr-Latn-RS"/>
              </w:rPr>
              <w:t> </w:t>
            </w:r>
          </w:p>
        </w:tc>
        <w:tc>
          <w:tcPr>
            <w:tcW w:w="843" w:type="dxa"/>
            <w:tcBorders>
              <w:top w:val="nil"/>
              <w:left w:val="nil"/>
              <w:bottom w:val="single" w:sz="4" w:space="0" w:color="auto"/>
              <w:right w:val="single" w:sz="4" w:space="0" w:color="auto"/>
            </w:tcBorders>
            <w:shd w:val="clear" w:color="auto" w:fill="auto"/>
            <w:vAlign w:val="center"/>
            <w:hideMark/>
          </w:tcPr>
          <w:p w14:paraId="6E59E8DA" w14:textId="77777777" w:rsidR="008219D5" w:rsidRPr="00092ED7" w:rsidRDefault="008219D5" w:rsidP="008219D5">
            <w:pPr>
              <w:spacing w:after="0"/>
              <w:jc w:val="left"/>
              <w:rPr>
                <w:rFonts w:eastAsia="Times New Roman" w:cs="Times New Roman"/>
                <w:sz w:val="20"/>
                <w:szCs w:val="20"/>
                <w:lang w:val="sr-Cyrl-CS" w:eastAsia="sr-Latn-RS"/>
              </w:rPr>
            </w:pPr>
            <w:r w:rsidRPr="00092ED7">
              <w:rPr>
                <w:rFonts w:eastAsia="Times New Roman" w:cs="Times New Roman"/>
                <w:sz w:val="20"/>
                <w:szCs w:val="20"/>
                <w:lang w:val="sr-Cyrl-CS" w:eastAsia="sr-Latn-RS"/>
              </w:rPr>
              <w:t> </w:t>
            </w:r>
          </w:p>
        </w:tc>
      </w:tr>
      <w:tr w:rsidR="008219D5" w:rsidRPr="00092ED7" w14:paraId="6905B47D" w14:textId="77777777" w:rsidTr="00053B2B">
        <w:trPr>
          <w:trHeight w:val="276"/>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5E958625" w14:textId="77777777" w:rsidR="008219D5" w:rsidRPr="00092ED7" w:rsidRDefault="00734F11" w:rsidP="00734F11">
            <w:pPr>
              <w:spacing w:after="0"/>
              <w:ind w:firstLineChars="17" w:firstLine="34"/>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 xml:space="preserve">4. </w:t>
            </w:r>
            <w:r w:rsidR="008219D5" w:rsidRPr="00092ED7">
              <w:rPr>
                <w:rFonts w:eastAsia="Times New Roman" w:cs="Times New Roman"/>
                <w:color w:val="000000"/>
                <w:sz w:val="20"/>
                <w:szCs w:val="20"/>
                <w:lang w:val="sr-Cyrl-CS" w:eastAsia="sr-Latn-RS"/>
              </w:rPr>
              <w:t>Проценат становништва који није обухваћен здравственим осигурањем</w:t>
            </w:r>
          </w:p>
        </w:tc>
        <w:tc>
          <w:tcPr>
            <w:tcW w:w="1261" w:type="dxa"/>
            <w:tcBorders>
              <w:top w:val="nil"/>
              <w:left w:val="nil"/>
              <w:bottom w:val="single" w:sz="4" w:space="0" w:color="auto"/>
              <w:right w:val="single" w:sz="4" w:space="0" w:color="auto"/>
            </w:tcBorders>
            <w:shd w:val="clear" w:color="auto" w:fill="auto"/>
            <w:vAlign w:val="center"/>
            <w:hideMark/>
          </w:tcPr>
          <w:p w14:paraId="29480F50" w14:textId="77777777" w:rsidR="008219D5" w:rsidRPr="00092ED7" w:rsidRDefault="008219D5" w:rsidP="008219D5">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 </w:t>
            </w:r>
          </w:p>
        </w:tc>
        <w:tc>
          <w:tcPr>
            <w:tcW w:w="815" w:type="dxa"/>
            <w:tcBorders>
              <w:top w:val="nil"/>
              <w:left w:val="nil"/>
              <w:bottom w:val="single" w:sz="4" w:space="0" w:color="auto"/>
              <w:right w:val="single" w:sz="4" w:space="0" w:color="auto"/>
            </w:tcBorders>
            <w:shd w:val="clear" w:color="auto" w:fill="auto"/>
            <w:vAlign w:val="center"/>
            <w:hideMark/>
          </w:tcPr>
          <w:p w14:paraId="4C8029AF" w14:textId="77777777" w:rsidR="008219D5" w:rsidRPr="00092ED7" w:rsidRDefault="008219D5" w:rsidP="008219D5">
            <w:pPr>
              <w:spacing w:after="0"/>
              <w:jc w:val="left"/>
              <w:rPr>
                <w:rFonts w:eastAsia="Times New Roman" w:cs="Times New Roman"/>
                <w:sz w:val="20"/>
                <w:szCs w:val="20"/>
                <w:lang w:val="sr-Cyrl-CS" w:eastAsia="sr-Latn-RS"/>
              </w:rPr>
            </w:pPr>
            <w:r w:rsidRPr="00092ED7">
              <w:rPr>
                <w:rFonts w:eastAsia="Times New Roman" w:cs="Times New Roman"/>
                <w:sz w:val="20"/>
                <w:szCs w:val="20"/>
                <w:lang w:val="sr-Cyrl-CS" w:eastAsia="sr-Latn-RS"/>
              </w:rPr>
              <w:t> </w:t>
            </w:r>
          </w:p>
        </w:tc>
        <w:tc>
          <w:tcPr>
            <w:tcW w:w="849" w:type="dxa"/>
            <w:tcBorders>
              <w:top w:val="nil"/>
              <w:left w:val="nil"/>
              <w:bottom w:val="single" w:sz="4" w:space="0" w:color="auto"/>
              <w:right w:val="single" w:sz="4" w:space="0" w:color="auto"/>
            </w:tcBorders>
            <w:shd w:val="clear" w:color="auto" w:fill="auto"/>
            <w:vAlign w:val="center"/>
            <w:hideMark/>
          </w:tcPr>
          <w:p w14:paraId="6BCBEC33" w14:textId="77777777" w:rsidR="008219D5" w:rsidRPr="00092ED7" w:rsidRDefault="008219D5" w:rsidP="008219D5">
            <w:pPr>
              <w:spacing w:after="0"/>
              <w:jc w:val="left"/>
              <w:rPr>
                <w:rFonts w:eastAsia="Times New Roman" w:cs="Times New Roman"/>
                <w:sz w:val="20"/>
                <w:szCs w:val="20"/>
                <w:lang w:val="sr-Cyrl-CS" w:eastAsia="sr-Latn-RS"/>
              </w:rPr>
            </w:pPr>
            <w:r w:rsidRPr="00092ED7">
              <w:rPr>
                <w:rFonts w:eastAsia="Times New Roman" w:cs="Times New Roman"/>
                <w:sz w:val="20"/>
                <w:szCs w:val="20"/>
                <w:lang w:val="sr-Cyrl-CS" w:eastAsia="sr-Latn-RS"/>
              </w:rPr>
              <w:t> </w:t>
            </w:r>
          </w:p>
        </w:tc>
        <w:tc>
          <w:tcPr>
            <w:tcW w:w="766" w:type="dxa"/>
            <w:tcBorders>
              <w:top w:val="nil"/>
              <w:left w:val="nil"/>
              <w:bottom w:val="single" w:sz="4" w:space="0" w:color="auto"/>
              <w:right w:val="single" w:sz="4" w:space="0" w:color="auto"/>
            </w:tcBorders>
            <w:shd w:val="clear" w:color="auto" w:fill="auto"/>
            <w:vAlign w:val="center"/>
            <w:hideMark/>
          </w:tcPr>
          <w:p w14:paraId="09314143" w14:textId="77777777" w:rsidR="008219D5" w:rsidRPr="00092ED7" w:rsidRDefault="008219D5" w:rsidP="008219D5">
            <w:pPr>
              <w:spacing w:after="0"/>
              <w:jc w:val="left"/>
              <w:rPr>
                <w:rFonts w:eastAsia="Times New Roman" w:cs="Times New Roman"/>
                <w:sz w:val="20"/>
                <w:szCs w:val="20"/>
                <w:lang w:val="sr-Cyrl-CS" w:eastAsia="sr-Latn-RS"/>
              </w:rPr>
            </w:pPr>
            <w:r w:rsidRPr="00092ED7">
              <w:rPr>
                <w:rFonts w:eastAsia="Times New Roman" w:cs="Times New Roman"/>
                <w:sz w:val="20"/>
                <w:szCs w:val="20"/>
                <w:lang w:val="sr-Cyrl-CS" w:eastAsia="sr-Latn-RS"/>
              </w:rPr>
              <w:t> </w:t>
            </w:r>
          </w:p>
        </w:tc>
        <w:tc>
          <w:tcPr>
            <w:tcW w:w="843" w:type="dxa"/>
            <w:tcBorders>
              <w:top w:val="nil"/>
              <w:left w:val="nil"/>
              <w:bottom w:val="single" w:sz="4" w:space="0" w:color="auto"/>
              <w:right w:val="single" w:sz="4" w:space="0" w:color="auto"/>
            </w:tcBorders>
            <w:shd w:val="clear" w:color="auto" w:fill="auto"/>
            <w:vAlign w:val="center"/>
            <w:hideMark/>
          </w:tcPr>
          <w:p w14:paraId="41A16DFF" w14:textId="77777777" w:rsidR="008219D5" w:rsidRPr="00092ED7" w:rsidRDefault="008219D5" w:rsidP="008219D5">
            <w:pPr>
              <w:spacing w:after="0"/>
              <w:jc w:val="left"/>
              <w:rPr>
                <w:rFonts w:eastAsia="Times New Roman" w:cs="Times New Roman"/>
                <w:sz w:val="20"/>
                <w:szCs w:val="20"/>
                <w:lang w:val="sr-Cyrl-CS" w:eastAsia="sr-Latn-RS"/>
              </w:rPr>
            </w:pPr>
            <w:r w:rsidRPr="00092ED7">
              <w:rPr>
                <w:rFonts w:eastAsia="Times New Roman" w:cs="Times New Roman"/>
                <w:sz w:val="20"/>
                <w:szCs w:val="20"/>
                <w:lang w:val="sr-Cyrl-CS" w:eastAsia="sr-Latn-RS"/>
              </w:rPr>
              <w:t> </w:t>
            </w:r>
          </w:p>
        </w:tc>
      </w:tr>
      <w:tr w:rsidR="008219D5" w:rsidRPr="00092ED7" w14:paraId="17B4061D" w14:textId="77777777" w:rsidTr="00053B2B">
        <w:trPr>
          <w:trHeight w:val="276"/>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1AEA0BFC" w14:textId="77777777" w:rsidR="008219D5" w:rsidRPr="00092ED7" w:rsidRDefault="00734F11" w:rsidP="00734F11">
            <w:pPr>
              <w:spacing w:after="0"/>
              <w:ind w:firstLineChars="17" w:firstLine="34"/>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 xml:space="preserve">5. </w:t>
            </w:r>
            <w:r w:rsidR="008219D5" w:rsidRPr="00092ED7">
              <w:rPr>
                <w:rFonts w:eastAsia="Times New Roman" w:cs="Times New Roman"/>
                <w:color w:val="000000"/>
                <w:sz w:val="20"/>
                <w:szCs w:val="20"/>
                <w:lang w:val="sr-Cyrl-CS" w:eastAsia="sr-Latn-RS"/>
              </w:rPr>
              <w:t>О</w:t>
            </w:r>
            <w:r w:rsidRPr="00092ED7">
              <w:rPr>
                <w:rFonts w:eastAsia="Times New Roman" w:cs="Times New Roman"/>
                <w:color w:val="000000"/>
                <w:sz w:val="20"/>
                <w:szCs w:val="20"/>
                <w:lang w:val="sr-Cyrl-CS" w:eastAsia="sr-Latn-RS"/>
              </w:rPr>
              <w:t>днос лекара на 1000 становника</w:t>
            </w:r>
          </w:p>
        </w:tc>
        <w:tc>
          <w:tcPr>
            <w:tcW w:w="1261" w:type="dxa"/>
            <w:tcBorders>
              <w:top w:val="nil"/>
              <w:left w:val="nil"/>
              <w:bottom w:val="single" w:sz="4" w:space="0" w:color="auto"/>
              <w:right w:val="single" w:sz="4" w:space="0" w:color="auto"/>
            </w:tcBorders>
            <w:shd w:val="clear" w:color="auto" w:fill="auto"/>
            <w:vAlign w:val="center"/>
            <w:hideMark/>
          </w:tcPr>
          <w:p w14:paraId="1FDA7D98" w14:textId="77777777" w:rsidR="008219D5" w:rsidRPr="00092ED7" w:rsidRDefault="008219D5" w:rsidP="008219D5">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РЗС</w:t>
            </w:r>
          </w:p>
        </w:tc>
        <w:tc>
          <w:tcPr>
            <w:tcW w:w="815" w:type="dxa"/>
            <w:tcBorders>
              <w:top w:val="nil"/>
              <w:left w:val="nil"/>
              <w:bottom w:val="single" w:sz="4" w:space="0" w:color="auto"/>
              <w:right w:val="single" w:sz="4" w:space="0" w:color="auto"/>
            </w:tcBorders>
            <w:shd w:val="clear" w:color="auto" w:fill="auto"/>
            <w:vAlign w:val="center"/>
            <w:hideMark/>
          </w:tcPr>
          <w:p w14:paraId="1C10E8CB"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3,1</w:t>
            </w:r>
          </w:p>
        </w:tc>
        <w:tc>
          <w:tcPr>
            <w:tcW w:w="849" w:type="dxa"/>
            <w:tcBorders>
              <w:top w:val="nil"/>
              <w:left w:val="nil"/>
              <w:bottom w:val="single" w:sz="4" w:space="0" w:color="auto"/>
              <w:right w:val="single" w:sz="4" w:space="0" w:color="auto"/>
            </w:tcBorders>
            <w:shd w:val="clear" w:color="auto" w:fill="auto"/>
            <w:vAlign w:val="center"/>
            <w:hideMark/>
          </w:tcPr>
          <w:p w14:paraId="4FBF6C8B"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2,9</w:t>
            </w:r>
          </w:p>
        </w:tc>
        <w:tc>
          <w:tcPr>
            <w:tcW w:w="766" w:type="dxa"/>
            <w:tcBorders>
              <w:top w:val="nil"/>
              <w:left w:val="nil"/>
              <w:bottom w:val="single" w:sz="4" w:space="0" w:color="auto"/>
              <w:right w:val="single" w:sz="4" w:space="0" w:color="auto"/>
            </w:tcBorders>
            <w:shd w:val="clear" w:color="auto" w:fill="auto"/>
            <w:vAlign w:val="center"/>
            <w:hideMark/>
          </w:tcPr>
          <w:p w14:paraId="7DB3DE31"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2,91</w:t>
            </w:r>
          </w:p>
        </w:tc>
        <w:tc>
          <w:tcPr>
            <w:tcW w:w="843" w:type="dxa"/>
            <w:tcBorders>
              <w:top w:val="nil"/>
              <w:left w:val="nil"/>
              <w:bottom w:val="single" w:sz="4" w:space="0" w:color="auto"/>
              <w:right w:val="single" w:sz="4" w:space="0" w:color="auto"/>
            </w:tcBorders>
            <w:shd w:val="clear" w:color="auto" w:fill="auto"/>
            <w:vAlign w:val="center"/>
            <w:hideMark/>
          </w:tcPr>
          <w:p w14:paraId="78600BDD"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2,95</w:t>
            </w:r>
          </w:p>
        </w:tc>
      </w:tr>
      <w:tr w:rsidR="008219D5" w:rsidRPr="00092ED7" w14:paraId="34D82AC0" w14:textId="77777777" w:rsidTr="00053B2B">
        <w:trPr>
          <w:trHeight w:val="276"/>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705B3E81" w14:textId="77777777" w:rsidR="008219D5" w:rsidRPr="00092ED7" w:rsidRDefault="00734F11" w:rsidP="00734F11">
            <w:pPr>
              <w:spacing w:after="0"/>
              <w:ind w:firstLineChars="17" w:firstLine="34"/>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 xml:space="preserve">6. </w:t>
            </w:r>
            <w:r w:rsidR="008219D5" w:rsidRPr="00092ED7">
              <w:rPr>
                <w:rFonts w:eastAsia="Times New Roman" w:cs="Times New Roman"/>
                <w:color w:val="000000"/>
                <w:sz w:val="20"/>
                <w:szCs w:val="20"/>
                <w:lang w:val="sr-Cyrl-CS" w:eastAsia="sr-Latn-RS"/>
              </w:rPr>
              <w:t>Однос медицин</w:t>
            </w:r>
            <w:r w:rsidRPr="00092ED7">
              <w:rPr>
                <w:rFonts w:eastAsia="Times New Roman" w:cs="Times New Roman"/>
                <w:color w:val="000000"/>
                <w:sz w:val="20"/>
                <w:szCs w:val="20"/>
                <w:lang w:val="sr-Cyrl-CS" w:eastAsia="sr-Latn-RS"/>
              </w:rPr>
              <w:t>ских сестара на 1000 становника</w:t>
            </w:r>
          </w:p>
        </w:tc>
        <w:tc>
          <w:tcPr>
            <w:tcW w:w="1261" w:type="dxa"/>
            <w:tcBorders>
              <w:top w:val="nil"/>
              <w:left w:val="nil"/>
              <w:bottom w:val="single" w:sz="4" w:space="0" w:color="auto"/>
              <w:right w:val="single" w:sz="4" w:space="0" w:color="auto"/>
            </w:tcBorders>
            <w:shd w:val="clear" w:color="auto" w:fill="auto"/>
            <w:vAlign w:val="center"/>
            <w:hideMark/>
          </w:tcPr>
          <w:p w14:paraId="7779CF00" w14:textId="77777777" w:rsidR="008219D5" w:rsidRPr="00092ED7" w:rsidRDefault="008219D5" w:rsidP="008219D5">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РЗС</w:t>
            </w:r>
          </w:p>
        </w:tc>
        <w:tc>
          <w:tcPr>
            <w:tcW w:w="815" w:type="dxa"/>
            <w:tcBorders>
              <w:top w:val="nil"/>
              <w:left w:val="nil"/>
              <w:bottom w:val="single" w:sz="4" w:space="0" w:color="auto"/>
              <w:right w:val="single" w:sz="4" w:space="0" w:color="auto"/>
            </w:tcBorders>
            <w:shd w:val="clear" w:color="auto" w:fill="auto"/>
            <w:vAlign w:val="center"/>
            <w:hideMark/>
          </w:tcPr>
          <w:p w14:paraId="170721D2"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6,6</w:t>
            </w:r>
          </w:p>
        </w:tc>
        <w:tc>
          <w:tcPr>
            <w:tcW w:w="849" w:type="dxa"/>
            <w:tcBorders>
              <w:top w:val="nil"/>
              <w:left w:val="nil"/>
              <w:bottom w:val="single" w:sz="4" w:space="0" w:color="auto"/>
              <w:right w:val="single" w:sz="4" w:space="0" w:color="auto"/>
            </w:tcBorders>
            <w:shd w:val="clear" w:color="auto" w:fill="auto"/>
            <w:vAlign w:val="center"/>
            <w:hideMark/>
          </w:tcPr>
          <w:p w14:paraId="07A941A5"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6,0</w:t>
            </w:r>
          </w:p>
        </w:tc>
        <w:tc>
          <w:tcPr>
            <w:tcW w:w="766" w:type="dxa"/>
            <w:tcBorders>
              <w:top w:val="nil"/>
              <w:left w:val="nil"/>
              <w:bottom w:val="single" w:sz="4" w:space="0" w:color="auto"/>
              <w:right w:val="single" w:sz="4" w:space="0" w:color="auto"/>
            </w:tcBorders>
            <w:shd w:val="clear" w:color="auto" w:fill="auto"/>
            <w:vAlign w:val="center"/>
            <w:hideMark/>
          </w:tcPr>
          <w:p w14:paraId="03480DF1"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6,2</w:t>
            </w:r>
          </w:p>
        </w:tc>
        <w:tc>
          <w:tcPr>
            <w:tcW w:w="843" w:type="dxa"/>
            <w:tcBorders>
              <w:top w:val="nil"/>
              <w:left w:val="nil"/>
              <w:bottom w:val="single" w:sz="4" w:space="0" w:color="auto"/>
              <w:right w:val="single" w:sz="4" w:space="0" w:color="auto"/>
            </w:tcBorders>
            <w:shd w:val="clear" w:color="auto" w:fill="auto"/>
            <w:vAlign w:val="center"/>
            <w:hideMark/>
          </w:tcPr>
          <w:p w14:paraId="7E4B9676"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6,32</w:t>
            </w:r>
          </w:p>
        </w:tc>
      </w:tr>
      <w:tr w:rsidR="008219D5" w:rsidRPr="00092ED7" w14:paraId="4EA5ACFD" w14:textId="77777777" w:rsidTr="00053B2B">
        <w:trPr>
          <w:trHeight w:val="276"/>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63ECD84C" w14:textId="77777777" w:rsidR="008219D5" w:rsidRPr="00092ED7" w:rsidRDefault="008219D5" w:rsidP="00734F11">
            <w:pPr>
              <w:spacing w:after="0"/>
              <w:ind w:firstLine="601"/>
              <w:jc w:val="left"/>
              <w:rPr>
                <w:rFonts w:eastAsia="Times New Roman" w:cs="Times New Roman"/>
                <w:b/>
                <w:i/>
                <w:color w:val="000000"/>
                <w:sz w:val="20"/>
                <w:szCs w:val="20"/>
                <w:lang w:val="sr-Cyrl-CS" w:eastAsia="sr-Latn-RS"/>
              </w:rPr>
            </w:pPr>
            <w:r w:rsidRPr="00092ED7">
              <w:rPr>
                <w:rFonts w:eastAsia="Times New Roman" w:cs="Times New Roman"/>
                <w:b/>
                <w:i/>
                <w:color w:val="000000"/>
                <w:sz w:val="20"/>
                <w:szCs w:val="20"/>
                <w:lang w:val="sr-Cyrl-CS" w:eastAsia="sr-Latn-RS"/>
              </w:rPr>
              <w:lastRenderedPageBreak/>
              <w:t>Животна средина</w:t>
            </w:r>
          </w:p>
        </w:tc>
        <w:tc>
          <w:tcPr>
            <w:tcW w:w="1261" w:type="dxa"/>
            <w:tcBorders>
              <w:top w:val="nil"/>
              <w:left w:val="nil"/>
              <w:bottom w:val="single" w:sz="4" w:space="0" w:color="auto"/>
              <w:right w:val="single" w:sz="4" w:space="0" w:color="auto"/>
            </w:tcBorders>
            <w:shd w:val="clear" w:color="auto" w:fill="auto"/>
            <w:vAlign w:val="center"/>
            <w:hideMark/>
          </w:tcPr>
          <w:p w14:paraId="1032BF91" w14:textId="77777777" w:rsidR="008219D5" w:rsidRPr="00092ED7" w:rsidRDefault="008219D5" w:rsidP="008219D5">
            <w:pPr>
              <w:spacing w:after="0"/>
              <w:jc w:val="left"/>
              <w:rPr>
                <w:rFonts w:eastAsia="Times New Roman" w:cs="Times New Roman"/>
                <w:b/>
                <w:color w:val="000000"/>
                <w:sz w:val="20"/>
                <w:szCs w:val="20"/>
                <w:lang w:val="sr-Cyrl-CS" w:eastAsia="sr-Latn-RS"/>
              </w:rPr>
            </w:pPr>
            <w:r w:rsidRPr="00092ED7">
              <w:rPr>
                <w:rFonts w:eastAsia="Times New Roman" w:cs="Times New Roman"/>
                <w:b/>
                <w:color w:val="000000"/>
                <w:sz w:val="20"/>
                <w:szCs w:val="20"/>
                <w:lang w:val="sr-Cyrl-CS" w:eastAsia="sr-Latn-RS"/>
              </w:rPr>
              <w:t> </w:t>
            </w:r>
          </w:p>
        </w:tc>
        <w:tc>
          <w:tcPr>
            <w:tcW w:w="815" w:type="dxa"/>
            <w:tcBorders>
              <w:top w:val="nil"/>
              <w:left w:val="nil"/>
              <w:bottom w:val="single" w:sz="4" w:space="0" w:color="auto"/>
              <w:right w:val="single" w:sz="4" w:space="0" w:color="auto"/>
            </w:tcBorders>
            <w:shd w:val="clear" w:color="auto" w:fill="auto"/>
            <w:vAlign w:val="center"/>
            <w:hideMark/>
          </w:tcPr>
          <w:p w14:paraId="05EBDCFE" w14:textId="77777777" w:rsidR="008219D5" w:rsidRPr="00092ED7" w:rsidRDefault="008219D5" w:rsidP="008219D5">
            <w:pPr>
              <w:spacing w:after="0"/>
              <w:jc w:val="left"/>
              <w:rPr>
                <w:rFonts w:eastAsia="Times New Roman" w:cs="Times New Roman"/>
                <w:b/>
                <w:sz w:val="20"/>
                <w:szCs w:val="20"/>
                <w:lang w:val="sr-Cyrl-CS" w:eastAsia="sr-Latn-RS"/>
              </w:rPr>
            </w:pPr>
            <w:r w:rsidRPr="00092ED7">
              <w:rPr>
                <w:rFonts w:eastAsia="Times New Roman" w:cs="Times New Roman"/>
                <w:b/>
                <w:sz w:val="20"/>
                <w:szCs w:val="20"/>
                <w:lang w:val="sr-Cyrl-CS" w:eastAsia="sr-Latn-RS"/>
              </w:rPr>
              <w:t> </w:t>
            </w:r>
          </w:p>
        </w:tc>
        <w:tc>
          <w:tcPr>
            <w:tcW w:w="849" w:type="dxa"/>
            <w:tcBorders>
              <w:top w:val="nil"/>
              <w:left w:val="nil"/>
              <w:bottom w:val="single" w:sz="4" w:space="0" w:color="auto"/>
              <w:right w:val="single" w:sz="4" w:space="0" w:color="auto"/>
            </w:tcBorders>
            <w:shd w:val="clear" w:color="auto" w:fill="auto"/>
            <w:vAlign w:val="center"/>
            <w:hideMark/>
          </w:tcPr>
          <w:p w14:paraId="4489C268" w14:textId="77777777" w:rsidR="008219D5" w:rsidRPr="00092ED7" w:rsidRDefault="008219D5" w:rsidP="008219D5">
            <w:pPr>
              <w:spacing w:after="0"/>
              <w:jc w:val="left"/>
              <w:rPr>
                <w:rFonts w:eastAsia="Times New Roman" w:cs="Times New Roman"/>
                <w:b/>
                <w:sz w:val="20"/>
                <w:szCs w:val="20"/>
                <w:lang w:val="sr-Cyrl-CS" w:eastAsia="sr-Latn-RS"/>
              </w:rPr>
            </w:pPr>
            <w:r w:rsidRPr="00092ED7">
              <w:rPr>
                <w:rFonts w:eastAsia="Times New Roman" w:cs="Times New Roman"/>
                <w:b/>
                <w:sz w:val="20"/>
                <w:szCs w:val="20"/>
                <w:lang w:val="sr-Cyrl-CS" w:eastAsia="sr-Latn-RS"/>
              </w:rPr>
              <w:t> </w:t>
            </w:r>
          </w:p>
        </w:tc>
        <w:tc>
          <w:tcPr>
            <w:tcW w:w="766" w:type="dxa"/>
            <w:tcBorders>
              <w:top w:val="nil"/>
              <w:left w:val="nil"/>
              <w:bottom w:val="single" w:sz="4" w:space="0" w:color="auto"/>
              <w:right w:val="single" w:sz="4" w:space="0" w:color="auto"/>
            </w:tcBorders>
            <w:shd w:val="clear" w:color="auto" w:fill="auto"/>
            <w:vAlign w:val="center"/>
            <w:hideMark/>
          </w:tcPr>
          <w:p w14:paraId="73F3EA38" w14:textId="77777777" w:rsidR="008219D5" w:rsidRPr="00092ED7" w:rsidRDefault="008219D5" w:rsidP="008219D5">
            <w:pPr>
              <w:spacing w:after="0"/>
              <w:jc w:val="left"/>
              <w:rPr>
                <w:rFonts w:eastAsia="Times New Roman" w:cs="Times New Roman"/>
                <w:b/>
                <w:sz w:val="20"/>
                <w:szCs w:val="20"/>
                <w:lang w:val="sr-Cyrl-CS" w:eastAsia="sr-Latn-RS"/>
              </w:rPr>
            </w:pPr>
            <w:r w:rsidRPr="00092ED7">
              <w:rPr>
                <w:rFonts w:eastAsia="Times New Roman" w:cs="Times New Roman"/>
                <w:b/>
                <w:sz w:val="20"/>
                <w:szCs w:val="20"/>
                <w:lang w:val="sr-Cyrl-CS" w:eastAsia="sr-Latn-RS"/>
              </w:rPr>
              <w:t> </w:t>
            </w:r>
          </w:p>
        </w:tc>
        <w:tc>
          <w:tcPr>
            <w:tcW w:w="843" w:type="dxa"/>
            <w:tcBorders>
              <w:top w:val="nil"/>
              <w:left w:val="nil"/>
              <w:bottom w:val="single" w:sz="4" w:space="0" w:color="auto"/>
              <w:right w:val="single" w:sz="4" w:space="0" w:color="auto"/>
            </w:tcBorders>
            <w:shd w:val="clear" w:color="auto" w:fill="auto"/>
            <w:vAlign w:val="center"/>
            <w:hideMark/>
          </w:tcPr>
          <w:p w14:paraId="6F6D4965" w14:textId="77777777" w:rsidR="008219D5" w:rsidRPr="00092ED7" w:rsidRDefault="008219D5" w:rsidP="008219D5">
            <w:pPr>
              <w:spacing w:after="0"/>
              <w:jc w:val="left"/>
              <w:rPr>
                <w:rFonts w:eastAsia="Times New Roman" w:cs="Times New Roman"/>
                <w:b/>
                <w:sz w:val="20"/>
                <w:szCs w:val="20"/>
                <w:lang w:val="sr-Cyrl-CS" w:eastAsia="sr-Latn-RS"/>
              </w:rPr>
            </w:pPr>
            <w:r w:rsidRPr="00092ED7">
              <w:rPr>
                <w:rFonts w:eastAsia="Times New Roman" w:cs="Times New Roman"/>
                <w:b/>
                <w:sz w:val="20"/>
                <w:szCs w:val="20"/>
                <w:lang w:val="sr-Cyrl-CS" w:eastAsia="sr-Latn-RS"/>
              </w:rPr>
              <w:t> </w:t>
            </w:r>
          </w:p>
        </w:tc>
      </w:tr>
      <w:tr w:rsidR="008219D5" w:rsidRPr="00092ED7" w14:paraId="77154D1D" w14:textId="77777777" w:rsidTr="00053B2B">
        <w:trPr>
          <w:trHeight w:val="528"/>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44EA4525" w14:textId="77777777" w:rsidR="008219D5" w:rsidRPr="00092ED7" w:rsidRDefault="00734F11" w:rsidP="00734F11">
            <w:pPr>
              <w:spacing w:after="0"/>
              <w:ind w:firstLineChars="17" w:firstLine="34"/>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 xml:space="preserve">7. </w:t>
            </w:r>
            <w:r w:rsidR="008219D5" w:rsidRPr="00092ED7">
              <w:rPr>
                <w:rFonts w:eastAsia="Times New Roman" w:cs="Times New Roman"/>
                <w:color w:val="000000"/>
                <w:sz w:val="20"/>
                <w:szCs w:val="20"/>
                <w:lang w:val="sr-Cyrl-CS" w:eastAsia="sr-Latn-RS"/>
              </w:rPr>
              <w:t>Укупни приходи од пореза на животну средину као удео у укупним приходима од пореза и социјалних доприноса</w:t>
            </w:r>
          </w:p>
        </w:tc>
        <w:tc>
          <w:tcPr>
            <w:tcW w:w="1261" w:type="dxa"/>
            <w:tcBorders>
              <w:top w:val="nil"/>
              <w:left w:val="nil"/>
              <w:bottom w:val="single" w:sz="4" w:space="0" w:color="auto"/>
              <w:right w:val="single" w:sz="4" w:space="0" w:color="auto"/>
            </w:tcBorders>
            <w:shd w:val="clear" w:color="auto" w:fill="auto"/>
            <w:vAlign w:val="center"/>
            <w:hideMark/>
          </w:tcPr>
          <w:p w14:paraId="6A6B711C" w14:textId="77777777" w:rsidR="008219D5" w:rsidRPr="00092ED7" w:rsidRDefault="008219D5" w:rsidP="008219D5">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РЗС</w:t>
            </w:r>
          </w:p>
        </w:tc>
        <w:tc>
          <w:tcPr>
            <w:tcW w:w="815" w:type="dxa"/>
            <w:tcBorders>
              <w:top w:val="nil"/>
              <w:left w:val="nil"/>
              <w:bottom w:val="single" w:sz="4" w:space="0" w:color="auto"/>
              <w:right w:val="single" w:sz="4" w:space="0" w:color="auto"/>
            </w:tcBorders>
            <w:shd w:val="clear" w:color="auto" w:fill="auto"/>
            <w:vAlign w:val="center"/>
            <w:hideMark/>
          </w:tcPr>
          <w:p w14:paraId="36DF22C1"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11,1</w:t>
            </w:r>
          </w:p>
        </w:tc>
        <w:tc>
          <w:tcPr>
            <w:tcW w:w="849" w:type="dxa"/>
            <w:tcBorders>
              <w:top w:val="nil"/>
              <w:left w:val="nil"/>
              <w:bottom w:val="single" w:sz="4" w:space="0" w:color="auto"/>
              <w:right w:val="single" w:sz="4" w:space="0" w:color="auto"/>
            </w:tcBorders>
            <w:shd w:val="clear" w:color="auto" w:fill="auto"/>
            <w:vAlign w:val="center"/>
            <w:hideMark/>
          </w:tcPr>
          <w:p w14:paraId="294508F3"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11</w:t>
            </w:r>
          </w:p>
        </w:tc>
        <w:tc>
          <w:tcPr>
            <w:tcW w:w="766" w:type="dxa"/>
            <w:tcBorders>
              <w:top w:val="nil"/>
              <w:left w:val="nil"/>
              <w:bottom w:val="single" w:sz="4" w:space="0" w:color="auto"/>
              <w:right w:val="single" w:sz="4" w:space="0" w:color="auto"/>
            </w:tcBorders>
            <w:shd w:val="clear" w:color="auto" w:fill="auto"/>
            <w:vAlign w:val="center"/>
            <w:hideMark/>
          </w:tcPr>
          <w:p w14:paraId="58752D04"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10,3</w:t>
            </w:r>
          </w:p>
        </w:tc>
        <w:tc>
          <w:tcPr>
            <w:tcW w:w="843" w:type="dxa"/>
            <w:tcBorders>
              <w:top w:val="nil"/>
              <w:left w:val="nil"/>
              <w:bottom w:val="single" w:sz="4" w:space="0" w:color="auto"/>
              <w:right w:val="single" w:sz="4" w:space="0" w:color="auto"/>
            </w:tcBorders>
            <w:shd w:val="clear" w:color="auto" w:fill="auto"/>
            <w:vAlign w:val="center"/>
            <w:hideMark/>
          </w:tcPr>
          <w:p w14:paraId="224CCB05" w14:textId="77777777" w:rsidR="008219D5" w:rsidRPr="00092ED7" w:rsidRDefault="008219D5" w:rsidP="008219D5">
            <w:pPr>
              <w:spacing w:after="0"/>
              <w:jc w:val="left"/>
              <w:rPr>
                <w:rFonts w:eastAsia="Times New Roman" w:cs="Times New Roman"/>
                <w:sz w:val="20"/>
                <w:szCs w:val="20"/>
                <w:lang w:val="sr-Cyrl-CS" w:eastAsia="sr-Latn-RS"/>
              </w:rPr>
            </w:pPr>
            <w:r w:rsidRPr="00092ED7">
              <w:rPr>
                <w:rFonts w:eastAsia="Times New Roman" w:cs="Times New Roman"/>
                <w:sz w:val="20"/>
                <w:szCs w:val="20"/>
                <w:lang w:val="sr-Cyrl-CS" w:eastAsia="sr-Latn-RS"/>
              </w:rPr>
              <w:t> </w:t>
            </w:r>
          </w:p>
        </w:tc>
      </w:tr>
      <w:tr w:rsidR="008219D5" w:rsidRPr="00092ED7" w14:paraId="499E4507" w14:textId="77777777" w:rsidTr="00053B2B">
        <w:trPr>
          <w:trHeight w:val="276"/>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073C4AA0" w14:textId="77777777" w:rsidR="008219D5" w:rsidRPr="00092ED7" w:rsidRDefault="00734F11" w:rsidP="00734F11">
            <w:pPr>
              <w:spacing w:after="0"/>
              <w:ind w:firstLineChars="17" w:firstLine="34"/>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 xml:space="preserve">8. </w:t>
            </w:r>
            <w:r w:rsidR="008219D5" w:rsidRPr="00092ED7">
              <w:rPr>
                <w:rFonts w:eastAsia="Times New Roman" w:cs="Times New Roman"/>
                <w:color w:val="000000"/>
                <w:sz w:val="20"/>
                <w:szCs w:val="20"/>
                <w:lang w:val="sr-Cyrl-CS" w:eastAsia="sr-Latn-RS"/>
              </w:rPr>
              <w:t>Емисије гасова са ефект</w:t>
            </w:r>
            <w:r w:rsidRPr="00092ED7">
              <w:rPr>
                <w:rFonts w:eastAsia="Times New Roman" w:cs="Times New Roman"/>
                <w:color w:val="000000"/>
                <w:sz w:val="20"/>
                <w:szCs w:val="20"/>
                <w:lang w:val="sr-Cyrl-CS" w:eastAsia="sr-Latn-RS"/>
              </w:rPr>
              <w:t>ом стаклене баште по становнику</w:t>
            </w:r>
          </w:p>
        </w:tc>
        <w:tc>
          <w:tcPr>
            <w:tcW w:w="1261" w:type="dxa"/>
            <w:tcBorders>
              <w:top w:val="nil"/>
              <w:left w:val="nil"/>
              <w:bottom w:val="single" w:sz="4" w:space="0" w:color="auto"/>
              <w:right w:val="single" w:sz="4" w:space="0" w:color="auto"/>
            </w:tcBorders>
            <w:shd w:val="clear" w:color="auto" w:fill="auto"/>
            <w:vAlign w:val="center"/>
            <w:hideMark/>
          </w:tcPr>
          <w:p w14:paraId="2F077D9F" w14:textId="77777777" w:rsidR="008219D5" w:rsidRPr="00092ED7" w:rsidRDefault="008219D5" w:rsidP="008219D5">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 </w:t>
            </w:r>
          </w:p>
        </w:tc>
        <w:tc>
          <w:tcPr>
            <w:tcW w:w="815" w:type="dxa"/>
            <w:tcBorders>
              <w:top w:val="nil"/>
              <w:left w:val="nil"/>
              <w:bottom w:val="single" w:sz="4" w:space="0" w:color="auto"/>
              <w:right w:val="single" w:sz="4" w:space="0" w:color="auto"/>
            </w:tcBorders>
            <w:shd w:val="clear" w:color="auto" w:fill="auto"/>
            <w:vAlign w:val="center"/>
            <w:hideMark/>
          </w:tcPr>
          <w:p w14:paraId="4D6AF7A8"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8,81</w:t>
            </w:r>
          </w:p>
        </w:tc>
        <w:tc>
          <w:tcPr>
            <w:tcW w:w="849" w:type="dxa"/>
            <w:tcBorders>
              <w:top w:val="nil"/>
              <w:left w:val="nil"/>
              <w:bottom w:val="single" w:sz="4" w:space="0" w:color="auto"/>
              <w:right w:val="single" w:sz="4" w:space="0" w:color="auto"/>
            </w:tcBorders>
            <w:shd w:val="clear" w:color="auto" w:fill="auto"/>
            <w:vAlign w:val="center"/>
            <w:hideMark/>
          </w:tcPr>
          <w:p w14:paraId="1BABB908"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8,91</w:t>
            </w:r>
          </w:p>
        </w:tc>
        <w:tc>
          <w:tcPr>
            <w:tcW w:w="766" w:type="dxa"/>
            <w:tcBorders>
              <w:top w:val="nil"/>
              <w:left w:val="nil"/>
              <w:bottom w:val="single" w:sz="4" w:space="0" w:color="auto"/>
              <w:right w:val="single" w:sz="4" w:space="0" w:color="auto"/>
            </w:tcBorders>
            <w:shd w:val="clear" w:color="auto" w:fill="auto"/>
            <w:vAlign w:val="center"/>
            <w:hideMark/>
          </w:tcPr>
          <w:p w14:paraId="25E628F2" w14:textId="77777777" w:rsidR="008219D5" w:rsidRPr="00092ED7" w:rsidRDefault="008219D5" w:rsidP="008219D5">
            <w:pPr>
              <w:spacing w:after="0"/>
              <w:jc w:val="left"/>
              <w:rPr>
                <w:rFonts w:eastAsia="Times New Roman" w:cs="Times New Roman"/>
                <w:sz w:val="20"/>
                <w:szCs w:val="20"/>
                <w:lang w:val="sr-Cyrl-CS" w:eastAsia="sr-Latn-RS"/>
              </w:rPr>
            </w:pPr>
            <w:r w:rsidRPr="00092ED7">
              <w:rPr>
                <w:rFonts w:eastAsia="Times New Roman" w:cs="Times New Roman"/>
                <w:sz w:val="20"/>
                <w:szCs w:val="20"/>
                <w:lang w:val="sr-Cyrl-CS" w:eastAsia="sr-Latn-RS"/>
              </w:rPr>
              <w:t> </w:t>
            </w:r>
          </w:p>
        </w:tc>
        <w:tc>
          <w:tcPr>
            <w:tcW w:w="843" w:type="dxa"/>
            <w:tcBorders>
              <w:top w:val="nil"/>
              <w:left w:val="nil"/>
              <w:bottom w:val="single" w:sz="4" w:space="0" w:color="auto"/>
              <w:right w:val="single" w:sz="4" w:space="0" w:color="auto"/>
            </w:tcBorders>
            <w:shd w:val="clear" w:color="auto" w:fill="auto"/>
            <w:vAlign w:val="center"/>
            <w:hideMark/>
          </w:tcPr>
          <w:p w14:paraId="09BD98DE" w14:textId="77777777" w:rsidR="008219D5" w:rsidRPr="00092ED7" w:rsidRDefault="008219D5" w:rsidP="008219D5">
            <w:pPr>
              <w:spacing w:after="0"/>
              <w:jc w:val="left"/>
              <w:rPr>
                <w:rFonts w:eastAsia="Times New Roman" w:cs="Times New Roman"/>
                <w:sz w:val="20"/>
                <w:szCs w:val="20"/>
                <w:lang w:val="sr-Cyrl-CS" w:eastAsia="sr-Latn-RS"/>
              </w:rPr>
            </w:pPr>
            <w:r w:rsidRPr="00092ED7">
              <w:rPr>
                <w:rFonts w:eastAsia="Times New Roman" w:cs="Times New Roman"/>
                <w:sz w:val="20"/>
                <w:szCs w:val="20"/>
                <w:lang w:val="sr-Cyrl-CS" w:eastAsia="sr-Latn-RS"/>
              </w:rPr>
              <w:t> </w:t>
            </w:r>
          </w:p>
        </w:tc>
      </w:tr>
      <w:tr w:rsidR="008219D5" w:rsidRPr="00092ED7" w14:paraId="32D97594" w14:textId="77777777" w:rsidTr="00053B2B">
        <w:trPr>
          <w:trHeight w:val="276"/>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57CB0937" w14:textId="77777777" w:rsidR="008219D5" w:rsidRPr="00092ED7" w:rsidRDefault="00734F11" w:rsidP="00734F11">
            <w:pPr>
              <w:spacing w:after="0"/>
              <w:ind w:firstLineChars="17" w:firstLine="34"/>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 xml:space="preserve">9. </w:t>
            </w:r>
            <w:r w:rsidR="008219D5" w:rsidRPr="00092ED7">
              <w:rPr>
                <w:rFonts w:eastAsia="Times New Roman" w:cs="Times New Roman"/>
                <w:color w:val="000000"/>
                <w:sz w:val="20"/>
                <w:szCs w:val="20"/>
                <w:lang w:val="sr-Cyrl-CS" w:eastAsia="sr-Latn-RS"/>
              </w:rPr>
              <w:t>Стварање отпада, искљ</w:t>
            </w:r>
            <w:r w:rsidRPr="00092ED7">
              <w:rPr>
                <w:rFonts w:eastAsia="Times New Roman" w:cs="Times New Roman"/>
                <w:color w:val="000000"/>
                <w:sz w:val="20"/>
                <w:szCs w:val="20"/>
                <w:lang w:val="sr-Cyrl-CS" w:eastAsia="sr-Latn-RS"/>
              </w:rPr>
              <w:t>учујући главни минерални отпад</w:t>
            </w:r>
          </w:p>
        </w:tc>
        <w:tc>
          <w:tcPr>
            <w:tcW w:w="1261" w:type="dxa"/>
            <w:tcBorders>
              <w:top w:val="nil"/>
              <w:left w:val="nil"/>
              <w:bottom w:val="single" w:sz="4" w:space="0" w:color="auto"/>
              <w:right w:val="single" w:sz="4" w:space="0" w:color="auto"/>
            </w:tcBorders>
            <w:shd w:val="clear" w:color="auto" w:fill="auto"/>
            <w:vAlign w:val="center"/>
            <w:hideMark/>
          </w:tcPr>
          <w:p w14:paraId="232D5D7F" w14:textId="77777777" w:rsidR="008219D5" w:rsidRPr="00092ED7" w:rsidRDefault="008219D5" w:rsidP="008219D5">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EUROSTAT</w:t>
            </w:r>
          </w:p>
        </w:tc>
        <w:tc>
          <w:tcPr>
            <w:tcW w:w="815" w:type="dxa"/>
            <w:tcBorders>
              <w:top w:val="nil"/>
              <w:left w:val="nil"/>
              <w:bottom w:val="single" w:sz="4" w:space="0" w:color="auto"/>
              <w:right w:val="single" w:sz="4" w:space="0" w:color="auto"/>
            </w:tcBorders>
            <w:shd w:val="clear" w:color="auto" w:fill="auto"/>
            <w:vAlign w:val="center"/>
            <w:hideMark/>
          </w:tcPr>
          <w:p w14:paraId="1E6894CD"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1.704</w:t>
            </w:r>
          </w:p>
        </w:tc>
        <w:tc>
          <w:tcPr>
            <w:tcW w:w="849" w:type="dxa"/>
            <w:tcBorders>
              <w:top w:val="nil"/>
              <w:left w:val="nil"/>
              <w:bottom w:val="single" w:sz="4" w:space="0" w:color="auto"/>
              <w:right w:val="single" w:sz="4" w:space="0" w:color="auto"/>
            </w:tcBorders>
            <w:shd w:val="clear" w:color="auto" w:fill="auto"/>
            <w:vAlign w:val="center"/>
            <w:hideMark/>
          </w:tcPr>
          <w:p w14:paraId="2D2130C6" w14:textId="77777777" w:rsidR="008219D5" w:rsidRPr="00092ED7" w:rsidRDefault="008219D5" w:rsidP="008219D5">
            <w:pPr>
              <w:spacing w:after="0"/>
              <w:jc w:val="left"/>
              <w:rPr>
                <w:rFonts w:eastAsia="Times New Roman" w:cs="Times New Roman"/>
                <w:sz w:val="20"/>
                <w:szCs w:val="20"/>
                <w:lang w:val="sr-Cyrl-CS" w:eastAsia="sr-Latn-RS"/>
              </w:rPr>
            </w:pPr>
            <w:r w:rsidRPr="00092ED7">
              <w:rPr>
                <w:rFonts w:eastAsia="Times New Roman" w:cs="Times New Roman"/>
                <w:sz w:val="20"/>
                <w:szCs w:val="20"/>
                <w:lang w:val="sr-Cyrl-CS" w:eastAsia="sr-Latn-RS"/>
              </w:rPr>
              <w:t> </w:t>
            </w:r>
          </w:p>
        </w:tc>
        <w:tc>
          <w:tcPr>
            <w:tcW w:w="766" w:type="dxa"/>
            <w:tcBorders>
              <w:top w:val="nil"/>
              <w:left w:val="nil"/>
              <w:bottom w:val="single" w:sz="4" w:space="0" w:color="auto"/>
              <w:right w:val="single" w:sz="4" w:space="0" w:color="auto"/>
            </w:tcBorders>
            <w:shd w:val="clear" w:color="auto" w:fill="auto"/>
            <w:vAlign w:val="center"/>
            <w:hideMark/>
          </w:tcPr>
          <w:p w14:paraId="6D58ED86"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1</w:t>
            </w:r>
            <w:r w:rsidR="00734F11" w:rsidRPr="00092ED7">
              <w:rPr>
                <w:rFonts w:eastAsia="Times New Roman" w:cs="Times New Roman"/>
                <w:sz w:val="20"/>
                <w:szCs w:val="20"/>
                <w:lang w:val="sr-Cyrl-CS" w:eastAsia="sr-Latn-RS"/>
              </w:rPr>
              <w:t>.</w:t>
            </w:r>
            <w:r w:rsidRPr="00092ED7">
              <w:rPr>
                <w:rFonts w:eastAsia="Times New Roman" w:cs="Times New Roman"/>
                <w:sz w:val="20"/>
                <w:szCs w:val="20"/>
                <w:lang w:val="sr-Cyrl-CS" w:eastAsia="sr-Latn-RS"/>
              </w:rPr>
              <w:t>766</w:t>
            </w:r>
          </w:p>
        </w:tc>
        <w:tc>
          <w:tcPr>
            <w:tcW w:w="843" w:type="dxa"/>
            <w:tcBorders>
              <w:top w:val="nil"/>
              <w:left w:val="nil"/>
              <w:bottom w:val="single" w:sz="4" w:space="0" w:color="auto"/>
              <w:right w:val="single" w:sz="4" w:space="0" w:color="auto"/>
            </w:tcBorders>
            <w:shd w:val="clear" w:color="auto" w:fill="auto"/>
            <w:vAlign w:val="center"/>
            <w:hideMark/>
          </w:tcPr>
          <w:p w14:paraId="079D2678" w14:textId="77777777" w:rsidR="008219D5" w:rsidRPr="00092ED7" w:rsidRDefault="008219D5" w:rsidP="008219D5">
            <w:pPr>
              <w:spacing w:after="0"/>
              <w:jc w:val="left"/>
              <w:rPr>
                <w:rFonts w:eastAsia="Times New Roman" w:cs="Times New Roman"/>
                <w:sz w:val="20"/>
                <w:szCs w:val="20"/>
                <w:lang w:val="sr-Cyrl-CS" w:eastAsia="sr-Latn-RS"/>
              </w:rPr>
            </w:pPr>
            <w:r w:rsidRPr="00092ED7">
              <w:rPr>
                <w:rFonts w:eastAsia="Times New Roman" w:cs="Times New Roman"/>
                <w:sz w:val="20"/>
                <w:szCs w:val="20"/>
                <w:lang w:val="sr-Cyrl-CS" w:eastAsia="sr-Latn-RS"/>
              </w:rPr>
              <w:t> </w:t>
            </w:r>
          </w:p>
        </w:tc>
      </w:tr>
      <w:tr w:rsidR="008219D5" w:rsidRPr="00092ED7" w14:paraId="3C4071A6" w14:textId="77777777" w:rsidTr="00053B2B">
        <w:trPr>
          <w:trHeight w:val="276"/>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5B807A24" w14:textId="77777777" w:rsidR="008219D5" w:rsidRPr="00092ED7" w:rsidRDefault="008219D5" w:rsidP="00734F11">
            <w:pPr>
              <w:spacing w:after="0"/>
              <w:ind w:firstLine="601"/>
              <w:jc w:val="left"/>
              <w:rPr>
                <w:rFonts w:eastAsia="Times New Roman" w:cs="Times New Roman"/>
                <w:b/>
                <w:i/>
                <w:color w:val="000000"/>
                <w:sz w:val="20"/>
                <w:szCs w:val="20"/>
                <w:lang w:val="sr-Cyrl-CS" w:eastAsia="sr-Latn-RS"/>
              </w:rPr>
            </w:pPr>
            <w:r w:rsidRPr="00092ED7">
              <w:rPr>
                <w:rFonts w:eastAsia="Times New Roman" w:cs="Times New Roman"/>
                <w:b/>
                <w:i/>
                <w:color w:val="000000"/>
                <w:sz w:val="20"/>
                <w:szCs w:val="20"/>
                <w:lang w:val="sr-Cyrl-CS" w:eastAsia="sr-Latn-RS"/>
              </w:rPr>
              <w:t>Дигитална економија</w:t>
            </w:r>
          </w:p>
        </w:tc>
        <w:tc>
          <w:tcPr>
            <w:tcW w:w="1261" w:type="dxa"/>
            <w:tcBorders>
              <w:top w:val="nil"/>
              <w:left w:val="nil"/>
              <w:bottom w:val="single" w:sz="4" w:space="0" w:color="auto"/>
              <w:right w:val="single" w:sz="4" w:space="0" w:color="auto"/>
            </w:tcBorders>
            <w:shd w:val="clear" w:color="auto" w:fill="auto"/>
            <w:vAlign w:val="center"/>
            <w:hideMark/>
          </w:tcPr>
          <w:p w14:paraId="6ADAACF0" w14:textId="77777777" w:rsidR="008219D5" w:rsidRPr="00092ED7" w:rsidRDefault="008219D5" w:rsidP="008219D5">
            <w:pPr>
              <w:spacing w:after="0"/>
              <w:jc w:val="left"/>
              <w:rPr>
                <w:rFonts w:eastAsia="Times New Roman" w:cs="Times New Roman"/>
                <w:b/>
                <w:color w:val="000000"/>
                <w:sz w:val="20"/>
                <w:szCs w:val="20"/>
                <w:lang w:val="sr-Cyrl-CS" w:eastAsia="sr-Latn-RS"/>
              </w:rPr>
            </w:pPr>
            <w:r w:rsidRPr="00092ED7">
              <w:rPr>
                <w:rFonts w:eastAsia="Times New Roman" w:cs="Times New Roman"/>
                <w:b/>
                <w:color w:val="000000"/>
                <w:sz w:val="20"/>
                <w:szCs w:val="20"/>
                <w:lang w:val="sr-Cyrl-CS" w:eastAsia="sr-Latn-RS"/>
              </w:rPr>
              <w:t> </w:t>
            </w:r>
          </w:p>
        </w:tc>
        <w:tc>
          <w:tcPr>
            <w:tcW w:w="815" w:type="dxa"/>
            <w:tcBorders>
              <w:top w:val="nil"/>
              <w:left w:val="nil"/>
              <w:bottom w:val="single" w:sz="4" w:space="0" w:color="auto"/>
              <w:right w:val="single" w:sz="4" w:space="0" w:color="auto"/>
            </w:tcBorders>
            <w:shd w:val="clear" w:color="auto" w:fill="auto"/>
            <w:vAlign w:val="center"/>
            <w:hideMark/>
          </w:tcPr>
          <w:p w14:paraId="622968AC" w14:textId="77777777" w:rsidR="008219D5" w:rsidRPr="00092ED7" w:rsidRDefault="008219D5" w:rsidP="008219D5">
            <w:pPr>
              <w:spacing w:after="0"/>
              <w:jc w:val="left"/>
              <w:rPr>
                <w:rFonts w:eastAsia="Times New Roman" w:cs="Times New Roman"/>
                <w:b/>
                <w:sz w:val="20"/>
                <w:szCs w:val="20"/>
                <w:lang w:val="sr-Cyrl-CS" w:eastAsia="sr-Latn-RS"/>
              </w:rPr>
            </w:pPr>
            <w:r w:rsidRPr="00092ED7">
              <w:rPr>
                <w:rFonts w:eastAsia="Times New Roman" w:cs="Times New Roman"/>
                <w:b/>
                <w:sz w:val="20"/>
                <w:szCs w:val="20"/>
                <w:lang w:val="sr-Cyrl-CS" w:eastAsia="sr-Latn-RS"/>
              </w:rPr>
              <w:t> </w:t>
            </w:r>
          </w:p>
        </w:tc>
        <w:tc>
          <w:tcPr>
            <w:tcW w:w="849" w:type="dxa"/>
            <w:tcBorders>
              <w:top w:val="nil"/>
              <w:left w:val="nil"/>
              <w:bottom w:val="single" w:sz="4" w:space="0" w:color="auto"/>
              <w:right w:val="single" w:sz="4" w:space="0" w:color="auto"/>
            </w:tcBorders>
            <w:shd w:val="clear" w:color="auto" w:fill="auto"/>
            <w:vAlign w:val="center"/>
            <w:hideMark/>
          </w:tcPr>
          <w:p w14:paraId="69A1877E" w14:textId="77777777" w:rsidR="008219D5" w:rsidRPr="00092ED7" w:rsidRDefault="008219D5" w:rsidP="008219D5">
            <w:pPr>
              <w:spacing w:after="0"/>
              <w:jc w:val="left"/>
              <w:rPr>
                <w:rFonts w:eastAsia="Times New Roman" w:cs="Times New Roman"/>
                <w:b/>
                <w:sz w:val="20"/>
                <w:szCs w:val="20"/>
                <w:lang w:val="sr-Cyrl-CS" w:eastAsia="sr-Latn-RS"/>
              </w:rPr>
            </w:pPr>
            <w:r w:rsidRPr="00092ED7">
              <w:rPr>
                <w:rFonts w:eastAsia="Times New Roman" w:cs="Times New Roman"/>
                <w:b/>
                <w:sz w:val="20"/>
                <w:szCs w:val="20"/>
                <w:lang w:val="sr-Cyrl-CS" w:eastAsia="sr-Latn-RS"/>
              </w:rPr>
              <w:t> </w:t>
            </w:r>
          </w:p>
        </w:tc>
        <w:tc>
          <w:tcPr>
            <w:tcW w:w="766" w:type="dxa"/>
            <w:tcBorders>
              <w:top w:val="nil"/>
              <w:left w:val="nil"/>
              <w:bottom w:val="single" w:sz="4" w:space="0" w:color="auto"/>
              <w:right w:val="single" w:sz="4" w:space="0" w:color="auto"/>
            </w:tcBorders>
            <w:shd w:val="clear" w:color="auto" w:fill="auto"/>
            <w:vAlign w:val="center"/>
            <w:hideMark/>
          </w:tcPr>
          <w:p w14:paraId="74D7D406" w14:textId="77777777" w:rsidR="008219D5" w:rsidRPr="00092ED7" w:rsidRDefault="008219D5" w:rsidP="008219D5">
            <w:pPr>
              <w:spacing w:after="0"/>
              <w:jc w:val="left"/>
              <w:rPr>
                <w:rFonts w:eastAsia="Times New Roman" w:cs="Times New Roman"/>
                <w:b/>
                <w:sz w:val="20"/>
                <w:szCs w:val="20"/>
                <w:lang w:val="sr-Cyrl-CS" w:eastAsia="sr-Latn-RS"/>
              </w:rPr>
            </w:pPr>
            <w:r w:rsidRPr="00092ED7">
              <w:rPr>
                <w:rFonts w:eastAsia="Times New Roman" w:cs="Times New Roman"/>
                <w:b/>
                <w:sz w:val="20"/>
                <w:szCs w:val="20"/>
                <w:lang w:val="sr-Cyrl-CS" w:eastAsia="sr-Latn-RS"/>
              </w:rPr>
              <w:t> </w:t>
            </w:r>
          </w:p>
        </w:tc>
        <w:tc>
          <w:tcPr>
            <w:tcW w:w="843" w:type="dxa"/>
            <w:tcBorders>
              <w:top w:val="nil"/>
              <w:left w:val="nil"/>
              <w:bottom w:val="single" w:sz="4" w:space="0" w:color="auto"/>
              <w:right w:val="single" w:sz="4" w:space="0" w:color="auto"/>
            </w:tcBorders>
            <w:shd w:val="clear" w:color="auto" w:fill="auto"/>
            <w:vAlign w:val="center"/>
            <w:hideMark/>
          </w:tcPr>
          <w:p w14:paraId="16EDCF8F" w14:textId="77777777" w:rsidR="008219D5" w:rsidRPr="00092ED7" w:rsidRDefault="008219D5" w:rsidP="008219D5">
            <w:pPr>
              <w:spacing w:after="0"/>
              <w:jc w:val="left"/>
              <w:rPr>
                <w:rFonts w:eastAsia="Times New Roman" w:cs="Times New Roman"/>
                <w:b/>
                <w:sz w:val="20"/>
                <w:szCs w:val="20"/>
                <w:lang w:val="sr-Cyrl-CS" w:eastAsia="sr-Latn-RS"/>
              </w:rPr>
            </w:pPr>
            <w:r w:rsidRPr="00092ED7">
              <w:rPr>
                <w:rFonts w:eastAsia="Times New Roman" w:cs="Times New Roman"/>
                <w:b/>
                <w:sz w:val="20"/>
                <w:szCs w:val="20"/>
                <w:lang w:val="sr-Cyrl-CS" w:eastAsia="sr-Latn-RS"/>
              </w:rPr>
              <w:t> </w:t>
            </w:r>
          </w:p>
        </w:tc>
      </w:tr>
      <w:tr w:rsidR="008219D5" w:rsidRPr="00092ED7" w14:paraId="18EC9740" w14:textId="77777777" w:rsidTr="00053B2B">
        <w:trPr>
          <w:trHeight w:val="276"/>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0F54B8D6" w14:textId="77777777" w:rsidR="008219D5" w:rsidRPr="00092ED7" w:rsidRDefault="008219D5" w:rsidP="00734F11">
            <w:pPr>
              <w:spacing w:after="0"/>
              <w:ind w:firstLineChars="17" w:firstLine="34"/>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10. Проценат домаћинстава са широкопојасним приступом (мобилни и фиксни)</w:t>
            </w:r>
          </w:p>
        </w:tc>
        <w:tc>
          <w:tcPr>
            <w:tcW w:w="1261" w:type="dxa"/>
            <w:tcBorders>
              <w:top w:val="nil"/>
              <w:left w:val="nil"/>
              <w:bottom w:val="single" w:sz="4" w:space="0" w:color="auto"/>
              <w:right w:val="single" w:sz="4" w:space="0" w:color="auto"/>
            </w:tcBorders>
            <w:shd w:val="clear" w:color="auto" w:fill="auto"/>
            <w:vAlign w:val="center"/>
            <w:hideMark/>
          </w:tcPr>
          <w:p w14:paraId="4043A0D1" w14:textId="77777777" w:rsidR="008219D5" w:rsidRPr="00092ED7" w:rsidRDefault="008219D5" w:rsidP="008219D5">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EUROSTAT</w:t>
            </w:r>
          </w:p>
        </w:tc>
        <w:tc>
          <w:tcPr>
            <w:tcW w:w="815" w:type="dxa"/>
            <w:tcBorders>
              <w:top w:val="nil"/>
              <w:left w:val="nil"/>
              <w:bottom w:val="single" w:sz="4" w:space="0" w:color="auto"/>
              <w:right w:val="single" w:sz="4" w:space="0" w:color="auto"/>
            </w:tcBorders>
            <w:shd w:val="clear" w:color="auto" w:fill="auto"/>
            <w:vAlign w:val="center"/>
            <w:hideMark/>
          </w:tcPr>
          <w:p w14:paraId="7D7D38CE"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73</w:t>
            </w:r>
          </w:p>
        </w:tc>
        <w:tc>
          <w:tcPr>
            <w:tcW w:w="849" w:type="dxa"/>
            <w:tcBorders>
              <w:top w:val="nil"/>
              <w:left w:val="nil"/>
              <w:bottom w:val="single" w:sz="4" w:space="0" w:color="auto"/>
              <w:right w:val="single" w:sz="4" w:space="0" w:color="auto"/>
            </w:tcBorders>
            <w:shd w:val="clear" w:color="auto" w:fill="auto"/>
            <w:vAlign w:val="center"/>
            <w:hideMark/>
          </w:tcPr>
          <w:p w14:paraId="47F93098"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79</w:t>
            </w:r>
          </w:p>
        </w:tc>
        <w:tc>
          <w:tcPr>
            <w:tcW w:w="766" w:type="dxa"/>
            <w:tcBorders>
              <w:top w:val="nil"/>
              <w:left w:val="nil"/>
              <w:bottom w:val="single" w:sz="4" w:space="0" w:color="auto"/>
              <w:right w:val="single" w:sz="4" w:space="0" w:color="auto"/>
            </w:tcBorders>
            <w:shd w:val="clear" w:color="auto" w:fill="auto"/>
            <w:vAlign w:val="center"/>
            <w:hideMark/>
          </w:tcPr>
          <w:p w14:paraId="3DCA1781"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81</w:t>
            </w:r>
          </w:p>
        </w:tc>
        <w:tc>
          <w:tcPr>
            <w:tcW w:w="843" w:type="dxa"/>
            <w:tcBorders>
              <w:top w:val="nil"/>
              <w:left w:val="nil"/>
              <w:bottom w:val="single" w:sz="4" w:space="0" w:color="auto"/>
              <w:right w:val="single" w:sz="4" w:space="0" w:color="auto"/>
            </w:tcBorders>
            <w:shd w:val="clear" w:color="auto" w:fill="auto"/>
            <w:vAlign w:val="center"/>
            <w:hideMark/>
          </w:tcPr>
          <w:p w14:paraId="0CF47301"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81</w:t>
            </w:r>
          </w:p>
        </w:tc>
      </w:tr>
      <w:tr w:rsidR="008219D5" w:rsidRPr="00092ED7" w14:paraId="3DA541F6" w14:textId="77777777" w:rsidTr="00053B2B">
        <w:trPr>
          <w:trHeight w:val="276"/>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47733A55" w14:textId="77777777" w:rsidR="008219D5" w:rsidRPr="00092ED7" w:rsidRDefault="008219D5" w:rsidP="00734F11">
            <w:pPr>
              <w:spacing w:after="0"/>
              <w:ind w:firstLineChars="17" w:firstLine="34"/>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 xml:space="preserve">11. Удео у укупном становништву које користи Интернет </w:t>
            </w:r>
            <w:r w:rsidR="00734F11" w:rsidRPr="00092ED7">
              <w:rPr>
                <w:rFonts w:eastAsia="Times New Roman" w:cs="Times New Roman"/>
                <w:color w:val="000000"/>
                <w:sz w:val="20"/>
                <w:szCs w:val="20"/>
                <w:lang w:val="sr-Cyrl-CS" w:eastAsia="sr-Latn-RS"/>
              </w:rPr>
              <w:t>(НБ: становништво 16-74)</w:t>
            </w:r>
          </w:p>
        </w:tc>
        <w:tc>
          <w:tcPr>
            <w:tcW w:w="1261" w:type="dxa"/>
            <w:tcBorders>
              <w:top w:val="nil"/>
              <w:left w:val="nil"/>
              <w:bottom w:val="single" w:sz="4" w:space="0" w:color="auto"/>
              <w:right w:val="single" w:sz="4" w:space="0" w:color="auto"/>
            </w:tcBorders>
            <w:shd w:val="clear" w:color="auto" w:fill="auto"/>
            <w:vAlign w:val="center"/>
            <w:hideMark/>
          </w:tcPr>
          <w:p w14:paraId="2A919EAE" w14:textId="77777777" w:rsidR="008219D5" w:rsidRPr="00092ED7" w:rsidRDefault="008219D5" w:rsidP="008219D5">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EUROSTAT</w:t>
            </w:r>
          </w:p>
        </w:tc>
        <w:tc>
          <w:tcPr>
            <w:tcW w:w="815" w:type="dxa"/>
            <w:tcBorders>
              <w:top w:val="nil"/>
              <w:left w:val="nil"/>
              <w:bottom w:val="single" w:sz="4" w:space="0" w:color="auto"/>
              <w:right w:val="single" w:sz="4" w:space="0" w:color="auto"/>
            </w:tcBorders>
            <w:shd w:val="clear" w:color="auto" w:fill="auto"/>
            <w:vAlign w:val="center"/>
            <w:hideMark/>
          </w:tcPr>
          <w:p w14:paraId="2F813DD9"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57</w:t>
            </w:r>
          </w:p>
        </w:tc>
        <w:tc>
          <w:tcPr>
            <w:tcW w:w="849" w:type="dxa"/>
            <w:tcBorders>
              <w:top w:val="nil"/>
              <w:left w:val="nil"/>
              <w:bottom w:val="single" w:sz="4" w:space="0" w:color="auto"/>
              <w:right w:val="single" w:sz="4" w:space="0" w:color="auto"/>
            </w:tcBorders>
            <w:shd w:val="clear" w:color="auto" w:fill="auto"/>
            <w:vAlign w:val="center"/>
            <w:hideMark/>
          </w:tcPr>
          <w:p w14:paraId="0C2E6FFF"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62</w:t>
            </w:r>
          </w:p>
        </w:tc>
        <w:tc>
          <w:tcPr>
            <w:tcW w:w="766" w:type="dxa"/>
            <w:tcBorders>
              <w:top w:val="nil"/>
              <w:left w:val="nil"/>
              <w:bottom w:val="single" w:sz="4" w:space="0" w:color="auto"/>
              <w:right w:val="single" w:sz="4" w:space="0" w:color="auto"/>
            </w:tcBorders>
            <w:shd w:val="clear" w:color="auto" w:fill="auto"/>
            <w:vAlign w:val="center"/>
            <w:hideMark/>
          </w:tcPr>
          <w:p w14:paraId="6C8B4C05" w14:textId="77777777" w:rsidR="008219D5" w:rsidRPr="00092ED7" w:rsidRDefault="008219D5" w:rsidP="008219D5">
            <w:pPr>
              <w:spacing w:after="0"/>
              <w:jc w:val="left"/>
              <w:rPr>
                <w:rFonts w:eastAsia="Times New Roman" w:cs="Times New Roman"/>
                <w:sz w:val="20"/>
                <w:szCs w:val="20"/>
                <w:lang w:val="sr-Cyrl-CS" w:eastAsia="sr-Latn-RS"/>
              </w:rPr>
            </w:pPr>
            <w:r w:rsidRPr="00092ED7">
              <w:rPr>
                <w:rFonts w:eastAsia="Times New Roman" w:cs="Times New Roman"/>
                <w:sz w:val="20"/>
                <w:szCs w:val="20"/>
                <w:lang w:val="sr-Cyrl-CS" w:eastAsia="sr-Latn-RS"/>
              </w:rPr>
              <w:t> </w:t>
            </w:r>
          </w:p>
        </w:tc>
        <w:tc>
          <w:tcPr>
            <w:tcW w:w="843" w:type="dxa"/>
            <w:tcBorders>
              <w:top w:val="nil"/>
              <w:left w:val="nil"/>
              <w:bottom w:val="single" w:sz="4" w:space="0" w:color="auto"/>
              <w:right w:val="single" w:sz="4" w:space="0" w:color="auto"/>
            </w:tcBorders>
            <w:shd w:val="clear" w:color="auto" w:fill="auto"/>
            <w:vAlign w:val="center"/>
            <w:hideMark/>
          </w:tcPr>
          <w:p w14:paraId="36F05979" w14:textId="77777777" w:rsidR="008219D5" w:rsidRPr="00092ED7" w:rsidRDefault="008219D5" w:rsidP="008219D5">
            <w:pPr>
              <w:spacing w:after="0"/>
              <w:jc w:val="left"/>
              <w:rPr>
                <w:rFonts w:eastAsia="Times New Roman" w:cs="Times New Roman"/>
                <w:sz w:val="20"/>
                <w:szCs w:val="20"/>
                <w:lang w:val="sr-Cyrl-CS" w:eastAsia="sr-Latn-RS"/>
              </w:rPr>
            </w:pPr>
            <w:r w:rsidRPr="00092ED7">
              <w:rPr>
                <w:rFonts w:eastAsia="Times New Roman" w:cs="Times New Roman"/>
                <w:sz w:val="20"/>
                <w:szCs w:val="20"/>
                <w:lang w:val="sr-Cyrl-CS" w:eastAsia="sr-Latn-RS"/>
              </w:rPr>
              <w:t> </w:t>
            </w:r>
          </w:p>
        </w:tc>
      </w:tr>
      <w:tr w:rsidR="008219D5" w:rsidRPr="00092ED7" w14:paraId="704F035D" w14:textId="77777777" w:rsidTr="00053B2B">
        <w:trPr>
          <w:trHeight w:val="276"/>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07E04D64" w14:textId="77777777" w:rsidR="008219D5" w:rsidRPr="00092ED7" w:rsidRDefault="008219D5" w:rsidP="00734F11">
            <w:pPr>
              <w:spacing w:after="0"/>
              <w:ind w:firstLineChars="300" w:firstLine="602"/>
              <w:jc w:val="left"/>
              <w:rPr>
                <w:rFonts w:eastAsia="Times New Roman" w:cs="Times New Roman"/>
                <w:b/>
                <w:i/>
                <w:color w:val="000000"/>
                <w:sz w:val="20"/>
                <w:szCs w:val="20"/>
                <w:lang w:val="sr-Cyrl-CS" w:eastAsia="sr-Latn-RS"/>
              </w:rPr>
            </w:pPr>
            <w:r w:rsidRPr="00092ED7">
              <w:rPr>
                <w:rFonts w:eastAsia="Times New Roman" w:cs="Times New Roman"/>
                <w:b/>
                <w:i/>
                <w:color w:val="000000"/>
                <w:sz w:val="20"/>
                <w:szCs w:val="20"/>
                <w:lang w:val="sr-Cyrl-CS" w:eastAsia="sr-Latn-RS"/>
              </w:rPr>
              <w:t>Енергија</w:t>
            </w:r>
          </w:p>
        </w:tc>
        <w:tc>
          <w:tcPr>
            <w:tcW w:w="1261" w:type="dxa"/>
            <w:tcBorders>
              <w:top w:val="nil"/>
              <w:left w:val="nil"/>
              <w:bottom w:val="single" w:sz="4" w:space="0" w:color="auto"/>
              <w:right w:val="single" w:sz="4" w:space="0" w:color="auto"/>
            </w:tcBorders>
            <w:shd w:val="clear" w:color="auto" w:fill="auto"/>
            <w:vAlign w:val="center"/>
            <w:hideMark/>
          </w:tcPr>
          <w:p w14:paraId="4305B2B2" w14:textId="77777777" w:rsidR="008219D5" w:rsidRPr="00092ED7" w:rsidRDefault="008219D5" w:rsidP="008219D5">
            <w:pPr>
              <w:spacing w:after="0"/>
              <w:jc w:val="left"/>
              <w:rPr>
                <w:rFonts w:eastAsia="Times New Roman" w:cs="Times New Roman"/>
                <w:b/>
                <w:color w:val="000000"/>
                <w:sz w:val="20"/>
                <w:szCs w:val="20"/>
                <w:lang w:val="sr-Cyrl-CS" w:eastAsia="sr-Latn-RS"/>
              </w:rPr>
            </w:pPr>
            <w:r w:rsidRPr="00092ED7">
              <w:rPr>
                <w:rFonts w:eastAsia="Times New Roman" w:cs="Times New Roman"/>
                <w:b/>
                <w:color w:val="000000"/>
                <w:sz w:val="20"/>
                <w:szCs w:val="20"/>
                <w:lang w:val="sr-Cyrl-CS" w:eastAsia="sr-Latn-RS"/>
              </w:rPr>
              <w:t> </w:t>
            </w:r>
          </w:p>
        </w:tc>
        <w:tc>
          <w:tcPr>
            <w:tcW w:w="815" w:type="dxa"/>
            <w:tcBorders>
              <w:top w:val="nil"/>
              <w:left w:val="nil"/>
              <w:bottom w:val="single" w:sz="4" w:space="0" w:color="auto"/>
              <w:right w:val="single" w:sz="4" w:space="0" w:color="auto"/>
            </w:tcBorders>
            <w:shd w:val="clear" w:color="auto" w:fill="auto"/>
            <w:vAlign w:val="center"/>
            <w:hideMark/>
          </w:tcPr>
          <w:p w14:paraId="4CA52770" w14:textId="77777777" w:rsidR="008219D5" w:rsidRPr="00092ED7" w:rsidRDefault="008219D5" w:rsidP="008219D5">
            <w:pPr>
              <w:spacing w:after="0"/>
              <w:jc w:val="left"/>
              <w:rPr>
                <w:rFonts w:eastAsia="Times New Roman" w:cs="Times New Roman"/>
                <w:b/>
                <w:sz w:val="20"/>
                <w:szCs w:val="20"/>
                <w:lang w:val="sr-Cyrl-CS" w:eastAsia="sr-Latn-RS"/>
              </w:rPr>
            </w:pPr>
            <w:r w:rsidRPr="00092ED7">
              <w:rPr>
                <w:rFonts w:eastAsia="Times New Roman" w:cs="Times New Roman"/>
                <w:b/>
                <w:sz w:val="20"/>
                <w:szCs w:val="20"/>
                <w:lang w:val="sr-Cyrl-CS" w:eastAsia="sr-Latn-RS"/>
              </w:rPr>
              <w:t> </w:t>
            </w:r>
          </w:p>
        </w:tc>
        <w:tc>
          <w:tcPr>
            <w:tcW w:w="849" w:type="dxa"/>
            <w:tcBorders>
              <w:top w:val="nil"/>
              <w:left w:val="nil"/>
              <w:bottom w:val="single" w:sz="4" w:space="0" w:color="auto"/>
              <w:right w:val="single" w:sz="4" w:space="0" w:color="auto"/>
            </w:tcBorders>
            <w:shd w:val="clear" w:color="auto" w:fill="auto"/>
            <w:vAlign w:val="center"/>
            <w:hideMark/>
          </w:tcPr>
          <w:p w14:paraId="76E6C62E" w14:textId="77777777" w:rsidR="008219D5" w:rsidRPr="00092ED7" w:rsidRDefault="008219D5" w:rsidP="008219D5">
            <w:pPr>
              <w:spacing w:after="0"/>
              <w:jc w:val="left"/>
              <w:rPr>
                <w:rFonts w:eastAsia="Times New Roman" w:cs="Times New Roman"/>
                <w:b/>
                <w:sz w:val="20"/>
                <w:szCs w:val="20"/>
                <w:lang w:val="sr-Cyrl-CS" w:eastAsia="sr-Latn-RS"/>
              </w:rPr>
            </w:pPr>
            <w:r w:rsidRPr="00092ED7">
              <w:rPr>
                <w:rFonts w:eastAsia="Times New Roman" w:cs="Times New Roman"/>
                <w:b/>
                <w:sz w:val="20"/>
                <w:szCs w:val="20"/>
                <w:lang w:val="sr-Cyrl-CS" w:eastAsia="sr-Latn-RS"/>
              </w:rPr>
              <w:t> </w:t>
            </w:r>
          </w:p>
        </w:tc>
        <w:tc>
          <w:tcPr>
            <w:tcW w:w="766" w:type="dxa"/>
            <w:tcBorders>
              <w:top w:val="nil"/>
              <w:left w:val="nil"/>
              <w:bottom w:val="single" w:sz="4" w:space="0" w:color="auto"/>
              <w:right w:val="single" w:sz="4" w:space="0" w:color="auto"/>
            </w:tcBorders>
            <w:shd w:val="clear" w:color="auto" w:fill="auto"/>
            <w:vAlign w:val="center"/>
            <w:hideMark/>
          </w:tcPr>
          <w:p w14:paraId="0E4DD264" w14:textId="77777777" w:rsidR="008219D5" w:rsidRPr="00092ED7" w:rsidRDefault="008219D5" w:rsidP="008219D5">
            <w:pPr>
              <w:spacing w:after="0"/>
              <w:jc w:val="left"/>
              <w:rPr>
                <w:rFonts w:eastAsia="Times New Roman" w:cs="Times New Roman"/>
                <w:b/>
                <w:sz w:val="20"/>
                <w:szCs w:val="20"/>
                <w:lang w:val="sr-Cyrl-CS" w:eastAsia="sr-Latn-RS"/>
              </w:rPr>
            </w:pPr>
            <w:r w:rsidRPr="00092ED7">
              <w:rPr>
                <w:rFonts w:eastAsia="Times New Roman" w:cs="Times New Roman"/>
                <w:b/>
                <w:sz w:val="20"/>
                <w:szCs w:val="20"/>
                <w:lang w:val="sr-Cyrl-CS" w:eastAsia="sr-Latn-RS"/>
              </w:rPr>
              <w:t> </w:t>
            </w:r>
          </w:p>
        </w:tc>
        <w:tc>
          <w:tcPr>
            <w:tcW w:w="843" w:type="dxa"/>
            <w:tcBorders>
              <w:top w:val="nil"/>
              <w:left w:val="nil"/>
              <w:bottom w:val="single" w:sz="4" w:space="0" w:color="auto"/>
              <w:right w:val="single" w:sz="4" w:space="0" w:color="auto"/>
            </w:tcBorders>
            <w:shd w:val="clear" w:color="auto" w:fill="auto"/>
            <w:vAlign w:val="center"/>
            <w:hideMark/>
          </w:tcPr>
          <w:p w14:paraId="5A8D0D95" w14:textId="77777777" w:rsidR="008219D5" w:rsidRPr="00092ED7" w:rsidRDefault="008219D5" w:rsidP="008219D5">
            <w:pPr>
              <w:spacing w:after="0"/>
              <w:jc w:val="left"/>
              <w:rPr>
                <w:rFonts w:eastAsia="Times New Roman" w:cs="Times New Roman"/>
                <w:b/>
                <w:sz w:val="20"/>
                <w:szCs w:val="20"/>
                <w:lang w:val="sr-Cyrl-CS" w:eastAsia="sr-Latn-RS"/>
              </w:rPr>
            </w:pPr>
            <w:r w:rsidRPr="00092ED7">
              <w:rPr>
                <w:rFonts w:eastAsia="Times New Roman" w:cs="Times New Roman"/>
                <w:b/>
                <w:sz w:val="20"/>
                <w:szCs w:val="20"/>
                <w:lang w:val="sr-Cyrl-CS" w:eastAsia="sr-Latn-RS"/>
              </w:rPr>
              <w:t> </w:t>
            </w:r>
          </w:p>
        </w:tc>
      </w:tr>
      <w:tr w:rsidR="008219D5" w:rsidRPr="00092ED7" w14:paraId="064AEC97" w14:textId="77777777" w:rsidTr="00053B2B">
        <w:trPr>
          <w:trHeight w:val="276"/>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2240F8C1" w14:textId="77777777" w:rsidR="008219D5" w:rsidRPr="00092ED7" w:rsidRDefault="008219D5" w:rsidP="00734F11">
            <w:pPr>
              <w:spacing w:after="0"/>
              <w:ind w:firstLineChars="17" w:firstLine="34"/>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12. Зависност од увоза енергије (%)</w:t>
            </w:r>
          </w:p>
        </w:tc>
        <w:tc>
          <w:tcPr>
            <w:tcW w:w="1261" w:type="dxa"/>
            <w:tcBorders>
              <w:top w:val="nil"/>
              <w:left w:val="nil"/>
              <w:bottom w:val="single" w:sz="4" w:space="0" w:color="auto"/>
              <w:right w:val="single" w:sz="4" w:space="0" w:color="auto"/>
            </w:tcBorders>
            <w:shd w:val="clear" w:color="auto" w:fill="auto"/>
            <w:vAlign w:val="center"/>
            <w:hideMark/>
          </w:tcPr>
          <w:p w14:paraId="3193C23B" w14:textId="77777777" w:rsidR="008219D5" w:rsidRPr="00092ED7" w:rsidRDefault="008219D5" w:rsidP="008219D5">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EUROSTAT</w:t>
            </w:r>
          </w:p>
        </w:tc>
        <w:tc>
          <w:tcPr>
            <w:tcW w:w="815" w:type="dxa"/>
            <w:tcBorders>
              <w:top w:val="nil"/>
              <w:left w:val="nil"/>
              <w:bottom w:val="single" w:sz="4" w:space="0" w:color="auto"/>
              <w:right w:val="single" w:sz="4" w:space="0" w:color="auto"/>
            </w:tcBorders>
            <w:shd w:val="clear" w:color="auto" w:fill="auto"/>
            <w:vAlign w:val="center"/>
            <w:hideMark/>
          </w:tcPr>
          <w:p w14:paraId="0C8F1B2B"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34,6</w:t>
            </w:r>
          </w:p>
        </w:tc>
        <w:tc>
          <w:tcPr>
            <w:tcW w:w="849" w:type="dxa"/>
            <w:tcBorders>
              <w:top w:val="nil"/>
              <w:left w:val="nil"/>
              <w:bottom w:val="single" w:sz="4" w:space="0" w:color="auto"/>
              <w:right w:val="single" w:sz="4" w:space="0" w:color="auto"/>
            </w:tcBorders>
            <w:shd w:val="clear" w:color="auto" w:fill="auto"/>
            <w:vAlign w:val="center"/>
            <w:hideMark/>
          </w:tcPr>
          <w:p w14:paraId="6911E9E8"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35,6</w:t>
            </w:r>
          </w:p>
        </w:tc>
        <w:tc>
          <w:tcPr>
            <w:tcW w:w="766" w:type="dxa"/>
            <w:tcBorders>
              <w:top w:val="nil"/>
              <w:left w:val="nil"/>
              <w:bottom w:val="single" w:sz="4" w:space="0" w:color="auto"/>
              <w:right w:val="single" w:sz="4" w:space="0" w:color="auto"/>
            </w:tcBorders>
            <w:shd w:val="clear" w:color="auto" w:fill="auto"/>
            <w:vAlign w:val="center"/>
            <w:hideMark/>
          </w:tcPr>
          <w:p w14:paraId="6F474657"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29,8</w:t>
            </w:r>
          </w:p>
        </w:tc>
        <w:tc>
          <w:tcPr>
            <w:tcW w:w="843" w:type="dxa"/>
            <w:tcBorders>
              <w:top w:val="nil"/>
              <w:left w:val="nil"/>
              <w:bottom w:val="single" w:sz="4" w:space="0" w:color="auto"/>
              <w:right w:val="single" w:sz="4" w:space="0" w:color="auto"/>
            </w:tcBorders>
            <w:shd w:val="clear" w:color="auto" w:fill="auto"/>
            <w:vAlign w:val="center"/>
            <w:hideMark/>
          </w:tcPr>
          <w:p w14:paraId="1C626860" w14:textId="77777777" w:rsidR="008219D5" w:rsidRPr="00092ED7" w:rsidRDefault="008219D5" w:rsidP="008219D5">
            <w:pPr>
              <w:spacing w:after="0"/>
              <w:jc w:val="left"/>
              <w:rPr>
                <w:rFonts w:eastAsia="Times New Roman" w:cs="Times New Roman"/>
                <w:sz w:val="20"/>
                <w:szCs w:val="20"/>
                <w:lang w:val="sr-Cyrl-CS" w:eastAsia="sr-Latn-RS"/>
              </w:rPr>
            </w:pPr>
            <w:r w:rsidRPr="00092ED7">
              <w:rPr>
                <w:rFonts w:eastAsia="Times New Roman" w:cs="Times New Roman"/>
                <w:sz w:val="20"/>
                <w:szCs w:val="20"/>
                <w:lang w:val="sr-Cyrl-CS" w:eastAsia="sr-Latn-RS"/>
              </w:rPr>
              <w:t> </w:t>
            </w:r>
          </w:p>
        </w:tc>
      </w:tr>
      <w:tr w:rsidR="008219D5" w:rsidRPr="00092ED7" w14:paraId="4554882E" w14:textId="77777777" w:rsidTr="00053B2B">
        <w:trPr>
          <w:trHeight w:val="276"/>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03631BCD" w14:textId="77777777" w:rsidR="008219D5" w:rsidRPr="00092ED7" w:rsidRDefault="008219D5" w:rsidP="00734F11">
            <w:pPr>
              <w:spacing w:after="0"/>
              <w:ind w:firstLineChars="17" w:firstLine="34"/>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13. Енергетски интензитет: Килограми нафтног еквивалента (KGOE) на хиљаду евра</w:t>
            </w:r>
          </w:p>
        </w:tc>
        <w:tc>
          <w:tcPr>
            <w:tcW w:w="1261" w:type="dxa"/>
            <w:tcBorders>
              <w:top w:val="nil"/>
              <w:left w:val="nil"/>
              <w:bottom w:val="single" w:sz="4" w:space="0" w:color="auto"/>
              <w:right w:val="single" w:sz="4" w:space="0" w:color="auto"/>
            </w:tcBorders>
            <w:shd w:val="clear" w:color="auto" w:fill="auto"/>
            <w:vAlign w:val="center"/>
            <w:hideMark/>
          </w:tcPr>
          <w:p w14:paraId="0C2E2AC4" w14:textId="77777777" w:rsidR="008219D5" w:rsidRPr="00092ED7" w:rsidRDefault="008219D5" w:rsidP="008219D5">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EUROSTAT</w:t>
            </w:r>
          </w:p>
        </w:tc>
        <w:tc>
          <w:tcPr>
            <w:tcW w:w="815" w:type="dxa"/>
            <w:tcBorders>
              <w:top w:val="nil"/>
              <w:left w:val="nil"/>
              <w:bottom w:val="single" w:sz="4" w:space="0" w:color="auto"/>
              <w:right w:val="single" w:sz="4" w:space="0" w:color="auto"/>
            </w:tcBorders>
            <w:shd w:val="clear" w:color="auto" w:fill="auto"/>
            <w:vAlign w:val="center"/>
            <w:hideMark/>
          </w:tcPr>
          <w:p w14:paraId="622B69E2"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427,84</w:t>
            </w:r>
          </w:p>
        </w:tc>
        <w:tc>
          <w:tcPr>
            <w:tcW w:w="849" w:type="dxa"/>
            <w:tcBorders>
              <w:top w:val="nil"/>
              <w:left w:val="nil"/>
              <w:bottom w:val="single" w:sz="4" w:space="0" w:color="auto"/>
              <w:right w:val="single" w:sz="4" w:space="0" w:color="auto"/>
            </w:tcBorders>
            <w:shd w:val="clear" w:color="auto" w:fill="auto"/>
            <w:vAlign w:val="center"/>
            <w:hideMark/>
          </w:tcPr>
          <w:p w14:paraId="3689E449"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407,21</w:t>
            </w:r>
          </w:p>
        </w:tc>
        <w:tc>
          <w:tcPr>
            <w:tcW w:w="766" w:type="dxa"/>
            <w:tcBorders>
              <w:top w:val="nil"/>
              <w:left w:val="nil"/>
              <w:bottom w:val="single" w:sz="4" w:space="0" w:color="auto"/>
              <w:right w:val="single" w:sz="4" w:space="0" w:color="auto"/>
            </w:tcBorders>
            <w:shd w:val="clear" w:color="auto" w:fill="auto"/>
            <w:vAlign w:val="center"/>
            <w:hideMark/>
          </w:tcPr>
          <w:p w14:paraId="63078E8C"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424,23</w:t>
            </w:r>
          </w:p>
        </w:tc>
        <w:tc>
          <w:tcPr>
            <w:tcW w:w="843" w:type="dxa"/>
            <w:tcBorders>
              <w:top w:val="nil"/>
              <w:left w:val="nil"/>
              <w:bottom w:val="single" w:sz="4" w:space="0" w:color="auto"/>
              <w:right w:val="single" w:sz="4" w:space="0" w:color="auto"/>
            </w:tcBorders>
            <w:shd w:val="clear" w:color="auto" w:fill="auto"/>
            <w:vAlign w:val="center"/>
            <w:hideMark/>
          </w:tcPr>
          <w:p w14:paraId="33F47C62" w14:textId="77777777" w:rsidR="008219D5" w:rsidRPr="00092ED7" w:rsidRDefault="008219D5" w:rsidP="008219D5">
            <w:pPr>
              <w:spacing w:after="0"/>
              <w:jc w:val="left"/>
              <w:rPr>
                <w:rFonts w:eastAsia="Times New Roman" w:cs="Times New Roman"/>
                <w:sz w:val="20"/>
                <w:szCs w:val="20"/>
                <w:lang w:val="sr-Cyrl-CS" w:eastAsia="sr-Latn-RS"/>
              </w:rPr>
            </w:pPr>
            <w:r w:rsidRPr="00092ED7">
              <w:rPr>
                <w:rFonts w:eastAsia="Times New Roman" w:cs="Times New Roman"/>
                <w:sz w:val="20"/>
                <w:szCs w:val="20"/>
                <w:lang w:val="sr-Cyrl-CS" w:eastAsia="sr-Latn-RS"/>
              </w:rPr>
              <w:t> </w:t>
            </w:r>
          </w:p>
        </w:tc>
      </w:tr>
      <w:tr w:rsidR="008219D5" w:rsidRPr="00092ED7" w14:paraId="6C349311" w14:textId="77777777" w:rsidTr="00053B2B">
        <w:trPr>
          <w:trHeight w:val="276"/>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56F9189D" w14:textId="77777777" w:rsidR="008219D5" w:rsidRPr="00092ED7" w:rsidRDefault="008219D5" w:rsidP="00734F11">
            <w:pPr>
              <w:spacing w:after="0"/>
              <w:ind w:firstLineChars="17" w:firstLine="34"/>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14. Удео обновљивих извора енергије (RES) у финалној потрошњи енергије (%)</w:t>
            </w:r>
          </w:p>
        </w:tc>
        <w:tc>
          <w:tcPr>
            <w:tcW w:w="1261" w:type="dxa"/>
            <w:tcBorders>
              <w:top w:val="nil"/>
              <w:left w:val="nil"/>
              <w:bottom w:val="single" w:sz="4" w:space="0" w:color="auto"/>
              <w:right w:val="single" w:sz="4" w:space="0" w:color="auto"/>
            </w:tcBorders>
            <w:shd w:val="clear" w:color="auto" w:fill="auto"/>
            <w:vAlign w:val="center"/>
            <w:hideMark/>
          </w:tcPr>
          <w:p w14:paraId="2D3218F3" w14:textId="77777777" w:rsidR="008219D5" w:rsidRPr="00092ED7" w:rsidRDefault="008219D5" w:rsidP="008219D5">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EUROSTAT</w:t>
            </w:r>
          </w:p>
        </w:tc>
        <w:tc>
          <w:tcPr>
            <w:tcW w:w="815" w:type="dxa"/>
            <w:tcBorders>
              <w:top w:val="nil"/>
              <w:left w:val="nil"/>
              <w:bottom w:val="single" w:sz="4" w:space="0" w:color="auto"/>
              <w:right w:val="single" w:sz="4" w:space="0" w:color="auto"/>
            </w:tcBorders>
            <w:shd w:val="clear" w:color="auto" w:fill="auto"/>
            <w:vAlign w:val="center"/>
            <w:hideMark/>
          </w:tcPr>
          <w:p w14:paraId="75F3FAEA"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20,3</w:t>
            </w:r>
          </w:p>
        </w:tc>
        <w:tc>
          <w:tcPr>
            <w:tcW w:w="849" w:type="dxa"/>
            <w:tcBorders>
              <w:top w:val="nil"/>
              <w:left w:val="nil"/>
              <w:bottom w:val="single" w:sz="4" w:space="0" w:color="auto"/>
              <w:right w:val="single" w:sz="4" w:space="0" w:color="auto"/>
            </w:tcBorders>
            <w:shd w:val="clear" w:color="auto" w:fill="auto"/>
            <w:vAlign w:val="center"/>
            <w:hideMark/>
          </w:tcPr>
          <w:p w14:paraId="2BEDDEA4"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21,4</w:t>
            </w:r>
          </w:p>
        </w:tc>
        <w:tc>
          <w:tcPr>
            <w:tcW w:w="766" w:type="dxa"/>
            <w:tcBorders>
              <w:top w:val="nil"/>
              <w:left w:val="nil"/>
              <w:bottom w:val="single" w:sz="4" w:space="0" w:color="auto"/>
              <w:right w:val="single" w:sz="4" w:space="0" w:color="auto"/>
            </w:tcBorders>
            <w:shd w:val="clear" w:color="auto" w:fill="auto"/>
            <w:vAlign w:val="center"/>
            <w:hideMark/>
          </w:tcPr>
          <w:p w14:paraId="5F830853"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26,0</w:t>
            </w:r>
          </w:p>
        </w:tc>
        <w:tc>
          <w:tcPr>
            <w:tcW w:w="843" w:type="dxa"/>
            <w:tcBorders>
              <w:top w:val="nil"/>
              <w:left w:val="nil"/>
              <w:bottom w:val="single" w:sz="4" w:space="0" w:color="auto"/>
              <w:right w:val="single" w:sz="4" w:space="0" w:color="auto"/>
            </w:tcBorders>
            <w:shd w:val="clear" w:color="auto" w:fill="auto"/>
            <w:vAlign w:val="center"/>
            <w:hideMark/>
          </w:tcPr>
          <w:p w14:paraId="40E354AF" w14:textId="77777777" w:rsidR="008219D5" w:rsidRPr="00092ED7" w:rsidRDefault="008219D5" w:rsidP="008219D5">
            <w:pPr>
              <w:spacing w:after="0"/>
              <w:jc w:val="left"/>
              <w:rPr>
                <w:rFonts w:eastAsia="Times New Roman" w:cs="Times New Roman"/>
                <w:sz w:val="20"/>
                <w:szCs w:val="20"/>
                <w:lang w:val="sr-Cyrl-CS" w:eastAsia="sr-Latn-RS"/>
              </w:rPr>
            </w:pPr>
            <w:r w:rsidRPr="00092ED7">
              <w:rPr>
                <w:rFonts w:eastAsia="Times New Roman" w:cs="Times New Roman"/>
                <w:sz w:val="20"/>
                <w:szCs w:val="20"/>
                <w:lang w:val="sr-Cyrl-CS" w:eastAsia="sr-Latn-RS"/>
              </w:rPr>
              <w:t> </w:t>
            </w:r>
          </w:p>
        </w:tc>
      </w:tr>
      <w:tr w:rsidR="008219D5" w:rsidRPr="00092ED7" w14:paraId="226D2190" w14:textId="77777777" w:rsidTr="00053B2B">
        <w:trPr>
          <w:trHeight w:val="276"/>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37FAD6AE" w14:textId="77777777" w:rsidR="008219D5" w:rsidRPr="00092ED7" w:rsidRDefault="008219D5" w:rsidP="00734F11">
            <w:pPr>
              <w:spacing w:after="0"/>
              <w:ind w:firstLineChars="300" w:firstLine="602"/>
              <w:jc w:val="left"/>
              <w:rPr>
                <w:rFonts w:eastAsia="Times New Roman" w:cs="Times New Roman"/>
                <w:b/>
                <w:color w:val="000000"/>
                <w:sz w:val="20"/>
                <w:szCs w:val="20"/>
                <w:lang w:val="sr-Cyrl-CS" w:eastAsia="sr-Latn-RS"/>
              </w:rPr>
            </w:pPr>
            <w:r w:rsidRPr="00092ED7">
              <w:rPr>
                <w:rFonts w:eastAsia="Times New Roman" w:cs="Times New Roman"/>
                <w:b/>
                <w:i/>
                <w:color w:val="000000"/>
                <w:sz w:val="20"/>
                <w:szCs w:val="20"/>
                <w:lang w:val="sr-Cyrl-CS" w:eastAsia="sr-Latn-RS"/>
              </w:rPr>
              <w:t>Транспор</w:t>
            </w:r>
            <w:r w:rsidRPr="00092ED7">
              <w:rPr>
                <w:rFonts w:eastAsia="Times New Roman" w:cs="Times New Roman"/>
                <w:b/>
                <w:color w:val="000000"/>
                <w:sz w:val="20"/>
                <w:szCs w:val="20"/>
                <w:lang w:val="sr-Cyrl-CS" w:eastAsia="sr-Latn-RS"/>
              </w:rPr>
              <w:t>т</w:t>
            </w:r>
          </w:p>
        </w:tc>
        <w:tc>
          <w:tcPr>
            <w:tcW w:w="1261" w:type="dxa"/>
            <w:tcBorders>
              <w:top w:val="nil"/>
              <w:left w:val="nil"/>
              <w:bottom w:val="single" w:sz="4" w:space="0" w:color="auto"/>
              <w:right w:val="single" w:sz="4" w:space="0" w:color="auto"/>
            </w:tcBorders>
            <w:shd w:val="clear" w:color="auto" w:fill="auto"/>
            <w:vAlign w:val="center"/>
            <w:hideMark/>
          </w:tcPr>
          <w:p w14:paraId="2D0AB372" w14:textId="77777777" w:rsidR="008219D5" w:rsidRPr="00092ED7" w:rsidRDefault="008219D5" w:rsidP="008219D5">
            <w:pPr>
              <w:spacing w:after="0"/>
              <w:jc w:val="left"/>
              <w:rPr>
                <w:rFonts w:eastAsia="Times New Roman" w:cs="Times New Roman"/>
                <w:b/>
                <w:color w:val="000000"/>
                <w:sz w:val="20"/>
                <w:szCs w:val="20"/>
                <w:lang w:val="sr-Cyrl-CS" w:eastAsia="sr-Latn-RS"/>
              </w:rPr>
            </w:pPr>
            <w:r w:rsidRPr="00092ED7">
              <w:rPr>
                <w:rFonts w:eastAsia="Times New Roman" w:cs="Times New Roman"/>
                <w:b/>
                <w:color w:val="000000"/>
                <w:sz w:val="20"/>
                <w:szCs w:val="20"/>
                <w:lang w:val="sr-Cyrl-CS" w:eastAsia="sr-Latn-RS"/>
              </w:rPr>
              <w:t> </w:t>
            </w:r>
          </w:p>
        </w:tc>
        <w:tc>
          <w:tcPr>
            <w:tcW w:w="815" w:type="dxa"/>
            <w:tcBorders>
              <w:top w:val="nil"/>
              <w:left w:val="nil"/>
              <w:bottom w:val="single" w:sz="4" w:space="0" w:color="auto"/>
              <w:right w:val="single" w:sz="4" w:space="0" w:color="auto"/>
            </w:tcBorders>
            <w:shd w:val="clear" w:color="auto" w:fill="auto"/>
            <w:vAlign w:val="center"/>
            <w:hideMark/>
          </w:tcPr>
          <w:p w14:paraId="0E92D4EA" w14:textId="77777777" w:rsidR="008219D5" w:rsidRPr="00092ED7" w:rsidRDefault="008219D5" w:rsidP="008219D5">
            <w:pPr>
              <w:spacing w:after="0"/>
              <w:jc w:val="left"/>
              <w:rPr>
                <w:rFonts w:eastAsia="Times New Roman" w:cs="Times New Roman"/>
                <w:b/>
                <w:sz w:val="20"/>
                <w:szCs w:val="20"/>
                <w:lang w:val="sr-Cyrl-CS" w:eastAsia="sr-Latn-RS"/>
              </w:rPr>
            </w:pPr>
            <w:r w:rsidRPr="00092ED7">
              <w:rPr>
                <w:rFonts w:eastAsia="Times New Roman" w:cs="Times New Roman"/>
                <w:b/>
                <w:sz w:val="20"/>
                <w:szCs w:val="20"/>
                <w:lang w:val="sr-Cyrl-CS" w:eastAsia="sr-Latn-RS"/>
              </w:rPr>
              <w:t> </w:t>
            </w:r>
          </w:p>
        </w:tc>
        <w:tc>
          <w:tcPr>
            <w:tcW w:w="849" w:type="dxa"/>
            <w:tcBorders>
              <w:top w:val="nil"/>
              <w:left w:val="nil"/>
              <w:bottom w:val="single" w:sz="4" w:space="0" w:color="auto"/>
              <w:right w:val="single" w:sz="4" w:space="0" w:color="auto"/>
            </w:tcBorders>
            <w:shd w:val="clear" w:color="auto" w:fill="auto"/>
            <w:vAlign w:val="center"/>
            <w:hideMark/>
          </w:tcPr>
          <w:p w14:paraId="31FEC6D6" w14:textId="77777777" w:rsidR="008219D5" w:rsidRPr="00092ED7" w:rsidRDefault="008219D5" w:rsidP="008219D5">
            <w:pPr>
              <w:spacing w:after="0"/>
              <w:jc w:val="left"/>
              <w:rPr>
                <w:rFonts w:eastAsia="Times New Roman" w:cs="Times New Roman"/>
                <w:b/>
                <w:sz w:val="20"/>
                <w:szCs w:val="20"/>
                <w:lang w:val="sr-Cyrl-CS" w:eastAsia="sr-Latn-RS"/>
              </w:rPr>
            </w:pPr>
            <w:r w:rsidRPr="00092ED7">
              <w:rPr>
                <w:rFonts w:eastAsia="Times New Roman" w:cs="Times New Roman"/>
                <w:b/>
                <w:sz w:val="20"/>
                <w:szCs w:val="20"/>
                <w:lang w:val="sr-Cyrl-CS" w:eastAsia="sr-Latn-RS"/>
              </w:rPr>
              <w:t> </w:t>
            </w:r>
          </w:p>
        </w:tc>
        <w:tc>
          <w:tcPr>
            <w:tcW w:w="766" w:type="dxa"/>
            <w:tcBorders>
              <w:top w:val="nil"/>
              <w:left w:val="nil"/>
              <w:bottom w:val="single" w:sz="4" w:space="0" w:color="auto"/>
              <w:right w:val="single" w:sz="4" w:space="0" w:color="auto"/>
            </w:tcBorders>
            <w:shd w:val="clear" w:color="auto" w:fill="auto"/>
            <w:vAlign w:val="center"/>
            <w:hideMark/>
          </w:tcPr>
          <w:p w14:paraId="161ED191" w14:textId="77777777" w:rsidR="008219D5" w:rsidRPr="00092ED7" w:rsidRDefault="008219D5" w:rsidP="008219D5">
            <w:pPr>
              <w:spacing w:after="0"/>
              <w:jc w:val="left"/>
              <w:rPr>
                <w:rFonts w:eastAsia="Times New Roman" w:cs="Times New Roman"/>
                <w:b/>
                <w:sz w:val="20"/>
                <w:szCs w:val="20"/>
                <w:lang w:val="sr-Cyrl-CS" w:eastAsia="sr-Latn-RS"/>
              </w:rPr>
            </w:pPr>
            <w:r w:rsidRPr="00092ED7">
              <w:rPr>
                <w:rFonts w:eastAsia="Times New Roman" w:cs="Times New Roman"/>
                <w:b/>
                <w:sz w:val="20"/>
                <w:szCs w:val="20"/>
                <w:lang w:val="sr-Cyrl-CS" w:eastAsia="sr-Latn-RS"/>
              </w:rPr>
              <w:t> </w:t>
            </w:r>
          </w:p>
        </w:tc>
        <w:tc>
          <w:tcPr>
            <w:tcW w:w="843" w:type="dxa"/>
            <w:tcBorders>
              <w:top w:val="nil"/>
              <w:left w:val="nil"/>
              <w:bottom w:val="single" w:sz="4" w:space="0" w:color="auto"/>
              <w:right w:val="single" w:sz="4" w:space="0" w:color="auto"/>
            </w:tcBorders>
            <w:shd w:val="clear" w:color="auto" w:fill="auto"/>
            <w:vAlign w:val="center"/>
            <w:hideMark/>
          </w:tcPr>
          <w:p w14:paraId="375A68A4" w14:textId="77777777" w:rsidR="008219D5" w:rsidRPr="00092ED7" w:rsidRDefault="008219D5" w:rsidP="008219D5">
            <w:pPr>
              <w:spacing w:after="0"/>
              <w:jc w:val="left"/>
              <w:rPr>
                <w:rFonts w:eastAsia="Times New Roman" w:cs="Times New Roman"/>
                <w:b/>
                <w:sz w:val="20"/>
                <w:szCs w:val="20"/>
                <w:lang w:val="sr-Cyrl-CS" w:eastAsia="sr-Latn-RS"/>
              </w:rPr>
            </w:pPr>
            <w:r w:rsidRPr="00092ED7">
              <w:rPr>
                <w:rFonts w:eastAsia="Times New Roman" w:cs="Times New Roman"/>
                <w:b/>
                <w:sz w:val="20"/>
                <w:szCs w:val="20"/>
                <w:lang w:val="sr-Cyrl-CS" w:eastAsia="sr-Latn-RS"/>
              </w:rPr>
              <w:t> </w:t>
            </w:r>
          </w:p>
        </w:tc>
      </w:tr>
      <w:tr w:rsidR="008219D5" w:rsidRPr="00092ED7" w14:paraId="6234677D" w14:textId="77777777" w:rsidTr="00053B2B">
        <w:trPr>
          <w:trHeight w:val="276"/>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4FAD5DD0" w14:textId="77777777" w:rsidR="008219D5" w:rsidRPr="00092ED7" w:rsidRDefault="008219D5" w:rsidP="00734F11">
            <w:pPr>
              <w:spacing w:after="0"/>
              <w:ind w:firstLineChars="17" w:firstLine="34"/>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15. Густина железничке мреже (метри пруге по км</w:t>
            </w:r>
            <w:r w:rsidRPr="00092ED7">
              <w:rPr>
                <w:rFonts w:eastAsia="Times New Roman" w:cs="Times New Roman"/>
                <w:color w:val="000000"/>
                <w:sz w:val="20"/>
                <w:szCs w:val="20"/>
                <w:vertAlign w:val="superscript"/>
                <w:lang w:val="sr-Cyrl-CS" w:eastAsia="sr-Latn-RS"/>
              </w:rPr>
              <w:t>2</w:t>
            </w:r>
            <w:r w:rsidRPr="00092ED7">
              <w:rPr>
                <w:rFonts w:eastAsia="Times New Roman" w:cs="Times New Roman"/>
                <w:color w:val="000000"/>
                <w:sz w:val="20"/>
                <w:szCs w:val="20"/>
                <w:lang w:val="sr-Cyrl-CS" w:eastAsia="sr-Latn-RS"/>
              </w:rPr>
              <w:t xml:space="preserve"> копнене површине)</w:t>
            </w:r>
          </w:p>
        </w:tc>
        <w:tc>
          <w:tcPr>
            <w:tcW w:w="1261" w:type="dxa"/>
            <w:tcBorders>
              <w:top w:val="nil"/>
              <w:left w:val="nil"/>
              <w:bottom w:val="single" w:sz="4" w:space="0" w:color="auto"/>
              <w:right w:val="single" w:sz="4" w:space="0" w:color="auto"/>
            </w:tcBorders>
            <w:shd w:val="clear" w:color="auto" w:fill="auto"/>
            <w:vAlign w:val="center"/>
            <w:hideMark/>
          </w:tcPr>
          <w:p w14:paraId="48F4DFDC" w14:textId="77777777" w:rsidR="008219D5" w:rsidRPr="00092ED7" w:rsidRDefault="008219D5" w:rsidP="008219D5">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 xml:space="preserve">UNECE </w:t>
            </w:r>
          </w:p>
        </w:tc>
        <w:tc>
          <w:tcPr>
            <w:tcW w:w="815" w:type="dxa"/>
            <w:tcBorders>
              <w:top w:val="nil"/>
              <w:left w:val="nil"/>
              <w:bottom w:val="single" w:sz="4" w:space="0" w:color="auto"/>
              <w:right w:val="single" w:sz="4" w:space="0" w:color="auto"/>
            </w:tcBorders>
            <w:shd w:val="clear" w:color="auto" w:fill="auto"/>
            <w:vAlign w:val="center"/>
            <w:hideMark/>
          </w:tcPr>
          <w:p w14:paraId="753CD8F4"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42,53</w:t>
            </w:r>
          </w:p>
        </w:tc>
        <w:tc>
          <w:tcPr>
            <w:tcW w:w="849" w:type="dxa"/>
            <w:tcBorders>
              <w:top w:val="nil"/>
              <w:left w:val="nil"/>
              <w:bottom w:val="single" w:sz="4" w:space="0" w:color="auto"/>
              <w:right w:val="single" w:sz="4" w:space="0" w:color="auto"/>
            </w:tcBorders>
            <w:shd w:val="clear" w:color="auto" w:fill="auto"/>
            <w:vAlign w:val="center"/>
            <w:hideMark/>
          </w:tcPr>
          <w:p w14:paraId="3A5C0745"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42,52</w:t>
            </w:r>
          </w:p>
        </w:tc>
        <w:tc>
          <w:tcPr>
            <w:tcW w:w="766" w:type="dxa"/>
            <w:tcBorders>
              <w:top w:val="nil"/>
              <w:left w:val="nil"/>
              <w:bottom w:val="single" w:sz="4" w:space="0" w:color="auto"/>
              <w:right w:val="single" w:sz="4" w:space="0" w:color="auto"/>
            </w:tcBorders>
            <w:shd w:val="clear" w:color="auto" w:fill="auto"/>
            <w:vAlign w:val="center"/>
            <w:hideMark/>
          </w:tcPr>
          <w:p w14:paraId="778FBB01"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38</w:t>
            </w:r>
          </w:p>
        </w:tc>
        <w:tc>
          <w:tcPr>
            <w:tcW w:w="843" w:type="dxa"/>
            <w:tcBorders>
              <w:top w:val="nil"/>
              <w:left w:val="nil"/>
              <w:bottom w:val="single" w:sz="4" w:space="0" w:color="auto"/>
              <w:right w:val="single" w:sz="4" w:space="0" w:color="auto"/>
            </w:tcBorders>
            <w:shd w:val="clear" w:color="auto" w:fill="auto"/>
            <w:vAlign w:val="center"/>
            <w:hideMark/>
          </w:tcPr>
          <w:p w14:paraId="60060681" w14:textId="77777777" w:rsidR="008219D5" w:rsidRPr="00092ED7" w:rsidRDefault="008219D5" w:rsidP="008219D5">
            <w:pPr>
              <w:spacing w:after="0"/>
              <w:jc w:val="left"/>
              <w:rPr>
                <w:rFonts w:eastAsia="Times New Roman" w:cs="Times New Roman"/>
                <w:sz w:val="20"/>
                <w:szCs w:val="20"/>
                <w:lang w:val="sr-Cyrl-CS" w:eastAsia="sr-Latn-RS"/>
              </w:rPr>
            </w:pPr>
            <w:r w:rsidRPr="00092ED7">
              <w:rPr>
                <w:rFonts w:eastAsia="Times New Roman" w:cs="Times New Roman"/>
                <w:sz w:val="20"/>
                <w:szCs w:val="20"/>
                <w:lang w:val="sr-Cyrl-CS" w:eastAsia="sr-Latn-RS"/>
              </w:rPr>
              <w:t> </w:t>
            </w:r>
          </w:p>
        </w:tc>
      </w:tr>
      <w:tr w:rsidR="008219D5" w:rsidRPr="00092ED7" w14:paraId="77A89918" w14:textId="77777777" w:rsidTr="00053B2B">
        <w:trPr>
          <w:trHeight w:val="276"/>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0F732471" w14:textId="77777777" w:rsidR="008219D5" w:rsidRPr="00092ED7" w:rsidRDefault="008219D5" w:rsidP="00734F11">
            <w:pPr>
              <w:spacing w:after="0"/>
              <w:ind w:firstLineChars="17" w:firstLine="34"/>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16. Стопа моторизације (Путнички аутомобили на 1000 становника)</w:t>
            </w:r>
          </w:p>
        </w:tc>
        <w:tc>
          <w:tcPr>
            <w:tcW w:w="1261" w:type="dxa"/>
            <w:tcBorders>
              <w:top w:val="nil"/>
              <w:left w:val="nil"/>
              <w:bottom w:val="single" w:sz="4" w:space="0" w:color="auto"/>
              <w:right w:val="single" w:sz="4" w:space="0" w:color="auto"/>
            </w:tcBorders>
            <w:shd w:val="clear" w:color="auto" w:fill="auto"/>
            <w:vAlign w:val="center"/>
            <w:hideMark/>
          </w:tcPr>
          <w:p w14:paraId="4F49CA75" w14:textId="77777777" w:rsidR="008219D5" w:rsidRPr="00092ED7" w:rsidRDefault="008219D5" w:rsidP="008219D5">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OECD</w:t>
            </w:r>
          </w:p>
        </w:tc>
        <w:tc>
          <w:tcPr>
            <w:tcW w:w="815" w:type="dxa"/>
            <w:tcBorders>
              <w:top w:val="nil"/>
              <w:left w:val="nil"/>
              <w:bottom w:val="single" w:sz="4" w:space="0" w:color="auto"/>
              <w:right w:val="single" w:sz="4" w:space="0" w:color="auto"/>
            </w:tcBorders>
            <w:shd w:val="clear" w:color="auto" w:fill="auto"/>
            <w:vAlign w:val="center"/>
            <w:hideMark/>
          </w:tcPr>
          <w:p w14:paraId="5CE8C850"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284,1</w:t>
            </w:r>
          </w:p>
        </w:tc>
        <w:tc>
          <w:tcPr>
            <w:tcW w:w="849" w:type="dxa"/>
            <w:tcBorders>
              <w:top w:val="nil"/>
              <w:left w:val="nil"/>
              <w:bottom w:val="single" w:sz="4" w:space="0" w:color="auto"/>
              <w:right w:val="single" w:sz="4" w:space="0" w:color="auto"/>
            </w:tcBorders>
            <w:shd w:val="clear" w:color="auto" w:fill="auto"/>
            <w:vAlign w:val="center"/>
            <w:hideMark/>
          </w:tcPr>
          <w:p w14:paraId="69598EC9"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297,6</w:t>
            </w:r>
          </w:p>
        </w:tc>
        <w:tc>
          <w:tcPr>
            <w:tcW w:w="766" w:type="dxa"/>
            <w:tcBorders>
              <w:top w:val="nil"/>
              <w:left w:val="nil"/>
              <w:bottom w:val="single" w:sz="4" w:space="0" w:color="auto"/>
              <w:right w:val="single" w:sz="4" w:space="0" w:color="auto"/>
            </w:tcBorders>
            <w:shd w:val="clear" w:color="auto" w:fill="auto"/>
            <w:vAlign w:val="center"/>
            <w:hideMark/>
          </w:tcPr>
          <w:p w14:paraId="2BC79A2D"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315</w:t>
            </w:r>
          </w:p>
        </w:tc>
        <w:tc>
          <w:tcPr>
            <w:tcW w:w="843" w:type="dxa"/>
            <w:tcBorders>
              <w:top w:val="nil"/>
              <w:left w:val="nil"/>
              <w:bottom w:val="single" w:sz="4" w:space="0" w:color="auto"/>
              <w:right w:val="single" w:sz="4" w:space="0" w:color="auto"/>
            </w:tcBorders>
            <w:shd w:val="clear" w:color="auto" w:fill="auto"/>
            <w:vAlign w:val="center"/>
            <w:hideMark/>
          </w:tcPr>
          <w:p w14:paraId="23726C11" w14:textId="77777777" w:rsidR="008219D5" w:rsidRPr="00092ED7" w:rsidRDefault="008219D5" w:rsidP="008219D5">
            <w:pPr>
              <w:spacing w:after="0"/>
              <w:jc w:val="left"/>
              <w:rPr>
                <w:rFonts w:eastAsia="Times New Roman" w:cs="Times New Roman"/>
                <w:sz w:val="20"/>
                <w:szCs w:val="20"/>
                <w:lang w:val="sr-Cyrl-CS" w:eastAsia="sr-Latn-RS"/>
              </w:rPr>
            </w:pPr>
            <w:r w:rsidRPr="00092ED7">
              <w:rPr>
                <w:rFonts w:eastAsia="Times New Roman" w:cs="Times New Roman"/>
                <w:sz w:val="20"/>
                <w:szCs w:val="20"/>
                <w:lang w:val="sr-Cyrl-CS" w:eastAsia="sr-Latn-RS"/>
              </w:rPr>
              <w:t> </w:t>
            </w:r>
          </w:p>
        </w:tc>
      </w:tr>
      <w:tr w:rsidR="008219D5" w:rsidRPr="00092ED7" w14:paraId="457A3546" w14:textId="77777777" w:rsidTr="00053B2B">
        <w:trPr>
          <w:trHeight w:val="276"/>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1A063484" w14:textId="77777777" w:rsidR="008219D5" w:rsidRPr="00092ED7" w:rsidRDefault="008219D5" w:rsidP="00734F11">
            <w:pPr>
              <w:spacing w:after="0"/>
              <w:ind w:firstLine="601"/>
              <w:jc w:val="left"/>
              <w:rPr>
                <w:rFonts w:eastAsia="Times New Roman" w:cs="Times New Roman"/>
                <w:b/>
                <w:i/>
                <w:color w:val="000000"/>
                <w:sz w:val="20"/>
                <w:szCs w:val="20"/>
                <w:lang w:val="sr-Cyrl-CS" w:eastAsia="sr-Latn-RS"/>
              </w:rPr>
            </w:pPr>
            <w:r w:rsidRPr="00092ED7">
              <w:rPr>
                <w:rFonts w:eastAsia="Times New Roman" w:cs="Times New Roman"/>
                <w:b/>
                <w:i/>
                <w:color w:val="000000"/>
                <w:sz w:val="20"/>
                <w:szCs w:val="20"/>
                <w:lang w:val="sr-Cyrl-CS" w:eastAsia="sr-Latn-RS"/>
              </w:rPr>
              <w:t>Пољопривреда</w:t>
            </w:r>
          </w:p>
        </w:tc>
        <w:tc>
          <w:tcPr>
            <w:tcW w:w="1261" w:type="dxa"/>
            <w:tcBorders>
              <w:top w:val="nil"/>
              <w:left w:val="nil"/>
              <w:bottom w:val="single" w:sz="4" w:space="0" w:color="auto"/>
              <w:right w:val="single" w:sz="4" w:space="0" w:color="auto"/>
            </w:tcBorders>
            <w:shd w:val="clear" w:color="auto" w:fill="auto"/>
            <w:vAlign w:val="center"/>
            <w:hideMark/>
          </w:tcPr>
          <w:p w14:paraId="7B197D19" w14:textId="77777777" w:rsidR="008219D5" w:rsidRPr="00092ED7" w:rsidRDefault="008219D5" w:rsidP="008219D5">
            <w:pPr>
              <w:spacing w:after="0"/>
              <w:jc w:val="left"/>
              <w:rPr>
                <w:rFonts w:eastAsia="Times New Roman" w:cs="Times New Roman"/>
                <w:b/>
                <w:color w:val="000000"/>
                <w:sz w:val="20"/>
                <w:szCs w:val="20"/>
                <w:lang w:val="sr-Cyrl-CS" w:eastAsia="sr-Latn-RS"/>
              </w:rPr>
            </w:pPr>
            <w:r w:rsidRPr="00092ED7">
              <w:rPr>
                <w:rFonts w:eastAsia="Times New Roman" w:cs="Times New Roman"/>
                <w:b/>
                <w:color w:val="000000"/>
                <w:sz w:val="20"/>
                <w:szCs w:val="20"/>
                <w:lang w:val="sr-Cyrl-CS" w:eastAsia="sr-Latn-RS"/>
              </w:rPr>
              <w:t> </w:t>
            </w:r>
          </w:p>
        </w:tc>
        <w:tc>
          <w:tcPr>
            <w:tcW w:w="815" w:type="dxa"/>
            <w:tcBorders>
              <w:top w:val="nil"/>
              <w:left w:val="nil"/>
              <w:bottom w:val="single" w:sz="4" w:space="0" w:color="auto"/>
              <w:right w:val="single" w:sz="4" w:space="0" w:color="auto"/>
            </w:tcBorders>
            <w:shd w:val="clear" w:color="auto" w:fill="auto"/>
            <w:vAlign w:val="center"/>
            <w:hideMark/>
          </w:tcPr>
          <w:p w14:paraId="1BE11D6C" w14:textId="77777777" w:rsidR="008219D5" w:rsidRPr="00092ED7" w:rsidRDefault="008219D5" w:rsidP="008219D5">
            <w:pPr>
              <w:spacing w:after="0"/>
              <w:jc w:val="left"/>
              <w:rPr>
                <w:rFonts w:eastAsia="Times New Roman" w:cs="Times New Roman"/>
                <w:b/>
                <w:sz w:val="20"/>
                <w:szCs w:val="20"/>
                <w:lang w:val="sr-Cyrl-CS" w:eastAsia="sr-Latn-RS"/>
              </w:rPr>
            </w:pPr>
            <w:r w:rsidRPr="00092ED7">
              <w:rPr>
                <w:rFonts w:eastAsia="Times New Roman" w:cs="Times New Roman"/>
                <w:b/>
                <w:sz w:val="20"/>
                <w:szCs w:val="20"/>
                <w:lang w:val="sr-Cyrl-CS" w:eastAsia="sr-Latn-RS"/>
              </w:rPr>
              <w:t> </w:t>
            </w:r>
          </w:p>
        </w:tc>
        <w:tc>
          <w:tcPr>
            <w:tcW w:w="849" w:type="dxa"/>
            <w:tcBorders>
              <w:top w:val="nil"/>
              <w:left w:val="nil"/>
              <w:bottom w:val="single" w:sz="4" w:space="0" w:color="auto"/>
              <w:right w:val="single" w:sz="4" w:space="0" w:color="auto"/>
            </w:tcBorders>
            <w:shd w:val="clear" w:color="auto" w:fill="auto"/>
            <w:vAlign w:val="center"/>
            <w:hideMark/>
          </w:tcPr>
          <w:p w14:paraId="26327D18" w14:textId="77777777" w:rsidR="008219D5" w:rsidRPr="00092ED7" w:rsidRDefault="008219D5" w:rsidP="008219D5">
            <w:pPr>
              <w:spacing w:after="0"/>
              <w:jc w:val="left"/>
              <w:rPr>
                <w:rFonts w:eastAsia="Times New Roman" w:cs="Times New Roman"/>
                <w:b/>
                <w:sz w:val="20"/>
                <w:szCs w:val="20"/>
                <w:lang w:val="sr-Cyrl-CS" w:eastAsia="sr-Latn-RS"/>
              </w:rPr>
            </w:pPr>
            <w:r w:rsidRPr="00092ED7">
              <w:rPr>
                <w:rFonts w:eastAsia="Times New Roman" w:cs="Times New Roman"/>
                <w:b/>
                <w:sz w:val="20"/>
                <w:szCs w:val="20"/>
                <w:lang w:val="sr-Cyrl-CS" w:eastAsia="sr-Latn-RS"/>
              </w:rPr>
              <w:t> </w:t>
            </w:r>
          </w:p>
        </w:tc>
        <w:tc>
          <w:tcPr>
            <w:tcW w:w="766" w:type="dxa"/>
            <w:tcBorders>
              <w:top w:val="nil"/>
              <w:left w:val="nil"/>
              <w:bottom w:val="single" w:sz="4" w:space="0" w:color="auto"/>
              <w:right w:val="single" w:sz="4" w:space="0" w:color="auto"/>
            </w:tcBorders>
            <w:shd w:val="clear" w:color="auto" w:fill="auto"/>
            <w:vAlign w:val="center"/>
            <w:hideMark/>
          </w:tcPr>
          <w:p w14:paraId="79F5D8C8" w14:textId="77777777" w:rsidR="008219D5" w:rsidRPr="00092ED7" w:rsidRDefault="008219D5" w:rsidP="008219D5">
            <w:pPr>
              <w:spacing w:after="0"/>
              <w:jc w:val="left"/>
              <w:rPr>
                <w:rFonts w:eastAsia="Times New Roman" w:cs="Times New Roman"/>
                <w:b/>
                <w:sz w:val="20"/>
                <w:szCs w:val="20"/>
                <w:lang w:val="sr-Cyrl-CS" w:eastAsia="sr-Latn-RS"/>
              </w:rPr>
            </w:pPr>
            <w:r w:rsidRPr="00092ED7">
              <w:rPr>
                <w:rFonts w:eastAsia="Times New Roman" w:cs="Times New Roman"/>
                <w:b/>
                <w:sz w:val="20"/>
                <w:szCs w:val="20"/>
                <w:lang w:val="sr-Cyrl-CS" w:eastAsia="sr-Latn-RS"/>
              </w:rPr>
              <w:t> </w:t>
            </w:r>
          </w:p>
        </w:tc>
        <w:tc>
          <w:tcPr>
            <w:tcW w:w="843" w:type="dxa"/>
            <w:tcBorders>
              <w:top w:val="nil"/>
              <w:left w:val="nil"/>
              <w:bottom w:val="single" w:sz="4" w:space="0" w:color="auto"/>
              <w:right w:val="single" w:sz="4" w:space="0" w:color="auto"/>
            </w:tcBorders>
            <w:shd w:val="clear" w:color="auto" w:fill="auto"/>
            <w:vAlign w:val="center"/>
            <w:hideMark/>
          </w:tcPr>
          <w:p w14:paraId="678A7367" w14:textId="77777777" w:rsidR="008219D5" w:rsidRPr="00092ED7" w:rsidRDefault="008219D5" w:rsidP="008219D5">
            <w:pPr>
              <w:spacing w:after="0"/>
              <w:jc w:val="left"/>
              <w:rPr>
                <w:rFonts w:eastAsia="Times New Roman" w:cs="Times New Roman"/>
                <w:b/>
                <w:sz w:val="20"/>
                <w:szCs w:val="20"/>
                <w:lang w:val="sr-Cyrl-CS" w:eastAsia="sr-Latn-RS"/>
              </w:rPr>
            </w:pPr>
            <w:r w:rsidRPr="00092ED7">
              <w:rPr>
                <w:rFonts w:eastAsia="Times New Roman" w:cs="Times New Roman"/>
                <w:b/>
                <w:sz w:val="20"/>
                <w:szCs w:val="20"/>
                <w:lang w:val="sr-Cyrl-CS" w:eastAsia="sr-Latn-RS"/>
              </w:rPr>
              <w:t> </w:t>
            </w:r>
          </w:p>
        </w:tc>
      </w:tr>
      <w:tr w:rsidR="008219D5" w:rsidRPr="00092ED7" w14:paraId="49D86834" w14:textId="77777777" w:rsidTr="00053B2B">
        <w:trPr>
          <w:trHeight w:val="276"/>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7C5A85C2" w14:textId="77777777" w:rsidR="008219D5" w:rsidRPr="00092ED7" w:rsidRDefault="008219D5" w:rsidP="00734F11">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17. Удео у бруто додатој вредности (Пољопривреда, шумарство и рибарство)</w:t>
            </w:r>
          </w:p>
        </w:tc>
        <w:tc>
          <w:tcPr>
            <w:tcW w:w="1261" w:type="dxa"/>
            <w:tcBorders>
              <w:top w:val="nil"/>
              <w:left w:val="nil"/>
              <w:bottom w:val="single" w:sz="4" w:space="0" w:color="auto"/>
              <w:right w:val="single" w:sz="4" w:space="0" w:color="auto"/>
            </w:tcBorders>
            <w:shd w:val="clear" w:color="auto" w:fill="auto"/>
            <w:vAlign w:val="center"/>
            <w:hideMark/>
          </w:tcPr>
          <w:p w14:paraId="37CA60AF" w14:textId="77777777" w:rsidR="008219D5" w:rsidRPr="00092ED7" w:rsidRDefault="008219D5" w:rsidP="008219D5">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EUROSTAT</w:t>
            </w:r>
          </w:p>
        </w:tc>
        <w:tc>
          <w:tcPr>
            <w:tcW w:w="815" w:type="dxa"/>
            <w:tcBorders>
              <w:top w:val="nil"/>
              <w:left w:val="nil"/>
              <w:bottom w:val="single" w:sz="4" w:space="0" w:color="auto"/>
              <w:right w:val="single" w:sz="4" w:space="0" w:color="auto"/>
            </w:tcBorders>
            <w:shd w:val="clear" w:color="auto" w:fill="auto"/>
            <w:vAlign w:val="center"/>
            <w:hideMark/>
          </w:tcPr>
          <w:p w14:paraId="69EBE121"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7,7</w:t>
            </w:r>
          </w:p>
        </w:tc>
        <w:tc>
          <w:tcPr>
            <w:tcW w:w="849" w:type="dxa"/>
            <w:tcBorders>
              <w:top w:val="nil"/>
              <w:left w:val="nil"/>
              <w:bottom w:val="single" w:sz="4" w:space="0" w:color="auto"/>
              <w:right w:val="single" w:sz="4" w:space="0" w:color="auto"/>
            </w:tcBorders>
            <w:shd w:val="clear" w:color="auto" w:fill="auto"/>
            <w:vAlign w:val="center"/>
            <w:hideMark/>
          </w:tcPr>
          <w:p w14:paraId="19289ABD"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7,2</w:t>
            </w:r>
          </w:p>
        </w:tc>
        <w:tc>
          <w:tcPr>
            <w:tcW w:w="766" w:type="dxa"/>
            <w:tcBorders>
              <w:top w:val="nil"/>
              <w:left w:val="nil"/>
              <w:bottom w:val="single" w:sz="4" w:space="0" w:color="auto"/>
              <w:right w:val="single" w:sz="4" w:space="0" w:color="auto"/>
            </w:tcBorders>
            <w:shd w:val="clear" w:color="auto" w:fill="auto"/>
            <w:vAlign w:val="center"/>
            <w:hideMark/>
          </w:tcPr>
          <w:p w14:paraId="45C4FFC7"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7,6</w:t>
            </w:r>
          </w:p>
        </w:tc>
        <w:tc>
          <w:tcPr>
            <w:tcW w:w="843" w:type="dxa"/>
            <w:tcBorders>
              <w:top w:val="nil"/>
              <w:left w:val="nil"/>
              <w:bottom w:val="single" w:sz="4" w:space="0" w:color="auto"/>
              <w:right w:val="single" w:sz="4" w:space="0" w:color="auto"/>
            </w:tcBorders>
            <w:shd w:val="clear" w:color="auto" w:fill="auto"/>
            <w:vAlign w:val="center"/>
            <w:hideMark/>
          </w:tcPr>
          <w:p w14:paraId="31955B32"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7,6</w:t>
            </w:r>
          </w:p>
        </w:tc>
      </w:tr>
      <w:tr w:rsidR="008219D5" w:rsidRPr="00092ED7" w14:paraId="793B284B" w14:textId="77777777" w:rsidTr="00053B2B">
        <w:trPr>
          <w:trHeight w:val="276"/>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0E2260F8" w14:textId="77777777" w:rsidR="008219D5" w:rsidRPr="00092ED7" w:rsidRDefault="008219D5" w:rsidP="00734F11">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18. Удео запослености (Пољопривреда, шумарство и рибарство)</w:t>
            </w:r>
          </w:p>
        </w:tc>
        <w:tc>
          <w:tcPr>
            <w:tcW w:w="1261" w:type="dxa"/>
            <w:tcBorders>
              <w:top w:val="nil"/>
              <w:left w:val="nil"/>
              <w:bottom w:val="single" w:sz="4" w:space="0" w:color="auto"/>
              <w:right w:val="single" w:sz="4" w:space="0" w:color="auto"/>
            </w:tcBorders>
            <w:shd w:val="clear" w:color="auto" w:fill="auto"/>
            <w:vAlign w:val="center"/>
            <w:hideMark/>
          </w:tcPr>
          <w:p w14:paraId="57EEC7E9" w14:textId="77777777" w:rsidR="008219D5" w:rsidRPr="00092ED7" w:rsidRDefault="008219D5" w:rsidP="008219D5">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WB</w:t>
            </w:r>
          </w:p>
        </w:tc>
        <w:tc>
          <w:tcPr>
            <w:tcW w:w="815" w:type="dxa"/>
            <w:tcBorders>
              <w:top w:val="nil"/>
              <w:left w:val="nil"/>
              <w:bottom w:val="single" w:sz="4" w:space="0" w:color="auto"/>
              <w:right w:val="single" w:sz="4" w:space="0" w:color="auto"/>
            </w:tcBorders>
            <w:shd w:val="clear" w:color="auto" w:fill="auto"/>
            <w:vAlign w:val="center"/>
            <w:hideMark/>
          </w:tcPr>
          <w:p w14:paraId="7E7809DC"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15,9</w:t>
            </w:r>
          </w:p>
        </w:tc>
        <w:tc>
          <w:tcPr>
            <w:tcW w:w="849" w:type="dxa"/>
            <w:tcBorders>
              <w:top w:val="nil"/>
              <w:left w:val="nil"/>
              <w:bottom w:val="single" w:sz="4" w:space="0" w:color="auto"/>
              <w:right w:val="single" w:sz="4" w:space="0" w:color="auto"/>
            </w:tcBorders>
            <w:shd w:val="clear" w:color="auto" w:fill="auto"/>
            <w:vAlign w:val="center"/>
            <w:hideMark/>
          </w:tcPr>
          <w:p w14:paraId="5E1F436B"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15,6</w:t>
            </w:r>
          </w:p>
        </w:tc>
        <w:tc>
          <w:tcPr>
            <w:tcW w:w="766" w:type="dxa"/>
            <w:tcBorders>
              <w:top w:val="nil"/>
              <w:left w:val="nil"/>
              <w:bottom w:val="single" w:sz="4" w:space="0" w:color="auto"/>
              <w:right w:val="single" w:sz="4" w:space="0" w:color="auto"/>
            </w:tcBorders>
            <w:shd w:val="clear" w:color="auto" w:fill="auto"/>
            <w:vAlign w:val="center"/>
            <w:hideMark/>
          </w:tcPr>
          <w:p w14:paraId="706A3B81" w14:textId="77777777" w:rsidR="008219D5" w:rsidRPr="00092ED7" w:rsidRDefault="008219D5" w:rsidP="008219D5">
            <w:pPr>
              <w:spacing w:after="0"/>
              <w:jc w:val="left"/>
              <w:rPr>
                <w:rFonts w:eastAsia="Times New Roman" w:cs="Times New Roman"/>
                <w:sz w:val="20"/>
                <w:szCs w:val="20"/>
                <w:lang w:val="sr-Cyrl-CS" w:eastAsia="sr-Latn-RS"/>
              </w:rPr>
            </w:pPr>
            <w:r w:rsidRPr="00092ED7">
              <w:rPr>
                <w:rFonts w:eastAsia="Times New Roman" w:cs="Times New Roman"/>
                <w:sz w:val="20"/>
                <w:szCs w:val="20"/>
                <w:lang w:val="sr-Cyrl-CS" w:eastAsia="sr-Latn-RS"/>
              </w:rPr>
              <w:t> </w:t>
            </w:r>
          </w:p>
        </w:tc>
        <w:tc>
          <w:tcPr>
            <w:tcW w:w="843" w:type="dxa"/>
            <w:tcBorders>
              <w:top w:val="nil"/>
              <w:left w:val="nil"/>
              <w:bottom w:val="single" w:sz="4" w:space="0" w:color="auto"/>
              <w:right w:val="single" w:sz="4" w:space="0" w:color="auto"/>
            </w:tcBorders>
            <w:shd w:val="clear" w:color="auto" w:fill="auto"/>
            <w:vAlign w:val="center"/>
            <w:hideMark/>
          </w:tcPr>
          <w:p w14:paraId="3679C9B0" w14:textId="77777777" w:rsidR="008219D5" w:rsidRPr="00092ED7" w:rsidRDefault="008219D5" w:rsidP="008219D5">
            <w:pPr>
              <w:spacing w:after="0"/>
              <w:jc w:val="left"/>
              <w:rPr>
                <w:rFonts w:eastAsia="Times New Roman" w:cs="Times New Roman"/>
                <w:sz w:val="20"/>
                <w:szCs w:val="20"/>
                <w:lang w:val="sr-Cyrl-CS" w:eastAsia="sr-Latn-RS"/>
              </w:rPr>
            </w:pPr>
            <w:r w:rsidRPr="00092ED7">
              <w:rPr>
                <w:rFonts w:eastAsia="Times New Roman" w:cs="Times New Roman"/>
                <w:sz w:val="20"/>
                <w:szCs w:val="20"/>
                <w:lang w:val="sr-Cyrl-CS" w:eastAsia="sr-Latn-RS"/>
              </w:rPr>
              <w:t> </w:t>
            </w:r>
          </w:p>
        </w:tc>
      </w:tr>
      <w:tr w:rsidR="008219D5" w:rsidRPr="00092ED7" w14:paraId="77BD54D9" w14:textId="77777777" w:rsidTr="00053B2B">
        <w:trPr>
          <w:trHeight w:val="276"/>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6D85D0C3" w14:textId="77777777" w:rsidR="008219D5" w:rsidRPr="00092ED7" w:rsidRDefault="008219D5" w:rsidP="00734F11">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19. Коришћена пољопривредна површина (% од укупне површине земљишта)</w:t>
            </w:r>
          </w:p>
        </w:tc>
        <w:tc>
          <w:tcPr>
            <w:tcW w:w="1261" w:type="dxa"/>
            <w:tcBorders>
              <w:top w:val="nil"/>
              <w:left w:val="nil"/>
              <w:bottom w:val="single" w:sz="4" w:space="0" w:color="auto"/>
              <w:right w:val="single" w:sz="4" w:space="0" w:color="auto"/>
            </w:tcBorders>
            <w:shd w:val="clear" w:color="auto" w:fill="auto"/>
            <w:vAlign w:val="center"/>
            <w:hideMark/>
          </w:tcPr>
          <w:p w14:paraId="41A6AB12" w14:textId="77777777" w:rsidR="008219D5" w:rsidRPr="00092ED7" w:rsidRDefault="008219D5" w:rsidP="008219D5">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 </w:t>
            </w:r>
          </w:p>
        </w:tc>
        <w:tc>
          <w:tcPr>
            <w:tcW w:w="815" w:type="dxa"/>
            <w:tcBorders>
              <w:top w:val="nil"/>
              <w:left w:val="nil"/>
              <w:bottom w:val="single" w:sz="4" w:space="0" w:color="auto"/>
              <w:right w:val="single" w:sz="4" w:space="0" w:color="auto"/>
            </w:tcBorders>
            <w:shd w:val="clear" w:color="auto" w:fill="auto"/>
            <w:vAlign w:val="center"/>
            <w:hideMark/>
          </w:tcPr>
          <w:p w14:paraId="31FDB079"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39,6</w:t>
            </w:r>
          </w:p>
        </w:tc>
        <w:tc>
          <w:tcPr>
            <w:tcW w:w="849" w:type="dxa"/>
            <w:tcBorders>
              <w:top w:val="nil"/>
              <w:left w:val="nil"/>
              <w:bottom w:val="single" w:sz="4" w:space="0" w:color="auto"/>
              <w:right w:val="single" w:sz="4" w:space="0" w:color="auto"/>
            </w:tcBorders>
            <w:shd w:val="clear" w:color="auto" w:fill="auto"/>
            <w:vAlign w:val="center"/>
            <w:hideMark/>
          </w:tcPr>
          <w:p w14:paraId="6C67F11D"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39,4</w:t>
            </w:r>
          </w:p>
        </w:tc>
        <w:tc>
          <w:tcPr>
            <w:tcW w:w="766" w:type="dxa"/>
            <w:tcBorders>
              <w:top w:val="nil"/>
              <w:left w:val="nil"/>
              <w:bottom w:val="single" w:sz="4" w:space="0" w:color="auto"/>
              <w:right w:val="single" w:sz="4" w:space="0" w:color="auto"/>
            </w:tcBorders>
            <w:shd w:val="clear" w:color="auto" w:fill="auto"/>
            <w:vAlign w:val="center"/>
            <w:hideMark/>
          </w:tcPr>
          <w:p w14:paraId="6A99D999"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39,7</w:t>
            </w:r>
          </w:p>
        </w:tc>
        <w:tc>
          <w:tcPr>
            <w:tcW w:w="843" w:type="dxa"/>
            <w:tcBorders>
              <w:top w:val="nil"/>
              <w:left w:val="nil"/>
              <w:bottom w:val="single" w:sz="4" w:space="0" w:color="auto"/>
              <w:right w:val="single" w:sz="4" w:space="0" w:color="auto"/>
            </w:tcBorders>
            <w:shd w:val="clear" w:color="auto" w:fill="auto"/>
            <w:vAlign w:val="center"/>
            <w:hideMark/>
          </w:tcPr>
          <w:p w14:paraId="2B3DAA5C" w14:textId="77777777" w:rsidR="008219D5" w:rsidRPr="00092ED7" w:rsidRDefault="008219D5" w:rsidP="008219D5">
            <w:pPr>
              <w:spacing w:after="0"/>
              <w:jc w:val="left"/>
              <w:rPr>
                <w:rFonts w:eastAsia="Times New Roman" w:cs="Times New Roman"/>
                <w:sz w:val="20"/>
                <w:szCs w:val="20"/>
                <w:lang w:val="sr-Cyrl-CS" w:eastAsia="sr-Latn-RS"/>
              </w:rPr>
            </w:pPr>
            <w:r w:rsidRPr="00092ED7">
              <w:rPr>
                <w:rFonts w:eastAsia="Times New Roman" w:cs="Times New Roman"/>
                <w:sz w:val="20"/>
                <w:szCs w:val="20"/>
                <w:lang w:val="sr-Cyrl-CS" w:eastAsia="sr-Latn-RS"/>
              </w:rPr>
              <w:t> </w:t>
            </w:r>
          </w:p>
        </w:tc>
      </w:tr>
      <w:tr w:rsidR="008219D5" w:rsidRPr="00092ED7" w14:paraId="7B7CE789" w14:textId="77777777" w:rsidTr="00053B2B">
        <w:trPr>
          <w:trHeight w:val="276"/>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356D0956" w14:textId="77777777" w:rsidR="008219D5" w:rsidRPr="00092ED7" w:rsidRDefault="008219D5" w:rsidP="00734F11">
            <w:pPr>
              <w:spacing w:after="0"/>
              <w:ind w:firstLine="601"/>
              <w:jc w:val="left"/>
              <w:rPr>
                <w:rFonts w:eastAsia="Times New Roman" w:cs="Times New Roman"/>
                <w:b/>
                <w:i/>
                <w:color w:val="000000"/>
                <w:sz w:val="20"/>
                <w:szCs w:val="20"/>
                <w:lang w:val="sr-Cyrl-CS" w:eastAsia="sr-Latn-RS"/>
              </w:rPr>
            </w:pPr>
            <w:r w:rsidRPr="00092ED7">
              <w:rPr>
                <w:rFonts w:eastAsia="Times New Roman" w:cs="Times New Roman"/>
                <w:b/>
                <w:i/>
                <w:color w:val="000000"/>
                <w:sz w:val="20"/>
                <w:szCs w:val="20"/>
                <w:lang w:val="sr-Cyrl-CS" w:eastAsia="sr-Latn-RS"/>
              </w:rPr>
              <w:t>Индустрија (осим грађевинарства)</w:t>
            </w:r>
          </w:p>
        </w:tc>
        <w:tc>
          <w:tcPr>
            <w:tcW w:w="1261" w:type="dxa"/>
            <w:tcBorders>
              <w:top w:val="nil"/>
              <w:left w:val="nil"/>
              <w:bottom w:val="single" w:sz="4" w:space="0" w:color="auto"/>
              <w:right w:val="single" w:sz="4" w:space="0" w:color="auto"/>
            </w:tcBorders>
            <w:shd w:val="clear" w:color="auto" w:fill="auto"/>
            <w:vAlign w:val="center"/>
            <w:hideMark/>
          </w:tcPr>
          <w:p w14:paraId="330BEF80" w14:textId="77777777" w:rsidR="008219D5" w:rsidRPr="00092ED7" w:rsidRDefault="008219D5" w:rsidP="008219D5">
            <w:pPr>
              <w:spacing w:after="0"/>
              <w:jc w:val="left"/>
              <w:rPr>
                <w:rFonts w:eastAsia="Times New Roman" w:cs="Times New Roman"/>
                <w:b/>
                <w:color w:val="000000"/>
                <w:sz w:val="20"/>
                <w:szCs w:val="20"/>
                <w:lang w:val="sr-Cyrl-CS" w:eastAsia="sr-Latn-RS"/>
              </w:rPr>
            </w:pPr>
            <w:r w:rsidRPr="00092ED7">
              <w:rPr>
                <w:rFonts w:eastAsia="Times New Roman" w:cs="Times New Roman"/>
                <w:b/>
                <w:color w:val="000000"/>
                <w:sz w:val="20"/>
                <w:szCs w:val="20"/>
                <w:lang w:val="sr-Cyrl-CS" w:eastAsia="sr-Latn-RS"/>
              </w:rPr>
              <w:t> </w:t>
            </w:r>
          </w:p>
        </w:tc>
        <w:tc>
          <w:tcPr>
            <w:tcW w:w="815" w:type="dxa"/>
            <w:tcBorders>
              <w:top w:val="nil"/>
              <w:left w:val="nil"/>
              <w:bottom w:val="single" w:sz="4" w:space="0" w:color="auto"/>
              <w:right w:val="single" w:sz="4" w:space="0" w:color="auto"/>
            </w:tcBorders>
            <w:shd w:val="clear" w:color="auto" w:fill="auto"/>
            <w:vAlign w:val="center"/>
            <w:hideMark/>
          </w:tcPr>
          <w:p w14:paraId="6BEFD15F" w14:textId="77777777" w:rsidR="008219D5" w:rsidRPr="00092ED7" w:rsidRDefault="008219D5" w:rsidP="008219D5">
            <w:pPr>
              <w:spacing w:after="0"/>
              <w:jc w:val="left"/>
              <w:rPr>
                <w:rFonts w:eastAsia="Times New Roman" w:cs="Times New Roman"/>
                <w:b/>
                <w:sz w:val="20"/>
                <w:szCs w:val="20"/>
                <w:lang w:val="sr-Cyrl-CS" w:eastAsia="sr-Latn-RS"/>
              </w:rPr>
            </w:pPr>
            <w:r w:rsidRPr="00092ED7">
              <w:rPr>
                <w:rFonts w:eastAsia="Times New Roman" w:cs="Times New Roman"/>
                <w:b/>
                <w:sz w:val="20"/>
                <w:szCs w:val="20"/>
                <w:lang w:val="sr-Cyrl-CS" w:eastAsia="sr-Latn-RS"/>
              </w:rPr>
              <w:t> </w:t>
            </w:r>
          </w:p>
        </w:tc>
        <w:tc>
          <w:tcPr>
            <w:tcW w:w="849" w:type="dxa"/>
            <w:tcBorders>
              <w:top w:val="nil"/>
              <w:left w:val="nil"/>
              <w:bottom w:val="single" w:sz="4" w:space="0" w:color="auto"/>
              <w:right w:val="single" w:sz="4" w:space="0" w:color="auto"/>
            </w:tcBorders>
            <w:shd w:val="clear" w:color="auto" w:fill="auto"/>
            <w:vAlign w:val="center"/>
            <w:hideMark/>
          </w:tcPr>
          <w:p w14:paraId="6A401B7A" w14:textId="77777777" w:rsidR="008219D5" w:rsidRPr="00092ED7" w:rsidRDefault="008219D5" w:rsidP="008219D5">
            <w:pPr>
              <w:spacing w:after="0"/>
              <w:jc w:val="left"/>
              <w:rPr>
                <w:rFonts w:eastAsia="Times New Roman" w:cs="Times New Roman"/>
                <w:b/>
                <w:sz w:val="20"/>
                <w:szCs w:val="20"/>
                <w:lang w:val="sr-Cyrl-CS" w:eastAsia="sr-Latn-RS"/>
              </w:rPr>
            </w:pPr>
            <w:r w:rsidRPr="00092ED7">
              <w:rPr>
                <w:rFonts w:eastAsia="Times New Roman" w:cs="Times New Roman"/>
                <w:b/>
                <w:sz w:val="20"/>
                <w:szCs w:val="20"/>
                <w:lang w:val="sr-Cyrl-CS" w:eastAsia="sr-Latn-RS"/>
              </w:rPr>
              <w:t> </w:t>
            </w:r>
          </w:p>
        </w:tc>
        <w:tc>
          <w:tcPr>
            <w:tcW w:w="766" w:type="dxa"/>
            <w:tcBorders>
              <w:top w:val="nil"/>
              <w:left w:val="nil"/>
              <w:bottom w:val="single" w:sz="4" w:space="0" w:color="auto"/>
              <w:right w:val="single" w:sz="4" w:space="0" w:color="auto"/>
            </w:tcBorders>
            <w:shd w:val="clear" w:color="auto" w:fill="auto"/>
            <w:vAlign w:val="center"/>
            <w:hideMark/>
          </w:tcPr>
          <w:p w14:paraId="386AFBCD" w14:textId="77777777" w:rsidR="008219D5" w:rsidRPr="00092ED7" w:rsidRDefault="008219D5" w:rsidP="008219D5">
            <w:pPr>
              <w:spacing w:after="0"/>
              <w:jc w:val="left"/>
              <w:rPr>
                <w:rFonts w:eastAsia="Times New Roman" w:cs="Times New Roman"/>
                <w:b/>
                <w:sz w:val="20"/>
                <w:szCs w:val="20"/>
                <w:lang w:val="sr-Cyrl-CS" w:eastAsia="sr-Latn-RS"/>
              </w:rPr>
            </w:pPr>
            <w:r w:rsidRPr="00092ED7">
              <w:rPr>
                <w:rFonts w:eastAsia="Times New Roman" w:cs="Times New Roman"/>
                <w:b/>
                <w:sz w:val="20"/>
                <w:szCs w:val="20"/>
                <w:lang w:val="sr-Cyrl-CS" w:eastAsia="sr-Latn-RS"/>
              </w:rPr>
              <w:t> </w:t>
            </w:r>
          </w:p>
        </w:tc>
        <w:tc>
          <w:tcPr>
            <w:tcW w:w="843" w:type="dxa"/>
            <w:tcBorders>
              <w:top w:val="nil"/>
              <w:left w:val="nil"/>
              <w:bottom w:val="single" w:sz="4" w:space="0" w:color="auto"/>
              <w:right w:val="single" w:sz="4" w:space="0" w:color="auto"/>
            </w:tcBorders>
            <w:shd w:val="clear" w:color="auto" w:fill="auto"/>
            <w:vAlign w:val="center"/>
            <w:hideMark/>
          </w:tcPr>
          <w:p w14:paraId="7B4AB133" w14:textId="77777777" w:rsidR="008219D5" w:rsidRPr="00092ED7" w:rsidRDefault="008219D5" w:rsidP="008219D5">
            <w:pPr>
              <w:spacing w:after="0"/>
              <w:jc w:val="left"/>
              <w:rPr>
                <w:rFonts w:eastAsia="Times New Roman" w:cs="Times New Roman"/>
                <w:b/>
                <w:sz w:val="20"/>
                <w:szCs w:val="20"/>
                <w:lang w:val="sr-Cyrl-CS" w:eastAsia="sr-Latn-RS"/>
              </w:rPr>
            </w:pPr>
            <w:r w:rsidRPr="00092ED7">
              <w:rPr>
                <w:rFonts w:eastAsia="Times New Roman" w:cs="Times New Roman"/>
                <w:b/>
                <w:sz w:val="20"/>
                <w:szCs w:val="20"/>
                <w:lang w:val="sr-Cyrl-CS" w:eastAsia="sr-Latn-RS"/>
              </w:rPr>
              <w:t> </w:t>
            </w:r>
          </w:p>
        </w:tc>
      </w:tr>
      <w:tr w:rsidR="008219D5" w:rsidRPr="00092ED7" w14:paraId="35405AB8" w14:textId="77777777" w:rsidTr="00053B2B">
        <w:trPr>
          <w:trHeight w:val="276"/>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01CB7646" w14:textId="77777777" w:rsidR="008219D5" w:rsidRPr="00092ED7" w:rsidRDefault="008219D5" w:rsidP="00734F11">
            <w:pPr>
              <w:spacing w:after="0"/>
              <w:ind w:firstLineChars="17" w:firstLine="34"/>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20. Удео у бруто додатој вредности</w:t>
            </w:r>
          </w:p>
        </w:tc>
        <w:tc>
          <w:tcPr>
            <w:tcW w:w="1261" w:type="dxa"/>
            <w:tcBorders>
              <w:top w:val="nil"/>
              <w:left w:val="nil"/>
              <w:bottom w:val="single" w:sz="4" w:space="0" w:color="auto"/>
              <w:right w:val="single" w:sz="4" w:space="0" w:color="auto"/>
            </w:tcBorders>
            <w:shd w:val="clear" w:color="auto" w:fill="auto"/>
            <w:vAlign w:val="center"/>
            <w:hideMark/>
          </w:tcPr>
          <w:p w14:paraId="75850683" w14:textId="77777777" w:rsidR="008219D5" w:rsidRPr="00092ED7" w:rsidRDefault="008219D5" w:rsidP="008219D5">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EUROSTAT</w:t>
            </w:r>
          </w:p>
        </w:tc>
        <w:tc>
          <w:tcPr>
            <w:tcW w:w="815" w:type="dxa"/>
            <w:tcBorders>
              <w:top w:val="nil"/>
              <w:left w:val="nil"/>
              <w:bottom w:val="single" w:sz="4" w:space="0" w:color="auto"/>
              <w:right w:val="single" w:sz="4" w:space="0" w:color="auto"/>
            </w:tcBorders>
            <w:shd w:val="clear" w:color="auto" w:fill="auto"/>
            <w:vAlign w:val="center"/>
            <w:hideMark/>
          </w:tcPr>
          <w:p w14:paraId="0B57BA72"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25,4</w:t>
            </w:r>
          </w:p>
        </w:tc>
        <w:tc>
          <w:tcPr>
            <w:tcW w:w="849" w:type="dxa"/>
            <w:tcBorders>
              <w:top w:val="nil"/>
              <w:left w:val="nil"/>
              <w:bottom w:val="single" w:sz="4" w:space="0" w:color="auto"/>
              <w:right w:val="single" w:sz="4" w:space="0" w:color="auto"/>
            </w:tcBorders>
            <w:shd w:val="clear" w:color="auto" w:fill="auto"/>
            <w:vAlign w:val="center"/>
            <w:hideMark/>
          </w:tcPr>
          <w:p w14:paraId="3F984C5B"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24,0</w:t>
            </w:r>
          </w:p>
        </w:tc>
        <w:tc>
          <w:tcPr>
            <w:tcW w:w="766" w:type="dxa"/>
            <w:tcBorders>
              <w:top w:val="nil"/>
              <w:left w:val="nil"/>
              <w:bottom w:val="single" w:sz="4" w:space="0" w:color="auto"/>
              <w:right w:val="single" w:sz="4" w:space="0" w:color="auto"/>
            </w:tcBorders>
            <w:shd w:val="clear" w:color="auto" w:fill="auto"/>
            <w:vAlign w:val="center"/>
            <w:hideMark/>
          </w:tcPr>
          <w:p w14:paraId="50B60797"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23,4</w:t>
            </w:r>
          </w:p>
        </w:tc>
        <w:tc>
          <w:tcPr>
            <w:tcW w:w="843" w:type="dxa"/>
            <w:tcBorders>
              <w:top w:val="nil"/>
              <w:left w:val="nil"/>
              <w:bottom w:val="single" w:sz="4" w:space="0" w:color="auto"/>
              <w:right w:val="single" w:sz="4" w:space="0" w:color="auto"/>
            </w:tcBorders>
            <w:shd w:val="clear" w:color="auto" w:fill="auto"/>
            <w:vAlign w:val="center"/>
            <w:hideMark/>
          </w:tcPr>
          <w:p w14:paraId="724DFF19"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23,0</w:t>
            </w:r>
          </w:p>
        </w:tc>
      </w:tr>
      <w:tr w:rsidR="008219D5" w:rsidRPr="00092ED7" w14:paraId="443B9AE6" w14:textId="77777777" w:rsidTr="00053B2B">
        <w:trPr>
          <w:trHeight w:val="276"/>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00E50968" w14:textId="77777777" w:rsidR="008219D5" w:rsidRPr="00092ED7" w:rsidRDefault="008219D5" w:rsidP="00734F11">
            <w:pPr>
              <w:spacing w:after="0"/>
              <w:ind w:firstLineChars="17" w:firstLine="34"/>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21. Допринос запошљавању (% од укупног броја запослених)</w:t>
            </w:r>
          </w:p>
        </w:tc>
        <w:tc>
          <w:tcPr>
            <w:tcW w:w="1261" w:type="dxa"/>
            <w:tcBorders>
              <w:top w:val="nil"/>
              <w:left w:val="nil"/>
              <w:bottom w:val="single" w:sz="4" w:space="0" w:color="auto"/>
              <w:right w:val="single" w:sz="4" w:space="0" w:color="auto"/>
            </w:tcBorders>
            <w:shd w:val="clear" w:color="auto" w:fill="auto"/>
            <w:vAlign w:val="center"/>
            <w:hideMark/>
          </w:tcPr>
          <w:p w14:paraId="6DA695F9" w14:textId="77777777" w:rsidR="008219D5" w:rsidRPr="00092ED7" w:rsidRDefault="008219D5" w:rsidP="008219D5">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WB</w:t>
            </w:r>
          </w:p>
        </w:tc>
        <w:tc>
          <w:tcPr>
            <w:tcW w:w="815" w:type="dxa"/>
            <w:tcBorders>
              <w:top w:val="nil"/>
              <w:left w:val="nil"/>
              <w:bottom w:val="single" w:sz="4" w:space="0" w:color="auto"/>
              <w:right w:val="single" w:sz="4" w:space="0" w:color="auto"/>
            </w:tcBorders>
            <w:shd w:val="clear" w:color="auto" w:fill="auto"/>
            <w:vAlign w:val="center"/>
            <w:hideMark/>
          </w:tcPr>
          <w:p w14:paraId="2AD45E55"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22,5</w:t>
            </w:r>
          </w:p>
        </w:tc>
        <w:tc>
          <w:tcPr>
            <w:tcW w:w="849" w:type="dxa"/>
            <w:tcBorders>
              <w:top w:val="nil"/>
              <w:left w:val="nil"/>
              <w:bottom w:val="single" w:sz="4" w:space="0" w:color="auto"/>
              <w:right w:val="single" w:sz="4" w:space="0" w:color="auto"/>
            </w:tcBorders>
            <w:shd w:val="clear" w:color="auto" w:fill="auto"/>
            <w:vAlign w:val="center"/>
            <w:hideMark/>
          </w:tcPr>
          <w:p w14:paraId="30339F0C"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22,6</w:t>
            </w:r>
          </w:p>
        </w:tc>
        <w:tc>
          <w:tcPr>
            <w:tcW w:w="766" w:type="dxa"/>
            <w:tcBorders>
              <w:top w:val="nil"/>
              <w:left w:val="nil"/>
              <w:bottom w:val="single" w:sz="4" w:space="0" w:color="auto"/>
              <w:right w:val="single" w:sz="4" w:space="0" w:color="auto"/>
            </w:tcBorders>
            <w:shd w:val="clear" w:color="auto" w:fill="auto"/>
            <w:vAlign w:val="center"/>
            <w:hideMark/>
          </w:tcPr>
          <w:p w14:paraId="476963BA"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22,6</w:t>
            </w:r>
          </w:p>
        </w:tc>
        <w:tc>
          <w:tcPr>
            <w:tcW w:w="843" w:type="dxa"/>
            <w:tcBorders>
              <w:top w:val="nil"/>
              <w:left w:val="nil"/>
              <w:bottom w:val="single" w:sz="4" w:space="0" w:color="auto"/>
              <w:right w:val="single" w:sz="4" w:space="0" w:color="auto"/>
            </w:tcBorders>
            <w:shd w:val="clear" w:color="auto" w:fill="auto"/>
            <w:vAlign w:val="center"/>
            <w:hideMark/>
          </w:tcPr>
          <w:p w14:paraId="3123C4A4" w14:textId="77777777" w:rsidR="008219D5" w:rsidRPr="00092ED7" w:rsidRDefault="008219D5" w:rsidP="008219D5">
            <w:pPr>
              <w:spacing w:after="0"/>
              <w:jc w:val="left"/>
              <w:rPr>
                <w:rFonts w:eastAsia="Times New Roman" w:cs="Times New Roman"/>
                <w:sz w:val="20"/>
                <w:szCs w:val="20"/>
                <w:lang w:val="sr-Cyrl-CS" w:eastAsia="sr-Latn-RS"/>
              </w:rPr>
            </w:pPr>
            <w:r w:rsidRPr="00092ED7">
              <w:rPr>
                <w:rFonts w:eastAsia="Times New Roman" w:cs="Times New Roman"/>
                <w:sz w:val="20"/>
                <w:szCs w:val="20"/>
                <w:lang w:val="sr-Cyrl-CS" w:eastAsia="sr-Latn-RS"/>
              </w:rPr>
              <w:t> </w:t>
            </w:r>
          </w:p>
        </w:tc>
      </w:tr>
      <w:tr w:rsidR="008219D5" w:rsidRPr="00092ED7" w14:paraId="331CFC14" w14:textId="77777777" w:rsidTr="00053B2B">
        <w:trPr>
          <w:trHeight w:val="276"/>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3DB242CB" w14:textId="77777777" w:rsidR="008219D5" w:rsidRPr="00092ED7" w:rsidRDefault="008219D5" w:rsidP="00734F11">
            <w:pPr>
              <w:spacing w:after="0"/>
              <w:ind w:firstLine="601"/>
              <w:jc w:val="left"/>
              <w:rPr>
                <w:rFonts w:eastAsia="Times New Roman" w:cs="Times New Roman"/>
                <w:b/>
                <w:i/>
                <w:color w:val="000000"/>
                <w:sz w:val="20"/>
                <w:szCs w:val="20"/>
                <w:lang w:val="sr-Cyrl-CS" w:eastAsia="sr-Latn-RS"/>
              </w:rPr>
            </w:pPr>
            <w:r w:rsidRPr="00092ED7">
              <w:rPr>
                <w:rFonts w:eastAsia="Times New Roman" w:cs="Times New Roman"/>
                <w:b/>
                <w:i/>
                <w:color w:val="000000"/>
                <w:sz w:val="20"/>
                <w:szCs w:val="20"/>
                <w:lang w:val="sr-Cyrl-CS" w:eastAsia="sr-Latn-RS"/>
              </w:rPr>
              <w:t>Услуге</w:t>
            </w:r>
          </w:p>
        </w:tc>
        <w:tc>
          <w:tcPr>
            <w:tcW w:w="1261" w:type="dxa"/>
            <w:tcBorders>
              <w:top w:val="nil"/>
              <w:left w:val="nil"/>
              <w:bottom w:val="single" w:sz="4" w:space="0" w:color="auto"/>
              <w:right w:val="single" w:sz="4" w:space="0" w:color="auto"/>
            </w:tcBorders>
            <w:shd w:val="clear" w:color="auto" w:fill="auto"/>
            <w:vAlign w:val="center"/>
            <w:hideMark/>
          </w:tcPr>
          <w:p w14:paraId="7AB94C65" w14:textId="77777777" w:rsidR="008219D5" w:rsidRPr="00092ED7" w:rsidRDefault="008219D5" w:rsidP="008219D5">
            <w:pPr>
              <w:spacing w:after="0"/>
              <w:jc w:val="left"/>
              <w:rPr>
                <w:rFonts w:eastAsia="Times New Roman" w:cs="Times New Roman"/>
                <w:b/>
                <w:color w:val="000000"/>
                <w:sz w:val="20"/>
                <w:szCs w:val="20"/>
                <w:lang w:val="sr-Cyrl-CS" w:eastAsia="sr-Latn-RS"/>
              </w:rPr>
            </w:pPr>
            <w:r w:rsidRPr="00092ED7">
              <w:rPr>
                <w:rFonts w:eastAsia="Times New Roman" w:cs="Times New Roman"/>
                <w:b/>
                <w:color w:val="000000"/>
                <w:sz w:val="20"/>
                <w:szCs w:val="20"/>
                <w:lang w:val="sr-Cyrl-CS" w:eastAsia="sr-Latn-RS"/>
              </w:rPr>
              <w:t> </w:t>
            </w:r>
          </w:p>
        </w:tc>
        <w:tc>
          <w:tcPr>
            <w:tcW w:w="815" w:type="dxa"/>
            <w:tcBorders>
              <w:top w:val="nil"/>
              <w:left w:val="nil"/>
              <w:bottom w:val="single" w:sz="4" w:space="0" w:color="auto"/>
              <w:right w:val="single" w:sz="4" w:space="0" w:color="auto"/>
            </w:tcBorders>
            <w:shd w:val="clear" w:color="auto" w:fill="auto"/>
            <w:vAlign w:val="center"/>
            <w:hideMark/>
          </w:tcPr>
          <w:p w14:paraId="31B4B90D" w14:textId="77777777" w:rsidR="008219D5" w:rsidRPr="00092ED7" w:rsidRDefault="008219D5" w:rsidP="008219D5">
            <w:pPr>
              <w:spacing w:after="0"/>
              <w:jc w:val="left"/>
              <w:rPr>
                <w:rFonts w:eastAsia="Times New Roman" w:cs="Times New Roman"/>
                <w:b/>
                <w:sz w:val="20"/>
                <w:szCs w:val="20"/>
                <w:lang w:val="sr-Cyrl-CS" w:eastAsia="sr-Latn-RS"/>
              </w:rPr>
            </w:pPr>
            <w:r w:rsidRPr="00092ED7">
              <w:rPr>
                <w:rFonts w:eastAsia="Times New Roman" w:cs="Times New Roman"/>
                <w:b/>
                <w:sz w:val="20"/>
                <w:szCs w:val="20"/>
                <w:lang w:val="sr-Cyrl-CS" w:eastAsia="sr-Latn-RS"/>
              </w:rPr>
              <w:t> </w:t>
            </w:r>
          </w:p>
        </w:tc>
        <w:tc>
          <w:tcPr>
            <w:tcW w:w="849" w:type="dxa"/>
            <w:tcBorders>
              <w:top w:val="nil"/>
              <w:left w:val="nil"/>
              <w:bottom w:val="single" w:sz="4" w:space="0" w:color="auto"/>
              <w:right w:val="single" w:sz="4" w:space="0" w:color="auto"/>
            </w:tcBorders>
            <w:shd w:val="clear" w:color="auto" w:fill="auto"/>
            <w:vAlign w:val="center"/>
            <w:hideMark/>
          </w:tcPr>
          <w:p w14:paraId="7D2BF306" w14:textId="77777777" w:rsidR="008219D5" w:rsidRPr="00092ED7" w:rsidRDefault="008219D5" w:rsidP="008219D5">
            <w:pPr>
              <w:spacing w:after="0"/>
              <w:jc w:val="left"/>
              <w:rPr>
                <w:rFonts w:eastAsia="Times New Roman" w:cs="Times New Roman"/>
                <w:b/>
                <w:sz w:val="20"/>
                <w:szCs w:val="20"/>
                <w:lang w:val="sr-Cyrl-CS" w:eastAsia="sr-Latn-RS"/>
              </w:rPr>
            </w:pPr>
            <w:r w:rsidRPr="00092ED7">
              <w:rPr>
                <w:rFonts w:eastAsia="Times New Roman" w:cs="Times New Roman"/>
                <w:b/>
                <w:sz w:val="20"/>
                <w:szCs w:val="20"/>
                <w:lang w:val="sr-Cyrl-CS" w:eastAsia="sr-Latn-RS"/>
              </w:rPr>
              <w:t> </w:t>
            </w:r>
          </w:p>
        </w:tc>
        <w:tc>
          <w:tcPr>
            <w:tcW w:w="766" w:type="dxa"/>
            <w:tcBorders>
              <w:top w:val="nil"/>
              <w:left w:val="nil"/>
              <w:bottom w:val="single" w:sz="4" w:space="0" w:color="auto"/>
              <w:right w:val="single" w:sz="4" w:space="0" w:color="auto"/>
            </w:tcBorders>
            <w:shd w:val="clear" w:color="auto" w:fill="auto"/>
            <w:vAlign w:val="center"/>
            <w:hideMark/>
          </w:tcPr>
          <w:p w14:paraId="1A171C14" w14:textId="77777777" w:rsidR="008219D5" w:rsidRPr="00092ED7" w:rsidRDefault="008219D5" w:rsidP="008219D5">
            <w:pPr>
              <w:spacing w:after="0"/>
              <w:jc w:val="left"/>
              <w:rPr>
                <w:rFonts w:eastAsia="Times New Roman" w:cs="Times New Roman"/>
                <w:b/>
                <w:sz w:val="20"/>
                <w:szCs w:val="20"/>
                <w:lang w:val="sr-Cyrl-CS" w:eastAsia="sr-Latn-RS"/>
              </w:rPr>
            </w:pPr>
            <w:r w:rsidRPr="00092ED7">
              <w:rPr>
                <w:rFonts w:eastAsia="Times New Roman" w:cs="Times New Roman"/>
                <w:b/>
                <w:sz w:val="20"/>
                <w:szCs w:val="20"/>
                <w:lang w:val="sr-Cyrl-CS" w:eastAsia="sr-Latn-RS"/>
              </w:rPr>
              <w:t> </w:t>
            </w:r>
          </w:p>
        </w:tc>
        <w:tc>
          <w:tcPr>
            <w:tcW w:w="843" w:type="dxa"/>
            <w:tcBorders>
              <w:top w:val="nil"/>
              <w:left w:val="nil"/>
              <w:bottom w:val="single" w:sz="4" w:space="0" w:color="auto"/>
              <w:right w:val="single" w:sz="4" w:space="0" w:color="auto"/>
            </w:tcBorders>
            <w:shd w:val="clear" w:color="auto" w:fill="auto"/>
            <w:vAlign w:val="center"/>
            <w:hideMark/>
          </w:tcPr>
          <w:p w14:paraId="039CD827" w14:textId="77777777" w:rsidR="008219D5" w:rsidRPr="00092ED7" w:rsidRDefault="008219D5" w:rsidP="008219D5">
            <w:pPr>
              <w:spacing w:after="0"/>
              <w:jc w:val="left"/>
              <w:rPr>
                <w:rFonts w:eastAsia="Times New Roman" w:cs="Times New Roman"/>
                <w:b/>
                <w:sz w:val="20"/>
                <w:szCs w:val="20"/>
                <w:lang w:val="sr-Cyrl-CS" w:eastAsia="sr-Latn-RS"/>
              </w:rPr>
            </w:pPr>
            <w:r w:rsidRPr="00092ED7">
              <w:rPr>
                <w:rFonts w:eastAsia="Times New Roman" w:cs="Times New Roman"/>
                <w:b/>
                <w:sz w:val="20"/>
                <w:szCs w:val="20"/>
                <w:lang w:val="sr-Cyrl-CS" w:eastAsia="sr-Latn-RS"/>
              </w:rPr>
              <w:t> </w:t>
            </w:r>
          </w:p>
        </w:tc>
      </w:tr>
      <w:tr w:rsidR="008219D5" w:rsidRPr="00092ED7" w14:paraId="7E4EFF7C" w14:textId="77777777" w:rsidTr="00053B2B">
        <w:trPr>
          <w:trHeight w:val="276"/>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79FF4FAC" w14:textId="77777777" w:rsidR="008219D5" w:rsidRPr="00092ED7" w:rsidRDefault="008219D5" w:rsidP="00734F11">
            <w:pPr>
              <w:spacing w:after="0"/>
              <w:ind w:firstLineChars="17" w:firstLine="34"/>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22. Удео у бруто додатој вредности</w:t>
            </w:r>
          </w:p>
        </w:tc>
        <w:tc>
          <w:tcPr>
            <w:tcW w:w="1261" w:type="dxa"/>
            <w:tcBorders>
              <w:top w:val="nil"/>
              <w:left w:val="nil"/>
              <w:bottom w:val="single" w:sz="4" w:space="0" w:color="auto"/>
              <w:right w:val="single" w:sz="4" w:space="0" w:color="auto"/>
            </w:tcBorders>
            <w:shd w:val="clear" w:color="auto" w:fill="auto"/>
            <w:vAlign w:val="center"/>
            <w:hideMark/>
          </w:tcPr>
          <w:p w14:paraId="52A07378" w14:textId="77777777" w:rsidR="008219D5" w:rsidRPr="00092ED7" w:rsidRDefault="008219D5" w:rsidP="008219D5">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EUROSTAT</w:t>
            </w:r>
          </w:p>
        </w:tc>
        <w:tc>
          <w:tcPr>
            <w:tcW w:w="815" w:type="dxa"/>
            <w:tcBorders>
              <w:top w:val="nil"/>
              <w:left w:val="nil"/>
              <w:bottom w:val="single" w:sz="4" w:space="0" w:color="auto"/>
              <w:right w:val="single" w:sz="4" w:space="0" w:color="auto"/>
            </w:tcBorders>
            <w:shd w:val="clear" w:color="auto" w:fill="auto"/>
            <w:vAlign w:val="center"/>
            <w:hideMark/>
          </w:tcPr>
          <w:p w14:paraId="707A9157"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61,5</w:t>
            </w:r>
          </w:p>
        </w:tc>
        <w:tc>
          <w:tcPr>
            <w:tcW w:w="849" w:type="dxa"/>
            <w:tcBorders>
              <w:top w:val="nil"/>
              <w:left w:val="nil"/>
              <w:bottom w:val="single" w:sz="4" w:space="0" w:color="auto"/>
              <w:right w:val="single" w:sz="4" w:space="0" w:color="auto"/>
            </w:tcBorders>
            <w:shd w:val="clear" w:color="auto" w:fill="auto"/>
            <w:vAlign w:val="center"/>
            <w:hideMark/>
          </w:tcPr>
          <w:p w14:paraId="2926B323"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61,9</w:t>
            </w:r>
          </w:p>
        </w:tc>
        <w:tc>
          <w:tcPr>
            <w:tcW w:w="766" w:type="dxa"/>
            <w:tcBorders>
              <w:top w:val="nil"/>
              <w:left w:val="nil"/>
              <w:bottom w:val="single" w:sz="4" w:space="0" w:color="auto"/>
              <w:right w:val="single" w:sz="4" w:space="0" w:color="auto"/>
            </w:tcBorders>
            <w:shd w:val="clear" w:color="auto" w:fill="auto"/>
            <w:vAlign w:val="center"/>
            <w:hideMark/>
          </w:tcPr>
          <w:p w14:paraId="4CB31B5C"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62,4</w:t>
            </w:r>
          </w:p>
        </w:tc>
        <w:tc>
          <w:tcPr>
            <w:tcW w:w="843" w:type="dxa"/>
            <w:tcBorders>
              <w:top w:val="nil"/>
              <w:left w:val="nil"/>
              <w:bottom w:val="single" w:sz="4" w:space="0" w:color="auto"/>
              <w:right w:val="single" w:sz="4" w:space="0" w:color="auto"/>
            </w:tcBorders>
            <w:shd w:val="clear" w:color="auto" w:fill="auto"/>
            <w:vAlign w:val="center"/>
            <w:hideMark/>
          </w:tcPr>
          <w:p w14:paraId="0E2D6381"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 </w:t>
            </w:r>
          </w:p>
        </w:tc>
      </w:tr>
      <w:tr w:rsidR="008219D5" w:rsidRPr="00092ED7" w14:paraId="47D65263" w14:textId="77777777" w:rsidTr="00053B2B">
        <w:trPr>
          <w:trHeight w:val="276"/>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37AC3E05" w14:textId="77777777" w:rsidR="008219D5" w:rsidRPr="00092ED7" w:rsidRDefault="008219D5" w:rsidP="00734F11">
            <w:pPr>
              <w:spacing w:after="0"/>
              <w:ind w:firstLineChars="17" w:firstLine="34"/>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23. Допринос запошљавању (% од укупног броја запослених)</w:t>
            </w:r>
          </w:p>
        </w:tc>
        <w:tc>
          <w:tcPr>
            <w:tcW w:w="1261" w:type="dxa"/>
            <w:tcBorders>
              <w:top w:val="nil"/>
              <w:left w:val="nil"/>
              <w:bottom w:val="single" w:sz="4" w:space="0" w:color="auto"/>
              <w:right w:val="single" w:sz="4" w:space="0" w:color="auto"/>
            </w:tcBorders>
            <w:shd w:val="clear" w:color="auto" w:fill="auto"/>
            <w:vAlign w:val="center"/>
            <w:hideMark/>
          </w:tcPr>
          <w:p w14:paraId="65D416F6" w14:textId="77777777" w:rsidR="008219D5" w:rsidRPr="00092ED7" w:rsidRDefault="008219D5" w:rsidP="008219D5">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WB</w:t>
            </w:r>
          </w:p>
        </w:tc>
        <w:tc>
          <w:tcPr>
            <w:tcW w:w="815" w:type="dxa"/>
            <w:tcBorders>
              <w:top w:val="nil"/>
              <w:left w:val="nil"/>
              <w:bottom w:val="single" w:sz="4" w:space="0" w:color="auto"/>
              <w:right w:val="single" w:sz="4" w:space="0" w:color="auto"/>
            </w:tcBorders>
            <w:shd w:val="clear" w:color="auto" w:fill="auto"/>
            <w:vAlign w:val="center"/>
            <w:hideMark/>
          </w:tcPr>
          <w:p w14:paraId="1481D0B5"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57,2</w:t>
            </w:r>
          </w:p>
        </w:tc>
        <w:tc>
          <w:tcPr>
            <w:tcW w:w="849" w:type="dxa"/>
            <w:tcBorders>
              <w:top w:val="nil"/>
              <w:left w:val="nil"/>
              <w:bottom w:val="single" w:sz="4" w:space="0" w:color="auto"/>
              <w:right w:val="single" w:sz="4" w:space="0" w:color="auto"/>
            </w:tcBorders>
            <w:shd w:val="clear" w:color="auto" w:fill="auto"/>
            <w:vAlign w:val="center"/>
            <w:hideMark/>
          </w:tcPr>
          <w:p w14:paraId="53307476"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57,0</w:t>
            </w:r>
          </w:p>
        </w:tc>
        <w:tc>
          <w:tcPr>
            <w:tcW w:w="766" w:type="dxa"/>
            <w:tcBorders>
              <w:top w:val="nil"/>
              <w:left w:val="nil"/>
              <w:bottom w:val="single" w:sz="4" w:space="0" w:color="auto"/>
              <w:right w:val="single" w:sz="4" w:space="0" w:color="auto"/>
            </w:tcBorders>
            <w:shd w:val="clear" w:color="auto" w:fill="auto"/>
            <w:vAlign w:val="center"/>
            <w:hideMark/>
          </w:tcPr>
          <w:p w14:paraId="04F0C25D" w14:textId="77777777" w:rsidR="008219D5" w:rsidRPr="00092ED7" w:rsidRDefault="008219D5" w:rsidP="004E2954">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 </w:t>
            </w:r>
          </w:p>
        </w:tc>
        <w:tc>
          <w:tcPr>
            <w:tcW w:w="843" w:type="dxa"/>
            <w:tcBorders>
              <w:top w:val="nil"/>
              <w:left w:val="nil"/>
              <w:bottom w:val="single" w:sz="4" w:space="0" w:color="auto"/>
              <w:right w:val="single" w:sz="4" w:space="0" w:color="auto"/>
            </w:tcBorders>
            <w:shd w:val="clear" w:color="auto" w:fill="auto"/>
            <w:vAlign w:val="center"/>
            <w:hideMark/>
          </w:tcPr>
          <w:p w14:paraId="235D280D" w14:textId="77777777" w:rsidR="008219D5" w:rsidRPr="00092ED7" w:rsidRDefault="008219D5" w:rsidP="004E2954">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 </w:t>
            </w:r>
          </w:p>
        </w:tc>
      </w:tr>
      <w:tr w:rsidR="008219D5" w:rsidRPr="00092ED7" w14:paraId="39D6F673" w14:textId="77777777" w:rsidTr="00053B2B">
        <w:trPr>
          <w:trHeight w:val="276"/>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04238DBD" w14:textId="77777777" w:rsidR="008219D5" w:rsidRPr="00092ED7" w:rsidRDefault="008219D5" w:rsidP="00734F11">
            <w:pPr>
              <w:spacing w:after="0"/>
              <w:ind w:firstLine="601"/>
              <w:jc w:val="left"/>
              <w:rPr>
                <w:rFonts w:eastAsia="Times New Roman" w:cs="Times New Roman"/>
                <w:b/>
                <w:i/>
                <w:color w:val="000000"/>
                <w:sz w:val="20"/>
                <w:szCs w:val="20"/>
                <w:lang w:val="sr-Cyrl-CS" w:eastAsia="sr-Latn-RS"/>
              </w:rPr>
            </w:pPr>
            <w:r w:rsidRPr="00092ED7">
              <w:rPr>
                <w:rFonts w:eastAsia="Times New Roman" w:cs="Times New Roman"/>
                <w:b/>
                <w:i/>
                <w:color w:val="000000"/>
                <w:sz w:val="20"/>
                <w:szCs w:val="20"/>
                <w:lang w:val="sr-Cyrl-CS" w:eastAsia="sr-Latn-RS"/>
              </w:rPr>
              <w:t>Пословно окружење</w:t>
            </w:r>
          </w:p>
        </w:tc>
        <w:tc>
          <w:tcPr>
            <w:tcW w:w="1261" w:type="dxa"/>
            <w:tcBorders>
              <w:top w:val="nil"/>
              <w:left w:val="nil"/>
              <w:bottom w:val="single" w:sz="4" w:space="0" w:color="auto"/>
              <w:right w:val="single" w:sz="4" w:space="0" w:color="auto"/>
            </w:tcBorders>
            <w:shd w:val="clear" w:color="auto" w:fill="auto"/>
            <w:vAlign w:val="center"/>
            <w:hideMark/>
          </w:tcPr>
          <w:p w14:paraId="6301431B" w14:textId="77777777" w:rsidR="008219D5" w:rsidRPr="00092ED7" w:rsidRDefault="008219D5" w:rsidP="008219D5">
            <w:pPr>
              <w:spacing w:after="0"/>
              <w:jc w:val="left"/>
              <w:rPr>
                <w:rFonts w:eastAsia="Times New Roman" w:cs="Times New Roman"/>
                <w:b/>
                <w:color w:val="000000"/>
                <w:sz w:val="20"/>
                <w:szCs w:val="20"/>
                <w:lang w:val="sr-Cyrl-CS" w:eastAsia="sr-Latn-RS"/>
              </w:rPr>
            </w:pPr>
            <w:r w:rsidRPr="00092ED7">
              <w:rPr>
                <w:rFonts w:eastAsia="Times New Roman" w:cs="Times New Roman"/>
                <w:b/>
                <w:color w:val="000000"/>
                <w:sz w:val="20"/>
                <w:szCs w:val="20"/>
                <w:lang w:val="sr-Cyrl-CS" w:eastAsia="sr-Latn-RS"/>
              </w:rPr>
              <w:t> </w:t>
            </w:r>
          </w:p>
        </w:tc>
        <w:tc>
          <w:tcPr>
            <w:tcW w:w="815" w:type="dxa"/>
            <w:tcBorders>
              <w:top w:val="nil"/>
              <w:left w:val="nil"/>
              <w:bottom w:val="single" w:sz="4" w:space="0" w:color="auto"/>
              <w:right w:val="single" w:sz="4" w:space="0" w:color="auto"/>
            </w:tcBorders>
            <w:shd w:val="clear" w:color="auto" w:fill="auto"/>
            <w:vAlign w:val="center"/>
            <w:hideMark/>
          </w:tcPr>
          <w:p w14:paraId="42784C88" w14:textId="77777777" w:rsidR="008219D5" w:rsidRPr="00092ED7" w:rsidRDefault="008219D5" w:rsidP="008219D5">
            <w:pPr>
              <w:spacing w:after="0"/>
              <w:jc w:val="left"/>
              <w:rPr>
                <w:rFonts w:eastAsia="Times New Roman" w:cs="Times New Roman"/>
                <w:b/>
                <w:sz w:val="20"/>
                <w:szCs w:val="20"/>
                <w:lang w:val="sr-Cyrl-CS" w:eastAsia="sr-Latn-RS"/>
              </w:rPr>
            </w:pPr>
            <w:r w:rsidRPr="00092ED7">
              <w:rPr>
                <w:rFonts w:eastAsia="Times New Roman" w:cs="Times New Roman"/>
                <w:b/>
                <w:sz w:val="20"/>
                <w:szCs w:val="20"/>
                <w:lang w:val="sr-Cyrl-CS" w:eastAsia="sr-Latn-RS"/>
              </w:rPr>
              <w:t> </w:t>
            </w:r>
          </w:p>
        </w:tc>
        <w:tc>
          <w:tcPr>
            <w:tcW w:w="849" w:type="dxa"/>
            <w:tcBorders>
              <w:top w:val="nil"/>
              <w:left w:val="nil"/>
              <w:bottom w:val="single" w:sz="4" w:space="0" w:color="auto"/>
              <w:right w:val="single" w:sz="4" w:space="0" w:color="auto"/>
            </w:tcBorders>
            <w:shd w:val="clear" w:color="auto" w:fill="auto"/>
            <w:vAlign w:val="center"/>
            <w:hideMark/>
          </w:tcPr>
          <w:p w14:paraId="1C1CE290" w14:textId="77777777" w:rsidR="008219D5" w:rsidRPr="00092ED7" w:rsidRDefault="008219D5" w:rsidP="008219D5">
            <w:pPr>
              <w:spacing w:after="0"/>
              <w:jc w:val="left"/>
              <w:rPr>
                <w:rFonts w:eastAsia="Times New Roman" w:cs="Times New Roman"/>
                <w:b/>
                <w:sz w:val="20"/>
                <w:szCs w:val="20"/>
                <w:lang w:val="sr-Cyrl-CS" w:eastAsia="sr-Latn-RS"/>
              </w:rPr>
            </w:pPr>
            <w:r w:rsidRPr="00092ED7">
              <w:rPr>
                <w:rFonts w:eastAsia="Times New Roman" w:cs="Times New Roman"/>
                <w:b/>
                <w:sz w:val="20"/>
                <w:szCs w:val="20"/>
                <w:lang w:val="sr-Cyrl-CS" w:eastAsia="sr-Latn-RS"/>
              </w:rPr>
              <w:t> </w:t>
            </w:r>
          </w:p>
        </w:tc>
        <w:tc>
          <w:tcPr>
            <w:tcW w:w="766" w:type="dxa"/>
            <w:tcBorders>
              <w:top w:val="nil"/>
              <w:left w:val="nil"/>
              <w:bottom w:val="single" w:sz="4" w:space="0" w:color="auto"/>
              <w:right w:val="single" w:sz="4" w:space="0" w:color="auto"/>
            </w:tcBorders>
            <w:shd w:val="clear" w:color="auto" w:fill="auto"/>
            <w:vAlign w:val="center"/>
            <w:hideMark/>
          </w:tcPr>
          <w:p w14:paraId="1B2C6A08" w14:textId="77777777" w:rsidR="008219D5" w:rsidRPr="00092ED7" w:rsidRDefault="008219D5" w:rsidP="008219D5">
            <w:pPr>
              <w:spacing w:after="0"/>
              <w:jc w:val="left"/>
              <w:rPr>
                <w:rFonts w:eastAsia="Times New Roman" w:cs="Times New Roman"/>
                <w:b/>
                <w:sz w:val="20"/>
                <w:szCs w:val="20"/>
                <w:lang w:val="sr-Cyrl-CS" w:eastAsia="sr-Latn-RS"/>
              </w:rPr>
            </w:pPr>
            <w:r w:rsidRPr="00092ED7">
              <w:rPr>
                <w:rFonts w:eastAsia="Times New Roman" w:cs="Times New Roman"/>
                <w:b/>
                <w:sz w:val="20"/>
                <w:szCs w:val="20"/>
                <w:lang w:val="sr-Cyrl-CS" w:eastAsia="sr-Latn-RS"/>
              </w:rPr>
              <w:t> </w:t>
            </w:r>
          </w:p>
        </w:tc>
        <w:tc>
          <w:tcPr>
            <w:tcW w:w="843" w:type="dxa"/>
            <w:tcBorders>
              <w:top w:val="nil"/>
              <w:left w:val="nil"/>
              <w:bottom w:val="single" w:sz="4" w:space="0" w:color="auto"/>
              <w:right w:val="single" w:sz="4" w:space="0" w:color="auto"/>
            </w:tcBorders>
            <w:shd w:val="clear" w:color="auto" w:fill="auto"/>
            <w:vAlign w:val="center"/>
            <w:hideMark/>
          </w:tcPr>
          <w:p w14:paraId="11EC85D5" w14:textId="77777777" w:rsidR="008219D5" w:rsidRPr="00092ED7" w:rsidRDefault="008219D5" w:rsidP="008219D5">
            <w:pPr>
              <w:spacing w:after="0"/>
              <w:jc w:val="left"/>
              <w:rPr>
                <w:rFonts w:eastAsia="Times New Roman" w:cs="Times New Roman"/>
                <w:b/>
                <w:sz w:val="20"/>
                <w:szCs w:val="20"/>
                <w:lang w:val="sr-Cyrl-CS" w:eastAsia="sr-Latn-RS"/>
              </w:rPr>
            </w:pPr>
            <w:r w:rsidRPr="00092ED7">
              <w:rPr>
                <w:rFonts w:eastAsia="Times New Roman" w:cs="Times New Roman"/>
                <w:b/>
                <w:sz w:val="20"/>
                <w:szCs w:val="20"/>
                <w:lang w:val="sr-Cyrl-CS" w:eastAsia="sr-Latn-RS"/>
              </w:rPr>
              <w:t> </w:t>
            </w:r>
          </w:p>
        </w:tc>
      </w:tr>
      <w:tr w:rsidR="008219D5" w:rsidRPr="00092ED7" w14:paraId="28C04A7F" w14:textId="77777777" w:rsidTr="00053B2B">
        <w:trPr>
          <w:trHeight w:val="792"/>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06B96ADB" w14:textId="77777777" w:rsidR="008219D5" w:rsidRPr="00092ED7" w:rsidRDefault="008219D5" w:rsidP="00734F11">
            <w:pPr>
              <w:spacing w:after="0"/>
              <w:ind w:firstLineChars="17" w:firstLine="34"/>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24. Ранг у Индексу глобалне конкурентности</w:t>
            </w:r>
          </w:p>
        </w:tc>
        <w:tc>
          <w:tcPr>
            <w:tcW w:w="1261" w:type="dxa"/>
            <w:tcBorders>
              <w:top w:val="nil"/>
              <w:left w:val="nil"/>
              <w:bottom w:val="single" w:sz="4" w:space="0" w:color="auto"/>
              <w:right w:val="single" w:sz="4" w:space="0" w:color="auto"/>
            </w:tcBorders>
            <w:shd w:val="clear" w:color="auto" w:fill="auto"/>
            <w:vAlign w:val="center"/>
            <w:hideMark/>
          </w:tcPr>
          <w:p w14:paraId="1244F534" w14:textId="77777777" w:rsidR="008219D5" w:rsidRPr="00092ED7" w:rsidRDefault="008219D5" w:rsidP="008219D5">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Светски економски форум</w:t>
            </w:r>
          </w:p>
        </w:tc>
        <w:tc>
          <w:tcPr>
            <w:tcW w:w="815" w:type="dxa"/>
            <w:tcBorders>
              <w:top w:val="nil"/>
              <w:left w:val="nil"/>
              <w:bottom w:val="single" w:sz="4" w:space="0" w:color="auto"/>
              <w:right w:val="single" w:sz="4" w:space="0" w:color="auto"/>
            </w:tcBorders>
            <w:shd w:val="clear" w:color="auto" w:fill="auto"/>
            <w:vAlign w:val="center"/>
            <w:hideMark/>
          </w:tcPr>
          <w:p w14:paraId="7A7F94B8"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65</w:t>
            </w:r>
          </w:p>
        </w:tc>
        <w:tc>
          <w:tcPr>
            <w:tcW w:w="849" w:type="dxa"/>
            <w:tcBorders>
              <w:top w:val="nil"/>
              <w:left w:val="nil"/>
              <w:bottom w:val="single" w:sz="4" w:space="0" w:color="auto"/>
              <w:right w:val="single" w:sz="4" w:space="0" w:color="auto"/>
            </w:tcBorders>
            <w:shd w:val="clear" w:color="auto" w:fill="auto"/>
            <w:vAlign w:val="center"/>
            <w:hideMark/>
          </w:tcPr>
          <w:p w14:paraId="0B7945F7"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72</w:t>
            </w:r>
          </w:p>
        </w:tc>
        <w:tc>
          <w:tcPr>
            <w:tcW w:w="766" w:type="dxa"/>
            <w:tcBorders>
              <w:top w:val="nil"/>
              <w:left w:val="nil"/>
              <w:bottom w:val="single" w:sz="4" w:space="0" w:color="auto"/>
              <w:right w:val="single" w:sz="4" w:space="0" w:color="auto"/>
            </w:tcBorders>
            <w:shd w:val="clear" w:color="auto" w:fill="auto"/>
            <w:vAlign w:val="center"/>
            <w:hideMark/>
          </w:tcPr>
          <w:p w14:paraId="467DD698" w14:textId="77777777" w:rsidR="008219D5" w:rsidRPr="00092ED7" w:rsidRDefault="008219D5" w:rsidP="008219D5">
            <w:pPr>
              <w:spacing w:after="0"/>
              <w:jc w:val="left"/>
              <w:rPr>
                <w:rFonts w:eastAsia="Times New Roman" w:cs="Times New Roman"/>
                <w:sz w:val="20"/>
                <w:szCs w:val="20"/>
                <w:lang w:val="sr-Cyrl-CS" w:eastAsia="sr-Latn-RS"/>
              </w:rPr>
            </w:pPr>
            <w:r w:rsidRPr="00092ED7">
              <w:rPr>
                <w:rFonts w:eastAsia="Times New Roman" w:cs="Times New Roman"/>
                <w:sz w:val="20"/>
                <w:szCs w:val="20"/>
                <w:lang w:val="sr-Cyrl-CS" w:eastAsia="sr-Latn-RS"/>
              </w:rPr>
              <w:t> </w:t>
            </w:r>
          </w:p>
        </w:tc>
        <w:tc>
          <w:tcPr>
            <w:tcW w:w="843" w:type="dxa"/>
            <w:tcBorders>
              <w:top w:val="nil"/>
              <w:left w:val="nil"/>
              <w:bottom w:val="single" w:sz="4" w:space="0" w:color="auto"/>
              <w:right w:val="single" w:sz="4" w:space="0" w:color="auto"/>
            </w:tcBorders>
            <w:shd w:val="clear" w:color="auto" w:fill="auto"/>
            <w:vAlign w:val="center"/>
            <w:hideMark/>
          </w:tcPr>
          <w:p w14:paraId="649E5218"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NA</w:t>
            </w:r>
          </w:p>
        </w:tc>
      </w:tr>
      <w:tr w:rsidR="008219D5" w:rsidRPr="00092ED7" w14:paraId="42E9C134" w14:textId="77777777" w:rsidTr="00053B2B">
        <w:trPr>
          <w:trHeight w:val="276"/>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73F6B390" w14:textId="77777777" w:rsidR="008219D5" w:rsidRPr="00092ED7" w:rsidRDefault="008219D5" w:rsidP="00734F11">
            <w:pPr>
              <w:spacing w:after="0"/>
              <w:ind w:firstLineChars="17" w:firstLine="34"/>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25. Процењени удео неформалне економије у БДП-у (као% БДП-а)</w:t>
            </w:r>
          </w:p>
        </w:tc>
        <w:tc>
          <w:tcPr>
            <w:tcW w:w="1261" w:type="dxa"/>
            <w:tcBorders>
              <w:top w:val="nil"/>
              <w:left w:val="nil"/>
              <w:bottom w:val="single" w:sz="4" w:space="0" w:color="auto"/>
              <w:right w:val="single" w:sz="4" w:space="0" w:color="auto"/>
            </w:tcBorders>
            <w:shd w:val="clear" w:color="auto" w:fill="auto"/>
            <w:vAlign w:val="center"/>
            <w:hideMark/>
          </w:tcPr>
          <w:p w14:paraId="5A539BD0" w14:textId="77777777" w:rsidR="008219D5" w:rsidRPr="00092ED7" w:rsidRDefault="008219D5" w:rsidP="008219D5">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 </w:t>
            </w:r>
          </w:p>
        </w:tc>
        <w:tc>
          <w:tcPr>
            <w:tcW w:w="815" w:type="dxa"/>
            <w:tcBorders>
              <w:top w:val="nil"/>
              <w:left w:val="nil"/>
              <w:bottom w:val="single" w:sz="4" w:space="0" w:color="auto"/>
              <w:right w:val="single" w:sz="4" w:space="0" w:color="auto"/>
            </w:tcBorders>
            <w:shd w:val="clear" w:color="auto" w:fill="auto"/>
            <w:vAlign w:val="center"/>
            <w:hideMark/>
          </w:tcPr>
          <w:p w14:paraId="548D682F" w14:textId="77777777" w:rsidR="008219D5" w:rsidRPr="00092ED7" w:rsidRDefault="008219D5" w:rsidP="008219D5">
            <w:pPr>
              <w:spacing w:after="0"/>
              <w:jc w:val="left"/>
              <w:rPr>
                <w:rFonts w:eastAsia="Times New Roman" w:cs="Times New Roman"/>
                <w:sz w:val="20"/>
                <w:szCs w:val="20"/>
                <w:lang w:val="sr-Cyrl-CS" w:eastAsia="sr-Latn-RS"/>
              </w:rPr>
            </w:pPr>
            <w:r w:rsidRPr="00092ED7">
              <w:rPr>
                <w:rFonts w:eastAsia="Times New Roman" w:cs="Times New Roman"/>
                <w:sz w:val="20"/>
                <w:szCs w:val="20"/>
                <w:lang w:val="sr-Cyrl-CS" w:eastAsia="sr-Latn-RS"/>
              </w:rPr>
              <w:t> </w:t>
            </w:r>
          </w:p>
        </w:tc>
        <w:tc>
          <w:tcPr>
            <w:tcW w:w="849" w:type="dxa"/>
            <w:tcBorders>
              <w:top w:val="nil"/>
              <w:left w:val="nil"/>
              <w:bottom w:val="single" w:sz="4" w:space="0" w:color="auto"/>
              <w:right w:val="single" w:sz="4" w:space="0" w:color="auto"/>
            </w:tcBorders>
            <w:shd w:val="clear" w:color="auto" w:fill="auto"/>
            <w:vAlign w:val="center"/>
            <w:hideMark/>
          </w:tcPr>
          <w:p w14:paraId="4FE2A2F2" w14:textId="77777777" w:rsidR="008219D5" w:rsidRPr="00092ED7" w:rsidRDefault="008219D5" w:rsidP="008219D5">
            <w:pPr>
              <w:spacing w:after="0"/>
              <w:jc w:val="left"/>
              <w:rPr>
                <w:rFonts w:eastAsia="Times New Roman" w:cs="Times New Roman"/>
                <w:sz w:val="20"/>
                <w:szCs w:val="20"/>
                <w:lang w:val="sr-Cyrl-CS" w:eastAsia="sr-Latn-RS"/>
              </w:rPr>
            </w:pPr>
            <w:r w:rsidRPr="00092ED7">
              <w:rPr>
                <w:rFonts w:eastAsia="Times New Roman" w:cs="Times New Roman"/>
                <w:sz w:val="20"/>
                <w:szCs w:val="20"/>
                <w:lang w:val="sr-Cyrl-CS" w:eastAsia="sr-Latn-RS"/>
              </w:rPr>
              <w:t> </w:t>
            </w:r>
          </w:p>
        </w:tc>
        <w:tc>
          <w:tcPr>
            <w:tcW w:w="766" w:type="dxa"/>
            <w:tcBorders>
              <w:top w:val="nil"/>
              <w:left w:val="nil"/>
              <w:bottom w:val="single" w:sz="4" w:space="0" w:color="auto"/>
              <w:right w:val="single" w:sz="4" w:space="0" w:color="auto"/>
            </w:tcBorders>
            <w:shd w:val="clear" w:color="auto" w:fill="auto"/>
            <w:vAlign w:val="center"/>
            <w:hideMark/>
          </w:tcPr>
          <w:p w14:paraId="44920FE1" w14:textId="77777777" w:rsidR="008219D5" w:rsidRPr="00092ED7" w:rsidRDefault="008219D5" w:rsidP="008219D5">
            <w:pPr>
              <w:spacing w:after="0"/>
              <w:jc w:val="left"/>
              <w:rPr>
                <w:rFonts w:eastAsia="Times New Roman" w:cs="Times New Roman"/>
                <w:sz w:val="20"/>
                <w:szCs w:val="20"/>
                <w:lang w:val="sr-Cyrl-CS" w:eastAsia="sr-Latn-RS"/>
              </w:rPr>
            </w:pPr>
            <w:r w:rsidRPr="00092ED7">
              <w:rPr>
                <w:rFonts w:eastAsia="Times New Roman" w:cs="Times New Roman"/>
                <w:sz w:val="20"/>
                <w:szCs w:val="20"/>
                <w:lang w:val="sr-Cyrl-CS" w:eastAsia="sr-Latn-RS"/>
              </w:rPr>
              <w:t> </w:t>
            </w:r>
          </w:p>
        </w:tc>
        <w:tc>
          <w:tcPr>
            <w:tcW w:w="843" w:type="dxa"/>
            <w:tcBorders>
              <w:top w:val="nil"/>
              <w:left w:val="nil"/>
              <w:bottom w:val="single" w:sz="4" w:space="0" w:color="auto"/>
              <w:right w:val="single" w:sz="4" w:space="0" w:color="auto"/>
            </w:tcBorders>
            <w:shd w:val="clear" w:color="auto" w:fill="auto"/>
            <w:vAlign w:val="center"/>
            <w:hideMark/>
          </w:tcPr>
          <w:p w14:paraId="32780F25" w14:textId="77777777" w:rsidR="008219D5" w:rsidRPr="00092ED7" w:rsidRDefault="008219D5" w:rsidP="008219D5">
            <w:pPr>
              <w:spacing w:after="0"/>
              <w:jc w:val="left"/>
              <w:rPr>
                <w:rFonts w:eastAsia="Times New Roman" w:cs="Times New Roman"/>
                <w:sz w:val="20"/>
                <w:szCs w:val="20"/>
                <w:lang w:val="sr-Cyrl-CS" w:eastAsia="sr-Latn-RS"/>
              </w:rPr>
            </w:pPr>
            <w:r w:rsidRPr="00092ED7">
              <w:rPr>
                <w:rFonts w:eastAsia="Times New Roman" w:cs="Times New Roman"/>
                <w:sz w:val="20"/>
                <w:szCs w:val="20"/>
                <w:lang w:val="sr-Cyrl-CS" w:eastAsia="sr-Latn-RS"/>
              </w:rPr>
              <w:t> </w:t>
            </w:r>
          </w:p>
        </w:tc>
      </w:tr>
      <w:tr w:rsidR="008219D5" w:rsidRPr="00092ED7" w14:paraId="5FB8E335" w14:textId="77777777" w:rsidTr="00053B2B">
        <w:trPr>
          <w:trHeight w:val="276"/>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1CA5BBAA" w14:textId="77777777" w:rsidR="008219D5" w:rsidRPr="00092ED7" w:rsidRDefault="008219D5" w:rsidP="00734F11">
            <w:pPr>
              <w:spacing w:after="0"/>
              <w:ind w:firstLineChars="300" w:firstLine="602"/>
              <w:jc w:val="left"/>
              <w:rPr>
                <w:rFonts w:eastAsia="Times New Roman" w:cs="Times New Roman"/>
                <w:b/>
                <w:i/>
                <w:color w:val="000000"/>
                <w:sz w:val="20"/>
                <w:szCs w:val="20"/>
                <w:lang w:val="sr-Cyrl-CS" w:eastAsia="sr-Latn-RS"/>
              </w:rPr>
            </w:pPr>
            <w:r w:rsidRPr="00092ED7">
              <w:rPr>
                <w:rFonts w:eastAsia="Times New Roman" w:cs="Times New Roman"/>
                <w:b/>
                <w:i/>
                <w:color w:val="000000"/>
                <w:sz w:val="20"/>
                <w:szCs w:val="20"/>
                <w:lang w:val="sr-Cyrl-CS" w:eastAsia="sr-Latn-RS"/>
              </w:rPr>
              <w:t>Истраживање, развој и иновације</w:t>
            </w:r>
          </w:p>
        </w:tc>
        <w:tc>
          <w:tcPr>
            <w:tcW w:w="1261" w:type="dxa"/>
            <w:tcBorders>
              <w:top w:val="nil"/>
              <w:left w:val="nil"/>
              <w:bottom w:val="single" w:sz="4" w:space="0" w:color="auto"/>
              <w:right w:val="single" w:sz="4" w:space="0" w:color="auto"/>
            </w:tcBorders>
            <w:shd w:val="clear" w:color="auto" w:fill="auto"/>
            <w:hideMark/>
          </w:tcPr>
          <w:p w14:paraId="1D1D1F15" w14:textId="77777777" w:rsidR="008219D5" w:rsidRPr="00092ED7" w:rsidRDefault="008219D5" w:rsidP="008219D5">
            <w:pPr>
              <w:spacing w:after="0"/>
              <w:jc w:val="left"/>
              <w:rPr>
                <w:rFonts w:eastAsia="Times New Roman" w:cs="Times New Roman"/>
                <w:b/>
                <w:color w:val="000000"/>
                <w:sz w:val="20"/>
                <w:szCs w:val="20"/>
                <w:lang w:val="sr-Cyrl-CS" w:eastAsia="sr-Latn-RS"/>
              </w:rPr>
            </w:pPr>
            <w:r w:rsidRPr="00092ED7">
              <w:rPr>
                <w:rFonts w:eastAsia="Times New Roman" w:cs="Times New Roman"/>
                <w:b/>
                <w:color w:val="000000"/>
                <w:sz w:val="20"/>
                <w:szCs w:val="20"/>
                <w:lang w:val="sr-Cyrl-CS" w:eastAsia="sr-Latn-RS"/>
              </w:rPr>
              <w:t> </w:t>
            </w:r>
          </w:p>
        </w:tc>
        <w:tc>
          <w:tcPr>
            <w:tcW w:w="815" w:type="dxa"/>
            <w:tcBorders>
              <w:top w:val="nil"/>
              <w:left w:val="nil"/>
              <w:bottom w:val="single" w:sz="4" w:space="0" w:color="auto"/>
              <w:right w:val="single" w:sz="4" w:space="0" w:color="auto"/>
            </w:tcBorders>
            <w:shd w:val="clear" w:color="auto" w:fill="auto"/>
            <w:hideMark/>
          </w:tcPr>
          <w:p w14:paraId="013E368F" w14:textId="77777777" w:rsidR="008219D5" w:rsidRPr="00092ED7" w:rsidRDefault="008219D5" w:rsidP="008219D5">
            <w:pPr>
              <w:spacing w:after="0"/>
              <w:jc w:val="left"/>
              <w:rPr>
                <w:rFonts w:eastAsia="Times New Roman" w:cs="Times New Roman"/>
                <w:b/>
                <w:sz w:val="20"/>
                <w:szCs w:val="20"/>
                <w:lang w:val="sr-Cyrl-CS" w:eastAsia="sr-Latn-RS"/>
              </w:rPr>
            </w:pPr>
            <w:r w:rsidRPr="00092ED7">
              <w:rPr>
                <w:rFonts w:eastAsia="Times New Roman" w:cs="Times New Roman"/>
                <w:b/>
                <w:sz w:val="20"/>
                <w:szCs w:val="20"/>
                <w:lang w:val="sr-Cyrl-CS" w:eastAsia="sr-Latn-RS"/>
              </w:rPr>
              <w:t> </w:t>
            </w:r>
          </w:p>
        </w:tc>
        <w:tc>
          <w:tcPr>
            <w:tcW w:w="849" w:type="dxa"/>
            <w:tcBorders>
              <w:top w:val="nil"/>
              <w:left w:val="nil"/>
              <w:bottom w:val="single" w:sz="4" w:space="0" w:color="auto"/>
              <w:right w:val="single" w:sz="4" w:space="0" w:color="auto"/>
            </w:tcBorders>
            <w:shd w:val="clear" w:color="auto" w:fill="auto"/>
            <w:hideMark/>
          </w:tcPr>
          <w:p w14:paraId="4ABFBBD4" w14:textId="77777777" w:rsidR="008219D5" w:rsidRPr="00092ED7" w:rsidRDefault="008219D5" w:rsidP="008219D5">
            <w:pPr>
              <w:spacing w:after="0"/>
              <w:jc w:val="left"/>
              <w:rPr>
                <w:rFonts w:eastAsia="Times New Roman" w:cs="Times New Roman"/>
                <w:b/>
                <w:sz w:val="20"/>
                <w:szCs w:val="20"/>
                <w:lang w:val="sr-Cyrl-CS" w:eastAsia="sr-Latn-RS"/>
              </w:rPr>
            </w:pPr>
            <w:r w:rsidRPr="00092ED7">
              <w:rPr>
                <w:rFonts w:eastAsia="Times New Roman" w:cs="Times New Roman"/>
                <w:b/>
                <w:sz w:val="20"/>
                <w:szCs w:val="20"/>
                <w:lang w:val="sr-Cyrl-CS" w:eastAsia="sr-Latn-RS"/>
              </w:rPr>
              <w:t> </w:t>
            </w:r>
          </w:p>
        </w:tc>
        <w:tc>
          <w:tcPr>
            <w:tcW w:w="766" w:type="dxa"/>
            <w:tcBorders>
              <w:top w:val="nil"/>
              <w:left w:val="nil"/>
              <w:bottom w:val="single" w:sz="4" w:space="0" w:color="auto"/>
              <w:right w:val="single" w:sz="4" w:space="0" w:color="auto"/>
            </w:tcBorders>
            <w:shd w:val="clear" w:color="auto" w:fill="auto"/>
            <w:hideMark/>
          </w:tcPr>
          <w:p w14:paraId="3895907B" w14:textId="77777777" w:rsidR="008219D5" w:rsidRPr="00092ED7" w:rsidRDefault="008219D5" w:rsidP="008219D5">
            <w:pPr>
              <w:spacing w:after="0"/>
              <w:jc w:val="left"/>
              <w:rPr>
                <w:rFonts w:eastAsia="Times New Roman" w:cs="Times New Roman"/>
                <w:b/>
                <w:sz w:val="20"/>
                <w:szCs w:val="20"/>
                <w:lang w:val="sr-Cyrl-CS" w:eastAsia="sr-Latn-RS"/>
              </w:rPr>
            </w:pPr>
            <w:r w:rsidRPr="00092ED7">
              <w:rPr>
                <w:rFonts w:eastAsia="Times New Roman" w:cs="Times New Roman"/>
                <w:b/>
                <w:sz w:val="20"/>
                <w:szCs w:val="20"/>
                <w:lang w:val="sr-Cyrl-CS" w:eastAsia="sr-Latn-RS"/>
              </w:rPr>
              <w:t> </w:t>
            </w:r>
          </w:p>
        </w:tc>
        <w:tc>
          <w:tcPr>
            <w:tcW w:w="843" w:type="dxa"/>
            <w:tcBorders>
              <w:top w:val="nil"/>
              <w:left w:val="nil"/>
              <w:bottom w:val="single" w:sz="4" w:space="0" w:color="auto"/>
              <w:right w:val="single" w:sz="4" w:space="0" w:color="auto"/>
            </w:tcBorders>
            <w:shd w:val="clear" w:color="auto" w:fill="auto"/>
            <w:hideMark/>
          </w:tcPr>
          <w:p w14:paraId="5CD4832B" w14:textId="77777777" w:rsidR="008219D5" w:rsidRPr="00092ED7" w:rsidRDefault="008219D5" w:rsidP="008219D5">
            <w:pPr>
              <w:spacing w:after="0"/>
              <w:jc w:val="left"/>
              <w:rPr>
                <w:rFonts w:eastAsia="Times New Roman" w:cs="Times New Roman"/>
                <w:b/>
                <w:sz w:val="20"/>
                <w:szCs w:val="20"/>
                <w:lang w:val="sr-Cyrl-CS" w:eastAsia="sr-Latn-RS"/>
              </w:rPr>
            </w:pPr>
            <w:r w:rsidRPr="00092ED7">
              <w:rPr>
                <w:rFonts w:eastAsia="Times New Roman" w:cs="Times New Roman"/>
                <w:b/>
                <w:sz w:val="20"/>
                <w:szCs w:val="20"/>
                <w:lang w:val="sr-Cyrl-CS" w:eastAsia="sr-Latn-RS"/>
              </w:rPr>
              <w:t> </w:t>
            </w:r>
          </w:p>
        </w:tc>
      </w:tr>
      <w:tr w:rsidR="008219D5" w:rsidRPr="00092ED7" w14:paraId="3FE05635" w14:textId="77777777" w:rsidTr="00053B2B">
        <w:trPr>
          <w:trHeight w:val="528"/>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52F1593F" w14:textId="77777777" w:rsidR="008219D5" w:rsidRPr="00092ED7" w:rsidRDefault="008219D5" w:rsidP="00734F11">
            <w:pPr>
              <w:spacing w:after="0"/>
              <w:ind w:firstLineChars="17" w:firstLine="34"/>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26. Интензитет истраживања и развоја БДП-а (издаци за истраживање и развој као</w:t>
            </w:r>
            <w:r w:rsidR="00734F11" w:rsidRPr="00092ED7">
              <w:rPr>
                <w:rFonts w:eastAsia="Times New Roman" w:cs="Times New Roman"/>
                <w:color w:val="000000"/>
                <w:sz w:val="20"/>
                <w:szCs w:val="20"/>
                <w:lang w:val="sr-Cyrl-CS" w:eastAsia="sr-Latn-RS"/>
              </w:rPr>
              <w:t xml:space="preserve"> </w:t>
            </w:r>
            <w:r w:rsidRPr="00092ED7">
              <w:rPr>
                <w:rFonts w:eastAsia="Times New Roman" w:cs="Times New Roman"/>
                <w:color w:val="000000"/>
                <w:sz w:val="20"/>
                <w:szCs w:val="20"/>
                <w:lang w:val="sr-Cyrl-CS" w:eastAsia="sr-Latn-RS"/>
              </w:rPr>
              <w:t>% БДП-а)</w:t>
            </w:r>
          </w:p>
        </w:tc>
        <w:tc>
          <w:tcPr>
            <w:tcW w:w="1261" w:type="dxa"/>
            <w:tcBorders>
              <w:top w:val="nil"/>
              <w:left w:val="nil"/>
              <w:bottom w:val="single" w:sz="4" w:space="0" w:color="auto"/>
              <w:right w:val="single" w:sz="4" w:space="0" w:color="auto"/>
            </w:tcBorders>
            <w:shd w:val="clear" w:color="auto" w:fill="auto"/>
            <w:vAlign w:val="center"/>
            <w:hideMark/>
          </w:tcPr>
          <w:p w14:paraId="0FF99C6F" w14:textId="77777777" w:rsidR="008219D5" w:rsidRPr="00092ED7" w:rsidRDefault="008219D5" w:rsidP="008219D5">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EUROSTAT</w:t>
            </w:r>
          </w:p>
        </w:tc>
        <w:tc>
          <w:tcPr>
            <w:tcW w:w="815" w:type="dxa"/>
            <w:tcBorders>
              <w:top w:val="nil"/>
              <w:left w:val="nil"/>
              <w:bottom w:val="single" w:sz="4" w:space="0" w:color="auto"/>
              <w:right w:val="single" w:sz="4" w:space="0" w:color="auto"/>
            </w:tcBorders>
            <w:shd w:val="clear" w:color="auto" w:fill="auto"/>
            <w:vAlign w:val="center"/>
            <w:hideMark/>
          </w:tcPr>
          <w:p w14:paraId="75F2F9EE"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0,92</w:t>
            </w:r>
          </w:p>
        </w:tc>
        <w:tc>
          <w:tcPr>
            <w:tcW w:w="849" w:type="dxa"/>
            <w:tcBorders>
              <w:top w:val="nil"/>
              <w:left w:val="nil"/>
              <w:bottom w:val="single" w:sz="4" w:space="0" w:color="auto"/>
              <w:right w:val="single" w:sz="4" w:space="0" w:color="auto"/>
            </w:tcBorders>
            <w:shd w:val="clear" w:color="auto" w:fill="auto"/>
            <w:vAlign w:val="center"/>
            <w:hideMark/>
          </w:tcPr>
          <w:p w14:paraId="056B14BA"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0,89</w:t>
            </w:r>
          </w:p>
        </w:tc>
        <w:tc>
          <w:tcPr>
            <w:tcW w:w="766" w:type="dxa"/>
            <w:tcBorders>
              <w:top w:val="nil"/>
              <w:left w:val="nil"/>
              <w:bottom w:val="single" w:sz="4" w:space="0" w:color="auto"/>
              <w:right w:val="single" w:sz="4" w:space="0" w:color="auto"/>
            </w:tcBorders>
            <w:shd w:val="clear" w:color="auto" w:fill="auto"/>
            <w:vAlign w:val="center"/>
            <w:hideMark/>
          </w:tcPr>
          <w:p w14:paraId="7806E162"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0,91</w:t>
            </w:r>
          </w:p>
        </w:tc>
        <w:tc>
          <w:tcPr>
            <w:tcW w:w="843" w:type="dxa"/>
            <w:tcBorders>
              <w:top w:val="nil"/>
              <w:left w:val="nil"/>
              <w:bottom w:val="single" w:sz="4" w:space="0" w:color="auto"/>
              <w:right w:val="single" w:sz="4" w:space="0" w:color="auto"/>
            </w:tcBorders>
            <w:shd w:val="clear" w:color="auto" w:fill="auto"/>
            <w:vAlign w:val="center"/>
            <w:hideMark/>
          </w:tcPr>
          <w:p w14:paraId="3B01672F"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0,99</w:t>
            </w:r>
          </w:p>
        </w:tc>
      </w:tr>
      <w:tr w:rsidR="008219D5" w:rsidRPr="00092ED7" w14:paraId="6024AF24" w14:textId="77777777" w:rsidTr="00053B2B">
        <w:trPr>
          <w:trHeight w:val="276"/>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1C580AD2" w14:textId="77777777" w:rsidR="008219D5" w:rsidRPr="00092ED7" w:rsidRDefault="008219D5" w:rsidP="00734F11">
            <w:pPr>
              <w:spacing w:after="0"/>
              <w:ind w:firstLineChars="17" w:firstLine="34"/>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27. Расходи за истраживање и развој - ЕУР по становнику</w:t>
            </w:r>
          </w:p>
        </w:tc>
        <w:tc>
          <w:tcPr>
            <w:tcW w:w="1261" w:type="dxa"/>
            <w:tcBorders>
              <w:top w:val="nil"/>
              <w:left w:val="nil"/>
              <w:bottom w:val="single" w:sz="4" w:space="0" w:color="auto"/>
              <w:right w:val="single" w:sz="4" w:space="0" w:color="auto"/>
            </w:tcBorders>
            <w:shd w:val="clear" w:color="auto" w:fill="auto"/>
            <w:vAlign w:val="center"/>
            <w:hideMark/>
          </w:tcPr>
          <w:p w14:paraId="78A3CC6A" w14:textId="77777777" w:rsidR="008219D5" w:rsidRPr="00092ED7" w:rsidRDefault="008219D5" w:rsidP="008219D5">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EUROSTAT</w:t>
            </w:r>
          </w:p>
        </w:tc>
        <w:tc>
          <w:tcPr>
            <w:tcW w:w="815" w:type="dxa"/>
            <w:tcBorders>
              <w:top w:val="nil"/>
              <w:left w:val="nil"/>
              <w:bottom w:val="single" w:sz="4" w:space="0" w:color="auto"/>
              <w:right w:val="single" w:sz="4" w:space="0" w:color="auto"/>
            </w:tcBorders>
            <w:shd w:val="clear" w:color="auto" w:fill="auto"/>
            <w:vAlign w:val="center"/>
            <w:hideMark/>
          </w:tcPr>
          <w:p w14:paraId="3EE5EC34"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56,3</w:t>
            </w:r>
          </w:p>
        </w:tc>
        <w:tc>
          <w:tcPr>
            <w:tcW w:w="849" w:type="dxa"/>
            <w:tcBorders>
              <w:top w:val="nil"/>
              <w:left w:val="nil"/>
              <w:bottom w:val="single" w:sz="4" w:space="0" w:color="auto"/>
              <w:right w:val="single" w:sz="4" w:space="0" w:color="auto"/>
            </w:tcBorders>
            <w:shd w:val="clear" w:color="auto" w:fill="auto"/>
            <w:vAlign w:val="center"/>
            <w:hideMark/>
          </w:tcPr>
          <w:p w14:paraId="15A35DBC"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58,6</w:t>
            </w:r>
          </w:p>
        </w:tc>
        <w:tc>
          <w:tcPr>
            <w:tcW w:w="766" w:type="dxa"/>
            <w:tcBorders>
              <w:top w:val="nil"/>
              <w:left w:val="nil"/>
              <w:bottom w:val="single" w:sz="4" w:space="0" w:color="auto"/>
              <w:right w:val="single" w:sz="4" w:space="0" w:color="auto"/>
            </w:tcBorders>
            <w:shd w:val="clear" w:color="auto" w:fill="auto"/>
            <w:vAlign w:val="center"/>
            <w:hideMark/>
          </w:tcPr>
          <w:p w14:paraId="374FBCC8"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61,2</w:t>
            </w:r>
          </w:p>
        </w:tc>
        <w:tc>
          <w:tcPr>
            <w:tcW w:w="843" w:type="dxa"/>
            <w:tcBorders>
              <w:top w:val="nil"/>
              <w:left w:val="nil"/>
              <w:bottom w:val="single" w:sz="4" w:space="0" w:color="auto"/>
              <w:right w:val="single" w:sz="4" w:space="0" w:color="auto"/>
            </w:tcBorders>
            <w:shd w:val="clear" w:color="auto" w:fill="auto"/>
            <w:vAlign w:val="center"/>
            <w:hideMark/>
          </w:tcPr>
          <w:p w14:paraId="090A0313"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77,2</w:t>
            </w:r>
          </w:p>
        </w:tc>
      </w:tr>
      <w:tr w:rsidR="008219D5" w:rsidRPr="00092ED7" w14:paraId="5ABB3F07" w14:textId="77777777" w:rsidTr="00053B2B">
        <w:trPr>
          <w:trHeight w:val="276"/>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7A5FDD9A" w14:textId="77777777" w:rsidR="008219D5" w:rsidRPr="00092ED7" w:rsidRDefault="008219D5" w:rsidP="00734F11">
            <w:pPr>
              <w:spacing w:after="0"/>
              <w:ind w:firstLine="601"/>
              <w:jc w:val="left"/>
              <w:rPr>
                <w:rFonts w:eastAsia="Times New Roman" w:cs="Times New Roman"/>
                <w:b/>
                <w:i/>
                <w:color w:val="000000"/>
                <w:sz w:val="20"/>
                <w:szCs w:val="20"/>
                <w:lang w:val="sr-Cyrl-CS" w:eastAsia="sr-Latn-RS"/>
              </w:rPr>
            </w:pPr>
            <w:r w:rsidRPr="00092ED7">
              <w:rPr>
                <w:rFonts w:eastAsia="Times New Roman" w:cs="Times New Roman"/>
                <w:b/>
                <w:i/>
                <w:color w:val="000000"/>
                <w:sz w:val="20"/>
                <w:szCs w:val="20"/>
                <w:lang w:val="sr-Cyrl-CS" w:eastAsia="sr-Latn-RS"/>
              </w:rPr>
              <w:t>Трговина</w:t>
            </w:r>
          </w:p>
        </w:tc>
        <w:tc>
          <w:tcPr>
            <w:tcW w:w="1261" w:type="dxa"/>
            <w:tcBorders>
              <w:top w:val="nil"/>
              <w:left w:val="nil"/>
              <w:bottom w:val="single" w:sz="4" w:space="0" w:color="auto"/>
              <w:right w:val="single" w:sz="4" w:space="0" w:color="auto"/>
            </w:tcBorders>
            <w:shd w:val="clear" w:color="auto" w:fill="auto"/>
            <w:vAlign w:val="center"/>
            <w:hideMark/>
          </w:tcPr>
          <w:p w14:paraId="4AC561DE" w14:textId="77777777" w:rsidR="008219D5" w:rsidRPr="00092ED7" w:rsidRDefault="008219D5" w:rsidP="008219D5">
            <w:pPr>
              <w:spacing w:after="0"/>
              <w:jc w:val="left"/>
              <w:rPr>
                <w:rFonts w:eastAsia="Times New Roman" w:cs="Times New Roman"/>
                <w:b/>
                <w:color w:val="000000"/>
                <w:sz w:val="20"/>
                <w:szCs w:val="20"/>
                <w:lang w:val="sr-Cyrl-CS" w:eastAsia="sr-Latn-RS"/>
              </w:rPr>
            </w:pPr>
            <w:r w:rsidRPr="00092ED7">
              <w:rPr>
                <w:rFonts w:eastAsia="Times New Roman" w:cs="Times New Roman"/>
                <w:b/>
                <w:color w:val="000000"/>
                <w:sz w:val="20"/>
                <w:szCs w:val="20"/>
                <w:lang w:val="sr-Cyrl-CS" w:eastAsia="sr-Latn-RS"/>
              </w:rPr>
              <w:t> </w:t>
            </w:r>
          </w:p>
        </w:tc>
        <w:tc>
          <w:tcPr>
            <w:tcW w:w="815" w:type="dxa"/>
            <w:tcBorders>
              <w:top w:val="nil"/>
              <w:left w:val="nil"/>
              <w:bottom w:val="single" w:sz="4" w:space="0" w:color="auto"/>
              <w:right w:val="single" w:sz="4" w:space="0" w:color="auto"/>
            </w:tcBorders>
            <w:shd w:val="clear" w:color="auto" w:fill="auto"/>
            <w:vAlign w:val="center"/>
            <w:hideMark/>
          </w:tcPr>
          <w:p w14:paraId="1148647B" w14:textId="77777777" w:rsidR="008219D5" w:rsidRPr="00092ED7" w:rsidRDefault="008219D5" w:rsidP="008219D5">
            <w:pPr>
              <w:spacing w:after="0"/>
              <w:jc w:val="left"/>
              <w:rPr>
                <w:rFonts w:eastAsia="Times New Roman" w:cs="Times New Roman"/>
                <w:b/>
                <w:sz w:val="20"/>
                <w:szCs w:val="20"/>
                <w:lang w:val="sr-Cyrl-CS" w:eastAsia="sr-Latn-RS"/>
              </w:rPr>
            </w:pPr>
            <w:r w:rsidRPr="00092ED7">
              <w:rPr>
                <w:rFonts w:eastAsia="Times New Roman" w:cs="Times New Roman"/>
                <w:b/>
                <w:sz w:val="20"/>
                <w:szCs w:val="20"/>
                <w:lang w:val="sr-Cyrl-CS" w:eastAsia="sr-Latn-RS"/>
              </w:rPr>
              <w:t> </w:t>
            </w:r>
          </w:p>
        </w:tc>
        <w:tc>
          <w:tcPr>
            <w:tcW w:w="849" w:type="dxa"/>
            <w:tcBorders>
              <w:top w:val="nil"/>
              <w:left w:val="nil"/>
              <w:bottom w:val="single" w:sz="4" w:space="0" w:color="auto"/>
              <w:right w:val="single" w:sz="4" w:space="0" w:color="auto"/>
            </w:tcBorders>
            <w:shd w:val="clear" w:color="auto" w:fill="auto"/>
            <w:vAlign w:val="center"/>
            <w:hideMark/>
          </w:tcPr>
          <w:p w14:paraId="21438C91" w14:textId="77777777" w:rsidR="008219D5" w:rsidRPr="00092ED7" w:rsidRDefault="008219D5" w:rsidP="008219D5">
            <w:pPr>
              <w:spacing w:after="0"/>
              <w:jc w:val="left"/>
              <w:rPr>
                <w:rFonts w:eastAsia="Times New Roman" w:cs="Times New Roman"/>
                <w:b/>
                <w:sz w:val="20"/>
                <w:szCs w:val="20"/>
                <w:lang w:val="sr-Cyrl-CS" w:eastAsia="sr-Latn-RS"/>
              </w:rPr>
            </w:pPr>
            <w:r w:rsidRPr="00092ED7">
              <w:rPr>
                <w:rFonts w:eastAsia="Times New Roman" w:cs="Times New Roman"/>
                <w:b/>
                <w:sz w:val="20"/>
                <w:szCs w:val="20"/>
                <w:lang w:val="sr-Cyrl-CS" w:eastAsia="sr-Latn-RS"/>
              </w:rPr>
              <w:t> </w:t>
            </w:r>
          </w:p>
        </w:tc>
        <w:tc>
          <w:tcPr>
            <w:tcW w:w="766" w:type="dxa"/>
            <w:tcBorders>
              <w:top w:val="nil"/>
              <w:left w:val="nil"/>
              <w:bottom w:val="single" w:sz="4" w:space="0" w:color="auto"/>
              <w:right w:val="single" w:sz="4" w:space="0" w:color="auto"/>
            </w:tcBorders>
            <w:shd w:val="clear" w:color="auto" w:fill="auto"/>
            <w:vAlign w:val="center"/>
            <w:hideMark/>
          </w:tcPr>
          <w:p w14:paraId="37744DE6" w14:textId="77777777" w:rsidR="008219D5" w:rsidRPr="00092ED7" w:rsidRDefault="008219D5" w:rsidP="008219D5">
            <w:pPr>
              <w:spacing w:after="0"/>
              <w:jc w:val="left"/>
              <w:rPr>
                <w:rFonts w:eastAsia="Times New Roman" w:cs="Times New Roman"/>
                <w:b/>
                <w:sz w:val="20"/>
                <w:szCs w:val="20"/>
                <w:lang w:val="sr-Cyrl-CS" w:eastAsia="sr-Latn-RS"/>
              </w:rPr>
            </w:pPr>
            <w:r w:rsidRPr="00092ED7">
              <w:rPr>
                <w:rFonts w:eastAsia="Times New Roman" w:cs="Times New Roman"/>
                <w:b/>
                <w:sz w:val="20"/>
                <w:szCs w:val="20"/>
                <w:lang w:val="sr-Cyrl-CS" w:eastAsia="sr-Latn-RS"/>
              </w:rPr>
              <w:t> </w:t>
            </w:r>
          </w:p>
        </w:tc>
        <w:tc>
          <w:tcPr>
            <w:tcW w:w="843" w:type="dxa"/>
            <w:tcBorders>
              <w:top w:val="nil"/>
              <w:left w:val="nil"/>
              <w:bottom w:val="single" w:sz="4" w:space="0" w:color="auto"/>
              <w:right w:val="single" w:sz="4" w:space="0" w:color="auto"/>
            </w:tcBorders>
            <w:shd w:val="clear" w:color="auto" w:fill="auto"/>
            <w:vAlign w:val="center"/>
            <w:hideMark/>
          </w:tcPr>
          <w:p w14:paraId="03DD4561" w14:textId="77777777" w:rsidR="008219D5" w:rsidRPr="00092ED7" w:rsidRDefault="008219D5" w:rsidP="008219D5">
            <w:pPr>
              <w:spacing w:after="0"/>
              <w:jc w:val="left"/>
              <w:rPr>
                <w:rFonts w:eastAsia="Times New Roman" w:cs="Times New Roman"/>
                <w:b/>
                <w:sz w:val="20"/>
                <w:szCs w:val="20"/>
                <w:lang w:val="sr-Cyrl-CS" w:eastAsia="sr-Latn-RS"/>
              </w:rPr>
            </w:pPr>
            <w:r w:rsidRPr="00092ED7">
              <w:rPr>
                <w:rFonts w:eastAsia="Times New Roman" w:cs="Times New Roman"/>
                <w:b/>
                <w:sz w:val="20"/>
                <w:szCs w:val="20"/>
                <w:lang w:val="sr-Cyrl-CS" w:eastAsia="sr-Latn-RS"/>
              </w:rPr>
              <w:t> </w:t>
            </w:r>
          </w:p>
        </w:tc>
      </w:tr>
      <w:tr w:rsidR="008219D5" w:rsidRPr="00092ED7" w14:paraId="4AC8A17D" w14:textId="77777777" w:rsidTr="00053B2B">
        <w:trPr>
          <w:trHeight w:val="276"/>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5C6DD080" w14:textId="77777777" w:rsidR="008219D5" w:rsidRPr="00092ED7" w:rsidRDefault="008219D5" w:rsidP="00734F11">
            <w:pPr>
              <w:spacing w:after="0"/>
              <w:ind w:firstLineChars="17" w:firstLine="34"/>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28. Извоз роба и услуга (као % БДП-а)</w:t>
            </w:r>
          </w:p>
        </w:tc>
        <w:tc>
          <w:tcPr>
            <w:tcW w:w="1261" w:type="dxa"/>
            <w:tcBorders>
              <w:top w:val="nil"/>
              <w:left w:val="nil"/>
              <w:bottom w:val="single" w:sz="4" w:space="0" w:color="auto"/>
              <w:right w:val="single" w:sz="4" w:space="0" w:color="auto"/>
            </w:tcBorders>
            <w:shd w:val="clear" w:color="auto" w:fill="auto"/>
            <w:vAlign w:val="center"/>
            <w:hideMark/>
          </w:tcPr>
          <w:p w14:paraId="7BE499FC" w14:textId="77777777" w:rsidR="008219D5" w:rsidRPr="00092ED7" w:rsidRDefault="008219D5" w:rsidP="008219D5">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EUROSTAT</w:t>
            </w:r>
          </w:p>
        </w:tc>
        <w:tc>
          <w:tcPr>
            <w:tcW w:w="815" w:type="dxa"/>
            <w:tcBorders>
              <w:top w:val="nil"/>
              <w:left w:val="nil"/>
              <w:bottom w:val="single" w:sz="4" w:space="0" w:color="auto"/>
              <w:right w:val="single" w:sz="4" w:space="0" w:color="auto"/>
            </w:tcBorders>
            <w:shd w:val="clear" w:color="auto" w:fill="auto"/>
            <w:vAlign w:val="center"/>
            <w:hideMark/>
          </w:tcPr>
          <w:p w14:paraId="0BF45070"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50,4</w:t>
            </w:r>
          </w:p>
        </w:tc>
        <w:tc>
          <w:tcPr>
            <w:tcW w:w="849" w:type="dxa"/>
            <w:tcBorders>
              <w:top w:val="nil"/>
              <w:left w:val="nil"/>
              <w:bottom w:val="single" w:sz="4" w:space="0" w:color="auto"/>
              <w:right w:val="single" w:sz="4" w:space="0" w:color="auto"/>
            </w:tcBorders>
            <w:shd w:val="clear" w:color="auto" w:fill="auto"/>
            <w:vAlign w:val="center"/>
            <w:hideMark/>
          </w:tcPr>
          <w:p w14:paraId="36BE7DC7"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51,0</w:t>
            </w:r>
          </w:p>
        </w:tc>
        <w:tc>
          <w:tcPr>
            <w:tcW w:w="766" w:type="dxa"/>
            <w:tcBorders>
              <w:top w:val="nil"/>
              <w:left w:val="nil"/>
              <w:bottom w:val="single" w:sz="4" w:space="0" w:color="auto"/>
              <w:right w:val="single" w:sz="4" w:space="0" w:color="auto"/>
            </w:tcBorders>
            <w:shd w:val="clear" w:color="auto" w:fill="auto"/>
            <w:vAlign w:val="center"/>
            <w:hideMark/>
          </w:tcPr>
          <w:p w14:paraId="44EC11C3"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48,2</w:t>
            </w:r>
          </w:p>
        </w:tc>
        <w:tc>
          <w:tcPr>
            <w:tcW w:w="843" w:type="dxa"/>
            <w:tcBorders>
              <w:top w:val="nil"/>
              <w:left w:val="nil"/>
              <w:bottom w:val="single" w:sz="4" w:space="0" w:color="auto"/>
              <w:right w:val="single" w:sz="4" w:space="0" w:color="auto"/>
            </w:tcBorders>
            <w:shd w:val="clear" w:color="auto" w:fill="auto"/>
            <w:vAlign w:val="center"/>
            <w:hideMark/>
          </w:tcPr>
          <w:p w14:paraId="2F7230D8"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54,5</w:t>
            </w:r>
          </w:p>
        </w:tc>
      </w:tr>
      <w:tr w:rsidR="008219D5" w:rsidRPr="00092ED7" w14:paraId="0843E4E3" w14:textId="77777777" w:rsidTr="00053B2B">
        <w:trPr>
          <w:trHeight w:val="276"/>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0DE81C25" w14:textId="77777777" w:rsidR="008219D5" w:rsidRPr="00092ED7" w:rsidRDefault="008219D5" w:rsidP="00734F11">
            <w:pPr>
              <w:spacing w:after="0"/>
              <w:ind w:firstLineChars="17" w:firstLine="34"/>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29. Увоз роба и услуга (као % БДП-а)</w:t>
            </w:r>
          </w:p>
        </w:tc>
        <w:tc>
          <w:tcPr>
            <w:tcW w:w="1261" w:type="dxa"/>
            <w:tcBorders>
              <w:top w:val="nil"/>
              <w:left w:val="nil"/>
              <w:bottom w:val="single" w:sz="4" w:space="0" w:color="auto"/>
              <w:right w:val="single" w:sz="4" w:space="0" w:color="auto"/>
            </w:tcBorders>
            <w:shd w:val="clear" w:color="auto" w:fill="auto"/>
            <w:vAlign w:val="center"/>
            <w:hideMark/>
          </w:tcPr>
          <w:p w14:paraId="1C8C61DA" w14:textId="77777777" w:rsidR="008219D5" w:rsidRPr="00092ED7" w:rsidRDefault="008219D5" w:rsidP="008219D5">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EUROSTAT</w:t>
            </w:r>
          </w:p>
        </w:tc>
        <w:tc>
          <w:tcPr>
            <w:tcW w:w="815" w:type="dxa"/>
            <w:tcBorders>
              <w:top w:val="nil"/>
              <w:left w:val="nil"/>
              <w:bottom w:val="single" w:sz="4" w:space="0" w:color="auto"/>
              <w:right w:val="single" w:sz="4" w:space="0" w:color="auto"/>
            </w:tcBorders>
            <w:shd w:val="clear" w:color="auto" w:fill="auto"/>
            <w:vAlign w:val="center"/>
            <w:hideMark/>
          </w:tcPr>
          <w:p w14:paraId="5092BAB1"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59,1</w:t>
            </w:r>
          </w:p>
        </w:tc>
        <w:tc>
          <w:tcPr>
            <w:tcW w:w="849" w:type="dxa"/>
            <w:tcBorders>
              <w:top w:val="nil"/>
              <w:left w:val="nil"/>
              <w:bottom w:val="single" w:sz="4" w:space="0" w:color="auto"/>
              <w:right w:val="single" w:sz="4" w:space="0" w:color="auto"/>
            </w:tcBorders>
            <w:shd w:val="clear" w:color="auto" w:fill="auto"/>
            <w:vAlign w:val="center"/>
            <w:hideMark/>
          </w:tcPr>
          <w:p w14:paraId="2810F19E"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60,9</w:t>
            </w:r>
          </w:p>
        </w:tc>
        <w:tc>
          <w:tcPr>
            <w:tcW w:w="766" w:type="dxa"/>
            <w:tcBorders>
              <w:top w:val="nil"/>
              <w:left w:val="nil"/>
              <w:bottom w:val="single" w:sz="4" w:space="0" w:color="auto"/>
              <w:right w:val="single" w:sz="4" w:space="0" w:color="auto"/>
            </w:tcBorders>
            <w:shd w:val="clear" w:color="auto" w:fill="auto"/>
            <w:vAlign w:val="center"/>
            <w:hideMark/>
          </w:tcPr>
          <w:p w14:paraId="2D1201A8"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56,5</w:t>
            </w:r>
          </w:p>
        </w:tc>
        <w:tc>
          <w:tcPr>
            <w:tcW w:w="843" w:type="dxa"/>
            <w:tcBorders>
              <w:top w:val="nil"/>
              <w:left w:val="nil"/>
              <w:bottom w:val="single" w:sz="4" w:space="0" w:color="auto"/>
              <w:right w:val="single" w:sz="4" w:space="0" w:color="auto"/>
            </w:tcBorders>
            <w:shd w:val="clear" w:color="auto" w:fill="auto"/>
            <w:vAlign w:val="center"/>
            <w:hideMark/>
          </w:tcPr>
          <w:p w14:paraId="26D659E8"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62,3</w:t>
            </w:r>
          </w:p>
        </w:tc>
      </w:tr>
      <w:tr w:rsidR="008219D5" w:rsidRPr="00092ED7" w14:paraId="3EADC273" w14:textId="77777777" w:rsidTr="00053B2B">
        <w:trPr>
          <w:trHeight w:val="276"/>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2FB09682" w14:textId="77777777" w:rsidR="008219D5" w:rsidRPr="00092ED7" w:rsidRDefault="008219D5" w:rsidP="00734F11">
            <w:pPr>
              <w:spacing w:after="0"/>
              <w:ind w:firstLineChars="17" w:firstLine="34"/>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30. Трговински биланс (као % БДП-а)</w:t>
            </w:r>
          </w:p>
        </w:tc>
        <w:tc>
          <w:tcPr>
            <w:tcW w:w="1261" w:type="dxa"/>
            <w:tcBorders>
              <w:top w:val="nil"/>
              <w:left w:val="nil"/>
              <w:bottom w:val="single" w:sz="4" w:space="0" w:color="auto"/>
              <w:right w:val="single" w:sz="4" w:space="0" w:color="auto"/>
            </w:tcBorders>
            <w:shd w:val="clear" w:color="auto" w:fill="auto"/>
            <w:vAlign w:val="center"/>
            <w:hideMark/>
          </w:tcPr>
          <w:p w14:paraId="248ABBFD" w14:textId="77777777" w:rsidR="008219D5" w:rsidRPr="00092ED7" w:rsidRDefault="008219D5" w:rsidP="008219D5">
            <w:pPr>
              <w:spacing w:after="0"/>
              <w:jc w:val="left"/>
              <w:rPr>
                <w:rFonts w:eastAsia="Times New Roman" w:cs="Times New Roman"/>
                <w:color w:val="000000"/>
                <w:sz w:val="20"/>
                <w:szCs w:val="20"/>
                <w:lang w:val="sr-Cyrl-CS" w:eastAsia="sr-Latn-RS"/>
              </w:rPr>
            </w:pPr>
            <w:r w:rsidRPr="00092ED7">
              <w:rPr>
                <w:rFonts w:eastAsia="Times New Roman" w:cs="Times New Roman"/>
                <w:color w:val="000000"/>
                <w:sz w:val="20"/>
                <w:szCs w:val="20"/>
                <w:lang w:val="sr-Cyrl-CS" w:eastAsia="sr-Latn-RS"/>
              </w:rPr>
              <w:t>EUROSTAT</w:t>
            </w:r>
          </w:p>
        </w:tc>
        <w:tc>
          <w:tcPr>
            <w:tcW w:w="815" w:type="dxa"/>
            <w:tcBorders>
              <w:top w:val="nil"/>
              <w:left w:val="nil"/>
              <w:bottom w:val="single" w:sz="4" w:space="0" w:color="auto"/>
              <w:right w:val="single" w:sz="4" w:space="0" w:color="auto"/>
            </w:tcBorders>
            <w:shd w:val="clear" w:color="auto" w:fill="auto"/>
            <w:vAlign w:val="center"/>
            <w:hideMark/>
          </w:tcPr>
          <w:p w14:paraId="795AACAD"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-8,6</w:t>
            </w:r>
          </w:p>
        </w:tc>
        <w:tc>
          <w:tcPr>
            <w:tcW w:w="849" w:type="dxa"/>
            <w:tcBorders>
              <w:top w:val="nil"/>
              <w:left w:val="nil"/>
              <w:bottom w:val="single" w:sz="4" w:space="0" w:color="auto"/>
              <w:right w:val="single" w:sz="4" w:space="0" w:color="auto"/>
            </w:tcBorders>
            <w:shd w:val="clear" w:color="auto" w:fill="auto"/>
            <w:vAlign w:val="center"/>
            <w:hideMark/>
          </w:tcPr>
          <w:p w14:paraId="269F6BE6"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-9,9</w:t>
            </w:r>
          </w:p>
        </w:tc>
        <w:tc>
          <w:tcPr>
            <w:tcW w:w="766" w:type="dxa"/>
            <w:tcBorders>
              <w:top w:val="nil"/>
              <w:left w:val="nil"/>
              <w:bottom w:val="single" w:sz="4" w:space="0" w:color="auto"/>
              <w:right w:val="single" w:sz="4" w:space="0" w:color="auto"/>
            </w:tcBorders>
            <w:shd w:val="clear" w:color="auto" w:fill="auto"/>
            <w:vAlign w:val="center"/>
            <w:hideMark/>
          </w:tcPr>
          <w:p w14:paraId="4CFB248E"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-8,3</w:t>
            </w:r>
          </w:p>
        </w:tc>
        <w:tc>
          <w:tcPr>
            <w:tcW w:w="843" w:type="dxa"/>
            <w:tcBorders>
              <w:top w:val="nil"/>
              <w:left w:val="nil"/>
              <w:bottom w:val="single" w:sz="4" w:space="0" w:color="auto"/>
              <w:right w:val="single" w:sz="4" w:space="0" w:color="auto"/>
            </w:tcBorders>
            <w:shd w:val="clear" w:color="auto" w:fill="auto"/>
            <w:vAlign w:val="center"/>
            <w:hideMark/>
          </w:tcPr>
          <w:p w14:paraId="59B638CC" w14:textId="77777777" w:rsidR="008219D5" w:rsidRPr="00092ED7" w:rsidRDefault="008219D5" w:rsidP="008219D5">
            <w:pPr>
              <w:spacing w:after="0"/>
              <w:jc w:val="right"/>
              <w:rPr>
                <w:rFonts w:eastAsia="Times New Roman" w:cs="Times New Roman"/>
                <w:sz w:val="20"/>
                <w:szCs w:val="20"/>
                <w:lang w:val="sr-Cyrl-CS" w:eastAsia="sr-Latn-RS"/>
              </w:rPr>
            </w:pPr>
            <w:r w:rsidRPr="00092ED7">
              <w:rPr>
                <w:rFonts w:eastAsia="Times New Roman" w:cs="Times New Roman"/>
                <w:sz w:val="20"/>
                <w:szCs w:val="20"/>
                <w:lang w:val="sr-Cyrl-CS" w:eastAsia="sr-Latn-RS"/>
              </w:rPr>
              <w:t>-7,8</w:t>
            </w:r>
          </w:p>
        </w:tc>
      </w:tr>
    </w:tbl>
    <w:p w14:paraId="2B09958A" w14:textId="77777777" w:rsidR="00D030D6" w:rsidRPr="00092ED7" w:rsidRDefault="00D030D6">
      <w:pPr>
        <w:spacing w:after="160" w:line="259" w:lineRule="auto"/>
        <w:jc w:val="left"/>
        <w:rPr>
          <w:rFonts w:eastAsia="MS PGothic" w:cs="Times New Roman"/>
          <w:b/>
          <w:color w:val="000000"/>
          <w:szCs w:val="24"/>
          <w:lang w:val="sr-Cyrl-CS"/>
        </w:rPr>
      </w:pPr>
      <w:bookmarkStart w:id="123" w:name="_Toc61953869"/>
      <w:bookmarkStart w:id="124" w:name="_Toc93386008"/>
      <w:r w:rsidRPr="00092ED7">
        <w:rPr>
          <w:rFonts w:cs="Times New Roman"/>
          <w:b/>
          <w:lang w:val="sr-Cyrl-CS"/>
        </w:rPr>
        <w:br w:type="page"/>
      </w:r>
    </w:p>
    <w:p w14:paraId="29BA87DB" w14:textId="77777777" w:rsidR="008D7C20" w:rsidRPr="00092ED7" w:rsidRDefault="008D7C20" w:rsidP="008D7C20">
      <w:pPr>
        <w:pStyle w:val="Heading3"/>
        <w:rPr>
          <w:rFonts w:ascii="Times New Roman" w:hAnsi="Times New Roman" w:cs="Times New Roman"/>
          <w:b/>
          <w:lang w:val="sr-Cyrl-CS"/>
        </w:rPr>
      </w:pPr>
      <w:bookmarkStart w:id="125" w:name="_Toc124174839"/>
      <w:r w:rsidRPr="00092ED7">
        <w:rPr>
          <w:rFonts w:ascii="Times New Roman" w:hAnsi="Times New Roman" w:cs="Times New Roman"/>
          <w:b/>
          <w:lang w:val="sr-Cyrl-CS"/>
        </w:rPr>
        <w:lastRenderedPageBreak/>
        <w:t>Табела 10: Ефекти структурних реформи на буџет</w:t>
      </w:r>
      <w:bookmarkEnd w:id="123"/>
      <w:bookmarkEnd w:id="124"/>
      <w:bookmarkEnd w:id="125"/>
    </w:p>
    <w:p w14:paraId="73FAA34A" w14:textId="77777777" w:rsidR="008D7C20" w:rsidRPr="00092ED7" w:rsidRDefault="008D7C20" w:rsidP="008D7C20">
      <w:pPr>
        <w:spacing w:before="120"/>
        <w:rPr>
          <w:rFonts w:cs="Times New Roman"/>
          <w:b/>
          <w:bCs/>
          <w:sz w:val="20"/>
          <w:szCs w:val="20"/>
          <w:lang w:val="sr-Cyrl-CS"/>
        </w:rPr>
      </w:pPr>
      <w:r w:rsidRPr="00092ED7">
        <w:rPr>
          <w:rFonts w:cs="Times New Roman"/>
          <w:b/>
          <w:bCs/>
          <w:sz w:val="20"/>
          <w:szCs w:val="20"/>
          <w:lang w:val="sr-Cyrl-CS"/>
        </w:rPr>
        <w:t>Табела 10</w:t>
      </w:r>
      <w:r w:rsidR="00812992" w:rsidRPr="00092ED7">
        <w:rPr>
          <w:rFonts w:cs="Times New Roman"/>
          <w:b/>
          <w:bCs/>
          <w:sz w:val="20"/>
          <w:szCs w:val="20"/>
          <w:lang w:val="sr-Cyrl-CS"/>
        </w:rPr>
        <w:t xml:space="preserve"> </w:t>
      </w:r>
      <w:r w:rsidRPr="00092ED7">
        <w:rPr>
          <w:rFonts w:cs="Times New Roman"/>
          <w:b/>
          <w:bCs/>
          <w:sz w:val="20"/>
          <w:szCs w:val="20"/>
          <w:lang w:val="sr-Cyrl-CS"/>
        </w:rPr>
        <w:t>а: Утврђивање трошкова структурних реформи у периоду 2023-2025. година у еврима</w:t>
      </w:r>
    </w:p>
    <w:tbl>
      <w:tblPr>
        <w:tblW w:w="0" w:type="auto"/>
        <w:tblLook w:val="04A0" w:firstRow="1" w:lastRow="0" w:firstColumn="1" w:lastColumn="0" w:noHBand="0" w:noVBand="1"/>
      </w:tblPr>
      <w:tblGrid>
        <w:gridCol w:w="1176"/>
        <w:gridCol w:w="1290"/>
        <w:gridCol w:w="1750"/>
        <w:gridCol w:w="1624"/>
        <w:gridCol w:w="1538"/>
        <w:gridCol w:w="1628"/>
      </w:tblGrid>
      <w:tr w:rsidR="008D7C20" w:rsidRPr="00092ED7" w14:paraId="3A4D96EB" w14:textId="77777777" w:rsidTr="00EE16E2">
        <w:trPr>
          <w:trHeight w:val="330"/>
        </w:trPr>
        <w:tc>
          <w:tcPr>
            <w:tcW w:w="0" w:type="auto"/>
            <w:gridSpan w:val="6"/>
            <w:tcBorders>
              <w:top w:val="single" w:sz="8" w:space="0" w:color="auto"/>
              <w:left w:val="single" w:sz="8" w:space="0" w:color="auto"/>
              <w:bottom w:val="single" w:sz="8" w:space="0" w:color="auto"/>
              <w:right w:val="single" w:sz="8" w:space="0" w:color="auto"/>
            </w:tcBorders>
            <w:shd w:val="clear" w:color="000000" w:fill="D0CECE"/>
            <w:noWrap/>
            <w:vAlign w:val="center"/>
            <w:hideMark/>
          </w:tcPr>
          <w:p w14:paraId="715739B4" w14:textId="77777777" w:rsidR="008D7C20" w:rsidRPr="00092ED7" w:rsidRDefault="008D7C20" w:rsidP="00F50B50">
            <w:pPr>
              <w:spacing w:after="0"/>
              <w:jc w:val="left"/>
              <w:rPr>
                <w:rFonts w:eastAsia="Times New Roman" w:cs="Times New Roman"/>
                <w:b/>
                <w:bCs/>
                <w:sz w:val="20"/>
                <w:szCs w:val="20"/>
                <w:lang w:val="sr-Cyrl-CS"/>
              </w:rPr>
            </w:pPr>
            <w:r w:rsidRPr="00092ED7">
              <w:rPr>
                <w:rFonts w:eastAsia="Times New Roman" w:cs="Times New Roman"/>
                <w:b/>
                <w:bCs/>
                <w:sz w:val="20"/>
                <w:szCs w:val="20"/>
                <w:lang w:val="sr-Cyrl-CS"/>
              </w:rPr>
              <w:t xml:space="preserve">1. Успостављање оквира за увођење </w:t>
            </w:r>
            <w:r w:rsidR="00F50B50" w:rsidRPr="00092ED7">
              <w:rPr>
                <w:rFonts w:eastAsia="Times New Roman" w:cs="Times New Roman"/>
                <w:b/>
                <w:bCs/>
                <w:sz w:val="20"/>
                <w:szCs w:val="20"/>
                <w:lang w:val="sr-Cyrl-CS"/>
              </w:rPr>
              <w:t xml:space="preserve">Гаранције </w:t>
            </w:r>
            <w:r w:rsidRPr="00092ED7">
              <w:rPr>
                <w:rFonts w:eastAsia="Times New Roman" w:cs="Times New Roman"/>
                <w:b/>
                <w:bCs/>
                <w:sz w:val="20"/>
                <w:szCs w:val="20"/>
                <w:lang w:val="sr-Cyrl-CS"/>
              </w:rPr>
              <w:t>за младе у Републици Србији</w:t>
            </w:r>
          </w:p>
        </w:tc>
      </w:tr>
      <w:tr w:rsidR="00FD090A" w:rsidRPr="00092ED7" w14:paraId="12EBB455"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4DA377D5"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b/>
                <w:bCs/>
                <w:color w:val="000000"/>
                <w:sz w:val="20"/>
                <w:szCs w:val="20"/>
                <w:lang w:val="sr-Cyrl-CS"/>
              </w:rPr>
              <w:t>Година</w:t>
            </w:r>
          </w:p>
        </w:tc>
        <w:tc>
          <w:tcPr>
            <w:tcW w:w="1290" w:type="dxa"/>
            <w:tcBorders>
              <w:top w:val="nil"/>
              <w:left w:val="nil"/>
              <w:bottom w:val="single" w:sz="8" w:space="0" w:color="auto"/>
              <w:right w:val="single" w:sz="8" w:space="0" w:color="auto"/>
            </w:tcBorders>
            <w:shd w:val="clear" w:color="auto" w:fill="auto"/>
            <w:noWrap/>
            <w:vAlign w:val="center"/>
            <w:hideMark/>
          </w:tcPr>
          <w:p w14:paraId="133904A4"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Плате</w:t>
            </w:r>
          </w:p>
        </w:tc>
        <w:tc>
          <w:tcPr>
            <w:tcW w:w="1750" w:type="dxa"/>
            <w:tcBorders>
              <w:top w:val="nil"/>
              <w:left w:val="nil"/>
              <w:bottom w:val="single" w:sz="8" w:space="0" w:color="auto"/>
              <w:right w:val="single" w:sz="8" w:space="0" w:color="auto"/>
            </w:tcBorders>
            <w:shd w:val="clear" w:color="auto" w:fill="auto"/>
            <w:noWrap/>
            <w:vAlign w:val="center"/>
            <w:hideMark/>
          </w:tcPr>
          <w:p w14:paraId="0D73CE64"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Добра и услуге</w:t>
            </w:r>
          </w:p>
        </w:tc>
        <w:tc>
          <w:tcPr>
            <w:tcW w:w="1624" w:type="dxa"/>
            <w:tcBorders>
              <w:top w:val="nil"/>
              <w:left w:val="nil"/>
              <w:bottom w:val="single" w:sz="8" w:space="0" w:color="auto"/>
              <w:right w:val="single" w:sz="8" w:space="0" w:color="auto"/>
            </w:tcBorders>
            <w:shd w:val="clear" w:color="auto" w:fill="auto"/>
            <w:noWrap/>
            <w:vAlign w:val="center"/>
            <w:hideMark/>
          </w:tcPr>
          <w:p w14:paraId="2EC17865"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Субвенције и трансфери</w:t>
            </w:r>
          </w:p>
        </w:tc>
        <w:tc>
          <w:tcPr>
            <w:tcW w:w="1538" w:type="dxa"/>
            <w:tcBorders>
              <w:top w:val="nil"/>
              <w:left w:val="nil"/>
              <w:bottom w:val="single" w:sz="8" w:space="0" w:color="auto"/>
              <w:right w:val="single" w:sz="8" w:space="0" w:color="auto"/>
            </w:tcBorders>
            <w:shd w:val="clear" w:color="auto" w:fill="auto"/>
            <w:noWrap/>
            <w:vAlign w:val="center"/>
            <w:hideMark/>
          </w:tcPr>
          <w:p w14:paraId="4F3478A8"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Капитални расходи</w:t>
            </w:r>
          </w:p>
        </w:tc>
        <w:tc>
          <w:tcPr>
            <w:tcW w:w="1628" w:type="dxa"/>
            <w:tcBorders>
              <w:top w:val="nil"/>
              <w:left w:val="nil"/>
              <w:bottom w:val="single" w:sz="8" w:space="0" w:color="auto"/>
              <w:right w:val="single" w:sz="8" w:space="0" w:color="auto"/>
            </w:tcBorders>
            <w:shd w:val="clear" w:color="auto" w:fill="auto"/>
            <w:noWrap/>
            <w:vAlign w:val="center"/>
            <w:hideMark/>
          </w:tcPr>
          <w:p w14:paraId="2B05A730"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Укупно</w:t>
            </w:r>
          </w:p>
        </w:tc>
      </w:tr>
      <w:tr w:rsidR="00FD090A" w:rsidRPr="00092ED7" w14:paraId="0E0F519A"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7771D6D3"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2023</w:t>
            </w:r>
          </w:p>
        </w:tc>
        <w:tc>
          <w:tcPr>
            <w:tcW w:w="1290" w:type="dxa"/>
            <w:tcBorders>
              <w:top w:val="nil"/>
              <w:left w:val="nil"/>
              <w:bottom w:val="single" w:sz="8" w:space="0" w:color="auto"/>
              <w:right w:val="single" w:sz="8" w:space="0" w:color="auto"/>
            </w:tcBorders>
            <w:shd w:val="clear" w:color="auto" w:fill="auto"/>
            <w:noWrap/>
            <w:vAlign w:val="center"/>
            <w:hideMark/>
          </w:tcPr>
          <w:p w14:paraId="654B5476"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750" w:type="dxa"/>
            <w:tcBorders>
              <w:top w:val="nil"/>
              <w:left w:val="nil"/>
              <w:bottom w:val="single" w:sz="8" w:space="0" w:color="auto"/>
              <w:right w:val="single" w:sz="8" w:space="0" w:color="auto"/>
            </w:tcBorders>
            <w:shd w:val="clear" w:color="auto" w:fill="auto"/>
            <w:noWrap/>
            <w:vAlign w:val="center"/>
            <w:hideMark/>
          </w:tcPr>
          <w:p w14:paraId="15F41DCB" w14:textId="77777777" w:rsidR="008D7C20" w:rsidRPr="00092ED7" w:rsidRDefault="008D7C20" w:rsidP="008D7C20">
            <w:pPr>
              <w:spacing w:after="0"/>
              <w:jc w:val="right"/>
              <w:rPr>
                <w:rFonts w:eastAsia="Times New Roman" w:cs="Times New Roman"/>
                <w:sz w:val="20"/>
                <w:szCs w:val="20"/>
                <w:lang w:val="sr-Cyrl-CS"/>
              </w:rPr>
            </w:pPr>
            <w:r w:rsidRPr="00092ED7">
              <w:rPr>
                <w:rFonts w:eastAsia="Times New Roman" w:cs="Times New Roman"/>
                <w:sz w:val="20"/>
                <w:szCs w:val="20"/>
                <w:lang w:val="sr-Cyrl-CS"/>
              </w:rPr>
              <w:t>300.000,00</w:t>
            </w:r>
          </w:p>
        </w:tc>
        <w:tc>
          <w:tcPr>
            <w:tcW w:w="1624" w:type="dxa"/>
            <w:tcBorders>
              <w:top w:val="nil"/>
              <w:left w:val="nil"/>
              <w:bottom w:val="single" w:sz="8" w:space="0" w:color="auto"/>
              <w:right w:val="single" w:sz="8" w:space="0" w:color="auto"/>
            </w:tcBorders>
            <w:shd w:val="clear" w:color="auto" w:fill="auto"/>
            <w:noWrap/>
            <w:vAlign w:val="center"/>
            <w:hideMark/>
          </w:tcPr>
          <w:p w14:paraId="5127AFF0"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2.681.250,00</w:t>
            </w:r>
          </w:p>
        </w:tc>
        <w:tc>
          <w:tcPr>
            <w:tcW w:w="1538" w:type="dxa"/>
            <w:tcBorders>
              <w:top w:val="nil"/>
              <w:left w:val="nil"/>
              <w:bottom w:val="single" w:sz="8" w:space="0" w:color="auto"/>
              <w:right w:val="single" w:sz="8" w:space="0" w:color="auto"/>
            </w:tcBorders>
            <w:shd w:val="clear" w:color="auto" w:fill="auto"/>
            <w:noWrap/>
            <w:vAlign w:val="center"/>
            <w:hideMark/>
          </w:tcPr>
          <w:p w14:paraId="7A95770E"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28" w:type="dxa"/>
            <w:tcBorders>
              <w:top w:val="nil"/>
              <w:left w:val="nil"/>
              <w:bottom w:val="single" w:sz="8" w:space="0" w:color="auto"/>
              <w:right w:val="single" w:sz="8" w:space="0" w:color="auto"/>
            </w:tcBorders>
            <w:shd w:val="clear" w:color="auto" w:fill="auto"/>
            <w:noWrap/>
            <w:vAlign w:val="center"/>
            <w:hideMark/>
          </w:tcPr>
          <w:p w14:paraId="5305515D"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2.981.250,00</w:t>
            </w:r>
          </w:p>
        </w:tc>
      </w:tr>
      <w:tr w:rsidR="00FD090A" w:rsidRPr="00092ED7" w14:paraId="37B70C38"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7CBA3B3C"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2024</w:t>
            </w:r>
          </w:p>
        </w:tc>
        <w:tc>
          <w:tcPr>
            <w:tcW w:w="1290" w:type="dxa"/>
            <w:tcBorders>
              <w:top w:val="nil"/>
              <w:left w:val="nil"/>
              <w:bottom w:val="single" w:sz="8" w:space="0" w:color="auto"/>
              <w:right w:val="single" w:sz="8" w:space="0" w:color="auto"/>
            </w:tcBorders>
            <w:shd w:val="clear" w:color="auto" w:fill="auto"/>
            <w:noWrap/>
            <w:vAlign w:val="center"/>
            <w:hideMark/>
          </w:tcPr>
          <w:p w14:paraId="0F7F7924"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750" w:type="dxa"/>
            <w:tcBorders>
              <w:top w:val="nil"/>
              <w:left w:val="nil"/>
              <w:bottom w:val="single" w:sz="8" w:space="0" w:color="auto"/>
              <w:right w:val="single" w:sz="8" w:space="0" w:color="auto"/>
            </w:tcBorders>
            <w:shd w:val="clear" w:color="auto" w:fill="auto"/>
            <w:noWrap/>
            <w:vAlign w:val="center"/>
            <w:hideMark/>
          </w:tcPr>
          <w:p w14:paraId="285715CC" w14:textId="77777777" w:rsidR="008D7C20" w:rsidRPr="00092ED7" w:rsidRDefault="008D7C20" w:rsidP="008D7C20">
            <w:pPr>
              <w:spacing w:after="0"/>
              <w:jc w:val="right"/>
              <w:rPr>
                <w:rFonts w:eastAsia="Times New Roman" w:cs="Times New Roman"/>
                <w:sz w:val="20"/>
                <w:szCs w:val="20"/>
                <w:lang w:val="sr-Cyrl-CS"/>
              </w:rPr>
            </w:pPr>
            <w:r w:rsidRPr="00092ED7">
              <w:rPr>
                <w:rFonts w:eastAsia="Times New Roman" w:cs="Times New Roman"/>
                <w:sz w:val="20"/>
                <w:szCs w:val="20"/>
                <w:lang w:val="sr-Cyrl-CS"/>
              </w:rPr>
              <w:t>420.000,00</w:t>
            </w:r>
          </w:p>
        </w:tc>
        <w:tc>
          <w:tcPr>
            <w:tcW w:w="1624" w:type="dxa"/>
            <w:tcBorders>
              <w:top w:val="nil"/>
              <w:left w:val="nil"/>
              <w:bottom w:val="single" w:sz="8" w:space="0" w:color="auto"/>
              <w:right w:val="single" w:sz="8" w:space="0" w:color="auto"/>
            </w:tcBorders>
            <w:shd w:val="clear" w:color="auto" w:fill="auto"/>
            <w:noWrap/>
            <w:vAlign w:val="center"/>
            <w:hideMark/>
          </w:tcPr>
          <w:p w14:paraId="2FEC0409"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2.268.750,00</w:t>
            </w:r>
          </w:p>
        </w:tc>
        <w:tc>
          <w:tcPr>
            <w:tcW w:w="1538" w:type="dxa"/>
            <w:tcBorders>
              <w:top w:val="nil"/>
              <w:left w:val="nil"/>
              <w:bottom w:val="single" w:sz="8" w:space="0" w:color="auto"/>
              <w:right w:val="single" w:sz="8" w:space="0" w:color="auto"/>
            </w:tcBorders>
            <w:shd w:val="clear" w:color="auto" w:fill="auto"/>
            <w:noWrap/>
            <w:vAlign w:val="center"/>
            <w:hideMark/>
          </w:tcPr>
          <w:p w14:paraId="0C638758"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28" w:type="dxa"/>
            <w:tcBorders>
              <w:top w:val="nil"/>
              <w:left w:val="nil"/>
              <w:bottom w:val="single" w:sz="8" w:space="0" w:color="auto"/>
              <w:right w:val="single" w:sz="8" w:space="0" w:color="auto"/>
            </w:tcBorders>
            <w:shd w:val="clear" w:color="auto" w:fill="auto"/>
            <w:noWrap/>
            <w:vAlign w:val="center"/>
            <w:hideMark/>
          </w:tcPr>
          <w:p w14:paraId="614BE5AD"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2.688.750,00</w:t>
            </w:r>
          </w:p>
        </w:tc>
      </w:tr>
      <w:tr w:rsidR="00FD090A" w:rsidRPr="00092ED7" w14:paraId="47C1842E"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045C892E"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2025</w:t>
            </w:r>
          </w:p>
        </w:tc>
        <w:tc>
          <w:tcPr>
            <w:tcW w:w="1290" w:type="dxa"/>
            <w:tcBorders>
              <w:top w:val="nil"/>
              <w:left w:val="nil"/>
              <w:bottom w:val="single" w:sz="8" w:space="0" w:color="auto"/>
              <w:right w:val="single" w:sz="8" w:space="0" w:color="auto"/>
            </w:tcBorders>
            <w:shd w:val="clear" w:color="auto" w:fill="auto"/>
            <w:noWrap/>
            <w:vAlign w:val="center"/>
            <w:hideMark/>
          </w:tcPr>
          <w:p w14:paraId="6D074C1A"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750" w:type="dxa"/>
            <w:tcBorders>
              <w:top w:val="nil"/>
              <w:left w:val="nil"/>
              <w:bottom w:val="single" w:sz="8" w:space="0" w:color="auto"/>
              <w:right w:val="single" w:sz="8" w:space="0" w:color="auto"/>
            </w:tcBorders>
            <w:shd w:val="clear" w:color="auto" w:fill="auto"/>
            <w:noWrap/>
            <w:vAlign w:val="center"/>
            <w:hideMark/>
          </w:tcPr>
          <w:p w14:paraId="4BFF6998" w14:textId="77777777" w:rsidR="008D7C20" w:rsidRPr="00092ED7" w:rsidRDefault="008D7C20" w:rsidP="008D7C20">
            <w:pPr>
              <w:spacing w:after="0"/>
              <w:jc w:val="right"/>
              <w:rPr>
                <w:rFonts w:eastAsia="Times New Roman" w:cs="Times New Roman"/>
                <w:sz w:val="20"/>
                <w:szCs w:val="20"/>
                <w:lang w:val="sr-Cyrl-CS"/>
              </w:rPr>
            </w:pPr>
            <w:r w:rsidRPr="00092ED7">
              <w:rPr>
                <w:rFonts w:eastAsia="Times New Roman" w:cs="Times New Roman"/>
                <w:sz w:val="20"/>
                <w:szCs w:val="20"/>
                <w:lang w:val="sr-Cyrl-CS"/>
              </w:rPr>
              <w:t>420.000,00</w:t>
            </w:r>
          </w:p>
        </w:tc>
        <w:tc>
          <w:tcPr>
            <w:tcW w:w="1624" w:type="dxa"/>
            <w:tcBorders>
              <w:top w:val="nil"/>
              <w:left w:val="nil"/>
              <w:bottom w:val="single" w:sz="8" w:space="0" w:color="auto"/>
              <w:right w:val="single" w:sz="8" w:space="0" w:color="auto"/>
            </w:tcBorders>
            <w:shd w:val="clear" w:color="auto" w:fill="auto"/>
            <w:noWrap/>
            <w:vAlign w:val="center"/>
            <w:hideMark/>
          </w:tcPr>
          <w:p w14:paraId="2082D8A4"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550.000,00</w:t>
            </w:r>
          </w:p>
        </w:tc>
        <w:tc>
          <w:tcPr>
            <w:tcW w:w="1538" w:type="dxa"/>
            <w:tcBorders>
              <w:top w:val="nil"/>
              <w:left w:val="nil"/>
              <w:bottom w:val="single" w:sz="8" w:space="0" w:color="auto"/>
              <w:right w:val="single" w:sz="8" w:space="0" w:color="auto"/>
            </w:tcBorders>
            <w:shd w:val="clear" w:color="auto" w:fill="auto"/>
            <w:noWrap/>
            <w:vAlign w:val="center"/>
            <w:hideMark/>
          </w:tcPr>
          <w:p w14:paraId="56BDDF0C"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28" w:type="dxa"/>
            <w:tcBorders>
              <w:top w:val="nil"/>
              <w:left w:val="nil"/>
              <w:bottom w:val="single" w:sz="8" w:space="0" w:color="auto"/>
              <w:right w:val="single" w:sz="8" w:space="0" w:color="auto"/>
            </w:tcBorders>
            <w:shd w:val="clear" w:color="auto" w:fill="auto"/>
            <w:noWrap/>
            <w:vAlign w:val="center"/>
            <w:hideMark/>
          </w:tcPr>
          <w:p w14:paraId="4D22B689"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970.000,00</w:t>
            </w:r>
          </w:p>
        </w:tc>
      </w:tr>
      <w:tr w:rsidR="008D7C20" w:rsidRPr="00092ED7" w14:paraId="102325B1" w14:textId="77777777" w:rsidTr="007C54E3">
        <w:trPr>
          <w:trHeight w:val="330"/>
        </w:trPr>
        <w:tc>
          <w:tcPr>
            <w:tcW w:w="9006" w:type="dxa"/>
            <w:gridSpan w:val="6"/>
            <w:tcBorders>
              <w:top w:val="single" w:sz="8" w:space="0" w:color="auto"/>
              <w:left w:val="single" w:sz="8" w:space="0" w:color="auto"/>
              <w:bottom w:val="single" w:sz="8" w:space="0" w:color="auto"/>
              <w:right w:val="single" w:sz="8" w:space="0" w:color="auto"/>
            </w:tcBorders>
            <w:shd w:val="clear" w:color="000000" w:fill="D0CECE"/>
            <w:noWrap/>
            <w:vAlign w:val="center"/>
            <w:hideMark/>
          </w:tcPr>
          <w:p w14:paraId="65F8AD74" w14:textId="77777777" w:rsidR="008D7C20" w:rsidRPr="00092ED7" w:rsidRDefault="008D7C20" w:rsidP="008D7C20">
            <w:pPr>
              <w:spacing w:after="0"/>
              <w:jc w:val="left"/>
              <w:rPr>
                <w:rFonts w:eastAsia="Times New Roman" w:cs="Times New Roman"/>
                <w:b/>
                <w:bCs/>
                <w:sz w:val="20"/>
                <w:szCs w:val="20"/>
                <w:lang w:val="sr-Cyrl-CS"/>
              </w:rPr>
            </w:pPr>
            <w:r w:rsidRPr="00092ED7">
              <w:rPr>
                <w:rFonts w:eastAsia="Times New Roman" w:cs="Times New Roman"/>
                <w:b/>
                <w:bCs/>
                <w:sz w:val="20"/>
                <w:szCs w:val="20"/>
                <w:lang w:val="sr-Cyrl-CS"/>
              </w:rPr>
              <w:t>2. Реформа Фонда за младе таленте</w:t>
            </w:r>
          </w:p>
        </w:tc>
      </w:tr>
      <w:tr w:rsidR="00FD090A" w:rsidRPr="00092ED7" w14:paraId="6FFED0A0"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2F69B604"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b/>
                <w:bCs/>
                <w:sz w:val="20"/>
                <w:szCs w:val="20"/>
                <w:lang w:val="sr-Cyrl-CS"/>
              </w:rPr>
              <w:t>Година</w:t>
            </w:r>
          </w:p>
        </w:tc>
        <w:tc>
          <w:tcPr>
            <w:tcW w:w="1290" w:type="dxa"/>
            <w:tcBorders>
              <w:top w:val="nil"/>
              <w:left w:val="nil"/>
              <w:bottom w:val="single" w:sz="8" w:space="0" w:color="auto"/>
              <w:right w:val="single" w:sz="8" w:space="0" w:color="auto"/>
            </w:tcBorders>
            <w:shd w:val="clear" w:color="auto" w:fill="auto"/>
            <w:noWrap/>
            <w:vAlign w:val="center"/>
            <w:hideMark/>
          </w:tcPr>
          <w:p w14:paraId="05789292"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Плате</w:t>
            </w:r>
          </w:p>
        </w:tc>
        <w:tc>
          <w:tcPr>
            <w:tcW w:w="1750" w:type="dxa"/>
            <w:tcBorders>
              <w:top w:val="nil"/>
              <w:left w:val="nil"/>
              <w:bottom w:val="single" w:sz="8" w:space="0" w:color="auto"/>
              <w:right w:val="single" w:sz="8" w:space="0" w:color="auto"/>
            </w:tcBorders>
            <w:shd w:val="clear" w:color="auto" w:fill="auto"/>
            <w:noWrap/>
            <w:vAlign w:val="center"/>
            <w:hideMark/>
          </w:tcPr>
          <w:p w14:paraId="7D9B99B7"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Добра и услуге</w:t>
            </w:r>
          </w:p>
        </w:tc>
        <w:tc>
          <w:tcPr>
            <w:tcW w:w="1624" w:type="dxa"/>
            <w:tcBorders>
              <w:top w:val="nil"/>
              <w:left w:val="nil"/>
              <w:bottom w:val="single" w:sz="8" w:space="0" w:color="auto"/>
              <w:right w:val="single" w:sz="8" w:space="0" w:color="auto"/>
            </w:tcBorders>
            <w:shd w:val="clear" w:color="auto" w:fill="auto"/>
            <w:noWrap/>
            <w:vAlign w:val="center"/>
            <w:hideMark/>
          </w:tcPr>
          <w:p w14:paraId="556507E7"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Субвенције и трансфери</w:t>
            </w:r>
          </w:p>
        </w:tc>
        <w:tc>
          <w:tcPr>
            <w:tcW w:w="1538" w:type="dxa"/>
            <w:tcBorders>
              <w:top w:val="nil"/>
              <w:left w:val="nil"/>
              <w:bottom w:val="single" w:sz="8" w:space="0" w:color="auto"/>
              <w:right w:val="single" w:sz="8" w:space="0" w:color="auto"/>
            </w:tcBorders>
            <w:shd w:val="clear" w:color="auto" w:fill="auto"/>
            <w:noWrap/>
            <w:vAlign w:val="center"/>
            <w:hideMark/>
          </w:tcPr>
          <w:p w14:paraId="1FECFDAA"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Капитални расходи</w:t>
            </w:r>
          </w:p>
        </w:tc>
        <w:tc>
          <w:tcPr>
            <w:tcW w:w="1628" w:type="dxa"/>
            <w:tcBorders>
              <w:top w:val="nil"/>
              <w:left w:val="nil"/>
              <w:bottom w:val="single" w:sz="8" w:space="0" w:color="auto"/>
              <w:right w:val="single" w:sz="8" w:space="0" w:color="auto"/>
            </w:tcBorders>
            <w:shd w:val="clear" w:color="auto" w:fill="auto"/>
            <w:noWrap/>
            <w:vAlign w:val="center"/>
            <w:hideMark/>
          </w:tcPr>
          <w:p w14:paraId="61CC26F1"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Укупно</w:t>
            </w:r>
          </w:p>
        </w:tc>
      </w:tr>
      <w:tr w:rsidR="00FD090A" w:rsidRPr="00092ED7" w14:paraId="59EF8D13"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1D968B9A"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2023</w:t>
            </w:r>
          </w:p>
        </w:tc>
        <w:tc>
          <w:tcPr>
            <w:tcW w:w="1290" w:type="dxa"/>
            <w:tcBorders>
              <w:top w:val="nil"/>
              <w:left w:val="nil"/>
              <w:bottom w:val="single" w:sz="8" w:space="0" w:color="auto"/>
              <w:right w:val="single" w:sz="8" w:space="0" w:color="auto"/>
            </w:tcBorders>
            <w:shd w:val="clear" w:color="auto" w:fill="auto"/>
            <w:noWrap/>
            <w:vAlign w:val="center"/>
            <w:hideMark/>
          </w:tcPr>
          <w:p w14:paraId="337667FD"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750" w:type="dxa"/>
            <w:tcBorders>
              <w:top w:val="nil"/>
              <w:left w:val="nil"/>
              <w:bottom w:val="single" w:sz="8" w:space="0" w:color="auto"/>
              <w:right w:val="single" w:sz="8" w:space="0" w:color="auto"/>
            </w:tcBorders>
            <w:shd w:val="clear" w:color="auto" w:fill="auto"/>
            <w:noWrap/>
            <w:vAlign w:val="center"/>
            <w:hideMark/>
          </w:tcPr>
          <w:p w14:paraId="608034F7" w14:textId="77777777" w:rsidR="008D7C20" w:rsidRPr="00092ED7" w:rsidRDefault="008D7C20" w:rsidP="008D7C20">
            <w:pPr>
              <w:spacing w:after="0"/>
              <w:jc w:val="right"/>
              <w:rPr>
                <w:rFonts w:eastAsia="Times New Roman" w:cs="Times New Roman"/>
                <w:sz w:val="20"/>
                <w:szCs w:val="20"/>
                <w:lang w:val="sr-Cyrl-CS"/>
              </w:rPr>
            </w:pPr>
            <w:r w:rsidRPr="00092ED7">
              <w:rPr>
                <w:rFonts w:eastAsia="Times New Roman" w:cs="Times New Roman"/>
                <w:sz w:val="20"/>
                <w:szCs w:val="20"/>
                <w:lang w:val="sr-Cyrl-CS"/>
              </w:rPr>
              <w:t>8.090.531,00</w:t>
            </w:r>
          </w:p>
        </w:tc>
        <w:tc>
          <w:tcPr>
            <w:tcW w:w="1624" w:type="dxa"/>
            <w:tcBorders>
              <w:top w:val="nil"/>
              <w:left w:val="nil"/>
              <w:bottom w:val="single" w:sz="8" w:space="0" w:color="auto"/>
              <w:right w:val="single" w:sz="8" w:space="0" w:color="auto"/>
            </w:tcBorders>
            <w:shd w:val="clear" w:color="auto" w:fill="auto"/>
            <w:noWrap/>
            <w:vAlign w:val="center"/>
            <w:hideMark/>
          </w:tcPr>
          <w:p w14:paraId="317CE2B0"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38" w:type="dxa"/>
            <w:tcBorders>
              <w:top w:val="nil"/>
              <w:left w:val="nil"/>
              <w:bottom w:val="single" w:sz="8" w:space="0" w:color="auto"/>
              <w:right w:val="single" w:sz="8" w:space="0" w:color="auto"/>
            </w:tcBorders>
            <w:shd w:val="clear" w:color="auto" w:fill="auto"/>
            <w:noWrap/>
            <w:vAlign w:val="center"/>
            <w:hideMark/>
          </w:tcPr>
          <w:p w14:paraId="1F11568D"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28" w:type="dxa"/>
            <w:tcBorders>
              <w:top w:val="nil"/>
              <w:left w:val="nil"/>
              <w:bottom w:val="single" w:sz="8" w:space="0" w:color="auto"/>
              <w:right w:val="single" w:sz="8" w:space="0" w:color="auto"/>
            </w:tcBorders>
            <w:shd w:val="clear" w:color="auto" w:fill="auto"/>
            <w:noWrap/>
            <w:vAlign w:val="center"/>
            <w:hideMark/>
          </w:tcPr>
          <w:p w14:paraId="7732262D"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8.090.531,00</w:t>
            </w:r>
          </w:p>
        </w:tc>
      </w:tr>
      <w:tr w:rsidR="00FD090A" w:rsidRPr="00092ED7" w14:paraId="0959C2F3"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5603EE23"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2024</w:t>
            </w:r>
          </w:p>
        </w:tc>
        <w:tc>
          <w:tcPr>
            <w:tcW w:w="1290" w:type="dxa"/>
            <w:tcBorders>
              <w:top w:val="nil"/>
              <w:left w:val="nil"/>
              <w:bottom w:val="single" w:sz="8" w:space="0" w:color="auto"/>
              <w:right w:val="single" w:sz="8" w:space="0" w:color="auto"/>
            </w:tcBorders>
            <w:shd w:val="clear" w:color="auto" w:fill="auto"/>
            <w:noWrap/>
            <w:vAlign w:val="center"/>
            <w:hideMark/>
          </w:tcPr>
          <w:p w14:paraId="6FD3A58E"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750" w:type="dxa"/>
            <w:tcBorders>
              <w:top w:val="nil"/>
              <w:left w:val="nil"/>
              <w:bottom w:val="single" w:sz="8" w:space="0" w:color="auto"/>
              <w:right w:val="single" w:sz="8" w:space="0" w:color="auto"/>
            </w:tcBorders>
            <w:shd w:val="clear" w:color="auto" w:fill="auto"/>
            <w:noWrap/>
            <w:vAlign w:val="center"/>
            <w:hideMark/>
          </w:tcPr>
          <w:p w14:paraId="2583278F" w14:textId="77777777" w:rsidR="008D7C20" w:rsidRPr="00092ED7" w:rsidRDefault="008D7C20" w:rsidP="008D7C20">
            <w:pPr>
              <w:spacing w:after="0"/>
              <w:jc w:val="right"/>
              <w:rPr>
                <w:rFonts w:eastAsia="Times New Roman" w:cs="Times New Roman"/>
                <w:sz w:val="20"/>
                <w:szCs w:val="20"/>
                <w:lang w:val="sr-Cyrl-CS"/>
              </w:rPr>
            </w:pPr>
            <w:r w:rsidRPr="00092ED7">
              <w:rPr>
                <w:rFonts w:eastAsia="Times New Roman" w:cs="Times New Roman"/>
                <w:sz w:val="20"/>
                <w:szCs w:val="20"/>
                <w:lang w:val="sr-Cyrl-CS"/>
              </w:rPr>
              <w:t>8.888.031,00</w:t>
            </w:r>
          </w:p>
        </w:tc>
        <w:tc>
          <w:tcPr>
            <w:tcW w:w="1624" w:type="dxa"/>
            <w:tcBorders>
              <w:top w:val="nil"/>
              <w:left w:val="nil"/>
              <w:bottom w:val="single" w:sz="8" w:space="0" w:color="auto"/>
              <w:right w:val="single" w:sz="8" w:space="0" w:color="auto"/>
            </w:tcBorders>
            <w:shd w:val="clear" w:color="auto" w:fill="auto"/>
            <w:noWrap/>
            <w:vAlign w:val="center"/>
            <w:hideMark/>
          </w:tcPr>
          <w:p w14:paraId="33914CE0"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38" w:type="dxa"/>
            <w:tcBorders>
              <w:top w:val="nil"/>
              <w:left w:val="nil"/>
              <w:bottom w:val="single" w:sz="8" w:space="0" w:color="auto"/>
              <w:right w:val="single" w:sz="8" w:space="0" w:color="auto"/>
            </w:tcBorders>
            <w:shd w:val="clear" w:color="auto" w:fill="auto"/>
            <w:noWrap/>
            <w:vAlign w:val="center"/>
            <w:hideMark/>
          </w:tcPr>
          <w:p w14:paraId="683F027E"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28" w:type="dxa"/>
            <w:tcBorders>
              <w:top w:val="nil"/>
              <w:left w:val="nil"/>
              <w:bottom w:val="single" w:sz="8" w:space="0" w:color="auto"/>
              <w:right w:val="single" w:sz="8" w:space="0" w:color="auto"/>
            </w:tcBorders>
            <w:shd w:val="clear" w:color="auto" w:fill="auto"/>
            <w:noWrap/>
            <w:vAlign w:val="center"/>
            <w:hideMark/>
          </w:tcPr>
          <w:p w14:paraId="544F82CD"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8.888.031,00</w:t>
            </w:r>
          </w:p>
        </w:tc>
      </w:tr>
      <w:tr w:rsidR="00FD090A" w:rsidRPr="00092ED7" w14:paraId="25B33095"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53989AE6"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2025</w:t>
            </w:r>
          </w:p>
        </w:tc>
        <w:tc>
          <w:tcPr>
            <w:tcW w:w="1290" w:type="dxa"/>
            <w:tcBorders>
              <w:top w:val="nil"/>
              <w:left w:val="nil"/>
              <w:bottom w:val="single" w:sz="8" w:space="0" w:color="auto"/>
              <w:right w:val="single" w:sz="8" w:space="0" w:color="auto"/>
            </w:tcBorders>
            <w:shd w:val="clear" w:color="auto" w:fill="auto"/>
            <w:noWrap/>
            <w:vAlign w:val="center"/>
            <w:hideMark/>
          </w:tcPr>
          <w:p w14:paraId="207B535B"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750" w:type="dxa"/>
            <w:tcBorders>
              <w:top w:val="nil"/>
              <w:left w:val="nil"/>
              <w:bottom w:val="single" w:sz="8" w:space="0" w:color="auto"/>
              <w:right w:val="single" w:sz="8" w:space="0" w:color="auto"/>
            </w:tcBorders>
            <w:shd w:val="clear" w:color="auto" w:fill="auto"/>
            <w:noWrap/>
            <w:vAlign w:val="center"/>
            <w:hideMark/>
          </w:tcPr>
          <w:p w14:paraId="36398FD1" w14:textId="77777777" w:rsidR="008D7C20" w:rsidRPr="00092ED7" w:rsidRDefault="008D7C20" w:rsidP="008D7C20">
            <w:pPr>
              <w:spacing w:after="0"/>
              <w:jc w:val="right"/>
              <w:rPr>
                <w:rFonts w:eastAsia="Times New Roman" w:cs="Times New Roman"/>
                <w:sz w:val="20"/>
                <w:szCs w:val="20"/>
                <w:lang w:val="sr-Cyrl-CS"/>
              </w:rPr>
            </w:pPr>
            <w:r w:rsidRPr="00092ED7">
              <w:rPr>
                <w:rFonts w:eastAsia="Times New Roman" w:cs="Times New Roman"/>
                <w:sz w:val="20"/>
                <w:szCs w:val="20"/>
                <w:lang w:val="sr-Cyrl-CS"/>
              </w:rPr>
              <w:t>9.765.281,00</w:t>
            </w:r>
          </w:p>
        </w:tc>
        <w:tc>
          <w:tcPr>
            <w:tcW w:w="1624" w:type="dxa"/>
            <w:tcBorders>
              <w:top w:val="nil"/>
              <w:left w:val="nil"/>
              <w:bottom w:val="single" w:sz="8" w:space="0" w:color="auto"/>
              <w:right w:val="single" w:sz="8" w:space="0" w:color="auto"/>
            </w:tcBorders>
            <w:shd w:val="clear" w:color="auto" w:fill="auto"/>
            <w:noWrap/>
            <w:vAlign w:val="center"/>
            <w:hideMark/>
          </w:tcPr>
          <w:p w14:paraId="594F22E2"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38" w:type="dxa"/>
            <w:tcBorders>
              <w:top w:val="nil"/>
              <w:left w:val="nil"/>
              <w:bottom w:val="single" w:sz="8" w:space="0" w:color="auto"/>
              <w:right w:val="single" w:sz="8" w:space="0" w:color="auto"/>
            </w:tcBorders>
            <w:shd w:val="clear" w:color="auto" w:fill="auto"/>
            <w:noWrap/>
            <w:vAlign w:val="center"/>
            <w:hideMark/>
          </w:tcPr>
          <w:p w14:paraId="4BFA2FC3"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28" w:type="dxa"/>
            <w:tcBorders>
              <w:top w:val="nil"/>
              <w:left w:val="nil"/>
              <w:bottom w:val="single" w:sz="8" w:space="0" w:color="auto"/>
              <w:right w:val="single" w:sz="8" w:space="0" w:color="auto"/>
            </w:tcBorders>
            <w:shd w:val="clear" w:color="auto" w:fill="auto"/>
            <w:noWrap/>
            <w:vAlign w:val="center"/>
            <w:hideMark/>
          </w:tcPr>
          <w:p w14:paraId="580728C0"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9.765.281,00</w:t>
            </w:r>
          </w:p>
        </w:tc>
      </w:tr>
      <w:tr w:rsidR="008D7C20" w:rsidRPr="00092ED7" w14:paraId="6163C04F" w14:textId="77777777" w:rsidTr="007C54E3">
        <w:trPr>
          <w:trHeight w:val="330"/>
        </w:trPr>
        <w:tc>
          <w:tcPr>
            <w:tcW w:w="9006" w:type="dxa"/>
            <w:gridSpan w:val="6"/>
            <w:tcBorders>
              <w:top w:val="single" w:sz="8" w:space="0" w:color="auto"/>
              <w:left w:val="single" w:sz="8" w:space="0" w:color="auto"/>
              <w:bottom w:val="single" w:sz="8" w:space="0" w:color="auto"/>
              <w:right w:val="single" w:sz="8" w:space="0" w:color="auto"/>
            </w:tcBorders>
            <w:shd w:val="clear" w:color="000000" w:fill="D0CECE"/>
            <w:noWrap/>
            <w:vAlign w:val="center"/>
            <w:hideMark/>
          </w:tcPr>
          <w:p w14:paraId="665B8E02" w14:textId="77777777" w:rsidR="008D7C20" w:rsidRPr="00092ED7" w:rsidRDefault="008D7C20" w:rsidP="008D7C20">
            <w:pPr>
              <w:spacing w:after="0"/>
              <w:jc w:val="left"/>
              <w:rPr>
                <w:rFonts w:eastAsia="Times New Roman" w:cs="Times New Roman"/>
                <w:b/>
                <w:bCs/>
                <w:sz w:val="20"/>
                <w:szCs w:val="20"/>
                <w:lang w:val="sr-Cyrl-CS"/>
              </w:rPr>
            </w:pPr>
            <w:r w:rsidRPr="00092ED7">
              <w:rPr>
                <w:rFonts w:eastAsia="Times New Roman" w:cs="Times New Roman"/>
                <w:b/>
                <w:bCs/>
                <w:sz w:val="20"/>
                <w:szCs w:val="20"/>
                <w:lang w:val="sr-Cyrl-CS"/>
              </w:rPr>
              <w:t>3. Квалификације оријентисане према потребама тржишта рада</w:t>
            </w:r>
          </w:p>
        </w:tc>
      </w:tr>
      <w:tr w:rsidR="00FD090A" w:rsidRPr="00092ED7" w14:paraId="4F77D653"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4AD591E2"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b/>
                <w:bCs/>
                <w:sz w:val="20"/>
                <w:szCs w:val="20"/>
                <w:lang w:val="sr-Cyrl-CS"/>
              </w:rPr>
              <w:t>Година</w:t>
            </w:r>
          </w:p>
        </w:tc>
        <w:tc>
          <w:tcPr>
            <w:tcW w:w="1290" w:type="dxa"/>
            <w:tcBorders>
              <w:top w:val="nil"/>
              <w:left w:val="nil"/>
              <w:bottom w:val="single" w:sz="8" w:space="0" w:color="auto"/>
              <w:right w:val="single" w:sz="8" w:space="0" w:color="auto"/>
            </w:tcBorders>
            <w:shd w:val="clear" w:color="auto" w:fill="auto"/>
            <w:noWrap/>
            <w:vAlign w:val="center"/>
            <w:hideMark/>
          </w:tcPr>
          <w:p w14:paraId="7E4A5640"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Плате</w:t>
            </w:r>
          </w:p>
        </w:tc>
        <w:tc>
          <w:tcPr>
            <w:tcW w:w="1750" w:type="dxa"/>
            <w:tcBorders>
              <w:top w:val="nil"/>
              <w:left w:val="nil"/>
              <w:bottom w:val="single" w:sz="8" w:space="0" w:color="auto"/>
              <w:right w:val="single" w:sz="8" w:space="0" w:color="auto"/>
            </w:tcBorders>
            <w:shd w:val="clear" w:color="auto" w:fill="auto"/>
            <w:noWrap/>
            <w:vAlign w:val="center"/>
            <w:hideMark/>
          </w:tcPr>
          <w:p w14:paraId="04DBDC93"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Добра и услуге</w:t>
            </w:r>
          </w:p>
        </w:tc>
        <w:tc>
          <w:tcPr>
            <w:tcW w:w="1624" w:type="dxa"/>
            <w:tcBorders>
              <w:top w:val="nil"/>
              <w:left w:val="nil"/>
              <w:bottom w:val="single" w:sz="8" w:space="0" w:color="auto"/>
              <w:right w:val="single" w:sz="8" w:space="0" w:color="auto"/>
            </w:tcBorders>
            <w:shd w:val="clear" w:color="auto" w:fill="auto"/>
            <w:noWrap/>
            <w:vAlign w:val="center"/>
            <w:hideMark/>
          </w:tcPr>
          <w:p w14:paraId="01A9A8AE"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Субвенције и трансфери</w:t>
            </w:r>
          </w:p>
        </w:tc>
        <w:tc>
          <w:tcPr>
            <w:tcW w:w="1538" w:type="dxa"/>
            <w:tcBorders>
              <w:top w:val="nil"/>
              <w:left w:val="nil"/>
              <w:bottom w:val="single" w:sz="8" w:space="0" w:color="auto"/>
              <w:right w:val="single" w:sz="8" w:space="0" w:color="auto"/>
            </w:tcBorders>
            <w:shd w:val="clear" w:color="auto" w:fill="auto"/>
            <w:noWrap/>
            <w:vAlign w:val="center"/>
            <w:hideMark/>
          </w:tcPr>
          <w:p w14:paraId="64B8D44E"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Капитални расходи</w:t>
            </w:r>
          </w:p>
        </w:tc>
        <w:tc>
          <w:tcPr>
            <w:tcW w:w="1628" w:type="dxa"/>
            <w:tcBorders>
              <w:top w:val="nil"/>
              <w:left w:val="nil"/>
              <w:bottom w:val="single" w:sz="8" w:space="0" w:color="auto"/>
              <w:right w:val="single" w:sz="8" w:space="0" w:color="auto"/>
            </w:tcBorders>
            <w:shd w:val="clear" w:color="auto" w:fill="auto"/>
            <w:noWrap/>
            <w:vAlign w:val="center"/>
            <w:hideMark/>
          </w:tcPr>
          <w:p w14:paraId="21B59DEA"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Укупно</w:t>
            </w:r>
          </w:p>
        </w:tc>
      </w:tr>
      <w:tr w:rsidR="00FD090A" w:rsidRPr="00092ED7" w14:paraId="0A670195"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43661075"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2023</w:t>
            </w:r>
          </w:p>
        </w:tc>
        <w:tc>
          <w:tcPr>
            <w:tcW w:w="1290" w:type="dxa"/>
            <w:tcBorders>
              <w:top w:val="nil"/>
              <w:left w:val="nil"/>
              <w:bottom w:val="single" w:sz="8" w:space="0" w:color="auto"/>
              <w:right w:val="single" w:sz="8" w:space="0" w:color="auto"/>
            </w:tcBorders>
            <w:shd w:val="clear" w:color="auto" w:fill="auto"/>
            <w:noWrap/>
            <w:vAlign w:val="center"/>
            <w:hideMark/>
          </w:tcPr>
          <w:p w14:paraId="3D923E55"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750" w:type="dxa"/>
            <w:tcBorders>
              <w:top w:val="nil"/>
              <w:left w:val="nil"/>
              <w:bottom w:val="single" w:sz="8" w:space="0" w:color="auto"/>
              <w:right w:val="single" w:sz="8" w:space="0" w:color="auto"/>
            </w:tcBorders>
            <w:shd w:val="clear" w:color="auto" w:fill="auto"/>
            <w:noWrap/>
            <w:vAlign w:val="center"/>
            <w:hideMark/>
          </w:tcPr>
          <w:p w14:paraId="2E6E16F3" w14:textId="77777777" w:rsidR="008D7C20" w:rsidRPr="00092ED7" w:rsidRDefault="008D7C20" w:rsidP="008D7C20">
            <w:pPr>
              <w:spacing w:after="0"/>
              <w:jc w:val="right"/>
              <w:rPr>
                <w:rFonts w:eastAsia="Times New Roman" w:cs="Times New Roman"/>
                <w:sz w:val="20"/>
                <w:szCs w:val="20"/>
                <w:lang w:val="sr-Cyrl-CS"/>
              </w:rPr>
            </w:pPr>
            <w:r w:rsidRPr="00092ED7">
              <w:rPr>
                <w:rFonts w:eastAsia="Times New Roman" w:cs="Times New Roman"/>
                <w:sz w:val="20"/>
                <w:szCs w:val="20"/>
                <w:lang w:val="sr-Cyrl-CS"/>
              </w:rPr>
              <w:t>210.664,00</w:t>
            </w:r>
          </w:p>
        </w:tc>
        <w:tc>
          <w:tcPr>
            <w:tcW w:w="1624" w:type="dxa"/>
            <w:tcBorders>
              <w:top w:val="nil"/>
              <w:left w:val="nil"/>
              <w:bottom w:val="single" w:sz="8" w:space="0" w:color="auto"/>
              <w:right w:val="single" w:sz="8" w:space="0" w:color="auto"/>
            </w:tcBorders>
            <w:shd w:val="clear" w:color="auto" w:fill="auto"/>
            <w:noWrap/>
            <w:vAlign w:val="center"/>
            <w:hideMark/>
          </w:tcPr>
          <w:p w14:paraId="50733A79"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38" w:type="dxa"/>
            <w:tcBorders>
              <w:top w:val="nil"/>
              <w:left w:val="nil"/>
              <w:bottom w:val="single" w:sz="8" w:space="0" w:color="auto"/>
              <w:right w:val="single" w:sz="8" w:space="0" w:color="auto"/>
            </w:tcBorders>
            <w:shd w:val="clear" w:color="auto" w:fill="auto"/>
            <w:noWrap/>
            <w:vAlign w:val="center"/>
            <w:hideMark/>
          </w:tcPr>
          <w:p w14:paraId="6F9717C2"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28.300.000,00</w:t>
            </w:r>
          </w:p>
        </w:tc>
        <w:tc>
          <w:tcPr>
            <w:tcW w:w="1628" w:type="dxa"/>
            <w:tcBorders>
              <w:top w:val="nil"/>
              <w:left w:val="nil"/>
              <w:bottom w:val="single" w:sz="8" w:space="0" w:color="auto"/>
              <w:right w:val="single" w:sz="8" w:space="0" w:color="auto"/>
            </w:tcBorders>
            <w:shd w:val="clear" w:color="auto" w:fill="auto"/>
            <w:noWrap/>
            <w:vAlign w:val="center"/>
            <w:hideMark/>
          </w:tcPr>
          <w:p w14:paraId="12776B96"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28.510.664,00</w:t>
            </w:r>
          </w:p>
        </w:tc>
      </w:tr>
      <w:tr w:rsidR="00FD090A" w:rsidRPr="00092ED7" w14:paraId="241627E7"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2CB46B6D"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2024</w:t>
            </w:r>
          </w:p>
        </w:tc>
        <w:tc>
          <w:tcPr>
            <w:tcW w:w="1290" w:type="dxa"/>
            <w:tcBorders>
              <w:top w:val="nil"/>
              <w:left w:val="nil"/>
              <w:bottom w:val="single" w:sz="8" w:space="0" w:color="auto"/>
              <w:right w:val="single" w:sz="8" w:space="0" w:color="auto"/>
            </w:tcBorders>
            <w:shd w:val="clear" w:color="auto" w:fill="auto"/>
            <w:noWrap/>
            <w:vAlign w:val="center"/>
            <w:hideMark/>
          </w:tcPr>
          <w:p w14:paraId="2089F437"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750" w:type="dxa"/>
            <w:tcBorders>
              <w:top w:val="nil"/>
              <w:left w:val="nil"/>
              <w:bottom w:val="single" w:sz="8" w:space="0" w:color="auto"/>
              <w:right w:val="single" w:sz="8" w:space="0" w:color="auto"/>
            </w:tcBorders>
            <w:shd w:val="clear" w:color="auto" w:fill="auto"/>
            <w:noWrap/>
            <w:vAlign w:val="center"/>
            <w:hideMark/>
          </w:tcPr>
          <w:p w14:paraId="676A9D9F" w14:textId="77777777" w:rsidR="008D7C20" w:rsidRPr="00092ED7" w:rsidRDefault="008D7C20" w:rsidP="008D7C20">
            <w:pPr>
              <w:spacing w:after="0"/>
              <w:jc w:val="right"/>
              <w:rPr>
                <w:rFonts w:eastAsia="Times New Roman" w:cs="Times New Roman"/>
                <w:sz w:val="20"/>
                <w:szCs w:val="20"/>
                <w:lang w:val="sr-Cyrl-CS"/>
              </w:rPr>
            </w:pPr>
            <w:r w:rsidRPr="00092ED7">
              <w:rPr>
                <w:rFonts w:eastAsia="Times New Roman" w:cs="Times New Roman"/>
                <w:sz w:val="20"/>
                <w:szCs w:val="20"/>
                <w:lang w:val="sr-Cyrl-CS"/>
              </w:rPr>
              <w:t>117.364,00</w:t>
            </w:r>
          </w:p>
        </w:tc>
        <w:tc>
          <w:tcPr>
            <w:tcW w:w="1624" w:type="dxa"/>
            <w:tcBorders>
              <w:top w:val="nil"/>
              <w:left w:val="nil"/>
              <w:bottom w:val="single" w:sz="8" w:space="0" w:color="auto"/>
              <w:right w:val="single" w:sz="8" w:space="0" w:color="auto"/>
            </w:tcBorders>
            <w:shd w:val="clear" w:color="auto" w:fill="auto"/>
            <w:noWrap/>
            <w:vAlign w:val="center"/>
            <w:hideMark/>
          </w:tcPr>
          <w:p w14:paraId="002DCD15"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38" w:type="dxa"/>
            <w:tcBorders>
              <w:top w:val="nil"/>
              <w:left w:val="nil"/>
              <w:bottom w:val="single" w:sz="8" w:space="0" w:color="auto"/>
              <w:right w:val="single" w:sz="8" w:space="0" w:color="auto"/>
            </w:tcBorders>
            <w:shd w:val="clear" w:color="auto" w:fill="auto"/>
            <w:noWrap/>
            <w:vAlign w:val="center"/>
            <w:hideMark/>
          </w:tcPr>
          <w:p w14:paraId="78215CD1"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7.518.700,00</w:t>
            </w:r>
          </w:p>
        </w:tc>
        <w:tc>
          <w:tcPr>
            <w:tcW w:w="1628" w:type="dxa"/>
            <w:tcBorders>
              <w:top w:val="nil"/>
              <w:left w:val="nil"/>
              <w:bottom w:val="single" w:sz="8" w:space="0" w:color="auto"/>
              <w:right w:val="single" w:sz="8" w:space="0" w:color="auto"/>
            </w:tcBorders>
            <w:shd w:val="clear" w:color="auto" w:fill="auto"/>
            <w:noWrap/>
            <w:vAlign w:val="center"/>
            <w:hideMark/>
          </w:tcPr>
          <w:p w14:paraId="32F2B4FD"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7.636.064,00</w:t>
            </w:r>
          </w:p>
        </w:tc>
      </w:tr>
      <w:tr w:rsidR="00FD090A" w:rsidRPr="00092ED7" w14:paraId="54C0F906"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0105822B"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2025</w:t>
            </w:r>
          </w:p>
        </w:tc>
        <w:tc>
          <w:tcPr>
            <w:tcW w:w="1290" w:type="dxa"/>
            <w:tcBorders>
              <w:top w:val="nil"/>
              <w:left w:val="nil"/>
              <w:bottom w:val="single" w:sz="8" w:space="0" w:color="auto"/>
              <w:right w:val="single" w:sz="8" w:space="0" w:color="auto"/>
            </w:tcBorders>
            <w:shd w:val="clear" w:color="auto" w:fill="auto"/>
            <w:noWrap/>
            <w:vAlign w:val="center"/>
            <w:hideMark/>
          </w:tcPr>
          <w:p w14:paraId="4B5F5668"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750" w:type="dxa"/>
            <w:tcBorders>
              <w:top w:val="nil"/>
              <w:left w:val="nil"/>
              <w:bottom w:val="single" w:sz="8" w:space="0" w:color="auto"/>
              <w:right w:val="single" w:sz="8" w:space="0" w:color="auto"/>
            </w:tcBorders>
            <w:shd w:val="clear" w:color="auto" w:fill="auto"/>
            <w:noWrap/>
            <w:vAlign w:val="center"/>
            <w:hideMark/>
          </w:tcPr>
          <w:p w14:paraId="2382A2C2" w14:textId="77777777" w:rsidR="008D7C20" w:rsidRPr="00092ED7" w:rsidRDefault="008D7C20" w:rsidP="008D7C20">
            <w:pPr>
              <w:spacing w:after="0"/>
              <w:jc w:val="right"/>
              <w:rPr>
                <w:rFonts w:eastAsia="Times New Roman" w:cs="Times New Roman"/>
                <w:sz w:val="20"/>
                <w:szCs w:val="20"/>
                <w:lang w:val="sr-Cyrl-CS"/>
              </w:rPr>
            </w:pPr>
            <w:r w:rsidRPr="00092ED7">
              <w:rPr>
                <w:rFonts w:eastAsia="Times New Roman" w:cs="Times New Roman"/>
                <w:sz w:val="20"/>
                <w:szCs w:val="20"/>
                <w:lang w:val="sr-Cyrl-CS"/>
              </w:rPr>
              <w:t>29.100,00</w:t>
            </w:r>
          </w:p>
        </w:tc>
        <w:tc>
          <w:tcPr>
            <w:tcW w:w="1624" w:type="dxa"/>
            <w:tcBorders>
              <w:top w:val="nil"/>
              <w:left w:val="nil"/>
              <w:bottom w:val="single" w:sz="8" w:space="0" w:color="auto"/>
              <w:right w:val="single" w:sz="8" w:space="0" w:color="auto"/>
            </w:tcBorders>
            <w:shd w:val="clear" w:color="auto" w:fill="auto"/>
            <w:noWrap/>
            <w:vAlign w:val="center"/>
            <w:hideMark/>
          </w:tcPr>
          <w:p w14:paraId="65AABCA6"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38" w:type="dxa"/>
            <w:tcBorders>
              <w:top w:val="nil"/>
              <w:left w:val="nil"/>
              <w:bottom w:val="single" w:sz="8" w:space="0" w:color="auto"/>
              <w:right w:val="single" w:sz="8" w:space="0" w:color="auto"/>
            </w:tcBorders>
            <w:shd w:val="clear" w:color="auto" w:fill="auto"/>
            <w:noWrap/>
            <w:vAlign w:val="center"/>
            <w:hideMark/>
          </w:tcPr>
          <w:p w14:paraId="621413C7"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28" w:type="dxa"/>
            <w:tcBorders>
              <w:top w:val="nil"/>
              <w:left w:val="nil"/>
              <w:bottom w:val="single" w:sz="8" w:space="0" w:color="auto"/>
              <w:right w:val="single" w:sz="8" w:space="0" w:color="auto"/>
            </w:tcBorders>
            <w:shd w:val="clear" w:color="auto" w:fill="auto"/>
            <w:noWrap/>
            <w:vAlign w:val="center"/>
            <w:hideMark/>
          </w:tcPr>
          <w:p w14:paraId="3747B394"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29.100,00</w:t>
            </w:r>
          </w:p>
        </w:tc>
      </w:tr>
      <w:tr w:rsidR="008D7C20" w:rsidRPr="00092ED7" w14:paraId="469F5310" w14:textId="77777777" w:rsidTr="007C54E3">
        <w:trPr>
          <w:trHeight w:val="330"/>
        </w:trPr>
        <w:tc>
          <w:tcPr>
            <w:tcW w:w="9006" w:type="dxa"/>
            <w:gridSpan w:val="6"/>
            <w:tcBorders>
              <w:top w:val="single" w:sz="8" w:space="0" w:color="auto"/>
              <w:left w:val="single" w:sz="8" w:space="0" w:color="auto"/>
              <w:bottom w:val="single" w:sz="8" w:space="0" w:color="auto"/>
              <w:right w:val="single" w:sz="8" w:space="0" w:color="auto"/>
            </w:tcBorders>
            <w:shd w:val="clear" w:color="000000" w:fill="D0CECE"/>
            <w:noWrap/>
            <w:vAlign w:val="center"/>
            <w:hideMark/>
          </w:tcPr>
          <w:p w14:paraId="0A1E473B" w14:textId="77777777" w:rsidR="008D7C20" w:rsidRPr="00092ED7" w:rsidRDefault="008D7C20" w:rsidP="008D7C20">
            <w:pPr>
              <w:spacing w:after="0"/>
              <w:jc w:val="left"/>
              <w:rPr>
                <w:rFonts w:eastAsia="Times New Roman" w:cs="Times New Roman"/>
                <w:b/>
                <w:bCs/>
                <w:sz w:val="20"/>
                <w:szCs w:val="20"/>
                <w:lang w:val="sr-Cyrl-CS"/>
              </w:rPr>
            </w:pPr>
            <w:r w:rsidRPr="00092ED7">
              <w:rPr>
                <w:rFonts w:eastAsia="Times New Roman" w:cs="Times New Roman"/>
                <w:b/>
                <w:bCs/>
                <w:sz w:val="20"/>
                <w:szCs w:val="20"/>
                <w:lang w:val="sr-Cyrl-CS"/>
              </w:rPr>
              <w:t>4. Унапређење амбијента за подстицање, подршку и праћење циркуларних и економских миграција</w:t>
            </w:r>
          </w:p>
        </w:tc>
      </w:tr>
      <w:tr w:rsidR="00FD090A" w:rsidRPr="00092ED7" w14:paraId="5FFABF33"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6942623B"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b/>
                <w:bCs/>
                <w:sz w:val="20"/>
                <w:szCs w:val="20"/>
                <w:lang w:val="sr-Cyrl-CS"/>
              </w:rPr>
              <w:t>Година</w:t>
            </w:r>
          </w:p>
        </w:tc>
        <w:tc>
          <w:tcPr>
            <w:tcW w:w="1290" w:type="dxa"/>
            <w:tcBorders>
              <w:top w:val="nil"/>
              <w:left w:val="nil"/>
              <w:bottom w:val="single" w:sz="8" w:space="0" w:color="auto"/>
              <w:right w:val="single" w:sz="8" w:space="0" w:color="auto"/>
            </w:tcBorders>
            <w:shd w:val="clear" w:color="auto" w:fill="auto"/>
            <w:noWrap/>
            <w:vAlign w:val="center"/>
            <w:hideMark/>
          </w:tcPr>
          <w:p w14:paraId="32BF4DF9"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Плате</w:t>
            </w:r>
          </w:p>
        </w:tc>
        <w:tc>
          <w:tcPr>
            <w:tcW w:w="1750" w:type="dxa"/>
            <w:tcBorders>
              <w:top w:val="nil"/>
              <w:left w:val="nil"/>
              <w:bottom w:val="single" w:sz="8" w:space="0" w:color="auto"/>
              <w:right w:val="single" w:sz="8" w:space="0" w:color="auto"/>
            </w:tcBorders>
            <w:shd w:val="clear" w:color="auto" w:fill="auto"/>
            <w:noWrap/>
            <w:vAlign w:val="center"/>
            <w:hideMark/>
          </w:tcPr>
          <w:p w14:paraId="701F0971"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Добра и услуге</w:t>
            </w:r>
          </w:p>
        </w:tc>
        <w:tc>
          <w:tcPr>
            <w:tcW w:w="1624" w:type="dxa"/>
            <w:tcBorders>
              <w:top w:val="nil"/>
              <w:left w:val="nil"/>
              <w:bottom w:val="single" w:sz="8" w:space="0" w:color="auto"/>
              <w:right w:val="single" w:sz="8" w:space="0" w:color="auto"/>
            </w:tcBorders>
            <w:shd w:val="clear" w:color="auto" w:fill="auto"/>
            <w:noWrap/>
            <w:vAlign w:val="center"/>
            <w:hideMark/>
          </w:tcPr>
          <w:p w14:paraId="71BA38E5"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Субвенције и трансфери</w:t>
            </w:r>
          </w:p>
        </w:tc>
        <w:tc>
          <w:tcPr>
            <w:tcW w:w="1538" w:type="dxa"/>
            <w:tcBorders>
              <w:top w:val="nil"/>
              <w:left w:val="nil"/>
              <w:bottom w:val="single" w:sz="8" w:space="0" w:color="auto"/>
              <w:right w:val="single" w:sz="8" w:space="0" w:color="auto"/>
            </w:tcBorders>
            <w:shd w:val="clear" w:color="auto" w:fill="auto"/>
            <w:noWrap/>
            <w:vAlign w:val="center"/>
            <w:hideMark/>
          </w:tcPr>
          <w:p w14:paraId="1025AB58"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Капитални расходи</w:t>
            </w:r>
          </w:p>
        </w:tc>
        <w:tc>
          <w:tcPr>
            <w:tcW w:w="1628" w:type="dxa"/>
            <w:tcBorders>
              <w:top w:val="nil"/>
              <w:left w:val="nil"/>
              <w:bottom w:val="single" w:sz="8" w:space="0" w:color="auto"/>
              <w:right w:val="single" w:sz="8" w:space="0" w:color="auto"/>
            </w:tcBorders>
            <w:shd w:val="clear" w:color="auto" w:fill="auto"/>
            <w:noWrap/>
            <w:vAlign w:val="center"/>
            <w:hideMark/>
          </w:tcPr>
          <w:p w14:paraId="102B1614"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Укупно</w:t>
            </w:r>
          </w:p>
        </w:tc>
      </w:tr>
      <w:tr w:rsidR="00FD090A" w:rsidRPr="00092ED7" w14:paraId="7D28FD5A"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318601BD"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2023</w:t>
            </w:r>
          </w:p>
        </w:tc>
        <w:tc>
          <w:tcPr>
            <w:tcW w:w="1290" w:type="dxa"/>
            <w:tcBorders>
              <w:top w:val="nil"/>
              <w:left w:val="nil"/>
              <w:bottom w:val="single" w:sz="8" w:space="0" w:color="auto"/>
              <w:right w:val="single" w:sz="8" w:space="0" w:color="auto"/>
            </w:tcBorders>
            <w:shd w:val="clear" w:color="auto" w:fill="auto"/>
            <w:noWrap/>
            <w:vAlign w:val="center"/>
            <w:hideMark/>
          </w:tcPr>
          <w:p w14:paraId="7CFD6CF3"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750" w:type="dxa"/>
            <w:tcBorders>
              <w:top w:val="nil"/>
              <w:left w:val="nil"/>
              <w:bottom w:val="single" w:sz="8" w:space="0" w:color="auto"/>
              <w:right w:val="single" w:sz="8" w:space="0" w:color="auto"/>
            </w:tcBorders>
            <w:shd w:val="clear" w:color="auto" w:fill="auto"/>
            <w:noWrap/>
            <w:vAlign w:val="center"/>
            <w:hideMark/>
          </w:tcPr>
          <w:p w14:paraId="21499672" w14:textId="77777777" w:rsidR="008D7C20" w:rsidRPr="00092ED7" w:rsidRDefault="008D7C20" w:rsidP="008D7C20">
            <w:pPr>
              <w:spacing w:after="0"/>
              <w:jc w:val="right"/>
              <w:rPr>
                <w:rFonts w:eastAsia="Times New Roman" w:cs="Times New Roman"/>
                <w:sz w:val="20"/>
                <w:szCs w:val="20"/>
                <w:lang w:val="sr-Cyrl-CS"/>
              </w:rPr>
            </w:pPr>
            <w:r w:rsidRPr="00092ED7">
              <w:rPr>
                <w:rFonts w:eastAsia="Times New Roman" w:cs="Times New Roman"/>
                <w:sz w:val="20"/>
                <w:szCs w:val="20"/>
                <w:lang w:val="sr-Cyrl-CS"/>
              </w:rPr>
              <w:t>389.000,00</w:t>
            </w:r>
          </w:p>
        </w:tc>
        <w:tc>
          <w:tcPr>
            <w:tcW w:w="1624" w:type="dxa"/>
            <w:tcBorders>
              <w:top w:val="nil"/>
              <w:left w:val="nil"/>
              <w:bottom w:val="single" w:sz="8" w:space="0" w:color="auto"/>
              <w:right w:val="single" w:sz="8" w:space="0" w:color="auto"/>
            </w:tcBorders>
            <w:shd w:val="clear" w:color="auto" w:fill="auto"/>
            <w:noWrap/>
            <w:vAlign w:val="center"/>
            <w:hideMark/>
          </w:tcPr>
          <w:p w14:paraId="1F1D6A1C"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38" w:type="dxa"/>
            <w:tcBorders>
              <w:top w:val="nil"/>
              <w:left w:val="nil"/>
              <w:bottom w:val="single" w:sz="8" w:space="0" w:color="auto"/>
              <w:right w:val="single" w:sz="8" w:space="0" w:color="auto"/>
            </w:tcBorders>
            <w:shd w:val="clear" w:color="auto" w:fill="auto"/>
            <w:noWrap/>
            <w:vAlign w:val="center"/>
            <w:hideMark/>
          </w:tcPr>
          <w:p w14:paraId="467C6DB7"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28" w:type="dxa"/>
            <w:tcBorders>
              <w:top w:val="nil"/>
              <w:left w:val="nil"/>
              <w:bottom w:val="single" w:sz="8" w:space="0" w:color="auto"/>
              <w:right w:val="single" w:sz="8" w:space="0" w:color="auto"/>
            </w:tcBorders>
            <w:shd w:val="clear" w:color="auto" w:fill="auto"/>
            <w:noWrap/>
            <w:vAlign w:val="center"/>
            <w:hideMark/>
          </w:tcPr>
          <w:p w14:paraId="2E89F281"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389.000,00</w:t>
            </w:r>
          </w:p>
        </w:tc>
      </w:tr>
      <w:tr w:rsidR="00FD090A" w:rsidRPr="00092ED7" w14:paraId="2C41E00A"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288C5245"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2024</w:t>
            </w:r>
          </w:p>
        </w:tc>
        <w:tc>
          <w:tcPr>
            <w:tcW w:w="1290" w:type="dxa"/>
            <w:tcBorders>
              <w:top w:val="nil"/>
              <w:left w:val="nil"/>
              <w:bottom w:val="single" w:sz="8" w:space="0" w:color="auto"/>
              <w:right w:val="single" w:sz="8" w:space="0" w:color="auto"/>
            </w:tcBorders>
            <w:shd w:val="clear" w:color="auto" w:fill="auto"/>
            <w:noWrap/>
            <w:vAlign w:val="center"/>
            <w:hideMark/>
          </w:tcPr>
          <w:p w14:paraId="2A3CDC30"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750" w:type="dxa"/>
            <w:tcBorders>
              <w:top w:val="nil"/>
              <w:left w:val="nil"/>
              <w:bottom w:val="single" w:sz="8" w:space="0" w:color="auto"/>
              <w:right w:val="single" w:sz="8" w:space="0" w:color="auto"/>
            </w:tcBorders>
            <w:shd w:val="clear" w:color="auto" w:fill="auto"/>
            <w:noWrap/>
            <w:vAlign w:val="center"/>
            <w:hideMark/>
          </w:tcPr>
          <w:p w14:paraId="7BD7DCF9" w14:textId="77777777" w:rsidR="008D7C20" w:rsidRPr="00092ED7" w:rsidRDefault="008D7C20" w:rsidP="008D7C20">
            <w:pPr>
              <w:spacing w:after="0"/>
              <w:jc w:val="right"/>
              <w:rPr>
                <w:rFonts w:eastAsia="Times New Roman" w:cs="Times New Roman"/>
                <w:sz w:val="20"/>
                <w:szCs w:val="20"/>
                <w:lang w:val="sr-Cyrl-CS"/>
              </w:rPr>
            </w:pPr>
            <w:r w:rsidRPr="00092ED7">
              <w:rPr>
                <w:rFonts w:eastAsia="Times New Roman" w:cs="Times New Roman"/>
                <w:sz w:val="20"/>
                <w:szCs w:val="20"/>
                <w:lang w:val="sr-Cyrl-CS"/>
              </w:rPr>
              <w:t>406.000,00</w:t>
            </w:r>
          </w:p>
        </w:tc>
        <w:tc>
          <w:tcPr>
            <w:tcW w:w="1624" w:type="dxa"/>
            <w:tcBorders>
              <w:top w:val="nil"/>
              <w:left w:val="nil"/>
              <w:bottom w:val="single" w:sz="8" w:space="0" w:color="auto"/>
              <w:right w:val="single" w:sz="8" w:space="0" w:color="auto"/>
            </w:tcBorders>
            <w:shd w:val="clear" w:color="auto" w:fill="auto"/>
            <w:noWrap/>
            <w:vAlign w:val="center"/>
            <w:hideMark/>
          </w:tcPr>
          <w:p w14:paraId="23453DDC"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38" w:type="dxa"/>
            <w:tcBorders>
              <w:top w:val="nil"/>
              <w:left w:val="nil"/>
              <w:bottom w:val="single" w:sz="8" w:space="0" w:color="auto"/>
              <w:right w:val="single" w:sz="8" w:space="0" w:color="auto"/>
            </w:tcBorders>
            <w:shd w:val="clear" w:color="auto" w:fill="auto"/>
            <w:noWrap/>
            <w:vAlign w:val="center"/>
            <w:hideMark/>
          </w:tcPr>
          <w:p w14:paraId="3262EF13"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28" w:type="dxa"/>
            <w:tcBorders>
              <w:top w:val="nil"/>
              <w:left w:val="nil"/>
              <w:bottom w:val="single" w:sz="8" w:space="0" w:color="auto"/>
              <w:right w:val="single" w:sz="8" w:space="0" w:color="auto"/>
            </w:tcBorders>
            <w:shd w:val="clear" w:color="auto" w:fill="auto"/>
            <w:noWrap/>
            <w:vAlign w:val="center"/>
            <w:hideMark/>
          </w:tcPr>
          <w:p w14:paraId="187A70B0"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406.000,00</w:t>
            </w:r>
          </w:p>
        </w:tc>
      </w:tr>
      <w:tr w:rsidR="00FD090A" w:rsidRPr="00092ED7" w14:paraId="7DA7CB18"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763C99C6"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2025</w:t>
            </w:r>
          </w:p>
        </w:tc>
        <w:tc>
          <w:tcPr>
            <w:tcW w:w="1290" w:type="dxa"/>
            <w:tcBorders>
              <w:top w:val="nil"/>
              <w:left w:val="nil"/>
              <w:bottom w:val="single" w:sz="8" w:space="0" w:color="auto"/>
              <w:right w:val="single" w:sz="8" w:space="0" w:color="auto"/>
            </w:tcBorders>
            <w:shd w:val="clear" w:color="auto" w:fill="auto"/>
            <w:noWrap/>
            <w:vAlign w:val="center"/>
            <w:hideMark/>
          </w:tcPr>
          <w:p w14:paraId="0DE43F56"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750" w:type="dxa"/>
            <w:tcBorders>
              <w:top w:val="nil"/>
              <w:left w:val="nil"/>
              <w:bottom w:val="single" w:sz="8" w:space="0" w:color="auto"/>
              <w:right w:val="single" w:sz="8" w:space="0" w:color="auto"/>
            </w:tcBorders>
            <w:shd w:val="clear" w:color="auto" w:fill="auto"/>
            <w:noWrap/>
            <w:vAlign w:val="center"/>
            <w:hideMark/>
          </w:tcPr>
          <w:p w14:paraId="085E8A35" w14:textId="77777777" w:rsidR="008D7C20" w:rsidRPr="00092ED7" w:rsidRDefault="008D7C20" w:rsidP="008D7C20">
            <w:pPr>
              <w:spacing w:after="0"/>
              <w:jc w:val="right"/>
              <w:rPr>
                <w:rFonts w:eastAsia="Times New Roman" w:cs="Times New Roman"/>
                <w:sz w:val="20"/>
                <w:szCs w:val="20"/>
                <w:lang w:val="sr-Cyrl-CS"/>
              </w:rPr>
            </w:pPr>
            <w:r w:rsidRPr="00092ED7">
              <w:rPr>
                <w:rFonts w:eastAsia="Times New Roman" w:cs="Times New Roman"/>
                <w:sz w:val="20"/>
                <w:szCs w:val="20"/>
                <w:lang w:val="sr-Cyrl-CS"/>
              </w:rPr>
              <w:t>421.000,00</w:t>
            </w:r>
          </w:p>
        </w:tc>
        <w:tc>
          <w:tcPr>
            <w:tcW w:w="1624" w:type="dxa"/>
            <w:tcBorders>
              <w:top w:val="nil"/>
              <w:left w:val="nil"/>
              <w:bottom w:val="single" w:sz="8" w:space="0" w:color="auto"/>
              <w:right w:val="single" w:sz="8" w:space="0" w:color="auto"/>
            </w:tcBorders>
            <w:shd w:val="clear" w:color="auto" w:fill="auto"/>
            <w:noWrap/>
            <w:vAlign w:val="center"/>
            <w:hideMark/>
          </w:tcPr>
          <w:p w14:paraId="2DE8BD11"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38" w:type="dxa"/>
            <w:tcBorders>
              <w:top w:val="nil"/>
              <w:left w:val="nil"/>
              <w:bottom w:val="single" w:sz="8" w:space="0" w:color="auto"/>
              <w:right w:val="single" w:sz="8" w:space="0" w:color="auto"/>
            </w:tcBorders>
            <w:shd w:val="clear" w:color="auto" w:fill="auto"/>
            <w:noWrap/>
            <w:vAlign w:val="center"/>
            <w:hideMark/>
          </w:tcPr>
          <w:p w14:paraId="54A9F64A"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28" w:type="dxa"/>
            <w:tcBorders>
              <w:top w:val="nil"/>
              <w:left w:val="nil"/>
              <w:bottom w:val="single" w:sz="8" w:space="0" w:color="auto"/>
              <w:right w:val="single" w:sz="8" w:space="0" w:color="auto"/>
            </w:tcBorders>
            <w:shd w:val="clear" w:color="auto" w:fill="auto"/>
            <w:noWrap/>
            <w:vAlign w:val="center"/>
            <w:hideMark/>
          </w:tcPr>
          <w:p w14:paraId="175A48CE"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421.000,00</w:t>
            </w:r>
          </w:p>
        </w:tc>
      </w:tr>
      <w:tr w:rsidR="008D7C20" w:rsidRPr="00092ED7" w14:paraId="625F8D58" w14:textId="77777777" w:rsidTr="007C54E3">
        <w:trPr>
          <w:trHeight w:val="330"/>
        </w:trPr>
        <w:tc>
          <w:tcPr>
            <w:tcW w:w="9006" w:type="dxa"/>
            <w:gridSpan w:val="6"/>
            <w:tcBorders>
              <w:top w:val="single" w:sz="8" w:space="0" w:color="auto"/>
              <w:left w:val="single" w:sz="8" w:space="0" w:color="auto"/>
              <w:bottom w:val="single" w:sz="8" w:space="0" w:color="auto"/>
              <w:right w:val="single" w:sz="8" w:space="0" w:color="auto"/>
            </w:tcBorders>
            <w:shd w:val="clear" w:color="000000" w:fill="D0CECE"/>
            <w:noWrap/>
            <w:vAlign w:val="center"/>
            <w:hideMark/>
          </w:tcPr>
          <w:p w14:paraId="292743C4" w14:textId="77777777" w:rsidR="008D7C20" w:rsidRPr="00092ED7" w:rsidRDefault="008D7C20" w:rsidP="008D7C20">
            <w:pPr>
              <w:spacing w:after="0"/>
              <w:jc w:val="left"/>
              <w:rPr>
                <w:rFonts w:eastAsia="Times New Roman" w:cs="Times New Roman"/>
                <w:b/>
                <w:bCs/>
                <w:sz w:val="20"/>
                <w:szCs w:val="20"/>
                <w:lang w:val="sr-Cyrl-CS"/>
              </w:rPr>
            </w:pPr>
            <w:r w:rsidRPr="00092ED7">
              <w:rPr>
                <w:rFonts w:eastAsia="Times New Roman" w:cs="Times New Roman"/>
                <w:b/>
                <w:bCs/>
                <w:sz w:val="20"/>
                <w:szCs w:val="20"/>
                <w:lang w:val="sr-Cyrl-CS"/>
              </w:rPr>
              <w:t>5. Унапређење квалитета пружања јавних услуга кроз оптимизацију и дигитализацију административних поступака – е-Папир</w:t>
            </w:r>
          </w:p>
        </w:tc>
      </w:tr>
      <w:tr w:rsidR="00FD090A" w:rsidRPr="00092ED7" w14:paraId="23861214"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06BE4C54"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b/>
                <w:bCs/>
                <w:sz w:val="20"/>
                <w:szCs w:val="20"/>
                <w:lang w:val="sr-Cyrl-CS"/>
              </w:rPr>
              <w:t>Година</w:t>
            </w:r>
          </w:p>
        </w:tc>
        <w:tc>
          <w:tcPr>
            <w:tcW w:w="1290" w:type="dxa"/>
            <w:tcBorders>
              <w:top w:val="nil"/>
              <w:left w:val="nil"/>
              <w:bottom w:val="single" w:sz="8" w:space="0" w:color="auto"/>
              <w:right w:val="single" w:sz="8" w:space="0" w:color="auto"/>
            </w:tcBorders>
            <w:shd w:val="clear" w:color="auto" w:fill="auto"/>
            <w:noWrap/>
            <w:vAlign w:val="center"/>
            <w:hideMark/>
          </w:tcPr>
          <w:p w14:paraId="4D82E072"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Плате</w:t>
            </w:r>
          </w:p>
        </w:tc>
        <w:tc>
          <w:tcPr>
            <w:tcW w:w="1750" w:type="dxa"/>
            <w:tcBorders>
              <w:top w:val="nil"/>
              <w:left w:val="nil"/>
              <w:bottom w:val="single" w:sz="8" w:space="0" w:color="auto"/>
              <w:right w:val="single" w:sz="8" w:space="0" w:color="auto"/>
            </w:tcBorders>
            <w:shd w:val="clear" w:color="auto" w:fill="auto"/>
            <w:noWrap/>
            <w:vAlign w:val="center"/>
            <w:hideMark/>
          </w:tcPr>
          <w:p w14:paraId="30E95C84"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Добра и услуге</w:t>
            </w:r>
          </w:p>
        </w:tc>
        <w:tc>
          <w:tcPr>
            <w:tcW w:w="1624" w:type="dxa"/>
            <w:tcBorders>
              <w:top w:val="nil"/>
              <w:left w:val="nil"/>
              <w:bottom w:val="single" w:sz="8" w:space="0" w:color="auto"/>
              <w:right w:val="single" w:sz="8" w:space="0" w:color="auto"/>
            </w:tcBorders>
            <w:shd w:val="clear" w:color="auto" w:fill="auto"/>
            <w:noWrap/>
            <w:vAlign w:val="center"/>
            <w:hideMark/>
          </w:tcPr>
          <w:p w14:paraId="038F0B66"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Субвенције и трансфери</w:t>
            </w:r>
          </w:p>
        </w:tc>
        <w:tc>
          <w:tcPr>
            <w:tcW w:w="1538" w:type="dxa"/>
            <w:tcBorders>
              <w:top w:val="nil"/>
              <w:left w:val="nil"/>
              <w:bottom w:val="single" w:sz="8" w:space="0" w:color="auto"/>
              <w:right w:val="single" w:sz="8" w:space="0" w:color="auto"/>
            </w:tcBorders>
            <w:shd w:val="clear" w:color="auto" w:fill="auto"/>
            <w:noWrap/>
            <w:vAlign w:val="center"/>
            <w:hideMark/>
          </w:tcPr>
          <w:p w14:paraId="21B4FA8F"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Капитални расходи</w:t>
            </w:r>
          </w:p>
        </w:tc>
        <w:tc>
          <w:tcPr>
            <w:tcW w:w="1628" w:type="dxa"/>
            <w:tcBorders>
              <w:top w:val="nil"/>
              <w:left w:val="nil"/>
              <w:bottom w:val="single" w:sz="8" w:space="0" w:color="auto"/>
              <w:right w:val="single" w:sz="8" w:space="0" w:color="auto"/>
            </w:tcBorders>
            <w:shd w:val="clear" w:color="auto" w:fill="auto"/>
            <w:noWrap/>
            <w:vAlign w:val="center"/>
            <w:hideMark/>
          </w:tcPr>
          <w:p w14:paraId="36FD03C3"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Укупно</w:t>
            </w:r>
          </w:p>
        </w:tc>
      </w:tr>
      <w:tr w:rsidR="00FD090A" w:rsidRPr="00092ED7" w14:paraId="038483E8"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6970529E"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2023</w:t>
            </w:r>
          </w:p>
        </w:tc>
        <w:tc>
          <w:tcPr>
            <w:tcW w:w="1290" w:type="dxa"/>
            <w:tcBorders>
              <w:top w:val="nil"/>
              <w:left w:val="nil"/>
              <w:bottom w:val="single" w:sz="8" w:space="0" w:color="auto"/>
              <w:right w:val="single" w:sz="8" w:space="0" w:color="auto"/>
            </w:tcBorders>
            <w:shd w:val="clear" w:color="auto" w:fill="auto"/>
            <w:noWrap/>
            <w:vAlign w:val="center"/>
            <w:hideMark/>
          </w:tcPr>
          <w:p w14:paraId="151E70EF"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750" w:type="dxa"/>
            <w:tcBorders>
              <w:top w:val="nil"/>
              <w:left w:val="nil"/>
              <w:bottom w:val="single" w:sz="8" w:space="0" w:color="auto"/>
              <w:right w:val="single" w:sz="8" w:space="0" w:color="auto"/>
            </w:tcBorders>
            <w:shd w:val="clear" w:color="auto" w:fill="auto"/>
            <w:noWrap/>
            <w:vAlign w:val="center"/>
            <w:hideMark/>
          </w:tcPr>
          <w:p w14:paraId="4BDF4C20" w14:textId="0B2F5F10" w:rsidR="008D7C20" w:rsidRPr="00092ED7" w:rsidRDefault="006B50FE" w:rsidP="008D7C20">
            <w:pPr>
              <w:spacing w:after="0"/>
              <w:jc w:val="right"/>
              <w:rPr>
                <w:rFonts w:eastAsia="Times New Roman" w:cs="Times New Roman"/>
                <w:sz w:val="20"/>
                <w:szCs w:val="20"/>
                <w:lang w:val="sr-Cyrl-CS"/>
              </w:rPr>
            </w:pPr>
            <w:r w:rsidRPr="00092ED7">
              <w:rPr>
                <w:rFonts w:cs="Times New Roman"/>
                <w:sz w:val="20"/>
                <w:szCs w:val="20"/>
                <w:lang w:val="sr-Cyrl-CS"/>
              </w:rPr>
              <w:t>1.659.760,00</w:t>
            </w:r>
          </w:p>
        </w:tc>
        <w:tc>
          <w:tcPr>
            <w:tcW w:w="1624" w:type="dxa"/>
            <w:tcBorders>
              <w:top w:val="nil"/>
              <w:left w:val="nil"/>
              <w:bottom w:val="single" w:sz="8" w:space="0" w:color="auto"/>
              <w:right w:val="single" w:sz="8" w:space="0" w:color="auto"/>
            </w:tcBorders>
            <w:shd w:val="clear" w:color="auto" w:fill="auto"/>
            <w:noWrap/>
            <w:vAlign w:val="center"/>
            <w:hideMark/>
          </w:tcPr>
          <w:p w14:paraId="50785685"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38" w:type="dxa"/>
            <w:tcBorders>
              <w:top w:val="nil"/>
              <w:left w:val="nil"/>
              <w:bottom w:val="single" w:sz="8" w:space="0" w:color="auto"/>
              <w:right w:val="single" w:sz="8" w:space="0" w:color="auto"/>
            </w:tcBorders>
            <w:shd w:val="clear" w:color="auto" w:fill="auto"/>
            <w:noWrap/>
            <w:vAlign w:val="center"/>
            <w:hideMark/>
          </w:tcPr>
          <w:p w14:paraId="339BFF90"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28" w:type="dxa"/>
            <w:tcBorders>
              <w:top w:val="nil"/>
              <w:left w:val="nil"/>
              <w:bottom w:val="single" w:sz="8" w:space="0" w:color="auto"/>
              <w:right w:val="single" w:sz="8" w:space="0" w:color="auto"/>
            </w:tcBorders>
            <w:shd w:val="clear" w:color="auto" w:fill="auto"/>
            <w:noWrap/>
            <w:vAlign w:val="center"/>
            <w:hideMark/>
          </w:tcPr>
          <w:p w14:paraId="02A80996" w14:textId="335EAA9A" w:rsidR="008D7C20" w:rsidRPr="00092ED7" w:rsidRDefault="006B50FE" w:rsidP="008D7C20">
            <w:pPr>
              <w:spacing w:after="0"/>
              <w:jc w:val="right"/>
              <w:rPr>
                <w:rFonts w:eastAsia="Times New Roman" w:cs="Times New Roman"/>
                <w:color w:val="000000"/>
                <w:sz w:val="20"/>
                <w:szCs w:val="20"/>
                <w:lang w:val="sr-Cyrl-CS"/>
              </w:rPr>
            </w:pPr>
            <w:r w:rsidRPr="00092ED7">
              <w:rPr>
                <w:rFonts w:cs="Times New Roman"/>
                <w:sz w:val="20"/>
                <w:szCs w:val="20"/>
                <w:lang w:val="sr-Cyrl-CS"/>
              </w:rPr>
              <w:t>1.659.760,00</w:t>
            </w:r>
          </w:p>
        </w:tc>
      </w:tr>
      <w:tr w:rsidR="00FD090A" w:rsidRPr="00092ED7" w14:paraId="43E512FA"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0DC5088B"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2024</w:t>
            </w:r>
          </w:p>
        </w:tc>
        <w:tc>
          <w:tcPr>
            <w:tcW w:w="1290" w:type="dxa"/>
            <w:tcBorders>
              <w:top w:val="nil"/>
              <w:left w:val="nil"/>
              <w:bottom w:val="single" w:sz="8" w:space="0" w:color="auto"/>
              <w:right w:val="single" w:sz="8" w:space="0" w:color="auto"/>
            </w:tcBorders>
            <w:shd w:val="clear" w:color="auto" w:fill="auto"/>
            <w:noWrap/>
            <w:vAlign w:val="center"/>
            <w:hideMark/>
          </w:tcPr>
          <w:p w14:paraId="5AE57BE0"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750" w:type="dxa"/>
            <w:tcBorders>
              <w:top w:val="nil"/>
              <w:left w:val="nil"/>
              <w:bottom w:val="single" w:sz="8" w:space="0" w:color="auto"/>
              <w:right w:val="single" w:sz="8" w:space="0" w:color="auto"/>
            </w:tcBorders>
            <w:shd w:val="clear" w:color="auto" w:fill="auto"/>
            <w:noWrap/>
            <w:vAlign w:val="center"/>
            <w:hideMark/>
          </w:tcPr>
          <w:p w14:paraId="30CE2498" w14:textId="51C39BDA" w:rsidR="008D7C20" w:rsidRPr="00092ED7" w:rsidRDefault="006B50FE" w:rsidP="008D7C20">
            <w:pPr>
              <w:spacing w:after="0"/>
              <w:jc w:val="right"/>
              <w:rPr>
                <w:rFonts w:eastAsia="Times New Roman" w:cs="Times New Roman"/>
                <w:sz w:val="20"/>
                <w:szCs w:val="20"/>
                <w:lang w:val="sr-Cyrl-CS"/>
              </w:rPr>
            </w:pPr>
            <w:r w:rsidRPr="00092ED7">
              <w:rPr>
                <w:rFonts w:cs="Times New Roman"/>
                <w:sz w:val="20"/>
                <w:szCs w:val="20"/>
                <w:lang w:val="sr-Cyrl-CS"/>
              </w:rPr>
              <w:t>2.385.240,00</w:t>
            </w:r>
          </w:p>
        </w:tc>
        <w:tc>
          <w:tcPr>
            <w:tcW w:w="1624" w:type="dxa"/>
            <w:tcBorders>
              <w:top w:val="nil"/>
              <w:left w:val="nil"/>
              <w:bottom w:val="single" w:sz="8" w:space="0" w:color="auto"/>
              <w:right w:val="single" w:sz="8" w:space="0" w:color="auto"/>
            </w:tcBorders>
            <w:shd w:val="clear" w:color="auto" w:fill="auto"/>
            <w:noWrap/>
            <w:vAlign w:val="center"/>
            <w:hideMark/>
          </w:tcPr>
          <w:p w14:paraId="6F5E9FB3"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38" w:type="dxa"/>
            <w:tcBorders>
              <w:top w:val="nil"/>
              <w:left w:val="nil"/>
              <w:bottom w:val="single" w:sz="8" w:space="0" w:color="auto"/>
              <w:right w:val="single" w:sz="8" w:space="0" w:color="auto"/>
            </w:tcBorders>
            <w:shd w:val="clear" w:color="auto" w:fill="auto"/>
            <w:noWrap/>
            <w:vAlign w:val="center"/>
            <w:hideMark/>
          </w:tcPr>
          <w:p w14:paraId="1C2196FB"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28" w:type="dxa"/>
            <w:tcBorders>
              <w:top w:val="nil"/>
              <w:left w:val="nil"/>
              <w:bottom w:val="single" w:sz="8" w:space="0" w:color="auto"/>
              <w:right w:val="single" w:sz="8" w:space="0" w:color="auto"/>
            </w:tcBorders>
            <w:shd w:val="clear" w:color="auto" w:fill="auto"/>
            <w:noWrap/>
            <w:vAlign w:val="center"/>
            <w:hideMark/>
          </w:tcPr>
          <w:p w14:paraId="4FA9E5E3" w14:textId="583EE617" w:rsidR="008D7C20" w:rsidRPr="00092ED7" w:rsidRDefault="006B50FE" w:rsidP="008D7C20">
            <w:pPr>
              <w:spacing w:after="0"/>
              <w:jc w:val="right"/>
              <w:rPr>
                <w:rFonts w:eastAsia="Times New Roman" w:cs="Times New Roman"/>
                <w:color w:val="000000"/>
                <w:sz w:val="20"/>
                <w:szCs w:val="20"/>
                <w:lang w:val="sr-Cyrl-CS"/>
              </w:rPr>
            </w:pPr>
            <w:r w:rsidRPr="00092ED7">
              <w:rPr>
                <w:rFonts w:cs="Times New Roman"/>
                <w:sz w:val="20"/>
                <w:szCs w:val="20"/>
                <w:lang w:val="sr-Cyrl-CS"/>
              </w:rPr>
              <w:t>2.385.240,00</w:t>
            </w:r>
          </w:p>
        </w:tc>
      </w:tr>
      <w:tr w:rsidR="00FD090A" w:rsidRPr="00092ED7" w14:paraId="1E739A0A"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4615CEAC"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2025</w:t>
            </w:r>
          </w:p>
        </w:tc>
        <w:tc>
          <w:tcPr>
            <w:tcW w:w="1290" w:type="dxa"/>
            <w:tcBorders>
              <w:top w:val="nil"/>
              <w:left w:val="nil"/>
              <w:bottom w:val="single" w:sz="8" w:space="0" w:color="auto"/>
              <w:right w:val="single" w:sz="8" w:space="0" w:color="auto"/>
            </w:tcBorders>
            <w:shd w:val="clear" w:color="auto" w:fill="auto"/>
            <w:noWrap/>
            <w:vAlign w:val="center"/>
            <w:hideMark/>
          </w:tcPr>
          <w:p w14:paraId="4DA66BC2"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750" w:type="dxa"/>
            <w:tcBorders>
              <w:top w:val="nil"/>
              <w:left w:val="nil"/>
              <w:bottom w:val="single" w:sz="8" w:space="0" w:color="auto"/>
              <w:right w:val="single" w:sz="8" w:space="0" w:color="auto"/>
            </w:tcBorders>
            <w:shd w:val="clear" w:color="auto" w:fill="auto"/>
            <w:noWrap/>
            <w:vAlign w:val="center"/>
            <w:hideMark/>
          </w:tcPr>
          <w:p w14:paraId="0480D210" w14:textId="000DEFC7" w:rsidR="008D7C20" w:rsidRPr="00092ED7" w:rsidRDefault="006B50FE" w:rsidP="008D7C20">
            <w:pPr>
              <w:spacing w:after="0"/>
              <w:jc w:val="right"/>
              <w:rPr>
                <w:rFonts w:eastAsia="Times New Roman" w:cs="Times New Roman"/>
                <w:sz w:val="20"/>
                <w:szCs w:val="20"/>
                <w:lang w:val="sr-Cyrl-CS"/>
              </w:rPr>
            </w:pPr>
            <w:r w:rsidRPr="00092ED7">
              <w:rPr>
                <w:rFonts w:cs="Times New Roman"/>
                <w:sz w:val="20"/>
                <w:szCs w:val="20"/>
                <w:lang w:val="sr-Cyrl-CS"/>
              </w:rPr>
              <w:t>1.187.000,00</w:t>
            </w:r>
          </w:p>
        </w:tc>
        <w:tc>
          <w:tcPr>
            <w:tcW w:w="1624" w:type="dxa"/>
            <w:tcBorders>
              <w:top w:val="nil"/>
              <w:left w:val="nil"/>
              <w:bottom w:val="single" w:sz="8" w:space="0" w:color="auto"/>
              <w:right w:val="single" w:sz="8" w:space="0" w:color="auto"/>
            </w:tcBorders>
            <w:shd w:val="clear" w:color="auto" w:fill="auto"/>
            <w:noWrap/>
            <w:vAlign w:val="center"/>
            <w:hideMark/>
          </w:tcPr>
          <w:p w14:paraId="5D076875"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38" w:type="dxa"/>
            <w:tcBorders>
              <w:top w:val="nil"/>
              <w:left w:val="nil"/>
              <w:bottom w:val="single" w:sz="8" w:space="0" w:color="auto"/>
              <w:right w:val="single" w:sz="8" w:space="0" w:color="auto"/>
            </w:tcBorders>
            <w:shd w:val="clear" w:color="auto" w:fill="auto"/>
            <w:noWrap/>
            <w:vAlign w:val="center"/>
            <w:hideMark/>
          </w:tcPr>
          <w:p w14:paraId="003F36A3"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28" w:type="dxa"/>
            <w:tcBorders>
              <w:top w:val="nil"/>
              <w:left w:val="nil"/>
              <w:bottom w:val="single" w:sz="8" w:space="0" w:color="auto"/>
              <w:right w:val="single" w:sz="8" w:space="0" w:color="auto"/>
            </w:tcBorders>
            <w:shd w:val="clear" w:color="auto" w:fill="auto"/>
            <w:noWrap/>
            <w:vAlign w:val="center"/>
            <w:hideMark/>
          </w:tcPr>
          <w:p w14:paraId="141FAE6F" w14:textId="31B45C97" w:rsidR="008D7C20" w:rsidRPr="00092ED7" w:rsidRDefault="006B50FE" w:rsidP="008D7C20">
            <w:pPr>
              <w:spacing w:after="0"/>
              <w:jc w:val="right"/>
              <w:rPr>
                <w:rFonts w:eastAsia="Times New Roman" w:cs="Times New Roman"/>
                <w:color w:val="000000"/>
                <w:sz w:val="20"/>
                <w:szCs w:val="20"/>
                <w:lang w:val="sr-Cyrl-CS"/>
              </w:rPr>
            </w:pPr>
            <w:r w:rsidRPr="00092ED7">
              <w:rPr>
                <w:rFonts w:cs="Times New Roman"/>
                <w:sz w:val="20"/>
                <w:szCs w:val="20"/>
                <w:lang w:val="sr-Cyrl-CS"/>
              </w:rPr>
              <w:t>1.187.000,00</w:t>
            </w:r>
          </w:p>
        </w:tc>
      </w:tr>
      <w:tr w:rsidR="008D7C20" w:rsidRPr="00092ED7" w14:paraId="36207047" w14:textId="77777777" w:rsidTr="007C54E3">
        <w:trPr>
          <w:trHeight w:val="330"/>
        </w:trPr>
        <w:tc>
          <w:tcPr>
            <w:tcW w:w="9006" w:type="dxa"/>
            <w:gridSpan w:val="6"/>
            <w:tcBorders>
              <w:top w:val="single" w:sz="8" w:space="0" w:color="auto"/>
              <w:left w:val="single" w:sz="8" w:space="0" w:color="auto"/>
              <w:bottom w:val="single" w:sz="8" w:space="0" w:color="auto"/>
              <w:right w:val="single" w:sz="8" w:space="0" w:color="auto"/>
            </w:tcBorders>
            <w:shd w:val="clear" w:color="000000" w:fill="D0CECE"/>
            <w:noWrap/>
            <w:vAlign w:val="center"/>
            <w:hideMark/>
          </w:tcPr>
          <w:p w14:paraId="53E93EF0" w14:textId="77777777" w:rsidR="008D7C20" w:rsidRPr="00092ED7" w:rsidRDefault="008D7C20" w:rsidP="008D7C20">
            <w:pPr>
              <w:spacing w:after="0"/>
              <w:jc w:val="left"/>
              <w:rPr>
                <w:rFonts w:eastAsia="Times New Roman" w:cs="Times New Roman"/>
                <w:b/>
                <w:bCs/>
                <w:sz w:val="20"/>
                <w:szCs w:val="20"/>
                <w:lang w:val="sr-Cyrl-CS"/>
              </w:rPr>
            </w:pPr>
            <w:r w:rsidRPr="00092ED7">
              <w:rPr>
                <w:rFonts w:eastAsia="Times New Roman" w:cs="Times New Roman"/>
                <w:b/>
                <w:bCs/>
                <w:sz w:val="20"/>
                <w:szCs w:val="20"/>
                <w:lang w:val="sr-Cyrl-CS"/>
              </w:rPr>
              <w:t>6. Одрживо и ефикасно управљање привредним субјектима у власништву Републике Србије</w:t>
            </w:r>
          </w:p>
        </w:tc>
      </w:tr>
      <w:tr w:rsidR="00FD090A" w:rsidRPr="00092ED7" w14:paraId="3AE16D58"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15802DA3"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b/>
                <w:bCs/>
                <w:sz w:val="20"/>
                <w:szCs w:val="20"/>
                <w:lang w:val="sr-Cyrl-CS"/>
              </w:rPr>
              <w:t>Година</w:t>
            </w:r>
          </w:p>
        </w:tc>
        <w:tc>
          <w:tcPr>
            <w:tcW w:w="1290" w:type="dxa"/>
            <w:tcBorders>
              <w:top w:val="nil"/>
              <w:left w:val="nil"/>
              <w:bottom w:val="single" w:sz="8" w:space="0" w:color="auto"/>
              <w:right w:val="single" w:sz="8" w:space="0" w:color="auto"/>
            </w:tcBorders>
            <w:shd w:val="clear" w:color="auto" w:fill="auto"/>
            <w:noWrap/>
            <w:vAlign w:val="center"/>
            <w:hideMark/>
          </w:tcPr>
          <w:p w14:paraId="71637185"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Плате</w:t>
            </w:r>
          </w:p>
        </w:tc>
        <w:tc>
          <w:tcPr>
            <w:tcW w:w="1750" w:type="dxa"/>
            <w:tcBorders>
              <w:top w:val="nil"/>
              <w:left w:val="nil"/>
              <w:bottom w:val="single" w:sz="8" w:space="0" w:color="auto"/>
              <w:right w:val="single" w:sz="8" w:space="0" w:color="auto"/>
            </w:tcBorders>
            <w:shd w:val="clear" w:color="auto" w:fill="auto"/>
            <w:noWrap/>
            <w:vAlign w:val="center"/>
            <w:hideMark/>
          </w:tcPr>
          <w:p w14:paraId="0F06FB13"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Добра и услуге</w:t>
            </w:r>
          </w:p>
        </w:tc>
        <w:tc>
          <w:tcPr>
            <w:tcW w:w="1624" w:type="dxa"/>
            <w:tcBorders>
              <w:top w:val="nil"/>
              <w:left w:val="nil"/>
              <w:bottom w:val="single" w:sz="8" w:space="0" w:color="auto"/>
              <w:right w:val="single" w:sz="8" w:space="0" w:color="auto"/>
            </w:tcBorders>
            <w:shd w:val="clear" w:color="auto" w:fill="auto"/>
            <w:noWrap/>
            <w:vAlign w:val="center"/>
            <w:hideMark/>
          </w:tcPr>
          <w:p w14:paraId="19DAAFD7"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Субвенције и трансфери</w:t>
            </w:r>
          </w:p>
        </w:tc>
        <w:tc>
          <w:tcPr>
            <w:tcW w:w="1538" w:type="dxa"/>
            <w:tcBorders>
              <w:top w:val="nil"/>
              <w:left w:val="nil"/>
              <w:bottom w:val="single" w:sz="8" w:space="0" w:color="auto"/>
              <w:right w:val="single" w:sz="8" w:space="0" w:color="auto"/>
            </w:tcBorders>
            <w:shd w:val="clear" w:color="auto" w:fill="auto"/>
            <w:noWrap/>
            <w:vAlign w:val="center"/>
            <w:hideMark/>
          </w:tcPr>
          <w:p w14:paraId="75989DD3"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Капитални расходи</w:t>
            </w:r>
          </w:p>
        </w:tc>
        <w:tc>
          <w:tcPr>
            <w:tcW w:w="1628" w:type="dxa"/>
            <w:tcBorders>
              <w:top w:val="nil"/>
              <w:left w:val="nil"/>
              <w:bottom w:val="single" w:sz="8" w:space="0" w:color="auto"/>
              <w:right w:val="single" w:sz="8" w:space="0" w:color="auto"/>
            </w:tcBorders>
            <w:shd w:val="clear" w:color="auto" w:fill="auto"/>
            <w:noWrap/>
            <w:vAlign w:val="center"/>
            <w:hideMark/>
          </w:tcPr>
          <w:p w14:paraId="7AEB95DE"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Укупно</w:t>
            </w:r>
          </w:p>
        </w:tc>
      </w:tr>
      <w:tr w:rsidR="00FD090A" w:rsidRPr="00092ED7" w14:paraId="4ADE9D46"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752CA102"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2023</w:t>
            </w:r>
          </w:p>
        </w:tc>
        <w:tc>
          <w:tcPr>
            <w:tcW w:w="1290" w:type="dxa"/>
            <w:tcBorders>
              <w:top w:val="nil"/>
              <w:left w:val="nil"/>
              <w:bottom w:val="single" w:sz="8" w:space="0" w:color="auto"/>
              <w:right w:val="single" w:sz="8" w:space="0" w:color="auto"/>
            </w:tcBorders>
            <w:shd w:val="clear" w:color="auto" w:fill="auto"/>
            <w:noWrap/>
            <w:vAlign w:val="center"/>
            <w:hideMark/>
          </w:tcPr>
          <w:p w14:paraId="4C29B3F9"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750" w:type="dxa"/>
            <w:tcBorders>
              <w:top w:val="nil"/>
              <w:left w:val="nil"/>
              <w:bottom w:val="single" w:sz="8" w:space="0" w:color="auto"/>
              <w:right w:val="single" w:sz="8" w:space="0" w:color="auto"/>
            </w:tcBorders>
            <w:shd w:val="clear" w:color="auto" w:fill="auto"/>
            <w:noWrap/>
            <w:vAlign w:val="center"/>
            <w:hideMark/>
          </w:tcPr>
          <w:p w14:paraId="76EA472C" w14:textId="77777777" w:rsidR="008D7C20" w:rsidRPr="00092ED7" w:rsidRDefault="008D7C20" w:rsidP="008D7C20">
            <w:pPr>
              <w:spacing w:after="0"/>
              <w:jc w:val="right"/>
              <w:rPr>
                <w:rFonts w:eastAsia="Times New Roman" w:cs="Times New Roman"/>
                <w:sz w:val="20"/>
                <w:szCs w:val="20"/>
                <w:lang w:val="sr-Cyrl-CS"/>
              </w:rPr>
            </w:pPr>
            <w:r w:rsidRPr="00092ED7">
              <w:rPr>
                <w:rFonts w:eastAsia="Times New Roman" w:cs="Times New Roman"/>
                <w:sz w:val="20"/>
                <w:szCs w:val="20"/>
                <w:lang w:val="sr-Cyrl-CS"/>
              </w:rPr>
              <w:t>68.504,00</w:t>
            </w:r>
          </w:p>
        </w:tc>
        <w:tc>
          <w:tcPr>
            <w:tcW w:w="1624" w:type="dxa"/>
            <w:tcBorders>
              <w:top w:val="nil"/>
              <w:left w:val="nil"/>
              <w:bottom w:val="single" w:sz="8" w:space="0" w:color="auto"/>
              <w:right w:val="single" w:sz="8" w:space="0" w:color="auto"/>
            </w:tcBorders>
            <w:shd w:val="clear" w:color="auto" w:fill="auto"/>
            <w:noWrap/>
            <w:vAlign w:val="center"/>
            <w:hideMark/>
          </w:tcPr>
          <w:p w14:paraId="14B95C85"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38" w:type="dxa"/>
            <w:tcBorders>
              <w:top w:val="nil"/>
              <w:left w:val="nil"/>
              <w:bottom w:val="single" w:sz="8" w:space="0" w:color="auto"/>
              <w:right w:val="single" w:sz="8" w:space="0" w:color="auto"/>
            </w:tcBorders>
            <w:shd w:val="clear" w:color="auto" w:fill="auto"/>
            <w:noWrap/>
            <w:vAlign w:val="center"/>
            <w:hideMark/>
          </w:tcPr>
          <w:p w14:paraId="261F25C5"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28" w:type="dxa"/>
            <w:tcBorders>
              <w:top w:val="nil"/>
              <w:left w:val="nil"/>
              <w:bottom w:val="single" w:sz="8" w:space="0" w:color="auto"/>
              <w:right w:val="single" w:sz="8" w:space="0" w:color="auto"/>
            </w:tcBorders>
            <w:shd w:val="clear" w:color="auto" w:fill="auto"/>
            <w:noWrap/>
            <w:vAlign w:val="center"/>
            <w:hideMark/>
          </w:tcPr>
          <w:p w14:paraId="13F8CD09" w14:textId="77777777" w:rsidR="008D7C20" w:rsidRPr="00092ED7" w:rsidRDefault="008D7C20" w:rsidP="008D7C20">
            <w:pPr>
              <w:spacing w:after="0"/>
              <w:jc w:val="right"/>
              <w:rPr>
                <w:rFonts w:eastAsia="Times New Roman" w:cs="Times New Roman"/>
                <w:sz w:val="20"/>
                <w:szCs w:val="20"/>
                <w:lang w:val="sr-Cyrl-CS"/>
              </w:rPr>
            </w:pPr>
            <w:r w:rsidRPr="00092ED7">
              <w:rPr>
                <w:rFonts w:eastAsia="Times New Roman" w:cs="Times New Roman"/>
                <w:sz w:val="20"/>
                <w:szCs w:val="20"/>
                <w:lang w:val="sr-Cyrl-CS"/>
              </w:rPr>
              <w:t>68.504,00</w:t>
            </w:r>
          </w:p>
        </w:tc>
      </w:tr>
      <w:tr w:rsidR="00FD090A" w:rsidRPr="00092ED7" w14:paraId="313130EE"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59445973"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2024</w:t>
            </w:r>
          </w:p>
        </w:tc>
        <w:tc>
          <w:tcPr>
            <w:tcW w:w="1290" w:type="dxa"/>
            <w:tcBorders>
              <w:top w:val="nil"/>
              <w:left w:val="nil"/>
              <w:bottom w:val="single" w:sz="8" w:space="0" w:color="auto"/>
              <w:right w:val="single" w:sz="8" w:space="0" w:color="auto"/>
            </w:tcBorders>
            <w:shd w:val="clear" w:color="auto" w:fill="auto"/>
            <w:noWrap/>
            <w:vAlign w:val="center"/>
            <w:hideMark/>
          </w:tcPr>
          <w:p w14:paraId="2E287482"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750" w:type="dxa"/>
            <w:tcBorders>
              <w:top w:val="nil"/>
              <w:left w:val="nil"/>
              <w:bottom w:val="single" w:sz="8" w:space="0" w:color="auto"/>
              <w:right w:val="single" w:sz="8" w:space="0" w:color="auto"/>
            </w:tcBorders>
            <w:shd w:val="clear" w:color="auto" w:fill="auto"/>
            <w:noWrap/>
            <w:vAlign w:val="center"/>
            <w:hideMark/>
          </w:tcPr>
          <w:p w14:paraId="610A6FFF" w14:textId="77777777" w:rsidR="008D7C20" w:rsidRPr="00092ED7" w:rsidRDefault="008D7C20" w:rsidP="008D7C20">
            <w:pPr>
              <w:spacing w:after="0"/>
              <w:jc w:val="right"/>
              <w:rPr>
                <w:rFonts w:eastAsia="Times New Roman" w:cs="Times New Roman"/>
                <w:sz w:val="20"/>
                <w:szCs w:val="20"/>
                <w:lang w:val="sr-Cyrl-CS"/>
              </w:rPr>
            </w:pPr>
            <w:r w:rsidRPr="00092ED7">
              <w:rPr>
                <w:rFonts w:eastAsia="Times New Roman" w:cs="Times New Roman"/>
                <w:sz w:val="20"/>
                <w:szCs w:val="20"/>
                <w:lang w:val="sr-Cyrl-CS"/>
              </w:rPr>
              <w:t>0</w:t>
            </w:r>
          </w:p>
        </w:tc>
        <w:tc>
          <w:tcPr>
            <w:tcW w:w="1624" w:type="dxa"/>
            <w:tcBorders>
              <w:top w:val="nil"/>
              <w:left w:val="nil"/>
              <w:bottom w:val="single" w:sz="8" w:space="0" w:color="auto"/>
              <w:right w:val="single" w:sz="8" w:space="0" w:color="auto"/>
            </w:tcBorders>
            <w:shd w:val="clear" w:color="auto" w:fill="auto"/>
            <w:noWrap/>
            <w:vAlign w:val="center"/>
            <w:hideMark/>
          </w:tcPr>
          <w:p w14:paraId="6877827E"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38" w:type="dxa"/>
            <w:tcBorders>
              <w:top w:val="nil"/>
              <w:left w:val="nil"/>
              <w:bottom w:val="single" w:sz="8" w:space="0" w:color="auto"/>
              <w:right w:val="single" w:sz="8" w:space="0" w:color="auto"/>
            </w:tcBorders>
            <w:shd w:val="clear" w:color="auto" w:fill="auto"/>
            <w:noWrap/>
            <w:vAlign w:val="center"/>
            <w:hideMark/>
          </w:tcPr>
          <w:p w14:paraId="4BD61B73"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28" w:type="dxa"/>
            <w:tcBorders>
              <w:top w:val="nil"/>
              <w:left w:val="nil"/>
              <w:bottom w:val="single" w:sz="8" w:space="0" w:color="auto"/>
              <w:right w:val="single" w:sz="8" w:space="0" w:color="auto"/>
            </w:tcBorders>
            <w:shd w:val="clear" w:color="auto" w:fill="auto"/>
            <w:noWrap/>
            <w:vAlign w:val="center"/>
            <w:hideMark/>
          </w:tcPr>
          <w:p w14:paraId="6FE7F865"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r>
      <w:tr w:rsidR="00FD090A" w:rsidRPr="00092ED7" w14:paraId="2DF7A6EE"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472EE637"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2025</w:t>
            </w:r>
          </w:p>
        </w:tc>
        <w:tc>
          <w:tcPr>
            <w:tcW w:w="1290" w:type="dxa"/>
            <w:tcBorders>
              <w:top w:val="nil"/>
              <w:left w:val="nil"/>
              <w:bottom w:val="single" w:sz="8" w:space="0" w:color="auto"/>
              <w:right w:val="single" w:sz="8" w:space="0" w:color="auto"/>
            </w:tcBorders>
            <w:shd w:val="clear" w:color="auto" w:fill="auto"/>
            <w:noWrap/>
            <w:vAlign w:val="center"/>
            <w:hideMark/>
          </w:tcPr>
          <w:p w14:paraId="6D4297F5"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750" w:type="dxa"/>
            <w:tcBorders>
              <w:top w:val="nil"/>
              <w:left w:val="nil"/>
              <w:bottom w:val="single" w:sz="8" w:space="0" w:color="auto"/>
              <w:right w:val="single" w:sz="8" w:space="0" w:color="auto"/>
            </w:tcBorders>
            <w:shd w:val="clear" w:color="auto" w:fill="auto"/>
            <w:noWrap/>
            <w:vAlign w:val="center"/>
            <w:hideMark/>
          </w:tcPr>
          <w:p w14:paraId="2ECC72E3" w14:textId="77777777" w:rsidR="008D7C20" w:rsidRPr="00092ED7" w:rsidRDefault="008D7C20" w:rsidP="008D7C20">
            <w:pPr>
              <w:spacing w:after="0"/>
              <w:jc w:val="right"/>
              <w:rPr>
                <w:rFonts w:eastAsia="Times New Roman" w:cs="Times New Roman"/>
                <w:sz w:val="20"/>
                <w:szCs w:val="20"/>
                <w:lang w:val="sr-Cyrl-CS"/>
              </w:rPr>
            </w:pPr>
            <w:r w:rsidRPr="00092ED7">
              <w:rPr>
                <w:rFonts w:eastAsia="Times New Roman" w:cs="Times New Roman"/>
                <w:sz w:val="20"/>
                <w:szCs w:val="20"/>
                <w:lang w:val="sr-Cyrl-CS"/>
              </w:rPr>
              <w:t>0</w:t>
            </w:r>
          </w:p>
        </w:tc>
        <w:tc>
          <w:tcPr>
            <w:tcW w:w="1624" w:type="dxa"/>
            <w:tcBorders>
              <w:top w:val="nil"/>
              <w:left w:val="nil"/>
              <w:bottom w:val="single" w:sz="8" w:space="0" w:color="auto"/>
              <w:right w:val="single" w:sz="8" w:space="0" w:color="auto"/>
            </w:tcBorders>
            <w:shd w:val="clear" w:color="auto" w:fill="auto"/>
            <w:noWrap/>
            <w:vAlign w:val="center"/>
            <w:hideMark/>
          </w:tcPr>
          <w:p w14:paraId="7460430E"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38" w:type="dxa"/>
            <w:tcBorders>
              <w:top w:val="nil"/>
              <w:left w:val="nil"/>
              <w:bottom w:val="single" w:sz="8" w:space="0" w:color="auto"/>
              <w:right w:val="single" w:sz="8" w:space="0" w:color="auto"/>
            </w:tcBorders>
            <w:shd w:val="clear" w:color="auto" w:fill="auto"/>
            <w:noWrap/>
            <w:vAlign w:val="center"/>
            <w:hideMark/>
          </w:tcPr>
          <w:p w14:paraId="2BF97310"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28" w:type="dxa"/>
            <w:tcBorders>
              <w:top w:val="nil"/>
              <w:left w:val="nil"/>
              <w:bottom w:val="single" w:sz="8" w:space="0" w:color="auto"/>
              <w:right w:val="single" w:sz="8" w:space="0" w:color="auto"/>
            </w:tcBorders>
            <w:shd w:val="clear" w:color="auto" w:fill="auto"/>
            <w:noWrap/>
            <w:vAlign w:val="center"/>
            <w:hideMark/>
          </w:tcPr>
          <w:p w14:paraId="1BBFF3C6"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r>
      <w:tr w:rsidR="008D7C20" w:rsidRPr="00092ED7" w14:paraId="76A5E1C3" w14:textId="77777777" w:rsidTr="007C54E3">
        <w:trPr>
          <w:trHeight w:val="330"/>
        </w:trPr>
        <w:tc>
          <w:tcPr>
            <w:tcW w:w="9006" w:type="dxa"/>
            <w:gridSpan w:val="6"/>
            <w:tcBorders>
              <w:top w:val="single" w:sz="8" w:space="0" w:color="auto"/>
              <w:left w:val="single" w:sz="8" w:space="0" w:color="auto"/>
              <w:bottom w:val="single" w:sz="4" w:space="0" w:color="auto"/>
              <w:right w:val="single" w:sz="8" w:space="0" w:color="auto"/>
            </w:tcBorders>
            <w:shd w:val="clear" w:color="000000" w:fill="D0CECE"/>
            <w:noWrap/>
            <w:vAlign w:val="center"/>
            <w:hideMark/>
          </w:tcPr>
          <w:p w14:paraId="10CBD48D" w14:textId="77777777" w:rsidR="008D7C20" w:rsidRPr="00092ED7" w:rsidRDefault="008D7C20" w:rsidP="008D7C20">
            <w:pPr>
              <w:spacing w:after="0"/>
              <w:jc w:val="left"/>
              <w:rPr>
                <w:rFonts w:eastAsia="Times New Roman" w:cs="Times New Roman"/>
                <w:b/>
                <w:bCs/>
                <w:sz w:val="20"/>
                <w:szCs w:val="20"/>
                <w:lang w:val="sr-Cyrl-CS"/>
              </w:rPr>
            </w:pPr>
            <w:r w:rsidRPr="00092ED7">
              <w:rPr>
                <w:rFonts w:eastAsia="Times New Roman" w:cs="Times New Roman"/>
                <w:b/>
                <w:bCs/>
                <w:sz w:val="20"/>
                <w:szCs w:val="20"/>
                <w:lang w:val="sr-Cyrl-CS"/>
              </w:rPr>
              <w:t>7. Развој домаћег тржишта капитала и обезбеђивање већег степена заштите инвеститора</w:t>
            </w:r>
          </w:p>
        </w:tc>
      </w:tr>
      <w:tr w:rsidR="00FD090A" w:rsidRPr="00092ED7" w14:paraId="0AB93D68" w14:textId="77777777" w:rsidTr="007C54E3">
        <w:trPr>
          <w:trHeight w:val="330"/>
        </w:trPr>
        <w:tc>
          <w:tcPr>
            <w:tcW w:w="11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D2ED0D"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b/>
                <w:bCs/>
                <w:sz w:val="20"/>
                <w:szCs w:val="20"/>
                <w:lang w:val="sr-Cyrl-CS"/>
              </w:rPr>
              <w:t>Година</w:t>
            </w:r>
          </w:p>
        </w:tc>
        <w:tc>
          <w:tcPr>
            <w:tcW w:w="12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DCE543"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Плате</w:t>
            </w:r>
          </w:p>
        </w:tc>
        <w:tc>
          <w:tcPr>
            <w:tcW w:w="17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541780"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Добра и услуге</w:t>
            </w:r>
          </w:p>
        </w:tc>
        <w:tc>
          <w:tcPr>
            <w:tcW w:w="16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167361"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Субвенције и трансфери</w:t>
            </w:r>
          </w:p>
        </w:tc>
        <w:tc>
          <w:tcPr>
            <w:tcW w:w="15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54F699"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Капитални расходи</w:t>
            </w:r>
          </w:p>
        </w:tc>
        <w:tc>
          <w:tcPr>
            <w:tcW w:w="16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854BC9"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Укупно</w:t>
            </w:r>
          </w:p>
        </w:tc>
      </w:tr>
      <w:tr w:rsidR="00FD090A" w:rsidRPr="00092ED7" w14:paraId="178836B3" w14:textId="77777777" w:rsidTr="007C54E3">
        <w:trPr>
          <w:trHeight w:val="330"/>
        </w:trPr>
        <w:tc>
          <w:tcPr>
            <w:tcW w:w="11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757B18"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2023</w:t>
            </w:r>
          </w:p>
        </w:tc>
        <w:tc>
          <w:tcPr>
            <w:tcW w:w="12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005063"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12.100,00</w:t>
            </w:r>
          </w:p>
        </w:tc>
        <w:tc>
          <w:tcPr>
            <w:tcW w:w="17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18CBCA" w14:textId="77777777" w:rsidR="008D7C20" w:rsidRPr="00092ED7" w:rsidRDefault="008D7C20" w:rsidP="008D7C20">
            <w:pPr>
              <w:spacing w:after="0"/>
              <w:jc w:val="right"/>
              <w:rPr>
                <w:rFonts w:eastAsia="Times New Roman" w:cs="Times New Roman"/>
                <w:sz w:val="20"/>
                <w:szCs w:val="20"/>
                <w:lang w:val="sr-Cyrl-CS"/>
              </w:rPr>
            </w:pPr>
            <w:r w:rsidRPr="00092ED7">
              <w:rPr>
                <w:rFonts w:eastAsia="Times New Roman" w:cs="Times New Roman"/>
                <w:sz w:val="20"/>
                <w:szCs w:val="20"/>
                <w:lang w:val="sr-Cyrl-CS"/>
              </w:rPr>
              <w:t>0</w:t>
            </w:r>
          </w:p>
        </w:tc>
        <w:tc>
          <w:tcPr>
            <w:tcW w:w="16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4EFED0"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926A46"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03CACE"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12.100,00</w:t>
            </w:r>
          </w:p>
        </w:tc>
      </w:tr>
      <w:tr w:rsidR="00FD090A" w:rsidRPr="00092ED7" w14:paraId="7CBC61E9" w14:textId="77777777" w:rsidTr="007C54E3">
        <w:trPr>
          <w:trHeight w:val="330"/>
        </w:trPr>
        <w:tc>
          <w:tcPr>
            <w:tcW w:w="1176"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5FA74026"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2024</w:t>
            </w:r>
          </w:p>
        </w:tc>
        <w:tc>
          <w:tcPr>
            <w:tcW w:w="1290" w:type="dxa"/>
            <w:tcBorders>
              <w:top w:val="single" w:sz="4" w:space="0" w:color="auto"/>
              <w:left w:val="nil"/>
              <w:bottom w:val="single" w:sz="8" w:space="0" w:color="auto"/>
              <w:right w:val="single" w:sz="8" w:space="0" w:color="auto"/>
            </w:tcBorders>
            <w:shd w:val="clear" w:color="auto" w:fill="auto"/>
            <w:noWrap/>
            <w:vAlign w:val="center"/>
            <w:hideMark/>
          </w:tcPr>
          <w:p w14:paraId="2E54EAD1"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24.200,00</w:t>
            </w:r>
          </w:p>
        </w:tc>
        <w:tc>
          <w:tcPr>
            <w:tcW w:w="1750" w:type="dxa"/>
            <w:tcBorders>
              <w:top w:val="single" w:sz="4" w:space="0" w:color="auto"/>
              <w:left w:val="nil"/>
              <w:bottom w:val="single" w:sz="8" w:space="0" w:color="auto"/>
              <w:right w:val="single" w:sz="8" w:space="0" w:color="auto"/>
            </w:tcBorders>
            <w:shd w:val="clear" w:color="auto" w:fill="auto"/>
            <w:noWrap/>
            <w:vAlign w:val="center"/>
            <w:hideMark/>
          </w:tcPr>
          <w:p w14:paraId="0AC114D1" w14:textId="77777777" w:rsidR="008D7C20" w:rsidRPr="00092ED7" w:rsidRDefault="008D7C20" w:rsidP="008D7C20">
            <w:pPr>
              <w:spacing w:after="0"/>
              <w:jc w:val="right"/>
              <w:rPr>
                <w:rFonts w:eastAsia="Times New Roman" w:cs="Times New Roman"/>
                <w:sz w:val="20"/>
                <w:szCs w:val="20"/>
                <w:lang w:val="sr-Cyrl-CS"/>
              </w:rPr>
            </w:pPr>
            <w:r w:rsidRPr="00092ED7">
              <w:rPr>
                <w:rFonts w:eastAsia="Times New Roman" w:cs="Times New Roman"/>
                <w:sz w:val="20"/>
                <w:szCs w:val="20"/>
                <w:lang w:val="sr-Cyrl-CS"/>
              </w:rPr>
              <w:t>0</w:t>
            </w:r>
          </w:p>
        </w:tc>
        <w:tc>
          <w:tcPr>
            <w:tcW w:w="1624" w:type="dxa"/>
            <w:tcBorders>
              <w:top w:val="single" w:sz="4" w:space="0" w:color="auto"/>
              <w:left w:val="nil"/>
              <w:bottom w:val="single" w:sz="8" w:space="0" w:color="auto"/>
              <w:right w:val="single" w:sz="8" w:space="0" w:color="auto"/>
            </w:tcBorders>
            <w:shd w:val="clear" w:color="auto" w:fill="auto"/>
            <w:noWrap/>
            <w:vAlign w:val="center"/>
            <w:hideMark/>
          </w:tcPr>
          <w:p w14:paraId="2C4854F1"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38" w:type="dxa"/>
            <w:tcBorders>
              <w:top w:val="single" w:sz="4" w:space="0" w:color="auto"/>
              <w:left w:val="nil"/>
              <w:bottom w:val="single" w:sz="8" w:space="0" w:color="auto"/>
              <w:right w:val="single" w:sz="8" w:space="0" w:color="auto"/>
            </w:tcBorders>
            <w:shd w:val="clear" w:color="auto" w:fill="auto"/>
            <w:noWrap/>
            <w:vAlign w:val="center"/>
            <w:hideMark/>
          </w:tcPr>
          <w:p w14:paraId="6DEF722C"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28" w:type="dxa"/>
            <w:tcBorders>
              <w:top w:val="single" w:sz="4" w:space="0" w:color="auto"/>
              <w:left w:val="nil"/>
              <w:bottom w:val="single" w:sz="8" w:space="0" w:color="auto"/>
              <w:right w:val="single" w:sz="8" w:space="0" w:color="auto"/>
            </w:tcBorders>
            <w:shd w:val="clear" w:color="auto" w:fill="auto"/>
            <w:noWrap/>
            <w:vAlign w:val="center"/>
            <w:hideMark/>
          </w:tcPr>
          <w:p w14:paraId="15FBECE9"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24.200,00</w:t>
            </w:r>
          </w:p>
        </w:tc>
      </w:tr>
      <w:tr w:rsidR="00FD090A" w:rsidRPr="00092ED7" w14:paraId="3FBCF310"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62051B7B"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lastRenderedPageBreak/>
              <w:t>2025</w:t>
            </w:r>
          </w:p>
        </w:tc>
        <w:tc>
          <w:tcPr>
            <w:tcW w:w="1290" w:type="dxa"/>
            <w:tcBorders>
              <w:top w:val="nil"/>
              <w:left w:val="nil"/>
              <w:bottom w:val="single" w:sz="8" w:space="0" w:color="auto"/>
              <w:right w:val="single" w:sz="8" w:space="0" w:color="auto"/>
            </w:tcBorders>
            <w:shd w:val="clear" w:color="auto" w:fill="auto"/>
            <w:noWrap/>
            <w:vAlign w:val="center"/>
            <w:hideMark/>
          </w:tcPr>
          <w:p w14:paraId="78FC36FD"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750" w:type="dxa"/>
            <w:tcBorders>
              <w:top w:val="nil"/>
              <w:left w:val="nil"/>
              <w:bottom w:val="single" w:sz="8" w:space="0" w:color="auto"/>
              <w:right w:val="single" w:sz="8" w:space="0" w:color="auto"/>
            </w:tcBorders>
            <w:shd w:val="clear" w:color="auto" w:fill="auto"/>
            <w:noWrap/>
            <w:vAlign w:val="center"/>
            <w:hideMark/>
          </w:tcPr>
          <w:p w14:paraId="7ED68B08" w14:textId="77777777" w:rsidR="008D7C20" w:rsidRPr="00092ED7" w:rsidRDefault="008D7C20" w:rsidP="008D7C20">
            <w:pPr>
              <w:spacing w:after="0"/>
              <w:jc w:val="right"/>
              <w:rPr>
                <w:rFonts w:eastAsia="Times New Roman" w:cs="Times New Roman"/>
                <w:sz w:val="20"/>
                <w:szCs w:val="20"/>
                <w:lang w:val="sr-Cyrl-CS"/>
              </w:rPr>
            </w:pPr>
            <w:r w:rsidRPr="00092ED7">
              <w:rPr>
                <w:rFonts w:eastAsia="Times New Roman" w:cs="Times New Roman"/>
                <w:sz w:val="20"/>
                <w:szCs w:val="20"/>
                <w:lang w:val="sr-Cyrl-CS"/>
              </w:rPr>
              <w:t>0</w:t>
            </w:r>
          </w:p>
        </w:tc>
        <w:tc>
          <w:tcPr>
            <w:tcW w:w="1624" w:type="dxa"/>
            <w:tcBorders>
              <w:top w:val="nil"/>
              <w:left w:val="nil"/>
              <w:bottom w:val="single" w:sz="8" w:space="0" w:color="auto"/>
              <w:right w:val="single" w:sz="8" w:space="0" w:color="auto"/>
            </w:tcBorders>
            <w:shd w:val="clear" w:color="auto" w:fill="auto"/>
            <w:noWrap/>
            <w:vAlign w:val="center"/>
            <w:hideMark/>
          </w:tcPr>
          <w:p w14:paraId="07A0AD51"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38" w:type="dxa"/>
            <w:tcBorders>
              <w:top w:val="nil"/>
              <w:left w:val="nil"/>
              <w:bottom w:val="single" w:sz="8" w:space="0" w:color="auto"/>
              <w:right w:val="single" w:sz="8" w:space="0" w:color="auto"/>
            </w:tcBorders>
            <w:shd w:val="clear" w:color="auto" w:fill="auto"/>
            <w:noWrap/>
            <w:vAlign w:val="center"/>
            <w:hideMark/>
          </w:tcPr>
          <w:p w14:paraId="3A25B632"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28" w:type="dxa"/>
            <w:tcBorders>
              <w:top w:val="nil"/>
              <w:left w:val="nil"/>
              <w:bottom w:val="single" w:sz="8" w:space="0" w:color="auto"/>
              <w:right w:val="single" w:sz="8" w:space="0" w:color="auto"/>
            </w:tcBorders>
            <w:shd w:val="clear" w:color="auto" w:fill="auto"/>
            <w:noWrap/>
            <w:vAlign w:val="center"/>
            <w:hideMark/>
          </w:tcPr>
          <w:p w14:paraId="53CB77BA"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r>
      <w:tr w:rsidR="008D7C20" w:rsidRPr="00092ED7" w14:paraId="08058649" w14:textId="77777777" w:rsidTr="007C54E3">
        <w:trPr>
          <w:trHeight w:val="330"/>
        </w:trPr>
        <w:tc>
          <w:tcPr>
            <w:tcW w:w="9006" w:type="dxa"/>
            <w:gridSpan w:val="6"/>
            <w:tcBorders>
              <w:top w:val="single" w:sz="8" w:space="0" w:color="auto"/>
              <w:left w:val="single" w:sz="8" w:space="0" w:color="auto"/>
              <w:bottom w:val="single" w:sz="8" w:space="0" w:color="auto"/>
              <w:right w:val="single" w:sz="8" w:space="0" w:color="auto"/>
            </w:tcBorders>
            <w:shd w:val="clear" w:color="000000" w:fill="D0CECE"/>
            <w:noWrap/>
            <w:vAlign w:val="center"/>
            <w:hideMark/>
          </w:tcPr>
          <w:p w14:paraId="4EC57425" w14:textId="77777777" w:rsidR="008D7C20" w:rsidRPr="00092ED7" w:rsidRDefault="008D7C20" w:rsidP="008D7C20">
            <w:pPr>
              <w:spacing w:after="0"/>
              <w:jc w:val="left"/>
              <w:rPr>
                <w:rFonts w:eastAsia="Times New Roman" w:cs="Times New Roman"/>
                <w:b/>
                <w:bCs/>
                <w:sz w:val="20"/>
                <w:szCs w:val="20"/>
                <w:lang w:val="sr-Cyrl-CS"/>
              </w:rPr>
            </w:pPr>
            <w:r w:rsidRPr="00092ED7">
              <w:rPr>
                <w:rFonts w:eastAsia="Times New Roman" w:cs="Times New Roman"/>
                <w:b/>
                <w:bCs/>
                <w:sz w:val="20"/>
                <w:szCs w:val="20"/>
                <w:lang w:val="sr-Cyrl-CS"/>
              </w:rPr>
              <w:t>8. Унапређење енергетске ефикасности кроз стварање услова за примену енергетског означавања и екодизајна, као и кроз подстицаје за унапређење енергетске ефикасности</w:t>
            </w:r>
          </w:p>
        </w:tc>
      </w:tr>
      <w:tr w:rsidR="00FD090A" w:rsidRPr="00092ED7" w14:paraId="29546322"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56FD6600"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b/>
                <w:bCs/>
                <w:sz w:val="20"/>
                <w:szCs w:val="20"/>
                <w:lang w:val="sr-Cyrl-CS"/>
              </w:rPr>
              <w:t>Година</w:t>
            </w:r>
          </w:p>
        </w:tc>
        <w:tc>
          <w:tcPr>
            <w:tcW w:w="1290" w:type="dxa"/>
            <w:tcBorders>
              <w:top w:val="nil"/>
              <w:left w:val="nil"/>
              <w:bottom w:val="single" w:sz="8" w:space="0" w:color="auto"/>
              <w:right w:val="single" w:sz="8" w:space="0" w:color="auto"/>
            </w:tcBorders>
            <w:shd w:val="clear" w:color="auto" w:fill="auto"/>
            <w:noWrap/>
            <w:vAlign w:val="center"/>
            <w:hideMark/>
          </w:tcPr>
          <w:p w14:paraId="523EF2C7"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Плате</w:t>
            </w:r>
          </w:p>
        </w:tc>
        <w:tc>
          <w:tcPr>
            <w:tcW w:w="1750" w:type="dxa"/>
            <w:tcBorders>
              <w:top w:val="nil"/>
              <w:left w:val="nil"/>
              <w:bottom w:val="single" w:sz="8" w:space="0" w:color="auto"/>
              <w:right w:val="single" w:sz="8" w:space="0" w:color="auto"/>
            </w:tcBorders>
            <w:shd w:val="clear" w:color="auto" w:fill="auto"/>
            <w:noWrap/>
            <w:vAlign w:val="center"/>
            <w:hideMark/>
          </w:tcPr>
          <w:p w14:paraId="53F4A1E5"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Добра и услуге</w:t>
            </w:r>
          </w:p>
        </w:tc>
        <w:tc>
          <w:tcPr>
            <w:tcW w:w="1624" w:type="dxa"/>
            <w:tcBorders>
              <w:top w:val="nil"/>
              <w:left w:val="nil"/>
              <w:bottom w:val="single" w:sz="8" w:space="0" w:color="auto"/>
              <w:right w:val="single" w:sz="8" w:space="0" w:color="auto"/>
            </w:tcBorders>
            <w:shd w:val="clear" w:color="auto" w:fill="auto"/>
            <w:noWrap/>
            <w:vAlign w:val="center"/>
            <w:hideMark/>
          </w:tcPr>
          <w:p w14:paraId="6AF3B3B8"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Субвенције и трансфери</w:t>
            </w:r>
          </w:p>
        </w:tc>
        <w:tc>
          <w:tcPr>
            <w:tcW w:w="1538" w:type="dxa"/>
            <w:tcBorders>
              <w:top w:val="nil"/>
              <w:left w:val="nil"/>
              <w:bottom w:val="single" w:sz="8" w:space="0" w:color="auto"/>
              <w:right w:val="single" w:sz="8" w:space="0" w:color="auto"/>
            </w:tcBorders>
            <w:shd w:val="clear" w:color="auto" w:fill="auto"/>
            <w:noWrap/>
            <w:vAlign w:val="center"/>
            <w:hideMark/>
          </w:tcPr>
          <w:p w14:paraId="22427868"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Капитални расходи</w:t>
            </w:r>
          </w:p>
        </w:tc>
        <w:tc>
          <w:tcPr>
            <w:tcW w:w="1628" w:type="dxa"/>
            <w:tcBorders>
              <w:top w:val="nil"/>
              <w:left w:val="nil"/>
              <w:bottom w:val="single" w:sz="8" w:space="0" w:color="auto"/>
              <w:right w:val="single" w:sz="8" w:space="0" w:color="auto"/>
            </w:tcBorders>
            <w:shd w:val="clear" w:color="auto" w:fill="auto"/>
            <w:noWrap/>
            <w:vAlign w:val="center"/>
            <w:hideMark/>
          </w:tcPr>
          <w:p w14:paraId="6B11EA3F"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Укупно</w:t>
            </w:r>
          </w:p>
        </w:tc>
      </w:tr>
      <w:tr w:rsidR="00FD090A" w:rsidRPr="00092ED7" w14:paraId="0A0336DB"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256BC6BA"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2023</w:t>
            </w:r>
          </w:p>
        </w:tc>
        <w:tc>
          <w:tcPr>
            <w:tcW w:w="1290" w:type="dxa"/>
            <w:tcBorders>
              <w:top w:val="nil"/>
              <w:left w:val="nil"/>
              <w:bottom w:val="single" w:sz="8" w:space="0" w:color="auto"/>
              <w:right w:val="single" w:sz="8" w:space="0" w:color="auto"/>
            </w:tcBorders>
            <w:shd w:val="clear" w:color="auto" w:fill="auto"/>
            <w:noWrap/>
            <w:vAlign w:val="center"/>
            <w:hideMark/>
          </w:tcPr>
          <w:p w14:paraId="32B389F7"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750" w:type="dxa"/>
            <w:tcBorders>
              <w:top w:val="nil"/>
              <w:left w:val="nil"/>
              <w:bottom w:val="single" w:sz="8" w:space="0" w:color="auto"/>
              <w:right w:val="single" w:sz="8" w:space="0" w:color="auto"/>
            </w:tcBorders>
            <w:shd w:val="clear" w:color="auto" w:fill="auto"/>
            <w:noWrap/>
            <w:vAlign w:val="center"/>
            <w:hideMark/>
          </w:tcPr>
          <w:p w14:paraId="2CC08BA5" w14:textId="6F50E8A4" w:rsidR="008D7C20" w:rsidRPr="00092ED7" w:rsidRDefault="008D7C20" w:rsidP="008D7C20">
            <w:pPr>
              <w:spacing w:after="0"/>
              <w:jc w:val="right"/>
              <w:rPr>
                <w:rFonts w:eastAsia="Times New Roman" w:cs="Times New Roman"/>
                <w:sz w:val="20"/>
                <w:szCs w:val="20"/>
                <w:lang w:val="sr-Cyrl-CS"/>
              </w:rPr>
            </w:pPr>
            <w:r w:rsidRPr="00092ED7">
              <w:rPr>
                <w:rFonts w:eastAsia="Times New Roman" w:cs="Times New Roman"/>
                <w:sz w:val="20"/>
                <w:szCs w:val="20"/>
                <w:lang w:val="sr-Cyrl-CS"/>
              </w:rPr>
              <w:t>1.</w:t>
            </w:r>
            <w:r w:rsidR="009311CC" w:rsidRPr="00092ED7">
              <w:rPr>
                <w:rFonts w:eastAsia="Times New Roman" w:cs="Times New Roman"/>
                <w:sz w:val="20"/>
                <w:szCs w:val="20"/>
                <w:lang w:val="sr-Cyrl-CS"/>
              </w:rPr>
              <w:t>0</w:t>
            </w:r>
            <w:r w:rsidRPr="00092ED7">
              <w:rPr>
                <w:rFonts w:eastAsia="Times New Roman" w:cs="Times New Roman"/>
                <w:sz w:val="20"/>
                <w:szCs w:val="20"/>
                <w:lang w:val="sr-Cyrl-CS"/>
              </w:rPr>
              <w:t>00.000,00</w:t>
            </w:r>
          </w:p>
        </w:tc>
        <w:tc>
          <w:tcPr>
            <w:tcW w:w="1624" w:type="dxa"/>
            <w:tcBorders>
              <w:top w:val="nil"/>
              <w:left w:val="nil"/>
              <w:bottom w:val="single" w:sz="8" w:space="0" w:color="auto"/>
              <w:right w:val="single" w:sz="8" w:space="0" w:color="auto"/>
            </w:tcBorders>
            <w:shd w:val="clear" w:color="auto" w:fill="auto"/>
            <w:noWrap/>
            <w:vAlign w:val="center"/>
            <w:hideMark/>
          </w:tcPr>
          <w:p w14:paraId="71B9F448" w14:textId="6F87FA30" w:rsidR="008D7C20" w:rsidRPr="00092ED7" w:rsidRDefault="008D7C20" w:rsidP="009311CC">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4.</w:t>
            </w:r>
            <w:r w:rsidR="009311CC" w:rsidRPr="00092ED7">
              <w:rPr>
                <w:rFonts w:eastAsia="Times New Roman" w:cs="Times New Roman"/>
                <w:color w:val="000000"/>
                <w:sz w:val="20"/>
                <w:szCs w:val="20"/>
                <w:lang w:val="sr-Cyrl-CS"/>
              </w:rPr>
              <w:t>279</w:t>
            </w:r>
            <w:r w:rsidRPr="00092ED7">
              <w:rPr>
                <w:rFonts w:eastAsia="Times New Roman" w:cs="Times New Roman"/>
                <w:color w:val="000000"/>
                <w:sz w:val="20"/>
                <w:szCs w:val="20"/>
                <w:lang w:val="sr-Cyrl-CS"/>
              </w:rPr>
              <w:t>.</w:t>
            </w:r>
            <w:r w:rsidR="009311CC" w:rsidRPr="00092ED7">
              <w:rPr>
                <w:rFonts w:eastAsia="Times New Roman" w:cs="Times New Roman"/>
                <w:color w:val="000000"/>
                <w:sz w:val="20"/>
                <w:szCs w:val="20"/>
                <w:lang w:val="sr-Cyrl-CS"/>
              </w:rPr>
              <w:t>467</w:t>
            </w:r>
            <w:r w:rsidRPr="00092ED7">
              <w:rPr>
                <w:rFonts w:eastAsia="Times New Roman" w:cs="Times New Roman"/>
                <w:color w:val="000000"/>
                <w:sz w:val="20"/>
                <w:szCs w:val="20"/>
                <w:lang w:val="sr-Cyrl-CS"/>
              </w:rPr>
              <w:t>,</w:t>
            </w:r>
            <w:r w:rsidR="009311CC" w:rsidRPr="00092ED7">
              <w:rPr>
                <w:rFonts w:eastAsia="Times New Roman" w:cs="Times New Roman"/>
                <w:color w:val="000000"/>
                <w:sz w:val="20"/>
                <w:szCs w:val="20"/>
                <w:lang w:val="sr-Cyrl-CS"/>
              </w:rPr>
              <w:t>67</w:t>
            </w:r>
          </w:p>
        </w:tc>
        <w:tc>
          <w:tcPr>
            <w:tcW w:w="1538" w:type="dxa"/>
            <w:tcBorders>
              <w:top w:val="nil"/>
              <w:left w:val="nil"/>
              <w:bottom w:val="single" w:sz="8" w:space="0" w:color="auto"/>
              <w:right w:val="single" w:sz="8" w:space="0" w:color="auto"/>
            </w:tcBorders>
            <w:shd w:val="clear" w:color="auto" w:fill="auto"/>
            <w:noWrap/>
            <w:vAlign w:val="center"/>
            <w:hideMark/>
          </w:tcPr>
          <w:p w14:paraId="05DD68F8"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13.345.163,33</w:t>
            </w:r>
          </w:p>
        </w:tc>
        <w:tc>
          <w:tcPr>
            <w:tcW w:w="1628" w:type="dxa"/>
            <w:tcBorders>
              <w:top w:val="nil"/>
              <w:left w:val="nil"/>
              <w:bottom w:val="single" w:sz="8" w:space="0" w:color="auto"/>
              <w:right w:val="single" w:sz="8" w:space="0" w:color="auto"/>
            </w:tcBorders>
            <w:shd w:val="clear" w:color="auto" w:fill="auto"/>
            <w:noWrap/>
            <w:vAlign w:val="center"/>
            <w:hideMark/>
          </w:tcPr>
          <w:p w14:paraId="1A109A7C" w14:textId="7EB7D339" w:rsidR="008D7C20" w:rsidRPr="00092ED7" w:rsidRDefault="008D7C20" w:rsidP="009311CC">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18.</w:t>
            </w:r>
            <w:r w:rsidR="009311CC" w:rsidRPr="00092ED7">
              <w:rPr>
                <w:rFonts w:eastAsia="Times New Roman" w:cs="Times New Roman"/>
                <w:color w:val="000000"/>
                <w:sz w:val="20"/>
                <w:szCs w:val="20"/>
                <w:lang w:val="sr-Cyrl-CS"/>
              </w:rPr>
              <w:t>624</w:t>
            </w:r>
            <w:r w:rsidRPr="00092ED7">
              <w:rPr>
                <w:rFonts w:eastAsia="Times New Roman" w:cs="Times New Roman"/>
                <w:color w:val="000000"/>
                <w:sz w:val="20"/>
                <w:szCs w:val="20"/>
                <w:lang w:val="sr-Cyrl-CS"/>
              </w:rPr>
              <w:t>.</w:t>
            </w:r>
            <w:r w:rsidR="009311CC" w:rsidRPr="00092ED7">
              <w:rPr>
                <w:rFonts w:eastAsia="Times New Roman" w:cs="Times New Roman"/>
                <w:color w:val="000000"/>
                <w:sz w:val="20"/>
                <w:szCs w:val="20"/>
                <w:lang w:val="sr-Cyrl-CS"/>
              </w:rPr>
              <w:t>631</w:t>
            </w:r>
            <w:r w:rsidRPr="00092ED7">
              <w:rPr>
                <w:rFonts w:eastAsia="Times New Roman" w:cs="Times New Roman"/>
                <w:color w:val="000000"/>
                <w:sz w:val="20"/>
                <w:szCs w:val="20"/>
                <w:lang w:val="sr-Cyrl-CS"/>
              </w:rPr>
              <w:t>,</w:t>
            </w:r>
            <w:r w:rsidR="009311CC" w:rsidRPr="00092ED7">
              <w:rPr>
                <w:rFonts w:eastAsia="Times New Roman" w:cs="Times New Roman"/>
                <w:color w:val="000000"/>
                <w:sz w:val="20"/>
                <w:szCs w:val="20"/>
                <w:lang w:val="sr-Cyrl-CS"/>
              </w:rPr>
              <w:t>00</w:t>
            </w:r>
          </w:p>
        </w:tc>
      </w:tr>
      <w:tr w:rsidR="00FD090A" w:rsidRPr="00092ED7" w14:paraId="62D2EEE4"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385C1EB0"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2024</w:t>
            </w:r>
          </w:p>
        </w:tc>
        <w:tc>
          <w:tcPr>
            <w:tcW w:w="1290" w:type="dxa"/>
            <w:tcBorders>
              <w:top w:val="nil"/>
              <w:left w:val="nil"/>
              <w:bottom w:val="single" w:sz="8" w:space="0" w:color="auto"/>
              <w:right w:val="single" w:sz="8" w:space="0" w:color="auto"/>
            </w:tcBorders>
            <w:shd w:val="clear" w:color="auto" w:fill="auto"/>
            <w:noWrap/>
            <w:vAlign w:val="center"/>
            <w:hideMark/>
          </w:tcPr>
          <w:p w14:paraId="41122971"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750" w:type="dxa"/>
            <w:tcBorders>
              <w:top w:val="nil"/>
              <w:left w:val="nil"/>
              <w:bottom w:val="single" w:sz="8" w:space="0" w:color="auto"/>
              <w:right w:val="single" w:sz="8" w:space="0" w:color="auto"/>
            </w:tcBorders>
            <w:shd w:val="clear" w:color="auto" w:fill="auto"/>
            <w:noWrap/>
            <w:vAlign w:val="center"/>
            <w:hideMark/>
          </w:tcPr>
          <w:p w14:paraId="70CCB647" w14:textId="6D2F23D2" w:rsidR="008D7C20" w:rsidRPr="00092ED7" w:rsidRDefault="008D7C20" w:rsidP="008D7C20">
            <w:pPr>
              <w:spacing w:after="0"/>
              <w:jc w:val="right"/>
              <w:rPr>
                <w:rFonts w:eastAsia="Times New Roman" w:cs="Times New Roman"/>
                <w:sz w:val="20"/>
                <w:szCs w:val="20"/>
                <w:lang w:val="sr-Cyrl-CS"/>
              </w:rPr>
            </w:pPr>
            <w:r w:rsidRPr="00092ED7">
              <w:rPr>
                <w:rFonts w:eastAsia="Times New Roman" w:cs="Times New Roman"/>
                <w:sz w:val="20"/>
                <w:szCs w:val="20"/>
                <w:lang w:val="sr-Cyrl-CS"/>
              </w:rPr>
              <w:t>3.</w:t>
            </w:r>
            <w:r w:rsidR="009311CC" w:rsidRPr="00092ED7">
              <w:rPr>
                <w:rFonts w:eastAsia="Times New Roman" w:cs="Times New Roman"/>
                <w:sz w:val="20"/>
                <w:szCs w:val="20"/>
                <w:lang w:val="sr-Cyrl-CS"/>
              </w:rPr>
              <w:t>5</w:t>
            </w:r>
            <w:r w:rsidRPr="00092ED7">
              <w:rPr>
                <w:rFonts w:eastAsia="Times New Roman" w:cs="Times New Roman"/>
                <w:sz w:val="20"/>
                <w:szCs w:val="20"/>
                <w:lang w:val="sr-Cyrl-CS"/>
              </w:rPr>
              <w:t>00.000,00</w:t>
            </w:r>
          </w:p>
        </w:tc>
        <w:tc>
          <w:tcPr>
            <w:tcW w:w="1624" w:type="dxa"/>
            <w:tcBorders>
              <w:top w:val="nil"/>
              <w:left w:val="nil"/>
              <w:bottom w:val="single" w:sz="8" w:space="0" w:color="auto"/>
              <w:right w:val="single" w:sz="8" w:space="0" w:color="auto"/>
            </w:tcBorders>
            <w:shd w:val="clear" w:color="auto" w:fill="auto"/>
            <w:noWrap/>
            <w:vAlign w:val="center"/>
            <w:hideMark/>
          </w:tcPr>
          <w:p w14:paraId="7879C703" w14:textId="6860A0CA" w:rsidR="008D7C20" w:rsidRPr="00092ED7" w:rsidRDefault="008D7C20" w:rsidP="009311CC">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4.</w:t>
            </w:r>
            <w:r w:rsidR="009311CC" w:rsidRPr="00092ED7">
              <w:rPr>
                <w:rFonts w:eastAsia="Times New Roman" w:cs="Times New Roman"/>
                <w:color w:val="000000"/>
                <w:sz w:val="20"/>
                <w:szCs w:val="20"/>
                <w:lang w:val="sr-Cyrl-CS"/>
              </w:rPr>
              <w:t>279</w:t>
            </w:r>
            <w:r w:rsidRPr="00092ED7">
              <w:rPr>
                <w:rFonts w:eastAsia="Times New Roman" w:cs="Times New Roman"/>
                <w:color w:val="000000"/>
                <w:sz w:val="20"/>
                <w:szCs w:val="20"/>
                <w:lang w:val="sr-Cyrl-CS"/>
              </w:rPr>
              <w:t>.</w:t>
            </w:r>
            <w:r w:rsidR="009311CC" w:rsidRPr="00092ED7">
              <w:rPr>
                <w:rFonts w:eastAsia="Times New Roman" w:cs="Times New Roman"/>
                <w:color w:val="000000"/>
                <w:sz w:val="20"/>
                <w:szCs w:val="20"/>
                <w:lang w:val="sr-Cyrl-CS"/>
              </w:rPr>
              <w:t>467</w:t>
            </w:r>
            <w:r w:rsidRPr="00092ED7">
              <w:rPr>
                <w:rFonts w:eastAsia="Times New Roman" w:cs="Times New Roman"/>
                <w:color w:val="000000"/>
                <w:sz w:val="20"/>
                <w:szCs w:val="20"/>
                <w:lang w:val="sr-Cyrl-CS"/>
              </w:rPr>
              <w:t>,</w:t>
            </w:r>
            <w:r w:rsidR="009311CC" w:rsidRPr="00092ED7">
              <w:rPr>
                <w:rFonts w:eastAsia="Times New Roman" w:cs="Times New Roman"/>
                <w:color w:val="000000"/>
                <w:sz w:val="20"/>
                <w:szCs w:val="20"/>
                <w:lang w:val="sr-Cyrl-CS"/>
              </w:rPr>
              <w:t>67</w:t>
            </w:r>
          </w:p>
        </w:tc>
        <w:tc>
          <w:tcPr>
            <w:tcW w:w="1538" w:type="dxa"/>
            <w:tcBorders>
              <w:top w:val="nil"/>
              <w:left w:val="nil"/>
              <w:bottom w:val="single" w:sz="8" w:space="0" w:color="auto"/>
              <w:right w:val="single" w:sz="8" w:space="0" w:color="auto"/>
            </w:tcBorders>
            <w:shd w:val="clear" w:color="auto" w:fill="auto"/>
            <w:noWrap/>
            <w:vAlign w:val="center"/>
            <w:hideMark/>
          </w:tcPr>
          <w:p w14:paraId="72D4BCCA" w14:textId="5E055DA4" w:rsidR="008D7C20" w:rsidRPr="00092ED7" w:rsidRDefault="009311CC"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20</w:t>
            </w:r>
            <w:r w:rsidR="008D7C20" w:rsidRPr="00092ED7">
              <w:rPr>
                <w:rFonts w:eastAsia="Times New Roman" w:cs="Times New Roman"/>
                <w:color w:val="000000"/>
                <w:sz w:val="20"/>
                <w:szCs w:val="20"/>
                <w:lang w:val="sr-Cyrl-CS"/>
              </w:rPr>
              <w:t>.590.163,33</w:t>
            </w:r>
          </w:p>
        </w:tc>
        <w:tc>
          <w:tcPr>
            <w:tcW w:w="1628" w:type="dxa"/>
            <w:tcBorders>
              <w:top w:val="nil"/>
              <w:left w:val="nil"/>
              <w:bottom w:val="single" w:sz="8" w:space="0" w:color="auto"/>
              <w:right w:val="single" w:sz="8" w:space="0" w:color="auto"/>
            </w:tcBorders>
            <w:shd w:val="clear" w:color="auto" w:fill="auto"/>
            <w:noWrap/>
            <w:vAlign w:val="center"/>
            <w:hideMark/>
          </w:tcPr>
          <w:p w14:paraId="665B9794" w14:textId="5DC26B0B" w:rsidR="008D7C20" w:rsidRPr="00092ED7" w:rsidRDefault="009311CC" w:rsidP="009311CC">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28</w:t>
            </w:r>
            <w:r w:rsidR="008D7C20" w:rsidRPr="00092ED7">
              <w:rPr>
                <w:rFonts w:eastAsia="Times New Roman" w:cs="Times New Roman"/>
                <w:color w:val="000000"/>
                <w:sz w:val="20"/>
                <w:szCs w:val="20"/>
                <w:lang w:val="sr-Cyrl-CS"/>
              </w:rPr>
              <w:t>.</w:t>
            </w:r>
            <w:r w:rsidRPr="00092ED7">
              <w:rPr>
                <w:rFonts w:eastAsia="Times New Roman" w:cs="Times New Roman"/>
                <w:color w:val="000000"/>
                <w:sz w:val="20"/>
                <w:szCs w:val="20"/>
                <w:lang w:val="sr-Cyrl-CS"/>
              </w:rPr>
              <w:t>369</w:t>
            </w:r>
            <w:r w:rsidR="008D7C20" w:rsidRPr="00092ED7">
              <w:rPr>
                <w:rFonts w:eastAsia="Times New Roman" w:cs="Times New Roman"/>
                <w:color w:val="000000"/>
                <w:sz w:val="20"/>
                <w:szCs w:val="20"/>
                <w:lang w:val="sr-Cyrl-CS"/>
              </w:rPr>
              <w:t>.</w:t>
            </w:r>
            <w:r w:rsidRPr="00092ED7">
              <w:rPr>
                <w:rFonts w:eastAsia="Times New Roman" w:cs="Times New Roman"/>
                <w:color w:val="000000"/>
                <w:sz w:val="20"/>
                <w:szCs w:val="20"/>
                <w:lang w:val="sr-Cyrl-CS"/>
              </w:rPr>
              <w:t>631</w:t>
            </w:r>
            <w:r w:rsidR="008D7C20" w:rsidRPr="00092ED7">
              <w:rPr>
                <w:rFonts w:eastAsia="Times New Roman" w:cs="Times New Roman"/>
                <w:color w:val="000000"/>
                <w:sz w:val="20"/>
                <w:szCs w:val="20"/>
                <w:lang w:val="sr-Cyrl-CS"/>
              </w:rPr>
              <w:t>,</w:t>
            </w:r>
            <w:r w:rsidRPr="00092ED7">
              <w:rPr>
                <w:rFonts w:eastAsia="Times New Roman" w:cs="Times New Roman"/>
                <w:color w:val="000000"/>
                <w:sz w:val="20"/>
                <w:szCs w:val="20"/>
                <w:lang w:val="sr-Cyrl-CS"/>
              </w:rPr>
              <w:t>00</w:t>
            </w:r>
          </w:p>
        </w:tc>
      </w:tr>
      <w:tr w:rsidR="00FD090A" w:rsidRPr="00092ED7" w14:paraId="3FB56096"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512390C5"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2025</w:t>
            </w:r>
          </w:p>
        </w:tc>
        <w:tc>
          <w:tcPr>
            <w:tcW w:w="1290" w:type="dxa"/>
            <w:tcBorders>
              <w:top w:val="nil"/>
              <w:left w:val="nil"/>
              <w:bottom w:val="single" w:sz="8" w:space="0" w:color="auto"/>
              <w:right w:val="single" w:sz="8" w:space="0" w:color="auto"/>
            </w:tcBorders>
            <w:shd w:val="clear" w:color="auto" w:fill="auto"/>
            <w:noWrap/>
            <w:vAlign w:val="center"/>
            <w:hideMark/>
          </w:tcPr>
          <w:p w14:paraId="5C75BDA4"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750" w:type="dxa"/>
            <w:tcBorders>
              <w:top w:val="nil"/>
              <w:left w:val="nil"/>
              <w:bottom w:val="single" w:sz="8" w:space="0" w:color="auto"/>
              <w:right w:val="single" w:sz="8" w:space="0" w:color="auto"/>
            </w:tcBorders>
            <w:shd w:val="clear" w:color="auto" w:fill="auto"/>
            <w:noWrap/>
            <w:vAlign w:val="center"/>
            <w:hideMark/>
          </w:tcPr>
          <w:p w14:paraId="2BF921E2" w14:textId="77777777" w:rsidR="008D7C20" w:rsidRPr="00092ED7" w:rsidRDefault="008D7C20" w:rsidP="008D7C20">
            <w:pPr>
              <w:spacing w:after="0"/>
              <w:jc w:val="right"/>
              <w:rPr>
                <w:rFonts w:eastAsia="Times New Roman" w:cs="Times New Roman"/>
                <w:sz w:val="20"/>
                <w:szCs w:val="20"/>
                <w:lang w:val="sr-Cyrl-CS"/>
              </w:rPr>
            </w:pPr>
            <w:r w:rsidRPr="00092ED7">
              <w:rPr>
                <w:rFonts w:eastAsia="Times New Roman" w:cs="Times New Roman"/>
                <w:sz w:val="20"/>
                <w:szCs w:val="20"/>
                <w:lang w:val="sr-Cyrl-CS"/>
              </w:rPr>
              <w:t>1.500.000,00</w:t>
            </w:r>
          </w:p>
        </w:tc>
        <w:tc>
          <w:tcPr>
            <w:tcW w:w="1624" w:type="dxa"/>
            <w:tcBorders>
              <w:top w:val="nil"/>
              <w:left w:val="nil"/>
              <w:bottom w:val="single" w:sz="8" w:space="0" w:color="auto"/>
              <w:right w:val="single" w:sz="8" w:space="0" w:color="auto"/>
            </w:tcBorders>
            <w:shd w:val="clear" w:color="auto" w:fill="auto"/>
            <w:noWrap/>
            <w:vAlign w:val="center"/>
            <w:hideMark/>
          </w:tcPr>
          <w:p w14:paraId="0F95A4C2" w14:textId="773D32DC" w:rsidR="008D7C20" w:rsidRPr="00092ED7" w:rsidRDefault="008D7C20" w:rsidP="009311CC">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4.</w:t>
            </w:r>
            <w:r w:rsidR="009311CC" w:rsidRPr="00092ED7">
              <w:rPr>
                <w:rFonts w:eastAsia="Times New Roman" w:cs="Times New Roman"/>
                <w:color w:val="000000"/>
                <w:sz w:val="20"/>
                <w:szCs w:val="20"/>
                <w:lang w:val="sr-Cyrl-CS"/>
              </w:rPr>
              <w:t>279</w:t>
            </w:r>
            <w:r w:rsidRPr="00092ED7">
              <w:rPr>
                <w:rFonts w:eastAsia="Times New Roman" w:cs="Times New Roman"/>
                <w:color w:val="000000"/>
                <w:sz w:val="20"/>
                <w:szCs w:val="20"/>
                <w:lang w:val="sr-Cyrl-CS"/>
              </w:rPr>
              <w:t>.</w:t>
            </w:r>
            <w:r w:rsidR="009311CC" w:rsidRPr="00092ED7">
              <w:rPr>
                <w:rFonts w:eastAsia="Times New Roman" w:cs="Times New Roman"/>
                <w:color w:val="000000"/>
                <w:sz w:val="20"/>
                <w:szCs w:val="20"/>
                <w:lang w:val="sr-Cyrl-CS"/>
              </w:rPr>
              <w:t>467</w:t>
            </w:r>
            <w:r w:rsidRPr="00092ED7">
              <w:rPr>
                <w:rFonts w:eastAsia="Times New Roman" w:cs="Times New Roman"/>
                <w:color w:val="000000"/>
                <w:sz w:val="20"/>
                <w:szCs w:val="20"/>
                <w:lang w:val="sr-Cyrl-CS"/>
              </w:rPr>
              <w:t>,</w:t>
            </w:r>
            <w:r w:rsidR="009311CC" w:rsidRPr="00092ED7">
              <w:rPr>
                <w:rFonts w:eastAsia="Times New Roman" w:cs="Times New Roman"/>
                <w:color w:val="000000"/>
                <w:sz w:val="20"/>
                <w:szCs w:val="20"/>
                <w:lang w:val="sr-Cyrl-CS"/>
              </w:rPr>
              <w:t>67</w:t>
            </w:r>
          </w:p>
        </w:tc>
        <w:tc>
          <w:tcPr>
            <w:tcW w:w="1538" w:type="dxa"/>
            <w:tcBorders>
              <w:top w:val="nil"/>
              <w:left w:val="nil"/>
              <w:bottom w:val="single" w:sz="8" w:space="0" w:color="auto"/>
              <w:right w:val="single" w:sz="8" w:space="0" w:color="auto"/>
            </w:tcBorders>
            <w:shd w:val="clear" w:color="auto" w:fill="auto"/>
            <w:noWrap/>
            <w:vAlign w:val="center"/>
            <w:hideMark/>
          </w:tcPr>
          <w:p w14:paraId="7ADE6F27" w14:textId="01D51132" w:rsidR="008D7C20" w:rsidRPr="00092ED7" w:rsidRDefault="009311CC"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3</w:t>
            </w:r>
            <w:r w:rsidR="008D7C20" w:rsidRPr="00092ED7">
              <w:rPr>
                <w:rFonts w:eastAsia="Times New Roman" w:cs="Times New Roman"/>
                <w:color w:val="000000"/>
                <w:sz w:val="20"/>
                <w:szCs w:val="20"/>
                <w:lang w:val="sr-Cyrl-CS"/>
              </w:rPr>
              <w:t>7.835.163,33</w:t>
            </w:r>
          </w:p>
        </w:tc>
        <w:tc>
          <w:tcPr>
            <w:tcW w:w="1628" w:type="dxa"/>
            <w:tcBorders>
              <w:top w:val="nil"/>
              <w:left w:val="nil"/>
              <w:bottom w:val="single" w:sz="8" w:space="0" w:color="auto"/>
              <w:right w:val="single" w:sz="8" w:space="0" w:color="auto"/>
            </w:tcBorders>
            <w:shd w:val="clear" w:color="auto" w:fill="auto"/>
            <w:noWrap/>
            <w:vAlign w:val="center"/>
            <w:hideMark/>
          </w:tcPr>
          <w:p w14:paraId="425B32B7" w14:textId="60D0B1EE" w:rsidR="008D7C20" w:rsidRPr="00092ED7" w:rsidRDefault="009311CC" w:rsidP="009311CC">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4</w:t>
            </w:r>
            <w:r w:rsidR="008D7C20" w:rsidRPr="00092ED7">
              <w:rPr>
                <w:rFonts w:eastAsia="Times New Roman" w:cs="Times New Roman"/>
                <w:color w:val="000000"/>
                <w:sz w:val="20"/>
                <w:szCs w:val="20"/>
                <w:lang w:val="sr-Cyrl-CS"/>
              </w:rPr>
              <w:t>3.</w:t>
            </w:r>
            <w:r w:rsidRPr="00092ED7">
              <w:rPr>
                <w:rFonts w:eastAsia="Times New Roman" w:cs="Times New Roman"/>
                <w:color w:val="000000"/>
                <w:sz w:val="20"/>
                <w:szCs w:val="20"/>
                <w:lang w:val="sr-Cyrl-CS"/>
              </w:rPr>
              <w:t>614</w:t>
            </w:r>
            <w:r w:rsidR="008D7C20" w:rsidRPr="00092ED7">
              <w:rPr>
                <w:rFonts w:eastAsia="Times New Roman" w:cs="Times New Roman"/>
                <w:color w:val="000000"/>
                <w:sz w:val="20"/>
                <w:szCs w:val="20"/>
                <w:lang w:val="sr-Cyrl-CS"/>
              </w:rPr>
              <w:t>.</w:t>
            </w:r>
            <w:r w:rsidRPr="00092ED7">
              <w:rPr>
                <w:rFonts w:eastAsia="Times New Roman" w:cs="Times New Roman"/>
                <w:color w:val="000000"/>
                <w:sz w:val="20"/>
                <w:szCs w:val="20"/>
                <w:lang w:val="sr-Cyrl-CS"/>
              </w:rPr>
              <w:t>631</w:t>
            </w:r>
            <w:r w:rsidR="008D7C20" w:rsidRPr="00092ED7">
              <w:rPr>
                <w:rFonts w:eastAsia="Times New Roman" w:cs="Times New Roman"/>
                <w:color w:val="000000"/>
                <w:sz w:val="20"/>
                <w:szCs w:val="20"/>
                <w:lang w:val="sr-Cyrl-CS"/>
              </w:rPr>
              <w:t>,</w:t>
            </w:r>
            <w:r w:rsidRPr="00092ED7">
              <w:rPr>
                <w:rFonts w:eastAsia="Times New Roman" w:cs="Times New Roman"/>
                <w:color w:val="000000"/>
                <w:sz w:val="20"/>
                <w:szCs w:val="20"/>
                <w:lang w:val="sr-Cyrl-CS"/>
              </w:rPr>
              <w:t>00</w:t>
            </w:r>
          </w:p>
        </w:tc>
      </w:tr>
      <w:tr w:rsidR="008D7C20" w:rsidRPr="00092ED7" w14:paraId="40A16A38" w14:textId="77777777" w:rsidTr="007C54E3">
        <w:trPr>
          <w:trHeight w:val="330"/>
        </w:trPr>
        <w:tc>
          <w:tcPr>
            <w:tcW w:w="9006" w:type="dxa"/>
            <w:gridSpan w:val="6"/>
            <w:tcBorders>
              <w:top w:val="single" w:sz="8" w:space="0" w:color="auto"/>
              <w:left w:val="single" w:sz="8" w:space="0" w:color="auto"/>
              <w:bottom w:val="single" w:sz="8" w:space="0" w:color="auto"/>
              <w:right w:val="single" w:sz="8" w:space="0" w:color="auto"/>
            </w:tcBorders>
            <w:shd w:val="clear" w:color="000000" w:fill="D0CECE"/>
            <w:noWrap/>
            <w:vAlign w:val="center"/>
            <w:hideMark/>
          </w:tcPr>
          <w:p w14:paraId="2C47269F" w14:textId="77777777" w:rsidR="008D7C20" w:rsidRPr="00092ED7" w:rsidRDefault="008D7C20" w:rsidP="008D7C20">
            <w:pPr>
              <w:spacing w:after="0"/>
              <w:jc w:val="left"/>
              <w:rPr>
                <w:rFonts w:eastAsia="Times New Roman" w:cs="Times New Roman"/>
                <w:b/>
                <w:bCs/>
                <w:sz w:val="20"/>
                <w:szCs w:val="20"/>
                <w:lang w:val="sr-Cyrl-CS"/>
              </w:rPr>
            </w:pPr>
            <w:r w:rsidRPr="00092ED7">
              <w:rPr>
                <w:rFonts w:eastAsia="Times New Roman" w:cs="Times New Roman"/>
                <w:b/>
                <w:bCs/>
                <w:sz w:val="20"/>
                <w:szCs w:val="20"/>
                <w:lang w:val="sr-Cyrl-CS"/>
              </w:rPr>
              <w:t>9. Интеграција обновљивих извора електричне енергије кроз пројекат „Беогрид 2025“</w:t>
            </w:r>
            <w:r w:rsidR="009C5F53" w:rsidRPr="00092ED7">
              <w:rPr>
                <w:rFonts w:cs="Times New Roman"/>
                <w:b/>
                <w:sz w:val="20"/>
                <w:szCs w:val="20"/>
                <w:lang w:val="sr-Cyrl-CS"/>
              </w:rPr>
              <w:t>”</w:t>
            </w:r>
          </w:p>
        </w:tc>
      </w:tr>
      <w:tr w:rsidR="00FD090A" w:rsidRPr="00092ED7" w14:paraId="6D1F20E0"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0B74B2A0"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b/>
                <w:bCs/>
                <w:sz w:val="20"/>
                <w:szCs w:val="20"/>
                <w:lang w:val="sr-Cyrl-CS"/>
              </w:rPr>
              <w:t>Година</w:t>
            </w:r>
          </w:p>
        </w:tc>
        <w:tc>
          <w:tcPr>
            <w:tcW w:w="1290" w:type="dxa"/>
            <w:tcBorders>
              <w:top w:val="nil"/>
              <w:left w:val="nil"/>
              <w:bottom w:val="single" w:sz="8" w:space="0" w:color="auto"/>
              <w:right w:val="single" w:sz="8" w:space="0" w:color="auto"/>
            </w:tcBorders>
            <w:shd w:val="clear" w:color="auto" w:fill="auto"/>
            <w:noWrap/>
            <w:vAlign w:val="center"/>
            <w:hideMark/>
          </w:tcPr>
          <w:p w14:paraId="16F55428"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Плате</w:t>
            </w:r>
          </w:p>
        </w:tc>
        <w:tc>
          <w:tcPr>
            <w:tcW w:w="1750" w:type="dxa"/>
            <w:tcBorders>
              <w:top w:val="nil"/>
              <w:left w:val="nil"/>
              <w:bottom w:val="single" w:sz="8" w:space="0" w:color="auto"/>
              <w:right w:val="single" w:sz="8" w:space="0" w:color="auto"/>
            </w:tcBorders>
            <w:shd w:val="clear" w:color="auto" w:fill="auto"/>
            <w:noWrap/>
            <w:vAlign w:val="center"/>
            <w:hideMark/>
          </w:tcPr>
          <w:p w14:paraId="5CAA4691"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Добра и услуге</w:t>
            </w:r>
          </w:p>
        </w:tc>
        <w:tc>
          <w:tcPr>
            <w:tcW w:w="1624" w:type="dxa"/>
            <w:tcBorders>
              <w:top w:val="nil"/>
              <w:left w:val="nil"/>
              <w:bottom w:val="single" w:sz="8" w:space="0" w:color="auto"/>
              <w:right w:val="single" w:sz="8" w:space="0" w:color="auto"/>
            </w:tcBorders>
            <w:shd w:val="clear" w:color="auto" w:fill="auto"/>
            <w:noWrap/>
            <w:vAlign w:val="center"/>
            <w:hideMark/>
          </w:tcPr>
          <w:p w14:paraId="0B61FFD2"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Субвенције и трансфери</w:t>
            </w:r>
          </w:p>
        </w:tc>
        <w:tc>
          <w:tcPr>
            <w:tcW w:w="1538" w:type="dxa"/>
            <w:tcBorders>
              <w:top w:val="nil"/>
              <w:left w:val="nil"/>
              <w:bottom w:val="single" w:sz="8" w:space="0" w:color="auto"/>
              <w:right w:val="single" w:sz="8" w:space="0" w:color="auto"/>
            </w:tcBorders>
            <w:shd w:val="clear" w:color="auto" w:fill="auto"/>
            <w:noWrap/>
            <w:vAlign w:val="center"/>
            <w:hideMark/>
          </w:tcPr>
          <w:p w14:paraId="499FD848"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Капитални расходи</w:t>
            </w:r>
          </w:p>
        </w:tc>
        <w:tc>
          <w:tcPr>
            <w:tcW w:w="1628" w:type="dxa"/>
            <w:tcBorders>
              <w:top w:val="nil"/>
              <w:left w:val="nil"/>
              <w:bottom w:val="single" w:sz="8" w:space="0" w:color="auto"/>
              <w:right w:val="single" w:sz="8" w:space="0" w:color="auto"/>
            </w:tcBorders>
            <w:shd w:val="clear" w:color="auto" w:fill="auto"/>
            <w:noWrap/>
            <w:vAlign w:val="center"/>
            <w:hideMark/>
          </w:tcPr>
          <w:p w14:paraId="14391674"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Укупно</w:t>
            </w:r>
          </w:p>
        </w:tc>
      </w:tr>
      <w:tr w:rsidR="00FD090A" w:rsidRPr="00092ED7" w14:paraId="365FFE12"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5E3D2F2E"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2023</w:t>
            </w:r>
          </w:p>
        </w:tc>
        <w:tc>
          <w:tcPr>
            <w:tcW w:w="1290" w:type="dxa"/>
            <w:tcBorders>
              <w:top w:val="nil"/>
              <w:left w:val="nil"/>
              <w:bottom w:val="single" w:sz="8" w:space="0" w:color="auto"/>
              <w:right w:val="single" w:sz="8" w:space="0" w:color="auto"/>
            </w:tcBorders>
            <w:shd w:val="clear" w:color="auto" w:fill="auto"/>
            <w:noWrap/>
            <w:vAlign w:val="center"/>
            <w:hideMark/>
          </w:tcPr>
          <w:p w14:paraId="6C47D0A6"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750" w:type="dxa"/>
            <w:tcBorders>
              <w:top w:val="nil"/>
              <w:left w:val="nil"/>
              <w:bottom w:val="single" w:sz="8" w:space="0" w:color="auto"/>
              <w:right w:val="single" w:sz="8" w:space="0" w:color="auto"/>
            </w:tcBorders>
            <w:shd w:val="clear" w:color="auto" w:fill="auto"/>
            <w:noWrap/>
            <w:vAlign w:val="center"/>
            <w:hideMark/>
          </w:tcPr>
          <w:p w14:paraId="1A1C6173" w14:textId="77777777" w:rsidR="008D7C20" w:rsidRPr="00092ED7" w:rsidRDefault="008D7C20" w:rsidP="008D7C20">
            <w:pPr>
              <w:spacing w:after="0"/>
              <w:jc w:val="right"/>
              <w:rPr>
                <w:rFonts w:eastAsia="Times New Roman" w:cs="Times New Roman"/>
                <w:sz w:val="20"/>
                <w:szCs w:val="20"/>
                <w:lang w:val="sr-Cyrl-CS"/>
              </w:rPr>
            </w:pPr>
            <w:r w:rsidRPr="00092ED7">
              <w:rPr>
                <w:rFonts w:eastAsia="Times New Roman" w:cs="Times New Roman"/>
                <w:sz w:val="20"/>
                <w:szCs w:val="20"/>
                <w:lang w:val="sr-Cyrl-CS"/>
              </w:rPr>
              <w:t>0</w:t>
            </w:r>
          </w:p>
        </w:tc>
        <w:tc>
          <w:tcPr>
            <w:tcW w:w="1624" w:type="dxa"/>
            <w:tcBorders>
              <w:top w:val="nil"/>
              <w:left w:val="nil"/>
              <w:bottom w:val="single" w:sz="8" w:space="0" w:color="auto"/>
              <w:right w:val="single" w:sz="8" w:space="0" w:color="auto"/>
            </w:tcBorders>
            <w:shd w:val="clear" w:color="auto" w:fill="auto"/>
            <w:noWrap/>
            <w:vAlign w:val="center"/>
            <w:hideMark/>
          </w:tcPr>
          <w:p w14:paraId="4DD3370B"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38" w:type="dxa"/>
            <w:tcBorders>
              <w:top w:val="nil"/>
              <w:left w:val="nil"/>
              <w:bottom w:val="single" w:sz="8" w:space="0" w:color="auto"/>
              <w:right w:val="single" w:sz="8" w:space="0" w:color="auto"/>
            </w:tcBorders>
            <w:shd w:val="clear" w:color="auto" w:fill="auto"/>
            <w:noWrap/>
            <w:vAlign w:val="center"/>
            <w:hideMark/>
          </w:tcPr>
          <w:p w14:paraId="3AF378AA" w14:textId="4146CF94" w:rsidR="008D7C20" w:rsidRPr="00092ED7" w:rsidRDefault="00EB2907"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2.275.320</w:t>
            </w:r>
            <w:r w:rsidR="008D7C20" w:rsidRPr="00092ED7">
              <w:rPr>
                <w:rFonts w:eastAsia="Times New Roman" w:cs="Times New Roman"/>
                <w:color w:val="000000"/>
                <w:sz w:val="20"/>
                <w:szCs w:val="20"/>
                <w:lang w:val="sr-Cyrl-CS"/>
              </w:rPr>
              <w:t>,00</w:t>
            </w:r>
          </w:p>
        </w:tc>
        <w:tc>
          <w:tcPr>
            <w:tcW w:w="1628" w:type="dxa"/>
            <w:tcBorders>
              <w:top w:val="nil"/>
              <w:left w:val="nil"/>
              <w:bottom w:val="single" w:sz="8" w:space="0" w:color="auto"/>
              <w:right w:val="single" w:sz="8" w:space="0" w:color="auto"/>
            </w:tcBorders>
            <w:shd w:val="clear" w:color="auto" w:fill="auto"/>
            <w:noWrap/>
            <w:vAlign w:val="center"/>
            <w:hideMark/>
          </w:tcPr>
          <w:p w14:paraId="2968D92B" w14:textId="54962B9E" w:rsidR="008D7C20" w:rsidRPr="00092ED7" w:rsidRDefault="00EB2907"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2.275.320</w:t>
            </w:r>
            <w:r w:rsidR="008D7C20" w:rsidRPr="00092ED7">
              <w:rPr>
                <w:rFonts w:eastAsia="Times New Roman" w:cs="Times New Roman"/>
                <w:color w:val="000000"/>
                <w:sz w:val="20"/>
                <w:szCs w:val="20"/>
                <w:lang w:val="sr-Cyrl-CS"/>
              </w:rPr>
              <w:t>,00</w:t>
            </w:r>
          </w:p>
        </w:tc>
      </w:tr>
      <w:tr w:rsidR="00FD090A" w:rsidRPr="00092ED7" w14:paraId="05BC3563"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1BA2BBE7"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2024</w:t>
            </w:r>
          </w:p>
        </w:tc>
        <w:tc>
          <w:tcPr>
            <w:tcW w:w="1290" w:type="dxa"/>
            <w:tcBorders>
              <w:top w:val="nil"/>
              <w:left w:val="nil"/>
              <w:bottom w:val="single" w:sz="8" w:space="0" w:color="auto"/>
              <w:right w:val="single" w:sz="8" w:space="0" w:color="auto"/>
            </w:tcBorders>
            <w:shd w:val="clear" w:color="auto" w:fill="auto"/>
            <w:noWrap/>
            <w:vAlign w:val="center"/>
            <w:hideMark/>
          </w:tcPr>
          <w:p w14:paraId="4D0F4BB5"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750" w:type="dxa"/>
            <w:tcBorders>
              <w:top w:val="nil"/>
              <w:left w:val="nil"/>
              <w:bottom w:val="single" w:sz="8" w:space="0" w:color="auto"/>
              <w:right w:val="single" w:sz="8" w:space="0" w:color="auto"/>
            </w:tcBorders>
            <w:shd w:val="clear" w:color="auto" w:fill="auto"/>
            <w:noWrap/>
            <w:vAlign w:val="center"/>
            <w:hideMark/>
          </w:tcPr>
          <w:p w14:paraId="5ED840D5" w14:textId="77777777" w:rsidR="008D7C20" w:rsidRPr="00092ED7" w:rsidRDefault="008D7C20" w:rsidP="008D7C20">
            <w:pPr>
              <w:spacing w:after="0"/>
              <w:jc w:val="right"/>
              <w:rPr>
                <w:rFonts w:eastAsia="Times New Roman" w:cs="Times New Roman"/>
                <w:sz w:val="20"/>
                <w:szCs w:val="20"/>
                <w:lang w:val="sr-Cyrl-CS"/>
              </w:rPr>
            </w:pPr>
            <w:r w:rsidRPr="00092ED7">
              <w:rPr>
                <w:rFonts w:eastAsia="Times New Roman" w:cs="Times New Roman"/>
                <w:sz w:val="20"/>
                <w:szCs w:val="20"/>
                <w:lang w:val="sr-Cyrl-CS"/>
              </w:rPr>
              <w:t>0</w:t>
            </w:r>
          </w:p>
        </w:tc>
        <w:tc>
          <w:tcPr>
            <w:tcW w:w="1624" w:type="dxa"/>
            <w:tcBorders>
              <w:top w:val="nil"/>
              <w:left w:val="nil"/>
              <w:bottom w:val="single" w:sz="8" w:space="0" w:color="auto"/>
              <w:right w:val="single" w:sz="8" w:space="0" w:color="auto"/>
            </w:tcBorders>
            <w:shd w:val="clear" w:color="auto" w:fill="auto"/>
            <w:noWrap/>
            <w:vAlign w:val="center"/>
            <w:hideMark/>
          </w:tcPr>
          <w:p w14:paraId="293C22AB"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38" w:type="dxa"/>
            <w:tcBorders>
              <w:top w:val="nil"/>
              <w:left w:val="nil"/>
              <w:bottom w:val="single" w:sz="8" w:space="0" w:color="auto"/>
              <w:right w:val="single" w:sz="8" w:space="0" w:color="auto"/>
            </w:tcBorders>
            <w:shd w:val="clear" w:color="auto" w:fill="auto"/>
            <w:noWrap/>
            <w:vAlign w:val="center"/>
            <w:hideMark/>
          </w:tcPr>
          <w:p w14:paraId="030AB432" w14:textId="201437D9" w:rsidR="008D7C20" w:rsidRPr="00092ED7" w:rsidRDefault="00EB2907"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21.000.000</w:t>
            </w:r>
            <w:r w:rsidR="008D7C20" w:rsidRPr="00092ED7">
              <w:rPr>
                <w:rFonts w:eastAsia="Times New Roman" w:cs="Times New Roman"/>
                <w:color w:val="000000"/>
                <w:sz w:val="20"/>
                <w:szCs w:val="20"/>
                <w:lang w:val="sr-Cyrl-CS"/>
              </w:rPr>
              <w:t>,00</w:t>
            </w:r>
          </w:p>
        </w:tc>
        <w:tc>
          <w:tcPr>
            <w:tcW w:w="1628" w:type="dxa"/>
            <w:tcBorders>
              <w:top w:val="nil"/>
              <w:left w:val="nil"/>
              <w:bottom w:val="single" w:sz="8" w:space="0" w:color="auto"/>
              <w:right w:val="single" w:sz="8" w:space="0" w:color="auto"/>
            </w:tcBorders>
            <w:shd w:val="clear" w:color="auto" w:fill="auto"/>
            <w:noWrap/>
            <w:vAlign w:val="center"/>
            <w:hideMark/>
          </w:tcPr>
          <w:p w14:paraId="4CAF8CDF" w14:textId="42AF4571" w:rsidR="008D7C20" w:rsidRPr="00092ED7" w:rsidRDefault="00EB2907"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21.000.000</w:t>
            </w:r>
            <w:r w:rsidR="008D7C20" w:rsidRPr="00092ED7">
              <w:rPr>
                <w:rFonts w:eastAsia="Times New Roman" w:cs="Times New Roman"/>
                <w:color w:val="000000"/>
                <w:sz w:val="20"/>
                <w:szCs w:val="20"/>
                <w:lang w:val="sr-Cyrl-CS"/>
              </w:rPr>
              <w:t>,00</w:t>
            </w:r>
          </w:p>
        </w:tc>
      </w:tr>
      <w:tr w:rsidR="00FD090A" w:rsidRPr="00092ED7" w14:paraId="282BA9CA"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2058D070"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2025</w:t>
            </w:r>
          </w:p>
        </w:tc>
        <w:tc>
          <w:tcPr>
            <w:tcW w:w="1290" w:type="dxa"/>
            <w:tcBorders>
              <w:top w:val="nil"/>
              <w:left w:val="nil"/>
              <w:bottom w:val="single" w:sz="8" w:space="0" w:color="auto"/>
              <w:right w:val="single" w:sz="8" w:space="0" w:color="auto"/>
            </w:tcBorders>
            <w:shd w:val="clear" w:color="auto" w:fill="auto"/>
            <w:noWrap/>
            <w:vAlign w:val="center"/>
            <w:hideMark/>
          </w:tcPr>
          <w:p w14:paraId="0A411861"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750" w:type="dxa"/>
            <w:tcBorders>
              <w:top w:val="nil"/>
              <w:left w:val="nil"/>
              <w:bottom w:val="single" w:sz="8" w:space="0" w:color="auto"/>
              <w:right w:val="single" w:sz="8" w:space="0" w:color="auto"/>
            </w:tcBorders>
            <w:shd w:val="clear" w:color="auto" w:fill="auto"/>
            <w:noWrap/>
            <w:vAlign w:val="center"/>
            <w:hideMark/>
          </w:tcPr>
          <w:p w14:paraId="7E5103D9" w14:textId="77777777" w:rsidR="008D7C20" w:rsidRPr="00092ED7" w:rsidRDefault="008D7C20" w:rsidP="008D7C20">
            <w:pPr>
              <w:spacing w:after="0"/>
              <w:jc w:val="right"/>
              <w:rPr>
                <w:rFonts w:eastAsia="Times New Roman" w:cs="Times New Roman"/>
                <w:sz w:val="20"/>
                <w:szCs w:val="20"/>
                <w:lang w:val="sr-Cyrl-CS"/>
              </w:rPr>
            </w:pPr>
            <w:r w:rsidRPr="00092ED7">
              <w:rPr>
                <w:rFonts w:eastAsia="Times New Roman" w:cs="Times New Roman"/>
                <w:sz w:val="20"/>
                <w:szCs w:val="20"/>
                <w:lang w:val="sr-Cyrl-CS"/>
              </w:rPr>
              <w:t>0</w:t>
            </w:r>
          </w:p>
        </w:tc>
        <w:tc>
          <w:tcPr>
            <w:tcW w:w="1624" w:type="dxa"/>
            <w:tcBorders>
              <w:top w:val="nil"/>
              <w:left w:val="nil"/>
              <w:bottom w:val="single" w:sz="8" w:space="0" w:color="auto"/>
              <w:right w:val="single" w:sz="8" w:space="0" w:color="auto"/>
            </w:tcBorders>
            <w:shd w:val="clear" w:color="auto" w:fill="auto"/>
            <w:noWrap/>
            <w:vAlign w:val="center"/>
            <w:hideMark/>
          </w:tcPr>
          <w:p w14:paraId="050D8808"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38" w:type="dxa"/>
            <w:tcBorders>
              <w:top w:val="nil"/>
              <w:left w:val="nil"/>
              <w:bottom w:val="single" w:sz="8" w:space="0" w:color="auto"/>
              <w:right w:val="single" w:sz="8" w:space="0" w:color="auto"/>
            </w:tcBorders>
            <w:shd w:val="clear" w:color="auto" w:fill="auto"/>
            <w:noWrap/>
            <w:vAlign w:val="center"/>
            <w:hideMark/>
          </w:tcPr>
          <w:p w14:paraId="73285978" w14:textId="5907D013" w:rsidR="008D7C20" w:rsidRPr="00092ED7" w:rsidRDefault="00EB2907"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33.000.000</w:t>
            </w:r>
            <w:r w:rsidR="008D7C20" w:rsidRPr="00092ED7">
              <w:rPr>
                <w:rFonts w:eastAsia="Times New Roman" w:cs="Times New Roman"/>
                <w:color w:val="000000"/>
                <w:sz w:val="20"/>
                <w:szCs w:val="20"/>
                <w:lang w:val="sr-Cyrl-CS"/>
              </w:rPr>
              <w:t>,00</w:t>
            </w:r>
          </w:p>
        </w:tc>
        <w:tc>
          <w:tcPr>
            <w:tcW w:w="1628" w:type="dxa"/>
            <w:tcBorders>
              <w:top w:val="nil"/>
              <w:left w:val="nil"/>
              <w:bottom w:val="single" w:sz="8" w:space="0" w:color="auto"/>
              <w:right w:val="single" w:sz="8" w:space="0" w:color="auto"/>
            </w:tcBorders>
            <w:shd w:val="clear" w:color="auto" w:fill="auto"/>
            <w:noWrap/>
            <w:vAlign w:val="center"/>
            <w:hideMark/>
          </w:tcPr>
          <w:p w14:paraId="6DFD4421" w14:textId="1BC64272" w:rsidR="008D7C20" w:rsidRPr="00092ED7" w:rsidRDefault="00EB2907"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33.000.000</w:t>
            </w:r>
            <w:r w:rsidR="008D7C20" w:rsidRPr="00092ED7">
              <w:rPr>
                <w:rFonts w:eastAsia="Times New Roman" w:cs="Times New Roman"/>
                <w:color w:val="000000"/>
                <w:sz w:val="20"/>
                <w:szCs w:val="20"/>
                <w:lang w:val="sr-Cyrl-CS"/>
              </w:rPr>
              <w:t>,00</w:t>
            </w:r>
          </w:p>
        </w:tc>
      </w:tr>
      <w:tr w:rsidR="008D7C20" w:rsidRPr="00092ED7" w14:paraId="3A91F0F8" w14:textId="77777777" w:rsidTr="00EE16E2">
        <w:trPr>
          <w:trHeight w:val="330"/>
        </w:trPr>
        <w:tc>
          <w:tcPr>
            <w:tcW w:w="0" w:type="auto"/>
            <w:gridSpan w:val="6"/>
            <w:tcBorders>
              <w:top w:val="single" w:sz="8" w:space="0" w:color="auto"/>
              <w:left w:val="single" w:sz="8" w:space="0" w:color="auto"/>
              <w:bottom w:val="single" w:sz="8" w:space="0" w:color="auto"/>
              <w:right w:val="single" w:sz="8" w:space="0" w:color="000000"/>
            </w:tcBorders>
            <w:shd w:val="clear" w:color="000000" w:fill="D0CECE"/>
            <w:noWrap/>
            <w:vAlign w:val="center"/>
            <w:hideMark/>
          </w:tcPr>
          <w:p w14:paraId="2E1D7157" w14:textId="77777777" w:rsidR="008D7C20" w:rsidRPr="00092ED7" w:rsidRDefault="008D7C20" w:rsidP="008D7C20">
            <w:pPr>
              <w:spacing w:after="0"/>
              <w:jc w:val="left"/>
              <w:rPr>
                <w:rFonts w:eastAsia="Times New Roman" w:cs="Times New Roman"/>
                <w:b/>
                <w:bCs/>
                <w:sz w:val="20"/>
                <w:szCs w:val="20"/>
                <w:lang w:val="sr-Cyrl-CS"/>
              </w:rPr>
            </w:pPr>
            <w:r w:rsidRPr="00092ED7">
              <w:rPr>
                <w:rFonts w:eastAsia="Times New Roman" w:cs="Times New Roman"/>
                <w:b/>
                <w:bCs/>
                <w:sz w:val="20"/>
                <w:szCs w:val="20"/>
                <w:lang w:val="sr-Cyrl-CS"/>
              </w:rPr>
              <w:t>10. Развој енергетског тржишта уз изградњу електроенергетске инфраструктуре</w:t>
            </w:r>
          </w:p>
        </w:tc>
      </w:tr>
      <w:tr w:rsidR="00FD090A" w:rsidRPr="00092ED7" w14:paraId="3989CF38"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0BD6362F" w14:textId="77777777" w:rsidR="008D7C20" w:rsidRPr="00092ED7" w:rsidRDefault="008D7C20" w:rsidP="008D7C20">
            <w:pPr>
              <w:spacing w:after="0"/>
              <w:jc w:val="center"/>
              <w:rPr>
                <w:rFonts w:eastAsia="Times New Roman" w:cs="Times New Roman"/>
                <w:b/>
                <w:bCs/>
                <w:sz w:val="20"/>
                <w:szCs w:val="20"/>
                <w:lang w:val="sr-Cyrl-CS"/>
              </w:rPr>
            </w:pPr>
            <w:r w:rsidRPr="00092ED7">
              <w:rPr>
                <w:rFonts w:eastAsia="Times New Roman" w:cs="Times New Roman"/>
                <w:b/>
                <w:bCs/>
                <w:sz w:val="20"/>
                <w:szCs w:val="20"/>
                <w:lang w:val="sr-Cyrl-CS"/>
              </w:rPr>
              <w:t>Година</w:t>
            </w:r>
          </w:p>
        </w:tc>
        <w:tc>
          <w:tcPr>
            <w:tcW w:w="1290" w:type="dxa"/>
            <w:tcBorders>
              <w:top w:val="nil"/>
              <w:left w:val="nil"/>
              <w:bottom w:val="single" w:sz="8" w:space="0" w:color="auto"/>
              <w:right w:val="single" w:sz="8" w:space="0" w:color="auto"/>
            </w:tcBorders>
            <w:shd w:val="clear" w:color="auto" w:fill="auto"/>
            <w:noWrap/>
            <w:vAlign w:val="center"/>
            <w:hideMark/>
          </w:tcPr>
          <w:p w14:paraId="33E9659E"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Плате</w:t>
            </w:r>
          </w:p>
        </w:tc>
        <w:tc>
          <w:tcPr>
            <w:tcW w:w="1750" w:type="dxa"/>
            <w:tcBorders>
              <w:top w:val="nil"/>
              <w:left w:val="nil"/>
              <w:bottom w:val="single" w:sz="8" w:space="0" w:color="auto"/>
              <w:right w:val="single" w:sz="8" w:space="0" w:color="auto"/>
            </w:tcBorders>
            <w:shd w:val="clear" w:color="auto" w:fill="auto"/>
            <w:noWrap/>
            <w:vAlign w:val="center"/>
            <w:hideMark/>
          </w:tcPr>
          <w:p w14:paraId="1BEC2F40"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Добра и услуге</w:t>
            </w:r>
          </w:p>
        </w:tc>
        <w:tc>
          <w:tcPr>
            <w:tcW w:w="1624" w:type="dxa"/>
            <w:tcBorders>
              <w:top w:val="nil"/>
              <w:left w:val="nil"/>
              <w:bottom w:val="single" w:sz="8" w:space="0" w:color="auto"/>
              <w:right w:val="single" w:sz="8" w:space="0" w:color="auto"/>
            </w:tcBorders>
            <w:shd w:val="clear" w:color="auto" w:fill="auto"/>
            <w:noWrap/>
            <w:vAlign w:val="center"/>
            <w:hideMark/>
          </w:tcPr>
          <w:p w14:paraId="4EDD5D5A"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Субвенције и трансфери</w:t>
            </w:r>
          </w:p>
        </w:tc>
        <w:tc>
          <w:tcPr>
            <w:tcW w:w="1538" w:type="dxa"/>
            <w:tcBorders>
              <w:top w:val="nil"/>
              <w:left w:val="nil"/>
              <w:bottom w:val="single" w:sz="8" w:space="0" w:color="auto"/>
              <w:right w:val="single" w:sz="8" w:space="0" w:color="auto"/>
            </w:tcBorders>
            <w:shd w:val="clear" w:color="auto" w:fill="auto"/>
            <w:noWrap/>
            <w:vAlign w:val="center"/>
            <w:hideMark/>
          </w:tcPr>
          <w:p w14:paraId="1D531AE4"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Капитални расходи</w:t>
            </w:r>
          </w:p>
        </w:tc>
        <w:tc>
          <w:tcPr>
            <w:tcW w:w="1628" w:type="dxa"/>
            <w:tcBorders>
              <w:top w:val="nil"/>
              <w:left w:val="nil"/>
              <w:bottom w:val="single" w:sz="8" w:space="0" w:color="auto"/>
              <w:right w:val="single" w:sz="8" w:space="0" w:color="auto"/>
            </w:tcBorders>
            <w:shd w:val="clear" w:color="auto" w:fill="auto"/>
            <w:noWrap/>
            <w:vAlign w:val="center"/>
            <w:hideMark/>
          </w:tcPr>
          <w:p w14:paraId="183B6476"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Укупно</w:t>
            </w:r>
          </w:p>
        </w:tc>
      </w:tr>
      <w:tr w:rsidR="00FD090A" w:rsidRPr="00092ED7" w14:paraId="37C2B4AB"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76DF74B4"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2023</w:t>
            </w:r>
          </w:p>
        </w:tc>
        <w:tc>
          <w:tcPr>
            <w:tcW w:w="1290" w:type="dxa"/>
            <w:tcBorders>
              <w:top w:val="nil"/>
              <w:left w:val="nil"/>
              <w:bottom w:val="single" w:sz="8" w:space="0" w:color="auto"/>
              <w:right w:val="single" w:sz="8" w:space="0" w:color="auto"/>
            </w:tcBorders>
            <w:shd w:val="clear" w:color="auto" w:fill="auto"/>
            <w:noWrap/>
            <w:vAlign w:val="center"/>
            <w:hideMark/>
          </w:tcPr>
          <w:p w14:paraId="758D03AA"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750" w:type="dxa"/>
            <w:tcBorders>
              <w:top w:val="nil"/>
              <w:left w:val="nil"/>
              <w:bottom w:val="single" w:sz="8" w:space="0" w:color="auto"/>
              <w:right w:val="single" w:sz="8" w:space="0" w:color="auto"/>
            </w:tcBorders>
            <w:shd w:val="clear" w:color="auto" w:fill="auto"/>
            <w:noWrap/>
            <w:vAlign w:val="center"/>
            <w:hideMark/>
          </w:tcPr>
          <w:p w14:paraId="3DD28EB6" w14:textId="77777777" w:rsidR="008D7C20" w:rsidRPr="00092ED7" w:rsidRDefault="008D7C20" w:rsidP="008D7C20">
            <w:pPr>
              <w:spacing w:after="0"/>
              <w:jc w:val="right"/>
              <w:rPr>
                <w:rFonts w:eastAsia="Times New Roman" w:cs="Times New Roman"/>
                <w:sz w:val="20"/>
                <w:szCs w:val="20"/>
                <w:lang w:val="sr-Cyrl-CS"/>
              </w:rPr>
            </w:pPr>
            <w:r w:rsidRPr="00092ED7">
              <w:rPr>
                <w:rFonts w:eastAsia="Times New Roman" w:cs="Times New Roman"/>
                <w:sz w:val="20"/>
                <w:szCs w:val="20"/>
                <w:lang w:val="sr-Cyrl-CS"/>
              </w:rPr>
              <w:t>0</w:t>
            </w:r>
          </w:p>
        </w:tc>
        <w:tc>
          <w:tcPr>
            <w:tcW w:w="1624" w:type="dxa"/>
            <w:tcBorders>
              <w:top w:val="nil"/>
              <w:left w:val="nil"/>
              <w:bottom w:val="single" w:sz="8" w:space="0" w:color="auto"/>
              <w:right w:val="single" w:sz="8" w:space="0" w:color="auto"/>
            </w:tcBorders>
            <w:shd w:val="clear" w:color="auto" w:fill="auto"/>
            <w:noWrap/>
            <w:vAlign w:val="center"/>
            <w:hideMark/>
          </w:tcPr>
          <w:p w14:paraId="51B9C2FE"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38" w:type="dxa"/>
            <w:tcBorders>
              <w:top w:val="nil"/>
              <w:left w:val="nil"/>
              <w:bottom w:val="single" w:sz="8" w:space="0" w:color="auto"/>
              <w:right w:val="single" w:sz="8" w:space="0" w:color="auto"/>
            </w:tcBorders>
            <w:shd w:val="clear" w:color="auto" w:fill="auto"/>
            <w:noWrap/>
            <w:vAlign w:val="center"/>
            <w:hideMark/>
          </w:tcPr>
          <w:p w14:paraId="5E7A732C"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298.739,00</w:t>
            </w:r>
          </w:p>
        </w:tc>
        <w:tc>
          <w:tcPr>
            <w:tcW w:w="1628" w:type="dxa"/>
            <w:tcBorders>
              <w:top w:val="nil"/>
              <w:left w:val="nil"/>
              <w:bottom w:val="single" w:sz="8" w:space="0" w:color="auto"/>
              <w:right w:val="single" w:sz="8" w:space="0" w:color="auto"/>
            </w:tcBorders>
            <w:shd w:val="clear" w:color="auto" w:fill="auto"/>
            <w:noWrap/>
            <w:vAlign w:val="center"/>
            <w:hideMark/>
          </w:tcPr>
          <w:p w14:paraId="1AA14437"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298.739,00</w:t>
            </w:r>
          </w:p>
        </w:tc>
      </w:tr>
      <w:tr w:rsidR="00FD090A" w:rsidRPr="00092ED7" w14:paraId="6C77B47D"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4399D0EC"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2024</w:t>
            </w:r>
          </w:p>
        </w:tc>
        <w:tc>
          <w:tcPr>
            <w:tcW w:w="1290" w:type="dxa"/>
            <w:tcBorders>
              <w:top w:val="nil"/>
              <w:left w:val="nil"/>
              <w:bottom w:val="single" w:sz="8" w:space="0" w:color="auto"/>
              <w:right w:val="single" w:sz="8" w:space="0" w:color="auto"/>
            </w:tcBorders>
            <w:shd w:val="clear" w:color="auto" w:fill="auto"/>
            <w:noWrap/>
            <w:vAlign w:val="center"/>
            <w:hideMark/>
          </w:tcPr>
          <w:p w14:paraId="7EF0CE8A"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750" w:type="dxa"/>
            <w:tcBorders>
              <w:top w:val="nil"/>
              <w:left w:val="nil"/>
              <w:bottom w:val="single" w:sz="8" w:space="0" w:color="auto"/>
              <w:right w:val="single" w:sz="8" w:space="0" w:color="auto"/>
            </w:tcBorders>
            <w:shd w:val="clear" w:color="auto" w:fill="auto"/>
            <w:noWrap/>
            <w:vAlign w:val="center"/>
            <w:hideMark/>
          </w:tcPr>
          <w:p w14:paraId="7730780B" w14:textId="77777777" w:rsidR="008D7C20" w:rsidRPr="00092ED7" w:rsidRDefault="008D7C20" w:rsidP="008D7C20">
            <w:pPr>
              <w:spacing w:after="0"/>
              <w:jc w:val="right"/>
              <w:rPr>
                <w:rFonts w:eastAsia="Times New Roman" w:cs="Times New Roman"/>
                <w:sz w:val="20"/>
                <w:szCs w:val="20"/>
                <w:lang w:val="sr-Cyrl-CS"/>
              </w:rPr>
            </w:pPr>
            <w:r w:rsidRPr="00092ED7">
              <w:rPr>
                <w:rFonts w:eastAsia="Times New Roman" w:cs="Times New Roman"/>
                <w:sz w:val="20"/>
                <w:szCs w:val="20"/>
                <w:lang w:val="sr-Cyrl-CS"/>
              </w:rPr>
              <w:t>0</w:t>
            </w:r>
          </w:p>
        </w:tc>
        <w:tc>
          <w:tcPr>
            <w:tcW w:w="1624" w:type="dxa"/>
            <w:tcBorders>
              <w:top w:val="nil"/>
              <w:left w:val="nil"/>
              <w:bottom w:val="single" w:sz="8" w:space="0" w:color="auto"/>
              <w:right w:val="single" w:sz="8" w:space="0" w:color="auto"/>
            </w:tcBorders>
            <w:shd w:val="clear" w:color="auto" w:fill="auto"/>
            <w:noWrap/>
            <w:vAlign w:val="center"/>
            <w:hideMark/>
          </w:tcPr>
          <w:p w14:paraId="197A3E33"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38" w:type="dxa"/>
            <w:tcBorders>
              <w:top w:val="nil"/>
              <w:left w:val="nil"/>
              <w:bottom w:val="single" w:sz="8" w:space="0" w:color="auto"/>
              <w:right w:val="single" w:sz="8" w:space="0" w:color="auto"/>
            </w:tcBorders>
            <w:shd w:val="clear" w:color="auto" w:fill="auto"/>
            <w:noWrap/>
            <w:vAlign w:val="center"/>
            <w:hideMark/>
          </w:tcPr>
          <w:p w14:paraId="01B0FC47"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31.210.590,00</w:t>
            </w:r>
          </w:p>
        </w:tc>
        <w:tc>
          <w:tcPr>
            <w:tcW w:w="1628" w:type="dxa"/>
            <w:tcBorders>
              <w:top w:val="nil"/>
              <w:left w:val="nil"/>
              <w:bottom w:val="single" w:sz="8" w:space="0" w:color="auto"/>
              <w:right w:val="single" w:sz="8" w:space="0" w:color="auto"/>
            </w:tcBorders>
            <w:shd w:val="clear" w:color="auto" w:fill="auto"/>
            <w:noWrap/>
            <w:vAlign w:val="center"/>
            <w:hideMark/>
          </w:tcPr>
          <w:p w14:paraId="7DCAE9C9"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31.210.590,00</w:t>
            </w:r>
          </w:p>
        </w:tc>
      </w:tr>
      <w:tr w:rsidR="00FD090A" w:rsidRPr="00092ED7" w14:paraId="371CBFDA"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4754028A"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2025</w:t>
            </w:r>
          </w:p>
        </w:tc>
        <w:tc>
          <w:tcPr>
            <w:tcW w:w="1290" w:type="dxa"/>
            <w:tcBorders>
              <w:top w:val="nil"/>
              <w:left w:val="nil"/>
              <w:bottom w:val="single" w:sz="8" w:space="0" w:color="auto"/>
              <w:right w:val="single" w:sz="8" w:space="0" w:color="auto"/>
            </w:tcBorders>
            <w:shd w:val="clear" w:color="auto" w:fill="auto"/>
            <w:noWrap/>
            <w:vAlign w:val="center"/>
            <w:hideMark/>
          </w:tcPr>
          <w:p w14:paraId="7CF24DF5"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750" w:type="dxa"/>
            <w:tcBorders>
              <w:top w:val="nil"/>
              <w:left w:val="nil"/>
              <w:bottom w:val="single" w:sz="8" w:space="0" w:color="auto"/>
              <w:right w:val="single" w:sz="8" w:space="0" w:color="auto"/>
            </w:tcBorders>
            <w:shd w:val="clear" w:color="auto" w:fill="auto"/>
            <w:noWrap/>
            <w:vAlign w:val="center"/>
            <w:hideMark/>
          </w:tcPr>
          <w:p w14:paraId="76A5AA6F" w14:textId="77777777" w:rsidR="008D7C20" w:rsidRPr="00092ED7" w:rsidRDefault="008D7C20" w:rsidP="008D7C20">
            <w:pPr>
              <w:spacing w:after="0"/>
              <w:jc w:val="right"/>
              <w:rPr>
                <w:rFonts w:eastAsia="Times New Roman" w:cs="Times New Roman"/>
                <w:sz w:val="20"/>
                <w:szCs w:val="20"/>
                <w:lang w:val="sr-Cyrl-CS"/>
              </w:rPr>
            </w:pPr>
            <w:r w:rsidRPr="00092ED7">
              <w:rPr>
                <w:rFonts w:eastAsia="Times New Roman" w:cs="Times New Roman"/>
                <w:sz w:val="20"/>
                <w:szCs w:val="20"/>
                <w:lang w:val="sr-Cyrl-CS"/>
              </w:rPr>
              <w:t>0</w:t>
            </w:r>
          </w:p>
        </w:tc>
        <w:tc>
          <w:tcPr>
            <w:tcW w:w="1624" w:type="dxa"/>
            <w:tcBorders>
              <w:top w:val="nil"/>
              <w:left w:val="nil"/>
              <w:bottom w:val="single" w:sz="8" w:space="0" w:color="auto"/>
              <w:right w:val="single" w:sz="8" w:space="0" w:color="auto"/>
            </w:tcBorders>
            <w:shd w:val="clear" w:color="auto" w:fill="auto"/>
            <w:noWrap/>
            <w:vAlign w:val="center"/>
            <w:hideMark/>
          </w:tcPr>
          <w:p w14:paraId="4C885D09"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38" w:type="dxa"/>
            <w:tcBorders>
              <w:top w:val="nil"/>
              <w:left w:val="nil"/>
              <w:bottom w:val="single" w:sz="8" w:space="0" w:color="auto"/>
              <w:right w:val="single" w:sz="8" w:space="0" w:color="auto"/>
            </w:tcBorders>
            <w:shd w:val="clear" w:color="auto" w:fill="auto"/>
            <w:noWrap/>
            <w:vAlign w:val="center"/>
            <w:hideMark/>
          </w:tcPr>
          <w:p w14:paraId="2665EDB9"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46.894.730,00</w:t>
            </w:r>
          </w:p>
        </w:tc>
        <w:tc>
          <w:tcPr>
            <w:tcW w:w="1628" w:type="dxa"/>
            <w:tcBorders>
              <w:top w:val="nil"/>
              <w:left w:val="nil"/>
              <w:bottom w:val="single" w:sz="8" w:space="0" w:color="auto"/>
              <w:right w:val="single" w:sz="8" w:space="0" w:color="auto"/>
            </w:tcBorders>
            <w:shd w:val="clear" w:color="auto" w:fill="auto"/>
            <w:noWrap/>
            <w:vAlign w:val="center"/>
            <w:hideMark/>
          </w:tcPr>
          <w:p w14:paraId="2F5DA8AD"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46.894.730,00</w:t>
            </w:r>
          </w:p>
        </w:tc>
      </w:tr>
      <w:tr w:rsidR="008D7C20" w:rsidRPr="00092ED7" w14:paraId="3AE4DEB6" w14:textId="77777777" w:rsidTr="007C54E3">
        <w:trPr>
          <w:trHeight w:val="330"/>
        </w:trPr>
        <w:tc>
          <w:tcPr>
            <w:tcW w:w="9006" w:type="dxa"/>
            <w:gridSpan w:val="6"/>
            <w:tcBorders>
              <w:top w:val="single" w:sz="8" w:space="0" w:color="auto"/>
              <w:left w:val="single" w:sz="8" w:space="0" w:color="auto"/>
              <w:bottom w:val="single" w:sz="8" w:space="0" w:color="auto"/>
              <w:right w:val="single" w:sz="8" w:space="0" w:color="auto"/>
            </w:tcBorders>
            <w:shd w:val="clear" w:color="000000" w:fill="D0CECE"/>
            <w:noWrap/>
            <w:vAlign w:val="center"/>
            <w:hideMark/>
          </w:tcPr>
          <w:p w14:paraId="64F8E137" w14:textId="77777777" w:rsidR="008D7C20" w:rsidRPr="00092ED7" w:rsidRDefault="008D7C20" w:rsidP="008D7C20">
            <w:pPr>
              <w:spacing w:after="0"/>
              <w:jc w:val="left"/>
              <w:rPr>
                <w:rFonts w:eastAsia="Times New Roman" w:cs="Times New Roman"/>
                <w:b/>
                <w:bCs/>
                <w:sz w:val="20"/>
                <w:szCs w:val="20"/>
                <w:lang w:val="sr-Cyrl-CS"/>
              </w:rPr>
            </w:pPr>
            <w:r w:rsidRPr="00092ED7">
              <w:rPr>
                <w:rFonts w:eastAsia="Times New Roman" w:cs="Times New Roman"/>
                <w:b/>
                <w:bCs/>
                <w:sz w:val="20"/>
                <w:szCs w:val="20"/>
                <w:lang w:val="sr-Cyrl-CS"/>
              </w:rPr>
              <w:t xml:space="preserve">11. Трансформација Пореске управе </w:t>
            </w:r>
          </w:p>
        </w:tc>
      </w:tr>
      <w:tr w:rsidR="00FD090A" w:rsidRPr="00092ED7" w14:paraId="121871DB"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7940BCE3"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b/>
                <w:bCs/>
                <w:sz w:val="20"/>
                <w:szCs w:val="20"/>
                <w:lang w:val="sr-Cyrl-CS"/>
              </w:rPr>
              <w:t>Година</w:t>
            </w:r>
          </w:p>
        </w:tc>
        <w:tc>
          <w:tcPr>
            <w:tcW w:w="1290" w:type="dxa"/>
            <w:tcBorders>
              <w:top w:val="nil"/>
              <w:left w:val="nil"/>
              <w:bottom w:val="single" w:sz="8" w:space="0" w:color="auto"/>
              <w:right w:val="single" w:sz="8" w:space="0" w:color="auto"/>
            </w:tcBorders>
            <w:shd w:val="clear" w:color="auto" w:fill="auto"/>
            <w:noWrap/>
            <w:vAlign w:val="center"/>
            <w:hideMark/>
          </w:tcPr>
          <w:p w14:paraId="439B4953"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Плате</w:t>
            </w:r>
          </w:p>
        </w:tc>
        <w:tc>
          <w:tcPr>
            <w:tcW w:w="1750" w:type="dxa"/>
            <w:tcBorders>
              <w:top w:val="nil"/>
              <w:left w:val="nil"/>
              <w:bottom w:val="single" w:sz="8" w:space="0" w:color="auto"/>
              <w:right w:val="single" w:sz="8" w:space="0" w:color="auto"/>
            </w:tcBorders>
            <w:shd w:val="clear" w:color="auto" w:fill="auto"/>
            <w:noWrap/>
            <w:vAlign w:val="center"/>
            <w:hideMark/>
          </w:tcPr>
          <w:p w14:paraId="3758CE8B"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Добра и услуге</w:t>
            </w:r>
          </w:p>
        </w:tc>
        <w:tc>
          <w:tcPr>
            <w:tcW w:w="1624" w:type="dxa"/>
            <w:tcBorders>
              <w:top w:val="nil"/>
              <w:left w:val="nil"/>
              <w:bottom w:val="single" w:sz="8" w:space="0" w:color="auto"/>
              <w:right w:val="single" w:sz="8" w:space="0" w:color="auto"/>
            </w:tcBorders>
            <w:shd w:val="clear" w:color="auto" w:fill="auto"/>
            <w:noWrap/>
            <w:vAlign w:val="center"/>
            <w:hideMark/>
          </w:tcPr>
          <w:p w14:paraId="64F878B8"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Субвенције и трансфери</w:t>
            </w:r>
          </w:p>
        </w:tc>
        <w:tc>
          <w:tcPr>
            <w:tcW w:w="1538" w:type="dxa"/>
            <w:tcBorders>
              <w:top w:val="nil"/>
              <w:left w:val="nil"/>
              <w:bottom w:val="single" w:sz="8" w:space="0" w:color="auto"/>
              <w:right w:val="single" w:sz="8" w:space="0" w:color="auto"/>
            </w:tcBorders>
            <w:shd w:val="clear" w:color="auto" w:fill="auto"/>
            <w:noWrap/>
            <w:vAlign w:val="center"/>
            <w:hideMark/>
          </w:tcPr>
          <w:p w14:paraId="2B3C1CF6"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Капитални расходи</w:t>
            </w:r>
          </w:p>
        </w:tc>
        <w:tc>
          <w:tcPr>
            <w:tcW w:w="1628" w:type="dxa"/>
            <w:tcBorders>
              <w:top w:val="nil"/>
              <w:left w:val="nil"/>
              <w:bottom w:val="single" w:sz="8" w:space="0" w:color="auto"/>
              <w:right w:val="single" w:sz="8" w:space="0" w:color="auto"/>
            </w:tcBorders>
            <w:shd w:val="clear" w:color="auto" w:fill="auto"/>
            <w:noWrap/>
            <w:vAlign w:val="center"/>
            <w:hideMark/>
          </w:tcPr>
          <w:p w14:paraId="3C2FD558"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Укупно</w:t>
            </w:r>
          </w:p>
        </w:tc>
      </w:tr>
      <w:tr w:rsidR="00FD090A" w:rsidRPr="00092ED7" w14:paraId="7D285028"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4ED48CB7"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2023</w:t>
            </w:r>
          </w:p>
        </w:tc>
        <w:tc>
          <w:tcPr>
            <w:tcW w:w="1290" w:type="dxa"/>
            <w:tcBorders>
              <w:top w:val="nil"/>
              <w:left w:val="nil"/>
              <w:bottom w:val="single" w:sz="8" w:space="0" w:color="auto"/>
              <w:right w:val="single" w:sz="8" w:space="0" w:color="auto"/>
            </w:tcBorders>
            <w:shd w:val="clear" w:color="auto" w:fill="auto"/>
            <w:noWrap/>
            <w:vAlign w:val="center"/>
            <w:hideMark/>
          </w:tcPr>
          <w:p w14:paraId="4B271E20"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750" w:type="dxa"/>
            <w:tcBorders>
              <w:top w:val="nil"/>
              <w:left w:val="nil"/>
              <w:bottom w:val="single" w:sz="8" w:space="0" w:color="auto"/>
              <w:right w:val="single" w:sz="8" w:space="0" w:color="auto"/>
            </w:tcBorders>
            <w:shd w:val="clear" w:color="auto" w:fill="auto"/>
            <w:noWrap/>
            <w:vAlign w:val="center"/>
            <w:hideMark/>
          </w:tcPr>
          <w:p w14:paraId="36BB7CB4" w14:textId="1FEFC537" w:rsidR="008D7C20" w:rsidRPr="00092ED7" w:rsidRDefault="00FD090A" w:rsidP="008D7C20">
            <w:pPr>
              <w:spacing w:after="0"/>
              <w:jc w:val="right"/>
              <w:rPr>
                <w:rFonts w:eastAsia="Times New Roman" w:cs="Times New Roman"/>
                <w:sz w:val="20"/>
                <w:szCs w:val="20"/>
                <w:lang w:val="sr-Cyrl-CS"/>
              </w:rPr>
            </w:pPr>
            <w:r w:rsidRPr="00092ED7">
              <w:rPr>
                <w:rFonts w:eastAsia="Times New Roman" w:cs="Times New Roman"/>
                <w:sz w:val="20"/>
                <w:szCs w:val="20"/>
                <w:lang w:val="sr-Cyrl-CS"/>
              </w:rPr>
              <w:t>4.216.700,00</w:t>
            </w:r>
          </w:p>
        </w:tc>
        <w:tc>
          <w:tcPr>
            <w:tcW w:w="1624" w:type="dxa"/>
            <w:tcBorders>
              <w:top w:val="nil"/>
              <w:left w:val="nil"/>
              <w:bottom w:val="single" w:sz="8" w:space="0" w:color="auto"/>
              <w:right w:val="single" w:sz="8" w:space="0" w:color="auto"/>
            </w:tcBorders>
            <w:shd w:val="clear" w:color="auto" w:fill="auto"/>
            <w:noWrap/>
            <w:vAlign w:val="center"/>
            <w:hideMark/>
          </w:tcPr>
          <w:p w14:paraId="51ABDF61"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38" w:type="dxa"/>
            <w:tcBorders>
              <w:top w:val="nil"/>
              <w:left w:val="nil"/>
              <w:bottom w:val="single" w:sz="8" w:space="0" w:color="auto"/>
              <w:right w:val="single" w:sz="8" w:space="0" w:color="auto"/>
            </w:tcBorders>
            <w:shd w:val="clear" w:color="auto" w:fill="auto"/>
            <w:noWrap/>
            <w:vAlign w:val="center"/>
            <w:hideMark/>
          </w:tcPr>
          <w:p w14:paraId="49A56BD9" w14:textId="4C6D927E" w:rsidR="008D7C20" w:rsidRPr="00092ED7" w:rsidRDefault="00FD090A"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4.166.667</w:t>
            </w:r>
            <w:r w:rsidR="008D7C20" w:rsidRPr="00092ED7">
              <w:rPr>
                <w:rFonts w:eastAsia="Times New Roman" w:cs="Times New Roman"/>
                <w:color w:val="000000"/>
                <w:sz w:val="20"/>
                <w:szCs w:val="20"/>
                <w:lang w:val="sr-Cyrl-CS"/>
              </w:rPr>
              <w:t>,00</w:t>
            </w:r>
          </w:p>
        </w:tc>
        <w:tc>
          <w:tcPr>
            <w:tcW w:w="1628" w:type="dxa"/>
            <w:tcBorders>
              <w:top w:val="nil"/>
              <w:left w:val="nil"/>
              <w:bottom w:val="single" w:sz="8" w:space="0" w:color="auto"/>
              <w:right w:val="single" w:sz="8" w:space="0" w:color="auto"/>
            </w:tcBorders>
            <w:shd w:val="clear" w:color="auto" w:fill="auto"/>
            <w:noWrap/>
            <w:vAlign w:val="center"/>
            <w:hideMark/>
          </w:tcPr>
          <w:p w14:paraId="6A2734FA" w14:textId="2299B881" w:rsidR="008D7C20" w:rsidRPr="00092ED7" w:rsidRDefault="00FD090A"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8.383.367</w:t>
            </w:r>
            <w:r w:rsidR="008D7C20" w:rsidRPr="00092ED7">
              <w:rPr>
                <w:rFonts w:eastAsia="Times New Roman" w:cs="Times New Roman"/>
                <w:color w:val="000000"/>
                <w:sz w:val="20"/>
                <w:szCs w:val="20"/>
                <w:lang w:val="sr-Cyrl-CS"/>
              </w:rPr>
              <w:t>,00</w:t>
            </w:r>
          </w:p>
        </w:tc>
      </w:tr>
      <w:tr w:rsidR="00FD090A" w:rsidRPr="00092ED7" w14:paraId="4FDBCFF4"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0E97F99B"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2024</w:t>
            </w:r>
          </w:p>
        </w:tc>
        <w:tc>
          <w:tcPr>
            <w:tcW w:w="1290" w:type="dxa"/>
            <w:tcBorders>
              <w:top w:val="nil"/>
              <w:left w:val="nil"/>
              <w:bottom w:val="single" w:sz="8" w:space="0" w:color="auto"/>
              <w:right w:val="single" w:sz="8" w:space="0" w:color="auto"/>
            </w:tcBorders>
            <w:shd w:val="clear" w:color="auto" w:fill="auto"/>
            <w:noWrap/>
            <w:vAlign w:val="center"/>
            <w:hideMark/>
          </w:tcPr>
          <w:p w14:paraId="774F7883"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750" w:type="dxa"/>
            <w:tcBorders>
              <w:top w:val="nil"/>
              <w:left w:val="nil"/>
              <w:bottom w:val="single" w:sz="8" w:space="0" w:color="auto"/>
              <w:right w:val="single" w:sz="8" w:space="0" w:color="auto"/>
            </w:tcBorders>
            <w:shd w:val="clear" w:color="auto" w:fill="auto"/>
            <w:noWrap/>
            <w:vAlign w:val="center"/>
            <w:hideMark/>
          </w:tcPr>
          <w:p w14:paraId="3ECF2530" w14:textId="7E47E056" w:rsidR="008D7C20" w:rsidRPr="00092ED7" w:rsidRDefault="00FD090A" w:rsidP="008D7C20">
            <w:pPr>
              <w:spacing w:after="0"/>
              <w:jc w:val="right"/>
              <w:rPr>
                <w:rFonts w:eastAsia="Times New Roman" w:cs="Times New Roman"/>
                <w:sz w:val="20"/>
                <w:szCs w:val="20"/>
                <w:lang w:val="sr-Cyrl-CS"/>
              </w:rPr>
            </w:pPr>
            <w:r w:rsidRPr="00092ED7">
              <w:rPr>
                <w:rFonts w:eastAsia="Times New Roman" w:cs="Times New Roman"/>
                <w:sz w:val="20"/>
                <w:szCs w:val="20"/>
                <w:lang w:val="sr-Cyrl-CS"/>
              </w:rPr>
              <w:t>24.003.442,00</w:t>
            </w:r>
          </w:p>
        </w:tc>
        <w:tc>
          <w:tcPr>
            <w:tcW w:w="1624" w:type="dxa"/>
            <w:tcBorders>
              <w:top w:val="nil"/>
              <w:left w:val="nil"/>
              <w:bottom w:val="single" w:sz="8" w:space="0" w:color="auto"/>
              <w:right w:val="single" w:sz="8" w:space="0" w:color="auto"/>
            </w:tcBorders>
            <w:shd w:val="clear" w:color="auto" w:fill="auto"/>
            <w:noWrap/>
            <w:vAlign w:val="center"/>
            <w:hideMark/>
          </w:tcPr>
          <w:p w14:paraId="2BD275FC"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38" w:type="dxa"/>
            <w:tcBorders>
              <w:top w:val="nil"/>
              <w:left w:val="nil"/>
              <w:bottom w:val="single" w:sz="8" w:space="0" w:color="auto"/>
              <w:right w:val="single" w:sz="8" w:space="0" w:color="auto"/>
            </w:tcBorders>
            <w:shd w:val="clear" w:color="auto" w:fill="auto"/>
            <w:noWrap/>
            <w:vAlign w:val="center"/>
            <w:hideMark/>
          </w:tcPr>
          <w:p w14:paraId="44050C54" w14:textId="26763B47" w:rsidR="008D7C20" w:rsidRPr="00092ED7" w:rsidRDefault="00FD090A"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8.001.033</w:t>
            </w:r>
            <w:r w:rsidR="008D7C20" w:rsidRPr="00092ED7">
              <w:rPr>
                <w:rFonts w:eastAsia="Times New Roman" w:cs="Times New Roman"/>
                <w:color w:val="000000"/>
                <w:sz w:val="20"/>
                <w:szCs w:val="20"/>
                <w:lang w:val="sr-Cyrl-CS"/>
              </w:rPr>
              <w:t>,00</w:t>
            </w:r>
          </w:p>
        </w:tc>
        <w:tc>
          <w:tcPr>
            <w:tcW w:w="1628" w:type="dxa"/>
            <w:tcBorders>
              <w:top w:val="nil"/>
              <w:left w:val="nil"/>
              <w:bottom w:val="single" w:sz="8" w:space="0" w:color="auto"/>
              <w:right w:val="single" w:sz="8" w:space="0" w:color="auto"/>
            </w:tcBorders>
            <w:shd w:val="clear" w:color="auto" w:fill="auto"/>
            <w:noWrap/>
            <w:vAlign w:val="center"/>
            <w:hideMark/>
          </w:tcPr>
          <w:p w14:paraId="10B6CCCF" w14:textId="20CCEC56" w:rsidR="008D7C20" w:rsidRPr="00092ED7" w:rsidRDefault="00FD090A"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32.004.475</w:t>
            </w:r>
            <w:r w:rsidR="008D7C20" w:rsidRPr="00092ED7">
              <w:rPr>
                <w:rFonts w:eastAsia="Times New Roman" w:cs="Times New Roman"/>
                <w:color w:val="000000"/>
                <w:sz w:val="20"/>
                <w:szCs w:val="20"/>
                <w:lang w:val="sr-Cyrl-CS"/>
              </w:rPr>
              <w:t>,00</w:t>
            </w:r>
          </w:p>
        </w:tc>
      </w:tr>
      <w:tr w:rsidR="00FD090A" w:rsidRPr="00092ED7" w14:paraId="503E7471"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3EC5AAAB"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2025</w:t>
            </w:r>
          </w:p>
        </w:tc>
        <w:tc>
          <w:tcPr>
            <w:tcW w:w="1290" w:type="dxa"/>
            <w:tcBorders>
              <w:top w:val="nil"/>
              <w:left w:val="nil"/>
              <w:bottom w:val="single" w:sz="8" w:space="0" w:color="auto"/>
              <w:right w:val="single" w:sz="8" w:space="0" w:color="auto"/>
            </w:tcBorders>
            <w:shd w:val="clear" w:color="auto" w:fill="auto"/>
            <w:noWrap/>
            <w:vAlign w:val="center"/>
            <w:hideMark/>
          </w:tcPr>
          <w:p w14:paraId="40313298"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750" w:type="dxa"/>
            <w:tcBorders>
              <w:top w:val="nil"/>
              <w:left w:val="nil"/>
              <w:bottom w:val="single" w:sz="8" w:space="0" w:color="auto"/>
              <w:right w:val="single" w:sz="8" w:space="0" w:color="auto"/>
            </w:tcBorders>
            <w:shd w:val="clear" w:color="auto" w:fill="auto"/>
            <w:noWrap/>
            <w:vAlign w:val="center"/>
            <w:hideMark/>
          </w:tcPr>
          <w:p w14:paraId="3A6ECE35" w14:textId="77777777" w:rsidR="008D7C20" w:rsidRPr="00092ED7" w:rsidRDefault="008D7C20" w:rsidP="008D7C20">
            <w:pPr>
              <w:spacing w:after="0"/>
              <w:jc w:val="right"/>
              <w:rPr>
                <w:rFonts w:eastAsia="Times New Roman" w:cs="Times New Roman"/>
                <w:sz w:val="20"/>
                <w:szCs w:val="20"/>
                <w:lang w:val="sr-Cyrl-CS"/>
              </w:rPr>
            </w:pPr>
            <w:r w:rsidRPr="00092ED7">
              <w:rPr>
                <w:rFonts w:eastAsia="Times New Roman" w:cs="Times New Roman"/>
                <w:sz w:val="20"/>
                <w:szCs w:val="20"/>
                <w:lang w:val="sr-Cyrl-CS"/>
              </w:rPr>
              <w:t>0</w:t>
            </w:r>
          </w:p>
        </w:tc>
        <w:tc>
          <w:tcPr>
            <w:tcW w:w="1624" w:type="dxa"/>
            <w:tcBorders>
              <w:top w:val="nil"/>
              <w:left w:val="nil"/>
              <w:bottom w:val="single" w:sz="8" w:space="0" w:color="auto"/>
              <w:right w:val="single" w:sz="8" w:space="0" w:color="auto"/>
            </w:tcBorders>
            <w:shd w:val="clear" w:color="auto" w:fill="auto"/>
            <w:noWrap/>
            <w:vAlign w:val="center"/>
            <w:hideMark/>
          </w:tcPr>
          <w:p w14:paraId="47E98AB0"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38" w:type="dxa"/>
            <w:tcBorders>
              <w:top w:val="nil"/>
              <w:left w:val="nil"/>
              <w:bottom w:val="single" w:sz="8" w:space="0" w:color="auto"/>
              <w:right w:val="single" w:sz="8" w:space="0" w:color="auto"/>
            </w:tcBorders>
            <w:shd w:val="clear" w:color="auto" w:fill="auto"/>
            <w:noWrap/>
            <w:vAlign w:val="center"/>
            <w:hideMark/>
          </w:tcPr>
          <w:p w14:paraId="657A6E0F"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28" w:type="dxa"/>
            <w:tcBorders>
              <w:top w:val="nil"/>
              <w:left w:val="nil"/>
              <w:bottom w:val="single" w:sz="8" w:space="0" w:color="auto"/>
              <w:right w:val="single" w:sz="8" w:space="0" w:color="auto"/>
            </w:tcBorders>
            <w:shd w:val="clear" w:color="auto" w:fill="auto"/>
            <w:noWrap/>
            <w:vAlign w:val="center"/>
            <w:hideMark/>
          </w:tcPr>
          <w:p w14:paraId="24DD1369"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r>
      <w:tr w:rsidR="008D7C20" w:rsidRPr="00092ED7" w14:paraId="09D39334" w14:textId="77777777" w:rsidTr="007C54E3">
        <w:trPr>
          <w:trHeight w:val="330"/>
        </w:trPr>
        <w:tc>
          <w:tcPr>
            <w:tcW w:w="9006" w:type="dxa"/>
            <w:gridSpan w:val="6"/>
            <w:tcBorders>
              <w:top w:val="single" w:sz="8" w:space="0" w:color="auto"/>
              <w:left w:val="single" w:sz="8" w:space="0" w:color="auto"/>
              <w:bottom w:val="single" w:sz="8" w:space="0" w:color="auto"/>
              <w:right w:val="single" w:sz="8" w:space="0" w:color="auto"/>
            </w:tcBorders>
            <w:shd w:val="clear" w:color="000000" w:fill="BFBFBF"/>
            <w:noWrap/>
            <w:vAlign w:val="center"/>
            <w:hideMark/>
          </w:tcPr>
          <w:p w14:paraId="0705EFF7" w14:textId="77777777" w:rsidR="008D7C20" w:rsidRPr="00092ED7" w:rsidRDefault="008D7C20" w:rsidP="008D7C20">
            <w:pPr>
              <w:spacing w:after="0"/>
              <w:jc w:val="left"/>
              <w:rPr>
                <w:rFonts w:eastAsia="Times New Roman" w:cs="Times New Roman"/>
                <w:b/>
                <w:bCs/>
                <w:sz w:val="20"/>
                <w:szCs w:val="20"/>
                <w:lang w:val="sr-Cyrl-CS"/>
              </w:rPr>
            </w:pPr>
            <w:r w:rsidRPr="00092ED7">
              <w:rPr>
                <w:rFonts w:eastAsia="Times New Roman" w:cs="Times New Roman"/>
                <w:b/>
                <w:bCs/>
                <w:sz w:val="20"/>
                <w:szCs w:val="20"/>
                <w:lang w:val="sr-Cyrl-CS"/>
              </w:rPr>
              <w:t>12. Примена циркуларне економије у стварању повољног окружења за зелену транзицију</w:t>
            </w:r>
          </w:p>
        </w:tc>
      </w:tr>
      <w:tr w:rsidR="00FD090A" w:rsidRPr="00092ED7" w14:paraId="36C9ED87"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14C2D569" w14:textId="77777777" w:rsidR="008D7C20" w:rsidRPr="00092ED7" w:rsidRDefault="008D7C20" w:rsidP="008D7C20">
            <w:pPr>
              <w:spacing w:after="0"/>
              <w:jc w:val="center"/>
              <w:rPr>
                <w:rFonts w:eastAsia="Times New Roman" w:cs="Times New Roman"/>
                <w:b/>
                <w:bCs/>
                <w:sz w:val="20"/>
                <w:szCs w:val="20"/>
                <w:lang w:val="sr-Cyrl-CS"/>
              </w:rPr>
            </w:pPr>
            <w:r w:rsidRPr="00092ED7">
              <w:rPr>
                <w:rFonts w:eastAsia="Times New Roman" w:cs="Times New Roman"/>
                <w:b/>
                <w:bCs/>
                <w:sz w:val="20"/>
                <w:szCs w:val="20"/>
                <w:lang w:val="sr-Cyrl-CS"/>
              </w:rPr>
              <w:t>Година</w:t>
            </w:r>
          </w:p>
        </w:tc>
        <w:tc>
          <w:tcPr>
            <w:tcW w:w="1290" w:type="dxa"/>
            <w:tcBorders>
              <w:top w:val="nil"/>
              <w:left w:val="nil"/>
              <w:bottom w:val="single" w:sz="8" w:space="0" w:color="auto"/>
              <w:right w:val="single" w:sz="8" w:space="0" w:color="auto"/>
            </w:tcBorders>
            <w:shd w:val="clear" w:color="auto" w:fill="auto"/>
            <w:noWrap/>
            <w:vAlign w:val="center"/>
            <w:hideMark/>
          </w:tcPr>
          <w:p w14:paraId="1181D45F"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Плате</w:t>
            </w:r>
          </w:p>
        </w:tc>
        <w:tc>
          <w:tcPr>
            <w:tcW w:w="1750" w:type="dxa"/>
            <w:tcBorders>
              <w:top w:val="nil"/>
              <w:left w:val="nil"/>
              <w:bottom w:val="single" w:sz="8" w:space="0" w:color="auto"/>
              <w:right w:val="single" w:sz="8" w:space="0" w:color="auto"/>
            </w:tcBorders>
            <w:shd w:val="clear" w:color="auto" w:fill="auto"/>
            <w:noWrap/>
            <w:vAlign w:val="center"/>
            <w:hideMark/>
          </w:tcPr>
          <w:p w14:paraId="3CBCEEF8"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Добра и услуге</w:t>
            </w:r>
          </w:p>
        </w:tc>
        <w:tc>
          <w:tcPr>
            <w:tcW w:w="1624" w:type="dxa"/>
            <w:tcBorders>
              <w:top w:val="nil"/>
              <w:left w:val="nil"/>
              <w:bottom w:val="single" w:sz="8" w:space="0" w:color="auto"/>
              <w:right w:val="single" w:sz="8" w:space="0" w:color="auto"/>
            </w:tcBorders>
            <w:shd w:val="clear" w:color="auto" w:fill="auto"/>
            <w:noWrap/>
            <w:vAlign w:val="center"/>
            <w:hideMark/>
          </w:tcPr>
          <w:p w14:paraId="37286B3F"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Субвенције и трансфери</w:t>
            </w:r>
          </w:p>
        </w:tc>
        <w:tc>
          <w:tcPr>
            <w:tcW w:w="1538" w:type="dxa"/>
            <w:tcBorders>
              <w:top w:val="nil"/>
              <w:left w:val="nil"/>
              <w:bottom w:val="single" w:sz="8" w:space="0" w:color="auto"/>
              <w:right w:val="single" w:sz="8" w:space="0" w:color="auto"/>
            </w:tcBorders>
            <w:shd w:val="clear" w:color="auto" w:fill="auto"/>
            <w:noWrap/>
            <w:vAlign w:val="center"/>
            <w:hideMark/>
          </w:tcPr>
          <w:p w14:paraId="24A730D9"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Капитални расходи</w:t>
            </w:r>
          </w:p>
        </w:tc>
        <w:tc>
          <w:tcPr>
            <w:tcW w:w="1628" w:type="dxa"/>
            <w:tcBorders>
              <w:top w:val="nil"/>
              <w:left w:val="nil"/>
              <w:bottom w:val="single" w:sz="8" w:space="0" w:color="auto"/>
              <w:right w:val="single" w:sz="8" w:space="0" w:color="auto"/>
            </w:tcBorders>
            <w:shd w:val="clear" w:color="auto" w:fill="auto"/>
            <w:noWrap/>
            <w:vAlign w:val="center"/>
            <w:hideMark/>
          </w:tcPr>
          <w:p w14:paraId="3D09A9F5"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Укупно</w:t>
            </w:r>
          </w:p>
        </w:tc>
      </w:tr>
      <w:tr w:rsidR="00FD090A" w:rsidRPr="00092ED7" w14:paraId="34472CB2"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7BAA1F7E"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2023</w:t>
            </w:r>
          </w:p>
        </w:tc>
        <w:tc>
          <w:tcPr>
            <w:tcW w:w="1290" w:type="dxa"/>
            <w:tcBorders>
              <w:top w:val="nil"/>
              <w:left w:val="nil"/>
              <w:bottom w:val="single" w:sz="8" w:space="0" w:color="auto"/>
              <w:right w:val="single" w:sz="8" w:space="0" w:color="auto"/>
            </w:tcBorders>
            <w:shd w:val="clear" w:color="auto" w:fill="auto"/>
            <w:noWrap/>
            <w:vAlign w:val="center"/>
            <w:hideMark/>
          </w:tcPr>
          <w:p w14:paraId="4887219B"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750" w:type="dxa"/>
            <w:tcBorders>
              <w:top w:val="nil"/>
              <w:left w:val="nil"/>
              <w:bottom w:val="single" w:sz="8" w:space="0" w:color="auto"/>
              <w:right w:val="single" w:sz="8" w:space="0" w:color="auto"/>
            </w:tcBorders>
            <w:shd w:val="clear" w:color="auto" w:fill="auto"/>
            <w:noWrap/>
            <w:vAlign w:val="center"/>
            <w:hideMark/>
          </w:tcPr>
          <w:p w14:paraId="03210277" w14:textId="77777777" w:rsidR="008D7C20" w:rsidRPr="00092ED7" w:rsidRDefault="008D7C20" w:rsidP="008D7C20">
            <w:pPr>
              <w:spacing w:after="0"/>
              <w:jc w:val="right"/>
              <w:rPr>
                <w:rFonts w:eastAsia="Times New Roman" w:cs="Times New Roman"/>
                <w:sz w:val="20"/>
                <w:szCs w:val="20"/>
                <w:lang w:val="sr-Cyrl-CS"/>
              </w:rPr>
            </w:pPr>
            <w:r w:rsidRPr="00092ED7">
              <w:rPr>
                <w:rFonts w:eastAsia="Times New Roman" w:cs="Times New Roman"/>
                <w:sz w:val="20"/>
                <w:szCs w:val="20"/>
                <w:lang w:val="sr-Cyrl-CS"/>
              </w:rPr>
              <w:t>0</w:t>
            </w:r>
          </w:p>
        </w:tc>
        <w:tc>
          <w:tcPr>
            <w:tcW w:w="1624" w:type="dxa"/>
            <w:tcBorders>
              <w:top w:val="nil"/>
              <w:left w:val="nil"/>
              <w:bottom w:val="single" w:sz="8" w:space="0" w:color="auto"/>
              <w:right w:val="single" w:sz="8" w:space="0" w:color="auto"/>
            </w:tcBorders>
            <w:shd w:val="clear" w:color="auto" w:fill="auto"/>
            <w:noWrap/>
            <w:vAlign w:val="center"/>
            <w:hideMark/>
          </w:tcPr>
          <w:p w14:paraId="246849D4"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193.866,30</w:t>
            </w:r>
          </w:p>
        </w:tc>
        <w:tc>
          <w:tcPr>
            <w:tcW w:w="1538" w:type="dxa"/>
            <w:tcBorders>
              <w:top w:val="nil"/>
              <w:left w:val="nil"/>
              <w:bottom w:val="single" w:sz="8" w:space="0" w:color="auto"/>
              <w:right w:val="single" w:sz="8" w:space="0" w:color="auto"/>
            </w:tcBorders>
            <w:shd w:val="clear" w:color="auto" w:fill="auto"/>
            <w:noWrap/>
            <w:vAlign w:val="center"/>
            <w:hideMark/>
          </w:tcPr>
          <w:p w14:paraId="4FE4FF24"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28" w:type="dxa"/>
            <w:tcBorders>
              <w:top w:val="nil"/>
              <w:left w:val="nil"/>
              <w:bottom w:val="single" w:sz="8" w:space="0" w:color="auto"/>
              <w:right w:val="single" w:sz="8" w:space="0" w:color="auto"/>
            </w:tcBorders>
            <w:shd w:val="clear" w:color="auto" w:fill="auto"/>
            <w:noWrap/>
            <w:vAlign w:val="center"/>
            <w:hideMark/>
          </w:tcPr>
          <w:p w14:paraId="1F1CF09B"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193.866,30</w:t>
            </w:r>
          </w:p>
        </w:tc>
      </w:tr>
      <w:tr w:rsidR="00FD090A" w:rsidRPr="00092ED7" w14:paraId="6132E55F"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298A7FF5"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2024</w:t>
            </w:r>
          </w:p>
        </w:tc>
        <w:tc>
          <w:tcPr>
            <w:tcW w:w="1290" w:type="dxa"/>
            <w:tcBorders>
              <w:top w:val="nil"/>
              <w:left w:val="nil"/>
              <w:bottom w:val="single" w:sz="8" w:space="0" w:color="auto"/>
              <w:right w:val="single" w:sz="8" w:space="0" w:color="auto"/>
            </w:tcBorders>
            <w:shd w:val="clear" w:color="auto" w:fill="auto"/>
            <w:noWrap/>
            <w:vAlign w:val="center"/>
            <w:hideMark/>
          </w:tcPr>
          <w:p w14:paraId="415BA4EF"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750" w:type="dxa"/>
            <w:tcBorders>
              <w:top w:val="nil"/>
              <w:left w:val="nil"/>
              <w:bottom w:val="single" w:sz="8" w:space="0" w:color="auto"/>
              <w:right w:val="single" w:sz="8" w:space="0" w:color="auto"/>
            </w:tcBorders>
            <w:shd w:val="clear" w:color="auto" w:fill="auto"/>
            <w:noWrap/>
            <w:vAlign w:val="center"/>
            <w:hideMark/>
          </w:tcPr>
          <w:p w14:paraId="73D330E0" w14:textId="77777777" w:rsidR="008D7C20" w:rsidRPr="00092ED7" w:rsidRDefault="008D7C20" w:rsidP="008D7C20">
            <w:pPr>
              <w:spacing w:after="0"/>
              <w:jc w:val="right"/>
              <w:rPr>
                <w:rFonts w:eastAsia="Times New Roman" w:cs="Times New Roman"/>
                <w:sz w:val="20"/>
                <w:szCs w:val="20"/>
                <w:lang w:val="sr-Cyrl-CS"/>
              </w:rPr>
            </w:pPr>
            <w:r w:rsidRPr="00092ED7">
              <w:rPr>
                <w:rFonts w:eastAsia="Times New Roman" w:cs="Times New Roman"/>
                <w:sz w:val="20"/>
                <w:szCs w:val="20"/>
                <w:lang w:val="sr-Cyrl-CS"/>
              </w:rPr>
              <w:t>0</w:t>
            </w:r>
          </w:p>
        </w:tc>
        <w:tc>
          <w:tcPr>
            <w:tcW w:w="1624" w:type="dxa"/>
            <w:tcBorders>
              <w:top w:val="nil"/>
              <w:left w:val="nil"/>
              <w:bottom w:val="single" w:sz="8" w:space="0" w:color="auto"/>
              <w:right w:val="single" w:sz="8" w:space="0" w:color="auto"/>
            </w:tcBorders>
            <w:shd w:val="clear" w:color="auto" w:fill="auto"/>
            <w:noWrap/>
            <w:vAlign w:val="center"/>
            <w:hideMark/>
          </w:tcPr>
          <w:p w14:paraId="0806E93B"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64.341,00</w:t>
            </w:r>
          </w:p>
        </w:tc>
        <w:tc>
          <w:tcPr>
            <w:tcW w:w="1538" w:type="dxa"/>
            <w:tcBorders>
              <w:top w:val="nil"/>
              <w:left w:val="nil"/>
              <w:bottom w:val="single" w:sz="8" w:space="0" w:color="auto"/>
              <w:right w:val="single" w:sz="8" w:space="0" w:color="auto"/>
            </w:tcBorders>
            <w:shd w:val="clear" w:color="auto" w:fill="auto"/>
            <w:noWrap/>
            <w:vAlign w:val="center"/>
            <w:hideMark/>
          </w:tcPr>
          <w:p w14:paraId="0C2E269F"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28" w:type="dxa"/>
            <w:tcBorders>
              <w:top w:val="nil"/>
              <w:left w:val="nil"/>
              <w:bottom w:val="single" w:sz="8" w:space="0" w:color="auto"/>
              <w:right w:val="single" w:sz="8" w:space="0" w:color="auto"/>
            </w:tcBorders>
            <w:shd w:val="clear" w:color="auto" w:fill="auto"/>
            <w:noWrap/>
            <w:vAlign w:val="center"/>
            <w:hideMark/>
          </w:tcPr>
          <w:p w14:paraId="618C5F5A"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64.341,00</w:t>
            </w:r>
          </w:p>
        </w:tc>
      </w:tr>
      <w:tr w:rsidR="00FD090A" w:rsidRPr="00092ED7" w14:paraId="140ADDDE"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78965A01"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2025</w:t>
            </w:r>
          </w:p>
        </w:tc>
        <w:tc>
          <w:tcPr>
            <w:tcW w:w="1290" w:type="dxa"/>
            <w:tcBorders>
              <w:top w:val="nil"/>
              <w:left w:val="nil"/>
              <w:bottom w:val="single" w:sz="8" w:space="0" w:color="auto"/>
              <w:right w:val="single" w:sz="8" w:space="0" w:color="auto"/>
            </w:tcBorders>
            <w:shd w:val="clear" w:color="auto" w:fill="auto"/>
            <w:noWrap/>
            <w:vAlign w:val="center"/>
            <w:hideMark/>
          </w:tcPr>
          <w:p w14:paraId="3B07D92A"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750" w:type="dxa"/>
            <w:tcBorders>
              <w:top w:val="nil"/>
              <w:left w:val="nil"/>
              <w:bottom w:val="single" w:sz="8" w:space="0" w:color="auto"/>
              <w:right w:val="single" w:sz="8" w:space="0" w:color="auto"/>
            </w:tcBorders>
            <w:shd w:val="clear" w:color="auto" w:fill="auto"/>
            <w:noWrap/>
            <w:vAlign w:val="center"/>
            <w:hideMark/>
          </w:tcPr>
          <w:p w14:paraId="37230364" w14:textId="77777777" w:rsidR="008D7C20" w:rsidRPr="00092ED7" w:rsidRDefault="008D7C20" w:rsidP="008D7C20">
            <w:pPr>
              <w:spacing w:after="0"/>
              <w:jc w:val="right"/>
              <w:rPr>
                <w:rFonts w:eastAsia="Times New Roman" w:cs="Times New Roman"/>
                <w:sz w:val="20"/>
                <w:szCs w:val="20"/>
                <w:lang w:val="sr-Cyrl-CS"/>
              </w:rPr>
            </w:pPr>
            <w:r w:rsidRPr="00092ED7">
              <w:rPr>
                <w:rFonts w:eastAsia="Times New Roman" w:cs="Times New Roman"/>
                <w:sz w:val="20"/>
                <w:szCs w:val="20"/>
                <w:lang w:val="sr-Cyrl-CS"/>
              </w:rPr>
              <w:t>0</w:t>
            </w:r>
          </w:p>
        </w:tc>
        <w:tc>
          <w:tcPr>
            <w:tcW w:w="1624" w:type="dxa"/>
            <w:tcBorders>
              <w:top w:val="nil"/>
              <w:left w:val="nil"/>
              <w:bottom w:val="single" w:sz="8" w:space="0" w:color="auto"/>
              <w:right w:val="single" w:sz="8" w:space="0" w:color="auto"/>
            </w:tcBorders>
            <w:shd w:val="clear" w:color="auto" w:fill="auto"/>
            <w:noWrap/>
            <w:vAlign w:val="center"/>
            <w:hideMark/>
          </w:tcPr>
          <w:p w14:paraId="5545D2B7"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38" w:type="dxa"/>
            <w:tcBorders>
              <w:top w:val="nil"/>
              <w:left w:val="nil"/>
              <w:bottom w:val="single" w:sz="8" w:space="0" w:color="auto"/>
              <w:right w:val="single" w:sz="8" w:space="0" w:color="auto"/>
            </w:tcBorders>
            <w:shd w:val="clear" w:color="auto" w:fill="auto"/>
            <w:noWrap/>
            <w:vAlign w:val="center"/>
            <w:hideMark/>
          </w:tcPr>
          <w:p w14:paraId="72B1A9F1"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28" w:type="dxa"/>
            <w:tcBorders>
              <w:top w:val="nil"/>
              <w:left w:val="nil"/>
              <w:bottom w:val="single" w:sz="8" w:space="0" w:color="auto"/>
              <w:right w:val="single" w:sz="8" w:space="0" w:color="auto"/>
            </w:tcBorders>
            <w:shd w:val="clear" w:color="auto" w:fill="auto"/>
            <w:noWrap/>
            <w:vAlign w:val="center"/>
            <w:hideMark/>
          </w:tcPr>
          <w:p w14:paraId="24D17F3C"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r>
      <w:tr w:rsidR="008D7C20" w:rsidRPr="00092ED7" w14:paraId="727BD7D6" w14:textId="77777777" w:rsidTr="007C54E3">
        <w:trPr>
          <w:trHeight w:val="330"/>
        </w:trPr>
        <w:tc>
          <w:tcPr>
            <w:tcW w:w="9006" w:type="dxa"/>
            <w:gridSpan w:val="6"/>
            <w:tcBorders>
              <w:top w:val="single" w:sz="8" w:space="0" w:color="auto"/>
              <w:left w:val="single" w:sz="8" w:space="0" w:color="auto"/>
              <w:bottom w:val="single" w:sz="8" w:space="0" w:color="auto"/>
              <w:right w:val="single" w:sz="8" w:space="0" w:color="auto"/>
            </w:tcBorders>
            <w:shd w:val="clear" w:color="000000" w:fill="D0CECE"/>
            <w:noWrap/>
            <w:vAlign w:val="center"/>
            <w:hideMark/>
          </w:tcPr>
          <w:p w14:paraId="7FEE428B" w14:textId="77777777" w:rsidR="008D7C20" w:rsidRPr="00092ED7" w:rsidRDefault="008D7C20" w:rsidP="008D7C20">
            <w:pPr>
              <w:spacing w:after="0"/>
              <w:jc w:val="left"/>
              <w:rPr>
                <w:rFonts w:eastAsia="Times New Roman" w:cs="Times New Roman"/>
                <w:b/>
                <w:bCs/>
                <w:sz w:val="20"/>
                <w:szCs w:val="20"/>
                <w:lang w:val="sr-Cyrl-CS"/>
              </w:rPr>
            </w:pPr>
            <w:r w:rsidRPr="00092ED7">
              <w:rPr>
                <w:rFonts w:eastAsia="Times New Roman" w:cs="Times New Roman"/>
                <w:b/>
                <w:bCs/>
                <w:sz w:val="20"/>
                <w:szCs w:val="20"/>
                <w:lang w:val="sr-Cyrl-CS"/>
              </w:rPr>
              <w:t>13. Развој и унапређење националне информационо-комуникационе инфраструктуре</w:t>
            </w:r>
          </w:p>
        </w:tc>
      </w:tr>
      <w:tr w:rsidR="00FD090A" w:rsidRPr="00092ED7" w14:paraId="005A8A84"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14142B00"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b/>
                <w:bCs/>
                <w:sz w:val="20"/>
                <w:szCs w:val="20"/>
                <w:lang w:val="sr-Cyrl-CS"/>
              </w:rPr>
              <w:t>Година</w:t>
            </w:r>
          </w:p>
        </w:tc>
        <w:tc>
          <w:tcPr>
            <w:tcW w:w="1290" w:type="dxa"/>
            <w:tcBorders>
              <w:top w:val="nil"/>
              <w:left w:val="nil"/>
              <w:bottom w:val="single" w:sz="8" w:space="0" w:color="auto"/>
              <w:right w:val="single" w:sz="8" w:space="0" w:color="auto"/>
            </w:tcBorders>
            <w:shd w:val="clear" w:color="auto" w:fill="auto"/>
            <w:noWrap/>
            <w:vAlign w:val="center"/>
            <w:hideMark/>
          </w:tcPr>
          <w:p w14:paraId="64C25505"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Плате</w:t>
            </w:r>
          </w:p>
        </w:tc>
        <w:tc>
          <w:tcPr>
            <w:tcW w:w="1750" w:type="dxa"/>
            <w:tcBorders>
              <w:top w:val="nil"/>
              <w:left w:val="nil"/>
              <w:bottom w:val="single" w:sz="8" w:space="0" w:color="auto"/>
              <w:right w:val="single" w:sz="8" w:space="0" w:color="auto"/>
            </w:tcBorders>
            <w:shd w:val="clear" w:color="auto" w:fill="auto"/>
            <w:noWrap/>
            <w:vAlign w:val="center"/>
            <w:hideMark/>
          </w:tcPr>
          <w:p w14:paraId="0E449F99"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Добра и услуге</w:t>
            </w:r>
          </w:p>
        </w:tc>
        <w:tc>
          <w:tcPr>
            <w:tcW w:w="1624" w:type="dxa"/>
            <w:tcBorders>
              <w:top w:val="nil"/>
              <w:left w:val="nil"/>
              <w:bottom w:val="single" w:sz="8" w:space="0" w:color="auto"/>
              <w:right w:val="single" w:sz="8" w:space="0" w:color="auto"/>
            </w:tcBorders>
            <w:shd w:val="clear" w:color="auto" w:fill="auto"/>
            <w:noWrap/>
            <w:vAlign w:val="center"/>
            <w:hideMark/>
          </w:tcPr>
          <w:p w14:paraId="79AB70F1"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Субвенције и трансфери</w:t>
            </w:r>
          </w:p>
        </w:tc>
        <w:tc>
          <w:tcPr>
            <w:tcW w:w="1538" w:type="dxa"/>
            <w:tcBorders>
              <w:top w:val="nil"/>
              <w:left w:val="nil"/>
              <w:bottom w:val="single" w:sz="8" w:space="0" w:color="auto"/>
              <w:right w:val="single" w:sz="8" w:space="0" w:color="auto"/>
            </w:tcBorders>
            <w:shd w:val="clear" w:color="auto" w:fill="auto"/>
            <w:noWrap/>
            <w:vAlign w:val="center"/>
            <w:hideMark/>
          </w:tcPr>
          <w:p w14:paraId="4118CEE1"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Капитални расходи</w:t>
            </w:r>
          </w:p>
        </w:tc>
        <w:tc>
          <w:tcPr>
            <w:tcW w:w="1628" w:type="dxa"/>
            <w:tcBorders>
              <w:top w:val="nil"/>
              <w:left w:val="nil"/>
              <w:bottom w:val="single" w:sz="8" w:space="0" w:color="auto"/>
              <w:right w:val="single" w:sz="8" w:space="0" w:color="auto"/>
            </w:tcBorders>
            <w:shd w:val="clear" w:color="auto" w:fill="auto"/>
            <w:noWrap/>
            <w:vAlign w:val="center"/>
            <w:hideMark/>
          </w:tcPr>
          <w:p w14:paraId="6FC554FE"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Укупно</w:t>
            </w:r>
          </w:p>
        </w:tc>
      </w:tr>
      <w:tr w:rsidR="00FD090A" w:rsidRPr="00092ED7" w14:paraId="0BD631CD"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2C808F58"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2023</w:t>
            </w:r>
          </w:p>
        </w:tc>
        <w:tc>
          <w:tcPr>
            <w:tcW w:w="1290" w:type="dxa"/>
            <w:tcBorders>
              <w:top w:val="nil"/>
              <w:left w:val="nil"/>
              <w:bottom w:val="single" w:sz="8" w:space="0" w:color="auto"/>
              <w:right w:val="single" w:sz="8" w:space="0" w:color="auto"/>
            </w:tcBorders>
            <w:shd w:val="clear" w:color="auto" w:fill="auto"/>
            <w:noWrap/>
            <w:vAlign w:val="center"/>
            <w:hideMark/>
          </w:tcPr>
          <w:p w14:paraId="5B07EEF2"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750" w:type="dxa"/>
            <w:tcBorders>
              <w:top w:val="nil"/>
              <w:left w:val="nil"/>
              <w:bottom w:val="single" w:sz="8" w:space="0" w:color="auto"/>
              <w:right w:val="single" w:sz="8" w:space="0" w:color="auto"/>
            </w:tcBorders>
            <w:shd w:val="clear" w:color="auto" w:fill="auto"/>
            <w:noWrap/>
            <w:vAlign w:val="center"/>
            <w:hideMark/>
          </w:tcPr>
          <w:p w14:paraId="5A66A92E" w14:textId="77777777" w:rsidR="008D7C20" w:rsidRPr="00092ED7" w:rsidRDefault="008D7C20" w:rsidP="008D7C20">
            <w:pPr>
              <w:spacing w:after="0"/>
              <w:jc w:val="right"/>
              <w:rPr>
                <w:rFonts w:eastAsia="Times New Roman" w:cs="Times New Roman"/>
                <w:sz w:val="20"/>
                <w:szCs w:val="20"/>
                <w:lang w:val="sr-Cyrl-CS"/>
              </w:rPr>
            </w:pPr>
            <w:r w:rsidRPr="00092ED7">
              <w:rPr>
                <w:rFonts w:eastAsia="Times New Roman" w:cs="Times New Roman"/>
                <w:sz w:val="20"/>
                <w:szCs w:val="20"/>
                <w:lang w:val="sr-Cyrl-CS"/>
              </w:rPr>
              <w:t>1.283.333,00</w:t>
            </w:r>
          </w:p>
        </w:tc>
        <w:tc>
          <w:tcPr>
            <w:tcW w:w="1624" w:type="dxa"/>
            <w:tcBorders>
              <w:top w:val="nil"/>
              <w:left w:val="nil"/>
              <w:bottom w:val="single" w:sz="8" w:space="0" w:color="auto"/>
              <w:right w:val="single" w:sz="8" w:space="0" w:color="auto"/>
            </w:tcBorders>
            <w:shd w:val="clear" w:color="auto" w:fill="auto"/>
            <w:noWrap/>
            <w:vAlign w:val="center"/>
            <w:hideMark/>
          </w:tcPr>
          <w:p w14:paraId="2F753FCD"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38" w:type="dxa"/>
            <w:tcBorders>
              <w:top w:val="nil"/>
              <w:left w:val="nil"/>
              <w:bottom w:val="single" w:sz="8" w:space="0" w:color="auto"/>
              <w:right w:val="single" w:sz="8" w:space="0" w:color="auto"/>
            </w:tcBorders>
            <w:shd w:val="clear" w:color="auto" w:fill="auto"/>
            <w:noWrap/>
            <w:vAlign w:val="center"/>
            <w:hideMark/>
          </w:tcPr>
          <w:p w14:paraId="401D5924"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97.142.177,33</w:t>
            </w:r>
          </w:p>
        </w:tc>
        <w:tc>
          <w:tcPr>
            <w:tcW w:w="1628" w:type="dxa"/>
            <w:tcBorders>
              <w:top w:val="nil"/>
              <w:left w:val="nil"/>
              <w:bottom w:val="single" w:sz="8" w:space="0" w:color="auto"/>
              <w:right w:val="single" w:sz="8" w:space="0" w:color="auto"/>
            </w:tcBorders>
            <w:shd w:val="clear" w:color="auto" w:fill="auto"/>
            <w:noWrap/>
            <w:vAlign w:val="center"/>
            <w:hideMark/>
          </w:tcPr>
          <w:p w14:paraId="40F1805C"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98.425.510,33</w:t>
            </w:r>
          </w:p>
        </w:tc>
      </w:tr>
      <w:tr w:rsidR="00FD090A" w:rsidRPr="00092ED7" w14:paraId="25C3CA10"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334139EC"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2024</w:t>
            </w:r>
          </w:p>
        </w:tc>
        <w:tc>
          <w:tcPr>
            <w:tcW w:w="1290" w:type="dxa"/>
            <w:tcBorders>
              <w:top w:val="nil"/>
              <w:left w:val="nil"/>
              <w:bottom w:val="single" w:sz="8" w:space="0" w:color="auto"/>
              <w:right w:val="single" w:sz="8" w:space="0" w:color="auto"/>
            </w:tcBorders>
            <w:shd w:val="clear" w:color="auto" w:fill="auto"/>
            <w:noWrap/>
            <w:vAlign w:val="center"/>
            <w:hideMark/>
          </w:tcPr>
          <w:p w14:paraId="6857F244"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750" w:type="dxa"/>
            <w:tcBorders>
              <w:top w:val="nil"/>
              <w:left w:val="nil"/>
              <w:bottom w:val="single" w:sz="8" w:space="0" w:color="auto"/>
              <w:right w:val="single" w:sz="8" w:space="0" w:color="auto"/>
            </w:tcBorders>
            <w:shd w:val="clear" w:color="auto" w:fill="auto"/>
            <w:noWrap/>
            <w:vAlign w:val="center"/>
            <w:hideMark/>
          </w:tcPr>
          <w:p w14:paraId="10F60B40" w14:textId="77777777" w:rsidR="008D7C20" w:rsidRPr="00092ED7" w:rsidRDefault="008D7C20" w:rsidP="008D7C20">
            <w:pPr>
              <w:spacing w:after="0"/>
              <w:jc w:val="right"/>
              <w:rPr>
                <w:rFonts w:eastAsia="Times New Roman" w:cs="Times New Roman"/>
                <w:sz w:val="20"/>
                <w:szCs w:val="20"/>
                <w:lang w:val="sr-Cyrl-CS"/>
              </w:rPr>
            </w:pPr>
            <w:r w:rsidRPr="00092ED7">
              <w:rPr>
                <w:rFonts w:eastAsia="Times New Roman" w:cs="Times New Roman"/>
                <w:sz w:val="20"/>
                <w:szCs w:val="20"/>
                <w:lang w:val="sr-Cyrl-CS"/>
              </w:rPr>
              <w:t>1.925.000,00</w:t>
            </w:r>
          </w:p>
        </w:tc>
        <w:tc>
          <w:tcPr>
            <w:tcW w:w="1624" w:type="dxa"/>
            <w:tcBorders>
              <w:top w:val="nil"/>
              <w:left w:val="nil"/>
              <w:bottom w:val="single" w:sz="8" w:space="0" w:color="auto"/>
              <w:right w:val="single" w:sz="8" w:space="0" w:color="auto"/>
            </w:tcBorders>
            <w:shd w:val="clear" w:color="auto" w:fill="auto"/>
            <w:noWrap/>
            <w:vAlign w:val="center"/>
            <w:hideMark/>
          </w:tcPr>
          <w:p w14:paraId="4A1A42FB"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38" w:type="dxa"/>
            <w:tcBorders>
              <w:top w:val="nil"/>
              <w:left w:val="nil"/>
              <w:bottom w:val="single" w:sz="8" w:space="0" w:color="auto"/>
              <w:right w:val="single" w:sz="8" w:space="0" w:color="auto"/>
            </w:tcBorders>
            <w:shd w:val="clear" w:color="auto" w:fill="auto"/>
            <w:noWrap/>
            <w:vAlign w:val="center"/>
            <w:hideMark/>
          </w:tcPr>
          <w:p w14:paraId="6C8881E1"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83.000.000,00</w:t>
            </w:r>
          </w:p>
        </w:tc>
        <w:tc>
          <w:tcPr>
            <w:tcW w:w="1628" w:type="dxa"/>
            <w:tcBorders>
              <w:top w:val="nil"/>
              <w:left w:val="nil"/>
              <w:bottom w:val="single" w:sz="8" w:space="0" w:color="auto"/>
              <w:right w:val="single" w:sz="8" w:space="0" w:color="auto"/>
            </w:tcBorders>
            <w:shd w:val="clear" w:color="auto" w:fill="auto"/>
            <w:noWrap/>
            <w:vAlign w:val="center"/>
            <w:hideMark/>
          </w:tcPr>
          <w:p w14:paraId="4BEB87C1"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84.925.000,00</w:t>
            </w:r>
          </w:p>
        </w:tc>
      </w:tr>
      <w:tr w:rsidR="00FD090A" w:rsidRPr="00092ED7" w14:paraId="74D9787E"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632B7E35"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2025</w:t>
            </w:r>
          </w:p>
        </w:tc>
        <w:tc>
          <w:tcPr>
            <w:tcW w:w="1290" w:type="dxa"/>
            <w:tcBorders>
              <w:top w:val="nil"/>
              <w:left w:val="nil"/>
              <w:bottom w:val="single" w:sz="8" w:space="0" w:color="auto"/>
              <w:right w:val="single" w:sz="8" w:space="0" w:color="auto"/>
            </w:tcBorders>
            <w:shd w:val="clear" w:color="auto" w:fill="auto"/>
            <w:noWrap/>
            <w:vAlign w:val="center"/>
            <w:hideMark/>
          </w:tcPr>
          <w:p w14:paraId="1695B284"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750" w:type="dxa"/>
            <w:tcBorders>
              <w:top w:val="nil"/>
              <w:left w:val="nil"/>
              <w:bottom w:val="single" w:sz="8" w:space="0" w:color="auto"/>
              <w:right w:val="single" w:sz="8" w:space="0" w:color="auto"/>
            </w:tcBorders>
            <w:shd w:val="clear" w:color="auto" w:fill="auto"/>
            <w:noWrap/>
            <w:vAlign w:val="center"/>
            <w:hideMark/>
          </w:tcPr>
          <w:p w14:paraId="07EE1DB7" w14:textId="77777777" w:rsidR="008D7C20" w:rsidRPr="00092ED7" w:rsidRDefault="008D7C20" w:rsidP="008D7C20">
            <w:pPr>
              <w:spacing w:after="0"/>
              <w:jc w:val="right"/>
              <w:rPr>
                <w:rFonts w:eastAsia="Times New Roman" w:cs="Times New Roman"/>
                <w:sz w:val="20"/>
                <w:szCs w:val="20"/>
                <w:lang w:val="sr-Cyrl-CS"/>
              </w:rPr>
            </w:pPr>
            <w:r w:rsidRPr="00092ED7">
              <w:rPr>
                <w:rFonts w:eastAsia="Times New Roman" w:cs="Times New Roman"/>
                <w:sz w:val="20"/>
                <w:szCs w:val="20"/>
                <w:lang w:val="sr-Cyrl-CS"/>
              </w:rPr>
              <w:t>1.925.000,00</w:t>
            </w:r>
          </w:p>
        </w:tc>
        <w:tc>
          <w:tcPr>
            <w:tcW w:w="1624" w:type="dxa"/>
            <w:tcBorders>
              <w:top w:val="nil"/>
              <w:left w:val="nil"/>
              <w:bottom w:val="single" w:sz="8" w:space="0" w:color="auto"/>
              <w:right w:val="single" w:sz="8" w:space="0" w:color="auto"/>
            </w:tcBorders>
            <w:shd w:val="clear" w:color="auto" w:fill="auto"/>
            <w:noWrap/>
            <w:vAlign w:val="center"/>
            <w:hideMark/>
          </w:tcPr>
          <w:p w14:paraId="54F6ABF4"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38" w:type="dxa"/>
            <w:tcBorders>
              <w:top w:val="nil"/>
              <w:left w:val="nil"/>
              <w:bottom w:val="single" w:sz="8" w:space="0" w:color="auto"/>
              <w:right w:val="single" w:sz="8" w:space="0" w:color="auto"/>
            </w:tcBorders>
            <w:shd w:val="clear" w:color="auto" w:fill="auto"/>
            <w:noWrap/>
            <w:vAlign w:val="center"/>
            <w:hideMark/>
          </w:tcPr>
          <w:p w14:paraId="162F8B81"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35.000.000,00</w:t>
            </w:r>
          </w:p>
        </w:tc>
        <w:tc>
          <w:tcPr>
            <w:tcW w:w="1628" w:type="dxa"/>
            <w:tcBorders>
              <w:top w:val="nil"/>
              <w:left w:val="nil"/>
              <w:bottom w:val="single" w:sz="8" w:space="0" w:color="auto"/>
              <w:right w:val="single" w:sz="8" w:space="0" w:color="auto"/>
            </w:tcBorders>
            <w:shd w:val="clear" w:color="auto" w:fill="auto"/>
            <w:noWrap/>
            <w:vAlign w:val="center"/>
            <w:hideMark/>
          </w:tcPr>
          <w:p w14:paraId="3907A1DD"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36.925.000,00</w:t>
            </w:r>
          </w:p>
        </w:tc>
      </w:tr>
      <w:tr w:rsidR="008D7C20" w:rsidRPr="00092ED7" w14:paraId="054AC028" w14:textId="77777777" w:rsidTr="007C54E3">
        <w:trPr>
          <w:trHeight w:val="330"/>
        </w:trPr>
        <w:tc>
          <w:tcPr>
            <w:tcW w:w="9006" w:type="dxa"/>
            <w:gridSpan w:val="6"/>
            <w:tcBorders>
              <w:top w:val="single" w:sz="8" w:space="0" w:color="auto"/>
              <w:left w:val="single" w:sz="8" w:space="0" w:color="auto"/>
              <w:bottom w:val="single" w:sz="8" w:space="0" w:color="auto"/>
              <w:right w:val="single" w:sz="8" w:space="0" w:color="auto"/>
            </w:tcBorders>
            <w:shd w:val="clear" w:color="000000" w:fill="D0CECE"/>
            <w:noWrap/>
            <w:vAlign w:val="center"/>
            <w:hideMark/>
          </w:tcPr>
          <w:p w14:paraId="55F0787A" w14:textId="77777777" w:rsidR="008D7C20" w:rsidRPr="00092ED7" w:rsidRDefault="008D7C20" w:rsidP="008D7C20">
            <w:pPr>
              <w:spacing w:after="0"/>
              <w:jc w:val="left"/>
              <w:rPr>
                <w:rFonts w:eastAsia="Times New Roman" w:cs="Times New Roman"/>
                <w:b/>
                <w:bCs/>
                <w:sz w:val="20"/>
                <w:szCs w:val="20"/>
                <w:lang w:val="sr-Cyrl-CS"/>
              </w:rPr>
            </w:pPr>
            <w:r w:rsidRPr="00092ED7">
              <w:rPr>
                <w:rFonts w:eastAsia="Times New Roman" w:cs="Times New Roman"/>
                <w:b/>
                <w:bCs/>
                <w:sz w:val="20"/>
                <w:szCs w:val="20"/>
                <w:lang w:val="sr-Cyrl-CS"/>
              </w:rPr>
              <w:t>14. Успостављање инфраструктуре и окружења за креирање и примену иновативних ИТ решења</w:t>
            </w:r>
          </w:p>
        </w:tc>
      </w:tr>
      <w:tr w:rsidR="00FD090A" w:rsidRPr="00092ED7" w14:paraId="72EA239D"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1FBA7E39"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b/>
                <w:bCs/>
                <w:sz w:val="20"/>
                <w:szCs w:val="20"/>
                <w:lang w:val="sr-Cyrl-CS"/>
              </w:rPr>
              <w:t>Година</w:t>
            </w:r>
          </w:p>
        </w:tc>
        <w:tc>
          <w:tcPr>
            <w:tcW w:w="1290" w:type="dxa"/>
            <w:tcBorders>
              <w:top w:val="nil"/>
              <w:left w:val="nil"/>
              <w:bottom w:val="single" w:sz="8" w:space="0" w:color="auto"/>
              <w:right w:val="single" w:sz="8" w:space="0" w:color="auto"/>
            </w:tcBorders>
            <w:shd w:val="clear" w:color="auto" w:fill="auto"/>
            <w:noWrap/>
            <w:vAlign w:val="center"/>
            <w:hideMark/>
          </w:tcPr>
          <w:p w14:paraId="50891351"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Плате</w:t>
            </w:r>
          </w:p>
        </w:tc>
        <w:tc>
          <w:tcPr>
            <w:tcW w:w="1750" w:type="dxa"/>
            <w:tcBorders>
              <w:top w:val="nil"/>
              <w:left w:val="nil"/>
              <w:bottom w:val="single" w:sz="8" w:space="0" w:color="auto"/>
              <w:right w:val="single" w:sz="8" w:space="0" w:color="auto"/>
            </w:tcBorders>
            <w:shd w:val="clear" w:color="auto" w:fill="auto"/>
            <w:noWrap/>
            <w:vAlign w:val="center"/>
            <w:hideMark/>
          </w:tcPr>
          <w:p w14:paraId="35B6F6A0"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Добра и услуге</w:t>
            </w:r>
          </w:p>
        </w:tc>
        <w:tc>
          <w:tcPr>
            <w:tcW w:w="1624" w:type="dxa"/>
            <w:tcBorders>
              <w:top w:val="nil"/>
              <w:left w:val="nil"/>
              <w:bottom w:val="single" w:sz="8" w:space="0" w:color="auto"/>
              <w:right w:val="single" w:sz="8" w:space="0" w:color="auto"/>
            </w:tcBorders>
            <w:shd w:val="clear" w:color="auto" w:fill="auto"/>
            <w:noWrap/>
            <w:vAlign w:val="center"/>
            <w:hideMark/>
          </w:tcPr>
          <w:p w14:paraId="472016B1"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Субвенције и трансфери</w:t>
            </w:r>
          </w:p>
        </w:tc>
        <w:tc>
          <w:tcPr>
            <w:tcW w:w="1538" w:type="dxa"/>
            <w:tcBorders>
              <w:top w:val="nil"/>
              <w:left w:val="nil"/>
              <w:bottom w:val="single" w:sz="8" w:space="0" w:color="auto"/>
              <w:right w:val="single" w:sz="8" w:space="0" w:color="auto"/>
            </w:tcBorders>
            <w:shd w:val="clear" w:color="auto" w:fill="auto"/>
            <w:noWrap/>
            <w:vAlign w:val="center"/>
            <w:hideMark/>
          </w:tcPr>
          <w:p w14:paraId="3513517A"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Капитални расходи</w:t>
            </w:r>
          </w:p>
        </w:tc>
        <w:tc>
          <w:tcPr>
            <w:tcW w:w="1628" w:type="dxa"/>
            <w:tcBorders>
              <w:top w:val="nil"/>
              <w:left w:val="nil"/>
              <w:bottom w:val="single" w:sz="8" w:space="0" w:color="auto"/>
              <w:right w:val="single" w:sz="8" w:space="0" w:color="auto"/>
            </w:tcBorders>
            <w:shd w:val="clear" w:color="auto" w:fill="auto"/>
            <w:noWrap/>
            <w:vAlign w:val="center"/>
            <w:hideMark/>
          </w:tcPr>
          <w:p w14:paraId="4129929B"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Укупно</w:t>
            </w:r>
          </w:p>
        </w:tc>
      </w:tr>
      <w:tr w:rsidR="00FD090A" w:rsidRPr="00092ED7" w14:paraId="5F50F2E4" w14:textId="77777777" w:rsidTr="008B1D11">
        <w:trPr>
          <w:trHeight w:val="330"/>
        </w:trPr>
        <w:tc>
          <w:tcPr>
            <w:tcW w:w="1176" w:type="dxa"/>
            <w:tcBorders>
              <w:top w:val="nil"/>
              <w:left w:val="single" w:sz="8" w:space="0" w:color="auto"/>
              <w:bottom w:val="single" w:sz="4" w:space="0" w:color="auto"/>
              <w:right w:val="single" w:sz="8" w:space="0" w:color="auto"/>
            </w:tcBorders>
            <w:shd w:val="clear" w:color="auto" w:fill="auto"/>
            <w:noWrap/>
            <w:vAlign w:val="center"/>
            <w:hideMark/>
          </w:tcPr>
          <w:p w14:paraId="1B65400A"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2023</w:t>
            </w:r>
          </w:p>
        </w:tc>
        <w:tc>
          <w:tcPr>
            <w:tcW w:w="1290" w:type="dxa"/>
            <w:tcBorders>
              <w:top w:val="nil"/>
              <w:left w:val="nil"/>
              <w:bottom w:val="single" w:sz="4" w:space="0" w:color="auto"/>
              <w:right w:val="single" w:sz="8" w:space="0" w:color="auto"/>
            </w:tcBorders>
            <w:shd w:val="clear" w:color="auto" w:fill="auto"/>
            <w:noWrap/>
            <w:vAlign w:val="center"/>
            <w:hideMark/>
          </w:tcPr>
          <w:p w14:paraId="165678CE"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750" w:type="dxa"/>
            <w:tcBorders>
              <w:top w:val="nil"/>
              <w:left w:val="nil"/>
              <w:bottom w:val="single" w:sz="4" w:space="0" w:color="auto"/>
              <w:right w:val="single" w:sz="8" w:space="0" w:color="auto"/>
            </w:tcBorders>
            <w:shd w:val="clear" w:color="auto" w:fill="auto"/>
            <w:noWrap/>
            <w:vAlign w:val="center"/>
            <w:hideMark/>
          </w:tcPr>
          <w:p w14:paraId="0E654105" w14:textId="77777777" w:rsidR="008D7C20" w:rsidRPr="00092ED7" w:rsidRDefault="008D7C20" w:rsidP="008D7C20">
            <w:pPr>
              <w:spacing w:after="0"/>
              <w:jc w:val="right"/>
              <w:rPr>
                <w:rFonts w:eastAsia="Times New Roman" w:cs="Times New Roman"/>
                <w:sz w:val="20"/>
                <w:szCs w:val="20"/>
                <w:lang w:val="sr-Cyrl-CS"/>
              </w:rPr>
            </w:pPr>
            <w:r w:rsidRPr="00092ED7">
              <w:rPr>
                <w:rFonts w:eastAsia="Times New Roman" w:cs="Times New Roman"/>
                <w:sz w:val="20"/>
                <w:szCs w:val="20"/>
                <w:lang w:val="sr-Cyrl-CS"/>
              </w:rPr>
              <w:t>0</w:t>
            </w:r>
          </w:p>
        </w:tc>
        <w:tc>
          <w:tcPr>
            <w:tcW w:w="1624" w:type="dxa"/>
            <w:tcBorders>
              <w:top w:val="nil"/>
              <w:left w:val="nil"/>
              <w:bottom w:val="single" w:sz="4" w:space="0" w:color="auto"/>
              <w:right w:val="single" w:sz="8" w:space="0" w:color="auto"/>
            </w:tcBorders>
            <w:shd w:val="clear" w:color="auto" w:fill="auto"/>
            <w:noWrap/>
            <w:vAlign w:val="center"/>
            <w:hideMark/>
          </w:tcPr>
          <w:p w14:paraId="5D7C098C"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38" w:type="dxa"/>
            <w:tcBorders>
              <w:top w:val="nil"/>
              <w:left w:val="nil"/>
              <w:bottom w:val="single" w:sz="4" w:space="0" w:color="auto"/>
              <w:right w:val="single" w:sz="8" w:space="0" w:color="auto"/>
            </w:tcBorders>
            <w:shd w:val="clear" w:color="auto" w:fill="auto"/>
            <w:noWrap/>
            <w:vAlign w:val="center"/>
            <w:hideMark/>
          </w:tcPr>
          <w:p w14:paraId="7A872A8E"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7.583.333,33</w:t>
            </w:r>
          </w:p>
        </w:tc>
        <w:tc>
          <w:tcPr>
            <w:tcW w:w="1628" w:type="dxa"/>
            <w:tcBorders>
              <w:top w:val="nil"/>
              <w:left w:val="nil"/>
              <w:bottom w:val="single" w:sz="4" w:space="0" w:color="auto"/>
              <w:right w:val="single" w:sz="8" w:space="0" w:color="auto"/>
            </w:tcBorders>
            <w:shd w:val="clear" w:color="auto" w:fill="auto"/>
            <w:noWrap/>
            <w:vAlign w:val="center"/>
            <w:hideMark/>
          </w:tcPr>
          <w:p w14:paraId="2E787C9A"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7.583.333,33</w:t>
            </w:r>
          </w:p>
        </w:tc>
      </w:tr>
      <w:tr w:rsidR="00FD090A" w:rsidRPr="00092ED7" w14:paraId="44878CF8" w14:textId="77777777" w:rsidTr="008B1D11">
        <w:trPr>
          <w:trHeight w:val="330"/>
        </w:trPr>
        <w:tc>
          <w:tcPr>
            <w:tcW w:w="11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82F197"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2024</w:t>
            </w:r>
          </w:p>
        </w:tc>
        <w:tc>
          <w:tcPr>
            <w:tcW w:w="12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7B02C0"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7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2551E0" w14:textId="77777777" w:rsidR="008D7C20" w:rsidRPr="00092ED7" w:rsidRDefault="008D7C20" w:rsidP="008D7C20">
            <w:pPr>
              <w:spacing w:after="0"/>
              <w:jc w:val="right"/>
              <w:rPr>
                <w:rFonts w:eastAsia="Times New Roman" w:cs="Times New Roman"/>
                <w:sz w:val="20"/>
                <w:szCs w:val="20"/>
                <w:lang w:val="sr-Cyrl-CS"/>
              </w:rPr>
            </w:pPr>
            <w:r w:rsidRPr="00092ED7">
              <w:rPr>
                <w:rFonts w:eastAsia="Times New Roman" w:cs="Times New Roman"/>
                <w:sz w:val="20"/>
                <w:szCs w:val="20"/>
                <w:lang w:val="sr-Cyrl-CS"/>
              </w:rPr>
              <w:t>0</w:t>
            </w:r>
          </w:p>
        </w:tc>
        <w:tc>
          <w:tcPr>
            <w:tcW w:w="16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C2B4DA"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A0C4B1" w14:textId="5F324A81"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w:t>
            </w:r>
            <w:r w:rsidR="00ED605D" w:rsidRPr="00092ED7">
              <w:rPr>
                <w:rFonts w:eastAsia="Times New Roman" w:cs="Times New Roman"/>
                <w:color w:val="000000"/>
                <w:sz w:val="20"/>
                <w:szCs w:val="20"/>
                <w:lang w:val="sr-Cyrl-CS"/>
              </w:rPr>
              <w:t>2</w:t>
            </w:r>
            <w:r w:rsidRPr="00092ED7">
              <w:rPr>
                <w:rFonts w:eastAsia="Times New Roman" w:cs="Times New Roman"/>
                <w:color w:val="000000"/>
                <w:sz w:val="20"/>
                <w:szCs w:val="20"/>
                <w:lang w:val="sr-Cyrl-CS"/>
              </w:rPr>
              <w:t>.0</w:t>
            </w:r>
            <w:r w:rsidR="00ED605D" w:rsidRPr="00092ED7">
              <w:rPr>
                <w:rFonts w:eastAsia="Times New Roman" w:cs="Times New Roman"/>
                <w:color w:val="000000"/>
                <w:sz w:val="20"/>
                <w:szCs w:val="20"/>
                <w:lang w:val="sr-Cyrl-CS"/>
              </w:rPr>
              <w:t>8</w:t>
            </w:r>
            <w:r w:rsidRPr="00092ED7">
              <w:rPr>
                <w:rFonts w:eastAsia="Times New Roman" w:cs="Times New Roman"/>
                <w:color w:val="000000"/>
                <w:sz w:val="20"/>
                <w:szCs w:val="20"/>
                <w:lang w:val="sr-Cyrl-CS"/>
              </w:rPr>
              <w:t>0.000,00</w:t>
            </w:r>
          </w:p>
        </w:tc>
        <w:tc>
          <w:tcPr>
            <w:tcW w:w="16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A6AEA9" w14:textId="55962F59"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w:t>
            </w:r>
            <w:r w:rsidR="00ED605D" w:rsidRPr="00092ED7">
              <w:rPr>
                <w:rFonts w:eastAsia="Times New Roman" w:cs="Times New Roman"/>
                <w:color w:val="000000"/>
                <w:sz w:val="20"/>
                <w:szCs w:val="20"/>
                <w:lang w:val="sr-Cyrl-CS"/>
              </w:rPr>
              <w:t>2</w:t>
            </w:r>
            <w:r w:rsidRPr="00092ED7">
              <w:rPr>
                <w:rFonts w:eastAsia="Times New Roman" w:cs="Times New Roman"/>
                <w:color w:val="000000"/>
                <w:sz w:val="20"/>
                <w:szCs w:val="20"/>
                <w:lang w:val="sr-Cyrl-CS"/>
              </w:rPr>
              <w:t>.0</w:t>
            </w:r>
            <w:r w:rsidR="00ED605D" w:rsidRPr="00092ED7">
              <w:rPr>
                <w:rFonts w:eastAsia="Times New Roman" w:cs="Times New Roman"/>
                <w:color w:val="000000"/>
                <w:sz w:val="20"/>
                <w:szCs w:val="20"/>
                <w:lang w:val="sr-Cyrl-CS"/>
              </w:rPr>
              <w:t>8</w:t>
            </w:r>
            <w:r w:rsidRPr="00092ED7">
              <w:rPr>
                <w:rFonts w:eastAsia="Times New Roman" w:cs="Times New Roman"/>
                <w:color w:val="000000"/>
                <w:sz w:val="20"/>
                <w:szCs w:val="20"/>
                <w:lang w:val="sr-Cyrl-CS"/>
              </w:rPr>
              <w:t>0.000,00</w:t>
            </w:r>
          </w:p>
        </w:tc>
      </w:tr>
      <w:tr w:rsidR="00FD090A" w:rsidRPr="00092ED7" w14:paraId="4BC613A5" w14:textId="77777777" w:rsidTr="008B1D11">
        <w:trPr>
          <w:trHeight w:val="330"/>
        </w:trPr>
        <w:tc>
          <w:tcPr>
            <w:tcW w:w="1176"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1F37DE70"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2025</w:t>
            </w:r>
          </w:p>
        </w:tc>
        <w:tc>
          <w:tcPr>
            <w:tcW w:w="1290" w:type="dxa"/>
            <w:tcBorders>
              <w:top w:val="single" w:sz="4" w:space="0" w:color="auto"/>
              <w:left w:val="nil"/>
              <w:bottom w:val="single" w:sz="8" w:space="0" w:color="auto"/>
              <w:right w:val="single" w:sz="8" w:space="0" w:color="auto"/>
            </w:tcBorders>
            <w:shd w:val="clear" w:color="auto" w:fill="auto"/>
            <w:noWrap/>
            <w:vAlign w:val="center"/>
            <w:hideMark/>
          </w:tcPr>
          <w:p w14:paraId="3D5D2815"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750" w:type="dxa"/>
            <w:tcBorders>
              <w:top w:val="single" w:sz="4" w:space="0" w:color="auto"/>
              <w:left w:val="nil"/>
              <w:bottom w:val="single" w:sz="8" w:space="0" w:color="auto"/>
              <w:right w:val="single" w:sz="8" w:space="0" w:color="auto"/>
            </w:tcBorders>
            <w:shd w:val="clear" w:color="auto" w:fill="auto"/>
            <w:noWrap/>
            <w:vAlign w:val="center"/>
            <w:hideMark/>
          </w:tcPr>
          <w:p w14:paraId="39D78CB7" w14:textId="77777777" w:rsidR="008D7C20" w:rsidRPr="00092ED7" w:rsidRDefault="008D7C20" w:rsidP="008D7C20">
            <w:pPr>
              <w:spacing w:after="0"/>
              <w:jc w:val="right"/>
              <w:rPr>
                <w:rFonts w:eastAsia="Times New Roman" w:cs="Times New Roman"/>
                <w:sz w:val="20"/>
                <w:szCs w:val="20"/>
                <w:lang w:val="sr-Cyrl-CS"/>
              </w:rPr>
            </w:pPr>
            <w:r w:rsidRPr="00092ED7">
              <w:rPr>
                <w:rFonts w:eastAsia="Times New Roman" w:cs="Times New Roman"/>
                <w:sz w:val="20"/>
                <w:szCs w:val="20"/>
                <w:lang w:val="sr-Cyrl-CS"/>
              </w:rPr>
              <w:t>0</w:t>
            </w:r>
          </w:p>
        </w:tc>
        <w:tc>
          <w:tcPr>
            <w:tcW w:w="1624" w:type="dxa"/>
            <w:tcBorders>
              <w:top w:val="single" w:sz="4" w:space="0" w:color="auto"/>
              <w:left w:val="nil"/>
              <w:bottom w:val="single" w:sz="8" w:space="0" w:color="auto"/>
              <w:right w:val="single" w:sz="8" w:space="0" w:color="auto"/>
            </w:tcBorders>
            <w:shd w:val="clear" w:color="auto" w:fill="auto"/>
            <w:noWrap/>
            <w:vAlign w:val="center"/>
            <w:hideMark/>
          </w:tcPr>
          <w:p w14:paraId="1D3E0F37"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38" w:type="dxa"/>
            <w:tcBorders>
              <w:top w:val="single" w:sz="4" w:space="0" w:color="auto"/>
              <w:left w:val="nil"/>
              <w:bottom w:val="single" w:sz="8" w:space="0" w:color="auto"/>
              <w:right w:val="single" w:sz="8" w:space="0" w:color="auto"/>
            </w:tcBorders>
            <w:shd w:val="clear" w:color="auto" w:fill="auto"/>
            <w:noWrap/>
            <w:vAlign w:val="center"/>
            <w:hideMark/>
          </w:tcPr>
          <w:p w14:paraId="70DA7670"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17.083.333,33</w:t>
            </w:r>
          </w:p>
        </w:tc>
        <w:tc>
          <w:tcPr>
            <w:tcW w:w="1628" w:type="dxa"/>
            <w:tcBorders>
              <w:top w:val="single" w:sz="4" w:space="0" w:color="auto"/>
              <w:left w:val="nil"/>
              <w:bottom w:val="single" w:sz="8" w:space="0" w:color="auto"/>
              <w:right w:val="single" w:sz="8" w:space="0" w:color="auto"/>
            </w:tcBorders>
            <w:shd w:val="clear" w:color="auto" w:fill="auto"/>
            <w:noWrap/>
            <w:vAlign w:val="center"/>
            <w:hideMark/>
          </w:tcPr>
          <w:p w14:paraId="07FE8F24"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17.083.333,33</w:t>
            </w:r>
          </w:p>
        </w:tc>
      </w:tr>
      <w:tr w:rsidR="008D7C20" w:rsidRPr="00092ED7" w14:paraId="7582218E" w14:textId="77777777" w:rsidTr="007C54E3">
        <w:trPr>
          <w:trHeight w:val="330"/>
        </w:trPr>
        <w:tc>
          <w:tcPr>
            <w:tcW w:w="9006" w:type="dxa"/>
            <w:gridSpan w:val="6"/>
            <w:tcBorders>
              <w:top w:val="single" w:sz="8" w:space="0" w:color="auto"/>
              <w:left w:val="single" w:sz="8" w:space="0" w:color="auto"/>
              <w:bottom w:val="single" w:sz="8" w:space="0" w:color="auto"/>
              <w:right w:val="single" w:sz="8" w:space="0" w:color="auto"/>
            </w:tcBorders>
            <w:shd w:val="clear" w:color="000000" w:fill="D0CECE"/>
            <w:noWrap/>
            <w:vAlign w:val="center"/>
            <w:hideMark/>
          </w:tcPr>
          <w:p w14:paraId="08EC8A4B" w14:textId="77777777" w:rsidR="008D7C20" w:rsidRPr="00092ED7" w:rsidRDefault="008D7C20" w:rsidP="008D7C20">
            <w:pPr>
              <w:spacing w:after="0"/>
              <w:jc w:val="left"/>
              <w:rPr>
                <w:rFonts w:eastAsia="Times New Roman" w:cs="Times New Roman"/>
                <w:b/>
                <w:bCs/>
                <w:sz w:val="20"/>
                <w:szCs w:val="20"/>
                <w:lang w:val="sr-Cyrl-CS"/>
              </w:rPr>
            </w:pPr>
            <w:r w:rsidRPr="00092ED7">
              <w:rPr>
                <w:rFonts w:eastAsia="Times New Roman" w:cs="Times New Roman"/>
                <w:b/>
                <w:bCs/>
                <w:sz w:val="20"/>
                <w:szCs w:val="20"/>
                <w:lang w:val="sr-Cyrl-CS"/>
              </w:rPr>
              <w:lastRenderedPageBreak/>
              <w:t>15. Подршка развоју талената и креативних индустрија оснивањем мултифункционалног иновативно-креативног центра Ложионица</w:t>
            </w:r>
          </w:p>
        </w:tc>
      </w:tr>
      <w:tr w:rsidR="00FD090A" w:rsidRPr="00092ED7" w14:paraId="61D1F75D"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1C4E3B46"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b/>
                <w:bCs/>
                <w:sz w:val="20"/>
                <w:szCs w:val="20"/>
                <w:lang w:val="sr-Cyrl-CS"/>
              </w:rPr>
              <w:t>Година</w:t>
            </w:r>
          </w:p>
        </w:tc>
        <w:tc>
          <w:tcPr>
            <w:tcW w:w="1290" w:type="dxa"/>
            <w:tcBorders>
              <w:top w:val="nil"/>
              <w:left w:val="nil"/>
              <w:bottom w:val="single" w:sz="8" w:space="0" w:color="auto"/>
              <w:right w:val="single" w:sz="8" w:space="0" w:color="auto"/>
            </w:tcBorders>
            <w:shd w:val="clear" w:color="auto" w:fill="auto"/>
            <w:noWrap/>
            <w:vAlign w:val="center"/>
            <w:hideMark/>
          </w:tcPr>
          <w:p w14:paraId="0044BB7C"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Плате</w:t>
            </w:r>
          </w:p>
        </w:tc>
        <w:tc>
          <w:tcPr>
            <w:tcW w:w="1750" w:type="dxa"/>
            <w:tcBorders>
              <w:top w:val="nil"/>
              <w:left w:val="nil"/>
              <w:bottom w:val="single" w:sz="8" w:space="0" w:color="auto"/>
              <w:right w:val="single" w:sz="8" w:space="0" w:color="auto"/>
            </w:tcBorders>
            <w:shd w:val="clear" w:color="auto" w:fill="auto"/>
            <w:noWrap/>
            <w:vAlign w:val="center"/>
            <w:hideMark/>
          </w:tcPr>
          <w:p w14:paraId="67D9295C"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Добра и услуге</w:t>
            </w:r>
          </w:p>
        </w:tc>
        <w:tc>
          <w:tcPr>
            <w:tcW w:w="1624" w:type="dxa"/>
            <w:tcBorders>
              <w:top w:val="nil"/>
              <w:left w:val="nil"/>
              <w:bottom w:val="single" w:sz="8" w:space="0" w:color="auto"/>
              <w:right w:val="single" w:sz="8" w:space="0" w:color="auto"/>
            </w:tcBorders>
            <w:shd w:val="clear" w:color="auto" w:fill="auto"/>
            <w:noWrap/>
            <w:vAlign w:val="center"/>
            <w:hideMark/>
          </w:tcPr>
          <w:p w14:paraId="111499CC"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Субвенције и трансфери</w:t>
            </w:r>
          </w:p>
        </w:tc>
        <w:tc>
          <w:tcPr>
            <w:tcW w:w="1538" w:type="dxa"/>
            <w:tcBorders>
              <w:top w:val="nil"/>
              <w:left w:val="nil"/>
              <w:bottom w:val="single" w:sz="8" w:space="0" w:color="auto"/>
              <w:right w:val="single" w:sz="8" w:space="0" w:color="auto"/>
            </w:tcBorders>
            <w:shd w:val="clear" w:color="auto" w:fill="auto"/>
            <w:noWrap/>
            <w:vAlign w:val="center"/>
            <w:hideMark/>
          </w:tcPr>
          <w:p w14:paraId="5E5CF422"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Капитални расходи</w:t>
            </w:r>
          </w:p>
        </w:tc>
        <w:tc>
          <w:tcPr>
            <w:tcW w:w="1628" w:type="dxa"/>
            <w:tcBorders>
              <w:top w:val="nil"/>
              <w:left w:val="nil"/>
              <w:bottom w:val="single" w:sz="8" w:space="0" w:color="auto"/>
              <w:right w:val="single" w:sz="8" w:space="0" w:color="auto"/>
            </w:tcBorders>
            <w:shd w:val="clear" w:color="auto" w:fill="auto"/>
            <w:noWrap/>
            <w:vAlign w:val="center"/>
            <w:hideMark/>
          </w:tcPr>
          <w:p w14:paraId="2F0EB211"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Укупно</w:t>
            </w:r>
          </w:p>
        </w:tc>
      </w:tr>
      <w:tr w:rsidR="00FD090A" w:rsidRPr="00092ED7" w14:paraId="6569F654"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4F0B85AC"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2023</w:t>
            </w:r>
          </w:p>
        </w:tc>
        <w:tc>
          <w:tcPr>
            <w:tcW w:w="1290" w:type="dxa"/>
            <w:tcBorders>
              <w:top w:val="nil"/>
              <w:left w:val="nil"/>
              <w:bottom w:val="single" w:sz="8" w:space="0" w:color="auto"/>
              <w:right w:val="single" w:sz="8" w:space="0" w:color="auto"/>
            </w:tcBorders>
            <w:shd w:val="clear" w:color="auto" w:fill="auto"/>
            <w:noWrap/>
            <w:vAlign w:val="center"/>
            <w:hideMark/>
          </w:tcPr>
          <w:p w14:paraId="0813FDFD"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750" w:type="dxa"/>
            <w:tcBorders>
              <w:top w:val="nil"/>
              <w:left w:val="nil"/>
              <w:bottom w:val="single" w:sz="8" w:space="0" w:color="auto"/>
              <w:right w:val="single" w:sz="8" w:space="0" w:color="auto"/>
            </w:tcBorders>
            <w:shd w:val="clear" w:color="auto" w:fill="auto"/>
            <w:noWrap/>
            <w:vAlign w:val="center"/>
            <w:hideMark/>
          </w:tcPr>
          <w:p w14:paraId="020398F9" w14:textId="77777777" w:rsidR="008D7C20" w:rsidRPr="00092ED7" w:rsidRDefault="008D7C20" w:rsidP="008D7C20">
            <w:pPr>
              <w:spacing w:after="0"/>
              <w:jc w:val="right"/>
              <w:rPr>
                <w:rFonts w:eastAsia="Times New Roman" w:cs="Times New Roman"/>
                <w:sz w:val="20"/>
                <w:szCs w:val="20"/>
                <w:lang w:val="sr-Cyrl-CS"/>
              </w:rPr>
            </w:pPr>
            <w:r w:rsidRPr="00092ED7">
              <w:rPr>
                <w:rFonts w:eastAsia="Times New Roman" w:cs="Times New Roman"/>
                <w:sz w:val="20"/>
                <w:szCs w:val="20"/>
                <w:lang w:val="sr-Cyrl-CS"/>
              </w:rPr>
              <w:t>0</w:t>
            </w:r>
          </w:p>
        </w:tc>
        <w:tc>
          <w:tcPr>
            <w:tcW w:w="1624" w:type="dxa"/>
            <w:tcBorders>
              <w:top w:val="nil"/>
              <w:left w:val="nil"/>
              <w:bottom w:val="single" w:sz="8" w:space="0" w:color="auto"/>
              <w:right w:val="single" w:sz="8" w:space="0" w:color="auto"/>
            </w:tcBorders>
            <w:shd w:val="clear" w:color="auto" w:fill="auto"/>
            <w:noWrap/>
            <w:vAlign w:val="center"/>
            <w:hideMark/>
          </w:tcPr>
          <w:p w14:paraId="5F103590"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38" w:type="dxa"/>
            <w:tcBorders>
              <w:top w:val="nil"/>
              <w:left w:val="nil"/>
              <w:bottom w:val="single" w:sz="8" w:space="0" w:color="auto"/>
              <w:right w:val="single" w:sz="8" w:space="0" w:color="auto"/>
            </w:tcBorders>
            <w:shd w:val="clear" w:color="auto" w:fill="auto"/>
            <w:noWrap/>
            <w:vAlign w:val="center"/>
            <w:hideMark/>
          </w:tcPr>
          <w:p w14:paraId="0BE3BC7F" w14:textId="3FDEB1D7" w:rsidR="008D7C20" w:rsidRPr="00092ED7" w:rsidRDefault="008D7C20" w:rsidP="00AB4B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w:t>
            </w:r>
            <w:r w:rsidR="007E4C33" w:rsidRPr="00092ED7">
              <w:rPr>
                <w:rFonts w:eastAsia="Times New Roman" w:cs="Times New Roman"/>
                <w:color w:val="000000"/>
                <w:sz w:val="20"/>
                <w:szCs w:val="20"/>
                <w:lang w:val="sr-Cyrl-CS"/>
              </w:rPr>
              <w:t>5</w:t>
            </w:r>
            <w:r w:rsidRPr="00092ED7">
              <w:rPr>
                <w:rFonts w:eastAsia="Times New Roman" w:cs="Times New Roman"/>
                <w:color w:val="000000"/>
                <w:sz w:val="20"/>
                <w:szCs w:val="20"/>
                <w:lang w:val="sr-Cyrl-CS"/>
              </w:rPr>
              <w:t>.</w:t>
            </w:r>
            <w:r w:rsidR="007E4C33" w:rsidRPr="00092ED7">
              <w:rPr>
                <w:rFonts w:eastAsia="Times New Roman" w:cs="Times New Roman"/>
                <w:color w:val="000000"/>
                <w:sz w:val="20"/>
                <w:szCs w:val="20"/>
                <w:lang w:val="sr-Cyrl-CS"/>
              </w:rPr>
              <w:t>420</w:t>
            </w:r>
            <w:r w:rsidRPr="00092ED7">
              <w:rPr>
                <w:rFonts w:eastAsia="Times New Roman" w:cs="Times New Roman"/>
                <w:color w:val="000000"/>
                <w:sz w:val="20"/>
                <w:szCs w:val="20"/>
                <w:lang w:val="sr-Cyrl-CS"/>
              </w:rPr>
              <w:t>.</w:t>
            </w:r>
            <w:r w:rsidR="007E4C33" w:rsidRPr="00092ED7">
              <w:rPr>
                <w:rFonts w:eastAsia="Times New Roman" w:cs="Times New Roman"/>
                <w:color w:val="000000"/>
                <w:sz w:val="20"/>
                <w:szCs w:val="20"/>
                <w:lang w:val="sr-Cyrl-CS"/>
              </w:rPr>
              <w:t>000</w:t>
            </w:r>
            <w:r w:rsidRPr="00092ED7">
              <w:rPr>
                <w:rFonts w:eastAsia="Times New Roman" w:cs="Times New Roman"/>
                <w:color w:val="000000"/>
                <w:sz w:val="20"/>
                <w:szCs w:val="20"/>
                <w:lang w:val="sr-Cyrl-CS"/>
              </w:rPr>
              <w:t>,</w:t>
            </w:r>
            <w:r w:rsidR="007E4C33" w:rsidRPr="00092ED7">
              <w:rPr>
                <w:rFonts w:eastAsia="Times New Roman" w:cs="Times New Roman"/>
                <w:color w:val="000000"/>
                <w:sz w:val="20"/>
                <w:szCs w:val="20"/>
                <w:lang w:val="sr-Cyrl-CS"/>
              </w:rPr>
              <w:t>00</w:t>
            </w:r>
          </w:p>
        </w:tc>
        <w:tc>
          <w:tcPr>
            <w:tcW w:w="1628" w:type="dxa"/>
            <w:tcBorders>
              <w:top w:val="nil"/>
              <w:left w:val="nil"/>
              <w:bottom w:val="single" w:sz="8" w:space="0" w:color="auto"/>
              <w:right w:val="single" w:sz="8" w:space="0" w:color="auto"/>
            </w:tcBorders>
            <w:shd w:val="clear" w:color="auto" w:fill="auto"/>
            <w:noWrap/>
            <w:vAlign w:val="center"/>
            <w:hideMark/>
          </w:tcPr>
          <w:p w14:paraId="3AC2FCD3" w14:textId="4CCBB270" w:rsidR="008D7C20" w:rsidRPr="00092ED7" w:rsidRDefault="007E4C33">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15</w:t>
            </w:r>
            <w:r w:rsidR="008D7C20" w:rsidRPr="00092ED7">
              <w:rPr>
                <w:rFonts w:eastAsia="Times New Roman" w:cs="Times New Roman"/>
                <w:color w:val="000000"/>
                <w:sz w:val="20"/>
                <w:szCs w:val="20"/>
                <w:lang w:val="sr-Cyrl-CS"/>
              </w:rPr>
              <w:t>.</w:t>
            </w:r>
            <w:r w:rsidRPr="00092ED7">
              <w:rPr>
                <w:rFonts w:eastAsia="Times New Roman" w:cs="Times New Roman"/>
                <w:color w:val="000000"/>
                <w:sz w:val="20"/>
                <w:szCs w:val="20"/>
                <w:lang w:val="sr-Cyrl-CS"/>
              </w:rPr>
              <w:t>420</w:t>
            </w:r>
            <w:r w:rsidR="008D7C20" w:rsidRPr="00092ED7">
              <w:rPr>
                <w:rFonts w:eastAsia="Times New Roman" w:cs="Times New Roman"/>
                <w:color w:val="000000"/>
                <w:sz w:val="20"/>
                <w:szCs w:val="20"/>
                <w:lang w:val="sr-Cyrl-CS"/>
              </w:rPr>
              <w:t>.</w:t>
            </w:r>
            <w:r w:rsidRPr="00092ED7">
              <w:rPr>
                <w:rFonts w:eastAsia="Times New Roman" w:cs="Times New Roman"/>
                <w:color w:val="000000"/>
                <w:sz w:val="20"/>
                <w:szCs w:val="20"/>
                <w:lang w:val="sr-Cyrl-CS"/>
              </w:rPr>
              <w:t>000</w:t>
            </w:r>
            <w:r w:rsidR="008D7C20" w:rsidRPr="00092ED7">
              <w:rPr>
                <w:rFonts w:eastAsia="Times New Roman" w:cs="Times New Roman"/>
                <w:color w:val="000000"/>
                <w:sz w:val="20"/>
                <w:szCs w:val="20"/>
                <w:lang w:val="sr-Cyrl-CS"/>
              </w:rPr>
              <w:t>,</w:t>
            </w:r>
            <w:r w:rsidRPr="00092ED7">
              <w:rPr>
                <w:rFonts w:eastAsia="Times New Roman" w:cs="Times New Roman"/>
                <w:color w:val="000000"/>
                <w:sz w:val="20"/>
                <w:szCs w:val="20"/>
                <w:lang w:val="sr-Cyrl-CS"/>
              </w:rPr>
              <w:t>00</w:t>
            </w:r>
          </w:p>
        </w:tc>
      </w:tr>
      <w:tr w:rsidR="00FD090A" w:rsidRPr="00092ED7" w14:paraId="6572C346"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2D1BDFE4"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2024</w:t>
            </w:r>
          </w:p>
        </w:tc>
        <w:tc>
          <w:tcPr>
            <w:tcW w:w="1290" w:type="dxa"/>
            <w:tcBorders>
              <w:top w:val="nil"/>
              <w:left w:val="nil"/>
              <w:bottom w:val="single" w:sz="8" w:space="0" w:color="auto"/>
              <w:right w:val="single" w:sz="8" w:space="0" w:color="auto"/>
            </w:tcBorders>
            <w:shd w:val="clear" w:color="auto" w:fill="auto"/>
            <w:noWrap/>
            <w:vAlign w:val="center"/>
            <w:hideMark/>
          </w:tcPr>
          <w:p w14:paraId="2168EC78"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750" w:type="dxa"/>
            <w:tcBorders>
              <w:top w:val="nil"/>
              <w:left w:val="nil"/>
              <w:bottom w:val="single" w:sz="8" w:space="0" w:color="auto"/>
              <w:right w:val="single" w:sz="8" w:space="0" w:color="auto"/>
            </w:tcBorders>
            <w:shd w:val="clear" w:color="auto" w:fill="auto"/>
            <w:noWrap/>
            <w:vAlign w:val="center"/>
            <w:hideMark/>
          </w:tcPr>
          <w:p w14:paraId="51448BBD" w14:textId="77777777" w:rsidR="008D7C20" w:rsidRPr="00092ED7" w:rsidRDefault="008D7C20" w:rsidP="008D7C20">
            <w:pPr>
              <w:spacing w:after="0"/>
              <w:jc w:val="right"/>
              <w:rPr>
                <w:rFonts w:eastAsia="Times New Roman" w:cs="Times New Roman"/>
                <w:sz w:val="20"/>
                <w:szCs w:val="20"/>
                <w:lang w:val="sr-Cyrl-CS"/>
              </w:rPr>
            </w:pPr>
            <w:r w:rsidRPr="00092ED7">
              <w:rPr>
                <w:rFonts w:eastAsia="Times New Roman" w:cs="Times New Roman"/>
                <w:sz w:val="20"/>
                <w:szCs w:val="20"/>
                <w:lang w:val="sr-Cyrl-CS"/>
              </w:rPr>
              <w:t>0</w:t>
            </w:r>
          </w:p>
        </w:tc>
        <w:tc>
          <w:tcPr>
            <w:tcW w:w="1624" w:type="dxa"/>
            <w:tcBorders>
              <w:top w:val="nil"/>
              <w:left w:val="nil"/>
              <w:bottom w:val="single" w:sz="8" w:space="0" w:color="auto"/>
              <w:right w:val="single" w:sz="8" w:space="0" w:color="auto"/>
            </w:tcBorders>
            <w:shd w:val="clear" w:color="auto" w:fill="auto"/>
            <w:noWrap/>
            <w:vAlign w:val="center"/>
            <w:hideMark/>
          </w:tcPr>
          <w:p w14:paraId="4DB1AAD3"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38" w:type="dxa"/>
            <w:tcBorders>
              <w:top w:val="nil"/>
              <w:left w:val="nil"/>
              <w:bottom w:val="single" w:sz="8" w:space="0" w:color="auto"/>
              <w:right w:val="single" w:sz="8" w:space="0" w:color="auto"/>
            </w:tcBorders>
            <w:shd w:val="clear" w:color="auto" w:fill="auto"/>
            <w:noWrap/>
            <w:vAlign w:val="center"/>
            <w:hideMark/>
          </w:tcPr>
          <w:p w14:paraId="33F34056" w14:textId="6F076611" w:rsidR="008D7C20" w:rsidRPr="00092ED7" w:rsidRDefault="008D7C20" w:rsidP="00AB4B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2</w:t>
            </w:r>
            <w:r w:rsidR="007E4C33" w:rsidRPr="00092ED7">
              <w:rPr>
                <w:rFonts w:eastAsia="Times New Roman" w:cs="Times New Roman"/>
                <w:color w:val="000000"/>
                <w:sz w:val="20"/>
                <w:szCs w:val="20"/>
                <w:lang w:val="sr-Cyrl-CS"/>
              </w:rPr>
              <w:t>7</w:t>
            </w:r>
            <w:r w:rsidRPr="00092ED7">
              <w:rPr>
                <w:rFonts w:eastAsia="Times New Roman" w:cs="Times New Roman"/>
                <w:color w:val="000000"/>
                <w:sz w:val="20"/>
                <w:szCs w:val="20"/>
                <w:lang w:val="sr-Cyrl-CS"/>
              </w:rPr>
              <w:t>.</w:t>
            </w:r>
            <w:r w:rsidR="007E4C33" w:rsidRPr="00092ED7">
              <w:rPr>
                <w:rFonts w:eastAsia="Times New Roman" w:cs="Times New Roman"/>
                <w:color w:val="000000"/>
                <w:sz w:val="20"/>
                <w:szCs w:val="20"/>
                <w:lang w:val="sr-Cyrl-CS"/>
              </w:rPr>
              <w:t>080</w:t>
            </w:r>
            <w:r w:rsidRPr="00092ED7">
              <w:rPr>
                <w:rFonts w:eastAsia="Times New Roman" w:cs="Times New Roman"/>
                <w:color w:val="000000"/>
                <w:sz w:val="20"/>
                <w:szCs w:val="20"/>
                <w:lang w:val="sr-Cyrl-CS"/>
              </w:rPr>
              <w:t>.</w:t>
            </w:r>
            <w:r w:rsidR="007E4C33" w:rsidRPr="00092ED7">
              <w:rPr>
                <w:rFonts w:eastAsia="Times New Roman" w:cs="Times New Roman"/>
                <w:color w:val="000000"/>
                <w:sz w:val="20"/>
                <w:szCs w:val="20"/>
                <w:lang w:val="sr-Cyrl-CS"/>
              </w:rPr>
              <w:t>000</w:t>
            </w:r>
            <w:r w:rsidRPr="00092ED7">
              <w:rPr>
                <w:rFonts w:eastAsia="Times New Roman" w:cs="Times New Roman"/>
                <w:color w:val="000000"/>
                <w:sz w:val="20"/>
                <w:szCs w:val="20"/>
                <w:lang w:val="sr-Cyrl-CS"/>
              </w:rPr>
              <w:t>,</w:t>
            </w:r>
            <w:r w:rsidR="007E4C33" w:rsidRPr="00092ED7">
              <w:rPr>
                <w:rFonts w:eastAsia="Times New Roman" w:cs="Times New Roman"/>
                <w:color w:val="000000"/>
                <w:sz w:val="20"/>
                <w:szCs w:val="20"/>
                <w:lang w:val="sr-Cyrl-CS"/>
              </w:rPr>
              <w:t>00</w:t>
            </w:r>
          </w:p>
        </w:tc>
        <w:tc>
          <w:tcPr>
            <w:tcW w:w="1628" w:type="dxa"/>
            <w:tcBorders>
              <w:top w:val="nil"/>
              <w:left w:val="nil"/>
              <w:bottom w:val="single" w:sz="8" w:space="0" w:color="auto"/>
              <w:right w:val="single" w:sz="8" w:space="0" w:color="auto"/>
            </w:tcBorders>
            <w:shd w:val="clear" w:color="auto" w:fill="auto"/>
            <w:noWrap/>
            <w:vAlign w:val="center"/>
            <w:hideMark/>
          </w:tcPr>
          <w:p w14:paraId="15F7FB5C" w14:textId="7DEB0022" w:rsidR="008D7C20" w:rsidRPr="00092ED7" w:rsidRDefault="008D7C20" w:rsidP="00A06899">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2</w:t>
            </w:r>
            <w:r w:rsidR="007E4C33" w:rsidRPr="00092ED7">
              <w:rPr>
                <w:rFonts w:eastAsia="Times New Roman" w:cs="Times New Roman"/>
                <w:color w:val="000000"/>
                <w:sz w:val="20"/>
                <w:szCs w:val="20"/>
                <w:lang w:val="sr-Cyrl-CS"/>
              </w:rPr>
              <w:t>7</w:t>
            </w:r>
            <w:r w:rsidRPr="00092ED7">
              <w:rPr>
                <w:rFonts w:eastAsia="Times New Roman" w:cs="Times New Roman"/>
                <w:color w:val="000000"/>
                <w:sz w:val="20"/>
                <w:szCs w:val="20"/>
                <w:lang w:val="sr-Cyrl-CS"/>
              </w:rPr>
              <w:t>.</w:t>
            </w:r>
            <w:r w:rsidR="007E4C33" w:rsidRPr="00092ED7">
              <w:rPr>
                <w:rFonts w:eastAsia="Times New Roman" w:cs="Times New Roman"/>
                <w:color w:val="000000"/>
                <w:sz w:val="20"/>
                <w:szCs w:val="20"/>
                <w:lang w:val="sr-Cyrl-CS"/>
              </w:rPr>
              <w:t>080</w:t>
            </w:r>
            <w:r w:rsidRPr="00092ED7">
              <w:rPr>
                <w:rFonts w:eastAsia="Times New Roman" w:cs="Times New Roman"/>
                <w:color w:val="000000"/>
                <w:sz w:val="20"/>
                <w:szCs w:val="20"/>
                <w:lang w:val="sr-Cyrl-CS"/>
              </w:rPr>
              <w:t>.</w:t>
            </w:r>
            <w:r w:rsidR="007E4C33" w:rsidRPr="00092ED7">
              <w:rPr>
                <w:rFonts w:eastAsia="Times New Roman" w:cs="Times New Roman"/>
                <w:color w:val="000000"/>
                <w:sz w:val="20"/>
                <w:szCs w:val="20"/>
                <w:lang w:val="sr-Cyrl-CS"/>
              </w:rPr>
              <w:t>000</w:t>
            </w:r>
            <w:r w:rsidRPr="00092ED7">
              <w:rPr>
                <w:rFonts w:eastAsia="Times New Roman" w:cs="Times New Roman"/>
                <w:color w:val="000000"/>
                <w:sz w:val="20"/>
                <w:szCs w:val="20"/>
                <w:lang w:val="sr-Cyrl-CS"/>
              </w:rPr>
              <w:t>,</w:t>
            </w:r>
            <w:r w:rsidR="007E4C33" w:rsidRPr="00092ED7">
              <w:rPr>
                <w:rFonts w:eastAsia="Times New Roman" w:cs="Times New Roman"/>
                <w:color w:val="000000"/>
                <w:sz w:val="20"/>
                <w:szCs w:val="20"/>
                <w:lang w:val="sr-Cyrl-CS"/>
              </w:rPr>
              <w:t>00</w:t>
            </w:r>
          </w:p>
        </w:tc>
      </w:tr>
      <w:tr w:rsidR="00FD090A" w:rsidRPr="00092ED7" w14:paraId="5A1FD8A6"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7EBA3FE0"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2025</w:t>
            </w:r>
          </w:p>
        </w:tc>
        <w:tc>
          <w:tcPr>
            <w:tcW w:w="1290" w:type="dxa"/>
            <w:tcBorders>
              <w:top w:val="nil"/>
              <w:left w:val="nil"/>
              <w:bottom w:val="single" w:sz="8" w:space="0" w:color="auto"/>
              <w:right w:val="single" w:sz="8" w:space="0" w:color="auto"/>
            </w:tcBorders>
            <w:shd w:val="clear" w:color="auto" w:fill="auto"/>
            <w:noWrap/>
            <w:vAlign w:val="center"/>
            <w:hideMark/>
          </w:tcPr>
          <w:p w14:paraId="4A316059"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750" w:type="dxa"/>
            <w:tcBorders>
              <w:top w:val="nil"/>
              <w:left w:val="nil"/>
              <w:bottom w:val="single" w:sz="8" w:space="0" w:color="auto"/>
              <w:right w:val="single" w:sz="8" w:space="0" w:color="auto"/>
            </w:tcBorders>
            <w:shd w:val="clear" w:color="auto" w:fill="auto"/>
            <w:noWrap/>
            <w:vAlign w:val="center"/>
            <w:hideMark/>
          </w:tcPr>
          <w:p w14:paraId="634A066E" w14:textId="77777777" w:rsidR="008D7C20" w:rsidRPr="00092ED7" w:rsidRDefault="008D7C20" w:rsidP="008D7C20">
            <w:pPr>
              <w:spacing w:after="0"/>
              <w:jc w:val="right"/>
              <w:rPr>
                <w:rFonts w:eastAsia="Times New Roman" w:cs="Times New Roman"/>
                <w:sz w:val="20"/>
                <w:szCs w:val="20"/>
                <w:lang w:val="sr-Cyrl-CS"/>
              </w:rPr>
            </w:pPr>
            <w:r w:rsidRPr="00092ED7">
              <w:rPr>
                <w:rFonts w:eastAsia="Times New Roman" w:cs="Times New Roman"/>
                <w:sz w:val="20"/>
                <w:szCs w:val="20"/>
                <w:lang w:val="sr-Cyrl-CS"/>
              </w:rPr>
              <w:t>0</w:t>
            </w:r>
          </w:p>
        </w:tc>
        <w:tc>
          <w:tcPr>
            <w:tcW w:w="1624" w:type="dxa"/>
            <w:tcBorders>
              <w:top w:val="nil"/>
              <w:left w:val="nil"/>
              <w:bottom w:val="single" w:sz="8" w:space="0" w:color="auto"/>
              <w:right w:val="single" w:sz="8" w:space="0" w:color="auto"/>
            </w:tcBorders>
            <w:shd w:val="clear" w:color="auto" w:fill="auto"/>
            <w:noWrap/>
            <w:vAlign w:val="center"/>
            <w:hideMark/>
          </w:tcPr>
          <w:p w14:paraId="29E58A78"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38" w:type="dxa"/>
            <w:tcBorders>
              <w:top w:val="nil"/>
              <w:left w:val="nil"/>
              <w:bottom w:val="single" w:sz="8" w:space="0" w:color="auto"/>
              <w:right w:val="single" w:sz="8" w:space="0" w:color="auto"/>
            </w:tcBorders>
            <w:shd w:val="clear" w:color="auto" w:fill="auto"/>
            <w:noWrap/>
            <w:vAlign w:val="center"/>
            <w:hideMark/>
          </w:tcPr>
          <w:p w14:paraId="65FDF5A2"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20.000.000,00</w:t>
            </w:r>
          </w:p>
        </w:tc>
        <w:tc>
          <w:tcPr>
            <w:tcW w:w="1628" w:type="dxa"/>
            <w:tcBorders>
              <w:top w:val="nil"/>
              <w:left w:val="nil"/>
              <w:bottom w:val="single" w:sz="8" w:space="0" w:color="auto"/>
              <w:right w:val="single" w:sz="8" w:space="0" w:color="auto"/>
            </w:tcBorders>
            <w:shd w:val="clear" w:color="auto" w:fill="auto"/>
            <w:noWrap/>
            <w:vAlign w:val="center"/>
            <w:hideMark/>
          </w:tcPr>
          <w:p w14:paraId="5AC53219"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20.000.000,00</w:t>
            </w:r>
          </w:p>
        </w:tc>
      </w:tr>
      <w:tr w:rsidR="008D7C20" w:rsidRPr="00092ED7" w14:paraId="0184C878" w14:textId="77777777" w:rsidTr="007C54E3">
        <w:trPr>
          <w:trHeight w:val="330"/>
        </w:trPr>
        <w:tc>
          <w:tcPr>
            <w:tcW w:w="9006" w:type="dxa"/>
            <w:gridSpan w:val="6"/>
            <w:tcBorders>
              <w:top w:val="single" w:sz="8" w:space="0" w:color="auto"/>
              <w:left w:val="single" w:sz="8" w:space="0" w:color="auto"/>
              <w:bottom w:val="single" w:sz="8" w:space="0" w:color="auto"/>
              <w:right w:val="single" w:sz="8" w:space="0" w:color="auto"/>
            </w:tcBorders>
            <w:shd w:val="clear" w:color="000000" w:fill="D0CECE"/>
            <w:noWrap/>
            <w:vAlign w:val="center"/>
            <w:hideMark/>
          </w:tcPr>
          <w:p w14:paraId="12C743E8" w14:textId="77777777" w:rsidR="008D7C20" w:rsidRPr="00092ED7" w:rsidRDefault="008D7C20" w:rsidP="008D7C20">
            <w:pPr>
              <w:spacing w:after="0"/>
              <w:jc w:val="left"/>
              <w:rPr>
                <w:rFonts w:eastAsia="Times New Roman" w:cs="Times New Roman"/>
                <w:b/>
                <w:bCs/>
                <w:sz w:val="20"/>
                <w:szCs w:val="20"/>
                <w:lang w:val="sr-Cyrl-CS"/>
              </w:rPr>
            </w:pPr>
            <w:r w:rsidRPr="00092ED7">
              <w:rPr>
                <w:rFonts w:eastAsia="Times New Roman" w:cs="Times New Roman"/>
                <w:b/>
                <w:bCs/>
                <w:sz w:val="20"/>
                <w:szCs w:val="20"/>
                <w:lang w:val="sr-Cyrl-CS"/>
              </w:rPr>
              <w:t>16. Развој стартап екосистема</w:t>
            </w:r>
          </w:p>
        </w:tc>
      </w:tr>
      <w:tr w:rsidR="00FD090A" w:rsidRPr="00092ED7" w14:paraId="40EB4B70"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5E0B4503"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b/>
                <w:bCs/>
                <w:sz w:val="20"/>
                <w:szCs w:val="20"/>
                <w:lang w:val="sr-Cyrl-CS"/>
              </w:rPr>
              <w:t>Година</w:t>
            </w:r>
          </w:p>
        </w:tc>
        <w:tc>
          <w:tcPr>
            <w:tcW w:w="1290" w:type="dxa"/>
            <w:tcBorders>
              <w:top w:val="nil"/>
              <w:left w:val="nil"/>
              <w:bottom w:val="single" w:sz="8" w:space="0" w:color="auto"/>
              <w:right w:val="single" w:sz="8" w:space="0" w:color="auto"/>
            </w:tcBorders>
            <w:shd w:val="clear" w:color="auto" w:fill="auto"/>
            <w:noWrap/>
            <w:vAlign w:val="center"/>
            <w:hideMark/>
          </w:tcPr>
          <w:p w14:paraId="71635E60"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Плате</w:t>
            </w:r>
          </w:p>
        </w:tc>
        <w:tc>
          <w:tcPr>
            <w:tcW w:w="1750" w:type="dxa"/>
            <w:tcBorders>
              <w:top w:val="nil"/>
              <w:left w:val="nil"/>
              <w:bottom w:val="single" w:sz="8" w:space="0" w:color="auto"/>
              <w:right w:val="single" w:sz="8" w:space="0" w:color="auto"/>
            </w:tcBorders>
            <w:shd w:val="clear" w:color="auto" w:fill="auto"/>
            <w:noWrap/>
            <w:vAlign w:val="center"/>
            <w:hideMark/>
          </w:tcPr>
          <w:p w14:paraId="0C288FD3"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Добра и услуге</w:t>
            </w:r>
          </w:p>
        </w:tc>
        <w:tc>
          <w:tcPr>
            <w:tcW w:w="1624" w:type="dxa"/>
            <w:tcBorders>
              <w:top w:val="nil"/>
              <w:left w:val="nil"/>
              <w:bottom w:val="single" w:sz="8" w:space="0" w:color="auto"/>
              <w:right w:val="single" w:sz="8" w:space="0" w:color="auto"/>
            </w:tcBorders>
            <w:shd w:val="clear" w:color="auto" w:fill="auto"/>
            <w:noWrap/>
            <w:vAlign w:val="center"/>
            <w:hideMark/>
          </w:tcPr>
          <w:p w14:paraId="0B224A60"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Субвенције и трансфери</w:t>
            </w:r>
          </w:p>
        </w:tc>
        <w:tc>
          <w:tcPr>
            <w:tcW w:w="1538" w:type="dxa"/>
            <w:tcBorders>
              <w:top w:val="nil"/>
              <w:left w:val="nil"/>
              <w:bottom w:val="single" w:sz="8" w:space="0" w:color="auto"/>
              <w:right w:val="single" w:sz="8" w:space="0" w:color="auto"/>
            </w:tcBorders>
            <w:shd w:val="clear" w:color="auto" w:fill="auto"/>
            <w:noWrap/>
            <w:vAlign w:val="center"/>
            <w:hideMark/>
          </w:tcPr>
          <w:p w14:paraId="3D8C0B9C"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Капитални расходи</w:t>
            </w:r>
          </w:p>
        </w:tc>
        <w:tc>
          <w:tcPr>
            <w:tcW w:w="1628" w:type="dxa"/>
            <w:tcBorders>
              <w:top w:val="nil"/>
              <w:left w:val="nil"/>
              <w:bottom w:val="single" w:sz="8" w:space="0" w:color="auto"/>
              <w:right w:val="single" w:sz="8" w:space="0" w:color="auto"/>
            </w:tcBorders>
            <w:shd w:val="clear" w:color="auto" w:fill="auto"/>
            <w:noWrap/>
            <w:vAlign w:val="center"/>
            <w:hideMark/>
          </w:tcPr>
          <w:p w14:paraId="40A62521"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Укупно</w:t>
            </w:r>
          </w:p>
        </w:tc>
      </w:tr>
      <w:tr w:rsidR="00FD090A" w:rsidRPr="00092ED7" w14:paraId="04C1B9D0"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1DB9E979"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2023</w:t>
            </w:r>
          </w:p>
        </w:tc>
        <w:tc>
          <w:tcPr>
            <w:tcW w:w="1290" w:type="dxa"/>
            <w:tcBorders>
              <w:top w:val="nil"/>
              <w:left w:val="nil"/>
              <w:bottom w:val="single" w:sz="8" w:space="0" w:color="auto"/>
              <w:right w:val="single" w:sz="8" w:space="0" w:color="auto"/>
            </w:tcBorders>
            <w:shd w:val="clear" w:color="auto" w:fill="auto"/>
            <w:noWrap/>
            <w:vAlign w:val="center"/>
            <w:hideMark/>
          </w:tcPr>
          <w:p w14:paraId="003E7C03"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750" w:type="dxa"/>
            <w:tcBorders>
              <w:top w:val="nil"/>
              <w:left w:val="nil"/>
              <w:bottom w:val="single" w:sz="8" w:space="0" w:color="auto"/>
              <w:right w:val="single" w:sz="8" w:space="0" w:color="auto"/>
            </w:tcBorders>
            <w:shd w:val="clear" w:color="auto" w:fill="auto"/>
            <w:noWrap/>
            <w:vAlign w:val="center"/>
            <w:hideMark/>
          </w:tcPr>
          <w:p w14:paraId="78282347" w14:textId="77777777" w:rsidR="008D7C20" w:rsidRPr="00092ED7" w:rsidRDefault="008D7C20" w:rsidP="008D7C20">
            <w:pPr>
              <w:spacing w:after="0"/>
              <w:jc w:val="right"/>
              <w:rPr>
                <w:rFonts w:eastAsia="Times New Roman" w:cs="Times New Roman"/>
                <w:sz w:val="20"/>
                <w:szCs w:val="20"/>
                <w:lang w:val="sr-Cyrl-CS"/>
              </w:rPr>
            </w:pPr>
            <w:r w:rsidRPr="00092ED7">
              <w:rPr>
                <w:rFonts w:eastAsia="Times New Roman" w:cs="Times New Roman"/>
                <w:sz w:val="20"/>
                <w:szCs w:val="20"/>
                <w:lang w:val="sr-Cyrl-CS"/>
              </w:rPr>
              <w:t>3.000.000,00</w:t>
            </w:r>
          </w:p>
        </w:tc>
        <w:tc>
          <w:tcPr>
            <w:tcW w:w="1624" w:type="dxa"/>
            <w:tcBorders>
              <w:top w:val="nil"/>
              <w:left w:val="nil"/>
              <w:bottom w:val="single" w:sz="8" w:space="0" w:color="auto"/>
              <w:right w:val="single" w:sz="8" w:space="0" w:color="auto"/>
            </w:tcBorders>
            <w:shd w:val="clear" w:color="auto" w:fill="auto"/>
            <w:noWrap/>
            <w:vAlign w:val="center"/>
            <w:hideMark/>
          </w:tcPr>
          <w:p w14:paraId="36DE50BC"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12.168.749,33</w:t>
            </w:r>
          </w:p>
        </w:tc>
        <w:tc>
          <w:tcPr>
            <w:tcW w:w="1538" w:type="dxa"/>
            <w:tcBorders>
              <w:top w:val="nil"/>
              <w:left w:val="nil"/>
              <w:bottom w:val="single" w:sz="8" w:space="0" w:color="auto"/>
              <w:right w:val="single" w:sz="8" w:space="0" w:color="auto"/>
            </w:tcBorders>
            <w:shd w:val="clear" w:color="auto" w:fill="auto"/>
            <w:noWrap/>
            <w:vAlign w:val="center"/>
            <w:hideMark/>
          </w:tcPr>
          <w:p w14:paraId="09CBFA6B"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28" w:type="dxa"/>
            <w:tcBorders>
              <w:top w:val="nil"/>
              <w:left w:val="nil"/>
              <w:bottom w:val="single" w:sz="8" w:space="0" w:color="auto"/>
              <w:right w:val="single" w:sz="8" w:space="0" w:color="auto"/>
            </w:tcBorders>
            <w:shd w:val="clear" w:color="auto" w:fill="auto"/>
            <w:noWrap/>
            <w:vAlign w:val="center"/>
            <w:hideMark/>
          </w:tcPr>
          <w:p w14:paraId="71527E3C"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15.168.749,33</w:t>
            </w:r>
          </w:p>
        </w:tc>
      </w:tr>
      <w:tr w:rsidR="00FD090A" w:rsidRPr="00092ED7" w14:paraId="241503E4"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17021757"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2024</w:t>
            </w:r>
          </w:p>
        </w:tc>
        <w:tc>
          <w:tcPr>
            <w:tcW w:w="1290" w:type="dxa"/>
            <w:tcBorders>
              <w:top w:val="nil"/>
              <w:left w:val="nil"/>
              <w:bottom w:val="single" w:sz="8" w:space="0" w:color="auto"/>
              <w:right w:val="single" w:sz="8" w:space="0" w:color="auto"/>
            </w:tcBorders>
            <w:shd w:val="clear" w:color="auto" w:fill="auto"/>
            <w:noWrap/>
            <w:vAlign w:val="center"/>
            <w:hideMark/>
          </w:tcPr>
          <w:p w14:paraId="46460F9D"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750" w:type="dxa"/>
            <w:tcBorders>
              <w:top w:val="nil"/>
              <w:left w:val="nil"/>
              <w:bottom w:val="single" w:sz="8" w:space="0" w:color="auto"/>
              <w:right w:val="single" w:sz="8" w:space="0" w:color="auto"/>
            </w:tcBorders>
            <w:shd w:val="clear" w:color="auto" w:fill="auto"/>
            <w:noWrap/>
            <w:vAlign w:val="center"/>
            <w:hideMark/>
          </w:tcPr>
          <w:p w14:paraId="08D1DDEB" w14:textId="77777777" w:rsidR="008D7C20" w:rsidRPr="00092ED7" w:rsidRDefault="008D7C20" w:rsidP="008D7C20">
            <w:pPr>
              <w:spacing w:after="0"/>
              <w:jc w:val="right"/>
              <w:rPr>
                <w:rFonts w:eastAsia="Times New Roman" w:cs="Times New Roman"/>
                <w:sz w:val="20"/>
                <w:szCs w:val="20"/>
                <w:lang w:val="sr-Cyrl-CS"/>
              </w:rPr>
            </w:pPr>
            <w:r w:rsidRPr="00092ED7">
              <w:rPr>
                <w:rFonts w:eastAsia="Times New Roman" w:cs="Times New Roman"/>
                <w:sz w:val="20"/>
                <w:szCs w:val="20"/>
                <w:lang w:val="sr-Cyrl-CS"/>
              </w:rPr>
              <w:t>2.900.000,00</w:t>
            </w:r>
          </w:p>
        </w:tc>
        <w:tc>
          <w:tcPr>
            <w:tcW w:w="1624" w:type="dxa"/>
            <w:tcBorders>
              <w:top w:val="nil"/>
              <w:left w:val="nil"/>
              <w:bottom w:val="single" w:sz="8" w:space="0" w:color="auto"/>
              <w:right w:val="single" w:sz="8" w:space="0" w:color="auto"/>
            </w:tcBorders>
            <w:shd w:val="clear" w:color="auto" w:fill="auto"/>
            <w:noWrap/>
            <w:vAlign w:val="center"/>
            <w:hideMark/>
          </w:tcPr>
          <w:p w14:paraId="763B38B7"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12.168.749,33</w:t>
            </w:r>
          </w:p>
        </w:tc>
        <w:tc>
          <w:tcPr>
            <w:tcW w:w="1538" w:type="dxa"/>
            <w:tcBorders>
              <w:top w:val="nil"/>
              <w:left w:val="nil"/>
              <w:bottom w:val="single" w:sz="8" w:space="0" w:color="auto"/>
              <w:right w:val="single" w:sz="8" w:space="0" w:color="auto"/>
            </w:tcBorders>
            <w:shd w:val="clear" w:color="auto" w:fill="auto"/>
            <w:noWrap/>
            <w:vAlign w:val="center"/>
            <w:hideMark/>
          </w:tcPr>
          <w:p w14:paraId="58FBB519"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28" w:type="dxa"/>
            <w:tcBorders>
              <w:top w:val="nil"/>
              <w:left w:val="nil"/>
              <w:bottom w:val="single" w:sz="8" w:space="0" w:color="auto"/>
              <w:right w:val="single" w:sz="8" w:space="0" w:color="auto"/>
            </w:tcBorders>
            <w:shd w:val="clear" w:color="auto" w:fill="auto"/>
            <w:noWrap/>
            <w:vAlign w:val="center"/>
            <w:hideMark/>
          </w:tcPr>
          <w:p w14:paraId="4B5F5A38"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15.068.749,33</w:t>
            </w:r>
          </w:p>
        </w:tc>
      </w:tr>
      <w:tr w:rsidR="00FD090A" w:rsidRPr="00092ED7" w14:paraId="5DEDDCD1"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55430ABB"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2025</w:t>
            </w:r>
          </w:p>
        </w:tc>
        <w:tc>
          <w:tcPr>
            <w:tcW w:w="1290" w:type="dxa"/>
            <w:tcBorders>
              <w:top w:val="nil"/>
              <w:left w:val="nil"/>
              <w:bottom w:val="single" w:sz="8" w:space="0" w:color="auto"/>
              <w:right w:val="single" w:sz="8" w:space="0" w:color="auto"/>
            </w:tcBorders>
            <w:shd w:val="clear" w:color="auto" w:fill="auto"/>
            <w:noWrap/>
            <w:vAlign w:val="center"/>
            <w:hideMark/>
          </w:tcPr>
          <w:p w14:paraId="07FF9E06"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750" w:type="dxa"/>
            <w:tcBorders>
              <w:top w:val="nil"/>
              <w:left w:val="nil"/>
              <w:bottom w:val="single" w:sz="8" w:space="0" w:color="auto"/>
              <w:right w:val="single" w:sz="8" w:space="0" w:color="auto"/>
            </w:tcBorders>
            <w:shd w:val="clear" w:color="auto" w:fill="auto"/>
            <w:noWrap/>
            <w:vAlign w:val="center"/>
            <w:hideMark/>
          </w:tcPr>
          <w:p w14:paraId="745E09D8" w14:textId="77777777" w:rsidR="008D7C20" w:rsidRPr="00092ED7" w:rsidRDefault="008D7C20" w:rsidP="008D7C20">
            <w:pPr>
              <w:spacing w:after="0"/>
              <w:jc w:val="right"/>
              <w:rPr>
                <w:rFonts w:eastAsia="Times New Roman" w:cs="Times New Roman"/>
                <w:sz w:val="20"/>
                <w:szCs w:val="20"/>
                <w:lang w:val="sr-Cyrl-CS"/>
              </w:rPr>
            </w:pPr>
            <w:r w:rsidRPr="00092ED7">
              <w:rPr>
                <w:rFonts w:eastAsia="Times New Roman" w:cs="Times New Roman"/>
                <w:sz w:val="20"/>
                <w:szCs w:val="20"/>
                <w:lang w:val="sr-Cyrl-CS"/>
              </w:rPr>
              <w:t>0</w:t>
            </w:r>
          </w:p>
        </w:tc>
        <w:tc>
          <w:tcPr>
            <w:tcW w:w="1624" w:type="dxa"/>
            <w:tcBorders>
              <w:top w:val="nil"/>
              <w:left w:val="nil"/>
              <w:bottom w:val="single" w:sz="8" w:space="0" w:color="auto"/>
              <w:right w:val="single" w:sz="8" w:space="0" w:color="auto"/>
            </w:tcBorders>
            <w:shd w:val="clear" w:color="auto" w:fill="auto"/>
            <w:noWrap/>
            <w:vAlign w:val="center"/>
            <w:hideMark/>
          </w:tcPr>
          <w:p w14:paraId="56AC901D"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9.003.230,00</w:t>
            </w:r>
          </w:p>
        </w:tc>
        <w:tc>
          <w:tcPr>
            <w:tcW w:w="1538" w:type="dxa"/>
            <w:tcBorders>
              <w:top w:val="nil"/>
              <w:left w:val="nil"/>
              <w:bottom w:val="single" w:sz="8" w:space="0" w:color="auto"/>
              <w:right w:val="single" w:sz="8" w:space="0" w:color="auto"/>
            </w:tcBorders>
            <w:shd w:val="clear" w:color="auto" w:fill="auto"/>
            <w:noWrap/>
            <w:vAlign w:val="center"/>
            <w:hideMark/>
          </w:tcPr>
          <w:p w14:paraId="35219110"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28" w:type="dxa"/>
            <w:tcBorders>
              <w:top w:val="nil"/>
              <w:left w:val="nil"/>
              <w:bottom w:val="single" w:sz="8" w:space="0" w:color="auto"/>
              <w:right w:val="single" w:sz="8" w:space="0" w:color="auto"/>
            </w:tcBorders>
            <w:shd w:val="clear" w:color="auto" w:fill="auto"/>
            <w:noWrap/>
            <w:vAlign w:val="center"/>
            <w:hideMark/>
          </w:tcPr>
          <w:p w14:paraId="63C6D532"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9.003.230,00</w:t>
            </w:r>
          </w:p>
        </w:tc>
      </w:tr>
      <w:tr w:rsidR="008D7C20" w:rsidRPr="00092ED7" w14:paraId="0B494366" w14:textId="77777777" w:rsidTr="00EE16E2">
        <w:trPr>
          <w:trHeight w:val="330"/>
        </w:trPr>
        <w:tc>
          <w:tcPr>
            <w:tcW w:w="0" w:type="auto"/>
            <w:gridSpan w:val="6"/>
            <w:tcBorders>
              <w:top w:val="single" w:sz="8" w:space="0" w:color="auto"/>
              <w:left w:val="single" w:sz="8" w:space="0" w:color="auto"/>
              <w:bottom w:val="single" w:sz="8" w:space="0" w:color="auto"/>
              <w:right w:val="single" w:sz="8" w:space="0" w:color="000000"/>
            </w:tcBorders>
            <w:shd w:val="clear" w:color="000000" w:fill="D0CECE"/>
            <w:vAlign w:val="center"/>
            <w:hideMark/>
          </w:tcPr>
          <w:p w14:paraId="093D2F39" w14:textId="77777777" w:rsidR="008D7C20" w:rsidRPr="00092ED7" w:rsidRDefault="008D7C20" w:rsidP="008D7C20">
            <w:pPr>
              <w:spacing w:after="0"/>
              <w:jc w:val="left"/>
              <w:rPr>
                <w:rFonts w:eastAsia="Times New Roman" w:cs="Times New Roman"/>
                <w:b/>
                <w:bCs/>
                <w:sz w:val="20"/>
                <w:szCs w:val="20"/>
                <w:lang w:val="sr-Cyrl-CS"/>
              </w:rPr>
            </w:pPr>
            <w:r w:rsidRPr="00092ED7">
              <w:rPr>
                <w:rFonts w:eastAsia="Times New Roman" w:cs="Times New Roman"/>
                <w:b/>
                <w:bCs/>
                <w:sz w:val="20"/>
                <w:szCs w:val="20"/>
                <w:lang w:val="sr-Cyrl-CS"/>
              </w:rPr>
              <w:t>17. Стварање услова за развој бионаука и биоекономије кроз изградњу БИО4 Кампуса</w:t>
            </w:r>
          </w:p>
        </w:tc>
      </w:tr>
      <w:tr w:rsidR="00FD090A" w:rsidRPr="00092ED7" w14:paraId="123D0D6A"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14AB618C"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b/>
                <w:bCs/>
                <w:sz w:val="20"/>
                <w:szCs w:val="20"/>
                <w:lang w:val="sr-Cyrl-CS"/>
              </w:rPr>
              <w:t>Година</w:t>
            </w:r>
          </w:p>
        </w:tc>
        <w:tc>
          <w:tcPr>
            <w:tcW w:w="1290" w:type="dxa"/>
            <w:tcBorders>
              <w:top w:val="nil"/>
              <w:left w:val="nil"/>
              <w:bottom w:val="single" w:sz="8" w:space="0" w:color="auto"/>
              <w:right w:val="single" w:sz="8" w:space="0" w:color="auto"/>
            </w:tcBorders>
            <w:shd w:val="clear" w:color="auto" w:fill="auto"/>
            <w:noWrap/>
            <w:vAlign w:val="center"/>
            <w:hideMark/>
          </w:tcPr>
          <w:p w14:paraId="0DC9E1E6"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Плате</w:t>
            </w:r>
          </w:p>
        </w:tc>
        <w:tc>
          <w:tcPr>
            <w:tcW w:w="1750" w:type="dxa"/>
            <w:tcBorders>
              <w:top w:val="nil"/>
              <w:left w:val="nil"/>
              <w:bottom w:val="single" w:sz="8" w:space="0" w:color="auto"/>
              <w:right w:val="single" w:sz="8" w:space="0" w:color="auto"/>
            </w:tcBorders>
            <w:shd w:val="clear" w:color="auto" w:fill="auto"/>
            <w:noWrap/>
            <w:vAlign w:val="center"/>
            <w:hideMark/>
          </w:tcPr>
          <w:p w14:paraId="14EBE436"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Добра и услуге</w:t>
            </w:r>
          </w:p>
        </w:tc>
        <w:tc>
          <w:tcPr>
            <w:tcW w:w="1624" w:type="dxa"/>
            <w:tcBorders>
              <w:top w:val="nil"/>
              <w:left w:val="nil"/>
              <w:bottom w:val="single" w:sz="8" w:space="0" w:color="auto"/>
              <w:right w:val="single" w:sz="8" w:space="0" w:color="auto"/>
            </w:tcBorders>
            <w:shd w:val="clear" w:color="auto" w:fill="auto"/>
            <w:noWrap/>
            <w:vAlign w:val="center"/>
            <w:hideMark/>
          </w:tcPr>
          <w:p w14:paraId="389EB32D"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Субвенције и трансфери</w:t>
            </w:r>
          </w:p>
        </w:tc>
        <w:tc>
          <w:tcPr>
            <w:tcW w:w="1538" w:type="dxa"/>
            <w:tcBorders>
              <w:top w:val="nil"/>
              <w:left w:val="nil"/>
              <w:bottom w:val="single" w:sz="8" w:space="0" w:color="auto"/>
              <w:right w:val="single" w:sz="8" w:space="0" w:color="auto"/>
            </w:tcBorders>
            <w:shd w:val="clear" w:color="auto" w:fill="auto"/>
            <w:noWrap/>
            <w:vAlign w:val="center"/>
            <w:hideMark/>
          </w:tcPr>
          <w:p w14:paraId="3B4C8ABB"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Капитални расходи</w:t>
            </w:r>
          </w:p>
        </w:tc>
        <w:tc>
          <w:tcPr>
            <w:tcW w:w="1628" w:type="dxa"/>
            <w:tcBorders>
              <w:top w:val="nil"/>
              <w:left w:val="nil"/>
              <w:bottom w:val="single" w:sz="8" w:space="0" w:color="auto"/>
              <w:right w:val="single" w:sz="8" w:space="0" w:color="auto"/>
            </w:tcBorders>
            <w:shd w:val="clear" w:color="auto" w:fill="auto"/>
            <w:noWrap/>
            <w:vAlign w:val="center"/>
            <w:hideMark/>
          </w:tcPr>
          <w:p w14:paraId="0273096B"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Укупно</w:t>
            </w:r>
          </w:p>
        </w:tc>
      </w:tr>
      <w:tr w:rsidR="00FD090A" w:rsidRPr="00092ED7" w14:paraId="2159BD9B"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4B38502F"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2023</w:t>
            </w:r>
          </w:p>
        </w:tc>
        <w:tc>
          <w:tcPr>
            <w:tcW w:w="1290" w:type="dxa"/>
            <w:tcBorders>
              <w:top w:val="nil"/>
              <w:left w:val="nil"/>
              <w:bottom w:val="single" w:sz="8" w:space="0" w:color="auto"/>
              <w:right w:val="single" w:sz="8" w:space="0" w:color="auto"/>
            </w:tcBorders>
            <w:shd w:val="clear" w:color="auto" w:fill="auto"/>
            <w:noWrap/>
            <w:vAlign w:val="center"/>
            <w:hideMark/>
          </w:tcPr>
          <w:p w14:paraId="4A690027"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750" w:type="dxa"/>
            <w:tcBorders>
              <w:top w:val="nil"/>
              <w:left w:val="nil"/>
              <w:bottom w:val="single" w:sz="8" w:space="0" w:color="auto"/>
              <w:right w:val="single" w:sz="8" w:space="0" w:color="auto"/>
            </w:tcBorders>
            <w:shd w:val="clear" w:color="auto" w:fill="auto"/>
            <w:noWrap/>
            <w:vAlign w:val="center"/>
            <w:hideMark/>
          </w:tcPr>
          <w:p w14:paraId="3937B348" w14:textId="77777777" w:rsidR="008D7C20" w:rsidRPr="00092ED7" w:rsidRDefault="008D7C20" w:rsidP="008D7C20">
            <w:pPr>
              <w:spacing w:after="0"/>
              <w:jc w:val="right"/>
              <w:rPr>
                <w:rFonts w:eastAsia="Times New Roman" w:cs="Times New Roman"/>
                <w:sz w:val="20"/>
                <w:szCs w:val="20"/>
                <w:lang w:val="sr-Cyrl-CS"/>
              </w:rPr>
            </w:pPr>
            <w:r w:rsidRPr="00092ED7">
              <w:rPr>
                <w:rFonts w:eastAsia="Times New Roman" w:cs="Times New Roman"/>
                <w:sz w:val="20"/>
                <w:szCs w:val="20"/>
                <w:lang w:val="sr-Cyrl-CS"/>
              </w:rPr>
              <w:t>101.115.000,00</w:t>
            </w:r>
          </w:p>
        </w:tc>
        <w:tc>
          <w:tcPr>
            <w:tcW w:w="1624" w:type="dxa"/>
            <w:tcBorders>
              <w:top w:val="nil"/>
              <w:left w:val="nil"/>
              <w:bottom w:val="single" w:sz="8" w:space="0" w:color="auto"/>
              <w:right w:val="single" w:sz="8" w:space="0" w:color="auto"/>
            </w:tcBorders>
            <w:shd w:val="clear" w:color="auto" w:fill="auto"/>
            <w:noWrap/>
            <w:vAlign w:val="center"/>
            <w:hideMark/>
          </w:tcPr>
          <w:p w14:paraId="28E5A634"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38" w:type="dxa"/>
            <w:tcBorders>
              <w:top w:val="nil"/>
              <w:left w:val="nil"/>
              <w:bottom w:val="single" w:sz="8" w:space="0" w:color="auto"/>
              <w:right w:val="single" w:sz="8" w:space="0" w:color="auto"/>
            </w:tcBorders>
            <w:shd w:val="clear" w:color="auto" w:fill="auto"/>
            <w:noWrap/>
            <w:vAlign w:val="center"/>
            <w:hideMark/>
          </w:tcPr>
          <w:p w14:paraId="0D25D297"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28" w:type="dxa"/>
            <w:tcBorders>
              <w:top w:val="nil"/>
              <w:left w:val="nil"/>
              <w:bottom w:val="single" w:sz="8" w:space="0" w:color="auto"/>
              <w:right w:val="single" w:sz="8" w:space="0" w:color="auto"/>
            </w:tcBorders>
            <w:shd w:val="clear" w:color="auto" w:fill="auto"/>
            <w:noWrap/>
            <w:vAlign w:val="center"/>
            <w:hideMark/>
          </w:tcPr>
          <w:p w14:paraId="7F0C9915"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101.115.000,00</w:t>
            </w:r>
          </w:p>
        </w:tc>
      </w:tr>
      <w:tr w:rsidR="00FD090A" w:rsidRPr="00092ED7" w14:paraId="27B83A09"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0ACBAA45"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2024</w:t>
            </w:r>
          </w:p>
        </w:tc>
        <w:tc>
          <w:tcPr>
            <w:tcW w:w="1290" w:type="dxa"/>
            <w:tcBorders>
              <w:top w:val="nil"/>
              <w:left w:val="nil"/>
              <w:bottom w:val="single" w:sz="8" w:space="0" w:color="auto"/>
              <w:right w:val="single" w:sz="8" w:space="0" w:color="auto"/>
            </w:tcBorders>
            <w:shd w:val="clear" w:color="auto" w:fill="auto"/>
            <w:noWrap/>
            <w:vAlign w:val="center"/>
            <w:hideMark/>
          </w:tcPr>
          <w:p w14:paraId="424FCD11"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750" w:type="dxa"/>
            <w:tcBorders>
              <w:top w:val="nil"/>
              <w:left w:val="nil"/>
              <w:bottom w:val="single" w:sz="8" w:space="0" w:color="auto"/>
              <w:right w:val="single" w:sz="8" w:space="0" w:color="auto"/>
            </w:tcBorders>
            <w:shd w:val="clear" w:color="auto" w:fill="auto"/>
            <w:noWrap/>
            <w:vAlign w:val="center"/>
            <w:hideMark/>
          </w:tcPr>
          <w:p w14:paraId="0A7AE144" w14:textId="77777777" w:rsidR="008D7C20" w:rsidRPr="00092ED7" w:rsidRDefault="008D7C20" w:rsidP="008D7C20">
            <w:pPr>
              <w:spacing w:after="0"/>
              <w:jc w:val="right"/>
              <w:rPr>
                <w:rFonts w:eastAsia="Times New Roman" w:cs="Times New Roman"/>
                <w:sz w:val="20"/>
                <w:szCs w:val="20"/>
                <w:lang w:val="sr-Cyrl-CS"/>
              </w:rPr>
            </w:pPr>
            <w:r w:rsidRPr="00092ED7">
              <w:rPr>
                <w:rFonts w:eastAsia="Times New Roman" w:cs="Times New Roman"/>
                <w:sz w:val="20"/>
                <w:szCs w:val="20"/>
                <w:lang w:val="sr-Cyrl-CS"/>
              </w:rPr>
              <w:t>101.115.000,00</w:t>
            </w:r>
          </w:p>
        </w:tc>
        <w:tc>
          <w:tcPr>
            <w:tcW w:w="1624" w:type="dxa"/>
            <w:tcBorders>
              <w:top w:val="nil"/>
              <w:left w:val="nil"/>
              <w:bottom w:val="single" w:sz="8" w:space="0" w:color="auto"/>
              <w:right w:val="single" w:sz="8" w:space="0" w:color="auto"/>
            </w:tcBorders>
            <w:shd w:val="clear" w:color="auto" w:fill="auto"/>
            <w:noWrap/>
            <w:vAlign w:val="center"/>
            <w:hideMark/>
          </w:tcPr>
          <w:p w14:paraId="2720AA3F"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38" w:type="dxa"/>
            <w:tcBorders>
              <w:top w:val="nil"/>
              <w:left w:val="nil"/>
              <w:bottom w:val="single" w:sz="8" w:space="0" w:color="auto"/>
              <w:right w:val="single" w:sz="8" w:space="0" w:color="auto"/>
            </w:tcBorders>
            <w:shd w:val="clear" w:color="auto" w:fill="auto"/>
            <w:noWrap/>
            <w:vAlign w:val="center"/>
            <w:hideMark/>
          </w:tcPr>
          <w:p w14:paraId="2B3003BC"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28" w:type="dxa"/>
            <w:tcBorders>
              <w:top w:val="nil"/>
              <w:left w:val="nil"/>
              <w:bottom w:val="single" w:sz="8" w:space="0" w:color="auto"/>
              <w:right w:val="single" w:sz="8" w:space="0" w:color="auto"/>
            </w:tcBorders>
            <w:shd w:val="clear" w:color="auto" w:fill="auto"/>
            <w:noWrap/>
            <w:vAlign w:val="center"/>
            <w:hideMark/>
          </w:tcPr>
          <w:p w14:paraId="6C0C1CC2"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101.115.000,00</w:t>
            </w:r>
          </w:p>
        </w:tc>
      </w:tr>
      <w:tr w:rsidR="00FD090A" w:rsidRPr="00092ED7" w14:paraId="1573E890"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619732F9"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2025</w:t>
            </w:r>
          </w:p>
        </w:tc>
        <w:tc>
          <w:tcPr>
            <w:tcW w:w="1290" w:type="dxa"/>
            <w:tcBorders>
              <w:top w:val="nil"/>
              <w:left w:val="nil"/>
              <w:bottom w:val="single" w:sz="8" w:space="0" w:color="auto"/>
              <w:right w:val="single" w:sz="8" w:space="0" w:color="auto"/>
            </w:tcBorders>
            <w:shd w:val="clear" w:color="auto" w:fill="auto"/>
            <w:noWrap/>
            <w:vAlign w:val="center"/>
            <w:hideMark/>
          </w:tcPr>
          <w:p w14:paraId="008B7425"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750" w:type="dxa"/>
            <w:tcBorders>
              <w:top w:val="nil"/>
              <w:left w:val="nil"/>
              <w:bottom w:val="single" w:sz="8" w:space="0" w:color="auto"/>
              <w:right w:val="single" w:sz="8" w:space="0" w:color="auto"/>
            </w:tcBorders>
            <w:shd w:val="clear" w:color="auto" w:fill="auto"/>
            <w:noWrap/>
            <w:vAlign w:val="center"/>
            <w:hideMark/>
          </w:tcPr>
          <w:p w14:paraId="00F36252" w14:textId="77777777" w:rsidR="008D7C20" w:rsidRPr="00092ED7" w:rsidRDefault="008D7C20" w:rsidP="008D7C20">
            <w:pPr>
              <w:spacing w:after="0"/>
              <w:jc w:val="right"/>
              <w:rPr>
                <w:rFonts w:eastAsia="Times New Roman" w:cs="Times New Roman"/>
                <w:sz w:val="20"/>
                <w:szCs w:val="20"/>
                <w:lang w:val="sr-Cyrl-CS"/>
              </w:rPr>
            </w:pPr>
            <w:r w:rsidRPr="00092ED7">
              <w:rPr>
                <w:rFonts w:eastAsia="Times New Roman" w:cs="Times New Roman"/>
                <w:sz w:val="20"/>
                <w:szCs w:val="20"/>
                <w:lang w:val="sr-Cyrl-CS"/>
              </w:rPr>
              <w:t>100.000.000,00</w:t>
            </w:r>
          </w:p>
        </w:tc>
        <w:tc>
          <w:tcPr>
            <w:tcW w:w="1624" w:type="dxa"/>
            <w:tcBorders>
              <w:top w:val="nil"/>
              <w:left w:val="nil"/>
              <w:bottom w:val="single" w:sz="8" w:space="0" w:color="auto"/>
              <w:right w:val="single" w:sz="8" w:space="0" w:color="auto"/>
            </w:tcBorders>
            <w:shd w:val="clear" w:color="auto" w:fill="auto"/>
            <w:noWrap/>
            <w:vAlign w:val="center"/>
            <w:hideMark/>
          </w:tcPr>
          <w:p w14:paraId="140FA415"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38" w:type="dxa"/>
            <w:tcBorders>
              <w:top w:val="nil"/>
              <w:left w:val="nil"/>
              <w:bottom w:val="single" w:sz="8" w:space="0" w:color="auto"/>
              <w:right w:val="single" w:sz="8" w:space="0" w:color="auto"/>
            </w:tcBorders>
            <w:shd w:val="clear" w:color="auto" w:fill="auto"/>
            <w:noWrap/>
            <w:vAlign w:val="center"/>
            <w:hideMark/>
          </w:tcPr>
          <w:p w14:paraId="371672C3"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28" w:type="dxa"/>
            <w:tcBorders>
              <w:top w:val="nil"/>
              <w:left w:val="nil"/>
              <w:bottom w:val="single" w:sz="8" w:space="0" w:color="auto"/>
              <w:right w:val="single" w:sz="8" w:space="0" w:color="auto"/>
            </w:tcBorders>
            <w:shd w:val="clear" w:color="auto" w:fill="auto"/>
            <w:noWrap/>
            <w:vAlign w:val="center"/>
            <w:hideMark/>
          </w:tcPr>
          <w:p w14:paraId="733D65B6"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100.000.000,00</w:t>
            </w:r>
          </w:p>
        </w:tc>
      </w:tr>
      <w:tr w:rsidR="008D7C20" w:rsidRPr="00092ED7" w14:paraId="0F7D898A" w14:textId="77777777" w:rsidTr="007C54E3">
        <w:trPr>
          <w:trHeight w:val="330"/>
        </w:trPr>
        <w:tc>
          <w:tcPr>
            <w:tcW w:w="9006" w:type="dxa"/>
            <w:gridSpan w:val="6"/>
            <w:tcBorders>
              <w:top w:val="single" w:sz="8" w:space="0" w:color="auto"/>
              <w:left w:val="single" w:sz="8" w:space="0" w:color="auto"/>
              <w:bottom w:val="single" w:sz="8" w:space="0" w:color="auto"/>
              <w:right w:val="single" w:sz="8" w:space="0" w:color="auto"/>
            </w:tcBorders>
            <w:shd w:val="clear" w:color="000000" w:fill="D0CECE"/>
            <w:noWrap/>
            <w:vAlign w:val="center"/>
            <w:hideMark/>
          </w:tcPr>
          <w:p w14:paraId="1AAD9017" w14:textId="77777777" w:rsidR="008D7C20" w:rsidRPr="00092ED7" w:rsidRDefault="008D7C20" w:rsidP="008D7C20">
            <w:pPr>
              <w:spacing w:after="0"/>
              <w:jc w:val="left"/>
              <w:rPr>
                <w:rFonts w:eastAsia="Times New Roman" w:cs="Times New Roman"/>
                <w:b/>
                <w:bCs/>
                <w:sz w:val="20"/>
                <w:szCs w:val="20"/>
                <w:lang w:val="sr-Cyrl-CS"/>
              </w:rPr>
            </w:pPr>
            <w:r w:rsidRPr="00092ED7">
              <w:rPr>
                <w:rFonts w:eastAsia="Times New Roman" w:cs="Times New Roman"/>
                <w:b/>
                <w:bCs/>
                <w:sz w:val="20"/>
                <w:szCs w:val="20"/>
                <w:lang w:val="sr-Cyrl-CS"/>
              </w:rPr>
              <w:t>18. Унапређење услова и уклањање препрека трговини</w:t>
            </w:r>
          </w:p>
        </w:tc>
      </w:tr>
      <w:tr w:rsidR="00FD090A" w:rsidRPr="00092ED7" w14:paraId="7E7E89DB"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5E123C09"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b/>
                <w:bCs/>
                <w:sz w:val="20"/>
                <w:szCs w:val="20"/>
                <w:lang w:val="sr-Cyrl-CS"/>
              </w:rPr>
              <w:t>Година</w:t>
            </w:r>
          </w:p>
        </w:tc>
        <w:tc>
          <w:tcPr>
            <w:tcW w:w="1290" w:type="dxa"/>
            <w:tcBorders>
              <w:top w:val="nil"/>
              <w:left w:val="nil"/>
              <w:bottom w:val="single" w:sz="8" w:space="0" w:color="auto"/>
              <w:right w:val="single" w:sz="8" w:space="0" w:color="auto"/>
            </w:tcBorders>
            <w:shd w:val="clear" w:color="auto" w:fill="auto"/>
            <w:noWrap/>
            <w:vAlign w:val="center"/>
            <w:hideMark/>
          </w:tcPr>
          <w:p w14:paraId="7C961B5A"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Плате</w:t>
            </w:r>
          </w:p>
        </w:tc>
        <w:tc>
          <w:tcPr>
            <w:tcW w:w="1750" w:type="dxa"/>
            <w:tcBorders>
              <w:top w:val="nil"/>
              <w:left w:val="nil"/>
              <w:bottom w:val="single" w:sz="8" w:space="0" w:color="auto"/>
              <w:right w:val="single" w:sz="8" w:space="0" w:color="auto"/>
            </w:tcBorders>
            <w:shd w:val="clear" w:color="auto" w:fill="auto"/>
            <w:noWrap/>
            <w:vAlign w:val="center"/>
            <w:hideMark/>
          </w:tcPr>
          <w:p w14:paraId="25A45617"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Добра и услуге</w:t>
            </w:r>
          </w:p>
        </w:tc>
        <w:tc>
          <w:tcPr>
            <w:tcW w:w="1624" w:type="dxa"/>
            <w:tcBorders>
              <w:top w:val="nil"/>
              <w:left w:val="nil"/>
              <w:bottom w:val="single" w:sz="8" w:space="0" w:color="auto"/>
              <w:right w:val="single" w:sz="8" w:space="0" w:color="auto"/>
            </w:tcBorders>
            <w:shd w:val="clear" w:color="auto" w:fill="auto"/>
            <w:noWrap/>
            <w:vAlign w:val="center"/>
            <w:hideMark/>
          </w:tcPr>
          <w:p w14:paraId="2C8776B7"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Субвенције и трансфери</w:t>
            </w:r>
          </w:p>
        </w:tc>
        <w:tc>
          <w:tcPr>
            <w:tcW w:w="1538" w:type="dxa"/>
            <w:tcBorders>
              <w:top w:val="nil"/>
              <w:left w:val="nil"/>
              <w:bottom w:val="single" w:sz="8" w:space="0" w:color="auto"/>
              <w:right w:val="single" w:sz="8" w:space="0" w:color="auto"/>
            </w:tcBorders>
            <w:shd w:val="clear" w:color="auto" w:fill="auto"/>
            <w:noWrap/>
            <w:vAlign w:val="center"/>
            <w:hideMark/>
          </w:tcPr>
          <w:p w14:paraId="63E21375"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Капитални расходи</w:t>
            </w:r>
          </w:p>
        </w:tc>
        <w:tc>
          <w:tcPr>
            <w:tcW w:w="1628" w:type="dxa"/>
            <w:tcBorders>
              <w:top w:val="nil"/>
              <w:left w:val="nil"/>
              <w:bottom w:val="single" w:sz="8" w:space="0" w:color="auto"/>
              <w:right w:val="single" w:sz="8" w:space="0" w:color="auto"/>
            </w:tcBorders>
            <w:shd w:val="clear" w:color="auto" w:fill="auto"/>
            <w:noWrap/>
            <w:vAlign w:val="center"/>
            <w:hideMark/>
          </w:tcPr>
          <w:p w14:paraId="73116C8E"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Укупно</w:t>
            </w:r>
          </w:p>
        </w:tc>
      </w:tr>
      <w:tr w:rsidR="00FD090A" w:rsidRPr="00092ED7" w14:paraId="0C584CA8"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577B8394"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2023</w:t>
            </w:r>
          </w:p>
        </w:tc>
        <w:tc>
          <w:tcPr>
            <w:tcW w:w="1290" w:type="dxa"/>
            <w:tcBorders>
              <w:top w:val="nil"/>
              <w:left w:val="nil"/>
              <w:bottom w:val="single" w:sz="8" w:space="0" w:color="auto"/>
              <w:right w:val="single" w:sz="8" w:space="0" w:color="auto"/>
            </w:tcBorders>
            <w:shd w:val="clear" w:color="auto" w:fill="auto"/>
            <w:noWrap/>
            <w:vAlign w:val="center"/>
            <w:hideMark/>
          </w:tcPr>
          <w:p w14:paraId="3873A9B2"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17.670,00</w:t>
            </w:r>
          </w:p>
        </w:tc>
        <w:tc>
          <w:tcPr>
            <w:tcW w:w="1750" w:type="dxa"/>
            <w:tcBorders>
              <w:top w:val="nil"/>
              <w:left w:val="nil"/>
              <w:bottom w:val="single" w:sz="8" w:space="0" w:color="auto"/>
              <w:right w:val="single" w:sz="8" w:space="0" w:color="auto"/>
            </w:tcBorders>
            <w:shd w:val="clear" w:color="auto" w:fill="auto"/>
            <w:noWrap/>
            <w:vAlign w:val="center"/>
            <w:hideMark/>
          </w:tcPr>
          <w:p w14:paraId="4841DED7" w14:textId="77777777" w:rsidR="008D7C20" w:rsidRPr="00092ED7" w:rsidRDefault="008D7C20" w:rsidP="008D7C20">
            <w:pPr>
              <w:spacing w:after="0"/>
              <w:jc w:val="right"/>
              <w:rPr>
                <w:rFonts w:eastAsia="Times New Roman" w:cs="Times New Roman"/>
                <w:sz w:val="20"/>
                <w:szCs w:val="20"/>
                <w:lang w:val="sr-Cyrl-CS"/>
              </w:rPr>
            </w:pPr>
            <w:r w:rsidRPr="00092ED7">
              <w:rPr>
                <w:rFonts w:eastAsia="Times New Roman" w:cs="Times New Roman"/>
                <w:sz w:val="20"/>
                <w:szCs w:val="20"/>
                <w:lang w:val="sr-Cyrl-CS"/>
              </w:rPr>
              <w:t>42.100,00</w:t>
            </w:r>
          </w:p>
        </w:tc>
        <w:tc>
          <w:tcPr>
            <w:tcW w:w="1624" w:type="dxa"/>
            <w:tcBorders>
              <w:top w:val="nil"/>
              <w:left w:val="nil"/>
              <w:bottom w:val="single" w:sz="8" w:space="0" w:color="auto"/>
              <w:right w:val="single" w:sz="8" w:space="0" w:color="auto"/>
            </w:tcBorders>
            <w:shd w:val="clear" w:color="auto" w:fill="auto"/>
            <w:noWrap/>
            <w:vAlign w:val="center"/>
            <w:hideMark/>
          </w:tcPr>
          <w:p w14:paraId="220EBB65"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38" w:type="dxa"/>
            <w:tcBorders>
              <w:top w:val="nil"/>
              <w:left w:val="nil"/>
              <w:bottom w:val="single" w:sz="8" w:space="0" w:color="auto"/>
              <w:right w:val="single" w:sz="8" w:space="0" w:color="auto"/>
            </w:tcBorders>
            <w:shd w:val="clear" w:color="auto" w:fill="auto"/>
            <w:noWrap/>
            <w:vAlign w:val="center"/>
            <w:hideMark/>
          </w:tcPr>
          <w:p w14:paraId="2A37CAA3"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28" w:type="dxa"/>
            <w:tcBorders>
              <w:top w:val="nil"/>
              <w:left w:val="nil"/>
              <w:bottom w:val="single" w:sz="8" w:space="0" w:color="auto"/>
              <w:right w:val="single" w:sz="8" w:space="0" w:color="auto"/>
            </w:tcBorders>
            <w:shd w:val="clear" w:color="auto" w:fill="auto"/>
            <w:noWrap/>
            <w:vAlign w:val="center"/>
            <w:hideMark/>
          </w:tcPr>
          <w:p w14:paraId="3965AADA"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59.770,00</w:t>
            </w:r>
          </w:p>
        </w:tc>
      </w:tr>
      <w:tr w:rsidR="00FD090A" w:rsidRPr="00092ED7" w14:paraId="6ABE4528"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32818C3E"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2024</w:t>
            </w:r>
          </w:p>
        </w:tc>
        <w:tc>
          <w:tcPr>
            <w:tcW w:w="1290" w:type="dxa"/>
            <w:tcBorders>
              <w:top w:val="nil"/>
              <w:left w:val="nil"/>
              <w:bottom w:val="single" w:sz="8" w:space="0" w:color="auto"/>
              <w:right w:val="single" w:sz="8" w:space="0" w:color="auto"/>
            </w:tcBorders>
            <w:shd w:val="clear" w:color="auto" w:fill="auto"/>
            <w:noWrap/>
            <w:vAlign w:val="center"/>
            <w:hideMark/>
          </w:tcPr>
          <w:p w14:paraId="2EEDFDBE"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17.670,00</w:t>
            </w:r>
          </w:p>
        </w:tc>
        <w:tc>
          <w:tcPr>
            <w:tcW w:w="1750" w:type="dxa"/>
            <w:tcBorders>
              <w:top w:val="nil"/>
              <w:left w:val="nil"/>
              <w:bottom w:val="single" w:sz="8" w:space="0" w:color="auto"/>
              <w:right w:val="single" w:sz="8" w:space="0" w:color="auto"/>
            </w:tcBorders>
            <w:shd w:val="clear" w:color="auto" w:fill="auto"/>
            <w:noWrap/>
            <w:vAlign w:val="center"/>
            <w:hideMark/>
          </w:tcPr>
          <w:p w14:paraId="7B2C25FB" w14:textId="77777777" w:rsidR="008D7C20" w:rsidRPr="00092ED7" w:rsidRDefault="008D7C20" w:rsidP="008D7C20">
            <w:pPr>
              <w:spacing w:after="0"/>
              <w:jc w:val="right"/>
              <w:rPr>
                <w:rFonts w:eastAsia="Times New Roman" w:cs="Times New Roman"/>
                <w:sz w:val="20"/>
                <w:szCs w:val="20"/>
                <w:lang w:val="sr-Cyrl-CS"/>
              </w:rPr>
            </w:pPr>
            <w:r w:rsidRPr="00092ED7">
              <w:rPr>
                <w:rFonts w:eastAsia="Times New Roman" w:cs="Times New Roman"/>
                <w:sz w:val="20"/>
                <w:szCs w:val="20"/>
                <w:lang w:val="sr-Cyrl-CS"/>
              </w:rPr>
              <w:t>17.100,00</w:t>
            </w:r>
          </w:p>
        </w:tc>
        <w:tc>
          <w:tcPr>
            <w:tcW w:w="1624" w:type="dxa"/>
            <w:tcBorders>
              <w:top w:val="nil"/>
              <w:left w:val="nil"/>
              <w:bottom w:val="single" w:sz="8" w:space="0" w:color="auto"/>
              <w:right w:val="single" w:sz="8" w:space="0" w:color="auto"/>
            </w:tcBorders>
            <w:shd w:val="clear" w:color="auto" w:fill="auto"/>
            <w:noWrap/>
            <w:vAlign w:val="center"/>
            <w:hideMark/>
          </w:tcPr>
          <w:p w14:paraId="67BA04B8"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38" w:type="dxa"/>
            <w:tcBorders>
              <w:top w:val="nil"/>
              <w:left w:val="nil"/>
              <w:bottom w:val="single" w:sz="8" w:space="0" w:color="auto"/>
              <w:right w:val="single" w:sz="8" w:space="0" w:color="auto"/>
            </w:tcBorders>
            <w:shd w:val="clear" w:color="auto" w:fill="auto"/>
            <w:noWrap/>
            <w:vAlign w:val="center"/>
            <w:hideMark/>
          </w:tcPr>
          <w:p w14:paraId="6653EE78"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28" w:type="dxa"/>
            <w:tcBorders>
              <w:top w:val="nil"/>
              <w:left w:val="nil"/>
              <w:bottom w:val="single" w:sz="8" w:space="0" w:color="auto"/>
              <w:right w:val="single" w:sz="8" w:space="0" w:color="auto"/>
            </w:tcBorders>
            <w:shd w:val="clear" w:color="auto" w:fill="auto"/>
            <w:noWrap/>
            <w:vAlign w:val="center"/>
            <w:hideMark/>
          </w:tcPr>
          <w:p w14:paraId="3CF05373"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34.770,00</w:t>
            </w:r>
          </w:p>
        </w:tc>
      </w:tr>
      <w:tr w:rsidR="00FD090A" w:rsidRPr="00092ED7" w14:paraId="18AEC5FC"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206FFC54"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2025</w:t>
            </w:r>
          </w:p>
        </w:tc>
        <w:tc>
          <w:tcPr>
            <w:tcW w:w="1290" w:type="dxa"/>
            <w:tcBorders>
              <w:top w:val="nil"/>
              <w:left w:val="nil"/>
              <w:bottom w:val="single" w:sz="8" w:space="0" w:color="auto"/>
              <w:right w:val="single" w:sz="8" w:space="0" w:color="auto"/>
            </w:tcBorders>
            <w:shd w:val="clear" w:color="auto" w:fill="auto"/>
            <w:noWrap/>
            <w:vAlign w:val="center"/>
            <w:hideMark/>
          </w:tcPr>
          <w:p w14:paraId="032FF278"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17.670,00</w:t>
            </w:r>
          </w:p>
        </w:tc>
        <w:tc>
          <w:tcPr>
            <w:tcW w:w="1750" w:type="dxa"/>
            <w:tcBorders>
              <w:top w:val="nil"/>
              <w:left w:val="nil"/>
              <w:bottom w:val="single" w:sz="8" w:space="0" w:color="auto"/>
              <w:right w:val="single" w:sz="8" w:space="0" w:color="auto"/>
            </w:tcBorders>
            <w:shd w:val="clear" w:color="auto" w:fill="auto"/>
            <w:noWrap/>
            <w:vAlign w:val="center"/>
            <w:hideMark/>
          </w:tcPr>
          <w:p w14:paraId="617591CD" w14:textId="77777777" w:rsidR="008D7C20" w:rsidRPr="00092ED7" w:rsidRDefault="008D7C20" w:rsidP="008D7C20">
            <w:pPr>
              <w:spacing w:after="0"/>
              <w:jc w:val="right"/>
              <w:rPr>
                <w:rFonts w:eastAsia="Times New Roman" w:cs="Times New Roman"/>
                <w:sz w:val="20"/>
                <w:szCs w:val="20"/>
                <w:lang w:val="sr-Cyrl-CS"/>
              </w:rPr>
            </w:pPr>
            <w:r w:rsidRPr="00092ED7">
              <w:rPr>
                <w:rFonts w:eastAsia="Times New Roman" w:cs="Times New Roman"/>
                <w:sz w:val="20"/>
                <w:szCs w:val="20"/>
                <w:lang w:val="sr-Cyrl-CS"/>
              </w:rPr>
              <w:t>2.100,00</w:t>
            </w:r>
          </w:p>
        </w:tc>
        <w:tc>
          <w:tcPr>
            <w:tcW w:w="1624" w:type="dxa"/>
            <w:tcBorders>
              <w:top w:val="nil"/>
              <w:left w:val="nil"/>
              <w:bottom w:val="single" w:sz="8" w:space="0" w:color="auto"/>
              <w:right w:val="single" w:sz="8" w:space="0" w:color="auto"/>
            </w:tcBorders>
            <w:shd w:val="clear" w:color="auto" w:fill="auto"/>
            <w:noWrap/>
            <w:vAlign w:val="center"/>
            <w:hideMark/>
          </w:tcPr>
          <w:p w14:paraId="766745C1"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38" w:type="dxa"/>
            <w:tcBorders>
              <w:top w:val="nil"/>
              <w:left w:val="nil"/>
              <w:bottom w:val="single" w:sz="8" w:space="0" w:color="auto"/>
              <w:right w:val="single" w:sz="8" w:space="0" w:color="auto"/>
            </w:tcBorders>
            <w:shd w:val="clear" w:color="auto" w:fill="auto"/>
            <w:noWrap/>
            <w:vAlign w:val="center"/>
            <w:hideMark/>
          </w:tcPr>
          <w:p w14:paraId="72EBFD9D"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28" w:type="dxa"/>
            <w:tcBorders>
              <w:top w:val="nil"/>
              <w:left w:val="nil"/>
              <w:bottom w:val="single" w:sz="8" w:space="0" w:color="auto"/>
              <w:right w:val="single" w:sz="8" w:space="0" w:color="auto"/>
            </w:tcBorders>
            <w:shd w:val="clear" w:color="auto" w:fill="auto"/>
            <w:noWrap/>
            <w:vAlign w:val="center"/>
            <w:hideMark/>
          </w:tcPr>
          <w:p w14:paraId="626D5DA7"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19.770,00</w:t>
            </w:r>
          </w:p>
        </w:tc>
      </w:tr>
      <w:tr w:rsidR="008D7C20" w:rsidRPr="00092ED7" w14:paraId="5C9FCC65" w14:textId="77777777" w:rsidTr="007C54E3">
        <w:trPr>
          <w:trHeight w:val="330"/>
        </w:trPr>
        <w:tc>
          <w:tcPr>
            <w:tcW w:w="9006" w:type="dxa"/>
            <w:gridSpan w:val="6"/>
            <w:tcBorders>
              <w:top w:val="single" w:sz="8" w:space="0" w:color="auto"/>
              <w:left w:val="single" w:sz="8" w:space="0" w:color="auto"/>
              <w:bottom w:val="single" w:sz="8" w:space="0" w:color="auto"/>
              <w:right w:val="single" w:sz="8" w:space="0" w:color="auto"/>
            </w:tcBorders>
            <w:shd w:val="clear" w:color="000000" w:fill="D0CECE"/>
            <w:noWrap/>
            <w:vAlign w:val="center"/>
            <w:hideMark/>
          </w:tcPr>
          <w:p w14:paraId="03EE00C2" w14:textId="77777777" w:rsidR="008D7C20" w:rsidRPr="00092ED7" w:rsidRDefault="008D7C20" w:rsidP="008D7C20">
            <w:pPr>
              <w:spacing w:after="0"/>
              <w:jc w:val="left"/>
              <w:rPr>
                <w:rFonts w:eastAsia="Times New Roman" w:cs="Times New Roman"/>
                <w:b/>
                <w:bCs/>
                <w:sz w:val="20"/>
                <w:szCs w:val="20"/>
                <w:lang w:val="sr-Cyrl-CS"/>
              </w:rPr>
            </w:pPr>
            <w:r w:rsidRPr="00092ED7">
              <w:rPr>
                <w:rFonts w:eastAsia="Times New Roman" w:cs="Times New Roman"/>
                <w:b/>
                <w:bCs/>
                <w:sz w:val="20"/>
                <w:szCs w:val="20"/>
                <w:lang w:val="sr-Cyrl-CS"/>
              </w:rPr>
              <w:t>19. Унапређење ефикасности и безбедности у железничком саобраћају</w:t>
            </w:r>
          </w:p>
        </w:tc>
      </w:tr>
      <w:tr w:rsidR="00FD090A" w:rsidRPr="00092ED7" w14:paraId="0D06A52E"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79712830"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b/>
                <w:bCs/>
                <w:sz w:val="20"/>
                <w:szCs w:val="20"/>
                <w:lang w:val="sr-Cyrl-CS"/>
              </w:rPr>
              <w:t>Година</w:t>
            </w:r>
          </w:p>
        </w:tc>
        <w:tc>
          <w:tcPr>
            <w:tcW w:w="1290" w:type="dxa"/>
            <w:tcBorders>
              <w:top w:val="nil"/>
              <w:left w:val="nil"/>
              <w:bottom w:val="single" w:sz="8" w:space="0" w:color="auto"/>
              <w:right w:val="single" w:sz="8" w:space="0" w:color="auto"/>
            </w:tcBorders>
            <w:shd w:val="clear" w:color="auto" w:fill="auto"/>
            <w:noWrap/>
            <w:vAlign w:val="center"/>
            <w:hideMark/>
          </w:tcPr>
          <w:p w14:paraId="051FB00E"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Плате</w:t>
            </w:r>
          </w:p>
        </w:tc>
        <w:tc>
          <w:tcPr>
            <w:tcW w:w="1750" w:type="dxa"/>
            <w:tcBorders>
              <w:top w:val="nil"/>
              <w:left w:val="nil"/>
              <w:bottom w:val="single" w:sz="8" w:space="0" w:color="auto"/>
              <w:right w:val="single" w:sz="8" w:space="0" w:color="auto"/>
            </w:tcBorders>
            <w:shd w:val="clear" w:color="auto" w:fill="auto"/>
            <w:noWrap/>
            <w:vAlign w:val="center"/>
            <w:hideMark/>
          </w:tcPr>
          <w:p w14:paraId="2BB1AAE1"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Добра и услуге</w:t>
            </w:r>
          </w:p>
        </w:tc>
        <w:tc>
          <w:tcPr>
            <w:tcW w:w="1624" w:type="dxa"/>
            <w:tcBorders>
              <w:top w:val="nil"/>
              <w:left w:val="nil"/>
              <w:bottom w:val="single" w:sz="8" w:space="0" w:color="auto"/>
              <w:right w:val="single" w:sz="8" w:space="0" w:color="auto"/>
            </w:tcBorders>
            <w:shd w:val="clear" w:color="auto" w:fill="auto"/>
            <w:noWrap/>
            <w:vAlign w:val="center"/>
            <w:hideMark/>
          </w:tcPr>
          <w:p w14:paraId="59F55081"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Субвенције и трансфери</w:t>
            </w:r>
          </w:p>
        </w:tc>
        <w:tc>
          <w:tcPr>
            <w:tcW w:w="1538" w:type="dxa"/>
            <w:tcBorders>
              <w:top w:val="nil"/>
              <w:left w:val="nil"/>
              <w:bottom w:val="single" w:sz="8" w:space="0" w:color="auto"/>
              <w:right w:val="single" w:sz="8" w:space="0" w:color="auto"/>
            </w:tcBorders>
            <w:shd w:val="clear" w:color="auto" w:fill="auto"/>
            <w:noWrap/>
            <w:vAlign w:val="center"/>
            <w:hideMark/>
          </w:tcPr>
          <w:p w14:paraId="331E4BBE"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Капитални расходи</w:t>
            </w:r>
          </w:p>
        </w:tc>
        <w:tc>
          <w:tcPr>
            <w:tcW w:w="1628" w:type="dxa"/>
            <w:tcBorders>
              <w:top w:val="nil"/>
              <w:left w:val="nil"/>
              <w:bottom w:val="single" w:sz="8" w:space="0" w:color="auto"/>
              <w:right w:val="single" w:sz="8" w:space="0" w:color="auto"/>
            </w:tcBorders>
            <w:shd w:val="clear" w:color="auto" w:fill="auto"/>
            <w:noWrap/>
            <w:vAlign w:val="center"/>
            <w:hideMark/>
          </w:tcPr>
          <w:p w14:paraId="2C4C7A90"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Укупно</w:t>
            </w:r>
          </w:p>
        </w:tc>
      </w:tr>
      <w:tr w:rsidR="00FD090A" w:rsidRPr="00092ED7" w14:paraId="3385372E"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52FB9865"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2023</w:t>
            </w:r>
          </w:p>
        </w:tc>
        <w:tc>
          <w:tcPr>
            <w:tcW w:w="1290" w:type="dxa"/>
            <w:tcBorders>
              <w:top w:val="nil"/>
              <w:left w:val="nil"/>
              <w:bottom w:val="single" w:sz="8" w:space="0" w:color="auto"/>
              <w:right w:val="single" w:sz="8" w:space="0" w:color="auto"/>
            </w:tcBorders>
            <w:shd w:val="clear" w:color="auto" w:fill="auto"/>
            <w:noWrap/>
            <w:vAlign w:val="center"/>
            <w:hideMark/>
          </w:tcPr>
          <w:p w14:paraId="19124DDC"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750" w:type="dxa"/>
            <w:tcBorders>
              <w:top w:val="nil"/>
              <w:left w:val="nil"/>
              <w:bottom w:val="single" w:sz="8" w:space="0" w:color="auto"/>
              <w:right w:val="single" w:sz="8" w:space="0" w:color="auto"/>
            </w:tcBorders>
            <w:shd w:val="clear" w:color="auto" w:fill="auto"/>
            <w:noWrap/>
            <w:vAlign w:val="center"/>
            <w:hideMark/>
          </w:tcPr>
          <w:p w14:paraId="6E41AB5D" w14:textId="77777777" w:rsidR="008D7C20" w:rsidRPr="00092ED7" w:rsidRDefault="008D7C20" w:rsidP="008D7C20">
            <w:pPr>
              <w:spacing w:after="0"/>
              <w:jc w:val="right"/>
              <w:rPr>
                <w:rFonts w:eastAsia="Times New Roman" w:cs="Times New Roman"/>
                <w:sz w:val="20"/>
                <w:szCs w:val="20"/>
                <w:lang w:val="sr-Cyrl-CS"/>
              </w:rPr>
            </w:pPr>
            <w:r w:rsidRPr="00092ED7">
              <w:rPr>
                <w:rFonts w:eastAsia="Times New Roman" w:cs="Times New Roman"/>
                <w:sz w:val="20"/>
                <w:szCs w:val="20"/>
                <w:lang w:val="sr-Cyrl-CS"/>
              </w:rPr>
              <w:t>48.937,00</w:t>
            </w:r>
          </w:p>
        </w:tc>
        <w:tc>
          <w:tcPr>
            <w:tcW w:w="1624" w:type="dxa"/>
            <w:tcBorders>
              <w:top w:val="nil"/>
              <w:left w:val="nil"/>
              <w:bottom w:val="single" w:sz="8" w:space="0" w:color="auto"/>
              <w:right w:val="single" w:sz="8" w:space="0" w:color="auto"/>
            </w:tcBorders>
            <w:shd w:val="clear" w:color="auto" w:fill="auto"/>
            <w:noWrap/>
            <w:vAlign w:val="center"/>
            <w:hideMark/>
          </w:tcPr>
          <w:p w14:paraId="685802B2"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3.333.333,33</w:t>
            </w:r>
          </w:p>
        </w:tc>
        <w:tc>
          <w:tcPr>
            <w:tcW w:w="1538" w:type="dxa"/>
            <w:tcBorders>
              <w:top w:val="nil"/>
              <w:left w:val="nil"/>
              <w:bottom w:val="single" w:sz="8" w:space="0" w:color="auto"/>
              <w:right w:val="single" w:sz="8" w:space="0" w:color="auto"/>
            </w:tcBorders>
            <w:shd w:val="clear" w:color="auto" w:fill="auto"/>
            <w:noWrap/>
            <w:vAlign w:val="center"/>
            <w:hideMark/>
          </w:tcPr>
          <w:p w14:paraId="136C66DF"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14.283.333,00</w:t>
            </w:r>
          </w:p>
        </w:tc>
        <w:tc>
          <w:tcPr>
            <w:tcW w:w="1628" w:type="dxa"/>
            <w:tcBorders>
              <w:top w:val="nil"/>
              <w:left w:val="nil"/>
              <w:bottom w:val="single" w:sz="8" w:space="0" w:color="auto"/>
              <w:right w:val="single" w:sz="8" w:space="0" w:color="auto"/>
            </w:tcBorders>
            <w:shd w:val="clear" w:color="auto" w:fill="auto"/>
            <w:noWrap/>
            <w:vAlign w:val="center"/>
            <w:hideMark/>
          </w:tcPr>
          <w:p w14:paraId="40B32452"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17.665.603,33</w:t>
            </w:r>
          </w:p>
        </w:tc>
      </w:tr>
      <w:tr w:rsidR="00FD090A" w:rsidRPr="00092ED7" w14:paraId="072A5F14"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18A2ADF0"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2024</w:t>
            </w:r>
          </w:p>
        </w:tc>
        <w:tc>
          <w:tcPr>
            <w:tcW w:w="1290" w:type="dxa"/>
            <w:tcBorders>
              <w:top w:val="nil"/>
              <w:left w:val="nil"/>
              <w:bottom w:val="single" w:sz="8" w:space="0" w:color="auto"/>
              <w:right w:val="single" w:sz="8" w:space="0" w:color="auto"/>
            </w:tcBorders>
            <w:shd w:val="clear" w:color="auto" w:fill="auto"/>
            <w:noWrap/>
            <w:vAlign w:val="center"/>
            <w:hideMark/>
          </w:tcPr>
          <w:p w14:paraId="33F79BF1"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750" w:type="dxa"/>
            <w:tcBorders>
              <w:top w:val="nil"/>
              <w:left w:val="nil"/>
              <w:bottom w:val="single" w:sz="8" w:space="0" w:color="auto"/>
              <w:right w:val="single" w:sz="8" w:space="0" w:color="auto"/>
            </w:tcBorders>
            <w:shd w:val="clear" w:color="auto" w:fill="auto"/>
            <w:noWrap/>
            <w:vAlign w:val="center"/>
            <w:hideMark/>
          </w:tcPr>
          <w:p w14:paraId="3D263887" w14:textId="77777777" w:rsidR="008D7C20" w:rsidRPr="00092ED7" w:rsidRDefault="008D7C20" w:rsidP="008D7C20">
            <w:pPr>
              <w:spacing w:after="0"/>
              <w:jc w:val="right"/>
              <w:rPr>
                <w:rFonts w:eastAsia="Times New Roman" w:cs="Times New Roman"/>
                <w:sz w:val="20"/>
                <w:szCs w:val="20"/>
                <w:lang w:val="sr-Cyrl-CS"/>
              </w:rPr>
            </w:pPr>
            <w:r w:rsidRPr="00092ED7">
              <w:rPr>
                <w:rFonts w:eastAsia="Times New Roman" w:cs="Times New Roman"/>
                <w:sz w:val="20"/>
                <w:szCs w:val="20"/>
                <w:lang w:val="sr-Cyrl-CS"/>
              </w:rPr>
              <w:t>48.340,00</w:t>
            </w:r>
          </w:p>
        </w:tc>
        <w:tc>
          <w:tcPr>
            <w:tcW w:w="1624" w:type="dxa"/>
            <w:tcBorders>
              <w:top w:val="nil"/>
              <w:left w:val="nil"/>
              <w:bottom w:val="single" w:sz="8" w:space="0" w:color="auto"/>
              <w:right w:val="single" w:sz="8" w:space="0" w:color="auto"/>
            </w:tcBorders>
            <w:shd w:val="clear" w:color="auto" w:fill="auto"/>
            <w:noWrap/>
            <w:vAlign w:val="center"/>
            <w:hideMark/>
          </w:tcPr>
          <w:p w14:paraId="7E5373EC"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38" w:type="dxa"/>
            <w:tcBorders>
              <w:top w:val="nil"/>
              <w:left w:val="nil"/>
              <w:bottom w:val="single" w:sz="8" w:space="0" w:color="auto"/>
              <w:right w:val="single" w:sz="8" w:space="0" w:color="auto"/>
            </w:tcBorders>
            <w:shd w:val="clear" w:color="auto" w:fill="auto"/>
            <w:noWrap/>
            <w:vAlign w:val="center"/>
            <w:hideMark/>
          </w:tcPr>
          <w:p w14:paraId="62931F9D"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8.833.333,00</w:t>
            </w:r>
          </w:p>
        </w:tc>
        <w:tc>
          <w:tcPr>
            <w:tcW w:w="1628" w:type="dxa"/>
            <w:tcBorders>
              <w:top w:val="nil"/>
              <w:left w:val="nil"/>
              <w:bottom w:val="single" w:sz="8" w:space="0" w:color="auto"/>
              <w:right w:val="single" w:sz="8" w:space="0" w:color="auto"/>
            </w:tcBorders>
            <w:shd w:val="clear" w:color="auto" w:fill="auto"/>
            <w:noWrap/>
            <w:vAlign w:val="center"/>
            <w:hideMark/>
          </w:tcPr>
          <w:p w14:paraId="4130C60B"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8.881.673,00</w:t>
            </w:r>
          </w:p>
        </w:tc>
      </w:tr>
      <w:tr w:rsidR="00FD090A" w:rsidRPr="00092ED7" w14:paraId="7640281B"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7F8E35E3"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2025</w:t>
            </w:r>
          </w:p>
        </w:tc>
        <w:tc>
          <w:tcPr>
            <w:tcW w:w="1290" w:type="dxa"/>
            <w:tcBorders>
              <w:top w:val="nil"/>
              <w:left w:val="nil"/>
              <w:bottom w:val="single" w:sz="8" w:space="0" w:color="auto"/>
              <w:right w:val="single" w:sz="8" w:space="0" w:color="auto"/>
            </w:tcBorders>
            <w:shd w:val="clear" w:color="auto" w:fill="auto"/>
            <w:noWrap/>
            <w:vAlign w:val="center"/>
            <w:hideMark/>
          </w:tcPr>
          <w:p w14:paraId="0DB64B71"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750" w:type="dxa"/>
            <w:tcBorders>
              <w:top w:val="nil"/>
              <w:left w:val="nil"/>
              <w:bottom w:val="single" w:sz="8" w:space="0" w:color="auto"/>
              <w:right w:val="single" w:sz="8" w:space="0" w:color="auto"/>
            </w:tcBorders>
            <w:shd w:val="clear" w:color="auto" w:fill="auto"/>
            <w:noWrap/>
            <w:vAlign w:val="center"/>
            <w:hideMark/>
          </w:tcPr>
          <w:p w14:paraId="2578D8D6" w14:textId="77777777" w:rsidR="008D7C20" w:rsidRPr="00092ED7" w:rsidRDefault="008D7C20" w:rsidP="008D7C20">
            <w:pPr>
              <w:spacing w:after="0"/>
              <w:jc w:val="right"/>
              <w:rPr>
                <w:rFonts w:eastAsia="Times New Roman" w:cs="Times New Roman"/>
                <w:sz w:val="20"/>
                <w:szCs w:val="20"/>
                <w:lang w:val="sr-Cyrl-CS"/>
              </w:rPr>
            </w:pPr>
            <w:r w:rsidRPr="00092ED7">
              <w:rPr>
                <w:rFonts w:eastAsia="Times New Roman" w:cs="Times New Roman"/>
                <w:sz w:val="20"/>
                <w:szCs w:val="20"/>
                <w:lang w:val="sr-Cyrl-CS"/>
              </w:rPr>
              <w:t>48.340,00</w:t>
            </w:r>
          </w:p>
        </w:tc>
        <w:tc>
          <w:tcPr>
            <w:tcW w:w="1624" w:type="dxa"/>
            <w:tcBorders>
              <w:top w:val="nil"/>
              <w:left w:val="nil"/>
              <w:bottom w:val="single" w:sz="8" w:space="0" w:color="auto"/>
              <w:right w:val="single" w:sz="8" w:space="0" w:color="auto"/>
            </w:tcBorders>
            <w:shd w:val="clear" w:color="auto" w:fill="auto"/>
            <w:noWrap/>
            <w:vAlign w:val="center"/>
            <w:hideMark/>
          </w:tcPr>
          <w:p w14:paraId="282358B8"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38" w:type="dxa"/>
            <w:tcBorders>
              <w:top w:val="nil"/>
              <w:left w:val="nil"/>
              <w:bottom w:val="single" w:sz="8" w:space="0" w:color="auto"/>
              <w:right w:val="single" w:sz="8" w:space="0" w:color="auto"/>
            </w:tcBorders>
            <w:shd w:val="clear" w:color="auto" w:fill="auto"/>
            <w:noWrap/>
            <w:vAlign w:val="center"/>
            <w:hideMark/>
          </w:tcPr>
          <w:p w14:paraId="6F0F4F8D"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5.500.000,00</w:t>
            </w:r>
          </w:p>
        </w:tc>
        <w:tc>
          <w:tcPr>
            <w:tcW w:w="1628" w:type="dxa"/>
            <w:tcBorders>
              <w:top w:val="nil"/>
              <w:left w:val="nil"/>
              <w:bottom w:val="single" w:sz="8" w:space="0" w:color="auto"/>
              <w:right w:val="single" w:sz="8" w:space="0" w:color="auto"/>
            </w:tcBorders>
            <w:shd w:val="clear" w:color="auto" w:fill="auto"/>
            <w:noWrap/>
            <w:vAlign w:val="center"/>
            <w:hideMark/>
          </w:tcPr>
          <w:p w14:paraId="396BC3B7"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5.548.340,00</w:t>
            </w:r>
          </w:p>
        </w:tc>
      </w:tr>
      <w:tr w:rsidR="008D7C20" w:rsidRPr="00092ED7" w14:paraId="059AACAA" w14:textId="77777777" w:rsidTr="007C54E3">
        <w:trPr>
          <w:trHeight w:val="330"/>
        </w:trPr>
        <w:tc>
          <w:tcPr>
            <w:tcW w:w="9006" w:type="dxa"/>
            <w:gridSpan w:val="6"/>
            <w:tcBorders>
              <w:top w:val="single" w:sz="8" w:space="0" w:color="auto"/>
              <w:left w:val="single" w:sz="8" w:space="0" w:color="auto"/>
              <w:bottom w:val="single" w:sz="8" w:space="0" w:color="auto"/>
              <w:right w:val="single" w:sz="8" w:space="0" w:color="auto"/>
            </w:tcBorders>
            <w:shd w:val="clear" w:color="000000" w:fill="D0CECE"/>
            <w:noWrap/>
            <w:vAlign w:val="center"/>
            <w:hideMark/>
          </w:tcPr>
          <w:p w14:paraId="164F91D7" w14:textId="77777777" w:rsidR="008D7C20" w:rsidRPr="00092ED7" w:rsidRDefault="008D7C20" w:rsidP="008D7C20">
            <w:pPr>
              <w:spacing w:after="0"/>
              <w:jc w:val="left"/>
              <w:rPr>
                <w:rFonts w:eastAsia="Times New Roman" w:cs="Times New Roman"/>
                <w:b/>
                <w:bCs/>
                <w:sz w:val="20"/>
                <w:szCs w:val="20"/>
                <w:lang w:val="sr-Cyrl-CS"/>
              </w:rPr>
            </w:pPr>
            <w:r w:rsidRPr="00092ED7">
              <w:rPr>
                <w:rFonts w:eastAsia="Times New Roman" w:cs="Times New Roman"/>
                <w:b/>
                <w:bCs/>
                <w:sz w:val="20"/>
                <w:szCs w:val="20"/>
                <w:lang w:val="sr-Cyrl-CS"/>
              </w:rPr>
              <w:t>20. Унапређење конкурентности пољопривреде</w:t>
            </w:r>
          </w:p>
        </w:tc>
      </w:tr>
      <w:tr w:rsidR="00FD090A" w:rsidRPr="00092ED7" w14:paraId="2EE41E10"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19DEBB25"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b/>
                <w:bCs/>
                <w:sz w:val="20"/>
                <w:szCs w:val="20"/>
                <w:lang w:val="sr-Cyrl-CS"/>
              </w:rPr>
              <w:t>Година</w:t>
            </w:r>
          </w:p>
        </w:tc>
        <w:tc>
          <w:tcPr>
            <w:tcW w:w="1290" w:type="dxa"/>
            <w:tcBorders>
              <w:top w:val="nil"/>
              <w:left w:val="nil"/>
              <w:bottom w:val="single" w:sz="8" w:space="0" w:color="auto"/>
              <w:right w:val="single" w:sz="8" w:space="0" w:color="auto"/>
            </w:tcBorders>
            <w:shd w:val="clear" w:color="auto" w:fill="auto"/>
            <w:noWrap/>
            <w:vAlign w:val="center"/>
            <w:hideMark/>
          </w:tcPr>
          <w:p w14:paraId="10BE3590"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Плате</w:t>
            </w:r>
          </w:p>
        </w:tc>
        <w:tc>
          <w:tcPr>
            <w:tcW w:w="1750" w:type="dxa"/>
            <w:tcBorders>
              <w:top w:val="nil"/>
              <w:left w:val="nil"/>
              <w:bottom w:val="single" w:sz="8" w:space="0" w:color="auto"/>
              <w:right w:val="single" w:sz="8" w:space="0" w:color="auto"/>
            </w:tcBorders>
            <w:shd w:val="clear" w:color="auto" w:fill="auto"/>
            <w:noWrap/>
            <w:vAlign w:val="center"/>
            <w:hideMark/>
          </w:tcPr>
          <w:p w14:paraId="6C1994D9"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Добра и услуге</w:t>
            </w:r>
          </w:p>
        </w:tc>
        <w:tc>
          <w:tcPr>
            <w:tcW w:w="1624" w:type="dxa"/>
            <w:tcBorders>
              <w:top w:val="nil"/>
              <w:left w:val="nil"/>
              <w:bottom w:val="single" w:sz="8" w:space="0" w:color="auto"/>
              <w:right w:val="single" w:sz="8" w:space="0" w:color="auto"/>
            </w:tcBorders>
            <w:shd w:val="clear" w:color="auto" w:fill="auto"/>
            <w:noWrap/>
            <w:vAlign w:val="center"/>
            <w:hideMark/>
          </w:tcPr>
          <w:p w14:paraId="2C704A3C"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Субвенције и трансфери</w:t>
            </w:r>
          </w:p>
        </w:tc>
        <w:tc>
          <w:tcPr>
            <w:tcW w:w="1538" w:type="dxa"/>
            <w:tcBorders>
              <w:top w:val="nil"/>
              <w:left w:val="nil"/>
              <w:bottom w:val="single" w:sz="8" w:space="0" w:color="auto"/>
              <w:right w:val="single" w:sz="8" w:space="0" w:color="auto"/>
            </w:tcBorders>
            <w:shd w:val="clear" w:color="auto" w:fill="auto"/>
            <w:noWrap/>
            <w:vAlign w:val="center"/>
            <w:hideMark/>
          </w:tcPr>
          <w:p w14:paraId="6ADCADF2"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Капитални расходи</w:t>
            </w:r>
          </w:p>
        </w:tc>
        <w:tc>
          <w:tcPr>
            <w:tcW w:w="1628" w:type="dxa"/>
            <w:tcBorders>
              <w:top w:val="nil"/>
              <w:left w:val="nil"/>
              <w:bottom w:val="single" w:sz="8" w:space="0" w:color="auto"/>
              <w:right w:val="single" w:sz="8" w:space="0" w:color="auto"/>
            </w:tcBorders>
            <w:shd w:val="clear" w:color="auto" w:fill="auto"/>
            <w:noWrap/>
            <w:vAlign w:val="center"/>
            <w:hideMark/>
          </w:tcPr>
          <w:p w14:paraId="2F0A0810"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Укупно</w:t>
            </w:r>
          </w:p>
        </w:tc>
      </w:tr>
      <w:tr w:rsidR="00FD090A" w:rsidRPr="00092ED7" w14:paraId="1EC9A7F5"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006213E6"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2023</w:t>
            </w:r>
          </w:p>
        </w:tc>
        <w:tc>
          <w:tcPr>
            <w:tcW w:w="1290" w:type="dxa"/>
            <w:tcBorders>
              <w:top w:val="nil"/>
              <w:left w:val="nil"/>
              <w:bottom w:val="single" w:sz="8" w:space="0" w:color="auto"/>
              <w:right w:val="single" w:sz="8" w:space="0" w:color="auto"/>
            </w:tcBorders>
            <w:shd w:val="clear" w:color="auto" w:fill="auto"/>
            <w:noWrap/>
            <w:vAlign w:val="center"/>
            <w:hideMark/>
          </w:tcPr>
          <w:p w14:paraId="4DA207FD"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211.545,00</w:t>
            </w:r>
          </w:p>
        </w:tc>
        <w:tc>
          <w:tcPr>
            <w:tcW w:w="1750" w:type="dxa"/>
            <w:tcBorders>
              <w:top w:val="nil"/>
              <w:left w:val="nil"/>
              <w:bottom w:val="single" w:sz="8" w:space="0" w:color="auto"/>
              <w:right w:val="single" w:sz="8" w:space="0" w:color="auto"/>
            </w:tcBorders>
            <w:shd w:val="clear" w:color="auto" w:fill="auto"/>
            <w:noWrap/>
            <w:vAlign w:val="center"/>
            <w:hideMark/>
          </w:tcPr>
          <w:p w14:paraId="5C195FE8" w14:textId="77777777" w:rsidR="008D7C20" w:rsidRPr="00092ED7" w:rsidRDefault="008D7C20" w:rsidP="008D7C20">
            <w:pPr>
              <w:spacing w:after="0"/>
              <w:jc w:val="right"/>
              <w:rPr>
                <w:rFonts w:eastAsia="Times New Roman" w:cs="Times New Roman"/>
                <w:sz w:val="20"/>
                <w:szCs w:val="20"/>
                <w:lang w:val="sr-Cyrl-CS"/>
              </w:rPr>
            </w:pPr>
            <w:r w:rsidRPr="00092ED7">
              <w:rPr>
                <w:rFonts w:eastAsia="Times New Roman" w:cs="Times New Roman"/>
                <w:sz w:val="20"/>
                <w:szCs w:val="20"/>
                <w:lang w:val="sr-Cyrl-CS"/>
              </w:rPr>
              <w:t>2.110.373,00</w:t>
            </w:r>
          </w:p>
        </w:tc>
        <w:tc>
          <w:tcPr>
            <w:tcW w:w="1624" w:type="dxa"/>
            <w:tcBorders>
              <w:top w:val="nil"/>
              <w:left w:val="nil"/>
              <w:bottom w:val="single" w:sz="8" w:space="0" w:color="auto"/>
              <w:right w:val="single" w:sz="8" w:space="0" w:color="auto"/>
            </w:tcBorders>
            <w:shd w:val="clear" w:color="auto" w:fill="auto"/>
            <w:noWrap/>
            <w:vAlign w:val="center"/>
            <w:hideMark/>
          </w:tcPr>
          <w:p w14:paraId="54813E31"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5.857.799,00</w:t>
            </w:r>
          </w:p>
        </w:tc>
        <w:tc>
          <w:tcPr>
            <w:tcW w:w="1538" w:type="dxa"/>
            <w:tcBorders>
              <w:top w:val="nil"/>
              <w:left w:val="nil"/>
              <w:bottom w:val="single" w:sz="8" w:space="0" w:color="auto"/>
              <w:right w:val="single" w:sz="8" w:space="0" w:color="auto"/>
            </w:tcBorders>
            <w:shd w:val="clear" w:color="auto" w:fill="auto"/>
            <w:noWrap/>
            <w:vAlign w:val="center"/>
            <w:hideMark/>
          </w:tcPr>
          <w:p w14:paraId="7D3BC1C0"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1.396.250,00</w:t>
            </w:r>
          </w:p>
        </w:tc>
        <w:tc>
          <w:tcPr>
            <w:tcW w:w="1628" w:type="dxa"/>
            <w:tcBorders>
              <w:top w:val="nil"/>
              <w:left w:val="nil"/>
              <w:bottom w:val="single" w:sz="8" w:space="0" w:color="auto"/>
              <w:right w:val="single" w:sz="8" w:space="0" w:color="auto"/>
            </w:tcBorders>
            <w:shd w:val="clear" w:color="auto" w:fill="auto"/>
            <w:noWrap/>
            <w:vAlign w:val="center"/>
            <w:hideMark/>
          </w:tcPr>
          <w:p w14:paraId="7884EECA"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9.575.967,00</w:t>
            </w:r>
          </w:p>
        </w:tc>
      </w:tr>
      <w:tr w:rsidR="00FD090A" w:rsidRPr="00092ED7" w14:paraId="1EBBB0F5"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393D1D20"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2024</w:t>
            </w:r>
          </w:p>
        </w:tc>
        <w:tc>
          <w:tcPr>
            <w:tcW w:w="1290" w:type="dxa"/>
            <w:tcBorders>
              <w:top w:val="nil"/>
              <w:left w:val="nil"/>
              <w:bottom w:val="single" w:sz="8" w:space="0" w:color="auto"/>
              <w:right w:val="single" w:sz="8" w:space="0" w:color="auto"/>
            </w:tcBorders>
            <w:shd w:val="clear" w:color="auto" w:fill="auto"/>
            <w:noWrap/>
            <w:vAlign w:val="center"/>
            <w:hideMark/>
          </w:tcPr>
          <w:p w14:paraId="78931429"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424.955,00</w:t>
            </w:r>
          </w:p>
        </w:tc>
        <w:tc>
          <w:tcPr>
            <w:tcW w:w="1750" w:type="dxa"/>
            <w:tcBorders>
              <w:top w:val="nil"/>
              <w:left w:val="nil"/>
              <w:bottom w:val="single" w:sz="8" w:space="0" w:color="auto"/>
              <w:right w:val="single" w:sz="8" w:space="0" w:color="auto"/>
            </w:tcBorders>
            <w:shd w:val="clear" w:color="auto" w:fill="auto"/>
            <w:noWrap/>
            <w:vAlign w:val="center"/>
            <w:hideMark/>
          </w:tcPr>
          <w:p w14:paraId="3D796A4C" w14:textId="77777777" w:rsidR="008D7C20" w:rsidRPr="00092ED7" w:rsidRDefault="008D7C20" w:rsidP="008D7C20">
            <w:pPr>
              <w:spacing w:after="0"/>
              <w:jc w:val="right"/>
              <w:rPr>
                <w:rFonts w:eastAsia="Times New Roman" w:cs="Times New Roman"/>
                <w:sz w:val="20"/>
                <w:szCs w:val="20"/>
                <w:lang w:val="sr-Cyrl-CS"/>
              </w:rPr>
            </w:pPr>
            <w:r w:rsidRPr="00092ED7">
              <w:rPr>
                <w:rFonts w:eastAsia="Times New Roman" w:cs="Times New Roman"/>
                <w:sz w:val="20"/>
                <w:szCs w:val="20"/>
                <w:lang w:val="sr-Cyrl-CS"/>
              </w:rPr>
              <w:t>2.322.333,33</w:t>
            </w:r>
          </w:p>
        </w:tc>
        <w:tc>
          <w:tcPr>
            <w:tcW w:w="1624" w:type="dxa"/>
            <w:tcBorders>
              <w:top w:val="nil"/>
              <w:left w:val="nil"/>
              <w:bottom w:val="single" w:sz="8" w:space="0" w:color="auto"/>
              <w:right w:val="single" w:sz="8" w:space="0" w:color="auto"/>
            </w:tcBorders>
            <w:shd w:val="clear" w:color="auto" w:fill="auto"/>
            <w:noWrap/>
            <w:vAlign w:val="center"/>
            <w:hideMark/>
          </w:tcPr>
          <w:p w14:paraId="75EFB3C2"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17.044.465,67</w:t>
            </w:r>
          </w:p>
        </w:tc>
        <w:tc>
          <w:tcPr>
            <w:tcW w:w="1538" w:type="dxa"/>
            <w:tcBorders>
              <w:top w:val="nil"/>
              <w:left w:val="nil"/>
              <w:bottom w:val="single" w:sz="8" w:space="0" w:color="auto"/>
              <w:right w:val="single" w:sz="8" w:space="0" w:color="auto"/>
            </w:tcBorders>
            <w:shd w:val="clear" w:color="auto" w:fill="auto"/>
            <w:noWrap/>
            <w:vAlign w:val="center"/>
            <w:hideMark/>
          </w:tcPr>
          <w:p w14:paraId="07D004A1"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975.000,00</w:t>
            </w:r>
          </w:p>
        </w:tc>
        <w:tc>
          <w:tcPr>
            <w:tcW w:w="1628" w:type="dxa"/>
            <w:tcBorders>
              <w:top w:val="nil"/>
              <w:left w:val="nil"/>
              <w:bottom w:val="single" w:sz="8" w:space="0" w:color="auto"/>
              <w:right w:val="single" w:sz="8" w:space="0" w:color="auto"/>
            </w:tcBorders>
            <w:shd w:val="clear" w:color="auto" w:fill="auto"/>
            <w:noWrap/>
            <w:vAlign w:val="center"/>
            <w:hideMark/>
          </w:tcPr>
          <w:p w14:paraId="524E3E5F"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20.766.754,00</w:t>
            </w:r>
          </w:p>
        </w:tc>
      </w:tr>
      <w:tr w:rsidR="00FD090A" w:rsidRPr="00092ED7" w14:paraId="7D6D6896"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218076CE"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2025</w:t>
            </w:r>
          </w:p>
        </w:tc>
        <w:tc>
          <w:tcPr>
            <w:tcW w:w="1290" w:type="dxa"/>
            <w:tcBorders>
              <w:top w:val="nil"/>
              <w:left w:val="nil"/>
              <w:bottom w:val="single" w:sz="8" w:space="0" w:color="auto"/>
              <w:right w:val="single" w:sz="8" w:space="0" w:color="auto"/>
            </w:tcBorders>
            <w:shd w:val="clear" w:color="auto" w:fill="auto"/>
            <w:noWrap/>
            <w:vAlign w:val="center"/>
            <w:hideMark/>
          </w:tcPr>
          <w:p w14:paraId="585A8178"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576.540,00</w:t>
            </w:r>
          </w:p>
        </w:tc>
        <w:tc>
          <w:tcPr>
            <w:tcW w:w="1750" w:type="dxa"/>
            <w:tcBorders>
              <w:top w:val="nil"/>
              <w:left w:val="nil"/>
              <w:bottom w:val="single" w:sz="8" w:space="0" w:color="auto"/>
              <w:right w:val="single" w:sz="8" w:space="0" w:color="auto"/>
            </w:tcBorders>
            <w:shd w:val="clear" w:color="auto" w:fill="auto"/>
            <w:noWrap/>
            <w:vAlign w:val="center"/>
            <w:hideMark/>
          </w:tcPr>
          <w:p w14:paraId="2325C11F" w14:textId="77777777" w:rsidR="008D7C20" w:rsidRPr="00092ED7" w:rsidRDefault="008D7C20" w:rsidP="008D7C20">
            <w:pPr>
              <w:spacing w:after="0"/>
              <w:jc w:val="right"/>
              <w:rPr>
                <w:rFonts w:eastAsia="Times New Roman" w:cs="Times New Roman"/>
                <w:sz w:val="20"/>
                <w:szCs w:val="20"/>
                <w:lang w:val="sr-Cyrl-CS"/>
              </w:rPr>
            </w:pPr>
            <w:r w:rsidRPr="00092ED7">
              <w:rPr>
                <w:rFonts w:eastAsia="Times New Roman" w:cs="Times New Roman"/>
                <w:sz w:val="20"/>
                <w:szCs w:val="20"/>
                <w:lang w:val="sr-Cyrl-CS"/>
              </w:rPr>
              <w:t>1.050.000,00</w:t>
            </w:r>
          </w:p>
        </w:tc>
        <w:tc>
          <w:tcPr>
            <w:tcW w:w="1624" w:type="dxa"/>
            <w:tcBorders>
              <w:top w:val="nil"/>
              <w:left w:val="nil"/>
              <w:bottom w:val="single" w:sz="8" w:space="0" w:color="auto"/>
              <w:right w:val="single" w:sz="8" w:space="0" w:color="auto"/>
            </w:tcBorders>
            <w:shd w:val="clear" w:color="auto" w:fill="auto"/>
            <w:noWrap/>
            <w:vAlign w:val="center"/>
            <w:hideMark/>
          </w:tcPr>
          <w:p w14:paraId="7A6E84A5"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21.402.482,00</w:t>
            </w:r>
          </w:p>
        </w:tc>
        <w:tc>
          <w:tcPr>
            <w:tcW w:w="1538" w:type="dxa"/>
            <w:tcBorders>
              <w:top w:val="nil"/>
              <w:left w:val="nil"/>
              <w:bottom w:val="single" w:sz="8" w:space="0" w:color="auto"/>
              <w:right w:val="single" w:sz="8" w:space="0" w:color="auto"/>
            </w:tcBorders>
            <w:shd w:val="clear" w:color="auto" w:fill="auto"/>
            <w:noWrap/>
            <w:vAlign w:val="center"/>
            <w:hideMark/>
          </w:tcPr>
          <w:p w14:paraId="7CE3AB98"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3.240.000,00</w:t>
            </w:r>
          </w:p>
        </w:tc>
        <w:tc>
          <w:tcPr>
            <w:tcW w:w="1628" w:type="dxa"/>
            <w:tcBorders>
              <w:top w:val="nil"/>
              <w:left w:val="nil"/>
              <w:bottom w:val="single" w:sz="8" w:space="0" w:color="auto"/>
              <w:right w:val="single" w:sz="8" w:space="0" w:color="auto"/>
            </w:tcBorders>
            <w:shd w:val="clear" w:color="auto" w:fill="auto"/>
            <w:noWrap/>
            <w:vAlign w:val="center"/>
            <w:hideMark/>
          </w:tcPr>
          <w:p w14:paraId="453AD796"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26.269.022,00</w:t>
            </w:r>
          </w:p>
        </w:tc>
      </w:tr>
      <w:tr w:rsidR="008D7C20" w:rsidRPr="00092ED7" w14:paraId="109C7D75" w14:textId="77777777" w:rsidTr="007C54E3">
        <w:trPr>
          <w:trHeight w:val="330"/>
        </w:trPr>
        <w:tc>
          <w:tcPr>
            <w:tcW w:w="9006" w:type="dxa"/>
            <w:gridSpan w:val="6"/>
            <w:tcBorders>
              <w:top w:val="single" w:sz="8" w:space="0" w:color="auto"/>
              <w:left w:val="single" w:sz="8" w:space="0" w:color="auto"/>
              <w:bottom w:val="single" w:sz="8" w:space="0" w:color="auto"/>
              <w:right w:val="single" w:sz="8" w:space="0" w:color="auto"/>
            </w:tcBorders>
            <w:shd w:val="clear" w:color="000000" w:fill="D0CECE"/>
            <w:noWrap/>
            <w:vAlign w:val="center"/>
            <w:hideMark/>
          </w:tcPr>
          <w:p w14:paraId="69522D30" w14:textId="77777777" w:rsidR="008D7C20" w:rsidRPr="00092ED7" w:rsidRDefault="008D7C20" w:rsidP="008D7C20">
            <w:pPr>
              <w:spacing w:after="0"/>
              <w:jc w:val="left"/>
              <w:rPr>
                <w:rFonts w:eastAsia="Times New Roman" w:cs="Times New Roman"/>
                <w:b/>
                <w:bCs/>
                <w:sz w:val="20"/>
                <w:szCs w:val="20"/>
                <w:lang w:val="sr-Cyrl-CS"/>
              </w:rPr>
            </w:pPr>
            <w:r w:rsidRPr="00092ED7">
              <w:rPr>
                <w:rFonts w:eastAsia="Times New Roman" w:cs="Times New Roman"/>
                <w:b/>
                <w:bCs/>
                <w:sz w:val="20"/>
                <w:szCs w:val="20"/>
                <w:lang w:val="sr-Cyrl-CS"/>
              </w:rPr>
              <w:t>21. Унапређење стратешког оквира инфраструктуре квалитета и интеграције у јединствено тржиште ЕУ</w:t>
            </w:r>
          </w:p>
        </w:tc>
      </w:tr>
      <w:tr w:rsidR="00FD090A" w:rsidRPr="00092ED7" w14:paraId="00C94666"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5E859E03"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b/>
                <w:bCs/>
                <w:sz w:val="20"/>
                <w:szCs w:val="20"/>
                <w:lang w:val="sr-Cyrl-CS"/>
              </w:rPr>
              <w:t>Година</w:t>
            </w:r>
          </w:p>
        </w:tc>
        <w:tc>
          <w:tcPr>
            <w:tcW w:w="1290" w:type="dxa"/>
            <w:tcBorders>
              <w:top w:val="nil"/>
              <w:left w:val="nil"/>
              <w:bottom w:val="single" w:sz="8" w:space="0" w:color="auto"/>
              <w:right w:val="single" w:sz="8" w:space="0" w:color="auto"/>
            </w:tcBorders>
            <w:shd w:val="clear" w:color="auto" w:fill="auto"/>
            <w:noWrap/>
            <w:vAlign w:val="center"/>
            <w:hideMark/>
          </w:tcPr>
          <w:p w14:paraId="470BAEE2"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Плате</w:t>
            </w:r>
          </w:p>
        </w:tc>
        <w:tc>
          <w:tcPr>
            <w:tcW w:w="1750" w:type="dxa"/>
            <w:tcBorders>
              <w:top w:val="nil"/>
              <w:left w:val="nil"/>
              <w:bottom w:val="single" w:sz="8" w:space="0" w:color="auto"/>
              <w:right w:val="single" w:sz="8" w:space="0" w:color="auto"/>
            </w:tcBorders>
            <w:shd w:val="clear" w:color="auto" w:fill="auto"/>
            <w:noWrap/>
            <w:vAlign w:val="center"/>
            <w:hideMark/>
          </w:tcPr>
          <w:p w14:paraId="2640ED1E"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Добра и услуге</w:t>
            </w:r>
          </w:p>
        </w:tc>
        <w:tc>
          <w:tcPr>
            <w:tcW w:w="1624" w:type="dxa"/>
            <w:tcBorders>
              <w:top w:val="nil"/>
              <w:left w:val="nil"/>
              <w:bottom w:val="single" w:sz="8" w:space="0" w:color="auto"/>
              <w:right w:val="single" w:sz="8" w:space="0" w:color="auto"/>
            </w:tcBorders>
            <w:shd w:val="clear" w:color="auto" w:fill="auto"/>
            <w:noWrap/>
            <w:vAlign w:val="center"/>
            <w:hideMark/>
          </w:tcPr>
          <w:p w14:paraId="23D569A6"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Субвенције и трансфери</w:t>
            </w:r>
          </w:p>
        </w:tc>
        <w:tc>
          <w:tcPr>
            <w:tcW w:w="1538" w:type="dxa"/>
            <w:tcBorders>
              <w:top w:val="nil"/>
              <w:left w:val="nil"/>
              <w:bottom w:val="single" w:sz="8" w:space="0" w:color="auto"/>
              <w:right w:val="single" w:sz="8" w:space="0" w:color="auto"/>
            </w:tcBorders>
            <w:shd w:val="clear" w:color="auto" w:fill="auto"/>
            <w:noWrap/>
            <w:vAlign w:val="center"/>
            <w:hideMark/>
          </w:tcPr>
          <w:p w14:paraId="4D42BF4C"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Капитални расходи</w:t>
            </w:r>
          </w:p>
        </w:tc>
        <w:tc>
          <w:tcPr>
            <w:tcW w:w="1628" w:type="dxa"/>
            <w:tcBorders>
              <w:top w:val="nil"/>
              <w:left w:val="nil"/>
              <w:bottom w:val="single" w:sz="8" w:space="0" w:color="auto"/>
              <w:right w:val="single" w:sz="8" w:space="0" w:color="auto"/>
            </w:tcBorders>
            <w:shd w:val="clear" w:color="auto" w:fill="auto"/>
            <w:noWrap/>
            <w:vAlign w:val="center"/>
            <w:hideMark/>
          </w:tcPr>
          <w:p w14:paraId="14B1B714"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Укупно</w:t>
            </w:r>
          </w:p>
        </w:tc>
      </w:tr>
      <w:tr w:rsidR="00FD090A" w:rsidRPr="00092ED7" w14:paraId="39D48326" w14:textId="77777777" w:rsidTr="007C54E3">
        <w:trPr>
          <w:trHeight w:val="330"/>
        </w:trPr>
        <w:tc>
          <w:tcPr>
            <w:tcW w:w="1176" w:type="dxa"/>
            <w:tcBorders>
              <w:top w:val="nil"/>
              <w:left w:val="single" w:sz="8" w:space="0" w:color="auto"/>
              <w:bottom w:val="single" w:sz="8" w:space="0" w:color="auto"/>
              <w:right w:val="single" w:sz="8" w:space="0" w:color="auto"/>
            </w:tcBorders>
            <w:shd w:val="clear" w:color="auto" w:fill="auto"/>
            <w:noWrap/>
            <w:vAlign w:val="center"/>
            <w:hideMark/>
          </w:tcPr>
          <w:p w14:paraId="449E5926"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2023</w:t>
            </w:r>
          </w:p>
        </w:tc>
        <w:tc>
          <w:tcPr>
            <w:tcW w:w="1290" w:type="dxa"/>
            <w:tcBorders>
              <w:top w:val="nil"/>
              <w:left w:val="nil"/>
              <w:bottom w:val="single" w:sz="8" w:space="0" w:color="auto"/>
              <w:right w:val="single" w:sz="8" w:space="0" w:color="auto"/>
            </w:tcBorders>
            <w:shd w:val="clear" w:color="auto" w:fill="auto"/>
            <w:noWrap/>
            <w:vAlign w:val="center"/>
            <w:hideMark/>
          </w:tcPr>
          <w:p w14:paraId="09CED316"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750" w:type="dxa"/>
            <w:tcBorders>
              <w:top w:val="nil"/>
              <w:left w:val="nil"/>
              <w:bottom w:val="single" w:sz="8" w:space="0" w:color="auto"/>
              <w:right w:val="single" w:sz="8" w:space="0" w:color="auto"/>
            </w:tcBorders>
            <w:shd w:val="clear" w:color="auto" w:fill="auto"/>
            <w:noWrap/>
            <w:vAlign w:val="center"/>
            <w:hideMark/>
          </w:tcPr>
          <w:p w14:paraId="5E84AE7C" w14:textId="77777777" w:rsidR="008D7C20" w:rsidRPr="00092ED7" w:rsidRDefault="008D7C20" w:rsidP="008D7C20">
            <w:pPr>
              <w:spacing w:after="0"/>
              <w:jc w:val="right"/>
              <w:rPr>
                <w:rFonts w:eastAsia="Times New Roman" w:cs="Times New Roman"/>
                <w:sz w:val="20"/>
                <w:szCs w:val="20"/>
                <w:lang w:val="sr-Cyrl-CS"/>
              </w:rPr>
            </w:pPr>
            <w:r w:rsidRPr="00092ED7">
              <w:rPr>
                <w:rFonts w:eastAsia="Times New Roman" w:cs="Times New Roman"/>
                <w:sz w:val="20"/>
                <w:szCs w:val="20"/>
                <w:lang w:val="sr-Cyrl-CS"/>
              </w:rPr>
              <w:t>300.000,00</w:t>
            </w:r>
          </w:p>
        </w:tc>
        <w:tc>
          <w:tcPr>
            <w:tcW w:w="1624" w:type="dxa"/>
            <w:tcBorders>
              <w:top w:val="nil"/>
              <w:left w:val="nil"/>
              <w:bottom w:val="single" w:sz="8" w:space="0" w:color="auto"/>
              <w:right w:val="single" w:sz="8" w:space="0" w:color="auto"/>
            </w:tcBorders>
            <w:shd w:val="clear" w:color="auto" w:fill="auto"/>
            <w:noWrap/>
            <w:vAlign w:val="center"/>
            <w:hideMark/>
          </w:tcPr>
          <w:p w14:paraId="2326AD6E"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38" w:type="dxa"/>
            <w:tcBorders>
              <w:top w:val="nil"/>
              <w:left w:val="nil"/>
              <w:bottom w:val="single" w:sz="8" w:space="0" w:color="auto"/>
              <w:right w:val="single" w:sz="8" w:space="0" w:color="auto"/>
            </w:tcBorders>
            <w:shd w:val="clear" w:color="auto" w:fill="auto"/>
            <w:noWrap/>
            <w:vAlign w:val="center"/>
            <w:hideMark/>
          </w:tcPr>
          <w:p w14:paraId="1DD81B65"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28" w:type="dxa"/>
            <w:tcBorders>
              <w:top w:val="nil"/>
              <w:left w:val="nil"/>
              <w:bottom w:val="single" w:sz="8" w:space="0" w:color="auto"/>
              <w:right w:val="single" w:sz="8" w:space="0" w:color="auto"/>
            </w:tcBorders>
            <w:shd w:val="clear" w:color="auto" w:fill="auto"/>
            <w:noWrap/>
            <w:vAlign w:val="center"/>
            <w:hideMark/>
          </w:tcPr>
          <w:p w14:paraId="069FC1A5"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300.000,00</w:t>
            </w:r>
          </w:p>
        </w:tc>
      </w:tr>
      <w:tr w:rsidR="00FD090A" w:rsidRPr="00092ED7" w14:paraId="16A607A5" w14:textId="77777777" w:rsidTr="008B1D11">
        <w:trPr>
          <w:trHeight w:val="330"/>
        </w:trPr>
        <w:tc>
          <w:tcPr>
            <w:tcW w:w="1176" w:type="dxa"/>
            <w:tcBorders>
              <w:top w:val="nil"/>
              <w:left w:val="single" w:sz="8" w:space="0" w:color="auto"/>
              <w:bottom w:val="single" w:sz="4" w:space="0" w:color="auto"/>
              <w:right w:val="single" w:sz="8" w:space="0" w:color="auto"/>
            </w:tcBorders>
            <w:shd w:val="clear" w:color="auto" w:fill="auto"/>
            <w:noWrap/>
            <w:vAlign w:val="center"/>
            <w:hideMark/>
          </w:tcPr>
          <w:p w14:paraId="28B82917"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2024</w:t>
            </w:r>
          </w:p>
        </w:tc>
        <w:tc>
          <w:tcPr>
            <w:tcW w:w="1290" w:type="dxa"/>
            <w:tcBorders>
              <w:top w:val="nil"/>
              <w:left w:val="nil"/>
              <w:bottom w:val="single" w:sz="4" w:space="0" w:color="auto"/>
              <w:right w:val="single" w:sz="8" w:space="0" w:color="auto"/>
            </w:tcBorders>
            <w:shd w:val="clear" w:color="auto" w:fill="auto"/>
            <w:noWrap/>
            <w:vAlign w:val="center"/>
            <w:hideMark/>
          </w:tcPr>
          <w:p w14:paraId="3C0D1A7E"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750" w:type="dxa"/>
            <w:tcBorders>
              <w:top w:val="nil"/>
              <w:left w:val="nil"/>
              <w:bottom w:val="single" w:sz="4" w:space="0" w:color="auto"/>
              <w:right w:val="single" w:sz="8" w:space="0" w:color="auto"/>
            </w:tcBorders>
            <w:shd w:val="clear" w:color="auto" w:fill="auto"/>
            <w:noWrap/>
            <w:vAlign w:val="center"/>
            <w:hideMark/>
          </w:tcPr>
          <w:p w14:paraId="5DBE2405" w14:textId="77777777" w:rsidR="008D7C20" w:rsidRPr="00092ED7" w:rsidRDefault="008D7C20" w:rsidP="008D7C20">
            <w:pPr>
              <w:spacing w:after="0"/>
              <w:jc w:val="right"/>
              <w:rPr>
                <w:rFonts w:eastAsia="Times New Roman" w:cs="Times New Roman"/>
                <w:sz w:val="20"/>
                <w:szCs w:val="20"/>
                <w:lang w:val="sr-Cyrl-CS"/>
              </w:rPr>
            </w:pPr>
            <w:r w:rsidRPr="00092ED7">
              <w:rPr>
                <w:rFonts w:eastAsia="Times New Roman" w:cs="Times New Roman"/>
                <w:sz w:val="20"/>
                <w:szCs w:val="20"/>
                <w:lang w:val="sr-Cyrl-CS"/>
              </w:rPr>
              <w:t>150.000,00</w:t>
            </w:r>
          </w:p>
        </w:tc>
        <w:tc>
          <w:tcPr>
            <w:tcW w:w="1624" w:type="dxa"/>
            <w:tcBorders>
              <w:top w:val="nil"/>
              <w:left w:val="nil"/>
              <w:bottom w:val="single" w:sz="4" w:space="0" w:color="auto"/>
              <w:right w:val="single" w:sz="8" w:space="0" w:color="auto"/>
            </w:tcBorders>
            <w:shd w:val="clear" w:color="auto" w:fill="auto"/>
            <w:noWrap/>
            <w:vAlign w:val="center"/>
            <w:hideMark/>
          </w:tcPr>
          <w:p w14:paraId="6278C242"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38" w:type="dxa"/>
            <w:tcBorders>
              <w:top w:val="nil"/>
              <w:left w:val="nil"/>
              <w:bottom w:val="single" w:sz="4" w:space="0" w:color="auto"/>
              <w:right w:val="single" w:sz="8" w:space="0" w:color="auto"/>
            </w:tcBorders>
            <w:shd w:val="clear" w:color="auto" w:fill="auto"/>
            <w:noWrap/>
            <w:vAlign w:val="center"/>
            <w:hideMark/>
          </w:tcPr>
          <w:p w14:paraId="4DC15423"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28" w:type="dxa"/>
            <w:tcBorders>
              <w:top w:val="nil"/>
              <w:left w:val="nil"/>
              <w:bottom w:val="single" w:sz="4" w:space="0" w:color="auto"/>
              <w:right w:val="single" w:sz="8" w:space="0" w:color="auto"/>
            </w:tcBorders>
            <w:shd w:val="clear" w:color="auto" w:fill="auto"/>
            <w:noWrap/>
            <w:vAlign w:val="center"/>
            <w:hideMark/>
          </w:tcPr>
          <w:p w14:paraId="0CC5ADB7"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150.000,00</w:t>
            </w:r>
          </w:p>
        </w:tc>
      </w:tr>
      <w:tr w:rsidR="00FD090A" w:rsidRPr="00092ED7" w14:paraId="238270F4" w14:textId="77777777" w:rsidTr="008B1D11">
        <w:trPr>
          <w:trHeight w:val="330"/>
        </w:trPr>
        <w:tc>
          <w:tcPr>
            <w:tcW w:w="11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800753"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2025</w:t>
            </w:r>
          </w:p>
        </w:tc>
        <w:tc>
          <w:tcPr>
            <w:tcW w:w="12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A5F8CF"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7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46E834" w14:textId="77777777" w:rsidR="008D7C20" w:rsidRPr="00092ED7" w:rsidRDefault="008D7C20" w:rsidP="008D7C20">
            <w:pPr>
              <w:spacing w:after="0"/>
              <w:jc w:val="right"/>
              <w:rPr>
                <w:rFonts w:eastAsia="Times New Roman" w:cs="Times New Roman"/>
                <w:sz w:val="20"/>
                <w:szCs w:val="20"/>
                <w:lang w:val="sr-Cyrl-CS"/>
              </w:rPr>
            </w:pPr>
            <w:r w:rsidRPr="00092ED7">
              <w:rPr>
                <w:rFonts w:eastAsia="Times New Roman" w:cs="Times New Roman"/>
                <w:sz w:val="20"/>
                <w:szCs w:val="20"/>
                <w:lang w:val="sr-Cyrl-CS"/>
              </w:rPr>
              <w:t>250.000,00</w:t>
            </w:r>
          </w:p>
        </w:tc>
        <w:tc>
          <w:tcPr>
            <w:tcW w:w="16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6E5EA"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EEFF5F"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C7D6A7"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250.000,00</w:t>
            </w:r>
          </w:p>
        </w:tc>
      </w:tr>
      <w:tr w:rsidR="008D7C20" w:rsidRPr="00092ED7" w14:paraId="0C2B7D6D" w14:textId="77777777" w:rsidTr="008B1D11">
        <w:trPr>
          <w:trHeight w:val="330"/>
        </w:trPr>
        <w:tc>
          <w:tcPr>
            <w:tcW w:w="9006" w:type="dxa"/>
            <w:gridSpan w:val="6"/>
            <w:tcBorders>
              <w:top w:val="single" w:sz="4" w:space="0" w:color="auto"/>
              <w:left w:val="single" w:sz="8" w:space="0" w:color="auto"/>
              <w:bottom w:val="single" w:sz="8" w:space="0" w:color="auto"/>
              <w:right w:val="single" w:sz="8" w:space="0" w:color="auto"/>
            </w:tcBorders>
            <w:shd w:val="clear" w:color="000000" w:fill="D0CECE"/>
            <w:noWrap/>
            <w:vAlign w:val="center"/>
            <w:hideMark/>
          </w:tcPr>
          <w:p w14:paraId="5E340187" w14:textId="77777777" w:rsidR="008D7C20" w:rsidRPr="00092ED7" w:rsidRDefault="008D7C20" w:rsidP="008D7C20">
            <w:pPr>
              <w:spacing w:after="0"/>
              <w:jc w:val="left"/>
              <w:rPr>
                <w:rFonts w:eastAsia="Times New Roman" w:cs="Times New Roman"/>
                <w:b/>
                <w:bCs/>
                <w:sz w:val="20"/>
                <w:szCs w:val="20"/>
                <w:lang w:val="sr-Cyrl-CS"/>
              </w:rPr>
            </w:pPr>
            <w:r w:rsidRPr="00092ED7">
              <w:rPr>
                <w:rFonts w:eastAsia="Times New Roman" w:cs="Times New Roman"/>
                <w:b/>
                <w:bCs/>
                <w:sz w:val="20"/>
                <w:szCs w:val="20"/>
                <w:lang w:val="sr-Cyrl-CS"/>
              </w:rPr>
              <w:t>22. Унапређење ефикасности здравственог система кроз дигитализацију процеса</w:t>
            </w:r>
          </w:p>
        </w:tc>
      </w:tr>
      <w:tr w:rsidR="002E0746" w:rsidRPr="00092ED7" w14:paraId="6F40F440" w14:textId="77777777" w:rsidTr="007C54E3">
        <w:trPr>
          <w:trHeight w:val="330"/>
        </w:trPr>
        <w:tc>
          <w:tcPr>
            <w:tcW w:w="1176" w:type="dxa"/>
            <w:tcBorders>
              <w:top w:val="nil"/>
              <w:left w:val="single" w:sz="8" w:space="0" w:color="auto"/>
              <w:bottom w:val="single" w:sz="8" w:space="0" w:color="auto"/>
              <w:right w:val="single" w:sz="8" w:space="0" w:color="auto"/>
            </w:tcBorders>
            <w:shd w:val="clear" w:color="000000" w:fill="FFFFFF"/>
            <w:noWrap/>
            <w:vAlign w:val="center"/>
            <w:hideMark/>
          </w:tcPr>
          <w:p w14:paraId="7B7768DB"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b/>
                <w:bCs/>
                <w:sz w:val="20"/>
                <w:szCs w:val="20"/>
                <w:lang w:val="sr-Cyrl-CS"/>
              </w:rPr>
              <w:lastRenderedPageBreak/>
              <w:t>Година</w:t>
            </w:r>
          </w:p>
        </w:tc>
        <w:tc>
          <w:tcPr>
            <w:tcW w:w="1290" w:type="dxa"/>
            <w:tcBorders>
              <w:top w:val="nil"/>
              <w:left w:val="nil"/>
              <w:bottom w:val="single" w:sz="8" w:space="0" w:color="auto"/>
              <w:right w:val="single" w:sz="8" w:space="0" w:color="auto"/>
            </w:tcBorders>
            <w:shd w:val="clear" w:color="auto" w:fill="auto"/>
            <w:noWrap/>
            <w:vAlign w:val="center"/>
            <w:hideMark/>
          </w:tcPr>
          <w:p w14:paraId="2EFE847C"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Плате</w:t>
            </w:r>
          </w:p>
        </w:tc>
        <w:tc>
          <w:tcPr>
            <w:tcW w:w="1750" w:type="dxa"/>
            <w:tcBorders>
              <w:top w:val="nil"/>
              <w:left w:val="nil"/>
              <w:bottom w:val="single" w:sz="8" w:space="0" w:color="auto"/>
              <w:right w:val="single" w:sz="8" w:space="0" w:color="auto"/>
            </w:tcBorders>
            <w:shd w:val="clear" w:color="auto" w:fill="auto"/>
            <w:noWrap/>
            <w:vAlign w:val="center"/>
            <w:hideMark/>
          </w:tcPr>
          <w:p w14:paraId="752D4450"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Добра и услуге</w:t>
            </w:r>
          </w:p>
        </w:tc>
        <w:tc>
          <w:tcPr>
            <w:tcW w:w="1624" w:type="dxa"/>
            <w:tcBorders>
              <w:top w:val="nil"/>
              <w:left w:val="nil"/>
              <w:bottom w:val="single" w:sz="8" w:space="0" w:color="auto"/>
              <w:right w:val="single" w:sz="8" w:space="0" w:color="auto"/>
            </w:tcBorders>
            <w:shd w:val="clear" w:color="auto" w:fill="auto"/>
            <w:noWrap/>
            <w:vAlign w:val="center"/>
            <w:hideMark/>
          </w:tcPr>
          <w:p w14:paraId="64A2A4E6"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Субвенције и трансфери</w:t>
            </w:r>
          </w:p>
        </w:tc>
        <w:tc>
          <w:tcPr>
            <w:tcW w:w="1538" w:type="dxa"/>
            <w:tcBorders>
              <w:top w:val="nil"/>
              <w:left w:val="nil"/>
              <w:bottom w:val="single" w:sz="8" w:space="0" w:color="auto"/>
              <w:right w:val="single" w:sz="8" w:space="0" w:color="auto"/>
            </w:tcBorders>
            <w:shd w:val="clear" w:color="auto" w:fill="auto"/>
            <w:noWrap/>
            <w:vAlign w:val="center"/>
            <w:hideMark/>
          </w:tcPr>
          <w:p w14:paraId="4E9D04DD"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Капитални расходи</w:t>
            </w:r>
          </w:p>
        </w:tc>
        <w:tc>
          <w:tcPr>
            <w:tcW w:w="1628" w:type="dxa"/>
            <w:tcBorders>
              <w:top w:val="nil"/>
              <w:left w:val="nil"/>
              <w:bottom w:val="single" w:sz="8" w:space="0" w:color="auto"/>
              <w:right w:val="single" w:sz="8" w:space="0" w:color="auto"/>
            </w:tcBorders>
            <w:shd w:val="clear" w:color="auto" w:fill="auto"/>
            <w:noWrap/>
            <w:vAlign w:val="center"/>
            <w:hideMark/>
          </w:tcPr>
          <w:p w14:paraId="78D06F0B"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Укупно</w:t>
            </w:r>
          </w:p>
        </w:tc>
      </w:tr>
      <w:tr w:rsidR="002E0746" w:rsidRPr="00092ED7" w14:paraId="351BC9BA" w14:textId="77777777" w:rsidTr="007C54E3">
        <w:trPr>
          <w:trHeight w:val="330"/>
        </w:trPr>
        <w:tc>
          <w:tcPr>
            <w:tcW w:w="1176" w:type="dxa"/>
            <w:tcBorders>
              <w:top w:val="nil"/>
              <w:left w:val="single" w:sz="8" w:space="0" w:color="auto"/>
              <w:bottom w:val="single" w:sz="8" w:space="0" w:color="auto"/>
              <w:right w:val="single" w:sz="8" w:space="0" w:color="auto"/>
            </w:tcBorders>
            <w:shd w:val="clear" w:color="000000" w:fill="FFFFFF"/>
            <w:noWrap/>
            <w:vAlign w:val="center"/>
            <w:hideMark/>
          </w:tcPr>
          <w:p w14:paraId="29E733D0"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2023</w:t>
            </w:r>
          </w:p>
        </w:tc>
        <w:tc>
          <w:tcPr>
            <w:tcW w:w="1290" w:type="dxa"/>
            <w:tcBorders>
              <w:top w:val="nil"/>
              <w:left w:val="nil"/>
              <w:bottom w:val="single" w:sz="8" w:space="0" w:color="auto"/>
              <w:right w:val="single" w:sz="8" w:space="0" w:color="auto"/>
            </w:tcBorders>
            <w:shd w:val="clear" w:color="auto" w:fill="auto"/>
            <w:noWrap/>
            <w:vAlign w:val="center"/>
            <w:hideMark/>
          </w:tcPr>
          <w:p w14:paraId="25BB7015"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750" w:type="dxa"/>
            <w:tcBorders>
              <w:top w:val="nil"/>
              <w:left w:val="nil"/>
              <w:bottom w:val="single" w:sz="8" w:space="0" w:color="auto"/>
              <w:right w:val="single" w:sz="8" w:space="0" w:color="auto"/>
            </w:tcBorders>
            <w:shd w:val="clear" w:color="auto" w:fill="auto"/>
            <w:noWrap/>
            <w:vAlign w:val="center"/>
            <w:hideMark/>
          </w:tcPr>
          <w:p w14:paraId="22C78DFA" w14:textId="3B710167" w:rsidR="008D7C20" w:rsidRPr="00092ED7" w:rsidRDefault="00F30C7B" w:rsidP="008D7C20">
            <w:pPr>
              <w:spacing w:after="0"/>
              <w:jc w:val="right"/>
              <w:rPr>
                <w:rFonts w:eastAsia="Times New Roman" w:cs="Times New Roman"/>
                <w:sz w:val="20"/>
                <w:szCs w:val="20"/>
                <w:lang w:val="sr-Cyrl-CS"/>
              </w:rPr>
            </w:pPr>
            <w:r w:rsidRPr="00092ED7">
              <w:rPr>
                <w:rFonts w:eastAsia="Times New Roman" w:cs="Times New Roman"/>
                <w:sz w:val="20"/>
                <w:szCs w:val="20"/>
                <w:lang w:val="sr-Cyrl-CS"/>
              </w:rPr>
              <w:t>6.463.125</w:t>
            </w:r>
            <w:r w:rsidR="008D7C20" w:rsidRPr="00092ED7">
              <w:rPr>
                <w:rFonts w:eastAsia="Times New Roman" w:cs="Times New Roman"/>
                <w:sz w:val="20"/>
                <w:szCs w:val="20"/>
                <w:lang w:val="sr-Cyrl-CS"/>
              </w:rPr>
              <w:t>,00</w:t>
            </w:r>
          </w:p>
        </w:tc>
        <w:tc>
          <w:tcPr>
            <w:tcW w:w="1624" w:type="dxa"/>
            <w:tcBorders>
              <w:top w:val="nil"/>
              <w:left w:val="nil"/>
              <w:bottom w:val="single" w:sz="8" w:space="0" w:color="auto"/>
              <w:right w:val="single" w:sz="8" w:space="0" w:color="auto"/>
            </w:tcBorders>
            <w:shd w:val="clear" w:color="auto" w:fill="auto"/>
            <w:noWrap/>
            <w:vAlign w:val="center"/>
            <w:hideMark/>
          </w:tcPr>
          <w:p w14:paraId="5C9E7A13"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38" w:type="dxa"/>
            <w:tcBorders>
              <w:top w:val="nil"/>
              <w:left w:val="nil"/>
              <w:bottom w:val="single" w:sz="8" w:space="0" w:color="auto"/>
              <w:right w:val="single" w:sz="8" w:space="0" w:color="auto"/>
            </w:tcBorders>
            <w:shd w:val="clear" w:color="auto" w:fill="auto"/>
            <w:noWrap/>
            <w:vAlign w:val="center"/>
            <w:hideMark/>
          </w:tcPr>
          <w:p w14:paraId="46BE04F7"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6.036.875,00</w:t>
            </w:r>
          </w:p>
        </w:tc>
        <w:tc>
          <w:tcPr>
            <w:tcW w:w="1628" w:type="dxa"/>
            <w:tcBorders>
              <w:top w:val="nil"/>
              <w:left w:val="nil"/>
              <w:bottom w:val="single" w:sz="8" w:space="0" w:color="auto"/>
              <w:right w:val="single" w:sz="8" w:space="0" w:color="auto"/>
            </w:tcBorders>
            <w:shd w:val="clear" w:color="auto" w:fill="auto"/>
            <w:noWrap/>
            <w:vAlign w:val="center"/>
            <w:hideMark/>
          </w:tcPr>
          <w:p w14:paraId="02D15E50" w14:textId="7DBB99E4"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w:t>
            </w:r>
            <w:r w:rsidR="00F30C7B" w:rsidRPr="00092ED7">
              <w:rPr>
                <w:rFonts w:eastAsia="Times New Roman" w:cs="Times New Roman"/>
                <w:color w:val="000000"/>
                <w:sz w:val="20"/>
                <w:szCs w:val="20"/>
                <w:lang w:val="sr-Cyrl-CS"/>
              </w:rPr>
              <w:t>2</w:t>
            </w:r>
            <w:r w:rsidRPr="00092ED7">
              <w:rPr>
                <w:rFonts w:eastAsia="Times New Roman" w:cs="Times New Roman"/>
                <w:color w:val="000000"/>
                <w:sz w:val="20"/>
                <w:szCs w:val="20"/>
                <w:lang w:val="sr-Cyrl-CS"/>
              </w:rPr>
              <w:t>.</w:t>
            </w:r>
            <w:r w:rsidR="00F30C7B" w:rsidRPr="00092ED7">
              <w:rPr>
                <w:rFonts w:eastAsia="Times New Roman" w:cs="Times New Roman"/>
                <w:color w:val="000000"/>
                <w:sz w:val="20"/>
                <w:szCs w:val="20"/>
                <w:lang w:val="sr-Cyrl-CS"/>
              </w:rPr>
              <w:t>5</w:t>
            </w:r>
            <w:r w:rsidRPr="00092ED7">
              <w:rPr>
                <w:rFonts w:eastAsia="Times New Roman" w:cs="Times New Roman"/>
                <w:color w:val="000000"/>
                <w:sz w:val="20"/>
                <w:szCs w:val="20"/>
                <w:lang w:val="sr-Cyrl-CS"/>
              </w:rPr>
              <w:t>00.000,00</w:t>
            </w:r>
          </w:p>
        </w:tc>
      </w:tr>
      <w:tr w:rsidR="002E0746" w:rsidRPr="00092ED7" w14:paraId="5A97173A" w14:textId="77777777" w:rsidTr="007C54E3">
        <w:trPr>
          <w:trHeight w:val="330"/>
        </w:trPr>
        <w:tc>
          <w:tcPr>
            <w:tcW w:w="1176" w:type="dxa"/>
            <w:tcBorders>
              <w:top w:val="nil"/>
              <w:left w:val="single" w:sz="8" w:space="0" w:color="auto"/>
              <w:bottom w:val="single" w:sz="8" w:space="0" w:color="auto"/>
              <w:right w:val="single" w:sz="8" w:space="0" w:color="auto"/>
            </w:tcBorders>
            <w:shd w:val="clear" w:color="000000" w:fill="FFFFFF"/>
            <w:noWrap/>
            <w:vAlign w:val="center"/>
            <w:hideMark/>
          </w:tcPr>
          <w:p w14:paraId="0616B3ED"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2024</w:t>
            </w:r>
          </w:p>
        </w:tc>
        <w:tc>
          <w:tcPr>
            <w:tcW w:w="1290" w:type="dxa"/>
            <w:tcBorders>
              <w:top w:val="nil"/>
              <w:left w:val="nil"/>
              <w:bottom w:val="single" w:sz="8" w:space="0" w:color="auto"/>
              <w:right w:val="single" w:sz="8" w:space="0" w:color="auto"/>
            </w:tcBorders>
            <w:shd w:val="clear" w:color="auto" w:fill="auto"/>
            <w:noWrap/>
            <w:vAlign w:val="center"/>
            <w:hideMark/>
          </w:tcPr>
          <w:p w14:paraId="30013CED"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750" w:type="dxa"/>
            <w:tcBorders>
              <w:top w:val="nil"/>
              <w:left w:val="nil"/>
              <w:bottom w:val="single" w:sz="8" w:space="0" w:color="auto"/>
              <w:right w:val="single" w:sz="8" w:space="0" w:color="auto"/>
            </w:tcBorders>
            <w:shd w:val="clear" w:color="auto" w:fill="auto"/>
            <w:noWrap/>
            <w:vAlign w:val="center"/>
            <w:hideMark/>
          </w:tcPr>
          <w:p w14:paraId="3A8B21EC" w14:textId="77777777" w:rsidR="008D7C20" w:rsidRPr="00092ED7" w:rsidRDefault="008D7C20" w:rsidP="008D7C20">
            <w:pPr>
              <w:spacing w:after="0"/>
              <w:jc w:val="right"/>
              <w:rPr>
                <w:rFonts w:eastAsia="Times New Roman" w:cs="Times New Roman"/>
                <w:sz w:val="20"/>
                <w:szCs w:val="20"/>
                <w:lang w:val="sr-Cyrl-CS"/>
              </w:rPr>
            </w:pPr>
            <w:r w:rsidRPr="00092ED7">
              <w:rPr>
                <w:rFonts w:eastAsia="Times New Roman" w:cs="Times New Roman"/>
                <w:sz w:val="20"/>
                <w:szCs w:val="20"/>
                <w:lang w:val="sr-Cyrl-CS"/>
              </w:rPr>
              <w:t>6.463.125,00</w:t>
            </w:r>
          </w:p>
        </w:tc>
        <w:tc>
          <w:tcPr>
            <w:tcW w:w="1624" w:type="dxa"/>
            <w:tcBorders>
              <w:top w:val="nil"/>
              <w:left w:val="nil"/>
              <w:bottom w:val="single" w:sz="8" w:space="0" w:color="auto"/>
              <w:right w:val="single" w:sz="8" w:space="0" w:color="auto"/>
            </w:tcBorders>
            <w:shd w:val="clear" w:color="auto" w:fill="auto"/>
            <w:noWrap/>
            <w:vAlign w:val="center"/>
            <w:hideMark/>
          </w:tcPr>
          <w:p w14:paraId="06A11BB3"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38" w:type="dxa"/>
            <w:tcBorders>
              <w:top w:val="nil"/>
              <w:left w:val="nil"/>
              <w:bottom w:val="single" w:sz="8" w:space="0" w:color="auto"/>
              <w:right w:val="single" w:sz="8" w:space="0" w:color="auto"/>
            </w:tcBorders>
            <w:shd w:val="clear" w:color="auto" w:fill="auto"/>
            <w:noWrap/>
            <w:vAlign w:val="center"/>
            <w:hideMark/>
          </w:tcPr>
          <w:p w14:paraId="6DB06802"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6.036.875,00</w:t>
            </w:r>
          </w:p>
        </w:tc>
        <w:tc>
          <w:tcPr>
            <w:tcW w:w="1628" w:type="dxa"/>
            <w:tcBorders>
              <w:top w:val="nil"/>
              <w:left w:val="nil"/>
              <w:bottom w:val="single" w:sz="8" w:space="0" w:color="auto"/>
              <w:right w:val="single" w:sz="8" w:space="0" w:color="auto"/>
            </w:tcBorders>
            <w:shd w:val="clear" w:color="auto" w:fill="auto"/>
            <w:noWrap/>
            <w:vAlign w:val="center"/>
            <w:hideMark/>
          </w:tcPr>
          <w:p w14:paraId="23930798"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12.500.000,00</w:t>
            </w:r>
          </w:p>
        </w:tc>
      </w:tr>
      <w:tr w:rsidR="002E0746" w:rsidRPr="00092ED7" w14:paraId="6456CA95" w14:textId="77777777" w:rsidTr="007C54E3">
        <w:trPr>
          <w:trHeight w:val="330"/>
        </w:trPr>
        <w:tc>
          <w:tcPr>
            <w:tcW w:w="1176" w:type="dxa"/>
            <w:tcBorders>
              <w:top w:val="nil"/>
              <w:left w:val="single" w:sz="8" w:space="0" w:color="auto"/>
              <w:bottom w:val="single" w:sz="4" w:space="0" w:color="auto"/>
              <w:right w:val="single" w:sz="8" w:space="0" w:color="auto"/>
            </w:tcBorders>
            <w:shd w:val="clear" w:color="000000" w:fill="FFFFFF"/>
            <w:noWrap/>
            <w:vAlign w:val="center"/>
            <w:hideMark/>
          </w:tcPr>
          <w:p w14:paraId="7162F112"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2025</w:t>
            </w:r>
          </w:p>
        </w:tc>
        <w:tc>
          <w:tcPr>
            <w:tcW w:w="1290" w:type="dxa"/>
            <w:tcBorders>
              <w:top w:val="nil"/>
              <w:left w:val="nil"/>
              <w:bottom w:val="single" w:sz="4" w:space="0" w:color="auto"/>
              <w:right w:val="single" w:sz="8" w:space="0" w:color="auto"/>
            </w:tcBorders>
            <w:shd w:val="clear" w:color="auto" w:fill="auto"/>
            <w:noWrap/>
            <w:vAlign w:val="center"/>
            <w:hideMark/>
          </w:tcPr>
          <w:p w14:paraId="7BC73A0B"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750" w:type="dxa"/>
            <w:tcBorders>
              <w:top w:val="nil"/>
              <w:left w:val="nil"/>
              <w:bottom w:val="single" w:sz="4" w:space="0" w:color="auto"/>
              <w:right w:val="single" w:sz="8" w:space="0" w:color="auto"/>
            </w:tcBorders>
            <w:shd w:val="clear" w:color="auto" w:fill="auto"/>
            <w:noWrap/>
            <w:vAlign w:val="center"/>
            <w:hideMark/>
          </w:tcPr>
          <w:p w14:paraId="250AB79A" w14:textId="77777777" w:rsidR="008D7C20" w:rsidRPr="00092ED7" w:rsidRDefault="008D7C20" w:rsidP="008D7C20">
            <w:pPr>
              <w:spacing w:after="0"/>
              <w:jc w:val="right"/>
              <w:rPr>
                <w:rFonts w:eastAsia="Times New Roman" w:cs="Times New Roman"/>
                <w:sz w:val="20"/>
                <w:szCs w:val="20"/>
                <w:lang w:val="sr-Cyrl-CS"/>
              </w:rPr>
            </w:pPr>
            <w:r w:rsidRPr="00092ED7">
              <w:rPr>
                <w:rFonts w:eastAsia="Times New Roman" w:cs="Times New Roman"/>
                <w:sz w:val="20"/>
                <w:szCs w:val="20"/>
                <w:lang w:val="sr-Cyrl-CS"/>
              </w:rPr>
              <w:t>6.463.125,00</w:t>
            </w:r>
          </w:p>
        </w:tc>
        <w:tc>
          <w:tcPr>
            <w:tcW w:w="1624" w:type="dxa"/>
            <w:tcBorders>
              <w:top w:val="nil"/>
              <w:left w:val="nil"/>
              <w:bottom w:val="single" w:sz="4" w:space="0" w:color="auto"/>
              <w:right w:val="single" w:sz="8" w:space="0" w:color="auto"/>
            </w:tcBorders>
            <w:shd w:val="clear" w:color="auto" w:fill="auto"/>
            <w:noWrap/>
            <w:vAlign w:val="center"/>
            <w:hideMark/>
          </w:tcPr>
          <w:p w14:paraId="27324F50"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38" w:type="dxa"/>
            <w:tcBorders>
              <w:top w:val="nil"/>
              <w:left w:val="nil"/>
              <w:bottom w:val="single" w:sz="4" w:space="0" w:color="auto"/>
              <w:right w:val="single" w:sz="8" w:space="0" w:color="auto"/>
            </w:tcBorders>
            <w:shd w:val="clear" w:color="auto" w:fill="auto"/>
            <w:noWrap/>
            <w:vAlign w:val="center"/>
            <w:hideMark/>
          </w:tcPr>
          <w:p w14:paraId="501964A9"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6.036.875,00</w:t>
            </w:r>
          </w:p>
        </w:tc>
        <w:tc>
          <w:tcPr>
            <w:tcW w:w="1628" w:type="dxa"/>
            <w:tcBorders>
              <w:top w:val="nil"/>
              <w:left w:val="nil"/>
              <w:bottom w:val="single" w:sz="4" w:space="0" w:color="auto"/>
              <w:right w:val="single" w:sz="8" w:space="0" w:color="auto"/>
            </w:tcBorders>
            <w:shd w:val="clear" w:color="auto" w:fill="auto"/>
            <w:noWrap/>
            <w:vAlign w:val="center"/>
            <w:hideMark/>
          </w:tcPr>
          <w:p w14:paraId="793794DD"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12.500.000,00</w:t>
            </w:r>
          </w:p>
        </w:tc>
      </w:tr>
      <w:tr w:rsidR="00812992" w:rsidRPr="00092ED7" w14:paraId="45C7B6E6" w14:textId="77777777" w:rsidTr="006D5549">
        <w:trPr>
          <w:trHeight w:val="330"/>
        </w:trPr>
        <w:tc>
          <w:tcPr>
            <w:tcW w:w="9006" w:type="dxa"/>
            <w:gridSpan w:val="6"/>
            <w:tcBorders>
              <w:top w:val="nil"/>
              <w:left w:val="single" w:sz="8" w:space="0" w:color="auto"/>
              <w:bottom w:val="single" w:sz="4" w:space="0" w:color="auto"/>
              <w:right w:val="single" w:sz="8" w:space="0" w:color="auto"/>
            </w:tcBorders>
            <w:shd w:val="clear" w:color="000000" w:fill="FFFFFF"/>
            <w:noWrap/>
            <w:vAlign w:val="center"/>
          </w:tcPr>
          <w:p w14:paraId="70A6B056" w14:textId="77777777" w:rsidR="00812992" w:rsidRPr="00092ED7" w:rsidRDefault="00812992" w:rsidP="008D7C20">
            <w:pPr>
              <w:spacing w:after="0"/>
              <w:jc w:val="right"/>
              <w:rPr>
                <w:rFonts w:eastAsia="Times New Roman" w:cs="Times New Roman"/>
                <w:color w:val="000000"/>
                <w:sz w:val="20"/>
                <w:szCs w:val="20"/>
                <w:lang w:val="sr-Cyrl-CS"/>
              </w:rPr>
            </w:pPr>
          </w:p>
        </w:tc>
      </w:tr>
      <w:tr w:rsidR="002E0746" w:rsidRPr="00092ED7" w14:paraId="786CB83B" w14:textId="77777777" w:rsidTr="007C54E3">
        <w:trPr>
          <w:trHeight w:val="330"/>
        </w:trPr>
        <w:tc>
          <w:tcPr>
            <w:tcW w:w="1176" w:type="dxa"/>
            <w:tcBorders>
              <w:top w:val="single" w:sz="4" w:space="0" w:color="auto"/>
              <w:left w:val="single" w:sz="4" w:space="0" w:color="auto"/>
              <w:bottom w:val="single" w:sz="4" w:space="0" w:color="auto"/>
              <w:right w:val="single" w:sz="4" w:space="0" w:color="auto"/>
            </w:tcBorders>
            <w:shd w:val="clear" w:color="auto" w:fill="D9D9D9"/>
            <w:noWrap/>
            <w:vAlign w:val="center"/>
          </w:tcPr>
          <w:p w14:paraId="19C05F83" w14:textId="77777777" w:rsidR="008D7C20" w:rsidRPr="00092ED7" w:rsidRDefault="008D7C20" w:rsidP="008D7C20">
            <w:pPr>
              <w:spacing w:after="0"/>
              <w:jc w:val="left"/>
              <w:rPr>
                <w:rFonts w:eastAsia="Times New Roman" w:cs="Times New Roman"/>
                <w:b/>
                <w:sz w:val="20"/>
                <w:szCs w:val="20"/>
                <w:lang w:val="sr-Cyrl-CS"/>
              </w:rPr>
            </w:pPr>
            <w:r w:rsidRPr="00092ED7">
              <w:rPr>
                <w:rFonts w:eastAsia="Times New Roman" w:cs="Times New Roman"/>
                <w:b/>
                <w:sz w:val="20"/>
                <w:szCs w:val="20"/>
                <w:lang w:val="sr-Cyrl-CS"/>
              </w:rPr>
              <w:t>УКУПНО</w:t>
            </w:r>
          </w:p>
        </w:tc>
        <w:tc>
          <w:tcPr>
            <w:tcW w:w="1290" w:type="dxa"/>
            <w:tcBorders>
              <w:top w:val="single" w:sz="4" w:space="0" w:color="auto"/>
              <w:left w:val="single" w:sz="4" w:space="0" w:color="auto"/>
              <w:bottom w:val="single" w:sz="4" w:space="0" w:color="auto"/>
              <w:right w:val="single" w:sz="4" w:space="0" w:color="auto"/>
            </w:tcBorders>
            <w:shd w:val="clear" w:color="auto" w:fill="D9D9D9"/>
            <w:noWrap/>
            <w:vAlign w:val="center"/>
          </w:tcPr>
          <w:p w14:paraId="041CE2C9" w14:textId="77777777" w:rsidR="008D7C20" w:rsidRPr="00092ED7" w:rsidRDefault="008D7C20" w:rsidP="008D7C20">
            <w:pPr>
              <w:spacing w:after="0"/>
              <w:jc w:val="right"/>
              <w:rPr>
                <w:rFonts w:eastAsia="Times New Roman" w:cs="Times New Roman"/>
                <w:b/>
                <w:color w:val="000000"/>
                <w:sz w:val="20"/>
                <w:szCs w:val="20"/>
                <w:lang w:val="sr-Cyrl-CS"/>
              </w:rPr>
            </w:pPr>
            <w:r w:rsidRPr="00092ED7">
              <w:rPr>
                <w:rFonts w:eastAsia="Times New Roman" w:cs="Times New Roman"/>
                <w:b/>
                <w:color w:val="000000"/>
                <w:sz w:val="20"/>
                <w:szCs w:val="20"/>
                <w:lang w:val="sr-Cyrl-CS"/>
              </w:rPr>
              <w:t>1</w:t>
            </w:r>
            <w:r w:rsidRPr="00092ED7">
              <w:rPr>
                <w:rFonts w:eastAsia="Times New Roman" w:cs="Times New Roman"/>
                <w:b/>
                <w:sz w:val="20"/>
                <w:szCs w:val="20"/>
                <w:lang w:val="sr-Cyrl-CS"/>
              </w:rPr>
              <w:t>.302.350,00</w:t>
            </w:r>
          </w:p>
        </w:tc>
        <w:tc>
          <w:tcPr>
            <w:tcW w:w="1750" w:type="dxa"/>
            <w:tcBorders>
              <w:top w:val="single" w:sz="4" w:space="0" w:color="auto"/>
              <w:left w:val="single" w:sz="4" w:space="0" w:color="auto"/>
              <w:bottom w:val="single" w:sz="4" w:space="0" w:color="auto"/>
              <w:right w:val="single" w:sz="4" w:space="0" w:color="auto"/>
            </w:tcBorders>
            <w:shd w:val="clear" w:color="auto" w:fill="D9D9D9"/>
            <w:noWrap/>
            <w:vAlign w:val="center"/>
          </w:tcPr>
          <w:p w14:paraId="6334E35A" w14:textId="37FE98C4" w:rsidR="008D7C20" w:rsidRPr="00092ED7" w:rsidRDefault="002E0746" w:rsidP="005B4EE2">
            <w:pPr>
              <w:spacing w:after="0"/>
              <w:jc w:val="right"/>
              <w:rPr>
                <w:rFonts w:eastAsia="Times New Roman" w:cs="Times New Roman"/>
                <w:b/>
                <w:sz w:val="20"/>
                <w:szCs w:val="20"/>
                <w:lang w:val="sr-Cyrl-CS"/>
              </w:rPr>
            </w:pPr>
            <w:r w:rsidRPr="00092ED7">
              <w:rPr>
                <w:rFonts w:eastAsia="Times New Roman" w:cs="Times New Roman"/>
                <w:b/>
                <w:sz w:val="20"/>
                <w:szCs w:val="20"/>
                <w:lang w:val="sr-Cyrl-CS"/>
              </w:rPr>
              <w:t>40</w:t>
            </w:r>
            <w:r w:rsidR="00B9325E" w:rsidRPr="00092ED7">
              <w:rPr>
                <w:rFonts w:eastAsia="Times New Roman" w:cs="Times New Roman"/>
                <w:b/>
                <w:sz w:val="20"/>
                <w:szCs w:val="20"/>
                <w:lang w:val="sr-Cyrl-CS"/>
              </w:rPr>
              <w:t>8</w:t>
            </w:r>
            <w:r w:rsidRPr="00092ED7">
              <w:rPr>
                <w:rFonts w:eastAsia="Times New Roman" w:cs="Times New Roman"/>
                <w:b/>
                <w:sz w:val="20"/>
                <w:szCs w:val="20"/>
                <w:lang w:val="sr-Cyrl-CS"/>
              </w:rPr>
              <w:t>.</w:t>
            </w:r>
            <w:r w:rsidR="00B9325E" w:rsidRPr="00092ED7">
              <w:rPr>
                <w:rFonts w:eastAsia="Times New Roman" w:cs="Times New Roman"/>
                <w:b/>
                <w:sz w:val="20"/>
                <w:szCs w:val="20"/>
                <w:lang w:val="sr-Cyrl-CS"/>
              </w:rPr>
              <w:t>0</w:t>
            </w:r>
            <w:r w:rsidR="005B4EE2" w:rsidRPr="00092ED7">
              <w:rPr>
                <w:rFonts w:eastAsia="Times New Roman" w:cs="Times New Roman"/>
                <w:b/>
                <w:sz w:val="20"/>
                <w:szCs w:val="20"/>
                <w:lang w:val="sr-Cyrl-CS"/>
              </w:rPr>
              <w:t>19</w:t>
            </w:r>
            <w:r w:rsidRPr="00092ED7">
              <w:rPr>
                <w:rFonts w:eastAsia="Times New Roman" w:cs="Times New Roman"/>
                <w:b/>
                <w:sz w:val="20"/>
                <w:szCs w:val="20"/>
                <w:lang w:val="sr-Cyrl-CS"/>
              </w:rPr>
              <w:t>.</w:t>
            </w:r>
            <w:r w:rsidR="005B4EE2" w:rsidRPr="00092ED7">
              <w:rPr>
                <w:rFonts w:eastAsia="Times New Roman" w:cs="Times New Roman"/>
                <w:b/>
                <w:sz w:val="20"/>
                <w:szCs w:val="20"/>
                <w:lang w:val="sr-Cyrl-CS"/>
              </w:rPr>
              <w:t>948</w:t>
            </w:r>
            <w:r w:rsidR="008D7C20" w:rsidRPr="00092ED7">
              <w:rPr>
                <w:rFonts w:eastAsia="Times New Roman" w:cs="Times New Roman"/>
                <w:b/>
                <w:sz w:val="20"/>
                <w:szCs w:val="20"/>
                <w:lang w:val="sr-Cyrl-CS"/>
              </w:rPr>
              <w:t>,33</w:t>
            </w:r>
          </w:p>
        </w:tc>
        <w:tc>
          <w:tcPr>
            <w:tcW w:w="1624" w:type="dxa"/>
            <w:tcBorders>
              <w:top w:val="single" w:sz="4" w:space="0" w:color="auto"/>
              <w:left w:val="single" w:sz="4" w:space="0" w:color="auto"/>
              <w:bottom w:val="single" w:sz="4" w:space="0" w:color="auto"/>
              <w:right w:val="single" w:sz="4" w:space="0" w:color="auto"/>
            </w:tcBorders>
            <w:shd w:val="clear" w:color="auto" w:fill="D9D9D9"/>
            <w:noWrap/>
            <w:vAlign w:val="center"/>
          </w:tcPr>
          <w:p w14:paraId="7F02E595" w14:textId="188161EC" w:rsidR="008D7C20" w:rsidRPr="00092ED7" w:rsidRDefault="008D7C20" w:rsidP="003D1D17">
            <w:pPr>
              <w:spacing w:after="0"/>
              <w:jc w:val="right"/>
              <w:rPr>
                <w:rFonts w:eastAsia="Times New Roman" w:cs="Times New Roman"/>
                <w:b/>
                <w:color w:val="000000"/>
                <w:sz w:val="20"/>
                <w:szCs w:val="20"/>
                <w:lang w:val="sr-Cyrl-CS"/>
              </w:rPr>
            </w:pPr>
            <w:r w:rsidRPr="00092ED7">
              <w:rPr>
                <w:rFonts w:eastAsia="Times New Roman" w:cs="Times New Roman"/>
                <w:b/>
                <w:color w:val="000000"/>
                <w:sz w:val="20"/>
                <w:szCs w:val="20"/>
                <w:lang w:val="sr-Cyrl-CS"/>
              </w:rPr>
              <w:t>9</w:t>
            </w:r>
            <w:r w:rsidR="00981740" w:rsidRPr="00092ED7">
              <w:rPr>
                <w:rFonts w:eastAsia="Times New Roman" w:cs="Times New Roman"/>
                <w:b/>
                <w:color w:val="000000"/>
                <w:sz w:val="20"/>
                <w:szCs w:val="20"/>
                <w:lang w:val="sr-Cyrl-CS"/>
              </w:rPr>
              <w:t>9</w:t>
            </w:r>
            <w:r w:rsidRPr="00092ED7">
              <w:rPr>
                <w:rFonts w:eastAsia="Times New Roman" w:cs="Times New Roman"/>
                <w:b/>
                <w:color w:val="000000"/>
                <w:sz w:val="20"/>
                <w:szCs w:val="20"/>
                <w:lang w:val="sr-Cyrl-CS"/>
              </w:rPr>
              <w:t>.</w:t>
            </w:r>
            <w:r w:rsidR="00981740" w:rsidRPr="00092ED7">
              <w:rPr>
                <w:rFonts w:eastAsia="Times New Roman" w:cs="Times New Roman"/>
                <w:b/>
                <w:color w:val="000000"/>
                <w:sz w:val="20"/>
                <w:szCs w:val="20"/>
                <w:lang w:val="sr-Cyrl-CS"/>
              </w:rPr>
              <w:t>575</w:t>
            </w:r>
            <w:r w:rsidRPr="00092ED7">
              <w:rPr>
                <w:rFonts w:eastAsia="Times New Roman" w:cs="Times New Roman"/>
                <w:b/>
                <w:color w:val="000000"/>
                <w:sz w:val="20"/>
                <w:szCs w:val="20"/>
                <w:lang w:val="sr-Cyrl-CS"/>
              </w:rPr>
              <w:t>.</w:t>
            </w:r>
            <w:r w:rsidR="00981740" w:rsidRPr="00092ED7">
              <w:rPr>
                <w:rFonts w:eastAsia="Times New Roman" w:cs="Times New Roman"/>
                <w:b/>
                <w:color w:val="000000"/>
                <w:sz w:val="20"/>
                <w:szCs w:val="20"/>
                <w:lang w:val="sr-Cyrl-CS"/>
              </w:rPr>
              <w:t>418</w:t>
            </w:r>
            <w:r w:rsidRPr="00092ED7">
              <w:rPr>
                <w:rFonts w:eastAsia="Times New Roman" w:cs="Times New Roman"/>
                <w:b/>
                <w:color w:val="000000"/>
                <w:sz w:val="20"/>
                <w:szCs w:val="20"/>
                <w:lang w:val="sr-Cyrl-CS"/>
              </w:rPr>
              <w:t>,9</w:t>
            </w:r>
            <w:r w:rsidR="00981740" w:rsidRPr="00092ED7">
              <w:rPr>
                <w:rFonts w:eastAsia="Times New Roman" w:cs="Times New Roman"/>
                <w:b/>
                <w:color w:val="000000"/>
                <w:sz w:val="20"/>
                <w:szCs w:val="20"/>
                <w:lang w:val="sr-Cyrl-CS"/>
              </w:rPr>
              <w:t>7</w:t>
            </w:r>
          </w:p>
        </w:tc>
        <w:tc>
          <w:tcPr>
            <w:tcW w:w="1538" w:type="dxa"/>
            <w:tcBorders>
              <w:top w:val="single" w:sz="4" w:space="0" w:color="auto"/>
              <w:left w:val="single" w:sz="4" w:space="0" w:color="auto"/>
              <w:bottom w:val="single" w:sz="4" w:space="0" w:color="auto"/>
              <w:right w:val="single" w:sz="4" w:space="0" w:color="auto"/>
            </w:tcBorders>
            <w:shd w:val="clear" w:color="auto" w:fill="D9D9D9"/>
            <w:noWrap/>
            <w:vAlign w:val="center"/>
          </w:tcPr>
          <w:p w14:paraId="2D2E88EE" w14:textId="1AC69F38" w:rsidR="008D7C20" w:rsidRPr="00092ED7" w:rsidRDefault="007213A3" w:rsidP="007213A3">
            <w:pPr>
              <w:spacing w:after="0"/>
              <w:jc w:val="right"/>
              <w:rPr>
                <w:rFonts w:eastAsia="Times New Roman" w:cs="Times New Roman"/>
                <w:b/>
                <w:color w:val="000000"/>
                <w:sz w:val="20"/>
                <w:szCs w:val="20"/>
                <w:lang w:val="sr-Cyrl-CS"/>
              </w:rPr>
            </w:pPr>
            <w:r w:rsidRPr="00092ED7">
              <w:rPr>
                <w:rFonts w:eastAsia="Times New Roman" w:cs="Times New Roman"/>
                <w:b/>
                <w:color w:val="000000"/>
                <w:sz w:val="20"/>
                <w:szCs w:val="20"/>
                <w:lang w:val="sr-Cyrl-CS"/>
              </w:rPr>
              <w:t>621</w:t>
            </w:r>
            <w:r w:rsidR="002E0746" w:rsidRPr="00092ED7">
              <w:rPr>
                <w:rFonts w:eastAsia="Times New Roman" w:cs="Times New Roman"/>
                <w:b/>
                <w:color w:val="000000"/>
                <w:sz w:val="20"/>
                <w:szCs w:val="20"/>
                <w:lang w:val="sr-Cyrl-CS"/>
              </w:rPr>
              <w:t>.</w:t>
            </w:r>
            <w:r w:rsidRPr="00092ED7">
              <w:rPr>
                <w:rFonts w:eastAsia="Times New Roman" w:cs="Times New Roman"/>
                <w:b/>
                <w:color w:val="000000"/>
                <w:sz w:val="20"/>
                <w:szCs w:val="20"/>
                <w:lang w:val="sr-Cyrl-CS"/>
              </w:rPr>
              <w:t>163</w:t>
            </w:r>
            <w:r w:rsidR="002E0746" w:rsidRPr="00092ED7">
              <w:rPr>
                <w:rFonts w:eastAsia="Times New Roman" w:cs="Times New Roman"/>
                <w:b/>
                <w:color w:val="000000"/>
                <w:sz w:val="20"/>
                <w:szCs w:val="20"/>
                <w:lang w:val="sr-Cyrl-CS"/>
              </w:rPr>
              <w:t>.</w:t>
            </w:r>
            <w:r w:rsidRPr="00092ED7">
              <w:rPr>
                <w:rFonts w:eastAsia="Times New Roman" w:cs="Times New Roman"/>
                <w:b/>
                <w:color w:val="000000"/>
                <w:sz w:val="20"/>
                <w:szCs w:val="20"/>
                <w:lang w:val="sr-Cyrl-CS"/>
              </w:rPr>
              <w:t>653</w:t>
            </w:r>
            <w:r w:rsidR="008D7C20" w:rsidRPr="00092ED7">
              <w:rPr>
                <w:rFonts w:eastAsia="Times New Roman" w:cs="Times New Roman"/>
                <w:b/>
                <w:color w:val="000000"/>
                <w:sz w:val="20"/>
                <w:szCs w:val="20"/>
                <w:lang w:val="sr-Cyrl-CS"/>
              </w:rPr>
              <w:t>,97</w:t>
            </w:r>
          </w:p>
        </w:tc>
        <w:tc>
          <w:tcPr>
            <w:tcW w:w="1628" w:type="dxa"/>
            <w:tcBorders>
              <w:top w:val="single" w:sz="4" w:space="0" w:color="auto"/>
              <w:left w:val="single" w:sz="4" w:space="0" w:color="auto"/>
              <w:bottom w:val="single" w:sz="4" w:space="0" w:color="auto"/>
              <w:right w:val="single" w:sz="4" w:space="0" w:color="auto"/>
            </w:tcBorders>
            <w:shd w:val="clear" w:color="auto" w:fill="D9D9D9"/>
            <w:noWrap/>
            <w:vAlign w:val="center"/>
          </w:tcPr>
          <w:p w14:paraId="6D47D96A" w14:textId="0B68025A" w:rsidR="008D7C20" w:rsidRPr="00092ED7" w:rsidRDefault="002E0746" w:rsidP="007213A3">
            <w:pPr>
              <w:spacing w:after="0"/>
              <w:jc w:val="right"/>
              <w:rPr>
                <w:rFonts w:eastAsia="Times New Roman" w:cs="Times New Roman"/>
                <w:b/>
                <w:color w:val="000000"/>
                <w:sz w:val="20"/>
                <w:szCs w:val="20"/>
                <w:lang w:val="sr-Cyrl-CS"/>
              </w:rPr>
            </w:pPr>
            <w:r w:rsidRPr="00092ED7">
              <w:rPr>
                <w:rFonts w:eastAsia="Times New Roman" w:cs="Times New Roman"/>
                <w:b/>
                <w:color w:val="000000"/>
                <w:sz w:val="20"/>
                <w:szCs w:val="20"/>
                <w:lang w:val="sr-Cyrl-CS"/>
              </w:rPr>
              <w:t>1.</w:t>
            </w:r>
            <w:r w:rsidR="007213A3" w:rsidRPr="00092ED7">
              <w:rPr>
                <w:rFonts w:eastAsia="Times New Roman" w:cs="Times New Roman"/>
                <w:b/>
                <w:color w:val="000000"/>
                <w:sz w:val="20"/>
                <w:szCs w:val="20"/>
                <w:lang w:val="sr-Cyrl-CS"/>
              </w:rPr>
              <w:t>130</w:t>
            </w:r>
            <w:r w:rsidRPr="00092ED7">
              <w:rPr>
                <w:rFonts w:eastAsia="Times New Roman" w:cs="Times New Roman"/>
                <w:b/>
                <w:color w:val="000000"/>
                <w:sz w:val="20"/>
                <w:szCs w:val="20"/>
                <w:lang w:val="sr-Cyrl-CS"/>
              </w:rPr>
              <w:t>.</w:t>
            </w:r>
            <w:r w:rsidR="007213A3" w:rsidRPr="00092ED7">
              <w:rPr>
                <w:rFonts w:eastAsia="Times New Roman" w:cs="Times New Roman"/>
                <w:b/>
                <w:color w:val="000000"/>
                <w:sz w:val="20"/>
                <w:szCs w:val="20"/>
                <w:lang w:val="sr-Cyrl-CS"/>
              </w:rPr>
              <w:t>061</w:t>
            </w:r>
            <w:r w:rsidRPr="00092ED7">
              <w:rPr>
                <w:rFonts w:eastAsia="Times New Roman" w:cs="Times New Roman"/>
                <w:b/>
                <w:color w:val="000000"/>
                <w:sz w:val="20"/>
                <w:szCs w:val="20"/>
                <w:lang w:val="sr-Cyrl-CS"/>
              </w:rPr>
              <w:t>.</w:t>
            </w:r>
            <w:r w:rsidR="007213A3" w:rsidRPr="00092ED7">
              <w:rPr>
                <w:rFonts w:eastAsia="Times New Roman" w:cs="Times New Roman"/>
                <w:b/>
                <w:color w:val="000000"/>
                <w:sz w:val="20"/>
                <w:szCs w:val="20"/>
                <w:lang w:val="sr-Cyrl-CS"/>
              </w:rPr>
              <w:t>371</w:t>
            </w:r>
            <w:r w:rsidR="008D7C20" w:rsidRPr="00092ED7">
              <w:rPr>
                <w:rFonts w:eastAsia="Times New Roman" w:cs="Times New Roman"/>
                <w:b/>
                <w:color w:val="000000"/>
                <w:sz w:val="20"/>
                <w:szCs w:val="20"/>
                <w:lang w:val="sr-Cyrl-CS"/>
              </w:rPr>
              <w:t>,2</w:t>
            </w:r>
            <w:r w:rsidR="00981740" w:rsidRPr="00092ED7">
              <w:rPr>
                <w:rFonts w:eastAsia="Times New Roman" w:cs="Times New Roman"/>
                <w:b/>
                <w:color w:val="000000"/>
                <w:sz w:val="20"/>
                <w:szCs w:val="20"/>
                <w:lang w:val="sr-Cyrl-CS"/>
              </w:rPr>
              <w:t>7</w:t>
            </w:r>
          </w:p>
        </w:tc>
      </w:tr>
    </w:tbl>
    <w:p w14:paraId="7DE4B208" w14:textId="77777777" w:rsidR="008D7C20" w:rsidRPr="00092ED7" w:rsidRDefault="008D7C20" w:rsidP="008D7C20">
      <w:pPr>
        <w:keepNext/>
        <w:keepLines/>
        <w:spacing w:after="240"/>
        <w:outlineLvl w:val="0"/>
        <w:rPr>
          <w:rFonts w:eastAsia="Times New Roman"/>
          <w:b/>
          <w:w w:val="110"/>
          <w:sz w:val="26"/>
          <w:szCs w:val="26"/>
          <w:lang w:val="sr-Cyrl-CS"/>
        </w:rPr>
      </w:pPr>
    </w:p>
    <w:p w14:paraId="498ECDD3" w14:textId="77777777" w:rsidR="008D7C20" w:rsidRPr="00092ED7" w:rsidRDefault="008D7C20" w:rsidP="008D7C20">
      <w:pPr>
        <w:keepNext/>
        <w:keepLines/>
        <w:spacing w:after="240"/>
        <w:outlineLvl w:val="0"/>
        <w:rPr>
          <w:rFonts w:eastAsia="Times New Roman"/>
          <w:b/>
          <w:w w:val="110"/>
          <w:sz w:val="26"/>
          <w:szCs w:val="26"/>
          <w:lang w:val="sr-Cyrl-CS"/>
        </w:rPr>
        <w:sectPr w:rsidR="008D7C20" w:rsidRPr="00092ED7" w:rsidSect="00E34561">
          <w:pgSz w:w="11906" w:h="16838" w:code="9"/>
          <w:pgMar w:top="1440" w:right="1440" w:bottom="1440" w:left="1440" w:header="720" w:footer="720" w:gutter="0"/>
          <w:cols w:space="720"/>
          <w:docGrid w:linePitch="360"/>
        </w:sectPr>
      </w:pPr>
    </w:p>
    <w:p w14:paraId="067AE74E" w14:textId="77777777" w:rsidR="008D7C20" w:rsidRPr="00092ED7" w:rsidRDefault="008D7C20" w:rsidP="008D7C20">
      <w:pPr>
        <w:spacing w:after="160" w:line="259" w:lineRule="auto"/>
        <w:jc w:val="left"/>
        <w:rPr>
          <w:rFonts w:eastAsia="Times New Roman" w:cs="Times New Roman"/>
          <w:b/>
          <w:sz w:val="20"/>
          <w:szCs w:val="20"/>
          <w:lang w:val="sr-Cyrl-CS" w:eastAsia="sr-Cyrl-RS"/>
        </w:rPr>
      </w:pPr>
      <w:r w:rsidRPr="00092ED7">
        <w:rPr>
          <w:rFonts w:eastAsia="Times New Roman" w:cs="Times New Roman"/>
          <w:b/>
          <w:sz w:val="20"/>
          <w:szCs w:val="20"/>
          <w:lang w:val="sr-Cyrl-CS" w:eastAsia="sr-Cyrl-RS"/>
        </w:rPr>
        <w:lastRenderedPageBreak/>
        <w:t>Табела 10</w:t>
      </w:r>
      <w:r w:rsidR="00812992" w:rsidRPr="00092ED7">
        <w:rPr>
          <w:rFonts w:eastAsia="Times New Roman" w:cs="Times New Roman"/>
          <w:b/>
          <w:sz w:val="20"/>
          <w:szCs w:val="20"/>
          <w:lang w:val="sr-Cyrl-CS" w:eastAsia="sr-Cyrl-RS"/>
        </w:rPr>
        <w:t xml:space="preserve"> </w:t>
      </w:r>
      <w:r w:rsidRPr="00092ED7">
        <w:rPr>
          <w:rFonts w:eastAsia="Times New Roman" w:cs="Times New Roman"/>
          <w:b/>
          <w:sz w:val="20"/>
          <w:szCs w:val="20"/>
          <w:lang w:val="sr-Cyrl-CS" w:eastAsia="sr-Cyrl-RS"/>
        </w:rPr>
        <w:t>б: Финансирање структурних реформи у периоду 2023-2025. година у еврима</w:t>
      </w:r>
    </w:p>
    <w:tbl>
      <w:tblPr>
        <w:tblW w:w="13948" w:type="dxa"/>
        <w:tblInd w:w="-10" w:type="dxa"/>
        <w:tblLook w:val="04A0" w:firstRow="1" w:lastRow="0" w:firstColumn="1" w:lastColumn="0" w:noHBand="0" w:noVBand="1"/>
      </w:tblPr>
      <w:tblGrid>
        <w:gridCol w:w="1259"/>
        <w:gridCol w:w="1829"/>
        <w:gridCol w:w="1617"/>
        <w:gridCol w:w="1617"/>
        <w:gridCol w:w="1527"/>
        <w:gridCol w:w="1434"/>
        <w:gridCol w:w="1466"/>
        <w:gridCol w:w="1326"/>
        <w:gridCol w:w="1873"/>
      </w:tblGrid>
      <w:tr w:rsidR="008D7C20" w:rsidRPr="00092ED7" w14:paraId="3E3FEDAC" w14:textId="77777777" w:rsidTr="008D7C20">
        <w:trPr>
          <w:trHeight w:val="330"/>
        </w:trPr>
        <w:tc>
          <w:tcPr>
            <w:tcW w:w="13948" w:type="dxa"/>
            <w:gridSpan w:val="9"/>
            <w:tcBorders>
              <w:top w:val="single" w:sz="8" w:space="0" w:color="auto"/>
              <w:left w:val="single" w:sz="8" w:space="0" w:color="auto"/>
              <w:bottom w:val="single" w:sz="8" w:space="0" w:color="auto"/>
              <w:right w:val="single" w:sz="8" w:space="0" w:color="auto"/>
            </w:tcBorders>
            <w:shd w:val="clear" w:color="000000" w:fill="D0CECE"/>
            <w:noWrap/>
            <w:vAlign w:val="center"/>
            <w:hideMark/>
          </w:tcPr>
          <w:p w14:paraId="34085209" w14:textId="77777777" w:rsidR="008D7C20" w:rsidRPr="00092ED7" w:rsidRDefault="008D7C20" w:rsidP="00812992">
            <w:pPr>
              <w:spacing w:after="0"/>
              <w:jc w:val="left"/>
              <w:rPr>
                <w:rFonts w:eastAsia="Times New Roman" w:cs="Times New Roman"/>
                <w:b/>
                <w:bCs/>
                <w:sz w:val="20"/>
                <w:szCs w:val="20"/>
                <w:lang w:val="sr-Cyrl-CS"/>
              </w:rPr>
            </w:pPr>
            <w:r w:rsidRPr="00092ED7">
              <w:rPr>
                <w:rFonts w:eastAsia="Times New Roman" w:cs="Times New Roman"/>
                <w:b/>
                <w:bCs/>
                <w:sz w:val="20"/>
                <w:szCs w:val="20"/>
                <w:lang w:val="sr-Cyrl-CS"/>
              </w:rPr>
              <w:t xml:space="preserve">1. Успостављање оквира за увођење </w:t>
            </w:r>
            <w:r w:rsidR="00812992" w:rsidRPr="00092ED7">
              <w:rPr>
                <w:rFonts w:eastAsia="Times New Roman" w:cs="Times New Roman"/>
                <w:b/>
                <w:bCs/>
                <w:sz w:val="20"/>
                <w:szCs w:val="20"/>
                <w:lang w:val="sr-Cyrl-CS"/>
              </w:rPr>
              <w:t xml:space="preserve">Гаранције </w:t>
            </w:r>
            <w:r w:rsidRPr="00092ED7">
              <w:rPr>
                <w:rFonts w:eastAsia="Times New Roman" w:cs="Times New Roman"/>
                <w:b/>
                <w:bCs/>
                <w:sz w:val="20"/>
                <w:szCs w:val="20"/>
                <w:lang w:val="sr-Cyrl-CS"/>
              </w:rPr>
              <w:t>за младе у Републици Србији</w:t>
            </w:r>
          </w:p>
        </w:tc>
      </w:tr>
      <w:tr w:rsidR="00931CF1" w:rsidRPr="00092ED7" w14:paraId="66E4885A" w14:textId="77777777" w:rsidTr="00812992">
        <w:trPr>
          <w:trHeight w:val="645"/>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358DC77C"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b/>
                <w:bCs/>
                <w:color w:val="000000"/>
                <w:sz w:val="20"/>
                <w:szCs w:val="20"/>
                <w:lang w:val="sr-Cyrl-CS"/>
              </w:rPr>
              <w:t>Година</w:t>
            </w:r>
          </w:p>
        </w:tc>
        <w:tc>
          <w:tcPr>
            <w:tcW w:w="1829" w:type="dxa"/>
            <w:tcBorders>
              <w:top w:val="nil"/>
              <w:left w:val="nil"/>
              <w:bottom w:val="single" w:sz="8" w:space="0" w:color="auto"/>
              <w:right w:val="single" w:sz="8" w:space="0" w:color="auto"/>
            </w:tcBorders>
            <w:shd w:val="clear" w:color="auto" w:fill="auto"/>
            <w:vAlign w:val="center"/>
            <w:hideMark/>
          </w:tcPr>
          <w:p w14:paraId="1B2ABE62"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Буџет централног нивоа државе</w:t>
            </w:r>
          </w:p>
        </w:tc>
        <w:tc>
          <w:tcPr>
            <w:tcW w:w="1617" w:type="dxa"/>
            <w:tcBorders>
              <w:top w:val="nil"/>
              <w:left w:val="nil"/>
              <w:bottom w:val="single" w:sz="8" w:space="0" w:color="auto"/>
              <w:right w:val="single" w:sz="8" w:space="0" w:color="auto"/>
            </w:tcBorders>
            <w:shd w:val="clear" w:color="auto" w:fill="auto"/>
            <w:noWrap/>
            <w:vAlign w:val="center"/>
            <w:hideMark/>
          </w:tcPr>
          <w:p w14:paraId="51D68360"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Локални буџети</w:t>
            </w:r>
          </w:p>
        </w:tc>
        <w:tc>
          <w:tcPr>
            <w:tcW w:w="1617" w:type="dxa"/>
            <w:tcBorders>
              <w:top w:val="nil"/>
              <w:left w:val="nil"/>
              <w:bottom w:val="single" w:sz="8" w:space="0" w:color="auto"/>
              <w:right w:val="single" w:sz="8" w:space="0" w:color="auto"/>
            </w:tcBorders>
            <w:shd w:val="clear" w:color="auto" w:fill="auto"/>
            <w:vAlign w:val="center"/>
            <w:hideMark/>
          </w:tcPr>
          <w:p w14:paraId="2D7AE88C"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Други домаћи извори јавних финансија</w:t>
            </w:r>
          </w:p>
        </w:tc>
        <w:tc>
          <w:tcPr>
            <w:tcW w:w="1527" w:type="dxa"/>
            <w:tcBorders>
              <w:top w:val="nil"/>
              <w:left w:val="nil"/>
              <w:bottom w:val="single" w:sz="8" w:space="0" w:color="auto"/>
              <w:right w:val="single" w:sz="8" w:space="0" w:color="auto"/>
            </w:tcBorders>
            <w:shd w:val="clear" w:color="auto" w:fill="auto"/>
            <w:noWrap/>
            <w:vAlign w:val="center"/>
            <w:hideMark/>
          </w:tcPr>
          <w:p w14:paraId="5F380133"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ИПА фондови</w:t>
            </w:r>
          </w:p>
        </w:tc>
        <w:tc>
          <w:tcPr>
            <w:tcW w:w="1434" w:type="dxa"/>
            <w:tcBorders>
              <w:top w:val="nil"/>
              <w:left w:val="nil"/>
              <w:bottom w:val="single" w:sz="8" w:space="0" w:color="auto"/>
              <w:right w:val="single" w:sz="8" w:space="0" w:color="auto"/>
            </w:tcBorders>
            <w:shd w:val="clear" w:color="auto" w:fill="auto"/>
            <w:noWrap/>
            <w:vAlign w:val="center"/>
            <w:hideMark/>
          </w:tcPr>
          <w:p w14:paraId="0292E02A"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Друга бесповратна средства</w:t>
            </w:r>
          </w:p>
        </w:tc>
        <w:tc>
          <w:tcPr>
            <w:tcW w:w="1466" w:type="dxa"/>
            <w:tcBorders>
              <w:top w:val="nil"/>
              <w:left w:val="nil"/>
              <w:bottom w:val="single" w:sz="8" w:space="0" w:color="auto"/>
              <w:right w:val="single" w:sz="8" w:space="0" w:color="auto"/>
            </w:tcBorders>
            <w:shd w:val="clear" w:color="auto" w:fill="auto"/>
            <w:noWrap/>
            <w:vAlign w:val="center"/>
            <w:hideMark/>
          </w:tcPr>
          <w:p w14:paraId="57AE6E8B"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Пројектни кредити</w:t>
            </w:r>
          </w:p>
        </w:tc>
        <w:tc>
          <w:tcPr>
            <w:tcW w:w="1326" w:type="dxa"/>
            <w:tcBorders>
              <w:top w:val="nil"/>
              <w:left w:val="nil"/>
              <w:bottom w:val="single" w:sz="8" w:space="0" w:color="auto"/>
              <w:right w:val="single" w:sz="8" w:space="0" w:color="auto"/>
            </w:tcBorders>
            <w:shd w:val="clear" w:color="auto" w:fill="auto"/>
            <w:noWrap/>
            <w:vAlign w:val="center"/>
            <w:hideMark/>
          </w:tcPr>
          <w:p w14:paraId="59D3A8AF"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Тек треба да се утврди</w:t>
            </w:r>
          </w:p>
        </w:tc>
        <w:tc>
          <w:tcPr>
            <w:tcW w:w="1873" w:type="dxa"/>
            <w:tcBorders>
              <w:top w:val="nil"/>
              <w:left w:val="nil"/>
              <w:bottom w:val="single" w:sz="8" w:space="0" w:color="auto"/>
              <w:right w:val="single" w:sz="8" w:space="0" w:color="auto"/>
            </w:tcBorders>
            <w:shd w:val="clear" w:color="auto" w:fill="auto"/>
            <w:noWrap/>
            <w:vAlign w:val="center"/>
            <w:hideMark/>
          </w:tcPr>
          <w:p w14:paraId="27FB186B"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Укупно</w:t>
            </w:r>
          </w:p>
        </w:tc>
      </w:tr>
      <w:tr w:rsidR="00931CF1" w:rsidRPr="00092ED7" w14:paraId="012D5E7C" w14:textId="77777777" w:rsidTr="00812992">
        <w:trPr>
          <w:trHeight w:val="330"/>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684FC979"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2023</w:t>
            </w:r>
          </w:p>
        </w:tc>
        <w:tc>
          <w:tcPr>
            <w:tcW w:w="1829" w:type="dxa"/>
            <w:tcBorders>
              <w:top w:val="nil"/>
              <w:left w:val="nil"/>
              <w:bottom w:val="single" w:sz="8" w:space="0" w:color="auto"/>
              <w:right w:val="single" w:sz="8" w:space="0" w:color="auto"/>
            </w:tcBorders>
            <w:shd w:val="clear" w:color="auto" w:fill="auto"/>
            <w:noWrap/>
            <w:vAlign w:val="center"/>
            <w:hideMark/>
          </w:tcPr>
          <w:p w14:paraId="57F10C8F"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731.250,00</w:t>
            </w:r>
          </w:p>
        </w:tc>
        <w:tc>
          <w:tcPr>
            <w:tcW w:w="1617" w:type="dxa"/>
            <w:tcBorders>
              <w:top w:val="nil"/>
              <w:left w:val="nil"/>
              <w:bottom w:val="single" w:sz="8" w:space="0" w:color="auto"/>
              <w:right w:val="single" w:sz="8" w:space="0" w:color="auto"/>
            </w:tcBorders>
            <w:shd w:val="clear" w:color="auto" w:fill="auto"/>
            <w:noWrap/>
            <w:vAlign w:val="center"/>
            <w:hideMark/>
          </w:tcPr>
          <w:p w14:paraId="557BAF7A"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0507B9E2"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27" w:type="dxa"/>
            <w:tcBorders>
              <w:top w:val="nil"/>
              <w:left w:val="nil"/>
              <w:bottom w:val="single" w:sz="8" w:space="0" w:color="auto"/>
              <w:right w:val="single" w:sz="8" w:space="0" w:color="auto"/>
            </w:tcBorders>
            <w:shd w:val="clear" w:color="auto" w:fill="auto"/>
            <w:noWrap/>
            <w:vAlign w:val="center"/>
            <w:hideMark/>
          </w:tcPr>
          <w:p w14:paraId="1472CF6C"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2.250,000,00</w:t>
            </w:r>
          </w:p>
        </w:tc>
        <w:tc>
          <w:tcPr>
            <w:tcW w:w="1434" w:type="dxa"/>
            <w:tcBorders>
              <w:top w:val="nil"/>
              <w:left w:val="nil"/>
              <w:bottom w:val="single" w:sz="8" w:space="0" w:color="auto"/>
              <w:right w:val="single" w:sz="8" w:space="0" w:color="auto"/>
            </w:tcBorders>
            <w:shd w:val="clear" w:color="auto" w:fill="auto"/>
            <w:noWrap/>
            <w:vAlign w:val="center"/>
            <w:hideMark/>
          </w:tcPr>
          <w:p w14:paraId="138C1E2E"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66" w:type="dxa"/>
            <w:tcBorders>
              <w:top w:val="nil"/>
              <w:left w:val="nil"/>
              <w:bottom w:val="single" w:sz="8" w:space="0" w:color="auto"/>
              <w:right w:val="single" w:sz="8" w:space="0" w:color="auto"/>
            </w:tcBorders>
            <w:shd w:val="clear" w:color="auto" w:fill="auto"/>
            <w:noWrap/>
            <w:vAlign w:val="center"/>
            <w:hideMark/>
          </w:tcPr>
          <w:p w14:paraId="016E8A2E"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326" w:type="dxa"/>
            <w:tcBorders>
              <w:top w:val="nil"/>
              <w:left w:val="nil"/>
              <w:bottom w:val="single" w:sz="8" w:space="0" w:color="auto"/>
              <w:right w:val="single" w:sz="8" w:space="0" w:color="auto"/>
            </w:tcBorders>
            <w:shd w:val="clear" w:color="auto" w:fill="auto"/>
            <w:noWrap/>
            <w:vAlign w:val="center"/>
            <w:hideMark/>
          </w:tcPr>
          <w:p w14:paraId="08B7B46C"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873" w:type="dxa"/>
            <w:tcBorders>
              <w:top w:val="nil"/>
              <w:left w:val="nil"/>
              <w:bottom w:val="single" w:sz="8" w:space="0" w:color="auto"/>
              <w:right w:val="single" w:sz="8" w:space="0" w:color="auto"/>
            </w:tcBorders>
            <w:shd w:val="clear" w:color="auto" w:fill="auto"/>
            <w:noWrap/>
            <w:vAlign w:val="center"/>
            <w:hideMark/>
          </w:tcPr>
          <w:p w14:paraId="0A913F12"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2.981.250,00</w:t>
            </w:r>
          </w:p>
        </w:tc>
      </w:tr>
      <w:tr w:rsidR="00931CF1" w:rsidRPr="00092ED7" w14:paraId="6091C070" w14:textId="77777777" w:rsidTr="00812992">
        <w:trPr>
          <w:trHeight w:val="330"/>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448E7B13"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2024</w:t>
            </w:r>
          </w:p>
        </w:tc>
        <w:tc>
          <w:tcPr>
            <w:tcW w:w="1829" w:type="dxa"/>
            <w:tcBorders>
              <w:top w:val="nil"/>
              <w:left w:val="nil"/>
              <w:bottom w:val="single" w:sz="8" w:space="0" w:color="auto"/>
              <w:right w:val="single" w:sz="8" w:space="0" w:color="auto"/>
            </w:tcBorders>
            <w:shd w:val="clear" w:color="auto" w:fill="auto"/>
            <w:noWrap/>
            <w:vAlign w:val="center"/>
            <w:hideMark/>
          </w:tcPr>
          <w:p w14:paraId="291456B1"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618.750,00</w:t>
            </w:r>
          </w:p>
        </w:tc>
        <w:tc>
          <w:tcPr>
            <w:tcW w:w="1617" w:type="dxa"/>
            <w:tcBorders>
              <w:top w:val="nil"/>
              <w:left w:val="nil"/>
              <w:bottom w:val="single" w:sz="8" w:space="0" w:color="auto"/>
              <w:right w:val="single" w:sz="8" w:space="0" w:color="auto"/>
            </w:tcBorders>
            <w:shd w:val="clear" w:color="auto" w:fill="auto"/>
            <w:noWrap/>
            <w:vAlign w:val="center"/>
            <w:hideMark/>
          </w:tcPr>
          <w:p w14:paraId="0C4E9647"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3DE7CA54"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27" w:type="dxa"/>
            <w:tcBorders>
              <w:top w:val="nil"/>
              <w:left w:val="nil"/>
              <w:bottom w:val="single" w:sz="8" w:space="0" w:color="auto"/>
              <w:right w:val="single" w:sz="8" w:space="0" w:color="auto"/>
            </w:tcBorders>
            <w:shd w:val="clear" w:color="auto" w:fill="auto"/>
            <w:noWrap/>
            <w:vAlign w:val="center"/>
            <w:hideMark/>
          </w:tcPr>
          <w:p w14:paraId="0049DCA0"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2.070.000,00</w:t>
            </w:r>
          </w:p>
        </w:tc>
        <w:tc>
          <w:tcPr>
            <w:tcW w:w="1434" w:type="dxa"/>
            <w:tcBorders>
              <w:top w:val="nil"/>
              <w:left w:val="nil"/>
              <w:bottom w:val="single" w:sz="8" w:space="0" w:color="auto"/>
              <w:right w:val="single" w:sz="8" w:space="0" w:color="auto"/>
            </w:tcBorders>
            <w:shd w:val="clear" w:color="auto" w:fill="auto"/>
            <w:noWrap/>
            <w:vAlign w:val="center"/>
            <w:hideMark/>
          </w:tcPr>
          <w:p w14:paraId="2CA18D04"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66" w:type="dxa"/>
            <w:tcBorders>
              <w:top w:val="nil"/>
              <w:left w:val="nil"/>
              <w:bottom w:val="single" w:sz="8" w:space="0" w:color="auto"/>
              <w:right w:val="single" w:sz="8" w:space="0" w:color="auto"/>
            </w:tcBorders>
            <w:shd w:val="clear" w:color="auto" w:fill="auto"/>
            <w:noWrap/>
            <w:vAlign w:val="center"/>
            <w:hideMark/>
          </w:tcPr>
          <w:p w14:paraId="4CAB9058"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326" w:type="dxa"/>
            <w:tcBorders>
              <w:top w:val="nil"/>
              <w:left w:val="nil"/>
              <w:bottom w:val="single" w:sz="8" w:space="0" w:color="auto"/>
              <w:right w:val="single" w:sz="8" w:space="0" w:color="auto"/>
            </w:tcBorders>
            <w:shd w:val="clear" w:color="auto" w:fill="auto"/>
            <w:noWrap/>
            <w:vAlign w:val="center"/>
            <w:hideMark/>
          </w:tcPr>
          <w:p w14:paraId="6CCD698A"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873" w:type="dxa"/>
            <w:tcBorders>
              <w:top w:val="nil"/>
              <w:left w:val="nil"/>
              <w:bottom w:val="single" w:sz="8" w:space="0" w:color="auto"/>
              <w:right w:val="single" w:sz="8" w:space="0" w:color="auto"/>
            </w:tcBorders>
            <w:shd w:val="clear" w:color="auto" w:fill="auto"/>
            <w:noWrap/>
            <w:vAlign w:val="center"/>
            <w:hideMark/>
          </w:tcPr>
          <w:p w14:paraId="1F56D0B7"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2.688.750,00</w:t>
            </w:r>
          </w:p>
        </w:tc>
      </w:tr>
      <w:tr w:rsidR="00931CF1" w:rsidRPr="00092ED7" w14:paraId="0F05628D" w14:textId="77777777" w:rsidTr="00812992">
        <w:trPr>
          <w:trHeight w:val="330"/>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52907F39"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2025</w:t>
            </w:r>
          </w:p>
        </w:tc>
        <w:tc>
          <w:tcPr>
            <w:tcW w:w="1829" w:type="dxa"/>
            <w:tcBorders>
              <w:top w:val="nil"/>
              <w:left w:val="nil"/>
              <w:bottom w:val="single" w:sz="8" w:space="0" w:color="auto"/>
              <w:right w:val="single" w:sz="8" w:space="0" w:color="auto"/>
            </w:tcBorders>
            <w:shd w:val="clear" w:color="auto" w:fill="auto"/>
            <w:noWrap/>
            <w:vAlign w:val="center"/>
            <w:hideMark/>
          </w:tcPr>
          <w:p w14:paraId="0C6D9530"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150.000,00</w:t>
            </w:r>
          </w:p>
        </w:tc>
        <w:tc>
          <w:tcPr>
            <w:tcW w:w="1617" w:type="dxa"/>
            <w:tcBorders>
              <w:top w:val="nil"/>
              <w:left w:val="nil"/>
              <w:bottom w:val="single" w:sz="8" w:space="0" w:color="auto"/>
              <w:right w:val="single" w:sz="8" w:space="0" w:color="auto"/>
            </w:tcBorders>
            <w:shd w:val="clear" w:color="auto" w:fill="auto"/>
            <w:noWrap/>
            <w:vAlign w:val="center"/>
            <w:hideMark/>
          </w:tcPr>
          <w:p w14:paraId="6300FFFE"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38699DE6"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27" w:type="dxa"/>
            <w:tcBorders>
              <w:top w:val="nil"/>
              <w:left w:val="nil"/>
              <w:bottom w:val="single" w:sz="8" w:space="0" w:color="auto"/>
              <w:right w:val="single" w:sz="8" w:space="0" w:color="auto"/>
            </w:tcBorders>
            <w:shd w:val="clear" w:color="auto" w:fill="auto"/>
            <w:noWrap/>
            <w:vAlign w:val="center"/>
            <w:hideMark/>
          </w:tcPr>
          <w:p w14:paraId="46DB463D"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820.000,00</w:t>
            </w:r>
          </w:p>
        </w:tc>
        <w:tc>
          <w:tcPr>
            <w:tcW w:w="1434" w:type="dxa"/>
            <w:tcBorders>
              <w:top w:val="nil"/>
              <w:left w:val="nil"/>
              <w:bottom w:val="single" w:sz="8" w:space="0" w:color="auto"/>
              <w:right w:val="single" w:sz="8" w:space="0" w:color="auto"/>
            </w:tcBorders>
            <w:shd w:val="clear" w:color="auto" w:fill="auto"/>
            <w:noWrap/>
            <w:vAlign w:val="center"/>
            <w:hideMark/>
          </w:tcPr>
          <w:p w14:paraId="65226926"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66" w:type="dxa"/>
            <w:tcBorders>
              <w:top w:val="nil"/>
              <w:left w:val="nil"/>
              <w:bottom w:val="single" w:sz="8" w:space="0" w:color="auto"/>
              <w:right w:val="single" w:sz="8" w:space="0" w:color="auto"/>
            </w:tcBorders>
            <w:shd w:val="clear" w:color="auto" w:fill="auto"/>
            <w:noWrap/>
            <w:vAlign w:val="center"/>
            <w:hideMark/>
          </w:tcPr>
          <w:p w14:paraId="7428D295"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326" w:type="dxa"/>
            <w:tcBorders>
              <w:top w:val="nil"/>
              <w:left w:val="nil"/>
              <w:bottom w:val="single" w:sz="8" w:space="0" w:color="auto"/>
              <w:right w:val="single" w:sz="8" w:space="0" w:color="auto"/>
            </w:tcBorders>
            <w:shd w:val="clear" w:color="auto" w:fill="auto"/>
            <w:noWrap/>
            <w:vAlign w:val="center"/>
            <w:hideMark/>
          </w:tcPr>
          <w:p w14:paraId="5D23A107"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873" w:type="dxa"/>
            <w:tcBorders>
              <w:top w:val="nil"/>
              <w:left w:val="nil"/>
              <w:bottom w:val="single" w:sz="8" w:space="0" w:color="auto"/>
              <w:right w:val="single" w:sz="8" w:space="0" w:color="auto"/>
            </w:tcBorders>
            <w:shd w:val="clear" w:color="auto" w:fill="auto"/>
            <w:noWrap/>
            <w:vAlign w:val="center"/>
            <w:hideMark/>
          </w:tcPr>
          <w:p w14:paraId="3AE56FF8"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970.000,00</w:t>
            </w:r>
          </w:p>
        </w:tc>
      </w:tr>
      <w:tr w:rsidR="008D7C20" w:rsidRPr="00092ED7" w14:paraId="5E275E94" w14:textId="77777777" w:rsidTr="008D7C20">
        <w:trPr>
          <w:trHeight w:val="330"/>
        </w:trPr>
        <w:tc>
          <w:tcPr>
            <w:tcW w:w="13948" w:type="dxa"/>
            <w:gridSpan w:val="9"/>
            <w:tcBorders>
              <w:top w:val="single" w:sz="8" w:space="0" w:color="auto"/>
              <w:left w:val="single" w:sz="8" w:space="0" w:color="auto"/>
              <w:bottom w:val="single" w:sz="8" w:space="0" w:color="auto"/>
              <w:right w:val="single" w:sz="8" w:space="0" w:color="auto"/>
            </w:tcBorders>
            <w:shd w:val="clear" w:color="000000" w:fill="D0CECE"/>
            <w:noWrap/>
            <w:vAlign w:val="center"/>
            <w:hideMark/>
          </w:tcPr>
          <w:p w14:paraId="5CA26C73" w14:textId="77777777" w:rsidR="008D7C20" w:rsidRPr="00092ED7" w:rsidRDefault="008D7C20" w:rsidP="008D7C20">
            <w:pPr>
              <w:spacing w:after="0"/>
              <w:jc w:val="left"/>
              <w:rPr>
                <w:rFonts w:eastAsia="Times New Roman" w:cs="Times New Roman"/>
                <w:b/>
                <w:bCs/>
                <w:color w:val="000000"/>
                <w:sz w:val="20"/>
                <w:szCs w:val="20"/>
                <w:lang w:val="sr-Cyrl-CS"/>
              </w:rPr>
            </w:pPr>
            <w:r w:rsidRPr="00092ED7">
              <w:rPr>
                <w:rFonts w:eastAsia="Times New Roman" w:cs="Times New Roman"/>
                <w:b/>
                <w:bCs/>
                <w:color w:val="000000"/>
                <w:sz w:val="20"/>
                <w:szCs w:val="20"/>
                <w:lang w:val="sr-Cyrl-CS"/>
              </w:rPr>
              <w:t>2. Реформа Фонда за младе таленте</w:t>
            </w:r>
          </w:p>
        </w:tc>
      </w:tr>
      <w:tr w:rsidR="00931CF1" w:rsidRPr="00092ED7" w14:paraId="3958851C" w14:textId="77777777" w:rsidTr="00812992">
        <w:trPr>
          <w:trHeight w:val="645"/>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276435B3"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b/>
                <w:bCs/>
                <w:color w:val="000000"/>
                <w:sz w:val="20"/>
                <w:szCs w:val="20"/>
                <w:lang w:val="sr-Cyrl-CS"/>
              </w:rPr>
              <w:t>Година</w:t>
            </w:r>
          </w:p>
        </w:tc>
        <w:tc>
          <w:tcPr>
            <w:tcW w:w="1829" w:type="dxa"/>
            <w:tcBorders>
              <w:top w:val="nil"/>
              <w:left w:val="nil"/>
              <w:bottom w:val="single" w:sz="8" w:space="0" w:color="auto"/>
              <w:right w:val="single" w:sz="8" w:space="0" w:color="auto"/>
            </w:tcBorders>
            <w:shd w:val="clear" w:color="auto" w:fill="auto"/>
            <w:vAlign w:val="center"/>
            <w:hideMark/>
          </w:tcPr>
          <w:p w14:paraId="4A6CD703"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Буџет централног нивоа државе</w:t>
            </w:r>
          </w:p>
        </w:tc>
        <w:tc>
          <w:tcPr>
            <w:tcW w:w="1617" w:type="dxa"/>
            <w:tcBorders>
              <w:top w:val="nil"/>
              <w:left w:val="nil"/>
              <w:bottom w:val="single" w:sz="8" w:space="0" w:color="auto"/>
              <w:right w:val="single" w:sz="8" w:space="0" w:color="auto"/>
            </w:tcBorders>
            <w:shd w:val="clear" w:color="auto" w:fill="auto"/>
            <w:noWrap/>
            <w:vAlign w:val="center"/>
            <w:hideMark/>
          </w:tcPr>
          <w:p w14:paraId="4C8176C4"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Локални буџети</w:t>
            </w:r>
          </w:p>
        </w:tc>
        <w:tc>
          <w:tcPr>
            <w:tcW w:w="1617" w:type="dxa"/>
            <w:tcBorders>
              <w:top w:val="nil"/>
              <w:left w:val="nil"/>
              <w:bottom w:val="single" w:sz="8" w:space="0" w:color="auto"/>
              <w:right w:val="single" w:sz="8" w:space="0" w:color="auto"/>
            </w:tcBorders>
            <w:shd w:val="clear" w:color="auto" w:fill="auto"/>
            <w:vAlign w:val="center"/>
            <w:hideMark/>
          </w:tcPr>
          <w:p w14:paraId="1DB60D87"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Други домаћи извори јавних финансија</w:t>
            </w:r>
          </w:p>
        </w:tc>
        <w:tc>
          <w:tcPr>
            <w:tcW w:w="1527" w:type="dxa"/>
            <w:tcBorders>
              <w:top w:val="nil"/>
              <w:left w:val="nil"/>
              <w:bottom w:val="single" w:sz="8" w:space="0" w:color="auto"/>
              <w:right w:val="single" w:sz="8" w:space="0" w:color="auto"/>
            </w:tcBorders>
            <w:shd w:val="clear" w:color="auto" w:fill="auto"/>
            <w:noWrap/>
            <w:vAlign w:val="center"/>
            <w:hideMark/>
          </w:tcPr>
          <w:p w14:paraId="6C31C317"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ИПА фондови</w:t>
            </w:r>
          </w:p>
        </w:tc>
        <w:tc>
          <w:tcPr>
            <w:tcW w:w="1434" w:type="dxa"/>
            <w:tcBorders>
              <w:top w:val="nil"/>
              <w:left w:val="nil"/>
              <w:bottom w:val="single" w:sz="8" w:space="0" w:color="auto"/>
              <w:right w:val="single" w:sz="8" w:space="0" w:color="auto"/>
            </w:tcBorders>
            <w:shd w:val="clear" w:color="auto" w:fill="auto"/>
            <w:noWrap/>
            <w:vAlign w:val="center"/>
            <w:hideMark/>
          </w:tcPr>
          <w:p w14:paraId="4C163B65"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Друга бесповратна средства</w:t>
            </w:r>
          </w:p>
        </w:tc>
        <w:tc>
          <w:tcPr>
            <w:tcW w:w="1466" w:type="dxa"/>
            <w:tcBorders>
              <w:top w:val="nil"/>
              <w:left w:val="nil"/>
              <w:bottom w:val="single" w:sz="8" w:space="0" w:color="auto"/>
              <w:right w:val="single" w:sz="8" w:space="0" w:color="auto"/>
            </w:tcBorders>
            <w:shd w:val="clear" w:color="auto" w:fill="auto"/>
            <w:noWrap/>
            <w:vAlign w:val="center"/>
            <w:hideMark/>
          </w:tcPr>
          <w:p w14:paraId="0BF17D38"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Пројектни кредити</w:t>
            </w:r>
          </w:p>
        </w:tc>
        <w:tc>
          <w:tcPr>
            <w:tcW w:w="1326" w:type="dxa"/>
            <w:tcBorders>
              <w:top w:val="nil"/>
              <w:left w:val="nil"/>
              <w:bottom w:val="single" w:sz="8" w:space="0" w:color="auto"/>
              <w:right w:val="single" w:sz="8" w:space="0" w:color="auto"/>
            </w:tcBorders>
            <w:shd w:val="clear" w:color="auto" w:fill="auto"/>
            <w:noWrap/>
            <w:vAlign w:val="center"/>
            <w:hideMark/>
          </w:tcPr>
          <w:p w14:paraId="4A5D738F"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Тек треба да се утврди</w:t>
            </w:r>
          </w:p>
        </w:tc>
        <w:tc>
          <w:tcPr>
            <w:tcW w:w="1873" w:type="dxa"/>
            <w:tcBorders>
              <w:top w:val="nil"/>
              <w:left w:val="nil"/>
              <w:bottom w:val="single" w:sz="8" w:space="0" w:color="auto"/>
              <w:right w:val="single" w:sz="8" w:space="0" w:color="auto"/>
            </w:tcBorders>
            <w:shd w:val="clear" w:color="auto" w:fill="auto"/>
            <w:noWrap/>
            <w:vAlign w:val="center"/>
            <w:hideMark/>
          </w:tcPr>
          <w:p w14:paraId="7E2700D9"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Укупно</w:t>
            </w:r>
          </w:p>
        </w:tc>
      </w:tr>
      <w:tr w:rsidR="00931CF1" w:rsidRPr="00092ED7" w14:paraId="70A3C9D4" w14:textId="77777777" w:rsidTr="00812992">
        <w:trPr>
          <w:trHeight w:val="330"/>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13F75BD1"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2023</w:t>
            </w:r>
          </w:p>
        </w:tc>
        <w:tc>
          <w:tcPr>
            <w:tcW w:w="1829" w:type="dxa"/>
            <w:tcBorders>
              <w:top w:val="nil"/>
              <w:left w:val="nil"/>
              <w:bottom w:val="single" w:sz="8" w:space="0" w:color="auto"/>
              <w:right w:val="single" w:sz="8" w:space="0" w:color="auto"/>
            </w:tcBorders>
            <w:shd w:val="clear" w:color="auto" w:fill="auto"/>
            <w:noWrap/>
            <w:vAlign w:val="center"/>
            <w:hideMark/>
          </w:tcPr>
          <w:p w14:paraId="138A0FD5"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7.975.000,00</w:t>
            </w:r>
          </w:p>
        </w:tc>
        <w:tc>
          <w:tcPr>
            <w:tcW w:w="1617" w:type="dxa"/>
            <w:tcBorders>
              <w:top w:val="nil"/>
              <w:left w:val="nil"/>
              <w:bottom w:val="single" w:sz="8" w:space="0" w:color="auto"/>
              <w:right w:val="single" w:sz="8" w:space="0" w:color="auto"/>
            </w:tcBorders>
            <w:shd w:val="clear" w:color="auto" w:fill="auto"/>
            <w:noWrap/>
            <w:vAlign w:val="center"/>
            <w:hideMark/>
          </w:tcPr>
          <w:p w14:paraId="328E2CFB"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1360616B"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27" w:type="dxa"/>
            <w:tcBorders>
              <w:top w:val="nil"/>
              <w:left w:val="nil"/>
              <w:bottom w:val="single" w:sz="8" w:space="0" w:color="auto"/>
              <w:right w:val="single" w:sz="8" w:space="0" w:color="auto"/>
            </w:tcBorders>
            <w:shd w:val="clear" w:color="auto" w:fill="auto"/>
            <w:noWrap/>
            <w:vAlign w:val="center"/>
            <w:hideMark/>
          </w:tcPr>
          <w:p w14:paraId="7385FD3E"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34" w:type="dxa"/>
            <w:tcBorders>
              <w:top w:val="nil"/>
              <w:left w:val="nil"/>
              <w:bottom w:val="single" w:sz="8" w:space="0" w:color="auto"/>
              <w:right w:val="single" w:sz="8" w:space="0" w:color="auto"/>
            </w:tcBorders>
            <w:shd w:val="clear" w:color="auto" w:fill="auto"/>
            <w:noWrap/>
            <w:vAlign w:val="center"/>
            <w:hideMark/>
          </w:tcPr>
          <w:p w14:paraId="76511647"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115.531,00</w:t>
            </w:r>
          </w:p>
        </w:tc>
        <w:tc>
          <w:tcPr>
            <w:tcW w:w="1466" w:type="dxa"/>
            <w:tcBorders>
              <w:top w:val="nil"/>
              <w:left w:val="nil"/>
              <w:bottom w:val="single" w:sz="8" w:space="0" w:color="auto"/>
              <w:right w:val="single" w:sz="8" w:space="0" w:color="auto"/>
            </w:tcBorders>
            <w:shd w:val="clear" w:color="auto" w:fill="auto"/>
            <w:noWrap/>
            <w:vAlign w:val="center"/>
            <w:hideMark/>
          </w:tcPr>
          <w:p w14:paraId="1FD08B38"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326" w:type="dxa"/>
            <w:tcBorders>
              <w:top w:val="nil"/>
              <w:left w:val="nil"/>
              <w:bottom w:val="single" w:sz="8" w:space="0" w:color="auto"/>
              <w:right w:val="single" w:sz="8" w:space="0" w:color="auto"/>
            </w:tcBorders>
            <w:shd w:val="clear" w:color="auto" w:fill="auto"/>
            <w:noWrap/>
            <w:vAlign w:val="center"/>
            <w:hideMark/>
          </w:tcPr>
          <w:p w14:paraId="1E79ACB3"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873" w:type="dxa"/>
            <w:tcBorders>
              <w:top w:val="nil"/>
              <w:left w:val="nil"/>
              <w:bottom w:val="single" w:sz="8" w:space="0" w:color="auto"/>
              <w:right w:val="single" w:sz="8" w:space="0" w:color="auto"/>
            </w:tcBorders>
            <w:shd w:val="clear" w:color="auto" w:fill="auto"/>
            <w:noWrap/>
            <w:vAlign w:val="center"/>
            <w:hideMark/>
          </w:tcPr>
          <w:p w14:paraId="3CE32233"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8.090.531,00</w:t>
            </w:r>
          </w:p>
        </w:tc>
      </w:tr>
      <w:tr w:rsidR="00931CF1" w:rsidRPr="00092ED7" w14:paraId="01485083" w14:textId="77777777" w:rsidTr="00812992">
        <w:trPr>
          <w:trHeight w:val="330"/>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5682B8E9"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2024</w:t>
            </w:r>
          </w:p>
        </w:tc>
        <w:tc>
          <w:tcPr>
            <w:tcW w:w="1829" w:type="dxa"/>
            <w:tcBorders>
              <w:top w:val="nil"/>
              <w:left w:val="nil"/>
              <w:bottom w:val="single" w:sz="8" w:space="0" w:color="auto"/>
              <w:right w:val="single" w:sz="8" w:space="0" w:color="auto"/>
            </w:tcBorders>
            <w:shd w:val="clear" w:color="auto" w:fill="auto"/>
            <w:noWrap/>
            <w:vAlign w:val="center"/>
            <w:hideMark/>
          </w:tcPr>
          <w:p w14:paraId="6FFC95E3"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8.772.500,00</w:t>
            </w:r>
          </w:p>
        </w:tc>
        <w:tc>
          <w:tcPr>
            <w:tcW w:w="1617" w:type="dxa"/>
            <w:tcBorders>
              <w:top w:val="nil"/>
              <w:left w:val="nil"/>
              <w:bottom w:val="single" w:sz="8" w:space="0" w:color="auto"/>
              <w:right w:val="single" w:sz="8" w:space="0" w:color="auto"/>
            </w:tcBorders>
            <w:shd w:val="clear" w:color="auto" w:fill="auto"/>
            <w:noWrap/>
            <w:vAlign w:val="center"/>
            <w:hideMark/>
          </w:tcPr>
          <w:p w14:paraId="480F1E19"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07029002"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27" w:type="dxa"/>
            <w:tcBorders>
              <w:top w:val="nil"/>
              <w:left w:val="nil"/>
              <w:bottom w:val="single" w:sz="8" w:space="0" w:color="auto"/>
              <w:right w:val="single" w:sz="8" w:space="0" w:color="auto"/>
            </w:tcBorders>
            <w:shd w:val="clear" w:color="auto" w:fill="auto"/>
            <w:noWrap/>
            <w:vAlign w:val="center"/>
            <w:hideMark/>
          </w:tcPr>
          <w:p w14:paraId="085B57EC"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34" w:type="dxa"/>
            <w:tcBorders>
              <w:top w:val="nil"/>
              <w:left w:val="nil"/>
              <w:bottom w:val="single" w:sz="8" w:space="0" w:color="auto"/>
              <w:right w:val="single" w:sz="8" w:space="0" w:color="auto"/>
            </w:tcBorders>
            <w:shd w:val="clear" w:color="auto" w:fill="auto"/>
            <w:noWrap/>
            <w:vAlign w:val="center"/>
            <w:hideMark/>
          </w:tcPr>
          <w:p w14:paraId="3348BF3E"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115.531,00</w:t>
            </w:r>
          </w:p>
        </w:tc>
        <w:tc>
          <w:tcPr>
            <w:tcW w:w="1466" w:type="dxa"/>
            <w:tcBorders>
              <w:top w:val="nil"/>
              <w:left w:val="nil"/>
              <w:bottom w:val="single" w:sz="8" w:space="0" w:color="auto"/>
              <w:right w:val="single" w:sz="8" w:space="0" w:color="auto"/>
            </w:tcBorders>
            <w:shd w:val="clear" w:color="auto" w:fill="auto"/>
            <w:noWrap/>
            <w:vAlign w:val="center"/>
            <w:hideMark/>
          </w:tcPr>
          <w:p w14:paraId="08DD8472"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326" w:type="dxa"/>
            <w:tcBorders>
              <w:top w:val="nil"/>
              <w:left w:val="nil"/>
              <w:bottom w:val="single" w:sz="8" w:space="0" w:color="auto"/>
              <w:right w:val="single" w:sz="8" w:space="0" w:color="auto"/>
            </w:tcBorders>
            <w:shd w:val="clear" w:color="auto" w:fill="auto"/>
            <w:noWrap/>
            <w:vAlign w:val="center"/>
            <w:hideMark/>
          </w:tcPr>
          <w:p w14:paraId="352EB180"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873" w:type="dxa"/>
            <w:tcBorders>
              <w:top w:val="nil"/>
              <w:left w:val="nil"/>
              <w:bottom w:val="single" w:sz="8" w:space="0" w:color="auto"/>
              <w:right w:val="single" w:sz="8" w:space="0" w:color="auto"/>
            </w:tcBorders>
            <w:shd w:val="clear" w:color="auto" w:fill="auto"/>
            <w:noWrap/>
            <w:vAlign w:val="center"/>
            <w:hideMark/>
          </w:tcPr>
          <w:p w14:paraId="5B5C5C28"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8.888.031,00</w:t>
            </w:r>
          </w:p>
        </w:tc>
      </w:tr>
      <w:tr w:rsidR="00931CF1" w:rsidRPr="00092ED7" w14:paraId="28722F08" w14:textId="77777777" w:rsidTr="00812992">
        <w:trPr>
          <w:trHeight w:val="330"/>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4E456D3B"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2025</w:t>
            </w:r>
          </w:p>
        </w:tc>
        <w:tc>
          <w:tcPr>
            <w:tcW w:w="1829" w:type="dxa"/>
            <w:tcBorders>
              <w:top w:val="nil"/>
              <w:left w:val="nil"/>
              <w:bottom w:val="single" w:sz="8" w:space="0" w:color="auto"/>
              <w:right w:val="single" w:sz="8" w:space="0" w:color="auto"/>
            </w:tcBorders>
            <w:shd w:val="clear" w:color="auto" w:fill="auto"/>
            <w:noWrap/>
            <w:vAlign w:val="center"/>
            <w:hideMark/>
          </w:tcPr>
          <w:p w14:paraId="587C60C0"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9.649.750,00</w:t>
            </w:r>
          </w:p>
        </w:tc>
        <w:tc>
          <w:tcPr>
            <w:tcW w:w="1617" w:type="dxa"/>
            <w:tcBorders>
              <w:top w:val="nil"/>
              <w:left w:val="nil"/>
              <w:bottom w:val="single" w:sz="8" w:space="0" w:color="auto"/>
              <w:right w:val="single" w:sz="8" w:space="0" w:color="auto"/>
            </w:tcBorders>
            <w:shd w:val="clear" w:color="auto" w:fill="auto"/>
            <w:noWrap/>
            <w:vAlign w:val="center"/>
            <w:hideMark/>
          </w:tcPr>
          <w:p w14:paraId="369895C5"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16B66F40"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27" w:type="dxa"/>
            <w:tcBorders>
              <w:top w:val="nil"/>
              <w:left w:val="nil"/>
              <w:bottom w:val="single" w:sz="8" w:space="0" w:color="auto"/>
              <w:right w:val="single" w:sz="8" w:space="0" w:color="auto"/>
            </w:tcBorders>
            <w:shd w:val="clear" w:color="auto" w:fill="auto"/>
            <w:noWrap/>
            <w:vAlign w:val="center"/>
            <w:hideMark/>
          </w:tcPr>
          <w:p w14:paraId="6FD6A511"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34" w:type="dxa"/>
            <w:tcBorders>
              <w:top w:val="nil"/>
              <w:left w:val="nil"/>
              <w:bottom w:val="single" w:sz="8" w:space="0" w:color="auto"/>
              <w:right w:val="single" w:sz="8" w:space="0" w:color="auto"/>
            </w:tcBorders>
            <w:shd w:val="clear" w:color="auto" w:fill="auto"/>
            <w:noWrap/>
            <w:vAlign w:val="center"/>
            <w:hideMark/>
          </w:tcPr>
          <w:p w14:paraId="18876D92"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115.531,00</w:t>
            </w:r>
          </w:p>
        </w:tc>
        <w:tc>
          <w:tcPr>
            <w:tcW w:w="1466" w:type="dxa"/>
            <w:tcBorders>
              <w:top w:val="nil"/>
              <w:left w:val="nil"/>
              <w:bottom w:val="single" w:sz="8" w:space="0" w:color="auto"/>
              <w:right w:val="single" w:sz="8" w:space="0" w:color="auto"/>
            </w:tcBorders>
            <w:shd w:val="clear" w:color="auto" w:fill="auto"/>
            <w:noWrap/>
            <w:vAlign w:val="center"/>
            <w:hideMark/>
          </w:tcPr>
          <w:p w14:paraId="1E833F33"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326" w:type="dxa"/>
            <w:tcBorders>
              <w:top w:val="nil"/>
              <w:left w:val="nil"/>
              <w:bottom w:val="single" w:sz="8" w:space="0" w:color="auto"/>
              <w:right w:val="single" w:sz="8" w:space="0" w:color="auto"/>
            </w:tcBorders>
            <w:shd w:val="clear" w:color="auto" w:fill="auto"/>
            <w:noWrap/>
            <w:vAlign w:val="center"/>
            <w:hideMark/>
          </w:tcPr>
          <w:p w14:paraId="2C1C541B"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873" w:type="dxa"/>
            <w:tcBorders>
              <w:top w:val="nil"/>
              <w:left w:val="nil"/>
              <w:bottom w:val="single" w:sz="8" w:space="0" w:color="auto"/>
              <w:right w:val="single" w:sz="8" w:space="0" w:color="auto"/>
            </w:tcBorders>
            <w:shd w:val="clear" w:color="auto" w:fill="auto"/>
            <w:noWrap/>
            <w:vAlign w:val="center"/>
            <w:hideMark/>
          </w:tcPr>
          <w:p w14:paraId="55D35BB6"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9.765.281,00</w:t>
            </w:r>
          </w:p>
        </w:tc>
      </w:tr>
      <w:tr w:rsidR="008D7C20" w:rsidRPr="00092ED7" w14:paraId="2437B621" w14:textId="77777777" w:rsidTr="008D7C20">
        <w:trPr>
          <w:trHeight w:val="330"/>
        </w:trPr>
        <w:tc>
          <w:tcPr>
            <w:tcW w:w="13948" w:type="dxa"/>
            <w:gridSpan w:val="9"/>
            <w:tcBorders>
              <w:top w:val="single" w:sz="8" w:space="0" w:color="auto"/>
              <w:left w:val="single" w:sz="8" w:space="0" w:color="auto"/>
              <w:bottom w:val="single" w:sz="8" w:space="0" w:color="auto"/>
              <w:right w:val="single" w:sz="8" w:space="0" w:color="auto"/>
            </w:tcBorders>
            <w:shd w:val="clear" w:color="000000" w:fill="D0CECE"/>
            <w:noWrap/>
            <w:vAlign w:val="center"/>
            <w:hideMark/>
          </w:tcPr>
          <w:p w14:paraId="3F831E8C" w14:textId="77777777" w:rsidR="008D7C20" w:rsidRPr="00092ED7" w:rsidRDefault="008D7C20" w:rsidP="008D7C20">
            <w:pPr>
              <w:spacing w:after="0"/>
              <w:jc w:val="left"/>
              <w:rPr>
                <w:rFonts w:eastAsia="Times New Roman" w:cs="Times New Roman"/>
                <w:b/>
                <w:bCs/>
                <w:color w:val="000000"/>
                <w:sz w:val="20"/>
                <w:szCs w:val="20"/>
                <w:lang w:val="sr-Cyrl-CS"/>
              </w:rPr>
            </w:pPr>
            <w:r w:rsidRPr="00092ED7">
              <w:rPr>
                <w:rFonts w:eastAsia="Times New Roman" w:cs="Times New Roman"/>
                <w:b/>
                <w:bCs/>
                <w:color w:val="000000"/>
                <w:sz w:val="20"/>
                <w:szCs w:val="20"/>
                <w:lang w:val="sr-Cyrl-CS"/>
              </w:rPr>
              <w:t>3. Квалификације оријентисане према потребама тржишта рада</w:t>
            </w:r>
          </w:p>
        </w:tc>
      </w:tr>
      <w:tr w:rsidR="00931CF1" w:rsidRPr="00092ED7" w14:paraId="09734110" w14:textId="77777777" w:rsidTr="00812992">
        <w:trPr>
          <w:trHeight w:val="645"/>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0852DE97"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b/>
                <w:bCs/>
                <w:sz w:val="20"/>
                <w:szCs w:val="20"/>
                <w:lang w:val="sr-Cyrl-CS"/>
              </w:rPr>
              <w:t>Година</w:t>
            </w:r>
          </w:p>
        </w:tc>
        <w:tc>
          <w:tcPr>
            <w:tcW w:w="1829" w:type="dxa"/>
            <w:tcBorders>
              <w:top w:val="nil"/>
              <w:left w:val="nil"/>
              <w:bottom w:val="single" w:sz="8" w:space="0" w:color="auto"/>
              <w:right w:val="single" w:sz="8" w:space="0" w:color="auto"/>
            </w:tcBorders>
            <w:shd w:val="clear" w:color="auto" w:fill="auto"/>
            <w:vAlign w:val="center"/>
            <w:hideMark/>
          </w:tcPr>
          <w:p w14:paraId="6E320F15"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Буџет централног нивоа државе</w:t>
            </w:r>
          </w:p>
        </w:tc>
        <w:tc>
          <w:tcPr>
            <w:tcW w:w="1617" w:type="dxa"/>
            <w:tcBorders>
              <w:top w:val="nil"/>
              <w:left w:val="nil"/>
              <w:bottom w:val="single" w:sz="8" w:space="0" w:color="auto"/>
              <w:right w:val="single" w:sz="8" w:space="0" w:color="auto"/>
            </w:tcBorders>
            <w:shd w:val="clear" w:color="auto" w:fill="auto"/>
            <w:noWrap/>
            <w:vAlign w:val="center"/>
            <w:hideMark/>
          </w:tcPr>
          <w:p w14:paraId="11799CBB"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Локални буџети</w:t>
            </w:r>
          </w:p>
        </w:tc>
        <w:tc>
          <w:tcPr>
            <w:tcW w:w="1617" w:type="dxa"/>
            <w:tcBorders>
              <w:top w:val="nil"/>
              <w:left w:val="nil"/>
              <w:bottom w:val="single" w:sz="8" w:space="0" w:color="auto"/>
              <w:right w:val="single" w:sz="8" w:space="0" w:color="auto"/>
            </w:tcBorders>
            <w:shd w:val="clear" w:color="auto" w:fill="auto"/>
            <w:vAlign w:val="center"/>
            <w:hideMark/>
          </w:tcPr>
          <w:p w14:paraId="017E6E68"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Други домаћи извори јавних финансија</w:t>
            </w:r>
          </w:p>
        </w:tc>
        <w:tc>
          <w:tcPr>
            <w:tcW w:w="1527" w:type="dxa"/>
            <w:tcBorders>
              <w:top w:val="nil"/>
              <w:left w:val="nil"/>
              <w:bottom w:val="single" w:sz="8" w:space="0" w:color="auto"/>
              <w:right w:val="single" w:sz="8" w:space="0" w:color="auto"/>
            </w:tcBorders>
            <w:shd w:val="clear" w:color="auto" w:fill="auto"/>
            <w:noWrap/>
            <w:vAlign w:val="center"/>
            <w:hideMark/>
          </w:tcPr>
          <w:p w14:paraId="6A5E2F4C"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ИПА фондови</w:t>
            </w:r>
          </w:p>
        </w:tc>
        <w:tc>
          <w:tcPr>
            <w:tcW w:w="1434" w:type="dxa"/>
            <w:tcBorders>
              <w:top w:val="nil"/>
              <w:left w:val="nil"/>
              <w:bottom w:val="single" w:sz="8" w:space="0" w:color="auto"/>
              <w:right w:val="single" w:sz="8" w:space="0" w:color="auto"/>
            </w:tcBorders>
            <w:shd w:val="clear" w:color="auto" w:fill="auto"/>
            <w:noWrap/>
            <w:vAlign w:val="center"/>
            <w:hideMark/>
          </w:tcPr>
          <w:p w14:paraId="3A495432"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Друга бесповратна средства</w:t>
            </w:r>
          </w:p>
        </w:tc>
        <w:tc>
          <w:tcPr>
            <w:tcW w:w="1466" w:type="dxa"/>
            <w:tcBorders>
              <w:top w:val="nil"/>
              <w:left w:val="nil"/>
              <w:bottom w:val="single" w:sz="8" w:space="0" w:color="auto"/>
              <w:right w:val="single" w:sz="8" w:space="0" w:color="auto"/>
            </w:tcBorders>
            <w:shd w:val="clear" w:color="auto" w:fill="auto"/>
            <w:noWrap/>
            <w:vAlign w:val="center"/>
            <w:hideMark/>
          </w:tcPr>
          <w:p w14:paraId="2A2FE273"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Пројектни кредити</w:t>
            </w:r>
          </w:p>
        </w:tc>
        <w:tc>
          <w:tcPr>
            <w:tcW w:w="1326" w:type="dxa"/>
            <w:tcBorders>
              <w:top w:val="nil"/>
              <w:left w:val="nil"/>
              <w:bottom w:val="single" w:sz="8" w:space="0" w:color="auto"/>
              <w:right w:val="single" w:sz="8" w:space="0" w:color="auto"/>
            </w:tcBorders>
            <w:shd w:val="clear" w:color="auto" w:fill="auto"/>
            <w:noWrap/>
            <w:vAlign w:val="center"/>
            <w:hideMark/>
          </w:tcPr>
          <w:p w14:paraId="0A0F18EB"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Тек треба да се утврди</w:t>
            </w:r>
          </w:p>
        </w:tc>
        <w:tc>
          <w:tcPr>
            <w:tcW w:w="1873" w:type="dxa"/>
            <w:tcBorders>
              <w:top w:val="nil"/>
              <w:left w:val="nil"/>
              <w:bottom w:val="single" w:sz="8" w:space="0" w:color="auto"/>
              <w:right w:val="single" w:sz="8" w:space="0" w:color="auto"/>
            </w:tcBorders>
            <w:shd w:val="clear" w:color="auto" w:fill="auto"/>
            <w:noWrap/>
            <w:vAlign w:val="center"/>
            <w:hideMark/>
          </w:tcPr>
          <w:p w14:paraId="003B9943"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Укупно</w:t>
            </w:r>
          </w:p>
        </w:tc>
      </w:tr>
      <w:tr w:rsidR="00931CF1" w:rsidRPr="00092ED7" w14:paraId="5AC41947" w14:textId="77777777" w:rsidTr="00812992">
        <w:trPr>
          <w:trHeight w:val="330"/>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2593AC40"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2023</w:t>
            </w:r>
          </w:p>
        </w:tc>
        <w:tc>
          <w:tcPr>
            <w:tcW w:w="1829" w:type="dxa"/>
            <w:tcBorders>
              <w:top w:val="nil"/>
              <w:left w:val="nil"/>
              <w:bottom w:val="single" w:sz="8" w:space="0" w:color="auto"/>
              <w:right w:val="single" w:sz="8" w:space="0" w:color="auto"/>
            </w:tcBorders>
            <w:shd w:val="clear" w:color="auto" w:fill="auto"/>
            <w:noWrap/>
            <w:vAlign w:val="center"/>
            <w:hideMark/>
          </w:tcPr>
          <w:p w14:paraId="2D43E643"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20E56CD3"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1C8C99A2"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27" w:type="dxa"/>
            <w:tcBorders>
              <w:top w:val="nil"/>
              <w:left w:val="nil"/>
              <w:bottom w:val="single" w:sz="8" w:space="0" w:color="auto"/>
              <w:right w:val="single" w:sz="8" w:space="0" w:color="auto"/>
            </w:tcBorders>
            <w:shd w:val="clear" w:color="auto" w:fill="auto"/>
            <w:noWrap/>
            <w:vAlign w:val="center"/>
            <w:hideMark/>
          </w:tcPr>
          <w:p w14:paraId="58EE95CF"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34" w:type="dxa"/>
            <w:tcBorders>
              <w:top w:val="nil"/>
              <w:left w:val="nil"/>
              <w:bottom w:val="single" w:sz="8" w:space="0" w:color="auto"/>
              <w:right w:val="single" w:sz="8" w:space="0" w:color="auto"/>
            </w:tcBorders>
            <w:shd w:val="clear" w:color="auto" w:fill="auto"/>
            <w:noWrap/>
            <w:vAlign w:val="center"/>
            <w:hideMark/>
          </w:tcPr>
          <w:p w14:paraId="53F60000"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210.664,00</w:t>
            </w:r>
          </w:p>
        </w:tc>
        <w:tc>
          <w:tcPr>
            <w:tcW w:w="1466" w:type="dxa"/>
            <w:tcBorders>
              <w:top w:val="nil"/>
              <w:left w:val="nil"/>
              <w:bottom w:val="single" w:sz="8" w:space="0" w:color="auto"/>
              <w:right w:val="single" w:sz="8" w:space="0" w:color="auto"/>
            </w:tcBorders>
            <w:shd w:val="clear" w:color="auto" w:fill="auto"/>
            <w:noWrap/>
            <w:vAlign w:val="center"/>
            <w:hideMark/>
          </w:tcPr>
          <w:p w14:paraId="1F6AE169"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28.300.000,00</w:t>
            </w:r>
          </w:p>
        </w:tc>
        <w:tc>
          <w:tcPr>
            <w:tcW w:w="1326" w:type="dxa"/>
            <w:tcBorders>
              <w:top w:val="nil"/>
              <w:left w:val="nil"/>
              <w:bottom w:val="single" w:sz="8" w:space="0" w:color="auto"/>
              <w:right w:val="single" w:sz="8" w:space="0" w:color="auto"/>
            </w:tcBorders>
            <w:shd w:val="clear" w:color="auto" w:fill="auto"/>
            <w:noWrap/>
            <w:vAlign w:val="center"/>
            <w:hideMark/>
          </w:tcPr>
          <w:p w14:paraId="625631B7"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873" w:type="dxa"/>
            <w:tcBorders>
              <w:top w:val="nil"/>
              <w:left w:val="nil"/>
              <w:bottom w:val="single" w:sz="8" w:space="0" w:color="auto"/>
              <w:right w:val="single" w:sz="8" w:space="0" w:color="auto"/>
            </w:tcBorders>
            <w:shd w:val="clear" w:color="auto" w:fill="auto"/>
            <w:noWrap/>
            <w:vAlign w:val="center"/>
            <w:hideMark/>
          </w:tcPr>
          <w:p w14:paraId="1FBE18A4"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28.510.664,00</w:t>
            </w:r>
          </w:p>
        </w:tc>
      </w:tr>
      <w:tr w:rsidR="00931CF1" w:rsidRPr="00092ED7" w14:paraId="2CA4E1BB" w14:textId="77777777" w:rsidTr="00812992">
        <w:trPr>
          <w:trHeight w:val="330"/>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300AA07F"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2024</w:t>
            </w:r>
          </w:p>
        </w:tc>
        <w:tc>
          <w:tcPr>
            <w:tcW w:w="1829" w:type="dxa"/>
            <w:tcBorders>
              <w:top w:val="nil"/>
              <w:left w:val="nil"/>
              <w:bottom w:val="single" w:sz="8" w:space="0" w:color="auto"/>
              <w:right w:val="single" w:sz="8" w:space="0" w:color="auto"/>
            </w:tcBorders>
            <w:shd w:val="clear" w:color="auto" w:fill="auto"/>
            <w:noWrap/>
            <w:vAlign w:val="center"/>
            <w:hideMark/>
          </w:tcPr>
          <w:p w14:paraId="22BBEA9A"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50.000,00</w:t>
            </w:r>
          </w:p>
        </w:tc>
        <w:tc>
          <w:tcPr>
            <w:tcW w:w="1617" w:type="dxa"/>
            <w:tcBorders>
              <w:top w:val="nil"/>
              <w:left w:val="nil"/>
              <w:bottom w:val="single" w:sz="8" w:space="0" w:color="auto"/>
              <w:right w:val="single" w:sz="8" w:space="0" w:color="auto"/>
            </w:tcBorders>
            <w:shd w:val="clear" w:color="auto" w:fill="auto"/>
            <w:noWrap/>
            <w:vAlign w:val="center"/>
            <w:hideMark/>
          </w:tcPr>
          <w:p w14:paraId="1E23CDD8"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5E9C9E46"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27" w:type="dxa"/>
            <w:tcBorders>
              <w:top w:val="nil"/>
              <w:left w:val="nil"/>
              <w:bottom w:val="single" w:sz="8" w:space="0" w:color="auto"/>
              <w:right w:val="single" w:sz="8" w:space="0" w:color="auto"/>
            </w:tcBorders>
            <w:shd w:val="clear" w:color="auto" w:fill="auto"/>
            <w:noWrap/>
            <w:vAlign w:val="center"/>
            <w:hideMark/>
          </w:tcPr>
          <w:p w14:paraId="3970D638"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34" w:type="dxa"/>
            <w:tcBorders>
              <w:top w:val="nil"/>
              <w:left w:val="nil"/>
              <w:bottom w:val="single" w:sz="8" w:space="0" w:color="auto"/>
              <w:right w:val="single" w:sz="8" w:space="0" w:color="auto"/>
            </w:tcBorders>
            <w:shd w:val="clear" w:color="auto" w:fill="auto"/>
            <w:noWrap/>
            <w:vAlign w:val="center"/>
            <w:hideMark/>
          </w:tcPr>
          <w:p w14:paraId="38D706AC"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67.364,00</w:t>
            </w:r>
          </w:p>
        </w:tc>
        <w:tc>
          <w:tcPr>
            <w:tcW w:w="1466" w:type="dxa"/>
            <w:tcBorders>
              <w:top w:val="nil"/>
              <w:left w:val="nil"/>
              <w:bottom w:val="single" w:sz="8" w:space="0" w:color="auto"/>
              <w:right w:val="single" w:sz="8" w:space="0" w:color="auto"/>
            </w:tcBorders>
            <w:shd w:val="clear" w:color="auto" w:fill="auto"/>
            <w:noWrap/>
            <w:vAlign w:val="center"/>
            <w:hideMark/>
          </w:tcPr>
          <w:p w14:paraId="2C27D6A4"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7.518.700,00</w:t>
            </w:r>
          </w:p>
        </w:tc>
        <w:tc>
          <w:tcPr>
            <w:tcW w:w="1326" w:type="dxa"/>
            <w:tcBorders>
              <w:top w:val="nil"/>
              <w:left w:val="nil"/>
              <w:bottom w:val="single" w:sz="8" w:space="0" w:color="auto"/>
              <w:right w:val="single" w:sz="8" w:space="0" w:color="auto"/>
            </w:tcBorders>
            <w:shd w:val="clear" w:color="auto" w:fill="auto"/>
            <w:noWrap/>
            <w:vAlign w:val="center"/>
            <w:hideMark/>
          </w:tcPr>
          <w:p w14:paraId="0F622979"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873" w:type="dxa"/>
            <w:tcBorders>
              <w:top w:val="nil"/>
              <w:left w:val="nil"/>
              <w:bottom w:val="single" w:sz="8" w:space="0" w:color="auto"/>
              <w:right w:val="single" w:sz="8" w:space="0" w:color="auto"/>
            </w:tcBorders>
            <w:shd w:val="clear" w:color="auto" w:fill="auto"/>
            <w:noWrap/>
            <w:vAlign w:val="center"/>
            <w:hideMark/>
          </w:tcPr>
          <w:p w14:paraId="43DDBCE8"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7.636.064,00</w:t>
            </w:r>
          </w:p>
        </w:tc>
      </w:tr>
      <w:tr w:rsidR="00931CF1" w:rsidRPr="00092ED7" w14:paraId="3EE64629" w14:textId="77777777" w:rsidTr="00812992">
        <w:trPr>
          <w:trHeight w:val="330"/>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4C74876B"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2025</w:t>
            </w:r>
          </w:p>
        </w:tc>
        <w:tc>
          <w:tcPr>
            <w:tcW w:w="1829" w:type="dxa"/>
            <w:tcBorders>
              <w:top w:val="nil"/>
              <w:left w:val="nil"/>
              <w:bottom w:val="single" w:sz="8" w:space="0" w:color="auto"/>
              <w:right w:val="single" w:sz="8" w:space="0" w:color="auto"/>
            </w:tcBorders>
            <w:shd w:val="clear" w:color="auto" w:fill="auto"/>
            <w:noWrap/>
            <w:vAlign w:val="center"/>
            <w:hideMark/>
          </w:tcPr>
          <w:p w14:paraId="2D7BEE76"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0677EF80"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422BB1AE"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27" w:type="dxa"/>
            <w:tcBorders>
              <w:top w:val="nil"/>
              <w:left w:val="nil"/>
              <w:bottom w:val="single" w:sz="8" w:space="0" w:color="auto"/>
              <w:right w:val="single" w:sz="8" w:space="0" w:color="auto"/>
            </w:tcBorders>
            <w:shd w:val="clear" w:color="auto" w:fill="auto"/>
            <w:noWrap/>
            <w:vAlign w:val="center"/>
            <w:hideMark/>
          </w:tcPr>
          <w:p w14:paraId="214C322F"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34" w:type="dxa"/>
            <w:tcBorders>
              <w:top w:val="nil"/>
              <w:left w:val="nil"/>
              <w:bottom w:val="single" w:sz="8" w:space="0" w:color="auto"/>
              <w:right w:val="single" w:sz="8" w:space="0" w:color="auto"/>
            </w:tcBorders>
            <w:shd w:val="clear" w:color="auto" w:fill="auto"/>
            <w:noWrap/>
            <w:vAlign w:val="center"/>
            <w:hideMark/>
          </w:tcPr>
          <w:p w14:paraId="032E03FA"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29.100,00</w:t>
            </w:r>
          </w:p>
        </w:tc>
        <w:tc>
          <w:tcPr>
            <w:tcW w:w="1466" w:type="dxa"/>
            <w:tcBorders>
              <w:top w:val="nil"/>
              <w:left w:val="nil"/>
              <w:bottom w:val="single" w:sz="8" w:space="0" w:color="auto"/>
              <w:right w:val="single" w:sz="8" w:space="0" w:color="auto"/>
            </w:tcBorders>
            <w:shd w:val="clear" w:color="auto" w:fill="auto"/>
            <w:noWrap/>
            <w:vAlign w:val="center"/>
            <w:hideMark/>
          </w:tcPr>
          <w:p w14:paraId="175B4B90"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326" w:type="dxa"/>
            <w:tcBorders>
              <w:top w:val="nil"/>
              <w:left w:val="nil"/>
              <w:bottom w:val="single" w:sz="8" w:space="0" w:color="auto"/>
              <w:right w:val="single" w:sz="8" w:space="0" w:color="auto"/>
            </w:tcBorders>
            <w:shd w:val="clear" w:color="auto" w:fill="auto"/>
            <w:noWrap/>
            <w:vAlign w:val="center"/>
            <w:hideMark/>
          </w:tcPr>
          <w:p w14:paraId="246EA091"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873" w:type="dxa"/>
            <w:tcBorders>
              <w:top w:val="nil"/>
              <w:left w:val="nil"/>
              <w:bottom w:val="single" w:sz="8" w:space="0" w:color="auto"/>
              <w:right w:val="single" w:sz="8" w:space="0" w:color="auto"/>
            </w:tcBorders>
            <w:shd w:val="clear" w:color="auto" w:fill="auto"/>
            <w:noWrap/>
            <w:vAlign w:val="center"/>
            <w:hideMark/>
          </w:tcPr>
          <w:p w14:paraId="4312AF92"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29.100,00</w:t>
            </w:r>
          </w:p>
        </w:tc>
      </w:tr>
      <w:tr w:rsidR="008D7C20" w:rsidRPr="00092ED7" w14:paraId="61B134CB" w14:textId="77777777" w:rsidTr="008D7C20">
        <w:trPr>
          <w:trHeight w:val="330"/>
        </w:trPr>
        <w:tc>
          <w:tcPr>
            <w:tcW w:w="13948" w:type="dxa"/>
            <w:gridSpan w:val="9"/>
            <w:tcBorders>
              <w:top w:val="single" w:sz="8" w:space="0" w:color="auto"/>
              <w:left w:val="single" w:sz="8" w:space="0" w:color="auto"/>
              <w:bottom w:val="single" w:sz="8" w:space="0" w:color="auto"/>
              <w:right w:val="single" w:sz="8" w:space="0" w:color="auto"/>
            </w:tcBorders>
            <w:shd w:val="clear" w:color="000000" w:fill="D0CECE"/>
            <w:noWrap/>
            <w:vAlign w:val="center"/>
            <w:hideMark/>
          </w:tcPr>
          <w:p w14:paraId="231E6FBC" w14:textId="77777777" w:rsidR="008D7C20" w:rsidRPr="00092ED7" w:rsidRDefault="008D7C20" w:rsidP="008D7C20">
            <w:pPr>
              <w:spacing w:after="0"/>
              <w:jc w:val="left"/>
              <w:rPr>
                <w:rFonts w:eastAsia="Times New Roman" w:cs="Times New Roman"/>
                <w:b/>
                <w:bCs/>
                <w:color w:val="000000"/>
                <w:sz w:val="20"/>
                <w:szCs w:val="20"/>
                <w:lang w:val="sr-Cyrl-CS"/>
              </w:rPr>
            </w:pPr>
            <w:r w:rsidRPr="00092ED7">
              <w:rPr>
                <w:rFonts w:eastAsia="Times New Roman" w:cs="Times New Roman"/>
                <w:b/>
                <w:bCs/>
                <w:color w:val="000000"/>
                <w:sz w:val="20"/>
                <w:szCs w:val="20"/>
                <w:lang w:val="sr-Cyrl-CS"/>
              </w:rPr>
              <w:t>4. Унапређење амбијента за подстицање, подршку и праћење циркуларних и економских миграција</w:t>
            </w:r>
          </w:p>
        </w:tc>
      </w:tr>
      <w:tr w:rsidR="00931CF1" w:rsidRPr="00092ED7" w14:paraId="737D7336" w14:textId="77777777" w:rsidTr="00812992">
        <w:trPr>
          <w:trHeight w:val="645"/>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6643441C"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b/>
                <w:bCs/>
                <w:sz w:val="20"/>
                <w:szCs w:val="20"/>
                <w:lang w:val="sr-Cyrl-CS"/>
              </w:rPr>
              <w:t>Година</w:t>
            </w:r>
          </w:p>
        </w:tc>
        <w:tc>
          <w:tcPr>
            <w:tcW w:w="1829" w:type="dxa"/>
            <w:tcBorders>
              <w:top w:val="nil"/>
              <w:left w:val="nil"/>
              <w:bottom w:val="single" w:sz="8" w:space="0" w:color="auto"/>
              <w:right w:val="single" w:sz="8" w:space="0" w:color="auto"/>
            </w:tcBorders>
            <w:shd w:val="clear" w:color="auto" w:fill="auto"/>
            <w:vAlign w:val="center"/>
            <w:hideMark/>
          </w:tcPr>
          <w:p w14:paraId="3D98C362"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Буџет централног нивоа државе</w:t>
            </w:r>
          </w:p>
        </w:tc>
        <w:tc>
          <w:tcPr>
            <w:tcW w:w="1617" w:type="dxa"/>
            <w:tcBorders>
              <w:top w:val="nil"/>
              <w:left w:val="nil"/>
              <w:bottom w:val="single" w:sz="8" w:space="0" w:color="auto"/>
              <w:right w:val="single" w:sz="8" w:space="0" w:color="auto"/>
            </w:tcBorders>
            <w:shd w:val="clear" w:color="auto" w:fill="auto"/>
            <w:noWrap/>
            <w:vAlign w:val="center"/>
            <w:hideMark/>
          </w:tcPr>
          <w:p w14:paraId="288C5EF2"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Локални буџети</w:t>
            </w:r>
          </w:p>
        </w:tc>
        <w:tc>
          <w:tcPr>
            <w:tcW w:w="1617" w:type="dxa"/>
            <w:tcBorders>
              <w:top w:val="nil"/>
              <w:left w:val="nil"/>
              <w:bottom w:val="single" w:sz="8" w:space="0" w:color="auto"/>
              <w:right w:val="single" w:sz="8" w:space="0" w:color="auto"/>
            </w:tcBorders>
            <w:shd w:val="clear" w:color="auto" w:fill="auto"/>
            <w:vAlign w:val="center"/>
            <w:hideMark/>
          </w:tcPr>
          <w:p w14:paraId="2C232350"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Други домаћи извори јавних финансија</w:t>
            </w:r>
          </w:p>
        </w:tc>
        <w:tc>
          <w:tcPr>
            <w:tcW w:w="1527" w:type="dxa"/>
            <w:tcBorders>
              <w:top w:val="nil"/>
              <w:left w:val="nil"/>
              <w:bottom w:val="single" w:sz="8" w:space="0" w:color="auto"/>
              <w:right w:val="single" w:sz="8" w:space="0" w:color="auto"/>
            </w:tcBorders>
            <w:shd w:val="clear" w:color="auto" w:fill="auto"/>
            <w:noWrap/>
            <w:vAlign w:val="center"/>
            <w:hideMark/>
          </w:tcPr>
          <w:p w14:paraId="5B0E6CC8"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ИПА фондови</w:t>
            </w:r>
          </w:p>
        </w:tc>
        <w:tc>
          <w:tcPr>
            <w:tcW w:w="1434" w:type="dxa"/>
            <w:tcBorders>
              <w:top w:val="nil"/>
              <w:left w:val="nil"/>
              <w:bottom w:val="single" w:sz="8" w:space="0" w:color="auto"/>
              <w:right w:val="single" w:sz="8" w:space="0" w:color="auto"/>
            </w:tcBorders>
            <w:shd w:val="clear" w:color="auto" w:fill="auto"/>
            <w:noWrap/>
            <w:vAlign w:val="center"/>
            <w:hideMark/>
          </w:tcPr>
          <w:p w14:paraId="537021C0"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Друга бесповратна средства</w:t>
            </w:r>
          </w:p>
        </w:tc>
        <w:tc>
          <w:tcPr>
            <w:tcW w:w="1466" w:type="dxa"/>
            <w:tcBorders>
              <w:top w:val="nil"/>
              <w:left w:val="nil"/>
              <w:bottom w:val="single" w:sz="8" w:space="0" w:color="auto"/>
              <w:right w:val="single" w:sz="8" w:space="0" w:color="auto"/>
            </w:tcBorders>
            <w:shd w:val="clear" w:color="auto" w:fill="auto"/>
            <w:noWrap/>
            <w:vAlign w:val="center"/>
            <w:hideMark/>
          </w:tcPr>
          <w:p w14:paraId="0FCBAE93"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Пројектни кредити</w:t>
            </w:r>
          </w:p>
        </w:tc>
        <w:tc>
          <w:tcPr>
            <w:tcW w:w="1326" w:type="dxa"/>
            <w:tcBorders>
              <w:top w:val="nil"/>
              <w:left w:val="nil"/>
              <w:bottom w:val="single" w:sz="8" w:space="0" w:color="auto"/>
              <w:right w:val="single" w:sz="8" w:space="0" w:color="auto"/>
            </w:tcBorders>
            <w:shd w:val="clear" w:color="auto" w:fill="auto"/>
            <w:noWrap/>
            <w:vAlign w:val="center"/>
            <w:hideMark/>
          </w:tcPr>
          <w:p w14:paraId="13F4FF7E"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Тек треба да се утврди</w:t>
            </w:r>
          </w:p>
        </w:tc>
        <w:tc>
          <w:tcPr>
            <w:tcW w:w="1873" w:type="dxa"/>
            <w:tcBorders>
              <w:top w:val="nil"/>
              <w:left w:val="nil"/>
              <w:bottom w:val="single" w:sz="8" w:space="0" w:color="auto"/>
              <w:right w:val="single" w:sz="8" w:space="0" w:color="auto"/>
            </w:tcBorders>
            <w:shd w:val="clear" w:color="auto" w:fill="auto"/>
            <w:noWrap/>
            <w:vAlign w:val="center"/>
            <w:hideMark/>
          </w:tcPr>
          <w:p w14:paraId="38FA4031"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Укупно</w:t>
            </w:r>
          </w:p>
        </w:tc>
      </w:tr>
      <w:tr w:rsidR="00931CF1" w:rsidRPr="00092ED7" w14:paraId="52E8C607" w14:textId="77777777" w:rsidTr="00812992">
        <w:trPr>
          <w:trHeight w:val="330"/>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2EB9CF89"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2023</w:t>
            </w:r>
          </w:p>
        </w:tc>
        <w:tc>
          <w:tcPr>
            <w:tcW w:w="1829" w:type="dxa"/>
            <w:tcBorders>
              <w:top w:val="nil"/>
              <w:left w:val="nil"/>
              <w:bottom w:val="single" w:sz="8" w:space="0" w:color="auto"/>
              <w:right w:val="single" w:sz="8" w:space="0" w:color="auto"/>
            </w:tcBorders>
            <w:shd w:val="clear" w:color="auto" w:fill="auto"/>
            <w:noWrap/>
            <w:vAlign w:val="center"/>
            <w:hideMark/>
          </w:tcPr>
          <w:p w14:paraId="295B8A6C"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37DA07EF"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426F263A"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27" w:type="dxa"/>
            <w:tcBorders>
              <w:top w:val="nil"/>
              <w:left w:val="nil"/>
              <w:bottom w:val="single" w:sz="8" w:space="0" w:color="auto"/>
              <w:right w:val="single" w:sz="8" w:space="0" w:color="auto"/>
            </w:tcBorders>
            <w:shd w:val="clear" w:color="auto" w:fill="auto"/>
            <w:noWrap/>
            <w:vAlign w:val="center"/>
            <w:hideMark/>
          </w:tcPr>
          <w:p w14:paraId="3D1A6712"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34" w:type="dxa"/>
            <w:tcBorders>
              <w:top w:val="nil"/>
              <w:left w:val="nil"/>
              <w:bottom w:val="single" w:sz="8" w:space="0" w:color="auto"/>
              <w:right w:val="single" w:sz="8" w:space="0" w:color="auto"/>
            </w:tcBorders>
            <w:shd w:val="clear" w:color="auto" w:fill="auto"/>
            <w:noWrap/>
            <w:vAlign w:val="center"/>
            <w:hideMark/>
          </w:tcPr>
          <w:p w14:paraId="38F0FBE0"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389.000,00</w:t>
            </w:r>
          </w:p>
        </w:tc>
        <w:tc>
          <w:tcPr>
            <w:tcW w:w="1466" w:type="dxa"/>
            <w:tcBorders>
              <w:top w:val="nil"/>
              <w:left w:val="nil"/>
              <w:bottom w:val="single" w:sz="8" w:space="0" w:color="auto"/>
              <w:right w:val="single" w:sz="8" w:space="0" w:color="auto"/>
            </w:tcBorders>
            <w:shd w:val="clear" w:color="auto" w:fill="auto"/>
            <w:noWrap/>
            <w:vAlign w:val="center"/>
            <w:hideMark/>
          </w:tcPr>
          <w:p w14:paraId="0FFB8E27"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326" w:type="dxa"/>
            <w:tcBorders>
              <w:top w:val="nil"/>
              <w:left w:val="nil"/>
              <w:bottom w:val="single" w:sz="8" w:space="0" w:color="auto"/>
              <w:right w:val="single" w:sz="8" w:space="0" w:color="auto"/>
            </w:tcBorders>
            <w:shd w:val="clear" w:color="auto" w:fill="auto"/>
            <w:noWrap/>
            <w:vAlign w:val="center"/>
            <w:hideMark/>
          </w:tcPr>
          <w:p w14:paraId="40893679"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873" w:type="dxa"/>
            <w:tcBorders>
              <w:top w:val="nil"/>
              <w:left w:val="nil"/>
              <w:bottom w:val="single" w:sz="8" w:space="0" w:color="auto"/>
              <w:right w:val="single" w:sz="8" w:space="0" w:color="auto"/>
            </w:tcBorders>
            <w:shd w:val="clear" w:color="auto" w:fill="auto"/>
            <w:noWrap/>
            <w:vAlign w:val="center"/>
            <w:hideMark/>
          </w:tcPr>
          <w:p w14:paraId="6AFBA4A9"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389.000,00</w:t>
            </w:r>
          </w:p>
        </w:tc>
      </w:tr>
      <w:tr w:rsidR="00931CF1" w:rsidRPr="00092ED7" w14:paraId="5DD88D50" w14:textId="77777777" w:rsidTr="00812992">
        <w:trPr>
          <w:trHeight w:val="330"/>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4701E444"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2024</w:t>
            </w:r>
          </w:p>
        </w:tc>
        <w:tc>
          <w:tcPr>
            <w:tcW w:w="1829" w:type="dxa"/>
            <w:tcBorders>
              <w:top w:val="nil"/>
              <w:left w:val="nil"/>
              <w:bottom w:val="single" w:sz="8" w:space="0" w:color="auto"/>
              <w:right w:val="single" w:sz="8" w:space="0" w:color="auto"/>
            </w:tcBorders>
            <w:shd w:val="clear" w:color="auto" w:fill="auto"/>
            <w:noWrap/>
            <w:vAlign w:val="center"/>
            <w:hideMark/>
          </w:tcPr>
          <w:p w14:paraId="2E9EE9DC"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217E58A4"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071B5C81"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27" w:type="dxa"/>
            <w:tcBorders>
              <w:top w:val="nil"/>
              <w:left w:val="nil"/>
              <w:bottom w:val="single" w:sz="8" w:space="0" w:color="auto"/>
              <w:right w:val="single" w:sz="8" w:space="0" w:color="auto"/>
            </w:tcBorders>
            <w:shd w:val="clear" w:color="auto" w:fill="auto"/>
            <w:noWrap/>
            <w:vAlign w:val="center"/>
            <w:hideMark/>
          </w:tcPr>
          <w:p w14:paraId="3FB87AEF"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34" w:type="dxa"/>
            <w:tcBorders>
              <w:top w:val="nil"/>
              <w:left w:val="nil"/>
              <w:bottom w:val="single" w:sz="8" w:space="0" w:color="auto"/>
              <w:right w:val="single" w:sz="8" w:space="0" w:color="auto"/>
            </w:tcBorders>
            <w:shd w:val="clear" w:color="auto" w:fill="auto"/>
            <w:noWrap/>
            <w:vAlign w:val="center"/>
            <w:hideMark/>
          </w:tcPr>
          <w:p w14:paraId="2350F3E6"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406.000,00</w:t>
            </w:r>
          </w:p>
        </w:tc>
        <w:tc>
          <w:tcPr>
            <w:tcW w:w="1466" w:type="dxa"/>
            <w:tcBorders>
              <w:top w:val="nil"/>
              <w:left w:val="nil"/>
              <w:bottom w:val="single" w:sz="8" w:space="0" w:color="auto"/>
              <w:right w:val="single" w:sz="8" w:space="0" w:color="auto"/>
            </w:tcBorders>
            <w:shd w:val="clear" w:color="auto" w:fill="auto"/>
            <w:noWrap/>
            <w:vAlign w:val="center"/>
            <w:hideMark/>
          </w:tcPr>
          <w:p w14:paraId="73A9868F"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326" w:type="dxa"/>
            <w:tcBorders>
              <w:top w:val="nil"/>
              <w:left w:val="nil"/>
              <w:bottom w:val="single" w:sz="8" w:space="0" w:color="auto"/>
              <w:right w:val="single" w:sz="8" w:space="0" w:color="auto"/>
            </w:tcBorders>
            <w:shd w:val="clear" w:color="auto" w:fill="auto"/>
            <w:noWrap/>
            <w:vAlign w:val="center"/>
            <w:hideMark/>
          </w:tcPr>
          <w:p w14:paraId="499C0B24"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873" w:type="dxa"/>
            <w:tcBorders>
              <w:top w:val="nil"/>
              <w:left w:val="nil"/>
              <w:bottom w:val="single" w:sz="8" w:space="0" w:color="auto"/>
              <w:right w:val="single" w:sz="8" w:space="0" w:color="auto"/>
            </w:tcBorders>
            <w:shd w:val="clear" w:color="auto" w:fill="auto"/>
            <w:noWrap/>
            <w:vAlign w:val="center"/>
            <w:hideMark/>
          </w:tcPr>
          <w:p w14:paraId="02645333"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406.000,00</w:t>
            </w:r>
          </w:p>
        </w:tc>
      </w:tr>
      <w:tr w:rsidR="00931CF1" w:rsidRPr="00092ED7" w14:paraId="7B263B22" w14:textId="77777777" w:rsidTr="00812992">
        <w:trPr>
          <w:trHeight w:val="330"/>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57B22256"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2025</w:t>
            </w:r>
          </w:p>
        </w:tc>
        <w:tc>
          <w:tcPr>
            <w:tcW w:w="1829" w:type="dxa"/>
            <w:tcBorders>
              <w:top w:val="nil"/>
              <w:left w:val="nil"/>
              <w:bottom w:val="single" w:sz="8" w:space="0" w:color="auto"/>
              <w:right w:val="single" w:sz="8" w:space="0" w:color="auto"/>
            </w:tcBorders>
            <w:shd w:val="clear" w:color="auto" w:fill="auto"/>
            <w:noWrap/>
            <w:vAlign w:val="center"/>
            <w:hideMark/>
          </w:tcPr>
          <w:p w14:paraId="67DC19C7"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01D5CDA6"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023F116E"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27" w:type="dxa"/>
            <w:tcBorders>
              <w:top w:val="nil"/>
              <w:left w:val="nil"/>
              <w:bottom w:val="single" w:sz="8" w:space="0" w:color="auto"/>
              <w:right w:val="single" w:sz="8" w:space="0" w:color="auto"/>
            </w:tcBorders>
            <w:shd w:val="clear" w:color="auto" w:fill="auto"/>
            <w:noWrap/>
            <w:vAlign w:val="center"/>
            <w:hideMark/>
          </w:tcPr>
          <w:p w14:paraId="488C5E50"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34" w:type="dxa"/>
            <w:tcBorders>
              <w:top w:val="nil"/>
              <w:left w:val="nil"/>
              <w:bottom w:val="single" w:sz="8" w:space="0" w:color="auto"/>
              <w:right w:val="single" w:sz="8" w:space="0" w:color="auto"/>
            </w:tcBorders>
            <w:shd w:val="clear" w:color="auto" w:fill="auto"/>
            <w:noWrap/>
            <w:vAlign w:val="center"/>
            <w:hideMark/>
          </w:tcPr>
          <w:p w14:paraId="4C0AFA20"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421.000,00</w:t>
            </w:r>
          </w:p>
        </w:tc>
        <w:tc>
          <w:tcPr>
            <w:tcW w:w="1466" w:type="dxa"/>
            <w:tcBorders>
              <w:top w:val="nil"/>
              <w:left w:val="nil"/>
              <w:bottom w:val="single" w:sz="8" w:space="0" w:color="auto"/>
              <w:right w:val="single" w:sz="8" w:space="0" w:color="auto"/>
            </w:tcBorders>
            <w:shd w:val="clear" w:color="auto" w:fill="auto"/>
            <w:noWrap/>
            <w:vAlign w:val="center"/>
            <w:hideMark/>
          </w:tcPr>
          <w:p w14:paraId="5C2A725E"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326" w:type="dxa"/>
            <w:tcBorders>
              <w:top w:val="nil"/>
              <w:left w:val="nil"/>
              <w:bottom w:val="single" w:sz="8" w:space="0" w:color="auto"/>
              <w:right w:val="single" w:sz="8" w:space="0" w:color="auto"/>
            </w:tcBorders>
            <w:shd w:val="clear" w:color="auto" w:fill="auto"/>
            <w:noWrap/>
            <w:vAlign w:val="center"/>
            <w:hideMark/>
          </w:tcPr>
          <w:p w14:paraId="63726AB2"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873" w:type="dxa"/>
            <w:tcBorders>
              <w:top w:val="nil"/>
              <w:left w:val="nil"/>
              <w:bottom w:val="single" w:sz="8" w:space="0" w:color="auto"/>
              <w:right w:val="single" w:sz="8" w:space="0" w:color="auto"/>
            </w:tcBorders>
            <w:shd w:val="clear" w:color="auto" w:fill="auto"/>
            <w:noWrap/>
            <w:vAlign w:val="center"/>
            <w:hideMark/>
          </w:tcPr>
          <w:p w14:paraId="377413BE"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421.000,00</w:t>
            </w:r>
          </w:p>
        </w:tc>
      </w:tr>
      <w:tr w:rsidR="008D7C20" w:rsidRPr="00092ED7" w14:paraId="0F202C9D" w14:textId="77777777" w:rsidTr="008D7C20">
        <w:trPr>
          <w:trHeight w:val="330"/>
        </w:trPr>
        <w:tc>
          <w:tcPr>
            <w:tcW w:w="13948" w:type="dxa"/>
            <w:gridSpan w:val="9"/>
            <w:tcBorders>
              <w:top w:val="single" w:sz="8" w:space="0" w:color="auto"/>
              <w:left w:val="single" w:sz="8" w:space="0" w:color="auto"/>
              <w:bottom w:val="single" w:sz="8" w:space="0" w:color="auto"/>
              <w:right w:val="single" w:sz="8" w:space="0" w:color="auto"/>
            </w:tcBorders>
            <w:shd w:val="clear" w:color="000000" w:fill="D0CECE"/>
            <w:noWrap/>
            <w:vAlign w:val="center"/>
            <w:hideMark/>
          </w:tcPr>
          <w:p w14:paraId="04B782C3" w14:textId="77777777" w:rsidR="008D7C20" w:rsidRPr="00092ED7" w:rsidRDefault="008D7C20" w:rsidP="008D7C20">
            <w:pPr>
              <w:spacing w:after="0"/>
              <w:jc w:val="left"/>
              <w:rPr>
                <w:rFonts w:eastAsia="Times New Roman" w:cs="Times New Roman"/>
                <w:b/>
                <w:bCs/>
                <w:color w:val="000000"/>
                <w:sz w:val="20"/>
                <w:szCs w:val="20"/>
                <w:lang w:val="sr-Cyrl-CS"/>
              </w:rPr>
            </w:pPr>
            <w:r w:rsidRPr="00092ED7">
              <w:rPr>
                <w:rFonts w:eastAsia="Times New Roman" w:cs="Times New Roman"/>
                <w:b/>
                <w:bCs/>
                <w:color w:val="000000"/>
                <w:sz w:val="20"/>
                <w:szCs w:val="20"/>
                <w:lang w:val="sr-Cyrl-CS"/>
              </w:rPr>
              <w:lastRenderedPageBreak/>
              <w:t>5. Унапређење квалитета пружања јавних услуга кроз оптимизацију и дигитализацију административних поступака – е-Папир</w:t>
            </w:r>
          </w:p>
        </w:tc>
      </w:tr>
      <w:tr w:rsidR="00931CF1" w:rsidRPr="00092ED7" w14:paraId="19231994" w14:textId="77777777" w:rsidTr="00812992">
        <w:trPr>
          <w:trHeight w:val="645"/>
        </w:trPr>
        <w:tc>
          <w:tcPr>
            <w:tcW w:w="1259" w:type="dxa"/>
            <w:tcBorders>
              <w:top w:val="nil"/>
              <w:left w:val="single" w:sz="8" w:space="0" w:color="auto"/>
              <w:bottom w:val="single" w:sz="4" w:space="0" w:color="auto"/>
              <w:right w:val="single" w:sz="8" w:space="0" w:color="auto"/>
            </w:tcBorders>
            <w:shd w:val="clear" w:color="auto" w:fill="auto"/>
            <w:noWrap/>
            <w:vAlign w:val="center"/>
            <w:hideMark/>
          </w:tcPr>
          <w:p w14:paraId="605C383C"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b/>
                <w:bCs/>
                <w:sz w:val="20"/>
                <w:szCs w:val="20"/>
                <w:lang w:val="sr-Cyrl-CS"/>
              </w:rPr>
              <w:t>Година</w:t>
            </w:r>
          </w:p>
        </w:tc>
        <w:tc>
          <w:tcPr>
            <w:tcW w:w="1829" w:type="dxa"/>
            <w:tcBorders>
              <w:top w:val="nil"/>
              <w:left w:val="nil"/>
              <w:bottom w:val="single" w:sz="4" w:space="0" w:color="auto"/>
              <w:right w:val="single" w:sz="8" w:space="0" w:color="auto"/>
            </w:tcBorders>
            <w:shd w:val="clear" w:color="auto" w:fill="auto"/>
            <w:vAlign w:val="center"/>
            <w:hideMark/>
          </w:tcPr>
          <w:p w14:paraId="4CE62E49"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Буџет централног нивоа државе</w:t>
            </w:r>
          </w:p>
        </w:tc>
        <w:tc>
          <w:tcPr>
            <w:tcW w:w="1617" w:type="dxa"/>
            <w:tcBorders>
              <w:top w:val="nil"/>
              <w:left w:val="nil"/>
              <w:bottom w:val="single" w:sz="4" w:space="0" w:color="auto"/>
              <w:right w:val="single" w:sz="8" w:space="0" w:color="auto"/>
            </w:tcBorders>
            <w:shd w:val="clear" w:color="auto" w:fill="auto"/>
            <w:noWrap/>
            <w:vAlign w:val="center"/>
            <w:hideMark/>
          </w:tcPr>
          <w:p w14:paraId="358A9437"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Локални буџети</w:t>
            </w:r>
          </w:p>
        </w:tc>
        <w:tc>
          <w:tcPr>
            <w:tcW w:w="1617" w:type="dxa"/>
            <w:tcBorders>
              <w:top w:val="nil"/>
              <w:left w:val="nil"/>
              <w:bottom w:val="single" w:sz="4" w:space="0" w:color="auto"/>
              <w:right w:val="single" w:sz="8" w:space="0" w:color="auto"/>
            </w:tcBorders>
            <w:shd w:val="clear" w:color="auto" w:fill="auto"/>
            <w:vAlign w:val="center"/>
            <w:hideMark/>
          </w:tcPr>
          <w:p w14:paraId="2064D8D3"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Други домаћи извори јавних финансија</w:t>
            </w:r>
          </w:p>
        </w:tc>
        <w:tc>
          <w:tcPr>
            <w:tcW w:w="1527" w:type="dxa"/>
            <w:tcBorders>
              <w:top w:val="nil"/>
              <w:left w:val="nil"/>
              <w:bottom w:val="single" w:sz="4" w:space="0" w:color="auto"/>
              <w:right w:val="single" w:sz="8" w:space="0" w:color="auto"/>
            </w:tcBorders>
            <w:shd w:val="clear" w:color="auto" w:fill="auto"/>
            <w:noWrap/>
            <w:vAlign w:val="center"/>
            <w:hideMark/>
          </w:tcPr>
          <w:p w14:paraId="57DEDE22"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ИПА фондови</w:t>
            </w:r>
          </w:p>
        </w:tc>
        <w:tc>
          <w:tcPr>
            <w:tcW w:w="1434" w:type="dxa"/>
            <w:tcBorders>
              <w:top w:val="nil"/>
              <w:left w:val="nil"/>
              <w:bottom w:val="single" w:sz="4" w:space="0" w:color="auto"/>
              <w:right w:val="single" w:sz="8" w:space="0" w:color="auto"/>
            </w:tcBorders>
            <w:shd w:val="clear" w:color="auto" w:fill="auto"/>
            <w:noWrap/>
            <w:vAlign w:val="center"/>
            <w:hideMark/>
          </w:tcPr>
          <w:p w14:paraId="1BFCA322"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Друга бесповратна средства</w:t>
            </w:r>
          </w:p>
        </w:tc>
        <w:tc>
          <w:tcPr>
            <w:tcW w:w="1466" w:type="dxa"/>
            <w:tcBorders>
              <w:top w:val="nil"/>
              <w:left w:val="nil"/>
              <w:bottom w:val="single" w:sz="4" w:space="0" w:color="auto"/>
              <w:right w:val="single" w:sz="8" w:space="0" w:color="auto"/>
            </w:tcBorders>
            <w:shd w:val="clear" w:color="auto" w:fill="auto"/>
            <w:noWrap/>
            <w:vAlign w:val="center"/>
            <w:hideMark/>
          </w:tcPr>
          <w:p w14:paraId="460B0E97"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Пројектни кредити</w:t>
            </w:r>
          </w:p>
        </w:tc>
        <w:tc>
          <w:tcPr>
            <w:tcW w:w="1326" w:type="dxa"/>
            <w:tcBorders>
              <w:top w:val="nil"/>
              <w:left w:val="nil"/>
              <w:bottom w:val="single" w:sz="4" w:space="0" w:color="auto"/>
              <w:right w:val="single" w:sz="8" w:space="0" w:color="auto"/>
            </w:tcBorders>
            <w:shd w:val="clear" w:color="auto" w:fill="auto"/>
            <w:noWrap/>
            <w:vAlign w:val="center"/>
            <w:hideMark/>
          </w:tcPr>
          <w:p w14:paraId="313B9C62"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Тек треба да се утврди</w:t>
            </w:r>
          </w:p>
        </w:tc>
        <w:tc>
          <w:tcPr>
            <w:tcW w:w="1873" w:type="dxa"/>
            <w:tcBorders>
              <w:top w:val="nil"/>
              <w:left w:val="nil"/>
              <w:bottom w:val="single" w:sz="4" w:space="0" w:color="auto"/>
              <w:right w:val="single" w:sz="8" w:space="0" w:color="auto"/>
            </w:tcBorders>
            <w:shd w:val="clear" w:color="auto" w:fill="auto"/>
            <w:noWrap/>
            <w:vAlign w:val="center"/>
            <w:hideMark/>
          </w:tcPr>
          <w:p w14:paraId="56EB3A29"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Укупно</w:t>
            </w:r>
          </w:p>
        </w:tc>
      </w:tr>
      <w:tr w:rsidR="00931CF1" w:rsidRPr="00092ED7" w14:paraId="20570FE6" w14:textId="77777777" w:rsidTr="00812992">
        <w:trPr>
          <w:trHeight w:val="330"/>
        </w:trPr>
        <w:tc>
          <w:tcPr>
            <w:tcW w:w="12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98FEB5"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2023</w:t>
            </w:r>
          </w:p>
        </w:tc>
        <w:tc>
          <w:tcPr>
            <w:tcW w:w="18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704B94"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106746"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56C1AB"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50A3C6"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613.000,00</w:t>
            </w:r>
          </w:p>
        </w:tc>
        <w:tc>
          <w:tcPr>
            <w:tcW w:w="14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A7B6ED"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180.000,00</w:t>
            </w:r>
          </w:p>
        </w:tc>
        <w:tc>
          <w:tcPr>
            <w:tcW w:w="14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216D53" w14:textId="302EE48D" w:rsidR="008D7C20" w:rsidRPr="00092ED7" w:rsidRDefault="00CD7B23" w:rsidP="008D7C20">
            <w:pPr>
              <w:spacing w:after="0"/>
              <w:jc w:val="right"/>
              <w:rPr>
                <w:rFonts w:eastAsia="Times New Roman" w:cs="Times New Roman"/>
                <w:color w:val="000000"/>
                <w:sz w:val="20"/>
                <w:szCs w:val="20"/>
                <w:lang w:val="sr-Cyrl-CS"/>
              </w:rPr>
            </w:pPr>
            <w:r w:rsidRPr="00092ED7">
              <w:rPr>
                <w:rFonts w:cs="Times New Roman"/>
                <w:sz w:val="20"/>
                <w:szCs w:val="20"/>
                <w:lang w:val="sr-Cyrl-CS"/>
              </w:rPr>
              <w:t>866.760,00</w:t>
            </w:r>
          </w:p>
        </w:tc>
        <w:tc>
          <w:tcPr>
            <w:tcW w:w="13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6BF113"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87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0C63A2" w14:textId="1202D55C" w:rsidR="008D7C20" w:rsidRPr="00092ED7" w:rsidRDefault="00CD7B23" w:rsidP="008D7C20">
            <w:pPr>
              <w:spacing w:after="0"/>
              <w:jc w:val="right"/>
              <w:rPr>
                <w:rFonts w:eastAsia="Times New Roman" w:cs="Times New Roman"/>
                <w:color w:val="000000"/>
                <w:sz w:val="20"/>
                <w:szCs w:val="20"/>
                <w:lang w:val="sr-Cyrl-CS"/>
              </w:rPr>
            </w:pPr>
            <w:r w:rsidRPr="00092ED7">
              <w:rPr>
                <w:rFonts w:cs="Times New Roman"/>
                <w:sz w:val="20"/>
                <w:szCs w:val="20"/>
                <w:lang w:val="sr-Cyrl-CS"/>
              </w:rPr>
              <w:t>1.659.760,00</w:t>
            </w:r>
          </w:p>
        </w:tc>
      </w:tr>
      <w:tr w:rsidR="00931CF1" w:rsidRPr="00092ED7" w14:paraId="2DC1A096" w14:textId="77777777" w:rsidTr="00812992">
        <w:trPr>
          <w:trHeight w:val="330"/>
        </w:trPr>
        <w:tc>
          <w:tcPr>
            <w:tcW w:w="1259"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4709C06C"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2024</w:t>
            </w:r>
          </w:p>
        </w:tc>
        <w:tc>
          <w:tcPr>
            <w:tcW w:w="1829" w:type="dxa"/>
            <w:tcBorders>
              <w:top w:val="single" w:sz="4" w:space="0" w:color="auto"/>
              <w:left w:val="nil"/>
              <w:bottom w:val="single" w:sz="8" w:space="0" w:color="auto"/>
              <w:right w:val="single" w:sz="8" w:space="0" w:color="auto"/>
            </w:tcBorders>
            <w:shd w:val="clear" w:color="auto" w:fill="auto"/>
            <w:noWrap/>
            <w:vAlign w:val="center"/>
            <w:hideMark/>
          </w:tcPr>
          <w:p w14:paraId="5C27CF37"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single" w:sz="4" w:space="0" w:color="auto"/>
              <w:left w:val="nil"/>
              <w:bottom w:val="single" w:sz="8" w:space="0" w:color="auto"/>
              <w:right w:val="single" w:sz="8" w:space="0" w:color="auto"/>
            </w:tcBorders>
            <w:shd w:val="clear" w:color="auto" w:fill="auto"/>
            <w:noWrap/>
            <w:vAlign w:val="center"/>
            <w:hideMark/>
          </w:tcPr>
          <w:p w14:paraId="7E4564F7"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single" w:sz="4" w:space="0" w:color="auto"/>
              <w:left w:val="nil"/>
              <w:bottom w:val="single" w:sz="8" w:space="0" w:color="auto"/>
              <w:right w:val="single" w:sz="8" w:space="0" w:color="auto"/>
            </w:tcBorders>
            <w:shd w:val="clear" w:color="auto" w:fill="auto"/>
            <w:noWrap/>
            <w:vAlign w:val="center"/>
            <w:hideMark/>
          </w:tcPr>
          <w:p w14:paraId="473F5ED3"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27" w:type="dxa"/>
            <w:tcBorders>
              <w:top w:val="single" w:sz="4" w:space="0" w:color="auto"/>
              <w:left w:val="nil"/>
              <w:bottom w:val="single" w:sz="8" w:space="0" w:color="auto"/>
              <w:right w:val="single" w:sz="8" w:space="0" w:color="auto"/>
            </w:tcBorders>
            <w:shd w:val="clear" w:color="auto" w:fill="auto"/>
            <w:noWrap/>
            <w:vAlign w:val="center"/>
            <w:hideMark/>
          </w:tcPr>
          <w:p w14:paraId="6525B1AC"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945.000.00</w:t>
            </w:r>
          </w:p>
        </w:tc>
        <w:tc>
          <w:tcPr>
            <w:tcW w:w="1434" w:type="dxa"/>
            <w:tcBorders>
              <w:top w:val="single" w:sz="4" w:space="0" w:color="auto"/>
              <w:left w:val="nil"/>
              <w:bottom w:val="single" w:sz="8" w:space="0" w:color="auto"/>
              <w:right w:val="single" w:sz="8" w:space="0" w:color="auto"/>
            </w:tcBorders>
            <w:shd w:val="clear" w:color="auto" w:fill="auto"/>
            <w:noWrap/>
            <w:vAlign w:val="center"/>
            <w:hideMark/>
          </w:tcPr>
          <w:p w14:paraId="721DF856"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35.000,00</w:t>
            </w:r>
          </w:p>
        </w:tc>
        <w:tc>
          <w:tcPr>
            <w:tcW w:w="1466" w:type="dxa"/>
            <w:tcBorders>
              <w:top w:val="single" w:sz="4" w:space="0" w:color="auto"/>
              <w:left w:val="nil"/>
              <w:bottom w:val="single" w:sz="8" w:space="0" w:color="auto"/>
              <w:right w:val="single" w:sz="8" w:space="0" w:color="auto"/>
            </w:tcBorders>
            <w:shd w:val="clear" w:color="auto" w:fill="auto"/>
            <w:noWrap/>
            <w:vAlign w:val="center"/>
            <w:hideMark/>
          </w:tcPr>
          <w:p w14:paraId="02CCE7D1" w14:textId="11BFDFA0" w:rsidR="008D7C20" w:rsidRPr="00092ED7" w:rsidRDefault="00CD7B23" w:rsidP="008D7C20">
            <w:pPr>
              <w:spacing w:after="0"/>
              <w:jc w:val="right"/>
              <w:rPr>
                <w:rFonts w:eastAsia="Times New Roman" w:cs="Times New Roman"/>
                <w:color w:val="000000"/>
                <w:sz w:val="20"/>
                <w:szCs w:val="20"/>
                <w:lang w:val="sr-Cyrl-CS"/>
              </w:rPr>
            </w:pPr>
            <w:r w:rsidRPr="00092ED7">
              <w:rPr>
                <w:rFonts w:cs="Times New Roman"/>
                <w:sz w:val="20"/>
                <w:szCs w:val="20"/>
                <w:lang w:val="sr-Cyrl-CS"/>
              </w:rPr>
              <w:t>1.405.240,00</w:t>
            </w:r>
          </w:p>
        </w:tc>
        <w:tc>
          <w:tcPr>
            <w:tcW w:w="1326" w:type="dxa"/>
            <w:tcBorders>
              <w:top w:val="single" w:sz="4" w:space="0" w:color="auto"/>
              <w:left w:val="nil"/>
              <w:bottom w:val="single" w:sz="8" w:space="0" w:color="auto"/>
              <w:right w:val="single" w:sz="8" w:space="0" w:color="auto"/>
            </w:tcBorders>
            <w:shd w:val="clear" w:color="auto" w:fill="auto"/>
            <w:noWrap/>
            <w:vAlign w:val="center"/>
            <w:hideMark/>
          </w:tcPr>
          <w:p w14:paraId="09E5F80C"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873" w:type="dxa"/>
            <w:tcBorders>
              <w:top w:val="single" w:sz="4" w:space="0" w:color="auto"/>
              <w:left w:val="nil"/>
              <w:bottom w:val="single" w:sz="8" w:space="0" w:color="auto"/>
              <w:right w:val="single" w:sz="8" w:space="0" w:color="auto"/>
            </w:tcBorders>
            <w:shd w:val="clear" w:color="auto" w:fill="auto"/>
            <w:noWrap/>
            <w:vAlign w:val="center"/>
            <w:hideMark/>
          </w:tcPr>
          <w:p w14:paraId="5669A3E6" w14:textId="08F2AF41" w:rsidR="008D7C20" w:rsidRPr="00092ED7" w:rsidRDefault="00CD7B23" w:rsidP="008D7C20">
            <w:pPr>
              <w:spacing w:after="0"/>
              <w:jc w:val="right"/>
              <w:rPr>
                <w:rFonts w:eastAsia="Times New Roman" w:cs="Times New Roman"/>
                <w:color w:val="000000"/>
                <w:sz w:val="20"/>
                <w:szCs w:val="20"/>
                <w:lang w:val="sr-Cyrl-CS"/>
              </w:rPr>
            </w:pPr>
            <w:r w:rsidRPr="00092ED7">
              <w:rPr>
                <w:rFonts w:cs="Times New Roman"/>
                <w:sz w:val="20"/>
                <w:szCs w:val="20"/>
                <w:lang w:val="sr-Cyrl-CS"/>
              </w:rPr>
              <w:t>2.385.240,00</w:t>
            </w:r>
          </w:p>
        </w:tc>
      </w:tr>
      <w:tr w:rsidR="00931CF1" w:rsidRPr="00092ED7" w14:paraId="72F95098" w14:textId="77777777" w:rsidTr="00812992">
        <w:trPr>
          <w:trHeight w:val="330"/>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783A7693"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2025</w:t>
            </w:r>
          </w:p>
        </w:tc>
        <w:tc>
          <w:tcPr>
            <w:tcW w:w="1829" w:type="dxa"/>
            <w:tcBorders>
              <w:top w:val="nil"/>
              <w:left w:val="nil"/>
              <w:bottom w:val="single" w:sz="8" w:space="0" w:color="auto"/>
              <w:right w:val="single" w:sz="8" w:space="0" w:color="auto"/>
            </w:tcBorders>
            <w:shd w:val="clear" w:color="auto" w:fill="auto"/>
            <w:noWrap/>
            <w:vAlign w:val="center"/>
            <w:hideMark/>
          </w:tcPr>
          <w:p w14:paraId="75E3EEAB"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44480D55"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1B344F6C"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27" w:type="dxa"/>
            <w:tcBorders>
              <w:top w:val="nil"/>
              <w:left w:val="nil"/>
              <w:bottom w:val="single" w:sz="8" w:space="0" w:color="auto"/>
              <w:right w:val="single" w:sz="8" w:space="0" w:color="auto"/>
            </w:tcBorders>
            <w:shd w:val="clear" w:color="auto" w:fill="auto"/>
            <w:noWrap/>
            <w:vAlign w:val="center"/>
            <w:hideMark/>
          </w:tcPr>
          <w:p w14:paraId="40D79808"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637.000,00</w:t>
            </w:r>
          </w:p>
        </w:tc>
        <w:tc>
          <w:tcPr>
            <w:tcW w:w="1434" w:type="dxa"/>
            <w:tcBorders>
              <w:top w:val="nil"/>
              <w:left w:val="nil"/>
              <w:bottom w:val="single" w:sz="8" w:space="0" w:color="auto"/>
              <w:right w:val="single" w:sz="8" w:space="0" w:color="auto"/>
            </w:tcBorders>
            <w:shd w:val="clear" w:color="auto" w:fill="auto"/>
            <w:noWrap/>
            <w:vAlign w:val="center"/>
            <w:hideMark/>
          </w:tcPr>
          <w:p w14:paraId="29F054C8"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66" w:type="dxa"/>
            <w:tcBorders>
              <w:top w:val="nil"/>
              <w:left w:val="nil"/>
              <w:bottom w:val="single" w:sz="8" w:space="0" w:color="auto"/>
              <w:right w:val="single" w:sz="8" w:space="0" w:color="auto"/>
            </w:tcBorders>
            <w:shd w:val="clear" w:color="auto" w:fill="auto"/>
            <w:noWrap/>
            <w:vAlign w:val="center"/>
            <w:hideMark/>
          </w:tcPr>
          <w:p w14:paraId="03F14963" w14:textId="613A17F1" w:rsidR="008D7C20" w:rsidRPr="00092ED7" w:rsidRDefault="00CD7B23" w:rsidP="008D7C20">
            <w:pPr>
              <w:spacing w:after="0"/>
              <w:jc w:val="right"/>
              <w:rPr>
                <w:rFonts w:eastAsia="Times New Roman" w:cs="Times New Roman"/>
                <w:color w:val="000000"/>
                <w:sz w:val="20"/>
                <w:szCs w:val="20"/>
                <w:lang w:val="sr-Cyrl-CS"/>
              </w:rPr>
            </w:pPr>
            <w:r w:rsidRPr="00092ED7">
              <w:rPr>
                <w:rFonts w:cs="Times New Roman"/>
                <w:sz w:val="20"/>
                <w:szCs w:val="20"/>
                <w:lang w:val="sr-Cyrl-CS"/>
              </w:rPr>
              <w:t>550.000,00</w:t>
            </w:r>
          </w:p>
        </w:tc>
        <w:tc>
          <w:tcPr>
            <w:tcW w:w="1326" w:type="dxa"/>
            <w:tcBorders>
              <w:top w:val="nil"/>
              <w:left w:val="nil"/>
              <w:bottom w:val="single" w:sz="8" w:space="0" w:color="auto"/>
              <w:right w:val="single" w:sz="8" w:space="0" w:color="auto"/>
            </w:tcBorders>
            <w:shd w:val="clear" w:color="auto" w:fill="auto"/>
            <w:noWrap/>
            <w:vAlign w:val="center"/>
            <w:hideMark/>
          </w:tcPr>
          <w:p w14:paraId="5A990E70"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873" w:type="dxa"/>
            <w:tcBorders>
              <w:top w:val="nil"/>
              <w:left w:val="nil"/>
              <w:bottom w:val="single" w:sz="8" w:space="0" w:color="auto"/>
              <w:right w:val="single" w:sz="8" w:space="0" w:color="auto"/>
            </w:tcBorders>
            <w:shd w:val="clear" w:color="auto" w:fill="auto"/>
            <w:noWrap/>
            <w:vAlign w:val="center"/>
            <w:hideMark/>
          </w:tcPr>
          <w:p w14:paraId="3CCBD6B9" w14:textId="0CB575C2" w:rsidR="008D7C20" w:rsidRPr="00092ED7" w:rsidRDefault="00CD7B23" w:rsidP="008D7C20">
            <w:pPr>
              <w:spacing w:after="0"/>
              <w:jc w:val="right"/>
              <w:rPr>
                <w:rFonts w:eastAsia="Times New Roman" w:cs="Times New Roman"/>
                <w:color w:val="000000"/>
                <w:sz w:val="20"/>
                <w:szCs w:val="20"/>
                <w:lang w:val="sr-Cyrl-CS"/>
              </w:rPr>
            </w:pPr>
            <w:r w:rsidRPr="00092ED7">
              <w:rPr>
                <w:rFonts w:cs="Times New Roman"/>
                <w:sz w:val="20"/>
                <w:szCs w:val="20"/>
                <w:lang w:val="sr-Cyrl-CS"/>
              </w:rPr>
              <w:t>1.187.000,00</w:t>
            </w:r>
          </w:p>
        </w:tc>
      </w:tr>
      <w:tr w:rsidR="008D7C20" w:rsidRPr="00092ED7" w14:paraId="4AB88FF4" w14:textId="77777777" w:rsidTr="008D7C20">
        <w:trPr>
          <w:trHeight w:val="330"/>
        </w:trPr>
        <w:tc>
          <w:tcPr>
            <w:tcW w:w="13948" w:type="dxa"/>
            <w:gridSpan w:val="9"/>
            <w:tcBorders>
              <w:top w:val="single" w:sz="8" w:space="0" w:color="auto"/>
              <w:left w:val="single" w:sz="8" w:space="0" w:color="auto"/>
              <w:bottom w:val="single" w:sz="8" w:space="0" w:color="auto"/>
              <w:right w:val="single" w:sz="8" w:space="0" w:color="auto"/>
            </w:tcBorders>
            <w:shd w:val="clear" w:color="000000" w:fill="D0CECE"/>
            <w:noWrap/>
            <w:vAlign w:val="center"/>
            <w:hideMark/>
          </w:tcPr>
          <w:p w14:paraId="6195CBCE" w14:textId="77777777" w:rsidR="008D7C20" w:rsidRPr="00092ED7" w:rsidRDefault="008D7C20" w:rsidP="008D7C20">
            <w:pPr>
              <w:spacing w:after="0"/>
              <w:jc w:val="left"/>
              <w:rPr>
                <w:rFonts w:eastAsia="Times New Roman" w:cs="Times New Roman"/>
                <w:b/>
                <w:bCs/>
                <w:color w:val="000000"/>
                <w:sz w:val="20"/>
                <w:szCs w:val="20"/>
                <w:lang w:val="sr-Cyrl-CS"/>
              </w:rPr>
            </w:pPr>
            <w:r w:rsidRPr="00092ED7">
              <w:rPr>
                <w:rFonts w:eastAsia="Times New Roman" w:cs="Times New Roman"/>
                <w:b/>
                <w:bCs/>
                <w:color w:val="000000"/>
                <w:sz w:val="20"/>
                <w:szCs w:val="20"/>
                <w:lang w:val="sr-Cyrl-CS"/>
              </w:rPr>
              <w:t>6. Одрживо и ефикасно управљање привредним субјектима у власништву Републике Србије</w:t>
            </w:r>
          </w:p>
        </w:tc>
      </w:tr>
      <w:tr w:rsidR="00931CF1" w:rsidRPr="00092ED7" w14:paraId="729D1DBA" w14:textId="77777777" w:rsidTr="00812992">
        <w:trPr>
          <w:trHeight w:val="645"/>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25774F9F"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b/>
                <w:bCs/>
                <w:sz w:val="20"/>
                <w:szCs w:val="20"/>
                <w:lang w:val="sr-Cyrl-CS"/>
              </w:rPr>
              <w:t>Година</w:t>
            </w:r>
          </w:p>
        </w:tc>
        <w:tc>
          <w:tcPr>
            <w:tcW w:w="1829" w:type="dxa"/>
            <w:tcBorders>
              <w:top w:val="nil"/>
              <w:left w:val="nil"/>
              <w:bottom w:val="single" w:sz="8" w:space="0" w:color="auto"/>
              <w:right w:val="single" w:sz="8" w:space="0" w:color="auto"/>
            </w:tcBorders>
            <w:shd w:val="clear" w:color="auto" w:fill="auto"/>
            <w:vAlign w:val="center"/>
            <w:hideMark/>
          </w:tcPr>
          <w:p w14:paraId="6D364147"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Буџет централног нивоа државе</w:t>
            </w:r>
          </w:p>
        </w:tc>
        <w:tc>
          <w:tcPr>
            <w:tcW w:w="1617" w:type="dxa"/>
            <w:tcBorders>
              <w:top w:val="nil"/>
              <w:left w:val="nil"/>
              <w:bottom w:val="single" w:sz="8" w:space="0" w:color="auto"/>
              <w:right w:val="single" w:sz="8" w:space="0" w:color="auto"/>
            </w:tcBorders>
            <w:shd w:val="clear" w:color="auto" w:fill="auto"/>
            <w:noWrap/>
            <w:vAlign w:val="center"/>
            <w:hideMark/>
          </w:tcPr>
          <w:p w14:paraId="55733BAD"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Локални буџети</w:t>
            </w:r>
          </w:p>
        </w:tc>
        <w:tc>
          <w:tcPr>
            <w:tcW w:w="1617" w:type="dxa"/>
            <w:tcBorders>
              <w:top w:val="nil"/>
              <w:left w:val="nil"/>
              <w:bottom w:val="single" w:sz="8" w:space="0" w:color="auto"/>
              <w:right w:val="single" w:sz="8" w:space="0" w:color="auto"/>
            </w:tcBorders>
            <w:shd w:val="clear" w:color="auto" w:fill="auto"/>
            <w:vAlign w:val="center"/>
            <w:hideMark/>
          </w:tcPr>
          <w:p w14:paraId="40C5317E"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Други домаћи извори јавних финансија</w:t>
            </w:r>
          </w:p>
        </w:tc>
        <w:tc>
          <w:tcPr>
            <w:tcW w:w="1527" w:type="dxa"/>
            <w:tcBorders>
              <w:top w:val="nil"/>
              <w:left w:val="nil"/>
              <w:bottom w:val="single" w:sz="8" w:space="0" w:color="auto"/>
              <w:right w:val="single" w:sz="8" w:space="0" w:color="auto"/>
            </w:tcBorders>
            <w:shd w:val="clear" w:color="auto" w:fill="auto"/>
            <w:noWrap/>
            <w:vAlign w:val="center"/>
            <w:hideMark/>
          </w:tcPr>
          <w:p w14:paraId="680879D9"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ИПА фондови</w:t>
            </w:r>
          </w:p>
        </w:tc>
        <w:tc>
          <w:tcPr>
            <w:tcW w:w="1434" w:type="dxa"/>
            <w:tcBorders>
              <w:top w:val="nil"/>
              <w:left w:val="nil"/>
              <w:bottom w:val="single" w:sz="8" w:space="0" w:color="auto"/>
              <w:right w:val="single" w:sz="8" w:space="0" w:color="auto"/>
            </w:tcBorders>
            <w:shd w:val="clear" w:color="auto" w:fill="auto"/>
            <w:noWrap/>
            <w:vAlign w:val="center"/>
            <w:hideMark/>
          </w:tcPr>
          <w:p w14:paraId="28377A30"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Друга бесповратна средства</w:t>
            </w:r>
          </w:p>
        </w:tc>
        <w:tc>
          <w:tcPr>
            <w:tcW w:w="1466" w:type="dxa"/>
            <w:tcBorders>
              <w:top w:val="nil"/>
              <w:left w:val="nil"/>
              <w:bottom w:val="single" w:sz="8" w:space="0" w:color="auto"/>
              <w:right w:val="single" w:sz="8" w:space="0" w:color="auto"/>
            </w:tcBorders>
            <w:shd w:val="clear" w:color="auto" w:fill="auto"/>
            <w:noWrap/>
            <w:vAlign w:val="center"/>
            <w:hideMark/>
          </w:tcPr>
          <w:p w14:paraId="73573CAE"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Пројектни кредити</w:t>
            </w:r>
          </w:p>
        </w:tc>
        <w:tc>
          <w:tcPr>
            <w:tcW w:w="1326" w:type="dxa"/>
            <w:tcBorders>
              <w:top w:val="nil"/>
              <w:left w:val="nil"/>
              <w:bottom w:val="single" w:sz="8" w:space="0" w:color="auto"/>
              <w:right w:val="single" w:sz="8" w:space="0" w:color="auto"/>
            </w:tcBorders>
            <w:shd w:val="clear" w:color="auto" w:fill="auto"/>
            <w:noWrap/>
            <w:vAlign w:val="center"/>
            <w:hideMark/>
          </w:tcPr>
          <w:p w14:paraId="74BFD6B8"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Тек треба да се утврди</w:t>
            </w:r>
          </w:p>
        </w:tc>
        <w:tc>
          <w:tcPr>
            <w:tcW w:w="1873" w:type="dxa"/>
            <w:tcBorders>
              <w:top w:val="nil"/>
              <w:left w:val="nil"/>
              <w:bottom w:val="single" w:sz="8" w:space="0" w:color="auto"/>
              <w:right w:val="single" w:sz="8" w:space="0" w:color="auto"/>
            </w:tcBorders>
            <w:shd w:val="clear" w:color="auto" w:fill="auto"/>
            <w:noWrap/>
            <w:vAlign w:val="center"/>
            <w:hideMark/>
          </w:tcPr>
          <w:p w14:paraId="7E9D4641"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Укупно</w:t>
            </w:r>
          </w:p>
        </w:tc>
      </w:tr>
      <w:tr w:rsidR="00931CF1" w:rsidRPr="00092ED7" w14:paraId="6D4CFBAD" w14:textId="77777777" w:rsidTr="00812992">
        <w:trPr>
          <w:trHeight w:val="330"/>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108A5AFD"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2023</w:t>
            </w:r>
          </w:p>
        </w:tc>
        <w:tc>
          <w:tcPr>
            <w:tcW w:w="1829" w:type="dxa"/>
            <w:tcBorders>
              <w:top w:val="nil"/>
              <w:left w:val="nil"/>
              <w:bottom w:val="single" w:sz="8" w:space="0" w:color="auto"/>
              <w:right w:val="single" w:sz="8" w:space="0" w:color="auto"/>
            </w:tcBorders>
            <w:shd w:val="clear" w:color="auto" w:fill="auto"/>
            <w:noWrap/>
            <w:vAlign w:val="center"/>
            <w:hideMark/>
          </w:tcPr>
          <w:p w14:paraId="26D15D79"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48FBC253"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7D5ABC0C"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27" w:type="dxa"/>
            <w:tcBorders>
              <w:top w:val="nil"/>
              <w:left w:val="nil"/>
              <w:bottom w:val="single" w:sz="8" w:space="0" w:color="auto"/>
              <w:right w:val="single" w:sz="8" w:space="0" w:color="auto"/>
            </w:tcBorders>
            <w:shd w:val="clear" w:color="auto" w:fill="auto"/>
            <w:noWrap/>
            <w:vAlign w:val="center"/>
            <w:hideMark/>
          </w:tcPr>
          <w:p w14:paraId="1CED06A8"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34" w:type="dxa"/>
            <w:tcBorders>
              <w:top w:val="nil"/>
              <w:left w:val="nil"/>
              <w:bottom w:val="single" w:sz="8" w:space="0" w:color="auto"/>
              <w:right w:val="single" w:sz="8" w:space="0" w:color="auto"/>
            </w:tcBorders>
            <w:shd w:val="clear" w:color="auto" w:fill="auto"/>
            <w:noWrap/>
            <w:vAlign w:val="center"/>
            <w:hideMark/>
          </w:tcPr>
          <w:p w14:paraId="4C251CE5"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68.504,00</w:t>
            </w:r>
          </w:p>
        </w:tc>
        <w:tc>
          <w:tcPr>
            <w:tcW w:w="1466" w:type="dxa"/>
            <w:tcBorders>
              <w:top w:val="nil"/>
              <w:left w:val="nil"/>
              <w:bottom w:val="single" w:sz="8" w:space="0" w:color="auto"/>
              <w:right w:val="single" w:sz="8" w:space="0" w:color="auto"/>
            </w:tcBorders>
            <w:shd w:val="clear" w:color="auto" w:fill="auto"/>
            <w:noWrap/>
            <w:vAlign w:val="center"/>
            <w:hideMark/>
          </w:tcPr>
          <w:p w14:paraId="46D24A11"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326" w:type="dxa"/>
            <w:tcBorders>
              <w:top w:val="nil"/>
              <w:left w:val="nil"/>
              <w:bottom w:val="single" w:sz="8" w:space="0" w:color="auto"/>
              <w:right w:val="single" w:sz="8" w:space="0" w:color="auto"/>
            </w:tcBorders>
            <w:shd w:val="clear" w:color="auto" w:fill="auto"/>
            <w:noWrap/>
            <w:vAlign w:val="center"/>
            <w:hideMark/>
          </w:tcPr>
          <w:p w14:paraId="0C7055F4"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873" w:type="dxa"/>
            <w:tcBorders>
              <w:top w:val="nil"/>
              <w:left w:val="nil"/>
              <w:bottom w:val="single" w:sz="8" w:space="0" w:color="auto"/>
              <w:right w:val="single" w:sz="8" w:space="0" w:color="auto"/>
            </w:tcBorders>
            <w:shd w:val="clear" w:color="auto" w:fill="auto"/>
            <w:noWrap/>
            <w:vAlign w:val="center"/>
            <w:hideMark/>
          </w:tcPr>
          <w:p w14:paraId="4C9E3B12"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68.504,00</w:t>
            </w:r>
          </w:p>
        </w:tc>
      </w:tr>
      <w:tr w:rsidR="00931CF1" w:rsidRPr="00092ED7" w14:paraId="228E9744" w14:textId="77777777" w:rsidTr="00812992">
        <w:trPr>
          <w:trHeight w:val="330"/>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3D600965"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2024</w:t>
            </w:r>
          </w:p>
        </w:tc>
        <w:tc>
          <w:tcPr>
            <w:tcW w:w="1829" w:type="dxa"/>
            <w:tcBorders>
              <w:top w:val="nil"/>
              <w:left w:val="nil"/>
              <w:bottom w:val="single" w:sz="8" w:space="0" w:color="auto"/>
              <w:right w:val="single" w:sz="8" w:space="0" w:color="auto"/>
            </w:tcBorders>
            <w:shd w:val="clear" w:color="auto" w:fill="auto"/>
            <w:noWrap/>
            <w:vAlign w:val="center"/>
            <w:hideMark/>
          </w:tcPr>
          <w:p w14:paraId="285530C0"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673BED0C"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0101C127"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27" w:type="dxa"/>
            <w:tcBorders>
              <w:top w:val="nil"/>
              <w:left w:val="nil"/>
              <w:bottom w:val="single" w:sz="8" w:space="0" w:color="auto"/>
              <w:right w:val="single" w:sz="8" w:space="0" w:color="auto"/>
            </w:tcBorders>
            <w:shd w:val="clear" w:color="auto" w:fill="auto"/>
            <w:noWrap/>
            <w:vAlign w:val="center"/>
            <w:hideMark/>
          </w:tcPr>
          <w:p w14:paraId="3B5B95D6"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34" w:type="dxa"/>
            <w:tcBorders>
              <w:top w:val="nil"/>
              <w:left w:val="nil"/>
              <w:bottom w:val="single" w:sz="8" w:space="0" w:color="auto"/>
              <w:right w:val="single" w:sz="8" w:space="0" w:color="auto"/>
            </w:tcBorders>
            <w:shd w:val="clear" w:color="auto" w:fill="auto"/>
            <w:noWrap/>
            <w:vAlign w:val="center"/>
            <w:hideMark/>
          </w:tcPr>
          <w:p w14:paraId="43901413"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66" w:type="dxa"/>
            <w:tcBorders>
              <w:top w:val="nil"/>
              <w:left w:val="nil"/>
              <w:bottom w:val="single" w:sz="8" w:space="0" w:color="auto"/>
              <w:right w:val="single" w:sz="8" w:space="0" w:color="auto"/>
            </w:tcBorders>
            <w:shd w:val="clear" w:color="auto" w:fill="auto"/>
            <w:noWrap/>
            <w:vAlign w:val="center"/>
            <w:hideMark/>
          </w:tcPr>
          <w:p w14:paraId="095F0056"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326" w:type="dxa"/>
            <w:tcBorders>
              <w:top w:val="nil"/>
              <w:left w:val="nil"/>
              <w:bottom w:val="single" w:sz="8" w:space="0" w:color="auto"/>
              <w:right w:val="single" w:sz="8" w:space="0" w:color="auto"/>
            </w:tcBorders>
            <w:shd w:val="clear" w:color="auto" w:fill="auto"/>
            <w:noWrap/>
            <w:vAlign w:val="center"/>
            <w:hideMark/>
          </w:tcPr>
          <w:p w14:paraId="1C9C9825"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873" w:type="dxa"/>
            <w:tcBorders>
              <w:top w:val="nil"/>
              <w:left w:val="nil"/>
              <w:bottom w:val="single" w:sz="8" w:space="0" w:color="auto"/>
              <w:right w:val="single" w:sz="8" w:space="0" w:color="auto"/>
            </w:tcBorders>
            <w:shd w:val="clear" w:color="auto" w:fill="auto"/>
            <w:noWrap/>
            <w:vAlign w:val="center"/>
            <w:hideMark/>
          </w:tcPr>
          <w:p w14:paraId="3E85800F"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r>
      <w:tr w:rsidR="00931CF1" w:rsidRPr="00092ED7" w14:paraId="18CE7F46" w14:textId="77777777" w:rsidTr="00812992">
        <w:trPr>
          <w:trHeight w:val="330"/>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534DE10C"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2025</w:t>
            </w:r>
          </w:p>
        </w:tc>
        <w:tc>
          <w:tcPr>
            <w:tcW w:w="1829" w:type="dxa"/>
            <w:tcBorders>
              <w:top w:val="nil"/>
              <w:left w:val="nil"/>
              <w:bottom w:val="single" w:sz="8" w:space="0" w:color="auto"/>
              <w:right w:val="single" w:sz="8" w:space="0" w:color="auto"/>
            </w:tcBorders>
            <w:shd w:val="clear" w:color="auto" w:fill="auto"/>
            <w:noWrap/>
            <w:vAlign w:val="center"/>
            <w:hideMark/>
          </w:tcPr>
          <w:p w14:paraId="6DBF5EED"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61A99492"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41B58339"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27" w:type="dxa"/>
            <w:tcBorders>
              <w:top w:val="nil"/>
              <w:left w:val="nil"/>
              <w:bottom w:val="single" w:sz="8" w:space="0" w:color="auto"/>
              <w:right w:val="single" w:sz="8" w:space="0" w:color="auto"/>
            </w:tcBorders>
            <w:shd w:val="clear" w:color="auto" w:fill="auto"/>
            <w:noWrap/>
            <w:vAlign w:val="center"/>
            <w:hideMark/>
          </w:tcPr>
          <w:p w14:paraId="6B7807E8"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34" w:type="dxa"/>
            <w:tcBorders>
              <w:top w:val="nil"/>
              <w:left w:val="nil"/>
              <w:bottom w:val="single" w:sz="8" w:space="0" w:color="auto"/>
              <w:right w:val="single" w:sz="8" w:space="0" w:color="auto"/>
            </w:tcBorders>
            <w:shd w:val="clear" w:color="auto" w:fill="auto"/>
            <w:noWrap/>
            <w:vAlign w:val="center"/>
            <w:hideMark/>
          </w:tcPr>
          <w:p w14:paraId="76D44630"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66" w:type="dxa"/>
            <w:tcBorders>
              <w:top w:val="nil"/>
              <w:left w:val="nil"/>
              <w:bottom w:val="single" w:sz="8" w:space="0" w:color="auto"/>
              <w:right w:val="single" w:sz="8" w:space="0" w:color="auto"/>
            </w:tcBorders>
            <w:shd w:val="clear" w:color="auto" w:fill="auto"/>
            <w:noWrap/>
            <w:vAlign w:val="center"/>
            <w:hideMark/>
          </w:tcPr>
          <w:p w14:paraId="4895A9D4"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326" w:type="dxa"/>
            <w:tcBorders>
              <w:top w:val="nil"/>
              <w:left w:val="nil"/>
              <w:bottom w:val="single" w:sz="8" w:space="0" w:color="auto"/>
              <w:right w:val="single" w:sz="8" w:space="0" w:color="auto"/>
            </w:tcBorders>
            <w:shd w:val="clear" w:color="auto" w:fill="auto"/>
            <w:noWrap/>
            <w:vAlign w:val="center"/>
            <w:hideMark/>
          </w:tcPr>
          <w:p w14:paraId="30A116BD"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873" w:type="dxa"/>
            <w:tcBorders>
              <w:top w:val="nil"/>
              <w:left w:val="nil"/>
              <w:bottom w:val="single" w:sz="8" w:space="0" w:color="auto"/>
              <w:right w:val="single" w:sz="8" w:space="0" w:color="auto"/>
            </w:tcBorders>
            <w:shd w:val="clear" w:color="auto" w:fill="auto"/>
            <w:noWrap/>
            <w:vAlign w:val="center"/>
            <w:hideMark/>
          </w:tcPr>
          <w:p w14:paraId="2EF219A4"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r>
      <w:tr w:rsidR="008D7C20" w:rsidRPr="00092ED7" w14:paraId="1389927B" w14:textId="77777777" w:rsidTr="008D7C20">
        <w:trPr>
          <w:trHeight w:val="330"/>
        </w:trPr>
        <w:tc>
          <w:tcPr>
            <w:tcW w:w="13948" w:type="dxa"/>
            <w:gridSpan w:val="9"/>
            <w:tcBorders>
              <w:top w:val="single" w:sz="8" w:space="0" w:color="auto"/>
              <w:left w:val="single" w:sz="8" w:space="0" w:color="auto"/>
              <w:bottom w:val="single" w:sz="8" w:space="0" w:color="auto"/>
              <w:right w:val="single" w:sz="8" w:space="0" w:color="auto"/>
            </w:tcBorders>
            <w:shd w:val="clear" w:color="000000" w:fill="D0CECE"/>
            <w:noWrap/>
            <w:vAlign w:val="center"/>
            <w:hideMark/>
          </w:tcPr>
          <w:p w14:paraId="44F559FA" w14:textId="77777777" w:rsidR="008D7C20" w:rsidRPr="00092ED7" w:rsidRDefault="008D7C20" w:rsidP="008D7C20">
            <w:pPr>
              <w:spacing w:after="0"/>
              <w:jc w:val="left"/>
              <w:rPr>
                <w:rFonts w:eastAsia="Times New Roman" w:cs="Times New Roman"/>
                <w:b/>
                <w:bCs/>
                <w:color w:val="000000"/>
                <w:sz w:val="20"/>
                <w:szCs w:val="20"/>
                <w:lang w:val="sr-Cyrl-CS"/>
              </w:rPr>
            </w:pPr>
            <w:r w:rsidRPr="00092ED7">
              <w:rPr>
                <w:rFonts w:eastAsia="Times New Roman" w:cs="Times New Roman"/>
                <w:b/>
                <w:bCs/>
                <w:color w:val="000000"/>
                <w:sz w:val="20"/>
                <w:szCs w:val="20"/>
                <w:lang w:val="sr-Cyrl-CS"/>
              </w:rPr>
              <w:t>7. Развој домаћег тржишта капитала и обезбеђивање већег степена заштите инвеститора</w:t>
            </w:r>
          </w:p>
        </w:tc>
      </w:tr>
      <w:tr w:rsidR="00931CF1" w:rsidRPr="00092ED7" w14:paraId="48BCE97D" w14:textId="77777777" w:rsidTr="00812992">
        <w:trPr>
          <w:trHeight w:val="645"/>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1FC5372D"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b/>
                <w:bCs/>
                <w:sz w:val="20"/>
                <w:szCs w:val="20"/>
                <w:lang w:val="sr-Cyrl-CS"/>
              </w:rPr>
              <w:t>Година</w:t>
            </w:r>
          </w:p>
        </w:tc>
        <w:tc>
          <w:tcPr>
            <w:tcW w:w="1829" w:type="dxa"/>
            <w:tcBorders>
              <w:top w:val="nil"/>
              <w:left w:val="nil"/>
              <w:bottom w:val="single" w:sz="8" w:space="0" w:color="auto"/>
              <w:right w:val="single" w:sz="8" w:space="0" w:color="auto"/>
            </w:tcBorders>
            <w:shd w:val="clear" w:color="auto" w:fill="auto"/>
            <w:vAlign w:val="center"/>
            <w:hideMark/>
          </w:tcPr>
          <w:p w14:paraId="6BE27F8E"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Буџет централног нивоа државе</w:t>
            </w:r>
          </w:p>
        </w:tc>
        <w:tc>
          <w:tcPr>
            <w:tcW w:w="1617" w:type="dxa"/>
            <w:tcBorders>
              <w:top w:val="nil"/>
              <w:left w:val="nil"/>
              <w:bottom w:val="single" w:sz="8" w:space="0" w:color="auto"/>
              <w:right w:val="single" w:sz="8" w:space="0" w:color="auto"/>
            </w:tcBorders>
            <w:shd w:val="clear" w:color="auto" w:fill="auto"/>
            <w:noWrap/>
            <w:vAlign w:val="center"/>
            <w:hideMark/>
          </w:tcPr>
          <w:p w14:paraId="6B444BFE"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Локални буџети</w:t>
            </w:r>
          </w:p>
        </w:tc>
        <w:tc>
          <w:tcPr>
            <w:tcW w:w="1617" w:type="dxa"/>
            <w:tcBorders>
              <w:top w:val="nil"/>
              <w:left w:val="nil"/>
              <w:bottom w:val="single" w:sz="8" w:space="0" w:color="auto"/>
              <w:right w:val="single" w:sz="8" w:space="0" w:color="auto"/>
            </w:tcBorders>
            <w:shd w:val="clear" w:color="auto" w:fill="auto"/>
            <w:vAlign w:val="center"/>
            <w:hideMark/>
          </w:tcPr>
          <w:p w14:paraId="36242E35"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Други домаћи извори јавних финансија</w:t>
            </w:r>
          </w:p>
        </w:tc>
        <w:tc>
          <w:tcPr>
            <w:tcW w:w="1527" w:type="dxa"/>
            <w:tcBorders>
              <w:top w:val="nil"/>
              <w:left w:val="nil"/>
              <w:bottom w:val="single" w:sz="8" w:space="0" w:color="auto"/>
              <w:right w:val="single" w:sz="8" w:space="0" w:color="auto"/>
            </w:tcBorders>
            <w:shd w:val="clear" w:color="auto" w:fill="auto"/>
            <w:noWrap/>
            <w:vAlign w:val="center"/>
            <w:hideMark/>
          </w:tcPr>
          <w:p w14:paraId="250D867D"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ИПА фондови</w:t>
            </w:r>
          </w:p>
        </w:tc>
        <w:tc>
          <w:tcPr>
            <w:tcW w:w="1434" w:type="dxa"/>
            <w:tcBorders>
              <w:top w:val="nil"/>
              <w:left w:val="nil"/>
              <w:bottom w:val="single" w:sz="8" w:space="0" w:color="auto"/>
              <w:right w:val="single" w:sz="8" w:space="0" w:color="auto"/>
            </w:tcBorders>
            <w:shd w:val="clear" w:color="auto" w:fill="auto"/>
            <w:noWrap/>
            <w:vAlign w:val="center"/>
            <w:hideMark/>
          </w:tcPr>
          <w:p w14:paraId="12ED3E15"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Друга бесповратна средства</w:t>
            </w:r>
          </w:p>
        </w:tc>
        <w:tc>
          <w:tcPr>
            <w:tcW w:w="1466" w:type="dxa"/>
            <w:tcBorders>
              <w:top w:val="nil"/>
              <w:left w:val="nil"/>
              <w:bottom w:val="single" w:sz="8" w:space="0" w:color="auto"/>
              <w:right w:val="single" w:sz="8" w:space="0" w:color="auto"/>
            </w:tcBorders>
            <w:shd w:val="clear" w:color="auto" w:fill="auto"/>
            <w:noWrap/>
            <w:vAlign w:val="center"/>
            <w:hideMark/>
          </w:tcPr>
          <w:p w14:paraId="327368D9"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Пројектни кредити</w:t>
            </w:r>
          </w:p>
        </w:tc>
        <w:tc>
          <w:tcPr>
            <w:tcW w:w="1326" w:type="dxa"/>
            <w:tcBorders>
              <w:top w:val="nil"/>
              <w:left w:val="nil"/>
              <w:bottom w:val="single" w:sz="8" w:space="0" w:color="auto"/>
              <w:right w:val="single" w:sz="8" w:space="0" w:color="auto"/>
            </w:tcBorders>
            <w:shd w:val="clear" w:color="auto" w:fill="auto"/>
            <w:noWrap/>
            <w:vAlign w:val="center"/>
            <w:hideMark/>
          </w:tcPr>
          <w:p w14:paraId="108A0FAC"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Тек треба да се утврди</w:t>
            </w:r>
          </w:p>
        </w:tc>
        <w:tc>
          <w:tcPr>
            <w:tcW w:w="1873" w:type="dxa"/>
            <w:tcBorders>
              <w:top w:val="nil"/>
              <w:left w:val="nil"/>
              <w:bottom w:val="single" w:sz="8" w:space="0" w:color="auto"/>
              <w:right w:val="single" w:sz="8" w:space="0" w:color="auto"/>
            </w:tcBorders>
            <w:shd w:val="clear" w:color="auto" w:fill="auto"/>
            <w:noWrap/>
            <w:vAlign w:val="center"/>
            <w:hideMark/>
          </w:tcPr>
          <w:p w14:paraId="1B87EDDD"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Укупно</w:t>
            </w:r>
          </w:p>
        </w:tc>
      </w:tr>
      <w:tr w:rsidR="00931CF1" w:rsidRPr="00092ED7" w14:paraId="219C2E9B" w14:textId="77777777" w:rsidTr="00812992">
        <w:trPr>
          <w:trHeight w:val="330"/>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12562EB7"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2023</w:t>
            </w:r>
          </w:p>
        </w:tc>
        <w:tc>
          <w:tcPr>
            <w:tcW w:w="1829" w:type="dxa"/>
            <w:tcBorders>
              <w:top w:val="nil"/>
              <w:left w:val="nil"/>
              <w:bottom w:val="single" w:sz="8" w:space="0" w:color="auto"/>
              <w:right w:val="single" w:sz="8" w:space="0" w:color="auto"/>
            </w:tcBorders>
            <w:shd w:val="clear" w:color="auto" w:fill="auto"/>
            <w:noWrap/>
            <w:vAlign w:val="center"/>
            <w:hideMark/>
          </w:tcPr>
          <w:p w14:paraId="0F4ACED7"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12.100,00</w:t>
            </w:r>
          </w:p>
        </w:tc>
        <w:tc>
          <w:tcPr>
            <w:tcW w:w="1617" w:type="dxa"/>
            <w:tcBorders>
              <w:top w:val="nil"/>
              <w:left w:val="nil"/>
              <w:bottom w:val="single" w:sz="8" w:space="0" w:color="auto"/>
              <w:right w:val="single" w:sz="8" w:space="0" w:color="auto"/>
            </w:tcBorders>
            <w:shd w:val="clear" w:color="auto" w:fill="auto"/>
            <w:noWrap/>
            <w:vAlign w:val="center"/>
            <w:hideMark/>
          </w:tcPr>
          <w:p w14:paraId="43EDD5F6"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16361FA1"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27" w:type="dxa"/>
            <w:tcBorders>
              <w:top w:val="nil"/>
              <w:left w:val="nil"/>
              <w:bottom w:val="single" w:sz="8" w:space="0" w:color="auto"/>
              <w:right w:val="single" w:sz="8" w:space="0" w:color="auto"/>
            </w:tcBorders>
            <w:shd w:val="clear" w:color="auto" w:fill="auto"/>
            <w:noWrap/>
            <w:vAlign w:val="center"/>
            <w:hideMark/>
          </w:tcPr>
          <w:p w14:paraId="35680E20"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34" w:type="dxa"/>
            <w:tcBorders>
              <w:top w:val="nil"/>
              <w:left w:val="nil"/>
              <w:bottom w:val="single" w:sz="8" w:space="0" w:color="auto"/>
              <w:right w:val="single" w:sz="8" w:space="0" w:color="auto"/>
            </w:tcBorders>
            <w:shd w:val="clear" w:color="auto" w:fill="auto"/>
            <w:noWrap/>
            <w:vAlign w:val="center"/>
            <w:hideMark/>
          </w:tcPr>
          <w:p w14:paraId="73F2A2A9"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66" w:type="dxa"/>
            <w:tcBorders>
              <w:top w:val="nil"/>
              <w:left w:val="nil"/>
              <w:bottom w:val="single" w:sz="8" w:space="0" w:color="auto"/>
              <w:right w:val="single" w:sz="8" w:space="0" w:color="auto"/>
            </w:tcBorders>
            <w:shd w:val="clear" w:color="auto" w:fill="auto"/>
            <w:noWrap/>
            <w:vAlign w:val="center"/>
            <w:hideMark/>
          </w:tcPr>
          <w:p w14:paraId="3E5720B6"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326" w:type="dxa"/>
            <w:tcBorders>
              <w:top w:val="nil"/>
              <w:left w:val="nil"/>
              <w:bottom w:val="single" w:sz="8" w:space="0" w:color="auto"/>
              <w:right w:val="single" w:sz="8" w:space="0" w:color="auto"/>
            </w:tcBorders>
            <w:shd w:val="clear" w:color="auto" w:fill="auto"/>
            <w:noWrap/>
            <w:vAlign w:val="center"/>
            <w:hideMark/>
          </w:tcPr>
          <w:p w14:paraId="2F8EAE93"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873" w:type="dxa"/>
            <w:tcBorders>
              <w:top w:val="nil"/>
              <w:left w:val="nil"/>
              <w:bottom w:val="single" w:sz="8" w:space="0" w:color="auto"/>
              <w:right w:val="single" w:sz="8" w:space="0" w:color="auto"/>
            </w:tcBorders>
            <w:shd w:val="clear" w:color="auto" w:fill="auto"/>
            <w:noWrap/>
            <w:vAlign w:val="center"/>
            <w:hideMark/>
          </w:tcPr>
          <w:p w14:paraId="0FCC09AF"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12.100,00</w:t>
            </w:r>
          </w:p>
        </w:tc>
      </w:tr>
      <w:tr w:rsidR="00931CF1" w:rsidRPr="00092ED7" w14:paraId="2BC9978D" w14:textId="77777777" w:rsidTr="00812992">
        <w:trPr>
          <w:trHeight w:val="330"/>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7FB4B457"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2024</w:t>
            </w:r>
          </w:p>
        </w:tc>
        <w:tc>
          <w:tcPr>
            <w:tcW w:w="1829" w:type="dxa"/>
            <w:tcBorders>
              <w:top w:val="nil"/>
              <w:left w:val="nil"/>
              <w:bottom w:val="single" w:sz="8" w:space="0" w:color="auto"/>
              <w:right w:val="single" w:sz="8" w:space="0" w:color="auto"/>
            </w:tcBorders>
            <w:shd w:val="clear" w:color="auto" w:fill="auto"/>
            <w:noWrap/>
            <w:vAlign w:val="center"/>
            <w:hideMark/>
          </w:tcPr>
          <w:p w14:paraId="52776B1C"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24.200,00</w:t>
            </w:r>
          </w:p>
        </w:tc>
        <w:tc>
          <w:tcPr>
            <w:tcW w:w="1617" w:type="dxa"/>
            <w:tcBorders>
              <w:top w:val="nil"/>
              <w:left w:val="nil"/>
              <w:bottom w:val="single" w:sz="8" w:space="0" w:color="auto"/>
              <w:right w:val="single" w:sz="8" w:space="0" w:color="auto"/>
            </w:tcBorders>
            <w:shd w:val="clear" w:color="auto" w:fill="auto"/>
            <w:noWrap/>
            <w:vAlign w:val="center"/>
            <w:hideMark/>
          </w:tcPr>
          <w:p w14:paraId="4A54F49A"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38389335"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27" w:type="dxa"/>
            <w:tcBorders>
              <w:top w:val="nil"/>
              <w:left w:val="nil"/>
              <w:bottom w:val="single" w:sz="8" w:space="0" w:color="auto"/>
              <w:right w:val="single" w:sz="8" w:space="0" w:color="auto"/>
            </w:tcBorders>
            <w:shd w:val="clear" w:color="auto" w:fill="auto"/>
            <w:noWrap/>
            <w:vAlign w:val="center"/>
            <w:hideMark/>
          </w:tcPr>
          <w:p w14:paraId="6D743B3B"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34" w:type="dxa"/>
            <w:tcBorders>
              <w:top w:val="nil"/>
              <w:left w:val="nil"/>
              <w:bottom w:val="single" w:sz="8" w:space="0" w:color="auto"/>
              <w:right w:val="single" w:sz="8" w:space="0" w:color="auto"/>
            </w:tcBorders>
            <w:shd w:val="clear" w:color="auto" w:fill="auto"/>
            <w:noWrap/>
            <w:vAlign w:val="center"/>
            <w:hideMark/>
          </w:tcPr>
          <w:p w14:paraId="1F11449D"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66" w:type="dxa"/>
            <w:tcBorders>
              <w:top w:val="nil"/>
              <w:left w:val="nil"/>
              <w:bottom w:val="single" w:sz="8" w:space="0" w:color="auto"/>
              <w:right w:val="single" w:sz="8" w:space="0" w:color="auto"/>
            </w:tcBorders>
            <w:shd w:val="clear" w:color="auto" w:fill="auto"/>
            <w:noWrap/>
            <w:vAlign w:val="center"/>
            <w:hideMark/>
          </w:tcPr>
          <w:p w14:paraId="74821060"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326" w:type="dxa"/>
            <w:tcBorders>
              <w:top w:val="nil"/>
              <w:left w:val="nil"/>
              <w:bottom w:val="single" w:sz="8" w:space="0" w:color="auto"/>
              <w:right w:val="single" w:sz="8" w:space="0" w:color="auto"/>
            </w:tcBorders>
            <w:shd w:val="clear" w:color="auto" w:fill="auto"/>
            <w:noWrap/>
            <w:vAlign w:val="center"/>
            <w:hideMark/>
          </w:tcPr>
          <w:p w14:paraId="3CBB2ECF"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873" w:type="dxa"/>
            <w:tcBorders>
              <w:top w:val="nil"/>
              <w:left w:val="nil"/>
              <w:bottom w:val="single" w:sz="8" w:space="0" w:color="auto"/>
              <w:right w:val="single" w:sz="8" w:space="0" w:color="auto"/>
            </w:tcBorders>
            <w:shd w:val="clear" w:color="auto" w:fill="auto"/>
            <w:noWrap/>
            <w:vAlign w:val="center"/>
            <w:hideMark/>
          </w:tcPr>
          <w:p w14:paraId="73FF7F75"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24.200,00</w:t>
            </w:r>
          </w:p>
        </w:tc>
      </w:tr>
      <w:tr w:rsidR="00931CF1" w:rsidRPr="00092ED7" w14:paraId="5F77F91A" w14:textId="77777777" w:rsidTr="00812992">
        <w:trPr>
          <w:trHeight w:val="330"/>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6FC7D35D"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2025</w:t>
            </w:r>
          </w:p>
        </w:tc>
        <w:tc>
          <w:tcPr>
            <w:tcW w:w="1829" w:type="dxa"/>
            <w:tcBorders>
              <w:top w:val="nil"/>
              <w:left w:val="nil"/>
              <w:bottom w:val="single" w:sz="8" w:space="0" w:color="auto"/>
              <w:right w:val="single" w:sz="8" w:space="0" w:color="auto"/>
            </w:tcBorders>
            <w:shd w:val="clear" w:color="auto" w:fill="auto"/>
            <w:noWrap/>
            <w:vAlign w:val="center"/>
            <w:hideMark/>
          </w:tcPr>
          <w:p w14:paraId="60047A23"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26CE8B86"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5CCB625A"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27" w:type="dxa"/>
            <w:tcBorders>
              <w:top w:val="nil"/>
              <w:left w:val="nil"/>
              <w:bottom w:val="single" w:sz="8" w:space="0" w:color="auto"/>
              <w:right w:val="single" w:sz="8" w:space="0" w:color="auto"/>
            </w:tcBorders>
            <w:shd w:val="clear" w:color="auto" w:fill="auto"/>
            <w:noWrap/>
            <w:vAlign w:val="center"/>
            <w:hideMark/>
          </w:tcPr>
          <w:p w14:paraId="01890C43"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34" w:type="dxa"/>
            <w:tcBorders>
              <w:top w:val="nil"/>
              <w:left w:val="nil"/>
              <w:bottom w:val="single" w:sz="8" w:space="0" w:color="auto"/>
              <w:right w:val="single" w:sz="8" w:space="0" w:color="auto"/>
            </w:tcBorders>
            <w:shd w:val="clear" w:color="auto" w:fill="auto"/>
            <w:noWrap/>
            <w:vAlign w:val="center"/>
            <w:hideMark/>
          </w:tcPr>
          <w:p w14:paraId="01A81998"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66" w:type="dxa"/>
            <w:tcBorders>
              <w:top w:val="nil"/>
              <w:left w:val="nil"/>
              <w:bottom w:val="single" w:sz="8" w:space="0" w:color="auto"/>
              <w:right w:val="single" w:sz="8" w:space="0" w:color="auto"/>
            </w:tcBorders>
            <w:shd w:val="clear" w:color="auto" w:fill="auto"/>
            <w:noWrap/>
            <w:vAlign w:val="center"/>
            <w:hideMark/>
          </w:tcPr>
          <w:p w14:paraId="28EA98FD"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326" w:type="dxa"/>
            <w:tcBorders>
              <w:top w:val="nil"/>
              <w:left w:val="nil"/>
              <w:bottom w:val="single" w:sz="8" w:space="0" w:color="auto"/>
              <w:right w:val="single" w:sz="8" w:space="0" w:color="auto"/>
            </w:tcBorders>
            <w:shd w:val="clear" w:color="auto" w:fill="auto"/>
            <w:noWrap/>
            <w:vAlign w:val="center"/>
            <w:hideMark/>
          </w:tcPr>
          <w:p w14:paraId="4AFBECCC"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873" w:type="dxa"/>
            <w:tcBorders>
              <w:top w:val="nil"/>
              <w:left w:val="nil"/>
              <w:bottom w:val="single" w:sz="8" w:space="0" w:color="auto"/>
              <w:right w:val="single" w:sz="8" w:space="0" w:color="auto"/>
            </w:tcBorders>
            <w:shd w:val="clear" w:color="auto" w:fill="auto"/>
            <w:noWrap/>
            <w:vAlign w:val="center"/>
            <w:hideMark/>
          </w:tcPr>
          <w:p w14:paraId="3DB83938"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r>
      <w:tr w:rsidR="008D7C20" w:rsidRPr="00092ED7" w14:paraId="3C57DD24" w14:textId="77777777" w:rsidTr="008D7C20">
        <w:trPr>
          <w:trHeight w:val="330"/>
        </w:trPr>
        <w:tc>
          <w:tcPr>
            <w:tcW w:w="13948" w:type="dxa"/>
            <w:gridSpan w:val="9"/>
            <w:tcBorders>
              <w:top w:val="single" w:sz="8" w:space="0" w:color="auto"/>
              <w:left w:val="single" w:sz="8" w:space="0" w:color="auto"/>
              <w:bottom w:val="single" w:sz="8" w:space="0" w:color="auto"/>
              <w:right w:val="single" w:sz="8" w:space="0" w:color="auto"/>
            </w:tcBorders>
            <w:shd w:val="clear" w:color="000000" w:fill="D0CECE"/>
            <w:noWrap/>
            <w:vAlign w:val="center"/>
            <w:hideMark/>
          </w:tcPr>
          <w:p w14:paraId="189C3988" w14:textId="77777777" w:rsidR="008D7C20" w:rsidRPr="00092ED7" w:rsidRDefault="008D7C20" w:rsidP="008D7C20">
            <w:pPr>
              <w:spacing w:after="0"/>
              <w:jc w:val="left"/>
              <w:rPr>
                <w:rFonts w:eastAsia="Times New Roman" w:cs="Times New Roman"/>
                <w:b/>
                <w:bCs/>
                <w:color w:val="000000"/>
                <w:sz w:val="20"/>
                <w:szCs w:val="20"/>
                <w:lang w:val="sr-Cyrl-CS"/>
              </w:rPr>
            </w:pPr>
            <w:r w:rsidRPr="00092ED7">
              <w:rPr>
                <w:rFonts w:eastAsia="Times New Roman" w:cs="Times New Roman"/>
                <w:b/>
                <w:bCs/>
                <w:color w:val="000000"/>
                <w:sz w:val="20"/>
                <w:szCs w:val="20"/>
                <w:lang w:val="sr-Cyrl-CS"/>
              </w:rPr>
              <w:t>8. Унапређење енергетске ефикасности кроз стварање услова за примену енергетског означавања и екодизајна, као и кроз подстицаје за унапређење енергетске ефикасности</w:t>
            </w:r>
          </w:p>
        </w:tc>
      </w:tr>
      <w:tr w:rsidR="00931CF1" w:rsidRPr="00092ED7" w14:paraId="2CE2038F" w14:textId="77777777" w:rsidTr="00812992">
        <w:trPr>
          <w:trHeight w:val="645"/>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11CB738A"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b/>
                <w:bCs/>
                <w:sz w:val="20"/>
                <w:szCs w:val="20"/>
                <w:lang w:val="sr-Cyrl-CS"/>
              </w:rPr>
              <w:t>Година</w:t>
            </w:r>
          </w:p>
        </w:tc>
        <w:tc>
          <w:tcPr>
            <w:tcW w:w="1829" w:type="dxa"/>
            <w:tcBorders>
              <w:top w:val="nil"/>
              <w:left w:val="nil"/>
              <w:bottom w:val="single" w:sz="8" w:space="0" w:color="auto"/>
              <w:right w:val="single" w:sz="8" w:space="0" w:color="auto"/>
            </w:tcBorders>
            <w:shd w:val="clear" w:color="auto" w:fill="auto"/>
            <w:vAlign w:val="center"/>
            <w:hideMark/>
          </w:tcPr>
          <w:p w14:paraId="451C3738"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Буџет централног нивоа државе</w:t>
            </w:r>
          </w:p>
        </w:tc>
        <w:tc>
          <w:tcPr>
            <w:tcW w:w="1617" w:type="dxa"/>
            <w:tcBorders>
              <w:top w:val="nil"/>
              <w:left w:val="nil"/>
              <w:bottom w:val="single" w:sz="8" w:space="0" w:color="auto"/>
              <w:right w:val="single" w:sz="8" w:space="0" w:color="auto"/>
            </w:tcBorders>
            <w:shd w:val="clear" w:color="auto" w:fill="auto"/>
            <w:noWrap/>
            <w:vAlign w:val="center"/>
            <w:hideMark/>
          </w:tcPr>
          <w:p w14:paraId="667F4120"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Локални буџети</w:t>
            </w:r>
          </w:p>
        </w:tc>
        <w:tc>
          <w:tcPr>
            <w:tcW w:w="1617" w:type="dxa"/>
            <w:tcBorders>
              <w:top w:val="nil"/>
              <w:left w:val="nil"/>
              <w:bottom w:val="single" w:sz="8" w:space="0" w:color="auto"/>
              <w:right w:val="single" w:sz="8" w:space="0" w:color="auto"/>
            </w:tcBorders>
            <w:shd w:val="clear" w:color="auto" w:fill="auto"/>
            <w:vAlign w:val="center"/>
            <w:hideMark/>
          </w:tcPr>
          <w:p w14:paraId="3AF2440A"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Други домаћи извори јавних финансија</w:t>
            </w:r>
          </w:p>
        </w:tc>
        <w:tc>
          <w:tcPr>
            <w:tcW w:w="1527" w:type="dxa"/>
            <w:tcBorders>
              <w:top w:val="nil"/>
              <w:left w:val="nil"/>
              <w:bottom w:val="single" w:sz="8" w:space="0" w:color="auto"/>
              <w:right w:val="single" w:sz="8" w:space="0" w:color="auto"/>
            </w:tcBorders>
            <w:shd w:val="clear" w:color="auto" w:fill="auto"/>
            <w:noWrap/>
            <w:vAlign w:val="center"/>
            <w:hideMark/>
          </w:tcPr>
          <w:p w14:paraId="7B28FE2F"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ИПА фондови</w:t>
            </w:r>
          </w:p>
        </w:tc>
        <w:tc>
          <w:tcPr>
            <w:tcW w:w="1434" w:type="dxa"/>
            <w:tcBorders>
              <w:top w:val="nil"/>
              <w:left w:val="nil"/>
              <w:bottom w:val="single" w:sz="8" w:space="0" w:color="auto"/>
              <w:right w:val="single" w:sz="8" w:space="0" w:color="auto"/>
            </w:tcBorders>
            <w:shd w:val="clear" w:color="auto" w:fill="auto"/>
            <w:noWrap/>
            <w:vAlign w:val="center"/>
            <w:hideMark/>
          </w:tcPr>
          <w:p w14:paraId="6EAC4702"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Друга бесповратна средства</w:t>
            </w:r>
          </w:p>
        </w:tc>
        <w:tc>
          <w:tcPr>
            <w:tcW w:w="1466" w:type="dxa"/>
            <w:tcBorders>
              <w:top w:val="nil"/>
              <w:left w:val="nil"/>
              <w:bottom w:val="single" w:sz="8" w:space="0" w:color="auto"/>
              <w:right w:val="single" w:sz="8" w:space="0" w:color="auto"/>
            </w:tcBorders>
            <w:shd w:val="clear" w:color="auto" w:fill="auto"/>
            <w:noWrap/>
            <w:vAlign w:val="center"/>
            <w:hideMark/>
          </w:tcPr>
          <w:p w14:paraId="622D1455"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Пројектни кредити</w:t>
            </w:r>
          </w:p>
        </w:tc>
        <w:tc>
          <w:tcPr>
            <w:tcW w:w="1326" w:type="dxa"/>
            <w:tcBorders>
              <w:top w:val="nil"/>
              <w:left w:val="nil"/>
              <w:bottom w:val="single" w:sz="8" w:space="0" w:color="auto"/>
              <w:right w:val="single" w:sz="8" w:space="0" w:color="auto"/>
            </w:tcBorders>
            <w:shd w:val="clear" w:color="auto" w:fill="auto"/>
            <w:noWrap/>
            <w:vAlign w:val="center"/>
            <w:hideMark/>
          </w:tcPr>
          <w:p w14:paraId="7671DD6A"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Тек треба да се утврди</w:t>
            </w:r>
          </w:p>
        </w:tc>
        <w:tc>
          <w:tcPr>
            <w:tcW w:w="1873" w:type="dxa"/>
            <w:tcBorders>
              <w:top w:val="nil"/>
              <w:left w:val="nil"/>
              <w:bottom w:val="single" w:sz="8" w:space="0" w:color="auto"/>
              <w:right w:val="single" w:sz="8" w:space="0" w:color="auto"/>
            </w:tcBorders>
            <w:shd w:val="clear" w:color="auto" w:fill="auto"/>
            <w:noWrap/>
            <w:vAlign w:val="center"/>
            <w:hideMark/>
          </w:tcPr>
          <w:p w14:paraId="094811DD"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Укупно</w:t>
            </w:r>
          </w:p>
        </w:tc>
      </w:tr>
      <w:tr w:rsidR="00931CF1" w:rsidRPr="00092ED7" w14:paraId="0AD5CF23" w14:textId="77777777" w:rsidTr="00812992">
        <w:trPr>
          <w:trHeight w:val="330"/>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75AF483B"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2023</w:t>
            </w:r>
          </w:p>
        </w:tc>
        <w:tc>
          <w:tcPr>
            <w:tcW w:w="1829" w:type="dxa"/>
            <w:tcBorders>
              <w:top w:val="nil"/>
              <w:left w:val="nil"/>
              <w:bottom w:val="single" w:sz="8" w:space="0" w:color="auto"/>
              <w:right w:val="single" w:sz="8" w:space="0" w:color="auto"/>
            </w:tcBorders>
            <w:shd w:val="clear" w:color="auto" w:fill="auto"/>
            <w:noWrap/>
            <w:vAlign w:val="center"/>
            <w:hideMark/>
          </w:tcPr>
          <w:p w14:paraId="607303FB" w14:textId="6B35D742" w:rsidR="008D7C20" w:rsidRPr="00092ED7" w:rsidRDefault="008D7C20" w:rsidP="003D1D17">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4.</w:t>
            </w:r>
            <w:r w:rsidR="00517844" w:rsidRPr="00092ED7">
              <w:rPr>
                <w:rFonts w:eastAsia="Times New Roman" w:cs="Times New Roman"/>
                <w:color w:val="000000"/>
                <w:sz w:val="20"/>
                <w:szCs w:val="20"/>
                <w:lang w:val="sr-Cyrl-CS"/>
              </w:rPr>
              <w:t>279</w:t>
            </w:r>
            <w:r w:rsidRPr="00092ED7">
              <w:rPr>
                <w:rFonts w:eastAsia="Times New Roman" w:cs="Times New Roman"/>
                <w:color w:val="000000"/>
                <w:sz w:val="20"/>
                <w:szCs w:val="20"/>
                <w:lang w:val="sr-Cyrl-CS"/>
              </w:rPr>
              <w:t>.</w:t>
            </w:r>
            <w:r w:rsidR="00517844" w:rsidRPr="00092ED7">
              <w:rPr>
                <w:rFonts w:eastAsia="Times New Roman" w:cs="Times New Roman"/>
                <w:color w:val="000000"/>
                <w:sz w:val="20"/>
                <w:szCs w:val="20"/>
                <w:lang w:val="sr-Cyrl-CS"/>
              </w:rPr>
              <w:t>467</w:t>
            </w:r>
            <w:r w:rsidRPr="00092ED7">
              <w:rPr>
                <w:rFonts w:eastAsia="Times New Roman" w:cs="Times New Roman"/>
                <w:color w:val="000000"/>
                <w:sz w:val="20"/>
                <w:szCs w:val="20"/>
                <w:lang w:val="sr-Cyrl-CS"/>
              </w:rPr>
              <w:t>,</w:t>
            </w:r>
            <w:r w:rsidR="00517844" w:rsidRPr="00092ED7">
              <w:rPr>
                <w:rFonts w:eastAsia="Times New Roman" w:cs="Times New Roman"/>
                <w:color w:val="000000"/>
                <w:sz w:val="20"/>
                <w:szCs w:val="20"/>
                <w:lang w:val="sr-Cyrl-CS"/>
              </w:rPr>
              <w:t>67</w:t>
            </w:r>
          </w:p>
        </w:tc>
        <w:tc>
          <w:tcPr>
            <w:tcW w:w="1617" w:type="dxa"/>
            <w:tcBorders>
              <w:top w:val="nil"/>
              <w:left w:val="nil"/>
              <w:bottom w:val="single" w:sz="8" w:space="0" w:color="auto"/>
              <w:right w:val="single" w:sz="8" w:space="0" w:color="auto"/>
            </w:tcBorders>
            <w:shd w:val="clear" w:color="auto" w:fill="auto"/>
            <w:noWrap/>
            <w:vAlign w:val="center"/>
            <w:hideMark/>
          </w:tcPr>
          <w:p w14:paraId="376C9A76"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1.610.163,33</w:t>
            </w:r>
          </w:p>
        </w:tc>
        <w:tc>
          <w:tcPr>
            <w:tcW w:w="1617" w:type="dxa"/>
            <w:tcBorders>
              <w:top w:val="nil"/>
              <w:left w:val="nil"/>
              <w:bottom w:val="single" w:sz="8" w:space="0" w:color="auto"/>
              <w:right w:val="single" w:sz="8" w:space="0" w:color="auto"/>
            </w:tcBorders>
            <w:shd w:val="clear" w:color="auto" w:fill="auto"/>
            <w:noWrap/>
            <w:vAlign w:val="center"/>
            <w:hideMark/>
          </w:tcPr>
          <w:p w14:paraId="5C6E7862"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27" w:type="dxa"/>
            <w:tcBorders>
              <w:top w:val="nil"/>
              <w:left w:val="nil"/>
              <w:bottom w:val="single" w:sz="8" w:space="0" w:color="auto"/>
              <w:right w:val="single" w:sz="8" w:space="0" w:color="auto"/>
            </w:tcBorders>
            <w:shd w:val="clear" w:color="auto" w:fill="auto"/>
            <w:noWrap/>
            <w:vAlign w:val="center"/>
            <w:hideMark/>
          </w:tcPr>
          <w:p w14:paraId="150D2770" w14:textId="0B8FE482"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w:t>
            </w:r>
            <w:r w:rsidR="00517844" w:rsidRPr="00092ED7">
              <w:rPr>
                <w:rFonts w:eastAsia="Times New Roman" w:cs="Times New Roman"/>
                <w:color w:val="000000"/>
                <w:sz w:val="20"/>
                <w:szCs w:val="20"/>
                <w:lang w:val="sr-Cyrl-CS"/>
              </w:rPr>
              <w:t>0</w:t>
            </w:r>
            <w:r w:rsidRPr="00092ED7">
              <w:rPr>
                <w:rFonts w:eastAsia="Times New Roman" w:cs="Times New Roman"/>
                <w:color w:val="000000"/>
                <w:sz w:val="20"/>
                <w:szCs w:val="20"/>
                <w:lang w:val="sr-Cyrl-CS"/>
              </w:rPr>
              <w:t>00.000,00</w:t>
            </w:r>
          </w:p>
        </w:tc>
        <w:tc>
          <w:tcPr>
            <w:tcW w:w="1434" w:type="dxa"/>
            <w:tcBorders>
              <w:top w:val="nil"/>
              <w:left w:val="nil"/>
              <w:bottom w:val="single" w:sz="8" w:space="0" w:color="auto"/>
              <w:right w:val="single" w:sz="8" w:space="0" w:color="auto"/>
            </w:tcBorders>
            <w:shd w:val="clear" w:color="auto" w:fill="auto"/>
            <w:noWrap/>
            <w:vAlign w:val="center"/>
            <w:hideMark/>
          </w:tcPr>
          <w:p w14:paraId="34AEB361"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66" w:type="dxa"/>
            <w:tcBorders>
              <w:top w:val="nil"/>
              <w:left w:val="nil"/>
              <w:bottom w:val="single" w:sz="8" w:space="0" w:color="auto"/>
              <w:right w:val="single" w:sz="8" w:space="0" w:color="auto"/>
            </w:tcBorders>
            <w:shd w:val="clear" w:color="auto" w:fill="auto"/>
            <w:noWrap/>
            <w:vAlign w:val="center"/>
            <w:hideMark/>
          </w:tcPr>
          <w:p w14:paraId="2D2452DA"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11.735.000,00</w:t>
            </w:r>
          </w:p>
        </w:tc>
        <w:tc>
          <w:tcPr>
            <w:tcW w:w="1326" w:type="dxa"/>
            <w:tcBorders>
              <w:top w:val="nil"/>
              <w:left w:val="nil"/>
              <w:bottom w:val="single" w:sz="8" w:space="0" w:color="auto"/>
              <w:right w:val="single" w:sz="8" w:space="0" w:color="auto"/>
            </w:tcBorders>
            <w:shd w:val="clear" w:color="auto" w:fill="auto"/>
            <w:noWrap/>
            <w:vAlign w:val="center"/>
            <w:hideMark/>
          </w:tcPr>
          <w:p w14:paraId="658B3B07"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873" w:type="dxa"/>
            <w:tcBorders>
              <w:top w:val="nil"/>
              <w:left w:val="nil"/>
              <w:bottom w:val="single" w:sz="8" w:space="0" w:color="auto"/>
              <w:right w:val="single" w:sz="8" w:space="0" w:color="auto"/>
            </w:tcBorders>
            <w:shd w:val="clear" w:color="auto" w:fill="auto"/>
            <w:noWrap/>
            <w:vAlign w:val="center"/>
            <w:hideMark/>
          </w:tcPr>
          <w:p w14:paraId="29646079" w14:textId="626A0934" w:rsidR="008D7C20" w:rsidRPr="00092ED7" w:rsidRDefault="008D7C20" w:rsidP="003D1D17">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18.</w:t>
            </w:r>
            <w:r w:rsidR="00517844" w:rsidRPr="00092ED7">
              <w:rPr>
                <w:rFonts w:eastAsia="Times New Roman" w:cs="Times New Roman"/>
                <w:color w:val="000000"/>
                <w:sz w:val="20"/>
                <w:szCs w:val="20"/>
                <w:lang w:val="sr-Cyrl-CS"/>
              </w:rPr>
              <w:t>624</w:t>
            </w:r>
            <w:r w:rsidRPr="00092ED7">
              <w:rPr>
                <w:rFonts w:eastAsia="Times New Roman" w:cs="Times New Roman"/>
                <w:color w:val="000000"/>
                <w:sz w:val="20"/>
                <w:szCs w:val="20"/>
                <w:lang w:val="sr-Cyrl-CS"/>
              </w:rPr>
              <w:t>.</w:t>
            </w:r>
            <w:r w:rsidR="00517844" w:rsidRPr="00092ED7">
              <w:rPr>
                <w:rFonts w:eastAsia="Times New Roman" w:cs="Times New Roman"/>
                <w:color w:val="000000"/>
                <w:sz w:val="20"/>
                <w:szCs w:val="20"/>
                <w:lang w:val="sr-Cyrl-CS"/>
              </w:rPr>
              <w:t>631</w:t>
            </w:r>
            <w:r w:rsidRPr="00092ED7">
              <w:rPr>
                <w:rFonts w:eastAsia="Times New Roman" w:cs="Times New Roman"/>
                <w:color w:val="000000"/>
                <w:sz w:val="20"/>
                <w:szCs w:val="20"/>
                <w:lang w:val="sr-Cyrl-CS"/>
              </w:rPr>
              <w:t>,</w:t>
            </w:r>
            <w:r w:rsidR="00517844" w:rsidRPr="00092ED7">
              <w:rPr>
                <w:rFonts w:eastAsia="Times New Roman" w:cs="Times New Roman"/>
                <w:color w:val="000000"/>
                <w:sz w:val="20"/>
                <w:szCs w:val="20"/>
                <w:lang w:val="sr-Cyrl-CS"/>
              </w:rPr>
              <w:t>00</w:t>
            </w:r>
          </w:p>
        </w:tc>
      </w:tr>
      <w:tr w:rsidR="00931CF1" w:rsidRPr="00092ED7" w14:paraId="307DBD5D" w14:textId="77777777" w:rsidTr="00812992">
        <w:trPr>
          <w:trHeight w:val="330"/>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477828A3"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2024</w:t>
            </w:r>
          </w:p>
        </w:tc>
        <w:tc>
          <w:tcPr>
            <w:tcW w:w="1829" w:type="dxa"/>
            <w:tcBorders>
              <w:top w:val="nil"/>
              <w:left w:val="nil"/>
              <w:bottom w:val="single" w:sz="8" w:space="0" w:color="auto"/>
              <w:right w:val="single" w:sz="8" w:space="0" w:color="auto"/>
            </w:tcBorders>
            <w:shd w:val="clear" w:color="auto" w:fill="auto"/>
            <w:noWrap/>
            <w:vAlign w:val="center"/>
            <w:hideMark/>
          </w:tcPr>
          <w:p w14:paraId="67BBD486" w14:textId="26A95FA9" w:rsidR="008D7C20" w:rsidRPr="00092ED7" w:rsidRDefault="008D7C20" w:rsidP="003D1D17">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4.</w:t>
            </w:r>
            <w:r w:rsidR="00517844" w:rsidRPr="00092ED7">
              <w:rPr>
                <w:rFonts w:eastAsia="Times New Roman" w:cs="Times New Roman"/>
                <w:color w:val="000000"/>
                <w:sz w:val="20"/>
                <w:szCs w:val="20"/>
                <w:lang w:val="sr-Cyrl-CS"/>
              </w:rPr>
              <w:t>279</w:t>
            </w:r>
            <w:r w:rsidRPr="00092ED7">
              <w:rPr>
                <w:rFonts w:eastAsia="Times New Roman" w:cs="Times New Roman"/>
                <w:color w:val="000000"/>
                <w:sz w:val="20"/>
                <w:szCs w:val="20"/>
                <w:lang w:val="sr-Cyrl-CS"/>
              </w:rPr>
              <w:t>.</w:t>
            </w:r>
            <w:r w:rsidR="00517844" w:rsidRPr="00092ED7">
              <w:rPr>
                <w:rFonts w:eastAsia="Times New Roman" w:cs="Times New Roman"/>
                <w:color w:val="000000"/>
                <w:sz w:val="20"/>
                <w:szCs w:val="20"/>
                <w:lang w:val="sr-Cyrl-CS"/>
              </w:rPr>
              <w:t>467</w:t>
            </w:r>
            <w:r w:rsidRPr="00092ED7">
              <w:rPr>
                <w:rFonts w:eastAsia="Times New Roman" w:cs="Times New Roman"/>
                <w:color w:val="000000"/>
                <w:sz w:val="20"/>
                <w:szCs w:val="20"/>
                <w:lang w:val="sr-Cyrl-CS"/>
              </w:rPr>
              <w:t>,</w:t>
            </w:r>
            <w:r w:rsidR="00517844" w:rsidRPr="00092ED7">
              <w:rPr>
                <w:rFonts w:eastAsia="Times New Roman" w:cs="Times New Roman"/>
                <w:color w:val="000000"/>
                <w:sz w:val="20"/>
                <w:szCs w:val="20"/>
                <w:lang w:val="sr-Cyrl-CS"/>
              </w:rPr>
              <w:t>67</w:t>
            </w:r>
          </w:p>
        </w:tc>
        <w:tc>
          <w:tcPr>
            <w:tcW w:w="1617" w:type="dxa"/>
            <w:tcBorders>
              <w:top w:val="nil"/>
              <w:left w:val="nil"/>
              <w:bottom w:val="single" w:sz="8" w:space="0" w:color="auto"/>
              <w:right w:val="single" w:sz="8" w:space="0" w:color="auto"/>
            </w:tcBorders>
            <w:shd w:val="clear" w:color="auto" w:fill="auto"/>
            <w:noWrap/>
            <w:vAlign w:val="center"/>
            <w:hideMark/>
          </w:tcPr>
          <w:p w14:paraId="2BD4F452"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1.610.163,33</w:t>
            </w:r>
          </w:p>
        </w:tc>
        <w:tc>
          <w:tcPr>
            <w:tcW w:w="1617" w:type="dxa"/>
            <w:tcBorders>
              <w:top w:val="nil"/>
              <w:left w:val="nil"/>
              <w:bottom w:val="single" w:sz="8" w:space="0" w:color="auto"/>
              <w:right w:val="single" w:sz="8" w:space="0" w:color="auto"/>
            </w:tcBorders>
            <w:shd w:val="clear" w:color="auto" w:fill="auto"/>
            <w:noWrap/>
            <w:vAlign w:val="center"/>
            <w:hideMark/>
          </w:tcPr>
          <w:p w14:paraId="23ADA6E3"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27" w:type="dxa"/>
            <w:tcBorders>
              <w:top w:val="nil"/>
              <w:left w:val="nil"/>
              <w:bottom w:val="single" w:sz="8" w:space="0" w:color="auto"/>
              <w:right w:val="single" w:sz="8" w:space="0" w:color="auto"/>
            </w:tcBorders>
            <w:shd w:val="clear" w:color="auto" w:fill="auto"/>
            <w:noWrap/>
            <w:vAlign w:val="center"/>
            <w:hideMark/>
          </w:tcPr>
          <w:p w14:paraId="57E815AD" w14:textId="65C72D40"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2.</w:t>
            </w:r>
            <w:r w:rsidR="00517844" w:rsidRPr="00092ED7">
              <w:rPr>
                <w:rFonts w:eastAsia="Times New Roman" w:cs="Times New Roman"/>
                <w:color w:val="000000"/>
                <w:sz w:val="20"/>
                <w:szCs w:val="20"/>
                <w:lang w:val="sr-Cyrl-CS"/>
              </w:rPr>
              <w:t>5</w:t>
            </w:r>
            <w:r w:rsidRPr="00092ED7">
              <w:rPr>
                <w:rFonts w:eastAsia="Times New Roman" w:cs="Times New Roman"/>
                <w:color w:val="000000"/>
                <w:sz w:val="20"/>
                <w:szCs w:val="20"/>
                <w:lang w:val="sr-Cyrl-CS"/>
              </w:rPr>
              <w:t>00.000,00</w:t>
            </w:r>
          </w:p>
        </w:tc>
        <w:tc>
          <w:tcPr>
            <w:tcW w:w="1434" w:type="dxa"/>
            <w:tcBorders>
              <w:top w:val="nil"/>
              <w:left w:val="nil"/>
              <w:bottom w:val="single" w:sz="8" w:space="0" w:color="auto"/>
              <w:right w:val="single" w:sz="8" w:space="0" w:color="auto"/>
            </w:tcBorders>
            <w:shd w:val="clear" w:color="auto" w:fill="auto"/>
            <w:noWrap/>
            <w:vAlign w:val="center"/>
            <w:hideMark/>
          </w:tcPr>
          <w:p w14:paraId="7D946510"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66" w:type="dxa"/>
            <w:tcBorders>
              <w:top w:val="nil"/>
              <w:left w:val="nil"/>
              <w:bottom w:val="single" w:sz="8" w:space="0" w:color="auto"/>
              <w:right w:val="single" w:sz="8" w:space="0" w:color="auto"/>
            </w:tcBorders>
            <w:shd w:val="clear" w:color="auto" w:fill="auto"/>
            <w:noWrap/>
            <w:vAlign w:val="center"/>
            <w:hideMark/>
          </w:tcPr>
          <w:p w14:paraId="40F60123"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18.980.000,00</w:t>
            </w:r>
          </w:p>
        </w:tc>
        <w:tc>
          <w:tcPr>
            <w:tcW w:w="1326" w:type="dxa"/>
            <w:tcBorders>
              <w:top w:val="nil"/>
              <w:left w:val="nil"/>
              <w:bottom w:val="single" w:sz="8" w:space="0" w:color="auto"/>
              <w:right w:val="single" w:sz="8" w:space="0" w:color="auto"/>
            </w:tcBorders>
            <w:shd w:val="clear" w:color="auto" w:fill="auto"/>
            <w:noWrap/>
            <w:vAlign w:val="center"/>
            <w:hideMark/>
          </w:tcPr>
          <w:p w14:paraId="38966BF7" w14:textId="251FCAB1" w:rsidR="008D7C20" w:rsidRPr="00092ED7" w:rsidRDefault="00517844"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1.000.000,00</w:t>
            </w:r>
          </w:p>
        </w:tc>
        <w:tc>
          <w:tcPr>
            <w:tcW w:w="1873" w:type="dxa"/>
            <w:tcBorders>
              <w:top w:val="nil"/>
              <w:left w:val="nil"/>
              <w:bottom w:val="single" w:sz="8" w:space="0" w:color="auto"/>
              <w:right w:val="single" w:sz="8" w:space="0" w:color="auto"/>
            </w:tcBorders>
            <w:shd w:val="clear" w:color="auto" w:fill="auto"/>
            <w:noWrap/>
            <w:vAlign w:val="center"/>
            <w:hideMark/>
          </w:tcPr>
          <w:p w14:paraId="7DB8AACF" w14:textId="64FE476D" w:rsidR="008D7C20" w:rsidRPr="00092ED7" w:rsidRDefault="00517844" w:rsidP="003D1D17">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28</w:t>
            </w:r>
            <w:r w:rsidR="008D7C20" w:rsidRPr="00092ED7">
              <w:rPr>
                <w:rFonts w:eastAsia="Times New Roman" w:cs="Times New Roman"/>
                <w:color w:val="000000"/>
                <w:sz w:val="20"/>
                <w:szCs w:val="20"/>
                <w:lang w:val="sr-Cyrl-CS"/>
              </w:rPr>
              <w:t>.</w:t>
            </w:r>
            <w:r w:rsidRPr="00092ED7">
              <w:rPr>
                <w:rFonts w:eastAsia="Times New Roman" w:cs="Times New Roman"/>
                <w:color w:val="000000"/>
                <w:sz w:val="20"/>
                <w:szCs w:val="20"/>
                <w:lang w:val="sr-Cyrl-CS"/>
              </w:rPr>
              <w:t>369</w:t>
            </w:r>
            <w:r w:rsidR="008D7C20" w:rsidRPr="00092ED7">
              <w:rPr>
                <w:rFonts w:eastAsia="Times New Roman" w:cs="Times New Roman"/>
                <w:color w:val="000000"/>
                <w:sz w:val="20"/>
                <w:szCs w:val="20"/>
                <w:lang w:val="sr-Cyrl-CS"/>
              </w:rPr>
              <w:t>.</w:t>
            </w:r>
            <w:r w:rsidRPr="00092ED7">
              <w:rPr>
                <w:rFonts w:eastAsia="Times New Roman" w:cs="Times New Roman"/>
                <w:color w:val="000000"/>
                <w:sz w:val="20"/>
                <w:szCs w:val="20"/>
                <w:lang w:val="sr-Cyrl-CS"/>
              </w:rPr>
              <w:t>631</w:t>
            </w:r>
            <w:r w:rsidR="008D7C20" w:rsidRPr="00092ED7">
              <w:rPr>
                <w:rFonts w:eastAsia="Times New Roman" w:cs="Times New Roman"/>
                <w:color w:val="000000"/>
                <w:sz w:val="20"/>
                <w:szCs w:val="20"/>
                <w:lang w:val="sr-Cyrl-CS"/>
              </w:rPr>
              <w:t>,</w:t>
            </w:r>
            <w:r w:rsidRPr="00092ED7">
              <w:rPr>
                <w:rFonts w:eastAsia="Times New Roman" w:cs="Times New Roman"/>
                <w:color w:val="000000"/>
                <w:sz w:val="20"/>
                <w:szCs w:val="20"/>
                <w:lang w:val="sr-Cyrl-CS"/>
              </w:rPr>
              <w:t>00</w:t>
            </w:r>
          </w:p>
        </w:tc>
      </w:tr>
      <w:tr w:rsidR="00931CF1" w:rsidRPr="00092ED7" w14:paraId="610934F4" w14:textId="77777777" w:rsidTr="00812992">
        <w:trPr>
          <w:trHeight w:val="330"/>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62D65D7E"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2025</w:t>
            </w:r>
          </w:p>
        </w:tc>
        <w:tc>
          <w:tcPr>
            <w:tcW w:w="1829" w:type="dxa"/>
            <w:tcBorders>
              <w:top w:val="nil"/>
              <w:left w:val="nil"/>
              <w:bottom w:val="single" w:sz="8" w:space="0" w:color="auto"/>
              <w:right w:val="single" w:sz="8" w:space="0" w:color="auto"/>
            </w:tcBorders>
            <w:shd w:val="clear" w:color="auto" w:fill="auto"/>
            <w:noWrap/>
            <w:vAlign w:val="center"/>
            <w:hideMark/>
          </w:tcPr>
          <w:p w14:paraId="54CD9A44" w14:textId="47E641AD" w:rsidR="008D7C20" w:rsidRPr="00092ED7" w:rsidRDefault="008D7C20" w:rsidP="003D1D17">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4.</w:t>
            </w:r>
            <w:r w:rsidR="00517844" w:rsidRPr="00092ED7">
              <w:rPr>
                <w:rFonts w:eastAsia="Times New Roman" w:cs="Times New Roman"/>
                <w:color w:val="000000"/>
                <w:sz w:val="20"/>
                <w:szCs w:val="20"/>
                <w:lang w:val="sr-Cyrl-CS"/>
              </w:rPr>
              <w:t>279</w:t>
            </w:r>
            <w:r w:rsidRPr="00092ED7">
              <w:rPr>
                <w:rFonts w:eastAsia="Times New Roman" w:cs="Times New Roman"/>
                <w:color w:val="000000"/>
                <w:sz w:val="20"/>
                <w:szCs w:val="20"/>
                <w:lang w:val="sr-Cyrl-CS"/>
              </w:rPr>
              <w:t>.</w:t>
            </w:r>
            <w:r w:rsidR="00517844" w:rsidRPr="00092ED7">
              <w:rPr>
                <w:rFonts w:eastAsia="Times New Roman" w:cs="Times New Roman"/>
                <w:color w:val="000000"/>
                <w:sz w:val="20"/>
                <w:szCs w:val="20"/>
                <w:lang w:val="sr-Cyrl-CS"/>
              </w:rPr>
              <w:t>467</w:t>
            </w:r>
            <w:r w:rsidRPr="00092ED7">
              <w:rPr>
                <w:rFonts w:eastAsia="Times New Roman" w:cs="Times New Roman"/>
                <w:color w:val="000000"/>
                <w:sz w:val="20"/>
                <w:szCs w:val="20"/>
                <w:lang w:val="sr-Cyrl-CS"/>
              </w:rPr>
              <w:t>,</w:t>
            </w:r>
            <w:r w:rsidR="00517844" w:rsidRPr="00092ED7">
              <w:rPr>
                <w:rFonts w:eastAsia="Times New Roman" w:cs="Times New Roman"/>
                <w:color w:val="000000"/>
                <w:sz w:val="20"/>
                <w:szCs w:val="20"/>
                <w:lang w:val="sr-Cyrl-CS"/>
              </w:rPr>
              <w:t>67</w:t>
            </w:r>
          </w:p>
        </w:tc>
        <w:tc>
          <w:tcPr>
            <w:tcW w:w="1617" w:type="dxa"/>
            <w:tcBorders>
              <w:top w:val="nil"/>
              <w:left w:val="nil"/>
              <w:bottom w:val="single" w:sz="8" w:space="0" w:color="auto"/>
              <w:right w:val="single" w:sz="8" w:space="0" w:color="auto"/>
            </w:tcBorders>
            <w:shd w:val="clear" w:color="auto" w:fill="auto"/>
            <w:noWrap/>
            <w:vAlign w:val="center"/>
            <w:hideMark/>
          </w:tcPr>
          <w:p w14:paraId="6EA40754"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1.610.163,33</w:t>
            </w:r>
          </w:p>
        </w:tc>
        <w:tc>
          <w:tcPr>
            <w:tcW w:w="1617" w:type="dxa"/>
            <w:tcBorders>
              <w:top w:val="nil"/>
              <w:left w:val="nil"/>
              <w:bottom w:val="single" w:sz="8" w:space="0" w:color="auto"/>
              <w:right w:val="single" w:sz="8" w:space="0" w:color="auto"/>
            </w:tcBorders>
            <w:shd w:val="clear" w:color="auto" w:fill="auto"/>
            <w:noWrap/>
            <w:vAlign w:val="center"/>
            <w:hideMark/>
          </w:tcPr>
          <w:p w14:paraId="25BA1F8C"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27" w:type="dxa"/>
            <w:tcBorders>
              <w:top w:val="nil"/>
              <w:left w:val="nil"/>
              <w:bottom w:val="single" w:sz="8" w:space="0" w:color="auto"/>
              <w:right w:val="single" w:sz="8" w:space="0" w:color="auto"/>
            </w:tcBorders>
            <w:shd w:val="clear" w:color="auto" w:fill="auto"/>
            <w:noWrap/>
            <w:vAlign w:val="center"/>
            <w:hideMark/>
          </w:tcPr>
          <w:p w14:paraId="7059056A" w14:textId="67727345"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1.500.000,00</w:t>
            </w:r>
          </w:p>
        </w:tc>
        <w:tc>
          <w:tcPr>
            <w:tcW w:w="1434" w:type="dxa"/>
            <w:tcBorders>
              <w:top w:val="nil"/>
              <w:left w:val="nil"/>
              <w:bottom w:val="single" w:sz="8" w:space="0" w:color="auto"/>
              <w:right w:val="single" w:sz="8" w:space="0" w:color="auto"/>
            </w:tcBorders>
            <w:shd w:val="clear" w:color="auto" w:fill="auto"/>
            <w:noWrap/>
            <w:vAlign w:val="center"/>
            <w:hideMark/>
          </w:tcPr>
          <w:p w14:paraId="22319F42"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66" w:type="dxa"/>
            <w:tcBorders>
              <w:top w:val="nil"/>
              <w:left w:val="nil"/>
              <w:bottom w:val="single" w:sz="8" w:space="0" w:color="auto"/>
              <w:right w:val="single" w:sz="8" w:space="0" w:color="auto"/>
            </w:tcBorders>
            <w:shd w:val="clear" w:color="auto" w:fill="auto"/>
            <w:noWrap/>
            <w:vAlign w:val="center"/>
            <w:hideMark/>
          </w:tcPr>
          <w:p w14:paraId="64B7623E"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36.225.000,00</w:t>
            </w:r>
          </w:p>
        </w:tc>
        <w:tc>
          <w:tcPr>
            <w:tcW w:w="1326" w:type="dxa"/>
            <w:tcBorders>
              <w:top w:val="nil"/>
              <w:left w:val="nil"/>
              <w:bottom w:val="single" w:sz="8" w:space="0" w:color="auto"/>
              <w:right w:val="single" w:sz="8" w:space="0" w:color="auto"/>
            </w:tcBorders>
            <w:shd w:val="clear" w:color="auto" w:fill="auto"/>
            <w:noWrap/>
            <w:vAlign w:val="center"/>
            <w:hideMark/>
          </w:tcPr>
          <w:p w14:paraId="6A40D85C"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873" w:type="dxa"/>
            <w:tcBorders>
              <w:top w:val="nil"/>
              <w:left w:val="nil"/>
              <w:bottom w:val="single" w:sz="8" w:space="0" w:color="auto"/>
              <w:right w:val="single" w:sz="8" w:space="0" w:color="auto"/>
            </w:tcBorders>
            <w:shd w:val="clear" w:color="auto" w:fill="auto"/>
            <w:noWrap/>
            <w:vAlign w:val="center"/>
            <w:hideMark/>
          </w:tcPr>
          <w:p w14:paraId="54B93A94" w14:textId="4B827E23" w:rsidR="008D7C20" w:rsidRPr="00092ED7" w:rsidRDefault="00517844" w:rsidP="003D1D17">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4</w:t>
            </w:r>
            <w:r w:rsidR="008D7C20" w:rsidRPr="00092ED7">
              <w:rPr>
                <w:rFonts w:eastAsia="Times New Roman" w:cs="Times New Roman"/>
                <w:color w:val="000000"/>
                <w:sz w:val="20"/>
                <w:szCs w:val="20"/>
                <w:lang w:val="sr-Cyrl-CS"/>
              </w:rPr>
              <w:t>3.</w:t>
            </w:r>
            <w:r w:rsidRPr="00092ED7">
              <w:rPr>
                <w:rFonts w:eastAsia="Times New Roman" w:cs="Times New Roman"/>
                <w:color w:val="000000"/>
                <w:sz w:val="20"/>
                <w:szCs w:val="20"/>
                <w:lang w:val="sr-Cyrl-CS"/>
              </w:rPr>
              <w:t>614</w:t>
            </w:r>
            <w:r w:rsidR="008D7C20" w:rsidRPr="00092ED7">
              <w:rPr>
                <w:rFonts w:eastAsia="Times New Roman" w:cs="Times New Roman"/>
                <w:color w:val="000000"/>
                <w:sz w:val="20"/>
                <w:szCs w:val="20"/>
                <w:lang w:val="sr-Cyrl-CS"/>
              </w:rPr>
              <w:t>.</w:t>
            </w:r>
            <w:r w:rsidRPr="00092ED7">
              <w:rPr>
                <w:rFonts w:eastAsia="Times New Roman" w:cs="Times New Roman"/>
                <w:color w:val="000000"/>
                <w:sz w:val="20"/>
                <w:szCs w:val="20"/>
                <w:lang w:val="sr-Cyrl-CS"/>
              </w:rPr>
              <w:t>631</w:t>
            </w:r>
            <w:r w:rsidR="008D7C20" w:rsidRPr="00092ED7">
              <w:rPr>
                <w:rFonts w:eastAsia="Times New Roman" w:cs="Times New Roman"/>
                <w:color w:val="000000"/>
                <w:sz w:val="20"/>
                <w:szCs w:val="20"/>
                <w:lang w:val="sr-Cyrl-CS"/>
              </w:rPr>
              <w:t>,</w:t>
            </w:r>
            <w:r w:rsidRPr="00092ED7">
              <w:rPr>
                <w:rFonts w:eastAsia="Times New Roman" w:cs="Times New Roman"/>
                <w:color w:val="000000"/>
                <w:sz w:val="20"/>
                <w:szCs w:val="20"/>
                <w:lang w:val="sr-Cyrl-CS"/>
              </w:rPr>
              <w:t>00</w:t>
            </w:r>
          </w:p>
        </w:tc>
      </w:tr>
      <w:tr w:rsidR="008D7C20" w:rsidRPr="00092ED7" w14:paraId="19EB10AB" w14:textId="77777777" w:rsidTr="008D7C20">
        <w:trPr>
          <w:trHeight w:val="330"/>
        </w:trPr>
        <w:tc>
          <w:tcPr>
            <w:tcW w:w="13948" w:type="dxa"/>
            <w:gridSpan w:val="9"/>
            <w:tcBorders>
              <w:top w:val="single" w:sz="8" w:space="0" w:color="auto"/>
              <w:left w:val="single" w:sz="8" w:space="0" w:color="auto"/>
              <w:bottom w:val="single" w:sz="4" w:space="0" w:color="auto"/>
              <w:right w:val="single" w:sz="8" w:space="0" w:color="auto"/>
            </w:tcBorders>
            <w:shd w:val="clear" w:color="000000" w:fill="D0CECE"/>
            <w:noWrap/>
            <w:vAlign w:val="center"/>
            <w:hideMark/>
          </w:tcPr>
          <w:p w14:paraId="394151C7" w14:textId="682DDB7B" w:rsidR="008D7C20" w:rsidRPr="00092ED7" w:rsidRDefault="008D7C20" w:rsidP="008D7C20">
            <w:pPr>
              <w:spacing w:after="0"/>
              <w:jc w:val="left"/>
              <w:rPr>
                <w:rFonts w:eastAsia="Times New Roman" w:cs="Times New Roman"/>
                <w:b/>
                <w:bCs/>
                <w:color w:val="000000"/>
                <w:sz w:val="20"/>
                <w:szCs w:val="20"/>
                <w:lang w:val="sr-Cyrl-CS"/>
              </w:rPr>
            </w:pPr>
            <w:r w:rsidRPr="00092ED7">
              <w:rPr>
                <w:rFonts w:eastAsia="Times New Roman" w:cs="Times New Roman"/>
                <w:b/>
                <w:bCs/>
                <w:color w:val="000000"/>
                <w:sz w:val="20"/>
                <w:szCs w:val="20"/>
                <w:lang w:val="sr-Cyrl-CS"/>
              </w:rPr>
              <w:t>9. Интеграција обновљивих извора електричне енергије кроз пројекат „Беогрид 2025</w:t>
            </w:r>
            <w:r w:rsidR="002F4DA5" w:rsidRPr="00092ED7">
              <w:rPr>
                <w:rFonts w:cs="Times New Roman"/>
                <w:b/>
                <w:sz w:val="20"/>
                <w:szCs w:val="20"/>
                <w:lang w:val="sr-Cyrl-CS"/>
              </w:rPr>
              <w:t>”</w:t>
            </w:r>
          </w:p>
        </w:tc>
      </w:tr>
      <w:tr w:rsidR="00931CF1" w:rsidRPr="00092ED7" w14:paraId="0E89361E" w14:textId="77777777" w:rsidTr="00812992">
        <w:trPr>
          <w:trHeight w:val="645"/>
        </w:trPr>
        <w:tc>
          <w:tcPr>
            <w:tcW w:w="12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EB2DA3"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b/>
                <w:bCs/>
                <w:sz w:val="20"/>
                <w:szCs w:val="20"/>
                <w:lang w:val="sr-Cyrl-CS"/>
              </w:rPr>
              <w:lastRenderedPageBreak/>
              <w:t>Година</w:t>
            </w:r>
          </w:p>
        </w:tc>
        <w:tc>
          <w:tcPr>
            <w:tcW w:w="18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42A4EC"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Буџет централног нивоа државе</w:t>
            </w:r>
          </w:p>
        </w:tc>
        <w:tc>
          <w:tcPr>
            <w:tcW w:w="16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DE25A"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Локални буџети</w:t>
            </w:r>
          </w:p>
        </w:tc>
        <w:tc>
          <w:tcPr>
            <w:tcW w:w="16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A170D5"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Други домаћи извори јавних финансија</w:t>
            </w: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288ED"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ИПА фондови</w:t>
            </w:r>
          </w:p>
        </w:tc>
        <w:tc>
          <w:tcPr>
            <w:tcW w:w="14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FBB500"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Друга бесповратна средства</w:t>
            </w:r>
          </w:p>
        </w:tc>
        <w:tc>
          <w:tcPr>
            <w:tcW w:w="14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5BB716"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Пројектни кредити</w:t>
            </w:r>
          </w:p>
        </w:tc>
        <w:tc>
          <w:tcPr>
            <w:tcW w:w="13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8BAB06"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Тек треба да се утврди</w:t>
            </w:r>
          </w:p>
        </w:tc>
        <w:tc>
          <w:tcPr>
            <w:tcW w:w="187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2CCB89"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Укупно</w:t>
            </w:r>
          </w:p>
        </w:tc>
      </w:tr>
      <w:tr w:rsidR="00931CF1" w:rsidRPr="00092ED7" w14:paraId="4E6797F1" w14:textId="77777777" w:rsidTr="00812992">
        <w:trPr>
          <w:trHeight w:val="330"/>
        </w:trPr>
        <w:tc>
          <w:tcPr>
            <w:tcW w:w="1259"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40EDCD3A"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2023</w:t>
            </w:r>
          </w:p>
        </w:tc>
        <w:tc>
          <w:tcPr>
            <w:tcW w:w="1829" w:type="dxa"/>
            <w:tcBorders>
              <w:top w:val="single" w:sz="4" w:space="0" w:color="auto"/>
              <w:left w:val="nil"/>
              <w:bottom w:val="single" w:sz="8" w:space="0" w:color="auto"/>
              <w:right w:val="single" w:sz="8" w:space="0" w:color="auto"/>
            </w:tcBorders>
            <w:shd w:val="clear" w:color="auto" w:fill="auto"/>
            <w:noWrap/>
            <w:vAlign w:val="center"/>
            <w:hideMark/>
          </w:tcPr>
          <w:p w14:paraId="7DE709FA" w14:textId="77777777" w:rsidR="008D7C20" w:rsidRPr="00092ED7" w:rsidRDefault="00782BCA" w:rsidP="008D7C20">
            <w:pPr>
              <w:spacing w:after="0"/>
              <w:jc w:val="right"/>
              <w:rPr>
                <w:rFonts w:eastAsia="Times New Roman" w:cs="Times New Roman"/>
                <w:color w:val="000000"/>
                <w:sz w:val="20"/>
                <w:szCs w:val="20"/>
                <w:lang w:val="sr-Cyrl-CS"/>
              </w:rPr>
            </w:pPr>
            <w:r w:rsidRPr="00092ED7">
              <w:rPr>
                <w:rFonts w:cs="Times New Roman"/>
                <w:color w:val="000000"/>
                <w:sz w:val="20"/>
                <w:szCs w:val="20"/>
                <w:lang w:val="sr-Cyrl-CS"/>
              </w:rPr>
              <w:t>2.275.320,0</w:t>
            </w:r>
            <w:r w:rsidR="008D7C20" w:rsidRPr="00092ED7">
              <w:rPr>
                <w:rFonts w:eastAsia="Times New Roman" w:cs="Times New Roman"/>
                <w:color w:val="000000"/>
                <w:sz w:val="20"/>
                <w:szCs w:val="20"/>
                <w:lang w:val="sr-Cyrl-CS"/>
              </w:rPr>
              <w:t>0</w:t>
            </w:r>
          </w:p>
        </w:tc>
        <w:tc>
          <w:tcPr>
            <w:tcW w:w="1617" w:type="dxa"/>
            <w:tcBorders>
              <w:top w:val="single" w:sz="4" w:space="0" w:color="auto"/>
              <w:left w:val="nil"/>
              <w:bottom w:val="single" w:sz="8" w:space="0" w:color="auto"/>
              <w:right w:val="single" w:sz="8" w:space="0" w:color="auto"/>
            </w:tcBorders>
            <w:shd w:val="clear" w:color="auto" w:fill="auto"/>
            <w:noWrap/>
            <w:vAlign w:val="center"/>
            <w:hideMark/>
          </w:tcPr>
          <w:p w14:paraId="2376A8D8"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single" w:sz="4" w:space="0" w:color="auto"/>
              <w:left w:val="nil"/>
              <w:bottom w:val="single" w:sz="8" w:space="0" w:color="auto"/>
              <w:right w:val="single" w:sz="8" w:space="0" w:color="auto"/>
            </w:tcBorders>
            <w:shd w:val="clear" w:color="auto" w:fill="auto"/>
            <w:noWrap/>
            <w:vAlign w:val="center"/>
            <w:hideMark/>
          </w:tcPr>
          <w:p w14:paraId="1A382509" w14:textId="4249E48F"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27" w:type="dxa"/>
            <w:tcBorders>
              <w:top w:val="single" w:sz="4" w:space="0" w:color="auto"/>
              <w:left w:val="nil"/>
              <w:bottom w:val="single" w:sz="8" w:space="0" w:color="auto"/>
              <w:right w:val="single" w:sz="8" w:space="0" w:color="auto"/>
            </w:tcBorders>
            <w:shd w:val="clear" w:color="auto" w:fill="auto"/>
            <w:noWrap/>
            <w:vAlign w:val="center"/>
            <w:hideMark/>
          </w:tcPr>
          <w:p w14:paraId="76F19771"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34" w:type="dxa"/>
            <w:tcBorders>
              <w:top w:val="single" w:sz="4" w:space="0" w:color="auto"/>
              <w:left w:val="nil"/>
              <w:bottom w:val="single" w:sz="8" w:space="0" w:color="auto"/>
              <w:right w:val="single" w:sz="8" w:space="0" w:color="auto"/>
            </w:tcBorders>
            <w:shd w:val="clear" w:color="auto" w:fill="auto"/>
            <w:noWrap/>
            <w:vAlign w:val="center"/>
            <w:hideMark/>
          </w:tcPr>
          <w:p w14:paraId="2D4BCDB4"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66" w:type="dxa"/>
            <w:tcBorders>
              <w:top w:val="single" w:sz="4" w:space="0" w:color="auto"/>
              <w:left w:val="nil"/>
              <w:bottom w:val="single" w:sz="8" w:space="0" w:color="auto"/>
              <w:right w:val="single" w:sz="8" w:space="0" w:color="auto"/>
            </w:tcBorders>
            <w:shd w:val="clear" w:color="auto" w:fill="auto"/>
            <w:noWrap/>
            <w:vAlign w:val="center"/>
            <w:hideMark/>
          </w:tcPr>
          <w:p w14:paraId="501F2B69"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326" w:type="dxa"/>
            <w:tcBorders>
              <w:top w:val="single" w:sz="4" w:space="0" w:color="auto"/>
              <w:left w:val="nil"/>
              <w:bottom w:val="single" w:sz="8" w:space="0" w:color="auto"/>
              <w:right w:val="single" w:sz="8" w:space="0" w:color="auto"/>
            </w:tcBorders>
            <w:shd w:val="clear" w:color="auto" w:fill="auto"/>
            <w:noWrap/>
            <w:vAlign w:val="center"/>
            <w:hideMark/>
          </w:tcPr>
          <w:p w14:paraId="56D13DC0"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873" w:type="dxa"/>
            <w:tcBorders>
              <w:top w:val="single" w:sz="4" w:space="0" w:color="auto"/>
              <w:left w:val="nil"/>
              <w:bottom w:val="single" w:sz="8" w:space="0" w:color="auto"/>
              <w:right w:val="single" w:sz="8" w:space="0" w:color="auto"/>
            </w:tcBorders>
            <w:shd w:val="clear" w:color="auto" w:fill="auto"/>
            <w:noWrap/>
            <w:vAlign w:val="center"/>
            <w:hideMark/>
          </w:tcPr>
          <w:p w14:paraId="343ACA17" w14:textId="27D22ADA" w:rsidR="008D7C20" w:rsidRPr="00092ED7" w:rsidRDefault="00782BCA" w:rsidP="008D7C20">
            <w:pPr>
              <w:spacing w:after="0"/>
              <w:jc w:val="right"/>
              <w:rPr>
                <w:rFonts w:eastAsia="Times New Roman" w:cs="Times New Roman"/>
                <w:color w:val="000000"/>
                <w:sz w:val="20"/>
                <w:szCs w:val="20"/>
                <w:lang w:val="sr-Cyrl-CS"/>
              </w:rPr>
            </w:pPr>
            <w:r w:rsidRPr="00092ED7">
              <w:rPr>
                <w:rFonts w:cs="Times New Roman"/>
                <w:color w:val="000000"/>
                <w:sz w:val="20"/>
                <w:szCs w:val="20"/>
                <w:lang w:val="sr-Cyrl-CS"/>
              </w:rPr>
              <w:t>2.275.320</w:t>
            </w:r>
            <w:r w:rsidR="008D7C20" w:rsidRPr="00092ED7">
              <w:rPr>
                <w:rFonts w:eastAsia="Times New Roman" w:cs="Times New Roman"/>
                <w:color w:val="000000"/>
                <w:sz w:val="20"/>
                <w:szCs w:val="20"/>
                <w:lang w:val="sr-Cyrl-CS"/>
              </w:rPr>
              <w:t>,00</w:t>
            </w:r>
          </w:p>
        </w:tc>
      </w:tr>
      <w:tr w:rsidR="00931CF1" w:rsidRPr="00092ED7" w14:paraId="641BF394" w14:textId="77777777" w:rsidTr="00812992">
        <w:trPr>
          <w:trHeight w:val="330"/>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773CCC3E"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2024</w:t>
            </w:r>
          </w:p>
        </w:tc>
        <w:tc>
          <w:tcPr>
            <w:tcW w:w="1829" w:type="dxa"/>
            <w:tcBorders>
              <w:top w:val="nil"/>
              <w:left w:val="nil"/>
              <w:bottom w:val="single" w:sz="8" w:space="0" w:color="auto"/>
              <w:right w:val="single" w:sz="8" w:space="0" w:color="auto"/>
            </w:tcBorders>
            <w:shd w:val="clear" w:color="auto" w:fill="auto"/>
            <w:noWrap/>
            <w:vAlign w:val="center"/>
            <w:hideMark/>
          </w:tcPr>
          <w:p w14:paraId="7274629A" w14:textId="44C2AC0F" w:rsidR="008D7C20" w:rsidRPr="00092ED7" w:rsidRDefault="00782BCA" w:rsidP="008D7C20">
            <w:pPr>
              <w:spacing w:after="0"/>
              <w:jc w:val="right"/>
              <w:rPr>
                <w:rFonts w:eastAsia="Times New Roman" w:cs="Times New Roman"/>
                <w:color w:val="000000"/>
                <w:sz w:val="20"/>
                <w:szCs w:val="20"/>
                <w:lang w:val="sr-Cyrl-CS"/>
              </w:rPr>
            </w:pPr>
            <w:r w:rsidRPr="00092ED7">
              <w:rPr>
                <w:rFonts w:cs="Times New Roman"/>
                <w:color w:val="000000"/>
                <w:sz w:val="20"/>
                <w:szCs w:val="20"/>
                <w:lang w:val="sr-Cyrl-CS"/>
              </w:rPr>
              <w:t>21.000.000</w:t>
            </w:r>
            <w:r w:rsidR="008D7C20" w:rsidRPr="00092ED7">
              <w:rPr>
                <w:rFonts w:eastAsia="Times New Roman" w:cs="Times New Roman"/>
                <w:color w:val="000000"/>
                <w:sz w:val="20"/>
                <w:szCs w:val="20"/>
                <w:lang w:val="sr-Cyrl-CS"/>
              </w:rPr>
              <w:t>,00</w:t>
            </w:r>
          </w:p>
        </w:tc>
        <w:tc>
          <w:tcPr>
            <w:tcW w:w="1617" w:type="dxa"/>
            <w:tcBorders>
              <w:top w:val="nil"/>
              <w:left w:val="nil"/>
              <w:bottom w:val="single" w:sz="8" w:space="0" w:color="auto"/>
              <w:right w:val="single" w:sz="8" w:space="0" w:color="auto"/>
            </w:tcBorders>
            <w:shd w:val="clear" w:color="auto" w:fill="auto"/>
            <w:noWrap/>
            <w:vAlign w:val="center"/>
            <w:hideMark/>
          </w:tcPr>
          <w:p w14:paraId="75F7A65A"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38B5C701" w14:textId="7B4FA47F"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27" w:type="dxa"/>
            <w:tcBorders>
              <w:top w:val="nil"/>
              <w:left w:val="nil"/>
              <w:bottom w:val="single" w:sz="8" w:space="0" w:color="auto"/>
              <w:right w:val="single" w:sz="8" w:space="0" w:color="auto"/>
            </w:tcBorders>
            <w:shd w:val="clear" w:color="auto" w:fill="auto"/>
            <w:noWrap/>
            <w:vAlign w:val="center"/>
            <w:hideMark/>
          </w:tcPr>
          <w:p w14:paraId="30A03207"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34" w:type="dxa"/>
            <w:tcBorders>
              <w:top w:val="nil"/>
              <w:left w:val="nil"/>
              <w:bottom w:val="single" w:sz="8" w:space="0" w:color="auto"/>
              <w:right w:val="single" w:sz="8" w:space="0" w:color="auto"/>
            </w:tcBorders>
            <w:shd w:val="clear" w:color="auto" w:fill="auto"/>
            <w:noWrap/>
            <w:vAlign w:val="center"/>
            <w:hideMark/>
          </w:tcPr>
          <w:p w14:paraId="0CAC0705"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66" w:type="dxa"/>
            <w:tcBorders>
              <w:top w:val="nil"/>
              <w:left w:val="nil"/>
              <w:bottom w:val="single" w:sz="8" w:space="0" w:color="auto"/>
              <w:right w:val="single" w:sz="8" w:space="0" w:color="auto"/>
            </w:tcBorders>
            <w:shd w:val="clear" w:color="auto" w:fill="auto"/>
            <w:noWrap/>
            <w:vAlign w:val="center"/>
            <w:hideMark/>
          </w:tcPr>
          <w:p w14:paraId="3E960171"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326" w:type="dxa"/>
            <w:tcBorders>
              <w:top w:val="nil"/>
              <w:left w:val="nil"/>
              <w:bottom w:val="single" w:sz="8" w:space="0" w:color="auto"/>
              <w:right w:val="single" w:sz="8" w:space="0" w:color="auto"/>
            </w:tcBorders>
            <w:shd w:val="clear" w:color="auto" w:fill="auto"/>
            <w:noWrap/>
            <w:vAlign w:val="center"/>
            <w:hideMark/>
          </w:tcPr>
          <w:p w14:paraId="1BC20F7D"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873" w:type="dxa"/>
            <w:tcBorders>
              <w:top w:val="nil"/>
              <w:left w:val="nil"/>
              <w:bottom w:val="single" w:sz="8" w:space="0" w:color="auto"/>
              <w:right w:val="single" w:sz="8" w:space="0" w:color="auto"/>
            </w:tcBorders>
            <w:shd w:val="clear" w:color="auto" w:fill="auto"/>
            <w:noWrap/>
            <w:vAlign w:val="center"/>
            <w:hideMark/>
          </w:tcPr>
          <w:p w14:paraId="7ED8F42A" w14:textId="39668F4D" w:rsidR="008D7C20" w:rsidRPr="00092ED7" w:rsidRDefault="00782BCA" w:rsidP="008D7C20">
            <w:pPr>
              <w:spacing w:after="0"/>
              <w:jc w:val="right"/>
              <w:rPr>
                <w:rFonts w:eastAsia="Times New Roman" w:cs="Times New Roman"/>
                <w:sz w:val="20"/>
                <w:szCs w:val="20"/>
                <w:lang w:val="sr-Cyrl-CS"/>
              </w:rPr>
            </w:pPr>
            <w:r w:rsidRPr="00092ED7">
              <w:rPr>
                <w:rFonts w:cs="Times New Roman"/>
                <w:sz w:val="20"/>
                <w:szCs w:val="20"/>
                <w:lang w:val="sr-Cyrl-CS"/>
              </w:rPr>
              <w:t>21.000.000</w:t>
            </w:r>
            <w:r w:rsidR="008D7C20" w:rsidRPr="00092ED7">
              <w:rPr>
                <w:rFonts w:eastAsia="Times New Roman" w:cs="Times New Roman"/>
                <w:sz w:val="20"/>
                <w:szCs w:val="20"/>
                <w:lang w:val="sr-Cyrl-CS"/>
              </w:rPr>
              <w:t>,00</w:t>
            </w:r>
          </w:p>
        </w:tc>
      </w:tr>
      <w:tr w:rsidR="00931CF1" w:rsidRPr="00092ED7" w14:paraId="2C353C86" w14:textId="77777777" w:rsidTr="00812992">
        <w:trPr>
          <w:trHeight w:val="330"/>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1F5C6C94"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2025</w:t>
            </w:r>
          </w:p>
        </w:tc>
        <w:tc>
          <w:tcPr>
            <w:tcW w:w="1829" w:type="dxa"/>
            <w:tcBorders>
              <w:top w:val="nil"/>
              <w:left w:val="nil"/>
              <w:bottom w:val="single" w:sz="8" w:space="0" w:color="auto"/>
              <w:right w:val="single" w:sz="8" w:space="0" w:color="auto"/>
            </w:tcBorders>
            <w:shd w:val="clear" w:color="auto" w:fill="auto"/>
            <w:noWrap/>
            <w:vAlign w:val="center"/>
            <w:hideMark/>
          </w:tcPr>
          <w:p w14:paraId="37BE2E40" w14:textId="2E945DDB" w:rsidR="008D7C20" w:rsidRPr="00092ED7" w:rsidRDefault="00782BCA" w:rsidP="008D7C20">
            <w:pPr>
              <w:spacing w:after="0"/>
              <w:jc w:val="right"/>
              <w:rPr>
                <w:rFonts w:eastAsia="Times New Roman" w:cs="Times New Roman"/>
                <w:color w:val="000000"/>
                <w:sz w:val="20"/>
                <w:szCs w:val="20"/>
                <w:lang w:val="sr-Cyrl-CS"/>
              </w:rPr>
            </w:pPr>
            <w:r w:rsidRPr="00092ED7">
              <w:rPr>
                <w:rFonts w:cs="Times New Roman"/>
                <w:color w:val="000000"/>
                <w:sz w:val="20"/>
                <w:szCs w:val="20"/>
                <w:lang w:val="sr-Cyrl-CS"/>
              </w:rPr>
              <w:t>33.000.000</w:t>
            </w:r>
            <w:r w:rsidR="008D7C20" w:rsidRPr="00092ED7">
              <w:rPr>
                <w:rFonts w:eastAsia="Times New Roman" w:cs="Times New Roman"/>
                <w:color w:val="000000"/>
                <w:sz w:val="20"/>
                <w:szCs w:val="20"/>
                <w:lang w:val="sr-Cyrl-CS"/>
              </w:rPr>
              <w:t>,00</w:t>
            </w:r>
          </w:p>
        </w:tc>
        <w:tc>
          <w:tcPr>
            <w:tcW w:w="1617" w:type="dxa"/>
            <w:tcBorders>
              <w:top w:val="nil"/>
              <w:left w:val="nil"/>
              <w:bottom w:val="single" w:sz="8" w:space="0" w:color="auto"/>
              <w:right w:val="single" w:sz="8" w:space="0" w:color="auto"/>
            </w:tcBorders>
            <w:shd w:val="clear" w:color="auto" w:fill="auto"/>
            <w:noWrap/>
            <w:vAlign w:val="center"/>
            <w:hideMark/>
          </w:tcPr>
          <w:p w14:paraId="160127D7"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45622DBC"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27" w:type="dxa"/>
            <w:tcBorders>
              <w:top w:val="nil"/>
              <w:left w:val="nil"/>
              <w:bottom w:val="single" w:sz="8" w:space="0" w:color="auto"/>
              <w:right w:val="single" w:sz="8" w:space="0" w:color="auto"/>
            </w:tcBorders>
            <w:shd w:val="clear" w:color="auto" w:fill="auto"/>
            <w:noWrap/>
            <w:vAlign w:val="center"/>
            <w:hideMark/>
          </w:tcPr>
          <w:p w14:paraId="62815BD6"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34" w:type="dxa"/>
            <w:tcBorders>
              <w:top w:val="nil"/>
              <w:left w:val="nil"/>
              <w:bottom w:val="single" w:sz="8" w:space="0" w:color="auto"/>
              <w:right w:val="single" w:sz="8" w:space="0" w:color="auto"/>
            </w:tcBorders>
            <w:shd w:val="clear" w:color="auto" w:fill="auto"/>
            <w:noWrap/>
            <w:vAlign w:val="center"/>
            <w:hideMark/>
          </w:tcPr>
          <w:p w14:paraId="17AD1914"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66" w:type="dxa"/>
            <w:tcBorders>
              <w:top w:val="nil"/>
              <w:left w:val="nil"/>
              <w:bottom w:val="single" w:sz="8" w:space="0" w:color="auto"/>
              <w:right w:val="single" w:sz="8" w:space="0" w:color="auto"/>
            </w:tcBorders>
            <w:shd w:val="clear" w:color="auto" w:fill="auto"/>
            <w:noWrap/>
            <w:vAlign w:val="center"/>
            <w:hideMark/>
          </w:tcPr>
          <w:p w14:paraId="66A7E32A"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326" w:type="dxa"/>
            <w:tcBorders>
              <w:top w:val="nil"/>
              <w:left w:val="nil"/>
              <w:bottom w:val="single" w:sz="8" w:space="0" w:color="auto"/>
              <w:right w:val="single" w:sz="8" w:space="0" w:color="auto"/>
            </w:tcBorders>
            <w:shd w:val="clear" w:color="auto" w:fill="auto"/>
            <w:noWrap/>
            <w:vAlign w:val="center"/>
            <w:hideMark/>
          </w:tcPr>
          <w:p w14:paraId="51C2A65C"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873" w:type="dxa"/>
            <w:tcBorders>
              <w:top w:val="nil"/>
              <w:left w:val="nil"/>
              <w:bottom w:val="single" w:sz="8" w:space="0" w:color="auto"/>
              <w:right w:val="single" w:sz="8" w:space="0" w:color="auto"/>
            </w:tcBorders>
            <w:shd w:val="clear" w:color="auto" w:fill="auto"/>
            <w:noWrap/>
            <w:vAlign w:val="center"/>
            <w:hideMark/>
          </w:tcPr>
          <w:p w14:paraId="33750B0A" w14:textId="3F6F27E9" w:rsidR="008D7C20" w:rsidRPr="00092ED7" w:rsidRDefault="00782BCA" w:rsidP="008D7C20">
            <w:pPr>
              <w:spacing w:after="0"/>
              <w:jc w:val="right"/>
              <w:rPr>
                <w:rFonts w:eastAsia="Times New Roman" w:cs="Times New Roman"/>
                <w:color w:val="000000"/>
                <w:sz w:val="20"/>
                <w:szCs w:val="20"/>
                <w:lang w:val="sr-Cyrl-CS"/>
              </w:rPr>
            </w:pPr>
            <w:r w:rsidRPr="00092ED7">
              <w:rPr>
                <w:rFonts w:cs="Times New Roman"/>
                <w:color w:val="000000"/>
                <w:sz w:val="20"/>
                <w:szCs w:val="20"/>
                <w:lang w:val="sr-Cyrl-CS"/>
              </w:rPr>
              <w:t>33.000.000</w:t>
            </w:r>
            <w:r w:rsidR="008D7C20" w:rsidRPr="00092ED7">
              <w:rPr>
                <w:rFonts w:eastAsia="Times New Roman" w:cs="Times New Roman"/>
                <w:color w:val="000000"/>
                <w:sz w:val="20"/>
                <w:szCs w:val="20"/>
                <w:lang w:val="sr-Cyrl-CS"/>
              </w:rPr>
              <w:t>,00</w:t>
            </w:r>
          </w:p>
        </w:tc>
      </w:tr>
      <w:tr w:rsidR="008D7C20" w:rsidRPr="00092ED7" w14:paraId="20B70FAA" w14:textId="77777777" w:rsidTr="008D7C20">
        <w:trPr>
          <w:trHeight w:val="330"/>
        </w:trPr>
        <w:tc>
          <w:tcPr>
            <w:tcW w:w="13948" w:type="dxa"/>
            <w:gridSpan w:val="9"/>
            <w:tcBorders>
              <w:top w:val="single" w:sz="8" w:space="0" w:color="auto"/>
              <w:left w:val="single" w:sz="8" w:space="0" w:color="auto"/>
              <w:bottom w:val="single" w:sz="8" w:space="0" w:color="auto"/>
              <w:right w:val="single" w:sz="8" w:space="0" w:color="auto"/>
            </w:tcBorders>
            <w:shd w:val="clear" w:color="000000" w:fill="D0CECE"/>
            <w:noWrap/>
            <w:vAlign w:val="center"/>
            <w:hideMark/>
          </w:tcPr>
          <w:p w14:paraId="115FBBDF" w14:textId="77777777" w:rsidR="008D7C20" w:rsidRPr="00092ED7" w:rsidRDefault="008D7C20" w:rsidP="008D7C20">
            <w:pPr>
              <w:spacing w:after="0"/>
              <w:jc w:val="left"/>
              <w:rPr>
                <w:rFonts w:eastAsia="Times New Roman" w:cs="Times New Roman"/>
                <w:b/>
                <w:bCs/>
                <w:color w:val="000000"/>
                <w:sz w:val="20"/>
                <w:szCs w:val="20"/>
                <w:lang w:val="sr-Cyrl-CS"/>
              </w:rPr>
            </w:pPr>
            <w:r w:rsidRPr="00092ED7">
              <w:rPr>
                <w:rFonts w:eastAsia="Times New Roman" w:cs="Times New Roman"/>
                <w:b/>
                <w:bCs/>
                <w:color w:val="000000"/>
                <w:sz w:val="20"/>
                <w:szCs w:val="20"/>
                <w:lang w:val="sr-Cyrl-CS"/>
              </w:rPr>
              <w:t>10. Развој енергетског тржишта уз изградњу електроенергетске инфраструктуре</w:t>
            </w:r>
          </w:p>
        </w:tc>
      </w:tr>
      <w:tr w:rsidR="00931CF1" w:rsidRPr="00092ED7" w14:paraId="578E8F48" w14:textId="77777777" w:rsidTr="00812992">
        <w:trPr>
          <w:trHeight w:val="645"/>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29E0A255" w14:textId="77777777" w:rsidR="008D7C20" w:rsidRPr="00092ED7" w:rsidRDefault="008D7C20" w:rsidP="008D7C20">
            <w:pPr>
              <w:spacing w:after="0"/>
              <w:jc w:val="center"/>
              <w:rPr>
                <w:rFonts w:eastAsia="Times New Roman" w:cs="Times New Roman"/>
                <w:b/>
                <w:bCs/>
                <w:sz w:val="20"/>
                <w:szCs w:val="20"/>
                <w:lang w:val="sr-Cyrl-CS"/>
              </w:rPr>
            </w:pPr>
            <w:r w:rsidRPr="00092ED7">
              <w:rPr>
                <w:rFonts w:eastAsia="Times New Roman" w:cs="Times New Roman"/>
                <w:b/>
                <w:bCs/>
                <w:sz w:val="20"/>
                <w:szCs w:val="20"/>
                <w:lang w:val="sr-Cyrl-CS"/>
              </w:rPr>
              <w:t>Година</w:t>
            </w:r>
          </w:p>
        </w:tc>
        <w:tc>
          <w:tcPr>
            <w:tcW w:w="1829" w:type="dxa"/>
            <w:tcBorders>
              <w:top w:val="nil"/>
              <w:left w:val="nil"/>
              <w:bottom w:val="single" w:sz="8" w:space="0" w:color="auto"/>
              <w:right w:val="single" w:sz="8" w:space="0" w:color="auto"/>
            </w:tcBorders>
            <w:shd w:val="clear" w:color="auto" w:fill="auto"/>
            <w:vAlign w:val="center"/>
            <w:hideMark/>
          </w:tcPr>
          <w:p w14:paraId="29C06BD9"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Буџет централног нивоа државе</w:t>
            </w:r>
          </w:p>
        </w:tc>
        <w:tc>
          <w:tcPr>
            <w:tcW w:w="1617" w:type="dxa"/>
            <w:tcBorders>
              <w:top w:val="nil"/>
              <w:left w:val="nil"/>
              <w:bottom w:val="single" w:sz="8" w:space="0" w:color="auto"/>
              <w:right w:val="single" w:sz="8" w:space="0" w:color="auto"/>
            </w:tcBorders>
            <w:shd w:val="clear" w:color="auto" w:fill="auto"/>
            <w:noWrap/>
            <w:vAlign w:val="center"/>
            <w:hideMark/>
          </w:tcPr>
          <w:p w14:paraId="55F63CEC"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Локални буџети</w:t>
            </w:r>
          </w:p>
        </w:tc>
        <w:tc>
          <w:tcPr>
            <w:tcW w:w="1617" w:type="dxa"/>
            <w:tcBorders>
              <w:top w:val="nil"/>
              <w:left w:val="nil"/>
              <w:bottom w:val="single" w:sz="8" w:space="0" w:color="auto"/>
              <w:right w:val="single" w:sz="8" w:space="0" w:color="auto"/>
            </w:tcBorders>
            <w:shd w:val="clear" w:color="auto" w:fill="auto"/>
            <w:vAlign w:val="center"/>
            <w:hideMark/>
          </w:tcPr>
          <w:p w14:paraId="628C0273"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Други домаћи извори јавних финансија</w:t>
            </w:r>
          </w:p>
        </w:tc>
        <w:tc>
          <w:tcPr>
            <w:tcW w:w="1527" w:type="dxa"/>
            <w:tcBorders>
              <w:top w:val="nil"/>
              <w:left w:val="nil"/>
              <w:bottom w:val="single" w:sz="8" w:space="0" w:color="auto"/>
              <w:right w:val="single" w:sz="8" w:space="0" w:color="auto"/>
            </w:tcBorders>
            <w:shd w:val="clear" w:color="auto" w:fill="auto"/>
            <w:noWrap/>
            <w:vAlign w:val="center"/>
            <w:hideMark/>
          </w:tcPr>
          <w:p w14:paraId="3046D204"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ИПА фондови</w:t>
            </w:r>
          </w:p>
        </w:tc>
        <w:tc>
          <w:tcPr>
            <w:tcW w:w="1434" w:type="dxa"/>
            <w:tcBorders>
              <w:top w:val="nil"/>
              <w:left w:val="nil"/>
              <w:bottom w:val="single" w:sz="8" w:space="0" w:color="auto"/>
              <w:right w:val="single" w:sz="8" w:space="0" w:color="auto"/>
            </w:tcBorders>
            <w:shd w:val="clear" w:color="auto" w:fill="auto"/>
            <w:noWrap/>
            <w:vAlign w:val="center"/>
            <w:hideMark/>
          </w:tcPr>
          <w:p w14:paraId="27F3ADEF"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Друга бесповратна средства</w:t>
            </w:r>
          </w:p>
        </w:tc>
        <w:tc>
          <w:tcPr>
            <w:tcW w:w="1466" w:type="dxa"/>
            <w:tcBorders>
              <w:top w:val="nil"/>
              <w:left w:val="nil"/>
              <w:bottom w:val="single" w:sz="8" w:space="0" w:color="auto"/>
              <w:right w:val="single" w:sz="8" w:space="0" w:color="auto"/>
            </w:tcBorders>
            <w:shd w:val="clear" w:color="auto" w:fill="auto"/>
            <w:noWrap/>
            <w:vAlign w:val="center"/>
            <w:hideMark/>
          </w:tcPr>
          <w:p w14:paraId="4A64726E"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Пројектни кредити</w:t>
            </w:r>
          </w:p>
        </w:tc>
        <w:tc>
          <w:tcPr>
            <w:tcW w:w="1326" w:type="dxa"/>
            <w:tcBorders>
              <w:top w:val="nil"/>
              <w:left w:val="nil"/>
              <w:bottom w:val="single" w:sz="8" w:space="0" w:color="auto"/>
              <w:right w:val="single" w:sz="8" w:space="0" w:color="auto"/>
            </w:tcBorders>
            <w:shd w:val="clear" w:color="auto" w:fill="auto"/>
            <w:noWrap/>
            <w:vAlign w:val="center"/>
            <w:hideMark/>
          </w:tcPr>
          <w:p w14:paraId="0A86C02E"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Тек треба да се утврди</w:t>
            </w:r>
          </w:p>
        </w:tc>
        <w:tc>
          <w:tcPr>
            <w:tcW w:w="1873" w:type="dxa"/>
            <w:tcBorders>
              <w:top w:val="nil"/>
              <w:left w:val="nil"/>
              <w:bottom w:val="single" w:sz="8" w:space="0" w:color="auto"/>
              <w:right w:val="single" w:sz="8" w:space="0" w:color="auto"/>
            </w:tcBorders>
            <w:shd w:val="clear" w:color="auto" w:fill="auto"/>
            <w:noWrap/>
            <w:vAlign w:val="center"/>
            <w:hideMark/>
          </w:tcPr>
          <w:p w14:paraId="6E874C7F"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Укупно</w:t>
            </w:r>
          </w:p>
        </w:tc>
      </w:tr>
      <w:tr w:rsidR="00931CF1" w:rsidRPr="00092ED7" w14:paraId="31262DBF" w14:textId="77777777" w:rsidTr="00812992">
        <w:trPr>
          <w:trHeight w:val="330"/>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131BB3C5"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2023</w:t>
            </w:r>
          </w:p>
        </w:tc>
        <w:tc>
          <w:tcPr>
            <w:tcW w:w="1829" w:type="dxa"/>
            <w:tcBorders>
              <w:top w:val="nil"/>
              <w:left w:val="nil"/>
              <w:bottom w:val="single" w:sz="8" w:space="0" w:color="auto"/>
              <w:right w:val="single" w:sz="8" w:space="0" w:color="auto"/>
            </w:tcBorders>
            <w:shd w:val="clear" w:color="auto" w:fill="auto"/>
            <w:noWrap/>
            <w:vAlign w:val="center"/>
            <w:hideMark/>
          </w:tcPr>
          <w:p w14:paraId="28CC54A6"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41D8341B"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1E53B472"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298.739,00</w:t>
            </w:r>
          </w:p>
        </w:tc>
        <w:tc>
          <w:tcPr>
            <w:tcW w:w="1527" w:type="dxa"/>
            <w:tcBorders>
              <w:top w:val="nil"/>
              <w:left w:val="nil"/>
              <w:bottom w:val="single" w:sz="8" w:space="0" w:color="auto"/>
              <w:right w:val="single" w:sz="8" w:space="0" w:color="auto"/>
            </w:tcBorders>
            <w:shd w:val="clear" w:color="auto" w:fill="auto"/>
            <w:noWrap/>
            <w:vAlign w:val="center"/>
            <w:hideMark/>
          </w:tcPr>
          <w:p w14:paraId="0C3E3B94"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34" w:type="dxa"/>
            <w:tcBorders>
              <w:top w:val="nil"/>
              <w:left w:val="nil"/>
              <w:bottom w:val="single" w:sz="8" w:space="0" w:color="auto"/>
              <w:right w:val="single" w:sz="8" w:space="0" w:color="auto"/>
            </w:tcBorders>
            <w:shd w:val="clear" w:color="auto" w:fill="auto"/>
            <w:noWrap/>
            <w:vAlign w:val="center"/>
            <w:hideMark/>
          </w:tcPr>
          <w:p w14:paraId="4A805F27"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66" w:type="dxa"/>
            <w:tcBorders>
              <w:top w:val="nil"/>
              <w:left w:val="nil"/>
              <w:bottom w:val="single" w:sz="8" w:space="0" w:color="auto"/>
              <w:right w:val="single" w:sz="8" w:space="0" w:color="auto"/>
            </w:tcBorders>
            <w:shd w:val="clear" w:color="auto" w:fill="auto"/>
            <w:noWrap/>
            <w:vAlign w:val="center"/>
            <w:hideMark/>
          </w:tcPr>
          <w:p w14:paraId="39CF3276"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326" w:type="dxa"/>
            <w:tcBorders>
              <w:top w:val="nil"/>
              <w:left w:val="nil"/>
              <w:bottom w:val="single" w:sz="8" w:space="0" w:color="auto"/>
              <w:right w:val="single" w:sz="8" w:space="0" w:color="auto"/>
            </w:tcBorders>
            <w:shd w:val="clear" w:color="auto" w:fill="auto"/>
            <w:noWrap/>
            <w:vAlign w:val="center"/>
            <w:hideMark/>
          </w:tcPr>
          <w:p w14:paraId="5CCFA3CB"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873" w:type="dxa"/>
            <w:tcBorders>
              <w:top w:val="nil"/>
              <w:left w:val="nil"/>
              <w:bottom w:val="single" w:sz="8" w:space="0" w:color="auto"/>
              <w:right w:val="single" w:sz="8" w:space="0" w:color="auto"/>
            </w:tcBorders>
            <w:shd w:val="clear" w:color="auto" w:fill="auto"/>
            <w:noWrap/>
            <w:vAlign w:val="center"/>
            <w:hideMark/>
          </w:tcPr>
          <w:p w14:paraId="24CB952A"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298.739,00</w:t>
            </w:r>
          </w:p>
        </w:tc>
      </w:tr>
      <w:tr w:rsidR="00931CF1" w:rsidRPr="00092ED7" w14:paraId="5702CA27" w14:textId="77777777" w:rsidTr="00812992">
        <w:trPr>
          <w:trHeight w:val="330"/>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20B5C8C9"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2024</w:t>
            </w:r>
          </w:p>
        </w:tc>
        <w:tc>
          <w:tcPr>
            <w:tcW w:w="1829" w:type="dxa"/>
            <w:tcBorders>
              <w:top w:val="nil"/>
              <w:left w:val="nil"/>
              <w:bottom w:val="single" w:sz="8" w:space="0" w:color="auto"/>
              <w:right w:val="single" w:sz="8" w:space="0" w:color="auto"/>
            </w:tcBorders>
            <w:shd w:val="clear" w:color="auto" w:fill="auto"/>
            <w:noWrap/>
            <w:vAlign w:val="center"/>
            <w:hideMark/>
          </w:tcPr>
          <w:p w14:paraId="78E49D09"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75695030"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64362D42"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27" w:type="dxa"/>
            <w:tcBorders>
              <w:top w:val="nil"/>
              <w:left w:val="nil"/>
              <w:bottom w:val="single" w:sz="8" w:space="0" w:color="auto"/>
              <w:right w:val="single" w:sz="8" w:space="0" w:color="auto"/>
            </w:tcBorders>
            <w:shd w:val="clear" w:color="auto" w:fill="auto"/>
            <w:noWrap/>
            <w:vAlign w:val="center"/>
            <w:hideMark/>
          </w:tcPr>
          <w:p w14:paraId="0D732581"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34" w:type="dxa"/>
            <w:tcBorders>
              <w:top w:val="nil"/>
              <w:left w:val="nil"/>
              <w:bottom w:val="single" w:sz="8" w:space="0" w:color="auto"/>
              <w:right w:val="single" w:sz="8" w:space="0" w:color="auto"/>
            </w:tcBorders>
            <w:shd w:val="clear" w:color="auto" w:fill="auto"/>
            <w:noWrap/>
            <w:vAlign w:val="center"/>
            <w:hideMark/>
          </w:tcPr>
          <w:p w14:paraId="15728841"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7.511.704,00</w:t>
            </w:r>
          </w:p>
        </w:tc>
        <w:tc>
          <w:tcPr>
            <w:tcW w:w="1466" w:type="dxa"/>
            <w:tcBorders>
              <w:top w:val="nil"/>
              <w:left w:val="nil"/>
              <w:bottom w:val="single" w:sz="8" w:space="0" w:color="auto"/>
              <w:right w:val="single" w:sz="8" w:space="0" w:color="auto"/>
            </w:tcBorders>
            <w:shd w:val="clear" w:color="auto" w:fill="auto"/>
            <w:noWrap/>
            <w:vAlign w:val="center"/>
            <w:hideMark/>
          </w:tcPr>
          <w:p w14:paraId="65E1D68A"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23.698.886,00</w:t>
            </w:r>
          </w:p>
        </w:tc>
        <w:tc>
          <w:tcPr>
            <w:tcW w:w="1326" w:type="dxa"/>
            <w:tcBorders>
              <w:top w:val="nil"/>
              <w:left w:val="nil"/>
              <w:bottom w:val="single" w:sz="8" w:space="0" w:color="auto"/>
              <w:right w:val="single" w:sz="8" w:space="0" w:color="auto"/>
            </w:tcBorders>
            <w:shd w:val="clear" w:color="auto" w:fill="auto"/>
            <w:noWrap/>
            <w:vAlign w:val="center"/>
            <w:hideMark/>
          </w:tcPr>
          <w:p w14:paraId="23F05D6D"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873" w:type="dxa"/>
            <w:tcBorders>
              <w:top w:val="nil"/>
              <w:left w:val="nil"/>
              <w:bottom w:val="single" w:sz="8" w:space="0" w:color="auto"/>
              <w:right w:val="single" w:sz="8" w:space="0" w:color="auto"/>
            </w:tcBorders>
            <w:shd w:val="clear" w:color="auto" w:fill="auto"/>
            <w:noWrap/>
            <w:vAlign w:val="center"/>
            <w:hideMark/>
          </w:tcPr>
          <w:p w14:paraId="573CEAA6"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31.210.590,00</w:t>
            </w:r>
          </w:p>
        </w:tc>
      </w:tr>
      <w:tr w:rsidR="00931CF1" w:rsidRPr="00092ED7" w14:paraId="70D39928" w14:textId="77777777" w:rsidTr="00812992">
        <w:trPr>
          <w:trHeight w:val="330"/>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211230EE"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2025</w:t>
            </w:r>
          </w:p>
        </w:tc>
        <w:tc>
          <w:tcPr>
            <w:tcW w:w="1829" w:type="dxa"/>
            <w:tcBorders>
              <w:top w:val="nil"/>
              <w:left w:val="nil"/>
              <w:bottom w:val="single" w:sz="8" w:space="0" w:color="auto"/>
              <w:right w:val="single" w:sz="8" w:space="0" w:color="auto"/>
            </w:tcBorders>
            <w:shd w:val="clear" w:color="auto" w:fill="auto"/>
            <w:noWrap/>
            <w:vAlign w:val="center"/>
            <w:hideMark/>
          </w:tcPr>
          <w:p w14:paraId="51EBF07A"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6375663D"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29E01DE9"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336.134,00</w:t>
            </w:r>
          </w:p>
        </w:tc>
        <w:tc>
          <w:tcPr>
            <w:tcW w:w="1527" w:type="dxa"/>
            <w:tcBorders>
              <w:top w:val="nil"/>
              <w:left w:val="nil"/>
              <w:bottom w:val="single" w:sz="8" w:space="0" w:color="auto"/>
              <w:right w:val="single" w:sz="8" w:space="0" w:color="auto"/>
            </w:tcBorders>
            <w:shd w:val="clear" w:color="auto" w:fill="auto"/>
            <w:noWrap/>
            <w:vAlign w:val="center"/>
            <w:hideMark/>
          </w:tcPr>
          <w:p w14:paraId="15E82EC4"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34" w:type="dxa"/>
            <w:tcBorders>
              <w:top w:val="nil"/>
              <w:left w:val="nil"/>
              <w:bottom w:val="single" w:sz="8" w:space="0" w:color="auto"/>
              <w:right w:val="single" w:sz="8" w:space="0" w:color="auto"/>
            </w:tcBorders>
            <w:shd w:val="clear" w:color="auto" w:fill="auto"/>
            <w:noWrap/>
            <w:vAlign w:val="center"/>
            <w:hideMark/>
          </w:tcPr>
          <w:p w14:paraId="0756D4BF"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10.399.705,00</w:t>
            </w:r>
          </w:p>
        </w:tc>
        <w:tc>
          <w:tcPr>
            <w:tcW w:w="1466" w:type="dxa"/>
            <w:tcBorders>
              <w:top w:val="nil"/>
              <w:left w:val="nil"/>
              <w:bottom w:val="single" w:sz="8" w:space="0" w:color="auto"/>
              <w:right w:val="single" w:sz="8" w:space="0" w:color="auto"/>
            </w:tcBorders>
            <w:shd w:val="clear" w:color="auto" w:fill="auto"/>
            <w:noWrap/>
            <w:vAlign w:val="center"/>
            <w:hideMark/>
          </w:tcPr>
          <w:p w14:paraId="292C5810"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36.158.891,00</w:t>
            </w:r>
          </w:p>
        </w:tc>
        <w:tc>
          <w:tcPr>
            <w:tcW w:w="1326" w:type="dxa"/>
            <w:tcBorders>
              <w:top w:val="nil"/>
              <w:left w:val="nil"/>
              <w:bottom w:val="single" w:sz="8" w:space="0" w:color="auto"/>
              <w:right w:val="single" w:sz="8" w:space="0" w:color="auto"/>
            </w:tcBorders>
            <w:shd w:val="clear" w:color="auto" w:fill="auto"/>
            <w:noWrap/>
            <w:vAlign w:val="center"/>
            <w:hideMark/>
          </w:tcPr>
          <w:p w14:paraId="253B2BE4"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873" w:type="dxa"/>
            <w:tcBorders>
              <w:top w:val="nil"/>
              <w:left w:val="nil"/>
              <w:bottom w:val="single" w:sz="8" w:space="0" w:color="auto"/>
              <w:right w:val="single" w:sz="8" w:space="0" w:color="auto"/>
            </w:tcBorders>
            <w:shd w:val="clear" w:color="auto" w:fill="auto"/>
            <w:noWrap/>
            <w:vAlign w:val="center"/>
            <w:hideMark/>
          </w:tcPr>
          <w:p w14:paraId="6A0F87A4"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46.894.730,00</w:t>
            </w:r>
          </w:p>
        </w:tc>
      </w:tr>
      <w:tr w:rsidR="008D7C20" w:rsidRPr="00092ED7" w14:paraId="38CCDA2E" w14:textId="77777777" w:rsidTr="008D7C20">
        <w:trPr>
          <w:trHeight w:val="330"/>
        </w:trPr>
        <w:tc>
          <w:tcPr>
            <w:tcW w:w="13948" w:type="dxa"/>
            <w:gridSpan w:val="9"/>
            <w:tcBorders>
              <w:top w:val="single" w:sz="8" w:space="0" w:color="auto"/>
              <w:left w:val="single" w:sz="8" w:space="0" w:color="auto"/>
              <w:bottom w:val="single" w:sz="8" w:space="0" w:color="auto"/>
              <w:right w:val="single" w:sz="8" w:space="0" w:color="auto"/>
            </w:tcBorders>
            <w:shd w:val="clear" w:color="000000" w:fill="D0CECE"/>
            <w:noWrap/>
            <w:vAlign w:val="center"/>
            <w:hideMark/>
          </w:tcPr>
          <w:p w14:paraId="00A79A08" w14:textId="77777777" w:rsidR="008D7C20" w:rsidRPr="00092ED7" w:rsidRDefault="008D7C20" w:rsidP="008D7C20">
            <w:pPr>
              <w:spacing w:after="0"/>
              <w:jc w:val="left"/>
              <w:rPr>
                <w:rFonts w:eastAsia="Times New Roman" w:cs="Times New Roman"/>
                <w:b/>
                <w:bCs/>
                <w:color w:val="000000"/>
                <w:sz w:val="20"/>
                <w:szCs w:val="20"/>
                <w:lang w:val="sr-Cyrl-CS"/>
              </w:rPr>
            </w:pPr>
            <w:r w:rsidRPr="00092ED7">
              <w:rPr>
                <w:rFonts w:eastAsia="Times New Roman" w:cs="Times New Roman"/>
                <w:b/>
                <w:bCs/>
                <w:color w:val="000000"/>
                <w:sz w:val="20"/>
                <w:szCs w:val="20"/>
                <w:lang w:val="sr-Cyrl-CS"/>
              </w:rPr>
              <w:t xml:space="preserve">11. Трансформација Пореске управе </w:t>
            </w:r>
          </w:p>
        </w:tc>
      </w:tr>
      <w:tr w:rsidR="00931CF1" w:rsidRPr="00092ED7" w14:paraId="5E92C052" w14:textId="77777777" w:rsidTr="00812992">
        <w:trPr>
          <w:trHeight w:val="645"/>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25DAF62C"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b/>
                <w:bCs/>
                <w:sz w:val="20"/>
                <w:szCs w:val="20"/>
                <w:lang w:val="sr-Cyrl-CS"/>
              </w:rPr>
              <w:t>Година</w:t>
            </w:r>
          </w:p>
        </w:tc>
        <w:tc>
          <w:tcPr>
            <w:tcW w:w="1829" w:type="dxa"/>
            <w:tcBorders>
              <w:top w:val="nil"/>
              <w:left w:val="nil"/>
              <w:bottom w:val="single" w:sz="8" w:space="0" w:color="auto"/>
              <w:right w:val="single" w:sz="8" w:space="0" w:color="auto"/>
            </w:tcBorders>
            <w:shd w:val="clear" w:color="auto" w:fill="auto"/>
            <w:vAlign w:val="center"/>
            <w:hideMark/>
          </w:tcPr>
          <w:p w14:paraId="5C22C4A8"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Буџет централног нивоа државе</w:t>
            </w:r>
          </w:p>
        </w:tc>
        <w:tc>
          <w:tcPr>
            <w:tcW w:w="1617" w:type="dxa"/>
            <w:tcBorders>
              <w:top w:val="nil"/>
              <w:left w:val="nil"/>
              <w:bottom w:val="single" w:sz="8" w:space="0" w:color="auto"/>
              <w:right w:val="single" w:sz="8" w:space="0" w:color="auto"/>
            </w:tcBorders>
            <w:shd w:val="clear" w:color="auto" w:fill="auto"/>
            <w:noWrap/>
            <w:vAlign w:val="center"/>
            <w:hideMark/>
          </w:tcPr>
          <w:p w14:paraId="3CDF5698"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Локални буџети</w:t>
            </w:r>
          </w:p>
        </w:tc>
        <w:tc>
          <w:tcPr>
            <w:tcW w:w="1617" w:type="dxa"/>
            <w:tcBorders>
              <w:top w:val="nil"/>
              <w:left w:val="nil"/>
              <w:bottom w:val="single" w:sz="8" w:space="0" w:color="auto"/>
              <w:right w:val="single" w:sz="8" w:space="0" w:color="auto"/>
            </w:tcBorders>
            <w:shd w:val="clear" w:color="auto" w:fill="auto"/>
            <w:vAlign w:val="center"/>
            <w:hideMark/>
          </w:tcPr>
          <w:p w14:paraId="5F09DED5"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Други домаћи извори јавних финансија</w:t>
            </w:r>
          </w:p>
        </w:tc>
        <w:tc>
          <w:tcPr>
            <w:tcW w:w="1527" w:type="dxa"/>
            <w:tcBorders>
              <w:top w:val="nil"/>
              <w:left w:val="nil"/>
              <w:bottom w:val="single" w:sz="8" w:space="0" w:color="auto"/>
              <w:right w:val="single" w:sz="8" w:space="0" w:color="auto"/>
            </w:tcBorders>
            <w:shd w:val="clear" w:color="auto" w:fill="auto"/>
            <w:noWrap/>
            <w:vAlign w:val="center"/>
            <w:hideMark/>
          </w:tcPr>
          <w:p w14:paraId="18B67483"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ИПА фондови</w:t>
            </w:r>
          </w:p>
        </w:tc>
        <w:tc>
          <w:tcPr>
            <w:tcW w:w="1434" w:type="dxa"/>
            <w:tcBorders>
              <w:top w:val="nil"/>
              <w:left w:val="nil"/>
              <w:bottom w:val="single" w:sz="8" w:space="0" w:color="auto"/>
              <w:right w:val="single" w:sz="8" w:space="0" w:color="auto"/>
            </w:tcBorders>
            <w:shd w:val="clear" w:color="auto" w:fill="auto"/>
            <w:noWrap/>
            <w:vAlign w:val="center"/>
            <w:hideMark/>
          </w:tcPr>
          <w:p w14:paraId="2AA084FB"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Друга бесповратна средства</w:t>
            </w:r>
          </w:p>
        </w:tc>
        <w:tc>
          <w:tcPr>
            <w:tcW w:w="1466" w:type="dxa"/>
            <w:tcBorders>
              <w:top w:val="nil"/>
              <w:left w:val="nil"/>
              <w:bottom w:val="single" w:sz="8" w:space="0" w:color="auto"/>
              <w:right w:val="single" w:sz="8" w:space="0" w:color="auto"/>
            </w:tcBorders>
            <w:shd w:val="clear" w:color="auto" w:fill="auto"/>
            <w:noWrap/>
            <w:vAlign w:val="center"/>
            <w:hideMark/>
          </w:tcPr>
          <w:p w14:paraId="6B1A5E48"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Пројектни кредити</w:t>
            </w:r>
          </w:p>
        </w:tc>
        <w:tc>
          <w:tcPr>
            <w:tcW w:w="1326" w:type="dxa"/>
            <w:tcBorders>
              <w:top w:val="nil"/>
              <w:left w:val="nil"/>
              <w:bottom w:val="single" w:sz="8" w:space="0" w:color="auto"/>
              <w:right w:val="single" w:sz="8" w:space="0" w:color="auto"/>
            </w:tcBorders>
            <w:shd w:val="clear" w:color="auto" w:fill="auto"/>
            <w:noWrap/>
            <w:vAlign w:val="center"/>
            <w:hideMark/>
          </w:tcPr>
          <w:p w14:paraId="6D9FECD6"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Тек треба да се утврди</w:t>
            </w:r>
          </w:p>
        </w:tc>
        <w:tc>
          <w:tcPr>
            <w:tcW w:w="1873" w:type="dxa"/>
            <w:tcBorders>
              <w:top w:val="nil"/>
              <w:left w:val="nil"/>
              <w:bottom w:val="single" w:sz="8" w:space="0" w:color="auto"/>
              <w:right w:val="single" w:sz="8" w:space="0" w:color="auto"/>
            </w:tcBorders>
            <w:shd w:val="clear" w:color="auto" w:fill="auto"/>
            <w:noWrap/>
            <w:vAlign w:val="center"/>
            <w:hideMark/>
          </w:tcPr>
          <w:p w14:paraId="2B4DB12C"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Укупно</w:t>
            </w:r>
          </w:p>
        </w:tc>
      </w:tr>
      <w:tr w:rsidR="00931CF1" w:rsidRPr="00092ED7" w14:paraId="31855B1D" w14:textId="77777777" w:rsidTr="00812992">
        <w:trPr>
          <w:trHeight w:val="330"/>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3EE8F3BD"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2023</w:t>
            </w:r>
          </w:p>
        </w:tc>
        <w:tc>
          <w:tcPr>
            <w:tcW w:w="1829" w:type="dxa"/>
            <w:tcBorders>
              <w:top w:val="nil"/>
              <w:left w:val="nil"/>
              <w:bottom w:val="single" w:sz="8" w:space="0" w:color="auto"/>
              <w:right w:val="single" w:sz="8" w:space="0" w:color="auto"/>
            </w:tcBorders>
            <w:shd w:val="clear" w:color="auto" w:fill="auto"/>
            <w:noWrap/>
            <w:vAlign w:val="center"/>
            <w:hideMark/>
          </w:tcPr>
          <w:p w14:paraId="09DB6D5C"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41FF11C7"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7159D156"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27" w:type="dxa"/>
            <w:tcBorders>
              <w:top w:val="nil"/>
              <w:left w:val="nil"/>
              <w:bottom w:val="single" w:sz="8" w:space="0" w:color="auto"/>
              <w:right w:val="single" w:sz="8" w:space="0" w:color="auto"/>
            </w:tcBorders>
            <w:shd w:val="clear" w:color="auto" w:fill="auto"/>
            <w:noWrap/>
            <w:vAlign w:val="center"/>
            <w:hideMark/>
          </w:tcPr>
          <w:p w14:paraId="1DC0CC7A"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34" w:type="dxa"/>
            <w:tcBorders>
              <w:top w:val="nil"/>
              <w:left w:val="nil"/>
              <w:bottom w:val="single" w:sz="8" w:space="0" w:color="auto"/>
              <w:right w:val="single" w:sz="8" w:space="0" w:color="auto"/>
            </w:tcBorders>
            <w:shd w:val="clear" w:color="auto" w:fill="auto"/>
            <w:noWrap/>
            <w:vAlign w:val="center"/>
            <w:hideMark/>
          </w:tcPr>
          <w:p w14:paraId="08711E18"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66" w:type="dxa"/>
            <w:tcBorders>
              <w:top w:val="nil"/>
              <w:left w:val="nil"/>
              <w:bottom w:val="single" w:sz="8" w:space="0" w:color="auto"/>
              <w:right w:val="single" w:sz="8" w:space="0" w:color="auto"/>
            </w:tcBorders>
            <w:shd w:val="clear" w:color="auto" w:fill="auto"/>
            <w:noWrap/>
            <w:vAlign w:val="center"/>
            <w:hideMark/>
          </w:tcPr>
          <w:p w14:paraId="769C33EA" w14:textId="265AE0B9" w:rsidR="008D7C20" w:rsidRPr="00092ED7" w:rsidRDefault="0057551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8.383.367</w:t>
            </w:r>
            <w:r w:rsidR="008D7C20" w:rsidRPr="00092ED7">
              <w:rPr>
                <w:rFonts w:eastAsia="Times New Roman" w:cs="Times New Roman"/>
                <w:color w:val="000000"/>
                <w:sz w:val="20"/>
                <w:szCs w:val="20"/>
                <w:lang w:val="sr-Cyrl-CS"/>
              </w:rPr>
              <w:t>,00</w:t>
            </w:r>
          </w:p>
        </w:tc>
        <w:tc>
          <w:tcPr>
            <w:tcW w:w="1326" w:type="dxa"/>
            <w:tcBorders>
              <w:top w:val="nil"/>
              <w:left w:val="nil"/>
              <w:bottom w:val="single" w:sz="8" w:space="0" w:color="auto"/>
              <w:right w:val="single" w:sz="8" w:space="0" w:color="auto"/>
            </w:tcBorders>
            <w:shd w:val="clear" w:color="auto" w:fill="auto"/>
            <w:noWrap/>
            <w:vAlign w:val="center"/>
            <w:hideMark/>
          </w:tcPr>
          <w:p w14:paraId="618096DC"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873" w:type="dxa"/>
            <w:tcBorders>
              <w:top w:val="nil"/>
              <w:left w:val="nil"/>
              <w:bottom w:val="single" w:sz="8" w:space="0" w:color="auto"/>
              <w:right w:val="single" w:sz="8" w:space="0" w:color="auto"/>
            </w:tcBorders>
            <w:shd w:val="clear" w:color="auto" w:fill="auto"/>
            <w:noWrap/>
            <w:vAlign w:val="center"/>
            <w:hideMark/>
          </w:tcPr>
          <w:p w14:paraId="1D2863B2" w14:textId="076BF333" w:rsidR="008D7C20" w:rsidRPr="00092ED7" w:rsidRDefault="00115BE3"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8.383.367</w:t>
            </w:r>
            <w:r w:rsidR="008D7C20" w:rsidRPr="00092ED7">
              <w:rPr>
                <w:rFonts w:eastAsia="Times New Roman" w:cs="Times New Roman"/>
                <w:color w:val="000000"/>
                <w:sz w:val="20"/>
                <w:szCs w:val="20"/>
                <w:lang w:val="sr-Cyrl-CS"/>
              </w:rPr>
              <w:t>,00</w:t>
            </w:r>
          </w:p>
        </w:tc>
      </w:tr>
      <w:tr w:rsidR="00931CF1" w:rsidRPr="00092ED7" w14:paraId="5BAB0213" w14:textId="77777777" w:rsidTr="00812992">
        <w:trPr>
          <w:trHeight w:val="330"/>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64052AE5"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2024</w:t>
            </w:r>
          </w:p>
        </w:tc>
        <w:tc>
          <w:tcPr>
            <w:tcW w:w="1829" w:type="dxa"/>
            <w:tcBorders>
              <w:top w:val="nil"/>
              <w:left w:val="nil"/>
              <w:bottom w:val="single" w:sz="8" w:space="0" w:color="auto"/>
              <w:right w:val="single" w:sz="8" w:space="0" w:color="auto"/>
            </w:tcBorders>
            <w:shd w:val="clear" w:color="auto" w:fill="auto"/>
            <w:noWrap/>
            <w:vAlign w:val="center"/>
            <w:hideMark/>
          </w:tcPr>
          <w:p w14:paraId="354B7858"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2B54AA0D"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6A0C85A5"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27" w:type="dxa"/>
            <w:tcBorders>
              <w:top w:val="nil"/>
              <w:left w:val="nil"/>
              <w:bottom w:val="single" w:sz="8" w:space="0" w:color="auto"/>
              <w:right w:val="single" w:sz="8" w:space="0" w:color="auto"/>
            </w:tcBorders>
            <w:shd w:val="clear" w:color="auto" w:fill="auto"/>
            <w:noWrap/>
            <w:vAlign w:val="center"/>
            <w:hideMark/>
          </w:tcPr>
          <w:p w14:paraId="7D6FEB5F"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34" w:type="dxa"/>
            <w:tcBorders>
              <w:top w:val="nil"/>
              <w:left w:val="nil"/>
              <w:bottom w:val="single" w:sz="8" w:space="0" w:color="auto"/>
              <w:right w:val="single" w:sz="8" w:space="0" w:color="auto"/>
            </w:tcBorders>
            <w:shd w:val="clear" w:color="auto" w:fill="auto"/>
            <w:noWrap/>
            <w:vAlign w:val="center"/>
            <w:hideMark/>
          </w:tcPr>
          <w:p w14:paraId="49A592F2"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66" w:type="dxa"/>
            <w:tcBorders>
              <w:top w:val="nil"/>
              <w:left w:val="nil"/>
              <w:bottom w:val="single" w:sz="8" w:space="0" w:color="auto"/>
              <w:right w:val="single" w:sz="8" w:space="0" w:color="auto"/>
            </w:tcBorders>
            <w:shd w:val="clear" w:color="auto" w:fill="auto"/>
            <w:noWrap/>
            <w:vAlign w:val="center"/>
            <w:hideMark/>
          </w:tcPr>
          <w:p w14:paraId="70033C6E" w14:textId="535DA4C6" w:rsidR="008D7C20" w:rsidRPr="00092ED7" w:rsidRDefault="0057551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32.004.475</w:t>
            </w:r>
            <w:r w:rsidR="008D7C20" w:rsidRPr="00092ED7">
              <w:rPr>
                <w:rFonts w:eastAsia="Times New Roman" w:cs="Times New Roman"/>
                <w:color w:val="000000"/>
                <w:sz w:val="20"/>
                <w:szCs w:val="20"/>
                <w:lang w:val="sr-Cyrl-CS"/>
              </w:rPr>
              <w:t>,00</w:t>
            </w:r>
          </w:p>
        </w:tc>
        <w:tc>
          <w:tcPr>
            <w:tcW w:w="1326" w:type="dxa"/>
            <w:tcBorders>
              <w:top w:val="nil"/>
              <w:left w:val="nil"/>
              <w:bottom w:val="single" w:sz="8" w:space="0" w:color="auto"/>
              <w:right w:val="single" w:sz="8" w:space="0" w:color="auto"/>
            </w:tcBorders>
            <w:shd w:val="clear" w:color="auto" w:fill="auto"/>
            <w:noWrap/>
            <w:vAlign w:val="center"/>
            <w:hideMark/>
          </w:tcPr>
          <w:p w14:paraId="47324517"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873" w:type="dxa"/>
            <w:tcBorders>
              <w:top w:val="nil"/>
              <w:left w:val="nil"/>
              <w:bottom w:val="single" w:sz="8" w:space="0" w:color="auto"/>
              <w:right w:val="single" w:sz="8" w:space="0" w:color="auto"/>
            </w:tcBorders>
            <w:shd w:val="clear" w:color="auto" w:fill="auto"/>
            <w:noWrap/>
            <w:vAlign w:val="center"/>
            <w:hideMark/>
          </w:tcPr>
          <w:p w14:paraId="6E916A61" w14:textId="4A871114" w:rsidR="008D7C20" w:rsidRPr="00092ED7" w:rsidRDefault="00115BE3"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32.004.475</w:t>
            </w:r>
            <w:r w:rsidR="008D7C20" w:rsidRPr="00092ED7">
              <w:rPr>
                <w:rFonts w:eastAsia="Times New Roman" w:cs="Times New Roman"/>
                <w:color w:val="000000"/>
                <w:sz w:val="20"/>
                <w:szCs w:val="20"/>
                <w:lang w:val="sr-Cyrl-CS"/>
              </w:rPr>
              <w:t>,00</w:t>
            </w:r>
          </w:p>
        </w:tc>
      </w:tr>
      <w:tr w:rsidR="00931CF1" w:rsidRPr="00092ED7" w14:paraId="2F3088D9" w14:textId="77777777" w:rsidTr="00812992">
        <w:trPr>
          <w:trHeight w:val="330"/>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4A7B700A"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2025</w:t>
            </w:r>
          </w:p>
        </w:tc>
        <w:tc>
          <w:tcPr>
            <w:tcW w:w="1829" w:type="dxa"/>
            <w:tcBorders>
              <w:top w:val="nil"/>
              <w:left w:val="nil"/>
              <w:bottom w:val="single" w:sz="8" w:space="0" w:color="auto"/>
              <w:right w:val="single" w:sz="8" w:space="0" w:color="auto"/>
            </w:tcBorders>
            <w:shd w:val="clear" w:color="auto" w:fill="auto"/>
            <w:noWrap/>
            <w:vAlign w:val="center"/>
            <w:hideMark/>
          </w:tcPr>
          <w:p w14:paraId="7C860100"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3BE1673E"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5142944F"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27" w:type="dxa"/>
            <w:tcBorders>
              <w:top w:val="nil"/>
              <w:left w:val="nil"/>
              <w:bottom w:val="single" w:sz="8" w:space="0" w:color="auto"/>
              <w:right w:val="single" w:sz="8" w:space="0" w:color="auto"/>
            </w:tcBorders>
            <w:shd w:val="clear" w:color="auto" w:fill="auto"/>
            <w:noWrap/>
            <w:vAlign w:val="center"/>
            <w:hideMark/>
          </w:tcPr>
          <w:p w14:paraId="02406BED"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34" w:type="dxa"/>
            <w:tcBorders>
              <w:top w:val="nil"/>
              <w:left w:val="nil"/>
              <w:bottom w:val="single" w:sz="8" w:space="0" w:color="auto"/>
              <w:right w:val="single" w:sz="8" w:space="0" w:color="auto"/>
            </w:tcBorders>
            <w:shd w:val="clear" w:color="auto" w:fill="auto"/>
            <w:noWrap/>
            <w:vAlign w:val="center"/>
            <w:hideMark/>
          </w:tcPr>
          <w:p w14:paraId="7C7912AC"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66" w:type="dxa"/>
            <w:tcBorders>
              <w:top w:val="nil"/>
              <w:left w:val="nil"/>
              <w:bottom w:val="single" w:sz="8" w:space="0" w:color="auto"/>
              <w:right w:val="single" w:sz="8" w:space="0" w:color="auto"/>
            </w:tcBorders>
            <w:shd w:val="clear" w:color="auto" w:fill="auto"/>
            <w:noWrap/>
            <w:vAlign w:val="center"/>
            <w:hideMark/>
          </w:tcPr>
          <w:p w14:paraId="4BCE5DCD"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326" w:type="dxa"/>
            <w:tcBorders>
              <w:top w:val="nil"/>
              <w:left w:val="nil"/>
              <w:bottom w:val="single" w:sz="8" w:space="0" w:color="auto"/>
              <w:right w:val="single" w:sz="8" w:space="0" w:color="auto"/>
            </w:tcBorders>
            <w:shd w:val="clear" w:color="auto" w:fill="auto"/>
            <w:noWrap/>
            <w:vAlign w:val="center"/>
            <w:hideMark/>
          </w:tcPr>
          <w:p w14:paraId="46F1620E"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873" w:type="dxa"/>
            <w:tcBorders>
              <w:top w:val="nil"/>
              <w:left w:val="nil"/>
              <w:bottom w:val="single" w:sz="8" w:space="0" w:color="auto"/>
              <w:right w:val="single" w:sz="8" w:space="0" w:color="auto"/>
            </w:tcBorders>
            <w:shd w:val="clear" w:color="auto" w:fill="auto"/>
            <w:noWrap/>
            <w:vAlign w:val="center"/>
            <w:hideMark/>
          </w:tcPr>
          <w:p w14:paraId="354B9219"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r>
      <w:tr w:rsidR="008D7C20" w:rsidRPr="00092ED7" w14:paraId="0DA8C239" w14:textId="77777777" w:rsidTr="008D7C20">
        <w:trPr>
          <w:trHeight w:val="330"/>
        </w:trPr>
        <w:tc>
          <w:tcPr>
            <w:tcW w:w="13948" w:type="dxa"/>
            <w:gridSpan w:val="9"/>
            <w:tcBorders>
              <w:top w:val="single" w:sz="8" w:space="0" w:color="auto"/>
              <w:left w:val="single" w:sz="8" w:space="0" w:color="auto"/>
              <w:bottom w:val="single" w:sz="8" w:space="0" w:color="auto"/>
              <w:right w:val="single" w:sz="8" w:space="0" w:color="auto"/>
            </w:tcBorders>
            <w:shd w:val="clear" w:color="000000" w:fill="BFBFBF"/>
            <w:noWrap/>
            <w:vAlign w:val="center"/>
            <w:hideMark/>
          </w:tcPr>
          <w:p w14:paraId="73FEB669" w14:textId="77777777" w:rsidR="008D7C20" w:rsidRPr="00092ED7" w:rsidRDefault="008D7C20" w:rsidP="008D7C20">
            <w:pPr>
              <w:spacing w:after="0"/>
              <w:jc w:val="left"/>
              <w:rPr>
                <w:rFonts w:eastAsia="Times New Roman" w:cs="Times New Roman"/>
                <w:b/>
                <w:bCs/>
                <w:sz w:val="20"/>
                <w:szCs w:val="20"/>
                <w:lang w:val="sr-Cyrl-CS"/>
              </w:rPr>
            </w:pPr>
            <w:r w:rsidRPr="00092ED7">
              <w:rPr>
                <w:rFonts w:eastAsia="Times New Roman" w:cs="Times New Roman"/>
                <w:b/>
                <w:bCs/>
                <w:sz w:val="20"/>
                <w:szCs w:val="20"/>
                <w:lang w:val="sr-Cyrl-CS"/>
              </w:rPr>
              <w:t>12. Примена циркуларне економије у стварању повољног окружења за зелену транзицију</w:t>
            </w:r>
          </w:p>
        </w:tc>
      </w:tr>
      <w:tr w:rsidR="00931CF1" w:rsidRPr="00092ED7" w14:paraId="6EB012CC" w14:textId="77777777" w:rsidTr="00812992">
        <w:trPr>
          <w:trHeight w:val="645"/>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1E2FC3B9" w14:textId="77777777" w:rsidR="008D7C20" w:rsidRPr="00092ED7" w:rsidRDefault="008D7C20" w:rsidP="008D7C20">
            <w:pPr>
              <w:spacing w:after="0"/>
              <w:jc w:val="center"/>
              <w:rPr>
                <w:rFonts w:eastAsia="Times New Roman" w:cs="Times New Roman"/>
                <w:b/>
                <w:bCs/>
                <w:sz w:val="20"/>
                <w:szCs w:val="20"/>
                <w:lang w:val="sr-Cyrl-CS"/>
              </w:rPr>
            </w:pPr>
            <w:r w:rsidRPr="00092ED7">
              <w:rPr>
                <w:rFonts w:eastAsia="Times New Roman" w:cs="Times New Roman"/>
                <w:b/>
                <w:bCs/>
                <w:sz w:val="20"/>
                <w:szCs w:val="20"/>
                <w:lang w:val="sr-Cyrl-CS"/>
              </w:rPr>
              <w:t>Година</w:t>
            </w:r>
          </w:p>
        </w:tc>
        <w:tc>
          <w:tcPr>
            <w:tcW w:w="1829" w:type="dxa"/>
            <w:tcBorders>
              <w:top w:val="nil"/>
              <w:left w:val="nil"/>
              <w:bottom w:val="single" w:sz="8" w:space="0" w:color="auto"/>
              <w:right w:val="single" w:sz="8" w:space="0" w:color="auto"/>
            </w:tcBorders>
            <w:shd w:val="clear" w:color="auto" w:fill="auto"/>
            <w:vAlign w:val="center"/>
            <w:hideMark/>
          </w:tcPr>
          <w:p w14:paraId="297460D5"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Буџет централног нивоа државе</w:t>
            </w:r>
          </w:p>
        </w:tc>
        <w:tc>
          <w:tcPr>
            <w:tcW w:w="1617" w:type="dxa"/>
            <w:tcBorders>
              <w:top w:val="nil"/>
              <w:left w:val="nil"/>
              <w:bottom w:val="single" w:sz="8" w:space="0" w:color="auto"/>
              <w:right w:val="single" w:sz="8" w:space="0" w:color="auto"/>
            </w:tcBorders>
            <w:shd w:val="clear" w:color="auto" w:fill="auto"/>
            <w:noWrap/>
            <w:vAlign w:val="center"/>
            <w:hideMark/>
          </w:tcPr>
          <w:p w14:paraId="70B38FF0"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Локални буџети</w:t>
            </w:r>
          </w:p>
        </w:tc>
        <w:tc>
          <w:tcPr>
            <w:tcW w:w="1617" w:type="dxa"/>
            <w:tcBorders>
              <w:top w:val="nil"/>
              <w:left w:val="nil"/>
              <w:bottom w:val="single" w:sz="8" w:space="0" w:color="auto"/>
              <w:right w:val="single" w:sz="8" w:space="0" w:color="auto"/>
            </w:tcBorders>
            <w:shd w:val="clear" w:color="auto" w:fill="auto"/>
            <w:vAlign w:val="center"/>
            <w:hideMark/>
          </w:tcPr>
          <w:p w14:paraId="33A5CBBF"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Други домаћи извори јавних финансија</w:t>
            </w:r>
          </w:p>
        </w:tc>
        <w:tc>
          <w:tcPr>
            <w:tcW w:w="1527" w:type="dxa"/>
            <w:tcBorders>
              <w:top w:val="nil"/>
              <w:left w:val="nil"/>
              <w:bottom w:val="single" w:sz="8" w:space="0" w:color="auto"/>
              <w:right w:val="single" w:sz="8" w:space="0" w:color="auto"/>
            </w:tcBorders>
            <w:shd w:val="clear" w:color="auto" w:fill="auto"/>
            <w:noWrap/>
            <w:vAlign w:val="center"/>
            <w:hideMark/>
          </w:tcPr>
          <w:p w14:paraId="7A86250A"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ИПА фондови</w:t>
            </w:r>
          </w:p>
        </w:tc>
        <w:tc>
          <w:tcPr>
            <w:tcW w:w="1434" w:type="dxa"/>
            <w:tcBorders>
              <w:top w:val="nil"/>
              <w:left w:val="nil"/>
              <w:bottom w:val="single" w:sz="8" w:space="0" w:color="auto"/>
              <w:right w:val="single" w:sz="8" w:space="0" w:color="auto"/>
            </w:tcBorders>
            <w:shd w:val="clear" w:color="auto" w:fill="auto"/>
            <w:noWrap/>
            <w:vAlign w:val="center"/>
            <w:hideMark/>
          </w:tcPr>
          <w:p w14:paraId="0747FBDA"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Друга бесповратна средства</w:t>
            </w:r>
          </w:p>
        </w:tc>
        <w:tc>
          <w:tcPr>
            <w:tcW w:w="1466" w:type="dxa"/>
            <w:tcBorders>
              <w:top w:val="nil"/>
              <w:left w:val="nil"/>
              <w:bottom w:val="single" w:sz="8" w:space="0" w:color="auto"/>
              <w:right w:val="single" w:sz="8" w:space="0" w:color="auto"/>
            </w:tcBorders>
            <w:shd w:val="clear" w:color="auto" w:fill="auto"/>
            <w:vAlign w:val="center"/>
            <w:hideMark/>
          </w:tcPr>
          <w:p w14:paraId="6F95A08D"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Пројектни кредити</w:t>
            </w:r>
          </w:p>
        </w:tc>
        <w:tc>
          <w:tcPr>
            <w:tcW w:w="1326" w:type="dxa"/>
            <w:tcBorders>
              <w:top w:val="nil"/>
              <w:left w:val="nil"/>
              <w:bottom w:val="single" w:sz="8" w:space="0" w:color="auto"/>
              <w:right w:val="single" w:sz="8" w:space="0" w:color="auto"/>
            </w:tcBorders>
            <w:shd w:val="clear" w:color="auto" w:fill="auto"/>
            <w:vAlign w:val="center"/>
            <w:hideMark/>
          </w:tcPr>
          <w:p w14:paraId="5A3D3091"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Тек треба да се утврди</w:t>
            </w:r>
          </w:p>
        </w:tc>
        <w:tc>
          <w:tcPr>
            <w:tcW w:w="1873" w:type="dxa"/>
            <w:tcBorders>
              <w:top w:val="nil"/>
              <w:left w:val="nil"/>
              <w:bottom w:val="single" w:sz="8" w:space="0" w:color="auto"/>
              <w:right w:val="single" w:sz="8" w:space="0" w:color="auto"/>
            </w:tcBorders>
            <w:shd w:val="clear" w:color="auto" w:fill="auto"/>
            <w:noWrap/>
            <w:vAlign w:val="center"/>
            <w:hideMark/>
          </w:tcPr>
          <w:p w14:paraId="787D0184"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Укупно</w:t>
            </w:r>
          </w:p>
        </w:tc>
      </w:tr>
      <w:tr w:rsidR="00931CF1" w:rsidRPr="00092ED7" w14:paraId="4B8854C7" w14:textId="77777777" w:rsidTr="00812992">
        <w:trPr>
          <w:trHeight w:val="330"/>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73CE0109"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2023</w:t>
            </w:r>
          </w:p>
        </w:tc>
        <w:tc>
          <w:tcPr>
            <w:tcW w:w="1829" w:type="dxa"/>
            <w:tcBorders>
              <w:top w:val="nil"/>
              <w:left w:val="nil"/>
              <w:bottom w:val="single" w:sz="8" w:space="0" w:color="auto"/>
              <w:right w:val="single" w:sz="8" w:space="0" w:color="auto"/>
            </w:tcBorders>
            <w:shd w:val="clear" w:color="auto" w:fill="auto"/>
            <w:noWrap/>
            <w:vAlign w:val="center"/>
            <w:hideMark/>
          </w:tcPr>
          <w:p w14:paraId="410AA9E2"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5124276E"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7309891D"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27" w:type="dxa"/>
            <w:tcBorders>
              <w:top w:val="nil"/>
              <w:left w:val="nil"/>
              <w:bottom w:val="single" w:sz="8" w:space="0" w:color="auto"/>
              <w:right w:val="single" w:sz="8" w:space="0" w:color="auto"/>
            </w:tcBorders>
            <w:shd w:val="clear" w:color="auto" w:fill="auto"/>
            <w:noWrap/>
            <w:vAlign w:val="center"/>
            <w:hideMark/>
          </w:tcPr>
          <w:p w14:paraId="4FDE1BCA"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34" w:type="dxa"/>
            <w:tcBorders>
              <w:top w:val="nil"/>
              <w:left w:val="nil"/>
              <w:bottom w:val="single" w:sz="8" w:space="0" w:color="auto"/>
              <w:right w:val="single" w:sz="8" w:space="0" w:color="auto"/>
            </w:tcBorders>
            <w:shd w:val="clear" w:color="auto" w:fill="auto"/>
            <w:noWrap/>
            <w:vAlign w:val="center"/>
            <w:hideMark/>
          </w:tcPr>
          <w:p w14:paraId="16DCF0C6"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193.866,30</w:t>
            </w:r>
          </w:p>
        </w:tc>
        <w:tc>
          <w:tcPr>
            <w:tcW w:w="1466" w:type="dxa"/>
            <w:tcBorders>
              <w:top w:val="nil"/>
              <w:left w:val="nil"/>
              <w:bottom w:val="single" w:sz="8" w:space="0" w:color="auto"/>
              <w:right w:val="single" w:sz="8" w:space="0" w:color="auto"/>
            </w:tcBorders>
            <w:shd w:val="clear" w:color="auto" w:fill="auto"/>
            <w:noWrap/>
            <w:vAlign w:val="center"/>
            <w:hideMark/>
          </w:tcPr>
          <w:p w14:paraId="350D8DFC"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326" w:type="dxa"/>
            <w:tcBorders>
              <w:top w:val="nil"/>
              <w:left w:val="nil"/>
              <w:bottom w:val="single" w:sz="8" w:space="0" w:color="auto"/>
              <w:right w:val="single" w:sz="8" w:space="0" w:color="auto"/>
            </w:tcBorders>
            <w:shd w:val="clear" w:color="auto" w:fill="auto"/>
            <w:noWrap/>
            <w:vAlign w:val="center"/>
            <w:hideMark/>
          </w:tcPr>
          <w:p w14:paraId="640CBCE9"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873" w:type="dxa"/>
            <w:tcBorders>
              <w:top w:val="nil"/>
              <w:left w:val="nil"/>
              <w:bottom w:val="single" w:sz="8" w:space="0" w:color="auto"/>
              <w:right w:val="single" w:sz="8" w:space="0" w:color="auto"/>
            </w:tcBorders>
            <w:shd w:val="clear" w:color="auto" w:fill="auto"/>
            <w:noWrap/>
            <w:vAlign w:val="center"/>
            <w:hideMark/>
          </w:tcPr>
          <w:p w14:paraId="57B8119B"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193.866,30</w:t>
            </w:r>
          </w:p>
        </w:tc>
      </w:tr>
      <w:tr w:rsidR="00931CF1" w:rsidRPr="00092ED7" w14:paraId="1AA3AD58" w14:textId="77777777" w:rsidTr="00812992">
        <w:trPr>
          <w:trHeight w:val="330"/>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48293E98"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2024</w:t>
            </w:r>
          </w:p>
        </w:tc>
        <w:tc>
          <w:tcPr>
            <w:tcW w:w="1829" w:type="dxa"/>
            <w:tcBorders>
              <w:top w:val="nil"/>
              <w:left w:val="nil"/>
              <w:bottom w:val="single" w:sz="8" w:space="0" w:color="auto"/>
              <w:right w:val="single" w:sz="8" w:space="0" w:color="auto"/>
            </w:tcBorders>
            <w:shd w:val="clear" w:color="auto" w:fill="auto"/>
            <w:noWrap/>
            <w:vAlign w:val="center"/>
            <w:hideMark/>
          </w:tcPr>
          <w:p w14:paraId="71532110"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1D284678"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2D24338D"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27" w:type="dxa"/>
            <w:tcBorders>
              <w:top w:val="nil"/>
              <w:left w:val="nil"/>
              <w:bottom w:val="single" w:sz="8" w:space="0" w:color="auto"/>
              <w:right w:val="single" w:sz="8" w:space="0" w:color="auto"/>
            </w:tcBorders>
            <w:shd w:val="clear" w:color="auto" w:fill="auto"/>
            <w:noWrap/>
            <w:vAlign w:val="center"/>
            <w:hideMark/>
          </w:tcPr>
          <w:p w14:paraId="60DA6669"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34" w:type="dxa"/>
            <w:tcBorders>
              <w:top w:val="nil"/>
              <w:left w:val="nil"/>
              <w:bottom w:val="single" w:sz="8" w:space="0" w:color="auto"/>
              <w:right w:val="single" w:sz="8" w:space="0" w:color="auto"/>
            </w:tcBorders>
            <w:shd w:val="clear" w:color="auto" w:fill="auto"/>
            <w:noWrap/>
            <w:vAlign w:val="center"/>
            <w:hideMark/>
          </w:tcPr>
          <w:p w14:paraId="3597C135"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64.341,00</w:t>
            </w:r>
          </w:p>
        </w:tc>
        <w:tc>
          <w:tcPr>
            <w:tcW w:w="1466" w:type="dxa"/>
            <w:tcBorders>
              <w:top w:val="nil"/>
              <w:left w:val="nil"/>
              <w:bottom w:val="single" w:sz="8" w:space="0" w:color="auto"/>
              <w:right w:val="single" w:sz="8" w:space="0" w:color="auto"/>
            </w:tcBorders>
            <w:shd w:val="clear" w:color="auto" w:fill="auto"/>
            <w:noWrap/>
            <w:vAlign w:val="center"/>
            <w:hideMark/>
          </w:tcPr>
          <w:p w14:paraId="19DBD9C9"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326" w:type="dxa"/>
            <w:tcBorders>
              <w:top w:val="nil"/>
              <w:left w:val="nil"/>
              <w:bottom w:val="single" w:sz="8" w:space="0" w:color="auto"/>
              <w:right w:val="single" w:sz="8" w:space="0" w:color="auto"/>
            </w:tcBorders>
            <w:shd w:val="clear" w:color="auto" w:fill="auto"/>
            <w:noWrap/>
            <w:vAlign w:val="center"/>
            <w:hideMark/>
          </w:tcPr>
          <w:p w14:paraId="223EAB18"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873" w:type="dxa"/>
            <w:tcBorders>
              <w:top w:val="nil"/>
              <w:left w:val="nil"/>
              <w:bottom w:val="single" w:sz="8" w:space="0" w:color="auto"/>
              <w:right w:val="single" w:sz="8" w:space="0" w:color="auto"/>
            </w:tcBorders>
            <w:shd w:val="clear" w:color="auto" w:fill="auto"/>
            <w:noWrap/>
            <w:vAlign w:val="center"/>
            <w:hideMark/>
          </w:tcPr>
          <w:p w14:paraId="59367E9A"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64.341,00</w:t>
            </w:r>
          </w:p>
        </w:tc>
      </w:tr>
      <w:tr w:rsidR="00931CF1" w:rsidRPr="00092ED7" w14:paraId="73FA651E" w14:textId="77777777" w:rsidTr="00812992">
        <w:trPr>
          <w:trHeight w:val="330"/>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143DC2D1"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2025</w:t>
            </w:r>
          </w:p>
        </w:tc>
        <w:tc>
          <w:tcPr>
            <w:tcW w:w="1829" w:type="dxa"/>
            <w:tcBorders>
              <w:top w:val="nil"/>
              <w:left w:val="nil"/>
              <w:bottom w:val="single" w:sz="8" w:space="0" w:color="auto"/>
              <w:right w:val="single" w:sz="8" w:space="0" w:color="auto"/>
            </w:tcBorders>
            <w:shd w:val="clear" w:color="auto" w:fill="auto"/>
            <w:noWrap/>
            <w:vAlign w:val="center"/>
            <w:hideMark/>
          </w:tcPr>
          <w:p w14:paraId="20678818"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3EDCD517"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38E79B10"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27" w:type="dxa"/>
            <w:tcBorders>
              <w:top w:val="nil"/>
              <w:left w:val="nil"/>
              <w:bottom w:val="single" w:sz="8" w:space="0" w:color="auto"/>
              <w:right w:val="single" w:sz="8" w:space="0" w:color="auto"/>
            </w:tcBorders>
            <w:shd w:val="clear" w:color="auto" w:fill="auto"/>
            <w:noWrap/>
            <w:vAlign w:val="center"/>
            <w:hideMark/>
          </w:tcPr>
          <w:p w14:paraId="28348822"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34" w:type="dxa"/>
            <w:tcBorders>
              <w:top w:val="nil"/>
              <w:left w:val="nil"/>
              <w:bottom w:val="single" w:sz="8" w:space="0" w:color="auto"/>
              <w:right w:val="single" w:sz="8" w:space="0" w:color="auto"/>
            </w:tcBorders>
            <w:shd w:val="clear" w:color="auto" w:fill="auto"/>
            <w:noWrap/>
            <w:vAlign w:val="center"/>
            <w:hideMark/>
          </w:tcPr>
          <w:p w14:paraId="02575998"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66" w:type="dxa"/>
            <w:tcBorders>
              <w:top w:val="nil"/>
              <w:left w:val="nil"/>
              <w:bottom w:val="single" w:sz="8" w:space="0" w:color="auto"/>
              <w:right w:val="single" w:sz="8" w:space="0" w:color="auto"/>
            </w:tcBorders>
            <w:shd w:val="clear" w:color="auto" w:fill="auto"/>
            <w:noWrap/>
            <w:vAlign w:val="center"/>
            <w:hideMark/>
          </w:tcPr>
          <w:p w14:paraId="6C14DC81"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326" w:type="dxa"/>
            <w:tcBorders>
              <w:top w:val="nil"/>
              <w:left w:val="nil"/>
              <w:bottom w:val="single" w:sz="8" w:space="0" w:color="auto"/>
              <w:right w:val="single" w:sz="8" w:space="0" w:color="auto"/>
            </w:tcBorders>
            <w:shd w:val="clear" w:color="auto" w:fill="auto"/>
            <w:noWrap/>
            <w:vAlign w:val="center"/>
            <w:hideMark/>
          </w:tcPr>
          <w:p w14:paraId="775C3B38"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873" w:type="dxa"/>
            <w:tcBorders>
              <w:top w:val="nil"/>
              <w:left w:val="nil"/>
              <w:bottom w:val="single" w:sz="8" w:space="0" w:color="auto"/>
              <w:right w:val="single" w:sz="8" w:space="0" w:color="auto"/>
            </w:tcBorders>
            <w:shd w:val="clear" w:color="auto" w:fill="auto"/>
            <w:noWrap/>
            <w:vAlign w:val="center"/>
            <w:hideMark/>
          </w:tcPr>
          <w:p w14:paraId="2858DBF1"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r>
      <w:tr w:rsidR="008D7C20" w:rsidRPr="00092ED7" w14:paraId="513C3E16" w14:textId="77777777" w:rsidTr="008D7C20">
        <w:trPr>
          <w:trHeight w:val="330"/>
        </w:trPr>
        <w:tc>
          <w:tcPr>
            <w:tcW w:w="13948" w:type="dxa"/>
            <w:gridSpan w:val="9"/>
            <w:tcBorders>
              <w:top w:val="single" w:sz="8" w:space="0" w:color="auto"/>
              <w:left w:val="single" w:sz="8" w:space="0" w:color="auto"/>
              <w:bottom w:val="single" w:sz="4" w:space="0" w:color="auto"/>
              <w:right w:val="single" w:sz="8" w:space="0" w:color="auto"/>
            </w:tcBorders>
            <w:shd w:val="clear" w:color="000000" w:fill="D0CECE"/>
            <w:noWrap/>
            <w:vAlign w:val="center"/>
            <w:hideMark/>
          </w:tcPr>
          <w:p w14:paraId="6806356B" w14:textId="77777777" w:rsidR="008D7C20" w:rsidRPr="00092ED7" w:rsidRDefault="008D7C20" w:rsidP="008D7C20">
            <w:pPr>
              <w:spacing w:after="0"/>
              <w:jc w:val="left"/>
              <w:rPr>
                <w:rFonts w:eastAsia="Times New Roman" w:cs="Times New Roman"/>
                <w:b/>
                <w:bCs/>
                <w:color w:val="000000"/>
                <w:sz w:val="20"/>
                <w:szCs w:val="20"/>
                <w:lang w:val="sr-Cyrl-CS"/>
              </w:rPr>
            </w:pPr>
            <w:r w:rsidRPr="00092ED7">
              <w:rPr>
                <w:rFonts w:eastAsia="Times New Roman" w:cs="Times New Roman"/>
                <w:b/>
                <w:bCs/>
                <w:color w:val="000000"/>
                <w:sz w:val="20"/>
                <w:szCs w:val="20"/>
                <w:lang w:val="sr-Cyrl-CS"/>
              </w:rPr>
              <w:t>13. Развој и унапређење националне информационо-комуникационе инфраструктуре</w:t>
            </w:r>
          </w:p>
        </w:tc>
      </w:tr>
      <w:tr w:rsidR="00931CF1" w:rsidRPr="00092ED7" w14:paraId="78DE14A5" w14:textId="77777777" w:rsidTr="00812992">
        <w:trPr>
          <w:trHeight w:val="645"/>
        </w:trPr>
        <w:tc>
          <w:tcPr>
            <w:tcW w:w="125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26A145"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b/>
                <w:bCs/>
                <w:sz w:val="20"/>
                <w:szCs w:val="20"/>
                <w:lang w:val="sr-Cyrl-CS"/>
              </w:rPr>
              <w:lastRenderedPageBreak/>
              <w:t>Година</w:t>
            </w:r>
          </w:p>
        </w:tc>
        <w:tc>
          <w:tcPr>
            <w:tcW w:w="18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058E49"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Буџет централног нивоа државе</w:t>
            </w:r>
          </w:p>
        </w:tc>
        <w:tc>
          <w:tcPr>
            <w:tcW w:w="16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306587"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Локални буџети</w:t>
            </w:r>
          </w:p>
        </w:tc>
        <w:tc>
          <w:tcPr>
            <w:tcW w:w="16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B3D22C"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Други домаћи извори јавних финансија</w:t>
            </w: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92AB90"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ИПА фондови</w:t>
            </w:r>
          </w:p>
        </w:tc>
        <w:tc>
          <w:tcPr>
            <w:tcW w:w="14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CC9B63"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Друга бесповратна средства</w:t>
            </w:r>
          </w:p>
        </w:tc>
        <w:tc>
          <w:tcPr>
            <w:tcW w:w="14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720A45"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Пројeктни кредити</w:t>
            </w:r>
          </w:p>
        </w:tc>
        <w:tc>
          <w:tcPr>
            <w:tcW w:w="13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00C2B9"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Тек треба да се утврди</w:t>
            </w:r>
          </w:p>
        </w:tc>
        <w:tc>
          <w:tcPr>
            <w:tcW w:w="187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3AFBE3"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Укупно</w:t>
            </w:r>
          </w:p>
        </w:tc>
      </w:tr>
      <w:tr w:rsidR="00931CF1" w:rsidRPr="00092ED7" w14:paraId="2B5F896E" w14:textId="77777777" w:rsidTr="00812992">
        <w:trPr>
          <w:trHeight w:val="330"/>
        </w:trPr>
        <w:tc>
          <w:tcPr>
            <w:tcW w:w="1259" w:type="dxa"/>
            <w:tcBorders>
              <w:top w:val="single" w:sz="4" w:space="0" w:color="auto"/>
              <w:left w:val="single" w:sz="8" w:space="0" w:color="auto"/>
              <w:bottom w:val="single" w:sz="8" w:space="0" w:color="auto"/>
              <w:right w:val="single" w:sz="8" w:space="0" w:color="auto"/>
            </w:tcBorders>
            <w:shd w:val="clear" w:color="000000" w:fill="FFFFFF"/>
            <w:noWrap/>
            <w:vAlign w:val="center"/>
            <w:hideMark/>
          </w:tcPr>
          <w:p w14:paraId="7ACAEE55"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2023</w:t>
            </w:r>
          </w:p>
        </w:tc>
        <w:tc>
          <w:tcPr>
            <w:tcW w:w="1829" w:type="dxa"/>
            <w:tcBorders>
              <w:top w:val="single" w:sz="4" w:space="0" w:color="auto"/>
              <w:left w:val="nil"/>
              <w:bottom w:val="single" w:sz="8" w:space="0" w:color="auto"/>
              <w:right w:val="single" w:sz="8" w:space="0" w:color="auto"/>
            </w:tcBorders>
            <w:shd w:val="clear" w:color="auto" w:fill="auto"/>
            <w:noWrap/>
            <w:vAlign w:val="center"/>
            <w:hideMark/>
          </w:tcPr>
          <w:p w14:paraId="56261E66"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1.283.333,00</w:t>
            </w:r>
          </w:p>
        </w:tc>
        <w:tc>
          <w:tcPr>
            <w:tcW w:w="1617" w:type="dxa"/>
            <w:tcBorders>
              <w:top w:val="single" w:sz="4" w:space="0" w:color="auto"/>
              <w:left w:val="nil"/>
              <w:bottom w:val="single" w:sz="8" w:space="0" w:color="auto"/>
              <w:right w:val="single" w:sz="8" w:space="0" w:color="auto"/>
            </w:tcBorders>
            <w:shd w:val="clear" w:color="auto" w:fill="auto"/>
            <w:noWrap/>
            <w:vAlign w:val="center"/>
            <w:hideMark/>
          </w:tcPr>
          <w:p w14:paraId="0F692213"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single" w:sz="4" w:space="0" w:color="auto"/>
              <w:left w:val="nil"/>
              <w:bottom w:val="single" w:sz="8" w:space="0" w:color="auto"/>
              <w:right w:val="single" w:sz="8" w:space="0" w:color="auto"/>
            </w:tcBorders>
            <w:shd w:val="clear" w:color="auto" w:fill="auto"/>
            <w:noWrap/>
            <w:vAlign w:val="center"/>
            <w:hideMark/>
          </w:tcPr>
          <w:p w14:paraId="4F4CDF69"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27" w:type="dxa"/>
            <w:tcBorders>
              <w:top w:val="single" w:sz="4" w:space="0" w:color="auto"/>
              <w:left w:val="nil"/>
              <w:bottom w:val="single" w:sz="8" w:space="0" w:color="auto"/>
              <w:right w:val="single" w:sz="8" w:space="0" w:color="auto"/>
            </w:tcBorders>
            <w:shd w:val="clear" w:color="auto" w:fill="auto"/>
            <w:noWrap/>
            <w:vAlign w:val="center"/>
            <w:hideMark/>
          </w:tcPr>
          <w:p w14:paraId="532394F0"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34" w:type="dxa"/>
            <w:tcBorders>
              <w:top w:val="single" w:sz="4" w:space="0" w:color="auto"/>
              <w:left w:val="nil"/>
              <w:bottom w:val="single" w:sz="8" w:space="0" w:color="auto"/>
              <w:right w:val="single" w:sz="8" w:space="0" w:color="auto"/>
            </w:tcBorders>
            <w:shd w:val="clear" w:color="auto" w:fill="auto"/>
            <w:noWrap/>
            <w:vAlign w:val="center"/>
            <w:hideMark/>
          </w:tcPr>
          <w:p w14:paraId="17159435"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20.000.000,00</w:t>
            </w:r>
          </w:p>
        </w:tc>
        <w:tc>
          <w:tcPr>
            <w:tcW w:w="1466" w:type="dxa"/>
            <w:tcBorders>
              <w:top w:val="single" w:sz="4" w:space="0" w:color="auto"/>
              <w:left w:val="nil"/>
              <w:bottom w:val="single" w:sz="8" w:space="0" w:color="auto"/>
              <w:right w:val="single" w:sz="8" w:space="0" w:color="auto"/>
            </w:tcBorders>
            <w:shd w:val="clear" w:color="auto" w:fill="auto"/>
            <w:noWrap/>
            <w:vAlign w:val="center"/>
            <w:hideMark/>
          </w:tcPr>
          <w:p w14:paraId="31E360A3"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77.142.177,33</w:t>
            </w:r>
          </w:p>
        </w:tc>
        <w:tc>
          <w:tcPr>
            <w:tcW w:w="1326" w:type="dxa"/>
            <w:tcBorders>
              <w:top w:val="single" w:sz="4" w:space="0" w:color="auto"/>
              <w:left w:val="nil"/>
              <w:bottom w:val="single" w:sz="8" w:space="0" w:color="auto"/>
              <w:right w:val="single" w:sz="8" w:space="0" w:color="auto"/>
            </w:tcBorders>
            <w:shd w:val="clear" w:color="auto" w:fill="auto"/>
            <w:noWrap/>
            <w:vAlign w:val="center"/>
            <w:hideMark/>
          </w:tcPr>
          <w:p w14:paraId="7AFF2D92"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873" w:type="dxa"/>
            <w:tcBorders>
              <w:top w:val="single" w:sz="4" w:space="0" w:color="auto"/>
              <w:left w:val="nil"/>
              <w:bottom w:val="single" w:sz="8" w:space="0" w:color="auto"/>
              <w:right w:val="single" w:sz="8" w:space="0" w:color="auto"/>
            </w:tcBorders>
            <w:shd w:val="clear" w:color="auto" w:fill="auto"/>
            <w:noWrap/>
            <w:vAlign w:val="center"/>
            <w:hideMark/>
          </w:tcPr>
          <w:p w14:paraId="2A842A82"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98.425.510,33</w:t>
            </w:r>
          </w:p>
        </w:tc>
      </w:tr>
      <w:tr w:rsidR="00931CF1" w:rsidRPr="00092ED7" w14:paraId="5DD41CB1" w14:textId="77777777" w:rsidTr="00812992">
        <w:trPr>
          <w:trHeight w:val="330"/>
        </w:trPr>
        <w:tc>
          <w:tcPr>
            <w:tcW w:w="1259" w:type="dxa"/>
            <w:tcBorders>
              <w:top w:val="nil"/>
              <w:left w:val="single" w:sz="8" w:space="0" w:color="auto"/>
              <w:bottom w:val="single" w:sz="8" w:space="0" w:color="auto"/>
              <w:right w:val="single" w:sz="8" w:space="0" w:color="auto"/>
            </w:tcBorders>
            <w:shd w:val="clear" w:color="000000" w:fill="FFFFFF"/>
            <w:noWrap/>
            <w:vAlign w:val="center"/>
            <w:hideMark/>
          </w:tcPr>
          <w:p w14:paraId="0B281063"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2024</w:t>
            </w:r>
          </w:p>
        </w:tc>
        <w:tc>
          <w:tcPr>
            <w:tcW w:w="1829" w:type="dxa"/>
            <w:tcBorders>
              <w:top w:val="nil"/>
              <w:left w:val="nil"/>
              <w:bottom w:val="single" w:sz="8" w:space="0" w:color="auto"/>
              <w:right w:val="single" w:sz="8" w:space="0" w:color="auto"/>
            </w:tcBorders>
            <w:shd w:val="clear" w:color="auto" w:fill="auto"/>
            <w:noWrap/>
            <w:vAlign w:val="center"/>
            <w:hideMark/>
          </w:tcPr>
          <w:p w14:paraId="1B096E20"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1.925.000,00</w:t>
            </w:r>
          </w:p>
        </w:tc>
        <w:tc>
          <w:tcPr>
            <w:tcW w:w="1617" w:type="dxa"/>
            <w:tcBorders>
              <w:top w:val="nil"/>
              <w:left w:val="nil"/>
              <w:bottom w:val="single" w:sz="8" w:space="0" w:color="auto"/>
              <w:right w:val="single" w:sz="8" w:space="0" w:color="auto"/>
            </w:tcBorders>
            <w:shd w:val="clear" w:color="auto" w:fill="auto"/>
            <w:noWrap/>
            <w:vAlign w:val="center"/>
            <w:hideMark/>
          </w:tcPr>
          <w:p w14:paraId="53D27207"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4B6D5D6B"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27" w:type="dxa"/>
            <w:tcBorders>
              <w:top w:val="nil"/>
              <w:left w:val="nil"/>
              <w:bottom w:val="single" w:sz="8" w:space="0" w:color="auto"/>
              <w:right w:val="single" w:sz="8" w:space="0" w:color="auto"/>
            </w:tcBorders>
            <w:shd w:val="clear" w:color="auto" w:fill="auto"/>
            <w:noWrap/>
            <w:vAlign w:val="center"/>
            <w:hideMark/>
          </w:tcPr>
          <w:p w14:paraId="3DA5BAC5"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34" w:type="dxa"/>
            <w:tcBorders>
              <w:top w:val="nil"/>
              <w:left w:val="nil"/>
              <w:bottom w:val="single" w:sz="8" w:space="0" w:color="auto"/>
              <w:right w:val="single" w:sz="8" w:space="0" w:color="auto"/>
            </w:tcBorders>
            <w:shd w:val="clear" w:color="auto" w:fill="auto"/>
            <w:noWrap/>
            <w:vAlign w:val="center"/>
            <w:hideMark/>
          </w:tcPr>
          <w:p w14:paraId="19FAFCCC"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18.000.000,00</w:t>
            </w:r>
          </w:p>
        </w:tc>
        <w:tc>
          <w:tcPr>
            <w:tcW w:w="1466" w:type="dxa"/>
            <w:tcBorders>
              <w:top w:val="nil"/>
              <w:left w:val="nil"/>
              <w:bottom w:val="single" w:sz="8" w:space="0" w:color="auto"/>
              <w:right w:val="single" w:sz="8" w:space="0" w:color="auto"/>
            </w:tcBorders>
            <w:shd w:val="clear" w:color="auto" w:fill="auto"/>
            <w:noWrap/>
            <w:vAlign w:val="center"/>
            <w:hideMark/>
          </w:tcPr>
          <w:p w14:paraId="4CC0E0CC"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65.000.000,00</w:t>
            </w:r>
          </w:p>
        </w:tc>
        <w:tc>
          <w:tcPr>
            <w:tcW w:w="1326" w:type="dxa"/>
            <w:tcBorders>
              <w:top w:val="nil"/>
              <w:left w:val="nil"/>
              <w:bottom w:val="single" w:sz="8" w:space="0" w:color="auto"/>
              <w:right w:val="single" w:sz="8" w:space="0" w:color="auto"/>
            </w:tcBorders>
            <w:shd w:val="clear" w:color="auto" w:fill="auto"/>
            <w:noWrap/>
            <w:vAlign w:val="center"/>
            <w:hideMark/>
          </w:tcPr>
          <w:p w14:paraId="1E7CBEEA"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873" w:type="dxa"/>
            <w:tcBorders>
              <w:top w:val="nil"/>
              <w:left w:val="nil"/>
              <w:bottom w:val="single" w:sz="8" w:space="0" w:color="auto"/>
              <w:right w:val="single" w:sz="8" w:space="0" w:color="auto"/>
            </w:tcBorders>
            <w:shd w:val="clear" w:color="auto" w:fill="auto"/>
            <w:noWrap/>
            <w:vAlign w:val="center"/>
            <w:hideMark/>
          </w:tcPr>
          <w:p w14:paraId="32B4D174"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84.925.000,00</w:t>
            </w:r>
          </w:p>
        </w:tc>
      </w:tr>
      <w:tr w:rsidR="00931CF1" w:rsidRPr="00092ED7" w14:paraId="6DF30484" w14:textId="77777777" w:rsidTr="00812992">
        <w:trPr>
          <w:trHeight w:val="330"/>
        </w:trPr>
        <w:tc>
          <w:tcPr>
            <w:tcW w:w="1259" w:type="dxa"/>
            <w:tcBorders>
              <w:top w:val="nil"/>
              <w:left w:val="single" w:sz="8" w:space="0" w:color="auto"/>
              <w:bottom w:val="single" w:sz="8" w:space="0" w:color="auto"/>
              <w:right w:val="single" w:sz="8" w:space="0" w:color="auto"/>
            </w:tcBorders>
            <w:shd w:val="clear" w:color="000000" w:fill="FFFFFF"/>
            <w:noWrap/>
            <w:vAlign w:val="center"/>
            <w:hideMark/>
          </w:tcPr>
          <w:p w14:paraId="2D5D8C11"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2025</w:t>
            </w:r>
          </w:p>
        </w:tc>
        <w:tc>
          <w:tcPr>
            <w:tcW w:w="1829" w:type="dxa"/>
            <w:tcBorders>
              <w:top w:val="nil"/>
              <w:left w:val="nil"/>
              <w:bottom w:val="single" w:sz="8" w:space="0" w:color="auto"/>
              <w:right w:val="single" w:sz="8" w:space="0" w:color="auto"/>
            </w:tcBorders>
            <w:shd w:val="clear" w:color="auto" w:fill="auto"/>
            <w:noWrap/>
            <w:vAlign w:val="center"/>
            <w:hideMark/>
          </w:tcPr>
          <w:p w14:paraId="78D332E0"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1.925.000,00</w:t>
            </w:r>
          </w:p>
        </w:tc>
        <w:tc>
          <w:tcPr>
            <w:tcW w:w="1617" w:type="dxa"/>
            <w:tcBorders>
              <w:top w:val="nil"/>
              <w:left w:val="nil"/>
              <w:bottom w:val="single" w:sz="8" w:space="0" w:color="auto"/>
              <w:right w:val="single" w:sz="8" w:space="0" w:color="auto"/>
            </w:tcBorders>
            <w:shd w:val="clear" w:color="auto" w:fill="auto"/>
            <w:noWrap/>
            <w:vAlign w:val="center"/>
            <w:hideMark/>
          </w:tcPr>
          <w:p w14:paraId="5953BF3F"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7CDCC819"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27" w:type="dxa"/>
            <w:tcBorders>
              <w:top w:val="nil"/>
              <w:left w:val="nil"/>
              <w:bottom w:val="single" w:sz="8" w:space="0" w:color="auto"/>
              <w:right w:val="single" w:sz="8" w:space="0" w:color="auto"/>
            </w:tcBorders>
            <w:shd w:val="clear" w:color="auto" w:fill="auto"/>
            <w:noWrap/>
            <w:vAlign w:val="center"/>
            <w:hideMark/>
          </w:tcPr>
          <w:p w14:paraId="3CF55CB8"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34" w:type="dxa"/>
            <w:tcBorders>
              <w:top w:val="nil"/>
              <w:left w:val="nil"/>
              <w:bottom w:val="single" w:sz="8" w:space="0" w:color="auto"/>
              <w:right w:val="single" w:sz="8" w:space="0" w:color="auto"/>
            </w:tcBorders>
            <w:shd w:val="clear" w:color="auto" w:fill="auto"/>
            <w:noWrap/>
            <w:vAlign w:val="center"/>
            <w:hideMark/>
          </w:tcPr>
          <w:p w14:paraId="2BF2DF94"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5.000.000,00</w:t>
            </w:r>
          </w:p>
        </w:tc>
        <w:tc>
          <w:tcPr>
            <w:tcW w:w="1466" w:type="dxa"/>
            <w:tcBorders>
              <w:top w:val="nil"/>
              <w:left w:val="nil"/>
              <w:bottom w:val="single" w:sz="8" w:space="0" w:color="auto"/>
              <w:right w:val="single" w:sz="8" w:space="0" w:color="auto"/>
            </w:tcBorders>
            <w:shd w:val="clear" w:color="auto" w:fill="auto"/>
            <w:noWrap/>
            <w:vAlign w:val="center"/>
            <w:hideMark/>
          </w:tcPr>
          <w:p w14:paraId="1F77F75A"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30.000.000,00</w:t>
            </w:r>
          </w:p>
        </w:tc>
        <w:tc>
          <w:tcPr>
            <w:tcW w:w="1326" w:type="dxa"/>
            <w:tcBorders>
              <w:top w:val="nil"/>
              <w:left w:val="nil"/>
              <w:bottom w:val="single" w:sz="8" w:space="0" w:color="auto"/>
              <w:right w:val="single" w:sz="8" w:space="0" w:color="auto"/>
            </w:tcBorders>
            <w:shd w:val="clear" w:color="auto" w:fill="auto"/>
            <w:noWrap/>
            <w:vAlign w:val="center"/>
            <w:hideMark/>
          </w:tcPr>
          <w:p w14:paraId="5858EF37"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873" w:type="dxa"/>
            <w:tcBorders>
              <w:top w:val="nil"/>
              <w:left w:val="nil"/>
              <w:bottom w:val="single" w:sz="8" w:space="0" w:color="auto"/>
              <w:right w:val="single" w:sz="8" w:space="0" w:color="auto"/>
            </w:tcBorders>
            <w:shd w:val="clear" w:color="auto" w:fill="auto"/>
            <w:noWrap/>
            <w:vAlign w:val="center"/>
            <w:hideMark/>
          </w:tcPr>
          <w:p w14:paraId="66DE01AC"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36.925.000,00</w:t>
            </w:r>
          </w:p>
        </w:tc>
      </w:tr>
      <w:tr w:rsidR="008D7C20" w:rsidRPr="00092ED7" w14:paraId="08F86FB3" w14:textId="77777777" w:rsidTr="008D7C20">
        <w:trPr>
          <w:trHeight w:val="330"/>
        </w:trPr>
        <w:tc>
          <w:tcPr>
            <w:tcW w:w="13948" w:type="dxa"/>
            <w:gridSpan w:val="9"/>
            <w:tcBorders>
              <w:top w:val="single" w:sz="8" w:space="0" w:color="auto"/>
              <w:left w:val="single" w:sz="8" w:space="0" w:color="auto"/>
              <w:bottom w:val="single" w:sz="8" w:space="0" w:color="auto"/>
              <w:right w:val="single" w:sz="8" w:space="0" w:color="auto"/>
            </w:tcBorders>
            <w:shd w:val="clear" w:color="000000" w:fill="D0CECE"/>
            <w:noWrap/>
            <w:vAlign w:val="center"/>
            <w:hideMark/>
          </w:tcPr>
          <w:p w14:paraId="1F011E69" w14:textId="77777777" w:rsidR="008D7C20" w:rsidRPr="00092ED7" w:rsidRDefault="008D7C20" w:rsidP="008D7C20">
            <w:pPr>
              <w:spacing w:after="0"/>
              <w:jc w:val="left"/>
              <w:rPr>
                <w:rFonts w:eastAsia="Times New Roman" w:cs="Times New Roman"/>
                <w:b/>
                <w:bCs/>
                <w:color w:val="000000"/>
                <w:sz w:val="20"/>
                <w:szCs w:val="20"/>
                <w:lang w:val="sr-Cyrl-CS"/>
              </w:rPr>
            </w:pPr>
            <w:r w:rsidRPr="00092ED7">
              <w:rPr>
                <w:rFonts w:eastAsia="Times New Roman" w:cs="Times New Roman"/>
                <w:b/>
                <w:bCs/>
                <w:color w:val="000000"/>
                <w:sz w:val="20"/>
                <w:szCs w:val="20"/>
                <w:lang w:val="sr-Cyrl-CS"/>
              </w:rPr>
              <w:t>14. Успостављање инфраструктуре и окружења за креирање и примену иновативних ИТ решења</w:t>
            </w:r>
          </w:p>
        </w:tc>
      </w:tr>
      <w:tr w:rsidR="00931CF1" w:rsidRPr="00092ED7" w14:paraId="0CF95431" w14:textId="77777777" w:rsidTr="00812992">
        <w:trPr>
          <w:trHeight w:val="645"/>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3DE1D96E"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b/>
                <w:bCs/>
                <w:sz w:val="20"/>
                <w:szCs w:val="20"/>
                <w:lang w:val="sr-Cyrl-CS"/>
              </w:rPr>
              <w:t>Година</w:t>
            </w:r>
          </w:p>
        </w:tc>
        <w:tc>
          <w:tcPr>
            <w:tcW w:w="1829" w:type="dxa"/>
            <w:tcBorders>
              <w:top w:val="nil"/>
              <w:left w:val="nil"/>
              <w:bottom w:val="single" w:sz="8" w:space="0" w:color="auto"/>
              <w:right w:val="single" w:sz="8" w:space="0" w:color="auto"/>
            </w:tcBorders>
            <w:shd w:val="clear" w:color="auto" w:fill="auto"/>
            <w:vAlign w:val="center"/>
            <w:hideMark/>
          </w:tcPr>
          <w:p w14:paraId="1C5F1BAB"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Буџет централног нивоа државе</w:t>
            </w:r>
          </w:p>
        </w:tc>
        <w:tc>
          <w:tcPr>
            <w:tcW w:w="1617" w:type="dxa"/>
            <w:tcBorders>
              <w:top w:val="nil"/>
              <w:left w:val="nil"/>
              <w:bottom w:val="single" w:sz="8" w:space="0" w:color="auto"/>
              <w:right w:val="single" w:sz="8" w:space="0" w:color="auto"/>
            </w:tcBorders>
            <w:shd w:val="clear" w:color="auto" w:fill="auto"/>
            <w:noWrap/>
            <w:vAlign w:val="center"/>
            <w:hideMark/>
          </w:tcPr>
          <w:p w14:paraId="07B52646"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Локални буџети</w:t>
            </w:r>
          </w:p>
        </w:tc>
        <w:tc>
          <w:tcPr>
            <w:tcW w:w="1617" w:type="dxa"/>
            <w:tcBorders>
              <w:top w:val="nil"/>
              <w:left w:val="nil"/>
              <w:bottom w:val="single" w:sz="8" w:space="0" w:color="auto"/>
              <w:right w:val="single" w:sz="8" w:space="0" w:color="auto"/>
            </w:tcBorders>
            <w:shd w:val="clear" w:color="auto" w:fill="auto"/>
            <w:vAlign w:val="center"/>
            <w:hideMark/>
          </w:tcPr>
          <w:p w14:paraId="4B89F2EB"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Други домаћи извори јавних финансија</w:t>
            </w:r>
          </w:p>
        </w:tc>
        <w:tc>
          <w:tcPr>
            <w:tcW w:w="1527" w:type="dxa"/>
            <w:tcBorders>
              <w:top w:val="nil"/>
              <w:left w:val="nil"/>
              <w:bottom w:val="single" w:sz="8" w:space="0" w:color="auto"/>
              <w:right w:val="single" w:sz="8" w:space="0" w:color="auto"/>
            </w:tcBorders>
            <w:shd w:val="clear" w:color="auto" w:fill="auto"/>
            <w:noWrap/>
            <w:vAlign w:val="center"/>
            <w:hideMark/>
          </w:tcPr>
          <w:p w14:paraId="0638F0A6"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ИПА фондови</w:t>
            </w:r>
          </w:p>
        </w:tc>
        <w:tc>
          <w:tcPr>
            <w:tcW w:w="1434" w:type="dxa"/>
            <w:tcBorders>
              <w:top w:val="nil"/>
              <w:left w:val="nil"/>
              <w:bottom w:val="single" w:sz="8" w:space="0" w:color="auto"/>
              <w:right w:val="single" w:sz="8" w:space="0" w:color="auto"/>
            </w:tcBorders>
            <w:shd w:val="clear" w:color="auto" w:fill="auto"/>
            <w:noWrap/>
            <w:vAlign w:val="center"/>
            <w:hideMark/>
          </w:tcPr>
          <w:p w14:paraId="5174CA86"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Друга бесповратна средства</w:t>
            </w:r>
          </w:p>
        </w:tc>
        <w:tc>
          <w:tcPr>
            <w:tcW w:w="1466" w:type="dxa"/>
            <w:tcBorders>
              <w:top w:val="nil"/>
              <w:left w:val="nil"/>
              <w:bottom w:val="single" w:sz="8" w:space="0" w:color="auto"/>
              <w:right w:val="single" w:sz="8" w:space="0" w:color="auto"/>
            </w:tcBorders>
            <w:shd w:val="clear" w:color="auto" w:fill="auto"/>
            <w:noWrap/>
            <w:vAlign w:val="center"/>
            <w:hideMark/>
          </w:tcPr>
          <w:p w14:paraId="088A55B1"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Пројектни кредити</w:t>
            </w:r>
          </w:p>
        </w:tc>
        <w:tc>
          <w:tcPr>
            <w:tcW w:w="1326" w:type="dxa"/>
            <w:tcBorders>
              <w:top w:val="nil"/>
              <w:left w:val="nil"/>
              <w:bottom w:val="single" w:sz="8" w:space="0" w:color="auto"/>
              <w:right w:val="single" w:sz="8" w:space="0" w:color="auto"/>
            </w:tcBorders>
            <w:shd w:val="clear" w:color="auto" w:fill="auto"/>
            <w:noWrap/>
            <w:vAlign w:val="center"/>
            <w:hideMark/>
          </w:tcPr>
          <w:p w14:paraId="3E062711"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Тек треба да се утврди</w:t>
            </w:r>
          </w:p>
        </w:tc>
        <w:tc>
          <w:tcPr>
            <w:tcW w:w="1873" w:type="dxa"/>
            <w:tcBorders>
              <w:top w:val="nil"/>
              <w:left w:val="nil"/>
              <w:bottom w:val="single" w:sz="8" w:space="0" w:color="auto"/>
              <w:right w:val="single" w:sz="8" w:space="0" w:color="auto"/>
            </w:tcBorders>
            <w:shd w:val="clear" w:color="auto" w:fill="auto"/>
            <w:noWrap/>
            <w:vAlign w:val="center"/>
            <w:hideMark/>
          </w:tcPr>
          <w:p w14:paraId="0D1580C2"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Укупно</w:t>
            </w:r>
          </w:p>
        </w:tc>
      </w:tr>
      <w:tr w:rsidR="00931CF1" w:rsidRPr="00092ED7" w14:paraId="5943A715" w14:textId="77777777" w:rsidTr="00812992">
        <w:trPr>
          <w:trHeight w:val="330"/>
        </w:trPr>
        <w:tc>
          <w:tcPr>
            <w:tcW w:w="1259" w:type="dxa"/>
            <w:tcBorders>
              <w:top w:val="nil"/>
              <w:left w:val="single" w:sz="8" w:space="0" w:color="auto"/>
              <w:bottom w:val="single" w:sz="4" w:space="0" w:color="auto"/>
              <w:right w:val="single" w:sz="8" w:space="0" w:color="auto"/>
            </w:tcBorders>
            <w:shd w:val="clear" w:color="auto" w:fill="auto"/>
            <w:noWrap/>
            <w:vAlign w:val="center"/>
            <w:hideMark/>
          </w:tcPr>
          <w:p w14:paraId="541F9ABD"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2023</w:t>
            </w:r>
          </w:p>
        </w:tc>
        <w:tc>
          <w:tcPr>
            <w:tcW w:w="1829" w:type="dxa"/>
            <w:tcBorders>
              <w:top w:val="nil"/>
              <w:left w:val="nil"/>
              <w:bottom w:val="single" w:sz="4" w:space="0" w:color="auto"/>
              <w:right w:val="single" w:sz="8" w:space="0" w:color="auto"/>
            </w:tcBorders>
            <w:shd w:val="clear" w:color="auto" w:fill="auto"/>
            <w:noWrap/>
            <w:vAlign w:val="center"/>
            <w:hideMark/>
          </w:tcPr>
          <w:p w14:paraId="5B8034AD"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7.583.333,33</w:t>
            </w:r>
          </w:p>
        </w:tc>
        <w:tc>
          <w:tcPr>
            <w:tcW w:w="1617" w:type="dxa"/>
            <w:tcBorders>
              <w:top w:val="nil"/>
              <w:left w:val="nil"/>
              <w:bottom w:val="single" w:sz="4" w:space="0" w:color="auto"/>
              <w:right w:val="single" w:sz="8" w:space="0" w:color="auto"/>
            </w:tcBorders>
            <w:shd w:val="clear" w:color="auto" w:fill="auto"/>
            <w:noWrap/>
            <w:vAlign w:val="center"/>
            <w:hideMark/>
          </w:tcPr>
          <w:p w14:paraId="6071BFE4"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4" w:space="0" w:color="auto"/>
              <w:right w:val="single" w:sz="8" w:space="0" w:color="auto"/>
            </w:tcBorders>
            <w:shd w:val="clear" w:color="auto" w:fill="auto"/>
            <w:noWrap/>
            <w:vAlign w:val="center"/>
            <w:hideMark/>
          </w:tcPr>
          <w:p w14:paraId="06DB6F04"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27" w:type="dxa"/>
            <w:tcBorders>
              <w:top w:val="nil"/>
              <w:left w:val="nil"/>
              <w:bottom w:val="single" w:sz="4" w:space="0" w:color="auto"/>
              <w:right w:val="single" w:sz="8" w:space="0" w:color="auto"/>
            </w:tcBorders>
            <w:shd w:val="clear" w:color="auto" w:fill="auto"/>
            <w:noWrap/>
            <w:vAlign w:val="center"/>
            <w:hideMark/>
          </w:tcPr>
          <w:p w14:paraId="2B3E901F"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34" w:type="dxa"/>
            <w:tcBorders>
              <w:top w:val="nil"/>
              <w:left w:val="nil"/>
              <w:bottom w:val="single" w:sz="4" w:space="0" w:color="auto"/>
              <w:right w:val="single" w:sz="8" w:space="0" w:color="auto"/>
            </w:tcBorders>
            <w:shd w:val="clear" w:color="auto" w:fill="auto"/>
            <w:noWrap/>
            <w:vAlign w:val="center"/>
            <w:hideMark/>
          </w:tcPr>
          <w:p w14:paraId="1A2BBA6C"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66" w:type="dxa"/>
            <w:tcBorders>
              <w:top w:val="nil"/>
              <w:left w:val="nil"/>
              <w:bottom w:val="single" w:sz="4" w:space="0" w:color="auto"/>
              <w:right w:val="single" w:sz="8" w:space="0" w:color="auto"/>
            </w:tcBorders>
            <w:shd w:val="clear" w:color="auto" w:fill="auto"/>
            <w:noWrap/>
            <w:vAlign w:val="center"/>
            <w:hideMark/>
          </w:tcPr>
          <w:p w14:paraId="1A9B8DD0"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326" w:type="dxa"/>
            <w:tcBorders>
              <w:top w:val="nil"/>
              <w:left w:val="nil"/>
              <w:bottom w:val="single" w:sz="4" w:space="0" w:color="auto"/>
              <w:right w:val="single" w:sz="8" w:space="0" w:color="auto"/>
            </w:tcBorders>
            <w:shd w:val="clear" w:color="auto" w:fill="auto"/>
            <w:noWrap/>
            <w:vAlign w:val="center"/>
            <w:hideMark/>
          </w:tcPr>
          <w:p w14:paraId="5C9C3077"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873" w:type="dxa"/>
            <w:tcBorders>
              <w:top w:val="nil"/>
              <w:left w:val="nil"/>
              <w:bottom w:val="single" w:sz="4" w:space="0" w:color="auto"/>
              <w:right w:val="single" w:sz="8" w:space="0" w:color="auto"/>
            </w:tcBorders>
            <w:shd w:val="clear" w:color="auto" w:fill="auto"/>
            <w:noWrap/>
            <w:vAlign w:val="center"/>
            <w:hideMark/>
          </w:tcPr>
          <w:p w14:paraId="6EFC1F24"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7.583.333,33</w:t>
            </w:r>
          </w:p>
        </w:tc>
      </w:tr>
      <w:tr w:rsidR="00931CF1" w:rsidRPr="00092ED7" w14:paraId="409AA4E6" w14:textId="77777777" w:rsidTr="00812992">
        <w:trPr>
          <w:trHeight w:val="330"/>
        </w:trPr>
        <w:tc>
          <w:tcPr>
            <w:tcW w:w="12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6DA5FA"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2024</w:t>
            </w:r>
          </w:p>
        </w:tc>
        <w:tc>
          <w:tcPr>
            <w:tcW w:w="18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851706" w14:textId="33013E3C"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w:t>
            </w:r>
            <w:r w:rsidR="00C10A44" w:rsidRPr="00092ED7">
              <w:rPr>
                <w:rFonts w:eastAsia="Times New Roman" w:cs="Times New Roman"/>
                <w:color w:val="000000"/>
                <w:sz w:val="20"/>
                <w:szCs w:val="20"/>
                <w:lang w:val="sr-Cyrl-CS"/>
              </w:rPr>
              <w:t>2</w:t>
            </w:r>
            <w:r w:rsidRPr="00092ED7">
              <w:rPr>
                <w:rFonts w:eastAsia="Times New Roman" w:cs="Times New Roman"/>
                <w:color w:val="000000"/>
                <w:sz w:val="20"/>
                <w:szCs w:val="20"/>
                <w:lang w:val="sr-Cyrl-CS"/>
              </w:rPr>
              <w:t>.0</w:t>
            </w:r>
            <w:r w:rsidR="00C10A44" w:rsidRPr="00092ED7">
              <w:rPr>
                <w:rFonts w:eastAsia="Times New Roman" w:cs="Times New Roman"/>
                <w:color w:val="000000"/>
                <w:sz w:val="20"/>
                <w:szCs w:val="20"/>
                <w:lang w:val="sr-Cyrl-CS"/>
              </w:rPr>
              <w:t>8</w:t>
            </w:r>
            <w:r w:rsidRPr="00092ED7">
              <w:rPr>
                <w:rFonts w:eastAsia="Times New Roman" w:cs="Times New Roman"/>
                <w:color w:val="000000"/>
                <w:sz w:val="20"/>
                <w:szCs w:val="20"/>
                <w:lang w:val="sr-Cyrl-CS"/>
              </w:rPr>
              <w:t>0.000,00</w:t>
            </w:r>
          </w:p>
        </w:tc>
        <w:tc>
          <w:tcPr>
            <w:tcW w:w="16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D12BA7"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8483DA"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32865"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F1A19B"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D174E7"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3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7E813C"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87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30A0EF" w14:textId="663D04B9"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w:t>
            </w:r>
            <w:r w:rsidR="00C10A44" w:rsidRPr="00092ED7">
              <w:rPr>
                <w:rFonts w:eastAsia="Times New Roman" w:cs="Times New Roman"/>
                <w:color w:val="000000"/>
                <w:sz w:val="20"/>
                <w:szCs w:val="20"/>
                <w:lang w:val="sr-Cyrl-CS"/>
              </w:rPr>
              <w:t>2</w:t>
            </w:r>
            <w:r w:rsidRPr="00092ED7">
              <w:rPr>
                <w:rFonts w:eastAsia="Times New Roman" w:cs="Times New Roman"/>
                <w:color w:val="000000"/>
                <w:sz w:val="20"/>
                <w:szCs w:val="20"/>
                <w:lang w:val="sr-Cyrl-CS"/>
              </w:rPr>
              <w:t>.0</w:t>
            </w:r>
            <w:r w:rsidR="00C10A44" w:rsidRPr="00092ED7">
              <w:rPr>
                <w:rFonts w:eastAsia="Times New Roman" w:cs="Times New Roman"/>
                <w:color w:val="000000"/>
                <w:sz w:val="20"/>
                <w:szCs w:val="20"/>
                <w:lang w:val="sr-Cyrl-CS"/>
              </w:rPr>
              <w:t>8</w:t>
            </w:r>
            <w:r w:rsidRPr="00092ED7">
              <w:rPr>
                <w:rFonts w:eastAsia="Times New Roman" w:cs="Times New Roman"/>
                <w:color w:val="000000"/>
                <w:sz w:val="20"/>
                <w:szCs w:val="20"/>
                <w:lang w:val="sr-Cyrl-CS"/>
              </w:rPr>
              <w:t>0.000,00</w:t>
            </w:r>
          </w:p>
        </w:tc>
      </w:tr>
      <w:tr w:rsidR="00931CF1" w:rsidRPr="00092ED7" w14:paraId="78588D77" w14:textId="77777777" w:rsidTr="00812992">
        <w:trPr>
          <w:trHeight w:val="330"/>
        </w:trPr>
        <w:tc>
          <w:tcPr>
            <w:tcW w:w="1259"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07B4EE9D"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2025</w:t>
            </w:r>
          </w:p>
        </w:tc>
        <w:tc>
          <w:tcPr>
            <w:tcW w:w="1829" w:type="dxa"/>
            <w:tcBorders>
              <w:top w:val="single" w:sz="4" w:space="0" w:color="auto"/>
              <w:left w:val="nil"/>
              <w:bottom w:val="single" w:sz="8" w:space="0" w:color="auto"/>
              <w:right w:val="single" w:sz="8" w:space="0" w:color="auto"/>
            </w:tcBorders>
            <w:shd w:val="clear" w:color="auto" w:fill="auto"/>
            <w:noWrap/>
            <w:vAlign w:val="center"/>
            <w:hideMark/>
          </w:tcPr>
          <w:p w14:paraId="4332B575"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17.083.333,33</w:t>
            </w:r>
          </w:p>
        </w:tc>
        <w:tc>
          <w:tcPr>
            <w:tcW w:w="1617" w:type="dxa"/>
            <w:tcBorders>
              <w:top w:val="single" w:sz="4" w:space="0" w:color="auto"/>
              <w:left w:val="nil"/>
              <w:bottom w:val="single" w:sz="8" w:space="0" w:color="auto"/>
              <w:right w:val="single" w:sz="8" w:space="0" w:color="auto"/>
            </w:tcBorders>
            <w:shd w:val="clear" w:color="auto" w:fill="auto"/>
            <w:noWrap/>
            <w:vAlign w:val="center"/>
            <w:hideMark/>
          </w:tcPr>
          <w:p w14:paraId="0B681ABB"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single" w:sz="4" w:space="0" w:color="auto"/>
              <w:left w:val="nil"/>
              <w:bottom w:val="single" w:sz="8" w:space="0" w:color="auto"/>
              <w:right w:val="single" w:sz="8" w:space="0" w:color="auto"/>
            </w:tcBorders>
            <w:shd w:val="clear" w:color="auto" w:fill="auto"/>
            <w:noWrap/>
            <w:vAlign w:val="center"/>
            <w:hideMark/>
          </w:tcPr>
          <w:p w14:paraId="33D62784"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27" w:type="dxa"/>
            <w:tcBorders>
              <w:top w:val="single" w:sz="4" w:space="0" w:color="auto"/>
              <w:left w:val="nil"/>
              <w:bottom w:val="single" w:sz="8" w:space="0" w:color="auto"/>
              <w:right w:val="single" w:sz="8" w:space="0" w:color="auto"/>
            </w:tcBorders>
            <w:shd w:val="clear" w:color="auto" w:fill="auto"/>
            <w:noWrap/>
            <w:vAlign w:val="center"/>
            <w:hideMark/>
          </w:tcPr>
          <w:p w14:paraId="39B6B38B"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34" w:type="dxa"/>
            <w:tcBorders>
              <w:top w:val="single" w:sz="4" w:space="0" w:color="auto"/>
              <w:left w:val="nil"/>
              <w:bottom w:val="single" w:sz="8" w:space="0" w:color="auto"/>
              <w:right w:val="single" w:sz="8" w:space="0" w:color="auto"/>
            </w:tcBorders>
            <w:shd w:val="clear" w:color="auto" w:fill="auto"/>
            <w:noWrap/>
            <w:vAlign w:val="center"/>
            <w:hideMark/>
          </w:tcPr>
          <w:p w14:paraId="3112A501"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66" w:type="dxa"/>
            <w:tcBorders>
              <w:top w:val="single" w:sz="4" w:space="0" w:color="auto"/>
              <w:left w:val="nil"/>
              <w:bottom w:val="single" w:sz="8" w:space="0" w:color="auto"/>
              <w:right w:val="single" w:sz="8" w:space="0" w:color="auto"/>
            </w:tcBorders>
            <w:shd w:val="clear" w:color="auto" w:fill="auto"/>
            <w:noWrap/>
            <w:vAlign w:val="center"/>
            <w:hideMark/>
          </w:tcPr>
          <w:p w14:paraId="3350D21C"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326" w:type="dxa"/>
            <w:tcBorders>
              <w:top w:val="single" w:sz="4" w:space="0" w:color="auto"/>
              <w:left w:val="nil"/>
              <w:bottom w:val="single" w:sz="8" w:space="0" w:color="auto"/>
              <w:right w:val="single" w:sz="8" w:space="0" w:color="auto"/>
            </w:tcBorders>
            <w:shd w:val="clear" w:color="auto" w:fill="auto"/>
            <w:noWrap/>
            <w:vAlign w:val="center"/>
            <w:hideMark/>
          </w:tcPr>
          <w:p w14:paraId="3E993F3C"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873" w:type="dxa"/>
            <w:tcBorders>
              <w:top w:val="single" w:sz="4" w:space="0" w:color="auto"/>
              <w:left w:val="nil"/>
              <w:bottom w:val="single" w:sz="8" w:space="0" w:color="auto"/>
              <w:right w:val="single" w:sz="8" w:space="0" w:color="auto"/>
            </w:tcBorders>
            <w:shd w:val="clear" w:color="auto" w:fill="auto"/>
            <w:noWrap/>
            <w:vAlign w:val="center"/>
            <w:hideMark/>
          </w:tcPr>
          <w:p w14:paraId="181BAA14"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17.083.333,33</w:t>
            </w:r>
          </w:p>
        </w:tc>
      </w:tr>
      <w:tr w:rsidR="008D7C20" w:rsidRPr="00092ED7" w14:paraId="17FEFBFA" w14:textId="77777777" w:rsidTr="008D7C20">
        <w:trPr>
          <w:trHeight w:val="330"/>
        </w:trPr>
        <w:tc>
          <w:tcPr>
            <w:tcW w:w="13948" w:type="dxa"/>
            <w:gridSpan w:val="9"/>
            <w:tcBorders>
              <w:top w:val="single" w:sz="8" w:space="0" w:color="auto"/>
              <w:left w:val="single" w:sz="8" w:space="0" w:color="auto"/>
              <w:bottom w:val="single" w:sz="8" w:space="0" w:color="auto"/>
              <w:right w:val="single" w:sz="8" w:space="0" w:color="auto"/>
            </w:tcBorders>
            <w:shd w:val="clear" w:color="000000" w:fill="D0CECE"/>
            <w:noWrap/>
            <w:vAlign w:val="center"/>
            <w:hideMark/>
          </w:tcPr>
          <w:p w14:paraId="78380404" w14:textId="77777777" w:rsidR="008D7C20" w:rsidRPr="00092ED7" w:rsidRDefault="008D7C20" w:rsidP="008D7C20">
            <w:pPr>
              <w:spacing w:after="0"/>
              <w:jc w:val="left"/>
              <w:rPr>
                <w:rFonts w:eastAsia="Times New Roman" w:cs="Times New Roman"/>
                <w:b/>
                <w:bCs/>
                <w:color w:val="000000"/>
                <w:sz w:val="20"/>
                <w:szCs w:val="20"/>
                <w:lang w:val="sr-Cyrl-CS"/>
              </w:rPr>
            </w:pPr>
            <w:r w:rsidRPr="00092ED7">
              <w:rPr>
                <w:rFonts w:eastAsia="Times New Roman" w:cs="Times New Roman"/>
                <w:b/>
                <w:bCs/>
                <w:color w:val="000000"/>
                <w:sz w:val="20"/>
                <w:szCs w:val="20"/>
                <w:lang w:val="sr-Cyrl-CS"/>
              </w:rPr>
              <w:t>15. Подршка развоју талената и креативних индустрија оснивањем мултифункционалног иновативно-креативног центра Ложионица</w:t>
            </w:r>
          </w:p>
        </w:tc>
      </w:tr>
      <w:tr w:rsidR="00931CF1" w:rsidRPr="00092ED7" w14:paraId="027C1BC6" w14:textId="77777777" w:rsidTr="00812992">
        <w:trPr>
          <w:trHeight w:val="645"/>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2C15564D"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b/>
                <w:bCs/>
                <w:sz w:val="20"/>
                <w:szCs w:val="20"/>
                <w:lang w:val="sr-Cyrl-CS"/>
              </w:rPr>
              <w:t>Година</w:t>
            </w:r>
          </w:p>
        </w:tc>
        <w:tc>
          <w:tcPr>
            <w:tcW w:w="1829" w:type="dxa"/>
            <w:tcBorders>
              <w:top w:val="nil"/>
              <w:left w:val="nil"/>
              <w:bottom w:val="single" w:sz="8" w:space="0" w:color="auto"/>
              <w:right w:val="single" w:sz="8" w:space="0" w:color="auto"/>
            </w:tcBorders>
            <w:shd w:val="clear" w:color="auto" w:fill="auto"/>
            <w:vAlign w:val="center"/>
            <w:hideMark/>
          </w:tcPr>
          <w:p w14:paraId="499C8F74"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Буџет централног нивоа државе</w:t>
            </w:r>
          </w:p>
        </w:tc>
        <w:tc>
          <w:tcPr>
            <w:tcW w:w="1617" w:type="dxa"/>
            <w:tcBorders>
              <w:top w:val="nil"/>
              <w:left w:val="nil"/>
              <w:bottom w:val="single" w:sz="8" w:space="0" w:color="auto"/>
              <w:right w:val="single" w:sz="8" w:space="0" w:color="auto"/>
            </w:tcBorders>
            <w:shd w:val="clear" w:color="auto" w:fill="auto"/>
            <w:noWrap/>
            <w:vAlign w:val="center"/>
            <w:hideMark/>
          </w:tcPr>
          <w:p w14:paraId="163839EC"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Локални буџети</w:t>
            </w:r>
          </w:p>
        </w:tc>
        <w:tc>
          <w:tcPr>
            <w:tcW w:w="1617" w:type="dxa"/>
            <w:tcBorders>
              <w:top w:val="nil"/>
              <w:left w:val="nil"/>
              <w:bottom w:val="single" w:sz="8" w:space="0" w:color="auto"/>
              <w:right w:val="single" w:sz="8" w:space="0" w:color="auto"/>
            </w:tcBorders>
            <w:shd w:val="clear" w:color="auto" w:fill="auto"/>
            <w:vAlign w:val="center"/>
            <w:hideMark/>
          </w:tcPr>
          <w:p w14:paraId="0612D1FA"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Други домаћи извори јавних финансија</w:t>
            </w:r>
          </w:p>
        </w:tc>
        <w:tc>
          <w:tcPr>
            <w:tcW w:w="1527" w:type="dxa"/>
            <w:tcBorders>
              <w:top w:val="nil"/>
              <w:left w:val="nil"/>
              <w:bottom w:val="single" w:sz="8" w:space="0" w:color="auto"/>
              <w:right w:val="single" w:sz="8" w:space="0" w:color="auto"/>
            </w:tcBorders>
            <w:shd w:val="clear" w:color="auto" w:fill="auto"/>
            <w:noWrap/>
            <w:vAlign w:val="center"/>
            <w:hideMark/>
          </w:tcPr>
          <w:p w14:paraId="1B0E22FD"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ИПА фондови</w:t>
            </w:r>
          </w:p>
        </w:tc>
        <w:tc>
          <w:tcPr>
            <w:tcW w:w="1434" w:type="dxa"/>
            <w:tcBorders>
              <w:top w:val="nil"/>
              <w:left w:val="nil"/>
              <w:bottom w:val="single" w:sz="8" w:space="0" w:color="auto"/>
              <w:right w:val="single" w:sz="8" w:space="0" w:color="auto"/>
            </w:tcBorders>
            <w:shd w:val="clear" w:color="auto" w:fill="auto"/>
            <w:noWrap/>
            <w:vAlign w:val="center"/>
            <w:hideMark/>
          </w:tcPr>
          <w:p w14:paraId="0860FC1C"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Друга бесповратна средства</w:t>
            </w:r>
          </w:p>
        </w:tc>
        <w:tc>
          <w:tcPr>
            <w:tcW w:w="1466" w:type="dxa"/>
            <w:tcBorders>
              <w:top w:val="nil"/>
              <w:left w:val="nil"/>
              <w:bottom w:val="single" w:sz="8" w:space="0" w:color="auto"/>
              <w:right w:val="single" w:sz="8" w:space="0" w:color="auto"/>
            </w:tcBorders>
            <w:shd w:val="clear" w:color="auto" w:fill="auto"/>
            <w:noWrap/>
            <w:vAlign w:val="center"/>
            <w:hideMark/>
          </w:tcPr>
          <w:p w14:paraId="0BB47A7E"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Пројектни кредити</w:t>
            </w:r>
          </w:p>
        </w:tc>
        <w:tc>
          <w:tcPr>
            <w:tcW w:w="1326" w:type="dxa"/>
            <w:tcBorders>
              <w:top w:val="nil"/>
              <w:left w:val="nil"/>
              <w:bottom w:val="single" w:sz="8" w:space="0" w:color="auto"/>
              <w:right w:val="single" w:sz="8" w:space="0" w:color="auto"/>
            </w:tcBorders>
            <w:shd w:val="clear" w:color="auto" w:fill="auto"/>
            <w:noWrap/>
            <w:vAlign w:val="center"/>
            <w:hideMark/>
          </w:tcPr>
          <w:p w14:paraId="25CBEFB8"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Тек треба да се утврди</w:t>
            </w:r>
          </w:p>
        </w:tc>
        <w:tc>
          <w:tcPr>
            <w:tcW w:w="1873" w:type="dxa"/>
            <w:tcBorders>
              <w:top w:val="nil"/>
              <w:left w:val="nil"/>
              <w:bottom w:val="single" w:sz="8" w:space="0" w:color="auto"/>
              <w:right w:val="single" w:sz="8" w:space="0" w:color="auto"/>
            </w:tcBorders>
            <w:shd w:val="clear" w:color="auto" w:fill="auto"/>
            <w:noWrap/>
            <w:vAlign w:val="center"/>
            <w:hideMark/>
          </w:tcPr>
          <w:p w14:paraId="1BB82550"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Укупно</w:t>
            </w:r>
          </w:p>
        </w:tc>
      </w:tr>
      <w:tr w:rsidR="00931CF1" w:rsidRPr="00092ED7" w14:paraId="0D385458" w14:textId="77777777" w:rsidTr="00812992">
        <w:trPr>
          <w:trHeight w:val="330"/>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6E4226C3"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2023</w:t>
            </w:r>
          </w:p>
        </w:tc>
        <w:tc>
          <w:tcPr>
            <w:tcW w:w="1829" w:type="dxa"/>
            <w:tcBorders>
              <w:top w:val="nil"/>
              <w:left w:val="nil"/>
              <w:bottom w:val="single" w:sz="8" w:space="0" w:color="auto"/>
              <w:right w:val="single" w:sz="8" w:space="0" w:color="auto"/>
            </w:tcBorders>
            <w:shd w:val="clear" w:color="auto" w:fill="auto"/>
            <w:noWrap/>
            <w:vAlign w:val="center"/>
            <w:hideMark/>
          </w:tcPr>
          <w:p w14:paraId="7AD5EAA5" w14:textId="112510C6" w:rsidR="008D7C20" w:rsidRPr="00092ED7" w:rsidRDefault="008D7C20" w:rsidP="00AB4B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w:t>
            </w:r>
            <w:r w:rsidR="00E37276" w:rsidRPr="00092ED7">
              <w:rPr>
                <w:rFonts w:eastAsia="Times New Roman" w:cs="Times New Roman"/>
                <w:color w:val="000000"/>
                <w:sz w:val="20"/>
                <w:szCs w:val="20"/>
                <w:lang w:val="sr-Cyrl-CS"/>
              </w:rPr>
              <w:t>5</w:t>
            </w:r>
            <w:r w:rsidRPr="00092ED7">
              <w:rPr>
                <w:rFonts w:eastAsia="Times New Roman" w:cs="Times New Roman"/>
                <w:color w:val="000000"/>
                <w:sz w:val="20"/>
                <w:szCs w:val="20"/>
                <w:lang w:val="sr-Cyrl-CS"/>
              </w:rPr>
              <w:t>.</w:t>
            </w:r>
            <w:r w:rsidR="00E37276" w:rsidRPr="00092ED7">
              <w:rPr>
                <w:rFonts w:eastAsia="Times New Roman" w:cs="Times New Roman"/>
                <w:color w:val="000000"/>
                <w:sz w:val="20"/>
                <w:szCs w:val="20"/>
                <w:lang w:val="sr-Cyrl-CS"/>
              </w:rPr>
              <w:t>420</w:t>
            </w:r>
            <w:r w:rsidRPr="00092ED7">
              <w:rPr>
                <w:rFonts w:eastAsia="Times New Roman" w:cs="Times New Roman"/>
                <w:color w:val="000000"/>
                <w:sz w:val="20"/>
                <w:szCs w:val="20"/>
                <w:lang w:val="sr-Cyrl-CS"/>
              </w:rPr>
              <w:t>.</w:t>
            </w:r>
            <w:r w:rsidR="00E37276" w:rsidRPr="00092ED7">
              <w:rPr>
                <w:rFonts w:eastAsia="Times New Roman" w:cs="Times New Roman"/>
                <w:color w:val="000000"/>
                <w:sz w:val="20"/>
                <w:szCs w:val="20"/>
                <w:lang w:val="sr-Cyrl-CS"/>
              </w:rPr>
              <w:t>000</w:t>
            </w:r>
            <w:r w:rsidRPr="00092ED7">
              <w:rPr>
                <w:rFonts w:eastAsia="Times New Roman" w:cs="Times New Roman"/>
                <w:color w:val="000000"/>
                <w:sz w:val="20"/>
                <w:szCs w:val="20"/>
                <w:lang w:val="sr-Cyrl-CS"/>
              </w:rPr>
              <w:t>,</w:t>
            </w:r>
            <w:r w:rsidR="00E37276" w:rsidRPr="00092ED7">
              <w:rPr>
                <w:rFonts w:eastAsia="Times New Roman" w:cs="Times New Roman"/>
                <w:color w:val="000000"/>
                <w:sz w:val="20"/>
                <w:szCs w:val="20"/>
                <w:lang w:val="sr-Cyrl-CS"/>
              </w:rPr>
              <w:t>00</w:t>
            </w:r>
          </w:p>
        </w:tc>
        <w:tc>
          <w:tcPr>
            <w:tcW w:w="1617" w:type="dxa"/>
            <w:tcBorders>
              <w:top w:val="nil"/>
              <w:left w:val="nil"/>
              <w:bottom w:val="single" w:sz="8" w:space="0" w:color="auto"/>
              <w:right w:val="single" w:sz="8" w:space="0" w:color="auto"/>
            </w:tcBorders>
            <w:shd w:val="clear" w:color="auto" w:fill="auto"/>
            <w:noWrap/>
            <w:vAlign w:val="center"/>
            <w:hideMark/>
          </w:tcPr>
          <w:p w14:paraId="7B97AAC2"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047EC732"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27" w:type="dxa"/>
            <w:tcBorders>
              <w:top w:val="nil"/>
              <w:left w:val="nil"/>
              <w:bottom w:val="single" w:sz="8" w:space="0" w:color="auto"/>
              <w:right w:val="single" w:sz="8" w:space="0" w:color="auto"/>
            </w:tcBorders>
            <w:shd w:val="clear" w:color="auto" w:fill="auto"/>
            <w:noWrap/>
            <w:vAlign w:val="center"/>
            <w:hideMark/>
          </w:tcPr>
          <w:p w14:paraId="0EAC803D"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34" w:type="dxa"/>
            <w:tcBorders>
              <w:top w:val="nil"/>
              <w:left w:val="nil"/>
              <w:bottom w:val="single" w:sz="8" w:space="0" w:color="auto"/>
              <w:right w:val="single" w:sz="8" w:space="0" w:color="auto"/>
            </w:tcBorders>
            <w:shd w:val="clear" w:color="auto" w:fill="auto"/>
            <w:noWrap/>
            <w:vAlign w:val="center"/>
            <w:hideMark/>
          </w:tcPr>
          <w:p w14:paraId="0AC06B0C"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66" w:type="dxa"/>
            <w:tcBorders>
              <w:top w:val="nil"/>
              <w:left w:val="nil"/>
              <w:bottom w:val="single" w:sz="8" w:space="0" w:color="auto"/>
              <w:right w:val="single" w:sz="8" w:space="0" w:color="auto"/>
            </w:tcBorders>
            <w:shd w:val="clear" w:color="auto" w:fill="auto"/>
            <w:noWrap/>
            <w:vAlign w:val="center"/>
            <w:hideMark/>
          </w:tcPr>
          <w:p w14:paraId="12D75865"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326" w:type="dxa"/>
            <w:tcBorders>
              <w:top w:val="nil"/>
              <w:left w:val="nil"/>
              <w:bottom w:val="single" w:sz="8" w:space="0" w:color="auto"/>
              <w:right w:val="single" w:sz="8" w:space="0" w:color="auto"/>
            </w:tcBorders>
            <w:shd w:val="clear" w:color="auto" w:fill="auto"/>
            <w:noWrap/>
            <w:vAlign w:val="center"/>
            <w:hideMark/>
          </w:tcPr>
          <w:p w14:paraId="6A66D489"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873" w:type="dxa"/>
            <w:tcBorders>
              <w:top w:val="nil"/>
              <w:left w:val="nil"/>
              <w:bottom w:val="single" w:sz="8" w:space="0" w:color="auto"/>
              <w:right w:val="single" w:sz="8" w:space="0" w:color="auto"/>
            </w:tcBorders>
            <w:shd w:val="clear" w:color="auto" w:fill="auto"/>
            <w:noWrap/>
            <w:vAlign w:val="center"/>
            <w:hideMark/>
          </w:tcPr>
          <w:p w14:paraId="05F46E4E" w14:textId="55F7B740" w:rsidR="008D7C20" w:rsidRPr="00092ED7" w:rsidRDefault="008D7C20" w:rsidP="00AB4B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w:t>
            </w:r>
            <w:r w:rsidR="007C693C" w:rsidRPr="00092ED7">
              <w:rPr>
                <w:rFonts w:eastAsia="Times New Roman" w:cs="Times New Roman"/>
                <w:color w:val="000000"/>
                <w:sz w:val="20"/>
                <w:szCs w:val="20"/>
                <w:lang w:val="sr-Cyrl-CS"/>
              </w:rPr>
              <w:t>5</w:t>
            </w:r>
            <w:r w:rsidRPr="00092ED7">
              <w:rPr>
                <w:rFonts w:eastAsia="Times New Roman" w:cs="Times New Roman"/>
                <w:color w:val="000000"/>
                <w:sz w:val="20"/>
                <w:szCs w:val="20"/>
                <w:lang w:val="sr-Cyrl-CS"/>
              </w:rPr>
              <w:t>.</w:t>
            </w:r>
            <w:r w:rsidR="007C693C" w:rsidRPr="00092ED7">
              <w:rPr>
                <w:rFonts w:eastAsia="Times New Roman" w:cs="Times New Roman"/>
                <w:color w:val="000000"/>
                <w:sz w:val="20"/>
                <w:szCs w:val="20"/>
                <w:lang w:val="sr-Cyrl-CS"/>
              </w:rPr>
              <w:t>420</w:t>
            </w:r>
            <w:r w:rsidRPr="00092ED7">
              <w:rPr>
                <w:rFonts w:eastAsia="Times New Roman" w:cs="Times New Roman"/>
                <w:color w:val="000000"/>
                <w:sz w:val="20"/>
                <w:szCs w:val="20"/>
                <w:lang w:val="sr-Cyrl-CS"/>
              </w:rPr>
              <w:t>.</w:t>
            </w:r>
            <w:r w:rsidR="007C693C" w:rsidRPr="00092ED7">
              <w:rPr>
                <w:rFonts w:eastAsia="Times New Roman" w:cs="Times New Roman"/>
                <w:color w:val="000000"/>
                <w:sz w:val="20"/>
                <w:szCs w:val="20"/>
                <w:lang w:val="sr-Cyrl-CS"/>
              </w:rPr>
              <w:t>000</w:t>
            </w:r>
            <w:r w:rsidRPr="00092ED7">
              <w:rPr>
                <w:rFonts w:eastAsia="Times New Roman" w:cs="Times New Roman"/>
                <w:color w:val="000000"/>
                <w:sz w:val="20"/>
                <w:szCs w:val="20"/>
                <w:lang w:val="sr-Cyrl-CS"/>
              </w:rPr>
              <w:t>,</w:t>
            </w:r>
            <w:r w:rsidR="007C693C" w:rsidRPr="00092ED7">
              <w:rPr>
                <w:rFonts w:eastAsia="Times New Roman" w:cs="Times New Roman"/>
                <w:color w:val="000000"/>
                <w:sz w:val="20"/>
                <w:szCs w:val="20"/>
                <w:lang w:val="sr-Cyrl-CS"/>
              </w:rPr>
              <w:t>00</w:t>
            </w:r>
          </w:p>
        </w:tc>
      </w:tr>
      <w:tr w:rsidR="00931CF1" w:rsidRPr="00092ED7" w14:paraId="4D9D9CA7" w14:textId="77777777" w:rsidTr="00812992">
        <w:trPr>
          <w:trHeight w:val="330"/>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45087BAD"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2024</w:t>
            </w:r>
          </w:p>
        </w:tc>
        <w:tc>
          <w:tcPr>
            <w:tcW w:w="1829" w:type="dxa"/>
            <w:tcBorders>
              <w:top w:val="nil"/>
              <w:left w:val="nil"/>
              <w:bottom w:val="single" w:sz="8" w:space="0" w:color="auto"/>
              <w:right w:val="single" w:sz="8" w:space="0" w:color="auto"/>
            </w:tcBorders>
            <w:shd w:val="clear" w:color="auto" w:fill="auto"/>
            <w:noWrap/>
            <w:vAlign w:val="center"/>
            <w:hideMark/>
          </w:tcPr>
          <w:p w14:paraId="717D6F2A" w14:textId="67E92853" w:rsidR="008D7C20" w:rsidRPr="00092ED7" w:rsidRDefault="008D7C20" w:rsidP="00AB4B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2</w:t>
            </w:r>
            <w:r w:rsidR="00E37276" w:rsidRPr="00092ED7">
              <w:rPr>
                <w:rFonts w:eastAsia="Times New Roman" w:cs="Times New Roman"/>
                <w:color w:val="000000"/>
                <w:sz w:val="20"/>
                <w:szCs w:val="20"/>
                <w:lang w:val="sr-Cyrl-CS"/>
              </w:rPr>
              <w:t>7</w:t>
            </w:r>
            <w:r w:rsidRPr="00092ED7">
              <w:rPr>
                <w:rFonts w:eastAsia="Times New Roman" w:cs="Times New Roman"/>
                <w:color w:val="000000"/>
                <w:sz w:val="20"/>
                <w:szCs w:val="20"/>
                <w:lang w:val="sr-Cyrl-CS"/>
              </w:rPr>
              <w:t>.</w:t>
            </w:r>
            <w:r w:rsidR="00E37276" w:rsidRPr="00092ED7">
              <w:rPr>
                <w:rFonts w:eastAsia="Times New Roman" w:cs="Times New Roman"/>
                <w:color w:val="000000"/>
                <w:sz w:val="20"/>
                <w:szCs w:val="20"/>
                <w:lang w:val="sr-Cyrl-CS"/>
              </w:rPr>
              <w:t>080</w:t>
            </w:r>
            <w:r w:rsidRPr="00092ED7">
              <w:rPr>
                <w:rFonts w:eastAsia="Times New Roman" w:cs="Times New Roman"/>
                <w:color w:val="000000"/>
                <w:sz w:val="20"/>
                <w:szCs w:val="20"/>
                <w:lang w:val="sr-Cyrl-CS"/>
              </w:rPr>
              <w:t>.</w:t>
            </w:r>
            <w:r w:rsidR="00E37276" w:rsidRPr="00092ED7">
              <w:rPr>
                <w:rFonts w:eastAsia="Times New Roman" w:cs="Times New Roman"/>
                <w:color w:val="000000"/>
                <w:sz w:val="20"/>
                <w:szCs w:val="20"/>
                <w:lang w:val="sr-Cyrl-CS"/>
              </w:rPr>
              <w:t>000</w:t>
            </w:r>
            <w:r w:rsidRPr="00092ED7">
              <w:rPr>
                <w:rFonts w:eastAsia="Times New Roman" w:cs="Times New Roman"/>
                <w:color w:val="000000"/>
                <w:sz w:val="20"/>
                <w:szCs w:val="20"/>
                <w:lang w:val="sr-Cyrl-CS"/>
              </w:rPr>
              <w:t>,</w:t>
            </w:r>
            <w:r w:rsidR="00E37276" w:rsidRPr="00092ED7">
              <w:rPr>
                <w:rFonts w:eastAsia="Times New Roman" w:cs="Times New Roman"/>
                <w:color w:val="000000"/>
                <w:sz w:val="20"/>
                <w:szCs w:val="20"/>
                <w:lang w:val="sr-Cyrl-CS"/>
              </w:rPr>
              <w:t>00</w:t>
            </w:r>
          </w:p>
        </w:tc>
        <w:tc>
          <w:tcPr>
            <w:tcW w:w="1617" w:type="dxa"/>
            <w:tcBorders>
              <w:top w:val="nil"/>
              <w:left w:val="nil"/>
              <w:bottom w:val="single" w:sz="8" w:space="0" w:color="auto"/>
              <w:right w:val="single" w:sz="8" w:space="0" w:color="auto"/>
            </w:tcBorders>
            <w:shd w:val="clear" w:color="auto" w:fill="auto"/>
            <w:noWrap/>
            <w:vAlign w:val="center"/>
            <w:hideMark/>
          </w:tcPr>
          <w:p w14:paraId="741E9DDC"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559AE7A6"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27" w:type="dxa"/>
            <w:tcBorders>
              <w:top w:val="nil"/>
              <w:left w:val="nil"/>
              <w:bottom w:val="single" w:sz="8" w:space="0" w:color="auto"/>
              <w:right w:val="single" w:sz="8" w:space="0" w:color="auto"/>
            </w:tcBorders>
            <w:shd w:val="clear" w:color="auto" w:fill="auto"/>
            <w:noWrap/>
            <w:vAlign w:val="center"/>
            <w:hideMark/>
          </w:tcPr>
          <w:p w14:paraId="32B5A658"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34" w:type="dxa"/>
            <w:tcBorders>
              <w:top w:val="nil"/>
              <w:left w:val="nil"/>
              <w:bottom w:val="single" w:sz="8" w:space="0" w:color="auto"/>
              <w:right w:val="single" w:sz="8" w:space="0" w:color="auto"/>
            </w:tcBorders>
            <w:shd w:val="clear" w:color="auto" w:fill="auto"/>
            <w:noWrap/>
            <w:vAlign w:val="center"/>
            <w:hideMark/>
          </w:tcPr>
          <w:p w14:paraId="7DBB4C0A"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66" w:type="dxa"/>
            <w:tcBorders>
              <w:top w:val="nil"/>
              <w:left w:val="nil"/>
              <w:bottom w:val="single" w:sz="8" w:space="0" w:color="auto"/>
              <w:right w:val="single" w:sz="8" w:space="0" w:color="auto"/>
            </w:tcBorders>
            <w:shd w:val="clear" w:color="auto" w:fill="auto"/>
            <w:noWrap/>
            <w:vAlign w:val="center"/>
            <w:hideMark/>
          </w:tcPr>
          <w:p w14:paraId="1561262E"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326" w:type="dxa"/>
            <w:tcBorders>
              <w:top w:val="nil"/>
              <w:left w:val="nil"/>
              <w:bottom w:val="single" w:sz="8" w:space="0" w:color="auto"/>
              <w:right w:val="single" w:sz="8" w:space="0" w:color="auto"/>
            </w:tcBorders>
            <w:shd w:val="clear" w:color="auto" w:fill="auto"/>
            <w:noWrap/>
            <w:vAlign w:val="center"/>
            <w:hideMark/>
          </w:tcPr>
          <w:p w14:paraId="4B0260A4"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873" w:type="dxa"/>
            <w:tcBorders>
              <w:top w:val="nil"/>
              <w:left w:val="nil"/>
              <w:bottom w:val="single" w:sz="8" w:space="0" w:color="auto"/>
              <w:right w:val="single" w:sz="8" w:space="0" w:color="auto"/>
            </w:tcBorders>
            <w:shd w:val="clear" w:color="auto" w:fill="auto"/>
            <w:noWrap/>
            <w:vAlign w:val="center"/>
            <w:hideMark/>
          </w:tcPr>
          <w:p w14:paraId="35425AAE" w14:textId="1E387C2A"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2</w:t>
            </w:r>
            <w:r w:rsidR="007C693C" w:rsidRPr="00092ED7">
              <w:rPr>
                <w:rFonts w:eastAsia="Times New Roman" w:cs="Times New Roman"/>
                <w:color w:val="000000"/>
                <w:sz w:val="20"/>
                <w:szCs w:val="20"/>
                <w:lang w:val="sr-Cyrl-CS"/>
              </w:rPr>
              <w:t>7</w:t>
            </w:r>
            <w:r w:rsidRPr="00092ED7">
              <w:rPr>
                <w:rFonts w:eastAsia="Times New Roman" w:cs="Times New Roman"/>
                <w:color w:val="000000"/>
                <w:sz w:val="20"/>
                <w:szCs w:val="20"/>
                <w:lang w:val="sr-Cyrl-CS"/>
              </w:rPr>
              <w:t>.</w:t>
            </w:r>
            <w:r w:rsidR="007C693C" w:rsidRPr="00092ED7">
              <w:rPr>
                <w:rFonts w:eastAsia="Times New Roman" w:cs="Times New Roman"/>
                <w:color w:val="000000"/>
                <w:sz w:val="20"/>
                <w:szCs w:val="20"/>
                <w:lang w:val="sr-Cyrl-CS"/>
              </w:rPr>
              <w:t>080</w:t>
            </w:r>
            <w:r w:rsidRPr="00092ED7">
              <w:rPr>
                <w:rFonts w:eastAsia="Times New Roman" w:cs="Times New Roman"/>
                <w:color w:val="000000"/>
                <w:sz w:val="20"/>
                <w:szCs w:val="20"/>
                <w:lang w:val="sr-Cyrl-CS"/>
              </w:rPr>
              <w:t>.</w:t>
            </w:r>
            <w:r w:rsidR="007C693C" w:rsidRPr="00092ED7">
              <w:rPr>
                <w:rFonts w:eastAsia="Times New Roman" w:cs="Times New Roman"/>
                <w:color w:val="000000"/>
                <w:sz w:val="20"/>
                <w:szCs w:val="20"/>
                <w:lang w:val="sr-Cyrl-CS"/>
              </w:rPr>
              <w:t>000</w:t>
            </w:r>
            <w:r w:rsidRPr="00092ED7">
              <w:rPr>
                <w:rFonts w:eastAsia="Times New Roman" w:cs="Times New Roman"/>
                <w:color w:val="000000"/>
                <w:sz w:val="20"/>
                <w:szCs w:val="20"/>
                <w:lang w:val="sr-Cyrl-CS"/>
              </w:rPr>
              <w:t>,</w:t>
            </w:r>
            <w:r w:rsidR="007C693C" w:rsidRPr="00092ED7">
              <w:rPr>
                <w:rFonts w:eastAsia="Times New Roman" w:cs="Times New Roman"/>
                <w:color w:val="000000"/>
                <w:sz w:val="20"/>
                <w:szCs w:val="20"/>
                <w:lang w:val="sr-Cyrl-CS"/>
              </w:rPr>
              <w:t>00</w:t>
            </w:r>
          </w:p>
        </w:tc>
      </w:tr>
      <w:tr w:rsidR="00931CF1" w:rsidRPr="00092ED7" w14:paraId="248FBDF9" w14:textId="77777777" w:rsidTr="00812992">
        <w:trPr>
          <w:trHeight w:val="330"/>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328F8B89"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2025</w:t>
            </w:r>
          </w:p>
        </w:tc>
        <w:tc>
          <w:tcPr>
            <w:tcW w:w="1829" w:type="dxa"/>
            <w:tcBorders>
              <w:top w:val="nil"/>
              <w:left w:val="nil"/>
              <w:bottom w:val="single" w:sz="8" w:space="0" w:color="auto"/>
              <w:right w:val="single" w:sz="8" w:space="0" w:color="auto"/>
            </w:tcBorders>
            <w:shd w:val="clear" w:color="auto" w:fill="auto"/>
            <w:noWrap/>
            <w:vAlign w:val="center"/>
            <w:hideMark/>
          </w:tcPr>
          <w:p w14:paraId="47E8CA94"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20.000.000,00</w:t>
            </w:r>
          </w:p>
        </w:tc>
        <w:tc>
          <w:tcPr>
            <w:tcW w:w="1617" w:type="dxa"/>
            <w:tcBorders>
              <w:top w:val="nil"/>
              <w:left w:val="nil"/>
              <w:bottom w:val="single" w:sz="8" w:space="0" w:color="auto"/>
              <w:right w:val="single" w:sz="8" w:space="0" w:color="auto"/>
            </w:tcBorders>
            <w:shd w:val="clear" w:color="auto" w:fill="auto"/>
            <w:noWrap/>
            <w:vAlign w:val="center"/>
            <w:hideMark/>
          </w:tcPr>
          <w:p w14:paraId="48B0785E"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35067781"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27" w:type="dxa"/>
            <w:tcBorders>
              <w:top w:val="nil"/>
              <w:left w:val="nil"/>
              <w:bottom w:val="single" w:sz="8" w:space="0" w:color="auto"/>
              <w:right w:val="single" w:sz="8" w:space="0" w:color="auto"/>
            </w:tcBorders>
            <w:shd w:val="clear" w:color="auto" w:fill="auto"/>
            <w:noWrap/>
            <w:vAlign w:val="center"/>
            <w:hideMark/>
          </w:tcPr>
          <w:p w14:paraId="54236308"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34" w:type="dxa"/>
            <w:tcBorders>
              <w:top w:val="nil"/>
              <w:left w:val="nil"/>
              <w:bottom w:val="single" w:sz="8" w:space="0" w:color="auto"/>
              <w:right w:val="single" w:sz="8" w:space="0" w:color="auto"/>
            </w:tcBorders>
            <w:shd w:val="clear" w:color="auto" w:fill="auto"/>
            <w:noWrap/>
            <w:vAlign w:val="center"/>
            <w:hideMark/>
          </w:tcPr>
          <w:p w14:paraId="6C9B1B92"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66" w:type="dxa"/>
            <w:tcBorders>
              <w:top w:val="nil"/>
              <w:left w:val="nil"/>
              <w:bottom w:val="single" w:sz="8" w:space="0" w:color="auto"/>
              <w:right w:val="single" w:sz="8" w:space="0" w:color="auto"/>
            </w:tcBorders>
            <w:shd w:val="clear" w:color="auto" w:fill="auto"/>
            <w:noWrap/>
            <w:vAlign w:val="center"/>
            <w:hideMark/>
          </w:tcPr>
          <w:p w14:paraId="157D9EF0" w14:textId="77777777" w:rsidR="008D7C20" w:rsidRPr="00092ED7" w:rsidRDefault="008D7C20" w:rsidP="008D7C20">
            <w:pPr>
              <w:spacing w:after="0"/>
              <w:jc w:val="right"/>
              <w:rPr>
                <w:rFonts w:eastAsia="Times New Roman" w:cs="Times New Roman"/>
                <w:bCs/>
                <w:color w:val="000000"/>
                <w:sz w:val="20"/>
                <w:szCs w:val="20"/>
                <w:lang w:val="sr-Cyrl-CS"/>
              </w:rPr>
            </w:pPr>
            <w:r w:rsidRPr="00092ED7">
              <w:rPr>
                <w:rFonts w:eastAsia="Times New Roman" w:cs="Times New Roman"/>
                <w:bCs/>
                <w:color w:val="000000"/>
                <w:sz w:val="20"/>
                <w:szCs w:val="20"/>
                <w:lang w:val="sr-Cyrl-CS"/>
              </w:rPr>
              <w:t>0</w:t>
            </w:r>
          </w:p>
        </w:tc>
        <w:tc>
          <w:tcPr>
            <w:tcW w:w="1326" w:type="dxa"/>
            <w:tcBorders>
              <w:top w:val="nil"/>
              <w:left w:val="nil"/>
              <w:bottom w:val="single" w:sz="8" w:space="0" w:color="auto"/>
              <w:right w:val="single" w:sz="8" w:space="0" w:color="auto"/>
            </w:tcBorders>
            <w:shd w:val="clear" w:color="auto" w:fill="auto"/>
            <w:noWrap/>
            <w:vAlign w:val="center"/>
            <w:hideMark/>
          </w:tcPr>
          <w:p w14:paraId="0F470A13" w14:textId="77777777" w:rsidR="008D7C20" w:rsidRPr="00092ED7" w:rsidRDefault="008D7C20" w:rsidP="008D7C20">
            <w:pPr>
              <w:spacing w:after="0"/>
              <w:jc w:val="right"/>
              <w:rPr>
                <w:rFonts w:eastAsia="Times New Roman" w:cs="Times New Roman"/>
                <w:bCs/>
                <w:color w:val="000000"/>
                <w:sz w:val="20"/>
                <w:szCs w:val="20"/>
                <w:lang w:val="sr-Cyrl-CS"/>
              </w:rPr>
            </w:pPr>
            <w:r w:rsidRPr="00092ED7">
              <w:rPr>
                <w:rFonts w:eastAsia="Times New Roman" w:cs="Times New Roman"/>
                <w:bCs/>
                <w:color w:val="000000"/>
                <w:sz w:val="20"/>
                <w:szCs w:val="20"/>
                <w:lang w:val="sr-Cyrl-CS"/>
              </w:rPr>
              <w:t>0</w:t>
            </w:r>
          </w:p>
        </w:tc>
        <w:tc>
          <w:tcPr>
            <w:tcW w:w="1873" w:type="dxa"/>
            <w:tcBorders>
              <w:top w:val="nil"/>
              <w:left w:val="nil"/>
              <w:bottom w:val="single" w:sz="8" w:space="0" w:color="auto"/>
              <w:right w:val="single" w:sz="8" w:space="0" w:color="auto"/>
            </w:tcBorders>
            <w:shd w:val="clear" w:color="auto" w:fill="auto"/>
            <w:noWrap/>
            <w:vAlign w:val="center"/>
            <w:hideMark/>
          </w:tcPr>
          <w:p w14:paraId="335A26D0"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20.000.000,00</w:t>
            </w:r>
          </w:p>
        </w:tc>
      </w:tr>
      <w:tr w:rsidR="008D7C20" w:rsidRPr="00092ED7" w14:paraId="44034704" w14:textId="77777777" w:rsidTr="008D7C20">
        <w:trPr>
          <w:trHeight w:val="330"/>
        </w:trPr>
        <w:tc>
          <w:tcPr>
            <w:tcW w:w="13948" w:type="dxa"/>
            <w:gridSpan w:val="9"/>
            <w:tcBorders>
              <w:top w:val="single" w:sz="8" w:space="0" w:color="auto"/>
              <w:left w:val="single" w:sz="8" w:space="0" w:color="auto"/>
              <w:bottom w:val="single" w:sz="8" w:space="0" w:color="auto"/>
              <w:right w:val="single" w:sz="8" w:space="0" w:color="auto"/>
            </w:tcBorders>
            <w:shd w:val="clear" w:color="000000" w:fill="D0CECE"/>
            <w:noWrap/>
            <w:vAlign w:val="center"/>
            <w:hideMark/>
          </w:tcPr>
          <w:p w14:paraId="3977CD14" w14:textId="77777777" w:rsidR="008D7C20" w:rsidRPr="00092ED7" w:rsidRDefault="008D7C20" w:rsidP="008D7C20">
            <w:pPr>
              <w:spacing w:after="0"/>
              <w:jc w:val="left"/>
              <w:rPr>
                <w:rFonts w:eastAsia="Times New Roman" w:cs="Times New Roman"/>
                <w:b/>
                <w:bCs/>
                <w:color w:val="000000"/>
                <w:sz w:val="20"/>
                <w:szCs w:val="20"/>
                <w:lang w:val="sr-Cyrl-CS"/>
              </w:rPr>
            </w:pPr>
            <w:r w:rsidRPr="00092ED7">
              <w:rPr>
                <w:rFonts w:eastAsia="Times New Roman" w:cs="Times New Roman"/>
                <w:b/>
                <w:bCs/>
                <w:color w:val="000000"/>
                <w:sz w:val="20"/>
                <w:szCs w:val="20"/>
                <w:lang w:val="sr-Cyrl-CS"/>
              </w:rPr>
              <w:t>16. Развој стартап екосистема</w:t>
            </w:r>
          </w:p>
        </w:tc>
      </w:tr>
      <w:tr w:rsidR="00931CF1" w:rsidRPr="00092ED7" w14:paraId="068E8AF0" w14:textId="77777777" w:rsidTr="00812992">
        <w:trPr>
          <w:trHeight w:val="645"/>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4CC83A9F"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b/>
                <w:bCs/>
                <w:sz w:val="20"/>
                <w:szCs w:val="20"/>
                <w:lang w:val="sr-Cyrl-CS"/>
              </w:rPr>
              <w:t>Година</w:t>
            </w:r>
          </w:p>
        </w:tc>
        <w:tc>
          <w:tcPr>
            <w:tcW w:w="1829" w:type="dxa"/>
            <w:tcBorders>
              <w:top w:val="nil"/>
              <w:left w:val="nil"/>
              <w:bottom w:val="single" w:sz="8" w:space="0" w:color="auto"/>
              <w:right w:val="single" w:sz="8" w:space="0" w:color="auto"/>
            </w:tcBorders>
            <w:shd w:val="clear" w:color="auto" w:fill="auto"/>
            <w:vAlign w:val="center"/>
            <w:hideMark/>
          </w:tcPr>
          <w:p w14:paraId="387DBB41"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Буџет централног нивоа државе</w:t>
            </w:r>
          </w:p>
        </w:tc>
        <w:tc>
          <w:tcPr>
            <w:tcW w:w="1617" w:type="dxa"/>
            <w:tcBorders>
              <w:top w:val="nil"/>
              <w:left w:val="nil"/>
              <w:bottom w:val="single" w:sz="8" w:space="0" w:color="auto"/>
              <w:right w:val="single" w:sz="8" w:space="0" w:color="auto"/>
            </w:tcBorders>
            <w:shd w:val="clear" w:color="auto" w:fill="auto"/>
            <w:noWrap/>
            <w:vAlign w:val="center"/>
            <w:hideMark/>
          </w:tcPr>
          <w:p w14:paraId="4A85901E"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Локални буџети</w:t>
            </w:r>
          </w:p>
        </w:tc>
        <w:tc>
          <w:tcPr>
            <w:tcW w:w="1617" w:type="dxa"/>
            <w:tcBorders>
              <w:top w:val="nil"/>
              <w:left w:val="nil"/>
              <w:bottom w:val="single" w:sz="8" w:space="0" w:color="auto"/>
              <w:right w:val="single" w:sz="8" w:space="0" w:color="auto"/>
            </w:tcBorders>
            <w:shd w:val="clear" w:color="auto" w:fill="auto"/>
            <w:vAlign w:val="center"/>
            <w:hideMark/>
          </w:tcPr>
          <w:p w14:paraId="00F6B122"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Други домаћи извори јавних финансија</w:t>
            </w:r>
          </w:p>
        </w:tc>
        <w:tc>
          <w:tcPr>
            <w:tcW w:w="1527" w:type="dxa"/>
            <w:tcBorders>
              <w:top w:val="nil"/>
              <w:left w:val="nil"/>
              <w:bottom w:val="single" w:sz="8" w:space="0" w:color="auto"/>
              <w:right w:val="single" w:sz="8" w:space="0" w:color="auto"/>
            </w:tcBorders>
            <w:shd w:val="clear" w:color="auto" w:fill="auto"/>
            <w:noWrap/>
            <w:vAlign w:val="center"/>
            <w:hideMark/>
          </w:tcPr>
          <w:p w14:paraId="12F61DDA"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ИПА фондови</w:t>
            </w:r>
          </w:p>
        </w:tc>
        <w:tc>
          <w:tcPr>
            <w:tcW w:w="1434" w:type="dxa"/>
            <w:tcBorders>
              <w:top w:val="nil"/>
              <w:left w:val="nil"/>
              <w:bottom w:val="single" w:sz="8" w:space="0" w:color="auto"/>
              <w:right w:val="single" w:sz="8" w:space="0" w:color="auto"/>
            </w:tcBorders>
            <w:shd w:val="clear" w:color="auto" w:fill="auto"/>
            <w:noWrap/>
            <w:vAlign w:val="center"/>
            <w:hideMark/>
          </w:tcPr>
          <w:p w14:paraId="06E3E607"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Друга бесповратна средства</w:t>
            </w:r>
          </w:p>
        </w:tc>
        <w:tc>
          <w:tcPr>
            <w:tcW w:w="1466" w:type="dxa"/>
            <w:tcBorders>
              <w:top w:val="nil"/>
              <w:left w:val="nil"/>
              <w:bottom w:val="single" w:sz="8" w:space="0" w:color="auto"/>
              <w:right w:val="single" w:sz="8" w:space="0" w:color="auto"/>
            </w:tcBorders>
            <w:shd w:val="clear" w:color="auto" w:fill="auto"/>
            <w:noWrap/>
            <w:vAlign w:val="center"/>
            <w:hideMark/>
          </w:tcPr>
          <w:p w14:paraId="6FFC5180"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Пројектни кредити</w:t>
            </w:r>
          </w:p>
        </w:tc>
        <w:tc>
          <w:tcPr>
            <w:tcW w:w="1326" w:type="dxa"/>
            <w:tcBorders>
              <w:top w:val="nil"/>
              <w:left w:val="nil"/>
              <w:bottom w:val="single" w:sz="8" w:space="0" w:color="auto"/>
              <w:right w:val="single" w:sz="8" w:space="0" w:color="auto"/>
            </w:tcBorders>
            <w:shd w:val="clear" w:color="auto" w:fill="auto"/>
            <w:noWrap/>
            <w:vAlign w:val="center"/>
            <w:hideMark/>
          </w:tcPr>
          <w:p w14:paraId="3DCF917A"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Тек треба да се утврди</w:t>
            </w:r>
          </w:p>
        </w:tc>
        <w:tc>
          <w:tcPr>
            <w:tcW w:w="1873" w:type="dxa"/>
            <w:tcBorders>
              <w:top w:val="nil"/>
              <w:left w:val="nil"/>
              <w:bottom w:val="single" w:sz="8" w:space="0" w:color="auto"/>
              <w:right w:val="single" w:sz="8" w:space="0" w:color="auto"/>
            </w:tcBorders>
            <w:shd w:val="clear" w:color="auto" w:fill="auto"/>
            <w:noWrap/>
            <w:vAlign w:val="center"/>
            <w:hideMark/>
          </w:tcPr>
          <w:p w14:paraId="5F0CBBD4"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Укупно</w:t>
            </w:r>
          </w:p>
        </w:tc>
      </w:tr>
      <w:tr w:rsidR="00931CF1" w:rsidRPr="00092ED7" w14:paraId="2BF7CB7F" w14:textId="77777777" w:rsidTr="00812992">
        <w:trPr>
          <w:trHeight w:val="330"/>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2574C147"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2023</w:t>
            </w:r>
          </w:p>
        </w:tc>
        <w:tc>
          <w:tcPr>
            <w:tcW w:w="1829" w:type="dxa"/>
            <w:tcBorders>
              <w:top w:val="nil"/>
              <w:left w:val="nil"/>
              <w:bottom w:val="single" w:sz="8" w:space="0" w:color="auto"/>
              <w:right w:val="single" w:sz="8" w:space="0" w:color="auto"/>
            </w:tcBorders>
            <w:shd w:val="clear" w:color="auto" w:fill="auto"/>
            <w:noWrap/>
            <w:vAlign w:val="center"/>
            <w:hideMark/>
          </w:tcPr>
          <w:p w14:paraId="0B277B17"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04A9E0F9"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04286C1B"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27" w:type="dxa"/>
            <w:tcBorders>
              <w:top w:val="nil"/>
              <w:left w:val="nil"/>
              <w:bottom w:val="single" w:sz="8" w:space="0" w:color="auto"/>
              <w:right w:val="single" w:sz="8" w:space="0" w:color="auto"/>
            </w:tcBorders>
            <w:shd w:val="clear" w:color="auto" w:fill="auto"/>
            <w:noWrap/>
            <w:vAlign w:val="center"/>
            <w:hideMark/>
          </w:tcPr>
          <w:p w14:paraId="1DC7EB67"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12.168.749,33</w:t>
            </w:r>
          </w:p>
        </w:tc>
        <w:tc>
          <w:tcPr>
            <w:tcW w:w="1434" w:type="dxa"/>
            <w:tcBorders>
              <w:top w:val="nil"/>
              <w:left w:val="nil"/>
              <w:bottom w:val="single" w:sz="8" w:space="0" w:color="auto"/>
              <w:right w:val="single" w:sz="8" w:space="0" w:color="auto"/>
            </w:tcBorders>
            <w:shd w:val="clear" w:color="auto" w:fill="auto"/>
            <w:noWrap/>
            <w:vAlign w:val="center"/>
            <w:hideMark/>
          </w:tcPr>
          <w:p w14:paraId="199E8C9C"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66" w:type="dxa"/>
            <w:tcBorders>
              <w:top w:val="nil"/>
              <w:left w:val="nil"/>
              <w:bottom w:val="single" w:sz="8" w:space="0" w:color="auto"/>
              <w:right w:val="single" w:sz="8" w:space="0" w:color="auto"/>
            </w:tcBorders>
            <w:shd w:val="clear" w:color="auto" w:fill="auto"/>
            <w:noWrap/>
            <w:vAlign w:val="center"/>
            <w:hideMark/>
          </w:tcPr>
          <w:p w14:paraId="72850D5E"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3.000.000,00</w:t>
            </w:r>
          </w:p>
        </w:tc>
        <w:tc>
          <w:tcPr>
            <w:tcW w:w="1326" w:type="dxa"/>
            <w:tcBorders>
              <w:top w:val="nil"/>
              <w:left w:val="nil"/>
              <w:bottom w:val="single" w:sz="8" w:space="0" w:color="auto"/>
              <w:right w:val="single" w:sz="8" w:space="0" w:color="auto"/>
            </w:tcBorders>
            <w:shd w:val="clear" w:color="auto" w:fill="auto"/>
            <w:noWrap/>
            <w:vAlign w:val="center"/>
            <w:hideMark/>
          </w:tcPr>
          <w:p w14:paraId="755EC109"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873" w:type="dxa"/>
            <w:tcBorders>
              <w:top w:val="nil"/>
              <w:left w:val="nil"/>
              <w:bottom w:val="single" w:sz="8" w:space="0" w:color="auto"/>
              <w:right w:val="single" w:sz="8" w:space="0" w:color="auto"/>
            </w:tcBorders>
            <w:shd w:val="clear" w:color="auto" w:fill="auto"/>
            <w:noWrap/>
            <w:vAlign w:val="center"/>
            <w:hideMark/>
          </w:tcPr>
          <w:p w14:paraId="4F207A11"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15.168.749,33</w:t>
            </w:r>
          </w:p>
        </w:tc>
      </w:tr>
      <w:tr w:rsidR="00931CF1" w:rsidRPr="00092ED7" w14:paraId="3FD638FB" w14:textId="77777777" w:rsidTr="00812992">
        <w:trPr>
          <w:trHeight w:val="330"/>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5C46A180"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2024</w:t>
            </w:r>
          </w:p>
        </w:tc>
        <w:tc>
          <w:tcPr>
            <w:tcW w:w="1829" w:type="dxa"/>
            <w:tcBorders>
              <w:top w:val="nil"/>
              <w:left w:val="nil"/>
              <w:bottom w:val="single" w:sz="8" w:space="0" w:color="auto"/>
              <w:right w:val="single" w:sz="8" w:space="0" w:color="auto"/>
            </w:tcBorders>
            <w:shd w:val="clear" w:color="auto" w:fill="auto"/>
            <w:noWrap/>
            <w:vAlign w:val="center"/>
            <w:hideMark/>
          </w:tcPr>
          <w:p w14:paraId="1CAE8797"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6E946865"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4E75E1E7"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27" w:type="dxa"/>
            <w:tcBorders>
              <w:top w:val="nil"/>
              <w:left w:val="nil"/>
              <w:bottom w:val="single" w:sz="8" w:space="0" w:color="auto"/>
              <w:right w:val="single" w:sz="8" w:space="0" w:color="auto"/>
            </w:tcBorders>
            <w:shd w:val="clear" w:color="auto" w:fill="auto"/>
            <w:noWrap/>
            <w:vAlign w:val="center"/>
            <w:hideMark/>
          </w:tcPr>
          <w:p w14:paraId="1B683476"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12.168.749,33</w:t>
            </w:r>
          </w:p>
        </w:tc>
        <w:tc>
          <w:tcPr>
            <w:tcW w:w="1434" w:type="dxa"/>
            <w:tcBorders>
              <w:top w:val="nil"/>
              <w:left w:val="nil"/>
              <w:bottom w:val="single" w:sz="8" w:space="0" w:color="auto"/>
              <w:right w:val="single" w:sz="8" w:space="0" w:color="auto"/>
            </w:tcBorders>
            <w:shd w:val="clear" w:color="auto" w:fill="auto"/>
            <w:noWrap/>
            <w:vAlign w:val="center"/>
            <w:hideMark/>
          </w:tcPr>
          <w:p w14:paraId="07B148AB"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66" w:type="dxa"/>
            <w:tcBorders>
              <w:top w:val="nil"/>
              <w:left w:val="nil"/>
              <w:bottom w:val="single" w:sz="8" w:space="0" w:color="auto"/>
              <w:right w:val="single" w:sz="8" w:space="0" w:color="auto"/>
            </w:tcBorders>
            <w:shd w:val="clear" w:color="auto" w:fill="auto"/>
            <w:noWrap/>
            <w:vAlign w:val="center"/>
            <w:hideMark/>
          </w:tcPr>
          <w:p w14:paraId="373D8BA2"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2.900.000,00</w:t>
            </w:r>
          </w:p>
        </w:tc>
        <w:tc>
          <w:tcPr>
            <w:tcW w:w="1326" w:type="dxa"/>
            <w:tcBorders>
              <w:top w:val="nil"/>
              <w:left w:val="nil"/>
              <w:bottom w:val="single" w:sz="8" w:space="0" w:color="auto"/>
              <w:right w:val="single" w:sz="8" w:space="0" w:color="auto"/>
            </w:tcBorders>
            <w:shd w:val="clear" w:color="auto" w:fill="auto"/>
            <w:noWrap/>
            <w:vAlign w:val="center"/>
            <w:hideMark/>
          </w:tcPr>
          <w:p w14:paraId="4F229294"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873" w:type="dxa"/>
            <w:tcBorders>
              <w:top w:val="nil"/>
              <w:left w:val="nil"/>
              <w:bottom w:val="single" w:sz="8" w:space="0" w:color="auto"/>
              <w:right w:val="single" w:sz="8" w:space="0" w:color="auto"/>
            </w:tcBorders>
            <w:shd w:val="clear" w:color="auto" w:fill="auto"/>
            <w:noWrap/>
            <w:vAlign w:val="center"/>
            <w:hideMark/>
          </w:tcPr>
          <w:p w14:paraId="7C5E119A"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15.068.749,33</w:t>
            </w:r>
          </w:p>
        </w:tc>
      </w:tr>
      <w:tr w:rsidR="00931CF1" w:rsidRPr="00092ED7" w14:paraId="64B2F046" w14:textId="77777777" w:rsidTr="00812992">
        <w:trPr>
          <w:trHeight w:val="330"/>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1854CEBA"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2025</w:t>
            </w:r>
          </w:p>
        </w:tc>
        <w:tc>
          <w:tcPr>
            <w:tcW w:w="1829" w:type="dxa"/>
            <w:tcBorders>
              <w:top w:val="nil"/>
              <w:left w:val="nil"/>
              <w:bottom w:val="single" w:sz="8" w:space="0" w:color="auto"/>
              <w:right w:val="single" w:sz="8" w:space="0" w:color="auto"/>
            </w:tcBorders>
            <w:shd w:val="clear" w:color="auto" w:fill="auto"/>
            <w:noWrap/>
            <w:vAlign w:val="center"/>
            <w:hideMark/>
          </w:tcPr>
          <w:p w14:paraId="088B6B5F"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67A2DF05"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6E52B5E7"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27" w:type="dxa"/>
            <w:tcBorders>
              <w:top w:val="nil"/>
              <w:left w:val="nil"/>
              <w:bottom w:val="single" w:sz="8" w:space="0" w:color="auto"/>
              <w:right w:val="single" w:sz="8" w:space="0" w:color="auto"/>
            </w:tcBorders>
            <w:shd w:val="clear" w:color="auto" w:fill="auto"/>
            <w:noWrap/>
            <w:vAlign w:val="center"/>
            <w:hideMark/>
          </w:tcPr>
          <w:p w14:paraId="76195F1E"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9.003.230,00</w:t>
            </w:r>
          </w:p>
        </w:tc>
        <w:tc>
          <w:tcPr>
            <w:tcW w:w="1434" w:type="dxa"/>
            <w:tcBorders>
              <w:top w:val="nil"/>
              <w:left w:val="nil"/>
              <w:bottom w:val="single" w:sz="8" w:space="0" w:color="auto"/>
              <w:right w:val="single" w:sz="8" w:space="0" w:color="auto"/>
            </w:tcBorders>
            <w:shd w:val="clear" w:color="auto" w:fill="auto"/>
            <w:noWrap/>
            <w:vAlign w:val="center"/>
            <w:hideMark/>
          </w:tcPr>
          <w:p w14:paraId="4662FA02"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66" w:type="dxa"/>
            <w:tcBorders>
              <w:top w:val="nil"/>
              <w:left w:val="nil"/>
              <w:bottom w:val="single" w:sz="8" w:space="0" w:color="auto"/>
              <w:right w:val="single" w:sz="8" w:space="0" w:color="auto"/>
            </w:tcBorders>
            <w:shd w:val="clear" w:color="auto" w:fill="auto"/>
            <w:noWrap/>
            <w:vAlign w:val="center"/>
            <w:hideMark/>
          </w:tcPr>
          <w:p w14:paraId="5E1DFF28"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326" w:type="dxa"/>
            <w:tcBorders>
              <w:top w:val="nil"/>
              <w:left w:val="nil"/>
              <w:bottom w:val="single" w:sz="8" w:space="0" w:color="auto"/>
              <w:right w:val="single" w:sz="8" w:space="0" w:color="auto"/>
            </w:tcBorders>
            <w:shd w:val="clear" w:color="auto" w:fill="auto"/>
            <w:noWrap/>
            <w:vAlign w:val="center"/>
            <w:hideMark/>
          </w:tcPr>
          <w:p w14:paraId="3FD298F8"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873" w:type="dxa"/>
            <w:tcBorders>
              <w:top w:val="nil"/>
              <w:left w:val="nil"/>
              <w:bottom w:val="single" w:sz="8" w:space="0" w:color="auto"/>
              <w:right w:val="single" w:sz="8" w:space="0" w:color="auto"/>
            </w:tcBorders>
            <w:shd w:val="clear" w:color="auto" w:fill="auto"/>
            <w:noWrap/>
            <w:vAlign w:val="center"/>
            <w:hideMark/>
          </w:tcPr>
          <w:p w14:paraId="0D432A1A"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9.003.230,00</w:t>
            </w:r>
          </w:p>
        </w:tc>
      </w:tr>
      <w:tr w:rsidR="008D7C20" w:rsidRPr="00092ED7" w14:paraId="285A8F03" w14:textId="77777777" w:rsidTr="008D7C20">
        <w:trPr>
          <w:trHeight w:val="345"/>
        </w:trPr>
        <w:tc>
          <w:tcPr>
            <w:tcW w:w="13948" w:type="dxa"/>
            <w:gridSpan w:val="9"/>
            <w:tcBorders>
              <w:top w:val="single" w:sz="8" w:space="0" w:color="auto"/>
              <w:left w:val="single" w:sz="8" w:space="0" w:color="auto"/>
              <w:bottom w:val="single" w:sz="4" w:space="0" w:color="auto"/>
              <w:right w:val="single" w:sz="8" w:space="0" w:color="000000"/>
            </w:tcBorders>
            <w:shd w:val="clear" w:color="000000" w:fill="D0CECE"/>
            <w:vAlign w:val="center"/>
            <w:hideMark/>
          </w:tcPr>
          <w:p w14:paraId="3FB89C8C" w14:textId="77777777" w:rsidR="008D7C20" w:rsidRPr="00092ED7" w:rsidRDefault="008D7C20" w:rsidP="008D7C20">
            <w:pPr>
              <w:spacing w:after="0"/>
              <w:jc w:val="left"/>
              <w:rPr>
                <w:rFonts w:eastAsia="Times New Roman" w:cs="Times New Roman"/>
                <w:b/>
                <w:bCs/>
                <w:color w:val="000000"/>
                <w:sz w:val="20"/>
                <w:szCs w:val="20"/>
                <w:lang w:val="sr-Cyrl-CS"/>
              </w:rPr>
            </w:pPr>
            <w:r w:rsidRPr="00092ED7">
              <w:rPr>
                <w:rFonts w:eastAsia="Times New Roman" w:cs="Times New Roman"/>
                <w:b/>
                <w:bCs/>
                <w:color w:val="000000"/>
                <w:sz w:val="20"/>
                <w:szCs w:val="20"/>
                <w:lang w:val="sr-Cyrl-CS"/>
              </w:rPr>
              <w:t>17. Стварање услова за развој бионаука и биоекономије кроз изградњу БИО4 Кампуса</w:t>
            </w:r>
          </w:p>
        </w:tc>
      </w:tr>
      <w:tr w:rsidR="00931CF1" w:rsidRPr="00092ED7" w14:paraId="5EC9CF51" w14:textId="77777777" w:rsidTr="00812992">
        <w:trPr>
          <w:trHeight w:val="645"/>
        </w:trPr>
        <w:tc>
          <w:tcPr>
            <w:tcW w:w="12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2D2C00"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b/>
                <w:bCs/>
                <w:sz w:val="20"/>
                <w:szCs w:val="20"/>
                <w:lang w:val="sr-Cyrl-CS"/>
              </w:rPr>
              <w:lastRenderedPageBreak/>
              <w:t>Година</w:t>
            </w:r>
          </w:p>
        </w:tc>
        <w:tc>
          <w:tcPr>
            <w:tcW w:w="18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FDC189"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Буџет централног нивоа државе</w:t>
            </w:r>
          </w:p>
        </w:tc>
        <w:tc>
          <w:tcPr>
            <w:tcW w:w="16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F66DD3"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Локални буџети</w:t>
            </w:r>
          </w:p>
        </w:tc>
        <w:tc>
          <w:tcPr>
            <w:tcW w:w="16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E01551"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Други домаћи извори јавних финансија</w:t>
            </w: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9E79DA"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ИПА фондови</w:t>
            </w:r>
          </w:p>
        </w:tc>
        <w:tc>
          <w:tcPr>
            <w:tcW w:w="14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B56739"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Друга бесповратна средства</w:t>
            </w:r>
          </w:p>
        </w:tc>
        <w:tc>
          <w:tcPr>
            <w:tcW w:w="14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45FD68"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Пројектни кредити</w:t>
            </w:r>
          </w:p>
        </w:tc>
        <w:tc>
          <w:tcPr>
            <w:tcW w:w="13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173075"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Тек треба да се утврди</w:t>
            </w:r>
          </w:p>
        </w:tc>
        <w:tc>
          <w:tcPr>
            <w:tcW w:w="187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AAE2C1"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Укупно</w:t>
            </w:r>
          </w:p>
        </w:tc>
      </w:tr>
      <w:tr w:rsidR="00931CF1" w:rsidRPr="00092ED7" w14:paraId="0E6D3F8D" w14:textId="77777777" w:rsidTr="00812992">
        <w:trPr>
          <w:trHeight w:val="330"/>
        </w:trPr>
        <w:tc>
          <w:tcPr>
            <w:tcW w:w="1259"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7F234205"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2023</w:t>
            </w:r>
          </w:p>
        </w:tc>
        <w:tc>
          <w:tcPr>
            <w:tcW w:w="1829" w:type="dxa"/>
            <w:tcBorders>
              <w:top w:val="single" w:sz="4" w:space="0" w:color="auto"/>
              <w:left w:val="nil"/>
              <w:bottom w:val="single" w:sz="8" w:space="0" w:color="auto"/>
              <w:right w:val="single" w:sz="8" w:space="0" w:color="auto"/>
            </w:tcBorders>
            <w:shd w:val="clear" w:color="auto" w:fill="auto"/>
            <w:noWrap/>
            <w:vAlign w:val="center"/>
            <w:hideMark/>
          </w:tcPr>
          <w:p w14:paraId="06A8B3BB"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single" w:sz="4" w:space="0" w:color="auto"/>
              <w:left w:val="nil"/>
              <w:bottom w:val="single" w:sz="8" w:space="0" w:color="auto"/>
              <w:right w:val="single" w:sz="8" w:space="0" w:color="auto"/>
            </w:tcBorders>
            <w:shd w:val="clear" w:color="auto" w:fill="auto"/>
            <w:noWrap/>
            <w:vAlign w:val="center"/>
            <w:hideMark/>
          </w:tcPr>
          <w:p w14:paraId="1103AE6E"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single" w:sz="4" w:space="0" w:color="auto"/>
              <w:left w:val="nil"/>
              <w:bottom w:val="single" w:sz="8" w:space="0" w:color="auto"/>
              <w:right w:val="single" w:sz="8" w:space="0" w:color="auto"/>
            </w:tcBorders>
            <w:shd w:val="clear" w:color="auto" w:fill="auto"/>
            <w:noWrap/>
            <w:vAlign w:val="center"/>
            <w:hideMark/>
          </w:tcPr>
          <w:p w14:paraId="55476CDB"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27" w:type="dxa"/>
            <w:tcBorders>
              <w:top w:val="single" w:sz="4" w:space="0" w:color="auto"/>
              <w:left w:val="nil"/>
              <w:bottom w:val="single" w:sz="8" w:space="0" w:color="auto"/>
              <w:right w:val="single" w:sz="8" w:space="0" w:color="auto"/>
            </w:tcBorders>
            <w:shd w:val="clear" w:color="auto" w:fill="auto"/>
            <w:noWrap/>
            <w:vAlign w:val="center"/>
            <w:hideMark/>
          </w:tcPr>
          <w:p w14:paraId="3027DE8F"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34" w:type="dxa"/>
            <w:tcBorders>
              <w:top w:val="single" w:sz="4" w:space="0" w:color="auto"/>
              <w:left w:val="nil"/>
              <w:bottom w:val="single" w:sz="8" w:space="0" w:color="auto"/>
              <w:right w:val="single" w:sz="8" w:space="0" w:color="auto"/>
            </w:tcBorders>
            <w:shd w:val="clear" w:color="auto" w:fill="auto"/>
            <w:noWrap/>
            <w:vAlign w:val="center"/>
            <w:hideMark/>
          </w:tcPr>
          <w:p w14:paraId="0491D4FE"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66" w:type="dxa"/>
            <w:tcBorders>
              <w:top w:val="single" w:sz="4" w:space="0" w:color="auto"/>
              <w:left w:val="nil"/>
              <w:bottom w:val="single" w:sz="8" w:space="0" w:color="auto"/>
              <w:right w:val="single" w:sz="8" w:space="0" w:color="auto"/>
            </w:tcBorders>
            <w:shd w:val="clear" w:color="auto" w:fill="auto"/>
            <w:noWrap/>
            <w:vAlign w:val="center"/>
            <w:hideMark/>
          </w:tcPr>
          <w:p w14:paraId="69A4BADC"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101.115.000,00</w:t>
            </w:r>
          </w:p>
        </w:tc>
        <w:tc>
          <w:tcPr>
            <w:tcW w:w="1326" w:type="dxa"/>
            <w:tcBorders>
              <w:top w:val="single" w:sz="4" w:space="0" w:color="auto"/>
              <w:left w:val="nil"/>
              <w:bottom w:val="single" w:sz="8" w:space="0" w:color="auto"/>
              <w:right w:val="single" w:sz="8" w:space="0" w:color="auto"/>
            </w:tcBorders>
            <w:shd w:val="clear" w:color="auto" w:fill="auto"/>
            <w:noWrap/>
            <w:vAlign w:val="center"/>
            <w:hideMark/>
          </w:tcPr>
          <w:p w14:paraId="6FA178AA"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873" w:type="dxa"/>
            <w:tcBorders>
              <w:top w:val="single" w:sz="4" w:space="0" w:color="auto"/>
              <w:left w:val="nil"/>
              <w:bottom w:val="single" w:sz="8" w:space="0" w:color="auto"/>
              <w:right w:val="single" w:sz="8" w:space="0" w:color="auto"/>
            </w:tcBorders>
            <w:shd w:val="clear" w:color="auto" w:fill="auto"/>
            <w:noWrap/>
            <w:vAlign w:val="center"/>
            <w:hideMark/>
          </w:tcPr>
          <w:p w14:paraId="209EFD6F"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101.115.000,00</w:t>
            </w:r>
          </w:p>
        </w:tc>
      </w:tr>
      <w:tr w:rsidR="00931CF1" w:rsidRPr="00092ED7" w14:paraId="53C8DDA1" w14:textId="77777777" w:rsidTr="00812992">
        <w:trPr>
          <w:trHeight w:val="330"/>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102BCEDB"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2024</w:t>
            </w:r>
          </w:p>
        </w:tc>
        <w:tc>
          <w:tcPr>
            <w:tcW w:w="1829" w:type="dxa"/>
            <w:tcBorders>
              <w:top w:val="nil"/>
              <w:left w:val="nil"/>
              <w:bottom w:val="single" w:sz="8" w:space="0" w:color="auto"/>
              <w:right w:val="single" w:sz="8" w:space="0" w:color="auto"/>
            </w:tcBorders>
            <w:shd w:val="clear" w:color="auto" w:fill="auto"/>
            <w:noWrap/>
            <w:vAlign w:val="center"/>
            <w:hideMark/>
          </w:tcPr>
          <w:p w14:paraId="7BAB57BC"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7751BFA1"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163178E7"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27" w:type="dxa"/>
            <w:tcBorders>
              <w:top w:val="nil"/>
              <w:left w:val="nil"/>
              <w:bottom w:val="single" w:sz="8" w:space="0" w:color="auto"/>
              <w:right w:val="single" w:sz="8" w:space="0" w:color="auto"/>
            </w:tcBorders>
            <w:shd w:val="clear" w:color="auto" w:fill="auto"/>
            <w:noWrap/>
            <w:vAlign w:val="center"/>
            <w:hideMark/>
          </w:tcPr>
          <w:p w14:paraId="02F801AD"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34" w:type="dxa"/>
            <w:tcBorders>
              <w:top w:val="nil"/>
              <w:left w:val="nil"/>
              <w:bottom w:val="single" w:sz="8" w:space="0" w:color="auto"/>
              <w:right w:val="single" w:sz="8" w:space="0" w:color="auto"/>
            </w:tcBorders>
            <w:shd w:val="clear" w:color="auto" w:fill="auto"/>
            <w:noWrap/>
            <w:vAlign w:val="center"/>
            <w:hideMark/>
          </w:tcPr>
          <w:p w14:paraId="7F64EF75"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66" w:type="dxa"/>
            <w:tcBorders>
              <w:top w:val="nil"/>
              <w:left w:val="nil"/>
              <w:bottom w:val="single" w:sz="8" w:space="0" w:color="auto"/>
              <w:right w:val="single" w:sz="8" w:space="0" w:color="auto"/>
            </w:tcBorders>
            <w:shd w:val="clear" w:color="auto" w:fill="auto"/>
            <w:noWrap/>
            <w:vAlign w:val="center"/>
            <w:hideMark/>
          </w:tcPr>
          <w:p w14:paraId="5E4362C0"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101.115.000,00</w:t>
            </w:r>
          </w:p>
        </w:tc>
        <w:tc>
          <w:tcPr>
            <w:tcW w:w="1326" w:type="dxa"/>
            <w:tcBorders>
              <w:top w:val="nil"/>
              <w:left w:val="nil"/>
              <w:bottom w:val="single" w:sz="8" w:space="0" w:color="auto"/>
              <w:right w:val="single" w:sz="8" w:space="0" w:color="auto"/>
            </w:tcBorders>
            <w:shd w:val="clear" w:color="auto" w:fill="auto"/>
            <w:noWrap/>
            <w:vAlign w:val="center"/>
            <w:hideMark/>
          </w:tcPr>
          <w:p w14:paraId="5A304B45"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873" w:type="dxa"/>
            <w:tcBorders>
              <w:top w:val="nil"/>
              <w:left w:val="nil"/>
              <w:bottom w:val="single" w:sz="8" w:space="0" w:color="auto"/>
              <w:right w:val="single" w:sz="8" w:space="0" w:color="auto"/>
            </w:tcBorders>
            <w:shd w:val="clear" w:color="auto" w:fill="auto"/>
            <w:noWrap/>
            <w:vAlign w:val="center"/>
            <w:hideMark/>
          </w:tcPr>
          <w:p w14:paraId="09C48903"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101.115.000,00</w:t>
            </w:r>
          </w:p>
        </w:tc>
      </w:tr>
      <w:tr w:rsidR="00931CF1" w:rsidRPr="00092ED7" w14:paraId="6A3AE852" w14:textId="77777777" w:rsidTr="00812992">
        <w:trPr>
          <w:trHeight w:val="330"/>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5BEB4367"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2025</w:t>
            </w:r>
          </w:p>
        </w:tc>
        <w:tc>
          <w:tcPr>
            <w:tcW w:w="1829" w:type="dxa"/>
            <w:tcBorders>
              <w:top w:val="nil"/>
              <w:left w:val="nil"/>
              <w:bottom w:val="single" w:sz="8" w:space="0" w:color="auto"/>
              <w:right w:val="single" w:sz="8" w:space="0" w:color="auto"/>
            </w:tcBorders>
            <w:shd w:val="clear" w:color="auto" w:fill="auto"/>
            <w:noWrap/>
            <w:vAlign w:val="center"/>
            <w:hideMark/>
          </w:tcPr>
          <w:p w14:paraId="6B859F0E"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0033D7B9"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5FE77C97"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27" w:type="dxa"/>
            <w:tcBorders>
              <w:top w:val="nil"/>
              <w:left w:val="nil"/>
              <w:bottom w:val="single" w:sz="8" w:space="0" w:color="auto"/>
              <w:right w:val="single" w:sz="8" w:space="0" w:color="auto"/>
            </w:tcBorders>
            <w:shd w:val="clear" w:color="auto" w:fill="auto"/>
            <w:noWrap/>
            <w:vAlign w:val="center"/>
            <w:hideMark/>
          </w:tcPr>
          <w:p w14:paraId="4EA3A963"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34" w:type="dxa"/>
            <w:tcBorders>
              <w:top w:val="nil"/>
              <w:left w:val="nil"/>
              <w:bottom w:val="single" w:sz="8" w:space="0" w:color="auto"/>
              <w:right w:val="single" w:sz="8" w:space="0" w:color="auto"/>
            </w:tcBorders>
            <w:shd w:val="clear" w:color="auto" w:fill="auto"/>
            <w:noWrap/>
            <w:vAlign w:val="center"/>
            <w:hideMark/>
          </w:tcPr>
          <w:p w14:paraId="77A61ED7"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66" w:type="dxa"/>
            <w:tcBorders>
              <w:top w:val="nil"/>
              <w:left w:val="nil"/>
              <w:bottom w:val="single" w:sz="8" w:space="0" w:color="auto"/>
              <w:right w:val="single" w:sz="8" w:space="0" w:color="auto"/>
            </w:tcBorders>
            <w:shd w:val="clear" w:color="auto" w:fill="auto"/>
            <w:noWrap/>
            <w:vAlign w:val="center"/>
            <w:hideMark/>
          </w:tcPr>
          <w:p w14:paraId="3AFA232E"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100.000.000,00</w:t>
            </w:r>
          </w:p>
        </w:tc>
        <w:tc>
          <w:tcPr>
            <w:tcW w:w="1326" w:type="dxa"/>
            <w:tcBorders>
              <w:top w:val="nil"/>
              <w:left w:val="nil"/>
              <w:bottom w:val="single" w:sz="8" w:space="0" w:color="auto"/>
              <w:right w:val="single" w:sz="8" w:space="0" w:color="auto"/>
            </w:tcBorders>
            <w:shd w:val="clear" w:color="auto" w:fill="auto"/>
            <w:noWrap/>
            <w:vAlign w:val="center"/>
            <w:hideMark/>
          </w:tcPr>
          <w:p w14:paraId="292465F7"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873" w:type="dxa"/>
            <w:tcBorders>
              <w:top w:val="nil"/>
              <w:left w:val="nil"/>
              <w:bottom w:val="single" w:sz="8" w:space="0" w:color="auto"/>
              <w:right w:val="single" w:sz="8" w:space="0" w:color="auto"/>
            </w:tcBorders>
            <w:shd w:val="clear" w:color="auto" w:fill="auto"/>
            <w:noWrap/>
            <w:vAlign w:val="center"/>
            <w:hideMark/>
          </w:tcPr>
          <w:p w14:paraId="74688ECB"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100.000.000,00</w:t>
            </w:r>
          </w:p>
        </w:tc>
      </w:tr>
      <w:tr w:rsidR="008D7C20" w:rsidRPr="00092ED7" w14:paraId="2FD7E4EF" w14:textId="77777777" w:rsidTr="008D7C20">
        <w:trPr>
          <w:trHeight w:val="330"/>
        </w:trPr>
        <w:tc>
          <w:tcPr>
            <w:tcW w:w="13948" w:type="dxa"/>
            <w:gridSpan w:val="9"/>
            <w:tcBorders>
              <w:top w:val="single" w:sz="8" w:space="0" w:color="auto"/>
              <w:left w:val="single" w:sz="8" w:space="0" w:color="auto"/>
              <w:bottom w:val="single" w:sz="8" w:space="0" w:color="auto"/>
              <w:right w:val="single" w:sz="8" w:space="0" w:color="auto"/>
            </w:tcBorders>
            <w:shd w:val="clear" w:color="000000" w:fill="D0CECE"/>
            <w:noWrap/>
            <w:vAlign w:val="center"/>
            <w:hideMark/>
          </w:tcPr>
          <w:p w14:paraId="70EF8540" w14:textId="77777777" w:rsidR="008D7C20" w:rsidRPr="00092ED7" w:rsidRDefault="008D7C20" w:rsidP="008D7C20">
            <w:pPr>
              <w:spacing w:after="0"/>
              <w:jc w:val="left"/>
              <w:rPr>
                <w:rFonts w:eastAsia="Times New Roman" w:cs="Times New Roman"/>
                <w:b/>
                <w:bCs/>
                <w:color w:val="000000"/>
                <w:sz w:val="20"/>
                <w:szCs w:val="20"/>
                <w:lang w:val="sr-Cyrl-CS"/>
              </w:rPr>
            </w:pPr>
            <w:r w:rsidRPr="00092ED7">
              <w:rPr>
                <w:rFonts w:eastAsia="Times New Roman" w:cs="Times New Roman"/>
                <w:b/>
                <w:bCs/>
                <w:color w:val="000000"/>
                <w:sz w:val="20"/>
                <w:szCs w:val="20"/>
                <w:lang w:val="sr-Cyrl-CS"/>
              </w:rPr>
              <w:t>18. Унапређење услова и уклањање препрека трговини</w:t>
            </w:r>
          </w:p>
        </w:tc>
      </w:tr>
      <w:tr w:rsidR="00931CF1" w:rsidRPr="00092ED7" w14:paraId="32EE1E5E" w14:textId="77777777" w:rsidTr="00812992">
        <w:trPr>
          <w:trHeight w:val="645"/>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087661E5"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b/>
                <w:bCs/>
                <w:sz w:val="20"/>
                <w:szCs w:val="20"/>
                <w:lang w:val="sr-Cyrl-CS"/>
              </w:rPr>
              <w:t>Година</w:t>
            </w:r>
          </w:p>
        </w:tc>
        <w:tc>
          <w:tcPr>
            <w:tcW w:w="1829" w:type="dxa"/>
            <w:tcBorders>
              <w:top w:val="nil"/>
              <w:left w:val="nil"/>
              <w:bottom w:val="single" w:sz="8" w:space="0" w:color="auto"/>
              <w:right w:val="single" w:sz="8" w:space="0" w:color="auto"/>
            </w:tcBorders>
            <w:shd w:val="clear" w:color="auto" w:fill="auto"/>
            <w:vAlign w:val="center"/>
            <w:hideMark/>
          </w:tcPr>
          <w:p w14:paraId="40964317"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Буџет централног нивоа државе</w:t>
            </w:r>
          </w:p>
        </w:tc>
        <w:tc>
          <w:tcPr>
            <w:tcW w:w="1617" w:type="dxa"/>
            <w:tcBorders>
              <w:top w:val="nil"/>
              <w:left w:val="nil"/>
              <w:bottom w:val="single" w:sz="8" w:space="0" w:color="auto"/>
              <w:right w:val="single" w:sz="8" w:space="0" w:color="auto"/>
            </w:tcBorders>
            <w:shd w:val="clear" w:color="auto" w:fill="auto"/>
            <w:noWrap/>
            <w:vAlign w:val="center"/>
            <w:hideMark/>
          </w:tcPr>
          <w:p w14:paraId="5F98AC56"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Локални буџети</w:t>
            </w:r>
          </w:p>
        </w:tc>
        <w:tc>
          <w:tcPr>
            <w:tcW w:w="1617" w:type="dxa"/>
            <w:tcBorders>
              <w:top w:val="nil"/>
              <w:left w:val="nil"/>
              <w:bottom w:val="single" w:sz="8" w:space="0" w:color="auto"/>
              <w:right w:val="single" w:sz="8" w:space="0" w:color="auto"/>
            </w:tcBorders>
            <w:shd w:val="clear" w:color="auto" w:fill="auto"/>
            <w:vAlign w:val="center"/>
            <w:hideMark/>
          </w:tcPr>
          <w:p w14:paraId="7F18370E"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Други домаћи извори јавних финансија</w:t>
            </w:r>
          </w:p>
        </w:tc>
        <w:tc>
          <w:tcPr>
            <w:tcW w:w="1527" w:type="dxa"/>
            <w:tcBorders>
              <w:top w:val="nil"/>
              <w:left w:val="nil"/>
              <w:bottom w:val="single" w:sz="8" w:space="0" w:color="auto"/>
              <w:right w:val="single" w:sz="8" w:space="0" w:color="auto"/>
            </w:tcBorders>
            <w:shd w:val="clear" w:color="auto" w:fill="auto"/>
            <w:noWrap/>
            <w:vAlign w:val="center"/>
            <w:hideMark/>
          </w:tcPr>
          <w:p w14:paraId="5F050FCA"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ИПА фондови</w:t>
            </w:r>
          </w:p>
        </w:tc>
        <w:tc>
          <w:tcPr>
            <w:tcW w:w="1434" w:type="dxa"/>
            <w:tcBorders>
              <w:top w:val="nil"/>
              <w:left w:val="nil"/>
              <w:bottom w:val="single" w:sz="8" w:space="0" w:color="auto"/>
              <w:right w:val="single" w:sz="8" w:space="0" w:color="auto"/>
            </w:tcBorders>
            <w:shd w:val="clear" w:color="auto" w:fill="auto"/>
            <w:noWrap/>
            <w:vAlign w:val="center"/>
            <w:hideMark/>
          </w:tcPr>
          <w:p w14:paraId="603BB463"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Друга бесповратна средства</w:t>
            </w:r>
          </w:p>
        </w:tc>
        <w:tc>
          <w:tcPr>
            <w:tcW w:w="1466" w:type="dxa"/>
            <w:tcBorders>
              <w:top w:val="nil"/>
              <w:left w:val="nil"/>
              <w:bottom w:val="single" w:sz="8" w:space="0" w:color="auto"/>
              <w:right w:val="single" w:sz="8" w:space="0" w:color="auto"/>
            </w:tcBorders>
            <w:shd w:val="clear" w:color="auto" w:fill="auto"/>
            <w:noWrap/>
            <w:vAlign w:val="center"/>
            <w:hideMark/>
          </w:tcPr>
          <w:p w14:paraId="6D842B67"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Пројектни кредити</w:t>
            </w:r>
          </w:p>
        </w:tc>
        <w:tc>
          <w:tcPr>
            <w:tcW w:w="1326" w:type="dxa"/>
            <w:tcBorders>
              <w:top w:val="nil"/>
              <w:left w:val="nil"/>
              <w:bottom w:val="single" w:sz="8" w:space="0" w:color="auto"/>
              <w:right w:val="single" w:sz="8" w:space="0" w:color="auto"/>
            </w:tcBorders>
            <w:shd w:val="clear" w:color="auto" w:fill="auto"/>
            <w:noWrap/>
            <w:vAlign w:val="center"/>
            <w:hideMark/>
          </w:tcPr>
          <w:p w14:paraId="02820EC6"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Тек треба да се утврди</w:t>
            </w:r>
          </w:p>
        </w:tc>
        <w:tc>
          <w:tcPr>
            <w:tcW w:w="1873" w:type="dxa"/>
            <w:tcBorders>
              <w:top w:val="nil"/>
              <w:left w:val="nil"/>
              <w:bottom w:val="single" w:sz="8" w:space="0" w:color="auto"/>
              <w:right w:val="single" w:sz="8" w:space="0" w:color="auto"/>
            </w:tcBorders>
            <w:shd w:val="clear" w:color="auto" w:fill="auto"/>
            <w:noWrap/>
            <w:vAlign w:val="center"/>
            <w:hideMark/>
          </w:tcPr>
          <w:p w14:paraId="527D7B40"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Укупно</w:t>
            </w:r>
          </w:p>
        </w:tc>
      </w:tr>
      <w:tr w:rsidR="00931CF1" w:rsidRPr="00092ED7" w14:paraId="0D752D15" w14:textId="77777777" w:rsidTr="00812992">
        <w:trPr>
          <w:trHeight w:val="330"/>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740FDE00"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2023</w:t>
            </w:r>
          </w:p>
        </w:tc>
        <w:tc>
          <w:tcPr>
            <w:tcW w:w="1829" w:type="dxa"/>
            <w:tcBorders>
              <w:top w:val="nil"/>
              <w:left w:val="nil"/>
              <w:bottom w:val="single" w:sz="8" w:space="0" w:color="auto"/>
              <w:right w:val="single" w:sz="8" w:space="0" w:color="auto"/>
            </w:tcBorders>
            <w:shd w:val="clear" w:color="auto" w:fill="auto"/>
            <w:noWrap/>
            <w:vAlign w:val="center"/>
            <w:hideMark/>
          </w:tcPr>
          <w:p w14:paraId="1FC4AEBF"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19.770,00</w:t>
            </w:r>
          </w:p>
        </w:tc>
        <w:tc>
          <w:tcPr>
            <w:tcW w:w="1617" w:type="dxa"/>
            <w:tcBorders>
              <w:top w:val="nil"/>
              <w:left w:val="nil"/>
              <w:bottom w:val="single" w:sz="8" w:space="0" w:color="auto"/>
              <w:right w:val="single" w:sz="8" w:space="0" w:color="auto"/>
            </w:tcBorders>
            <w:shd w:val="clear" w:color="auto" w:fill="auto"/>
            <w:noWrap/>
            <w:vAlign w:val="center"/>
            <w:hideMark/>
          </w:tcPr>
          <w:p w14:paraId="57709BE5"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1619771C"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27" w:type="dxa"/>
            <w:tcBorders>
              <w:top w:val="nil"/>
              <w:left w:val="nil"/>
              <w:bottom w:val="single" w:sz="8" w:space="0" w:color="auto"/>
              <w:right w:val="single" w:sz="8" w:space="0" w:color="auto"/>
            </w:tcBorders>
            <w:shd w:val="clear" w:color="auto" w:fill="auto"/>
            <w:noWrap/>
            <w:vAlign w:val="center"/>
            <w:hideMark/>
          </w:tcPr>
          <w:p w14:paraId="69FB3B9F"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34" w:type="dxa"/>
            <w:tcBorders>
              <w:top w:val="nil"/>
              <w:left w:val="nil"/>
              <w:bottom w:val="single" w:sz="8" w:space="0" w:color="auto"/>
              <w:right w:val="single" w:sz="8" w:space="0" w:color="auto"/>
            </w:tcBorders>
            <w:shd w:val="clear" w:color="auto" w:fill="auto"/>
            <w:noWrap/>
            <w:vAlign w:val="center"/>
            <w:hideMark/>
          </w:tcPr>
          <w:p w14:paraId="662B236B"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40.000,00</w:t>
            </w:r>
          </w:p>
        </w:tc>
        <w:tc>
          <w:tcPr>
            <w:tcW w:w="1466" w:type="dxa"/>
            <w:tcBorders>
              <w:top w:val="nil"/>
              <w:left w:val="nil"/>
              <w:bottom w:val="single" w:sz="8" w:space="0" w:color="auto"/>
              <w:right w:val="single" w:sz="8" w:space="0" w:color="auto"/>
            </w:tcBorders>
            <w:shd w:val="clear" w:color="auto" w:fill="auto"/>
            <w:noWrap/>
            <w:vAlign w:val="center"/>
            <w:hideMark/>
          </w:tcPr>
          <w:p w14:paraId="1FFAA5DA"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326" w:type="dxa"/>
            <w:tcBorders>
              <w:top w:val="nil"/>
              <w:left w:val="nil"/>
              <w:bottom w:val="single" w:sz="8" w:space="0" w:color="auto"/>
              <w:right w:val="single" w:sz="8" w:space="0" w:color="auto"/>
            </w:tcBorders>
            <w:shd w:val="clear" w:color="auto" w:fill="auto"/>
            <w:noWrap/>
            <w:vAlign w:val="center"/>
            <w:hideMark/>
          </w:tcPr>
          <w:p w14:paraId="6DB957D6"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873" w:type="dxa"/>
            <w:tcBorders>
              <w:top w:val="nil"/>
              <w:left w:val="nil"/>
              <w:bottom w:val="single" w:sz="8" w:space="0" w:color="auto"/>
              <w:right w:val="single" w:sz="8" w:space="0" w:color="auto"/>
            </w:tcBorders>
            <w:shd w:val="clear" w:color="auto" w:fill="auto"/>
            <w:noWrap/>
            <w:vAlign w:val="center"/>
            <w:hideMark/>
          </w:tcPr>
          <w:p w14:paraId="7A6B9D0E"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59.770,00</w:t>
            </w:r>
          </w:p>
        </w:tc>
      </w:tr>
      <w:tr w:rsidR="00931CF1" w:rsidRPr="00092ED7" w14:paraId="7EFD36B3" w14:textId="77777777" w:rsidTr="00812992">
        <w:trPr>
          <w:trHeight w:val="330"/>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634F3001"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2024</w:t>
            </w:r>
          </w:p>
        </w:tc>
        <w:tc>
          <w:tcPr>
            <w:tcW w:w="1829" w:type="dxa"/>
            <w:tcBorders>
              <w:top w:val="nil"/>
              <w:left w:val="nil"/>
              <w:bottom w:val="single" w:sz="8" w:space="0" w:color="auto"/>
              <w:right w:val="single" w:sz="8" w:space="0" w:color="auto"/>
            </w:tcBorders>
            <w:shd w:val="clear" w:color="auto" w:fill="auto"/>
            <w:noWrap/>
            <w:vAlign w:val="center"/>
            <w:hideMark/>
          </w:tcPr>
          <w:p w14:paraId="6FF18B19"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19.770,00</w:t>
            </w:r>
          </w:p>
        </w:tc>
        <w:tc>
          <w:tcPr>
            <w:tcW w:w="1617" w:type="dxa"/>
            <w:tcBorders>
              <w:top w:val="nil"/>
              <w:left w:val="nil"/>
              <w:bottom w:val="single" w:sz="8" w:space="0" w:color="auto"/>
              <w:right w:val="single" w:sz="8" w:space="0" w:color="auto"/>
            </w:tcBorders>
            <w:shd w:val="clear" w:color="auto" w:fill="auto"/>
            <w:noWrap/>
            <w:vAlign w:val="center"/>
            <w:hideMark/>
          </w:tcPr>
          <w:p w14:paraId="20723E23"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59C68886"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27" w:type="dxa"/>
            <w:tcBorders>
              <w:top w:val="nil"/>
              <w:left w:val="nil"/>
              <w:bottom w:val="single" w:sz="8" w:space="0" w:color="auto"/>
              <w:right w:val="single" w:sz="8" w:space="0" w:color="auto"/>
            </w:tcBorders>
            <w:shd w:val="clear" w:color="auto" w:fill="auto"/>
            <w:noWrap/>
            <w:vAlign w:val="center"/>
            <w:hideMark/>
          </w:tcPr>
          <w:p w14:paraId="30706548"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34" w:type="dxa"/>
            <w:tcBorders>
              <w:top w:val="nil"/>
              <w:left w:val="nil"/>
              <w:bottom w:val="single" w:sz="8" w:space="0" w:color="auto"/>
              <w:right w:val="single" w:sz="8" w:space="0" w:color="auto"/>
            </w:tcBorders>
            <w:shd w:val="clear" w:color="auto" w:fill="auto"/>
            <w:noWrap/>
            <w:vAlign w:val="center"/>
            <w:hideMark/>
          </w:tcPr>
          <w:p w14:paraId="62EA4482"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15.000,00</w:t>
            </w:r>
          </w:p>
        </w:tc>
        <w:tc>
          <w:tcPr>
            <w:tcW w:w="1466" w:type="dxa"/>
            <w:tcBorders>
              <w:top w:val="nil"/>
              <w:left w:val="nil"/>
              <w:bottom w:val="single" w:sz="8" w:space="0" w:color="auto"/>
              <w:right w:val="single" w:sz="8" w:space="0" w:color="auto"/>
            </w:tcBorders>
            <w:shd w:val="clear" w:color="auto" w:fill="auto"/>
            <w:noWrap/>
            <w:vAlign w:val="center"/>
            <w:hideMark/>
          </w:tcPr>
          <w:p w14:paraId="505328C2"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326" w:type="dxa"/>
            <w:tcBorders>
              <w:top w:val="nil"/>
              <w:left w:val="nil"/>
              <w:bottom w:val="single" w:sz="8" w:space="0" w:color="auto"/>
              <w:right w:val="single" w:sz="8" w:space="0" w:color="auto"/>
            </w:tcBorders>
            <w:shd w:val="clear" w:color="auto" w:fill="auto"/>
            <w:noWrap/>
            <w:vAlign w:val="center"/>
            <w:hideMark/>
          </w:tcPr>
          <w:p w14:paraId="214F8C25"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873" w:type="dxa"/>
            <w:tcBorders>
              <w:top w:val="nil"/>
              <w:left w:val="nil"/>
              <w:bottom w:val="single" w:sz="8" w:space="0" w:color="auto"/>
              <w:right w:val="single" w:sz="8" w:space="0" w:color="auto"/>
            </w:tcBorders>
            <w:shd w:val="clear" w:color="auto" w:fill="auto"/>
            <w:noWrap/>
            <w:vAlign w:val="center"/>
            <w:hideMark/>
          </w:tcPr>
          <w:p w14:paraId="03C02FFA"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34.770,00</w:t>
            </w:r>
          </w:p>
        </w:tc>
      </w:tr>
      <w:tr w:rsidR="00931CF1" w:rsidRPr="00092ED7" w14:paraId="35768DD0" w14:textId="77777777" w:rsidTr="00812992">
        <w:trPr>
          <w:trHeight w:val="330"/>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532869A9"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2025</w:t>
            </w:r>
          </w:p>
        </w:tc>
        <w:tc>
          <w:tcPr>
            <w:tcW w:w="1829" w:type="dxa"/>
            <w:tcBorders>
              <w:top w:val="nil"/>
              <w:left w:val="nil"/>
              <w:bottom w:val="single" w:sz="8" w:space="0" w:color="auto"/>
              <w:right w:val="single" w:sz="8" w:space="0" w:color="auto"/>
            </w:tcBorders>
            <w:shd w:val="clear" w:color="auto" w:fill="auto"/>
            <w:noWrap/>
            <w:vAlign w:val="center"/>
            <w:hideMark/>
          </w:tcPr>
          <w:p w14:paraId="506A6351"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19.770,00</w:t>
            </w:r>
          </w:p>
        </w:tc>
        <w:tc>
          <w:tcPr>
            <w:tcW w:w="1617" w:type="dxa"/>
            <w:tcBorders>
              <w:top w:val="nil"/>
              <w:left w:val="nil"/>
              <w:bottom w:val="single" w:sz="8" w:space="0" w:color="auto"/>
              <w:right w:val="single" w:sz="8" w:space="0" w:color="auto"/>
            </w:tcBorders>
            <w:shd w:val="clear" w:color="auto" w:fill="auto"/>
            <w:noWrap/>
            <w:vAlign w:val="center"/>
            <w:hideMark/>
          </w:tcPr>
          <w:p w14:paraId="1C70FBFC"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357FB90E"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27" w:type="dxa"/>
            <w:tcBorders>
              <w:top w:val="nil"/>
              <w:left w:val="nil"/>
              <w:bottom w:val="single" w:sz="8" w:space="0" w:color="auto"/>
              <w:right w:val="single" w:sz="8" w:space="0" w:color="auto"/>
            </w:tcBorders>
            <w:shd w:val="clear" w:color="auto" w:fill="auto"/>
            <w:noWrap/>
            <w:vAlign w:val="center"/>
            <w:hideMark/>
          </w:tcPr>
          <w:p w14:paraId="7FEB2500"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34" w:type="dxa"/>
            <w:tcBorders>
              <w:top w:val="nil"/>
              <w:left w:val="nil"/>
              <w:bottom w:val="single" w:sz="8" w:space="0" w:color="auto"/>
              <w:right w:val="single" w:sz="8" w:space="0" w:color="auto"/>
            </w:tcBorders>
            <w:shd w:val="clear" w:color="auto" w:fill="auto"/>
            <w:noWrap/>
            <w:vAlign w:val="center"/>
            <w:hideMark/>
          </w:tcPr>
          <w:p w14:paraId="7AF765CF"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66" w:type="dxa"/>
            <w:tcBorders>
              <w:top w:val="nil"/>
              <w:left w:val="nil"/>
              <w:bottom w:val="single" w:sz="8" w:space="0" w:color="auto"/>
              <w:right w:val="single" w:sz="8" w:space="0" w:color="auto"/>
            </w:tcBorders>
            <w:shd w:val="clear" w:color="auto" w:fill="auto"/>
            <w:noWrap/>
            <w:vAlign w:val="center"/>
            <w:hideMark/>
          </w:tcPr>
          <w:p w14:paraId="0009BD4D"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326" w:type="dxa"/>
            <w:tcBorders>
              <w:top w:val="nil"/>
              <w:left w:val="nil"/>
              <w:bottom w:val="single" w:sz="8" w:space="0" w:color="auto"/>
              <w:right w:val="single" w:sz="8" w:space="0" w:color="auto"/>
            </w:tcBorders>
            <w:shd w:val="clear" w:color="auto" w:fill="auto"/>
            <w:noWrap/>
            <w:vAlign w:val="center"/>
            <w:hideMark/>
          </w:tcPr>
          <w:p w14:paraId="10AFD345"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873" w:type="dxa"/>
            <w:tcBorders>
              <w:top w:val="nil"/>
              <w:left w:val="nil"/>
              <w:bottom w:val="single" w:sz="8" w:space="0" w:color="auto"/>
              <w:right w:val="single" w:sz="8" w:space="0" w:color="auto"/>
            </w:tcBorders>
            <w:shd w:val="clear" w:color="auto" w:fill="auto"/>
            <w:noWrap/>
            <w:vAlign w:val="center"/>
            <w:hideMark/>
          </w:tcPr>
          <w:p w14:paraId="4448BC8F"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19.770,00</w:t>
            </w:r>
          </w:p>
        </w:tc>
      </w:tr>
      <w:tr w:rsidR="008D7C20" w:rsidRPr="00092ED7" w14:paraId="365083BA" w14:textId="77777777" w:rsidTr="008D7C20">
        <w:trPr>
          <w:trHeight w:val="330"/>
        </w:trPr>
        <w:tc>
          <w:tcPr>
            <w:tcW w:w="13948" w:type="dxa"/>
            <w:gridSpan w:val="9"/>
            <w:tcBorders>
              <w:top w:val="single" w:sz="8" w:space="0" w:color="auto"/>
              <w:left w:val="single" w:sz="8" w:space="0" w:color="auto"/>
              <w:bottom w:val="single" w:sz="4" w:space="0" w:color="auto"/>
              <w:right w:val="single" w:sz="8" w:space="0" w:color="auto"/>
            </w:tcBorders>
            <w:shd w:val="clear" w:color="000000" w:fill="D0CECE"/>
            <w:noWrap/>
            <w:vAlign w:val="center"/>
            <w:hideMark/>
          </w:tcPr>
          <w:p w14:paraId="202B405A" w14:textId="77777777" w:rsidR="008D7C20" w:rsidRPr="00092ED7" w:rsidRDefault="008D7C20" w:rsidP="008D7C20">
            <w:pPr>
              <w:spacing w:after="0"/>
              <w:jc w:val="left"/>
              <w:rPr>
                <w:rFonts w:eastAsia="Times New Roman" w:cs="Times New Roman"/>
                <w:b/>
                <w:bCs/>
                <w:color w:val="000000"/>
                <w:sz w:val="20"/>
                <w:szCs w:val="20"/>
                <w:lang w:val="sr-Cyrl-CS"/>
              </w:rPr>
            </w:pPr>
            <w:r w:rsidRPr="00092ED7">
              <w:rPr>
                <w:rFonts w:eastAsia="Times New Roman" w:cs="Times New Roman"/>
                <w:b/>
                <w:bCs/>
                <w:color w:val="000000"/>
                <w:sz w:val="20"/>
                <w:szCs w:val="20"/>
                <w:lang w:val="sr-Cyrl-CS"/>
              </w:rPr>
              <w:t>19. Унапређење ефикасности и безбедности у железничком саобраћају</w:t>
            </w:r>
          </w:p>
        </w:tc>
      </w:tr>
      <w:tr w:rsidR="00931CF1" w:rsidRPr="00092ED7" w14:paraId="0A2D6FE5" w14:textId="77777777" w:rsidTr="00812992">
        <w:trPr>
          <w:trHeight w:val="645"/>
        </w:trPr>
        <w:tc>
          <w:tcPr>
            <w:tcW w:w="12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DA57E7"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b/>
                <w:bCs/>
                <w:sz w:val="20"/>
                <w:szCs w:val="20"/>
                <w:lang w:val="sr-Cyrl-CS"/>
              </w:rPr>
              <w:t>Година</w:t>
            </w:r>
          </w:p>
        </w:tc>
        <w:tc>
          <w:tcPr>
            <w:tcW w:w="18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6B10E2"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Буџет централног нивоа државе</w:t>
            </w:r>
          </w:p>
        </w:tc>
        <w:tc>
          <w:tcPr>
            <w:tcW w:w="16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739162"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Локални буџети</w:t>
            </w:r>
          </w:p>
        </w:tc>
        <w:tc>
          <w:tcPr>
            <w:tcW w:w="16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9D29ED"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Други домаћи извори јавних финансија</w:t>
            </w: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5E5451"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ИПА фондови</w:t>
            </w:r>
          </w:p>
        </w:tc>
        <w:tc>
          <w:tcPr>
            <w:tcW w:w="14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D5A4DC"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Друга бесповратна средства</w:t>
            </w:r>
          </w:p>
        </w:tc>
        <w:tc>
          <w:tcPr>
            <w:tcW w:w="14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224218"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Пројкетни кредити</w:t>
            </w:r>
          </w:p>
        </w:tc>
        <w:tc>
          <w:tcPr>
            <w:tcW w:w="13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4E7913"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Тек треба да се утврди</w:t>
            </w:r>
          </w:p>
        </w:tc>
        <w:tc>
          <w:tcPr>
            <w:tcW w:w="187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878607"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Укупно</w:t>
            </w:r>
          </w:p>
        </w:tc>
      </w:tr>
      <w:tr w:rsidR="00931CF1" w:rsidRPr="00092ED7" w14:paraId="62AFDB0A" w14:textId="77777777" w:rsidTr="00812992">
        <w:trPr>
          <w:trHeight w:val="330"/>
        </w:trPr>
        <w:tc>
          <w:tcPr>
            <w:tcW w:w="1259"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0C2A6442"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2023</w:t>
            </w:r>
          </w:p>
        </w:tc>
        <w:tc>
          <w:tcPr>
            <w:tcW w:w="1829" w:type="dxa"/>
            <w:tcBorders>
              <w:top w:val="single" w:sz="4" w:space="0" w:color="auto"/>
              <w:left w:val="nil"/>
              <w:bottom w:val="single" w:sz="8" w:space="0" w:color="auto"/>
              <w:right w:val="single" w:sz="8" w:space="0" w:color="auto"/>
            </w:tcBorders>
            <w:shd w:val="clear" w:color="auto" w:fill="auto"/>
            <w:noWrap/>
            <w:vAlign w:val="center"/>
            <w:hideMark/>
          </w:tcPr>
          <w:p w14:paraId="5154F711"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3.382.270,33</w:t>
            </w:r>
          </w:p>
        </w:tc>
        <w:tc>
          <w:tcPr>
            <w:tcW w:w="1617" w:type="dxa"/>
            <w:tcBorders>
              <w:top w:val="single" w:sz="4" w:space="0" w:color="auto"/>
              <w:left w:val="nil"/>
              <w:bottom w:val="single" w:sz="8" w:space="0" w:color="auto"/>
              <w:right w:val="single" w:sz="8" w:space="0" w:color="auto"/>
            </w:tcBorders>
            <w:shd w:val="clear" w:color="auto" w:fill="auto"/>
            <w:noWrap/>
            <w:vAlign w:val="center"/>
            <w:hideMark/>
          </w:tcPr>
          <w:p w14:paraId="43971EC4"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single" w:sz="4" w:space="0" w:color="auto"/>
              <w:left w:val="nil"/>
              <w:bottom w:val="single" w:sz="8" w:space="0" w:color="auto"/>
              <w:right w:val="single" w:sz="8" w:space="0" w:color="auto"/>
            </w:tcBorders>
            <w:shd w:val="clear" w:color="auto" w:fill="auto"/>
            <w:noWrap/>
            <w:vAlign w:val="center"/>
            <w:hideMark/>
          </w:tcPr>
          <w:p w14:paraId="17842C02"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27" w:type="dxa"/>
            <w:tcBorders>
              <w:top w:val="single" w:sz="4" w:space="0" w:color="auto"/>
              <w:left w:val="nil"/>
              <w:bottom w:val="single" w:sz="8" w:space="0" w:color="auto"/>
              <w:right w:val="single" w:sz="8" w:space="0" w:color="auto"/>
            </w:tcBorders>
            <w:shd w:val="clear" w:color="auto" w:fill="auto"/>
            <w:noWrap/>
            <w:vAlign w:val="center"/>
            <w:hideMark/>
          </w:tcPr>
          <w:p w14:paraId="4499044B"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34" w:type="dxa"/>
            <w:tcBorders>
              <w:top w:val="single" w:sz="4" w:space="0" w:color="auto"/>
              <w:left w:val="nil"/>
              <w:bottom w:val="single" w:sz="8" w:space="0" w:color="auto"/>
              <w:right w:val="single" w:sz="8" w:space="0" w:color="auto"/>
            </w:tcBorders>
            <w:shd w:val="clear" w:color="auto" w:fill="auto"/>
            <w:noWrap/>
            <w:vAlign w:val="center"/>
            <w:hideMark/>
          </w:tcPr>
          <w:p w14:paraId="3D469A99"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66" w:type="dxa"/>
            <w:tcBorders>
              <w:top w:val="single" w:sz="4" w:space="0" w:color="auto"/>
              <w:left w:val="nil"/>
              <w:bottom w:val="single" w:sz="8" w:space="0" w:color="auto"/>
              <w:right w:val="single" w:sz="8" w:space="0" w:color="auto"/>
            </w:tcBorders>
            <w:shd w:val="clear" w:color="auto" w:fill="auto"/>
            <w:noWrap/>
            <w:vAlign w:val="center"/>
            <w:hideMark/>
          </w:tcPr>
          <w:p w14:paraId="58A5A1E4"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14.283.333,00</w:t>
            </w:r>
          </w:p>
        </w:tc>
        <w:tc>
          <w:tcPr>
            <w:tcW w:w="1326" w:type="dxa"/>
            <w:tcBorders>
              <w:top w:val="single" w:sz="4" w:space="0" w:color="auto"/>
              <w:left w:val="nil"/>
              <w:bottom w:val="single" w:sz="8" w:space="0" w:color="auto"/>
              <w:right w:val="single" w:sz="8" w:space="0" w:color="auto"/>
            </w:tcBorders>
            <w:shd w:val="clear" w:color="auto" w:fill="auto"/>
            <w:noWrap/>
            <w:vAlign w:val="center"/>
            <w:hideMark/>
          </w:tcPr>
          <w:p w14:paraId="65409E83"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873" w:type="dxa"/>
            <w:tcBorders>
              <w:top w:val="single" w:sz="4" w:space="0" w:color="auto"/>
              <w:left w:val="nil"/>
              <w:bottom w:val="single" w:sz="8" w:space="0" w:color="auto"/>
              <w:right w:val="single" w:sz="8" w:space="0" w:color="auto"/>
            </w:tcBorders>
            <w:shd w:val="clear" w:color="auto" w:fill="auto"/>
            <w:noWrap/>
            <w:vAlign w:val="center"/>
            <w:hideMark/>
          </w:tcPr>
          <w:p w14:paraId="7B0DFD00"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17.665.603,33</w:t>
            </w:r>
          </w:p>
        </w:tc>
      </w:tr>
      <w:tr w:rsidR="00931CF1" w:rsidRPr="00092ED7" w14:paraId="4AD52FF4" w14:textId="77777777" w:rsidTr="00812992">
        <w:trPr>
          <w:trHeight w:val="330"/>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0F72FA28"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2024</w:t>
            </w:r>
          </w:p>
        </w:tc>
        <w:tc>
          <w:tcPr>
            <w:tcW w:w="1829" w:type="dxa"/>
            <w:tcBorders>
              <w:top w:val="nil"/>
              <w:left w:val="nil"/>
              <w:bottom w:val="single" w:sz="8" w:space="0" w:color="auto"/>
              <w:right w:val="single" w:sz="8" w:space="0" w:color="auto"/>
            </w:tcBorders>
            <w:shd w:val="clear" w:color="auto" w:fill="auto"/>
            <w:noWrap/>
            <w:vAlign w:val="center"/>
            <w:hideMark/>
          </w:tcPr>
          <w:p w14:paraId="48F39D1C"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48.340,00</w:t>
            </w:r>
          </w:p>
        </w:tc>
        <w:tc>
          <w:tcPr>
            <w:tcW w:w="1617" w:type="dxa"/>
            <w:tcBorders>
              <w:top w:val="nil"/>
              <w:left w:val="nil"/>
              <w:bottom w:val="single" w:sz="8" w:space="0" w:color="auto"/>
              <w:right w:val="single" w:sz="8" w:space="0" w:color="auto"/>
            </w:tcBorders>
            <w:shd w:val="clear" w:color="auto" w:fill="auto"/>
            <w:noWrap/>
            <w:vAlign w:val="center"/>
            <w:hideMark/>
          </w:tcPr>
          <w:p w14:paraId="44DF0713"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3B1F3DD1"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27" w:type="dxa"/>
            <w:tcBorders>
              <w:top w:val="nil"/>
              <w:left w:val="nil"/>
              <w:bottom w:val="single" w:sz="8" w:space="0" w:color="auto"/>
              <w:right w:val="single" w:sz="8" w:space="0" w:color="auto"/>
            </w:tcBorders>
            <w:shd w:val="clear" w:color="auto" w:fill="auto"/>
            <w:noWrap/>
            <w:vAlign w:val="center"/>
            <w:hideMark/>
          </w:tcPr>
          <w:p w14:paraId="38935391"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34" w:type="dxa"/>
            <w:tcBorders>
              <w:top w:val="nil"/>
              <w:left w:val="nil"/>
              <w:bottom w:val="single" w:sz="8" w:space="0" w:color="auto"/>
              <w:right w:val="single" w:sz="8" w:space="0" w:color="auto"/>
            </w:tcBorders>
            <w:shd w:val="clear" w:color="auto" w:fill="auto"/>
            <w:noWrap/>
            <w:vAlign w:val="center"/>
            <w:hideMark/>
          </w:tcPr>
          <w:p w14:paraId="06F9B6F3"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66" w:type="dxa"/>
            <w:tcBorders>
              <w:top w:val="nil"/>
              <w:left w:val="nil"/>
              <w:bottom w:val="single" w:sz="8" w:space="0" w:color="auto"/>
              <w:right w:val="single" w:sz="8" w:space="0" w:color="auto"/>
            </w:tcBorders>
            <w:shd w:val="clear" w:color="auto" w:fill="auto"/>
            <w:noWrap/>
            <w:vAlign w:val="center"/>
            <w:hideMark/>
          </w:tcPr>
          <w:p w14:paraId="34EC3084"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8.833.333,00</w:t>
            </w:r>
          </w:p>
        </w:tc>
        <w:tc>
          <w:tcPr>
            <w:tcW w:w="1326" w:type="dxa"/>
            <w:tcBorders>
              <w:top w:val="nil"/>
              <w:left w:val="nil"/>
              <w:bottom w:val="single" w:sz="8" w:space="0" w:color="auto"/>
              <w:right w:val="single" w:sz="8" w:space="0" w:color="auto"/>
            </w:tcBorders>
            <w:shd w:val="clear" w:color="auto" w:fill="auto"/>
            <w:noWrap/>
            <w:vAlign w:val="center"/>
            <w:hideMark/>
          </w:tcPr>
          <w:p w14:paraId="640E002F"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873" w:type="dxa"/>
            <w:tcBorders>
              <w:top w:val="nil"/>
              <w:left w:val="nil"/>
              <w:bottom w:val="single" w:sz="8" w:space="0" w:color="auto"/>
              <w:right w:val="single" w:sz="8" w:space="0" w:color="auto"/>
            </w:tcBorders>
            <w:shd w:val="clear" w:color="auto" w:fill="auto"/>
            <w:noWrap/>
            <w:vAlign w:val="center"/>
            <w:hideMark/>
          </w:tcPr>
          <w:p w14:paraId="0829E8D0"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8.881.673,00</w:t>
            </w:r>
          </w:p>
        </w:tc>
      </w:tr>
      <w:tr w:rsidR="00931CF1" w:rsidRPr="00092ED7" w14:paraId="650DE320" w14:textId="77777777" w:rsidTr="00812992">
        <w:trPr>
          <w:trHeight w:val="330"/>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6F9D8CEA"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2025</w:t>
            </w:r>
          </w:p>
        </w:tc>
        <w:tc>
          <w:tcPr>
            <w:tcW w:w="1829" w:type="dxa"/>
            <w:tcBorders>
              <w:top w:val="nil"/>
              <w:left w:val="nil"/>
              <w:bottom w:val="single" w:sz="8" w:space="0" w:color="auto"/>
              <w:right w:val="single" w:sz="8" w:space="0" w:color="auto"/>
            </w:tcBorders>
            <w:shd w:val="clear" w:color="auto" w:fill="auto"/>
            <w:noWrap/>
            <w:vAlign w:val="center"/>
            <w:hideMark/>
          </w:tcPr>
          <w:p w14:paraId="0A33CEB8"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48.340,00</w:t>
            </w:r>
          </w:p>
        </w:tc>
        <w:tc>
          <w:tcPr>
            <w:tcW w:w="1617" w:type="dxa"/>
            <w:tcBorders>
              <w:top w:val="nil"/>
              <w:left w:val="nil"/>
              <w:bottom w:val="single" w:sz="8" w:space="0" w:color="auto"/>
              <w:right w:val="single" w:sz="8" w:space="0" w:color="auto"/>
            </w:tcBorders>
            <w:shd w:val="clear" w:color="auto" w:fill="auto"/>
            <w:noWrap/>
            <w:vAlign w:val="center"/>
            <w:hideMark/>
          </w:tcPr>
          <w:p w14:paraId="008E16EE"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661250C5"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27" w:type="dxa"/>
            <w:tcBorders>
              <w:top w:val="nil"/>
              <w:left w:val="nil"/>
              <w:bottom w:val="single" w:sz="8" w:space="0" w:color="auto"/>
              <w:right w:val="single" w:sz="8" w:space="0" w:color="auto"/>
            </w:tcBorders>
            <w:shd w:val="clear" w:color="auto" w:fill="auto"/>
            <w:noWrap/>
            <w:vAlign w:val="center"/>
            <w:hideMark/>
          </w:tcPr>
          <w:p w14:paraId="67B18B21"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34" w:type="dxa"/>
            <w:tcBorders>
              <w:top w:val="nil"/>
              <w:left w:val="nil"/>
              <w:bottom w:val="single" w:sz="8" w:space="0" w:color="auto"/>
              <w:right w:val="single" w:sz="8" w:space="0" w:color="auto"/>
            </w:tcBorders>
            <w:shd w:val="clear" w:color="auto" w:fill="auto"/>
            <w:noWrap/>
            <w:vAlign w:val="center"/>
            <w:hideMark/>
          </w:tcPr>
          <w:p w14:paraId="21335612"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66" w:type="dxa"/>
            <w:tcBorders>
              <w:top w:val="nil"/>
              <w:left w:val="nil"/>
              <w:bottom w:val="single" w:sz="8" w:space="0" w:color="auto"/>
              <w:right w:val="single" w:sz="8" w:space="0" w:color="auto"/>
            </w:tcBorders>
            <w:shd w:val="clear" w:color="auto" w:fill="auto"/>
            <w:noWrap/>
            <w:vAlign w:val="center"/>
            <w:hideMark/>
          </w:tcPr>
          <w:p w14:paraId="4979A54A"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5.500.000,00</w:t>
            </w:r>
          </w:p>
        </w:tc>
        <w:tc>
          <w:tcPr>
            <w:tcW w:w="1326" w:type="dxa"/>
            <w:tcBorders>
              <w:top w:val="nil"/>
              <w:left w:val="nil"/>
              <w:bottom w:val="single" w:sz="8" w:space="0" w:color="auto"/>
              <w:right w:val="single" w:sz="8" w:space="0" w:color="auto"/>
            </w:tcBorders>
            <w:shd w:val="clear" w:color="auto" w:fill="auto"/>
            <w:noWrap/>
            <w:vAlign w:val="center"/>
            <w:hideMark/>
          </w:tcPr>
          <w:p w14:paraId="5AC6DCED"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873" w:type="dxa"/>
            <w:tcBorders>
              <w:top w:val="nil"/>
              <w:left w:val="nil"/>
              <w:bottom w:val="single" w:sz="8" w:space="0" w:color="auto"/>
              <w:right w:val="single" w:sz="8" w:space="0" w:color="auto"/>
            </w:tcBorders>
            <w:shd w:val="clear" w:color="auto" w:fill="auto"/>
            <w:noWrap/>
            <w:vAlign w:val="center"/>
            <w:hideMark/>
          </w:tcPr>
          <w:p w14:paraId="1A165029"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5.548.340,00</w:t>
            </w:r>
          </w:p>
        </w:tc>
      </w:tr>
      <w:tr w:rsidR="008D7C20" w:rsidRPr="00092ED7" w14:paraId="04EE2E1F" w14:textId="77777777" w:rsidTr="008D7C20">
        <w:trPr>
          <w:trHeight w:val="330"/>
        </w:trPr>
        <w:tc>
          <w:tcPr>
            <w:tcW w:w="13948" w:type="dxa"/>
            <w:gridSpan w:val="9"/>
            <w:tcBorders>
              <w:top w:val="single" w:sz="8" w:space="0" w:color="auto"/>
              <w:left w:val="single" w:sz="8" w:space="0" w:color="auto"/>
              <w:bottom w:val="single" w:sz="8" w:space="0" w:color="auto"/>
              <w:right w:val="single" w:sz="8" w:space="0" w:color="auto"/>
            </w:tcBorders>
            <w:shd w:val="clear" w:color="000000" w:fill="D0CECE"/>
            <w:noWrap/>
            <w:vAlign w:val="center"/>
            <w:hideMark/>
          </w:tcPr>
          <w:p w14:paraId="60CF1F3C" w14:textId="77777777" w:rsidR="008D7C20" w:rsidRPr="00092ED7" w:rsidRDefault="008D7C20" w:rsidP="008D7C20">
            <w:pPr>
              <w:spacing w:after="0"/>
              <w:jc w:val="left"/>
              <w:rPr>
                <w:rFonts w:eastAsia="Times New Roman" w:cs="Times New Roman"/>
                <w:b/>
                <w:bCs/>
                <w:color w:val="000000"/>
                <w:sz w:val="20"/>
                <w:szCs w:val="20"/>
                <w:lang w:val="sr-Cyrl-CS"/>
              </w:rPr>
            </w:pPr>
            <w:r w:rsidRPr="00092ED7">
              <w:rPr>
                <w:rFonts w:eastAsia="Times New Roman" w:cs="Times New Roman"/>
                <w:b/>
                <w:bCs/>
                <w:color w:val="000000"/>
                <w:sz w:val="20"/>
                <w:szCs w:val="20"/>
                <w:lang w:val="sr-Cyrl-CS"/>
              </w:rPr>
              <w:t>20. Унапређење конкурентности пољопривреде</w:t>
            </w:r>
          </w:p>
        </w:tc>
      </w:tr>
      <w:tr w:rsidR="00931CF1" w:rsidRPr="00092ED7" w14:paraId="0B83564B" w14:textId="77777777" w:rsidTr="00812992">
        <w:trPr>
          <w:trHeight w:val="645"/>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406C0F43"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b/>
                <w:bCs/>
                <w:sz w:val="20"/>
                <w:szCs w:val="20"/>
                <w:lang w:val="sr-Cyrl-CS"/>
              </w:rPr>
              <w:t>Година</w:t>
            </w:r>
          </w:p>
        </w:tc>
        <w:tc>
          <w:tcPr>
            <w:tcW w:w="1829" w:type="dxa"/>
            <w:tcBorders>
              <w:top w:val="nil"/>
              <w:left w:val="nil"/>
              <w:bottom w:val="single" w:sz="8" w:space="0" w:color="auto"/>
              <w:right w:val="single" w:sz="8" w:space="0" w:color="auto"/>
            </w:tcBorders>
            <w:shd w:val="clear" w:color="auto" w:fill="auto"/>
            <w:vAlign w:val="center"/>
            <w:hideMark/>
          </w:tcPr>
          <w:p w14:paraId="0C92596E"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Буџет централног нивоа државе</w:t>
            </w:r>
          </w:p>
        </w:tc>
        <w:tc>
          <w:tcPr>
            <w:tcW w:w="1617" w:type="dxa"/>
            <w:tcBorders>
              <w:top w:val="nil"/>
              <w:left w:val="nil"/>
              <w:bottom w:val="single" w:sz="8" w:space="0" w:color="auto"/>
              <w:right w:val="single" w:sz="8" w:space="0" w:color="auto"/>
            </w:tcBorders>
            <w:shd w:val="clear" w:color="auto" w:fill="auto"/>
            <w:noWrap/>
            <w:vAlign w:val="center"/>
            <w:hideMark/>
          </w:tcPr>
          <w:p w14:paraId="657D8D80"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Локални буџети</w:t>
            </w:r>
          </w:p>
        </w:tc>
        <w:tc>
          <w:tcPr>
            <w:tcW w:w="1617" w:type="dxa"/>
            <w:tcBorders>
              <w:top w:val="nil"/>
              <w:left w:val="nil"/>
              <w:bottom w:val="single" w:sz="8" w:space="0" w:color="auto"/>
              <w:right w:val="single" w:sz="8" w:space="0" w:color="auto"/>
            </w:tcBorders>
            <w:shd w:val="clear" w:color="auto" w:fill="auto"/>
            <w:vAlign w:val="center"/>
            <w:hideMark/>
          </w:tcPr>
          <w:p w14:paraId="1CAA5EB7"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Други домаћи извори јавних финансија</w:t>
            </w:r>
          </w:p>
        </w:tc>
        <w:tc>
          <w:tcPr>
            <w:tcW w:w="1527" w:type="dxa"/>
            <w:tcBorders>
              <w:top w:val="nil"/>
              <w:left w:val="nil"/>
              <w:bottom w:val="single" w:sz="8" w:space="0" w:color="auto"/>
              <w:right w:val="single" w:sz="8" w:space="0" w:color="auto"/>
            </w:tcBorders>
            <w:shd w:val="clear" w:color="auto" w:fill="auto"/>
            <w:noWrap/>
            <w:vAlign w:val="center"/>
            <w:hideMark/>
          </w:tcPr>
          <w:p w14:paraId="4F004595"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ИПА фондови</w:t>
            </w:r>
          </w:p>
        </w:tc>
        <w:tc>
          <w:tcPr>
            <w:tcW w:w="1434" w:type="dxa"/>
            <w:tcBorders>
              <w:top w:val="nil"/>
              <w:left w:val="nil"/>
              <w:bottom w:val="single" w:sz="8" w:space="0" w:color="auto"/>
              <w:right w:val="single" w:sz="8" w:space="0" w:color="auto"/>
            </w:tcBorders>
            <w:shd w:val="clear" w:color="auto" w:fill="auto"/>
            <w:noWrap/>
            <w:vAlign w:val="center"/>
            <w:hideMark/>
          </w:tcPr>
          <w:p w14:paraId="587A3A52"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Друга бесповратна средства</w:t>
            </w:r>
          </w:p>
        </w:tc>
        <w:tc>
          <w:tcPr>
            <w:tcW w:w="1466" w:type="dxa"/>
            <w:tcBorders>
              <w:top w:val="nil"/>
              <w:left w:val="nil"/>
              <w:bottom w:val="single" w:sz="8" w:space="0" w:color="auto"/>
              <w:right w:val="single" w:sz="8" w:space="0" w:color="auto"/>
            </w:tcBorders>
            <w:shd w:val="clear" w:color="auto" w:fill="auto"/>
            <w:noWrap/>
            <w:vAlign w:val="center"/>
            <w:hideMark/>
          </w:tcPr>
          <w:p w14:paraId="641C49C8"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Пројектни кредити</w:t>
            </w:r>
          </w:p>
        </w:tc>
        <w:tc>
          <w:tcPr>
            <w:tcW w:w="1326" w:type="dxa"/>
            <w:tcBorders>
              <w:top w:val="nil"/>
              <w:left w:val="nil"/>
              <w:bottom w:val="single" w:sz="8" w:space="0" w:color="auto"/>
              <w:right w:val="single" w:sz="8" w:space="0" w:color="auto"/>
            </w:tcBorders>
            <w:shd w:val="clear" w:color="auto" w:fill="auto"/>
            <w:noWrap/>
            <w:vAlign w:val="center"/>
            <w:hideMark/>
          </w:tcPr>
          <w:p w14:paraId="2C47705F"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Тек треба да се утврди</w:t>
            </w:r>
          </w:p>
        </w:tc>
        <w:tc>
          <w:tcPr>
            <w:tcW w:w="1873" w:type="dxa"/>
            <w:tcBorders>
              <w:top w:val="nil"/>
              <w:left w:val="nil"/>
              <w:bottom w:val="single" w:sz="8" w:space="0" w:color="auto"/>
              <w:right w:val="single" w:sz="8" w:space="0" w:color="auto"/>
            </w:tcBorders>
            <w:shd w:val="clear" w:color="auto" w:fill="auto"/>
            <w:noWrap/>
            <w:vAlign w:val="center"/>
            <w:hideMark/>
          </w:tcPr>
          <w:p w14:paraId="4BAEC9DF"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Укупно</w:t>
            </w:r>
          </w:p>
        </w:tc>
      </w:tr>
      <w:tr w:rsidR="00931CF1" w:rsidRPr="00092ED7" w14:paraId="529E8A79" w14:textId="77777777" w:rsidTr="00812992">
        <w:trPr>
          <w:trHeight w:val="330"/>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48922C66"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2023</w:t>
            </w:r>
          </w:p>
        </w:tc>
        <w:tc>
          <w:tcPr>
            <w:tcW w:w="1829" w:type="dxa"/>
            <w:tcBorders>
              <w:top w:val="nil"/>
              <w:left w:val="nil"/>
              <w:bottom w:val="single" w:sz="8" w:space="0" w:color="auto"/>
              <w:right w:val="single" w:sz="8" w:space="0" w:color="auto"/>
            </w:tcBorders>
            <w:shd w:val="clear" w:color="auto" w:fill="auto"/>
            <w:noWrap/>
            <w:vAlign w:val="center"/>
            <w:hideMark/>
          </w:tcPr>
          <w:p w14:paraId="2ABE24E4"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5.880.386,00</w:t>
            </w:r>
          </w:p>
        </w:tc>
        <w:tc>
          <w:tcPr>
            <w:tcW w:w="1617" w:type="dxa"/>
            <w:tcBorders>
              <w:top w:val="nil"/>
              <w:left w:val="nil"/>
              <w:bottom w:val="single" w:sz="8" w:space="0" w:color="auto"/>
              <w:right w:val="single" w:sz="8" w:space="0" w:color="auto"/>
            </w:tcBorders>
            <w:shd w:val="clear" w:color="auto" w:fill="auto"/>
            <w:noWrap/>
            <w:vAlign w:val="center"/>
            <w:hideMark/>
          </w:tcPr>
          <w:p w14:paraId="5B99FE84"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1.235.208,00</w:t>
            </w:r>
          </w:p>
        </w:tc>
        <w:tc>
          <w:tcPr>
            <w:tcW w:w="1617" w:type="dxa"/>
            <w:tcBorders>
              <w:top w:val="nil"/>
              <w:left w:val="nil"/>
              <w:bottom w:val="single" w:sz="8" w:space="0" w:color="auto"/>
              <w:right w:val="single" w:sz="8" w:space="0" w:color="auto"/>
            </w:tcBorders>
            <w:shd w:val="clear" w:color="auto" w:fill="auto"/>
            <w:noWrap/>
            <w:vAlign w:val="center"/>
            <w:hideMark/>
          </w:tcPr>
          <w:p w14:paraId="3DC5F6EE"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27" w:type="dxa"/>
            <w:tcBorders>
              <w:top w:val="nil"/>
              <w:left w:val="nil"/>
              <w:bottom w:val="single" w:sz="8" w:space="0" w:color="auto"/>
              <w:right w:val="single" w:sz="8" w:space="0" w:color="auto"/>
            </w:tcBorders>
            <w:shd w:val="clear" w:color="auto" w:fill="auto"/>
            <w:noWrap/>
            <w:vAlign w:val="center"/>
            <w:hideMark/>
          </w:tcPr>
          <w:p w14:paraId="6E9ECE4B"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1.007.501,00</w:t>
            </w:r>
          </w:p>
        </w:tc>
        <w:tc>
          <w:tcPr>
            <w:tcW w:w="1434" w:type="dxa"/>
            <w:tcBorders>
              <w:top w:val="nil"/>
              <w:left w:val="nil"/>
              <w:bottom w:val="single" w:sz="8" w:space="0" w:color="auto"/>
              <w:right w:val="single" w:sz="8" w:space="0" w:color="auto"/>
            </w:tcBorders>
            <w:shd w:val="clear" w:color="auto" w:fill="auto"/>
            <w:noWrap/>
            <w:vAlign w:val="center"/>
            <w:hideMark/>
          </w:tcPr>
          <w:p w14:paraId="5D5CF82C"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85.372,00</w:t>
            </w:r>
          </w:p>
        </w:tc>
        <w:tc>
          <w:tcPr>
            <w:tcW w:w="1466" w:type="dxa"/>
            <w:tcBorders>
              <w:top w:val="nil"/>
              <w:left w:val="nil"/>
              <w:bottom w:val="single" w:sz="8" w:space="0" w:color="auto"/>
              <w:right w:val="single" w:sz="8" w:space="0" w:color="auto"/>
            </w:tcBorders>
            <w:shd w:val="clear" w:color="auto" w:fill="auto"/>
            <w:noWrap/>
            <w:vAlign w:val="center"/>
            <w:hideMark/>
          </w:tcPr>
          <w:p w14:paraId="52A9A399"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1.367.500,00</w:t>
            </w:r>
          </w:p>
        </w:tc>
        <w:tc>
          <w:tcPr>
            <w:tcW w:w="1326" w:type="dxa"/>
            <w:tcBorders>
              <w:top w:val="nil"/>
              <w:left w:val="nil"/>
              <w:bottom w:val="single" w:sz="8" w:space="0" w:color="auto"/>
              <w:right w:val="single" w:sz="8" w:space="0" w:color="auto"/>
            </w:tcBorders>
            <w:shd w:val="clear" w:color="auto" w:fill="auto"/>
            <w:noWrap/>
            <w:vAlign w:val="center"/>
            <w:hideMark/>
          </w:tcPr>
          <w:p w14:paraId="50F608D6"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873" w:type="dxa"/>
            <w:tcBorders>
              <w:top w:val="nil"/>
              <w:left w:val="nil"/>
              <w:bottom w:val="single" w:sz="8" w:space="0" w:color="auto"/>
              <w:right w:val="single" w:sz="8" w:space="0" w:color="auto"/>
            </w:tcBorders>
            <w:shd w:val="clear" w:color="auto" w:fill="auto"/>
            <w:noWrap/>
            <w:vAlign w:val="center"/>
            <w:hideMark/>
          </w:tcPr>
          <w:p w14:paraId="09BDD4EF"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9.575.967,00</w:t>
            </w:r>
          </w:p>
        </w:tc>
      </w:tr>
      <w:tr w:rsidR="00931CF1" w:rsidRPr="00092ED7" w14:paraId="1FA81EC1" w14:textId="77777777" w:rsidTr="00812992">
        <w:trPr>
          <w:trHeight w:val="330"/>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27331FE5"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2024</w:t>
            </w:r>
          </w:p>
        </w:tc>
        <w:tc>
          <w:tcPr>
            <w:tcW w:w="1829" w:type="dxa"/>
            <w:tcBorders>
              <w:top w:val="nil"/>
              <w:left w:val="nil"/>
              <w:bottom w:val="single" w:sz="8" w:space="0" w:color="auto"/>
              <w:right w:val="single" w:sz="8" w:space="0" w:color="auto"/>
            </w:tcBorders>
            <w:shd w:val="clear" w:color="auto" w:fill="auto"/>
            <w:noWrap/>
            <w:vAlign w:val="center"/>
            <w:hideMark/>
          </w:tcPr>
          <w:p w14:paraId="6F5B6928"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8.594.212,67</w:t>
            </w:r>
          </w:p>
        </w:tc>
        <w:tc>
          <w:tcPr>
            <w:tcW w:w="1617" w:type="dxa"/>
            <w:tcBorders>
              <w:top w:val="nil"/>
              <w:left w:val="nil"/>
              <w:bottom w:val="single" w:sz="8" w:space="0" w:color="auto"/>
              <w:right w:val="single" w:sz="8" w:space="0" w:color="auto"/>
            </w:tcBorders>
            <w:shd w:val="clear" w:color="auto" w:fill="auto"/>
            <w:noWrap/>
            <w:vAlign w:val="center"/>
            <w:hideMark/>
          </w:tcPr>
          <w:p w14:paraId="20DE22FD"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1.235.208,00</w:t>
            </w:r>
          </w:p>
        </w:tc>
        <w:tc>
          <w:tcPr>
            <w:tcW w:w="1617" w:type="dxa"/>
            <w:tcBorders>
              <w:top w:val="nil"/>
              <w:left w:val="nil"/>
              <w:bottom w:val="single" w:sz="8" w:space="0" w:color="auto"/>
              <w:right w:val="single" w:sz="8" w:space="0" w:color="auto"/>
            </w:tcBorders>
            <w:shd w:val="clear" w:color="auto" w:fill="auto"/>
            <w:noWrap/>
            <w:vAlign w:val="center"/>
            <w:hideMark/>
          </w:tcPr>
          <w:p w14:paraId="04F0F657"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27" w:type="dxa"/>
            <w:tcBorders>
              <w:top w:val="nil"/>
              <w:left w:val="nil"/>
              <w:bottom w:val="single" w:sz="8" w:space="0" w:color="auto"/>
              <w:right w:val="single" w:sz="8" w:space="0" w:color="auto"/>
            </w:tcBorders>
            <w:shd w:val="clear" w:color="auto" w:fill="auto"/>
            <w:noWrap/>
            <w:vAlign w:val="center"/>
            <w:hideMark/>
          </w:tcPr>
          <w:p w14:paraId="2B272473"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9.945.000,00</w:t>
            </w:r>
          </w:p>
        </w:tc>
        <w:tc>
          <w:tcPr>
            <w:tcW w:w="1434" w:type="dxa"/>
            <w:tcBorders>
              <w:top w:val="nil"/>
              <w:left w:val="nil"/>
              <w:bottom w:val="single" w:sz="8" w:space="0" w:color="auto"/>
              <w:right w:val="single" w:sz="8" w:space="0" w:color="auto"/>
            </w:tcBorders>
            <w:shd w:val="clear" w:color="auto" w:fill="auto"/>
            <w:noWrap/>
            <w:vAlign w:val="center"/>
            <w:hideMark/>
          </w:tcPr>
          <w:p w14:paraId="17AE1623"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66" w:type="dxa"/>
            <w:tcBorders>
              <w:top w:val="nil"/>
              <w:left w:val="nil"/>
              <w:bottom w:val="single" w:sz="8" w:space="0" w:color="auto"/>
              <w:right w:val="single" w:sz="8" w:space="0" w:color="auto"/>
            </w:tcBorders>
            <w:shd w:val="clear" w:color="auto" w:fill="auto"/>
            <w:noWrap/>
            <w:vAlign w:val="center"/>
            <w:hideMark/>
          </w:tcPr>
          <w:p w14:paraId="0C9405B3"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142.333,33</w:t>
            </w:r>
          </w:p>
        </w:tc>
        <w:tc>
          <w:tcPr>
            <w:tcW w:w="1326" w:type="dxa"/>
            <w:tcBorders>
              <w:top w:val="nil"/>
              <w:left w:val="nil"/>
              <w:bottom w:val="single" w:sz="8" w:space="0" w:color="auto"/>
              <w:right w:val="single" w:sz="8" w:space="0" w:color="auto"/>
            </w:tcBorders>
            <w:shd w:val="clear" w:color="auto" w:fill="auto"/>
            <w:noWrap/>
            <w:vAlign w:val="center"/>
            <w:hideMark/>
          </w:tcPr>
          <w:p w14:paraId="25AB545C"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850.000,00</w:t>
            </w:r>
          </w:p>
        </w:tc>
        <w:tc>
          <w:tcPr>
            <w:tcW w:w="1873" w:type="dxa"/>
            <w:tcBorders>
              <w:top w:val="nil"/>
              <w:left w:val="nil"/>
              <w:bottom w:val="single" w:sz="8" w:space="0" w:color="auto"/>
              <w:right w:val="single" w:sz="8" w:space="0" w:color="auto"/>
            </w:tcBorders>
            <w:shd w:val="clear" w:color="auto" w:fill="auto"/>
            <w:noWrap/>
            <w:vAlign w:val="center"/>
            <w:hideMark/>
          </w:tcPr>
          <w:p w14:paraId="38D006F8"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20.766.754,00</w:t>
            </w:r>
          </w:p>
        </w:tc>
      </w:tr>
      <w:tr w:rsidR="00931CF1" w:rsidRPr="00092ED7" w14:paraId="13FAE433" w14:textId="77777777" w:rsidTr="00812992">
        <w:trPr>
          <w:trHeight w:val="330"/>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0FB0909B"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2025</w:t>
            </w:r>
          </w:p>
        </w:tc>
        <w:tc>
          <w:tcPr>
            <w:tcW w:w="1829" w:type="dxa"/>
            <w:tcBorders>
              <w:top w:val="nil"/>
              <w:left w:val="nil"/>
              <w:bottom w:val="single" w:sz="8" w:space="0" w:color="auto"/>
              <w:right w:val="single" w:sz="8" w:space="0" w:color="auto"/>
            </w:tcBorders>
            <w:shd w:val="clear" w:color="auto" w:fill="auto"/>
            <w:noWrap/>
            <w:vAlign w:val="center"/>
            <w:hideMark/>
          </w:tcPr>
          <w:p w14:paraId="03A85085"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10.653.814,00</w:t>
            </w:r>
          </w:p>
        </w:tc>
        <w:tc>
          <w:tcPr>
            <w:tcW w:w="1617" w:type="dxa"/>
            <w:tcBorders>
              <w:top w:val="nil"/>
              <w:left w:val="nil"/>
              <w:bottom w:val="single" w:sz="8" w:space="0" w:color="auto"/>
              <w:right w:val="single" w:sz="8" w:space="0" w:color="auto"/>
            </w:tcBorders>
            <w:shd w:val="clear" w:color="auto" w:fill="auto"/>
            <w:noWrap/>
            <w:vAlign w:val="center"/>
            <w:hideMark/>
          </w:tcPr>
          <w:p w14:paraId="6B25B95C"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1.235.208,00</w:t>
            </w:r>
          </w:p>
        </w:tc>
        <w:tc>
          <w:tcPr>
            <w:tcW w:w="1617" w:type="dxa"/>
            <w:tcBorders>
              <w:top w:val="nil"/>
              <w:left w:val="nil"/>
              <w:bottom w:val="single" w:sz="8" w:space="0" w:color="auto"/>
              <w:right w:val="single" w:sz="8" w:space="0" w:color="auto"/>
            </w:tcBorders>
            <w:shd w:val="clear" w:color="auto" w:fill="auto"/>
            <w:noWrap/>
            <w:vAlign w:val="center"/>
            <w:hideMark/>
          </w:tcPr>
          <w:p w14:paraId="2144DD5C"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27" w:type="dxa"/>
            <w:tcBorders>
              <w:top w:val="nil"/>
              <w:left w:val="nil"/>
              <w:bottom w:val="single" w:sz="8" w:space="0" w:color="auto"/>
              <w:right w:val="single" w:sz="8" w:space="0" w:color="auto"/>
            </w:tcBorders>
            <w:shd w:val="clear" w:color="auto" w:fill="auto"/>
            <w:noWrap/>
            <w:vAlign w:val="center"/>
            <w:hideMark/>
          </w:tcPr>
          <w:p w14:paraId="69ECCB4A"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14.380.000,00</w:t>
            </w:r>
          </w:p>
        </w:tc>
        <w:tc>
          <w:tcPr>
            <w:tcW w:w="1434" w:type="dxa"/>
            <w:tcBorders>
              <w:top w:val="nil"/>
              <w:left w:val="nil"/>
              <w:bottom w:val="single" w:sz="8" w:space="0" w:color="auto"/>
              <w:right w:val="single" w:sz="8" w:space="0" w:color="auto"/>
            </w:tcBorders>
            <w:shd w:val="clear" w:color="auto" w:fill="auto"/>
            <w:noWrap/>
            <w:vAlign w:val="center"/>
            <w:hideMark/>
          </w:tcPr>
          <w:p w14:paraId="3C3FD0EA"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66" w:type="dxa"/>
            <w:tcBorders>
              <w:top w:val="nil"/>
              <w:left w:val="nil"/>
              <w:bottom w:val="single" w:sz="8" w:space="0" w:color="auto"/>
              <w:right w:val="single" w:sz="8" w:space="0" w:color="auto"/>
            </w:tcBorders>
            <w:shd w:val="clear" w:color="auto" w:fill="auto"/>
            <w:noWrap/>
            <w:vAlign w:val="center"/>
            <w:hideMark/>
          </w:tcPr>
          <w:p w14:paraId="773E8496"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326" w:type="dxa"/>
            <w:tcBorders>
              <w:top w:val="nil"/>
              <w:left w:val="nil"/>
              <w:bottom w:val="single" w:sz="8" w:space="0" w:color="auto"/>
              <w:right w:val="single" w:sz="8" w:space="0" w:color="auto"/>
            </w:tcBorders>
            <w:shd w:val="clear" w:color="auto" w:fill="auto"/>
            <w:noWrap/>
            <w:vAlign w:val="center"/>
            <w:hideMark/>
          </w:tcPr>
          <w:p w14:paraId="347157B1"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873" w:type="dxa"/>
            <w:tcBorders>
              <w:top w:val="nil"/>
              <w:left w:val="nil"/>
              <w:bottom w:val="single" w:sz="8" w:space="0" w:color="auto"/>
              <w:right w:val="single" w:sz="8" w:space="0" w:color="auto"/>
            </w:tcBorders>
            <w:shd w:val="clear" w:color="auto" w:fill="auto"/>
            <w:noWrap/>
            <w:vAlign w:val="center"/>
            <w:hideMark/>
          </w:tcPr>
          <w:p w14:paraId="7B3DFC09"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26.269.022,00</w:t>
            </w:r>
          </w:p>
        </w:tc>
      </w:tr>
      <w:tr w:rsidR="008D7C20" w:rsidRPr="00092ED7" w14:paraId="00DCC57B" w14:textId="77777777" w:rsidTr="008D7C20">
        <w:trPr>
          <w:trHeight w:val="330"/>
        </w:trPr>
        <w:tc>
          <w:tcPr>
            <w:tcW w:w="13948" w:type="dxa"/>
            <w:gridSpan w:val="9"/>
            <w:tcBorders>
              <w:top w:val="single" w:sz="8" w:space="0" w:color="auto"/>
              <w:left w:val="single" w:sz="8" w:space="0" w:color="auto"/>
              <w:bottom w:val="single" w:sz="4" w:space="0" w:color="auto"/>
              <w:right w:val="single" w:sz="8" w:space="0" w:color="auto"/>
            </w:tcBorders>
            <w:shd w:val="clear" w:color="000000" w:fill="D0CECE"/>
            <w:noWrap/>
            <w:vAlign w:val="center"/>
            <w:hideMark/>
          </w:tcPr>
          <w:p w14:paraId="1B1146FB" w14:textId="77777777" w:rsidR="008D7C20" w:rsidRPr="00092ED7" w:rsidRDefault="008D7C20" w:rsidP="008D7C20">
            <w:pPr>
              <w:spacing w:after="0"/>
              <w:jc w:val="left"/>
              <w:rPr>
                <w:rFonts w:eastAsia="Times New Roman" w:cs="Times New Roman"/>
                <w:b/>
                <w:bCs/>
                <w:color w:val="000000"/>
                <w:sz w:val="20"/>
                <w:szCs w:val="20"/>
                <w:lang w:val="sr-Cyrl-CS"/>
              </w:rPr>
            </w:pPr>
            <w:r w:rsidRPr="00092ED7">
              <w:rPr>
                <w:rFonts w:eastAsia="Times New Roman" w:cs="Times New Roman"/>
                <w:b/>
                <w:bCs/>
                <w:color w:val="000000"/>
                <w:sz w:val="20"/>
                <w:szCs w:val="20"/>
                <w:lang w:val="sr-Cyrl-CS"/>
              </w:rPr>
              <w:t>21. Унапређење стратешког оквира инфраструктуре квалитета</w:t>
            </w:r>
            <w:r w:rsidR="008B1D11" w:rsidRPr="00092ED7">
              <w:rPr>
                <w:rFonts w:eastAsia="Times New Roman" w:cs="Times New Roman"/>
                <w:b/>
                <w:bCs/>
                <w:color w:val="000000"/>
                <w:sz w:val="20"/>
                <w:szCs w:val="20"/>
                <w:lang w:val="sr-Cyrl-CS"/>
              </w:rPr>
              <w:t xml:space="preserve"> </w:t>
            </w:r>
            <w:r w:rsidR="008B1D11" w:rsidRPr="00092ED7">
              <w:rPr>
                <w:rFonts w:eastAsia="Times New Roman" w:cs="Times New Roman"/>
                <w:b/>
                <w:bCs/>
                <w:sz w:val="20"/>
                <w:szCs w:val="20"/>
                <w:lang w:val="sr-Cyrl-CS"/>
              </w:rPr>
              <w:t>и интеграције у јединствено тржиште ЕУ</w:t>
            </w:r>
          </w:p>
        </w:tc>
      </w:tr>
      <w:tr w:rsidR="00931CF1" w:rsidRPr="00092ED7" w14:paraId="32311C7D" w14:textId="77777777" w:rsidTr="00812992">
        <w:trPr>
          <w:trHeight w:val="645"/>
        </w:trPr>
        <w:tc>
          <w:tcPr>
            <w:tcW w:w="12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90BF4D"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b/>
                <w:bCs/>
                <w:sz w:val="20"/>
                <w:szCs w:val="20"/>
                <w:lang w:val="sr-Cyrl-CS"/>
              </w:rPr>
              <w:lastRenderedPageBreak/>
              <w:t>Година</w:t>
            </w:r>
          </w:p>
        </w:tc>
        <w:tc>
          <w:tcPr>
            <w:tcW w:w="18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07A89E"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Буџет централног нивоа државе</w:t>
            </w:r>
          </w:p>
        </w:tc>
        <w:tc>
          <w:tcPr>
            <w:tcW w:w="16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DC8ADC"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Локални буџети</w:t>
            </w:r>
          </w:p>
        </w:tc>
        <w:tc>
          <w:tcPr>
            <w:tcW w:w="16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C7C070"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Други домаћи извори јавних финансија</w:t>
            </w: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2E4A1A"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ИПА фондови</w:t>
            </w:r>
          </w:p>
        </w:tc>
        <w:tc>
          <w:tcPr>
            <w:tcW w:w="14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DD90E1"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Друга бесповратна средства</w:t>
            </w:r>
          </w:p>
        </w:tc>
        <w:tc>
          <w:tcPr>
            <w:tcW w:w="14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0BBB83"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Пројектни кредити</w:t>
            </w:r>
          </w:p>
        </w:tc>
        <w:tc>
          <w:tcPr>
            <w:tcW w:w="13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257E23"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Тек треба да се утврди</w:t>
            </w:r>
          </w:p>
        </w:tc>
        <w:tc>
          <w:tcPr>
            <w:tcW w:w="187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64CD9F"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Укупно</w:t>
            </w:r>
          </w:p>
        </w:tc>
      </w:tr>
      <w:tr w:rsidR="00931CF1" w:rsidRPr="00092ED7" w14:paraId="62AEA49A" w14:textId="77777777" w:rsidTr="00812992">
        <w:trPr>
          <w:trHeight w:val="330"/>
        </w:trPr>
        <w:tc>
          <w:tcPr>
            <w:tcW w:w="1259"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211EA514"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2023</w:t>
            </w:r>
          </w:p>
        </w:tc>
        <w:tc>
          <w:tcPr>
            <w:tcW w:w="1829" w:type="dxa"/>
            <w:tcBorders>
              <w:top w:val="single" w:sz="4" w:space="0" w:color="auto"/>
              <w:left w:val="nil"/>
              <w:bottom w:val="single" w:sz="8" w:space="0" w:color="auto"/>
              <w:right w:val="single" w:sz="8" w:space="0" w:color="auto"/>
            </w:tcBorders>
            <w:shd w:val="clear" w:color="auto" w:fill="auto"/>
            <w:noWrap/>
            <w:vAlign w:val="center"/>
            <w:hideMark/>
          </w:tcPr>
          <w:p w14:paraId="2FAFB68D"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single" w:sz="4" w:space="0" w:color="auto"/>
              <w:left w:val="nil"/>
              <w:bottom w:val="single" w:sz="8" w:space="0" w:color="auto"/>
              <w:right w:val="single" w:sz="8" w:space="0" w:color="auto"/>
            </w:tcBorders>
            <w:shd w:val="clear" w:color="auto" w:fill="auto"/>
            <w:noWrap/>
            <w:vAlign w:val="center"/>
            <w:hideMark/>
          </w:tcPr>
          <w:p w14:paraId="02FB013D"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single" w:sz="4" w:space="0" w:color="auto"/>
              <w:left w:val="nil"/>
              <w:bottom w:val="single" w:sz="8" w:space="0" w:color="auto"/>
              <w:right w:val="single" w:sz="8" w:space="0" w:color="auto"/>
            </w:tcBorders>
            <w:shd w:val="clear" w:color="auto" w:fill="auto"/>
            <w:noWrap/>
            <w:vAlign w:val="center"/>
            <w:hideMark/>
          </w:tcPr>
          <w:p w14:paraId="726B359B"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27" w:type="dxa"/>
            <w:tcBorders>
              <w:top w:val="single" w:sz="4" w:space="0" w:color="auto"/>
              <w:left w:val="nil"/>
              <w:bottom w:val="single" w:sz="8" w:space="0" w:color="auto"/>
              <w:right w:val="single" w:sz="8" w:space="0" w:color="auto"/>
            </w:tcBorders>
            <w:shd w:val="clear" w:color="auto" w:fill="auto"/>
            <w:noWrap/>
            <w:vAlign w:val="center"/>
            <w:hideMark/>
          </w:tcPr>
          <w:p w14:paraId="15F48136"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300.000,00</w:t>
            </w:r>
          </w:p>
        </w:tc>
        <w:tc>
          <w:tcPr>
            <w:tcW w:w="1434" w:type="dxa"/>
            <w:tcBorders>
              <w:top w:val="single" w:sz="4" w:space="0" w:color="auto"/>
              <w:left w:val="nil"/>
              <w:bottom w:val="single" w:sz="8" w:space="0" w:color="auto"/>
              <w:right w:val="single" w:sz="8" w:space="0" w:color="auto"/>
            </w:tcBorders>
            <w:shd w:val="clear" w:color="auto" w:fill="auto"/>
            <w:noWrap/>
            <w:vAlign w:val="center"/>
            <w:hideMark/>
          </w:tcPr>
          <w:p w14:paraId="600DAF6F"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66" w:type="dxa"/>
            <w:tcBorders>
              <w:top w:val="single" w:sz="4" w:space="0" w:color="auto"/>
              <w:left w:val="nil"/>
              <w:bottom w:val="single" w:sz="8" w:space="0" w:color="auto"/>
              <w:right w:val="single" w:sz="8" w:space="0" w:color="auto"/>
            </w:tcBorders>
            <w:shd w:val="clear" w:color="auto" w:fill="auto"/>
            <w:noWrap/>
            <w:vAlign w:val="center"/>
            <w:hideMark/>
          </w:tcPr>
          <w:p w14:paraId="081025B8"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326" w:type="dxa"/>
            <w:tcBorders>
              <w:top w:val="single" w:sz="4" w:space="0" w:color="auto"/>
              <w:left w:val="nil"/>
              <w:bottom w:val="single" w:sz="8" w:space="0" w:color="auto"/>
              <w:right w:val="single" w:sz="8" w:space="0" w:color="auto"/>
            </w:tcBorders>
            <w:shd w:val="clear" w:color="auto" w:fill="auto"/>
            <w:noWrap/>
            <w:vAlign w:val="center"/>
            <w:hideMark/>
          </w:tcPr>
          <w:p w14:paraId="6E83C900"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873" w:type="dxa"/>
            <w:tcBorders>
              <w:top w:val="single" w:sz="4" w:space="0" w:color="auto"/>
              <w:left w:val="nil"/>
              <w:bottom w:val="single" w:sz="8" w:space="0" w:color="auto"/>
              <w:right w:val="single" w:sz="8" w:space="0" w:color="auto"/>
            </w:tcBorders>
            <w:shd w:val="clear" w:color="auto" w:fill="auto"/>
            <w:noWrap/>
            <w:vAlign w:val="center"/>
            <w:hideMark/>
          </w:tcPr>
          <w:p w14:paraId="50C2F7F0"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300.000,00</w:t>
            </w:r>
          </w:p>
        </w:tc>
      </w:tr>
      <w:tr w:rsidR="00931CF1" w:rsidRPr="00092ED7" w14:paraId="641768B9" w14:textId="77777777" w:rsidTr="00812992">
        <w:trPr>
          <w:trHeight w:val="330"/>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60ED8FCB"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2024</w:t>
            </w:r>
          </w:p>
        </w:tc>
        <w:tc>
          <w:tcPr>
            <w:tcW w:w="1829" w:type="dxa"/>
            <w:tcBorders>
              <w:top w:val="nil"/>
              <w:left w:val="nil"/>
              <w:bottom w:val="single" w:sz="8" w:space="0" w:color="auto"/>
              <w:right w:val="single" w:sz="8" w:space="0" w:color="auto"/>
            </w:tcBorders>
            <w:shd w:val="clear" w:color="auto" w:fill="auto"/>
            <w:noWrap/>
            <w:vAlign w:val="center"/>
            <w:hideMark/>
          </w:tcPr>
          <w:p w14:paraId="14B25583"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1887323F"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159F6272"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27" w:type="dxa"/>
            <w:tcBorders>
              <w:top w:val="nil"/>
              <w:left w:val="nil"/>
              <w:bottom w:val="single" w:sz="8" w:space="0" w:color="auto"/>
              <w:right w:val="single" w:sz="8" w:space="0" w:color="auto"/>
            </w:tcBorders>
            <w:shd w:val="clear" w:color="auto" w:fill="auto"/>
            <w:noWrap/>
            <w:vAlign w:val="center"/>
            <w:hideMark/>
          </w:tcPr>
          <w:p w14:paraId="1E9074CD"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34" w:type="dxa"/>
            <w:tcBorders>
              <w:top w:val="nil"/>
              <w:left w:val="nil"/>
              <w:bottom w:val="single" w:sz="8" w:space="0" w:color="auto"/>
              <w:right w:val="single" w:sz="8" w:space="0" w:color="auto"/>
            </w:tcBorders>
            <w:shd w:val="clear" w:color="auto" w:fill="auto"/>
            <w:noWrap/>
            <w:vAlign w:val="center"/>
            <w:hideMark/>
          </w:tcPr>
          <w:p w14:paraId="26DD9798"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66" w:type="dxa"/>
            <w:tcBorders>
              <w:top w:val="nil"/>
              <w:left w:val="nil"/>
              <w:bottom w:val="single" w:sz="8" w:space="0" w:color="auto"/>
              <w:right w:val="single" w:sz="8" w:space="0" w:color="auto"/>
            </w:tcBorders>
            <w:shd w:val="clear" w:color="auto" w:fill="auto"/>
            <w:noWrap/>
            <w:vAlign w:val="center"/>
            <w:hideMark/>
          </w:tcPr>
          <w:p w14:paraId="1E0D61C3"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326" w:type="dxa"/>
            <w:tcBorders>
              <w:top w:val="nil"/>
              <w:left w:val="nil"/>
              <w:bottom w:val="single" w:sz="8" w:space="0" w:color="auto"/>
              <w:right w:val="single" w:sz="8" w:space="0" w:color="auto"/>
            </w:tcBorders>
            <w:shd w:val="clear" w:color="auto" w:fill="auto"/>
            <w:noWrap/>
            <w:vAlign w:val="center"/>
            <w:hideMark/>
          </w:tcPr>
          <w:p w14:paraId="026C2A85"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150.000,00</w:t>
            </w:r>
          </w:p>
        </w:tc>
        <w:tc>
          <w:tcPr>
            <w:tcW w:w="1873" w:type="dxa"/>
            <w:tcBorders>
              <w:top w:val="nil"/>
              <w:left w:val="nil"/>
              <w:bottom w:val="single" w:sz="8" w:space="0" w:color="auto"/>
              <w:right w:val="single" w:sz="8" w:space="0" w:color="auto"/>
            </w:tcBorders>
            <w:shd w:val="clear" w:color="auto" w:fill="auto"/>
            <w:noWrap/>
            <w:vAlign w:val="center"/>
            <w:hideMark/>
          </w:tcPr>
          <w:p w14:paraId="0AA7D808"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150.000,00</w:t>
            </w:r>
          </w:p>
        </w:tc>
      </w:tr>
      <w:tr w:rsidR="00931CF1" w:rsidRPr="00092ED7" w14:paraId="141E90C9" w14:textId="77777777" w:rsidTr="00812992">
        <w:trPr>
          <w:trHeight w:val="330"/>
        </w:trPr>
        <w:tc>
          <w:tcPr>
            <w:tcW w:w="1259" w:type="dxa"/>
            <w:tcBorders>
              <w:top w:val="nil"/>
              <w:left w:val="single" w:sz="8" w:space="0" w:color="auto"/>
              <w:bottom w:val="single" w:sz="8" w:space="0" w:color="auto"/>
              <w:right w:val="single" w:sz="8" w:space="0" w:color="auto"/>
            </w:tcBorders>
            <w:shd w:val="clear" w:color="auto" w:fill="auto"/>
            <w:noWrap/>
            <w:vAlign w:val="center"/>
            <w:hideMark/>
          </w:tcPr>
          <w:p w14:paraId="71196C6B"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2025</w:t>
            </w:r>
          </w:p>
        </w:tc>
        <w:tc>
          <w:tcPr>
            <w:tcW w:w="1829" w:type="dxa"/>
            <w:tcBorders>
              <w:top w:val="nil"/>
              <w:left w:val="nil"/>
              <w:bottom w:val="single" w:sz="8" w:space="0" w:color="auto"/>
              <w:right w:val="single" w:sz="8" w:space="0" w:color="auto"/>
            </w:tcBorders>
            <w:shd w:val="clear" w:color="auto" w:fill="auto"/>
            <w:noWrap/>
            <w:vAlign w:val="center"/>
            <w:hideMark/>
          </w:tcPr>
          <w:p w14:paraId="77613303"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66EEFAE4"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791BDFF5"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27" w:type="dxa"/>
            <w:tcBorders>
              <w:top w:val="nil"/>
              <w:left w:val="nil"/>
              <w:bottom w:val="single" w:sz="8" w:space="0" w:color="auto"/>
              <w:right w:val="single" w:sz="8" w:space="0" w:color="auto"/>
            </w:tcBorders>
            <w:shd w:val="clear" w:color="auto" w:fill="auto"/>
            <w:noWrap/>
            <w:vAlign w:val="center"/>
            <w:hideMark/>
          </w:tcPr>
          <w:p w14:paraId="3D6B9FC2"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34" w:type="dxa"/>
            <w:tcBorders>
              <w:top w:val="nil"/>
              <w:left w:val="nil"/>
              <w:bottom w:val="single" w:sz="8" w:space="0" w:color="auto"/>
              <w:right w:val="single" w:sz="8" w:space="0" w:color="auto"/>
            </w:tcBorders>
            <w:shd w:val="clear" w:color="auto" w:fill="auto"/>
            <w:noWrap/>
            <w:vAlign w:val="center"/>
            <w:hideMark/>
          </w:tcPr>
          <w:p w14:paraId="64DCA2BA"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66" w:type="dxa"/>
            <w:tcBorders>
              <w:top w:val="nil"/>
              <w:left w:val="nil"/>
              <w:bottom w:val="single" w:sz="8" w:space="0" w:color="auto"/>
              <w:right w:val="single" w:sz="8" w:space="0" w:color="auto"/>
            </w:tcBorders>
            <w:shd w:val="clear" w:color="auto" w:fill="auto"/>
            <w:noWrap/>
            <w:vAlign w:val="center"/>
            <w:hideMark/>
          </w:tcPr>
          <w:p w14:paraId="7F5B9DD2"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326" w:type="dxa"/>
            <w:tcBorders>
              <w:top w:val="nil"/>
              <w:left w:val="nil"/>
              <w:bottom w:val="single" w:sz="8" w:space="0" w:color="auto"/>
              <w:right w:val="single" w:sz="8" w:space="0" w:color="auto"/>
            </w:tcBorders>
            <w:shd w:val="clear" w:color="auto" w:fill="auto"/>
            <w:noWrap/>
            <w:vAlign w:val="center"/>
            <w:hideMark/>
          </w:tcPr>
          <w:p w14:paraId="78C282D6"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250.000,00</w:t>
            </w:r>
          </w:p>
        </w:tc>
        <w:tc>
          <w:tcPr>
            <w:tcW w:w="1873" w:type="dxa"/>
            <w:tcBorders>
              <w:top w:val="nil"/>
              <w:left w:val="nil"/>
              <w:bottom w:val="single" w:sz="8" w:space="0" w:color="auto"/>
              <w:right w:val="single" w:sz="8" w:space="0" w:color="auto"/>
            </w:tcBorders>
            <w:shd w:val="clear" w:color="auto" w:fill="auto"/>
            <w:noWrap/>
            <w:vAlign w:val="center"/>
            <w:hideMark/>
          </w:tcPr>
          <w:p w14:paraId="59224E31"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250.000,00</w:t>
            </w:r>
          </w:p>
        </w:tc>
      </w:tr>
      <w:tr w:rsidR="008D7C20" w:rsidRPr="00092ED7" w14:paraId="20DB974D" w14:textId="77777777" w:rsidTr="008D7C20">
        <w:trPr>
          <w:trHeight w:val="330"/>
        </w:trPr>
        <w:tc>
          <w:tcPr>
            <w:tcW w:w="13948" w:type="dxa"/>
            <w:gridSpan w:val="9"/>
            <w:tcBorders>
              <w:top w:val="single" w:sz="8" w:space="0" w:color="auto"/>
              <w:left w:val="single" w:sz="8" w:space="0" w:color="auto"/>
              <w:bottom w:val="single" w:sz="8" w:space="0" w:color="auto"/>
              <w:right w:val="single" w:sz="8" w:space="0" w:color="auto"/>
            </w:tcBorders>
            <w:shd w:val="clear" w:color="000000" w:fill="D0CECE"/>
            <w:noWrap/>
            <w:vAlign w:val="center"/>
            <w:hideMark/>
          </w:tcPr>
          <w:p w14:paraId="73A52078" w14:textId="77777777" w:rsidR="008D7C20" w:rsidRPr="00092ED7" w:rsidRDefault="008D7C20" w:rsidP="008D7C20">
            <w:pPr>
              <w:spacing w:after="0"/>
              <w:jc w:val="left"/>
              <w:rPr>
                <w:rFonts w:eastAsia="Times New Roman" w:cs="Times New Roman"/>
                <w:b/>
                <w:bCs/>
                <w:color w:val="000000"/>
                <w:sz w:val="20"/>
                <w:szCs w:val="20"/>
                <w:lang w:val="sr-Cyrl-CS"/>
              </w:rPr>
            </w:pPr>
            <w:r w:rsidRPr="00092ED7">
              <w:rPr>
                <w:rFonts w:eastAsia="Times New Roman" w:cs="Times New Roman"/>
                <w:b/>
                <w:bCs/>
                <w:color w:val="000000"/>
                <w:sz w:val="20"/>
                <w:szCs w:val="20"/>
                <w:lang w:val="sr-Cyrl-CS"/>
              </w:rPr>
              <w:t>22. Унапређење ефикасности здравственог система кроз дигитализацију процеса</w:t>
            </w:r>
          </w:p>
        </w:tc>
      </w:tr>
      <w:tr w:rsidR="00931CF1" w:rsidRPr="00092ED7" w14:paraId="148BC59E" w14:textId="77777777" w:rsidTr="00812992">
        <w:trPr>
          <w:trHeight w:val="645"/>
        </w:trPr>
        <w:tc>
          <w:tcPr>
            <w:tcW w:w="1259" w:type="dxa"/>
            <w:tcBorders>
              <w:top w:val="nil"/>
              <w:left w:val="single" w:sz="8" w:space="0" w:color="auto"/>
              <w:bottom w:val="single" w:sz="8" w:space="0" w:color="auto"/>
              <w:right w:val="single" w:sz="8" w:space="0" w:color="auto"/>
            </w:tcBorders>
            <w:shd w:val="clear" w:color="000000" w:fill="FFFFFF"/>
            <w:noWrap/>
            <w:vAlign w:val="center"/>
            <w:hideMark/>
          </w:tcPr>
          <w:p w14:paraId="23483A9E"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b/>
                <w:bCs/>
                <w:sz w:val="20"/>
                <w:szCs w:val="20"/>
                <w:lang w:val="sr-Cyrl-CS"/>
              </w:rPr>
              <w:t>Година</w:t>
            </w:r>
          </w:p>
        </w:tc>
        <w:tc>
          <w:tcPr>
            <w:tcW w:w="1829" w:type="dxa"/>
            <w:tcBorders>
              <w:top w:val="nil"/>
              <w:left w:val="nil"/>
              <w:bottom w:val="single" w:sz="8" w:space="0" w:color="auto"/>
              <w:right w:val="single" w:sz="8" w:space="0" w:color="auto"/>
            </w:tcBorders>
            <w:shd w:val="clear" w:color="auto" w:fill="auto"/>
            <w:vAlign w:val="center"/>
            <w:hideMark/>
          </w:tcPr>
          <w:p w14:paraId="24FD8A7B"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Буџет централног нивоа државе</w:t>
            </w:r>
          </w:p>
        </w:tc>
        <w:tc>
          <w:tcPr>
            <w:tcW w:w="1617" w:type="dxa"/>
            <w:tcBorders>
              <w:top w:val="nil"/>
              <w:left w:val="nil"/>
              <w:bottom w:val="single" w:sz="8" w:space="0" w:color="auto"/>
              <w:right w:val="single" w:sz="8" w:space="0" w:color="auto"/>
            </w:tcBorders>
            <w:shd w:val="clear" w:color="auto" w:fill="auto"/>
            <w:noWrap/>
            <w:vAlign w:val="center"/>
            <w:hideMark/>
          </w:tcPr>
          <w:p w14:paraId="2DB64450"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Локални буџети</w:t>
            </w:r>
          </w:p>
        </w:tc>
        <w:tc>
          <w:tcPr>
            <w:tcW w:w="1617" w:type="dxa"/>
            <w:tcBorders>
              <w:top w:val="nil"/>
              <w:left w:val="nil"/>
              <w:bottom w:val="single" w:sz="8" w:space="0" w:color="auto"/>
              <w:right w:val="single" w:sz="8" w:space="0" w:color="auto"/>
            </w:tcBorders>
            <w:shd w:val="clear" w:color="auto" w:fill="auto"/>
            <w:vAlign w:val="center"/>
            <w:hideMark/>
          </w:tcPr>
          <w:p w14:paraId="44676A4F"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Други домаћи извори јавних финансија</w:t>
            </w:r>
          </w:p>
        </w:tc>
        <w:tc>
          <w:tcPr>
            <w:tcW w:w="1527" w:type="dxa"/>
            <w:tcBorders>
              <w:top w:val="nil"/>
              <w:left w:val="nil"/>
              <w:bottom w:val="single" w:sz="8" w:space="0" w:color="auto"/>
              <w:right w:val="single" w:sz="8" w:space="0" w:color="auto"/>
            </w:tcBorders>
            <w:shd w:val="clear" w:color="auto" w:fill="auto"/>
            <w:noWrap/>
            <w:vAlign w:val="center"/>
            <w:hideMark/>
          </w:tcPr>
          <w:p w14:paraId="4E6629D9"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ИПА фондови</w:t>
            </w:r>
          </w:p>
        </w:tc>
        <w:tc>
          <w:tcPr>
            <w:tcW w:w="1434" w:type="dxa"/>
            <w:tcBorders>
              <w:top w:val="nil"/>
              <w:left w:val="nil"/>
              <w:bottom w:val="single" w:sz="8" w:space="0" w:color="auto"/>
              <w:right w:val="single" w:sz="8" w:space="0" w:color="auto"/>
            </w:tcBorders>
            <w:shd w:val="clear" w:color="auto" w:fill="auto"/>
            <w:noWrap/>
            <w:vAlign w:val="center"/>
            <w:hideMark/>
          </w:tcPr>
          <w:p w14:paraId="406038CF"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Друга бесповратна средства</w:t>
            </w:r>
          </w:p>
        </w:tc>
        <w:tc>
          <w:tcPr>
            <w:tcW w:w="1466" w:type="dxa"/>
            <w:tcBorders>
              <w:top w:val="nil"/>
              <w:left w:val="nil"/>
              <w:bottom w:val="single" w:sz="8" w:space="0" w:color="auto"/>
              <w:right w:val="single" w:sz="8" w:space="0" w:color="auto"/>
            </w:tcBorders>
            <w:shd w:val="clear" w:color="auto" w:fill="auto"/>
            <w:noWrap/>
            <w:vAlign w:val="center"/>
            <w:hideMark/>
          </w:tcPr>
          <w:p w14:paraId="467021E9"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Пројектни кредити</w:t>
            </w:r>
          </w:p>
        </w:tc>
        <w:tc>
          <w:tcPr>
            <w:tcW w:w="1326" w:type="dxa"/>
            <w:tcBorders>
              <w:top w:val="nil"/>
              <w:left w:val="nil"/>
              <w:bottom w:val="single" w:sz="8" w:space="0" w:color="auto"/>
              <w:right w:val="single" w:sz="8" w:space="0" w:color="auto"/>
            </w:tcBorders>
            <w:shd w:val="clear" w:color="auto" w:fill="auto"/>
            <w:noWrap/>
            <w:vAlign w:val="center"/>
            <w:hideMark/>
          </w:tcPr>
          <w:p w14:paraId="56D1B0C6"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Тек треба да се утврди</w:t>
            </w:r>
          </w:p>
        </w:tc>
        <w:tc>
          <w:tcPr>
            <w:tcW w:w="1873" w:type="dxa"/>
            <w:tcBorders>
              <w:top w:val="nil"/>
              <w:left w:val="nil"/>
              <w:bottom w:val="single" w:sz="8" w:space="0" w:color="auto"/>
              <w:right w:val="single" w:sz="8" w:space="0" w:color="auto"/>
            </w:tcBorders>
            <w:shd w:val="clear" w:color="auto" w:fill="auto"/>
            <w:noWrap/>
            <w:vAlign w:val="center"/>
            <w:hideMark/>
          </w:tcPr>
          <w:p w14:paraId="4577808F" w14:textId="77777777" w:rsidR="008D7C20" w:rsidRPr="00092ED7" w:rsidRDefault="008D7C20" w:rsidP="008D7C20">
            <w:pPr>
              <w:spacing w:after="0"/>
              <w:jc w:val="center"/>
              <w:rPr>
                <w:rFonts w:eastAsia="Times New Roman" w:cs="Times New Roman"/>
                <w:color w:val="000000"/>
                <w:sz w:val="20"/>
                <w:szCs w:val="20"/>
                <w:lang w:val="sr-Cyrl-CS"/>
              </w:rPr>
            </w:pPr>
            <w:r w:rsidRPr="00092ED7">
              <w:rPr>
                <w:rFonts w:eastAsia="Times New Roman" w:cs="Times New Roman"/>
                <w:color w:val="000000"/>
                <w:sz w:val="20"/>
                <w:szCs w:val="20"/>
                <w:lang w:val="sr-Cyrl-CS"/>
              </w:rPr>
              <w:t>Укупно</w:t>
            </w:r>
          </w:p>
        </w:tc>
      </w:tr>
      <w:tr w:rsidR="00931CF1" w:rsidRPr="00092ED7" w14:paraId="0DBBE597" w14:textId="77777777" w:rsidTr="00812992">
        <w:trPr>
          <w:trHeight w:val="330"/>
        </w:trPr>
        <w:tc>
          <w:tcPr>
            <w:tcW w:w="1259" w:type="dxa"/>
            <w:tcBorders>
              <w:top w:val="nil"/>
              <w:left w:val="single" w:sz="8" w:space="0" w:color="auto"/>
              <w:bottom w:val="single" w:sz="8" w:space="0" w:color="auto"/>
              <w:right w:val="single" w:sz="8" w:space="0" w:color="auto"/>
            </w:tcBorders>
            <w:shd w:val="clear" w:color="000000" w:fill="FFFFFF"/>
            <w:noWrap/>
            <w:vAlign w:val="center"/>
            <w:hideMark/>
          </w:tcPr>
          <w:p w14:paraId="512905CE"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2023</w:t>
            </w:r>
          </w:p>
        </w:tc>
        <w:tc>
          <w:tcPr>
            <w:tcW w:w="1829" w:type="dxa"/>
            <w:tcBorders>
              <w:top w:val="nil"/>
              <w:left w:val="nil"/>
              <w:bottom w:val="single" w:sz="8" w:space="0" w:color="auto"/>
              <w:right w:val="single" w:sz="8" w:space="0" w:color="auto"/>
            </w:tcBorders>
            <w:shd w:val="clear" w:color="auto" w:fill="auto"/>
            <w:noWrap/>
            <w:vAlign w:val="center"/>
            <w:hideMark/>
          </w:tcPr>
          <w:p w14:paraId="2DD08DA6"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12.500.000,00</w:t>
            </w:r>
          </w:p>
        </w:tc>
        <w:tc>
          <w:tcPr>
            <w:tcW w:w="1617" w:type="dxa"/>
            <w:tcBorders>
              <w:top w:val="nil"/>
              <w:left w:val="nil"/>
              <w:bottom w:val="single" w:sz="8" w:space="0" w:color="auto"/>
              <w:right w:val="single" w:sz="8" w:space="0" w:color="auto"/>
            </w:tcBorders>
            <w:shd w:val="clear" w:color="auto" w:fill="auto"/>
            <w:noWrap/>
            <w:vAlign w:val="center"/>
            <w:hideMark/>
          </w:tcPr>
          <w:p w14:paraId="34D6DCAB"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31DC4AEA"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27" w:type="dxa"/>
            <w:tcBorders>
              <w:top w:val="nil"/>
              <w:left w:val="nil"/>
              <w:bottom w:val="single" w:sz="8" w:space="0" w:color="auto"/>
              <w:right w:val="single" w:sz="8" w:space="0" w:color="auto"/>
            </w:tcBorders>
            <w:shd w:val="clear" w:color="auto" w:fill="auto"/>
            <w:noWrap/>
            <w:vAlign w:val="center"/>
            <w:hideMark/>
          </w:tcPr>
          <w:p w14:paraId="6B32AEB9" w14:textId="78000A6E" w:rsidR="008D7C20" w:rsidRPr="00092ED7" w:rsidRDefault="0087660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34" w:type="dxa"/>
            <w:tcBorders>
              <w:top w:val="nil"/>
              <w:left w:val="nil"/>
              <w:bottom w:val="single" w:sz="8" w:space="0" w:color="auto"/>
              <w:right w:val="single" w:sz="8" w:space="0" w:color="auto"/>
            </w:tcBorders>
            <w:shd w:val="clear" w:color="auto" w:fill="auto"/>
            <w:noWrap/>
            <w:vAlign w:val="center"/>
            <w:hideMark/>
          </w:tcPr>
          <w:p w14:paraId="1265E67F"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66" w:type="dxa"/>
            <w:tcBorders>
              <w:top w:val="nil"/>
              <w:left w:val="nil"/>
              <w:bottom w:val="single" w:sz="8" w:space="0" w:color="auto"/>
              <w:right w:val="single" w:sz="8" w:space="0" w:color="auto"/>
            </w:tcBorders>
            <w:shd w:val="clear" w:color="auto" w:fill="auto"/>
            <w:noWrap/>
            <w:vAlign w:val="center"/>
            <w:hideMark/>
          </w:tcPr>
          <w:p w14:paraId="6A485034"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326" w:type="dxa"/>
            <w:tcBorders>
              <w:top w:val="nil"/>
              <w:left w:val="nil"/>
              <w:bottom w:val="single" w:sz="8" w:space="0" w:color="auto"/>
              <w:right w:val="single" w:sz="8" w:space="0" w:color="auto"/>
            </w:tcBorders>
            <w:shd w:val="clear" w:color="auto" w:fill="auto"/>
            <w:noWrap/>
            <w:vAlign w:val="center"/>
            <w:hideMark/>
          </w:tcPr>
          <w:p w14:paraId="7339D253"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873" w:type="dxa"/>
            <w:tcBorders>
              <w:top w:val="nil"/>
              <w:left w:val="nil"/>
              <w:bottom w:val="single" w:sz="8" w:space="0" w:color="auto"/>
              <w:right w:val="single" w:sz="8" w:space="0" w:color="auto"/>
            </w:tcBorders>
            <w:shd w:val="clear" w:color="auto" w:fill="auto"/>
            <w:noWrap/>
            <w:vAlign w:val="center"/>
            <w:hideMark/>
          </w:tcPr>
          <w:p w14:paraId="0C46A886" w14:textId="0AF41F13"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w:t>
            </w:r>
            <w:r w:rsidR="00876600" w:rsidRPr="00092ED7">
              <w:rPr>
                <w:rFonts w:eastAsia="Times New Roman" w:cs="Times New Roman"/>
                <w:color w:val="000000"/>
                <w:sz w:val="20"/>
                <w:szCs w:val="20"/>
                <w:lang w:val="sr-Cyrl-CS"/>
              </w:rPr>
              <w:t>2</w:t>
            </w:r>
            <w:r w:rsidRPr="00092ED7">
              <w:rPr>
                <w:rFonts w:eastAsia="Times New Roman" w:cs="Times New Roman"/>
                <w:color w:val="000000"/>
                <w:sz w:val="20"/>
                <w:szCs w:val="20"/>
                <w:lang w:val="sr-Cyrl-CS"/>
              </w:rPr>
              <w:t>.</w:t>
            </w:r>
            <w:r w:rsidR="00876600" w:rsidRPr="00092ED7">
              <w:rPr>
                <w:rFonts w:eastAsia="Times New Roman" w:cs="Times New Roman"/>
                <w:color w:val="000000"/>
                <w:sz w:val="20"/>
                <w:szCs w:val="20"/>
                <w:lang w:val="sr-Cyrl-CS"/>
              </w:rPr>
              <w:t>5</w:t>
            </w:r>
            <w:r w:rsidRPr="00092ED7">
              <w:rPr>
                <w:rFonts w:eastAsia="Times New Roman" w:cs="Times New Roman"/>
                <w:color w:val="000000"/>
                <w:sz w:val="20"/>
                <w:szCs w:val="20"/>
                <w:lang w:val="sr-Cyrl-CS"/>
              </w:rPr>
              <w:t>00.000,00</w:t>
            </w:r>
          </w:p>
        </w:tc>
      </w:tr>
      <w:tr w:rsidR="00931CF1" w:rsidRPr="00092ED7" w14:paraId="22D3E625" w14:textId="77777777" w:rsidTr="00812992">
        <w:trPr>
          <w:trHeight w:val="330"/>
        </w:trPr>
        <w:tc>
          <w:tcPr>
            <w:tcW w:w="1259" w:type="dxa"/>
            <w:tcBorders>
              <w:top w:val="nil"/>
              <w:left w:val="single" w:sz="8" w:space="0" w:color="auto"/>
              <w:bottom w:val="single" w:sz="8" w:space="0" w:color="auto"/>
              <w:right w:val="single" w:sz="8" w:space="0" w:color="auto"/>
            </w:tcBorders>
            <w:shd w:val="clear" w:color="000000" w:fill="FFFFFF"/>
            <w:noWrap/>
            <w:vAlign w:val="center"/>
            <w:hideMark/>
          </w:tcPr>
          <w:p w14:paraId="7C637B36"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2024</w:t>
            </w:r>
          </w:p>
        </w:tc>
        <w:tc>
          <w:tcPr>
            <w:tcW w:w="1829" w:type="dxa"/>
            <w:tcBorders>
              <w:top w:val="nil"/>
              <w:left w:val="nil"/>
              <w:bottom w:val="single" w:sz="8" w:space="0" w:color="auto"/>
              <w:right w:val="single" w:sz="8" w:space="0" w:color="auto"/>
            </w:tcBorders>
            <w:shd w:val="clear" w:color="auto" w:fill="auto"/>
            <w:noWrap/>
            <w:vAlign w:val="center"/>
            <w:hideMark/>
          </w:tcPr>
          <w:p w14:paraId="0F7AD103"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12.500.000,00</w:t>
            </w:r>
          </w:p>
        </w:tc>
        <w:tc>
          <w:tcPr>
            <w:tcW w:w="1617" w:type="dxa"/>
            <w:tcBorders>
              <w:top w:val="nil"/>
              <w:left w:val="nil"/>
              <w:bottom w:val="single" w:sz="8" w:space="0" w:color="auto"/>
              <w:right w:val="single" w:sz="8" w:space="0" w:color="auto"/>
            </w:tcBorders>
            <w:shd w:val="clear" w:color="auto" w:fill="auto"/>
            <w:noWrap/>
            <w:vAlign w:val="center"/>
            <w:hideMark/>
          </w:tcPr>
          <w:p w14:paraId="75B12672"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8" w:space="0" w:color="auto"/>
              <w:right w:val="single" w:sz="8" w:space="0" w:color="auto"/>
            </w:tcBorders>
            <w:shd w:val="clear" w:color="auto" w:fill="auto"/>
            <w:noWrap/>
            <w:vAlign w:val="center"/>
            <w:hideMark/>
          </w:tcPr>
          <w:p w14:paraId="281CD2C2"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27" w:type="dxa"/>
            <w:tcBorders>
              <w:top w:val="nil"/>
              <w:left w:val="nil"/>
              <w:bottom w:val="single" w:sz="8" w:space="0" w:color="auto"/>
              <w:right w:val="single" w:sz="8" w:space="0" w:color="auto"/>
            </w:tcBorders>
            <w:shd w:val="clear" w:color="auto" w:fill="auto"/>
            <w:noWrap/>
            <w:vAlign w:val="center"/>
            <w:hideMark/>
          </w:tcPr>
          <w:p w14:paraId="74CE3351"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34" w:type="dxa"/>
            <w:tcBorders>
              <w:top w:val="nil"/>
              <w:left w:val="nil"/>
              <w:bottom w:val="single" w:sz="8" w:space="0" w:color="auto"/>
              <w:right w:val="single" w:sz="8" w:space="0" w:color="auto"/>
            </w:tcBorders>
            <w:shd w:val="clear" w:color="auto" w:fill="auto"/>
            <w:noWrap/>
            <w:vAlign w:val="center"/>
            <w:hideMark/>
          </w:tcPr>
          <w:p w14:paraId="25939846"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66" w:type="dxa"/>
            <w:tcBorders>
              <w:top w:val="nil"/>
              <w:left w:val="nil"/>
              <w:bottom w:val="single" w:sz="8" w:space="0" w:color="auto"/>
              <w:right w:val="single" w:sz="8" w:space="0" w:color="auto"/>
            </w:tcBorders>
            <w:shd w:val="clear" w:color="auto" w:fill="auto"/>
            <w:noWrap/>
            <w:vAlign w:val="center"/>
            <w:hideMark/>
          </w:tcPr>
          <w:p w14:paraId="2A4573FF"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326" w:type="dxa"/>
            <w:tcBorders>
              <w:top w:val="nil"/>
              <w:left w:val="nil"/>
              <w:bottom w:val="single" w:sz="8" w:space="0" w:color="auto"/>
              <w:right w:val="single" w:sz="8" w:space="0" w:color="auto"/>
            </w:tcBorders>
            <w:shd w:val="clear" w:color="auto" w:fill="auto"/>
            <w:noWrap/>
            <w:vAlign w:val="center"/>
            <w:hideMark/>
          </w:tcPr>
          <w:p w14:paraId="457FCAD0"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873" w:type="dxa"/>
            <w:tcBorders>
              <w:top w:val="nil"/>
              <w:left w:val="nil"/>
              <w:bottom w:val="single" w:sz="8" w:space="0" w:color="auto"/>
              <w:right w:val="single" w:sz="8" w:space="0" w:color="auto"/>
            </w:tcBorders>
            <w:shd w:val="clear" w:color="auto" w:fill="auto"/>
            <w:noWrap/>
            <w:vAlign w:val="center"/>
            <w:hideMark/>
          </w:tcPr>
          <w:p w14:paraId="52946AD9"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12.500.000,00</w:t>
            </w:r>
          </w:p>
        </w:tc>
      </w:tr>
      <w:tr w:rsidR="00931CF1" w:rsidRPr="00092ED7" w14:paraId="4B9216E8" w14:textId="77777777" w:rsidTr="00812992">
        <w:trPr>
          <w:trHeight w:val="330"/>
        </w:trPr>
        <w:tc>
          <w:tcPr>
            <w:tcW w:w="1259" w:type="dxa"/>
            <w:tcBorders>
              <w:top w:val="nil"/>
              <w:left w:val="single" w:sz="8" w:space="0" w:color="auto"/>
              <w:bottom w:val="single" w:sz="4" w:space="0" w:color="auto"/>
              <w:right w:val="single" w:sz="8" w:space="0" w:color="auto"/>
            </w:tcBorders>
            <w:shd w:val="clear" w:color="000000" w:fill="FFFFFF"/>
            <w:noWrap/>
            <w:vAlign w:val="center"/>
            <w:hideMark/>
          </w:tcPr>
          <w:p w14:paraId="3630CEB7" w14:textId="77777777" w:rsidR="008D7C20" w:rsidRPr="00092ED7" w:rsidRDefault="008D7C20" w:rsidP="008D7C20">
            <w:pPr>
              <w:spacing w:after="0"/>
              <w:jc w:val="center"/>
              <w:rPr>
                <w:rFonts w:eastAsia="Times New Roman" w:cs="Times New Roman"/>
                <w:sz w:val="20"/>
                <w:szCs w:val="20"/>
                <w:lang w:val="sr-Cyrl-CS"/>
              </w:rPr>
            </w:pPr>
            <w:r w:rsidRPr="00092ED7">
              <w:rPr>
                <w:rFonts w:eastAsia="Times New Roman" w:cs="Times New Roman"/>
                <w:sz w:val="20"/>
                <w:szCs w:val="20"/>
                <w:lang w:val="sr-Cyrl-CS"/>
              </w:rPr>
              <w:t>2025</w:t>
            </w:r>
          </w:p>
        </w:tc>
        <w:tc>
          <w:tcPr>
            <w:tcW w:w="1829" w:type="dxa"/>
            <w:tcBorders>
              <w:top w:val="nil"/>
              <w:left w:val="nil"/>
              <w:bottom w:val="single" w:sz="4" w:space="0" w:color="auto"/>
              <w:right w:val="single" w:sz="8" w:space="0" w:color="auto"/>
            </w:tcBorders>
            <w:shd w:val="clear" w:color="auto" w:fill="auto"/>
            <w:noWrap/>
            <w:vAlign w:val="center"/>
            <w:hideMark/>
          </w:tcPr>
          <w:p w14:paraId="097721F1"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12.500.000,00</w:t>
            </w:r>
          </w:p>
        </w:tc>
        <w:tc>
          <w:tcPr>
            <w:tcW w:w="1617" w:type="dxa"/>
            <w:tcBorders>
              <w:top w:val="nil"/>
              <w:left w:val="nil"/>
              <w:bottom w:val="single" w:sz="4" w:space="0" w:color="auto"/>
              <w:right w:val="single" w:sz="8" w:space="0" w:color="auto"/>
            </w:tcBorders>
            <w:shd w:val="clear" w:color="auto" w:fill="auto"/>
            <w:noWrap/>
            <w:vAlign w:val="center"/>
            <w:hideMark/>
          </w:tcPr>
          <w:p w14:paraId="3A5DDDC3"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617" w:type="dxa"/>
            <w:tcBorders>
              <w:top w:val="nil"/>
              <w:left w:val="nil"/>
              <w:bottom w:val="single" w:sz="4" w:space="0" w:color="auto"/>
              <w:right w:val="single" w:sz="8" w:space="0" w:color="auto"/>
            </w:tcBorders>
            <w:shd w:val="clear" w:color="auto" w:fill="auto"/>
            <w:noWrap/>
            <w:vAlign w:val="center"/>
            <w:hideMark/>
          </w:tcPr>
          <w:p w14:paraId="3E11590F"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527" w:type="dxa"/>
            <w:tcBorders>
              <w:top w:val="nil"/>
              <w:left w:val="nil"/>
              <w:bottom w:val="single" w:sz="4" w:space="0" w:color="auto"/>
              <w:right w:val="single" w:sz="8" w:space="0" w:color="auto"/>
            </w:tcBorders>
            <w:shd w:val="clear" w:color="auto" w:fill="auto"/>
            <w:noWrap/>
            <w:vAlign w:val="center"/>
            <w:hideMark/>
          </w:tcPr>
          <w:p w14:paraId="3A925869"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34" w:type="dxa"/>
            <w:tcBorders>
              <w:top w:val="nil"/>
              <w:left w:val="nil"/>
              <w:bottom w:val="single" w:sz="4" w:space="0" w:color="auto"/>
              <w:right w:val="single" w:sz="8" w:space="0" w:color="auto"/>
            </w:tcBorders>
            <w:shd w:val="clear" w:color="auto" w:fill="auto"/>
            <w:noWrap/>
            <w:vAlign w:val="center"/>
            <w:hideMark/>
          </w:tcPr>
          <w:p w14:paraId="1B568452"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466" w:type="dxa"/>
            <w:tcBorders>
              <w:top w:val="nil"/>
              <w:left w:val="nil"/>
              <w:bottom w:val="single" w:sz="4" w:space="0" w:color="auto"/>
              <w:right w:val="single" w:sz="8" w:space="0" w:color="auto"/>
            </w:tcBorders>
            <w:shd w:val="clear" w:color="auto" w:fill="auto"/>
            <w:noWrap/>
            <w:vAlign w:val="center"/>
            <w:hideMark/>
          </w:tcPr>
          <w:p w14:paraId="611EFEE6"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326" w:type="dxa"/>
            <w:tcBorders>
              <w:top w:val="nil"/>
              <w:left w:val="nil"/>
              <w:bottom w:val="single" w:sz="4" w:space="0" w:color="auto"/>
              <w:right w:val="single" w:sz="8" w:space="0" w:color="auto"/>
            </w:tcBorders>
            <w:shd w:val="clear" w:color="auto" w:fill="auto"/>
            <w:noWrap/>
            <w:vAlign w:val="center"/>
            <w:hideMark/>
          </w:tcPr>
          <w:p w14:paraId="7D25B7D6"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0</w:t>
            </w:r>
          </w:p>
        </w:tc>
        <w:tc>
          <w:tcPr>
            <w:tcW w:w="1873" w:type="dxa"/>
            <w:tcBorders>
              <w:top w:val="nil"/>
              <w:left w:val="nil"/>
              <w:bottom w:val="single" w:sz="4" w:space="0" w:color="auto"/>
              <w:right w:val="single" w:sz="8" w:space="0" w:color="auto"/>
            </w:tcBorders>
            <w:shd w:val="clear" w:color="auto" w:fill="auto"/>
            <w:noWrap/>
            <w:vAlign w:val="center"/>
            <w:hideMark/>
          </w:tcPr>
          <w:p w14:paraId="2B0A775E" w14:textId="77777777" w:rsidR="008D7C20" w:rsidRPr="00092ED7" w:rsidRDefault="008D7C20" w:rsidP="008D7C20">
            <w:pPr>
              <w:spacing w:after="0"/>
              <w:jc w:val="right"/>
              <w:rPr>
                <w:rFonts w:eastAsia="Times New Roman" w:cs="Times New Roman"/>
                <w:color w:val="000000"/>
                <w:sz w:val="20"/>
                <w:szCs w:val="20"/>
                <w:lang w:val="sr-Cyrl-CS"/>
              </w:rPr>
            </w:pPr>
            <w:r w:rsidRPr="00092ED7">
              <w:rPr>
                <w:rFonts w:eastAsia="Times New Roman" w:cs="Times New Roman"/>
                <w:color w:val="000000"/>
                <w:sz w:val="20"/>
                <w:szCs w:val="20"/>
                <w:lang w:val="sr-Cyrl-CS"/>
              </w:rPr>
              <w:t>12.500.000,00</w:t>
            </w:r>
          </w:p>
        </w:tc>
      </w:tr>
      <w:tr w:rsidR="00812992" w:rsidRPr="00092ED7" w14:paraId="27613BD3" w14:textId="77777777" w:rsidTr="006D5549">
        <w:trPr>
          <w:trHeight w:val="330"/>
        </w:trPr>
        <w:tc>
          <w:tcPr>
            <w:tcW w:w="13948" w:type="dxa"/>
            <w:gridSpan w:val="9"/>
            <w:tcBorders>
              <w:top w:val="nil"/>
              <w:left w:val="single" w:sz="8" w:space="0" w:color="auto"/>
              <w:bottom w:val="single" w:sz="4" w:space="0" w:color="auto"/>
              <w:right w:val="single" w:sz="8" w:space="0" w:color="auto"/>
            </w:tcBorders>
            <w:shd w:val="clear" w:color="000000" w:fill="FFFFFF"/>
            <w:noWrap/>
            <w:vAlign w:val="center"/>
          </w:tcPr>
          <w:p w14:paraId="3E85A03E" w14:textId="77777777" w:rsidR="00812992" w:rsidRPr="00092ED7" w:rsidRDefault="00812992" w:rsidP="008D7C20">
            <w:pPr>
              <w:spacing w:after="0"/>
              <w:jc w:val="right"/>
              <w:rPr>
                <w:rFonts w:eastAsia="Times New Roman" w:cs="Times New Roman"/>
                <w:color w:val="000000"/>
                <w:sz w:val="20"/>
                <w:szCs w:val="20"/>
                <w:lang w:val="sr-Cyrl-CS"/>
              </w:rPr>
            </w:pPr>
          </w:p>
        </w:tc>
      </w:tr>
      <w:tr w:rsidR="00931CF1" w:rsidRPr="00092ED7" w14:paraId="74C6F947" w14:textId="77777777" w:rsidTr="00812992">
        <w:trPr>
          <w:trHeight w:val="330"/>
        </w:trPr>
        <w:tc>
          <w:tcPr>
            <w:tcW w:w="1259" w:type="dxa"/>
            <w:tcBorders>
              <w:top w:val="single" w:sz="4" w:space="0" w:color="auto"/>
              <w:left w:val="single" w:sz="4" w:space="0" w:color="auto"/>
              <w:bottom w:val="single" w:sz="4" w:space="0" w:color="auto"/>
              <w:right w:val="single" w:sz="4" w:space="0" w:color="auto"/>
            </w:tcBorders>
            <w:shd w:val="clear" w:color="auto" w:fill="D9D9D9"/>
            <w:noWrap/>
            <w:vAlign w:val="center"/>
          </w:tcPr>
          <w:p w14:paraId="5840C433" w14:textId="77777777" w:rsidR="008D7C20" w:rsidRPr="00092ED7" w:rsidRDefault="008D7C20" w:rsidP="008D7C20">
            <w:pPr>
              <w:spacing w:after="0"/>
              <w:jc w:val="center"/>
              <w:rPr>
                <w:rFonts w:eastAsia="Times New Roman" w:cs="Times New Roman"/>
                <w:b/>
                <w:sz w:val="20"/>
                <w:szCs w:val="20"/>
                <w:lang w:val="sr-Cyrl-CS"/>
              </w:rPr>
            </w:pPr>
            <w:r w:rsidRPr="00092ED7">
              <w:rPr>
                <w:rFonts w:eastAsia="Times New Roman" w:cs="Times New Roman"/>
                <w:b/>
                <w:sz w:val="20"/>
                <w:szCs w:val="20"/>
                <w:lang w:val="sr-Cyrl-CS"/>
              </w:rPr>
              <w:t>УКУПНО</w:t>
            </w:r>
          </w:p>
        </w:tc>
        <w:tc>
          <w:tcPr>
            <w:tcW w:w="1829" w:type="dxa"/>
            <w:tcBorders>
              <w:top w:val="single" w:sz="4" w:space="0" w:color="auto"/>
              <w:left w:val="single" w:sz="4" w:space="0" w:color="auto"/>
              <w:bottom w:val="single" w:sz="4" w:space="0" w:color="auto"/>
              <w:right w:val="single" w:sz="4" w:space="0" w:color="auto"/>
            </w:tcBorders>
            <w:shd w:val="clear" w:color="auto" w:fill="D9D9D9"/>
            <w:noWrap/>
            <w:vAlign w:val="center"/>
          </w:tcPr>
          <w:p w14:paraId="47B3BB5C" w14:textId="13CEE4F4" w:rsidR="008D7C20" w:rsidRPr="00092ED7" w:rsidRDefault="00931CF1" w:rsidP="00D76E40">
            <w:pPr>
              <w:spacing w:after="0"/>
              <w:jc w:val="right"/>
              <w:rPr>
                <w:rFonts w:eastAsia="Times New Roman" w:cs="Times New Roman"/>
                <w:b/>
                <w:color w:val="000000"/>
                <w:sz w:val="20"/>
                <w:szCs w:val="20"/>
                <w:lang w:val="sr-Cyrl-CS"/>
              </w:rPr>
            </w:pPr>
            <w:r w:rsidRPr="00092ED7">
              <w:rPr>
                <w:rFonts w:eastAsia="Times New Roman" w:cs="Times New Roman"/>
                <w:b/>
                <w:color w:val="000000"/>
                <w:sz w:val="20"/>
                <w:szCs w:val="20"/>
                <w:lang w:val="sr-Cyrl-CS"/>
              </w:rPr>
              <w:t>267</w:t>
            </w:r>
            <w:r w:rsidR="008D7C20" w:rsidRPr="00092ED7">
              <w:rPr>
                <w:rFonts w:eastAsia="Times New Roman" w:cs="Times New Roman"/>
                <w:b/>
                <w:color w:val="000000"/>
                <w:sz w:val="20"/>
                <w:szCs w:val="20"/>
                <w:lang w:val="sr-Cyrl-CS"/>
              </w:rPr>
              <w:t>.</w:t>
            </w:r>
            <w:r w:rsidRPr="00092ED7">
              <w:rPr>
                <w:rFonts w:eastAsia="Times New Roman" w:cs="Times New Roman"/>
                <w:b/>
                <w:color w:val="000000"/>
                <w:sz w:val="20"/>
                <w:szCs w:val="20"/>
                <w:lang w:val="sr-Cyrl-CS"/>
              </w:rPr>
              <w:t>643</w:t>
            </w:r>
            <w:r w:rsidR="008D7C20" w:rsidRPr="00092ED7">
              <w:rPr>
                <w:rFonts w:eastAsia="Times New Roman" w:cs="Times New Roman"/>
                <w:b/>
                <w:color w:val="000000"/>
                <w:sz w:val="20"/>
                <w:szCs w:val="20"/>
                <w:lang w:val="sr-Cyrl-CS"/>
              </w:rPr>
              <w:t>.</w:t>
            </w:r>
            <w:r w:rsidRPr="00092ED7">
              <w:rPr>
                <w:rFonts w:eastAsia="Times New Roman" w:cs="Times New Roman"/>
                <w:b/>
                <w:color w:val="000000"/>
                <w:sz w:val="20"/>
                <w:szCs w:val="20"/>
                <w:lang w:val="sr-Cyrl-CS"/>
              </w:rPr>
              <w:t>945</w:t>
            </w:r>
            <w:r w:rsidR="008D7C20" w:rsidRPr="00092ED7">
              <w:rPr>
                <w:rFonts w:eastAsia="Times New Roman" w:cs="Times New Roman"/>
                <w:b/>
                <w:color w:val="000000"/>
                <w:sz w:val="20"/>
                <w:szCs w:val="20"/>
                <w:lang w:val="sr-Cyrl-CS"/>
              </w:rPr>
              <w:t>,6</w:t>
            </w:r>
            <w:r w:rsidR="00995FC8" w:rsidRPr="00092ED7">
              <w:rPr>
                <w:rFonts w:eastAsia="Times New Roman" w:cs="Times New Roman"/>
                <w:b/>
                <w:color w:val="000000"/>
                <w:sz w:val="20"/>
                <w:szCs w:val="20"/>
                <w:lang w:val="sr-Cyrl-CS"/>
              </w:rPr>
              <w:t>7</w:t>
            </w:r>
          </w:p>
        </w:tc>
        <w:tc>
          <w:tcPr>
            <w:tcW w:w="1617" w:type="dxa"/>
            <w:tcBorders>
              <w:top w:val="single" w:sz="4" w:space="0" w:color="auto"/>
              <w:left w:val="single" w:sz="4" w:space="0" w:color="auto"/>
              <w:bottom w:val="single" w:sz="4" w:space="0" w:color="auto"/>
              <w:right w:val="single" w:sz="4" w:space="0" w:color="auto"/>
            </w:tcBorders>
            <w:shd w:val="clear" w:color="auto" w:fill="D9D9D9"/>
            <w:noWrap/>
            <w:vAlign w:val="center"/>
          </w:tcPr>
          <w:p w14:paraId="5527824D" w14:textId="77777777" w:rsidR="008D7C20" w:rsidRPr="00092ED7" w:rsidRDefault="008D7C20" w:rsidP="008D7C20">
            <w:pPr>
              <w:spacing w:after="0"/>
              <w:jc w:val="right"/>
              <w:rPr>
                <w:rFonts w:eastAsia="Times New Roman" w:cs="Times New Roman"/>
                <w:b/>
                <w:color w:val="000000"/>
                <w:sz w:val="20"/>
                <w:szCs w:val="20"/>
                <w:lang w:val="sr-Cyrl-CS"/>
              </w:rPr>
            </w:pPr>
            <w:r w:rsidRPr="00092ED7">
              <w:rPr>
                <w:rFonts w:eastAsia="Times New Roman" w:cs="Times New Roman"/>
                <w:b/>
                <w:color w:val="000000"/>
                <w:sz w:val="20"/>
                <w:szCs w:val="20"/>
                <w:lang w:val="sr-Cyrl-CS"/>
              </w:rPr>
              <w:t>8.536.113,99</w:t>
            </w:r>
          </w:p>
        </w:tc>
        <w:tc>
          <w:tcPr>
            <w:tcW w:w="1617" w:type="dxa"/>
            <w:tcBorders>
              <w:top w:val="single" w:sz="4" w:space="0" w:color="auto"/>
              <w:left w:val="single" w:sz="4" w:space="0" w:color="auto"/>
              <w:bottom w:val="single" w:sz="4" w:space="0" w:color="auto"/>
              <w:right w:val="single" w:sz="4" w:space="0" w:color="auto"/>
            </w:tcBorders>
            <w:shd w:val="clear" w:color="auto" w:fill="D9D9D9"/>
            <w:noWrap/>
            <w:vAlign w:val="center"/>
          </w:tcPr>
          <w:p w14:paraId="67BEA18E" w14:textId="112E9F9E" w:rsidR="008D7C20" w:rsidRPr="00092ED7" w:rsidRDefault="00931CF1" w:rsidP="00D76E40">
            <w:pPr>
              <w:spacing w:after="0"/>
              <w:jc w:val="right"/>
              <w:rPr>
                <w:rFonts w:eastAsia="Times New Roman" w:cs="Times New Roman"/>
                <w:b/>
                <w:color w:val="000000"/>
                <w:sz w:val="20"/>
                <w:szCs w:val="20"/>
                <w:lang w:val="sr-Cyrl-CS"/>
              </w:rPr>
            </w:pPr>
            <w:r w:rsidRPr="00092ED7">
              <w:rPr>
                <w:rFonts w:eastAsia="Times New Roman" w:cs="Times New Roman"/>
                <w:b/>
                <w:color w:val="000000"/>
                <w:sz w:val="20"/>
                <w:szCs w:val="20"/>
                <w:lang w:val="sr-Cyrl-CS"/>
              </w:rPr>
              <w:t>634</w:t>
            </w:r>
            <w:r w:rsidR="008D7C20" w:rsidRPr="00092ED7">
              <w:rPr>
                <w:rFonts w:eastAsia="Times New Roman" w:cs="Times New Roman"/>
                <w:b/>
                <w:color w:val="000000"/>
                <w:sz w:val="20"/>
                <w:szCs w:val="20"/>
                <w:lang w:val="sr-Cyrl-CS"/>
              </w:rPr>
              <w:t>.</w:t>
            </w:r>
            <w:r w:rsidRPr="00092ED7">
              <w:rPr>
                <w:rFonts w:eastAsia="Times New Roman" w:cs="Times New Roman"/>
                <w:b/>
                <w:color w:val="000000"/>
                <w:sz w:val="20"/>
                <w:szCs w:val="20"/>
                <w:lang w:val="sr-Cyrl-CS"/>
              </w:rPr>
              <w:t>873</w:t>
            </w:r>
            <w:r w:rsidR="008D7C20" w:rsidRPr="00092ED7">
              <w:rPr>
                <w:rFonts w:eastAsia="Times New Roman" w:cs="Times New Roman"/>
                <w:b/>
                <w:color w:val="000000"/>
                <w:sz w:val="20"/>
                <w:szCs w:val="20"/>
                <w:lang w:val="sr-Cyrl-CS"/>
              </w:rPr>
              <w:t>,00</w:t>
            </w:r>
          </w:p>
        </w:tc>
        <w:tc>
          <w:tcPr>
            <w:tcW w:w="1527" w:type="dxa"/>
            <w:tcBorders>
              <w:top w:val="single" w:sz="4" w:space="0" w:color="auto"/>
              <w:left w:val="single" w:sz="4" w:space="0" w:color="auto"/>
              <w:bottom w:val="single" w:sz="4" w:space="0" w:color="auto"/>
              <w:right w:val="single" w:sz="4" w:space="0" w:color="auto"/>
            </w:tcBorders>
            <w:shd w:val="clear" w:color="auto" w:fill="D9D9D9"/>
            <w:noWrap/>
            <w:vAlign w:val="center"/>
          </w:tcPr>
          <w:p w14:paraId="1748BFC5" w14:textId="3063DC6B" w:rsidR="008D7C20" w:rsidRPr="00092ED7" w:rsidRDefault="00995FC8" w:rsidP="008D7C20">
            <w:pPr>
              <w:spacing w:after="0"/>
              <w:jc w:val="right"/>
              <w:rPr>
                <w:rFonts w:eastAsia="Times New Roman" w:cs="Times New Roman"/>
                <w:b/>
                <w:color w:val="000000"/>
                <w:sz w:val="20"/>
                <w:szCs w:val="20"/>
                <w:lang w:val="sr-Cyrl-CS"/>
              </w:rPr>
            </w:pPr>
            <w:r w:rsidRPr="00092ED7">
              <w:rPr>
                <w:rFonts w:eastAsia="Times New Roman" w:cs="Times New Roman"/>
                <w:b/>
                <w:color w:val="000000"/>
                <w:sz w:val="20"/>
                <w:szCs w:val="20"/>
                <w:lang w:val="sr-Cyrl-CS"/>
              </w:rPr>
              <w:t>71</w:t>
            </w:r>
            <w:r w:rsidR="008D7C20" w:rsidRPr="00092ED7">
              <w:rPr>
                <w:rFonts w:eastAsia="Times New Roman" w:cs="Times New Roman"/>
                <w:b/>
                <w:color w:val="000000"/>
                <w:sz w:val="20"/>
                <w:szCs w:val="20"/>
                <w:lang w:val="sr-Cyrl-CS"/>
              </w:rPr>
              <w:t>.</w:t>
            </w:r>
            <w:r w:rsidR="000616B3" w:rsidRPr="00092ED7">
              <w:rPr>
                <w:rFonts w:eastAsia="Times New Roman" w:cs="Times New Roman"/>
                <w:b/>
                <w:color w:val="000000"/>
                <w:sz w:val="20"/>
                <w:szCs w:val="20"/>
                <w:lang w:val="sr-Cyrl-CS"/>
              </w:rPr>
              <w:t>3</w:t>
            </w:r>
            <w:r w:rsidR="008D7C20" w:rsidRPr="00092ED7">
              <w:rPr>
                <w:rFonts w:eastAsia="Times New Roman" w:cs="Times New Roman"/>
                <w:b/>
                <w:color w:val="000000"/>
                <w:sz w:val="20"/>
                <w:szCs w:val="20"/>
                <w:lang w:val="sr-Cyrl-CS"/>
              </w:rPr>
              <w:t>08.229,66</w:t>
            </w:r>
          </w:p>
        </w:tc>
        <w:tc>
          <w:tcPr>
            <w:tcW w:w="1434" w:type="dxa"/>
            <w:tcBorders>
              <w:top w:val="single" w:sz="4" w:space="0" w:color="auto"/>
              <w:left w:val="single" w:sz="4" w:space="0" w:color="auto"/>
              <w:bottom w:val="single" w:sz="4" w:space="0" w:color="auto"/>
              <w:right w:val="single" w:sz="4" w:space="0" w:color="auto"/>
            </w:tcBorders>
            <w:shd w:val="clear" w:color="auto" w:fill="D9D9D9"/>
            <w:noWrap/>
            <w:vAlign w:val="center"/>
          </w:tcPr>
          <w:p w14:paraId="5CF1B3B8" w14:textId="77777777" w:rsidR="008D7C20" w:rsidRPr="00092ED7" w:rsidRDefault="008D7C20" w:rsidP="008D7C20">
            <w:pPr>
              <w:spacing w:after="0"/>
              <w:jc w:val="right"/>
              <w:rPr>
                <w:rFonts w:eastAsia="Times New Roman" w:cs="Times New Roman"/>
                <w:b/>
                <w:color w:val="000000"/>
                <w:sz w:val="20"/>
                <w:szCs w:val="20"/>
                <w:lang w:val="sr-Cyrl-CS"/>
              </w:rPr>
            </w:pPr>
            <w:r w:rsidRPr="00092ED7">
              <w:rPr>
                <w:rFonts w:eastAsia="Times New Roman" w:cs="Times New Roman"/>
                <w:b/>
                <w:color w:val="000000"/>
                <w:sz w:val="20"/>
                <w:szCs w:val="20"/>
                <w:lang w:val="sr-Cyrl-CS"/>
              </w:rPr>
              <w:t>63.463.213,3</w:t>
            </w:r>
          </w:p>
        </w:tc>
        <w:tc>
          <w:tcPr>
            <w:tcW w:w="1466" w:type="dxa"/>
            <w:tcBorders>
              <w:top w:val="single" w:sz="4" w:space="0" w:color="auto"/>
              <w:left w:val="single" w:sz="4" w:space="0" w:color="auto"/>
              <w:bottom w:val="single" w:sz="4" w:space="0" w:color="auto"/>
              <w:right w:val="single" w:sz="4" w:space="0" w:color="auto"/>
            </w:tcBorders>
            <w:shd w:val="clear" w:color="auto" w:fill="D9D9D9"/>
            <w:noWrap/>
            <w:vAlign w:val="center"/>
          </w:tcPr>
          <w:p w14:paraId="3F887ACD" w14:textId="1A9B6711" w:rsidR="008D7C20" w:rsidRPr="00092ED7" w:rsidRDefault="00CD1BE8" w:rsidP="00C227BE">
            <w:pPr>
              <w:spacing w:after="0"/>
              <w:jc w:val="right"/>
              <w:rPr>
                <w:rFonts w:eastAsia="Times New Roman" w:cs="Times New Roman"/>
                <w:b/>
                <w:color w:val="000000"/>
                <w:sz w:val="20"/>
                <w:szCs w:val="20"/>
                <w:lang w:val="sr-Cyrl-CS"/>
              </w:rPr>
            </w:pPr>
            <w:r w:rsidRPr="00092ED7">
              <w:rPr>
                <w:rFonts w:eastAsia="Times New Roman" w:cs="Times New Roman"/>
                <w:b/>
                <w:color w:val="000000"/>
                <w:sz w:val="20"/>
                <w:szCs w:val="20"/>
                <w:lang w:val="sr-Cyrl-CS"/>
              </w:rPr>
              <w:t>716.</w:t>
            </w:r>
            <w:r w:rsidR="00C227BE" w:rsidRPr="00092ED7">
              <w:rPr>
                <w:rFonts w:eastAsia="Times New Roman" w:cs="Times New Roman"/>
                <w:b/>
                <w:color w:val="000000"/>
                <w:sz w:val="20"/>
                <w:szCs w:val="20"/>
                <w:lang w:val="sr-Cyrl-CS"/>
              </w:rPr>
              <w:t>224</w:t>
            </w:r>
            <w:r w:rsidRPr="00092ED7">
              <w:rPr>
                <w:rFonts w:eastAsia="Times New Roman" w:cs="Times New Roman"/>
                <w:b/>
                <w:color w:val="000000"/>
                <w:sz w:val="20"/>
                <w:szCs w:val="20"/>
                <w:lang w:val="sr-Cyrl-CS"/>
              </w:rPr>
              <w:t>.</w:t>
            </w:r>
            <w:r w:rsidR="00C227BE" w:rsidRPr="00092ED7">
              <w:rPr>
                <w:rFonts w:eastAsia="Times New Roman" w:cs="Times New Roman"/>
                <w:b/>
                <w:color w:val="000000"/>
                <w:sz w:val="20"/>
                <w:szCs w:val="20"/>
                <w:lang w:val="sr-Cyrl-CS"/>
              </w:rPr>
              <w:t>995</w:t>
            </w:r>
            <w:r w:rsidR="008D7C20" w:rsidRPr="00092ED7">
              <w:rPr>
                <w:rFonts w:eastAsia="Times New Roman" w:cs="Times New Roman"/>
                <w:b/>
                <w:color w:val="000000"/>
                <w:sz w:val="20"/>
                <w:szCs w:val="20"/>
                <w:lang w:val="sr-Cyrl-CS"/>
              </w:rPr>
              <w:t>,66</w:t>
            </w:r>
          </w:p>
        </w:tc>
        <w:tc>
          <w:tcPr>
            <w:tcW w:w="1326" w:type="dxa"/>
            <w:tcBorders>
              <w:top w:val="single" w:sz="4" w:space="0" w:color="auto"/>
              <w:left w:val="single" w:sz="4" w:space="0" w:color="auto"/>
              <w:bottom w:val="single" w:sz="4" w:space="0" w:color="auto"/>
              <w:right w:val="single" w:sz="4" w:space="0" w:color="auto"/>
            </w:tcBorders>
            <w:shd w:val="clear" w:color="auto" w:fill="D9D9D9"/>
            <w:noWrap/>
            <w:vAlign w:val="center"/>
          </w:tcPr>
          <w:p w14:paraId="71DBE5F5" w14:textId="56CDBA17" w:rsidR="008D7C20" w:rsidRPr="00092ED7" w:rsidRDefault="00995FC8" w:rsidP="008D7C20">
            <w:pPr>
              <w:spacing w:after="0"/>
              <w:jc w:val="right"/>
              <w:rPr>
                <w:rFonts w:eastAsia="Times New Roman" w:cs="Times New Roman"/>
                <w:b/>
                <w:color w:val="000000"/>
                <w:sz w:val="20"/>
                <w:szCs w:val="20"/>
                <w:lang w:val="sr-Cyrl-CS"/>
              </w:rPr>
            </w:pPr>
            <w:r w:rsidRPr="00092ED7">
              <w:rPr>
                <w:rFonts w:eastAsia="Times New Roman" w:cs="Times New Roman"/>
                <w:b/>
                <w:color w:val="000000"/>
                <w:sz w:val="20"/>
                <w:szCs w:val="20"/>
                <w:lang w:val="sr-Cyrl-CS"/>
              </w:rPr>
              <w:t>2</w:t>
            </w:r>
            <w:r w:rsidR="008D7C20" w:rsidRPr="00092ED7">
              <w:rPr>
                <w:rFonts w:eastAsia="Times New Roman" w:cs="Times New Roman"/>
                <w:b/>
                <w:color w:val="000000"/>
                <w:sz w:val="20"/>
                <w:szCs w:val="20"/>
                <w:lang w:val="sr-Cyrl-CS"/>
              </w:rPr>
              <w:t>.250.000,00</w:t>
            </w:r>
          </w:p>
        </w:tc>
        <w:tc>
          <w:tcPr>
            <w:tcW w:w="1873" w:type="dxa"/>
            <w:tcBorders>
              <w:top w:val="single" w:sz="4" w:space="0" w:color="auto"/>
              <w:left w:val="single" w:sz="4" w:space="0" w:color="auto"/>
              <w:bottom w:val="single" w:sz="4" w:space="0" w:color="auto"/>
              <w:right w:val="single" w:sz="4" w:space="0" w:color="auto"/>
            </w:tcBorders>
            <w:shd w:val="clear" w:color="auto" w:fill="D9D9D9"/>
            <w:noWrap/>
            <w:vAlign w:val="center"/>
          </w:tcPr>
          <w:p w14:paraId="1C11DFE4" w14:textId="58374E4D" w:rsidR="008D7C20" w:rsidRPr="00092ED7" w:rsidRDefault="00CD1BE8" w:rsidP="00D76E40">
            <w:pPr>
              <w:spacing w:after="0"/>
              <w:jc w:val="right"/>
              <w:rPr>
                <w:rFonts w:eastAsia="Times New Roman" w:cs="Times New Roman"/>
                <w:b/>
                <w:color w:val="000000"/>
                <w:sz w:val="20"/>
                <w:szCs w:val="20"/>
                <w:lang w:val="sr-Cyrl-CS"/>
              </w:rPr>
            </w:pPr>
            <w:r w:rsidRPr="00092ED7">
              <w:rPr>
                <w:rFonts w:eastAsia="Times New Roman" w:cs="Times New Roman"/>
                <w:b/>
                <w:color w:val="000000"/>
                <w:sz w:val="20"/>
                <w:szCs w:val="20"/>
                <w:lang w:val="sr-Cyrl-CS"/>
              </w:rPr>
              <w:t>1.1</w:t>
            </w:r>
            <w:r w:rsidR="00747E5C" w:rsidRPr="00092ED7">
              <w:rPr>
                <w:rFonts w:eastAsia="Times New Roman" w:cs="Times New Roman"/>
                <w:b/>
                <w:color w:val="000000"/>
                <w:sz w:val="20"/>
                <w:szCs w:val="20"/>
                <w:lang w:val="sr-Cyrl-CS"/>
              </w:rPr>
              <w:t>30</w:t>
            </w:r>
            <w:r w:rsidRPr="00092ED7">
              <w:rPr>
                <w:rFonts w:eastAsia="Times New Roman" w:cs="Times New Roman"/>
                <w:b/>
                <w:color w:val="000000"/>
                <w:sz w:val="20"/>
                <w:szCs w:val="20"/>
                <w:lang w:val="sr-Cyrl-CS"/>
              </w:rPr>
              <w:t>.</w:t>
            </w:r>
            <w:r w:rsidR="00747E5C" w:rsidRPr="00092ED7">
              <w:rPr>
                <w:rFonts w:eastAsia="Times New Roman" w:cs="Times New Roman"/>
                <w:b/>
                <w:color w:val="000000"/>
                <w:sz w:val="20"/>
                <w:szCs w:val="20"/>
                <w:lang w:val="sr-Cyrl-CS"/>
              </w:rPr>
              <w:t>061</w:t>
            </w:r>
            <w:r w:rsidRPr="00092ED7">
              <w:rPr>
                <w:rFonts w:eastAsia="Times New Roman" w:cs="Times New Roman"/>
                <w:b/>
                <w:color w:val="000000"/>
                <w:sz w:val="20"/>
                <w:szCs w:val="20"/>
                <w:lang w:val="sr-Cyrl-CS"/>
              </w:rPr>
              <w:t>.</w:t>
            </w:r>
            <w:r w:rsidR="00747E5C" w:rsidRPr="00092ED7">
              <w:rPr>
                <w:rFonts w:eastAsia="Times New Roman" w:cs="Times New Roman"/>
                <w:b/>
                <w:color w:val="000000"/>
                <w:sz w:val="20"/>
                <w:szCs w:val="20"/>
                <w:lang w:val="sr-Cyrl-CS"/>
              </w:rPr>
              <w:t>371</w:t>
            </w:r>
            <w:r w:rsidR="008D7C20" w:rsidRPr="00092ED7">
              <w:rPr>
                <w:rFonts w:eastAsia="Times New Roman" w:cs="Times New Roman"/>
                <w:b/>
                <w:color w:val="000000"/>
                <w:sz w:val="20"/>
                <w:szCs w:val="20"/>
                <w:lang w:val="sr-Cyrl-CS"/>
              </w:rPr>
              <w:t>,2</w:t>
            </w:r>
            <w:r w:rsidR="00995FC8" w:rsidRPr="00092ED7">
              <w:rPr>
                <w:rFonts w:eastAsia="Times New Roman" w:cs="Times New Roman"/>
                <w:b/>
                <w:color w:val="000000"/>
                <w:sz w:val="20"/>
                <w:szCs w:val="20"/>
                <w:lang w:val="sr-Cyrl-CS"/>
              </w:rPr>
              <w:t>7</w:t>
            </w:r>
          </w:p>
        </w:tc>
      </w:tr>
    </w:tbl>
    <w:p w14:paraId="105615A0" w14:textId="77777777" w:rsidR="008D7C20" w:rsidRPr="00092ED7" w:rsidRDefault="008D7C20" w:rsidP="00D030D6">
      <w:pPr>
        <w:spacing w:after="60"/>
        <w:rPr>
          <w:w w:val="110"/>
          <w:lang w:val="sr-Cyrl-CS"/>
        </w:rPr>
      </w:pPr>
    </w:p>
    <w:p w14:paraId="51886647" w14:textId="77777777" w:rsidR="00B11AE5" w:rsidRPr="00092ED7" w:rsidRDefault="00B11AE5" w:rsidP="00D030D6">
      <w:pPr>
        <w:spacing w:after="60"/>
        <w:rPr>
          <w:w w:val="110"/>
          <w:lang w:val="sr-Cyrl-CS"/>
        </w:rPr>
      </w:pPr>
    </w:p>
    <w:p w14:paraId="78C892BF" w14:textId="77777777" w:rsidR="00B11AE5" w:rsidRPr="00092ED7" w:rsidRDefault="00B11AE5">
      <w:pPr>
        <w:spacing w:after="160" w:line="259" w:lineRule="auto"/>
        <w:jc w:val="left"/>
        <w:rPr>
          <w:w w:val="110"/>
          <w:lang w:val="sr-Cyrl-CS"/>
        </w:rPr>
      </w:pPr>
      <w:r w:rsidRPr="00092ED7">
        <w:rPr>
          <w:w w:val="110"/>
          <w:lang w:val="sr-Cyrl-CS"/>
        </w:rPr>
        <w:br w:type="page"/>
      </w:r>
    </w:p>
    <w:p w14:paraId="41B2AB3D" w14:textId="77777777" w:rsidR="00B11AE5" w:rsidRPr="00092ED7" w:rsidRDefault="00F50B50" w:rsidP="00E34561">
      <w:pPr>
        <w:pStyle w:val="Heading3"/>
        <w:rPr>
          <w:rFonts w:ascii="Times New Roman" w:hAnsi="Times New Roman" w:cs="Times New Roman"/>
          <w:w w:val="110"/>
          <w:lang w:val="sr-Cyrl-CS"/>
        </w:rPr>
      </w:pPr>
      <w:bookmarkStart w:id="126" w:name="_Toc61953870"/>
      <w:bookmarkStart w:id="127" w:name="_Toc93386009"/>
      <w:bookmarkStart w:id="128" w:name="_Toc124174840"/>
      <w:r w:rsidRPr="00092ED7">
        <w:rPr>
          <w:rFonts w:ascii="Times New Roman" w:hAnsi="Times New Roman" w:cs="Times New Roman"/>
          <w:b/>
          <w:lang w:val="sr-Cyrl-CS"/>
        </w:rPr>
        <w:lastRenderedPageBreak/>
        <w:t xml:space="preserve">Табела 11: </w:t>
      </w:r>
      <w:bookmarkEnd w:id="126"/>
      <w:r w:rsidRPr="00092ED7">
        <w:rPr>
          <w:rFonts w:ascii="Times New Roman" w:hAnsi="Times New Roman" w:cs="Times New Roman"/>
          <w:b/>
          <w:lang w:val="sr-Cyrl-CS"/>
        </w:rPr>
        <w:t>Извештај о спровођењу структурних реформи из ЕРП 2022-2024</w:t>
      </w:r>
      <w:bookmarkEnd w:id="127"/>
      <w:bookmarkEnd w:id="128"/>
    </w:p>
    <w:p w14:paraId="7E6014C1" w14:textId="77777777" w:rsidR="00B11AE5" w:rsidRPr="00092ED7" w:rsidRDefault="00B11AE5" w:rsidP="00D030D6">
      <w:pPr>
        <w:spacing w:after="60"/>
        <w:rPr>
          <w:w w:val="110"/>
          <w:lang w:val="sr-Cyrl-CS"/>
        </w:rPr>
      </w:pPr>
    </w:p>
    <w:tbl>
      <w:tblPr>
        <w:tblW w:w="14889"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4407"/>
        <w:gridCol w:w="1701"/>
        <w:gridCol w:w="3118"/>
        <w:gridCol w:w="2410"/>
        <w:gridCol w:w="2693"/>
      </w:tblGrid>
      <w:tr w:rsidR="006458EB" w:rsidRPr="00092ED7" w14:paraId="200940DE" w14:textId="77777777" w:rsidTr="004F56D8">
        <w:trPr>
          <w:trHeight w:val="1410"/>
        </w:trPr>
        <w:tc>
          <w:tcPr>
            <w:tcW w:w="560" w:type="dxa"/>
            <w:shd w:val="clear" w:color="auto" w:fill="F2F2F2" w:themeFill="background1" w:themeFillShade="F2"/>
            <w:noWrap/>
            <w:hideMark/>
          </w:tcPr>
          <w:p w14:paraId="470928E6"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4407" w:type="dxa"/>
            <w:shd w:val="clear" w:color="auto" w:fill="F2F2F2" w:themeFill="background1" w:themeFillShade="F2"/>
            <w:vAlign w:val="center"/>
            <w:hideMark/>
          </w:tcPr>
          <w:p w14:paraId="4572D1E7" w14:textId="77777777" w:rsidR="006458EB" w:rsidRPr="00092ED7" w:rsidRDefault="006458EB" w:rsidP="009E7AB4">
            <w:pPr>
              <w:spacing w:after="0"/>
              <w:jc w:val="left"/>
              <w:rPr>
                <w:rFonts w:eastAsia="Times New Roman" w:cs="Times New Roman"/>
                <w:b/>
                <w:bCs/>
                <w:color w:val="000000"/>
                <w:sz w:val="18"/>
                <w:szCs w:val="18"/>
                <w:lang w:val="sr-Cyrl-CS" w:eastAsia="sr-Latn-RS"/>
              </w:rPr>
            </w:pPr>
            <w:r w:rsidRPr="00092ED7">
              <w:rPr>
                <w:rFonts w:eastAsia="Times New Roman" w:cs="Times New Roman"/>
                <w:b/>
                <w:bCs/>
                <w:color w:val="000000"/>
                <w:sz w:val="18"/>
                <w:szCs w:val="18"/>
                <w:lang w:val="sr-Cyrl-CS" w:eastAsia="sr-Latn-RS"/>
              </w:rPr>
              <w:t>КРАТАК ОПИС АКТИВНОСТИ ПЛАНИРАНИХ ЗА 2022. ГОДИНУ</w:t>
            </w:r>
            <w:r w:rsidRPr="00092ED7">
              <w:rPr>
                <w:rFonts w:eastAsia="Times New Roman" w:cs="Times New Roman"/>
                <w:i/>
                <w:iCs/>
                <w:color w:val="000000"/>
                <w:sz w:val="18"/>
                <w:szCs w:val="18"/>
                <w:lang w:val="sr-Cyrl-CS" w:eastAsia="sr-Latn-RS"/>
              </w:rPr>
              <w:t>(активности из гантограма)</w:t>
            </w:r>
          </w:p>
        </w:tc>
        <w:tc>
          <w:tcPr>
            <w:tcW w:w="1701" w:type="dxa"/>
            <w:shd w:val="clear" w:color="auto" w:fill="F2F2F2" w:themeFill="background1" w:themeFillShade="F2"/>
            <w:vAlign w:val="center"/>
            <w:hideMark/>
          </w:tcPr>
          <w:p w14:paraId="60EB564B" w14:textId="77777777" w:rsidR="006458EB" w:rsidRPr="00092ED7" w:rsidRDefault="006458EB" w:rsidP="006458EB">
            <w:pPr>
              <w:spacing w:after="0"/>
              <w:jc w:val="left"/>
              <w:rPr>
                <w:rFonts w:eastAsia="Times New Roman" w:cs="Times New Roman"/>
                <w:b/>
                <w:bCs/>
                <w:color w:val="000000"/>
                <w:sz w:val="18"/>
                <w:szCs w:val="18"/>
                <w:lang w:val="sr-Cyrl-CS" w:eastAsia="sr-Latn-RS"/>
              </w:rPr>
            </w:pPr>
            <w:r w:rsidRPr="00092ED7">
              <w:rPr>
                <w:rFonts w:eastAsia="Times New Roman" w:cs="Times New Roman"/>
                <w:b/>
                <w:bCs/>
                <w:color w:val="000000"/>
                <w:sz w:val="18"/>
                <w:szCs w:val="18"/>
                <w:lang w:val="sr-Cyrl-CS" w:eastAsia="sr-Latn-RS"/>
              </w:rPr>
              <w:t>ДА ЛИ СУ АКТИВНОСТИ ПЛАНИРАНЕ ЗА 2022. ГОДИНУ СПРОВЕДЕНЕ?</w:t>
            </w:r>
          </w:p>
        </w:tc>
        <w:tc>
          <w:tcPr>
            <w:tcW w:w="3118" w:type="dxa"/>
            <w:shd w:val="clear" w:color="auto" w:fill="F2F2F2" w:themeFill="background1" w:themeFillShade="F2"/>
            <w:vAlign w:val="center"/>
            <w:hideMark/>
          </w:tcPr>
          <w:p w14:paraId="3F5A711C" w14:textId="77777777" w:rsidR="006458EB" w:rsidRPr="00092ED7" w:rsidRDefault="006458EB" w:rsidP="006458EB">
            <w:pPr>
              <w:spacing w:after="0"/>
              <w:jc w:val="left"/>
              <w:rPr>
                <w:rFonts w:eastAsia="Times New Roman" w:cs="Times New Roman"/>
                <w:b/>
                <w:bCs/>
                <w:color w:val="000000"/>
                <w:sz w:val="18"/>
                <w:szCs w:val="18"/>
                <w:lang w:val="sr-Cyrl-CS" w:eastAsia="sr-Latn-RS"/>
              </w:rPr>
            </w:pPr>
            <w:r w:rsidRPr="00092ED7">
              <w:rPr>
                <w:rFonts w:eastAsia="Times New Roman" w:cs="Times New Roman"/>
                <w:b/>
                <w:bCs/>
                <w:color w:val="000000"/>
                <w:sz w:val="18"/>
                <w:szCs w:val="18"/>
                <w:lang w:val="sr-Cyrl-CS" w:eastAsia="sr-Latn-RS"/>
              </w:rPr>
              <w:t>АКО АКТИВНОСТ НИЈЕ У ПОТПУНОСТИ СПРОВЕДЕНА, ДАТИ КРАТАК ПРЕГЛЕД</w:t>
            </w:r>
            <w:r w:rsidRPr="00092ED7">
              <w:rPr>
                <w:rFonts w:eastAsia="Times New Roman" w:cs="Times New Roman"/>
                <w:b/>
                <w:bCs/>
                <w:color w:val="000000"/>
                <w:sz w:val="18"/>
                <w:szCs w:val="18"/>
                <w:lang w:val="sr-Cyrl-CS" w:eastAsia="sr-Latn-RS"/>
              </w:rPr>
              <w:br/>
              <w:t>(</w:t>
            </w:r>
            <w:r w:rsidRPr="00092ED7">
              <w:rPr>
                <w:rFonts w:eastAsia="Times New Roman" w:cs="Times New Roman"/>
                <w:color w:val="000000"/>
                <w:sz w:val="18"/>
                <w:szCs w:val="18"/>
                <w:lang w:val="sr-Cyrl-CS" w:eastAsia="sr-Latn-RS"/>
              </w:rPr>
              <w:t>предузети кораци, динамика спроведених активности, тешкоће и одлагања у спровођењу)</w:t>
            </w:r>
          </w:p>
        </w:tc>
        <w:tc>
          <w:tcPr>
            <w:tcW w:w="2410" w:type="dxa"/>
            <w:shd w:val="clear" w:color="auto" w:fill="F2F2F2" w:themeFill="background1" w:themeFillShade="F2"/>
            <w:vAlign w:val="center"/>
            <w:hideMark/>
          </w:tcPr>
          <w:p w14:paraId="0BB20E4D" w14:textId="77777777" w:rsidR="006458EB" w:rsidRPr="00092ED7" w:rsidRDefault="006458EB" w:rsidP="006458EB">
            <w:pPr>
              <w:spacing w:after="0"/>
              <w:jc w:val="left"/>
              <w:rPr>
                <w:rFonts w:eastAsia="Times New Roman" w:cs="Times New Roman"/>
                <w:b/>
                <w:bCs/>
                <w:color w:val="000000"/>
                <w:sz w:val="18"/>
                <w:szCs w:val="18"/>
                <w:lang w:val="sr-Cyrl-CS" w:eastAsia="sr-Latn-RS"/>
              </w:rPr>
            </w:pPr>
            <w:r w:rsidRPr="00092ED7">
              <w:rPr>
                <w:rFonts w:eastAsia="Times New Roman" w:cs="Times New Roman"/>
                <w:b/>
                <w:bCs/>
                <w:color w:val="000000"/>
                <w:sz w:val="18"/>
                <w:szCs w:val="18"/>
                <w:lang w:val="sr-Cyrl-CS" w:eastAsia="sr-Latn-RS"/>
              </w:rPr>
              <w:t>АКО СЕ АКТИВНОСТ НЕ СПРОВОДИ, ОБЈАСНИТИ ЗАШТО</w:t>
            </w:r>
          </w:p>
        </w:tc>
        <w:tc>
          <w:tcPr>
            <w:tcW w:w="2693" w:type="dxa"/>
            <w:shd w:val="clear" w:color="auto" w:fill="F2F2F2" w:themeFill="background1" w:themeFillShade="F2"/>
            <w:vAlign w:val="center"/>
            <w:hideMark/>
          </w:tcPr>
          <w:p w14:paraId="48DB4C41" w14:textId="77777777" w:rsidR="006458EB" w:rsidRPr="00092ED7" w:rsidRDefault="006458EB" w:rsidP="006458EB">
            <w:pPr>
              <w:spacing w:after="0"/>
              <w:jc w:val="left"/>
              <w:rPr>
                <w:rFonts w:eastAsia="Times New Roman" w:cs="Times New Roman"/>
                <w:b/>
                <w:bCs/>
                <w:color w:val="000000"/>
                <w:sz w:val="18"/>
                <w:szCs w:val="18"/>
                <w:lang w:val="sr-Cyrl-CS" w:eastAsia="sr-Latn-RS"/>
              </w:rPr>
            </w:pPr>
            <w:r w:rsidRPr="00092ED7">
              <w:rPr>
                <w:rFonts w:eastAsia="Times New Roman" w:cs="Times New Roman"/>
                <w:b/>
                <w:bCs/>
                <w:color w:val="000000"/>
                <w:sz w:val="18"/>
                <w:szCs w:val="18"/>
                <w:lang w:val="sr-Cyrl-CS" w:eastAsia="sr-Latn-RS"/>
              </w:rPr>
              <w:t xml:space="preserve">ОСТАЛЕ АКТИВНОСТИ  </w:t>
            </w:r>
            <w:r w:rsidRPr="00092ED7">
              <w:rPr>
                <w:rFonts w:eastAsia="Times New Roman" w:cs="Times New Roman"/>
                <w:b/>
                <w:bCs/>
                <w:color w:val="000000"/>
                <w:sz w:val="18"/>
                <w:szCs w:val="18"/>
                <w:lang w:val="sr-Cyrl-CS" w:eastAsia="sr-Latn-RS"/>
              </w:rPr>
              <w:br/>
            </w:r>
            <w:r w:rsidRPr="00092ED7">
              <w:rPr>
                <w:rFonts w:eastAsia="Times New Roman" w:cs="Times New Roman"/>
                <w:i/>
                <w:iCs/>
                <w:color w:val="000000"/>
                <w:sz w:val="18"/>
                <w:szCs w:val="18"/>
                <w:lang w:val="sr-Cyrl-CS" w:eastAsia="sr-Latn-RS"/>
              </w:rPr>
              <w:t>(непланиране, а реализоване активности које су предузете у циљу спровођења СР)</w:t>
            </w:r>
          </w:p>
        </w:tc>
      </w:tr>
      <w:tr w:rsidR="009349ED" w:rsidRPr="00092ED7" w14:paraId="4D85F129" w14:textId="77777777" w:rsidTr="004F56D8">
        <w:trPr>
          <w:trHeight w:val="360"/>
        </w:trPr>
        <w:tc>
          <w:tcPr>
            <w:tcW w:w="560" w:type="dxa"/>
            <w:shd w:val="clear" w:color="auto" w:fill="D9D9D9" w:themeFill="background1" w:themeFillShade="D9"/>
            <w:noWrap/>
            <w:hideMark/>
          </w:tcPr>
          <w:p w14:paraId="1E0A43AA" w14:textId="77777777" w:rsidR="009349ED" w:rsidRPr="00092ED7" w:rsidRDefault="009349ED"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14329" w:type="dxa"/>
            <w:gridSpan w:val="5"/>
            <w:shd w:val="clear" w:color="auto" w:fill="D9D9D9" w:themeFill="background1" w:themeFillShade="D9"/>
            <w:noWrap/>
            <w:vAlign w:val="center"/>
            <w:hideMark/>
          </w:tcPr>
          <w:p w14:paraId="0AD2A162" w14:textId="77777777" w:rsidR="009349ED" w:rsidRPr="00092ED7" w:rsidRDefault="009349ED" w:rsidP="006458EB">
            <w:pPr>
              <w:spacing w:after="0"/>
              <w:jc w:val="left"/>
              <w:rPr>
                <w:rFonts w:eastAsia="Times New Roman" w:cs="Times New Roman"/>
                <w:b/>
                <w:bCs/>
                <w:sz w:val="18"/>
                <w:szCs w:val="18"/>
                <w:lang w:val="sr-Cyrl-CS" w:eastAsia="sr-Latn-RS"/>
              </w:rPr>
            </w:pPr>
            <w:r w:rsidRPr="00092ED7">
              <w:rPr>
                <w:rFonts w:eastAsia="Times New Roman" w:cs="Times New Roman"/>
                <w:b/>
                <w:bCs/>
                <w:sz w:val="18"/>
                <w:szCs w:val="18"/>
                <w:lang w:val="sr-Cyrl-CS" w:eastAsia="sr-Latn-RS"/>
              </w:rPr>
              <w:t>СР 1. УСПОСТАВЉАЊЕ ОКВИРА ЗА УВОЂЕЊЕ ГАРАНЦИЈА ЗА МЛАДЕ У РЕПУБЛИЦИ СРБИЈИ</w:t>
            </w:r>
          </w:p>
        </w:tc>
      </w:tr>
      <w:tr w:rsidR="006458EB" w:rsidRPr="00092ED7" w14:paraId="1FC0F9B4" w14:textId="77777777" w:rsidTr="004F56D8">
        <w:trPr>
          <w:trHeight w:val="1056"/>
        </w:trPr>
        <w:tc>
          <w:tcPr>
            <w:tcW w:w="560" w:type="dxa"/>
            <w:shd w:val="clear" w:color="auto" w:fill="auto"/>
            <w:noWrap/>
            <w:hideMark/>
          </w:tcPr>
          <w:p w14:paraId="26819374" w14:textId="77777777" w:rsidR="006458EB" w:rsidRPr="00092ED7" w:rsidRDefault="006458EB" w:rsidP="006458EB">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1.</w:t>
            </w:r>
          </w:p>
        </w:tc>
        <w:tc>
          <w:tcPr>
            <w:tcW w:w="4407" w:type="dxa"/>
            <w:shd w:val="clear" w:color="auto" w:fill="auto"/>
            <w:hideMark/>
          </w:tcPr>
          <w:p w14:paraId="54028FA6" w14:textId="77777777" w:rsidR="006458EB" w:rsidRPr="00092ED7" w:rsidRDefault="006458EB" w:rsidP="004F56D8">
            <w:pPr>
              <w:spacing w:after="0"/>
              <w:ind w:right="458"/>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Успостављање мултиресорне групе на високом нивоу и експертске групе на оперативном нивоу које ће имати задатак да спроведе припремне активности и израде План имплементације Гаранције, уз континуирано оснаживање именованих чланова за реализацију додељених задатака</w:t>
            </w:r>
          </w:p>
        </w:tc>
        <w:tc>
          <w:tcPr>
            <w:tcW w:w="1701" w:type="dxa"/>
            <w:shd w:val="clear" w:color="auto" w:fill="auto"/>
            <w:hideMark/>
          </w:tcPr>
          <w:p w14:paraId="014DAA3A"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потпуно спроведене</w:t>
            </w:r>
          </w:p>
        </w:tc>
        <w:tc>
          <w:tcPr>
            <w:tcW w:w="3118" w:type="dxa"/>
            <w:shd w:val="clear" w:color="auto" w:fill="auto"/>
            <w:hideMark/>
          </w:tcPr>
          <w:p w14:paraId="1B881B29"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410" w:type="dxa"/>
            <w:shd w:val="clear" w:color="auto" w:fill="auto"/>
            <w:hideMark/>
          </w:tcPr>
          <w:p w14:paraId="4F86AE30"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7CD558EA"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6458EB" w:rsidRPr="00092ED7" w14:paraId="15F0C5E8" w14:textId="77777777" w:rsidTr="004F56D8">
        <w:trPr>
          <w:trHeight w:val="1056"/>
        </w:trPr>
        <w:tc>
          <w:tcPr>
            <w:tcW w:w="560" w:type="dxa"/>
            <w:shd w:val="clear" w:color="auto" w:fill="auto"/>
            <w:noWrap/>
            <w:hideMark/>
          </w:tcPr>
          <w:p w14:paraId="4938290F" w14:textId="77777777" w:rsidR="006458EB" w:rsidRPr="00092ED7" w:rsidRDefault="006458EB" w:rsidP="006458EB">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2.</w:t>
            </w:r>
          </w:p>
        </w:tc>
        <w:tc>
          <w:tcPr>
            <w:tcW w:w="4407" w:type="dxa"/>
            <w:shd w:val="clear" w:color="auto" w:fill="auto"/>
            <w:hideMark/>
          </w:tcPr>
          <w:p w14:paraId="0A8C06E9" w14:textId="77777777" w:rsidR="006458EB" w:rsidRPr="00092ED7" w:rsidRDefault="006458EB" w:rsidP="006458EB">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Припрема Аналитичке грађе потребне за израду Плана имплементације Гаранције (процена стања и потреба НЕЕТ младих, мапирање постојећих политика, способност домаћих институција и релевантних партнера да реализују сложен систем Гаранције и др.)</w:t>
            </w:r>
          </w:p>
        </w:tc>
        <w:tc>
          <w:tcPr>
            <w:tcW w:w="1701" w:type="dxa"/>
            <w:shd w:val="clear" w:color="auto" w:fill="auto"/>
            <w:hideMark/>
          </w:tcPr>
          <w:p w14:paraId="38F1BFAF"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потпуно спроведене</w:t>
            </w:r>
          </w:p>
        </w:tc>
        <w:tc>
          <w:tcPr>
            <w:tcW w:w="3118" w:type="dxa"/>
            <w:shd w:val="clear" w:color="auto" w:fill="auto"/>
            <w:noWrap/>
            <w:hideMark/>
          </w:tcPr>
          <w:p w14:paraId="2D536867"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410" w:type="dxa"/>
            <w:shd w:val="clear" w:color="auto" w:fill="auto"/>
            <w:hideMark/>
          </w:tcPr>
          <w:p w14:paraId="73D90A5C"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686F6E8B"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6458EB" w:rsidRPr="00092ED7" w14:paraId="35D2D003" w14:textId="77777777" w:rsidTr="004F56D8">
        <w:trPr>
          <w:trHeight w:val="2640"/>
        </w:trPr>
        <w:tc>
          <w:tcPr>
            <w:tcW w:w="560" w:type="dxa"/>
            <w:shd w:val="clear" w:color="auto" w:fill="auto"/>
            <w:noWrap/>
            <w:hideMark/>
          </w:tcPr>
          <w:p w14:paraId="50E50EFA" w14:textId="77777777" w:rsidR="006458EB" w:rsidRPr="00092ED7" w:rsidRDefault="006458EB" w:rsidP="006458EB">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3.</w:t>
            </w:r>
          </w:p>
        </w:tc>
        <w:tc>
          <w:tcPr>
            <w:tcW w:w="4407" w:type="dxa"/>
            <w:shd w:val="clear" w:color="auto" w:fill="auto"/>
            <w:hideMark/>
          </w:tcPr>
          <w:p w14:paraId="7E7C6169" w14:textId="77777777" w:rsidR="006458EB" w:rsidRPr="00092ED7" w:rsidRDefault="006458EB" w:rsidP="006458EB">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 xml:space="preserve">Израда и усвајање Плана имплементације Гаранције </w:t>
            </w:r>
          </w:p>
        </w:tc>
        <w:tc>
          <w:tcPr>
            <w:tcW w:w="1701" w:type="dxa"/>
            <w:shd w:val="clear" w:color="auto" w:fill="auto"/>
            <w:hideMark/>
          </w:tcPr>
          <w:p w14:paraId="04B1FC20"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напредак у спровођењу</w:t>
            </w:r>
          </w:p>
        </w:tc>
        <w:tc>
          <w:tcPr>
            <w:tcW w:w="3118" w:type="dxa"/>
            <w:shd w:val="clear" w:color="auto" w:fill="auto"/>
            <w:hideMark/>
          </w:tcPr>
          <w:p w14:paraId="3B21F838"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Након опсежних консултација у току 2022. године, у оквиру формираних група за припрему и спровођење Плана имплементације, уз техничку подршку Међународне организације рада и уз континуирани дијалог са ЕК, припремљена је прва верзија Плана имплементације, која је након је након додатних консултација са заинтересованим странама ревидирана у  септембру 2022.</w:t>
            </w:r>
          </w:p>
        </w:tc>
        <w:tc>
          <w:tcPr>
            <w:tcW w:w="2410" w:type="dxa"/>
            <w:shd w:val="clear" w:color="auto" w:fill="auto"/>
            <w:hideMark/>
          </w:tcPr>
          <w:p w14:paraId="213C56B6" w14:textId="5CC3B29E" w:rsidR="006458EB" w:rsidRPr="00092ED7" w:rsidRDefault="006458EB" w:rsidP="007D2A0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xml:space="preserve">С обзиром на то да је крајем октобра 2022. године формирана нова Влада, да су у оквиру ње формирана и нова министарства и институције, да су измењене надлежности актера препознатих у имплементацији Гаранције за младе, потребно је да се измени и  Одлука о образовању Координационог тела за израду и праћење спровођења Плана имплементације Гаранције за младе, а након тога ће се наставити рад на </w:t>
            </w:r>
            <w:r w:rsidRPr="00092ED7">
              <w:rPr>
                <w:rFonts w:eastAsia="Times New Roman" w:cs="Times New Roman"/>
                <w:color w:val="000000"/>
                <w:sz w:val="18"/>
                <w:szCs w:val="18"/>
                <w:lang w:val="sr-Cyrl-CS" w:eastAsia="sr-Latn-RS"/>
              </w:rPr>
              <w:lastRenderedPageBreak/>
              <w:t>документу. Из наведених разлога усвајање Плана имплементације Гаранције за младе планира се до краја другог квартала 2023. године.</w:t>
            </w:r>
          </w:p>
        </w:tc>
        <w:tc>
          <w:tcPr>
            <w:tcW w:w="2693" w:type="dxa"/>
            <w:shd w:val="clear" w:color="auto" w:fill="auto"/>
            <w:hideMark/>
          </w:tcPr>
          <w:p w14:paraId="22D739D8"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lastRenderedPageBreak/>
              <w:t> </w:t>
            </w:r>
          </w:p>
        </w:tc>
      </w:tr>
      <w:tr w:rsidR="006458EB" w:rsidRPr="00092ED7" w14:paraId="03DC51CA" w14:textId="77777777" w:rsidTr="004F56D8">
        <w:trPr>
          <w:trHeight w:val="1596"/>
        </w:trPr>
        <w:tc>
          <w:tcPr>
            <w:tcW w:w="560" w:type="dxa"/>
            <w:shd w:val="clear" w:color="auto" w:fill="auto"/>
            <w:noWrap/>
            <w:hideMark/>
          </w:tcPr>
          <w:p w14:paraId="7382D3EF" w14:textId="77777777" w:rsidR="006458EB" w:rsidRPr="00092ED7" w:rsidRDefault="006458EB" w:rsidP="006458EB">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4.</w:t>
            </w:r>
          </w:p>
        </w:tc>
        <w:tc>
          <w:tcPr>
            <w:tcW w:w="4407" w:type="dxa"/>
            <w:shd w:val="clear" w:color="auto" w:fill="auto"/>
            <w:hideMark/>
          </w:tcPr>
          <w:p w14:paraId="7D0977A6" w14:textId="77777777" w:rsidR="006458EB" w:rsidRPr="00092ED7" w:rsidRDefault="006458EB" w:rsidP="006458EB">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Спровођење припремних радњи за увођење Гаранције препознатих у Плану имплементације (промоција, обезбеђивање потребног људства и изградња капацитета надлежних органа, изградња капацитета организација цивилног друштва за реализацију активности досезања, измене нормативног оквира, припрема оквира за мониторинг и евалуацију)</w:t>
            </w:r>
          </w:p>
        </w:tc>
        <w:tc>
          <w:tcPr>
            <w:tcW w:w="1701" w:type="dxa"/>
            <w:shd w:val="clear" w:color="auto" w:fill="auto"/>
            <w:hideMark/>
          </w:tcPr>
          <w:p w14:paraId="6F401702"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у припреми</w:t>
            </w:r>
          </w:p>
        </w:tc>
        <w:tc>
          <w:tcPr>
            <w:tcW w:w="3118" w:type="dxa"/>
            <w:shd w:val="clear" w:color="auto" w:fill="auto"/>
            <w:hideMark/>
          </w:tcPr>
          <w:p w14:paraId="08BFA3BD"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Са фазом спровођења припремних радњи започеће се у пуном обиму након усвајања Плана имплементације Гаранције за младе. Активности које су спроведене у току 2022. године односе се на оснаживање капацитета чланова Коордиционог тела и Стручне групе, њихово упознавање са програмом Гаранције за младе, категоријом NEET младих и др.</w:t>
            </w:r>
          </w:p>
        </w:tc>
        <w:tc>
          <w:tcPr>
            <w:tcW w:w="2410" w:type="dxa"/>
            <w:shd w:val="clear" w:color="auto" w:fill="auto"/>
            <w:hideMark/>
          </w:tcPr>
          <w:p w14:paraId="3AF92E73"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0477D2BD"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6458EB" w:rsidRPr="00092ED7" w14:paraId="4FE6D634" w14:textId="77777777" w:rsidTr="004F56D8">
        <w:trPr>
          <w:trHeight w:val="360"/>
        </w:trPr>
        <w:tc>
          <w:tcPr>
            <w:tcW w:w="560" w:type="dxa"/>
            <w:shd w:val="clear" w:color="auto" w:fill="auto"/>
            <w:hideMark/>
          </w:tcPr>
          <w:p w14:paraId="363A5D8B" w14:textId="77777777" w:rsidR="006458EB" w:rsidRPr="00092ED7" w:rsidRDefault="006458EB" w:rsidP="006458EB">
            <w:pPr>
              <w:spacing w:after="0"/>
              <w:jc w:val="left"/>
              <w:rPr>
                <w:rFonts w:eastAsia="Times New Roman" w:cs="Times New Roman"/>
                <w:color w:val="000000"/>
                <w:sz w:val="18"/>
                <w:szCs w:val="18"/>
                <w:lang w:val="sr-Cyrl-CS" w:eastAsia="sr-Latn-RS"/>
              </w:rPr>
            </w:pPr>
          </w:p>
        </w:tc>
        <w:tc>
          <w:tcPr>
            <w:tcW w:w="4407" w:type="dxa"/>
            <w:shd w:val="clear" w:color="auto" w:fill="auto"/>
            <w:hideMark/>
          </w:tcPr>
          <w:p w14:paraId="782368F2" w14:textId="77777777" w:rsidR="006458EB" w:rsidRPr="00092ED7" w:rsidRDefault="006458EB" w:rsidP="006458EB">
            <w:pPr>
              <w:spacing w:after="0"/>
              <w:jc w:val="left"/>
              <w:rPr>
                <w:rFonts w:eastAsia="Times New Roman" w:cs="Times New Roman"/>
                <w:sz w:val="18"/>
                <w:szCs w:val="18"/>
                <w:lang w:val="sr-Cyrl-CS" w:eastAsia="sr-Latn-RS"/>
              </w:rPr>
            </w:pPr>
          </w:p>
        </w:tc>
        <w:tc>
          <w:tcPr>
            <w:tcW w:w="1701" w:type="dxa"/>
            <w:shd w:val="clear" w:color="000000" w:fill="BDD7EE"/>
            <w:noWrap/>
            <w:vAlign w:val="bottom"/>
            <w:hideMark/>
          </w:tcPr>
          <w:p w14:paraId="017E08C0" w14:textId="77777777" w:rsidR="006458EB" w:rsidRPr="00092ED7" w:rsidRDefault="006458EB" w:rsidP="006458EB">
            <w:pPr>
              <w:spacing w:after="0"/>
              <w:jc w:val="center"/>
              <w:rPr>
                <w:rFonts w:eastAsia="Times New Roman" w:cs="Times New Roman"/>
                <w:sz w:val="28"/>
                <w:szCs w:val="28"/>
                <w:lang w:val="sr-Cyrl-CS" w:eastAsia="sr-Latn-RS"/>
              </w:rPr>
            </w:pPr>
            <w:r w:rsidRPr="00092ED7">
              <w:rPr>
                <w:rFonts w:eastAsia="Times New Roman" w:cs="Times New Roman"/>
                <w:sz w:val="28"/>
                <w:szCs w:val="28"/>
                <w:lang w:val="sr-Cyrl-CS" w:eastAsia="sr-Latn-RS"/>
              </w:rPr>
              <w:t>75%</w:t>
            </w:r>
          </w:p>
        </w:tc>
        <w:tc>
          <w:tcPr>
            <w:tcW w:w="3118" w:type="dxa"/>
            <w:shd w:val="clear" w:color="auto" w:fill="auto"/>
            <w:noWrap/>
            <w:hideMark/>
          </w:tcPr>
          <w:p w14:paraId="5B22528A" w14:textId="77777777" w:rsidR="006458EB" w:rsidRPr="00092ED7" w:rsidRDefault="006458EB" w:rsidP="006458EB">
            <w:pPr>
              <w:spacing w:after="0"/>
              <w:jc w:val="center"/>
              <w:rPr>
                <w:rFonts w:eastAsia="Times New Roman" w:cs="Times New Roman"/>
                <w:sz w:val="18"/>
                <w:szCs w:val="18"/>
                <w:lang w:val="sr-Cyrl-CS" w:eastAsia="sr-Latn-RS"/>
              </w:rPr>
            </w:pPr>
          </w:p>
        </w:tc>
        <w:tc>
          <w:tcPr>
            <w:tcW w:w="2410" w:type="dxa"/>
            <w:shd w:val="clear" w:color="auto" w:fill="auto"/>
            <w:noWrap/>
            <w:hideMark/>
          </w:tcPr>
          <w:p w14:paraId="4EC55917" w14:textId="77777777" w:rsidR="006458EB" w:rsidRPr="00092ED7" w:rsidRDefault="006458EB" w:rsidP="006458EB">
            <w:pPr>
              <w:spacing w:after="0"/>
              <w:jc w:val="left"/>
              <w:rPr>
                <w:rFonts w:eastAsia="Times New Roman" w:cs="Times New Roman"/>
                <w:sz w:val="18"/>
                <w:szCs w:val="18"/>
                <w:lang w:val="sr-Cyrl-CS" w:eastAsia="sr-Latn-RS"/>
              </w:rPr>
            </w:pPr>
          </w:p>
        </w:tc>
        <w:tc>
          <w:tcPr>
            <w:tcW w:w="2693" w:type="dxa"/>
            <w:shd w:val="clear" w:color="auto" w:fill="auto"/>
            <w:noWrap/>
            <w:hideMark/>
          </w:tcPr>
          <w:p w14:paraId="03F7AE50" w14:textId="77777777" w:rsidR="006458EB" w:rsidRPr="00092ED7" w:rsidRDefault="006458EB" w:rsidP="006458EB">
            <w:pPr>
              <w:spacing w:after="0"/>
              <w:jc w:val="left"/>
              <w:rPr>
                <w:rFonts w:eastAsia="Times New Roman" w:cs="Times New Roman"/>
                <w:sz w:val="18"/>
                <w:szCs w:val="18"/>
                <w:lang w:val="sr-Cyrl-CS" w:eastAsia="sr-Latn-RS"/>
              </w:rPr>
            </w:pPr>
          </w:p>
        </w:tc>
      </w:tr>
      <w:tr w:rsidR="009349ED" w:rsidRPr="00092ED7" w14:paraId="768D4017" w14:textId="77777777" w:rsidTr="004F56D8">
        <w:trPr>
          <w:trHeight w:val="360"/>
        </w:trPr>
        <w:tc>
          <w:tcPr>
            <w:tcW w:w="560" w:type="dxa"/>
            <w:shd w:val="clear" w:color="auto" w:fill="D9D9D9" w:themeFill="background1" w:themeFillShade="D9"/>
            <w:noWrap/>
            <w:hideMark/>
          </w:tcPr>
          <w:p w14:paraId="65B469FF" w14:textId="77777777" w:rsidR="009349ED" w:rsidRPr="00092ED7" w:rsidRDefault="009349ED"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14329" w:type="dxa"/>
            <w:gridSpan w:val="5"/>
            <w:shd w:val="clear" w:color="auto" w:fill="D9D9D9" w:themeFill="background1" w:themeFillShade="D9"/>
            <w:noWrap/>
            <w:vAlign w:val="center"/>
            <w:hideMark/>
          </w:tcPr>
          <w:p w14:paraId="5553450F" w14:textId="77777777" w:rsidR="009349ED" w:rsidRPr="00092ED7" w:rsidRDefault="009349ED" w:rsidP="006458EB">
            <w:pPr>
              <w:spacing w:after="0"/>
              <w:jc w:val="left"/>
              <w:rPr>
                <w:rFonts w:eastAsia="Times New Roman" w:cs="Times New Roman"/>
                <w:b/>
                <w:bCs/>
                <w:sz w:val="18"/>
                <w:szCs w:val="18"/>
                <w:lang w:val="sr-Cyrl-CS" w:eastAsia="sr-Latn-RS"/>
              </w:rPr>
            </w:pPr>
            <w:r w:rsidRPr="00092ED7">
              <w:rPr>
                <w:rFonts w:eastAsia="Times New Roman" w:cs="Times New Roman"/>
                <w:b/>
                <w:bCs/>
                <w:sz w:val="18"/>
                <w:szCs w:val="18"/>
                <w:lang w:val="sr-Cyrl-CS" w:eastAsia="sr-Latn-RS"/>
              </w:rPr>
              <w:t>СР 2. КВАЛИФИКАЦИЈЕ ОРИЈЕНТИСАНЕ ПРЕМА ПОТРЕБАМА ТРЖИШТА РАДА</w:t>
            </w:r>
          </w:p>
        </w:tc>
      </w:tr>
      <w:tr w:rsidR="006458EB" w:rsidRPr="00092ED7" w14:paraId="413B6B54" w14:textId="77777777" w:rsidTr="004F56D8">
        <w:trPr>
          <w:trHeight w:val="288"/>
        </w:trPr>
        <w:tc>
          <w:tcPr>
            <w:tcW w:w="560" w:type="dxa"/>
            <w:shd w:val="clear" w:color="auto" w:fill="auto"/>
            <w:noWrap/>
            <w:hideMark/>
          </w:tcPr>
          <w:p w14:paraId="23E0A4EC" w14:textId="77777777" w:rsidR="006458EB" w:rsidRPr="00092ED7" w:rsidRDefault="006458EB" w:rsidP="006458EB">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1.</w:t>
            </w:r>
          </w:p>
        </w:tc>
        <w:tc>
          <w:tcPr>
            <w:tcW w:w="4407" w:type="dxa"/>
            <w:shd w:val="clear" w:color="auto" w:fill="auto"/>
            <w:hideMark/>
          </w:tcPr>
          <w:p w14:paraId="7C23C13B" w14:textId="77777777" w:rsidR="006458EB" w:rsidRPr="00092ED7" w:rsidRDefault="006458EB" w:rsidP="006458EB">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Промоција дуалног модела образовања</w:t>
            </w:r>
          </w:p>
        </w:tc>
        <w:tc>
          <w:tcPr>
            <w:tcW w:w="1701" w:type="dxa"/>
            <w:shd w:val="clear" w:color="auto" w:fill="auto"/>
            <w:hideMark/>
          </w:tcPr>
          <w:p w14:paraId="02B8E9ED"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потпуно спроведене</w:t>
            </w:r>
          </w:p>
        </w:tc>
        <w:tc>
          <w:tcPr>
            <w:tcW w:w="3118" w:type="dxa"/>
            <w:shd w:val="clear" w:color="auto" w:fill="auto"/>
            <w:hideMark/>
          </w:tcPr>
          <w:p w14:paraId="0AF2D562"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410" w:type="dxa"/>
            <w:shd w:val="clear" w:color="auto" w:fill="auto"/>
            <w:hideMark/>
          </w:tcPr>
          <w:p w14:paraId="20F0D17E"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51A1A4C8"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6458EB" w:rsidRPr="00092ED7" w14:paraId="0AD9784A" w14:textId="77777777" w:rsidTr="004F56D8">
        <w:trPr>
          <w:trHeight w:val="1056"/>
        </w:trPr>
        <w:tc>
          <w:tcPr>
            <w:tcW w:w="560" w:type="dxa"/>
            <w:shd w:val="clear" w:color="auto" w:fill="auto"/>
            <w:noWrap/>
            <w:hideMark/>
          </w:tcPr>
          <w:p w14:paraId="1F914F6F" w14:textId="77777777" w:rsidR="006458EB" w:rsidRPr="00092ED7" w:rsidRDefault="006458EB" w:rsidP="006458EB">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2.</w:t>
            </w:r>
          </w:p>
        </w:tc>
        <w:tc>
          <w:tcPr>
            <w:tcW w:w="4407" w:type="dxa"/>
            <w:shd w:val="clear" w:color="auto" w:fill="auto"/>
            <w:hideMark/>
          </w:tcPr>
          <w:p w14:paraId="24A1079A" w14:textId="77777777" w:rsidR="006458EB" w:rsidRPr="00092ED7" w:rsidRDefault="006458EB" w:rsidP="006458EB">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Оснивање, инфраструктурно уређење и опремање регионалних тренинг центара</w:t>
            </w:r>
          </w:p>
        </w:tc>
        <w:tc>
          <w:tcPr>
            <w:tcW w:w="1701" w:type="dxa"/>
            <w:shd w:val="clear" w:color="auto" w:fill="auto"/>
            <w:hideMark/>
          </w:tcPr>
          <w:p w14:paraId="50AD7437"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наставак спровођења са почетним резултатима</w:t>
            </w:r>
          </w:p>
        </w:tc>
        <w:tc>
          <w:tcPr>
            <w:tcW w:w="3118" w:type="dxa"/>
            <w:shd w:val="clear" w:color="auto" w:fill="auto"/>
            <w:hideMark/>
          </w:tcPr>
          <w:p w14:paraId="29503095"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xml:space="preserve">Успостављен је један регионални тренинг центар, а опремљена су још три регионална тренинг центра, која су тренутно у процедури верификације. </w:t>
            </w:r>
          </w:p>
        </w:tc>
        <w:tc>
          <w:tcPr>
            <w:tcW w:w="2410" w:type="dxa"/>
            <w:shd w:val="clear" w:color="auto" w:fill="auto"/>
            <w:hideMark/>
          </w:tcPr>
          <w:p w14:paraId="04648C5D"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20698329"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6458EB" w:rsidRPr="00092ED7" w14:paraId="21EE030D" w14:textId="77777777" w:rsidTr="004F56D8">
        <w:trPr>
          <w:trHeight w:val="288"/>
        </w:trPr>
        <w:tc>
          <w:tcPr>
            <w:tcW w:w="560" w:type="dxa"/>
            <w:shd w:val="clear" w:color="auto" w:fill="auto"/>
            <w:noWrap/>
            <w:hideMark/>
          </w:tcPr>
          <w:p w14:paraId="53E871CB" w14:textId="77777777" w:rsidR="006458EB" w:rsidRPr="00092ED7" w:rsidRDefault="006458EB" w:rsidP="006458EB">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3.</w:t>
            </w:r>
          </w:p>
        </w:tc>
        <w:tc>
          <w:tcPr>
            <w:tcW w:w="4407" w:type="dxa"/>
            <w:shd w:val="clear" w:color="auto" w:fill="auto"/>
            <w:hideMark/>
          </w:tcPr>
          <w:p w14:paraId="17625A75" w14:textId="77777777" w:rsidR="006458EB" w:rsidRPr="00092ED7" w:rsidRDefault="006458EB" w:rsidP="006458EB">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Развој нових стандарда квалификација у средњем стручном образовању</w:t>
            </w:r>
          </w:p>
        </w:tc>
        <w:tc>
          <w:tcPr>
            <w:tcW w:w="1701" w:type="dxa"/>
            <w:shd w:val="clear" w:color="auto" w:fill="auto"/>
            <w:hideMark/>
          </w:tcPr>
          <w:p w14:paraId="3334E896"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потпуно спроведене</w:t>
            </w:r>
          </w:p>
        </w:tc>
        <w:tc>
          <w:tcPr>
            <w:tcW w:w="3118" w:type="dxa"/>
            <w:shd w:val="clear" w:color="auto" w:fill="auto"/>
            <w:hideMark/>
          </w:tcPr>
          <w:p w14:paraId="0FCB912C"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410" w:type="dxa"/>
            <w:shd w:val="clear" w:color="auto" w:fill="auto"/>
            <w:hideMark/>
          </w:tcPr>
          <w:p w14:paraId="0F8CEDD3"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2C8C6AE8"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6458EB" w:rsidRPr="00092ED7" w14:paraId="4F66B4AD" w14:textId="77777777" w:rsidTr="004F56D8">
        <w:trPr>
          <w:trHeight w:val="528"/>
        </w:trPr>
        <w:tc>
          <w:tcPr>
            <w:tcW w:w="560" w:type="dxa"/>
            <w:shd w:val="clear" w:color="auto" w:fill="auto"/>
            <w:noWrap/>
            <w:hideMark/>
          </w:tcPr>
          <w:p w14:paraId="42F7C91D" w14:textId="77777777" w:rsidR="006458EB" w:rsidRPr="00092ED7" w:rsidRDefault="006458EB" w:rsidP="006458EB">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4.</w:t>
            </w:r>
          </w:p>
        </w:tc>
        <w:tc>
          <w:tcPr>
            <w:tcW w:w="4407" w:type="dxa"/>
            <w:shd w:val="clear" w:color="auto" w:fill="auto"/>
            <w:hideMark/>
          </w:tcPr>
          <w:p w14:paraId="36EB2AA3" w14:textId="77777777" w:rsidR="006458EB" w:rsidRPr="00092ED7" w:rsidRDefault="006458EB" w:rsidP="006458EB">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Примена Оквира за праћење и вредновање Националног модела дуалног образовања и дуалних образовних профила</w:t>
            </w:r>
          </w:p>
        </w:tc>
        <w:tc>
          <w:tcPr>
            <w:tcW w:w="1701" w:type="dxa"/>
            <w:shd w:val="clear" w:color="auto" w:fill="auto"/>
            <w:hideMark/>
          </w:tcPr>
          <w:p w14:paraId="76CF8587"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потпуно спроведене</w:t>
            </w:r>
          </w:p>
        </w:tc>
        <w:tc>
          <w:tcPr>
            <w:tcW w:w="3118" w:type="dxa"/>
            <w:shd w:val="clear" w:color="auto" w:fill="auto"/>
            <w:hideMark/>
          </w:tcPr>
          <w:p w14:paraId="124295D7"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410" w:type="dxa"/>
            <w:shd w:val="clear" w:color="auto" w:fill="auto"/>
            <w:hideMark/>
          </w:tcPr>
          <w:p w14:paraId="1F7B0E15"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4ED7FF37"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6458EB" w:rsidRPr="00092ED7" w14:paraId="10FEEB04" w14:textId="77777777" w:rsidTr="004F56D8">
        <w:trPr>
          <w:trHeight w:val="528"/>
        </w:trPr>
        <w:tc>
          <w:tcPr>
            <w:tcW w:w="560" w:type="dxa"/>
            <w:shd w:val="clear" w:color="auto" w:fill="auto"/>
            <w:noWrap/>
            <w:hideMark/>
          </w:tcPr>
          <w:p w14:paraId="322E2691" w14:textId="77777777" w:rsidR="006458EB" w:rsidRPr="00092ED7" w:rsidRDefault="006458EB" w:rsidP="006458EB">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5.</w:t>
            </w:r>
          </w:p>
        </w:tc>
        <w:tc>
          <w:tcPr>
            <w:tcW w:w="4407" w:type="dxa"/>
            <w:shd w:val="clear" w:color="auto" w:fill="auto"/>
            <w:hideMark/>
          </w:tcPr>
          <w:p w14:paraId="2F8A5AB9" w14:textId="77777777" w:rsidR="006458EB" w:rsidRPr="00092ED7" w:rsidRDefault="006458EB" w:rsidP="006458EB">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Израда студија за потребе развоја и евалуације дуалног образовања и различитих путева за достизање квалификација</w:t>
            </w:r>
          </w:p>
        </w:tc>
        <w:tc>
          <w:tcPr>
            <w:tcW w:w="1701" w:type="dxa"/>
            <w:shd w:val="clear" w:color="auto" w:fill="auto"/>
            <w:hideMark/>
          </w:tcPr>
          <w:p w14:paraId="69C74113"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не спроводи се</w:t>
            </w:r>
          </w:p>
        </w:tc>
        <w:tc>
          <w:tcPr>
            <w:tcW w:w="3118" w:type="dxa"/>
            <w:shd w:val="clear" w:color="auto" w:fill="auto"/>
            <w:hideMark/>
          </w:tcPr>
          <w:p w14:paraId="1C1855E3"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410" w:type="dxa"/>
            <w:shd w:val="clear" w:color="auto" w:fill="auto"/>
            <w:hideMark/>
          </w:tcPr>
          <w:p w14:paraId="6CA3B317"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Средства за израду студија су пренамењена ребалансом буџета.</w:t>
            </w:r>
          </w:p>
        </w:tc>
        <w:tc>
          <w:tcPr>
            <w:tcW w:w="2693" w:type="dxa"/>
            <w:shd w:val="clear" w:color="auto" w:fill="auto"/>
            <w:hideMark/>
          </w:tcPr>
          <w:p w14:paraId="5F1A5A16"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6458EB" w:rsidRPr="00092ED7" w14:paraId="68E5F33B" w14:textId="77777777" w:rsidTr="004F56D8">
        <w:trPr>
          <w:trHeight w:val="288"/>
        </w:trPr>
        <w:tc>
          <w:tcPr>
            <w:tcW w:w="560" w:type="dxa"/>
            <w:shd w:val="clear" w:color="auto" w:fill="auto"/>
            <w:noWrap/>
            <w:hideMark/>
          </w:tcPr>
          <w:p w14:paraId="1E8AB6F2" w14:textId="77777777" w:rsidR="006458EB" w:rsidRPr="00092ED7" w:rsidRDefault="006458EB" w:rsidP="006458EB">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lastRenderedPageBreak/>
              <w:t>6.</w:t>
            </w:r>
          </w:p>
        </w:tc>
        <w:tc>
          <w:tcPr>
            <w:tcW w:w="4407" w:type="dxa"/>
            <w:shd w:val="clear" w:color="auto" w:fill="auto"/>
            <w:hideMark/>
          </w:tcPr>
          <w:p w14:paraId="4A99281F" w14:textId="77777777" w:rsidR="006458EB" w:rsidRPr="00092ED7" w:rsidRDefault="006458EB" w:rsidP="006458EB">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Израда и акредитација студијских програма по дуалном моделу студија</w:t>
            </w:r>
          </w:p>
        </w:tc>
        <w:tc>
          <w:tcPr>
            <w:tcW w:w="1701" w:type="dxa"/>
            <w:shd w:val="clear" w:color="auto" w:fill="auto"/>
            <w:hideMark/>
          </w:tcPr>
          <w:p w14:paraId="70A50EAA"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потпуно спроведене</w:t>
            </w:r>
          </w:p>
        </w:tc>
        <w:tc>
          <w:tcPr>
            <w:tcW w:w="3118" w:type="dxa"/>
            <w:shd w:val="clear" w:color="auto" w:fill="auto"/>
            <w:hideMark/>
          </w:tcPr>
          <w:p w14:paraId="0730950F"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410" w:type="dxa"/>
            <w:shd w:val="clear" w:color="auto" w:fill="auto"/>
            <w:hideMark/>
          </w:tcPr>
          <w:p w14:paraId="6DD31951"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567F3375"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6458EB" w:rsidRPr="00092ED7" w14:paraId="5FE3A379" w14:textId="77777777" w:rsidTr="004F56D8">
        <w:trPr>
          <w:trHeight w:val="3405"/>
        </w:trPr>
        <w:tc>
          <w:tcPr>
            <w:tcW w:w="560" w:type="dxa"/>
            <w:shd w:val="clear" w:color="auto" w:fill="auto"/>
            <w:noWrap/>
            <w:hideMark/>
          </w:tcPr>
          <w:p w14:paraId="58B11592" w14:textId="77777777" w:rsidR="006458EB" w:rsidRPr="00092ED7" w:rsidRDefault="006458EB" w:rsidP="006458EB">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7.</w:t>
            </w:r>
          </w:p>
        </w:tc>
        <w:tc>
          <w:tcPr>
            <w:tcW w:w="4407" w:type="dxa"/>
            <w:shd w:val="clear" w:color="auto" w:fill="auto"/>
            <w:hideMark/>
          </w:tcPr>
          <w:p w14:paraId="1C95548A" w14:textId="77777777" w:rsidR="006458EB" w:rsidRPr="00092ED7" w:rsidRDefault="006458EB" w:rsidP="006458EB">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Имплементација поступка ППУ (признавање претходног учења)</w:t>
            </w:r>
          </w:p>
        </w:tc>
        <w:tc>
          <w:tcPr>
            <w:tcW w:w="1701" w:type="dxa"/>
            <w:shd w:val="clear" w:color="auto" w:fill="auto"/>
            <w:hideMark/>
          </w:tcPr>
          <w:p w14:paraId="27D8E516"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потпуно спроведене</w:t>
            </w:r>
          </w:p>
        </w:tc>
        <w:tc>
          <w:tcPr>
            <w:tcW w:w="3118" w:type="dxa"/>
            <w:shd w:val="clear" w:color="auto" w:fill="auto"/>
            <w:hideMark/>
          </w:tcPr>
          <w:p w14:paraId="46D94440"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У извештајном периоду предузимане су бројне активности на имплементацији поступка ППУ као равноправног пута за стицање квалификација. У складу са Правилником о стандардима и начину спровођења поступка признавања претходног учења  уз подршку ГИЗ Пројекта ДЕЦИДЕ започет је поступак акредитације шест школа за спровођење поступка ППУ за квалификације из области машинства. Као део акредитационог процеса кадар школа обучен је за спровођење псотупка ППУ као и запослени у ЗУОВ у чијој је надлежности оцена инструената  који се користе у поступку ППУ као и пружање подршке школама у поступку ППУ. У оквиру ГИЗ пројекта ангажовани су експерти и за припрему Упутства за израду портфолија и припрему образаца за самопроцену као и припрему Смерница за израду плана за процену кандидата.</w:t>
            </w:r>
          </w:p>
        </w:tc>
        <w:tc>
          <w:tcPr>
            <w:tcW w:w="2410" w:type="dxa"/>
            <w:shd w:val="clear" w:color="auto" w:fill="auto"/>
            <w:hideMark/>
          </w:tcPr>
          <w:p w14:paraId="181C1B20"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0949663B"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6458EB" w:rsidRPr="00092ED7" w14:paraId="10EDDDAE" w14:textId="77777777" w:rsidTr="004F56D8">
        <w:trPr>
          <w:trHeight w:val="1125"/>
        </w:trPr>
        <w:tc>
          <w:tcPr>
            <w:tcW w:w="560" w:type="dxa"/>
            <w:shd w:val="clear" w:color="auto" w:fill="auto"/>
            <w:noWrap/>
            <w:hideMark/>
          </w:tcPr>
          <w:p w14:paraId="3B034215" w14:textId="77777777" w:rsidR="006458EB" w:rsidRPr="00092ED7" w:rsidRDefault="006458EB" w:rsidP="006458EB">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8.</w:t>
            </w:r>
          </w:p>
        </w:tc>
        <w:tc>
          <w:tcPr>
            <w:tcW w:w="4407" w:type="dxa"/>
            <w:shd w:val="clear" w:color="auto" w:fill="auto"/>
            <w:hideMark/>
          </w:tcPr>
          <w:p w14:paraId="070AF367" w14:textId="77777777" w:rsidR="006458EB" w:rsidRPr="00092ED7" w:rsidRDefault="006458EB" w:rsidP="006458EB">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Унос података у Регистар НОКС (квалификације, стандарди квалификација и ЈПОА– јавнопризнати организатори активности образовања одраслих)</w:t>
            </w:r>
          </w:p>
        </w:tc>
        <w:tc>
          <w:tcPr>
            <w:tcW w:w="1701" w:type="dxa"/>
            <w:shd w:val="clear" w:color="auto" w:fill="auto"/>
            <w:hideMark/>
          </w:tcPr>
          <w:p w14:paraId="4A286CBE"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потпуно спроведене</w:t>
            </w:r>
          </w:p>
        </w:tc>
        <w:tc>
          <w:tcPr>
            <w:tcW w:w="3118" w:type="dxa"/>
            <w:shd w:val="clear" w:color="auto" w:fill="auto"/>
            <w:hideMark/>
          </w:tcPr>
          <w:p w14:paraId="0BE082F4" w14:textId="38FC4933" w:rsidR="006458EB" w:rsidRPr="00092ED7" w:rsidRDefault="006458EB" w:rsidP="007234E0">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До сада су у Регистар НОКС-а унети су подаци о 465</w:t>
            </w:r>
            <w:r w:rsidR="007234E0" w:rsidRPr="00092ED7">
              <w:rPr>
                <w:rFonts w:eastAsia="Times New Roman" w:cs="Times New Roman"/>
                <w:color w:val="000000"/>
                <w:sz w:val="18"/>
                <w:szCs w:val="18"/>
                <w:lang w:val="sr-Cyrl-CS" w:eastAsia="sr-Latn-RS"/>
              </w:rPr>
              <w:t>4</w:t>
            </w:r>
            <w:r w:rsidRPr="00092ED7">
              <w:rPr>
                <w:rFonts w:eastAsia="Times New Roman" w:cs="Times New Roman"/>
                <w:color w:val="000000"/>
                <w:sz w:val="18"/>
                <w:szCs w:val="18"/>
                <w:lang w:val="sr-Cyrl-CS" w:eastAsia="sr-Latn-RS"/>
              </w:rPr>
              <w:t xml:space="preserve"> квалификацији, од чега </w:t>
            </w:r>
            <w:r w:rsidR="007234E0" w:rsidRPr="00092ED7">
              <w:rPr>
                <w:rFonts w:eastAsia="Times New Roman" w:cs="Times New Roman"/>
                <w:color w:val="000000"/>
                <w:sz w:val="18"/>
                <w:szCs w:val="18"/>
                <w:lang w:val="sr-Cyrl-CS" w:eastAsia="sr-Latn-RS"/>
              </w:rPr>
              <w:t xml:space="preserve">83 </w:t>
            </w:r>
            <w:r w:rsidRPr="00092ED7">
              <w:rPr>
                <w:rFonts w:eastAsia="Times New Roman" w:cs="Times New Roman"/>
                <w:color w:val="000000"/>
                <w:sz w:val="18"/>
                <w:szCs w:val="18"/>
                <w:lang w:val="sr-Cyrl-CS" w:eastAsia="sr-Latn-RS"/>
              </w:rPr>
              <w:t>квалификаицја има стандард квалификација развијен по новој методологији. У подрегистар ЈПОА унето је 350 акредитованих програма обука и подаци о 11</w:t>
            </w:r>
            <w:r w:rsidR="007234E0" w:rsidRPr="00092ED7">
              <w:rPr>
                <w:rFonts w:eastAsia="Times New Roman" w:cs="Times New Roman"/>
                <w:color w:val="000000"/>
                <w:sz w:val="18"/>
                <w:szCs w:val="18"/>
                <w:lang w:val="sr-Cyrl-CS" w:eastAsia="sr-Latn-RS"/>
              </w:rPr>
              <w:t>9</w:t>
            </w:r>
            <w:r w:rsidRPr="00092ED7">
              <w:rPr>
                <w:rFonts w:eastAsia="Times New Roman" w:cs="Times New Roman"/>
                <w:color w:val="000000"/>
                <w:sz w:val="18"/>
                <w:szCs w:val="18"/>
                <w:lang w:val="sr-Cyrl-CS" w:eastAsia="sr-Latn-RS"/>
              </w:rPr>
              <w:t xml:space="preserve"> ЈПОА.</w:t>
            </w:r>
          </w:p>
        </w:tc>
        <w:tc>
          <w:tcPr>
            <w:tcW w:w="2410" w:type="dxa"/>
            <w:shd w:val="clear" w:color="auto" w:fill="auto"/>
            <w:hideMark/>
          </w:tcPr>
          <w:p w14:paraId="3F0C7A85"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5CC51CC7"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6458EB" w:rsidRPr="00092ED7" w14:paraId="58AD6281" w14:textId="77777777" w:rsidTr="004F56D8">
        <w:trPr>
          <w:trHeight w:val="540"/>
        </w:trPr>
        <w:tc>
          <w:tcPr>
            <w:tcW w:w="560" w:type="dxa"/>
            <w:shd w:val="clear" w:color="auto" w:fill="auto"/>
            <w:noWrap/>
            <w:hideMark/>
          </w:tcPr>
          <w:p w14:paraId="105E1875" w14:textId="77777777" w:rsidR="006458EB" w:rsidRPr="00092ED7" w:rsidRDefault="006458EB" w:rsidP="006458EB">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9.</w:t>
            </w:r>
          </w:p>
        </w:tc>
        <w:tc>
          <w:tcPr>
            <w:tcW w:w="4407" w:type="dxa"/>
            <w:shd w:val="clear" w:color="auto" w:fill="auto"/>
            <w:hideMark/>
          </w:tcPr>
          <w:p w14:paraId="04DCF57B" w14:textId="77777777" w:rsidR="006458EB" w:rsidRPr="00092ED7" w:rsidRDefault="006458EB" w:rsidP="006458EB">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Развој послесредњег образовања на нивоу 5 НОКС-а (специјализација, мајсторско образовање, кратки циклуси).</w:t>
            </w:r>
          </w:p>
        </w:tc>
        <w:tc>
          <w:tcPr>
            <w:tcW w:w="1701" w:type="dxa"/>
            <w:shd w:val="clear" w:color="auto" w:fill="auto"/>
            <w:hideMark/>
          </w:tcPr>
          <w:p w14:paraId="2BC23345"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напредак у спровођењу</w:t>
            </w:r>
          </w:p>
        </w:tc>
        <w:tc>
          <w:tcPr>
            <w:tcW w:w="3118" w:type="dxa"/>
            <w:shd w:val="clear" w:color="auto" w:fill="auto"/>
            <w:hideMark/>
          </w:tcPr>
          <w:p w14:paraId="5435B1C3"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У претходном периоду развијено је 6 стандарда квалификација на нивоу 5. НОКС.</w:t>
            </w:r>
          </w:p>
        </w:tc>
        <w:tc>
          <w:tcPr>
            <w:tcW w:w="2410" w:type="dxa"/>
            <w:shd w:val="clear" w:color="auto" w:fill="auto"/>
            <w:hideMark/>
          </w:tcPr>
          <w:p w14:paraId="2AF15B8F"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08524F00"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6458EB" w:rsidRPr="00092ED7" w14:paraId="62D6BEC4" w14:textId="77777777" w:rsidTr="004F56D8">
        <w:trPr>
          <w:trHeight w:val="360"/>
        </w:trPr>
        <w:tc>
          <w:tcPr>
            <w:tcW w:w="560" w:type="dxa"/>
            <w:shd w:val="clear" w:color="auto" w:fill="auto"/>
            <w:hideMark/>
          </w:tcPr>
          <w:p w14:paraId="0EA8CEDA" w14:textId="77777777" w:rsidR="006458EB" w:rsidRPr="00092ED7" w:rsidRDefault="006458EB" w:rsidP="006458EB">
            <w:pPr>
              <w:spacing w:after="0"/>
              <w:jc w:val="left"/>
              <w:rPr>
                <w:rFonts w:eastAsia="Times New Roman" w:cs="Times New Roman"/>
                <w:color w:val="000000"/>
                <w:sz w:val="18"/>
                <w:szCs w:val="18"/>
                <w:lang w:val="sr-Cyrl-CS" w:eastAsia="sr-Latn-RS"/>
              </w:rPr>
            </w:pPr>
          </w:p>
        </w:tc>
        <w:tc>
          <w:tcPr>
            <w:tcW w:w="4407" w:type="dxa"/>
            <w:shd w:val="clear" w:color="auto" w:fill="auto"/>
            <w:hideMark/>
          </w:tcPr>
          <w:p w14:paraId="7D142874" w14:textId="77777777" w:rsidR="006458EB" w:rsidRPr="00092ED7" w:rsidRDefault="006458EB" w:rsidP="006458EB">
            <w:pPr>
              <w:spacing w:after="0"/>
              <w:jc w:val="left"/>
              <w:rPr>
                <w:rFonts w:eastAsia="Times New Roman" w:cs="Times New Roman"/>
                <w:sz w:val="18"/>
                <w:szCs w:val="18"/>
                <w:lang w:val="sr-Cyrl-CS" w:eastAsia="sr-Latn-RS"/>
              </w:rPr>
            </w:pPr>
          </w:p>
        </w:tc>
        <w:tc>
          <w:tcPr>
            <w:tcW w:w="1701" w:type="dxa"/>
            <w:shd w:val="clear" w:color="000000" w:fill="BDD7EE"/>
            <w:noWrap/>
            <w:vAlign w:val="bottom"/>
            <w:hideMark/>
          </w:tcPr>
          <w:p w14:paraId="0960F13D" w14:textId="77777777" w:rsidR="006458EB" w:rsidRPr="00092ED7" w:rsidRDefault="006458EB" w:rsidP="006458EB">
            <w:pPr>
              <w:spacing w:after="0"/>
              <w:jc w:val="center"/>
              <w:rPr>
                <w:rFonts w:eastAsia="Times New Roman" w:cs="Times New Roman"/>
                <w:sz w:val="28"/>
                <w:szCs w:val="28"/>
                <w:lang w:val="sr-Cyrl-CS" w:eastAsia="sr-Latn-RS"/>
              </w:rPr>
            </w:pPr>
            <w:r w:rsidRPr="00092ED7">
              <w:rPr>
                <w:rFonts w:eastAsia="Times New Roman" w:cs="Times New Roman"/>
                <w:sz w:val="28"/>
                <w:szCs w:val="28"/>
                <w:lang w:val="sr-Cyrl-CS" w:eastAsia="sr-Latn-RS"/>
              </w:rPr>
              <w:t>82%</w:t>
            </w:r>
          </w:p>
        </w:tc>
        <w:tc>
          <w:tcPr>
            <w:tcW w:w="3118" w:type="dxa"/>
            <w:shd w:val="clear" w:color="auto" w:fill="auto"/>
            <w:noWrap/>
            <w:hideMark/>
          </w:tcPr>
          <w:p w14:paraId="671377D1" w14:textId="77777777" w:rsidR="006458EB" w:rsidRPr="00092ED7" w:rsidRDefault="006458EB" w:rsidP="006458EB">
            <w:pPr>
              <w:spacing w:after="0"/>
              <w:jc w:val="center"/>
              <w:rPr>
                <w:rFonts w:eastAsia="Times New Roman" w:cs="Times New Roman"/>
                <w:sz w:val="18"/>
                <w:szCs w:val="18"/>
                <w:lang w:val="sr-Cyrl-CS" w:eastAsia="sr-Latn-RS"/>
              </w:rPr>
            </w:pPr>
          </w:p>
        </w:tc>
        <w:tc>
          <w:tcPr>
            <w:tcW w:w="2410" w:type="dxa"/>
            <w:shd w:val="clear" w:color="auto" w:fill="auto"/>
            <w:noWrap/>
            <w:hideMark/>
          </w:tcPr>
          <w:p w14:paraId="70E871C7" w14:textId="77777777" w:rsidR="006458EB" w:rsidRPr="00092ED7" w:rsidRDefault="006458EB" w:rsidP="006458EB">
            <w:pPr>
              <w:spacing w:after="0"/>
              <w:jc w:val="left"/>
              <w:rPr>
                <w:rFonts w:eastAsia="Times New Roman" w:cs="Times New Roman"/>
                <w:sz w:val="18"/>
                <w:szCs w:val="18"/>
                <w:lang w:val="sr-Cyrl-CS" w:eastAsia="sr-Latn-RS"/>
              </w:rPr>
            </w:pPr>
          </w:p>
        </w:tc>
        <w:tc>
          <w:tcPr>
            <w:tcW w:w="2693" w:type="dxa"/>
            <w:shd w:val="clear" w:color="auto" w:fill="auto"/>
            <w:noWrap/>
            <w:hideMark/>
          </w:tcPr>
          <w:p w14:paraId="2061CBDE" w14:textId="77777777" w:rsidR="006458EB" w:rsidRPr="00092ED7" w:rsidRDefault="006458EB" w:rsidP="006458EB">
            <w:pPr>
              <w:spacing w:after="0"/>
              <w:jc w:val="left"/>
              <w:rPr>
                <w:rFonts w:eastAsia="Times New Roman" w:cs="Times New Roman"/>
                <w:sz w:val="18"/>
                <w:szCs w:val="18"/>
                <w:lang w:val="sr-Cyrl-CS" w:eastAsia="sr-Latn-RS"/>
              </w:rPr>
            </w:pPr>
          </w:p>
        </w:tc>
      </w:tr>
      <w:tr w:rsidR="009349ED" w:rsidRPr="00092ED7" w14:paraId="4337C3E8" w14:textId="77777777" w:rsidTr="004F56D8">
        <w:trPr>
          <w:trHeight w:val="360"/>
        </w:trPr>
        <w:tc>
          <w:tcPr>
            <w:tcW w:w="560" w:type="dxa"/>
            <w:shd w:val="clear" w:color="auto" w:fill="D9D9D9" w:themeFill="background1" w:themeFillShade="D9"/>
            <w:noWrap/>
            <w:hideMark/>
          </w:tcPr>
          <w:p w14:paraId="63614B1B" w14:textId="77777777" w:rsidR="009349ED" w:rsidRPr="00092ED7" w:rsidRDefault="009349ED"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14329" w:type="dxa"/>
            <w:gridSpan w:val="5"/>
            <w:shd w:val="clear" w:color="auto" w:fill="D9D9D9" w:themeFill="background1" w:themeFillShade="D9"/>
            <w:noWrap/>
            <w:vAlign w:val="center"/>
            <w:hideMark/>
          </w:tcPr>
          <w:p w14:paraId="268B25D9" w14:textId="77777777" w:rsidR="009349ED" w:rsidRPr="00092ED7" w:rsidRDefault="009349ED" w:rsidP="006458EB">
            <w:pPr>
              <w:spacing w:after="0"/>
              <w:jc w:val="left"/>
              <w:rPr>
                <w:rFonts w:eastAsia="Times New Roman" w:cs="Times New Roman"/>
                <w:b/>
                <w:bCs/>
                <w:sz w:val="18"/>
                <w:szCs w:val="18"/>
                <w:lang w:val="sr-Cyrl-CS" w:eastAsia="sr-Latn-RS"/>
              </w:rPr>
            </w:pPr>
            <w:r w:rsidRPr="00092ED7">
              <w:rPr>
                <w:rFonts w:eastAsia="Times New Roman" w:cs="Times New Roman"/>
                <w:b/>
                <w:bCs/>
                <w:sz w:val="18"/>
                <w:szCs w:val="18"/>
                <w:lang w:val="sr-Cyrl-CS" w:eastAsia="sr-Latn-RS"/>
              </w:rPr>
              <w:t>СР 3. УНАПРЕЂЕЊЕ АМБИЈЕНТА ЗА ПОДСТИЦАЊЕ, ПОДРШКУ И ПРАЋЕЊЕ ЦИРКУЛАРНИХ И ЕКОНОМСКИХ МИГРАЦИЈА</w:t>
            </w:r>
          </w:p>
        </w:tc>
      </w:tr>
      <w:tr w:rsidR="006458EB" w:rsidRPr="00092ED7" w14:paraId="618FF7AE" w14:textId="77777777" w:rsidTr="004F56D8">
        <w:trPr>
          <w:trHeight w:val="1093"/>
        </w:trPr>
        <w:tc>
          <w:tcPr>
            <w:tcW w:w="560" w:type="dxa"/>
            <w:shd w:val="clear" w:color="auto" w:fill="auto"/>
            <w:noWrap/>
            <w:hideMark/>
          </w:tcPr>
          <w:p w14:paraId="4D637F76" w14:textId="77777777" w:rsidR="006458EB" w:rsidRPr="00092ED7" w:rsidRDefault="006458EB" w:rsidP="006458EB">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lastRenderedPageBreak/>
              <w:t>1.</w:t>
            </w:r>
          </w:p>
        </w:tc>
        <w:tc>
          <w:tcPr>
            <w:tcW w:w="4407" w:type="dxa"/>
            <w:shd w:val="clear" w:color="auto" w:fill="auto"/>
            <w:hideMark/>
          </w:tcPr>
          <w:p w14:paraId="7D1DA615" w14:textId="77777777" w:rsidR="006458EB" w:rsidRPr="00092ED7" w:rsidRDefault="006458EB" w:rsidP="006458EB">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Примена Акционог плана за период 2021-2023 године за примену Стратегије о економским миграцијама Републике Србије за период 2021-2027 године</w:t>
            </w:r>
          </w:p>
        </w:tc>
        <w:tc>
          <w:tcPr>
            <w:tcW w:w="1701" w:type="dxa"/>
            <w:shd w:val="clear" w:color="auto" w:fill="auto"/>
            <w:hideMark/>
          </w:tcPr>
          <w:p w14:paraId="75797A1F"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започето спровођење</w:t>
            </w:r>
          </w:p>
        </w:tc>
        <w:tc>
          <w:tcPr>
            <w:tcW w:w="3118" w:type="dxa"/>
            <w:shd w:val="clear" w:color="auto" w:fill="auto"/>
            <w:hideMark/>
          </w:tcPr>
          <w:p w14:paraId="504EF943" w14:textId="4190EE16" w:rsidR="006458EB" w:rsidRPr="00092ED7" w:rsidRDefault="006458EB" w:rsidP="004B57D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Акциони план је усвојен 15. септембра 2021. године. У току 2022. године је наставио да се спроводи по свим предвиђеним активностима. О резултатима за 2022. годину биће урађен извештај.</w:t>
            </w:r>
          </w:p>
        </w:tc>
        <w:tc>
          <w:tcPr>
            <w:tcW w:w="2410" w:type="dxa"/>
            <w:shd w:val="clear" w:color="auto" w:fill="auto"/>
            <w:hideMark/>
          </w:tcPr>
          <w:p w14:paraId="00BD5EE1"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7BED818D"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6458EB" w:rsidRPr="00092ED7" w14:paraId="285F3B3A" w14:textId="77777777" w:rsidTr="004F56D8">
        <w:trPr>
          <w:trHeight w:val="840"/>
        </w:trPr>
        <w:tc>
          <w:tcPr>
            <w:tcW w:w="560" w:type="dxa"/>
            <w:shd w:val="clear" w:color="auto" w:fill="auto"/>
            <w:noWrap/>
            <w:hideMark/>
          </w:tcPr>
          <w:p w14:paraId="6B1DC485" w14:textId="77777777" w:rsidR="006458EB" w:rsidRPr="00092ED7" w:rsidRDefault="006458EB" w:rsidP="006458EB">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2.</w:t>
            </w:r>
          </w:p>
        </w:tc>
        <w:tc>
          <w:tcPr>
            <w:tcW w:w="4407" w:type="dxa"/>
            <w:shd w:val="clear" w:color="auto" w:fill="auto"/>
            <w:hideMark/>
          </w:tcPr>
          <w:p w14:paraId="70091B40" w14:textId="77777777" w:rsidR="006458EB" w:rsidRPr="00092ED7" w:rsidRDefault="006458EB" w:rsidP="006458EB">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Јачање капацитета институција надлежних за праћење миграционих кретања и образовање нових група, тела и слично</w:t>
            </w:r>
          </w:p>
        </w:tc>
        <w:tc>
          <w:tcPr>
            <w:tcW w:w="1701" w:type="dxa"/>
            <w:shd w:val="clear" w:color="auto" w:fill="auto"/>
            <w:hideMark/>
          </w:tcPr>
          <w:p w14:paraId="286746AF"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наставак спровођења са почетним резултатима</w:t>
            </w:r>
          </w:p>
        </w:tc>
        <w:tc>
          <w:tcPr>
            <w:tcW w:w="3118" w:type="dxa"/>
            <w:shd w:val="clear" w:color="auto" w:fill="auto"/>
            <w:hideMark/>
          </w:tcPr>
          <w:p w14:paraId="1D0F78B9"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Одржано је више радионица, обука и састанака у циљу јачања институционалних капацитета надлежних институција. У плану је њихово одржавање током целокупног трајања АП.</w:t>
            </w:r>
          </w:p>
        </w:tc>
        <w:tc>
          <w:tcPr>
            <w:tcW w:w="2410" w:type="dxa"/>
            <w:shd w:val="clear" w:color="auto" w:fill="auto"/>
            <w:hideMark/>
          </w:tcPr>
          <w:p w14:paraId="7597202E"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41BA6FC9"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6458EB" w:rsidRPr="00092ED7" w14:paraId="24925587" w14:textId="77777777" w:rsidTr="004F56D8">
        <w:trPr>
          <w:trHeight w:val="288"/>
        </w:trPr>
        <w:tc>
          <w:tcPr>
            <w:tcW w:w="560" w:type="dxa"/>
            <w:shd w:val="clear" w:color="auto" w:fill="auto"/>
            <w:noWrap/>
            <w:hideMark/>
          </w:tcPr>
          <w:p w14:paraId="686FE54D" w14:textId="77777777" w:rsidR="006458EB" w:rsidRPr="00092ED7" w:rsidRDefault="006458EB" w:rsidP="006458EB">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3.</w:t>
            </w:r>
          </w:p>
        </w:tc>
        <w:tc>
          <w:tcPr>
            <w:tcW w:w="4407" w:type="dxa"/>
            <w:shd w:val="clear" w:color="auto" w:fill="auto"/>
            <w:hideMark/>
          </w:tcPr>
          <w:p w14:paraId="27BCB4E2" w14:textId="77777777" w:rsidR="006458EB" w:rsidRPr="00092ED7" w:rsidRDefault="006458EB" w:rsidP="006458EB">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Израда анализе потенцијала радне снаге у контексту емиграције</w:t>
            </w:r>
          </w:p>
        </w:tc>
        <w:tc>
          <w:tcPr>
            <w:tcW w:w="1701" w:type="dxa"/>
            <w:shd w:val="clear" w:color="auto" w:fill="auto"/>
            <w:hideMark/>
          </w:tcPr>
          <w:p w14:paraId="0D7409E3"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у припреми</w:t>
            </w:r>
          </w:p>
        </w:tc>
        <w:tc>
          <w:tcPr>
            <w:tcW w:w="3118" w:type="dxa"/>
            <w:shd w:val="clear" w:color="auto" w:fill="auto"/>
            <w:hideMark/>
          </w:tcPr>
          <w:p w14:paraId="37ABFD64"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У току је израда анализе.</w:t>
            </w:r>
          </w:p>
        </w:tc>
        <w:tc>
          <w:tcPr>
            <w:tcW w:w="2410" w:type="dxa"/>
            <w:shd w:val="clear" w:color="auto" w:fill="auto"/>
            <w:hideMark/>
          </w:tcPr>
          <w:p w14:paraId="5C24BA72"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08118E72"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6458EB" w:rsidRPr="00092ED7" w14:paraId="5492E2B8" w14:textId="77777777" w:rsidTr="004F56D8">
        <w:trPr>
          <w:trHeight w:val="288"/>
        </w:trPr>
        <w:tc>
          <w:tcPr>
            <w:tcW w:w="560" w:type="dxa"/>
            <w:shd w:val="clear" w:color="auto" w:fill="auto"/>
            <w:noWrap/>
            <w:hideMark/>
          </w:tcPr>
          <w:p w14:paraId="1CE7D2AB" w14:textId="77777777" w:rsidR="006458EB" w:rsidRPr="00092ED7" w:rsidRDefault="006458EB" w:rsidP="006458EB">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4.</w:t>
            </w:r>
          </w:p>
        </w:tc>
        <w:tc>
          <w:tcPr>
            <w:tcW w:w="4407" w:type="dxa"/>
            <w:shd w:val="clear" w:color="auto" w:fill="auto"/>
            <w:hideMark/>
          </w:tcPr>
          <w:p w14:paraId="0489AD8F" w14:textId="77777777" w:rsidR="006458EB" w:rsidRPr="00092ED7" w:rsidRDefault="006458EB" w:rsidP="006458EB">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Јачање капацитета организације за пружање директне и менторске подршке дијаспори</w:t>
            </w:r>
          </w:p>
        </w:tc>
        <w:tc>
          <w:tcPr>
            <w:tcW w:w="1701" w:type="dxa"/>
            <w:shd w:val="clear" w:color="auto" w:fill="auto"/>
            <w:hideMark/>
          </w:tcPr>
          <w:p w14:paraId="30D40CB5"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потпуно спроведене</w:t>
            </w:r>
          </w:p>
        </w:tc>
        <w:tc>
          <w:tcPr>
            <w:tcW w:w="3118" w:type="dxa"/>
            <w:shd w:val="clear" w:color="auto" w:fill="auto"/>
            <w:hideMark/>
          </w:tcPr>
          <w:p w14:paraId="51F859B7"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410" w:type="dxa"/>
            <w:shd w:val="clear" w:color="auto" w:fill="auto"/>
            <w:hideMark/>
          </w:tcPr>
          <w:p w14:paraId="3F9692C7"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0E89B935"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6458EB" w:rsidRPr="00092ED7" w14:paraId="094F1748" w14:textId="77777777" w:rsidTr="004F56D8">
        <w:trPr>
          <w:trHeight w:val="2376"/>
        </w:trPr>
        <w:tc>
          <w:tcPr>
            <w:tcW w:w="560" w:type="dxa"/>
            <w:shd w:val="clear" w:color="auto" w:fill="auto"/>
            <w:noWrap/>
            <w:hideMark/>
          </w:tcPr>
          <w:p w14:paraId="22109D17" w14:textId="77777777" w:rsidR="006458EB" w:rsidRPr="00092ED7" w:rsidRDefault="006458EB" w:rsidP="006458EB">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5.</w:t>
            </w:r>
          </w:p>
        </w:tc>
        <w:tc>
          <w:tcPr>
            <w:tcW w:w="4407" w:type="dxa"/>
            <w:shd w:val="clear" w:color="auto" w:fill="auto"/>
            <w:hideMark/>
          </w:tcPr>
          <w:p w14:paraId="72673293" w14:textId="77777777" w:rsidR="006458EB" w:rsidRPr="00092ED7" w:rsidRDefault="006458EB" w:rsidP="006458EB">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Унапређење административног оквира у циљу повратка и инвестиција дијаспоре, повратка страних држављана српског порекла, одобравања стамбених кредита припадницима дијаспоре и регистрације возила из земаља ван ЕУ/ЕЕА</w:t>
            </w:r>
          </w:p>
        </w:tc>
        <w:tc>
          <w:tcPr>
            <w:tcW w:w="1701" w:type="dxa"/>
            <w:shd w:val="clear" w:color="auto" w:fill="auto"/>
            <w:hideMark/>
          </w:tcPr>
          <w:p w14:paraId="7C0C2C95"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напредак у спровођењу</w:t>
            </w:r>
          </w:p>
        </w:tc>
        <w:tc>
          <w:tcPr>
            <w:tcW w:w="3118" w:type="dxa"/>
            <w:shd w:val="clear" w:color="auto" w:fill="auto"/>
            <w:hideMark/>
          </w:tcPr>
          <w:p w14:paraId="7A1741A4" w14:textId="21544B75"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xml:space="preserve">У претходном периоду усвојене су мере и покренути програми који директно утичу на олакшан повратак у </w:t>
            </w:r>
            <w:r w:rsidR="00081DFC" w:rsidRPr="00092ED7">
              <w:rPr>
                <w:rFonts w:eastAsia="Times New Roman" w:cs="Times New Roman"/>
                <w:color w:val="000000"/>
                <w:sz w:val="18"/>
                <w:szCs w:val="18"/>
                <w:lang w:val="sr-Cyrl-CS" w:eastAsia="sr-Latn-RS"/>
              </w:rPr>
              <w:t xml:space="preserve">Републику </w:t>
            </w:r>
            <w:r w:rsidRPr="00092ED7">
              <w:rPr>
                <w:rFonts w:eastAsia="Times New Roman" w:cs="Times New Roman"/>
                <w:color w:val="000000"/>
                <w:sz w:val="18"/>
                <w:szCs w:val="18"/>
                <w:lang w:val="sr-Cyrl-CS" w:eastAsia="sr-Latn-RS"/>
              </w:rPr>
              <w:t xml:space="preserve">Србију страних држављана српског порекла као и процеса за добијање стамбених кредита за пореске нерезиденте. Активности на пољу регистрације аутомобила нису у потпуности спроведене с обзиром да Агенција за безбедност саобраћаја и Ауто-мото савез Србије тренутно спроводе пројекат који идентификује најбољу регионалну праксу у овој области као и неопходне корак у припреми и спровођењу наведене реформе у </w:t>
            </w:r>
            <w:r w:rsidR="003B5902" w:rsidRPr="00092ED7">
              <w:rPr>
                <w:rFonts w:eastAsia="Times New Roman" w:cs="Times New Roman"/>
                <w:color w:val="000000"/>
                <w:sz w:val="18"/>
                <w:szCs w:val="18"/>
                <w:lang w:val="sr-Cyrl-CS" w:eastAsia="sr-Latn-RS"/>
              </w:rPr>
              <w:t xml:space="preserve">Републици </w:t>
            </w:r>
            <w:r w:rsidRPr="00092ED7">
              <w:rPr>
                <w:rFonts w:eastAsia="Times New Roman" w:cs="Times New Roman"/>
                <w:color w:val="000000"/>
                <w:sz w:val="18"/>
                <w:szCs w:val="18"/>
                <w:lang w:val="sr-Cyrl-CS" w:eastAsia="sr-Latn-RS"/>
              </w:rPr>
              <w:t>Србији.</w:t>
            </w:r>
          </w:p>
        </w:tc>
        <w:tc>
          <w:tcPr>
            <w:tcW w:w="2410" w:type="dxa"/>
            <w:shd w:val="clear" w:color="auto" w:fill="auto"/>
            <w:hideMark/>
          </w:tcPr>
          <w:p w14:paraId="693E37F9"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12F62DFE"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6458EB" w:rsidRPr="00092ED7" w14:paraId="3FD479C5" w14:textId="77777777" w:rsidTr="004F56D8">
        <w:trPr>
          <w:trHeight w:val="1596"/>
        </w:trPr>
        <w:tc>
          <w:tcPr>
            <w:tcW w:w="560" w:type="dxa"/>
            <w:shd w:val="clear" w:color="auto" w:fill="auto"/>
            <w:noWrap/>
            <w:hideMark/>
          </w:tcPr>
          <w:p w14:paraId="3A3CECDD" w14:textId="77777777" w:rsidR="006458EB" w:rsidRPr="00092ED7" w:rsidRDefault="006458EB" w:rsidP="006458EB">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6.</w:t>
            </w:r>
          </w:p>
        </w:tc>
        <w:tc>
          <w:tcPr>
            <w:tcW w:w="4407" w:type="dxa"/>
            <w:shd w:val="clear" w:color="auto" w:fill="auto"/>
            <w:hideMark/>
          </w:tcPr>
          <w:p w14:paraId="4E57AD9B" w14:textId="77777777" w:rsidR="006458EB" w:rsidRPr="00092ED7" w:rsidRDefault="006458EB" w:rsidP="006458EB">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Развој и примена програма стручних пракси намењених за студенте из иностранства у јавном и приватном сектору</w:t>
            </w:r>
          </w:p>
        </w:tc>
        <w:tc>
          <w:tcPr>
            <w:tcW w:w="1701" w:type="dxa"/>
            <w:shd w:val="clear" w:color="auto" w:fill="auto"/>
            <w:hideMark/>
          </w:tcPr>
          <w:p w14:paraId="14ABEC8D"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започето спровођење</w:t>
            </w:r>
          </w:p>
        </w:tc>
        <w:tc>
          <w:tcPr>
            <w:tcW w:w="3118" w:type="dxa"/>
            <w:shd w:val="clear" w:color="auto" w:fill="auto"/>
            <w:hideMark/>
          </w:tcPr>
          <w:p w14:paraId="229E9D83" w14:textId="3BD6D9CC" w:rsidR="006458EB" w:rsidRPr="00092ED7" w:rsidRDefault="006458EB" w:rsidP="0072438A">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xml:space="preserve">У сарадњи са приватним партнерима и Организацијом српских студената у иностранству, подржане су стручне праксе за студенте из иностранства на индивидуалном нивоу. Имајући у виду друге непланиране активности које су спроведене у претходном периоду, развој засебних програма намењених стручним праксама </w:t>
            </w:r>
            <w:r w:rsidR="0072438A" w:rsidRPr="00092ED7">
              <w:rPr>
                <w:rFonts w:eastAsia="Times New Roman" w:cs="Times New Roman"/>
                <w:color w:val="000000"/>
                <w:sz w:val="18"/>
                <w:szCs w:val="18"/>
                <w:lang w:val="sr-Cyrl-CS" w:eastAsia="sr-Latn-RS"/>
              </w:rPr>
              <w:lastRenderedPageBreak/>
              <w:t>одложен је</w:t>
            </w:r>
            <w:r w:rsidRPr="00092ED7">
              <w:rPr>
                <w:rFonts w:eastAsia="Times New Roman" w:cs="Times New Roman"/>
                <w:color w:val="000000"/>
                <w:sz w:val="18"/>
                <w:szCs w:val="18"/>
                <w:lang w:val="sr-Cyrl-CS" w:eastAsia="sr-Latn-RS"/>
              </w:rPr>
              <w:t>за другу половину 2022. и 2023. годину.</w:t>
            </w:r>
          </w:p>
        </w:tc>
        <w:tc>
          <w:tcPr>
            <w:tcW w:w="2410" w:type="dxa"/>
            <w:shd w:val="clear" w:color="auto" w:fill="auto"/>
            <w:hideMark/>
          </w:tcPr>
          <w:p w14:paraId="3A0D7E96"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lastRenderedPageBreak/>
              <w:t> </w:t>
            </w:r>
          </w:p>
        </w:tc>
        <w:tc>
          <w:tcPr>
            <w:tcW w:w="2693" w:type="dxa"/>
            <w:shd w:val="clear" w:color="auto" w:fill="auto"/>
            <w:hideMark/>
          </w:tcPr>
          <w:p w14:paraId="32BE0BB9"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6458EB" w:rsidRPr="00092ED7" w14:paraId="219B014F" w14:textId="77777777" w:rsidTr="004F56D8">
        <w:trPr>
          <w:trHeight w:val="360"/>
        </w:trPr>
        <w:tc>
          <w:tcPr>
            <w:tcW w:w="560" w:type="dxa"/>
            <w:shd w:val="clear" w:color="auto" w:fill="auto"/>
            <w:hideMark/>
          </w:tcPr>
          <w:p w14:paraId="555051EF" w14:textId="77777777" w:rsidR="006458EB" w:rsidRPr="00092ED7" w:rsidRDefault="006458EB" w:rsidP="006458EB">
            <w:pPr>
              <w:spacing w:after="0"/>
              <w:jc w:val="left"/>
              <w:rPr>
                <w:rFonts w:eastAsia="Times New Roman" w:cs="Times New Roman"/>
                <w:color w:val="000000"/>
                <w:sz w:val="18"/>
                <w:szCs w:val="18"/>
                <w:lang w:val="sr-Cyrl-CS" w:eastAsia="sr-Latn-RS"/>
              </w:rPr>
            </w:pPr>
          </w:p>
        </w:tc>
        <w:tc>
          <w:tcPr>
            <w:tcW w:w="4407" w:type="dxa"/>
            <w:shd w:val="clear" w:color="auto" w:fill="auto"/>
            <w:hideMark/>
          </w:tcPr>
          <w:p w14:paraId="05640FBA" w14:textId="77777777" w:rsidR="006458EB" w:rsidRPr="00092ED7" w:rsidRDefault="006458EB" w:rsidP="006458EB">
            <w:pPr>
              <w:spacing w:after="0"/>
              <w:jc w:val="left"/>
              <w:rPr>
                <w:rFonts w:eastAsia="Times New Roman" w:cs="Times New Roman"/>
                <w:sz w:val="18"/>
                <w:szCs w:val="18"/>
                <w:lang w:val="sr-Cyrl-CS" w:eastAsia="sr-Latn-RS"/>
              </w:rPr>
            </w:pPr>
          </w:p>
        </w:tc>
        <w:tc>
          <w:tcPr>
            <w:tcW w:w="1701" w:type="dxa"/>
            <w:shd w:val="clear" w:color="000000" w:fill="BDD7EE"/>
            <w:noWrap/>
            <w:vAlign w:val="bottom"/>
            <w:hideMark/>
          </w:tcPr>
          <w:p w14:paraId="6ABBF423" w14:textId="77777777" w:rsidR="006458EB" w:rsidRPr="00092ED7" w:rsidRDefault="006458EB" w:rsidP="006458EB">
            <w:pPr>
              <w:spacing w:after="0"/>
              <w:jc w:val="center"/>
              <w:rPr>
                <w:rFonts w:eastAsia="Times New Roman" w:cs="Times New Roman"/>
                <w:sz w:val="28"/>
                <w:szCs w:val="28"/>
                <w:lang w:val="sr-Cyrl-CS" w:eastAsia="sr-Latn-RS"/>
              </w:rPr>
            </w:pPr>
            <w:r w:rsidRPr="00092ED7">
              <w:rPr>
                <w:rFonts w:eastAsia="Times New Roman" w:cs="Times New Roman"/>
                <w:sz w:val="28"/>
                <w:szCs w:val="28"/>
                <w:lang w:val="sr-Cyrl-CS" w:eastAsia="sr-Latn-RS"/>
              </w:rPr>
              <w:t>57%</w:t>
            </w:r>
          </w:p>
        </w:tc>
        <w:tc>
          <w:tcPr>
            <w:tcW w:w="3118" w:type="dxa"/>
            <w:shd w:val="clear" w:color="auto" w:fill="auto"/>
            <w:noWrap/>
            <w:hideMark/>
          </w:tcPr>
          <w:p w14:paraId="4791CAF1" w14:textId="77777777" w:rsidR="006458EB" w:rsidRPr="00092ED7" w:rsidRDefault="006458EB" w:rsidP="006458EB">
            <w:pPr>
              <w:spacing w:after="0"/>
              <w:jc w:val="center"/>
              <w:rPr>
                <w:rFonts w:eastAsia="Times New Roman" w:cs="Times New Roman"/>
                <w:sz w:val="18"/>
                <w:szCs w:val="18"/>
                <w:lang w:val="sr-Cyrl-CS" w:eastAsia="sr-Latn-RS"/>
              </w:rPr>
            </w:pPr>
          </w:p>
        </w:tc>
        <w:tc>
          <w:tcPr>
            <w:tcW w:w="2410" w:type="dxa"/>
            <w:shd w:val="clear" w:color="auto" w:fill="auto"/>
            <w:noWrap/>
            <w:hideMark/>
          </w:tcPr>
          <w:p w14:paraId="3F234C6D" w14:textId="77777777" w:rsidR="006458EB" w:rsidRPr="00092ED7" w:rsidRDefault="006458EB" w:rsidP="006458EB">
            <w:pPr>
              <w:spacing w:after="0"/>
              <w:jc w:val="left"/>
              <w:rPr>
                <w:rFonts w:eastAsia="Times New Roman" w:cs="Times New Roman"/>
                <w:sz w:val="18"/>
                <w:szCs w:val="18"/>
                <w:lang w:val="sr-Cyrl-CS" w:eastAsia="sr-Latn-RS"/>
              </w:rPr>
            </w:pPr>
          </w:p>
        </w:tc>
        <w:tc>
          <w:tcPr>
            <w:tcW w:w="2693" w:type="dxa"/>
            <w:shd w:val="clear" w:color="auto" w:fill="auto"/>
            <w:noWrap/>
            <w:hideMark/>
          </w:tcPr>
          <w:p w14:paraId="4837D960" w14:textId="77777777" w:rsidR="006458EB" w:rsidRPr="00092ED7" w:rsidRDefault="006458EB" w:rsidP="006458EB">
            <w:pPr>
              <w:spacing w:after="0"/>
              <w:jc w:val="left"/>
              <w:rPr>
                <w:rFonts w:eastAsia="Times New Roman" w:cs="Times New Roman"/>
                <w:sz w:val="18"/>
                <w:szCs w:val="18"/>
                <w:lang w:val="sr-Cyrl-CS" w:eastAsia="sr-Latn-RS"/>
              </w:rPr>
            </w:pPr>
          </w:p>
        </w:tc>
      </w:tr>
      <w:tr w:rsidR="009349ED" w:rsidRPr="00092ED7" w14:paraId="7F97EFC4" w14:textId="77777777" w:rsidTr="004F56D8">
        <w:trPr>
          <w:trHeight w:val="360"/>
        </w:trPr>
        <w:tc>
          <w:tcPr>
            <w:tcW w:w="560" w:type="dxa"/>
            <w:shd w:val="clear" w:color="auto" w:fill="D9D9D9" w:themeFill="background1" w:themeFillShade="D9"/>
            <w:noWrap/>
            <w:hideMark/>
          </w:tcPr>
          <w:p w14:paraId="528DE779" w14:textId="77777777" w:rsidR="009349ED" w:rsidRPr="00092ED7" w:rsidRDefault="009349ED"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14329" w:type="dxa"/>
            <w:gridSpan w:val="5"/>
            <w:shd w:val="clear" w:color="auto" w:fill="D9D9D9" w:themeFill="background1" w:themeFillShade="D9"/>
            <w:noWrap/>
            <w:vAlign w:val="center"/>
            <w:hideMark/>
          </w:tcPr>
          <w:p w14:paraId="28F5FA81" w14:textId="77777777" w:rsidR="009349ED" w:rsidRPr="00092ED7" w:rsidRDefault="009349ED" w:rsidP="006458EB">
            <w:pPr>
              <w:spacing w:after="0"/>
              <w:jc w:val="left"/>
              <w:rPr>
                <w:rFonts w:eastAsia="Times New Roman" w:cs="Times New Roman"/>
                <w:b/>
                <w:bCs/>
                <w:sz w:val="18"/>
                <w:szCs w:val="18"/>
                <w:lang w:val="sr-Cyrl-CS" w:eastAsia="sr-Latn-RS"/>
              </w:rPr>
            </w:pPr>
            <w:r w:rsidRPr="00092ED7">
              <w:rPr>
                <w:rFonts w:eastAsia="Times New Roman" w:cs="Times New Roman"/>
                <w:b/>
                <w:bCs/>
                <w:sz w:val="18"/>
                <w:szCs w:val="18"/>
                <w:lang w:val="sr-Cyrl-CS" w:eastAsia="sr-Latn-RS"/>
              </w:rPr>
              <w:t>СР 4. УНАПРЕЂЕЊЕ КВАЛИТЕТА ПРУЖАЊА ЈАВНИХ УСЛУГА КРОЗ ОПТИМИЗАЦИЈУ И ДИГИТАЛИЗАЦИЈУ АДМИНИСТРАТИВНИХ ПОСТУПАКА – е-ПАПИР</w:t>
            </w:r>
          </w:p>
        </w:tc>
      </w:tr>
      <w:tr w:rsidR="006458EB" w:rsidRPr="00092ED7" w14:paraId="1B999E01" w14:textId="77777777" w:rsidTr="004F56D8">
        <w:trPr>
          <w:trHeight w:val="1266"/>
        </w:trPr>
        <w:tc>
          <w:tcPr>
            <w:tcW w:w="560" w:type="dxa"/>
            <w:shd w:val="clear" w:color="auto" w:fill="auto"/>
            <w:noWrap/>
            <w:hideMark/>
          </w:tcPr>
          <w:p w14:paraId="02D6284B" w14:textId="77777777" w:rsidR="006458EB" w:rsidRPr="00092ED7" w:rsidRDefault="006458EB" w:rsidP="006458EB">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1.</w:t>
            </w:r>
          </w:p>
        </w:tc>
        <w:tc>
          <w:tcPr>
            <w:tcW w:w="4407" w:type="dxa"/>
            <w:shd w:val="clear" w:color="auto" w:fill="auto"/>
            <w:hideMark/>
          </w:tcPr>
          <w:p w14:paraId="6CD482E9" w14:textId="77777777" w:rsidR="006458EB" w:rsidRPr="00092ED7" w:rsidRDefault="006458EB" w:rsidP="006458EB">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Попис административних поступака за грађане</w:t>
            </w:r>
          </w:p>
        </w:tc>
        <w:tc>
          <w:tcPr>
            <w:tcW w:w="1701" w:type="dxa"/>
            <w:shd w:val="clear" w:color="auto" w:fill="auto"/>
            <w:hideMark/>
          </w:tcPr>
          <w:p w14:paraId="2FAF114B"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започето спровођење</w:t>
            </w:r>
          </w:p>
        </w:tc>
        <w:tc>
          <w:tcPr>
            <w:tcW w:w="3118" w:type="dxa"/>
            <w:shd w:val="clear" w:color="auto" w:fill="auto"/>
            <w:hideMark/>
          </w:tcPr>
          <w:p w14:paraId="6A374355"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Започет је попис административних поступака за грађане и у Регистар административних поступака унето је 453 поступака у надлежности 43 органа чији попис се спроводи у складу са утврђеном динамиком.</w:t>
            </w:r>
          </w:p>
        </w:tc>
        <w:tc>
          <w:tcPr>
            <w:tcW w:w="2410" w:type="dxa"/>
            <w:shd w:val="clear" w:color="auto" w:fill="auto"/>
            <w:hideMark/>
          </w:tcPr>
          <w:p w14:paraId="651F12F5"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74271D3D" w14:textId="10DA78CB" w:rsidR="006458EB" w:rsidRPr="00092ED7" w:rsidRDefault="006458EB" w:rsidP="007256C6">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РСЈП је одржао више састанака ради утврђивања листе поступака који ће бити предмет уписа, с обзиром да је са листе идентификованих поступака требало издвојити поступке који су већ били предмет пописа у делу за привреду, као и када се ради о спајању/раздвајању поступака. Такође, поједини ресори још увек нису укључени у попис. У овим ресорима, као препрека за њихово укључивање су се показали поступци који нису у директној надлежности самог министарства већ се спроводе као поверени послови или је министарство доносилац прописа, а спроводе их органи над којима одређено министарство нема довољну контролу (нпр спортски савези).</w:t>
            </w:r>
          </w:p>
        </w:tc>
      </w:tr>
      <w:tr w:rsidR="006458EB" w:rsidRPr="00092ED7" w14:paraId="0568CED9" w14:textId="77777777" w:rsidTr="004F56D8">
        <w:trPr>
          <w:trHeight w:val="1320"/>
        </w:trPr>
        <w:tc>
          <w:tcPr>
            <w:tcW w:w="560" w:type="dxa"/>
            <w:shd w:val="clear" w:color="auto" w:fill="auto"/>
            <w:noWrap/>
            <w:hideMark/>
          </w:tcPr>
          <w:p w14:paraId="6F4F551E" w14:textId="77777777" w:rsidR="006458EB" w:rsidRPr="00092ED7" w:rsidRDefault="006458EB" w:rsidP="006458EB">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2.</w:t>
            </w:r>
          </w:p>
        </w:tc>
        <w:tc>
          <w:tcPr>
            <w:tcW w:w="4407" w:type="dxa"/>
            <w:shd w:val="clear" w:color="auto" w:fill="auto"/>
            <w:hideMark/>
          </w:tcPr>
          <w:p w14:paraId="5181480C" w14:textId="77777777" w:rsidR="006458EB" w:rsidRPr="00092ED7" w:rsidRDefault="006458EB" w:rsidP="006458EB">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Попис административних захтева и осталих услова пословања</w:t>
            </w:r>
          </w:p>
        </w:tc>
        <w:tc>
          <w:tcPr>
            <w:tcW w:w="1701" w:type="dxa"/>
            <w:shd w:val="clear" w:color="auto" w:fill="auto"/>
            <w:hideMark/>
          </w:tcPr>
          <w:p w14:paraId="67B5E0C7"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започето спровођење</w:t>
            </w:r>
          </w:p>
        </w:tc>
        <w:tc>
          <w:tcPr>
            <w:tcW w:w="3118" w:type="dxa"/>
            <w:shd w:val="clear" w:color="auto" w:fill="auto"/>
            <w:hideMark/>
          </w:tcPr>
          <w:p w14:paraId="477D2C20" w14:textId="2499AB89" w:rsidR="006458EB" w:rsidRPr="00092ED7" w:rsidRDefault="009A1A93"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xml:space="preserve">Одржано је </w:t>
            </w:r>
            <w:r w:rsidR="00081DFC" w:rsidRPr="00092ED7">
              <w:rPr>
                <w:rFonts w:eastAsia="Times New Roman" w:cs="Times New Roman"/>
                <w:color w:val="000000"/>
                <w:sz w:val="18"/>
                <w:szCs w:val="18"/>
                <w:lang w:val="sr-Cyrl-CS" w:eastAsia="sr-Latn-RS"/>
              </w:rPr>
              <w:t xml:space="preserve">седам </w:t>
            </w:r>
            <w:r w:rsidR="006458EB" w:rsidRPr="00092ED7">
              <w:rPr>
                <w:rFonts w:eastAsia="Times New Roman" w:cs="Times New Roman"/>
                <w:color w:val="000000"/>
                <w:sz w:val="18"/>
                <w:szCs w:val="18"/>
                <w:lang w:val="sr-Cyrl-CS" w:eastAsia="sr-Latn-RS"/>
              </w:rPr>
              <w:t xml:space="preserve">обука за попис административних захтева у периоду март-јул 2022. године. Обукама је обухваћено 30 инспекција у надлежности 12 органа државне управе. Припремљене су прелиминарне листе и креирани </w:t>
            </w:r>
            <w:r w:rsidR="006458EB" w:rsidRPr="00092ED7">
              <w:rPr>
                <w:rFonts w:eastAsia="Times New Roman" w:cs="Times New Roman"/>
                <w:color w:val="000000"/>
                <w:sz w:val="18"/>
                <w:szCs w:val="18"/>
                <w:lang w:val="sr-Cyrl-CS" w:eastAsia="sr-Latn-RS"/>
              </w:rPr>
              <w:lastRenderedPageBreak/>
              <w:t xml:space="preserve">обрасци за попис административних захтева за 327 административних захтева из надлежности </w:t>
            </w:r>
            <w:r w:rsidR="00081DFC" w:rsidRPr="00092ED7">
              <w:rPr>
                <w:rFonts w:eastAsia="Times New Roman" w:cs="Times New Roman"/>
                <w:color w:val="000000"/>
                <w:sz w:val="18"/>
                <w:szCs w:val="18"/>
                <w:lang w:val="sr-Cyrl-CS" w:eastAsia="sr-Latn-RS"/>
              </w:rPr>
              <w:t xml:space="preserve">пет </w:t>
            </w:r>
            <w:r w:rsidR="006458EB" w:rsidRPr="00092ED7">
              <w:rPr>
                <w:rFonts w:eastAsia="Times New Roman" w:cs="Times New Roman"/>
                <w:color w:val="000000"/>
                <w:sz w:val="18"/>
                <w:szCs w:val="18"/>
                <w:lang w:val="sr-Cyrl-CS" w:eastAsia="sr-Latn-RS"/>
              </w:rPr>
              <w:t xml:space="preserve">органа. </w:t>
            </w:r>
          </w:p>
        </w:tc>
        <w:tc>
          <w:tcPr>
            <w:tcW w:w="2410" w:type="dxa"/>
            <w:shd w:val="clear" w:color="auto" w:fill="auto"/>
            <w:hideMark/>
          </w:tcPr>
          <w:p w14:paraId="2812AECE"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lastRenderedPageBreak/>
              <w:t> </w:t>
            </w:r>
          </w:p>
        </w:tc>
        <w:tc>
          <w:tcPr>
            <w:tcW w:w="2693" w:type="dxa"/>
            <w:shd w:val="clear" w:color="auto" w:fill="auto"/>
            <w:hideMark/>
          </w:tcPr>
          <w:p w14:paraId="6FC8CCE1"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6458EB" w:rsidRPr="00092ED7" w14:paraId="5B3A7ED2" w14:textId="77777777" w:rsidTr="004F56D8">
        <w:trPr>
          <w:trHeight w:val="2117"/>
        </w:trPr>
        <w:tc>
          <w:tcPr>
            <w:tcW w:w="560" w:type="dxa"/>
            <w:shd w:val="clear" w:color="auto" w:fill="auto"/>
            <w:noWrap/>
            <w:hideMark/>
          </w:tcPr>
          <w:p w14:paraId="20D41F18" w14:textId="77777777" w:rsidR="006458EB" w:rsidRPr="00092ED7" w:rsidRDefault="006458EB" w:rsidP="006458EB">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3.</w:t>
            </w:r>
          </w:p>
        </w:tc>
        <w:tc>
          <w:tcPr>
            <w:tcW w:w="4407" w:type="dxa"/>
            <w:shd w:val="clear" w:color="auto" w:fill="auto"/>
            <w:hideMark/>
          </w:tcPr>
          <w:p w14:paraId="04B9A168" w14:textId="77777777" w:rsidR="006458EB" w:rsidRPr="00092ED7" w:rsidRDefault="006458EB" w:rsidP="006458EB">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Оптимизација административних поступака за привреду и грађане</w:t>
            </w:r>
          </w:p>
        </w:tc>
        <w:tc>
          <w:tcPr>
            <w:tcW w:w="1701" w:type="dxa"/>
            <w:shd w:val="clear" w:color="auto" w:fill="auto"/>
            <w:hideMark/>
          </w:tcPr>
          <w:p w14:paraId="6071C368"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наставак спровођења са почетним резултатима</w:t>
            </w:r>
          </w:p>
        </w:tc>
        <w:tc>
          <w:tcPr>
            <w:tcW w:w="3118" w:type="dxa"/>
            <w:shd w:val="clear" w:color="auto" w:fill="auto"/>
            <w:hideMark/>
          </w:tcPr>
          <w:p w14:paraId="07626891" w14:textId="77777777" w:rsidR="009349ED" w:rsidRPr="00092ED7" w:rsidRDefault="006458EB" w:rsidP="009349ED">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У првој половини 2022. године оптимизовано је додатних 43 поступка за привреду.</w:t>
            </w:r>
          </w:p>
          <w:p w14:paraId="655238D9" w14:textId="77777777" w:rsidR="009349ED" w:rsidRPr="00092ED7" w:rsidRDefault="006458EB" w:rsidP="009349ED">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Започет је рад на припреми Предлога програма еПапир 2022-2025 који ће обухватити оптимизацију административних поступака за привреду и грађане.</w:t>
            </w:r>
          </w:p>
          <w:p w14:paraId="1E5BC330" w14:textId="77777777" w:rsidR="006458EB" w:rsidRPr="00092ED7" w:rsidRDefault="006458EB" w:rsidP="009349ED">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Припремљене су препоруке за оптимизацију 50 поступака за грађане и 300 за привреду које су усаглашене или у процесу усаглашавања са органима и требало да буду део наредног Програма и Акционог плана еПАПИР.</w:t>
            </w:r>
          </w:p>
        </w:tc>
        <w:tc>
          <w:tcPr>
            <w:tcW w:w="2410" w:type="dxa"/>
            <w:shd w:val="clear" w:color="auto" w:fill="auto"/>
            <w:hideMark/>
          </w:tcPr>
          <w:p w14:paraId="415BC08F"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77F709A9"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6458EB" w:rsidRPr="00092ED7" w14:paraId="73974B1B" w14:textId="77777777" w:rsidTr="004F56D8">
        <w:trPr>
          <w:trHeight w:val="1584"/>
        </w:trPr>
        <w:tc>
          <w:tcPr>
            <w:tcW w:w="560" w:type="dxa"/>
            <w:shd w:val="clear" w:color="auto" w:fill="auto"/>
            <w:noWrap/>
            <w:hideMark/>
          </w:tcPr>
          <w:p w14:paraId="6E2023D0" w14:textId="77777777" w:rsidR="006458EB" w:rsidRPr="00092ED7" w:rsidRDefault="006458EB" w:rsidP="006458EB">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4.</w:t>
            </w:r>
          </w:p>
        </w:tc>
        <w:tc>
          <w:tcPr>
            <w:tcW w:w="4407" w:type="dxa"/>
            <w:shd w:val="clear" w:color="auto" w:fill="auto"/>
            <w:hideMark/>
          </w:tcPr>
          <w:p w14:paraId="620AE77C" w14:textId="77777777" w:rsidR="006458EB" w:rsidRPr="00092ED7" w:rsidRDefault="006458EB" w:rsidP="006458EB">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Дигитализација административних поступака за привреду и грађане</w:t>
            </w:r>
          </w:p>
        </w:tc>
        <w:tc>
          <w:tcPr>
            <w:tcW w:w="1701" w:type="dxa"/>
            <w:shd w:val="clear" w:color="auto" w:fill="auto"/>
            <w:hideMark/>
          </w:tcPr>
          <w:p w14:paraId="575F62E0"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наставак спровођења са почетним резултатима</w:t>
            </w:r>
          </w:p>
        </w:tc>
        <w:tc>
          <w:tcPr>
            <w:tcW w:w="3118" w:type="dxa"/>
            <w:shd w:val="clear" w:color="auto" w:fill="auto"/>
            <w:hideMark/>
          </w:tcPr>
          <w:p w14:paraId="01611B9F" w14:textId="77777777" w:rsidR="009349ED" w:rsidRPr="00092ED7" w:rsidRDefault="006458EB" w:rsidP="009349ED">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У првој половини 2022. године дигитализовано и доступно на Порталу још 25 поступка тј електронскх услуга за привреду.</w:t>
            </w:r>
          </w:p>
          <w:p w14:paraId="056D59FD" w14:textId="0CF917A9" w:rsidR="006458EB" w:rsidRPr="00092ED7" w:rsidRDefault="006458EB" w:rsidP="009349ED">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xml:space="preserve">Издвојено је 30 поступака за грађане чија ће дигитализација бити припремљена кроз израду to-be процесних мапа. Планирана је дигитализација </w:t>
            </w:r>
            <w:r w:rsidR="00081DFC" w:rsidRPr="00092ED7">
              <w:rPr>
                <w:rFonts w:eastAsia="Times New Roman" w:cs="Times New Roman"/>
                <w:color w:val="000000"/>
                <w:sz w:val="18"/>
                <w:szCs w:val="18"/>
                <w:lang w:val="sr-Cyrl-CS" w:eastAsia="sr-Latn-RS"/>
              </w:rPr>
              <w:t xml:space="preserve">два </w:t>
            </w:r>
            <w:r w:rsidRPr="00092ED7">
              <w:rPr>
                <w:rFonts w:eastAsia="Times New Roman" w:cs="Times New Roman"/>
                <w:color w:val="000000"/>
                <w:sz w:val="18"/>
                <w:szCs w:val="18"/>
                <w:lang w:val="sr-Cyrl-CS" w:eastAsia="sr-Latn-RS"/>
              </w:rPr>
              <w:t>поступка (quick win): Издавање путног листа и Издавање пробне возачке дозволе.</w:t>
            </w:r>
          </w:p>
        </w:tc>
        <w:tc>
          <w:tcPr>
            <w:tcW w:w="2410" w:type="dxa"/>
            <w:shd w:val="clear" w:color="auto" w:fill="auto"/>
            <w:hideMark/>
          </w:tcPr>
          <w:p w14:paraId="4F21ED5E"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639C05CC"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Ради оптимизације и припреме за дигитализацију 2 поступка који су одабрани као quick win потребна је сарадња више органа који учествују у процесу, сагласност око измена прописа, као и међусобна размена података. У том циљу, креиране су 2 радне групе.</w:t>
            </w:r>
          </w:p>
        </w:tc>
      </w:tr>
      <w:tr w:rsidR="006458EB" w:rsidRPr="00092ED7" w14:paraId="18A017B7" w14:textId="77777777" w:rsidTr="004F56D8">
        <w:trPr>
          <w:trHeight w:val="1860"/>
        </w:trPr>
        <w:tc>
          <w:tcPr>
            <w:tcW w:w="560" w:type="dxa"/>
            <w:shd w:val="clear" w:color="auto" w:fill="auto"/>
            <w:noWrap/>
            <w:hideMark/>
          </w:tcPr>
          <w:p w14:paraId="0E294F83" w14:textId="77777777" w:rsidR="006458EB" w:rsidRPr="00092ED7" w:rsidRDefault="006458EB" w:rsidP="006458EB">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5.</w:t>
            </w:r>
          </w:p>
        </w:tc>
        <w:tc>
          <w:tcPr>
            <w:tcW w:w="4407" w:type="dxa"/>
            <w:shd w:val="clear" w:color="auto" w:fill="auto"/>
            <w:hideMark/>
          </w:tcPr>
          <w:p w14:paraId="61DBFC13" w14:textId="77777777" w:rsidR="006458EB" w:rsidRPr="00092ED7" w:rsidRDefault="006458EB" w:rsidP="006458EB">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Унапређење Регистра административних поступака</w:t>
            </w:r>
          </w:p>
        </w:tc>
        <w:tc>
          <w:tcPr>
            <w:tcW w:w="1701" w:type="dxa"/>
            <w:shd w:val="clear" w:color="auto" w:fill="auto"/>
            <w:hideMark/>
          </w:tcPr>
          <w:p w14:paraId="4F625A8A"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започето спровођење</w:t>
            </w:r>
          </w:p>
        </w:tc>
        <w:tc>
          <w:tcPr>
            <w:tcW w:w="3118" w:type="dxa"/>
            <w:shd w:val="clear" w:color="auto" w:fill="auto"/>
            <w:hideMark/>
          </w:tcPr>
          <w:p w14:paraId="0B3840B8"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xml:space="preserve">Активности на унапређењу се спроводе континуирано. Успостављени су модули за попис поступака за грађане и административне захтеве. Када је реч о попису административних захтева, успостављена су два модула – за попис административних захтева који се односе на документацију, и попис административних захтева </w:t>
            </w:r>
            <w:r w:rsidRPr="00092ED7">
              <w:rPr>
                <w:rFonts w:eastAsia="Times New Roman" w:cs="Times New Roman"/>
                <w:color w:val="000000"/>
                <w:sz w:val="18"/>
                <w:szCs w:val="18"/>
                <w:lang w:val="sr-Cyrl-CS" w:eastAsia="sr-Latn-RS"/>
              </w:rPr>
              <w:lastRenderedPageBreak/>
              <w:t>који се односе на остале услове пословања. У току је припрема модула за попис поступака јединица локалне самоуправе.</w:t>
            </w:r>
          </w:p>
        </w:tc>
        <w:tc>
          <w:tcPr>
            <w:tcW w:w="2410" w:type="dxa"/>
            <w:shd w:val="clear" w:color="auto" w:fill="auto"/>
            <w:hideMark/>
          </w:tcPr>
          <w:p w14:paraId="08178B7E"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lastRenderedPageBreak/>
              <w:t> </w:t>
            </w:r>
          </w:p>
        </w:tc>
        <w:tc>
          <w:tcPr>
            <w:tcW w:w="2693" w:type="dxa"/>
            <w:shd w:val="clear" w:color="auto" w:fill="auto"/>
            <w:hideMark/>
          </w:tcPr>
          <w:p w14:paraId="0A4F208B"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6458EB" w:rsidRPr="00092ED7" w14:paraId="089FB786" w14:textId="77777777" w:rsidTr="004F56D8">
        <w:trPr>
          <w:trHeight w:val="360"/>
        </w:trPr>
        <w:tc>
          <w:tcPr>
            <w:tcW w:w="560" w:type="dxa"/>
            <w:shd w:val="clear" w:color="auto" w:fill="auto"/>
            <w:hideMark/>
          </w:tcPr>
          <w:p w14:paraId="50BA8931" w14:textId="77777777" w:rsidR="006458EB" w:rsidRPr="00092ED7" w:rsidRDefault="006458EB" w:rsidP="006458EB">
            <w:pPr>
              <w:spacing w:after="0"/>
              <w:jc w:val="left"/>
              <w:rPr>
                <w:rFonts w:eastAsia="Times New Roman" w:cs="Times New Roman"/>
                <w:color w:val="000000"/>
                <w:sz w:val="18"/>
                <w:szCs w:val="18"/>
                <w:lang w:val="sr-Cyrl-CS" w:eastAsia="sr-Latn-RS"/>
              </w:rPr>
            </w:pPr>
          </w:p>
        </w:tc>
        <w:tc>
          <w:tcPr>
            <w:tcW w:w="4407" w:type="dxa"/>
            <w:shd w:val="clear" w:color="auto" w:fill="auto"/>
            <w:hideMark/>
          </w:tcPr>
          <w:p w14:paraId="1F2E021B" w14:textId="77777777" w:rsidR="006458EB" w:rsidRPr="00092ED7" w:rsidRDefault="006458EB" w:rsidP="006458EB">
            <w:pPr>
              <w:spacing w:after="0"/>
              <w:jc w:val="left"/>
              <w:rPr>
                <w:rFonts w:eastAsia="Times New Roman" w:cs="Times New Roman"/>
                <w:sz w:val="18"/>
                <w:szCs w:val="18"/>
                <w:lang w:val="sr-Cyrl-CS" w:eastAsia="sr-Latn-RS"/>
              </w:rPr>
            </w:pPr>
          </w:p>
        </w:tc>
        <w:tc>
          <w:tcPr>
            <w:tcW w:w="1701" w:type="dxa"/>
            <w:shd w:val="clear" w:color="000000" w:fill="BDD7EE"/>
            <w:noWrap/>
            <w:vAlign w:val="bottom"/>
            <w:hideMark/>
          </w:tcPr>
          <w:p w14:paraId="43138F77" w14:textId="77777777" w:rsidR="006458EB" w:rsidRPr="00092ED7" w:rsidRDefault="006458EB" w:rsidP="006458EB">
            <w:pPr>
              <w:spacing w:after="0"/>
              <w:jc w:val="center"/>
              <w:rPr>
                <w:rFonts w:eastAsia="Times New Roman" w:cs="Times New Roman"/>
                <w:sz w:val="28"/>
                <w:szCs w:val="28"/>
                <w:lang w:val="sr-Cyrl-CS" w:eastAsia="sr-Latn-RS"/>
              </w:rPr>
            </w:pPr>
            <w:r w:rsidRPr="00092ED7">
              <w:rPr>
                <w:rFonts w:eastAsia="Times New Roman" w:cs="Times New Roman"/>
                <w:sz w:val="28"/>
                <w:szCs w:val="28"/>
                <w:lang w:val="sr-Cyrl-CS" w:eastAsia="sr-Latn-RS"/>
              </w:rPr>
              <w:t>48%</w:t>
            </w:r>
          </w:p>
        </w:tc>
        <w:tc>
          <w:tcPr>
            <w:tcW w:w="3118" w:type="dxa"/>
            <w:shd w:val="clear" w:color="auto" w:fill="auto"/>
            <w:noWrap/>
            <w:hideMark/>
          </w:tcPr>
          <w:p w14:paraId="607390E9" w14:textId="77777777" w:rsidR="006458EB" w:rsidRPr="00092ED7" w:rsidRDefault="006458EB" w:rsidP="006458EB">
            <w:pPr>
              <w:spacing w:after="0"/>
              <w:jc w:val="center"/>
              <w:rPr>
                <w:rFonts w:eastAsia="Times New Roman" w:cs="Times New Roman"/>
                <w:sz w:val="18"/>
                <w:szCs w:val="18"/>
                <w:lang w:val="sr-Cyrl-CS" w:eastAsia="sr-Latn-RS"/>
              </w:rPr>
            </w:pPr>
          </w:p>
        </w:tc>
        <w:tc>
          <w:tcPr>
            <w:tcW w:w="2410" w:type="dxa"/>
            <w:shd w:val="clear" w:color="auto" w:fill="auto"/>
            <w:noWrap/>
            <w:hideMark/>
          </w:tcPr>
          <w:p w14:paraId="4C8B1BD3" w14:textId="77777777" w:rsidR="006458EB" w:rsidRPr="00092ED7" w:rsidRDefault="006458EB" w:rsidP="006458EB">
            <w:pPr>
              <w:spacing w:after="0"/>
              <w:jc w:val="left"/>
              <w:rPr>
                <w:rFonts w:eastAsia="Times New Roman" w:cs="Times New Roman"/>
                <w:sz w:val="18"/>
                <w:szCs w:val="18"/>
                <w:lang w:val="sr-Cyrl-CS" w:eastAsia="sr-Latn-RS"/>
              </w:rPr>
            </w:pPr>
          </w:p>
        </w:tc>
        <w:tc>
          <w:tcPr>
            <w:tcW w:w="2693" w:type="dxa"/>
            <w:shd w:val="clear" w:color="auto" w:fill="auto"/>
            <w:noWrap/>
            <w:hideMark/>
          </w:tcPr>
          <w:p w14:paraId="0FB75E0C" w14:textId="77777777" w:rsidR="006458EB" w:rsidRPr="00092ED7" w:rsidRDefault="006458EB" w:rsidP="006458EB">
            <w:pPr>
              <w:spacing w:after="0"/>
              <w:jc w:val="left"/>
              <w:rPr>
                <w:rFonts w:eastAsia="Times New Roman" w:cs="Times New Roman"/>
                <w:sz w:val="18"/>
                <w:szCs w:val="18"/>
                <w:lang w:val="sr-Cyrl-CS" w:eastAsia="sr-Latn-RS"/>
              </w:rPr>
            </w:pPr>
          </w:p>
        </w:tc>
      </w:tr>
      <w:tr w:rsidR="009349ED" w:rsidRPr="00092ED7" w14:paraId="7C9698B4" w14:textId="77777777" w:rsidTr="004F56D8">
        <w:trPr>
          <w:trHeight w:val="360"/>
        </w:trPr>
        <w:tc>
          <w:tcPr>
            <w:tcW w:w="560" w:type="dxa"/>
            <w:shd w:val="clear" w:color="auto" w:fill="D9D9D9" w:themeFill="background1" w:themeFillShade="D9"/>
            <w:noWrap/>
            <w:hideMark/>
          </w:tcPr>
          <w:p w14:paraId="725035E4" w14:textId="77777777" w:rsidR="009349ED" w:rsidRPr="00092ED7" w:rsidRDefault="009349ED"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14329" w:type="dxa"/>
            <w:gridSpan w:val="5"/>
            <w:shd w:val="clear" w:color="auto" w:fill="D9D9D9" w:themeFill="background1" w:themeFillShade="D9"/>
            <w:noWrap/>
            <w:vAlign w:val="center"/>
            <w:hideMark/>
          </w:tcPr>
          <w:p w14:paraId="0A305E19" w14:textId="77777777" w:rsidR="009349ED" w:rsidRPr="00092ED7" w:rsidRDefault="009349ED" w:rsidP="006458EB">
            <w:pPr>
              <w:spacing w:after="0"/>
              <w:jc w:val="left"/>
              <w:rPr>
                <w:rFonts w:eastAsia="Times New Roman" w:cs="Times New Roman"/>
                <w:b/>
                <w:bCs/>
                <w:sz w:val="18"/>
                <w:szCs w:val="18"/>
                <w:lang w:val="sr-Cyrl-CS" w:eastAsia="sr-Latn-RS"/>
              </w:rPr>
            </w:pPr>
            <w:r w:rsidRPr="00092ED7">
              <w:rPr>
                <w:rFonts w:eastAsia="Times New Roman" w:cs="Times New Roman"/>
                <w:b/>
                <w:bCs/>
                <w:sz w:val="18"/>
                <w:szCs w:val="18"/>
                <w:lang w:val="sr-Cyrl-CS" w:eastAsia="sr-Latn-RS"/>
              </w:rPr>
              <w:t>СР 5. ОДРЖИВО И ЕФИКАСНО УПРАВЉАЊЕ ПРИВРЕДНИМ СУБЈЕКТИМА У ВЛАСНИШТВУ РЕПУБЛИКЕ СРБИЈЕ</w:t>
            </w:r>
          </w:p>
        </w:tc>
      </w:tr>
      <w:tr w:rsidR="006458EB" w:rsidRPr="00092ED7" w14:paraId="4FFE2BFB" w14:textId="77777777" w:rsidTr="004F56D8">
        <w:trPr>
          <w:trHeight w:val="1356"/>
        </w:trPr>
        <w:tc>
          <w:tcPr>
            <w:tcW w:w="560" w:type="dxa"/>
            <w:shd w:val="clear" w:color="auto" w:fill="auto"/>
            <w:noWrap/>
            <w:hideMark/>
          </w:tcPr>
          <w:p w14:paraId="386D375D" w14:textId="77777777" w:rsidR="006458EB" w:rsidRPr="00092ED7" w:rsidRDefault="006458EB" w:rsidP="006458EB">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1.</w:t>
            </w:r>
          </w:p>
        </w:tc>
        <w:tc>
          <w:tcPr>
            <w:tcW w:w="4407" w:type="dxa"/>
            <w:shd w:val="clear" w:color="auto" w:fill="auto"/>
            <w:hideMark/>
          </w:tcPr>
          <w:p w14:paraId="50F1BBEF" w14:textId="77777777" w:rsidR="006458EB" w:rsidRPr="00092ED7" w:rsidRDefault="006458EB" w:rsidP="006458EB">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Анализа прописа, које примењују ПСРС и израда и усвајање новог правног оквира</w:t>
            </w:r>
          </w:p>
        </w:tc>
        <w:tc>
          <w:tcPr>
            <w:tcW w:w="1701" w:type="dxa"/>
            <w:shd w:val="clear" w:color="auto" w:fill="auto"/>
            <w:hideMark/>
          </w:tcPr>
          <w:p w14:paraId="64C38ECC"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напредак у спровођењу</w:t>
            </w:r>
          </w:p>
        </w:tc>
        <w:tc>
          <w:tcPr>
            <w:tcW w:w="3118" w:type="dxa"/>
            <w:shd w:val="clear" w:color="auto" w:fill="auto"/>
            <w:hideMark/>
          </w:tcPr>
          <w:p w14:paraId="3D4A132F"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Припремљен је Нацрт Закона о управљању привредним друштвима која су у власништву Републике Србије и донет закључак о покретању јавне расправе, која је трајала до 20. децембра 2022. године, након чега се очекује усвајање од стране Владе и прослеђивање Предлога закона Скупштини Републике Србије на усвајање.</w:t>
            </w:r>
          </w:p>
        </w:tc>
        <w:tc>
          <w:tcPr>
            <w:tcW w:w="2410" w:type="dxa"/>
            <w:shd w:val="clear" w:color="auto" w:fill="auto"/>
            <w:hideMark/>
          </w:tcPr>
          <w:p w14:paraId="5DCEBB34"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5EF09E85"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6458EB" w:rsidRPr="00092ED7" w14:paraId="5541B7EB" w14:textId="77777777" w:rsidTr="004F56D8">
        <w:trPr>
          <w:trHeight w:val="528"/>
        </w:trPr>
        <w:tc>
          <w:tcPr>
            <w:tcW w:w="560" w:type="dxa"/>
            <w:shd w:val="clear" w:color="auto" w:fill="auto"/>
            <w:noWrap/>
            <w:hideMark/>
          </w:tcPr>
          <w:p w14:paraId="64EA29F4" w14:textId="77777777" w:rsidR="006458EB" w:rsidRPr="00092ED7" w:rsidRDefault="006458EB" w:rsidP="006458EB">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2.</w:t>
            </w:r>
          </w:p>
        </w:tc>
        <w:tc>
          <w:tcPr>
            <w:tcW w:w="4407" w:type="dxa"/>
            <w:shd w:val="clear" w:color="auto" w:fill="auto"/>
            <w:hideMark/>
          </w:tcPr>
          <w:p w14:paraId="06585374" w14:textId="77777777" w:rsidR="006458EB" w:rsidRPr="00092ED7" w:rsidRDefault="006458EB" w:rsidP="006458EB">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Успостављање централизоване базе података свих ПСРС и извршена класификација ПСРС</w:t>
            </w:r>
          </w:p>
        </w:tc>
        <w:tc>
          <w:tcPr>
            <w:tcW w:w="1701" w:type="dxa"/>
            <w:shd w:val="clear" w:color="auto" w:fill="auto"/>
            <w:hideMark/>
          </w:tcPr>
          <w:p w14:paraId="05864C81"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потпуно спроведене</w:t>
            </w:r>
          </w:p>
        </w:tc>
        <w:tc>
          <w:tcPr>
            <w:tcW w:w="3118" w:type="dxa"/>
            <w:shd w:val="clear" w:color="auto" w:fill="auto"/>
            <w:hideMark/>
          </w:tcPr>
          <w:p w14:paraId="0C31AFA8"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410" w:type="dxa"/>
            <w:shd w:val="clear" w:color="auto" w:fill="auto"/>
            <w:hideMark/>
          </w:tcPr>
          <w:p w14:paraId="692C7BBF"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6A9445AC"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6458EB" w:rsidRPr="00092ED7" w14:paraId="61A90398" w14:textId="77777777" w:rsidTr="004F56D8">
        <w:trPr>
          <w:trHeight w:val="732"/>
        </w:trPr>
        <w:tc>
          <w:tcPr>
            <w:tcW w:w="560" w:type="dxa"/>
            <w:shd w:val="clear" w:color="auto" w:fill="auto"/>
            <w:noWrap/>
            <w:hideMark/>
          </w:tcPr>
          <w:p w14:paraId="55398371" w14:textId="77777777" w:rsidR="006458EB" w:rsidRPr="00092ED7" w:rsidRDefault="006458EB" w:rsidP="006458EB">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3.</w:t>
            </w:r>
          </w:p>
        </w:tc>
        <w:tc>
          <w:tcPr>
            <w:tcW w:w="4407" w:type="dxa"/>
            <w:shd w:val="clear" w:color="auto" w:fill="auto"/>
            <w:hideMark/>
          </w:tcPr>
          <w:p w14:paraId="1A74746C" w14:textId="77777777" w:rsidR="006458EB" w:rsidRPr="00092ED7" w:rsidRDefault="006458EB" w:rsidP="006458EB">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Анализа стања за успостављање јединственог система за корпоративно управљање у ПСРС</w:t>
            </w:r>
          </w:p>
        </w:tc>
        <w:tc>
          <w:tcPr>
            <w:tcW w:w="1701" w:type="dxa"/>
            <w:shd w:val="clear" w:color="auto" w:fill="auto"/>
            <w:hideMark/>
          </w:tcPr>
          <w:p w14:paraId="00A31C12"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потпуно спроведене</w:t>
            </w:r>
          </w:p>
        </w:tc>
        <w:tc>
          <w:tcPr>
            <w:tcW w:w="3118" w:type="dxa"/>
            <w:shd w:val="clear" w:color="auto" w:fill="auto"/>
            <w:vAlign w:val="bottom"/>
            <w:hideMark/>
          </w:tcPr>
          <w:p w14:paraId="0C7880EF"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Извршено је обједињавање података из различитих извора о ПСРС, чему је претходило достављање упитника о подацима ових субјеката, као и упитника за прикупљање додатних информација о управљачким праксама ПСРС</w:t>
            </w:r>
          </w:p>
        </w:tc>
        <w:tc>
          <w:tcPr>
            <w:tcW w:w="2410" w:type="dxa"/>
            <w:shd w:val="clear" w:color="auto" w:fill="auto"/>
            <w:hideMark/>
          </w:tcPr>
          <w:p w14:paraId="05F7129E"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7291E271"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6458EB" w:rsidRPr="00092ED7" w14:paraId="5C269936" w14:textId="77777777" w:rsidTr="004F56D8">
        <w:trPr>
          <w:trHeight w:val="360"/>
        </w:trPr>
        <w:tc>
          <w:tcPr>
            <w:tcW w:w="560" w:type="dxa"/>
            <w:shd w:val="clear" w:color="auto" w:fill="auto"/>
            <w:hideMark/>
          </w:tcPr>
          <w:p w14:paraId="2BFBCE17" w14:textId="77777777" w:rsidR="006458EB" w:rsidRPr="00092ED7" w:rsidRDefault="006458EB" w:rsidP="006458EB">
            <w:pPr>
              <w:spacing w:after="0"/>
              <w:jc w:val="left"/>
              <w:rPr>
                <w:rFonts w:eastAsia="Times New Roman" w:cs="Times New Roman"/>
                <w:color w:val="000000"/>
                <w:sz w:val="18"/>
                <w:szCs w:val="18"/>
                <w:lang w:val="sr-Cyrl-CS" w:eastAsia="sr-Latn-RS"/>
              </w:rPr>
            </w:pPr>
          </w:p>
        </w:tc>
        <w:tc>
          <w:tcPr>
            <w:tcW w:w="4407" w:type="dxa"/>
            <w:shd w:val="clear" w:color="auto" w:fill="auto"/>
            <w:hideMark/>
          </w:tcPr>
          <w:p w14:paraId="761E0319" w14:textId="77777777" w:rsidR="006458EB" w:rsidRPr="00092ED7" w:rsidRDefault="006458EB" w:rsidP="006458EB">
            <w:pPr>
              <w:spacing w:after="0"/>
              <w:jc w:val="left"/>
              <w:rPr>
                <w:rFonts w:eastAsia="Times New Roman" w:cs="Times New Roman"/>
                <w:sz w:val="18"/>
                <w:szCs w:val="18"/>
                <w:lang w:val="sr-Cyrl-CS" w:eastAsia="sr-Latn-RS"/>
              </w:rPr>
            </w:pPr>
          </w:p>
        </w:tc>
        <w:tc>
          <w:tcPr>
            <w:tcW w:w="1701" w:type="dxa"/>
            <w:shd w:val="clear" w:color="000000" w:fill="BDD7EE"/>
            <w:noWrap/>
            <w:vAlign w:val="bottom"/>
            <w:hideMark/>
          </w:tcPr>
          <w:p w14:paraId="7869BF81" w14:textId="77777777" w:rsidR="006458EB" w:rsidRPr="00092ED7" w:rsidRDefault="006458EB" w:rsidP="006458EB">
            <w:pPr>
              <w:spacing w:after="0"/>
              <w:jc w:val="center"/>
              <w:rPr>
                <w:rFonts w:eastAsia="Times New Roman" w:cs="Times New Roman"/>
                <w:sz w:val="28"/>
                <w:szCs w:val="28"/>
                <w:lang w:val="sr-Cyrl-CS" w:eastAsia="sr-Latn-RS"/>
              </w:rPr>
            </w:pPr>
            <w:r w:rsidRPr="00092ED7">
              <w:rPr>
                <w:rFonts w:eastAsia="Times New Roman" w:cs="Times New Roman"/>
                <w:sz w:val="28"/>
                <w:szCs w:val="28"/>
                <w:lang w:val="sr-Cyrl-CS" w:eastAsia="sr-Latn-RS"/>
              </w:rPr>
              <w:t>93%</w:t>
            </w:r>
          </w:p>
        </w:tc>
        <w:tc>
          <w:tcPr>
            <w:tcW w:w="3118" w:type="dxa"/>
            <w:shd w:val="clear" w:color="auto" w:fill="auto"/>
            <w:noWrap/>
            <w:hideMark/>
          </w:tcPr>
          <w:p w14:paraId="0BE4A796" w14:textId="77777777" w:rsidR="006458EB" w:rsidRPr="00092ED7" w:rsidRDefault="006458EB" w:rsidP="006458EB">
            <w:pPr>
              <w:spacing w:after="0"/>
              <w:jc w:val="center"/>
              <w:rPr>
                <w:rFonts w:eastAsia="Times New Roman" w:cs="Times New Roman"/>
                <w:sz w:val="18"/>
                <w:szCs w:val="18"/>
                <w:lang w:val="sr-Cyrl-CS" w:eastAsia="sr-Latn-RS"/>
              </w:rPr>
            </w:pPr>
          </w:p>
        </w:tc>
        <w:tc>
          <w:tcPr>
            <w:tcW w:w="2410" w:type="dxa"/>
            <w:shd w:val="clear" w:color="auto" w:fill="auto"/>
            <w:noWrap/>
            <w:hideMark/>
          </w:tcPr>
          <w:p w14:paraId="5DFDD25F" w14:textId="77777777" w:rsidR="006458EB" w:rsidRPr="00092ED7" w:rsidRDefault="006458EB" w:rsidP="006458EB">
            <w:pPr>
              <w:spacing w:after="0"/>
              <w:jc w:val="left"/>
              <w:rPr>
                <w:rFonts w:eastAsia="Times New Roman" w:cs="Times New Roman"/>
                <w:sz w:val="18"/>
                <w:szCs w:val="18"/>
                <w:lang w:val="sr-Cyrl-CS" w:eastAsia="sr-Latn-RS"/>
              </w:rPr>
            </w:pPr>
          </w:p>
        </w:tc>
        <w:tc>
          <w:tcPr>
            <w:tcW w:w="2693" w:type="dxa"/>
            <w:shd w:val="clear" w:color="auto" w:fill="auto"/>
            <w:noWrap/>
            <w:hideMark/>
          </w:tcPr>
          <w:p w14:paraId="6D7C7F25" w14:textId="77777777" w:rsidR="006458EB" w:rsidRPr="00092ED7" w:rsidRDefault="006458EB" w:rsidP="006458EB">
            <w:pPr>
              <w:spacing w:after="0"/>
              <w:jc w:val="left"/>
              <w:rPr>
                <w:rFonts w:eastAsia="Times New Roman" w:cs="Times New Roman"/>
                <w:sz w:val="18"/>
                <w:szCs w:val="18"/>
                <w:lang w:val="sr-Cyrl-CS" w:eastAsia="sr-Latn-RS"/>
              </w:rPr>
            </w:pPr>
          </w:p>
        </w:tc>
      </w:tr>
      <w:tr w:rsidR="009349ED" w:rsidRPr="00092ED7" w14:paraId="48635CB9" w14:textId="77777777" w:rsidTr="004F56D8">
        <w:trPr>
          <w:trHeight w:val="360"/>
        </w:trPr>
        <w:tc>
          <w:tcPr>
            <w:tcW w:w="560" w:type="dxa"/>
            <w:shd w:val="clear" w:color="auto" w:fill="D9D9D9" w:themeFill="background1" w:themeFillShade="D9"/>
            <w:noWrap/>
            <w:hideMark/>
          </w:tcPr>
          <w:p w14:paraId="4FD0A6AD" w14:textId="77777777" w:rsidR="009349ED" w:rsidRPr="00092ED7" w:rsidRDefault="009349ED"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14329" w:type="dxa"/>
            <w:gridSpan w:val="5"/>
            <w:shd w:val="clear" w:color="auto" w:fill="D9D9D9" w:themeFill="background1" w:themeFillShade="D9"/>
            <w:noWrap/>
            <w:vAlign w:val="center"/>
            <w:hideMark/>
          </w:tcPr>
          <w:p w14:paraId="12971092" w14:textId="77777777" w:rsidR="009349ED" w:rsidRPr="00092ED7" w:rsidRDefault="009349ED" w:rsidP="006458EB">
            <w:pPr>
              <w:spacing w:after="0"/>
              <w:jc w:val="left"/>
              <w:rPr>
                <w:rFonts w:eastAsia="Times New Roman" w:cs="Times New Roman"/>
                <w:b/>
                <w:bCs/>
                <w:sz w:val="18"/>
                <w:szCs w:val="18"/>
                <w:lang w:val="sr-Cyrl-CS" w:eastAsia="sr-Latn-RS"/>
              </w:rPr>
            </w:pPr>
            <w:r w:rsidRPr="00092ED7">
              <w:rPr>
                <w:rFonts w:eastAsia="Times New Roman" w:cs="Times New Roman"/>
                <w:b/>
                <w:bCs/>
                <w:sz w:val="18"/>
                <w:szCs w:val="18"/>
                <w:lang w:val="sr-Cyrl-CS" w:eastAsia="sr-Latn-RS"/>
              </w:rPr>
              <w:t>СР 6. РАЗВОЈ ДОМАЋЕГ ТРЖИШТА КАПИТАЛА КРОЗ УВОЂЕЊЕ НОВИХ ПРАВНИХ ИНСТИТУТА И ОБЕЗБЕЂИВАЊЕ ВЕЋЕГ СТЕПЕНА ЗАШТИТЕ ИНВЕСТИТОРА</w:t>
            </w:r>
          </w:p>
        </w:tc>
      </w:tr>
      <w:tr w:rsidR="006458EB" w:rsidRPr="00092ED7" w14:paraId="59830077" w14:textId="77777777" w:rsidTr="004F56D8">
        <w:trPr>
          <w:trHeight w:val="1320"/>
        </w:trPr>
        <w:tc>
          <w:tcPr>
            <w:tcW w:w="560" w:type="dxa"/>
            <w:shd w:val="clear" w:color="auto" w:fill="auto"/>
            <w:noWrap/>
            <w:hideMark/>
          </w:tcPr>
          <w:p w14:paraId="26E8FB14" w14:textId="77777777" w:rsidR="006458EB" w:rsidRPr="00092ED7" w:rsidRDefault="006458EB" w:rsidP="006458EB">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1.</w:t>
            </w:r>
          </w:p>
        </w:tc>
        <w:tc>
          <w:tcPr>
            <w:tcW w:w="4407" w:type="dxa"/>
            <w:shd w:val="clear" w:color="auto" w:fill="auto"/>
            <w:hideMark/>
          </w:tcPr>
          <w:p w14:paraId="52F4E7E2" w14:textId="77777777" w:rsidR="006458EB" w:rsidRPr="00092ED7" w:rsidRDefault="006458EB" w:rsidP="006458EB">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Доношњење Закона о преузимању акционарских друштава</w:t>
            </w:r>
          </w:p>
        </w:tc>
        <w:tc>
          <w:tcPr>
            <w:tcW w:w="1701" w:type="dxa"/>
            <w:shd w:val="clear" w:color="auto" w:fill="auto"/>
            <w:hideMark/>
          </w:tcPr>
          <w:p w14:paraId="1870BD18"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у припреми</w:t>
            </w:r>
          </w:p>
        </w:tc>
        <w:tc>
          <w:tcPr>
            <w:tcW w:w="3118" w:type="dxa"/>
            <w:shd w:val="clear" w:color="auto" w:fill="auto"/>
            <w:hideMark/>
          </w:tcPr>
          <w:p w14:paraId="3812FC17" w14:textId="77777777" w:rsidR="009349ED" w:rsidRPr="00092ED7" w:rsidRDefault="006458EB" w:rsidP="009349ED">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Тренутно се ради на Нацрту закона о преузимању акционарских друштава, у сарадњи са надлежним органима.</w:t>
            </w:r>
          </w:p>
          <w:p w14:paraId="4B5DC4F0" w14:textId="77777777" w:rsidR="006458EB" w:rsidRPr="00092ED7" w:rsidRDefault="006458EB" w:rsidP="009349ED">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xml:space="preserve">Због комплексности законодавног процеса и броја учесника на изради закона, активност је предвиђена и у </w:t>
            </w:r>
            <w:r w:rsidRPr="00092ED7">
              <w:rPr>
                <w:rFonts w:eastAsia="Times New Roman" w:cs="Times New Roman"/>
                <w:color w:val="000000"/>
                <w:sz w:val="18"/>
                <w:szCs w:val="18"/>
                <w:lang w:val="sr-Cyrl-CS" w:eastAsia="sr-Latn-RS"/>
              </w:rPr>
              <w:lastRenderedPageBreak/>
              <w:t>Програму економских реформи 2023-2025.</w:t>
            </w:r>
          </w:p>
        </w:tc>
        <w:tc>
          <w:tcPr>
            <w:tcW w:w="2410" w:type="dxa"/>
            <w:shd w:val="clear" w:color="auto" w:fill="auto"/>
            <w:hideMark/>
          </w:tcPr>
          <w:p w14:paraId="67590912"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lastRenderedPageBreak/>
              <w:t> </w:t>
            </w:r>
          </w:p>
        </w:tc>
        <w:tc>
          <w:tcPr>
            <w:tcW w:w="2693" w:type="dxa"/>
            <w:shd w:val="clear" w:color="auto" w:fill="auto"/>
            <w:hideMark/>
          </w:tcPr>
          <w:p w14:paraId="5DBDE83B"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6458EB" w:rsidRPr="00092ED7" w14:paraId="59ED0F33" w14:textId="77777777" w:rsidTr="004F56D8">
        <w:trPr>
          <w:trHeight w:val="1692"/>
        </w:trPr>
        <w:tc>
          <w:tcPr>
            <w:tcW w:w="560" w:type="dxa"/>
            <w:shd w:val="clear" w:color="auto" w:fill="auto"/>
            <w:noWrap/>
            <w:hideMark/>
          </w:tcPr>
          <w:p w14:paraId="11B5B7B0" w14:textId="77777777" w:rsidR="006458EB" w:rsidRPr="00092ED7" w:rsidRDefault="006458EB" w:rsidP="006458EB">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2.</w:t>
            </w:r>
          </w:p>
        </w:tc>
        <w:tc>
          <w:tcPr>
            <w:tcW w:w="4407" w:type="dxa"/>
            <w:shd w:val="clear" w:color="auto" w:fill="auto"/>
            <w:hideMark/>
          </w:tcPr>
          <w:p w14:paraId="0354A858" w14:textId="77777777" w:rsidR="006458EB" w:rsidRPr="00092ED7" w:rsidRDefault="006458EB" w:rsidP="006458EB">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 xml:space="preserve">Доношење подзаконских аката на основу усвојеног Закона о тржишту капитала </w:t>
            </w:r>
          </w:p>
        </w:tc>
        <w:tc>
          <w:tcPr>
            <w:tcW w:w="1701" w:type="dxa"/>
            <w:shd w:val="clear" w:color="auto" w:fill="auto"/>
            <w:hideMark/>
          </w:tcPr>
          <w:p w14:paraId="61CADD6E"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потпуно спроведене</w:t>
            </w:r>
          </w:p>
        </w:tc>
        <w:tc>
          <w:tcPr>
            <w:tcW w:w="3118" w:type="dxa"/>
            <w:shd w:val="clear" w:color="auto" w:fill="auto"/>
            <w:hideMark/>
          </w:tcPr>
          <w:p w14:paraId="3E9DBE46" w14:textId="1066D385" w:rsidR="006458EB" w:rsidRPr="00092ED7" w:rsidRDefault="006458EB" w:rsidP="00005DFC">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xml:space="preserve">На основу новог Закона о тржишту капитала, Комисија има обавезу да организује и усклади своја акта са одредбама овог закона у року од шест месеци од дана ступања на снагу овог закона. Комисија за хартије од вредности је донела правилнике, којима ближе уређује примену новог закона, на својим седницама 30. јуна и 5. јула 2022. године, а објављени су у </w:t>
            </w:r>
            <w:r w:rsidR="00005DFC" w:rsidRPr="00092ED7">
              <w:rPr>
                <w:rFonts w:eastAsia="Times New Roman" w:cs="Times New Roman"/>
                <w:color w:val="000000"/>
                <w:sz w:val="18"/>
                <w:szCs w:val="18"/>
                <w:lang w:val="sr-Cyrl-CS" w:eastAsia="sr-Latn-RS"/>
              </w:rPr>
              <w:t>„</w:t>
            </w:r>
            <w:r w:rsidRPr="00092ED7">
              <w:rPr>
                <w:rFonts w:eastAsia="Times New Roman" w:cs="Times New Roman"/>
                <w:color w:val="000000"/>
                <w:sz w:val="18"/>
                <w:szCs w:val="18"/>
                <w:lang w:val="sr-Cyrl-CS" w:eastAsia="sr-Latn-RS"/>
              </w:rPr>
              <w:t>Сл</w:t>
            </w:r>
            <w:r w:rsidR="00005DFC" w:rsidRPr="00092ED7">
              <w:rPr>
                <w:rFonts w:eastAsia="Times New Roman" w:cs="Times New Roman"/>
                <w:color w:val="000000"/>
                <w:sz w:val="18"/>
                <w:szCs w:val="18"/>
                <w:lang w:val="sr-Cyrl-CS" w:eastAsia="sr-Latn-RS"/>
              </w:rPr>
              <w:t>ужбен</w:t>
            </w:r>
            <w:r w:rsidR="004B57D8" w:rsidRPr="00092ED7">
              <w:rPr>
                <w:rFonts w:eastAsia="Times New Roman" w:cs="Times New Roman"/>
                <w:color w:val="000000"/>
                <w:sz w:val="18"/>
                <w:szCs w:val="18"/>
                <w:lang w:val="sr-Cyrl-CS" w:eastAsia="sr-Latn-RS"/>
              </w:rPr>
              <w:t>ом</w:t>
            </w:r>
            <w:r w:rsidR="00005DFC" w:rsidRPr="00092ED7">
              <w:rPr>
                <w:rFonts w:eastAsia="Times New Roman" w:cs="Times New Roman"/>
                <w:color w:val="000000"/>
                <w:sz w:val="18"/>
                <w:szCs w:val="18"/>
                <w:lang w:val="sr-Cyrl-CS" w:eastAsia="sr-Latn-RS"/>
              </w:rPr>
              <w:t>и</w:t>
            </w:r>
            <w:r w:rsidRPr="00092ED7">
              <w:rPr>
                <w:rFonts w:eastAsia="Times New Roman" w:cs="Times New Roman"/>
                <w:color w:val="000000"/>
                <w:sz w:val="18"/>
                <w:szCs w:val="18"/>
                <w:lang w:val="sr-Cyrl-CS" w:eastAsia="sr-Latn-RS"/>
              </w:rPr>
              <w:t xml:space="preserve"> гласнику РС</w:t>
            </w:r>
            <w:r w:rsidR="00005DFC" w:rsidRPr="00092ED7">
              <w:rPr>
                <w:rFonts w:cs="Times New Roman"/>
                <w:sz w:val="18"/>
                <w:szCs w:val="18"/>
                <w:lang w:val="sr-Cyrl-CS"/>
              </w:rPr>
              <w:t>”</w:t>
            </w:r>
            <w:r w:rsidRPr="00092ED7">
              <w:rPr>
                <w:rFonts w:eastAsia="Times New Roman" w:cs="Times New Roman"/>
                <w:color w:val="000000"/>
                <w:sz w:val="18"/>
                <w:szCs w:val="18"/>
                <w:lang w:val="sr-Cyrl-CS" w:eastAsia="sr-Latn-RS"/>
              </w:rPr>
              <w:t>, број 77/22 од 8. јула 2022. године.</w:t>
            </w:r>
          </w:p>
        </w:tc>
        <w:tc>
          <w:tcPr>
            <w:tcW w:w="2410" w:type="dxa"/>
            <w:shd w:val="clear" w:color="auto" w:fill="auto"/>
            <w:hideMark/>
          </w:tcPr>
          <w:p w14:paraId="449950D5"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48BEC735"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6458EB" w:rsidRPr="00092ED7" w14:paraId="553317D1" w14:textId="77777777" w:rsidTr="004F56D8">
        <w:trPr>
          <w:trHeight w:val="2388"/>
        </w:trPr>
        <w:tc>
          <w:tcPr>
            <w:tcW w:w="560" w:type="dxa"/>
            <w:shd w:val="clear" w:color="auto" w:fill="auto"/>
            <w:noWrap/>
            <w:hideMark/>
          </w:tcPr>
          <w:p w14:paraId="766CF449" w14:textId="77777777" w:rsidR="006458EB" w:rsidRPr="00092ED7" w:rsidRDefault="006458EB" w:rsidP="006458EB">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3.</w:t>
            </w:r>
          </w:p>
        </w:tc>
        <w:tc>
          <w:tcPr>
            <w:tcW w:w="4407" w:type="dxa"/>
            <w:shd w:val="clear" w:color="auto" w:fill="auto"/>
            <w:hideMark/>
          </w:tcPr>
          <w:p w14:paraId="4CE48FC7" w14:textId="77777777" w:rsidR="006458EB" w:rsidRPr="00092ED7" w:rsidRDefault="006458EB" w:rsidP="006458EB">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Успостављање нових правних института у области тржишта капитала (везани заступници, систематски интернализатори, организована трговачка платформа ОТП, систем одобрених објава, односно АПА)</w:t>
            </w:r>
          </w:p>
        </w:tc>
        <w:tc>
          <w:tcPr>
            <w:tcW w:w="1701" w:type="dxa"/>
            <w:shd w:val="clear" w:color="auto" w:fill="auto"/>
            <w:hideMark/>
          </w:tcPr>
          <w:p w14:paraId="776C977C"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потпуно спроведене</w:t>
            </w:r>
          </w:p>
        </w:tc>
        <w:tc>
          <w:tcPr>
            <w:tcW w:w="3118" w:type="dxa"/>
            <w:shd w:val="clear" w:color="auto" w:fill="auto"/>
            <w:hideMark/>
          </w:tcPr>
          <w:p w14:paraId="1BFC7A38" w14:textId="541A86DD" w:rsidR="006458EB" w:rsidRPr="00092ED7" w:rsidRDefault="006458EB" w:rsidP="00005DFC">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xml:space="preserve">Народна скупштина Републике Србије усвојила је нови Закон о тржишту капитала, који је објављен у </w:t>
            </w:r>
            <w:r w:rsidR="00005DFC" w:rsidRPr="00092ED7">
              <w:rPr>
                <w:rFonts w:eastAsia="Times New Roman" w:cs="Times New Roman"/>
                <w:color w:val="000000"/>
                <w:sz w:val="18"/>
                <w:szCs w:val="18"/>
                <w:lang w:val="sr-Cyrl-CS" w:eastAsia="sr-Latn-RS"/>
              </w:rPr>
              <w:t>„</w:t>
            </w:r>
            <w:r w:rsidRPr="00092ED7">
              <w:rPr>
                <w:rFonts w:eastAsia="Times New Roman" w:cs="Times New Roman"/>
                <w:color w:val="000000"/>
                <w:sz w:val="18"/>
                <w:szCs w:val="18"/>
                <w:lang w:val="sr-Cyrl-CS" w:eastAsia="sr-Latn-RS"/>
              </w:rPr>
              <w:t>Сл</w:t>
            </w:r>
            <w:r w:rsidR="00005DFC" w:rsidRPr="00092ED7">
              <w:rPr>
                <w:rFonts w:eastAsia="Times New Roman" w:cs="Times New Roman"/>
                <w:color w:val="000000"/>
                <w:sz w:val="18"/>
                <w:szCs w:val="18"/>
                <w:lang w:val="sr-Cyrl-CS" w:eastAsia="sr-Latn-RS"/>
              </w:rPr>
              <w:t>ужбеном</w:t>
            </w:r>
            <w:r w:rsidRPr="00092ED7">
              <w:rPr>
                <w:rFonts w:eastAsia="Times New Roman" w:cs="Times New Roman"/>
                <w:color w:val="000000"/>
                <w:sz w:val="18"/>
                <w:szCs w:val="18"/>
                <w:lang w:val="sr-Cyrl-CS" w:eastAsia="sr-Latn-RS"/>
              </w:rPr>
              <w:t xml:space="preserve"> гласнику РС</w:t>
            </w:r>
            <w:r w:rsidR="00005DFC" w:rsidRPr="00092ED7">
              <w:rPr>
                <w:rFonts w:cs="Times New Roman"/>
                <w:sz w:val="16"/>
                <w:szCs w:val="16"/>
                <w:lang w:val="sr-Cyrl-CS"/>
              </w:rPr>
              <w:t>”</w:t>
            </w:r>
            <w:r w:rsidR="00005DFC" w:rsidRPr="00092ED7">
              <w:rPr>
                <w:rFonts w:eastAsia="Times New Roman" w:cs="Times New Roman"/>
                <w:color w:val="000000"/>
                <w:sz w:val="18"/>
                <w:szCs w:val="18"/>
                <w:lang w:val="sr-Cyrl-CS" w:eastAsia="sr-Latn-RS"/>
              </w:rPr>
              <w:t>,</w:t>
            </w:r>
            <w:r w:rsidRPr="00092ED7">
              <w:rPr>
                <w:rFonts w:eastAsia="Times New Roman" w:cs="Times New Roman"/>
                <w:color w:val="000000"/>
                <w:sz w:val="18"/>
                <w:szCs w:val="18"/>
                <w:lang w:val="sr-Cyrl-CS" w:eastAsia="sr-Latn-RS"/>
              </w:rPr>
              <w:t xml:space="preserve"> број 129/21 од 28. децембра 2021. године (ступио на снагу 5.1.2022. године, а почиње са применом 6.1.2023. године). Новим Законом о тржишту капитала успостављени су правни институти (везани заступници, систематски интернализатори, организована трговачка платформа ОТП, систем одобрених објава, односно АПА) и очекивано је да ће, са почетком примене закона, доћи до повећања ефикасности пословања свих учесника на тржишту.</w:t>
            </w:r>
          </w:p>
        </w:tc>
        <w:tc>
          <w:tcPr>
            <w:tcW w:w="2410" w:type="dxa"/>
            <w:shd w:val="clear" w:color="auto" w:fill="auto"/>
            <w:hideMark/>
          </w:tcPr>
          <w:p w14:paraId="3FE967B9"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783CF294"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6458EB" w:rsidRPr="00092ED7" w14:paraId="347EF301" w14:textId="77777777" w:rsidTr="004F56D8">
        <w:trPr>
          <w:trHeight w:val="360"/>
        </w:trPr>
        <w:tc>
          <w:tcPr>
            <w:tcW w:w="560" w:type="dxa"/>
            <w:shd w:val="clear" w:color="auto" w:fill="auto"/>
            <w:hideMark/>
          </w:tcPr>
          <w:p w14:paraId="2425971A" w14:textId="77777777" w:rsidR="006458EB" w:rsidRPr="00092ED7" w:rsidRDefault="006458EB" w:rsidP="006458EB">
            <w:pPr>
              <w:spacing w:after="0"/>
              <w:jc w:val="left"/>
              <w:rPr>
                <w:rFonts w:eastAsia="Times New Roman" w:cs="Times New Roman"/>
                <w:color w:val="000000"/>
                <w:sz w:val="18"/>
                <w:szCs w:val="18"/>
                <w:lang w:val="sr-Cyrl-CS" w:eastAsia="sr-Latn-RS"/>
              </w:rPr>
            </w:pPr>
          </w:p>
        </w:tc>
        <w:tc>
          <w:tcPr>
            <w:tcW w:w="4407" w:type="dxa"/>
            <w:shd w:val="clear" w:color="auto" w:fill="auto"/>
            <w:hideMark/>
          </w:tcPr>
          <w:p w14:paraId="512282AE" w14:textId="77777777" w:rsidR="006458EB" w:rsidRPr="00092ED7" w:rsidRDefault="006458EB" w:rsidP="006458EB">
            <w:pPr>
              <w:spacing w:after="0"/>
              <w:jc w:val="left"/>
              <w:rPr>
                <w:rFonts w:eastAsia="Times New Roman" w:cs="Times New Roman"/>
                <w:sz w:val="18"/>
                <w:szCs w:val="18"/>
                <w:lang w:val="sr-Cyrl-CS" w:eastAsia="sr-Latn-RS"/>
              </w:rPr>
            </w:pPr>
          </w:p>
        </w:tc>
        <w:tc>
          <w:tcPr>
            <w:tcW w:w="1701" w:type="dxa"/>
            <w:shd w:val="clear" w:color="000000" w:fill="BDD7EE"/>
            <w:noWrap/>
            <w:vAlign w:val="bottom"/>
            <w:hideMark/>
          </w:tcPr>
          <w:p w14:paraId="33FC3CEE" w14:textId="77777777" w:rsidR="006458EB" w:rsidRPr="00092ED7" w:rsidRDefault="006458EB" w:rsidP="006458EB">
            <w:pPr>
              <w:spacing w:after="0"/>
              <w:jc w:val="center"/>
              <w:rPr>
                <w:rFonts w:eastAsia="Times New Roman" w:cs="Times New Roman"/>
                <w:sz w:val="28"/>
                <w:szCs w:val="28"/>
                <w:lang w:val="sr-Cyrl-CS" w:eastAsia="sr-Latn-RS"/>
              </w:rPr>
            </w:pPr>
            <w:r w:rsidRPr="00092ED7">
              <w:rPr>
                <w:rFonts w:eastAsia="Times New Roman" w:cs="Times New Roman"/>
                <w:sz w:val="28"/>
                <w:szCs w:val="28"/>
                <w:lang w:val="sr-Cyrl-CS" w:eastAsia="sr-Latn-RS"/>
              </w:rPr>
              <w:t>73%</w:t>
            </w:r>
          </w:p>
        </w:tc>
        <w:tc>
          <w:tcPr>
            <w:tcW w:w="3118" w:type="dxa"/>
            <w:shd w:val="clear" w:color="auto" w:fill="auto"/>
            <w:noWrap/>
            <w:hideMark/>
          </w:tcPr>
          <w:p w14:paraId="6EBA49A1" w14:textId="77777777" w:rsidR="006458EB" w:rsidRPr="00092ED7" w:rsidRDefault="006458EB" w:rsidP="006458EB">
            <w:pPr>
              <w:spacing w:after="0"/>
              <w:jc w:val="center"/>
              <w:rPr>
                <w:rFonts w:eastAsia="Times New Roman" w:cs="Times New Roman"/>
                <w:sz w:val="18"/>
                <w:szCs w:val="18"/>
                <w:lang w:val="sr-Cyrl-CS" w:eastAsia="sr-Latn-RS"/>
              </w:rPr>
            </w:pPr>
          </w:p>
        </w:tc>
        <w:tc>
          <w:tcPr>
            <w:tcW w:w="2410" w:type="dxa"/>
            <w:shd w:val="clear" w:color="auto" w:fill="auto"/>
            <w:noWrap/>
            <w:hideMark/>
          </w:tcPr>
          <w:p w14:paraId="7BA79727" w14:textId="77777777" w:rsidR="006458EB" w:rsidRPr="00092ED7" w:rsidRDefault="006458EB" w:rsidP="006458EB">
            <w:pPr>
              <w:spacing w:after="0"/>
              <w:jc w:val="left"/>
              <w:rPr>
                <w:rFonts w:eastAsia="Times New Roman" w:cs="Times New Roman"/>
                <w:sz w:val="18"/>
                <w:szCs w:val="18"/>
                <w:lang w:val="sr-Cyrl-CS" w:eastAsia="sr-Latn-RS"/>
              </w:rPr>
            </w:pPr>
          </w:p>
        </w:tc>
        <w:tc>
          <w:tcPr>
            <w:tcW w:w="2693" w:type="dxa"/>
            <w:shd w:val="clear" w:color="auto" w:fill="auto"/>
            <w:noWrap/>
            <w:hideMark/>
          </w:tcPr>
          <w:p w14:paraId="675EA222" w14:textId="77777777" w:rsidR="006458EB" w:rsidRPr="00092ED7" w:rsidRDefault="006458EB" w:rsidP="006458EB">
            <w:pPr>
              <w:spacing w:after="0"/>
              <w:jc w:val="left"/>
              <w:rPr>
                <w:rFonts w:eastAsia="Times New Roman" w:cs="Times New Roman"/>
                <w:sz w:val="18"/>
                <w:szCs w:val="18"/>
                <w:lang w:val="sr-Cyrl-CS" w:eastAsia="sr-Latn-RS"/>
              </w:rPr>
            </w:pPr>
          </w:p>
        </w:tc>
      </w:tr>
      <w:tr w:rsidR="009349ED" w:rsidRPr="00092ED7" w14:paraId="30FAC997" w14:textId="77777777" w:rsidTr="004F56D8">
        <w:trPr>
          <w:trHeight w:val="360"/>
        </w:trPr>
        <w:tc>
          <w:tcPr>
            <w:tcW w:w="560" w:type="dxa"/>
            <w:shd w:val="clear" w:color="auto" w:fill="D9D9D9" w:themeFill="background1" w:themeFillShade="D9"/>
            <w:noWrap/>
            <w:hideMark/>
          </w:tcPr>
          <w:p w14:paraId="053D427C" w14:textId="77777777" w:rsidR="009349ED" w:rsidRPr="00092ED7" w:rsidRDefault="009349ED"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14329" w:type="dxa"/>
            <w:gridSpan w:val="5"/>
            <w:shd w:val="clear" w:color="auto" w:fill="D9D9D9" w:themeFill="background1" w:themeFillShade="D9"/>
            <w:noWrap/>
            <w:vAlign w:val="center"/>
            <w:hideMark/>
          </w:tcPr>
          <w:p w14:paraId="1A2C4FB6" w14:textId="77777777" w:rsidR="009349ED" w:rsidRPr="00092ED7" w:rsidRDefault="009349ED" w:rsidP="006458EB">
            <w:pPr>
              <w:spacing w:after="0"/>
              <w:jc w:val="left"/>
              <w:rPr>
                <w:rFonts w:eastAsia="Times New Roman" w:cs="Times New Roman"/>
                <w:b/>
                <w:bCs/>
                <w:sz w:val="18"/>
                <w:szCs w:val="18"/>
                <w:lang w:val="sr-Cyrl-CS" w:eastAsia="sr-Latn-RS"/>
              </w:rPr>
            </w:pPr>
            <w:r w:rsidRPr="00092ED7">
              <w:rPr>
                <w:rFonts w:eastAsia="Times New Roman" w:cs="Times New Roman"/>
                <w:b/>
                <w:bCs/>
                <w:sz w:val="18"/>
                <w:szCs w:val="18"/>
                <w:lang w:val="sr-Cyrl-CS" w:eastAsia="sr-Latn-RS"/>
              </w:rPr>
              <w:t>СР 7. РАЗВОЈ ЕНЕРГЕТСКОГ ТРЖИШТА УЗ ИЗГРАДЊУ ЕНЕРГЕТСКЕ ИНФРАСТРУКТУРЕ</w:t>
            </w:r>
          </w:p>
        </w:tc>
      </w:tr>
      <w:tr w:rsidR="006458EB" w:rsidRPr="00092ED7" w14:paraId="33027AE6" w14:textId="77777777" w:rsidTr="004F56D8">
        <w:trPr>
          <w:trHeight w:val="528"/>
        </w:trPr>
        <w:tc>
          <w:tcPr>
            <w:tcW w:w="560" w:type="dxa"/>
            <w:shd w:val="clear" w:color="auto" w:fill="auto"/>
            <w:noWrap/>
            <w:hideMark/>
          </w:tcPr>
          <w:p w14:paraId="201482D8" w14:textId="77777777" w:rsidR="006458EB" w:rsidRPr="00092ED7" w:rsidRDefault="006458EB" w:rsidP="006458EB">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1.</w:t>
            </w:r>
          </w:p>
        </w:tc>
        <w:tc>
          <w:tcPr>
            <w:tcW w:w="4407" w:type="dxa"/>
            <w:shd w:val="clear" w:color="auto" w:fill="auto"/>
            <w:hideMark/>
          </w:tcPr>
          <w:p w14:paraId="4DEC5BE7" w14:textId="77777777" w:rsidR="006458EB" w:rsidRPr="00092ED7" w:rsidRDefault="006458EB" w:rsidP="006458EB">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Реконструкција и доградња ТС Краљево 3 и реконструкција ТС Крагујевац 2, неопходна за увођење новог далековода Крагујевац - Краљево</w:t>
            </w:r>
          </w:p>
        </w:tc>
        <w:tc>
          <w:tcPr>
            <w:tcW w:w="1701" w:type="dxa"/>
            <w:shd w:val="clear" w:color="auto" w:fill="auto"/>
            <w:hideMark/>
          </w:tcPr>
          <w:p w14:paraId="7F8E9909"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потпуно спроведене</w:t>
            </w:r>
          </w:p>
        </w:tc>
        <w:tc>
          <w:tcPr>
            <w:tcW w:w="3118" w:type="dxa"/>
            <w:shd w:val="clear" w:color="auto" w:fill="auto"/>
            <w:hideMark/>
          </w:tcPr>
          <w:p w14:paraId="1C91F298"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410" w:type="dxa"/>
            <w:shd w:val="clear" w:color="auto" w:fill="auto"/>
            <w:hideMark/>
          </w:tcPr>
          <w:p w14:paraId="261482AB"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7BE59E9A"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6458EB" w:rsidRPr="00092ED7" w14:paraId="58291CBF" w14:textId="77777777" w:rsidTr="004F56D8">
        <w:trPr>
          <w:trHeight w:val="300"/>
        </w:trPr>
        <w:tc>
          <w:tcPr>
            <w:tcW w:w="560" w:type="dxa"/>
            <w:shd w:val="clear" w:color="auto" w:fill="auto"/>
            <w:noWrap/>
            <w:hideMark/>
          </w:tcPr>
          <w:p w14:paraId="01319443" w14:textId="77777777" w:rsidR="006458EB" w:rsidRPr="00092ED7" w:rsidRDefault="006458EB" w:rsidP="006458EB">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lastRenderedPageBreak/>
              <w:t>2.</w:t>
            </w:r>
          </w:p>
        </w:tc>
        <w:tc>
          <w:tcPr>
            <w:tcW w:w="4407" w:type="dxa"/>
            <w:shd w:val="clear" w:color="auto" w:fill="auto"/>
            <w:hideMark/>
          </w:tcPr>
          <w:p w14:paraId="6611857C" w14:textId="77777777" w:rsidR="006458EB" w:rsidRPr="00092ED7" w:rsidRDefault="006458EB" w:rsidP="006458EB">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Изградња далековода Крагујевац - Краљево</w:t>
            </w:r>
          </w:p>
        </w:tc>
        <w:tc>
          <w:tcPr>
            <w:tcW w:w="1701" w:type="dxa"/>
            <w:shd w:val="clear" w:color="auto" w:fill="auto"/>
            <w:hideMark/>
          </w:tcPr>
          <w:p w14:paraId="493ADA43"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потпуно спроведене</w:t>
            </w:r>
          </w:p>
        </w:tc>
        <w:tc>
          <w:tcPr>
            <w:tcW w:w="3118" w:type="dxa"/>
            <w:shd w:val="clear" w:color="auto" w:fill="auto"/>
            <w:hideMark/>
          </w:tcPr>
          <w:p w14:paraId="71D41713"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410" w:type="dxa"/>
            <w:shd w:val="clear" w:color="auto" w:fill="auto"/>
            <w:hideMark/>
          </w:tcPr>
          <w:p w14:paraId="708632D4"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6758E3D4"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6458EB" w:rsidRPr="00092ED7" w14:paraId="3D2FB24C" w14:textId="77777777" w:rsidTr="004F56D8">
        <w:trPr>
          <w:trHeight w:val="360"/>
        </w:trPr>
        <w:tc>
          <w:tcPr>
            <w:tcW w:w="560" w:type="dxa"/>
            <w:shd w:val="clear" w:color="auto" w:fill="auto"/>
            <w:hideMark/>
          </w:tcPr>
          <w:p w14:paraId="3C40B855" w14:textId="77777777" w:rsidR="006458EB" w:rsidRPr="00092ED7" w:rsidRDefault="006458EB" w:rsidP="006458EB">
            <w:pPr>
              <w:spacing w:after="0"/>
              <w:jc w:val="left"/>
              <w:rPr>
                <w:rFonts w:eastAsia="Times New Roman" w:cs="Times New Roman"/>
                <w:color w:val="000000"/>
                <w:sz w:val="18"/>
                <w:szCs w:val="18"/>
                <w:lang w:val="sr-Cyrl-CS" w:eastAsia="sr-Latn-RS"/>
              </w:rPr>
            </w:pPr>
          </w:p>
        </w:tc>
        <w:tc>
          <w:tcPr>
            <w:tcW w:w="4407" w:type="dxa"/>
            <w:shd w:val="clear" w:color="auto" w:fill="auto"/>
            <w:hideMark/>
          </w:tcPr>
          <w:p w14:paraId="19EC72C4" w14:textId="77777777" w:rsidR="006458EB" w:rsidRPr="00092ED7" w:rsidRDefault="006458EB" w:rsidP="006458EB">
            <w:pPr>
              <w:spacing w:after="0"/>
              <w:jc w:val="left"/>
              <w:rPr>
                <w:rFonts w:eastAsia="Times New Roman" w:cs="Times New Roman"/>
                <w:sz w:val="18"/>
                <w:szCs w:val="18"/>
                <w:lang w:val="sr-Cyrl-CS" w:eastAsia="sr-Latn-RS"/>
              </w:rPr>
            </w:pPr>
          </w:p>
        </w:tc>
        <w:tc>
          <w:tcPr>
            <w:tcW w:w="1701" w:type="dxa"/>
            <w:shd w:val="clear" w:color="000000" w:fill="FFFF00"/>
            <w:noWrap/>
            <w:vAlign w:val="bottom"/>
            <w:hideMark/>
          </w:tcPr>
          <w:p w14:paraId="1EFB9389" w14:textId="77777777" w:rsidR="006458EB" w:rsidRPr="00092ED7" w:rsidRDefault="006458EB" w:rsidP="006458EB">
            <w:pPr>
              <w:spacing w:after="0"/>
              <w:jc w:val="center"/>
              <w:rPr>
                <w:rFonts w:eastAsia="Times New Roman" w:cs="Times New Roman"/>
                <w:bCs/>
                <w:sz w:val="28"/>
                <w:szCs w:val="28"/>
                <w:lang w:val="sr-Cyrl-CS" w:eastAsia="sr-Latn-RS"/>
              </w:rPr>
            </w:pPr>
            <w:r w:rsidRPr="00092ED7">
              <w:rPr>
                <w:rFonts w:eastAsia="Times New Roman" w:cs="Times New Roman"/>
                <w:bCs/>
                <w:sz w:val="28"/>
                <w:szCs w:val="28"/>
                <w:lang w:val="sr-Cyrl-CS" w:eastAsia="sr-Latn-RS"/>
              </w:rPr>
              <w:t>100%</w:t>
            </w:r>
          </w:p>
        </w:tc>
        <w:tc>
          <w:tcPr>
            <w:tcW w:w="3118" w:type="dxa"/>
            <w:shd w:val="clear" w:color="auto" w:fill="auto"/>
            <w:noWrap/>
            <w:hideMark/>
          </w:tcPr>
          <w:p w14:paraId="3457A970" w14:textId="77777777" w:rsidR="006458EB" w:rsidRPr="00092ED7" w:rsidRDefault="006458EB" w:rsidP="006458EB">
            <w:pPr>
              <w:spacing w:after="0"/>
              <w:jc w:val="center"/>
              <w:rPr>
                <w:rFonts w:eastAsia="Times New Roman" w:cs="Times New Roman"/>
                <w:b/>
                <w:bCs/>
                <w:sz w:val="18"/>
                <w:szCs w:val="18"/>
                <w:lang w:val="sr-Cyrl-CS" w:eastAsia="sr-Latn-RS"/>
              </w:rPr>
            </w:pPr>
          </w:p>
        </w:tc>
        <w:tc>
          <w:tcPr>
            <w:tcW w:w="2410" w:type="dxa"/>
            <w:shd w:val="clear" w:color="auto" w:fill="auto"/>
            <w:noWrap/>
            <w:hideMark/>
          </w:tcPr>
          <w:p w14:paraId="220C1025" w14:textId="77777777" w:rsidR="006458EB" w:rsidRPr="00092ED7" w:rsidRDefault="006458EB" w:rsidP="006458EB">
            <w:pPr>
              <w:spacing w:after="0"/>
              <w:jc w:val="left"/>
              <w:rPr>
                <w:rFonts w:eastAsia="Times New Roman" w:cs="Times New Roman"/>
                <w:sz w:val="18"/>
                <w:szCs w:val="18"/>
                <w:lang w:val="sr-Cyrl-CS" w:eastAsia="sr-Latn-RS"/>
              </w:rPr>
            </w:pPr>
          </w:p>
        </w:tc>
        <w:tc>
          <w:tcPr>
            <w:tcW w:w="2693" w:type="dxa"/>
            <w:shd w:val="clear" w:color="auto" w:fill="auto"/>
            <w:noWrap/>
            <w:hideMark/>
          </w:tcPr>
          <w:p w14:paraId="43D428D8" w14:textId="77777777" w:rsidR="006458EB" w:rsidRPr="00092ED7" w:rsidRDefault="006458EB" w:rsidP="006458EB">
            <w:pPr>
              <w:spacing w:after="0"/>
              <w:jc w:val="left"/>
              <w:rPr>
                <w:rFonts w:eastAsia="Times New Roman" w:cs="Times New Roman"/>
                <w:sz w:val="18"/>
                <w:szCs w:val="18"/>
                <w:lang w:val="sr-Cyrl-CS" w:eastAsia="sr-Latn-RS"/>
              </w:rPr>
            </w:pPr>
          </w:p>
        </w:tc>
      </w:tr>
      <w:tr w:rsidR="009349ED" w:rsidRPr="00092ED7" w14:paraId="22B81F3A" w14:textId="77777777" w:rsidTr="004F56D8">
        <w:trPr>
          <w:trHeight w:val="360"/>
        </w:trPr>
        <w:tc>
          <w:tcPr>
            <w:tcW w:w="560" w:type="dxa"/>
            <w:shd w:val="clear" w:color="auto" w:fill="D9D9D9" w:themeFill="background1" w:themeFillShade="D9"/>
            <w:noWrap/>
            <w:hideMark/>
          </w:tcPr>
          <w:p w14:paraId="69D7E08E" w14:textId="77777777" w:rsidR="009349ED" w:rsidRPr="00092ED7" w:rsidRDefault="009349ED"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14329" w:type="dxa"/>
            <w:gridSpan w:val="5"/>
            <w:shd w:val="clear" w:color="auto" w:fill="D9D9D9" w:themeFill="background1" w:themeFillShade="D9"/>
            <w:noWrap/>
            <w:vAlign w:val="center"/>
            <w:hideMark/>
          </w:tcPr>
          <w:p w14:paraId="19CE845A" w14:textId="77777777" w:rsidR="009349ED" w:rsidRPr="00092ED7" w:rsidRDefault="009349ED" w:rsidP="006458EB">
            <w:pPr>
              <w:spacing w:after="0"/>
              <w:jc w:val="left"/>
              <w:rPr>
                <w:rFonts w:eastAsia="Times New Roman" w:cs="Times New Roman"/>
                <w:b/>
                <w:bCs/>
                <w:sz w:val="18"/>
                <w:szCs w:val="18"/>
                <w:lang w:val="sr-Cyrl-CS" w:eastAsia="sr-Latn-RS"/>
              </w:rPr>
            </w:pPr>
            <w:r w:rsidRPr="00092ED7">
              <w:rPr>
                <w:rFonts w:eastAsia="Times New Roman" w:cs="Times New Roman"/>
                <w:b/>
                <w:bCs/>
                <w:sz w:val="18"/>
                <w:szCs w:val="18"/>
                <w:lang w:val="sr-Cyrl-CS" w:eastAsia="sr-Latn-RS"/>
              </w:rPr>
              <w:t>СР 8. УНАПРЕЂЕЊЕ УСЛОВА ЗА ПОВЕЋАЊЕ ЕНЕРГЕТСКЕ ЕФИКАСНОСТИ КРОЗ УНАПРЕЂЕЊЕ ПРАВНОГ И ИНСТИТУЦИОНАЛНОГ ОКВИРА И ОБЕЗБЕЂЕЊЕ ПОДСТИЦАЈА</w:t>
            </w:r>
          </w:p>
        </w:tc>
      </w:tr>
      <w:tr w:rsidR="006458EB" w:rsidRPr="00092ED7" w14:paraId="54C2C47F" w14:textId="77777777" w:rsidTr="004F56D8">
        <w:trPr>
          <w:trHeight w:val="1320"/>
        </w:trPr>
        <w:tc>
          <w:tcPr>
            <w:tcW w:w="560" w:type="dxa"/>
            <w:shd w:val="clear" w:color="auto" w:fill="auto"/>
            <w:noWrap/>
            <w:hideMark/>
          </w:tcPr>
          <w:p w14:paraId="0C92C632" w14:textId="77777777" w:rsidR="006458EB" w:rsidRPr="00092ED7" w:rsidRDefault="006458EB" w:rsidP="006458EB">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1.</w:t>
            </w:r>
          </w:p>
        </w:tc>
        <w:tc>
          <w:tcPr>
            <w:tcW w:w="4407" w:type="dxa"/>
            <w:shd w:val="clear" w:color="auto" w:fill="auto"/>
            <w:hideMark/>
          </w:tcPr>
          <w:p w14:paraId="75CA22A2" w14:textId="77777777" w:rsidR="006458EB" w:rsidRPr="00092ED7" w:rsidRDefault="006458EB" w:rsidP="006458EB">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Оснивање Управе за финансирање и подстицање енергетске ефикасности</w:t>
            </w:r>
          </w:p>
        </w:tc>
        <w:tc>
          <w:tcPr>
            <w:tcW w:w="1701" w:type="dxa"/>
            <w:shd w:val="clear" w:color="auto" w:fill="auto"/>
            <w:hideMark/>
          </w:tcPr>
          <w:p w14:paraId="669FA313"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потпуно спроведене</w:t>
            </w:r>
          </w:p>
        </w:tc>
        <w:tc>
          <w:tcPr>
            <w:tcW w:w="3118" w:type="dxa"/>
            <w:shd w:val="clear" w:color="auto" w:fill="auto"/>
            <w:hideMark/>
          </w:tcPr>
          <w:p w14:paraId="1540046B"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410" w:type="dxa"/>
            <w:shd w:val="clear" w:color="auto" w:fill="auto"/>
            <w:hideMark/>
          </w:tcPr>
          <w:p w14:paraId="53F641A8"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29419A22"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Управа је основана крајем 2021. године а 7. фебруара 2022. године извршена је примопредаја предмета насталих у раду Буџетског фонда за унапређење енергетске ефикасности Републике Србије и Управе, чиме је Управа и званично почела са радом.</w:t>
            </w:r>
          </w:p>
        </w:tc>
      </w:tr>
      <w:tr w:rsidR="006458EB" w:rsidRPr="00092ED7" w14:paraId="5CF15856" w14:textId="77777777" w:rsidTr="004F56D8">
        <w:trPr>
          <w:trHeight w:val="480"/>
        </w:trPr>
        <w:tc>
          <w:tcPr>
            <w:tcW w:w="560" w:type="dxa"/>
            <w:shd w:val="clear" w:color="auto" w:fill="auto"/>
            <w:noWrap/>
            <w:hideMark/>
          </w:tcPr>
          <w:p w14:paraId="4EF9142D" w14:textId="77777777" w:rsidR="006458EB" w:rsidRPr="00092ED7" w:rsidRDefault="006458EB" w:rsidP="006458EB">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2.</w:t>
            </w:r>
          </w:p>
        </w:tc>
        <w:tc>
          <w:tcPr>
            <w:tcW w:w="4407" w:type="dxa"/>
            <w:shd w:val="clear" w:color="auto" w:fill="auto"/>
            <w:hideMark/>
          </w:tcPr>
          <w:p w14:paraId="4487EC99" w14:textId="77777777" w:rsidR="006458EB" w:rsidRPr="00092ED7" w:rsidRDefault="006458EB" w:rsidP="006458EB">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Доношење подзаконске регулативе у циљу потпуног усаглашавања са регулативом ЕУ у области енергетске ефикасности</w:t>
            </w:r>
          </w:p>
        </w:tc>
        <w:tc>
          <w:tcPr>
            <w:tcW w:w="1701" w:type="dxa"/>
            <w:shd w:val="clear" w:color="auto" w:fill="auto"/>
            <w:hideMark/>
          </w:tcPr>
          <w:p w14:paraId="2D8C72CA"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напредак у спровођењу</w:t>
            </w:r>
          </w:p>
        </w:tc>
        <w:tc>
          <w:tcPr>
            <w:tcW w:w="3118" w:type="dxa"/>
            <w:shd w:val="clear" w:color="auto" w:fill="auto"/>
            <w:hideMark/>
          </w:tcPr>
          <w:p w14:paraId="001C749F"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410" w:type="dxa"/>
            <w:shd w:val="clear" w:color="auto" w:fill="auto"/>
            <w:hideMark/>
          </w:tcPr>
          <w:p w14:paraId="5EB2A4F1"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066E9FB3"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6458EB" w:rsidRPr="00092ED7" w14:paraId="6709C2C3" w14:textId="77777777" w:rsidTr="004F56D8">
        <w:trPr>
          <w:trHeight w:val="1056"/>
        </w:trPr>
        <w:tc>
          <w:tcPr>
            <w:tcW w:w="560" w:type="dxa"/>
            <w:shd w:val="clear" w:color="auto" w:fill="auto"/>
            <w:noWrap/>
            <w:hideMark/>
          </w:tcPr>
          <w:p w14:paraId="31D6D1EE" w14:textId="77777777" w:rsidR="006458EB" w:rsidRPr="00092ED7" w:rsidRDefault="006458EB" w:rsidP="006458EB">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3.</w:t>
            </w:r>
          </w:p>
        </w:tc>
        <w:tc>
          <w:tcPr>
            <w:tcW w:w="4407" w:type="dxa"/>
            <w:shd w:val="clear" w:color="auto" w:fill="auto"/>
            <w:hideMark/>
          </w:tcPr>
          <w:p w14:paraId="19406683" w14:textId="77777777" w:rsidR="006458EB" w:rsidRPr="00092ED7" w:rsidRDefault="006458EB" w:rsidP="006458EB">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Усмеравање пуног износа накнаде у подстицаје за енергетску ефикасност кроз активности Управе</w:t>
            </w:r>
          </w:p>
        </w:tc>
        <w:tc>
          <w:tcPr>
            <w:tcW w:w="1701" w:type="dxa"/>
            <w:shd w:val="clear" w:color="auto" w:fill="auto"/>
            <w:hideMark/>
          </w:tcPr>
          <w:p w14:paraId="56A97B44"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потпуно спроведене</w:t>
            </w:r>
          </w:p>
        </w:tc>
        <w:tc>
          <w:tcPr>
            <w:tcW w:w="3118" w:type="dxa"/>
            <w:shd w:val="clear" w:color="auto" w:fill="auto"/>
            <w:hideMark/>
          </w:tcPr>
          <w:p w14:paraId="3EEACB13"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410" w:type="dxa"/>
            <w:shd w:val="clear" w:color="auto" w:fill="auto"/>
            <w:hideMark/>
          </w:tcPr>
          <w:p w14:paraId="507D7CE8"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792DA46C"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У буџету за 2022 годину за подстицаје које даје Управа обезбеђено је 1,983 милијарде динара, док је у 2021. години од накнада прикупљено око 1,38 милијарди динара.</w:t>
            </w:r>
          </w:p>
        </w:tc>
      </w:tr>
      <w:tr w:rsidR="006458EB" w:rsidRPr="00092ED7" w14:paraId="58EAE055" w14:textId="77777777" w:rsidTr="004F56D8">
        <w:trPr>
          <w:trHeight w:val="1404"/>
        </w:trPr>
        <w:tc>
          <w:tcPr>
            <w:tcW w:w="560" w:type="dxa"/>
            <w:shd w:val="clear" w:color="auto" w:fill="auto"/>
            <w:noWrap/>
            <w:hideMark/>
          </w:tcPr>
          <w:p w14:paraId="7C8192AB" w14:textId="77777777" w:rsidR="006458EB" w:rsidRPr="00092ED7" w:rsidRDefault="006458EB" w:rsidP="006458EB">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4.</w:t>
            </w:r>
          </w:p>
        </w:tc>
        <w:tc>
          <w:tcPr>
            <w:tcW w:w="4407" w:type="dxa"/>
            <w:shd w:val="clear" w:color="auto" w:fill="auto"/>
            <w:hideMark/>
          </w:tcPr>
          <w:p w14:paraId="11E4B68A" w14:textId="77777777" w:rsidR="006458EB" w:rsidRPr="00092ED7" w:rsidRDefault="006458EB" w:rsidP="006458EB">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Финансирање пројеката енергетске ефикасности</w:t>
            </w:r>
          </w:p>
        </w:tc>
        <w:tc>
          <w:tcPr>
            <w:tcW w:w="1701" w:type="dxa"/>
            <w:shd w:val="clear" w:color="auto" w:fill="auto"/>
            <w:hideMark/>
          </w:tcPr>
          <w:p w14:paraId="0E3B8EE6"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потпуно спроведене</w:t>
            </w:r>
          </w:p>
        </w:tc>
        <w:tc>
          <w:tcPr>
            <w:tcW w:w="3118" w:type="dxa"/>
            <w:shd w:val="clear" w:color="auto" w:fill="auto"/>
            <w:hideMark/>
          </w:tcPr>
          <w:p w14:paraId="1DE5BAF7"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410" w:type="dxa"/>
            <w:shd w:val="clear" w:color="auto" w:fill="auto"/>
            <w:hideMark/>
          </w:tcPr>
          <w:p w14:paraId="11424C0F"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376C8303"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Kонтинуирана активност. Тренутно се у МРЕ реализују пројекти у вредности од око 522 милиона евра, а плану су нови пројекти од око 402 милиона евра. Очекивани резултат свих ових пројеката су уштеде енергије од око 952 GWh/годишње и смањење емисија CO</w:t>
            </w:r>
            <w:r w:rsidRPr="00092ED7">
              <w:rPr>
                <w:rFonts w:eastAsia="Times New Roman" w:cs="Times New Roman"/>
                <w:color w:val="000000"/>
                <w:sz w:val="18"/>
                <w:szCs w:val="18"/>
                <w:vertAlign w:val="subscript"/>
                <w:lang w:val="sr-Cyrl-CS" w:eastAsia="sr-Latn-RS"/>
              </w:rPr>
              <w:t>2</w:t>
            </w:r>
            <w:r w:rsidRPr="00092ED7">
              <w:rPr>
                <w:rFonts w:eastAsia="Times New Roman" w:cs="Times New Roman"/>
                <w:color w:val="000000"/>
                <w:sz w:val="18"/>
                <w:szCs w:val="18"/>
                <w:lang w:val="sr-Cyrl-CS" w:eastAsia="sr-Latn-RS"/>
              </w:rPr>
              <w:t xml:space="preserve"> 580.482 t.</w:t>
            </w:r>
          </w:p>
        </w:tc>
      </w:tr>
      <w:tr w:rsidR="006458EB" w:rsidRPr="00092ED7" w14:paraId="11E14FAA" w14:textId="77777777" w:rsidTr="004F56D8">
        <w:trPr>
          <w:trHeight w:val="540"/>
        </w:trPr>
        <w:tc>
          <w:tcPr>
            <w:tcW w:w="560" w:type="dxa"/>
            <w:shd w:val="clear" w:color="auto" w:fill="auto"/>
            <w:noWrap/>
            <w:hideMark/>
          </w:tcPr>
          <w:p w14:paraId="45ACF957" w14:textId="77777777" w:rsidR="006458EB" w:rsidRPr="00092ED7" w:rsidRDefault="006458EB" w:rsidP="006458EB">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5.</w:t>
            </w:r>
          </w:p>
        </w:tc>
        <w:tc>
          <w:tcPr>
            <w:tcW w:w="4407" w:type="dxa"/>
            <w:shd w:val="clear" w:color="auto" w:fill="auto"/>
            <w:hideMark/>
          </w:tcPr>
          <w:p w14:paraId="17E65DFE" w14:textId="77777777" w:rsidR="006458EB" w:rsidRPr="00092ED7" w:rsidRDefault="006458EB" w:rsidP="006458EB">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Јачање капацитета за спровођење политике енергетске ефикасности</w:t>
            </w:r>
          </w:p>
        </w:tc>
        <w:tc>
          <w:tcPr>
            <w:tcW w:w="1701" w:type="dxa"/>
            <w:shd w:val="clear" w:color="auto" w:fill="auto"/>
            <w:hideMark/>
          </w:tcPr>
          <w:p w14:paraId="7BB09583"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напредак у спровођењу</w:t>
            </w:r>
          </w:p>
        </w:tc>
        <w:tc>
          <w:tcPr>
            <w:tcW w:w="3118" w:type="dxa"/>
            <w:shd w:val="clear" w:color="auto" w:fill="auto"/>
            <w:hideMark/>
          </w:tcPr>
          <w:p w14:paraId="4064C44B"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410" w:type="dxa"/>
            <w:shd w:val="clear" w:color="auto" w:fill="auto"/>
            <w:hideMark/>
          </w:tcPr>
          <w:p w14:paraId="74CB34E7"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32B982F2" w14:textId="77777777" w:rsidR="006458EB" w:rsidRPr="00092ED7" w:rsidRDefault="006458EB"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6458EB" w:rsidRPr="00092ED7" w14:paraId="7A63FB8B" w14:textId="77777777" w:rsidTr="004F56D8">
        <w:trPr>
          <w:trHeight w:val="360"/>
        </w:trPr>
        <w:tc>
          <w:tcPr>
            <w:tcW w:w="560" w:type="dxa"/>
            <w:shd w:val="clear" w:color="auto" w:fill="auto"/>
            <w:hideMark/>
          </w:tcPr>
          <w:p w14:paraId="0BB9E6C1" w14:textId="77777777" w:rsidR="006458EB" w:rsidRPr="00092ED7" w:rsidRDefault="006458EB" w:rsidP="006458EB">
            <w:pPr>
              <w:spacing w:after="0"/>
              <w:jc w:val="left"/>
              <w:rPr>
                <w:rFonts w:eastAsia="Times New Roman" w:cs="Times New Roman"/>
                <w:color w:val="000000"/>
                <w:sz w:val="18"/>
                <w:szCs w:val="18"/>
                <w:lang w:val="sr-Cyrl-CS" w:eastAsia="sr-Latn-RS"/>
              </w:rPr>
            </w:pPr>
          </w:p>
        </w:tc>
        <w:tc>
          <w:tcPr>
            <w:tcW w:w="4407" w:type="dxa"/>
            <w:shd w:val="clear" w:color="auto" w:fill="auto"/>
            <w:hideMark/>
          </w:tcPr>
          <w:p w14:paraId="75D64437" w14:textId="77777777" w:rsidR="006458EB" w:rsidRPr="00092ED7" w:rsidRDefault="006458EB" w:rsidP="006458EB">
            <w:pPr>
              <w:spacing w:after="0"/>
              <w:jc w:val="left"/>
              <w:rPr>
                <w:rFonts w:eastAsia="Times New Roman" w:cs="Times New Roman"/>
                <w:sz w:val="18"/>
                <w:szCs w:val="18"/>
                <w:lang w:val="sr-Cyrl-CS" w:eastAsia="sr-Latn-RS"/>
              </w:rPr>
            </w:pPr>
          </w:p>
        </w:tc>
        <w:tc>
          <w:tcPr>
            <w:tcW w:w="1701" w:type="dxa"/>
            <w:shd w:val="clear" w:color="000000" w:fill="BDD7EE"/>
            <w:noWrap/>
            <w:vAlign w:val="bottom"/>
            <w:hideMark/>
          </w:tcPr>
          <w:p w14:paraId="3803E479" w14:textId="77777777" w:rsidR="006458EB" w:rsidRPr="00092ED7" w:rsidRDefault="006458EB" w:rsidP="006458EB">
            <w:pPr>
              <w:spacing w:after="0"/>
              <w:jc w:val="center"/>
              <w:rPr>
                <w:rFonts w:eastAsia="Times New Roman" w:cs="Times New Roman"/>
                <w:sz w:val="28"/>
                <w:szCs w:val="28"/>
                <w:lang w:val="sr-Cyrl-CS" w:eastAsia="sr-Latn-RS"/>
              </w:rPr>
            </w:pPr>
            <w:r w:rsidRPr="00092ED7">
              <w:rPr>
                <w:rFonts w:eastAsia="Times New Roman" w:cs="Times New Roman"/>
                <w:sz w:val="28"/>
                <w:szCs w:val="28"/>
                <w:lang w:val="sr-Cyrl-CS" w:eastAsia="sr-Latn-RS"/>
              </w:rPr>
              <w:t>92%</w:t>
            </w:r>
          </w:p>
        </w:tc>
        <w:tc>
          <w:tcPr>
            <w:tcW w:w="3118" w:type="dxa"/>
            <w:shd w:val="clear" w:color="auto" w:fill="auto"/>
            <w:noWrap/>
            <w:hideMark/>
          </w:tcPr>
          <w:p w14:paraId="0860BE6B" w14:textId="77777777" w:rsidR="006458EB" w:rsidRPr="00092ED7" w:rsidRDefault="006458EB" w:rsidP="006458EB">
            <w:pPr>
              <w:spacing w:after="0"/>
              <w:jc w:val="center"/>
              <w:rPr>
                <w:rFonts w:eastAsia="Times New Roman" w:cs="Times New Roman"/>
                <w:sz w:val="18"/>
                <w:szCs w:val="18"/>
                <w:lang w:val="sr-Cyrl-CS" w:eastAsia="sr-Latn-RS"/>
              </w:rPr>
            </w:pPr>
          </w:p>
        </w:tc>
        <w:tc>
          <w:tcPr>
            <w:tcW w:w="2410" w:type="dxa"/>
            <w:shd w:val="clear" w:color="auto" w:fill="auto"/>
            <w:noWrap/>
            <w:hideMark/>
          </w:tcPr>
          <w:p w14:paraId="0275B4CA" w14:textId="77777777" w:rsidR="006458EB" w:rsidRPr="00092ED7" w:rsidRDefault="006458EB" w:rsidP="006458EB">
            <w:pPr>
              <w:spacing w:after="0"/>
              <w:jc w:val="left"/>
              <w:rPr>
                <w:rFonts w:eastAsia="Times New Roman" w:cs="Times New Roman"/>
                <w:sz w:val="18"/>
                <w:szCs w:val="18"/>
                <w:lang w:val="sr-Cyrl-CS" w:eastAsia="sr-Latn-RS"/>
              </w:rPr>
            </w:pPr>
          </w:p>
        </w:tc>
        <w:tc>
          <w:tcPr>
            <w:tcW w:w="2693" w:type="dxa"/>
            <w:shd w:val="clear" w:color="auto" w:fill="auto"/>
            <w:noWrap/>
            <w:hideMark/>
          </w:tcPr>
          <w:p w14:paraId="78A55969" w14:textId="77777777" w:rsidR="006458EB" w:rsidRPr="00092ED7" w:rsidRDefault="006458EB" w:rsidP="006458EB">
            <w:pPr>
              <w:spacing w:after="0"/>
              <w:jc w:val="left"/>
              <w:rPr>
                <w:rFonts w:eastAsia="Times New Roman" w:cs="Times New Roman"/>
                <w:sz w:val="18"/>
                <w:szCs w:val="18"/>
                <w:lang w:val="sr-Cyrl-CS" w:eastAsia="sr-Latn-RS"/>
              </w:rPr>
            </w:pPr>
          </w:p>
        </w:tc>
      </w:tr>
      <w:tr w:rsidR="009349ED" w:rsidRPr="00092ED7" w14:paraId="4D053587" w14:textId="77777777" w:rsidTr="004F56D8">
        <w:trPr>
          <w:trHeight w:val="375"/>
        </w:trPr>
        <w:tc>
          <w:tcPr>
            <w:tcW w:w="560" w:type="dxa"/>
            <w:shd w:val="clear" w:color="auto" w:fill="D9D9D9" w:themeFill="background1" w:themeFillShade="D9"/>
            <w:noWrap/>
            <w:hideMark/>
          </w:tcPr>
          <w:p w14:paraId="68B5F1B7" w14:textId="77777777" w:rsidR="009349ED" w:rsidRPr="00092ED7" w:rsidRDefault="009349ED" w:rsidP="006458EB">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14329" w:type="dxa"/>
            <w:gridSpan w:val="5"/>
            <w:shd w:val="clear" w:color="auto" w:fill="D9D9D9" w:themeFill="background1" w:themeFillShade="D9"/>
            <w:noWrap/>
            <w:vAlign w:val="center"/>
            <w:hideMark/>
          </w:tcPr>
          <w:p w14:paraId="2706DAD0" w14:textId="77777777" w:rsidR="009349ED" w:rsidRPr="00092ED7" w:rsidRDefault="009349ED" w:rsidP="006458EB">
            <w:pPr>
              <w:spacing w:after="0"/>
              <w:jc w:val="left"/>
              <w:rPr>
                <w:rFonts w:eastAsia="Times New Roman" w:cs="Times New Roman"/>
                <w:b/>
                <w:bCs/>
                <w:sz w:val="18"/>
                <w:szCs w:val="18"/>
                <w:lang w:val="sr-Cyrl-CS" w:eastAsia="sr-Latn-RS"/>
              </w:rPr>
            </w:pPr>
            <w:r w:rsidRPr="00092ED7">
              <w:rPr>
                <w:rFonts w:eastAsia="Times New Roman" w:cs="Times New Roman"/>
                <w:b/>
                <w:bCs/>
                <w:sz w:val="18"/>
                <w:szCs w:val="18"/>
                <w:lang w:val="sr-Cyrl-CS" w:eastAsia="sr-Latn-RS"/>
              </w:rPr>
              <w:t>СР 9. ТРАНСФОРМАЦИЈА ПОРЕСКЕ УПРАВЕ</w:t>
            </w:r>
          </w:p>
        </w:tc>
      </w:tr>
      <w:tr w:rsidR="009349ED" w:rsidRPr="00092ED7" w14:paraId="256E9EC8" w14:textId="77777777" w:rsidTr="004F56D8">
        <w:trPr>
          <w:trHeight w:val="375"/>
        </w:trPr>
        <w:tc>
          <w:tcPr>
            <w:tcW w:w="560" w:type="dxa"/>
            <w:shd w:val="clear" w:color="auto" w:fill="auto"/>
            <w:noWrap/>
          </w:tcPr>
          <w:p w14:paraId="5BE35F52" w14:textId="77777777" w:rsidR="009349ED" w:rsidRPr="00092ED7" w:rsidRDefault="009349ED" w:rsidP="009349ED">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lastRenderedPageBreak/>
              <w:t>1.</w:t>
            </w:r>
          </w:p>
        </w:tc>
        <w:tc>
          <w:tcPr>
            <w:tcW w:w="4407" w:type="dxa"/>
            <w:shd w:val="clear" w:color="auto" w:fill="auto"/>
            <w:noWrap/>
          </w:tcPr>
          <w:p w14:paraId="3CCCC07B" w14:textId="77777777" w:rsidR="009349ED" w:rsidRPr="00092ED7" w:rsidRDefault="009349ED" w:rsidP="009349ED">
            <w:pPr>
              <w:spacing w:after="0"/>
              <w:jc w:val="left"/>
              <w:rPr>
                <w:rFonts w:eastAsia="Times New Roman" w:cs="Times New Roman"/>
                <w:b/>
                <w:bCs/>
                <w:sz w:val="18"/>
                <w:szCs w:val="18"/>
                <w:lang w:val="sr-Cyrl-CS" w:eastAsia="sr-Latn-RS"/>
              </w:rPr>
            </w:pPr>
            <w:r w:rsidRPr="00092ED7">
              <w:rPr>
                <w:rFonts w:eastAsia="Times New Roman" w:cs="Times New Roman"/>
                <w:sz w:val="18"/>
                <w:szCs w:val="18"/>
                <w:lang w:val="sr-Cyrl-CS" w:eastAsia="sr-Latn-RS"/>
              </w:rPr>
              <w:t>Реинжењеринг пословних процеса, укључујући обуку тренера за увођење нових функција у оперативне јединице  Пoреске управе РС</w:t>
            </w:r>
          </w:p>
        </w:tc>
        <w:tc>
          <w:tcPr>
            <w:tcW w:w="1701" w:type="dxa"/>
            <w:shd w:val="clear" w:color="auto" w:fill="auto"/>
          </w:tcPr>
          <w:p w14:paraId="1600F38C" w14:textId="77777777" w:rsidR="009349ED" w:rsidRPr="00092ED7" w:rsidRDefault="009349ED" w:rsidP="009349ED">
            <w:pPr>
              <w:spacing w:after="0"/>
              <w:jc w:val="left"/>
              <w:rPr>
                <w:rFonts w:eastAsia="Times New Roman" w:cs="Times New Roman"/>
                <w:b/>
                <w:bCs/>
                <w:sz w:val="18"/>
                <w:szCs w:val="18"/>
                <w:lang w:val="sr-Cyrl-CS" w:eastAsia="sr-Latn-RS"/>
              </w:rPr>
            </w:pPr>
            <w:r w:rsidRPr="00092ED7">
              <w:rPr>
                <w:rFonts w:eastAsia="Times New Roman" w:cs="Times New Roman"/>
                <w:color w:val="000000"/>
                <w:sz w:val="18"/>
                <w:szCs w:val="18"/>
                <w:lang w:val="sr-Cyrl-CS" w:eastAsia="sr-Latn-RS"/>
              </w:rPr>
              <w:t>напредак у спровођењу</w:t>
            </w:r>
          </w:p>
        </w:tc>
        <w:tc>
          <w:tcPr>
            <w:tcW w:w="3118" w:type="dxa"/>
            <w:shd w:val="clear" w:color="auto" w:fill="auto"/>
          </w:tcPr>
          <w:p w14:paraId="3D8BF290" w14:textId="6F402E74" w:rsidR="009349ED" w:rsidRPr="00092ED7" w:rsidRDefault="009349ED" w:rsidP="00E150E9">
            <w:pPr>
              <w:spacing w:after="0"/>
              <w:jc w:val="left"/>
              <w:rPr>
                <w:rFonts w:eastAsia="Times New Roman" w:cs="Times New Roman"/>
                <w:b/>
                <w:bCs/>
                <w:sz w:val="18"/>
                <w:szCs w:val="18"/>
                <w:lang w:val="sr-Cyrl-CS" w:eastAsia="sr-Latn-RS"/>
              </w:rPr>
            </w:pPr>
            <w:r w:rsidRPr="00092ED7">
              <w:rPr>
                <w:rFonts w:eastAsia="Times New Roman" w:cs="Times New Roman"/>
                <w:color w:val="000000"/>
                <w:sz w:val="18"/>
                <w:szCs w:val="18"/>
                <w:lang w:val="sr-Cyrl-CS" w:eastAsia="sr-Latn-RS"/>
              </w:rPr>
              <w:t xml:space="preserve">У вези са спровођењем консултантских услуга за Реинжењеринг пословних процеса у пореским пословима, укључујући обуку тренера за увођење нових функција у организационе  јединице Пореске управе (у даљем тексту: РПП), одржане су интерактивне радионице изабраног консултанта са тимовима Пореске управе, формираним по функционалностима, на којима се разрађивао нови Општи пословни модел Пореске управе у детаљима, са посебним освртом на концепт увођења једног рачуна за уплату јавних прихода и варијанти начина обрачуна камате на доспеле, неплаћене обавезе, у контексту њиховог утицаја на редизајниране пословне процесе. 7. јуна 2022.године консултант је доставио нацрт извештаја </w:t>
            </w:r>
            <w:r w:rsidR="007075DF" w:rsidRPr="00092ED7">
              <w:rPr>
                <w:rFonts w:eastAsia="Times New Roman" w:cs="Times New Roman"/>
                <w:color w:val="000000"/>
                <w:sz w:val="18"/>
                <w:szCs w:val="18"/>
                <w:lang w:val="sr-Cyrl-CS" w:eastAsia="sr-Latn-RS"/>
              </w:rPr>
              <w:t>„</w:t>
            </w:r>
            <w:r w:rsidRPr="00092ED7">
              <w:rPr>
                <w:rFonts w:eastAsia="Times New Roman" w:cs="Times New Roman"/>
                <w:color w:val="000000"/>
                <w:sz w:val="18"/>
                <w:szCs w:val="18"/>
                <w:lang w:val="sr-Cyrl-CS" w:eastAsia="sr-Latn-RS"/>
              </w:rPr>
              <w:t>Дизајн пословних процеса са прилозима и презентацијама</w:t>
            </w:r>
            <w:r w:rsidR="007075DF" w:rsidRPr="00092ED7">
              <w:rPr>
                <w:rFonts w:cs="Times New Roman"/>
                <w:sz w:val="18"/>
                <w:szCs w:val="18"/>
                <w:lang w:val="sr-Cyrl-CS"/>
              </w:rPr>
              <w:t>”</w:t>
            </w:r>
            <w:r w:rsidRPr="00092ED7">
              <w:rPr>
                <w:rFonts w:eastAsia="Times New Roman" w:cs="Times New Roman"/>
                <w:color w:val="000000"/>
                <w:sz w:val="18"/>
                <w:szCs w:val="18"/>
                <w:lang w:val="sr-Cyrl-CS" w:eastAsia="sr-Latn-RS"/>
              </w:rPr>
              <w:t xml:space="preserve"> на изјашњење.</w:t>
            </w:r>
            <w:r w:rsidR="003E4638" w:rsidRPr="00092ED7">
              <w:rPr>
                <w:rFonts w:eastAsia="Times New Roman" w:cs="Times New Roman"/>
                <w:color w:val="000000"/>
                <w:sz w:val="18"/>
                <w:szCs w:val="18"/>
                <w:lang w:val="sr-Cyrl-CS" w:eastAsia="sr-Latn-RS"/>
              </w:rPr>
              <w:t xml:space="preserve"> Након усаглашавања и донетих одлука о свим битним питањима, консултант је приступио изради коначне верзије документа </w:t>
            </w:r>
            <w:r w:rsidR="007075DF" w:rsidRPr="00092ED7">
              <w:rPr>
                <w:rFonts w:eastAsia="Times New Roman" w:cs="Times New Roman"/>
                <w:color w:val="000000"/>
                <w:sz w:val="18"/>
                <w:szCs w:val="18"/>
                <w:lang w:val="sr-Cyrl-CS" w:eastAsia="sr-Latn-RS"/>
              </w:rPr>
              <w:t>„</w:t>
            </w:r>
            <w:r w:rsidR="003E4638" w:rsidRPr="00092ED7">
              <w:rPr>
                <w:rFonts w:eastAsia="Times New Roman" w:cs="Times New Roman"/>
                <w:color w:val="000000"/>
                <w:sz w:val="18"/>
                <w:szCs w:val="18"/>
                <w:lang w:val="sr-Cyrl-CS" w:eastAsia="sr-Latn-RS"/>
              </w:rPr>
              <w:t>Дизајн пословних процеса са прилозима и презентацијама</w:t>
            </w:r>
            <w:r w:rsidR="007075DF" w:rsidRPr="00092ED7">
              <w:rPr>
                <w:rFonts w:cs="Times New Roman"/>
                <w:sz w:val="18"/>
                <w:szCs w:val="18"/>
                <w:lang w:val="sr-Cyrl-CS"/>
              </w:rPr>
              <w:t>”</w:t>
            </w:r>
            <w:r w:rsidR="003E4638" w:rsidRPr="00092ED7">
              <w:rPr>
                <w:rFonts w:eastAsia="Times New Roman" w:cs="Times New Roman"/>
                <w:color w:val="000000"/>
                <w:sz w:val="18"/>
                <w:szCs w:val="18"/>
                <w:lang w:val="sr-Cyrl-CS" w:eastAsia="sr-Latn-RS"/>
              </w:rPr>
              <w:t xml:space="preserve">. </w:t>
            </w:r>
            <w:r w:rsidR="00E150E9" w:rsidRPr="00092ED7">
              <w:rPr>
                <w:rFonts w:eastAsia="Times New Roman" w:cs="Times New Roman"/>
                <w:color w:val="000000"/>
                <w:sz w:val="18"/>
                <w:szCs w:val="18"/>
                <w:lang w:val="sr-Cyrl-CS" w:eastAsia="sr-Latn-RS"/>
              </w:rPr>
              <w:t xml:space="preserve">Пореска управа </w:t>
            </w:r>
            <w:r w:rsidR="003E4638" w:rsidRPr="00092ED7">
              <w:rPr>
                <w:rFonts w:eastAsia="Times New Roman" w:cs="Times New Roman"/>
                <w:color w:val="000000"/>
                <w:sz w:val="18"/>
                <w:szCs w:val="18"/>
                <w:lang w:val="sr-Cyrl-CS" w:eastAsia="sr-Latn-RS"/>
              </w:rPr>
              <w:t>је исказа</w:t>
            </w:r>
            <w:r w:rsidR="00E150E9" w:rsidRPr="00092ED7">
              <w:rPr>
                <w:rFonts w:eastAsia="Times New Roman" w:cs="Times New Roman"/>
                <w:color w:val="000000"/>
                <w:sz w:val="18"/>
                <w:szCs w:val="18"/>
                <w:lang w:val="sr-Cyrl-CS" w:eastAsia="sr-Latn-RS"/>
              </w:rPr>
              <w:t>ла</w:t>
            </w:r>
            <w:r w:rsidR="003E4638" w:rsidRPr="00092ED7">
              <w:rPr>
                <w:rFonts w:eastAsia="Times New Roman" w:cs="Times New Roman"/>
                <w:color w:val="000000"/>
                <w:sz w:val="18"/>
                <w:szCs w:val="18"/>
                <w:lang w:val="sr-Cyrl-CS" w:eastAsia="sr-Latn-RS"/>
              </w:rPr>
              <w:t xml:space="preserve"> очекивање да наведени документ садржи листу пословних процеса са тачно одређеним носиоцима истих, односно јасно дефинисаним надлежностима и одговорностима. У складу са сугестијама и одлукама донетим од стране Пореске управе и Министарства финансија консултант је доставио нацрт коначне верзије документа Дизајн пословних процеса са прилозима и презентацијама који је презентован Министарству </w:t>
            </w:r>
            <w:r w:rsidR="003E4638" w:rsidRPr="00092ED7">
              <w:rPr>
                <w:rFonts w:eastAsia="Times New Roman" w:cs="Times New Roman"/>
                <w:color w:val="000000"/>
                <w:sz w:val="18"/>
                <w:szCs w:val="18"/>
                <w:lang w:val="sr-Cyrl-CS" w:eastAsia="sr-Latn-RS"/>
              </w:rPr>
              <w:lastRenderedPageBreak/>
              <w:t>финансија и Пореској управи. Коначна верзија документа усвојена је на 47. седници Одбора за спровођење Програма трансформације.</w:t>
            </w:r>
          </w:p>
        </w:tc>
        <w:tc>
          <w:tcPr>
            <w:tcW w:w="2410" w:type="dxa"/>
            <w:shd w:val="clear" w:color="auto" w:fill="auto"/>
            <w:vAlign w:val="center"/>
          </w:tcPr>
          <w:p w14:paraId="3CE55AB3" w14:textId="77777777" w:rsidR="009349ED" w:rsidRPr="00092ED7" w:rsidRDefault="009349ED" w:rsidP="009349ED">
            <w:pPr>
              <w:spacing w:after="0"/>
              <w:jc w:val="left"/>
              <w:rPr>
                <w:rFonts w:eastAsia="Times New Roman" w:cs="Times New Roman"/>
                <w:b/>
                <w:bCs/>
                <w:sz w:val="18"/>
                <w:szCs w:val="18"/>
                <w:lang w:val="sr-Cyrl-CS" w:eastAsia="sr-Latn-RS"/>
              </w:rPr>
            </w:pPr>
          </w:p>
        </w:tc>
        <w:tc>
          <w:tcPr>
            <w:tcW w:w="2693" w:type="dxa"/>
            <w:shd w:val="clear" w:color="auto" w:fill="auto"/>
            <w:vAlign w:val="center"/>
          </w:tcPr>
          <w:p w14:paraId="45D55D71" w14:textId="77777777" w:rsidR="009349ED" w:rsidRPr="00092ED7" w:rsidRDefault="009349ED" w:rsidP="009349ED">
            <w:pPr>
              <w:spacing w:after="0"/>
              <w:jc w:val="left"/>
              <w:rPr>
                <w:rFonts w:eastAsia="Times New Roman" w:cs="Times New Roman"/>
                <w:b/>
                <w:bCs/>
                <w:sz w:val="18"/>
                <w:szCs w:val="18"/>
                <w:lang w:val="sr-Cyrl-CS" w:eastAsia="sr-Latn-RS"/>
              </w:rPr>
            </w:pPr>
          </w:p>
        </w:tc>
      </w:tr>
      <w:tr w:rsidR="003E4638" w:rsidRPr="00092ED7" w14:paraId="765B4A0A" w14:textId="77777777" w:rsidTr="004F56D8">
        <w:trPr>
          <w:trHeight w:val="375"/>
        </w:trPr>
        <w:tc>
          <w:tcPr>
            <w:tcW w:w="560" w:type="dxa"/>
            <w:shd w:val="clear" w:color="auto" w:fill="auto"/>
            <w:noWrap/>
          </w:tcPr>
          <w:p w14:paraId="1FCE1342"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2.</w:t>
            </w:r>
          </w:p>
        </w:tc>
        <w:tc>
          <w:tcPr>
            <w:tcW w:w="4407" w:type="dxa"/>
            <w:shd w:val="clear" w:color="auto" w:fill="auto"/>
            <w:noWrap/>
          </w:tcPr>
          <w:p w14:paraId="3FC59215" w14:textId="77777777" w:rsidR="003E4638" w:rsidRPr="00092ED7" w:rsidRDefault="003E4638" w:rsidP="003E4638">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Реализација активности из Плана набавке ТАМП (Пројекта модернизације Пореске управе)</w:t>
            </w:r>
          </w:p>
        </w:tc>
        <w:tc>
          <w:tcPr>
            <w:tcW w:w="1701" w:type="dxa"/>
            <w:shd w:val="clear" w:color="auto" w:fill="auto"/>
          </w:tcPr>
          <w:p w14:paraId="198217EF"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напредак у спровођењу</w:t>
            </w:r>
          </w:p>
        </w:tc>
        <w:tc>
          <w:tcPr>
            <w:tcW w:w="3118" w:type="dxa"/>
            <w:shd w:val="clear" w:color="auto" w:fill="auto"/>
          </w:tcPr>
          <w:p w14:paraId="2EDCD94F" w14:textId="0299F5DC"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Спроведене су активности у вези са пројектом „Консултантске услуге за институционални развој функције  људских ресурса Пореске управеРепублике Србије</w:t>
            </w:r>
            <w:r w:rsidR="003B5902" w:rsidRPr="00092ED7">
              <w:rPr>
                <w:rFonts w:eastAsia="Times New Roman" w:cs="Times New Roman"/>
                <w:color w:val="000000"/>
                <w:sz w:val="18"/>
                <w:szCs w:val="18"/>
                <w:lang w:val="sr-Cyrl-CS" w:eastAsia="sr-Latn-RS"/>
              </w:rPr>
              <w:t xml:space="preserve">ˮ. </w:t>
            </w:r>
            <w:r w:rsidRPr="00092ED7">
              <w:rPr>
                <w:rFonts w:eastAsia="Times New Roman" w:cs="Times New Roman"/>
                <w:color w:val="000000"/>
                <w:sz w:val="18"/>
                <w:szCs w:val="18"/>
                <w:lang w:val="sr-Cyrl-CS" w:eastAsia="sr-Latn-RS"/>
              </w:rPr>
              <w:t>Пројекат је започет 8.9.202</w:t>
            </w:r>
            <w:r w:rsidR="004B57D8" w:rsidRPr="00092ED7">
              <w:rPr>
                <w:rFonts w:eastAsia="Times New Roman" w:cs="Times New Roman"/>
                <w:color w:val="000000"/>
                <w:sz w:val="18"/>
                <w:szCs w:val="18"/>
                <w:lang w:val="sr-Cyrl-CS" w:eastAsia="sr-Latn-RS"/>
              </w:rPr>
              <w:t>2</w:t>
            </w:r>
            <w:r w:rsidRPr="00092ED7">
              <w:rPr>
                <w:rFonts w:eastAsia="Times New Roman" w:cs="Times New Roman"/>
                <w:color w:val="000000"/>
                <w:sz w:val="18"/>
                <w:szCs w:val="18"/>
                <w:lang w:val="sr-Cyrl-CS" w:eastAsia="sr-Latn-RS"/>
              </w:rPr>
              <w:t>.године и односи се на унапређење функције управљања људским ресурсима кроз развој стратегије људских ресурса и унапређење постојећег информационог система за управљње њудским ресусима.</w:t>
            </w:r>
            <w:r w:rsidR="004B57D8" w:rsidRPr="00092ED7">
              <w:rPr>
                <w:rFonts w:eastAsia="Times New Roman" w:cs="Times New Roman"/>
                <w:color w:val="000000"/>
                <w:sz w:val="18"/>
                <w:szCs w:val="18"/>
                <w:lang w:val="sr-Cyrl-CS" w:eastAsia="sr-Latn-RS"/>
              </w:rPr>
              <w:t xml:space="preserve"> </w:t>
            </w:r>
            <w:r w:rsidRPr="00092ED7">
              <w:rPr>
                <w:rFonts w:eastAsia="Times New Roman" w:cs="Times New Roman"/>
                <w:color w:val="000000"/>
                <w:sz w:val="18"/>
                <w:szCs w:val="18"/>
                <w:lang w:val="sr-Cyrl-CS" w:eastAsia="sr-Latn-RS"/>
              </w:rPr>
              <w:t>Консултант је доставио</w:t>
            </w:r>
            <w:r w:rsidR="004B57D8" w:rsidRPr="00092ED7">
              <w:rPr>
                <w:rFonts w:eastAsia="Times New Roman" w:cs="Times New Roman"/>
                <w:color w:val="000000"/>
                <w:sz w:val="18"/>
                <w:szCs w:val="18"/>
                <w:lang w:val="sr-Cyrl-CS" w:eastAsia="sr-Latn-RS"/>
              </w:rPr>
              <w:t xml:space="preserve"> документе:</w:t>
            </w:r>
            <w:r w:rsidRPr="00092ED7">
              <w:rPr>
                <w:rFonts w:eastAsia="Times New Roman" w:cs="Times New Roman"/>
                <w:color w:val="000000"/>
                <w:sz w:val="18"/>
                <w:szCs w:val="18"/>
                <w:lang w:val="sr-Cyrl-CS" w:eastAsia="sr-Latn-RS"/>
              </w:rPr>
              <w:t xml:space="preserve"> </w:t>
            </w:r>
            <w:r w:rsidR="004514BE" w:rsidRPr="00092ED7">
              <w:rPr>
                <w:rFonts w:eastAsia="Times New Roman" w:cs="Times New Roman"/>
                <w:color w:val="000000"/>
                <w:sz w:val="18"/>
                <w:szCs w:val="18"/>
                <w:lang w:val="sr-Cyrl-CS" w:eastAsia="sr-Latn-RS"/>
              </w:rPr>
              <w:t>„</w:t>
            </w:r>
            <w:r w:rsidRPr="00092ED7">
              <w:rPr>
                <w:rFonts w:eastAsia="Times New Roman" w:cs="Times New Roman"/>
                <w:color w:val="000000"/>
                <w:sz w:val="18"/>
                <w:szCs w:val="18"/>
                <w:lang w:val="sr-Cyrl-CS" w:eastAsia="sr-Latn-RS"/>
              </w:rPr>
              <w:t>Презентација најбољих међународних пракси у области управљања људским ресурсима</w:t>
            </w:r>
            <w:r w:rsidR="004514BE" w:rsidRPr="00092ED7">
              <w:rPr>
                <w:rFonts w:cs="Times New Roman"/>
                <w:sz w:val="18"/>
                <w:szCs w:val="18"/>
                <w:lang w:val="sr-Cyrl-CS"/>
              </w:rPr>
              <w:t>”</w:t>
            </w:r>
            <w:r w:rsidRPr="00092ED7">
              <w:rPr>
                <w:rFonts w:eastAsia="Times New Roman" w:cs="Times New Roman"/>
                <w:color w:val="000000"/>
                <w:sz w:val="18"/>
                <w:szCs w:val="18"/>
                <w:lang w:val="sr-Cyrl-CS" w:eastAsia="sr-Latn-RS"/>
              </w:rPr>
              <w:t xml:space="preserve"> и  </w:t>
            </w:r>
            <w:r w:rsidR="00002884" w:rsidRPr="00092ED7">
              <w:rPr>
                <w:rFonts w:eastAsia="Times New Roman" w:cs="Times New Roman"/>
                <w:color w:val="000000"/>
                <w:sz w:val="18"/>
                <w:szCs w:val="18"/>
                <w:lang w:val="sr-Cyrl-CS" w:eastAsia="sr-Latn-RS"/>
              </w:rPr>
              <w:t>„</w:t>
            </w:r>
            <w:r w:rsidRPr="00092ED7">
              <w:rPr>
                <w:rFonts w:eastAsia="Times New Roman" w:cs="Times New Roman"/>
                <w:color w:val="000000"/>
                <w:sz w:val="18"/>
                <w:szCs w:val="18"/>
                <w:lang w:val="sr-Cyrl-CS" w:eastAsia="sr-Latn-RS"/>
              </w:rPr>
              <w:t>Анализа разлике између постојећег и жељеног стања ПУРС</w:t>
            </w:r>
            <w:r w:rsidR="0031427F" w:rsidRPr="00092ED7">
              <w:rPr>
                <w:rFonts w:cs="Times New Roman"/>
                <w:sz w:val="18"/>
                <w:szCs w:val="18"/>
                <w:lang w:val="sr-Cyrl-CS"/>
              </w:rPr>
              <w:t>”</w:t>
            </w:r>
            <w:r w:rsidRPr="00092ED7">
              <w:rPr>
                <w:rFonts w:eastAsia="Times New Roman" w:cs="Times New Roman"/>
                <w:color w:val="000000"/>
                <w:sz w:val="18"/>
                <w:szCs w:val="18"/>
                <w:lang w:val="sr-Cyrl-CS" w:eastAsia="sr-Latn-RS"/>
              </w:rPr>
              <w:t xml:space="preserve">  који су тренутно предмет изјашњења </w:t>
            </w:r>
            <w:r w:rsidR="00E150E9" w:rsidRPr="00092ED7">
              <w:rPr>
                <w:rFonts w:eastAsia="Times New Roman" w:cs="Times New Roman"/>
                <w:color w:val="000000"/>
                <w:sz w:val="18"/>
                <w:szCs w:val="18"/>
                <w:lang w:val="sr-Cyrl-CS" w:eastAsia="sr-Latn-RS"/>
              </w:rPr>
              <w:t>Пореске управе</w:t>
            </w:r>
            <w:r w:rsidRPr="00092ED7">
              <w:rPr>
                <w:rFonts w:eastAsia="Times New Roman" w:cs="Times New Roman"/>
                <w:color w:val="000000"/>
                <w:sz w:val="18"/>
                <w:szCs w:val="18"/>
                <w:lang w:val="sr-Cyrl-CS" w:eastAsia="sr-Latn-RS"/>
              </w:rPr>
              <w:t>.</w:t>
            </w:r>
          </w:p>
          <w:p w14:paraId="698968FD" w14:textId="253E4EFE"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Поред тога потписан је уговор  за набавку лиценце Орбис базе података „Transfer Pricing Catalyst Module</w:t>
            </w:r>
            <w:r w:rsidR="000A2F6D" w:rsidRPr="00092ED7">
              <w:rPr>
                <w:rFonts w:cs="Times New Roman"/>
                <w:sz w:val="18"/>
                <w:szCs w:val="18"/>
                <w:lang w:val="sr-Cyrl-CS"/>
              </w:rPr>
              <w:t>”</w:t>
            </w:r>
            <w:r w:rsidRPr="00092ED7">
              <w:rPr>
                <w:rFonts w:eastAsia="Times New Roman" w:cs="Times New Roman"/>
                <w:color w:val="000000"/>
                <w:sz w:val="18"/>
                <w:szCs w:val="18"/>
                <w:lang w:val="sr-Cyrl-CS" w:eastAsia="sr-Latn-RS"/>
              </w:rPr>
              <w:t>, док се остале активности из Плана набавке спроводе ускладу са планом.</w:t>
            </w:r>
          </w:p>
        </w:tc>
        <w:tc>
          <w:tcPr>
            <w:tcW w:w="2410" w:type="dxa"/>
            <w:shd w:val="clear" w:color="auto" w:fill="auto"/>
            <w:vAlign w:val="center"/>
          </w:tcPr>
          <w:p w14:paraId="578DA214" w14:textId="77777777" w:rsidR="003E4638" w:rsidRPr="00092ED7" w:rsidRDefault="003E4638" w:rsidP="003E4638">
            <w:pPr>
              <w:spacing w:after="0"/>
              <w:jc w:val="left"/>
              <w:rPr>
                <w:rFonts w:eastAsia="Times New Roman" w:cs="Times New Roman"/>
                <w:b/>
                <w:bCs/>
                <w:sz w:val="18"/>
                <w:szCs w:val="18"/>
                <w:lang w:val="sr-Cyrl-CS" w:eastAsia="sr-Latn-RS"/>
              </w:rPr>
            </w:pPr>
          </w:p>
        </w:tc>
        <w:tc>
          <w:tcPr>
            <w:tcW w:w="2693" w:type="dxa"/>
            <w:shd w:val="clear" w:color="auto" w:fill="auto"/>
            <w:vAlign w:val="center"/>
          </w:tcPr>
          <w:p w14:paraId="6F8FAFE1" w14:textId="77777777" w:rsidR="003E4638" w:rsidRPr="00092ED7" w:rsidRDefault="003E4638" w:rsidP="003E4638">
            <w:pPr>
              <w:spacing w:after="0"/>
              <w:jc w:val="left"/>
              <w:rPr>
                <w:rFonts w:eastAsia="Times New Roman" w:cs="Times New Roman"/>
                <w:b/>
                <w:bCs/>
                <w:sz w:val="18"/>
                <w:szCs w:val="18"/>
                <w:lang w:val="sr-Cyrl-CS" w:eastAsia="sr-Latn-RS"/>
              </w:rPr>
            </w:pPr>
          </w:p>
        </w:tc>
      </w:tr>
      <w:tr w:rsidR="003E4638" w:rsidRPr="00092ED7" w14:paraId="0BCC9A2A" w14:textId="77777777" w:rsidTr="004F56D8">
        <w:trPr>
          <w:trHeight w:val="375"/>
        </w:trPr>
        <w:tc>
          <w:tcPr>
            <w:tcW w:w="560" w:type="dxa"/>
            <w:shd w:val="clear" w:color="auto" w:fill="auto"/>
            <w:noWrap/>
          </w:tcPr>
          <w:p w14:paraId="273452DA"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3.</w:t>
            </w:r>
          </w:p>
        </w:tc>
        <w:tc>
          <w:tcPr>
            <w:tcW w:w="4407" w:type="dxa"/>
            <w:shd w:val="clear" w:color="auto" w:fill="auto"/>
            <w:noWrap/>
          </w:tcPr>
          <w:p w14:paraId="1D5B3A5B" w14:textId="77777777" w:rsidR="003E4638" w:rsidRPr="00092ED7" w:rsidRDefault="003E4638" w:rsidP="003E4638">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Анализа и увођење савременог система за управљање евиденцијама кроз свеобухватни модел управљања информацијама</w:t>
            </w:r>
          </w:p>
        </w:tc>
        <w:tc>
          <w:tcPr>
            <w:tcW w:w="1701" w:type="dxa"/>
            <w:shd w:val="clear" w:color="auto" w:fill="auto"/>
          </w:tcPr>
          <w:p w14:paraId="4FDA81A2"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напредак у спровођењу</w:t>
            </w:r>
          </w:p>
        </w:tc>
        <w:tc>
          <w:tcPr>
            <w:tcW w:w="3118" w:type="dxa"/>
            <w:shd w:val="clear" w:color="auto" w:fill="auto"/>
          </w:tcPr>
          <w:p w14:paraId="0CAC161F" w14:textId="79E494AE" w:rsidR="003E4638" w:rsidRPr="00092ED7" w:rsidRDefault="003E4638" w:rsidP="00AB47BA">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Консултант за управљање евиденцијама је приступио анализи правног оквира и припреми нацрта  документa „Анализа правне регулативе која се односи на токове документације и архивирање Пореске управе Републике Србије</w:t>
            </w:r>
            <w:r w:rsidR="007370BE" w:rsidRPr="00092ED7">
              <w:rPr>
                <w:rFonts w:cs="Times New Roman"/>
                <w:sz w:val="18"/>
                <w:szCs w:val="18"/>
                <w:lang w:val="sr-Cyrl-CS"/>
              </w:rPr>
              <w:t>”</w:t>
            </w:r>
            <w:r w:rsidRPr="00092ED7">
              <w:rPr>
                <w:rFonts w:eastAsia="Times New Roman" w:cs="Times New Roman"/>
                <w:color w:val="000000"/>
                <w:sz w:val="18"/>
                <w:szCs w:val="18"/>
                <w:lang w:val="sr-Cyrl-CS" w:eastAsia="sr-Latn-RS"/>
              </w:rPr>
              <w:t xml:space="preserve">. Интегрални део документа представља и анализа односа надлежности у вези са порезом на пренос апсолутних права између Пореске управе и локалне пореске </w:t>
            </w:r>
            <w:r w:rsidRPr="00092ED7">
              <w:rPr>
                <w:rFonts w:eastAsia="Times New Roman" w:cs="Times New Roman"/>
                <w:color w:val="000000"/>
                <w:sz w:val="18"/>
                <w:szCs w:val="18"/>
                <w:lang w:val="sr-Cyrl-CS" w:eastAsia="sr-Latn-RS"/>
              </w:rPr>
              <w:lastRenderedPageBreak/>
              <w:t>администрације, док завршни део чине закључци и препоруке за унапређења у вези са поступањем са документарним материјалом и архивском грађом Пореске управе. Коригована верзија Анализе (на основу добијених сугестија) завршена је 29.11.2022. године и поново упућена на коментаре и/или сугестије представницима Пореске управе дана 30.11.2022. године. Консултант је припремио предлог за скраћење рокова чувања регистратурског материјала Пореске управе на основу постојеће (важеће) листе регистратурског материјала са роковима чувања Пореске управе из 2015. године.</w:t>
            </w:r>
          </w:p>
        </w:tc>
        <w:tc>
          <w:tcPr>
            <w:tcW w:w="2410" w:type="dxa"/>
            <w:shd w:val="clear" w:color="auto" w:fill="auto"/>
            <w:vAlign w:val="center"/>
          </w:tcPr>
          <w:p w14:paraId="40D956D0" w14:textId="77777777" w:rsidR="003E4638" w:rsidRPr="00092ED7" w:rsidRDefault="003E4638" w:rsidP="003E4638">
            <w:pPr>
              <w:spacing w:after="0"/>
              <w:jc w:val="left"/>
              <w:rPr>
                <w:rFonts w:eastAsia="Times New Roman" w:cs="Times New Roman"/>
                <w:b/>
                <w:bCs/>
                <w:sz w:val="18"/>
                <w:szCs w:val="18"/>
                <w:lang w:val="sr-Cyrl-CS" w:eastAsia="sr-Latn-RS"/>
              </w:rPr>
            </w:pPr>
          </w:p>
        </w:tc>
        <w:tc>
          <w:tcPr>
            <w:tcW w:w="2693" w:type="dxa"/>
            <w:shd w:val="clear" w:color="auto" w:fill="auto"/>
            <w:vAlign w:val="center"/>
          </w:tcPr>
          <w:p w14:paraId="6CE44233" w14:textId="77777777" w:rsidR="003E4638" w:rsidRPr="00092ED7" w:rsidRDefault="003E4638" w:rsidP="003E4638">
            <w:pPr>
              <w:spacing w:after="0"/>
              <w:jc w:val="left"/>
              <w:rPr>
                <w:rFonts w:eastAsia="Times New Roman" w:cs="Times New Roman"/>
                <w:b/>
                <w:bCs/>
                <w:sz w:val="18"/>
                <w:szCs w:val="18"/>
                <w:lang w:val="sr-Cyrl-CS" w:eastAsia="sr-Latn-RS"/>
              </w:rPr>
            </w:pPr>
          </w:p>
        </w:tc>
      </w:tr>
      <w:tr w:rsidR="003E4638" w:rsidRPr="00092ED7" w14:paraId="2248CF94" w14:textId="77777777" w:rsidTr="004F56D8">
        <w:trPr>
          <w:trHeight w:val="375"/>
        </w:trPr>
        <w:tc>
          <w:tcPr>
            <w:tcW w:w="560" w:type="dxa"/>
            <w:shd w:val="clear" w:color="auto" w:fill="auto"/>
            <w:noWrap/>
          </w:tcPr>
          <w:p w14:paraId="4342E5A5"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4.</w:t>
            </w:r>
          </w:p>
        </w:tc>
        <w:tc>
          <w:tcPr>
            <w:tcW w:w="4407" w:type="dxa"/>
            <w:shd w:val="clear" w:color="auto" w:fill="auto"/>
            <w:noWrap/>
          </w:tcPr>
          <w:p w14:paraId="7870C11B" w14:textId="77777777" w:rsidR="003E4638" w:rsidRPr="00092ED7" w:rsidRDefault="003E4638" w:rsidP="003E4638">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Набавка система за нову платформу ИКТ-а</w:t>
            </w:r>
          </w:p>
        </w:tc>
        <w:tc>
          <w:tcPr>
            <w:tcW w:w="1701" w:type="dxa"/>
            <w:shd w:val="clear" w:color="auto" w:fill="auto"/>
          </w:tcPr>
          <w:p w14:paraId="18AD24AB"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наставак спровођења са почетним резултатима</w:t>
            </w:r>
          </w:p>
        </w:tc>
        <w:tc>
          <w:tcPr>
            <w:tcW w:w="3118" w:type="dxa"/>
            <w:shd w:val="clear" w:color="auto" w:fill="auto"/>
          </w:tcPr>
          <w:p w14:paraId="395CD971" w14:textId="0BB68C23" w:rsidR="003E4638" w:rsidRPr="00092ED7" w:rsidRDefault="003E4638" w:rsidP="0026564E">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xml:space="preserve">У оквиру пројекта </w:t>
            </w:r>
            <w:r w:rsidR="00305C81" w:rsidRPr="00092ED7">
              <w:rPr>
                <w:rFonts w:eastAsia="Times New Roman" w:cs="Times New Roman"/>
                <w:color w:val="000000"/>
                <w:sz w:val="18"/>
                <w:szCs w:val="18"/>
                <w:lang w:val="sr-Cyrl-CS" w:eastAsia="sr-Latn-RS"/>
              </w:rPr>
              <w:t>„</w:t>
            </w:r>
            <w:r w:rsidRPr="00092ED7">
              <w:rPr>
                <w:rFonts w:eastAsia="Times New Roman" w:cs="Times New Roman"/>
                <w:color w:val="000000"/>
                <w:sz w:val="18"/>
                <w:szCs w:val="18"/>
                <w:lang w:val="sr-Cyrl-CS" w:eastAsia="sr-Latn-RS"/>
              </w:rPr>
              <w:t>Набавка готовог комерцијалног решења</w:t>
            </w:r>
            <w:r w:rsidR="00305C81" w:rsidRPr="00092ED7">
              <w:rPr>
                <w:rFonts w:eastAsia="Times New Roman" w:cs="Times New Roman"/>
                <w:color w:val="000000"/>
                <w:sz w:val="18"/>
                <w:szCs w:val="18"/>
                <w:lang w:val="sr-Cyrl-CS" w:eastAsia="sr-Latn-RS"/>
              </w:rPr>
              <w:t>"</w:t>
            </w:r>
            <w:r w:rsidRPr="00092ED7">
              <w:rPr>
                <w:rFonts w:eastAsia="Times New Roman" w:cs="Times New Roman"/>
                <w:color w:val="000000"/>
                <w:sz w:val="18"/>
                <w:szCs w:val="18"/>
                <w:lang w:val="sr-Cyrl-CS" w:eastAsia="sr-Latn-RS"/>
              </w:rPr>
              <w:t xml:space="preserve"> (COTS) сачињени су предлози критеријума за поступак иницијалне селекције добављача и објављен позив за достављање понуда. Рок за достављањe понуда био је 21.11.2022. Одлуком директора Пореске управе формирана је евалуациона комисија за оцену приспелих понуда у поступку набаке готовог комерцијалног решења (COTS). Поред тога 5.12.2022. потписан је уговор са изабраним консултантом за </w:t>
            </w:r>
            <w:r w:rsidR="001E1B53" w:rsidRPr="00092ED7">
              <w:rPr>
                <w:rFonts w:eastAsia="Times New Roman" w:cs="Times New Roman"/>
                <w:color w:val="000000"/>
                <w:sz w:val="18"/>
                <w:szCs w:val="18"/>
                <w:lang w:val="sr-Cyrl-CS" w:eastAsia="sr-Latn-RS"/>
              </w:rPr>
              <w:t>„</w:t>
            </w:r>
            <w:r w:rsidRPr="00092ED7">
              <w:rPr>
                <w:rFonts w:eastAsia="Times New Roman" w:cs="Times New Roman"/>
                <w:color w:val="000000"/>
                <w:sz w:val="18"/>
                <w:szCs w:val="18"/>
                <w:lang w:val="sr-Cyrl-CS" w:eastAsia="sr-Latn-RS"/>
              </w:rPr>
              <w:t>Саветодавне услуге  укупне подршке набавци готовог комерцијалног софтверског решења (ГКСР) за Пореску управу Републике Србије</w:t>
            </w:r>
            <w:r w:rsidR="001E1B53" w:rsidRPr="00092ED7">
              <w:rPr>
                <w:rFonts w:eastAsia="Times New Roman" w:cs="Times New Roman"/>
                <w:color w:val="000000"/>
                <w:sz w:val="18"/>
                <w:szCs w:val="18"/>
                <w:lang w:val="sr-Cyrl-CS" w:eastAsia="sr-Latn-RS"/>
              </w:rPr>
              <w:t>"</w:t>
            </w:r>
            <w:r w:rsidRPr="00092ED7">
              <w:rPr>
                <w:rFonts w:eastAsia="Times New Roman" w:cs="Times New Roman"/>
                <w:color w:val="000000"/>
                <w:sz w:val="18"/>
                <w:szCs w:val="18"/>
                <w:lang w:val="sr-Cyrl-CS" w:eastAsia="sr-Latn-RS"/>
              </w:rPr>
              <w:t>.</w:t>
            </w:r>
          </w:p>
        </w:tc>
        <w:tc>
          <w:tcPr>
            <w:tcW w:w="2410" w:type="dxa"/>
            <w:shd w:val="clear" w:color="auto" w:fill="auto"/>
            <w:vAlign w:val="center"/>
          </w:tcPr>
          <w:p w14:paraId="3A0E9ECA" w14:textId="77777777" w:rsidR="003E4638" w:rsidRPr="00092ED7" w:rsidRDefault="003E4638" w:rsidP="003E4638">
            <w:pPr>
              <w:spacing w:after="0"/>
              <w:jc w:val="left"/>
              <w:rPr>
                <w:rFonts w:eastAsia="Times New Roman" w:cs="Times New Roman"/>
                <w:b/>
                <w:bCs/>
                <w:sz w:val="18"/>
                <w:szCs w:val="18"/>
                <w:lang w:val="sr-Cyrl-CS" w:eastAsia="sr-Latn-RS"/>
              </w:rPr>
            </w:pPr>
          </w:p>
        </w:tc>
        <w:tc>
          <w:tcPr>
            <w:tcW w:w="2693" w:type="dxa"/>
            <w:shd w:val="clear" w:color="auto" w:fill="auto"/>
            <w:vAlign w:val="center"/>
          </w:tcPr>
          <w:p w14:paraId="5DEE83F2" w14:textId="77777777" w:rsidR="003E4638" w:rsidRPr="00092ED7" w:rsidRDefault="003E4638" w:rsidP="003E4638">
            <w:pPr>
              <w:spacing w:after="0"/>
              <w:jc w:val="left"/>
              <w:rPr>
                <w:rFonts w:eastAsia="Times New Roman" w:cs="Times New Roman"/>
                <w:b/>
                <w:bCs/>
                <w:sz w:val="18"/>
                <w:szCs w:val="18"/>
                <w:lang w:val="sr-Cyrl-CS" w:eastAsia="sr-Latn-RS"/>
              </w:rPr>
            </w:pPr>
          </w:p>
        </w:tc>
      </w:tr>
      <w:tr w:rsidR="003E4638" w:rsidRPr="00092ED7" w14:paraId="4960CC99" w14:textId="77777777" w:rsidTr="004F56D8">
        <w:trPr>
          <w:trHeight w:val="360"/>
        </w:trPr>
        <w:tc>
          <w:tcPr>
            <w:tcW w:w="560" w:type="dxa"/>
            <w:shd w:val="clear" w:color="auto" w:fill="auto"/>
            <w:hideMark/>
          </w:tcPr>
          <w:p w14:paraId="5E50337C" w14:textId="77777777" w:rsidR="003E4638" w:rsidRPr="00092ED7" w:rsidRDefault="003E4638" w:rsidP="003E4638">
            <w:pPr>
              <w:spacing w:after="0"/>
              <w:jc w:val="left"/>
              <w:rPr>
                <w:rFonts w:eastAsia="Times New Roman" w:cs="Times New Roman"/>
                <w:color w:val="000000"/>
                <w:sz w:val="18"/>
                <w:szCs w:val="18"/>
                <w:lang w:val="sr-Cyrl-CS" w:eastAsia="sr-Latn-RS"/>
              </w:rPr>
            </w:pPr>
          </w:p>
        </w:tc>
        <w:tc>
          <w:tcPr>
            <w:tcW w:w="4407" w:type="dxa"/>
            <w:shd w:val="clear" w:color="auto" w:fill="auto"/>
            <w:hideMark/>
          </w:tcPr>
          <w:p w14:paraId="45D40A44" w14:textId="77777777" w:rsidR="003E4638" w:rsidRPr="00092ED7" w:rsidRDefault="003E4638" w:rsidP="003E4638">
            <w:pPr>
              <w:spacing w:after="0"/>
              <w:jc w:val="left"/>
              <w:rPr>
                <w:rFonts w:eastAsia="Times New Roman" w:cs="Times New Roman"/>
                <w:sz w:val="18"/>
                <w:szCs w:val="18"/>
                <w:lang w:val="sr-Cyrl-CS" w:eastAsia="sr-Latn-RS"/>
              </w:rPr>
            </w:pPr>
          </w:p>
        </w:tc>
        <w:tc>
          <w:tcPr>
            <w:tcW w:w="1701" w:type="dxa"/>
            <w:shd w:val="clear" w:color="000000" w:fill="BDD7EE"/>
            <w:noWrap/>
            <w:vAlign w:val="bottom"/>
            <w:hideMark/>
          </w:tcPr>
          <w:p w14:paraId="729AB3F5" w14:textId="77777777" w:rsidR="003E4638" w:rsidRPr="00092ED7" w:rsidRDefault="003E4638" w:rsidP="003E4638">
            <w:pPr>
              <w:spacing w:after="0"/>
              <w:jc w:val="center"/>
              <w:rPr>
                <w:rFonts w:eastAsia="Times New Roman" w:cs="Times New Roman"/>
                <w:sz w:val="28"/>
                <w:szCs w:val="28"/>
                <w:lang w:val="sr-Cyrl-CS" w:eastAsia="sr-Latn-RS"/>
              </w:rPr>
            </w:pPr>
            <w:r w:rsidRPr="00092ED7">
              <w:rPr>
                <w:rFonts w:eastAsia="Times New Roman" w:cs="Times New Roman"/>
                <w:sz w:val="28"/>
                <w:szCs w:val="28"/>
                <w:lang w:val="sr-Cyrl-CS" w:eastAsia="sr-Latn-RS"/>
              </w:rPr>
              <w:t>75%</w:t>
            </w:r>
          </w:p>
        </w:tc>
        <w:tc>
          <w:tcPr>
            <w:tcW w:w="3118" w:type="dxa"/>
            <w:shd w:val="clear" w:color="auto" w:fill="auto"/>
            <w:noWrap/>
            <w:hideMark/>
          </w:tcPr>
          <w:p w14:paraId="33F6B55E" w14:textId="77777777" w:rsidR="003E4638" w:rsidRPr="00092ED7" w:rsidRDefault="003E4638" w:rsidP="003E4638">
            <w:pPr>
              <w:spacing w:after="0"/>
              <w:jc w:val="center"/>
              <w:rPr>
                <w:rFonts w:eastAsia="Times New Roman" w:cs="Times New Roman"/>
                <w:sz w:val="18"/>
                <w:szCs w:val="18"/>
                <w:lang w:val="sr-Cyrl-CS" w:eastAsia="sr-Latn-RS"/>
              </w:rPr>
            </w:pPr>
          </w:p>
        </w:tc>
        <w:tc>
          <w:tcPr>
            <w:tcW w:w="2410" w:type="dxa"/>
            <w:shd w:val="clear" w:color="auto" w:fill="auto"/>
            <w:noWrap/>
            <w:hideMark/>
          </w:tcPr>
          <w:p w14:paraId="1A989844" w14:textId="77777777" w:rsidR="003E4638" w:rsidRPr="00092ED7" w:rsidRDefault="003E4638" w:rsidP="003E4638">
            <w:pPr>
              <w:spacing w:after="0"/>
              <w:jc w:val="left"/>
              <w:rPr>
                <w:rFonts w:eastAsia="Times New Roman" w:cs="Times New Roman"/>
                <w:sz w:val="18"/>
                <w:szCs w:val="18"/>
                <w:lang w:val="sr-Cyrl-CS" w:eastAsia="sr-Latn-RS"/>
              </w:rPr>
            </w:pPr>
          </w:p>
        </w:tc>
        <w:tc>
          <w:tcPr>
            <w:tcW w:w="2693" w:type="dxa"/>
            <w:shd w:val="clear" w:color="auto" w:fill="auto"/>
            <w:noWrap/>
            <w:hideMark/>
          </w:tcPr>
          <w:p w14:paraId="6B161642" w14:textId="77777777" w:rsidR="003E4638" w:rsidRPr="00092ED7" w:rsidRDefault="003E4638" w:rsidP="003E4638">
            <w:pPr>
              <w:spacing w:after="0"/>
              <w:jc w:val="left"/>
              <w:rPr>
                <w:rFonts w:eastAsia="Times New Roman" w:cs="Times New Roman"/>
                <w:sz w:val="18"/>
                <w:szCs w:val="18"/>
                <w:lang w:val="sr-Cyrl-CS" w:eastAsia="sr-Latn-RS"/>
              </w:rPr>
            </w:pPr>
          </w:p>
        </w:tc>
      </w:tr>
      <w:tr w:rsidR="003E4638" w:rsidRPr="00092ED7" w14:paraId="421BC5FE" w14:textId="77777777" w:rsidTr="004F56D8">
        <w:trPr>
          <w:trHeight w:val="360"/>
        </w:trPr>
        <w:tc>
          <w:tcPr>
            <w:tcW w:w="560" w:type="dxa"/>
            <w:shd w:val="clear" w:color="auto" w:fill="D9D9D9" w:themeFill="background1" w:themeFillShade="D9"/>
            <w:noWrap/>
            <w:hideMark/>
          </w:tcPr>
          <w:p w14:paraId="2195F5B5"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14329" w:type="dxa"/>
            <w:gridSpan w:val="5"/>
            <w:shd w:val="clear" w:color="auto" w:fill="D9D9D9" w:themeFill="background1" w:themeFillShade="D9"/>
            <w:noWrap/>
            <w:vAlign w:val="center"/>
            <w:hideMark/>
          </w:tcPr>
          <w:p w14:paraId="10FFD85B" w14:textId="77777777" w:rsidR="003E4638" w:rsidRPr="00092ED7" w:rsidRDefault="003E4638" w:rsidP="003E4638">
            <w:pPr>
              <w:spacing w:after="0"/>
              <w:jc w:val="left"/>
              <w:rPr>
                <w:rFonts w:eastAsia="Times New Roman" w:cs="Times New Roman"/>
                <w:b/>
                <w:bCs/>
                <w:sz w:val="18"/>
                <w:szCs w:val="18"/>
                <w:lang w:val="sr-Cyrl-CS" w:eastAsia="sr-Latn-RS"/>
              </w:rPr>
            </w:pPr>
            <w:r w:rsidRPr="00092ED7">
              <w:rPr>
                <w:rFonts w:eastAsia="Times New Roman" w:cs="Times New Roman"/>
                <w:b/>
                <w:bCs/>
                <w:sz w:val="18"/>
                <w:szCs w:val="18"/>
                <w:lang w:val="sr-Cyrl-CS" w:eastAsia="sr-Latn-RS"/>
              </w:rPr>
              <w:t>СР 10. УВОЂЕЊЕ НОВОГ МОДЕЛА ФИСКАЛИЗАЦИЈЕ И ПРЕЛАЗАК НА ЕЛЕКТРОНСКО ФАКТУРИСАЊЕ</w:t>
            </w:r>
          </w:p>
        </w:tc>
      </w:tr>
      <w:tr w:rsidR="003E4638" w:rsidRPr="00092ED7" w14:paraId="2A1204D1" w14:textId="77777777" w:rsidTr="004F56D8">
        <w:trPr>
          <w:trHeight w:val="288"/>
        </w:trPr>
        <w:tc>
          <w:tcPr>
            <w:tcW w:w="560" w:type="dxa"/>
            <w:shd w:val="clear" w:color="auto" w:fill="auto"/>
            <w:noWrap/>
            <w:hideMark/>
          </w:tcPr>
          <w:p w14:paraId="3E877E2F" w14:textId="77777777" w:rsidR="003E4638" w:rsidRPr="00092ED7" w:rsidRDefault="003E4638" w:rsidP="003E4638">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1.</w:t>
            </w:r>
          </w:p>
        </w:tc>
        <w:tc>
          <w:tcPr>
            <w:tcW w:w="4407" w:type="dxa"/>
            <w:shd w:val="clear" w:color="auto" w:fill="auto"/>
            <w:hideMark/>
          </w:tcPr>
          <w:p w14:paraId="6F00B3E7" w14:textId="77777777" w:rsidR="003E4638" w:rsidRPr="00092ED7" w:rsidRDefault="003E4638" w:rsidP="003E4638">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Почетак рада нове централизоване платформе за фискализацију</w:t>
            </w:r>
          </w:p>
        </w:tc>
        <w:tc>
          <w:tcPr>
            <w:tcW w:w="1701" w:type="dxa"/>
            <w:shd w:val="clear" w:color="auto" w:fill="auto"/>
            <w:hideMark/>
          </w:tcPr>
          <w:p w14:paraId="0902952A"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потпуно спроведене</w:t>
            </w:r>
          </w:p>
        </w:tc>
        <w:tc>
          <w:tcPr>
            <w:tcW w:w="3118" w:type="dxa"/>
            <w:shd w:val="clear" w:color="auto" w:fill="auto"/>
            <w:hideMark/>
          </w:tcPr>
          <w:p w14:paraId="432123A1"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410" w:type="dxa"/>
            <w:shd w:val="clear" w:color="auto" w:fill="auto"/>
            <w:hideMark/>
          </w:tcPr>
          <w:p w14:paraId="6960BA3E"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3ED5C5CC"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3E4638" w:rsidRPr="00092ED7" w14:paraId="0866D745" w14:textId="77777777" w:rsidTr="004F56D8">
        <w:trPr>
          <w:trHeight w:val="288"/>
        </w:trPr>
        <w:tc>
          <w:tcPr>
            <w:tcW w:w="560" w:type="dxa"/>
            <w:shd w:val="clear" w:color="auto" w:fill="auto"/>
            <w:noWrap/>
            <w:hideMark/>
          </w:tcPr>
          <w:p w14:paraId="104F9A60" w14:textId="77777777" w:rsidR="003E4638" w:rsidRPr="00092ED7" w:rsidRDefault="003E4638" w:rsidP="003E4638">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lastRenderedPageBreak/>
              <w:t>2.</w:t>
            </w:r>
          </w:p>
        </w:tc>
        <w:tc>
          <w:tcPr>
            <w:tcW w:w="4407" w:type="dxa"/>
            <w:shd w:val="clear" w:color="auto" w:fill="auto"/>
            <w:hideMark/>
          </w:tcPr>
          <w:p w14:paraId="58E1FD2F" w14:textId="77777777" w:rsidR="003E4638" w:rsidRPr="00092ED7" w:rsidRDefault="003E4638" w:rsidP="003E4638">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Пуштање у рад централизоване платформе за електронске фактуре</w:t>
            </w:r>
          </w:p>
        </w:tc>
        <w:tc>
          <w:tcPr>
            <w:tcW w:w="1701" w:type="dxa"/>
            <w:shd w:val="clear" w:color="auto" w:fill="auto"/>
            <w:hideMark/>
          </w:tcPr>
          <w:p w14:paraId="70BAE9A2"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потпуно спроведене</w:t>
            </w:r>
          </w:p>
        </w:tc>
        <w:tc>
          <w:tcPr>
            <w:tcW w:w="3118" w:type="dxa"/>
            <w:shd w:val="clear" w:color="auto" w:fill="auto"/>
            <w:hideMark/>
          </w:tcPr>
          <w:p w14:paraId="4DA1EBD4"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410" w:type="dxa"/>
            <w:shd w:val="clear" w:color="auto" w:fill="auto"/>
            <w:hideMark/>
          </w:tcPr>
          <w:p w14:paraId="57E10725"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6EDBFC31"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3E4638" w:rsidRPr="00092ED7" w14:paraId="16E91BB8" w14:textId="77777777" w:rsidTr="004F56D8">
        <w:trPr>
          <w:trHeight w:val="2539"/>
        </w:trPr>
        <w:tc>
          <w:tcPr>
            <w:tcW w:w="560" w:type="dxa"/>
            <w:shd w:val="clear" w:color="auto" w:fill="auto"/>
            <w:noWrap/>
            <w:hideMark/>
          </w:tcPr>
          <w:p w14:paraId="6C5D2218" w14:textId="77777777" w:rsidR="003E4638" w:rsidRPr="00092ED7" w:rsidRDefault="003E4638" w:rsidP="003E4638">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3.</w:t>
            </w:r>
          </w:p>
        </w:tc>
        <w:tc>
          <w:tcPr>
            <w:tcW w:w="4407" w:type="dxa"/>
            <w:shd w:val="clear" w:color="auto" w:fill="auto"/>
            <w:hideMark/>
          </w:tcPr>
          <w:p w14:paraId="4BF1DD1E" w14:textId="77777777" w:rsidR="003E4638" w:rsidRPr="00092ED7" w:rsidRDefault="003E4638" w:rsidP="003E4638">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Ширење обухвата електронских фактура на целокупан сектор привреде</w:t>
            </w:r>
          </w:p>
        </w:tc>
        <w:tc>
          <w:tcPr>
            <w:tcW w:w="1701" w:type="dxa"/>
            <w:shd w:val="clear" w:color="auto" w:fill="auto"/>
            <w:hideMark/>
          </w:tcPr>
          <w:p w14:paraId="18BC9F0B"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потпуно спроведене</w:t>
            </w:r>
          </w:p>
        </w:tc>
        <w:tc>
          <w:tcPr>
            <w:tcW w:w="3118" w:type="dxa"/>
            <w:shd w:val="clear" w:color="auto" w:fill="auto"/>
            <w:hideMark/>
          </w:tcPr>
          <w:p w14:paraId="172E25FE"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Сектор привреде укључен је у систем електронских фактура у оном делу у којем послују са јавним сектором, обавеза по закону је наступила од 1.4.2022. године. Од тог рока постало је обавезно и примање и слање електронске фактуре за пословање између субјеката јавног сектора. Додатно, обавеза пријема електронске фактуре за субјекте сектора привреде наступила је по Закону од 1.7.2022. године. Последњи рок 1.1.2023. године се односи на обавезно слање електронске фактуре за привреду, чиме је у потпуности заокружено укључивање свих обвезника у систем електронског фактурисања по Закону.</w:t>
            </w:r>
          </w:p>
        </w:tc>
        <w:tc>
          <w:tcPr>
            <w:tcW w:w="2410" w:type="dxa"/>
            <w:shd w:val="clear" w:color="auto" w:fill="auto"/>
            <w:hideMark/>
          </w:tcPr>
          <w:p w14:paraId="60742F34"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6443C4FD"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3E4638" w:rsidRPr="00092ED7" w14:paraId="7CE4FB3E" w14:textId="77777777" w:rsidTr="004F56D8">
        <w:trPr>
          <w:trHeight w:val="2124"/>
        </w:trPr>
        <w:tc>
          <w:tcPr>
            <w:tcW w:w="560" w:type="dxa"/>
            <w:shd w:val="clear" w:color="auto" w:fill="auto"/>
            <w:noWrap/>
            <w:hideMark/>
          </w:tcPr>
          <w:p w14:paraId="07D91459" w14:textId="77777777" w:rsidR="003E4638" w:rsidRPr="00092ED7" w:rsidRDefault="003E4638" w:rsidP="003E4638">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4.</w:t>
            </w:r>
          </w:p>
        </w:tc>
        <w:tc>
          <w:tcPr>
            <w:tcW w:w="4407" w:type="dxa"/>
            <w:shd w:val="clear" w:color="auto" w:fill="auto"/>
            <w:hideMark/>
          </w:tcPr>
          <w:p w14:paraId="2DEE5E25" w14:textId="77777777" w:rsidR="003E4638" w:rsidRPr="00092ED7" w:rsidRDefault="003E4638" w:rsidP="003E4638">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Едукација и комуникација са корисницима платформе за фискализацију и платформе за електронске фактуре ради помоћи у преласку на нови систем</w:t>
            </w:r>
          </w:p>
        </w:tc>
        <w:tc>
          <w:tcPr>
            <w:tcW w:w="1701" w:type="dxa"/>
            <w:shd w:val="clear" w:color="auto" w:fill="auto"/>
            <w:hideMark/>
          </w:tcPr>
          <w:p w14:paraId="2C9E73AE"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потпуно спроведене</w:t>
            </w:r>
          </w:p>
        </w:tc>
        <w:tc>
          <w:tcPr>
            <w:tcW w:w="3118" w:type="dxa"/>
            <w:shd w:val="clear" w:color="auto" w:fill="auto"/>
            <w:hideMark/>
          </w:tcPr>
          <w:p w14:paraId="55C8A391"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Све обуке за нови систем фискализације су реализоване. Такође, и обуке за електронско фактурисање су реализоване, и то: 1) за јавни сектор у потупуности; и 2) за сектор привреде обуке су се реализовале до краја 2022. године, а односиле су се на обавезно слање електронских фактура од 1.1.2023. године. Подршка Министарству финансија у делу обука за нови модел фискализације пружена је од стране Привредне коморе Србије, а када је у питању електронско фактурисање од стране НАЛЕД-а.</w:t>
            </w:r>
          </w:p>
        </w:tc>
        <w:tc>
          <w:tcPr>
            <w:tcW w:w="2410" w:type="dxa"/>
            <w:shd w:val="clear" w:color="auto" w:fill="auto"/>
            <w:hideMark/>
          </w:tcPr>
          <w:p w14:paraId="0D37C4DA"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2F878423"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Спроведена је обимна медијска кампања када су у питању оба сегмента ове стратешке реформе, кроз велики број гостовања у специјализованим телевизијским емисијама, прилозима у информативном програму телевизија са националном фреквенцијом, као и путем рекламне кампање (радио и тв реклама, билборди, рекламни материјал и сл.).</w:t>
            </w:r>
          </w:p>
        </w:tc>
      </w:tr>
      <w:tr w:rsidR="003E4638" w:rsidRPr="00092ED7" w14:paraId="607C1817" w14:textId="77777777" w:rsidTr="004F56D8">
        <w:trPr>
          <w:trHeight w:val="360"/>
        </w:trPr>
        <w:tc>
          <w:tcPr>
            <w:tcW w:w="560" w:type="dxa"/>
            <w:shd w:val="clear" w:color="auto" w:fill="auto"/>
            <w:hideMark/>
          </w:tcPr>
          <w:p w14:paraId="77877321" w14:textId="77777777" w:rsidR="003E4638" w:rsidRPr="00092ED7" w:rsidRDefault="003E4638" w:rsidP="003E4638">
            <w:pPr>
              <w:spacing w:after="0"/>
              <w:jc w:val="left"/>
              <w:rPr>
                <w:rFonts w:eastAsia="Times New Roman" w:cs="Times New Roman"/>
                <w:color w:val="000000"/>
                <w:sz w:val="18"/>
                <w:szCs w:val="18"/>
                <w:lang w:val="sr-Cyrl-CS" w:eastAsia="sr-Latn-RS"/>
              </w:rPr>
            </w:pPr>
          </w:p>
        </w:tc>
        <w:tc>
          <w:tcPr>
            <w:tcW w:w="4407" w:type="dxa"/>
            <w:shd w:val="clear" w:color="auto" w:fill="auto"/>
            <w:hideMark/>
          </w:tcPr>
          <w:p w14:paraId="2258B1B3" w14:textId="77777777" w:rsidR="003E4638" w:rsidRPr="00092ED7" w:rsidRDefault="003E4638" w:rsidP="003E4638">
            <w:pPr>
              <w:spacing w:after="0"/>
              <w:jc w:val="left"/>
              <w:rPr>
                <w:rFonts w:eastAsia="Times New Roman" w:cs="Times New Roman"/>
                <w:sz w:val="18"/>
                <w:szCs w:val="18"/>
                <w:lang w:val="sr-Cyrl-CS" w:eastAsia="sr-Latn-RS"/>
              </w:rPr>
            </w:pPr>
          </w:p>
        </w:tc>
        <w:tc>
          <w:tcPr>
            <w:tcW w:w="1701" w:type="dxa"/>
            <w:shd w:val="clear" w:color="000000" w:fill="FFFF00"/>
            <w:noWrap/>
            <w:vAlign w:val="bottom"/>
            <w:hideMark/>
          </w:tcPr>
          <w:p w14:paraId="3FA5EB7B" w14:textId="77777777" w:rsidR="003E4638" w:rsidRPr="00092ED7" w:rsidRDefault="003E4638" w:rsidP="003E4638">
            <w:pPr>
              <w:spacing w:after="0"/>
              <w:jc w:val="center"/>
              <w:rPr>
                <w:rFonts w:eastAsia="Times New Roman" w:cs="Times New Roman"/>
                <w:bCs/>
                <w:sz w:val="28"/>
                <w:szCs w:val="28"/>
                <w:lang w:val="sr-Cyrl-CS" w:eastAsia="sr-Latn-RS"/>
              </w:rPr>
            </w:pPr>
            <w:r w:rsidRPr="00092ED7">
              <w:rPr>
                <w:rFonts w:eastAsia="Times New Roman" w:cs="Times New Roman"/>
                <w:bCs/>
                <w:sz w:val="28"/>
                <w:szCs w:val="28"/>
                <w:lang w:val="sr-Cyrl-CS" w:eastAsia="sr-Latn-RS"/>
              </w:rPr>
              <w:t>100%</w:t>
            </w:r>
          </w:p>
        </w:tc>
        <w:tc>
          <w:tcPr>
            <w:tcW w:w="3118" w:type="dxa"/>
            <w:shd w:val="clear" w:color="auto" w:fill="auto"/>
            <w:noWrap/>
            <w:hideMark/>
          </w:tcPr>
          <w:p w14:paraId="5B47A426" w14:textId="77777777" w:rsidR="003E4638" w:rsidRPr="00092ED7" w:rsidRDefault="003E4638" w:rsidP="003E4638">
            <w:pPr>
              <w:spacing w:after="0"/>
              <w:jc w:val="center"/>
              <w:rPr>
                <w:rFonts w:eastAsia="Times New Roman" w:cs="Times New Roman"/>
                <w:b/>
                <w:bCs/>
                <w:sz w:val="18"/>
                <w:szCs w:val="18"/>
                <w:lang w:val="sr-Cyrl-CS" w:eastAsia="sr-Latn-RS"/>
              </w:rPr>
            </w:pPr>
          </w:p>
        </w:tc>
        <w:tc>
          <w:tcPr>
            <w:tcW w:w="2410" w:type="dxa"/>
            <w:shd w:val="clear" w:color="auto" w:fill="auto"/>
            <w:noWrap/>
            <w:hideMark/>
          </w:tcPr>
          <w:p w14:paraId="6671372B" w14:textId="77777777" w:rsidR="003E4638" w:rsidRPr="00092ED7" w:rsidRDefault="003E4638" w:rsidP="003E4638">
            <w:pPr>
              <w:spacing w:after="0"/>
              <w:jc w:val="left"/>
              <w:rPr>
                <w:rFonts w:eastAsia="Times New Roman" w:cs="Times New Roman"/>
                <w:sz w:val="18"/>
                <w:szCs w:val="18"/>
                <w:lang w:val="sr-Cyrl-CS" w:eastAsia="sr-Latn-RS"/>
              </w:rPr>
            </w:pPr>
          </w:p>
        </w:tc>
        <w:tc>
          <w:tcPr>
            <w:tcW w:w="2693" w:type="dxa"/>
            <w:shd w:val="clear" w:color="auto" w:fill="auto"/>
            <w:noWrap/>
            <w:hideMark/>
          </w:tcPr>
          <w:p w14:paraId="205E6602" w14:textId="77777777" w:rsidR="003E4638" w:rsidRPr="00092ED7" w:rsidRDefault="003E4638" w:rsidP="003E4638">
            <w:pPr>
              <w:spacing w:after="0"/>
              <w:jc w:val="left"/>
              <w:rPr>
                <w:rFonts w:eastAsia="Times New Roman" w:cs="Times New Roman"/>
                <w:sz w:val="18"/>
                <w:szCs w:val="18"/>
                <w:lang w:val="sr-Cyrl-CS" w:eastAsia="sr-Latn-RS"/>
              </w:rPr>
            </w:pPr>
          </w:p>
        </w:tc>
      </w:tr>
      <w:tr w:rsidR="003E4638" w:rsidRPr="00092ED7" w14:paraId="7BE77D61" w14:textId="77777777" w:rsidTr="004F56D8">
        <w:trPr>
          <w:trHeight w:val="360"/>
        </w:trPr>
        <w:tc>
          <w:tcPr>
            <w:tcW w:w="560" w:type="dxa"/>
            <w:shd w:val="clear" w:color="auto" w:fill="D9D9D9" w:themeFill="background1" w:themeFillShade="D9"/>
            <w:noWrap/>
            <w:hideMark/>
          </w:tcPr>
          <w:p w14:paraId="13B5217F"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14329" w:type="dxa"/>
            <w:gridSpan w:val="5"/>
            <w:shd w:val="clear" w:color="auto" w:fill="D9D9D9" w:themeFill="background1" w:themeFillShade="D9"/>
            <w:noWrap/>
            <w:vAlign w:val="center"/>
            <w:hideMark/>
          </w:tcPr>
          <w:p w14:paraId="26D2B145" w14:textId="77777777" w:rsidR="003E4638" w:rsidRPr="00092ED7" w:rsidRDefault="003E4638" w:rsidP="003E4638">
            <w:pPr>
              <w:spacing w:after="0"/>
              <w:jc w:val="left"/>
              <w:rPr>
                <w:rFonts w:eastAsia="Times New Roman" w:cs="Times New Roman"/>
                <w:b/>
                <w:bCs/>
                <w:sz w:val="18"/>
                <w:szCs w:val="18"/>
                <w:lang w:val="sr-Cyrl-CS" w:eastAsia="sr-Latn-RS"/>
              </w:rPr>
            </w:pPr>
            <w:r w:rsidRPr="00092ED7">
              <w:rPr>
                <w:rFonts w:eastAsia="Times New Roman" w:cs="Times New Roman"/>
                <w:b/>
                <w:bCs/>
                <w:sz w:val="18"/>
                <w:szCs w:val="18"/>
                <w:lang w:val="sr-Cyrl-CS" w:eastAsia="sr-Latn-RS"/>
              </w:rPr>
              <w:t>СР 11. УВОЂЕЊЕ КОНЦЕПТА ЦИРКУЛАРНЕ ЕКОНОМИЈЕ</w:t>
            </w:r>
          </w:p>
        </w:tc>
      </w:tr>
      <w:tr w:rsidR="003E4638" w:rsidRPr="00092ED7" w14:paraId="54ADC974" w14:textId="77777777" w:rsidTr="004F56D8">
        <w:trPr>
          <w:trHeight w:val="4740"/>
        </w:trPr>
        <w:tc>
          <w:tcPr>
            <w:tcW w:w="560" w:type="dxa"/>
            <w:shd w:val="clear" w:color="auto" w:fill="auto"/>
            <w:noWrap/>
            <w:hideMark/>
          </w:tcPr>
          <w:p w14:paraId="7AC1DFDB" w14:textId="77777777" w:rsidR="003E4638" w:rsidRPr="00092ED7" w:rsidRDefault="003E4638" w:rsidP="003E4638">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lastRenderedPageBreak/>
              <w:t>1.</w:t>
            </w:r>
          </w:p>
        </w:tc>
        <w:tc>
          <w:tcPr>
            <w:tcW w:w="4407" w:type="dxa"/>
            <w:shd w:val="clear" w:color="auto" w:fill="auto"/>
            <w:hideMark/>
          </w:tcPr>
          <w:p w14:paraId="7AB5CADE" w14:textId="77777777" w:rsidR="003E4638" w:rsidRPr="00092ED7" w:rsidRDefault="003E4638" w:rsidP="003E4638">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Подршка привредним субјектима у транзицији на моделе пословања засноване на принципима циркуларне економије</w:t>
            </w:r>
          </w:p>
        </w:tc>
        <w:tc>
          <w:tcPr>
            <w:tcW w:w="1701" w:type="dxa"/>
            <w:shd w:val="clear" w:color="auto" w:fill="auto"/>
            <w:hideMark/>
          </w:tcPr>
          <w:p w14:paraId="2B349FA9"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напредак у спровођењу</w:t>
            </w:r>
          </w:p>
        </w:tc>
        <w:tc>
          <w:tcPr>
            <w:tcW w:w="3118" w:type="dxa"/>
            <w:shd w:val="clear" w:color="auto" w:fill="auto"/>
            <w:hideMark/>
          </w:tcPr>
          <w:p w14:paraId="1CDDD75C" w14:textId="67799F6F"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Програм развоја циркуларне економије у Р</w:t>
            </w:r>
            <w:r w:rsidR="003B5902" w:rsidRPr="00092ED7">
              <w:rPr>
                <w:rFonts w:eastAsia="Times New Roman" w:cs="Times New Roman"/>
                <w:color w:val="000000"/>
                <w:sz w:val="18"/>
                <w:szCs w:val="18"/>
                <w:lang w:val="sr-Cyrl-CS" w:eastAsia="sr-Latn-RS"/>
              </w:rPr>
              <w:t>еублици Србији</w:t>
            </w:r>
            <w:r w:rsidRPr="00092ED7">
              <w:rPr>
                <w:rFonts w:eastAsia="Times New Roman" w:cs="Times New Roman"/>
                <w:color w:val="000000"/>
                <w:sz w:val="18"/>
                <w:szCs w:val="18"/>
                <w:lang w:val="sr-Cyrl-CS" w:eastAsia="sr-Latn-RS"/>
              </w:rPr>
              <w:t xml:space="preserve"> за период 2022-2024. са Акционим планом, који представља документ јавне политике за област циркуларне економије, усвојен је 1. децембра 2022. године. Почетком 2023. почеће се са реализацијом активности предвиђених Акционим планом а један од циљева је и мера која је предложена у Програму економских реформи: Подршка привредним субјектима у транзицији на моделе пословања засноване на принципима циркуларне економије. Активности ће се реализовати уз подршку пројекта који финансира Шведска, спроводе Технолошко-металуршки факултет у Београду и Министарство заштите животне средине, Зелена Транзција: Имплементација Директиве о индустријском загађењу 2021-2025. Активности почињу у првом кварталу 2023. године припремом критеријума за одабир привредних субјеката којима ће бити пружена подршка у изради акционих планова за транзицију на циркуларни модел пословања.</w:t>
            </w:r>
          </w:p>
        </w:tc>
        <w:tc>
          <w:tcPr>
            <w:tcW w:w="2410" w:type="dxa"/>
            <w:shd w:val="clear" w:color="auto" w:fill="auto"/>
            <w:hideMark/>
          </w:tcPr>
          <w:p w14:paraId="059BAA69"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3FE52449"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У 4. кварталу 2022. године спроведене су активности у оквиру Посебног циља 1 Програма развоја циркуларне економије: Подршка привредном сектору у трансформацији на циркуларни модел пословања; МЕРА 1.4 Подстицање сарадње између научно-истраживачких организација и привредних субјеката у области иновација и оптимизације производње: 1.4.1 Објављивање позива и селекција пријављених пројеката и 1.4.2 Додела средстава и промоција резултата позива. Додељени су циркуларни ваучери у износу од по 10.000 УСД за 12 изабраних пројектних идеја. Средства за ваучере су обезбеђена из пројекта ''Смањење угљеничног отиска локланих заједница применом принципа циркуларне економије'', који финансира ГЕФ, а спроводе га УНДП и Министарство заштите животне средине. Пројекат је почео у марту 2022. и трајаће до марта 2027. године.</w:t>
            </w:r>
          </w:p>
        </w:tc>
      </w:tr>
      <w:tr w:rsidR="003E4638" w:rsidRPr="00092ED7" w14:paraId="47BECAB0" w14:textId="77777777" w:rsidTr="004F56D8">
        <w:trPr>
          <w:trHeight w:val="4810"/>
        </w:trPr>
        <w:tc>
          <w:tcPr>
            <w:tcW w:w="560" w:type="dxa"/>
            <w:shd w:val="clear" w:color="auto" w:fill="auto"/>
            <w:noWrap/>
            <w:hideMark/>
          </w:tcPr>
          <w:p w14:paraId="2A16452D" w14:textId="77777777" w:rsidR="003E4638" w:rsidRPr="00092ED7" w:rsidRDefault="003E4638" w:rsidP="003E4638">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lastRenderedPageBreak/>
              <w:t>2.</w:t>
            </w:r>
          </w:p>
        </w:tc>
        <w:tc>
          <w:tcPr>
            <w:tcW w:w="4407" w:type="dxa"/>
            <w:shd w:val="clear" w:color="auto" w:fill="auto"/>
            <w:hideMark/>
          </w:tcPr>
          <w:p w14:paraId="3368A79D" w14:textId="77777777" w:rsidR="003E4638" w:rsidRPr="00092ED7" w:rsidRDefault="003E4638" w:rsidP="003E4638">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Промоција циркуларне економије и едукација привредних субјеката</w:t>
            </w:r>
          </w:p>
        </w:tc>
        <w:tc>
          <w:tcPr>
            <w:tcW w:w="1701" w:type="dxa"/>
            <w:shd w:val="clear" w:color="auto" w:fill="auto"/>
            <w:hideMark/>
          </w:tcPr>
          <w:p w14:paraId="50F30AD3"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напредак у спровођењу</w:t>
            </w:r>
          </w:p>
        </w:tc>
        <w:tc>
          <w:tcPr>
            <w:tcW w:w="3118" w:type="dxa"/>
            <w:shd w:val="clear" w:color="auto" w:fill="auto"/>
            <w:hideMark/>
          </w:tcPr>
          <w:p w14:paraId="16F323DC"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У сарадњи са Привредном комором Србије, у првом кварталу 2022. су одржане две групе радионица за привредне субјекте: Модули циркуларне економије (едукација привредних субјеката о основама у области циркуларне економије, којој је пристуствовало 34 полазника) и Едукација о регулацији система отпадних вода у оквиру циркуларне економије (на пет радионица је присуствовало преко 150 представника привредних субјеката, локалних самоуправа и надлежних инспектората). Такође су израђене смернице за декарбонизацију које ће бити доступне на платформи Центра за циркуларну економију, а презентација ће се вршити континуирано на седницама Парламента привредника по регионалним привредним коморама. Израђене су и смернице - Поновна употреба материјала у моделу циркуларне економије, гума и стакло као ресурсни потенцијал.</w:t>
            </w:r>
          </w:p>
          <w:p w14:paraId="08B37549" w14:textId="288BDFE7" w:rsidR="003E4638" w:rsidRPr="00092ED7" w:rsidRDefault="003E4638" w:rsidP="0026564E">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xml:space="preserve">У четвртом кварталу 2022. такође у сарадњи са Привредном комором Србије, одржане су радионице </w:t>
            </w:r>
            <w:r w:rsidR="0026564E" w:rsidRPr="00092ED7">
              <w:rPr>
                <w:rFonts w:eastAsia="Times New Roman" w:cs="Times New Roman"/>
                <w:color w:val="000000"/>
                <w:sz w:val="18"/>
                <w:szCs w:val="18"/>
                <w:lang w:val="sr-Cyrl-CS" w:eastAsia="sr-Latn-RS"/>
              </w:rPr>
              <w:t>„</w:t>
            </w:r>
            <w:r w:rsidRPr="00092ED7">
              <w:rPr>
                <w:rFonts w:eastAsia="Times New Roman" w:cs="Times New Roman"/>
                <w:color w:val="000000"/>
                <w:sz w:val="18"/>
                <w:szCs w:val="18"/>
                <w:lang w:val="sr-Cyrl-CS" w:eastAsia="sr-Latn-RS"/>
              </w:rPr>
              <w:t>Карбонско рачуноводство и одрживо пословање</w:t>
            </w:r>
            <w:r w:rsidR="002A3099" w:rsidRPr="00092ED7">
              <w:rPr>
                <w:rFonts w:cs="Times New Roman"/>
                <w:sz w:val="18"/>
                <w:szCs w:val="18"/>
                <w:lang w:val="sr-Cyrl-CS"/>
              </w:rPr>
              <w:t>”</w:t>
            </w:r>
            <w:r w:rsidRPr="00092ED7">
              <w:rPr>
                <w:rFonts w:eastAsia="Times New Roman" w:cs="Times New Roman"/>
                <w:color w:val="000000"/>
                <w:sz w:val="18"/>
                <w:szCs w:val="18"/>
                <w:lang w:val="sr-Cyrl-CS" w:eastAsia="sr-Latn-RS"/>
              </w:rPr>
              <w:t xml:space="preserve"> и </w:t>
            </w:r>
            <w:r w:rsidR="002A3099" w:rsidRPr="00092ED7">
              <w:rPr>
                <w:rFonts w:eastAsia="Times New Roman" w:cs="Times New Roman"/>
                <w:color w:val="000000"/>
                <w:sz w:val="18"/>
                <w:szCs w:val="18"/>
                <w:lang w:val="sr-Cyrl-CS" w:eastAsia="sr-Latn-RS"/>
              </w:rPr>
              <w:t>„</w:t>
            </w:r>
            <w:r w:rsidRPr="00092ED7">
              <w:rPr>
                <w:rFonts w:eastAsia="Times New Roman" w:cs="Times New Roman"/>
                <w:color w:val="000000"/>
                <w:sz w:val="18"/>
                <w:szCs w:val="18"/>
                <w:lang w:val="sr-Cyrl-CS" w:eastAsia="sr-Latn-RS"/>
              </w:rPr>
              <w:t>Механизам за смањење емисија гасова са ефектом стаклене баште - шта очекује српску привреду?</w:t>
            </w:r>
            <w:r w:rsidR="002A3099" w:rsidRPr="00092ED7">
              <w:rPr>
                <w:rFonts w:cs="Times New Roman"/>
                <w:szCs w:val="24"/>
                <w:lang w:val="sr-Cyrl-CS"/>
              </w:rPr>
              <w:t xml:space="preserve"> </w:t>
            </w:r>
            <w:r w:rsidR="002A3099" w:rsidRPr="00092ED7">
              <w:rPr>
                <w:rFonts w:cs="Times New Roman"/>
                <w:sz w:val="18"/>
                <w:szCs w:val="18"/>
                <w:lang w:val="sr-Cyrl-CS"/>
              </w:rPr>
              <w:t>”</w:t>
            </w:r>
            <w:r w:rsidRPr="00092ED7">
              <w:rPr>
                <w:rFonts w:eastAsia="Times New Roman" w:cs="Times New Roman"/>
                <w:color w:val="000000"/>
                <w:sz w:val="18"/>
                <w:szCs w:val="18"/>
                <w:lang w:val="sr-Cyrl-CS" w:eastAsia="sr-Latn-RS"/>
              </w:rPr>
              <w:t xml:space="preserve"> на којима је присуствовало укупно преко 100 учесника.</w:t>
            </w:r>
          </w:p>
        </w:tc>
        <w:tc>
          <w:tcPr>
            <w:tcW w:w="2410" w:type="dxa"/>
            <w:shd w:val="clear" w:color="auto" w:fill="auto"/>
            <w:hideMark/>
          </w:tcPr>
          <w:p w14:paraId="67A71422"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0FBC5969"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3E4638" w:rsidRPr="00092ED7" w14:paraId="2EFAC4F6" w14:textId="77777777" w:rsidTr="004F56D8">
        <w:trPr>
          <w:trHeight w:val="360"/>
        </w:trPr>
        <w:tc>
          <w:tcPr>
            <w:tcW w:w="560" w:type="dxa"/>
            <w:shd w:val="clear" w:color="auto" w:fill="auto"/>
            <w:hideMark/>
          </w:tcPr>
          <w:p w14:paraId="7D72AEF4" w14:textId="77777777" w:rsidR="003E4638" w:rsidRPr="00092ED7" w:rsidRDefault="003E4638" w:rsidP="003E4638">
            <w:pPr>
              <w:spacing w:after="0"/>
              <w:jc w:val="left"/>
              <w:rPr>
                <w:rFonts w:eastAsia="Times New Roman" w:cs="Times New Roman"/>
                <w:color w:val="000000"/>
                <w:sz w:val="18"/>
                <w:szCs w:val="18"/>
                <w:lang w:val="sr-Cyrl-CS" w:eastAsia="sr-Latn-RS"/>
              </w:rPr>
            </w:pPr>
          </w:p>
        </w:tc>
        <w:tc>
          <w:tcPr>
            <w:tcW w:w="4407" w:type="dxa"/>
            <w:shd w:val="clear" w:color="auto" w:fill="auto"/>
            <w:hideMark/>
          </w:tcPr>
          <w:p w14:paraId="33AED1DC" w14:textId="77777777" w:rsidR="003E4638" w:rsidRPr="00092ED7" w:rsidRDefault="003E4638" w:rsidP="003E4638">
            <w:pPr>
              <w:spacing w:after="0"/>
              <w:jc w:val="left"/>
              <w:rPr>
                <w:rFonts w:eastAsia="Times New Roman" w:cs="Times New Roman"/>
                <w:sz w:val="18"/>
                <w:szCs w:val="18"/>
                <w:lang w:val="sr-Cyrl-CS" w:eastAsia="sr-Latn-RS"/>
              </w:rPr>
            </w:pPr>
          </w:p>
        </w:tc>
        <w:tc>
          <w:tcPr>
            <w:tcW w:w="1701" w:type="dxa"/>
            <w:shd w:val="clear" w:color="000000" w:fill="BDD7EE"/>
            <w:noWrap/>
            <w:vAlign w:val="bottom"/>
            <w:hideMark/>
          </w:tcPr>
          <w:p w14:paraId="54B5AB47" w14:textId="77777777" w:rsidR="003E4638" w:rsidRPr="00092ED7" w:rsidRDefault="003E4638" w:rsidP="003E4638">
            <w:pPr>
              <w:spacing w:after="0"/>
              <w:jc w:val="center"/>
              <w:rPr>
                <w:rFonts w:eastAsia="Times New Roman" w:cs="Times New Roman"/>
                <w:sz w:val="28"/>
                <w:szCs w:val="28"/>
                <w:lang w:val="sr-Cyrl-CS" w:eastAsia="sr-Latn-RS"/>
              </w:rPr>
            </w:pPr>
            <w:r w:rsidRPr="00092ED7">
              <w:rPr>
                <w:rFonts w:eastAsia="Times New Roman" w:cs="Times New Roman"/>
                <w:sz w:val="28"/>
                <w:szCs w:val="28"/>
                <w:lang w:val="sr-Cyrl-CS" w:eastAsia="sr-Latn-RS"/>
              </w:rPr>
              <w:t>80%</w:t>
            </w:r>
          </w:p>
        </w:tc>
        <w:tc>
          <w:tcPr>
            <w:tcW w:w="3118" w:type="dxa"/>
            <w:shd w:val="clear" w:color="auto" w:fill="auto"/>
            <w:noWrap/>
            <w:hideMark/>
          </w:tcPr>
          <w:p w14:paraId="5878B223" w14:textId="77777777" w:rsidR="003E4638" w:rsidRPr="00092ED7" w:rsidRDefault="003E4638" w:rsidP="003E4638">
            <w:pPr>
              <w:spacing w:after="0"/>
              <w:jc w:val="center"/>
              <w:rPr>
                <w:rFonts w:eastAsia="Times New Roman" w:cs="Times New Roman"/>
                <w:sz w:val="18"/>
                <w:szCs w:val="18"/>
                <w:lang w:val="sr-Cyrl-CS" w:eastAsia="sr-Latn-RS"/>
              </w:rPr>
            </w:pPr>
          </w:p>
        </w:tc>
        <w:tc>
          <w:tcPr>
            <w:tcW w:w="2410" w:type="dxa"/>
            <w:shd w:val="clear" w:color="auto" w:fill="auto"/>
            <w:noWrap/>
            <w:hideMark/>
          </w:tcPr>
          <w:p w14:paraId="2956BF69" w14:textId="77777777" w:rsidR="003E4638" w:rsidRPr="00092ED7" w:rsidRDefault="003E4638" w:rsidP="003E4638">
            <w:pPr>
              <w:spacing w:after="0"/>
              <w:jc w:val="left"/>
              <w:rPr>
                <w:rFonts w:eastAsia="Times New Roman" w:cs="Times New Roman"/>
                <w:sz w:val="18"/>
                <w:szCs w:val="18"/>
                <w:lang w:val="sr-Cyrl-CS" w:eastAsia="sr-Latn-RS"/>
              </w:rPr>
            </w:pPr>
          </w:p>
        </w:tc>
        <w:tc>
          <w:tcPr>
            <w:tcW w:w="2693" w:type="dxa"/>
            <w:shd w:val="clear" w:color="auto" w:fill="auto"/>
            <w:noWrap/>
            <w:hideMark/>
          </w:tcPr>
          <w:p w14:paraId="7FF9D8B0" w14:textId="77777777" w:rsidR="003E4638" w:rsidRPr="00092ED7" w:rsidRDefault="003E4638" w:rsidP="003E4638">
            <w:pPr>
              <w:spacing w:after="0"/>
              <w:jc w:val="left"/>
              <w:rPr>
                <w:rFonts w:eastAsia="Times New Roman" w:cs="Times New Roman"/>
                <w:sz w:val="18"/>
                <w:szCs w:val="18"/>
                <w:lang w:val="sr-Cyrl-CS" w:eastAsia="sr-Latn-RS"/>
              </w:rPr>
            </w:pPr>
          </w:p>
        </w:tc>
      </w:tr>
      <w:tr w:rsidR="003E4638" w:rsidRPr="00092ED7" w14:paraId="3191CA49" w14:textId="77777777" w:rsidTr="004F56D8">
        <w:trPr>
          <w:trHeight w:val="360"/>
        </w:trPr>
        <w:tc>
          <w:tcPr>
            <w:tcW w:w="560" w:type="dxa"/>
            <w:shd w:val="clear" w:color="auto" w:fill="D9D9D9" w:themeFill="background1" w:themeFillShade="D9"/>
            <w:noWrap/>
            <w:hideMark/>
          </w:tcPr>
          <w:p w14:paraId="6562CFEE"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14329" w:type="dxa"/>
            <w:gridSpan w:val="5"/>
            <w:shd w:val="clear" w:color="auto" w:fill="D9D9D9" w:themeFill="background1" w:themeFillShade="D9"/>
            <w:noWrap/>
            <w:vAlign w:val="center"/>
            <w:hideMark/>
          </w:tcPr>
          <w:p w14:paraId="1ACFD101" w14:textId="77777777" w:rsidR="003E4638" w:rsidRPr="00092ED7" w:rsidRDefault="003E4638" w:rsidP="003E4638">
            <w:pPr>
              <w:spacing w:after="0"/>
              <w:jc w:val="left"/>
              <w:rPr>
                <w:rFonts w:eastAsia="Times New Roman" w:cs="Times New Roman"/>
                <w:b/>
                <w:bCs/>
                <w:sz w:val="18"/>
                <w:szCs w:val="18"/>
                <w:lang w:val="sr-Cyrl-CS" w:eastAsia="sr-Latn-RS"/>
              </w:rPr>
            </w:pPr>
            <w:r w:rsidRPr="00092ED7">
              <w:rPr>
                <w:rFonts w:eastAsia="Times New Roman" w:cs="Times New Roman"/>
                <w:b/>
                <w:bCs/>
                <w:sz w:val="18"/>
                <w:szCs w:val="18"/>
                <w:lang w:val="sr-Cyrl-CS" w:eastAsia="sr-Latn-RS"/>
              </w:rPr>
              <w:t>СР 12. РАЗВОЈ И УНАПРЕЂЕЊЕ НАЦИОНАЛНЕ ИНФОРМАЦИОНО-КОМУНИКАЦИОНЕ ИНФРАСТРУКТУРЕ</w:t>
            </w:r>
          </w:p>
        </w:tc>
      </w:tr>
      <w:tr w:rsidR="003E4638" w:rsidRPr="00092ED7" w14:paraId="3E92E881" w14:textId="77777777" w:rsidTr="004F56D8">
        <w:trPr>
          <w:trHeight w:val="288"/>
        </w:trPr>
        <w:tc>
          <w:tcPr>
            <w:tcW w:w="560" w:type="dxa"/>
            <w:shd w:val="clear" w:color="auto" w:fill="auto"/>
            <w:noWrap/>
            <w:hideMark/>
          </w:tcPr>
          <w:p w14:paraId="410A31D4" w14:textId="77777777" w:rsidR="003E4638" w:rsidRPr="00092ED7" w:rsidRDefault="003E4638" w:rsidP="003E4638">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1.</w:t>
            </w:r>
          </w:p>
        </w:tc>
        <w:tc>
          <w:tcPr>
            <w:tcW w:w="4407" w:type="dxa"/>
            <w:shd w:val="clear" w:color="auto" w:fill="auto"/>
            <w:hideMark/>
          </w:tcPr>
          <w:p w14:paraId="3F266DA7" w14:textId="77777777" w:rsidR="003E4638" w:rsidRPr="00092ED7" w:rsidRDefault="003E4638" w:rsidP="003E4638">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Повезивање установа образовања и културе на АМРЕС</w:t>
            </w:r>
          </w:p>
        </w:tc>
        <w:tc>
          <w:tcPr>
            <w:tcW w:w="1701" w:type="dxa"/>
            <w:shd w:val="clear" w:color="auto" w:fill="auto"/>
            <w:hideMark/>
          </w:tcPr>
          <w:p w14:paraId="40497F20"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потпуно спроведене</w:t>
            </w:r>
          </w:p>
        </w:tc>
        <w:tc>
          <w:tcPr>
            <w:tcW w:w="3118" w:type="dxa"/>
            <w:shd w:val="clear" w:color="auto" w:fill="auto"/>
            <w:hideMark/>
          </w:tcPr>
          <w:p w14:paraId="5E9ED833" w14:textId="77777777" w:rsidR="003E4638" w:rsidRPr="00092ED7" w:rsidRDefault="003E4638" w:rsidP="003E4638">
            <w:pPr>
              <w:spacing w:after="0"/>
              <w:jc w:val="left"/>
              <w:rPr>
                <w:rFonts w:eastAsia="Times New Roman" w:cs="Times New Roman"/>
                <w:color w:val="000000"/>
                <w:sz w:val="18"/>
                <w:szCs w:val="18"/>
                <w:lang w:val="sr-Cyrl-CS" w:eastAsia="sr-Latn-RS"/>
              </w:rPr>
            </w:pPr>
          </w:p>
        </w:tc>
        <w:tc>
          <w:tcPr>
            <w:tcW w:w="2410" w:type="dxa"/>
            <w:shd w:val="clear" w:color="auto" w:fill="auto"/>
            <w:hideMark/>
          </w:tcPr>
          <w:p w14:paraId="0ED8F3BF"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340BAA59"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3E4638" w:rsidRPr="00092ED7" w14:paraId="27258BF5" w14:textId="77777777" w:rsidTr="004F56D8">
        <w:trPr>
          <w:trHeight w:val="528"/>
        </w:trPr>
        <w:tc>
          <w:tcPr>
            <w:tcW w:w="560" w:type="dxa"/>
            <w:shd w:val="clear" w:color="auto" w:fill="auto"/>
            <w:noWrap/>
            <w:hideMark/>
          </w:tcPr>
          <w:p w14:paraId="24EE8457" w14:textId="77777777" w:rsidR="003E4638" w:rsidRPr="00092ED7" w:rsidRDefault="003E4638" w:rsidP="003E4638">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lastRenderedPageBreak/>
              <w:t>2.</w:t>
            </w:r>
          </w:p>
        </w:tc>
        <w:tc>
          <w:tcPr>
            <w:tcW w:w="4407" w:type="dxa"/>
            <w:shd w:val="clear" w:color="auto" w:fill="auto"/>
            <w:hideMark/>
          </w:tcPr>
          <w:p w14:paraId="6D57D186" w14:textId="77777777" w:rsidR="003E4638" w:rsidRPr="00092ED7" w:rsidRDefault="003E4638" w:rsidP="003E4638">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Активности на унапређењу информационо-комуникационе инфраструктуре у свим основним и средњим школама у РС – „Повезане школе”</w:t>
            </w:r>
          </w:p>
        </w:tc>
        <w:tc>
          <w:tcPr>
            <w:tcW w:w="1701" w:type="dxa"/>
            <w:shd w:val="clear" w:color="auto" w:fill="auto"/>
            <w:hideMark/>
          </w:tcPr>
          <w:p w14:paraId="5D0DEC4D"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потпуно спроведене</w:t>
            </w:r>
          </w:p>
        </w:tc>
        <w:tc>
          <w:tcPr>
            <w:tcW w:w="3118" w:type="dxa"/>
            <w:shd w:val="clear" w:color="auto" w:fill="auto"/>
            <w:hideMark/>
          </w:tcPr>
          <w:p w14:paraId="7A2F3217"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410" w:type="dxa"/>
            <w:shd w:val="clear" w:color="auto" w:fill="auto"/>
            <w:hideMark/>
          </w:tcPr>
          <w:p w14:paraId="7FA1A0AD"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769E04A8"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3E4638" w:rsidRPr="00092ED7" w14:paraId="0E0B8F6B" w14:textId="77777777" w:rsidTr="004F56D8">
        <w:trPr>
          <w:trHeight w:val="1833"/>
        </w:trPr>
        <w:tc>
          <w:tcPr>
            <w:tcW w:w="560" w:type="dxa"/>
            <w:shd w:val="clear" w:color="auto" w:fill="auto"/>
            <w:noWrap/>
            <w:hideMark/>
          </w:tcPr>
          <w:p w14:paraId="6676F145" w14:textId="77777777" w:rsidR="003E4638" w:rsidRPr="00092ED7" w:rsidRDefault="003E4638" w:rsidP="003E4638">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3.</w:t>
            </w:r>
          </w:p>
        </w:tc>
        <w:tc>
          <w:tcPr>
            <w:tcW w:w="4407" w:type="dxa"/>
            <w:shd w:val="clear" w:color="auto" w:fill="auto"/>
            <w:hideMark/>
          </w:tcPr>
          <w:p w14:paraId="7C12D7E7" w14:textId="77777777" w:rsidR="003E4638" w:rsidRPr="00092ED7" w:rsidRDefault="003E4638" w:rsidP="003E4638">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Изградња оптичке широкопојасне мреже у руралним областима Републике Србије – фаза 1</w:t>
            </w:r>
          </w:p>
        </w:tc>
        <w:tc>
          <w:tcPr>
            <w:tcW w:w="1701" w:type="dxa"/>
            <w:shd w:val="clear" w:color="auto" w:fill="auto"/>
            <w:hideMark/>
          </w:tcPr>
          <w:p w14:paraId="79F1B213"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напредак у спровођењу</w:t>
            </w:r>
          </w:p>
        </w:tc>
        <w:tc>
          <w:tcPr>
            <w:tcW w:w="3118" w:type="dxa"/>
            <w:shd w:val="clear" w:color="auto" w:fill="auto"/>
            <w:hideMark/>
          </w:tcPr>
          <w:p w14:paraId="4849782A"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Спроведене су набавке у оквиру фазе 1 пројекта изградње широкопојасне комуникационе инфраструктуре у руралним пределима Републике Србије за извођача радова за изградњу middle mile сегмента инфраструктуре и за стручни надзор над изградњом middle mile сегмента инфраструктуре, који се спроводи по правилима Европске банке за обнову и развој. Уговори су закључени у августу 2022. године а извођење радова почело је током септембра 2022. године.</w:t>
            </w:r>
          </w:p>
        </w:tc>
        <w:tc>
          <w:tcPr>
            <w:tcW w:w="2410" w:type="dxa"/>
            <w:shd w:val="clear" w:color="auto" w:fill="auto"/>
            <w:vAlign w:val="bottom"/>
            <w:hideMark/>
          </w:tcPr>
          <w:p w14:paraId="4593C770" w14:textId="77777777" w:rsidR="003E4638" w:rsidRPr="00092ED7" w:rsidRDefault="003E4638" w:rsidP="003E4638">
            <w:pPr>
              <w:spacing w:after="0"/>
              <w:jc w:val="left"/>
              <w:rPr>
                <w:rFonts w:eastAsia="Times New Roman" w:cs="Times New Roman"/>
                <w:color w:val="000000"/>
                <w:sz w:val="18"/>
                <w:szCs w:val="18"/>
                <w:lang w:val="sr-Cyrl-CS" w:eastAsia="sr-Latn-RS"/>
              </w:rPr>
            </w:pPr>
          </w:p>
        </w:tc>
        <w:tc>
          <w:tcPr>
            <w:tcW w:w="2693" w:type="dxa"/>
            <w:shd w:val="clear" w:color="auto" w:fill="auto"/>
            <w:hideMark/>
          </w:tcPr>
          <w:p w14:paraId="5156E7E8"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3E4638" w:rsidRPr="00092ED7" w14:paraId="41C4E310" w14:textId="77777777" w:rsidTr="004F56D8">
        <w:trPr>
          <w:trHeight w:val="1068"/>
        </w:trPr>
        <w:tc>
          <w:tcPr>
            <w:tcW w:w="560" w:type="dxa"/>
            <w:shd w:val="clear" w:color="auto" w:fill="auto"/>
            <w:noWrap/>
            <w:hideMark/>
          </w:tcPr>
          <w:p w14:paraId="6C89B111" w14:textId="77777777" w:rsidR="003E4638" w:rsidRPr="00092ED7" w:rsidRDefault="003E4638" w:rsidP="003E4638">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4.</w:t>
            </w:r>
          </w:p>
        </w:tc>
        <w:tc>
          <w:tcPr>
            <w:tcW w:w="4407" w:type="dxa"/>
            <w:shd w:val="clear" w:color="auto" w:fill="auto"/>
            <w:hideMark/>
          </w:tcPr>
          <w:p w14:paraId="795AD807" w14:textId="77777777" w:rsidR="003E4638" w:rsidRPr="00092ED7" w:rsidRDefault="003E4638" w:rsidP="003E4638">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Припрема и изградња оптичке широкопојасне мреже у руралним областима Републике Србије – фаза 2</w:t>
            </w:r>
          </w:p>
        </w:tc>
        <w:tc>
          <w:tcPr>
            <w:tcW w:w="1701" w:type="dxa"/>
            <w:shd w:val="clear" w:color="auto" w:fill="auto"/>
            <w:hideMark/>
          </w:tcPr>
          <w:p w14:paraId="2D1E7250"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напредак у спровођењу</w:t>
            </w:r>
          </w:p>
        </w:tc>
        <w:tc>
          <w:tcPr>
            <w:tcW w:w="3118" w:type="dxa"/>
            <w:shd w:val="clear" w:color="auto" w:fill="auto"/>
            <w:hideMark/>
          </w:tcPr>
          <w:p w14:paraId="041444F4" w14:textId="3FE64D1A" w:rsidR="003E4638" w:rsidRPr="00092ED7" w:rsidRDefault="003E4638" w:rsidP="00D570E6">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xml:space="preserve">Активности се одвијају према плану. У току је прва јавна набавка за изградњу 900 км оптичке инфраструктуре, завршен је процес претквалификације са 3 квалификована понуђача, а закључење уговора се очекује </w:t>
            </w:r>
            <w:r w:rsidR="00D570E6" w:rsidRPr="00092ED7">
              <w:rPr>
                <w:rFonts w:eastAsia="Times New Roman" w:cs="Times New Roman"/>
                <w:color w:val="000000"/>
                <w:sz w:val="18"/>
                <w:szCs w:val="18"/>
                <w:lang w:val="sr-Cyrl-CS" w:eastAsia="sr-Latn-RS"/>
              </w:rPr>
              <w:t>у наредном периоду.</w:t>
            </w:r>
          </w:p>
        </w:tc>
        <w:tc>
          <w:tcPr>
            <w:tcW w:w="2410" w:type="dxa"/>
            <w:shd w:val="clear" w:color="auto" w:fill="auto"/>
            <w:hideMark/>
          </w:tcPr>
          <w:p w14:paraId="18A5E89C"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2FD96358"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3E4638" w:rsidRPr="00092ED7" w14:paraId="3189F4EA" w14:textId="77777777" w:rsidTr="004F56D8">
        <w:trPr>
          <w:trHeight w:val="360"/>
        </w:trPr>
        <w:tc>
          <w:tcPr>
            <w:tcW w:w="560" w:type="dxa"/>
            <w:shd w:val="clear" w:color="auto" w:fill="auto"/>
            <w:hideMark/>
          </w:tcPr>
          <w:p w14:paraId="3947AA37" w14:textId="77777777" w:rsidR="003E4638" w:rsidRPr="00092ED7" w:rsidRDefault="003E4638" w:rsidP="003E4638">
            <w:pPr>
              <w:spacing w:after="0"/>
              <w:jc w:val="left"/>
              <w:rPr>
                <w:rFonts w:eastAsia="Times New Roman" w:cs="Times New Roman"/>
                <w:color w:val="000000"/>
                <w:sz w:val="18"/>
                <w:szCs w:val="18"/>
                <w:lang w:val="sr-Cyrl-CS" w:eastAsia="sr-Latn-RS"/>
              </w:rPr>
            </w:pPr>
          </w:p>
        </w:tc>
        <w:tc>
          <w:tcPr>
            <w:tcW w:w="4407" w:type="dxa"/>
            <w:shd w:val="clear" w:color="auto" w:fill="auto"/>
            <w:hideMark/>
          </w:tcPr>
          <w:p w14:paraId="0D59CBD0" w14:textId="77777777" w:rsidR="003E4638" w:rsidRPr="00092ED7" w:rsidRDefault="003E4638" w:rsidP="003E4638">
            <w:pPr>
              <w:spacing w:after="0"/>
              <w:jc w:val="left"/>
              <w:rPr>
                <w:rFonts w:eastAsia="Times New Roman" w:cs="Times New Roman"/>
                <w:sz w:val="18"/>
                <w:szCs w:val="18"/>
                <w:lang w:val="sr-Cyrl-CS" w:eastAsia="sr-Latn-RS"/>
              </w:rPr>
            </w:pPr>
          </w:p>
        </w:tc>
        <w:tc>
          <w:tcPr>
            <w:tcW w:w="1701" w:type="dxa"/>
            <w:shd w:val="clear" w:color="000000" w:fill="BDD7EE"/>
            <w:noWrap/>
            <w:vAlign w:val="bottom"/>
            <w:hideMark/>
          </w:tcPr>
          <w:p w14:paraId="48EC9725" w14:textId="77777777" w:rsidR="003E4638" w:rsidRPr="00092ED7" w:rsidRDefault="003E4638" w:rsidP="003E4638">
            <w:pPr>
              <w:spacing w:after="0"/>
              <w:jc w:val="center"/>
              <w:rPr>
                <w:rFonts w:eastAsia="Times New Roman" w:cs="Times New Roman"/>
                <w:sz w:val="28"/>
                <w:szCs w:val="28"/>
                <w:lang w:val="sr-Cyrl-CS" w:eastAsia="sr-Latn-RS"/>
              </w:rPr>
            </w:pPr>
            <w:r w:rsidRPr="00092ED7">
              <w:rPr>
                <w:rFonts w:eastAsia="Times New Roman" w:cs="Times New Roman"/>
                <w:sz w:val="28"/>
                <w:szCs w:val="28"/>
                <w:lang w:val="sr-Cyrl-CS" w:eastAsia="sr-Latn-RS"/>
              </w:rPr>
              <w:t>90%</w:t>
            </w:r>
          </w:p>
        </w:tc>
        <w:tc>
          <w:tcPr>
            <w:tcW w:w="3118" w:type="dxa"/>
            <w:shd w:val="clear" w:color="auto" w:fill="auto"/>
            <w:noWrap/>
            <w:hideMark/>
          </w:tcPr>
          <w:p w14:paraId="376F4334" w14:textId="77777777" w:rsidR="003E4638" w:rsidRPr="00092ED7" w:rsidRDefault="003E4638" w:rsidP="003E4638">
            <w:pPr>
              <w:spacing w:after="0"/>
              <w:jc w:val="center"/>
              <w:rPr>
                <w:rFonts w:eastAsia="Times New Roman" w:cs="Times New Roman"/>
                <w:sz w:val="18"/>
                <w:szCs w:val="18"/>
                <w:lang w:val="sr-Cyrl-CS" w:eastAsia="sr-Latn-RS"/>
              </w:rPr>
            </w:pPr>
          </w:p>
        </w:tc>
        <w:tc>
          <w:tcPr>
            <w:tcW w:w="2410" w:type="dxa"/>
            <w:shd w:val="clear" w:color="auto" w:fill="auto"/>
            <w:noWrap/>
            <w:hideMark/>
          </w:tcPr>
          <w:p w14:paraId="4271F6C9" w14:textId="77777777" w:rsidR="003E4638" w:rsidRPr="00092ED7" w:rsidRDefault="003E4638" w:rsidP="003E4638">
            <w:pPr>
              <w:spacing w:after="0"/>
              <w:jc w:val="left"/>
              <w:rPr>
                <w:rFonts w:eastAsia="Times New Roman" w:cs="Times New Roman"/>
                <w:sz w:val="18"/>
                <w:szCs w:val="18"/>
                <w:lang w:val="sr-Cyrl-CS" w:eastAsia="sr-Latn-RS"/>
              </w:rPr>
            </w:pPr>
          </w:p>
        </w:tc>
        <w:tc>
          <w:tcPr>
            <w:tcW w:w="2693" w:type="dxa"/>
            <w:shd w:val="clear" w:color="auto" w:fill="auto"/>
            <w:noWrap/>
            <w:hideMark/>
          </w:tcPr>
          <w:p w14:paraId="29154F25" w14:textId="77777777" w:rsidR="003E4638" w:rsidRPr="00092ED7" w:rsidRDefault="003E4638" w:rsidP="003E4638">
            <w:pPr>
              <w:spacing w:after="0"/>
              <w:jc w:val="left"/>
              <w:rPr>
                <w:rFonts w:eastAsia="Times New Roman" w:cs="Times New Roman"/>
                <w:sz w:val="18"/>
                <w:szCs w:val="18"/>
                <w:lang w:val="sr-Cyrl-CS" w:eastAsia="sr-Latn-RS"/>
              </w:rPr>
            </w:pPr>
          </w:p>
        </w:tc>
      </w:tr>
      <w:tr w:rsidR="003E4638" w:rsidRPr="00092ED7" w14:paraId="7F7C154C" w14:textId="77777777" w:rsidTr="004F56D8">
        <w:trPr>
          <w:trHeight w:val="360"/>
        </w:trPr>
        <w:tc>
          <w:tcPr>
            <w:tcW w:w="560" w:type="dxa"/>
            <w:shd w:val="clear" w:color="auto" w:fill="D9D9D9" w:themeFill="background1" w:themeFillShade="D9"/>
            <w:noWrap/>
            <w:hideMark/>
          </w:tcPr>
          <w:p w14:paraId="148590DF"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14329" w:type="dxa"/>
            <w:gridSpan w:val="5"/>
            <w:shd w:val="clear" w:color="auto" w:fill="D9D9D9" w:themeFill="background1" w:themeFillShade="D9"/>
            <w:noWrap/>
            <w:vAlign w:val="center"/>
            <w:hideMark/>
          </w:tcPr>
          <w:p w14:paraId="63138903" w14:textId="77777777" w:rsidR="003E4638" w:rsidRPr="00092ED7" w:rsidRDefault="003E4638" w:rsidP="003E4638">
            <w:pPr>
              <w:spacing w:after="0"/>
              <w:jc w:val="left"/>
              <w:rPr>
                <w:rFonts w:eastAsia="Times New Roman" w:cs="Times New Roman"/>
                <w:b/>
                <w:bCs/>
                <w:sz w:val="18"/>
                <w:szCs w:val="18"/>
                <w:lang w:val="sr-Cyrl-CS" w:eastAsia="sr-Latn-RS"/>
              </w:rPr>
            </w:pPr>
            <w:r w:rsidRPr="00092ED7">
              <w:rPr>
                <w:rFonts w:eastAsia="Times New Roman" w:cs="Times New Roman"/>
                <w:b/>
                <w:bCs/>
                <w:sz w:val="18"/>
                <w:szCs w:val="18"/>
                <w:lang w:val="sr-Cyrl-CS" w:eastAsia="sr-Latn-RS"/>
              </w:rPr>
              <w:t>СР 13. УСПОСТАВЉАЊЕ ИНФРАСТРУКТУРЕ И ОКРУЖЕЊА ЗА КРЕИРАЊЕ И ПРИМЕНУ ИНОВАТИВНИХ И РЕШЕЊА БАЗИРАНИХ НА ВЕШТАЧКОЈ ИНТЕЛИГЕНЦИЈИ</w:t>
            </w:r>
          </w:p>
        </w:tc>
      </w:tr>
      <w:tr w:rsidR="003E4638" w:rsidRPr="00092ED7" w14:paraId="2E6660C8" w14:textId="77777777" w:rsidTr="004F56D8">
        <w:trPr>
          <w:trHeight w:val="288"/>
        </w:trPr>
        <w:tc>
          <w:tcPr>
            <w:tcW w:w="560" w:type="dxa"/>
            <w:shd w:val="clear" w:color="auto" w:fill="auto"/>
            <w:noWrap/>
            <w:hideMark/>
          </w:tcPr>
          <w:p w14:paraId="564A0350" w14:textId="77777777" w:rsidR="003E4638" w:rsidRPr="00092ED7" w:rsidRDefault="003E4638" w:rsidP="003E4638">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1.</w:t>
            </w:r>
          </w:p>
        </w:tc>
        <w:tc>
          <w:tcPr>
            <w:tcW w:w="4407" w:type="dxa"/>
            <w:shd w:val="clear" w:color="auto" w:fill="auto"/>
            <w:hideMark/>
          </w:tcPr>
          <w:p w14:paraId="706DF3E5" w14:textId="77777777" w:rsidR="003E4638" w:rsidRPr="00092ED7" w:rsidRDefault="003E4638" w:rsidP="003E4638">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Обезбеђивање неопходне инфраструктуре и ресурса за развој ВИ у ДЦ у Крагујевцу</w:t>
            </w:r>
          </w:p>
        </w:tc>
        <w:tc>
          <w:tcPr>
            <w:tcW w:w="1701" w:type="dxa"/>
            <w:shd w:val="clear" w:color="auto" w:fill="auto"/>
            <w:hideMark/>
          </w:tcPr>
          <w:p w14:paraId="45327E3E"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потпуно спроведене</w:t>
            </w:r>
          </w:p>
        </w:tc>
        <w:tc>
          <w:tcPr>
            <w:tcW w:w="3118" w:type="dxa"/>
            <w:shd w:val="clear" w:color="auto" w:fill="auto"/>
            <w:hideMark/>
          </w:tcPr>
          <w:p w14:paraId="3D21F9A6"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410" w:type="dxa"/>
            <w:shd w:val="clear" w:color="auto" w:fill="auto"/>
            <w:hideMark/>
          </w:tcPr>
          <w:p w14:paraId="5B732913"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6BFB9A96"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3E4638" w:rsidRPr="00092ED7" w14:paraId="0371EF71" w14:textId="77777777" w:rsidTr="004F56D8">
        <w:trPr>
          <w:trHeight w:val="792"/>
        </w:trPr>
        <w:tc>
          <w:tcPr>
            <w:tcW w:w="560" w:type="dxa"/>
            <w:shd w:val="clear" w:color="auto" w:fill="auto"/>
            <w:noWrap/>
            <w:hideMark/>
          </w:tcPr>
          <w:p w14:paraId="289BAEE7" w14:textId="77777777" w:rsidR="003E4638" w:rsidRPr="00092ED7" w:rsidRDefault="003E4638" w:rsidP="003E4638">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2.</w:t>
            </w:r>
          </w:p>
        </w:tc>
        <w:tc>
          <w:tcPr>
            <w:tcW w:w="4407" w:type="dxa"/>
            <w:shd w:val="clear" w:color="auto" w:fill="auto"/>
            <w:hideMark/>
          </w:tcPr>
          <w:p w14:paraId="77918A03" w14:textId="77777777" w:rsidR="003E4638" w:rsidRPr="00092ED7" w:rsidRDefault="003E4638" w:rsidP="003E4638">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 xml:space="preserve">Спровођење Јавног позива за 7 градова/ЈЛС за учешће у пројекту Smart City, у партнерству са привредом и академском заједницом </w:t>
            </w:r>
          </w:p>
        </w:tc>
        <w:tc>
          <w:tcPr>
            <w:tcW w:w="1701" w:type="dxa"/>
            <w:shd w:val="clear" w:color="auto" w:fill="auto"/>
            <w:hideMark/>
          </w:tcPr>
          <w:p w14:paraId="25689AD7"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у припреми</w:t>
            </w:r>
          </w:p>
        </w:tc>
        <w:tc>
          <w:tcPr>
            <w:tcW w:w="3118" w:type="dxa"/>
            <w:shd w:val="clear" w:color="auto" w:fill="auto"/>
            <w:hideMark/>
          </w:tcPr>
          <w:p w14:paraId="3908E66C"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410" w:type="dxa"/>
            <w:shd w:val="clear" w:color="auto" w:fill="auto"/>
            <w:hideMark/>
          </w:tcPr>
          <w:p w14:paraId="257C9F8B"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У међувремену је дошло до измене плана, тако да ће се јавни позив спровести за 3 града/ЈЛС у периоду 2023 – 2025. године.</w:t>
            </w:r>
          </w:p>
        </w:tc>
        <w:tc>
          <w:tcPr>
            <w:tcW w:w="2693" w:type="dxa"/>
            <w:shd w:val="clear" w:color="auto" w:fill="auto"/>
            <w:hideMark/>
          </w:tcPr>
          <w:p w14:paraId="390156F6"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3E4638" w:rsidRPr="00092ED7" w14:paraId="5409F2E0" w14:textId="77777777" w:rsidTr="004F56D8">
        <w:trPr>
          <w:trHeight w:val="3818"/>
        </w:trPr>
        <w:tc>
          <w:tcPr>
            <w:tcW w:w="560" w:type="dxa"/>
            <w:shd w:val="clear" w:color="auto" w:fill="auto"/>
            <w:noWrap/>
            <w:hideMark/>
          </w:tcPr>
          <w:p w14:paraId="44FB6DE2" w14:textId="77777777" w:rsidR="003E4638" w:rsidRPr="00092ED7" w:rsidRDefault="003E4638" w:rsidP="003E4638">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lastRenderedPageBreak/>
              <w:t>3.</w:t>
            </w:r>
          </w:p>
        </w:tc>
        <w:tc>
          <w:tcPr>
            <w:tcW w:w="4407" w:type="dxa"/>
            <w:shd w:val="clear" w:color="auto" w:fill="auto"/>
            <w:hideMark/>
          </w:tcPr>
          <w:p w14:paraId="7CB35AE7" w14:textId="77777777" w:rsidR="003E4638" w:rsidRPr="00092ED7" w:rsidRDefault="003E4638" w:rsidP="003E4638">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Израда техничке документације и припреме за почетак изградње центра ,,Ложионица”</w:t>
            </w:r>
          </w:p>
        </w:tc>
        <w:tc>
          <w:tcPr>
            <w:tcW w:w="1701" w:type="dxa"/>
            <w:shd w:val="clear" w:color="auto" w:fill="auto"/>
            <w:hideMark/>
          </w:tcPr>
          <w:p w14:paraId="07B34E07"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напредак у спровођењу</w:t>
            </w:r>
          </w:p>
        </w:tc>
        <w:tc>
          <w:tcPr>
            <w:tcW w:w="3118" w:type="dxa"/>
            <w:shd w:val="clear" w:color="auto" w:fill="auto"/>
            <w:hideMark/>
          </w:tcPr>
          <w:p w14:paraId="04C50AA2"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Активност се спроводи у складу са планираним роковима. Локацијски услови су прибављени. ПГД је финално израђен и прихваћен. Тендер на основу ПГД за извођење радова је успешно спроведен и тренутно се усклађује тендерска документација са понудом. Захтев за грађевинску дозволу је у завршној фази исходовања. У току је израда плана пословања Ложионице, који ће дати детаљан преглед портофлија услуга, план развоја људских ресурса и маркетиншки план, као и финансијски план са јасно дефинисаним расходима и приходима пројектованим на 10 година. Ангажовани су консултанти који се посебно баве развојем Инкубатора за креативне индустрије који ће бити кључна развојна компонента Ложионице. У току је осмишљавање програма за рад са децом из основних и средњих школа на развоју креативних, предузетничких и дигиталних вештина у сарадњи са предузећима која су светски лидери у овој области.</w:t>
            </w:r>
          </w:p>
        </w:tc>
        <w:tc>
          <w:tcPr>
            <w:tcW w:w="2410" w:type="dxa"/>
            <w:shd w:val="clear" w:color="auto" w:fill="auto"/>
            <w:hideMark/>
          </w:tcPr>
          <w:p w14:paraId="1635A326"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22C0A86C"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3E4638" w:rsidRPr="00092ED7" w14:paraId="44DB38F4" w14:textId="77777777" w:rsidTr="004F56D8">
        <w:trPr>
          <w:trHeight w:val="360"/>
        </w:trPr>
        <w:tc>
          <w:tcPr>
            <w:tcW w:w="560" w:type="dxa"/>
            <w:shd w:val="clear" w:color="auto" w:fill="auto"/>
            <w:hideMark/>
          </w:tcPr>
          <w:p w14:paraId="1CB76BB2" w14:textId="77777777" w:rsidR="003E4638" w:rsidRPr="00092ED7" w:rsidRDefault="003E4638" w:rsidP="003E4638">
            <w:pPr>
              <w:spacing w:after="0"/>
              <w:jc w:val="left"/>
              <w:rPr>
                <w:rFonts w:eastAsia="Times New Roman" w:cs="Times New Roman"/>
                <w:color w:val="000000"/>
                <w:sz w:val="18"/>
                <w:szCs w:val="18"/>
                <w:lang w:val="sr-Cyrl-CS" w:eastAsia="sr-Latn-RS"/>
              </w:rPr>
            </w:pPr>
          </w:p>
        </w:tc>
        <w:tc>
          <w:tcPr>
            <w:tcW w:w="4407" w:type="dxa"/>
            <w:shd w:val="clear" w:color="auto" w:fill="auto"/>
            <w:hideMark/>
          </w:tcPr>
          <w:p w14:paraId="43AB49DB" w14:textId="77777777" w:rsidR="003E4638" w:rsidRPr="00092ED7" w:rsidRDefault="003E4638" w:rsidP="003E4638">
            <w:pPr>
              <w:spacing w:after="0"/>
              <w:jc w:val="left"/>
              <w:rPr>
                <w:rFonts w:eastAsia="Times New Roman" w:cs="Times New Roman"/>
                <w:sz w:val="18"/>
                <w:szCs w:val="18"/>
                <w:lang w:val="sr-Cyrl-CS" w:eastAsia="sr-Latn-RS"/>
              </w:rPr>
            </w:pPr>
          </w:p>
        </w:tc>
        <w:tc>
          <w:tcPr>
            <w:tcW w:w="1701" w:type="dxa"/>
            <w:shd w:val="clear" w:color="000000" w:fill="BDD7EE"/>
            <w:noWrap/>
            <w:vAlign w:val="bottom"/>
            <w:hideMark/>
          </w:tcPr>
          <w:p w14:paraId="1D3D2742" w14:textId="77777777" w:rsidR="003E4638" w:rsidRPr="00092ED7" w:rsidRDefault="003E4638" w:rsidP="003E4638">
            <w:pPr>
              <w:spacing w:after="0"/>
              <w:jc w:val="center"/>
              <w:rPr>
                <w:rFonts w:eastAsia="Times New Roman" w:cs="Times New Roman"/>
                <w:sz w:val="28"/>
                <w:szCs w:val="28"/>
                <w:lang w:val="sr-Cyrl-CS" w:eastAsia="sr-Latn-RS"/>
              </w:rPr>
            </w:pPr>
            <w:r w:rsidRPr="00092ED7">
              <w:rPr>
                <w:rFonts w:eastAsia="Times New Roman" w:cs="Times New Roman"/>
                <w:sz w:val="28"/>
                <w:szCs w:val="28"/>
                <w:lang w:val="sr-Cyrl-CS" w:eastAsia="sr-Latn-RS"/>
              </w:rPr>
              <w:t>67%</w:t>
            </w:r>
          </w:p>
        </w:tc>
        <w:tc>
          <w:tcPr>
            <w:tcW w:w="3118" w:type="dxa"/>
            <w:shd w:val="clear" w:color="auto" w:fill="auto"/>
            <w:noWrap/>
            <w:hideMark/>
          </w:tcPr>
          <w:p w14:paraId="4E17DA81" w14:textId="77777777" w:rsidR="003E4638" w:rsidRPr="00092ED7" w:rsidRDefault="003E4638" w:rsidP="003E4638">
            <w:pPr>
              <w:spacing w:after="0"/>
              <w:jc w:val="center"/>
              <w:rPr>
                <w:rFonts w:eastAsia="Times New Roman" w:cs="Times New Roman"/>
                <w:sz w:val="18"/>
                <w:szCs w:val="18"/>
                <w:lang w:val="sr-Cyrl-CS" w:eastAsia="sr-Latn-RS"/>
              </w:rPr>
            </w:pPr>
          </w:p>
        </w:tc>
        <w:tc>
          <w:tcPr>
            <w:tcW w:w="2410" w:type="dxa"/>
            <w:shd w:val="clear" w:color="auto" w:fill="auto"/>
            <w:noWrap/>
            <w:hideMark/>
          </w:tcPr>
          <w:p w14:paraId="0426644E" w14:textId="77777777" w:rsidR="003E4638" w:rsidRPr="00092ED7" w:rsidRDefault="003E4638" w:rsidP="003E4638">
            <w:pPr>
              <w:spacing w:after="0"/>
              <w:jc w:val="left"/>
              <w:rPr>
                <w:rFonts w:eastAsia="Times New Roman" w:cs="Times New Roman"/>
                <w:sz w:val="18"/>
                <w:szCs w:val="18"/>
                <w:lang w:val="sr-Cyrl-CS" w:eastAsia="sr-Latn-RS"/>
              </w:rPr>
            </w:pPr>
          </w:p>
        </w:tc>
        <w:tc>
          <w:tcPr>
            <w:tcW w:w="2693" w:type="dxa"/>
            <w:shd w:val="clear" w:color="auto" w:fill="auto"/>
            <w:noWrap/>
            <w:hideMark/>
          </w:tcPr>
          <w:p w14:paraId="4FE2A4DB" w14:textId="77777777" w:rsidR="003E4638" w:rsidRPr="00092ED7" w:rsidRDefault="003E4638" w:rsidP="003E4638">
            <w:pPr>
              <w:spacing w:after="0"/>
              <w:jc w:val="left"/>
              <w:rPr>
                <w:rFonts w:eastAsia="Times New Roman" w:cs="Times New Roman"/>
                <w:sz w:val="18"/>
                <w:szCs w:val="18"/>
                <w:lang w:val="sr-Cyrl-CS" w:eastAsia="sr-Latn-RS"/>
              </w:rPr>
            </w:pPr>
          </w:p>
        </w:tc>
      </w:tr>
      <w:tr w:rsidR="003E4638" w:rsidRPr="00092ED7" w14:paraId="656C3727" w14:textId="77777777" w:rsidTr="004F56D8">
        <w:trPr>
          <w:trHeight w:val="360"/>
        </w:trPr>
        <w:tc>
          <w:tcPr>
            <w:tcW w:w="560" w:type="dxa"/>
            <w:shd w:val="clear" w:color="auto" w:fill="D9D9D9" w:themeFill="background1" w:themeFillShade="D9"/>
            <w:noWrap/>
            <w:hideMark/>
          </w:tcPr>
          <w:p w14:paraId="2924C8DA"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14329" w:type="dxa"/>
            <w:gridSpan w:val="5"/>
            <w:shd w:val="clear" w:color="auto" w:fill="D9D9D9" w:themeFill="background1" w:themeFillShade="D9"/>
            <w:noWrap/>
            <w:vAlign w:val="center"/>
            <w:hideMark/>
          </w:tcPr>
          <w:p w14:paraId="033A0F5E" w14:textId="77777777" w:rsidR="003E4638" w:rsidRPr="00092ED7" w:rsidRDefault="003E4638" w:rsidP="003E4638">
            <w:pPr>
              <w:spacing w:after="0"/>
              <w:jc w:val="left"/>
              <w:rPr>
                <w:rFonts w:eastAsia="Times New Roman" w:cs="Times New Roman"/>
                <w:b/>
                <w:bCs/>
                <w:sz w:val="18"/>
                <w:szCs w:val="18"/>
                <w:lang w:val="sr-Cyrl-CS" w:eastAsia="sr-Latn-RS"/>
              </w:rPr>
            </w:pPr>
            <w:r w:rsidRPr="00092ED7">
              <w:rPr>
                <w:rFonts w:eastAsia="Times New Roman" w:cs="Times New Roman"/>
                <w:b/>
                <w:bCs/>
                <w:sz w:val="18"/>
                <w:szCs w:val="18"/>
                <w:lang w:val="sr-Cyrl-CS" w:eastAsia="sr-Latn-RS"/>
              </w:rPr>
              <w:t>СР 14. РАЗВОЈ СТАРТАП ЕКОСИСТЕМА</w:t>
            </w:r>
          </w:p>
        </w:tc>
      </w:tr>
      <w:tr w:rsidR="003E4638" w:rsidRPr="00092ED7" w14:paraId="5BF6DD50" w14:textId="77777777" w:rsidTr="004F56D8">
        <w:trPr>
          <w:trHeight w:val="528"/>
        </w:trPr>
        <w:tc>
          <w:tcPr>
            <w:tcW w:w="560" w:type="dxa"/>
            <w:shd w:val="clear" w:color="auto" w:fill="auto"/>
            <w:noWrap/>
            <w:hideMark/>
          </w:tcPr>
          <w:p w14:paraId="038CC13E" w14:textId="77777777" w:rsidR="003E4638" w:rsidRPr="00092ED7" w:rsidRDefault="003E4638" w:rsidP="003E4638">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1.</w:t>
            </w:r>
          </w:p>
        </w:tc>
        <w:tc>
          <w:tcPr>
            <w:tcW w:w="4407" w:type="dxa"/>
            <w:shd w:val="clear" w:color="auto" w:fill="auto"/>
            <w:hideMark/>
          </w:tcPr>
          <w:p w14:paraId="49DE2B7C" w14:textId="77777777" w:rsidR="003E4638" w:rsidRPr="00092ED7" w:rsidRDefault="003E4638" w:rsidP="003E4638">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Креирање позивa Фонда за иновациону делатност за суфинансирање фондова предузетничког капитала и инвестиција пословних анђела</w:t>
            </w:r>
          </w:p>
        </w:tc>
        <w:tc>
          <w:tcPr>
            <w:tcW w:w="1701" w:type="dxa"/>
            <w:shd w:val="clear" w:color="auto" w:fill="auto"/>
            <w:hideMark/>
          </w:tcPr>
          <w:p w14:paraId="6B370438"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потпуно спроведене</w:t>
            </w:r>
          </w:p>
        </w:tc>
        <w:tc>
          <w:tcPr>
            <w:tcW w:w="3118" w:type="dxa"/>
            <w:shd w:val="clear" w:color="auto" w:fill="auto"/>
            <w:hideMark/>
          </w:tcPr>
          <w:p w14:paraId="38A9BFD2"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410" w:type="dxa"/>
            <w:shd w:val="clear" w:color="auto" w:fill="auto"/>
            <w:hideMark/>
          </w:tcPr>
          <w:p w14:paraId="6330AF48"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5DC14EBF"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3E4638" w:rsidRPr="00092ED7" w14:paraId="15A510C9" w14:textId="77777777" w:rsidTr="004F56D8">
        <w:trPr>
          <w:trHeight w:val="528"/>
        </w:trPr>
        <w:tc>
          <w:tcPr>
            <w:tcW w:w="560" w:type="dxa"/>
            <w:shd w:val="clear" w:color="auto" w:fill="auto"/>
            <w:noWrap/>
            <w:hideMark/>
          </w:tcPr>
          <w:p w14:paraId="28951D6E" w14:textId="77777777" w:rsidR="003E4638" w:rsidRPr="00092ED7" w:rsidRDefault="003E4638" w:rsidP="003E4638">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2.</w:t>
            </w:r>
          </w:p>
        </w:tc>
        <w:tc>
          <w:tcPr>
            <w:tcW w:w="4407" w:type="dxa"/>
            <w:shd w:val="clear" w:color="auto" w:fill="auto"/>
            <w:hideMark/>
          </w:tcPr>
          <w:p w14:paraId="7B96D6DB" w14:textId="77777777" w:rsidR="003E4638" w:rsidRPr="00092ED7" w:rsidRDefault="003E4638" w:rsidP="003E4638">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Оснивање Регистра стартапа</w:t>
            </w:r>
          </w:p>
        </w:tc>
        <w:tc>
          <w:tcPr>
            <w:tcW w:w="1701" w:type="dxa"/>
            <w:shd w:val="clear" w:color="auto" w:fill="auto"/>
            <w:hideMark/>
          </w:tcPr>
          <w:p w14:paraId="64BD7DDA"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започето спровођење</w:t>
            </w:r>
          </w:p>
        </w:tc>
        <w:tc>
          <w:tcPr>
            <w:tcW w:w="3118" w:type="dxa"/>
            <w:shd w:val="clear" w:color="auto" w:fill="auto"/>
            <w:hideMark/>
          </w:tcPr>
          <w:p w14:paraId="5491FC6B"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xml:space="preserve">Расписана јавна набавка за израду софтверског решења. Припремљен Правилник на основу кога ће бити креиран Регистар. </w:t>
            </w:r>
          </w:p>
        </w:tc>
        <w:tc>
          <w:tcPr>
            <w:tcW w:w="2410" w:type="dxa"/>
            <w:shd w:val="clear" w:color="auto" w:fill="auto"/>
            <w:hideMark/>
          </w:tcPr>
          <w:p w14:paraId="7F8D881B"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73AB81F2"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3E4638" w:rsidRPr="00092ED7" w14:paraId="026FA5CA" w14:textId="77777777" w:rsidTr="004F56D8">
        <w:trPr>
          <w:trHeight w:val="840"/>
        </w:trPr>
        <w:tc>
          <w:tcPr>
            <w:tcW w:w="560" w:type="dxa"/>
            <w:shd w:val="clear" w:color="auto" w:fill="auto"/>
            <w:noWrap/>
            <w:hideMark/>
          </w:tcPr>
          <w:p w14:paraId="7881A9D6" w14:textId="77777777" w:rsidR="003E4638" w:rsidRPr="00092ED7" w:rsidRDefault="003E4638" w:rsidP="003E4638">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lastRenderedPageBreak/>
              <w:t>3.</w:t>
            </w:r>
          </w:p>
        </w:tc>
        <w:tc>
          <w:tcPr>
            <w:tcW w:w="4407" w:type="dxa"/>
            <w:shd w:val="clear" w:color="auto" w:fill="auto"/>
            <w:hideMark/>
          </w:tcPr>
          <w:p w14:paraId="215D6723" w14:textId="77777777" w:rsidR="003E4638" w:rsidRPr="00092ED7" w:rsidRDefault="003E4638" w:rsidP="003E4638">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Успостављање GovTech-а</w:t>
            </w:r>
          </w:p>
        </w:tc>
        <w:tc>
          <w:tcPr>
            <w:tcW w:w="1701" w:type="dxa"/>
            <w:shd w:val="clear" w:color="auto" w:fill="auto"/>
            <w:hideMark/>
          </w:tcPr>
          <w:p w14:paraId="174A6EE0"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напредак у спровођењу</w:t>
            </w:r>
          </w:p>
        </w:tc>
        <w:tc>
          <w:tcPr>
            <w:tcW w:w="3118" w:type="dxa"/>
            <w:shd w:val="clear" w:color="auto" w:fill="auto"/>
            <w:hideMark/>
          </w:tcPr>
          <w:p w14:paraId="1D8C53F4" w14:textId="185FCB79"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xml:space="preserve">Урађена је компаративна анализа како би се нашло право решење за екосистем у </w:t>
            </w:r>
            <w:r w:rsidR="003B5902" w:rsidRPr="00092ED7">
              <w:rPr>
                <w:rFonts w:eastAsia="Times New Roman" w:cs="Times New Roman"/>
                <w:color w:val="000000"/>
                <w:sz w:val="18"/>
                <w:szCs w:val="18"/>
                <w:lang w:val="sr-Cyrl-CS" w:eastAsia="sr-Latn-RS"/>
              </w:rPr>
              <w:t xml:space="preserve">Републици </w:t>
            </w:r>
            <w:r w:rsidRPr="00092ED7">
              <w:rPr>
                <w:rFonts w:eastAsia="Times New Roman" w:cs="Times New Roman"/>
                <w:color w:val="000000"/>
                <w:sz w:val="18"/>
                <w:szCs w:val="18"/>
                <w:lang w:val="sr-Cyrl-CS" w:eastAsia="sr-Latn-RS"/>
              </w:rPr>
              <w:t xml:space="preserve">Србији и направљена је подлога на основу које ће се ући у имплементацију GovTech програма. </w:t>
            </w:r>
          </w:p>
        </w:tc>
        <w:tc>
          <w:tcPr>
            <w:tcW w:w="2410" w:type="dxa"/>
            <w:shd w:val="clear" w:color="auto" w:fill="auto"/>
            <w:hideMark/>
          </w:tcPr>
          <w:p w14:paraId="2B7D838B"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092C456A"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3E4638" w:rsidRPr="00092ED7" w14:paraId="1D881B98" w14:textId="77777777" w:rsidTr="004F56D8">
        <w:trPr>
          <w:trHeight w:val="528"/>
        </w:trPr>
        <w:tc>
          <w:tcPr>
            <w:tcW w:w="560" w:type="dxa"/>
            <w:shd w:val="clear" w:color="auto" w:fill="auto"/>
            <w:noWrap/>
            <w:hideMark/>
          </w:tcPr>
          <w:p w14:paraId="1037E54B" w14:textId="77777777" w:rsidR="003E4638" w:rsidRPr="00092ED7" w:rsidRDefault="003E4638" w:rsidP="003E4638">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4.</w:t>
            </w:r>
          </w:p>
        </w:tc>
        <w:tc>
          <w:tcPr>
            <w:tcW w:w="4407" w:type="dxa"/>
            <w:shd w:val="clear" w:color="auto" w:fill="auto"/>
            <w:hideMark/>
          </w:tcPr>
          <w:p w14:paraId="4B64167C" w14:textId="77777777" w:rsidR="003E4638" w:rsidRPr="00092ED7" w:rsidRDefault="003E4638" w:rsidP="003E4638">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Припрема и реализација обука за рад са стартапима за државне службенике</w:t>
            </w:r>
          </w:p>
        </w:tc>
        <w:tc>
          <w:tcPr>
            <w:tcW w:w="1701" w:type="dxa"/>
            <w:shd w:val="clear" w:color="auto" w:fill="auto"/>
            <w:hideMark/>
          </w:tcPr>
          <w:p w14:paraId="59BF7248"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започето спровођење</w:t>
            </w:r>
          </w:p>
        </w:tc>
        <w:tc>
          <w:tcPr>
            <w:tcW w:w="3118" w:type="dxa"/>
            <w:shd w:val="clear" w:color="auto" w:fill="auto"/>
            <w:hideMark/>
          </w:tcPr>
          <w:p w14:paraId="209008D4"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xml:space="preserve">Направљени су планови и програм обука за државне службенике које треба да буду спроведене током наредне године. </w:t>
            </w:r>
          </w:p>
        </w:tc>
        <w:tc>
          <w:tcPr>
            <w:tcW w:w="2410" w:type="dxa"/>
            <w:shd w:val="clear" w:color="auto" w:fill="auto"/>
            <w:hideMark/>
          </w:tcPr>
          <w:p w14:paraId="50AF6A3B"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748B42A1"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3E4638" w:rsidRPr="00092ED7" w14:paraId="77A7D827" w14:textId="77777777" w:rsidTr="004F56D8">
        <w:trPr>
          <w:trHeight w:val="918"/>
        </w:trPr>
        <w:tc>
          <w:tcPr>
            <w:tcW w:w="560" w:type="dxa"/>
            <w:shd w:val="clear" w:color="auto" w:fill="auto"/>
            <w:noWrap/>
            <w:hideMark/>
          </w:tcPr>
          <w:p w14:paraId="09974880" w14:textId="77777777" w:rsidR="003E4638" w:rsidRPr="00092ED7" w:rsidRDefault="003E4638" w:rsidP="003E4638">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5.</w:t>
            </w:r>
          </w:p>
        </w:tc>
        <w:tc>
          <w:tcPr>
            <w:tcW w:w="4407" w:type="dxa"/>
            <w:shd w:val="clear" w:color="auto" w:fill="auto"/>
            <w:hideMark/>
          </w:tcPr>
          <w:p w14:paraId="0BC50569" w14:textId="77777777" w:rsidR="003E4638" w:rsidRPr="00092ED7" w:rsidRDefault="003E4638" w:rsidP="003E4638">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Оснаживање стартапова за привлачење инвестиција кроз укључивање у програм акцелерације Фонда за иновациону делатност (SAIGE)</w:t>
            </w:r>
          </w:p>
        </w:tc>
        <w:tc>
          <w:tcPr>
            <w:tcW w:w="1701" w:type="dxa"/>
            <w:shd w:val="clear" w:color="auto" w:fill="auto"/>
            <w:hideMark/>
          </w:tcPr>
          <w:p w14:paraId="206D3562"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наставак спровођења са почетним резултатима</w:t>
            </w:r>
          </w:p>
        </w:tc>
        <w:tc>
          <w:tcPr>
            <w:tcW w:w="3118" w:type="dxa"/>
            <w:shd w:val="clear" w:color="auto" w:fill="auto"/>
            <w:hideMark/>
          </w:tcPr>
          <w:p w14:paraId="18A5B8D6" w14:textId="132F8ED0" w:rsidR="003E4638" w:rsidRPr="00092ED7" w:rsidRDefault="003E4638" w:rsidP="00B472AD">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xml:space="preserve">На објављен позив од октобра 2021. поднето је 148 пријава, док је у програм Акцелерације изабрано 19 најбољих компанија. </w:t>
            </w:r>
          </w:p>
        </w:tc>
        <w:tc>
          <w:tcPr>
            <w:tcW w:w="2410" w:type="dxa"/>
            <w:shd w:val="clear" w:color="auto" w:fill="auto"/>
            <w:hideMark/>
          </w:tcPr>
          <w:p w14:paraId="28B0A11E"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1B21B84B"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3E4638" w:rsidRPr="00092ED7" w14:paraId="5C65990E" w14:textId="77777777" w:rsidTr="004F56D8">
        <w:trPr>
          <w:trHeight w:val="360"/>
        </w:trPr>
        <w:tc>
          <w:tcPr>
            <w:tcW w:w="560" w:type="dxa"/>
            <w:shd w:val="clear" w:color="auto" w:fill="auto"/>
            <w:hideMark/>
          </w:tcPr>
          <w:p w14:paraId="7D1C583C" w14:textId="77777777" w:rsidR="003E4638" w:rsidRPr="00092ED7" w:rsidRDefault="003E4638" w:rsidP="003E4638">
            <w:pPr>
              <w:spacing w:after="0"/>
              <w:jc w:val="left"/>
              <w:rPr>
                <w:rFonts w:eastAsia="Times New Roman" w:cs="Times New Roman"/>
                <w:color w:val="000000"/>
                <w:sz w:val="18"/>
                <w:szCs w:val="18"/>
                <w:lang w:val="sr-Cyrl-CS" w:eastAsia="sr-Latn-RS"/>
              </w:rPr>
            </w:pPr>
          </w:p>
        </w:tc>
        <w:tc>
          <w:tcPr>
            <w:tcW w:w="4407" w:type="dxa"/>
            <w:shd w:val="clear" w:color="auto" w:fill="auto"/>
            <w:hideMark/>
          </w:tcPr>
          <w:p w14:paraId="4371F09B" w14:textId="77777777" w:rsidR="003E4638" w:rsidRPr="00092ED7" w:rsidRDefault="003E4638" w:rsidP="003E4638">
            <w:pPr>
              <w:spacing w:after="0"/>
              <w:jc w:val="left"/>
              <w:rPr>
                <w:rFonts w:eastAsia="Times New Roman" w:cs="Times New Roman"/>
                <w:sz w:val="18"/>
                <w:szCs w:val="18"/>
                <w:lang w:val="sr-Cyrl-CS" w:eastAsia="sr-Latn-RS"/>
              </w:rPr>
            </w:pPr>
          </w:p>
        </w:tc>
        <w:tc>
          <w:tcPr>
            <w:tcW w:w="1701" w:type="dxa"/>
            <w:shd w:val="clear" w:color="000000" w:fill="BDD7EE"/>
            <w:noWrap/>
            <w:vAlign w:val="bottom"/>
            <w:hideMark/>
          </w:tcPr>
          <w:p w14:paraId="05283910" w14:textId="77777777" w:rsidR="003E4638" w:rsidRPr="00092ED7" w:rsidRDefault="003E4638" w:rsidP="003E4638">
            <w:pPr>
              <w:spacing w:after="0"/>
              <w:jc w:val="center"/>
              <w:rPr>
                <w:rFonts w:eastAsia="Times New Roman" w:cs="Times New Roman"/>
                <w:sz w:val="28"/>
                <w:szCs w:val="28"/>
                <w:lang w:val="sr-Cyrl-CS" w:eastAsia="sr-Latn-RS"/>
              </w:rPr>
            </w:pPr>
            <w:r w:rsidRPr="00092ED7">
              <w:rPr>
                <w:rFonts w:eastAsia="Times New Roman" w:cs="Times New Roman"/>
                <w:sz w:val="28"/>
                <w:szCs w:val="28"/>
                <w:lang w:val="sr-Cyrl-CS" w:eastAsia="sr-Latn-RS"/>
              </w:rPr>
              <w:t>64%</w:t>
            </w:r>
          </w:p>
        </w:tc>
        <w:tc>
          <w:tcPr>
            <w:tcW w:w="3118" w:type="dxa"/>
            <w:shd w:val="clear" w:color="auto" w:fill="auto"/>
            <w:noWrap/>
            <w:hideMark/>
          </w:tcPr>
          <w:p w14:paraId="7321CA9D" w14:textId="77777777" w:rsidR="003E4638" w:rsidRPr="00092ED7" w:rsidRDefault="003E4638" w:rsidP="003E4638">
            <w:pPr>
              <w:spacing w:after="0"/>
              <w:jc w:val="center"/>
              <w:rPr>
                <w:rFonts w:eastAsia="Times New Roman" w:cs="Times New Roman"/>
                <w:sz w:val="18"/>
                <w:szCs w:val="18"/>
                <w:lang w:val="sr-Cyrl-CS" w:eastAsia="sr-Latn-RS"/>
              </w:rPr>
            </w:pPr>
          </w:p>
        </w:tc>
        <w:tc>
          <w:tcPr>
            <w:tcW w:w="2410" w:type="dxa"/>
            <w:shd w:val="clear" w:color="auto" w:fill="auto"/>
            <w:noWrap/>
            <w:hideMark/>
          </w:tcPr>
          <w:p w14:paraId="7266E4E4" w14:textId="77777777" w:rsidR="003E4638" w:rsidRPr="00092ED7" w:rsidRDefault="003E4638" w:rsidP="003E4638">
            <w:pPr>
              <w:spacing w:after="0"/>
              <w:jc w:val="left"/>
              <w:rPr>
                <w:rFonts w:eastAsia="Times New Roman" w:cs="Times New Roman"/>
                <w:sz w:val="18"/>
                <w:szCs w:val="18"/>
                <w:lang w:val="sr-Cyrl-CS" w:eastAsia="sr-Latn-RS"/>
              </w:rPr>
            </w:pPr>
          </w:p>
        </w:tc>
        <w:tc>
          <w:tcPr>
            <w:tcW w:w="2693" w:type="dxa"/>
            <w:shd w:val="clear" w:color="auto" w:fill="auto"/>
            <w:noWrap/>
            <w:hideMark/>
          </w:tcPr>
          <w:p w14:paraId="7067E268" w14:textId="77777777" w:rsidR="003E4638" w:rsidRPr="00092ED7" w:rsidRDefault="003E4638" w:rsidP="003E4638">
            <w:pPr>
              <w:spacing w:after="0"/>
              <w:jc w:val="left"/>
              <w:rPr>
                <w:rFonts w:eastAsia="Times New Roman" w:cs="Times New Roman"/>
                <w:sz w:val="18"/>
                <w:szCs w:val="18"/>
                <w:lang w:val="sr-Cyrl-CS" w:eastAsia="sr-Latn-RS"/>
              </w:rPr>
            </w:pPr>
          </w:p>
        </w:tc>
      </w:tr>
      <w:tr w:rsidR="003E4638" w:rsidRPr="00092ED7" w14:paraId="6F69175D" w14:textId="77777777" w:rsidTr="004F56D8">
        <w:trPr>
          <w:trHeight w:val="375"/>
        </w:trPr>
        <w:tc>
          <w:tcPr>
            <w:tcW w:w="560" w:type="dxa"/>
            <w:shd w:val="clear" w:color="auto" w:fill="D9D9D9" w:themeFill="background1" w:themeFillShade="D9"/>
            <w:noWrap/>
            <w:hideMark/>
          </w:tcPr>
          <w:p w14:paraId="40AD8FDE"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14329" w:type="dxa"/>
            <w:gridSpan w:val="5"/>
            <w:shd w:val="clear" w:color="auto" w:fill="D9D9D9" w:themeFill="background1" w:themeFillShade="D9"/>
            <w:noWrap/>
            <w:vAlign w:val="center"/>
            <w:hideMark/>
          </w:tcPr>
          <w:p w14:paraId="5D75130F" w14:textId="77777777" w:rsidR="003E4638" w:rsidRPr="00092ED7" w:rsidRDefault="003E4638" w:rsidP="003E4638">
            <w:pPr>
              <w:spacing w:after="0"/>
              <w:jc w:val="left"/>
              <w:rPr>
                <w:rFonts w:eastAsia="Times New Roman" w:cs="Times New Roman"/>
                <w:b/>
                <w:bCs/>
                <w:sz w:val="18"/>
                <w:szCs w:val="18"/>
                <w:lang w:val="sr-Cyrl-CS" w:eastAsia="sr-Latn-RS"/>
              </w:rPr>
            </w:pPr>
            <w:r w:rsidRPr="00092ED7">
              <w:rPr>
                <w:rFonts w:eastAsia="Times New Roman" w:cs="Times New Roman"/>
                <w:b/>
                <w:bCs/>
                <w:sz w:val="18"/>
                <w:szCs w:val="18"/>
                <w:lang w:val="sr-Cyrl-CS" w:eastAsia="sr-Latn-RS"/>
              </w:rPr>
              <w:t>СР 15. СТВАРАЊЕ УСЛОВА ЗА РАЗВОЈ БИОНАУКА И БИОЕКОНОМИЈЕ КРОЗ ИЗГРАДЊУ БИО4 КАМПУСА</w:t>
            </w:r>
          </w:p>
        </w:tc>
      </w:tr>
      <w:tr w:rsidR="003E4638" w:rsidRPr="00092ED7" w14:paraId="434C9B9B" w14:textId="77777777" w:rsidTr="004F56D8">
        <w:trPr>
          <w:trHeight w:val="528"/>
        </w:trPr>
        <w:tc>
          <w:tcPr>
            <w:tcW w:w="560" w:type="dxa"/>
            <w:shd w:val="clear" w:color="auto" w:fill="auto"/>
            <w:noWrap/>
            <w:hideMark/>
          </w:tcPr>
          <w:p w14:paraId="2DB240B9" w14:textId="77777777" w:rsidR="003E4638" w:rsidRPr="00092ED7" w:rsidRDefault="003E4638" w:rsidP="003E4638">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1.</w:t>
            </w:r>
          </w:p>
        </w:tc>
        <w:tc>
          <w:tcPr>
            <w:tcW w:w="4407" w:type="dxa"/>
            <w:shd w:val="clear" w:color="auto" w:fill="auto"/>
            <w:hideMark/>
          </w:tcPr>
          <w:p w14:paraId="2A69CF73" w14:textId="77777777" w:rsidR="003E4638" w:rsidRPr="00092ED7" w:rsidRDefault="003E4638" w:rsidP="003E4638">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Реализација архитектонско-урбанистичког конкурса и добијање идејног решења и локацијских услова за цео кампус</w:t>
            </w:r>
          </w:p>
        </w:tc>
        <w:tc>
          <w:tcPr>
            <w:tcW w:w="1701" w:type="dxa"/>
            <w:shd w:val="clear" w:color="auto" w:fill="auto"/>
            <w:hideMark/>
          </w:tcPr>
          <w:p w14:paraId="38484B3D"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напредак у спровођењу</w:t>
            </w:r>
          </w:p>
        </w:tc>
        <w:tc>
          <w:tcPr>
            <w:tcW w:w="3118" w:type="dxa"/>
            <w:shd w:val="clear" w:color="auto" w:fill="auto"/>
            <w:hideMark/>
          </w:tcPr>
          <w:p w14:paraId="487B428B"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xml:space="preserve">Добијено је идејно решење, a до краја 2022. године je обезбеђена информација о локацијским условима. </w:t>
            </w:r>
          </w:p>
        </w:tc>
        <w:tc>
          <w:tcPr>
            <w:tcW w:w="2410" w:type="dxa"/>
            <w:shd w:val="clear" w:color="auto" w:fill="auto"/>
            <w:hideMark/>
          </w:tcPr>
          <w:p w14:paraId="3BB4B11A"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1DFB0DC9"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3E4638" w:rsidRPr="00092ED7" w14:paraId="1EEE0A4B" w14:textId="77777777" w:rsidTr="004F56D8">
        <w:trPr>
          <w:trHeight w:val="528"/>
        </w:trPr>
        <w:tc>
          <w:tcPr>
            <w:tcW w:w="560" w:type="dxa"/>
            <w:shd w:val="clear" w:color="auto" w:fill="auto"/>
            <w:noWrap/>
            <w:hideMark/>
          </w:tcPr>
          <w:p w14:paraId="6CFA5D00" w14:textId="77777777" w:rsidR="003E4638" w:rsidRPr="00092ED7" w:rsidRDefault="003E4638" w:rsidP="003E4638">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2.</w:t>
            </w:r>
          </w:p>
        </w:tc>
        <w:tc>
          <w:tcPr>
            <w:tcW w:w="4407" w:type="dxa"/>
            <w:shd w:val="clear" w:color="auto" w:fill="auto"/>
            <w:hideMark/>
          </w:tcPr>
          <w:p w14:paraId="5BCEC514" w14:textId="77777777" w:rsidR="003E4638" w:rsidRPr="00092ED7" w:rsidRDefault="003E4638" w:rsidP="003E4638">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Припрема пројектне документације за изградњу и Реализација Фазе 1 изградње</w:t>
            </w:r>
          </w:p>
        </w:tc>
        <w:tc>
          <w:tcPr>
            <w:tcW w:w="1701" w:type="dxa"/>
            <w:shd w:val="clear" w:color="auto" w:fill="auto"/>
            <w:hideMark/>
          </w:tcPr>
          <w:p w14:paraId="266B88AD"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напредак у спровођењу</w:t>
            </w:r>
          </w:p>
        </w:tc>
        <w:tc>
          <w:tcPr>
            <w:tcW w:w="3118" w:type="dxa"/>
            <w:shd w:val="clear" w:color="auto" w:fill="auto"/>
            <w:hideMark/>
          </w:tcPr>
          <w:p w14:paraId="06672AB8"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xml:space="preserve">У току је добијање локацијских услова, а почела је припрема документације за грађевинску дозволу (крај 2022. године). </w:t>
            </w:r>
          </w:p>
        </w:tc>
        <w:tc>
          <w:tcPr>
            <w:tcW w:w="2410" w:type="dxa"/>
            <w:shd w:val="clear" w:color="auto" w:fill="auto"/>
            <w:hideMark/>
          </w:tcPr>
          <w:p w14:paraId="3EDE8E77"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7B0C38DA"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3E4638" w:rsidRPr="00092ED7" w14:paraId="5786240E" w14:textId="77777777" w:rsidTr="004F56D8">
        <w:trPr>
          <w:trHeight w:val="792"/>
        </w:trPr>
        <w:tc>
          <w:tcPr>
            <w:tcW w:w="560" w:type="dxa"/>
            <w:shd w:val="clear" w:color="auto" w:fill="auto"/>
            <w:noWrap/>
            <w:hideMark/>
          </w:tcPr>
          <w:p w14:paraId="2D0DA5E8" w14:textId="77777777" w:rsidR="003E4638" w:rsidRPr="00092ED7" w:rsidRDefault="003E4638" w:rsidP="003E4638">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3.</w:t>
            </w:r>
          </w:p>
        </w:tc>
        <w:tc>
          <w:tcPr>
            <w:tcW w:w="4407" w:type="dxa"/>
            <w:shd w:val="clear" w:color="auto" w:fill="auto"/>
            <w:hideMark/>
          </w:tcPr>
          <w:p w14:paraId="7FA273C5" w14:textId="77777777" w:rsidR="003E4638" w:rsidRPr="00092ED7" w:rsidRDefault="003E4638" w:rsidP="003E4638">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Повезивање корисника БИО4 Кампуса са међународним научним и корпоративним партнерима</w:t>
            </w:r>
          </w:p>
        </w:tc>
        <w:tc>
          <w:tcPr>
            <w:tcW w:w="1701" w:type="dxa"/>
            <w:shd w:val="clear" w:color="auto" w:fill="auto"/>
            <w:hideMark/>
          </w:tcPr>
          <w:p w14:paraId="16403924"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започето спровођење</w:t>
            </w:r>
          </w:p>
        </w:tc>
        <w:tc>
          <w:tcPr>
            <w:tcW w:w="3118" w:type="dxa"/>
            <w:shd w:val="clear" w:color="auto" w:fill="auto"/>
            <w:hideMark/>
          </w:tcPr>
          <w:p w14:paraId="38DCD533"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Ово је континуирани процес. Док се не изгради физичка инфраструктура, БИО4 Кампус се користи као платформа за повезивање са различитим партнерима, у држави и глобално.</w:t>
            </w:r>
          </w:p>
        </w:tc>
        <w:tc>
          <w:tcPr>
            <w:tcW w:w="2410" w:type="dxa"/>
            <w:shd w:val="clear" w:color="auto" w:fill="auto"/>
            <w:hideMark/>
          </w:tcPr>
          <w:p w14:paraId="0AEBC512"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11F3F837"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3E4638" w:rsidRPr="00092ED7" w14:paraId="7316DAB4" w14:textId="77777777" w:rsidTr="004F56D8">
        <w:trPr>
          <w:trHeight w:val="2519"/>
        </w:trPr>
        <w:tc>
          <w:tcPr>
            <w:tcW w:w="560" w:type="dxa"/>
            <w:shd w:val="clear" w:color="auto" w:fill="auto"/>
            <w:noWrap/>
            <w:hideMark/>
          </w:tcPr>
          <w:p w14:paraId="50221144" w14:textId="77777777" w:rsidR="003E4638" w:rsidRPr="00092ED7" w:rsidRDefault="003E4638" w:rsidP="003E4638">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lastRenderedPageBreak/>
              <w:t>4.</w:t>
            </w:r>
          </w:p>
        </w:tc>
        <w:tc>
          <w:tcPr>
            <w:tcW w:w="4407" w:type="dxa"/>
            <w:shd w:val="clear" w:color="auto" w:fill="auto"/>
            <w:hideMark/>
          </w:tcPr>
          <w:p w14:paraId="45FD31EC" w14:textId="77777777" w:rsidR="003E4638" w:rsidRPr="00092ED7" w:rsidRDefault="003E4638" w:rsidP="003E4638">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Спровођење планова трансформације научно-истраживачких института (ИМГГИ)</w:t>
            </w:r>
          </w:p>
        </w:tc>
        <w:tc>
          <w:tcPr>
            <w:tcW w:w="1701" w:type="dxa"/>
            <w:shd w:val="clear" w:color="auto" w:fill="auto"/>
            <w:hideMark/>
          </w:tcPr>
          <w:p w14:paraId="1D710ADF"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напредак у спровођењу</w:t>
            </w:r>
          </w:p>
        </w:tc>
        <w:tc>
          <w:tcPr>
            <w:tcW w:w="3118" w:type="dxa"/>
            <w:shd w:val="clear" w:color="auto" w:fill="auto"/>
            <w:hideMark/>
          </w:tcPr>
          <w:p w14:paraId="14BAC237"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xml:space="preserve">Министарство надлежно за послове науке и технолошког развоја је са ИМГГИ потписао Меморандум о разумевању у децембру 2021., док је у априлу 2022. године потписан Споразум о финансирању трансформације ИМГГИ. У току је израда планова трансформације за друге институте, будуће станаре БИО4 Кампуса. План трансформације обухвата подизање капацитета, трансфер технологије и инфраструктурну подршку за сваки институт појединачно. Паралелно ће бити спроведене и обуке у различитим областима, укључујући управљање променама и комерцијализацију иновативних решења. </w:t>
            </w:r>
          </w:p>
        </w:tc>
        <w:tc>
          <w:tcPr>
            <w:tcW w:w="2410" w:type="dxa"/>
            <w:shd w:val="clear" w:color="auto" w:fill="auto"/>
            <w:hideMark/>
          </w:tcPr>
          <w:p w14:paraId="5BB96A1B"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73287B80"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3E4638" w:rsidRPr="00092ED7" w14:paraId="1042E750" w14:textId="77777777" w:rsidTr="004F56D8">
        <w:trPr>
          <w:trHeight w:val="360"/>
        </w:trPr>
        <w:tc>
          <w:tcPr>
            <w:tcW w:w="560" w:type="dxa"/>
            <w:shd w:val="clear" w:color="auto" w:fill="auto"/>
            <w:hideMark/>
          </w:tcPr>
          <w:p w14:paraId="4ED1194F" w14:textId="77777777" w:rsidR="003E4638" w:rsidRPr="00092ED7" w:rsidRDefault="003E4638" w:rsidP="003E4638">
            <w:pPr>
              <w:spacing w:after="0"/>
              <w:jc w:val="left"/>
              <w:rPr>
                <w:rFonts w:eastAsia="Times New Roman" w:cs="Times New Roman"/>
                <w:color w:val="000000"/>
                <w:sz w:val="18"/>
                <w:szCs w:val="18"/>
                <w:lang w:val="sr-Cyrl-CS" w:eastAsia="sr-Latn-RS"/>
              </w:rPr>
            </w:pPr>
          </w:p>
        </w:tc>
        <w:tc>
          <w:tcPr>
            <w:tcW w:w="4407" w:type="dxa"/>
            <w:shd w:val="clear" w:color="auto" w:fill="auto"/>
            <w:hideMark/>
          </w:tcPr>
          <w:p w14:paraId="46C4D785" w14:textId="77777777" w:rsidR="003E4638" w:rsidRPr="00092ED7" w:rsidRDefault="003E4638" w:rsidP="003E4638">
            <w:pPr>
              <w:spacing w:after="0"/>
              <w:jc w:val="left"/>
              <w:rPr>
                <w:rFonts w:eastAsia="Times New Roman" w:cs="Times New Roman"/>
                <w:sz w:val="18"/>
                <w:szCs w:val="18"/>
                <w:lang w:val="sr-Cyrl-CS" w:eastAsia="sr-Latn-RS"/>
              </w:rPr>
            </w:pPr>
          </w:p>
        </w:tc>
        <w:tc>
          <w:tcPr>
            <w:tcW w:w="1701" w:type="dxa"/>
            <w:shd w:val="clear" w:color="000000" w:fill="BDD7EE"/>
            <w:noWrap/>
            <w:vAlign w:val="bottom"/>
            <w:hideMark/>
          </w:tcPr>
          <w:p w14:paraId="088CF1C5" w14:textId="77777777" w:rsidR="003E4638" w:rsidRPr="00092ED7" w:rsidRDefault="003E4638" w:rsidP="003E4638">
            <w:pPr>
              <w:spacing w:after="0"/>
              <w:jc w:val="center"/>
              <w:rPr>
                <w:rFonts w:eastAsia="Times New Roman" w:cs="Times New Roman"/>
                <w:sz w:val="28"/>
                <w:szCs w:val="28"/>
                <w:lang w:val="sr-Cyrl-CS" w:eastAsia="sr-Latn-RS"/>
              </w:rPr>
            </w:pPr>
            <w:r w:rsidRPr="00092ED7">
              <w:rPr>
                <w:rFonts w:eastAsia="Times New Roman" w:cs="Times New Roman"/>
                <w:sz w:val="28"/>
                <w:szCs w:val="28"/>
                <w:lang w:val="sr-Cyrl-CS" w:eastAsia="sr-Latn-RS"/>
              </w:rPr>
              <w:t>70%</w:t>
            </w:r>
          </w:p>
        </w:tc>
        <w:tc>
          <w:tcPr>
            <w:tcW w:w="3118" w:type="dxa"/>
            <w:shd w:val="clear" w:color="auto" w:fill="auto"/>
            <w:noWrap/>
            <w:hideMark/>
          </w:tcPr>
          <w:p w14:paraId="2223CDFD" w14:textId="77777777" w:rsidR="003E4638" w:rsidRPr="00092ED7" w:rsidRDefault="003E4638" w:rsidP="003E4638">
            <w:pPr>
              <w:spacing w:after="0"/>
              <w:jc w:val="center"/>
              <w:rPr>
                <w:rFonts w:eastAsia="Times New Roman" w:cs="Times New Roman"/>
                <w:sz w:val="18"/>
                <w:szCs w:val="18"/>
                <w:lang w:val="sr-Cyrl-CS" w:eastAsia="sr-Latn-RS"/>
              </w:rPr>
            </w:pPr>
          </w:p>
        </w:tc>
        <w:tc>
          <w:tcPr>
            <w:tcW w:w="2410" w:type="dxa"/>
            <w:shd w:val="clear" w:color="auto" w:fill="auto"/>
            <w:noWrap/>
            <w:hideMark/>
          </w:tcPr>
          <w:p w14:paraId="52A217F5" w14:textId="77777777" w:rsidR="003E4638" w:rsidRPr="00092ED7" w:rsidRDefault="003E4638" w:rsidP="003E4638">
            <w:pPr>
              <w:spacing w:after="0"/>
              <w:jc w:val="left"/>
              <w:rPr>
                <w:rFonts w:eastAsia="Times New Roman" w:cs="Times New Roman"/>
                <w:sz w:val="18"/>
                <w:szCs w:val="18"/>
                <w:lang w:val="sr-Cyrl-CS" w:eastAsia="sr-Latn-RS"/>
              </w:rPr>
            </w:pPr>
          </w:p>
        </w:tc>
        <w:tc>
          <w:tcPr>
            <w:tcW w:w="2693" w:type="dxa"/>
            <w:shd w:val="clear" w:color="auto" w:fill="auto"/>
            <w:noWrap/>
            <w:hideMark/>
          </w:tcPr>
          <w:p w14:paraId="2F7E02EC" w14:textId="77777777" w:rsidR="003E4638" w:rsidRPr="00092ED7" w:rsidRDefault="003E4638" w:rsidP="003E4638">
            <w:pPr>
              <w:spacing w:after="0"/>
              <w:jc w:val="left"/>
              <w:rPr>
                <w:rFonts w:eastAsia="Times New Roman" w:cs="Times New Roman"/>
                <w:sz w:val="18"/>
                <w:szCs w:val="18"/>
                <w:lang w:val="sr-Cyrl-CS" w:eastAsia="sr-Latn-RS"/>
              </w:rPr>
            </w:pPr>
          </w:p>
        </w:tc>
      </w:tr>
      <w:tr w:rsidR="003E4638" w:rsidRPr="00092ED7" w14:paraId="3088DFB2" w14:textId="77777777" w:rsidTr="004F56D8">
        <w:trPr>
          <w:trHeight w:val="375"/>
        </w:trPr>
        <w:tc>
          <w:tcPr>
            <w:tcW w:w="560" w:type="dxa"/>
            <w:shd w:val="clear" w:color="auto" w:fill="D9D9D9" w:themeFill="background1" w:themeFillShade="D9"/>
            <w:noWrap/>
            <w:hideMark/>
          </w:tcPr>
          <w:p w14:paraId="71B097CA"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14329" w:type="dxa"/>
            <w:gridSpan w:val="5"/>
            <w:shd w:val="clear" w:color="auto" w:fill="D9D9D9" w:themeFill="background1" w:themeFillShade="D9"/>
            <w:noWrap/>
            <w:vAlign w:val="center"/>
            <w:hideMark/>
          </w:tcPr>
          <w:p w14:paraId="1EBC1546" w14:textId="77777777" w:rsidR="003E4638" w:rsidRPr="00092ED7" w:rsidRDefault="003E4638" w:rsidP="003E4638">
            <w:pPr>
              <w:spacing w:after="0"/>
              <w:jc w:val="left"/>
              <w:rPr>
                <w:rFonts w:eastAsia="Times New Roman" w:cs="Times New Roman"/>
                <w:b/>
                <w:bCs/>
                <w:sz w:val="18"/>
                <w:szCs w:val="18"/>
                <w:lang w:val="sr-Cyrl-CS" w:eastAsia="sr-Latn-RS"/>
              </w:rPr>
            </w:pPr>
            <w:r w:rsidRPr="00092ED7">
              <w:rPr>
                <w:rFonts w:eastAsia="Times New Roman" w:cs="Times New Roman"/>
                <w:b/>
                <w:bCs/>
                <w:sz w:val="18"/>
                <w:szCs w:val="18"/>
                <w:lang w:val="sr-Cyrl-CS" w:eastAsia="sr-Latn-RS"/>
              </w:rPr>
              <w:t>СР 16. УНАПРЕЂЕЊЕ УСЛОВА И УКЛАЊАЊЕ ПРЕПРЕКА ТРГОВИНИ</w:t>
            </w:r>
          </w:p>
        </w:tc>
      </w:tr>
      <w:tr w:rsidR="003E4638" w:rsidRPr="00092ED7" w14:paraId="0B7ABCA5" w14:textId="77777777" w:rsidTr="004F56D8">
        <w:trPr>
          <w:trHeight w:val="841"/>
        </w:trPr>
        <w:tc>
          <w:tcPr>
            <w:tcW w:w="560" w:type="dxa"/>
            <w:shd w:val="clear" w:color="auto" w:fill="auto"/>
            <w:noWrap/>
            <w:hideMark/>
          </w:tcPr>
          <w:p w14:paraId="0DFA6B29" w14:textId="77777777" w:rsidR="003E4638" w:rsidRPr="00092ED7" w:rsidRDefault="003E4638" w:rsidP="003E4638">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1.</w:t>
            </w:r>
          </w:p>
        </w:tc>
        <w:tc>
          <w:tcPr>
            <w:tcW w:w="4407" w:type="dxa"/>
            <w:shd w:val="clear" w:color="auto" w:fill="auto"/>
            <w:hideMark/>
          </w:tcPr>
          <w:p w14:paraId="5AEDBFE9" w14:textId="77777777" w:rsidR="003E4638" w:rsidRPr="00092ED7" w:rsidRDefault="003E4638" w:rsidP="003E4638">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Преговори о приступању СТО - билатерални преговори, усвајање прописа усаглашених са СТО правилима и принципима</w:t>
            </w:r>
          </w:p>
        </w:tc>
        <w:tc>
          <w:tcPr>
            <w:tcW w:w="1701" w:type="dxa"/>
            <w:shd w:val="clear" w:color="auto" w:fill="auto"/>
            <w:hideMark/>
          </w:tcPr>
          <w:p w14:paraId="6DE83A70"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наставак спровођења са почетним резултатима</w:t>
            </w:r>
          </w:p>
        </w:tc>
        <w:tc>
          <w:tcPr>
            <w:tcW w:w="3118" w:type="dxa"/>
            <w:shd w:val="clear" w:color="auto" w:fill="auto"/>
            <w:hideMark/>
          </w:tcPr>
          <w:p w14:paraId="0116D101"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Настављене консултације са надлежним ресорима и припрема одговарајућих докумената, потребних за наставак преговора са  појединим чланицама СТО са којима су билатерални преговори још увек отворени.</w:t>
            </w:r>
          </w:p>
        </w:tc>
        <w:tc>
          <w:tcPr>
            <w:tcW w:w="2410" w:type="dxa"/>
            <w:shd w:val="clear" w:color="auto" w:fill="auto"/>
            <w:hideMark/>
          </w:tcPr>
          <w:p w14:paraId="635CBFA5"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78310431"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3E4638" w:rsidRPr="00092ED7" w14:paraId="44A13E80" w14:textId="77777777" w:rsidTr="004F56D8">
        <w:trPr>
          <w:trHeight w:val="852"/>
        </w:trPr>
        <w:tc>
          <w:tcPr>
            <w:tcW w:w="560" w:type="dxa"/>
            <w:shd w:val="clear" w:color="auto" w:fill="auto"/>
            <w:noWrap/>
            <w:hideMark/>
          </w:tcPr>
          <w:p w14:paraId="7EA3CEB1" w14:textId="77777777" w:rsidR="003E4638" w:rsidRPr="00092ED7" w:rsidRDefault="003E4638" w:rsidP="003E4638">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2.</w:t>
            </w:r>
          </w:p>
        </w:tc>
        <w:tc>
          <w:tcPr>
            <w:tcW w:w="4407" w:type="dxa"/>
            <w:shd w:val="clear" w:color="auto" w:fill="auto"/>
            <w:hideMark/>
          </w:tcPr>
          <w:p w14:paraId="6D3D6AD0" w14:textId="77777777" w:rsidR="003E4638" w:rsidRPr="00092ED7" w:rsidRDefault="003E4638" w:rsidP="003E4638">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АП ЗРТ - CEFTA - Имплементација Додатног протокола 5 о олакшавању трговине</w:t>
            </w:r>
          </w:p>
        </w:tc>
        <w:tc>
          <w:tcPr>
            <w:tcW w:w="1701" w:type="dxa"/>
            <w:shd w:val="clear" w:color="auto" w:fill="auto"/>
            <w:hideMark/>
          </w:tcPr>
          <w:p w14:paraId="683799FB"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напредак у спровођењу</w:t>
            </w:r>
          </w:p>
        </w:tc>
        <w:tc>
          <w:tcPr>
            <w:tcW w:w="3118" w:type="dxa"/>
            <w:shd w:val="clear" w:color="auto" w:fill="auto"/>
            <w:hideMark/>
          </w:tcPr>
          <w:p w14:paraId="381B2C18"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Имплементација CEFTA Додатног протокола 5 представља континуирану и трајну активност, која није временски ограничена, већ има за циљ додатно олакшавање трговине.</w:t>
            </w:r>
          </w:p>
        </w:tc>
        <w:tc>
          <w:tcPr>
            <w:tcW w:w="2410" w:type="dxa"/>
            <w:shd w:val="clear" w:color="auto" w:fill="auto"/>
            <w:hideMark/>
          </w:tcPr>
          <w:p w14:paraId="05775C81"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4F2474CA"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3E4638" w:rsidRPr="00092ED7" w14:paraId="6D5C3C71" w14:textId="77777777" w:rsidTr="004F56D8">
        <w:trPr>
          <w:trHeight w:val="1056"/>
        </w:trPr>
        <w:tc>
          <w:tcPr>
            <w:tcW w:w="560" w:type="dxa"/>
            <w:shd w:val="clear" w:color="auto" w:fill="auto"/>
            <w:noWrap/>
            <w:hideMark/>
          </w:tcPr>
          <w:p w14:paraId="78E79B86" w14:textId="77777777" w:rsidR="003E4638" w:rsidRPr="00092ED7" w:rsidRDefault="003E4638" w:rsidP="003E4638">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3.</w:t>
            </w:r>
          </w:p>
        </w:tc>
        <w:tc>
          <w:tcPr>
            <w:tcW w:w="4407" w:type="dxa"/>
            <w:shd w:val="clear" w:color="auto" w:fill="auto"/>
            <w:hideMark/>
          </w:tcPr>
          <w:p w14:paraId="68465A84" w14:textId="77777777" w:rsidR="003E4638" w:rsidRPr="00092ED7" w:rsidRDefault="003E4638" w:rsidP="003E4638">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АП ЗРТ - CEFTA: Имплементација  Додатног протокола 6 о трговини услугама</w:t>
            </w:r>
          </w:p>
        </w:tc>
        <w:tc>
          <w:tcPr>
            <w:tcW w:w="1701" w:type="dxa"/>
            <w:shd w:val="clear" w:color="auto" w:fill="auto"/>
            <w:hideMark/>
          </w:tcPr>
          <w:p w14:paraId="6E0B5716"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напредак у спровођењу</w:t>
            </w:r>
          </w:p>
        </w:tc>
        <w:tc>
          <w:tcPr>
            <w:tcW w:w="3118" w:type="dxa"/>
            <w:shd w:val="clear" w:color="auto" w:fill="auto"/>
            <w:hideMark/>
          </w:tcPr>
          <w:p w14:paraId="4418DEBA"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xml:space="preserve">Имплементација CEFTA Додатног протокола 6 којим се олакшава трговина услугама, представља континуирану и трајну активност, која има за циљ продубљену сарадњу и либералнију трговину услугама у </w:t>
            </w:r>
            <w:r w:rsidRPr="00092ED7">
              <w:rPr>
                <w:rFonts w:eastAsia="Times New Roman" w:cs="Times New Roman"/>
                <w:color w:val="000000"/>
                <w:sz w:val="18"/>
                <w:szCs w:val="18"/>
                <w:lang w:val="sr-Cyrl-CS" w:eastAsia="sr-Latn-RS"/>
              </w:rPr>
              <w:lastRenderedPageBreak/>
              <w:t>периоду који није временски ограничен.</w:t>
            </w:r>
          </w:p>
        </w:tc>
        <w:tc>
          <w:tcPr>
            <w:tcW w:w="2410" w:type="dxa"/>
            <w:shd w:val="clear" w:color="auto" w:fill="auto"/>
            <w:hideMark/>
          </w:tcPr>
          <w:p w14:paraId="0925699A"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lastRenderedPageBreak/>
              <w:t> </w:t>
            </w:r>
          </w:p>
        </w:tc>
        <w:tc>
          <w:tcPr>
            <w:tcW w:w="2693" w:type="dxa"/>
            <w:shd w:val="clear" w:color="auto" w:fill="auto"/>
            <w:hideMark/>
          </w:tcPr>
          <w:p w14:paraId="7B50FF3A"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3E4638" w:rsidRPr="00092ED7" w14:paraId="2F86F508" w14:textId="77777777" w:rsidTr="004F56D8">
        <w:trPr>
          <w:trHeight w:val="528"/>
        </w:trPr>
        <w:tc>
          <w:tcPr>
            <w:tcW w:w="560" w:type="dxa"/>
            <w:shd w:val="clear" w:color="auto" w:fill="auto"/>
            <w:noWrap/>
            <w:hideMark/>
          </w:tcPr>
          <w:p w14:paraId="0687BC4E" w14:textId="77777777" w:rsidR="003E4638" w:rsidRPr="00092ED7" w:rsidRDefault="003E4638" w:rsidP="003E4638">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4.</w:t>
            </w:r>
          </w:p>
        </w:tc>
        <w:tc>
          <w:tcPr>
            <w:tcW w:w="4407" w:type="dxa"/>
            <w:shd w:val="clear" w:color="auto" w:fill="auto"/>
            <w:hideMark/>
          </w:tcPr>
          <w:p w14:paraId="204FBC8D" w14:textId="77777777" w:rsidR="003E4638" w:rsidRPr="00092ED7" w:rsidRDefault="003E4638" w:rsidP="003E4638">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АП ЗРТ - CEFTA: Имплементација  Додатног протокола 7 о решавању спорова</w:t>
            </w:r>
          </w:p>
        </w:tc>
        <w:tc>
          <w:tcPr>
            <w:tcW w:w="1701" w:type="dxa"/>
            <w:shd w:val="clear" w:color="auto" w:fill="auto"/>
            <w:hideMark/>
          </w:tcPr>
          <w:p w14:paraId="2E013A40"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напредак у спровођењу</w:t>
            </w:r>
          </w:p>
        </w:tc>
        <w:tc>
          <w:tcPr>
            <w:tcW w:w="3118" w:type="dxa"/>
            <w:shd w:val="clear" w:color="auto" w:fill="auto"/>
            <w:hideMark/>
          </w:tcPr>
          <w:p w14:paraId="0024789A"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У току је 8. рунда преговора који напредују интензивном динамиком, а усвајање се очекује почетком 2023. године.</w:t>
            </w:r>
          </w:p>
        </w:tc>
        <w:tc>
          <w:tcPr>
            <w:tcW w:w="2410" w:type="dxa"/>
            <w:shd w:val="clear" w:color="auto" w:fill="auto"/>
            <w:hideMark/>
          </w:tcPr>
          <w:p w14:paraId="12336D23"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59EE8C3D"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3E4638" w:rsidRPr="00092ED7" w14:paraId="50A89758" w14:textId="77777777" w:rsidTr="004F56D8">
        <w:trPr>
          <w:trHeight w:val="540"/>
        </w:trPr>
        <w:tc>
          <w:tcPr>
            <w:tcW w:w="560" w:type="dxa"/>
            <w:shd w:val="clear" w:color="auto" w:fill="auto"/>
            <w:noWrap/>
            <w:hideMark/>
          </w:tcPr>
          <w:p w14:paraId="6772FD09" w14:textId="77777777" w:rsidR="003E4638" w:rsidRPr="00092ED7" w:rsidRDefault="003E4638" w:rsidP="003E4638">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5.</w:t>
            </w:r>
          </w:p>
        </w:tc>
        <w:tc>
          <w:tcPr>
            <w:tcW w:w="4407" w:type="dxa"/>
            <w:shd w:val="clear" w:color="auto" w:fill="auto"/>
            <w:hideMark/>
          </w:tcPr>
          <w:p w14:paraId="416226E6" w14:textId="77777777" w:rsidR="003E4638" w:rsidRPr="00092ED7" w:rsidRDefault="003E4638" w:rsidP="003E4638">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 xml:space="preserve">Усвајање и спровођење новог Акционог плана НКТОТ за 2022-2023 и имплементација предвиђених активности </w:t>
            </w:r>
          </w:p>
        </w:tc>
        <w:tc>
          <w:tcPr>
            <w:tcW w:w="1701" w:type="dxa"/>
            <w:shd w:val="clear" w:color="auto" w:fill="auto"/>
            <w:hideMark/>
          </w:tcPr>
          <w:p w14:paraId="6D7B1D38"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напредак у спровођењу</w:t>
            </w:r>
          </w:p>
        </w:tc>
        <w:tc>
          <w:tcPr>
            <w:tcW w:w="3118" w:type="dxa"/>
            <w:shd w:val="clear" w:color="auto" w:fill="auto"/>
            <w:hideMark/>
          </w:tcPr>
          <w:p w14:paraId="271CDB1E" w14:textId="77777777" w:rsidR="003E4638" w:rsidRPr="00092ED7" w:rsidRDefault="003E4638" w:rsidP="003E4638">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Акциони план за период 2022-2023 усвојен у планираном року и континуирано се ради на спровођењу предвиђених активности.</w:t>
            </w:r>
          </w:p>
        </w:tc>
        <w:tc>
          <w:tcPr>
            <w:tcW w:w="2410" w:type="dxa"/>
            <w:shd w:val="clear" w:color="auto" w:fill="auto"/>
            <w:hideMark/>
          </w:tcPr>
          <w:p w14:paraId="190EC56C"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66B88A90"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3E4638" w:rsidRPr="00092ED7" w14:paraId="7B41B997" w14:textId="77777777" w:rsidTr="004F56D8">
        <w:trPr>
          <w:trHeight w:val="360"/>
        </w:trPr>
        <w:tc>
          <w:tcPr>
            <w:tcW w:w="560" w:type="dxa"/>
            <w:shd w:val="clear" w:color="auto" w:fill="auto"/>
            <w:hideMark/>
          </w:tcPr>
          <w:p w14:paraId="6EC2ED6C" w14:textId="77777777" w:rsidR="003E4638" w:rsidRPr="00092ED7" w:rsidRDefault="003E4638" w:rsidP="003E4638">
            <w:pPr>
              <w:spacing w:after="0"/>
              <w:jc w:val="left"/>
              <w:rPr>
                <w:rFonts w:eastAsia="Times New Roman" w:cs="Times New Roman"/>
                <w:color w:val="000000"/>
                <w:sz w:val="18"/>
                <w:szCs w:val="18"/>
                <w:lang w:val="sr-Cyrl-CS" w:eastAsia="sr-Latn-RS"/>
              </w:rPr>
            </w:pPr>
          </w:p>
        </w:tc>
        <w:tc>
          <w:tcPr>
            <w:tcW w:w="4407" w:type="dxa"/>
            <w:shd w:val="clear" w:color="auto" w:fill="auto"/>
            <w:hideMark/>
          </w:tcPr>
          <w:p w14:paraId="471B3C00" w14:textId="77777777" w:rsidR="003E4638" w:rsidRPr="00092ED7" w:rsidRDefault="003E4638" w:rsidP="003E4638">
            <w:pPr>
              <w:spacing w:after="0"/>
              <w:jc w:val="left"/>
              <w:rPr>
                <w:rFonts w:eastAsia="Times New Roman" w:cs="Times New Roman"/>
                <w:sz w:val="18"/>
                <w:szCs w:val="18"/>
                <w:lang w:val="sr-Cyrl-CS" w:eastAsia="sr-Latn-RS"/>
              </w:rPr>
            </w:pPr>
          </w:p>
        </w:tc>
        <w:tc>
          <w:tcPr>
            <w:tcW w:w="1701" w:type="dxa"/>
            <w:shd w:val="clear" w:color="000000" w:fill="BDD7EE"/>
            <w:noWrap/>
            <w:vAlign w:val="bottom"/>
            <w:hideMark/>
          </w:tcPr>
          <w:p w14:paraId="7AD997E6" w14:textId="77777777" w:rsidR="003E4638" w:rsidRPr="00092ED7" w:rsidRDefault="003E4638" w:rsidP="003E4638">
            <w:pPr>
              <w:spacing w:after="0"/>
              <w:jc w:val="center"/>
              <w:rPr>
                <w:rFonts w:eastAsia="Times New Roman" w:cs="Times New Roman"/>
                <w:sz w:val="28"/>
                <w:szCs w:val="28"/>
                <w:lang w:val="sr-Cyrl-CS" w:eastAsia="sr-Latn-RS"/>
              </w:rPr>
            </w:pPr>
            <w:r w:rsidRPr="00092ED7">
              <w:rPr>
                <w:rFonts w:eastAsia="Times New Roman" w:cs="Times New Roman"/>
                <w:sz w:val="28"/>
                <w:szCs w:val="28"/>
                <w:lang w:val="sr-Cyrl-CS" w:eastAsia="sr-Latn-RS"/>
              </w:rPr>
              <w:t>76%</w:t>
            </w:r>
          </w:p>
        </w:tc>
        <w:tc>
          <w:tcPr>
            <w:tcW w:w="3118" w:type="dxa"/>
            <w:shd w:val="clear" w:color="auto" w:fill="auto"/>
            <w:noWrap/>
            <w:hideMark/>
          </w:tcPr>
          <w:p w14:paraId="08A552D6" w14:textId="77777777" w:rsidR="003E4638" w:rsidRPr="00092ED7" w:rsidRDefault="003E4638" w:rsidP="003E4638">
            <w:pPr>
              <w:spacing w:after="0"/>
              <w:jc w:val="center"/>
              <w:rPr>
                <w:rFonts w:eastAsia="Times New Roman" w:cs="Times New Roman"/>
                <w:sz w:val="18"/>
                <w:szCs w:val="18"/>
                <w:lang w:val="sr-Cyrl-CS" w:eastAsia="sr-Latn-RS"/>
              </w:rPr>
            </w:pPr>
          </w:p>
        </w:tc>
        <w:tc>
          <w:tcPr>
            <w:tcW w:w="2410" w:type="dxa"/>
            <w:shd w:val="clear" w:color="auto" w:fill="auto"/>
            <w:noWrap/>
            <w:hideMark/>
          </w:tcPr>
          <w:p w14:paraId="49678E05" w14:textId="77777777" w:rsidR="003E4638" w:rsidRPr="00092ED7" w:rsidRDefault="003E4638" w:rsidP="003E4638">
            <w:pPr>
              <w:spacing w:after="0"/>
              <w:jc w:val="left"/>
              <w:rPr>
                <w:rFonts w:eastAsia="Times New Roman" w:cs="Times New Roman"/>
                <w:sz w:val="18"/>
                <w:szCs w:val="18"/>
                <w:lang w:val="sr-Cyrl-CS" w:eastAsia="sr-Latn-RS"/>
              </w:rPr>
            </w:pPr>
          </w:p>
        </w:tc>
        <w:tc>
          <w:tcPr>
            <w:tcW w:w="2693" w:type="dxa"/>
            <w:shd w:val="clear" w:color="auto" w:fill="auto"/>
            <w:noWrap/>
            <w:hideMark/>
          </w:tcPr>
          <w:p w14:paraId="24C02B16" w14:textId="77777777" w:rsidR="003E4638" w:rsidRPr="00092ED7" w:rsidRDefault="003E4638" w:rsidP="003E4638">
            <w:pPr>
              <w:spacing w:after="0"/>
              <w:jc w:val="left"/>
              <w:rPr>
                <w:rFonts w:eastAsia="Times New Roman" w:cs="Times New Roman"/>
                <w:sz w:val="18"/>
                <w:szCs w:val="18"/>
                <w:lang w:val="sr-Cyrl-CS" w:eastAsia="sr-Latn-RS"/>
              </w:rPr>
            </w:pPr>
          </w:p>
        </w:tc>
      </w:tr>
      <w:tr w:rsidR="003E4638" w:rsidRPr="00092ED7" w14:paraId="69147D58" w14:textId="77777777" w:rsidTr="004F56D8">
        <w:trPr>
          <w:trHeight w:val="375"/>
        </w:trPr>
        <w:tc>
          <w:tcPr>
            <w:tcW w:w="560" w:type="dxa"/>
            <w:shd w:val="clear" w:color="auto" w:fill="D9D9D9" w:themeFill="background1" w:themeFillShade="D9"/>
            <w:noWrap/>
            <w:hideMark/>
          </w:tcPr>
          <w:p w14:paraId="2379C474"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14329" w:type="dxa"/>
            <w:gridSpan w:val="5"/>
            <w:shd w:val="clear" w:color="auto" w:fill="D9D9D9" w:themeFill="background1" w:themeFillShade="D9"/>
            <w:noWrap/>
            <w:vAlign w:val="center"/>
            <w:hideMark/>
          </w:tcPr>
          <w:p w14:paraId="11724D84" w14:textId="77777777" w:rsidR="003E4638" w:rsidRPr="00092ED7" w:rsidRDefault="003E4638" w:rsidP="003E4638">
            <w:pPr>
              <w:spacing w:after="0"/>
              <w:jc w:val="left"/>
              <w:rPr>
                <w:rFonts w:eastAsia="Times New Roman" w:cs="Times New Roman"/>
                <w:b/>
                <w:bCs/>
                <w:sz w:val="18"/>
                <w:szCs w:val="18"/>
                <w:lang w:val="sr-Cyrl-CS" w:eastAsia="sr-Latn-RS"/>
              </w:rPr>
            </w:pPr>
            <w:r w:rsidRPr="00092ED7">
              <w:rPr>
                <w:rFonts w:eastAsia="Times New Roman" w:cs="Times New Roman"/>
                <w:b/>
                <w:bCs/>
                <w:sz w:val="18"/>
                <w:szCs w:val="18"/>
                <w:lang w:val="sr-Cyrl-CS" w:eastAsia="sr-Latn-RS"/>
              </w:rPr>
              <w:t xml:space="preserve">СР 17. УНАПРЕЂЕЊЕ ЕФИКАСНОСТИ И БЕЗБЕДНОСТИ У ЖЕЛЕЗНИЧКОМ САОБРАЋАЈУ </w:t>
            </w:r>
          </w:p>
        </w:tc>
      </w:tr>
      <w:tr w:rsidR="003E4638" w:rsidRPr="00092ED7" w14:paraId="01D50E48" w14:textId="77777777" w:rsidTr="004F56D8">
        <w:trPr>
          <w:trHeight w:val="375"/>
        </w:trPr>
        <w:tc>
          <w:tcPr>
            <w:tcW w:w="560" w:type="dxa"/>
            <w:shd w:val="clear" w:color="auto" w:fill="auto"/>
            <w:noWrap/>
          </w:tcPr>
          <w:p w14:paraId="5219823E"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1.</w:t>
            </w:r>
          </w:p>
        </w:tc>
        <w:tc>
          <w:tcPr>
            <w:tcW w:w="4407" w:type="dxa"/>
            <w:shd w:val="clear" w:color="auto" w:fill="auto"/>
            <w:noWrap/>
          </w:tcPr>
          <w:p w14:paraId="37A6663B" w14:textId="77777777" w:rsidR="003E4638" w:rsidRPr="00092ED7" w:rsidRDefault="003E4638" w:rsidP="003E4638">
            <w:pPr>
              <w:spacing w:after="0"/>
              <w:jc w:val="left"/>
              <w:rPr>
                <w:rFonts w:eastAsia="Times New Roman" w:cs="Times New Roman"/>
                <w:b/>
                <w:bCs/>
                <w:sz w:val="18"/>
                <w:szCs w:val="18"/>
                <w:lang w:val="sr-Cyrl-CS" w:eastAsia="sr-Latn-RS"/>
              </w:rPr>
            </w:pPr>
            <w:r w:rsidRPr="00092ED7">
              <w:rPr>
                <w:rFonts w:eastAsia="Times New Roman" w:cs="Times New Roman"/>
                <w:sz w:val="18"/>
                <w:szCs w:val="18"/>
                <w:lang w:val="sr-Cyrl-CS" w:eastAsia="sr-Latn-RS"/>
              </w:rPr>
              <w:t>Примена нове Методологије за обрачун цене приступа железничкој инфраструктури</w:t>
            </w:r>
          </w:p>
        </w:tc>
        <w:tc>
          <w:tcPr>
            <w:tcW w:w="1701" w:type="dxa"/>
            <w:shd w:val="clear" w:color="auto" w:fill="auto"/>
          </w:tcPr>
          <w:p w14:paraId="05ACB9E2" w14:textId="77777777" w:rsidR="003E4638" w:rsidRPr="00092ED7" w:rsidRDefault="003E4638" w:rsidP="003E4638">
            <w:pPr>
              <w:spacing w:after="0"/>
              <w:jc w:val="left"/>
              <w:rPr>
                <w:rFonts w:eastAsia="Times New Roman" w:cs="Times New Roman"/>
                <w:b/>
                <w:bCs/>
                <w:sz w:val="18"/>
                <w:szCs w:val="18"/>
                <w:lang w:val="sr-Cyrl-CS" w:eastAsia="sr-Latn-RS"/>
              </w:rPr>
            </w:pPr>
            <w:r w:rsidRPr="00092ED7">
              <w:rPr>
                <w:rFonts w:eastAsia="Times New Roman" w:cs="Times New Roman"/>
                <w:color w:val="000000"/>
                <w:sz w:val="18"/>
                <w:szCs w:val="18"/>
                <w:lang w:val="sr-Cyrl-CS" w:eastAsia="sr-Latn-RS"/>
              </w:rPr>
              <w:t>у припреми</w:t>
            </w:r>
          </w:p>
        </w:tc>
        <w:tc>
          <w:tcPr>
            <w:tcW w:w="3118" w:type="dxa"/>
            <w:shd w:val="clear" w:color="auto" w:fill="auto"/>
          </w:tcPr>
          <w:p w14:paraId="4E63BB6A" w14:textId="19B597F2" w:rsidR="003E4638" w:rsidRPr="00092ED7" w:rsidRDefault="003E4638" w:rsidP="00617616">
            <w:pPr>
              <w:spacing w:after="0"/>
              <w:jc w:val="left"/>
              <w:rPr>
                <w:rFonts w:eastAsia="Times New Roman" w:cs="Times New Roman"/>
                <w:b/>
                <w:bCs/>
                <w:sz w:val="18"/>
                <w:szCs w:val="18"/>
                <w:lang w:val="sr-Cyrl-CS" w:eastAsia="sr-Latn-RS"/>
              </w:rPr>
            </w:pPr>
            <w:r w:rsidRPr="00092ED7">
              <w:rPr>
                <w:rFonts w:eastAsia="Times New Roman" w:cs="Times New Roman"/>
                <w:color w:val="000000"/>
                <w:sz w:val="18"/>
                <w:szCs w:val="18"/>
                <w:lang w:val="sr-Cyrl-CS" w:eastAsia="sr-Latn-RS"/>
              </w:rPr>
              <w:t xml:space="preserve">У претходном периоду је одржан почетни састанак чланова Радне </w:t>
            </w:r>
            <w:r w:rsidR="00617616" w:rsidRPr="00092ED7">
              <w:rPr>
                <w:rFonts w:eastAsia="Times New Roman" w:cs="Times New Roman"/>
                <w:color w:val="000000"/>
                <w:sz w:val="18"/>
                <w:szCs w:val="18"/>
                <w:lang w:val="sr-Cyrl-CS" w:eastAsia="sr-Latn-RS"/>
              </w:rPr>
              <w:t xml:space="preserve">групе </w:t>
            </w:r>
            <w:r w:rsidRPr="00092ED7">
              <w:rPr>
                <w:rFonts w:eastAsia="Times New Roman" w:cs="Times New Roman"/>
                <w:color w:val="000000"/>
                <w:sz w:val="18"/>
                <w:szCs w:val="18"/>
                <w:lang w:val="sr-Cyrl-CS" w:eastAsia="sr-Latn-RS"/>
              </w:rPr>
              <w:t xml:space="preserve">на којем су дефинисани задаци и  план активности укључених страна. Стога је од стране Министарства грађевинарства, саобраћаја и инфраструктуре започет процес припреме Нацрта Уредбе о методологији за одређивање цена приступа железничкој инфраструктури и цена основних, додатних и пратећих услуга у складу са предлогом који су израдили консултанти КПМГ-а у оквиру Пројекта Техничка помоћ Министарству грађевинарства, саобраћаја и инфраструктуре и железничким предузећима у државном власништву у </w:t>
            </w:r>
            <w:r w:rsidR="003B5902" w:rsidRPr="00092ED7">
              <w:rPr>
                <w:rFonts w:eastAsia="Times New Roman" w:cs="Times New Roman"/>
                <w:color w:val="000000"/>
                <w:sz w:val="18"/>
                <w:szCs w:val="18"/>
                <w:lang w:val="sr-Cyrl-CS" w:eastAsia="sr-Latn-RS"/>
              </w:rPr>
              <w:t xml:space="preserve">Републици </w:t>
            </w:r>
            <w:r w:rsidRPr="00092ED7">
              <w:rPr>
                <w:rFonts w:eastAsia="Times New Roman" w:cs="Times New Roman"/>
                <w:color w:val="000000"/>
                <w:sz w:val="18"/>
                <w:szCs w:val="18"/>
                <w:lang w:val="sr-Cyrl-CS" w:eastAsia="sr-Latn-RS"/>
              </w:rPr>
              <w:t>Србији – Свеобухватна реформа железнице</w:t>
            </w:r>
            <w:r w:rsidR="00FF4D96" w:rsidRPr="00092ED7">
              <w:rPr>
                <w:rFonts w:eastAsia="Times New Roman" w:cs="Times New Roman"/>
                <w:color w:val="000000"/>
                <w:sz w:val="18"/>
                <w:szCs w:val="18"/>
                <w:lang w:val="sr-Cyrl-CS" w:eastAsia="sr-Latn-RS"/>
              </w:rPr>
              <w:t xml:space="preserve"> (извор финансирања ИПА Програм за 2014. годину)</w:t>
            </w:r>
            <w:r w:rsidRPr="00092ED7">
              <w:rPr>
                <w:rFonts w:eastAsia="Times New Roman" w:cs="Times New Roman"/>
                <w:color w:val="000000"/>
                <w:sz w:val="18"/>
                <w:szCs w:val="18"/>
                <w:lang w:val="sr-Cyrl-CS" w:eastAsia="sr-Latn-RS"/>
              </w:rPr>
              <w:t xml:space="preserve">. План је да почетком 2023. године </w:t>
            </w:r>
            <w:r w:rsidR="007D2348" w:rsidRPr="00092ED7">
              <w:rPr>
                <w:rFonts w:eastAsia="Times New Roman" w:cs="Times New Roman"/>
                <w:color w:val="000000"/>
                <w:sz w:val="18"/>
                <w:szCs w:val="18"/>
                <w:lang w:val="sr-Cyrl-CS" w:eastAsia="sr-Latn-RS"/>
              </w:rPr>
              <w:t>„</w:t>
            </w:r>
            <w:r w:rsidRPr="00092ED7">
              <w:rPr>
                <w:rFonts w:eastAsia="Times New Roman" w:cs="Times New Roman"/>
                <w:color w:val="000000"/>
                <w:sz w:val="18"/>
                <w:szCs w:val="18"/>
                <w:lang w:val="sr-Cyrl-CS" w:eastAsia="sr-Latn-RS"/>
              </w:rPr>
              <w:t>Инфраструктура железнице Србије</w:t>
            </w:r>
            <w:r w:rsidR="007D2348" w:rsidRPr="00092ED7">
              <w:rPr>
                <w:rFonts w:cs="Times New Roman"/>
                <w:sz w:val="18"/>
                <w:szCs w:val="18"/>
                <w:lang w:val="sr-Cyrl-CS"/>
              </w:rPr>
              <w:t>”</w:t>
            </w:r>
            <w:r w:rsidRPr="00092ED7">
              <w:rPr>
                <w:rFonts w:eastAsia="Times New Roman" w:cs="Times New Roman"/>
                <w:color w:val="000000"/>
                <w:sz w:val="18"/>
                <w:szCs w:val="18"/>
                <w:lang w:val="sr-Cyrl-CS" w:eastAsia="sr-Latn-RS"/>
              </w:rPr>
              <w:t xml:space="preserve"> заврши претходно започет процес симулације нове методологије како </w:t>
            </w:r>
            <w:r w:rsidRPr="00092ED7">
              <w:rPr>
                <w:rFonts w:eastAsia="Times New Roman" w:cs="Times New Roman"/>
                <w:color w:val="000000"/>
                <w:sz w:val="18"/>
                <w:szCs w:val="18"/>
                <w:lang w:val="sr-Cyrl-CS" w:eastAsia="sr-Latn-RS"/>
              </w:rPr>
              <w:lastRenderedPageBreak/>
              <w:t xml:space="preserve">би се омогућила даља  анализа утицаја на пословање железничких предузећа, односно проценило како ће нове цене приступа утицати на приходе управљача инфраструктуре и трошкове железничких превозника на кокурентост и тржиште и у складу са тим приступити даљој корекцији и увођењу одређених коефицијента у новој методологији, односно формулама за обрачун  цена приступа. Након доношења коначне одлуке РГ о томе и након усвајања претходно поменуте уредбе о методологији, иста ће се примењивати у пракси. </w:t>
            </w:r>
          </w:p>
        </w:tc>
        <w:tc>
          <w:tcPr>
            <w:tcW w:w="2410" w:type="dxa"/>
            <w:shd w:val="clear" w:color="auto" w:fill="auto"/>
            <w:vAlign w:val="center"/>
          </w:tcPr>
          <w:p w14:paraId="6319A0B5" w14:textId="77777777" w:rsidR="003E4638" w:rsidRPr="00092ED7" w:rsidRDefault="003E4638" w:rsidP="003E4638">
            <w:pPr>
              <w:spacing w:after="0"/>
              <w:jc w:val="left"/>
              <w:rPr>
                <w:rFonts w:eastAsia="Times New Roman" w:cs="Times New Roman"/>
                <w:b/>
                <w:bCs/>
                <w:sz w:val="18"/>
                <w:szCs w:val="18"/>
                <w:lang w:val="sr-Cyrl-CS" w:eastAsia="sr-Latn-RS"/>
              </w:rPr>
            </w:pPr>
          </w:p>
        </w:tc>
        <w:tc>
          <w:tcPr>
            <w:tcW w:w="2693" w:type="dxa"/>
            <w:shd w:val="clear" w:color="auto" w:fill="auto"/>
            <w:vAlign w:val="center"/>
          </w:tcPr>
          <w:p w14:paraId="6937195E" w14:textId="77777777" w:rsidR="003E4638" w:rsidRPr="00092ED7" w:rsidRDefault="003E4638" w:rsidP="003E4638">
            <w:pPr>
              <w:spacing w:after="0"/>
              <w:jc w:val="left"/>
              <w:rPr>
                <w:rFonts w:eastAsia="Times New Roman" w:cs="Times New Roman"/>
                <w:b/>
                <w:bCs/>
                <w:sz w:val="18"/>
                <w:szCs w:val="18"/>
                <w:lang w:val="sr-Cyrl-CS" w:eastAsia="sr-Latn-RS"/>
              </w:rPr>
            </w:pPr>
          </w:p>
        </w:tc>
      </w:tr>
      <w:tr w:rsidR="003E4638" w:rsidRPr="00092ED7" w14:paraId="0EEDB1E9" w14:textId="77777777" w:rsidTr="004F56D8">
        <w:trPr>
          <w:trHeight w:val="3959"/>
        </w:trPr>
        <w:tc>
          <w:tcPr>
            <w:tcW w:w="560" w:type="dxa"/>
            <w:shd w:val="clear" w:color="auto" w:fill="auto"/>
            <w:noWrap/>
            <w:hideMark/>
          </w:tcPr>
          <w:p w14:paraId="65919F8B" w14:textId="77777777" w:rsidR="003E4638" w:rsidRPr="00092ED7" w:rsidRDefault="003E4638" w:rsidP="003E4638">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2.</w:t>
            </w:r>
          </w:p>
        </w:tc>
        <w:tc>
          <w:tcPr>
            <w:tcW w:w="4407" w:type="dxa"/>
            <w:shd w:val="clear" w:color="auto" w:fill="auto"/>
            <w:hideMark/>
          </w:tcPr>
          <w:p w14:paraId="1EA28AF7" w14:textId="77777777" w:rsidR="003E4638" w:rsidRPr="00092ED7" w:rsidRDefault="003E4638" w:rsidP="003E4638">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Повећање безбедности у железничком саобраћају</w:t>
            </w:r>
          </w:p>
        </w:tc>
        <w:tc>
          <w:tcPr>
            <w:tcW w:w="1701" w:type="dxa"/>
            <w:shd w:val="clear" w:color="auto" w:fill="auto"/>
            <w:hideMark/>
          </w:tcPr>
          <w:p w14:paraId="5CB9ECB0"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наставак спровођења са почетним резултатима</w:t>
            </w:r>
          </w:p>
        </w:tc>
        <w:tc>
          <w:tcPr>
            <w:tcW w:w="3118" w:type="dxa"/>
            <w:shd w:val="clear" w:color="auto" w:fill="auto"/>
            <w:hideMark/>
          </w:tcPr>
          <w:p w14:paraId="63B9F64D" w14:textId="14FD3E2F"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xml:space="preserve">Реформа је уско везана за реализацију инфраструктурних пројеката у области железнице. Спроведени пројекти дају резултате али се наставак очекује заједно са даљим развојем инфраструктуре.                                                                                                                                                                                                                                                                                                                                      За повећање безбедности у железничком саобраћају обезбеђена су средства у оквиру Пројекта олакшања трговине и транспорта на Западном Балкану који се финансира из кредита Светске банке за модернизацију у износу 10,9 милиона евра. Такође, EBRD je одобрио пренамену преосталих средстава из постојећег кредита (око 10 мил. евра) за финансирање радова на унапређење осигурања на путним прелазима. Уговор за извођење радова је потписан у априлу 2022. године и у току је реализација уговорних обавеза. Поред тога, са Светском банком и Француском агенцијом за развој потписани су споразуми о зајму за Пројекат Модернизација железничког сектора </w:t>
            </w:r>
            <w:r w:rsidRPr="00092ED7">
              <w:rPr>
                <w:rFonts w:eastAsia="Times New Roman" w:cs="Times New Roman"/>
                <w:color w:val="000000"/>
                <w:sz w:val="18"/>
                <w:szCs w:val="18"/>
                <w:lang w:val="sr-Cyrl-CS" w:eastAsia="sr-Latn-RS"/>
              </w:rPr>
              <w:lastRenderedPageBreak/>
              <w:t xml:space="preserve">у </w:t>
            </w:r>
            <w:r w:rsidR="003B5902" w:rsidRPr="00092ED7">
              <w:rPr>
                <w:rFonts w:eastAsia="Times New Roman" w:cs="Times New Roman"/>
                <w:color w:val="000000"/>
                <w:sz w:val="18"/>
                <w:szCs w:val="18"/>
                <w:lang w:val="sr-Cyrl-CS" w:eastAsia="sr-Latn-RS"/>
              </w:rPr>
              <w:t xml:space="preserve">Републици </w:t>
            </w:r>
            <w:r w:rsidRPr="00092ED7">
              <w:rPr>
                <w:rFonts w:eastAsia="Times New Roman" w:cs="Times New Roman"/>
                <w:color w:val="000000"/>
                <w:sz w:val="18"/>
                <w:szCs w:val="18"/>
                <w:lang w:val="sr-Cyrl-CS" w:eastAsia="sr-Latn-RS"/>
              </w:rPr>
              <w:t>Србији – прва фаза која обухвата компоненту унапређења осигурања путних прелаза у износу од 22 милиона евра.</w:t>
            </w:r>
          </w:p>
        </w:tc>
        <w:tc>
          <w:tcPr>
            <w:tcW w:w="2410" w:type="dxa"/>
            <w:shd w:val="clear" w:color="auto" w:fill="auto"/>
            <w:hideMark/>
          </w:tcPr>
          <w:p w14:paraId="702AC40F"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lastRenderedPageBreak/>
              <w:t> </w:t>
            </w:r>
          </w:p>
        </w:tc>
        <w:tc>
          <w:tcPr>
            <w:tcW w:w="2693" w:type="dxa"/>
            <w:shd w:val="clear" w:color="auto" w:fill="auto"/>
            <w:hideMark/>
          </w:tcPr>
          <w:p w14:paraId="33B0565B"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3E4638" w:rsidRPr="00092ED7" w14:paraId="09C46D81" w14:textId="77777777" w:rsidTr="004F56D8">
        <w:trPr>
          <w:trHeight w:val="2148"/>
        </w:trPr>
        <w:tc>
          <w:tcPr>
            <w:tcW w:w="560" w:type="dxa"/>
            <w:shd w:val="clear" w:color="auto" w:fill="auto"/>
            <w:noWrap/>
            <w:hideMark/>
          </w:tcPr>
          <w:p w14:paraId="4FCEEABF" w14:textId="77777777" w:rsidR="003E4638" w:rsidRPr="00092ED7" w:rsidRDefault="003E4638" w:rsidP="003E4638">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3.</w:t>
            </w:r>
          </w:p>
        </w:tc>
        <w:tc>
          <w:tcPr>
            <w:tcW w:w="4407" w:type="dxa"/>
            <w:shd w:val="clear" w:color="auto" w:fill="auto"/>
            <w:hideMark/>
          </w:tcPr>
          <w:p w14:paraId="50107694" w14:textId="77777777" w:rsidR="003E4638" w:rsidRPr="00092ED7" w:rsidRDefault="003E4638" w:rsidP="003E4638">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Унапређење ефикасности путничког саобраћаја</w:t>
            </w:r>
          </w:p>
        </w:tc>
        <w:tc>
          <w:tcPr>
            <w:tcW w:w="1701" w:type="dxa"/>
            <w:shd w:val="clear" w:color="auto" w:fill="auto"/>
            <w:hideMark/>
          </w:tcPr>
          <w:p w14:paraId="22A1F9C3"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напредак у спровођењу</w:t>
            </w:r>
          </w:p>
        </w:tc>
        <w:tc>
          <w:tcPr>
            <w:tcW w:w="3118" w:type="dxa"/>
            <w:shd w:val="clear" w:color="auto" w:fill="auto"/>
            <w:hideMark/>
          </w:tcPr>
          <w:p w14:paraId="3AF77A31"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xml:space="preserve">Са модернизацијом и завршетком нових линија путничког превоза очекује се повећање ефикасности путничког саобраћаја у наредном периоду.  У марту 2022. године је у комерцијални саобраћај пуштена брза железничка пруга на релацији Београд Центар - Нови Сад. У периоду од марта до новембра 2022. године је на овој релацији превезено 1.913.534 путника. У наредном периоду се очекује наставак релизације осталих пројеката као и других активности које ће имати за циљ даље унапређење ефикасности железничког саобраћаја.  </w:t>
            </w:r>
          </w:p>
        </w:tc>
        <w:tc>
          <w:tcPr>
            <w:tcW w:w="2410" w:type="dxa"/>
            <w:shd w:val="clear" w:color="auto" w:fill="auto"/>
            <w:hideMark/>
          </w:tcPr>
          <w:p w14:paraId="43178729"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78A9162B"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3E4638" w:rsidRPr="00092ED7" w14:paraId="632991A3" w14:textId="77777777" w:rsidTr="004F56D8">
        <w:trPr>
          <w:trHeight w:val="360"/>
        </w:trPr>
        <w:tc>
          <w:tcPr>
            <w:tcW w:w="560" w:type="dxa"/>
            <w:shd w:val="clear" w:color="auto" w:fill="auto"/>
            <w:hideMark/>
          </w:tcPr>
          <w:p w14:paraId="4FA9A755" w14:textId="77777777" w:rsidR="003E4638" w:rsidRPr="00092ED7" w:rsidRDefault="003E4638" w:rsidP="003E4638">
            <w:pPr>
              <w:spacing w:after="0"/>
              <w:jc w:val="left"/>
              <w:rPr>
                <w:rFonts w:eastAsia="Times New Roman" w:cs="Times New Roman"/>
                <w:color w:val="000000"/>
                <w:sz w:val="18"/>
                <w:szCs w:val="18"/>
                <w:lang w:val="sr-Cyrl-CS" w:eastAsia="sr-Latn-RS"/>
              </w:rPr>
            </w:pPr>
          </w:p>
        </w:tc>
        <w:tc>
          <w:tcPr>
            <w:tcW w:w="4407" w:type="dxa"/>
            <w:shd w:val="clear" w:color="auto" w:fill="auto"/>
            <w:hideMark/>
          </w:tcPr>
          <w:p w14:paraId="3A854DEF" w14:textId="77777777" w:rsidR="003E4638" w:rsidRPr="00092ED7" w:rsidRDefault="003E4638" w:rsidP="003E4638">
            <w:pPr>
              <w:spacing w:after="0"/>
              <w:jc w:val="left"/>
              <w:rPr>
                <w:rFonts w:eastAsia="Times New Roman" w:cs="Times New Roman"/>
                <w:sz w:val="18"/>
                <w:szCs w:val="18"/>
                <w:lang w:val="sr-Cyrl-CS" w:eastAsia="sr-Latn-RS"/>
              </w:rPr>
            </w:pPr>
          </w:p>
        </w:tc>
        <w:tc>
          <w:tcPr>
            <w:tcW w:w="1701" w:type="dxa"/>
            <w:shd w:val="clear" w:color="000000" w:fill="BDD7EE"/>
            <w:noWrap/>
            <w:vAlign w:val="bottom"/>
            <w:hideMark/>
          </w:tcPr>
          <w:p w14:paraId="270B8C70" w14:textId="77777777" w:rsidR="003E4638" w:rsidRPr="00092ED7" w:rsidRDefault="003E4638" w:rsidP="003E4638">
            <w:pPr>
              <w:spacing w:after="0"/>
              <w:jc w:val="center"/>
              <w:rPr>
                <w:rFonts w:eastAsia="Times New Roman" w:cs="Times New Roman"/>
                <w:sz w:val="28"/>
                <w:szCs w:val="28"/>
                <w:lang w:val="sr-Cyrl-CS" w:eastAsia="sr-Latn-RS"/>
              </w:rPr>
            </w:pPr>
            <w:r w:rsidRPr="00092ED7">
              <w:rPr>
                <w:rFonts w:eastAsia="Times New Roman" w:cs="Times New Roman"/>
                <w:sz w:val="28"/>
                <w:szCs w:val="28"/>
                <w:lang w:val="sr-Cyrl-CS" w:eastAsia="sr-Latn-RS"/>
              </w:rPr>
              <w:t>53%</w:t>
            </w:r>
          </w:p>
        </w:tc>
        <w:tc>
          <w:tcPr>
            <w:tcW w:w="3118" w:type="dxa"/>
            <w:shd w:val="clear" w:color="auto" w:fill="auto"/>
            <w:noWrap/>
            <w:hideMark/>
          </w:tcPr>
          <w:p w14:paraId="01176A86" w14:textId="77777777" w:rsidR="003E4638" w:rsidRPr="00092ED7" w:rsidRDefault="003E4638" w:rsidP="003E4638">
            <w:pPr>
              <w:spacing w:after="0"/>
              <w:jc w:val="center"/>
              <w:rPr>
                <w:rFonts w:eastAsia="Times New Roman" w:cs="Times New Roman"/>
                <w:sz w:val="18"/>
                <w:szCs w:val="18"/>
                <w:lang w:val="sr-Cyrl-CS" w:eastAsia="sr-Latn-RS"/>
              </w:rPr>
            </w:pPr>
          </w:p>
        </w:tc>
        <w:tc>
          <w:tcPr>
            <w:tcW w:w="2410" w:type="dxa"/>
            <w:shd w:val="clear" w:color="auto" w:fill="auto"/>
            <w:noWrap/>
            <w:hideMark/>
          </w:tcPr>
          <w:p w14:paraId="7A5E553E" w14:textId="77777777" w:rsidR="003E4638" w:rsidRPr="00092ED7" w:rsidRDefault="003E4638" w:rsidP="003E4638">
            <w:pPr>
              <w:spacing w:after="0"/>
              <w:jc w:val="left"/>
              <w:rPr>
                <w:rFonts w:eastAsia="Times New Roman" w:cs="Times New Roman"/>
                <w:sz w:val="18"/>
                <w:szCs w:val="18"/>
                <w:lang w:val="sr-Cyrl-CS" w:eastAsia="sr-Latn-RS"/>
              </w:rPr>
            </w:pPr>
          </w:p>
        </w:tc>
        <w:tc>
          <w:tcPr>
            <w:tcW w:w="2693" w:type="dxa"/>
            <w:shd w:val="clear" w:color="auto" w:fill="auto"/>
            <w:noWrap/>
            <w:hideMark/>
          </w:tcPr>
          <w:p w14:paraId="0FF91F11" w14:textId="77777777" w:rsidR="003E4638" w:rsidRPr="00092ED7" w:rsidRDefault="003E4638" w:rsidP="003E4638">
            <w:pPr>
              <w:spacing w:after="0"/>
              <w:jc w:val="left"/>
              <w:rPr>
                <w:rFonts w:eastAsia="Times New Roman" w:cs="Times New Roman"/>
                <w:sz w:val="18"/>
                <w:szCs w:val="18"/>
                <w:lang w:val="sr-Cyrl-CS" w:eastAsia="sr-Latn-RS"/>
              </w:rPr>
            </w:pPr>
          </w:p>
        </w:tc>
      </w:tr>
      <w:tr w:rsidR="003E4638" w:rsidRPr="00092ED7" w14:paraId="4B52E96A" w14:textId="77777777" w:rsidTr="004F56D8">
        <w:trPr>
          <w:trHeight w:val="375"/>
        </w:trPr>
        <w:tc>
          <w:tcPr>
            <w:tcW w:w="560" w:type="dxa"/>
            <w:shd w:val="clear" w:color="auto" w:fill="D9D9D9" w:themeFill="background1" w:themeFillShade="D9"/>
            <w:noWrap/>
            <w:hideMark/>
          </w:tcPr>
          <w:p w14:paraId="4CC4F879"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14329" w:type="dxa"/>
            <w:gridSpan w:val="5"/>
            <w:shd w:val="clear" w:color="auto" w:fill="D9D9D9" w:themeFill="background1" w:themeFillShade="D9"/>
            <w:noWrap/>
            <w:vAlign w:val="center"/>
            <w:hideMark/>
          </w:tcPr>
          <w:p w14:paraId="3B7D2721" w14:textId="77777777" w:rsidR="003E4638" w:rsidRPr="00092ED7" w:rsidRDefault="003E4638" w:rsidP="003E4638">
            <w:pPr>
              <w:spacing w:after="0"/>
              <w:jc w:val="left"/>
              <w:rPr>
                <w:rFonts w:eastAsia="Times New Roman" w:cs="Times New Roman"/>
                <w:b/>
                <w:bCs/>
                <w:sz w:val="18"/>
                <w:szCs w:val="18"/>
                <w:lang w:val="sr-Cyrl-CS" w:eastAsia="sr-Latn-RS"/>
              </w:rPr>
            </w:pPr>
            <w:r w:rsidRPr="00092ED7">
              <w:rPr>
                <w:rFonts w:eastAsia="Times New Roman" w:cs="Times New Roman"/>
                <w:b/>
                <w:bCs/>
                <w:sz w:val="18"/>
                <w:szCs w:val="18"/>
                <w:lang w:val="sr-Cyrl-CS" w:eastAsia="sr-Latn-RS"/>
              </w:rPr>
              <w:t>СР 18. УНАПРЕЂЕЊЕ КОНКУРЕНТНОСТИ ПОЉОПРИВРЕДЕ</w:t>
            </w:r>
          </w:p>
        </w:tc>
      </w:tr>
      <w:tr w:rsidR="003E4638" w:rsidRPr="00092ED7" w14:paraId="074056C5" w14:textId="77777777" w:rsidTr="004F56D8">
        <w:trPr>
          <w:trHeight w:val="288"/>
        </w:trPr>
        <w:tc>
          <w:tcPr>
            <w:tcW w:w="560" w:type="dxa"/>
            <w:shd w:val="clear" w:color="auto" w:fill="auto"/>
            <w:noWrap/>
            <w:hideMark/>
          </w:tcPr>
          <w:p w14:paraId="46D16BD6" w14:textId="77777777" w:rsidR="003E4638" w:rsidRPr="00092ED7" w:rsidRDefault="003E4638" w:rsidP="003E4638">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1.</w:t>
            </w:r>
          </w:p>
        </w:tc>
        <w:tc>
          <w:tcPr>
            <w:tcW w:w="4407" w:type="dxa"/>
            <w:shd w:val="clear" w:color="auto" w:fill="auto"/>
            <w:hideMark/>
          </w:tcPr>
          <w:p w14:paraId="6B22D2E5" w14:textId="77777777" w:rsidR="003E4638" w:rsidRPr="00092ED7" w:rsidRDefault="003E4638" w:rsidP="003E4638">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Обука запослених који ће спроводити меру унапређење руралне инфраструктуре</w:t>
            </w:r>
          </w:p>
        </w:tc>
        <w:tc>
          <w:tcPr>
            <w:tcW w:w="1701" w:type="dxa"/>
            <w:shd w:val="clear" w:color="auto" w:fill="auto"/>
            <w:hideMark/>
          </w:tcPr>
          <w:p w14:paraId="32019972"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потпуно спроведене</w:t>
            </w:r>
          </w:p>
        </w:tc>
        <w:tc>
          <w:tcPr>
            <w:tcW w:w="3118" w:type="dxa"/>
            <w:shd w:val="clear" w:color="auto" w:fill="auto"/>
            <w:hideMark/>
          </w:tcPr>
          <w:p w14:paraId="026886CE"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410" w:type="dxa"/>
            <w:shd w:val="clear" w:color="auto" w:fill="auto"/>
            <w:hideMark/>
          </w:tcPr>
          <w:p w14:paraId="7F083EE2"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7A617131"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3E4638" w:rsidRPr="00092ED7" w14:paraId="40562E41" w14:textId="77777777" w:rsidTr="004F56D8">
        <w:trPr>
          <w:trHeight w:val="288"/>
        </w:trPr>
        <w:tc>
          <w:tcPr>
            <w:tcW w:w="560" w:type="dxa"/>
            <w:shd w:val="clear" w:color="auto" w:fill="auto"/>
            <w:noWrap/>
            <w:hideMark/>
          </w:tcPr>
          <w:p w14:paraId="4A4D81AF" w14:textId="77777777" w:rsidR="003E4638" w:rsidRPr="00092ED7" w:rsidRDefault="003E4638" w:rsidP="003E4638">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2.</w:t>
            </w:r>
          </w:p>
        </w:tc>
        <w:tc>
          <w:tcPr>
            <w:tcW w:w="4407" w:type="dxa"/>
            <w:shd w:val="clear" w:color="auto" w:fill="auto"/>
            <w:hideMark/>
          </w:tcPr>
          <w:p w14:paraId="1A74E04E" w14:textId="77777777" w:rsidR="003E4638" w:rsidRPr="00092ED7" w:rsidRDefault="003E4638" w:rsidP="003E4638">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Спровођење јавног позива за меру унапређење руралне инфраструктуре</w:t>
            </w:r>
          </w:p>
        </w:tc>
        <w:tc>
          <w:tcPr>
            <w:tcW w:w="1701" w:type="dxa"/>
            <w:shd w:val="clear" w:color="auto" w:fill="auto"/>
            <w:hideMark/>
          </w:tcPr>
          <w:p w14:paraId="10CDDFFD"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потпуно спроведене</w:t>
            </w:r>
          </w:p>
        </w:tc>
        <w:tc>
          <w:tcPr>
            <w:tcW w:w="3118" w:type="dxa"/>
            <w:shd w:val="clear" w:color="auto" w:fill="auto"/>
            <w:hideMark/>
          </w:tcPr>
          <w:p w14:paraId="4516A39C"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410" w:type="dxa"/>
            <w:shd w:val="clear" w:color="auto" w:fill="auto"/>
            <w:hideMark/>
          </w:tcPr>
          <w:p w14:paraId="108F6214"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67B25AE7"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3E4638" w:rsidRPr="00092ED7" w14:paraId="4290FFB5" w14:textId="77777777" w:rsidTr="004F56D8">
        <w:trPr>
          <w:trHeight w:val="1320"/>
        </w:trPr>
        <w:tc>
          <w:tcPr>
            <w:tcW w:w="560" w:type="dxa"/>
            <w:shd w:val="clear" w:color="auto" w:fill="auto"/>
            <w:noWrap/>
            <w:hideMark/>
          </w:tcPr>
          <w:p w14:paraId="45394164" w14:textId="77777777" w:rsidR="003E4638" w:rsidRPr="00092ED7" w:rsidRDefault="003E4638" w:rsidP="003E4638">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lastRenderedPageBreak/>
              <w:t>3.</w:t>
            </w:r>
          </w:p>
        </w:tc>
        <w:tc>
          <w:tcPr>
            <w:tcW w:w="4407" w:type="dxa"/>
            <w:shd w:val="clear" w:color="auto" w:fill="auto"/>
            <w:hideMark/>
          </w:tcPr>
          <w:p w14:paraId="408E61A2" w14:textId="22868992" w:rsidR="003E4638" w:rsidRPr="00092ED7" w:rsidRDefault="003E4638" w:rsidP="003E4638">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 xml:space="preserve">Усвајање подзаконских аката на основу  Закона о уређењу тржишта пољопривредних производа и </w:t>
            </w:r>
            <w:r w:rsidR="009439C1" w:rsidRPr="00092ED7">
              <w:rPr>
                <w:rFonts w:eastAsia="Times New Roman" w:cs="Times New Roman"/>
                <w:sz w:val="18"/>
                <w:szCs w:val="18"/>
                <w:lang w:val="sr-Cyrl-CS" w:eastAsia="sr-Latn-RS"/>
              </w:rPr>
              <w:t>з</w:t>
            </w:r>
            <w:r w:rsidRPr="00092ED7">
              <w:rPr>
                <w:rFonts w:eastAsia="Times New Roman" w:cs="Times New Roman"/>
                <w:sz w:val="18"/>
                <w:szCs w:val="18"/>
                <w:lang w:val="sr-Cyrl-CS" w:eastAsia="sr-Latn-RS"/>
              </w:rPr>
              <w:t>акона о шемама квалитета за пољопривредне и прехрамбене производе</w:t>
            </w:r>
          </w:p>
        </w:tc>
        <w:tc>
          <w:tcPr>
            <w:tcW w:w="1701" w:type="dxa"/>
            <w:shd w:val="clear" w:color="auto" w:fill="auto"/>
            <w:hideMark/>
          </w:tcPr>
          <w:p w14:paraId="3144688E"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у припреми</w:t>
            </w:r>
          </w:p>
        </w:tc>
        <w:tc>
          <w:tcPr>
            <w:tcW w:w="3118" w:type="dxa"/>
            <w:shd w:val="clear" w:color="auto" w:fill="auto"/>
            <w:hideMark/>
          </w:tcPr>
          <w:p w14:paraId="286BEE39"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410" w:type="dxa"/>
            <w:shd w:val="clear" w:color="auto" w:fill="auto"/>
            <w:hideMark/>
          </w:tcPr>
          <w:p w14:paraId="4F9EC3FE" w14:textId="66D9DCF0" w:rsidR="003E4638" w:rsidRPr="00092ED7" w:rsidRDefault="003E4638" w:rsidP="00617616">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xml:space="preserve">Подзаконска акта су у фази припреме. Пројекат је започео у мају 2022 године, због чега се каснило са финализацијом израде и усвајањем. </w:t>
            </w:r>
          </w:p>
        </w:tc>
        <w:tc>
          <w:tcPr>
            <w:tcW w:w="2693" w:type="dxa"/>
            <w:shd w:val="clear" w:color="auto" w:fill="auto"/>
            <w:hideMark/>
          </w:tcPr>
          <w:p w14:paraId="18D1C576"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3E4638" w:rsidRPr="00092ED7" w14:paraId="33531024" w14:textId="77777777" w:rsidTr="004F56D8">
        <w:trPr>
          <w:trHeight w:val="792"/>
        </w:trPr>
        <w:tc>
          <w:tcPr>
            <w:tcW w:w="560" w:type="dxa"/>
            <w:shd w:val="clear" w:color="auto" w:fill="auto"/>
            <w:noWrap/>
            <w:hideMark/>
          </w:tcPr>
          <w:p w14:paraId="4FAE934D" w14:textId="77777777" w:rsidR="003E4638" w:rsidRPr="00092ED7" w:rsidRDefault="003E4638" w:rsidP="003E4638">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4.</w:t>
            </w:r>
          </w:p>
        </w:tc>
        <w:tc>
          <w:tcPr>
            <w:tcW w:w="4407" w:type="dxa"/>
            <w:shd w:val="clear" w:color="auto" w:fill="auto"/>
            <w:hideMark/>
          </w:tcPr>
          <w:p w14:paraId="7755D4ED" w14:textId="77777777" w:rsidR="003E4638" w:rsidRPr="00092ED7" w:rsidRDefault="003E4638" w:rsidP="003E4638">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 xml:space="preserve">Усвајање Закона и подзаконских аката o органској производњи </w:t>
            </w:r>
          </w:p>
        </w:tc>
        <w:tc>
          <w:tcPr>
            <w:tcW w:w="1701" w:type="dxa"/>
            <w:shd w:val="clear" w:color="auto" w:fill="auto"/>
            <w:hideMark/>
          </w:tcPr>
          <w:p w14:paraId="32D66DC7"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у припреми</w:t>
            </w:r>
          </w:p>
        </w:tc>
        <w:tc>
          <w:tcPr>
            <w:tcW w:w="3118" w:type="dxa"/>
            <w:shd w:val="clear" w:color="auto" w:fill="auto"/>
            <w:hideMark/>
          </w:tcPr>
          <w:p w14:paraId="673E3180"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410" w:type="dxa"/>
            <w:shd w:val="clear" w:color="auto" w:fill="auto"/>
            <w:hideMark/>
          </w:tcPr>
          <w:p w14:paraId="57FDDCE8" w14:textId="7A3AA554" w:rsidR="003E4638" w:rsidRPr="00092ED7" w:rsidRDefault="003E4638" w:rsidP="00617616">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xml:space="preserve">Акти су планирани према Плану рада Владе и рок за усвајање је био четврти квартал 2022. </w:t>
            </w:r>
          </w:p>
        </w:tc>
        <w:tc>
          <w:tcPr>
            <w:tcW w:w="2693" w:type="dxa"/>
            <w:shd w:val="clear" w:color="auto" w:fill="auto"/>
            <w:hideMark/>
          </w:tcPr>
          <w:p w14:paraId="41108F37"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3E4638" w:rsidRPr="00092ED7" w14:paraId="0C6FD42D" w14:textId="77777777" w:rsidTr="004F56D8">
        <w:trPr>
          <w:trHeight w:val="1416"/>
        </w:trPr>
        <w:tc>
          <w:tcPr>
            <w:tcW w:w="560" w:type="dxa"/>
            <w:shd w:val="clear" w:color="auto" w:fill="auto"/>
            <w:noWrap/>
            <w:hideMark/>
          </w:tcPr>
          <w:p w14:paraId="149F02C8" w14:textId="77777777" w:rsidR="003E4638" w:rsidRPr="00092ED7" w:rsidRDefault="003E4638" w:rsidP="003E4638">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5.</w:t>
            </w:r>
          </w:p>
        </w:tc>
        <w:tc>
          <w:tcPr>
            <w:tcW w:w="4407" w:type="dxa"/>
            <w:shd w:val="clear" w:color="auto" w:fill="auto"/>
            <w:hideMark/>
          </w:tcPr>
          <w:p w14:paraId="333A73FF" w14:textId="77777777" w:rsidR="003E4638" w:rsidRPr="00092ED7" w:rsidRDefault="003E4638" w:rsidP="003E4638">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 xml:space="preserve">Усвајање законског оквира  за спровођење комасације (Закон о комасацији и Закона о пољопривредном земљишту) </w:t>
            </w:r>
          </w:p>
        </w:tc>
        <w:tc>
          <w:tcPr>
            <w:tcW w:w="1701" w:type="dxa"/>
            <w:shd w:val="clear" w:color="auto" w:fill="auto"/>
            <w:hideMark/>
          </w:tcPr>
          <w:p w14:paraId="6480C019"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у припреми</w:t>
            </w:r>
          </w:p>
        </w:tc>
        <w:tc>
          <w:tcPr>
            <w:tcW w:w="3118" w:type="dxa"/>
            <w:shd w:val="clear" w:color="auto" w:fill="auto"/>
            <w:hideMark/>
          </w:tcPr>
          <w:p w14:paraId="3A565D58"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Ради се на припреми. Донета су два Правилника којим се ближе уређује и унапређује област пољопривредног земљишта каква је комасација. С обзиром да је комасација комплексан поступак а у циљу припреме за доношење планираних законских регулатива, отпочело  у првим корацима са доношењем правилника.</w:t>
            </w:r>
          </w:p>
        </w:tc>
        <w:tc>
          <w:tcPr>
            <w:tcW w:w="2410" w:type="dxa"/>
            <w:shd w:val="clear" w:color="auto" w:fill="auto"/>
            <w:hideMark/>
          </w:tcPr>
          <w:p w14:paraId="1E47BFC7"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419501B8"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3E4638" w:rsidRPr="00092ED7" w14:paraId="59D97F0F" w14:textId="77777777" w:rsidTr="004F56D8">
        <w:trPr>
          <w:trHeight w:val="699"/>
        </w:trPr>
        <w:tc>
          <w:tcPr>
            <w:tcW w:w="560" w:type="dxa"/>
            <w:shd w:val="clear" w:color="auto" w:fill="auto"/>
            <w:noWrap/>
          </w:tcPr>
          <w:p w14:paraId="392B7E24" w14:textId="77777777" w:rsidR="003E4638" w:rsidRPr="00092ED7" w:rsidRDefault="003E4638" w:rsidP="003E4638">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6.</w:t>
            </w:r>
          </w:p>
        </w:tc>
        <w:tc>
          <w:tcPr>
            <w:tcW w:w="4407" w:type="dxa"/>
            <w:shd w:val="clear" w:color="auto" w:fill="auto"/>
          </w:tcPr>
          <w:p w14:paraId="549302F8" w14:textId="77777777" w:rsidR="003E4638" w:rsidRPr="00092ED7" w:rsidRDefault="003E4638" w:rsidP="003E4638">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 xml:space="preserve">Јачање капацитета и обука запослених у Управи за аграрна плаћања </w:t>
            </w:r>
          </w:p>
        </w:tc>
        <w:tc>
          <w:tcPr>
            <w:tcW w:w="1701" w:type="dxa"/>
            <w:shd w:val="clear" w:color="auto" w:fill="auto"/>
          </w:tcPr>
          <w:p w14:paraId="26E5C068"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напредак у спровођењу</w:t>
            </w:r>
          </w:p>
        </w:tc>
        <w:tc>
          <w:tcPr>
            <w:tcW w:w="3118" w:type="dxa"/>
            <w:shd w:val="clear" w:color="auto" w:fill="auto"/>
          </w:tcPr>
          <w:p w14:paraId="5713273A"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Важећим Правилником о унутрашњем уређењу и систематизацији радних места МПШВ, који је ступио на снагу 1. фебруара 2022. године, систематизовани број запослених у Управи за аграрна плаћања је 282, од чега су 232 раднa места на ИПАРД пословима. Тренутни број запослених  и радно ангажованих у УАП је 280 (166  на неодређено време и 114 на одређено време).</w:t>
            </w:r>
          </w:p>
          <w:p w14:paraId="14D4C6EC" w14:textId="4F5C2699"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Поступак спровођења јавног  конкурса за запошљавање који је оглашен 29.09.2021. године,  а расписан за 24 извршиоца, окончан је у мају 2021,</w:t>
            </w:r>
            <w:r w:rsidR="00444996" w:rsidRPr="00092ED7">
              <w:rPr>
                <w:rFonts w:eastAsia="Times New Roman" w:cs="Times New Roman"/>
                <w:color w:val="000000"/>
                <w:sz w:val="18"/>
                <w:szCs w:val="18"/>
                <w:lang w:val="sr-Cyrl-CS" w:eastAsia="sr-Latn-RS"/>
              </w:rPr>
              <w:t xml:space="preserve"> а</w:t>
            </w:r>
            <w:r w:rsidRPr="00092ED7">
              <w:rPr>
                <w:rFonts w:eastAsia="Times New Roman" w:cs="Times New Roman"/>
                <w:color w:val="000000"/>
                <w:sz w:val="18"/>
                <w:szCs w:val="18"/>
                <w:lang w:val="sr-Cyrl-CS" w:eastAsia="sr-Latn-RS"/>
              </w:rPr>
              <w:t xml:space="preserve">  у радни однос на неодређено време ступило је   11 лица, јер </w:t>
            </w:r>
            <w:r w:rsidR="00444996" w:rsidRPr="00092ED7">
              <w:rPr>
                <w:rFonts w:eastAsia="Times New Roman" w:cs="Times New Roman"/>
                <w:color w:val="000000"/>
                <w:sz w:val="18"/>
                <w:szCs w:val="18"/>
                <w:lang w:val="sr-Cyrl-CS" w:eastAsia="sr-Latn-RS"/>
              </w:rPr>
              <w:t xml:space="preserve">поједини </w:t>
            </w:r>
            <w:r w:rsidRPr="00092ED7">
              <w:rPr>
                <w:rFonts w:eastAsia="Times New Roman" w:cs="Times New Roman"/>
                <w:color w:val="000000"/>
                <w:sz w:val="18"/>
                <w:szCs w:val="18"/>
                <w:lang w:val="sr-Cyrl-CS" w:eastAsia="sr-Latn-RS"/>
              </w:rPr>
              <w:t>кандидати у изборном поступку нису испунили мерила за проверу тражених компетенција.</w:t>
            </w:r>
          </w:p>
          <w:p w14:paraId="41DFFFF6" w14:textId="7B04FFC3" w:rsidR="003E4638" w:rsidRPr="00092ED7" w:rsidRDefault="00444996"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lastRenderedPageBreak/>
              <w:t>За</w:t>
            </w:r>
            <w:r w:rsidR="003E4638" w:rsidRPr="00092ED7">
              <w:rPr>
                <w:rFonts w:eastAsia="Times New Roman" w:cs="Times New Roman"/>
                <w:color w:val="000000"/>
                <w:sz w:val="18"/>
                <w:szCs w:val="18"/>
                <w:lang w:val="sr-Cyrl-CS" w:eastAsia="sr-Latn-RS"/>
              </w:rPr>
              <w:t xml:space="preserve"> запошљавање 31 лица покренут  је нови јавни конкурс за попуњавање извршилачких радних места, који је оглашен 20.07.2022. године. Овај поступак је у току.</w:t>
            </w:r>
          </w:p>
          <w:p w14:paraId="496B4AFF"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ОБУКЕ:</w:t>
            </w:r>
          </w:p>
          <w:p w14:paraId="3428EF2E"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Закључно са 16.12.2022.  године реализовано је 18  обука од  укупно 30 колико је предвиђено Планом обука за 2022. годину (проценат реализације Плана је 60%) . Поред тога, запослени у УАП учествовали су и на 18 обука које нису биле предвиђене Планом.</w:t>
            </w:r>
          </w:p>
        </w:tc>
        <w:tc>
          <w:tcPr>
            <w:tcW w:w="2410" w:type="dxa"/>
            <w:shd w:val="clear" w:color="auto" w:fill="auto"/>
          </w:tcPr>
          <w:p w14:paraId="216C89AF" w14:textId="77777777" w:rsidR="003E4638" w:rsidRPr="00092ED7" w:rsidRDefault="003E4638" w:rsidP="003E4638">
            <w:pPr>
              <w:spacing w:after="0"/>
              <w:jc w:val="left"/>
              <w:rPr>
                <w:rFonts w:eastAsia="Times New Roman" w:cs="Times New Roman"/>
                <w:color w:val="000000"/>
                <w:sz w:val="18"/>
                <w:szCs w:val="18"/>
                <w:lang w:val="sr-Cyrl-CS" w:eastAsia="sr-Latn-RS"/>
              </w:rPr>
            </w:pPr>
          </w:p>
        </w:tc>
        <w:tc>
          <w:tcPr>
            <w:tcW w:w="2693" w:type="dxa"/>
            <w:shd w:val="clear" w:color="auto" w:fill="auto"/>
          </w:tcPr>
          <w:p w14:paraId="5BEACD79" w14:textId="77777777" w:rsidR="003E4638" w:rsidRPr="00092ED7" w:rsidRDefault="003E4638" w:rsidP="003E4638">
            <w:pPr>
              <w:spacing w:after="0"/>
              <w:jc w:val="left"/>
              <w:rPr>
                <w:rFonts w:eastAsia="Times New Roman" w:cs="Times New Roman"/>
                <w:color w:val="000000"/>
                <w:sz w:val="18"/>
                <w:szCs w:val="18"/>
                <w:lang w:val="sr-Cyrl-CS" w:eastAsia="sr-Latn-RS"/>
              </w:rPr>
            </w:pPr>
          </w:p>
        </w:tc>
      </w:tr>
      <w:tr w:rsidR="003E4638" w:rsidRPr="00092ED7" w14:paraId="1135409C" w14:textId="77777777" w:rsidTr="004F56D8">
        <w:trPr>
          <w:trHeight w:val="851"/>
        </w:trPr>
        <w:tc>
          <w:tcPr>
            <w:tcW w:w="560" w:type="dxa"/>
            <w:shd w:val="clear" w:color="auto" w:fill="auto"/>
            <w:noWrap/>
            <w:hideMark/>
          </w:tcPr>
          <w:p w14:paraId="07EC5611" w14:textId="77777777" w:rsidR="003E4638" w:rsidRPr="00092ED7" w:rsidRDefault="003E4638" w:rsidP="003E4638">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7.</w:t>
            </w:r>
          </w:p>
        </w:tc>
        <w:tc>
          <w:tcPr>
            <w:tcW w:w="4407" w:type="dxa"/>
            <w:shd w:val="clear" w:color="auto" w:fill="auto"/>
            <w:hideMark/>
          </w:tcPr>
          <w:p w14:paraId="10AE8812" w14:textId="77777777" w:rsidR="003E4638" w:rsidRPr="00092ED7" w:rsidRDefault="003E4638" w:rsidP="003E4638">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Израда софтвера за базу РПГ и базу LPIS, повезивање са Регистром животиња и израда преосталих делова базе IACS</w:t>
            </w:r>
          </w:p>
        </w:tc>
        <w:tc>
          <w:tcPr>
            <w:tcW w:w="1701" w:type="dxa"/>
            <w:shd w:val="clear" w:color="auto" w:fill="auto"/>
            <w:hideMark/>
          </w:tcPr>
          <w:p w14:paraId="12A6CF5E"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започето спровођење</w:t>
            </w:r>
          </w:p>
        </w:tc>
        <w:tc>
          <w:tcPr>
            <w:tcW w:w="3118" w:type="dxa"/>
            <w:shd w:val="clear" w:color="auto" w:fill="auto"/>
            <w:hideMark/>
          </w:tcPr>
          <w:p w14:paraId="246DFECD"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xml:space="preserve">Урађена је техничка спецификација за куповину софтвера за РПГ и LPIS, припремљена тендерска документација, објављен оглас, достављене понуде за избор софтвера и завршена оцењивање понуда. </w:t>
            </w:r>
          </w:p>
        </w:tc>
        <w:tc>
          <w:tcPr>
            <w:tcW w:w="2410" w:type="dxa"/>
            <w:shd w:val="clear" w:color="auto" w:fill="auto"/>
            <w:hideMark/>
          </w:tcPr>
          <w:p w14:paraId="2AD4B40C"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3D0C0554"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3E4638" w:rsidRPr="00092ED7" w14:paraId="045CDDA5" w14:textId="77777777" w:rsidTr="004F56D8">
        <w:trPr>
          <w:trHeight w:val="360"/>
        </w:trPr>
        <w:tc>
          <w:tcPr>
            <w:tcW w:w="560" w:type="dxa"/>
            <w:shd w:val="clear" w:color="auto" w:fill="auto"/>
            <w:hideMark/>
          </w:tcPr>
          <w:p w14:paraId="42FC5306" w14:textId="77777777" w:rsidR="003E4638" w:rsidRPr="00092ED7" w:rsidRDefault="003E4638" w:rsidP="003E4638">
            <w:pPr>
              <w:spacing w:after="0"/>
              <w:jc w:val="left"/>
              <w:rPr>
                <w:rFonts w:eastAsia="Times New Roman" w:cs="Times New Roman"/>
                <w:color w:val="000000"/>
                <w:sz w:val="18"/>
                <w:szCs w:val="18"/>
                <w:lang w:val="sr-Cyrl-CS" w:eastAsia="sr-Latn-RS"/>
              </w:rPr>
            </w:pPr>
          </w:p>
        </w:tc>
        <w:tc>
          <w:tcPr>
            <w:tcW w:w="4407" w:type="dxa"/>
            <w:shd w:val="clear" w:color="auto" w:fill="auto"/>
            <w:hideMark/>
          </w:tcPr>
          <w:p w14:paraId="6509E96A" w14:textId="77777777" w:rsidR="003E4638" w:rsidRPr="00092ED7" w:rsidRDefault="003E4638" w:rsidP="003E4638">
            <w:pPr>
              <w:spacing w:after="0"/>
              <w:jc w:val="left"/>
              <w:rPr>
                <w:rFonts w:eastAsia="Times New Roman" w:cs="Times New Roman"/>
                <w:sz w:val="18"/>
                <w:szCs w:val="18"/>
                <w:lang w:val="sr-Cyrl-CS" w:eastAsia="sr-Latn-RS"/>
              </w:rPr>
            </w:pPr>
          </w:p>
        </w:tc>
        <w:tc>
          <w:tcPr>
            <w:tcW w:w="1701" w:type="dxa"/>
            <w:shd w:val="clear" w:color="000000" w:fill="BDD7EE"/>
            <w:noWrap/>
            <w:vAlign w:val="bottom"/>
            <w:hideMark/>
          </w:tcPr>
          <w:p w14:paraId="484C785A" w14:textId="77777777" w:rsidR="003E4638" w:rsidRPr="00092ED7" w:rsidRDefault="003E4638" w:rsidP="003E4638">
            <w:pPr>
              <w:spacing w:after="0"/>
              <w:jc w:val="center"/>
              <w:rPr>
                <w:rFonts w:eastAsia="Times New Roman" w:cs="Times New Roman"/>
                <w:sz w:val="28"/>
                <w:szCs w:val="28"/>
                <w:lang w:val="sr-Cyrl-CS" w:eastAsia="sr-Latn-RS"/>
              </w:rPr>
            </w:pPr>
            <w:r w:rsidRPr="00092ED7">
              <w:rPr>
                <w:rFonts w:eastAsia="Times New Roman" w:cs="Times New Roman"/>
                <w:sz w:val="28"/>
                <w:szCs w:val="28"/>
                <w:lang w:val="sr-Cyrl-CS" w:eastAsia="sr-Latn-RS"/>
              </w:rPr>
              <w:t>54%</w:t>
            </w:r>
          </w:p>
        </w:tc>
        <w:tc>
          <w:tcPr>
            <w:tcW w:w="3118" w:type="dxa"/>
            <w:shd w:val="clear" w:color="auto" w:fill="auto"/>
            <w:noWrap/>
            <w:hideMark/>
          </w:tcPr>
          <w:p w14:paraId="38B1DD4D" w14:textId="77777777" w:rsidR="003E4638" w:rsidRPr="00092ED7" w:rsidRDefault="003E4638" w:rsidP="003E4638">
            <w:pPr>
              <w:spacing w:after="0"/>
              <w:jc w:val="center"/>
              <w:rPr>
                <w:rFonts w:eastAsia="Times New Roman" w:cs="Times New Roman"/>
                <w:sz w:val="18"/>
                <w:szCs w:val="18"/>
                <w:lang w:val="sr-Cyrl-CS" w:eastAsia="sr-Latn-RS"/>
              </w:rPr>
            </w:pPr>
          </w:p>
        </w:tc>
        <w:tc>
          <w:tcPr>
            <w:tcW w:w="2410" w:type="dxa"/>
            <w:shd w:val="clear" w:color="auto" w:fill="auto"/>
            <w:noWrap/>
            <w:hideMark/>
          </w:tcPr>
          <w:p w14:paraId="1A83AD30" w14:textId="77777777" w:rsidR="003E4638" w:rsidRPr="00092ED7" w:rsidRDefault="003E4638" w:rsidP="003E4638">
            <w:pPr>
              <w:spacing w:after="0"/>
              <w:jc w:val="left"/>
              <w:rPr>
                <w:rFonts w:eastAsia="Times New Roman" w:cs="Times New Roman"/>
                <w:sz w:val="18"/>
                <w:szCs w:val="18"/>
                <w:lang w:val="sr-Cyrl-CS" w:eastAsia="sr-Latn-RS"/>
              </w:rPr>
            </w:pPr>
          </w:p>
        </w:tc>
        <w:tc>
          <w:tcPr>
            <w:tcW w:w="2693" w:type="dxa"/>
            <w:shd w:val="clear" w:color="auto" w:fill="auto"/>
            <w:noWrap/>
            <w:hideMark/>
          </w:tcPr>
          <w:p w14:paraId="4897D896" w14:textId="77777777" w:rsidR="003E4638" w:rsidRPr="00092ED7" w:rsidRDefault="003E4638" w:rsidP="003E4638">
            <w:pPr>
              <w:spacing w:after="0"/>
              <w:jc w:val="left"/>
              <w:rPr>
                <w:rFonts w:eastAsia="Times New Roman" w:cs="Times New Roman"/>
                <w:sz w:val="18"/>
                <w:szCs w:val="18"/>
                <w:lang w:val="sr-Cyrl-CS" w:eastAsia="sr-Latn-RS"/>
              </w:rPr>
            </w:pPr>
          </w:p>
        </w:tc>
      </w:tr>
      <w:tr w:rsidR="003E4638" w:rsidRPr="00092ED7" w14:paraId="4B8B0019" w14:textId="77777777" w:rsidTr="004F56D8">
        <w:trPr>
          <w:trHeight w:val="375"/>
        </w:trPr>
        <w:tc>
          <w:tcPr>
            <w:tcW w:w="560" w:type="dxa"/>
            <w:shd w:val="clear" w:color="auto" w:fill="auto"/>
            <w:noWrap/>
            <w:hideMark/>
          </w:tcPr>
          <w:p w14:paraId="79AFACAC"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14329" w:type="dxa"/>
            <w:gridSpan w:val="5"/>
            <w:shd w:val="clear" w:color="auto" w:fill="auto"/>
            <w:noWrap/>
            <w:vAlign w:val="center"/>
            <w:hideMark/>
          </w:tcPr>
          <w:p w14:paraId="6380495A" w14:textId="77777777" w:rsidR="003E4638" w:rsidRPr="00092ED7" w:rsidRDefault="003E4638" w:rsidP="003E4638">
            <w:pPr>
              <w:spacing w:after="0"/>
              <w:jc w:val="left"/>
              <w:rPr>
                <w:rFonts w:eastAsia="Times New Roman" w:cs="Times New Roman"/>
                <w:b/>
                <w:bCs/>
                <w:sz w:val="18"/>
                <w:szCs w:val="18"/>
                <w:lang w:val="sr-Cyrl-CS" w:eastAsia="sr-Latn-RS"/>
              </w:rPr>
            </w:pPr>
            <w:r w:rsidRPr="00092ED7">
              <w:rPr>
                <w:rFonts w:eastAsia="Times New Roman" w:cs="Times New Roman"/>
                <w:b/>
                <w:bCs/>
                <w:sz w:val="18"/>
                <w:szCs w:val="18"/>
                <w:lang w:val="sr-Cyrl-CS" w:eastAsia="sr-Latn-RS"/>
              </w:rPr>
              <w:t>СР 19. БЕЗБЕДАН И КВАЛИТЕТАН ПРОИЗВОД - ФАКТОР РАЗВОЈА ИНДУСТРИЈЕ</w:t>
            </w:r>
          </w:p>
        </w:tc>
      </w:tr>
      <w:tr w:rsidR="003E4638" w:rsidRPr="00092ED7" w14:paraId="1FBB8303" w14:textId="77777777" w:rsidTr="004F56D8">
        <w:trPr>
          <w:trHeight w:val="1680"/>
        </w:trPr>
        <w:tc>
          <w:tcPr>
            <w:tcW w:w="560" w:type="dxa"/>
            <w:shd w:val="clear" w:color="auto" w:fill="auto"/>
            <w:noWrap/>
            <w:hideMark/>
          </w:tcPr>
          <w:p w14:paraId="2E8FA955" w14:textId="77777777" w:rsidR="003E4638" w:rsidRPr="00092ED7" w:rsidRDefault="003E4638" w:rsidP="003E4638">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1.</w:t>
            </w:r>
          </w:p>
        </w:tc>
        <w:tc>
          <w:tcPr>
            <w:tcW w:w="4407" w:type="dxa"/>
            <w:shd w:val="clear" w:color="auto" w:fill="auto"/>
            <w:hideMark/>
          </w:tcPr>
          <w:p w14:paraId="585FEB15" w14:textId="77777777" w:rsidR="003E4638" w:rsidRPr="00092ED7" w:rsidRDefault="003E4638" w:rsidP="003E4638">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Имплементација програма подршке привредним субјектима (Министарство привреде, Развојна агенција Србије - РАС)</w:t>
            </w:r>
          </w:p>
        </w:tc>
        <w:tc>
          <w:tcPr>
            <w:tcW w:w="1701" w:type="dxa"/>
            <w:shd w:val="clear" w:color="auto" w:fill="auto"/>
            <w:hideMark/>
          </w:tcPr>
          <w:p w14:paraId="72CA7039"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не спроводи се</w:t>
            </w:r>
          </w:p>
        </w:tc>
        <w:tc>
          <w:tcPr>
            <w:tcW w:w="3118" w:type="dxa"/>
            <w:shd w:val="clear" w:color="auto" w:fill="auto"/>
            <w:hideMark/>
          </w:tcPr>
          <w:p w14:paraId="5B40349D" w14:textId="09D4CDCF" w:rsidR="003E4638" w:rsidRPr="00092ED7" w:rsidRDefault="003E4638" w:rsidP="00444996">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Спровођење Програма финансијске подршке - Коришћењем стандарда до конкурентнијих производа одложено је за наредну годину, те су Законом о буџету Републике Србије за 2023. годину предвиђена средства за ову намену, у износу од 50</w:t>
            </w:r>
            <w:r w:rsidR="00444996" w:rsidRPr="00092ED7">
              <w:rPr>
                <w:rFonts w:eastAsia="Times New Roman" w:cs="Times New Roman"/>
                <w:color w:val="000000"/>
                <w:sz w:val="18"/>
                <w:szCs w:val="18"/>
                <w:lang w:val="sr-Cyrl-CS" w:eastAsia="sr-Latn-RS"/>
              </w:rPr>
              <w:t xml:space="preserve"> милиона</w:t>
            </w:r>
            <w:r w:rsidRPr="00092ED7">
              <w:rPr>
                <w:rFonts w:eastAsia="Times New Roman" w:cs="Times New Roman"/>
                <w:color w:val="000000"/>
                <w:sz w:val="18"/>
                <w:szCs w:val="18"/>
                <w:lang w:val="sr-Cyrl-CS" w:eastAsia="sr-Latn-RS"/>
              </w:rPr>
              <w:t xml:space="preserve"> динара.</w:t>
            </w:r>
          </w:p>
        </w:tc>
        <w:tc>
          <w:tcPr>
            <w:tcW w:w="2410" w:type="dxa"/>
            <w:shd w:val="clear" w:color="auto" w:fill="auto"/>
            <w:hideMark/>
          </w:tcPr>
          <w:p w14:paraId="492F5941" w14:textId="3F5EB928" w:rsidR="003E4638" w:rsidRPr="00092ED7" w:rsidRDefault="003E4638" w:rsidP="003E4638">
            <w:pPr>
              <w:spacing w:after="0"/>
              <w:jc w:val="left"/>
              <w:rPr>
                <w:rFonts w:eastAsia="Times New Roman" w:cs="Times New Roman"/>
                <w:color w:val="000000"/>
                <w:sz w:val="18"/>
                <w:szCs w:val="18"/>
                <w:lang w:val="sr-Cyrl-CS" w:eastAsia="sr-Latn-RS"/>
              </w:rPr>
            </w:pPr>
          </w:p>
        </w:tc>
        <w:tc>
          <w:tcPr>
            <w:tcW w:w="2693" w:type="dxa"/>
            <w:shd w:val="clear" w:color="auto" w:fill="auto"/>
            <w:hideMark/>
          </w:tcPr>
          <w:p w14:paraId="387FF3DF"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3E4638" w:rsidRPr="00092ED7" w14:paraId="0A74C8FA" w14:textId="77777777" w:rsidTr="004F56D8">
        <w:trPr>
          <w:trHeight w:val="792"/>
        </w:trPr>
        <w:tc>
          <w:tcPr>
            <w:tcW w:w="560" w:type="dxa"/>
            <w:shd w:val="clear" w:color="auto" w:fill="auto"/>
            <w:noWrap/>
            <w:hideMark/>
          </w:tcPr>
          <w:p w14:paraId="779DCB20" w14:textId="77777777" w:rsidR="003E4638" w:rsidRPr="00092ED7" w:rsidRDefault="003E4638" w:rsidP="003E4638">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2.</w:t>
            </w:r>
          </w:p>
        </w:tc>
        <w:tc>
          <w:tcPr>
            <w:tcW w:w="4407" w:type="dxa"/>
            <w:shd w:val="clear" w:color="auto" w:fill="auto"/>
            <w:hideMark/>
          </w:tcPr>
          <w:p w14:paraId="7B867DF0" w14:textId="77777777" w:rsidR="003E4638" w:rsidRPr="00092ED7" w:rsidRDefault="003E4638" w:rsidP="003E4638">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Анализа стања постојећих ИТ капацитета и софтверских решења и потреба за њиховим унапређењем  и израда пројектне документације у институцијама ИК (Министарство привреде, ИСС, АТС и ДМДМ)</w:t>
            </w:r>
          </w:p>
        </w:tc>
        <w:tc>
          <w:tcPr>
            <w:tcW w:w="1701" w:type="dxa"/>
            <w:shd w:val="clear" w:color="auto" w:fill="auto"/>
            <w:hideMark/>
          </w:tcPr>
          <w:p w14:paraId="719A4F01"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потпуно спроведене</w:t>
            </w:r>
          </w:p>
        </w:tc>
        <w:tc>
          <w:tcPr>
            <w:tcW w:w="3118" w:type="dxa"/>
            <w:shd w:val="clear" w:color="auto" w:fill="auto"/>
            <w:hideMark/>
          </w:tcPr>
          <w:p w14:paraId="47D5CC14"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410" w:type="dxa"/>
            <w:shd w:val="clear" w:color="auto" w:fill="auto"/>
            <w:hideMark/>
          </w:tcPr>
          <w:p w14:paraId="7002F8B3"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3D0BD846"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3E4638" w:rsidRPr="00092ED7" w14:paraId="4FDC7B57" w14:textId="77777777" w:rsidTr="004F56D8">
        <w:trPr>
          <w:trHeight w:val="1068"/>
        </w:trPr>
        <w:tc>
          <w:tcPr>
            <w:tcW w:w="560" w:type="dxa"/>
            <w:shd w:val="clear" w:color="auto" w:fill="auto"/>
            <w:noWrap/>
            <w:hideMark/>
          </w:tcPr>
          <w:p w14:paraId="3D4EE69A" w14:textId="77777777" w:rsidR="003E4638" w:rsidRPr="00092ED7" w:rsidRDefault="003E4638" w:rsidP="003E4638">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3.</w:t>
            </w:r>
          </w:p>
        </w:tc>
        <w:tc>
          <w:tcPr>
            <w:tcW w:w="4407" w:type="dxa"/>
            <w:shd w:val="clear" w:color="auto" w:fill="auto"/>
            <w:hideMark/>
          </w:tcPr>
          <w:p w14:paraId="16F17C3D" w14:textId="2FF2032E" w:rsidR="003E4638" w:rsidRPr="00092ED7" w:rsidRDefault="003E4638" w:rsidP="003E4638">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Унапређење база података и дигиталног сервиса у Министарству привреде  у вези са техничким захтевима за производе и портала „TBT- Enquire point</w:t>
            </w:r>
            <w:r w:rsidR="00CE6CAD" w:rsidRPr="00092ED7">
              <w:rPr>
                <w:rFonts w:cs="Times New Roman"/>
                <w:sz w:val="18"/>
                <w:szCs w:val="18"/>
                <w:lang w:val="sr-Cyrl-CS"/>
              </w:rPr>
              <w:t>”</w:t>
            </w:r>
            <w:r w:rsidRPr="00092ED7">
              <w:rPr>
                <w:rFonts w:eastAsia="Times New Roman" w:cs="Times New Roman"/>
                <w:sz w:val="18"/>
                <w:szCs w:val="18"/>
                <w:lang w:val="sr-Cyrl-CS" w:eastAsia="sr-Latn-RS"/>
              </w:rPr>
              <w:t xml:space="preserve"> (Контактна тачка за производе) и унапређење </w:t>
            </w:r>
            <w:r w:rsidRPr="00092ED7">
              <w:rPr>
                <w:rFonts w:eastAsia="Times New Roman" w:cs="Times New Roman"/>
                <w:sz w:val="18"/>
                <w:szCs w:val="18"/>
                <w:lang w:val="sr-Cyrl-CS" w:eastAsia="sr-Latn-RS"/>
              </w:rPr>
              <w:lastRenderedPageBreak/>
              <w:t>база података и дигиталног сервиса у институцијама ИК (ИСС, АТС и ДМДМ)</w:t>
            </w:r>
          </w:p>
        </w:tc>
        <w:tc>
          <w:tcPr>
            <w:tcW w:w="1701" w:type="dxa"/>
            <w:shd w:val="clear" w:color="auto" w:fill="auto"/>
            <w:hideMark/>
          </w:tcPr>
          <w:p w14:paraId="4937DEEA"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lastRenderedPageBreak/>
              <w:t>напредак у спровођењу</w:t>
            </w:r>
          </w:p>
        </w:tc>
        <w:tc>
          <w:tcPr>
            <w:tcW w:w="3118" w:type="dxa"/>
            <w:shd w:val="clear" w:color="auto" w:fill="auto"/>
            <w:hideMark/>
          </w:tcPr>
          <w:p w14:paraId="7F6F9E08"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xml:space="preserve">У току је финално усаглашавање спецификације портала Производ-инфо са израђеним пројектном документацијом и проценом </w:t>
            </w:r>
            <w:r w:rsidRPr="00092ED7">
              <w:rPr>
                <w:rFonts w:eastAsia="Times New Roman" w:cs="Times New Roman"/>
                <w:color w:val="000000"/>
                <w:sz w:val="18"/>
                <w:szCs w:val="18"/>
                <w:lang w:val="sr-Cyrl-CS" w:eastAsia="sr-Latn-RS"/>
              </w:rPr>
              <w:lastRenderedPageBreak/>
              <w:t>финансијске вредности будућег пројекта.</w:t>
            </w:r>
          </w:p>
        </w:tc>
        <w:tc>
          <w:tcPr>
            <w:tcW w:w="2410" w:type="dxa"/>
            <w:shd w:val="clear" w:color="auto" w:fill="auto"/>
            <w:hideMark/>
          </w:tcPr>
          <w:p w14:paraId="780E8FBD"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lastRenderedPageBreak/>
              <w:t> </w:t>
            </w:r>
          </w:p>
        </w:tc>
        <w:tc>
          <w:tcPr>
            <w:tcW w:w="2693" w:type="dxa"/>
            <w:shd w:val="clear" w:color="auto" w:fill="auto"/>
            <w:hideMark/>
          </w:tcPr>
          <w:p w14:paraId="61AD4928"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3E4638" w:rsidRPr="00092ED7" w14:paraId="16D25871" w14:textId="77777777" w:rsidTr="004F56D8">
        <w:trPr>
          <w:trHeight w:val="360"/>
        </w:trPr>
        <w:tc>
          <w:tcPr>
            <w:tcW w:w="560" w:type="dxa"/>
            <w:shd w:val="clear" w:color="auto" w:fill="auto"/>
            <w:hideMark/>
          </w:tcPr>
          <w:p w14:paraId="5874A374" w14:textId="77777777" w:rsidR="003E4638" w:rsidRPr="00092ED7" w:rsidRDefault="003E4638" w:rsidP="003E4638">
            <w:pPr>
              <w:spacing w:after="0"/>
              <w:jc w:val="left"/>
              <w:rPr>
                <w:rFonts w:eastAsia="Times New Roman" w:cs="Times New Roman"/>
                <w:color w:val="000000"/>
                <w:sz w:val="18"/>
                <w:szCs w:val="18"/>
                <w:lang w:val="sr-Cyrl-CS" w:eastAsia="sr-Latn-RS"/>
              </w:rPr>
            </w:pPr>
          </w:p>
        </w:tc>
        <w:tc>
          <w:tcPr>
            <w:tcW w:w="4407" w:type="dxa"/>
            <w:shd w:val="clear" w:color="auto" w:fill="auto"/>
            <w:hideMark/>
          </w:tcPr>
          <w:p w14:paraId="0DAF73BB" w14:textId="77777777" w:rsidR="003E4638" w:rsidRPr="00092ED7" w:rsidRDefault="003E4638" w:rsidP="003E4638">
            <w:pPr>
              <w:spacing w:after="0"/>
              <w:jc w:val="left"/>
              <w:rPr>
                <w:rFonts w:eastAsia="Times New Roman" w:cs="Times New Roman"/>
                <w:sz w:val="18"/>
                <w:szCs w:val="18"/>
                <w:lang w:val="sr-Cyrl-CS" w:eastAsia="sr-Latn-RS"/>
              </w:rPr>
            </w:pPr>
          </w:p>
        </w:tc>
        <w:tc>
          <w:tcPr>
            <w:tcW w:w="1701" w:type="dxa"/>
            <w:shd w:val="clear" w:color="000000" w:fill="BDD7EE"/>
            <w:noWrap/>
            <w:vAlign w:val="bottom"/>
            <w:hideMark/>
          </w:tcPr>
          <w:p w14:paraId="1EF79791" w14:textId="77777777" w:rsidR="003E4638" w:rsidRPr="00092ED7" w:rsidRDefault="003E4638" w:rsidP="003E4638">
            <w:pPr>
              <w:spacing w:after="0"/>
              <w:jc w:val="center"/>
              <w:rPr>
                <w:rFonts w:eastAsia="Times New Roman" w:cs="Times New Roman"/>
                <w:sz w:val="28"/>
                <w:szCs w:val="28"/>
                <w:lang w:val="sr-Cyrl-CS" w:eastAsia="sr-Latn-RS"/>
              </w:rPr>
            </w:pPr>
            <w:r w:rsidRPr="00092ED7">
              <w:rPr>
                <w:rFonts w:eastAsia="Times New Roman" w:cs="Times New Roman"/>
                <w:sz w:val="28"/>
                <w:szCs w:val="28"/>
                <w:lang w:val="sr-Cyrl-CS" w:eastAsia="sr-Latn-RS"/>
              </w:rPr>
              <w:t>60%</w:t>
            </w:r>
          </w:p>
        </w:tc>
        <w:tc>
          <w:tcPr>
            <w:tcW w:w="3118" w:type="dxa"/>
            <w:shd w:val="clear" w:color="auto" w:fill="auto"/>
            <w:noWrap/>
            <w:hideMark/>
          </w:tcPr>
          <w:p w14:paraId="1B7E45DB" w14:textId="77777777" w:rsidR="003E4638" w:rsidRPr="00092ED7" w:rsidRDefault="003E4638" w:rsidP="003E4638">
            <w:pPr>
              <w:spacing w:after="0"/>
              <w:jc w:val="center"/>
              <w:rPr>
                <w:rFonts w:eastAsia="Times New Roman" w:cs="Times New Roman"/>
                <w:sz w:val="18"/>
                <w:szCs w:val="18"/>
                <w:lang w:val="sr-Cyrl-CS" w:eastAsia="sr-Latn-RS"/>
              </w:rPr>
            </w:pPr>
          </w:p>
        </w:tc>
        <w:tc>
          <w:tcPr>
            <w:tcW w:w="2410" w:type="dxa"/>
            <w:shd w:val="clear" w:color="auto" w:fill="auto"/>
            <w:noWrap/>
            <w:hideMark/>
          </w:tcPr>
          <w:p w14:paraId="564AB487" w14:textId="77777777" w:rsidR="003E4638" w:rsidRPr="00092ED7" w:rsidRDefault="003E4638" w:rsidP="003E4638">
            <w:pPr>
              <w:spacing w:after="0"/>
              <w:jc w:val="left"/>
              <w:rPr>
                <w:rFonts w:eastAsia="Times New Roman" w:cs="Times New Roman"/>
                <w:sz w:val="18"/>
                <w:szCs w:val="18"/>
                <w:lang w:val="sr-Cyrl-CS" w:eastAsia="sr-Latn-RS"/>
              </w:rPr>
            </w:pPr>
          </w:p>
        </w:tc>
        <w:tc>
          <w:tcPr>
            <w:tcW w:w="2693" w:type="dxa"/>
            <w:shd w:val="clear" w:color="auto" w:fill="auto"/>
            <w:noWrap/>
            <w:hideMark/>
          </w:tcPr>
          <w:p w14:paraId="0AFC944F" w14:textId="77777777" w:rsidR="003E4638" w:rsidRPr="00092ED7" w:rsidRDefault="003E4638" w:rsidP="003E4638">
            <w:pPr>
              <w:spacing w:after="0"/>
              <w:jc w:val="left"/>
              <w:rPr>
                <w:rFonts w:eastAsia="Times New Roman" w:cs="Times New Roman"/>
                <w:sz w:val="18"/>
                <w:szCs w:val="18"/>
                <w:lang w:val="sr-Cyrl-CS" w:eastAsia="sr-Latn-RS"/>
              </w:rPr>
            </w:pPr>
          </w:p>
        </w:tc>
      </w:tr>
      <w:tr w:rsidR="003E4638" w:rsidRPr="00092ED7" w14:paraId="6449D642" w14:textId="77777777" w:rsidTr="004F56D8">
        <w:trPr>
          <w:trHeight w:val="375"/>
        </w:trPr>
        <w:tc>
          <w:tcPr>
            <w:tcW w:w="560" w:type="dxa"/>
            <w:shd w:val="clear" w:color="auto" w:fill="D9D9D9" w:themeFill="background1" w:themeFillShade="D9"/>
            <w:noWrap/>
            <w:hideMark/>
          </w:tcPr>
          <w:p w14:paraId="1E97B44E"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14329" w:type="dxa"/>
            <w:gridSpan w:val="5"/>
            <w:shd w:val="clear" w:color="auto" w:fill="D9D9D9" w:themeFill="background1" w:themeFillShade="D9"/>
            <w:noWrap/>
            <w:vAlign w:val="center"/>
            <w:hideMark/>
          </w:tcPr>
          <w:p w14:paraId="3CECD23A" w14:textId="77777777" w:rsidR="003E4638" w:rsidRPr="00092ED7" w:rsidRDefault="003E4638" w:rsidP="003E4638">
            <w:pPr>
              <w:spacing w:after="0"/>
              <w:jc w:val="left"/>
              <w:rPr>
                <w:rFonts w:eastAsia="Times New Roman" w:cs="Times New Roman"/>
                <w:b/>
                <w:bCs/>
                <w:sz w:val="18"/>
                <w:szCs w:val="18"/>
                <w:lang w:val="sr-Cyrl-CS" w:eastAsia="sr-Latn-RS"/>
              </w:rPr>
            </w:pPr>
            <w:r w:rsidRPr="00092ED7">
              <w:rPr>
                <w:rFonts w:eastAsia="Times New Roman" w:cs="Times New Roman"/>
                <w:b/>
                <w:bCs/>
                <w:sz w:val="18"/>
                <w:szCs w:val="18"/>
                <w:lang w:val="sr-Cyrl-CS" w:eastAsia="sr-Latn-RS"/>
              </w:rPr>
              <w:t xml:space="preserve">СР 20. ДИГИТАЛИЗАЦИЈА СИСТЕМА ОБРАЗОВАЊА И УВОЂЕЊЕ ЈЕДИНСТВЕНОГ ИНФОРМАЦИОНОГ СИСТЕМА ПРОСВЕТЕ </w:t>
            </w:r>
          </w:p>
        </w:tc>
      </w:tr>
      <w:tr w:rsidR="003E4638" w:rsidRPr="00092ED7" w14:paraId="6FED8B80" w14:textId="77777777" w:rsidTr="004F56D8">
        <w:trPr>
          <w:trHeight w:val="288"/>
        </w:trPr>
        <w:tc>
          <w:tcPr>
            <w:tcW w:w="560" w:type="dxa"/>
            <w:shd w:val="clear" w:color="auto" w:fill="auto"/>
            <w:noWrap/>
            <w:hideMark/>
          </w:tcPr>
          <w:p w14:paraId="7FAD7DFC" w14:textId="77777777" w:rsidR="003E4638" w:rsidRPr="00092ED7" w:rsidRDefault="003E4638" w:rsidP="003E4638">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1.</w:t>
            </w:r>
          </w:p>
        </w:tc>
        <w:tc>
          <w:tcPr>
            <w:tcW w:w="4407" w:type="dxa"/>
            <w:shd w:val="clear" w:color="auto" w:fill="auto"/>
            <w:hideMark/>
          </w:tcPr>
          <w:p w14:paraId="3DC72ED9" w14:textId="77777777" w:rsidR="003E4638" w:rsidRPr="00092ED7" w:rsidRDefault="003E4638" w:rsidP="003E4638">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Опремање учионица и кабинета рачунарском опремом</w:t>
            </w:r>
          </w:p>
        </w:tc>
        <w:tc>
          <w:tcPr>
            <w:tcW w:w="1701" w:type="dxa"/>
            <w:shd w:val="clear" w:color="auto" w:fill="auto"/>
            <w:hideMark/>
          </w:tcPr>
          <w:p w14:paraId="1D5D0FE1" w14:textId="6E38EE55" w:rsidR="003E4638" w:rsidRPr="00092ED7" w:rsidRDefault="003E4638" w:rsidP="008F07C0">
            <w:pPr>
              <w:spacing w:after="0"/>
              <w:jc w:val="left"/>
              <w:rPr>
                <w:rFonts w:eastAsia="Times New Roman" w:cs="Times New Roman"/>
                <w:i/>
                <w:iCs/>
                <w:color w:val="A6A6A6"/>
                <w:sz w:val="18"/>
                <w:szCs w:val="18"/>
                <w:lang w:val="sr-Cyrl-CS" w:eastAsia="sr-Latn-RS"/>
              </w:rPr>
            </w:pPr>
            <w:r w:rsidRPr="00092ED7">
              <w:rPr>
                <w:rFonts w:eastAsia="Times New Roman" w:cs="Times New Roman"/>
                <w:i/>
                <w:iCs/>
                <w:color w:val="A6A6A6"/>
                <w:sz w:val="18"/>
                <w:szCs w:val="18"/>
                <w:lang w:val="sr-Cyrl-CS" w:eastAsia="sr-Latn-RS"/>
              </w:rPr>
              <w:t xml:space="preserve"> </w:t>
            </w:r>
          </w:p>
        </w:tc>
        <w:tc>
          <w:tcPr>
            <w:tcW w:w="3118" w:type="dxa"/>
            <w:shd w:val="clear" w:color="auto" w:fill="auto"/>
            <w:hideMark/>
          </w:tcPr>
          <w:p w14:paraId="1636E470"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r w:rsidR="00444996" w:rsidRPr="00092ED7">
              <w:rPr>
                <w:rFonts w:eastAsia="Times New Roman" w:cs="Times New Roman"/>
                <w:color w:val="000000"/>
                <w:sz w:val="18"/>
                <w:szCs w:val="18"/>
                <w:lang w:val="sr-Cyrl-CS" w:eastAsia="sr-Latn-RS"/>
              </w:rPr>
              <w:t>/</w:t>
            </w:r>
          </w:p>
        </w:tc>
        <w:tc>
          <w:tcPr>
            <w:tcW w:w="2410" w:type="dxa"/>
            <w:shd w:val="clear" w:color="auto" w:fill="auto"/>
            <w:hideMark/>
          </w:tcPr>
          <w:p w14:paraId="52E64AEB"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67D4F5FB"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3E4638" w:rsidRPr="00092ED7" w14:paraId="162D05B8" w14:textId="77777777" w:rsidTr="004F56D8">
        <w:trPr>
          <w:trHeight w:val="288"/>
        </w:trPr>
        <w:tc>
          <w:tcPr>
            <w:tcW w:w="560" w:type="dxa"/>
            <w:shd w:val="clear" w:color="auto" w:fill="auto"/>
            <w:noWrap/>
            <w:hideMark/>
          </w:tcPr>
          <w:p w14:paraId="070DAE3B" w14:textId="77777777" w:rsidR="003E4638" w:rsidRPr="00092ED7" w:rsidRDefault="003E4638" w:rsidP="003E4638">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2.</w:t>
            </w:r>
          </w:p>
        </w:tc>
        <w:tc>
          <w:tcPr>
            <w:tcW w:w="4407" w:type="dxa"/>
            <w:shd w:val="clear" w:color="auto" w:fill="auto"/>
            <w:hideMark/>
          </w:tcPr>
          <w:p w14:paraId="32E1C34F" w14:textId="77777777" w:rsidR="003E4638" w:rsidRPr="00092ED7" w:rsidRDefault="003E4638" w:rsidP="003E4638">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Анализа ефеката употребе Јединственог информационог система просвете</w:t>
            </w:r>
          </w:p>
        </w:tc>
        <w:tc>
          <w:tcPr>
            <w:tcW w:w="1701" w:type="dxa"/>
            <w:shd w:val="clear" w:color="auto" w:fill="auto"/>
            <w:hideMark/>
          </w:tcPr>
          <w:p w14:paraId="1A0E782E" w14:textId="191C1AF5" w:rsidR="003E4638" w:rsidRPr="00092ED7" w:rsidRDefault="003E4638" w:rsidP="008F07C0">
            <w:pPr>
              <w:spacing w:after="0"/>
              <w:jc w:val="left"/>
              <w:rPr>
                <w:rFonts w:eastAsia="Times New Roman" w:cs="Times New Roman"/>
                <w:i/>
                <w:iCs/>
                <w:color w:val="A6A6A6"/>
                <w:sz w:val="18"/>
                <w:szCs w:val="18"/>
                <w:lang w:val="sr-Cyrl-CS" w:eastAsia="sr-Latn-RS"/>
              </w:rPr>
            </w:pPr>
            <w:r w:rsidRPr="00092ED7">
              <w:rPr>
                <w:rFonts w:eastAsia="Times New Roman" w:cs="Times New Roman"/>
                <w:i/>
                <w:iCs/>
                <w:color w:val="A6A6A6"/>
                <w:sz w:val="18"/>
                <w:szCs w:val="18"/>
                <w:lang w:val="sr-Cyrl-CS" w:eastAsia="sr-Latn-RS"/>
              </w:rPr>
              <w:t xml:space="preserve"> </w:t>
            </w:r>
          </w:p>
        </w:tc>
        <w:tc>
          <w:tcPr>
            <w:tcW w:w="3118" w:type="dxa"/>
            <w:shd w:val="clear" w:color="auto" w:fill="auto"/>
            <w:hideMark/>
          </w:tcPr>
          <w:p w14:paraId="38254551"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r w:rsidR="00444996" w:rsidRPr="00092ED7">
              <w:rPr>
                <w:rFonts w:eastAsia="Times New Roman" w:cs="Times New Roman"/>
                <w:color w:val="000000"/>
                <w:sz w:val="18"/>
                <w:szCs w:val="18"/>
                <w:lang w:val="sr-Cyrl-CS" w:eastAsia="sr-Latn-RS"/>
              </w:rPr>
              <w:t>/</w:t>
            </w:r>
          </w:p>
        </w:tc>
        <w:tc>
          <w:tcPr>
            <w:tcW w:w="2410" w:type="dxa"/>
            <w:shd w:val="clear" w:color="auto" w:fill="auto"/>
            <w:hideMark/>
          </w:tcPr>
          <w:p w14:paraId="08E10EA5"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3CFB77BB"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3E4638" w:rsidRPr="00092ED7" w14:paraId="4BB1AA41" w14:textId="77777777" w:rsidTr="004F56D8">
        <w:trPr>
          <w:trHeight w:val="288"/>
        </w:trPr>
        <w:tc>
          <w:tcPr>
            <w:tcW w:w="560" w:type="dxa"/>
            <w:shd w:val="clear" w:color="auto" w:fill="auto"/>
            <w:noWrap/>
            <w:hideMark/>
          </w:tcPr>
          <w:p w14:paraId="584133F1" w14:textId="77777777" w:rsidR="003E4638" w:rsidRPr="00092ED7" w:rsidRDefault="003E4638" w:rsidP="003E4638">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3.</w:t>
            </w:r>
          </w:p>
        </w:tc>
        <w:tc>
          <w:tcPr>
            <w:tcW w:w="4407" w:type="dxa"/>
            <w:shd w:val="clear" w:color="auto" w:fill="auto"/>
            <w:hideMark/>
          </w:tcPr>
          <w:p w14:paraId="5872850F" w14:textId="77777777" w:rsidR="003E4638" w:rsidRPr="00092ED7" w:rsidRDefault="003E4638" w:rsidP="003E4638">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Унапређивање система осигурања квалитета примене дигиталних уџбеника</w:t>
            </w:r>
          </w:p>
        </w:tc>
        <w:tc>
          <w:tcPr>
            <w:tcW w:w="1701" w:type="dxa"/>
            <w:shd w:val="clear" w:color="auto" w:fill="auto"/>
            <w:hideMark/>
          </w:tcPr>
          <w:p w14:paraId="3C67687E" w14:textId="6642E804" w:rsidR="003E4638" w:rsidRPr="00092ED7" w:rsidRDefault="003E4638" w:rsidP="008F07C0">
            <w:pPr>
              <w:spacing w:after="0"/>
              <w:jc w:val="left"/>
              <w:rPr>
                <w:rFonts w:eastAsia="Times New Roman" w:cs="Times New Roman"/>
                <w:i/>
                <w:iCs/>
                <w:color w:val="A6A6A6"/>
                <w:sz w:val="18"/>
                <w:szCs w:val="18"/>
                <w:lang w:val="sr-Cyrl-CS" w:eastAsia="sr-Latn-RS"/>
              </w:rPr>
            </w:pPr>
            <w:r w:rsidRPr="00092ED7">
              <w:rPr>
                <w:rFonts w:eastAsia="Times New Roman" w:cs="Times New Roman"/>
                <w:i/>
                <w:iCs/>
                <w:color w:val="A6A6A6"/>
                <w:sz w:val="18"/>
                <w:szCs w:val="18"/>
                <w:lang w:val="sr-Cyrl-CS" w:eastAsia="sr-Latn-RS"/>
              </w:rPr>
              <w:t xml:space="preserve"> </w:t>
            </w:r>
          </w:p>
        </w:tc>
        <w:tc>
          <w:tcPr>
            <w:tcW w:w="3118" w:type="dxa"/>
            <w:shd w:val="clear" w:color="auto" w:fill="auto"/>
            <w:hideMark/>
          </w:tcPr>
          <w:p w14:paraId="66206DA8"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r w:rsidR="00444996" w:rsidRPr="00092ED7">
              <w:rPr>
                <w:rFonts w:eastAsia="Times New Roman" w:cs="Times New Roman"/>
                <w:color w:val="000000"/>
                <w:sz w:val="18"/>
                <w:szCs w:val="18"/>
                <w:lang w:val="sr-Cyrl-CS" w:eastAsia="sr-Latn-RS"/>
              </w:rPr>
              <w:t>/</w:t>
            </w:r>
          </w:p>
        </w:tc>
        <w:tc>
          <w:tcPr>
            <w:tcW w:w="2410" w:type="dxa"/>
            <w:shd w:val="clear" w:color="auto" w:fill="auto"/>
            <w:hideMark/>
          </w:tcPr>
          <w:p w14:paraId="051BB59A"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13129A2F"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3E4638" w:rsidRPr="00092ED7" w14:paraId="25FB45CD" w14:textId="77777777" w:rsidTr="004F56D8">
        <w:trPr>
          <w:trHeight w:val="288"/>
        </w:trPr>
        <w:tc>
          <w:tcPr>
            <w:tcW w:w="560" w:type="dxa"/>
            <w:shd w:val="clear" w:color="auto" w:fill="auto"/>
            <w:noWrap/>
            <w:hideMark/>
          </w:tcPr>
          <w:p w14:paraId="79DD6DC1" w14:textId="77777777" w:rsidR="003E4638" w:rsidRPr="00092ED7" w:rsidRDefault="003E4638" w:rsidP="003E4638">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4.</w:t>
            </w:r>
          </w:p>
        </w:tc>
        <w:tc>
          <w:tcPr>
            <w:tcW w:w="4407" w:type="dxa"/>
            <w:shd w:val="clear" w:color="auto" w:fill="auto"/>
            <w:hideMark/>
          </w:tcPr>
          <w:p w14:paraId="3EC885C4" w14:textId="77777777" w:rsidR="003E4638" w:rsidRPr="00092ED7" w:rsidRDefault="003E4638" w:rsidP="003E4638">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Развој агрегатора репозиторијума отворених образовних ресурса</w:t>
            </w:r>
          </w:p>
        </w:tc>
        <w:tc>
          <w:tcPr>
            <w:tcW w:w="1701" w:type="dxa"/>
            <w:shd w:val="clear" w:color="auto" w:fill="auto"/>
            <w:hideMark/>
          </w:tcPr>
          <w:p w14:paraId="2DC08566" w14:textId="2FCBD871" w:rsidR="003E4638" w:rsidRPr="00092ED7" w:rsidRDefault="003E4638" w:rsidP="008F07C0">
            <w:pPr>
              <w:spacing w:after="0"/>
              <w:jc w:val="left"/>
              <w:rPr>
                <w:rFonts w:eastAsia="Times New Roman" w:cs="Times New Roman"/>
                <w:i/>
                <w:iCs/>
                <w:color w:val="A6A6A6"/>
                <w:sz w:val="18"/>
                <w:szCs w:val="18"/>
                <w:lang w:val="sr-Cyrl-CS" w:eastAsia="sr-Latn-RS"/>
              </w:rPr>
            </w:pPr>
            <w:r w:rsidRPr="00092ED7">
              <w:rPr>
                <w:rFonts w:eastAsia="Times New Roman" w:cs="Times New Roman"/>
                <w:i/>
                <w:iCs/>
                <w:color w:val="A6A6A6"/>
                <w:sz w:val="18"/>
                <w:szCs w:val="18"/>
                <w:lang w:val="sr-Cyrl-CS" w:eastAsia="sr-Latn-RS"/>
              </w:rPr>
              <w:t xml:space="preserve"> </w:t>
            </w:r>
          </w:p>
        </w:tc>
        <w:tc>
          <w:tcPr>
            <w:tcW w:w="3118" w:type="dxa"/>
            <w:shd w:val="clear" w:color="auto" w:fill="auto"/>
            <w:hideMark/>
          </w:tcPr>
          <w:p w14:paraId="4DCA61B0"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r w:rsidR="00444996" w:rsidRPr="00092ED7">
              <w:rPr>
                <w:rFonts w:eastAsia="Times New Roman" w:cs="Times New Roman"/>
                <w:color w:val="000000"/>
                <w:sz w:val="18"/>
                <w:szCs w:val="18"/>
                <w:lang w:val="sr-Cyrl-CS" w:eastAsia="sr-Latn-RS"/>
              </w:rPr>
              <w:t>/</w:t>
            </w:r>
          </w:p>
        </w:tc>
        <w:tc>
          <w:tcPr>
            <w:tcW w:w="2410" w:type="dxa"/>
            <w:shd w:val="clear" w:color="auto" w:fill="auto"/>
            <w:hideMark/>
          </w:tcPr>
          <w:p w14:paraId="6812694A"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255E193F"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3E4638" w:rsidRPr="00092ED7" w14:paraId="3DE9B645" w14:textId="77777777" w:rsidTr="004F56D8">
        <w:trPr>
          <w:trHeight w:val="540"/>
        </w:trPr>
        <w:tc>
          <w:tcPr>
            <w:tcW w:w="560" w:type="dxa"/>
            <w:shd w:val="clear" w:color="auto" w:fill="auto"/>
            <w:noWrap/>
            <w:hideMark/>
          </w:tcPr>
          <w:p w14:paraId="33B1A0FD" w14:textId="77777777" w:rsidR="003E4638" w:rsidRPr="00092ED7" w:rsidRDefault="003E4638" w:rsidP="003E4638">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5.</w:t>
            </w:r>
          </w:p>
        </w:tc>
        <w:tc>
          <w:tcPr>
            <w:tcW w:w="4407" w:type="dxa"/>
            <w:shd w:val="clear" w:color="auto" w:fill="auto"/>
            <w:hideMark/>
          </w:tcPr>
          <w:p w14:paraId="4079E9BE" w14:textId="77777777" w:rsidR="003E4638" w:rsidRPr="00092ED7" w:rsidRDefault="003E4638" w:rsidP="003E4638">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Повећање обима студијских програма и профила из рачунарства и програмирања у области високог и средњег образовања у складу са потребама тржишта</w:t>
            </w:r>
          </w:p>
        </w:tc>
        <w:tc>
          <w:tcPr>
            <w:tcW w:w="1701" w:type="dxa"/>
            <w:shd w:val="clear" w:color="auto" w:fill="auto"/>
            <w:hideMark/>
          </w:tcPr>
          <w:p w14:paraId="20090414" w14:textId="3A3B2B9C" w:rsidR="003E4638" w:rsidRPr="00092ED7" w:rsidRDefault="003E4638" w:rsidP="008F07C0">
            <w:pPr>
              <w:spacing w:after="0"/>
              <w:jc w:val="left"/>
              <w:rPr>
                <w:rFonts w:eastAsia="Times New Roman" w:cs="Times New Roman"/>
                <w:i/>
                <w:iCs/>
                <w:color w:val="A6A6A6"/>
                <w:sz w:val="18"/>
                <w:szCs w:val="18"/>
                <w:lang w:val="sr-Cyrl-CS" w:eastAsia="sr-Latn-RS"/>
              </w:rPr>
            </w:pPr>
            <w:r w:rsidRPr="00092ED7">
              <w:rPr>
                <w:rFonts w:eastAsia="Times New Roman" w:cs="Times New Roman"/>
                <w:i/>
                <w:iCs/>
                <w:color w:val="A6A6A6"/>
                <w:sz w:val="18"/>
                <w:szCs w:val="18"/>
                <w:lang w:val="sr-Cyrl-CS" w:eastAsia="sr-Latn-RS"/>
              </w:rPr>
              <w:t xml:space="preserve"> </w:t>
            </w:r>
          </w:p>
        </w:tc>
        <w:tc>
          <w:tcPr>
            <w:tcW w:w="3118" w:type="dxa"/>
            <w:shd w:val="clear" w:color="auto" w:fill="auto"/>
            <w:hideMark/>
          </w:tcPr>
          <w:p w14:paraId="14EE35E1"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r w:rsidR="00444996" w:rsidRPr="00092ED7">
              <w:rPr>
                <w:rFonts w:eastAsia="Times New Roman" w:cs="Times New Roman"/>
                <w:color w:val="000000"/>
                <w:sz w:val="18"/>
                <w:szCs w:val="18"/>
                <w:lang w:val="sr-Cyrl-CS" w:eastAsia="sr-Latn-RS"/>
              </w:rPr>
              <w:t>/</w:t>
            </w:r>
          </w:p>
        </w:tc>
        <w:tc>
          <w:tcPr>
            <w:tcW w:w="2410" w:type="dxa"/>
            <w:shd w:val="clear" w:color="auto" w:fill="auto"/>
            <w:hideMark/>
          </w:tcPr>
          <w:p w14:paraId="1195BE93"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38BCCBF8"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3E4638" w:rsidRPr="00092ED7" w14:paraId="426BC402" w14:textId="77777777" w:rsidTr="004F56D8">
        <w:trPr>
          <w:trHeight w:val="360"/>
        </w:trPr>
        <w:tc>
          <w:tcPr>
            <w:tcW w:w="560" w:type="dxa"/>
            <w:shd w:val="clear" w:color="auto" w:fill="auto"/>
            <w:hideMark/>
          </w:tcPr>
          <w:p w14:paraId="4A02525A" w14:textId="77777777" w:rsidR="003E4638" w:rsidRPr="00092ED7" w:rsidRDefault="003E4638" w:rsidP="003E4638">
            <w:pPr>
              <w:spacing w:after="0"/>
              <w:jc w:val="left"/>
              <w:rPr>
                <w:rFonts w:eastAsia="Times New Roman" w:cs="Times New Roman"/>
                <w:color w:val="000000"/>
                <w:sz w:val="18"/>
                <w:szCs w:val="18"/>
                <w:lang w:val="sr-Cyrl-CS" w:eastAsia="sr-Latn-RS"/>
              </w:rPr>
            </w:pPr>
          </w:p>
        </w:tc>
        <w:tc>
          <w:tcPr>
            <w:tcW w:w="4407" w:type="dxa"/>
            <w:shd w:val="clear" w:color="auto" w:fill="auto"/>
            <w:hideMark/>
          </w:tcPr>
          <w:p w14:paraId="561E2601" w14:textId="77777777" w:rsidR="003E4638" w:rsidRPr="00092ED7" w:rsidRDefault="003E4638" w:rsidP="003E4638">
            <w:pPr>
              <w:spacing w:after="0"/>
              <w:jc w:val="left"/>
              <w:rPr>
                <w:rFonts w:eastAsia="Times New Roman" w:cs="Times New Roman"/>
                <w:sz w:val="18"/>
                <w:szCs w:val="18"/>
                <w:lang w:val="sr-Cyrl-CS" w:eastAsia="sr-Latn-RS"/>
              </w:rPr>
            </w:pPr>
          </w:p>
        </w:tc>
        <w:tc>
          <w:tcPr>
            <w:tcW w:w="1701" w:type="dxa"/>
            <w:shd w:val="clear" w:color="000000" w:fill="BDD7EE"/>
            <w:noWrap/>
            <w:vAlign w:val="bottom"/>
            <w:hideMark/>
          </w:tcPr>
          <w:p w14:paraId="5DA4D000" w14:textId="77777777" w:rsidR="003E4638" w:rsidRPr="00092ED7" w:rsidRDefault="003E4638" w:rsidP="003E4638">
            <w:pPr>
              <w:spacing w:after="0"/>
              <w:jc w:val="center"/>
              <w:rPr>
                <w:rFonts w:eastAsia="Times New Roman" w:cs="Times New Roman"/>
                <w:sz w:val="28"/>
                <w:szCs w:val="28"/>
                <w:lang w:val="sr-Cyrl-CS" w:eastAsia="sr-Latn-RS"/>
              </w:rPr>
            </w:pPr>
            <w:r w:rsidRPr="00092ED7">
              <w:rPr>
                <w:rFonts w:eastAsia="Times New Roman" w:cs="Times New Roman"/>
                <w:sz w:val="28"/>
                <w:szCs w:val="28"/>
                <w:lang w:val="sr-Cyrl-CS" w:eastAsia="sr-Latn-RS"/>
              </w:rPr>
              <w:t>0%</w:t>
            </w:r>
          </w:p>
        </w:tc>
        <w:tc>
          <w:tcPr>
            <w:tcW w:w="3118" w:type="dxa"/>
            <w:shd w:val="clear" w:color="auto" w:fill="auto"/>
            <w:noWrap/>
            <w:hideMark/>
          </w:tcPr>
          <w:p w14:paraId="16CC6F76" w14:textId="77777777" w:rsidR="003E4638" w:rsidRPr="00092ED7" w:rsidRDefault="003E4638" w:rsidP="003E4638">
            <w:pPr>
              <w:spacing w:after="0"/>
              <w:jc w:val="center"/>
              <w:rPr>
                <w:rFonts w:eastAsia="Times New Roman" w:cs="Times New Roman"/>
                <w:sz w:val="18"/>
                <w:szCs w:val="18"/>
                <w:lang w:val="sr-Cyrl-CS" w:eastAsia="sr-Latn-RS"/>
              </w:rPr>
            </w:pPr>
          </w:p>
        </w:tc>
        <w:tc>
          <w:tcPr>
            <w:tcW w:w="2410" w:type="dxa"/>
            <w:shd w:val="clear" w:color="auto" w:fill="auto"/>
            <w:noWrap/>
            <w:hideMark/>
          </w:tcPr>
          <w:p w14:paraId="3BDCC514" w14:textId="77777777" w:rsidR="003E4638" w:rsidRPr="00092ED7" w:rsidRDefault="003E4638" w:rsidP="003E4638">
            <w:pPr>
              <w:spacing w:after="0"/>
              <w:jc w:val="left"/>
              <w:rPr>
                <w:rFonts w:eastAsia="Times New Roman" w:cs="Times New Roman"/>
                <w:sz w:val="18"/>
                <w:szCs w:val="18"/>
                <w:lang w:val="sr-Cyrl-CS" w:eastAsia="sr-Latn-RS"/>
              </w:rPr>
            </w:pPr>
          </w:p>
        </w:tc>
        <w:tc>
          <w:tcPr>
            <w:tcW w:w="2693" w:type="dxa"/>
            <w:shd w:val="clear" w:color="auto" w:fill="auto"/>
            <w:noWrap/>
            <w:hideMark/>
          </w:tcPr>
          <w:p w14:paraId="1F81677C" w14:textId="77777777" w:rsidR="003E4638" w:rsidRPr="00092ED7" w:rsidRDefault="003E4638" w:rsidP="003E4638">
            <w:pPr>
              <w:spacing w:after="0"/>
              <w:jc w:val="left"/>
              <w:rPr>
                <w:rFonts w:eastAsia="Times New Roman" w:cs="Times New Roman"/>
                <w:sz w:val="18"/>
                <w:szCs w:val="18"/>
                <w:lang w:val="sr-Cyrl-CS" w:eastAsia="sr-Latn-RS"/>
              </w:rPr>
            </w:pPr>
          </w:p>
        </w:tc>
      </w:tr>
      <w:tr w:rsidR="003E4638" w:rsidRPr="00092ED7" w14:paraId="5B8F59D3" w14:textId="77777777" w:rsidTr="004F56D8">
        <w:trPr>
          <w:trHeight w:val="375"/>
        </w:trPr>
        <w:tc>
          <w:tcPr>
            <w:tcW w:w="560" w:type="dxa"/>
            <w:shd w:val="clear" w:color="auto" w:fill="D9D9D9" w:themeFill="background1" w:themeFillShade="D9"/>
            <w:noWrap/>
            <w:hideMark/>
          </w:tcPr>
          <w:p w14:paraId="3B4B50E7"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14329" w:type="dxa"/>
            <w:gridSpan w:val="5"/>
            <w:shd w:val="clear" w:color="auto" w:fill="D9D9D9" w:themeFill="background1" w:themeFillShade="D9"/>
            <w:noWrap/>
            <w:vAlign w:val="center"/>
            <w:hideMark/>
          </w:tcPr>
          <w:p w14:paraId="536B6F08" w14:textId="77777777" w:rsidR="003E4638" w:rsidRPr="00092ED7" w:rsidRDefault="003E4638" w:rsidP="003E4638">
            <w:pPr>
              <w:spacing w:after="0"/>
              <w:jc w:val="left"/>
              <w:rPr>
                <w:rFonts w:eastAsia="Times New Roman" w:cs="Times New Roman"/>
                <w:b/>
                <w:bCs/>
                <w:sz w:val="18"/>
                <w:szCs w:val="18"/>
                <w:lang w:val="sr-Cyrl-CS" w:eastAsia="sr-Latn-RS"/>
              </w:rPr>
            </w:pPr>
            <w:r w:rsidRPr="00092ED7">
              <w:rPr>
                <w:rFonts w:eastAsia="Times New Roman" w:cs="Times New Roman"/>
                <w:b/>
                <w:bCs/>
                <w:sz w:val="18"/>
                <w:szCs w:val="18"/>
                <w:lang w:val="sr-Cyrl-CS" w:eastAsia="sr-Latn-RS"/>
              </w:rPr>
              <w:t>СР 21. УНАПРЕЂЕЊЕ ЕФИКАСНОСТИ ЗДРАВСТВЕНОГ СИСТЕМА КРОЗ ДИГИТАЛИЗАЦИЈУ ПРОЦЕСА</w:t>
            </w:r>
          </w:p>
        </w:tc>
      </w:tr>
      <w:tr w:rsidR="003E4638" w:rsidRPr="00092ED7" w14:paraId="67E89C26" w14:textId="77777777" w:rsidTr="004F56D8">
        <w:trPr>
          <w:trHeight w:val="870"/>
        </w:trPr>
        <w:tc>
          <w:tcPr>
            <w:tcW w:w="560" w:type="dxa"/>
            <w:shd w:val="clear" w:color="auto" w:fill="auto"/>
            <w:noWrap/>
            <w:hideMark/>
          </w:tcPr>
          <w:p w14:paraId="2575DE47" w14:textId="77777777" w:rsidR="003E4638" w:rsidRPr="00092ED7" w:rsidRDefault="003E4638" w:rsidP="003E4638">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1.</w:t>
            </w:r>
          </w:p>
        </w:tc>
        <w:tc>
          <w:tcPr>
            <w:tcW w:w="4407" w:type="dxa"/>
            <w:shd w:val="clear" w:color="auto" w:fill="auto"/>
            <w:hideMark/>
          </w:tcPr>
          <w:p w14:paraId="35DD0F7A" w14:textId="77777777" w:rsidR="003E4638" w:rsidRPr="00092ED7" w:rsidRDefault="003E4638" w:rsidP="003E4638">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Повезивање здравствених установа у централни систем електронског здравственог картона - институти</w:t>
            </w:r>
          </w:p>
        </w:tc>
        <w:tc>
          <w:tcPr>
            <w:tcW w:w="1701" w:type="dxa"/>
            <w:shd w:val="clear" w:color="auto" w:fill="auto"/>
            <w:hideMark/>
          </w:tcPr>
          <w:p w14:paraId="7CA7924F"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напредак у спровођењу</w:t>
            </w:r>
          </w:p>
        </w:tc>
        <w:tc>
          <w:tcPr>
            <w:tcW w:w="3118" w:type="dxa"/>
            <w:shd w:val="clear" w:color="auto" w:fill="auto"/>
            <w:hideMark/>
          </w:tcPr>
          <w:p w14:paraId="43A4DC7B"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xml:space="preserve">Вендор </w:t>
            </w:r>
            <w:r w:rsidR="00444996" w:rsidRPr="00092ED7">
              <w:rPr>
                <w:rFonts w:eastAsia="Times New Roman" w:cs="Times New Roman"/>
                <w:color w:val="000000"/>
                <w:sz w:val="18"/>
                <w:szCs w:val="18"/>
                <w:lang w:val="sr-Cyrl-CS" w:eastAsia="sr-Latn-RS"/>
              </w:rPr>
              <w:t>„</w:t>
            </w:r>
            <w:r w:rsidRPr="00092ED7">
              <w:rPr>
                <w:rFonts w:eastAsia="Times New Roman" w:cs="Times New Roman"/>
                <w:color w:val="000000"/>
                <w:sz w:val="18"/>
                <w:szCs w:val="18"/>
                <w:lang w:val="sr-Cyrl-CS" w:eastAsia="sr-Latn-RS"/>
              </w:rPr>
              <w:t>Проком софт</w:t>
            </w:r>
            <w:r w:rsidR="00444996" w:rsidRPr="00092ED7">
              <w:rPr>
                <w:rFonts w:eastAsia="Times New Roman" w:cs="Times New Roman"/>
                <w:color w:val="000000"/>
                <w:sz w:val="18"/>
                <w:szCs w:val="18"/>
                <w:lang w:val="sr-Cyrl-CS" w:eastAsia="sr-Latn-RS"/>
              </w:rPr>
              <w:t>“</w:t>
            </w:r>
            <w:r w:rsidRPr="00092ED7">
              <w:rPr>
                <w:rFonts w:eastAsia="Times New Roman" w:cs="Times New Roman"/>
                <w:color w:val="000000"/>
                <w:sz w:val="18"/>
                <w:szCs w:val="18"/>
                <w:lang w:val="sr-Cyrl-CS" w:eastAsia="sr-Latn-RS"/>
              </w:rPr>
              <w:t xml:space="preserve"> је у фази интеграције са централним сервисом и очекује се у току новембра финализација и пуштање у продукцију.</w:t>
            </w:r>
          </w:p>
        </w:tc>
        <w:tc>
          <w:tcPr>
            <w:tcW w:w="2410" w:type="dxa"/>
            <w:shd w:val="clear" w:color="auto" w:fill="auto"/>
            <w:hideMark/>
          </w:tcPr>
          <w:p w14:paraId="26AB3739"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117245B3"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3E4638" w:rsidRPr="00092ED7" w14:paraId="3E114B39" w14:textId="77777777" w:rsidTr="004F56D8">
        <w:trPr>
          <w:trHeight w:val="841"/>
        </w:trPr>
        <w:tc>
          <w:tcPr>
            <w:tcW w:w="560" w:type="dxa"/>
            <w:shd w:val="clear" w:color="auto" w:fill="auto"/>
            <w:noWrap/>
            <w:hideMark/>
          </w:tcPr>
          <w:p w14:paraId="61BB3984" w14:textId="77777777" w:rsidR="003E4638" w:rsidRPr="00092ED7" w:rsidRDefault="003E4638" w:rsidP="003E4638">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2.</w:t>
            </w:r>
          </w:p>
        </w:tc>
        <w:tc>
          <w:tcPr>
            <w:tcW w:w="4407" w:type="dxa"/>
            <w:shd w:val="clear" w:color="auto" w:fill="auto"/>
            <w:hideMark/>
          </w:tcPr>
          <w:p w14:paraId="669A6361" w14:textId="77777777" w:rsidR="003E4638" w:rsidRPr="00092ED7" w:rsidRDefault="003E4638" w:rsidP="003E4638">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Успостављање централног лабораторијског система - еЛабораторија</w:t>
            </w:r>
          </w:p>
        </w:tc>
        <w:tc>
          <w:tcPr>
            <w:tcW w:w="1701" w:type="dxa"/>
            <w:shd w:val="clear" w:color="auto" w:fill="auto"/>
            <w:hideMark/>
          </w:tcPr>
          <w:p w14:paraId="4BE365B1"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наставак спровођења са почетним резултатима</w:t>
            </w:r>
          </w:p>
        </w:tc>
        <w:tc>
          <w:tcPr>
            <w:tcW w:w="3118" w:type="dxa"/>
            <w:shd w:val="clear" w:color="auto" w:fill="auto"/>
            <w:hideMark/>
          </w:tcPr>
          <w:p w14:paraId="6DC10EE4"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Расписана јавна набавка, одабран извођач, потписан уговор и одржан почетни састанак око свих активности везаних за пројекат.</w:t>
            </w:r>
          </w:p>
        </w:tc>
        <w:tc>
          <w:tcPr>
            <w:tcW w:w="2410" w:type="dxa"/>
            <w:shd w:val="clear" w:color="auto" w:fill="auto"/>
            <w:hideMark/>
          </w:tcPr>
          <w:p w14:paraId="226527A2"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1DAE2D6C"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3E4638" w:rsidRPr="00092ED7" w14:paraId="5203C412" w14:textId="77777777" w:rsidTr="004F56D8">
        <w:trPr>
          <w:trHeight w:val="528"/>
        </w:trPr>
        <w:tc>
          <w:tcPr>
            <w:tcW w:w="560" w:type="dxa"/>
            <w:shd w:val="clear" w:color="auto" w:fill="auto"/>
            <w:noWrap/>
            <w:hideMark/>
          </w:tcPr>
          <w:p w14:paraId="387F8C05" w14:textId="77777777" w:rsidR="003E4638" w:rsidRPr="00092ED7" w:rsidRDefault="003E4638" w:rsidP="003E4638">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3.</w:t>
            </w:r>
          </w:p>
        </w:tc>
        <w:tc>
          <w:tcPr>
            <w:tcW w:w="4407" w:type="dxa"/>
            <w:shd w:val="clear" w:color="auto" w:fill="auto"/>
            <w:hideMark/>
          </w:tcPr>
          <w:p w14:paraId="102B6C25" w14:textId="77777777" w:rsidR="003E4638" w:rsidRPr="00092ED7" w:rsidRDefault="003E4638" w:rsidP="003E4638">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Имплементација система за проверу интеракције лекова и система подршке за доношење клиничких одлука</w:t>
            </w:r>
          </w:p>
        </w:tc>
        <w:tc>
          <w:tcPr>
            <w:tcW w:w="1701" w:type="dxa"/>
            <w:shd w:val="clear" w:color="auto" w:fill="auto"/>
            <w:hideMark/>
          </w:tcPr>
          <w:p w14:paraId="6CE07020"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у припреми</w:t>
            </w:r>
          </w:p>
        </w:tc>
        <w:tc>
          <w:tcPr>
            <w:tcW w:w="3118" w:type="dxa"/>
            <w:shd w:val="clear" w:color="auto" w:fill="auto"/>
            <w:hideMark/>
          </w:tcPr>
          <w:p w14:paraId="793A6DAA" w14:textId="0B04E13B" w:rsidR="003E4638" w:rsidRPr="00092ED7" w:rsidRDefault="003E4638" w:rsidP="00444996">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Пројекат је планиран кроз финансирање ИПА 2022.</w:t>
            </w:r>
          </w:p>
        </w:tc>
        <w:tc>
          <w:tcPr>
            <w:tcW w:w="2410" w:type="dxa"/>
            <w:shd w:val="clear" w:color="auto" w:fill="auto"/>
            <w:hideMark/>
          </w:tcPr>
          <w:p w14:paraId="518DFE47"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4F60DCCF"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3E4638" w:rsidRPr="00092ED7" w14:paraId="1A361961" w14:textId="77777777" w:rsidTr="004F56D8">
        <w:trPr>
          <w:trHeight w:val="467"/>
        </w:trPr>
        <w:tc>
          <w:tcPr>
            <w:tcW w:w="560" w:type="dxa"/>
            <w:shd w:val="clear" w:color="auto" w:fill="auto"/>
            <w:noWrap/>
            <w:hideMark/>
          </w:tcPr>
          <w:p w14:paraId="7585BC54" w14:textId="77777777" w:rsidR="003E4638" w:rsidRPr="00092ED7" w:rsidRDefault="003E4638" w:rsidP="003E4638">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4.</w:t>
            </w:r>
          </w:p>
        </w:tc>
        <w:tc>
          <w:tcPr>
            <w:tcW w:w="4407" w:type="dxa"/>
            <w:shd w:val="clear" w:color="auto" w:fill="auto"/>
            <w:hideMark/>
          </w:tcPr>
          <w:p w14:paraId="2696E1E5" w14:textId="77777777" w:rsidR="003E4638" w:rsidRPr="00092ED7" w:rsidRDefault="003E4638" w:rsidP="003E4638">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Проширење еРецепта за специјалисте</w:t>
            </w:r>
          </w:p>
        </w:tc>
        <w:tc>
          <w:tcPr>
            <w:tcW w:w="1701" w:type="dxa"/>
            <w:shd w:val="clear" w:color="auto" w:fill="auto"/>
            <w:hideMark/>
          </w:tcPr>
          <w:p w14:paraId="0564DFF1"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напредак у спровођењу</w:t>
            </w:r>
          </w:p>
        </w:tc>
        <w:tc>
          <w:tcPr>
            <w:tcW w:w="3118" w:type="dxa"/>
            <w:shd w:val="clear" w:color="auto" w:fill="auto"/>
            <w:hideMark/>
          </w:tcPr>
          <w:p w14:paraId="09EFDA8D" w14:textId="1E587A60" w:rsidR="003E4638" w:rsidRPr="00092ED7" w:rsidRDefault="00FC072D"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У наредном периоду</w:t>
            </w:r>
            <w:r w:rsidR="003E4638" w:rsidRPr="00092ED7">
              <w:rPr>
                <w:rFonts w:eastAsia="Times New Roman" w:cs="Times New Roman"/>
                <w:color w:val="000000"/>
                <w:sz w:val="18"/>
                <w:szCs w:val="18"/>
                <w:lang w:val="sr-Cyrl-CS" w:eastAsia="sr-Latn-RS"/>
              </w:rPr>
              <w:t xml:space="preserve"> очекује се продукција сервиса за специјалисте.</w:t>
            </w:r>
          </w:p>
        </w:tc>
        <w:tc>
          <w:tcPr>
            <w:tcW w:w="2410" w:type="dxa"/>
            <w:shd w:val="clear" w:color="auto" w:fill="auto"/>
            <w:hideMark/>
          </w:tcPr>
          <w:p w14:paraId="519FF6F6"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00D22DDD"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3E4638" w:rsidRPr="00092ED7" w14:paraId="3731B451" w14:textId="77777777" w:rsidTr="004F56D8">
        <w:trPr>
          <w:trHeight w:val="644"/>
        </w:trPr>
        <w:tc>
          <w:tcPr>
            <w:tcW w:w="560" w:type="dxa"/>
            <w:shd w:val="clear" w:color="auto" w:fill="auto"/>
            <w:noWrap/>
            <w:hideMark/>
          </w:tcPr>
          <w:p w14:paraId="28786A85" w14:textId="77777777" w:rsidR="003E4638" w:rsidRPr="00092ED7" w:rsidRDefault="003E4638" w:rsidP="003E4638">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5.</w:t>
            </w:r>
          </w:p>
        </w:tc>
        <w:tc>
          <w:tcPr>
            <w:tcW w:w="4407" w:type="dxa"/>
            <w:shd w:val="clear" w:color="auto" w:fill="auto"/>
            <w:hideMark/>
          </w:tcPr>
          <w:p w14:paraId="2E9B2BD9" w14:textId="77777777" w:rsidR="003E4638" w:rsidRPr="00092ED7" w:rsidRDefault="003E4638" w:rsidP="003E4638">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Успостављање централизованог система еДосије</w:t>
            </w:r>
          </w:p>
        </w:tc>
        <w:tc>
          <w:tcPr>
            <w:tcW w:w="1701" w:type="dxa"/>
            <w:shd w:val="clear" w:color="auto" w:fill="auto"/>
            <w:hideMark/>
          </w:tcPr>
          <w:p w14:paraId="11EDF685"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започето спровођење</w:t>
            </w:r>
          </w:p>
        </w:tc>
        <w:tc>
          <w:tcPr>
            <w:tcW w:w="3118" w:type="dxa"/>
            <w:shd w:val="clear" w:color="auto" w:fill="auto"/>
            <w:hideMark/>
          </w:tcPr>
          <w:p w14:paraId="7116FD81"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Расписана јавна набавка, одабран извођач, потписан уговор са извођачем и очекује се иницијални састанак и даљи рад на пројекту еДосије.</w:t>
            </w:r>
          </w:p>
        </w:tc>
        <w:tc>
          <w:tcPr>
            <w:tcW w:w="2410" w:type="dxa"/>
            <w:shd w:val="clear" w:color="auto" w:fill="auto"/>
            <w:hideMark/>
          </w:tcPr>
          <w:p w14:paraId="1A08345D"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47CDA4A2"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3E4638" w:rsidRPr="00092ED7" w14:paraId="75448E82" w14:textId="77777777" w:rsidTr="004F56D8">
        <w:trPr>
          <w:trHeight w:val="642"/>
        </w:trPr>
        <w:tc>
          <w:tcPr>
            <w:tcW w:w="560" w:type="dxa"/>
            <w:shd w:val="clear" w:color="auto" w:fill="auto"/>
            <w:noWrap/>
            <w:hideMark/>
          </w:tcPr>
          <w:p w14:paraId="08DF5C9F" w14:textId="77777777" w:rsidR="003E4638" w:rsidRPr="00092ED7" w:rsidRDefault="003E4638" w:rsidP="003E4638">
            <w:pPr>
              <w:spacing w:after="0"/>
              <w:jc w:val="righ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lastRenderedPageBreak/>
              <w:t>6.</w:t>
            </w:r>
          </w:p>
        </w:tc>
        <w:tc>
          <w:tcPr>
            <w:tcW w:w="4407" w:type="dxa"/>
            <w:shd w:val="clear" w:color="auto" w:fill="auto"/>
            <w:hideMark/>
          </w:tcPr>
          <w:p w14:paraId="7BF10764" w14:textId="77777777" w:rsidR="003E4638" w:rsidRPr="00092ED7" w:rsidRDefault="003E4638" w:rsidP="003E4638">
            <w:pPr>
              <w:spacing w:after="0"/>
              <w:jc w:val="left"/>
              <w:rPr>
                <w:rFonts w:eastAsia="Times New Roman" w:cs="Times New Roman"/>
                <w:sz w:val="18"/>
                <w:szCs w:val="18"/>
                <w:lang w:val="sr-Cyrl-CS" w:eastAsia="sr-Latn-RS"/>
              </w:rPr>
            </w:pPr>
            <w:r w:rsidRPr="00092ED7">
              <w:rPr>
                <w:rFonts w:eastAsia="Times New Roman" w:cs="Times New Roman"/>
                <w:sz w:val="18"/>
                <w:szCs w:val="18"/>
                <w:lang w:val="sr-Cyrl-CS" w:eastAsia="sr-Latn-RS"/>
              </w:rPr>
              <w:t>Успостављање Платформе за еБоловање – здравствени део</w:t>
            </w:r>
          </w:p>
        </w:tc>
        <w:tc>
          <w:tcPr>
            <w:tcW w:w="1701" w:type="dxa"/>
            <w:shd w:val="clear" w:color="auto" w:fill="auto"/>
            <w:hideMark/>
          </w:tcPr>
          <w:p w14:paraId="68B57A0B"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потпуно спроведене</w:t>
            </w:r>
          </w:p>
        </w:tc>
        <w:tc>
          <w:tcPr>
            <w:tcW w:w="3118" w:type="dxa"/>
            <w:shd w:val="clear" w:color="auto" w:fill="auto"/>
            <w:hideMark/>
          </w:tcPr>
          <w:p w14:paraId="1517D56F"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xml:space="preserve">Започето је пилот тестирање у пар установа, а затим се пушта сервис у продукцију на све здравствене установе примарног нивоа здравствене заштите. </w:t>
            </w:r>
          </w:p>
        </w:tc>
        <w:tc>
          <w:tcPr>
            <w:tcW w:w="2410" w:type="dxa"/>
            <w:shd w:val="clear" w:color="auto" w:fill="auto"/>
            <w:hideMark/>
          </w:tcPr>
          <w:p w14:paraId="4E63CA35"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c>
          <w:tcPr>
            <w:tcW w:w="2693" w:type="dxa"/>
            <w:shd w:val="clear" w:color="auto" w:fill="auto"/>
            <w:hideMark/>
          </w:tcPr>
          <w:p w14:paraId="655126A6" w14:textId="77777777" w:rsidR="003E4638" w:rsidRPr="00092ED7" w:rsidRDefault="003E4638" w:rsidP="003E4638">
            <w:pPr>
              <w:spacing w:after="0"/>
              <w:jc w:val="left"/>
              <w:rPr>
                <w:rFonts w:eastAsia="Times New Roman" w:cs="Times New Roman"/>
                <w:color w:val="000000"/>
                <w:sz w:val="18"/>
                <w:szCs w:val="18"/>
                <w:lang w:val="sr-Cyrl-CS" w:eastAsia="sr-Latn-RS"/>
              </w:rPr>
            </w:pPr>
            <w:r w:rsidRPr="00092ED7">
              <w:rPr>
                <w:rFonts w:eastAsia="Times New Roman" w:cs="Times New Roman"/>
                <w:color w:val="000000"/>
                <w:sz w:val="18"/>
                <w:szCs w:val="18"/>
                <w:lang w:val="sr-Cyrl-CS" w:eastAsia="sr-Latn-RS"/>
              </w:rPr>
              <w:t> </w:t>
            </w:r>
          </w:p>
        </w:tc>
      </w:tr>
      <w:tr w:rsidR="003E4638" w:rsidRPr="00092ED7" w14:paraId="59461137" w14:textId="77777777" w:rsidTr="004F56D8">
        <w:trPr>
          <w:trHeight w:val="360"/>
        </w:trPr>
        <w:tc>
          <w:tcPr>
            <w:tcW w:w="560" w:type="dxa"/>
            <w:shd w:val="clear" w:color="auto" w:fill="auto"/>
            <w:hideMark/>
          </w:tcPr>
          <w:p w14:paraId="621C1A1E" w14:textId="77777777" w:rsidR="003E4638" w:rsidRPr="00092ED7" w:rsidRDefault="003E4638" w:rsidP="003E4638">
            <w:pPr>
              <w:spacing w:after="0"/>
              <w:jc w:val="left"/>
              <w:rPr>
                <w:rFonts w:eastAsia="Times New Roman" w:cs="Times New Roman"/>
                <w:color w:val="000000"/>
                <w:sz w:val="18"/>
                <w:szCs w:val="18"/>
                <w:lang w:val="sr-Cyrl-CS" w:eastAsia="sr-Latn-RS"/>
              </w:rPr>
            </w:pPr>
          </w:p>
        </w:tc>
        <w:tc>
          <w:tcPr>
            <w:tcW w:w="4407" w:type="dxa"/>
            <w:shd w:val="clear" w:color="auto" w:fill="auto"/>
            <w:hideMark/>
          </w:tcPr>
          <w:p w14:paraId="6B22EBB4" w14:textId="77777777" w:rsidR="003E4638" w:rsidRPr="00092ED7" w:rsidRDefault="003E4638" w:rsidP="003E4638">
            <w:pPr>
              <w:spacing w:after="0"/>
              <w:jc w:val="left"/>
              <w:rPr>
                <w:rFonts w:eastAsia="Times New Roman" w:cs="Times New Roman"/>
                <w:sz w:val="18"/>
                <w:szCs w:val="18"/>
                <w:lang w:val="sr-Cyrl-CS" w:eastAsia="sr-Latn-RS"/>
              </w:rPr>
            </w:pPr>
          </w:p>
        </w:tc>
        <w:tc>
          <w:tcPr>
            <w:tcW w:w="1701" w:type="dxa"/>
            <w:shd w:val="clear" w:color="000000" w:fill="BDD7EE"/>
            <w:noWrap/>
            <w:vAlign w:val="bottom"/>
            <w:hideMark/>
          </w:tcPr>
          <w:p w14:paraId="35B94D6E" w14:textId="77777777" w:rsidR="003E4638" w:rsidRPr="00092ED7" w:rsidRDefault="003E4638" w:rsidP="003E4638">
            <w:pPr>
              <w:spacing w:after="0"/>
              <w:jc w:val="center"/>
              <w:rPr>
                <w:rFonts w:eastAsia="Times New Roman" w:cs="Times New Roman"/>
                <w:sz w:val="28"/>
                <w:szCs w:val="28"/>
                <w:lang w:val="sr-Cyrl-CS" w:eastAsia="sr-Latn-RS"/>
              </w:rPr>
            </w:pPr>
            <w:r w:rsidRPr="00092ED7">
              <w:rPr>
                <w:rFonts w:eastAsia="Times New Roman" w:cs="Times New Roman"/>
                <w:sz w:val="28"/>
                <w:szCs w:val="28"/>
                <w:lang w:val="sr-Cyrl-CS" w:eastAsia="sr-Latn-RS"/>
              </w:rPr>
              <w:t>63%</w:t>
            </w:r>
          </w:p>
        </w:tc>
        <w:tc>
          <w:tcPr>
            <w:tcW w:w="3118" w:type="dxa"/>
            <w:shd w:val="clear" w:color="auto" w:fill="auto"/>
            <w:noWrap/>
            <w:hideMark/>
          </w:tcPr>
          <w:p w14:paraId="20DC4450" w14:textId="77777777" w:rsidR="003E4638" w:rsidRPr="00092ED7" w:rsidRDefault="003E4638" w:rsidP="003E4638">
            <w:pPr>
              <w:spacing w:after="0"/>
              <w:jc w:val="center"/>
              <w:rPr>
                <w:rFonts w:eastAsia="Times New Roman" w:cs="Times New Roman"/>
                <w:sz w:val="18"/>
                <w:szCs w:val="18"/>
                <w:lang w:val="sr-Cyrl-CS" w:eastAsia="sr-Latn-RS"/>
              </w:rPr>
            </w:pPr>
          </w:p>
        </w:tc>
        <w:tc>
          <w:tcPr>
            <w:tcW w:w="2410" w:type="dxa"/>
            <w:shd w:val="clear" w:color="auto" w:fill="auto"/>
            <w:noWrap/>
            <w:hideMark/>
          </w:tcPr>
          <w:p w14:paraId="3D357240" w14:textId="77777777" w:rsidR="003E4638" w:rsidRPr="00092ED7" w:rsidRDefault="003E4638" w:rsidP="003E4638">
            <w:pPr>
              <w:spacing w:after="0"/>
              <w:jc w:val="left"/>
              <w:rPr>
                <w:rFonts w:eastAsia="Times New Roman" w:cs="Times New Roman"/>
                <w:sz w:val="18"/>
                <w:szCs w:val="18"/>
                <w:lang w:val="sr-Cyrl-CS" w:eastAsia="sr-Latn-RS"/>
              </w:rPr>
            </w:pPr>
          </w:p>
        </w:tc>
        <w:tc>
          <w:tcPr>
            <w:tcW w:w="2693" w:type="dxa"/>
            <w:shd w:val="clear" w:color="auto" w:fill="auto"/>
            <w:noWrap/>
            <w:hideMark/>
          </w:tcPr>
          <w:p w14:paraId="466CDC23" w14:textId="77777777" w:rsidR="003E4638" w:rsidRPr="00092ED7" w:rsidRDefault="003E4638" w:rsidP="003E4638">
            <w:pPr>
              <w:spacing w:after="0"/>
              <w:jc w:val="left"/>
              <w:rPr>
                <w:rFonts w:eastAsia="Times New Roman" w:cs="Times New Roman"/>
                <w:sz w:val="18"/>
                <w:szCs w:val="18"/>
                <w:lang w:val="sr-Cyrl-CS" w:eastAsia="sr-Latn-RS"/>
              </w:rPr>
            </w:pPr>
          </w:p>
        </w:tc>
      </w:tr>
    </w:tbl>
    <w:p w14:paraId="700F5766" w14:textId="77777777" w:rsidR="00B11AE5" w:rsidRPr="00092ED7" w:rsidRDefault="00B11AE5" w:rsidP="00D030D6">
      <w:pPr>
        <w:spacing w:after="60"/>
        <w:rPr>
          <w:w w:val="110"/>
          <w:lang w:val="sr-Cyrl-CS"/>
        </w:rPr>
      </w:pPr>
    </w:p>
    <w:p w14:paraId="1798DDE4" w14:textId="77777777" w:rsidR="00B11AE5" w:rsidRPr="00092ED7" w:rsidRDefault="00B11AE5">
      <w:pPr>
        <w:spacing w:after="160" w:line="259" w:lineRule="auto"/>
        <w:jc w:val="left"/>
        <w:rPr>
          <w:w w:val="110"/>
          <w:lang w:val="sr-Cyrl-CS"/>
        </w:rPr>
      </w:pPr>
      <w:r w:rsidRPr="00092ED7">
        <w:rPr>
          <w:w w:val="110"/>
          <w:lang w:val="sr-Cyrl-CS"/>
        </w:rPr>
        <w:br w:type="page"/>
      </w:r>
    </w:p>
    <w:p w14:paraId="5E8534CA" w14:textId="77777777" w:rsidR="00B11AE5" w:rsidRPr="00092ED7" w:rsidRDefault="00B11AE5" w:rsidP="00E83FFC">
      <w:pPr>
        <w:keepNext/>
        <w:keepLines/>
        <w:spacing w:after="240"/>
        <w:outlineLvl w:val="0"/>
        <w:rPr>
          <w:b/>
          <w:w w:val="110"/>
          <w:lang w:val="sr-Cyrl-CS"/>
        </w:rPr>
      </w:pPr>
      <w:bookmarkStart w:id="129" w:name="_Toc124174841"/>
      <w:r w:rsidRPr="00092ED7">
        <w:rPr>
          <w:b/>
          <w:w w:val="110"/>
          <w:lang w:val="sr-Cyrl-CS"/>
        </w:rPr>
        <w:lastRenderedPageBreak/>
        <w:t>Анекс 2</w:t>
      </w:r>
      <w:r w:rsidR="00E34561" w:rsidRPr="00092ED7">
        <w:rPr>
          <w:b/>
          <w:w w:val="110"/>
          <w:lang w:val="sr-Cyrl-CS"/>
        </w:rPr>
        <w:t xml:space="preserve"> -</w:t>
      </w:r>
      <w:r w:rsidR="00941038" w:rsidRPr="00092ED7">
        <w:rPr>
          <w:b/>
          <w:w w:val="110"/>
          <w:lang w:val="sr-Cyrl-CS"/>
        </w:rPr>
        <w:t xml:space="preserve"> </w:t>
      </w:r>
      <w:r w:rsidR="00E83FFC" w:rsidRPr="00092ED7">
        <w:rPr>
          <w:b/>
          <w:w w:val="110"/>
          <w:lang w:val="sr-Cyrl-CS"/>
        </w:rPr>
        <w:t>Везе између реформских области и релевантних докумената јавних политика</w:t>
      </w:r>
      <w:bookmarkEnd w:id="129"/>
    </w:p>
    <w:tbl>
      <w:tblPr>
        <w:tblW w:w="14641" w:type="dxa"/>
        <w:tblInd w:w="93" w:type="dxa"/>
        <w:tblLayout w:type="fixed"/>
        <w:tblCellMar>
          <w:left w:w="28" w:type="dxa"/>
          <w:right w:w="28" w:type="dxa"/>
        </w:tblCellMar>
        <w:tblLook w:val="04A0" w:firstRow="1" w:lastRow="0" w:firstColumn="1" w:lastColumn="0" w:noHBand="0" w:noVBand="1"/>
      </w:tblPr>
      <w:tblGrid>
        <w:gridCol w:w="1635"/>
        <w:gridCol w:w="1498"/>
        <w:gridCol w:w="1750"/>
        <w:gridCol w:w="2015"/>
        <w:gridCol w:w="1932"/>
        <w:gridCol w:w="2409"/>
        <w:gridCol w:w="1843"/>
        <w:gridCol w:w="1559"/>
      </w:tblGrid>
      <w:tr w:rsidR="00F50B50" w:rsidRPr="00092ED7" w14:paraId="2DFA0916" w14:textId="77777777" w:rsidTr="00F50B50">
        <w:trPr>
          <w:trHeight w:val="1146"/>
          <w:tblHeader/>
        </w:trPr>
        <w:tc>
          <w:tcPr>
            <w:tcW w:w="1635" w:type="dxa"/>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374715BB" w14:textId="77777777" w:rsidR="00F50B50" w:rsidRPr="00092ED7" w:rsidRDefault="00F50B50" w:rsidP="00F50B50">
            <w:pPr>
              <w:jc w:val="center"/>
              <w:rPr>
                <w:rFonts w:eastAsia="Times New Roman" w:cs="Times New Roman"/>
                <w:b/>
                <w:bCs/>
                <w:sz w:val="18"/>
                <w:szCs w:val="18"/>
                <w:lang w:val="sr-Cyrl-CS"/>
              </w:rPr>
            </w:pPr>
            <w:r w:rsidRPr="00092ED7">
              <w:rPr>
                <w:rFonts w:eastAsia="Times New Roman" w:cs="Times New Roman"/>
                <w:b/>
                <w:bCs/>
                <w:sz w:val="18"/>
                <w:szCs w:val="18"/>
                <w:lang w:val="sr-Cyrl-CS"/>
              </w:rPr>
              <w:t>Структурне реформе (СР)</w:t>
            </w:r>
          </w:p>
          <w:p w14:paraId="3D197370" w14:textId="77777777" w:rsidR="00F50B50" w:rsidRPr="00092ED7" w:rsidRDefault="00F50B50" w:rsidP="00F50B50">
            <w:pPr>
              <w:jc w:val="center"/>
              <w:rPr>
                <w:rFonts w:eastAsia="Times New Roman" w:cs="Times New Roman"/>
                <w:sz w:val="18"/>
                <w:szCs w:val="18"/>
                <w:lang w:val="sr-Cyrl-CS"/>
              </w:rPr>
            </w:pPr>
            <w:r w:rsidRPr="00092ED7">
              <w:rPr>
                <w:rFonts w:eastAsia="Times New Roman" w:cs="Times New Roman"/>
                <w:b/>
                <w:bCs/>
                <w:sz w:val="18"/>
                <w:szCs w:val="18"/>
                <w:lang w:val="sr-Cyrl-CS"/>
              </w:rPr>
              <w:t>ЕРП 2023-2025</w:t>
            </w:r>
          </w:p>
        </w:tc>
        <w:tc>
          <w:tcPr>
            <w:tcW w:w="1498" w:type="dxa"/>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146E54A0" w14:textId="77777777" w:rsidR="00F50B50" w:rsidRPr="00092ED7" w:rsidRDefault="00F50B50" w:rsidP="00F50B50">
            <w:pPr>
              <w:jc w:val="center"/>
              <w:rPr>
                <w:rFonts w:eastAsia="Times New Roman" w:cs="Times New Roman"/>
                <w:b/>
                <w:bCs/>
                <w:i/>
                <w:iCs/>
                <w:sz w:val="18"/>
                <w:szCs w:val="18"/>
                <w:lang w:val="sr-Cyrl-CS"/>
              </w:rPr>
            </w:pPr>
            <w:r w:rsidRPr="00092ED7">
              <w:rPr>
                <w:rFonts w:eastAsia="Times New Roman" w:cs="Times New Roman"/>
                <w:b/>
                <w:bCs/>
                <w:sz w:val="18"/>
                <w:szCs w:val="18"/>
                <w:lang w:val="sr-Cyrl-CS"/>
              </w:rPr>
              <w:t>Кључни структурни изазови (КСИ)</w:t>
            </w:r>
            <w:r w:rsidRPr="00092ED7">
              <w:rPr>
                <w:rFonts w:eastAsia="Times New Roman" w:cs="Times New Roman"/>
                <w:b/>
                <w:bCs/>
                <w:sz w:val="18"/>
                <w:szCs w:val="18"/>
                <w:lang w:val="sr-Cyrl-CS"/>
              </w:rPr>
              <w:br/>
              <w:t>(Оцена EK ЕРП 2022-2024)</w:t>
            </w:r>
          </w:p>
        </w:tc>
        <w:tc>
          <w:tcPr>
            <w:tcW w:w="1750" w:type="dxa"/>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67B135CB" w14:textId="77777777" w:rsidR="00F50B50" w:rsidRPr="00092ED7" w:rsidRDefault="00F50B50" w:rsidP="00F50B50">
            <w:pPr>
              <w:jc w:val="center"/>
              <w:rPr>
                <w:rFonts w:eastAsia="Times New Roman" w:cs="Times New Roman"/>
                <w:sz w:val="18"/>
                <w:szCs w:val="18"/>
                <w:lang w:val="sr-Cyrl-CS"/>
              </w:rPr>
            </w:pPr>
            <w:r w:rsidRPr="00092ED7">
              <w:rPr>
                <w:rFonts w:eastAsia="Times New Roman" w:cs="Times New Roman"/>
                <w:b/>
                <w:bCs/>
                <w:sz w:val="18"/>
                <w:szCs w:val="18"/>
                <w:lang w:val="sr-Cyrl-CS"/>
              </w:rPr>
              <w:t>ЕРП Заједнички закључци 2022</w:t>
            </w:r>
          </w:p>
        </w:tc>
        <w:tc>
          <w:tcPr>
            <w:tcW w:w="2015" w:type="dxa"/>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1469AB61" w14:textId="77777777" w:rsidR="00F50B50" w:rsidRPr="00092ED7" w:rsidRDefault="00F50B50" w:rsidP="00F50B50">
            <w:pPr>
              <w:jc w:val="center"/>
              <w:rPr>
                <w:rFonts w:eastAsia="Times New Roman" w:cs="Times New Roman"/>
                <w:sz w:val="18"/>
                <w:szCs w:val="18"/>
                <w:lang w:val="sr-Cyrl-CS"/>
              </w:rPr>
            </w:pPr>
            <w:r w:rsidRPr="00092ED7">
              <w:rPr>
                <w:rFonts w:eastAsia="Times New Roman" w:cs="Times New Roman"/>
                <w:b/>
                <w:bCs/>
                <w:sz w:val="18"/>
                <w:szCs w:val="18"/>
                <w:lang w:val="sr-Cyrl-CS"/>
              </w:rPr>
              <w:t>Пакет за проширење 2022</w:t>
            </w:r>
          </w:p>
        </w:tc>
        <w:tc>
          <w:tcPr>
            <w:tcW w:w="1932" w:type="dxa"/>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34E05AAB" w14:textId="77777777" w:rsidR="00F50B50" w:rsidRPr="00092ED7" w:rsidRDefault="00F50B50" w:rsidP="00F50B50">
            <w:pPr>
              <w:jc w:val="center"/>
              <w:rPr>
                <w:rFonts w:eastAsia="Times New Roman" w:cs="Times New Roman"/>
                <w:sz w:val="18"/>
                <w:szCs w:val="18"/>
                <w:lang w:val="sr-Cyrl-CS"/>
              </w:rPr>
            </w:pPr>
            <w:r w:rsidRPr="00092ED7">
              <w:rPr>
                <w:rFonts w:eastAsia="Times New Roman" w:cs="Times New Roman"/>
                <w:b/>
                <w:bCs/>
                <w:sz w:val="18"/>
                <w:szCs w:val="18"/>
                <w:lang w:val="sr-Cyrl-CS"/>
              </w:rPr>
              <w:t>Циљеви одрживог развоја 2020-2030</w:t>
            </w:r>
          </w:p>
        </w:tc>
        <w:tc>
          <w:tcPr>
            <w:tcW w:w="2409" w:type="dxa"/>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1E030EF7" w14:textId="77777777" w:rsidR="00F50B50" w:rsidRPr="00092ED7" w:rsidRDefault="00F50B50" w:rsidP="00F50B50">
            <w:pPr>
              <w:jc w:val="center"/>
              <w:rPr>
                <w:rFonts w:eastAsia="Times New Roman" w:cs="Times New Roman"/>
                <w:sz w:val="18"/>
                <w:szCs w:val="18"/>
                <w:lang w:val="sr-Cyrl-CS"/>
              </w:rPr>
            </w:pPr>
            <w:r w:rsidRPr="00092ED7">
              <w:rPr>
                <w:rFonts w:eastAsia="Times New Roman" w:cs="Times New Roman"/>
                <w:b/>
                <w:bCs/>
                <w:sz w:val="18"/>
                <w:szCs w:val="18"/>
                <w:lang w:val="sr-Cyrl-CS"/>
              </w:rPr>
              <w:t>Европски зелени договор/ Зелена агенда за Западни Балкан (ЗАЗБ)</w:t>
            </w:r>
          </w:p>
        </w:tc>
        <w:tc>
          <w:tcPr>
            <w:tcW w:w="1843" w:type="dxa"/>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7661E016" w14:textId="77777777" w:rsidR="00F50B50" w:rsidRPr="00092ED7" w:rsidRDefault="00F50B50" w:rsidP="00F50B50">
            <w:pPr>
              <w:jc w:val="center"/>
              <w:rPr>
                <w:rFonts w:eastAsia="Times New Roman" w:cs="Times New Roman"/>
                <w:sz w:val="18"/>
                <w:szCs w:val="18"/>
                <w:lang w:val="sr-Cyrl-CS"/>
              </w:rPr>
            </w:pPr>
            <w:r w:rsidRPr="00092ED7">
              <w:rPr>
                <w:rFonts w:eastAsia="Times New Roman" w:cs="Times New Roman"/>
                <w:b/>
                <w:bCs/>
                <w:sz w:val="18"/>
                <w:szCs w:val="18"/>
                <w:lang w:val="sr-Cyrl-CS"/>
              </w:rPr>
              <w:t>Европска дигитална агенда / Дигитална агенда за Западни Балкан</w:t>
            </w:r>
          </w:p>
        </w:tc>
        <w:tc>
          <w:tcPr>
            <w:tcW w:w="1559" w:type="dxa"/>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23DE9B56" w14:textId="77777777" w:rsidR="00F50B50" w:rsidRPr="00092ED7" w:rsidRDefault="00E83FFC" w:rsidP="00F50B50">
            <w:pPr>
              <w:jc w:val="center"/>
              <w:rPr>
                <w:rFonts w:eastAsia="Times New Roman" w:cs="Times New Roman"/>
                <w:sz w:val="18"/>
                <w:szCs w:val="18"/>
                <w:lang w:val="sr-Cyrl-CS"/>
              </w:rPr>
            </w:pPr>
            <w:r w:rsidRPr="00092ED7">
              <w:rPr>
                <w:rFonts w:eastAsia="Times New Roman" w:cs="Times New Roman"/>
                <w:b/>
                <w:bCs/>
                <w:sz w:val="18"/>
                <w:szCs w:val="18"/>
                <w:lang w:val="sr-Cyrl-CS"/>
              </w:rPr>
              <w:t>ИПА</w:t>
            </w:r>
            <w:r w:rsidR="00F50B50" w:rsidRPr="00092ED7">
              <w:rPr>
                <w:rFonts w:eastAsia="Times New Roman" w:cs="Times New Roman"/>
                <w:b/>
                <w:bCs/>
                <w:sz w:val="18"/>
                <w:szCs w:val="18"/>
                <w:lang w:val="sr-Cyrl-CS"/>
              </w:rPr>
              <w:t xml:space="preserve"> пројекти који подржавају ову реформу</w:t>
            </w:r>
          </w:p>
        </w:tc>
      </w:tr>
      <w:tr w:rsidR="00F50B50" w:rsidRPr="00092ED7" w14:paraId="63BEC273" w14:textId="77777777" w:rsidTr="00F50B50">
        <w:trPr>
          <w:trHeight w:val="410"/>
        </w:trPr>
        <w:tc>
          <w:tcPr>
            <w:tcW w:w="1635" w:type="dxa"/>
            <w:tcBorders>
              <w:top w:val="single" w:sz="6" w:space="0" w:color="000000"/>
              <w:left w:val="single" w:sz="6" w:space="0" w:color="000000"/>
              <w:bottom w:val="single" w:sz="6" w:space="0" w:color="000000"/>
              <w:right w:val="single" w:sz="6" w:space="0" w:color="000000"/>
            </w:tcBorders>
          </w:tcPr>
          <w:p w14:paraId="6C3B5879" w14:textId="77777777" w:rsidR="00F50B50" w:rsidRPr="00092ED7" w:rsidRDefault="00F50B50" w:rsidP="00875ED4">
            <w:pPr>
              <w:spacing w:after="60"/>
              <w:ind w:right="144"/>
              <w:jc w:val="left"/>
              <w:rPr>
                <w:rFonts w:eastAsia="Times New Roman" w:cs="Times New Roman"/>
                <w:b/>
                <w:bCs/>
                <w:sz w:val="20"/>
                <w:szCs w:val="20"/>
                <w:lang w:val="sr-Cyrl-CS"/>
              </w:rPr>
            </w:pPr>
            <w:r w:rsidRPr="00092ED7">
              <w:rPr>
                <w:rFonts w:eastAsia="Times New Roman" w:cs="Times New Roman"/>
                <w:b/>
                <w:bCs/>
                <w:sz w:val="20"/>
                <w:szCs w:val="20"/>
                <w:lang w:val="sr-Cyrl-CS"/>
              </w:rPr>
              <w:t>СР 1. Успостављање оквира за увођење Гаранције за младе у Републици Србији</w:t>
            </w:r>
          </w:p>
        </w:tc>
        <w:tc>
          <w:tcPr>
            <w:tcW w:w="1498" w:type="dxa"/>
            <w:tcBorders>
              <w:top w:val="single" w:sz="6" w:space="0" w:color="000000"/>
              <w:left w:val="single" w:sz="6" w:space="0" w:color="000000"/>
              <w:bottom w:val="single" w:sz="6" w:space="0" w:color="000000"/>
              <w:right w:val="single" w:sz="6" w:space="0" w:color="000000"/>
            </w:tcBorders>
          </w:tcPr>
          <w:p w14:paraId="3BBDFEBC" w14:textId="77777777" w:rsidR="00F50B50" w:rsidRPr="00092ED7" w:rsidRDefault="00E83FFC" w:rsidP="00875ED4">
            <w:pPr>
              <w:spacing w:after="60"/>
              <w:ind w:right="85"/>
              <w:jc w:val="left"/>
              <w:rPr>
                <w:rFonts w:eastAsia="Times New Roman" w:cs="Times New Roman"/>
                <w:iCs/>
                <w:sz w:val="18"/>
                <w:szCs w:val="18"/>
                <w:lang w:val="sr-Cyrl-CS"/>
              </w:rPr>
            </w:pPr>
            <w:r w:rsidRPr="00092ED7">
              <w:rPr>
                <w:rFonts w:eastAsia="Times New Roman" w:cs="Times New Roman"/>
                <w:b/>
                <w:iCs/>
                <w:sz w:val="18"/>
                <w:szCs w:val="18"/>
                <w:lang w:val="sr-Cyrl-CS"/>
              </w:rPr>
              <w:t xml:space="preserve">КСИ 1. </w:t>
            </w:r>
            <w:r w:rsidRPr="00092ED7">
              <w:rPr>
                <w:rFonts w:eastAsia="Times New Roman" w:cs="Times New Roman"/>
                <w:iCs/>
                <w:sz w:val="18"/>
                <w:szCs w:val="18"/>
                <w:lang w:val="sr-Cyrl-CS"/>
              </w:rPr>
              <w:t>Повећање запослености, посебно младих, жена и угрожених група и социјална заштита од сиромаштва</w:t>
            </w:r>
          </w:p>
        </w:tc>
        <w:tc>
          <w:tcPr>
            <w:tcW w:w="1750" w:type="dxa"/>
            <w:tcBorders>
              <w:top w:val="single" w:sz="6" w:space="0" w:color="000000"/>
              <w:left w:val="single" w:sz="6" w:space="0" w:color="000000"/>
              <w:bottom w:val="single" w:sz="6" w:space="0" w:color="000000"/>
              <w:right w:val="single" w:sz="6" w:space="0" w:color="000000"/>
            </w:tcBorders>
          </w:tcPr>
          <w:p w14:paraId="02E257FB" w14:textId="77777777" w:rsidR="00875ED4" w:rsidRPr="00092ED7" w:rsidRDefault="00F50B50" w:rsidP="00875ED4">
            <w:pPr>
              <w:spacing w:after="60"/>
              <w:jc w:val="left"/>
              <w:rPr>
                <w:rFonts w:eastAsia="Times New Roman" w:cs="Times New Roman"/>
                <w:iCs/>
                <w:sz w:val="18"/>
                <w:szCs w:val="18"/>
                <w:lang w:val="sr-Cyrl-CS"/>
              </w:rPr>
            </w:pPr>
            <w:r w:rsidRPr="00092ED7">
              <w:rPr>
                <w:rFonts w:eastAsia="Times New Roman" w:cs="Times New Roman"/>
                <w:b/>
                <w:iCs/>
                <w:sz w:val="18"/>
                <w:szCs w:val="18"/>
                <w:lang w:val="sr-Cyrl-CS"/>
              </w:rPr>
              <w:t>Препорука 6.</w:t>
            </w:r>
          </w:p>
          <w:p w14:paraId="4055D7F4" w14:textId="77777777" w:rsidR="00F50B50" w:rsidRPr="00092ED7" w:rsidRDefault="00F50B50" w:rsidP="00875ED4">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Финализирати, у сарадњи са свим релевантним министарствима, њиховим агенцијама и заинтересованим странама, План имплементације Гаранције за младе, усвојити га и покренути његову имплементацију.</w:t>
            </w:r>
          </w:p>
        </w:tc>
        <w:tc>
          <w:tcPr>
            <w:tcW w:w="2015" w:type="dxa"/>
            <w:tcBorders>
              <w:top w:val="single" w:sz="6" w:space="0" w:color="000000"/>
              <w:left w:val="single" w:sz="6" w:space="0" w:color="000000"/>
              <w:bottom w:val="single" w:sz="6" w:space="0" w:color="000000"/>
              <w:right w:val="single" w:sz="6" w:space="0" w:color="000000"/>
            </w:tcBorders>
          </w:tcPr>
          <w:p w14:paraId="384A8615" w14:textId="77777777" w:rsidR="00F50B50" w:rsidRPr="00092ED7" w:rsidRDefault="00F50B50" w:rsidP="00875ED4">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 Осигурати адекватне финансијске и институционалне ресурсе за запошљавање и социјалне политике који би се систематичније усмерили на младе, жене и дуготрајно незапослене</w:t>
            </w:r>
          </w:p>
          <w:p w14:paraId="1E06A754" w14:textId="77777777" w:rsidR="00F50B50" w:rsidRPr="00092ED7" w:rsidRDefault="00F50B50" w:rsidP="00875ED4">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 xml:space="preserve">- Посебно, предузети даље кораке за почетак пилотирања Гаранције за младе у Србији; </w:t>
            </w:r>
          </w:p>
        </w:tc>
        <w:tc>
          <w:tcPr>
            <w:tcW w:w="1932" w:type="dxa"/>
            <w:tcBorders>
              <w:top w:val="single" w:sz="6" w:space="0" w:color="000000"/>
              <w:left w:val="single" w:sz="6" w:space="0" w:color="000000"/>
              <w:bottom w:val="single" w:sz="6" w:space="0" w:color="000000"/>
              <w:right w:val="single" w:sz="6" w:space="0" w:color="000000"/>
            </w:tcBorders>
          </w:tcPr>
          <w:p w14:paraId="004DF0E0" w14:textId="77777777" w:rsidR="00F50B50" w:rsidRPr="00092ED7" w:rsidRDefault="00F50B50" w:rsidP="00875ED4">
            <w:pPr>
              <w:spacing w:after="60"/>
              <w:jc w:val="left"/>
              <w:rPr>
                <w:rFonts w:eastAsia="Times New Roman" w:cs="Times New Roman"/>
                <w:bCs/>
                <w:sz w:val="18"/>
                <w:szCs w:val="18"/>
                <w:lang w:val="sr-Cyrl-CS"/>
              </w:rPr>
            </w:pPr>
            <w:r w:rsidRPr="00092ED7">
              <w:rPr>
                <w:rFonts w:eastAsia="Times New Roman" w:cs="Times New Roman"/>
                <w:b/>
                <w:bCs/>
                <w:sz w:val="18"/>
                <w:szCs w:val="18"/>
                <w:lang w:val="sr-Cyrl-CS"/>
              </w:rPr>
              <w:t>ЦОР 8.6</w:t>
            </w:r>
            <w:r w:rsidRPr="00092ED7">
              <w:rPr>
                <w:rFonts w:eastAsia="Times New Roman" w:cs="Times New Roman"/>
                <w:bCs/>
                <w:sz w:val="18"/>
                <w:szCs w:val="18"/>
                <w:lang w:val="sr-Cyrl-CS"/>
              </w:rPr>
              <w:t xml:space="preserve"> До 2020. битно смањити удео младих који нису запослени нити у процесу образовања или обуке</w:t>
            </w:r>
          </w:p>
          <w:p w14:paraId="491E6D0F" w14:textId="55415AF1" w:rsidR="00F50B50" w:rsidRPr="00092ED7" w:rsidRDefault="00F50B50" w:rsidP="00875ED4">
            <w:pPr>
              <w:spacing w:after="60"/>
              <w:jc w:val="left"/>
              <w:rPr>
                <w:rFonts w:eastAsia="Times New Roman" w:cs="Times New Roman"/>
                <w:iCs/>
                <w:sz w:val="18"/>
                <w:szCs w:val="18"/>
                <w:lang w:val="sr-Cyrl-CS"/>
              </w:rPr>
            </w:pPr>
            <w:r w:rsidRPr="00092ED7">
              <w:rPr>
                <w:rFonts w:eastAsia="Times New Roman" w:cs="Times New Roman"/>
                <w:b/>
                <w:iCs/>
                <w:sz w:val="18"/>
                <w:szCs w:val="18"/>
                <w:lang w:val="sr-Cyrl-CS"/>
              </w:rPr>
              <w:t>ЦОР 8.б</w:t>
            </w:r>
            <w:r w:rsidRPr="00092ED7">
              <w:rPr>
                <w:rFonts w:eastAsia="Times New Roman" w:cs="Times New Roman"/>
                <w:iCs/>
                <w:sz w:val="18"/>
                <w:szCs w:val="18"/>
                <w:lang w:val="sr-Cyrl-CS"/>
              </w:rPr>
              <w:t xml:space="preserve"> До 2020. развити и операционализовати глобалну стратегију за запошљавање младих и применити „Глобални пакт за запошљавање</w:t>
            </w:r>
            <w:r w:rsidR="0063659E" w:rsidRPr="00092ED7">
              <w:rPr>
                <w:rFonts w:cs="Times New Roman"/>
                <w:sz w:val="18"/>
                <w:szCs w:val="18"/>
                <w:lang w:val="sr-Cyrl-CS"/>
              </w:rPr>
              <w:t>”</w:t>
            </w:r>
            <w:r w:rsidRPr="00092ED7">
              <w:rPr>
                <w:rFonts w:eastAsia="Times New Roman" w:cs="Times New Roman"/>
                <w:iCs/>
                <w:sz w:val="18"/>
                <w:szCs w:val="18"/>
                <w:lang w:val="sr-Cyrl-CS"/>
              </w:rPr>
              <w:t xml:space="preserve"> Међународне организације рада</w:t>
            </w:r>
          </w:p>
        </w:tc>
        <w:tc>
          <w:tcPr>
            <w:tcW w:w="2409" w:type="dxa"/>
            <w:tcBorders>
              <w:top w:val="single" w:sz="6" w:space="0" w:color="000000"/>
              <w:left w:val="single" w:sz="6" w:space="0" w:color="000000"/>
              <w:bottom w:val="single" w:sz="6" w:space="0" w:color="000000"/>
              <w:right w:val="single" w:sz="6" w:space="0" w:color="000000"/>
            </w:tcBorders>
          </w:tcPr>
          <w:p w14:paraId="2F4AAE52" w14:textId="77777777" w:rsidR="00F50B50" w:rsidRPr="00092ED7" w:rsidRDefault="00F50B50" w:rsidP="00875ED4">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 xml:space="preserve">Индиректан утицај на </w:t>
            </w:r>
            <w:r w:rsidRPr="00092ED7">
              <w:rPr>
                <w:rFonts w:eastAsia="Times New Roman" w:cs="Times New Roman"/>
                <w:b/>
                <w:iCs/>
                <w:sz w:val="18"/>
                <w:szCs w:val="18"/>
                <w:lang w:val="sr-Cyrl-CS"/>
              </w:rPr>
              <w:t xml:space="preserve">циљ 60 ЗАЗБ - </w:t>
            </w:r>
            <w:r w:rsidRPr="00092ED7">
              <w:rPr>
                <w:rFonts w:eastAsia="Times New Roman" w:cs="Times New Roman"/>
                <w:iCs/>
                <w:sz w:val="18"/>
                <w:szCs w:val="18"/>
                <w:lang w:val="sr-Cyrl-CS"/>
              </w:rPr>
              <w:t xml:space="preserve">Израдити програме и предузети потребне мере за повећање административних капацитета за имплементацију ЗАЗБ како би се остварили надзор, промоција и поштовање еколошких обавеза и осигурати ефикасне механизме за учествовање јавности, приступ информацијама, приступ правосуђу у питањима заштите средине, као и  извештавање о животној средини </w:t>
            </w:r>
          </w:p>
          <w:p w14:paraId="5F0E47CB" w14:textId="474AA678" w:rsidR="00F50B50" w:rsidRPr="00092ED7" w:rsidRDefault="00F50B50" w:rsidP="00875ED4">
            <w:pPr>
              <w:spacing w:after="60"/>
              <w:jc w:val="left"/>
              <w:rPr>
                <w:rFonts w:eastAsia="Times New Roman" w:cs="Times New Roman"/>
                <w:i/>
                <w:iCs/>
                <w:sz w:val="18"/>
                <w:szCs w:val="18"/>
                <w:lang w:val="sr-Cyrl-CS"/>
              </w:rPr>
            </w:pPr>
            <w:r w:rsidRPr="00092ED7">
              <w:rPr>
                <w:rFonts w:eastAsia="Times New Roman" w:cs="Times New Roman"/>
                <w:i/>
                <w:iCs/>
                <w:sz w:val="18"/>
                <w:szCs w:val="18"/>
                <w:lang w:val="sr-Cyrl-CS"/>
              </w:rPr>
              <w:t>Стварање могућности за развој ,,зелених</w:t>
            </w:r>
            <w:r w:rsidR="0063659E" w:rsidRPr="00092ED7">
              <w:rPr>
                <w:rFonts w:cs="Times New Roman"/>
                <w:i/>
                <w:sz w:val="18"/>
                <w:szCs w:val="18"/>
                <w:lang w:val="sr-Cyrl-CS"/>
              </w:rPr>
              <w:t>”</w:t>
            </w:r>
            <w:r w:rsidRPr="00092ED7">
              <w:rPr>
                <w:rFonts w:eastAsia="Times New Roman" w:cs="Times New Roman"/>
                <w:i/>
                <w:iCs/>
                <w:sz w:val="18"/>
                <w:szCs w:val="18"/>
                <w:lang w:val="sr-Cyrl-CS"/>
              </w:rPr>
              <w:t xml:space="preserve"> послова, уз повећање сарадње са секторима и партнерима у области заштите животне средине у оквиру програма гаранције за младе.</w:t>
            </w:r>
          </w:p>
        </w:tc>
        <w:tc>
          <w:tcPr>
            <w:tcW w:w="1843" w:type="dxa"/>
            <w:tcBorders>
              <w:top w:val="single" w:sz="6" w:space="0" w:color="000000"/>
              <w:left w:val="single" w:sz="6" w:space="0" w:color="000000"/>
              <w:bottom w:val="single" w:sz="6" w:space="0" w:color="000000"/>
              <w:right w:val="single" w:sz="6" w:space="0" w:color="000000"/>
            </w:tcBorders>
          </w:tcPr>
          <w:p w14:paraId="41E525F1" w14:textId="77777777" w:rsidR="00F50B50" w:rsidRPr="00092ED7" w:rsidRDefault="00F50B50" w:rsidP="00875ED4">
            <w:pPr>
              <w:spacing w:after="60"/>
              <w:jc w:val="left"/>
              <w:rPr>
                <w:rFonts w:eastAsia="Times New Roman" w:cs="Times New Roman"/>
                <w:b/>
                <w:bCs/>
                <w:sz w:val="18"/>
                <w:szCs w:val="18"/>
                <w:lang w:val="sr-Cyrl-CS"/>
              </w:rPr>
            </w:pPr>
            <w:r w:rsidRPr="00092ED7">
              <w:rPr>
                <w:rFonts w:eastAsia="Times New Roman" w:cs="Times New Roman"/>
                <w:b/>
                <w:iCs/>
                <w:sz w:val="18"/>
                <w:szCs w:val="18"/>
                <w:lang w:val="sr-Cyrl-CS"/>
              </w:rPr>
              <w:t>Кључна иницијатива 10. Гаранција за младе</w:t>
            </w:r>
            <w:r w:rsidRPr="00092ED7">
              <w:rPr>
                <w:rFonts w:eastAsia="Times New Roman" w:cs="Times New Roman"/>
                <w:b/>
                <w:bCs/>
                <w:sz w:val="18"/>
                <w:szCs w:val="18"/>
                <w:lang w:val="sr-Cyrl-CS"/>
              </w:rPr>
              <w:t xml:space="preserve"> </w:t>
            </w:r>
          </w:p>
          <w:p w14:paraId="0EED574F" w14:textId="77777777" w:rsidR="00F50B50" w:rsidRPr="00092ED7" w:rsidRDefault="00F50B50" w:rsidP="00875ED4">
            <w:pPr>
              <w:spacing w:after="60"/>
              <w:jc w:val="left"/>
              <w:rPr>
                <w:rFonts w:eastAsia="Times New Roman" w:cs="Times New Roman"/>
                <w:b/>
                <w:bCs/>
                <w:sz w:val="18"/>
                <w:szCs w:val="18"/>
                <w:lang w:val="sr-Cyrl-CS"/>
              </w:rPr>
            </w:pPr>
            <w:r w:rsidRPr="00092ED7">
              <w:rPr>
                <w:rFonts w:eastAsia="Times New Roman" w:cs="Times New Roman"/>
                <w:bCs/>
                <w:sz w:val="18"/>
                <w:szCs w:val="18"/>
                <w:lang w:val="sr-Cyrl-CS"/>
              </w:rPr>
              <w:t>- Успостављање Гаранције за младе</w:t>
            </w:r>
          </w:p>
          <w:p w14:paraId="423B337D" w14:textId="77777777" w:rsidR="00F50B50" w:rsidRPr="00092ED7" w:rsidRDefault="00F50B50" w:rsidP="00875ED4">
            <w:pPr>
              <w:spacing w:after="60"/>
              <w:jc w:val="left"/>
              <w:rPr>
                <w:rFonts w:eastAsia="Times New Roman" w:cs="Times New Roman"/>
                <w:b/>
                <w:bCs/>
                <w:sz w:val="18"/>
                <w:szCs w:val="18"/>
                <w:lang w:val="sr-Cyrl-CS"/>
              </w:rPr>
            </w:pPr>
            <w:r w:rsidRPr="00092ED7">
              <w:rPr>
                <w:rFonts w:eastAsia="Times New Roman" w:cs="Times New Roman"/>
                <w:b/>
                <w:bCs/>
                <w:sz w:val="18"/>
                <w:szCs w:val="18"/>
                <w:lang w:val="sr-Cyrl-CS"/>
              </w:rPr>
              <w:t>Декларација Западног Балкана о осигурању одрживе интеграције младих на тржиште рада</w:t>
            </w:r>
          </w:p>
        </w:tc>
        <w:tc>
          <w:tcPr>
            <w:tcW w:w="1559" w:type="dxa"/>
            <w:tcBorders>
              <w:top w:val="single" w:sz="6" w:space="0" w:color="000000"/>
              <w:left w:val="single" w:sz="6" w:space="0" w:color="000000"/>
              <w:bottom w:val="single" w:sz="6" w:space="0" w:color="000000"/>
              <w:right w:val="single" w:sz="6" w:space="0" w:color="000000"/>
            </w:tcBorders>
          </w:tcPr>
          <w:p w14:paraId="74330851" w14:textId="77777777" w:rsidR="00F50B50" w:rsidRPr="00092ED7" w:rsidRDefault="00E83FFC" w:rsidP="00875ED4">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ИПА</w:t>
            </w:r>
            <w:r w:rsidR="00F50B50" w:rsidRPr="00092ED7">
              <w:rPr>
                <w:rFonts w:eastAsia="Times New Roman" w:cs="Times New Roman"/>
                <w:iCs/>
                <w:sz w:val="18"/>
                <w:szCs w:val="18"/>
                <w:lang w:val="sr-Cyrl-CS"/>
              </w:rPr>
              <w:t xml:space="preserve"> </w:t>
            </w:r>
            <w:r w:rsidRPr="00092ED7">
              <w:rPr>
                <w:rFonts w:eastAsia="Times New Roman" w:cs="Times New Roman"/>
                <w:iCs/>
                <w:sz w:val="18"/>
                <w:szCs w:val="18"/>
                <w:lang w:val="sr-Cyrl-CS"/>
              </w:rPr>
              <w:t>20</w:t>
            </w:r>
            <w:r w:rsidR="00F50B50" w:rsidRPr="00092ED7">
              <w:rPr>
                <w:rFonts w:eastAsia="Times New Roman" w:cs="Times New Roman"/>
                <w:iCs/>
                <w:sz w:val="18"/>
                <w:szCs w:val="18"/>
                <w:lang w:val="sr-Cyrl-CS"/>
              </w:rPr>
              <w:t>20</w:t>
            </w:r>
          </w:p>
          <w:p w14:paraId="64D2F752" w14:textId="77777777" w:rsidR="00F50B50" w:rsidRPr="00092ED7" w:rsidRDefault="00F50B50" w:rsidP="00875ED4">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Директни грант „Спровођење иновативних мера активне политике запошљавања и подршка запошљавању теже запошљивих категоријаˮ</w:t>
            </w:r>
          </w:p>
          <w:p w14:paraId="0C66F436" w14:textId="77777777" w:rsidR="00040667" w:rsidRPr="00092ED7" w:rsidRDefault="00040667" w:rsidP="00875ED4">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4.000.000 евра</w:t>
            </w:r>
          </w:p>
          <w:p w14:paraId="64B372EA" w14:textId="77777777" w:rsidR="00F50B50" w:rsidRPr="00092ED7" w:rsidRDefault="00F50B50" w:rsidP="00875ED4">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 xml:space="preserve">Део средстава из пројекта Техничке помоћи из ИПА 2020 укупне </w:t>
            </w:r>
            <w:r w:rsidR="00040667" w:rsidRPr="00092ED7">
              <w:rPr>
                <w:rFonts w:eastAsia="Times New Roman" w:cs="Times New Roman"/>
                <w:iCs/>
                <w:sz w:val="18"/>
                <w:szCs w:val="18"/>
                <w:lang w:val="sr-Cyrl-CS"/>
              </w:rPr>
              <w:t xml:space="preserve">вредности </w:t>
            </w:r>
            <w:r w:rsidRPr="00092ED7">
              <w:rPr>
                <w:rFonts w:eastAsia="Times New Roman" w:cs="Times New Roman"/>
                <w:iCs/>
                <w:sz w:val="18"/>
                <w:szCs w:val="18"/>
                <w:lang w:val="sr-Cyrl-CS"/>
              </w:rPr>
              <w:t xml:space="preserve">1.500.000 </w:t>
            </w:r>
            <w:r w:rsidR="00040667" w:rsidRPr="00092ED7">
              <w:rPr>
                <w:rFonts w:eastAsia="Times New Roman" w:cs="Times New Roman"/>
                <w:iCs/>
                <w:sz w:val="18"/>
                <w:szCs w:val="18"/>
                <w:lang w:val="sr-Cyrl-CS"/>
              </w:rPr>
              <w:t>евра</w:t>
            </w:r>
          </w:p>
          <w:p w14:paraId="534C56CB" w14:textId="77777777" w:rsidR="00040667" w:rsidRPr="00092ED7" w:rsidRDefault="00040667" w:rsidP="00875ED4">
            <w:pPr>
              <w:spacing w:after="60"/>
              <w:jc w:val="left"/>
              <w:rPr>
                <w:rFonts w:eastAsia="Times New Roman" w:cs="Times New Roman"/>
                <w:iCs/>
                <w:sz w:val="18"/>
                <w:szCs w:val="18"/>
                <w:lang w:val="sr-Cyrl-CS"/>
              </w:rPr>
            </w:pPr>
          </w:p>
          <w:p w14:paraId="098F911D" w14:textId="1A6F0606" w:rsidR="00040667" w:rsidRPr="00092ED7" w:rsidRDefault="00040667" w:rsidP="00040667">
            <w:pPr>
              <w:spacing w:after="60"/>
              <w:jc w:val="left"/>
              <w:rPr>
                <w:rFonts w:eastAsia="Times New Roman" w:cs="Times New Roman"/>
                <w:iCs/>
                <w:sz w:val="18"/>
                <w:szCs w:val="18"/>
                <w:lang w:val="sr-Cyrl-CS"/>
              </w:rPr>
            </w:pPr>
          </w:p>
        </w:tc>
      </w:tr>
      <w:tr w:rsidR="00F50B50" w:rsidRPr="00092ED7" w14:paraId="7615A89F" w14:textId="77777777" w:rsidTr="00F50B50">
        <w:trPr>
          <w:trHeight w:val="950"/>
        </w:trPr>
        <w:tc>
          <w:tcPr>
            <w:tcW w:w="1635" w:type="dxa"/>
            <w:tcBorders>
              <w:top w:val="single" w:sz="6" w:space="0" w:color="000000"/>
              <w:left w:val="single" w:sz="6" w:space="0" w:color="000000"/>
              <w:bottom w:val="single" w:sz="6" w:space="0" w:color="000000"/>
              <w:right w:val="single" w:sz="6" w:space="0" w:color="000000"/>
            </w:tcBorders>
          </w:tcPr>
          <w:p w14:paraId="2836A978" w14:textId="77777777" w:rsidR="00F50B50" w:rsidRPr="00092ED7" w:rsidRDefault="00E83FFC" w:rsidP="00875ED4">
            <w:pPr>
              <w:spacing w:after="60"/>
              <w:jc w:val="left"/>
              <w:rPr>
                <w:rFonts w:eastAsia="Times New Roman" w:cs="Times New Roman"/>
                <w:b/>
                <w:bCs/>
                <w:sz w:val="20"/>
                <w:szCs w:val="20"/>
                <w:lang w:val="sr-Cyrl-CS"/>
              </w:rPr>
            </w:pPr>
            <w:r w:rsidRPr="00092ED7">
              <w:rPr>
                <w:rFonts w:eastAsia="Times New Roman" w:cs="Times New Roman"/>
                <w:b/>
                <w:bCs/>
                <w:sz w:val="20"/>
                <w:szCs w:val="20"/>
                <w:lang w:val="sr-Cyrl-CS"/>
              </w:rPr>
              <w:t xml:space="preserve">СР </w:t>
            </w:r>
            <w:r w:rsidR="00F50B50" w:rsidRPr="00092ED7">
              <w:rPr>
                <w:rFonts w:eastAsia="Times New Roman" w:cs="Times New Roman"/>
                <w:b/>
                <w:bCs/>
                <w:sz w:val="20"/>
                <w:szCs w:val="20"/>
                <w:lang w:val="sr-Cyrl-CS"/>
              </w:rPr>
              <w:t>2</w:t>
            </w:r>
            <w:r w:rsidRPr="00092ED7">
              <w:rPr>
                <w:rFonts w:eastAsia="Times New Roman" w:cs="Times New Roman"/>
                <w:b/>
                <w:bCs/>
                <w:sz w:val="20"/>
                <w:szCs w:val="20"/>
                <w:lang w:val="sr-Cyrl-CS"/>
              </w:rPr>
              <w:t>.</w:t>
            </w:r>
            <w:r w:rsidR="00F50B50" w:rsidRPr="00092ED7">
              <w:rPr>
                <w:rFonts w:eastAsia="Times New Roman" w:cs="Times New Roman"/>
                <w:b/>
                <w:bCs/>
                <w:sz w:val="20"/>
                <w:szCs w:val="20"/>
                <w:lang w:val="sr-Cyrl-CS"/>
              </w:rPr>
              <w:t xml:space="preserve"> Реформа Фонда за младе таленте</w:t>
            </w:r>
          </w:p>
        </w:tc>
        <w:tc>
          <w:tcPr>
            <w:tcW w:w="1498" w:type="dxa"/>
            <w:tcBorders>
              <w:top w:val="single" w:sz="6" w:space="0" w:color="000000"/>
              <w:left w:val="single" w:sz="6" w:space="0" w:color="000000"/>
              <w:bottom w:val="single" w:sz="6" w:space="0" w:color="000000"/>
              <w:right w:val="single" w:sz="6" w:space="0" w:color="000000"/>
            </w:tcBorders>
          </w:tcPr>
          <w:p w14:paraId="54102574" w14:textId="77777777" w:rsidR="00F50B50" w:rsidRPr="00092ED7" w:rsidRDefault="00E83FFC" w:rsidP="00875ED4">
            <w:pPr>
              <w:spacing w:after="60"/>
              <w:jc w:val="left"/>
              <w:rPr>
                <w:rFonts w:eastAsia="Times New Roman" w:cs="Times New Roman"/>
                <w:b/>
                <w:iCs/>
                <w:sz w:val="18"/>
                <w:szCs w:val="18"/>
                <w:lang w:val="sr-Cyrl-CS"/>
              </w:rPr>
            </w:pPr>
            <w:r w:rsidRPr="00092ED7">
              <w:rPr>
                <w:rFonts w:eastAsia="Times New Roman" w:cs="Times New Roman"/>
                <w:b/>
                <w:iCs/>
                <w:sz w:val="18"/>
                <w:szCs w:val="18"/>
                <w:lang w:val="sr-Cyrl-CS"/>
              </w:rPr>
              <w:t xml:space="preserve">КСИ 1. </w:t>
            </w:r>
            <w:r w:rsidRPr="00092ED7">
              <w:rPr>
                <w:rFonts w:eastAsia="Times New Roman" w:cs="Times New Roman"/>
                <w:iCs/>
                <w:sz w:val="18"/>
                <w:szCs w:val="18"/>
                <w:lang w:val="sr-Cyrl-CS"/>
              </w:rPr>
              <w:t>Повећање запослености, посебно младих, жена и угрожених група и социјална заштита од сиромаштва</w:t>
            </w:r>
          </w:p>
        </w:tc>
        <w:tc>
          <w:tcPr>
            <w:tcW w:w="1750" w:type="dxa"/>
            <w:tcBorders>
              <w:top w:val="single" w:sz="6" w:space="0" w:color="000000"/>
              <w:left w:val="single" w:sz="6" w:space="0" w:color="000000"/>
              <w:bottom w:val="single" w:sz="6" w:space="0" w:color="000000"/>
              <w:right w:val="single" w:sz="6" w:space="0" w:color="000000"/>
            </w:tcBorders>
          </w:tcPr>
          <w:p w14:paraId="0A79AA36" w14:textId="77777777" w:rsidR="00F50B50" w:rsidRPr="00092ED7" w:rsidRDefault="00F50B50" w:rsidP="00875ED4">
            <w:pPr>
              <w:spacing w:after="60"/>
              <w:jc w:val="left"/>
              <w:rPr>
                <w:rFonts w:eastAsia="Times New Roman" w:cs="Times New Roman"/>
                <w:b/>
                <w:iCs/>
                <w:sz w:val="18"/>
                <w:szCs w:val="18"/>
                <w:lang w:val="sr-Cyrl-CS"/>
              </w:rPr>
            </w:pPr>
          </w:p>
        </w:tc>
        <w:tc>
          <w:tcPr>
            <w:tcW w:w="2015" w:type="dxa"/>
            <w:tcBorders>
              <w:top w:val="single" w:sz="6" w:space="0" w:color="000000"/>
              <w:left w:val="single" w:sz="6" w:space="0" w:color="000000"/>
              <w:bottom w:val="single" w:sz="6" w:space="0" w:color="000000"/>
              <w:right w:val="single" w:sz="6" w:space="0" w:color="000000"/>
            </w:tcBorders>
          </w:tcPr>
          <w:p w14:paraId="78838FA3" w14:textId="77777777" w:rsidR="00F50B50" w:rsidRPr="00092ED7" w:rsidRDefault="00F50B50" w:rsidP="00875ED4">
            <w:pPr>
              <w:pStyle w:val="Default"/>
              <w:spacing w:after="60"/>
              <w:jc w:val="left"/>
              <w:rPr>
                <w:rFonts w:ascii="Times New Roman" w:hAnsi="Times New Roman" w:cs="Times New Roman"/>
                <w:iCs/>
                <w:color w:val="auto"/>
                <w:sz w:val="18"/>
                <w:szCs w:val="18"/>
                <w:lang w:val="sr-Cyrl-CS"/>
              </w:rPr>
            </w:pPr>
            <w:r w:rsidRPr="00092ED7">
              <w:rPr>
                <w:rFonts w:ascii="Times New Roman" w:hAnsi="Times New Roman" w:cs="Times New Roman"/>
                <w:iCs/>
                <w:color w:val="auto"/>
                <w:sz w:val="18"/>
                <w:szCs w:val="18"/>
                <w:lang w:val="sr-Cyrl-CS"/>
              </w:rPr>
              <w:t>- Омладинска политика и механизми подршке су недовољно и  неједнако развијени и треба их даље јачати</w:t>
            </w:r>
          </w:p>
        </w:tc>
        <w:tc>
          <w:tcPr>
            <w:tcW w:w="1932" w:type="dxa"/>
            <w:tcBorders>
              <w:top w:val="single" w:sz="6" w:space="0" w:color="000000"/>
              <w:left w:val="single" w:sz="6" w:space="0" w:color="000000"/>
              <w:bottom w:val="single" w:sz="6" w:space="0" w:color="000000"/>
              <w:right w:val="single" w:sz="6" w:space="0" w:color="000000"/>
            </w:tcBorders>
          </w:tcPr>
          <w:p w14:paraId="6A2A5EFE" w14:textId="77777777" w:rsidR="00F50B50" w:rsidRPr="00092ED7" w:rsidRDefault="00F50B50" w:rsidP="00875ED4">
            <w:pPr>
              <w:spacing w:after="60"/>
              <w:jc w:val="left"/>
              <w:rPr>
                <w:rFonts w:eastAsia="Times New Roman" w:cs="Times New Roman"/>
                <w:b/>
                <w:bCs/>
                <w:sz w:val="18"/>
                <w:szCs w:val="18"/>
                <w:lang w:val="sr-Cyrl-CS"/>
              </w:rPr>
            </w:pPr>
            <w:r w:rsidRPr="00092ED7">
              <w:rPr>
                <w:rFonts w:eastAsia="Times New Roman" w:cs="Times New Roman"/>
                <w:b/>
                <w:bCs/>
                <w:sz w:val="18"/>
                <w:szCs w:val="18"/>
                <w:lang w:val="sr-Cyrl-CS"/>
              </w:rPr>
              <w:t xml:space="preserve">ЦОР 4.4 </w:t>
            </w:r>
            <w:r w:rsidRPr="00092ED7">
              <w:rPr>
                <w:rFonts w:eastAsia="Times New Roman" w:cs="Times New Roman"/>
                <w:bCs/>
                <w:sz w:val="18"/>
                <w:szCs w:val="18"/>
                <w:lang w:val="sr-Cyrl-CS"/>
              </w:rPr>
              <w:t>До 2030. значајно повећати број младих и одраслих који имају одговарајуће вештине, укључујући техничке и стручне, за запошљавање, достојне послове и предузетништво</w:t>
            </w:r>
          </w:p>
        </w:tc>
        <w:tc>
          <w:tcPr>
            <w:tcW w:w="2409" w:type="dxa"/>
            <w:tcBorders>
              <w:top w:val="single" w:sz="6" w:space="0" w:color="000000"/>
              <w:left w:val="single" w:sz="6" w:space="0" w:color="000000"/>
              <w:bottom w:val="single" w:sz="6" w:space="0" w:color="000000"/>
              <w:right w:val="single" w:sz="6" w:space="0" w:color="000000"/>
            </w:tcBorders>
          </w:tcPr>
          <w:p w14:paraId="768B1CFF" w14:textId="3046E51B" w:rsidR="00F50B50" w:rsidRPr="00092ED7" w:rsidRDefault="00F50B50" w:rsidP="00875ED4">
            <w:pPr>
              <w:spacing w:after="60"/>
              <w:jc w:val="left"/>
              <w:rPr>
                <w:rFonts w:eastAsia="Times New Roman" w:cs="Times New Roman"/>
                <w:iCs/>
                <w:sz w:val="18"/>
                <w:szCs w:val="18"/>
                <w:lang w:val="sr-Cyrl-CS"/>
              </w:rPr>
            </w:pPr>
            <w:r w:rsidRPr="00092ED7">
              <w:rPr>
                <w:rFonts w:eastAsia="Times New Roman" w:cs="Times New Roman"/>
                <w:i/>
                <w:iCs/>
                <w:sz w:val="18"/>
                <w:szCs w:val="18"/>
                <w:lang w:val="sr-Cyrl-CS"/>
              </w:rPr>
              <w:t>Стварање могућности за едукацију у области заштите животне средине, уз повећање сарадње са секторима и партнерима  у сфери ,,зелених</w:t>
            </w:r>
            <w:r w:rsidR="0063659E" w:rsidRPr="00092ED7">
              <w:rPr>
                <w:rFonts w:cs="Times New Roman"/>
                <w:i/>
                <w:sz w:val="18"/>
                <w:szCs w:val="18"/>
                <w:lang w:val="sr-Cyrl-CS"/>
              </w:rPr>
              <w:t>”</w:t>
            </w:r>
            <w:r w:rsidRPr="00092ED7">
              <w:rPr>
                <w:rFonts w:eastAsia="Times New Roman" w:cs="Times New Roman"/>
                <w:i/>
                <w:iCs/>
                <w:sz w:val="18"/>
                <w:szCs w:val="18"/>
                <w:lang w:val="sr-Cyrl-CS"/>
              </w:rPr>
              <w:t xml:space="preserve"> послова</w:t>
            </w:r>
          </w:p>
        </w:tc>
        <w:tc>
          <w:tcPr>
            <w:tcW w:w="1843" w:type="dxa"/>
            <w:tcBorders>
              <w:top w:val="single" w:sz="6" w:space="0" w:color="000000"/>
              <w:left w:val="single" w:sz="6" w:space="0" w:color="000000"/>
              <w:bottom w:val="single" w:sz="6" w:space="0" w:color="000000"/>
              <w:right w:val="single" w:sz="6" w:space="0" w:color="000000"/>
            </w:tcBorders>
          </w:tcPr>
          <w:p w14:paraId="51E463F6" w14:textId="77777777" w:rsidR="00F50B50" w:rsidRPr="00092ED7" w:rsidRDefault="00F50B50" w:rsidP="00875ED4">
            <w:pPr>
              <w:spacing w:after="60"/>
              <w:jc w:val="left"/>
              <w:rPr>
                <w:rFonts w:eastAsia="Times New Roman" w:cs="Times New Roman"/>
                <w:bCs/>
                <w:iCs/>
                <w:sz w:val="18"/>
                <w:szCs w:val="18"/>
                <w:lang w:val="sr-Cyrl-CS"/>
              </w:rPr>
            </w:pPr>
            <w:r w:rsidRPr="00092ED7">
              <w:rPr>
                <w:rFonts w:eastAsia="Times New Roman" w:cs="Times New Roman"/>
                <w:bCs/>
                <w:iCs/>
                <w:sz w:val="18"/>
                <w:szCs w:val="18"/>
                <w:lang w:val="sr-Cyrl-CS"/>
              </w:rPr>
              <w:t xml:space="preserve">Агенда иновација за Западни Балкан - поспешивање развоја људског капитала, заустављање одлива мозгова и подстицање циркулације мозгова. </w:t>
            </w:r>
          </w:p>
          <w:p w14:paraId="41DBC1FD" w14:textId="77777777" w:rsidR="00F50B50" w:rsidRPr="00092ED7" w:rsidRDefault="00F50B50" w:rsidP="00875ED4">
            <w:pPr>
              <w:spacing w:after="60"/>
              <w:jc w:val="left"/>
              <w:rPr>
                <w:rFonts w:eastAsia="Times New Roman" w:cs="Times New Roman"/>
                <w:b/>
                <w:bCs/>
                <w:iCs/>
                <w:sz w:val="18"/>
                <w:szCs w:val="18"/>
                <w:lang w:val="sr-Cyrl-CS"/>
              </w:rPr>
            </w:pPr>
            <w:r w:rsidRPr="00092ED7">
              <w:rPr>
                <w:rFonts w:eastAsia="Times New Roman" w:cs="Times New Roman"/>
                <w:bCs/>
                <w:iCs/>
                <w:sz w:val="18"/>
                <w:szCs w:val="18"/>
                <w:lang w:val="sr-Cyrl-CS"/>
              </w:rPr>
              <w:t xml:space="preserve">Промовисање инклузивног и висококвалитетног система образовања и </w:t>
            </w:r>
            <w:r w:rsidRPr="00092ED7">
              <w:rPr>
                <w:rFonts w:eastAsia="Times New Roman" w:cs="Times New Roman"/>
                <w:bCs/>
                <w:iCs/>
                <w:sz w:val="18"/>
                <w:szCs w:val="18"/>
                <w:lang w:val="sr-Cyrl-CS"/>
              </w:rPr>
              <w:lastRenderedPageBreak/>
              <w:t>обуке, пружајући младима боље изгледе.</w:t>
            </w:r>
          </w:p>
        </w:tc>
        <w:tc>
          <w:tcPr>
            <w:tcW w:w="1559" w:type="dxa"/>
            <w:tcBorders>
              <w:top w:val="single" w:sz="6" w:space="0" w:color="000000"/>
              <w:left w:val="single" w:sz="6" w:space="0" w:color="000000"/>
              <w:bottom w:val="single" w:sz="6" w:space="0" w:color="000000"/>
              <w:right w:val="single" w:sz="6" w:space="0" w:color="000000"/>
            </w:tcBorders>
          </w:tcPr>
          <w:p w14:paraId="26ADD6C9" w14:textId="77777777" w:rsidR="00F50B50" w:rsidRPr="00092ED7" w:rsidRDefault="00F50B50" w:rsidP="00875ED4">
            <w:pPr>
              <w:spacing w:after="60"/>
              <w:jc w:val="left"/>
              <w:rPr>
                <w:rFonts w:eastAsia="Times New Roman" w:cs="Times New Roman"/>
                <w:iCs/>
                <w:sz w:val="18"/>
                <w:szCs w:val="18"/>
                <w:lang w:val="sr-Cyrl-CS" w:bidi="sr-Cyrl-CS"/>
              </w:rPr>
            </w:pPr>
            <w:r w:rsidRPr="00092ED7">
              <w:rPr>
                <w:rFonts w:eastAsia="Times New Roman" w:cs="Times New Roman"/>
                <w:iCs/>
                <w:sz w:val="18"/>
                <w:szCs w:val="18"/>
                <w:lang w:val="sr-Cyrl-CS" w:bidi="sr-Cyrl-CS"/>
              </w:rPr>
              <w:lastRenderedPageBreak/>
              <w:t>/</w:t>
            </w:r>
          </w:p>
        </w:tc>
      </w:tr>
      <w:tr w:rsidR="00F50B50" w:rsidRPr="00092ED7" w14:paraId="2F17AE21" w14:textId="77777777" w:rsidTr="00F50B50">
        <w:trPr>
          <w:trHeight w:val="808"/>
        </w:trPr>
        <w:tc>
          <w:tcPr>
            <w:tcW w:w="1635" w:type="dxa"/>
            <w:tcBorders>
              <w:top w:val="single" w:sz="6" w:space="0" w:color="000000"/>
              <w:left w:val="single" w:sz="6" w:space="0" w:color="000000"/>
              <w:bottom w:val="single" w:sz="6" w:space="0" w:color="000000"/>
              <w:right w:val="single" w:sz="6" w:space="0" w:color="000000"/>
            </w:tcBorders>
          </w:tcPr>
          <w:p w14:paraId="37F2C02B" w14:textId="77777777" w:rsidR="00F50B50" w:rsidRPr="00092ED7" w:rsidRDefault="00F50B50" w:rsidP="00875ED4">
            <w:pPr>
              <w:spacing w:after="60"/>
              <w:jc w:val="left"/>
              <w:rPr>
                <w:rFonts w:eastAsia="Times New Roman" w:cs="Times New Roman"/>
                <w:b/>
                <w:bCs/>
                <w:sz w:val="20"/>
                <w:szCs w:val="20"/>
                <w:lang w:val="sr-Cyrl-CS"/>
              </w:rPr>
            </w:pPr>
            <w:r w:rsidRPr="00092ED7">
              <w:rPr>
                <w:rFonts w:eastAsia="Times New Roman" w:cs="Times New Roman"/>
                <w:b/>
                <w:bCs/>
                <w:sz w:val="20"/>
                <w:szCs w:val="20"/>
                <w:lang w:val="sr-Cyrl-CS"/>
              </w:rPr>
              <w:t>СР 3. Квалификације оријентисане према потребама тржишта рада</w:t>
            </w:r>
          </w:p>
        </w:tc>
        <w:tc>
          <w:tcPr>
            <w:tcW w:w="1498" w:type="dxa"/>
            <w:tcBorders>
              <w:top w:val="single" w:sz="6" w:space="0" w:color="000000"/>
              <w:left w:val="single" w:sz="6" w:space="0" w:color="000000"/>
              <w:bottom w:val="single" w:sz="6" w:space="0" w:color="000000"/>
              <w:right w:val="single" w:sz="6" w:space="0" w:color="000000"/>
            </w:tcBorders>
          </w:tcPr>
          <w:p w14:paraId="76C2F461" w14:textId="77777777" w:rsidR="00F50B50" w:rsidRPr="00092ED7" w:rsidRDefault="00E83FFC" w:rsidP="00875ED4">
            <w:pPr>
              <w:spacing w:after="60"/>
              <w:jc w:val="left"/>
              <w:rPr>
                <w:rFonts w:eastAsia="Times New Roman" w:cs="Times New Roman"/>
                <w:iCs/>
                <w:sz w:val="18"/>
                <w:szCs w:val="18"/>
                <w:lang w:val="sr-Cyrl-CS"/>
              </w:rPr>
            </w:pPr>
            <w:r w:rsidRPr="00092ED7">
              <w:rPr>
                <w:rFonts w:eastAsia="Times New Roman" w:cs="Times New Roman"/>
                <w:b/>
                <w:iCs/>
                <w:sz w:val="18"/>
                <w:szCs w:val="18"/>
                <w:lang w:val="sr-Cyrl-CS"/>
              </w:rPr>
              <w:t xml:space="preserve">КСИ 1. </w:t>
            </w:r>
            <w:r w:rsidRPr="00092ED7">
              <w:rPr>
                <w:rFonts w:eastAsia="Times New Roman" w:cs="Times New Roman"/>
                <w:iCs/>
                <w:sz w:val="18"/>
                <w:szCs w:val="18"/>
                <w:lang w:val="sr-Cyrl-CS"/>
              </w:rPr>
              <w:t>Повећање запослености, посебно младих, жена и угрожених група и социјална заштита од сиромаштва</w:t>
            </w:r>
          </w:p>
        </w:tc>
        <w:tc>
          <w:tcPr>
            <w:tcW w:w="1750" w:type="dxa"/>
            <w:tcBorders>
              <w:top w:val="single" w:sz="6" w:space="0" w:color="000000"/>
              <w:left w:val="single" w:sz="6" w:space="0" w:color="000000"/>
              <w:bottom w:val="single" w:sz="6" w:space="0" w:color="000000"/>
              <w:right w:val="single" w:sz="6" w:space="0" w:color="000000"/>
            </w:tcBorders>
          </w:tcPr>
          <w:p w14:paraId="3026275F" w14:textId="77777777" w:rsidR="00F50B50" w:rsidRPr="00092ED7" w:rsidRDefault="00F50B50" w:rsidP="00875ED4">
            <w:pPr>
              <w:spacing w:after="60"/>
              <w:jc w:val="left"/>
              <w:rPr>
                <w:rFonts w:eastAsia="Times New Roman" w:cs="Times New Roman"/>
                <w:iCs/>
                <w:sz w:val="18"/>
                <w:szCs w:val="18"/>
                <w:lang w:val="sr-Cyrl-CS"/>
              </w:rPr>
            </w:pPr>
            <w:r w:rsidRPr="00092ED7">
              <w:rPr>
                <w:rFonts w:eastAsia="Times New Roman" w:cs="Times New Roman"/>
                <w:b/>
                <w:iCs/>
                <w:sz w:val="18"/>
                <w:szCs w:val="18"/>
                <w:lang w:val="sr-Cyrl-CS"/>
              </w:rPr>
              <w:t>Препорука 6.</w:t>
            </w:r>
            <w:r w:rsidRPr="00092ED7">
              <w:rPr>
                <w:rFonts w:eastAsia="Times New Roman" w:cs="Times New Roman"/>
                <w:iCs/>
                <w:sz w:val="18"/>
                <w:szCs w:val="18"/>
                <w:lang w:val="sr-Cyrl-CS"/>
              </w:rPr>
              <w:t xml:space="preserve"> </w:t>
            </w:r>
          </w:p>
          <w:p w14:paraId="42C14459" w14:textId="77777777" w:rsidR="00F50B50" w:rsidRPr="00092ED7" w:rsidRDefault="00F50B50" w:rsidP="00875ED4">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Наставити са олакшавањем преласка из школе на радно место даљим јачањем стручног образовања, укључујући дуално стручно образовање, кроз ревидиране наставне планове и програме и обезбеђивање инфраструктуре која омогућава стицање практичних вештина</w:t>
            </w:r>
          </w:p>
        </w:tc>
        <w:tc>
          <w:tcPr>
            <w:tcW w:w="2015" w:type="dxa"/>
            <w:tcBorders>
              <w:top w:val="single" w:sz="6" w:space="0" w:color="000000"/>
              <w:left w:val="single" w:sz="6" w:space="0" w:color="000000"/>
              <w:bottom w:val="single" w:sz="6" w:space="0" w:color="000000"/>
              <w:right w:val="single" w:sz="6" w:space="0" w:color="000000"/>
            </w:tcBorders>
          </w:tcPr>
          <w:p w14:paraId="0B67E633" w14:textId="77777777" w:rsidR="00F50B50" w:rsidRPr="00092ED7" w:rsidRDefault="00F50B50" w:rsidP="00875ED4">
            <w:pPr>
              <w:pStyle w:val="Default"/>
              <w:spacing w:after="60"/>
              <w:jc w:val="left"/>
              <w:rPr>
                <w:rFonts w:ascii="Times New Roman" w:hAnsi="Times New Roman" w:cs="Times New Roman"/>
                <w:iCs/>
                <w:color w:val="auto"/>
                <w:sz w:val="18"/>
                <w:szCs w:val="18"/>
                <w:lang w:val="sr-Cyrl-CS"/>
              </w:rPr>
            </w:pPr>
            <w:r w:rsidRPr="00092ED7">
              <w:rPr>
                <w:rFonts w:ascii="Times New Roman" w:hAnsi="Times New Roman" w:cs="Times New Roman"/>
                <w:iCs/>
                <w:color w:val="auto"/>
                <w:sz w:val="18"/>
                <w:szCs w:val="18"/>
                <w:lang w:val="sr-Cyrl-CS"/>
              </w:rPr>
              <w:t>- Потребно је настави рад на модернизацији и унапређењу стандарда квалификација како би се побољшала релевантност стручног образовања и даље развио национални модел учења з</w:t>
            </w:r>
            <w:r w:rsidR="00875ED4" w:rsidRPr="00092ED7">
              <w:rPr>
                <w:rFonts w:ascii="Times New Roman" w:hAnsi="Times New Roman" w:cs="Times New Roman"/>
                <w:iCs/>
                <w:color w:val="auto"/>
                <w:sz w:val="18"/>
                <w:szCs w:val="18"/>
                <w:lang w:val="sr-Cyrl-CS"/>
              </w:rPr>
              <w:t>аснованог на дуалном образовању</w:t>
            </w:r>
          </w:p>
        </w:tc>
        <w:tc>
          <w:tcPr>
            <w:tcW w:w="1932" w:type="dxa"/>
            <w:tcBorders>
              <w:top w:val="single" w:sz="6" w:space="0" w:color="000000"/>
              <w:left w:val="single" w:sz="6" w:space="0" w:color="000000"/>
              <w:bottom w:val="single" w:sz="6" w:space="0" w:color="000000"/>
              <w:right w:val="single" w:sz="6" w:space="0" w:color="000000"/>
            </w:tcBorders>
          </w:tcPr>
          <w:p w14:paraId="2BF6DA2A" w14:textId="77777777" w:rsidR="00F50B50" w:rsidRPr="00092ED7" w:rsidRDefault="00F50B50" w:rsidP="00875ED4">
            <w:pPr>
              <w:spacing w:after="60"/>
              <w:jc w:val="left"/>
              <w:rPr>
                <w:rFonts w:eastAsia="Times New Roman" w:cs="Times New Roman"/>
                <w:bCs/>
                <w:sz w:val="18"/>
                <w:szCs w:val="18"/>
                <w:lang w:val="sr-Cyrl-CS"/>
              </w:rPr>
            </w:pPr>
            <w:r w:rsidRPr="00092ED7">
              <w:rPr>
                <w:rFonts w:eastAsia="Times New Roman" w:cs="Times New Roman"/>
                <w:b/>
                <w:bCs/>
                <w:sz w:val="18"/>
                <w:szCs w:val="18"/>
                <w:lang w:val="sr-Cyrl-CS"/>
              </w:rPr>
              <w:t>ЦОР 4.3.</w:t>
            </w:r>
            <w:r w:rsidRPr="00092ED7">
              <w:rPr>
                <w:rFonts w:eastAsia="Times New Roman" w:cs="Times New Roman"/>
                <w:bCs/>
                <w:sz w:val="18"/>
                <w:szCs w:val="18"/>
                <w:lang w:val="sr-Cyrl-CS"/>
              </w:rPr>
              <w:t xml:space="preserve"> До 2030. обезбедити једнаку доступност приступачног и квалитетног стручног образовања на свим нивоима, укључујући и универзитетско, за све жене и мушкарце </w:t>
            </w:r>
          </w:p>
          <w:p w14:paraId="381C5A78" w14:textId="77777777" w:rsidR="00F50B50" w:rsidRPr="00092ED7" w:rsidRDefault="00F50B50" w:rsidP="00875ED4">
            <w:pPr>
              <w:spacing w:after="60"/>
              <w:jc w:val="left"/>
              <w:rPr>
                <w:rFonts w:eastAsia="Times New Roman" w:cs="Times New Roman"/>
                <w:bCs/>
                <w:sz w:val="18"/>
                <w:szCs w:val="18"/>
                <w:lang w:val="sr-Cyrl-CS"/>
              </w:rPr>
            </w:pPr>
            <w:r w:rsidRPr="00092ED7">
              <w:rPr>
                <w:rFonts w:eastAsia="Times New Roman" w:cs="Times New Roman"/>
                <w:b/>
                <w:bCs/>
                <w:sz w:val="18"/>
                <w:szCs w:val="18"/>
                <w:lang w:val="sr-Cyrl-CS"/>
              </w:rPr>
              <w:t>ЦОР 4.4.</w:t>
            </w:r>
            <w:r w:rsidRPr="00092ED7">
              <w:rPr>
                <w:rFonts w:eastAsia="Times New Roman" w:cs="Times New Roman"/>
                <w:bCs/>
                <w:sz w:val="18"/>
                <w:szCs w:val="18"/>
                <w:lang w:val="sr-Cyrl-CS"/>
              </w:rPr>
              <w:t xml:space="preserve"> До 2030. значајно повећати број младих и одраслих који имају релевантне вештине, укључујући техничке и стручне, за запошљавање, достојне послове и предузетништво</w:t>
            </w:r>
          </w:p>
          <w:p w14:paraId="32C785EF" w14:textId="77777777" w:rsidR="00F50B50" w:rsidRPr="00092ED7" w:rsidRDefault="00F50B50" w:rsidP="00875ED4">
            <w:pPr>
              <w:spacing w:after="60"/>
              <w:jc w:val="left"/>
              <w:rPr>
                <w:rFonts w:eastAsia="Times New Roman" w:cs="Times New Roman"/>
                <w:bCs/>
                <w:sz w:val="18"/>
                <w:szCs w:val="18"/>
                <w:lang w:val="sr-Cyrl-CS"/>
              </w:rPr>
            </w:pPr>
            <w:r w:rsidRPr="00092ED7">
              <w:rPr>
                <w:rFonts w:eastAsia="Times New Roman" w:cs="Times New Roman"/>
                <w:b/>
                <w:bCs/>
                <w:sz w:val="18"/>
                <w:szCs w:val="18"/>
                <w:lang w:val="sr-Cyrl-CS"/>
              </w:rPr>
              <w:t>ЦОР 8.6</w:t>
            </w:r>
            <w:r w:rsidRPr="00092ED7">
              <w:rPr>
                <w:rFonts w:eastAsia="Times New Roman" w:cs="Times New Roman"/>
                <w:bCs/>
                <w:sz w:val="18"/>
                <w:szCs w:val="18"/>
                <w:lang w:val="sr-Cyrl-CS"/>
              </w:rPr>
              <w:t xml:space="preserve"> До 2020. битно смањити удео младих који нису запослени нити у процесу образовања или обуке</w:t>
            </w:r>
          </w:p>
        </w:tc>
        <w:tc>
          <w:tcPr>
            <w:tcW w:w="2409" w:type="dxa"/>
            <w:tcBorders>
              <w:top w:val="single" w:sz="6" w:space="0" w:color="000000"/>
              <w:left w:val="single" w:sz="6" w:space="0" w:color="000000"/>
              <w:bottom w:val="single" w:sz="6" w:space="0" w:color="000000"/>
              <w:right w:val="single" w:sz="6" w:space="0" w:color="000000"/>
            </w:tcBorders>
          </w:tcPr>
          <w:p w14:paraId="2B6A0196" w14:textId="77777777" w:rsidR="00F50B50" w:rsidRPr="00092ED7" w:rsidRDefault="00F50B50" w:rsidP="00875ED4">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 xml:space="preserve">Директан утицај на </w:t>
            </w:r>
            <w:r w:rsidRPr="00092ED7">
              <w:rPr>
                <w:rFonts w:eastAsia="Times New Roman" w:cs="Times New Roman"/>
                <w:b/>
                <w:iCs/>
                <w:sz w:val="18"/>
                <w:szCs w:val="18"/>
                <w:lang w:val="sr-Cyrl-CS"/>
              </w:rPr>
              <w:t xml:space="preserve">циљ 62 ЗАЗБ - </w:t>
            </w:r>
            <w:r w:rsidRPr="00092ED7">
              <w:rPr>
                <w:rFonts w:eastAsia="Times New Roman" w:cs="Times New Roman"/>
                <w:iCs/>
                <w:sz w:val="18"/>
                <w:szCs w:val="18"/>
                <w:lang w:val="sr-Cyrl-CS"/>
              </w:rPr>
              <w:t>Развити план за специфичне економске и регионалне активности подизања свести у свих пет стубова, укључујући одражавање Зеленог плана за Западни Балкан у реформе образовних система</w:t>
            </w:r>
          </w:p>
          <w:p w14:paraId="1CCB9037" w14:textId="77777777" w:rsidR="00F50B50" w:rsidRPr="00092ED7" w:rsidRDefault="00F50B50" w:rsidP="00875ED4">
            <w:pPr>
              <w:spacing w:after="60"/>
              <w:jc w:val="left"/>
              <w:rPr>
                <w:rFonts w:eastAsia="Times New Roman" w:cs="Times New Roman"/>
                <w:i/>
                <w:iCs/>
                <w:sz w:val="18"/>
                <w:szCs w:val="18"/>
                <w:lang w:val="sr-Cyrl-CS"/>
              </w:rPr>
            </w:pPr>
            <w:r w:rsidRPr="00092ED7">
              <w:rPr>
                <w:rFonts w:eastAsia="Times New Roman" w:cs="Times New Roman"/>
                <w:i/>
                <w:iCs/>
                <w:sz w:val="18"/>
                <w:szCs w:val="18"/>
                <w:lang w:val="sr-Cyrl-CS"/>
              </w:rPr>
              <w:t>Укључивање тема животне средине и климе у студијске програме, наставне планове и рад регионалних тренинг центра. На онај начин се развијају вештине које доприносе унапређењу области у оквиру Зелене агенде за Западни Балкан и Европског зеленог договора (клима, енергетска ефикасност, транспорт, пољопривреда, биодиверзитет…) и успостављају мере подршке (стандарди, процене, извештавање, планирање, евалуација, технологије, финансијски инструменти…)</w:t>
            </w:r>
          </w:p>
        </w:tc>
        <w:tc>
          <w:tcPr>
            <w:tcW w:w="1843" w:type="dxa"/>
            <w:tcBorders>
              <w:top w:val="single" w:sz="6" w:space="0" w:color="000000"/>
              <w:left w:val="single" w:sz="6" w:space="0" w:color="000000"/>
              <w:bottom w:val="single" w:sz="6" w:space="0" w:color="000000"/>
              <w:right w:val="single" w:sz="6" w:space="0" w:color="000000"/>
            </w:tcBorders>
          </w:tcPr>
          <w:p w14:paraId="486854B6" w14:textId="77777777" w:rsidR="00F50B50" w:rsidRPr="00092ED7" w:rsidRDefault="00F50B50" w:rsidP="00875ED4">
            <w:pPr>
              <w:spacing w:after="60"/>
              <w:jc w:val="left"/>
              <w:rPr>
                <w:rFonts w:eastAsia="Times New Roman" w:cs="Times New Roman"/>
                <w:iCs/>
                <w:sz w:val="18"/>
                <w:szCs w:val="18"/>
                <w:lang w:val="sr-Cyrl-CS"/>
              </w:rPr>
            </w:pPr>
            <w:r w:rsidRPr="00092ED7">
              <w:rPr>
                <w:rFonts w:eastAsia="Times New Roman" w:cs="Times New Roman"/>
                <w:b/>
                <w:bCs/>
                <w:iCs/>
                <w:sz w:val="18"/>
                <w:szCs w:val="18"/>
                <w:lang w:val="sr-Cyrl-CS"/>
              </w:rPr>
              <w:t>Поглавље IX Улагање у људски капитал</w:t>
            </w:r>
          </w:p>
          <w:p w14:paraId="6586B5F0" w14:textId="77777777" w:rsidR="00F50B50" w:rsidRPr="00092ED7" w:rsidRDefault="00F50B50" w:rsidP="00875ED4">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 Развој учења кроз рад у оквиру стручног образовања и обуке</w:t>
            </w:r>
          </w:p>
          <w:p w14:paraId="7BFEA0A2" w14:textId="77777777" w:rsidR="00F50B50" w:rsidRPr="00092ED7" w:rsidRDefault="00F50B50" w:rsidP="00875ED4">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 Повезивање са Европским оквиром квалификација</w:t>
            </w:r>
          </w:p>
          <w:p w14:paraId="72656EFE" w14:textId="77777777" w:rsidR="00F50B50" w:rsidRPr="00092ED7" w:rsidRDefault="00F50B50" w:rsidP="00875ED4">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Агенда иновација за Западни Балкан - поспешивање развоја људског капитала, заустављање одлива мозгова и подстицање циркулације мозгова</w:t>
            </w:r>
          </w:p>
        </w:tc>
        <w:tc>
          <w:tcPr>
            <w:tcW w:w="1559" w:type="dxa"/>
            <w:tcBorders>
              <w:top w:val="single" w:sz="6" w:space="0" w:color="000000"/>
              <w:left w:val="single" w:sz="6" w:space="0" w:color="000000"/>
              <w:bottom w:val="single" w:sz="6" w:space="0" w:color="000000"/>
              <w:right w:val="single" w:sz="6" w:space="0" w:color="000000"/>
            </w:tcBorders>
          </w:tcPr>
          <w:p w14:paraId="57248539" w14:textId="2ACFF6E1" w:rsidR="00F50B50" w:rsidRPr="00092ED7" w:rsidRDefault="00F50B50" w:rsidP="00875ED4">
            <w:pPr>
              <w:spacing w:after="60"/>
              <w:jc w:val="left"/>
              <w:rPr>
                <w:rFonts w:eastAsia="Times New Roman" w:cs="Times New Roman"/>
                <w:iCs/>
                <w:sz w:val="18"/>
                <w:szCs w:val="18"/>
                <w:lang w:val="sr-Cyrl-CS"/>
              </w:rPr>
            </w:pPr>
          </w:p>
        </w:tc>
      </w:tr>
      <w:tr w:rsidR="00F50B50" w:rsidRPr="00092ED7" w14:paraId="6ADBCF43" w14:textId="77777777" w:rsidTr="00F50B50">
        <w:trPr>
          <w:trHeight w:val="411"/>
        </w:trPr>
        <w:tc>
          <w:tcPr>
            <w:tcW w:w="1635" w:type="dxa"/>
            <w:tcBorders>
              <w:top w:val="single" w:sz="6" w:space="0" w:color="000000"/>
              <w:left w:val="single" w:sz="6" w:space="0" w:color="000000"/>
              <w:bottom w:val="single" w:sz="6" w:space="0" w:color="000000"/>
              <w:right w:val="single" w:sz="6" w:space="0" w:color="000000"/>
            </w:tcBorders>
          </w:tcPr>
          <w:p w14:paraId="3A7FFA56" w14:textId="77777777" w:rsidR="00F50B50" w:rsidRPr="00092ED7" w:rsidRDefault="00F50B50" w:rsidP="00875ED4">
            <w:pPr>
              <w:spacing w:after="60"/>
              <w:jc w:val="left"/>
              <w:rPr>
                <w:rFonts w:eastAsia="Times New Roman" w:cs="Times New Roman"/>
                <w:b/>
                <w:bCs/>
                <w:sz w:val="20"/>
                <w:szCs w:val="20"/>
                <w:lang w:val="sr-Cyrl-CS"/>
              </w:rPr>
            </w:pPr>
            <w:r w:rsidRPr="00092ED7">
              <w:rPr>
                <w:rFonts w:eastAsia="Times New Roman" w:cs="Times New Roman"/>
                <w:b/>
                <w:bCs/>
                <w:sz w:val="20"/>
                <w:szCs w:val="20"/>
                <w:lang w:val="sr-Cyrl-CS"/>
              </w:rPr>
              <w:t xml:space="preserve">СР 4. Унапређење амбијента за подстицање, </w:t>
            </w:r>
            <w:r w:rsidRPr="00092ED7">
              <w:rPr>
                <w:rFonts w:eastAsia="Times New Roman" w:cs="Times New Roman"/>
                <w:b/>
                <w:bCs/>
                <w:sz w:val="20"/>
                <w:szCs w:val="20"/>
                <w:lang w:val="sr-Cyrl-CS"/>
              </w:rPr>
              <w:lastRenderedPageBreak/>
              <w:t>подршку и праћење циркуларних и економских миграција</w:t>
            </w:r>
          </w:p>
        </w:tc>
        <w:tc>
          <w:tcPr>
            <w:tcW w:w="1498" w:type="dxa"/>
            <w:tcBorders>
              <w:top w:val="single" w:sz="6" w:space="0" w:color="000000"/>
              <w:left w:val="single" w:sz="6" w:space="0" w:color="000000"/>
              <w:bottom w:val="single" w:sz="6" w:space="0" w:color="000000"/>
              <w:right w:val="single" w:sz="6" w:space="0" w:color="000000"/>
            </w:tcBorders>
          </w:tcPr>
          <w:p w14:paraId="5AB3809E" w14:textId="77777777" w:rsidR="00F50B50" w:rsidRPr="00092ED7" w:rsidRDefault="00F50B50" w:rsidP="00E83FFC">
            <w:pPr>
              <w:spacing w:after="60"/>
              <w:jc w:val="left"/>
              <w:rPr>
                <w:rFonts w:eastAsia="Times New Roman" w:cs="Times New Roman"/>
                <w:iCs/>
                <w:sz w:val="18"/>
                <w:szCs w:val="18"/>
                <w:lang w:val="sr-Cyrl-CS"/>
              </w:rPr>
            </w:pPr>
            <w:r w:rsidRPr="00092ED7">
              <w:rPr>
                <w:rFonts w:eastAsia="Times New Roman" w:cs="Times New Roman"/>
                <w:b/>
                <w:iCs/>
                <w:sz w:val="18"/>
                <w:szCs w:val="18"/>
                <w:lang w:val="sr-Cyrl-CS"/>
              </w:rPr>
              <w:lastRenderedPageBreak/>
              <w:t xml:space="preserve">КСИ 1. </w:t>
            </w:r>
            <w:r w:rsidRPr="00092ED7">
              <w:rPr>
                <w:rFonts w:eastAsia="Times New Roman" w:cs="Times New Roman"/>
                <w:iCs/>
                <w:sz w:val="18"/>
                <w:szCs w:val="18"/>
                <w:lang w:val="sr-Cyrl-CS"/>
              </w:rPr>
              <w:t xml:space="preserve">Повећање запослености, посебно </w:t>
            </w:r>
            <w:r w:rsidR="00875ED4" w:rsidRPr="00092ED7">
              <w:rPr>
                <w:rFonts w:eastAsia="Times New Roman" w:cs="Times New Roman"/>
                <w:iCs/>
                <w:sz w:val="18"/>
                <w:szCs w:val="18"/>
                <w:lang w:val="sr-Cyrl-CS"/>
              </w:rPr>
              <w:t>младих</w:t>
            </w:r>
            <w:r w:rsidR="00E83FFC" w:rsidRPr="00092ED7">
              <w:rPr>
                <w:rFonts w:eastAsia="Times New Roman" w:cs="Times New Roman"/>
                <w:iCs/>
                <w:sz w:val="18"/>
                <w:szCs w:val="18"/>
                <w:lang w:val="sr-Cyrl-CS"/>
              </w:rPr>
              <w:t>,</w:t>
            </w:r>
            <w:r w:rsidR="00875ED4" w:rsidRPr="00092ED7">
              <w:rPr>
                <w:rFonts w:eastAsia="Times New Roman" w:cs="Times New Roman"/>
                <w:iCs/>
                <w:sz w:val="18"/>
                <w:szCs w:val="18"/>
                <w:lang w:val="sr-Cyrl-CS"/>
              </w:rPr>
              <w:t xml:space="preserve"> жена и угрожених </w:t>
            </w:r>
            <w:r w:rsidR="00875ED4" w:rsidRPr="00092ED7">
              <w:rPr>
                <w:rFonts w:eastAsia="Times New Roman" w:cs="Times New Roman"/>
                <w:iCs/>
                <w:sz w:val="18"/>
                <w:szCs w:val="18"/>
                <w:lang w:val="sr-Cyrl-CS"/>
              </w:rPr>
              <w:lastRenderedPageBreak/>
              <w:t>група</w:t>
            </w:r>
            <w:r w:rsidRPr="00092ED7">
              <w:rPr>
                <w:rFonts w:eastAsia="Times New Roman" w:cs="Times New Roman"/>
                <w:iCs/>
                <w:sz w:val="18"/>
                <w:szCs w:val="18"/>
                <w:lang w:val="sr-Cyrl-CS"/>
              </w:rPr>
              <w:t xml:space="preserve"> и социјалн</w:t>
            </w:r>
            <w:r w:rsidR="00875ED4" w:rsidRPr="00092ED7">
              <w:rPr>
                <w:rFonts w:eastAsia="Times New Roman" w:cs="Times New Roman"/>
                <w:iCs/>
                <w:sz w:val="18"/>
                <w:szCs w:val="18"/>
                <w:lang w:val="sr-Cyrl-CS"/>
              </w:rPr>
              <w:t>а</w:t>
            </w:r>
            <w:r w:rsidRPr="00092ED7">
              <w:rPr>
                <w:rFonts w:eastAsia="Times New Roman" w:cs="Times New Roman"/>
                <w:iCs/>
                <w:sz w:val="18"/>
                <w:szCs w:val="18"/>
                <w:lang w:val="sr-Cyrl-CS"/>
              </w:rPr>
              <w:t xml:space="preserve"> заштита од сиромаштва</w:t>
            </w:r>
          </w:p>
        </w:tc>
        <w:tc>
          <w:tcPr>
            <w:tcW w:w="1750" w:type="dxa"/>
            <w:tcBorders>
              <w:top w:val="single" w:sz="6" w:space="0" w:color="000000"/>
              <w:left w:val="single" w:sz="6" w:space="0" w:color="000000"/>
              <w:bottom w:val="single" w:sz="6" w:space="0" w:color="000000"/>
              <w:right w:val="single" w:sz="6" w:space="0" w:color="000000"/>
            </w:tcBorders>
          </w:tcPr>
          <w:p w14:paraId="335A2343" w14:textId="77777777" w:rsidR="00F50B50" w:rsidRPr="00092ED7" w:rsidRDefault="00F50B50" w:rsidP="00875ED4">
            <w:pPr>
              <w:spacing w:after="60"/>
              <w:jc w:val="left"/>
              <w:rPr>
                <w:rFonts w:eastAsia="Times New Roman" w:cs="Times New Roman"/>
                <w:b/>
                <w:iCs/>
                <w:sz w:val="18"/>
                <w:szCs w:val="18"/>
                <w:lang w:val="sr-Cyrl-CS"/>
              </w:rPr>
            </w:pPr>
          </w:p>
        </w:tc>
        <w:tc>
          <w:tcPr>
            <w:tcW w:w="2015" w:type="dxa"/>
            <w:tcBorders>
              <w:top w:val="single" w:sz="6" w:space="0" w:color="000000"/>
              <w:left w:val="single" w:sz="6" w:space="0" w:color="000000"/>
              <w:bottom w:val="single" w:sz="6" w:space="0" w:color="000000"/>
              <w:right w:val="single" w:sz="6" w:space="0" w:color="000000"/>
            </w:tcBorders>
          </w:tcPr>
          <w:p w14:paraId="24079077" w14:textId="77777777" w:rsidR="00F50B50" w:rsidRPr="00092ED7" w:rsidRDefault="00F50B50" w:rsidP="00875ED4">
            <w:pPr>
              <w:spacing w:after="60"/>
              <w:jc w:val="left"/>
              <w:rPr>
                <w:rFonts w:eastAsia="Times New Roman" w:cs="Times New Roman"/>
                <w:iCs/>
                <w:sz w:val="18"/>
                <w:szCs w:val="18"/>
                <w:lang w:val="sr-Cyrl-CS"/>
              </w:rPr>
            </w:pPr>
          </w:p>
        </w:tc>
        <w:tc>
          <w:tcPr>
            <w:tcW w:w="1932" w:type="dxa"/>
            <w:tcBorders>
              <w:top w:val="single" w:sz="6" w:space="0" w:color="000000"/>
              <w:left w:val="single" w:sz="6" w:space="0" w:color="000000"/>
              <w:bottom w:val="single" w:sz="6" w:space="0" w:color="000000"/>
              <w:right w:val="single" w:sz="6" w:space="0" w:color="000000"/>
            </w:tcBorders>
          </w:tcPr>
          <w:p w14:paraId="513DF7E0" w14:textId="77777777" w:rsidR="00F50B50" w:rsidRPr="00092ED7" w:rsidRDefault="00F50B50" w:rsidP="00875ED4">
            <w:pPr>
              <w:spacing w:after="60"/>
              <w:jc w:val="left"/>
              <w:rPr>
                <w:rFonts w:eastAsia="Times New Roman" w:cs="Times New Roman"/>
                <w:b/>
                <w:bCs/>
                <w:sz w:val="18"/>
                <w:szCs w:val="18"/>
                <w:lang w:val="sr-Cyrl-CS"/>
              </w:rPr>
            </w:pPr>
            <w:r w:rsidRPr="00092ED7">
              <w:rPr>
                <w:rFonts w:eastAsia="Times New Roman" w:cs="Times New Roman"/>
                <w:b/>
                <w:bCs/>
                <w:sz w:val="18"/>
                <w:szCs w:val="18"/>
                <w:lang w:val="sr-Cyrl-CS"/>
              </w:rPr>
              <w:t xml:space="preserve">ЦОР 8.2. </w:t>
            </w:r>
            <w:r w:rsidRPr="00092ED7">
              <w:rPr>
                <w:rFonts w:eastAsia="Times New Roman" w:cs="Times New Roman"/>
                <w:bCs/>
                <w:sz w:val="18"/>
                <w:szCs w:val="18"/>
                <w:lang w:val="sr-Cyrl-CS"/>
              </w:rPr>
              <w:t xml:space="preserve">Постизање виших нивоа економске продуктивности кроз диверсификацију, </w:t>
            </w:r>
            <w:r w:rsidRPr="00092ED7">
              <w:rPr>
                <w:rFonts w:eastAsia="Times New Roman" w:cs="Times New Roman"/>
                <w:bCs/>
                <w:sz w:val="18"/>
                <w:szCs w:val="18"/>
                <w:lang w:val="sr-Cyrl-CS"/>
              </w:rPr>
              <w:lastRenderedPageBreak/>
              <w:t>технолошку надоградњу и иновације, укључујући фокусирање на радно интензивне и високо профитабилне секторе</w:t>
            </w:r>
          </w:p>
          <w:p w14:paraId="515B33A0" w14:textId="77777777" w:rsidR="00F50B50" w:rsidRPr="00092ED7" w:rsidRDefault="00F50B50" w:rsidP="00875ED4">
            <w:pPr>
              <w:spacing w:after="60"/>
              <w:jc w:val="left"/>
              <w:rPr>
                <w:rFonts w:eastAsia="Times New Roman" w:cs="Times New Roman"/>
                <w:bCs/>
                <w:sz w:val="18"/>
                <w:szCs w:val="18"/>
                <w:lang w:val="sr-Cyrl-CS"/>
              </w:rPr>
            </w:pPr>
            <w:r w:rsidRPr="00092ED7">
              <w:rPr>
                <w:rFonts w:eastAsia="Times New Roman" w:cs="Times New Roman"/>
                <w:b/>
                <w:bCs/>
                <w:sz w:val="18"/>
                <w:szCs w:val="18"/>
                <w:lang w:val="sr-Cyrl-CS"/>
              </w:rPr>
              <w:t>ЦОР 10.7.</w:t>
            </w:r>
            <w:r w:rsidRPr="00092ED7">
              <w:rPr>
                <w:rFonts w:eastAsia="Times New Roman" w:cs="Times New Roman"/>
                <w:bCs/>
                <w:sz w:val="18"/>
                <w:szCs w:val="18"/>
                <w:lang w:val="sr-Cyrl-CS"/>
              </w:rPr>
              <w:t xml:space="preserve"> Олакшати уређену, безбедну, регуларну и одговорну миграцију и мобилност људи, укључујући примену планираних и добро вођених миграционих политика</w:t>
            </w:r>
          </w:p>
        </w:tc>
        <w:tc>
          <w:tcPr>
            <w:tcW w:w="2409" w:type="dxa"/>
            <w:tcBorders>
              <w:top w:val="single" w:sz="6" w:space="0" w:color="000000"/>
              <w:left w:val="single" w:sz="6" w:space="0" w:color="000000"/>
              <w:bottom w:val="single" w:sz="6" w:space="0" w:color="000000"/>
              <w:right w:val="single" w:sz="6" w:space="0" w:color="000000"/>
            </w:tcBorders>
          </w:tcPr>
          <w:p w14:paraId="32D86681" w14:textId="77777777" w:rsidR="00F50B50" w:rsidRPr="00092ED7" w:rsidRDefault="00F50B50" w:rsidP="00875ED4">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lastRenderedPageBreak/>
              <w:t xml:space="preserve">Индиректан утицај на </w:t>
            </w:r>
            <w:r w:rsidRPr="00092ED7">
              <w:rPr>
                <w:rFonts w:eastAsia="Times New Roman" w:cs="Times New Roman"/>
                <w:b/>
                <w:iCs/>
                <w:sz w:val="18"/>
                <w:szCs w:val="18"/>
                <w:lang w:val="sr-Cyrl-CS"/>
              </w:rPr>
              <w:t xml:space="preserve">циљ 60 ЗАЗБ - </w:t>
            </w:r>
            <w:r w:rsidRPr="00092ED7">
              <w:rPr>
                <w:rFonts w:eastAsia="Times New Roman" w:cs="Times New Roman"/>
                <w:iCs/>
                <w:sz w:val="18"/>
                <w:szCs w:val="18"/>
                <w:lang w:val="sr-Cyrl-CS"/>
              </w:rPr>
              <w:t xml:space="preserve">Израдити програме и предузети потребне мере за повећање административних </w:t>
            </w:r>
            <w:r w:rsidRPr="00092ED7">
              <w:rPr>
                <w:rFonts w:eastAsia="Times New Roman" w:cs="Times New Roman"/>
                <w:iCs/>
                <w:sz w:val="18"/>
                <w:szCs w:val="18"/>
                <w:lang w:val="sr-Cyrl-CS"/>
              </w:rPr>
              <w:lastRenderedPageBreak/>
              <w:t xml:space="preserve">капацитета за имплементацију Зелене агенде за Западни Балкан како би се остварили надзор, промоција и поштовање еколошких обавеза и осигурати ефикасне механизме за учествовање јавности, приступ информацијама, приступ правосуђу у питањима заштите средине, као и извештавање о животној средини </w:t>
            </w:r>
          </w:p>
          <w:p w14:paraId="32E1337D" w14:textId="77777777" w:rsidR="00F50B50" w:rsidRPr="00092ED7" w:rsidRDefault="00F50B50" w:rsidP="00875ED4">
            <w:pPr>
              <w:spacing w:after="60"/>
              <w:jc w:val="left"/>
              <w:rPr>
                <w:rFonts w:eastAsia="Times New Roman" w:cs="Times New Roman"/>
                <w:i/>
                <w:iCs/>
                <w:sz w:val="18"/>
                <w:szCs w:val="18"/>
                <w:lang w:val="sr-Cyrl-CS"/>
              </w:rPr>
            </w:pPr>
            <w:r w:rsidRPr="00092ED7">
              <w:rPr>
                <w:rFonts w:eastAsia="Times New Roman" w:cs="Times New Roman"/>
                <w:i/>
                <w:iCs/>
                <w:sz w:val="18"/>
                <w:szCs w:val="18"/>
                <w:lang w:val="sr-Cyrl-CS"/>
              </w:rPr>
              <w:t>Пружање подршке за повратак експерата који би својим знањем допринели унапређењу капацитета у областима садржаних у Зеленој агенди за Западни Балкан и Европском зеленом договору.</w:t>
            </w:r>
          </w:p>
        </w:tc>
        <w:tc>
          <w:tcPr>
            <w:tcW w:w="1843" w:type="dxa"/>
            <w:tcBorders>
              <w:top w:val="single" w:sz="6" w:space="0" w:color="000000"/>
              <w:left w:val="single" w:sz="6" w:space="0" w:color="000000"/>
              <w:bottom w:val="single" w:sz="6" w:space="0" w:color="000000"/>
              <w:right w:val="single" w:sz="6" w:space="0" w:color="000000"/>
            </w:tcBorders>
          </w:tcPr>
          <w:p w14:paraId="048106F9" w14:textId="77777777" w:rsidR="00F50B50" w:rsidRPr="00092ED7" w:rsidRDefault="00F50B50" w:rsidP="00875ED4">
            <w:pPr>
              <w:spacing w:after="60"/>
              <w:jc w:val="left"/>
              <w:rPr>
                <w:rFonts w:eastAsia="Times New Roman" w:cs="Times New Roman"/>
                <w:b/>
                <w:iCs/>
                <w:sz w:val="18"/>
                <w:szCs w:val="18"/>
                <w:lang w:val="sr-Cyrl-CS"/>
              </w:rPr>
            </w:pPr>
            <w:r w:rsidRPr="00092ED7">
              <w:rPr>
                <w:rFonts w:eastAsia="Times New Roman" w:cs="Times New Roman"/>
                <w:b/>
                <w:iCs/>
                <w:sz w:val="18"/>
                <w:szCs w:val="18"/>
                <w:lang w:val="sr-Cyrl-CS"/>
              </w:rPr>
              <w:lastRenderedPageBreak/>
              <w:t xml:space="preserve">Кључна иницијатива 10. Гаранција за младе </w:t>
            </w:r>
          </w:p>
          <w:p w14:paraId="64F539A6" w14:textId="77777777" w:rsidR="00F50B50" w:rsidRPr="00092ED7" w:rsidRDefault="00F50B50" w:rsidP="00875ED4">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lastRenderedPageBreak/>
              <w:t>- Доприноси решавању одлива мозгова</w:t>
            </w:r>
          </w:p>
        </w:tc>
        <w:tc>
          <w:tcPr>
            <w:tcW w:w="1559" w:type="dxa"/>
            <w:tcBorders>
              <w:top w:val="single" w:sz="6" w:space="0" w:color="000000"/>
              <w:left w:val="single" w:sz="6" w:space="0" w:color="000000"/>
              <w:bottom w:val="single" w:sz="6" w:space="0" w:color="000000"/>
              <w:right w:val="single" w:sz="6" w:space="0" w:color="000000"/>
            </w:tcBorders>
          </w:tcPr>
          <w:p w14:paraId="2EB1822D" w14:textId="77777777" w:rsidR="00F50B50" w:rsidRPr="00092ED7" w:rsidRDefault="00F50B50" w:rsidP="00875ED4">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lastRenderedPageBreak/>
              <w:t>/</w:t>
            </w:r>
          </w:p>
        </w:tc>
      </w:tr>
      <w:tr w:rsidR="00F50B50" w:rsidRPr="00092ED7" w14:paraId="3AA4E193" w14:textId="77777777" w:rsidTr="00F50B50">
        <w:trPr>
          <w:trHeight w:val="3109"/>
        </w:trPr>
        <w:tc>
          <w:tcPr>
            <w:tcW w:w="1635" w:type="dxa"/>
            <w:tcBorders>
              <w:top w:val="single" w:sz="6" w:space="0" w:color="000000"/>
              <w:left w:val="single" w:sz="6" w:space="0" w:color="000000"/>
              <w:bottom w:val="single" w:sz="6" w:space="0" w:color="000000"/>
              <w:right w:val="single" w:sz="6" w:space="0" w:color="000000"/>
            </w:tcBorders>
          </w:tcPr>
          <w:p w14:paraId="0DAB3228" w14:textId="77777777" w:rsidR="00F50B50" w:rsidRPr="00092ED7" w:rsidRDefault="00F50B50" w:rsidP="00875ED4">
            <w:pPr>
              <w:spacing w:after="60"/>
              <w:jc w:val="left"/>
              <w:rPr>
                <w:rFonts w:eastAsia="Times New Roman" w:cs="Times New Roman"/>
                <w:b/>
                <w:bCs/>
                <w:sz w:val="20"/>
                <w:szCs w:val="20"/>
                <w:lang w:val="sr-Cyrl-CS"/>
              </w:rPr>
            </w:pPr>
            <w:r w:rsidRPr="00092ED7">
              <w:rPr>
                <w:rFonts w:eastAsia="Times New Roman" w:cs="Times New Roman"/>
                <w:b/>
                <w:bCs/>
                <w:sz w:val="20"/>
                <w:szCs w:val="20"/>
                <w:lang w:val="sr-Cyrl-CS"/>
              </w:rPr>
              <w:t>СР 5. Унапређење квалитета пружања јавних услуга кроз оптимизацију и дигитализацију административних поступака – е-П</w:t>
            </w:r>
            <w:r w:rsidR="00875ED4" w:rsidRPr="00092ED7">
              <w:rPr>
                <w:rFonts w:eastAsia="Times New Roman" w:cs="Times New Roman"/>
                <w:b/>
                <w:bCs/>
                <w:sz w:val="20"/>
                <w:szCs w:val="20"/>
                <w:lang w:val="sr-Cyrl-CS"/>
              </w:rPr>
              <w:t>апир</w:t>
            </w:r>
          </w:p>
        </w:tc>
        <w:tc>
          <w:tcPr>
            <w:tcW w:w="1498" w:type="dxa"/>
            <w:tcBorders>
              <w:top w:val="single" w:sz="6" w:space="0" w:color="000000"/>
              <w:left w:val="single" w:sz="6" w:space="0" w:color="000000"/>
              <w:bottom w:val="single" w:sz="6" w:space="0" w:color="000000"/>
              <w:right w:val="single" w:sz="6" w:space="0" w:color="000000"/>
            </w:tcBorders>
          </w:tcPr>
          <w:p w14:paraId="7BAFE2E6" w14:textId="77777777" w:rsidR="00F50B50" w:rsidRPr="00092ED7" w:rsidRDefault="00F50B50" w:rsidP="00875ED4">
            <w:pPr>
              <w:spacing w:after="60"/>
              <w:jc w:val="left"/>
              <w:rPr>
                <w:rFonts w:eastAsia="Times New Roman" w:cs="Times New Roman"/>
                <w:iCs/>
                <w:sz w:val="18"/>
                <w:szCs w:val="18"/>
                <w:lang w:val="sr-Cyrl-CS"/>
              </w:rPr>
            </w:pPr>
            <w:r w:rsidRPr="00092ED7">
              <w:rPr>
                <w:rFonts w:eastAsia="Times New Roman" w:cs="Times New Roman"/>
                <w:b/>
                <w:iCs/>
                <w:sz w:val="18"/>
                <w:szCs w:val="18"/>
                <w:lang w:val="sr-Cyrl-CS"/>
              </w:rPr>
              <w:t>КСИ 2.</w:t>
            </w:r>
            <w:r w:rsidRPr="00092ED7">
              <w:rPr>
                <w:rFonts w:eastAsia="Times New Roman" w:cs="Times New Roman"/>
                <w:iCs/>
                <w:sz w:val="18"/>
                <w:szCs w:val="18"/>
                <w:lang w:val="sr-Cyrl-CS"/>
              </w:rPr>
              <w:t xml:space="preserve"> </w:t>
            </w:r>
            <w:r w:rsidR="00875ED4" w:rsidRPr="00092ED7">
              <w:rPr>
                <w:rFonts w:eastAsia="Times New Roman" w:cs="Times New Roman"/>
                <w:iCs/>
                <w:sz w:val="18"/>
                <w:szCs w:val="18"/>
                <w:lang w:val="sr-Cyrl-CS"/>
              </w:rPr>
              <w:t>Унапређење</w:t>
            </w:r>
            <w:r w:rsidRPr="00092ED7">
              <w:rPr>
                <w:rFonts w:eastAsia="Times New Roman" w:cs="Times New Roman"/>
                <w:iCs/>
                <w:sz w:val="18"/>
                <w:szCs w:val="18"/>
                <w:lang w:val="sr-Cyrl-CS"/>
              </w:rPr>
              <w:t xml:space="preserve"> пословног амбијента повољнијег за инвестиције</w:t>
            </w:r>
          </w:p>
        </w:tc>
        <w:tc>
          <w:tcPr>
            <w:tcW w:w="1750" w:type="dxa"/>
            <w:tcBorders>
              <w:top w:val="single" w:sz="6" w:space="0" w:color="000000"/>
              <w:left w:val="single" w:sz="6" w:space="0" w:color="000000"/>
              <w:bottom w:val="single" w:sz="6" w:space="0" w:color="000000"/>
              <w:right w:val="single" w:sz="6" w:space="0" w:color="000000"/>
            </w:tcBorders>
          </w:tcPr>
          <w:p w14:paraId="25A07E81" w14:textId="77777777" w:rsidR="00875ED4" w:rsidRPr="00092ED7" w:rsidRDefault="00F50B50" w:rsidP="00875ED4">
            <w:pPr>
              <w:spacing w:after="60"/>
              <w:jc w:val="left"/>
              <w:rPr>
                <w:rFonts w:eastAsia="Times New Roman" w:cs="Times New Roman"/>
                <w:iCs/>
                <w:sz w:val="18"/>
                <w:szCs w:val="18"/>
                <w:lang w:val="sr-Cyrl-CS"/>
              </w:rPr>
            </w:pPr>
            <w:r w:rsidRPr="00092ED7">
              <w:rPr>
                <w:rFonts w:eastAsia="Times New Roman" w:cs="Times New Roman"/>
                <w:b/>
                <w:iCs/>
                <w:sz w:val="18"/>
                <w:szCs w:val="18"/>
                <w:lang w:val="sr-Cyrl-CS"/>
              </w:rPr>
              <w:t>Препорука 2.</w:t>
            </w:r>
          </w:p>
          <w:p w14:paraId="1921D28A" w14:textId="77777777" w:rsidR="00F50B50" w:rsidRPr="00092ED7" w:rsidRDefault="00F50B50" w:rsidP="00875ED4">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Смањити сиву економију</w:t>
            </w:r>
          </w:p>
        </w:tc>
        <w:tc>
          <w:tcPr>
            <w:tcW w:w="2015" w:type="dxa"/>
            <w:tcBorders>
              <w:top w:val="single" w:sz="6" w:space="0" w:color="000000"/>
              <w:left w:val="single" w:sz="6" w:space="0" w:color="000000"/>
              <w:bottom w:val="single" w:sz="6" w:space="0" w:color="000000"/>
              <w:right w:val="single" w:sz="6" w:space="0" w:color="000000"/>
            </w:tcBorders>
          </w:tcPr>
          <w:p w14:paraId="4196AA09" w14:textId="77777777" w:rsidR="00F50B50" w:rsidRPr="00092ED7" w:rsidRDefault="00F50B50" w:rsidP="00875ED4">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 Успостављање јавне управе која је усмеренија на кориснике</w:t>
            </w:r>
          </w:p>
          <w:p w14:paraId="4C05F40F" w14:textId="77777777" w:rsidR="00F50B50" w:rsidRPr="00092ED7" w:rsidRDefault="00F50B50" w:rsidP="00875ED4">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 Даље унапређење правног оквира за поједностављење административних поступака</w:t>
            </w:r>
          </w:p>
        </w:tc>
        <w:tc>
          <w:tcPr>
            <w:tcW w:w="1932" w:type="dxa"/>
            <w:tcBorders>
              <w:top w:val="single" w:sz="6" w:space="0" w:color="000000"/>
              <w:left w:val="single" w:sz="6" w:space="0" w:color="000000"/>
              <w:bottom w:val="single" w:sz="6" w:space="0" w:color="000000"/>
              <w:right w:val="single" w:sz="6" w:space="0" w:color="000000"/>
            </w:tcBorders>
          </w:tcPr>
          <w:p w14:paraId="1B70C6A8" w14:textId="77777777" w:rsidR="00F50B50" w:rsidRPr="00092ED7" w:rsidRDefault="00F50B50" w:rsidP="00875ED4">
            <w:pPr>
              <w:spacing w:after="60"/>
              <w:jc w:val="left"/>
              <w:rPr>
                <w:rFonts w:eastAsia="Times New Roman" w:cs="Times New Roman"/>
                <w:iCs/>
                <w:sz w:val="18"/>
                <w:szCs w:val="18"/>
                <w:lang w:val="sr-Cyrl-CS"/>
              </w:rPr>
            </w:pPr>
            <w:r w:rsidRPr="00092ED7">
              <w:rPr>
                <w:rFonts w:eastAsia="Times New Roman" w:cs="Times New Roman"/>
                <w:b/>
                <w:iCs/>
                <w:sz w:val="18"/>
                <w:szCs w:val="18"/>
                <w:lang w:val="sr-Cyrl-CS"/>
              </w:rPr>
              <w:t>ЦОР 16.5.</w:t>
            </w:r>
            <w:r w:rsidRPr="00092ED7">
              <w:rPr>
                <w:rFonts w:eastAsia="Times New Roman" w:cs="Times New Roman"/>
                <w:iCs/>
                <w:sz w:val="18"/>
                <w:szCs w:val="18"/>
                <w:lang w:val="sr-Cyrl-CS"/>
              </w:rPr>
              <w:t xml:space="preserve"> Значајно смањити корупцију и подмићивање у свим њиховим појавним облицима.</w:t>
            </w:r>
          </w:p>
          <w:p w14:paraId="5081E163" w14:textId="77777777" w:rsidR="00F50B50" w:rsidRPr="00092ED7" w:rsidRDefault="00F50B50" w:rsidP="00875ED4">
            <w:pPr>
              <w:spacing w:after="60"/>
              <w:jc w:val="left"/>
              <w:rPr>
                <w:rFonts w:eastAsia="Times New Roman" w:cs="Times New Roman"/>
                <w:iCs/>
                <w:sz w:val="18"/>
                <w:szCs w:val="18"/>
                <w:lang w:val="sr-Cyrl-CS"/>
              </w:rPr>
            </w:pPr>
            <w:r w:rsidRPr="00092ED7">
              <w:rPr>
                <w:rFonts w:eastAsia="Times New Roman" w:cs="Times New Roman"/>
                <w:b/>
                <w:iCs/>
                <w:sz w:val="18"/>
                <w:szCs w:val="18"/>
                <w:lang w:val="sr-Cyrl-CS"/>
              </w:rPr>
              <w:t>ЦОР 16.10.</w:t>
            </w:r>
            <w:r w:rsidRPr="00092ED7">
              <w:rPr>
                <w:rFonts w:eastAsia="Times New Roman" w:cs="Times New Roman"/>
                <w:iCs/>
                <w:sz w:val="18"/>
                <w:szCs w:val="18"/>
                <w:lang w:val="sr-Cyrl-CS"/>
              </w:rPr>
              <w:t xml:space="preserve"> Осигурати јавни приступ информацијама и заштиту основних слобода, у складу са националним законодавством и међународни</w:t>
            </w:r>
            <w:r w:rsidR="00875ED4" w:rsidRPr="00092ED7">
              <w:rPr>
                <w:rFonts w:eastAsia="Times New Roman" w:cs="Times New Roman"/>
                <w:iCs/>
                <w:sz w:val="18"/>
                <w:szCs w:val="18"/>
                <w:lang w:val="sr-Cyrl-CS"/>
              </w:rPr>
              <w:t>м споразумима</w:t>
            </w:r>
          </w:p>
        </w:tc>
        <w:tc>
          <w:tcPr>
            <w:tcW w:w="2409" w:type="dxa"/>
            <w:tcBorders>
              <w:top w:val="single" w:sz="6" w:space="0" w:color="000000"/>
              <w:left w:val="single" w:sz="6" w:space="0" w:color="000000"/>
              <w:bottom w:val="single" w:sz="6" w:space="0" w:color="000000"/>
              <w:right w:val="single" w:sz="6" w:space="0" w:color="000000"/>
            </w:tcBorders>
          </w:tcPr>
          <w:p w14:paraId="21B0824F" w14:textId="77777777" w:rsidR="00F50B50" w:rsidRPr="00092ED7" w:rsidRDefault="00F50B50" w:rsidP="00875ED4">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 xml:space="preserve">Индиректан утицај на </w:t>
            </w:r>
            <w:r w:rsidRPr="00092ED7">
              <w:rPr>
                <w:rFonts w:eastAsia="Times New Roman" w:cs="Times New Roman"/>
                <w:b/>
                <w:iCs/>
                <w:sz w:val="18"/>
                <w:szCs w:val="18"/>
                <w:lang w:val="sr-Cyrl-CS"/>
              </w:rPr>
              <w:t xml:space="preserve">циљ 59 ЗАЗБ - </w:t>
            </w:r>
            <w:r w:rsidRPr="00092ED7">
              <w:rPr>
                <w:rFonts w:eastAsia="Times New Roman" w:cs="Times New Roman"/>
                <w:iCs/>
                <w:sz w:val="18"/>
                <w:szCs w:val="18"/>
                <w:lang w:val="sr-Cyrl-CS"/>
              </w:rPr>
              <w:t>Унапредити међусекторско управљање и подржати интеграцију зелене и нискоугљеничне транзиције, између осталог, путем реформе јавне управе, управљањем јавним финансијама, програмом економске реформе и мобилизацијом властитих ресурса</w:t>
            </w:r>
          </w:p>
          <w:p w14:paraId="0B83E765" w14:textId="77777777" w:rsidR="00F50B50" w:rsidRPr="00092ED7" w:rsidRDefault="00F50B50" w:rsidP="00875ED4">
            <w:pPr>
              <w:spacing w:after="60"/>
              <w:jc w:val="left"/>
              <w:rPr>
                <w:rFonts w:eastAsia="Times New Roman" w:cs="Times New Roman"/>
                <w:i/>
                <w:iCs/>
                <w:sz w:val="18"/>
                <w:szCs w:val="18"/>
                <w:lang w:val="sr-Cyrl-CS"/>
              </w:rPr>
            </w:pPr>
            <w:r w:rsidRPr="00092ED7">
              <w:rPr>
                <w:rFonts w:eastAsia="Times New Roman" w:cs="Times New Roman"/>
                <w:i/>
                <w:iCs/>
                <w:sz w:val="18"/>
                <w:szCs w:val="18"/>
                <w:lang w:val="sr-Cyrl-CS"/>
              </w:rPr>
              <w:t xml:space="preserve">Интегрисање административних поступка у оквиру регистра (у </w:t>
            </w:r>
            <w:r w:rsidRPr="00092ED7">
              <w:rPr>
                <w:rFonts w:eastAsia="Times New Roman" w:cs="Times New Roman"/>
                <w:i/>
                <w:iCs/>
                <w:sz w:val="18"/>
                <w:szCs w:val="18"/>
                <w:lang w:val="sr-Cyrl-CS"/>
              </w:rPr>
              <w:lastRenderedPageBreak/>
              <w:t>дигиталном формату) доп</w:t>
            </w:r>
            <w:r w:rsidR="00875ED4" w:rsidRPr="00092ED7">
              <w:rPr>
                <w:rFonts w:eastAsia="Times New Roman" w:cs="Times New Roman"/>
                <w:i/>
                <w:iCs/>
                <w:sz w:val="18"/>
                <w:szCs w:val="18"/>
                <w:lang w:val="sr-Cyrl-CS"/>
              </w:rPr>
              <w:t>риноси смањењу употребе папира.</w:t>
            </w:r>
          </w:p>
        </w:tc>
        <w:tc>
          <w:tcPr>
            <w:tcW w:w="1843" w:type="dxa"/>
            <w:tcBorders>
              <w:top w:val="single" w:sz="6" w:space="0" w:color="000000"/>
              <w:left w:val="single" w:sz="6" w:space="0" w:color="000000"/>
              <w:bottom w:val="single" w:sz="6" w:space="0" w:color="000000"/>
              <w:right w:val="single" w:sz="6" w:space="0" w:color="000000"/>
            </w:tcBorders>
          </w:tcPr>
          <w:p w14:paraId="5E50C73C" w14:textId="77777777" w:rsidR="00F50B50" w:rsidRPr="00092ED7" w:rsidRDefault="00F50B50" w:rsidP="00875ED4">
            <w:pPr>
              <w:spacing w:after="60"/>
              <w:jc w:val="left"/>
              <w:rPr>
                <w:rFonts w:eastAsia="Times New Roman" w:cs="Times New Roman"/>
                <w:b/>
                <w:iCs/>
                <w:sz w:val="18"/>
                <w:szCs w:val="18"/>
                <w:lang w:val="sr-Cyrl-CS"/>
              </w:rPr>
            </w:pPr>
            <w:r w:rsidRPr="00092ED7">
              <w:rPr>
                <w:rFonts w:eastAsia="Times New Roman" w:cs="Times New Roman"/>
                <w:b/>
                <w:iCs/>
                <w:sz w:val="18"/>
                <w:szCs w:val="18"/>
                <w:lang w:val="sr-Cyrl-CS"/>
              </w:rPr>
              <w:lastRenderedPageBreak/>
              <w:t xml:space="preserve">Поглавље II </w:t>
            </w:r>
          </w:p>
          <w:p w14:paraId="5BF835D1" w14:textId="77777777" w:rsidR="00F50B50" w:rsidRPr="00092ED7" w:rsidRDefault="00F50B50" w:rsidP="00875ED4">
            <w:pPr>
              <w:spacing w:after="60"/>
              <w:jc w:val="left"/>
              <w:rPr>
                <w:rFonts w:eastAsia="Times New Roman" w:cs="Times New Roman"/>
                <w:b/>
                <w:iCs/>
                <w:sz w:val="18"/>
                <w:szCs w:val="18"/>
                <w:lang w:val="sr-Cyrl-CS"/>
              </w:rPr>
            </w:pPr>
            <w:r w:rsidRPr="00092ED7">
              <w:rPr>
                <w:rFonts w:eastAsia="Times New Roman" w:cs="Times New Roman"/>
                <w:b/>
                <w:iCs/>
                <w:sz w:val="18"/>
                <w:szCs w:val="18"/>
                <w:lang w:val="sr-Cyrl-CS"/>
              </w:rPr>
              <w:t xml:space="preserve">Добро управљање као темељ одрживог економског раста </w:t>
            </w:r>
          </w:p>
          <w:p w14:paraId="5C3577C7" w14:textId="77777777" w:rsidR="00F50B50" w:rsidRPr="00092ED7" w:rsidRDefault="00F50B50" w:rsidP="00875ED4">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 Предузећима је потребна правна сигурност, одсуство корупције и ефикасно функционисање администрације да би могла да успоставе своје пословање.</w:t>
            </w:r>
          </w:p>
          <w:p w14:paraId="0A40F9DE" w14:textId="77777777" w:rsidR="00F50B50" w:rsidRPr="00092ED7" w:rsidRDefault="00F50B50" w:rsidP="00875ED4">
            <w:pPr>
              <w:spacing w:after="60"/>
              <w:jc w:val="left"/>
              <w:rPr>
                <w:rFonts w:eastAsia="Times New Roman" w:cs="Times New Roman"/>
                <w:b/>
                <w:iCs/>
                <w:sz w:val="18"/>
                <w:szCs w:val="18"/>
                <w:lang w:val="sr-Cyrl-CS"/>
              </w:rPr>
            </w:pPr>
            <w:r w:rsidRPr="00092ED7">
              <w:rPr>
                <w:rFonts w:eastAsia="Times New Roman" w:cs="Times New Roman"/>
                <w:b/>
                <w:iCs/>
                <w:sz w:val="18"/>
                <w:szCs w:val="18"/>
                <w:lang w:val="sr-Cyrl-CS"/>
              </w:rPr>
              <w:lastRenderedPageBreak/>
              <w:t xml:space="preserve">Кључна иницијатива 8. Дигитална инфраструктура </w:t>
            </w:r>
          </w:p>
          <w:p w14:paraId="79BE74B0" w14:textId="77777777" w:rsidR="00F50B50" w:rsidRPr="00092ED7" w:rsidRDefault="00F50B50" w:rsidP="00875ED4">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 Смањити трошкове и побољшати квалитет услуга за грађане и привреду</w:t>
            </w:r>
          </w:p>
        </w:tc>
        <w:tc>
          <w:tcPr>
            <w:tcW w:w="1559" w:type="dxa"/>
            <w:tcBorders>
              <w:top w:val="single" w:sz="6" w:space="0" w:color="000000"/>
              <w:left w:val="single" w:sz="6" w:space="0" w:color="000000"/>
              <w:bottom w:val="single" w:sz="6" w:space="0" w:color="000000"/>
              <w:right w:val="single" w:sz="6" w:space="0" w:color="000000"/>
            </w:tcBorders>
          </w:tcPr>
          <w:p w14:paraId="1A8F893D" w14:textId="77777777" w:rsidR="00F50B50" w:rsidRPr="00092ED7" w:rsidRDefault="00F50B50" w:rsidP="00875ED4">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lastRenderedPageBreak/>
              <w:t xml:space="preserve">ИПА 2019 </w:t>
            </w:r>
          </w:p>
          <w:p w14:paraId="0F90A209" w14:textId="77777777" w:rsidR="00F50B50" w:rsidRPr="00092ED7" w:rsidRDefault="00F50B50" w:rsidP="00875ED4">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ЕУ за боље пословно окружење – EU4BE</w:t>
            </w:r>
          </w:p>
        </w:tc>
      </w:tr>
      <w:tr w:rsidR="00F50B50" w:rsidRPr="00092ED7" w14:paraId="3A26BE41" w14:textId="77777777" w:rsidTr="00F50B50">
        <w:trPr>
          <w:trHeight w:val="423"/>
        </w:trPr>
        <w:tc>
          <w:tcPr>
            <w:tcW w:w="1635" w:type="dxa"/>
            <w:tcBorders>
              <w:top w:val="single" w:sz="6" w:space="0" w:color="000000"/>
              <w:left w:val="single" w:sz="6" w:space="0" w:color="000000"/>
              <w:bottom w:val="single" w:sz="6" w:space="0" w:color="000000"/>
              <w:right w:val="single" w:sz="6" w:space="0" w:color="000000"/>
            </w:tcBorders>
          </w:tcPr>
          <w:p w14:paraId="626EA7FB" w14:textId="77777777" w:rsidR="00F50B50" w:rsidRPr="00092ED7" w:rsidRDefault="00F50B50" w:rsidP="00875ED4">
            <w:pPr>
              <w:spacing w:after="60"/>
              <w:jc w:val="left"/>
              <w:rPr>
                <w:rFonts w:eastAsia="Times New Roman" w:cs="Times New Roman"/>
                <w:b/>
                <w:bCs/>
                <w:sz w:val="20"/>
                <w:szCs w:val="20"/>
                <w:lang w:val="sr-Cyrl-CS"/>
              </w:rPr>
            </w:pPr>
            <w:r w:rsidRPr="00092ED7">
              <w:rPr>
                <w:rFonts w:eastAsia="Times New Roman" w:cs="Times New Roman"/>
                <w:b/>
                <w:bCs/>
                <w:sz w:val="20"/>
                <w:szCs w:val="20"/>
                <w:lang w:val="sr-Cyrl-CS"/>
              </w:rPr>
              <w:t>СР 6. Одрживо и ефикасно управљање привредним субјектима у власништву Републике Србије</w:t>
            </w:r>
          </w:p>
        </w:tc>
        <w:tc>
          <w:tcPr>
            <w:tcW w:w="1498" w:type="dxa"/>
            <w:tcBorders>
              <w:top w:val="single" w:sz="6" w:space="0" w:color="000000"/>
              <w:left w:val="single" w:sz="6" w:space="0" w:color="000000"/>
              <w:bottom w:val="single" w:sz="6" w:space="0" w:color="000000"/>
              <w:right w:val="single" w:sz="6" w:space="0" w:color="000000"/>
            </w:tcBorders>
          </w:tcPr>
          <w:p w14:paraId="4A2F3162" w14:textId="77777777" w:rsidR="00F50B50" w:rsidRPr="00092ED7" w:rsidRDefault="00875ED4" w:rsidP="00875ED4">
            <w:pPr>
              <w:spacing w:after="60"/>
              <w:jc w:val="left"/>
              <w:rPr>
                <w:rFonts w:eastAsia="Times New Roman" w:cs="Times New Roman"/>
                <w:iCs/>
                <w:sz w:val="18"/>
                <w:szCs w:val="18"/>
                <w:lang w:val="sr-Cyrl-CS"/>
              </w:rPr>
            </w:pPr>
            <w:r w:rsidRPr="00092ED7">
              <w:rPr>
                <w:rFonts w:eastAsia="Times New Roman" w:cs="Times New Roman"/>
                <w:b/>
                <w:iCs/>
                <w:sz w:val="18"/>
                <w:szCs w:val="18"/>
                <w:lang w:val="sr-Cyrl-CS"/>
              </w:rPr>
              <w:t>КСИ 2.</w:t>
            </w:r>
            <w:r w:rsidRPr="00092ED7">
              <w:rPr>
                <w:rFonts w:eastAsia="Times New Roman" w:cs="Times New Roman"/>
                <w:iCs/>
                <w:sz w:val="18"/>
                <w:szCs w:val="18"/>
                <w:lang w:val="sr-Cyrl-CS"/>
              </w:rPr>
              <w:t xml:space="preserve"> Унапређење пословног амбијента повољнијег за инвестиције</w:t>
            </w:r>
          </w:p>
        </w:tc>
        <w:tc>
          <w:tcPr>
            <w:tcW w:w="1750" w:type="dxa"/>
            <w:tcBorders>
              <w:top w:val="single" w:sz="6" w:space="0" w:color="000000"/>
              <w:left w:val="single" w:sz="6" w:space="0" w:color="000000"/>
              <w:bottom w:val="single" w:sz="6" w:space="0" w:color="000000"/>
              <w:right w:val="single" w:sz="6" w:space="0" w:color="000000"/>
            </w:tcBorders>
          </w:tcPr>
          <w:p w14:paraId="0F865758" w14:textId="77777777" w:rsidR="00F50B50" w:rsidRPr="00092ED7" w:rsidRDefault="00F50B50" w:rsidP="00875ED4">
            <w:pPr>
              <w:spacing w:after="60"/>
              <w:jc w:val="left"/>
              <w:rPr>
                <w:rFonts w:eastAsia="Times New Roman" w:cs="Times New Roman"/>
                <w:iCs/>
                <w:sz w:val="18"/>
                <w:szCs w:val="18"/>
                <w:lang w:val="sr-Cyrl-CS"/>
              </w:rPr>
            </w:pPr>
            <w:r w:rsidRPr="00092ED7">
              <w:rPr>
                <w:rFonts w:eastAsia="Times New Roman" w:cs="Times New Roman"/>
                <w:b/>
                <w:iCs/>
                <w:sz w:val="18"/>
                <w:szCs w:val="18"/>
                <w:lang w:val="sr-Cyrl-CS"/>
              </w:rPr>
              <w:t xml:space="preserve">Препорука 2. </w:t>
            </w:r>
            <w:r w:rsidRPr="00092ED7">
              <w:rPr>
                <w:rFonts w:eastAsia="Times New Roman" w:cs="Times New Roman"/>
                <w:iCs/>
                <w:sz w:val="18"/>
                <w:szCs w:val="18"/>
                <w:lang w:val="sr-Cyrl-CS"/>
              </w:rPr>
              <w:t>Спровести временски ограничен акциони план за примену нове стратегије у погледу власништва и управљања предузећима у државном власништву у складу са временским оквиром за ЕРП 2022, како би се побољшало управљање државним предузећима и см</w:t>
            </w:r>
            <w:r w:rsidR="00875ED4" w:rsidRPr="00092ED7">
              <w:rPr>
                <w:rFonts w:eastAsia="Times New Roman" w:cs="Times New Roman"/>
                <w:iCs/>
                <w:sz w:val="18"/>
                <w:szCs w:val="18"/>
                <w:lang w:val="sr-Cyrl-CS"/>
              </w:rPr>
              <w:t>ањили повезани фискални ризици</w:t>
            </w:r>
          </w:p>
        </w:tc>
        <w:tc>
          <w:tcPr>
            <w:tcW w:w="2015" w:type="dxa"/>
            <w:tcBorders>
              <w:top w:val="single" w:sz="6" w:space="0" w:color="000000"/>
              <w:left w:val="single" w:sz="6" w:space="0" w:color="000000"/>
              <w:bottom w:val="single" w:sz="6" w:space="0" w:color="000000"/>
              <w:right w:val="single" w:sz="6" w:space="0" w:color="000000"/>
            </w:tcBorders>
          </w:tcPr>
          <w:p w14:paraId="2FD17D2C" w14:textId="77777777" w:rsidR="00F50B50" w:rsidRPr="00092ED7" w:rsidRDefault="00F50B50" w:rsidP="00875ED4">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 Повећати транспарентност фискалног утицаја предузећа у државном власништву и побољшати управљање њима, укључујући даље реструктурирања</w:t>
            </w:r>
          </w:p>
          <w:p w14:paraId="12BBCF4A" w14:textId="77777777" w:rsidR="00F50B50" w:rsidRPr="00092ED7" w:rsidRDefault="00F50B50" w:rsidP="00875ED4">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 xml:space="preserve">- Убрзати процес реформисања и унапређења ефикасности предузећа у државном власништву </w:t>
            </w:r>
          </w:p>
        </w:tc>
        <w:tc>
          <w:tcPr>
            <w:tcW w:w="1932" w:type="dxa"/>
            <w:tcBorders>
              <w:top w:val="single" w:sz="6" w:space="0" w:color="000000"/>
              <w:left w:val="single" w:sz="6" w:space="0" w:color="000000"/>
              <w:bottom w:val="single" w:sz="6" w:space="0" w:color="000000"/>
              <w:right w:val="single" w:sz="6" w:space="0" w:color="000000"/>
            </w:tcBorders>
          </w:tcPr>
          <w:p w14:paraId="4A0BF63D" w14:textId="77777777" w:rsidR="00F50B50" w:rsidRPr="00092ED7" w:rsidRDefault="00F50B50" w:rsidP="00875ED4">
            <w:pPr>
              <w:spacing w:after="60"/>
              <w:jc w:val="left"/>
              <w:rPr>
                <w:rFonts w:eastAsia="Times New Roman" w:cs="Times New Roman"/>
                <w:bCs/>
                <w:sz w:val="18"/>
                <w:szCs w:val="18"/>
                <w:lang w:val="sr-Cyrl-CS"/>
              </w:rPr>
            </w:pPr>
            <w:r w:rsidRPr="00092ED7">
              <w:rPr>
                <w:rFonts w:eastAsia="Times New Roman" w:cs="Times New Roman"/>
                <w:b/>
                <w:bCs/>
                <w:sz w:val="18"/>
                <w:szCs w:val="18"/>
                <w:lang w:val="sr-Cyrl-CS"/>
              </w:rPr>
              <w:t>ЦОР 16.7.</w:t>
            </w:r>
            <w:r w:rsidRPr="00092ED7">
              <w:rPr>
                <w:rFonts w:eastAsia="Times New Roman" w:cs="Times New Roman"/>
                <w:bCs/>
                <w:sz w:val="18"/>
                <w:szCs w:val="18"/>
                <w:lang w:val="sr-Cyrl-CS"/>
              </w:rPr>
              <w:t xml:space="preserve"> Осигурати одговорно, инклузивно, партиципативно и репрезентативно доношење одлука на свим нивоима</w:t>
            </w:r>
          </w:p>
        </w:tc>
        <w:tc>
          <w:tcPr>
            <w:tcW w:w="2409" w:type="dxa"/>
            <w:tcBorders>
              <w:top w:val="single" w:sz="6" w:space="0" w:color="000000"/>
              <w:left w:val="single" w:sz="6" w:space="0" w:color="000000"/>
              <w:bottom w:val="single" w:sz="6" w:space="0" w:color="000000"/>
              <w:right w:val="single" w:sz="6" w:space="0" w:color="000000"/>
            </w:tcBorders>
          </w:tcPr>
          <w:p w14:paraId="47F27061" w14:textId="77777777" w:rsidR="00F50B50" w:rsidRPr="00092ED7" w:rsidRDefault="00F50B50" w:rsidP="00875ED4">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Директан утицај на циљеве:</w:t>
            </w:r>
          </w:p>
          <w:p w14:paraId="3ACE1A7F" w14:textId="77777777" w:rsidR="00F50B50" w:rsidRPr="00092ED7" w:rsidRDefault="00F50B50" w:rsidP="00875ED4">
            <w:pPr>
              <w:spacing w:after="60"/>
              <w:jc w:val="left"/>
              <w:rPr>
                <w:rFonts w:eastAsia="Times New Roman" w:cs="Times New Roman"/>
                <w:iCs/>
                <w:sz w:val="18"/>
                <w:szCs w:val="18"/>
                <w:lang w:val="sr-Cyrl-CS"/>
              </w:rPr>
            </w:pPr>
            <w:r w:rsidRPr="00092ED7">
              <w:rPr>
                <w:rFonts w:eastAsia="Times New Roman" w:cs="Times New Roman"/>
                <w:b/>
                <w:iCs/>
                <w:sz w:val="18"/>
                <w:szCs w:val="18"/>
                <w:lang w:val="sr-Cyrl-CS"/>
              </w:rPr>
              <w:t xml:space="preserve">циљ 59 ЗАЗБ - </w:t>
            </w:r>
            <w:r w:rsidRPr="00092ED7">
              <w:rPr>
                <w:rFonts w:eastAsia="Times New Roman" w:cs="Times New Roman"/>
                <w:iCs/>
                <w:sz w:val="18"/>
                <w:szCs w:val="18"/>
                <w:lang w:val="sr-Cyrl-CS"/>
              </w:rPr>
              <w:t>Унапредити међусекторско управљање и подржати интеграцију зелене и нискоугљеничне транзиције, између осталог, путем реформе јавне управе, управљањем јавним финансијама, програмом економске реформе и мобилизацијом властитих ресурса</w:t>
            </w:r>
          </w:p>
          <w:p w14:paraId="0FDB4B23" w14:textId="77777777" w:rsidR="00F50B50" w:rsidRPr="00092ED7" w:rsidRDefault="00F50B50" w:rsidP="00875ED4">
            <w:pPr>
              <w:spacing w:after="60"/>
              <w:jc w:val="left"/>
              <w:rPr>
                <w:rFonts w:eastAsia="Times New Roman" w:cs="Times New Roman"/>
                <w:iCs/>
                <w:sz w:val="18"/>
                <w:szCs w:val="18"/>
                <w:lang w:val="sr-Cyrl-CS"/>
              </w:rPr>
            </w:pPr>
            <w:r w:rsidRPr="00092ED7">
              <w:rPr>
                <w:rFonts w:eastAsia="Times New Roman" w:cs="Times New Roman"/>
                <w:b/>
                <w:iCs/>
                <w:sz w:val="18"/>
                <w:szCs w:val="18"/>
                <w:lang w:val="sr-Cyrl-CS"/>
              </w:rPr>
              <w:t xml:space="preserve">циљ 60 ЗАЗБ - </w:t>
            </w:r>
            <w:r w:rsidRPr="00092ED7">
              <w:rPr>
                <w:rFonts w:eastAsia="Times New Roman" w:cs="Times New Roman"/>
                <w:iCs/>
                <w:sz w:val="18"/>
                <w:szCs w:val="18"/>
                <w:lang w:val="sr-Cyrl-CS"/>
              </w:rPr>
              <w:t xml:space="preserve">Израдити програме и предузети потребне мере за повећање административних капацитета за имплементацију Зелене агенде за Западни Балкан како би се остварили надзор, промоција и поштовање еколошких обавеза и осигурати ефикасне </w:t>
            </w:r>
            <w:r w:rsidRPr="00092ED7">
              <w:rPr>
                <w:rFonts w:eastAsia="Times New Roman" w:cs="Times New Roman"/>
                <w:iCs/>
                <w:sz w:val="18"/>
                <w:szCs w:val="18"/>
                <w:lang w:val="sr-Cyrl-CS"/>
              </w:rPr>
              <w:lastRenderedPageBreak/>
              <w:t xml:space="preserve">механизме за учествовање јавности, приступ информацијама, приступ правосуђу у питањима заштите средине, као и извештавање о животној средини </w:t>
            </w:r>
          </w:p>
          <w:p w14:paraId="6ADE3EC0" w14:textId="77777777" w:rsidR="00F50B50" w:rsidRPr="00092ED7" w:rsidRDefault="00F50B50" w:rsidP="00875ED4">
            <w:pPr>
              <w:spacing w:after="60"/>
              <w:jc w:val="left"/>
              <w:rPr>
                <w:rFonts w:eastAsia="Times New Roman" w:cs="Times New Roman"/>
                <w:i/>
                <w:iCs/>
                <w:sz w:val="18"/>
                <w:szCs w:val="18"/>
                <w:lang w:val="sr-Cyrl-CS"/>
              </w:rPr>
            </w:pPr>
            <w:r w:rsidRPr="00092ED7">
              <w:rPr>
                <w:rFonts w:eastAsia="Times New Roman" w:cs="Times New Roman"/>
                <w:i/>
                <w:iCs/>
                <w:sz w:val="18"/>
                <w:szCs w:val="18"/>
                <w:lang w:val="sr-Cyrl-CS"/>
              </w:rPr>
              <w:t>Обухват привредних субјеката у власништву Републике Србије (нарочито оних који утичу на животну средину) и унапређење њиховог корпоративног управљања у складу са еколошки прихватљивом праксом.</w:t>
            </w:r>
          </w:p>
        </w:tc>
        <w:tc>
          <w:tcPr>
            <w:tcW w:w="1843" w:type="dxa"/>
            <w:tcBorders>
              <w:top w:val="single" w:sz="6" w:space="0" w:color="000000"/>
              <w:left w:val="single" w:sz="6" w:space="0" w:color="000000"/>
              <w:bottom w:val="single" w:sz="6" w:space="0" w:color="000000"/>
              <w:right w:val="single" w:sz="6" w:space="0" w:color="000000"/>
            </w:tcBorders>
          </w:tcPr>
          <w:p w14:paraId="6B1A3F10" w14:textId="77777777" w:rsidR="00F50B50" w:rsidRPr="00092ED7" w:rsidRDefault="00F50B50" w:rsidP="00875ED4">
            <w:pPr>
              <w:spacing w:after="60"/>
              <w:jc w:val="left"/>
              <w:rPr>
                <w:rFonts w:eastAsia="Times New Roman" w:cs="Times New Roman"/>
                <w:b/>
                <w:iCs/>
                <w:sz w:val="18"/>
                <w:szCs w:val="18"/>
                <w:lang w:val="sr-Cyrl-CS"/>
              </w:rPr>
            </w:pPr>
            <w:r w:rsidRPr="00092ED7">
              <w:rPr>
                <w:rFonts w:eastAsia="Times New Roman" w:cs="Times New Roman"/>
                <w:b/>
                <w:iCs/>
                <w:sz w:val="18"/>
                <w:szCs w:val="18"/>
                <w:lang w:val="sr-Cyrl-CS"/>
              </w:rPr>
              <w:lastRenderedPageBreak/>
              <w:t xml:space="preserve">Поглавље VIII Подстицање приватног сектора </w:t>
            </w:r>
          </w:p>
          <w:p w14:paraId="68F237A1" w14:textId="77777777" w:rsidR="00F50B50" w:rsidRPr="00092ED7" w:rsidRDefault="00F50B50" w:rsidP="00875ED4">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 Обезбедити постојање функционалне тржишне економије</w:t>
            </w:r>
          </w:p>
        </w:tc>
        <w:tc>
          <w:tcPr>
            <w:tcW w:w="1559" w:type="dxa"/>
            <w:tcBorders>
              <w:top w:val="single" w:sz="6" w:space="0" w:color="000000"/>
              <w:left w:val="single" w:sz="6" w:space="0" w:color="000000"/>
              <w:bottom w:val="single" w:sz="6" w:space="0" w:color="000000"/>
              <w:right w:val="single" w:sz="6" w:space="0" w:color="000000"/>
            </w:tcBorders>
          </w:tcPr>
          <w:p w14:paraId="2F4D0E34" w14:textId="77777777" w:rsidR="00F50B50" w:rsidRPr="00092ED7" w:rsidRDefault="00F50B50" w:rsidP="00875ED4">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w:t>
            </w:r>
          </w:p>
        </w:tc>
      </w:tr>
      <w:tr w:rsidR="00F50B50" w:rsidRPr="00092ED7" w14:paraId="066256E9" w14:textId="77777777" w:rsidTr="00F50B50">
        <w:trPr>
          <w:trHeight w:val="525"/>
        </w:trPr>
        <w:tc>
          <w:tcPr>
            <w:tcW w:w="1635" w:type="dxa"/>
            <w:tcBorders>
              <w:top w:val="single" w:sz="6" w:space="0" w:color="000000"/>
              <w:left w:val="single" w:sz="6" w:space="0" w:color="000000"/>
              <w:bottom w:val="single" w:sz="6" w:space="0" w:color="000000"/>
              <w:right w:val="single" w:sz="6" w:space="0" w:color="000000"/>
            </w:tcBorders>
          </w:tcPr>
          <w:p w14:paraId="7B5D8386" w14:textId="77777777" w:rsidR="00F50B50" w:rsidRPr="00092ED7" w:rsidRDefault="00F50B50" w:rsidP="00875ED4">
            <w:pPr>
              <w:spacing w:after="60"/>
              <w:jc w:val="left"/>
              <w:rPr>
                <w:rFonts w:eastAsia="Times New Roman" w:cs="Times New Roman"/>
                <w:b/>
                <w:bCs/>
                <w:sz w:val="20"/>
                <w:szCs w:val="20"/>
                <w:lang w:val="sr-Cyrl-CS"/>
              </w:rPr>
            </w:pPr>
            <w:r w:rsidRPr="00092ED7">
              <w:rPr>
                <w:rFonts w:eastAsia="Times New Roman" w:cs="Times New Roman"/>
                <w:b/>
                <w:bCs/>
                <w:sz w:val="20"/>
                <w:szCs w:val="20"/>
                <w:lang w:val="sr-Cyrl-CS"/>
              </w:rPr>
              <w:t>СР 7. Развој домаћег тржишта капитала и обезбеђивање већег степена заштите инвеститора</w:t>
            </w:r>
          </w:p>
        </w:tc>
        <w:tc>
          <w:tcPr>
            <w:tcW w:w="1498" w:type="dxa"/>
            <w:tcBorders>
              <w:top w:val="single" w:sz="6" w:space="0" w:color="000000"/>
              <w:left w:val="single" w:sz="6" w:space="0" w:color="000000"/>
              <w:bottom w:val="single" w:sz="6" w:space="0" w:color="000000"/>
              <w:right w:val="single" w:sz="6" w:space="0" w:color="000000"/>
            </w:tcBorders>
          </w:tcPr>
          <w:p w14:paraId="4D8BA98F" w14:textId="77777777" w:rsidR="00F50B50" w:rsidRPr="00092ED7" w:rsidRDefault="00875ED4" w:rsidP="00875ED4">
            <w:pPr>
              <w:spacing w:after="60"/>
              <w:jc w:val="left"/>
              <w:rPr>
                <w:rFonts w:eastAsia="Times New Roman" w:cs="Times New Roman"/>
                <w:iCs/>
                <w:sz w:val="18"/>
                <w:szCs w:val="18"/>
                <w:lang w:val="sr-Cyrl-CS"/>
              </w:rPr>
            </w:pPr>
            <w:r w:rsidRPr="00092ED7">
              <w:rPr>
                <w:rFonts w:eastAsia="Times New Roman" w:cs="Times New Roman"/>
                <w:b/>
                <w:iCs/>
                <w:sz w:val="18"/>
                <w:szCs w:val="18"/>
                <w:lang w:val="sr-Cyrl-CS"/>
              </w:rPr>
              <w:t>КСИ 2.</w:t>
            </w:r>
            <w:r w:rsidRPr="00092ED7">
              <w:rPr>
                <w:rFonts w:eastAsia="Times New Roman" w:cs="Times New Roman"/>
                <w:iCs/>
                <w:sz w:val="18"/>
                <w:szCs w:val="18"/>
                <w:lang w:val="sr-Cyrl-CS"/>
              </w:rPr>
              <w:t xml:space="preserve"> Унапређење пословног амбијента повољнијег за инвестиције </w:t>
            </w:r>
          </w:p>
        </w:tc>
        <w:tc>
          <w:tcPr>
            <w:tcW w:w="1750" w:type="dxa"/>
            <w:tcBorders>
              <w:top w:val="single" w:sz="6" w:space="0" w:color="000000"/>
              <w:left w:val="single" w:sz="6" w:space="0" w:color="000000"/>
              <w:bottom w:val="single" w:sz="6" w:space="0" w:color="000000"/>
              <w:right w:val="single" w:sz="6" w:space="0" w:color="000000"/>
            </w:tcBorders>
          </w:tcPr>
          <w:p w14:paraId="01F4B2C9" w14:textId="77777777" w:rsidR="00F50B50" w:rsidRPr="00092ED7" w:rsidRDefault="00F50B50" w:rsidP="00875ED4">
            <w:pPr>
              <w:spacing w:after="60"/>
              <w:jc w:val="left"/>
              <w:rPr>
                <w:rFonts w:eastAsia="Times New Roman" w:cs="Times New Roman"/>
                <w:iCs/>
                <w:sz w:val="18"/>
                <w:szCs w:val="18"/>
                <w:lang w:val="sr-Cyrl-CS"/>
              </w:rPr>
            </w:pPr>
            <w:r w:rsidRPr="00092ED7">
              <w:rPr>
                <w:rFonts w:eastAsia="Times New Roman" w:cs="Times New Roman"/>
                <w:b/>
                <w:iCs/>
                <w:sz w:val="18"/>
                <w:szCs w:val="18"/>
                <w:lang w:val="sr-Cyrl-CS"/>
              </w:rPr>
              <w:t>Препорука 3.</w:t>
            </w:r>
            <w:r w:rsidRPr="00092ED7">
              <w:rPr>
                <w:rFonts w:eastAsia="Times New Roman" w:cs="Times New Roman"/>
                <w:iCs/>
                <w:sz w:val="18"/>
                <w:szCs w:val="18"/>
                <w:lang w:val="sr-Cyrl-CS"/>
              </w:rPr>
              <w:t xml:space="preserve"> </w:t>
            </w:r>
          </w:p>
          <w:p w14:paraId="237B88B6" w14:textId="77777777" w:rsidR="00F50B50" w:rsidRPr="00092ED7" w:rsidRDefault="00F50B50" w:rsidP="00875ED4">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Одржати транспарентан и прецизан систем извештавања о квалитету ресурса и постојећим резервама на тржишту</w:t>
            </w:r>
          </w:p>
        </w:tc>
        <w:tc>
          <w:tcPr>
            <w:tcW w:w="2015" w:type="dxa"/>
            <w:tcBorders>
              <w:top w:val="single" w:sz="6" w:space="0" w:color="000000"/>
              <w:left w:val="single" w:sz="6" w:space="0" w:color="000000"/>
              <w:bottom w:val="single" w:sz="6" w:space="0" w:color="000000"/>
              <w:right w:val="single" w:sz="6" w:space="0" w:color="000000"/>
            </w:tcBorders>
          </w:tcPr>
          <w:p w14:paraId="553870BB" w14:textId="77777777" w:rsidR="00F50B50" w:rsidRPr="00092ED7" w:rsidRDefault="00F50B50" w:rsidP="00875ED4">
            <w:pPr>
              <w:pStyle w:val="Default"/>
              <w:spacing w:after="60"/>
              <w:jc w:val="left"/>
              <w:rPr>
                <w:rFonts w:ascii="Times New Roman" w:hAnsi="Times New Roman" w:cs="Times New Roman"/>
                <w:iCs/>
                <w:color w:val="auto"/>
                <w:sz w:val="18"/>
                <w:szCs w:val="18"/>
                <w:lang w:val="sr-Cyrl-CS"/>
              </w:rPr>
            </w:pPr>
            <w:r w:rsidRPr="00092ED7">
              <w:rPr>
                <w:rFonts w:ascii="Times New Roman" w:hAnsi="Times New Roman" w:cs="Times New Roman"/>
                <w:iCs/>
                <w:color w:val="auto"/>
                <w:sz w:val="18"/>
                <w:szCs w:val="18"/>
                <w:lang w:val="sr-Cyrl-CS"/>
              </w:rPr>
              <w:t>- Л</w:t>
            </w:r>
            <w:r w:rsidR="00875ED4" w:rsidRPr="00092ED7">
              <w:rPr>
                <w:rFonts w:ascii="Times New Roman" w:hAnsi="Times New Roman" w:cs="Times New Roman"/>
                <w:iCs/>
                <w:color w:val="auto"/>
                <w:sz w:val="18"/>
                <w:szCs w:val="18"/>
                <w:lang w:val="sr-Cyrl-CS"/>
              </w:rPr>
              <w:t>иберализовати кретање капитала</w:t>
            </w:r>
          </w:p>
        </w:tc>
        <w:tc>
          <w:tcPr>
            <w:tcW w:w="1932" w:type="dxa"/>
            <w:tcBorders>
              <w:top w:val="single" w:sz="6" w:space="0" w:color="000000"/>
              <w:left w:val="single" w:sz="6" w:space="0" w:color="000000"/>
              <w:bottom w:val="single" w:sz="6" w:space="0" w:color="000000"/>
              <w:right w:val="single" w:sz="6" w:space="0" w:color="000000"/>
            </w:tcBorders>
          </w:tcPr>
          <w:p w14:paraId="714992C4" w14:textId="77777777" w:rsidR="00F50B50" w:rsidRPr="00092ED7" w:rsidRDefault="00F50B50" w:rsidP="00875ED4">
            <w:pPr>
              <w:spacing w:after="60"/>
              <w:jc w:val="left"/>
              <w:rPr>
                <w:rFonts w:eastAsia="Times New Roman" w:cs="Times New Roman"/>
                <w:bCs/>
                <w:sz w:val="18"/>
                <w:szCs w:val="18"/>
                <w:lang w:val="sr-Cyrl-CS"/>
              </w:rPr>
            </w:pPr>
            <w:r w:rsidRPr="00092ED7">
              <w:rPr>
                <w:rFonts w:eastAsia="Times New Roman" w:cs="Times New Roman"/>
                <w:b/>
                <w:bCs/>
                <w:sz w:val="18"/>
                <w:szCs w:val="18"/>
                <w:lang w:val="sr-Cyrl-CS"/>
              </w:rPr>
              <w:t>ЦОР 8.3.</w:t>
            </w:r>
            <w:r w:rsidRPr="00092ED7">
              <w:rPr>
                <w:rFonts w:eastAsia="Times New Roman" w:cs="Times New Roman"/>
                <w:bCs/>
                <w:sz w:val="18"/>
                <w:szCs w:val="18"/>
                <w:lang w:val="sr-Cyrl-CS"/>
              </w:rPr>
              <w:t xml:space="preserve"> Промовисати развојно оријентисане политике које подржавају продуктивне активности, стварање достојанствених послова, предузетништво, креативност и иновативност и подстицати формализацију и раст микропредузећа, односно малих и средњих предузећа, укључујући и приступ финансијским услугама.</w:t>
            </w:r>
          </w:p>
          <w:p w14:paraId="2E906B6E" w14:textId="77777777" w:rsidR="00F50B50" w:rsidRPr="00092ED7" w:rsidRDefault="00F50B50" w:rsidP="00875ED4">
            <w:pPr>
              <w:spacing w:after="60"/>
              <w:jc w:val="left"/>
              <w:rPr>
                <w:rFonts w:eastAsia="Times New Roman" w:cs="Times New Roman"/>
                <w:bCs/>
                <w:sz w:val="18"/>
                <w:szCs w:val="18"/>
                <w:lang w:val="sr-Cyrl-CS"/>
              </w:rPr>
            </w:pPr>
            <w:r w:rsidRPr="00092ED7">
              <w:rPr>
                <w:rFonts w:eastAsia="Times New Roman" w:cs="Times New Roman"/>
                <w:b/>
                <w:bCs/>
                <w:sz w:val="18"/>
                <w:szCs w:val="18"/>
                <w:lang w:val="sr-Cyrl-CS"/>
              </w:rPr>
              <w:lastRenderedPageBreak/>
              <w:t>ЦОР 8.10</w:t>
            </w:r>
            <w:r w:rsidRPr="00092ED7">
              <w:rPr>
                <w:rFonts w:eastAsia="Times New Roman" w:cs="Times New Roman"/>
                <w:bCs/>
                <w:sz w:val="18"/>
                <w:szCs w:val="18"/>
                <w:lang w:val="sr-Cyrl-CS"/>
              </w:rPr>
              <w:t>. Јачати капацитете домаћих финансијских институција како би се подстицала и ширила доступност банкарских, осигуравајућих и финансијских услуга за све</w:t>
            </w:r>
          </w:p>
          <w:p w14:paraId="7576291C" w14:textId="77777777" w:rsidR="00F50B50" w:rsidRPr="00092ED7" w:rsidRDefault="00F50B50" w:rsidP="00875ED4">
            <w:pPr>
              <w:spacing w:after="60"/>
              <w:jc w:val="left"/>
              <w:rPr>
                <w:rFonts w:eastAsia="Times New Roman" w:cs="Times New Roman"/>
                <w:bCs/>
                <w:sz w:val="18"/>
                <w:szCs w:val="18"/>
                <w:lang w:val="sr-Cyrl-CS"/>
              </w:rPr>
            </w:pPr>
            <w:r w:rsidRPr="00092ED7">
              <w:rPr>
                <w:rFonts w:eastAsia="Times New Roman" w:cs="Times New Roman"/>
                <w:b/>
                <w:bCs/>
                <w:sz w:val="18"/>
                <w:szCs w:val="18"/>
                <w:lang w:val="sr-Cyrl-CS"/>
              </w:rPr>
              <w:t>ЦОР 9.3.</w:t>
            </w:r>
            <w:r w:rsidRPr="00092ED7">
              <w:rPr>
                <w:rFonts w:eastAsia="Times New Roman" w:cs="Times New Roman"/>
                <w:bCs/>
                <w:sz w:val="18"/>
                <w:szCs w:val="18"/>
                <w:lang w:val="sr-Cyrl-CS"/>
              </w:rPr>
              <w:t xml:space="preserve"> Повећати приступ малих индустријских и осталих предузећа финансијским услугама, посебно у земљама у развоју, што обухвата и повољне кредите, и повећати њихову интеграцију у ланце вредности и у тржишта</w:t>
            </w:r>
          </w:p>
        </w:tc>
        <w:tc>
          <w:tcPr>
            <w:tcW w:w="2409" w:type="dxa"/>
            <w:tcBorders>
              <w:top w:val="single" w:sz="6" w:space="0" w:color="000000"/>
              <w:left w:val="single" w:sz="6" w:space="0" w:color="000000"/>
              <w:bottom w:val="single" w:sz="6" w:space="0" w:color="000000"/>
              <w:right w:val="single" w:sz="6" w:space="0" w:color="000000"/>
            </w:tcBorders>
          </w:tcPr>
          <w:p w14:paraId="51140252" w14:textId="77777777" w:rsidR="00F50B50" w:rsidRPr="00092ED7" w:rsidRDefault="00F50B50" w:rsidP="00875ED4">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lastRenderedPageBreak/>
              <w:t xml:space="preserve">Директан утицај на област: </w:t>
            </w:r>
            <w:r w:rsidRPr="00092ED7">
              <w:rPr>
                <w:rFonts w:eastAsia="Times New Roman" w:cs="Times New Roman"/>
                <w:b/>
                <w:iCs/>
                <w:sz w:val="18"/>
                <w:szCs w:val="18"/>
                <w:lang w:val="sr-Cyrl-CS"/>
              </w:rPr>
              <w:t>остваривање зелених финансија и инвестиција у оквиру Европског Зеленог договора</w:t>
            </w:r>
            <w:r w:rsidRPr="00092ED7">
              <w:rPr>
                <w:rFonts w:eastAsia="Times New Roman" w:cs="Times New Roman"/>
                <w:iCs/>
                <w:sz w:val="18"/>
                <w:szCs w:val="18"/>
                <w:lang w:val="sr-Cyrl-CS"/>
              </w:rPr>
              <w:t xml:space="preserve">. </w:t>
            </w:r>
          </w:p>
          <w:p w14:paraId="07A9D40B" w14:textId="77777777" w:rsidR="00F50B50" w:rsidRPr="00092ED7" w:rsidRDefault="00F50B50" w:rsidP="00875ED4">
            <w:pPr>
              <w:spacing w:after="60"/>
              <w:jc w:val="left"/>
              <w:rPr>
                <w:rFonts w:eastAsia="Times New Roman" w:cs="Times New Roman"/>
                <w:i/>
                <w:iCs/>
                <w:sz w:val="18"/>
                <w:szCs w:val="18"/>
                <w:lang w:val="sr-Cyrl-CS"/>
              </w:rPr>
            </w:pPr>
            <w:r w:rsidRPr="00092ED7">
              <w:rPr>
                <w:rFonts w:eastAsia="Times New Roman" w:cs="Times New Roman"/>
                <w:i/>
                <w:iCs/>
                <w:sz w:val="18"/>
                <w:szCs w:val="18"/>
                <w:lang w:val="sr-Cyrl-CS"/>
              </w:rPr>
              <w:t>Креирање и развој финансијских инструмената у области тржишта капитала који се могу користити за мобилизацију финансија у циљу стимулисања зелених инвестиција и одрживих тржишта, технологија и инпута.</w:t>
            </w:r>
          </w:p>
        </w:tc>
        <w:tc>
          <w:tcPr>
            <w:tcW w:w="1843" w:type="dxa"/>
            <w:tcBorders>
              <w:top w:val="single" w:sz="6" w:space="0" w:color="000000"/>
              <w:left w:val="single" w:sz="6" w:space="0" w:color="000000"/>
              <w:bottom w:val="single" w:sz="6" w:space="0" w:color="000000"/>
              <w:right w:val="single" w:sz="6" w:space="0" w:color="000000"/>
            </w:tcBorders>
          </w:tcPr>
          <w:p w14:paraId="19384BB7" w14:textId="77777777" w:rsidR="00F50B50" w:rsidRPr="00092ED7" w:rsidRDefault="00F50B50" w:rsidP="00875ED4">
            <w:pPr>
              <w:spacing w:after="60"/>
              <w:jc w:val="left"/>
              <w:rPr>
                <w:rFonts w:eastAsia="Times New Roman" w:cs="Times New Roman"/>
                <w:b/>
                <w:iCs/>
                <w:sz w:val="18"/>
                <w:szCs w:val="18"/>
                <w:lang w:val="sr-Cyrl-CS"/>
              </w:rPr>
            </w:pPr>
            <w:r w:rsidRPr="00092ED7">
              <w:rPr>
                <w:rFonts w:eastAsia="Times New Roman" w:cs="Times New Roman"/>
                <w:b/>
                <w:iCs/>
                <w:sz w:val="18"/>
                <w:szCs w:val="18"/>
                <w:lang w:val="sr-Cyrl-CS"/>
              </w:rPr>
              <w:t xml:space="preserve">Поглавље X Регионална економска интеграција и интеграција са ЕУ </w:t>
            </w:r>
          </w:p>
          <w:p w14:paraId="1FBD7B48" w14:textId="77777777" w:rsidR="00F50B50" w:rsidRPr="00092ED7" w:rsidRDefault="00F50B50" w:rsidP="00875ED4">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 Допри</w:t>
            </w:r>
            <w:r w:rsidR="00040667" w:rsidRPr="00092ED7">
              <w:rPr>
                <w:rFonts w:eastAsia="Times New Roman" w:cs="Times New Roman"/>
                <w:iCs/>
                <w:sz w:val="18"/>
                <w:szCs w:val="18"/>
                <w:lang w:val="sr-Cyrl-CS"/>
              </w:rPr>
              <w:t>носи слободном кретању капитала</w:t>
            </w:r>
          </w:p>
        </w:tc>
        <w:tc>
          <w:tcPr>
            <w:tcW w:w="1559" w:type="dxa"/>
            <w:tcBorders>
              <w:top w:val="single" w:sz="6" w:space="0" w:color="000000"/>
              <w:left w:val="single" w:sz="6" w:space="0" w:color="000000"/>
              <w:bottom w:val="single" w:sz="6" w:space="0" w:color="000000"/>
              <w:right w:val="single" w:sz="6" w:space="0" w:color="000000"/>
            </w:tcBorders>
          </w:tcPr>
          <w:p w14:paraId="432F3DCA" w14:textId="77777777" w:rsidR="00F50B50" w:rsidRPr="00092ED7" w:rsidRDefault="00F50B50" w:rsidP="00875ED4">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w:t>
            </w:r>
          </w:p>
        </w:tc>
      </w:tr>
      <w:tr w:rsidR="00F50B50" w:rsidRPr="00092ED7" w14:paraId="1A8C2CE9" w14:textId="77777777" w:rsidTr="00F50B50">
        <w:trPr>
          <w:trHeight w:val="411"/>
        </w:trPr>
        <w:tc>
          <w:tcPr>
            <w:tcW w:w="1635" w:type="dxa"/>
            <w:tcBorders>
              <w:top w:val="single" w:sz="6" w:space="0" w:color="000000"/>
              <w:left w:val="single" w:sz="6" w:space="0" w:color="000000"/>
              <w:bottom w:val="single" w:sz="6" w:space="0" w:color="000000"/>
              <w:right w:val="single" w:sz="6" w:space="0" w:color="000000"/>
            </w:tcBorders>
          </w:tcPr>
          <w:p w14:paraId="05ACEB09" w14:textId="77777777" w:rsidR="00F50B50" w:rsidRPr="00092ED7" w:rsidRDefault="00F50B50" w:rsidP="00875ED4">
            <w:pPr>
              <w:spacing w:after="60"/>
              <w:jc w:val="left"/>
              <w:rPr>
                <w:rFonts w:eastAsia="Times New Roman" w:cs="Times New Roman"/>
                <w:b/>
                <w:bCs/>
                <w:sz w:val="20"/>
                <w:szCs w:val="20"/>
                <w:lang w:val="sr-Cyrl-CS"/>
              </w:rPr>
            </w:pPr>
            <w:r w:rsidRPr="00092ED7">
              <w:rPr>
                <w:rFonts w:eastAsia="Times New Roman" w:cs="Times New Roman"/>
                <w:b/>
                <w:bCs/>
                <w:sz w:val="20"/>
                <w:szCs w:val="20"/>
                <w:lang w:val="sr-Cyrl-CS"/>
              </w:rPr>
              <w:t xml:space="preserve">СР 8. Унапређење услова за повећање енергетске ефикасности кроз стварање услова за примену енергетског означавања и екодизајна, као и кроз подстицаје за унапређење </w:t>
            </w:r>
            <w:r w:rsidRPr="00092ED7">
              <w:rPr>
                <w:rFonts w:eastAsia="Times New Roman" w:cs="Times New Roman"/>
                <w:b/>
                <w:bCs/>
                <w:sz w:val="20"/>
                <w:szCs w:val="20"/>
                <w:lang w:val="sr-Cyrl-CS"/>
              </w:rPr>
              <w:lastRenderedPageBreak/>
              <w:t>енергетске ефикасности</w:t>
            </w:r>
          </w:p>
        </w:tc>
        <w:tc>
          <w:tcPr>
            <w:tcW w:w="1498" w:type="dxa"/>
            <w:tcBorders>
              <w:top w:val="single" w:sz="6" w:space="0" w:color="000000"/>
              <w:left w:val="single" w:sz="6" w:space="0" w:color="000000"/>
              <w:bottom w:val="single" w:sz="6" w:space="0" w:color="000000"/>
              <w:right w:val="single" w:sz="6" w:space="0" w:color="000000"/>
            </w:tcBorders>
          </w:tcPr>
          <w:p w14:paraId="55C16932" w14:textId="77777777" w:rsidR="00F50B50" w:rsidRPr="00092ED7" w:rsidRDefault="00F50B50" w:rsidP="00C57EAF">
            <w:pPr>
              <w:spacing w:after="60"/>
              <w:jc w:val="left"/>
              <w:rPr>
                <w:rFonts w:eastAsia="Times New Roman" w:cs="Times New Roman"/>
                <w:b/>
                <w:iCs/>
                <w:sz w:val="18"/>
                <w:szCs w:val="18"/>
                <w:lang w:val="sr-Cyrl-CS"/>
              </w:rPr>
            </w:pPr>
            <w:r w:rsidRPr="00092ED7">
              <w:rPr>
                <w:rFonts w:eastAsia="Times New Roman" w:cs="Times New Roman"/>
                <w:b/>
                <w:iCs/>
                <w:sz w:val="18"/>
                <w:szCs w:val="18"/>
                <w:lang w:val="sr-Cyrl-CS"/>
              </w:rPr>
              <w:lastRenderedPageBreak/>
              <w:t xml:space="preserve">КСИ 3. </w:t>
            </w:r>
            <w:r w:rsidRPr="00092ED7">
              <w:rPr>
                <w:rFonts w:eastAsia="Times New Roman" w:cs="Times New Roman"/>
                <w:iCs/>
                <w:sz w:val="18"/>
                <w:szCs w:val="18"/>
                <w:lang w:val="sr-Cyrl-CS"/>
              </w:rPr>
              <w:t>Озелењавање енергетског сектора и потпуно отварање енергетског тржишта</w:t>
            </w:r>
          </w:p>
        </w:tc>
        <w:tc>
          <w:tcPr>
            <w:tcW w:w="1750" w:type="dxa"/>
            <w:tcBorders>
              <w:top w:val="single" w:sz="6" w:space="0" w:color="000000"/>
              <w:left w:val="single" w:sz="6" w:space="0" w:color="000000"/>
              <w:bottom w:val="single" w:sz="6" w:space="0" w:color="000000"/>
              <w:right w:val="single" w:sz="6" w:space="0" w:color="000000"/>
            </w:tcBorders>
          </w:tcPr>
          <w:p w14:paraId="77ED9474" w14:textId="77777777" w:rsidR="00F50B50" w:rsidRPr="00092ED7" w:rsidRDefault="00F50B50" w:rsidP="00875ED4">
            <w:pPr>
              <w:spacing w:after="60"/>
              <w:jc w:val="left"/>
              <w:rPr>
                <w:rFonts w:eastAsia="Times New Roman" w:cs="Times New Roman"/>
                <w:b/>
                <w:iCs/>
                <w:sz w:val="18"/>
                <w:szCs w:val="18"/>
                <w:lang w:val="sr-Cyrl-CS"/>
              </w:rPr>
            </w:pPr>
            <w:r w:rsidRPr="00092ED7">
              <w:rPr>
                <w:rFonts w:eastAsia="Times New Roman" w:cs="Times New Roman"/>
                <w:b/>
                <w:iCs/>
                <w:sz w:val="18"/>
                <w:szCs w:val="18"/>
                <w:lang w:val="sr-Cyrl-CS"/>
              </w:rPr>
              <w:t>Препорука 5.</w:t>
            </w:r>
            <w:r w:rsidRPr="00092ED7">
              <w:rPr>
                <w:rFonts w:eastAsia="Times New Roman" w:cs="Times New Roman"/>
                <w:iCs/>
                <w:sz w:val="18"/>
                <w:szCs w:val="18"/>
                <w:lang w:val="sr-Cyrl-CS"/>
              </w:rPr>
              <w:t xml:space="preserve"> Смањити емисије угљеника. Спровести регулаторне, финансијске и институционалне мере у сврху веће употребе обновљивих извора енергије и енергетске ефикасности, укључујући увођење система аукција за обновљиве изворе енергије (ОИЕ) и успостављање </w:t>
            </w:r>
            <w:r w:rsidRPr="00092ED7">
              <w:rPr>
                <w:rFonts w:eastAsia="Times New Roman" w:cs="Times New Roman"/>
                <w:iCs/>
                <w:sz w:val="18"/>
                <w:szCs w:val="18"/>
                <w:lang w:val="sr-Cyrl-CS"/>
              </w:rPr>
              <w:lastRenderedPageBreak/>
              <w:t>одрживог механизма финансирања за енергетску ефикасност.</w:t>
            </w:r>
          </w:p>
        </w:tc>
        <w:tc>
          <w:tcPr>
            <w:tcW w:w="2015" w:type="dxa"/>
            <w:tcBorders>
              <w:top w:val="single" w:sz="6" w:space="0" w:color="000000"/>
              <w:left w:val="single" w:sz="6" w:space="0" w:color="000000"/>
              <w:bottom w:val="single" w:sz="6" w:space="0" w:color="000000"/>
              <w:right w:val="single" w:sz="6" w:space="0" w:color="000000"/>
            </w:tcBorders>
          </w:tcPr>
          <w:p w14:paraId="7065188E" w14:textId="77777777" w:rsidR="00F50B50" w:rsidRPr="00092ED7" w:rsidRDefault="00F50B50" w:rsidP="00875ED4">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lastRenderedPageBreak/>
              <w:t>- Убрзати транзицију на зелену енергију, смањити емисију ЦО2, повећати удео обновљивих извора и остварити уштеду енергије.</w:t>
            </w:r>
          </w:p>
          <w:p w14:paraId="716BE782" w14:textId="77777777" w:rsidR="00F50B50" w:rsidRPr="00092ED7" w:rsidRDefault="00F50B50" w:rsidP="00875ED4">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 xml:space="preserve">- Начинити конкретне активности у циљу постепеног елиминисања употребе угља (Оснивање Управе за финансирање и подстицање енергетске ефикасности и </w:t>
            </w:r>
            <w:r w:rsidRPr="00092ED7">
              <w:rPr>
                <w:rFonts w:eastAsia="Times New Roman" w:cs="Times New Roman"/>
                <w:iCs/>
                <w:sz w:val="18"/>
                <w:szCs w:val="18"/>
                <w:lang w:val="sr-Cyrl-CS"/>
              </w:rPr>
              <w:lastRenderedPageBreak/>
              <w:t>финансирање пројеката, д</w:t>
            </w:r>
            <w:r w:rsidR="00875ED4" w:rsidRPr="00092ED7">
              <w:rPr>
                <w:rFonts w:eastAsia="Times New Roman" w:cs="Times New Roman"/>
                <w:iCs/>
                <w:sz w:val="18"/>
                <w:szCs w:val="18"/>
                <w:lang w:val="sr-Cyrl-CS"/>
              </w:rPr>
              <w:t>оношење подзаконске регулативе)</w:t>
            </w:r>
          </w:p>
        </w:tc>
        <w:tc>
          <w:tcPr>
            <w:tcW w:w="1932" w:type="dxa"/>
            <w:tcBorders>
              <w:top w:val="single" w:sz="6" w:space="0" w:color="000000"/>
              <w:left w:val="single" w:sz="6" w:space="0" w:color="000000"/>
              <w:bottom w:val="single" w:sz="6" w:space="0" w:color="000000"/>
              <w:right w:val="single" w:sz="6" w:space="0" w:color="000000"/>
            </w:tcBorders>
          </w:tcPr>
          <w:p w14:paraId="539D6408" w14:textId="77777777" w:rsidR="00F50B50" w:rsidRPr="00092ED7" w:rsidRDefault="00F50B50" w:rsidP="00875ED4">
            <w:pPr>
              <w:spacing w:after="60"/>
              <w:jc w:val="left"/>
              <w:rPr>
                <w:rFonts w:eastAsia="Times New Roman" w:cs="Times New Roman"/>
                <w:b/>
                <w:bCs/>
                <w:sz w:val="18"/>
                <w:szCs w:val="18"/>
                <w:lang w:val="sr-Cyrl-CS"/>
              </w:rPr>
            </w:pPr>
            <w:r w:rsidRPr="00092ED7">
              <w:rPr>
                <w:rFonts w:eastAsia="Times New Roman" w:cs="Times New Roman"/>
                <w:b/>
                <w:bCs/>
                <w:sz w:val="18"/>
                <w:szCs w:val="18"/>
                <w:lang w:val="sr-Cyrl-CS"/>
              </w:rPr>
              <w:lastRenderedPageBreak/>
              <w:t xml:space="preserve">ЦОР 7.2. </w:t>
            </w:r>
            <w:r w:rsidRPr="00092ED7">
              <w:rPr>
                <w:rFonts w:eastAsia="Times New Roman" w:cs="Times New Roman"/>
                <w:bCs/>
                <w:sz w:val="18"/>
                <w:szCs w:val="18"/>
                <w:lang w:val="sr-Cyrl-CS"/>
              </w:rPr>
              <w:t>До 2030. значајно повећати удео обновљиве енергије у глобалном енергетском миксу</w:t>
            </w:r>
          </w:p>
          <w:p w14:paraId="58135FD8" w14:textId="77777777" w:rsidR="00F50B50" w:rsidRPr="00092ED7" w:rsidRDefault="00F50B50" w:rsidP="00875ED4">
            <w:pPr>
              <w:spacing w:after="60"/>
              <w:jc w:val="left"/>
              <w:rPr>
                <w:rFonts w:eastAsia="Times New Roman" w:cs="Times New Roman"/>
                <w:bCs/>
                <w:sz w:val="18"/>
                <w:szCs w:val="18"/>
                <w:lang w:val="sr-Cyrl-CS"/>
              </w:rPr>
            </w:pPr>
            <w:r w:rsidRPr="00092ED7">
              <w:rPr>
                <w:rFonts w:eastAsia="Times New Roman" w:cs="Times New Roman"/>
                <w:b/>
                <w:bCs/>
                <w:sz w:val="18"/>
                <w:szCs w:val="18"/>
                <w:lang w:val="sr-Cyrl-CS"/>
              </w:rPr>
              <w:t>ЦОР 7.3.</w:t>
            </w:r>
            <w:r w:rsidRPr="00092ED7">
              <w:rPr>
                <w:rFonts w:eastAsia="Times New Roman" w:cs="Times New Roman"/>
                <w:bCs/>
                <w:sz w:val="18"/>
                <w:szCs w:val="18"/>
                <w:lang w:val="sr-Cyrl-CS"/>
              </w:rPr>
              <w:t xml:space="preserve"> До 2030. удвостручити глобалну стопу побољшања енергетске ефикасности</w:t>
            </w:r>
          </w:p>
          <w:p w14:paraId="7A50D29B" w14:textId="77777777" w:rsidR="00F50B50" w:rsidRPr="00092ED7" w:rsidRDefault="00F50B50" w:rsidP="00875ED4">
            <w:pPr>
              <w:spacing w:after="60"/>
              <w:jc w:val="left"/>
              <w:rPr>
                <w:rFonts w:eastAsia="Times New Roman" w:cs="Times New Roman"/>
                <w:b/>
                <w:bCs/>
                <w:sz w:val="18"/>
                <w:szCs w:val="18"/>
                <w:lang w:val="sr-Cyrl-CS"/>
              </w:rPr>
            </w:pPr>
            <w:r w:rsidRPr="00092ED7">
              <w:rPr>
                <w:rFonts w:eastAsia="Times New Roman" w:cs="Times New Roman"/>
                <w:b/>
                <w:bCs/>
                <w:sz w:val="18"/>
                <w:szCs w:val="18"/>
                <w:lang w:val="sr-Cyrl-CS"/>
              </w:rPr>
              <w:t xml:space="preserve">ЦОР 7.б. </w:t>
            </w:r>
            <w:r w:rsidRPr="00092ED7">
              <w:rPr>
                <w:rFonts w:eastAsia="Times New Roman" w:cs="Times New Roman"/>
                <w:bCs/>
                <w:sz w:val="18"/>
                <w:szCs w:val="18"/>
                <w:lang w:val="sr-Cyrl-CS"/>
              </w:rPr>
              <w:t xml:space="preserve">До 2030. проширити инфраструктуру и унапредити технологију за снабдевање модерном и одрживом </w:t>
            </w:r>
            <w:r w:rsidRPr="00092ED7">
              <w:rPr>
                <w:rFonts w:eastAsia="Times New Roman" w:cs="Times New Roman"/>
                <w:bCs/>
                <w:sz w:val="18"/>
                <w:szCs w:val="18"/>
                <w:lang w:val="sr-Cyrl-CS"/>
              </w:rPr>
              <w:lastRenderedPageBreak/>
              <w:t>енергијом за све у земљама у развоју, а посебно у најмање развијеним земљама и малим острвским државама у развоју, државама у развоју које немају излаз на море, у складу са њиховим програмима подршке</w:t>
            </w:r>
          </w:p>
        </w:tc>
        <w:tc>
          <w:tcPr>
            <w:tcW w:w="2409" w:type="dxa"/>
            <w:tcBorders>
              <w:top w:val="single" w:sz="6" w:space="0" w:color="000000"/>
              <w:left w:val="single" w:sz="6" w:space="0" w:color="000000"/>
              <w:bottom w:val="single" w:sz="6" w:space="0" w:color="000000"/>
              <w:right w:val="single" w:sz="6" w:space="0" w:color="000000"/>
            </w:tcBorders>
          </w:tcPr>
          <w:p w14:paraId="09AC8F28" w14:textId="77777777" w:rsidR="00F50B50" w:rsidRPr="00092ED7" w:rsidRDefault="00F50B50" w:rsidP="00875ED4">
            <w:pPr>
              <w:spacing w:after="60"/>
              <w:jc w:val="left"/>
              <w:rPr>
                <w:rFonts w:eastAsia="Times New Roman" w:cs="Times New Roman"/>
                <w:b/>
                <w:iCs/>
                <w:sz w:val="18"/>
                <w:szCs w:val="18"/>
                <w:lang w:val="sr-Cyrl-CS"/>
              </w:rPr>
            </w:pPr>
            <w:r w:rsidRPr="00092ED7">
              <w:rPr>
                <w:rFonts w:eastAsia="Times New Roman" w:cs="Times New Roman"/>
                <w:iCs/>
                <w:sz w:val="18"/>
                <w:szCs w:val="18"/>
                <w:lang w:val="sr-Cyrl-CS"/>
              </w:rPr>
              <w:lastRenderedPageBreak/>
              <w:t>Директан утицај на циљеве:</w:t>
            </w:r>
          </w:p>
          <w:p w14:paraId="3BFC94F9" w14:textId="77777777" w:rsidR="00F50B50" w:rsidRPr="00092ED7" w:rsidRDefault="00F50B50" w:rsidP="00875ED4">
            <w:pPr>
              <w:spacing w:after="60"/>
              <w:jc w:val="left"/>
              <w:rPr>
                <w:rFonts w:eastAsia="Times New Roman" w:cs="Times New Roman"/>
                <w:b/>
                <w:iCs/>
                <w:sz w:val="18"/>
                <w:szCs w:val="18"/>
                <w:lang w:val="sr-Cyrl-CS"/>
              </w:rPr>
            </w:pPr>
            <w:r w:rsidRPr="00092ED7">
              <w:rPr>
                <w:rFonts w:eastAsia="Times New Roman" w:cs="Times New Roman"/>
                <w:b/>
                <w:iCs/>
                <w:sz w:val="18"/>
                <w:szCs w:val="18"/>
                <w:lang w:val="sr-Cyrl-CS"/>
              </w:rPr>
              <w:t xml:space="preserve">циљ10 ЗАЗБ - </w:t>
            </w:r>
            <w:r w:rsidRPr="00092ED7">
              <w:rPr>
                <w:rFonts w:eastAsia="Times New Roman" w:cs="Times New Roman"/>
                <w:iCs/>
                <w:sz w:val="18"/>
                <w:szCs w:val="18"/>
                <w:lang w:val="sr-Cyrl-CS"/>
              </w:rPr>
              <w:t>Давање приоритета енергетској ефикасности и њено унапређење у свим секторима</w:t>
            </w:r>
          </w:p>
          <w:p w14:paraId="63EBEB13" w14:textId="77777777" w:rsidR="00F50B50" w:rsidRPr="00092ED7" w:rsidRDefault="00F50B50" w:rsidP="00875ED4">
            <w:pPr>
              <w:spacing w:after="60"/>
              <w:jc w:val="left"/>
              <w:rPr>
                <w:rFonts w:eastAsia="Times New Roman" w:cs="Times New Roman"/>
                <w:b/>
                <w:iCs/>
                <w:sz w:val="18"/>
                <w:szCs w:val="18"/>
                <w:lang w:val="sr-Cyrl-CS"/>
              </w:rPr>
            </w:pPr>
            <w:r w:rsidRPr="00092ED7">
              <w:rPr>
                <w:rFonts w:eastAsia="Times New Roman" w:cs="Times New Roman"/>
                <w:b/>
                <w:iCs/>
                <w:sz w:val="18"/>
                <w:szCs w:val="18"/>
                <w:lang w:val="sr-Cyrl-CS"/>
              </w:rPr>
              <w:t xml:space="preserve">циљ 12 ЗАЗБ - </w:t>
            </w:r>
            <w:r w:rsidRPr="00092ED7">
              <w:rPr>
                <w:rFonts w:eastAsia="Times New Roman" w:cs="Times New Roman"/>
                <w:iCs/>
                <w:sz w:val="18"/>
                <w:szCs w:val="18"/>
                <w:lang w:val="sr-Cyrl-CS"/>
              </w:rPr>
              <w:t>Подршка програмима обнове приватних и јавних зграда, као и  обезбеђење одговарајућег финансирања</w:t>
            </w:r>
          </w:p>
          <w:p w14:paraId="6CA610D7" w14:textId="77777777" w:rsidR="00F50B50" w:rsidRPr="00092ED7" w:rsidRDefault="00F50B50" w:rsidP="00875ED4">
            <w:pPr>
              <w:spacing w:after="60"/>
              <w:jc w:val="left"/>
              <w:rPr>
                <w:rFonts w:eastAsia="Times New Roman" w:cs="Times New Roman"/>
                <w:b/>
                <w:iCs/>
                <w:sz w:val="18"/>
                <w:szCs w:val="18"/>
                <w:lang w:val="sr-Cyrl-CS"/>
              </w:rPr>
            </w:pPr>
            <w:r w:rsidRPr="00092ED7">
              <w:rPr>
                <w:rFonts w:eastAsia="Times New Roman" w:cs="Times New Roman"/>
                <w:b/>
                <w:iCs/>
                <w:sz w:val="18"/>
                <w:szCs w:val="18"/>
                <w:lang w:val="sr-Cyrl-CS"/>
              </w:rPr>
              <w:t xml:space="preserve">циљ 13 ЗАЗБ - </w:t>
            </w:r>
            <w:r w:rsidRPr="00092ED7">
              <w:rPr>
                <w:rFonts w:eastAsia="Times New Roman" w:cs="Times New Roman"/>
                <w:iCs/>
                <w:sz w:val="18"/>
                <w:szCs w:val="18"/>
                <w:lang w:val="sr-Cyrl-CS"/>
              </w:rPr>
              <w:t xml:space="preserve">Повећање удела обновљивих извора енергије и стварање </w:t>
            </w:r>
            <w:r w:rsidRPr="00092ED7">
              <w:rPr>
                <w:rFonts w:eastAsia="Times New Roman" w:cs="Times New Roman"/>
                <w:iCs/>
                <w:sz w:val="18"/>
                <w:szCs w:val="18"/>
                <w:lang w:val="sr-Cyrl-CS"/>
              </w:rPr>
              <w:lastRenderedPageBreak/>
              <w:t>неопходних инвестиционих услова</w:t>
            </w:r>
          </w:p>
          <w:p w14:paraId="39E0F93F" w14:textId="77777777" w:rsidR="00F50B50" w:rsidRPr="00092ED7" w:rsidRDefault="00F50B50" w:rsidP="00875ED4">
            <w:pPr>
              <w:spacing w:after="60"/>
              <w:jc w:val="left"/>
              <w:rPr>
                <w:rFonts w:eastAsia="Times New Roman" w:cs="Times New Roman"/>
                <w:b/>
                <w:iCs/>
                <w:sz w:val="18"/>
                <w:szCs w:val="18"/>
                <w:lang w:val="sr-Cyrl-CS"/>
              </w:rPr>
            </w:pPr>
            <w:r w:rsidRPr="00092ED7">
              <w:rPr>
                <w:rFonts w:eastAsia="Times New Roman" w:cs="Times New Roman"/>
                <w:b/>
                <w:iCs/>
                <w:sz w:val="18"/>
                <w:szCs w:val="18"/>
                <w:lang w:val="sr-Cyrl-CS"/>
              </w:rPr>
              <w:t xml:space="preserve">циљ 16 ЗАЗБ -  </w:t>
            </w:r>
            <w:r w:rsidRPr="00092ED7">
              <w:rPr>
                <w:rFonts w:eastAsia="Times New Roman" w:cs="Times New Roman"/>
                <w:iCs/>
                <w:sz w:val="18"/>
                <w:szCs w:val="18"/>
                <w:lang w:val="sr-Cyrl-CS"/>
              </w:rPr>
              <w:t>Развој програма за решавање проблема енергетског сиромаштва и финансирање програма за обнову домаћинстава и осигурање основног животног стандарда</w:t>
            </w:r>
          </w:p>
          <w:p w14:paraId="06C6CA85" w14:textId="77777777" w:rsidR="00F50B50" w:rsidRPr="00092ED7" w:rsidRDefault="00F50B50" w:rsidP="00875ED4">
            <w:pPr>
              <w:spacing w:after="60"/>
              <w:jc w:val="left"/>
              <w:rPr>
                <w:rFonts w:eastAsia="Times New Roman" w:cs="Times New Roman"/>
                <w:b/>
                <w:iCs/>
                <w:sz w:val="18"/>
                <w:szCs w:val="18"/>
                <w:lang w:val="sr-Cyrl-CS"/>
              </w:rPr>
            </w:pPr>
            <w:r w:rsidRPr="00092ED7">
              <w:rPr>
                <w:rFonts w:eastAsia="Times New Roman" w:cs="Times New Roman"/>
                <w:b/>
                <w:iCs/>
                <w:sz w:val="18"/>
                <w:szCs w:val="18"/>
                <w:lang w:val="sr-Cyrl-CS"/>
              </w:rPr>
              <w:t xml:space="preserve">циљ 8 Европског Зеленог договора - </w:t>
            </w:r>
            <w:r w:rsidRPr="00092ED7">
              <w:rPr>
                <w:rFonts w:eastAsia="Times New Roman" w:cs="Times New Roman"/>
                <w:iCs/>
                <w:sz w:val="18"/>
                <w:szCs w:val="18"/>
                <w:lang w:val="sr-Cyrl-CS"/>
              </w:rPr>
              <w:t>Стратегија за паметну интеграцију сектора</w:t>
            </w:r>
          </w:p>
          <w:p w14:paraId="1354019F" w14:textId="77777777" w:rsidR="00F50B50" w:rsidRPr="00092ED7" w:rsidRDefault="00F50B50" w:rsidP="00875ED4">
            <w:pPr>
              <w:spacing w:after="60"/>
              <w:jc w:val="left"/>
              <w:rPr>
                <w:rFonts w:eastAsia="Times New Roman" w:cs="Times New Roman"/>
                <w:iCs/>
                <w:sz w:val="18"/>
                <w:szCs w:val="18"/>
                <w:lang w:val="sr-Cyrl-CS"/>
              </w:rPr>
            </w:pPr>
            <w:r w:rsidRPr="00092ED7">
              <w:rPr>
                <w:rFonts w:eastAsia="Times New Roman" w:cs="Times New Roman"/>
                <w:b/>
                <w:iCs/>
                <w:sz w:val="18"/>
                <w:szCs w:val="18"/>
                <w:lang w:val="sr-Cyrl-CS"/>
              </w:rPr>
              <w:t xml:space="preserve">циљ 9 Европског Зеленог договора - </w:t>
            </w:r>
            <w:r w:rsidRPr="00092ED7">
              <w:rPr>
                <w:rFonts w:eastAsia="Times New Roman" w:cs="Times New Roman"/>
                <w:iCs/>
                <w:sz w:val="18"/>
                <w:szCs w:val="18"/>
                <w:lang w:val="sr-Cyrl-CS"/>
              </w:rPr>
              <w:t>Иницијатива  „талас обнове” за грађевински сектор</w:t>
            </w:r>
          </w:p>
          <w:p w14:paraId="18CEF82C" w14:textId="77777777" w:rsidR="00F50B50" w:rsidRPr="00092ED7" w:rsidRDefault="00F50B50" w:rsidP="00875ED4">
            <w:pPr>
              <w:spacing w:after="60"/>
              <w:jc w:val="left"/>
              <w:rPr>
                <w:rFonts w:eastAsia="Times New Roman" w:cs="Times New Roman"/>
                <w:iCs/>
                <w:sz w:val="18"/>
                <w:szCs w:val="18"/>
                <w:lang w:val="sr-Cyrl-CS"/>
              </w:rPr>
            </w:pPr>
            <w:r w:rsidRPr="00092ED7">
              <w:rPr>
                <w:rFonts w:eastAsia="Times New Roman" w:cs="Times New Roman"/>
                <w:i/>
                <w:iCs/>
                <w:sz w:val="18"/>
                <w:szCs w:val="18"/>
                <w:lang w:val="sr-Cyrl-CS"/>
              </w:rPr>
              <w:t>Спровођење регулаторне реформе и усклађивање са прописима ЕУ, јачање институционалних капацитета и обезбеђивање финансијских средстава и подстицаја у циљу унапређења енергетске ефикасности. Посебан фокус је на подршци уштеди енергије домаћинстава кроз енергетску санацију стамбених зграда и постављање соларних панела, као и прелазак на плаћање по основу потрошње топлотне енергије.</w:t>
            </w:r>
          </w:p>
        </w:tc>
        <w:tc>
          <w:tcPr>
            <w:tcW w:w="1843" w:type="dxa"/>
            <w:tcBorders>
              <w:top w:val="single" w:sz="6" w:space="0" w:color="000000"/>
              <w:left w:val="single" w:sz="6" w:space="0" w:color="000000"/>
              <w:bottom w:val="single" w:sz="6" w:space="0" w:color="000000"/>
              <w:right w:val="single" w:sz="6" w:space="0" w:color="000000"/>
            </w:tcBorders>
          </w:tcPr>
          <w:p w14:paraId="5713676E" w14:textId="77777777" w:rsidR="00F50B50" w:rsidRPr="00092ED7" w:rsidRDefault="00F50B50" w:rsidP="00875ED4">
            <w:pPr>
              <w:spacing w:after="60"/>
              <w:jc w:val="left"/>
              <w:rPr>
                <w:rFonts w:eastAsia="Times New Roman" w:cs="Times New Roman"/>
                <w:b/>
                <w:iCs/>
                <w:sz w:val="18"/>
                <w:szCs w:val="18"/>
                <w:lang w:val="sr-Cyrl-CS"/>
              </w:rPr>
            </w:pPr>
            <w:r w:rsidRPr="00092ED7">
              <w:rPr>
                <w:rFonts w:eastAsia="Times New Roman" w:cs="Times New Roman"/>
                <w:b/>
                <w:iCs/>
                <w:sz w:val="18"/>
                <w:szCs w:val="18"/>
                <w:lang w:val="sr-Cyrl-CS"/>
              </w:rPr>
              <w:lastRenderedPageBreak/>
              <w:t xml:space="preserve">Поглавље V </w:t>
            </w:r>
          </w:p>
          <w:p w14:paraId="1E73D0B0" w14:textId="77777777" w:rsidR="00F50B50" w:rsidRPr="00092ED7" w:rsidRDefault="00F50B50" w:rsidP="00875ED4">
            <w:pPr>
              <w:spacing w:after="60"/>
              <w:jc w:val="left"/>
              <w:rPr>
                <w:rFonts w:eastAsia="Times New Roman" w:cs="Times New Roman"/>
                <w:b/>
                <w:iCs/>
                <w:sz w:val="18"/>
                <w:szCs w:val="18"/>
                <w:lang w:val="sr-Cyrl-CS"/>
              </w:rPr>
            </w:pPr>
            <w:r w:rsidRPr="00092ED7">
              <w:rPr>
                <w:rFonts w:eastAsia="Times New Roman" w:cs="Times New Roman"/>
                <w:b/>
                <w:iCs/>
                <w:sz w:val="18"/>
                <w:szCs w:val="18"/>
                <w:lang w:val="sr-Cyrl-CS"/>
              </w:rPr>
              <w:t xml:space="preserve">Улагање у чисту енергију </w:t>
            </w:r>
          </w:p>
          <w:p w14:paraId="5C19AEBA" w14:textId="77777777" w:rsidR="00F50B50" w:rsidRPr="00092ED7" w:rsidRDefault="00F50B50" w:rsidP="00875ED4">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 Повећање енергетску ефикасност, јачање енергетског тржишта</w:t>
            </w:r>
          </w:p>
          <w:p w14:paraId="6050F7A6" w14:textId="77777777" w:rsidR="00F50B50" w:rsidRPr="00092ED7" w:rsidRDefault="00F50B50" w:rsidP="00875ED4">
            <w:pPr>
              <w:spacing w:after="60"/>
              <w:jc w:val="left"/>
              <w:rPr>
                <w:rFonts w:eastAsia="Times New Roman" w:cs="Times New Roman"/>
                <w:b/>
                <w:iCs/>
                <w:sz w:val="18"/>
                <w:szCs w:val="18"/>
                <w:lang w:val="sr-Cyrl-CS"/>
              </w:rPr>
            </w:pPr>
            <w:r w:rsidRPr="00092ED7">
              <w:rPr>
                <w:rFonts w:eastAsia="Times New Roman" w:cs="Times New Roman"/>
                <w:b/>
                <w:iCs/>
                <w:sz w:val="18"/>
                <w:szCs w:val="18"/>
                <w:lang w:val="sr-Cyrl-CS"/>
              </w:rPr>
              <w:t xml:space="preserve">Кључна иницијатива 4. Обновљива енергија </w:t>
            </w:r>
          </w:p>
          <w:p w14:paraId="1D399298" w14:textId="77777777" w:rsidR="00F50B50" w:rsidRPr="00092ED7" w:rsidRDefault="00F50B50" w:rsidP="00875ED4">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 Повећана употреба обновљивих извора енергије</w:t>
            </w:r>
          </w:p>
          <w:p w14:paraId="44B98B4A" w14:textId="77777777" w:rsidR="00F50B50" w:rsidRPr="00092ED7" w:rsidRDefault="00F50B50" w:rsidP="00875ED4">
            <w:pPr>
              <w:spacing w:after="60"/>
              <w:jc w:val="left"/>
              <w:rPr>
                <w:rFonts w:eastAsia="Times New Roman" w:cs="Times New Roman"/>
                <w:b/>
                <w:iCs/>
                <w:sz w:val="18"/>
                <w:szCs w:val="18"/>
                <w:lang w:val="sr-Cyrl-CS"/>
              </w:rPr>
            </w:pPr>
            <w:r w:rsidRPr="00092ED7">
              <w:rPr>
                <w:rFonts w:eastAsia="Times New Roman" w:cs="Times New Roman"/>
                <w:b/>
                <w:iCs/>
                <w:sz w:val="18"/>
                <w:szCs w:val="18"/>
                <w:lang w:val="sr-Cyrl-CS"/>
              </w:rPr>
              <w:lastRenderedPageBreak/>
              <w:t>Кључна иницијатива 5. Транзиција од експлоатације угља</w:t>
            </w:r>
          </w:p>
          <w:p w14:paraId="1D2166F5" w14:textId="77777777" w:rsidR="00F50B50" w:rsidRPr="00092ED7" w:rsidRDefault="00F50B50" w:rsidP="00875ED4">
            <w:pPr>
              <w:spacing w:after="60"/>
              <w:jc w:val="left"/>
              <w:rPr>
                <w:rFonts w:eastAsia="Times New Roman" w:cs="Times New Roman"/>
                <w:b/>
                <w:iCs/>
                <w:sz w:val="18"/>
                <w:szCs w:val="18"/>
                <w:lang w:val="sr-Cyrl-CS"/>
              </w:rPr>
            </w:pPr>
            <w:r w:rsidRPr="00092ED7">
              <w:rPr>
                <w:rFonts w:eastAsia="Times New Roman" w:cs="Times New Roman"/>
                <w:iCs/>
                <w:sz w:val="18"/>
                <w:szCs w:val="18"/>
                <w:lang w:val="sr-Cyrl-CS"/>
              </w:rPr>
              <w:t>- Декарбонизација, коришћење обновљивих извора енергије</w:t>
            </w:r>
          </w:p>
        </w:tc>
        <w:tc>
          <w:tcPr>
            <w:tcW w:w="1559" w:type="dxa"/>
            <w:tcBorders>
              <w:top w:val="single" w:sz="6" w:space="0" w:color="000000"/>
              <w:left w:val="single" w:sz="6" w:space="0" w:color="000000"/>
              <w:bottom w:val="single" w:sz="6" w:space="0" w:color="000000"/>
              <w:right w:val="single" w:sz="6" w:space="0" w:color="000000"/>
            </w:tcBorders>
          </w:tcPr>
          <w:p w14:paraId="25778D03" w14:textId="77777777" w:rsidR="00F50B50" w:rsidRPr="00092ED7" w:rsidRDefault="00F50B50" w:rsidP="00875ED4">
            <w:pPr>
              <w:spacing w:after="60"/>
              <w:jc w:val="left"/>
              <w:rPr>
                <w:rFonts w:cs="Times New Roman"/>
                <w:bCs/>
                <w:sz w:val="18"/>
                <w:szCs w:val="18"/>
                <w:lang w:val="sr-Cyrl-CS"/>
              </w:rPr>
            </w:pPr>
            <w:r w:rsidRPr="00092ED7">
              <w:rPr>
                <w:rFonts w:cs="Times New Roman"/>
                <w:bCs/>
                <w:sz w:val="18"/>
                <w:szCs w:val="18"/>
                <w:lang w:val="sr-Cyrl-CS"/>
              </w:rPr>
              <w:lastRenderedPageBreak/>
              <w:t>ИПА 2021</w:t>
            </w:r>
          </w:p>
          <w:p w14:paraId="766974EB" w14:textId="77777777" w:rsidR="00F50B50" w:rsidRPr="00092ED7" w:rsidRDefault="00F50B50" w:rsidP="00875ED4">
            <w:pPr>
              <w:spacing w:after="60"/>
              <w:jc w:val="left"/>
              <w:rPr>
                <w:rFonts w:cs="Times New Roman"/>
                <w:sz w:val="18"/>
                <w:szCs w:val="18"/>
                <w:lang w:val="sr-Cyrl-CS"/>
              </w:rPr>
            </w:pPr>
            <w:r w:rsidRPr="00092ED7">
              <w:rPr>
                <w:rFonts w:cs="Times New Roman"/>
                <w:bCs/>
                <w:sz w:val="18"/>
                <w:szCs w:val="18"/>
                <w:lang w:val="sr-Cyrl-CS"/>
              </w:rPr>
              <w:t>Подршка за рад Фонда за енергетску ефикасност</w:t>
            </w:r>
          </w:p>
          <w:p w14:paraId="46B74A7D" w14:textId="77777777" w:rsidR="00F50B50" w:rsidRPr="00092ED7" w:rsidRDefault="00F50B50" w:rsidP="00875ED4">
            <w:pPr>
              <w:spacing w:after="60"/>
              <w:jc w:val="left"/>
              <w:rPr>
                <w:rFonts w:cs="Times New Roman"/>
                <w:sz w:val="18"/>
                <w:szCs w:val="18"/>
                <w:lang w:val="sr-Cyrl-CS"/>
              </w:rPr>
            </w:pPr>
            <w:r w:rsidRPr="00092ED7">
              <w:rPr>
                <w:rFonts w:cs="Times New Roman"/>
                <w:sz w:val="18"/>
                <w:szCs w:val="18"/>
                <w:lang w:val="sr-Cyrl-CS"/>
              </w:rPr>
              <w:t>5 милиона евра</w:t>
            </w:r>
          </w:p>
          <w:p w14:paraId="00B185A4" w14:textId="77777777" w:rsidR="00F50B50" w:rsidRPr="00092ED7" w:rsidRDefault="00F50B50" w:rsidP="00875ED4">
            <w:pPr>
              <w:spacing w:after="60"/>
              <w:jc w:val="left"/>
              <w:rPr>
                <w:rFonts w:cs="Times New Roman"/>
                <w:bCs/>
                <w:sz w:val="18"/>
                <w:szCs w:val="18"/>
                <w:lang w:val="sr-Cyrl-CS"/>
              </w:rPr>
            </w:pPr>
          </w:p>
          <w:p w14:paraId="35608B18" w14:textId="77777777" w:rsidR="00F50B50" w:rsidRPr="00092ED7" w:rsidRDefault="00F50B50" w:rsidP="00875ED4">
            <w:pPr>
              <w:spacing w:after="60"/>
              <w:jc w:val="left"/>
              <w:rPr>
                <w:rFonts w:cs="Times New Roman"/>
                <w:bCs/>
                <w:sz w:val="18"/>
                <w:szCs w:val="18"/>
                <w:lang w:val="sr-Cyrl-CS"/>
              </w:rPr>
            </w:pPr>
            <w:r w:rsidRPr="00092ED7">
              <w:rPr>
                <w:rFonts w:cs="Times New Roman"/>
                <w:bCs/>
                <w:sz w:val="18"/>
                <w:szCs w:val="18"/>
                <w:lang w:val="sr-Cyrl-CS"/>
              </w:rPr>
              <w:t>ИПА 2022</w:t>
            </w:r>
          </w:p>
          <w:p w14:paraId="53C4D922" w14:textId="77777777" w:rsidR="00F50B50" w:rsidRPr="00092ED7" w:rsidRDefault="00F50B50" w:rsidP="00875ED4">
            <w:pPr>
              <w:spacing w:after="60"/>
              <w:jc w:val="left"/>
              <w:rPr>
                <w:rFonts w:cs="Times New Roman"/>
                <w:sz w:val="18"/>
                <w:szCs w:val="18"/>
                <w:lang w:val="sr-Cyrl-CS"/>
              </w:rPr>
            </w:pPr>
            <w:r w:rsidRPr="00092ED7">
              <w:rPr>
                <w:rFonts w:cs="Times New Roman"/>
                <w:bCs/>
                <w:sz w:val="18"/>
                <w:szCs w:val="18"/>
                <w:lang w:val="sr-Cyrl-CS"/>
              </w:rPr>
              <w:t>Подршка за рад и инвестиције Фонду за енергетску ефикасност</w:t>
            </w:r>
            <w:r w:rsidRPr="00092ED7">
              <w:rPr>
                <w:rFonts w:cs="Times New Roman"/>
                <w:sz w:val="18"/>
                <w:szCs w:val="18"/>
                <w:lang w:val="sr-Cyrl-CS"/>
              </w:rPr>
              <w:t xml:space="preserve">, </w:t>
            </w:r>
          </w:p>
          <w:p w14:paraId="41CAC248" w14:textId="77777777" w:rsidR="00F50B50" w:rsidRPr="00092ED7" w:rsidRDefault="00F50B50" w:rsidP="00875ED4">
            <w:pPr>
              <w:spacing w:after="60"/>
              <w:jc w:val="left"/>
              <w:rPr>
                <w:rFonts w:cs="Times New Roman"/>
                <w:b/>
                <w:bCs/>
                <w:sz w:val="18"/>
                <w:szCs w:val="18"/>
                <w:lang w:val="sr-Cyrl-CS"/>
              </w:rPr>
            </w:pPr>
            <w:r w:rsidRPr="00092ED7">
              <w:rPr>
                <w:rFonts w:cs="Times New Roman"/>
                <w:sz w:val="18"/>
                <w:szCs w:val="18"/>
                <w:lang w:val="sr-Cyrl-CS"/>
              </w:rPr>
              <w:t>10 милиона евра</w:t>
            </w:r>
          </w:p>
        </w:tc>
      </w:tr>
      <w:tr w:rsidR="00C57EAF" w:rsidRPr="00092ED7" w14:paraId="6E0D9056" w14:textId="77777777" w:rsidTr="00F50B50">
        <w:trPr>
          <w:trHeight w:val="411"/>
        </w:trPr>
        <w:tc>
          <w:tcPr>
            <w:tcW w:w="1635" w:type="dxa"/>
            <w:tcBorders>
              <w:top w:val="single" w:sz="6" w:space="0" w:color="000000"/>
              <w:left w:val="single" w:sz="6" w:space="0" w:color="000000"/>
              <w:bottom w:val="single" w:sz="6" w:space="0" w:color="000000"/>
              <w:right w:val="single" w:sz="6" w:space="0" w:color="000000"/>
            </w:tcBorders>
          </w:tcPr>
          <w:p w14:paraId="0EA39793" w14:textId="073EE6D1" w:rsidR="00C57EAF" w:rsidRPr="00092ED7" w:rsidRDefault="00C57EAF" w:rsidP="00C57EAF">
            <w:pPr>
              <w:spacing w:after="60"/>
              <w:jc w:val="left"/>
              <w:rPr>
                <w:rFonts w:eastAsia="Times New Roman" w:cs="Times New Roman"/>
                <w:b/>
                <w:bCs/>
                <w:sz w:val="20"/>
                <w:szCs w:val="20"/>
                <w:lang w:val="sr-Cyrl-CS"/>
              </w:rPr>
            </w:pPr>
            <w:r w:rsidRPr="00092ED7">
              <w:rPr>
                <w:rFonts w:eastAsia="Times New Roman" w:cs="Times New Roman"/>
                <w:b/>
                <w:bCs/>
                <w:sz w:val="20"/>
                <w:szCs w:val="20"/>
                <w:lang w:val="sr-Cyrl-CS"/>
              </w:rPr>
              <w:t xml:space="preserve">СР 9. Интеграција </w:t>
            </w:r>
            <w:r w:rsidRPr="00092ED7">
              <w:rPr>
                <w:rFonts w:eastAsia="Times New Roman" w:cs="Times New Roman"/>
                <w:b/>
                <w:bCs/>
                <w:sz w:val="20"/>
                <w:szCs w:val="20"/>
                <w:lang w:val="sr-Cyrl-CS"/>
              </w:rPr>
              <w:lastRenderedPageBreak/>
              <w:t>обновљивих извора електричне енергије кроз пројекат „Беогрид 2025</w:t>
            </w:r>
            <w:r w:rsidR="00BB5C1F" w:rsidRPr="00092ED7">
              <w:rPr>
                <w:rFonts w:cs="Times New Roman"/>
                <w:b/>
                <w:sz w:val="20"/>
                <w:szCs w:val="20"/>
                <w:lang w:val="sr-Cyrl-CS"/>
              </w:rPr>
              <w:t>”</w:t>
            </w:r>
          </w:p>
        </w:tc>
        <w:tc>
          <w:tcPr>
            <w:tcW w:w="1498" w:type="dxa"/>
            <w:tcBorders>
              <w:top w:val="single" w:sz="6" w:space="0" w:color="000000"/>
              <w:left w:val="single" w:sz="6" w:space="0" w:color="000000"/>
              <w:bottom w:val="single" w:sz="6" w:space="0" w:color="000000"/>
              <w:right w:val="single" w:sz="6" w:space="0" w:color="000000"/>
            </w:tcBorders>
          </w:tcPr>
          <w:p w14:paraId="34FAAD55" w14:textId="77777777" w:rsidR="00C57EAF" w:rsidRPr="00092ED7" w:rsidRDefault="00C57EAF" w:rsidP="00C57EAF">
            <w:pPr>
              <w:spacing w:after="60"/>
              <w:jc w:val="left"/>
              <w:rPr>
                <w:rFonts w:eastAsia="Times New Roman" w:cs="Times New Roman"/>
                <w:b/>
                <w:iCs/>
                <w:sz w:val="18"/>
                <w:szCs w:val="18"/>
                <w:lang w:val="sr-Cyrl-CS"/>
              </w:rPr>
            </w:pPr>
            <w:r w:rsidRPr="00092ED7">
              <w:rPr>
                <w:rFonts w:eastAsia="Times New Roman" w:cs="Times New Roman"/>
                <w:b/>
                <w:iCs/>
                <w:sz w:val="18"/>
                <w:szCs w:val="18"/>
                <w:lang w:val="sr-Cyrl-CS"/>
              </w:rPr>
              <w:lastRenderedPageBreak/>
              <w:t xml:space="preserve">КСИ 3. </w:t>
            </w:r>
            <w:r w:rsidRPr="00092ED7">
              <w:rPr>
                <w:rFonts w:eastAsia="Times New Roman" w:cs="Times New Roman"/>
                <w:iCs/>
                <w:sz w:val="18"/>
                <w:szCs w:val="18"/>
                <w:lang w:val="sr-Cyrl-CS"/>
              </w:rPr>
              <w:t xml:space="preserve">Озелењавање енергетског </w:t>
            </w:r>
            <w:r w:rsidRPr="00092ED7">
              <w:rPr>
                <w:rFonts w:eastAsia="Times New Roman" w:cs="Times New Roman"/>
                <w:iCs/>
                <w:sz w:val="18"/>
                <w:szCs w:val="18"/>
                <w:lang w:val="sr-Cyrl-CS"/>
              </w:rPr>
              <w:lastRenderedPageBreak/>
              <w:t>сектора и потпуно отварање енергетског тржишта</w:t>
            </w:r>
          </w:p>
        </w:tc>
        <w:tc>
          <w:tcPr>
            <w:tcW w:w="1750" w:type="dxa"/>
            <w:tcBorders>
              <w:top w:val="single" w:sz="6" w:space="0" w:color="000000"/>
              <w:left w:val="single" w:sz="6" w:space="0" w:color="000000"/>
              <w:bottom w:val="single" w:sz="6" w:space="0" w:color="000000"/>
              <w:right w:val="single" w:sz="6" w:space="0" w:color="000000"/>
            </w:tcBorders>
          </w:tcPr>
          <w:p w14:paraId="0FD861EF" w14:textId="77777777" w:rsidR="00C57EAF" w:rsidRPr="00092ED7" w:rsidRDefault="00C57EAF" w:rsidP="00C57EAF">
            <w:pPr>
              <w:spacing w:after="60"/>
              <w:jc w:val="left"/>
              <w:rPr>
                <w:rFonts w:eastAsia="Times New Roman" w:cs="Times New Roman"/>
                <w:b/>
                <w:iCs/>
                <w:sz w:val="18"/>
                <w:szCs w:val="18"/>
                <w:lang w:val="sr-Cyrl-CS"/>
              </w:rPr>
            </w:pPr>
            <w:r w:rsidRPr="00092ED7">
              <w:rPr>
                <w:rFonts w:eastAsia="Times New Roman" w:cs="Times New Roman"/>
                <w:b/>
                <w:iCs/>
                <w:sz w:val="18"/>
                <w:szCs w:val="18"/>
                <w:lang w:val="sr-Cyrl-CS"/>
              </w:rPr>
              <w:lastRenderedPageBreak/>
              <w:t>Препорука 5.</w:t>
            </w:r>
          </w:p>
          <w:p w14:paraId="7B31CF4F" w14:textId="77777777" w:rsidR="00C57EAF" w:rsidRPr="00092ED7" w:rsidRDefault="00C57EAF" w:rsidP="00C57EAF">
            <w:pPr>
              <w:spacing w:after="60"/>
              <w:jc w:val="left"/>
              <w:rPr>
                <w:rFonts w:ascii="Calibri" w:eastAsia="Calibri" w:hAnsi="Calibri" w:cs="Times New Roman"/>
                <w:lang w:val="sr-Cyrl-CS" w:eastAsia="sr-Cyrl-CS" w:bidi="sr-Cyrl-CS"/>
              </w:rPr>
            </w:pPr>
            <w:r w:rsidRPr="00092ED7">
              <w:rPr>
                <w:rFonts w:eastAsia="Times New Roman" w:cs="Times New Roman"/>
                <w:iCs/>
                <w:sz w:val="18"/>
                <w:szCs w:val="18"/>
                <w:lang w:val="sr-Cyrl-CS" w:eastAsia="sr-Cyrl-CS" w:bidi="sr-Cyrl-CS"/>
              </w:rPr>
              <w:lastRenderedPageBreak/>
              <w:t>Даље увећати улагања у модернизацију енергетске инфраструктуре и смањење емисије угљеника у циљу убрзања зелене транзиције</w:t>
            </w:r>
          </w:p>
        </w:tc>
        <w:tc>
          <w:tcPr>
            <w:tcW w:w="2015" w:type="dxa"/>
            <w:tcBorders>
              <w:top w:val="single" w:sz="6" w:space="0" w:color="000000"/>
              <w:left w:val="single" w:sz="6" w:space="0" w:color="000000"/>
              <w:bottom w:val="single" w:sz="6" w:space="0" w:color="000000"/>
              <w:right w:val="single" w:sz="6" w:space="0" w:color="000000"/>
            </w:tcBorders>
          </w:tcPr>
          <w:p w14:paraId="40EB0076" w14:textId="77777777"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lastRenderedPageBreak/>
              <w:t xml:space="preserve">- Убрзати транзицију на зелену енергију, смањити емисију ЦО2, </w:t>
            </w:r>
            <w:r w:rsidRPr="00092ED7">
              <w:rPr>
                <w:rFonts w:eastAsia="Times New Roman" w:cs="Times New Roman"/>
                <w:iCs/>
                <w:sz w:val="18"/>
                <w:szCs w:val="18"/>
                <w:lang w:val="sr-Cyrl-CS"/>
              </w:rPr>
              <w:lastRenderedPageBreak/>
              <w:t>повећати удео обновљивих извора и остварити уштеду енергије.</w:t>
            </w:r>
          </w:p>
        </w:tc>
        <w:tc>
          <w:tcPr>
            <w:tcW w:w="1932" w:type="dxa"/>
            <w:tcBorders>
              <w:top w:val="single" w:sz="6" w:space="0" w:color="000000"/>
              <w:left w:val="single" w:sz="6" w:space="0" w:color="000000"/>
              <w:bottom w:val="single" w:sz="6" w:space="0" w:color="000000"/>
              <w:right w:val="single" w:sz="6" w:space="0" w:color="000000"/>
            </w:tcBorders>
          </w:tcPr>
          <w:p w14:paraId="127D84F7" w14:textId="77777777" w:rsidR="00C57EAF" w:rsidRPr="00092ED7" w:rsidRDefault="00C57EAF" w:rsidP="00C57EAF">
            <w:pPr>
              <w:spacing w:after="60"/>
              <w:jc w:val="left"/>
              <w:rPr>
                <w:rFonts w:ascii="Calibri" w:eastAsia="Calibri" w:hAnsi="Calibri" w:cs="Times New Roman"/>
                <w:sz w:val="18"/>
                <w:szCs w:val="18"/>
                <w:lang w:val="sr-Cyrl-CS" w:eastAsia="sr-Cyrl-CS" w:bidi="sr-Cyrl-CS"/>
              </w:rPr>
            </w:pPr>
            <w:r w:rsidRPr="00092ED7">
              <w:rPr>
                <w:rFonts w:eastAsia="Times New Roman" w:cs="Times New Roman"/>
                <w:b/>
                <w:bCs/>
                <w:sz w:val="18"/>
                <w:szCs w:val="18"/>
                <w:lang w:val="sr-Cyrl-CS" w:eastAsia="sr-Cyrl-CS" w:bidi="sr-Cyrl-CS"/>
              </w:rPr>
              <w:lastRenderedPageBreak/>
              <w:t>ЦОР 7.1.</w:t>
            </w:r>
            <w:r w:rsidRPr="00092ED7">
              <w:rPr>
                <w:rFonts w:eastAsia="Times New Roman" w:cs="Times New Roman"/>
                <w:bCs/>
                <w:sz w:val="18"/>
                <w:szCs w:val="18"/>
                <w:lang w:val="sr-Cyrl-CS" w:eastAsia="sr-Cyrl-CS" w:bidi="sr-Cyrl-CS"/>
              </w:rPr>
              <w:t xml:space="preserve"> Обезбедити универзални приступ економски </w:t>
            </w:r>
            <w:r w:rsidRPr="00092ED7">
              <w:rPr>
                <w:rFonts w:eastAsia="Times New Roman" w:cs="Times New Roman"/>
                <w:bCs/>
                <w:sz w:val="18"/>
                <w:szCs w:val="18"/>
                <w:lang w:val="sr-Cyrl-CS" w:eastAsia="sr-Cyrl-CS" w:bidi="sr-Cyrl-CS"/>
              </w:rPr>
              <w:lastRenderedPageBreak/>
              <w:t>прихватљивим, поузданим и модерним енергетским услугама</w:t>
            </w:r>
          </w:p>
          <w:p w14:paraId="74629FE4" w14:textId="77777777" w:rsidR="00C57EAF" w:rsidRPr="00092ED7" w:rsidRDefault="00C57EAF" w:rsidP="00C57EAF">
            <w:pPr>
              <w:spacing w:after="60"/>
              <w:jc w:val="left"/>
              <w:rPr>
                <w:rFonts w:eastAsia="Times New Roman" w:cs="Times New Roman"/>
                <w:b/>
                <w:bCs/>
                <w:sz w:val="18"/>
                <w:szCs w:val="18"/>
                <w:lang w:val="sr-Cyrl-CS"/>
              </w:rPr>
            </w:pPr>
            <w:r w:rsidRPr="00092ED7">
              <w:rPr>
                <w:rFonts w:eastAsia="Times New Roman" w:cs="Times New Roman"/>
                <w:b/>
                <w:bCs/>
                <w:sz w:val="18"/>
                <w:szCs w:val="18"/>
                <w:lang w:val="sr-Cyrl-CS"/>
              </w:rPr>
              <w:t xml:space="preserve">ЦОР 7.б </w:t>
            </w:r>
            <w:r w:rsidRPr="00092ED7">
              <w:rPr>
                <w:rFonts w:eastAsia="Times New Roman" w:cs="Times New Roman"/>
                <w:bCs/>
                <w:sz w:val="18"/>
                <w:szCs w:val="18"/>
                <w:lang w:val="sr-Cyrl-CS"/>
              </w:rPr>
              <w:t>До 2030. проширити инфраструктуру и унапредити технологију за снабдевање модерном и одрживом енергијом за све у земљама у развоју, у складу са њиховим програмима подршке</w:t>
            </w:r>
          </w:p>
        </w:tc>
        <w:tc>
          <w:tcPr>
            <w:tcW w:w="2409" w:type="dxa"/>
            <w:tcBorders>
              <w:top w:val="single" w:sz="6" w:space="0" w:color="000000"/>
              <w:left w:val="single" w:sz="6" w:space="0" w:color="000000"/>
              <w:bottom w:val="single" w:sz="6" w:space="0" w:color="000000"/>
              <w:right w:val="single" w:sz="6" w:space="0" w:color="000000"/>
            </w:tcBorders>
          </w:tcPr>
          <w:p w14:paraId="069CD575" w14:textId="77777777" w:rsidR="00C57EAF" w:rsidRPr="00092ED7" w:rsidRDefault="00C57EAF" w:rsidP="00C57EAF">
            <w:pPr>
              <w:spacing w:after="60"/>
              <w:jc w:val="left"/>
              <w:rPr>
                <w:rFonts w:eastAsia="Times New Roman" w:cs="Times New Roman"/>
                <w:iCs/>
                <w:sz w:val="18"/>
                <w:szCs w:val="18"/>
                <w:lang w:val="sr-Cyrl-CS" w:bidi="sr-Cyrl-CS"/>
              </w:rPr>
            </w:pPr>
            <w:r w:rsidRPr="00092ED7">
              <w:rPr>
                <w:rFonts w:eastAsia="Times New Roman" w:cs="Times New Roman"/>
                <w:iCs/>
                <w:sz w:val="18"/>
                <w:szCs w:val="18"/>
                <w:lang w:val="sr-Cyrl-CS" w:bidi="sr-Cyrl-CS"/>
              </w:rPr>
              <w:lastRenderedPageBreak/>
              <w:t>Индиректан утицај на циљеве:</w:t>
            </w:r>
          </w:p>
          <w:p w14:paraId="49B5A512" w14:textId="77777777" w:rsidR="00C57EAF" w:rsidRPr="00092ED7" w:rsidRDefault="00C57EAF" w:rsidP="00C57EAF">
            <w:pPr>
              <w:spacing w:after="60"/>
              <w:jc w:val="left"/>
              <w:rPr>
                <w:rFonts w:eastAsia="Times New Roman" w:cs="Times New Roman"/>
                <w:iCs/>
                <w:sz w:val="18"/>
                <w:szCs w:val="18"/>
                <w:lang w:val="sr-Cyrl-CS" w:bidi="sr-Cyrl-CS"/>
              </w:rPr>
            </w:pPr>
            <w:r w:rsidRPr="00092ED7">
              <w:rPr>
                <w:rFonts w:eastAsia="Times New Roman" w:cs="Times New Roman"/>
                <w:b/>
                <w:iCs/>
                <w:sz w:val="18"/>
                <w:szCs w:val="18"/>
                <w:lang w:val="sr-Cyrl-CS" w:bidi="sr-Cyrl-CS"/>
              </w:rPr>
              <w:lastRenderedPageBreak/>
              <w:t xml:space="preserve">циљ 10 ЗАЗБ - </w:t>
            </w:r>
            <w:r w:rsidRPr="00092ED7">
              <w:rPr>
                <w:rFonts w:eastAsia="Times New Roman" w:cs="Times New Roman"/>
                <w:iCs/>
                <w:sz w:val="18"/>
                <w:szCs w:val="18"/>
                <w:lang w:val="sr-Cyrl-CS" w:bidi="sr-Cyrl-CS"/>
              </w:rPr>
              <w:t>Давање приоритета енергетској ефикасности и њено унапређење у свим секторима</w:t>
            </w:r>
          </w:p>
          <w:p w14:paraId="588A8CE3" w14:textId="77777777" w:rsidR="00C57EAF" w:rsidRPr="00092ED7" w:rsidRDefault="00C57EAF" w:rsidP="00C57EAF">
            <w:pPr>
              <w:spacing w:after="60"/>
              <w:jc w:val="left"/>
              <w:rPr>
                <w:rFonts w:eastAsia="Times New Roman" w:cs="Times New Roman"/>
                <w:b/>
                <w:iCs/>
                <w:sz w:val="18"/>
                <w:szCs w:val="18"/>
                <w:lang w:val="sr-Cyrl-CS" w:bidi="sr-Cyrl-CS"/>
              </w:rPr>
            </w:pPr>
            <w:r w:rsidRPr="00092ED7">
              <w:rPr>
                <w:rFonts w:eastAsia="Times New Roman" w:cs="Times New Roman"/>
                <w:b/>
                <w:iCs/>
                <w:sz w:val="18"/>
                <w:szCs w:val="18"/>
                <w:lang w:val="sr-Cyrl-CS" w:bidi="sr-Cyrl-CS"/>
              </w:rPr>
              <w:t xml:space="preserve">циљ 13 ЗАЗБ - </w:t>
            </w:r>
            <w:r w:rsidRPr="00092ED7">
              <w:rPr>
                <w:rFonts w:eastAsia="Times New Roman" w:cs="Times New Roman"/>
                <w:iCs/>
                <w:sz w:val="18"/>
                <w:szCs w:val="18"/>
                <w:lang w:val="sr-Cyrl-CS" w:bidi="sr-Cyrl-CS"/>
              </w:rPr>
              <w:t>Повећати удео обновљивих извора енергије и обезбедити неопходне услове за инвестирање</w:t>
            </w:r>
          </w:p>
          <w:p w14:paraId="564BC923" w14:textId="77777777" w:rsidR="00C57EAF" w:rsidRPr="00092ED7" w:rsidRDefault="00C57EAF" w:rsidP="00C57EAF">
            <w:pPr>
              <w:spacing w:after="60"/>
              <w:jc w:val="left"/>
              <w:rPr>
                <w:rFonts w:eastAsia="Times New Roman" w:cs="Times New Roman"/>
                <w:b/>
                <w:iCs/>
                <w:sz w:val="18"/>
                <w:szCs w:val="18"/>
                <w:lang w:val="sr-Cyrl-CS" w:bidi="sr-Cyrl-CS"/>
              </w:rPr>
            </w:pPr>
            <w:r w:rsidRPr="00092ED7">
              <w:rPr>
                <w:rFonts w:eastAsia="Times New Roman" w:cs="Times New Roman"/>
                <w:b/>
                <w:iCs/>
                <w:sz w:val="18"/>
                <w:szCs w:val="18"/>
                <w:lang w:val="sr-Cyrl-CS" w:bidi="sr-Cyrl-CS"/>
              </w:rPr>
              <w:t xml:space="preserve">циљ 8 Европског Зеленог договора - </w:t>
            </w:r>
            <w:r w:rsidRPr="00092ED7">
              <w:rPr>
                <w:rFonts w:eastAsia="Times New Roman" w:cs="Times New Roman"/>
                <w:iCs/>
                <w:sz w:val="18"/>
                <w:szCs w:val="18"/>
                <w:lang w:val="sr-Cyrl-CS" w:bidi="sr-Cyrl-CS"/>
              </w:rPr>
              <w:t>Стратегија за паметну интеграцију сектора</w:t>
            </w:r>
          </w:p>
          <w:p w14:paraId="34703A67" w14:textId="77777777" w:rsidR="00C57EAF" w:rsidRPr="00092ED7" w:rsidRDefault="00C57EAF" w:rsidP="00C57EAF">
            <w:pPr>
              <w:spacing w:after="60"/>
              <w:jc w:val="left"/>
              <w:rPr>
                <w:rFonts w:eastAsia="Times New Roman" w:cs="Times New Roman"/>
                <w:iCs/>
                <w:sz w:val="18"/>
                <w:szCs w:val="18"/>
                <w:lang w:val="sr-Cyrl-CS"/>
              </w:rPr>
            </w:pPr>
          </w:p>
        </w:tc>
        <w:tc>
          <w:tcPr>
            <w:tcW w:w="1843" w:type="dxa"/>
            <w:tcBorders>
              <w:top w:val="single" w:sz="6" w:space="0" w:color="000000"/>
              <w:left w:val="single" w:sz="6" w:space="0" w:color="000000"/>
              <w:bottom w:val="single" w:sz="6" w:space="0" w:color="000000"/>
              <w:right w:val="single" w:sz="6" w:space="0" w:color="000000"/>
            </w:tcBorders>
          </w:tcPr>
          <w:p w14:paraId="507D5077" w14:textId="77777777" w:rsidR="00C57EAF" w:rsidRPr="00092ED7" w:rsidRDefault="00C57EAF" w:rsidP="00C57EAF">
            <w:pPr>
              <w:spacing w:after="60"/>
              <w:jc w:val="left"/>
              <w:rPr>
                <w:rFonts w:eastAsia="Times New Roman" w:cs="Times New Roman"/>
                <w:b/>
                <w:iCs/>
                <w:sz w:val="18"/>
                <w:szCs w:val="18"/>
                <w:lang w:val="sr-Cyrl-CS"/>
              </w:rPr>
            </w:pPr>
            <w:r w:rsidRPr="00092ED7">
              <w:rPr>
                <w:rFonts w:eastAsia="Times New Roman" w:cs="Times New Roman"/>
                <w:b/>
                <w:iCs/>
                <w:sz w:val="18"/>
                <w:szCs w:val="18"/>
                <w:lang w:val="sr-Cyrl-CS"/>
              </w:rPr>
              <w:lastRenderedPageBreak/>
              <w:t xml:space="preserve">Поглавље VI. Озелењавање Западног Балкана – </w:t>
            </w:r>
            <w:r w:rsidRPr="00092ED7">
              <w:rPr>
                <w:rFonts w:eastAsia="Times New Roman" w:cs="Times New Roman"/>
                <w:b/>
                <w:iCs/>
                <w:sz w:val="18"/>
                <w:szCs w:val="18"/>
                <w:lang w:val="sr-Cyrl-CS"/>
              </w:rPr>
              <w:lastRenderedPageBreak/>
              <w:t xml:space="preserve">улагање у животну средину и климу </w:t>
            </w:r>
          </w:p>
          <w:p w14:paraId="7284D745" w14:textId="77777777" w:rsidR="00C57EAF" w:rsidRPr="00092ED7" w:rsidRDefault="00C57EAF" w:rsidP="00C57EAF">
            <w:pPr>
              <w:spacing w:after="60"/>
              <w:jc w:val="left"/>
              <w:rPr>
                <w:rFonts w:eastAsia="Times New Roman" w:cs="Times New Roman"/>
                <w:iCs/>
                <w:sz w:val="20"/>
                <w:szCs w:val="20"/>
                <w:lang w:val="sr-Cyrl-CS" w:eastAsia="sr-Cyrl-CS" w:bidi="sr-Cyrl-CS"/>
              </w:rPr>
            </w:pPr>
            <w:r w:rsidRPr="00092ED7">
              <w:rPr>
                <w:rFonts w:eastAsia="Times New Roman" w:cs="Times New Roman"/>
                <w:b/>
                <w:iCs/>
                <w:sz w:val="20"/>
                <w:szCs w:val="20"/>
                <w:lang w:val="sr-Cyrl-CS" w:eastAsia="sr-Cyrl-CS" w:bidi="sr-Cyrl-CS"/>
              </w:rPr>
              <w:t xml:space="preserve">- </w:t>
            </w:r>
            <w:r w:rsidRPr="00092ED7">
              <w:rPr>
                <w:rFonts w:eastAsia="Times New Roman" w:cs="Times New Roman"/>
                <w:iCs/>
                <w:sz w:val="20"/>
                <w:szCs w:val="20"/>
                <w:lang w:val="sr-Cyrl-CS" w:eastAsia="sr-Cyrl-CS" w:bidi="sr-Cyrl-CS"/>
              </w:rPr>
              <w:t xml:space="preserve">Прелазак са фосилних горива на обновљиву енергију </w:t>
            </w:r>
          </w:p>
          <w:p w14:paraId="6D435D70" w14:textId="77777777" w:rsidR="00C57EAF" w:rsidRPr="00092ED7" w:rsidRDefault="00C57EAF" w:rsidP="00C57EAF">
            <w:pPr>
              <w:spacing w:after="60"/>
              <w:jc w:val="left"/>
              <w:rPr>
                <w:rFonts w:eastAsia="Times New Roman" w:cs="Times New Roman"/>
                <w:b/>
                <w:iCs/>
                <w:sz w:val="18"/>
                <w:szCs w:val="18"/>
                <w:lang w:val="sr-Cyrl-CS"/>
              </w:rPr>
            </w:pPr>
            <w:r w:rsidRPr="00092ED7">
              <w:rPr>
                <w:rFonts w:eastAsia="Times New Roman" w:cs="Times New Roman"/>
                <w:b/>
                <w:iCs/>
                <w:sz w:val="18"/>
                <w:szCs w:val="18"/>
                <w:lang w:val="sr-Cyrl-CS"/>
              </w:rPr>
              <w:t>Кључна иницијатива 4 –Обновљива енергија</w:t>
            </w:r>
          </w:p>
          <w:p w14:paraId="4C6476C4" w14:textId="77777777" w:rsidR="00C57EAF" w:rsidRPr="00092ED7" w:rsidRDefault="00C57EAF" w:rsidP="00C57EAF">
            <w:pPr>
              <w:spacing w:after="60"/>
              <w:jc w:val="left"/>
              <w:rPr>
                <w:rFonts w:eastAsia="Times New Roman" w:cs="Times New Roman"/>
                <w:b/>
                <w:iCs/>
                <w:sz w:val="18"/>
                <w:szCs w:val="18"/>
                <w:lang w:val="sr-Cyrl-CS"/>
              </w:rPr>
            </w:pPr>
            <w:r w:rsidRPr="00092ED7">
              <w:rPr>
                <w:rFonts w:eastAsia="Times New Roman" w:cs="Times New Roman"/>
                <w:iCs/>
                <w:sz w:val="18"/>
                <w:szCs w:val="18"/>
                <w:lang w:val="sr-Cyrl-CS"/>
              </w:rPr>
              <w:t>-  унапредити инвестиције у ветропаркове</w:t>
            </w:r>
          </w:p>
        </w:tc>
        <w:tc>
          <w:tcPr>
            <w:tcW w:w="1559" w:type="dxa"/>
            <w:tcBorders>
              <w:top w:val="single" w:sz="6" w:space="0" w:color="000000"/>
              <w:left w:val="single" w:sz="6" w:space="0" w:color="000000"/>
              <w:bottom w:val="single" w:sz="6" w:space="0" w:color="000000"/>
              <w:right w:val="single" w:sz="6" w:space="0" w:color="000000"/>
            </w:tcBorders>
          </w:tcPr>
          <w:p w14:paraId="452D1864" w14:textId="77777777"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lastRenderedPageBreak/>
              <w:t>/</w:t>
            </w:r>
          </w:p>
        </w:tc>
      </w:tr>
      <w:tr w:rsidR="00C57EAF" w:rsidRPr="00092ED7" w14:paraId="2FB83461" w14:textId="77777777" w:rsidTr="00F50B50">
        <w:trPr>
          <w:trHeight w:val="411"/>
        </w:trPr>
        <w:tc>
          <w:tcPr>
            <w:tcW w:w="1635" w:type="dxa"/>
            <w:tcBorders>
              <w:top w:val="single" w:sz="6" w:space="0" w:color="000000"/>
              <w:left w:val="single" w:sz="6" w:space="0" w:color="000000"/>
              <w:bottom w:val="single" w:sz="6" w:space="0" w:color="000000"/>
              <w:right w:val="single" w:sz="6" w:space="0" w:color="000000"/>
            </w:tcBorders>
          </w:tcPr>
          <w:p w14:paraId="1967358C" w14:textId="77777777" w:rsidR="00C57EAF" w:rsidRPr="00092ED7" w:rsidRDefault="00C57EAF" w:rsidP="00C57EAF">
            <w:pPr>
              <w:spacing w:after="60"/>
              <w:jc w:val="left"/>
              <w:rPr>
                <w:rFonts w:eastAsia="Times New Roman" w:cs="Times New Roman"/>
                <w:b/>
                <w:bCs/>
                <w:sz w:val="20"/>
                <w:szCs w:val="20"/>
                <w:lang w:val="sr-Cyrl-CS"/>
              </w:rPr>
            </w:pPr>
            <w:r w:rsidRPr="00092ED7">
              <w:rPr>
                <w:rFonts w:eastAsia="Times New Roman" w:cs="Times New Roman"/>
                <w:b/>
                <w:bCs/>
                <w:sz w:val="20"/>
                <w:szCs w:val="20"/>
                <w:lang w:val="sr-Cyrl-CS"/>
              </w:rPr>
              <w:t>СР 10. Развој енергетског тржишта уз изградњу енергетске инфраструктуре</w:t>
            </w:r>
          </w:p>
        </w:tc>
        <w:tc>
          <w:tcPr>
            <w:tcW w:w="1498" w:type="dxa"/>
            <w:tcBorders>
              <w:top w:val="single" w:sz="6" w:space="0" w:color="000000"/>
              <w:left w:val="single" w:sz="6" w:space="0" w:color="000000"/>
              <w:bottom w:val="single" w:sz="6" w:space="0" w:color="000000"/>
              <w:right w:val="single" w:sz="6" w:space="0" w:color="000000"/>
            </w:tcBorders>
          </w:tcPr>
          <w:p w14:paraId="277DEA8B" w14:textId="77777777"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b/>
                <w:iCs/>
                <w:sz w:val="18"/>
                <w:szCs w:val="18"/>
                <w:lang w:val="sr-Cyrl-CS"/>
              </w:rPr>
              <w:t>КСИ 3.</w:t>
            </w:r>
            <w:r w:rsidRPr="00092ED7">
              <w:rPr>
                <w:rFonts w:eastAsia="Times New Roman" w:cs="Times New Roman"/>
                <w:iCs/>
                <w:sz w:val="18"/>
                <w:szCs w:val="18"/>
                <w:lang w:val="sr-Cyrl-CS"/>
              </w:rPr>
              <w:t xml:space="preserve"> Озелењавање енергетског сектора и потпуно отварање енергетског тржишта</w:t>
            </w:r>
          </w:p>
        </w:tc>
        <w:tc>
          <w:tcPr>
            <w:tcW w:w="1750" w:type="dxa"/>
            <w:tcBorders>
              <w:top w:val="single" w:sz="6" w:space="0" w:color="000000"/>
              <w:left w:val="single" w:sz="6" w:space="0" w:color="000000"/>
              <w:bottom w:val="single" w:sz="6" w:space="0" w:color="000000"/>
              <w:right w:val="single" w:sz="6" w:space="0" w:color="000000"/>
            </w:tcBorders>
          </w:tcPr>
          <w:p w14:paraId="249B9031" w14:textId="77777777" w:rsidR="00C57EAF" w:rsidRPr="00092ED7" w:rsidRDefault="00C57EAF" w:rsidP="00C57EAF">
            <w:pPr>
              <w:spacing w:after="60"/>
              <w:jc w:val="left"/>
              <w:rPr>
                <w:rFonts w:eastAsia="Times New Roman" w:cs="Times New Roman"/>
                <w:b/>
                <w:iCs/>
                <w:sz w:val="18"/>
                <w:szCs w:val="18"/>
                <w:lang w:val="sr-Cyrl-CS"/>
              </w:rPr>
            </w:pPr>
            <w:r w:rsidRPr="00092ED7">
              <w:rPr>
                <w:rFonts w:eastAsia="Times New Roman" w:cs="Times New Roman"/>
                <w:b/>
                <w:iCs/>
                <w:sz w:val="18"/>
                <w:szCs w:val="18"/>
                <w:lang w:val="sr-Cyrl-CS"/>
              </w:rPr>
              <w:t>Препорука 5.</w:t>
            </w:r>
            <w:r w:rsidRPr="00092ED7">
              <w:rPr>
                <w:rFonts w:eastAsia="Times New Roman" w:cs="Times New Roman"/>
                <w:iCs/>
                <w:sz w:val="18"/>
                <w:szCs w:val="18"/>
                <w:lang w:val="sr-Cyrl-CS"/>
              </w:rPr>
              <w:t xml:space="preserve"> Додатно увећати улагања у модернизацију енергетске инфраструктуре</w:t>
            </w:r>
          </w:p>
        </w:tc>
        <w:tc>
          <w:tcPr>
            <w:tcW w:w="2015" w:type="dxa"/>
            <w:tcBorders>
              <w:top w:val="single" w:sz="6" w:space="0" w:color="000000"/>
              <w:left w:val="single" w:sz="6" w:space="0" w:color="000000"/>
              <w:bottom w:val="single" w:sz="6" w:space="0" w:color="000000"/>
              <w:right w:val="single" w:sz="6" w:space="0" w:color="000000"/>
            </w:tcBorders>
          </w:tcPr>
          <w:p w14:paraId="7EF77C64" w14:textId="77777777"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 Омогућити даљи развој регионалног тржишта електричне енергије.</w:t>
            </w:r>
          </w:p>
        </w:tc>
        <w:tc>
          <w:tcPr>
            <w:tcW w:w="1932" w:type="dxa"/>
            <w:tcBorders>
              <w:top w:val="single" w:sz="6" w:space="0" w:color="000000"/>
              <w:left w:val="single" w:sz="6" w:space="0" w:color="000000"/>
              <w:bottom w:val="single" w:sz="6" w:space="0" w:color="000000"/>
              <w:right w:val="single" w:sz="6" w:space="0" w:color="000000"/>
            </w:tcBorders>
          </w:tcPr>
          <w:p w14:paraId="776C0B4D" w14:textId="77777777" w:rsidR="00C57EAF" w:rsidRPr="00092ED7" w:rsidRDefault="00C57EAF" w:rsidP="00C57EAF">
            <w:pPr>
              <w:spacing w:after="60"/>
              <w:jc w:val="left"/>
              <w:rPr>
                <w:rFonts w:eastAsia="Times New Roman" w:cs="Times New Roman"/>
                <w:b/>
                <w:bCs/>
                <w:sz w:val="20"/>
                <w:szCs w:val="20"/>
                <w:lang w:val="sr-Cyrl-CS" w:eastAsia="sr-Cyrl-CS" w:bidi="sr-Cyrl-CS"/>
              </w:rPr>
            </w:pPr>
            <w:r w:rsidRPr="00092ED7">
              <w:rPr>
                <w:rFonts w:eastAsia="Times New Roman" w:cs="Times New Roman"/>
                <w:b/>
                <w:bCs/>
                <w:sz w:val="18"/>
                <w:szCs w:val="18"/>
                <w:lang w:val="sr-Cyrl-CS"/>
              </w:rPr>
              <w:t>ЦОР 7.1.</w:t>
            </w:r>
            <w:r w:rsidRPr="00092ED7">
              <w:rPr>
                <w:rFonts w:eastAsia="Times New Roman" w:cs="Times New Roman"/>
                <w:bCs/>
                <w:sz w:val="18"/>
                <w:szCs w:val="18"/>
                <w:lang w:val="sr-Cyrl-CS"/>
              </w:rPr>
              <w:t xml:space="preserve"> Обезбедити универзални приступ економски прихватљивим, поузданим и модерним енергетским услугама</w:t>
            </w:r>
          </w:p>
        </w:tc>
        <w:tc>
          <w:tcPr>
            <w:tcW w:w="2409" w:type="dxa"/>
            <w:tcBorders>
              <w:top w:val="single" w:sz="6" w:space="0" w:color="000000"/>
              <w:left w:val="single" w:sz="6" w:space="0" w:color="000000"/>
              <w:bottom w:val="single" w:sz="6" w:space="0" w:color="000000"/>
              <w:right w:val="single" w:sz="6" w:space="0" w:color="000000"/>
            </w:tcBorders>
          </w:tcPr>
          <w:p w14:paraId="06FA764C" w14:textId="77777777"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Индиректан утицај на циљеве:</w:t>
            </w:r>
          </w:p>
          <w:p w14:paraId="5198F5AF" w14:textId="77777777" w:rsidR="00C57EAF" w:rsidRPr="00092ED7" w:rsidRDefault="00C57EAF" w:rsidP="00C57EAF">
            <w:pPr>
              <w:spacing w:after="60"/>
              <w:jc w:val="left"/>
              <w:rPr>
                <w:rFonts w:eastAsia="Times New Roman" w:cs="Times New Roman"/>
                <w:b/>
                <w:iCs/>
                <w:sz w:val="18"/>
                <w:szCs w:val="18"/>
                <w:lang w:val="sr-Cyrl-CS"/>
              </w:rPr>
            </w:pPr>
            <w:r w:rsidRPr="00092ED7">
              <w:rPr>
                <w:rFonts w:eastAsia="Times New Roman" w:cs="Times New Roman"/>
                <w:b/>
                <w:iCs/>
                <w:sz w:val="18"/>
                <w:szCs w:val="18"/>
                <w:lang w:val="sr-Cyrl-CS"/>
              </w:rPr>
              <w:t xml:space="preserve">циљ 10 ЗАЗБ - </w:t>
            </w:r>
            <w:r w:rsidRPr="00092ED7">
              <w:rPr>
                <w:rFonts w:eastAsia="Times New Roman" w:cs="Times New Roman"/>
                <w:iCs/>
                <w:sz w:val="18"/>
                <w:szCs w:val="18"/>
                <w:lang w:val="sr-Cyrl-CS"/>
              </w:rPr>
              <w:t>Давање приоритета енергетској ефикасности и њено унапређење у свим секторима</w:t>
            </w:r>
          </w:p>
          <w:p w14:paraId="74161DA0" w14:textId="77777777" w:rsidR="00C57EAF" w:rsidRPr="00092ED7" w:rsidRDefault="00C57EAF" w:rsidP="00C57EAF">
            <w:pPr>
              <w:spacing w:after="60"/>
              <w:jc w:val="left"/>
              <w:rPr>
                <w:rFonts w:eastAsia="Times New Roman" w:cs="Times New Roman"/>
                <w:b/>
                <w:iCs/>
                <w:sz w:val="18"/>
                <w:szCs w:val="18"/>
                <w:lang w:val="sr-Cyrl-CS"/>
              </w:rPr>
            </w:pPr>
            <w:r w:rsidRPr="00092ED7">
              <w:rPr>
                <w:rFonts w:eastAsia="Times New Roman" w:cs="Times New Roman"/>
                <w:b/>
                <w:iCs/>
                <w:sz w:val="18"/>
                <w:szCs w:val="18"/>
                <w:lang w:val="sr-Cyrl-CS"/>
              </w:rPr>
              <w:t xml:space="preserve">циљ 8 Европског Зеленог договора - </w:t>
            </w:r>
            <w:r w:rsidRPr="00092ED7">
              <w:rPr>
                <w:rFonts w:eastAsia="Times New Roman" w:cs="Times New Roman"/>
                <w:iCs/>
                <w:sz w:val="18"/>
                <w:szCs w:val="18"/>
                <w:lang w:val="sr-Cyrl-CS"/>
              </w:rPr>
              <w:t>Стратегија за паметну интеграцију сектора</w:t>
            </w:r>
          </w:p>
          <w:p w14:paraId="0F7B8847" w14:textId="77777777" w:rsidR="00C57EAF" w:rsidRPr="00092ED7" w:rsidRDefault="00C57EAF" w:rsidP="00C57EAF">
            <w:pPr>
              <w:spacing w:after="60"/>
              <w:jc w:val="left"/>
              <w:rPr>
                <w:rFonts w:eastAsia="Times New Roman" w:cs="Times New Roman"/>
                <w:b/>
                <w:iCs/>
                <w:sz w:val="18"/>
                <w:szCs w:val="18"/>
                <w:lang w:val="sr-Cyrl-CS"/>
              </w:rPr>
            </w:pPr>
            <w:r w:rsidRPr="00092ED7">
              <w:rPr>
                <w:rFonts w:eastAsia="Times New Roman" w:cs="Times New Roman"/>
                <w:b/>
                <w:iCs/>
                <w:sz w:val="18"/>
                <w:szCs w:val="18"/>
                <w:lang w:val="sr-Cyrl-CS"/>
              </w:rPr>
              <w:t xml:space="preserve">циљ 10 Европског Зеленог договора - </w:t>
            </w:r>
            <w:r w:rsidRPr="00092ED7">
              <w:rPr>
                <w:rFonts w:eastAsia="Times New Roman" w:cs="Times New Roman"/>
                <w:iCs/>
                <w:sz w:val="18"/>
                <w:szCs w:val="18"/>
                <w:lang w:val="sr-Cyrl-CS"/>
              </w:rPr>
              <w:t>Евалуација и преиспитивање Уредбе о трансевропској енергетској мрежи</w:t>
            </w:r>
          </w:p>
          <w:p w14:paraId="1127B6BB" w14:textId="77777777" w:rsidR="00C57EAF" w:rsidRPr="00092ED7" w:rsidRDefault="00C57EAF" w:rsidP="00C57EAF">
            <w:pPr>
              <w:spacing w:after="60"/>
              <w:jc w:val="left"/>
              <w:rPr>
                <w:rFonts w:eastAsia="Times New Roman" w:cs="Times New Roman"/>
                <w:iCs/>
                <w:sz w:val="18"/>
                <w:szCs w:val="18"/>
                <w:lang w:val="sr-Cyrl-CS" w:bidi="sr-Cyrl-CS"/>
              </w:rPr>
            </w:pPr>
            <w:r w:rsidRPr="00092ED7">
              <w:rPr>
                <w:rFonts w:eastAsia="Times New Roman" w:cs="Times New Roman"/>
                <w:i/>
                <w:iCs/>
                <w:sz w:val="18"/>
                <w:szCs w:val="18"/>
                <w:lang w:val="sr-Cyrl-CS"/>
              </w:rPr>
              <w:t xml:space="preserve">Изградња нових интерконектора омогућује унапређење преносних система, сигурности и поузданости снабдевања електричном енергијом. Оваквим приступом може се  допринети повећању </w:t>
            </w:r>
            <w:r w:rsidRPr="00092ED7">
              <w:rPr>
                <w:rFonts w:eastAsia="Times New Roman" w:cs="Times New Roman"/>
                <w:i/>
                <w:iCs/>
                <w:sz w:val="18"/>
                <w:szCs w:val="18"/>
                <w:lang w:val="sr-Cyrl-CS"/>
              </w:rPr>
              <w:lastRenderedPageBreak/>
              <w:t>енергетске ефикасности и јачању регионалне сарадње</w:t>
            </w:r>
            <w:r w:rsidRPr="00092ED7">
              <w:rPr>
                <w:rFonts w:eastAsia="Times New Roman" w:cs="Times New Roman"/>
                <w:b/>
                <w:i/>
                <w:iCs/>
                <w:sz w:val="18"/>
                <w:szCs w:val="18"/>
                <w:lang w:val="sr-Cyrl-CS"/>
              </w:rPr>
              <w:t>.</w:t>
            </w:r>
          </w:p>
        </w:tc>
        <w:tc>
          <w:tcPr>
            <w:tcW w:w="1843" w:type="dxa"/>
            <w:tcBorders>
              <w:top w:val="single" w:sz="6" w:space="0" w:color="000000"/>
              <w:left w:val="single" w:sz="6" w:space="0" w:color="000000"/>
              <w:bottom w:val="single" w:sz="6" w:space="0" w:color="000000"/>
              <w:right w:val="single" w:sz="6" w:space="0" w:color="000000"/>
            </w:tcBorders>
          </w:tcPr>
          <w:p w14:paraId="3B99DA7B" w14:textId="77777777" w:rsidR="00C57EAF" w:rsidRPr="00092ED7" w:rsidRDefault="00C57EAF" w:rsidP="00C57EAF">
            <w:pPr>
              <w:spacing w:after="60"/>
              <w:jc w:val="left"/>
              <w:rPr>
                <w:rFonts w:eastAsia="Times New Roman" w:cs="Times New Roman"/>
                <w:b/>
                <w:iCs/>
                <w:sz w:val="18"/>
                <w:szCs w:val="18"/>
                <w:lang w:val="sr-Cyrl-CS"/>
              </w:rPr>
            </w:pPr>
            <w:r w:rsidRPr="00092ED7">
              <w:rPr>
                <w:rFonts w:eastAsia="Times New Roman" w:cs="Times New Roman"/>
                <w:b/>
                <w:iCs/>
                <w:sz w:val="18"/>
                <w:szCs w:val="18"/>
                <w:lang w:val="sr-Cyrl-CS"/>
              </w:rPr>
              <w:lastRenderedPageBreak/>
              <w:t xml:space="preserve">Поглавље VI. Озелењавање Западног Балкана – улагање у животну средину и климу </w:t>
            </w:r>
          </w:p>
          <w:p w14:paraId="185F8384" w14:textId="77777777"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 Улагање у инфраструктуру којом се подржава међусекторска трансформација ка климатски неутралној економији</w:t>
            </w:r>
          </w:p>
          <w:p w14:paraId="234528D6" w14:textId="77777777" w:rsidR="00C57EAF" w:rsidRPr="00092ED7" w:rsidRDefault="00C57EAF" w:rsidP="00C57EAF">
            <w:pPr>
              <w:spacing w:after="60"/>
              <w:jc w:val="left"/>
              <w:rPr>
                <w:rFonts w:eastAsia="Times New Roman" w:cs="Times New Roman"/>
                <w:b/>
                <w:iCs/>
                <w:sz w:val="18"/>
                <w:szCs w:val="18"/>
                <w:lang w:val="sr-Cyrl-CS"/>
              </w:rPr>
            </w:pPr>
            <w:r w:rsidRPr="00092ED7">
              <w:rPr>
                <w:rFonts w:eastAsia="Times New Roman" w:cs="Times New Roman"/>
                <w:b/>
                <w:iCs/>
                <w:sz w:val="18"/>
                <w:szCs w:val="18"/>
                <w:lang w:val="sr-Cyrl-CS"/>
              </w:rPr>
              <w:t xml:space="preserve">Кључна иницијатива 5. Транзиција од експлоатације угља </w:t>
            </w:r>
          </w:p>
          <w:p w14:paraId="2F3C50F7" w14:textId="77777777" w:rsidR="00C57EAF" w:rsidRPr="00092ED7" w:rsidRDefault="00C57EAF" w:rsidP="00C57EAF">
            <w:pPr>
              <w:spacing w:after="60"/>
              <w:jc w:val="left"/>
              <w:rPr>
                <w:rFonts w:eastAsia="Times New Roman" w:cs="Times New Roman"/>
                <w:b/>
                <w:iCs/>
                <w:sz w:val="18"/>
                <w:szCs w:val="18"/>
                <w:lang w:val="sr-Cyrl-CS"/>
              </w:rPr>
            </w:pPr>
            <w:r w:rsidRPr="00092ED7">
              <w:rPr>
                <w:rFonts w:eastAsia="Times New Roman" w:cs="Times New Roman"/>
                <w:iCs/>
                <w:sz w:val="18"/>
                <w:szCs w:val="18"/>
                <w:lang w:val="sr-Cyrl-CS"/>
              </w:rPr>
              <w:t>- Изградња пројекта Tрансбалкански коридор</w:t>
            </w:r>
          </w:p>
        </w:tc>
        <w:tc>
          <w:tcPr>
            <w:tcW w:w="1559" w:type="dxa"/>
            <w:tcBorders>
              <w:top w:val="single" w:sz="6" w:space="0" w:color="000000"/>
              <w:left w:val="single" w:sz="6" w:space="0" w:color="000000"/>
              <w:bottom w:val="single" w:sz="6" w:space="0" w:color="000000"/>
              <w:right w:val="single" w:sz="6" w:space="0" w:color="000000"/>
            </w:tcBorders>
          </w:tcPr>
          <w:p w14:paraId="37FAE88D" w14:textId="3A5C86DF" w:rsidR="00C57EAF" w:rsidRPr="00092ED7" w:rsidRDefault="00D25345" w:rsidP="00C57EAF">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Техничка помоћ и инвестициони грантови Инвестиционог оквира за Западни Балкан</w:t>
            </w:r>
          </w:p>
        </w:tc>
      </w:tr>
      <w:tr w:rsidR="00C57EAF" w:rsidRPr="00092ED7" w14:paraId="3C4BAD02" w14:textId="77777777" w:rsidTr="00F50B50">
        <w:trPr>
          <w:trHeight w:val="410"/>
        </w:trPr>
        <w:tc>
          <w:tcPr>
            <w:tcW w:w="1635" w:type="dxa"/>
            <w:tcBorders>
              <w:top w:val="single" w:sz="6" w:space="0" w:color="000000"/>
              <w:left w:val="single" w:sz="6" w:space="0" w:color="000000"/>
              <w:bottom w:val="single" w:sz="6" w:space="0" w:color="000000"/>
              <w:right w:val="single" w:sz="6" w:space="0" w:color="000000"/>
            </w:tcBorders>
          </w:tcPr>
          <w:p w14:paraId="48BE27D5" w14:textId="77777777" w:rsidR="00C57EAF" w:rsidRPr="00092ED7" w:rsidRDefault="00C57EAF" w:rsidP="00C57EAF">
            <w:pPr>
              <w:spacing w:after="60"/>
              <w:jc w:val="left"/>
              <w:rPr>
                <w:rFonts w:eastAsia="Times New Roman" w:cs="Times New Roman"/>
                <w:b/>
                <w:bCs/>
                <w:sz w:val="20"/>
                <w:szCs w:val="20"/>
                <w:lang w:val="sr-Cyrl-CS"/>
              </w:rPr>
            </w:pPr>
            <w:r w:rsidRPr="00092ED7">
              <w:rPr>
                <w:rFonts w:eastAsia="Times New Roman" w:cs="Times New Roman"/>
                <w:b/>
                <w:bCs/>
                <w:sz w:val="20"/>
                <w:szCs w:val="20"/>
                <w:lang w:val="sr-Cyrl-CS"/>
              </w:rPr>
              <w:t>СР 11. Трансформација Пореске управе</w:t>
            </w:r>
          </w:p>
        </w:tc>
        <w:tc>
          <w:tcPr>
            <w:tcW w:w="1498" w:type="dxa"/>
            <w:tcBorders>
              <w:top w:val="single" w:sz="6" w:space="0" w:color="000000"/>
              <w:left w:val="single" w:sz="6" w:space="0" w:color="000000"/>
              <w:bottom w:val="single" w:sz="6" w:space="0" w:color="000000"/>
              <w:right w:val="single" w:sz="6" w:space="0" w:color="000000"/>
            </w:tcBorders>
          </w:tcPr>
          <w:p w14:paraId="420AF1DE" w14:textId="77777777" w:rsidR="00C57EAF" w:rsidRPr="00092ED7" w:rsidRDefault="00C57EAF" w:rsidP="00C57EAF">
            <w:pPr>
              <w:spacing w:after="60"/>
              <w:jc w:val="left"/>
              <w:rPr>
                <w:rFonts w:eastAsia="Times New Roman" w:cs="Times New Roman"/>
                <w:iCs/>
                <w:sz w:val="18"/>
                <w:szCs w:val="18"/>
                <w:lang w:val="sr-Cyrl-CS"/>
              </w:rPr>
            </w:pPr>
          </w:p>
        </w:tc>
        <w:tc>
          <w:tcPr>
            <w:tcW w:w="1750" w:type="dxa"/>
            <w:tcBorders>
              <w:top w:val="single" w:sz="6" w:space="0" w:color="000000"/>
              <w:left w:val="single" w:sz="6" w:space="0" w:color="000000"/>
              <w:bottom w:val="single" w:sz="6" w:space="0" w:color="000000"/>
              <w:right w:val="single" w:sz="6" w:space="0" w:color="000000"/>
            </w:tcBorders>
          </w:tcPr>
          <w:p w14:paraId="38EDA32C" w14:textId="77777777"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b/>
                <w:iCs/>
                <w:sz w:val="18"/>
                <w:szCs w:val="18"/>
                <w:lang w:val="sr-Cyrl-CS"/>
              </w:rPr>
              <w:t>Препорука 2.</w:t>
            </w:r>
            <w:r w:rsidRPr="00092ED7">
              <w:rPr>
                <w:rFonts w:eastAsia="Times New Roman" w:cs="Times New Roman"/>
                <w:iCs/>
                <w:sz w:val="18"/>
                <w:szCs w:val="18"/>
                <w:lang w:val="sr-Cyrl-CS"/>
              </w:rPr>
              <w:t xml:space="preserve"> Смањити сиву економију, унапредити наплату ПДВ-а, побољшати процес пореске контроле и спровести реформу пореске администрације према временском оквиру датом у ЕРП-у 2022</w:t>
            </w:r>
          </w:p>
        </w:tc>
        <w:tc>
          <w:tcPr>
            <w:tcW w:w="2015" w:type="dxa"/>
            <w:tcBorders>
              <w:top w:val="single" w:sz="6" w:space="0" w:color="000000"/>
              <w:left w:val="single" w:sz="6" w:space="0" w:color="000000"/>
              <w:bottom w:val="single" w:sz="6" w:space="0" w:color="000000"/>
              <w:right w:val="single" w:sz="6" w:space="0" w:color="000000"/>
            </w:tcBorders>
          </w:tcPr>
          <w:p w14:paraId="0F999A71" w14:textId="77777777"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 Наставити са спровођењем Програма трансформације пореске управе у циљу рационализације активности Пореске управе</w:t>
            </w:r>
          </w:p>
          <w:p w14:paraId="12C69128" w14:textId="77777777"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 Обезбедити довољно људских и ИТ ресурса у оквиру Пореске управе</w:t>
            </w:r>
          </w:p>
          <w:p w14:paraId="66BB7688" w14:textId="77777777"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 Побољшати наплату пореза и борити се против сиве економије</w:t>
            </w:r>
          </w:p>
        </w:tc>
        <w:tc>
          <w:tcPr>
            <w:tcW w:w="1932" w:type="dxa"/>
            <w:tcBorders>
              <w:top w:val="single" w:sz="6" w:space="0" w:color="000000"/>
              <w:left w:val="single" w:sz="6" w:space="0" w:color="000000"/>
              <w:bottom w:val="single" w:sz="6" w:space="0" w:color="000000"/>
              <w:right w:val="single" w:sz="6" w:space="0" w:color="000000"/>
            </w:tcBorders>
          </w:tcPr>
          <w:p w14:paraId="40BF38CA" w14:textId="77777777" w:rsidR="00C57EAF" w:rsidRPr="00092ED7" w:rsidRDefault="00C57EAF" w:rsidP="00C57EAF">
            <w:pPr>
              <w:spacing w:after="60"/>
              <w:jc w:val="left"/>
              <w:rPr>
                <w:rFonts w:eastAsia="Times New Roman" w:cs="Times New Roman"/>
                <w:bCs/>
                <w:sz w:val="18"/>
                <w:szCs w:val="18"/>
                <w:lang w:val="sr-Cyrl-CS"/>
              </w:rPr>
            </w:pPr>
            <w:r w:rsidRPr="00092ED7">
              <w:rPr>
                <w:rFonts w:eastAsia="Times New Roman" w:cs="Times New Roman"/>
                <w:b/>
                <w:bCs/>
                <w:sz w:val="18"/>
                <w:szCs w:val="18"/>
                <w:lang w:val="sr-Cyrl-CS"/>
              </w:rPr>
              <w:t>ЦОР 16.6.</w:t>
            </w:r>
            <w:r w:rsidRPr="00092ED7">
              <w:rPr>
                <w:rFonts w:eastAsia="Times New Roman" w:cs="Times New Roman"/>
                <w:bCs/>
                <w:sz w:val="18"/>
                <w:szCs w:val="18"/>
                <w:lang w:val="sr-Cyrl-CS"/>
              </w:rPr>
              <w:t xml:space="preserve"> Развити ефикасне, одговорне и транспарентне институције на свим нивоима.</w:t>
            </w:r>
          </w:p>
          <w:p w14:paraId="02F2811E" w14:textId="77777777" w:rsidR="00C57EAF" w:rsidRPr="00092ED7" w:rsidRDefault="00C57EAF" w:rsidP="00C57EAF">
            <w:pPr>
              <w:spacing w:after="60"/>
              <w:jc w:val="left"/>
              <w:rPr>
                <w:rFonts w:eastAsia="Times New Roman" w:cs="Times New Roman"/>
                <w:bCs/>
                <w:sz w:val="18"/>
                <w:szCs w:val="18"/>
                <w:lang w:val="sr-Cyrl-CS"/>
              </w:rPr>
            </w:pPr>
            <w:r w:rsidRPr="00092ED7">
              <w:rPr>
                <w:rFonts w:eastAsia="Times New Roman" w:cs="Times New Roman"/>
                <w:b/>
                <w:bCs/>
                <w:sz w:val="18"/>
                <w:szCs w:val="18"/>
                <w:lang w:val="sr-Cyrl-CS"/>
              </w:rPr>
              <w:t xml:space="preserve">ЦОР 17.1. </w:t>
            </w:r>
            <w:r w:rsidRPr="00092ED7">
              <w:rPr>
                <w:rFonts w:eastAsia="Times New Roman" w:cs="Times New Roman"/>
                <w:bCs/>
                <w:sz w:val="18"/>
                <w:szCs w:val="18"/>
                <w:lang w:val="sr-Cyrl-CS"/>
              </w:rPr>
              <w:t>Појачати мобилизацију домаћих ресурса, између осталог и преко међународне подршке за земље у развоју, како би се унапредили домаћи капацитети за прикупљање пореза и осталих прихода</w:t>
            </w:r>
          </w:p>
        </w:tc>
        <w:tc>
          <w:tcPr>
            <w:tcW w:w="2409" w:type="dxa"/>
            <w:tcBorders>
              <w:top w:val="single" w:sz="6" w:space="0" w:color="000000"/>
              <w:left w:val="single" w:sz="6" w:space="0" w:color="000000"/>
              <w:bottom w:val="single" w:sz="6" w:space="0" w:color="000000"/>
              <w:right w:val="single" w:sz="6" w:space="0" w:color="000000"/>
            </w:tcBorders>
          </w:tcPr>
          <w:p w14:paraId="2C50064F" w14:textId="77777777" w:rsidR="00C57EAF" w:rsidRPr="00092ED7" w:rsidRDefault="00C57EAF" w:rsidP="00C57EAF">
            <w:pPr>
              <w:spacing w:after="60"/>
              <w:jc w:val="left"/>
              <w:rPr>
                <w:rFonts w:eastAsia="Times New Roman" w:cs="Times New Roman"/>
                <w:b/>
                <w:iCs/>
                <w:sz w:val="18"/>
                <w:szCs w:val="18"/>
                <w:lang w:val="sr-Cyrl-CS"/>
              </w:rPr>
            </w:pPr>
            <w:r w:rsidRPr="00092ED7">
              <w:rPr>
                <w:rFonts w:eastAsia="Times New Roman" w:cs="Times New Roman"/>
                <w:iCs/>
                <w:sz w:val="18"/>
                <w:szCs w:val="18"/>
                <w:lang w:val="sr-Cyrl-CS"/>
              </w:rPr>
              <w:t xml:space="preserve">Индиректан утицај на </w:t>
            </w:r>
            <w:r w:rsidRPr="00092ED7">
              <w:rPr>
                <w:rFonts w:eastAsia="Times New Roman" w:cs="Times New Roman"/>
                <w:b/>
                <w:iCs/>
                <w:sz w:val="18"/>
                <w:szCs w:val="18"/>
                <w:lang w:val="sr-Cyrl-CS"/>
              </w:rPr>
              <w:t xml:space="preserve">циљ 59 ЗАЗБ - </w:t>
            </w:r>
            <w:r w:rsidRPr="00092ED7">
              <w:rPr>
                <w:rFonts w:eastAsia="Times New Roman" w:cs="Times New Roman"/>
                <w:iCs/>
                <w:sz w:val="18"/>
                <w:szCs w:val="18"/>
                <w:lang w:val="sr-Cyrl-CS"/>
              </w:rPr>
              <w:t>Унапредити међусекторско управљање и подржати интеграцију зелене и нискоугљеничне транзиције, између осталог, путем реформе јавне управе, управљањем јавним финансијама, програмом економске реформе и мобилизацијом властитих ресурса</w:t>
            </w:r>
          </w:p>
          <w:p w14:paraId="150ED733" w14:textId="77777777" w:rsidR="00C57EAF" w:rsidRPr="00092ED7" w:rsidRDefault="00C57EAF" w:rsidP="00C57EAF">
            <w:pPr>
              <w:spacing w:after="60"/>
              <w:jc w:val="left"/>
              <w:rPr>
                <w:rFonts w:eastAsia="Times New Roman" w:cs="Times New Roman"/>
                <w:i/>
                <w:iCs/>
                <w:sz w:val="18"/>
                <w:szCs w:val="18"/>
                <w:lang w:val="sr-Cyrl-CS"/>
              </w:rPr>
            </w:pPr>
            <w:r w:rsidRPr="00092ED7">
              <w:rPr>
                <w:rFonts w:eastAsia="Times New Roman" w:cs="Times New Roman"/>
                <w:i/>
                <w:iCs/>
                <w:sz w:val="18"/>
                <w:szCs w:val="18"/>
                <w:lang w:val="sr-Cyrl-CS"/>
              </w:rPr>
              <w:t xml:space="preserve">Побољшање наплате јавних прихода, унапређење квалитета постојећих и увођење нових врста услуга прилагођених потребама пореских обвезника може допринети обезбеђењу додатних финансијски средства која би се потенцијално користила у буџету за животну средину. Такође, ангажовани су стручњаци за заштиту животне средине који помажу Пореској управи да успешно спроводи и прати пројектне активности које су подложне еколошким ризицима, управљају њиховим утицајима и припремају планове управљања животном средином, како би се обезбедила ефикасна </w:t>
            </w:r>
            <w:r w:rsidRPr="00092ED7">
              <w:rPr>
                <w:rFonts w:eastAsia="Times New Roman" w:cs="Times New Roman"/>
                <w:i/>
                <w:iCs/>
                <w:sz w:val="18"/>
                <w:szCs w:val="18"/>
                <w:lang w:val="sr-Cyrl-CS"/>
              </w:rPr>
              <w:lastRenderedPageBreak/>
              <w:t>заштита животне средине, здравље и безбедност на раду.</w:t>
            </w:r>
          </w:p>
        </w:tc>
        <w:tc>
          <w:tcPr>
            <w:tcW w:w="1843" w:type="dxa"/>
            <w:tcBorders>
              <w:top w:val="single" w:sz="6" w:space="0" w:color="000000"/>
              <w:left w:val="single" w:sz="6" w:space="0" w:color="000000"/>
              <w:bottom w:val="single" w:sz="6" w:space="0" w:color="000000"/>
              <w:right w:val="single" w:sz="6" w:space="0" w:color="000000"/>
            </w:tcBorders>
          </w:tcPr>
          <w:p w14:paraId="7562897B" w14:textId="77777777" w:rsidR="00C57EAF" w:rsidRPr="00092ED7" w:rsidRDefault="00C57EAF" w:rsidP="00C57EAF">
            <w:pPr>
              <w:spacing w:after="60"/>
              <w:jc w:val="left"/>
              <w:rPr>
                <w:rFonts w:eastAsia="Times New Roman" w:cs="Times New Roman"/>
                <w:iCs/>
                <w:sz w:val="18"/>
                <w:szCs w:val="18"/>
                <w:lang w:val="sr-Cyrl-CS"/>
              </w:rPr>
            </w:pPr>
          </w:p>
        </w:tc>
        <w:tc>
          <w:tcPr>
            <w:tcW w:w="1559" w:type="dxa"/>
            <w:tcBorders>
              <w:top w:val="single" w:sz="6" w:space="0" w:color="000000"/>
              <w:left w:val="single" w:sz="6" w:space="0" w:color="000000"/>
              <w:bottom w:val="single" w:sz="6" w:space="0" w:color="000000"/>
              <w:right w:val="single" w:sz="6" w:space="0" w:color="000000"/>
            </w:tcBorders>
          </w:tcPr>
          <w:p w14:paraId="6041183C" w14:textId="77777777"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w:t>
            </w:r>
          </w:p>
        </w:tc>
      </w:tr>
      <w:tr w:rsidR="00C57EAF" w:rsidRPr="00092ED7" w14:paraId="235AEDE5" w14:textId="77777777" w:rsidTr="00F50B50">
        <w:trPr>
          <w:trHeight w:val="410"/>
        </w:trPr>
        <w:tc>
          <w:tcPr>
            <w:tcW w:w="1635" w:type="dxa"/>
            <w:tcBorders>
              <w:top w:val="single" w:sz="6" w:space="0" w:color="000000"/>
              <w:left w:val="single" w:sz="6" w:space="0" w:color="000000"/>
              <w:bottom w:val="single" w:sz="6" w:space="0" w:color="000000"/>
              <w:right w:val="single" w:sz="6" w:space="0" w:color="000000"/>
            </w:tcBorders>
          </w:tcPr>
          <w:p w14:paraId="3E38FF31" w14:textId="77777777" w:rsidR="00C57EAF" w:rsidRPr="00092ED7" w:rsidRDefault="00C57EAF" w:rsidP="00C57EAF">
            <w:pPr>
              <w:spacing w:after="60"/>
              <w:jc w:val="left"/>
              <w:rPr>
                <w:rFonts w:eastAsia="Times New Roman" w:cs="Times New Roman"/>
                <w:b/>
                <w:bCs/>
                <w:sz w:val="20"/>
                <w:szCs w:val="20"/>
                <w:lang w:val="sr-Cyrl-CS"/>
              </w:rPr>
            </w:pPr>
            <w:r w:rsidRPr="00092ED7">
              <w:rPr>
                <w:rFonts w:eastAsia="Times New Roman" w:cs="Times New Roman"/>
                <w:b/>
                <w:bCs/>
                <w:sz w:val="20"/>
                <w:szCs w:val="20"/>
                <w:lang w:val="sr-Cyrl-CS"/>
              </w:rPr>
              <w:t>СР 12. Примена циркуларне економије у стварању повољног окружења за зелену транзицију</w:t>
            </w:r>
          </w:p>
        </w:tc>
        <w:tc>
          <w:tcPr>
            <w:tcW w:w="1498" w:type="dxa"/>
            <w:tcBorders>
              <w:top w:val="single" w:sz="6" w:space="0" w:color="000000"/>
              <w:left w:val="single" w:sz="6" w:space="0" w:color="000000"/>
              <w:bottom w:val="single" w:sz="6" w:space="0" w:color="000000"/>
              <w:right w:val="single" w:sz="6" w:space="0" w:color="000000"/>
            </w:tcBorders>
          </w:tcPr>
          <w:p w14:paraId="2BA2CFFF" w14:textId="77777777" w:rsidR="00C57EAF" w:rsidRPr="00092ED7" w:rsidRDefault="00C57EAF" w:rsidP="00C57EAF">
            <w:pPr>
              <w:spacing w:after="60"/>
              <w:jc w:val="left"/>
              <w:rPr>
                <w:rFonts w:eastAsia="Times New Roman" w:cs="Times New Roman"/>
                <w:iCs/>
                <w:sz w:val="18"/>
                <w:szCs w:val="18"/>
                <w:lang w:val="sr-Cyrl-CS"/>
              </w:rPr>
            </w:pPr>
          </w:p>
        </w:tc>
        <w:tc>
          <w:tcPr>
            <w:tcW w:w="1750" w:type="dxa"/>
            <w:tcBorders>
              <w:top w:val="single" w:sz="6" w:space="0" w:color="000000"/>
              <w:left w:val="single" w:sz="6" w:space="0" w:color="000000"/>
              <w:bottom w:val="single" w:sz="6" w:space="0" w:color="000000"/>
              <w:right w:val="single" w:sz="6" w:space="0" w:color="000000"/>
            </w:tcBorders>
          </w:tcPr>
          <w:p w14:paraId="20123145" w14:textId="77777777" w:rsidR="00C57EAF" w:rsidRPr="00092ED7" w:rsidRDefault="00C57EAF" w:rsidP="00C57EAF">
            <w:pPr>
              <w:spacing w:after="60"/>
              <w:jc w:val="left"/>
              <w:rPr>
                <w:rFonts w:eastAsia="Times New Roman" w:cs="Times New Roman"/>
                <w:iCs/>
                <w:sz w:val="18"/>
                <w:szCs w:val="18"/>
                <w:lang w:val="sr-Cyrl-CS"/>
              </w:rPr>
            </w:pPr>
          </w:p>
        </w:tc>
        <w:tc>
          <w:tcPr>
            <w:tcW w:w="2015" w:type="dxa"/>
            <w:tcBorders>
              <w:top w:val="single" w:sz="6" w:space="0" w:color="000000"/>
              <w:left w:val="single" w:sz="6" w:space="0" w:color="000000"/>
              <w:bottom w:val="single" w:sz="6" w:space="0" w:color="000000"/>
              <w:right w:val="single" w:sz="6" w:space="0" w:color="000000"/>
            </w:tcBorders>
          </w:tcPr>
          <w:p w14:paraId="74F8F06A" w14:textId="77777777"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 Интензивирати рад на имплементацији и спровођењу: поштовања правила о процени утицаја на животну средину, затварања неусаглашених депонија, повећања улагања у смањење отпада, сепарације и рециклаже уз побољшање квалитета ваздуха и воде</w:t>
            </w:r>
          </w:p>
          <w:p w14:paraId="0D2C163C" w14:textId="77777777"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 Побољшати међуинституционалну координацију, повећати улагања у животну средину као и даље унапређивати стратешко планирање инвестиција и управљања, укључујући транспарентност процедура</w:t>
            </w:r>
          </w:p>
        </w:tc>
        <w:tc>
          <w:tcPr>
            <w:tcW w:w="1932" w:type="dxa"/>
            <w:tcBorders>
              <w:top w:val="single" w:sz="6" w:space="0" w:color="000000"/>
              <w:left w:val="single" w:sz="6" w:space="0" w:color="000000"/>
              <w:bottom w:val="single" w:sz="6" w:space="0" w:color="000000"/>
              <w:right w:val="single" w:sz="6" w:space="0" w:color="000000"/>
            </w:tcBorders>
          </w:tcPr>
          <w:p w14:paraId="6F5DBBDC" w14:textId="77777777" w:rsidR="00C57EAF" w:rsidRPr="00092ED7" w:rsidRDefault="00C57EAF" w:rsidP="00C57EAF">
            <w:pPr>
              <w:spacing w:after="60"/>
              <w:jc w:val="left"/>
              <w:rPr>
                <w:rFonts w:eastAsia="Times New Roman" w:cs="Times New Roman"/>
                <w:bCs/>
                <w:iCs/>
                <w:sz w:val="18"/>
                <w:szCs w:val="18"/>
                <w:lang w:val="sr-Cyrl-CS"/>
              </w:rPr>
            </w:pPr>
            <w:r w:rsidRPr="00092ED7">
              <w:rPr>
                <w:rFonts w:eastAsia="Times New Roman" w:cs="Times New Roman"/>
                <w:b/>
                <w:bCs/>
                <w:iCs/>
                <w:sz w:val="18"/>
                <w:szCs w:val="18"/>
                <w:lang w:val="sr-Cyrl-CS"/>
              </w:rPr>
              <w:t>ЦОР 3.9.</w:t>
            </w:r>
            <w:r w:rsidRPr="00092ED7">
              <w:rPr>
                <w:rFonts w:eastAsia="Times New Roman" w:cs="Times New Roman"/>
                <w:bCs/>
                <w:iCs/>
                <w:sz w:val="18"/>
                <w:szCs w:val="18"/>
                <w:lang w:val="sr-Cyrl-CS"/>
              </w:rPr>
              <w:t xml:space="preserve"> До 2030. значајно смањити број смртних случајева и обољења од опасних хемикалија и загађења, и контаминације ваздуха, воде и земљишта</w:t>
            </w:r>
          </w:p>
          <w:p w14:paraId="79FCCC5F" w14:textId="77777777" w:rsidR="00C57EAF" w:rsidRPr="00092ED7" w:rsidRDefault="00C57EAF" w:rsidP="00C57EAF">
            <w:pPr>
              <w:spacing w:after="60"/>
              <w:jc w:val="left"/>
              <w:rPr>
                <w:rFonts w:eastAsia="Times New Roman" w:cs="Times New Roman"/>
                <w:bCs/>
                <w:iCs/>
                <w:sz w:val="18"/>
                <w:szCs w:val="18"/>
                <w:lang w:val="sr-Cyrl-CS"/>
              </w:rPr>
            </w:pPr>
            <w:r w:rsidRPr="00092ED7">
              <w:rPr>
                <w:rFonts w:eastAsia="Times New Roman" w:cs="Times New Roman"/>
                <w:b/>
                <w:bCs/>
                <w:iCs/>
                <w:sz w:val="18"/>
                <w:szCs w:val="18"/>
                <w:lang w:val="sr-Cyrl-CS"/>
              </w:rPr>
              <w:t xml:space="preserve">ЦОР 11.5 </w:t>
            </w:r>
            <w:r w:rsidRPr="00092ED7">
              <w:rPr>
                <w:rFonts w:eastAsia="Times New Roman" w:cs="Times New Roman"/>
                <w:bCs/>
                <w:iCs/>
                <w:sz w:val="18"/>
                <w:szCs w:val="18"/>
                <w:lang w:val="sr-Cyrl-CS"/>
              </w:rPr>
              <w:t>До 2030. значајно смањити број смртних случајева, број угрожених људи и директне економске губитке у односу на глобални бруто домаћи производ изазван катастрофама, укључујући и оне повезане са водом, усмеравајући пажњу на заштиту сиромашних и оних у стањима рањивости</w:t>
            </w:r>
          </w:p>
          <w:p w14:paraId="7239569D" w14:textId="77777777" w:rsidR="00C57EAF" w:rsidRPr="00092ED7" w:rsidRDefault="00C57EAF" w:rsidP="00C57EAF">
            <w:pPr>
              <w:spacing w:after="60"/>
              <w:jc w:val="left"/>
              <w:rPr>
                <w:rFonts w:eastAsia="Times New Roman" w:cs="Times New Roman"/>
                <w:bCs/>
                <w:iCs/>
                <w:sz w:val="18"/>
                <w:szCs w:val="18"/>
                <w:lang w:val="sr-Cyrl-CS"/>
              </w:rPr>
            </w:pPr>
            <w:r w:rsidRPr="00092ED7">
              <w:rPr>
                <w:rFonts w:eastAsia="Times New Roman" w:cs="Times New Roman"/>
                <w:b/>
                <w:bCs/>
                <w:iCs/>
                <w:sz w:val="18"/>
                <w:szCs w:val="18"/>
                <w:lang w:val="sr-Cyrl-CS"/>
              </w:rPr>
              <w:t>ЦОР 12.1.</w:t>
            </w:r>
            <w:r w:rsidRPr="00092ED7">
              <w:rPr>
                <w:rFonts w:eastAsia="Times New Roman" w:cs="Times New Roman"/>
                <w:bCs/>
                <w:iCs/>
                <w:sz w:val="18"/>
                <w:szCs w:val="18"/>
                <w:lang w:val="sr-Cyrl-CS"/>
              </w:rPr>
              <w:t xml:space="preserve"> Спровести десетогодишњи оквирни програм о одрживој потрошњи и производњи</w:t>
            </w:r>
          </w:p>
          <w:p w14:paraId="1CBCB9DA" w14:textId="77777777" w:rsidR="00C57EAF" w:rsidRPr="00092ED7" w:rsidRDefault="00C57EAF" w:rsidP="00C57EAF">
            <w:pPr>
              <w:spacing w:after="60"/>
              <w:jc w:val="left"/>
              <w:rPr>
                <w:rFonts w:eastAsia="Times New Roman" w:cs="Times New Roman"/>
                <w:b/>
                <w:bCs/>
                <w:sz w:val="18"/>
                <w:szCs w:val="18"/>
                <w:lang w:val="sr-Cyrl-CS"/>
              </w:rPr>
            </w:pPr>
            <w:r w:rsidRPr="00092ED7">
              <w:rPr>
                <w:rFonts w:eastAsia="Times New Roman" w:cs="Times New Roman"/>
                <w:b/>
                <w:bCs/>
                <w:iCs/>
                <w:sz w:val="18"/>
                <w:szCs w:val="18"/>
                <w:lang w:val="sr-Cyrl-CS"/>
              </w:rPr>
              <w:t>ЦОР 12.2.</w:t>
            </w:r>
            <w:r w:rsidRPr="00092ED7">
              <w:rPr>
                <w:rFonts w:eastAsia="Times New Roman" w:cs="Times New Roman"/>
                <w:bCs/>
                <w:iCs/>
                <w:sz w:val="18"/>
                <w:szCs w:val="18"/>
                <w:lang w:val="sr-Cyrl-CS"/>
              </w:rPr>
              <w:t xml:space="preserve"> До 2030. Постићи одрживо управљање и ефикасно коришћење природних ресурса.</w:t>
            </w:r>
          </w:p>
        </w:tc>
        <w:tc>
          <w:tcPr>
            <w:tcW w:w="2409" w:type="dxa"/>
            <w:tcBorders>
              <w:top w:val="single" w:sz="6" w:space="0" w:color="000000"/>
              <w:left w:val="single" w:sz="6" w:space="0" w:color="000000"/>
              <w:bottom w:val="single" w:sz="6" w:space="0" w:color="000000"/>
              <w:right w:val="single" w:sz="6" w:space="0" w:color="000000"/>
            </w:tcBorders>
          </w:tcPr>
          <w:p w14:paraId="0F329A91" w14:textId="77777777" w:rsidR="00C57EAF" w:rsidRPr="00092ED7" w:rsidRDefault="00C57EAF" w:rsidP="00C57EAF">
            <w:pPr>
              <w:spacing w:after="60"/>
              <w:jc w:val="left"/>
              <w:rPr>
                <w:rFonts w:eastAsia="Times New Roman" w:cs="Times New Roman"/>
                <w:b/>
                <w:iCs/>
                <w:sz w:val="18"/>
                <w:szCs w:val="18"/>
                <w:lang w:val="sr-Cyrl-CS"/>
              </w:rPr>
            </w:pPr>
            <w:r w:rsidRPr="00092ED7">
              <w:rPr>
                <w:rFonts w:eastAsia="Times New Roman" w:cs="Times New Roman"/>
                <w:iCs/>
                <w:sz w:val="18"/>
                <w:szCs w:val="18"/>
                <w:lang w:val="sr-Cyrl-CS"/>
              </w:rPr>
              <w:t>Директан утицај на циљеве:</w:t>
            </w:r>
          </w:p>
          <w:p w14:paraId="23607343" w14:textId="77777777" w:rsidR="00C57EAF" w:rsidRPr="00092ED7" w:rsidRDefault="00C57EAF" w:rsidP="00C57EAF">
            <w:pPr>
              <w:spacing w:after="60"/>
              <w:jc w:val="left"/>
              <w:rPr>
                <w:rFonts w:eastAsia="Times New Roman" w:cs="Times New Roman"/>
                <w:b/>
                <w:iCs/>
                <w:sz w:val="18"/>
                <w:szCs w:val="18"/>
                <w:lang w:val="sr-Cyrl-CS"/>
              </w:rPr>
            </w:pPr>
            <w:r w:rsidRPr="00092ED7">
              <w:rPr>
                <w:rFonts w:eastAsia="Times New Roman" w:cs="Times New Roman"/>
                <w:b/>
                <w:iCs/>
                <w:sz w:val="18"/>
                <w:szCs w:val="18"/>
                <w:lang w:val="sr-Cyrl-CS"/>
              </w:rPr>
              <w:t xml:space="preserve">циљ 30 ЗАЗБ - </w:t>
            </w:r>
            <w:r w:rsidRPr="00092ED7">
              <w:rPr>
                <w:rFonts w:eastAsia="Times New Roman" w:cs="Times New Roman"/>
                <w:iCs/>
                <w:sz w:val="18"/>
                <w:szCs w:val="18"/>
                <w:lang w:val="sr-Cyrl-CS"/>
              </w:rPr>
              <w:t>Примена приступа индустријског екосистема како би се остварио еколошки одржив, уравнотежен економски опоравак</w:t>
            </w:r>
          </w:p>
          <w:p w14:paraId="463288DD" w14:textId="77777777" w:rsidR="00C57EAF" w:rsidRPr="00092ED7" w:rsidRDefault="00C57EAF" w:rsidP="00C57EAF">
            <w:pPr>
              <w:spacing w:after="60"/>
              <w:jc w:val="left"/>
              <w:rPr>
                <w:rFonts w:eastAsia="Times New Roman" w:cs="Times New Roman"/>
                <w:b/>
                <w:iCs/>
                <w:sz w:val="18"/>
                <w:szCs w:val="18"/>
                <w:lang w:val="sr-Cyrl-CS"/>
              </w:rPr>
            </w:pPr>
            <w:r w:rsidRPr="00092ED7">
              <w:rPr>
                <w:rFonts w:eastAsia="Times New Roman" w:cs="Times New Roman"/>
                <w:b/>
                <w:iCs/>
                <w:sz w:val="18"/>
                <w:szCs w:val="18"/>
                <w:lang w:val="sr-Cyrl-CS"/>
              </w:rPr>
              <w:t xml:space="preserve">циљ 31 ЗАЗБ - </w:t>
            </w:r>
            <w:r w:rsidRPr="00092ED7">
              <w:rPr>
                <w:rFonts w:eastAsia="Times New Roman" w:cs="Times New Roman"/>
                <w:iCs/>
                <w:sz w:val="18"/>
                <w:szCs w:val="18"/>
                <w:lang w:val="sr-Cyrl-CS"/>
              </w:rPr>
              <w:t>Развој стратегија циркуларне економије имајући у виду целокупни животни циклус производа</w:t>
            </w:r>
          </w:p>
          <w:p w14:paraId="1BB9509E" w14:textId="77777777" w:rsidR="00C57EAF" w:rsidRPr="00092ED7" w:rsidRDefault="00C57EAF" w:rsidP="00C57EAF">
            <w:pPr>
              <w:spacing w:after="60"/>
              <w:jc w:val="left"/>
              <w:rPr>
                <w:rFonts w:eastAsia="Times New Roman" w:cs="Times New Roman"/>
                <w:b/>
                <w:iCs/>
                <w:sz w:val="18"/>
                <w:szCs w:val="18"/>
                <w:lang w:val="sr-Cyrl-CS"/>
              </w:rPr>
            </w:pPr>
            <w:r w:rsidRPr="00092ED7">
              <w:rPr>
                <w:rFonts w:eastAsia="Times New Roman" w:cs="Times New Roman"/>
                <w:b/>
                <w:iCs/>
                <w:sz w:val="18"/>
                <w:szCs w:val="18"/>
                <w:lang w:val="sr-Cyrl-CS"/>
              </w:rPr>
              <w:t xml:space="preserve">циљ 13 Европског Зеленог договора - </w:t>
            </w:r>
            <w:r w:rsidRPr="00092ED7">
              <w:rPr>
                <w:rFonts w:eastAsia="Times New Roman" w:cs="Times New Roman"/>
                <w:iCs/>
                <w:sz w:val="18"/>
                <w:szCs w:val="18"/>
                <w:lang w:val="sr-Cyrl-CS"/>
              </w:rPr>
              <w:t>Акциони план за циркуларну економију, укључујући иницијативу за одрживе производе и посебан нагласак на ресурсно интензивним секторима, као што су текстилни сектор, грађевинарство, сектор електронике и пластике</w:t>
            </w:r>
          </w:p>
          <w:p w14:paraId="2F567812" w14:textId="77777777" w:rsidR="00C57EAF" w:rsidRPr="00092ED7" w:rsidRDefault="00C57EAF" w:rsidP="00C57EAF">
            <w:pPr>
              <w:spacing w:after="60"/>
              <w:jc w:val="left"/>
              <w:rPr>
                <w:rFonts w:eastAsia="Times New Roman" w:cs="Times New Roman"/>
                <w:b/>
                <w:iCs/>
                <w:sz w:val="18"/>
                <w:szCs w:val="18"/>
                <w:lang w:val="sr-Cyrl-CS"/>
              </w:rPr>
            </w:pPr>
            <w:r w:rsidRPr="00092ED7">
              <w:rPr>
                <w:rFonts w:eastAsia="Times New Roman" w:cs="Times New Roman"/>
                <w:b/>
                <w:iCs/>
                <w:sz w:val="18"/>
                <w:szCs w:val="18"/>
                <w:lang w:val="sr-Cyrl-CS"/>
              </w:rPr>
              <w:t xml:space="preserve">циљ 14 Европског Зеленог договора - </w:t>
            </w:r>
            <w:r w:rsidRPr="00092ED7">
              <w:rPr>
                <w:rFonts w:eastAsia="Times New Roman" w:cs="Times New Roman"/>
                <w:iCs/>
                <w:sz w:val="18"/>
                <w:szCs w:val="18"/>
                <w:lang w:val="sr-Cyrl-CS"/>
              </w:rPr>
              <w:t>Иницијативе за стимулисање водећих тржишта за климатски неутралне и циркуларне производе у енергетски интензивним индустријским секторима</w:t>
            </w:r>
          </w:p>
          <w:p w14:paraId="234906A2" w14:textId="77777777"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i/>
                <w:iCs/>
                <w:sz w:val="18"/>
                <w:szCs w:val="18"/>
                <w:lang w:val="sr-Cyrl-CS"/>
              </w:rPr>
              <w:t xml:space="preserve">Увођење концепта циркуларне економије </w:t>
            </w:r>
            <w:r w:rsidRPr="00092ED7">
              <w:rPr>
                <w:rFonts w:eastAsia="Times New Roman" w:cs="Times New Roman"/>
                <w:i/>
                <w:iCs/>
                <w:sz w:val="18"/>
                <w:szCs w:val="18"/>
                <w:lang w:val="sr-Cyrl-CS"/>
              </w:rPr>
              <w:lastRenderedPageBreak/>
              <w:t>директно доприноси спровођењу зелене економске транзиције, ефикасном коришћењу ресурса и енергије, очувању биодиверзитета и заштити природе. Подстичу се предузећа у приватном и јавном сектору да усвоје принципе циркуларне економије у својим пословним процесима.</w:t>
            </w:r>
          </w:p>
        </w:tc>
        <w:tc>
          <w:tcPr>
            <w:tcW w:w="1843" w:type="dxa"/>
            <w:tcBorders>
              <w:top w:val="single" w:sz="6" w:space="0" w:color="000000"/>
              <w:left w:val="single" w:sz="6" w:space="0" w:color="000000"/>
              <w:bottom w:val="single" w:sz="6" w:space="0" w:color="000000"/>
              <w:right w:val="single" w:sz="6" w:space="0" w:color="000000"/>
            </w:tcBorders>
          </w:tcPr>
          <w:p w14:paraId="43904241" w14:textId="77777777"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b/>
                <w:iCs/>
                <w:sz w:val="18"/>
                <w:szCs w:val="18"/>
                <w:lang w:val="sr-Cyrl-CS"/>
              </w:rPr>
              <w:lastRenderedPageBreak/>
              <w:t>Поглавље VI Озелењавање Западног Балкана – улагање у животну средину и климу</w:t>
            </w:r>
          </w:p>
          <w:p w14:paraId="104A8372" w14:textId="77777777"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 Примена концепта циркуларне економије на свим нивоима и пружање институционалне подршке</w:t>
            </w:r>
          </w:p>
          <w:p w14:paraId="15A15900" w14:textId="77777777" w:rsidR="00C57EAF" w:rsidRPr="00092ED7" w:rsidRDefault="00C57EAF" w:rsidP="00C57EAF">
            <w:pPr>
              <w:spacing w:after="60"/>
              <w:jc w:val="left"/>
              <w:rPr>
                <w:rFonts w:eastAsia="Times New Roman" w:cs="Times New Roman"/>
                <w:b/>
                <w:iCs/>
                <w:sz w:val="18"/>
                <w:szCs w:val="18"/>
                <w:lang w:val="sr-Cyrl-CS"/>
              </w:rPr>
            </w:pPr>
            <w:r w:rsidRPr="00092ED7">
              <w:rPr>
                <w:rFonts w:eastAsia="Times New Roman" w:cs="Times New Roman"/>
                <w:b/>
                <w:iCs/>
                <w:sz w:val="18"/>
                <w:szCs w:val="18"/>
                <w:lang w:val="sr-Cyrl-CS"/>
              </w:rPr>
              <w:t xml:space="preserve">Кључна иницијатива 7. Управљање отпадом и отпадним водама </w:t>
            </w:r>
          </w:p>
          <w:p w14:paraId="69E00B65" w14:textId="77777777"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 Одрживи и поуздани начини управљања водоснабдевањем, отпадном водом и одлагањем отпада од суштинског значаја су за заштиту животне средине и здравља грађана</w:t>
            </w:r>
          </w:p>
          <w:p w14:paraId="53221CF3" w14:textId="77777777" w:rsidR="00C57EAF" w:rsidRPr="00092ED7" w:rsidRDefault="00C57EAF" w:rsidP="00C57EAF">
            <w:pPr>
              <w:spacing w:after="60"/>
              <w:jc w:val="left"/>
              <w:rPr>
                <w:rFonts w:eastAsia="Times New Roman" w:cs="Times New Roman"/>
                <w:b/>
                <w:iCs/>
                <w:sz w:val="18"/>
                <w:szCs w:val="18"/>
                <w:lang w:val="sr-Cyrl-CS"/>
              </w:rPr>
            </w:pPr>
          </w:p>
        </w:tc>
        <w:tc>
          <w:tcPr>
            <w:tcW w:w="1559" w:type="dxa"/>
            <w:tcBorders>
              <w:top w:val="single" w:sz="6" w:space="0" w:color="000000"/>
              <w:left w:val="single" w:sz="6" w:space="0" w:color="000000"/>
              <w:bottom w:val="single" w:sz="6" w:space="0" w:color="000000"/>
              <w:right w:val="single" w:sz="6" w:space="0" w:color="000000"/>
            </w:tcBorders>
          </w:tcPr>
          <w:p w14:paraId="5EBD6866" w14:textId="77777777"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w:t>
            </w:r>
          </w:p>
        </w:tc>
      </w:tr>
      <w:tr w:rsidR="00C57EAF" w:rsidRPr="00092ED7" w14:paraId="63093343" w14:textId="77777777" w:rsidTr="00F50B50">
        <w:trPr>
          <w:trHeight w:val="410"/>
        </w:trPr>
        <w:tc>
          <w:tcPr>
            <w:tcW w:w="1635" w:type="dxa"/>
            <w:tcBorders>
              <w:top w:val="single" w:sz="6" w:space="0" w:color="000000"/>
              <w:left w:val="single" w:sz="6" w:space="0" w:color="000000"/>
              <w:bottom w:val="single" w:sz="6" w:space="0" w:color="000000"/>
              <w:right w:val="single" w:sz="6" w:space="0" w:color="000000"/>
            </w:tcBorders>
          </w:tcPr>
          <w:p w14:paraId="72651FB0" w14:textId="77777777" w:rsidR="00C57EAF" w:rsidRPr="00092ED7" w:rsidRDefault="00C57EAF" w:rsidP="00C57EAF">
            <w:pPr>
              <w:spacing w:after="60"/>
              <w:jc w:val="left"/>
              <w:rPr>
                <w:rFonts w:eastAsia="Times New Roman" w:cs="Times New Roman"/>
                <w:b/>
                <w:bCs/>
                <w:sz w:val="20"/>
                <w:szCs w:val="20"/>
                <w:lang w:val="sr-Cyrl-CS"/>
              </w:rPr>
            </w:pPr>
            <w:r w:rsidRPr="00092ED7">
              <w:rPr>
                <w:rFonts w:eastAsia="Times New Roman" w:cs="Times New Roman"/>
                <w:b/>
                <w:bCs/>
                <w:sz w:val="20"/>
                <w:szCs w:val="20"/>
                <w:lang w:val="sr-Cyrl-CS"/>
              </w:rPr>
              <w:t>СР 13. Развој и унапређење националне информационо-комуникационе инфраструктуре</w:t>
            </w:r>
          </w:p>
        </w:tc>
        <w:tc>
          <w:tcPr>
            <w:tcW w:w="1498" w:type="dxa"/>
            <w:tcBorders>
              <w:top w:val="single" w:sz="6" w:space="0" w:color="000000"/>
              <w:left w:val="single" w:sz="6" w:space="0" w:color="000000"/>
              <w:bottom w:val="single" w:sz="6" w:space="0" w:color="000000"/>
              <w:right w:val="single" w:sz="6" w:space="0" w:color="000000"/>
            </w:tcBorders>
          </w:tcPr>
          <w:p w14:paraId="2C7D974D" w14:textId="77777777" w:rsidR="00C57EAF" w:rsidRPr="00092ED7" w:rsidRDefault="00C57EAF" w:rsidP="00C57EAF">
            <w:pPr>
              <w:spacing w:after="60"/>
              <w:jc w:val="left"/>
              <w:rPr>
                <w:rFonts w:eastAsia="Times New Roman" w:cs="Times New Roman"/>
                <w:iCs/>
                <w:sz w:val="18"/>
                <w:szCs w:val="18"/>
                <w:lang w:val="sr-Cyrl-CS"/>
              </w:rPr>
            </w:pPr>
          </w:p>
        </w:tc>
        <w:tc>
          <w:tcPr>
            <w:tcW w:w="1750" w:type="dxa"/>
            <w:tcBorders>
              <w:top w:val="single" w:sz="6" w:space="0" w:color="000000"/>
              <w:left w:val="single" w:sz="6" w:space="0" w:color="000000"/>
              <w:bottom w:val="single" w:sz="6" w:space="0" w:color="000000"/>
              <w:right w:val="single" w:sz="6" w:space="0" w:color="000000"/>
            </w:tcBorders>
          </w:tcPr>
          <w:p w14:paraId="69224242" w14:textId="77777777" w:rsidR="00C57EAF" w:rsidRPr="00092ED7" w:rsidRDefault="00C57EAF" w:rsidP="00C57EAF">
            <w:pPr>
              <w:spacing w:after="60"/>
              <w:jc w:val="left"/>
              <w:rPr>
                <w:rFonts w:eastAsia="Times New Roman" w:cs="Times New Roman"/>
                <w:iCs/>
                <w:sz w:val="18"/>
                <w:szCs w:val="18"/>
                <w:lang w:val="sr-Cyrl-CS"/>
              </w:rPr>
            </w:pPr>
          </w:p>
        </w:tc>
        <w:tc>
          <w:tcPr>
            <w:tcW w:w="2015" w:type="dxa"/>
            <w:tcBorders>
              <w:top w:val="single" w:sz="6" w:space="0" w:color="000000"/>
              <w:left w:val="single" w:sz="6" w:space="0" w:color="000000"/>
              <w:bottom w:val="single" w:sz="6" w:space="0" w:color="000000"/>
              <w:right w:val="single" w:sz="6" w:space="0" w:color="000000"/>
            </w:tcBorders>
          </w:tcPr>
          <w:p w14:paraId="6254BD49" w14:textId="77777777"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 xml:space="preserve">- Наставити имплементацију пројекта </w:t>
            </w:r>
            <w:r w:rsidRPr="00092ED7">
              <w:rPr>
                <w:rFonts w:cs="Times New Roman"/>
                <w:iCs/>
                <w:lang w:val="sr-Cyrl-CS" w:eastAsia="sr-Cyrl-CS" w:bidi="sr-Cyrl-CS"/>
              </w:rPr>
              <w:t xml:space="preserve"> </w:t>
            </w:r>
            <w:r w:rsidRPr="00092ED7">
              <w:rPr>
                <w:rFonts w:eastAsia="Times New Roman" w:cs="Times New Roman"/>
                <w:iCs/>
                <w:sz w:val="18"/>
                <w:szCs w:val="18"/>
                <w:lang w:val="sr-Cyrl-CS" w:bidi="sr-Cyrl-CS"/>
              </w:rPr>
              <w:t>изградње оптичке широкопојасне мреже</w:t>
            </w:r>
            <w:r w:rsidRPr="00092ED7">
              <w:rPr>
                <w:rFonts w:eastAsia="Times New Roman" w:cs="Times New Roman"/>
                <w:iCs/>
                <w:sz w:val="18"/>
                <w:szCs w:val="18"/>
                <w:lang w:val="sr-Cyrl-CS"/>
              </w:rPr>
              <w:t xml:space="preserve"> </w:t>
            </w:r>
          </w:p>
        </w:tc>
        <w:tc>
          <w:tcPr>
            <w:tcW w:w="1932" w:type="dxa"/>
            <w:tcBorders>
              <w:top w:val="single" w:sz="6" w:space="0" w:color="000000"/>
              <w:left w:val="single" w:sz="6" w:space="0" w:color="000000"/>
              <w:bottom w:val="single" w:sz="6" w:space="0" w:color="000000"/>
              <w:right w:val="single" w:sz="6" w:space="0" w:color="000000"/>
            </w:tcBorders>
          </w:tcPr>
          <w:p w14:paraId="67EE7528" w14:textId="77777777" w:rsidR="00C57EAF" w:rsidRPr="00092ED7" w:rsidRDefault="00C57EAF" w:rsidP="00C57EAF">
            <w:pPr>
              <w:spacing w:after="60"/>
              <w:jc w:val="left"/>
              <w:rPr>
                <w:rFonts w:eastAsia="Times New Roman" w:cs="Times New Roman"/>
                <w:bCs/>
                <w:sz w:val="18"/>
                <w:szCs w:val="18"/>
                <w:lang w:val="sr-Cyrl-CS"/>
              </w:rPr>
            </w:pPr>
            <w:r w:rsidRPr="00092ED7">
              <w:rPr>
                <w:rFonts w:eastAsia="Times New Roman" w:cs="Times New Roman"/>
                <w:b/>
                <w:bCs/>
                <w:sz w:val="18"/>
                <w:szCs w:val="18"/>
                <w:lang w:val="sr-Cyrl-CS"/>
              </w:rPr>
              <w:t>ЦОР 4.4.</w:t>
            </w:r>
            <w:r w:rsidRPr="00092ED7">
              <w:rPr>
                <w:rFonts w:eastAsia="Times New Roman" w:cs="Times New Roman"/>
                <w:bCs/>
                <w:sz w:val="18"/>
                <w:szCs w:val="18"/>
                <w:lang w:val="sr-Cyrl-CS"/>
              </w:rPr>
              <w:t xml:space="preserve"> До 2030. значајно повећати број младих и одраслих који имају релевантне вештине, укључујући техничке и стручне, за запошљавање, достојне послове и предузетништво.</w:t>
            </w:r>
          </w:p>
          <w:p w14:paraId="42115EFD" w14:textId="77777777" w:rsidR="00C57EAF" w:rsidRPr="00092ED7" w:rsidRDefault="00C57EAF" w:rsidP="00C57EAF">
            <w:pPr>
              <w:spacing w:after="60"/>
              <w:jc w:val="left"/>
              <w:rPr>
                <w:rFonts w:eastAsia="Times New Roman" w:cs="Times New Roman"/>
                <w:bCs/>
                <w:sz w:val="18"/>
                <w:szCs w:val="18"/>
                <w:lang w:val="sr-Cyrl-CS"/>
              </w:rPr>
            </w:pPr>
            <w:r w:rsidRPr="00092ED7">
              <w:rPr>
                <w:rFonts w:eastAsia="Times New Roman" w:cs="Times New Roman"/>
                <w:b/>
                <w:bCs/>
                <w:sz w:val="18"/>
                <w:szCs w:val="18"/>
                <w:lang w:val="sr-Cyrl-CS"/>
              </w:rPr>
              <w:t>ЦОР 9.ц</w:t>
            </w:r>
            <w:r w:rsidRPr="00092ED7">
              <w:rPr>
                <w:rFonts w:eastAsia="Times New Roman" w:cs="Times New Roman"/>
                <w:bCs/>
                <w:sz w:val="18"/>
                <w:szCs w:val="18"/>
                <w:lang w:val="sr-Cyrl-CS"/>
              </w:rPr>
              <w:t xml:space="preserve"> Значајно повећати приступ информационим и комуникационим технологијама и уложити напоре да се обезбеди универзалан и приуштив приступ интернету</w:t>
            </w:r>
          </w:p>
        </w:tc>
        <w:tc>
          <w:tcPr>
            <w:tcW w:w="2409" w:type="dxa"/>
            <w:tcBorders>
              <w:top w:val="single" w:sz="6" w:space="0" w:color="000000"/>
              <w:left w:val="single" w:sz="6" w:space="0" w:color="000000"/>
              <w:bottom w:val="single" w:sz="6" w:space="0" w:color="000000"/>
              <w:right w:val="single" w:sz="6" w:space="0" w:color="000000"/>
            </w:tcBorders>
          </w:tcPr>
          <w:p w14:paraId="2F75F97C" w14:textId="77777777" w:rsidR="00C57EAF" w:rsidRPr="00092ED7" w:rsidRDefault="00C57EAF" w:rsidP="00C57EAF">
            <w:pPr>
              <w:spacing w:after="60"/>
              <w:jc w:val="left"/>
              <w:rPr>
                <w:rFonts w:eastAsia="Times New Roman" w:cs="Times New Roman"/>
                <w:b/>
                <w:iCs/>
                <w:sz w:val="18"/>
                <w:szCs w:val="18"/>
                <w:lang w:val="sr-Cyrl-CS"/>
              </w:rPr>
            </w:pPr>
            <w:r w:rsidRPr="00092ED7">
              <w:rPr>
                <w:rFonts w:eastAsia="Times New Roman" w:cs="Times New Roman"/>
                <w:iCs/>
                <w:sz w:val="18"/>
                <w:szCs w:val="18"/>
                <w:lang w:val="sr-Cyrl-CS"/>
              </w:rPr>
              <w:t xml:space="preserve">Индиректан утицај на </w:t>
            </w:r>
            <w:r w:rsidRPr="00092ED7">
              <w:rPr>
                <w:rFonts w:eastAsia="Times New Roman" w:cs="Times New Roman"/>
                <w:b/>
                <w:iCs/>
                <w:sz w:val="18"/>
                <w:szCs w:val="18"/>
                <w:lang w:val="sr-Cyrl-CS"/>
              </w:rPr>
              <w:t>циљеве:</w:t>
            </w:r>
          </w:p>
          <w:p w14:paraId="5BF0E143" w14:textId="77777777"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b/>
                <w:iCs/>
                <w:sz w:val="18"/>
                <w:szCs w:val="18"/>
                <w:lang w:val="sr-Cyrl-CS"/>
              </w:rPr>
              <w:t xml:space="preserve">циљ 59 ЗАЗБ - </w:t>
            </w:r>
            <w:r w:rsidRPr="00092ED7">
              <w:rPr>
                <w:rFonts w:eastAsia="Times New Roman" w:cs="Times New Roman"/>
                <w:iCs/>
                <w:sz w:val="18"/>
                <w:szCs w:val="18"/>
                <w:lang w:val="sr-Cyrl-CS"/>
              </w:rPr>
              <w:t>Унапредити међусекторско управљање и подржати интеграцију зелене и нискоугљеничне транзиције, између осталог, путем реформе јавне управе, управљањем јавним финансијама, програмом економске реформе и мобилизацијом властитих ресурса</w:t>
            </w:r>
          </w:p>
          <w:p w14:paraId="42FEB1AA" w14:textId="77777777" w:rsidR="00C57EAF" w:rsidRPr="00092ED7" w:rsidRDefault="00C57EAF" w:rsidP="00C57EAF">
            <w:pPr>
              <w:spacing w:after="60"/>
              <w:jc w:val="left"/>
              <w:rPr>
                <w:rFonts w:eastAsia="Times New Roman" w:cs="Times New Roman"/>
                <w:b/>
                <w:iCs/>
                <w:sz w:val="18"/>
                <w:szCs w:val="18"/>
                <w:lang w:val="sr-Cyrl-CS"/>
              </w:rPr>
            </w:pPr>
            <w:r w:rsidRPr="00092ED7">
              <w:rPr>
                <w:rFonts w:eastAsia="Times New Roman" w:cs="Times New Roman"/>
                <w:b/>
                <w:iCs/>
                <w:sz w:val="18"/>
                <w:szCs w:val="18"/>
                <w:lang w:val="sr-Cyrl-CS"/>
              </w:rPr>
              <w:t xml:space="preserve">циљ 60 ЗАЗБ - </w:t>
            </w:r>
            <w:r w:rsidRPr="00092ED7">
              <w:rPr>
                <w:rFonts w:eastAsia="Times New Roman" w:cs="Times New Roman"/>
                <w:iCs/>
                <w:sz w:val="18"/>
                <w:szCs w:val="18"/>
                <w:lang w:val="sr-Cyrl-CS"/>
              </w:rPr>
              <w:t xml:space="preserve">Израдити програме и предузети потребне мере за повећање административних капацитета за имплементацију Зелене агенде за Западни Балкан како би се остварили надзор, промоција и поштовање еколошких обавеза и осигурати ефикасне механизме за учествовање </w:t>
            </w:r>
            <w:r w:rsidRPr="00092ED7">
              <w:rPr>
                <w:rFonts w:eastAsia="Times New Roman" w:cs="Times New Roman"/>
                <w:iCs/>
                <w:sz w:val="18"/>
                <w:szCs w:val="18"/>
                <w:lang w:val="sr-Cyrl-CS"/>
              </w:rPr>
              <w:lastRenderedPageBreak/>
              <w:t>јавности, приступ информацијама, приступ правосуђу у питањима заштите средине, као и извештавање о животној средини</w:t>
            </w:r>
          </w:p>
          <w:p w14:paraId="3FF296EE" w14:textId="77777777" w:rsidR="00C57EAF" w:rsidRPr="00092ED7" w:rsidRDefault="00C57EAF" w:rsidP="00C57EAF">
            <w:pPr>
              <w:spacing w:after="60"/>
              <w:jc w:val="left"/>
              <w:rPr>
                <w:rFonts w:eastAsia="Times New Roman" w:cs="Times New Roman"/>
                <w:i/>
                <w:iCs/>
                <w:sz w:val="18"/>
                <w:szCs w:val="18"/>
                <w:lang w:val="sr-Cyrl-CS"/>
              </w:rPr>
            </w:pPr>
            <w:r w:rsidRPr="00092ED7">
              <w:rPr>
                <w:rFonts w:eastAsia="Times New Roman" w:cs="Times New Roman"/>
                <w:i/>
                <w:iCs/>
                <w:sz w:val="18"/>
                <w:szCs w:val="18"/>
                <w:lang w:val="sr-Cyrl-CS"/>
              </w:rPr>
              <w:t>Јачање информационо-комуникационе инфраструктуре индиректно доприноси повећању степена информисаности о животној средини, потребним вештинама и могућностима запошљавања.</w:t>
            </w:r>
          </w:p>
        </w:tc>
        <w:tc>
          <w:tcPr>
            <w:tcW w:w="1843" w:type="dxa"/>
            <w:tcBorders>
              <w:top w:val="single" w:sz="6" w:space="0" w:color="000000"/>
              <w:left w:val="single" w:sz="6" w:space="0" w:color="000000"/>
              <w:bottom w:val="single" w:sz="6" w:space="0" w:color="000000"/>
              <w:right w:val="single" w:sz="6" w:space="0" w:color="000000"/>
            </w:tcBorders>
          </w:tcPr>
          <w:p w14:paraId="58950FF0" w14:textId="77777777" w:rsidR="00C57EAF" w:rsidRPr="00092ED7" w:rsidRDefault="00C57EAF" w:rsidP="00C57EAF">
            <w:pPr>
              <w:spacing w:after="60"/>
              <w:jc w:val="left"/>
              <w:rPr>
                <w:rFonts w:eastAsia="Times New Roman" w:cs="Times New Roman"/>
                <w:b/>
                <w:iCs/>
                <w:sz w:val="18"/>
                <w:szCs w:val="18"/>
                <w:lang w:val="sr-Cyrl-CS"/>
              </w:rPr>
            </w:pPr>
            <w:r w:rsidRPr="00092ED7">
              <w:rPr>
                <w:rFonts w:eastAsia="Times New Roman" w:cs="Times New Roman"/>
                <w:b/>
                <w:iCs/>
                <w:sz w:val="18"/>
                <w:szCs w:val="18"/>
                <w:lang w:val="sr-Cyrl-CS"/>
              </w:rPr>
              <w:lastRenderedPageBreak/>
              <w:t>Поглавље VII Инвестирање у дигиталну будућност</w:t>
            </w:r>
          </w:p>
          <w:p w14:paraId="69913E1B" w14:textId="77777777"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 Изградња и унапређење брзе националне широкопојасне мреже са универзалним приступом</w:t>
            </w:r>
          </w:p>
          <w:p w14:paraId="04087C6F" w14:textId="77777777" w:rsidR="00C57EAF" w:rsidRPr="00092ED7" w:rsidRDefault="00C57EAF" w:rsidP="00C57EAF">
            <w:pPr>
              <w:spacing w:after="60"/>
              <w:jc w:val="left"/>
              <w:rPr>
                <w:rFonts w:eastAsia="Times New Roman" w:cs="Times New Roman"/>
                <w:b/>
                <w:iCs/>
                <w:sz w:val="18"/>
                <w:szCs w:val="18"/>
                <w:lang w:val="sr-Cyrl-CS"/>
              </w:rPr>
            </w:pPr>
            <w:r w:rsidRPr="00092ED7">
              <w:rPr>
                <w:rFonts w:eastAsia="Times New Roman" w:cs="Times New Roman"/>
                <w:b/>
                <w:iCs/>
                <w:sz w:val="18"/>
                <w:szCs w:val="18"/>
                <w:lang w:val="sr-Cyrl-CS"/>
              </w:rPr>
              <w:t>Кључна иницијатива 8. Дигитална инфраструктура</w:t>
            </w:r>
          </w:p>
          <w:p w14:paraId="549A7402" w14:textId="77777777"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 xml:space="preserve">- Развој и увођење националне широкопојасне инфраструктуре, са посебним фокусом на повезивање руралних подручја </w:t>
            </w:r>
          </w:p>
        </w:tc>
        <w:tc>
          <w:tcPr>
            <w:tcW w:w="1559" w:type="dxa"/>
            <w:tcBorders>
              <w:top w:val="single" w:sz="6" w:space="0" w:color="000000"/>
              <w:left w:val="single" w:sz="6" w:space="0" w:color="000000"/>
              <w:bottom w:val="single" w:sz="6" w:space="0" w:color="000000"/>
              <w:right w:val="single" w:sz="6" w:space="0" w:color="000000"/>
            </w:tcBorders>
          </w:tcPr>
          <w:p w14:paraId="446147B8" w14:textId="77777777"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w:t>
            </w:r>
          </w:p>
        </w:tc>
      </w:tr>
      <w:tr w:rsidR="00C57EAF" w:rsidRPr="00092ED7" w14:paraId="3C2E38DF" w14:textId="77777777" w:rsidTr="00F50B50">
        <w:trPr>
          <w:trHeight w:val="693"/>
        </w:trPr>
        <w:tc>
          <w:tcPr>
            <w:tcW w:w="1635" w:type="dxa"/>
            <w:tcBorders>
              <w:top w:val="single" w:sz="6" w:space="0" w:color="000000"/>
              <w:left w:val="single" w:sz="6" w:space="0" w:color="000000"/>
              <w:bottom w:val="single" w:sz="6" w:space="0" w:color="000000"/>
              <w:right w:val="single" w:sz="6" w:space="0" w:color="000000"/>
            </w:tcBorders>
          </w:tcPr>
          <w:p w14:paraId="73006DE0" w14:textId="77777777" w:rsidR="00C57EAF" w:rsidRPr="00092ED7" w:rsidRDefault="00C57EAF" w:rsidP="00C57EAF">
            <w:pPr>
              <w:spacing w:after="60"/>
              <w:jc w:val="left"/>
              <w:rPr>
                <w:rFonts w:eastAsia="Times New Roman" w:cs="Times New Roman"/>
                <w:b/>
                <w:bCs/>
                <w:sz w:val="20"/>
                <w:szCs w:val="20"/>
                <w:lang w:val="sr-Cyrl-CS"/>
              </w:rPr>
            </w:pPr>
            <w:r w:rsidRPr="00092ED7">
              <w:rPr>
                <w:rFonts w:eastAsia="Times New Roman" w:cs="Times New Roman"/>
                <w:b/>
                <w:bCs/>
                <w:sz w:val="20"/>
                <w:szCs w:val="20"/>
                <w:lang w:val="sr-Cyrl-CS"/>
              </w:rPr>
              <w:t xml:space="preserve">СР 14. Успостављање инфраструктуре и окружења за креирање и примену иновативних ИТ решења </w:t>
            </w:r>
          </w:p>
        </w:tc>
        <w:tc>
          <w:tcPr>
            <w:tcW w:w="1498" w:type="dxa"/>
            <w:tcBorders>
              <w:top w:val="single" w:sz="6" w:space="0" w:color="000000"/>
              <w:left w:val="single" w:sz="6" w:space="0" w:color="000000"/>
              <w:bottom w:val="single" w:sz="6" w:space="0" w:color="000000"/>
              <w:right w:val="single" w:sz="6" w:space="0" w:color="000000"/>
            </w:tcBorders>
          </w:tcPr>
          <w:p w14:paraId="728410B9" w14:textId="77777777" w:rsidR="00C57EAF" w:rsidRPr="00092ED7" w:rsidRDefault="00C57EAF" w:rsidP="00C57EAF">
            <w:pPr>
              <w:spacing w:after="60"/>
              <w:jc w:val="left"/>
              <w:rPr>
                <w:rFonts w:eastAsia="Times New Roman" w:cs="Times New Roman"/>
                <w:iCs/>
                <w:sz w:val="18"/>
                <w:szCs w:val="18"/>
                <w:lang w:val="sr-Cyrl-CS"/>
              </w:rPr>
            </w:pPr>
          </w:p>
        </w:tc>
        <w:tc>
          <w:tcPr>
            <w:tcW w:w="1750" w:type="dxa"/>
            <w:tcBorders>
              <w:top w:val="single" w:sz="6" w:space="0" w:color="000000"/>
              <w:left w:val="single" w:sz="6" w:space="0" w:color="000000"/>
              <w:bottom w:val="single" w:sz="6" w:space="0" w:color="000000"/>
              <w:right w:val="single" w:sz="6" w:space="0" w:color="000000"/>
            </w:tcBorders>
          </w:tcPr>
          <w:p w14:paraId="4F828E34" w14:textId="77777777" w:rsidR="00C57EAF" w:rsidRPr="00092ED7" w:rsidRDefault="00C57EAF" w:rsidP="00C57EAF">
            <w:pPr>
              <w:spacing w:after="60"/>
              <w:jc w:val="left"/>
              <w:rPr>
                <w:rFonts w:eastAsia="Times New Roman" w:cs="Times New Roman"/>
                <w:iCs/>
                <w:sz w:val="18"/>
                <w:szCs w:val="18"/>
                <w:lang w:val="sr-Cyrl-CS"/>
              </w:rPr>
            </w:pPr>
          </w:p>
        </w:tc>
        <w:tc>
          <w:tcPr>
            <w:tcW w:w="2015" w:type="dxa"/>
            <w:tcBorders>
              <w:top w:val="single" w:sz="6" w:space="0" w:color="000000"/>
              <w:left w:val="single" w:sz="6" w:space="0" w:color="000000"/>
              <w:bottom w:val="single" w:sz="6" w:space="0" w:color="000000"/>
              <w:right w:val="single" w:sz="6" w:space="0" w:color="000000"/>
            </w:tcBorders>
          </w:tcPr>
          <w:p w14:paraId="5E964A9D" w14:textId="77777777" w:rsidR="00C57EAF" w:rsidRPr="00092ED7" w:rsidRDefault="00C57EAF" w:rsidP="00C57EAF">
            <w:pPr>
              <w:pStyle w:val="Default"/>
              <w:spacing w:after="60"/>
              <w:jc w:val="left"/>
              <w:rPr>
                <w:rFonts w:ascii="Times New Roman" w:hAnsi="Times New Roman" w:cs="Times New Roman"/>
                <w:iCs/>
                <w:color w:val="auto"/>
                <w:sz w:val="18"/>
                <w:szCs w:val="18"/>
                <w:lang w:val="sr-Cyrl-CS"/>
              </w:rPr>
            </w:pPr>
            <w:r w:rsidRPr="00092ED7">
              <w:rPr>
                <w:rFonts w:ascii="Times New Roman" w:hAnsi="Times New Roman" w:cs="Times New Roman"/>
                <w:iCs/>
                <w:color w:val="auto"/>
                <w:sz w:val="18"/>
                <w:szCs w:val="18"/>
                <w:lang w:val="sr-Cyrl-CS"/>
              </w:rPr>
              <w:t>- Подстицати интензивнију сарадњу између индустрије и академских кругова, у складу са националном стратешким оквиром</w:t>
            </w:r>
          </w:p>
        </w:tc>
        <w:tc>
          <w:tcPr>
            <w:tcW w:w="1932" w:type="dxa"/>
            <w:tcBorders>
              <w:top w:val="single" w:sz="6" w:space="0" w:color="000000"/>
              <w:left w:val="single" w:sz="6" w:space="0" w:color="000000"/>
              <w:bottom w:val="single" w:sz="6" w:space="0" w:color="000000"/>
              <w:right w:val="single" w:sz="6" w:space="0" w:color="000000"/>
            </w:tcBorders>
          </w:tcPr>
          <w:p w14:paraId="46B94E30" w14:textId="77777777" w:rsidR="00C57EAF" w:rsidRPr="00092ED7" w:rsidRDefault="00C57EAF" w:rsidP="00C57EAF">
            <w:pPr>
              <w:spacing w:after="60"/>
              <w:jc w:val="left"/>
              <w:rPr>
                <w:rFonts w:eastAsia="Times New Roman" w:cs="Times New Roman"/>
                <w:bCs/>
                <w:sz w:val="18"/>
                <w:szCs w:val="18"/>
                <w:lang w:val="sr-Cyrl-CS"/>
              </w:rPr>
            </w:pPr>
            <w:r w:rsidRPr="00092ED7">
              <w:rPr>
                <w:rFonts w:eastAsia="Times New Roman" w:cs="Times New Roman"/>
                <w:b/>
                <w:bCs/>
                <w:sz w:val="18"/>
                <w:szCs w:val="18"/>
                <w:lang w:val="sr-Cyrl-CS"/>
              </w:rPr>
              <w:t>ЦОР 9.б</w:t>
            </w:r>
            <w:r w:rsidRPr="00092ED7">
              <w:rPr>
                <w:rFonts w:eastAsia="Times New Roman" w:cs="Times New Roman"/>
                <w:bCs/>
                <w:sz w:val="18"/>
                <w:szCs w:val="18"/>
                <w:lang w:val="sr-Cyrl-CS"/>
              </w:rPr>
              <w:t xml:space="preserve"> Подржати развој домаће технологије, истраживања и иновације у земљама у развоју, укључујући осигурање погодног окружења у погледу политика за, између осталог, индустријску диверсификацију и додатну вредност роба</w:t>
            </w:r>
          </w:p>
        </w:tc>
        <w:tc>
          <w:tcPr>
            <w:tcW w:w="2409" w:type="dxa"/>
            <w:tcBorders>
              <w:top w:val="single" w:sz="6" w:space="0" w:color="000000"/>
              <w:left w:val="single" w:sz="6" w:space="0" w:color="000000"/>
              <w:bottom w:val="single" w:sz="6" w:space="0" w:color="000000"/>
              <w:right w:val="single" w:sz="6" w:space="0" w:color="000000"/>
            </w:tcBorders>
          </w:tcPr>
          <w:p w14:paraId="4DF96985" w14:textId="77777777"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Директан утицај на циљеве:</w:t>
            </w:r>
            <w:r w:rsidRPr="00092ED7">
              <w:rPr>
                <w:rFonts w:eastAsia="Times New Roman" w:cs="Times New Roman"/>
                <w:b/>
                <w:iCs/>
                <w:sz w:val="18"/>
                <w:szCs w:val="18"/>
                <w:lang w:val="sr-Cyrl-CS"/>
              </w:rPr>
              <w:t xml:space="preserve"> циљ 17 ЗАЗБ - </w:t>
            </w:r>
            <w:r w:rsidRPr="00092ED7">
              <w:rPr>
                <w:rFonts w:eastAsia="Times New Roman" w:cs="Times New Roman"/>
                <w:iCs/>
                <w:sz w:val="18"/>
                <w:szCs w:val="18"/>
                <w:lang w:val="sr-Cyrl-CS"/>
              </w:rPr>
              <w:t>Подршка развоју паметне транспортне инфраструктуре, промовисање подстицања иновативних технологија (као што су транспорт без употребе папира, вештачка интелигенција, мултимодално издавање карата за путнике, мобилност као услуга, апликације за прекограничне/граничне прелазе, 5Г коридори, итд.)</w:t>
            </w:r>
          </w:p>
          <w:p w14:paraId="7451E43C" w14:textId="77777777"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b/>
                <w:iCs/>
                <w:sz w:val="18"/>
                <w:szCs w:val="18"/>
                <w:lang w:val="sr-Cyrl-CS"/>
              </w:rPr>
              <w:t>циљ 35</w:t>
            </w:r>
            <w:r w:rsidRPr="00092ED7">
              <w:rPr>
                <w:rFonts w:eastAsia="Times New Roman" w:cs="Times New Roman"/>
                <w:iCs/>
                <w:sz w:val="18"/>
                <w:szCs w:val="18"/>
                <w:lang w:val="sr-Cyrl-CS"/>
              </w:rPr>
              <w:t xml:space="preserve"> </w:t>
            </w:r>
            <w:r w:rsidRPr="00092ED7">
              <w:rPr>
                <w:rFonts w:eastAsia="Times New Roman" w:cs="Times New Roman"/>
                <w:b/>
                <w:iCs/>
                <w:sz w:val="18"/>
                <w:szCs w:val="18"/>
                <w:lang w:val="sr-Cyrl-CS"/>
              </w:rPr>
              <w:t xml:space="preserve">ЗАЗБ - </w:t>
            </w:r>
            <w:r w:rsidRPr="00092ED7">
              <w:rPr>
                <w:rFonts w:eastAsia="Times New Roman" w:cs="Times New Roman"/>
                <w:iCs/>
                <w:sz w:val="18"/>
                <w:szCs w:val="18"/>
                <w:lang w:val="sr-Cyrl-CS"/>
              </w:rPr>
              <w:t>Даље спровођење Стратегија паметне специјализације, које представљају локацијске планове трансформације за одрживост, утемељене на иновацијама</w:t>
            </w:r>
          </w:p>
          <w:p w14:paraId="04ADD899" w14:textId="77777777"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lastRenderedPageBreak/>
              <w:t>и индиректан утицај на циљеве:</w:t>
            </w:r>
          </w:p>
          <w:p w14:paraId="1C5B105E" w14:textId="77777777" w:rsidR="00C57EAF" w:rsidRPr="00092ED7" w:rsidRDefault="00C57EAF" w:rsidP="00C57EAF">
            <w:pPr>
              <w:spacing w:after="60"/>
              <w:jc w:val="left"/>
              <w:rPr>
                <w:rFonts w:eastAsia="Times New Roman" w:cs="Times New Roman"/>
                <w:b/>
                <w:iCs/>
                <w:sz w:val="18"/>
                <w:szCs w:val="18"/>
                <w:lang w:val="sr-Cyrl-CS"/>
              </w:rPr>
            </w:pPr>
            <w:r w:rsidRPr="00092ED7">
              <w:rPr>
                <w:rFonts w:eastAsia="Times New Roman" w:cs="Times New Roman"/>
                <w:b/>
                <w:iCs/>
                <w:sz w:val="18"/>
                <w:szCs w:val="18"/>
                <w:lang w:val="sr-Cyrl-CS"/>
              </w:rPr>
              <w:t xml:space="preserve">циљ 59 ЗАЗБ - </w:t>
            </w:r>
            <w:r w:rsidRPr="00092ED7">
              <w:rPr>
                <w:rFonts w:eastAsia="Times New Roman" w:cs="Times New Roman"/>
                <w:iCs/>
                <w:sz w:val="18"/>
                <w:szCs w:val="18"/>
                <w:lang w:val="sr-Cyrl-CS"/>
              </w:rPr>
              <w:t>Унапредити међусекторско управљање и подржати интеграцију зелене и нискоугљеничне транзиције, између осталог, путем реформе јавне управе, управљањем јавним финансијама, програмом економске реформе и мобилизацијом властитих ресурса</w:t>
            </w:r>
          </w:p>
          <w:p w14:paraId="6C8FB51F" w14:textId="77777777" w:rsidR="00C57EAF" w:rsidRPr="00092ED7" w:rsidRDefault="00C57EAF" w:rsidP="00C57EAF">
            <w:pPr>
              <w:spacing w:after="60"/>
              <w:jc w:val="left"/>
              <w:rPr>
                <w:rFonts w:eastAsia="Times New Roman" w:cs="Times New Roman"/>
                <w:b/>
                <w:iCs/>
                <w:sz w:val="18"/>
                <w:szCs w:val="18"/>
                <w:lang w:val="sr-Cyrl-CS"/>
              </w:rPr>
            </w:pPr>
            <w:r w:rsidRPr="00092ED7">
              <w:rPr>
                <w:rFonts w:eastAsia="Times New Roman" w:cs="Times New Roman"/>
                <w:b/>
                <w:iCs/>
                <w:sz w:val="18"/>
                <w:szCs w:val="18"/>
                <w:lang w:val="sr-Cyrl-CS"/>
              </w:rPr>
              <w:t xml:space="preserve">циљ 60 ЗАЗБ - </w:t>
            </w:r>
            <w:r w:rsidRPr="00092ED7">
              <w:rPr>
                <w:rFonts w:eastAsia="Times New Roman" w:cs="Times New Roman"/>
                <w:iCs/>
                <w:sz w:val="18"/>
                <w:szCs w:val="18"/>
                <w:lang w:val="sr-Cyrl-CS"/>
              </w:rPr>
              <w:t>Израдити програме и предузети потребне мере за повећање административних капацитета за имплементацију Зелене агенде за Западни Балкан како би се остварили надзор, промоција и поштовање еколошких обавеза и осигурати ефикасне механизме за учествовање јавности, приступ информацијама, приступ правосуђу у питањима заштите средине, као и извештавање о животној средини</w:t>
            </w:r>
          </w:p>
          <w:p w14:paraId="60245155" w14:textId="77777777" w:rsidR="00C57EAF" w:rsidRPr="00092ED7" w:rsidRDefault="00C57EAF" w:rsidP="00C57EAF">
            <w:pPr>
              <w:spacing w:after="60"/>
              <w:jc w:val="left"/>
              <w:rPr>
                <w:rFonts w:eastAsia="Times New Roman" w:cs="Times New Roman"/>
                <w:i/>
                <w:iCs/>
                <w:sz w:val="18"/>
                <w:szCs w:val="18"/>
                <w:lang w:val="sr-Cyrl-CS"/>
              </w:rPr>
            </w:pPr>
            <w:r w:rsidRPr="00092ED7">
              <w:rPr>
                <w:rFonts w:eastAsia="Times New Roman" w:cs="Times New Roman"/>
                <w:i/>
                <w:iCs/>
                <w:sz w:val="18"/>
                <w:szCs w:val="18"/>
                <w:lang w:val="sr-Cyrl-CS"/>
              </w:rPr>
              <w:t xml:space="preserve">Спровођење пројекта Smart City којим се директно подржава одрживост урбаних средина и економије, при чему се приоритет даје решењима која се, између </w:t>
            </w:r>
            <w:r w:rsidRPr="00092ED7">
              <w:rPr>
                <w:rFonts w:eastAsia="Times New Roman" w:cs="Times New Roman"/>
                <w:i/>
                <w:iCs/>
                <w:sz w:val="18"/>
                <w:szCs w:val="18"/>
                <w:lang w:val="sr-Cyrl-CS"/>
              </w:rPr>
              <w:lastRenderedPageBreak/>
              <w:t>осталог, баве заштитом животне средине.</w:t>
            </w:r>
            <w:r w:rsidRPr="00092ED7">
              <w:rPr>
                <w:i/>
                <w:lang w:val="sr-Cyrl-CS"/>
              </w:rPr>
              <w:t xml:space="preserve"> </w:t>
            </w:r>
            <w:r w:rsidRPr="00092ED7">
              <w:rPr>
                <w:rFonts w:eastAsia="Times New Roman" w:cs="Times New Roman"/>
                <w:i/>
                <w:iCs/>
                <w:sz w:val="18"/>
                <w:szCs w:val="18"/>
                <w:lang w:val="sr-Cyrl-CS"/>
              </w:rPr>
              <w:t>Директно се</w:t>
            </w:r>
            <w:r w:rsidRPr="00092ED7">
              <w:rPr>
                <w:i/>
                <w:lang w:val="sr-Cyrl-CS"/>
              </w:rPr>
              <w:t xml:space="preserve"> </w:t>
            </w:r>
            <w:r w:rsidRPr="00092ED7">
              <w:rPr>
                <w:rFonts w:eastAsia="Times New Roman" w:cs="Times New Roman"/>
                <w:i/>
                <w:iCs/>
                <w:sz w:val="18"/>
                <w:szCs w:val="18"/>
                <w:lang w:val="sr-Cyrl-CS"/>
              </w:rPr>
              <w:t>побољшава приступ информацијама, стимулишу иновације и креативност и промовише размена знања, нудећи на тај начин прилику за боље ангажовање пословног сектора и локалне самоуправе у настојањима да се заштити животна средина.</w:t>
            </w:r>
          </w:p>
        </w:tc>
        <w:tc>
          <w:tcPr>
            <w:tcW w:w="1843" w:type="dxa"/>
            <w:tcBorders>
              <w:top w:val="single" w:sz="6" w:space="0" w:color="000000"/>
              <w:left w:val="single" w:sz="6" w:space="0" w:color="000000"/>
              <w:bottom w:val="single" w:sz="6" w:space="0" w:color="000000"/>
              <w:right w:val="single" w:sz="6" w:space="0" w:color="000000"/>
            </w:tcBorders>
          </w:tcPr>
          <w:p w14:paraId="6C511972" w14:textId="77777777" w:rsidR="00C57EAF" w:rsidRPr="00092ED7" w:rsidRDefault="00C57EAF" w:rsidP="00C57EAF">
            <w:pPr>
              <w:spacing w:after="60"/>
              <w:jc w:val="left"/>
              <w:rPr>
                <w:rFonts w:eastAsia="Times New Roman" w:cs="Times New Roman"/>
                <w:b/>
                <w:iCs/>
                <w:sz w:val="18"/>
                <w:szCs w:val="18"/>
                <w:lang w:val="sr-Cyrl-CS"/>
              </w:rPr>
            </w:pPr>
            <w:r w:rsidRPr="00092ED7">
              <w:rPr>
                <w:rFonts w:eastAsia="Times New Roman" w:cs="Times New Roman"/>
                <w:b/>
                <w:iCs/>
                <w:sz w:val="18"/>
                <w:szCs w:val="18"/>
                <w:lang w:val="sr-Cyrl-CS"/>
              </w:rPr>
              <w:lastRenderedPageBreak/>
              <w:t>Поглавље VII Улагање у дигиталну будућност</w:t>
            </w:r>
          </w:p>
          <w:p w14:paraId="7E4A1602" w14:textId="77777777"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 Развој регионалних центара за дигиталне иновације и њихово повезивање са Научно -технолошким парковима</w:t>
            </w:r>
          </w:p>
          <w:p w14:paraId="7B3B44A2" w14:textId="77777777"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 xml:space="preserve">- Подршка компанијама да повећају своју конкурентност коришћењем дигиталних технологија, посебно коришћење вештачке интелигенције у пословном сектору </w:t>
            </w:r>
          </w:p>
        </w:tc>
        <w:tc>
          <w:tcPr>
            <w:tcW w:w="1559" w:type="dxa"/>
            <w:tcBorders>
              <w:top w:val="single" w:sz="6" w:space="0" w:color="000000"/>
              <w:left w:val="single" w:sz="6" w:space="0" w:color="000000"/>
              <w:bottom w:val="single" w:sz="6" w:space="0" w:color="000000"/>
              <w:right w:val="single" w:sz="6" w:space="0" w:color="000000"/>
            </w:tcBorders>
          </w:tcPr>
          <w:p w14:paraId="2BC4E913" w14:textId="77777777"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w:t>
            </w:r>
          </w:p>
        </w:tc>
      </w:tr>
      <w:tr w:rsidR="00C57EAF" w:rsidRPr="00092ED7" w14:paraId="26305C8D" w14:textId="77777777" w:rsidTr="00F50B50">
        <w:trPr>
          <w:trHeight w:val="848"/>
        </w:trPr>
        <w:tc>
          <w:tcPr>
            <w:tcW w:w="1635" w:type="dxa"/>
            <w:tcBorders>
              <w:top w:val="single" w:sz="6" w:space="0" w:color="000000"/>
              <w:left w:val="single" w:sz="6" w:space="0" w:color="000000"/>
              <w:bottom w:val="single" w:sz="6" w:space="0" w:color="000000"/>
              <w:right w:val="single" w:sz="6" w:space="0" w:color="000000"/>
            </w:tcBorders>
          </w:tcPr>
          <w:p w14:paraId="54489AFA" w14:textId="77777777" w:rsidR="00C57EAF" w:rsidRPr="00092ED7" w:rsidRDefault="00C57EAF" w:rsidP="00C57EAF">
            <w:pPr>
              <w:spacing w:after="60"/>
              <w:jc w:val="left"/>
              <w:rPr>
                <w:rFonts w:eastAsia="Times New Roman" w:cs="Times New Roman"/>
                <w:b/>
                <w:bCs/>
                <w:sz w:val="20"/>
                <w:szCs w:val="20"/>
                <w:lang w:val="sr-Cyrl-CS"/>
              </w:rPr>
            </w:pPr>
            <w:r w:rsidRPr="00092ED7">
              <w:rPr>
                <w:rFonts w:eastAsia="Times New Roman" w:cs="Times New Roman"/>
                <w:b/>
                <w:bCs/>
                <w:sz w:val="20"/>
                <w:szCs w:val="20"/>
                <w:lang w:val="sr-Cyrl-CS"/>
              </w:rPr>
              <w:lastRenderedPageBreak/>
              <w:t>СР 15. Подршка развоју талената и креативних индустрија оснивањем мултифункционалног иновативно-креативног центра Ложионица</w:t>
            </w:r>
          </w:p>
        </w:tc>
        <w:tc>
          <w:tcPr>
            <w:tcW w:w="1498" w:type="dxa"/>
            <w:tcBorders>
              <w:top w:val="single" w:sz="6" w:space="0" w:color="000000"/>
              <w:left w:val="single" w:sz="6" w:space="0" w:color="000000"/>
              <w:bottom w:val="single" w:sz="6" w:space="0" w:color="000000"/>
              <w:right w:val="single" w:sz="6" w:space="0" w:color="000000"/>
            </w:tcBorders>
          </w:tcPr>
          <w:p w14:paraId="006E4C1B" w14:textId="77777777" w:rsidR="00C57EAF" w:rsidRPr="00092ED7" w:rsidRDefault="00C57EAF" w:rsidP="00C57EAF">
            <w:pPr>
              <w:spacing w:after="60"/>
              <w:jc w:val="left"/>
              <w:rPr>
                <w:rFonts w:eastAsia="Times New Roman" w:cs="Times New Roman"/>
                <w:iCs/>
                <w:sz w:val="18"/>
                <w:szCs w:val="18"/>
                <w:lang w:val="sr-Cyrl-CS"/>
              </w:rPr>
            </w:pPr>
          </w:p>
        </w:tc>
        <w:tc>
          <w:tcPr>
            <w:tcW w:w="1750" w:type="dxa"/>
            <w:tcBorders>
              <w:top w:val="single" w:sz="6" w:space="0" w:color="000000"/>
              <w:left w:val="single" w:sz="6" w:space="0" w:color="000000"/>
              <w:bottom w:val="single" w:sz="6" w:space="0" w:color="000000"/>
              <w:right w:val="single" w:sz="6" w:space="0" w:color="000000"/>
            </w:tcBorders>
          </w:tcPr>
          <w:p w14:paraId="226A4EC6" w14:textId="77777777" w:rsidR="00C57EAF" w:rsidRPr="00092ED7" w:rsidRDefault="00C57EAF" w:rsidP="00C57EAF">
            <w:pPr>
              <w:spacing w:after="60"/>
              <w:jc w:val="left"/>
              <w:rPr>
                <w:rFonts w:eastAsia="Times New Roman" w:cs="Times New Roman"/>
                <w:iCs/>
                <w:sz w:val="18"/>
                <w:szCs w:val="18"/>
                <w:lang w:val="sr-Cyrl-CS"/>
              </w:rPr>
            </w:pPr>
          </w:p>
        </w:tc>
        <w:tc>
          <w:tcPr>
            <w:tcW w:w="2015" w:type="dxa"/>
            <w:tcBorders>
              <w:top w:val="single" w:sz="6" w:space="0" w:color="000000"/>
              <w:left w:val="single" w:sz="6" w:space="0" w:color="000000"/>
              <w:bottom w:val="single" w:sz="6" w:space="0" w:color="000000"/>
              <w:right w:val="single" w:sz="6" w:space="0" w:color="000000"/>
            </w:tcBorders>
          </w:tcPr>
          <w:p w14:paraId="635CC6CA" w14:textId="77777777" w:rsidR="00C57EAF" w:rsidRPr="00092ED7" w:rsidRDefault="00C57EAF" w:rsidP="00C57EAF">
            <w:pPr>
              <w:pStyle w:val="Default"/>
              <w:spacing w:after="60"/>
              <w:jc w:val="left"/>
              <w:rPr>
                <w:rFonts w:ascii="Times New Roman" w:hAnsi="Times New Roman" w:cs="Times New Roman"/>
                <w:iCs/>
                <w:sz w:val="18"/>
                <w:szCs w:val="18"/>
                <w:lang w:val="sr-Cyrl-CS"/>
              </w:rPr>
            </w:pPr>
            <w:r w:rsidRPr="00092ED7">
              <w:rPr>
                <w:rFonts w:ascii="Times New Roman" w:hAnsi="Times New Roman" w:cs="Times New Roman"/>
                <w:iCs/>
                <w:sz w:val="18"/>
                <w:szCs w:val="18"/>
                <w:lang w:val="sr-Cyrl-CS"/>
              </w:rPr>
              <w:t>- Подстицати интензивнију сарадњу између индустрије и академских кругова, у складу са националном стратешким оквиром</w:t>
            </w:r>
          </w:p>
        </w:tc>
        <w:tc>
          <w:tcPr>
            <w:tcW w:w="1932" w:type="dxa"/>
            <w:tcBorders>
              <w:top w:val="single" w:sz="6" w:space="0" w:color="000000"/>
              <w:left w:val="single" w:sz="6" w:space="0" w:color="000000"/>
              <w:bottom w:val="single" w:sz="6" w:space="0" w:color="000000"/>
              <w:right w:val="single" w:sz="6" w:space="0" w:color="000000"/>
            </w:tcBorders>
          </w:tcPr>
          <w:p w14:paraId="794315F3" w14:textId="77777777" w:rsidR="00C57EAF" w:rsidRPr="00092ED7" w:rsidRDefault="00C57EAF" w:rsidP="00C57EAF">
            <w:pPr>
              <w:spacing w:after="60"/>
              <w:jc w:val="left"/>
              <w:rPr>
                <w:rFonts w:eastAsia="Times New Roman" w:cs="Times New Roman"/>
                <w:b/>
                <w:bCs/>
                <w:sz w:val="18"/>
                <w:szCs w:val="18"/>
                <w:lang w:val="sr-Cyrl-CS"/>
              </w:rPr>
            </w:pPr>
            <w:r w:rsidRPr="00092ED7">
              <w:rPr>
                <w:rFonts w:eastAsia="Times New Roman" w:cs="Times New Roman"/>
                <w:b/>
                <w:bCs/>
                <w:sz w:val="18"/>
                <w:szCs w:val="18"/>
                <w:lang w:val="sr-Cyrl-CS"/>
              </w:rPr>
              <w:t xml:space="preserve">ЦОР 9.б </w:t>
            </w:r>
            <w:r w:rsidRPr="00092ED7">
              <w:rPr>
                <w:rFonts w:eastAsia="Times New Roman" w:cs="Times New Roman"/>
                <w:bCs/>
                <w:sz w:val="18"/>
                <w:szCs w:val="18"/>
                <w:lang w:val="sr-Cyrl-CS"/>
              </w:rPr>
              <w:t>Подржати развој домаће технологије, истраживања и иновације у земљама у развоју, укључујући осигурање погодног окружења у погледу политика за, између осталог, индустријску диверсификацију и додатну вредност роба</w:t>
            </w:r>
          </w:p>
        </w:tc>
        <w:tc>
          <w:tcPr>
            <w:tcW w:w="2409" w:type="dxa"/>
            <w:tcBorders>
              <w:top w:val="single" w:sz="6" w:space="0" w:color="000000"/>
              <w:left w:val="single" w:sz="6" w:space="0" w:color="000000"/>
              <w:bottom w:val="single" w:sz="6" w:space="0" w:color="000000"/>
              <w:right w:val="single" w:sz="6" w:space="0" w:color="000000"/>
            </w:tcBorders>
          </w:tcPr>
          <w:p w14:paraId="1DADF647" w14:textId="77777777"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Директан утицај на циљеве:</w:t>
            </w:r>
          </w:p>
          <w:p w14:paraId="35CDC3F5" w14:textId="77777777"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b/>
                <w:iCs/>
                <w:sz w:val="18"/>
                <w:szCs w:val="18"/>
                <w:lang w:val="sr-Cyrl-CS"/>
              </w:rPr>
              <w:t>циљ 35</w:t>
            </w:r>
            <w:r w:rsidRPr="00092ED7">
              <w:rPr>
                <w:rFonts w:eastAsia="Times New Roman" w:cs="Times New Roman"/>
                <w:iCs/>
                <w:sz w:val="18"/>
                <w:szCs w:val="18"/>
                <w:lang w:val="sr-Cyrl-CS"/>
              </w:rPr>
              <w:t xml:space="preserve"> </w:t>
            </w:r>
            <w:r w:rsidRPr="00092ED7">
              <w:rPr>
                <w:rFonts w:eastAsia="Times New Roman" w:cs="Times New Roman"/>
                <w:b/>
                <w:iCs/>
                <w:sz w:val="18"/>
                <w:szCs w:val="18"/>
                <w:lang w:val="sr-Cyrl-CS"/>
              </w:rPr>
              <w:t xml:space="preserve">ЗАЗБ - </w:t>
            </w:r>
            <w:r w:rsidRPr="00092ED7">
              <w:rPr>
                <w:rFonts w:eastAsia="Times New Roman" w:cs="Times New Roman"/>
                <w:iCs/>
                <w:sz w:val="18"/>
                <w:szCs w:val="18"/>
                <w:lang w:val="sr-Cyrl-CS"/>
              </w:rPr>
              <w:t>Даље спровођење Стратегија паметне специјализације, које представљају локацијске планове трансформације за одрживост, утемељене на иновацијама</w:t>
            </w:r>
          </w:p>
          <w:p w14:paraId="31E35064" w14:textId="77777777"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и индиректан утицај на циљ:</w:t>
            </w:r>
          </w:p>
          <w:p w14:paraId="788FE39E" w14:textId="77777777" w:rsidR="00C57EAF" w:rsidRPr="00092ED7" w:rsidRDefault="00C57EAF" w:rsidP="00C57EAF">
            <w:pPr>
              <w:spacing w:after="60"/>
              <w:jc w:val="left"/>
              <w:rPr>
                <w:rFonts w:eastAsia="Times New Roman" w:cs="Times New Roman"/>
                <w:b/>
                <w:iCs/>
                <w:sz w:val="18"/>
                <w:szCs w:val="18"/>
                <w:lang w:val="sr-Cyrl-CS"/>
              </w:rPr>
            </w:pPr>
            <w:r w:rsidRPr="00092ED7">
              <w:rPr>
                <w:rFonts w:eastAsia="Times New Roman" w:cs="Times New Roman"/>
                <w:b/>
                <w:iCs/>
                <w:sz w:val="18"/>
                <w:szCs w:val="18"/>
                <w:lang w:val="sr-Cyrl-CS"/>
              </w:rPr>
              <w:t xml:space="preserve">циљ 60 ЗАЗБ - </w:t>
            </w:r>
            <w:r w:rsidRPr="00092ED7">
              <w:rPr>
                <w:rFonts w:eastAsia="Times New Roman" w:cs="Times New Roman"/>
                <w:iCs/>
                <w:sz w:val="18"/>
                <w:szCs w:val="18"/>
                <w:lang w:val="sr-Cyrl-CS"/>
              </w:rPr>
              <w:t xml:space="preserve">Израдити програме и предузети потребне мере за повећање административних капацитета за имплементацију Зелене агенде за Западни Балкан како би се остварили надзор, промоција и поштовање еколошких обавеза и осигурати ефикасне механизме за учествовање јавности, приступ информацијама, приступ правосуђу у питањима заштите средине, као и </w:t>
            </w:r>
            <w:r w:rsidRPr="00092ED7">
              <w:rPr>
                <w:rFonts w:eastAsia="Times New Roman" w:cs="Times New Roman"/>
                <w:iCs/>
                <w:sz w:val="18"/>
                <w:szCs w:val="18"/>
                <w:lang w:val="sr-Cyrl-CS"/>
              </w:rPr>
              <w:lastRenderedPageBreak/>
              <w:t>извештавање о животној средини</w:t>
            </w:r>
          </w:p>
          <w:p w14:paraId="431C15B1" w14:textId="77777777" w:rsidR="00C57EAF" w:rsidRPr="00092ED7" w:rsidRDefault="00C57EAF" w:rsidP="00C57EAF">
            <w:pPr>
              <w:spacing w:after="60"/>
              <w:jc w:val="left"/>
              <w:rPr>
                <w:rFonts w:eastAsia="Times New Roman" w:cs="Times New Roman"/>
                <w:iCs/>
                <w:sz w:val="18"/>
                <w:szCs w:val="18"/>
                <w:lang w:val="sr-Cyrl-CS"/>
              </w:rPr>
            </w:pPr>
          </w:p>
          <w:p w14:paraId="2778F35B" w14:textId="77777777" w:rsidR="00C57EAF" w:rsidRPr="00092ED7" w:rsidRDefault="00C57EAF" w:rsidP="00C57EAF">
            <w:pPr>
              <w:spacing w:after="60"/>
              <w:jc w:val="left"/>
              <w:rPr>
                <w:rFonts w:eastAsia="Times New Roman" w:cs="Times New Roman"/>
                <w:iCs/>
                <w:sz w:val="18"/>
                <w:szCs w:val="18"/>
                <w:lang w:val="sr-Cyrl-CS"/>
              </w:rPr>
            </w:pPr>
          </w:p>
        </w:tc>
        <w:tc>
          <w:tcPr>
            <w:tcW w:w="1843" w:type="dxa"/>
            <w:tcBorders>
              <w:top w:val="single" w:sz="6" w:space="0" w:color="000000"/>
              <w:left w:val="single" w:sz="6" w:space="0" w:color="000000"/>
              <w:bottom w:val="single" w:sz="6" w:space="0" w:color="000000"/>
              <w:right w:val="single" w:sz="6" w:space="0" w:color="000000"/>
            </w:tcBorders>
          </w:tcPr>
          <w:p w14:paraId="661CAB8B" w14:textId="77777777" w:rsidR="00C57EAF" w:rsidRPr="00092ED7" w:rsidRDefault="00C57EAF" w:rsidP="00C57EAF">
            <w:pPr>
              <w:spacing w:after="60"/>
              <w:jc w:val="left"/>
              <w:rPr>
                <w:rFonts w:eastAsia="Times New Roman" w:cs="Times New Roman"/>
                <w:b/>
                <w:iCs/>
                <w:sz w:val="18"/>
                <w:szCs w:val="18"/>
                <w:lang w:val="sr-Cyrl-CS"/>
              </w:rPr>
            </w:pPr>
            <w:r w:rsidRPr="00092ED7">
              <w:rPr>
                <w:rFonts w:eastAsia="Times New Roman" w:cs="Times New Roman"/>
                <w:b/>
                <w:iCs/>
                <w:sz w:val="18"/>
                <w:szCs w:val="18"/>
                <w:lang w:val="sr-Cyrl-CS"/>
              </w:rPr>
              <w:lastRenderedPageBreak/>
              <w:t>Поглавље VII Улагање у дигиталну будућност</w:t>
            </w:r>
          </w:p>
          <w:p w14:paraId="74EDEA41" w14:textId="77777777"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 Развој регионалних центара за дигиталне иновације и њихово повезивање са Научно -технолошким парковима</w:t>
            </w:r>
          </w:p>
          <w:p w14:paraId="6640BBFE" w14:textId="77777777" w:rsidR="00C57EAF" w:rsidRPr="00092ED7" w:rsidRDefault="00C57EAF" w:rsidP="00C57EAF">
            <w:pPr>
              <w:spacing w:after="60"/>
              <w:jc w:val="left"/>
              <w:rPr>
                <w:rFonts w:eastAsia="Times New Roman" w:cs="Times New Roman"/>
                <w:b/>
                <w:iCs/>
                <w:sz w:val="18"/>
                <w:szCs w:val="18"/>
                <w:lang w:val="sr-Cyrl-CS"/>
              </w:rPr>
            </w:pPr>
            <w:r w:rsidRPr="00092ED7">
              <w:rPr>
                <w:rFonts w:eastAsia="Times New Roman" w:cs="Times New Roman"/>
                <w:iCs/>
                <w:sz w:val="18"/>
                <w:szCs w:val="18"/>
                <w:lang w:val="sr-Cyrl-CS"/>
              </w:rPr>
              <w:t>- Подршка компанијама да повећају своју конкурентност коришћењем дигиталних технологија, посебно коришћење вештачке интелигенције у пословном сектору</w:t>
            </w:r>
          </w:p>
        </w:tc>
        <w:tc>
          <w:tcPr>
            <w:tcW w:w="1559" w:type="dxa"/>
            <w:tcBorders>
              <w:top w:val="single" w:sz="6" w:space="0" w:color="000000"/>
              <w:left w:val="single" w:sz="6" w:space="0" w:color="000000"/>
              <w:bottom w:val="single" w:sz="6" w:space="0" w:color="000000"/>
              <w:right w:val="single" w:sz="6" w:space="0" w:color="000000"/>
            </w:tcBorders>
          </w:tcPr>
          <w:p w14:paraId="5C78ED31" w14:textId="77777777"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w:t>
            </w:r>
          </w:p>
        </w:tc>
      </w:tr>
      <w:tr w:rsidR="00C57EAF" w:rsidRPr="00092ED7" w14:paraId="6EC9AABD" w14:textId="77777777" w:rsidTr="00F50B50">
        <w:trPr>
          <w:trHeight w:val="848"/>
        </w:trPr>
        <w:tc>
          <w:tcPr>
            <w:tcW w:w="1635" w:type="dxa"/>
            <w:tcBorders>
              <w:top w:val="single" w:sz="6" w:space="0" w:color="000000"/>
              <w:left w:val="single" w:sz="6" w:space="0" w:color="000000"/>
              <w:bottom w:val="single" w:sz="6" w:space="0" w:color="000000"/>
              <w:right w:val="single" w:sz="6" w:space="0" w:color="000000"/>
            </w:tcBorders>
          </w:tcPr>
          <w:p w14:paraId="285B4858" w14:textId="77777777" w:rsidR="00C57EAF" w:rsidRPr="00092ED7" w:rsidRDefault="00C57EAF" w:rsidP="00C57EAF">
            <w:pPr>
              <w:spacing w:after="60"/>
              <w:jc w:val="left"/>
              <w:rPr>
                <w:rFonts w:eastAsia="Times New Roman" w:cs="Times New Roman"/>
                <w:b/>
                <w:bCs/>
                <w:sz w:val="20"/>
                <w:szCs w:val="20"/>
                <w:lang w:val="sr-Cyrl-CS"/>
              </w:rPr>
            </w:pPr>
            <w:r w:rsidRPr="00092ED7">
              <w:rPr>
                <w:rFonts w:eastAsia="Times New Roman" w:cs="Times New Roman"/>
                <w:b/>
                <w:bCs/>
                <w:sz w:val="20"/>
                <w:szCs w:val="20"/>
                <w:lang w:val="sr-Cyrl-CS"/>
              </w:rPr>
              <w:t>СР 16. Развој стартап екосистема</w:t>
            </w:r>
          </w:p>
        </w:tc>
        <w:tc>
          <w:tcPr>
            <w:tcW w:w="1498" w:type="dxa"/>
            <w:tcBorders>
              <w:top w:val="single" w:sz="6" w:space="0" w:color="000000"/>
              <w:left w:val="single" w:sz="6" w:space="0" w:color="000000"/>
              <w:bottom w:val="single" w:sz="6" w:space="0" w:color="000000"/>
              <w:right w:val="single" w:sz="6" w:space="0" w:color="000000"/>
            </w:tcBorders>
          </w:tcPr>
          <w:p w14:paraId="50F31782" w14:textId="77777777" w:rsidR="00C57EAF" w:rsidRPr="00092ED7" w:rsidRDefault="00C57EAF" w:rsidP="00C57EAF">
            <w:pPr>
              <w:spacing w:after="60"/>
              <w:jc w:val="left"/>
              <w:rPr>
                <w:rFonts w:eastAsia="Times New Roman" w:cs="Times New Roman"/>
                <w:iCs/>
                <w:sz w:val="18"/>
                <w:szCs w:val="18"/>
                <w:lang w:val="sr-Cyrl-CS"/>
              </w:rPr>
            </w:pPr>
          </w:p>
        </w:tc>
        <w:tc>
          <w:tcPr>
            <w:tcW w:w="1750" w:type="dxa"/>
            <w:tcBorders>
              <w:top w:val="single" w:sz="6" w:space="0" w:color="000000"/>
              <w:left w:val="single" w:sz="6" w:space="0" w:color="000000"/>
              <w:bottom w:val="single" w:sz="6" w:space="0" w:color="000000"/>
              <w:right w:val="single" w:sz="6" w:space="0" w:color="000000"/>
            </w:tcBorders>
          </w:tcPr>
          <w:p w14:paraId="18D9B144" w14:textId="77777777" w:rsidR="00C57EAF" w:rsidRPr="00092ED7" w:rsidRDefault="00C57EAF" w:rsidP="00C57EAF">
            <w:pPr>
              <w:spacing w:after="60"/>
              <w:jc w:val="left"/>
              <w:rPr>
                <w:rFonts w:eastAsia="Times New Roman" w:cs="Times New Roman"/>
                <w:iCs/>
                <w:sz w:val="18"/>
                <w:szCs w:val="18"/>
                <w:lang w:val="sr-Cyrl-CS"/>
              </w:rPr>
            </w:pPr>
          </w:p>
        </w:tc>
        <w:tc>
          <w:tcPr>
            <w:tcW w:w="2015" w:type="dxa"/>
            <w:tcBorders>
              <w:top w:val="single" w:sz="6" w:space="0" w:color="000000"/>
              <w:left w:val="single" w:sz="6" w:space="0" w:color="000000"/>
              <w:bottom w:val="single" w:sz="6" w:space="0" w:color="000000"/>
              <w:right w:val="single" w:sz="6" w:space="0" w:color="000000"/>
            </w:tcBorders>
          </w:tcPr>
          <w:p w14:paraId="72724BC7" w14:textId="77777777"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 xml:space="preserve">- Наставити рад на јачању системског приступа развоју знања и вештина предузетништва кроз формално образовање, повећању броја стартaпа и могућности за приватне инвеститоре и трансферу технологије </w:t>
            </w:r>
          </w:p>
        </w:tc>
        <w:tc>
          <w:tcPr>
            <w:tcW w:w="1932" w:type="dxa"/>
            <w:tcBorders>
              <w:top w:val="single" w:sz="6" w:space="0" w:color="000000"/>
              <w:left w:val="single" w:sz="6" w:space="0" w:color="000000"/>
              <w:bottom w:val="single" w:sz="6" w:space="0" w:color="000000"/>
              <w:right w:val="single" w:sz="6" w:space="0" w:color="000000"/>
            </w:tcBorders>
          </w:tcPr>
          <w:p w14:paraId="25D1F579" w14:textId="77777777" w:rsidR="00C57EAF" w:rsidRPr="00092ED7" w:rsidRDefault="00C57EAF" w:rsidP="00C57EAF">
            <w:pPr>
              <w:spacing w:after="60"/>
              <w:jc w:val="left"/>
              <w:rPr>
                <w:rFonts w:eastAsia="Times New Roman" w:cs="Times New Roman"/>
                <w:bCs/>
                <w:sz w:val="18"/>
                <w:szCs w:val="18"/>
                <w:lang w:val="sr-Cyrl-CS"/>
              </w:rPr>
            </w:pPr>
            <w:r w:rsidRPr="00092ED7">
              <w:rPr>
                <w:rFonts w:eastAsia="Times New Roman" w:cs="Times New Roman"/>
                <w:b/>
                <w:bCs/>
                <w:sz w:val="18"/>
                <w:szCs w:val="18"/>
                <w:lang w:val="sr-Cyrl-CS"/>
              </w:rPr>
              <w:t>ЦОР 8.2.</w:t>
            </w:r>
            <w:r w:rsidRPr="00092ED7">
              <w:rPr>
                <w:rFonts w:eastAsia="Times New Roman" w:cs="Times New Roman"/>
                <w:bCs/>
                <w:sz w:val="18"/>
                <w:szCs w:val="18"/>
                <w:lang w:val="sr-Cyrl-CS"/>
              </w:rPr>
              <w:t xml:space="preserve"> Постићи више нивое економске продуктивности преко диверсификације, технолошких унапређења и иновација</w:t>
            </w:r>
          </w:p>
          <w:p w14:paraId="02C2F741" w14:textId="77777777" w:rsidR="00C57EAF" w:rsidRPr="00092ED7" w:rsidRDefault="00C57EAF" w:rsidP="00C57EAF">
            <w:pPr>
              <w:spacing w:after="60"/>
              <w:jc w:val="left"/>
              <w:rPr>
                <w:rFonts w:eastAsia="Times New Roman" w:cs="Times New Roman"/>
                <w:bCs/>
                <w:sz w:val="18"/>
                <w:szCs w:val="18"/>
                <w:lang w:val="sr-Cyrl-CS"/>
              </w:rPr>
            </w:pPr>
            <w:r w:rsidRPr="00092ED7">
              <w:rPr>
                <w:rFonts w:eastAsia="Times New Roman" w:cs="Times New Roman"/>
                <w:b/>
                <w:bCs/>
                <w:sz w:val="18"/>
                <w:szCs w:val="18"/>
                <w:lang w:val="sr-Cyrl-CS"/>
              </w:rPr>
              <w:t>ЦОР 8.3.</w:t>
            </w:r>
            <w:r w:rsidRPr="00092ED7">
              <w:rPr>
                <w:rFonts w:eastAsia="Times New Roman" w:cs="Times New Roman"/>
                <w:bCs/>
                <w:sz w:val="18"/>
                <w:szCs w:val="18"/>
                <w:lang w:val="sr-Cyrl-CS"/>
              </w:rPr>
              <w:t xml:space="preserve"> Промовисати развојно оријентисане политике које подржавају производне активности, стварaње пристојних послова, предузетништво, креативност и иновативност и подстицати формално оснивање и раст микропредузећа, односно малих и средњих предузећа, између осталог и кроз приступ финансијским услугама</w:t>
            </w:r>
          </w:p>
          <w:p w14:paraId="0C94395B" w14:textId="77777777" w:rsidR="00C57EAF" w:rsidRPr="00092ED7" w:rsidRDefault="00C57EAF" w:rsidP="00C57EAF">
            <w:pPr>
              <w:spacing w:after="60"/>
              <w:jc w:val="left"/>
              <w:rPr>
                <w:rFonts w:eastAsia="Times New Roman" w:cs="Times New Roman"/>
                <w:bCs/>
                <w:sz w:val="18"/>
                <w:szCs w:val="18"/>
                <w:lang w:val="sr-Cyrl-CS"/>
              </w:rPr>
            </w:pPr>
            <w:r w:rsidRPr="00092ED7">
              <w:rPr>
                <w:rFonts w:eastAsia="Times New Roman" w:cs="Times New Roman"/>
                <w:b/>
                <w:bCs/>
                <w:sz w:val="18"/>
                <w:szCs w:val="18"/>
                <w:lang w:val="sr-Cyrl-CS"/>
              </w:rPr>
              <w:t>ЦОР 8.5.</w:t>
            </w:r>
            <w:r w:rsidRPr="00092ED7">
              <w:rPr>
                <w:rFonts w:eastAsia="Times New Roman" w:cs="Times New Roman"/>
                <w:bCs/>
                <w:sz w:val="18"/>
                <w:szCs w:val="18"/>
                <w:lang w:val="sr-Cyrl-CS"/>
              </w:rPr>
              <w:t xml:space="preserve"> Пуна и продуктивна запосленост и достојанствен рад за све жене и мушкарце </w:t>
            </w:r>
          </w:p>
          <w:p w14:paraId="2D690924" w14:textId="77777777" w:rsidR="00C57EAF" w:rsidRPr="00092ED7" w:rsidRDefault="00C57EAF" w:rsidP="00C57EAF">
            <w:pPr>
              <w:spacing w:after="60"/>
              <w:jc w:val="left"/>
              <w:rPr>
                <w:rFonts w:eastAsia="Times New Roman" w:cs="Times New Roman"/>
                <w:bCs/>
                <w:sz w:val="18"/>
                <w:szCs w:val="18"/>
                <w:lang w:val="sr-Cyrl-CS"/>
              </w:rPr>
            </w:pPr>
            <w:r w:rsidRPr="00092ED7">
              <w:rPr>
                <w:rFonts w:eastAsia="Times New Roman" w:cs="Times New Roman"/>
                <w:b/>
                <w:bCs/>
                <w:sz w:val="18"/>
                <w:szCs w:val="18"/>
                <w:lang w:val="sr-Cyrl-CS"/>
              </w:rPr>
              <w:t>ЦОР 9.3.</w:t>
            </w:r>
            <w:r w:rsidRPr="00092ED7">
              <w:rPr>
                <w:rFonts w:eastAsia="Times New Roman" w:cs="Times New Roman"/>
                <w:bCs/>
                <w:sz w:val="18"/>
                <w:szCs w:val="18"/>
                <w:lang w:val="sr-Cyrl-CS"/>
              </w:rPr>
              <w:t xml:space="preserve"> Повећати приступ малих индустријских и </w:t>
            </w:r>
            <w:r w:rsidRPr="00092ED7">
              <w:rPr>
                <w:rFonts w:eastAsia="Times New Roman" w:cs="Times New Roman"/>
                <w:bCs/>
                <w:sz w:val="18"/>
                <w:szCs w:val="18"/>
                <w:lang w:val="sr-Cyrl-CS"/>
              </w:rPr>
              <w:lastRenderedPageBreak/>
              <w:t>осталих предузећа финансијским услугама и повећати њихову интеграцију у ланце вредности и у тржишта</w:t>
            </w:r>
          </w:p>
        </w:tc>
        <w:tc>
          <w:tcPr>
            <w:tcW w:w="2409" w:type="dxa"/>
            <w:tcBorders>
              <w:top w:val="single" w:sz="6" w:space="0" w:color="000000"/>
              <w:left w:val="single" w:sz="6" w:space="0" w:color="000000"/>
              <w:bottom w:val="single" w:sz="6" w:space="0" w:color="000000"/>
              <w:right w:val="single" w:sz="6" w:space="0" w:color="000000"/>
            </w:tcBorders>
          </w:tcPr>
          <w:p w14:paraId="31907393" w14:textId="77777777" w:rsidR="00C57EAF" w:rsidRPr="00092ED7" w:rsidRDefault="00C57EAF" w:rsidP="00C57EAF">
            <w:pPr>
              <w:spacing w:after="60"/>
              <w:jc w:val="left"/>
              <w:rPr>
                <w:rFonts w:eastAsia="Times New Roman" w:cs="Times New Roman"/>
                <w:b/>
                <w:iCs/>
                <w:sz w:val="18"/>
                <w:szCs w:val="18"/>
                <w:lang w:val="sr-Cyrl-CS"/>
              </w:rPr>
            </w:pPr>
            <w:r w:rsidRPr="00092ED7">
              <w:rPr>
                <w:rFonts w:eastAsia="Times New Roman" w:cs="Times New Roman"/>
                <w:iCs/>
                <w:sz w:val="18"/>
                <w:szCs w:val="18"/>
                <w:lang w:val="sr-Cyrl-CS"/>
              </w:rPr>
              <w:lastRenderedPageBreak/>
              <w:t xml:space="preserve">Индиректан утицај на </w:t>
            </w:r>
            <w:r w:rsidRPr="00092ED7">
              <w:rPr>
                <w:rFonts w:eastAsia="Times New Roman" w:cs="Times New Roman"/>
                <w:b/>
                <w:iCs/>
                <w:sz w:val="18"/>
                <w:szCs w:val="18"/>
                <w:lang w:val="sr-Cyrl-CS"/>
              </w:rPr>
              <w:t xml:space="preserve">области мобилисање истраживања и подстицање иновација и зелене финансије и улагање у оквиру Европског Зеленог договора. </w:t>
            </w:r>
          </w:p>
          <w:p w14:paraId="0DAEA044" w14:textId="77777777" w:rsidR="00C57EAF" w:rsidRPr="00092ED7" w:rsidRDefault="00C57EAF" w:rsidP="00C57EAF">
            <w:pPr>
              <w:spacing w:after="60"/>
              <w:jc w:val="left"/>
              <w:rPr>
                <w:rFonts w:eastAsia="Times New Roman" w:cs="Times New Roman"/>
                <w:i/>
                <w:iCs/>
                <w:sz w:val="18"/>
                <w:szCs w:val="18"/>
                <w:lang w:val="sr-Cyrl-CS"/>
              </w:rPr>
            </w:pPr>
            <w:r w:rsidRPr="00092ED7">
              <w:rPr>
                <w:rFonts w:eastAsia="Times New Roman" w:cs="Times New Roman"/>
                <w:i/>
                <w:iCs/>
                <w:sz w:val="18"/>
                <w:szCs w:val="18"/>
                <w:lang w:val="sr-Cyrl-CS"/>
              </w:rPr>
              <w:t xml:space="preserve">Јачањем стартап пословног окружења кроз подстицајне мере стварају се услови за развој технологија и иновација које би могле допринети очувању животне средине и климе. </w:t>
            </w:r>
          </w:p>
        </w:tc>
        <w:tc>
          <w:tcPr>
            <w:tcW w:w="1843" w:type="dxa"/>
            <w:tcBorders>
              <w:top w:val="single" w:sz="6" w:space="0" w:color="000000"/>
              <w:left w:val="single" w:sz="6" w:space="0" w:color="000000"/>
              <w:bottom w:val="single" w:sz="6" w:space="0" w:color="000000"/>
              <w:right w:val="single" w:sz="6" w:space="0" w:color="000000"/>
            </w:tcBorders>
          </w:tcPr>
          <w:p w14:paraId="7F4701F7" w14:textId="77777777" w:rsidR="00C57EAF" w:rsidRPr="00092ED7" w:rsidRDefault="00C57EAF" w:rsidP="00C57EAF">
            <w:pPr>
              <w:spacing w:after="60"/>
              <w:jc w:val="left"/>
              <w:rPr>
                <w:rFonts w:eastAsia="Times New Roman" w:cs="Times New Roman"/>
                <w:b/>
                <w:bCs/>
                <w:iCs/>
                <w:sz w:val="18"/>
                <w:szCs w:val="18"/>
                <w:lang w:val="sr-Cyrl-CS"/>
              </w:rPr>
            </w:pPr>
            <w:r w:rsidRPr="00092ED7">
              <w:rPr>
                <w:rFonts w:eastAsia="Times New Roman" w:cs="Times New Roman"/>
                <w:b/>
                <w:iCs/>
                <w:sz w:val="18"/>
                <w:szCs w:val="18"/>
                <w:lang w:val="sr-Cyrl-CS"/>
              </w:rPr>
              <w:t xml:space="preserve">Поглавље </w:t>
            </w:r>
            <w:r w:rsidRPr="00092ED7">
              <w:rPr>
                <w:rFonts w:eastAsia="Times New Roman" w:cs="Times New Roman"/>
                <w:b/>
                <w:bCs/>
                <w:iCs/>
                <w:sz w:val="18"/>
                <w:szCs w:val="18"/>
                <w:lang w:val="sr-Cyrl-CS"/>
              </w:rPr>
              <w:t>VII Улагање у дигиталну будућност</w:t>
            </w:r>
          </w:p>
          <w:p w14:paraId="62235E32" w14:textId="7218045A" w:rsidR="00C57EAF" w:rsidRPr="00092ED7" w:rsidRDefault="00C57EAF" w:rsidP="00C57EAF">
            <w:pPr>
              <w:spacing w:after="60"/>
              <w:jc w:val="left"/>
              <w:rPr>
                <w:rFonts w:eastAsia="Times New Roman" w:cs="Times New Roman"/>
                <w:bCs/>
                <w:iCs/>
                <w:sz w:val="18"/>
                <w:szCs w:val="18"/>
                <w:lang w:val="sr-Cyrl-CS"/>
              </w:rPr>
            </w:pPr>
            <w:r w:rsidRPr="00092ED7">
              <w:rPr>
                <w:rFonts w:eastAsia="Times New Roman" w:cs="Times New Roman"/>
                <w:bCs/>
                <w:iCs/>
                <w:sz w:val="18"/>
                <w:szCs w:val="18"/>
                <w:lang w:val="sr-Cyrl-CS"/>
              </w:rPr>
              <w:t>- Подршка дигиталним „стартап</w:t>
            </w:r>
            <w:r w:rsidR="0084238D" w:rsidRPr="00092ED7">
              <w:rPr>
                <w:rFonts w:cs="Times New Roman"/>
                <w:sz w:val="18"/>
                <w:szCs w:val="18"/>
                <w:lang w:val="sr-Cyrl-CS"/>
              </w:rPr>
              <w:t>”</w:t>
            </w:r>
            <w:r w:rsidRPr="00092ED7">
              <w:rPr>
                <w:rFonts w:eastAsia="Times New Roman" w:cs="Times New Roman"/>
                <w:bCs/>
                <w:iCs/>
                <w:sz w:val="18"/>
                <w:szCs w:val="18"/>
                <w:lang w:val="sr-Cyrl-CS"/>
              </w:rPr>
              <w:t xml:space="preserve"> и „скејлап</w:t>
            </w:r>
            <w:r w:rsidR="0084238D" w:rsidRPr="00092ED7">
              <w:rPr>
                <w:rFonts w:cs="Times New Roman"/>
                <w:sz w:val="18"/>
                <w:szCs w:val="18"/>
                <w:lang w:val="sr-Cyrl-CS"/>
              </w:rPr>
              <w:t>”</w:t>
            </w:r>
            <w:r w:rsidRPr="00092ED7">
              <w:rPr>
                <w:rFonts w:eastAsia="Times New Roman" w:cs="Times New Roman"/>
                <w:bCs/>
                <w:iCs/>
                <w:sz w:val="18"/>
                <w:szCs w:val="18"/>
                <w:lang w:val="sr-Cyrl-CS"/>
              </w:rPr>
              <w:t xml:space="preserve"> предузећима и развоју дигиталних вештина.</w:t>
            </w:r>
          </w:p>
          <w:p w14:paraId="01E19755" w14:textId="77777777" w:rsidR="00C57EAF" w:rsidRPr="00092ED7" w:rsidRDefault="00C57EAF" w:rsidP="00C57EAF">
            <w:pPr>
              <w:spacing w:after="60"/>
              <w:jc w:val="left"/>
              <w:rPr>
                <w:rFonts w:eastAsia="Times New Roman" w:cs="Times New Roman"/>
                <w:b/>
                <w:bCs/>
                <w:iCs/>
                <w:sz w:val="18"/>
                <w:szCs w:val="18"/>
                <w:lang w:val="sr-Cyrl-CS"/>
              </w:rPr>
            </w:pPr>
            <w:r w:rsidRPr="00092ED7">
              <w:rPr>
                <w:rFonts w:eastAsia="Times New Roman" w:cs="Times New Roman"/>
                <w:b/>
                <w:bCs/>
                <w:iCs/>
                <w:sz w:val="18"/>
                <w:szCs w:val="18"/>
                <w:lang w:val="sr-Cyrl-CS"/>
              </w:rPr>
              <w:t>Поглавље VIII Подстицање приватног сектора</w:t>
            </w:r>
          </w:p>
          <w:p w14:paraId="46775253" w14:textId="2B08DBB4" w:rsidR="00C57EAF" w:rsidRPr="00092ED7" w:rsidRDefault="00C57EAF" w:rsidP="00C57EAF">
            <w:pPr>
              <w:spacing w:after="60"/>
              <w:jc w:val="left"/>
              <w:rPr>
                <w:rFonts w:eastAsia="Times New Roman" w:cs="Times New Roman"/>
                <w:bCs/>
                <w:iCs/>
                <w:sz w:val="18"/>
                <w:szCs w:val="18"/>
                <w:lang w:val="sr-Cyrl-CS"/>
              </w:rPr>
            </w:pPr>
            <w:r w:rsidRPr="00092ED7">
              <w:rPr>
                <w:rFonts w:eastAsia="Times New Roman" w:cs="Times New Roman"/>
                <w:bCs/>
                <w:iCs/>
                <w:sz w:val="18"/>
                <w:szCs w:val="18"/>
                <w:lang w:val="sr-Cyrl-CS"/>
              </w:rPr>
              <w:t>- Јачање конкурентности МСП кроз инвестиције за подршку „стартап</w:t>
            </w:r>
            <w:r w:rsidR="0024684B" w:rsidRPr="00092ED7">
              <w:rPr>
                <w:rFonts w:cs="Times New Roman"/>
                <w:sz w:val="18"/>
                <w:szCs w:val="18"/>
                <w:lang w:val="sr-Cyrl-CS"/>
              </w:rPr>
              <w:t>”</w:t>
            </w:r>
            <w:r w:rsidRPr="00092ED7">
              <w:rPr>
                <w:rFonts w:eastAsia="Times New Roman" w:cs="Times New Roman"/>
                <w:bCs/>
                <w:iCs/>
                <w:sz w:val="18"/>
                <w:szCs w:val="18"/>
                <w:lang w:val="sr-Cyrl-CS"/>
              </w:rPr>
              <w:t xml:space="preserve"> предузећима и иновативним предузећима у фази раста („скејлап</w:t>
            </w:r>
            <w:r w:rsidR="0024684B" w:rsidRPr="00092ED7">
              <w:rPr>
                <w:rFonts w:cs="Times New Roman"/>
                <w:sz w:val="18"/>
                <w:szCs w:val="18"/>
                <w:lang w:val="sr-Cyrl-CS"/>
              </w:rPr>
              <w:t>”</w:t>
            </w:r>
            <w:r w:rsidRPr="00092ED7">
              <w:rPr>
                <w:rFonts w:eastAsia="Times New Roman" w:cs="Times New Roman"/>
                <w:bCs/>
                <w:iCs/>
                <w:sz w:val="18"/>
                <w:szCs w:val="18"/>
                <w:lang w:val="sr-Cyrl-CS"/>
              </w:rPr>
              <w:t xml:space="preserve">) </w:t>
            </w:r>
          </w:p>
        </w:tc>
        <w:tc>
          <w:tcPr>
            <w:tcW w:w="1559" w:type="dxa"/>
            <w:tcBorders>
              <w:top w:val="single" w:sz="6" w:space="0" w:color="000000"/>
              <w:left w:val="single" w:sz="6" w:space="0" w:color="000000"/>
              <w:bottom w:val="single" w:sz="6" w:space="0" w:color="000000"/>
              <w:right w:val="single" w:sz="6" w:space="0" w:color="000000"/>
            </w:tcBorders>
          </w:tcPr>
          <w:p w14:paraId="6A9E07B4" w14:textId="77777777" w:rsidR="00BC7FFA" w:rsidRPr="00092ED7" w:rsidRDefault="00BC7FFA" w:rsidP="00C57EAF">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ИПА 2018</w:t>
            </w:r>
          </w:p>
          <w:p w14:paraId="4B9A7528" w14:textId="77777777" w:rsidR="00BC7FFA" w:rsidRPr="00092ED7" w:rsidRDefault="00BC7FFA" w:rsidP="00C57EAF">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ИПА 2019</w:t>
            </w:r>
          </w:p>
          <w:p w14:paraId="7F8D6787" w14:textId="77777777" w:rsidR="00C57EAF" w:rsidRPr="00092ED7" w:rsidRDefault="00BC7FFA" w:rsidP="00BC7FFA">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Фонд за иновациону делатност</w:t>
            </w:r>
          </w:p>
        </w:tc>
      </w:tr>
      <w:tr w:rsidR="00C57EAF" w:rsidRPr="00092ED7" w14:paraId="46F48B18" w14:textId="77777777" w:rsidTr="00C57EAF">
        <w:trPr>
          <w:trHeight w:val="527"/>
        </w:trPr>
        <w:tc>
          <w:tcPr>
            <w:tcW w:w="1635" w:type="dxa"/>
            <w:tcBorders>
              <w:top w:val="single" w:sz="6" w:space="0" w:color="000000"/>
              <w:left w:val="single" w:sz="6" w:space="0" w:color="000000"/>
              <w:bottom w:val="single" w:sz="6" w:space="0" w:color="000000"/>
              <w:right w:val="single" w:sz="6" w:space="0" w:color="000000"/>
            </w:tcBorders>
          </w:tcPr>
          <w:p w14:paraId="49A808E0" w14:textId="77777777" w:rsidR="00C57EAF" w:rsidRPr="00092ED7" w:rsidRDefault="00C57EAF" w:rsidP="00C57EAF">
            <w:pPr>
              <w:spacing w:after="60"/>
              <w:jc w:val="left"/>
              <w:rPr>
                <w:rFonts w:eastAsia="Times New Roman" w:cs="Times New Roman"/>
                <w:b/>
                <w:bCs/>
                <w:sz w:val="20"/>
                <w:szCs w:val="20"/>
                <w:lang w:val="sr-Cyrl-CS"/>
              </w:rPr>
            </w:pPr>
            <w:r w:rsidRPr="00092ED7">
              <w:rPr>
                <w:rFonts w:eastAsia="Times New Roman" w:cs="Times New Roman"/>
                <w:b/>
                <w:bCs/>
                <w:sz w:val="20"/>
                <w:szCs w:val="20"/>
                <w:lang w:val="sr-Cyrl-CS"/>
              </w:rPr>
              <w:t>СР 17. Стварање услова за развој бионаука и биоекономије кроз изградњу БИО4 Кампуса</w:t>
            </w:r>
          </w:p>
        </w:tc>
        <w:tc>
          <w:tcPr>
            <w:tcW w:w="1498" w:type="dxa"/>
            <w:tcBorders>
              <w:top w:val="single" w:sz="6" w:space="0" w:color="000000"/>
              <w:left w:val="single" w:sz="6" w:space="0" w:color="000000"/>
              <w:bottom w:val="single" w:sz="6" w:space="0" w:color="000000"/>
              <w:right w:val="single" w:sz="6" w:space="0" w:color="000000"/>
            </w:tcBorders>
          </w:tcPr>
          <w:p w14:paraId="4E6948B9" w14:textId="77777777" w:rsidR="00C57EAF" w:rsidRPr="00092ED7" w:rsidRDefault="00C57EAF" w:rsidP="00C57EAF">
            <w:pPr>
              <w:spacing w:after="60"/>
              <w:jc w:val="left"/>
              <w:rPr>
                <w:rFonts w:eastAsia="Times New Roman" w:cs="Times New Roman"/>
                <w:iCs/>
                <w:sz w:val="18"/>
                <w:szCs w:val="18"/>
                <w:lang w:val="sr-Cyrl-CS"/>
              </w:rPr>
            </w:pPr>
          </w:p>
        </w:tc>
        <w:tc>
          <w:tcPr>
            <w:tcW w:w="1750" w:type="dxa"/>
            <w:tcBorders>
              <w:top w:val="single" w:sz="6" w:space="0" w:color="000000"/>
              <w:left w:val="single" w:sz="6" w:space="0" w:color="000000"/>
              <w:bottom w:val="single" w:sz="6" w:space="0" w:color="000000"/>
              <w:right w:val="single" w:sz="6" w:space="0" w:color="000000"/>
            </w:tcBorders>
          </w:tcPr>
          <w:p w14:paraId="3817C8C2" w14:textId="77777777" w:rsidR="00C57EAF" w:rsidRPr="00092ED7" w:rsidRDefault="00C57EAF" w:rsidP="00C57EAF">
            <w:pPr>
              <w:spacing w:after="60"/>
              <w:jc w:val="left"/>
              <w:rPr>
                <w:rFonts w:eastAsia="Times New Roman" w:cs="Times New Roman"/>
                <w:iCs/>
                <w:sz w:val="18"/>
                <w:szCs w:val="18"/>
                <w:lang w:val="sr-Cyrl-CS"/>
              </w:rPr>
            </w:pPr>
          </w:p>
        </w:tc>
        <w:tc>
          <w:tcPr>
            <w:tcW w:w="2015" w:type="dxa"/>
            <w:tcBorders>
              <w:top w:val="single" w:sz="6" w:space="0" w:color="000000"/>
              <w:left w:val="single" w:sz="6" w:space="0" w:color="000000"/>
              <w:bottom w:val="single" w:sz="6" w:space="0" w:color="000000"/>
              <w:right w:val="single" w:sz="6" w:space="0" w:color="000000"/>
            </w:tcBorders>
          </w:tcPr>
          <w:p w14:paraId="037D955E" w14:textId="77777777"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 Подстицање интензивније сарадње између индустрије и академских кругова, у складу са националном стратешким оквиром</w:t>
            </w:r>
          </w:p>
        </w:tc>
        <w:tc>
          <w:tcPr>
            <w:tcW w:w="1932" w:type="dxa"/>
            <w:tcBorders>
              <w:top w:val="single" w:sz="6" w:space="0" w:color="000000"/>
              <w:left w:val="single" w:sz="6" w:space="0" w:color="000000"/>
              <w:bottom w:val="single" w:sz="6" w:space="0" w:color="000000"/>
              <w:right w:val="single" w:sz="6" w:space="0" w:color="000000"/>
            </w:tcBorders>
          </w:tcPr>
          <w:p w14:paraId="03D7F74B" w14:textId="77777777" w:rsidR="00C57EAF" w:rsidRPr="00092ED7" w:rsidRDefault="00C57EAF" w:rsidP="00C57EAF">
            <w:pPr>
              <w:spacing w:after="60"/>
              <w:jc w:val="left"/>
              <w:rPr>
                <w:rFonts w:eastAsia="Times New Roman" w:cs="Times New Roman"/>
                <w:bCs/>
                <w:sz w:val="18"/>
                <w:szCs w:val="18"/>
                <w:lang w:val="sr-Cyrl-CS"/>
              </w:rPr>
            </w:pPr>
            <w:r w:rsidRPr="00092ED7">
              <w:rPr>
                <w:rFonts w:eastAsia="Times New Roman" w:cs="Times New Roman"/>
                <w:b/>
                <w:bCs/>
                <w:sz w:val="18"/>
                <w:szCs w:val="18"/>
                <w:lang w:val="sr-Cyrl-CS"/>
              </w:rPr>
              <w:t>ЦОР 8.2.</w:t>
            </w:r>
            <w:r w:rsidRPr="00092ED7">
              <w:rPr>
                <w:rFonts w:eastAsia="Times New Roman" w:cs="Times New Roman"/>
                <w:bCs/>
                <w:sz w:val="18"/>
                <w:szCs w:val="18"/>
                <w:lang w:val="sr-Cyrl-CS"/>
              </w:rPr>
              <w:t xml:space="preserve"> Постићи више нивое економске продуктивности преко диверсификације, технолошких унапређења и иновација</w:t>
            </w:r>
          </w:p>
          <w:p w14:paraId="0F3697F2" w14:textId="77777777" w:rsidR="00C57EAF" w:rsidRPr="00092ED7" w:rsidRDefault="00C57EAF" w:rsidP="00C57EAF">
            <w:pPr>
              <w:spacing w:after="60"/>
              <w:jc w:val="left"/>
              <w:rPr>
                <w:rFonts w:eastAsia="Times New Roman" w:cs="Times New Roman"/>
                <w:bCs/>
                <w:sz w:val="18"/>
                <w:szCs w:val="18"/>
                <w:lang w:val="sr-Cyrl-CS"/>
              </w:rPr>
            </w:pPr>
            <w:r w:rsidRPr="00092ED7">
              <w:rPr>
                <w:rFonts w:eastAsia="Times New Roman" w:cs="Times New Roman"/>
                <w:b/>
                <w:bCs/>
                <w:sz w:val="18"/>
                <w:szCs w:val="18"/>
                <w:lang w:val="sr-Cyrl-CS"/>
              </w:rPr>
              <w:t>ЦОР 8.3.</w:t>
            </w:r>
            <w:r w:rsidRPr="00092ED7">
              <w:rPr>
                <w:rFonts w:eastAsia="Times New Roman" w:cs="Times New Roman"/>
                <w:bCs/>
                <w:sz w:val="18"/>
                <w:szCs w:val="18"/>
                <w:lang w:val="sr-Cyrl-CS"/>
              </w:rPr>
              <w:t xml:space="preserve"> Промовисати развојно оријентисане политике које подржавају производне активности, стварaње пристојних послова, предузетништво, креативност и иновативност и подстицати формално оснивање и раст микропредузећа, односно малих и средњих предузећа, између осталог и кроз приступ финансијским услугама</w:t>
            </w:r>
          </w:p>
          <w:p w14:paraId="3C6FCC05" w14:textId="77777777" w:rsidR="00C57EAF" w:rsidRPr="00092ED7" w:rsidRDefault="00C57EAF" w:rsidP="00C57EAF">
            <w:pPr>
              <w:spacing w:after="60"/>
              <w:jc w:val="left"/>
              <w:rPr>
                <w:rFonts w:eastAsia="Times New Roman" w:cs="Times New Roman"/>
                <w:bCs/>
                <w:sz w:val="18"/>
                <w:szCs w:val="18"/>
                <w:lang w:val="sr-Cyrl-CS"/>
              </w:rPr>
            </w:pPr>
            <w:r w:rsidRPr="00092ED7">
              <w:rPr>
                <w:rFonts w:eastAsia="Times New Roman" w:cs="Times New Roman"/>
                <w:b/>
                <w:bCs/>
                <w:sz w:val="18"/>
                <w:szCs w:val="18"/>
                <w:lang w:val="sr-Cyrl-CS"/>
              </w:rPr>
              <w:t>ЦОР 9.5.</w:t>
            </w:r>
            <w:r w:rsidRPr="00092ED7">
              <w:rPr>
                <w:rFonts w:eastAsia="Times New Roman" w:cs="Times New Roman"/>
                <w:bCs/>
                <w:sz w:val="18"/>
                <w:szCs w:val="18"/>
                <w:lang w:val="sr-Cyrl-CS"/>
              </w:rPr>
              <w:t xml:space="preserve"> Проширити научна истраживања, унапредити технолошке капацитете и подстицати иновације.</w:t>
            </w:r>
          </w:p>
        </w:tc>
        <w:tc>
          <w:tcPr>
            <w:tcW w:w="2409" w:type="dxa"/>
            <w:tcBorders>
              <w:top w:val="single" w:sz="6" w:space="0" w:color="000000"/>
              <w:left w:val="single" w:sz="6" w:space="0" w:color="000000"/>
              <w:bottom w:val="single" w:sz="6" w:space="0" w:color="000000"/>
              <w:right w:val="single" w:sz="6" w:space="0" w:color="000000"/>
            </w:tcBorders>
          </w:tcPr>
          <w:p w14:paraId="27F2C2FF" w14:textId="77777777" w:rsidR="00C57EAF" w:rsidRPr="00092ED7" w:rsidRDefault="00C57EAF" w:rsidP="00C57EAF">
            <w:pPr>
              <w:spacing w:after="60"/>
              <w:jc w:val="left"/>
              <w:rPr>
                <w:rFonts w:eastAsia="Times New Roman" w:cs="Times New Roman"/>
                <w:b/>
                <w:iCs/>
                <w:sz w:val="18"/>
                <w:szCs w:val="18"/>
                <w:lang w:val="sr-Cyrl-CS"/>
              </w:rPr>
            </w:pPr>
            <w:r w:rsidRPr="00092ED7">
              <w:rPr>
                <w:rFonts w:eastAsia="Times New Roman" w:cs="Times New Roman"/>
                <w:iCs/>
                <w:sz w:val="18"/>
                <w:szCs w:val="18"/>
                <w:lang w:val="sr-Cyrl-CS"/>
              </w:rPr>
              <w:t>Директан утицај на циљеве:</w:t>
            </w:r>
          </w:p>
          <w:p w14:paraId="272F68AF" w14:textId="77777777" w:rsidR="00C57EAF" w:rsidRPr="00092ED7" w:rsidRDefault="00C57EAF" w:rsidP="00C57EAF">
            <w:pPr>
              <w:spacing w:after="60"/>
              <w:jc w:val="left"/>
              <w:rPr>
                <w:rFonts w:eastAsia="Times New Roman" w:cs="Times New Roman"/>
                <w:b/>
                <w:iCs/>
                <w:sz w:val="18"/>
                <w:szCs w:val="18"/>
                <w:lang w:val="sr-Cyrl-CS"/>
              </w:rPr>
            </w:pPr>
            <w:r w:rsidRPr="00092ED7">
              <w:rPr>
                <w:rFonts w:eastAsia="Times New Roman" w:cs="Times New Roman"/>
                <w:b/>
                <w:iCs/>
                <w:sz w:val="18"/>
                <w:szCs w:val="18"/>
                <w:lang w:val="sr-Cyrl-CS"/>
              </w:rPr>
              <w:t xml:space="preserve">циљ 35 ЗАЗБ - </w:t>
            </w:r>
            <w:r w:rsidRPr="00092ED7">
              <w:rPr>
                <w:rFonts w:eastAsia="Times New Roman" w:cs="Times New Roman"/>
                <w:iCs/>
                <w:sz w:val="18"/>
                <w:szCs w:val="18"/>
                <w:lang w:val="sr-Cyrl-CS"/>
              </w:rPr>
              <w:t>Даље спровођење Стратегија паметне специјализације, које представљају локацијске планове трансформације за одрживост, утемељене на иновацијама</w:t>
            </w:r>
          </w:p>
          <w:p w14:paraId="60CFD651" w14:textId="77777777" w:rsidR="00C57EAF" w:rsidRPr="00092ED7" w:rsidRDefault="00C57EAF" w:rsidP="00C57EAF">
            <w:pPr>
              <w:spacing w:after="60"/>
              <w:jc w:val="left"/>
              <w:rPr>
                <w:rFonts w:eastAsia="Times New Roman" w:cs="Times New Roman"/>
                <w:b/>
                <w:iCs/>
                <w:sz w:val="18"/>
                <w:szCs w:val="18"/>
                <w:lang w:val="sr-Cyrl-CS"/>
              </w:rPr>
            </w:pPr>
            <w:r w:rsidRPr="00092ED7">
              <w:rPr>
                <w:rFonts w:eastAsia="Times New Roman" w:cs="Times New Roman"/>
                <w:b/>
                <w:iCs/>
                <w:sz w:val="18"/>
                <w:szCs w:val="18"/>
                <w:lang w:val="sr-Cyrl-CS"/>
              </w:rPr>
              <w:t xml:space="preserve">циљ 62 ЗАЗБ - </w:t>
            </w:r>
            <w:r w:rsidRPr="00092ED7">
              <w:rPr>
                <w:rFonts w:eastAsia="Times New Roman" w:cs="Times New Roman"/>
                <w:iCs/>
                <w:sz w:val="18"/>
                <w:szCs w:val="18"/>
                <w:lang w:val="sr-Cyrl-CS"/>
              </w:rPr>
              <w:t>Развити план за специфичне економске и регионалне активности подизања свести у свих пет стубова, укључујући одражавање Зеленог плана за Западни Балкан у реформе образовних система</w:t>
            </w:r>
          </w:p>
          <w:p w14:paraId="205DCBFA" w14:textId="77777777" w:rsidR="00C57EAF" w:rsidRPr="00092ED7" w:rsidRDefault="00C57EAF" w:rsidP="00C57EAF">
            <w:pPr>
              <w:spacing w:after="60"/>
              <w:jc w:val="left"/>
              <w:rPr>
                <w:rFonts w:eastAsia="Times New Roman" w:cs="Times New Roman"/>
                <w:i/>
                <w:iCs/>
                <w:sz w:val="18"/>
                <w:szCs w:val="18"/>
                <w:lang w:val="sr-Cyrl-CS"/>
              </w:rPr>
            </w:pPr>
            <w:r w:rsidRPr="00092ED7">
              <w:rPr>
                <w:rFonts w:eastAsia="Times New Roman" w:cs="Times New Roman"/>
                <w:i/>
                <w:iCs/>
                <w:sz w:val="18"/>
                <w:szCs w:val="18"/>
                <w:lang w:val="sr-Cyrl-CS"/>
              </w:rPr>
              <w:t>Био4 кампус се бави подршком развоју биотехнологије, биомедицине, биоинформатике и биодиверзитета, што директно доприноси изградњи капацитета и ширењу знања у овим областима. Предвиђено је и унапређење повезаности учесника овог кампуса са међународним научним и корпоративним партнерима.</w:t>
            </w:r>
          </w:p>
        </w:tc>
        <w:tc>
          <w:tcPr>
            <w:tcW w:w="1843" w:type="dxa"/>
            <w:tcBorders>
              <w:top w:val="single" w:sz="6" w:space="0" w:color="000000"/>
              <w:left w:val="single" w:sz="6" w:space="0" w:color="000000"/>
              <w:bottom w:val="single" w:sz="6" w:space="0" w:color="000000"/>
              <w:right w:val="single" w:sz="6" w:space="0" w:color="000000"/>
            </w:tcBorders>
          </w:tcPr>
          <w:p w14:paraId="4966F489" w14:textId="77777777" w:rsidR="00C57EAF" w:rsidRPr="00092ED7" w:rsidRDefault="00C57EAF" w:rsidP="00C57EAF">
            <w:pPr>
              <w:spacing w:after="60"/>
              <w:jc w:val="left"/>
              <w:rPr>
                <w:rFonts w:eastAsia="Times New Roman" w:cs="Times New Roman"/>
                <w:b/>
                <w:bCs/>
                <w:iCs/>
                <w:sz w:val="18"/>
                <w:szCs w:val="18"/>
                <w:lang w:val="sr-Cyrl-CS"/>
              </w:rPr>
            </w:pPr>
            <w:r w:rsidRPr="00092ED7">
              <w:rPr>
                <w:rFonts w:eastAsia="Times New Roman" w:cs="Times New Roman"/>
                <w:bCs/>
                <w:iCs/>
                <w:sz w:val="18"/>
                <w:szCs w:val="18"/>
                <w:lang w:val="sr-Cyrl-CS"/>
              </w:rPr>
              <w:t>Агенда иновација за Западни Балкан</w:t>
            </w:r>
          </w:p>
          <w:p w14:paraId="0DC006E3" w14:textId="77777777" w:rsidR="00C57EAF" w:rsidRPr="00092ED7" w:rsidRDefault="00C57EAF" w:rsidP="00C57EAF">
            <w:pPr>
              <w:spacing w:after="60"/>
              <w:jc w:val="left"/>
              <w:rPr>
                <w:rFonts w:eastAsia="Times New Roman" w:cs="Times New Roman"/>
                <w:bCs/>
                <w:iCs/>
                <w:sz w:val="18"/>
                <w:szCs w:val="18"/>
                <w:lang w:val="sr-Cyrl-CS"/>
              </w:rPr>
            </w:pPr>
            <w:r w:rsidRPr="00092ED7">
              <w:rPr>
                <w:rFonts w:eastAsia="Times New Roman" w:cs="Times New Roman"/>
                <w:bCs/>
                <w:iCs/>
                <w:sz w:val="18"/>
                <w:szCs w:val="18"/>
                <w:lang w:val="sr-Cyrl-CS"/>
              </w:rPr>
              <w:t>- Додатно појачати трансфер технологије</w:t>
            </w:r>
            <w:r w:rsidR="0021103E" w:rsidRPr="00092ED7">
              <w:rPr>
                <w:rFonts w:eastAsia="Times New Roman" w:cs="Times New Roman"/>
                <w:bCs/>
                <w:iCs/>
                <w:sz w:val="18"/>
                <w:szCs w:val="18"/>
                <w:lang w:val="sr-Cyrl-CS"/>
              </w:rPr>
              <w:t xml:space="preserve"> </w:t>
            </w:r>
            <w:r w:rsidRPr="00092ED7">
              <w:rPr>
                <w:rFonts w:eastAsia="Times New Roman" w:cs="Times New Roman"/>
                <w:bCs/>
                <w:iCs/>
                <w:sz w:val="18"/>
                <w:szCs w:val="18"/>
                <w:lang w:val="sr-Cyrl-CS"/>
              </w:rPr>
              <w:t>16 и олакшаће приступ најбољој истраживачкој инфраструктури света, центрима знања, центрима компетенција и онлајн платформама, као и приступ напредним рачунарским симулацијама</w:t>
            </w:r>
          </w:p>
          <w:p w14:paraId="1AD4E126" w14:textId="77777777"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bCs/>
                <w:iCs/>
                <w:sz w:val="18"/>
                <w:szCs w:val="18"/>
                <w:lang w:val="sr-Cyrl-CS"/>
              </w:rPr>
              <w:t>-</w:t>
            </w:r>
            <w:r w:rsidRPr="00092ED7">
              <w:rPr>
                <w:rFonts w:eastAsia="Times New Roman" w:cs="Times New Roman"/>
                <w:iCs/>
                <w:sz w:val="18"/>
                <w:szCs w:val="18"/>
                <w:lang w:val="sr-Cyrl-CS"/>
              </w:rPr>
              <w:t xml:space="preserve"> Промовисање отворене науке и најсавременије истраживачке инфраструктуре</w:t>
            </w:r>
          </w:p>
        </w:tc>
        <w:tc>
          <w:tcPr>
            <w:tcW w:w="1559" w:type="dxa"/>
            <w:tcBorders>
              <w:top w:val="single" w:sz="6" w:space="0" w:color="000000"/>
              <w:left w:val="single" w:sz="6" w:space="0" w:color="000000"/>
              <w:bottom w:val="single" w:sz="6" w:space="0" w:color="000000"/>
              <w:right w:val="single" w:sz="6" w:space="0" w:color="000000"/>
            </w:tcBorders>
          </w:tcPr>
          <w:p w14:paraId="73CE287F" w14:textId="77777777"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w:t>
            </w:r>
          </w:p>
        </w:tc>
      </w:tr>
      <w:tr w:rsidR="00C57EAF" w:rsidRPr="00092ED7" w14:paraId="4BBFF1D0" w14:textId="77777777" w:rsidTr="00F50B50">
        <w:trPr>
          <w:trHeight w:val="836"/>
        </w:trPr>
        <w:tc>
          <w:tcPr>
            <w:tcW w:w="1635" w:type="dxa"/>
            <w:tcBorders>
              <w:top w:val="single" w:sz="6" w:space="0" w:color="000000"/>
              <w:left w:val="single" w:sz="6" w:space="0" w:color="000000"/>
              <w:bottom w:val="single" w:sz="6" w:space="0" w:color="000000"/>
              <w:right w:val="single" w:sz="6" w:space="0" w:color="000000"/>
            </w:tcBorders>
          </w:tcPr>
          <w:p w14:paraId="2E88F468" w14:textId="77777777" w:rsidR="00C57EAF" w:rsidRPr="00092ED7" w:rsidRDefault="00C57EAF" w:rsidP="00C57EAF">
            <w:pPr>
              <w:spacing w:after="60"/>
              <w:jc w:val="left"/>
              <w:rPr>
                <w:rFonts w:eastAsia="Times New Roman" w:cs="Times New Roman"/>
                <w:b/>
                <w:bCs/>
                <w:sz w:val="20"/>
                <w:szCs w:val="20"/>
                <w:lang w:val="sr-Cyrl-CS"/>
              </w:rPr>
            </w:pPr>
            <w:r w:rsidRPr="00092ED7">
              <w:rPr>
                <w:rFonts w:eastAsia="Times New Roman" w:cs="Times New Roman"/>
                <w:b/>
                <w:bCs/>
                <w:sz w:val="20"/>
                <w:szCs w:val="20"/>
                <w:lang w:val="sr-Cyrl-CS"/>
              </w:rPr>
              <w:lastRenderedPageBreak/>
              <w:t>СР 18. Унапређење услова и уклањање препрека трговини</w:t>
            </w:r>
          </w:p>
        </w:tc>
        <w:tc>
          <w:tcPr>
            <w:tcW w:w="1498" w:type="dxa"/>
            <w:tcBorders>
              <w:top w:val="single" w:sz="6" w:space="0" w:color="000000"/>
              <w:left w:val="single" w:sz="6" w:space="0" w:color="000000"/>
              <w:bottom w:val="single" w:sz="6" w:space="0" w:color="000000"/>
              <w:right w:val="single" w:sz="6" w:space="0" w:color="000000"/>
            </w:tcBorders>
          </w:tcPr>
          <w:p w14:paraId="571507B5" w14:textId="77777777" w:rsidR="00C57EAF" w:rsidRPr="00092ED7" w:rsidRDefault="00C57EAF" w:rsidP="00C57EAF">
            <w:pPr>
              <w:spacing w:after="60"/>
              <w:jc w:val="left"/>
              <w:rPr>
                <w:rFonts w:eastAsia="Times New Roman" w:cs="Times New Roman"/>
                <w:iCs/>
                <w:sz w:val="18"/>
                <w:szCs w:val="18"/>
                <w:lang w:val="sr-Cyrl-CS"/>
              </w:rPr>
            </w:pPr>
          </w:p>
        </w:tc>
        <w:tc>
          <w:tcPr>
            <w:tcW w:w="1750" w:type="dxa"/>
            <w:tcBorders>
              <w:top w:val="single" w:sz="6" w:space="0" w:color="000000"/>
              <w:left w:val="single" w:sz="6" w:space="0" w:color="000000"/>
              <w:bottom w:val="single" w:sz="6" w:space="0" w:color="000000"/>
              <w:right w:val="single" w:sz="6" w:space="0" w:color="000000"/>
            </w:tcBorders>
          </w:tcPr>
          <w:p w14:paraId="5CD580FF" w14:textId="77777777" w:rsidR="00C57EAF" w:rsidRPr="00092ED7" w:rsidRDefault="00C57EAF" w:rsidP="00C57EAF">
            <w:pPr>
              <w:spacing w:after="60"/>
              <w:jc w:val="left"/>
              <w:rPr>
                <w:rFonts w:eastAsia="Times New Roman" w:cs="Times New Roman"/>
                <w:iCs/>
                <w:sz w:val="18"/>
                <w:szCs w:val="18"/>
                <w:lang w:val="sr-Cyrl-CS"/>
              </w:rPr>
            </w:pPr>
          </w:p>
        </w:tc>
        <w:tc>
          <w:tcPr>
            <w:tcW w:w="2015" w:type="dxa"/>
            <w:tcBorders>
              <w:top w:val="single" w:sz="6" w:space="0" w:color="000000"/>
              <w:left w:val="single" w:sz="6" w:space="0" w:color="000000"/>
              <w:bottom w:val="single" w:sz="6" w:space="0" w:color="000000"/>
              <w:right w:val="single" w:sz="6" w:space="0" w:color="000000"/>
            </w:tcBorders>
          </w:tcPr>
          <w:p w14:paraId="05C2931A" w14:textId="77777777"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 Финализирати приступање СТО, између осталог усвајањем Закона о генетички модификованим организмима који је у складу са СТО и окончањем преосталих билатералних преговора о приступу тржишту</w:t>
            </w:r>
          </w:p>
          <w:p w14:paraId="14920578" w14:textId="77777777"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 Наставити са спровођењем активности дефинисаних у оквиру Акционог плана за заједничко регионално тржиште 2021-2024</w:t>
            </w:r>
          </w:p>
          <w:p w14:paraId="40E888D6" w14:textId="77777777"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 Обезбедити усвајање ЦЕФТА Додатног протокола 7 о решавању спорова.</w:t>
            </w:r>
          </w:p>
        </w:tc>
        <w:tc>
          <w:tcPr>
            <w:tcW w:w="1932" w:type="dxa"/>
            <w:tcBorders>
              <w:top w:val="single" w:sz="6" w:space="0" w:color="000000"/>
              <w:left w:val="single" w:sz="6" w:space="0" w:color="000000"/>
              <w:bottom w:val="single" w:sz="6" w:space="0" w:color="000000"/>
              <w:right w:val="single" w:sz="6" w:space="0" w:color="000000"/>
            </w:tcBorders>
          </w:tcPr>
          <w:p w14:paraId="33D65515" w14:textId="435B65EA" w:rsidR="00C57EAF" w:rsidRPr="00092ED7" w:rsidRDefault="00C57EAF" w:rsidP="00C57EAF">
            <w:pPr>
              <w:spacing w:after="60"/>
              <w:jc w:val="left"/>
              <w:rPr>
                <w:rFonts w:eastAsia="Times New Roman" w:cs="Times New Roman"/>
                <w:bCs/>
                <w:sz w:val="18"/>
                <w:szCs w:val="18"/>
                <w:lang w:val="sr-Cyrl-CS"/>
              </w:rPr>
            </w:pPr>
            <w:r w:rsidRPr="00092ED7">
              <w:rPr>
                <w:rFonts w:eastAsia="Times New Roman" w:cs="Times New Roman"/>
                <w:b/>
                <w:bCs/>
                <w:sz w:val="18"/>
                <w:szCs w:val="18"/>
                <w:lang w:val="sr-Cyrl-CS"/>
              </w:rPr>
              <w:t>ЦОР 17.10.</w:t>
            </w:r>
            <w:r w:rsidRPr="00092ED7">
              <w:rPr>
                <w:rFonts w:eastAsia="Times New Roman" w:cs="Times New Roman"/>
                <w:bCs/>
                <w:sz w:val="18"/>
                <w:szCs w:val="18"/>
                <w:lang w:val="sr-Cyrl-CS"/>
              </w:rPr>
              <w:t xml:space="preserve"> Промовисати универзални, заснован на правилима, отворен, недискриминаторан и правичан мултилатерални систем размене под окриљем </w:t>
            </w:r>
            <w:r w:rsidR="0001548A" w:rsidRPr="00092ED7">
              <w:rPr>
                <w:rFonts w:eastAsia="Times New Roman" w:cs="Times New Roman"/>
                <w:bCs/>
                <w:sz w:val="18"/>
                <w:szCs w:val="18"/>
                <w:lang w:val="sr-Cyrl-CS"/>
              </w:rPr>
              <w:t>СТО</w:t>
            </w:r>
            <w:r w:rsidRPr="00092ED7">
              <w:rPr>
                <w:rFonts w:eastAsia="Times New Roman" w:cs="Times New Roman"/>
                <w:bCs/>
                <w:sz w:val="18"/>
                <w:szCs w:val="18"/>
                <w:lang w:val="sr-Cyrl-CS"/>
              </w:rPr>
              <w:t>, између осталог и преко закључивања преговора у оквиру „Развојне агенде из Дохе</w:t>
            </w:r>
            <w:r w:rsidR="007D7305" w:rsidRPr="00092ED7">
              <w:rPr>
                <w:rFonts w:cs="Times New Roman"/>
                <w:sz w:val="18"/>
                <w:szCs w:val="18"/>
                <w:lang w:val="sr-Cyrl-CS"/>
              </w:rPr>
              <w:t>”</w:t>
            </w:r>
          </w:p>
          <w:p w14:paraId="408ACA37" w14:textId="77777777" w:rsidR="00C57EAF" w:rsidRPr="00092ED7" w:rsidRDefault="00C57EAF" w:rsidP="00C57EAF">
            <w:pPr>
              <w:spacing w:after="60"/>
              <w:jc w:val="left"/>
              <w:rPr>
                <w:rFonts w:eastAsia="Times New Roman" w:cs="Times New Roman"/>
                <w:bCs/>
                <w:sz w:val="18"/>
                <w:szCs w:val="18"/>
                <w:lang w:val="sr-Cyrl-CS"/>
              </w:rPr>
            </w:pPr>
            <w:r w:rsidRPr="00092ED7">
              <w:rPr>
                <w:rFonts w:eastAsia="Times New Roman" w:cs="Times New Roman"/>
                <w:b/>
                <w:bCs/>
                <w:sz w:val="18"/>
                <w:szCs w:val="18"/>
                <w:lang w:val="sr-Cyrl-CS"/>
              </w:rPr>
              <w:t>ЦОР 17.11.</w:t>
            </w:r>
            <w:r w:rsidRPr="00092ED7">
              <w:rPr>
                <w:rFonts w:eastAsia="Times New Roman" w:cs="Times New Roman"/>
                <w:bCs/>
                <w:sz w:val="18"/>
                <w:szCs w:val="18"/>
                <w:lang w:val="sr-Cyrl-CS"/>
              </w:rPr>
              <w:t xml:space="preserve"> До 2020. значајно повећати нивое извоза земаља у развоју, посебно у циљу удвостручавања удела најмање развијених земаља у светском извозу</w:t>
            </w:r>
          </w:p>
          <w:p w14:paraId="277C73AD" w14:textId="2461AA92" w:rsidR="00C57EAF" w:rsidRPr="00092ED7" w:rsidRDefault="00C57EAF" w:rsidP="0001548A">
            <w:pPr>
              <w:spacing w:after="60"/>
              <w:jc w:val="left"/>
              <w:rPr>
                <w:rFonts w:eastAsia="Times New Roman" w:cs="Times New Roman"/>
                <w:bCs/>
                <w:sz w:val="18"/>
                <w:szCs w:val="18"/>
                <w:lang w:val="sr-Cyrl-CS"/>
              </w:rPr>
            </w:pPr>
            <w:r w:rsidRPr="00092ED7">
              <w:rPr>
                <w:rFonts w:eastAsia="Times New Roman" w:cs="Times New Roman"/>
                <w:b/>
                <w:bCs/>
                <w:sz w:val="18"/>
                <w:szCs w:val="18"/>
                <w:lang w:val="sr-Cyrl-CS"/>
              </w:rPr>
              <w:t>ЦОР 17.12.</w:t>
            </w:r>
            <w:r w:rsidRPr="00092ED7">
              <w:rPr>
                <w:rFonts w:eastAsia="Times New Roman" w:cs="Times New Roman"/>
                <w:bCs/>
                <w:sz w:val="18"/>
                <w:szCs w:val="18"/>
                <w:lang w:val="sr-Cyrl-CS"/>
              </w:rPr>
              <w:t xml:space="preserve"> Остварити благовремену и трајну примену тржишних приступа без царина и квота за све најмање развијене земље у складу са одлукама </w:t>
            </w:r>
            <w:r w:rsidR="0001548A" w:rsidRPr="00092ED7">
              <w:rPr>
                <w:rFonts w:eastAsia="Times New Roman" w:cs="Times New Roman"/>
                <w:bCs/>
                <w:sz w:val="18"/>
                <w:szCs w:val="18"/>
                <w:lang w:val="sr-Cyrl-CS"/>
              </w:rPr>
              <w:t>СТО</w:t>
            </w:r>
            <w:r w:rsidRPr="00092ED7">
              <w:rPr>
                <w:rFonts w:eastAsia="Times New Roman" w:cs="Times New Roman"/>
                <w:bCs/>
                <w:sz w:val="18"/>
                <w:szCs w:val="18"/>
                <w:lang w:val="sr-Cyrl-CS"/>
              </w:rPr>
              <w:t xml:space="preserve">, између осталог и тако што ће се обезбедити да преференцијална правила о пореклу која се примењују на увоз из најмање развијених земаља буду транспарентна и </w:t>
            </w:r>
            <w:r w:rsidRPr="00092ED7">
              <w:rPr>
                <w:rFonts w:eastAsia="Times New Roman" w:cs="Times New Roman"/>
                <w:bCs/>
                <w:sz w:val="18"/>
                <w:szCs w:val="18"/>
                <w:lang w:val="sr-Cyrl-CS"/>
              </w:rPr>
              <w:lastRenderedPageBreak/>
              <w:t>једноставна, односно да олакшавају приступ тржиштима</w:t>
            </w:r>
          </w:p>
        </w:tc>
        <w:tc>
          <w:tcPr>
            <w:tcW w:w="2409" w:type="dxa"/>
            <w:tcBorders>
              <w:top w:val="single" w:sz="6" w:space="0" w:color="000000"/>
              <w:left w:val="single" w:sz="6" w:space="0" w:color="000000"/>
              <w:bottom w:val="single" w:sz="6" w:space="0" w:color="000000"/>
              <w:right w:val="single" w:sz="6" w:space="0" w:color="000000"/>
            </w:tcBorders>
          </w:tcPr>
          <w:p w14:paraId="6C6E8990" w14:textId="77777777" w:rsidR="00C57EAF" w:rsidRPr="00092ED7" w:rsidRDefault="00C57EAF" w:rsidP="00C57EAF">
            <w:pPr>
              <w:spacing w:after="60"/>
              <w:jc w:val="left"/>
              <w:rPr>
                <w:rFonts w:eastAsia="Times New Roman" w:cs="Times New Roman"/>
                <w:b/>
                <w:bCs/>
                <w:iCs/>
                <w:sz w:val="18"/>
                <w:szCs w:val="18"/>
                <w:lang w:val="sr-Cyrl-CS"/>
              </w:rPr>
            </w:pPr>
            <w:r w:rsidRPr="00092ED7">
              <w:rPr>
                <w:rFonts w:eastAsia="Times New Roman" w:cs="Times New Roman"/>
                <w:bCs/>
                <w:iCs/>
                <w:sz w:val="18"/>
                <w:szCs w:val="18"/>
                <w:lang w:val="sr-Cyrl-CS"/>
              </w:rPr>
              <w:lastRenderedPageBreak/>
              <w:t>Директан утицај на циљеве:</w:t>
            </w:r>
          </w:p>
          <w:p w14:paraId="67A051B8" w14:textId="77777777" w:rsidR="00C57EAF" w:rsidRPr="00092ED7" w:rsidRDefault="00C57EAF" w:rsidP="00C57EAF">
            <w:pPr>
              <w:spacing w:after="60"/>
              <w:jc w:val="left"/>
              <w:rPr>
                <w:rFonts w:eastAsia="Times New Roman" w:cs="Times New Roman"/>
                <w:b/>
                <w:bCs/>
                <w:iCs/>
                <w:sz w:val="18"/>
                <w:szCs w:val="18"/>
                <w:lang w:val="sr-Cyrl-CS"/>
              </w:rPr>
            </w:pPr>
            <w:r w:rsidRPr="00092ED7">
              <w:rPr>
                <w:rFonts w:eastAsia="Times New Roman" w:cs="Times New Roman"/>
                <w:b/>
                <w:bCs/>
                <w:iCs/>
                <w:sz w:val="18"/>
                <w:szCs w:val="18"/>
                <w:lang w:val="sr-Cyrl-CS"/>
              </w:rPr>
              <w:t xml:space="preserve">циљ 59 </w:t>
            </w:r>
            <w:r w:rsidRPr="00092ED7">
              <w:rPr>
                <w:rFonts w:eastAsia="Times New Roman" w:cs="Times New Roman"/>
                <w:b/>
                <w:iCs/>
                <w:sz w:val="18"/>
                <w:szCs w:val="18"/>
                <w:lang w:val="sr-Cyrl-CS"/>
              </w:rPr>
              <w:t>ЗАЗБ</w:t>
            </w:r>
            <w:r w:rsidRPr="00092ED7">
              <w:rPr>
                <w:rFonts w:eastAsia="Times New Roman" w:cs="Times New Roman"/>
                <w:b/>
                <w:bCs/>
                <w:iCs/>
                <w:sz w:val="18"/>
                <w:szCs w:val="18"/>
                <w:lang w:val="sr-Cyrl-CS"/>
              </w:rPr>
              <w:t xml:space="preserve"> - </w:t>
            </w:r>
            <w:r w:rsidRPr="00092ED7">
              <w:rPr>
                <w:rFonts w:eastAsia="Times New Roman" w:cs="Times New Roman"/>
                <w:bCs/>
                <w:iCs/>
                <w:sz w:val="18"/>
                <w:szCs w:val="18"/>
                <w:lang w:val="sr-Cyrl-CS"/>
              </w:rPr>
              <w:t>Унапредити међусекторско управљање и подржати интеграцију зелене и нискоугљеничне транзиције, између осталог, путем реформе јавне управе, управљањем јавним финансијама, програмом економске реформе и мобилизацијом властитих ресурса</w:t>
            </w:r>
          </w:p>
          <w:p w14:paraId="0C6BFC27" w14:textId="77777777" w:rsidR="00C57EAF" w:rsidRPr="00092ED7" w:rsidRDefault="00C57EAF" w:rsidP="00C57EAF">
            <w:pPr>
              <w:spacing w:after="60"/>
              <w:jc w:val="left"/>
              <w:rPr>
                <w:rFonts w:eastAsia="Times New Roman" w:cs="Times New Roman"/>
                <w:bCs/>
                <w:iCs/>
                <w:sz w:val="18"/>
                <w:szCs w:val="18"/>
                <w:lang w:val="sr-Cyrl-CS"/>
              </w:rPr>
            </w:pPr>
            <w:r w:rsidRPr="00092ED7">
              <w:rPr>
                <w:rFonts w:eastAsia="Times New Roman" w:cs="Times New Roman"/>
                <w:b/>
                <w:bCs/>
                <w:iCs/>
                <w:sz w:val="18"/>
                <w:szCs w:val="18"/>
                <w:lang w:val="sr-Cyrl-CS"/>
              </w:rPr>
              <w:t xml:space="preserve">циљ 41 Европског Зеленог договора – </w:t>
            </w:r>
            <w:r w:rsidRPr="00092ED7">
              <w:rPr>
                <w:rFonts w:eastAsia="Times New Roman" w:cs="Times New Roman"/>
                <w:bCs/>
                <w:iCs/>
                <w:sz w:val="18"/>
                <w:szCs w:val="18"/>
                <w:lang w:val="sr-Cyrl-CS"/>
              </w:rPr>
              <w:t>Заинтересоване стране идентификују и исправљају неусклађено законодавство које смањује ефикасност у спровођењу Европског зеленог договора</w:t>
            </w:r>
          </w:p>
          <w:p w14:paraId="25B524C2" w14:textId="77777777" w:rsidR="00C57EAF" w:rsidRPr="00092ED7" w:rsidRDefault="00C57EAF" w:rsidP="00C57EAF">
            <w:pPr>
              <w:spacing w:after="60"/>
              <w:jc w:val="left"/>
              <w:rPr>
                <w:rFonts w:eastAsia="Times New Roman" w:cs="Times New Roman"/>
                <w:bCs/>
                <w:i/>
                <w:iCs/>
                <w:sz w:val="18"/>
                <w:szCs w:val="18"/>
                <w:lang w:val="sr-Cyrl-CS"/>
              </w:rPr>
            </w:pPr>
            <w:r w:rsidRPr="00092ED7">
              <w:rPr>
                <w:rFonts w:eastAsia="Times New Roman" w:cs="Times New Roman"/>
                <w:bCs/>
                <w:i/>
                <w:iCs/>
                <w:sz w:val="18"/>
                <w:szCs w:val="18"/>
                <w:lang w:val="sr-Cyrl-CS"/>
              </w:rPr>
              <w:t>Отварање трговине, јачање конкурентности и укључивање у јединствено европско тржиште доприносе интеграцији области животне средине и климе у национални правни оквир. Ово укључује имплементацију релевантних директива и стандарда ЕУ који се односе на одрживост и зелену агенду.</w:t>
            </w:r>
          </w:p>
        </w:tc>
        <w:tc>
          <w:tcPr>
            <w:tcW w:w="1843" w:type="dxa"/>
            <w:tcBorders>
              <w:top w:val="single" w:sz="6" w:space="0" w:color="000000"/>
              <w:left w:val="single" w:sz="6" w:space="0" w:color="000000"/>
              <w:bottom w:val="single" w:sz="6" w:space="0" w:color="000000"/>
              <w:right w:val="single" w:sz="6" w:space="0" w:color="000000"/>
            </w:tcBorders>
          </w:tcPr>
          <w:p w14:paraId="314FEFFC" w14:textId="77777777" w:rsidR="00C57EAF" w:rsidRPr="00092ED7" w:rsidRDefault="00C57EAF" w:rsidP="00C57EAF">
            <w:pPr>
              <w:spacing w:after="60"/>
              <w:jc w:val="left"/>
              <w:rPr>
                <w:rFonts w:eastAsia="Times New Roman" w:cs="Times New Roman"/>
                <w:b/>
                <w:bCs/>
                <w:iCs/>
                <w:sz w:val="18"/>
                <w:szCs w:val="18"/>
                <w:lang w:val="sr-Cyrl-CS"/>
              </w:rPr>
            </w:pPr>
            <w:r w:rsidRPr="00092ED7">
              <w:rPr>
                <w:rFonts w:eastAsia="Times New Roman" w:cs="Times New Roman"/>
                <w:b/>
                <w:bCs/>
                <w:iCs/>
                <w:sz w:val="18"/>
                <w:szCs w:val="18"/>
                <w:lang w:val="sr-Cyrl-CS"/>
              </w:rPr>
              <w:t>Поглавље VIII Подстицање приватног сектора</w:t>
            </w:r>
          </w:p>
          <w:p w14:paraId="62B6514A" w14:textId="77777777" w:rsidR="00C57EAF" w:rsidRPr="00092ED7" w:rsidRDefault="00C57EAF" w:rsidP="00C57EAF">
            <w:pPr>
              <w:spacing w:after="60"/>
              <w:jc w:val="left"/>
              <w:rPr>
                <w:rFonts w:eastAsia="Times New Roman" w:cs="Times New Roman"/>
                <w:bCs/>
                <w:iCs/>
                <w:sz w:val="18"/>
                <w:szCs w:val="18"/>
                <w:lang w:val="sr-Cyrl-CS"/>
              </w:rPr>
            </w:pPr>
            <w:r w:rsidRPr="00092ED7">
              <w:rPr>
                <w:rFonts w:eastAsia="Times New Roman" w:cs="Times New Roman"/>
                <w:bCs/>
                <w:iCs/>
                <w:sz w:val="18"/>
                <w:szCs w:val="18"/>
                <w:lang w:val="sr-Cyrl-CS"/>
              </w:rPr>
              <w:t>- Већа тржишна интеграција и трговина унутар региона и са ЕУ</w:t>
            </w:r>
          </w:p>
          <w:p w14:paraId="07596D50" w14:textId="77777777" w:rsidR="00C57EAF" w:rsidRPr="00092ED7" w:rsidRDefault="00C57EAF" w:rsidP="00C57EAF">
            <w:pPr>
              <w:spacing w:after="60"/>
              <w:jc w:val="left"/>
              <w:rPr>
                <w:rFonts w:eastAsia="Times New Roman" w:cs="Times New Roman"/>
                <w:b/>
                <w:bCs/>
                <w:iCs/>
                <w:sz w:val="18"/>
                <w:szCs w:val="18"/>
                <w:lang w:val="sr-Cyrl-CS"/>
              </w:rPr>
            </w:pPr>
            <w:r w:rsidRPr="00092ED7">
              <w:rPr>
                <w:rFonts w:eastAsia="Times New Roman" w:cs="Times New Roman"/>
                <w:b/>
                <w:bCs/>
                <w:iCs/>
                <w:sz w:val="18"/>
                <w:szCs w:val="18"/>
                <w:lang w:val="sr-Cyrl-CS"/>
              </w:rPr>
              <w:t>Поглавље X Регионална економска интеграција и интеграција са ЕУ</w:t>
            </w:r>
          </w:p>
          <w:p w14:paraId="0CC338FC" w14:textId="77777777" w:rsidR="00C57EAF" w:rsidRPr="00092ED7" w:rsidRDefault="00C57EAF" w:rsidP="00C57EAF">
            <w:pPr>
              <w:spacing w:after="60"/>
              <w:jc w:val="left"/>
              <w:rPr>
                <w:rFonts w:eastAsia="Times New Roman" w:cs="Times New Roman"/>
                <w:bCs/>
                <w:iCs/>
                <w:sz w:val="18"/>
                <w:szCs w:val="18"/>
                <w:lang w:val="sr-Cyrl-CS"/>
              </w:rPr>
            </w:pPr>
            <w:r w:rsidRPr="00092ED7">
              <w:rPr>
                <w:rFonts w:eastAsia="Times New Roman" w:cs="Times New Roman"/>
                <w:bCs/>
                <w:iCs/>
                <w:sz w:val="18"/>
                <w:szCs w:val="18"/>
                <w:lang w:val="sr-Cyrl-CS"/>
              </w:rPr>
              <w:t xml:space="preserve">- Интеграција тржишта и прекогранична </w:t>
            </w:r>
            <w:r w:rsidR="0021103E" w:rsidRPr="00092ED7">
              <w:rPr>
                <w:rFonts w:eastAsia="Times New Roman" w:cs="Times New Roman"/>
                <w:bCs/>
                <w:iCs/>
                <w:sz w:val="18"/>
                <w:szCs w:val="18"/>
                <w:lang w:val="sr-Cyrl-CS"/>
              </w:rPr>
              <w:t xml:space="preserve">трговинa </w:t>
            </w:r>
            <w:r w:rsidRPr="00092ED7">
              <w:rPr>
                <w:rFonts w:eastAsia="Times New Roman" w:cs="Times New Roman"/>
                <w:bCs/>
                <w:iCs/>
                <w:sz w:val="18"/>
                <w:szCs w:val="18"/>
                <w:lang w:val="sr-Cyrl-CS"/>
              </w:rPr>
              <w:t>у региону и са Европском унијом</w:t>
            </w:r>
          </w:p>
          <w:p w14:paraId="386DC163" w14:textId="77777777" w:rsidR="00C57EAF" w:rsidRPr="00092ED7" w:rsidRDefault="00C57EAF" w:rsidP="00C57EAF">
            <w:pPr>
              <w:spacing w:after="60"/>
              <w:jc w:val="left"/>
              <w:rPr>
                <w:rFonts w:eastAsia="Times New Roman" w:cs="Times New Roman"/>
                <w:bCs/>
                <w:iCs/>
                <w:sz w:val="18"/>
                <w:szCs w:val="18"/>
                <w:lang w:val="sr-Cyrl-CS"/>
              </w:rPr>
            </w:pPr>
            <w:r w:rsidRPr="00092ED7">
              <w:rPr>
                <w:rFonts w:eastAsia="Times New Roman" w:cs="Times New Roman"/>
                <w:bCs/>
                <w:iCs/>
                <w:sz w:val="18"/>
                <w:szCs w:val="18"/>
                <w:lang w:val="sr-Cyrl-CS"/>
              </w:rPr>
              <w:t>- Уклањање техничких баријера у трговини, уз истовремено обезбеђивање једнаких услова учешћа</w:t>
            </w:r>
          </w:p>
          <w:p w14:paraId="65A0C263" w14:textId="77777777" w:rsidR="00C57EAF" w:rsidRPr="00092ED7" w:rsidRDefault="00C57EAF" w:rsidP="00C57EAF">
            <w:pPr>
              <w:spacing w:after="60"/>
              <w:jc w:val="left"/>
              <w:rPr>
                <w:rFonts w:eastAsia="Times New Roman" w:cs="Times New Roman"/>
                <w:bCs/>
                <w:iCs/>
                <w:sz w:val="18"/>
                <w:szCs w:val="18"/>
                <w:lang w:val="sr-Cyrl-CS"/>
              </w:rPr>
            </w:pPr>
            <w:r w:rsidRPr="00092ED7">
              <w:rPr>
                <w:rFonts w:eastAsia="Times New Roman" w:cs="Times New Roman"/>
                <w:bCs/>
                <w:iCs/>
                <w:sz w:val="18"/>
                <w:szCs w:val="18"/>
                <w:lang w:val="sr-Cyrl-CS"/>
              </w:rPr>
              <w:t>- Сарадња кроз Централноевропски споразум о слободној трговини (</w:t>
            </w:r>
            <w:r w:rsidR="0021103E" w:rsidRPr="00092ED7">
              <w:rPr>
                <w:rFonts w:eastAsia="Times New Roman" w:cs="Times New Roman"/>
                <w:bCs/>
                <w:iCs/>
                <w:sz w:val="18"/>
                <w:szCs w:val="18"/>
                <w:lang w:val="sr-Cyrl-CS"/>
              </w:rPr>
              <w:t>CEFTA</w:t>
            </w:r>
            <w:r w:rsidRPr="00092ED7">
              <w:rPr>
                <w:rFonts w:eastAsia="Times New Roman" w:cs="Times New Roman"/>
                <w:bCs/>
                <w:iCs/>
                <w:sz w:val="18"/>
                <w:szCs w:val="18"/>
                <w:lang w:val="sr-Cyrl-CS"/>
              </w:rPr>
              <w:t>)</w:t>
            </w:r>
          </w:p>
        </w:tc>
        <w:tc>
          <w:tcPr>
            <w:tcW w:w="1559" w:type="dxa"/>
            <w:tcBorders>
              <w:top w:val="single" w:sz="6" w:space="0" w:color="000000"/>
              <w:left w:val="single" w:sz="6" w:space="0" w:color="000000"/>
              <w:bottom w:val="single" w:sz="6" w:space="0" w:color="000000"/>
              <w:right w:val="single" w:sz="6" w:space="0" w:color="000000"/>
            </w:tcBorders>
          </w:tcPr>
          <w:p w14:paraId="634E3E7B" w14:textId="77777777"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w:t>
            </w:r>
          </w:p>
        </w:tc>
      </w:tr>
      <w:tr w:rsidR="00C57EAF" w:rsidRPr="00092ED7" w14:paraId="4DC4597A" w14:textId="77777777" w:rsidTr="00F50B50">
        <w:trPr>
          <w:trHeight w:val="268"/>
        </w:trPr>
        <w:tc>
          <w:tcPr>
            <w:tcW w:w="1635" w:type="dxa"/>
            <w:tcBorders>
              <w:top w:val="single" w:sz="6" w:space="0" w:color="000000"/>
              <w:left w:val="single" w:sz="6" w:space="0" w:color="000000"/>
              <w:bottom w:val="single" w:sz="6" w:space="0" w:color="000000"/>
              <w:right w:val="single" w:sz="6" w:space="0" w:color="000000"/>
            </w:tcBorders>
          </w:tcPr>
          <w:p w14:paraId="1DAC9F71" w14:textId="77777777" w:rsidR="00C57EAF" w:rsidRPr="00092ED7" w:rsidRDefault="00C57EAF" w:rsidP="00C57EAF">
            <w:pPr>
              <w:spacing w:after="60"/>
              <w:jc w:val="left"/>
              <w:rPr>
                <w:rFonts w:eastAsia="Times New Roman" w:cs="Times New Roman"/>
                <w:b/>
                <w:bCs/>
                <w:sz w:val="20"/>
                <w:szCs w:val="20"/>
                <w:lang w:val="sr-Cyrl-CS"/>
              </w:rPr>
            </w:pPr>
            <w:r w:rsidRPr="00092ED7">
              <w:rPr>
                <w:rFonts w:eastAsia="Times New Roman" w:cs="Times New Roman"/>
                <w:b/>
                <w:bCs/>
                <w:sz w:val="20"/>
                <w:szCs w:val="20"/>
                <w:lang w:val="sr-Cyrl-CS"/>
              </w:rPr>
              <w:t>СР 19. Унапређење ефикасности и безбедности у железничком саобраћају</w:t>
            </w:r>
          </w:p>
        </w:tc>
        <w:tc>
          <w:tcPr>
            <w:tcW w:w="1498" w:type="dxa"/>
            <w:tcBorders>
              <w:top w:val="single" w:sz="6" w:space="0" w:color="000000"/>
              <w:left w:val="single" w:sz="6" w:space="0" w:color="000000"/>
              <w:bottom w:val="single" w:sz="6" w:space="0" w:color="000000"/>
              <w:right w:val="single" w:sz="6" w:space="0" w:color="000000"/>
            </w:tcBorders>
          </w:tcPr>
          <w:p w14:paraId="026D7497" w14:textId="77777777" w:rsidR="00C57EAF" w:rsidRPr="00092ED7" w:rsidRDefault="00C57EAF" w:rsidP="00C57EAF">
            <w:pPr>
              <w:spacing w:after="60"/>
              <w:jc w:val="left"/>
              <w:rPr>
                <w:rFonts w:eastAsia="Times New Roman" w:cs="Times New Roman"/>
                <w:iCs/>
                <w:sz w:val="18"/>
                <w:szCs w:val="18"/>
                <w:lang w:val="sr-Cyrl-CS"/>
              </w:rPr>
            </w:pPr>
          </w:p>
        </w:tc>
        <w:tc>
          <w:tcPr>
            <w:tcW w:w="1750" w:type="dxa"/>
            <w:tcBorders>
              <w:top w:val="single" w:sz="6" w:space="0" w:color="000000"/>
              <w:left w:val="single" w:sz="6" w:space="0" w:color="000000"/>
              <w:bottom w:val="single" w:sz="6" w:space="0" w:color="000000"/>
              <w:right w:val="single" w:sz="6" w:space="0" w:color="000000"/>
            </w:tcBorders>
          </w:tcPr>
          <w:p w14:paraId="3C1E83B9" w14:textId="77777777" w:rsidR="00C57EAF" w:rsidRPr="00092ED7" w:rsidRDefault="00C57EAF" w:rsidP="00C57EAF">
            <w:pPr>
              <w:spacing w:after="60"/>
              <w:jc w:val="left"/>
              <w:rPr>
                <w:rFonts w:eastAsia="Times New Roman" w:cs="Times New Roman"/>
                <w:iCs/>
                <w:sz w:val="18"/>
                <w:szCs w:val="18"/>
                <w:lang w:val="sr-Cyrl-CS"/>
              </w:rPr>
            </w:pPr>
          </w:p>
        </w:tc>
        <w:tc>
          <w:tcPr>
            <w:tcW w:w="2015" w:type="dxa"/>
            <w:tcBorders>
              <w:top w:val="single" w:sz="6" w:space="0" w:color="000000"/>
              <w:left w:val="single" w:sz="6" w:space="0" w:color="000000"/>
              <w:bottom w:val="single" w:sz="6" w:space="0" w:color="000000"/>
              <w:right w:val="single" w:sz="6" w:space="0" w:color="000000"/>
            </w:tcBorders>
          </w:tcPr>
          <w:p w14:paraId="79B012E4" w14:textId="77777777"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 Фокус на јачању система безбедности у железничком саобраћају</w:t>
            </w:r>
          </w:p>
          <w:p w14:paraId="72D1BEFE" w14:textId="77777777"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 Даље спроводити усвојено законодавство и јачати институционалне капацитете</w:t>
            </w:r>
          </w:p>
        </w:tc>
        <w:tc>
          <w:tcPr>
            <w:tcW w:w="1932" w:type="dxa"/>
            <w:tcBorders>
              <w:top w:val="single" w:sz="6" w:space="0" w:color="000000"/>
              <w:left w:val="single" w:sz="6" w:space="0" w:color="000000"/>
              <w:bottom w:val="single" w:sz="6" w:space="0" w:color="000000"/>
              <w:right w:val="single" w:sz="6" w:space="0" w:color="000000"/>
            </w:tcBorders>
          </w:tcPr>
          <w:p w14:paraId="73991460" w14:textId="77777777" w:rsidR="00C57EAF" w:rsidRPr="00092ED7" w:rsidRDefault="00C57EAF" w:rsidP="00C57EAF">
            <w:pPr>
              <w:spacing w:after="60"/>
              <w:jc w:val="left"/>
              <w:rPr>
                <w:rFonts w:eastAsia="Times New Roman" w:cs="Times New Roman"/>
                <w:b/>
                <w:bCs/>
                <w:sz w:val="18"/>
                <w:szCs w:val="18"/>
                <w:lang w:val="sr-Cyrl-CS"/>
              </w:rPr>
            </w:pPr>
            <w:r w:rsidRPr="00092ED7">
              <w:rPr>
                <w:rFonts w:eastAsia="Times New Roman" w:cs="Times New Roman"/>
                <w:b/>
                <w:bCs/>
                <w:sz w:val="18"/>
                <w:szCs w:val="18"/>
                <w:lang w:val="sr-Cyrl-CS"/>
              </w:rPr>
              <w:t xml:space="preserve">ЦОР 3.6. </w:t>
            </w:r>
            <w:r w:rsidRPr="00092ED7">
              <w:rPr>
                <w:rFonts w:eastAsia="Times New Roman" w:cs="Times New Roman"/>
                <w:bCs/>
                <w:sz w:val="18"/>
                <w:szCs w:val="18"/>
                <w:lang w:val="sr-Cyrl-CS"/>
              </w:rPr>
              <w:t>До 2020. преполовити број смртних случајева и повреда у друмском саобраћају на глобалном нивоу</w:t>
            </w:r>
          </w:p>
          <w:p w14:paraId="52AF9BB0" w14:textId="77777777" w:rsidR="00C57EAF" w:rsidRPr="00092ED7" w:rsidRDefault="00C57EAF" w:rsidP="00C57EAF">
            <w:pPr>
              <w:spacing w:after="60"/>
              <w:jc w:val="left"/>
              <w:rPr>
                <w:rFonts w:eastAsia="Times New Roman" w:cs="Times New Roman"/>
                <w:bCs/>
                <w:sz w:val="18"/>
                <w:szCs w:val="18"/>
                <w:lang w:val="sr-Cyrl-CS"/>
              </w:rPr>
            </w:pPr>
            <w:r w:rsidRPr="00092ED7">
              <w:rPr>
                <w:rFonts w:eastAsia="Times New Roman" w:cs="Times New Roman"/>
                <w:b/>
                <w:bCs/>
                <w:sz w:val="18"/>
                <w:szCs w:val="18"/>
                <w:lang w:val="sr-Cyrl-CS"/>
              </w:rPr>
              <w:t>ЦОР 9.1.</w:t>
            </w:r>
            <w:r w:rsidRPr="00092ED7">
              <w:rPr>
                <w:rFonts w:eastAsia="Times New Roman" w:cs="Times New Roman"/>
                <w:bCs/>
                <w:sz w:val="18"/>
                <w:szCs w:val="18"/>
                <w:lang w:val="sr-Cyrl-CS"/>
              </w:rPr>
              <w:t xml:space="preserve"> Развити квалитетну, поуздану, одрживу и отпорну инфраструктуру, укључујући регионалну и прекограничну инфраструктуру, како би се подржали економски развој и људско благостање, са фокусом на економски прихватљивом и једнаком приступу за све</w:t>
            </w:r>
          </w:p>
          <w:p w14:paraId="35F48FAC" w14:textId="77777777" w:rsidR="00C57EAF" w:rsidRPr="00092ED7" w:rsidRDefault="00C57EAF" w:rsidP="00C57EAF">
            <w:pPr>
              <w:spacing w:after="60"/>
              <w:jc w:val="left"/>
              <w:rPr>
                <w:rFonts w:eastAsia="Times New Roman" w:cs="Times New Roman"/>
                <w:bCs/>
                <w:sz w:val="18"/>
                <w:szCs w:val="18"/>
                <w:lang w:val="sr-Cyrl-CS"/>
              </w:rPr>
            </w:pPr>
            <w:r w:rsidRPr="00092ED7">
              <w:rPr>
                <w:rFonts w:eastAsia="Times New Roman" w:cs="Times New Roman"/>
                <w:b/>
                <w:bCs/>
                <w:sz w:val="18"/>
                <w:szCs w:val="18"/>
                <w:lang w:val="sr-Cyrl-CS"/>
              </w:rPr>
              <w:t xml:space="preserve">ЦОР 11.2. </w:t>
            </w:r>
            <w:r w:rsidRPr="00092ED7">
              <w:rPr>
                <w:rFonts w:eastAsia="Times New Roman" w:cs="Times New Roman"/>
                <w:bCs/>
                <w:sz w:val="18"/>
                <w:szCs w:val="18"/>
                <w:lang w:val="sr-Cyrl-CS"/>
              </w:rPr>
              <w:t xml:space="preserve">До 2030. обезбедити приступ сигурним, приуштивим, доступним и одрживим транспортним системима за све, побољшати безбедност на путевима, пре свега проширењем јавног превоза, с посебном пажњом на потребе оних у стањима рањивости, жена, деце, </w:t>
            </w:r>
            <w:r w:rsidRPr="00092ED7">
              <w:rPr>
                <w:rFonts w:eastAsia="Times New Roman" w:cs="Times New Roman"/>
                <w:bCs/>
                <w:sz w:val="18"/>
                <w:szCs w:val="18"/>
                <w:lang w:val="sr-Cyrl-CS"/>
              </w:rPr>
              <w:lastRenderedPageBreak/>
              <w:t>особа са инвалидитетом и старијих лица</w:t>
            </w:r>
          </w:p>
        </w:tc>
        <w:tc>
          <w:tcPr>
            <w:tcW w:w="2409" w:type="dxa"/>
            <w:tcBorders>
              <w:top w:val="single" w:sz="6" w:space="0" w:color="000000"/>
              <w:left w:val="single" w:sz="6" w:space="0" w:color="000000"/>
              <w:bottom w:val="single" w:sz="6" w:space="0" w:color="000000"/>
              <w:right w:val="single" w:sz="6" w:space="0" w:color="000000"/>
            </w:tcBorders>
          </w:tcPr>
          <w:p w14:paraId="02388012" w14:textId="77777777" w:rsidR="00C57EAF" w:rsidRPr="00092ED7" w:rsidRDefault="00C57EAF" w:rsidP="00C57EAF">
            <w:pPr>
              <w:spacing w:after="60"/>
              <w:jc w:val="left"/>
              <w:rPr>
                <w:rFonts w:eastAsia="Times New Roman" w:cs="Times New Roman"/>
                <w:b/>
                <w:bCs/>
                <w:iCs/>
                <w:sz w:val="18"/>
                <w:szCs w:val="18"/>
                <w:lang w:val="sr-Cyrl-CS"/>
              </w:rPr>
            </w:pPr>
            <w:r w:rsidRPr="00092ED7">
              <w:rPr>
                <w:rFonts w:eastAsia="Times New Roman" w:cs="Times New Roman"/>
                <w:bCs/>
                <w:iCs/>
                <w:sz w:val="18"/>
                <w:szCs w:val="18"/>
                <w:lang w:val="sr-Cyrl-CS"/>
              </w:rPr>
              <w:lastRenderedPageBreak/>
              <w:t>Директан утицај на циљеве:</w:t>
            </w:r>
          </w:p>
          <w:p w14:paraId="4C95EA0F" w14:textId="77777777" w:rsidR="00C57EAF" w:rsidRPr="00092ED7" w:rsidRDefault="00C57EAF" w:rsidP="00C57EAF">
            <w:pPr>
              <w:spacing w:after="60"/>
              <w:jc w:val="left"/>
              <w:rPr>
                <w:rFonts w:eastAsia="Times New Roman" w:cs="Times New Roman"/>
                <w:b/>
                <w:bCs/>
                <w:iCs/>
                <w:sz w:val="18"/>
                <w:szCs w:val="18"/>
                <w:lang w:val="sr-Cyrl-CS"/>
              </w:rPr>
            </w:pPr>
            <w:r w:rsidRPr="00092ED7">
              <w:rPr>
                <w:rFonts w:eastAsia="Times New Roman" w:cs="Times New Roman"/>
                <w:b/>
                <w:bCs/>
                <w:iCs/>
                <w:sz w:val="18"/>
                <w:szCs w:val="18"/>
                <w:lang w:val="sr-Cyrl-CS"/>
              </w:rPr>
              <w:t xml:space="preserve">циљ 17 </w:t>
            </w:r>
            <w:r w:rsidRPr="00092ED7">
              <w:rPr>
                <w:rFonts w:eastAsia="Times New Roman" w:cs="Times New Roman"/>
                <w:b/>
                <w:iCs/>
                <w:sz w:val="18"/>
                <w:szCs w:val="18"/>
                <w:lang w:val="sr-Cyrl-CS"/>
              </w:rPr>
              <w:t>ЗАЗБ</w:t>
            </w:r>
            <w:r w:rsidRPr="00092ED7">
              <w:rPr>
                <w:rFonts w:eastAsia="Times New Roman" w:cs="Times New Roman"/>
                <w:bCs/>
                <w:iCs/>
                <w:sz w:val="18"/>
                <w:szCs w:val="18"/>
                <w:lang w:val="sr-Cyrl-CS"/>
              </w:rPr>
              <w:t xml:space="preserve"> - Подршка развоју паметне транспортне инфраструктуре, промовисање подстицања иновативних технологија (као што су транспорт без употребе папира, вештачка интелигенција, мултимодално издавање карата за путнике, мобилност као услуга, апликације за прекограничне/граничне прелазе, 5Г коридори, итд.)</w:t>
            </w:r>
          </w:p>
          <w:p w14:paraId="2E413225" w14:textId="77777777" w:rsidR="00C57EAF" w:rsidRPr="00092ED7" w:rsidRDefault="00C57EAF" w:rsidP="00C57EAF">
            <w:pPr>
              <w:spacing w:after="60"/>
              <w:jc w:val="left"/>
              <w:rPr>
                <w:rFonts w:eastAsia="Times New Roman" w:cs="Times New Roman"/>
                <w:b/>
                <w:bCs/>
                <w:iCs/>
                <w:sz w:val="18"/>
                <w:szCs w:val="18"/>
                <w:lang w:val="sr-Cyrl-CS"/>
              </w:rPr>
            </w:pPr>
            <w:r w:rsidRPr="00092ED7">
              <w:rPr>
                <w:rFonts w:eastAsia="Times New Roman" w:cs="Times New Roman"/>
                <w:b/>
                <w:bCs/>
                <w:iCs/>
                <w:sz w:val="18"/>
                <w:szCs w:val="18"/>
                <w:lang w:val="sr-Cyrl-CS"/>
              </w:rPr>
              <w:t xml:space="preserve">циљ 18 </w:t>
            </w:r>
            <w:r w:rsidRPr="00092ED7">
              <w:rPr>
                <w:rFonts w:eastAsia="Times New Roman" w:cs="Times New Roman"/>
                <w:b/>
                <w:iCs/>
                <w:sz w:val="18"/>
                <w:szCs w:val="18"/>
                <w:lang w:val="sr-Cyrl-CS"/>
              </w:rPr>
              <w:t>ЗАЗБ</w:t>
            </w:r>
            <w:r w:rsidRPr="00092ED7">
              <w:rPr>
                <w:rFonts w:eastAsia="Times New Roman" w:cs="Times New Roman"/>
                <w:b/>
                <w:bCs/>
                <w:iCs/>
                <w:sz w:val="18"/>
                <w:szCs w:val="18"/>
                <w:lang w:val="sr-Cyrl-CS"/>
              </w:rPr>
              <w:t xml:space="preserve"> - </w:t>
            </w:r>
            <w:r w:rsidRPr="00092ED7">
              <w:rPr>
                <w:rFonts w:eastAsia="Times New Roman" w:cs="Times New Roman"/>
                <w:bCs/>
                <w:iCs/>
                <w:sz w:val="18"/>
                <w:szCs w:val="18"/>
                <w:lang w:val="sr-Cyrl-CS"/>
              </w:rPr>
              <w:t>Примена регионалног акционог плана за реформу железнице</w:t>
            </w:r>
          </w:p>
          <w:p w14:paraId="162D871E" w14:textId="77777777" w:rsidR="00C57EAF" w:rsidRPr="00092ED7" w:rsidRDefault="00C57EAF" w:rsidP="00C57EAF">
            <w:pPr>
              <w:spacing w:after="60"/>
              <w:jc w:val="left"/>
              <w:rPr>
                <w:rFonts w:eastAsia="Times New Roman" w:cs="Times New Roman"/>
                <w:b/>
                <w:bCs/>
                <w:iCs/>
                <w:sz w:val="18"/>
                <w:szCs w:val="18"/>
                <w:lang w:val="sr-Cyrl-CS"/>
              </w:rPr>
            </w:pPr>
            <w:r w:rsidRPr="00092ED7">
              <w:rPr>
                <w:rFonts w:eastAsia="Times New Roman" w:cs="Times New Roman"/>
                <w:b/>
                <w:bCs/>
                <w:iCs/>
                <w:sz w:val="18"/>
                <w:szCs w:val="18"/>
                <w:lang w:val="sr-Cyrl-CS"/>
              </w:rPr>
              <w:t xml:space="preserve">циљ 20 </w:t>
            </w:r>
            <w:r w:rsidRPr="00092ED7">
              <w:rPr>
                <w:rFonts w:eastAsia="Times New Roman" w:cs="Times New Roman"/>
                <w:b/>
                <w:iCs/>
                <w:sz w:val="18"/>
                <w:szCs w:val="18"/>
                <w:lang w:val="sr-Cyrl-CS"/>
              </w:rPr>
              <w:t>ЗАЗБ</w:t>
            </w:r>
            <w:r w:rsidRPr="00092ED7">
              <w:rPr>
                <w:rFonts w:eastAsia="Times New Roman" w:cs="Times New Roman"/>
                <w:b/>
                <w:bCs/>
                <w:iCs/>
                <w:sz w:val="18"/>
                <w:szCs w:val="18"/>
                <w:lang w:val="sr-Cyrl-CS"/>
              </w:rPr>
              <w:t xml:space="preserve"> - </w:t>
            </w:r>
            <w:r w:rsidRPr="00092ED7">
              <w:rPr>
                <w:rFonts w:eastAsia="Times New Roman" w:cs="Times New Roman"/>
                <w:bCs/>
                <w:iCs/>
                <w:sz w:val="18"/>
                <w:szCs w:val="18"/>
                <w:lang w:val="sr-Cyrl-CS"/>
              </w:rPr>
              <w:t>Дефинисање опште стратегије за преусмеравање саобраћаја са друмског на еколошки прихватљивије модалитете</w:t>
            </w:r>
          </w:p>
          <w:p w14:paraId="6BA53CEC" w14:textId="77777777" w:rsidR="00C57EAF" w:rsidRPr="00092ED7" w:rsidRDefault="00C57EAF" w:rsidP="00C57EAF">
            <w:pPr>
              <w:spacing w:after="60"/>
              <w:jc w:val="left"/>
              <w:rPr>
                <w:rFonts w:eastAsia="Times New Roman" w:cs="Times New Roman"/>
                <w:bCs/>
                <w:iCs/>
                <w:sz w:val="18"/>
                <w:szCs w:val="18"/>
                <w:lang w:val="sr-Cyrl-CS"/>
              </w:rPr>
            </w:pPr>
            <w:r w:rsidRPr="00092ED7">
              <w:rPr>
                <w:rFonts w:eastAsia="Times New Roman" w:cs="Times New Roman"/>
                <w:b/>
                <w:bCs/>
                <w:iCs/>
                <w:sz w:val="18"/>
                <w:szCs w:val="18"/>
                <w:lang w:val="sr-Cyrl-CS"/>
              </w:rPr>
              <w:t xml:space="preserve">циљ 23 Европског Зеленог договора - </w:t>
            </w:r>
            <w:r w:rsidRPr="00092ED7">
              <w:rPr>
                <w:rFonts w:eastAsia="Times New Roman" w:cs="Times New Roman"/>
                <w:bCs/>
                <w:iCs/>
                <w:sz w:val="18"/>
                <w:szCs w:val="18"/>
                <w:lang w:val="sr-Cyrl-CS"/>
              </w:rPr>
              <w:t>Иницијативе за повећање капацитета железница и унутрашњих пловних путева и боље управљање њима</w:t>
            </w:r>
          </w:p>
          <w:p w14:paraId="3D1F1E53" w14:textId="77777777" w:rsidR="00C57EAF" w:rsidRPr="00092ED7" w:rsidRDefault="00C57EAF" w:rsidP="00C57EAF">
            <w:pPr>
              <w:spacing w:after="60"/>
              <w:jc w:val="left"/>
              <w:rPr>
                <w:rFonts w:eastAsia="Times New Roman" w:cs="Times New Roman"/>
                <w:i/>
                <w:iCs/>
                <w:sz w:val="18"/>
                <w:szCs w:val="18"/>
                <w:lang w:val="sr-Cyrl-CS"/>
              </w:rPr>
            </w:pPr>
            <w:r w:rsidRPr="00092ED7">
              <w:rPr>
                <w:rFonts w:eastAsia="Times New Roman" w:cs="Times New Roman"/>
                <w:i/>
                <w:iCs/>
                <w:sz w:val="18"/>
                <w:szCs w:val="18"/>
                <w:lang w:val="sr-Cyrl-CS"/>
              </w:rPr>
              <w:t xml:space="preserve">Унапређење ефикасности, безбедности и успостављање новог метода обрачуна цена доприносе јачању </w:t>
            </w:r>
            <w:r w:rsidRPr="00092ED7">
              <w:rPr>
                <w:rFonts w:eastAsia="Times New Roman" w:cs="Times New Roman"/>
                <w:i/>
                <w:iCs/>
                <w:sz w:val="18"/>
                <w:szCs w:val="18"/>
                <w:lang w:val="sr-Cyrl-CS"/>
              </w:rPr>
              <w:lastRenderedPageBreak/>
              <w:t xml:space="preserve">железничког саобраћаја. Планирани већи промет робе и путника у железничком саобраћају, као енергетски ефикасне и еколошки прихватљиве области транспорта, директно доприноси очувању животне средине и смањењу степена загађења. </w:t>
            </w:r>
          </w:p>
        </w:tc>
        <w:tc>
          <w:tcPr>
            <w:tcW w:w="1843" w:type="dxa"/>
            <w:tcBorders>
              <w:top w:val="single" w:sz="6" w:space="0" w:color="000000"/>
              <w:left w:val="single" w:sz="6" w:space="0" w:color="000000"/>
              <w:bottom w:val="single" w:sz="6" w:space="0" w:color="000000"/>
              <w:right w:val="single" w:sz="6" w:space="0" w:color="000000"/>
            </w:tcBorders>
          </w:tcPr>
          <w:p w14:paraId="6DDB21E7" w14:textId="77777777" w:rsidR="00C57EAF" w:rsidRPr="00092ED7" w:rsidRDefault="00C57EAF" w:rsidP="00C57EAF">
            <w:pPr>
              <w:spacing w:after="60"/>
              <w:jc w:val="left"/>
              <w:rPr>
                <w:rFonts w:eastAsia="Times New Roman" w:cs="Times New Roman"/>
                <w:b/>
                <w:bCs/>
                <w:iCs/>
                <w:sz w:val="18"/>
                <w:szCs w:val="18"/>
                <w:lang w:val="sr-Cyrl-CS"/>
              </w:rPr>
            </w:pPr>
            <w:r w:rsidRPr="00092ED7">
              <w:rPr>
                <w:rFonts w:eastAsia="Times New Roman" w:cs="Times New Roman"/>
                <w:b/>
                <w:iCs/>
                <w:sz w:val="18"/>
                <w:szCs w:val="18"/>
                <w:lang w:val="sr-Cyrl-CS"/>
              </w:rPr>
              <w:lastRenderedPageBreak/>
              <w:t xml:space="preserve">Поглавље </w:t>
            </w:r>
            <w:r w:rsidRPr="00092ED7">
              <w:rPr>
                <w:rFonts w:eastAsia="Times New Roman" w:cs="Times New Roman"/>
                <w:b/>
                <w:bCs/>
                <w:iCs/>
                <w:sz w:val="18"/>
                <w:szCs w:val="18"/>
                <w:lang w:val="sr-Cyrl-CS"/>
              </w:rPr>
              <w:t xml:space="preserve">IV Улагање у одрживи транспорт </w:t>
            </w:r>
          </w:p>
          <w:p w14:paraId="0AB08D43" w14:textId="77777777" w:rsidR="00C57EAF" w:rsidRPr="00092ED7" w:rsidRDefault="00C57EAF" w:rsidP="00C57EAF">
            <w:pPr>
              <w:spacing w:after="60"/>
              <w:jc w:val="left"/>
              <w:rPr>
                <w:rFonts w:eastAsia="Times New Roman" w:cs="Times New Roman"/>
                <w:bCs/>
                <w:iCs/>
                <w:sz w:val="18"/>
                <w:szCs w:val="18"/>
                <w:lang w:val="sr-Cyrl-CS"/>
              </w:rPr>
            </w:pPr>
            <w:r w:rsidRPr="00092ED7">
              <w:rPr>
                <w:rFonts w:eastAsia="Times New Roman" w:cs="Times New Roman"/>
                <w:bCs/>
                <w:iCs/>
                <w:sz w:val="18"/>
                <w:szCs w:val="18"/>
                <w:lang w:val="sr-Cyrl-CS"/>
              </w:rPr>
              <w:t>- Безбедност на путно-пружним прелазима</w:t>
            </w:r>
          </w:p>
          <w:p w14:paraId="3227FE03" w14:textId="77777777" w:rsidR="00C57EAF" w:rsidRPr="00092ED7" w:rsidRDefault="00C57EAF" w:rsidP="00C57EAF">
            <w:pPr>
              <w:spacing w:after="60"/>
              <w:jc w:val="left"/>
              <w:rPr>
                <w:rFonts w:eastAsia="Times New Roman" w:cs="Times New Roman"/>
                <w:bCs/>
                <w:iCs/>
                <w:sz w:val="18"/>
                <w:szCs w:val="18"/>
                <w:lang w:val="sr-Cyrl-CS"/>
              </w:rPr>
            </w:pPr>
            <w:r w:rsidRPr="00092ED7">
              <w:rPr>
                <w:rFonts w:eastAsia="Times New Roman" w:cs="Times New Roman"/>
                <w:bCs/>
                <w:iCs/>
                <w:sz w:val="18"/>
                <w:szCs w:val="18"/>
                <w:lang w:val="sr-Cyrl-CS"/>
              </w:rPr>
              <w:t>- Пружање помоћи у пројектовању и спровођењу програма одржавања, - Унапређење фрагментисане железничке мреже</w:t>
            </w:r>
          </w:p>
        </w:tc>
        <w:tc>
          <w:tcPr>
            <w:tcW w:w="1559" w:type="dxa"/>
            <w:tcBorders>
              <w:top w:val="single" w:sz="6" w:space="0" w:color="000000"/>
              <w:left w:val="single" w:sz="6" w:space="0" w:color="000000"/>
              <w:bottom w:val="single" w:sz="6" w:space="0" w:color="000000"/>
              <w:right w:val="single" w:sz="6" w:space="0" w:color="000000"/>
            </w:tcBorders>
          </w:tcPr>
          <w:p w14:paraId="4348752F" w14:textId="77777777"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w:t>
            </w:r>
          </w:p>
        </w:tc>
      </w:tr>
      <w:tr w:rsidR="00C57EAF" w:rsidRPr="00092ED7" w14:paraId="59802D2B" w14:textId="77777777" w:rsidTr="00F50B50">
        <w:trPr>
          <w:trHeight w:val="411"/>
        </w:trPr>
        <w:tc>
          <w:tcPr>
            <w:tcW w:w="1635" w:type="dxa"/>
            <w:tcBorders>
              <w:top w:val="single" w:sz="6" w:space="0" w:color="000000"/>
              <w:left w:val="single" w:sz="6" w:space="0" w:color="000000"/>
              <w:bottom w:val="single" w:sz="6" w:space="0" w:color="000000"/>
              <w:right w:val="single" w:sz="6" w:space="0" w:color="000000"/>
            </w:tcBorders>
          </w:tcPr>
          <w:p w14:paraId="00A96927" w14:textId="77777777" w:rsidR="00C57EAF" w:rsidRPr="00092ED7" w:rsidRDefault="00C57EAF" w:rsidP="00C57EAF">
            <w:pPr>
              <w:spacing w:after="60"/>
              <w:jc w:val="left"/>
              <w:rPr>
                <w:rFonts w:eastAsia="Times New Roman" w:cs="Times New Roman"/>
                <w:b/>
                <w:bCs/>
                <w:sz w:val="20"/>
                <w:szCs w:val="20"/>
                <w:lang w:val="sr-Cyrl-CS"/>
              </w:rPr>
            </w:pPr>
            <w:r w:rsidRPr="00092ED7">
              <w:rPr>
                <w:rFonts w:eastAsia="Times New Roman" w:cs="Times New Roman"/>
                <w:b/>
                <w:bCs/>
                <w:sz w:val="20"/>
                <w:szCs w:val="20"/>
                <w:lang w:val="sr-Cyrl-CS"/>
              </w:rPr>
              <w:t>СР 20. Унапређење конкурентности пољопривреде</w:t>
            </w:r>
          </w:p>
        </w:tc>
        <w:tc>
          <w:tcPr>
            <w:tcW w:w="1498" w:type="dxa"/>
            <w:tcBorders>
              <w:top w:val="single" w:sz="6" w:space="0" w:color="000000"/>
              <w:left w:val="single" w:sz="6" w:space="0" w:color="000000"/>
              <w:bottom w:val="single" w:sz="6" w:space="0" w:color="000000"/>
              <w:right w:val="single" w:sz="6" w:space="0" w:color="000000"/>
            </w:tcBorders>
          </w:tcPr>
          <w:p w14:paraId="7E33A9BF" w14:textId="77777777" w:rsidR="00C57EAF" w:rsidRPr="00092ED7" w:rsidRDefault="00C57EAF" w:rsidP="00C57EAF">
            <w:pPr>
              <w:spacing w:after="60"/>
              <w:jc w:val="left"/>
              <w:rPr>
                <w:rFonts w:eastAsia="Times New Roman" w:cs="Times New Roman"/>
                <w:iCs/>
                <w:sz w:val="18"/>
                <w:szCs w:val="18"/>
                <w:lang w:val="sr-Cyrl-CS"/>
              </w:rPr>
            </w:pPr>
          </w:p>
        </w:tc>
        <w:tc>
          <w:tcPr>
            <w:tcW w:w="1750" w:type="dxa"/>
            <w:tcBorders>
              <w:top w:val="single" w:sz="6" w:space="0" w:color="000000"/>
              <w:left w:val="single" w:sz="6" w:space="0" w:color="000000"/>
              <w:bottom w:val="single" w:sz="6" w:space="0" w:color="000000"/>
              <w:right w:val="single" w:sz="6" w:space="0" w:color="000000"/>
            </w:tcBorders>
          </w:tcPr>
          <w:p w14:paraId="1F040784" w14:textId="77777777" w:rsidR="00C57EAF" w:rsidRPr="00092ED7" w:rsidRDefault="00C57EAF" w:rsidP="00C57EAF">
            <w:pPr>
              <w:spacing w:after="60"/>
              <w:jc w:val="left"/>
              <w:rPr>
                <w:rFonts w:eastAsia="Times New Roman" w:cs="Times New Roman"/>
                <w:iCs/>
                <w:sz w:val="18"/>
                <w:szCs w:val="18"/>
                <w:lang w:val="sr-Cyrl-CS"/>
              </w:rPr>
            </w:pPr>
          </w:p>
        </w:tc>
        <w:tc>
          <w:tcPr>
            <w:tcW w:w="2015" w:type="dxa"/>
            <w:tcBorders>
              <w:top w:val="single" w:sz="6" w:space="0" w:color="000000"/>
              <w:left w:val="single" w:sz="6" w:space="0" w:color="000000"/>
              <w:bottom w:val="single" w:sz="6" w:space="0" w:color="000000"/>
              <w:right w:val="single" w:sz="6" w:space="0" w:color="000000"/>
            </w:tcBorders>
          </w:tcPr>
          <w:p w14:paraId="78A10D05" w14:textId="77777777"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 xml:space="preserve">- Oбезбедити несметан пренос ИПАРД мера на период 2021-2027 и припремити нове мере </w:t>
            </w:r>
          </w:p>
          <w:p w14:paraId="557D7040" w14:textId="77777777"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 Постигнути напредак у спровођењу Акционог плана за усклађивање са правним тековинама ЕУ у области пољопривреде и руралног развоја</w:t>
            </w:r>
          </w:p>
        </w:tc>
        <w:tc>
          <w:tcPr>
            <w:tcW w:w="1932" w:type="dxa"/>
            <w:tcBorders>
              <w:top w:val="single" w:sz="6" w:space="0" w:color="000000"/>
              <w:left w:val="single" w:sz="6" w:space="0" w:color="000000"/>
              <w:bottom w:val="single" w:sz="6" w:space="0" w:color="000000"/>
              <w:right w:val="single" w:sz="6" w:space="0" w:color="000000"/>
            </w:tcBorders>
          </w:tcPr>
          <w:p w14:paraId="484835C5" w14:textId="77777777" w:rsidR="00C57EAF" w:rsidRPr="00092ED7" w:rsidRDefault="00C57EAF" w:rsidP="00C57EAF">
            <w:pPr>
              <w:spacing w:after="60"/>
              <w:jc w:val="left"/>
              <w:rPr>
                <w:rFonts w:eastAsia="Times New Roman" w:cs="Times New Roman"/>
                <w:bCs/>
                <w:sz w:val="18"/>
                <w:szCs w:val="18"/>
                <w:lang w:val="sr-Cyrl-CS"/>
              </w:rPr>
            </w:pPr>
            <w:r w:rsidRPr="00092ED7">
              <w:rPr>
                <w:rFonts w:eastAsia="Times New Roman" w:cs="Times New Roman"/>
                <w:b/>
                <w:bCs/>
                <w:sz w:val="18"/>
                <w:szCs w:val="18"/>
                <w:lang w:val="sr-Cyrl-CS"/>
              </w:rPr>
              <w:t xml:space="preserve">ЦОР 2.3. </w:t>
            </w:r>
            <w:r w:rsidRPr="00092ED7">
              <w:rPr>
                <w:rFonts w:eastAsia="Times New Roman" w:cs="Times New Roman"/>
                <w:bCs/>
                <w:sz w:val="18"/>
                <w:szCs w:val="18"/>
                <w:lang w:val="sr-Cyrl-CS"/>
              </w:rPr>
              <w:t>До 2030.</w:t>
            </w:r>
            <w:r w:rsidRPr="00092ED7">
              <w:rPr>
                <w:rFonts w:eastAsia="Times New Roman" w:cs="Times New Roman"/>
                <w:b/>
                <w:bCs/>
                <w:sz w:val="18"/>
                <w:szCs w:val="18"/>
                <w:lang w:val="sr-Cyrl-CS"/>
              </w:rPr>
              <w:t xml:space="preserve"> </w:t>
            </w:r>
            <w:r w:rsidRPr="00092ED7">
              <w:rPr>
                <w:rFonts w:eastAsia="Times New Roman" w:cs="Times New Roman"/>
                <w:bCs/>
                <w:sz w:val="18"/>
                <w:szCs w:val="18"/>
                <w:lang w:val="sr-Cyrl-CS"/>
              </w:rPr>
              <w:t>Удвостручити пољопривредну продуктивност и приходе малих произвођача хране, а посебно жена, аутохтоних народа, породичних пољопривредних произвођача, сточара и рибара, кроз безбедан и једнак приступ земљишту, другим производним ресурсима и подацима, сазнањима, финансијским услугама, тржиштима и могућностима за остваривање додатне вредности, односно за запошљавање ван пољопривреде</w:t>
            </w:r>
          </w:p>
          <w:p w14:paraId="15439D56" w14:textId="77777777" w:rsidR="00C57EAF" w:rsidRPr="00092ED7" w:rsidRDefault="00C57EAF" w:rsidP="00C57EAF">
            <w:pPr>
              <w:spacing w:after="60"/>
              <w:jc w:val="left"/>
              <w:rPr>
                <w:rFonts w:eastAsia="Times New Roman" w:cs="Times New Roman"/>
                <w:b/>
                <w:bCs/>
                <w:sz w:val="18"/>
                <w:szCs w:val="18"/>
                <w:lang w:val="sr-Cyrl-CS"/>
              </w:rPr>
            </w:pPr>
            <w:r w:rsidRPr="00092ED7">
              <w:rPr>
                <w:rFonts w:eastAsia="Times New Roman" w:cs="Times New Roman"/>
                <w:b/>
                <w:bCs/>
                <w:sz w:val="18"/>
                <w:szCs w:val="18"/>
                <w:lang w:val="sr-Cyrl-CS"/>
              </w:rPr>
              <w:t xml:space="preserve">ЦОР 2.4. </w:t>
            </w:r>
            <w:r w:rsidRPr="00092ED7">
              <w:rPr>
                <w:rFonts w:eastAsia="Times New Roman" w:cs="Times New Roman"/>
                <w:bCs/>
                <w:sz w:val="18"/>
                <w:szCs w:val="18"/>
                <w:lang w:val="sr-Cyrl-CS"/>
              </w:rPr>
              <w:t xml:space="preserve">До 2030. обезбедити одрживе системе за производњу хране и применити </w:t>
            </w:r>
            <w:r w:rsidRPr="00092ED7">
              <w:rPr>
                <w:rFonts w:eastAsia="Times New Roman" w:cs="Times New Roman"/>
                <w:bCs/>
                <w:sz w:val="18"/>
                <w:szCs w:val="18"/>
                <w:lang w:val="sr-Cyrl-CS"/>
              </w:rPr>
              <w:lastRenderedPageBreak/>
              <w:t>отпорне пољопривредне праксе за повећање продуктивности и производње, које помажу у одржавању екосистема, које јачају капацитет за прилагођавање климатским променама, екстремним временским условима, сушама, поплавама и осталим катастрофама, и које прогресивно побољшавају квалитет земљишта и тла</w:t>
            </w:r>
          </w:p>
          <w:p w14:paraId="5DF7ACC1" w14:textId="77777777" w:rsidR="00C57EAF" w:rsidRPr="00092ED7" w:rsidRDefault="00C57EAF" w:rsidP="00C57EAF">
            <w:pPr>
              <w:spacing w:after="60"/>
              <w:jc w:val="left"/>
              <w:rPr>
                <w:rFonts w:eastAsia="Times New Roman" w:cs="Times New Roman"/>
                <w:bCs/>
                <w:sz w:val="18"/>
                <w:szCs w:val="18"/>
                <w:lang w:val="sr-Cyrl-CS"/>
              </w:rPr>
            </w:pPr>
            <w:r w:rsidRPr="00092ED7">
              <w:rPr>
                <w:rFonts w:eastAsia="Times New Roman" w:cs="Times New Roman"/>
                <w:b/>
                <w:bCs/>
                <w:sz w:val="18"/>
                <w:szCs w:val="18"/>
                <w:lang w:val="sr-Cyrl-CS"/>
              </w:rPr>
              <w:t>ЦОР 11.3.</w:t>
            </w:r>
            <w:r w:rsidRPr="00092ED7">
              <w:rPr>
                <w:rFonts w:eastAsia="Times New Roman" w:cs="Times New Roman"/>
                <w:bCs/>
                <w:sz w:val="18"/>
                <w:szCs w:val="18"/>
                <w:lang w:val="sr-Cyrl-CS"/>
              </w:rPr>
              <w:t xml:space="preserve"> До 2030. године унапредити инклузивну и одрживу урбанизацију и капацитете за партиципативно, интегрисано и одрживо планирање и управљање људским насељима.</w:t>
            </w:r>
          </w:p>
          <w:p w14:paraId="01AB5104" w14:textId="77777777" w:rsidR="00C57EAF" w:rsidRPr="00092ED7" w:rsidRDefault="00C57EAF" w:rsidP="00C57EAF">
            <w:pPr>
              <w:spacing w:after="60"/>
              <w:jc w:val="left"/>
              <w:rPr>
                <w:rFonts w:eastAsia="Times New Roman" w:cs="Times New Roman"/>
                <w:bCs/>
                <w:sz w:val="18"/>
                <w:szCs w:val="18"/>
                <w:lang w:val="sr-Cyrl-CS"/>
              </w:rPr>
            </w:pPr>
            <w:r w:rsidRPr="00092ED7">
              <w:rPr>
                <w:rFonts w:eastAsia="Times New Roman" w:cs="Times New Roman"/>
                <w:b/>
                <w:bCs/>
                <w:sz w:val="18"/>
                <w:szCs w:val="18"/>
                <w:lang w:val="sr-Cyrl-CS"/>
              </w:rPr>
              <w:t>ЦОР 12.5.</w:t>
            </w:r>
            <w:r w:rsidRPr="00092ED7">
              <w:rPr>
                <w:rFonts w:eastAsia="Times New Roman" w:cs="Times New Roman"/>
                <w:bCs/>
                <w:sz w:val="18"/>
                <w:szCs w:val="18"/>
                <w:lang w:val="sr-Cyrl-CS"/>
              </w:rPr>
              <w:t xml:space="preserve"> До 2030. значајно смањити производњу отпада кроз превенцију, редукцију, рециклирање и поновно коришћење </w:t>
            </w:r>
          </w:p>
        </w:tc>
        <w:tc>
          <w:tcPr>
            <w:tcW w:w="2409" w:type="dxa"/>
            <w:tcBorders>
              <w:top w:val="single" w:sz="6" w:space="0" w:color="000000"/>
              <w:left w:val="single" w:sz="6" w:space="0" w:color="000000"/>
              <w:bottom w:val="single" w:sz="6" w:space="0" w:color="000000"/>
              <w:right w:val="single" w:sz="6" w:space="0" w:color="000000"/>
            </w:tcBorders>
          </w:tcPr>
          <w:p w14:paraId="244FC552" w14:textId="77777777" w:rsidR="00C57EAF" w:rsidRPr="00092ED7" w:rsidRDefault="00C57EAF" w:rsidP="00C57EAF">
            <w:pPr>
              <w:spacing w:after="60"/>
              <w:jc w:val="left"/>
              <w:rPr>
                <w:rFonts w:eastAsia="Times New Roman" w:cs="Times New Roman"/>
                <w:b/>
                <w:bCs/>
                <w:iCs/>
                <w:sz w:val="18"/>
                <w:szCs w:val="18"/>
                <w:lang w:val="sr-Cyrl-CS"/>
              </w:rPr>
            </w:pPr>
            <w:r w:rsidRPr="00092ED7">
              <w:rPr>
                <w:rFonts w:eastAsia="Times New Roman" w:cs="Times New Roman"/>
                <w:bCs/>
                <w:iCs/>
                <w:sz w:val="18"/>
                <w:szCs w:val="18"/>
                <w:lang w:val="sr-Cyrl-CS"/>
              </w:rPr>
              <w:lastRenderedPageBreak/>
              <w:t xml:space="preserve">Директан утицај на </w:t>
            </w:r>
            <w:r w:rsidRPr="00092ED7">
              <w:rPr>
                <w:rFonts w:eastAsia="Times New Roman" w:cs="Times New Roman"/>
                <w:b/>
                <w:bCs/>
                <w:iCs/>
                <w:sz w:val="18"/>
                <w:szCs w:val="18"/>
                <w:lang w:val="sr-Cyrl-CS"/>
              </w:rPr>
              <w:t>циљеве:</w:t>
            </w:r>
          </w:p>
          <w:p w14:paraId="23519D7B" w14:textId="77777777" w:rsidR="00C57EAF" w:rsidRPr="00092ED7" w:rsidRDefault="00C57EAF" w:rsidP="00C57EAF">
            <w:pPr>
              <w:spacing w:after="60"/>
              <w:jc w:val="left"/>
              <w:rPr>
                <w:rFonts w:eastAsia="Times New Roman" w:cs="Times New Roman"/>
                <w:b/>
                <w:bCs/>
                <w:iCs/>
                <w:sz w:val="18"/>
                <w:szCs w:val="18"/>
                <w:lang w:val="sr-Cyrl-CS"/>
              </w:rPr>
            </w:pPr>
            <w:r w:rsidRPr="00092ED7">
              <w:rPr>
                <w:rFonts w:eastAsia="Times New Roman" w:cs="Times New Roman"/>
                <w:b/>
                <w:bCs/>
                <w:iCs/>
                <w:sz w:val="18"/>
                <w:szCs w:val="18"/>
                <w:lang w:val="sr-Cyrl-CS"/>
              </w:rPr>
              <w:t xml:space="preserve">циљ 42 </w:t>
            </w:r>
            <w:r w:rsidRPr="00092ED7">
              <w:rPr>
                <w:rFonts w:eastAsia="Times New Roman" w:cs="Times New Roman"/>
                <w:b/>
                <w:iCs/>
                <w:sz w:val="18"/>
                <w:szCs w:val="18"/>
                <w:lang w:val="sr-Cyrl-CS"/>
              </w:rPr>
              <w:t>ЗАЗБ</w:t>
            </w:r>
            <w:r w:rsidRPr="00092ED7">
              <w:rPr>
                <w:rFonts w:eastAsia="Times New Roman" w:cs="Times New Roman"/>
                <w:b/>
                <w:bCs/>
                <w:iCs/>
                <w:sz w:val="18"/>
                <w:szCs w:val="18"/>
                <w:lang w:val="sr-Cyrl-CS"/>
              </w:rPr>
              <w:t xml:space="preserve"> - </w:t>
            </w:r>
            <w:r w:rsidRPr="00092ED7">
              <w:rPr>
                <w:rFonts w:eastAsia="Times New Roman" w:cs="Times New Roman"/>
                <w:bCs/>
                <w:iCs/>
                <w:sz w:val="18"/>
                <w:szCs w:val="18"/>
                <w:lang w:val="sr-Cyrl-CS"/>
              </w:rPr>
              <w:t>Интегрисање заштите земљишта у друге области политике и успостављање регионалног партнерства за заштиту земљишта, како би се поспешила размена знања и утврдили примери добре праксе у заштити земљишта од загађења и деградације</w:t>
            </w:r>
          </w:p>
          <w:p w14:paraId="0D133521" w14:textId="77777777" w:rsidR="00C57EAF" w:rsidRPr="00092ED7" w:rsidRDefault="00C57EAF" w:rsidP="00C57EAF">
            <w:pPr>
              <w:spacing w:after="60"/>
              <w:jc w:val="left"/>
              <w:rPr>
                <w:rFonts w:eastAsia="Times New Roman" w:cs="Times New Roman"/>
                <w:bCs/>
                <w:iCs/>
                <w:sz w:val="18"/>
                <w:szCs w:val="18"/>
                <w:lang w:val="sr-Cyrl-CS"/>
              </w:rPr>
            </w:pPr>
            <w:r w:rsidRPr="00092ED7">
              <w:rPr>
                <w:rFonts w:eastAsia="Times New Roman" w:cs="Times New Roman"/>
                <w:b/>
                <w:bCs/>
                <w:iCs/>
                <w:sz w:val="18"/>
                <w:szCs w:val="18"/>
                <w:lang w:val="sr-Cyrl-CS"/>
              </w:rPr>
              <w:t xml:space="preserve">циљ 44 </w:t>
            </w:r>
            <w:r w:rsidRPr="00092ED7">
              <w:rPr>
                <w:rFonts w:eastAsia="Times New Roman" w:cs="Times New Roman"/>
                <w:b/>
                <w:iCs/>
                <w:sz w:val="18"/>
                <w:szCs w:val="18"/>
                <w:lang w:val="sr-Cyrl-CS"/>
              </w:rPr>
              <w:t>ЗАЗБ</w:t>
            </w:r>
            <w:r w:rsidRPr="00092ED7">
              <w:rPr>
                <w:rFonts w:eastAsia="Times New Roman" w:cs="Times New Roman"/>
                <w:b/>
                <w:bCs/>
                <w:iCs/>
                <w:sz w:val="18"/>
                <w:szCs w:val="18"/>
                <w:lang w:val="sr-Cyrl-CS"/>
              </w:rPr>
              <w:t xml:space="preserve"> - </w:t>
            </w:r>
            <w:r w:rsidRPr="00092ED7">
              <w:rPr>
                <w:rFonts w:eastAsia="Times New Roman" w:cs="Times New Roman"/>
                <w:bCs/>
                <w:iCs/>
                <w:sz w:val="18"/>
                <w:szCs w:val="18"/>
                <w:lang w:val="sr-Cyrl-CS"/>
              </w:rPr>
              <w:t>Усклађивање пољопривредно-прехрамбеног сектора и сектора примарне производње са стандардима ЕУ о сигурности хране, здрављу и добробити биљака и животиња и животној средини и решавање питања управљања отпадним водама, ђубривом и отпадом</w:t>
            </w:r>
          </w:p>
          <w:p w14:paraId="34E9E45E" w14:textId="77777777" w:rsidR="00C57EAF" w:rsidRPr="00092ED7" w:rsidRDefault="00C57EAF" w:rsidP="00C57EAF">
            <w:pPr>
              <w:spacing w:after="60"/>
              <w:jc w:val="left"/>
              <w:rPr>
                <w:rFonts w:eastAsia="Times New Roman" w:cs="Times New Roman"/>
                <w:b/>
                <w:bCs/>
                <w:iCs/>
                <w:sz w:val="18"/>
                <w:szCs w:val="18"/>
                <w:lang w:val="sr-Cyrl-CS"/>
              </w:rPr>
            </w:pPr>
            <w:r w:rsidRPr="00092ED7">
              <w:rPr>
                <w:rFonts w:eastAsia="Times New Roman" w:cs="Times New Roman"/>
                <w:b/>
                <w:bCs/>
                <w:iCs/>
                <w:sz w:val="18"/>
                <w:szCs w:val="18"/>
                <w:lang w:val="sr-Cyrl-CS"/>
              </w:rPr>
              <w:t xml:space="preserve">циљ 46 </w:t>
            </w:r>
            <w:r w:rsidRPr="00092ED7">
              <w:rPr>
                <w:rFonts w:eastAsia="Times New Roman" w:cs="Times New Roman"/>
                <w:b/>
                <w:iCs/>
                <w:sz w:val="18"/>
                <w:szCs w:val="18"/>
                <w:lang w:val="sr-Cyrl-CS"/>
              </w:rPr>
              <w:t>ЗАЗБ</w:t>
            </w:r>
            <w:r w:rsidRPr="00092ED7">
              <w:rPr>
                <w:rFonts w:eastAsia="Times New Roman" w:cs="Times New Roman"/>
                <w:b/>
                <w:bCs/>
                <w:iCs/>
                <w:sz w:val="18"/>
                <w:szCs w:val="18"/>
                <w:lang w:val="sr-Cyrl-CS"/>
              </w:rPr>
              <w:t xml:space="preserve"> - </w:t>
            </w:r>
            <w:r w:rsidRPr="00092ED7">
              <w:rPr>
                <w:rFonts w:eastAsia="Times New Roman" w:cs="Times New Roman"/>
                <w:bCs/>
                <w:iCs/>
                <w:sz w:val="18"/>
                <w:szCs w:val="18"/>
                <w:lang w:val="sr-Cyrl-CS"/>
              </w:rPr>
              <w:t xml:space="preserve">Промовисање еколошки прихватљивe (нулто загађење) и органскe пољопривредe и смањење </w:t>
            </w:r>
            <w:r w:rsidRPr="00092ED7">
              <w:rPr>
                <w:rFonts w:eastAsia="Times New Roman" w:cs="Times New Roman"/>
                <w:bCs/>
                <w:iCs/>
                <w:sz w:val="18"/>
                <w:szCs w:val="18"/>
                <w:lang w:val="sr-Cyrl-CS"/>
              </w:rPr>
              <w:lastRenderedPageBreak/>
              <w:t>употребе синтетичких хемијских производа у производњи хране</w:t>
            </w:r>
          </w:p>
          <w:p w14:paraId="0BEAB887" w14:textId="77777777" w:rsidR="00C57EAF" w:rsidRPr="00092ED7" w:rsidRDefault="00C57EAF" w:rsidP="00C57EAF">
            <w:pPr>
              <w:spacing w:after="60"/>
              <w:jc w:val="left"/>
              <w:rPr>
                <w:rFonts w:eastAsia="Times New Roman" w:cs="Times New Roman"/>
                <w:b/>
                <w:bCs/>
                <w:iCs/>
                <w:sz w:val="18"/>
                <w:szCs w:val="18"/>
                <w:lang w:val="sr-Cyrl-CS"/>
              </w:rPr>
            </w:pPr>
            <w:r w:rsidRPr="00092ED7">
              <w:rPr>
                <w:rFonts w:eastAsia="Times New Roman" w:cs="Times New Roman"/>
                <w:b/>
                <w:bCs/>
                <w:iCs/>
                <w:sz w:val="18"/>
                <w:szCs w:val="18"/>
                <w:lang w:val="sr-Cyrl-CS"/>
              </w:rPr>
              <w:t xml:space="preserve">циљ 47 </w:t>
            </w:r>
            <w:r w:rsidRPr="00092ED7">
              <w:rPr>
                <w:rFonts w:eastAsia="Times New Roman" w:cs="Times New Roman"/>
                <w:b/>
                <w:iCs/>
                <w:sz w:val="18"/>
                <w:szCs w:val="18"/>
                <w:lang w:val="sr-Cyrl-CS"/>
              </w:rPr>
              <w:t>ЗАЗБ</w:t>
            </w:r>
            <w:r w:rsidRPr="00092ED7">
              <w:rPr>
                <w:rFonts w:eastAsia="Times New Roman" w:cs="Times New Roman"/>
                <w:b/>
                <w:bCs/>
                <w:iCs/>
                <w:sz w:val="18"/>
                <w:szCs w:val="18"/>
                <w:lang w:val="sr-Cyrl-CS"/>
              </w:rPr>
              <w:t xml:space="preserve"> - </w:t>
            </w:r>
            <w:r w:rsidRPr="00092ED7">
              <w:rPr>
                <w:rFonts w:eastAsia="Times New Roman" w:cs="Times New Roman"/>
                <w:bCs/>
                <w:iCs/>
                <w:sz w:val="18"/>
                <w:szCs w:val="18"/>
                <w:lang w:val="sr-Cyrl-CS"/>
              </w:rPr>
              <w:t>Сарадња са научним, образовним, пословним и пољопривредним институцијама како би се олакшао трансфер иновативних и еколошких технологија и пољопривредних метода</w:t>
            </w:r>
          </w:p>
          <w:p w14:paraId="46B5C65E" w14:textId="77777777" w:rsidR="00C57EAF" w:rsidRPr="00092ED7" w:rsidRDefault="00C57EAF" w:rsidP="00C57EAF">
            <w:pPr>
              <w:spacing w:after="60"/>
              <w:jc w:val="left"/>
              <w:rPr>
                <w:rFonts w:eastAsia="Times New Roman" w:cs="Times New Roman"/>
                <w:b/>
                <w:bCs/>
                <w:iCs/>
                <w:sz w:val="18"/>
                <w:szCs w:val="18"/>
                <w:lang w:val="sr-Cyrl-CS"/>
              </w:rPr>
            </w:pPr>
            <w:r w:rsidRPr="00092ED7">
              <w:rPr>
                <w:rFonts w:eastAsia="Times New Roman" w:cs="Times New Roman"/>
                <w:b/>
                <w:bCs/>
                <w:iCs/>
                <w:sz w:val="18"/>
                <w:szCs w:val="18"/>
                <w:lang w:val="sr-Cyrl-CS"/>
              </w:rPr>
              <w:t xml:space="preserve">циљ 49 </w:t>
            </w:r>
            <w:r w:rsidRPr="00092ED7">
              <w:rPr>
                <w:rFonts w:eastAsia="Times New Roman" w:cs="Times New Roman"/>
                <w:b/>
                <w:iCs/>
                <w:sz w:val="18"/>
                <w:szCs w:val="18"/>
                <w:lang w:val="sr-Cyrl-CS"/>
              </w:rPr>
              <w:t>ЗАЗБ</w:t>
            </w:r>
            <w:r w:rsidRPr="00092ED7">
              <w:rPr>
                <w:rFonts w:eastAsia="Times New Roman" w:cs="Times New Roman"/>
                <w:b/>
                <w:bCs/>
                <w:iCs/>
                <w:sz w:val="18"/>
                <w:szCs w:val="18"/>
                <w:lang w:val="sr-Cyrl-CS"/>
              </w:rPr>
              <w:t xml:space="preserve"> - </w:t>
            </w:r>
            <w:r w:rsidRPr="00092ED7">
              <w:rPr>
                <w:rFonts w:eastAsia="Times New Roman" w:cs="Times New Roman"/>
                <w:bCs/>
                <w:iCs/>
                <w:sz w:val="18"/>
                <w:szCs w:val="18"/>
                <w:lang w:val="sr-Cyrl-CS"/>
              </w:rPr>
              <w:t>Повећање напора усмерених на одрживи развој руралних области уз примену програма LEADER</w:t>
            </w:r>
          </w:p>
          <w:p w14:paraId="4687EE3F" w14:textId="77777777" w:rsidR="00C57EAF" w:rsidRPr="00092ED7" w:rsidRDefault="00C57EAF" w:rsidP="00C57EAF">
            <w:pPr>
              <w:spacing w:after="60"/>
              <w:jc w:val="left"/>
              <w:rPr>
                <w:rFonts w:eastAsia="Times New Roman" w:cs="Times New Roman"/>
                <w:b/>
                <w:bCs/>
                <w:iCs/>
                <w:sz w:val="18"/>
                <w:szCs w:val="18"/>
                <w:lang w:val="sr-Cyrl-CS"/>
              </w:rPr>
            </w:pPr>
            <w:r w:rsidRPr="00092ED7">
              <w:rPr>
                <w:rFonts w:eastAsia="Times New Roman" w:cs="Times New Roman"/>
                <w:b/>
                <w:bCs/>
                <w:iCs/>
                <w:sz w:val="18"/>
                <w:szCs w:val="18"/>
                <w:lang w:val="sr-Cyrl-CS"/>
              </w:rPr>
              <w:t xml:space="preserve">циљ 50 </w:t>
            </w:r>
            <w:r w:rsidRPr="00092ED7">
              <w:rPr>
                <w:rFonts w:eastAsia="Times New Roman" w:cs="Times New Roman"/>
                <w:b/>
                <w:iCs/>
                <w:sz w:val="18"/>
                <w:szCs w:val="18"/>
                <w:lang w:val="sr-Cyrl-CS"/>
              </w:rPr>
              <w:t>ЗАЗБ</w:t>
            </w:r>
            <w:r w:rsidRPr="00092ED7">
              <w:rPr>
                <w:rFonts w:eastAsia="Times New Roman" w:cs="Times New Roman"/>
                <w:b/>
                <w:bCs/>
                <w:iCs/>
                <w:sz w:val="18"/>
                <w:szCs w:val="18"/>
                <w:lang w:val="sr-Cyrl-CS"/>
              </w:rPr>
              <w:t xml:space="preserve"> - </w:t>
            </w:r>
            <w:r w:rsidRPr="00092ED7">
              <w:rPr>
                <w:rFonts w:eastAsia="Times New Roman" w:cs="Times New Roman"/>
                <w:bCs/>
                <w:iCs/>
                <w:sz w:val="18"/>
                <w:szCs w:val="18"/>
                <w:lang w:val="sr-Cyrl-CS"/>
              </w:rPr>
              <w:t>Подршка инвестицијама у производњу и технологије обновљиве енергије, као и смањење емисија гасова са ефектом стаклене баште и примена мера прилагођавања на климатске промене у пољопривреди</w:t>
            </w:r>
          </w:p>
          <w:p w14:paraId="67CBC884" w14:textId="77777777" w:rsidR="00C57EAF" w:rsidRPr="00092ED7" w:rsidRDefault="00C57EAF" w:rsidP="00C57EAF">
            <w:pPr>
              <w:spacing w:after="60"/>
              <w:jc w:val="left"/>
              <w:rPr>
                <w:rFonts w:eastAsia="Times New Roman" w:cs="Times New Roman"/>
                <w:b/>
                <w:bCs/>
                <w:iCs/>
                <w:sz w:val="18"/>
                <w:szCs w:val="18"/>
                <w:lang w:val="sr-Cyrl-CS"/>
              </w:rPr>
            </w:pPr>
            <w:r w:rsidRPr="00092ED7">
              <w:rPr>
                <w:rFonts w:eastAsia="Times New Roman" w:cs="Times New Roman"/>
                <w:b/>
                <w:bCs/>
                <w:iCs/>
                <w:sz w:val="18"/>
                <w:szCs w:val="18"/>
                <w:lang w:val="sr-Cyrl-CS"/>
              </w:rPr>
              <w:t xml:space="preserve">циљ 17 Европског Зеленог договора - </w:t>
            </w:r>
            <w:r w:rsidRPr="00092ED7">
              <w:rPr>
                <w:rFonts w:eastAsia="Times New Roman" w:cs="Times New Roman"/>
                <w:bCs/>
                <w:iCs/>
                <w:sz w:val="18"/>
                <w:szCs w:val="18"/>
                <w:lang w:val="sr-Cyrl-CS"/>
              </w:rPr>
              <w:t>Предлагање реформи законодавства о отпаду</w:t>
            </w:r>
          </w:p>
          <w:p w14:paraId="0FD863CC" w14:textId="77777777" w:rsidR="00C57EAF" w:rsidRPr="00092ED7" w:rsidRDefault="00C57EAF" w:rsidP="00C57EAF">
            <w:pPr>
              <w:spacing w:after="60"/>
              <w:jc w:val="left"/>
              <w:rPr>
                <w:rFonts w:eastAsia="Times New Roman" w:cs="Times New Roman"/>
                <w:b/>
                <w:bCs/>
                <w:iCs/>
                <w:sz w:val="18"/>
                <w:szCs w:val="18"/>
                <w:lang w:val="sr-Cyrl-CS"/>
              </w:rPr>
            </w:pPr>
            <w:r w:rsidRPr="00092ED7">
              <w:rPr>
                <w:rFonts w:eastAsia="Times New Roman" w:cs="Times New Roman"/>
                <w:b/>
                <w:bCs/>
                <w:iCs/>
                <w:sz w:val="18"/>
                <w:szCs w:val="18"/>
                <w:lang w:val="sr-Cyrl-CS"/>
              </w:rPr>
              <w:t xml:space="preserve">циљ 26 Европског Зеленог договора - </w:t>
            </w:r>
            <w:r w:rsidRPr="00092ED7">
              <w:rPr>
                <w:rFonts w:eastAsia="Times New Roman" w:cs="Times New Roman"/>
                <w:bCs/>
                <w:iCs/>
                <w:sz w:val="18"/>
                <w:szCs w:val="18"/>
                <w:lang w:val="sr-Cyrl-CS"/>
              </w:rPr>
              <w:t>Стратегија „од поља до стола”</w:t>
            </w:r>
          </w:p>
          <w:p w14:paraId="7B79358A" w14:textId="77777777" w:rsidR="00C57EAF" w:rsidRPr="00092ED7" w:rsidRDefault="00C57EAF" w:rsidP="00C57EAF">
            <w:pPr>
              <w:spacing w:after="60"/>
              <w:jc w:val="left"/>
              <w:rPr>
                <w:rFonts w:eastAsia="Times New Roman" w:cs="Times New Roman"/>
                <w:bCs/>
                <w:iCs/>
                <w:sz w:val="18"/>
                <w:szCs w:val="18"/>
                <w:lang w:val="sr-Cyrl-CS"/>
              </w:rPr>
            </w:pPr>
            <w:r w:rsidRPr="00092ED7">
              <w:rPr>
                <w:rFonts w:eastAsia="Times New Roman" w:cs="Times New Roman"/>
                <w:b/>
                <w:bCs/>
                <w:iCs/>
                <w:sz w:val="18"/>
                <w:szCs w:val="18"/>
                <w:lang w:val="sr-Cyrl-CS"/>
              </w:rPr>
              <w:t xml:space="preserve">циљ 27 Европског Зеленог договора - </w:t>
            </w:r>
            <w:r w:rsidRPr="00092ED7">
              <w:rPr>
                <w:rFonts w:eastAsia="Times New Roman" w:cs="Times New Roman"/>
                <w:bCs/>
                <w:iCs/>
                <w:sz w:val="18"/>
                <w:szCs w:val="18"/>
                <w:lang w:val="sr-Cyrl-CS"/>
              </w:rPr>
              <w:t xml:space="preserve">Мере, укључујући законодавне, за знатно смањење употребе и ризика </w:t>
            </w:r>
            <w:r w:rsidRPr="00092ED7">
              <w:rPr>
                <w:rFonts w:eastAsia="Times New Roman" w:cs="Times New Roman"/>
                <w:bCs/>
                <w:iCs/>
                <w:sz w:val="18"/>
                <w:szCs w:val="18"/>
                <w:lang w:val="sr-Cyrl-CS"/>
              </w:rPr>
              <w:lastRenderedPageBreak/>
              <w:t>хемијских пестицида као и употребе ђубрива и антибиотика</w:t>
            </w:r>
          </w:p>
          <w:p w14:paraId="7407E451" w14:textId="77777777" w:rsidR="00C57EAF" w:rsidRPr="00092ED7" w:rsidRDefault="00C57EAF" w:rsidP="00C57EAF">
            <w:pPr>
              <w:spacing w:after="60"/>
              <w:jc w:val="left"/>
              <w:rPr>
                <w:rFonts w:eastAsia="Times New Roman" w:cs="Times New Roman"/>
                <w:i/>
                <w:iCs/>
                <w:sz w:val="18"/>
                <w:szCs w:val="18"/>
                <w:lang w:val="sr-Cyrl-CS"/>
              </w:rPr>
            </w:pPr>
            <w:r w:rsidRPr="00092ED7">
              <w:rPr>
                <w:rFonts w:eastAsia="Times New Roman" w:cs="Times New Roman"/>
                <w:i/>
                <w:iCs/>
                <w:sz w:val="18"/>
                <w:szCs w:val="18"/>
                <w:lang w:val="sr-Cyrl-CS"/>
              </w:rPr>
              <w:t xml:space="preserve">Развој руралне инфраструктуре и тржишних ланаца вредности заснованих на принципима одрживости, еколошке прихватљивости и ниске емисије штетних гасова утичу на очување животне средине. Успостављање шема квалитета производа доприноси унапређењу прехрамбене (нарочито органске) производње. Процес комасације земљишта доприноси интегрисаном управљању природним ресурсима и повезивању екосистема, у складу са захтевима животне средине. У целини, </w:t>
            </w:r>
            <w:r w:rsidRPr="00092ED7">
              <w:rPr>
                <w:rFonts w:eastAsia="Times New Roman" w:cs="Times New Roman"/>
                <w:bCs/>
                <w:i/>
                <w:iCs/>
                <w:sz w:val="18"/>
                <w:szCs w:val="18"/>
                <w:lang w:val="sr-Cyrl-CS"/>
              </w:rPr>
              <w:t xml:space="preserve">унапређење конкурентности пољопривреде доприноси озелењавању, побољшању руралног агробиодиверзитета и ублажавању климатских промена. </w:t>
            </w:r>
          </w:p>
        </w:tc>
        <w:tc>
          <w:tcPr>
            <w:tcW w:w="1843" w:type="dxa"/>
            <w:tcBorders>
              <w:top w:val="single" w:sz="6" w:space="0" w:color="000000"/>
              <w:left w:val="single" w:sz="6" w:space="0" w:color="000000"/>
              <w:bottom w:val="single" w:sz="6" w:space="0" w:color="000000"/>
              <w:right w:val="single" w:sz="6" w:space="0" w:color="000000"/>
            </w:tcBorders>
          </w:tcPr>
          <w:p w14:paraId="6DCEFAEC" w14:textId="77777777" w:rsidR="00C57EAF" w:rsidRPr="00092ED7" w:rsidRDefault="00C57EAF" w:rsidP="00C57EAF">
            <w:pPr>
              <w:spacing w:after="60"/>
              <w:jc w:val="left"/>
              <w:rPr>
                <w:rFonts w:eastAsia="Times New Roman" w:cs="Times New Roman"/>
                <w:b/>
                <w:bCs/>
                <w:iCs/>
                <w:sz w:val="18"/>
                <w:szCs w:val="18"/>
                <w:lang w:val="sr-Cyrl-CS"/>
              </w:rPr>
            </w:pPr>
            <w:r w:rsidRPr="00092ED7">
              <w:rPr>
                <w:rFonts w:eastAsia="Times New Roman" w:cs="Times New Roman"/>
                <w:b/>
                <w:iCs/>
                <w:sz w:val="18"/>
                <w:szCs w:val="18"/>
                <w:lang w:val="sr-Cyrl-CS"/>
              </w:rPr>
              <w:lastRenderedPageBreak/>
              <w:t xml:space="preserve">Поглавље </w:t>
            </w:r>
            <w:r w:rsidRPr="00092ED7">
              <w:rPr>
                <w:rFonts w:eastAsia="Times New Roman" w:cs="Times New Roman"/>
                <w:b/>
                <w:bCs/>
                <w:iCs/>
                <w:sz w:val="18"/>
                <w:szCs w:val="18"/>
                <w:lang w:val="sr-Cyrl-CS"/>
              </w:rPr>
              <w:t>III Значајан инвестициони пакет,</w:t>
            </w:r>
          </w:p>
          <w:p w14:paraId="387D278C" w14:textId="77777777" w:rsidR="00C57EAF" w:rsidRPr="00092ED7" w:rsidRDefault="00C57EAF" w:rsidP="00C57EAF">
            <w:pPr>
              <w:spacing w:after="60"/>
              <w:jc w:val="left"/>
              <w:rPr>
                <w:rFonts w:eastAsia="Times New Roman" w:cs="Times New Roman"/>
                <w:bCs/>
                <w:iCs/>
                <w:sz w:val="18"/>
                <w:szCs w:val="18"/>
                <w:lang w:val="sr-Cyrl-CS"/>
              </w:rPr>
            </w:pPr>
            <w:r w:rsidRPr="00092ED7">
              <w:rPr>
                <w:rFonts w:eastAsia="Times New Roman" w:cs="Times New Roman"/>
                <w:bCs/>
                <w:iCs/>
                <w:sz w:val="18"/>
                <w:szCs w:val="18"/>
                <w:lang w:val="sr-Cyrl-CS"/>
              </w:rPr>
              <w:t>- подржати инвестиције у рурална подручја кроз ИПАРД финансирање,</w:t>
            </w:r>
          </w:p>
          <w:p w14:paraId="3462EA6B" w14:textId="77777777" w:rsidR="00C57EAF" w:rsidRPr="00092ED7" w:rsidRDefault="00C57EAF" w:rsidP="00C57EAF">
            <w:pPr>
              <w:spacing w:after="60"/>
              <w:jc w:val="left"/>
              <w:rPr>
                <w:rFonts w:eastAsia="Times New Roman" w:cs="Times New Roman"/>
                <w:b/>
                <w:bCs/>
                <w:iCs/>
                <w:sz w:val="18"/>
                <w:szCs w:val="18"/>
                <w:lang w:val="sr-Cyrl-CS"/>
              </w:rPr>
            </w:pPr>
            <w:r w:rsidRPr="00092ED7">
              <w:rPr>
                <w:rFonts w:eastAsia="Times New Roman" w:cs="Times New Roman"/>
                <w:b/>
                <w:bCs/>
                <w:iCs/>
                <w:sz w:val="18"/>
                <w:szCs w:val="18"/>
                <w:lang w:val="sr-Cyrl-CS"/>
              </w:rPr>
              <w:t>Поглавље VIII Подстицање приватног сектора</w:t>
            </w:r>
          </w:p>
          <w:p w14:paraId="51C7EC6D" w14:textId="77777777" w:rsidR="00C57EAF" w:rsidRPr="00092ED7" w:rsidRDefault="00C57EAF" w:rsidP="00C57EAF">
            <w:pPr>
              <w:spacing w:after="60"/>
              <w:jc w:val="left"/>
              <w:rPr>
                <w:rFonts w:eastAsia="Times New Roman" w:cs="Times New Roman"/>
                <w:bCs/>
                <w:iCs/>
                <w:sz w:val="18"/>
                <w:szCs w:val="18"/>
                <w:lang w:val="sr-Cyrl-CS"/>
              </w:rPr>
            </w:pPr>
            <w:r w:rsidRPr="00092ED7">
              <w:rPr>
                <w:rFonts w:eastAsia="Times New Roman" w:cs="Times New Roman"/>
                <w:bCs/>
                <w:iCs/>
                <w:sz w:val="18"/>
                <w:szCs w:val="18"/>
                <w:lang w:val="sr-Cyrl-CS"/>
              </w:rPr>
              <w:t xml:space="preserve">- Омогућити улагања у одрживу пољопривредну производњу ради подршке уравнотеженом руралном развоју и јачању конкурентности и одрживости пољопривредно-прехрамбеног сектора, </w:t>
            </w:r>
          </w:p>
          <w:p w14:paraId="7DC5FE77" w14:textId="77777777" w:rsidR="00C57EAF" w:rsidRPr="00092ED7" w:rsidRDefault="00C57EAF" w:rsidP="00C57EAF">
            <w:pPr>
              <w:spacing w:after="60"/>
              <w:jc w:val="left"/>
              <w:rPr>
                <w:rFonts w:eastAsia="Times New Roman" w:cs="Times New Roman"/>
                <w:b/>
                <w:bCs/>
                <w:iCs/>
                <w:sz w:val="18"/>
                <w:szCs w:val="18"/>
                <w:lang w:val="sr-Cyrl-CS"/>
              </w:rPr>
            </w:pPr>
            <w:r w:rsidRPr="00092ED7">
              <w:rPr>
                <w:rFonts w:eastAsia="Times New Roman" w:cs="Times New Roman"/>
                <w:b/>
                <w:bCs/>
                <w:iCs/>
                <w:sz w:val="18"/>
                <w:szCs w:val="18"/>
                <w:lang w:val="sr-Cyrl-CS"/>
              </w:rPr>
              <w:t xml:space="preserve">Кључна иницијатива 9 – Улагање у </w:t>
            </w:r>
            <w:r w:rsidRPr="00092ED7">
              <w:rPr>
                <w:rFonts w:eastAsia="Times New Roman" w:cs="Times New Roman"/>
                <w:b/>
                <w:bCs/>
                <w:iCs/>
                <w:sz w:val="18"/>
                <w:szCs w:val="18"/>
                <w:lang w:val="sr-Cyrl-CS"/>
              </w:rPr>
              <w:lastRenderedPageBreak/>
              <w:t>конкурентност приватног сектора</w:t>
            </w:r>
          </w:p>
          <w:p w14:paraId="2FC01883" w14:textId="77777777" w:rsidR="00C57EAF" w:rsidRPr="00092ED7" w:rsidRDefault="00C57EAF" w:rsidP="00C57EAF">
            <w:pPr>
              <w:pStyle w:val="Default"/>
              <w:spacing w:after="60"/>
              <w:jc w:val="left"/>
              <w:rPr>
                <w:bCs/>
                <w:iCs/>
                <w:color w:val="auto"/>
                <w:sz w:val="18"/>
                <w:szCs w:val="18"/>
                <w:lang w:val="sr-Cyrl-CS"/>
              </w:rPr>
            </w:pPr>
            <w:r w:rsidRPr="00092ED7">
              <w:rPr>
                <w:rFonts w:ascii="Times New Roman" w:hAnsi="Times New Roman" w:cs="Times New Roman"/>
                <w:bCs/>
                <w:iCs/>
                <w:color w:val="auto"/>
                <w:sz w:val="18"/>
                <w:szCs w:val="18"/>
                <w:lang w:val="sr-Cyrl-CS"/>
              </w:rPr>
              <w:t>- Мобилисати помоћ за одрживу трансформацију пољопривредно-прехрамбених система и рурални развој</w:t>
            </w:r>
            <w:r w:rsidRPr="00092ED7">
              <w:rPr>
                <w:bCs/>
                <w:iCs/>
                <w:color w:val="auto"/>
                <w:sz w:val="18"/>
                <w:szCs w:val="18"/>
                <w:lang w:val="sr-Cyrl-CS"/>
              </w:rPr>
              <w:t xml:space="preserve"> </w:t>
            </w:r>
          </w:p>
        </w:tc>
        <w:tc>
          <w:tcPr>
            <w:tcW w:w="1559" w:type="dxa"/>
            <w:tcBorders>
              <w:top w:val="single" w:sz="6" w:space="0" w:color="000000"/>
              <w:left w:val="single" w:sz="6" w:space="0" w:color="000000"/>
              <w:bottom w:val="single" w:sz="6" w:space="0" w:color="000000"/>
              <w:right w:val="single" w:sz="6" w:space="0" w:color="000000"/>
            </w:tcBorders>
          </w:tcPr>
          <w:p w14:paraId="77792809" w14:textId="1909B40D"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lastRenderedPageBreak/>
              <w:t xml:space="preserve">ИПА </w:t>
            </w:r>
            <w:r w:rsidR="0021103E" w:rsidRPr="00092ED7">
              <w:rPr>
                <w:rFonts w:eastAsia="Times New Roman" w:cs="Times New Roman"/>
                <w:iCs/>
                <w:sz w:val="18"/>
                <w:szCs w:val="18"/>
                <w:lang w:val="sr-Cyrl-CS"/>
              </w:rPr>
              <w:t>20</w:t>
            </w:r>
            <w:r w:rsidRPr="00092ED7">
              <w:rPr>
                <w:rFonts w:eastAsia="Times New Roman" w:cs="Times New Roman"/>
                <w:iCs/>
                <w:sz w:val="18"/>
                <w:szCs w:val="18"/>
                <w:lang w:val="sr-Cyrl-CS"/>
              </w:rPr>
              <w:t>17 неалоцирани „Подршка ИПАРД оперативној структури (Управљачко тело и ИПАРД агенција)</w:t>
            </w:r>
            <w:r w:rsidR="005E3F54" w:rsidRPr="00092ED7">
              <w:rPr>
                <w:rFonts w:cs="Times New Roman"/>
                <w:sz w:val="18"/>
                <w:szCs w:val="18"/>
                <w:lang w:val="sr-Cyrl-CS"/>
              </w:rPr>
              <w:t>”</w:t>
            </w:r>
            <w:r w:rsidRPr="00092ED7">
              <w:rPr>
                <w:rFonts w:eastAsia="Times New Roman" w:cs="Times New Roman"/>
                <w:iCs/>
                <w:sz w:val="18"/>
                <w:szCs w:val="18"/>
                <w:lang w:val="sr-Cyrl-CS"/>
              </w:rPr>
              <w:t>.</w:t>
            </w:r>
          </w:p>
          <w:p w14:paraId="7E01E849" w14:textId="77777777"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Период имплементације 6/01/2022 - 06/01/2023</w:t>
            </w:r>
          </w:p>
          <w:p w14:paraId="2A394503" w14:textId="77777777"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Вредност уговора: 658.740,00 евра;</w:t>
            </w:r>
          </w:p>
          <w:p w14:paraId="72194DBE" w14:textId="3AE63431"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 xml:space="preserve">ИПА </w:t>
            </w:r>
            <w:r w:rsidR="0021103E" w:rsidRPr="00092ED7">
              <w:rPr>
                <w:rFonts w:eastAsia="Times New Roman" w:cs="Times New Roman"/>
                <w:iCs/>
                <w:sz w:val="18"/>
                <w:szCs w:val="18"/>
                <w:lang w:val="sr-Cyrl-CS"/>
              </w:rPr>
              <w:t>20</w:t>
            </w:r>
            <w:r w:rsidRPr="00092ED7">
              <w:rPr>
                <w:rFonts w:eastAsia="Times New Roman" w:cs="Times New Roman"/>
                <w:iCs/>
                <w:sz w:val="18"/>
                <w:szCs w:val="18"/>
                <w:lang w:val="sr-Cyrl-CS"/>
              </w:rPr>
              <w:t>18 неалоциран</w:t>
            </w:r>
            <w:r w:rsidR="00B30259" w:rsidRPr="00092ED7">
              <w:rPr>
                <w:rFonts w:eastAsia="Times New Roman" w:cs="Times New Roman"/>
                <w:iCs/>
                <w:sz w:val="18"/>
                <w:szCs w:val="18"/>
                <w:lang w:val="sr-Cyrl-CS"/>
              </w:rPr>
              <w:t>а средства</w:t>
            </w:r>
            <w:r w:rsidRPr="00092ED7">
              <w:rPr>
                <w:rFonts w:eastAsia="Times New Roman" w:cs="Times New Roman"/>
                <w:iCs/>
                <w:sz w:val="18"/>
                <w:szCs w:val="18"/>
                <w:lang w:val="sr-Cyrl-CS"/>
              </w:rPr>
              <w:t xml:space="preserve"> „Јачање и усклађивање административних капацитета за успостављање уређења тржишта пољопривредних производа</w:t>
            </w:r>
            <w:r w:rsidR="00D80E02" w:rsidRPr="00092ED7">
              <w:rPr>
                <w:rFonts w:cs="Times New Roman"/>
                <w:sz w:val="18"/>
                <w:szCs w:val="18"/>
                <w:lang w:val="sr-Cyrl-CS"/>
              </w:rPr>
              <w:t>”</w:t>
            </w:r>
          </w:p>
          <w:p w14:paraId="4FC86111" w14:textId="77777777"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lastRenderedPageBreak/>
              <w:t xml:space="preserve">Период импелементације </w:t>
            </w:r>
          </w:p>
          <w:p w14:paraId="5540AA82" w14:textId="77777777"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5/5/2022 – 5/5/2024</w:t>
            </w:r>
          </w:p>
          <w:p w14:paraId="2CDA1532" w14:textId="77777777"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Вредност уговора:</w:t>
            </w:r>
          </w:p>
          <w:p w14:paraId="456BDC15" w14:textId="77777777"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1.795.476,45 евра</w:t>
            </w:r>
          </w:p>
          <w:p w14:paraId="55E6DEF4" w14:textId="77777777" w:rsidR="00B30259" w:rsidRPr="00092ED7" w:rsidRDefault="00B30259" w:rsidP="00C57EAF">
            <w:pPr>
              <w:spacing w:after="60"/>
              <w:jc w:val="left"/>
              <w:rPr>
                <w:rFonts w:eastAsia="Times New Roman" w:cs="Times New Roman"/>
                <w:iCs/>
                <w:sz w:val="18"/>
                <w:szCs w:val="18"/>
                <w:lang w:val="sr-Cyrl-CS"/>
              </w:rPr>
            </w:pPr>
          </w:p>
          <w:p w14:paraId="150421DE" w14:textId="77777777"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 xml:space="preserve">ИПА </w:t>
            </w:r>
            <w:r w:rsidR="0021103E" w:rsidRPr="00092ED7">
              <w:rPr>
                <w:rFonts w:eastAsia="Times New Roman" w:cs="Times New Roman"/>
                <w:iCs/>
                <w:sz w:val="18"/>
                <w:szCs w:val="18"/>
                <w:lang w:val="sr-Cyrl-CS"/>
              </w:rPr>
              <w:t>20</w:t>
            </w:r>
            <w:r w:rsidRPr="00092ED7">
              <w:rPr>
                <w:rFonts w:eastAsia="Times New Roman" w:cs="Times New Roman"/>
                <w:iCs/>
                <w:sz w:val="18"/>
                <w:szCs w:val="18"/>
                <w:lang w:val="sr-Cyrl-CS"/>
              </w:rPr>
              <w:t>18 „Подршка успостављању система класификације трупова у складу са Заједничком пољоп</w:t>
            </w:r>
            <w:r w:rsidR="00BC7FFA" w:rsidRPr="00092ED7">
              <w:rPr>
                <w:rFonts w:eastAsia="Times New Roman" w:cs="Times New Roman"/>
                <w:iCs/>
                <w:sz w:val="18"/>
                <w:szCs w:val="18"/>
                <w:lang w:val="sr-Cyrl-CS"/>
              </w:rPr>
              <w:t>р</w:t>
            </w:r>
            <w:r w:rsidRPr="00092ED7">
              <w:rPr>
                <w:rFonts w:eastAsia="Times New Roman" w:cs="Times New Roman"/>
                <w:iCs/>
                <w:sz w:val="18"/>
                <w:szCs w:val="18"/>
                <w:lang w:val="sr-Cyrl-CS"/>
              </w:rPr>
              <w:t>ивредном политиком ЕУ”</w:t>
            </w:r>
          </w:p>
          <w:p w14:paraId="5A93F25A" w14:textId="77777777"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Период имплементације</w:t>
            </w:r>
          </w:p>
          <w:p w14:paraId="78C54314" w14:textId="77777777"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6/6/2022 – 12/6/2023</w:t>
            </w:r>
          </w:p>
          <w:p w14:paraId="42AB550B" w14:textId="77777777"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Вредност уговора:</w:t>
            </w:r>
          </w:p>
          <w:p w14:paraId="41EA6DB9" w14:textId="77777777" w:rsidR="00C57EAF" w:rsidRPr="00092ED7" w:rsidRDefault="00C57EAF" w:rsidP="00C57EAF">
            <w:pPr>
              <w:spacing w:after="60"/>
              <w:jc w:val="left"/>
              <w:rPr>
                <w:lang w:val="sr-Cyrl-CS"/>
              </w:rPr>
            </w:pPr>
            <w:r w:rsidRPr="00092ED7">
              <w:rPr>
                <w:rFonts w:eastAsia="Times New Roman" w:cs="Times New Roman"/>
                <w:iCs/>
                <w:sz w:val="18"/>
                <w:szCs w:val="18"/>
                <w:lang w:val="sr-Cyrl-CS"/>
              </w:rPr>
              <w:t>1.000.00,00 евра</w:t>
            </w:r>
          </w:p>
        </w:tc>
      </w:tr>
      <w:tr w:rsidR="00C57EAF" w:rsidRPr="00092ED7" w14:paraId="4B9ABFFA" w14:textId="77777777" w:rsidTr="00F50B50">
        <w:trPr>
          <w:trHeight w:val="977"/>
        </w:trPr>
        <w:tc>
          <w:tcPr>
            <w:tcW w:w="1635" w:type="dxa"/>
            <w:tcBorders>
              <w:top w:val="single" w:sz="6" w:space="0" w:color="000000"/>
              <w:left w:val="single" w:sz="6" w:space="0" w:color="000000"/>
              <w:bottom w:val="single" w:sz="6" w:space="0" w:color="000000"/>
              <w:right w:val="single" w:sz="6" w:space="0" w:color="000000"/>
            </w:tcBorders>
          </w:tcPr>
          <w:p w14:paraId="2551B818" w14:textId="77777777" w:rsidR="00C57EAF" w:rsidRPr="00092ED7" w:rsidRDefault="00C57EAF" w:rsidP="00C57EAF">
            <w:pPr>
              <w:spacing w:after="60"/>
              <w:jc w:val="left"/>
              <w:rPr>
                <w:rFonts w:eastAsia="Times New Roman" w:cs="Times New Roman"/>
                <w:b/>
                <w:bCs/>
                <w:sz w:val="20"/>
                <w:szCs w:val="20"/>
                <w:lang w:val="sr-Cyrl-CS"/>
              </w:rPr>
            </w:pPr>
            <w:r w:rsidRPr="00092ED7">
              <w:rPr>
                <w:rFonts w:eastAsia="Times New Roman" w:cs="Times New Roman"/>
                <w:b/>
                <w:bCs/>
                <w:sz w:val="20"/>
                <w:szCs w:val="20"/>
                <w:lang w:val="sr-Cyrl-CS"/>
              </w:rPr>
              <w:lastRenderedPageBreak/>
              <w:t xml:space="preserve">СР 21. Унапређење стратешког оквира инфраструктуре квалитета и интеграције у </w:t>
            </w:r>
            <w:r w:rsidRPr="00092ED7">
              <w:rPr>
                <w:rFonts w:eastAsia="Times New Roman" w:cs="Times New Roman"/>
                <w:b/>
                <w:bCs/>
                <w:sz w:val="20"/>
                <w:szCs w:val="20"/>
                <w:lang w:val="sr-Cyrl-CS"/>
              </w:rPr>
              <w:lastRenderedPageBreak/>
              <w:t>јединствено тржиште ЕУ</w:t>
            </w:r>
          </w:p>
        </w:tc>
        <w:tc>
          <w:tcPr>
            <w:tcW w:w="1498" w:type="dxa"/>
            <w:tcBorders>
              <w:top w:val="single" w:sz="6" w:space="0" w:color="000000"/>
              <w:left w:val="single" w:sz="6" w:space="0" w:color="000000"/>
              <w:bottom w:val="single" w:sz="6" w:space="0" w:color="000000"/>
              <w:right w:val="single" w:sz="6" w:space="0" w:color="000000"/>
            </w:tcBorders>
          </w:tcPr>
          <w:p w14:paraId="4B1032A8" w14:textId="77777777" w:rsidR="00C57EAF" w:rsidRPr="00092ED7" w:rsidRDefault="00C57EAF" w:rsidP="00C57EAF">
            <w:pPr>
              <w:spacing w:after="60"/>
              <w:jc w:val="left"/>
              <w:rPr>
                <w:rFonts w:eastAsia="Times New Roman" w:cs="Times New Roman"/>
                <w:iCs/>
                <w:sz w:val="18"/>
                <w:szCs w:val="18"/>
                <w:lang w:val="sr-Cyrl-CS"/>
              </w:rPr>
            </w:pPr>
          </w:p>
        </w:tc>
        <w:tc>
          <w:tcPr>
            <w:tcW w:w="1750" w:type="dxa"/>
            <w:tcBorders>
              <w:top w:val="single" w:sz="6" w:space="0" w:color="000000"/>
              <w:left w:val="single" w:sz="6" w:space="0" w:color="000000"/>
              <w:bottom w:val="single" w:sz="6" w:space="0" w:color="000000"/>
              <w:right w:val="single" w:sz="6" w:space="0" w:color="000000"/>
            </w:tcBorders>
            <w:shd w:val="clear" w:color="auto" w:fill="auto"/>
          </w:tcPr>
          <w:p w14:paraId="47742AE0" w14:textId="77777777" w:rsidR="00C57EAF" w:rsidRPr="00092ED7" w:rsidRDefault="00C57EAF" w:rsidP="00C57EAF">
            <w:pPr>
              <w:spacing w:after="60"/>
              <w:jc w:val="left"/>
              <w:rPr>
                <w:rFonts w:eastAsia="Times New Roman" w:cs="Times New Roman"/>
                <w:i/>
                <w:iCs/>
                <w:sz w:val="18"/>
                <w:szCs w:val="18"/>
                <w:lang w:val="sr-Cyrl-CS"/>
              </w:rPr>
            </w:pPr>
          </w:p>
        </w:tc>
        <w:tc>
          <w:tcPr>
            <w:tcW w:w="2015" w:type="dxa"/>
            <w:tcBorders>
              <w:top w:val="single" w:sz="6" w:space="0" w:color="000000"/>
              <w:left w:val="single" w:sz="6" w:space="0" w:color="000000"/>
              <w:bottom w:val="single" w:sz="6" w:space="0" w:color="000000"/>
              <w:right w:val="single" w:sz="6" w:space="0" w:color="000000"/>
            </w:tcBorders>
            <w:shd w:val="clear" w:color="auto" w:fill="auto"/>
          </w:tcPr>
          <w:p w14:paraId="4E9DB707" w14:textId="77777777" w:rsidR="00C57EAF" w:rsidRPr="00092ED7" w:rsidRDefault="00C57EAF" w:rsidP="00C57EAF">
            <w:pPr>
              <w:spacing w:after="60"/>
              <w:jc w:val="left"/>
              <w:rPr>
                <w:rFonts w:eastAsia="Times New Roman" w:cs="Times New Roman"/>
                <w:iCs/>
                <w:sz w:val="18"/>
                <w:szCs w:val="18"/>
                <w:lang w:val="sr-Cyrl-CS"/>
              </w:rPr>
            </w:pPr>
          </w:p>
        </w:tc>
        <w:tc>
          <w:tcPr>
            <w:tcW w:w="1932" w:type="dxa"/>
            <w:tcBorders>
              <w:top w:val="single" w:sz="6" w:space="0" w:color="000000"/>
              <w:left w:val="single" w:sz="6" w:space="0" w:color="000000"/>
              <w:bottom w:val="single" w:sz="6" w:space="0" w:color="000000"/>
              <w:right w:val="single" w:sz="6" w:space="0" w:color="000000"/>
            </w:tcBorders>
            <w:shd w:val="clear" w:color="auto" w:fill="auto"/>
          </w:tcPr>
          <w:p w14:paraId="138377B7" w14:textId="77777777" w:rsidR="00C57EAF" w:rsidRPr="00092ED7" w:rsidRDefault="00C57EAF" w:rsidP="00C57EAF">
            <w:pPr>
              <w:spacing w:after="60"/>
              <w:jc w:val="left"/>
              <w:rPr>
                <w:rFonts w:eastAsia="Times New Roman" w:cs="Times New Roman"/>
                <w:bCs/>
                <w:sz w:val="18"/>
                <w:szCs w:val="18"/>
                <w:lang w:val="sr-Cyrl-CS"/>
              </w:rPr>
            </w:pPr>
            <w:r w:rsidRPr="00092ED7">
              <w:rPr>
                <w:rFonts w:eastAsia="Times New Roman" w:cs="Times New Roman"/>
                <w:b/>
                <w:bCs/>
                <w:sz w:val="18"/>
                <w:szCs w:val="18"/>
                <w:lang w:val="sr-Cyrl-CS"/>
              </w:rPr>
              <w:t>ЦОР 7.3</w:t>
            </w:r>
            <w:r w:rsidRPr="00092ED7">
              <w:rPr>
                <w:rFonts w:eastAsia="Times New Roman" w:cs="Times New Roman"/>
                <w:bCs/>
                <w:sz w:val="18"/>
                <w:szCs w:val="18"/>
                <w:lang w:val="sr-Cyrl-CS"/>
              </w:rPr>
              <w:t xml:space="preserve"> До 2030. удвостручити глобалну стопу побољшања енергетске ефикасности</w:t>
            </w:r>
          </w:p>
          <w:p w14:paraId="359457BC" w14:textId="77777777"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b/>
                <w:iCs/>
                <w:sz w:val="18"/>
                <w:szCs w:val="18"/>
                <w:lang w:val="sr-Cyrl-CS"/>
              </w:rPr>
              <w:t>ЦОР 9.2.</w:t>
            </w:r>
            <w:r w:rsidRPr="00092ED7">
              <w:rPr>
                <w:rFonts w:eastAsia="Times New Roman" w:cs="Times New Roman"/>
                <w:iCs/>
                <w:sz w:val="18"/>
                <w:szCs w:val="18"/>
                <w:lang w:val="sr-Cyrl-CS"/>
              </w:rPr>
              <w:t xml:space="preserve"> Промовисати инклузивну и одрживу индустријализацију и </w:t>
            </w:r>
            <w:r w:rsidRPr="00092ED7">
              <w:rPr>
                <w:rFonts w:eastAsia="Times New Roman" w:cs="Times New Roman"/>
                <w:iCs/>
                <w:sz w:val="18"/>
                <w:szCs w:val="18"/>
                <w:lang w:val="sr-Cyrl-CS"/>
              </w:rPr>
              <w:lastRenderedPageBreak/>
              <w:t>до 2030. године значајно повећати удео индустрије у стопи запослености и бруто домаћем производу, у складу са националним околностима.</w:t>
            </w:r>
          </w:p>
          <w:p w14:paraId="16F6A03D" w14:textId="77777777"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b/>
                <w:iCs/>
                <w:sz w:val="18"/>
                <w:szCs w:val="18"/>
                <w:lang w:val="sr-Cyrl-CS"/>
              </w:rPr>
              <w:t>ЦОР 12.8.</w:t>
            </w:r>
            <w:r w:rsidRPr="00092ED7">
              <w:rPr>
                <w:rFonts w:eastAsia="Times New Roman" w:cs="Times New Roman"/>
                <w:iCs/>
                <w:sz w:val="18"/>
                <w:szCs w:val="18"/>
                <w:lang w:val="sr-Cyrl-CS"/>
              </w:rPr>
              <w:t xml:space="preserve"> До 2030. године осигурати да људи свуда имају релевантне информације и свест о одрживом развоју и стил</w:t>
            </w:r>
            <w:r w:rsidR="00E83FFC" w:rsidRPr="00092ED7">
              <w:rPr>
                <w:rFonts w:eastAsia="Times New Roman" w:cs="Times New Roman"/>
                <w:iCs/>
                <w:sz w:val="18"/>
                <w:szCs w:val="18"/>
                <w:lang w:val="sr-Cyrl-CS"/>
              </w:rPr>
              <w:t xml:space="preserve"> живота у хармонији са природом</w:t>
            </w:r>
          </w:p>
        </w:tc>
        <w:tc>
          <w:tcPr>
            <w:tcW w:w="2409" w:type="dxa"/>
            <w:tcBorders>
              <w:top w:val="single" w:sz="6" w:space="0" w:color="000000"/>
              <w:left w:val="single" w:sz="6" w:space="0" w:color="000000"/>
              <w:bottom w:val="single" w:sz="6" w:space="0" w:color="000000"/>
              <w:right w:val="single" w:sz="6" w:space="0" w:color="000000"/>
            </w:tcBorders>
            <w:shd w:val="clear" w:color="auto" w:fill="auto"/>
          </w:tcPr>
          <w:p w14:paraId="0E6E0EF1" w14:textId="77777777"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lastRenderedPageBreak/>
              <w:t>Директан утицај на циљеве:</w:t>
            </w:r>
          </w:p>
          <w:p w14:paraId="2F3FF1AB" w14:textId="77777777" w:rsidR="00C57EAF" w:rsidRPr="00092ED7" w:rsidRDefault="00C57EAF" w:rsidP="00C57EAF">
            <w:pPr>
              <w:spacing w:after="60"/>
              <w:jc w:val="left"/>
              <w:rPr>
                <w:rFonts w:eastAsia="Times New Roman" w:cs="Times New Roman"/>
                <w:bCs/>
                <w:iCs/>
                <w:sz w:val="18"/>
                <w:szCs w:val="18"/>
                <w:lang w:val="sr-Cyrl-CS"/>
              </w:rPr>
            </w:pPr>
            <w:r w:rsidRPr="00092ED7">
              <w:rPr>
                <w:rFonts w:eastAsia="Times New Roman" w:cs="Times New Roman"/>
                <w:b/>
                <w:iCs/>
                <w:sz w:val="18"/>
                <w:szCs w:val="18"/>
                <w:lang w:val="sr-Cyrl-CS"/>
              </w:rPr>
              <w:t>циљ 41 Европског Зеленог договора</w:t>
            </w:r>
            <w:r w:rsidRPr="00092ED7">
              <w:rPr>
                <w:rFonts w:eastAsia="Times New Roman" w:cs="Times New Roman"/>
                <w:iCs/>
                <w:sz w:val="18"/>
                <w:szCs w:val="18"/>
                <w:lang w:val="sr-Cyrl-CS"/>
              </w:rPr>
              <w:t xml:space="preserve"> – Заинтересоване стране </w:t>
            </w:r>
            <w:r w:rsidRPr="00092ED7">
              <w:rPr>
                <w:rFonts w:eastAsia="Times New Roman" w:cs="Times New Roman"/>
                <w:bCs/>
                <w:iCs/>
                <w:sz w:val="18"/>
                <w:szCs w:val="18"/>
                <w:lang w:val="sr-Cyrl-CS"/>
              </w:rPr>
              <w:t xml:space="preserve">идентификују и исправљају неусклађено законодавство које смањује </w:t>
            </w:r>
            <w:r w:rsidRPr="00092ED7">
              <w:rPr>
                <w:rFonts w:eastAsia="Times New Roman" w:cs="Times New Roman"/>
                <w:bCs/>
                <w:iCs/>
                <w:sz w:val="18"/>
                <w:szCs w:val="18"/>
                <w:lang w:val="sr-Cyrl-CS"/>
              </w:rPr>
              <w:lastRenderedPageBreak/>
              <w:t>ефикасност у спровођењу Европског зеленог договора</w:t>
            </w:r>
          </w:p>
          <w:p w14:paraId="4326F6DA" w14:textId="77777777"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bCs/>
                <w:i/>
                <w:iCs/>
                <w:sz w:val="18"/>
                <w:szCs w:val="18"/>
                <w:lang w:val="sr-Cyrl-CS"/>
              </w:rPr>
              <w:t>Отварање</w:t>
            </w:r>
            <w:r w:rsidRPr="00092ED7">
              <w:rPr>
                <w:rFonts w:eastAsia="Times New Roman" w:cs="Times New Roman"/>
                <w:i/>
                <w:iCs/>
                <w:sz w:val="18"/>
                <w:szCs w:val="18"/>
                <w:lang w:val="sr-Cyrl-CS"/>
              </w:rPr>
              <w:t xml:space="preserve"> трговине, јачање конкурентности и укључивање у јединствено</w:t>
            </w:r>
            <w:r w:rsidRPr="00092ED7">
              <w:rPr>
                <w:rFonts w:eastAsia="Times New Roman" w:cs="Times New Roman"/>
                <w:iCs/>
                <w:sz w:val="18"/>
                <w:szCs w:val="18"/>
                <w:lang w:val="sr-Cyrl-CS"/>
              </w:rPr>
              <w:t xml:space="preserve"> </w:t>
            </w:r>
            <w:r w:rsidRPr="00092ED7">
              <w:rPr>
                <w:rFonts w:eastAsia="Times New Roman" w:cs="Times New Roman"/>
                <w:bCs/>
                <w:i/>
                <w:iCs/>
                <w:sz w:val="18"/>
                <w:szCs w:val="18"/>
                <w:lang w:val="sr-Cyrl-CS"/>
              </w:rPr>
              <w:t>европско тржиште доприносе интеграцији области животне средине и климе у национални правни оквир. Ово укључује имплементацију релевантних директива и стандарда ЕУ који се односе на одрживост и зелену агенду.</w:t>
            </w:r>
          </w:p>
          <w:p w14:paraId="48D8D8D8" w14:textId="77777777" w:rsidR="00C57EAF" w:rsidRPr="00092ED7" w:rsidRDefault="00C57EAF" w:rsidP="00C57EAF">
            <w:pPr>
              <w:spacing w:after="60"/>
              <w:jc w:val="left"/>
              <w:rPr>
                <w:rFonts w:eastAsia="Times New Roman" w:cs="Times New Roman"/>
                <w:iCs/>
                <w:sz w:val="18"/>
                <w:szCs w:val="18"/>
                <w:lang w:val="sr-Cyrl-CS"/>
              </w:rPr>
            </w:pPr>
          </w:p>
          <w:p w14:paraId="4203B388" w14:textId="77777777"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Индиректан утицај на циљеве:</w:t>
            </w:r>
          </w:p>
          <w:p w14:paraId="230B32D0" w14:textId="77777777"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b/>
                <w:iCs/>
                <w:sz w:val="18"/>
                <w:szCs w:val="18"/>
                <w:lang w:val="sr-Cyrl-CS"/>
              </w:rPr>
              <w:t>циљ 30 ЗАЗБ</w:t>
            </w:r>
            <w:r w:rsidRPr="00092ED7">
              <w:rPr>
                <w:rFonts w:eastAsia="Times New Roman" w:cs="Times New Roman"/>
                <w:iCs/>
                <w:sz w:val="18"/>
                <w:szCs w:val="18"/>
                <w:lang w:val="sr-Cyrl-CS"/>
              </w:rPr>
              <w:t xml:space="preserve"> - Примена приступа индустријског екосистема како би се остварио еколошки одржив, уравнотежен економски опоравак</w:t>
            </w:r>
          </w:p>
          <w:p w14:paraId="7FA91732" w14:textId="77777777"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b/>
                <w:iCs/>
                <w:sz w:val="18"/>
                <w:szCs w:val="18"/>
                <w:lang w:val="sr-Cyrl-CS"/>
              </w:rPr>
              <w:t>циљ 31 ЗАЗБ</w:t>
            </w:r>
            <w:r w:rsidRPr="00092ED7">
              <w:rPr>
                <w:rFonts w:eastAsia="Times New Roman" w:cs="Times New Roman"/>
                <w:iCs/>
                <w:sz w:val="18"/>
                <w:szCs w:val="18"/>
                <w:lang w:val="sr-Cyrl-CS"/>
              </w:rPr>
              <w:t xml:space="preserve"> - Развој стратегија циркуларне економије имајући у виду целокупни животни циклус производа</w:t>
            </w:r>
          </w:p>
          <w:p w14:paraId="14EBDDDD" w14:textId="77777777" w:rsidR="00002CB1" w:rsidRPr="00092ED7" w:rsidRDefault="00002CB1" w:rsidP="00C57EAF">
            <w:pPr>
              <w:spacing w:after="60"/>
              <w:jc w:val="left"/>
              <w:rPr>
                <w:rFonts w:eastAsia="Times New Roman" w:cs="Times New Roman"/>
                <w:iCs/>
                <w:sz w:val="18"/>
                <w:szCs w:val="18"/>
                <w:lang w:val="sr-Cyrl-CS"/>
              </w:rPr>
            </w:pPr>
            <w:r w:rsidRPr="00092ED7">
              <w:rPr>
                <w:rFonts w:eastAsia="Times New Roman" w:cs="Times New Roman"/>
                <w:b/>
                <w:iCs/>
                <w:sz w:val="18"/>
                <w:szCs w:val="18"/>
                <w:lang w:val="sr-Cyrl-CS"/>
              </w:rPr>
              <w:t>циљ 59 ЗАЗБ</w:t>
            </w:r>
            <w:r w:rsidRPr="00092ED7">
              <w:rPr>
                <w:rFonts w:eastAsia="Times New Roman" w:cs="Times New Roman"/>
                <w:iCs/>
                <w:sz w:val="18"/>
                <w:szCs w:val="18"/>
                <w:lang w:val="sr-Cyrl-CS"/>
              </w:rPr>
              <w:t xml:space="preserve"> - Унапредити међусекторско управљање и подржати интеграцију зелене и нискоугљеничне транзиције, између осталог, путем реформе јавне управе, управљањем јавним финансијама, програмом економске реформе и </w:t>
            </w:r>
            <w:r w:rsidRPr="00092ED7">
              <w:rPr>
                <w:rFonts w:eastAsia="Times New Roman" w:cs="Times New Roman"/>
                <w:iCs/>
                <w:sz w:val="18"/>
                <w:szCs w:val="18"/>
                <w:lang w:val="sr-Cyrl-CS"/>
              </w:rPr>
              <w:lastRenderedPageBreak/>
              <w:t>мобилизацијом властитих ресурса</w:t>
            </w:r>
          </w:p>
          <w:p w14:paraId="37AB3523" w14:textId="77777777" w:rsidR="00C57EAF" w:rsidRPr="00092ED7" w:rsidRDefault="00C57EAF" w:rsidP="00C57EAF">
            <w:pPr>
              <w:spacing w:after="60"/>
              <w:jc w:val="left"/>
              <w:rPr>
                <w:rFonts w:eastAsia="Times New Roman" w:cs="Times New Roman"/>
                <w:iCs/>
                <w:sz w:val="18"/>
                <w:szCs w:val="18"/>
                <w:lang w:val="sr-Cyrl-CS"/>
              </w:rPr>
            </w:pPr>
            <w:r w:rsidRPr="00092ED7">
              <w:rPr>
                <w:rFonts w:eastAsia="Times New Roman" w:cs="Times New Roman"/>
                <w:b/>
                <w:iCs/>
                <w:sz w:val="18"/>
                <w:szCs w:val="18"/>
                <w:lang w:val="sr-Cyrl-CS"/>
              </w:rPr>
              <w:t>циљ 13</w:t>
            </w:r>
            <w:r w:rsidRPr="00092ED7">
              <w:rPr>
                <w:rFonts w:eastAsia="Times New Roman" w:cs="Times New Roman"/>
                <w:iCs/>
                <w:sz w:val="18"/>
                <w:szCs w:val="18"/>
                <w:lang w:val="sr-Cyrl-CS"/>
              </w:rPr>
              <w:t xml:space="preserve"> </w:t>
            </w:r>
            <w:r w:rsidRPr="00092ED7">
              <w:rPr>
                <w:rFonts w:eastAsia="Times New Roman" w:cs="Times New Roman"/>
                <w:b/>
                <w:iCs/>
                <w:sz w:val="18"/>
                <w:szCs w:val="18"/>
                <w:lang w:val="sr-Cyrl-CS"/>
              </w:rPr>
              <w:t>Европског Зеленог договора</w:t>
            </w:r>
            <w:r w:rsidRPr="00092ED7">
              <w:rPr>
                <w:rFonts w:eastAsia="Times New Roman" w:cs="Times New Roman"/>
                <w:iCs/>
                <w:sz w:val="18"/>
                <w:szCs w:val="18"/>
                <w:lang w:val="sr-Cyrl-CS"/>
              </w:rPr>
              <w:t xml:space="preserve"> - Акциони план за циркуларну економију, укључујући иницијативу за одрживе производе и посебан нагласак на ресурсно интензивним секторима, као што су текстилни сектор, грађевинарство, сектор електронике и пластике</w:t>
            </w:r>
          </w:p>
          <w:p w14:paraId="3E224EFD" w14:textId="77777777" w:rsidR="001457A3" w:rsidRPr="00092ED7" w:rsidRDefault="001457A3" w:rsidP="00C57EAF">
            <w:pPr>
              <w:spacing w:after="60"/>
              <w:jc w:val="left"/>
              <w:rPr>
                <w:rFonts w:eastAsia="Times New Roman" w:cs="Times New Roman"/>
                <w:i/>
                <w:iCs/>
                <w:sz w:val="18"/>
                <w:szCs w:val="18"/>
                <w:lang w:val="sr-Cyrl-CS"/>
              </w:rPr>
            </w:pPr>
            <w:r w:rsidRPr="00092ED7">
              <w:rPr>
                <w:rFonts w:eastAsia="Times New Roman" w:cs="Times New Roman"/>
                <w:i/>
                <w:iCs/>
                <w:sz w:val="18"/>
                <w:szCs w:val="18"/>
                <w:lang w:val="sr-Cyrl-CS"/>
              </w:rPr>
              <w:t>Повећана употреба стандарда и сертификације производа, уз унапређење информисаности и доступности дигиталних услуга у вези са применом техничких прописа могу индиректно допринети хармонизацији (усаглашавању) са европским еколошким процедурама, стандардима, прописима и захтевима.</w:t>
            </w:r>
          </w:p>
        </w:tc>
        <w:tc>
          <w:tcPr>
            <w:tcW w:w="1843" w:type="dxa"/>
            <w:tcBorders>
              <w:top w:val="single" w:sz="6" w:space="0" w:color="000000"/>
              <w:left w:val="single" w:sz="6" w:space="0" w:color="000000"/>
              <w:bottom w:val="single" w:sz="6" w:space="0" w:color="000000"/>
              <w:right w:val="single" w:sz="6" w:space="0" w:color="000000"/>
            </w:tcBorders>
            <w:shd w:val="clear" w:color="auto" w:fill="auto"/>
          </w:tcPr>
          <w:p w14:paraId="453D207E" w14:textId="77777777" w:rsidR="00C57EAF" w:rsidRPr="00092ED7" w:rsidRDefault="00C57EAF" w:rsidP="00C57EAF">
            <w:pPr>
              <w:spacing w:after="60"/>
              <w:jc w:val="left"/>
              <w:rPr>
                <w:rFonts w:eastAsia="Times New Roman" w:cs="Times New Roman"/>
                <w:b/>
                <w:bCs/>
                <w:sz w:val="18"/>
                <w:szCs w:val="18"/>
                <w:lang w:val="sr-Cyrl-CS"/>
              </w:rPr>
            </w:pPr>
            <w:r w:rsidRPr="00092ED7">
              <w:rPr>
                <w:rFonts w:eastAsia="Times New Roman" w:cs="Times New Roman"/>
                <w:b/>
                <w:bCs/>
                <w:sz w:val="18"/>
                <w:szCs w:val="18"/>
                <w:lang w:val="sr-Cyrl-CS"/>
              </w:rPr>
              <w:lastRenderedPageBreak/>
              <w:t xml:space="preserve">Поглавље VI Озелењавање Западног Балкана – улагање у животну средину и климу </w:t>
            </w:r>
          </w:p>
          <w:p w14:paraId="551460C8" w14:textId="77777777" w:rsidR="00C57EAF" w:rsidRPr="00092ED7" w:rsidRDefault="00C57EAF" w:rsidP="00C57EAF">
            <w:pPr>
              <w:spacing w:after="60"/>
              <w:jc w:val="left"/>
              <w:rPr>
                <w:rFonts w:eastAsia="Times New Roman" w:cs="Times New Roman"/>
                <w:bCs/>
                <w:sz w:val="18"/>
                <w:szCs w:val="18"/>
                <w:lang w:val="sr-Cyrl-CS"/>
              </w:rPr>
            </w:pPr>
            <w:r w:rsidRPr="00092ED7">
              <w:rPr>
                <w:rFonts w:eastAsia="Times New Roman" w:cs="Times New Roman"/>
                <w:bCs/>
                <w:sz w:val="18"/>
                <w:szCs w:val="18"/>
                <w:lang w:val="sr-Cyrl-CS"/>
              </w:rPr>
              <w:t xml:space="preserve">- Промоција одрживих образаца производње и </w:t>
            </w:r>
            <w:r w:rsidRPr="00092ED7">
              <w:rPr>
                <w:rFonts w:eastAsia="Times New Roman" w:cs="Times New Roman"/>
                <w:bCs/>
                <w:sz w:val="18"/>
                <w:szCs w:val="18"/>
                <w:lang w:val="sr-Cyrl-CS"/>
              </w:rPr>
              <w:lastRenderedPageBreak/>
              <w:t>система прехрамбених производа</w:t>
            </w:r>
            <w:r w:rsidRPr="00092ED7" w:rsidDel="00732482">
              <w:rPr>
                <w:rFonts w:eastAsia="Times New Roman" w:cs="Times New Roman"/>
                <w:bCs/>
                <w:sz w:val="18"/>
                <w:szCs w:val="18"/>
                <w:lang w:val="sr-Cyrl-CS"/>
              </w:rPr>
              <w:t xml:space="preserve"> </w:t>
            </w:r>
          </w:p>
          <w:p w14:paraId="09D1BECA" w14:textId="77777777" w:rsidR="00C57EAF" w:rsidRPr="00092ED7" w:rsidRDefault="00C57EAF" w:rsidP="00C57EAF">
            <w:pPr>
              <w:spacing w:after="60"/>
              <w:jc w:val="left"/>
              <w:rPr>
                <w:rFonts w:eastAsia="Times New Roman" w:cs="Times New Roman"/>
                <w:bCs/>
                <w:sz w:val="18"/>
                <w:szCs w:val="18"/>
                <w:lang w:val="sr-Cyrl-CS"/>
              </w:rPr>
            </w:pPr>
          </w:p>
          <w:p w14:paraId="4E90EE99" w14:textId="77777777" w:rsidR="00C57EAF" w:rsidRPr="00092ED7" w:rsidRDefault="00C57EAF" w:rsidP="00C57EAF">
            <w:pPr>
              <w:spacing w:after="60"/>
              <w:jc w:val="left"/>
              <w:rPr>
                <w:rFonts w:eastAsia="Times New Roman" w:cs="Times New Roman"/>
                <w:b/>
                <w:bCs/>
                <w:sz w:val="18"/>
                <w:szCs w:val="18"/>
                <w:lang w:val="sr-Cyrl-CS"/>
              </w:rPr>
            </w:pPr>
            <w:r w:rsidRPr="00092ED7">
              <w:rPr>
                <w:rFonts w:eastAsia="Times New Roman" w:cs="Times New Roman"/>
                <w:b/>
                <w:bCs/>
                <w:sz w:val="18"/>
                <w:szCs w:val="18"/>
                <w:lang w:val="sr-Cyrl-CS"/>
              </w:rPr>
              <w:t>Поглавље X Регионална економска интеграција и интеграција са ЕУ</w:t>
            </w:r>
          </w:p>
          <w:p w14:paraId="291E4BA9" w14:textId="77777777" w:rsidR="00C57EAF" w:rsidRPr="00092ED7" w:rsidRDefault="00C57EAF" w:rsidP="00C57EAF">
            <w:pPr>
              <w:spacing w:after="60"/>
              <w:jc w:val="left"/>
              <w:rPr>
                <w:rFonts w:eastAsia="Times New Roman" w:cs="Times New Roman"/>
                <w:bCs/>
                <w:sz w:val="18"/>
                <w:szCs w:val="18"/>
                <w:lang w:val="sr-Cyrl-CS"/>
              </w:rPr>
            </w:pPr>
            <w:r w:rsidRPr="00092ED7">
              <w:rPr>
                <w:rFonts w:eastAsia="Times New Roman" w:cs="Times New Roman"/>
                <w:bCs/>
                <w:sz w:val="18"/>
                <w:szCs w:val="18"/>
                <w:lang w:val="sr-Cyrl-CS"/>
              </w:rPr>
              <w:t>- Интеграција тржишта и прекогранична трговину у региону и са Европском унијом</w:t>
            </w:r>
          </w:p>
          <w:p w14:paraId="0A495157" w14:textId="77777777" w:rsidR="00C57EAF" w:rsidRPr="00092ED7" w:rsidRDefault="00C57EAF" w:rsidP="00C57EAF">
            <w:pPr>
              <w:spacing w:after="60"/>
              <w:jc w:val="left"/>
              <w:rPr>
                <w:rFonts w:eastAsia="Times New Roman" w:cs="Times New Roman"/>
                <w:bCs/>
                <w:sz w:val="18"/>
                <w:szCs w:val="18"/>
                <w:lang w:val="sr-Cyrl-CS"/>
              </w:rPr>
            </w:pPr>
            <w:r w:rsidRPr="00092ED7">
              <w:rPr>
                <w:rFonts w:eastAsia="Times New Roman" w:cs="Times New Roman"/>
                <w:bCs/>
                <w:sz w:val="18"/>
                <w:szCs w:val="18"/>
                <w:lang w:val="sr-Cyrl-CS"/>
              </w:rPr>
              <w:t>- Уклањање техничких баријера у трговини, уз истовремено обезбеђивање једнаких услова учешћа</w:t>
            </w:r>
          </w:p>
          <w:p w14:paraId="39C219E6" w14:textId="77777777" w:rsidR="00C57EAF" w:rsidRPr="00092ED7" w:rsidRDefault="00C57EAF" w:rsidP="00C57EAF">
            <w:pPr>
              <w:spacing w:after="60"/>
              <w:jc w:val="left"/>
              <w:rPr>
                <w:rFonts w:eastAsia="Times New Roman" w:cs="Times New Roman"/>
                <w:bCs/>
                <w:sz w:val="18"/>
                <w:szCs w:val="18"/>
                <w:lang w:val="sr-Cyrl-CS"/>
              </w:rPr>
            </w:pPr>
            <w:r w:rsidRPr="00092ED7">
              <w:rPr>
                <w:rFonts w:eastAsia="Times New Roman" w:cs="Times New Roman"/>
                <w:bCs/>
                <w:sz w:val="18"/>
                <w:szCs w:val="18"/>
                <w:lang w:val="sr-Cyrl-CS"/>
              </w:rPr>
              <w:t>- Сарадња кроз Централноевропски спораз</w:t>
            </w:r>
            <w:r w:rsidR="00E83FFC" w:rsidRPr="00092ED7">
              <w:rPr>
                <w:rFonts w:eastAsia="Times New Roman" w:cs="Times New Roman"/>
                <w:bCs/>
                <w:sz w:val="18"/>
                <w:szCs w:val="18"/>
                <w:lang w:val="sr-Cyrl-CS"/>
              </w:rPr>
              <w:t>ум о слободној трговини (ЦЕФТА)</w:t>
            </w:r>
          </w:p>
        </w:tc>
        <w:tc>
          <w:tcPr>
            <w:tcW w:w="1559" w:type="dxa"/>
            <w:tcBorders>
              <w:top w:val="single" w:sz="6" w:space="0" w:color="000000"/>
              <w:left w:val="single" w:sz="6" w:space="0" w:color="000000"/>
              <w:bottom w:val="single" w:sz="6" w:space="0" w:color="000000"/>
              <w:right w:val="single" w:sz="6" w:space="0" w:color="000000"/>
            </w:tcBorders>
          </w:tcPr>
          <w:p w14:paraId="6668553C" w14:textId="2C6D0887" w:rsidR="00B30259" w:rsidRPr="00092ED7" w:rsidRDefault="00772627" w:rsidP="00B30259">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lastRenderedPageBreak/>
              <w:t xml:space="preserve">ИПА 2019 – EU4BE – </w:t>
            </w:r>
            <w:r w:rsidR="00B30259" w:rsidRPr="00092ED7">
              <w:rPr>
                <w:rFonts w:eastAsia="Times New Roman" w:cs="Times New Roman"/>
                <w:iCs/>
                <w:sz w:val="18"/>
                <w:szCs w:val="18"/>
                <w:lang w:val="sr-Cyrl-CS"/>
              </w:rPr>
              <w:t>ЕУ за боље пословно окружење – EU4BE</w:t>
            </w:r>
            <w:r w:rsidRPr="00092ED7">
              <w:rPr>
                <w:rFonts w:eastAsia="Times New Roman" w:cs="Times New Roman"/>
                <w:iCs/>
                <w:sz w:val="18"/>
                <w:szCs w:val="18"/>
                <w:lang w:val="sr-Cyrl-CS"/>
              </w:rPr>
              <w:t xml:space="preserve">, </w:t>
            </w:r>
            <w:r w:rsidR="00B30259" w:rsidRPr="00092ED7">
              <w:rPr>
                <w:rFonts w:eastAsia="Times New Roman" w:cs="Times New Roman"/>
                <w:iCs/>
                <w:sz w:val="18"/>
                <w:szCs w:val="18"/>
                <w:lang w:val="sr-Cyrl-CS"/>
              </w:rPr>
              <w:t>(</w:t>
            </w:r>
            <w:r w:rsidRPr="00092ED7">
              <w:rPr>
                <w:rFonts w:eastAsia="Times New Roman" w:cs="Times New Roman"/>
                <w:iCs/>
                <w:sz w:val="18"/>
                <w:szCs w:val="18"/>
                <w:lang w:val="sr-Cyrl-CS"/>
              </w:rPr>
              <w:t xml:space="preserve">пројекат Инфраструктура квалитета, фактори развоја </w:t>
            </w:r>
            <w:r w:rsidRPr="00092ED7">
              <w:rPr>
                <w:rFonts w:eastAsia="Times New Roman" w:cs="Times New Roman"/>
                <w:iCs/>
                <w:sz w:val="18"/>
                <w:szCs w:val="18"/>
                <w:lang w:val="sr-Cyrl-CS"/>
              </w:rPr>
              <w:lastRenderedPageBreak/>
              <w:t>конкурентности – припремне активности за унапређење стратешког и законодавног оквира</w:t>
            </w:r>
            <w:r w:rsidR="00B30259" w:rsidRPr="00092ED7">
              <w:rPr>
                <w:rFonts w:eastAsia="Times New Roman" w:cs="Times New Roman"/>
                <w:iCs/>
                <w:sz w:val="18"/>
                <w:szCs w:val="18"/>
                <w:lang w:val="sr-Cyrl-CS"/>
              </w:rPr>
              <w:t>)</w:t>
            </w:r>
          </w:p>
        </w:tc>
      </w:tr>
      <w:tr w:rsidR="00C57EAF" w:rsidRPr="00092ED7" w14:paraId="4E30F27A" w14:textId="77777777" w:rsidTr="00F50B50">
        <w:trPr>
          <w:trHeight w:val="977"/>
        </w:trPr>
        <w:tc>
          <w:tcPr>
            <w:tcW w:w="1635" w:type="dxa"/>
            <w:tcBorders>
              <w:top w:val="single" w:sz="6" w:space="0" w:color="000000"/>
              <w:left w:val="single" w:sz="6" w:space="0" w:color="000000"/>
              <w:bottom w:val="single" w:sz="6" w:space="0" w:color="000000"/>
              <w:right w:val="single" w:sz="6" w:space="0" w:color="000000"/>
            </w:tcBorders>
          </w:tcPr>
          <w:p w14:paraId="0AC3CA37" w14:textId="77777777" w:rsidR="00C57EAF" w:rsidRPr="00092ED7" w:rsidRDefault="00C57EAF" w:rsidP="00C57EAF">
            <w:pPr>
              <w:spacing w:after="60"/>
              <w:jc w:val="left"/>
              <w:rPr>
                <w:rFonts w:eastAsia="Times New Roman" w:cs="Times New Roman"/>
                <w:b/>
                <w:bCs/>
                <w:sz w:val="20"/>
                <w:szCs w:val="20"/>
                <w:lang w:val="sr-Cyrl-CS"/>
              </w:rPr>
            </w:pPr>
            <w:r w:rsidRPr="00092ED7">
              <w:rPr>
                <w:rFonts w:eastAsia="Times New Roman" w:cs="Times New Roman"/>
                <w:b/>
                <w:bCs/>
                <w:sz w:val="20"/>
                <w:szCs w:val="20"/>
                <w:lang w:val="sr-Cyrl-CS"/>
              </w:rPr>
              <w:lastRenderedPageBreak/>
              <w:t>СР 22. Унапређење ефикасности здравственог система кроз дигитализацију процеса</w:t>
            </w:r>
          </w:p>
        </w:tc>
        <w:tc>
          <w:tcPr>
            <w:tcW w:w="1498" w:type="dxa"/>
            <w:tcBorders>
              <w:top w:val="single" w:sz="6" w:space="0" w:color="000000"/>
              <w:left w:val="single" w:sz="6" w:space="0" w:color="000000"/>
              <w:bottom w:val="single" w:sz="6" w:space="0" w:color="000000"/>
              <w:right w:val="single" w:sz="6" w:space="0" w:color="000000"/>
            </w:tcBorders>
          </w:tcPr>
          <w:p w14:paraId="14316524" w14:textId="77777777" w:rsidR="00C57EAF" w:rsidRPr="00092ED7" w:rsidRDefault="00C57EAF" w:rsidP="00C57EAF">
            <w:pPr>
              <w:spacing w:after="60"/>
              <w:jc w:val="left"/>
              <w:rPr>
                <w:rFonts w:eastAsia="Times New Roman" w:cs="Times New Roman"/>
                <w:iCs/>
                <w:sz w:val="18"/>
                <w:szCs w:val="18"/>
                <w:lang w:val="sr-Cyrl-CS"/>
              </w:rPr>
            </w:pPr>
          </w:p>
        </w:tc>
        <w:tc>
          <w:tcPr>
            <w:tcW w:w="1750" w:type="dxa"/>
            <w:tcBorders>
              <w:top w:val="single" w:sz="6" w:space="0" w:color="000000"/>
              <w:left w:val="single" w:sz="6" w:space="0" w:color="000000"/>
              <w:bottom w:val="single" w:sz="6" w:space="0" w:color="000000"/>
              <w:right w:val="single" w:sz="6" w:space="0" w:color="000000"/>
            </w:tcBorders>
            <w:shd w:val="clear" w:color="auto" w:fill="auto"/>
          </w:tcPr>
          <w:p w14:paraId="4601E2A8" w14:textId="77777777" w:rsidR="00C57EAF" w:rsidRPr="00092ED7" w:rsidRDefault="00C57EAF" w:rsidP="00C57EAF">
            <w:pPr>
              <w:spacing w:after="60"/>
              <w:jc w:val="left"/>
              <w:rPr>
                <w:rFonts w:eastAsia="Times New Roman" w:cs="Times New Roman"/>
                <w:b/>
                <w:iCs/>
                <w:sz w:val="18"/>
                <w:szCs w:val="18"/>
                <w:lang w:val="sr-Cyrl-CS"/>
              </w:rPr>
            </w:pPr>
          </w:p>
        </w:tc>
        <w:tc>
          <w:tcPr>
            <w:tcW w:w="2015" w:type="dxa"/>
            <w:tcBorders>
              <w:top w:val="single" w:sz="6" w:space="0" w:color="000000"/>
              <w:left w:val="single" w:sz="6" w:space="0" w:color="000000"/>
              <w:bottom w:val="single" w:sz="6" w:space="0" w:color="000000"/>
              <w:right w:val="single" w:sz="6" w:space="0" w:color="000000"/>
            </w:tcBorders>
            <w:shd w:val="clear" w:color="auto" w:fill="auto"/>
          </w:tcPr>
          <w:p w14:paraId="516112EF" w14:textId="77777777" w:rsidR="00C57EAF" w:rsidRPr="00092ED7" w:rsidRDefault="00E83FFC" w:rsidP="00E83FFC">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t xml:space="preserve">- </w:t>
            </w:r>
            <w:r w:rsidR="00C57EAF" w:rsidRPr="00092ED7">
              <w:rPr>
                <w:rFonts w:eastAsia="Times New Roman" w:cs="Times New Roman"/>
                <w:iCs/>
                <w:sz w:val="18"/>
                <w:szCs w:val="18"/>
                <w:lang w:val="sr-Cyrl-CS"/>
              </w:rPr>
              <w:t>Унапредити институционалне, административне и техничке капацитете система здравствене заштите</w:t>
            </w:r>
          </w:p>
        </w:tc>
        <w:tc>
          <w:tcPr>
            <w:tcW w:w="1932" w:type="dxa"/>
            <w:tcBorders>
              <w:top w:val="single" w:sz="6" w:space="0" w:color="000000"/>
              <w:left w:val="single" w:sz="6" w:space="0" w:color="000000"/>
              <w:bottom w:val="single" w:sz="6" w:space="0" w:color="000000"/>
              <w:right w:val="single" w:sz="6" w:space="0" w:color="000000"/>
            </w:tcBorders>
            <w:shd w:val="clear" w:color="auto" w:fill="auto"/>
          </w:tcPr>
          <w:p w14:paraId="142034BE" w14:textId="77777777" w:rsidR="00C57EAF" w:rsidRPr="00092ED7" w:rsidRDefault="00C57EAF" w:rsidP="00C57EAF">
            <w:pPr>
              <w:spacing w:after="60"/>
              <w:jc w:val="left"/>
              <w:rPr>
                <w:rFonts w:eastAsia="Times New Roman" w:cs="Times New Roman"/>
                <w:b/>
                <w:bCs/>
                <w:sz w:val="18"/>
                <w:szCs w:val="18"/>
                <w:lang w:val="sr-Cyrl-CS"/>
              </w:rPr>
            </w:pPr>
            <w:r w:rsidRPr="00092ED7">
              <w:rPr>
                <w:rFonts w:eastAsia="Times New Roman" w:cs="Times New Roman"/>
                <w:b/>
                <w:bCs/>
                <w:sz w:val="18"/>
                <w:szCs w:val="18"/>
                <w:lang w:val="sr-Cyrl-CS"/>
              </w:rPr>
              <w:t>ЦОР 3.8.</w:t>
            </w:r>
            <w:r w:rsidRPr="00092ED7">
              <w:rPr>
                <w:rFonts w:eastAsia="Times New Roman" w:cs="Times New Roman"/>
                <w:bCs/>
                <w:sz w:val="18"/>
                <w:szCs w:val="18"/>
                <w:lang w:val="sr-Cyrl-CS"/>
              </w:rPr>
              <w:t xml:space="preserve"> Постићи универзални обухват здравственом заштитом, укључујући заштиту од финансијског ризика, доступност квалитетних основних здравствених услуга и доступност безбедних, делотворних, </w:t>
            </w:r>
            <w:r w:rsidRPr="00092ED7">
              <w:rPr>
                <w:rFonts w:eastAsia="Times New Roman" w:cs="Times New Roman"/>
                <w:bCs/>
                <w:sz w:val="18"/>
                <w:szCs w:val="18"/>
                <w:lang w:val="sr-Cyrl-CS"/>
              </w:rPr>
              <w:lastRenderedPageBreak/>
              <w:t>квалитетних и приступачних основних лекова и вакцина за све</w:t>
            </w:r>
          </w:p>
        </w:tc>
        <w:tc>
          <w:tcPr>
            <w:tcW w:w="2409" w:type="dxa"/>
            <w:tcBorders>
              <w:top w:val="single" w:sz="6" w:space="0" w:color="000000"/>
              <w:left w:val="single" w:sz="6" w:space="0" w:color="000000"/>
              <w:bottom w:val="single" w:sz="6" w:space="0" w:color="000000"/>
              <w:right w:val="single" w:sz="6" w:space="0" w:color="000000"/>
            </w:tcBorders>
            <w:shd w:val="clear" w:color="auto" w:fill="auto"/>
          </w:tcPr>
          <w:p w14:paraId="32940F4D" w14:textId="77777777" w:rsidR="00C57EAF" w:rsidRPr="00092ED7" w:rsidRDefault="00C57EAF" w:rsidP="00C57EAF">
            <w:pPr>
              <w:spacing w:after="60"/>
              <w:jc w:val="left"/>
              <w:rPr>
                <w:rFonts w:eastAsia="Times New Roman" w:cs="Times New Roman"/>
                <w:b/>
                <w:bCs/>
                <w:iCs/>
                <w:sz w:val="18"/>
                <w:szCs w:val="18"/>
                <w:lang w:val="sr-Cyrl-CS"/>
              </w:rPr>
            </w:pPr>
            <w:r w:rsidRPr="00092ED7">
              <w:rPr>
                <w:rFonts w:eastAsia="Times New Roman" w:cs="Times New Roman"/>
                <w:bCs/>
                <w:iCs/>
                <w:sz w:val="18"/>
                <w:szCs w:val="18"/>
                <w:lang w:val="sr-Cyrl-CS"/>
              </w:rPr>
              <w:lastRenderedPageBreak/>
              <w:t xml:space="preserve">Индиректан утицај на </w:t>
            </w:r>
            <w:r w:rsidRPr="00092ED7">
              <w:rPr>
                <w:rFonts w:eastAsia="Times New Roman" w:cs="Times New Roman"/>
                <w:b/>
                <w:bCs/>
                <w:iCs/>
                <w:sz w:val="18"/>
                <w:szCs w:val="18"/>
                <w:lang w:val="sr-Cyrl-CS"/>
              </w:rPr>
              <w:t xml:space="preserve">циљ 59 </w:t>
            </w:r>
            <w:r w:rsidRPr="00092ED7">
              <w:rPr>
                <w:rFonts w:eastAsia="Times New Roman" w:cs="Times New Roman"/>
                <w:b/>
                <w:iCs/>
                <w:sz w:val="18"/>
                <w:szCs w:val="18"/>
                <w:lang w:val="sr-Cyrl-CS"/>
              </w:rPr>
              <w:t>ЗАЗБ</w:t>
            </w:r>
            <w:r w:rsidRPr="00092ED7">
              <w:rPr>
                <w:rFonts w:eastAsia="Times New Roman" w:cs="Times New Roman"/>
                <w:b/>
                <w:bCs/>
                <w:iCs/>
                <w:sz w:val="18"/>
                <w:szCs w:val="18"/>
                <w:lang w:val="sr-Cyrl-CS"/>
              </w:rPr>
              <w:t xml:space="preserve"> - </w:t>
            </w:r>
            <w:r w:rsidRPr="00092ED7">
              <w:rPr>
                <w:rFonts w:eastAsia="Times New Roman" w:cs="Times New Roman"/>
                <w:bCs/>
                <w:iCs/>
                <w:sz w:val="18"/>
                <w:szCs w:val="18"/>
                <w:lang w:val="sr-Cyrl-CS"/>
              </w:rPr>
              <w:t xml:space="preserve">Унапредити међусекторско управљање и подржати интеграцију зелене и нискоугљеничне транзиције, између осталог, путем реформе јавне управе, управљањем јавним финансијама, програмом економске реформе и </w:t>
            </w:r>
            <w:r w:rsidRPr="00092ED7">
              <w:rPr>
                <w:rFonts w:eastAsia="Times New Roman" w:cs="Times New Roman"/>
                <w:bCs/>
                <w:iCs/>
                <w:sz w:val="18"/>
                <w:szCs w:val="18"/>
                <w:lang w:val="sr-Cyrl-CS"/>
              </w:rPr>
              <w:lastRenderedPageBreak/>
              <w:t>мобилизацијом властитих ресурса</w:t>
            </w:r>
            <w:r w:rsidRPr="00092ED7">
              <w:rPr>
                <w:rFonts w:eastAsia="Times New Roman" w:cs="Times New Roman"/>
                <w:b/>
                <w:bCs/>
                <w:iCs/>
                <w:sz w:val="18"/>
                <w:szCs w:val="18"/>
                <w:lang w:val="sr-Cyrl-CS"/>
              </w:rPr>
              <w:t>.</w:t>
            </w:r>
          </w:p>
          <w:p w14:paraId="751BD23D" w14:textId="77777777" w:rsidR="00C57EAF" w:rsidRPr="00092ED7" w:rsidRDefault="00C57EAF" w:rsidP="00C57EAF">
            <w:pPr>
              <w:spacing w:after="60"/>
              <w:jc w:val="left"/>
              <w:rPr>
                <w:rFonts w:eastAsia="Times New Roman" w:cs="Times New Roman"/>
                <w:b/>
                <w:bCs/>
                <w:iCs/>
                <w:sz w:val="18"/>
                <w:szCs w:val="18"/>
                <w:lang w:val="sr-Cyrl-CS"/>
              </w:rPr>
            </w:pPr>
            <w:r w:rsidRPr="00092ED7">
              <w:rPr>
                <w:rFonts w:eastAsia="Times New Roman" w:cs="Times New Roman"/>
                <w:i/>
                <w:iCs/>
                <w:sz w:val="18"/>
                <w:szCs w:val="18"/>
                <w:lang w:val="sr-Cyrl-CS"/>
              </w:rPr>
              <w:t>Дигитализација би требало да утиче на смањење употребе папира и других материјала за штампање, чиме се смањује отпад.</w:t>
            </w:r>
          </w:p>
        </w:tc>
        <w:tc>
          <w:tcPr>
            <w:tcW w:w="1843" w:type="dxa"/>
            <w:tcBorders>
              <w:top w:val="single" w:sz="6" w:space="0" w:color="000000"/>
              <w:left w:val="single" w:sz="6" w:space="0" w:color="000000"/>
              <w:bottom w:val="single" w:sz="6" w:space="0" w:color="000000"/>
              <w:right w:val="single" w:sz="6" w:space="0" w:color="000000"/>
            </w:tcBorders>
            <w:shd w:val="clear" w:color="auto" w:fill="auto"/>
          </w:tcPr>
          <w:p w14:paraId="475D6320" w14:textId="77777777" w:rsidR="00C57EAF" w:rsidRPr="00092ED7" w:rsidRDefault="00C57EAF" w:rsidP="00C57EAF">
            <w:pPr>
              <w:spacing w:after="60"/>
              <w:jc w:val="left"/>
              <w:rPr>
                <w:rFonts w:eastAsia="Times New Roman" w:cs="Times New Roman"/>
                <w:b/>
                <w:bCs/>
                <w:iCs/>
                <w:sz w:val="18"/>
                <w:szCs w:val="18"/>
                <w:lang w:val="sr-Cyrl-CS"/>
              </w:rPr>
            </w:pPr>
            <w:r w:rsidRPr="00092ED7">
              <w:rPr>
                <w:rFonts w:eastAsia="Times New Roman" w:cs="Times New Roman"/>
                <w:b/>
                <w:iCs/>
                <w:sz w:val="18"/>
                <w:szCs w:val="18"/>
                <w:lang w:val="sr-Cyrl-CS"/>
              </w:rPr>
              <w:lastRenderedPageBreak/>
              <w:t xml:space="preserve">Поглавље </w:t>
            </w:r>
            <w:r w:rsidRPr="00092ED7">
              <w:rPr>
                <w:rFonts w:eastAsia="Times New Roman" w:cs="Times New Roman"/>
                <w:b/>
                <w:bCs/>
                <w:iCs/>
                <w:sz w:val="18"/>
                <w:szCs w:val="18"/>
                <w:lang w:val="sr-Cyrl-CS"/>
              </w:rPr>
              <w:t>VII Улагање у дигиталну будућност,</w:t>
            </w:r>
          </w:p>
          <w:p w14:paraId="64B08AEE" w14:textId="77777777" w:rsidR="00C57EAF" w:rsidRPr="00092ED7" w:rsidRDefault="00C57EAF" w:rsidP="00C57EAF">
            <w:pPr>
              <w:spacing w:after="60"/>
              <w:jc w:val="left"/>
              <w:rPr>
                <w:rFonts w:eastAsia="Times New Roman" w:cs="Times New Roman"/>
                <w:bCs/>
                <w:iCs/>
                <w:sz w:val="18"/>
                <w:szCs w:val="18"/>
                <w:lang w:val="sr-Cyrl-CS"/>
              </w:rPr>
            </w:pPr>
            <w:r w:rsidRPr="00092ED7">
              <w:rPr>
                <w:rFonts w:eastAsia="Times New Roman" w:cs="Times New Roman"/>
                <w:bCs/>
                <w:iCs/>
                <w:sz w:val="18"/>
                <w:szCs w:val="18"/>
                <w:lang w:val="sr-Cyrl-CS"/>
              </w:rPr>
              <w:t xml:space="preserve">- Подршка за развој дигиталних вештина, као што су е-здравствене услуге </w:t>
            </w:r>
          </w:p>
          <w:p w14:paraId="63CEB12A" w14:textId="77777777" w:rsidR="00C57EAF" w:rsidRPr="00092ED7" w:rsidRDefault="00C57EAF" w:rsidP="00C57EAF">
            <w:pPr>
              <w:spacing w:after="60"/>
              <w:jc w:val="left"/>
              <w:rPr>
                <w:rFonts w:eastAsia="Times New Roman" w:cs="Times New Roman"/>
                <w:b/>
                <w:bCs/>
                <w:sz w:val="18"/>
                <w:szCs w:val="18"/>
                <w:lang w:val="sr-Cyrl-CS"/>
              </w:rPr>
            </w:pPr>
            <w:r w:rsidRPr="00092ED7">
              <w:rPr>
                <w:rFonts w:eastAsia="Times New Roman" w:cs="Times New Roman"/>
                <w:bCs/>
                <w:iCs/>
                <w:sz w:val="18"/>
                <w:szCs w:val="18"/>
                <w:lang w:val="sr-Cyrl-CS"/>
              </w:rPr>
              <w:t xml:space="preserve">- Одредити приоритете и уводити дигитализацију у </w:t>
            </w:r>
            <w:r w:rsidRPr="00092ED7">
              <w:rPr>
                <w:rFonts w:eastAsia="Times New Roman" w:cs="Times New Roman"/>
                <w:bCs/>
                <w:iCs/>
                <w:sz w:val="18"/>
                <w:szCs w:val="18"/>
                <w:lang w:val="sr-Cyrl-CS"/>
              </w:rPr>
              <w:lastRenderedPageBreak/>
              <w:t>главне токове националне политике</w:t>
            </w:r>
          </w:p>
        </w:tc>
        <w:tc>
          <w:tcPr>
            <w:tcW w:w="1559" w:type="dxa"/>
            <w:tcBorders>
              <w:top w:val="single" w:sz="6" w:space="0" w:color="000000"/>
              <w:left w:val="single" w:sz="6" w:space="0" w:color="000000"/>
              <w:bottom w:val="single" w:sz="6" w:space="0" w:color="000000"/>
              <w:right w:val="single" w:sz="6" w:space="0" w:color="000000"/>
            </w:tcBorders>
          </w:tcPr>
          <w:p w14:paraId="0B6F76E5" w14:textId="6DECFCE1" w:rsidR="00C57EAF" w:rsidRPr="00092ED7" w:rsidRDefault="00C57EAF" w:rsidP="00B30259">
            <w:pPr>
              <w:spacing w:after="60"/>
              <w:jc w:val="left"/>
              <w:rPr>
                <w:rFonts w:eastAsia="Times New Roman" w:cs="Times New Roman"/>
                <w:iCs/>
                <w:sz w:val="18"/>
                <w:szCs w:val="18"/>
                <w:lang w:val="sr-Cyrl-CS"/>
              </w:rPr>
            </w:pPr>
            <w:r w:rsidRPr="00092ED7">
              <w:rPr>
                <w:rFonts w:eastAsia="Times New Roman" w:cs="Times New Roman"/>
                <w:iCs/>
                <w:sz w:val="18"/>
                <w:szCs w:val="18"/>
                <w:lang w:val="sr-Cyrl-CS"/>
              </w:rPr>
              <w:lastRenderedPageBreak/>
              <w:t xml:space="preserve">ИПА </w:t>
            </w:r>
            <w:r w:rsidR="00B30259" w:rsidRPr="00092ED7">
              <w:rPr>
                <w:rFonts w:eastAsia="Times New Roman" w:cs="Times New Roman"/>
                <w:iCs/>
                <w:sz w:val="18"/>
                <w:szCs w:val="18"/>
                <w:lang w:val="sr-Cyrl-CS"/>
              </w:rPr>
              <w:t>2021</w:t>
            </w:r>
          </w:p>
        </w:tc>
      </w:tr>
    </w:tbl>
    <w:p w14:paraId="46D31081" w14:textId="77777777" w:rsidR="00B11AE5" w:rsidRPr="00092ED7" w:rsidRDefault="00B11AE5" w:rsidP="00D030D6">
      <w:pPr>
        <w:spacing w:after="60"/>
        <w:rPr>
          <w:w w:val="110"/>
          <w:lang w:val="sr-Cyrl-CS"/>
        </w:rPr>
      </w:pPr>
    </w:p>
    <w:p w14:paraId="2A2D0B11" w14:textId="77777777" w:rsidR="00B11AE5" w:rsidRPr="00092ED7" w:rsidRDefault="00B11AE5">
      <w:pPr>
        <w:spacing w:after="160" w:line="259" w:lineRule="auto"/>
        <w:jc w:val="left"/>
        <w:rPr>
          <w:w w:val="110"/>
          <w:lang w:val="sr-Cyrl-CS"/>
        </w:rPr>
      </w:pPr>
      <w:r w:rsidRPr="00092ED7">
        <w:rPr>
          <w:w w:val="110"/>
          <w:lang w:val="sr-Cyrl-CS"/>
        </w:rPr>
        <w:br w:type="page"/>
      </w:r>
    </w:p>
    <w:p w14:paraId="1D0E5BBA" w14:textId="77777777" w:rsidR="00B11AE5" w:rsidRPr="00092ED7" w:rsidRDefault="00B11AE5" w:rsidP="000B5CBA">
      <w:pPr>
        <w:keepNext/>
        <w:keepLines/>
        <w:spacing w:after="240"/>
        <w:outlineLvl w:val="0"/>
        <w:rPr>
          <w:b/>
          <w:w w:val="110"/>
          <w:lang w:val="sr-Cyrl-CS"/>
        </w:rPr>
      </w:pPr>
      <w:bookmarkStart w:id="130" w:name="_Toc124174842"/>
      <w:r w:rsidRPr="00092ED7">
        <w:rPr>
          <w:b/>
          <w:w w:val="110"/>
          <w:lang w:val="sr-Cyrl-CS"/>
        </w:rPr>
        <w:lastRenderedPageBreak/>
        <w:t>Анекс 3</w:t>
      </w:r>
      <w:r w:rsidR="00E34561" w:rsidRPr="00092ED7">
        <w:rPr>
          <w:b/>
          <w:w w:val="110"/>
          <w:lang w:val="sr-Cyrl-CS"/>
        </w:rPr>
        <w:t xml:space="preserve"> -</w:t>
      </w:r>
      <w:r w:rsidR="00E83FFC" w:rsidRPr="00092ED7">
        <w:rPr>
          <w:b/>
          <w:w w:val="110"/>
          <w:lang w:val="sr-Cyrl-CS"/>
        </w:rPr>
        <w:t xml:space="preserve"> Екстерна контрибуција за ЕРП 2023-2025</w:t>
      </w:r>
      <w:bookmarkEnd w:id="130"/>
    </w:p>
    <w:tbl>
      <w:tblPr>
        <w:tblStyle w:val="TableGrid"/>
        <w:tblW w:w="0" w:type="auto"/>
        <w:tblLook w:val="04A0" w:firstRow="1" w:lastRow="0" w:firstColumn="1" w:lastColumn="0" w:noHBand="0" w:noVBand="1"/>
      </w:tblPr>
      <w:tblGrid>
        <w:gridCol w:w="2789"/>
        <w:gridCol w:w="2789"/>
        <w:gridCol w:w="4198"/>
        <w:gridCol w:w="4172"/>
      </w:tblGrid>
      <w:tr w:rsidR="009E7AB4" w:rsidRPr="00092ED7" w14:paraId="4157F26E" w14:textId="77777777" w:rsidTr="009E7AB4">
        <w:trPr>
          <w:cnfStyle w:val="100000000000" w:firstRow="1" w:lastRow="0" w:firstColumn="0" w:lastColumn="0" w:oddVBand="0" w:evenVBand="0" w:oddHBand="0" w:evenHBand="0" w:firstRowFirstColumn="0" w:firstRowLastColumn="0" w:lastRowFirstColumn="0" w:lastRowLastColumn="0"/>
        </w:trPr>
        <w:tc>
          <w:tcPr>
            <w:tcW w:w="2789" w:type="dxa"/>
          </w:tcPr>
          <w:p w14:paraId="4AE1AC29" w14:textId="77777777" w:rsidR="009E7AB4" w:rsidRPr="00092ED7" w:rsidRDefault="009E7AB4" w:rsidP="009E7AB4">
            <w:pPr>
              <w:spacing w:before="0" w:after="0"/>
              <w:jc w:val="center"/>
              <w:rPr>
                <w:rFonts w:cs="Times New Roman"/>
                <w:b w:val="0"/>
                <w:sz w:val="20"/>
                <w:lang w:val="sr-Cyrl-CS"/>
              </w:rPr>
            </w:pPr>
            <w:r w:rsidRPr="00092ED7">
              <w:rPr>
                <w:rFonts w:cs="Times New Roman"/>
                <w:sz w:val="20"/>
                <w:lang w:val="sr-Cyrl-CS"/>
              </w:rPr>
              <w:t>Област/ врста коментара</w:t>
            </w:r>
          </w:p>
        </w:tc>
        <w:tc>
          <w:tcPr>
            <w:tcW w:w="2789" w:type="dxa"/>
          </w:tcPr>
          <w:p w14:paraId="4E968692" w14:textId="77777777" w:rsidR="009E7AB4" w:rsidRPr="00092ED7" w:rsidRDefault="009E7AB4" w:rsidP="009E7AB4">
            <w:pPr>
              <w:spacing w:before="0" w:after="0"/>
              <w:jc w:val="center"/>
              <w:rPr>
                <w:rFonts w:cs="Times New Roman"/>
                <w:b w:val="0"/>
                <w:sz w:val="20"/>
                <w:lang w:val="sr-Cyrl-CS"/>
              </w:rPr>
            </w:pPr>
            <w:r w:rsidRPr="00092ED7">
              <w:rPr>
                <w:rFonts w:cs="Times New Roman"/>
                <w:sz w:val="20"/>
                <w:lang w:val="sr-Cyrl-CS"/>
              </w:rPr>
              <w:t>Коментар доставио (институција и датум)</w:t>
            </w:r>
          </w:p>
        </w:tc>
        <w:tc>
          <w:tcPr>
            <w:tcW w:w="4198" w:type="dxa"/>
          </w:tcPr>
          <w:p w14:paraId="7FB57B88" w14:textId="77777777" w:rsidR="009E7AB4" w:rsidRPr="00092ED7" w:rsidRDefault="009E7AB4" w:rsidP="009E7AB4">
            <w:pPr>
              <w:spacing w:before="0" w:after="0"/>
              <w:jc w:val="center"/>
              <w:rPr>
                <w:rFonts w:cs="Times New Roman"/>
                <w:b w:val="0"/>
                <w:sz w:val="20"/>
                <w:lang w:val="sr-Cyrl-CS"/>
              </w:rPr>
            </w:pPr>
            <w:r w:rsidRPr="00092ED7">
              <w:rPr>
                <w:rFonts w:cs="Times New Roman"/>
                <w:sz w:val="20"/>
                <w:lang w:val="sr-Cyrl-CS"/>
              </w:rPr>
              <w:t>Коментар</w:t>
            </w:r>
          </w:p>
          <w:p w14:paraId="70511135" w14:textId="77777777" w:rsidR="009E7AB4" w:rsidRPr="00092ED7" w:rsidRDefault="009E7AB4" w:rsidP="009E7AB4">
            <w:pPr>
              <w:spacing w:before="0" w:after="0"/>
              <w:jc w:val="center"/>
              <w:rPr>
                <w:rFonts w:cs="Times New Roman"/>
                <w:b w:val="0"/>
                <w:sz w:val="20"/>
                <w:lang w:val="sr-Cyrl-CS"/>
              </w:rPr>
            </w:pPr>
            <w:r w:rsidRPr="00092ED7">
              <w:rPr>
                <w:rFonts w:cs="Times New Roman"/>
                <w:sz w:val="20"/>
                <w:lang w:val="sr-Cyrl-CS"/>
              </w:rPr>
              <w:t>(главне сугестије и примедбе укратко)</w:t>
            </w:r>
          </w:p>
        </w:tc>
        <w:tc>
          <w:tcPr>
            <w:tcW w:w="4172" w:type="dxa"/>
          </w:tcPr>
          <w:p w14:paraId="710E0162" w14:textId="77777777" w:rsidR="009E7AB4" w:rsidRPr="00092ED7" w:rsidRDefault="009E7AB4" w:rsidP="009E7AB4">
            <w:pPr>
              <w:spacing w:before="0" w:after="0"/>
              <w:rPr>
                <w:rFonts w:cs="Times New Roman"/>
                <w:b w:val="0"/>
                <w:sz w:val="20"/>
                <w:lang w:val="sr-Cyrl-CS"/>
              </w:rPr>
            </w:pPr>
            <w:r w:rsidRPr="00092ED7">
              <w:rPr>
                <w:rFonts w:cs="Times New Roman"/>
                <w:sz w:val="20"/>
                <w:lang w:val="sr-Cyrl-CS"/>
              </w:rPr>
              <w:t>Статус коментара /Образложење за прихаватање или неприхватање коментара</w:t>
            </w:r>
          </w:p>
        </w:tc>
      </w:tr>
      <w:tr w:rsidR="009E7AB4" w:rsidRPr="00092ED7" w14:paraId="014FF006" w14:textId="77777777" w:rsidTr="009E7AB4">
        <w:trPr>
          <w:trHeight w:val="2131"/>
        </w:trPr>
        <w:tc>
          <w:tcPr>
            <w:tcW w:w="2789" w:type="dxa"/>
          </w:tcPr>
          <w:p w14:paraId="65FC3A1A" w14:textId="77777777" w:rsidR="009E7AB4" w:rsidRPr="00092ED7" w:rsidRDefault="009E7AB4" w:rsidP="009E7AB4">
            <w:pPr>
              <w:spacing w:before="0" w:after="0"/>
              <w:rPr>
                <w:rFonts w:cs="Times New Roman"/>
                <w:b/>
                <w:sz w:val="20"/>
                <w:lang w:val="sr-Cyrl-CS"/>
              </w:rPr>
            </w:pPr>
            <w:r w:rsidRPr="00092ED7">
              <w:rPr>
                <w:rFonts w:cs="Times New Roman"/>
                <w:b/>
                <w:sz w:val="20"/>
                <w:lang w:val="sr-Cyrl-CS"/>
              </w:rPr>
              <w:t>Документ ЕРП 2023- 2025, Општи коментари</w:t>
            </w:r>
          </w:p>
        </w:tc>
        <w:tc>
          <w:tcPr>
            <w:tcW w:w="2789" w:type="dxa"/>
          </w:tcPr>
          <w:p w14:paraId="184DF6FA" w14:textId="77777777" w:rsidR="009E7AB4" w:rsidRPr="00092ED7" w:rsidRDefault="002307CC" w:rsidP="002307CC">
            <w:pPr>
              <w:spacing w:before="0" w:after="0"/>
              <w:rPr>
                <w:rFonts w:cs="Times New Roman"/>
                <w:sz w:val="20"/>
                <w:lang w:val="sr-Cyrl-CS"/>
              </w:rPr>
            </w:pPr>
            <w:r w:rsidRPr="00092ED7">
              <w:rPr>
                <w:rFonts w:cs="Times New Roman"/>
                <w:sz w:val="20"/>
                <w:lang w:val="sr-Cyrl-CS"/>
              </w:rPr>
              <w:t xml:space="preserve">Међусекторска радна </w:t>
            </w:r>
            <w:r w:rsidR="009E7AB4" w:rsidRPr="00092ED7">
              <w:rPr>
                <w:rFonts w:cs="Times New Roman"/>
                <w:sz w:val="20"/>
                <w:lang w:val="sr-Cyrl-CS"/>
              </w:rPr>
              <w:t>групa за ЕРП Националног конвента о ЕУ, достављено електронским путем 26. децембрa 2022.</w:t>
            </w:r>
          </w:p>
        </w:tc>
        <w:tc>
          <w:tcPr>
            <w:tcW w:w="4198" w:type="dxa"/>
          </w:tcPr>
          <w:p w14:paraId="02088E25" w14:textId="51D97C0E" w:rsidR="009E7AB4" w:rsidRPr="00092ED7" w:rsidRDefault="009E7AB4" w:rsidP="009E7AB4">
            <w:pPr>
              <w:spacing w:before="0" w:after="0"/>
              <w:rPr>
                <w:rFonts w:cs="Times New Roman"/>
                <w:sz w:val="20"/>
                <w:lang w:val="sr-Cyrl-CS"/>
              </w:rPr>
            </w:pPr>
            <w:r w:rsidRPr="00092ED7">
              <w:rPr>
                <w:rFonts w:cs="Times New Roman"/>
                <w:sz w:val="20"/>
                <w:lang w:val="sr-Cyrl-CS"/>
              </w:rPr>
              <w:t>Документи развојног планирања као што су План развоја, Инвестициони план, који су плански документи најширег обухвата не постоје, стога је већина изазова и мера у ЕРП-у за 2023-2025. годину, подстицајне и институционално управљачке природе, и не претходе им мере јавних политика које су регулаторне природе (Закон о планском систему Р</w:t>
            </w:r>
            <w:r w:rsidR="00ED2B9F" w:rsidRPr="00092ED7">
              <w:rPr>
                <w:rFonts w:cs="Times New Roman"/>
                <w:sz w:val="20"/>
                <w:lang w:val="sr-Cyrl-CS"/>
              </w:rPr>
              <w:t>епублике Србије</w:t>
            </w:r>
            <w:r w:rsidRPr="00092ED7">
              <w:rPr>
                <w:rFonts w:cs="Times New Roman"/>
                <w:sz w:val="20"/>
                <w:lang w:val="sr-Cyrl-CS"/>
              </w:rPr>
              <w:t>).</w:t>
            </w:r>
          </w:p>
        </w:tc>
        <w:tc>
          <w:tcPr>
            <w:tcW w:w="4172" w:type="dxa"/>
          </w:tcPr>
          <w:p w14:paraId="1D41D332"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Тренутно се припремају подзаконски акти који утврђују методологију припреме Плана развоја, који предвиђа Закон о планском систему. ЕРП представља стратешки документ који обухвата приоритетне реформе представљене у стратешким и планским документима различитих политика, чиме тренутно представља кровни документ у области економског развоја.</w:t>
            </w:r>
          </w:p>
        </w:tc>
      </w:tr>
      <w:tr w:rsidR="009E7AB4" w:rsidRPr="00092ED7" w14:paraId="23737E0D" w14:textId="77777777" w:rsidTr="009E7AB4">
        <w:tc>
          <w:tcPr>
            <w:tcW w:w="5578" w:type="dxa"/>
            <w:gridSpan w:val="2"/>
            <w:vMerge w:val="restart"/>
          </w:tcPr>
          <w:p w14:paraId="72B7CBE7" w14:textId="77777777" w:rsidR="009E7AB4" w:rsidRPr="00092ED7" w:rsidRDefault="009E7AB4" w:rsidP="009E7AB4">
            <w:pPr>
              <w:spacing w:before="0" w:after="0"/>
              <w:rPr>
                <w:rFonts w:cs="Times New Roman"/>
                <w:sz w:val="20"/>
                <w:lang w:val="sr-Cyrl-CS"/>
              </w:rPr>
            </w:pPr>
          </w:p>
        </w:tc>
        <w:tc>
          <w:tcPr>
            <w:tcW w:w="4198" w:type="dxa"/>
          </w:tcPr>
          <w:p w14:paraId="10163FD4"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ЕРП припремати на начин да буду представљени показатељи учинака, а не само показатељи резултата.</w:t>
            </w:r>
          </w:p>
        </w:tc>
        <w:tc>
          <w:tcPr>
            <w:tcW w:w="4172" w:type="dxa"/>
          </w:tcPr>
          <w:p w14:paraId="409B5E0A"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Коментар није применљив. Документ ЕРП се припрема према смерницама које прописује ЕК, док је према Закону о планском систему искључен из обавеза за припрему документа јавних политика укључујући и обавезе у области приказа индикатора. Смернице ЕК за припрему ЕРП изричито налажу израду показатеља резултата, те смо у обавези да пратимо ове смернице.</w:t>
            </w:r>
          </w:p>
        </w:tc>
      </w:tr>
      <w:tr w:rsidR="009E7AB4" w:rsidRPr="00092ED7" w14:paraId="0F99137A" w14:textId="77777777" w:rsidTr="009E7AB4">
        <w:tc>
          <w:tcPr>
            <w:tcW w:w="5578" w:type="dxa"/>
            <w:gridSpan w:val="2"/>
            <w:vMerge/>
          </w:tcPr>
          <w:p w14:paraId="20B77917" w14:textId="77777777" w:rsidR="009E7AB4" w:rsidRPr="00092ED7" w:rsidRDefault="009E7AB4" w:rsidP="009E7AB4">
            <w:pPr>
              <w:spacing w:before="0" w:after="0"/>
              <w:rPr>
                <w:rFonts w:cs="Times New Roman"/>
                <w:sz w:val="20"/>
                <w:lang w:val="sr-Cyrl-CS"/>
              </w:rPr>
            </w:pPr>
          </w:p>
        </w:tc>
        <w:tc>
          <w:tcPr>
            <w:tcW w:w="4198" w:type="dxa"/>
          </w:tcPr>
          <w:p w14:paraId="39AD1BF5" w14:textId="20965322" w:rsidR="009E7AB4" w:rsidRPr="00092ED7" w:rsidRDefault="009E7AB4" w:rsidP="009E7AB4">
            <w:pPr>
              <w:spacing w:before="0" w:after="0"/>
              <w:rPr>
                <w:rFonts w:cs="Times New Roman"/>
                <w:sz w:val="20"/>
                <w:lang w:val="sr-Cyrl-CS"/>
              </w:rPr>
            </w:pPr>
            <w:r w:rsidRPr="00092ED7">
              <w:rPr>
                <w:rFonts w:cs="Times New Roman"/>
                <w:sz w:val="20"/>
                <w:lang w:val="sr-Cyrl-CS"/>
              </w:rPr>
              <w:t>ЕРП припремати на начин да буде јасно исказан утицај структурних реформи у периоду за који се оне доносе, на смањење регионалних диспаритета у</w:t>
            </w:r>
            <w:r w:rsidR="003B5902" w:rsidRPr="00092ED7">
              <w:rPr>
                <w:rFonts w:cs="Times New Roman"/>
                <w:sz w:val="20"/>
                <w:lang w:val="sr-Cyrl-CS"/>
              </w:rPr>
              <w:t xml:space="preserve"> Републици</w:t>
            </w:r>
            <w:r w:rsidRPr="00092ED7">
              <w:rPr>
                <w:rFonts w:cs="Times New Roman"/>
                <w:sz w:val="20"/>
                <w:lang w:val="sr-Cyrl-CS"/>
              </w:rPr>
              <w:t xml:space="preserve"> Србији.</w:t>
            </w:r>
          </w:p>
        </w:tc>
        <w:tc>
          <w:tcPr>
            <w:tcW w:w="4172" w:type="dxa"/>
          </w:tcPr>
          <w:p w14:paraId="41164D1C"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Утицај структурних реформи на регионални развој је изузетно значајан и било би корисно приказати га за све СР. Тренутно је ова област приказана само у појединим СР. Договорен је наставак сарадње са НКЕУ у наредном ЕРП циклусу, како би се адекватно одговорило на овај предлог.</w:t>
            </w:r>
          </w:p>
        </w:tc>
      </w:tr>
      <w:tr w:rsidR="009E7AB4" w:rsidRPr="00092ED7" w14:paraId="566DB92E" w14:textId="77777777" w:rsidTr="009E7AB4">
        <w:tc>
          <w:tcPr>
            <w:tcW w:w="5578" w:type="dxa"/>
            <w:gridSpan w:val="2"/>
            <w:vMerge/>
          </w:tcPr>
          <w:p w14:paraId="7E8CDCCC" w14:textId="77777777" w:rsidR="009E7AB4" w:rsidRPr="00092ED7" w:rsidRDefault="009E7AB4" w:rsidP="009E7AB4">
            <w:pPr>
              <w:spacing w:before="0" w:after="0"/>
              <w:rPr>
                <w:rFonts w:cs="Times New Roman"/>
                <w:sz w:val="20"/>
                <w:lang w:val="sr-Cyrl-CS"/>
              </w:rPr>
            </w:pPr>
          </w:p>
        </w:tc>
        <w:tc>
          <w:tcPr>
            <w:tcW w:w="4198" w:type="dxa"/>
          </w:tcPr>
          <w:p w14:paraId="7CFF8820"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Поједине структурне реформе су у делу активности до детаља описане, док су друге доста уопштене, што би требало избећи у наредном циклусу.</w:t>
            </w:r>
          </w:p>
        </w:tc>
        <w:tc>
          <w:tcPr>
            <w:tcW w:w="4172" w:type="dxa"/>
          </w:tcPr>
          <w:p w14:paraId="721623F1"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 xml:space="preserve">Приликом описа активности СР узима се у обзир њихова сложеност, трајање и садржај, као и политике на које се односе, што све детерминише могућности за ниво приказаних детаља у описима активности. Дефинисању активности СР посвећује се у сваком циклусу посебна пажња, имајући у виду да њихово адекватно формулисање значајно олакшава и приказивање финансијских ефеката СР, тако </w:t>
            </w:r>
            <w:r w:rsidRPr="00092ED7">
              <w:rPr>
                <w:rFonts w:cs="Times New Roman"/>
                <w:sz w:val="20"/>
                <w:lang w:val="sr-Cyrl-CS"/>
              </w:rPr>
              <w:lastRenderedPageBreak/>
              <w:t xml:space="preserve">да је овај коментар уважен, а биће релевантан и за наредни циклус. </w:t>
            </w:r>
          </w:p>
        </w:tc>
      </w:tr>
      <w:tr w:rsidR="009E7AB4" w:rsidRPr="00092ED7" w14:paraId="55D015F6" w14:textId="77777777" w:rsidTr="009E7AB4">
        <w:tc>
          <w:tcPr>
            <w:tcW w:w="2789" w:type="dxa"/>
          </w:tcPr>
          <w:p w14:paraId="4A65F174" w14:textId="77777777" w:rsidR="009E7AB4" w:rsidRPr="00092ED7" w:rsidRDefault="009E7AB4" w:rsidP="009E7AB4">
            <w:pPr>
              <w:spacing w:before="0" w:after="0"/>
              <w:rPr>
                <w:rFonts w:cs="Times New Roman"/>
                <w:sz w:val="20"/>
                <w:lang w:val="sr-Cyrl-CS"/>
              </w:rPr>
            </w:pPr>
            <w:r w:rsidRPr="00092ED7">
              <w:rPr>
                <w:rFonts w:cs="Times New Roman"/>
                <w:sz w:val="20"/>
                <w:lang w:val="sr-Cyrl-CS"/>
              </w:rPr>
              <w:lastRenderedPageBreak/>
              <w:t>СР у области рада и запошљавања, општи коментари</w:t>
            </w:r>
          </w:p>
        </w:tc>
        <w:tc>
          <w:tcPr>
            <w:tcW w:w="2789" w:type="dxa"/>
          </w:tcPr>
          <w:p w14:paraId="43ECBD84" w14:textId="04862F93" w:rsidR="009E7AB4" w:rsidRPr="00092ED7" w:rsidRDefault="009E7AB4" w:rsidP="009E7AB4">
            <w:pPr>
              <w:spacing w:before="0" w:after="0"/>
              <w:rPr>
                <w:rFonts w:cs="Times New Roman"/>
                <w:sz w:val="20"/>
                <w:lang w:val="sr-Cyrl-CS"/>
              </w:rPr>
            </w:pPr>
            <w:r w:rsidRPr="00092ED7">
              <w:rPr>
                <w:rFonts w:cs="Times New Roman"/>
                <w:sz w:val="20"/>
                <w:lang w:val="sr-Cyrl-CS"/>
              </w:rPr>
              <w:t xml:space="preserve">УНИЦЕФ у </w:t>
            </w:r>
            <w:r w:rsidR="003B5902" w:rsidRPr="00092ED7">
              <w:rPr>
                <w:rFonts w:cs="Times New Roman"/>
                <w:sz w:val="20"/>
                <w:lang w:val="sr-Cyrl-CS"/>
              </w:rPr>
              <w:t xml:space="preserve">Републици </w:t>
            </w:r>
            <w:r w:rsidRPr="00092ED7">
              <w:rPr>
                <w:rFonts w:cs="Times New Roman"/>
                <w:sz w:val="20"/>
                <w:lang w:val="sr-Cyrl-CS"/>
              </w:rPr>
              <w:t xml:space="preserve">Србији, достављено електронским путем 28. октобра 2022. </w:t>
            </w:r>
          </w:p>
        </w:tc>
        <w:tc>
          <w:tcPr>
            <w:tcW w:w="4198" w:type="dxa"/>
          </w:tcPr>
          <w:p w14:paraId="6C2F4AA4" w14:textId="022196D1" w:rsidR="009E7AB4" w:rsidRPr="00092ED7" w:rsidRDefault="009E7AB4" w:rsidP="009E7AB4">
            <w:pPr>
              <w:spacing w:before="0" w:after="0"/>
              <w:rPr>
                <w:rFonts w:cs="Times New Roman"/>
                <w:sz w:val="20"/>
                <w:lang w:val="sr-Cyrl-CS"/>
              </w:rPr>
            </w:pPr>
            <w:r w:rsidRPr="00092ED7">
              <w:rPr>
                <w:rFonts w:cs="Times New Roman"/>
                <w:sz w:val="20"/>
                <w:lang w:val="sr-Cyrl-CS"/>
              </w:rPr>
              <w:t xml:space="preserve">УНИЦЕФ поздравља напредак остварен на унапређењу прилика за младе и њихове запошљивости, и похваљујемо Владу због отпочињања процеса усмереног ка спровођењу програма Гаранција за младе. Млади представљају садашњост и будућност </w:t>
            </w:r>
            <w:r w:rsidR="003B5902" w:rsidRPr="00092ED7">
              <w:rPr>
                <w:rFonts w:cs="Times New Roman"/>
                <w:sz w:val="20"/>
                <w:lang w:val="sr-Cyrl-CS"/>
              </w:rPr>
              <w:t xml:space="preserve">Републике </w:t>
            </w:r>
            <w:r w:rsidRPr="00092ED7">
              <w:rPr>
                <w:rFonts w:cs="Times New Roman"/>
                <w:sz w:val="20"/>
                <w:lang w:val="sr-Cyrl-CS"/>
              </w:rPr>
              <w:t xml:space="preserve">Србије и улагање у младе сада донеће значајну економску корист. Како би се то постигло, важну улогу играју законодавне промене, укључујући усвајање Закона о радној пракси, Закона о волонтирању, као и Стратегије за младе РС у циљу унапређења повољног окружења.  </w:t>
            </w:r>
          </w:p>
          <w:p w14:paraId="6D4F5FAD" w14:textId="28DDA9AB" w:rsidR="009E7AB4" w:rsidRPr="00092ED7" w:rsidRDefault="009E7AB4" w:rsidP="009E7AB4">
            <w:pPr>
              <w:spacing w:before="0" w:after="0"/>
              <w:rPr>
                <w:rFonts w:cs="Times New Roman"/>
                <w:sz w:val="20"/>
                <w:lang w:val="sr-Cyrl-CS"/>
              </w:rPr>
            </w:pPr>
            <w:r w:rsidRPr="00092ED7">
              <w:rPr>
                <w:rFonts w:cs="Times New Roman"/>
                <w:sz w:val="20"/>
                <w:lang w:val="sr-Cyrl-CS"/>
              </w:rPr>
              <w:t xml:space="preserve">Нацрт Акционог плана за Гаранције за младе представља добар први корак и треба да се заврши и усвоји како би Влада отпочела спровођење овог кључног инструмента политике који ће омогућити </w:t>
            </w:r>
            <w:r w:rsidR="003B5902" w:rsidRPr="00092ED7">
              <w:rPr>
                <w:rFonts w:cs="Times New Roman"/>
                <w:sz w:val="20"/>
                <w:lang w:val="sr-Cyrl-CS"/>
              </w:rPr>
              <w:t xml:space="preserve">Републици </w:t>
            </w:r>
            <w:r w:rsidRPr="00092ED7">
              <w:rPr>
                <w:rFonts w:cs="Times New Roman"/>
                <w:sz w:val="20"/>
                <w:lang w:val="sr-Cyrl-CS"/>
              </w:rPr>
              <w:t xml:space="preserve">Србији да боље оспособи своје младе за тржиште рада, нарочите младе из маргинализованих средина. Гаранцијама за младе су предвиђене опсежне реформе и УНИЦЕФ подстиче Владу да посвети посебну пажњу унапређењу у следећим областима: </w:t>
            </w:r>
          </w:p>
          <w:p w14:paraId="1916517B"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w:t>
            </w:r>
            <w:r w:rsidRPr="00092ED7">
              <w:rPr>
                <w:rFonts w:cs="Times New Roman"/>
                <w:sz w:val="20"/>
                <w:lang w:val="sr-Cyrl-CS"/>
              </w:rPr>
              <w:tab/>
              <w:t>потребан је даљи развој националног система за каријерно вођење и саветовање у циљу спречавања осипања, као и развој модела проактивног рада са корисницима (енг. оутреацх) као заједничког оквира за проактивне активности са корисницима.</w:t>
            </w:r>
          </w:p>
          <w:p w14:paraId="0840A93D"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w:t>
            </w:r>
            <w:r w:rsidRPr="00092ED7">
              <w:rPr>
                <w:rFonts w:cs="Times New Roman"/>
                <w:sz w:val="20"/>
                <w:lang w:val="sr-Cyrl-CS"/>
              </w:rPr>
              <w:tab/>
              <w:t xml:space="preserve">кроз Закон о младима и усвајање Закона о радној пракси потребно је формално препознати проактивне активности са корисницима и учинити их подобним за финансирање из јавнх средстава, као и увести праксе програмског финансирања </w:t>
            </w:r>
            <w:r w:rsidRPr="00092ED7">
              <w:rPr>
                <w:rFonts w:cs="Times New Roman"/>
                <w:sz w:val="20"/>
                <w:lang w:val="sr-Cyrl-CS"/>
              </w:rPr>
              <w:lastRenderedPageBreak/>
              <w:t>омладинских организација цивилног друштва (уместо пројектног финансирања).</w:t>
            </w:r>
          </w:p>
          <w:p w14:paraId="33A93C90"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w:t>
            </w:r>
            <w:r w:rsidRPr="00092ED7">
              <w:rPr>
                <w:rFonts w:cs="Times New Roman"/>
                <w:sz w:val="20"/>
                <w:lang w:val="sr-Cyrl-CS"/>
              </w:rPr>
              <w:tab/>
              <w:t>посебан фокус на младима из маргинализованих средина биће од кључног значаја.</w:t>
            </w:r>
          </w:p>
        </w:tc>
        <w:tc>
          <w:tcPr>
            <w:tcW w:w="4172" w:type="dxa"/>
          </w:tcPr>
          <w:p w14:paraId="7E852B03" w14:textId="77777777" w:rsidR="009E7AB4" w:rsidRPr="00092ED7" w:rsidRDefault="009E7AB4" w:rsidP="009E7AB4">
            <w:pPr>
              <w:spacing w:before="0" w:after="0"/>
              <w:rPr>
                <w:rFonts w:cs="Times New Roman"/>
                <w:sz w:val="20"/>
                <w:lang w:val="sr-Cyrl-CS"/>
              </w:rPr>
            </w:pPr>
            <w:r w:rsidRPr="00092ED7">
              <w:rPr>
                <w:rFonts w:cs="Times New Roman"/>
                <w:bCs/>
                <w:sz w:val="20"/>
                <w:lang w:val="sr-Cyrl-CS"/>
              </w:rPr>
              <w:lastRenderedPageBreak/>
              <w:t>План имплементације Гаранције за младе припрема се у складу са Смерницама ЕК, ЕТФ-а и МОР-а. Овај план обухватиће реформе и мере са циљем унапређења законодавног оквира и припрему административних капацитета неопходних за спровођење пилотирања Гаранције за младе.</w:t>
            </w:r>
          </w:p>
        </w:tc>
      </w:tr>
      <w:tr w:rsidR="009E7AB4" w:rsidRPr="00092ED7" w14:paraId="00FC9A3A" w14:textId="77777777" w:rsidTr="009E7AB4">
        <w:tc>
          <w:tcPr>
            <w:tcW w:w="2789" w:type="dxa"/>
          </w:tcPr>
          <w:p w14:paraId="2AE77295"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СР у области социјалне заштите и инклузије</w:t>
            </w:r>
          </w:p>
        </w:tc>
        <w:tc>
          <w:tcPr>
            <w:tcW w:w="2789" w:type="dxa"/>
          </w:tcPr>
          <w:p w14:paraId="0C238D68" w14:textId="77777777" w:rsidR="009E7AB4" w:rsidRPr="00092ED7" w:rsidRDefault="009E7AB4" w:rsidP="009E7AB4">
            <w:pPr>
              <w:spacing w:before="0" w:after="0"/>
              <w:rPr>
                <w:rFonts w:cs="Times New Roman"/>
                <w:sz w:val="20"/>
                <w:lang w:val="sr-Cyrl-CS"/>
              </w:rPr>
            </w:pPr>
          </w:p>
        </w:tc>
        <w:tc>
          <w:tcPr>
            <w:tcW w:w="4198" w:type="dxa"/>
          </w:tcPr>
          <w:p w14:paraId="4AF48900" w14:textId="22457FBF" w:rsidR="009E7AB4" w:rsidRPr="00092ED7" w:rsidRDefault="009E7AB4" w:rsidP="009E7AB4">
            <w:pPr>
              <w:spacing w:before="0" w:after="0"/>
              <w:rPr>
                <w:rFonts w:cs="Times New Roman"/>
                <w:sz w:val="20"/>
                <w:lang w:val="sr-Cyrl-CS"/>
              </w:rPr>
            </w:pPr>
            <w:r w:rsidRPr="00092ED7">
              <w:rPr>
                <w:rFonts w:cs="Times New Roman"/>
                <w:sz w:val="20"/>
                <w:lang w:val="sr-Cyrl-CS"/>
              </w:rPr>
              <w:t>З</w:t>
            </w:r>
            <w:r w:rsidR="00E1152E" w:rsidRPr="00092ED7">
              <w:rPr>
                <w:rFonts w:cs="Times New Roman"/>
                <w:sz w:val="20"/>
                <w:lang w:val="sr-Cyrl-CS"/>
              </w:rPr>
              <w:t>бог рата у Украјини и пандемије</w:t>
            </w:r>
            <w:r w:rsidRPr="00092ED7">
              <w:rPr>
                <w:rFonts w:cs="Times New Roman"/>
                <w:sz w:val="20"/>
                <w:lang w:val="sr-Cyrl-CS"/>
              </w:rPr>
              <w:t xml:space="preserve"> за многе породице и децу у</w:t>
            </w:r>
            <w:r w:rsidR="003B5902" w:rsidRPr="00092ED7">
              <w:rPr>
                <w:rFonts w:cs="Times New Roman"/>
                <w:sz w:val="20"/>
                <w:lang w:val="sr-Cyrl-CS"/>
              </w:rPr>
              <w:t xml:space="preserve"> Републици</w:t>
            </w:r>
            <w:r w:rsidRPr="00092ED7">
              <w:rPr>
                <w:rFonts w:cs="Times New Roman"/>
                <w:sz w:val="20"/>
                <w:lang w:val="sr-Cyrl-CS"/>
              </w:rPr>
              <w:t xml:space="preserve"> Србији се повећао ризик од дечијег сиромаштва, неједнакости и угрожености. Самим тим је од изузетног значаја повећати подршку најсиромашнијем делу становништва, с обзиром на то да су се протеклих година знатно смањила издвајања јавних средстава за новчана давања намењена најсиромашнијој деци, нарочито путем дечијег додатка.</w:t>
            </w:r>
          </w:p>
          <w:p w14:paraId="2238A403"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 xml:space="preserve">Повећање обима програма дечијег додатка (ДД), с фокусом на унапређењу адекватности и обухвата давања. </w:t>
            </w:r>
          </w:p>
          <w:p w14:paraId="71F8C6DA"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1.</w:t>
            </w:r>
            <w:r w:rsidRPr="00092ED7">
              <w:rPr>
                <w:rFonts w:cs="Times New Roman"/>
                <w:sz w:val="20"/>
                <w:lang w:val="sr-Cyrl-CS"/>
              </w:rPr>
              <w:tab/>
              <w:t xml:space="preserve">Унапређење адекватности ДД – следе три сценарија за повећање ДД, која зависе од нивоа адекватности који се жели постићи: </w:t>
            </w:r>
          </w:p>
          <w:p w14:paraId="6FF18923"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Повећање ДД на две трећине износа намењеног деци на линији апсолутног сиромаштва, при чему се износи разликују према узрасту детета. Укупни процењени годишњи расходи буџета износе 4,4 милијарде РСД.</w:t>
            </w:r>
          </w:p>
          <w:p w14:paraId="2026EBF1"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w:t>
            </w:r>
            <w:r w:rsidRPr="00092ED7">
              <w:rPr>
                <w:rFonts w:cs="Times New Roman"/>
                <w:sz w:val="20"/>
                <w:lang w:val="sr-Cyrl-CS"/>
              </w:rPr>
              <w:tab/>
              <w:t>Повећање ДД на две трећине износа намењеног деци на линији релативног сиромаштва, при чему се износи разликују према узрасту детета. Укупни процењени годишњи расходи буџета износе 3,8 милијарди РСД.</w:t>
            </w:r>
          </w:p>
          <w:p w14:paraId="10364981"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w:t>
            </w:r>
            <w:r w:rsidRPr="00092ED7">
              <w:rPr>
                <w:rFonts w:cs="Times New Roman"/>
                <w:sz w:val="20"/>
                <w:lang w:val="sr-Cyrl-CS"/>
              </w:rPr>
              <w:tab/>
              <w:t>Повећање ДД на износ намењен деци нижег узраста на линији релативног сиромаштва, без разлике у погледу износа према узрасту детета. Укупни процењени годишњи расходи буџета износе 8,3 милијарде РСД.</w:t>
            </w:r>
          </w:p>
          <w:p w14:paraId="0DAEA23F" w14:textId="77777777" w:rsidR="009E7AB4" w:rsidRPr="00092ED7" w:rsidRDefault="009E7AB4" w:rsidP="009E7AB4">
            <w:pPr>
              <w:spacing w:before="0" w:after="0"/>
              <w:rPr>
                <w:rFonts w:cs="Times New Roman"/>
                <w:sz w:val="20"/>
                <w:lang w:val="sr-Cyrl-CS"/>
              </w:rPr>
            </w:pPr>
            <w:r w:rsidRPr="00092ED7">
              <w:rPr>
                <w:rFonts w:cs="Times New Roman"/>
                <w:sz w:val="20"/>
                <w:lang w:val="sr-Cyrl-CS"/>
              </w:rPr>
              <w:lastRenderedPageBreak/>
              <w:t>2.</w:t>
            </w:r>
            <w:r w:rsidRPr="00092ED7">
              <w:rPr>
                <w:rFonts w:cs="Times New Roman"/>
                <w:sz w:val="20"/>
                <w:lang w:val="sr-Cyrl-CS"/>
              </w:rPr>
              <w:tab/>
              <w:t>Унапређење обухвата ДД – Повећање обухвата програма ДД може бити постигнуто првенствено ублажавањем критеријума у погледу прихода или имовине.</w:t>
            </w:r>
          </w:p>
          <w:p w14:paraId="7F931031"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w:t>
            </w:r>
            <w:r w:rsidRPr="00092ED7">
              <w:rPr>
                <w:rFonts w:cs="Times New Roman"/>
                <w:sz w:val="20"/>
                <w:lang w:val="sr-Cyrl-CS"/>
              </w:rPr>
              <w:tab/>
              <w:t>Повећање горње границе прихода за 20% потенцијално би могло да покрије готово сву децу која су под ризиком од сиромаштва. Без даљих захтева, у складу с овом реформом, број корисника би износио укупно око 390 хиљада, а укупни расходи би износили око 15,8 милијарди РСД (0,29% БДП-а). Кључни индикатори величине програма (однос расхода и БДП-а) тако би се вратили на вредности забележене у протеклих десетак година.</w:t>
            </w:r>
          </w:p>
          <w:p w14:paraId="47E128AD"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w:t>
            </w:r>
            <w:r w:rsidRPr="00092ED7">
              <w:rPr>
                <w:rFonts w:cs="Times New Roman"/>
                <w:sz w:val="20"/>
                <w:lang w:val="sr-Cyrl-CS"/>
              </w:rPr>
              <w:tab/>
              <w:t>Укидање горње границе катастарског прихода.</w:t>
            </w:r>
          </w:p>
          <w:p w14:paraId="23E25EE0"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 xml:space="preserve">Оптимална реформа ДД треба да укључује спој унапређења адекватности и обухвата.  </w:t>
            </w:r>
          </w:p>
          <w:p w14:paraId="3E5E6BAD"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 xml:space="preserve">Повећање обухвата и адекватности новчане социјалне помоћи (НСП) – Повећање пондера за децу старијег узраста са тренутних 0,3 на 0,5 (као за другог одраслог) и за децу са сметњама у развоју (на 1). Истовремено, потребно је и повећати основицу за обрачун НСП (ова промена би аутоматски укључила додатни број деце у програм). Због концепта социјалних давања и ниског нивоа минималне зараде, горња граница повећања је ограничена износом увећане НСП, који за појединца не треба да премаши ниво социјалне пољопривредне пензије. Оптимално повећање основице за обрачун НСП треба да износи око 15% и не више од 20%. </w:t>
            </w:r>
          </w:p>
          <w:p w14:paraId="47559D72"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 xml:space="preserve">УНИЦЕФ је и даље спреман да пружи детаљније информације о утицају предложених промена, као и стручну подршку у релевантним областима (нарочито у процени утицаја конкретних промена у релевантним </w:t>
            </w:r>
            <w:r w:rsidRPr="00092ED7">
              <w:rPr>
                <w:rFonts w:cs="Times New Roman"/>
                <w:sz w:val="20"/>
                <w:lang w:val="sr-Cyrl-CS"/>
              </w:rPr>
              <w:lastRenderedPageBreak/>
              <w:t>законима коришћењем административних података у реалном времену, мерењем буџетских расхода за скуп измењених и комбинованих реформи).</w:t>
            </w:r>
          </w:p>
          <w:p w14:paraId="3A85F0D6" w14:textId="5576A798" w:rsidR="009E7AB4" w:rsidRPr="00092ED7" w:rsidRDefault="009E7AB4" w:rsidP="009E7AB4">
            <w:pPr>
              <w:spacing w:before="0" w:after="0"/>
              <w:rPr>
                <w:rFonts w:cs="Times New Roman"/>
                <w:sz w:val="20"/>
                <w:lang w:val="sr-Cyrl-CS"/>
              </w:rPr>
            </w:pPr>
            <w:r w:rsidRPr="00092ED7">
              <w:rPr>
                <w:rFonts w:cs="Times New Roman"/>
                <w:sz w:val="20"/>
                <w:lang w:val="sr-Cyrl-CS"/>
              </w:rPr>
              <w:t xml:space="preserve">УНИЦЕФ снажно подржава спровођење Гаранције за децу – инструмента ЕУ за борбу против искључивања и сиромаштва – у контексту </w:t>
            </w:r>
            <w:r w:rsidR="003B5902" w:rsidRPr="00092ED7">
              <w:rPr>
                <w:rFonts w:cs="Times New Roman"/>
                <w:sz w:val="20"/>
                <w:lang w:val="sr-Cyrl-CS"/>
              </w:rPr>
              <w:t xml:space="preserve">Републике </w:t>
            </w:r>
            <w:r w:rsidRPr="00092ED7">
              <w:rPr>
                <w:rFonts w:cs="Times New Roman"/>
                <w:sz w:val="20"/>
                <w:lang w:val="sr-Cyrl-CS"/>
              </w:rPr>
              <w:t xml:space="preserve">Србије и спреман је да пружи стручну помоћ Влади. Овај финансијски инструмент је усвојен кроз препоруку Савета у јуну 2021. године и осмишљен је тако да обезбеди да свако дете под ризиком од сиромаштва или друштвене искључености има приступ најосновнијим правима као што су здравствена заштита и образовање. У контексту </w:t>
            </w:r>
            <w:r w:rsidR="003B5902" w:rsidRPr="00092ED7">
              <w:rPr>
                <w:rFonts w:cs="Times New Roman"/>
                <w:sz w:val="20"/>
                <w:lang w:val="sr-Cyrl-CS"/>
              </w:rPr>
              <w:t xml:space="preserve">Републике </w:t>
            </w:r>
            <w:r w:rsidRPr="00092ED7">
              <w:rPr>
                <w:rFonts w:cs="Times New Roman"/>
                <w:sz w:val="20"/>
                <w:lang w:val="sr-Cyrl-CS"/>
              </w:rPr>
              <w:t xml:space="preserve">Србије, приступ Гаранцији за децу могао би да обезбеди ресурсе за конкретне приоритете </w:t>
            </w:r>
            <w:r w:rsidR="003B5902" w:rsidRPr="00092ED7">
              <w:rPr>
                <w:rFonts w:cs="Times New Roman"/>
                <w:sz w:val="20"/>
                <w:lang w:val="sr-Cyrl-CS"/>
              </w:rPr>
              <w:t xml:space="preserve">Републике </w:t>
            </w:r>
            <w:r w:rsidRPr="00092ED7">
              <w:rPr>
                <w:rFonts w:cs="Times New Roman"/>
                <w:sz w:val="20"/>
                <w:lang w:val="sr-Cyrl-CS"/>
              </w:rPr>
              <w:t>Србије.</w:t>
            </w:r>
          </w:p>
        </w:tc>
        <w:tc>
          <w:tcPr>
            <w:tcW w:w="4172" w:type="dxa"/>
          </w:tcPr>
          <w:p w14:paraId="3F751417" w14:textId="77777777" w:rsidR="009E7AB4" w:rsidRPr="00092ED7" w:rsidRDefault="009E7AB4" w:rsidP="009E7AB4">
            <w:pPr>
              <w:spacing w:before="0" w:after="0"/>
              <w:rPr>
                <w:rFonts w:cs="Times New Roman"/>
                <w:bCs/>
                <w:sz w:val="20"/>
                <w:lang w:val="sr-Cyrl-CS"/>
              </w:rPr>
            </w:pPr>
            <w:r w:rsidRPr="00092ED7">
              <w:rPr>
                <w:rFonts w:cs="Times New Roman"/>
                <w:bCs/>
                <w:sz w:val="20"/>
                <w:lang w:val="sr-Cyrl-CS"/>
              </w:rPr>
              <w:lastRenderedPageBreak/>
              <w:t>Сугестија се прихвата. Приликом израде нацрта измена и допуна Закона о социјалној заштити узета је у разматрање и анализа ''Опције за унапређење програма новчане социјалне помоћи на бази провере имовинског стања усмерених на децу''. Налази из ове анализе су полазиште и за номиновање нове структурне реформе за следећи ЕРП циклус уколико се стекну услови у погледу финансирања СР.</w:t>
            </w:r>
          </w:p>
          <w:p w14:paraId="099081BD" w14:textId="77777777" w:rsidR="009E7AB4" w:rsidRPr="00092ED7" w:rsidRDefault="009E7AB4" w:rsidP="009E7AB4">
            <w:pPr>
              <w:spacing w:before="0" w:after="0"/>
              <w:rPr>
                <w:rFonts w:cs="Times New Roman"/>
                <w:bCs/>
                <w:sz w:val="20"/>
                <w:lang w:val="sr-Cyrl-CS"/>
              </w:rPr>
            </w:pPr>
            <w:r w:rsidRPr="00092ED7">
              <w:rPr>
                <w:rFonts w:cs="Times New Roman"/>
                <w:bCs/>
                <w:sz w:val="20"/>
                <w:lang w:val="sr-Cyrl-CS"/>
              </w:rPr>
              <w:t xml:space="preserve">У буџету за 2023. годину опредељена су средства за права у области социјалне заштите у износу који је усклађен са постојећим нормативним оквиром. Сматра се да је потребно сачекати ефекте примене Социјалне карте и евентуалне уштеде које би биле усмерене на повећање новчане социјалне помоћи. Анализа ефеката примене Регистра социјална карта радиће се почетком 2023. године. </w:t>
            </w:r>
          </w:p>
          <w:p w14:paraId="07CDD8CD" w14:textId="77777777" w:rsidR="009E7AB4" w:rsidRPr="00092ED7" w:rsidRDefault="009E7AB4" w:rsidP="009E7AB4">
            <w:pPr>
              <w:spacing w:before="0" w:after="0"/>
              <w:rPr>
                <w:rFonts w:cs="Times New Roman"/>
                <w:bCs/>
                <w:sz w:val="20"/>
                <w:lang w:val="sr-Cyrl-CS"/>
              </w:rPr>
            </w:pPr>
            <w:r w:rsidRPr="00092ED7">
              <w:rPr>
                <w:rFonts w:cs="Times New Roman"/>
                <w:bCs/>
                <w:sz w:val="20"/>
                <w:lang w:val="sr-Cyrl-CS"/>
              </w:rPr>
              <w:t xml:space="preserve">Када је реч о Гаранцијама за децу, Министарство је врло заинтересовано за ову сарадњу са УНИЦЕФ-ом нарочито у обезбеђивању подршке за деинституционализацију деце узраста од 0 до 7 година у складу са новоусвојеном Стратегијом деинституционализације и развоја услуга социјалне заштите у заједници. </w:t>
            </w:r>
          </w:p>
          <w:p w14:paraId="7F02D93B" w14:textId="77777777" w:rsidR="009E7AB4" w:rsidRPr="00092ED7" w:rsidRDefault="009E7AB4" w:rsidP="009E7AB4">
            <w:pPr>
              <w:spacing w:before="0" w:after="0"/>
              <w:rPr>
                <w:rFonts w:cs="Times New Roman"/>
                <w:bCs/>
                <w:sz w:val="20"/>
                <w:lang w:val="sr-Cyrl-CS"/>
              </w:rPr>
            </w:pPr>
          </w:p>
          <w:p w14:paraId="2B54A572" w14:textId="77777777" w:rsidR="00763787" w:rsidRPr="00092ED7" w:rsidRDefault="00763787" w:rsidP="009E7AB4">
            <w:pPr>
              <w:spacing w:before="0" w:after="0"/>
              <w:rPr>
                <w:rFonts w:cs="Times New Roman"/>
                <w:bCs/>
                <w:sz w:val="20"/>
                <w:lang w:val="sr-Cyrl-CS"/>
              </w:rPr>
            </w:pPr>
          </w:p>
          <w:p w14:paraId="695BC760" w14:textId="77777777" w:rsidR="00763787" w:rsidRPr="00092ED7" w:rsidRDefault="00763787" w:rsidP="009E7AB4">
            <w:pPr>
              <w:spacing w:before="0" w:after="0"/>
              <w:rPr>
                <w:rFonts w:cs="Times New Roman"/>
                <w:bCs/>
                <w:sz w:val="20"/>
                <w:lang w:val="sr-Cyrl-CS"/>
              </w:rPr>
            </w:pPr>
            <w:r w:rsidRPr="00092ED7">
              <w:rPr>
                <w:rFonts w:cs="Times New Roman"/>
                <w:bCs/>
                <w:sz w:val="20"/>
                <w:lang w:val="sr-Cyrl-CS"/>
              </w:rPr>
              <w:t xml:space="preserve">Када је реч о укидању горње границе катастарског прихода, планирана реформа социјалне политике у Републици Србији обухватиће и стављање ван снаге Закона о </w:t>
            </w:r>
            <w:r w:rsidRPr="00092ED7">
              <w:rPr>
                <w:rFonts w:cs="Times New Roman"/>
                <w:bCs/>
                <w:sz w:val="20"/>
                <w:lang w:val="sr-Cyrl-CS"/>
              </w:rPr>
              <w:lastRenderedPageBreak/>
              <w:t>утврђивању катастарског прихода („Службени гласник РС”, број 49/92), што ће допринети административном растерећењу у области социјалне заштите, као и реалној процени потреба и планирању новчане социјалне помоћи за више категорија корисника.</w:t>
            </w:r>
          </w:p>
        </w:tc>
      </w:tr>
      <w:tr w:rsidR="009E7AB4" w:rsidRPr="00092ED7" w14:paraId="6FEA2F3F" w14:textId="77777777" w:rsidTr="009E7AB4">
        <w:tc>
          <w:tcPr>
            <w:tcW w:w="2789" w:type="dxa"/>
          </w:tcPr>
          <w:p w14:paraId="75B54935" w14:textId="77777777" w:rsidR="009E7AB4" w:rsidRPr="00092ED7" w:rsidRDefault="009E7AB4" w:rsidP="009E7AB4">
            <w:pPr>
              <w:spacing w:before="0" w:after="0"/>
              <w:rPr>
                <w:rFonts w:cs="Times New Roman"/>
                <w:sz w:val="20"/>
                <w:lang w:val="sr-Cyrl-CS"/>
              </w:rPr>
            </w:pPr>
            <w:r w:rsidRPr="00092ED7">
              <w:rPr>
                <w:rFonts w:cs="Times New Roman"/>
                <w:sz w:val="20"/>
                <w:lang w:val="sr-Cyrl-CS"/>
              </w:rPr>
              <w:lastRenderedPageBreak/>
              <w:t>Структурне реформе у здравственом сектору</w:t>
            </w:r>
          </w:p>
        </w:tc>
        <w:tc>
          <w:tcPr>
            <w:tcW w:w="2789" w:type="dxa"/>
          </w:tcPr>
          <w:p w14:paraId="46C6618D" w14:textId="77777777" w:rsidR="009E7AB4" w:rsidRPr="00092ED7" w:rsidRDefault="009E7AB4" w:rsidP="009E7AB4">
            <w:pPr>
              <w:spacing w:before="0" w:after="0"/>
              <w:rPr>
                <w:rFonts w:cs="Times New Roman"/>
                <w:sz w:val="20"/>
                <w:lang w:val="sr-Cyrl-CS"/>
              </w:rPr>
            </w:pPr>
          </w:p>
        </w:tc>
        <w:tc>
          <w:tcPr>
            <w:tcW w:w="4198" w:type="dxa"/>
          </w:tcPr>
          <w:p w14:paraId="439947CC"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 xml:space="preserve">У области здравља, УНИЦЕФ снажно подржава текуће реформе финансирања здравства и оптимизацију система здравствене заштите. Јачање примарне здравствене заштите доследним увођењем програма плаћања по учинку представља правац реформе који ће унапредити ефикасност и квалитет пружених услуга, док ће знатно бити унапређен приступ услугама примарне здравствене заштите за најугроженије категорије становништва као што су труднице, деца и адолесценти. Ова реформа ће одговорити на континуиране изазове у области јавног здравља као што су пружање правовремених и квалитетних услуга имунизације, превентивни здравствени прегледи, скрининг, услуге за децу са кашњењем у развоју, активности усмерене ка групама до којих је тешко допрети (као што су Роми, становништво у руралним подручјима) </w:t>
            </w:r>
            <w:r w:rsidRPr="00092ED7">
              <w:rPr>
                <w:rFonts w:cs="Times New Roman"/>
                <w:sz w:val="20"/>
                <w:lang w:val="sr-Cyrl-CS"/>
              </w:rPr>
              <w:lastRenderedPageBreak/>
              <w:t xml:space="preserve">и подршка менталном здрављу. Успостављање перинаталних центара као функционалних установа за пружање квалитетне неонаталне заштите, јачање улоге установа примарне здравствене заштите у центрима округа, уз унапређену сарадњу и координацију између различитих нивоа заштите, додатно ће побољшати ефикасност и приступ квалитетној здравственој заштити за сву деца и жене. Посебне структурне реформе којима се формирају делотворни међусекторски механизми (између здравства, образовања, социјалне заштите и правосуђа), како на националном тако и на локалном нивоу (нпр. социјално-здравствене услуге), од кључне су важности за јачање подршке менталном здрављу и добробити младих, и свеобухватним потребама најугроженије деце и њихових породица. </w:t>
            </w:r>
          </w:p>
          <w:p w14:paraId="6A643453"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Даље унапређење дигитализације здравственог система, укључујући електронске здравствене картоне и регулисане услуге телемедицине, треба да буду један од реформских приоритета како би се обезбедило даље унапређење ефикасности и расположивост података у реалном времену у циљу пружања информација на којима се заснива креирање политика и програма.</w:t>
            </w:r>
          </w:p>
          <w:p w14:paraId="21383E7A" w14:textId="67B5D8D4" w:rsidR="009E7AB4" w:rsidRPr="00092ED7" w:rsidRDefault="009E7AB4" w:rsidP="009E7AB4">
            <w:pPr>
              <w:spacing w:before="0" w:after="0"/>
              <w:rPr>
                <w:rFonts w:cs="Times New Roman"/>
                <w:sz w:val="20"/>
                <w:lang w:val="sr-Cyrl-CS"/>
              </w:rPr>
            </w:pPr>
            <w:r w:rsidRPr="00092ED7">
              <w:rPr>
                <w:rFonts w:cs="Times New Roman"/>
                <w:sz w:val="20"/>
                <w:lang w:val="sr-Cyrl-CS"/>
              </w:rPr>
              <w:t>УН</w:t>
            </w:r>
            <w:r w:rsidR="0088748D" w:rsidRPr="00092ED7">
              <w:rPr>
                <w:rFonts w:cs="Times New Roman"/>
                <w:sz w:val="20"/>
                <w:lang w:val="sr-Cyrl-CS"/>
              </w:rPr>
              <w:t>ИЦЕФ је спреман да подржи Владу</w:t>
            </w:r>
            <w:r w:rsidRPr="00092ED7">
              <w:rPr>
                <w:rFonts w:cs="Times New Roman"/>
                <w:sz w:val="20"/>
                <w:lang w:val="sr-Cyrl-CS"/>
              </w:rPr>
              <w:t xml:space="preserve"> у овим активностима.</w:t>
            </w:r>
          </w:p>
        </w:tc>
        <w:tc>
          <w:tcPr>
            <w:tcW w:w="4172" w:type="dxa"/>
            <w:shd w:val="clear" w:color="auto" w:fill="auto"/>
          </w:tcPr>
          <w:p w14:paraId="05C19E7F" w14:textId="77777777" w:rsidR="009E7AB4" w:rsidRPr="00092ED7" w:rsidRDefault="009E7AB4" w:rsidP="009E7AB4">
            <w:pPr>
              <w:spacing w:before="0" w:after="0"/>
              <w:rPr>
                <w:rFonts w:cs="Times New Roman"/>
                <w:bCs/>
                <w:sz w:val="20"/>
                <w:highlight w:val="yellow"/>
                <w:lang w:val="sr-Cyrl-CS"/>
              </w:rPr>
            </w:pPr>
            <w:r w:rsidRPr="00092ED7">
              <w:rPr>
                <w:rFonts w:cs="Times New Roman"/>
                <w:bCs/>
                <w:sz w:val="20"/>
                <w:lang w:val="sr-Cyrl-CS"/>
              </w:rPr>
              <w:lastRenderedPageBreak/>
              <w:t>Предлози ће бити разматрани у следећем циклусу израде ЕРП.</w:t>
            </w:r>
          </w:p>
        </w:tc>
      </w:tr>
      <w:tr w:rsidR="009E7AB4" w:rsidRPr="00092ED7" w14:paraId="5D65D5DC" w14:textId="77777777" w:rsidTr="009E7AB4">
        <w:tc>
          <w:tcPr>
            <w:tcW w:w="2789" w:type="dxa"/>
          </w:tcPr>
          <w:p w14:paraId="06237E2C"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Кључни изазов 1: Повећање запослености, посебно младих, жена и осетљивих група, и социјална заштита од сиромаштва,</w:t>
            </w:r>
            <w:r w:rsidRPr="00092ED7">
              <w:rPr>
                <w:rFonts w:cs="Times New Roman"/>
                <w:b/>
                <w:sz w:val="20"/>
                <w:lang w:val="sr-Cyrl-CS"/>
              </w:rPr>
              <w:t xml:space="preserve"> </w:t>
            </w:r>
            <w:r w:rsidRPr="00092ED7">
              <w:rPr>
                <w:rFonts w:cs="Times New Roman"/>
                <w:sz w:val="20"/>
                <w:lang w:val="sr-Cyrl-CS"/>
              </w:rPr>
              <w:t>општи коментари.</w:t>
            </w:r>
          </w:p>
        </w:tc>
        <w:tc>
          <w:tcPr>
            <w:tcW w:w="2789" w:type="dxa"/>
          </w:tcPr>
          <w:p w14:paraId="1AAC223F"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Међусекторска радна</w:t>
            </w:r>
          </w:p>
          <w:p w14:paraId="58AA9092"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групa за ЕРП Националног конвента о ЕУ, достављено електронским путем 26. децембрa 2022.</w:t>
            </w:r>
          </w:p>
        </w:tc>
        <w:tc>
          <w:tcPr>
            <w:tcW w:w="4198" w:type="dxa"/>
          </w:tcPr>
          <w:p w14:paraId="22790808"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 xml:space="preserve">Како    је    протеклих    година    значајно    смањена незапосленост, поставља се питање утемељења избора Кључног изазова број 1 као првог кључног изазова. Иако је смањење незапослености неоспорно важан циљ, у последњих неколико година суочени смо са недостатком кадрова и то не само у квалитативном смислу већ иквантитативно.  По   свој  прилици,   тај   ће   се   тренд </w:t>
            </w:r>
            <w:r w:rsidRPr="00092ED7">
              <w:rPr>
                <w:rFonts w:cs="Times New Roman"/>
                <w:sz w:val="20"/>
                <w:lang w:val="sr-Cyrl-CS"/>
              </w:rPr>
              <w:lastRenderedPageBreak/>
              <w:t>наставити  и  у  наредном  периоду (резултати  пописа недвојбено показују да нас је све мање - негативан</w:t>
            </w:r>
          </w:p>
          <w:p w14:paraId="1835F054" w14:textId="1F78F6D6" w:rsidR="009E7AB4" w:rsidRPr="00092ED7" w:rsidRDefault="009E7AB4" w:rsidP="009E7AB4">
            <w:pPr>
              <w:spacing w:before="0" w:after="0"/>
              <w:rPr>
                <w:rFonts w:cs="Times New Roman"/>
                <w:sz w:val="20"/>
                <w:lang w:val="sr-Cyrl-CS"/>
              </w:rPr>
            </w:pPr>
            <w:r w:rsidRPr="00092ED7">
              <w:rPr>
                <w:rFonts w:cs="Times New Roman"/>
                <w:sz w:val="20"/>
                <w:lang w:val="sr-Cyrl-CS"/>
              </w:rPr>
              <w:t>природни прираштај, све више грађана Р</w:t>
            </w:r>
            <w:r w:rsidR="003B5902" w:rsidRPr="00092ED7">
              <w:rPr>
                <w:rFonts w:cs="Times New Roman"/>
                <w:sz w:val="20"/>
                <w:lang w:val="sr-Cyrl-CS"/>
              </w:rPr>
              <w:t>епублике Србије</w:t>
            </w:r>
            <w:r w:rsidRPr="00092ED7">
              <w:rPr>
                <w:rFonts w:cs="Times New Roman"/>
                <w:sz w:val="20"/>
                <w:lang w:val="sr-Cyrl-CS"/>
              </w:rPr>
              <w:t xml:space="preserve"> одлази из земље), те је потребно промислити за наредни циклус</w:t>
            </w:r>
          </w:p>
          <w:p w14:paraId="68517CB0"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ЕРП да ли овај изазов треба да буде прворангирани. А са тим у вези и да ли у њему треба да се нађу чак четири</w:t>
            </w:r>
          </w:p>
          <w:p w14:paraId="1929524B"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структурне   реформе.   Питање   је,   нпр.   чиме   је   то Структурна реформа 2 РЕФОРМА ФОНДА ЗА МЛАДЕ</w:t>
            </w:r>
          </w:p>
          <w:p w14:paraId="6146BF5E"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ТАЛЕНТЕ  заслужила  да  се  нађе  међу  структурним реформама.</w:t>
            </w:r>
          </w:p>
        </w:tc>
        <w:tc>
          <w:tcPr>
            <w:tcW w:w="4172" w:type="dxa"/>
          </w:tcPr>
          <w:p w14:paraId="722854DC" w14:textId="3237F478" w:rsidR="009E7AB4" w:rsidRPr="00092ED7" w:rsidRDefault="009E7AB4" w:rsidP="009E7AB4">
            <w:pPr>
              <w:spacing w:before="0" w:after="0"/>
              <w:rPr>
                <w:rFonts w:cs="Times New Roman"/>
                <w:sz w:val="20"/>
                <w:lang w:val="sr-Cyrl-CS"/>
              </w:rPr>
            </w:pPr>
            <w:r w:rsidRPr="00092ED7">
              <w:rPr>
                <w:rFonts w:cs="Times New Roman"/>
                <w:sz w:val="20"/>
                <w:lang w:val="sr-Cyrl-CS"/>
              </w:rPr>
              <w:lastRenderedPageBreak/>
              <w:t>У складу са смерницама ЕК у ЕРП се приказују три кључна изазова за  повећање конкурентности, раст и запошљавање, који имају једнак значај за Р</w:t>
            </w:r>
            <w:r w:rsidR="00081DFC" w:rsidRPr="00092ED7">
              <w:rPr>
                <w:rFonts w:cs="Times New Roman"/>
                <w:sz w:val="20"/>
                <w:lang w:val="sr-Cyrl-CS"/>
              </w:rPr>
              <w:t xml:space="preserve">епублику </w:t>
            </w:r>
            <w:r w:rsidRPr="00092ED7">
              <w:rPr>
                <w:rFonts w:cs="Times New Roman"/>
                <w:sz w:val="20"/>
                <w:lang w:val="sr-Cyrl-CS"/>
              </w:rPr>
              <w:t>Србију, тј. нису рангирани, те кључни изазов 1. није више важан од осталих. Тема запошљавања и образовања представља једну од основних окосница ЕРП, те се 4 од 22 СР сматра адекватним одговором.</w:t>
            </w:r>
          </w:p>
          <w:p w14:paraId="104C625A" w14:textId="77777777" w:rsidR="009E7AB4" w:rsidRPr="00092ED7" w:rsidRDefault="009E7AB4" w:rsidP="009E7AB4">
            <w:pPr>
              <w:spacing w:before="0" w:after="0"/>
              <w:rPr>
                <w:rFonts w:cs="Times New Roman"/>
                <w:sz w:val="20"/>
                <w:lang w:val="sr-Cyrl-CS"/>
              </w:rPr>
            </w:pPr>
          </w:p>
        </w:tc>
      </w:tr>
      <w:tr w:rsidR="009E7AB4" w:rsidRPr="00092ED7" w14:paraId="18889EA4" w14:textId="77777777" w:rsidTr="009E7AB4">
        <w:tc>
          <w:tcPr>
            <w:tcW w:w="2789" w:type="dxa"/>
            <w:vMerge w:val="restart"/>
          </w:tcPr>
          <w:p w14:paraId="26CA377C" w14:textId="77777777" w:rsidR="009E7AB4" w:rsidRPr="00092ED7" w:rsidRDefault="009E7AB4" w:rsidP="009E7AB4">
            <w:pPr>
              <w:spacing w:before="0" w:after="0"/>
              <w:rPr>
                <w:rFonts w:cs="Times New Roman"/>
                <w:sz w:val="20"/>
                <w:lang w:val="sr-Cyrl-CS"/>
              </w:rPr>
            </w:pPr>
          </w:p>
        </w:tc>
        <w:tc>
          <w:tcPr>
            <w:tcW w:w="2789" w:type="dxa"/>
            <w:vMerge w:val="restart"/>
          </w:tcPr>
          <w:p w14:paraId="36BF4C5D" w14:textId="77777777" w:rsidR="009E7AB4" w:rsidRPr="00092ED7" w:rsidRDefault="009E7AB4" w:rsidP="009E7AB4">
            <w:pPr>
              <w:spacing w:before="0" w:after="0"/>
              <w:rPr>
                <w:rFonts w:cs="Times New Roman"/>
                <w:sz w:val="20"/>
                <w:lang w:val="sr-Cyrl-CS"/>
              </w:rPr>
            </w:pPr>
          </w:p>
        </w:tc>
        <w:tc>
          <w:tcPr>
            <w:tcW w:w="4198" w:type="dxa"/>
          </w:tcPr>
          <w:p w14:paraId="63E16E17"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Поред осетљивих група, постоје и осетљиве територије. Недовољно развијене територије укључити у кључне</w:t>
            </w:r>
          </w:p>
          <w:p w14:paraId="5A494E2F"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изазове.</w:t>
            </w:r>
          </w:p>
        </w:tc>
        <w:tc>
          <w:tcPr>
            <w:tcW w:w="4172" w:type="dxa"/>
          </w:tcPr>
          <w:p w14:paraId="49493525"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Утицај структурних реформи на регионални развој је од изузетног значаја и било би корисно приказати га за све СР. Тренутно је ова област приказана само у појединим СР.</w:t>
            </w:r>
          </w:p>
        </w:tc>
      </w:tr>
      <w:tr w:rsidR="009E7AB4" w:rsidRPr="00092ED7" w14:paraId="622C1D34" w14:textId="77777777" w:rsidTr="009E7AB4">
        <w:tc>
          <w:tcPr>
            <w:tcW w:w="2789" w:type="dxa"/>
            <w:vMerge/>
          </w:tcPr>
          <w:p w14:paraId="4C3AB705" w14:textId="77777777" w:rsidR="009E7AB4" w:rsidRPr="00092ED7" w:rsidRDefault="009E7AB4" w:rsidP="009E7AB4">
            <w:pPr>
              <w:spacing w:before="0" w:after="0"/>
              <w:rPr>
                <w:rFonts w:cs="Times New Roman"/>
                <w:sz w:val="20"/>
                <w:lang w:val="sr-Cyrl-CS"/>
              </w:rPr>
            </w:pPr>
          </w:p>
        </w:tc>
        <w:tc>
          <w:tcPr>
            <w:tcW w:w="2789" w:type="dxa"/>
            <w:vMerge/>
          </w:tcPr>
          <w:p w14:paraId="038C1290" w14:textId="77777777" w:rsidR="009E7AB4" w:rsidRPr="00092ED7" w:rsidRDefault="009E7AB4" w:rsidP="009E7AB4">
            <w:pPr>
              <w:spacing w:before="0" w:after="0"/>
              <w:rPr>
                <w:rFonts w:cs="Times New Roman"/>
                <w:sz w:val="20"/>
                <w:lang w:val="sr-Cyrl-CS"/>
              </w:rPr>
            </w:pPr>
          </w:p>
        </w:tc>
        <w:tc>
          <w:tcPr>
            <w:tcW w:w="4198" w:type="dxa"/>
          </w:tcPr>
          <w:p w14:paraId="2FB0C653" w14:textId="28DBE315" w:rsidR="009E7AB4" w:rsidRPr="00092ED7" w:rsidRDefault="009E7AB4" w:rsidP="00833B80">
            <w:pPr>
              <w:spacing w:before="0" w:after="0"/>
              <w:rPr>
                <w:rFonts w:cs="Times New Roman"/>
                <w:sz w:val="20"/>
                <w:lang w:val="sr-Cyrl-CS"/>
              </w:rPr>
            </w:pPr>
            <w:r w:rsidRPr="00092ED7">
              <w:rPr>
                <w:rFonts w:cs="Times New Roman"/>
                <w:sz w:val="20"/>
                <w:lang w:val="sr-Cyrl-CS"/>
              </w:rPr>
              <w:t>Пре доношења сваке од мера кој</w:t>
            </w:r>
            <w:r w:rsidR="00F27826" w:rsidRPr="00092ED7">
              <w:rPr>
                <w:rFonts w:cs="Times New Roman"/>
                <w:sz w:val="20"/>
                <w:lang w:val="sr-Cyrl-CS"/>
              </w:rPr>
              <w:t>е</w:t>
            </w:r>
            <w:r w:rsidRPr="00092ED7">
              <w:rPr>
                <w:rFonts w:cs="Times New Roman"/>
                <w:sz w:val="20"/>
                <w:lang w:val="sr-Cyrl-CS"/>
              </w:rPr>
              <w:t xml:space="preserve"> се тич</w:t>
            </w:r>
            <w:r w:rsidR="00F27826" w:rsidRPr="00092ED7">
              <w:rPr>
                <w:rFonts w:cs="Times New Roman"/>
                <w:sz w:val="20"/>
                <w:lang w:val="sr-Cyrl-CS"/>
              </w:rPr>
              <w:t>у</w:t>
            </w:r>
            <w:r w:rsidRPr="00092ED7">
              <w:rPr>
                <w:rFonts w:cs="Times New Roman"/>
                <w:sz w:val="20"/>
                <w:lang w:val="sr-Cyrl-CS"/>
              </w:rPr>
              <w:t xml:space="preserve"> овог типа изазова потребно је урадити ТИА (TIA – Territorially Impact Assessment) </w:t>
            </w:r>
            <w:r w:rsidR="00F27826" w:rsidRPr="00092ED7">
              <w:rPr>
                <w:rFonts w:cs="Times New Roman"/>
                <w:sz w:val="20"/>
                <w:lang w:val="sr-Cyrl-CS"/>
              </w:rPr>
              <w:t>односно</w:t>
            </w:r>
            <w:r w:rsidRPr="00092ED7">
              <w:rPr>
                <w:rFonts w:cs="Times New Roman"/>
                <w:sz w:val="20"/>
                <w:lang w:val="sr-Cyrl-CS"/>
              </w:rPr>
              <w:t xml:space="preserve"> oцену утицаја на </w:t>
            </w:r>
            <w:r w:rsidR="00F27826" w:rsidRPr="00092ED7">
              <w:rPr>
                <w:rFonts w:cs="Times New Roman"/>
                <w:sz w:val="20"/>
                <w:lang w:val="sr-Cyrl-CS"/>
              </w:rPr>
              <w:t>различите делове Републике</w:t>
            </w:r>
            <w:r w:rsidRPr="00092ED7">
              <w:rPr>
                <w:rFonts w:cs="Times New Roman"/>
                <w:sz w:val="20"/>
                <w:lang w:val="sr-Cyrl-CS"/>
              </w:rPr>
              <w:t>Србиј</w:t>
            </w:r>
            <w:r w:rsidR="00F27826" w:rsidRPr="00092ED7">
              <w:rPr>
                <w:rFonts w:cs="Times New Roman"/>
                <w:sz w:val="20"/>
                <w:lang w:val="sr-Cyrl-CS"/>
              </w:rPr>
              <w:t>е</w:t>
            </w:r>
            <w:r w:rsidRPr="00092ED7">
              <w:rPr>
                <w:rFonts w:cs="Times New Roman"/>
                <w:sz w:val="20"/>
                <w:lang w:val="sr-Cyrl-CS"/>
              </w:rPr>
              <w:t xml:space="preserve">, уважавајући </w:t>
            </w:r>
            <w:r w:rsidR="00F27826" w:rsidRPr="00092ED7">
              <w:rPr>
                <w:rFonts w:cs="Times New Roman"/>
                <w:sz w:val="20"/>
                <w:lang w:val="sr-Cyrl-CS"/>
              </w:rPr>
              <w:t>критеријум</w:t>
            </w:r>
            <w:r w:rsidRPr="00092ED7">
              <w:rPr>
                <w:rFonts w:cs="Times New Roman"/>
                <w:sz w:val="20"/>
                <w:lang w:val="sr-Cyrl-CS"/>
              </w:rPr>
              <w:t xml:space="preserve">развијености региона и </w:t>
            </w:r>
            <w:r w:rsidR="00833B80" w:rsidRPr="00092ED7">
              <w:rPr>
                <w:rFonts w:cs="Times New Roman"/>
                <w:sz w:val="20"/>
                <w:lang w:val="sr-Cyrl-CS"/>
              </w:rPr>
              <w:t>ЈЛС</w:t>
            </w:r>
            <w:r w:rsidRPr="00092ED7">
              <w:rPr>
                <w:rFonts w:cs="Times New Roman"/>
                <w:sz w:val="20"/>
                <w:lang w:val="sr-Cyrl-CS"/>
              </w:rPr>
              <w:t>.</w:t>
            </w:r>
          </w:p>
        </w:tc>
        <w:tc>
          <w:tcPr>
            <w:tcW w:w="4172" w:type="dxa"/>
          </w:tcPr>
          <w:p w14:paraId="2BB537D8"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Договорен је наставак сарадње са НКЕУ у наредном циклусу како би се адекватно одговорило на овај предлог.</w:t>
            </w:r>
          </w:p>
        </w:tc>
      </w:tr>
      <w:tr w:rsidR="009E7AB4" w:rsidRPr="00092ED7" w14:paraId="5AD57F92" w14:textId="77777777" w:rsidTr="009E7AB4">
        <w:trPr>
          <w:trHeight w:val="4668"/>
        </w:trPr>
        <w:tc>
          <w:tcPr>
            <w:tcW w:w="2789" w:type="dxa"/>
          </w:tcPr>
          <w:p w14:paraId="51693585" w14:textId="77777777" w:rsidR="009E7AB4" w:rsidRPr="00092ED7" w:rsidRDefault="009E7AB4" w:rsidP="009E7AB4">
            <w:pPr>
              <w:spacing w:before="0" w:after="0"/>
              <w:rPr>
                <w:rFonts w:cs="Times New Roman"/>
                <w:sz w:val="20"/>
                <w:lang w:val="sr-Cyrl-CS"/>
              </w:rPr>
            </w:pPr>
            <w:r w:rsidRPr="00092ED7">
              <w:rPr>
                <w:rFonts w:cs="Times New Roman"/>
                <w:sz w:val="20"/>
                <w:lang w:val="sr-Cyrl-CS"/>
              </w:rPr>
              <w:lastRenderedPageBreak/>
              <w:t>СР 3. Квалификације</w:t>
            </w:r>
          </w:p>
          <w:p w14:paraId="4C372328"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оријентисане према потребама тржишта рада</w:t>
            </w:r>
          </w:p>
        </w:tc>
        <w:tc>
          <w:tcPr>
            <w:tcW w:w="2789" w:type="dxa"/>
          </w:tcPr>
          <w:p w14:paraId="7A4C8853" w14:textId="77777777" w:rsidR="009E7AB4" w:rsidRPr="00092ED7" w:rsidRDefault="009E7AB4" w:rsidP="009E7AB4">
            <w:pPr>
              <w:spacing w:before="0" w:after="0"/>
              <w:rPr>
                <w:rFonts w:cs="Times New Roman"/>
                <w:sz w:val="20"/>
                <w:lang w:val="sr-Cyrl-CS"/>
              </w:rPr>
            </w:pPr>
          </w:p>
        </w:tc>
        <w:tc>
          <w:tcPr>
            <w:tcW w:w="4198" w:type="dxa"/>
          </w:tcPr>
          <w:p w14:paraId="6516CD57" w14:textId="77777777" w:rsidR="009E7AB4" w:rsidRPr="00092ED7" w:rsidRDefault="009E7AB4" w:rsidP="009E7AB4">
            <w:pPr>
              <w:spacing w:before="0" w:after="0"/>
              <w:rPr>
                <w:rFonts w:eastAsia="Times New Roman" w:cs="Times New Roman"/>
                <w:color w:val="000000"/>
                <w:w w:val="106"/>
                <w:sz w:val="20"/>
                <w:lang w:val="sr-Cyrl-CS" w:eastAsia="en-CA"/>
              </w:rPr>
            </w:pPr>
            <w:r w:rsidRPr="00092ED7">
              <w:rPr>
                <w:rFonts w:cs="Times New Roman"/>
                <w:sz w:val="20"/>
                <w:lang w:val="sr-Cyrl-CS"/>
              </w:rPr>
              <w:t xml:space="preserve">Није адекватно изједначавати менаџмент потреба тржишта рада и образовања, са дуалним образовањем. </w:t>
            </w:r>
            <w:r w:rsidRPr="00092ED7">
              <w:rPr>
                <w:rFonts w:eastAsia="Times New Roman" w:cs="Times New Roman"/>
                <w:color w:val="000000"/>
                <w:w w:val="104"/>
                <w:sz w:val="20"/>
                <w:lang w:val="sr-Cyrl-CS" w:eastAsia="en-CA"/>
              </w:rPr>
              <w:t>Нису јасно дефинисане  потребе тржишта рада. Потребно је</w:t>
            </w:r>
            <w:r w:rsidRPr="00092ED7">
              <w:rPr>
                <w:rFonts w:eastAsia="Times New Roman" w:cs="Times New Roman"/>
                <w:sz w:val="20"/>
                <w:lang w:val="sr-Cyrl-CS" w:eastAsia="en-CA"/>
              </w:rPr>
              <w:t xml:space="preserve"> </w:t>
            </w:r>
            <w:r w:rsidRPr="00092ED7">
              <w:rPr>
                <w:rFonts w:eastAsia="Times New Roman" w:cs="Times New Roman"/>
                <w:color w:val="000000"/>
                <w:spacing w:val="-1"/>
                <w:sz w:val="20"/>
                <w:lang w:val="sr-Cyrl-CS" w:eastAsia="en-CA"/>
              </w:rPr>
              <w:t>увести анкету о слободним радним местима (Job Vacancy Survey)</w:t>
            </w:r>
            <w:r w:rsidRPr="00092ED7">
              <w:rPr>
                <w:rFonts w:eastAsia="Times New Roman" w:cs="Times New Roman"/>
                <w:sz w:val="20"/>
                <w:lang w:val="sr-Cyrl-CS" w:eastAsia="en-CA"/>
              </w:rPr>
              <w:t xml:space="preserve"> </w:t>
            </w:r>
            <w:r w:rsidRPr="00092ED7">
              <w:rPr>
                <w:rFonts w:eastAsia="Times New Roman" w:cs="Times New Roman"/>
                <w:color w:val="000000"/>
                <w:w w:val="106"/>
                <w:sz w:val="20"/>
                <w:lang w:val="sr-Cyrl-CS" w:eastAsia="en-CA"/>
              </w:rPr>
              <w:t xml:space="preserve">коју спроводе у свим европским земљама. То је основни </w:t>
            </w:r>
            <w:r w:rsidRPr="00092ED7">
              <w:rPr>
                <w:rFonts w:eastAsia="Times New Roman" w:cs="Times New Roman"/>
                <w:color w:val="000000"/>
                <w:sz w:val="20"/>
                <w:lang w:val="sr-Cyrl-CS" w:eastAsia="en-CA"/>
              </w:rPr>
              <w:t>инструмент којим би требало да се управља не само образовном</w:t>
            </w:r>
            <w:r w:rsidRPr="00092ED7">
              <w:rPr>
                <w:rFonts w:eastAsia="Times New Roman" w:cs="Times New Roman"/>
                <w:color w:val="000000"/>
                <w:w w:val="106"/>
                <w:sz w:val="20"/>
                <w:lang w:val="sr-Cyrl-CS" w:eastAsia="en-CA"/>
              </w:rPr>
              <w:t xml:space="preserve"> </w:t>
            </w:r>
            <w:r w:rsidRPr="00092ED7">
              <w:rPr>
                <w:rFonts w:eastAsia="Times New Roman" w:cs="Times New Roman"/>
                <w:color w:val="000000"/>
                <w:w w:val="107"/>
                <w:sz w:val="20"/>
                <w:lang w:val="sr-Cyrl-CS" w:eastAsia="en-CA"/>
              </w:rPr>
              <w:t>политиком, већ и политиком имиграције. Радне дозволе за</w:t>
            </w:r>
            <w:r w:rsidRPr="00092ED7">
              <w:rPr>
                <w:rFonts w:eastAsia="Times New Roman" w:cs="Times New Roman"/>
                <w:color w:val="000000"/>
                <w:w w:val="106"/>
                <w:sz w:val="20"/>
                <w:lang w:val="sr-Cyrl-CS" w:eastAsia="en-CA"/>
              </w:rPr>
              <w:t xml:space="preserve"> странце по скраћеној процедури се добијају за занимања за </w:t>
            </w:r>
            <w:r w:rsidRPr="00092ED7">
              <w:rPr>
                <w:rFonts w:eastAsia="Times New Roman" w:cs="Times New Roman"/>
                <w:color w:val="000000"/>
                <w:sz w:val="20"/>
                <w:lang w:val="sr-Cyrl-CS" w:eastAsia="en-CA"/>
              </w:rPr>
              <w:t>којима постоји потреба која не може да се задовољи на домаћем</w:t>
            </w:r>
            <w:r w:rsidRPr="00092ED7">
              <w:rPr>
                <w:rFonts w:eastAsia="Times New Roman" w:cs="Times New Roman"/>
                <w:color w:val="000000"/>
                <w:w w:val="106"/>
                <w:sz w:val="20"/>
                <w:lang w:val="sr-Cyrl-CS" w:eastAsia="en-CA"/>
              </w:rPr>
              <w:t xml:space="preserve"> </w:t>
            </w:r>
            <w:r w:rsidRPr="00092ED7">
              <w:rPr>
                <w:rFonts w:eastAsia="Times New Roman" w:cs="Times New Roman"/>
                <w:color w:val="000000"/>
                <w:w w:val="103"/>
                <w:sz w:val="20"/>
                <w:lang w:val="sr-Cyrl-CS" w:eastAsia="en-CA"/>
              </w:rPr>
              <w:t>тржишту (дакле ради се тест тржишта). Пожељно је пратити</w:t>
            </w:r>
            <w:r w:rsidRPr="00092ED7">
              <w:rPr>
                <w:rFonts w:eastAsia="Times New Roman" w:cs="Times New Roman"/>
                <w:color w:val="000000"/>
                <w:w w:val="106"/>
                <w:sz w:val="20"/>
                <w:lang w:val="sr-Cyrl-CS" w:eastAsia="en-CA"/>
              </w:rPr>
              <w:t xml:space="preserve"> </w:t>
            </w:r>
            <w:r w:rsidRPr="00092ED7">
              <w:rPr>
                <w:rFonts w:eastAsia="Times New Roman" w:cs="Times New Roman"/>
                <w:color w:val="000000"/>
                <w:w w:val="104"/>
                <w:sz w:val="20"/>
                <w:lang w:val="sr-Cyrl-CS" w:eastAsia="en-CA"/>
              </w:rPr>
              <w:t>дефицитарна занимања и радити на томе да се дефицитарни</w:t>
            </w:r>
            <w:r w:rsidRPr="00092ED7">
              <w:rPr>
                <w:rFonts w:eastAsia="Times New Roman" w:cs="Times New Roman"/>
                <w:sz w:val="20"/>
                <w:lang w:val="sr-Cyrl-CS" w:eastAsia="en-CA"/>
              </w:rPr>
              <w:t xml:space="preserve"> </w:t>
            </w:r>
            <w:r w:rsidRPr="00092ED7">
              <w:rPr>
                <w:rFonts w:eastAsia="Times New Roman" w:cs="Times New Roman"/>
                <w:color w:val="000000"/>
                <w:spacing w:val="2"/>
                <w:sz w:val="20"/>
                <w:lang w:val="sr-Cyrl-CS" w:eastAsia="en-CA"/>
              </w:rPr>
              <w:t>профили   кроз   систем   стипендирања   учине   доступним   и</w:t>
            </w:r>
            <w:r w:rsidRPr="00092ED7">
              <w:rPr>
                <w:rFonts w:eastAsia="Times New Roman" w:cs="Times New Roman"/>
                <w:sz w:val="20"/>
                <w:lang w:val="sr-Cyrl-CS" w:eastAsia="en-CA"/>
              </w:rPr>
              <w:t xml:space="preserve"> </w:t>
            </w:r>
            <w:r w:rsidRPr="00092ED7">
              <w:rPr>
                <w:rFonts w:eastAsia="Times New Roman" w:cs="Times New Roman"/>
                <w:color w:val="000000"/>
                <w:sz w:val="20"/>
                <w:lang w:val="sr-Cyrl-CS" w:eastAsia="en-CA"/>
              </w:rPr>
              <w:t>привлачнијим.</w:t>
            </w:r>
          </w:p>
        </w:tc>
        <w:tc>
          <w:tcPr>
            <w:tcW w:w="4172" w:type="dxa"/>
          </w:tcPr>
          <w:p w14:paraId="36D05FBE" w14:textId="77777777" w:rsidR="009E7AB4" w:rsidRPr="00092ED7" w:rsidRDefault="009E7AB4" w:rsidP="009E7AB4">
            <w:pPr>
              <w:spacing w:before="0" w:after="0"/>
              <w:rPr>
                <w:rFonts w:cs="Times New Roman"/>
                <w:bCs/>
                <w:sz w:val="20"/>
                <w:lang w:val="sr-Cyrl-CS"/>
              </w:rPr>
            </w:pPr>
            <w:r w:rsidRPr="00092ED7">
              <w:rPr>
                <w:rFonts w:cs="Times New Roman"/>
                <w:bCs/>
                <w:sz w:val="20"/>
                <w:lang w:val="sr-Cyrl-CS"/>
              </w:rPr>
              <w:t>За спровођење анкетe - истраживања о слободним радним местима – потреби за запошљавањем надлежан је Републички завод за статистику који је у складу са Уредбом о утврђивању Плана званичне статистике за 2023. годину предвидео квартално Истраживање о потреби за запошљавањем (шифра 019093). Према Плану званичне статистике за 2023. годину истраживање треба да садржи податке о броју слободних радних места за које је послодавац предузео активне кораке у циљу попуњавања, према секторима делатности, величини пословног субјекта и главним групама занимања. Јединице посматрања су предузећа и локалне јединице.</w:t>
            </w:r>
          </w:p>
          <w:p w14:paraId="72F5CD65" w14:textId="77777777" w:rsidR="009E7AB4" w:rsidRPr="00092ED7" w:rsidRDefault="009E7AB4" w:rsidP="009E7AB4">
            <w:pPr>
              <w:spacing w:before="0" w:after="0"/>
              <w:rPr>
                <w:rFonts w:cs="Times New Roman"/>
                <w:sz w:val="20"/>
                <w:lang w:val="sr-Cyrl-CS"/>
              </w:rPr>
            </w:pPr>
            <w:r w:rsidRPr="00092ED7">
              <w:rPr>
                <w:rFonts w:cs="Times New Roman"/>
                <w:bCs/>
                <w:sz w:val="20"/>
                <w:lang w:val="sr-Cyrl-CS"/>
              </w:rPr>
              <w:t>Извори података су агенције за запошљавање на основу упитника и Национална служба за запошљавање из евиденције у области запошљавања.</w:t>
            </w:r>
          </w:p>
        </w:tc>
      </w:tr>
      <w:tr w:rsidR="009E7AB4" w:rsidRPr="00092ED7" w14:paraId="7E010D69" w14:textId="77777777" w:rsidTr="009E7AB4">
        <w:tc>
          <w:tcPr>
            <w:tcW w:w="2789" w:type="dxa"/>
          </w:tcPr>
          <w:p w14:paraId="4B8BE2D3"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Предлог нове СР: Проширење обухвата законског оквира којим се уређује рад на пословима</w:t>
            </w:r>
          </w:p>
          <w:p w14:paraId="508989E0"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сезонског карактера</w:t>
            </w:r>
          </w:p>
          <w:p w14:paraId="477B2C51" w14:textId="77777777" w:rsidR="009E7AB4" w:rsidRPr="00092ED7" w:rsidRDefault="009E7AB4" w:rsidP="009E7AB4">
            <w:pPr>
              <w:spacing w:before="0" w:after="0"/>
              <w:rPr>
                <w:rFonts w:cs="Times New Roman"/>
                <w:sz w:val="20"/>
                <w:lang w:val="sr-Cyrl-CS"/>
              </w:rPr>
            </w:pPr>
          </w:p>
        </w:tc>
        <w:tc>
          <w:tcPr>
            <w:tcW w:w="2789" w:type="dxa"/>
          </w:tcPr>
          <w:p w14:paraId="5B600660" w14:textId="77777777" w:rsidR="009E7AB4" w:rsidRPr="00092ED7" w:rsidRDefault="009E7AB4" w:rsidP="009E7AB4">
            <w:pPr>
              <w:spacing w:before="0" w:after="0"/>
              <w:rPr>
                <w:rFonts w:cs="Times New Roman"/>
                <w:sz w:val="20"/>
                <w:lang w:val="sr-Cyrl-CS"/>
              </w:rPr>
            </w:pPr>
          </w:p>
        </w:tc>
        <w:tc>
          <w:tcPr>
            <w:tcW w:w="4198" w:type="dxa"/>
          </w:tcPr>
          <w:p w14:paraId="0DE180BF"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Реформа подразумева измену постојећег законског оквира како би се омогућило унапређење флексибилности рада и увођење у систем нерегистрованих лица у делатностима грађевинарства, туризма и угоститељства и на кућним и помоћним пословима. Како   би   се   спречиле   злоупотребе   система   потребно   је онемогућити да послодавац по овом систему ангажује радника којег је   претходно   отпустио   са   исте   позиције,  додатно дефинисати  повремени  карактер  рада  увођењем  временског ограничења ангажовања од максимално 15 дана месечно на пословима у грађевини и туризму и угоститељству. Такође, у овим делатностима треба увести и квоте за број ангажовања ових радника у односу на број стално ангажованих радника.</w:t>
            </w:r>
          </w:p>
        </w:tc>
        <w:tc>
          <w:tcPr>
            <w:tcW w:w="4172" w:type="dxa"/>
          </w:tcPr>
          <w:p w14:paraId="1F14DA22" w14:textId="77777777" w:rsidR="009E7AB4" w:rsidRPr="00092ED7" w:rsidRDefault="009E7AB4" w:rsidP="009E7AB4">
            <w:pPr>
              <w:spacing w:before="0" w:after="0"/>
              <w:rPr>
                <w:rFonts w:cs="Times New Roman"/>
                <w:sz w:val="20"/>
                <w:lang w:val="sr-Cyrl-CS"/>
              </w:rPr>
            </w:pPr>
            <w:r w:rsidRPr="00092ED7">
              <w:rPr>
                <w:rFonts w:cs="Times New Roman"/>
                <w:bCs/>
                <w:sz w:val="20"/>
                <w:lang w:val="sr-Cyrl-CS"/>
              </w:rPr>
              <w:t xml:space="preserve">Предлог није прихватљив из следећих разлога: проширење обухвата Закона о поједностављеном радном ангажовању на сезонским пословима у одређеним делатностима је већ обухваћено другим стратешким документима – Предлогом програма за сузбијање сиве економије 2022-2025. године са акционим планом. Поред тога, доношење овог закона само по себи не може да преставља структурну реформу, већ спада у редовне активности у оквиру надлежног Министарства. </w:t>
            </w:r>
          </w:p>
        </w:tc>
      </w:tr>
      <w:tr w:rsidR="009E7AB4" w:rsidRPr="00092ED7" w14:paraId="4B9A0FDD" w14:textId="77777777" w:rsidTr="009E7AB4">
        <w:trPr>
          <w:trHeight w:val="530"/>
        </w:trPr>
        <w:tc>
          <w:tcPr>
            <w:tcW w:w="2789" w:type="dxa"/>
          </w:tcPr>
          <w:p w14:paraId="096C64CB" w14:textId="77777777" w:rsidR="009E7AB4" w:rsidRPr="00092ED7" w:rsidRDefault="009E7AB4" w:rsidP="009E7AB4">
            <w:pPr>
              <w:spacing w:before="0" w:after="0"/>
              <w:rPr>
                <w:rFonts w:cs="Times New Roman"/>
                <w:sz w:val="20"/>
                <w:lang w:val="sr-Cyrl-CS"/>
              </w:rPr>
            </w:pPr>
            <w:r w:rsidRPr="00092ED7">
              <w:rPr>
                <w:rFonts w:cs="Times New Roman"/>
                <w:sz w:val="20"/>
                <w:lang w:val="sr-Cyrl-CS"/>
              </w:rPr>
              <w:lastRenderedPageBreak/>
              <w:t>Предлог нове СР: Реформа система опорезивања</w:t>
            </w:r>
          </w:p>
          <w:p w14:paraId="1E6365BD"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зарада</w:t>
            </w:r>
          </w:p>
        </w:tc>
        <w:tc>
          <w:tcPr>
            <w:tcW w:w="2789" w:type="dxa"/>
          </w:tcPr>
          <w:p w14:paraId="6642BAA8" w14:textId="77777777" w:rsidR="009E7AB4" w:rsidRPr="00092ED7" w:rsidRDefault="009E7AB4" w:rsidP="009E7AB4">
            <w:pPr>
              <w:spacing w:before="0" w:after="0"/>
              <w:rPr>
                <w:rFonts w:cs="Times New Roman"/>
                <w:sz w:val="20"/>
                <w:lang w:val="sr-Cyrl-CS"/>
              </w:rPr>
            </w:pPr>
          </w:p>
        </w:tc>
        <w:tc>
          <w:tcPr>
            <w:tcW w:w="4198" w:type="dxa"/>
          </w:tcPr>
          <w:p w14:paraId="28FFA54F"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Реформа подразумева анализу потенцијалних решења, одабир оптималног   решења,   припрему   плана   имплментације и спровођење. Размотрити различите моделе како би пореско оптерећење плата било смањено у корист радника и послодаваца (повећање неопорезивог дела зараде, промена стопе пореза на зараде, умањење основице за обрачун појединачних или свих доприноса, као и могућност да се оптерећење рада не посматра само на нивоу запосленог, већ да се у обзир узму и издржавани чланови породице).</w:t>
            </w:r>
          </w:p>
          <w:p w14:paraId="72759F36"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При  разматрању  реформе  доприноса,  сагледати  могућност укидања  доприноса  за  обавезно  здравствено  осигурање  и</w:t>
            </w:r>
          </w:p>
          <w:p w14:paraId="2569E0D1"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увођење   Бевериџовог   модела,   који   подразумева   да   се здравствена заштита финансира из општих пореза, чиме ће се</w:t>
            </w:r>
          </w:p>
          <w:p w14:paraId="69E271B0"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обезбедити здравствена заштита за све грађане без обзира на њихов радни статус, и значајно административно смањење услед укидања обавеза доказивање својства осигураника, оверавања здравствених књижица и сл.</w:t>
            </w:r>
          </w:p>
        </w:tc>
        <w:tc>
          <w:tcPr>
            <w:tcW w:w="4172" w:type="dxa"/>
          </w:tcPr>
          <w:p w14:paraId="2F305CE2"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У документима фискалне стратегије о циљевима фискалне политике који се односе на године од 2018. до 2023. опредељено је смањење фискалног оптерећења рада кроз континуирано смањење пореза и доприноса на зараде. Смањење фискалног оптерећења рада реализује се повећањем неопорезивог износа зараде и смањењем стопе доприноса за обавезно социјално осигурање, а све у зависности од створеног додатног фискалног простора који може да се искористи за смањење пореског оптерећења зарада. За више детаља видети поглавље 2. препорука 6. ЕКОФИН савета.</w:t>
            </w:r>
          </w:p>
          <w:p w14:paraId="6D680BD0" w14:textId="77777777" w:rsidR="009E7AB4" w:rsidRPr="00092ED7" w:rsidRDefault="009E7AB4" w:rsidP="009E7AB4">
            <w:pPr>
              <w:spacing w:before="0" w:after="0"/>
              <w:rPr>
                <w:rFonts w:cs="Times New Roman"/>
                <w:sz w:val="20"/>
                <w:lang w:val="sr-Cyrl-CS"/>
              </w:rPr>
            </w:pPr>
          </w:p>
        </w:tc>
      </w:tr>
      <w:tr w:rsidR="009E7AB4" w:rsidRPr="00092ED7" w14:paraId="5C235804" w14:textId="77777777" w:rsidTr="009E7AB4">
        <w:tc>
          <w:tcPr>
            <w:tcW w:w="2789" w:type="dxa"/>
          </w:tcPr>
          <w:p w14:paraId="705F814D"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Предлог нове СР: Управљање образовним</w:t>
            </w:r>
          </w:p>
          <w:p w14:paraId="1AF05605"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квотама и исходима</w:t>
            </w:r>
          </w:p>
          <w:p w14:paraId="1120B8CA"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образовања</w:t>
            </w:r>
          </w:p>
        </w:tc>
        <w:tc>
          <w:tcPr>
            <w:tcW w:w="2789" w:type="dxa"/>
          </w:tcPr>
          <w:p w14:paraId="2F5DCEFD" w14:textId="77777777" w:rsidR="009E7AB4" w:rsidRPr="00092ED7" w:rsidRDefault="009E7AB4" w:rsidP="009E7AB4">
            <w:pPr>
              <w:spacing w:before="0" w:after="0"/>
              <w:rPr>
                <w:rFonts w:cs="Times New Roman"/>
                <w:sz w:val="20"/>
                <w:lang w:val="sr-Cyrl-CS"/>
              </w:rPr>
            </w:pPr>
          </w:p>
        </w:tc>
        <w:tc>
          <w:tcPr>
            <w:tcW w:w="4198" w:type="dxa"/>
          </w:tcPr>
          <w:p w14:paraId="3CDA7CD4"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Неопходно је увођење управљања уписним квотама и учинити образовне профиле које се односе на дефицитарна занимања привлачнијим за ученике. Било би веома пожељно пратити дефицитарна занимања и радити на томе да се дефицитарни профили   кроз   систем   стипендирања   учине  привлачнијим.</w:t>
            </w:r>
          </w:p>
          <w:p w14:paraId="24F39E58"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 xml:space="preserve">Такође,  неопходно  је  радити  на  унапређивању  квалитета образовања када су у питању основне вештине, односно радити на   унапређењу   постигнућа   у   образовању   у   складу   са препорукама  ОЕЦД-а.  Додатно,  неопходно  је  кроз  систем образовања   </w:t>
            </w:r>
            <w:r w:rsidRPr="00092ED7">
              <w:rPr>
                <w:rFonts w:cs="Times New Roman"/>
                <w:sz w:val="20"/>
                <w:lang w:val="sr-Cyrl-CS"/>
              </w:rPr>
              <w:lastRenderedPageBreak/>
              <w:t>радити   и   на   унапређивању   меких   вештина ученика/дипломаца.</w:t>
            </w:r>
          </w:p>
          <w:p w14:paraId="310E5AD4" w14:textId="77777777" w:rsidR="009E7AB4" w:rsidRPr="00092ED7" w:rsidRDefault="009E7AB4" w:rsidP="009E7AB4">
            <w:pPr>
              <w:spacing w:before="0" w:after="0"/>
              <w:rPr>
                <w:rFonts w:cs="Times New Roman"/>
                <w:sz w:val="20"/>
                <w:lang w:val="sr-Cyrl-CS"/>
              </w:rPr>
            </w:pPr>
          </w:p>
        </w:tc>
        <w:tc>
          <w:tcPr>
            <w:tcW w:w="4172" w:type="dxa"/>
          </w:tcPr>
          <w:p w14:paraId="0EBF4E16" w14:textId="77777777" w:rsidR="009E7AB4" w:rsidRPr="00092ED7" w:rsidRDefault="009E7AB4" w:rsidP="009E7AB4">
            <w:pPr>
              <w:spacing w:before="0" w:after="0"/>
              <w:rPr>
                <w:rFonts w:cs="Times New Roman"/>
                <w:sz w:val="20"/>
                <w:lang w:val="sr-Cyrl-CS"/>
              </w:rPr>
            </w:pPr>
            <w:r w:rsidRPr="00092ED7">
              <w:rPr>
                <w:rFonts w:cs="Times New Roman"/>
                <w:sz w:val="20"/>
                <w:lang w:val="sr-Cyrl-CS"/>
              </w:rPr>
              <w:lastRenderedPageBreak/>
              <w:t xml:space="preserve">Предлог се сматра прихватљивим будући да потпуно кореспондира са мерама и активностима планираним за период 2023-2026. У наредном периоду планирано је развијање система прогноза за знањима и вештинама на националном, регионалном и локалном нивоу као и да успостављање система континуираног праћења ефеката примене квалификација на запошљавање и целоживотно учење. У складу са наведеним посебна пажња биће посвећена унапређивању система креирања уписне политике на средњошколском нивоу усклађене са потребама тржишта рада и друштва у целини. Такође, у наредном периоду планирано је </w:t>
            </w:r>
            <w:r w:rsidRPr="00092ED7">
              <w:rPr>
                <w:rFonts w:cs="Times New Roman"/>
                <w:sz w:val="20"/>
                <w:lang w:val="sr-Cyrl-CS"/>
              </w:rPr>
              <w:lastRenderedPageBreak/>
              <w:t xml:space="preserve">развијање/унапређивање структуралног и методолошког оквира за развој програма наставе и учења у доуниверзитетском образовању у складу са стандардима постигнућа и стандардима квалификација, са посебним акцентом на уграђивање кључних компетенција у стандарде квалификација, односно у планове и програме наставе и учења. Сходно томе, предлог ће бити узет у обзир у наредном документу ЕРП. </w:t>
            </w:r>
          </w:p>
        </w:tc>
      </w:tr>
      <w:tr w:rsidR="009E7AB4" w:rsidRPr="00092ED7" w14:paraId="6D541343" w14:textId="77777777" w:rsidTr="009E7AB4">
        <w:trPr>
          <w:trHeight w:val="3050"/>
        </w:trPr>
        <w:tc>
          <w:tcPr>
            <w:tcW w:w="2789" w:type="dxa"/>
          </w:tcPr>
          <w:p w14:paraId="52F469DE" w14:textId="77777777" w:rsidR="009E7AB4" w:rsidRPr="00092ED7" w:rsidRDefault="009E7AB4" w:rsidP="009E7AB4">
            <w:pPr>
              <w:spacing w:before="0" w:after="0"/>
              <w:rPr>
                <w:rFonts w:cs="Times New Roman"/>
                <w:sz w:val="20"/>
                <w:lang w:val="sr-Cyrl-CS"/>
              </w:rPr>
            </w:pPr>
            <w:r w:rsidRPr="00092ED7">
              <w:rPr>
                <w:rFonts w:cs="Times New Roman"/>
                <w:sz w:val="20"/>
                <w:lang w:val="sr-Cyrl-CS"/>
              </w:rPr>
              <w:lastRenderedPageBreak/>
              <w:t>Предлог нове СР: Израда анализе о потребама и</w:t>
            </w:r>
          </w:p>
          <w:p w14:paraId="058E5061"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могућностима везаним за</w:t>
            </w:r>
          </w:p>
          <w:p w14:paraId="3FAE4DD7"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ангажовање иностране радне снаге</w:t>
            </w:r>
          </w:p>
          <w:p w14:paraId="1CECF837" w14:textId="77777777" w:rsidR="009E7AB4" w:rsidRPr="00092ED7" w:rsidRDefault="009E7AB4" w:rsidP="009E7AB4">
            <w:pPr>
              <w:spacing w:before="0" w:after="0"/>
              <w:ind w:left="0"/>
              <w:rPr>
                <w:rFonts w:cs="Times New Roman"/>
                <w:sz w:val="20"/>
                <w:lang w:val="sr-Cyrl-CS"/>
              </w:rPr>
            </w:pPr>
          </w:p>
        </w:tc>
        <w:tc>
          <w:tcPr>
            <w:tcW w:w="2789" w:type="dxa"/>
          </w:tcPr>
          <w:p w14:paraId="49FB17EB" w14:textId="77777777" w:rsidR="009E7AB4" w:rsidRPr="00092ED7" w:rsidRDefault="009E7AB4" w:rsidP="009E7AB4">
            <w:pPr>
              <w:spacing w:before="0" w:after="0"/>
              <w:rPr>
                <w:rFonts w:cs="Times New Roman"/>
                <w:sz w:val="20"/>
                <w:lang w:val="sr-Cyrl-CS"/>
              </w:rPr>
            </w:pPr>
          </w:p>
        </w:tc>
        <w:tc>
          <w:tcPr>
            <w:tcW w:w="4198" w:type="dxa"/>
          </w:tcPr>
          <w:p w14:paraId="40D16637" w14:textId="692A569B" w:rsidR="009E7AB4" w:rsidRPr="00092ED7" w:rsidRDefault="009E7AB4" w:rsidP="009E7AB4">
            <w:pPr>
              <w:spacing w:before="0" w:after="0"/>
              <w:rPr>
                <w:rFonts w:cs="Times New Roman"/>
                <w:sz w:val="20"/>
                <w:lang w:val="sr-Cyrl-CS"/>
              </w:rPr>
            </w:pPr>
            <w:r w:rsidRPr="00092ED7">
              <w:rPr>
                <w:rFonts w:cs="Times New Roman"/>
                <w:sz w:val="20"/>
                <w:lang w:val="sr-Cyrl-CS"/>
              </w:rPr>
              <w:t xml:space="preserve">У складу са активношћу 5.1.7. Акционог плана у најскоријем времену треба започети са   израдом   детаљне   анализе   о могућностима   ангажовања   стране   радне   снаге   у   </w:t>
            </w:r>
            <w:r w:rsidR="003B5902" w:rsidRPr="00092ED7">
              <w:rPr>
                <w:rFonts w:cs="Times New Roman"/>
                <w:sz w:val="20"/>
                <w:lang w:val="sr-Cyrl-CS"/>
              </w:rPr>
              <w:t xml:space="preserve">Републици </w:t>
            </w:r>
            <w:r w:rsidRPr="00092ED7">
              <w:rPr>
                <w:rFonts w:cs="Times New Roman"/>
                <w:sz w:val="20"/>
                <w:lang w:val="sr-Cyrl-CS"/>
              </w:rPr>
              <w:t xml:space="preserve">Србији. Истовремено, пожељно је извршити и додатне анализе у којим земљама постоји суфицит занимања која су потребна тржишту рада у </w:t>
            </w:r>
            <w:r w:rsidR="003B5902" w:rsidRPr="00092ED7">
              <w:rPr>
                <w:rFonts w:cs="Times New Roman"/>
                <w:sz w:val="20"/>
                <w:lang w:val="sr-Cyrl-CS"/>
              </w:rPr>
              <w:t xml:space="preserve">Републици </w:t>
            </w:r>
            <w:r w:rsidRPr="00092ED7">
              <w:rPr>
                <w:rFonts w:cs="Times New Roman"/>
                <w:sz w:val="20"/>
                <w:lang w:val="sr-Cyrl-CS"/>
              </w:rPr>
              <w:t>Србији. Ова активност би представљала путоказ у смислу потреба   за   формирањем   билатералних   уговора,   лакшем добијању радних дозвола за резиденте трећих земаља и оствању права  из  радног  односа  које  би  потенцијално  омогућило привлачење радне снаге виших квалификација.</w:t>
            </w:r>
          </w:p>
        </w:tc>
        <w:tc>
          <w:tcPr>
            <w:tcW w:w="4172" w:type="dxa"/>
            <w:vMerge w:val="restart"/>
          </w:tcPr>
          <w:p w14:paraId="3C4B2FA3"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 xml:space="preserve">Предложене структурне реформе представљају активности предвиђене Акционим планом за период 2021-2023. године Стратегије о економским миграцијама Републике Србије за период 2021‒2027. године. </w:t>
            </w:r>
          </w:p>
          <w:p w14:paraId="2B6F4A05"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 xml:space="preserve">Реализација ових активности може се пратити кроз Извештај о спровођењу Акционог плана за 2022. годину, који се израђује у првом кварталу 2023, у складу са Законом о планском систему.  Резултати добијени на основу Извештаја указаће на ефикасност предложених активности, као и у ком правцу се наведене активности спроводе, а што ће бити полазно мерило за доношење следећег Акционог плана. </w:t>
            </w:r>
          </w:p>
          <w:p w14:paraId="6777786E"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 xml:space="preserve">Дакле, не могу се прихватити ови предлози за нове структурне реформе, јер наведено представља активности које су већ препознате у горе наведеној Стратегији и Акционом плану, и предложене како би се њиховом реализацијом постигло испуњење посебних и општег циља. Мишљења смо да, због чињенице да већи део предлога представља или редовне активности, или је, као у случају првог предлога (Израда анализе о потребама и могућностима везаним за ангажовање </w:t>
            </w:r>
            <w:r w:rsidRPr="00092ED7">
              <w:rPr>
                <w:rFonts w:cs="Times New Roman"/>
                <w:sz w:val="20"/>
                <w:lang w:val="sr-Cyrl-CS"/>
              </w:rPr>
              <w:lastRenderedPageBreak/>
              <w:t>иностране радне снаге) реч о једнократном послу, а не о структурној реформи.</w:t>
            </w:r>
          </w:p>
        </w:tc>
      </w:tr>
      <w:tr w:rsidR="009E7AB4" w:rsidRPr="00092ED7" w14:paraId="4C116723" w14:textId="77777777" w:rsidTr="009E7AB4">
        <w:tc>
          <w:tcPr>
            <w:tcW w:w="2789" w:type="dxa"/>
          </w:tcPr>
          <w:p w14:paraId="4D73E27B"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Предлог нове СР: Процена</w:t>
            </w:r>
          </w:p>
          <w:p w14:paraId="71C46D4F"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компетенција потенцијалних</w:t>
            </w:r>
          </w:p>
          <w:p w14:paraId="17A26DBB"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имиграната</w:t>
            </w:r>
          </w:p>
          <w:p w14:paraId="4D58667D" w14:textId="77777777" w:rsidR="009E7AB4" w:rsidRPr="00092ED7" w:rsidRDefault="009E7AB4" w:rsidP="009E7AB4">
            <w:pPr>
              <w:spacing w:before="0" w:after="0"/>
              <w:rPr>
                <w:rFonts w:cs="Times New Roman"/>
                <w:sz w:val="20"/>
                <w:lang w:val="sr-Cyrl-CS"/>
              </w:rPr>
            </w:pPr>
          </w:p>
        </w:tc>
        <w:tc>
          <w:tcPr>
            <w:tcW w:w="2789" w:type="dxa"/>
          </w:tcPr>
          <w:p w14:paraId="5360B528" w14:textId="77777777" w:rsidR="009E7AB4" w:rsidRPr="00092ED7" w:rsidRDefault="009E7AB4" w:rsidP="009E7AB4">
            <w:pPr>
              <w:spacing w:before="0" w:after="0"/>
              <w:rPr>
                <w:rFonts w:cs="Times New Roman"/>
                <w:sz w:val="20"/>
                <w:lang w:val="sr-Cyrl-CS"/>
              </w:rPr>
            </w:pPr>
          </w:p>
        </w:tc>
        <w:tc>
          <w:tcPr>
            <w:tcW w:w="4198" w:type="dxa"/>
          </w:tcPr>
          <w:p w14:paraId="4012A103"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Како би се превазишао  информациони јаз и   снизили трансакциони трошкови ангажовања иностране радне снаге било би потребно развити софтверско решење за ex-ante процену компетенција потенцијалних имиграната. Овакво решење могло би бити нарочито корисно за послове који не захтевају значајне</w:t>
            </w:r>
          </w:p>
          <w:p w14:paraId="25B7D5FF"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формалне компетенције, већ апострофирају стечено искуство и вештине - као што је случај у већини ВКВ занимања унутар прерађивачке индустрије, те занимања унутар транспорта и складиштења, услуга смештаја и исхране.</w:t>
            </w:r>
          </w:p>
        </w:tc>
        <w:tc>
          <w:tcPr>
            <w:tcW w:w="4172" w:type="dxa"/>
            <w:vMerge/>
          </w:tcPr>
          <w:p w14:paraId="18994C50" w14:textId="77777777" w:rsidR="009E7AB4" w:rsidRPr="00092ED7" w:rsidRDefault="009E7AB4" w:rsidP="009E7AB4">
            <w:pPr>
              <w:spacing w:before="0" w:after="0"/>
              <w:rPr>
                <w:rFonts w:cs="Times New Roman"/>
                <w:sz w:val="20"/>
                <w:lang w:val="sr-Cyrl-CS"/>
              </w:rPr>
            </w:pPr>
          </w:p>
        </w:tc>
      </w:tr>
      <w:tr w:rsidR="009E7AB4" w:rsidRPr="00092ED7" w14:paraId="270BB35A" w14:textId="77777777" w:rsidTr="009E7AB4">
        <w:tc>
          <w:tcPr>
            <w:tcW w:w="2789" w:type="dxa"/>
          </w:tcPr>
          <w:p w14:paraId="52AE8DE5" w14:textId="77777777" w:rsidR="009E7AB4" w:rsidRPr="00092ED7" w:rsidRDefault="009E7AB4" w:rsidP="009E7AB4">
            <w:pPr>
              <w:spacing w:before="0" w:after="0"/>
              <w:rPr>
                <w:rFonts w:cs="Times New Roman"/>
                <w:sz w:val="20"/>
                <w:lang w:val="sr-Cyrl-CS"/>
              </w:rPr>
            </w:pPr>
            <w:r w:rsidRPr="00092ED7">
              <w:rPr>
                <w:rFonts w:cs="Times New Roman"/>
                <w:sz w:val="20"/>
                <w:lang w:val="sr-Cyrl-CS"/>
              </w:rPr>
              <w:lastRenderedPageBreak/>
              <w:t>Предлог нове СР: Унапређивање билатералне сарадње са</w:t>
            </w:r>
          </w:p>
          <w:p w14:paraId="0D865E6A"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земљама дестинацијама и</w:t>
            </w:r>
          </w:p>
          <w:p w14:paraId="76E0C246"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иностраним привредним</w:t>
            </w:r>
          </w:p>
          <w:p w14:paraId="2789F95B"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коморама</w:t>
            </w:r>
          </w:p>
          <w:p w14:paraId="732FF0B2" w14:textId="77777777" w:rsidR="009E7AB4" w:rsidRPr="00092ED7" w:rsidRDefault="009E7AB4" w:rsidP="009E7AB4">
            <w:pPr>
              <w:spacing w:before="0" w:after="0"/>
              <w:rPr>
                <w:rFonts w:cs="Times New Roman"/>
                <w:sz w:val="20"/>
                <w:lang w:val="sr-Cyrl-CS"/>
              </w:rPr>
            </w:pPr>
          </w:p>
        </w:tc>
        <w:tc>
          <w:tcPr>
            <w:tcW w:w="2789" w:type="dxa"/>
          </w:tcPr>
          <w:p w14:paraId="1131D84D" w14:textId="77777777" w:rsidR="009E7AB4" w:rsidRPr="00092ED7" w:rsidRDefault="009E7AB4" w:rsidP="009E7AB4">
            <w:pPr>
              <w:spacing w:before="0" w:after="0"/>
              <w:rPr>
                <w:rFonts w:cs="Times New Roman"/>
                <w:sz w:val="20"/>
                <w:lang w:val="sr-Cyrl-CS"/>
              </w:rPr>
            </w:pPr>
          </w:p>
        </w:tc>
        <w:tc>
          <w:tcPr>
            <w:tcW w:w="4198" w:type="dxa"/>
          </w:tcPr>
          <w:p w14:paraId="4043AA5C" w14:textId="16A35B32" w:rsidR="009E7AB4" w:rsidRPr="00092ED7" w:rsidRDefault="009E7AB4" w:rsidP="009E7AB4">
            <w:pPr>
              <w:spacing w:before="0" w:after="0"/>
              <w:rPr>
                <w:rFonts w:cs="Times New Roman"/>
                <w:sz w:val="20"/>
                <w:lang w:val="sr-Cyrl-CS"/>
              </w:rPr>
            </w:pPr>
            <w:r w:rsidRPr="00092ED7">
              <w:rPr>
                <w:rFonts w:cs="Times New Roman"/>
                <w:sz w:val="20"/>
                <w:lang w:val="sr-Cyrl-CS"/>
              </w:rPr>
              <w:t xml:space="preserve">Имајући у виду све доминантнији приступ у коришћењу извора података  земаља  дестинације   односно  </w:t>
            </w:r>
            <w:r w:rsidR="002A4877" w:rsidRPr="00092ED7">
              <w:rPr>
                <w:rFonts w:cs="Times New Roman"/>
                <w:sz w:val="20"/>
                <w:lang w:val="sr-Cyrl-CS"/>
              </w:rPr>
              <w:t>EUROSTAT</w:t>
            </w:r>
            <w:r w:rsidRPr="00092ED7">
              <w:rPr>
                <w:rFonts w:cs="Times New Roman"/>
                <w:sz w:val="20"/>
                <w:lang w:val="sr-Cyrl-CS"/>
              </w:rPr>
              <w:t xml:space="preserve">-ом,  од изузетне  важности  је  унапређење  билатералне  сарадње  са земљама   дестинације   у   прикупљању   што   прецизнијих   и свеобухватнијих података о емиграцији из </w:t>
            </w:r>
            <w:r w:rsidR="003B5902" w:rsidRPr="00092ED7">
              <w:rPr>
                <w:rFonts w:cs="Times New Roman"/>
                <w:sz w:val="20"/>
                <w:lang w:val="sr-Cyrl-CS"/>
              </w:rPr>
              <w:t xml:space="preserve">Републике </w:t>
            </w:r>
            <w:r w:rsidRPr="00092ED7">
              <w:rPr>
                <w:rFonts w:cs="Times New Roman"/>
                <w:sz w:val="20"/>
                <w:lang w:val="sr-Cyrl-CS"/>
              </w:rPr>
              <w:t>Србије, у складу са активностима 1.4.1 и 5.1.3.Акционог плана. На истој линији, потребно    је    радити    на   унапређивању    сарадње    са представништвима иностраних привредних комора.</w:t>
            </w:r>
          </w:p>
        </w:tc>
        <w:tc>
          <w:tcPr>
            <w:tcW w:w="4172" w:type="dxa"/>
            <w:vMerge/>
          </w:tcPr>
          <w:p w14:paraId="7EEB6196" w14:textId="77777777" w:rsidR="009E7AB4" w:rsidRPr="00092ED7" w:rsidRDefault="009E7AB4" w:rsidP="009E7AB4">
            <w:pPr>
              <w:spacing w:before="0" w:after="0"/>
              <w:rPr>
                <w:rFonts w:cs="Times New Roman"/>
                <w:sz w:val="20"/>
                <w:lang w:val="sr-Cyrl-CS"/>
              </w:rPr>
            </w:pPr>
          </w:p>
        </w:tc>
      </w:tr>
      <w:tr w:rsidR="009E7AB4" w:rsidRPr="00092ED7" w14:paraId="11B94956" w14:textId="77777777" w:rsidTr="009E7AB4">
        <w:tc>
          <w:tcPr>
            <w:tcW w:w="2789" w:type="dxa"/>
          </w:tcPr>
          <w:p w14:paraId="06EC40EA"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Предлог нове СР:</w:t>
            </w:r>
          </w:p>
          <w:p w14:paraId="308313D8"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Циркуларне</w:t>
            </w:r>
          </w:p>
          <w:p w14:paraId="2F9D2035"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миграције и</w:t>
            </w:r>
          </w:p>
          <w:p w14:paraId="39E969D2"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национална база</w:t>
            </w:r>
          </w:p>
          <w:p w14:paraId="4A8D6B97"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експерата</w:t>
            </w:r>
          </w:p>
        </w:tc>
        <w:tc>
          <w:tcPr>
            <w:tcW w:w="2789" w:type="dxa"/>
          </w:tcPr>
          <w:p w14:paraId="2E655294" w14:textId="77777777" w:rsidR="009E7AB4" w:rsidRPr="00092ED7" w:rsidRDefault="009E7AB4" w:rsidP="009E7AB4">
            <w:pPr>
              <w:spacing w:before="0" w:after="0"/>
              <w:rPr>
                <w:rFonts w:cs="Times New Roman"/>
                <w:sz w:val="20"/>
                <w:lang w:val="sr-Cyrl-CS"/>
              </w:rPr>
            </w:pPr>
          </w:p>
        </w:tc>
        <w:tc>
          <w:tcPr>
            <w:tcW w:w="4198" w:type="dxa"/>
          </w:tcPr>
          <w:p w14:paraId="001DBFA0"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Пожељно је у најскоријем времену почети са спровођењем активности   Акционог   плана (5.2.2)   којом   је   предвиђено спровођење полазног истраживања и припрема трогодишњег плана за истраживања о циркуларним и повратним миграцијама.</w:t>
            </w:r>
          </w:p>
          <w:p w14:paraId="104D1806" w14:textId="58055FEE" w:rsidR="009E7AB4" w:rsidRPr="00092ED7" w:rsidRDefault="009E7AB4" w:rsidP="009E7AB4">
            <w:pPr>
              <w:spacing w:before="0" w:after="0"/>
              <w:rPr>
                <w:rFonts w:cs="Times New Roman"/>
                <w:sz w:val="20"/>
                <w:lang w:val="sr-Cyrl-CS"/>
              </w:rPr>
            </w:pPr>
            <w:r w:rsidRPr="00092ED7">
              <w:rPr>
                <w:rFonts w:cs="Times New Roman"/>
                <w:sz w:val="20"/>
                <w:lang w:val="sr-Cyrl-CS"/>
              </w:rPr>
              <w:t xml:space="preserve">Додатно, пожељно је размотрити и могућност успостављања националне базе експерата, доступних модула за едукацију, приручника и материјала. У том домену од посебног значаја могу бити партнерства са међународним организацијама које могу подржати   идентификовање   модула,   приручника   и материјала који већ постоје у упоредној пракси и који се могу прилагодити контексту </w:t>
            </w:r>
            <w:r w:rsidR="003B5902" w:rsidRPr="00092ED7">
              <w:rPr>
                <w:rFonts w:cs="Times New Roman"/>
                <w:sz w:val="20"/>
                <w:lang w:val="sr-Cyrl-CS"/>
              </w:rPr>
              <w:t xml:space="preserve">Републике </w:t>
            </w:r>
            <w:r w:rsidRPr="00092ED7">
              <w:rPr>
                <w:rFonts w:cs="Times New Roman"/>
                <w:sz w:val="20"/>
                <w:lang w:val="sr-Cyrl-CS"/>
              </w:rPr>
              <w:t>Србије.</w:t>
            </w:r>
          </w:p>
        </w:tc>
        <w:tc>
          <w:tcPr>
            <w:tcW w:w="4172" w:type="dxa"/>
            <w:vMerge/>
          </w:tcPr>
          <w:p w14:paraId="789F48D0" w14:textId="77777777" w:rsidR="009E7AB4" w:rsidRPr="00092ED7" w:rsidRDefault="009E7AB4" w:rsidP="009E7AB4">
            <w:pPr>
              <w:spacing w:before="0" w:after="0"/>
              <w:rPr>
                <w:rFonts w:cs="Times New Roman"/>
                <w:sz w:val="20"/>
                <w:lang w:val="sr-Cyrl-CS"/>
              </w:rPr>
            </w:pPr>
          </w:p>
        </w:tc>
      </w:tr>
      <w:tr w:rsidR="009E7AB4" w:rsidRPr="00092ED7" w14:paraId="6F5931B2" w14:textId="77777777" w:rsidTr="009E7AB4">
        <w:tc>
          <w:tcPr>
            <w:tcW w:w="2789" w:type="dxa"/>
          </w:tcPr>
          <w:p w14:paraId="0C3F11FB"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Кључни изазов 2: Стварање пословног амбијента повољнијег за инвестиције и повећање конкурентности</w:t>
            </w:r>
          </w:p>
          <w:p w14:paraId="6AA18453"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Структурна</w:t>
            </w:r>
          </w:p>
          <w:p w14:paraId="515E628E"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реформа 5:</w:t>
            </w:r>
          </w:p>
          <w:p w14:paraId="2CF7CBD6"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Унапређење квалитета</w:t>
            </w:r>
          </w:p>
          <w:p w14:paraId="395399F3"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 xml:space="preserve">пружања јавних услуга кроз оптимизацију и дигитализацију </w:t>
            </w:r>
            <w:r w:rsidRPr="00092ED7">
              <w:rPr>
                <w:rFonts w:cs="Times New Roman"/>
                <w:sz w:val="20"/>
                <w:lang w:val="sr-Cyrl-CS"/>
              </w:rPr>
              <w:lastRenderedPageBreak/>
              <w:t>административних поступака- Е- папир</w:t>
            </w:r>
          </w:p>
          <w:p w14:paraId="5745C483" w14:textId="77777777" w:rsidR="009E7AB4" w:rsidRPr="00092ED7" w:rsidRDefault="009E7AB4" w:rsidP="009E7AB4">
            <w:pPr>
              <w:spacing w:before="0" w:after="0"/>
              <w:rPr>
                <w:rFonts w:cs="Times New Roman"/>
                <w:sz w:val="20"/>
                <w:lang w:val="sr-Cyrl-CS"/>
              </w:rPr>
            </w:pPr>
          </w:p>
        </w:tc>
        <w:tc>
          <w:tcPr>
            <w:tcW w:w="2789" w:type="dxa"/>
          </w:tcPr>
          <w:p w14:paraId="2A90A923" w14:textId="77777777" w:rsidR="009E7AB4" w:rsidRPr="00092ED7" w:rsidRDefault="009E7AB4" w:rsidP="009E7AB4">
            <w:pPr>
              <w:spacing w:before="0" w:after="0"/>
              <w:rPr>
                <w:rFonts w:cs="Times New Roman"/>
                <w:sz w:val="20"/>
                <w:lang w:val="sr-Cyrl-CS"/>
              </w:rPr>
            </w:pPr>
          </w:p>
        </w:tc>
        <w:tc>
          <w:tcPr>
            <w:tcW w:w="4198" w:type="dxa"/>
          </w:tcPr>
          <w:p w14:paraId="0AB56B80" w14:textId="3A0C98E4" w:rsidR="009E7AB4" w:rsidRPr="00092ED7" w:rsidRDefault="009E7AB4" w:rsidP="009E7AB4">
            <w:pPr>
              <w:spacing w:before="0" w:after="0"/>
              <w:rPr>
                <w:rFonts w:cs="Times New Roman"/>
                <w:sz w:val="20"/>
                <w:lang w:val="sr-Cyrl-CS"/>
              </w:rPr>
            </w:pPr>
            <w:r w:rsidRPr="00092ED7">
              <w:rPr>
                <w:rFonts w:cs="Times New Roman"/>
                <w:sz w:val="20"/>
                <w:lang w:val="sr-Cyrl-CS"/>
              </w:rPr>
              <w:t>У документу је наведено да Регистар уједно представља полазну основу за формирање ЈЕКТ, што је обавеза у складу са Директивом о услугама 2006/123/ЕЗ чије је транспоновање предвиђено чланом 59. ССП.</w:t>
            </w:r>
          </w:p>
          <w:p w14:paraId="6CE9C16C"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 xml:space="preserve">У   активностима   наведеним   по годинама   није   планирано формирање ЈЕКТ, што сматрамо неопходним због обавезе из Преговарачког поглавља 3 и због чињенице да </w:t>
            </w:r>
            <w:r w:rsidRPr="00092ED7">
              <w:rPr>
                <w:rFonts w:cs="Times New Roman"/>
                <w:sz w:val="20"/>
                <w:lang w:val="sr-Cyrl-CS"/>
              </w:rPr>
              <w:lastRenderedPageBreak/>
              <w:t>је финансирање предвиђено пројектом ИПА 2021.</w:t>
            </w:r>
          </w:p>
          <w:p w14:paraId="5EAE47B7" w14:textId="10524224" w:rsidR="009E7AB4" w:rsidRPr="00092ED7" w:rsidRDefault="009E7AB4" w:rsidP="008479FB">
            <w:pPr>
              <w:spacing w:before="0" w:after="0"/>
              <w:rPr>
                <w:rFonts w:cs="Times New Roman"/>
                <w:sz w:val="20"/>
                <w:lang w:val="sr-Cyrl-CS"/>
              </w:rPr>
            </w:pPr>
            <w:r w:rsidRPr="00092ED7">
              <w:rPr>
                <w:rFonts w:cs="Times New Roman"/>
                <w:sz w:val="20"/>
                <w:lang w:val="sr-Cyrl-CS"/>
              </w:rPr>
              <w:t xml:space="preserve">Доношење Закона о услугама /усклађеног са Директивом о услугама 2006/123 и успостављање </w:t>
            </w:r>
            <w:r w:rsidR="008479FB" w:rsidRPr="00092ED7">
              <w:rPr>
                <w:rFonts w:cs="Times New Roman"/>
                <w:sz w:val="20"/>
                <w:lang w:val="sr-Cyrl-CS"/>
              </w:rPr>
              <w:t>ЈЕКТ</w:t>
            </w:r>
            <w:r w:rsidRPr="00092ED7">
              <w:rPr>
                <w:rFonts w:cs="Times New Roman"/>
                <w:sz w:val="20"/>
                <w:lang w:val="sr-Cyrl-CS"/>
              </w:rPr>
              <w:t>, Припрема  Стратегије  за  спровођење  закона  и  дефинисање националне листе услуга на које ће се закон односити, финална листа  секторских  прописа  које  треба  изменити  у  смислу усклађивања са Законом о услугама. Успостављање и рад ЈЕКТ у   циљу   пружања   пуне   информације   заинтересованима   о условима за пружање услуга и на тај начин омогућити једну од четири слободе - слободан проток услуга. То је обавеза из Преговарачког поглавља 3.</w:t>
            </w:r>
          </w:p>
        </w:tc>
        <w:tc>
          <w:tcPr>
            <w:tcW w:w="4172" w:type="dxa"/>
          </w:tcPr>
          <w:p w14:paraId="5F021E81" w14:textId="77777777" w:rsidR="009E7AB4" w:rsidRPr="00092ED7" w:rsidRDefault="009E7AB4" w:rsidP="009E7AB4">
            <w:pPr>
              <w:spacing w:before="0" w:after="0"/>
              <w:rPr>
                <w:rFonts w:cs="Times New Roman"/>
                <w:sz w:val="20"/>
                <w:lang w:val="sr-Cyrl-CS"/>
              </w:rPr>
            </w:pPr>
            <w:r w:rsidRPr="00092ED7">
              <w:rPr>
                <w:rFonts w:cs="Times New Roman"/>
                <w:sz w:val="20"/>
                <w:lang w:val="sr-Cyrl-CS"/>
              </w:rPr>
              <w:lastRenderedPageBreak/>
              <w:t>Имајући у виду значај области услуга и у вези са тиме и ЈЕКТ, ова примедба је изузетно корисна, али имајући у виду њен  обим и захтевност, биће размотрена као посебна СР у наредном циклусу ЕРП.</w:t>
            </w:r>
          </w:p>
        </w:tc>
      </w:tr>
      <w:tr w:rsidR="009E7AB4" w:rsidRPr="00092ED7" w14:paraId="34DBA0F8" w14:textId="77777777" w:rsidTr="009E7AB4">
        <w:tc>
          <w:tcPr>
            <w:tcW w:w="2789" w:type="dxa"/>
          </w:tcPr>
          <w:p w14:paraId="4BD47D03"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Предлог нове СР: Стављање МСП у центар развојних политика</w:t>
            </w:r>
          </w:p>
        </w:tc>
        <w:tc>
          <w:tcPr>
            <w:tcW w:w="2789" w:type="dxa"/>
          </w:tcPr>
          <w:p w14:paraId="31CCC5F7" w14:textId="77777777" w:rsidR="009E7AB4" w:rsidRPr="00092ED7" w:rsidRDefault="009E7AB4" w:rsidP="009E7AB4">
            <w:pPr>
              <w:spacing w:before="0" w:after="0"/>
              <w:rPr>
                <w:rFonts w:cs="Times New Roman"/>
                <w:sz w:val="20"/>
                <w:lang w:val="sr-Cyrl-CS"/>
              </w:rPr>
            </w:pPr>
          </w:p>
        </w:tc>
        <w:tc>
          <w:tcPr>
            <w:tcW w:w="4198" w:type="dxa"/>
          </w:tcPr>
          <w:p w14:paraId="17D36176" w14:textId="27AA7BC2" w:rsidR="009E7AB4" w:rsidRPr="00092ED7" w:rsidRDefault="009E7AB4" w:rsidP="00D80E02">
            <w:pPr>
              <w:spacing w:before="0" w:after="0"/>
              <w:rPr>
                <w:rFonts w:cs="Times New Roman"/>
                <w:sz w:val="20"/>
                <w:lang w:val="sr-Cyrl-CS"/>
              </w:rPr>
            </w:pPr>
            <w:r w:rsidRPr="00092ED7">
              <w:rPr>
                <w:rFonts w:cs="Times New Roman"/>
                <w:sz w:val="20"/>
                <w:lang w:val="sr-Cyrl-CS"/>
              </w:rPr>
              <w:t xml:space="preserve">Реформа подразумева редефинисање политика која се односе на МСП кроз Стратегију за МСП дефинисати мере и програме који би поспешили  развој МСП као носиоце економског развоја.  Као критеријум за избор субвенционисаних СДИ увести </w:t>
            </w:r>
            <w:r w:rsidR="00D80E02" w:rsidRPr="00092ED7">
              <w:rPr>
                <w:rFonts w:cs="Times New Roman"/>
                <w:sz w:val="20"/>
                <w:lang w:val="sr-Cyrl-CS"/>
              </w:rPr>
              <w:t>-„</w:t>
            </w:r>
            <w:r w:rsidRPr="00092ED7">
              <w:rPr>
                <w:rFonts w:cs="Times New Roman"/>
                <w:sz w:val="20"/>
                <w:lang w:val="sr-Cyrl-CS"/>
              </w:rPr>
              <w:t>утицај СДИ на МСП”. МСП -дати предност у јавним набавкама (за почетак  спровести  пилот  пројекте  у  јавним  предузећима). Редефинисати пореске политике које се односе на МСП-за почетак вратити порески кредит на инвестиције из добити. Редефинисати    пореске    олакшице    и    друге    облике субвенционисања улагања у развој и задржавање  кадрова од стране МСП. Као посебну политику успоставити програме за напредна МСП, пре свега по питању дигитализације.</w:t>
            </w:r>
          </w:p>
        </w:tc>
        <w:tc>
          <w:tcPr>
            <w:tcW w:w="4172" w:type="dxa"/>
          </w:tcPr>
          <w:p w14:paraId="234E9F58" w14:textId="525A84FC" w:rsidR="009E7AB4" w:rsidRPr="00092ED7" w:rsidRDefault="009E7AB4" w:rsidP="009E7AB4">
            <w:pPr>
              <w:spacing w:before="0" w:after="0"/>
              <w:rPr>
                <w:rFonts w:cs="Times New Roman"/>
                <w:sz w:val="20"/>
                <w:lang w:val="sr-Cyrl-CS"/>
              </w:rPr>
            </w:pPr>
            <w:r w:rsidRPr="00092ED7">
              <w:rPr>
                <w:rFonts w:cs="Times New Roman"/>
                <w:sz w:val="20"/>
                <w:lang w:val="sr-Cyrl-CS"/>
              </w:rPr>
              <w:t xml:space="preserve">Предлог је прихватљив, мера  може да буде узета у обзир приликом израде  новог документа ЕРП 2024-2026, имајући у виду да ће се нова Стратегија за развој МСПП 2023-2027 усвојити почетком </w:t>
            </w:r>
            <w:r w:rsidR="00ED284E" w:rsidRPr="00092ED7">
              <w:rPr>
                <w:rFonts w:cs="Times New Roman"/>
                <w:sz w:val="20"/>
                <w:lang w:val="sr-Cyrl-CS"/>
              </w:rPr>
              <w:t>2023. године</w:t>
            </w:r>
            <w:r w:rsidRPr="00092ED7">
              <w:rPr>
                <w:rFonts w:cs="Times New Roman"/>
                <w:sz w:val="20"/>
                <w:lang w:val="sr-Cyrl-CS"/>
              </w:rPr>
              <w:t>. Међутим, имајући у виду да није могуће приказати све реформске процесе у ЕРП, важне активности су приказане и у дијагностици сваке области. На тај начин МСПП обухваћене су у кључном изазову 2, као и областима Пољопривреда индустрија и услуге и Дигитална трансформација.</w:t>
            </w:r>
          </w:p>
          <w:p w14:paraId="1A43C4A5" w14:textId="77777777" w:rsidR="009E7AB4" w:rsidRPr="00092ED7" w:rsidRDefault="009E7AB4" w:rsidP="009E7AB4">
            <w:pPr>
              <w:spacing w:before="0" w:after="0"/>
              <w:rPr>
                <w:rFonts w:cs="Times New Roman"/>
                <w:sz w:val="20"/>
                <w:lang w:val="sr-Cyrl-CS"/>
              </w:rPr>
            </w:pPr>
          </w:p>
        </w:tc>
      </w:tr>
      <w:tr w:rsidR="009E7AB4" w:rsidRPr="00092ED7" w14:paraId="0DF12CE0" w14:textId="77777777" w:rsidTr="009E7AB4">
        <w:tc>
          <w:tcPr>
            <w:tcW w:w="2789" w:type="dxa"/>
          </w:tcPr>
          <w:p w14:paraId="68BB1851"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Предлог нове СР: Унапређење квалитета</w:t>
            </w:r>
          </w:p>
          <w:p w14:paraId="6CA0CD8A"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пружања јавних услуга кроз оптимизацију и</w:t>
            </w:r>
          </w:p>
          <w:p w14:paraId="6FFA1979"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дигитализацију административних</w:t>
            </w:r>
          </w:p>
          <w:p w14:paraId="68B017FD" w14:textId="77777777" w:rsidR="009E7AB4" w:rsidRPr="00092ED7" w:rsidRDefault="009E7AB4" w:rsidP="009E7AB4">
            <w:pPr>
              <w:spacing w:before="0" w:after="0"/>
              <w:rPr>
                <w:rFonts w:cs="Times New Roman"/>
                <w:sz w:val="20"/>
                <w:lang w:val="sr-Cyrl-CS"/>
              </w:rPr>
            </w:pPr>
            <w:r w:rsidRPr="00092ED7">
              <w:rPr>
                <w:rFonts w:cs="Times New Roman"/>
                <w:sz w:val="20"/>
                <w:lang w:val="sr-Cyrl-CS"/>
              </w:rPr>
              <w:lastRenderedPageBreak/>
              <w:t>поступака - Е-простор</w:t>
            </w:r>
          </w:p>
        </w:tc>
        <w:tc>
          <w:tcPr>
            <w:tcW w:w="2789" w:type="dxa"/>
          </w:tcPr>
          <w:p w14:paraId="46952771" w14:textId="77777777" w:rsidR="009E7AB4" w:rsidRPr="00092ED7" w:rsidRDefault="009E7AB4" w:rsidP="009E7AB4">
            <w:pPr>
              <w:spacing w:before="0" w:after="0"/>
              <w:rPr>
                <w:rFonts w:cs="Times New Roman"/>
                <w:sz w:val="20"/>
                <w:lang w:val="sr-Cyrl-CS"/>
              </w:rPr>
            </w:pPr>
          </w:p>
        </w:tc>
        <w:tc>
          <w:tcPr>
            <w:tcW w:w="4198" w:type="dxa"/>
          </w:tcPr>
          <w:p w14:paraId="6316EE6B" w14:textId="14DCFED1" w:rsidR="009E7AB4" w:rsidRPr="00092ED7" w:rsidRDefault="009E7AB4" w:rsidP="009E7AB4">
            <w:pPr>
              <w:spacing w:before="0" w:after="0"/>
              <w:rPr>
                <w:rFonts w:cs="Times New Roman"/>
                <w:sz w:val="20"/>
                <w:lang w:val="sr-Cyrl-CS"/>
              </w:rPr>
            </w:pPr>
            <w:r w:rsidRPr="00092ED7">
              <w:rPr>
                <w:rFonts w:cs="Times New Roman"/>
                <w:sz w:val="20"/>
                <w:lang w:val="sr-Cyrl-CS"/>
              </w:rPr>
              <w:t xml:space="preserve">Реформа подразумева успостављање дигиталне платформе за израду и објављивање  планских  докумената -  e-простор. Укључује различите активности и то: успостављање еПлана, као централног система кроз који се врши продукција планских докумената и </w:t>
            </w:r>
            <w:r w:rsidRPr="00092ED7">
              <w:rPr>
                <w:rFonts w:cs="Times New Roman"/>
                <w:sz w:val="20"/>
                <w:lang w:val="sr-Cyrl-CS"/>
              </w:rPr>
              <w:lastRenderedPageBreak/>
              <w:t xml:space="preserve">правних режима којима се уређује коришћење простора   и   земљишта,   укључујући   и   услове   изградње; оптимизација    планских    докумената    по    врстама    и стандардизацији њихове садржине, методологије и формата у коме се израђују и размењују; успостављање правног оквира и софтверске апликације за спровођење обједињене електронске процедуре за доношење просторних и урбанистичких планова и потврђивање    урбанистичких    пројеката; успостављање софтверске   апликације   за   контролу   квалитета,   односно верификацију усклађености дигиталних података просторних и урбанистичких планова и урбанистичких пројеката са усвојеним техничким   стандардима;   успостављање   Централне   базе планских докумената и урбанистичких пројеката и важећих правних режима ИЈО; унапређење капацитета ЈЛС за обављање послова у области урбанизма успостављањем међуопштинске сарадње;  успостављање  портала  еПростор,  преко  кога  ће обезбедити јавна доступност свих релевантних информација у вези са условима коришћење простора и земљишта у </w:t>
            </w:r>
            <w:r w:rsidR="003B5902" w:rsidRPr="00092ED7">
              <w:rPr>
                <w:rFonts w:cs="Times New Roman"/>
                <w:sz w:val="20"/>
                <w:lang w:val="sr-Cyrl-CS"/>
              </w:rPr>
              <w:t xml:space="preserve">Републици </w:t>
            </w:r>
            <w:r w:rsidRPr="00092ED7">
              <w:rPr>
                <w:rFonts w:cs="Times New Roman"/>
                <w:sz w:val="20"/>
                <w:lang w:val="sr-Cyrl-CS"/>
              </w:rPr>
              <w:t>Србији.</w:t>
            </w:r>
          </w:p>
        </w:tc>
        <w:tc>
          <w:tcPr>
            <w:tcW w:w="4172" w:type="dxa"/>
          </w:tcPr>
          <w:p w14:paraId="01C56CF2" w14:textId="77777777" w:rsidR="009E7AB4" w:rsidRPr="00092ED7" w:rsidRDefault="009E7AB4" w:rsidP="009E7AB4">
            <w:pPr>
              <w:spacing w:before="0" w:after="0"/>
              <w:rPr>
                <w:rFonts w:cs="Times New Roman"/>
                <w:sz w:val="20"/>
                <w:lang w:val="sr-Cyrl-CS"/>
              </w:rPr>
            </w:pPr>
            <w:r w:rsidRPr="00092ED7">
              <w:rPr>
                <w:rFonts w:cs="Times New Roman"/>
                <w:sz w:val="20"/>
                <w:lang w:val="sr-Cyrl-CS"/>
              </w:rPr>
              <w:lastRenderedPageBreak/>
              <w:t>СР је претходно била саставни део ЕРП, али је оцењено да представља редовну активност надлежних институција, те је у овом и претходном циклусу израде ЕРП искључена. Ово свакако не значи да се заустављају реформски процеси у овој области.</w:t>
            </w:r>
          </w:p>
        </w:tc>
      </w:tr>
      <w:tr w:rsidR="009E7AB4" w:rsidRPr="00092ED7" w14:paraId="7A848FF1" w14:textId="77777777" w:rsidTr="009E7AB4">
        <w:tc>
          <w:tcPr>
            <w:tcW w:w="2789" w:type="dxa"/>
          </w:tcPr>
          <w:p w14:paraId="78534040" w14:textId="75ACAAA2" w:rsidR="009E7AB4" w:rsidRPr="00092ED7" w:rsidRDefault="009E7AB4" w:rsidP="009E7AB4">
            <w:pPr>
              <w:spacing w:before="0" w:after="0"/>
              <w:rPr>
                <w:rFonts w:cs="Times New Roman"/>
                <w:sz w:val="20"/>
                <w:lang w:val="sr-Cyrl-CS"/>
              </w:rPr>
            </w:pPr>
            <w:r w:rsidRPr="00092ED7">
              <w:rPr>
                <w:rFonts w:cs="Times New Roman"/>
                <w:sz w:val="20"/>
                <w:lang w:val="sr-Cyrl-CS"/>
              </w:rPr>
              <w:t>Кључни изазов 3: Озелењавање енергетског сектора и потпуно отварање енергетског тржишта, СР 9 Интеграција обновљивих извора електричне енергије кроз пројекат „Беогрид 2025</w:t>
            </w:r>
            <w:r w:rsidR="00D80E02" w:rsidRPr="00092ED7">
              <w:rPr>
                <w:rFonts w:cs="Times New Roman"/>
                <w:sz w:val="20"/>
                <w:szCs w:val="22"/>
                <w:lang w:val="sr-Cyrl-CS"/>
              </w:rPr>
              <w:t>”</w:t>
            </w:r>
            <w:r w:rsidRPr="00092ED7">
              <w:rPr>
                <w:rFonts w:cs="Times New Roman"/>
                <w:sz w:val="20"/>
                <w:lang w:val="sr-Cyrl-CS"/>
              </w:rPr>
              <w:t>, општи коментар.</w:t>
            </w:r>
          </w:p>
        </w:tc>
        <w:tc>
          <w:tcPr>
            <w:tcW w:w="2789" w:type="dxa"/>
          </w:tcPr>
          <w:p w14:paraId="2CD4D4E8" w14:textId="77777777" w:rsidR="009E7AB4" w:rsidRPr="00092ED7" w:rsidRDefault="009E7AB4" w:rsidP="009E7AB4">
            <w:pPr>
              <w:spacing w:before="0" w:after="0"/>
              <w:rPr>
                <w:rFonts w:cs="Times New Roman"/>
                <w:sz w:val="20"/>
                <w:lang w:val="sr-Cyrl-CS"/>
              </w:rPr>
            </w:pPr>
          </w:p>
        </w:tc>
        <w:tc>
          <w:tcPr>
            <w:tcW w:w="4198" w:type="dxa"/>
          </w:tcPr>
          <w:p w14:paraId="7BF89348"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Констатован је недостатак информација о пројекту Беогрид 2025. (нова СР која је укључена у Нацрт ЕРП-а) и као и о томе</w:t>
            </w:r>
          </w:p>
          <w:p w14:paraId="0A372A8B"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да ли је исти од стратешке важности.</w:t>
            </w:r>
          </w:p>
        </w:tc>
        <w:tc>
          <w:tcPr>
            <w:tcW w:w="4172" w:type="dxa"/>
          </w:tcPr>
          <w:p w14:paraId="0167D3DE"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Предлог је усвојен и у складу с тим текст допуњен на одговарајући начин.</w:t>
            </w:r>
          </w:p>
          <w:p w14:paraId="07379610" w14:textId="77777777" w:rsidR="009E7AB4" w:rsidRPr="00092ED7" w:rsidRDefault="009E7AB4" w:rsidP="009E7AB4">
            <w:pPr>
              <w:spacing w:before="0" w:after="0"/>
              <w:rPr>
                <w:rFonts w:cs="Times New Roman"/>
                <w:sz w:val="20"/>
                <w:highlight w:val="yellow"/>
                <w:lang w:val="sr-Cyrl-CS"/>
              </w:rPr>
            </w:pPr>
          </w:p>
        </w:tc>
      </w:tr>
      <w:tr w:rsidR="009E7AB4" w:rsidRPr="00092ED7" w14:paraId="3DD3E929" w14:textId="77777777" w:rsidTr="009E7AB4">
        <w:tc>
          <w:tcPr>
            <w:tcW w:w="2789" w:type="dxa"/>
          </w:tcPr>
          <w:p w14:paraId="4A931BBB" w14:textId="77777777" w:rsidR="009E7AB4" w:rsidRPr="00092ED7" w:rsidRDefault="009E7AB4" w:rsidP="009E7AB4">
            <w:pPr>
              <w:spacing w:before="0" w:after="0"/>
              <w:rPr>
                <w:rFonts w:cs="Times New Roman"/>
                <w:sz w:val="20"/>
                <w:lang w:val="sr-Cyrl-CS"/>
              </w:rPr>
            </w:pPr>
          </w:p>
          <w:p w14:paraId="089BAAE1" w14:textId="77777777" w:rsidR="009E7AB4" w:rsidRPr="00092ED7" w:rsidRDefault="009E7AB4" w:rsidP="009E7AB4">
            <w:pPr>
              <w:spacing w:before="0" w:after="0"/>
              <w:rPr>
                <w:rFonts w:cs="Times New Roman"/>
                <w:sz w:val="20"/>
                <w:lang w:val="sr-Cyrl-CS"/>
              </w:rPr>
            </w:pPr>
          </w:p>
        </w:tc>
        <w:tc>
          <w:tcPr>
            <w:tcW w:w="2789" w:type="dxa"/>
          </w:tcPr>
          <w:p w14:paraId="56F73A53"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Привредна комора Србије, достављено електронским путем 23. децембра 2022.</w:t>
            </w:r>
          </w:p>
        </w:tc>
        <w:tc>
          <w:tcPr>
            <w:tcW w:w="4198" w:type="dxa"/>
          </w:tcPr>
          <w:p w14:paraId="65857205"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 xml:space="preserve">У делу који се односи на усвајање стратешких докумената сматрамо да је и  Нацрт водоничне стратегије, као документ који је замишљен да буде интегрисан у Стратегију енергетике или </w:t>
            </w:r>
            <w:r w:rsidRPr="00092ED7">
              <w:rPr>
                <w:rFonts w:cs="Times New Roman"/>
                <w:sz w:val="20"/>
                <w:lang w:val="sr-Cyrl-CS"/>
              </w:rPr>
              <w:lastRenderedPageBreak/>
              <w:t>буде усвојен као засебна стратегија важан стратешки документ за енергетски сектор, поред Интегрисаног националног енергетског и климатског плана Републике Србије за период до 2030. године са пројекцијама до 2050. године Стратегије развоја енергетике Републике Србије за период до 2040. године са пројекцијама до 2050. године.</w:t>
            </w:r>
          </w:p>
        </w:tc>
        <w:tc>
          <w:tcPr>
            <w:tcW w:w="4172" w:type="dxa"/>
          </w:tcPr>
          <w:p w14:paraId="4B740AEC" w14:textId="77777777" w:rsidR="009E7AB4" w:rsidRPr="00092ED7" w:rsidRDefault="009E7AB4" w:rsidP="009E7AB4">
            <w:pPr>
              <w:spacing w:before="0" w:after="0"/>
              <w:rPr>
                <w:rFonts w:cs="Times New Roman"/>
                <w:sz w:val="20"/>
                <w:lang w:val="sr-Cyrl-CS"/>
              </w:rPr>
            </w:pPr>
            <w:r w:rsidRPr="00092ED7">
              <w:rPr>
                <w:rFonts w:cs="Times New Roman"/>
                <w:sz w:val="20"/>
                <w:lang w:val="sr-Cyrl-CS"/>
              </w:rPr>
              <w:lastRenderedPageBreak/>
              <w:t xml:space="preserve">Предлог се не прихвата уз следеће образложење: Стратегија развоја енергетике треба да дефинише енергетску политику целокупног енергетског сектора и нема </w:t>
            </w:r>
            <w:r w:rsidRPr="00092ED7">
              <w:rPr>
                <w:rFonts w:cs="Times New Roman"/>
                <w:sz w:val="20"/>
                <w:lang w:val="sr-Cyrl-CS"/>
              </w:rPr>
              <w:lastRenderedPageBreak/>
              <w:t>потребе посебно наглашавати улогу водоника и нацрта водоничне стратегије и давати му приоритет у односу на остале области енергетике.</w:t>
            </w:r>
          </w:p>
        </w:tc>
      </w:tr>
      <w:tr w:rsidR="009E7AB4" w:rsidRPr="00092ED7" w14:paraId="3644B2B6" w14:textId="77777777" w:rsidTr="009E7AB4">
        <w:tc>
          <w:tcPr>
            <w:tcW w:w="2789" w:type="dxa"/>
          </w:tcPr>
          <w:p w14:paraId="05A4932E" w14:textId="77777777" w:rsidR="009E7AB4" w:rsidRPr="00092ED7" w:rsidRDefault="009E7AB4" w:rsidP="009E7AB4">
            <w:pPr>
              <w:spacing w:before="0" w:after="0"/>
              <w:rPr>
                <w:rFonts w:cs="Times New Roman"/>
                <w:sz w:val="20"/>
                <w:lang w:val="sr-Cyrl-CS"/>
              </w:rPr>
            </w:pPr>
            <w:r w:rsidRPr="00092ED7">
              <w:rPr>
                <w:rFonts w:cs="Times New Roman"/>
                <w:sz w:val="20"/>
                <w:lang w:val="sr-Cyrl-CS"/>
              </w:rPr>
              <w:lastRenderedPageBreak/>
              <w:t>СР 8: Унапређење услова за повећање енергетске ефикасности кроз стварање услова за примену енергетског означавања и екодизајна, као и кроз подстицаје за унапређење енергетске ефикасности</w:t>
            </w:r>
          </w:p>
        </w:tc>
        <w:tc>
          <w:tcPr>
            <w:tcW w:w="2789" w:type="dxa"/>
          </w:tcPr>
          <w:p w14:paraId="15AEF18D" w14:textId="77777777" w:rsidR="009E7AB4" w:rsidRPr="00092ED7" w:rsidRDefault="009E7AB4" w:rsidP="009E7AB4">
            <w:pPr>
              <w:spacing w:before="0" w:after="0"/>
              <w:rPr>
                <w:rFonts w:cs="Times New Roman"/>
                <w:sz w:val="20"/>
                <w:lang w:val="sr-Cyrl-CS"/>
              </w:rPr>
            </w:pPr>
          </w:p>
        </w:tc>
        <w:tc>
          <w:tcPr>
            <w:tcW w:w="4198" w:type="dxa"/>
          </w:tcPr>
          <w:p w14:paraId="73757DA5"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У тачки 1. Опис структурне реформе</w:t>
            </w:r>
            <w:r w:rsidRPr="00092ED7">
              <w:rPr>
                <w:rFonts w:cs="Times New Roman"/>
                <w:b/>
                <w:sz w:val="20"/>
                <w:lang w:val="sr-Cyrl-CS"/>
              </w:rPr>
              <w:t xml:space="preserve">  </w:t>
            </w:r>
            <w:r w:rsidRPr="00092ED7">
              <w:rPr>
                <w:rFonts w:cs="Times New Roman"/>
                <w:sz w:val="20"/>
                <w:lang w:val="sr-Cyrl-CS"/>
              </w:rPr>
              <w:t>указујемо да је за за ефикасно спровођење и примену техничких прописа који се односе на еко-дизајн и енергетско означавање производа, поред већ поменутог успостављања и развоја капацитета тела за оцењивање усаглашености производа и јачања капацитета надлежних органа тржишног надзора, важно напоменути и потребу информисања и подизања свести код грађана и најшире јавности о кључним користима од ових производа за економију домаћинстава због дужег века трајања, могућности уштеде енергије, и сл.</w:t>
            </w:r>
          </w:p>
        </w:tc>
        <w:tc>
          <w:tcPr>
            <w:tcW w:w="4172" w:type="dxa"/>
          </w:tcPr>
          <w:p w14:paraId="7D621175" w14:textId="77777777" w:rsidR="009E7AB4" w:rsidRPr="00092ED7" w:rsidRDefault="009E7AB4" w:rsidP="009E7AB4">
            <w:pPr>
              <w:spacing w:before="0" w:after="0"/>
              <w:rPr>
                <w:rFonts w:cs="Times New Roman"/>
                <w:sz w:val="20"/>
                <w:highlight w:val="yellow"/>
                <w:lang w:val="sr-Cyrl-CS"/>
              </w:rPr>
            </w:pPr>
            <w:r w:rsidRPr="00092ED7">
              <w:rPr>
                <w:rFonts w:cs="Times New Roman"/>
                <w:sz w:val="20"/>
                <w:lang w:val="sr-Cyrl-CS"/>
              </w:rPr>
              <w:t xml:space="preserve">Предлог је усвојен и текст описа СР је у складу са тим допуњен. </w:t>
            </w:r>
          </w:p>
        </w:tc>
      </w:tr>
      <w:tr w:rsidR="009E7AB4" w:rsidRPr="00092ED7" w14:paraId="3D157CAF" w14:textId="77777777" w:rsidTr="009E7AB4">
        <w:tc>
          <w:tcPr>
            <w:tcW w:w="2789" w:type="dxa"/>
          </w:tcPr>
          <w:p w14:paraId="0488B7AD" w14:textId="77777777" w:rsidR="009E7AB4" w:rsidRPr="00092ED7" w:rsidRDefault="009E7AB4" w:rsidP="009E7AB4">
            <w:pPr>
              <w:spacing w:before="0" w:after="0"/>
              <w:rPr>
                <w:rFonts w:cs="Times New Roman"/>
                <w:sz w:val="20"/>
                <w:lang w:val="sr-Cyrl-CS"/>
              </w:rPr>
            </w:pPr>
          </w:p>
        </w:tc>
        <w:tc>
          <w:tcPr>
            <w:tcW w:w="2789" w:type="dxa"/>
          </w:tcPr>
          <w:p w14:paraId="0BFB2D3C" w14:textId="77777777" w:rsidR="009E7AB4" w:rsidRPr="00092ED7" w:rsidRDefault="009E7AB4" w:rsidP="009E7AB4">
            <w:pPr>
              <w:spacing w:before="0" w:after="0"/>
              <w:rPr>
                <w:rFonts w:cs="Times New Roman"/>
                <w:sz w:val="20"/>
                <w:lang w:val="sr-Cyrl-CS"/>
              </w:rPr>
            </w:pPr>
          </w:p>
        </w:tc>
        <w:tc>
          <w:tcPr>
            <w:tcW w:w="4198" w:type="dxa"/>
          </w:tcPr>
          <w:p w14:paraId="3E0311EA"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У тачки 8. Потенцијални ризици</w:t>
            </w:r>
            <w:r w:rsidRPr="00092ED7">
              <w:rPr>
                <w:rFonts w:cs="Times New Roman"/>
                <w:b/>
                <w:sz w:val="20"/>
                <w:lang w:val="sr-Cyrl-CS"/>
              </w:rPr>
              <w:t xml:space="preserve"> </w:t>
            </w:r>
            <w:r w:rsidRPr="00092ED7">
              <w:rPr>
                <w:rFonts w:cs="Times New Roman"/>
                <w:sz w:val="20"/>
                <w:lang w:val="sr-Cyrl-CS"/>
              </w:rPr>
              <w:t>поред</w:t>
            </w:r>
            <w:r w:rsidRPr="00092ED7">
              <w:rPr>
                <w:rFonts w:cs="Times New Roman"/>
                <w:b/>
                <w:sz w:val="20"/>
                <w:lang w:val="sr-Cyrl-CS"/>
              </w:rPr>
              <w:t xml:space="preserve"> </w:t>
            </w:r>
            <w:r w:rsidRPr="00092ED7">
              <w:rPr>
                <w:rFonts w:cs="Times New Roman"/>
                <w:sz w:val="20"/>
                <w:lang w:val="sr-Cyrl-CS"/>
              </w:rPr>
              <w:t>наведених ризика који се односе на недовољна финансијска средства у буџету и недовољне капацитете за оцену усаглашености са захтевима енергетског означавања и екодизајна, сугеришемо да се у потенцијалне ризике додају и недовољни капацитети тржишног надзора.</w:t>
            </w:r>
          </w:p>
        </w:tc>
        <w:tc>
          <w:tcPr>
            <w:tcW w:w="4172" w:type="dxa"/>
          </w:tcPr>
          <w:p w14:paraId="16D323EA" w14:textId="77777777" w:rsidR="009E7AB4" w:rsidRPr="00092ED7" w:rsidRDefault="009E7AB4" w:rsidP="009E7AB4">
            <w:pPr>
              <w:spacing w:before="0" w:after="0"/>
              <w:rPr>
                <w:rFonts w:cs="Times New Roman"/>
                <w:sz w:val="20"/>
                <w:highlight w:val="yellow"/>
                <w:lang w:val="sr-Cyrl-CS"/>
              </w:rPr>
            </w:pPr>
            <w:r w:rsidRPr="00092ED7">
              <w:rPr>
                <w:rFonts w:cs="Times New Roman"/>
                <w:sz w:val="20"/>
                <w:lang w:val="sr-Cyrl-CS"/>
              </w:rPr>
              <w:t>Предлог је усвојен и текст документа је у складу са тим допуњен.</w:t>
            </w:r>
          </w:p>
        </w:tc>
      </w:tr>
      <w:tr w:rsidR="009E7AB4" w:rsidRPr="00092ED7" w14:paraId="0312C7FD" w14:textId="77777777" w:rsidTr="009E7AB4">
        <w:tc>
          <w:tcPr>
            <w:tcW w:w="2789" w:type="dxa"/>
          </w:tcPr>
          <w:p w14:paraId="7C5D13A5" w14:textId="77777777" w:rsidR="009E7AB4" w:rsidRPr="00092ED7" w:rsidRDefault="009E7AB4" w:rsidP="009E7AB4">
            <w:pPr>
              <w:spacing w:before="0" w:after="0"/>
              <w:rPr>
                <w:rFonts w:cs="Times New Roman"/>
                <w:sz w:val="20"/>
                <w:lang w:val="sr-Cyrl-CS"/>
              </w:rPr>
            </w:pPr>
            <w:bookmarkStart w:id="131" w:name="_Toc121414889"/>
            <w:r w:rsidRPr="00092ED7">
              <w:rPr>
                <w:rFonts w:cs="Times New Roman"/>
                <w:sz w:val="20"/>
                <w:lang w:val="sr-Cyrl-CS"/>
              </w:rPr>
              <w:t>5.2.2. Област зелена транзиција</w:t>
            </w:r>
            <w:bookmarkEnd w:id="131"/>
          </w:p>
          <w:p w14:paraId="19C7AB7D" w14:textId="77777777" w:rsidR="009E7AB4" w:rsidRPr="00092ED7" w:rsidRDefault="009E7AB4" w:rsidP="009E7AB4">
            <w:pPr>
              <w:spacing w:before="0" w:after="0"/>
              <w:rPr>
                <w:rFonts w:cs="Times New Roman"/>
                <w:sz w:val="20"/>
                <w:lang w:val="sr-Cyrl-CS"/>
              </w:rPr>
            </w:pPr>
          </w:p>
        </w:tc>
        <w:tc>
          <w:tcPr>
            <w:tcW w:w="2789" w:type="dxa"/>
          </w:tcPr>
          <w:p w14:paraId="1C0A8858"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Међусекторска радна</w:t>
            </w:r>
          </w:p>
          <w:p w14:paraId="5B1D58B5"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групa за ЕРП Националног конвента о ЕУ, достављено електронским путем 26. децембрa 2022.</w:t>
            </w:r>
          </w:p>
        </w:tc>
        <w:tc>
          <w:tcPr>
            <w:tcW w:w="4198" w:type="dxa"/>
          </w:tcPr>
          <w:p w14:paraId="0FE0EF33"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Сматрамо да овој области треба да буде посвећено више од само једне структурне реформе. Зелене јавне набавке нису нашле своје место у документу.</w:t>
            </w:r>
          </w:p>
          <w:p w14:paraId="43452A07" w14:textId="77777777" w:rsidR="009E7AB4" w:rsidRPr="00092ED7" w:rsidRDefault="009E7AB4" w:rsidP="009E7AB4">
            <w:pPr>
              <w:spacing w:before="0" w:after="0"/>
              <w:rPr>
                <w:rFonts w:cs="Times New Roman"/>
                <w:sz w:val="20"/>
                <w:lang w:val="sr-Cyrl-CS"/>
              </w:rPr>
            </w:pPr>
          </w:p>
        </w:tc>
        <w:tc>
          <w:tcPr>
            <w:tcW w:w="4172" w:type="dxa"/>
          </w:tcPr>
          <w:p w14:paraId="4F6A38B7"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 xml:space="preserve">Иако СР 8, СР 9, СР 19 и СР 20, које се односе на зелена питања нису приказане у области: Зелена транзиција, ова тема је хоризантално присутна у ЕРП, као и област дигитализације. </w:t>
            </w:r>
          </w:p>
          <w:p w14:paraId="390EAD15"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 xml:space="preserve">Област зелених јавних набаки је обухваћена планским документима који се односе на циркуларну економију и јавне набавке, и тема је која ће бити укључена и у ревизију ПРУЈФ. Предлог је усвојен, тако што је у СР 12 која се </w:t>
            </w:r>
            <w:r w:rsidRPr="00092ED7">
              <w:rPr>
                <w:rFonts w:cs="Times New Roman"/>
                <w:sz w:val="20"/>
                <w:lang w:val="sr-Cyrl-CS"/>
              </w:rPr>
              <w:lastRenderedPageBreak/>
              <w:t>односи на циркуларну економију додата активност у области зелених јавних набавки.</w:t>
            </w:r>
          </w:p>
        </w:tc>
      </w:tr>
      <w:tr w:rsidR="009E7AB4" w:rsidRPr="00092ED7" w14:paraId="26010886" w14:textId="77777777" w:rsidTr="009E7AB4">
        <w:tc>
          <w:tcPr>
            <w:tcW w:w="2789" w:type="dxa"/>
          </w:tcPr>
          <w:p w14:paraId="028EE1B9" w14:textId="77777777" w:rsidR="009E7AB4" w:rsidRPr="00092ED7" w:rsidRDefault="009E7AB4" w:rsidP="009E7AB4">
            <w:pPr>
              <w:spacing w:before="0" w:after="0"/>
              <w:rPr>
                <w:rFonts w:cs="Times New Roman"/>
                <w:sz w:val="20"/>
                <w:lang w:val="sr-Cyrl-CS"/>
              </w:rPr>
            </w:pPr>
          </w:p>
        </w:tc>
        <w:tc>
          <w:tcPr>
            <w:tcW w:w="2789" w:type="dxa"/>
          </w:tcPr>
          <w:p w14:paraId="3E761B26" w14:textId="77777777" w:rsidR="009E7AB4" w:rsidRPr="00092ED7" w:rsidRDefault="009E7AB4" w:rsidP="009E7AB4">
            <w:pPr>
              <w:spacing w:before="0" w:after="0"/>
              <w:rPr>
                <w:rFonts w:cs="Times New Roman"/>
                <w:sz w:val="20"/>
                <w:lang w:val="sr-Cyrl-CS"/>
              </w:rPr>
            </w:pPr>
          </w:p>
        </w:tc>
        <w:tc>
          <w:tcPr>
            <w:tcW w:w="4198" w:type="dxa"/>
          </w:tcPr>
          <w:p w14:paraId="53FC6055"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Зелени фонд се не налази међу структурним реформама. Који су разлози за то као и тренутни статус тог фонда?</w:t>
            </w:r>
          </w:p>
        </w:tc>
        <w:tc>
          <w:tcPr>
            <w:tcW w:w="4172" w:type="dxa"/>
          </w:tcPr>
          <w:p w14:paraId="140885C8" w14:textId="77777777" w:rsidR="009E7AB4" w:rsidRPr="00092ED7" w:rsidRDefault="00372E4D" w:rsidP="00081E0F">
            <w:pPr>
              <w:rPr>
                <w:sz w:val="20"/>
                <w:lang w:val="sr-Cyrl-CS"/>
              </w:rPr>
            </w:pPr>
            <w:r w:rsidRPr="00092ED7">
              <w:rPr>
                <w:sz w:val="20"/>
                <w:lang w:val="sr-Cyrl-CS" w:eastAsia="en-GB"/>
              </w:rPr>
              <w:t>Чланом 64 Закона о буџетском систему („Службени гласник РС”, бр. 54/09, 73/10, 101/10, 101/11, 93/12, 62/13, 63/13-</w:t>
            </w:r>
            <w:r w:rsidR="00081E0F" w:rsidRPr="00092ED7">
              <w:rPr>
                <w:sz w:val="20"/>
                <w:lang w:val="sr-Cyrl-CS" w:eastAsia="en-GB"/>
              </w:rPr>
              <w:t xml:space="preserve"> </w:t>
            </w:r>
            <w:r w:rsidRPr="00092ED7">
              <w:rPr>
                <w:sz w:val="20"/>
                <w:lang w:val="sr-Cyrl-CS" w:eastAsia="en-GB"/>
              </w:rPr>
              <w:t>исправка, 108/13, 142/14, 68/15-др. закон, 103/15, 99/16, 113/17, 95/18, 31/19, 72/19, 149/20, 118/21, 118/21</w:t>
            </w:r>
            <w:r w:rsidR="00081E0F" w:rsidRPr="00092ED7">
              <w:rPr>
                <w:sz w:val="20"/>
                <w:lang w:val="sr-Cyrl-CS" w:eastAsia="en-GB"/>
              </w:rPr>
              <w:t xml:space="preserve"> </w:t>
            </w:r>
            <w:r w:rsidRPr="00092ED7">
              <w:rPr>
                <w:sz w:val="20"/>
                <w:lang w:val="sr-Cyrl-CS" w:eastAsia="en-GB"/>
              </w:rPr>
              <w:t>-</w:t>
            </w:r>
            <w:r w:rsidR="00081E0F" w:rsidRPr="00092ED7">
              <w:rPr>
                <w:sz w:val="20"/>
                <w:lang w:val="sr-Cyrl-CS" w:eastAsia="en-GB"/>
              </w:rPr>
              <w:t xml:space="preserve"> </w:t>
            </w:r>
            <w:r w:rsidRPr="00092ED7">
              <w:rPr>
                <w:sz w:val="20"/>
                <w:lang w:val="sr-Cyrl-CS" w:eastAsia="en-GB"/>
              </w:rPr>
              <w:t xml:space="preserve">др. закон </w:t>
            </w:r>
            <w:r w:rsidR="00081E0F" w:rsidRPr="00092ED7">
              <w:rPr>
                <w:sz w:val="20"/>
                <w:lang w:val="sr-Cyrl-CS" w:eastAsia="en-GB"/>
              </w:rPr>
              <w:t>и</w:t>
            </w:r>
            <w:r w:rsidRPr="00092ED7">
              <w:rPr>
                <w:sz w:val="20"/>
                <w:lang w:val="sr-Cyrl-CS" w:eastAsia="en-GB"/>
              </w:rPr>
              <w:t xml:space="preserve"> 138/22)</w:t>
            </w:r>
            <w:r w:rsidRPr="00092ED7">
              <w:rPr>
                <w:sz w:val="20"/>
                <w:lang w:val="sr-Cyrl-CS"/>
              </w:rPr>
              <w:t xml:space="preserve"> п</w:t>
            </w:r>
            <w:r w:rsidRPr="00092ED7">
              <w:rPr>
                <w:sz w:val="20"/>
                <w:lang w:val="sr-Cyrl-CS" w:eastAsia="en-GB"/>
              </w:rPr>
              <w:t>редвиђена је промена начина исказивања фондова због непостојања правног субјективитета (фондови су приказани као евиденциони рачуни у оквиру главне књиге трезора). Наиме, од Закона о буџету за 2021. годину фондови се исказују као програмске активности</w:t>
            </w:r>
            <w:r w:rsidR="00081E0F" w:rsidRPr="00092ED7">
              <w:rPr>
                <w:sz w:val="20"/>
                <w:lang w:val="sr-Cyrl-CS" w:eastAsia="en-GB"/>
              </w:rPr>
              <w:t>.</w:t>
            </w:r>
            <w:r w:rsidR="009E7AB4" w:rsidRPr="00092ED7">
              <w:rPr>
                <w:rFonts w:cs="Times New Roman"/>
                <w:sz w:val="20"/>
                <w:lang w:val="sr-Cyrl-CS"/>
              </w:rPr>
              <w:t xml:space="preserve"> У области животне средине повећавају се из године у годину расположива буџетска средства.</w:t>
            </w:r>
          </w:p>
        </w:tc>
      </w:tr>
      <w:tr w:rsidR="009E7AB4" w:rsidRPr="00092ED7" w14:paraId="71FEFF42" w14:textId="77777777" w:rsidTr="009E7AB4">
        <w:tc>
          <w:tcPr>
            <w:tcW w:w="2789" w:type="dxa"/>
          </w:tcPr>
          <w:p w14:paraId="10B0BF5E" w14:textId="77777777" w:rsidR="009E7AB4" w:rsidRPr="00092ED7" w:rsidRDefault="009E7AB4" w:rsidP="009E7AB4">
            <w:pPr>
              <w:spacing w:before="0" w:after="0"/>
              <w:rPr>
                <w:rFonts w:cs="Times New Roman"/>
                <w:sz w:val="20"/>
                <w:lang w:val="sr-Cyrl-CS"/>
              </w:rPr>
            </w:pPr>
          </w:p>
        </w:tc>
        <w:tc>
          <w:tcPr>
            <w:tcW w:w="2789" w:type="dxa"/>
          </w:tcPr>
          <w:p w14:paraId="67AA45F3"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Привредна комора Србије, достављено електронским путем 23. децембра 2022.</w:t>
            </w:r>
          </w:p>
        </w:tc>
        <w:tc>
          <w:tcPr>
            <w:tcW w:w="4198" w:type="dxa"/>
          </w:tcPr>
          <w:p w14:paraId="0A4A5C17"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 xml:space="preserve">У делу који се односи на унапређење управљања отпадом и уклањање дивљих депонија кључних за очување животне средине и  успостављање примарне сепарације комуналног отпада у четири региона: Дубоко, Срем-Мачва, Панчево и Пирот, предлажемо да се </w:t>
            </w:r>
            <w:r w:rsidRPr="00092ED7">
              <w:rPr>
                <w:rFonts w:cs="Times New Roman"/>
                <w:i/>
                <w:sz w:val="20"/>
                <w:lang w:val="sr-Cyrl-CS"/>
              </w:rPr>
              <w:t>повећање рециклаже</w:t>
            </w:r>
            <w:r w:rsidRPr="00092ED7">
              <w:rPr>
                <w:rFonts w:cs="Times New Roman"/>
                <w:sz w:val="20"/>
                <w:lang w:val="sr-Cyrl-CS"/>
              </w:rPr>
              <w:t xml:space="preserve"> преформулише у </w:t>
            </w:r>
            <w:r w:rsidRPr="00092ED7">
              <w:rPr>
                <w:rFonts w:cs="Times New Roman"/>
                <w:i/>
                <w:sz w:val="20"/>
                <w:lang w:val="sr-Cyrl-CS"/>
              </w:rPr>
              <w:t>повећање стопе рециклаже</w:t>
            </w:r>
            <w:r w:rsidRPr="00092ED7">
              <w:rPr>
                <w:rFonts w:cs="Times New Roman"/>
                <w:sz w:val="20"/>
                <w:lang w:val="sr-Cyrl-CS"/>
              </w:rPr>
              <w:t xml:space="preserve"> или </w:t>
            </w:r>
            <w:r w:rsidRPr="00092ED7">
              <w:rPr>
                <w:rFonts w:cs="Times New Roman"/>
                <w:i/>
                <w:sz w:val="20"/>
                <w:lang w:val="sr-Cyrl-CS"/>
              </w:rPr>
              <w:t>процентално повећање рециклирања</w:t>
            </w:r>
            <w:r w:rsidRPr="00092ED7">
              <w:rPr>
                <w:rFonts w:cs="Times New Roman"/>
                <w:sz w:val="20"/>
                <w:lang w:val="sr-Cyrl-CS"/>
              </w:rPr>
              <w:t>.</w:t>
            </w:r>
          </w:p>
        </w:tc>
        <w:tc>
          <w:tcPr>
            <w:tcW w:w="4172" w:type="dxa"/>
          </w:tcPr>
          <w:p w14:paraId="61BB858B"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 xml:space="preserve">Предлог је прихваћен и текст је у складу са тим преформулисан. </w:t>
            </w:r>
          </w:p>
        </w:tc>
      </w:tr>
      <w:tr w:rsidR="009E7AB4" w:rsidRPr="00092ED7" w14:paraId="52FD3F71" w14:textId="77777777" w:rsidTr="009E7AB4">
        <w:tc>
          <w:tcPr>
            <w:tcW w:w="2789" w:type="dxa"/>
          </w:tcPr>
          <w:p w14:paraId="5E93780B" w14:textId="77777777" w:rsidR="009E7AB4" w:rsidRPr="00092ED7" w:rsidRDefault="009E7AB4" w:rsidP="009E7AB4">
            <w:pPr>
              <w:spacing w:before="0" w:after="0"/>
              <w:rPr>
                <w:rFonts w:cs="Times New Roman"/>
                <w:sz w:val="20"/>
                <w:lang w:val="sr-Cyrl-CS"/>
              </w:rPr>
            </w:pPr>
          </w:p>
        </w:tc>
        <w:tc>
          <w:tcPr>
            <w:tcW w:w="2789" w:type="dxa"/>
          </w:tcPr>
          <w:p w14:paraId="5A711B95" w14:textId="77777777" w:rsidR="009E7AB4" w:rsidRPr="00092ED7" w:rsidRDefault="009E7AB4" w:rsidP="009E7AB4">
            <w:pPr>
              <w:spacing w:before="0" w:after="0"/>
              <w:rPr>
                <w:rFonts w:cs="Times New Roman"/>
                <w:sz w:val="20"/>
                <w:lang w:val="sr-Cyrl-CS"/>
              </w:rPr>
            </w:pPr>
          </w:p>
        </w:tc>
        <w:tc>
          <w:tcPr>
            <w:tcW w:w="4198" w:type="dxa"/>
          </w:tcPr>
          <w:p w14:paraId="403BF7F3"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 xml:space="preserve">У делу где се наводи да процес зелене трансформације захтева додатна улагања, како за државни, тако и за привредни сектор сугеришемо да oстварени приходи од накнада у области животне средине буду наведени у милионима динара, а не у милијардама евра. Према подацима Републичког завода за статистику, укупни приходи од накнада у области животне средине по врстама институционалних јединица које плаћају </w:t>
            </w:r>
            <w:r w:rsidRPr="00092ED7">
              <w:rPr>
                <w:rFonts w:cs="Times New Roman"/>
                <w:sz w:val="20"/>
                <w:lang w:val="sr-Cyrl-CS"/>
              </w:rPr>
              <w:lastRenderedPageBreak/>
              <w:t xml:space="preserve">накнаде, 2020. су износили 217.891 милиона динара.     </w:t>
            </w:r>
          </w:p>
          <w:p w14:paraId="57A3F06E"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Предлажемо да  се за навођење укупних трошкова за заштиту животне средине користе јавно доступни подаци Републичког завода за статитику Србије из 2021. године, а не подаци из 2020. године. Укупни трошкови за заштиту животне средине у 2021. години износили су 61.760,6 милиона динара, што је за 32,3% више него претходне године. У структури укупних трошкова за заштиту животне средине учешће инвестиција за заштиту животне средине износило је 55,4%, док су текући издаци имали учешће од 44,6%.</w:t>
            </w:r>
          </w:p>
          <w:p w14:paraId="474B8CEB"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Инвестиције за заштиту животне средине у 2021. години износиле су 34.208,6 милиона динара, што је 15.738 милиона више него у претходној години.</w:t>
            </w:r>
          </w:p>
        </w:tc>
        <w:tc>
          <w:tcPr>
            <w:tcW w:w="4172" w:type="dxa"/>
          </w:tcPr>
          <w:p w14:paraId="3869EEDC" w14:textId="77777777" w:rsidR="009E7AB4" w:rsidRPr="00092ED7" w:rsidRDefault="009E7AB4" w:rsidP="009E7AB4">
            <w:pPr>
              <w:spacing w:before="0" w:after="0"/>
              <w:rPr>
                <w:rFonts w:cs="Times New Roman"/>
                <w:sz w:val="20"/>
                <w:lang w:val="sr-Cyrl-CS"/>
              </w:rPr>
            </w:pPr>
            <w:r w:rsidRPr="00092ED7">
              <w:rPr>
                <w:rFonts w:cs="Times New Roman"/>
                <w:sz w:val="20"/>
                <w:lang w:val="sr-Cyrl-CS"/>
              </w:rPr>
              <w:lastRenderedPageBreak/>
              <w:t>Предлог је прихваћен и подаци у документу су у складу са тим усклађени.</w:t>
            </w:r>
          </w:p>
        </w:tc>
      </w:tr>
      <w:tr w:rsidR="009E7AB4" w:rsidRPr="00092ED7" w14:paraId="629042F0" w14:textId="77777777" w:rsidTr="009E7AB4">
        <w:tc>
          <w:tcPr>
            <w:tcW w:w="2789" w:type="dxa"/>
          </w:tcPr>
          <w:p w14:paraId="5877C3DE"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СР 12: Примена циркуларне економије у стварању повољног окружења за зелену транзицију</w:t>
            </w:r>
          </w:p>
          <w:p w14:paraId="05A1F21F" w14:textId="77777777" w:rsidR="009E7AB4" w:rsidRPr="00092ED7" w:rsidRDefault="009E7AB4" w:rsidP="009E7AB4">
            <w:pPr>
              <w:spacing w:before="0" w:after="0"/>
              <w:rPr>
                <w:rFonts w:cs="Times New Roman"/>
                <w:sz w:val="20"/>
                <w:lang w:val="sr-Cyrl-CS"/>
              </w:rPr>
            </w:pPr>
          </w:p>
        </w:tc>
        <w:tc>
          <w:tcPr>
            <w:tcW w:w="2789" w:type="dxa"/>
          </w:tcPr>
          <w:p w14:paraId="30D233E7"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Међусекторска радна</w:t>
            </w:r>
          </w:p>
          <w:p w14:paraId="0B1DF7F1"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групa за ЕРП Националног конвента о ЕУ, достављено електронским путем 26. децембрa 2022.</w:t>
            </w:r>
          </w:p>
        </w:tc>
        <w:tc>
          <w:tcPr>
            <w:tcW w:w="4198" w:type="dxa"/>
          </w:tcPr>
          <w:p w14:paraId="17BD95EB"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Активности су доста уопштене. Прва активност се односи на подршку привредним субјектима у транзицији на моделе пословања засноване на принципима циркуларне економије, али се не прецизира шта та подршка тачно значи - финансијску или нефинансијку. Ако је финансијска, да ли су у питању грантови (субвенције) или кредити? Ако је нефинансијска - да ли су у питању информације, обука, подизање свести, саветодавне услуге? Или је комбинација ове две подршке?</w:t>
            </w:r>
          </w:p>
        </w:tc>
        <w:tc>
          <w:tcPr>
            <w:tcW w:w="4172" w:type="dxa"/>
          </w:tcPr>
          <w:p w14:paraId="5F2D2924" w14:textId="77777777" w:rsidR="009E7AB4" w:rsidRPr="00092ED7" w:rsidRDefault="009E7AB4" w:rsidP="009E7AB4">
            <w:pPr>
              <w:spacing w:before="0" w:after="0"/>
              <w:rPr>
                <w:rFonts w:cs="Times New Roman"/>
                <w:bCs/>
                <w:sz w:val="20"/>
                <w:lang w:val="sr-Cyrl-CS"/>
              </w:rPr>
            </w:pPr>
            <w:r w:rsidRPr="00092ED7">
              <w:rPr>
                <w:rFonts w:cs="Times New Roman"/>
                <w:bCs/>
                <w:sz w:val="20"/>
                <w:lang w:val="sr-Cyrl-CS"/>
              </w:rPr>
              <w:t>Подршка се односи на експертску помоћ у изради бизнис планова у циљу унапређења пословања и повећању конкурентности. Није директна финансијска помоћ, али јесте индиректна јер ће преласком на циркуалрни модел пословања компаније рационалније трошити ресурсе и енергију чиме се може остварити финасијска корист. Предлог је прихваћен и текст СР је допуњен.</w:t>
            </w:r>
          </w:p>
        </w:tc>
      </w:tr>
      <w:tr w:rsidR="009E7AB4" w:rsidRPr="00092ED7" w14:paraId="2147FCD5" w14:textId="77777777" w:rsidTr="009E7AB4">
        <w:tc>
          <w:tcPr>
            <w:tcW w:w="2789" w:type="dxa"/>
          </w:tcPr>
          <w:p w14:paraId="5364CA80" w14:textId="77777777" w:rsidR="009E7AB4" w:rsidRPr="00092ED7" w:rsidRDefault="009E7AB4" w:rsidP="009E7AB4">
            <w:pPr>
              <w:spacing w:before="0" w:after="0"/>
              <w:rPr>
                <w:rFonts w:cs="Times New Roman"/>
                <w:sz w:val="20"/>
                <w:lang w:val="sr-Cyrl-CS"/>
              </w:rPr>
            </w:pPr>
          </w:p>
        </w:tc>
        <w:tc>
          <w:tcPr>
            <w:tcW w:w="2789" w:type="dxa"/>
          </w:tcPr>
          <w:p w14:paraId="5CB97E1E"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Привредна комора Србије, достављено електронским путем 23. децембра 2022.</w:t>
            </w:r>
          </w:p>
        </w:tc>
        <w:tc>
          <w:tcPr>
            <w:tcW w:w="4198" w:type="dxa"/>
          </w:tcPr>
          <w:p w14:paraId="53283B22" w14:textId="7C1B090D" w:rsidR="009E7AB4" w:rsidRPr="00092ED7" w:rsidRDefault="009E7AB4" w:rsidP="009E7AB4">
            <w:pPr>
              <w:spacing w:before="0" w:after="0"/>
              <w:rPr>
                <w:rFonts w:cs="Times New Roman"/>
                <w:sz w:val="20"/>
                <w:lang w:val="sr-Cyrl-CS"/>
              </w:rPr>
            </w:pPr>
            <w:r w:rsidRPr="00092ED7">
              <w:rPr>
                <w:rFonts w:cs="Times New Roman"/>
                <w:sz w:val="20"/>
                <w:lang w:val="sr-Cyrl-CS"/>
              </w:rPr>
              <w:t xml:space="preserve">У тачки 7. </w:t>
            </w:r>
            <w:r w:rsidRPr="00092ED7">
              <w:rPr>
                <w:rFonts w:cs="Times New Roman"/>
                <w:bCs/>
                <w:sz w:val="20"/>
                <w:lang w:val="sr-Cyrl-CS"/>
              </w:rPr>
              <w:t xml:space="preserve">Очекивани утицај на животну средину и климатске промене </w:t>
            </w:r>
            <w:r w:rsidRPr="00092ED7">
              <w:rPr>
                <w:rFonts w:cs="Times New Roman"/>
                <w:sz w:val="20"/>
                <w:lang w:val="sr-Cyrl-CS"/>
              </w:rPr>
              <w:t>сматрамо да у реченици „Циркуларна економија има важну улогу у развоју конкурентне економије која штеди ресурсе и утиче на смањење свих врста загађења, а посебно на смањење емисија са ефектом стаклене баште, што даље утиче на нискоугљенични развој, којем се тежи на глобалном нивоу</w:t>
            </w:r>
            <w:r w:rsidR="00EE48E7" w:rsidRPr="00092ED7">
              <w:rPr>
                <w:rFonts w:cs="Times New Roman"/>
                <w:sz w:val="20"/>
                <w:lang w:val="sr-Cyrl-CS"/>
              </w:rPr>
              <w:t>”</w:t>
            </w:r>
            <w:r w:rsidRPr="00092ED7">
              <w:rPr>
                <w:rFonts w:cs="Times New Roman"/>
                <w:sz w:val="20"/>
                <w:lang w:val="sr-Cyrl-CS"/>
              </w:rPr>
              <w:t xml:space="preserve">, треба преформулисати </w:t>
            </w:r>
            <w:r w:rsidRPr="00092ED7">
              <w:rPr>
                <w:rFonts w:cs="Times New Roman"/>
                <w:i/>
                <w:sz w:val="20"/>
                <w:lang w:val="sr-Cyrl-CS"/>
              </w:rPr>
              <w:lastRenderedPageBreak/>
              <w:t>смањење емисија са ефектом стаклене баште</w:t>
            </w:r>
            <w:r w:rsidRPr="00092ED7">
              <w:rPr>
                <w:rFonts w:cs="Times New Roman"/>
                <w:sz w:val="20"/>
                <w:lang w:val="sr-Cyrl-CS"/>
              </w:rPr>
              <w:t xml:space="preserve"> у </w:t>
            </w:r>
            <w:r w:rsidRPr="00092ED7">
              <w:rPr>
                <w:rFonts w:cs="Times New Roman"/>
                <w:i/>
                <w:sz w:val="20"/>
                <w:lang w:val="sr-Cyrl-CS"/>
              </w:rPr>
              <w:t xml:space="preserve">смањење емисија </w:t>
            </w:r>
            <w:r w:rsidRPr="00092ED7">
              <w:rPr>
                <w:rFonts w:cs="Times New Roman"/>
                <w:i/>
                <w:sz w:val="20"/>
                <w:u w:val="single"/>
                <w:lang w:val="sr-Cyrl-CS"/>
              </w:rPr>
              <w:t>гасова</w:t>
            </w:r>
            <w:r w:rsidRPr="00092ED7">
              <w:rPr>
                <w:rFonts w:cs="Times New Roman"/>
                <w:i/>
                <w:sz w:val="20"/>
                <w:lang w:val="sr-Cyrl-CS"/>
              </w:rPr>
              <w:t xml:space="preserve"> са ефектом стаклене баште</w:t>
            </w:r>
            <w:r w:rsidRPr="00092ED7">
              <w:rPr>
                <w:rFonts w:cs="Times New Roman"/>
                <w:sz w:val="20"/>
                <w:lang w:val="sr-Cyrl-CS"/>
              </w:rPr>
              <w:t>.</w:t>
            </w:r>
          </w:p>
        </w:tc>
        <w:tc>
          <w:tcPr>
            <w:tcW w:w="4172" w:type="dxa"/>
          </w:tcPr>
          <w:p w14:paraId="49717951" w14:textId="77777777" w:rsidR="009E7AB4" w:rsidRPr="00092ED7" w:rsidRDefault="009E7AB4" w:rsidP="009E7AB4">
            <w:pPr>
              <w:spacing w:before="0" w:after="0"/>
              <w:rPr>
                <w:rFonts w:cs="Times New Roman"/>
                <w:bCs/>
                <w:sz w:val="20"/>
                <w:lang w:val="sr-Cyrl-CS"/>
              </w:rPr>
            </w:pPr>
            <w:r w:rsidRPr="00092ED7">
              <w:rPr>
                <w:rFonts w:cs="Times New Roman"/>
                <w:bCs/>
                <w:sz w:val="20"/>
                <w:lang w:val="sr-Cyrl-CS"/>
              </w:rPr>
              <w:lastRenderedPageBreak/>
              <w:t xml:space="preserve">Предлог је прихваћен и текст је адекватно измењен. </w:t>
            </w:r>
          </w:p>
        </w:tc>
      </w:tr>
      <w:tr w:rsidR="009E7AB4" w:rsidRPr="00092ED7" w14:paraId="516C07C4" w14:textId="77777777" w:rsidTr="009E7AB4">
        <w:tc>
          <w:tcPr>
            <w:tcW w:w="2789" w:type="dxa"/>
          </w:tcPr>
          <w:p w14:paraId="61BB3A23" w14:textId="77777777" w:rsidR="009E7AB4" w:rsidRPr="00092ED7" w:rsidRDefault="009E7AB4" w:rsidP="009E7AB4">
            <w:pPr>
              <w:spacing w:before="0" w:after="0"/>
              <w:rPr>
                <w:rFonts w:cs="Times New Roman"/>
                <w:sz w:val="20"/>
                <w:lang w:val="sr-Cyrl-CS"/>
              </w:rPr>
            </w:pPr>
          </w:p>
        </w:tc>
        <w:tc>
          <w:tcPr>
            <w:tcW w:w="2789" w:type="dxa"/>
          </w:tcPr>
          <w:p w14:paraId="66B24AD9" w14:textId="77777777" w:rsidR="009E7AB4" w:rsidRPr="00092ED7" w:rsidRDefault="009E7AB4" w:rsidP="009E7AB4">
            <w:pPr>
              <w:spacing w:before="0" w:after="0"/>
              <w:rPr>
                <w:rFonts w:cs="Times New Roman"/>
                <w:sz w:val="20"/>
                <w:lang w:val="sr-Cyrl-CS"/>
              </w:rPr>
            </w:pPr>
          </w:p>
        </w:tc>
        <w:tc>
          <w:tcPr>
            <w:tcW w:w="4198" w:type="dxa"/>
          </w:tcPr>
          <w:p w14:paraId="60EE4384"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Указујемо да би у тачки 8. Потенцијални ризици осим непрепознавања користи од примене концепта циркуларне економије од стране привредних субјеката, локалних самоуправа, научно-истраживачког сектора и цивилног сектора за зелену транзцију Републике Србије потенцијални ризик преласка на циркуларни модел пословања били и недовољни подстицаји привреди за интегрисање циркуларних пословних модела.</w:t>
            </w:r>
          </w:p>
        </w:tc>
        <w:tc>
          <w:tcPr>
            <w:tcW w:w="4172" w:type="dxa"/>
          </w:tcPr>
          <w:p w14:paraId="2FA1133E" w14:textId="77777777" w:rsidR="009E7AB4" w:rsidRPr="00092ED7" w:rsidRDefault="009E7AB4" w:rsidP="009E7AB4">
            <w:pPr>
              <w:spacing w:before="0" w:after="0"/>
              <w:rPr>
                <w:rFonts w:cs="Times New Roman"/>
                <w:bCs/>
                <w:sz w:val="20"/>
                <w:lang w:val="sr-Cyrl-CS"/>
              </w:rPr>
            </w:pPr>
            <w:r w:rsidRPr="00092ED7">
              <w:rPr>
                <w:rFonts w:cs="Times New Roman"/>
                <w:bCs/>
                <w:sz w:val="20"/>
                <w:lang w:val="sr-Cyrl-CS"/>
              </w:rPr>
              <w:t>Предлог је прихваћен и текст је адекватно измењен.</w:t>
            </w:r>
          </w:p>
        </w:tc>
      </w:tr>
      <w:tr w:rsidR="009E7AB4" w:rsidRPr="00092ED7" w14:paraId="4E24CC9E" w14:textId="77777777" w:rsidTr="009E7AB4">
        <w:tc>
          <w:tcPr>
            <w:tcW w:w="2789" w:type="dxa"/>
          </w:tcPr>
          <w:p w14:paraId="3872C6AA"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Предлог нове СР: Поспешивање зелене транзиције кроз јавне набавке</w:t>
            </w:r>
          </w:p>
          <w:p w14:paraId="263C4725" w14:textId="77777777" w:rsidR="009E7AB4" w:rsidRPr="00092ED7" w:rsidRDefault="009E7AB4" w:rsidP="009E7AB4">
            <w:pPr>
              <w:spacing w:before="0" w:after="0"/>
              <w:rPr>
                <w:rFonts w:cs="Times New Roman"/>
                <w:sz w:val="20"/>
                <w:lang w:val="sr-Cyrl-CS"/>
              </w:rPr>
            </w:pPr>
          </w:p>
        </w:tc>
        <w:tc>
          <w:tcPr>
            <w:tcW w:w="2789" w:type="dxa"/>
          </w:tcPr>
          <w:p w14:paraId="718212AE" w14:textId="77777777" w:rsidR="009E7AB4" w:rsidRPr="00092ED7" w:rsidRDefault="009E7AB4" w:rsidP="009E7AB4">
            <w:pPr>
              <w:spacing w:before="0" w:after="0"/>
              <w:rPr>
                <w:rFonts w:cs="Times New Roman"/>
                <w:sz w:val="20"/>
                <w:lang w:val="sr-Cyrl-CS"/>
              </w:rPr>
            </w:pPr>
          </w:p>
        </w:tc>
        <w:tc>
          <w:tcPr>
            <w:tcW w:w="4198" w:type="dxa"/>
          </w:tcPr>
          <w:p w14:paraId="26139EEA" w14:textId="4432DED0" w:rsidR="009E7AB4" w:rsidRPr="00092ED7" w:rsidRDefault="009E7AB4" w:rsidP="009E7AB4">
            <w:pPr>
              <w:spacing w:before="0" w:after="0"/>
              <w:rPr>
                <w:rFonts w:cs="Times New Roman"/>
                <w:sz w:val="20"/>
                <w:lang w:val="sr-Cyrl-CS"/>
              </w:rPr>
            </w:pPr>
            <w:r w:rsidRPr="00092ED7">
              <w:rPr>
                <w:rFonts w:cs="Times New Roman"/>
                <w:sz w:val="20"/>
                <w:lang w:val="sr-Cyrl-CS"/>
              </w:rPr>
              <w:t xml:space="preserve">Реформа подразумева подршку зеленој транзицији тако што би јавна предузећа кроз јавне набавке давала предност </w:t>
            </w:r>
            <w:r w:rsidR="00D610C8" w:rsidRPr="00092ED7">
              <w:rPr>
                <w:rFonts w:cs="Times New Roman"/>
                <w:sz w:val="20"/>
                <w:lang w:val="sr-Cyrl-CS"/>
              </w:rPr>
              <w:t>„</w:t>
            </w:r>
            <w:r w:rsidRPr="00092ED7">
              <w:rPr>
                <w:rFonts w:cs="Times New Roman"/>
                <w:sz w:val="20"/>
                <w:lang w:val="sr-Cyrl-CS"/>
              </w:rPr>
              <w:t>зеленим</w:t>
            </w:r>
            <w:r w:rsidR="00D610C8" w:rsidRPr="00092ED7">
              <w:rPr>
                <w:rFonts w:cs="Times New Roman"/>
                <w:sz w:val="20"/>
                <w:lang w:val="sr-Cyrl-CS"/>
              </w:rPr>
              <w:t>”</w:t>
            </w:r>
            <w:r w:rsidRPr="00092ED7">
              <w:rPr>
                <w:rFonts w:cs="Times New Roman"/>
                <w:sz w:val="20"/>
                <w:lang w:val="sr-Cyrl-CS"/>
              </w:rPr>
              <w:t xml:space="preserve"> решењима и подразумева уодобљавање регулативе како би се овакве набавке спроводиле. Започети са пилот-пројектима.</w:t>
            </w:r>
          </w:p>
          <w:p w14:paraId="59C43AAB" w14:textId="77777777" w:rsidR="009E7AB4" w:rsidRPr="00092ED7" w:rsidRDefault="009E7AB4" w:rsidP="009E7AB4">
            <w:pPr>
              <w:spacing w:before="0" w:after="0"/>
              <w:rPr>
                <w:rFonts w:cs="Times New Roman"/>
                <w:sz w:val="20"/>
                <w:lang w:val="sr-Cyrl-CS"/>
              </w:rPr>
            </w:pPr>
          </w:p>
        </w:tc>
        <w:tc>
          <w:tcPr>
            <w:tcW w:w="4172" w:type="dxa"/>
          </w:tcPr>
          <w:p w14:paraId="580B8CC8"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 xml:space="preserve">Предлог је усвојен, тако што је у СР 12 која се односи на циркуларну економију додата активност </w:t>
            </w:r>
            <w:r w:rsidRPr="00092ED7">
              <w:rPr>
                <w:rFonts w:cs="Times New Roman"/>
                <w:bCs/>
                <w:sz w:val="20"/>
                <w:lang w:val="sr-Cyrl-CS"/>
              </w:rPr>
              <w:t>која се односи на подстицање зелених јавних набавки кроз обуке и радионице за наручиоце, будући да су зелене јавне набавке један од алата за транзицију на циркуларну економију. Поред тога, подршка зеленим јавним набавкама је циљ 4. у Програму развоја циркуларне економије 2022-2024 који је усвојен 1. децембра 2022. године.</w:t>
            </w:r>
          </w:p>
        </w:tc>
      </w:tr>
      <w:tr w:rsidR="009E7AB4" w:rsidRPr="00092ED7" w14:paraId="225E6856" w14:textId="77777777" w:rsidTr="009E7AB4">
        <w:tc>
          <w:tcPr>
            <w:tcW w:w="2789" w:type="dxa"/>
          </w:tcPr>
          <w:p w14:paraId="74CA9BD1"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5.2.3. Област дигитална</w:t>
            </w:r>
          </w:p>
          <w:p w14:paraId="1BC899A3"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трансформација</w:t>
            </w:r>
          </w:p>
        </w:tc>
        <w:tc>
          <w:tcPr>
            <w:tcW w:w="2789" w:type="dxa"/>
          </w:tcPr>
          <w:p w14:paraId="79BACDAA" w14:textId="77777777" w:rsidR="009E7AB4" w:rsidRPr="00092ED7" w:rsidRDefault="009E7AB4" w:rsidP="009E7AB4">
            <w:pPr>
              <w:spacing w:before="0" w:after="0"/>
              <w:rPr>
                <w:rFonts w:cs="Times New Roman"/>
                <w:sz w:val="20"/>
                <w:lang w:val="sr-Cyrl-CS"/>
              </w:rPr>
            </w:pPr>
          </w:p>
        </w:tc>
        <w:tc>
          <w:tcPr>
            <w:tcW w:w="4198" w:type="dxa"/>
          </w:tcPr>
          <w:p w14:paraId="0E70EF97"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 xml:space="preserve">Иако је од неспорног значаја јачање инфраструктуре, нарочито у неразвијеним и руралним деловима земље (нпр. усаглашавање са еФискализацијом је нарочито отежано привредним субјектима из ових делова због непокривености мрежом), сматрамо да би у наредном циклусу ЕРП у овој области требало да се нађе и структурна реформа која подразумева подршку привредним субјектима   за   дигиталну   трансформацију.   Јачање   јавне инфраструктуре је дакле неопходно, али док са друге стране не постоје привредни   субјекти   који   могу   да   искористе   ту инфраструктуру - упознати су са важношћу њихове дигиталне трансформације и у стању </w:t>
            </w:r>
            <w:r w:rsidRPr="00092ED7">
              <w:rPr>
                <w:rFonts w:cs="Times New Roman"/>
                <w:sz w:val="20"/>
                <w:lang w:val="sr-Cyrl-CS"/>
              </w:rPr>
              <w:lastRenderedPageBreak/>
              <w:t>су да је спроведу - неће постојати употребна вредност те инфраструктуре.</w:t>
            </w:r>
          </w:p>
          <w:p w14:paraId="1DA43F03" w14:textId="77777777" w:rsidR="009E7AB4" w:rsidRPr="00092ED7" w:rsidRDefault="009E7AB4" w:rsidP="009E7AB4">
            <w:pPr>
              <w:spacing w:before="0" w:after="0"/>
              <w:rPr>
                <w:rFonts w:cs="Times New Roman"/>
                <w:sz w:val="20"/>
                <w:lang w:val="sr-Cyrl-CS"/>
              </w:rPr>
            </w:pPr>
          </w:p>
        </w:tc>
        <w:tc>
          <w:tcPr>
            <w:tcW w:w="4172" w:type="dxa"/>
          </w:tcPr>
          <w:p w14:paraId="411210AF" w14:textId="77777777" w:rsidR="009E7AB4" w:rsidRPr="00092ED7" w:rsidRDefault="009E7AB4" w:rsidP="009E7AB4">
            <w:pPr>
              <w:spacing w:before="0" w:after="0"/>
              <w:rPr>
                <w:rFonts w:cs="Times New Roman"/>
                <w:sz w:val="20"/>
                <w:lang w:val="sr-Cyrl-CS"/>
              </w:rPr>
            </w:pPr>
            <w:r w:rsidRPr="00092ED7">
              <w:rPr>
                <w:rFonts w:cs="Times New Roman"/>
                <w:sz w:val="20"/>
                <w:lang w:val="sr-Cyrl-CS"/>
              </w:rPr>
              <w:lastRenderedPageBreak/>
              <w:t>Предлог ће бити размотрен у наредном ЕРП циклусу. Тема дигитализације привредних субјеката обухваћена је у дијагностици ЕРП за област 5.2.3 Дигитална трансформација.</w:t>
            </w:r>
          </w:p>
          <w:p w14:paraId="6D16E50F" w14:textId="77777777" w:rsidR="009E7AB4" w:rsidRPr="00092ED7" w:rsidRDefault="009E7AB4" w:rsidP="009E7AB4">
            <w:pPr>
              <w:spacing w:before="0" w:after="0"/>
              <w:rPr>
                <w:rFonts w:cs="Times New Roman"/>
                <w:sz w:val="20"/>
                <w:lang w:val="sr-Cyrl-CS"/>
              </w:rPr>
            </w:pPr>
          </w:p>
        </w:tc>
      </w:tr>
      <w:tr w:rsidR="009E7AB4" w:rsidRPr="00092ED7" w14:paraId="1DAFE0FF" w14:textId="77777777" w:rsidTr="009E7AB4">
        <w:tc>
          <w:tcPr>
            <w:tcW w:w="2789" w:type="dxa"/>
          </w:tcPr>
          <w:p w14:paraId="1AD576B3" w14:textId="77777777" w:rsidR="009E7AB4" w:rsidRPr="00092ED7" w:rsidRDefault="009E7AB4" w:rsidP="009E7AB4">
            <w:pPr>
              <w:spacing w:before="0" w:after="0"/>
              <w:rPr>
                <w:rFonts w:cs="Times New Roman"/>
                <w:sz w:val="20"/>
                <w:lang w:val="sr-Cyrl-CS"/>
              </w:rPr>
            </w:pPr>
          </w:p>
        </w:tc>
        <w:tc>
          <w:tcPr>
            <w:tcW w:w="2789" w:type="dxa"/>
          </w:tcPr>
          <w:p w14:paraId="0A376123" w14:textId="77777777" w:rsidR="009E7AB4" w:rsidRPr="00092ED7" w:rsidRDefault="009E7AB4" w:rsidP="009E7AB4">
            <w:pPr>
              <w:spacing w:before="0" w:after="0"/>
              <w:rPr>
                <w:rFonts w:cs="Times New Roman"/>
                <w:sz w:val="20"/>
                <w:lang w:val="sr-Cyrl-CS"/>
              </w:rPr>
            </w:pPr>
          </w:p>
        </w:tc>
        <w:tc>
          <w:tcPr>
            <w:tcW w:w="4198" w:type="dxa"/>
          </w:tcPr>
          <w:p w14:paraId="0996205C" w14:textId="6E9AA2A2" w:rsidR="009E7AB4" w:rsidRPr="00092ED7" w:rsidRDefault="009E7AB4" w:rsidP="00746113">
            <w:pPr>
              <w:spacing w:before="0" w:after="0"/>
              <w:rPr>
                <w:rFonts w:cs="Times New Roman"/>
                <w:sz w:val="20"/>
                <w:lang w:val="sr-Cyrl-CS"/>
              </w:rPr>
            </w:pPr>
            <w:r w:rsidRPr="00092ED7">
              <w:rPr>
                <w:rFonts w:cs="Times New Roman"/>
                <w:sz w:val="20"/>
                <w:lang w:val="sr-Cyrl-CS"/>
              </w:rPr>
              <w:t>Предлог да се дода информациона безбедност – увођење стандарда информационе и сајбер безбедности у органе државне управе ИСО 20000 и 270001. Пројектом, чије је спровођење у току, урађена је геп анализа и уведен стандард ИСО 20000 у Канцеларију за ИТ. Средства за наставак /сертификацију осталих органа државне управе/су  планирана  кроз  ИПА 22  или 23.  Неопходно  је наставити овај процес и у периоду 23-25 сертификовати све органе државне управе</w:t>
            </w:r>
            <w:r w:rsidR="00843835" w:rsidRPr="00092ED7">
              <w:rPr>
                <w:rFonts w:cs="Times New Roman"/>
                <w:sz w:val="20"/>
                <w:lang w:val="sr-Cyrl-CS"/>
              </w:rPr>
              <w:t>.</w:t>
            </w:r>
          </w:p>
        </w:tc>
        <w:tc>
          <w:tcPr>
            <w:tcW w:w="4172" w:type="dxa"/>
          </w:tcPr>
          <w:p w14:paraId="5F641614"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Предлог ће бити размотрен у наредном ЕРП циклусу. Треба, међутим, имати у виду да је информациона безбедност само један мали сегмент процеса дигитализације.</w:t>
            </w:r>
          </w:p>
        </w:tc>
      </w:tr>
      <w:tr w:rsidR="009E7AB4" w:rsidRPr="00092ED7" w14:paraId="4D78D68B" w14:textId="77777777" w:rsidTr="009E7AB4">
        <w:tc>
          <w:tcPr>
            <w:tcW w:w="2789" w:type="dxa"/>
          </w:tcPr>
          <w:p w14:paraId="7F576768"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Предлог нове СР:   Поспешивање дигитализације,  пре  свега  напредних  МСП</w:t>
            </w:r>
          </w:p>
        </w:tc>
        <w:tc>
          <w:tcPr>
            <w:tcW w:w="2789" w:type="dxa"/>
          </w:tcPr>
          <w:p w14:paraId="5726F9A4" w14:textId="77777777" w:rsidR="009E7AB4" w:rsidRPr="00092ED7" w:rsidRDefault="009E7AB4" w:rsidP="009E7AB4">
            <w:pPr>
              <w:spacing w:before="0" w:after="0"/>
              <w:rPr>
                <w:rFonts w:cs="Times New Roman"/>
                <w:sz w:val="20"/>
                <w:lang w:val="sr-Cyrl-CS"/>
              </w:rPr>
            </w:pPr>
          </w:p>
        </w:tc>
        <w:tc>
          <w:tcPr>
            <w:tcW w:w="4198" w:type="dxa"/>
          </w:tcPr>
          <w:p w14:paraId="0D43E1F9"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 xml:space="preserve">Реформа подразумева </w:t>
            </w:r>
            <w:r w:rsidR="00081E0F" w:rsidRPr="00092ED7">
              <w:rPr>
                <w:rFonts w:cs="Times New Roman"/>
                <w:sz w:val="20"/>
                <w:lang w:val="sr-Cyrl-CS"/>
              </w:rPr>
              <w:t xml:space="preserve">финасијску </w:t>
            </w:r>
            <w:r w:rsidRPr="00092ED7">
              <w:rPr>
                <w:rFonts w:cs="Times New Roman"/>
                <w:sz w:val="20"/>
                <w:lang w:val="sr-Cyrl-CS"/>
              </w:rPr>
              <w:t>подршку    напредне дигитализације пре свега напредних МСП. Ова предузећа свој</w:t>
            </w:r>
            <w:r w:rsidR="00081E0F" w:rsidRPr="00092ED7">
              <w:rPr>
                <w:rFonts w:cs="Times New Roman"/>
                <w:sz w:val="20"/>
                <w:lang w:val="sr-Cyrl-CS"/>
              </w:rPr>
              <w:t xml:space="preserve">им развојем повлаче   и  развој других </w:t>
            </w:r>
            <w:r w:rsidRPr="00092ED7">
              <w:rPr>
                <w:rFonts w:cs="Times New Roman"/>
                <w:sz w:val="20"/>
                <w:lang w:val="sr-Cyrl-CS"/>
              </w:rPr>
              <w:t>мањих предузећа.</w:t>
            </w:r>
          </w:p>
        </w:tc>
        <w:tc>
          <w:tcPr>
            <w:tcW w:w="4172" w:type="dxa"/>
          </w:tcPr>
          <w:p w14:paraId="0040B553"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 xml:space="preserve">Подршку дигиталној трансформацији малих и средњих предузећа обезбеђује НАЛЕД кроз StarTech програм са циљем убрзања раста српских компанија и традиционалне економије засноване на пољопривреди и прерађивачкој индустрији у дигиталну, извозно оријентисану економију засновану на знању и иновацијама. StarTech програм описан је у дијагностици области Дигитална трансформација. Такође у овој области активна је и Привредна комора Србије ПКС. </w:t>
            </w:r>
          </w:p>
        </w:tc>
      </w:tr>
      <w:tr w:rsidR="009E7AB4" w:rsidRPr="00092ED7" w14:paraId="0E4DA137" w14:textId="77777777" w:rsidTr="009E7AB4">
        <w:tc>
          <w:tcPr>
            <w:tcW w:w="2789" w:type="dxa"/>
          </w:tcPr>
          <w:p w14:paraId="2FCB5E7A"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5.2.4.</w:t>
            </w:r>
            <w:r w:rsidRPr="00092ED7">
              <w:rPr>
                <w:rFonts w:cs="Times New Roman"/>
                <w:b/>
                <w:sz w:val="20"/>
                <w:lang w:val="sr-Cyrl-CS"/>
              </w:rPr>
              <w:t xml:space="preserve"> </w:t>
            </w:r>
            <w:r w:rsidRPr="00092ED7">
              <w:rPr>
                <w:rFonts w:cs="Times New Roman"/>
                <w:sz w:val="20"/>
                <w:lang w:val="sr-Cyrl-CS"/>
              </w:rPr>
              <w:t>Област пословно</w:t>
            </w:r>
          </w:p>
          <w:p w14:paraId="27F4373A"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окружење и смањење сиве</w:t>
            </w:r>
          </w:p>
          <w:p w14:paraId="5EF77BCB"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економије</w:t>
            </w:r>
          </w:p>
        </w:tc>
        <w:tc>
          <w:tcPr>
            <w:tcW w:w="2789" w:type="dxa"/>
          </w:tcPr>
          <w:p w14:paraId="5754FEC6" w14:textId="77777777" w:rsidR="009E7AB4" w:rsidRPr="00092ED7" w:rsidRDefault="009E7AB4" w:rsidP="009E7AB4">
            <w:pPr>
              <w:spacing w:before="0" w:after="0"/>
              <w:rPr>
                <w:rFonts w:cs="Times New Roman"/>
                <w:sz w:val="20"/>
                <w:lang w:val="sr-Cyrl-CS"/>
              </w:rPr>
            </w:pPr>
          </w:p>
        </w:tc>
        <w:tc>
          <w:tcPr>
            <w:tcW w:w="4198" w:type="dxa"/>
          </w:tcPr>
          <w:p w14:paraId="72BEDE93" w14:textId="77777777" w:rsidR="009E7AB4" w:rsidRPr="00092ED7" w:rsidRDefault="009E7AB4" w:rsidP="00081E0F">
            <w:pPr>
              <w:spacing w:before="0" w:after="0"/>
              <w:rPr>
                <w:rFonts w:cs="Times New Roman"/>
                <w:sz w:val="20"/>
                <w:lang w:val="sr-Cyrl-CS"/>
              </w:rPr>
            </w:pPr>
            <w:r w:rsidRPr="00092ED7">
              <w:rPr>
                <w:rFonts w:cs="Times New Roman"/>
                <w:sz w:val="20"/>
                <w:lang w:val="sr-Cyrl-CS"/>
              </w:rPr>
              <w:t>Реформа треба да обухвати и борбу против сиве економије кроз даље јачање инспекцијских органа и увођење свих инспе</w:t>
            </w:r>
            <w:r w:rsidR="00081E0F" w:rsidRPr="00092ED7">
              <w:rPr>
                <w:rFonts w:cs="Times New Roman"/>
                <w:sz w:val="20"/>
                <w:lang w:val="sr-Cyrl-CS"/>
              </w:rPr>
              <w:t xml:space="preserve">кција у систем   е-инспектор. </w:t>
            </w:r>
            <w:r w:rsidRPr="00092ED7">
              <w:rPr>
                <w:rFonts w:cs="Times New Roman"/>
                <w:sz w:val="20"/>
                <w:lang w:val="sr-Cyrl-CS"/>
              </w:rPr>
              <w:t xml:space="preserve">Борба   против   пиратерије   и   заштита носилаца    права </w:t>
            </w:r>
            <w:r w:rsidR="00081E0F" w:rsidRPr="00092ED7">
              <w:rPr>
                <w:rFonts w:cs="Times New Roman"/>
                <w:sz w:val="20"/>
                <w:lang w:val="sr-Cyrl-CS"/>
              </w:rPr>
              <w:t xml:space="preserve">   интелектуалне    својине. </w:t>
            </w:r>
            <w:r w:rsidRPr="00092ED7">
              <w:rPr>
                <w:rFonts w:cs="Times New Roman"/>
                <w:sz w:val="20"/>
                <w:lang w:val="sr-Cyrl-CS"/>
              </w:rPr>
              <w:t>Обезбедити координацију свих надлежних органа - царина, МУП, тржишна инспекција. Кривотворена роба је јефтинија, па у неравноправан</w:t>
            </w:r>
            <w:r w:rsidR="00081E0F" w:rsidRPr="00092ED7">
              <w:rPr>
                <w:rFonts w:cs="Times New Roman"/>
                <w:sz w:val="20"/>
                <w:lang w:val="sr-Cyrl-CS"/>
              </w:rPr>
              <w:t xml:space="preserve"> </w:t>
            </w:r>
            <w:r w:rsidRPr="00092ED7">
              <w:rPr>
                <w:rFonts w:cs="Times New Roman"/>
                <w:sz w:val="20"/>
                <w:lang w:val="sr-Cyrl-CS"/>
              </w:rPr>
              <w:t>положај  ставља  произвођаче,  чиме  се  нарушава  слободна конкуренција на тржишту. Средства из сиве економије су често повезана и са финансирањем тероризма. Истовремено је важан и</w:t>
            </w:r>
            <w:r w:rsidR="00081E0F" w:rsidRPr="00092ED7">
              <w:rPr>
                <w:rFonts w:cs="Times New Roman"/>
                <w:sz w:val="20"/>
                <w:lang w:val="sr-Cyrl-CS"/>
              </w:rPr>
              <w:t xml:space="preserve"> други </w:t>
            </w:r>
            <w:r w:rsidRPr="00092ED7">
              <w:rPr>
                <w:rFonts w:cs="Times New Roman"/>
                <w:sz w:val="20"/>
                <w:lang w:val="sr-Cyrl-CS"/>
              </w:rPr>
              <w:t xml:space="preserve">аспект,   </w:t>
            </w:r>
            <w:r w:rsidRPr="00092ED7">
              <w:rPr>
                <w:rFonts w:cs="Times New Roman"/>
                <w:sz w:val="20"/>
                <w:lang w:val="sr-Cyrl-CS"/>
              </w:rPr>
              <w:lastRenderedPageBreak/>
              <w:t>заштита   произвођача   и   потрошача,   јер   је кривотворена роба често небезбедна.</w:t>
            </w:r>
          </w:p>
          <w:p w14:paraId="1F6D95C8" w14:textId="77777777" w:rsidR="009E7AB4" w:rsidRPr="00092ED7" w:rsidRDefault="009E7AB4" w:rsidP="00081E0F">
            <w:pPr>
              <w:spacing w:before="0" w:after="0"/>
              <w:rPr>
                <w:rFonts w:cs="Times New Roman"/>
                <w:sz w:val="20"/>
                <w:lang w:val="sr-Cyrl-CS"/>
              </w:rPr>
            </w:pPr>
            <w:r w:rsidRPr="00092ED7">
              <w:rPr>
                <w:rFonts w:cs="Times New Roman"/>
                <w:sz w:val="20"/>
                <w:lang w:val="sr-Cyrl-CS"/>
              </w:rPr>
              <w:t>С обзиром на брзи развој е-трговине, треба израдити Акциони план с циљем доношења мера за даљи подстицај али и контролу овог канала трговине, јер се велики део сиве економије обавља</w:t>
            </w:r>
            <w:r w:rsidR="00081E0F" w:rsidRPr="00092ED7">
              <w:rPr>
                <w:rFonts w:cs="Times New Roman"/>
                <w:sz w:val="20"/>
                <w:lang w:val="sr-Cyrl-CS"/>
              </w:rPr>
              <w:t xml:space="preserve"> управо електронским    путем. Унапредити рад свих инспекцијских  органа за спровођење е-истрага </w:t>
            </w:r>
            <w:r w:rsidRPr="00092ED7">
              <w:rPr>
                <w:rFonts w:cs="Times New Roman"/>
                <w:sz w:val="20"/>
                <w:lang w:val="sr-Cyrl-CS"/>
              </w:rPr>
              <w:t>формирати јединицу или обучене појединце који би се специјализовали само за ову врсту истраге.</w:t>
            </w:r>
          </w:p>
        </w:tc>
        <w:tc>
          <w:tcPr>
            <w:tcW w:w="4172" w:type="dxa"/>
          </w:tcPr>
          <w:p w14:paraId="4A17CE2E" w14:textId="77777777" w:rsidR="009E7AB4" w:rsidRPr="00092ED7" w:rsidRDefault="009E7AB4" w:rsidP="009E7AB4">
            <w:pPr>
              <w:spacing w:before="0" w:after="0"/>
              <w:rPr>
                <w:rFonts w:cs="Times New Roman"/>
                <w:sz w:val="20"/>
                <w:lang w:val="sr-Cyrl-CS"/>
              </w:rPr>
            </w:pPr>
            <w:r w:rsidRPr="00092ED7">
              <w:rPr>
                <w:rFonts w:cs="Times New Roman"/>
                <w:sz w:val="20"/>
                <w:lang w:val="sr-Cyrl-CS"/>
              </w:rPr>
              <w:lastRenderedPageBreak/>
              <w:t xml:space="preserve">СР која се односи на систем е-инспектор је претходно била саставни део ЕРП, али је оцењено да представља редовну активност надлежних институција, те је ради тога искључена. Ово свакако не значи да се заустављају реформски процеси у овој области. Област унапређења инспекцијског надзора детаљно је обухваћена </w:t>
            </w:r>
            <w:r w:rsidRPr="00092ED7">
              <w:rPr>
                <w:rFonts w:cs="Times New Roman"/>
                <w:bCs/>
                <w:sz w:val="20"/>
                <w:lang w:val="sr-Cyrl-CS"/>
              </w:rPr>
              <w:t>Предлогом програма за сузбијање сиве економије 2022-2025. године са акционим планом.</w:t>
            </w:r>
          </w:p>
        </w:tc>
      </w:tr>
      <w:tr w:rsidR="009E7AB4" w:rsidRPr="00092ED7" w14:paraId="08242442" w14:textId="77777777" w:rsidTr="009E7AB4">
        <w:tc>
          <w:tcPr>
            <w:tcW w:w="2789" w:type="dxa"/>
          </w:tcPr>
          <w:p w14:paraId="532E810A"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5.2.5.</w:t>
            </w:r>
            <w:r w:rsidRPr="00092ED7">
              <w:rPr>
                <w:rFonts w:cs="Times New Roman"/>
                <w:b/>
                <w:sz w:val="20"/>
                <w:lang w:val="sr-Cyrl-CS"/>
              </w:rPr>
              <w:t xml:space="preserve"> </w:t>
            </w:r>
            <w:r w:rsidRPr="00092ED7">
              <w:rPr>
                <w:rFonts w:cs="Times New Roman"/>
                <w:sz w:val="20"/>
                <w:lang w:val="sr-Cyrl-CS"/>
              </w:rPr>
              <w:t>Област истраживање,</w:t>
            </w:r>
          </w:p>
          <w:p w14:paraId="3A19301B"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развој и иновације</w:t>
            </w:r>
          </w:p>
        </w:tc>
        <w:tc>
          <w:tcPr>
            <w:tcW w:w="2789" w:type="dxa"/>
          </w:tcPr>
          <w:p w14:paraId="73573C9E" w14:textId="77777777" w:rsidR="009E7AB4" w:rsidRPr="00092ED7" w:rsidRDefault="009E7AB4" w:rsidP="009E7AB4">
            <w:pPr>
              <w:spacing w:before="0" w:after="0"/>
              <w:rPr>
                <w:rFonts w:cs="Times New Roman"/>
                <w:sz w:val="20"/>
                <w:lang w:val="sr-Cyrl-CS"/>
              </w:rPr>
            </w:pPr>
          </w:p>
        </w:tc>
        <w:tc>
          <w:tcPr>
            <w:tcW w:w="4198" w:type="dxa"/>
          </w:tcPr>
          <w:p w14:paraId="74BD7E2B" w14:textId="77777777" w:rsidR="009E7AB4" w:rsidRPr="00092ED7" w:rsidRDefault="009E7AB4" w:rsidP="00081E0F">
            <w:pPr>
              <w:spacing w:before="0" w:after="0"/>
              <w:rPr>
                <w:rFonts w:cs="Times New Roman"/>
                <w:sz w:val="20"/>
                <w:lang w:val="sr-Cyrl-CS"/>
              </w:rPr>
            </w:pPr>
            <w:r w:rsidRPr="00092ED7">
              <w:rPr>
                <w:rFonts w:cs="Times New Roman"/>
                <w:sz w:val="20"/>
                <w:lang w:val="sr-Cyrl-CS"/>
              </w:rPr>
              <w:t>У  документу  је  наведено  да  се  улагањем  у  иновациону инфраструктуру шири мрежа научно-технолошки паркова (стр.</w:t>
            </w:r>
            <w:r w:rsidR="00081E0F" w:rsidRPr="00092ED7">
              <w:rPr>
                <w:rFonts w:cs="Times New Roman"/>
                <w:sz w:val="20"/>
                <w:lang w:val="sr-Cyrl-CS"/>
              </w:rPr>
              <w:t xml:space="preserve"> </w:t>
            </w:r>
            <w:r w:rsidRPr="00092ED7">
              <w:rPr>
                <w:rFonts w:cs="Times New Roman"/>
                <w:sz w:val="20"/>
                <w:lang w:val="sr-Cyrl-CS"/>
              </w:rPr>
              <w:t>124).</w:t>
            </w:r>
          </w:p>
          <w:p w14:paraId="249E32BB" w14:textId="77777777" w:rsidR="009E7AB4" w:rsidRPr="00092ED7" w:rsidRDefault="00081E0F" w:rsidP="00081E0F">
            <w:pPr>
              <w:spacing w:before="0" w:after="0"/>
              <w:rPr>
                <w:rFonts w:cs="Times New Roman"/>
                <w:sz w:val="20"/>
                <w:lang w:val="sr-Cyrl-CS"/>
              </w:rPr>
            </w:pPr>
            <w:r w:rsidRPr="00092ED7">
              <w:rPr>
                <w:rFonts w:cs="Times New Roman"/>
                <w:sz w:val="20"/>
                <w:lang w:val="sr-Cyrl-CS"/>
              </w:rPr>
              <w:t>-</w:t>
            </w:r>
            <w:r w:rsidRPr="00092ED7">
              <w:rPr>
                <w:rFonts w:cs="Times New Roman"/>
                <w:sz w:val="20"/>
                <w:lang w:val="sr-Cyrl-CS"/>
              </w:rPr>
              <w:tab/>
              <w:t xml:space="preserve">Мрежа научно-технолошких </w:t>
            </w:r>
            <w:r w:rsidR="009E7AB4" w:rsidRPr="00092ED7">
              <w:rPr>
                <w:rFonts w:cs="Times New Roman"/>
                <w:sz w:val="20"/>
                <w:lang w:val="sr-Cyrl-CS"/>
              </w:rPr>
              <w:t>паркова   је   инструмент</w:t>
            </w:r>
            <w:r w:rsidR="003B6113" w:rsidRPr="00092ED7">
              <w:rPr>
                <w:rFonts w:cs="Times New Roman"/>
                <w:sz w:val="20"/>
                <w:lang w:val="sr-Cyrl-CS"/>
              </w:rPr>
              <w:t xml:space="preserve"> </w:t>
            </w:r>
            <w:r w:rsidR="009E7AB4" w:rsidRPr="00092ED7">
              <w:rPr>
                <w:rFonts w:cs="Times New Roman"/>
                <w:sz w:val="20"/>
                <w:lang w:val="sr-Cyrl-CS"/>
              </w:rPr>
              <w:t>развоја на НУТС 2 нивоу и овај тип инфраструктуре није</w:t>
            </w:r>
            <w:r w:rsidRPr="00092ED7">
              <w:rPr>
                <w:rFonts w:cs="Times New Roman"/>
                <w:sz w:val="20"/>
                <w:lang w:val="sr-Cyrl-CS"/>
              </w:rPr>
              <w:t xml:space="preserve"> </w:t>
            </w:r>
            <w:r w:rsidR="009E7AB4" w:rsidRPr="00092ED7">
              <w:rPr>
                <w:rFonts w:cs="Times New Roman"/>
                <w:sz w:val="20"/>
                <w:lang w:val="sr-Cyrl-CS"/>
              </w:rPr>
              <w:t>примерен НУТС 3 нивоу.</w:t>
            </w:r>
          </w:p>
          <w:p w14:paraId="640CF431" w14:textId="3D5E0F39" w:rsidR="009E7AB4" w:rsidRPr="00092ED7" w:rsidRDefault="009E7AB4" w:rsidP="009E7AB4">
            <w:pPr>
              <w:spacing w:before="0" w:after="0"/>
              <w:rPr>
                <w:rFonts w:cs="Times New Roman"/>
                <w:sz w:val="20"/>
                <w:lang w:val="sr-Cyrl-CS"/>
              </w:rPr>
            </w:pPr>
            <w:r w:rsidRPr="00092ED7">
              <w:rPr>
                <w:rFonts w:cs="Times New Roman"/>
                <w:sz w:val="20"/>
                <w:lang w:val="sr-Cyrl-CS"/>
              </w:rPr>
              <w:t>-</w:t>
            </w:r>
            <w:r w:rsidRPr="00092ED7">
              <w:rPr>
                <w:rFonts w:cs="Times New Roman"/>
                <w:sz w:val="20"/>
                <w:lang w:val="sr-Cyrl-CS"/>
              </w:rPr>
              <w:tab/>
              <w:t>Није предвиђено какав тип инфрастуктуре се планира на</w:t>
            </w:r>
            <w:r w:rsidR="003B6113" w:rsidRPr="00092ED7">
              <w:rPr>
                <w:rFonts w:cs="Times New Roman"/>
                <w:sz w:val="20"/>
                <w:lang w:val="sr-Cyrl-CS"/>
              </w:rPr>
              <w:t xml:space="preserve"> </w:t>
            </w:r>
            <w:r w:rsidRPr="00092ED7">
              <w:rPr>
                <w:rFonts w:cs="Times New Roman"/>
                <w:sz w:val="20"/>
                <w:lang w:val="sr-Cyrl-CS"/>
              </w:rPr>
              <w:t xml:space="preserve">НУТС 3 нивоу (ниво округа), будући </w:t>
            </w:r>
            <w:r w:rsidR="00081E0F" w:rsidRPr="00092ED7">
              <w:rPr>
                <w:rFonts w:cs="Times New Roman"/>
                <w:sz w:val="20"/>
                <w:lang w:val="sr-Cyrl-CS"/>
              </w:rPr>
              <w:t>да је такав тип инфраструктуре неопхододан како би</w:t>
            </w:r>
            <w:r w:rsidRPr="00092ED7">
              <w:rPr>
                <w:rFonts w:cs="Times New Roman"/>
                <w:sz w:val="20"/>
                <w:lang w:val="sr-Cyrl-CS"/>
              </w:rPr>
              <w:t xml:space="preserve"> се  подржали </w:t>
            </w:r>
            <w:r w:rsidR="003B6113" w:rsidRPr="00092ED7">
              <w:rPr>
                <w:rFonts w:cs="Times New Roman"/>
                <w:sz w:val="20"/>
                <w:lang w:val="sr-Cyrl-CS"/>
              </w:rPr>
              <w:t>„ефекти преливања</w:t>
            </w:r>
            <w:r w:rsidR="00D610C8" w:rsidRPr="00092ED7">
              <w:rPr>
                <w:rFonts w:cs="Times New Roman"/>
                <w:sz w:val="20"/>
                <w:lang w:val="sr-Cyrl-CS"/>
              </w:rPr>
              <w:t>”</w:t>
            </w:r>
            <w:r w:rsidR="003B6113" w:rsidRPr="00092ED7">
              <w:rPr>
                <w:rFonts w:cs="Times New Roman"/>
                <w:sz w:val="20"/>
                <w:lang w:val="sr-Cyrl-CS"/>
              </w:rPr>
              <w:t xml:space="preserve"> улагања </w:t>
            </w:r>
            <w:r w:rsidRPr="00092ED7">
              <w:rPr>
                <w:rFonts w:cs="Times New Roman"/>
                <w:sz w:val="20"/>
                <w:lang w:val="sr-Cyrl-CS"/>
              </w:rPr>
              <w:t>у иновациону инфраструктуру на НУТС 2 нивоу.</w:t>
            </w:r>
          </w:p>
          <w:p w14:paraId="6000E7D9" w14:textId="77777777" w:rsidR="009E7AB4" w:rsidRPr="00092ED7" w:rsidRDefault="009E7AB4" w:rsidP="009E7AB4">
            <w:pPr>
              <w:spacing w:before="0" w:after="0"/>
              <w:rPr>
                <w:rFonts w:cs="Times New Roman"/>
                <w:sz w:val="20"/>
                <w:lang w:val="sr-Cyrl-CS"/>
              </w:rPr>
            </w:pPr>
          </w:p>
          <w:p w14:paraId="1DCB46D4" w14:textId="77777777" w:rsidR="009E7AB4" w:rsidRPr="00092ED7" w:rsidRDefault="009E7AB4" w:rsidP="009E7AB4">
            <w:pPr>
              <w:spacing w:before="0" w:after="0"/>
              <w:rPr>
                <w:rFonts w:cs="Times New Roman"/>
                <w:sz w:val="20"/>
                <w:lang w:val="sr-Cyrl-CS"/>
              </w:rPr>
            </w:pPr>
          </w:p>
        </w:tc>
        <w:tc>
          <w:tcPr>
            <w:tcW w:w="4172" w:type="dxa"/>
          </w:tcPr>
          <w:p w14:paraId="1A68E213" w14:textId="7A0DEAB1" w:rsidR="009E7AB4" w:rsidRPr="00092ED7" w:rsidRDefault="009E7AB4" w:rsidP="009E7AB4">
            <w:pPr>
              <w:spacing w:before="0" w:after="0"/>
              <w:rPr>
                <w:rFonts w:cs="Times New Roman"/>
                <w:sz w:val="20"/>
                <w:lang w:val="sr-Cyrl-CS"/>
              </w:rPr>
            </w:pPr>
            <w:r w:rsidRPr="00092ED7">
              <w:rPr>
                <w:rFonts w:cs="Times New Roman"/>
                <w:sz w:val="20"/>
                <w:lang w:val="sr-Cyrl-CS"/>
              </w:rPr>
              <w:t xml:space="preserve">По угледу на земље ЕУ и </w:t>
            </w:r>
            <w:r w:rsidR="003B5902" w:rsidRPr="00092ED7">
              <w:rPr>
                <w:rFonts w:cs="Times New Roman"/>
                <w:sz w:val="20"/>
                <w:lang w:val="sr-Cyrl-CS"/>
              </w:rPr>
              <w:t xml:space="preserve">Република </w:t>
            </w:r>
            <w:r w:rsidRPr="00092ED7">
              <w:rPr>
                <w:rFonts w:cs="Times New Roman"/>
                <w:sz w:val="20"/>
                <w:lang w:val="sr-Cyrl-CS"/>
              </w:rPr>
              <w:t xml:space="preserve">Србија реализује активности на НУТС 2 нивоу, са идентификованим регионалним специфичностима. Ради се на успостављању нових паркова (Крушевац) или проширењу капацитета постојећих НТПа, инкубатора, стартап центара, а све у складу идентификованим потребама самих региона. Додатно, Стратегија паметне специјализације има механизам обавезног спровођења континуираног дијалога (ЕДП - процес предузетничког откривања) са свим заинтересованим странама из владиног, привредног, академског сектора и цивилног друштва, током развоја мера као и током њихове имплементације, а све у циљу добијања што боље слике о потребама сваког региона. </w:t>
            </w:r>
          </w:p>
          <w:p w14:paraId="44B5A913" w14:textId="69D9A027" w:rsidR="009E7AB4" w:rsidRPr="00092ED7" w:rsidRDefault="009E7AB4" w:rsidP="00833B80">
            <w:pPr>
              <w:spacing w:before="0" w:after="0"/>
              <w:rPr>
                <w:rFonts w:cs="Times New Roman"/>
                <w:sz w:val="20"/>
                <w:lang w:val="sr-Cyrl-CS"/>
              </w:rPr>
            </w:pPr>
            <w:r w:rsidRPr="00092ED7">
              <w:rPr>
                <w:rFonts w:cs="Times New Roman"/>
                <w:sz w:val="20"/>
                <w:lang w:val="sr-Cyrl-CS"/>
              </w:rPr>
              <w:t xml:space="preserve">Регионални иновациони и smart city центри су предвиђени у окрузима. План Министарства науке, технолошког развоја и иновација </w:t>
            </w:r>
            <w:r w:rsidR="00115299" w:rsidRPr="00092ED7">
              <w:rPr>
                <w:rFonts w:cs="Times New Roman"/>
                <w:sz w:val="20"/>
                <w:lang w:val="sr-Cyrl-CS"/>
              </w:rPr>
              <w:t xml:space="preserve">је </w:t>
            </w:r>
            <w:r w:rsidRPr="00092ED7">
              <w:rPr>
                <w:rFonts w:cs="Times New Roman"/>
                <w:sz w:val="20"/>
                <w:lang w:val="sr-Cyrl-CS"/>
              </w:rPr>
              <w:t>предвиђа</w:t>
            </w:r>
            <w:r w:rsidR="00115299" w:rsidRPr="00092ED7">
              <w:rPr>
                <w:rFonts w:cs="Times New Roman"/>
                <w:sz w:val="20"/>
                <w:lang w:val="sr-Cyrl-CS"/>
              </w:rPr>
              <w:t>о</w:t>
            </w:r>
            <w:r w:rsidRPr="00092ED7">
              <w:rPr>
                <w:rFonts w:cs="Times New Roman"/>
                <w:sz w:val="20"/>
                <w:lang w:val="sr-Cyrl-CS"/>
              </w:rPr>
              <w:t xml:space="preserve"> проширење постојећих и формирање нових иновационих и smart  city центара у окрузима у Р</w:t>
            </w:r>
            <w:r w:rsidR="00081DFC" w:rsidRPr="00092ED7">
              <w:rPr>
                <w:rFonts w:cs="Times New Roman"/>
                <w:sz w:val="20"/>
                <w:lang w:val="sr-Cyrl-CS"/>
              </w:rPr>
              <w:t xml:space="preserve">епублици </w:t>
            </w:r>
            <w:r w:rsidRPr="00092ED7">
              <w:rPr>
                <w:rFonts w:cs="Times New Roman"/>
                <w:sz w:val="20"/>
                <w:lang w:val="sr-Cyrl-CS"/>
              </w:rPr>
              <w:t>Србији. Идеја је да сваки део</w:t>
            </w:r>
            <w:r w:rsidR="00081DFC" w:rsidRPr="00092ED7">
              <w:rPr>
                <w:rFonts w:cs="Times New Roman"/>
                <w:sz w:val="20"/>
                <w:lang w:val="sr-Cyrl-CS"/>
              </w:rPr>
              <w:t xml:space="preserve"> Републике</w:t>
            </w:r>
            <w:r w:rsidRPr="00092ED7">
              <w:rPr>
                <w:rFonts w:cs="Times New Roman"/>
                <w:sz w:val="20"/>
                <w:lang w:val="sr-Cyrl-CS"/>
              </w:rPr>
              <w:t xml:space="preserve"> Србије буде покривен и да се у поменутим центрима ради са младима на даљем технолошком развоју и иновацијама. Посебан део у иновационим </w:t>
            </w:r>
            <w:r w:rsidRPr="00092ED7">
              <w:rPr>
                <w:rFonts w:cs="Times New Roman"/>
                <w:sz w:val="20"/>
                <w:lang w:val="sr-Cyrl-CS"/>
              </w:rPr>
              <w:lastRenderedPageBreak/>
              <w:t xml:space="preserve">центрима заузимају и стручњаци који недвосмислено доприносе наставку развоја. Наводимо позитиван пример Малог Зворника у којем је прошле године отворен иновациони старт ап центар. 20.000.000 рсд је уложено у поменути пројекат из буџета ресорног Министарства. Тренутно Министарство финансира 18 пројеката који се везују за ниво округа и то кроз стандардни конкурс за ЈЛС. Програм подршке подизању иновационих капацитета </w:t>
            </w:r>
            <w:r w:rsidR="00833B80" w:rsidRPr="00092ED7">
              <w:rPr>
                <w:rFonts w:cs="Times New Roman"/>
                <w:sz w:val="20"/>
                <w:lang w:val="sr-Cyrl-CS"/>
              </w:rPr>
              <w:t>ЈЛС</w:t>
            </w:r>
            <w:r w:rsidRPr="00092ED7">
              <w:rPr>
                <w:rFonts w:cs="Times New Roman"/>
                <w:sz w:val="20"/>
                <w:lang w:val="sr-Cyrl-CS"/>
              </w:rPr>
              <w:t xml:space="preserve"> на територији </w:t>
            </w:r>
            <w:r w:rsidR="00A03723" w:rsidRPr="00092ED7">
              <w:rPr>
                <w:rFonts w:cs="Times New Roman"/>
                <w:sz w:val="20"/>
                <w:lang w:val="sr-Cyrl-CS"/>
              </w:rPr>
              <w:t xml:space="preserve">Републике Србије </w:t>
            </w:r>
            <w:r w:rsidRPr="00092ED7">
              <w:rPr>
                <w:rFonts w:cs="Times New Roman"/>
                <w:sz w:val="20"/>
                <w:lang w:val="sr-Cyrl-CS"/>
              </w:rPr>
              <w:t xml:space="preserve">је програм који је намењен управо НУТС3. План Министарства је даље улагање у иновационе центре у окрузима и мањим срединама у </w:t>
            </w:r>
            <w:r w:rsidR="00081DFC" w:rsidRPr="00092ED7">
              <w:rPr>
                <w:rFonts w:cs="Times New Roman"/>
                <w:sz w:val="20"/>
                <w:lang w:val="sr-Cyrl-CS"/>
              </w:rPr>
              <w:t xml:space="preserve">Републици </w:t>
            </w:r>
            <w:r w:rsidRPr="00092ED7">
              <w:rPr>
                <w:rFonts w:cs="Times New Roman"/>
                <w:sz w:val="20"/>
                <w:lang w:val="sr-Cyrl-CS"/>
              </w:rPr>
              <w:t xml:space="preserve">Србији.  </w:t>
            </w:r>
          </w:p>
        </w:tc>
      </w:tr>
      <w:tr w:rsidR="009E7AB4" w:rsidRPr="00092ED7" w14:paraId="040F1D48" w14:textId="77777777" w:rsidTr="009E7AB4">
        <w:tc>
          <w:tcPr>
            <w:tcW w:w="2789" w:type="dxa"/>
          </w:tcPr>
          <w:p w14:paraId="6D8FB018" w14:textId="77777777" w:rsidR="009E7AB4" w:rsidRPr="00092ED7" w:rsidRDefault="009E7AB4" w:rsidP="009E7AB4">
            <w:pPr>
              <w:spacing w:before="0" w:after="0"/>
              <w:rPr>
                <w:rFonts w:cs="Times New Roman"/>
                <w:sz w:val="20"/>
                <w:lang w:val="sr-Cyrl-CS"/>
              </w:rPr>
            </w:pPr>
            <w:r w:rsidRPr="00092ED7">
              <w:rPr>
                <w:rFonts w:cs="Times New Roman"/>
                <w:sz w:val="20"/>
                <w:lang w:val="sr-Cyrl-CS"/>
              </w:rPr>
              <w:lastRenderedPageBreak/>
              <w:t xml:space="preserve">Предлог  нове  СР:  Поспешивање  иновација  кроз  јавне набавке </w:t>
            </w:r>
          </w:p>
        </w:tc>
        <w:tc>
          <w:tcPr>
            <w:tcW w:w="2789" w:type="dxa"/>
          </w:tcPr>
          <w:p w14:paraId="3C638ACB" w14:textId="77777777" w:rsidR="009E7AB4" w:rsidRPr="00092ED7" w:rsidRDefault="009E7AB4" w:rsidP="009E7AB4">
            <w:pPr>
              <w:spacing w:before="0" w:after="0"/>
              <w:rPr>
                <w:rFonts w:cs="Times New Roman"/>
                <w:sz w:val="20"/>
                <w:lang w:val="sr-Cyrl-CS"/>
              </w:rPr>
            </w:pPr>
          </w:p>
        </w:tc>
        <w:tc>
          <w:tcPr>
            <w:tcW w:w="4198" w:type="dxa"/>
          </w:tcPr>
          <w:p w14:paraId="51D0742C"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Реформа подразумева подршку иновацијам</w:t>
            </w:r>
            <w:r w:rsidR="00081E0F" w:rsidRPr="00092ED7">
              <w:rPr>
                <w:rFonts w:cs="Times New Roman"/>
                <w:sz w:val="20"/>
                <w:lang w:val="sr-Cyrl-CS"/>
              </w:rPr>
              <w:t xml:space="preserve">а тако што би јавна предузећа кроз јавне   набавке давала </w:t>
            </w:r>
            <w:r w:rsidRPr="00092ED7">
              <w:rPr>
                <w:rFonts w:cs="Times New Roman"/>
                <w:sz w:val="20"/>
                <w:lang w:val="sr-Cyrl-CS"/>
              </w:rPr>
              <w:t>предност иновативним решењима и подразумева уодобљавање регулативе како би се овакве набавке спроводиле. Започети са пилотирањем.</w:t>
            </w:r>
          </w:p>
        </w:tc>
        <w:tc>
          <w:tcPr>
            <w:tcW w:w="4172" w:type="dxa"/>
          </w:tcPr>
          <w:p w14:paraId="4505A170" w14:textId="6D2244C2" w:rsidR="009E7AB4" w:rsidRPr="00092ED7" w:rsidRDefault="009E7AB4" w:rsidP="009E7AB4">
            <w:pPr>
              <w:spacing w:before="0" w:after="0"/>
              <w:rPr>
                <w:rFonts w:cs="Times New Roman"/>
                <w:sz w:val="20"/>
                <w:lang w:val="sr-Cyrl-CS"/>
              </w:rPr>
            </w:pPr>
            <w:r w:rsidRPr="00092ED7">
              <w:rPr>
                <w:rFonts w:cs="Times New Roman"/>
                <w:sz w:val="20"/>
                <w:lang w:val="sr-Cyrl-CS"/>
              </w:rPr>
              <w:t>Држава је препознала потребу да се поспеши увођење иновација кроз јавне набавке. Из тог разлога је СР 16 предвиђено спровођење Програма</w:t>
            </w:r>
            <w:r w:rsidRPr="00092ED7">
              <w:rPr>
                <w:rFonts w:cs="Times New Roman"/>
                <w:i/>
                <w:sz w:val="20"/>
                <w:lang w:val="sr-Cyrl-CS"/>
              </w:rPr>
              <w:t xml:space="preserve"> GovTech</w:t>
            </w:r>
            <w:r w:rsidRPr="00092ED7">
              <w:rPr>
                <w:rFonts w:cs="Times New Roman"/>
                <w:sz w:val="20"/>
                <w:lang w:val="sr-Cyrl-CS"/>
              </w:rPr>
              <w:t>. Овај програм има за циљ да убрза дигиталну трансформацију јавног сектора и „отвори врата</w:t>
            </w:r>
            <w:r w:rsidR="00B847C6" w:rsidRPr="00092ED7">
              <w:rPr>
                <w:rFonts w:cs="Times New Roman"/>
                <w:sz w:val="20"/>
                <w:lang w:val="sr-Cyrl-CS"/>
              </w:rPr>
              <w:t>”</w:t>
            </w:r>
            <w:r w:rsidRPr="00092ED7">
              <w:rPr>
                <w:rFonts w:cs="Times New Roman"/>
                <w:sz w:val="20"/>
                <w:lang w:val="sr-Cyrl-CS"/>
              </w:rPr>
              <w:t xml:space="preserve"> примени иновативних решења у јавној управи. Кроз активну сарадњу институција са иновативним компанијама, факултетима и стартапима, програм треба да успостави одрживи систем иновација у јавном сектору. У наредном периоду ће се детаљније разрађивати програм и његово спровођење.</w:t>
            </w:r>
          </w:p>
        </w:tc>
      </w:tr>
      <w:tr w:rsidR="009E7AB4" w:rsidRPr="00092ED7" w14:paraId="7E96DB08" w14:textId="77777777" w:rsidTr="009E7AB4">
        <w:tc>
          <w:tcPr>
            <w:tcW w:w="2789" w:type="dxa"/>
          </w:tcPr>
          <w:p w14:paraId="52E31398"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СР 17:  Стварање услова за развој бионаука и биоекономије кроз изградњу БИО4 кампуса</w:t>
            </w:r>
          </w:p>
          <w:p w14:paraId="6C739026" w14:textId="77777777" w:rsidR="009E7AB4" w:rsidRPr="00092ED7" w:rsidRDefault="009E7AB4" w:rsidP="009E7AB4">
            <w:pPr>
              <w:spacing w:before="0" w:after="0"/>
              <w:rPr>
                <w:rFonts w:cs="Times New Roman"/>
                <w:sz w:val="20"/>
                <w:lang w:val="sr-Cyrl-CS"/>
              </w:rPr>
            </w:pPr>
          </w:p>
        </w:tc>
        <w:tc>
          <w:tcPr>
            <w:tcW w:w="2789" w:type="dxa"/>
          </w:tcPr>
          <w:p w14:paraId="286DEB28" w14:textId="77777777" w:rsidR="009E7AB4" w:rsidRPr="00092ED7" w:rsidRDefault="009E7AB4" w:rsidP="009E7AB4">
            <w:pPr>
              <w:spacing w:before="0" w:after="0"/>
              <w:rPr>
                <w:rFonts w:cs="Times New Roman"/>
                <w:sz w:val="20"/>
                <w:lang w:val="sr-Cyrl-CS"/>
              </w:rPr>
            </w:pPr>
          </w:p>
        </w:tc>
        <w:tc>
          <w:tcPr>
            <w:tcW w:w="4198" w:type="dxa"/>
          </w:tcPr>
          <w:p w14:paraId="1BE31FFF" w14:textId="67E3FB05" w:rsidR="009E7AB4" w:rsidRPr="00092ED7" w:rsidRDefault="009E7AB4" w:rsidP="009E7AB4">
            <w:pPr>
              <w:spacing w:before="0" w:after="0"/>
              <w:rPr>
                <w:rFonts w:cs="Times New Roman"/>
                <w:sz w:val="20"/>
                <w:lang w:val="sr-Cyrl-CS"/>
              </w:rPr>
            </w:pPr>
            <w:r w:rsidRPr="00092ED7">
              <w:rPr>
                <w:rFonts w:cs="Times New Roman"/>
                <w:sz w:val="20"/>
                <w:lang w:val="sr-Cyrl-CS"/>
              </w:rPr>
              <w:t xml:space="preserve">БИО4 Кампус спада у ред мера јавних политика које </w:t>
            </w:r>
            <w:r w:rsidR="00081E0F" w:rsidRPr="00092ED7">
              <w:rPr>
                <w:rFonts w:cs="Times New Roman"/>
                <w:sz w:val="20"/>
                <w:lang w:val="sr-Cyrl-CS"/>
              </w:rPr>
              <w:t xml:space="preserve">су институционално  управљачко организационе </w:t>
            </w:r>
            <w:r w:rsidRPr="00092ED7">
              <w:rPr>
                <w:rFonts w:cs="Times New Roman"/>
                <w:sz w:val="20"/>
                <w:lang w:val="sr-Cyrl-CS"/>
              </w:rPr>
              <w:t>природе (ф</w:t>
            </w:r>
            <w:r w:rsidR="00081E0F" w:rsidRPr="00092ED7">
              <w:rPr>
                <w:rFonts w:cs="Times New Roman"/>
                <w:sz w:val="20"/>
                <w:lang w:val="sr-Cyrl-CS"/>
              </w:rPr>
              <w:t xml:space="preserve">ормирање  нових  институција - Закон </w:t>
            </w:r>
            <w:r w:rsidRPr="00092ED7">
              <w:rPr>
                <w:rFonts w:cs="Times New Roman"/>
                <w:sz w:val="20"/>
                <w:lang w:val="sr-Cyrl-CS"/>
              </w:rPr>
              <w:t>о  планском систему РС, 2018). Формирању БИО4</w:t>
            </w:r>
            <w:r w:rsidR="00081E0F" w:rsidRPr="00092ED7">
              <w:rPr>
                <w:rFonts w:cs="Times New Roman"/>
                <w:sz w:val="20"/>
                <w:lang w:val="sr-Cyrl-CS"/>
              </w:rPr>
              <w:t xml:space="preserve"> </w:t>
            </w:r>
            <w:r w:rsidRPr="00092ED7">
              <w:rPr>
                <w:rFonts w:cs="Times New Roman"/>
                <w:sz w:val="20"/>
                <w:lang w:val="sr-Cyrl-CS"/>
              </w:rPr>
              <w:t>Кампуса треба да</w:t>
            </w:r>
            <w:r w:rsidR="00081E0F" w:rsidRPr="00092ED7">
              <w:rPr>
                <w:rFonts w:cs="Times New Roman"/>
                <w:sz w:val="20"/>
                <w:lang w:val="sr-Cyrl-CS"/>
              </w:rPr>
              <w:t xml:space="preserve"> претходе  регулаторне   мере, као што </w:t>
            </w:r>
            <w:r w:rsidRPr="00092ED7">
              <w:rPr>
                <w:rFonts w:cs="Times New Roman"/>
                <w:sz w:val="20"/>
                <w:lang w:val="sr-Cyrl-CS"/>
              </w:rPr>
              <w:t>је  доношење Ст</w:t>
            </w:r>
            <w:r w:rsidR="00081E0F" w:rsidRPr="00092ED7">
              <w:rPr>
                <w:rFonts w:cs="Times New Roman"/>
                <w:sz w:val="20"/>
                <w:lang w:val="sr-Cyrl-CS"/>
              </w:rPr>
              <w:t xml:space="preserve">ратегије развоја  Биоекономије за </w:t>
            </w:r>
            <w:r w:rsidR="003B5902" w:rsidRPr="00092ED7">
              <w:rPr>
                <w:rFonts w:cs="Times New Roman"/>
                <w:sz w:val="20"/>
                <w:lang w:val="sr-Cyrl-CS"/>
              </w:rPr>
              <w:t xml:space="preserve">Републику </w:t>
            </w:r>
            <w:r w:rsidR="00081E0F" w:rsidRPr="00092ED7">
              <w:rPr>
                <w:rFonts w:cs="Times New Roman"/>
                <w:sz w:val="20"/>
                <w:lang w:val="sr-Cyrl-CS"/>
              </w:rPr>
              <w:t xml:space="preserve">Србију, као </w:t>
            </w:r>
            <w:r w:rsidRPr="00092ED7">
              <w:rPr>
                <w:rFonts w:cs="Times New Roman"/>
                <w:sz w:val="20"/>
                <w:lang w:val="sr-Cyrl-CS"/>
              </w:rPr>
              <w:t xml:space="preserve">и Стратегије развоја биоекономије региона у </w:t>
            </w:r>
            <w:r w:rsidR="003B5902" w:rsidRPr="00092ED7">
              <w:rPr>
                <w:rFonts w:cs="Times New Roman"/>
                <w:sz w:val="20"/>
                <w:lang w:val="sr-Cyrl-CS"/>
              </w:rPr>
              <w:t xml:space="preserve">Републици </w:t>
            </w:r>
            <w:r w:rsidRPr="00092ED7">
              <w:rPr>
                <w:rFonts w:cs="Times New Roman"/>
                <w:sz w:val="20"/>
                <w:lang w:val="sr-Cyrl-CS"/>
              </w:rPr>
              <w:t>Србији.</w:t>
            </w:r>
          </w:p>
          <w:p w14:paraId="734F3188" w14:textId="5CE1E1BE" w:rsidR="009E7AB4" w:rsidRPr="00092ED7" w:rsidRDefault="009E7AB4" w:rsidP="00081E0F">
            <w:pPr>
              <w:spacing w:before="0" w:after="0"/>
              <w:rPr>
                <w:rFonts w:cs="Times New Roman"/>
                <w:sz w:val="20"/>
                <w:lang w:val="sr-Cyrl-CS"/>
              </w:rPr>
            </w:pPr>
            <w:r w:rsidRPr="00092ED7">
              <w:rPr>
                <w:rFonts w:cs="Times New Roman"/>
                <w:sz w:val="20"/>
                <w:lang w:val="sr-Cyrl-CS"/>
              </w:rPr>
              <w:lastRenderedPageBreak/>
              <w:t xml:space="preserve">-Будући да је Стратегија паметне специјализације урађена на нивоу </w:t>
            </w:r>
            <w:r w:rsidR="00B16622" w:rsidRPr="00092ED7">
              <w:rPr>
                <w:rFonts w:cs="Times New Roman"/>
                <w:sz w:val="20"/>
                <w:lang w:val="sr-Cyrl-CS"/>
              </w:rPr>
              <w:t>Републи</w:t>
            </w:r>
            <w:r w:rsidR="003B5902" w:rsidRPr="00092ED7">
              <w:rPr>
                <w:rFonts w:cs="Times New Roman"/>
                <w:sz w:val="20"/>
                <w:lang w:val="sr-Cyrl-CS"/>
              </w:rPr>
              <w:t>ке</w:t>
            </w:r>
            <w:r w:rsidR="00B16622" w:rsidRPr="00092ED7">
              <w:rPr>
                <w:rFonts w:cs="Times New Roman"/>
                <w:sz w:val="20"/>
                <w:lang w:val="sr-Cyrl-CS"/>
              </w:rPr>
              <w:t xml:space="preserve"> </w:t>
            </w:r>
            <w:r w:rsidRPr="00092ED7">
              <w:rPr>
                <w:rFonts w:cs="Times New Roman"/>
                <w:sz w:val="20"/>
                <w:lang w:val="sr-Cyrl-CS"/>
              </w:rPr>
              <w:t xml:space="preserve">Србије, и да је у току припрема и усвајање Акционог плана за период од 2023. до 2025. године, потребно је да сваки НУТС 2 регион у </w:t>
            </w:r>
            <w:r w:rsidR="00B16622" w:rsidRPr="00092ED7">
              <w:rPr>
                <w:rFonts w:cs="Times New Roman"/>
                <w:sz w:val="20"/>
                <w:lang w:val="sr-Cyrl-CS"/>
              </w:rPr>
              <w:t xml:space="preserve">Републици </w:t>
            </w:r>
            <w:r w:rsidRPr="00092ED7">
              <w:rPr>
                <w:rFonts w:cs="Times New Roman"/>
                <w:sz w:val="20"/>
                <w:lang w:val="sr-Cyrl-CS"/>
              </w:rPr>
              <w:t>Србији уради стратегију специјализације за НУТС 2 ниво, која је у</w:t>
            </w:r>
            <w:r w:rsidR="00081E0F" w:rsidRPr="00092ED7">
              <w:rPr>
                <w:rFonts w:cs="Times New Roman"/>
                <w:sz w:val="20"/>
                <w:lang w:val="sr-Cyrl-CS"/>
              </w:rPr>
              <w:t xml:space="preserve"> </w:t>
            </w:r>
            <w:r w:rsidRPr="00092ED7">
              <w:rPr>
                <w:rFonts w:cs="Times New Roman"/>
                <w:sz w:val="20"/>
                <w:lang w:val="sr-Cyrl-CS"/>
              </w:rPr>
              <w:t>регионима земаља које су чл</w:t>
            </w:r>
            <w:r w:rsidR="00081E0F" w:rsidRPr="00092ED7">
              <w:rPr>
                <w:rFonts w:cs="Times New Roman"/>
                <w:sz w:val="20"/>
                <w:lang w:val="sr-Cyrl-CS"/>
              </w:rPr>
              <w:t xml:space="preserve">анице ЕУ екс анте предуслов за коришћење    Структурних фондова   ЕУ,  </w:t>
            </w:r>
            <w:r w:rsidRPr="00092ED7">
              <w:rPr>
                <w:rFonts w:cs="Times New Roman"/>
                <w:sz w:val="20"/>
                <w:lang w:val="sr-Cyrl-CS"/>
              </w:rPr>
              <w:t>као инструмената смањења интер регионалних диспаритета.</w:t>
            </w:r>
          </w:p>
          <w:p w14:paraId="402C1B94" w14:textId="4ADA6B70" w:rsidR="009E7AB4" w:rsidRPr="00092ED7" w:rsidRDefault="009E7AB4" w:rsidP="00A204E7">
            <w:pPr>
              <w:spacing w:before="0" w:after="0"/>
              <w:rPr>
                <w:rFonts w:cs="Times New Roman"/>
                <w:sz w:val="20"/>
                <w:lang w:val="sr-Cyrl-CS"/>
              </w:rPr>
            </w:pPr>
            <w:r w:rsidRPr="00092ED7">
              <w:rPr>
                <w:rFonts w:cs="Times New Roman"/>
                <w:sz w:val="20"/>
                <w:lang w:val="sr-Cyrl-CS"/>
              </w:rPr>
              <w:t>-Израдом Стратегије паметне специјализације на НУТС 2нивоу, не   само   да   би</w:t>
            </w:r>
            <w:r w:rsidR="00A204E7" w:rsidRPr="00092ED7">
              <w:rPr>
                <w:rFonts w:cs="Times New Roman"/>
                <w:sz w:val="20"/>
                <w:lang w:val="sr-Cyrl-CS"/>
              </w:rPr>
              <w:t xml:space="preserve">   се   валоризовали   развојни </w:t>
            </w:r>
            <w:r w:rsidRPr="00092ED7">
              <w:rPr>
                <w:rFonts w:cs="Times New Roman"/>
                <w:sz w:val="20"/>
                <w:lang w:val="sr-Cyrl-CS"/>
              </w:rPr>
              <w:t xml:space="preserve">потенцијали региона у </w:t>
            </w:r>
            <w:r w:rsidR="00B16622" w:rsidRPr="00092ED7">
              <w:rPr>
                <w:rFonts w:cs="Times New Roman"/>
                <w:sz w:val="20"/>
                <w:lang w:val="sr-Cyrl-CS"/>
              </w:rPr>
              <w:t xml:space="preserve">Републици </w:t>
            </w:r>
            <w:r w:rsidRPr="00092ED7">
              <w:rPr>
                <w:rFonts w:cs="Times New Roman"/>
                <w:sz w:val="20"/>
                <w:lang w:val="sr-Cyrl-CS"/>
              </w:rPr>
              <w:t xml:space="preserve">Србији, већ би се изградили и институционални капацитети региона који немају средњи ниво власти (регион Шумадије и Западне Србије, регион Јужне и Источне Србије), који би  били у функцији смањења интра диспаритета (диспаритета унутар самих НУТС 2 региона). Креирањем Националне платформе за паметну специјализацију, омогућило би да </w:t>
            </w:r>
            <w:r w:rsidR="00A204E7" w:rsidRPr="00092ED7">
              <w:rPr>
                <w:rFonts w:cs="Times New Roman"/>
                <w:sz w:val="20"/>
                <w:lang w:val="sr-Cyrl-CS"/>
              </w:rPr>
              <w:t xml:space="preserve">се оствари допринос   смањењу не само интер већ и </w:t>
            </w:r>
            <w:r w:rsidRPr="00092ED7">
              <w:rPr>
                <w:rFonts w:cs="Times New Roman"/>
                <w:sz w:val="20"/>
                <w:lang w:val="sr-Cyrl-CS"/>
              </w:rPr>
              <w:t>интра регионалних диспаритета.</w:t>
            </w:r>
          </w:p>
        </w:tc>
        <w:tc>
          <w:tcPr>
            <w:tcW w:w="4172" w:type="dxa"/>
          </w:tcPr>
          <w:p w14:paraId="772AC944" w14:textId="6BFE0395" w:rsidR="009E7AB4" w:rsidRPr="00092ED7" w:rsidRDefault="009E7AB4" w:rsidP="009E7AB4">
            <w:pPr>
              <w:spacing w:before="0" w:after="0"/>
              <w:rPr>
                <w:rFonts w:cs="Times New Roman"/>
                <w:sz w:val="20"/>
                <w:lang w:val="sr-Cyrl-CS"/>
              </w:rPr>
            </w:pPr>
            <w:r w:rsidRPr="00092ED7">
              <w:rPr>
                <w:rFonts w:cs="Times New Roman"/>
                <w:sz w:val="20"/>
                <w:lang w:val="sr-Cyrl-CS"/>
              </w:rPr>
              <w:lastRenderedPageBreak/>
              <w:t>Стратегија паметне специјализације је стратешки документ који обухвата све НУТС 2 регионе, и који усваја Влада. Постоје друга стратешка документа посвећена регионалном развоју.</w:t>
            </w:r>
          </w:p>
          <w:p w14:paraId="3F782100"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 xml:space="preserve">У току је израда новог АП Стратегије паметне специјализације у оквиру чега су спроведене 4 регионалне радионице у новембру 2022. године за сваки идентификовани приоритетни домен. БИО4 кампус ће бити део овог </w:t>
            </w:r>
            <w:r w:rsidRPr="00092ED7">
              <w:rPr>
                <w:rFonts w:cs="Times New Roman"/>
                <w:sz w:val="20"/>
                <w:lang w:val="sr-Cyrl-CS"/>
              </w:rPr>
              <w:lastRenderedPageBreak/>
              <w:t xml:space="preserve">Акционог плана ради праћења његовог успостављања и организације. </w:t>
            </w:r>
          </w:p>
        </w:tc>
      </w:tr>
      <w:tr w:rsidR="009E7AB4" w:rsidRPr="00092ED7" w14:paraId="25F756EC" w14:textId="77777777" w:rsidTr="009E7AB4">
        <w:tc>
          <w:tcPr>
            <w:tcW w:w="2789" w:type="dxa"/>
          </w:tcPr>
          <w:p w14:paraId="7C5DC088" w14:textId="77777777" w:rsidR="009E7AB4" w:rsidRPr="00092ED7" w:rsidRDefault="009E7AB4" w:rsidP="009E7AB4">
            <w:pPr>
              <w:spacing w:before="0" w:after="0"/>
              <w:rPr>
                <w:rFonts w:cs="Times New Roman"/>
                <w:sz w:val="20"/>
                <w:lang w:val="sr-Cyrl-CS"/>
              </w:rPr>
            </w:pPr>
            <w:bookmarkStart w:id="132" w:name="_Toc121414893"/>
            <w:r w:rsidRPr="00092ED7">
              <w:rPr>
                <w:rFonts w:cs="Times New Roman"/>
                <w:sz w:val="20"/>
                <w:lang w:val="sr-Cyrl-CS"/>
              </w:rPr>
              <w:lastRenderedPageBreak/>
              <w:t>5.2.6. Област реформе у области економских интеграција</w:t>
            </w:r>
            <w:bookmarkEnd w:id="132"/>
            <w:r w:rsidRPr="00092ED7">
              <w:rPr>
                <w:rFonts w:cs="Times New Roman"/>
                <w:sz w:val="20"/>
                <w:lang w:val="sr-Cyrl-CS"/>
              </w:rPr>
              <w:t>, СР 18 Унапређење услова и уклањање препрека трговини</w:t>
            </w:r>
          </w:p>
          <w:p w14:paraId="33B020B6" w14:textId="77777777" w:rsidR="009E7AB4" w:rsidRPr="00092ED7" w:rsidRDefault="009E7AB4" w:rsidP="009E7AB4">
            <w:pPr>
              <w:spacing w:before="0" w:after="0"/>
              <w:rPr>
                <w:rFonts w:cs="Times New Roman"/>
                <w:sz w:val="20"/>
                <w:lang w:val="sr-Cyrl-CS"/>
              </w:rPr>
            </w:pPr>
          </w:p>
        </w:tc>
        <w:tc>
          <w:tcPr>
            <w:tcW w:w="2789" w:type="dxa"/>
          </w:tcPr>
          <w:p w14:paraId="06E3B0F9" w14:textId="77777777" w:rsidR="009E7AB4" w:rsidRPr="00092ED7" w:rsidRDefault="009E7AB4" w:rsidP="009E7AB4">
            <w:pPr>
              <w:spacing w:before="0" w:after="0"/>
              <w:rPr>
                <w:rFonts w:cs="Times New Roman"/>
                <w:sz w:val="20"/>
                <w:lang w:val="sr-Cyrl-CS"/>
              </w:rPr>
            </w:pPr>
          </w:p>
        </w:tc>
        <w:tc>
          <w:tcPr>
            <w:tcW w:w="4198" w:type="dxa"/>
          </w:tcPr>
          <w:p w14:paraId="6809058A"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Структурна реформа 18 се годинама понавља и не виде се њени резултати. Нарочито по питању активности која се односи на преговоре о приступању СТО. Такође, имајући у виду да је Република Србија иницијатор и главни заговорник и</w:t>
            </w:r>
            <w:r w:rsidR="00A204E7" w:rsidRPr="00092ED7">
              <w:rPr>
                <w:rFonts w:cs="Times New Roman"/>
                <w:sz w:val="20"/>
                <w:lang w:val="sr-Cyrl-CS"/>
              </w:rPr>
              <w:t xml:space="preserve">ницијативе Отворени   Балкан, остаје питање формулације и </w:t>
            </w:r>
            <w:r w:rsidRPr="00092ED7">
              <w:rPr>
                <w:rFonts w:cs="Times New Roman"/>
                <w:sz w:val="20"/>
                <w:lang w:val="sr-Cyrl-CS"/>
              </w:rPr>
              <w:t>осталих активности ове структурне реформе, а пре свега питање тога да ли ће се ова СР наћи и будућим циклусима у ЕРП.</w:t>
            </w:r>
          </w:p>
        </w:tc>
        <w:tc>
          <w:tcPr>
            <w:tcW w:w="4172" w:type="dxa"/>
          </w:tcPr>
          <w:p w14:paraId="3D266B1B" w14:textId="2C83AF2C" w:rsidR="009E7AB4" w:rsidRPr="00092ED7" w:rsidRDefault="009E7AB4" w:rsidP="009E7AB4">
            <w:pPr>
              <w:pStyle w:val="CommentText"/>
              <w:spacing w:before="0" w:after="0" w:line="240" w:lineRule="auto"/>
              <w:rPr>
                <w:rFonts w:eastAsiaTheme="minorHAnsi" w:cs="Times New Roman"/>
                <w:lang w:val="sr-Cyrl-CS" w:eastAsia="en-US"/>
              </w:rPr>
            </w:pPr>
            <w:r w:rsidRPr="00092ED7">
              <w:rPr>
                <w:rFonts w:eastAsiaTheme="minorHAnsi" w:cs="Times New Roman"/>
                <w:lang w:val="sr-Cyrl-CS" w:eastAsia="en-US"/>
              </w:rPr>
              <w:t xml:space="preserve">Процес приступања </w:t>
            </w:r>
            <w:r w:rsidR="00B16622" w:rsidRPr="00092ED7">
              <w:rPr>
                <w:rFonts w:eastAsiaTheme="minorHAnsi" w:cs="Times New Roman"/>
                <w:lang w:val="sr-Cyrl-CS" w:eastAsia="en-US"/>
              </w:rPr>
              <w:t xml:space="preserve">Републике </w:t>
            </w:r>
            <w:r w:rsidRPr="00092ED7">
              <w:rPr>
                <w:rFonts w:eastAsiaTheme="minorHAnsi" w:cs="Times New Roman"/>
                <w:lang w:val="sr-Cyrl-CS" w:eastAsia="en-US"/>
              </w:rPr>
              <w:t xml:space="preserve">Србије СТО је захтеван, посебно због чињенице  да </w:t>
            </w:r>
            <w:r w:rsidR="003B5902" w:rsidRPr="00092ED7">
              <w:rPr>
                <w:rFonts w:eastAsiaTheme="minorHAnsi" w:cs="Times New Roman"/>
                <w:lang w:val="sr-Cyrl-CS" w:eastAsia="en-US"/>
              </w:rPr>
              <w:t xml:space="preserve">Република </w:t>
            </w:r>
            <w:r w:rsidRPr="00092ED7">
              <w:rPr>
                <w:rFonts w:eastAsiaTheme="minorHAnsi" w:cs="Times New Roman"/>
                <w:lang w:val="sr-Cyrl-CS" w:eastAsia="en-US"/>
              </w:rPr>
              <w:t xml:space="preserve">Србија има отворене билатералне преговоре (између осталог и са </w:t>
            </w:r>
            <w:r w:rsidR="00B16622" w:rsidRPr="00092ED7">
              <w:rPr>
                <w:rFonts w:eastAsiaTheme="minorHAnsi" w:cs="Times New Roman"/>
                <w:lang w:val="sr-Cyrl-CS" w:eastAsia="en-US"/>
              </w:rPr>
              <w:t xml:space="preserve">Русијом </w:t>
            </w:r>
            <w:r w:rsidRPr="00092ED7">
              <w:rPr>
                <w:rFonts w:eastAsiaTheme="minorHAnsi" w:cs="Times New Roman"/>
                <w:lang w:val="sr-Cyrl-CS" w:eastAsia="en-US"/>
              </w:rPr>
              <w:t xml:space="preserve"> и Украјином). Одлука о питању да ли ће се ова СР задржати у приоритетним СР представљеним у ЕРП, биће разматрана у следећем циклусу.</w:t>
            </w:r>
          </w:p>
          <w:p w14:paraId="05E7BAD6" w14:textId="77777777" w:rsidR="009E7AB4" w:rsidRPr="00092ED7" w:rsidRDefault="009E7AB4" w:rsidP="009E7AB4">
            <w:pPr>
              <w:spacing w:before="0" w:after="0"/>
              <w:rPr>
                <w:rFonts w:cs="Times New Roman"/>
                <w:sz w:val="20"/>
                <w:lang w:val="sr-Cyrl-CS"/>
              </w:rPr>
            </w:pPr>
          </w:p>
        </w:tc>
      </w:tr>
      <w:tr w:rsidR="009E7AB4" w:rsidRPr="00092ED7" w14:paraId="6B52D4C7" w14:textId="77777777" w:rsidTr="009E7AB4">
        <w:tc>
          <w:tcPr>
            <w:tcW w:w="2789" w:type="dxa"/>
          </w:tcPr>
          <w:p w14:paraId="1CCE5189"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Предлог нове СР:</w:t>
            </w:r>
          </w:p>
          <w:p w14:paraId="321AB848"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Регулисање</w:t>
            </w:r>
            <w:r w:rsidR="003B6113" w:rsidRPr="00092ED7">
              <w:rPr>
                <w:rFonts w:cs="Times New Roman"/>
                <w:sz w:val="20"/>
                <w:lang w:val="sr-Cyrl-CS"/>
              </w:rPr>
              <w:t xml:space="preserve"> </w:t>
            </w:r>
            <w:r w:rsidRPr="00092ED7">
              <w:rPr>
                <w:rFonts w:cs="Times New Roman"/>
                <w:sz w:val="20"/>
                <w:lang w:val="sr-Cyrl-CS"/>
              </w:rPr>
              <w:t xml:space="preserve">унутрашњег тржишта </w:t>
            </w:r>
          </w:p>
          <w:p w14:paraId="461C6EE2" w14:textId="77777777" w:rsidR="009E7AB4" w:rsidRPr="00092ED7" w:rsidRDefault="009E7AB4" w:rsidP="009E7AB4">
            <w:pPr>
              <w:spacing w:before="0" w:after="0"/>
              <w:rPr>
                <w:rFonts w:cs="Times New Roman"/>
                <w:sz w:val="20"/>
                <w:lang w:val="sr-Cyrl-CS"/>
              </w:rPr>
            </w:pPr>
          </w:p>
          <w:p w14:paraId="4BD6ADF1" w14:textId="77777777" w:rsidR="009E7AB4" w:rsidRPr="00092ED7" w:rsidRDefault="009E7AB4" w:rsidP="009E7AB4">
            <w:pPr>
              <w:spacing w:before="0" w:after="0"/>
              <w:rPr>
                <w:rFonts w:cs="Times New Roman"/>
                <w:sz w:val="20"/>
                <w:lang w:val="sr-Cyrl-CS"/>
              </w:rPr>
            </w:pPr>
          </w:p>
        </w:tc>
        <w:tc>
          <w:tcPr>
            <w:tcW w:w="2789" w:type="dxa"/>
          </w:tcPr>
          <w:p w14:paraId="05DBC83A" w14:textId="77777777" w:rsidR="009E7AB4" w:rsidRPr="00092ED7" w:rsidRDefault="009E7AB4" w:rsidP="009E7AB4">
            <w:pPr>
              <w:spacing w:before="0" w:after="0"/>
              <w:rPr>
                <w:rFonts w:cs="Times New Roman"/>
                <w:sz w:val="20"/>
                <w:lang w:val="sr-Cyrl-CS"/>
              </w:rPr>
            </w:pPr>
          </w:p>
        </w:tc>
        <w:tc>
          <w:tcPr>
            <w:tcW w:w="4198" w:type="dxa"/>
          </w:tcPr>
          <w:p w14:paraId="5B9D0C18"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 xml:space="preserve">Реформа подразумева наставак рада на унапређењу свих области Кластера 2 - Реформа је усмерена на уређење унутрашњег тржишта и доприноси испуњавању </w:t>
            </w:r>
            <w:r w:rsidRPr="00092ED7">
              <w:rPr>
                <w:rFonts w:cs="Times New Roman"/>
                <w:sz w:val="20"/>
                <w:lang w:val="sr-Cyrl-CS"/>
              </w:rPr>
              <w:lastRenderedPageBreak/>
              <w:t>стратешких циљева Владе и стратешког  опредељења  за  приступање  ЕУ  у поглављима 1,</w:t>
            </w:r>
            <w:r w:rsidR="003B6113" w:rsidRPr="00092ED7">
              <w:rPr>
                <w:rFonts w:cs="Times New Roman"/>
                <w:sz w:val="20"/>
                <w:lang w:val="sr-Cyrl-CS"/>
              </w:rPr>
              <w:t xml:space="preserve"> </w:t>
            </w:r>
            <w:r w:rsidRPr="00092ED7">
              <w:rPr>
                <w:rFonts w:cs="Times New Roman"/>
                <w:sz w:val="20"/>
                <w:lang w:val="sr-Cyrl-CS"/>
              </w:rPr>
              <w:t>3,</w:t>
            </w:r>
            <w:r w:rsidR="003B6113" w:rsidRPr="00092ED7">
              <w:rPr>
                <w:rFonts w:cs="Times New Roman"/>
                <w:sz w:val="20"/>
                <w:lang w:val="sr-Cyrl-CS"/>
              </w:rPr>
              <w:t xml:space="preserve"> </w:t>
            </w:r>
            <w:r w:rsidRPr="00092ED7">
              <w:rPr>
                <w:rFonts w:cs="Times New Roman"/>
                <w:sz w:val="20"/>
                <w:lang w:val="sr-Cyrl-CS"/>
              </w:rPr>
              <w:t>4,</w:t>
            </w:r>
            <w:r w:rsidR="003B6113" w:rsidRPr="00092ED7">
              <w:rPr>
                <w:rFonts w:cs="Times New Roman"/>
                <w:sz w:val="20"/>
                <w:lang w:val="sr-Cyrl-CS"/>
              </w:rPr>
              <w:t xml:space="preserve"> </w:t>
            </w:r>
            <w:r w:rsidRPr="00092ED7">
              <w:rPr>
                <w:rFonts w:cs="Times New Roman"/>
                <w:sz w:val="20"/>
                <w:lang w:val="sr-Cyrl-CS"/>
              </w:rPr>
              <w:t>6,</w:t>
            </w:r>
            <w:r w:rsidR="003B6113" w:rsidRPr="00092ED7">
              <w:rPr>
                <w:rFonts w:cs="Times New Roman"/>
                <w:sz w:val="20"/>
                <w:lang w:val="sr-Cyrl-CS"/>
              </w:rPr>
              <w:t xml:space="preserve"> </w:t>
            </w:r>
            <w:r w:rsidRPr="00092ED7">
              <w:rPr>
                <w:rFonts w:cs="Times New Roman"/>
                <w:sz w:val="20"/>
                <w:lang w:val="sr-Cyrl-CS"/>
              </w:rPr>
              <w:t>7,</w:t>
            </w:r>
            <w:r w:rsidR="003B6113" w:rsidRPr="00092ED7">
              <w:rPr>
                <w:rFonts w:cs="Times New Roman"/>
                <w:sz w:val="20"/>
                <w:lang w:val="sr-Cyrl-CS"/>
              </w:rPr>
              <w:t xml:space="preserve"> </w:t>
            </w:r>
            <w:r w:rsidRPr="00092ED7">
              <w:rPr>
                <w:rFonts w:cs="Times New Roman"/>
                <w:sz w:val="20"/>
                <w:lang w:val="sr-Cyrl-CS"/>
              </w:rPr>
              <w:t>8,</w:t>
            </w:r>
            <w:r w:rsidR="003B6113" w:rsidRPr="00092ED7">
              <w:rPr>
                <w:rFonts w:cs="Times New Roman"/>
                <w:sz w:val="20"/>
                <w:lang w:val="sr-Cyrl-CS"/>
              </w:rPr>
              <w:t xml:space="preserve"> </w:t>
            </w:r>
            <w:r w:rsidRPr="00092ED7">
              <w:rPr>
                <w:rFonts w:cs="Times New Roman"/>
                <w:sz w:val="20"/>
                <w:lang w:val="sr-Cyrl-CS"/>
              </w:rPr>
              <w:t>9,</w:t>
            </w:r>
            <w:r w:rsidR="003B6113" w:rsidRPr="00092ED7">
              <w:rPr>
                <w:rFonts w:cs="Times New Roman"/>
                <w:sz w:val="20"/>
                <w:lang w:val="sr-Cyrl-CS"/>
              </w:rPr>
              <w:t xml:space="preserve"> </w:t>
            </w:r>
            <w:r w:rsidRPr="00092ED7">
              <w:rPr>
                <w:rFonts w:cs="Times New Roman"/>
                <w:sz w:val="20"/>
                <w:lang w:val="sr-Cyrl-CS"/>
              </w:rPr>
              <w:t>10,</w:t>
            </w:r>
            <w:r w:rsidR="003B6113" w:rsidRPr="00092ED7">
              <w:rPr>
                <w:rFonts w:cs="Times New Roman"/>
                <w:sz w:val="20"/>
                <w:lang w:val="sr-Cyrl-CS"/>
              </w:rPr>
              <w:t xml:space="preserve"> </w:t>
            </w:r>
            <w:r w:rsidRPr="00092ED7">
              <w:rPr>
                <w:rFonts w:cs="Times New Roman"/>
                <w:sz w:val="20"/>
                <w:lang w:val="sr-Cyrl-CS"/>
              </w:rPr>
              <w:t>20,</w:t>
            </w:r>
            <w:r w:rsidR="003B6113" w:rsidRPr="00092ED7">
              <w:rPr>
                <w:rFonts w:cs="Times New Roman"/>
                <w:sz w:val="20"/>
                <w:lang w:val="sr-Cyrl-CS"/>
              </w:rPr>
              <w:t xml:space="preserve"> </w:t>
            </w:r>
            <w:r w:rsidRPr="00092ED7">
              <w:rPr>
                <w:rFonts w:cs="Times New Roman"/>
                <w:sz w:val="20"/>
                <w:lang w:val="sr-Cyrl-CS"/>
              </w:rPr>
              <w:t>25,</w:t>
            </w:r>
            <w:r w:rsidR="003B6113" w:rsidRPr="00092ED7">
              <w:rPr>
                <w:rFonts w:cs="Times New Roman"/>
                <w:sz w:val="20"/>
                <w:lang w:val="sr-Cyrl-CS"/>
              </w:rPr>
              <w:t xml:space="preserve"> </w:t>
            </w:r>
            <w:r w:rsidRPr="00092ED7">
              <w:rPr>
                <w:rFonts w:cs="Times New Roman"/>
                <w:sz w:val="20"/>
                <w:lang w:val="sr-Cyrl-CS"/>
              </w:rPr>
              <w:t>28.  Подржана  је  кроз  велики  твининг пројекат ИПА 2021, чија је реализација у току, а наставак планиран у 2023 или 2024.</w:t>
            </w:r>
          </w:p>
          <w:p w14:paraId="32E5E94F"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 xml:space="preserve">Кључна сврха реформе је успостављање пословног окружења и  услова за дугорочно стабилан и одржив привредни раст, </w:t>
            </w:r>
            <w:r w:rsidR="002331E2" w:rsidRPr="00092ED7">
              <w:rPr>
                <w:rFonts w:cs="Times New Roman"/>
                <w:sz w:val="20"/>
                <w:lang w:val="sr-Cyrl-CS"/>
              </w:rPr>
              <w:t xml:space="preserve">даљу  либерализацију  тржишта, </w:t>
            </w:r>
            <w:r w:rsidRPr="00092ED7">
              <w:rPr>
                <w:rFonts w:cs="Times New Roman"/>
                <w:sz w:val="20"/>
                <w:lang w:val="sr-Cyrl-CS"/>
              </w:rPr>
              <w:t>креирање  повољног  амбијента  за тржишне  операт</w:t>
            </w:r>
            <w:r w:rsidR="002331E2" w:rsidRPr="00092ED7">
              <w:rPr>
                <w:rFonts w:cs="Times New Roman"/>
                <w:sz w:val="20"/>
                <w:lang w:val="sr-Cyrl-CS"/>
              </w:rPr>
              <w:t xml:space="preserve">ере  и  подстицања  иновација, као </w:t>
            </w:r>
            <w:r w:rsidRPr="00092ED7">
              <w:rPr>
                <w:rFonts w:cs="Times New Roman"/>
                <w:sz w:val="20"/>
                <w:lang w:val="sr-Cyrl-CS"/>
              </w:rPr>
              <w:t>кључних  фактора конкурентности. Овим ће се бити омогућено приватном  сектору и потрошачима да у потпуности искористе предности  јединственог тржишта ЕУ по приступању. Обезбеђивање усло</w:t>
            </w:r>
            <w:r w:rsidR="00A204E7" w:rsidRPr="00092ED7">
              <w:rPr>
                <w:rFonts w:cs="Times New Roman"/>
                <w:sz w:val="20"/>
                <w:lang w:val="sr-Cyrl-CS"/>
              </w:rPr>
              <w:t xml:space="preserve">ва за слободну  конкуренцију, усклађивање </w:t>
            </w:r>
            <w:r w:rsidRPr="00092ED7">
              <w:rPr>
                <w:rFonts w:cs="Times New Roman"/>
                <w:sz w:val="20"/>
                <w:lang w:val="sr-Cyrl-CS"/>
              </w:rPr>
              <w:t>политике  државне помоћи, јачање функционал</w:t>
            </w:r>
            <w:r w:rsidR="002331E2" w:rsidRPr="00092ED7">
              <w:rPr>
                <w:rFonts w:cs="Times New Roman"/>
                <w:sz w:val="20"/>
                <w:lang w:val="sr-Cyrl-CS"/>
              </w:rPr>
              <w:t xml:space="preserve">ног система тржишног надзора и </w:t>
            </w:r>
            <w:r w:rsidRPr="00092ED7">
              <w:rPr>
                <w:rFonts w:cs="Times New Roman"/>
                <w:sz w:val="20"/>
                <w:lang w:val="sr-Cyrl-CS"/>
              </w:rPr>
              <w:t>спровођење  права интелектуалне своји</w:t>
            </w:r>
            <w:r w:rsidR="002331E2" w:rsidRPr="00092ED7">
              <w:rPr>
                <w:rFonts w:cs="Times New Roman"/>
                <w:sz w:val="20"/>
                <w:lang w:val="sr-Cyrl-CS"/>
              </w:rPr>
              <w:t xml:space="preserve">не/односно  заштитом носилаца права интелектуалне   својине, либерализацијом </w:t>
            </w:r>
            <w:r w:rsidRPr="00092ED7">
              <w:rPr>
                <w:rFonts w:cs="Times New Roman"/>
                <w:sz w:val="20"/>
                <w:lang w:val="sr-Cyrl-CS"/>
              </w:rPr>
              <w:t>пружања услуга обезбедиће исте услове за тржишне оператере и истовремено много већи избор производа за купце, бе</w:t>
            </w:r>
            <w:r w:rsidR="002331E2" w:rsidRPr="00092ED7">
              <w:rPr>
                <w:rFonts w:cs="Times New Roman"/>
                <w:sz w:val="20"/>
                <w:lang w:val="sr-Cyrl-CS"/>
              </w:rPr>
              <w:t xml:space="preserve">збедније производе,  повољније </w:t>
            </w:r>
            <w:r w:rsidRPr="00092ED7">
              <w:rPr>
                <w:rFonts w:cs="Times New Roman"/>
                <w:sz w:val="20"/>
                <w:lang w:val="sr-Cyrl-CS"/>
              </w:rPr>
              <w:t>цене  и  као резултат  бољу  заштиту потрошача.</w:t>
            </w:r>
          </w:p>
        </w:tc>
        <w:tc>
          <w:tcPr>
            <w:tcW w:w="4172" w:type="dxa"/>
          </w:tcPr>
          <w:p w14:paraId="39344774" w14:textId="77777777" w:rsidR="009E7AB4" w:rsidRPr="00092ED7" w:rsidRDefault="009E7AB4" w:rsidP="009E7AB4">
            <w:pPr>
              <w:spacing w:before="0" w:after="0"/>
              <w:rPr>
                <w:rFonts w:cs="Times New Roman"/>
                <w:sz w:val="20"/>
                <w:lang w:val="sr-Cyrl-CS"/>
              </w:rPr>
            </w:pPr>
            <w:r w:rsidRPr="00092ED7">
              <w:rPr>
                <w:rFonts w:cs="Times New Roman"/>
                <w:sz w:val="20"/>
                <w:lang w:val="sr-Cyrl-CS"/>
              </w:rPr>
              <w:lastRenderedPageBreak/>
              <w:t xml:space="preserve">Област је изузетно значајна, али и комплексна, тако да је неопходно посветити довољно пажње како би се у неком наредном </w:t>
            </w:r>
            <w:r w:rsidRPr="00092ED7">
              <w:rPr>
                <w:rFonts w:cs="Times New Roman"/>
                <w:sz w:val="20"/>
                <w:lang w:val="sr-Cyrl-CS"/>
              </w:rPr>
              <w:lastRenderedPageBreak/>
              <w:t>ЕРП дефинисао најрепрезентативнији реформски сегмент.</w:t>
            </w:r>
          </w:p>
          <w:p w14:paraId="25A5F91F" w14:textId="77777777" w:rsidR="009E7AB4" w:rsidRPr="00092ED7" w:rsidRDefault="009E7AB4" w:rsidP="009E7AB4">
            <w:pPr>
              <w:spacing w:before="0" w:after="0"/>
              <w:rPr>
                <w:rFonts w:cs="Times New Roman"/>
                <w:sz w:val="20"/>
                <w:lang w:val="sr-Cyrl-CS"/>
              </w:rPr>
            </w:pPr>
          </w:p>
        </w:tc>
      </w:tr>
      <w:tr w:rsidR="009E7AB4" w:rsidRPr="00092ED7" w14:paraId="1EE23E39" w14:textId="77777777" w:rsidTr="009E7AB4">
        <w:tc>
          <w:tcPr>
            <w:tcW w:w="2789" w:type="dxa"/>
          </w:tcPr>
          <w:p w14:paraId="63B9D12C" w14:textId="77777777" w:rsidR="009E7AB4" w:rsidRPr="00092ED7" w:rsidRDefault="009E7AB4" w:rsidP="009E7AB4">
            <w:pPr>
              <w:spacing w:before="0" w:after="0"/>
              <w:rPr>
                <w:rFonts w:cs="Times New Roman"/>
                <w:sz w:val="20"/>
                <w:lang w:val="sr-Cyrl-CS"/>
              </w:rPr>
            </w:pPr>
            <w:bookmarkStart w:id="133" w:name="_Toc121414896"/>
            <w:r w:rsidRPr="00092ED7">
              <w:rPr>
                <w:rFonts w:cs="Times New Roman"/>
                <w:sz w:val="20"/>
                <w:lang w:val="sr-Cyrl-CS"/>
              </w:rPr>
              <w:lastRenderedPageBreak/>
              <w:t>5.2.9. Област пољопривреда, индустрија и услуге</w:t>
            </w:r>
            <w:bookmarkEnd w:id="133"/>
          </w:p>
          <w:p w14:paraId="6A9A80FD" w14:textId="77777777" w:rsidR="009E7AB4" w:rsidRPr="00092ED7" w:rsidRDefault="009E7AB4" w:rsidP="009E7AB4">
            <w:pPr>
              <w:spacing w:before="0" w:after="0"/>
              <w:rPr>
                <w:rFonts w:cs="Times New Roman"/>
                <w:sz w:val="20"/>
                <w:lang w:val="sr-Cyrl-CS"/>
              </w:rPr>
            </w:pPr>
          </w:p>
        </w:tc>
        <w:tc>
          <w:tcPr>
            <w:tcW w:w="2789" w:type="dxa"/>
          </w:tcPr>
          <w:p w14:paraId="44535B5A"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Привредна комора Србије, достављено електронским путем 23. децембра 2022.</w:t>
            </w:r>
          </w:p>
        </w:tc>
        <w:tc>
          <w:tcPr>
            <w:tcW w:w="4198" w:type="dxa"/>
          </w:tcPr>
          <w:p w14:paraId="4CE465AF" w14:textId="77777777" w:rsidR="009E7AB4" w:rsidRPr="00092ED7" w:rsidRDefault="009E7AB4" w:rsidP="009E7AB4">
            <w:pPr>
              <w:spacing w:before="0" w:after="0"/>
              <w:rPr>
                <w:rFonts w:cs="Times New Roman"/>
                <w:bCs/>
                <w:sz w:val="20"/>
                <w:lang w:val="sr-Cyrl-CS"/>
              </w:rPr>
            </w:pPr>
            <w:r w:rsidRPr="00092ED7">
              <w:rPr>
                <w:rFonts w:cs="Times New Roman"/>
                <w:sz w:val="20"/>
                <w:lang w:val="sr-Cyrl-CS"/>
              </w:rPr>
              <w:t xml:space="preserve">У делу где се наводи да </w:t>
            </w:r>
            <w:r w:rsidRPr="00092ED7">
              <w:rPr>
                <w:rFonts w:cs="Times New Roman"/>
                <w:bCs/>
                <w:sz w:val="20"/>
                <w:lang w:val="sr-Cyrl-CS"/>
              </w:rPr>
              <w:t xml:space="preserve">самосталан рад без тенденције ка удруживању, недовољан ниво инвестиција у пољопривреду и фрагментисан тржишни ланац ограничавају развој пољопривредне делатности, указујемо да у овој области постоји низ удружења, а најзаступљенија су у говедарској, узгајивачи свиња су  такође удружени, како по регионима тако и на нивоу Републике (нпр. Савез удружења узгајивача свиња Србије). Проблем у сточарству је различит од ситуације у другим секторима пољопривреде. Процењује </w:t>
            </w:r>
            <w:r w:rsidRPr="00092ED7">
              <w:rPr>
                <w:rFonts w:cs="Times New Roman"/>
                <w:bCs/>
                <w:sz w:val="20"/>
                <w:lang w:val="sr-Cyrl-CS"/>
              </w:rPr>
              <w:lastRenderedPageBreak/>
              <w:t>се да сточарство Републике Србије, у структури укупне пољопривредне производње, учествује са око 28,1%</w:t>
            </w:r>
            <w:r w:rsidRPr="00092ED7">
              <w:rPr>
                <w:rFonts w:cs="Times New Roman"/>
                <w:b/>
                <w:bCs/>
                <w:sz w:val="20"/>
                <w:lang w:val="sr-Cyrl-CS"/>
              </w:rPr>
              <w:t xml:space="preserve"> </w:t>
            </w:r>
            <w:r w:rsidRPr="00092ED7">
              <w:rPr>
                <w:rFonts w:cs="Times New Roman"/>
                <w:bCs/>
                <w:sz w:val="20"/>
                <w:lang w:val="sr-Cyrl-CS"/>
              </w:rPr>
              <w:t>(биљна производња заузима учешће од 71,9%). И поред повољних услова за сточарство у Републици Србији, званични статистички подаци, на вишедеценијском нивоу, показују тренд пада броја животиња.</w:t>
            </w:r>
          </w:p>
        </w:tc>
        <w:tc>
          <w:tcPr>
            <w:tcW w:w="4172" w:type="dxa"/>
          </w:tcPr>
          <w:p w14:paraId="711DCA2E" w14:textId="77777777" w:rsidR="009E7AB4" w:rsidRPr="00092ED7" w:rsidRDefault="009E7AB4" w:rsidP="009E7AB4">
            <w:pPr>
              <w:spacing w:before="0" w:after="0"/>
              <w:rPr>
                <w:rFonts w:cs="Times New Roman"/>
                <w:sz w:val="20"/>
                <w:lang w:val="sr-Cyrl-CS"/>
              </w:rPr>
            </w:pPr>
            <w:r w:rsidRPr="00092ED7">
              <w:rPr>
                <w:rFonts w:cs="Times New Roman"/>
                <w:sz w:val="20"/>
                <w:lang w:val="sr-Cyrl-CS"/>
              </w:rPr>
              <w:lastRenderedPageBreak/>
              <w:t>Сагласни смо са ставом да удружења у области пољопривреде свакако постоје, али је потребно њихов рад унапредити и оснажити, на чему се континуирано ради.</w:t>
            </w:r>
          </w:p>
        </w:tc>
      </w:tr>
      <w:tr w:rsidR="009E7AB4" w:rsidRPr="00092ED7" w14:paraId="1D5C99D4" w14:textId="77777777" w:rsidTr="009E7AB4">
        <w:tc>
          <w:tcPr>
            <w:tcW w:w="2789" w:type="dxa"/>
          </w:tcPr>
          <w:p w14:paraId="6879DFC1" w14:textId="77777777" w:rsidR="009E7AB4" w:rsidRPr="00092ED7" w:rsidRDefault="009E7AB4" w:rsidP="009E7AB4">
            <w:pPr>
              <w:spacing w:before="0" w:after="0"/>
              <w:rPr>
                <w:rFonts w:cs="Times New Roman"/>
                <w:sz w:val="20"/>
                <w:lang w:val="sr-Cyrl-CS"/>
              </w:rPr>
            </w:pPr>
          </w:p>
        </w:tc>
        <w:tc>
          <w:tcPr>
            <w:tcW w:w="2789" w:type="dxa"/>
          </w:tcPr>
          <w:p w14:paraId="2689E128" w14:textId="77777777" w:rsidR="009E7AB4" w:rsidRPr="00092ED7" w:rsidRDefault="009E7AB4" w:rsidP="009E7AB4">
            <w:pPr>
              <w:spacing w:before="0" w:after="0"/>
              <w:rPr>
                <w:rFonts w:cs="Times New Roman"/>
                <w:sz w:val="20"/>
                <w:lang w:val="sr-Cyrl-CS"/>
              </w:rPr>
            </w:pPr>
          </w:p>
        </w:tc>
        <w:tc>
          <w:tcPr>
            <w:tcW w:w="4198" w:type="dxa"/>
          </w:tcPr>
          <w:p w14:paraId="128F808B" w14:textId="77777777" w:rsidR="009E7AB4" w:rsidRPr="00092ED7" w:rsidRDefault="009E7AB4" w:rsidP="009E7AB4">
            <w:pPr>
              <w:spacing w:before="0" w:after="0"/>
              <w:rPr>
                <w:rFonts w:cs="Times New Roman"/>
                <w:bCs/>
                <w:sz w:val="20"/>
                <w:lang w:val="sr-Cyrl-CS"/>
              </w:rPr>
            </w:pPr>
            <w:r w:rsidRPr="00092ED7">
              <w:rPr>
                <w:rFonts w:cs="Times New Roman"/>
                <w:bCs/>
                <w:sz w:val="20"/>
                <w:lang w:val="sr-Cyrl-CS"/>
              </w:rPr>
              <w:t>У делу који се односи на будући правни оквир у области пољопривреде у Републици Србији</w:t>
            </w:r>
            <w:r w:rsidRPr="00092ED7">
              <w:rPr>
                <w:rFonts w:cs="Times New Roman"/>
                <w:sz w:val="20"/>
                <w:lang w:val="sr-Cyrl-CS"/>
              </w:rPr>
              <w:t xml:space="preserve"> </w:t>
            </w:r>
            <w:r w:rsidRPr="00092ED7">
              <w:rPr>
                <w:rFonts w:cs="Times New Roman"/>
                <w:bCs/>
                <w:sz w:val="20"/>
                <w:lang w:val="sr-Cyrl-CS"/>
              </w:rPr>
              <w:t>у смислу успостављања праведног, здравог и еколошки прихватљивог тржишног ланца прехрамбених производа, а кроз активности смањења употребе пестицида, вештачког ђубрива и антибиотика, као и смањења ризика њиховог коришћења с једне стране, и унапређења заштите животне средине и очувања биодиверзитета, с друге стране, сматрамо да је неопходно донети посебан Закон о ветеринарским лековима, усклађен са ЕУ законодавством (Привредна комора Србије је у децембру 2019. упутила иницијативу на ову тему).</w:t>
            </w:r>
            <w:r w:rsidRPr="00092ED7">
              <w:rPr>
                <w:rFonts w:cs="Times New Roman"/>
                <w:sz w:val="20"/>
                <w:lang w:val="sr-Cyrl-CS"/>
              </w:rPr>
              <w:t xml:space="preserve"> </w:t>
            </w:r>
            <w:r w:rsidRPr="00092ED7">
              <w:rPr>
                <w:rFonts w:cs="Times New Roman"/>
                <w:bCs/>
                <w:sz w:val="20"/>
                <w:lang w:val="sr-Cyrl-CS"/>
              </w:rPr>
              <w:t>Разлике између важећих националних прописа и ЕУ регулативе у области ветеринарских лекова су неупоредиве. Промене у ЕУ законодавству директно утичу на примену важећих подзаконских аката из области ветеринарских лекова (којим се регулише документација за прве регистрације и обнове, као и варијације), што може утицати на развој сивог тржишта, док је део везан за фармаковагиланцу, полазећи од чињенице да се ослања на важећи Закон о лековима и медицинским средствима, потребно посебно уредити</w:t>
            </w:r>
            <w:r w:rsidR="00945202" w:rsidRPr="00092ED7">
              <w:rPr>
                <w:rFonts w:cs="Times New Roman"/>
                <w:bCs/>
                <w:sz w:val="20"/>
                <w:lang w:val="sr-Cyrl-CS"/>
              </w:rPr>
              <w:t xml:space="preserve"> за област ветеринарских лекова</w:t>
            </w:r>
            <w:r w:rsidR="002331E2" w:rsidRPr="00092ED7">
              <w:rPr>
                <w:rFonts w:cs="Times New Roman"/>
                <w:bCs/>
                <w:sz w:val="20"/>
                <w:lang w:val="sr-Cyrl-CS"/>
              </w:rPr>
              <w:t>.</w:t>
            </w:r>
          </w:p>
          <w:p w14:paraId="26431323" w14:textId="77777777" w:rsidR="009E7AB4" w:rsidRPr="00092ED7" w:rsidRDefault="009E7AB4" w:rsidP="009E7AB4">
            <w:pPr>
              <w:spacing w:before="0" w:after="0"/>
              <w:rPr>
                <w:rFonts w:cs="Times New Roman"/>
                <w:sz w:val="20"/>
                <w:lang w:val="sr-Cyrl-CS"/>
              </w:rPr>
            </w:pPr>
          </w:p>
        </w:tc>
        <w:tc>
          <w:tcPr>
            <w:tcW w:w="4172" w:type="dxa"/>
          </w:tcPr>
          <w:p w14:paraId="7641F9DB"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Како је у предложеној структурној мери фокус на законодавном оквиру који је део Поглавља 11 – Пољопривреда и рурални развој, док су наведене области (на пример пестициди) део Поглавља 12 – Безбедност хране, ветеринарска и фитосанитарна политика, овај коментар је у циљу проширења мере није прихватљив. Министарство пољопривреде, шумарства и водопривреде ће наставити да ради на испуњавању обавеза које произилазе из Поглавља 12, а све у циљу постизања пуне усаглашености са правним тековинама ЕУ.</w:t>
            </w:r>
          </w:p>
          <w:p w14:paraId="5C1B4616" w14:textId="77777777" w:rsidR="009E7AB4" w:rsidRPr="00092ED7" w:rsidRDefault="009E7AB4" w:rsidP="009E7AB4">
            <w:pPr>
              <w:spacing w:before="0" w:after="0"/>
              <w:rPr>
                <w:rFonts w:cs="Times New Roman"/>
                <w:sz w:val="20"/>
                <w:lang w:val="sr-Cyrl-CS"/>
              </w:rPr>
            </w:pPr>
          </w:p>
        </w:tc>
      </w:tr>
      <w:tr w:rsidR="009E7AB4" w:rsidRPr="00092ED7" w14:paraId="421F9467" w14:textId="77777777" w:rsidTr="009E7AB4">
        <w:tc>
          <w:tcPr>
            <w:tcW w:w="2789" w:type="dxa"/>
          </w:tcPr>
          <w:p w14:paraId="048619B5" w14:textId="77777777" w:rsidR="009E7AB4" w:rsidRPr="00092ED7" w:rsidRDefault="009E7AB4" w:rsidP="009E7AB4">
            <w:pPr>
              <w:spacing w:before="0" w:after="0"/>
              <w:rPr>
                <w:rFonts w:cs="Times New Roman"/>
                <w:bCs/>
                <w:sz w:val="20"/>
                <w:lang w:val="sr-Cyrl-CS"/>
              </w:rPr>
            </w:pPr>
            <w:r w:rsidRPr="00092ED7">
              <w:rPr>
                <w:rFonts w:cs="Times New Roman"/>
                <w:bCs/>
                <w:sz w:val="20"/>
                <w:lang w:val="sr-Cyrl-CS"/>
              </w:rPr>
              <w:lastRenderedPageBreak/>
              <w:t>СР 20: Унапређење конкурентности пољопривреде</w:t>
            </w:r>
          </w:p>
        </w:tc>
        <w:tc>
          <w:tcPr>
            <w:tcW w:w="2789" w:type="dxa"/>
          </w:tcPr>
          <w:p w14:paraId="2794F75E" w14:textId="77777777" w:rsidR="009E7AB4" w:rsidRPr="00092ED7" w:rsidRDefault="009E7AB4" w:rsidP="009E7AB4">
            <w:pPr>
              <w:spacing w:before="0" w:after="0"/>
              <w:rPr>
                <w:rFonts w:cs="Times New Roman"/>
                <w:sz w:val="20"/>
                <w:lang w:val="sr-Cyrl-CS"/>
              </w:rPr>
            </w:pPr>
          </w:p>
        </w:tc>
        <w:tc>
          <w:tcPr>
            <w:tcW w:w="4198" w:type="dxa"/>
          </w:tcPr>
          <w:p w14:paraId="18E296FC" w14:textId="4F46F7AF" w:rsidR="009E7AB4" w:rsidRPr="00092ED7" w:rsidRDefault="009E7AB4" w:rsidP="009E7AB4">
            <w:pPr>
              <w:spacing w:before="0" w:after="0"/>
              <w:rPr>
                <w:rFonts w:cs="Times New Roman"/>
                <w:bCs/>
                <w:sz w:val="20"/>
                <w:lang w:val="sr-Cyrl-CS"/>
              </w:rPr>
            </w:pPr>
            <w:r w:rsidRPr="00092ED7">
              <w:rPr>
                <w:rFonts w:cs="Times New Roman"/>
                <w:bCs/>
                <w:sz w:val="20"/>
                <w:lang w:val="sr-Cyrl-CS"/>
              </w:rPr>
              <w:t>У тачки 8. Потенцијални ризици сматрамо да је неусвајање закона и кашњење са усвајањем подзаконских аката високи ризик (а не средњи), јер се касни са доношењем планираних законских прописа. Закон о шемама квалитета за пољопривредне и прехрамбене производе, чији је Нацрт резултат твининг пројекта (завршен у фебруару 2021) још увек није донет, а Закон о уређењу тржишта пољопривредних производа  усвојен у јулу 2021. се не примењује.</w:t>
            </w:r>
          </w:p>
          <w:p w14:paraId="47C7001D" w14:textId="77777777" w:rsidR="009E7AB4" w:rsidRPr="00092ED7" w:rsidRDefault="009E7AB4" w:rsidP="009E7AB4">
            <w:pPr>
              <w:spacing w:before="0" w:after="0"/>
              <w:rPr>
                <w:rFonts w:cs="Times New Roman"/>
                <w:bCs/>
                <w:sz w:val="20"/>
                <w:lang w:val="sr-Cyrl-CS"/>
              </w:rPr>
            </w:pPr>
            <w:r w:rsidRPr="00092ED7">
              <w:rPr>
                <w:rFonts w:cs="Times New Roman"/>
                <w:bCs/>
                <w:sz w:val="20"/>
                <w:lang w:val="sr-Cyrl-CS"/>
              </w:rPr>
              <w:t>Такође, сматрамо да је ризик који се односи на необезбеђена средства за надоградњу регистра животиња висок, а не средњи како се наводи.</w:t>
            </w:r>
          </w:p>
        </w:tc>
        <w:tc>
          <w:tcPr>
            <w:tcW w:w="4172" w:type="dxa"/>
          </w:tcPr>
          <w:p w14:paraId="385C25B6"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 xml:space="preserve">Коментар који се односи на то да се степен ризика необезбеђивање средстава за надоградњу регистра животиња повећа са средњег на високи се прихвата, док су остали ризици по нашем мишљењу адекватно оцењени. </w:t>
            </w:r>
          </w:p>
        </w:tc>
      </w:tr>
      <w:tr w:rsidR="009E7AB4" w:rsidRPr="00092ED7" w14:paraId="3893BEF8" w14:textId="77777777" w:rsidTr="009E7AB4">
        <w:trPr>
          <w:trHeight w:val="2573"/>
        </w:trPr>
        <w:tc>
          <w:tcPr>
            <w:tcW w:w="2789" w:type="dxa"/>
          </w:tcPr>
          <w:p w14:paraId="508D12BA"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СР 21: Унапређење стратешког ок</w:t>
            </w:r>
            <w:r w:rsidR="00F63411" w:rsidRPr="00092ED7">
              <w:rPr>
                <w:rFonts w:cs="Times New Roman"/>
                <w:sz w:val="20"/>
                <w:lang w:val="sr-Cyrl-CS"/>
              </w:rPr>
              <w:t xml:space="preserve">вира инфраструктуре  квалитета и  интеграције у </w:t>
            </w:r>
            <w:r w:rsidRPr="00092ED7">
              <w:rPr>
                <w:rFonts w:cs="Times New Roman"/>
                <w:sz w:val="20"/>
                <w:lang w:val="sr-Cyrl-CS"/>
              </w:rPr>
              <w:t>јединствено тржиште</w:t>
            </w:r>
          </w:p>
        </w:tc>
        <w:tc>
          <w:tcPr>
            <w:tcW w:w="2789" w:type="dxa"/>
          </w:tcPr>
          <w:p w14:paraId="4F144535" w14:textId="77777777" w:rsidR="009E7AB4" w:rsidRPr="00092ED7" w:rsidRDefault="00F63411" w:rsidP="00F63411">
            <w:pPr>
              <w:spacing w:before="0" w:after="0"/>
              <w:rPr>
                <w:rFonts w:cs="Times New Roman"/>
                <w:sz w:val="20"/>
                <w:lang w:val="sr-Cyrl-CS"/>
              </w:rPr>
            </w:pPr>
            <w:r w:rsidRPr="00092ED7">
              <w:rPr>
                <w:rFonts w:cs="Times New Roman"/>
                <w:sz w:val="20"/>
                <w:lang w:val="sr-Cyrl-CS"/>
              </w:rPr>
              <w:t xml:space="preserve">Међусекторска радна </w:t>
            </w:r>
            <w:r w:rsidR="009E7AB4" w:rsidRPr="00092ED7">
              <w:rPr>
                <w:rFonts w:cs="Times New Roman"/>
                <w:sz w:val="20"/>
                <w:lang w:val="sr-Cyrl-CS"/>
              </w:rPr>
              <w:t>групa за ЕРП Националног конвента о ЕУ, достављено електронским путем 26. децембрa 2022.</w:t>
            </w:r>
          </w:p>
        </w:tc>
        <w:tc>
          <w:tcPr>
            <w:tcW w:w="4198" w:type="dxa"/>
          </w:tcPr>
          <w:p w14:paraId="57AFE1B6"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Мишљења смо да би ова СР треба да се нађе у области која се односи на економске интеграције, јер она утиче на уклањање препрека трговини, смањење нецаринских баријера и на усаглашавање са захтевима јединственог тржишта.</w:t>
            </w:r>
          </w:p>
          <w:p w14:paraId="1172ECB2" w14:textId="77777777" w:rsidR="009E7AB4" w:rsidRPr="00092ED7" w:rsidRDefault="009E7AB4" w:rsidP="009E7AB4">
            <w:pPr>
              <w:spacing w:before="0" w:after="0"/>
              <w:rPr>
                <w:rFonts w:cs="Times New Roman"/>
                <w:sz w:val="20"/>
                <w:lang w:val="sr-Cyrl-CS"/>
              </w:rPr>
            </w:pPr>
          </w:p>
          <w:p w14:paraId="00EF1986" w14:textId="77777777" w:rsidR="009E7AB4" w:rsidRPr="00092ED7" w:rsidRDefault="009E7AB4" w:rsidP="009E7AB4">
            <w:pPr>
              <w:spacing w:before="0" w:after="0"/>
              <w:rPr>
                <w:rFonts w:cs="Times New Roman"/>
                <w:sz w:val="20"/>
                <w:lang w:val="sr-Cyrl-CS"/>
              </w:rPr>
            </w:pPr>
          </w:p>
        </w:tc>
        <w:tc>
          <w:tcPr>
            <w:tcW w:w="4172" w:type="dxa"/>
          </w:tcPr>
          <w:p w14:paraId="6FB2C746" w14:textId="77777777" w:rsidR="009E7AB4" w:rsidRPr="00092ED7" w:rsidRDefault="009E7AB4" w:rsidP="003B6113">
            <w:pPr>
              <w:spacing w:before="0" w:after="0"/>
              <w:rPr>
                <w:rFonts w:cs="Times New Roman"/>
                <w:sz w:val="20"/>
                <w:lang w:val="sr-Cyrl-CS"/>
              </w:rPr>
            </w:pPr>
            <w:r w:rsidRPr="00092ED7">
              <w:rPr>
                <w:rFonts w:cs="Times New Roman"/>
                <w:sz w:val="20"/>
                <w:lang w:val="sr-Cyrl-CS"/>
              </w:rPr>
              <w:t xml:space="preserve">Реформа због специфичности области може бити сврстана и у област eкономских интеграција, али и у област пољопривреда, индустрија и услуге, с обзиром на то да се њоме утиче на раст конкурентности привреде. Како ово не представља суштинску промену, реформа је </w:t>
            </w:r>
            <w:r w:rsidR="003B6113" w:rsidRPr="00092ED7">
              <w:rPr>
                <w:rFonts w:cs="Times New Roman"/>
                <w:sz w:val="20"/>
                <w:lang w:val="sr-Cyrl-CS"/>
              </w:rPr>
              <w:t>о</w:t>
            </w:r>
            <w:r w:rsidR="00A44E17" w:rsidRPr="00092ED7">
              <w:rPr>
                <w:rFonts w:cs="Times New Roman"/>
                <w:sz w:val="20"/>
                <w:lang w:val="sr-Cyrl-CS"/>
              </w:rPr>
              <w:t>стала у области у којој је била</w:t>
            </w:r>
            <w:r w:rsidRPr="00092ED7">
              <w:rPr>
                <w:rFonts w:cs="Times New Roman"/>
                <w:sz w:val="20"/>
                <w:lang w:val="sr-Cyrl-CS"/>
              </w:rPr>
              <w:t>.</w:t>
            </w:r>
          </w:p>
        </w:tc>
      </w:tr>
      <w:tr w:rsidR="009E7AB4" w:rsidRPr="00092ED7" w14:paraId="138F20DE" w14:textId="77777777" w:rsidTr="009E7AB4">
        <w:tc>
          <w:tcPr>
            <w:tcW w:w="2789" w:type="dxa"/>
          </w:tcPr>
          <w:p w14:paraId="1711FCC0" w14:textId="77777777" w:rsidR="009E7AB4" w:rsidRPr="00092ED7" w:rsidRDefault="009E7AB4" w:rsidP="009E7AB4">
            <w:pPr>
              <w:spacing w:before="0" w:after="0"/>
              <w:rPr>
                <w:rFonts w:cs="Times New Roman"/>
                <w:bCs/>
                <w:i/>
                <w:sz w:val="20"/>
                <w:lang w:val="sr-Cyrl-CS"/>
              </w:rPr>
            </w:pPr>
            <w:r w:rsidRPr="00092ED7">
              <w:rPr>
                <w:rFonts w:cs="Times New Roman"/>
                <w:sz w:val="20"/>
                <w:lang w:val="sr-Cyrl-CS"/>
              </w:rPr>
              <w:t>5.2.13. Област систем здравствене заштите, општи коментар</w:t>
            </w:r>
          </w:p>
          <w:p w14:paraId="2819FE42" w14:textId="77777777" w:rsidR="009E7AB4" w:rsidRPr="00092ED7" w:rsidRDefault="009E7AB4" w:rsidP="009E7AB4">
            <w:pPr>
              <w:spacing w:before="0" w:after="0"/>
              <w:rPr>
                <w:rFonts w:cs="Times New Roman"/>
                <w:sz w:val="20"/>
                <w:lang w:val="sr-Cyrl-CS"/>
              </w:rPr>
            </w:pPr>
          </w:p>
        </w:tc>
        <w:tc>
          <w:tcPr>
            <w:tcW w:w="2789" w:type="dxa"/>
          </w:tcPr>
          <w:p w14:paraId="083BFFC6" w14:textId="77777777" w:rsidR="009E7AB4" w:rsidRPr="00092ED7" w:rsidRDefault="00A44E17" w:rsidP="00A44E17">
            <w:pPr>
              <w:spacing w:before="0" w:after="0"/>
              <w:rPr>
                <w:rFonts w:cs="Times New Roman"/>
                <w:sz w:val="20"/>
                <w:lang w:val="sr-Cyrl-CS"/>
              </w:rPr>
            </w:pPr>
            <w:r w:rsidRPr="00092ED7">
              <w:rPr>
                <w:rFonts w:cs="Times New Roman"/>
                <w:sz w:val="20"/>
                <w:lang w:val="sr-Cyrl-CS"/>
              </w:rPr>
              <w:t xml:space="preserve">Међусекторска радна </w:t>
            </w:r>
            <w:r w:rsidR="009E7AB4" w:rsidRPr="00092ED7">
              <w:rPr>
                <w:rFonts w:cs="Times New Roman"/>
                <w:sz w:val="20"/>
                <w:lang w:val="sr-Cyrl-CS"/>
              </w:rPr>
              <w:t>групa за ЕРП Националног конвента о ЕУ, достављено електронским путем 26. децембрa 2022.</w:t>
            </w:r>
          </w:p>
        </w:tc>
        <w:tc>
          <w:tcPr>
            <w:tcW w:w="4198" w:type="dxa"/>
          </w:tcPr>
          <w:p w14:paraId="00D00196"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Предлог за нове мере у оквиру СР 22: Спровођење Програма дигитализације здравства, и његових приоритетних пројеката:</w:t>
            </w:r>
            <w:r w:rsidR="00A44E17" w:rsidRPr="00092ED7">
              <w:rPr>
                <w:rFonts w:cs="Times New Roman"/>
                <w:sz w:val="20"/>
                <w:lang w:val="sr-Cyrl-CS"/>
              </w:rPr>
              <w:t xml:space="preserve"> еУпут,</w:t>
            </w:r>
            <w:r w:rsidR="00A44E17" w:rsidRPr="00092ED7">
              <w:rPr>
                <w:rFonts w:cs="Times New Roman"/>
                <w:sz w:val="20"/>
                <w:lang w:val="sr-Cyrl-CS"/>
              </w:rPr>
              <w:tab/>
              <w:t xml:space="preserve">еБоловање, Успостављање </w:t>
            </w:r>
            <w:r w:rsidRPr="00092ED7">
              <w:rPr>
                <w:rFonts w:cs="Times New Roman"/>
                <w:sz w:val="20"/>
                <w:lang w:val="sr-Cyrl-CS"/>
              </w:rPr>
              <w:t>стандарда</w:t>
            </w:r>
          </w:p>
          <w:p w14:paraId="46D982E0"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интероперабилности, еРецепт проширење.</w:t>
            </w:r>
          </w:p>
        </w:tc>
        <w:tc>
          <w:tcPr>
            <w:tcW w:w="4172" w:type="dxa"/>
          </w:tcPr>
          <w:p w14:paraId="217EABBC" w14:textId="77777777" w:rsidR="009E7AB4" w:rsidRPr="00092ED7" w:rsidRDefault="009E7AB4" w:rsidP="009E7AB4">
            <w:pPr>
              <w:spacing w:before="0" w:after="0"/>
              <w:rPr>
                <w:rFonts w:cs="Times New Roman"/>
                <w:sz w:val="20"/>
                <w:lang w:val="sr-Cyrl-CS"/>
              </w:rPr>
            </w:pPr>
            <w:r w:rsidRPr="00092ED7">
              <w:rPr>
                <w:rFonts w:cs="Times New Roman"/>
                <w:sz w:val="20"/>
                <w:lang w:val="sr-Cyrl-CS"/>
              </w:rPr>
              <w:t xml:space="preserve">Предложена СР, која се у великој мери односи на дигитализацију здравства, заснива се на областима у којима је фокус у наредном средњорочном периоду. </w:t>
            </w:r>
          </w:p>
        </w:tc>
      </w:tr>
    </w:tbl>
    <w:p w14:paraId="74ECA8C1" w14:textId="77777777" w:rsidR="009E7AB4" w:rsidRPr="00092ED7" w:rsidRDefault="009E7AB4" w:rsidP="009E7AB4">
      <w:pPr>
        <w:spacing w:after="0"/>
        <w:rPr>
          <w:rFonts w:cs="Times New Roman"/>
          <w:sz w:val="20"/>
          <w:szCs w:val="20"/>
          <w:lang w:val="sr-Cyrl-CS"/>
        </w:rPr>
      </w:pPr>
    </w:p>
    <w:p w14:paraId="3612F896" w14:textId="77777777" w:rsidR="003B6113" w:rsidRPr="00092ED7" w:rsidRDefault="003B6113">
      <w:pPr>
        <w:spacing w:after="160" w:line="259" w:lineRule="auto"/>
        <w:jc w:val="left"/>
        <w:rPr>
          <w:w w:val="110"/>
          <w:lang w:val="sr-Cyrl-CS"/>
        </w:rPr>
        <w:sectPr w:rsidR="003B6113" w:rsidRPr="00092ED7" w:rsidSect="00977F4F">
          <w:pgSz w:w="16838" w:h="11906" w:orient="landscape" w:code="9"/>
          <w:pgMar w:top="1440" w:right="1440" w:bottom="1440" w:left="1440" w:header="720" w:footer="720" w:gutter="0"/>
          <w:cols w:space="720"/>
          <w:docGrid w:linePitch="360"/>
        </w:sectPr>
      </w:pPr>
    </w:p>
    <w:p w14:paraId="10D771BB" w14:textId="77777777" w:rsidR="003B6113" w:rsidRPr="00092ED7" w:rsidRDefault="003B6113">
      <w:pPr>
        <w:spacing w:after="160" w:line="259" w:lineRule="auto"/>
        <w:jc w:val="left"/>
        <w:rPr>
          <w:w w:val="110"/>
          <w:lang w:val="sr-Cyrl-CS"/>
        </w:rPr>
      </w:pPr>
    </w:p>
    <w:sectPr w:rsidR="003B6113" w:rsidRPr="00092ED7" w:rsidSect="003B6113">
      <w:type w:val="continuous"/>
      <w:pgSz w:w="16838" w:h="11906" w:orient="landscape"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C1ADF3" w14:textId="77777777" w:rsidR="0044316A" w:rsidRDefault="0044316A" w:rsidP="00797049">
      <w:pPr>
        <w:spacing w:after="0"/>
      </w:pPr>
      <w:r>
        <w:separator/>
      </w:r>
    </w:p>
  </w:endnote>
  <w:endnote w:type="continuationSeparator" w:id="0">
    <w:p w14:paraId="22AEEC15" w14:textId="77777777" w:rsidR="0044316A" w:rsidRDefault="0044316A" w:rsidP="0079704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mbria">
    <w:panose1 w:val="02040503050406030204"/>
    <w:charset w:val="00"/>
    <w:family w:val="roman"/>
    <w:pitch w:val="variable"/>
    <w:sig w:usb0="E00006FF" w:usb1="420024FF" w:usb2="02000000" w:usb3="00000000" w:csb0="000001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onstantia">
    <w:panose1 w:val="02030602050306030303"/>
    <w:charset w:val="00"/>
    <w:family w:val="roman"/>
    <w:pitch w:val="variable"/>
    <w:sig w:usb0="A00002EF" w:usb1="4000204B" w:usb2="00000000" w:usb3="00000000" w:csb0="0000019F" w:csb1="00000000"/>
  </w:font>
  <w:font w:name="Comic Sans MS">
    <w:panose1 w:val="030F0702030302020204"/>
    <w:charset w:val="00"/>
    <w:family w:val="script"/>
    <w:pitch w:val="variable"/>
    <w:sig w:usb0="00000287" w:usb1="00000013"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Franklin Gothic Medium">
    <w:panose1 w:val="020B0603020102020204"/>
    <w:charset w:val="00"/>
    <w:family w:val="swiss"/>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Tunga">
    <w:panose1 w:val="00000400000000000000"/>
    <w:charset w:val="00"/>
    <w:family w:val="swiss"/>
    <w:pitch w:val="variable"/>
    <w:sig w:usb0="004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entury Schoolbook">
    <w:panose1 w:val="02040604050505020304"/>
    <w:charset w:val="00"/>
    <w:family w:val="roman"/>
    <w:pitch w:val="variable"/>
    <w:sig w:usb0="00000287" w:usb1="00000000" w:usb2="00000000" w:usb3="00000000" w:csb0="0000009F" w:csb1="00000000"/>
  </w:font>
  <w:font w:name="TimesNewRomanPSMT">
    <w:altName w:val="Yu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124377920"/>
      <w:docPartObj>
        <w:docPartGallery w:val="Page Numbers (Bottom of Page)"/>
        <w:docPartUnique/>
      </w:docPartObj>
    </w:sdtPr>
    <w:sdtEndPr>
      <w:rPr>
        <w:noProof/>
      </w:rPr>
    </w:sdtEndPr>
    <w:sdtContent>
      <w:p w14:paraId="2C1F4E32" w14:textId="0BC806AD" w:rsidR="00815ACD" w:rsidRDefault="00815ACD" w:rsidP="00A12315">
        <w:pPr>
          <w:pStyle w:val="Footer"/>
          <w:jc w:val="right"/>
        </w:pPr>
        <w:r w:rsidRPr="00A0299F">
          <w:rPr>
            <w:sz w:val="16"/>
            <w:szCs w:val="16"/>
          </w:rPr>
          <w:fldChar w:fldCharType="begin"/>
        </w:r>
        <w:r w:rsidRPr="00A0299F">
          <w:rPr>
            <w:sz w:val="16"/>
            <w:szCs w:val="16"/>
          </w:rPr>
          <w:instrText xml:space="preserve"> PAGE   \* MERGEFORMAT </w:instrText>
        </w:r>
        <w:r w:rsidRPr="00A0299F">
          <w:rPr>
            <w:sz w:val="16"/>
            <w:szCs w:val="16"/>
          </w:rPr>
          <w:fldChar w:fldCharType="separate"/>
        </w:r>
        <w:r w:rsidR="00B753EF">
          <w:rPr>
            <w:noProof/>
            <w:sz w:val="16"/>
            <w:szCs w:val="16"/>
          </w:rPr>
          <w:t>180</w:t>
        </w:r>
        <w:r w:rsidRPr="00A0299F">
          <w:rPr>
            <w:noProof/>
            <w:sz w:val="16"/>
            <w:szCs w:val="16"/>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F3C8B8" w14:textId="7187C063" w:rsidR="00815ACD" w:rsidRDefault="00815ACD">
    <w:pPr>
      <w:pStyle w:val="Footer"/>
      <w:jc w:val="right"/>
    </w:pPr>
  </w:p>
  <w:p w14:paraId="35E2DA31" w14:textId="77777777" w:rsidR="00815ACD" w:rsidRDefault="00815AC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cs="Times New Roman"/>
      </w:rPr>
      <w:id w:val="-1260672693"/>
      <w:docPartObj>
        <w:docPartGallery w:val="Page Numbers (Bottom of Page)"/>
        <w:docPartUnique/>
      </w:docPartObj>
    </w:sdtPr>
    <w:sdtEndPr>
      <w:rPr>
        <w:noProof/>
      </w:rPr>
    </w:sdtEndPr>
    <w:sdtContent>
      <w:p w14:paraId="6004456E" w14:textId="41DF4069" w:rsidR="00815ACD" w:rsidRPr="00E33210" w:rsidRDefault="00815ACD" w:rsidP="00247CBF">
        <w:pPr>
          <w:pStyle w:val="Footer"/>
          <w:jc w:val="right"/>
          <w:rPr>
            <w:rFonts w:cs="Times New Roman"/>
          </w:rPr>
        </w:pPr>
        <w:r w:rsidRPr="00640524">
          <w:rPr>
            <w:rFonts w:cs="Times New Roman"/>
            <w:sz w:val="18"/>
            <w:szCs w:val="18"/>
          </w:rPr>
          <w:fldChar w:fldCharType="begin"/>
        </w:r>
        <w:r w:rsidRPr="00640524">
          <w:rPr>
            <w:rFonts w:cs="Times New Roman"/>
            <w:sz w:val="18"/>
            <w:szCs w:val="18"/>
          </w:rPr>
          <w:instrText xml:space="preserve"> PAGE   \* MERGEFORMAT </w:instrText>
        </w:r>
        <w:r w:rsidRPr="00640524">
          <w:rPr>
            <w:rFonts w:cs="Times New Roman"/>
            <w:sz w:val="18"/>
            <w:szCs w:val="18"/>
          </w:rPr>
          <w:fldChar w:fldCharType="separate"/>
        </w:r>
        <w:r w:rsidR="00B753EF">
          <w:rPr>
            <w:rFonts w:cs="Times New Roman"/>
            <w:noProof/>
            <w:sz w:val="18"/>
            <w:szCs w:val="18"/>
          </w:rPr>
          <w:t>290</w:t>
        </w:r>
        <w:r w:rsidRPr="00640524">
          <w:rPr>
            <w:rFonts w:cs="Times New Roman"/>
            <w:noProof/>
            <w:sz w:val="18"/>
            <w:szCs w:val="18"/>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A5F0FD" w14:textId="77777777" w:rsidR="0044316A" w:rsidRDefault="0044316A" w:rsidP="00797049">
      <w:pPr>
        <w:spacing w:after="0"/>
      </w:pPr>
      <w:r>
        <w:separator/>
      </w:r>
    </w:p>
  </w:footnote>
  <w:footnote w:type="continuationSeparator" w:id="0">
    <w:p w14:paraId="57AC3FE6" w14:textId="77777777" w:rsidR="0044316A" w:rsidRDefault="0044316A" w:rsidP="00797049">
      <w:pPr>
        <w:spacing w:after="0"/>
      </w:pPr>
      <w:r>
        <w:continuationSeparator/>
      </w:r>
    </w:p>
  </w:footnote>
  <w:footnote w:id="1">
    <w:p w14:paraId="12C9E865" w14:textId="77777777" w:rsidR="00815ACD" w:rsidRPr="00AC36D8" w:rsidRDefault="00815ACD" w:rsidP="008D40F9">
      <w:pPr>
        <w:pStyle w:val="FootnoteText"/>
        <w:spacing w:after="60"/>
        <w:ind w:firstLine="0"/>
        <w:rPr>
          <w:lang w:val="sr-Latn-RS"/>
        </w:rPr>
      </w:pPr>
      <w:r w:rsidRPr="008D40F9">
        <w:rPr>
          <w:rStyle w:val="FootnoteReference"/>
          <w:rFonts w:ascii="Times New Roman" w:hAnsi="Times New Roman"/>
          <w:color w:val="auto"/>
          <w:sz w:val="16"/>
          <w:szCs w:val="18"/>
          <w:lang w:val="sr-Cyrl-RS"/>
        </w:rPr>
        <w:footnoteRef/>
      </w:r>
      <w:r w:rsidRPr="008D40F9">
        <w:rPr>
          <w:rStyle w:val="FootnoteReference"/>
          <w:rFonts w:ascii="Times New Roman" w:hAnsi="Times New Roman"/>
          <w:color w:val="auto"/>
          <w:sz w:val="16"/>
          <w:szCs w:val="18"/>
          <w:lang w:val="sr-Cyrl-RS"/>
        </w:rPr>
        <w:t xml:space="preserve"> </w:t>
      </w:r>
      <w:r w:rsidRPr="008D40F9">
        <w:rPr>
          <w:rFonts w:ascii="Times New Roman" w:hAnsi="Times New Roman"/>
          <w:color w:val="auto"/>
          <w:sz w:val="16"/>
          <w:szCs w:val="18"/>
          <w:lang w:val="sr-Cyrl-RS"/>
        </w:rPr>
        <w:t>Више о фискалним правилима у тачки 4.8. Фискално управљање и буџетски оквири.</w:t>
      </w:r>
    </w:p>
  </w:footnote>
  <w:footnote w:id="2">
    <w:p w14:paraId="66E51579" w14:textId="08099ADD" w:rsidR="00815ACD" w:rsidRPr="00AA5E18" w:rsidRDefault="00815ACD" w:rsidP="00AC1235">
      <w:pPr>
        <w:pStyle w:val="FootnoteText"/>
        <w:spacing w:after="60"/>
        <w:ind w:firstLine="0"/>
        <w:rPr>
          <w:lang w:val="sr-Cyrl-RS"/>
        </w:rPr>
      </w:pPr>
      <w:r w:rsidRPr="00AC1235">
        <w:rPr>
          <w:rStyle w:val="FootnoteReference"/>
          <w:rFonts w:ascii="Times New Roman" w:hAnsi="Times New Roman"/>
          <w:color w:val="auto"/>
          <w:sz w:val="16"/>
          <w:szCs w:val="18"/>
          <w:lang w:val="sr-Cyrl-RS"/>
        </w:rPr>
        <w:footnoteRef/>
      </w:r>
      <w:r w:rsidRPr="00AC1235">
        <w:rPr>
          <w:rStyle w:val="FootnoteReference"/>
          <w:rFonts w:ascii="Times New Roman" w:hAnsi="Times New Roman"/>
          <w:color w:val="auto"/>
          <w:sz w:val="16"/>
          <w:szCs w:val="18"/>
          <w:lang w:val="sr-Cyrl-RS"/>
        </w:rPr>
        <w:t xml:space="preserve"> </w:t>
      </w:r>
      <w:r w:rsidRPr="00AC1235">
        <w:rPr>
          <w:rFonts w:ascii="Times New Roman" w:hAnsi="Times New Roman"/>
          <w:color w:val="auto"/>
          <w:sz w:val="16"/>
          <w:szCs w:val="18"/>
          <w:lang w:val="sr-Cyrl-RS"/>
        </w:rPr>
        <w:t xml:space="preserve">Више информација о предузетим активностима ради адресирања фискалних ризика код државних предузећа у тачки 4.6. Анализа осетљивости и поређење са претходним програмима </w:t>
      </w:r>
      <w:r w:rsidRPr="00AA5E18">
        <w:rPr>
          <w:rFonts w:ascii="Times New Roman" w:hAnsi="Times New Roman"/>
          <w:color w:val="auto"/>
          <w:sz w:val="16"/>
          <w:szCs w:val="18"/>
          <w:lang w:val="sr-Cyrl-RS"/>
        </w:rPr>
        <w:t xml:space="preserve">стр. </w:t>
      </w:r>
      <w:r w:rsidRPr="00AA5E18">
        <w:rPr>
          <w:rFonts w:ascii="Times New Roman" w:hAnsi="Times New Roman"/>
          <w:color w:val="auto"/>
          <w:sz w:val="16"/>
          <w:szCs w:val="18"/>
          <w:lang w:val="sr-Latn-RS"/>
        </w:rPr>
        <w:t>56</w:t>
      </w:r>
      <w:r w:rsidRPr="00AC1235">
        <w:rPr>
          <w:rFonts w:ascii="Times New Roman" w:hAnsi="Times New Roman"/>
          <w:color w:val="auto"/>
          <w:sz w:val="16"/>
          <w:szCs w:val="18"/>
          <w:lang w:val="sr-Cyrl-RS"/>
        </w:rPr>
        <w:t xml:space="preserve"> и тачки 4.7 Квалитет јавних финансија</w:t>
      </w:r>
      <w:r w:rsidRPr="00AA5E18">
        <w:rPr>
          <w:rFonts w:ascii="Times New Roman" w:hAnsi="Times New Roman"/>
          <w:color w:val="auto"/>
          <w:sz w:val="16"/>
          <w:szCs w:val="18"/>
          <w:lang w:val="sr-Cyrl-RS"/>
        </w:rPr>
        <w:t xml:space="preserve"> </w:t>
      </w:r>
      <w:r w:rsidRPr="00AA5E18">
        <w:rPr>
          <w:rFonts w:ascii="Times New Roman" w:hAnsi="Times New Roman"/>
          <w:color w:val="auto"/>
          <w:sz w:val="16"/>
          <w:szCs w:val="18"/>
        </w:rPr>
        <w:t xml:space="preserve"> </w:t>
      </w:r>
      <w:r w:rsidRPr="00AA5E18">
        <w:rPr>
          <w:rFonts w:ascii="Times New Roman" w:hAnsi="Times New Roman"/>
          <w:color w:val="auto"/>
          <w:sz w:val="16"/>
          <w:szCs w:val="18"/>
          <w:lang w:val="sr-Cyrl-RS"/>
        </w:rPr>
        <w:t>стр. 65.</w:t>
      </w:r>
    </w:p>
  </w:footnote>
  <w:footnote w:id="3">
    <w:p w14:paraId="7D75B84B" w14:textId="77777777" w:rsidR="00815ACD" w:rsidRPr="00384F61" w:rsidRDefault="00815ACD" w:rsidP="000679CD">
      <w:pPr>
        <w:pStyle w:val="FootnoteText"/>
        <w:spacing w:after="60"/>
        <w:ind w:firstLine="0"/>
        <w:rPr>
          <w:rFonts w:ascii="Times New Roman" w:hAnsi="Times New Roman"/>
          <w:color w:val="auto"/>
          <w:sz w:val="16"/>
          <w:szCs w:val="18"/>
          <w:lang w:val="sr-Cyrl-RS"/>
        </w:rPr>
      </w:pPr>
      <w:r w:rsidRPr="00384F61">
        <w:rPr>
          <w:rStyle w:val="FootnoteReference"/>
          <w:rFonts w:ascii="Times New Roman" w:hAnsi="Times New Roman"/>
          <w:color w:val="auto"/>
          <w:sz w:val="16"/>
          <w:szCs w:val="18"/>
          <w:lang w:val="sr-Cyrl-RS"/>
        </w:rPr>
        <w:footnoteRef/>
      </w:r>
      <w:r w:rsidRPr="00384F61">
        <w:rPr>
          <w:rFonts w:ascii="Times New Roman" w:hAnsi="Times New Roman"/>
          <w:color w:val="auto"/>
          <w:sz w:val="16"/>
          <w:szCs w:val="18"/>
          <w:lang w:val="sr-Cyrl-RS"/>
        </w:rPr>
        <w:t xml:space="preserve"> Подаци о укупном извозу и увозу робе дати су према методологији платног биланса, док су детаљни подаци (по различитим класификацијама) дати према методологији спољне трговине.</w:t>
      </w:r>
    </w:p>
  </w:footnote>
  <w:footnote w:id="4">
    <w:p w14:paraId="282C0052" w14:textId="77777777" w:rsidR="00815ACD" w:rsidRPr="00384F61" w:rsidRDefault="00815ACD" w:rsidP="000679CD">
      <w:pPr>
        <w:pStyle w:val="FootnoteText"/>
        <w:spacing w:after="60"/>
        <w:ind w:firstLine="0"/>
        <w:rPr>
          <w:rFonts w:ascii="Times New Roman" w:hAnsi="Times New Roman" w:cs="Times New Roman"/>
          <w:color w:val="auto"/>
          <w:sz w:val="16"/>
          <w:szCs w:val="16"/>
          <w:lang w:val="sr-Cyrl-RS"/>
        </w:rPr>
      </w:pPr>
      <w:r w:rsidRPr="00384F61">
        <w:rPr>
          <w:rStyle w:val="FootnoteReference"/>
          <w:rFonts w:ascii="Times New Roman" w:hAnsi="Times New Roman" w:cs="Times New Roman"/>
          <w:color w:val="auto"/>
          <w:sz w:val="16"/>
          <w:szCs w:val="16"/>
          <w:lang w:val="sr-Cyrl-RS"/>
        </w:rPr>
        <w:footnoteRef/>
      </w:r>
      <w:r w:rsidRPr="00384F61">
        <w:rPr>
          <w:rFonts w:ascii="Times New Roman" w:hAnsi="Times New Roman" w:cs="Times New Roman"/>
          <w:color w:val="auto"/>
          <w:sz w:val="16"/>
          <w:szCs w:val="16"/>
          <w:lang w:val="sr-Cyrl-RS"/>
        </w:rPr>
        <w:t xml:space="preserve"> Са стањем у јуну 2022.</w:t>
      </w:r>
    </w:p>
  </w:footnote>
  <w:footnote w:id="5">
    <w:p w14:paraId="3B1512FF" w14:textId="77777777" w:rsidR="00815ACD" w:rsidRPr="00384F61" w:rsidRDefault="00815ACD" w:rsidP="00061F8A">
      <w:pPr>
        <w:pStyle w:val="FootnoteText"/>
        <w:spacing w:after="0"/>
        <w:ind w:firstLine="0"/>
        <w:rPr>
          <w:rFonts w:ascii="Times New Roman" w:hAnsi="Times New Roman" w:cs="Times New Roman"/>
          <w:color w:val="auto"/>
          <w:sz w:val="16"/>
          <w:szCs w:val="16"/>
          <w:lang w:val="sr-Cyrl-RS"/>
        </w:rPr>
      </w:pPr>
      <w:r w:rsidRPr="00384F61">
        <w:rPr>
          <w:rStyle w:val="FootnoteReference"/>
          <w:rFonts w:ascii="Times New Roman" w:hAnsi="Times New Roman" w:cs="Times New Roman"/>
          <w:color w:val="auto"/>
          <w:sz w:val="16"/>
          <w:szCs w:val="16"/>
          <w:lang w:val="sr-Cyrl-RS"/>
        </w:rPr>
        <w:footnoteRef/>
      </w:r>
      <w:r w:rsidRPr="00384F61">
        <w:rPr>
          <w:rStyle w:val="FootnoteReference"/>
          <w:rFonts w:ascii="Times New Roman" w:hAnsi="Times New Roman" w:cs="Times New Roman"/>
          <w:color w:val="auto"/>
          <w:sz w:val="16"/>
          <w:szCs w:val="16"/>
          <w:lang w:val="sr-Cyrl-RS"/>
        </w:rPr>
        <w:t xml:space="preserve"> </w:t>
      </w:r>
      <w:r w:rsidRPr="00384F61">
        <w:rPr>
          <w:rFonts w:ascii="Times New Roman" w:hAnsi="Times New Roman" w:cs="Times New Roman"/>
          <w:color w:val="auto"/>
          <w:sz w:val="16"/>
          <w:szCs w:val="16"/>
          <w:lang w:val="sr-Cyrl-RS"/>
        </w:rPr>
        <w:t>Обрачунато на основу података из извештаја NPL 3 које банке достављају Народној банци Србије.</w:t>
      </w:r>
    </w:p>
  </w:footnote>
  <w:footnote w:id="6">
    <w:p w14:paraId="328685DF" w14:textId="77777777" w:rsidR="00815ACD" w:rsidRPr="00384F61" w:rsidRDefault="00815ACD" w:rsidP="00061F8A">
      <w:pPr>
        <w:pStyle w:val="FootnoteText"/>
        <w:spacing w:after="0"/>
        <w:ind w:firstLine="0"/>
        <w:rPr>
          <w:rFonts w:ascii="Times New Roman" w:hAnsi="Times New Roman" w:cs="Times New Roman"/>
          <w:color w:val="auto"/>
          <w:sz w:val="16"/>
          <w:szCs w:val="16"/>
          <w:lang w:val="sr-Cyrl-RS"/>
        </w:rPr>
      </w:pPr>
      <w:r w:rsidRPr="00384F61">
        <w:rPr>
          <w:rFonts w:ascii="Times New Roman" w:hAnsi="Times New Roman" w:cs="Times New Roman"/>
          <w:color w:val="auto"/>
          <w:sz w:val="16"/>
          <w:szCs w:val="16"/>
          <w:vertAlign w:val="superscript"/>
          <w:lang w:val="sr-Cyrl-RS"/>
        </w:rPr>
        <w:footnoteRef/>
      </w:r>
      <w:r w:rsidRPr="00384F61">
        <w:rPr>
          <w:rFonts w:ascii="Times New Roman" w:hAnsi="Times New Roman" w:cs="Times New Roman"/>
          <w:color w:val="auto"/>
          <w:sz w:val="16"/>
          <w:szCs w:val="16"/>
          <w:vertAlign w:val="superscript"/>
          <w:lang w:val="sr-Cyrl-RS"/>
        </w:rPr>
        <w:t xml:space="preserve"> </w:t>
      </w:r>
      <w:r w:rsidRPr="00384F61">
        <w:rPr>
          <w:rFonts w:ascii="Times New Roman" w:hAnsi="Times New Roman" w:cs="Times New Roman"/>
          <w:color w:val="auto"/>
          <w:sz w:val="16"/>
          <w:szCs w:val="16"/>
          <w:lang w:val="sr-Cyrl-RS"/>
        </w:rPr>
        <w:t>У складу са Одлуком o утврђивању листе системски значајних банака у Републици Србији и стопа заштитног слоја капитала за те банке од 16. јуна 2022. године.</w:t>
      </w:r>
    </w:p>
  </w:footnote>
  <w:footnote w:id="7">
    <w:p w14:paraId="6DCA8F8E" w14:textId="77777777" w:rsidR="00815ACD" w:rsidRPr="00384F61" w:rsidRDefault="00815ACD" w:rsidP="00061F8A">
      <w:pPr>
        <w:pStyle w:val="FootnoteText"/>
        <w:spacing w:after="0"/>
        <w:ind w:firstLine="0"/>
        <w:rPr>
          <w:rFonts w:ascii="Times New Roman" w:hAnsi="Times New Roman"/>
          <w:color w:val="auto"/>
          <w:sz w:val="16"/>
          <w:szCs w:val="16"/>
          <w:lang w:val="sr-Cyrl-RS"/>
        </w:rPr>
      </w:pPr>
      <w:r w:rsidRPr="00384F61">
        <w:rPr>
          <w:rFonts w:ascii="Times New Roman" w:hAnsi="Times New Roman"/>
          <w:color w:val="auto"/>
          <w:sz w:val="16"/>
          <w:szCs w:val="16"/>
          <w:vertAlign w:val="superscript"/>
          <w:lang w:val="sr-Cyrl-RS"/>
        </w:rPr>
        <w:footnoteRef/>
      </w:r>
      <w:r w:rsidRPr="00384F61">
        <w:rPr>
          <w:rFonts w:ascii="Times New Roman" w:hAnsi="Times New Roman"/>
          <w:color w:val="auto"/>
          <w:sz w:val="16"/>
          <w:szCs w:val="16"/>
          <w:vertAlign w:val="superscript"/>
          <w:lang w:val="sr-Cyrl-RS"/>
        </w:rPr>
        <w:t xml:space="preserve"> </w:t>
      </w:r>
      <w:r w:rsidRPr="00384F61">
        <w:rPr>
          <w:rFonts w:ascii="Times New Roman" w:hAnsi="Times New Roman"/>
          <w:color w:val="auto"/>
          <w:sz w:val="16"/>
          <w:szCs w:val="16"/>
          <w:lang w:val="sr-Cyrl-RS"/>
        </w:rPr>
        <w:t>У односу 80:20.</w:t>
      </w:r>
    </w:p>
  </w:footnote>
  <w:footnote w:id="8">
    <w:p w14:paraId="0EF228BC" w14:textId="77777777" w:rsidR="00815ACD" w:rsidRPr="005618B0" w:rsidRDefault="00815ACD" w:rsidP="00E255B1">
      <w:pPr>
        <w:pStyle w:val="FootnoteText"/>
        <w:spacing w:after="0"/>
        <w:ind w:firstLine="0"/>
        <w:rPr>
          <w:rFonts w:ascii="Times New Roman" w:hAnsi="Times New Roman" w:cs="Times New Roman"/>
          <w:color w:val="auto"/>
          <w:sz w:val="16"/>
          <w:szCs w:val="16"/>
          <w:lang w:val="sr-Cyrl-RS"/>
        </w:rPr>
      </w:pPr>
      <w:r w:rsidRPr="005A75CA">
        <w:rPr>
          <w:rStyle w:val="FootnoteReference"/>
          <w:rFonts w:ascii="Times New Roman" w:hAnsi="Times New Roman" w:cs="Times New Roman"/>
          <w:color w:val="auto"/>
          <w:sz w:val="16"/>
          <w:szCs w:val="16"/>
        </w:rPr>
        <w:footnoteRef/>
      </w:r>
      <w:r w:rsidRPr="005A75CA">
        <w:rPr>
          <w:rFonts w:ascii="Times New Roman" w:hAnsi="Times New Roman" w:cs="Times New Roman"/>
          <w:color w:val="auto"/>
          <w:sz w:val="16"/>
          <w:szCs w:val="16"/>
        </w:rPr>
        <w:t xml:space="preserve"> </w:t>
      </w:r>
      <w:r w:rsidRPr="005A75CA">
        <w:rPr>
          <w:rFonts w:ascii="Times New Roman" w:eastAsia="Calibri" w:hAnsi="Times New Roman" w:cs="Times New Roman"/>
          <w:color w:val="auto"/>
          <w:sz w:val="16"/>
          <w:szCs w:val="16"/>
          <w:lang w:eastAsia="ja-JP"/>
        </w:rPr>
        <w:t>Начин индексирања пензија детаљније је објашњен у делу Структурне мере за унапређење стабилности и одрживости јавних финансија.</w:t>
      </w:r>
    </w:p>
  </w:footnote>
  <w:footnote w:id="9">
    <w:p w14:paraId="7B11685E" w14:textId="77777777" w:rsidR="00815ACD" w:rsidRPr="00293C4B" w:rsidRDefault="00815ACD" w:rsidP="00E255B1">
      <w:pPr>
        <w:spacing w:after="0"/>
        <w:rPr>
          <w:lang w:val="sr-Cyrl-RS"/>
        </w:rPr>
      </w:pPr>
      <w:r w:rsidRPr="00CD1400">
        <w:rPr>
          <w:rStyle w:val="FootnoteReference"/>
          <w:rFonts w:cstheme="minorHAnsi"/>
          <w:sz w:val="16"/>
          <w:szCs w:val="16"/>
          <w:lang w:val="sr-Cyrl-RS"/>
        </w:rPr>
        <w:footnoteRef/>
      </w:r>
      <w:r w:rsidRPr="00CD1400">
        <w:rPr>
          <w:rFonts w:cstheme="minorHAnsi"/>
          <w:sz w:val="16"/>
          <w:szCs w:val="16"/>
          <w:lang w:val="sr-Cyrl-RS"/>
        </w:rPr>
        <w:t xml:space="preserve"> </w:t>
      </w:r>
      <w:r w:rsidRPr="00CD1400">
        <w:rPr>
          <w:rFonts w:eastAsia="Times New Roman" w:cstheme="minorHAnsi"/>
          <w:bCs/>
          <w:sz w:val="16"/>
          <w:szCs w:val="16"/>
          <w:lang w:val="sr-Cyrl-RS"/>
        </w:rPr>
        <w:t>Детаљнији опис коришћене методологије и резултата могу се пронаћи у Фискалној стратегији за 2013. годину са пројекцијама за 2014. и 2015. годину или путем линка</w:t>
      </w:r>
      <w:r w:rsidRPr="00CD1400">
        <w:rPr>
          <w:rFonts w:cstheme="minorHAnsi"/>
          <w:sz w:val="16"/>
          <w:szCs w:val="16"/>
          <w:lang w:val="sr-Cyrl-RS"/>
        </w:rPr>
        <w:t xml:space="preserve"> </w:t>
      </w:r>
      <w:hyperlink r:id="rId1" w:history="1">
        <w:r w:rsidRPr="00CD1400">
          <w:rPr>
            <w:rStyle w:val="Hyperlink"/>
            <w:color w:val="44546A" w:themeColor="text2"/>
            <w:sz w:val="16"/>
            <w:szCs w:val="16"/>
          </w:rPr>
          <w:t>https</w:t>
        </w:r>
        <w:r w:rsidRPr="00293C4B">
          <w:rPr>
            <w:rStyle w:val="Hyperlink"/>
            <w:color w:val="44546A" w:themeColor="text2"/>
            <w:sz w:val="16"/>
            <w:szCs w:val="16"/>
            <w:lang w:val="sr-Cyrl-RS"/>
          </w:rPr>
          <w:t>://</w:t>
        </w:r>
        <w:r w:rsidRPr="00CD1400">
          <w:rPr>
            <w:rStyle w:val="Hyperlink"/>
            <w:color w:val="44546A" w:themeColor="text2"/>
            <w:sz w:val="16"/>
            <w:szCs w:val="16"/>
          </w:rPr>
          <w:t>www</w:t>
        </w:r>
        <w:r w:rsidRPr="00293C4B">
          <w:rPr>
            <w:rStyle w:val="Hyperlink"/>
            <w:color w:val="44546A" w:themeColor="text2"/>
            <w:sz w:val="16"/>
            <w:szCs w:val="16"/>
            <w:lang w:val="sr-Cyrl-RS"/>
          </w:rPr>
          <w:t>.</w:t>
        </w:r>
        <w:r w:rsidRPr="00CD1400">
          <w:rPr>
            <w:rStyle w:val="Hyperlink"/>
            <w:color w:val="44546A" w:themeColor="text2"/>
            <w:sz w:val="16"/>
            <w:szCs w:val="16"/>
          </w:rPr>
          <w:t>mfin</w:t>
        </w:r>
        <w:r w:rsidRPr="00293C4B">
          <w:rPr>
            <w:rStyle w:val="Hyperlink"/>
            <w:color w:val="44546A" w:themeColor="text2"/>
            <w:sz w:val="16"/>
            <w:szCs w:val="16"/>
            <w:lang w:val="sr-Cyrl-RS"/>
          </w:rPr>
          <w:t>.</w:t>
        </w:r>
        <w:r w:rsidRPr="00CD1400">
          <w:rPr>
            <w:rStyle w:val="Hyperlink"/>
            <w:color w:val="44546A" w:themeColor="text2"/>
            <w:sz w:val="16"/>
            <w:szCs w:val="16"/>
          </w:rPr>
          <w:t>gov</w:t>
        </w:r>
        <w:r w:rsidRPr="00293C4B">
          <w:rPr>
            <w:rStyle w:val="Hyperlink"/>
            <w:color w:val="44546A" w:themeColor="text2"/>
            <w:sz w:val="16"/>
            <w:szCs w:val="16"/>
            <w:lang w:val="sr-Cyrl-RS"/>
          </w:rPr>
          <w:t>.</w:t>
        </w:r>
        <w:r w:rsidRPr="00CD1400">
          <w:rPr>
            <w:rStyle w:val="Hyperlink"/>
            <w:color w:val="44546A" w:themeColor="text2"/>
            <w:sz w:val="16"/>
            <w:szCs w:val="16"/>
          </w:rPr>
          <w:t>rs</w:t>
        </w:r>
        <w:r w:rsidRPr="00293C4B">
          <w:rPr>
            <w:rStyle w:val="Hyperlink"/>
            <w:color w:val="44546A" w:themeColor="text2"/>
            <w:sz w:val="16"/>
            <w:szCs w:val="16"/>
            <w:lang w:val="sr-Cyrl-RS"/>
          </w:rPr>
          <w:t>//</w:t>
        </w:r>
        <w:r w:rsidRPr="00CD1400">
          <w:rPr>
            <w:rStyle w:val="Hyperlink"/>
            <w:color w:val="44546A" w:themeColor="text2"/>
            <w:sz w:val="16"/>
            <w:szCs w:val="16"/>
          </w:rPr>
          <w:t>upload</w:t>
        </w:r>
        <w:r w:rsidRPr="00293C4B">
          <w:rPr>
            <w:rStyle w:val="Hyperlink"/>
            <w:color w:val="44546A" w:themeColor="text2"/>
            <w:sz w:val="16"/>
            <w:szCs w:val="16"/>
            <w:lang w:val="sr-Cyrl-RS"/>
          </w:rPr>
          <w:t>/</w:t>
        </w:r>
        <w:r w:rsidRPr="00CD1400">
          <w:rPr>
            <w:rStyle w:val="Hyperlink"/>
            <w:color w:val="44546A" w:themeColor="text2"/>
            <w:sz w:val="16"/>
            <w:szCs w:val="16"/>
          </w:rPr>
          <w:t>media</w:t>
        </w:r>
        <w:r w:rsidRPr="00293C4B">
          <w:rPr>
            <w:rStyle w:val="Hyperlink"/>
            <w:color w:val="44546A" w:themeColor="text2"/>
            <w:sz w:val="16"/>
            <w:szCs w:val="16"/>
            <w:lang w:val="sr-Cyrl-RS"/>
          </w:rPr>
          <w:t>/</w:t>
        </w:r>
        <w:r w:rsidRPr="00CD1400">
          <w:rPr>
            <w:rStyle w:val="Hyperlink"/>
            <w:color w:val="44546A" w:themeColor="text2"/>
            <w:sz w:val="16"/>
            <w:szCs w:val="16"/>
          </w:rPr>
          <w:t>jzsbpL</w:t>
        </w:r>
        <w:r w:rsidRPr="00293C4B">
          <w:rPr>
            <w:rStyle w:val="Hyperlink"/>
            <w:color w:val="44546A" w:themeColor="text2"/>
            <w:sz w:val="16"/>
            <w:szCs w:val="16"/>
            <w:lang w:val="sr-Cyrl-RS"/>
          </w:rPr>
          <w:t>_601</w:t>
        </w:r>
        <w:r w:rsidRPr="00CD1400">
          <w:rPr>
            <w:rStyle w:val="Hyperlink"/>
            <w:color w:val="44546A" w:themeColor="text2"/>
            <w:sz w:val="16"/>
            <w:szCs w:val="16"/>
          </w:rPr>
          <w:t>ab</w:t>
        </w:r>
        <w:r w:rsidRPr="00293C4B">
          <w:rPr>
            <w:rStyle w:val="Hyperlink"/>
            <w:color w:val="44546A" w:themeColor="text2"/>
            <w:sz w:val="16"/>
            <w:szCs w:val="16"/>
            <w:lang w:val="sr-Cyrl-RS"/>
          </w:rPr>
          <w:t>1585</w:t>
        </w:r>
        <w:r w:rsidRPr="00CD1400">
          <w:rPr>
            <w:rStyle w:val="Hyperlink"/>
            <w:color w:val="44546A" w:themeColor="text2"/>
            <w:sz w:val="16"/>
            <w:szCs w:val="16"/>
          </w:rPr>
          <w:t>ca</w:t>
        </w:r>
        <w:r w:rsidRPr="00293C4B">
          <w:rPr>
            <w:rStyle w:val="Hyperlink"/>
            <w:color w:val="44546A" w:themeColor="text2"/>
            <w:sz w:val="16"/>
            <w:szCs w:val="16"/>
            <w:lang w:val="sr-Cyrl-RS"/>
          </w:rPr>
          <w:t>02.</w:t>
        </w:r>
        <w:r w:rsidRPr="00CD1400">
          <w:rPr>
            <w:rStyle w:val="Hyperlink"/>
            <w:color w:val="44546A" w:themeColor="text2"/>
            <w:sz w:val="16"/>
            <w:szCs w:val="16"/>
          </w:rPr>
          <w:t>pdf</w:t>
        </w:r>
      </w:hyperlink>
    </w:p>
  </w:footnote>
  <w:footnote w:id="10">
    <w:p w14:paraId="0D09849D" w14:textId="77777777" w:rsidR="00815ACD" w:rsidRPr="0092575D" w:rsidRDefault="00815ACD" w:rsidP="00613B5B">
      <w:pPr>
        <w:pStyle w:val="FootnoteText"/>
        <w:spacing w:after="0"/>
        <w:ind w:firstLine="0"/>
        <w:rPr>
          <w:rFonts w:cstheme="minorHAnsi"/>
          <w:color w:val="auto"/>
          <w:sz w:val="16"/>
          <w:szCs w:val="16"/>
          <w:lang w:val="sr-Cyrl-RS"/>
        </w:rPr>
      </w:pPr>
      <w:r w:rsidRPr="0092575D">
        <w:rPr>
          <w:rStyle w:val="FootnoteReference"/>
          <w:rFonts w:ascii="Times New Roman" w:hAnsi="Times New Roman" w:cs="Times New Roman"/>
          <w:color w:val="auto"/>
          <w:sz w:val="16"/>
          <w:szCs w:val="16"/>
          <w:lang w:val="sr-Cyrl-RS"/>
        </w:rPr>
        <w:footnoteRef/>
      </w:r>
      <w:r w:rsidRPr="0092575D">
        <w:rPr>
          <w:rFonts w:ascii="Times New Roman" w:hAnsi="Times New Roman" w:cs="Times New Roman"/>
          <w:color w:val="auto"/>
          <w:sz w:val="16"/>
          <w:szCs w:val="16"/>
          <w:lang w:val="sr-Cyrl-RS"/>
        </w:rPr>
        <w:t xml:space="preserve"> </w:t>
      </w:r>
      <w:r w:rsidRPr="0092575D">
        <w:rPr>
          <w:rFonts w:ascii="Times New Roman" w:hAnsi="Times New Roman" w:cs="Times New Roman"/>
          <w:color w:val="auto"/>
          <w:spacing w:val="-2"/>
          <w:sz w:val="16"/>
          <w:szCs w:val="16"/>
          <w:lang w:val="sr-Cyrl-RS"/>
        </w:rPr>
        <w:t>Дефиниција дуга, према критеријумима из Мастрихта, између осталог, различито третира издате гаранције, у односу на дефиницију јавног дуга према домаћем законодавству. У јавни дуг (дуг опште државе) улазе, према критеријумима из Мастрихта, само активиране гаранције. Домаће законодавство, по овом питању има конзервативнији приступ, и све издате гаранције укључује у јавни дуг.</w:t>
      </w:r>
    </w:p>
  </w:footnote>
  <w:footnote w:id="11">
    <w:p w14:paraId="413133D5" w14:textId="77777777" w:rsidR="00815ACD" w:rsidRPr="005A75CA" w:rsidRDefault="00815ACD" w:rsidP="00E255B1">
      <w:pPr>
        <w:pStyle w:val="FootnoteText"/>
        <w:spacing w:after="0"/>
        <w:ind w:firstLine="0"/>
        <w:rPr>
          <w:rFonts w:ascii="Times New Roman" w:hAnsi="Times New Roman" w:cs="Times New Roman"/>
          <w:color w:val="auto"/>
          <w:sz w:val="16"/>
          <w:szCs w:val="16"/>
          <w:lang w:val="sr-Cyrl-RS"/>
        </w:rPr>
      </w:pPr>
      <w:r w:rsidRPr="005A75CA">
        <w:rPr>
          <w:rStyle w:val="FootnoteReference"/>
          <w:rFonts w:ascii="Times New Roman" w:hAnsi="Times New Roman" w:cs="Times New Roman"/>
          <w:color w:val="auto"/>
          <w:sz w:val="16"/>
          <w:szCs w:val="16"/>
          <w:lang w:val="sr-Cyrl-RS"/>
        </w:rPr>
        <w:footnoteRef/>
      </w:r>
      <w:r w:rsidRPr="005A75CA">
        <w:rPr>
          <w:rFonts w:ascii="Times New Roman" w:hAnsi="Times New Roman" w:cs="Times New Roman"/>
          <w:color w:val="auto"/>
          <w:sz w:val="16"/>
          <w:szCs w:val="16"/>
          <w:lang w:val="sr-Cyrl-RS"/>
        </w:rPr>
        <w:t xml:space="preserve"> Отплата по основу гаранција из републичког буџета је у расходе укључена по готовинској основи. Међународни стандарди, који се заснивају на обрачунској основи, у расходе укључују цео износ преосталог дуга, у моменту активирања гаранције, док се сама отплата дуга по том основу третира као финансијска трансакција.</w:t>
      </w:r>
    </w:p>
  </w:footnote>
  <w:footnote w:id="12">
    <w:p w14:paraId="179E4015" w14:textId="77777777" w:rsidR="00815ACD" w:rsidRPr="005A75CA" w:rsidRDefault="00815ACD" w:rsidP="00E255B1">
      <w:pPr>
        <w:pStyle w:val="FootnoteText"/>
        <w:spacing w:after="0"/>
        <w:ind w:firstLine="0"/>
        <w:rPr>
          <w:rFonts w:ascii="Times New Roman" w:hAnsi="Times New Roman" w:cs="Times New Roman"/>
          <w:color w:val="auto"/>
          <w:sz w:val="16"/>
          <w:szCs w:val="16"/>
          <w:lang w:val="sr-Cyrl-RS"/>
        </w:rPr>
      </w:pPr>
      <w:r w:rsidRPr="005A75CA">
        <w:rPr>
          <w:rStyle w:val="FootnoteReference"/>
          <w:rFonts w:ascii="Times New Roman" w:hAnsi="Times New Roman" w:cs="Times New Roman"/>
          <w:color w:val="auto"/>
          <w:sz w:val="16"/>
          <w:szCs w:val="16"/>
          <w:lang w:val="sr-Cyrl-RS"/>
        </w:rPr>
        <w:footnoteRef/>
      </w:r>
      <w:r w:rsidRPr="005A75CA">
        <w:rPr>
          <w:rFonts w:ascii="Times New Roman" w:hAnsi="Times New Roman" w:cs="Times New Roman"/>
          <w:color w:val="auto"/>
          <w:sz w:val="16"/>
          <w:szCs w:val="16"/>
          <w:lang w:val="sr-Cyrl-RS"/>
        </w:rPr>
        <w:t xml:space="preserve"> Део расхода по основу отплате по гаранцијама за ЈП „Путеви Србије” не укључује се у расходе буџета, јер је ово предузеће део сектора опште државе, те су расходи који су финансирани гарантованим кредитима били део расхода опште државе у моменту трошења средстава, док се сама отплата третира као финансијска трансакција („испод црте”).</w:t>
      </w:r>
    </w:p>
  </w:footnote>
  <w:footnote w:id="13">
    <w:p w14:paraId="2D0D26F8" w14:textId="77777777" w:rsidR="00815ACD" w:rsidRPr="00073D98" w:rsidRDefault="00815ACD" w:rsidP="008B200E">
      <w:pPr>
        <w:pStyle w:val="FootnoteText"/>
        <w:spacing w:after="60"/>
        <w:ind w:firstLine="0"/>
        <w:rPr>
          <w:rFonts w:ascii="Times New Roman" w:hAnsi="Times New Roman" w:cs="Times New Roman"/>
          <w:color w:val="auto"/>
          <w:sz w:val="16"/>
          <w:szCs w:val="16"/>
          <w:lang w:val="sr-Cyrl-RS"/>
        </w:rPr>
      </w:pPr>
      <w:r w:rsidRPr="00073D98">
        <w:rPr>
          <w:rStyle w:val="FootnoteReference"/>
          <w:rFonts w:ascii="Times New Roman" w:hAnsi="Times New Roman" w:cs="Times New Roman"/>
          <w:color w:val="auto"/>
          <w:sz w:val="16"/>
          <w:szCs w:val="16"/>
          <w:lang w:val="sr-Cyrl-RS"/>
        </w:rPr>
        <w:footnoteRef/>
      </w:r>
      <w:r w:rsidRPr="00073D98">
        <w:rPr>
          <w:rFonts w:ascii="Times New Roman" w:hAnsi="Times New Roman" w:cs="Times New Roman"/>
          <w:color w:val="auto"/>
          <w:sz w:val="16"/>
          <w:szCs w:val="16"/>
          <w:lang w:val="sr-Cyrl-RS"/>
        </w:rPr>
        <w:t xml:space="preserve"> Заштићени депоненти су: физичка лица, предузетници, микро, мала и средња правна лица, након искључења </w:t>
      </w:r>
      <w:r w:rsidRPr="00F12A61">
        <w:rPr>
          <w:rFonts w:ascii="Times New Roman" w:hAnsi="Times New Roman" w:cs="Times New Roman"/>
          <w:color w:val="auto"/>
          <w:sz w:val="16"/>
          <w:szCs w:val="16"/>
          <w:lang w:val="sr-Cyrl-RS"/>
        </w:rPr>
        <w:t>предвиђеним Законом о осигурању депозита.</w:t>
      </w:r>
    </w:p>
  </w:footnote>
  <w:footnote w:id="14">
    <w:p w14:paraId="6C9CBA8E" w14:textId="77777777" w:rsidR="00815ACD" w:rsidRPr="00073D98" w:rsidRDefault="00815ACD" w:rsidP="00E255B1">
      <w:pPr>
        <w:pStyle w:val="FootnoteText"/>
        <w:spacing w:after="0"/>
        <w:ind w:firstLine="0"/>
        <w:rPr>
          <w:rFonts w:ascii="Times New Roman" w:hAnsi="Times New Roman" w:cs="Times New Roman"/>
          <w:color w:val="auto"/>
          <w:sz w:val="16"/>
          <w:szCs w:val="16"/>
          <w:lang w:val="sr-Cyrl-RS"/>
        </w:rPr>
      </w:pPr>
      <w:r w:rsidRPr="00073D98">
        <w:rPr>
          <w:rStyle w:val="FootnoteReference"/>
          <w:rFonts w:ascii="Times New Roman" w:hAnsi="Times New Roman" w:cs="Times New Roman"/>
          <w:color w:val="auto"/>
          <w:sz w:val="16"/>
          <w:szCs w:val="16"/>
          <w:lang w:val="sr-Cyrl-RS"/>
        </w:rPr>
        <w:footnoteRef/>
      </w:r>
      <w:r w:rsidRPr="00073D98">
        <w:rPr>
          <w:rFonts w:ascii="Times New Roman" w:hAnsi="Times New Roman" w:cs="Times New Roman"/>
          <w:color w:val="auto"/>
          <w:sz w:val="16"/>
          <w:szCs w:val="16"/>
          <w:lang w:val="sr-Cyrl-RS"/>
        </w:rPr>
        <w:t xml:space="preserve"> Програм економских реформи за период од 2022. до 2024. године</w:t>
      </w:r>
    </w:p>
  </w:footnote>
  <w:footnote w:id="15">
    <w:p w14:paraId="53ADB7D8" w14:textId="77777777" w:rsidR="00815ACD" w:rsidRPr="00271FCE" w:rsidRDefault="00815ACD" w:rsidP="00D210F0">
      <w:pPr>
        <w:spacing w:after="0"/>
        <w:rPr>
          <w:rFonts w:cs="Times New Roman"/>
          <w:sz w:val="16"/>
          <w:szCs w:val="16"/>
          <w:lang w:val="sr-Cyrl-RS"/>
        </w:rPr>
      </w:pPr>
      <w:r w:rsidRPr="007605E6">
        <w:rPr>
          <w:rFonts w:cs="Times New Roman"/>
          <w:sz w:val="16"/>
          <w:szCs w:val="16"/>
          <w:vertAlign w:val="superscript"/>
          <w:lang w:val="sr-Cyrl-RS"/>
        </w:rPr>
        <w:footnoteRef/>
      </w:r>
      <w:r w:rsidRPr="00271FCE">
        <w:rPr>
          <w:rFonts w:cs="Times New Roman"/>
          <w:sz w:val="16"/>
          <w:szCs w:val="16"/>
          <w:lang w:val="sr-Cyrl-RS"/>
        </w:rPr>
        <w:t xml:space="preserve"> </w:t>
      </w:r>
      <w:r w:rsidRPr="00072755">
        <w:rPr>
          <w:rFonts w:cs="Times New Roman"/>
          <w:sz w:val="16"/>
          <w:szCs w:val="16"/>
          <w:lang w:val="sr-Cyrl-RS"/>
        </w:rPr>
        <w:t>Извор: РЗС</w:t>
      </w:r>
      <w:r>
        <w:rPr>
          <w:rFonts w:cs="Times New Roman"/>
          <w:sz w:val="16"/>
          <w:szCs w:val="16"/>
          <w:lang w:val="sr-Cyrl-RS"/>
        </w:rPr>
        <w:t>,</w:t>
      </w:r>
      <w:r w:rsidRPr="00072755">
        <w:rPr>
          <w:rFonts w:cs="Times New Roman"/>
          <w:sz w:val="16"/>
          <w:szCs w:val="16"/>
          <w:lang w:val="sr-Cyrl-RS"/>
        </w:rPr>
        <w:t xml:space="preserve"> </w:t>
      </w:r>
      <w:r>
        <w:rPr>
          <w:rFonts w:cs="Times New Roman"/>
          <w:sz w:val="16"/>
          <w:szCs w:val="16"/>
          <w:lang w:val="sr-Cyrl-RS"/>
        </w:rPr>
        <w:t xml:space="preserve">Анкета о радној снази </w:t>
      </w:r>
      <w:r w:rsidRPr="00072755">
        <w:rPr>
          <w:rFonts w:cs="Times New Roman"/>
          <w:sz w:val="16"/>
          <w:szCs w:val="16"/>
          <w:lang w:val="sr-Cyrl-RS"/>
        </w:rPr>
        <w:t>- од 2021. године спроводи се према новој методологији</w:t>
      </w:r>
      <w:r>
        <w:rPr>
          <w:rFonts w:cs="Times New Roman"/>
          <w:sz w:val="16"/>
          <w:szCs w:val="16"/>
          <w:lang w:val="sr-Cyrl-RS"/>
        </w:rPr>
        <w:t xml:space="preserve">. </w:t>
      </w:r>
      <w:r w:rsidRPr="00312432">
        <w:rPr>
          <w:rFonts w:cs="Times New Roman"/>
          <w:sz w:val="16"/>
          <w:szCs w:val="16"/>
          <w:lang w:val="sr-Cyrl-RS"/>
        </w:rPr>
        <w:t>Како би се обезбедила упоредивост основних показатеља за период пре 2021. године РЗС је извршио ревизију најважнијих индикатора. С обзиром на то да ревизија података уназад обухвата само основне индикаторе и да је скуп прикупљених података из пилот истраживања ограниченог обима, изостаје могућност дубље и прецизније структурне анализе промена на тржишту рада.</w:t>
      </w:r>
    </w:p>
  </w:footnote>
  <w:footnote w:id="16">
    <w:p w14:paraId="4A72C6CA" w14:textId="7386C81B" w:rsidR="00815ACD" w:rsidRPr="00271FCE" w:rsidRDefault="00815ACD" w:rsidP="00D210F0">
      <w:pPr>
        <w:spacing w:after="0"/>
        <w:rPr>
          <w:rFonts w:cs="Times New Roman"/>
          <w:sz w:val="16"/>
          <w:szCs w:val="16"/>
          <w:lang w:val="sr-Cyrl-RS"/>
        </w:rPr>
      </w:pPr>
      <w:r w:rsidRPr="007605E6">
        <w:rPr>
          <w:rFonts w:cs="Times New Roman"/>
          <w:sz w:val="16"/>
          <w:szCs w:val="16"/>
          <w:vertAlign w:val="superscript"/>
          <w:lang w:val="sr-Cyrl-RS"/>
        </w:rPr>
        <w:footnoteRef/>
      </w:r>
      <w:r w:rsidRPr="00271FCE">
        <w:rPr>
          <w:rFonts w:cs="Times New Roman"/>
          <w:sz w:val="16"/>
          <w:szCs w:val="16"/>
          <w:lang w:val="sr-Cyrl-RS"/>
        </w:rPr>
        <w:t xml:space="preserve"> Пандемија вируса корона допринела је повећању незапослености</w:t>
      </w:r>
      <w:r>
        <w:rPr>
          <w:rFonts w:cs="Times New Roman"/>
          <w:sz w:val="16"/>
          <w:szCs w:val="16"/>
          <w:lang w:val="sr-Cyrl-RS"/>
        </w:rPr>
        <w:t xml:space="preserve"> у 2021. години</w:t>
      </w:r>
      <w:r w:rsidRPr="00271FCE">
        <w:rPr>
          <w:rFonts w:cs="Times New Roman"/>
          <w:sz w:val="16"/>
          <w:szCs w:val="16"/>
          <w:lang w:val="sr-Cyrl-RS"/>
        </w:rPr>
        <w:t xml:space="preserve"> односно до пораста броја незапослених дошло је услед „враћања</w:t>
      </w:r>
      <w:r w:rsidRPr="003C1DFF">
        <w:rPr>
          <w:rFonts w:cs="Times New Roman"/>
          <w:sz w:val="16"/>
          <w:szCs w:val="16"/>
          <w:lang w:val="sr-Cyrl-RS"/>
        </w:rPr>
        <w:t>”</w:t>
      </w:r>
      <w:r w:rsidRPr="00271FCE">
        <w:rPr>
          <w:rFonts w:cs="Times New Roman"/>
          <w:sz w:val="16"/>
          <w:szCs w:val="16"/>
          <w:lang w:val="sr-Cyrl-RS"/>
        </w:rPr>
        <w:t xml:space="preserve"> лица из контингента неактивних (појединци нису могли да траже посао или нису били у могућности да почну да раде због мера спречавања ширења вируса корона) у контингент незапослених (тренд започет у Q3 2020).</w:t>
      </w:r>
    </w:p>
  </w:footnote>
  <w:footnote w:id="17">
    <w:p w14:paraId="30410DBF" w14:textId="77777777" w:rsidR="00815ACD" w:rsidRPr="00E64782" w:rsidRDefault="00815ACD" w:rsidP="00D210F0">
      <w:pPr>
        <w:spacing w:after="0"/>
        <w:rPr>
          <w:rFonts w:cs="Times New Roman"/>
          <w:sz w:val="16"/>
          <w:szCs w:val="16"/>
          <w:lang w:val="sr-Cyrl-RS"/>
        </w:rPr>
      </w:pPr>
      <w:r w:rsidRPr="00072755">
        <w:rPr>
          <w:rStyle w:val="FootnoteReference"/>
          <w:rFonts w:cs="Times New Roman"/>
          <w:sz w:val="16"/>
          <w:szCs w:val="16"/>
        </w:rPr>
        <w:footnoteRef/>
      </w:r>
      <w:r w:rsidRPr="00072755">
        <w:rPr>
          <w:rFonts w:cs="Times New Roman"/>
          <w:sz w:val="16"/>
          <w:szCs w:val="16"/>
        </w:rPr>
        <w:t xml:space="preserve"> NEET</w:t>
      </w:r>
      <w:r w:rsidRPr="00072755">
        <w:rPr>
          <w:rFonts w:cs="Times New Roman"/>
          <w:spacing w:val="-4"/>
          <w:sz w:val="16"/>
          <w:szCs w:val="16"/>
        </w:rPr>
        <w:t xml:space="preserve"> </w:t>
      </w:r>
      <w:r w:rsidRPr="00072755">
        <w:rPr>
          <w:rFonts w:cs="Times New Roman"/>
          <w:sz w:val="16"/>
          <w:szCs w:val="16"/>
        </w:rPr>
        <w:t>-</w:t>
      </w:r>
      <w:r w:rsidRPr="00072755">
        <w:rPr>
          <w:rFonts w:cs="Times New Roman"/>
          <w:spacing w:val="-2"/>
          <w:sz w:val="16"/>
          <w:szCs w:val="16"/>
        </w:rPr>
        <w:t xml:space="preserve"> </w:t>
      </w:r>
      <w:r w:rsidRPr="00072755">
        <w:rPr>
          <w:rFonts w:cs="Times New Roman"/>
          <w:sz w:val="16"/>
          <w:szCs w:val="16"/>
        </w:rPr>
        <w:t>Youth</w:t>
      </w:r>
      <w:r w:rsidRPr="00072755">
        <w:rPr>
          <w:rFonts w:cs="Times New Roman"/>
          <w:spacing w:val="-3"/>
          <w:sz w:val="16"/>
          <w:szCs w:val="16"/>
        </w:rPr>
        <w:t xml:space="preserve"> </w:t>
      </w:r>
      <w:r w:rsidRPr="00072755">
        <w:rPr>
          <w:rFonts w:cs="Times New Roman"/>
          <w:sz w:val="16"/>
          <w:szCs w:val="16"/>
        </w:rPr>
        <w:t>not</w:t>
      </w:r>
      <w:r w:rsidRPr="00072755">
        <w:rPr>
          <w:rFonts w:cs="Times New Roman"/>
          <w:spacing w:val="-3"/>
          <w:sz w:val="16"/>
          <w:szCs w:val="16"/>
        </w:rPr>
        <w:t xml:space="preserve"> </w:t>
      </w:r>
      <w:r w:rsidRPr="00072755">
        <w:rPr>
          <w:rFonts w:cs="Times New Roman"/>
          <w:sz w:val="16"/>
          <w:szCs w:val="16"/>
        </w:rPr>
        <w:t>in</w:t>
      </w:r>
      <w:r w:rsidRPr="00072755">
        <w:rPr>
          <w:rFonts w:cs="Times New Roman"/>
          <w:spacing w:val="-4"/>
          <w:sz w:val="16"/>
          <w:szCs w:val="16"/>
        </w:rPr>
        <w:t xml:space="preserve"> </w:t>
      </w:r>
      <w:r w:rsidRPr="00072755">
        <w:rPr>
          <w:rFonts w:cs="Times New Roman"/>
          <w:sz w:val="16"/>
          <w:szCs w:val="16"/>
        </w:rPr>
        <w:t>employment,</w:t>
      </w:r>
      <w:r w:rsidRPr="00072755">
        <w:rPr>
          <w:rFonts w:cs="Times New Roman"/>
          <w:spacing w:val="-1"/>
          <w:sz w:val="16"/>
          <w:szCs w:val="16"/>
        </w:rPr>
        <w:t xml:space="preserve"> </w:t>
      </w:r>
      <w:r w:rsidRPr="00072755">
        <w:rPr>
          <w:rFonts w:cs="Times New Roman"/>
          <w:sz w:val="16"/>
          <w:szCs w:val="16"/>
        </w:rPr>
        <w:t>education</w:t>
      </w:r>
      <w:r w:rsidRPr="00072755">
        <w:rPr>
          <w:rFonts w:cs="Times New Roman"/>
          <w:spacing w:val="-3"/>
          <w:sz w:val="16"/>
          <w:szCs w:val="16"/>
        </w:rPr>
        <w:t xml:space="preserve"> </w:t>
      </w:r>
      <w:r w:rsidRPr="00072755">
        <w:rPr>
          <w:rFonts w:cs="Times New Roman"/>
          <w:sz w:val="16"/>
          <w:szCs w:val="16"/>
        </w:rPr>
        <w:t>or</w:t>
      </w:r>
      <w:r w:rsidRPr="00072755">
        <w:rPr>
          <w:rFonts w:cs="Times New Roman"/>
          <w:spacing w:val="-3"/>
          <w:sz w:val="16"/>
          <w:szCs w:val="16"/>
        </w:rPr>
        <w:t xml:space="preserve"> </w:t>
      </w:r>
      <w:r w:rsidRPr="00072755">
        <w:rPr>
          <w:rFonts w:cs="Times New Roman"/>
          <w:sz w:val="16"/>
          <w:szCs w:val="16"/>
        </w:rPr>
        <w:t>training</w:t>
      </w:r>
      <w:r>
        <w:rPr>
          <w:rFonts w:cs="Times New Roman"/>
          <w:sz w:val="16"/>
          <w:szCs w:val="16"/>
          <w:lang w:val="sr-Cyrl-RS"/>
        </w:rPr>
        <w:t xml:space="preserve"> (</w:t>
      </w:r>
      <w:r w:rsidRPr="00E64782">
        <w:rPr>
          <w:rFonts w:cs="Times New Roman"/>
          <w:sz w:val="16"/>
          <w:szCs w:val="16"/>
          <w:lang w:val="sr-Cyrl-RS"/>
        </w:rPr>
        <w:t>млади који нису запослени, нису у процесу образовања, нити су на обуци</w:t>
      </w:r>
      <w:r>
        <w:rPr>
          <w:rFonts w:cs="Times New Roman"/>
          <w:sz w:val="16"/>
          <w:szCs w:val="16"/>
          <w:lang w:val="sr-Cyrl-RS"/>
        </w:rPr>
        <w:t>)</w:t>
      </w:r>
    </w:p>
  </w:footnote>
  <w:footnote w:id="18">
    <w:p w14:paraId="4AB93479" w14:textId="77777777" w:rsidR="00815ACD" w:rsidRPr="00072755" w:rsidRDefault="00815ACD" w:rsidP="00D210F0">
      <w:pPr>
        <w:spacing w:after="0"/>
        <w:rPr>
          <w:rFonts w:cs="Times New Roman"/>
          <w:sz w:val="16"/>
          <w:szCs w:val="16"/>
          <w:lang w:val="sr-Cyrl-RS"/>
        </w:rPr>
      </w:pPr>
      <w:r w:rsidRPr="00072755">
        <w:rPr>
          <w:rStyle w:val="FootnoteReference"/>
          <w:rFonts w:cs="Times New Roman"/>
          <w:sz w:val="16"/>
          <w:szCs w:val="16"/>
          <w:lang w:val="sr-Cyrl-RS"/>
        </w:rPr>
        <w:footnoteRef/>
      </w:r>
      <w:r w:rsidRPr="00072755">
        <w:rPr>
          <w:rFonts w:cs="Times New Roman"/>
          <w:sz w:val="16"/>
          <w:szCs w:val="16"/>
          <w:lang w:val="sr-Cyrl-RS"/>
        </w:rPr>
        <w:t xml:space="preserve"> Програм Гаранција за младе који се спроводи у државама чланицама ЕУ, пример је интервенције у оквиру које се младима који су неактивни и незапослени приступа кроз сарадњу различитих сектора и социјалних партнера, укључујући и организације цивилног друштва, а у циљу дугорочно одрживе интеграције на тржиште рада.</w:t>
      </w:r>
    </w:p>
  </w:footnote>
  <w:footnote w:id="19">
    <w:p w14:paraId="3E1EE8DD" w14:textId="77777777" w:rsidR="00815ACD" w:rsidRPr="00FF4186" w:rsidRDefault="00815ACD" w:rsidP="00D210F0">
      <w:pPr>
        <w:spacing w:after="0"/>
        <w:rPr>
          <w:rFonts w:cs="Times New Roman"/>
          <w:sz w:val="16"/>
          <w:szCs w:val="16"/>
          <w:lang w:val="sr-Cyrl-RS"/>
        </w:rPr>
      </w:pPr>
      <w:r w:rsidRPr="00FF4186">
        <w:rPr>
          <w:rStyle w:val="FootnoteReference"/>
          <w:rFonts w:cs="Times New Roman"/>
          <w:sz w:val="16"/>
          <w:szCs w:val="16"/>
        </w:rPr>
        <w:footnoteRef/>
      </w:r>
      <w:r w:rsidRPr="00FF4186">
        <w:rPr>
          <w:rFonts w:cs="Times New Roman"/>
          <w:sz w:val="16"/>
          <w:szCs w:val="16"/>
        </w:rPr>
        <w:t xml:space="preserve"> </w:t>
      </w:r>
      <w:r w:rsidRPr="00FF4186">
        <w:rPr>
          <w:rFonts w:cs="Times New Roman"/>
          <w:sz w:val="16"/>
          <w:szCs w:val="16"/>
          <w:lang w:val="sr-Cyrl-RS"/>
        </w:rPr>
        <w:t xml:space="preserve">Декларација је потврђена </w:t>
      </w:r>
      <w:r>
        <w:rPr>
          <w:rFonts w:cs="Times New Roman"/>
          <w:sz w:val="16"/>
          <w:szCs w:val="16"/>
          <w:lang w:val="sr-Cyrl-RS"/>
        </w:rPr>
        <w:t>н</w:t>
      </w:r>
      <w:r w:rsidRPr="00FF4186">
        <w:rPr>
          <w:rFonts w:cs="Times New Roman"/>
          <w:sz w:val="16"/>
          <w:szCs w:val="16"/>
          <w:lang w:val="sr-Cyrl-RS"/>
        </w:rPr>
        <w:t>а Другом министарском састанку ЕУ – Западни Балкан, који је одржан 8. јула 2021. године у Словенији</w:t>
      </w:r>
      <w:r>
        <w:rPr>
          <w:rFonts w:cs="Times New Roman"/>
          <w:sz w:val="16"/>
          <w:szCs w:val="16"/>
          <w:lang w:val="sr-Cyrl-RS"/>
        </w:rPr>
        <w:t>.</w:t>
      </w:r>
    </w:p>
  </w:footnote>
  <w:footnote w:id="20">
    <w:p w14:paraId="42D83722" w14:textId="77777777" w:rsidR="00815ACD" w:rsidRPr="007605E6" w:rsidRDefault="00815ACD" w:rsidP="00D210F0">
      <w:pPr>
        <w:spacing w:after="0"/>
        <w:rPr>
          <w:rFonts w:cs="Times New Roman"/>
          <w:sz w:val="16"/>
          <w:szCs w:val="16"/>
          <w:lang w:val="sr-Cyrl-RS"/>
        </w:rPr>
      </w:pPr>
      <w:r w:rsidRPr="007605E6">
        <w:rPr>
          <w:rStyle w:val="FootnoteReference"/>
          <w:rFonts w:cs="Times New Roman"/>
          <w:sz w:val="16"/>
          <w:szCs w:val="16"/>
        </w:rPr>
        <w:footnoteRef/>
      </w:r>
      <w:r w:rsidRPr="007605E6">
        <w:rPr>
          <w:rFonts w:cs="Times New Roman"/>
          <w:sz w:val="16"/>
          <w:szCs w:val="16"/>
          <w:lang w:val="sr-Cyrl-RS"/>
        </w:rPr>
        <w:t xml:space="preserve"> Извор: Привредна комора Србије</w:t>
      </w:r>
      <w:r w:rsidRPr="007605E6">
        <w:rPr>
          <w:rFonts w:cs="Times New Roman"/>
          <w:sz w:val="16"/>
          <w:szCs w:val="16"/>
        </w:rPr>
        <w:t xml:space="preserve"> </w:t>
      </w:r>
      <w:hyperlink r:id="rId2" w:history="1">
        <w:r w:rsidRPr="007605E6">
          <w:rPr>
            <w:rStyle w:val="Hyperlink"/>
            <w:rFonts w:cs="Times New Roman"/>
            <w:sz w:val="16"/>
            <w:szCs w:val="16"/>
          </w:rPr>
          <w:t>https://pks.rs/strana/sekcija/dualno-obrazovanje-spisak-profila-u-dualnom-obrazovanju</w:t>
        </w:r>
      </w:hyperlink>
      <w:r w:rsidRPr="007605E6">
        <w:rPr>
          <w:rFonts w:cs="Times New Roman"/>
          <w:sz w:val="16"/>
          <w:szCs w:val="16"/>
          <w:lang w:val="sr-Cyrl-RS"/>
        </w:rPr>
        <w:t xml:space="preserve"> </w:t>
      </w:r>
    </w:p>
  </w:footnote>
  <w:footnote w:id="21">
    <w:p w14:paraId="7BC7ECD0" w14:textId="77777777" w:rsidR="00815ACD" w:rsidRPr="007605E6" w:rsidRDefault="00815ACD" w:rsidP="00D210F0">
      <w:pPr>
        <w:spacing w:after="0"/>
        <w:rPr>
          <w:rFonts w:cs="Times New Roman"/>
          <w:sz w:val="16"/>
          <w:szCs w:val="16"/>
          <w:lang w:val="sr-Cyrl-RS"/>
        </w:rPr>
      </w:pPr>
      <w:r w:rsidRPr="007605E6">
        <w:rPr>
          <w:rStyle w:val="FootnoteReference"/>
          <w:rFonts w:cs="Times New Roman"/>
          <w:sz w:val="16"/>
          <w:szCs w:val="16"/>
        </w:rPr>
        <w:footnoteRef/>
      </w:r>
      <w:r w:rsidRPr="007605E6">
        <w:rPr>
          <w:rFonts w:cs="Times New Roman"/>
          <w:sz w:val="16"/>
          <w:szCs w:val="16"/>
        </w:rPr>
        <w:t xml:space="preserve"> Циљ увођења дуалног модела студија јесте пружање могућности студентима да значајно повећају своју конкурентност на тржишту рада и имају веће шансе за запошљавање код послодаваца код којих су обавили учење кроз рад, али и код других послодаваца из исте делатности.</w:t>
      </w:r>
    </w:p>
  </w:footnote>
  <w:footnote w:id="22">
    <w:p w14:paraId="3FD4E31F" w14:textId="77777777" w:rsidR="00815ACD" w:rsidRPr="007605E6" w:rsidRDefault="00815ACD" w:rsidP="00D210F0">
      <w:pPr>
        <w:spacing w:after="0"/>
        <w:rPr>
          <w:rFonts w:cs="Times New Roman"/>
          <w:sz w:val="16"/>
          <w:szCs w:val="16"/>
          <w:lang w:val="sr-Cyrl-RS"/>
        </w:rPr>
      </w:pPr>
      <w:r w:rsidRPr="007605E6">
        <w:rPr>
          <w:rStyle w:val="FootnoteReference"/>
          <w:rFonts w:cs="Times New Roman"/>
          <w:sz w:val="16"/>
          <w:szCs w:val="16"/>
          <w:lang w:val="sr-Cyrl-RS"/>
        </w:rPr>
        <w:footnoteRef/>
      </w:r>
      <w:r w:rsidRPr="007605E6">
        <w:rPr>
          <w:rFonts w:cs="Times New Roman"/>
          <w:sz w:val="16"/>
          <w:szCs w:val="16"/>
          <w:lang w:val="sr-Cyrl-RS"/>
        </w:rPr>
        <w:t xml:space="preserve"> Ч</w:t>
      </w:r>
      <w:r w:rsidRPr="007605E6">
        <w:rPr>
          <w:rFonts w:cs="Times New Roman"/>
          <w:sz w:val="16"/>
          <w:szCs w:val="16"/>
          <w:shd w:val="clear" w:color="auto" w:fill="FFFFFF"/>
          <w:lang w:val="sr-Cyrl-RS"/>
        </w:rPr>
        <w:t xml:space="preserve">ине га Подрегистар националних квалификација, Подрегистар стандарда квалификација, као и Подрегистар јавно признатих организатора активности образовања одраслих са послодавцима код којих се обавља практичан рад (Подрегистар ЈПОА). </w:t>
      </w:r>
      <w:hyperlink r:id="rId3" w:history="1">
        <w:r w:rsidRPr="007605E6">
          <w:rPr>
            <w:rStyle w:val="Hyperlink"/>
            <w:rFonts w:cs="Times New Roman"/>
            <w:sz w:val="16"/>
            <w:szCs w:val="16"/>
            <w:shd w:val="clear" w:color="auto" w:fill="FFFFFF"/>
            <w:lang w:val="sr-Cyrl-RS"/>
          </w:rPr>
          <w:t>https://noks.azk.gov.rs/</w:t>
        </w:r>
      </w:hyperlink>
      <w:r w:rsidRPr="007605E6">
        <w:rPr>
          <w:rFonts w:cs="Times New Roman"/>
          <w:sz w:val="16"/>
          <w:szCs w:val="16"/>
          <w:shd w:val="clear" w:color="auto" w:fill="FFFFFF"/>
          <w:lang w:val="sr-Cyrl-RS"/>
        </w:rPr>
        <w:t xml:space="preserve"> </w:t>
      </w:r>
    </w:p>
  </w:footnote>
  <w:footnote w:id="23">
    <w:p w14:paraId="6519E3F7" w14:textId="77777777" w:rsidR="00815ACD" w:rsidRPr="00DC7F92" w:rsidRDefault="00815ACD" w:rsidP="00D210F0">
      <w:pPr>
        <w:spacing w:after="0"/>
        <w:rPr>
          <w:rFonts w:cs="Times New Roman"/>
          <w:sz w:val="16"/>
          <w:szCs w:val="16"/>
          <w:lang w:val="sr-Cyrl-RS"/>
        </w:rPr>
      </w:pPr>
      <w:r w:rsidRPr="00DC7F92">
        <w:rPr>
          <w:rStyle w:val="FootnoteReference"/>
          <w:rFonts w:cs="Times New Roman"/>
          <w:sz w:val="16"/>
          <w:szCs w:val="16"/>
          <w:lang w:val="sr-Cyrl-RS"/>
        </w:rPr>
        <w:footnoteRef/>
      </w:r>
      <w:r w:rsidRPr="00DC7F92">
        <w:rPr>
          <w:rFonts w:cs="Times New Roman"/>
          <w:sz w:val="16"/>
          <w:szCs w:val="16"/>
          <w:lang w:val="sr-Cyrl-RS"/>
        </w:rPr>
        <w:t xml:space="preserve"> Програм је креиран са циљем оспособљавања за самосталан рад младих са средњим и високим образовањем, до навршених 30 година живота, без радног искуства, који се налазе на евиденцији незапослених Националне службе за запошљавање.</w:t>
      </w:r>
      <w:r>
        <w:rPr>
          <w:rFonts w:cs="Times New Roman"/>
          <w:sz w:val="16"/>
          <w:szCs w:val="16"/>
          <w:lang w:val="sr-Cyrl-RS"/>
        </w:rPr>
        <w:t xml:space="preserve"> П</w:t>
      </w:r>
      <w:r w:rsidRPr="00FC617C">
        <w:rPr>
          <w:rFonts w:cs="Times New Roman"/>
          <w:sz w:val="16"/>
          <w:szCs w:val="16"/>
          <w:lang w:val="sr-Cyrl-RS"/>
        </w:rPr>
        <w:t>очео је да се споводи у 2020.</w:t>
      </w:r>
      <w:r>
        <w:rPr>
          <w:rFonts w:cs="Times New Roman"/>
          <w:sz w:val="16"/>
          <w:szCs w:val="16"/>
          <w:lang w:val="sr-Cyrl-RS"/>
        </w:rPr>
        <w:t xml:space="preserve"> години.</w:t>
      </w:r>
    </w:p>
  </w:footnote>
  <w:footnote w:id="24">
    <w:p w14:paraId="2D4B746A" w14:textId="77777777" w:rsidR="00815ACD" w:rsidRPr="007605E6" w:rsidRDefault="00815ACD" w:rsidP="00D210F0">
      <w:pPr>
        <w:spacing w:after="0"/>
        <w:rPr>
          <w:rFonts w:cs="Times New Roman"/>
          <w:sz w:val="16"/>
          <w:szCs w:val="16"/>
          <w:lang w:val="sr-Cyrl-RS"/>
        </w:rPr>
      </w:pPr>
      <w:r w:rsidRPr="007605E6">
        <w:rPr>
          <w:rStyle w:val="FootnoteReference"/>
          <w:rFonts w:cs="Times New Roman"/>
          <w:sz w:val="16"/>
          <w:szCs w:val="16"/>
          <w:lang w:val="sr-Cyrl-RS"/>
        </w:rPr>
        <w:footnoteRef/>
      </w:r>
      <w:r w:rsidRPr="007605E6">
        <w:rPr>
          <w:rFonts w:cs="Times New Roman"/>
          <w:sz w:val="16"/>
          <w:szCs w:val="16"/>
          <w:lang w:val="sr-Cyrl-RS"/>
        </w:rPr>
        <w:t xml:space="preserve"> Извор: Eurostat, </w:t>
      </w:r>
      <w:hyperlink r:id="rId4" w:history="1">
        <w:r w:rsidRPr="007605E6">
          <w:rPr>
            <w:rFonts w:cs="Times New Roman"/>
            <w:sz w:val="16"/>
            <w:szCs w:val="16"/>
            <w:lang w:val="sr-Cyrl-RS"/>
          </w:rPr>
          <w:t>https://appsso.eurostat.ec.europa.eu/nui/show.do?dataset=trng_lfse_01&amp;lang=en</w:t>
        </w:r>
      </w:hyperlink>
    </w:p>
  </w:footnote>
  <w:footnote w:id="25">
    <w:p w14:paraId="42BDDFBF" w14:textId="77777777" w:rsidR="00815ACD" w:rsidRPr="007605E6" w:rsidRDefault="00815ACD" w:rsidP="00D210F0">
      <w:pPr>
        <w:spacing w:after="0"/>
        <w:rPr>
          <w:rFonts w:cs="Times New Roman"/>
          <w:sz w:val="16"/>
          <w:szCs w:val="16"/>
          <w:lang w:val="sr-Cyrl-RS"/>
        </w:rPr>
      </w:pPr>
      <w:r w:rsidRPr="007605E6">
        <w:rPr>
          <w:rStyle w:val="FootnoteReference"/>
          <w:rFonts w:cs="Times New Roman"/>
          <w:sz w:val="16"/>
          <w:szCs w:val="16"/>
        </w:rPr>
        <w:footnoteRef/>
      </w:r>
      <w:r w:rsidRPr="007605E6">
        <w:rPr>
          <w:rFonts w:cs="Times New Roman"/>
          <w:sz w:val="16"/>
          <w:szCs w:val="16"/>
        </w:rPr>
        <w:t xml:space="preserve"> </w:t>
      </w:r>
      <w:r w:rsidRPr="007605E6">
        <w:rPr>
          <w:rFonts w:cs="Times New Roman"/>
          <w:sz w:val="16"/>
          <w:szCs w:val="16"/>
          <w:lang w:val="sr-Cyrl-RS"/>
        </w:rPr>
        <w:t xml:space="preserve">Програм ће </w:t>
      </w:r>
      <w:r w:rsidRPr="007605E6">
        <w:rPr>
          <w:rFonts w:cs="Times New Roman"/>
          <w:sz w:val="16"/>
          <w:szCs w:val="16"/>
        </w:rPr>
        <w:t>обухвати</w:t>
      </w:r>
      <w:r w:rsidRPr="007605E6">
        <w:rPr>
          <w:rFonts w:cs="Times New Roman"/>
          <w:sz w:val="16"/>
          <w:szCs w:val="16"/>
          <w:lang w:val="sr-Cyrl-RS"/>
        </w:rPr>
        <w:t>ти</w:t>
      </w:r>
      <w:r w:rsidRPr="007605E6">
        <w:rPr>
          <w:rFonts w:cs="Times New Roman"/>
          <w:sz w:val="16"/>
          <w:szCs w:val="16"/>
        </w:rPr>
        <w:t xml:space="preserve"> минимум 250 сати стручне обуке фокусиране на један од пет програмских језика (Java Script, PHP, Python, Java, NET) и систем администрацију, 40 часова обуке из меких вештина</w:t>
      </w:r>
      <w:r w:rsidRPr="007605E6">
        <w:rPr>
          <w:rFonts w:cs="Times New Roman"/>
          <w:sz w:val="16"/>
          <w:szCs w:val="16"/>
          <w:lang w:val="sr-Cyrl-RS"/>
        </w:rPr>
        <w:t>,</w:t>
      </w:r>
      <w:r w:rsidRPr="007605E6">
        <w:rPr>
          <w:rFonts w:cs="Times New Roman"/>
          <w:sz w:val="16"/>
          <w:szCs w:val="16"/>
        </w:rPr>
        <w:t xml:space="preserve"> као и 120 часова праксе</w:t>
      </w:r>
      <w:r w:rsidRPr="007605E6">
        <w:rPr>
          <w:rFonts w:cs="Times New Roman"/>
          <w:sz w:val="16"/>
          <w:szCs w:val="16"/>
          <w:lang w:val="sr-Cyrl-RS"/>
        </w:rPr>
        <w:t xml:space="preserve">. Извор: МРЗБСП </w:t>
      </w:r>
      <w:hyperlink r:id="rId5" w:history="1">
        <w:r w:rsidRPr="007605E6">
          <w:rPr>
            <w:rStyle w:val="Hyperlink"/>
            <w:rFonts w:cs="Times New Roman"/>
            <w:sz w:val="16"/>
            <w:szCs w:val="16"/>
          </w:rPr>
          <w:t>https://www.minrzs.gov.rs/</w:t>
        </w:r>
      </w:hyperlink>
      <w:r w:rsidRPr="007605E6">
        <w:rPr>
          <w:rFonts w:cs="Times New Roman"/>
          <w:sz w:val="16"/>
          <w:szCs w:val="16"/>
          <w:lang w:val="sr-Cyrl-RS"/>
        </w:rPr>
        <w:t xml:space="preserve"> </w:t>
      </w:r>
    </w:p>
  </w:footnote>
  <w:footnote w:id="26">
    <w:p w14:paraId="093D890B" w14:textId="36034810" w:rsidR="00815ACD" w:rsidRPr="007605E6" w:rsidRDefault="00815ACD" w:rsidP="00D210F0">
      <w:pPr>
        <w:spacing w:after="0"/>
        <w:rPr>
          <w:rFonts w:cs="Times New Roman"/>
          <w:sz w:val="16"/>
          <w:szCs w:val="16"/>
          <w:lang w:val="sr-Cyrl-RS"/>
        </w:rPr>
      </w:pPr>
      <w:r w:rsidRPr="007605E6">
        <w:rPr>
          <w:rStyle w:val="FootnoteReference"/>
          <w:rFonts w:cs="Times New Roman"/>
          <w:sz w:val="16"/>
          <w:szCs w:val="16"/>
        </w:rPr>
        <w:footnoteRef/>
      </w:r>
      <w:r w:rsidRPr="007605E6">
        <w:rPr>
          <w:rFonts w:cs="Times New Roman"/>
          <w:sz w:val="16"/>
          <w:szCs w:val="16"/>
        </w:rPr>
        <w:t xml:space="preserve"> У периоду август–</w:t>
      </w:r>
      <w:r w:rsidRPr="007605E6">
        <w:rPr>
          <w:rFonts w:cs="Times New Roman"/>
          <w:sz w:val="16"/>
          <w:szCs w:val="16"/>
          <w:lang w:val="sr-Cyrl-RS"/>
        </w:rPr>
        <w:t>децембар 2021. године у 16</w:t>
      </w:r>
      <w:r w:rsidRPr="007605E6">
        <w:rPr>
          <w:rFonts w:cs="Times New Roman"/>
          <w:sz w:val="16"/>
          <w:szCs w:val="16"/>
        </w:rPr>
        <w:t xml:space="preserve"> градова </w:t>
      </w:r>
      <w:r>
        <w:rPr>
          <w:rFonts w:cs="Times New Roman"/>
          <w:sz w:val="16"/>
          <w:szCs w:val="16"/>
          <w:lang w:val="sr-Cyrl-RS"/>
        </w:rPr>
        <w:t xml:space="preserve">Републике </w:t>
      </w:r>
      <w:r w:rsidRPr="007605E6">
        <w:rPr>
          <w:rFonts w:cs="Times New Roman"/>
          <w:sz w:val="16"/>
          <w:szCs w:val="16"/>
        </w:rPr>
        <w:t>Србије организова</w:t>
      </w:r>
      <w:r w:rsidRPr="007605E6">
        <w:rPr>
          <w:rFonts w:cs="Times New Roman"/>
          <w:sz w:val="16"/>
          <w:szCs w:val="16"/>
          <w:lang w:val="sr-Cyrl-RS"/>
        </w:rPr>
        <w:t>ни су</w:t>
      </w:r>
      <w:r w:rsidRPr="007605E6">
        <w:rPr>
          <w:rFonts w:cs="Times New Roman"/>
          <w:sz w:val="16"/>
          <w:szCs w:val="16"/>
        </w:rPr>
        <w:t xml:space="preserve"> дога</w:t>
      </w:r>
      <w:r w:rsidRPr="007605E6">
        <w:rPr>
          <w:rFonts w:cs="Times New Roman"/>
          <w:sz w:val="16"/>
          <w:szCs w:val="16"/>
          <w:lang w:val="sr-Cyrl-RS"/>
        </w:rPr>
        <w:t>ђ</w:t>
      </w:r>
      <w:r w:rsidRPr="007605E6">
        <w:rPr>
          <w:rFonts w:cs="Times New Roman"/>
          <w:sz w:val="16"/>
          <w:szCs w:val="16"/>
        </w:rPr>
        <w:t>ај</w:t>
      </w:r>
      <w:r w:rsidRPr="007605E6">
        <w:rPr>
          <w:rFonts w:cs="Times New Roman"/>
          <w:sz w:val="16"/>
          <w:szCs w:val="16"/>
          <w:lang w:val="sr-Cyrl-RS"/>
        </w:rPr>
        <w:t>и</w:t>
      </w:r>
      <w:r w:rsidRPr="007605E6">
        <w:rPr>
          <w:rFonts w:cs="Times New Roman"/>
          <w:sz w:val="16"/>
          <w:szCs w:val="16"/>
        </w:rPr>
        <w:t xml:space="preserve"> који су имали за циљ унапре</w:t>
      </w:r>
      <w:r w:rsidRPr="007605E6">
        <w:rPr>
          <w:rFonts w:cs="Times New Roman"/>
          <w:sz w:val="16"/>
          <w:szCs w:val="16"/>
          <w:lang w:val="sr-Cyrl-RS"/>
        </w:rPr>
        <w:t>ђ</w:t>
      </w:r>
      <w:r w:rsidRPr="007605E6">
        <w:rPr>
          <w:rFonts w:cs="Times New Roman"/>
          <w:sz w:val="16"/>
          <w:szCs w:val="16"/>
        </w:rPr>
        <w:t>ење дигиталне писмености гра</w:t>
      </w:r>
      <w:r w:rsidRPr="007605E6">
        <w:rPr>
          <w:rFonts w:cs="Times New Roman"/>
          <w:sz w:val="16"/>
          <w:szCs w:val="16"/>
          <w:lang w:val="sr-Cyrl-RS"/>
        </w:rPr>
        <w:t>ђ</w:t>
      </w:r>
      <w:r w:rsidRPr="007605E6">
        <w:rPr>
          <w:rFonts w:cs="Times New Roman"/>
          <w:sz w:val="16"/>
          <w:szCs w:val="16"/>
        </w:rPr>
        <w:t>ана.</w:t>
      </w:r>
    </w:p>
  </w:footnote>
  <w:footnote w:id="27">
    <w:p w14:paraId="18BF18A1" w14:textId="14B79A04" w:rsidR="00815ACD" w:rsidRPr="007605E6" w:rsidRDefault="00815ACD" w:rsidP="00D210F0">
      <w:pPr>
        <w:spacing w:after="0"/>
        <w:rPr>
          <w:rFonts w:cs="Times New Roman"/>
          <w:sz w:val="16"/>
          <w:szCs w:val="16"/>
          <w:lang w:val="sr-Cyrl-RS"/>
        </w:rPr>
      </w:pPr>
      <w:r w:rsidRPr="007605E6">
        <w:rPr>
          <w:rStyle w:val="FootnoteReference"/>
          <w:rFonts w:cs="Times New Roman"/>
          <w:sz w:val="16"/>
          <w:szCs w:val="16"/>
        </w:rPr>
        <w:footnoteRef/>
      </w:r>
      <w:r w:rsidRPr="007605E6">
        <w:rPr>
          <w:rFonts w:cs="Times New Roman"/>
          <w:sz w:val="16"/>
          <w:szCs w:val="16"/>
        </w:rPr>
        <w:t xml:space="preserve"> </w:t>
      </w:r>
      <w:r w:rsidRPr="007605E6">
        <w:rPr>
          <w:rFonts w:cs="Times New Roman"/>
          <w:sz w:val="16"/>
          <w:szCs w:val="16"/>
          <w:lang w:val="sr-Cyrl-RS"/>
        </w:rPr>
        <w:t>Д</w:t>
      </w:r>
      <w:r w:rsidRPr="007605E6">
        <w:rPr>
          <w:rFonts w:cs="Times New Roman"/>
          <w:sz w:val="16"/>
          <w:szCs w:val="16"/>
        </w:rPr>
        <w:t>ео</w:t>
      </w:r>
      <w:r w:rsidRPr="007605E6">
        <w:rPr>
          <w:rFonts w:cs="Times New Roman"/>
          <w:sz w:val="16"/>
          <w:szCs w:val="16"/>
          <w:lang w:val="sr-Cyrl-RS"/>
        </w:rPr>
        <w:t xml:space="preserve"> је</w:t>
      </w:r>
      <w:r w:rsidRPr="007605E6">
        <w:rPr>
          <w:rFonts w:cs="Times New Roman"/>
          <w:sz w:val="16"/>
          <w:szCs w:val="16"/>
        </w:rPr>
        <w:t xml:space="preserve"> програма </w:t>
      </w:r>
      <w:r w:rsidRPr="007605E6">
        <w:rPr>
          <w:rFonts w:cs="Times New Roman"/>
          <w:sz w:val="16"/>
          <w:szCs w:val="16"/>
          <w:lang w:val="sr-Cyrl-RS"/>
        </w:rPr>
        <w:t>„</w:t>
      </w:r>
      <w:r w:rsidRPr="007605E6">
        <w:rPr>
          <w:rFonts w:cs="Times New Roman"/>
          <w:sz w:val="16"/>
          <w:szCs w:val="16"/>
        </w:rPr>
        <w:t>Будућност Европе у настајању</w:t>
      </w:r>
      <w:r w:rsidRPr="003C1DFF">
        <w:rPr>
          <w:rFonts w:cs="Times New Roman"/>
          <w:sz w:val="16"/>
          <w:szCs w:val="16"/>
          <w:lang w:val="sr-Cyrl-RS"/>
        </w:rPr>
        <w:t>”</w:t>
      </w:r>
      <w:r w:rsidRPr="007605E6">
        <w:rPr>
          <w:rFonts w:cs="Times New Roman"/>
          <w:sz w:val="16"/>
          <w:szCs w:val="16"/>
        </w:rPr>
        <w:t xml:space="preserve"> (</w:t>
      </w:r>
      <w:r w:rsidRPr="007605E6">
        <w:rPr>
          <w:rFonts w:cs="Times New Roman"/>
          <w:i/>
          <w:sz w:val="16"/>
          <w:szCs w:val="16"/>
        </w:rPr>
        <w:t>Future-proof Education</w:t>
      </w:r>
      <w:r w:rsidRPr="007605E6">
        <w:rPr>
          <w:rFonts w:cs="Times New Roman"/>
          <w:sz w:val="16"/>
          <w:szCs w:val="16"/>
        </w:rPr>
        <w:t xml:space="preserve">) који се спроводи у 23 земље </w:t>
      </w:r>
      <w:r w:rsidRPr="007605E6">
        <w:rPr>
          <w:rFonts w:cs="Times New Roman"/>
          <w:sz w:val="16"/>
          <w:szCs w:val="16"/>
          <w:lang w:val="sr-Cyrl-RS"/>
        </w:rPr>
        <w:t>Ц</w:t>
      </w:r>
      <w:r w:rsidRPr="007605E6">
        <w:rPr>
          <w:rFonts w:cs="Times New Roman"/>
          <w:sz w:val="16"/>
          <w:szCs w:val="16"/>
        </w:rPr>
        <w:t xml:space="preserve">ентралне, </w:t>
      </w:r>
      <w:r w:rsidRPr="007605E6">
        <w:rPr>
          <w:rFonts w:cs="Times New Roman"/>
          <w:sz w:val="16"/>
          <w:szCs w:val="16"/>
          <w:lang w:val="sr-Cyrl-RS"/>
        </w:rPr>
        <w:t>И</w:t>
      </w:r>
      <w:r w:rsidRPr="007605E6">
        <w:rPr>
          <w:rFonts w:cs="Times New Roman"/>
          <w:sz w:val="16"/>
          <w:szCs w:val="16"/>
        </w:rPr>
        <w:t>сточне, Југоисточне Европе и Јужног Кавказа.</w:t>
      </w:r>
      <w:r w:rsidRPr="007605E6">
        <w:rPr>
          <w:rFonts w:cs="Times New Roman"/>
          <w:sz w:val="16"/>
          <w:szCs w:val="16"/>
          <w:lang w:val="sr-Cyrl-RS"/>
        </w:rPr>
        <w:t xml:space="preserve"> </w:t>
      </w:r>
      <w:hyperlink r:id="rId6" w:history="1">
        <w:r w:rsidRPr="007605E6">
          <w:rPr>
            <w:rStyle w:val="Hyperlink"/>
            <w:rFonts w:cs="Times New Roman"/>
            <w:sz w:val="16"/>
            <w:szCs w:val="16"/>
            <w:lang w:val="sr-Cyrl-RS"/>
          </w:rPr>
          <w:t>https://emerging-europe.com/future-of-ee-awards/winners/</w:t>
        </w:r>
      </w:hyperlink>
      <w:r w:rsidRPr="007605E6">
        <w:rPr>
          <w:rFonts w:cs="Times New Roman"/>
          <w:sz w:val="16"/>
          <w:szCs w:val="16"/>
          <w:lang w:val="sr-Cyrl-RS"/>
        </w:rPr>
        <w:t xml:space="preserve"> </w:t>
      </w:r>
    </w:p>
  </w:footnote>
  <w:footnote w:id="28">
    <w:p w14:paraId="6A31EC38" w14:textId="77777777" w:rsidR="00815ACD" w:rsidRPr="007605E6" w:rsidRDefault="00815ACD" w:rsidP="00D210F0">
      <w:pPr>
        <w:spacing w:after="0"/>
        <w:rPr>
          <w:rFonts w:cs="Times New Roman"/>
          <w:sz w:val="16"/>
          <w:szCs w:val="16"/>
          <w:lang w:val="sr-Cyrl-RS"/>
        </w:rPr>
      </w:pPr>
      <w:r w:rsidRPr="007605E6">
        <w:rPr>
          <w:rStyle w:val="FootnoteReference"/>
          <w:rFonts w:cs="Times New Roman"/>
          <w:sz w:val="16"/>
          <w:szCs w:val="16"/>
        </w:rPr>
        <w:footnoteRef/>
      </w:r>
      <w:r w:rsidRPr="007605E6">
        <w:rPr>
          <w:rFonts w:cs="Times New Roman"/>
          <w:sz w:val="16"/>
          <w:szCs w:val="16"/>
          <w:lang w:val="sr-Cyrl-RS"/>
        </w:rPr>
        <w:t xml:space="preserve"> Проценат лица чији је еквивалентни приход нижи од прага ризика од сиромаштва</w:t>
      </w:r>
      <w:r w:rsidRPr="007605E6">
        <w:rPr>
          <w:rFonts w:cs="Times New Roman"/>
          <w:sz w:val="16"/>
          <w:szCs w:val="16"/>
          <w:lang w:val="sr-Latn-RS"/>
        </w:rPr>
        <w:t xml:space="preserve"> (60%</w:t>
      </w:r>
      <w:r w:rsidRPr="007605E6">
        <w:rPr>
          <w:rFonts w:cs="Times New Roman"/>
          <w:sz w:val="16"/>
          <w:szCs w:val="16"/>
          <w:lang w:val="sr-Cyrl-RS"/>
        </w:rPr>
        <w:t xml:space="preserve"> медијане еквивалентног прихода) </w:t>
      </w:r>
    </w:p>
  </w:footnote>
  <w:footnote w:id="29">
    <w:p w14:paraId="18401F93" w14:textId="77777777" w:rsidR="00815ACD" w:rsidRPr="007605E6" w:rsidRDefault="00815ACD" w:rsidP="00D210F0">
      <w:pPr>
        <w:spacing w:after="0"/>
        <w:rPr>
          <w:rFonts w:cs="Times New Roman"/>
          <w:sz w:val="16"/>
          <w:szCs w:val="16"/>
        </w:rPr>
      </w:pPr>
      <w:r w:rsidRPr="007605E6">
        <w:rPr>
          <w:rStyle w:val="FootnoteReference"/>
          <w:rFonts w:cs="Times New Roman"/>
          <w:sz w:val="16"/>
          <w:szCs w:val="16"/>
        </w:rPr>
        <w:footnoteRef/>
      </w:r>
      <w:r w:rsidRPr="007605E6">
        <w:rPr>
          <w:rFonts w:cs="Times New Roman"/>
          <w:sz w:val="16"/>
          <w:szCs w:val="16"/>
          <w:lang w:val="sr-Cyrl-RS"/>
        </w:rPr>
        <w:t xml:space="preserve"> Извор: Сиромаштво и социјална неједнакост 2021</w:t>
      </w:r>
      <w:r w:rsidRPr="007605E6">
        <w:rPr>
          <w:rFonts w:cs="Times New Roman"/>
          <w:sz w:val="16"/>
          <w:szCs w:val="16"/>
          <w:lang w:val="sr-Latn-RS"/>
        </w:rPr>
        <w:t xml:space="preserve">. </w:t>
      </w:r>
      <w:r w:rsidRPr="007605E6">
        <w:rPr>
          <w:rStyle w:val="Hyperlink"/>
          <w:rFonts w:eastAsia="MS PGothic" w:cs="Times New Roman"/>
          <w:sz w:val="16"/>
          <w:szCs w:val="16"/>
        </w:rPr>
        <w:t>https://publikacije.stat.gov.rs/G2022/HtmlL/G20221287.html</w:t>
      </w:r>
    </w:p>
  </w:footnote>
  <w:footnote w:id="30">
    <w:p w14:paraId="6F080E36" w14:textId="77777777" w:rsidR="00815ACD" w:rsidRPr="007605E6" w:rsidRDefault="00815ACD" w:rsidP="00D210F0">
      <w:pPr>
        <w:spacing w:after="0"/>
        <w:rPr>
          <w:rFonts w:cs="Times New Roman"/>
          <w:sz w:val="16"/>
          <w:szCs w:val="16"/>
          <w:lang w:val="sr-Cyrl-RS"/>
        </w:rPr>
      </w:pPr>
      <w:r w:rsidRPr="007605E6">
        <w:rPr>
          <w:rStyle w:val="FootnoteReference"/>
          <w:rFonts w:cs="Times New Roman"/>
          <w:sz w:val="16"/>
          <w:szCs w:val="16"/>
        </w:rPr>
        <w:footnoteRef/>
      </w:r>
      <w:r w:rsidRPr="007605E6">
        <w:rPr>
          <w:rFonts w:cs="Times New Roman"/>
          <w:sz w:val="16"/>
          <w:szCs w:val="16"/>
          <w:lang w:val="sr-Latn-RS"/>
        </w:rPr>
        <w:t xml:space="preserve"> </w:t>
      </w:r>
      <w:r w:rsidRPr="007605E6">
        <w:rPr>
          <w:rFonts w:cs="Times New Roman"/>
          <w:sz w:val="16"/>
          <w:szCs w:val="16"/>
          <w:lang w:val="sr-Cyrl-RS"/>
        </w:rPr>
        <w:t>Извор:</w:t>
      </w:r>
      <w:r w:rsidRPr="007605E6">
        <w:rPr>
          <w:rFonts w:cs="Times New Roman"/>
          <w:sz w:val="16"/>
          <w:szCs w:val="16"/>
          <w:lang w:val="sr-Latn-RS"/>
        </w:rPr>
        <w:t xml:space="preserve"> EUROSTAT</w:t>
      </w:r>
      <w:r w:rsidRPr="007605E6">
        <w:rPr>
          <w:rFonts w:cs="Times New Roman"/>
          <w:sz w:val="16"/>
          <w:szCs w:val="16"/>
          <w:lang w:val="sr-Cyrl-RS"/>
        </w:rPr>
        <w:t xml:space="preserve">: </w:t>
      </w:r>
      <w:r w:rsidRPr="00ED23D8">
        <w:rPr>
          <w:rFonts w:cs="Times New Roman"/>
          <w:i/>
          <w:sz w:val="16"/>
          <w:szCs w:val="16"/>
          <w:lang w:val="sr-Latn-RS"/>
        </w:rPr>
        <w:t>A</w:t>
      </w:r>
      <w:r w:rsidRPr="00ED23D8">
        <w:rPr>
          <w:rFonts w:cs="Times New Roman"/>
          <w:i/>
          <w:sz w:val="16"/>
          <w:szCs w:val="16"/>
        </w:rPr>
        <w:t>t-risk-of-poverty</w:t>
      </w:r>
      <w:r w:rsidRPr="00ED23D8">
        <w:rPr>
          <w:rFonts w:cs="Times New Roman"/>
          <w:i/>
          <w:sz w:val="16"/>
          <w:szCs w:val="16"/>
          <w:lang w:val="sr-Latn-RS"/>
        </w:rPr>
        <w:t xml:space="preserve"> rate</w:t>
      </w:r>
      <w:r w:rsidRPr="007605E6">
        <w:rPr>
          <w:rFonts w:cs="Times New Roman"/>
          <w:sz w:val="16"/>
          <w:szCs w:val="16"/>
        </w:rPr>
        <w:t xml:space="preserve"> </w:t>
      </w:r>
      <w:hyperlink r:id="rId7" w:history="1">
        <w:r w:rsidRPr="007605E6">
          <w:rPr>
            <w:rStyle w:val="Hyperlink"/>
            <w:rFonts w:eastAsia="MS PGothic" w:cs="Times New Roman"/>
            <w:sz w:val="16"/>
            <w:szCs w:val="16"/>
            <w:lang w:val="sr-Latn-RS"/>
          </w:rPr>
          <w:t>At-risk-of-poverty rate - Products Datasets - Eurostat (europa.eu)</w:t>
        </w:r>
      </w:hyperlink>
    </w:p>
  </w:footnote>
  <w:footnote w:id="31">
    <w:p w14:paraId="23161638" w14:textId="77777777" w:rsidR="00815ACD" w:rsidRPr="007605E6" w:rsidRDefault="00815ACD" w:rsidP="00D210F0">
      <w:pPr>
        <w:spacing w:after="0"/>
        <w:rPr>
          <w:rFonts w:cs="Times New Roman"/>
          <w:sz w:val="16"/>
          <w:szCs w:val="16"/>
          <w:lang w:val="sr-Latn-RS"/>
        </w:rPr>
      </w:pPr>
      <w:r w:rsidRPr="007605E6">
        <w:rPr>
          <w:rStyle w:val="FootnoteReference"/>
          <w:rFonts w:cs="Times New Roman"/>
          <w:sz w:val="16"/>
          <w:szCs w:val="16"/>
        </w:rPr>
        <w:footnoteRef/>
      </w:r>
      <w:r w:rsidRPr="007605E6">
        <w:rPr>
          <w:rFonts w:cs="Times New Roman"/>
          <w:sz w:val="16"/>
          <w:szCs w:val="16"/>
          <w:lang w:val="sr-Cyrl-RS"/>
        </w:rPr>
        <w:t xml:space="preserve"> Извор: Анкета о приходима и условима живота 2021</w:t>
      </w:r>
      <w:r w:rsidRPr="007605E6">
        <w:rPr>
          <w:rFonts w:cs="Times New Roman"/>
          <w:sz w:val="16"/>
          <w:szCs w:val="16"/>
          <w:lang w:val="sr-Latn-RS"/>
        </w:rPr>
        <w:t xml:space="preserve">. </w:t>
      </w:r>
      <w:r w:rsidRPr="007605E6">
        <w:rPr>
          <w:rStyle w:val="Hyperlink"/>
          <w:rFonts w:eastAsia="MS PGothic" w:cs="Times New Roman"/>
          <w:sz w:val="16"/>
          <w:szCs w:val="16"/>
        </w:rPr>
        <w:t>https://publikacije.stat.gov.rs/G2022/HtmlL/G20221287.html</w:t>
      </w:r>
    </w:p>
  </w:footnote>
  <w:footnote w:id="32">
    <w:p w14:paraId="215F2BB3" w14:textId="77777777" w:rsidR="00815ACD" w:rsidRPr="007605E6" w:rsidRDefault="00815ACD" w:rsidP="00D210F0">
      <w:pPr>
        <w:spacing w:after="0"/>
        <w:rPr>
          <w:rFonts w:cs="Times New Roman"/>
          <w:sz w:val="16"/>
          <w:szCs w:val="16"/>
          <w:lang w:val="sr-Cyrl-RS"/>
        </w:rPr>
      </w:pPr>
      <w:r w:rsidRPr="007605E6">
        <w:rPr>
          <w:rStyle w:val="FootnoteReference"/>
          <w:rFonts w:cs="Times New Roman"/>
          <w:sz w:val="16"/>
          <w:szCs w:val="16"/>
        </w:rPr>
        <w:footnoteRef/>
      </w:r>
      <w:r w:rsidRPr="007605E6">
        <w:rPr>
          <w:rFonts w:cs="Times New Roman"/>
          <w:sz w:val="16"/>
          <w:szCs w:val="16"/>
          <w:lang w:val="fr-FR"/>
        </w:rPr>
        <w:t xml:space="preserve"> </w:t>
      </w:r>
      <w:r w:rsidRPr="007605E6">
        <w:rPr>
          <w:rFonts w:cs="Times New Roman"/>
          <w:sz w:val="16"/>
          <w:szCs w:val="16"/>
          <w:lang w:val="sr-Cyrl-RS"/>
        </w:rPr>
        <w:t>Извор:</w:t>
      </w:r>
      <w:r w:rsidRPr="007605E6">
        <w:rPr>
          <w:rFonts w:cs="Times New Roman"/>
          <w:sz w:val="16"/>
          <w:szCs w:val="16"/>
          <w:lang w:val="sr-Latn-RS"/>
        </w:rPr>
        <w:t xml:space="preserve"> GINI </w:t>
      </w:r>
      <w:r w:rsidRPr="007605E6">
        <w:rPr>
          <w:rFonts w:cs="Times New Roman"/>
          <w:sz w:val="16"/>
          <w:szCs w:val="16"/>
          <w:lang w:val="fr-FR"/>
        </w:rPr>
        <w:t xml:space="preserve">Coefficient. </w:t>
      </w:r>
      <w:r w:rsidRPr="007605E6">
        <w:rPr>
          <w:rStyle w:val="Hyperlink"/>
          <w:rFonts w:eastAsia="MS PGothic" w:cs="Times New Roman"/>
          <w:sz w:val="16"/>
          <w:szCs w:val="16"/>
          <w:lang w:val="sr-Cyrl-RS"/>
        </w:rPr>
        <w:t xml:space="preserve">, </w:t>
      </w:r>
      <w:hyperlink r:id="rId8" w:history="1">
        <w:r w:rsidRPr="007605E6">
          <w:rPr>
            <w:rStyle w:val="Hyperlink"/>
            <w:rFonts w:eastAsia="MS PGothic" w:cs="Times New Roman"/>
            <w:sz w:val="16"/>
            <w:szCs w:val="16"/>
            <w:lang w:val="sr-Cyrl-RS"/>
          </w:rPr>
          <w:t>https://ec.europa.eu/eurostat/databrowser/view/tessi190/default/table?lang=en</w:t>
        </w:r>
      </w:hyperlink>
      <w:r w:rsidRPr="007605E6">
        <w:rPr>
          <w:rStyle w:val="Hyperlink"/>
          <w:rFonts w:eastAsia="MS PGothic" w:cs="Times New Roman"/>
          <w:sz w:val="16"/>
          <w:szCs w:val="16"/>
          <w:lang w:val="sr-Cyrl-RS"/>
        </w:rPr>
        <w:t xml:space="preserve"> </w:t>
      </w:r>
    </w:p>
  </w:footnote>
  <w:footnote w:id="33">
    <w:p w14:paraId="5B1C4532" w14:textId="3F70341F" w:rsidR="00815ACD" w:rsidRPr="007605E6" w:rsidRDefault="00815ACD" w:rsidP="00D210F0">
      <w:pPr>
        <w:spacing w:after="0"/>
        <w:rPr>
          <w:rFonts w:cs="Times New Roman"/>
          <w:sz w:val="16"/>
          <w:szCs w:val="16"/>
          <w:lang w:val="sr-Cyrl-RS"/>
        </w:rPr>
      </w:pPr>
      <w:r w:rsidRPr="007605E6">
        <w:rPr>
          <w:rStyle w:val="FootnoteReference"/>
          <w:rFonts w:cs="Times New Roman"/>
          <w:sz w:val="16"/>
          <w:szCs w:val="16"/>
        </w:rPr>
        <w:footnoteRef/>
      </w:r>
      <w:r w:rsidRPr="007605E6">
        <w:rPr>
          <w:rFonts w:cs="Times New Roman"/>
          <w:sz w:val="16"/>
          <w:szCs w:val="16"/>
          <w:lang w:val="sr-Cyrl-RS"/>
        </w:rPr>
        <w:t xml:space="preserve"> Извор:</w:t>
      </w:r>
      <w:r w:rsidRPr="007605E6">
        <w:rPr>
          <w:rFonts w:cs="Times New Roman"/>
          <w:sz w:val="16"/>
          <w:szCs w:val="16"/>
          <w:lang w:val="sr-Latn-RS"/>
        </w:rPr>
        <w:t xml:space="preserve"> </w:t>
      </w:r>
      <w:r w:rsidRPr="007605E6">
        <w:rPr>
          <w:rFonts w:cs="Times New Roman"/>
          <w:sz w:val="16"/>
          <w:szCs w:val="16"/>
          <w:lang w:val="sr-Cyrl-RS"/>
        </w:rPr>
        <w:t>М</w:t>
      </w:r>
      <w:r>
        <w:rPr>
          <w:rFonts w:cs="Times New Roman"/>
          <w:sz w:val="16"/>
          <w:szCs w:val="16"/>
          <w:lang w:val="sr-Cyrl-RS"/>
        </w:rPr>
        <w:t>инистарство финансија</w:t>
      </w:r>
      <w:r w:rsidRPr="007605E6">
        <w:rPr>
          <w:rFonts w:cs="Times New Roman"/>
          <w:sz w:val="16"/>
          <w:szCs w:val="16"/>
          <w:lang w:val="sr-Cyrl-RS"/>
        </w:rPr>
        <w:t xml:space="preserve">, Консолидовани биланс државе. </w:t>
      </w:r>
      <w:hyperlink r:id="rId9" w:history="1">
        <w:r w:rsidRPr="007605E6">
          <w:rPr>
            <w:rStyle w:val="Hyperlink"/>
            <w:rFonts w:eastAsia="MS PGothic" w:cs="Times New Roman"/>
            <w:sz w:val="16"/>
            <w:szCs w:val="16"/>
            <w:lang w:val="sr-Cyrl-RS"/>
          </w:rPr>
          <w:t>https://www.mfin.gov.rs/dokumenti2/makroekonomski-i-fiskalni-podaci</w:t>
        </w:r>
      </w:hyperlink>
      <w:r w:rsidRPr="007605E6">
        <w:rPr>
          <w:rFonts w:cs="Times New Roman"/>
          <w:sz w:val="16"/>
          <w:szCs w:val="16"/>
          <w:lang w:val="sr-Cyrl-RS"/>
        </w:rPr>
        <w:t xml:space="preserve"> </w:t>
      </w:r>
    </w:p>
  </w:footnote>
  <w:footnote w:id="34">
    <w:p w14:paraId="669780D4" w14:textId="4E8C5A55" w:rsidR="00815ACD" w:rsidRPr="007605E6" w:rsidRDefault="00815ACD" w:rsidP="00D210F0">
      <w:pPr>
        <w:spacing w:after="0"/>
        <w:rPr>
          <w:rFonts w:cs="Times New Roman"/>
          <w:sz w:val="16"/>
          <w:szCs w:val="16"/>
          <w:lang w:val="sr-Cyrl-RS"/>
        </w:rPr>
      </w:pPr>
      <w:r w:rsidRPr="007605E6">
        <w:rPr>
          <w:rStyle w:val="FootnoteReference"/>
          <w:rFonts w:cs="Times New Roman"/>
          <w:sz w:val="16"/>
          <w:szCs w:val="16"/>
        </w:rPr>
        <w:footnoteRef/>
      </w:r>
      <w:r w:rsidRPr="007605E6">
        <w:rPr>
          <w:rFonts w:cs="Times New Roman"/>
          <w:sz w:val="16"/>
          <w:szCs w:val="16"/>
          <w:lang w:val="sr-Cyrl-RS"/>
        </w:rPr>
        <w:t xml:space="preserve"> Извор: М</w:t>
      </w:r>
      <w:r>
        <w:rPr>
          <w:rFonts w:cs="Times New Roman"/>
          <w:sz w:val="16"/>
          <w:szCs w:val="16"/>
          <w:lang w:val="sr-Cyrl-RS"/>
        </w:rPr>
        <w:t>инистарство финансија</w:t>
      </w:r>
      <w:r w:rsidRPr="007605E6">
        <w:rPr>
          <w:rFonts w:cs="Times New Roman"/>
          <w:sz w:val="16"/>
          <w:szCs w:val="16"/>
          <w:lang w:val="sr-Cyrl-RS"/>
        </w:rPr>
        <w:t xml:space="preserve">, Консолидовани биланс државе. </w:t>
      </w:r>
      <w:hyperlink r:id="rId10" w:history="1">
        <w:r w:rsidRPr="007605E6">
          <w:rPr>
            <w:rStyle w:val="Hyperlink"/>
            <w:rFonts w:eastAsia="MS PGothic" w:cs="Times New Roman"/>
            <w:sz w:val="16"/>
            <w:szCs w:val="16"/>
            <w:lang w:val="sr-Cyrl-RS"/>
          </w:rPr>
          <w:t>https://www.mfin.gov.rs/dokumenti2/makroekonomski-i-fiskalni-podaci</w:t>
        </w:r>
      </w:hyperlink>
      <w:r w:rsidRPr="007605E6">
        <w:rPr>
          <w:rFonts w:cs="Times New Roman"/>
          <w:sz w:val="16"/>
          <w:szCs w:val="16"/>
          <w:lang w:val="sr-Cyrl-RS"/>
        </w:rPr>
        <w:t xml:space="preserve"> </w:t>
      </w:r>
    </w:p>
  </w:footnote>
  <w:footnote w:id="35">
    <w:p w14:paraId="5D3633E8" w14:textId="33702915" w:rsidR="00815ACD" w:rsidRPr="007605E6" w:rsidRDefault="00815ACD" w:rsidP="00D210F0">
      <w:pPr>
        <w:spacing w:after="0"/>
        <w:rPr>
          <w:rFonts w:cs="Times New Roman"/>
          <w:sz w:val="16"/>
          <w:szCs w:val="16"/>
          <w:lang w:val="sr-Cyrl-RS"/>
        </w:rPr>
      </w:pPr>
      <w:r w:rsidRPr="007605E6">
        <w:rPr>
          <w:rStyle w:val="FootnoteReference"/>
          <w:rFonts w:cs="Times New Roman"/>
          <w:sz w:val="16"/>
          <w:szCs w:val="16"/>
        </w:rPr>
        <w:footnoteRef/>
      </w:r>
      <w:r w:rsidRPr="007605E6">
        <w:rPr>
          <w:rFonts w:cs="Times New Roman"/>
          <w:sz w:val="16"/>
          <w:szCs w:val="16"/>
        </w:rPr>
        <w:t xml:space="preserve"> </w:t>
      </w:r>
      <w:r w:rsidRPr="007605E6">
        <w:rPr>
          <w:rFonts w:cs="Times New Roman"/>
          <w:sz w:val="16"/>
          <w:szCs w:val="16"/>
          <w:lang w:val="sr-Cyrl-RS"/>
        </w:rPr>
        <w:t>Извор: М</w:t>
      </w:r>
      <w:r>
        <w:rPr>
          <w:rFonts w:cs="Times New Roman"/>
          <w:sz w:val="16"/>
          <w:szCs w:val="16"/>
          <w:lang w:val="sr-Cyrl-RS"/>
        </w:rPr>
        <w:t>инистарство трговине, туризма и телекомуникација</w:t>
      </w:r>
      <w:r w:rsidRPr="007605E6">
        <w:rPr>
          <w:rFonts w:cs="Times New Roman"/>
          <w:sz w:val="16"/>
          <w:szCs w:val="16"/>
          <w:lang w:val="sr-Cyrl-RS"/>
        </w:rPr>
        <w:t>,</w:t>
      </w:r>
      <w:r>
        <w:rPr>
          <w:rFonts w:cs="Times New Roman"/>
          <w:sz w:val="16"/>
          <w:szCs w:val="16"/>
          <w:lang w:val="sr-Cyrl-RS"/>
        </w:rPr>
        <w:t xml:space="preserve"> </w:t>
      </w:r>
      <w:hyperlink r:id="rId11" w:history="1">
        <w:r w:rsidRPr="007605E6">
          <w:rPr>
            <w:rStyle w:val="Hyperlink"/>
            <w:rFonts w:cs="Times New Roman"/>
            <w:sz w:val="16"/>
            <w:szCs w:val="16"/>
            <w:lang w:val="sr-Cyrl-RS"/>
          </w:rPr>
          <w:t>https://mtt.gov.rs/extfile/sr/36972/KUPOVNA%20MOC%20maj%2020221.pdf</w:t>
        </w:r>
      </w:hyperlink>
      <w:r w:rsidRPr="007605E6">
        <w:rPr>
          <w:rFonts w:cs="Times New Roman"/>
          <w:sz w:val="16"/>
          <w:szCs w:val="16"/>
          <w:lang w:val="sr-Cyrl-RS"/>
        </w:rPr>
        <w:t xml:space="preserve"> </w:t>
      </w:r>
    </w:p>
  </w:footnote>
  <w:footnote w:id="36">
    <w:p w14:paraId="037244E5" w14:textId="77777777" w:rsidR="00815ACD" w:rsidRPr="007605E6" w:rsidRDefault="00815ACD" w:rsidP="00D210F0">
      <w:pPr>
        <w:spacing w:after="0"/>
        <w:rPr>
          <w:rFonts w:cs="Times New Roman"/>
          <w:sz w:val="16"/>
          <w:szCs w:val="16"/>
          <w:lang w:val="sr-Cyrl-RS"/>
        </w:rPr>
      </w:pPr>
      <w:r w:rsidRPr="007605E6">
        <w:rPr>
          <w:rStyle w:val="FootnoteReference"/>
          <w:rFonts w:cs="Times New Roman"/>
          <w:sz w:val="16"/>
          <w:szCs w:val="16"/>
        </w:rPr>
        <w:footnoteRef/>
      </w:r>
      <w:r w:rsidRPr="007605E6">
        <w:rPr>
          <w:rFonts w:cs="Times New Roman"/>
          <w:sz w:val="16"/>
          <w:szCs w:val="16"/>
        </w:rPr>
        <w:t xml:space="preserve"> </w:t>
      </w:r>
      <w:r w:rsidRPr="007605E6">
        <w:rPr>
          <w:rFonts w:cs="Times New Roman"/>
          <w:sz w:val="16"/>
          <w:szCs w:val="16"/>
          <w:lang w:val="sr-Cyrl-RS"/>
        </w:rPr>
        <w:t xml:space="preserve">Извор: РЗС, Сиромаштво и социјална неједнакост, 2021. </w:t>
      </w:r>
      <w:r w:rsidRPr="007605E6">
        <w:rPr>
          <w:rStyle w:val="Hyperlink"/>
          <w:rFonts w:eastAsia="MS PGothic" w:cs="Times New Roman"/>
          <w:sz w:val="16"/>
          <w:szCs w:val="16"/>
        </w:rPr>
        <w:t>https://publikacije.stat.gov.rs/G2022/HtmlL/G20221287.html</w:t>
      </w:r>
    </w:p>
  </w:footnote>
  <w:footnote w:id="37">
    <w:p w14:paraId="175A032E" w14:textId="77777777" w:rsidR="00815ACD" w:rsidRPr="00D210F0" w:rsidRDefault="00815ACD" w:rsidP="00D210F0">
      <w:pPr>
        <w:spacing w:after="0"/>
        <w:rPr>
          <w:sz w:val="16"/>
          <w:szCs w:val="16"/>
          <w:lang w:val="sr-Cyrl-RS"/>
        </w:rPr>
      </w:pPr>
      <w:r w:rsidRPr="00D210F0">
        <w:rPr>
          <w:rStyle w:val="FootnoteReference"/>
          <w:sz w:val="16"/>
          <w:szCs w:val="16"/>
        </w:rPr>
        <w:footnoteRef/>
      </w:r>
      <w:r w:rsidRPr="00D210F0">
        <w:rPr>
          <w:sz w:val="16"/>
          <w:szCs w:val="16"/>
        </w:rPr>
        <w:t xml:space="preserve"> Полазну основу за доношење овог Програма чине Анализа постојећег стања у области социјалног предузетништва у Републици Србији</w:t>
      </w:r>
      <w:r w:rsidRPr="00D210F0">
        <w:rPr>
          <w:sz w:val="16"/>
          <w:szCs w:val="16"/>
          <w:lang w:val="sr-Cyrl-RS"/>
        </w:rPr>
        <w:t>,</w:t>
      </w:r>
      <w:r w:rsidRPr="00D210F0">
        <w:rPr>
          <w:sz w:val="16"/>
          <w:szCs w:val="16"/>
        </w:rPr>
        <w:t xml:space="preserve"> као и анализа правног оквира о значају и примени Закона о социјалном предузетништву</w:t>
      </w:r>
      <w:r w:rsidRPr="00D210F0">
        <w:rPr>
          <w:sz w:val="16"/>
          <w:szCs w:val="16"/>
          <w:lang w:val="sr-Cyrl-RS"/>
        </w:rPr>
        <w:t>, које су израђене у претходном периоду.</w:t>
      </w:r>
    </w:p>
  </w:footnote>
  <w:footnote w:id="38">
    <w:p w14:paraId="7338CA75" w14:textId="77777777" w:rsidR="00815ACD" w:rsidRPr="007605E6" w:rsidRDefault="00815ACD" w:rsidP="00A735B6">
      <w:pPr>
        <w:spacing w:after="0"/>
        <w:jc w:val="left"/>
        <w:rPr>
          <w:rFonts w:cs="Times New Roman"/>
          <w:sz w:val="16"/>
          <w:szCs w:val="16"/>
          <w:lang w:val="sr-Latn-RS"/>
        </w:rPr>
      </w:pPr>
      <w:r w:rsidRPr="007605E6">
        <w:rPr>
          <w:rStyle w:val="FootnoteReference"/>
          <w:rFonts w:cs="Times New Roman"/>
          <w:sz w:val="16"/>
          <w:szCs w:val="16"/>
          <w:lang w:val="sr-Latn-RS"/>
        </w:rPr>
        <w:footnoteRef/>
      </w:r>
      <w:r w:rsidRPr="007605E6">
        <w:rPr>
          <w:rFonts w:cs="Times New Roman"/>
          <w:sz w:val="16"/>
          <w:szCs w:val="16"/>
          <w:lang w:val="sr-Latn-RS"/>
        </w:rPr>
        <w:t xml:space="preserve"> Извор: Индекс родне равноправности у Републици Србији 2021. - инструмент којим се мери напредак у постизању родне равноправности у земљама ЕУ и земљама кандидатима за чланство у ЕУ. Равноправност се мери на скали од 1, што представља пуну неравноправност, до 100, што представља пуну равноправност. </w:t>
      </w:r>
      <w:hyperlink r:id="rId12" w:history="1">
        <w:r w:rsidRPr="007605E6">
          <w:rPr>
            <w:rStyle w:val="Hyperlink"/>
            <w:rFonts w:cs="Times New Roman"/>
            <w:sz w:val="16"/>
            <w:szCs w:val="16"/>
            <w:lang w:val="sr-Latn-RS"/>
          </w:rPr>
          <w:t>https://www.stat.gov.rs/media/343261/indeks_rodne_ravnopravnosti_u_rs_2021.pdf</w:t>
        </w:r>
      </w:hyperlink>
    </w:p>
  </w:footnote>
  <w:footnote w:id="39">
    <w:p w14:paraId="64BBE708" w14:textId="77777777" w:rsidR="00815ACD" w:rsidRPr="007605E6" w:rsidRDefault="00815ACD" w:rsidP="00D210F0">
      <w:pPr>
        <w:spacing w:after="0"/>
        <w:rPr>
          <w:rFonts w:cs="Times New Roman"/>
          <w:sz w:val="16"/>
          <w:szCs w:val="16"/>
          <w:lang w:val="sr-Latn-RS"/>
        </w:rPr>
      </w:pPr>
      <w:r w:rsidRPr="007605E6">
        <w:rPr>
          <w:rStyle w:val="FootnoteReference"/>
          <w:rFonts w:cs="Times New Roman"/>
          <w:sz w:val="16"/>
          <w:szCs w:val="16"/>
          <w:lang w:val="sr-Latn-RS"/>
        </w:rPr>
        <w:footnoteRef/>
      </w:r>
      <w:r w:rsidRPr="007605E6">
        <w:rPr>
          <w:rFonts w:cs="Times New Roman"/>
          <w:sz w:val="16"/>
          <w:szCs w:val="16"/>
          <w:lang w:val="sr-Latn-RS"/>
        </w:rPr>
        <w:t xml:space="preserve"> Индекс родне равноправности за 2021. годину не приказује последице пандемије по родну равноправност, јер се подаци на основу којих је конструисан индекс односе на период пре пандемије односно на 2018. годину.</w:t>
      </w:r>
    </w:p>
  </w:footnote>
  <w:footnote w:id="40">
    <w:p w14:paraId="179B19EA" w14:textId="77777777" w:rsidR="00815ACD" w:rsidRPr="007605E6" w:rsidRDefault="00815ACD" w:rsidP="00D210F0">
      <w:pPr>
        <w:spacing w:after="0"/>
        <w:rPr>
          <w:rFonts w:cs="Times New Roman"/>
          <w:sz w:val="16"/>
          <w:szCs w:val="16"/>
          <w:lang w:val="sr-Latn-RS"/>
        </w:rPr>
      </w:pPr>
      <w:r w:rsidRPr="007605E6">
        <w:rPr>
          <w:rStyle w:val="FootnoteReference"/>
          <w:rFonts w:cs="Times New Roman"/>
          <w:sz w:val="16"/>
          <w:szCs w:val="16"/>
          <w:lang w:val="sr-Latn-RS"/>
        </w:rPr>
        <w:footnoteRef/>
      </w:r>
      <w:r w:rsidRPr="007605E6">
        <w:rPr>
          <w:rFonts w:cs="Times New Roman"/>
          <w:sz w:val="16"/>
          <w:szCs w:val="16"/>
          <w:lang w:val="sr-Latn-RS"/>
        </w:rPr>
        <w:t xml:space="preserve"> Извор: Gender Equality Index EU 2021. Подаци за овај индекс су углавном из 2019. године. </w:t>
      </w:r>
      <w:hyperlink r:id="rId13" w:history="1">
        <w:r w:rsidRPr="007605E6">
          <w:rPr>
            <w:rStyle w:val="Hyperlink"/>
            <w:rFonts w:cs="Times New Roman"/>
            <w:sz w:val="16"/>
            <w:szCs w:val="16"/>
            <w:lang w:val="sr-Latn-RS"/>
          </w:rPr>
          <w:t>https://eige.europa.eu/gender-equality-index/2021</w:t>
        </w:r>
      </w:hyperlink>
    </w:p>
  </w:footnote>
  <w:footnote w:id="41">
    <w:p w14:paraId="343DF116" w14:textId="77777777" w:rsidR="00815ACD" w:rsidRPr="007605E6" w:rsidRDefault="00815ACD" w:rsidP="00D210F0">
      <w:pPr>
        <w:spacing w:after="0"/>
        <w:rPr>
          <w:rFonts w:cs="Times New Roman"/>
          <w:sz w:val="16"/>
          <w:szCs w:val="16"/>
          <w:lang w:val="sr-Latn-RS"/>
        </w:rPr>
      </w:pPr>
      <w:r w:rsidRPr="007605E6">
        <w:rPr>
          <w:rStyle w:val="FootnoteReference"/>
          <w:rFonts w:cs="Times New Roman"/>
          <w:sz w:val="16"/>
          <w:szCs w:val="16"/>
          <w:lang w:val="sr-Latn-RS"/>
        </w:rPr>
        <w:footnoteRef/>
      </w:r>
      <w:r w:rsidRPr="007605E6">
        <w:rPr>
          <w:rFonts w:cs="Times New Roman"/>
          <w:sz w:val="16"/>
          <w:szCs w:val="16"/>
          <w:lang w:val="sr-Latn-RS"/>
        </w:rPr>
        <w:t xml:space="preserve"> Овај домен се од првог мерења Индекса родне равноправности заснива на истим подацима из 2015. године. Истраживања Eurofound-а, EWCS и EQLS на основу којих се мери овај домен, а која је требало да буду спроведена 2020</w:t>
      </w:r>
      <w:r>
        <w:rPr>
          <w:rFonts w:cs="Times New Roman"/>
          <w:sz w:val="16"/>
          <w:szCs w:val="16"/>
          <w:lang w:val="sr-Latn-RS"/>
        </w:rPr>
        <w:t>. године, одложена су за 2021.</w:t>
      </w:r>
      <w:r w:rsidRPr="007605E6">
        <w:rPr>
          <w:rFonts w:cs="Times New Roman"/>
          <w:sz w:val="16"/>
          <w:szCs w:val="16"/>
          <w:lang w:val="sr-Latn-RS"/>
        </w:rPr>
        <w:t xml:space="preserve"> због пандемије.</w:t>
      </w:r>
    </w:p>
  </w:footnote>
  <w:footnote w:id="42">
    <w:p w14:paraId="4756B2FB" w14:textId="77777777" w:rsidR="00815ACD" w:rsidRPr="007605E6" w:rsidRDefault="00815ACD" w:rsidP="00D210F0">
      <w:pPr>
        <w:spacing w:after="0"/>
        <w:rPr>
          <w:rFonts w:cs="Times New Roman"/>
          <w:sz w:val="16"/>
          <w:szCs w:val="16"/>
          <w:lang w:val="sr-Cyrl-RS"/>
        </w:rPr>
      </w:pPr>
      <w:r w:rsidRPr="007605E6">
        <w:rPr>
          <w:rStyle w:val="FootnoteReference"/>
          <w:rFonts w:cs="Times New Roman"/>
          <w:sz w:val="16"/>
          <w:szCs w:val="16"/>
        </w:rPr>
        <w:footnoteRef/>
      </w:r>
      <w:r w:rsidRPr="007605E6">
        <w:rPr>
          <w:rFonts w:cs="Times New Roman"/>
          <w:sz w:val="16"/>
          <w:szCs w:val="16"/>
        </w:rPr>
        <w:t xml:space="preserve"> </w:t>
      </w:r>
      <w:r w:rsidRPr="007605E6">
        <w:rPr>
          <w:rFonts w:cs="Times New Roman"/>
          <w:sz w:val="16"/>
          <w:szCs w:val="16"/>
          <w:lang w:val="sr-Cyrl-RS"/>
        </w:rPr>
        <w:t>Периоди раста вредности индекса се смењују са периодима опадања вредности индекса: 2014.-56,9; 2016.-57,3; 2018.-56.</w:t>
      </w:r>
    </w:p>
  </w:footnote>
  <w:footnote w:id="43">
    <w:p w14:paraId="641D26CA" w14:textId="77777777" w:rsidR="00815ACD" w:rsidRPr="00312432" w:rsidRDefault="00815ACD" w:rsidP="00D210F0">
      <w:pPr>
        <w:spacing w:after="0"/>
        <w:rPr>
          <w:rFonts w:cs="Times New Roman"/>
          <w:sz w:val="16"/>
          <w:szCs w:val="16"/>
          <w:lang w:val="sr-Cyrl-RS"/>
        </w:rPr>
      </w:pPr>
      <w:r w:rsidRPr="00312432">
        <w:rPr>
          <w:rStyle w:val="FootnoteReference"/>
          <w:rFonts w:cs="Times New Roman"/>
          <w:sz w:val="16"/>
          <w:szCs w:val="16"/>
        </w:rPr>
        <w:footnoteRef/>
      </w:r>
      <w:r w:rsidRPr="00312432">
        <w:rPr>
          <w:rFonts w:cs="Times New Roman"/>
          <w:sz w:val="16"/>
          <w:szCs w:val="16"/>
        </w:rPr>
        <w:t xml:space="preserve"> </w:t>
      </w:r>
      <w:r w:rsidRPr="00312432">
        <w:rPr>
          <w:rFonts w:cs="Times New Roman"/>
          <w:sz w:val="16"/>
          <w:szCs w:val="16"/>
          <w:lang w:val="sr-Cyrl-RS"/>
        </w:rPr>
        <w:t>Извор: РЗС, Анкета о радној снази - од 2021. године спроводи се према новој методологији. Како би се обезбедила упоредивост основних показатеља за период пре 2021. године РЗС је извршио ревизију најважнијих индикатора. С обзиром на то да ревизија података уназад обухвата само основне индикаторе и да је скуп прикупљених података из пилот истраживања ограниченог обима, изостаје могућност дубље и прецизније структурне анализе промена на тржишту рада.</w:t>
      </w:r>
    </w:p>
  </w:footnote>
  <w:footnote w:id="44">
    <w:p w14:paraId="4D660AE5" w14:textId="77777777" w:rsidR="00815ACD" w:rsidRPr="00312432" w:rsidRDefault="00815ACD" w:rsidP="00D210F0">
      <w:pPr>
        <w:spacing w:after="0"/>
        <w:rPr>
          <w:rFonts w:cs="Times New Roman"/>
          <w:sz w:val="16"/>
          <w:szCs w:val="16"/>
          <w:lang w:val="sr-Cyrl-RS"/>
        </w:rPr>
      </w:pPr>
      <w:r w:rsidRPr="00312432">
        <w:rPr>
          <w:rStyle w:val="FootnoteReference"/>
          <w:rFonts w:cs="Times New Roman"/>
          <w:sz w:val="16"/>
          <w:szCs w:val="16"/>
        </w:rPr>
        <w:footnoteRef/>
      </w:r>
      <w:r w:rsidRPr="00312432">
        <w:rPr>
          <w:rFonts w:cs="Times New Roman"/>
          <w:sz w:val="16"/>
          <w:szCs w:val="16"/>
        </w:rPr>
        <w:t xml:space="preserve"> </w:t>
      </w:r>
      <w:r w:rsidRPr="00312432">
        <w:rPr>
          <w:rFonts w:cs="Times New Roman"/>
          <w:sz w:val="16"/>
          <w:szCs w:val="16"/>
          <w:lang w:val="sr-Cyrl-RS"/>
        </w:rPr>
        <w:t>Извор: РЗС, Анкета о радној снази</w:t>
      </w:r>
    </w:p>
  </w:footnote>
  <w:footnote w:id="45">
    <w:p w14:paraId="5EBCC22A" w14:textId="77777777" w:rsidR="00815ACD" w:rsidRPr="00312432" w:rsidRDefault="00815ACD" w:rsidP="00D210F0">
      <w:pPr>
        <w:spacing w:after="0"/>
        <w:rPr>
          <w:rFonts w:cs="Times New Roman"/>
          <w:sz w:val="16"/>
          <w:szCs w:val="16"/>
          <w:lang w:val="sr-Cyrl-RS"/>
        </w:rPr>
      </w:pPr>
      <w:r w:rsidRPr="00312432">
        <w:rPr>
          <w:rStyle w:val="FootnoteReference"/>
          <w:rFonts w:cs="Times New Roman"/>
          <w:sz w:val="16"/>
          <w:szCs w:val="16"/>
        </w:rPr>
        <w:footnoteRef/>
      </w:r>
      <w:r w:rsidRPr="00312432">
        <w:rPr>
          <w:rFonts w:cs="Times New Roman"/>
          <w:sz w:val="16"/>
          <w:szCs w:val="16"/>
        </w:rPr>
        <w:t xml:space="preserve"> </w:t>
      </w:r>
      <w:r w:rsidRPr="00312432">
        <w:rPr>
          <w:rFonts w:cs="Times New Roman"/>
          <w:sz w:val="16"/>
          <w:szCs w:val="16"/>
          <w:lang w:val="sr-Cyrl-RS"/>
        </w:rPr>
        <w:t>Извор: РЗС, Анкета о радној снази</w:t>
      </w:r>
    </w:p>
  </w:footnote>
  <w:footnote w:id="46">
    <w:p w14:paraId="0A71B055" w14:textId="77777777" w:rsidR="00815ACD" w:rsidRPr="00312432" w:rsidRDefault="00815ACD" w:rsidP="00D210F0">
      <w:pPr>
        <w:spacing w:after="0"/>
        <w:rPr>
          <w:rFonts w:cs="Times New Roman"/>
          <w:sz w:val="16"/>
          <w:szCs w:val="16"/>
          <w:lang w:val="sr-Cyrl-RS"/>
        </w:rPr>
      </w:pPr>
      <w:r w:rsidRPr="00312432">
        <w:rPr>
          <w:rStyle w:val="FootnoteReference"/>
          <w:rFonts w:cs="Times New Roman"/>
          <w:sz w:val="16"/>
          <w:szCs w:val="16"/>
        </w:rPr>
        <w:footnoteRef/>
      </w:r>
      <w:r w:rsidRPr="00312432">
        <w:rPr>
          <w:rFonts w:cs="Times New Roman"/>
          <w:sz w:val="16"/>
          <w:szCs w:val="16"/>
        </w:rPr>
        <w:t xml:space="preserve"> </w:t>
      </w:r>
      <w:r w:rsidRPr="00312432">
        <w:rPr>
          <w:rFonts w:cs="Times New Roman"/>
          <w:sz w:val="16"/>
          <w:szCs w:val="16"/>
          <w:lang w:val="sr-Cyrl-RS"/>
        </w:rPr>
        <w:t>Извор: РЗС, Анкета о радној снази</w:t>
      </w:r>
    </w:p>
  </w:footnote>
  <w:footnote w:id="47">
    <w:p w14:paraId="46867602" w14:textId="77777777" w:rsidR="00815ACD" w:rsidRPr="00312432" w:rsidRDefault="00815ACD" w:rsidP="00D210F0">
      <w:pPr>
        <w:spacing w:after="0"/>
        <w:rPr>
          <w:rFonts w:cs="Times New Roman"/>
          <w:sz w:val="16"/>
          <w:szCs w:val="16"/>
          <w:lang w:val="sr-Cyrl-RS"/>
        </w:rPr>
      </w:pPr>
      <w:r w:rsidRPr="00312432">
        <w:rPr>
          <w:rStyle w:val="FootnoteReference"/>
          <w:rFonts w:cs="Times New Roman"/>
          <w:sz w:val="16"/>
          <w:szCs w:val="16"/>
        </w:rPr>
        <w:footnoteRef/>
      </w:r>
      <w:r w:rsidRPr="00312432">
        <w:rPr>
          <w:rFonts w:cs="Times New Roman"/>
          <w:sz w:val="16"/>
          <w:szCs w:val="16"/>
        </w:rPr>
        <w:t xml:space="preserve"> </w:t>
      </w:r>
      <w:r w:rsidRPr="00312432">
        <w:rPr>
          <w:rFonts w:cs="Times New Roman"/>
          <w:sz w:val="16"/>
          <w:szCs w:val="16"/>
          <w:lang w:val="sr-Cyrl-RS"/>
        </w:rPr>
        <w:t>Извор: РЗС, Анкета о радној снази</w:t>
      </w:r>
    </w:p>
  </w:footnote>
  <w:footnote w:id="48">
    <w:p w14:paraId="2F6A0F5B" w14:textId="77777777" w:rsidR="00815ACD" w:rsidRPr="00312432" w:rsidRDefault="00815ACD" w:rsidP="00D210F0">
      <w:pPr>
        <w:spacing w:after="0"/>
        <w:rPr>
          <w:rFonts w:cs="Times New Roman"/>
          <w:sz w:val="16"/>
          <w:szCs w:val="16"/>
          <w:lang w:val="sr-Cyrl-RS"/>
        </w:rPr>
      </w:pPr>
      <w:r w:rsidRPr="00312432">
        <w:rPr>
          <w:rStyle w:val="FootnoteReference"/>
          <w:rFonts w:cs="Times New Roman"/>
          <w:sz w:val="16"/>
          <w:szCs w:val="16"/>
        </w:rPr>
        <w:footnoteRef/>
      </w:r>
      <w:r w:rsidRPr="00312432">
        <w:rPr>
          <w:rFonts w:cs="Times New Roman"/>
          <w:sz w:val="16"/>
          <w:szCs w:val="16"/>
        </w:rPr>
        <w:t xml:space="preserve"> </w:t>
      </w:r>
      <w:r w:rsidRPr="00312432">
        <w:rPr>
          <w:rFonts w:cs="Times New Roman"/>
          <w:sz w:val="16"/>
          <w:szCs w:val="16"/>
          <w:lang w:val="sr-Cyrl-RS"/>
        </w:rPr>
        <w:t>Извор: РЗС, Анкета о радној снази</w:t>
      </w:r>
    </w:p>
  </w:footnote>
  <w:footnote w:id="49">
    <w:p w14:paraId="12DBEDBA" w14:textId="77777777" w:rsidR="00815ACD" w:rsidRPr="007953C6" w:rsidRDefault="00815ACD" w:rsidP="00D210F0">
      <w:pPr>
        <w:spacing w:after="0"/>
        <w:rPr>
          <w:rFonts w:cs="Times New Roman"/>
          <w:sz w:val="16"/>
          <w:szCs w:val="16"/>
          <w:lang w:val="sr-Cyrl-RS"/>
        </w:rPr>
      </w:pPr>
      <w:r w:rsidRPr="007953C6">
        <w:rPr>
          <w:rStyle w:val="FootnoteReference"/>
          <w:rFonts w:cs="Times New Roman"/>
          <w:sz w:val="16"/>
          <w:szCs w:val="16"/>
        </w:rPr>
        <w:footnoteRef/>
      </w:r>
      <w:r w:rsidRPr="007953C6">
        <w:rPr>
          <w:rFonts w:cs="Times New Roman"/>
          <w:sz w:val="16"/>
          <w:szCs w:val="16"/>
        </w:rPr>
        <w:t xml:space="preserve"> </w:t>
      </w:r>
      <w:r w:rsidRPr="007953C6">
        <w:rPr>
          <w:rFonts w:cs="Times New Roman"/>
          <w:sz w:val="16"/>
          <w:szCs w:val="16"/>
          <w:lang w:val="sr-Cyrl-RS"/>
        </w:rPr>
        <w:t>Извор: РЗС, Анкета о радној снази</w:t>
      </w:r>
    </w:p>
  </w:footnote>
  <w:footnote w:id="50">
    <w:p w14:paraId="1A3BBFFB" w14:textId="77777777" w:rsidR="00815ACD" w:rsidRPr="007953C6" w:rsidRDefault="00815ACD" w:rsidP="00D210F0">
      <w:pPr>
        <w:spacing w:after="0"/>
        <w:rPr>
          <w:rFonts w:cs="Times New Roman"/>
          <w:sz w:val="16"/>
          <w:szCs w:val="16"/>
          <w:lang w:val="sr-Cyrl-RS"/>
        </w:rPr>
      </w:pPr>
      <w:r w:rsidRPr="007953C6">
        <w:rPr>
          <w:rStyle w:val="FootnoteReference"/>
          <w:rFonts w:cs="Times New Roman"/>
          <w:sz w:val="16"/>
          <w:szCs w:val="16"/>
        </w:rPr>
        <w:footnoteRef/>
      </w:r>
      <w:r w:rsidRPr="007953C6">
        <w:rPr>
          <w:rFonts w:cs="Times New Roman"/>
          <w:sz w:val="16"/>
          <w:szCs w:val="16"/>
        </w:rPr>
        <w:t xml:space="preserve"> </w:t>
      </w:r>
      <w:r w:rsidRPr="007953C6">
        <w:rPr>
          <w:rFonts w:cs="Times New Roman"/>
          <w:sz w:val="16"/>
          <w:szCs w:val="16"/>
          <w:lang w:val="sr-Cyrl-RS"/>
        </w:rPr>
        <w:t xml:space="preserve">Извор: РЗС, Жене и мушкарци у Републици Србији, 2020 </w:t>
      </w:r>
      <w:hyperlink r:id="rId14" w:history="1">
        <w:r w:rsidRPr="007953C6">
          <w:rPr>
            <w:rStyle w:val="Hyperlink"/>
            <w:rFonts w:cs="Times New Roman"/>
            <w:sz w:val="16"/>
            <w:szCs w:val="16"/>
            <w:lang w:val="sr-Cyrl-RS"/>
          </w:rPr>
          <w:t>https://www.stat.gov.rs/media/5806/zim-u-rs-2020_webopt.pdf</w:t>
        </w:r>
      </w:hyperlink>
    </w:p>
  </w:footnote>
  <w:footnote w:id="51">
    <w:p w14:paraId="0140B7A2" w14:textId="77777777" w:rsidR="00815ACD" w:rsidRPr="007953C6" w:rsidRDefault="00815ACD" w:rsidP="00D210F0">
      <w:pPr>
        <w:spacing w:after="0"/>
        <w:rPr>
          <w:rFonts w:cs="Times New Roman"/>
          <w:sz w:val="16"/>
          <w:szCs w:val="16"/>
          <w:lang w:val="sr-Cyrl-RS"/>
        </w:rPr>
      </w:pPr>
      <w:r w:rsidRPr="007953C6">
        <w:rPr>
          <w:rStyle w:val="FootnoteReference"/>
          <w:rFonts w:cs="Times New Roman"/>
          <w:sz w:val="16"/>
          <w:szCs w:val="16"/>
        </w:rPr>
        <w:footnoteRef/>
      </w:r>
      <w:r w:rsidRPr="007953C6">
        <w:rPr>
          <w:rFonts w:cs="Times New Roman"/>
          <w:sz w:val="16"/>
          <w:szCs w:val="16"/>
        </w:rPr>
        <w:t xml:space="preserve"> </w:t>
      </w:r>
      <w:r w:rsidRPr="007953C6">
        <w:rPr>
          <w:rFonts w:cs="Times New Roman"/>
          <w:sz w:val="16"/>
          <w:szCs w:val="16"/>
          <w:lang w:val="sr-Cyrl-RS"/>
        </w:rPr>
        <w:t>Извор: Пореска управа Републике Србије</w:t>
      </w:r>
    </w:p>
  </w:footnote>
  <w:footnote w:id="52">
    <w:p w14:paraId="2AD18537" w14:textId="14A64925" w:rsidR="00815ACD" w:rsidRPr="007953C6" w:rsidRDefault="00815ACD" w:rsidP="00D210F0">
      <w:pPr>
        <w:spacing w:after="0"/>
        <w:rPr>
          <w:rFonts w:cs="Times New Roman"/>
          <w:sz w:val="16"/>
          <w:szCs w:val="16"/>
          <w:lang w:val="sr-Cyrl-RS"/>
        </w:rPr>
      </w:pPr>
      <w:r w:rsidRPr="007953C6">
        <w:rPr>
          <w:rStyle w:val="FootnoteReference"/>
          <w:rFonts w:cs="Times New Roman"/>
          <w:sz w:val="16"/>
          <w:szCs w:val="16"/>
        </w:rPr>
        <w:footnoteRef/>
      </w:r>
      <w:r w:rsidRPr="007953C6">
        <w:rPr>
          <w:rFonts w:cs="Times New Roman"/>
          <w:sz w:val="16"/>
          <w:szCs w:val="16"/>
        </w:rPr>
        <w:t xml:space="preserve"> </w:t>
      </w:r>
      <w:r w:rsidRPr="007953C6">
        <w:rPr>
          <w:rFonts w:cs="Times New Roman"/>
          <w:sz w:val="16"/>
          <w:szCs w:val="16"/>
          <w:lang w:val="sr-Cyrl-RS"/>
        </w:rPr>
        <w:t xml:space="preserve">Извор: Тим за социјално укључивање и </w:t>
      </w:r>
      <w:r w:rsidRPr="00D508CD">
        <w:rPr>
          <w:rFonts w:cs="Times New Roman"/>
          <w:sz w:val="16"/>
          <w:szCs w:val="16"/>
          <w:lang w:val="sr-Cyrl-RS"/>
        </w:rPr>
        <w:t>смањење сиромаштва Владе Р</w:t>
      </w:r>
      <w:r>
        <w:rPr>
          <w:rFonts w:cs="Times New Roman"/>
          <w:sz w:val="16"/>
          <w:szCs w:val="16"/>
          <w:lang w:val="sr-Cyrl-RS"/>
        </w:rPr>
        <w:t xml:space="preserve">епублике </w:t>
      </w:r>
      <w:r w:rsidRPr="00D508CD">
        <w:rPr>
          <w:rFonts w:cs="Times New Roman"/>
          <w:sz w:val="16"/>
          <w:szCs w:val="16"/>
          <w:lang w:val="sr-Cyrl-RS"/>
        </w:rPr>
        <w:t>С</w:t>
      </w:r>
      <w:r>
        <w:rPr>
          <w:rFonts w:cs="Times New Roman"/>
          <w:sz w:val="16"/>
          <w:szCs w:val="16"/>
          <w:lang w:val="sr-Cyrl-RS"/>
        </w:rPr>
        <w:t>рбије</w:t>
      </w:r>
      <w:r w:rsidRPr="00D508CD">
        <w:rPr>
          <w:rFonts w:cs="Times New Roman"/>
          <w:sz w:val="16"/>
          <w:szCs w:val="16"/>
          <w:lang w:val="sr-Cyrl-RS"/>
        </w:rPr>
        <w:t>,</w:t>
      </w:r>
      <w:r w:rsidRPr="007953C6">
        <w:rPr>
          <w:rFonts w:cs="Times New Roman"/>
          <w:sz w:val="16"/>
          <w:szCs w:val="16"/>
          <w:lang w:val="sr-Cyrl-RS"/>
        </w:rPr>
        <w:t xml:space="preserve"> Анализа примене афирмативних мера у области образовања Рома и Ромкиња и препоруке за унапређење мера, јун 2016.</w:t>
      </w:r>
    </w:p>
  </w:footnote>
  <w:footnote w:id="53">
    <w:p w14:paraId="42F04DC6" w14:textId="77777777" w:rsidR="00815ACD" w:rsidRPr="007953C6" w:rsidRDefault="00815ACD" w:rsidP="00D210F0">
      <w:pPr>
        <w:spacing w:after="0"/>
        <w:rPr>
          <w:rFonts w:cs="Times New Roman"/>
          <w:sz w:val="16"/>
          <w:szCs w:val="16"/>
          <w:lang w:val="sr-Cyrl-RS"/>
        </w:rPr>
      </w:pPr>
      <w:r w:rsidRPr="007953C6">
        <w:rPr>
          <w:rStyle w:val="FootnoteReference"/>
          <w:rFonts w:cs="Times New Roman"/>
          <w:sz w:val="16"/>
          <w:szCs w:val="16"/>
          <w:lang w:val="sr-Cyrl-RS"/>
        </w:rPr>
        <w:footnoteRef/>
      </w:r>
      <w:r w:rsidRPr="007953C6">
        <w:rPr>
          <w:rFonts w:cs="Times New Roman"/>
          <w:sz w:val="16"/>
          <w:szCs w:val="16"/>
          <w:lang w:val="sr-Cyrl-RS"/>
        </w:rPr>
        <w:t xml:space="preserve"> Извор: РЗС, Статистика образовања</w:t>
      </w:r>
    </w:p>
  </w:footnote>
  <w:footnote w:id="54">
    <w:p w14:paraId="17E46C27" w14:textId="1DC2922C" w:rsidR="00815ACD" w:rsidRPr="007953C6" w:rsidRDefault="00815ACD" w:rsidP="00D210F0">
      <w:pPr>
        <w:spacing w:after="0"/>
        <w:rPr>
          <w:rFonts w:cs="Times New Roman"/>
          <w:sz w:val="16"/>
          <w:szCs w:val="16"/>
          <w:lang w:val="sr-Cyrl-RS"/>
        </w:rPr>
      </w:pPr>
      <w:r w:rsidRPr="007953C6">
        <w:rPr>
          <w:rStyle w:val="FootnoteReference"/>
          <w:rFonts w:cs="Times New Roman"/>
          <w:sz w:val="16"/>
          <w:szCs w:val="16"/>
          <w:lang w:val="sr-Cyrl-RS"/>
        </w:rPr>
        <w:footnoteRef/>
      </w:r>
      <w:r w:rsidRPr="007953C6">
        <w:rPr>
          <w:rFonts w:cs="Times New Roman"/>
          <w:sz w:val="16"/>
          <w:szCs w:val="16"/>
          <w:lang w:val="sr-Cyrl-RS"/>
        </w:rPr>
        <w:t xml:space="preserve"> Стратегија развоја образовања и васпитања у Републици Србији до 2030. године („Службени гласник РС</w:t>
      </w:r>
      <w:r w:rsidRPr="003C1DFF">
        <w:rPr>
          <w:rFonts w:cs="Times New Roman"/>
          <w:sz w:val="16"/>
          <w:szCs w:val="16"/>
          <w:lang w:val="sr-Cyrl-RS"/>
        </w:rPr>
        <w:t>”</w:t>
      </w:r>
      <w:r w:rsidRPr="007953C6">
        <w:rPr>
          <w:rFonts w:cs="Times New Roman"/>
          <w:sz w:val="16"/>
          <w:szCs w:val="16"/>
          <w:lang w:val="sr-Cyrl-RS"/>
        </w:rPr>
        <w:t>, број 63/21)</w:t>
      </w:r>
    </w:p>
  </w:footnote>
  <w:footnote w:id="55">
    <w:p w14:paraId="3115CD6A" w14:textId="77777777" w:rsidR="00815ACD" w:rsidRPr="007953C6" w:rsidRDefault="00815ACD" w:rsidP="00D210F0">
      <w:pPr>
        <w:spacing w:after="0"/>
        <w:rPr>
          <w:rFonts w:cs="Times New Roman"/>
          <w:sz w:val="16"/>
          <w:szCs w:val="16"/>
          <w:lang w:val="sr-Cyrl-RS"/>
        </w:rPr>
      </w:pPr>
      <w:r w:rsidRPr="007953C6">
        <w:rPr>
          <w:rStyle w:val="FootnoteReference"/>
          <w:rFonts w:cs="Times New Roman"/>
          <w:sz w:val="16"/>
          <w:szCs w:val="16"/>
          <w:lang w:val="sr-Cyrl-RS"/>
        </w:rPr>
        <w:footnoteRef/>
      </w:r>
      <w:r w:rsidRPr="007953C6">
        <w:rPr>
          <w:rFonts w:cs="Times New Roman"/>
          <w:sz w:val="16"/>
          <w:szCs w:val="16"/>
          <w:lang w:val="sr-Cyrl-RS"/>
        </w:rPr>
        <w:t xml:space="preserve"> Извор: РЗС, Истраживање вишеструких показатеља положаја жена и деце у Србији 2019 (</w:t>
      </w:r>
      <w:r w:rsidRPr="007953C6">
        <w:rPr>
          <w:rFonts w:cs="Times New Roman"/>
          <w:i/>
          <w:sz w:val="16"/>
          <w:szCs w:val="16"/>
          <w:lang w:val="sr-Cyrl-RS"/>
        </w:rPr>
        <w:t>Multiple Indicator Cluster Survey</w:t>
      </w:r>
      <w:r w:rsidRPr="007953C6">
        <w:rPr>
          <w:rFonts w:cs="Times New Roman"/>
          <w:sz w:val="16"/>
          <w:szCs w:val="16"/>
          <w:lang w:val="sr-Cyrl-RS"/>
        </w:rPr>
        <w:t xml:space="preserve"> – MICS), уз техничку и финансијску подршку УНИЦЕФ-а, Европске уније, УНФПА и Владе Републике Србије</w:t>
      </w:r>
    </w:p>
  </w:footnote>
  <w:footnote w:id="56">
    <w:p w14:paraId="2C762CA8" w14:textId="77777777" w:rsidR="00815ACD" w:rsidRPr="007953C6" w:rsidRDefault="00815ACD" w:rsidP="00D210F0">
      <w:pPr>
        <w:spacing w:after="0"/>
        <w:rPr>
          <w:rFonts w:cs="Times New Roman"/>
          <w:sz w:val="16"/>
          <w:szCs w:val="16"/>
          <w:lang w:val="sr-Cyrl-RS"/>
        </w:rPr>
      </w:pPr>
      <w:r w:rsidRPr="007953C6">
        <w:rPr>
          <w:rStyle w:val="FootnoteReference"/>
          <w:rFonts w:cs="Times New Roman"/>
          <w:sz w:val="16"/>
          <w:szCs w:val="16"/>
          <w:lang w:val="sr-Cyrl-RS"/>
        </w:rPr>
        <w:footnoteRef/>
      </w:r>
      <w:r w:rsidRPr="007953C6">
        <w:rPr>
          <w:rFonts w:cs="Times New Roman"/>
          <w:sz w:val="16"/>
          <w:szCs w:val="16"/>
          <w:lang w:val="sr-Cyrl-RS"/>
        </w:rPr>
        <w:t xml:space="preserve"> Извор: РЗС, Истраживање вишеструких показатеља положаја жена и деце у Србији 2019 (</w:t>
      </w:r>
      <w:r w:rsidRPr="007953C6">
        <w:rPr>
          <w:rFonts w:cs="Times New Roman"/>
          <w:i/>
          <w:sz w:val="16"/>
          <w:szCs w:val="16"/>
          <w:lang w:val="sr-Cyrl-RS"/>
        </w:rPr>
        <w:t>Multiple Indicator Cluster Survey</w:t>
      </w:r>
      <w:r w:rsidRPr="007953C6">
        <w:rPr>
          <w:rFonts w:cs="Times New Roman"/>
          <w:sz w:val="16"/>
          <w:szCs w:val="16"/>
          <w:lang w:val="sr-Cyrl-RS"/>
        </w:rPr>
        <w:t xml:space="preserve"> – MICS), уз техничку и финансијску подршку УНИЦЕФ-а, Европске уније, УНФПА и Владе Републике Србије</w:t>
      </w:r>
    </w:p>
  </w:footnote>
  <w:footnote w:id="57">
    <w:p w14:paraId="4C9BF801" w14:textId="77777777" w:rsidR="00815ACD" w:rsidRPr="007953C6" w:rsidRDefault="00815ACD" w:rsidP="00D210F0">
      <w:pPr>
        <w:spacing w:after="0"/>
        <w:rPr>
          <w:rFonts w:cs="Times New Roman"/>
          <w:sz w:val="16"/>
          <w:szCs w:val="16"/>
          <w:lang w:val="sr-Cyrl-RS"/>
        </w:rPr>
      </w:pPr>
      <w:r w:rsidRPr="007953C6">
        <w:rPr>
          <w:rStyle w:val="FootnoteReference"/>
          <w:rFonts w:cs="Times New Roman"/>
          <w:sz w:val="16"/>
          <w:szCs w:val="16"/>
        </w:rPr>
        <w:footnoteRef/>
      </w:r>
      <w:r w:rsidRPr="007953C6">
        <w:rPr>
          <w:rFonts w:cs="Times New Roman"/>
          <w:sz w:val="16"/>
          <w:szCs w:val="16"/>
        </w:rPr>
        <w:t xml:space="preserve"> </w:t>
      </w:r>
      <w:r w:rsidRPr="007953C6">
        <w:rPr>
          <w:rFonts w:cs="Times New Roman"/>
          <w:sz w:val="16"/>
          <w:szCs w:val="16"/>
          <w:lang w:val="sr-Cyrl-RS"/>
        </w:rPr>
        <w:t>Извор: РЗС, Статистика образовања</w:t>
      </w:r>
    </w:p>
  </w:footnote>
  <w:footnote w:id="58">
    <w:p w14:paraId="16862970" w14:textId="77777777" w:rsidR="00815ACD" w:rsidRPr="007953C6" w:rsidRDefault="00815ACD" w:rsidP="00D210F0">
      <w:pPr>
        <w:spacing w:after="0"/>
        <w:rPr>
          <w:rFonts w:cs="Times New Roman"/>
          <w:sz w:val="16"/>
          <w:szCs w:val="16"/>
          <w:lang w:val="sr-Cyrl-RS"/>
        </w:rPr>
      </w:pPr>
      <w:r w:rsidRPr="007953C6">
        <w:rPr>
          <w:rStyle w:val="FootnoteReference"/>
          <w:rFonts w:cs="Times New Roman"/>
          <w:sz w:val="16"/>
          <w:szCs w:val="16"/>
        </w:rPr>
        <w:footnoteRef/>
      </w:r>
      <w:r w:rsidRPr="007953C6">
        <w:rPr>
          <w:rFonts w:cs="Times New Roman"/>
          <w:sz w:val="16"/>
          <w:szCs w:val="16"/>
        </w:rPr>
        <w:t xml:space="preserve"> </w:t>
      </w:r>
      <w:r w:rsidRPr="007953C6">
        <w:rPr>
          <w:rFonts w:cs="Times New Roman"/>
          <w:sz w:val="16"/>
          <w:szCs w:val="16"/>
          <w:lang w:val="sr-Cyrl-RS"/>
        </w:rPr>
        <w:t xml:space="preserve">Извор: РЗС, Жене и мушкарци у Републици Србији, 2020 </w:t>
      </w:r>
      <w:hyperlink r:id="rId15" w:history="1">
        <w:r w:rsidRPr="007953C6">
          <w:rPr>
            <w:rStyle w:val="Hyperlink"/>
            <w:rFonts w:cs="Times New Roman"/>
            <w:sz w:val="16"/>
            <w:szCs w:val="16"/>
            <w:lang w:val="sr-Cyrl-RS"/>
          </w:rPr>
          <w:t>https://www.stat.gov.rs/media/5806/zim-u-rs-2020_webopt.pdf</w:t>
        </w:r>
      </w:hyperlink>
    </w:p>
  </w:footnote>
  <w:footnote w:id="59">
    <w:p w14:paraId="33F076D2" w14:textId="77777777" w:rsidR="00815ACD" w:rsidRPr="007953C6" w:rsidRDefault="00815ACD" w:rsidP="00D210F0">
      <w:pPr>
        <w:spacing w:after="0"/>
        <w:rPr>
          <w:rFonts w:cs="Times New Roman"/>
          <w:sz w:val="16"/>
          <w:szCs w:val="16"/>
          <w:lang w:val="sr-Cyrl-RS"/>
        </w:rPr>
      </w:pPr>
      <w:r w:rsidRPr="007953C6">
        <w:rPr>
          <w:rStyle w:val="FootnoteReference"/>
          <w:rFonts w:cs="Times New Roman"/>
          <w:sz w:val="16"/>
          <w:szCs w:val="16"/>
        </w:rPr>
        <w:footnoteRef/>
      </w:r>
      <w:r w:rsidRPr="007953C6">
        <w:rPr>
          <w:rFonts w:cs="Times New Roman"/>
          <w:sz w:val="16"/>
          <w:szCs w:val="16"/>
        </w:rPr>
        <w:t xml:space="preserve"> </w:t>
      </w:r>
      <w:r w:rsidRPr="007953C6">
        <w:rPr>
          <w:rFonts w:cs="Times New Roman"/>
          <w:sz w:val="16"/>
          <w:szCs w:val="16"/>
          <w:lang w:val="sr-Cyrl-RS"/>
        </w:rPr>
        <w:t xml:space="preserve">Извор: РЗС, Жене и мушкарци у Републици Србији, 2020 </w:t>
      </w:r>
      <w:hyperlink r:id="rId16" w:history="1">
        <w:r w:rsidRPr="007953C6">
          <w:rPr>
            <w:rStyle w:val="Hyperlink"/>
            <w:rFonts w:cs="Times New Roman"/>
            <w:sz w:val="16"/>
            <w:szCs w:val="16"/>
            <w:lang w:val="sr-Cyrl-RS"/>
          </w:rPr>
          <w:t>https://www.stat.gov.rs/media/5806/zim-u-rs-2020_webopt.pdf</w:t>
        </w:r>
      </w:hyperlink>
    </w:p>
  </w:footnote>
  <w:footnote w:id="60">
    <w:p w14:paraId="2B0B148E" w14:textId="77777777" w:rsidR="00815ACD" w:rsidRPr="00D210F0" w:rsidRDefault="00815ACD" w:rsidP="00D210F0">
      <w:pPr>
        <w:spacing w:after="0"/>
        <w:rPr>
          <w:sz w:val="16"/>
          <w:szCs w:val="16"/>
        </w:rPr>
      </w:pPr>
      <w:r w:rsidRPr="00D210F0">
        <w:rPr>
          <w:rStyle w:val="FootnoteReference"/>
          <w:sz w:val="16"/>
          <w:szCs w:val="16"/>
        </w:rPr>
        <w:footnoteRef/>
      </w:r>
      <w:r w:rsidRPr="00D210F0">
        <w:rPr>
          <w:sz w:val="16"/>
          <w:szCs w:val="16"/>
        </w:rPr>
        <w:t xml:space="preserve"> Годишњи извештаји о малим и средњим предузећима и предузетништву немају исказане податке о предузетништву жена.</w:t>
      </w:r>
    </w:p>
  </w:footnote>
  <w:footnote w:id="61">
    <w:p w14:paraId="6C8C7C04" w14:textId="77777777" w:rsidR="00815ACD" w:rsidRPr="00D210F0" w:rsidRDefault="00815ACD" w:rsidP="00D210F0">
      <w:pPr>
        <w:spacing w:after="0"/>
        <w:rPr>
          <w:sz w:val="16"/>
          <w:szCs w:val="16"/>
        </w:rPr>
      </w:pPr>
      <w:r w:rsidRPr="00D210F0">
        <w:rPr>
          <w:rStyle w:val="FootnoteReference"/>
          <w:sz w:val="16"/>
          <w:szCs w:val="16"/>
        </w:rPr>
        <w:footnoteRef/>
      </w:r>
      <w:r w:rsidRPr="00D210F0">
        <w:rPr>
          <w:sz w:val="16"/>
          <w:szCs w:val="16"/>
        </w:rPr>
        <w:t xml:space="preserve"> Извор: НАЛЕД, Родна анализа економских програма и финансијских мера у Србији, за потребе Канцеларије УН Wоmеn, 2018-2019</w:t>
      </w:r>
    </w:p>
  </w:footnote>
  <w:footnote w:id="62">
    <w:p w14:paraId="565652A1" w14:textId="77777777" w:rsidR="00815ACD" w:rsidRPr="00D210F0" w:rsidRDefault="00815ACD" w:rsidP="00D210F0">
      <w:pPr>
        <w:spacing w:after="0"/>
        <w:rPr>
          <w:sz w:val="16"/>
          <w:szCs w:val="16"/>
          <w:lang w:val="sr-Cyrl-RS"/>
        </w:rPr>
      </w:pPr>
      <w:r w:rsidRPr="00D210F0">
        <w:rPr>
          <w:rStyle w:val="FootnoteReference"/>
          <w:sz w:val="16"/>
          <w:szCs w:val="16"/>
        </w:rPr>
        <w:footnoteRef/>
      </w:r>
      <w:r w:rsidRPr="00D210F0">
        <w:rPr>
          <w:sz w:val="16"/>
          <w:szCs w:val="16"/>
        </w:rPr>
        <w:t xml:space="preserve"> Међу заменицима председника одбора је девет жена и 11 мушкараца, а међу секретарима одбора је чак 16 (80%) жена.</w:t>
      </w:r>
    </w:p>
  </w:footnote>
  <w:footnote w:id="63">
    <w:p w14:paraId="48ACBB7C" w14:textId="77777777" w:rsidR="00815ACD" w:rsidRPr="005D14E2" w:rsidRDefault="00815ACD" w:rsidP="005D14E2">
      <w:pPr>
        <w:spacing w:after="0"/>
        <w:rPr>
          <w:sz w:val="16"/>
          <w:szCs w:val="16"/>
        </w:rPr>
      </w:pPr>
      <w:r w:rsidRPr="005D14E2">
        <w:rPr>
          <w:rStyle w:val="FootnoteReference"/>
          <w:sz w:val="16"/>
          <w:szCs w:val="16"/>
        </w:rPr>
        <w:footnoteRef/>
      </w:r>
      <w:r w:rsidRPr="005D14E2">
        <w:rPr>
          <w:sz w:val="16"/>
          <w:szCs w:val="16"/>
        </w:rPr>
        <w:t xml:space="preserve"> </w:t>
      </w:r>
      <w:r w:rsidRPr="005D14E2">
        <w:rPr>
          <w:rFonts w:cs="Times New Roman"/>
          <w:sz w:val="16"/>
          <w:szCs w:val="16"/>
        </w:rPr>
        <w:t>M</w:t>
      </w:r>
      <w:r w:rsidRPr="005D14E2">
        <w:rPr>
          <w:rFonts w:cs="Times New Roman"/>
          <w:sz w:val="16"/>
          <w:szCs w:val="16"/>
          <w:lang w:val="sr-Cyrl-RS"/>
        </w:rPr>
        <w:t>лади који нису запослени и нису у процесу образовања нити су на обуци</w:t>
      </w:r>
      <w:r>
        <w:rPr>
          <w:rFonts w:cs="Times New Roman"/>
          <w:sz w:val="16"/>
          <w:szCs w:val="16"/>
          <w:lang w:val="sr-Cyrl-RS"/>
        </w:rPr>
        <w:t>.</w:t>
      </w:r>
    </w:p>
  </w:footnote>
  <w:footnote w:id="64">
    <w:p w14:paraId="25A16B73" w14:textId="77777777" w:rsidR="00815ACD" w:rsidRPr="005C0DE5" w:rsidRDefault="00815ACD" w:rsidP="001C075D">
      <w:pPr>
        <w:pStyle w:val="f1"/>
        <w:jc w:val="both"/>
        <w:rPr>
          <w:rFonts w:ascii="Times New Roman" w:hAnsi="Times New Roman" w:cs="Times New Roman"/>
          <w:sz w:val="16"/>
          <w:szCs w:val="16"/>
          <w:lang w:val="sr-Cyrl-RS"/>
        </w:rPr>
      </w:pPr>
      <w:r w:rsidRPr="005C0DE5">
        <w:rPr>
          <w:rStyle w:val="FootnoteReference"/>
          <w:rFonts w:ascii="Times New Roman" w:hAnsi="Times New Roman" w:cs="Times New Roman"/>
          <w:sz w:val="16"/>
          <w:szCs w:val="16"/>
        </w:rPr>
        <w:footnoteRef/>
      </w:r>
      <w:r w:rsidRPr="005C0DE5">
        <w:rPr>
          <w:rFonts w:ascii="Times New Roman" w:hAnsi="Times New Roman" w:cs="Times New Roman"/>
          <w:sz w:val="16"/>
          <w:szCs w:val="16"/>
        </w:rPr>
        <w:t xml:space="preserve"> </w:t>
      </w:r>
      <w:r>
        <w:rPr>
          <w:rFonts w:ascii="Times New Roman" w:hAnsi="Times New Roman" w:cs="Times New Roman"/>
          <w:sz w:val="16"/>
          <w:szCs w:val="16"/>
          <w:lang w:val="sr-Cyrl-RS"/>
        </w:rPr>
        <w:t xml:space="preserve">Извор: РЗС, </w:t>
      </w:r>
      <w:r w:rsidRPr="001C075D">
        <w:rPr>
          <w:rFonts w:ascii="Times New Roman" w:hAnsi="Times New Roman" w:cs="Times New Roman"/>
          <w:sz w:val="16"/>
          <w:szCs w:val="16"/>
          <w:lang w:val="sr-Cyrl-RS"/>
        </w:rPr>
        <w:t>Национални рачуни - Квартални национални рачуни</w:t>
      </w:r>
      <w:r>
        <w:rPr>
          <w:rFonts w:ascii="Times New Roman" w:hAnsi="Times New Roman" w:cs="Times New Roman"/>
          <w:sz w:val="16"/>
          <w:szCs w:val="16"/>
          <w:lang w:val="sr-Cyrl-RS"/>
        </w:rPr>
        <w:t xml:space="preserve"> </w:t>
      </w:r>
      <w:hyperlink r:id="rId17" w:history="1">
        <w:r w:rsidRPr="008E09DF">
          <w:rPr>
            <w:rStyle w:val="Hyperlink"/>
            <w:rFonts w:ascii="Times New Roman" w:hAnsi="Times New Roman" w:cs="Times New Roman"/>
            <w:sz w:val="16"/>
            <w:szCs w:val="16"/>
            <w:lang w:val="sr-Cyrl-RS"/>
          </w:rPr>
          <w:t>https://publikacije.stat.gov.rs/G2022/Html/G20221333.html</w:t>
        </w:r>
      </w:hyperlink>
    </w:p>
  </w:footnote>
  <w:footnote w:id="65">
    <w:p w14:paraId="3CA3E7BB" w14:textId="77777777" w:rsidR="00815ACD" w:rsidRPr="005D14E2" w:rsidRDefault="00815ACD" w:rsidP="005D14E2">
      <w:pPr>
        <w:pStyle w:val="f1"/>
        <w:jc w:val="both"/>
        <w:rPr>
          <w:rFonts w:ascii="Times New Roman" w:hAnsi="Times New Roman" w:cs="Times New Roman"/>
          <w:bCs/>
          <w:sz w:val="16"/>
          <w:szCs w:val="16"/>
          <w:lang w:val="sr-Cyrl-RS"/>
        </w:rPr>
      </w:pPr>
      <w:r w:rsidRPr="005D14E2">
        <w:rPr>
          <w:rStyle w:val="FootnoteReference"/>
          <w:rFonts w:ascii="Times New Roman" w:hAnsi="Times New Roman" w:cs="Times New Roman"/>
          <w:bCs/>
          <w:sz w:val="16"/>
          <w:szCs w:val="16"/>
        </w:rPr>
        <w:footnoteRef/>
      </w:r>
      <w:r w:rsidRPr="005D14E2">
        <w:rPr>
          <w:rFonts w:ascii="Times New Roman" w:hAnsi="Times New Roman" w:cs="Times New Roman"/>
          <w:sz w:val="16"/>
          <w:szCs w:val="16"/>
        </w:rPr>
        <w:t xml:space="preserve"> </w:t>
      </w:r>
      <w:r w:rsidRPr="005D14E2">
        <w:rPr>
          <w:rFonts w:ascii="Times New Roman" w:hAnsi="Times New Roman" w:cs="Times New Roman"/>
          <w:bCs/>
          <w:sz w:val="16"/>
          <w:szCs w:val="16"/>
          <w:lang w:val="sr-Cyrl-RS"/>
        </w:rPr>
        <w:t>У јуну 2022. почела је израда две нове уредбе: о методологији управљања јавним политикама и о анализи ефеката прописа.</w:t>
      </w:r>
    </w:p>
  </w:footnote>
  <w:footnote w:id="66">
    <w:p w14:paraId="76FDB950" w14:textId="77777777" w:rsidR="00815ACD" w:rsidRPr="005D14E2" w:rsidRDefault="00815ACD" w:rsidP="00D210F0">
      <w:pPr>
        <w:pStyle w:val="f1"/>
        <w:rPr>
          <w:rFonts w:ascii="Times New Roman" w:hAnsi="Times New Roman" w:cs="Times New Roman"/>
          <w:sz w:val="16"/>
          <w:szCs w:val="16"/>
          <w:lang w:val="sr-Cyrl-RS"/>
        </w:rPr>
      </w:pPr>
      <w:r w:rsidRPr="005D14E2">
        <w:rPr>
          <w:rStyle w:val="FootnoteReference"/>
          <w:rFonts w:ascii="Times New Roman" w:hAnsi="Times New Roman" w:cs="Times New Roman"/>
          <w:sz w:val="16"/>
          <w:szCs w:val="16"/>
        </w:rPr>
        <w:footnoteRef/>
      </w:r>
      <w:r w:rsidRPr="005D14E2">
        <w:rPr>
          <w:rFonts w:ascii="Times New Roman" w:hAnsi="Times New Roman" w:cs="Times New Roman"/>
          <w:sz w:val="16"/>
          <w:szCs w:val="16"/>
          <w:lang w:val="sr-Cyrl-RS"/>
        </w:rPr>
        <w:t xml:space="preserve"> </w:t>
      </w:r>
      <w:hyperlink r:id="rId18" w:history="1">
        <w:r w:rsidRPr="005D14E2">
          <w:rPr>
            <w:rStyle w:val="Hyperlink1"/>
            <w:rFonts w:ascii="Times New Roman" w:hAnsi="Times New Roman" w:cs="Times New Roman"/>
            <w:sz w:val="16"/>
            <w:szCs w:val="16"/>
          </w:rPr>
          <w:t>https</w:t>
        </w:r>
        <w:r w:rsidRPr="005D14E2">
          <w:rPr>
            <w:rStyle w:val="Hyperlink1"/>
            <w:rFonts w:ascii="Times New Roman" w:hAnsi="Times New Roman" w:cs="Times New Roman"/>
            <w:sz w:val="16"/>
            <w:szCs w:val="16"/>
            <w:lang w:val="sr-Cyrl-RS"/>
          </w:rPr>
          <w:t>://</w:t>
        </w:r>
        <w:r w:rsidRPr="005D14E2">
          <w:rPr>
            <w:rStyle w:val="Hyperlink1"/>
            <w:rFonts w:ascii="Times New Roman" w:hAnsi="Times New Roman" w:cs="Times New Roman"/>
            <w:sz w:val="16"/>
            <w:szCs w:val="16"/>
          </w:rPr>
          <w:t>rsjp</w:t>
        </w:r>
        <w:r w:rsidRPr="005D14E2">
          <w:rPr>
            <w:rStyle w:val="Hyperlink1"/>
            <w:rFonts w:ascii="Times New Roman" w:hAnsi="Times New Roman" w:cs="Times New Roman"/>
            <w:sz w:val="16"/>
            <w:szCs w:val="16"/>
            <w:lang w:val="sr-Cyrl-RS"/>
          </w:rPr>
          <w:t>.</w:t>
        </w:r>
        <w:r w:rsidRPr="005D14E2">
          <w:rPr>
            <w:rStyle w:val="Hyperlink1"/>
            <w:rFonts w:ascii="Times New Roman" w:hAnsi="Times New Roman" w:cs="Times New Roman"/>
            <w:sz w:val="16"/>
            <w:szCs w:val="16"/>
          </w:rPr>
          <w:t>gov</w:t>
        </w:r>
        <w:r w:rsidRPr="005D14E2">
          <w:rPr>
            <w:rStyle w:val="Hyperlink1"/>
            <w:rFonts w:ascii="Times New Roman" w:hAnsi="Times New Roman" w:cs="Times New Roman"/>
            <w:sz w:val="16"/>
            <w:szCs w:val="16"/>
            <w:lang w:val="sr-Cyrl-RS"/>
          </w:rPr>
          <w:t>.</w:t>
        </w:r>
        <w:r w:rsidRPr="005D14E2">
          <w:rPr>
            <w:rStyle w:val="Hyperlink1"/>
            <w:rFonts w:ascii="Times New Roman" w:hAnsi="Times New Roman" w:cs="Times New Roman"/>
            <w:sz w:val="16"/>
            <w:szCs w:val="16"/>
          </w:rPr>
          <w:t>rs</w:t>
        </w:r>
        <w:r w:rsidRPr="005D14E2">
          <w:rPr>
            <w:rStyle w:val="Hyperlink1"/>
            <w:rFonts w:ascii="Times New Roman" w:hAnsi="Times New Roman" w:cs="Times New Roman"/>
            <w:sz w:val="16"/>
            <w:szCs w:val="16"/>
            <w:lang w:val="sr-Cyrl-RS"/>
          </w:rPr>
          <w:t>/</w:t>
        </w:r>
        <w:r w:rsidRPr="005D14E2">
          <w:rPr>
            <w:rStyle w:val="Hyperlink1"/>
            <w:rFonts w:ascii="Times New Roman" w:hAnsi="Times New Roman" w:cs="Times New Roman"/>
            <w:sz w:val="16"/>
            <w:szCs w:val="16"/>
          </w:rPr>
          <w:t>wp</w:t>
        </w:r>
        <w:r w:rsidRPr="005D14E2">
          <w:rPr>
            <w:rStyle w:val="Hyperlink1"/>
            <w:rFonts w:ascii="Times New Roman" w:hAnsi="Times New Roman" w:cs="Times New Roman"/>
            <w:sz w:val="16"/>
            <w:szCs w:val="16"/>
            <w:lang w:val="sr-Cyrl-RS"/>
          </w:rPr>
          <w:t>-</w:t>
        </w:r>
        <w:r w:rsidRPr="005D14E2">
          <w:rPr>
            <w:rStyle w:val="Hyperlink1"/>
            <w:rFonts w:ascii="Times New Roman" w:hAnsi="Times New Roman" w:cs="Times New Roman"/>
            <w:sz w:val="16"/>
            <w:szCs w:val="16"/>
          </w:rPr>
          <w:t>content</w:t>
        </w:r>
        <w:r w:rsidRPr="005D14E2">
          <w:rPr>
            <w:rStyle w:val="Hyperlink1"/>
            <w:rFonts w:ascii="Times New Roman" w:hAnsi="Times New Roman" w:cs="Times New Roman"/>
            <w:sz w:val="16"/>
            <w:szCs w:val="16"/>
            <w:lang w:val="sr-Cyrl-RS"/>
          </w:rPr>
          <w:t>/</w:t>
        </w:r>
        <w:r w:rsidRPr="005D14E2">
          <w:rPr>
            <w:rStyle w:val="Hyperlink1"/>
            <w:rFonts w:ascii="Times New Roman" w:hAnsi="Times New Roman" w:cs="Times New Roman"/>
            <w:sz w:val="16"/>
            <w:szCs w:val="16"/>
          </w:rPr>
          <w:t>uploads</w:t>
        </w:r>
        <w:r w:rsidRPr="005D14E2">
          <w:rPr>
            <w:rStyle w:val="Hyperlink1"/>
            <w:rFonts w:ascii="Times New Roman" w:hAnsi="Times New Roman" w:cs="Times New Roman"/>
            <w:sz w:val="16"/>
            <w:szCs w:val="16"/>
            <w:lang w:val="sr-Cyrl-RS"/>
          </w:rPr>
          <w:t>/</w:t>
        </w:r>
        <w:r w:rsidRPr="005D14E2">
          <w:rPr>
            <w:rStyle w:val="Hyperlink1"/>
            <w:rFonts w:ascii="Times New Roman" w:hAnsi="Times New Roman" w:cs="Times New Roman"/>
            <w:sz w:val="16"/>
            <w:szCs w:val="16"/>
          </w:rPr>
          <w:t>Final</w:t>
        </w:r>
        <w:r w:rsidRPr="005D14E2">
          <w:rPr>
            <w:rStyle w:val="Hyperlink1"/>
            <w:rFonts w:ascii="Times New Roman" w:hAnsi="Times New Roman" w:cs="Times New Roman"/>
            <w:sz w:val="16"/>
            <w:szCs w:val="16"/>
            <w:lang w:val="sr-Cyrl-RS"/>
          </w:rPr>
          <w:t>-</w:t>
        </w:r>
        <w:r w:rsidRPr="005D14E2">
          <w:rPr>
            <w:rStyle w:val="Hyperlink1"/>
            <w:rFonts w:ascii="Times New Roman" w:hAnsi="Times New Roman" w:cs="Times New Roman"/>
            <w:sz w:val="16"/>
            <w:szCs w:val="16"/>
          </w:rPr>
          <w:t>Public</w:t>
        </w:r>
        <w:r w:rsidRPr="005D14E2">
          <w:rPr>
            <w:rStyle w:val="Hyperlink1"/>
            <w:rFonts w:ascii="Times New Roman" w:hAnsi="Times New Roman" w:cs="Times New Roman"/>
            <w:sz w:val="16"/>
            <w:szCs w:val="16"/>
            <w:lang w:val="sr-Cyrl-RS"/>
          </w:rPr>
          <w:t>-</w:t>
        </w:r>
        <w:r w:rsidRPr="005D14E2">
          <w:rPr>
            <w:rStyle w:val="Hyperlink1"/>
            <w:rFonts w:ascii="Times New Roman" w:hAnsi="Times New Roman" w:cs="Times New Roman"/>
            <w:sz w:val="16"/>
            <w:szCs w:val="16"/>
          </w:rPr>
          <w:t>Consultation</w:t>
        </w:r>
        <w:r w:rsidRPr="005D14E2">
          <w:rPr>
            <w:rStyle w:val="Hyperlink1"/>
            <w:rFonts w:ascii="Times New Roman" w:hAnsi="Times New Roman" w:cs="Times New Roman"/>
            <w:sz w:val="16"/>
            <w:szCs w:val="16"/>
            <w:lang w:val="sr-Cyrl-RS"/>
          </w:rPr>
          <w:t>-</w:t>
        </w:r>
        <w:r w:rsidRPr="005D14E2">
          <w:rPr>
            <w:rStyle w:val="Hyperlink1"/>
            <w:rFonts w:ascii="Times New Roman" w:hAnsi="Times New Roman" w:cs="Times New Roman"/>
            <w:sz w:val="16"/>
            <w:szCs w:val="16"/>
          </w:rPr>
          <w:t>Manual</w:t>
        </w:r>
        <w:r w:rsidRPr="005D14E2">
          <w:rPr>
            <w:rStyle w:val="Hyperlink1"/>
            <w:rFonts w:ascii="Times New Roman" w:hAnsi="Times New Roman" w:cs="Times New Roman"/>
            <w:sz w:val="16"/>
            <w:szCs w:val="16"/>
            <w:lang w:val="sr-Cyrl-RS"/>
          </w:rPr>
          <w:t>-16-07-2020-</w:t>
        </w:r>
        <w:r w:rsidRPr="005D14E2">
          <w:rPr>
            <w:rStyle w:val="Hyperlink1"/>
            <w:rFonts w:ascii="Times New Roman" w:hAnsi="Times New Roman" w:cs="Times New Roman"/>
            <w:sz w:val="16"/>
            <w:szCs w:val="16"/>
          </w:rPr>
          <w:t>for</w:t>
        </w:r>
        <w:r w:rsidRPr="005D14E2">
          <w:rPr>
            <w:rStyle w:val="Hyperlink1"/>
            <w:rFonts w:ascii="Times New Roman" w:hAnsi="Times New Roman" w:cs="Times New Roman"/>
            <w:sz w:val="16"/>
            <w:szCs w:val="16"/>
            <w:lang w:val="sr-Cyrl-RS"/>
          </w:rPr>
          <w:t>-</w:t>
        </w:r>
        <w:r w:rsidRPr="005D14E2">
          <w:rPr>
            <w:rStyle w:val="Hyperlink1"/>
            <w:rFonts w:ascii="Times New Roman" w:hAnsi="Times New Roman" w:cs="Times New Roman"/>
            <w:sz w:val="16"/>
            <w:szCs w:val="16"/>
          </w:rPr>
          <w:t>publication</w:t>
        </w:r>
        <w:r w:rsidRPr="005D14E2">
          <w:rPr>
            <w:rStyle w:val="Hyperlink1"/>
            <w:rFonts w:ascii="Times New Roman" w:hAnsi="Times New Roman" w:cs="Times New Roman"/>
            <w:sz w:val="16"/>
            <w:szCs w:val="16"/>
            <w:lang w:val="sr-Cyrl-RS"/>
          </w:rPr>
          <w:t>-1.</w:t>
        </w:r>
        <w:r w:rsidRPr="005D14E2">
          <w:rPr>
            <w:rStyle w:val="Hyperlink1"/>
            <w:rFonts w:ascii="Times New Roman" w:hAnsi="Times New Roman" w:cs="Times New Roman"/>
            <w:sz w:val="16"/>
            <w:szCs w:val="16"/>
          </w:rPr>
          <w:t>pdf</w:t>
        </w:r>
      </w:hyperlink>
    </w:p>
  </w:footnote>
  <w:footnote w:id="67">
    <w:p w14:paraId="7EBB1DBB" w14:textId="77777777" w:rsidR="00815ACD" w:rsidRPr="005D14E2" w:rsidRDefault="00815ACD" w:rsidP="005D14E2">
      <w:pPr>
        <w:pStyle w:val="f1"/>
        <w:jc w:val="both"/>
        <w:rPr>
          <w:rFonts w:ascii="Times New Roman" w:hAnsi="Times New Roman" w:cs="Times New Roman"/>
          <w:sz w:val="16"/>
          <w:szCs w:val="16"/>
          <w:lang w:val="sr-Cyrl-RS"/>
        </w:rPr>
      </w:pPr>
      <w:r w:rsidRPr="005D14E2">
        <w:rPr>
          <w:rStyle w:val="FootnoteReference"/>
          <w:rFonts w:ascii="Times New Roman" w:hAnsi="Times New Roman" w:cs="Times New Roman"/>
          <w:sz w:val="16"/>
          <w:szCs w:val="16"/>
        </w:rPr>
        <w:footnoteRef/>
      </w:r>
      <w:r w:rsidRPr="005D14E2">
        <w:rPr>
          <w:rFonts w:ascii="Times New Roman" w:hAnsi="Times New Roman" w:cs="Times New Roman"/>
          <w:sz w:val="16"/>
          <w:szCs w:val="16"/>
        </w:rPr>
        <w:t xml:space="preserve"> </w:t>
      </w:r>
      <w:r w:rsidRPr="005D14E2">
        <w:rPr>
          <w:rFonts w:ascii="Times New Roman" w:hAnsi="Times New Roman" w:cs="Times New Roman"/>
          <w:bCs/>
          <w:sz w:val="16"/>
          <w:szCs w:val="16"/>
          <w:lang w:val="sr-Cyrl-RS"/>
        </w:rPr>
        <w:t>Према евиденцији РСЈП (Годишњи извештај о спровођењу Програма унапређења УЈП и РР 2021.)</w:t>
      </w:r>
    </w:p>
  </w:footnote>
  <w:footnote w:id="68">
    <w:p w14:paraId="6B708FE2" w14:textId="70E4D362" w:rsidR="00815ACD" w:rsidRPr="005D14E2" w:rsidRDefault="00815ACD" w:rsidP="005D14E2">
      <w:pPr>
        <w:pStyle w:val="f1"/>
        <w:jc w:val="both"/>
        <w:rPr>
          <w:rFonts w:ascii="Times New Roman" w:hAnsi="Times New Roman" w:cs="Times New Roman"/>
          <w:sz w:val="16"/>
          <w:szCs w:val="16"/>
          <w:lang w:val="sr-Cyrl-RS"/>
        </w:rPr>
      </w:pPr>
      <w:r w:rsidRPr="005D14E2">
        <w:rPr>
          <w:rStyle w:val="FootnoteReference"/>
          <w:rFonts w:ascii="Times New Roman" w:hAnsi="Times New Roman" w:cs="Times New Roman"/>
          <w:sz w:val="16"/>
          <w:szCs w:val="16"/>
        </w:rPr>
        <w:footnoteRef/>
      </w:r>
      <w:r w:rsidRPr="005D14E2">
        <w:rPr>
          <w:rFonts w:ascii="Times New Roman" w:hAnsi="Times New Roman" w:cs="Times New Roman"/>
          <w:sz w:val="16"/>
          <w:szCs w:val="16"/>
        </w:rPr>
        <w:t xml:space="preserve"> </w:t>
      </w:r>
      <w:r w:rsidRPr="005D14E2">
        <w:rPr>
          <w:rFonts w:ascii="Times New Roman" w:hAnsi="Times New Roman" w:cs="Times New Roman"/>
          <w:sz w:val="16"/>
          <w:szCs w:val="16"/>
          <w:lang w:val="sr-Cyrl-RS"/>
        </w:rPr>
        <w:t>Годишњи извештај о раду судова у Р</w:t>
      </w:r>
      <w:r>
        <w:rPr>
          <w:rFonts w:ascii="Times New Roman" w:hAnsi="Times New Roman" w:cs="Times New Roman"/>
          <w:sz w:val="16"/>
          <w:szCs w:val="16"/>
          <w:lang w:val="sr-Cyrl-RS"/>
        </w:rPr>
        <w:t>епублици Србији</w:t>
      </w:r>
      <w:r w:rsidRPr="005D14E2">
        <w:rPr>
          <w:rFonts w:ascii="Times New Roman" w:hAnsi="Times New Roman" w:cs="Times New Roman"/>
          <w:sz w:val="16"/>
          <w:szCs w:val="16"/>
          <w:lang w:val="sr-Cyrl-RS"/>
        </w:rPr>
        <w:t xml:space="preserve"> за 2021., </w:t>
      </w:r>
      <w:hyperlink r:id="rId19" w:history="1">
        <w:r w:rsidRPr="005D14E2">
          <w:rPr>
            <w:rStyle w:val="Hyperlink"/>
            <w:rFonts w:ascii="Times New Roman" w:hAnsi="Times New Roman" w:cs="Times New Roman"/>
            <w:sz w:val="16"/>
            <w:szCs w:val="16"/>
            <w:lang w:val="sr-Cyrl-RS"/>
          </w:rPr>
          <w:t>https://www.vk.sud.rs/sites/default/files/attachments/Publikacija%20srb_0.pdf</w:t>
        </w:r>
      </w:hyperlink>
      <w:r w:rsidRPr="005D14E2">
        <w:rPr>
          <w:rFonts w:ascii="Times New Roman" w:hAnsi="Times New Roman" w:cs="Times New Roman"/>
          <w:sz w:val="16"/>
          <w:szCs w:val="16"/>
          <w:lang w:val="sr-Cyrl-RS"/>
        </w:rPr>
        <w:t xml:space="preserve"> </w:t>
      </w:r>
    </w:p>
  </w:footnote>
  <w:footnote w:id="69">
    <w:p w14:paraId="584CC22B" w14:textId="5C19C374" w:rsidR="00815ACD" w:rsidRPr="00815ACD" w:rsidRDefault="00815ACD" w:rsidP="00D210F0">
      <w:pPr>
        <w:pStyle w:val="f1"/>
        <w:jc w:val="both"/>
        <w:rPr>
          <w:rFonts w:ascii="Times New Roman" w:hAnsi="Times New Roman" w:cs="Times New Roman"/>
          <w:sz w:val="16"/>
          <w:szCs w:val="16"/>
          <w:lang w:val="sr-Latn-RS"/>
        </w:rPr>
      </w:pPr>
      <w:r w:rsidRPr="00FC1274">
        <w:rPr>
          <w:rStyle w:val="FootnoteReference"/>
          <w:rFonts w:ascii="Times New Roman" w:hAnsi="Times New Roman" w:cs="Times New Roman"/>
          <w:lang w:val="sr-Cyrl-RS"/>
        </w:rPr>
        <w:footnoteRef/>
      </w:r>
      <w:r w:rsidRPr="00FC1274">
        <w:rPr>
          <w:rFonts w:ascii="Times New Roman" w:hAnsi="Times New Roman" w:cs="Times New Roman"/>
          <w:sz w:val="16"/>
          <w:szCs w:val="16"/>
          <w:lang w:val="sr-Cyrl-RS"/>
        </w:rPr>
        <w:t xml:space="preserve"> </w:t>
      </w:r>
      <w:r w:rsidRPr="008479FB">
        <w:rPr>
          <w:rFonts w:ascii="Times New Roman" w:hAnsi="Times New Roman" w:cs="Times New Roman"/>
          <w:sz w:val="16"/>
          <w:szCs w:val="16"/>
          <w:lang w:val="sr-Latn-RS"/>
        </w:rPr>
        <w:t>Мерење административних трошкова у Републици Србији за 2021. годину окончано је почетком октобра 2022. Извештај о мерењу административних трошкова у Републици Ср</w:t>
      </w:r>
      <w:r>
        <w:rPr>
          <w:rFonts w:ascii="Times New Roman" w:hAnsi="Times New Roman" w:cs="Times New Roman"/>
          <w:sz w:val="16"/>
          <w:szCs w:val="16"/>
          <w:lang w:val="sr-Latn-RS"/>
        </w:rPr>
        <w:t xml:space="preserve">бији за 2021. годину je доступan на </w:t>
      </w:r>
      <w:r w:rsidRPr="008479FB">
        <w:rPr>
          <w:rFonts w:ascii="Times New Roman" w:hAnsi="Times New Roman" w:cs="Times New Roman"/>
          <w:sz w:val="16"/>
          <w:szCs w:val="16"/>
          <w:lang w:val="sr-Latn-RS"/>
        </w:rPr>
        <w:t>сајту Републичког секретаријата за јавне политике.</w:t>
      </w:r>
    </w:p>
  </w:footnote>
  <w:footnote w:id="70">
    <w:p w14:paraId="13C1C936" w14:textId="77777777" w:rsidR="00815ACD" w:rsidRPr="005D14E2" w:rsidRDefault="00815ACD" w:rsidP="005D14E2">
      <w:pPr>
        <w:pStyle w:val="f1"/>
        <w:jc w:val="both"/>
        <w:rPr>
          <w:rFonts w:ascii="Times New Roman" w:hAnsi="Times New Roman" w:cs="Times New Roman"/>
          <w:sz w:val="16"/>
          <w:szCs w:val="16"/>
        </w:rPr>
      </w:pPr>
      <w:r w:rsidRPr="005D14E2">
        <w:rPr>
          <w:rStyle w:val="FootnoteReference"/>
          <w:rFonts w:ascii="Times New Roman" w:hAnsi="Times New Roman" w:cs="Times New Roman"/>
          <w:sz w:val="16"/>
          <w:szCs w:val="16"/>
          <w:lang w:val="sr-Cyrl-RS"/>
        </w:rPr>
        <w:footnoteRef/>
      </w:r>
      <w:r w:rsidRPr="005D14E2">
        <w:rPr>
          <w:rStyle w:val="FootnoteReference"/>
          <w:rFonts w:ascii="Times New Roman" w:hAnsi="Times New Roman" w:cs="Times New Roman"/>
          <w:sz w:val="16"/>
          <w:szCs w:val="16"/>
          <w:lang w:val="sr-Cyrl-RS"/>
        </w:rPr>
        <w:t xml:space="preserve"> </w:t>
      </w:r>
      <w:hyperlink r:id="rId20" w:history="1">
        <w:r w:rsidRPr="005D14E2">
          <w:rPr>
            <w:rStyle w:val="Hyperlink"/>
            <w:rFonts w:ascii="Times New Roman" w:hAnsi="Times New Roman" w:cs="Times New Roman"/>
            <w:sz w:val="16"/>
            <w:szCs w:val="16"/>
          </w:rPr>
          <w:t>https://naled.rs/htdocs/Files/08840/Izvestaj-o-realizaciji-mera-iz-Akcionog-plana-za-suzbijanje-sive-ekonomije-2019-2020.pdf</w:t>
        </w:r>
      </w:hyperlink>
    </w:p>
  </w:footnote>
  <w:footnote w:id="71">
    <w:p w14:paraId="0C50CB14" w14:textId="77777777" w:rsidR="00815ACD" w:rsidRPr="005D14E2" w:rsidRDefault="00815ACD" w:rsidP="00261FF7">
      <w:pPr>
        <w:pStyle w:val="f1"/>
        <w:rPr>
          <w:rFonts w:ascii="Times New Roman" w:hAnsi="Times New Roman" w:cs="Times New Roman"/>
          <w:sz w:val="16"/>
          <w:szCs w:val="16"/>
          <w:lang w:val="sr-Cyrl-RS"/>
        </w:rPr>
      </w:pPr>
      <w:r w:rsidRPr="005D14E2">
        <w:rPr>
          <w:rStyle w:val="FootnoteReference"/>
          <w:rFonts w:ascii="Times New Roman" w:hAnsi="Times New Roman" w:cs="Times New Roman"/>
          <w:sz w:val="16"/>
          <w:szCs w:val="16"/>
          <w:lang w:val="sr-Cyrl-RS"/>
        </w:rPr>
        <w:footnoteRef/>
      </w:r>
      <w:r w:rsidRPr="005D14E2">
        <w:rPr>
          <w:rFonts w:ascii="Times New Roman" w:hAnsi="Times New Roman" w:cs="Times New Roman"/>
          <w:sz w:val="16"/>
          <w:szCs w:val="16"/>
          <w:lang w:val="sr-Cyrl-RS"/>
        </w:rPr>
        <w:t xml:space="preserve"> РЗС, Анкета о радној снази 2021., </w:t>
      </w:r>
      <w:hyperlink r:id="rId21" w:history="1">
        <w:r w:rsidRPr="005D14E2">
          <w:rPr>
            <w:rStyle w:val="Hyperlink"/>
            <w:rFonts w:ascii="Times New Roman" w:hAnsi="Times New Roman" w:cs="Times New Roman"/>
            <w:sz w:val="16"/>
            <w:szCs w:val="16"/>
            <w:lang w:val="sr-Cyrl-RS"/>
          </w:rPr>
          <w:t>https://publikacije.stat.gov.rs/G2022/Pdf/G20225682.pdf</w:t>
        </w:r>
      </w:hyperlink>
      <w:r w:rsidRPr="005D14E2">
        <w:rPr>
          <w:rFonts w:ascii="Times New Roman" w:hAnsi="Times New Roman" w:cs="Times New Roman"/>
          <w:sz w:val="16"/>
          <w:szCs w:val="16"/>
          <w:lang w:val="sr-Cyrl-RS"/>
        </w:rPr>
        <w:t xml:space="preserve"> </w:t>
      </w:r>
    </w:p>
  </w:footnote>
  <w:footnote w:id="72">
    <w:p w14:paraId="128B630F" w14:textId="77777777" w:rsidR="00815ACD" w:rsidRPr="005D14E2" w:rsidRDefault="00815ACD" w:rsidP="00261FF7">
      <w:pPr>
        <w:pStyle w:val="f1"/>
        <w:jc w:val="both"/>
        <w:rPr>
          <w:rFonts w:ascii="Times New Roman" w:hAnsi="Times New Roman" w:cs="Times New Roman"/>
          <w:sz w:val="16"/>
          <w:szCs w:val="16"/>
          <w:lang w:val="sr-Cyrl-RS"/>
        </w:rPr>
      </w:pPr>
      <w:r w:rsidRPr="005D14E2">
        <w:rPr>
          <w:rStyle w:val="FootnoteReference"/>
          <w:rFonts w:ascii="Times New Roman" w:hAnsi="Times New Roman" w:cs="Times New Roman"/>
          <w:sz w:val="16"/>
          <w:szCs w:val="16"/>
          <w:lang w:val="sr-Cyrl-RS"/>
        </w:rPr>
        <w:footnoteRef/>
      </w:r>
      <w:r w:rsidRPr="005D14E2">
        <w:rPr>
          <w:rStyle w:val="FootnoteReference"/>
          <w:rFonts w:ascii="Times New Roman" w:hAnsi="Times New Roman" w:cs="Times New Roman"/>
          <w:sz w:val="16"/>
          <w:szCs w:val="16"/>
          <w:lang w:val="sr-Cyrl-RS"/>
        </w:rPr>
        <w:t xml:space="preserve"> </w:t>
      </w:r>
      <w:r w:rsidRPr="005D14E2">
        <w:rPr>
          <w:rFonts w:ascii="Times New Roman" w:hAnsi="Times New Roman" w:cs="Times New Roman"/>
          <w:sz w:val="16"/>
          <w:szCs w:val="16"/>
          <w:lang w:val="sr-Cyrl-RS"/>
        </w:rPr>
        <w:t xml:space="preserve">Извор: </w:t>
      </w:r>
      <w:r w:rsidRPr="005D14E2">
        <w:rPr>
          <w:rFonts w:ascii="Times New Roman" w:hAnsi="Times New Roman" w:cs="Times New Roman"/>
          <w:bCs/>
          <w:sz w:val="16"/>
          <w:szCs w:val="16"/>
          <w:lang w:val="sr-Cyrl-RS"/>
        </w:rPr>
        <w:t xml:space="preserve">Портал Сезонски радници </w:t>
      </w:r>
      <w:hyperlink r:id="rId22" w:history="1">
        <w:r w:rsidRPr="005D14E2">
          <w:rPr>
            <w:rStyle w:val="Hyperlink"/>
            <w:rFonts w:ascii="Times New Roman" w:hAnsi="Times New Roman" w:cs="Times New Roman"/>
            <w:bCs/>
            <w:sz w:val="16"/>
            <w:szCs w:val="16"/>
            <w:lang w:val="sr-Cyrl-RS"/>
          </w:rPr>
          <w:t>https://www.sezonskiradnici.gov.rs/</w:t>
        </w:r>
      </w:hyperlink>
      <w:r w:rsidRPr="005D14E2">
        <w:rPr>
          <w:rFonts w:ascii="Times New Roman" w:hAnsi="Times New Roman" w:cs="Times New Roman"/>
          <w:bCs/>
          <w:sz w:val="16"/>
          <w:szCs w:val="16"/>
          <w:lang w:val="sr-Cyrl-RS"/>
        </w:rPr>
        <w:t xml:space="preserve"> </w:t>
      </w:r>
    </w:p>
  </w:footnote>
  <w:footnote w:id="73">
    <w:p w14:paraId="0863F10C" w14:textId="77777777" w:rsidR="00815ACD" w:rsidRPr="005D14E2" w:rsidRDefault="00815ACD" w:rsidP="005D14E2">
      <w:pPr>
        <w:pStyle w:val="f1"/>
        <w:jc w:val="both"/>
        <w:rPr>
          <w:rFonts w:ascii="Times New Roman" w:hAnsi="Times New Roman" w:cs="Times New Roman"/>
          <w:sz w:val="16"/>
          <w:szCs w:val="16"/>
        </w:rPr>
      </w:pPr>
      <w:r w:rsidRPr="005D14E2">
        <w:rPr>
          <w:rStyle w:val="FootnoteReference"/>
          <w:rFonts w:ascii="Times New Roman" w:hAnsi="Times New Roman" w:cs="Times New Roman"/>
          <w:sz w:val="16"/>
          <w:szCs w:val="16"/>
          <w:lang w:val="sr-Cyrl-RS"/>
        </w:rPr>
        <w:footnoteRef/>
      </w:r>
      <w:r w:rsidRPr="005D14E2">
        <w:rPr>
          <w:rStyle w:val="FootnoteReference"/>
          <w:rFonts w:ascii="Times New Roman" w:hAnsi="Times New Roman" w:cs="Times New Roman"/>
          <w:sz w:val="16"/>
          <w:szCs w:val="16"/>
          <w:lang w:val="sr-Cyrl-RS"/>
        </w:rPr>
        <w:t xml:space="preserve"> </w:t>
      </w:r>
      <w:hyperlink r:id="rId23" w:history="1">
        <w:r w:rsidRPr="005D14E2">
          <w:rPr>
            <w:rStyle w:val="Hyperlink"/>
            <w:rFonts w:ascii="Times New Roman" w:hAnsi="Times New Roman" w:cs="Times New Roman"/>
            <w:sz w:val="16"/>
            <w:szCs w:val="16"/>
          </w:rPr>
          <w:t>https://www.mfin.gov.rs//upload/media/BERtr6_62308f091c3fc.pdf</w:t>
        </w:r>
      </w:hyperlink>
    </w:p>
  </w:footnote>
  <w:footnote w:id="74">
    <w:p w14:paraId="7D230E7B" w14:textId="4620A1D6" w:rsidR="00815ACD" w:rsidRPr="005D14E2" w:rsidRDefault="00815ACD" w:rsidP="005D14E2">
      <w:pPr>
        <w:pStyle w:val="f1"/>
        <w:jc w:val="both"/>
        <w:rPr>
          <w:rFonts w:ascii="Times New Roman" w:hAnsi="Times New Roman" w:cs="Times New Roman"/>
          <w:sz w:val="16"/>
          <w:szCs w:val="16"/>
          <w:lang w:val="sr-Cyrl-RS"/>
        </w:rPr>
      </w:pPr>
      <w:r w:rsidRPr="005D14E2">
        <w:rPr>
          <w:rStyle w:val="FootnoteReference"/>
          <w:rFonts w:ascii="Times New Roman" w:hAnsi="Times New Roman" w:cs="Times New Roman"/>
          <w:sz w:val="16"/>
          <w:szCs w:val="16"/>
        </w:rPr>
        <w:footnoteRef/>
      </w:r>
      <w:r w:rsidRPr="005D14E2">
        <w:rPr>
          <w:rFonts w:ascii="Times New Roman" w:hAnsi="Times New Roman" w:cs="Times New Roman"/>
          <w:sz w:val="16"/>
          <w:szCs w:val="16"/>
        </w:rPr>
        <w:t xml:space="preserve"> </w:t>
      </w:r>
      <w:r w:rsidRPr="005D14E2">
        <w:rPr>
          <w:rFonts w:ascii="Times New Roman" w:hAnsi="Times New Roman" w:cs="Times New Roman"/>
          <w:bCs/>
          <w:sz w:val="16"/>
          <w:szCs w:val="16"/>
          <w:lang w:val="sr-Cyrl-RS"/>
        </w:rPr>
        <w:t xml:space="preserve">Податак обухвата и поступке без објаве јавног позива на </w:t>
      </w:r>
      <w:r w:rsidRPr="008479FB">
        <w:rPr>
          <w:rFonts w:ascii="Times New Roman" w:hAnsi="Times New Roman" w:cs="Times New Roman"/>
          <w:bCs/>
          <w:sz w:val="16"/>
          <w:szCs w:val="16"/>
          <w:lang w:val="sr-Cyrl-RS"/>
        </w:rPr>
        <w:t>основу члана 62. став 9. З</w:t>
      </w:r>
      <w:r>
        <w:rPr>
          <w:rFonts w:ascii="Times New Roman" w:hAnsi="Times New Roman" w:cs="Times New Roman"/>
          <w:bCs/>
          <w:sz w:val="16"/>
          <w:szCs w:val="16"/>
          <w:lang w:val="sr-Cyrl-RS"/>
        </w:rPr>
        <w:t>акона о јавним набавкама</w:t>
      </w:r>
      <w:r w:rsidRPr="005D14E2">
        <w:rPr>
          <w:rFonts w:ascii="Times New Roman" w:hAnsi="Times New Roman" w:cs="Times New Roman"/>
          <w:sz w:val="16"/>
          <w:szCs w:val="16"/>
          <w:lang w:val="sr-Cyrl-RS"/>
        </w:rPr>
        <w:t xml:space="preserve"> </w:t>
      </w:r>
    </w:p>
  </w:footnote>
  <w:footnote w:id="75">
    <w:p w14:paraId="44EF7C92" w14:textId="77777777" w:rsidR="00815ACD" w:rsidRPr="005D14E2" w:rsidRDefault="00815ACD" w:rsidP="005D14E2">
      <w:pPr>
        <w:pStyle w:val="f1"/>
        <w:jc w:val="both"/>
        <w:rPr>
          <w:rFonts w:ascii="Times New Roman" w:hAnsi="Times New Roman" w:cs="Times New Roman"/>
          <w:sz w:val="16"/>
          <w:szCs w:val="16"/>
          <w:lang w:val="sr-Cyrl-RS"/>
        </w:rPr>
      </w:pPr>
      <w:r w:rsidRPr="005D14E2">
        <w:rPr>
          <w:rStyle w:val="FootnoteReference"/>
          <w:rFonts w:ascii="Times New Roman" w:hAnsi="Times New Roman" w:cs="Times New Roman"/>
          <w:sz w:val="16"/>
          <w:szCs w:val="16"/>
        </w:rPr>
        <w:footnoteRef/>
      </w:r>
      <w:r w:rsidRPr="005D14E2">
        <w:rPr>
          <w:rFonts w:ascii="Times New Roman" w:hAnsi="Times New Roman" w:cs="Times New Roman"/>
          <w:sz w:val="16"/>
          <w:szCs w:val="16"/>
        </w:rPr>
        <w:t xml:space="preserve"> </w:t>
      </w:r>
      <w:r w:rsidRPr="005D14E2">
        <w:rPr>
          <w:rFonts w:ascii="Times New Roman" w:hAnsi="Times New Roman" w:cs="Times New Roman"/>
          <w:sz w:val="16"/>
          <w:szCs w:val="16"/>
          <w:lang w:val="sr-Cyrl-RS"/>
        </w:rPr>
        <w:t>Канцеларија за јавне набавке, Годишњи извештај</w:t>
      </w:r>
      <w:r w:rsidRPr="005D14E2">
        <w:rPr>
          <w:rFonts w:ascii="Times New Roman" w:hAnsi="Times New Roman" w:cs="Times New Roman"/>
          <w:sz w:val="16"/>
          <w:szCs w:val="16"/>
        </w:rPr>
        <w:t xml:space="preserve"> </w:t>
      </w:r>
      <w:r w:rsidRPr="005D14E2">
        <w:rPr>
          <w:rFonts w:ascii="Times New Roman" w:hAnsi="Times New Roman" w:cs="Times New Roman"/>
          <w:sz w:val="16"/>
          <w:szCs w:val="16"/>
          <w:lang w:val="sr-Cyrl-RS"/>
        </w:rPr>
        <w:t xml:space="preserve">о јавним набавкама у РС за 2021. </w:t>
      </w:r>
      <w:r w:rsidRPr="005D14E2">
        <w:rPr>
          <w:rFonts w:ascii="Times New Roman" w:hAnsi="Times New Roman" w:cs="Times New Roman"/>
          <w:color w:val="5B9BD5" w:themeColor="accent1"/>
          <w:sz w:val="16"/>
          <w:szCs w:val="16"/>
          <w:u w:val="single"/>
          <w:lang w:val="sr-Cyrl-RS"/>
        </w:rPr>
        <w:t>https://jnportal.ujn.gov.rs/annual-reports-ppo-public</w:t>
      </w:r>
    </w:p>
  </w:footnote>
  <w:footnote w:id="76">
    <w:p w14:paraId="328AB87E" w14:textId="77777777" w:rsidR="00815ACD" w:rsidRPr="00E8317F" w:rsidRDefault="00815ACD" w:rsidP="005D14E2">
      <w:pPr>
        <w:pStyle w:val="f1"/>
        <w:rPr>
          <w:rStyle w:val="Hyperlink"/>
        </w:rPr>
      </w:pPr>
      <w:r w:rsidRPr="001D43B2">
        <w:rPr>
          <w:rStyle w:val="FootnoteReference"/>
          <w:rFonts w:ascii="Times New Roman" w:hAnsi="Times New Roman" w:cs="Times New Roman"/>
          <w:sz w:val="16"/>
          <w:szCs w:val="16"/>
        </w:rPr>
        <w:footnoteRef/>
      </w:r>
      <w:r w:rsidRPr="001D43B2">
        <w:rPr>
          <w:rFonts w:ascii="Times New Roman" w:hAnsi="Times New Roman" w:cs="Times New Roman"/>
          <w:sz w:val="16"/>
          <w:szCs w:val="16"/>
        </w:rPr>
        <w:t xml:space="preserve"> </w:t>
      </w:r>
      <w:r w:rsidRPr="001D43B2">
        <w:rPr>
          <w:rFonts w:ascii="Times New Roman" w:hAnsi="Times New Roman" w:cs="Times New Roman"/>
          <w:sz w:val="16"/>
          <w:szCs w:val="16"/>
          <w:lang w:val="sr-Cyrl-RS"/>
        </w:rPr>
        <w:t>Извештај</w:t>
      </w:r>
      <w:r w:rsidRPr="001D43B2">
        <w:rPr>
          <w:rFonts w:ascii="Times New Roman" w:hAnsi="Times New Roman" w:cs="Times New Roman"/>
          <w:sz w:val="16"/>
          <w:szCs w:val="16"/>
        </w:rPr>
        <w:t xml:space="preserve">: </w:t>
      </w:r>
      <w:r w:rsidRPr="001D43B2">
        <w:rPr>
          <w:rFonts w:ascii="Times New Roman" w:hAnsi="Times New Roman" w:cs="Times New Roman"/>
          <w:color w:val="2E74B5" w:themeColor="accent1" w:themeShade="BF"/>
          <w:sz w:val="16"/>
          <w:szCs w:val="16"/>
          <w:u w:val="single"/>
        </w:rPr>
        <w:t>https://neighbourhood-enlargement.ec.europa.eu/serbia-report-2021_en</w:t>
      </w:r>
      <w:r w:rsidRPr="001D43B2">
        <w:rPr>
          <w:rFonts w:ascii="Times New Roman" w:hAnsi="Times New Roman" w:cs="Times New Roman"/>
          <w:sz w:val="16"/>
          <w:szCs w:val="16"/>
          <w:lang w:val="sr-Cyrl-RS"/>
        </w:rPr>
        <w:t xml:space="preserve">; стр. 17: Извештај: </w:t>
      </w:r>
      <w:hyperlink r:id="rId24" w:history="1">
        <w:r w:rsidRPr="00D93C26">
          <w:rPr>
            <w:rStyle w:val="Hyperlink"/>
            <w:rFonts w:ascii="Times New Roman" w:hAnsi="Times New Roman" w:cs="Times New Roman"/>
            <w:sz w:val="16"/>
            <w:szCs w:val="16"/>
          </w:rPr>
          <w:t>https://publicadministration.un.org/en/Research/UN-e-Government-Surveys?_lrsc=01712f7d-dc30-4e6a-bff9-90f2c477df5a&amp;id=gx:2sm:3tw:4elevate:5awa:6oth</w:t>
        </w:r>
      </w:hyperlink>
      <w:r>
        <w:rPr>
          <w:rFonts w:ascii="Times New Roman" w:hAnsi="Times New Roman" w:cs="Times New Roman"/>
          <w:color w:val="2E74B5" w:themeColor="accent1" w:themeShade="BF"/>
          <w:sz w:val="16"/>
          <w:szCs w:val="16"/>
          <w:u w:val="single"/>
          <w:lang w:val="sr-Cyrl-RS"/>
        </w:rPr>
        <w:t xml:space="preserve">; </w:t>
      </w:r>
      <w:hyperlink r:id="rId25" w:history="1">
        <w:r w:rsidRPr="00E8317F">
          <w:rPr>
            <w:rStyle w:val="Hyperlink"/>
            <w:rFonts w:ascii="Times New Roman" w:hAnsi="Times New Roman" w:cs="Times New Roman"/>
            <w:sz w:val="16"/>
            <w:szCs w:val="16"/>
          </w:rPr>
          <w:t>https://openknowledge.worldbank.org/handle/10986/36233</w:t>
        </w:r>
      </w:hyperlink>
    </w:p>
  </w:footnote>
  <w:footnote w:id="77">
    <w:p w14:paraId="0ED4903E" w14:textId="77777777" w:rsidR="00815ACD" w:rsidRPr="005D14E2" w:rsidRDefault="00815ACD" w:rsidP="005D14E2">
      <w:pPr>
        <w:pStyle w:val="f1"/>
        <w:rPr>
          <w:rFonts w:ascii="Times New Roman" w:hAnsi="Times New Roman" w:cs="Times New Roman"/>
          <w:sz w:val="16"/>
          <w:szCs w:val="16"/>
          <w:lang w:val="sr-Cyrl-RS"/>
        </w:rPr>
      </w:pPr>
      <w:r w:rsidRPr="005D14E2">
        <w:rPr>
          <w:rStyle w:val="FootnoteReference"/>
          <w:rFonts w:ascii="Times New Roman" w:hAnsi="Times New Roman" w:cs="Times New Roman"/>
          <w:sz w:val="16"/>
          <w:szCs w:val="16"/>
        </w:rPr>
        <w:footnoteRef/>
      </w:r>
      <w:r w:rsidRPr="005D14E2">
        <w:rPr>
          <w:rFonts w:ascii="Times New Roman" w:hAnsi="Times New Roman" w:cs="Times New Roman"/>
          <w:sz w:val="16"/>
          <w:szCs w:val="16"/>
        </w:rPr>
        <w:t xml:space="preserve"> </w:t>
      </w:r>
      <w:r w:rsidRPr="005D14E2">
        <w:rPr>
          <w:rFonts w:ascii="Times New Roman" w:hAnsi="Times New Roman" w:cs="Times New Roman"/>
          <w:sz w:val="16"/>
          <w:szCs w:val="16"/>
          <w:lang w:val="sr-Cyrl-RS"/>
        </w:rPr>
        <w:t xml:space="preserve">Европска комисија, Осми пакет санкција Русији </w:t>
      </w:r>
      <w:hyperlink r:id="rId26" w:history="1">
        <w:r w:rsidRPr="005D14E2">
          <w:rPr>
            <w:rStyle w:val="Hyperlink"/>
            <w:rFonts w:ascii="Times New Roman" w:hAnsi="Times New Roman" w:cs="Times New Roman"/>
            <w:sz w:val="16"/>
            <w:szCs w:val="16"/>
            <w:lang w:val="sr-Cyrl-RS"/>
          </w:rPr>
          <w:t>https://ec.europa.eu/commission/presscorner/detail/en/ip_22_5989</w:t>
        </w:r>
      </w:hyperlink>
      <w:r w:rsidRPr="005D14E2">
        <w:rPr>
          <w:rFonts w:ascii="Times New Roman" w:hAnsi="Times New Roman" w:cs="Times New Roman"/>
          <w:sz w:val="16"/>
          <w:szCs w:val="16"/>
          <w:lang w:val="sr-Cyrl-RS"/>
        </w:rPr>
        <w:t xml:space="preserve"> </w:t>
      </w:r>
    </w:p>
  </w:footnote>
  <w:footnote w:id="78">
    <w:p w14:paraId="0BAE6588" w14:textId="77777777" w:rsidR="00815ACD" w:rsidRPr="005D14E2" w:rsidRDefault="00815ACD" w:rsidP="005D14E2">
      <w:pPr>
        <w:spacing w:after="0"/>
        <w:jc w:val="left"/>
        <w:rPr>
          <w:rFonts w:cs="Times New Roman"/>
          <w:sz w:val="16"/>
          <w:szCs w:val="16"/>
          <w:lang w:val="sr-Cyrl-RS"/>
        </w:rPr>
      </w:pPr>
      <w:r w:rsidRPr="005D14E2">
        <w:rPr>
          <w:rStyle w:val="FootnoteReference"/>
          <w:rFonts w:cs="Times New Roman"/>
          <w:sz w:val="16"/>
          <w:szCs w:val="16"/>
          <w:lang w:val="sr-Cyrl-RS"/>
        </w:rPr>
        <w:footnoteRef/>
      </w:r>
      <w:r>
        <w:rPr>
          <w:rFonts w:cs="Times New Roman"/>
          <w:sz w:val="16"/>
          <w:szCs w:val="16"/>
          <w:lang w:val="sr-Cyrl-CS"/>
        </w:rPr>
        <w:t xml:space="preserve">Министарство рударства и енергетике, Енергетски биланс за 2021, </w:t>
      </w:r>
      <w:r w:rsidRPr="005D14E2">
        <w:rPr>
          <w:rFonts w:cs="Times New Roman"/>
          <w:sz w:val="16"/>
          <w:szCs w:val="16"/>
          <w:lang w:val="sr-Cyrl-RS"/>
        </w:rPr>
        <w:t xml:space="preserve">АЕРС, Извештај о раду агенције за енергетику за 2021. годину, </w:t>
      </w:r>
      <w:hyperlink r:id="rId27" w:history="1">
        <w:r w:rsidRPr="005D14E2">
          <w:rPr>
            <w:rStyle w:val="Hyperlink"/>
            <w:rFonts w:cs="Times New Roman"/>
            <w:sz w:val="16"/>
            <w:szCs w:val="16"/>
            <w:lang w:val="sr-Cyrl-RS"/>
          </w:rPr>
          <w:t>https://www.aers.rs/Files/Izvestaji/Godisnji/Izvestaj%20Agencije%202021.pdf</w:t>
        </w:r>
      </w:hyperlink>
    </w:p>
  </w:footnote>
  <w:footnote w:id="79">
    <w:p w14:paraId="3C79BF10" w14:textId="77777777" w:rsidR="00815ACD" w:rsidRPr="005D14E2" w:rsidRDefault="00815ACD" w:rsidP="005D14E2">
      <w:pPr>
        <w:pStyle w:val="f1"/>
        <w:rPr>
          <w:rFonts w:ascii="Times New Roman" w:hAnsi="Times New Roman" w:cs="Times New Roman"/>
          <w:sz w:val="16"/>
          <w:szCs w:val="16"/>
          <w:lang w:val="sr-Cyrl-RS"/>
        </w:rPr>
      </w:pPr>
      <w:r w:rsidRPr="005D14E2">
        <w:rPr>
          <w:rStyle w:val="FootnoteReference"/>
          <w:rFonts w:ascii="Times New Roman" w:hAnsi="Times New Roman" w:cs="Times New Roman"/>
          <w:sz w:val="16"/>
          <w:szCs w:val="16"/>
        </w:rPr>
        <w:footnoteRef/>
      </w:r>
      <w:r w:rsidRPr="005D14E2">
        <w:rPr>
          <w:rFonts w:ascii="Times New Roman" w:hAnsi="Times New Roman" w:cs="Times New Roman"/>
          <w:sz w:val="16"/>
          <w:szCs w:val="16"/>
        </w:rPr>
        <w:t xml:space="preserve"> </w:t>
      </w:r>
      <w:r w:rsidRPr="005D14E2">
        <w:rPr>
          <w:rFonts w:ascii="Times New Roman" w:hAnsi="Times New Roman" w:cs="Times New Roman"/>
          <w:sz w:val="16"/>
          <w:szCs w:val="16"/>
          <w:lang w:val="sr-Cyrl-RS"/>
        </w:rPr>
        <w:t xml:space="preserve">ЕДС, </w:t>
      </w:r>
      <w:hyperlink r:id="rId28" w:history="1">
        <w:r w:rsidRPr="005D14E2">
          <w:rPr>
            <w:rStyle w:val="Hyperlink"/>
            <w:rFonts w:ascii="Times New Roman" w:hAnsi="Times New Roman" w:cs="Times New Roman"/>
            <w:sz w:val="16"/>
            <w:szCs w:val="16"/>
            <w:lang w:val="sr-Cyrl-RS"/>
          </w:rPr>
          <w:t>http://epsdistribucija.rs/pdf/GI_ODS_2021.pdf</w:t>
        </w:r>
      </w:hyperlink>
      <w:r w:rsidRPr="005D14E2">
        <w:rPr>
          <w:rFonts w:ascii="Times New Roman" w:hAnsi="Times New Roman" w:cs="Times New Roman"/>
          <w:sz w:val="16"/>
          <w:szCs w:val="16"/>
          <w:lang w:val="sr-Cyrl-RS"/>
        </w:rPr>
        <w:t xml:space="preserve"> </w:t>
      </w:r>
    </w:p>
  </w:footnote>
  <w:footnote w:id="80">
    <w:p w14:paraId="25A3AC8B" w14:textId="77777777" w:rsidR="00815ACD" w:rsidRPr="005D14E2" w:rsidRDefault="00815ACD" w:rsidP="00D210F0">
      <w:pPr>
        <w:pStyle w:val="f1"/>
        <w:rPr>
          <w:rFonts w:ascii="Times New Roman" w:hAnsi="Times New Roman" w:cs="Times New Roman"/>
          <w:sz w:val="16"/>
          <w:szCs w:val="16"/>
          <w:lang w:val="sr-Cyrl-RS"/>
        </w:rPr>
      </w:pPr>
      <w:r w:rsidRPr="005D14E2">
        <w:rPr>
          <w:rStyle w:val="FootnoteReference"/>
          <w:rFonts w:ascii="Times New Roman" w:hAnsi="Times New Roman" w:cs="Times New Roman"/>
          <w:sz w:val="16"/>
          <w:szCs w:val="16"/>
        </w:rPr>
        <w:footnoteRef/>
      </w:r>
      <w:r w:rsidRPr="005D14E2">
        <w:rPr>
          <w:rFonts w:ascii="Times New Roman" w:hAnsi="Times New Roman" w:cs="Times New Roman"/>
          <w:sz w:val="16"/>
          <w:szCs w:val="16"/>
        </w:rPr>
        <w:t xml:space="preserve"> </w:t>
      </w:r>
      <w:r w:rsidRPr="005D14E2">
        <w:rPr>
          <w:rFonts w:ascii="Times New Roman" w:hAnsi="Times New Roman" w:cs="Times New Roman"/>
          <w:sz w:val="16"/>
          <w:szCs w:val="16"/>
          <w:lang w:val="sr-Cyrl-RS"/>
        </w:rPr>
        <w:t xml:space="preserve">РЗС, Саопштење, Рачун емисијa у ваздух, 2020. </w:t>
      </w:r>
      <w:hyperlink r:id="rId29" w:history="1">
        <w:r w:rsidRPr="005D14E2">
          <w:rPr>
            <w:rStyle w:val="Hyperlink"/>
            <w:rFonts w:ascii="Times New Roman" w:hAnsi="Times New Roman" w:cs="Times New Roman"/>
            <w:sz w:val="16"/>
            <w:szCs w:val="16"/>
          </w:rPr>
          <w:t>https://publikacije.stat.gov.rs/G2022/Html/G20221262.html</w:t>
        </w:r>
      </w:hyperlink>
      <w:r w:rsidRPr="005D14E2">
        <w:rPr>
          <w:rFonts w:ascii="Times New Roman" w:hAnsi="Times New Roman" w:cs="Times New Roman"/>
          <w:sz w:val="16"/>
          <w:szCs w:val="16"/>
          <w:lang w:val="sr-Cyrl-RS"/>
        </w:rPr>
        <w:t xml:space="preserve"> </w:t>
      </w:r>
    </w:p>
  </w:footnote>
  <w:footnote w:id="81">
    <w:p w14:paraId="131F2146" w14:textId="77777777" w:rsidR="00815ACD" w:rsidRPr="005D14E2" w:rsidRDefault="00815ACD" w:rsidP="005D14E2">
      <w:pPr>
        <w:pStyle w:val="f1"/>
        <w:rPr>
          <w:rFonts w:ascii="Times New Roman" w:hAnsi="Times New Roman" w:cs="Times New Roman"/>
          <w:sz w:val="16"/>
          <w:szCs w:val="16"/>
          <w:lang w:val="sr-Latn-RS"/>
        </w:rPr>
      </w:pPr>
      <w:r w:rsidRPr="005D14E2">
        <w:rPr>
          <w:rStyle w:val="FootnoteReference"/>
          <w:rFonts w:ascii="Times New Roman" w:hAnsi="Times New Roman" w:cs="Times New Roman"/>
          <w:sz w:val="16"/>
          <w:szCs w:val="16"/>
        </w:rPr>
        <w:footnoteRef/>
      </w:r>
      <w:r w:rsidRPr="005D14E2">
        <w:rPr>
          <w:rFonts w:ascii="Times New Roman" w:hAnsi="Times New Roman" w:cs="Times New Roman"/>
          <w:sz w:val="16"/>
          <w:szCs w:val="16"/>
        </w:rPr>
        <w:t xml:space="preserve"> ТЕ Костолац Б је емитовала 95.096 тона SO</w:t>
      </w:r>
      <w:r w:rsidRPr="005D14E2">
        <w:rPr>
          <w:rFonts w:ascii="Times New Roman" w:hAnsi="Times New Roman" w:cs="Times New Roman"/>
          <w:sz w:val="16"/>
          <w:szCs w:val="16"/>
          <w:vertAlign w:val="subscript"/>
        </w:rPr>
        <w:t>2</w:t>
      </w:r>
      <w:r w:rsidRPr="005D14E2">
        <w:rPr>
          <w:rFonts w:ascii="Times New Roman" w:hAnsi="Times New Roman" w:cs="Times New Roman"/>
          <w:sz w:val="16"/>
          <w:szCs w:val="16"/>
        </w:rPr>
        <w:t>, a ТЕ Никола Тесла Б 85.756 тона SO</w:t>
      </w:r>
      <w:r w:rsidRPr="005D14E2">
        <w:rPr>
          <w:rFonts w:ascii="Times New Roman" w:hAnsi="Times New Roman" w:cs="Times New Roman"/>
          <w:sz w:val="16"/>
          <w:szCs w:val="16"/>
          <w:vertAlign w:val="subscript"/>
        </w:rPr>
        <w:t>2</w:t>
      </w:r>
      <w:r w:rsidRPr="005D14E2">
        <w:rPr>
          <w:rFonts w:ascii="Times New Roman" w:hAnsi="Times New Roman" w:cs="Times New Roman"/>
          <w:sz w:val="16"/>
          <w:szCs w:val="16"/>
        </w:rPr>
        <w:t xml:space="preserve"> у 2020</w:t>
      </w:r>
      <w:r w:rsidRPr="005D14E2">
        <w:rPr>
          <w:rFonts w:ascii="Times New Roman" w:hAnsi="Times New Roman" w:cs="Times New Roman"/>
          <w:sz w:val="16"/>
          <w:szCs w:val="16"/>
          <w:lang w:val="sr-Cyrl-RS"/>
        </w:rPr>
        <w:t>, European Environment Agency,</w:t>
      </w:r>
      <w:r w:rsidRPr="005D14E2">
        <w:rPr>
          <w:rFonts w:ascii="Times New Roman" w:hAnsi="Times New Roman" w:cs="Times New Roman"/>
          <w:sz w:val="16"/>
          <w:szCs w:val="16"/>
          <w:lang w:val="sr-Latn-RS"/>
        </w:rPr>
        <w:t xml:space="preserve"> </w:t>
      </w:r>
      <w:hyperlink r:id="rId30" w:history="1">
        <w:r w:rsidRPr="005D14E2">
          <w:rPr>
            <w:rStyle w:val="Hyperlink"/>
            <w:rFonts w:ascii="Times New Roman" w:hAnsi="Times New Roman" w:cs="Times New Roman"/>
            <w:sz w:val="16"/>
            <w:szCs w:val="16"/>
            <w:lang w:val="sr-Latn-RS"/>
          </w:rPr>
          <w:t>https://cdr.eionet.europa.eu/rs/eu/energycommunity/envygmfea/LCP_Energy_Community_Serbia_2020_final.xlsx/manage_document</w:t>
        </w:r>
      </w:hyperlink>
    </w:p>
  </w:footnote>
  <w:footnote w:id="82">
    <w:p w14:paraId="2C4C2690" w14:textId="77777777" w:rsidR="00815ACD" w:rsidRPr="005D14E2" w:rsidRDefault="00815ACD" w:rsidP="005D14E2">
      <w:pPr>
        <w:pStyle w:val="f1"/>
        <w:rPr>
          <w:rFonts w:ascii="Times New Roman" w:hAnsi="Times New Roman" w:cs="Times New Roman"/>
          <w:sz w:val="16"/>
          <w:szCs w:val="16"/>
          <w:lang w:val="sr-Latn-RS"/>
        </w:rPr>
      </w:pPr>
      <w:r w:rsidRPr="005D14E2">
        <w:rPr>
          <w:rStyle w:val="FootnoteReference"/>
          <w:rFonts w:ascii="Times New Roman" w:hAnsi="Times New Roman" w:cs="Times New Roman"/>
          <w:sz w:val="16"/>
          <w:szCs w:val="16"/>
        </w:rPr>
        <w:footnoteRef/>
      </w:r>
      <w:r w:rsidRPr="005D14E2">
        <w:rPr>
          <w:rFonts w:ascii="Times New Roman" w:hAnsi="Times New Roman" w:cs="Times New Roman"/>
          <w:sz w:val="16"/>
          <w:szCs w:val="16"/>
        </w:rPr>
        <w:t xml:space="preserve"> Eurostat, </w:t>
      </w:r>
      <w:hyperlink r:id="rId31" w:history="1">
        <w:r w:rsidRPr="005D14E2">
          <w:rPr>
            <w:rStyle w:val="Hyperlink"/>
            <w:rFonts w:ascii="Times New Roman" w:hAnsi="Times New Roman" w:cs="Times New Roman"/>
            <w:sz w:val="16"/>
            <w:szCs w:val="16"/>
          </w:rPr>
          <w:t>https://ec.europa.eu/eurostat/databrowser/view/t2020_rk210/default/table?lang=en</w:t>
        </w:r>
      </w:hyperlink>
      <w:r w:rsidRPr="005D14E2">
        <w:rPr>
          <w:rFonts w:ascii="Times New Roman" w:hAnsi="Times New Roman" w:cs="Times New Roman"/>
          <w:sz w:val="16"/>
          <w:szCs w:val="16"/>
        </w:rPr>
        <w:t xml:space="preserve"> </w:t>
      </w:r>
    </w:p>
  </w:footnote>
  <w:footnote w:id="83">
    <w:p w14:paraId="00703BA2" w14:textId="77777777" w:rsidR="00815ACD" w:rsidRPr="005D14E2" w:rsidRDefault="00815ACD" w:rsidP="005D14E2">
      <w:pPr>
        <w:pStyle w:val="f1"/>
        <w:rPr>
          <w:rFonts w:ascii="Times New Roman" w:hAnsi="Times New Roman" w:cs="Times New Roman"/>
          <w:sz w:val="16"/>
          <w:szCs w:val="16"/>
          <w:lang w:val="sr-Cyrl-RS"/>
        </w:rPr>
      </w:pPr>
      <w:r w:rsidRPr="005D14E2">
        <w:rPr>
          <w:rStyle w:val="FootnoteReference"/>
          <w:rFonts w:ascii="Times New Roman" w:hAnsi="Times New Roman" w:cs="Times New Roman"/>
          <w:sz w:val="16"/>
          <w:szCs w:val="16"/>
        </w:rPr>
        <w:footnoteRef/>
      </w:r>
      <w:r w:rsidRPr="005D14E2">
        <w:rPr>
          <w:rFonts w:ascii="Times New Roman" w:hAnsi="Times New Roman" w:cs="Times New Roman"/>
          <w:sz w:val="16"/>
          <w:szCs w:val="16"/>
        </w:rPr>
        <w:t xml:space="preserve"> </w:t>
      </w:r>
      <w:r w:rsidRPr="005D14E2">
        <w:rPr>
          <w:rFonts w:ascii="Times New Roman" w:hAnsi="Times New Roman" w:cs="Times New Roman"/>
          <w:sz w:val="16"/>
          <w:szCs w:val="16"/>
          <w:lang w:val="sr-Cyrl-RS"/>
        </w:rPr>
        <w:t xml:space="preserve">РЗС, </w:t>
      </w:r>
      <w:hyperlink r:id="rId32" w:history="1">
        <w:r w:rsidRPr="005D14E2">
          <w:rPr>
            <w:rStyle w:val="Hyperlink"/>
            <w:rFonts w:ascii="Times New Roman" w:hAnsi="Times New Roman" w:cs="Times New Roman"/>
            <w:sz w:val="16"/>
            <w:szCs w:val="16"/>
            <w:lang w:val="sr-Cyrl-RS"/>
          </w:rPr>
          <w:t>https://data.stat.gov.rs/Home/Result/SDGUN070201?languageCode=sr-Cyrl</w:t>
        </w:r>
      </w:hyperlink>
      <w:r w:rsidRPr="005D14E2">
        <w:rPr>
          <w:rFonts w:ascii="Times New Roman" w:hAnsi="Times New Roman" w:cs="Times New Roman"/>
          <w:sz w:val="16"/>
          <w:szCs w:val="16"/>
          <w:lang w:val="sr-Cyrl-RS"/>
        </w:rPr>
        <w:t xml:space="preserve"> </w:t>
      </w:r>
    </w:p>
  </w:footnote>
  <w:footnote w:id="84">
    <w:p w14:paraId="6CAC56BE" w14:textId="77777777" w:rsidR="00815ACD" w:rsidRPr="005D14E2" w:rsidRDefault="00815ACD" w:rsidP="005D14E2">
      <w:pPr>
        <w:pStyle w:val="f1"/>
        <w:rPr>
          <w:rFonts w:ascii="Times New Roman" w:hAnsi="Times New Roman" w:cs="Times New Roman"/>
          <w:sz w:val="16"/>
          <w:szCs w:val="16"/>
          <w:lang w:val="sr-Cyrl-RS"/>
        </w:rPr>
      </w:pPr>
      <w:r w:rsidRPr="005D14E2">
        <w:rPr>
          <w:rStyle w:val="FootnoteReference"/>
          <w:rFonts w:ascii="Times New Roman" w:hAnsi="Times New Roman" w:cs="Times New Roman"/>
          <w:sz w:val="16"/>
          <w:szCs w:val="16"/>
        </w:rPr>
        <w:footnoteRef/>
      </w:r>
      <w:r w:rsidRPr="005D14E2">
        <w:rPr>
          <w:rFonts w:ascii="Times New Roman" w:hAnsi="Times New Roman" w:cs="Times New Roman"/>
          <w:sz w:val="16"/>
          <w:szCs w:val="16"/>
        </w:rPr>
        <w:t xml:space="preserve"> С обзиром на отворено тржиште електричне енергије у Републици Србији купци-произвођачи могу уговарати снабдевање и са осталим снабдевачима (који нису ЈП ЕПС)</w:t>
      </w:r>
      <w:r w:rsidRPr="005D14E2">
        <w:rPr>
          <w:rFonts w:ascii="Times New Roman" w:hAnsi="Times New Roman" w:cs="Times New Roman"/>
          <w:sz w:val="16"/>
          <w:szCs w:val="16"/>
          <w:lang w:val="sr-Cyrl-RS"/>
        </w:rPr>
        <w:t>.</w:t>
      </w:r>
    </w:p>
  </w:footnote>
  <w:footnote w:id="85">
    <w:p w14:paraId="2A88AD43" w14:textId="77777777" w:rsidR="00815ACD" w:rsidRPr="005D14E2" w:rsidRDefault="00815ACD" w:rsidP="005D14E2">
      <w:pPr>
        <w:pStyle w:val="f1"/>
        <w:rPr>
          <w:rFonts w:ascii="Times New Roman" w:hAnsi="Times New Roman" w:cs="Times New Roman"/>
          <w:sz w:val="16"/>
          <w:szCs w:val="16"/>
          <w:lang w:val="sr-Cyrl-RS"/>
        </w:rPr>
      </w:pPr>
      <w:r w:rsidRPr="005D14E2">
        <w:rPr>
          <w:rStyle w:val="FootnoteReference"/>
          <w:rFonts w:ascii="Times New Roman" w:hAnsi="Times New Roman" w:cs="Times New Roman"/>
          <w:sz w:val="16"/>
          <w:szCs w:val="16"/>
        </w:rPr>
        <w:footnoteRef/>
      </w:r>
      <w:r w:rsidRPr="005D14E2">
        <w:rPr>
          <w:rFonts w:ascii="Times New Roman" w:hAnsi="Times New Roman" w:cs="Times New Roman"/>
          <w:sz w:val="16"/>
          <w:szCs w:val="16"/>
        </w:rPr>
        <w:t xml:space="preserve"> </w:t>
      </w:r>
      <w:r w:rsidRPr="005D14E2">
        <w:rPr>
          <w:rFonts w:ascii="Times New Roman" w:hAnsi="Times New Roman" w:cs="Times New Roman"/>
          <w:sz w:val="16"/>
          <w:szCs w:val="16"/>
          <w:lang w:val="sr-Cyrl-RS"/>
        </w:rPr>
        <w:t xml:space="preserve">АЕРС, Извештај о раду агенције за енергетику за 2021. годину, </w:t>
      </w:r>
      <w:hyperlink r:id="rId33" w:history="1">
        <w:r w:rsidRPr="005D14E2">
          <w:rPr>
            <w:rFonts w:ascii="Times New Roman" w:hAnsi="Times New Roman" w:cs="Times New Roman"/>
            <w:color w:val="2E74B5" w:themeColor="accent1" w:themeShade="BF"/>
            <w:sz w:val="16"/>
            <w:szCs w:val="16"/>
            <w:u w:val="single"/>
            <w:lang w:val="sr-Cyrl-RS"/>
          </w:rPr>
          <w:t>https://www.aers.rs/Files/Izvestaji/Godisnji/Izvestaj%20Agencije%202021.pdf</w:t>
        </w:r>
      </w:hyperlink>
      <w:r w:rsidRPr="005D14E2">
        <w:rPr>
          <w:rFonts w:ascii="Times New Roman" w:hAnsi="Times New Roman" w:cs="Times New Roman"/>
          <w:color w:val="2E74B5" w:themeColor="accent1" w:themeShade="BF"/>
          <w:sz w:val="16"/>
          <w:szCs w:val="16"/>
          <w:lang w:val="sr-Cyrl-RS"/>
        </w:rPr>
        <w:t xml:space="preserve">  </w:t>
      </w:r>
    </w:p>
  </w:footnote>
  <w:footnote w:id="86">
    <w:p w14:paraId="586BBA7B" w14:textId="77777777" w:rsidR="00815ACD" w:rsidRPr="005D14E2" w:rsidRDefault="00815ACD" w:rsidP="00D210F0">
      <w:pPr>
        <w:pStyle w:val="f1"/>
        <w:rPr>
          <w:rFonts w:ascii="Times New Roman" w:hAnsi="Times New Roman" w:cs="Times New Roman"/>
          <w:color w:val="2F5496"/>
          <w:sz w:val="16"/>
          <w:szCs w:val="16"/>
          <w:u w:val="single"/>
          <w:lang w:val="sr-Cyrl-RS"/>
        </w:rPr>
      </w:pPr>
      <w:r w:rsidRPr="005D14E2">
        <w:rPr>
          <w:rFonts w:ascii="Times New Roman" w:hAnsi="Times New Roman" w:cs="Times New Roman"/>
          <w:sz w:val="16"/>
          <w:szCs w:val="16"/>
          <w:vertAlign w:val="superscript"/>
          <w:lang w:val="sr-Cyrl-RS"/>
        </w:rPr>
        <w:footnoteRef/>
      </w:r>
      <w:r w:rsidRPr="005D14E2">
        <w:rPr>
          <w:rFonts w:ascii="Times New Roman" w:hAnsi="Times New Roman" w:cs="Times New Roman"/>
          <w:sz w:val="16"/>
          <w:szCs w:val="16"/>
          <w:lang w:val="sr-Cyrl-RS"/>
        </w:rPr>
        <w:t xml:space="preserve"> АЕРС, Извештај о раду агенције за енергетику за 2021. годину,</w:t>
      </w:r>
      <w:r w:rsidRPr="005D14E2">
        <w:rPr>
          <w:rFonts w:ascii="Times New Roman" w:hAnsi="Times New Roman" w:cs="Times New Roman"/>
          <w:color w:val="2E74B5" w:themeColor="accent1" w:themeShade="BF"/>
          <w:sz w:val="16"/>
          <w:szCs w:val="16"/>
          <w:u w:val="single"/>
          <w:lang w:val="sr-Cyrl-RS"/>
        </w:rPr>
        <w:t xml:space="preserve"> </w:t>
      </w:r>
      <w:hyperlink r:id="rId34" w:history="1">
        <w:r w:rsidRPr="005D14E2">
          <w:rPr>
            <w:rFonts w:ascii="Times New Roman" w:hAnsi="Times New Roman" w:cs="Times New Roman"/>
            <w:color w:val="2E74B5" w:themeColor="accent1" w:themeShade="BF"/>
            <w:sz w:val="16"/>
            <w:szCs w:val="16"/>
            <w:u w:val="single"/>
            <w:lang w:val="sr-Cyrl-RS"/>
          </w:rPr>
          <w:t>https://www.aers.rs/Files/Izvestaji/Godisnji/Izvestaj%20Agencije%202021.pdf</w:t>
        </w:r>
      </w:hyperlink>
      <w:r w:rsidRPr="005D14E2">
        <w:rPr>
          <w:rFonts w:ascii="Times New Roman" w:hAnsi="Times New Roman" w:cs="Times New Roman"/>
          <w:sz w:val="16"/>
          <w:szCs w:val="16"/>
          <w:lang w:val="sr-Cyrl-RS"/>
        </w:rPr>
        <w:t xml:space="preserve">  </w:t>
      </w:r>
    </w:p>
  </w:footnote>
  <w:footnote w:id="87">
    <w:p w14:paraId="37DDE40A" w14:textId="77777777" w:rsidR="00815ACD" w:rsidRPr="005D14E2" w:rsidRDefault="00815ACD" w:rsidP="005D14E2">
      <w:pPr>
        <w:pStyle w:val="f1"/>
        <w:rPr>
          <w:rFonts w:ascii="Times New Roman" w:hAnsi="Times New Roman" w:cs="Times New Roman"/>
          <w:sz w:val="16"/>
          <w:szCs w:val="16"/>
          <w:lang w:val="sr-Cyrl-RS"/>
        </w:rPr>
      </w:pPr>
      <w:r w:rsidRPr="005D14E2">
        <w:rPr>
          <w:rStyle w:val="FootnoteReference"/>
          <w:rFonts w:ascii="Times New Roman" w:hAnsi="Times New Roman" w:cs="Times New Roman"/>
          <w:sz w:val="16"/>
          <w:szCs w:val="16"/>
        </w:rPr>
        <w:footnoteRef/>
      </w:r>
      <w:r w:rsidRPr="005D14E2">
        <w:rPr>
          <w:rFonts w:ascii="Times New Roman" w:hAnsi="Times New Roman" w:cs="Times New Roman"/>
          <w:sz w:val="16"/>
          <w:szCs w:val="16"/>
        </w:rPr>
        <w:t xml:space="preserve"> Увоз електричне енергије је коинцидирао са рекордно високим берзанским ценама електричне енергије.</w:t>
      </w:r>
    </w:p>
  </w:footnote>
  <w:footnote w:id="88">
    <w:p w14:paraId="568227ED" w14:textId="77777777" w:rsidR="00815ACD" w:rsidRPr="005D14E2" w:rsidRDefault="00815ACD" w:rsidP="005D14E2">
      <w:pPr>
        <w:pStyle w:val="f1"/>
        <w:rPr>
          <w:rFonts w:ascii="Times New Roman" w:hAnsi="Times New Roman" w:cs="Times New Roman"/>
          <w:sz w:val="16"/>
          <w:szCs w:val="16"/>
          <w:lang w:val="sr-Cyrl-RS"/>
        </w:rPr>
      </w:pPr>
      <w:r w:rsidRPr="005D14E2">
        <w:rPr>
          <w:rFonts w:ascii="Times New Roman" w:hAnsi="Times New Roman" w:cs="Times New Roman"/>
          <w:sz w:val="16"/>
          <w:szCs w:val="16"/>
          <w:vertAlign w:val="superscript"/>
          <w:lang w:val="sr-Cyrl-RS"/>
        </w:rPr>
        <w:footnoteRef/>
      </w:r>
      <w:r w:rsidRPr="005D14E2">
        <w:rPr>
          <w:rFonts w:ascii="Times New Roman" w:hAnsi="Times New Roman" w:cs="Times New Roman"/>
          <w:sz w:val="16"/>
          <w:szCs w:val="16"/>
          <w:vertAlign w:val="superscript"/>
          <w:lang w:val="sr-Cyrl-RS"/>
        </w:rPr>
        <w:t xml:space="preserve"> </w:t>
      </w:r>
      <w:r w:rsidRPr="005D14E2">
        <w:rPr>
          <w:rFonts w:ascii="Times New Roman" w:hAnsi="Times New Roman" w:cs="Times New Roman"/>
          <w:sz w:val="16"/>
          <w:szCs w:val="16"/>
          <w:lang w:val="sr-Cyrl-RS"/>
        </w:rPr>
        <w:t xml:space="preserve">АЕРС, Извештај о раду агенције за енергетику за 2021. годину, </w:t>
      </w:r>
      <w:hyperlink r:id="rId35" w:history="1">
        <w:r w:rsidRPr="005D14E2">
          <w:rPr>
            <w:rFonts w:ascii="Times New Roman" w:hAnsi="Times New Roman" w:cs="Times New Roman"/>
            <w:color w:val="2E74B5" w:themeColor="accent1" w:themeShade="BF"/>
            <w:sz w:val="16"/>
            <w:szCs w:val="16"/>
            <w:u w:val="single"/>
            <w:lang w:val="sr-Cyrl-RS"/>
          </w:rPr>
          <w:t>https://www.aers.rs/Files/Izvestaji/Godisnji/Izvestaj%20Agencije%202021.pdf</w:t>
        </w:r>
      </w:hyperlink>
    </w:p>
  </w:footnote>
  <w:footnote w:id="89">
    <w:p w14:paraId="5A429633" w14:textId="6CED637C" w:rsidR="00815ACD" w:rsidRPr="005D14E2" w:rsidRDefault="00815ACD" w:rsidP="005D14E2">
      <w:pPr>
        <w:pStyle w:val="f1"/>
        <w:rPr>
          <w:rFonts w:ascii="Times New Roman" w:hAnsi="Times New Roman" w:cs="Times New Roman"/>
          <w:sz w:val="16"/>
          <w:szCs w:val="16"/>
          <w:lang w:val="sr-Cyrl-RS"/>
        </w:rPr>
      </w:pPr>
      <w:r w:rsidRPr="005D14E2">
        <w:rPr>
          <w:rStyle w:val="FootnoteReference"/>
          <w:rFonts w:ascii="Times New Roman" w:hAnsi="Times New Roman" w:cs="Times New Roman"/>
          <w:sz w:val="16"/>
          <w:szCs w:val="16"/>
        </w:rPr>
        <w:footnoteRef/>
      </w:r>
      <w:r w:rsidRPr="005D14E2">
        <w:rPr>
          <w:rFonts w:ascii="Times New Roman" w:hAnsi="Times New Roman" w:cs="Times New Roman"/>
          <w:sz w:val="16"/>
          <w:szCs w:val="16"/>
        </w:rPr>
        <w:t xml:space="preserve"> </w:t>
      </w:r>
      <w:r w:rsidRPr="005D14E2">
        <w:rPr>
          <w:rFonts w:ascii="Times New Roman" w:hAnsi="Times New Roman" w:cs="Times New Roman"/>
          <w:sz w:val="16"/>
          <w:szCs w:val="16"/>
          <w:lang w:val="sr-Cyrl-RS"/>
        </w:rPr>
        <w:t>М</w:t>
      </w:r>
      <w:r>
        <w:rPr>
          <w:rFonts w:ascii="Times New Roman" w:hAnsi="Times New Roman" w:cs="Times New Roman"/>
          <w:sz w:val="16"/>
          <w:szCs w:val="16"/>
          <w:lang w:val="sr-Cyrl-RS"/>
        </w:rPr>
        <w:t>инистарство рударства и енергетике</w:t>
      </w:r>
      <w:r w:rsidRPr="005D14E2">
        <w:rPr>
          <w:rFonts w:ascii="Times New Roman" w:hAnsi="Times New Roman" w:cs="Times New Roman"/>
          <w:sz w:val="16"/>
          <w:szCs w:val="16"/>
          <w:lang w:val="sr-Cyrl-RS"/>
        </w:rPr>
        <w:t xml:space="preserve">, </w:t>
      </w:r>
      <w:hyperlink r:id="rId36" w:history="1">
        <w:r w:rsidRPr="005D14E2">
          <w:rPr>
            <w:rStyle w:val="Hyperlink"/>
            <w:rFonts w:ascii="Times New Roman" w:hAnsi="Times New Roman" w:cs="Times New Roman"/>
            <w:sz w:val="16"/>
            <w:szCs w:val="16"/>
            <w:lang w:val="sr-Cyrl-RS"/>
          </w:rPr>
          <w:t>https://www.mre.gov.rs/aktuelnosti/saopstenja/mihajloviceva-regionalni-krizni-plan-i-strateske-rezerve-gasa-ce-doneti-stabilnost-srbiji-i-zemljama-regiona</w:t>
        </w:r>
      </w:hyperlink>
      <w:r w:rsidRPr="005D14E2">
        <w:rPr>
          <w:rFonts w:ascii="Times New Roman" w:hAnsi="Times New Roman" w:cs="Times New Roman"/>
          <w:sz w:val="16"/>
          <w:szCs w:val="16"/>
          <w:lang w:val="sr-Cyrl-RS"/>
        </w:rPr>
        <w:t xml:space="preserve"> </w:t>
      </w:r>
    </w:p>
  </w:footnote>
  <w:footnote w:id="90">
    <w:p w14:paraId="4788F9F8" w14:textId="47E88A72" w:rsidR="00815ACD" w:rsidRPr="005D14E2" w:rsidRDefault="00815ACD" w:rsidP="005D14E2">
      <w:pPr>
        <w:pStyle w:val="f1"/>
        <w:jc w:val="both"/>
        <w:rPr>
          <w:rFonts w:ascii="Times New Roman" w:hAnsi="Times New Roman" w:cs="Times New Roman"/>
          <w:sz w:val="16"/>
          <w:szCs w:val="16"/>
          <w:lang w:val="sr-Cyrl-RS"/>
        </w:rPr>
      </w:pPr>
      <w:r w:rsidRPr="005D14E2">
        <w:rPr>
          <w:rStyle w:val="FootnoteReference"/>
          <w:rFonts w:ascii="Times New Roman" w:hAnsi="Times New Roman" w:cs="Times New Roman"/>
          <w:sz w:val="16"/>
          <w:szCs w:val="16"/>
        </w:rPr>
        <w:footnoteRef/>
      </w:r>
      <w:r w:rsidRPr="005D14E2">
        <w:rPr>
          <w:rFonts w:ascii="Times New Roman" w:hAnsi="Times New Roman" w:cs="Times New Roman"/>
          <w:sz w:val="16"/>
          <w:szCs w:val="16"/>
        </w:rPr>
        <w:t xml:space="preserve"> Дугогодишње вођење политике неекономске цене електричне енергије, узрок је високе специфичне потрошње електричне енергије по друштвеном производу и нерационалног удела овог (скупог) вида енергије у задовољењу укупне финалне потрошње енергије у Републици Србији.</w:t>
      </w:r>
      <w:r w:rsidRPr="005D14E2">
        <w:rPr>
          <w:rFonts w:ascii="Times New Roman" w:hAnsi="Times New Roman" w:cs="Times New Roman"/>
          <w:sz w:val="16"/>
          <w:szCs w:val="16"/>
          <w:lang w:val="sr-Cyrl-RS"/>
        </w:rPr>
        <w:t xml:space="preserve"> ЈП ЕПС је електричну енергију продавао купцима са правом на гарантовано снабдевање по регулисаним ценама, које су најниже у региону, и далеко испод нивоа за покриће трошкова пословања. Цене за комерцијалне купце</w:t>
      </w:r>
      <w:r w:rsidRPr="00083329">
        <w:rPr>
          <w:lang w:val="sr-Cyrl-RS"/>
        </w:rPr>
        <w:t xml:space="preserve"> </w:t>
      </w:r>
      <w:r w:rsidRPr="005D14E2">
        <w:rPr>
          <w:rFonts w:ascii="Times New Roman" w:hAnsi="Times New Roman" w:cs="Times New Roman"/>
          <w:sz w:val="16"/>
          <w:szCs w:val="16"/>
          <w:lang w:val="sr-Cyrl-RS"/>
        </w:rPr>
        <w:t xml:space="preserve">су у складу са препорукама Владе ограничене, и далеко испод тржишних цена. Такође, ЈП ЕПС испоручује електричну енергију ЕДС и </w:t>
      </w:r>
      <w:r w:rsidRPr="006B5F21">
        <w:rPr>
          <w:rFonts w:ascii="Times New Roman" w:hAnsi="Times New Roman" w:cs="Times New Roman"/>
          <w:sz w:val="16"/>
          <w:szCs w:val="16"/>
          <w:lang w:val="sr-Cyrl-RS"/>
        </w:rPr>
        <w:t>АД „Електромрежа Србије”</w:t>
      </w:r>
      <w:r w:rsidRPr="005D14E2">
        <w:rPr>
          <w:rFonts w:ascii="Times New Roman" w:hAnsi="Times New Roman" w:cs="Times New Roman"/>
          <w:sz w:val="16"/>
          <w:szCs w:val="16"/>
          <w:lang w:val="sr-Cyrl-RS"/>
        </w:rPr>
        <w:t xml:space="preserve"> по ценама испод тржишних.</w:t>
      </w:r>
    </w:p>
  </w:footnote>
  <w:footnote w:id="91">
    <w:p w14:paraId="6CEA77F5" w14:textId="3F142077" w:rsidR="00815ACD" w:rsidRPr="005D14E2" w:rsidRDefault="00815ACD" w:rsidP="005D14E2">
      <w:pPr>
        <w:pStyle w:val="f1"/>
        <w:rPr>
          <w:rFonts w:ascii="Times New Roman" w:hAnsi="Times New Roman" w:cs="Times New Roman"/>
          <w:sz w:val="16"/>
          <w:szCs w:val="16"/>
          <w:lang w:val="sr-Cyrl-RS"/>
        </w:rPr>
      </w:pPr>
      <w:r w:rsidRPr="005D14E2">
        <w:rPr>
          <w:rStyle w:val="FootnoteReference"/>
          <w:rFonts w:ascii="Times New Roman" w:hAnsi="Times New Roman" w:cs="Times New Roman"/>
          <w:sz w:val="16"/>
          <w:szCs w:val="16"/>
        </w:rPr>
        <w:footnoteRef/>
      </w:r>
      <w:r w:rsidRPr="005D14E2">
        <w:rPr>
          <w:rFonts w:ascii="Times New Roman" w:hAnsi="Times New Roman" w:cs="Times New Roman"/>
          <w:sz w:val="16"/>
          <w:szCs w:val="16"/>
        </w:rPr>
        <w:t xml:space="preserve"> </w:t>
      </w:r>
      <w:r>
        <w:rPr>
          <w:rFonts w:ascii="Times New Roman" w:hAnsi="Times New Roman" w:cs="Times New Roman"/>
          <w:sz w:val="16"/>
          <w:szCs w:val="16"/>
          <w:lang w:val="sr-Latn-RS"/>
        </w:rPr>
        <w:t>EUROSTAT</w:t>
      </w:r>
      <w:r w:rsidRPr="005D14E2">
        <w:rPr>
          <w:rFonts w:ascii="Times New Roman" w:hAnsi="Times New Roman" w:cs="Times New Roman"/>
          <w:sz w:val="16"/>
          <w:szCs w:val="16"/>
          <w:lang w:val="sr-Cyrl-RS"/>
        </w:rPr>
        <w:t xml:space="preserve">, </w:t>
      </w:r>
      <w:hyperlink r:id="rId37" w:history="1">
        <w:r w:rsidRPr="005D14E2">
          <w:rPr>
            <w:rStyle w:val="Hyperlink"/>
            <w:rFonts w:ascii="Times New Roman" w:hAnsi="Times New Roman" w:cs="Times New Roman"/>
            <w:sz w:val="16"/>
            <w:szCs w:val="16"/>
            <w:lang w:val="sr-Cyrl-RS"/>
          </w:rPr>
          <w:t>https://ec.europa.eu/eurostat/databrowser/view/nrg_pc_204/default/table?lang=en</w:t>
        </w:r>
      </w:hyperlink>
      <w:r w:rsidRPr="005D14E2">
        <w:rPr>
          <w:rFonts w:ascii="Times New Roman" w:hAnsi="Times New Roman" w:cs="Times New Roman"/>
          <w:sz w:val="16"/>
          <w:szCs w:val="16"/>
          <w:lang w:val="sr-Cyrl-RS"/>
        </w:rPr>
        <w:t xml:space="preserve"> </w:t>
      </w:r>
    </w:p>
  </w:footnote>
  <w:footnote w:id="92">
    <w:p w14:paraId="7A08DC2D" w14:textId="77777777" w:rsidR="00815ACD" w:rsidRPr="005D14E2" w:rsidRDefault="00815ACD" w:rsidP="005D14E2">
      <w:pPr>
        <w:pStyle w:val="f1"/>
        <w:rPr>
          <w:rFonts w:ascii="Times New Roman" w:hAnsi="Times New Roman" w:cs="Times New Roman"/>
          <w:sz w:val="16"/>
          <w:szCs w:val="16"/>
          <w:lang w:val="sr-Cyrl-RS"/>
        </w:rPr>
      </w:pPr>
      <w:r w:rsidRPr="005D14E2">
        <w:rPr>
          <w:rStyle w:val="FootnoteReference"/>
          <w:rFonts w:ascii="Times New Roman" w:hAnsi="Times New Roman" w:cs="Times New Roman"/>
          <w:sz w:val="16"/>
          <w:szCs w:val="16"/>
        </w:rPr>
        <w:footnoteRef/>
      </w:r>
      <w:r w:rsidRPr="005D14E2">
        <w:rPr>
          <w:rFonts w:ascii="Times New Roman" w:hAnsi="Times New Roman" w:cs="Times New Roman"/>
          <w:sz w:val="16"/>
          <w:szCs w:val="16"/>
        </w:rPr>
        <w:t xml:space="preserve"> </w:t>
      </w:r>
      <w:r w:rsidRPr="005D14E2">
        <w:rPr>
          <w:rFonts w:ascii="Times New Roman" w:hAnsi="Times New Roman" w:cs="Times New Roman"/>
          <w:sz w:val="16"/>
          <w:szCs w:val="16"/>
          <w:lang w:val="sr-Cyrl-RS"/>
        </w:rPr>
        <w:t xml:space="preserve">АЕРС, Извештај о раду агенције за енергетику за 2021. годину, </w:t>
      </w:r>
      <w:hyperlink r:id="rId38" w:history="1">
        <w:r w:rsidRPr="005D14E2">
          <w:rPr>
            <w:rStyle w:val="Hyperlink"/>
            <w:rFonts w:ascii="Times New Roman" w:hAnsi="Times New Roman" w:cs="Times New Roman"/>
            <w:sz w:val="16"/>
            <w:szCs w:val="16"/>
            <w:lang w:val="sr-Cyrl-RS"/>
          </w:rPr>
          <w:t>https://www.aers.rs/Files/Izvestaji/Godisnji/Izvestaj%20Agencije%202021.pdf</w:t>
        </w:r>
      </w:hyperlink>
      <w:r w:rsidRPr="005D14E2">
        <w:rPr>
          <w:rFonts w:ascii="Times New Roman" w:hAnsi="Times New Roman" w:cs="Times New Roman"/>
          <w:sz w:val="16"/>
          <w:szCs w:val="16"/>
          <w:lang w:val="sr-Cyrl-RS"/>
        </w:rPr>
        <w:t xml:space="preserve"> </w:t>
      </w:r>
    </w:p>
  </w:footnote>
  <w:footnote w:id="93">
    <w:p w14:paraId="40F39306" w14:textId="77777777" w:rsidR="00815ACD" w:rsidRPr="005D14E2" w:rsidRDefault="00815ACD" w:rsidP="005D14E2">
      <w:pPr>
        <w:pStyle w:val="f1"/>
        <w:rPr>
          <w:rFonts w:ascii="Times New Roman" w:hAnsi="Times New Roman" w:cs="Times New Roman"/>
          <w:sz w:val="16"/>
          <w:szCs w:val="16"/>
          <w:lang w:val="sr-Cyrl-RS"/>
        </w:rPr>
      </w:pPr>
      <w:r w:rsidRPr="005D14E2">
        <w:rPr>
          <w:rStyle w:val="FootnoteReference"/>
          <w:rFonts w:ascii="Times New Roman" w:hAnsi="Times New Roman" w:cs="Times New Roman"/>
          <w:sz w:val="16"/>
          <w:szCs w:val="16"/>
        </w:rPr>
        <w:footnoteRef/>
      </w:r>
      <w:r w:rsidRPr="005D14E2">
        <w:rPr>
          <w:rFonts w:ascii="Times New Roman" w:hAnsi="Times New Roman" w:cs="Times New Roman"/>
          <w:sz w:val="16"/>
          <w:szCs w:val="16"/>
        </w:rPr>
        <w:t xml:space="preserve"> </w:t>
      </w:r>
      <w:r w:rsidRPr="005D14E2">
        <w:rPr>
          <w:rFonts w:ascii="Times New Roman" w:hAnsi="Times New Roman" w:cs="Times New Roman"/>
          <w:sz w:val="16"/>
          <w:szCs w:val="16"/>
          <w:lang w:val="sr-Cyrl-RS"/>
        </w:rPr>
        <w:t xml:space="preserve">АЕРС, Извештај о раду агенције за енергетику за 2021. годину, </w:t>
      </w:r>
      <w:hyperlink r:id="rId39" w:history="1">
        <w:r w:rsidRPr="005D14E2">
          <w:rPr>
            <w:rStyle w:val="Hyperlink"/>
            <w:rFonts w:ascii="Times New Roman" w:hAnsi="Times New Roman" w:cs="Times New Roman"/>
            <w:sz w:val="16"/>
            <w:szCs w:val="16"/>
            <w:lang w:val="sr-Cyrl-RS"/>
          </w:rPr>
          <w:t>https://www.aers.rs/Files/Izvestaji/Godisnji/Izvestaj%20Agencije%202021.pdf</w:t>
        </w:r>
      </w:hyperlink>
    </w:p>
  </w:footnote>
  <w:footnote w:id="94">
    <w:p w14:paraId="5B5C1D94" w14:textId="77777777" w:rsidR="00815ACD" w:rsidRPr="005D14E2" w:rsidRDefault="00815ACD" w:rsidP="005D14E2">
      <w:pPr>
        <w:pStyle w:val="f1"/>
        <w:rPr>
          <w:rFonts w:ascii="Times New Roman" w:hAnsi="Times New Roman" w:cs="Times New Roman"/>
          <w:sz w:val="16"/>
          <w:szCs w:val="16"/>
          <w:lang w:val="sr-Cyrl-RS"/>
        </w:rPr>
      </w:pPr>
      <w:r w:rsidRPr="005D14E2">
        <w:rPr>
          <w:rStyle w:val="FootnoteReference"/>
          <w:rFonts w:ascii="Times New Roman" w:hAnsi="Times New Roman" w:cs="Times New Roman"/>
          <w:sz w:val="16"/>
          <w:szCs w:val="16"/>
        </w:rPr>
        <w:footnoteRef/>
      </w:r>
      <w:r w:rsidRPr="005D14E2">
        <w:rPr>
          <w:rFonts w:ascii="Times New Roman" w:hAnsi="Times New Roman" w:cs="Times New Roman"/>
          <w:sz w:val="16"/>
          <w:szCs w:val="16"/>
        </w:rPr>
        <w:t xml:space="preserve"> </w:t>
      </w:r>
      <w:r w:rsidRPr="005D14E2">
        <w:rPr>
          <w:rFonts w:ascii="Times New Roman" w:hAnsi="Times New Roman" w:cs="Times New Roman"/>
          <w:sz w:val="16"/>
          <w:szCs w:val="16"/>
          <w:lang w:val="sr-Cyrl-RS"/>
        </w:rPr>
        <w:t xml:space="preserve">АЕРС, Извештај о раду агенције за енергетику за 2021. годину, </w:t>
      </w:r>
      <w:hyperlink r:id="rId40" w:history="1">
        <w:r w:rsidRPr="005D14E2">
          <w:rPr>
            <w:rStyle w:val="Hyperlink"/>
            <w:rFonts w:ascii="Times New Roman" w:hAnsi="Times New Roman" w:cs="Times New Roman"/>
            <w:sz w:val="16"/>
            <w:szCs w:val="16"/>
            <w:lang w:val="sr-Cyrl-RS"/>
          </w:rPr>
          <w:t>https://www.aers.rs/Files/Izvestaji/Godisnji/Izvestaj%20Agencije%202021.pdf</w:t>
        </w:r>
      </w:hyperlink>
      <w:r w:rsidRPr="005D14E2">
        <w:rPr>
          <w:rFonts w:ascii="Times New Roman" w:hAnsi="Times New Roman" w:cs="Times New Roman"/>
          <w:sz w:val="16"/>
          <w:szCs w:val="16"/>
          <w:lang w:val="sr-Cyrl-RS"/>
        </w:rPr>
        <w:t xml:space="preserve"> </w:t>
      </w:r>
    </w:p>
  </w:footnote>
  <w:footnote w:id="95">
    <w:p w14:paraId="63056D39" w14:textId="022E4209" w:rsidR="00815ACD" w:rsidRPr="00A37A7A" w:rsidRDefault="00815ACD" w:rsidP="001E32DF">
      <w:pPr>
        <w:pStyle w:val="f1"/>
        <w:jc w:val="both"/>
        <w:rPr>
          <w:rFonts w:ascii="Times New Roman" w:hAnsi="Times New Roman" w:cs="Times New Roman"/>
          <w:sz w:val="16"/>
          <w:szCs w:val="16"/>
          <w:lang w:val="sr-Cyrl-RS"/>
        </w:rPr>
      </w:pPr>
      <w:r w:rsidRPr="00A37A7A">
        <w:rPr>
          <w:rStyle w:val="FootnoteReference"/>
          <w:rFonts w:ascii="Times New Roman" w:hAnsi="Times New Roman" w:cs="Times New Roman"/>
          <w:sz w:val="16"/>
          <w:szCs w:val="16"/>
        </w:rPr>
        <w:footnoteRef/>
      </w:r>
      <w:r w:rsidRPr="00A37A7A">
        <w:rPr>
          <w:rFonts w:ascii="Times New Roman" w:hAnsi="Times New Roman" w:cs="Times New Roman"/>
          <w:sz w:val="16"/>
          <w:szCs w:val="16"/>
        </w:rPr>
        <w:t xml:space="preserve"> </w:t>
      </w:r>
      <w:r w:rsidRPr="00A37A7A">
        <w:rPr>
          <w:rFonts w:ascii="Times New Roman" w:hAnsi="Times New Roman" w:cs="Times New Roman"/>
          <w:sz w:val="16"/>
          <w:szCs w:val="16"/>
          <w:lang w:val="sr-Cyrl-RS"/>
        </w:rPr>
        <w:t>М</w:t>
      </w:r>
      <w:r>
        <w:rPr>
          <w:rFonts w:ascii="Times New Roman" w:hAnsi="Times New Roman" w:cs="Times New Roman"/>
          <w:sz w:val="16"/>
          <w:szCs w:val="16"/>
          <w:lang w:val="sr-Cyrl-RS"/>
        </w:rPr>
        <w:t>инистарство финансија</w:t>
      </w:r>
      <w:r w:rsidRPr="00A37A7A">
        <w:rPr>
          <w:rFonts w:ascii="Times New Roman" w:hAnsi="Times New Roman" w:cs="Times New Roman"/>
          <w:sz w:val="16"/>
          <w:szCs w:val="16"/>
          <w:lang w:val="sr-Cyrl-RS"/>
        </w:rPr>
        <w:t xml:space="preserve"> </w:t>
      </w:r>
      <w:hyperlink r:id="rId41" w:history="1">
        <w:r w:rsidRPr="00A37A7A">
          <w:rPr>
            <w:rStyle w:val="Hyperlink"/>
            <w:rFonts w:ascii="Times New Roman" w:hAnsi="Times New Roman" w:cs="Times New Roman"/>
            <w:sz w:val="16"/>
            <w:szCs w:val="16"/>
            <w:lang w:val="sr-Cyrl-RS"/>
          </w:rPr>
          <w:t>https://www.mfin.gov.rs/dokumenti2/makroekonomski-i-fiskalni-podaci</w:t>
        </w:r>
      </w:hyperlink>
    </w:p>
    <w:p w14:paraId="623C0C28" w14:textId="77777777" w:rsidR="00815ACD" w:rsidRPr="00A37A7A" w:rsidRDefault="00815ACD" w:rsidP="001E32DF">
      <w:pPr>
        <w:pStyle w:val="f1"/>
        <w:jc w:val="both"/>
        <w:rPr>
          <w:rFonts w:ascii="Times New Roman" w:hAnsi="Times New Roman" w:cs="Times New Roman"/>
          <w:sz w:val="16"/>
          <w:szCs w:val="16"/>
          <w:lang w:val="sr-Cyrl-RS"/>
        </w:rPr>
      </w:pPr>
      <w:r w:rsidRPr="00A37A7A">
        <w:rPr>
          <w:rFonts w:ascii="Times New Roman" w:hAnsi="Times New Roman" w:cs="Times New Roman"/>
          <w:sz w:val="16"/>
          <w:szCs w:val="16"/>
          <w:lang w:val="sr-Cyrl-RS"/>
        </w:rPr>
        <w:t>Табела 2. Примања и издаци буџета Републике Србије од 2008. до 2021. године, према Закону о буџету, 4. август 2021. године</w:t>
      </w:r>
    </w:p>
  </w:footnote>
  <w:footnote w:id="96">
    <w:p w14:paraId="34AB3C50" w14:textId="43A80DB7" w:rsidR="00815ACD" w:rsidRPr="00A37A7A" w:rsidRDefault="00815ACD" w:rsidP="001E32DF">
      <w:pPr>
        <w:pStyle w:val="f1"/>
        <w:jc w:val="both"/>
        <w:rPr>
          <w:rFonts w:ascii="Times New Roman" w:hAnsi="Times New Roman" w:cs="Times New Roman"/>
          <w:sz w:val="16"/>
          <w:szCs w:val="16"/>
          <w:lang w:val="sr-Cyrl-RS"/>
        </w:rPr>
      </w:pPr>
      <w:r w:rsidRPr="00A37A7A">
        <w:rPr>
          <w:rStyle w:val="FootnoteReference"/>
          <w:rFonts w:ascii="Times New Roman" w:hAnsi="Times New Roman" w:cs="Times New Roman"/>
          <w:sz w:val="16"/>
          <w:szCs w:val="16"/>
        </w:rPr>
        <w:footnoteRef/>
      </w:r>
      <w:r w:rsidRPr="00A37A7A">
        <w:rPr>
          <w:rFonts w:ascii="Times New Roman" w:hAnsi="Times New Roman" w:cs="Times New Roman"/>
          <w:sz w:val="16"/>
          <w:szCs w:val="16"/>
        </w:rPr>
        <w:t xml:space="preserve"> </w:t>
      </w:r>
      <w:r w:rsidRPr="00A37A7A">
        <w:rPr>
          <w:rFonts w:ascii="Times New Roman" w:hAnsi="Times New Roman" w:cs="Times New Roman"/>
          <w:sz w:val="16"/>
          <w:szCs w:val="16"/>
          <w:lang w:val="sr-Cyrl-RS"/>
        </w:rPr>
        <w:t>М</w:t>
      </w:r>
      <w:r>
        <w:rPr>
          <w:rFonts w:ascii="Times New Roman" w:hAnsi="Times New Roman" w:cs="Times New Roman"/>
          <w:sz w:val="16"/>
          <w:szCs w:val="16"/>
          <w:lang w:val="sr-Cyrl-RS"/>
        </w:rPr>
        <w:t>инистарство финансија</w:t>
      </w:r>
      <w:r w:rsidRPr="00A37A7A">
        <w:rPr>
          <w:rFonts w:ascii="Times New Roman" w:hAnsi="Times New Roman" w:cs="Times New Roman"/>
          <w:sz w:val="16"/>
          <w:szCs w:val="16"/>
          <w:lang w:val="sr-Cyrl-RS"/>
        </w:rPr>
        <w:t xml:space="preserve">, Извештај о реализацији програма реформе управљања јавним финансијама 2021-2025. за 2021. годину, </w:t>
      </w:r>
      <w:hyperlink r:id="rId42" w:history="1">
        <w:r w:rsidRPr="00A37A7A">
          <w:rPr>
            <w:rStyle w:val="Hyperlink"/>
            <w:rFonts w:ascii="Times New Roman" w:hAnsi="Times New Roman" w:cs="Times New Roman"/>
            <w:sz w:val="16"/>
            <w:szCs w:val="16"/>
            <w:lang w:val="sr-Cyrl-RS"/>
          </w:rPr>
          <w:t>https://www.mfin.gov.rs//upload/media/iSlSql_62612e2c1ea88.pdf</w:t>
        </w:r>
      </w:hyperlink>
      <w:r w:rsidRPr="00A37A7A">
        <w:rPr>
          <w:rFonts w:ascii="Times New Roman" w:hAnsi="Times New Roman" w:cs="Times New Roman"/>
          <w:sz w:val="16"/>
          <w:szCs w:val="16"/>
          <w:lang w:val="sr-Cyrl-RS"/>
        </w:rPr>
        <w:t xml:space="preserve"> </w:t>
      </w:r>
    </w:p>
  </w:footnote>
  <w:footnote w:id="97">
    <w:p w14:paraId="2835A47A" w14:textId="54D26AAC" w:rsidR="00815ACD" w:rsidRPr="00A37A7A" w:rsidRDefault="00815ACD" w:rsidP="00A37A7A">
      <w:pPr>
        <w:pStyle w:val="f1"/>
        <w:jc w:val="both"/>
        <w:rPr>
          <w:rFonts w:ascii="Times New Roman" w:hAnsi="Times New Roman" w:cs="Times New Roman"/>
          <w:sz w:val="16"/>
          <w:szCs w:val="16"/>
          <w:lang w:val="sr-Cyrl-RS"/>
        </w:rPr>
      </w:pPr>
      <w:r w:rsidRPr="00A37A7A">
        <w:rPr>
          <w:rStyle w:val="FootnoteReference"/>
          <w:rFonts w:ascii="Times New Roman" w:hAnsi="Times New Roman" w:cs="Times New Roman"/>
          <w:sz w:val="16"/>
          <w:szCs w:val="16"/>
        </w:rPr>
        <w:footnoteRef/>
      </w:r>
      <w:r w:rsidRPr="00A37A7A">
        <w:rPr>
          <w:rFonts w:ascii="Times New Roman" w:hAnsi="Times New Roman" w:cs="Times New Roman"/>
          <w:sz w:val="16"/>
          <w:szCs w:val="16"/>
        </w:rPr>
        <w:t xml:space="preserve"> Правилник о методологији за израду националног и локалног регистра извора загађивања, као и методологији за врсте, начине и рокове прикупљања података</w:t>
      </w:r>
      <w:r w:rsidRPr="00A37A7A">
        <w:rPr>
          <w:rFonts w:ascii="Times New Roman" w:hAnsi="Times New Roman" w:cs="Times New Roman"/>
          <w:sz w:val="16"/>
          <w:szCs w:val="16"/>
          <w:lang w:val="sr-Cyrl-RS"/>
        </w:rPr>
        <w:t xml:space="preserve"> </w:t>
      </w:r>
      <w:r>
        <w:rPr>
          <w:rFonts w:ascii="Times New Roman" w:hAnsi="Times New Roman" w:cs="Times New Roman"/>
          <w:sz w:val="16"/>
          <w:szCs w:val="16"/>
          <w:lang w:val="sr-Cyrl-RS"/>
        </w:rPr>
        <w:t>(„</w:t>
      </w:r>
      <w:r w:rsidRPr="00A37A7A">
        <w:rPr>
          <w:rFonts w:ascii="Times New Roman" w:hAnsi="Times New Roman" w:cs="Times New Roman"/>
          <w:sz w:val="16"/>
          <w:szCs w:val="16"/>
          <w:lang w:val="sr-Cyrl-RS"/>
        </w:rPr>
        <w:t>Службени гласник РС</w:t>
      </w:r>
      <w:r w:rsidRPr="009A621D">
        <w:rPr>
          <w:rFonts w:ascii="Times New Roman" w:hAnsi="Times New Roman" w:cs="Times New Roman"/>
          <w:sz w:val="16"/>
          <w:szCs w:val="16"/>
          <w:lang w:val="sr-Cyrl-RS"/>
        </w:rPr>
        <w:t>”</w:t>
      </w:r>
      <w:r>
        <w:rPr>
          <w:rFonts w:ascii="Times New Roman" w:hAnsi="Times New Roman" w:cs="Times New Roman"/>
          <w:sz w:val="16"/>
          <w:szCs w:val="16"/>
          <w:lang w:val="sr-Cyrl-RS"/>
        </w:rPr>
        <w:t xml:space="preserve">, </w:t>
      </w:r>
      <w:r w:rsidRPr="00A37A7A">
        <w:rPr>
          <w:rFonts w:ascii="Times New Roman" w:hAnsi="Times New Roman" w:cs="Times New Roman"/>
          <w:sz w:val="16"/>
          <w:szCs w:val="16"/>
          <w:lang w:val="sr-Cyrl-RS"/>
        </w:rPr>
        <w:t xml:space="preserve">број </w:t>
      </w:r>
      <w:r>
        <w:rPr>
          <w:rFonts w:ascii="Times New Roman" w:hAnsi="Times New Roman" w:cs="Times New Roman"/>
          <w:sz w:val="16"/>
          <w:szCs w:val="16"/>
          <w:lang w:val="sr-Cyrl-RS"/>
        </w:rPr>
        <w:t>91/10, 10/13 и 98</w:t>
      </w:r>
      <w:r w:rsidRPr="00A37A7A">
        <w:rPr>
          <w:rFonts w:ascii="Times New Roman" w:hAnsi="Times New Roman" w:cs="Times New Roman"/>
          <w:sz w:val="16"/>
          <w:szCs w:val="16"/>
          <w:lang w:val="sr-Cyrl-RS"/>
        </w:rPr>
        <w:t>/16</w:t>
      </w:r>
      <w:r>
        <w:rPr>
          <w:rFonts w:ascii="Times New Roman" w:hAnsi="Times New Roman" w:cs="Times New Roman"/>
          <w:sz w:val="16"/>
          <w:szCs w:val="16"/>
          <w:lang w:val="sr-Cyrl-RS"/>
        </w:rPr>
        <w:t>)</w:t>
      </w:r>
      <w:r w:rsidRPr="00A37A7A">
        <w:rPr>
          <w:rFonts w:ascii="Times New Roman" w:hAnsi="Times New Roman" w:cs="Times New Roman"/>
          <w:sz w:val="16"/>
          <w:szCs w:val="16"/>
          <w:lang w:val="sr-Cyrl-RS"/>
        </w:rPr>
        <w:t xml:space="preserve"> </w:t>
      </w:r>
      <w:hyperlink r:id="rId43" w:history="1">
        <w:r w:rsidRPr="00A37A7A">
          <w:rPr>
            <w:rStyle w:val="Hyperlink"/>
            <w:rFonts w:ascii="Times New Roman" w:hAnsi="Times New Roman" w:cs="Times New Roman"/>
            <w:sz w:val="16"/>
            <w:szCs w:val="16"/>
            <w:lang w:val="sr-Cyrl-RS"/>
          </w:rPr>
          <w:t>https://www.paragraf.rs/propisi/pravilnik-metodologiji-izradu-registra-izvora-zagadjivanja.html</w:t>
        </w:r>
      </w:hyperlink>
      <w:r w:rsidRPr="00A37A7A">
        <w:rPr>
          <w:rFonts w:ascii="Times New Roman" w:hAnsi="Times New Roman" w:cs="Times New Roman"/>
          <w:sz w:val="16"/>
          <w:szCs w:val="16"/>
          <w:lang w:val="sr-Cyrl-RS"/>
        </w:rPr>
        <w:t xml:space="preserve"> </w:t>
      </w:r>
    </w:p>
  </w:footnote>
  <w:footnote w:id="98">
    <w:p w14:paraId="2CF3A6E0" w14:textId="77777777" w:rsidR="00815ACD" w:rsidRPr="00A37A7A" w:rsidRDefault="00815ACD" w:rsidP="00A37A7A">
      <w:pPr>
        <w:pStyle w:val="f1"/>
        <w:jc w:val="both"/>
        <w:rPr>
          <w:rFonts w:ascii="Times New Roman" w:hAnsi="Times New Roman" w:cs="Times New Roman"/>
          <w:sz w:val="16"/>
          <w:szCs w:val="16"/>
          <w:lang w:val="sr-Cyrl-RS"/>
        </w:rPr>
      </w:pPr>
      <w:r w:rsidRPr="00A37A7A">
        <w:rPr>
          <w:rStyle w:val="FootnoteReference"/>
          <w:rFonts w:ascii="Times New Roman" w:hAnsi="Times New Roman" w:cs="Times New Roman"/>
          <w:sz w:val="16"/>
          <w:szCs w:val="16"/>
        </w:rPr>
        <w:footnoteRef/>
      </w:r>
      <w:r w:rsidRPr="00A37A7A">
        <w:rPr>
          <w:rFonts w:ascii="Times New Roman" w:hAnsi="Times New Roman" w:cs="Times New Roman"/>
          <w:sz w:val="16"/>
          <w:szCs w:val="16"/>
        </w:rPr>
        <w:t xml:space="preserve"> </w:t>
      </w:r>
      <w:r w:rsidRPr="00A37A7A">
        <w:rPr>
          <w:rFonts w:ascii="Times New Roman" w:hAnsi="Times New Roman" w:cs="Times New Roman"/>
          <w:sz w:val="16"/>
          <w:szCs w:val="16"/>
          <w:lang w:val="sr-Cyrl-RS"/>
        </w:rPr>
        <w:t xml:space="preserve">РЗС, Рачун емисије у ваздуху за 2020., </w:t>
      </w:r>
      <w:hyperlink r:id="rId44" w:history="1">
        <w:r w:rsidRPr="00A37A7A">
          <w:rPr>
            <w:rStyle w:val="Hyperlink"/>
            <w:rFonts w:ascii="Times New Roman" w:hAnsi="Times New Roman" w:cs="Times New Roman"/>
            <w:sz w:val="16"/>
            <w:szCs w:val="16"/>
          </w:rPr>
          <w:t>https://publikacije.stat.gov.rs/G2022/Html/G20221262.html</w:t>
        </w:r>
      </w:hyperlink>
      <w:r w:rsidRPr="00A37A7A">
        <w:rPr>
          <w:rFonts w:ascii="Times New Roman" w:hAnsi="Times New Roman" w:cs="Times New Roman"/>
          <w:sz w:val="16"/>
          <w:szCs w:val="16"/>
          <w:lang w:val="sr-Cyrl-RS"/>
        </w:rPr>
        <w:t xml:space="preserve">  </w:t>
      </w:r>
    </w:p>
  </w:footnote>
  <w:footnote w:id="99">
    <w:p w14:paraId="1A55AEF4" w14:textId="77777777" w:rsidR="00815ACD" w:rsidRPr="00A37A7A" w:rsidRDefault="00815ACD" w:rsidP="00A37A7A">
      <w:pPr>
        <w:pStyle w:val="f1"/>
        <w:jc w:val="both"/>
        <w:rPr>
          <w:rFonts w:ascii="Times New Roman" w:hAnsi="Times New Roman" w:cs="Times New Roman"/>
          <w:sz w:val="16"/>
          <w:szCs w:val="16"/>
          <w:lang w:val="sr-Cyrl-RS"/>
        </w:rPr>
      </w:pPr>
      <w:r w:rsidRPr="00A37A7A">
        <w:rPr>
          <w:rStyle w:val="FootnoteReference"/>
          <w:rFonts w:ascii="Times New Roman" w:hAnsi="Times New Roman" w:cs="Times New Roman"/>
          <w:sz w:val="16"/>
          <w:szCs w:val="16"/>
        </w:rPr>
        <w:footnoteRef/>
      </w:r>
      <w:r w:rsidRPr="00A37A7A">
        <w:rPr>
          <w:rFonts w:ascii="Times New Roman" w:hAnsi="Times New Roman" w:cs="Times New Roman"/>
          <w:sz w:val="16"/>
          <w:szCs w:val="16"/>
        </w:rPr>
        <w:t xml:space="preserve"> </w:t>
      </w:r>
      <w:r w:rsidRPr="00A37A7A">
        <w:rPr>
          <w:rFonts w:ascii="Times New Roman" w:hAnsi="Times New Roman" w:cs="Times New Roman"/>
          <w:sz w:val="16"/>
          <w:szCs w:val="16"/>
          <w:lang w:val="sr-Cyrl-RS"/>
        </w:rPr>
        <w:t xml:space="preserve">РЗС, Снабдевање питком водом и отпадне воде из насеља, 2021., </w:t>
      </w:r>
      <w:hyperlink r:id="rId45" w:history="1">
        <w:r w:rsidRPr="00A37A7A">
          <w:rPr>
            <w:rStyle w:val="Hyperlink"/>
            <w:rFonts w:ascii="Times New Roman" w:hAnsi="Times New Roman" w:cs="Times New Roman"/>
            <w:sz w:val="16"/>
            <w:szCs w:val="16"/>
            <w:lang w:val="sr-Cyrl-RS"/>
          </w:rPr>
          <w:t>https://publikacije.stat.gov.rs/G2022/Html/G20221129.html</w:t>
        </w:r>
      </w:hyperlink>
      <w:r w:rsidRPr="00A37A7A">
        <w:rPr>
          <w:rFonts w:ascii="Times New Roman" w:hAnsi="Times New Roman" w:cs="Times New Roman"/>
          <w:sz w:val="16"/>
          <w:szCs w:val="16"/>
          <w:lang w:val="sr-Cyrl-RS"/>
        </w:rPr>
        <w:t xml:space="preserve"> </w:t>
      </w:r>
    </w:p>
  </w:footnote>
  <w:footnote w:id="100">
    <w:p w14:paraId="6425765E" w14:textId="77777777" w:rsidR="00815ACD" w:rsidRPr="00A37A7A" w:rsidRDefault="00815ACD" w:rsidP="00A37A7A">
      <w:pPr>
        <w:pStyle w:val="f1"/>
        <w:jc w:val="both"/>
        <w:rPr>
          <w:rFonts w:ascii="Times New Roman" w:hAnsi="Times New Roman" w:cs="Times New Roman"/>
          <w:sz w:val="16"/>
          <w:szCs w:val="16"/>
          <w:lang w:val="sr-Cyrl-RS"/>
        </w:rPr>
      </w:pPr>
      <w:r w:rsidRPr="00A37A7A">
        <w:rPr>
          <w:rStyle w:val="FootnoteReference"/>
          <w:rFonts w:ascii="Times New Roman" w:hAnsi="Times New Roman" w:cs="Times New Roman"/>
          <w:sz w:val="16"/>
          <w:szCs w:val="16"/>
        </w:rPr>
        <w:footnoteRef/>
      </w:r>
      <w:r w:rsidRPr="00A37A7A">
        <w:rPr>
          <w:rFonts w:ascii="Times New Roman" w:hAnsi="Times New Roman" w:cs="Times New Roman"/>
          <w:sz w:val="16"/>
          <w:szCs w:val="16"/>
        </w:rPr>
        <w:t xml:space="preserve"> </w:t>
      </w:r>
      <w:r w:rsidRPr="00A37A7A">
        <w:rPr>
          <w:rFonts w:ascii="Times New Roman" w:hAnsi="Times New Roman" w:cs="Times New Roman"/>
          <w:sz w:val="16"/>
          <w:szCs w:val="16"/>
          <w:lang w:val="sr-Cyrl-RS"/>
        </w:rPr>
        <w:t xml:space="preserve">РЗС, Створени и третирани отпад, 2021., </w:t>
      </w:r>
      <w:hyperlink r:id="rId46" w:history="1">
        <w:r w:rsidRPr="00A37A7A">
          <w:rPr>
            <w:rStyle w:val="Hyperlink"/>
            <w:rFonts w:ascii="Times New Roman" w:hAnsi="Times New Roman" w:cs="Times New Roman"/>
            <w:sz w:val="16"/>
            <w:szCs w:val="16"/>
            <w:lang w:val="sr-Cyrl-RS"/>
          </w:rPr>
          <w:t>https://publikacije.stat.gov.rs/G2022/Html/G20221184.html</w:t>
        </w:r>
      </w:hyperlink>
      <w:r w:rsidRPr="00A37A7A">
        <w:rPr>
          <w:rFonts w:ascii="Times New Roman" w:hAnsi="Times New Roman" w:cs="Times New Roman"/>
          <w:sz w:val="16"/>
          <w:szCs w:val="16"/>
          <w:lang w:val="sr-Cyrl-RS"/>
        </w:rPr>
        <w:t xml:space="preserve"> </w:t>
      </w:r>
    </w:p>
  </w:footnote>
  <w:footnote w:id="101">
    <w:p w14:paraId="0C3AE90A" w14:textId="77777777" w:rsidR="00815ACD" w:rsidRPr="00A37A7A" w:rsidRDefault="00815ACD" w:rsidP="00A37A7A">
      <w:pPr>
        <w:pStyle w:val="f1"/>
        <w:jc w:val="both"/>
        <w:rPr>
          <w:rFonts w:ascii="Times New Roman" w:hAnsi="Times New Roman" w:cs="Times New Roman"/>
          <w:sz w:val="16"/>
          <w:szCs w:val="16"/>
          <w:lang w:val="sr-Latn-RS"/>
        </w:rPr>
      </w:pPr>
      <w:r w:rsidRPr="00A37A7A">
        <w:rPr>
          <w:rStyle w:val="FootnoteReference"/>
          <w:rFonts w:ascii="Times New Roman" w:hAnsi="Times New Roman" w:cs="Times New Roman"/>
          <w:sz w:val="16"/>
          <w:szCs w:val="16"/>
        </w:rPr>
        <w:footnoteRef/>
      </w:r>
      <w:r w:rsidRPr="00A37A7A">
        <w:rPr>
          <w:rFonts w:ascii="Times New Roman" w:hAnsi="Times New Roman" w:cs="Times New Roman"/>
          <w:sz w:val="16"/>
          <w:szCs w:val="16"/>
        </w:rPr>
        <w:t xml:space="preserve"> </w:t>
      </w:r>
      <w:r w:rsidRPr="00A37A7A">
        <w:rPr>
          <w:rFonts w:ascii="Times New Roman" w:hAnsi="Times New Roman" w:cs="Times New Roman"/>
          <w:sz w:val="16"/>
          <w:szCs w:val="16"/>
          <w:lang w:val="sr-Cyrl-RS"/>
        </w:rPr>
        <w:t>Eurostat</w:t>
      </w:r>
      <w:r w:rsidRPr="00A37A7A">
        <w:rPr>
          <w:rFonts w:ascii="Times New Roman" w:hAnsi="Times New Roman" w:cs="Times New Roman"/>
          <w:sz w:val="16"/>
          <w:szCs w:val="16"/>
          <w:lang w:val="sr-Latn-RS"/>
        </w:rPr>
        <w:t xml:space="preserve">, </w:t>
      </w:r>
      <w:hyperlink r:id="rId47" w:history="1">
        <w:r w:rsidRPr="00A37A7A">
          <w:rPr>
            <w:rStyle w:val="Hyperlink"/>
            <w:rFonts w:ascii="Times New Roman" w:hAnsi="Times New Roman" w:cs="Times New Roman"/>
            <w:sz w:val="16"/>
            <w:szCs w:val="16"/>
            <w:lang w:val="sr-Latn-RS"/>
          </w:rPr>
          <w:t>https://ec.europa.eu/eurostat/databrowser/view/cei_pc032/default/table?lang=en</w:t>
        </w:r>
      </w:hyperlink>
      <w:r w:rsidRPr="00A37A7A">
        <w:rPr>
          <w:rFonts w:ascii="Times New Roman" w:hAnsi="Times New Roman" w:cs="Times New Roman"/>
          <w:sz w:val="16"/>
          <w:szCs w:val="16"/>
          <w:lang w:val="sr-Latn-RS"/>
        </w:rPr>
        <w:t xml:space="preserve"> </w:t>
      </w:r>
    </w:p>
  </w:footnote>
  <w:footnote w:id="102">
    <w:p w14:paraId="4B0AE5E5" w14:textId="77777777" w:rsidR="00815ACD" w:rsidRPr="00A37A7A" w:rsidRDefault="00815ACD" w:rsidP="00A37A7A">
      <w:pPr>
        <w:pStyle w:val="f1"/>
        <w:jc w:val="both"/>
        <w:rPr>
          <w:rFonts w:ascii="Times New Roman" w:hAnsi="Times New Roman" w:cs="Times New Roman"/>
          <w:sz w:val="16"/>
          <w:szCs w:val="16"/>
          <w:lang w:val="sr-Cyrl-RS"/>
        </w:rPr>
      </w:pPr>
      <w:r w:rsidRPr="00A37A7A">
        <w:rPr>
          <w:rStyle w:val="FootnoteReference"/>
          <w:rFonts w:ascii="Times New Roman" w:hAnsi="Times New Roman" w:cs="Times New Roman"/>
          <w:sz w:val="16"/>
          <w:szCs w:val="16"/>
        </w:rPr>
        <w:footnoteRef/>
      </w:r>
      <w:r w:rsidRPr="00A37A7A">
        <w:rPr>
          <w:rFonts w:ascii="Times New Roman" w:hAnsi="Times New Roman" w:cs="Times New Roman"/>
          <w:sz w:val="16"/>
          <w:szCs w:val="16"/>
        </w:rPr>
        <w:t xml:space="preserve"> </w:t>
      </w:r>
      <w:r w:rsidRPr="00A37A7A">
        <w:rPr>
          <w:rFonts w:ascii="Times New Roman" w:hAnsi="Times New Roman" w:cs="Times New Roman"/>
          <w:sz w:val="16"/>
          <w:szCs w:val="16"/>
          <w:lang w:val="sr-Cyrl-RS"/>
        </w:rPr>
        <w:t xml:space="preserve">РЗС, Шумарство у Републици Србији, 2021. </w:t>
      </w:r>
      <w:hyperlink r:id="rId48" w:history="1">
        <w:r w:rsidRPr="00A37A7A">
          <w:rPr>
            <w:rStyle w:val="Hyperlink"/>
            <w:rFonts w:ascii="Times New Roman" w:hAnsi="Times New Roman" w:cs="Times New Roman"/>
            <w:sz w:val="16"/>
            <w:szCs w:val="16"/>
          </w:rPr>
          <w:t>https://publikacije.stat.gov.rs/G2022/Pdf/G20225684.pdf</w:t>
        </w:r>
      </w:hyperlink>
      <w:r w:rsidRPr="00A37A7A">
        <w:rPr>
          <w:rFonts w:ascii="Times New Roman" w:hAnsi="Times New Roman" w:cs="Times New Roman"/>
          <w:sz w:val="16"/>
          <w:szCs w:val="16"/>
          <w:lang w:val="sr-Cyrl-RS"/>
        </w:rPr>
        <w:t>; Истраживање о променама у површинама шума се спроводи у трогодишњој периодици.</w:t>
      </w:r>
    </w:p>
  </w:footnote>
  <w:footnote w:id="103">
    <w:p w14:paraId="7C22640B" w14:textId="77777777" w:rsidR="00815ACD" w:rsidRPr="00A37A7A" w:rsidRDefault="00815ACD" w:rsidP="00A37A7A">
      <w:pPr>
        <w:pStyle w:val="f1"/>
        <w:jc w:val="both"/>
        <w:rPr>
          <w:rFonts w:ascii="Times New Roman" w:hAnsi="Times New Roman" w:cs="Times New Roman"/>
          <w:sz w:val="16"/>
          <w:szCs w:val="16"/>
          <w:lang w:val="sr-Cyrl-RS"/>
        </w:rPr>
      </w:pPr>
      <w:r w:rsidRPr="00A37A7A">
        <w:rPr>
          <w:rStyle w:val="FootnoteReference"/>
          <w:rFonts w:ascii="Times New Roman" w:hAnsi="Times New Roman" w:cs="Times New Roman"/>
          <w:sz w:val="16"/>
          <w:szCs w:val="16"/>
        </w:rPr>
        <w:footnoteRef/>
      </w:r>
      <w:r w:rsidRPr="00A37A7A">
        <w:rPr>
          <w:rFonts w:ascii="Times New Roman" w:hAnsi="Times New Roman" w:cs="Times New Roman"/>
          <w:sz w:val="16"/>
          <w:szCs w:val="16"/>
        </w:rPr>
        <w:t xml:space="preserve"> </w:t>
      </w:r>
      <w:r w:rsidRPr="00A37A7A">
        <w:rPr>
          <w:rFonts w:ascii="Times New Roman" w:hAnsi="Times New Roman" w:cs="Times New Roman"/>
          <w:sz w:val="16"/>
          <w:szCs w:val="16"/>
          <w:lang w:val="sr-Cyrl-RS"/>
        </w:rPr>
        <w:t xml:space="preserve">РЗС, Подизање и гајење шума 2021., </w:t>
      </w:r>
      <w:hyperlink r:id="rId49" w:history="1">
        <w:r w:rsidRPr="00A37A7A">
          <w:rPr>
            <w:rStyle w:val="Hyperlink"/>
            <w:rFonts w:ascii="Times New Roman" w:hAnsi="Times New Roman" w:cs="Times New Roman"/>
            <w:sz w:val="16"/>
            <w:szCs w:val="16"/>
            <w:lang w:val="sr-Cyrl-RS"/>
          </w:rPr>
          <w:t>https://publikacije.stat.gov.rs/G2022/Pdf/G20221128.pdf</w:t>
        </w:r>
      </w:hyperlink>
      <w:r w:rsidRPr="00A37A7A">
        <w:rPr>
          <w:rFonts w:ascii="Times New Roman" w:hAnsi="Times New Roman" w:cs="Times New Roman"/>
          <w:sz w:val="16"/>
          <w:szCs w:val="16"/>
          <w:lang w:val="sr-Cyrl-RS"/>
        </w:rPr>
        <w:t xml:space="preserve"> </w:t>
      </w:r>
    </w:p>
  </w:footnote>
  <w:footnote w:id="104">
    <w:p w14:paraId="4E6502BD" w14:textId="77777777" w:rsidR="00815ACD" w:rsidRPr="00A37A7A" w:rsidRDefault="00815ACD" w:rsidP="00A37A7A">
      <w:pPr>
        <w:pStyle w:val="f1"/>
        <w:jc w:val="both"/>
        <w:rPr>
          <w:rFonts w:ascii="Times New Roman" w:hAnsi="Times New Roman" w:cs="Times New Roman"/>
          <w:sz w:val="16"/>
          <w:szCs w:val="16"/>
          <w:lang w:val="sr-Cyrl-RS"/>
        </w:rPr>
      </w:pPr>
      <w:r w:rsidRPr="00A37A7A">
        <w:rPr>
          <w:rStyle w:val="FootnoteReference"/>
          <w:rFonts w:ascii="Times New Roman" w:hAnsi="Times New Roman" w:cs="Times New Roman"/>
          <w:sz w:val="16"/>
          <w:szCs w:val="16"/>
        </w:rPr>
        <w:footnoteRef/>
      </w:r>
      <w:r w:rsidRPr="00A37A7A">
        <w:rPr>
          <w:rFonts w:ascii="Times New Roman" w:hAnsi="Times New Roman" w:cs="Times New Roman"/>
          <w:sz w:val="16"/>
          <w:szCs w:val="16"/>
        </w:rPr>
        <w:t xml:space="preserve"> </w:t>
      </w:r>
      <w:r w:rsidRPr="00A37A7A">
        <w:rPr>
          <w:rFonts w:ascii="Times New Roman" w:hAnsi="Times New Roman" w:cs="Times New Roman"/>
          <w:sz w:val="16"/>
          <w:szCs w:val="16"/>
          <w:lang w:val="sr-Cyrl-RS"/>
        </w:rPr>
        <w:t xml:space="preserve">РЗС, Рачун накнада у области животне средине, 2020., </w:t>
      </w:r>
      <w:hyperlink r:id="rId50" w:history="1">
        <w:r w:rsidRPr="00A37A7A">
          <w:rPr>
            <w:rStyle w:val="Hyperlink"/>
            <w:rFonts w:ascii="Times New Roman" w:hAnsi="Times New Roman" w:cs="Times New Roman"/>
            <w:sz w:val="16"/>
            <w:szCs w:val="16"/>
            <w:lang w:val="sr-Cyrl-RS"/>
          </w:rPr>
          <w:t>https://publikacije.stat.gov.rs/G2022/Pdf/G20221097.pdf</w:t>
        </w:r>
      </w:hyperlink>
      <w:r w:rsidRPr="00A37A7A">
        <w:rPr>
          <w:rFonts w:ascii="Times New Roman" w:hAnsi="Times New Roman" w:cs="Times New Roman"/>
          <w:sz w:val="16"/>
          <w:szCs w:val="16"/>
          <w:lang w:val="sr-Cyrl-RS"/>
        </w:rPr>
        <w:t xml:space="preserve"> </w:t>
      </w:r>
    </w:p>
  </w:footnote>
  <w:footnote w:id="105">
    <w:p w14:paraId="1426F989" w14:textId="77777777" w:rsidR="00815ACD" w:rsidRPr="00A37A7A" w:rsidRDefault="00815ACD" w:rsidP="00A37A7A">
      <w:pPr>
        <w:pStyle w:val="f1"/>
        <w:jc w:val="both"/>
        <w:rPr>
          <w:rFonts w:ascii="Times New Roman" w:hAnsi="Times New Roman" w:cs="Times New Roman"/>
          <w:sz w:val="16"/>
          <w:szCs w:val="16"/>
          <w:lang w:val="sr-Cyrl-RS"/>
        </w:rPr>
      </w:pPr>
      <w:r w:rsidRPr="00A37A7A">
        <w:rPr>
          <w:rStyle w:val="FootnoteReference"/>
          <w:rFonts w:ascii="Times New Roman" w:hAnsi="Times New Roman" w:cs="Times New Roman"/>
          <w:sz w:val="16"/>
          <w:szCs w:val="16"/>
        </w:rPr>
        <w:footnoteRef/>
      </w:r>
      <w:r w:rsidRPr="00A37A7A">
        <w:rPr>
          <w:rFonts w:ascii="Times New Roman" w:hAnsi="Times New Roman" w:cs="Times New Roman"/>
          <w:sz w:val="16"/>
          <w:szCs w:val="16"/>
        </w:rPr>
        <w:t xml:space="preserve"> </w:t>
      </w:r>
      <w:r w:rsidRPr="00A37A7A">
        <w:rPr>
          <w:rFonts w:ascii="Times New Roman" w:hAnsi="Times New Roman" w:cs="Times New Roman"/>
          <w:sz w:val="16"/>
          <w:szCs w:val="16"/>
          <w:lang w:val="sr-Cyrl-RS"/>
        </w:rPr>
        <w:t>РЗС, Трошкови заштите животне средине 202</w:t>
      </w:r>
      <w:r>
        <w:rPr>
          <w:rFonts w:ascii="Times New Roman" w:hAnsi="Times New Roman" w:cs="Times New Roman"/>
          <w:sz w:val="16"/>
          <w:szCs w:val="16"/>
          <w:lang w:val="sr-Cyrl-RS"/>
        </w:rPr>
        <w:t>1</w:t>
      </w:r>
      <w:r w:rsidRPr="00A37A7A">
        <w:rPr>
          <w:rFonts w:ascii="Times New Roman" w:hAnsi="Times New Roman" w:cs="Times New Roman"/>
          <w:sz w:val="16"/>
          <w:szCs w:val="16"/>
          <w:lang w:val="sr-Cyrl-RS"/>
        </w:rPr>
        <w:t xml:space="preserve">., </w:t>
      </w:r>
      <w:hyperlink r:id="rId51" w:history="1">
        <w:r w:rsidRPr="008E09DF">
          <w:rPr>
            <w:rStyle w:val="Hyperlink"/>
            <w:rFonts w:ascii="Times New Roman" w:hAnsi="Times New Roman" w:cs="Times New Roman"/>
            <w:sz w:val="16"/>
            <w:szCs w:val="16"/>
            <w:lang w:val="sr-Cyrl-RS"/>
          </w:rPr>
          <w:t>https://publikacije.stat.gov.rs/G2022/Pdf/G20221291.pdf</w:t>
        </w:r>
      </w:hyperlink>
      <w:r>
        <w:rPr>
          <w:rFonts w:ascii="Times New Roman" w:hAnsi="Times New Roman" w:cs="Times New Roman"/>
          <w:sz w:val="16"/>
          <w:szCs w:val="16"/>
          <w:lang w:val="sr-Cyrl-RS"/>
        </w:rPr>
        <w:t xml:space="preserve"> </w:t>
      </w:r>
    </w:p>
  </w:footnote>
  <w:footnote w:id="106">
    <w:p w14:paraId="363FAD53" w14:textId="2753307D" w:rsidR="00815ACD" w:rsidRPr="00554773" w:rsidRDefault="00815ACD" w:rsidP="00D210F0">
      <w:pPr>
        <w:pStyle w:val="f1"/>
        <w:jc w:val="both"/>
        <w:rPr>
          <w:rFonts w:ascii="Times New Roman" w:hAnsi="Times New Roman" w:cs="Times New Roman"/>
          <w:sz w:val="16"/>
          <w:szCs w:val="16"/>
          <w:lang w:val="sr-Cyrl-RS"/>
        </w:rPr>
      </w:pPr>
      <w:r w:rsidRPr="00554773">
        <w:rPr>
          <w:rStyle w:val="FootnoteReference"/>
          <w:rFonts w:ascii="Times New Roman" w:hAnsi="Times New Roman" w:cs="Times New Roman"/>
          <w:sz w:val="16"/>
          <w:szCs w:val="16"/>
          <w:lang w:val="sr-Cyrl-RS"/>
        </w:rPr>
        <w:footnoteRef/>
      </w:r>
      <w:r w:rsidRPr="00554773">
        <w:rPr>
          <w:rFonts w:ascii="Times New Roman" w:hAnsi="Times New Roman" w:cs="Times New Roman"/>
          <w:sz w:val="16"/>
          <w:szCs w:val="16"/>
          <w:lang w:val="sr-Cyrl-RS"/>
        </w:rPr>
        <w:t xml:space="preserve"> Извоз ИКТ услуга износио је: 611 милиона евра у 2015. (раст 25,5% мг), 740 милиона евра у 2016. (раст 21,1% мг), 899 милиона евра у 2017. (21,6% мг), 1,13 млрд. евра у 2018. (раст 26,2%) и 1,4 млрд. у 2019. (раст 25,4% мг). Извор: </w:t>
      </w:r>
      <w:r w:rsidRPr="001571AD">
        <w:rPr>
          <w:rFonts w:ascii="Times New Roman" w:hAnsi="Times New Roman" w:cs="Times New Roman"/>
          <w:sz w:val="16"/>
          <w:szCs w:val="16"/>
          <w:lang w:val="sr-Cyrl-RS"/>
        </w:rPr>
        <w:t>Народна банка Србије, Платни биланс Републике Србије</w:t>
      </w:r>
      <w:r w:rsidRPr="00554773">
        <w:rPr>
          <w:rFonts w:ascii="Times New Roman" w:hAnsi="Times New Roman" w:cs="Times New Roman"/>
          <w:sz w:val="16"/>
          <w:szCs w:val="16"/>
          <w:lang w:val="sr-Cyrl-RS"/>
        </w:rPr>
        <w:t>, шира шема; ставка „Услуге телекомуникација, компјутерске и информацијске услуге”</w:t>
      </w:r>
    </w:p>
  </w:footnote>
  <w:footnote w:id="107">
    <w:p w14:paraId="43E9179A" w14:textId="3B5AF461" w:rsidR="00815ACD" w:rsidRPr="00554773" w:rsidRDefault="00815ACD" w:rsidP="00D210F0">
      <w:pPr>
        <w:pStyle w:val="f1"/>
        <w:jc w:val="both"/>
        <w:rPr>
          <w:rFonts w:ascii="Times New Roman" w:hAnsi="Times New Roman" w:cs="Times New Roman"/>
          <w:sz w:val="16"/>
          <w:szCs w:val="16"/>
          <w:lang w:val="sr-Cyrl-RS"/>
        </w:rPr>
      </w:pPr>
      <w:r w:rsidRPr="00554773">
        <w:rPr>
          <w:rFonts w:ascii="Times New Roman" w:hAnsi="Times New Roman" w:cs="Times New Roman"/>
          <w:sz w:val="16"/>
          <w:szCs w:val="16"/>
          <w:vertAlign w:val="superscript"/>
          <w:lang w:val="sr-Cyrl-RS"/>
        </w:rPr>
        <w:footnoteRef/>
      </w:r>
      <w:r w:rsidRPr="00554773">
        <w:rPr>
          <w:rFonts w:ascii="Times New Roman" w:hAnsi="Times New Roman" w:cs="Times New Roman"/>
          <w:sz w:val="16"/>
          <w:szCs w:val="16"/>
          <w:lang w:val="sr-Cyrl-RS"/>
        </w:rPr>
        <w:t xml:space="preserve"> Извор: Н</w:t>
      </w:r>
      <w:r>
        <w:rPr>
          <w:rFonts w:ascii="Times New Roman" w:hAnsi="Times New Roman" w:cs="Times New Roman"/>
          <w:sz w:val="16"/>
          <w:szCs w:val="16"/>
          <w:lang w:val="sr-Cyrl-RS"/>
        </w:rPr>
        <w:t>ародна банка Србије</w:t>
      </w:r>
      <w:r w:rsidRPr="00554773">
        <w:rPr>
          <w:rFonts w:ascii="Times New Roman" w:hAnsi="Times New Roman" w:cs="Times New Roman"/>
          <w:sz w:val="16"/>
          <w:szCs w:val="16"/>
          <w:lang w:val="sr-Cyrl-RS"/>
        </w:rPr>
        <w:t>, Платни биланс Р</w:t>
      </w:r>
      <w:r>
        <w:rPr>
          <w:rFonts w:ascii="Times New Roman" w:hAnsi="Times New Roman" w:cs="Times New Roman"/>
          <w:sz w:val="16"/>
          <w:szCs w:val="16"/>
          <w:lang w:val="sr-Cyrl-RS"/>
        </w:rPr>
        <w:t>епублике Србије</w:t>
      </w:r>
      <w:r w:rsidRPr="00554773">
        <w:rPr>
          <w:rFonts w:ascii="Times New Roman" w:hAnsi="Times New Roman" w:cs="Times New Roman"/>
          <w:sz w:val="16"/>
          <w:szCs w:val="16"/>
          <w:lang w:val="sr-Cyrl-RS"/>
        </w:rPr>
        <w:t>, шира шема; ставка „Услуге телекомуникација, компјутерске и информацијске услуге”</w:t>
      </w:r>
    </w:p>
  </w:footnote>
  <w:footnote w:id="108">
    <w:p w14:paraId="603B4F9A" w14:textId="77777777" w:rsidR="00815ACD" w:rsidRPr="00554773" w:rsidRDefault="00815ACD" w:rsidP="00D210F0">
      <w:pPr>
        <w:pStyle w:val="f1"/>
        <w:jc w:val="both"/>
        <w:rPr>
          <w:rFonts w:ascii="Times New Roman" w:hAnsi="Times New Roman" w:cs="Times New Roman"/>
          <w:sz w:val="16"/>
          <w:szCs w:val="16"/>
          <w:lang w:val="sr-Cyrl-RS"/>
        </w:rPr>
      </w:pPr>
      <w:r w:rsidRPr="00554773">
        <w:rPr>
          <w:rFonts w:ascii="Times New Roman" w:hAnsi="Times New Roman" w:cs="Times New Roman"/>
          <w:sz w:val="16"/>
          <w:szCs w:val="16"/>
          <w:vertAlign w:val="superscript"/>
          <w:lang w:val="sr-Cyrl-RS"/>
        </w:rPr>
        <w:footnoteRef/>
      </w:r>
      <w:r w:rsidRPr="00554773">
        <w:rPr>
          <w:rFonts w:ascii="Times New Roman" w:hAnsi="Times New Roman" w:cs="Times New Roman"/>
          <w:sz w:val="16"/>
          <w:szCs w:val="16"/>
          <w:lang w:val="sr-Cyrl-RS"/>
        </w:rPr>
        <w:t xml:space="preserve"> Извор: РЗС, Регистрована запосленост, годишњи просек 2020; ставка Телекомуникације, Рачунарско програмирање и консултантске делатности, Информационе услужне делатности </w:t>
      </w:r>
      <w:hyperlink r:id="rId52" w:history="1">
        <w:r w:rsidRPr="00554773">
          <w:rPr>
            <w:rStyle w:val="Hyperlink1"/>
            <w:rFonts w:ascii="Times New Roman" w:hAnsi="Times New Roman" w:cs="Times New Roman"/>
            <w:sz w:val="16"/>
            <w:szCs w:val="16"/>
            <w:lang w:val="sr-Cyrl-RS"/>
          </w:rPr>
          <w:t>https://publikacije.stat.gov.rs/G2021/Pdf/G20211014.pdf</w:t>
        </w:r>
      </w:hyperlink>
      <w:r w:rsidRPr="00554773">
        <w:rPr>
          <w:rFonts w:ascii="Times New Roman" w:hAnsi="Times New Roman" w:cs="Times New Roman"/>
          <w:sz w:val="16"/>
          <w:szCs w:val="16"/>
          <w:lang w:val="sr-Cyrl-RS"/>
        </w:rPr>
        <w:t xml:space="preserve"> </w:t>
      </w:r>
    </w:p>
  </w:footnote>
  <w:footnote w:id="109">
    <w:p w14:paraId="5E69ACEC" w14:textId="77777777" w:rsidR="00815ACD" w:rsidRPr="00C644B0" w:rsidRDefault="00815ACD" w:rsidP="00D210F0">
      <w:pPr>
        <w:pStyle w:val="f1"/>
        <w:jc w:val="both"/>
        <w:rPr>
          <w:rFonts w:ascii="Times New Roman" w:hAnsi="Times New Roman" w:cs="Times New Roman"/>
          <w:sz w:val="16"/>
          <w:szCs w:val="16"/>
          <w:lang w:val="sr-Cyrl-RS"/>
        </w:rPr>
      </w:pPr>
      <w:r w:rsidRPr="00554773">
        <w:rPr>
          <w:rFonts w:ascii="Times New Roman" w:hAnsi="Times New Roman" w:cs="Times New Roman"/>
          <w:sz w:val="16"/>
          <w:szCs w:val="16"/>
          <w:vertAlign w:val="superscript"/>
          <w:lang w:val="sr-Cyrl-RS"/>
        </w:rPr>
        <w:footnoteRef/>
      </w:r>
      <w:r w:rsidRPr="00554773">
        <w:rPr>
          <w:rFonts w:ascii="Times New Roman" w:hAnsi="Times New Roman" w:cs="Times New Roman"/>
          <w:sz w:val="16"/>
          <w:szCs w:val="16"/>
          <w:lang w:val="sr-Cyrl-RS"/>
        </w:rPr>
        <w:t xml:space="preserve"> Network Readiness Index 2020, </w:t>
      </w:r>
      <w:hyperlink r:id="rId53" w:history="1">
        <w:r w:rsidRPr="002D4187">
          <w:rPr>
            <w:rStyle w:val="Hyperlink"/>
            <w:rFonts w:ascii="Times New Roman" w:hAnsi="Times New Roman" w:cs="Times New Roman"/>
            <w:sz w:val="16"/>
            <w:szCs w:val="16"/>
          </w:rPr>
          <w:t>https://networkreadinessindex.org/wp-content/uploads/reports/serbia.pdf</w:t>
        </w:r>
      </w:hyperlink>
      <w:r>
        <w:rPr>
          <w:rFonts w:ascii="Times New Roman" w:hAnsi="Times New Roman" w:cs="Times New Roman"/>
          <w:sz w:val="16"/>
          <w:szCs w:val="16"/>
          <w:lang w:val="sr-Cyrl-RS"/>
        </w:rPr>
        <w:t xml:space="preserve"> </w:t>
      </w:r>
    </w:p>
  </w:footnote>
  <w:footnote w:id="110">
    <w:p w14:paraId="171BBBBE" w14:textId="2B5DF58C" w:rsidR="00815ACD" w:rsidRPr="00554773" w:rsidRDefault="00815ACD" w:rsidP="00D210F0">
      <w:pPr>
        <w:pStyle w:val="f1"/>
        <w:jc w:val="both"/>
        <w:rPr>
          <w:rFonts w:ascii="Times New Roman" w:hAnsi="Times New Roman" w:cs="Times New Roman"/>
          <w:sz w:val="16"/>
          <w:szCs w:val="16"/>
          <w:lang w:val="sr-Cyrl-RS"/>
        </w:rPr>
      </w:pPr>
      <w:r w:rsidRPr="00554773">
        <w:rPr>
          <w:rStyle w:val="FootnoteReference"/>
          <w:rFonts w:ascii="Times New Roman" w:hAnsi="Times New Roman" w:cs="Times New Roman"/>
          <w:sz w:val="16"/>
          <w:szCs w:val="16"/>
          <w:lang w:val="sr-Cyrl-RS"/>
        </w:rPr>
        <w:footnoteRef/>
      </w:r>
      <w:r w:rsidRPr="00554773">
        <w:rPr>
          <w:rFonts w:ascii="Times New Roman" w:hAnsi="Times New Roman" w:cs="Times New Roman"/>
          <w:sz w:val="16"/>
          <w:szCs w:val="16"/>
          <w:lang w:val="sr-Cyrl-RS"/>
        </w:rPr>
        <w:t xml:space="preserve"> Закон</w:t>
      </w:r>
      <w:r>
        <w:rPr>
          <w:rFonts w:ascii="Times New Roman" w:hAnsi="Times New Roman" w:cs="Times New Roman"/>
          <w:sz w:val="16"/>
          <w:szCs w:val="16"/>
          <w:lang w:val="sr-Cyrl-RS"/>
        </w:rPr>
        <w:t xml:space="preserve"> о дигиталној имовини („Службени гласник РС</w:t>
      </w:r>
      <w:r w:rsidRPr="00815ACD">
        <w:rPr>
          <w:rFonts w:ascii="Times New Roman" w:hAnsi="Times New Roman" w:cs="Times New Roman"/>
          <w:sz w:val="16"/>
          <w:szCs w:val="16"/>
          <w:lang w:val="sr-Cyrl-RS"/>
        </w:rPr>
        <w:t>”</w:t>
      </w:r>
      <w:r>
        <w:rPr>
          <w:rFonts w:ascii="Times New Roman" w:hAnsi="Times New Roman" w:cs="Times New Roman"/>
          <w:sz w:val="16"/>
          <w:szCs w:val="16"/>
          <w:lang w:val="sr-Cyrl-RS"/>
        </w:rPr>
        <w:t>, број</w:t>
      </w:r>
      <w:r w:rsidRPr="00554773">
        <w:rPr>
          <w:rFonts w:ascii="Times New Roman" w:hAnsi="Times New Roman" w:cs="Times New Roman"/>
          <w:sz w:val="16"/>
          <w:szCs w:val="16"/>
          <w:lang w:val="sr-Cyrl-RS"/>
        </w:rPr>
        <w:t xml:space="preserve"> 153/20); Зaкoн o eлeктрoнскoм фaктурисaњу („Службени гласник РС</w:t>
      </w:r>
      <w:r w:rsidRPr="003C1DFF">
        <w:rPr>
          <w:rFonts w:ascii="Times New Roman" w:hAnsi="Times New Roman" w:cs="Times New Roman"/>
          <w:sz w:val="16"/>
          <w:szCs w:val="16"/>
          <w:lang w:val="sr-Cyrl-RS"/>
        </w:rPr>
        <w:t>”</w:t>
      </w:r>
      <w:r w:rsidRPr="00554773">
        <w:rPr>
          <w:rFonts w:ascii="Times New Roman" w:hAnsi="Times New Roman" w:cs="Times New Roman"/>
          <w:sz w:val="16"/>
          <w:szCs w:val="16"/>
          <w:lang w:val="sr-Cyrl-RS"/>
        </w:rPr>
        <w:t>, бр</w:t>
      </w:r>
      <w:r>
        <w:rPr>
          <w:rFonts w:ascii="Times New Roman" w:hAnsi="Times New Roman" w:cs="Times New Roman"/>
          <w:sz w:val="16"/>
          <w:szCs w:val="16"/>
          <w:lang w:val="sr-Cyrl-RS"/>
        </w:rPr>
        <w:t>.</w:t>
      </w:r>
      <w:r w:rsidRPr="00554773">
        <w:rPr>
          <w:rFonts w:ascii="Times New Roman" w:hAnsi="Times New Roman" w:cs="Times New Roman"/>
          <w:sz w:val="16"/>
          <w:szCs w:val="16"/>
          <w:lang w:val="sr-Cyrl-RS"/>
        </w:rPr>
        <w:t xml:space="preserve"> 44/21</w:t>
      </w:r>
      <w:r>
        <w:rPr>
          <w:rFonts w:ascii="Times New Roman" w:hAnsi="Times New Roman" w:cs="Times New Roman"/>
          <w:sz w:val="16"/>
          <w:szCs w:val="16"/>
          <w:lang w:val="sr-Cyrl-RS"/>
        </w:rPr>
        <w:t>,</w:t>
      </w:r>
      <w:r w:rsidRPr="00554773">
        <w:rPr>
          <w:rFonts w:ascii="Times New Roman" w:hAnsi="Times New Roman" w:cs="Times New Roman"/>
          <w:sz w:val="16"/>
          <w:szCs w:val="16"/>
          <w:lang w:val="sr-Cyrl-RS"/>
        </w:rPr>
        <w:t xml:space="preserve"> 129/21</w:t>
      </w:r>
      <w:r>
        <w:rPr>
          <w:rFonts w:ascii="Times New Roman" w:hAnsi="Times New Roman" w:cs="Times New Roman"/>
          <w:sz w:val="16"/>
          <w:szCs w:val="16"/>
          <w:lang w:val="sr-Cyrl-RS"/>
        </w:rPr>
        <w:t xml:space="preserve"> и 138/22</w:t>
      </w:r>
      <w:r w:rsidRPr="00554773">
        <w:rPr>
          <w:rFonts w:ascii="Times New Roman" w:hAnsi="Times New Roman" w:cs="Times New Roman"/>
          <w:sz w:val="16"/>
          <w:szCs w:val="16"/>
          <w:lang w:val="sr-Cyrl-RS"/>
        </w:rPr>
        <w:t>); Закон о изменама и допунама Закона о електронском документу, електронској идентификацији и услугама од поверења у е</w:t>
      </w:r>
      <w:r>
        <w:rPr>
          <w:rFonts w:ascii="Times New Roman" w:hAnsi="Times New Roman" w:cs="Times New Roman"/>
          <w:sz w:val="16"/>
          <w:szCs w:val="16"/>
          <w:lang w:val="sr-Cyrl-RS"/>
        </w:rPr>
        <w:t>лектронском пословању („Службени гласник РС</w:t>
      </w:r>
      <w:r w:rsidRPr="003C1DFF">
        <w:rPr>
          <w:rFonts w:ascii="Times New Roman" w:hAnsi="Times New Roman" w:cs="Times New Roman"/>
          <w:sz w:val="16"/>
          <w:szCs w:val="16"/>
          <w:lang w:val="sr-Cyrl-RS"/>
        </w:rPr>
        <w:t>”</w:t>
      </w:r>
      <w:r>
        <w:rPr>
          <w:rFonts w:ascii="Times New Roman" w:hAnsi="Times New Roman" w:cs="Times New Roman"/>
          <w:sz w:val="16"/>
          <w:szCs w:val="16"/>
          <w:lang w:val="sr-Cyrl-RS"/>
        </w:rPr>
        <w:t>, број</w:t>
      </w:r>
      <w:r w:rsidRPr="00554773">
        <w:rPr>
          <w:rFonts w:ascii="Times New Roman" w:hAnsi="Times New Roman" w:cs="Times New Roman"/>
          <w:sz w:val="16"/>
          <w:szCs w:val="16"/>
          <w:lang w:val="sr-Cyrl-RS"/>
        </w:rPr>
        <w:t xml:space="preserve"> 52/21)</w:t>
      </w:r>
    </w:p>
  </w:footnote>
  <w:footnote w:id="111">
    <w:p w14:paraId="1DFE31FB" w14:textId="1A58499C" w:rsidR="00815ACD" w:rsidRPr="00554773" w:rsidRDefault="00815ACD" w:rsidP="00D210F0">
      <w:pPr>
        <w:pStyle w:val="f1"/>
        <w:jc w:val="both"/>
        <w:rPr>
          <w:rFonts w:ascii="Times New Roman" w:hAnsi="Times New Roman" w:cs="Times New Roman"/>
          <w:sz w:val="16"/>
          <w:szCs w:val="16"/>
          <w:lang w:val="sr-Cyrl-RS"/>
        </w:rPr>
      </w:pPr>
      <w:r w:rsidRPr="00554773">
        <w:rPr>
          <w:rStyle w:val="FootnoteReference"/>
          <w:rFonts w:ascii="Times New Roman" w:hAnsi="Times New Roman" w:cs="Times New Roman"/>
          <w:sz w:val="16"/>
          <w:szCs w:val="16"/>
          <w:lang w:val="sr-Cyrl-RS"/>
        </w:rPr>
        <w:footnoteRef/>
      </w:r>
      <w:r w:rsidRPr="00554773">
        <w:rPr>
          <w:rFonts w:ascii="Times New Roman" w:hAnsi="Times New Roman" w:cs="Times New Roman"/>
          <w:sz w:val="16"/>
          <w:szCs w:val="16"/>
          <w:lang w:val="sr-Cyrl-RS"/>
        </w:rPr>
        <w:t xml:space="preserve"> Стратегија развоја дигиталних вештина у Републици Србији за период од </w:t>
      </w:r>
      <w:r>
        <w:rPr>
          <w:rFonts w:ascii="Times New Roman" w:hAnsi="Times New Roman" w:cs="Times New Roman"/>
          <w:sz w:val="16"/>
          <w:szCs w:val="16"/>
          <w:lang w:val="sr-Cyrl-RS"/>
        </w:rPr>
        <w:t>2020. до 2024. године („Службени гласник РС</w:t>
      </w:r>
      <w:r w:rsidRPr="003C1DFF">
        <w:rPr>
          <w:rFonts w:ascii="Times New Roman" w:hAnsi="Times New Roman" w:cs="Times New Roman"/>
          <w:sz w:val="16"/>
          <w:szCs w:val="16"/>
          <w:lang w:val="sr-Cyrl-RS"/>
        </w:rPr>
        <w:t>”</w:t>
      </w:r>
      <w:r>
        <w:rPr>
          <w:rFonts w:ascii="Times New Roman" w:hAnsi="Times New Roman" w:cs="Times New Roman"/>
          <w:sz w:val="16"/>
          <w:szCs w:val="16"/>
          <w:lang w:val="sr-Cyrl-RS"/>
        </w:rPr>
        <w:t>, број</w:t>
      </w:r>
      <w:r w:rsidRPr="00554773">
        <w:rPr>
          <w:rFonts w:ascii="Times New Roman" w:hAnsi="Times New Roman" w:cs="Times New Roman"/>
          <w:sz w:val="16"/>
          <w:szCs w:val="16"/>
          <w:lang w:val="sr-Cyrl-RS"/>
        </w:rPr>
        <w:t xml:space="preserve"> 21/20); Програм развоја електронске управе у Републици Србији за период од 2020. до 2022. године са Акционим планом</w:t>
      </w:r>
      <w:r>
        <w:rPr>
          <w:rFonts w:ascii="Times New Roman" w:hAnsi="Times New Roman" w:cs="Times New Roman"/>
          <w:sz w:val="16"/>
          <w:szCs w:val="16"/>
          <w:lang w:val="sr-Cyrl-RS"/>
        </w:rPr>
        <w:t xml:space="preserve"> за његово спровођење („Службени гласник РС</w:t>
      </w:r>
      <w:r w:rsidRPr="003C1DFF">
        <w:rPr>
          <w:rFonts w:ascii="Times New Roman" w:hAnsi="Times New Roman" w:cs="Times New Roman"/>
          <w:sz w:val="16"/>
          <w:szCs w:val="16"/>
          <w:lang w:val="sr-Cyrl-RS"/>
        </w:rPr>
        <w:t>”</w:t>
      </w:r>
      <w:r>
        <w:rPr>
          <w:rFonts w:ascii="Times New Roman" w:hAnsi="Times New Roman" w:cs="Times New Roman"/>
          <w:sz w:val="16"/>
          <w:szCs w:val="16"/>
          <w:lang w:val="sr-Cyrl-RS"/>
        </w:rPr>
        <w:t>, број</w:t>
      </w:r>
      <w:r w:rsidRPr="00554773">
        <w:rPr>
          <w:rFonts w:ascii="Times New Roman" w:hAnsi="Times New Roman" w:cs="Times New Roman"/>
          <w:sz w:val="16"/>
          <w:szCs w:val="16"/>
          <w:lang w:val="sr-Cyrl-RS"/>
        </w:rPr>
        <w:t xml:space="preserve"> 85/20); Стратегија развоја информационог друштва и информационе безбедности у Републици Србији за период од </w:t>
      </w:r>
      <w:r>
        <w:rPr>
          <w:rFonts w:ascii="Times New Roman" w:hAnsi="Times New Roman" w:cs="Times New Roman"/>
          <w:sz w:val="16"/>
          <w:szCs w:val="16"/>
          <w:lang w:val="sr-Cyrl-RS"/>
        </w:rPr>
        <w:t>2021. до 2026. године („Службени гласник РС</w:t>
      </w:r>
      <w:r w:rsidRPr="003C1DFF">
        <w:rPr>
          <w:rFonts w:ascii="Times New Roman" w:hAnsi="Times New Roman" w:cs="Times New Roman"/>
          <w:sz w:val="16"/>
          <w:szCs w:val="16"/>
          <w:lang w:val="sr-Cyrl-RS"/>
        </w:rPr>
        <w:t>”</w:t>
      </w:r>
      <w:r>
        <w:rPr>
          <w:rFonts w:ascii="Times New Roman" w:hAnsi="Times New Roman" w:cs="Times New Roman"/>
          <w:sz w:val="16"/>
          <w:szCs w:val="16"/>
          <w:lang w:val="sr-Cyrl-RS"/>
        </w:rPr>
        <w:t>, број</w:t>
      </w:r>
      <w:r w:rsidRPr="00554773">
        <w:rPr>
          <w:rFonts w:ascii="Times New Roman" w:hAnsi="Times New Roman" w:cs="Times New Roman"/>
          <w:sz w:val="16"/>
          <w:szCs w:val="16"/>
          <w:lang w:val="sr-Cyrl-RS"/>
        </w:rPr>
        <w:t xml:space="preserve"> 86/21) са Акционим планом за период од 2021. до 2023. године за њено спровођење.</w:t>
      </w:r>
    </w:p>
  </w:footnote>
  <w:footnote w:id="112">
    <w:p w14:paraId="3BD02860" w14:textId="77777777" w:rsidR="00815ACD" w:rsidRPr="00A37A7A" w:rsidRDefault="00815ACD" w:rsidP="00A37A7A">
      <w:pPr>
        <w:pStyle w:val="f1"/>
        <w:jc w:val="both"/>
        <w:rPr>
          <w:rFonts w:ascii="Times New Roman" w:hAnsi="Times New Roman" w:cs="Times New Roman"/>
          <w:sz w:val="16"/>
          <w:szCs w:val="16"/>
          <w:lang w:val="sr-Cyrl-RS"/>
        </w:rPr>
      </w:pPr>
      <w:r w:rsidRPr="00A37A7A">
        <w:rPr>
          <w:rStyle w:val="FootnoteReference"/>
          <w:rFonts w:ascii="Times New Roman" w:hAnsi="Times New Roman" w:cs="Times New Roman"/>
          <w:sz w:val="16"/>
          <w:szCs w:val="16"/>
        </w:rPr>
        <w:footnoteRef/>
      </w:r>
      <w:r w:rsidRPr="00A37A7A">
        <w:rPr>
          <w:rFonts w:ascii="Times New Roman" w:hAnsi="Times New Roman" w:cs="Times New Roman"/>
          <w:sz w:val="16"/>
          <w:szCs w:val="16"/>
        </w:rPr>
        <w:t xml:space="preserve"> </w:t>
      </w:r>
      <w:r w:rsidRPr="00A37A7A">
        <w:rPr>
          <w:rFonts w:ascii="Times New Roman" w:hAnsi="Times New Roman" w:cs="Times New Roman"/>
          <w:sz w:val="16"/>
          <w:szCs w:val="16"/>
          <w:lang w:val="sr-Cyrl-RS"/>
        </w:rPr>
        <w:t>Извор: И</w:t>
      </w:r>
      <w:r w:rsidRPr="00A37A7A">
        <w:rPr>
          <w:rFonts w:ascii="Times New Roman" w:hAnsi="Times New Roman" w:cs="Times New Roman"/>
          <w:sz w:val="16"/>
          <w:szCs w:val="16"/>
        </w:rPr>
        <w:t>звештаја Уједињених нација - United Nations eGovernment Survey 2022</w:t>
      </w:r>
    </w:p>
  </w:footnote>
  <w:footnote w:id="113">
    <w:p w14:paraId="3BA9BB93" w14:textId="77777777" w:rsidR="00815ACD" w:rsidRPr="00A37A7A" w:rsidRDefault="00815ACD" w:rsidP="00D210F0">
      <w:pPr>
        <w:pStyle w:val="f1"/>
        <w:rPr>
          <w:rFonts w:ascii="Times New Roman" w:hAnsi="Times New Roman" w:cs="Times New Roman"/>
          <w:sz w:val="16"/>
          <w:szCs w:val="16"/>
          <w:lang w:val="sr-Cyrl-RS"/>
        </w:rPr>
      </w:pPr>
      <w:r w:rsidRPr="00A37A7A">
        <w:rPr>
          <w:rStyle w:val="FootnoteReference"/>
          <w:rFonts w:ascii="Times New Roman" w:hAnsi="Times New Roman" w:cs="Times New Roman"/>
          <w:sz w:val="16"/>
          <w:szCs w:val="16"/>
          <w:lang w:val="sr-Cyrl-RS"/>
        </w:rPr>
        <w:footnoteRef/>
      </w:r>
      <w:r w:rsidRPr="00A37A7A">
        <w:rPr>
          <w:rFonts w:ascii="Times New Roman" w:hAnsi="Times New Roman" w:cs="Times New Roman"/>
          <w:sz w:val="16"/>
          <w:szCs w:val="16"/>
          <w:lang w:val="sr-Cyrl-RS"/>
        </w:rPr>
        <w:t xml:space="preserve"> Програм вредан 5 милиона евра спроводи НАЛЕД у сарадњи са Владом Републике Србије и уз подршку компаније Philip Morris International.</w:t>
      </w:r>
    </w:p>
  </w:footnote>
  <w:footnote w:id="114">
    <w:p w14:paraId="798DC1ED" w14:textId="77777777" w:rsidR="00815ACD" w:rsidRPr="00A37A7A" w:rsidRDefault="00815ACD" w:rsidP="00D210F0">
      <w:pPr>
        <w:spacing w:after="0"/>
        <w:rPr>
          <w:rFonts w:cs="Times New Roman"/>
          <w:sz w:val="16"/>
          <w:szCs w:val="16"/>
          <w:lang w:val="sr-Cyrl-RS"/>
        </w:rPr>
      </w:pPr>
      <w:r w:rsidRPr="00A37A7A">
        <w:rPr>
          <w:rStyle w:val="FootnoteReference"/>
          <w:rFonts w:cs="Times New Roman"/>
          <w:sz w:val="16"/>
          <w:szCs w:val="16"/>
        </w:rPr>
        <w:footnoteRef/>
      </w:r>
      <w:r w:rsidRPr="00A37A7A">
        <w:rPr>
          <w:rFonts w:cs="Times New Roman"/>
          <w:sz w:val="16"/>
          <w:szCs w:val="16"/>
        </w:rPr>
        <w:t xml:space="preserve"> </w:t>
      </w:r>
      <w:r w:rsidRPr="00A37A7A">
        <w:rPr>
          <w:rFonts w:cs="Times New Roman"/>
          <w:sz w:val="16"/>
          <w:szCs w:val="16"/>
          <w:lang w:val="sr-Cyrl-RS"/>
        </w:rPr>
        <w:t xml:space="preserve">Извор: НАЛЕД </w:t>
      </w:r>
      <w:hyperlink r:id="rId54" w:history="1">
        <w:r w:rsidRPr="00A37A7A">
          <w:rPr>
            <w:rStyle w:val="Hyperlink1"/>
            <w:rFonts w:cs="Times New Roman"/>
            <w:sz w:val="16"/>
            <w:szCs w:val="16"/>
          </w:rPr>
          <w:t>https://naled.rs/projekti-startech-program-podrske-za-inovaciju-i-transformaciju-malih-i-srednjih-preduzeca-4697</w:t>
        </w:r>
      </w:hyperlink>
      <w:r w:rsidRPr="00A37A7A">
        <w:rPr>
          <w:rStyle w:val="Hyperlink1"/>
          <w:rFonts w:cs="Times New Roman"/>
          <w:sz w:val="16"/>
          <w:szCs w:val="16"/>
          <w:lang w:val="sr-Cyrl-RS"/>
        </w:rPr>
        <w:t xml:space="preserve"> </w:t>
      </w:r>
    </w:p>
  </w:footnote>
  <w:footnote w:id="115">
    <w:p w14:paraId="4E55A4E5" w14:textId="77777777" w:rsidR="00815ACD" w:rsidRPr="00A37A7A" w:rsidRDefault="00815ACD" w:rsidP="00A37A7A">
      <w:pPr>
        <w:pStyle w:val="f1"/>
        <w:jc w:val="both"/>
        <w:rPr>
          <w:rFonts w:ascii="Times New Roman" w:hAnsi="Times New Roman" w:cs="Times New Roman"/>
          <w:sz w:val="16"/>
          <w:szCs w:val="16"/>
          <w:lang w:val="sr-Cyrl-RS"/>
        </w:rPr>
      </w:pPr>
      <w:r w:rsidRPr="00A37A7A">
        <w:rPr>
          <w:rStyle w:val="FootnoteReference"/>
          <w:rFonts w:ascii="Times New Roman" w:hAnsi="Times New Roman" w:cs="Times New Roman"/>
          <w:sz w:val="16"/>
          <w:szCs w:val="16"/>
        </w:rPr>
        <w:footnoteRef/>
      </w:r>
      <w:r w:rsidRPr="00A37A7A">
        <w:rPr>
          <w:rFonts w:ascii="Times New Roman" w:hAnsi="Times New Roman" w:cs="Times New Roman"/>
          <w:sz w:val="16"/>
          <w:szCs w:val="16"/>
        </w:rPr>
        <w:t xml:space="preserve"> У оквиру јавног позива предвиђена су три сегмента: Подршка стартаповима са иновативним идејама; Подршка малим и средњим бизнисима за развој иновација и/или дигиталну трансформацију и Подршка малим и средњим бизнисима за развој иновација или дигиталну трансформацију, са циљем извоза или повећања радних места.</w:t>
      </w:r>
    </w:p>
  </w:footnote>
  <w:footnote w:id="116">
    <w:p w14:paraId="46A3D283" w14:textId="77777777" w:rsidR="00815ACD" w:rsidRPr="00A37A7A" w:rsidRDefault="00815ACD" w:rsidP="00D210F0">
      <w:pPr>
        <w:pStyle w:val="f1"/>
        <w:rPr>
          <w:rFonts w:ascii="Times New Roman" w:hAnsi="Times New Roman" w:cs="Times New Roman"/>
          <w:sz w:val="16"/>
          <w:szCs w:val="16"/>
          <w:lang w:val="sr-Cyrl-RS"/>
        </w:rPr>
      </w:pPr>
      <w:r w:rsidRPr="00A37A7A">
        <w:rPr>
          <w:rStyle w:val="FootnoteReference"/>
          <w:rFonts w:ascii="Times New Roman" w:hAnsi="Times New Roman" w:cs="Times New Roman"/>
          <w:sz w:val="16"/>
          <w:szCs w:val="16"/>
        </w:rPr>
        <w:footnoteRef/>
      </w:r>
      <w:r w:rsidRPr="00A37A7A">
        <w:rPr>
          <w:rFonts w:ascii="Times New Roman" w:hAnsi="Times New Roman" w:cs="Times New Roman"/>
          <w:sz w:val="16"/>
          <w:szCs w:val="16"/>
        </w:rPr>
        <w:t xml:space="preserve"> </w:t>
      </w:r>
      <w:hyperlink r:id="rId55" w:history="1">
        <w:r w:rsidRPr="00A37A7A">
          <w:rPr>
            <w:rStyle w:val="Hyperlink"/>
            <w:rFonts w:ascii="Times New Roman" w:hAnsi="Times New Roman" w:cs="Times New Roman"/>
            <w:sz w:val="16"/>
            <w:szCs w:val="16"/>
          </w:rPr>
          <w:t>https://www.startech.org.rs/konkurs2022</w:t>
        </w:r>
      </w:hyperlink>
      <w:r w:rsidRPr="00A37A7A">
        <w:rPr>
          <w:rFonts w:ascii="Times New Roman" w:hAnsi="Times New Roman" w:cs="Times New Roman"/>
          <w:sz w:val="16"/>
          <w:szCs w:val="16"/>
          <w:lang w:val="sr-Cyrl-RS"/>
        </w:rPr>
        <w:t xml:space="preserve"> </w:t>
      </w:r>
    </w:p>
  </w:footnote>
  <w:footnote w:id="117">
    <w:p w14:paraId="15CFC5F5" w14:textId="77777777" w:rsidR="00815ACD" w:rsidRPr="00A37A7A" w:rsidRDefault="00815ACD" w:rsidP="00A37A7A">
      <w:pPr>
        <w:pStyle w:val="f1"/>
        <w:rPr>
          <w:rFonts w:ascii="Times New Roman" w:hAnsi="Times New Roman" w:cs="Times New Roman"/>
          <w:sz w:val="16"/>
          <w:szCs w:val="16"/>
          <w:lang w:val="en-US"/>
        </w:rPr>
      </w:pPr>
      <w:r w:rsidRPr="00A37A7A">
        <w:rPr>
          <w:rStyle w:val="FootnoteReference"/>
          <w:rFonts w:ascii="Times New Roman" w:hAnsi="Times New Roman" w:cs="Times New Roman"/>
          <w:sz w:val="16"/>
          <w:szCs w:val="16"/>
        </w:rPr>
        <w:footnoteRef/>
      </w:r>
      <w:r w:rsidRPr="00A37A7A">
        <w:rPr>
          <w:rFonts w:ascii="Times New Roman" w:hAnsi="Times New Roman" w:cs="Times New Roman"/>
          <w:sz w:val="16"/>
          <w:szCs w:val="16"/>
        </w:rPr>
        <w:t xml:space="preserve"> Public Administration Awards 2022</w:t>
      </w:r>
    </w:p>
  </w:footnote>
  <w:footnote w:id="118">
    <w:p w14:paraId="5EE9FDBA" w14:textId="3F6EA272" w:rsidR="00815ACD" w:rsidRPr="00B57FE8" w:rsidRDefault="00815ACD" w:rsidP="00B57FE8">
      <w:pPr>
        <w:pStyle w:val="FootnoteText"/>
        <w:spacing w:after="0"/>
        <w:ind w:firstLine="0"/>
        <w:rPr>
          <w:rFonts w:ascii="Times New Roman" w:hAnsi="Times New Roman" w:cs="Times New Roman"/>
          <w:color w:val="auto"/>
          <w:sz w:val="16"/>
          <w:szCs w:val="16"/>
          <w:lang w:val="sr-Cyrl-RS"/>
        </w:rPr>
      </w:pPr>
      <w:r w:rsidRPr="00B57FE8">
        <w:rPr>
          <w:rStyle w:val="FootnoteReference"/>
          <w:rFonts w:ascii="Times New Roman" w:hAnsi="Times New Roman" w:cs="Times New Roman"/>
          <w:color w:val="auto"/>
          <w:sz w:val="16"/>
          <w:szCs w:val="16"/>
        </w:rPr>
        <w:footnoteRef/>
      </w:r>
      <w:r w:rsidRPr="00B57FE8">
        <w:rPr>
          <w:rFonts w:ascii="Times New Roman" w:hAnsi="Times New Roman" w:cs="Times New Roman"/>
          <w:color w:val="auto"/>
          <w:sz w:val="16"/>
          <w:szCs w:val="16"/>
        </w:rPr>
        <w:t xml:space="preserve"> </w:t>
      </w:r>
      <w:r w:rsidRPr="00B57FE8">
        <w:rPr>
          <w:rFonts w:ascii="Times New Roman" w:hAnsi="Times New Roman" w:cs="Times New Roman"/>
          <w:color w:val="auto"/>
          <w:sz w:val="16"/>
          <w:szCs w:val="16"/>
          <w:lang w:val="sr-Cyrl-RS"/>
        </w:rPr>
        <w:t>И</w:t>
      </w:r>
      <w:r w:rsidRPr="00B57FE8">
        <w:rPr>
          <w:rFonts w:ascii="Times New Roman" w:hAnsi="Times New Roman" w:cs="Times New Roman"/>
          <w:color w:val="auto"/>
          <w:sz w:val="16"/>
          <w:szCs w:val="16"/>
        </w:rPr>
        <w:t xml:space="preserve">нструмент Европске комисије који се бави компаративном проценом иновативности у земљама чланицама Европске уније и неколико других држава, укључујући и </w:t>
      </w:r>
      <w:r>
        <w:rPr>
          <w:rFonts w:ascii="Times New Roman" w:hAnsi="Times New Roman" w:cs="Times New Roman"/>
          <w:color w:val="auto"/>
          <w:sz w:val="16"/>
          <w:szCs w:val="16"/>
          <w:lang w:val="sr-Cyrl-RS"/>
        </w:rPr>
        <w:t xml:space="preserve">Републику </w:t>
      </w:r>
      <w:r w:rsidRPr="00B57FE8">
        <w:rPr>
          <w:rFonts w:ascii="Times New Roman" w:hAnsi="Times New Roman" w:cs="Times New Roman"/>
          <w:color w:val="auto"/>
          <w:sz w:val="16"/>
          <w:szCs w:val="16"/>
        </w:rPr>
        <w:t>Србију. Анализирају с</w:t>
      </w:r>
      <w:r w:rsidRPr="00B57FE8">
        <w:rPr>
          <w:rFonts w:ascii="Times New Roman" w:hAnsi="Times New Roman" w:cs="Times New Roman"/>
          <w:color w:val="auto"/>
          <w:sz w:val="16"/>
          <w:szCs w:val="16"/>
          <w:lang w:val="sr-Cyrl-RS"/>
        </w:rPr>
        <w:t>е</w:t>
      </w:r>
      <w:r w:rsidRPr="00B57FE8">
        <w:rPr>
          <w:rFonts w:ascii="Times New Roman" w:hAnsi="Times New Roman" w:cs="Times New Roman"/>
          <w:color w:val="auto"/>
          <w:sz w:val="16"/>
          <w:szCs w:val="16"/>
        </w:rPr>
        <w:t xml:space="preserve"> 32 индикатора сврстана у 12 категорија</w:t>
      </w:r>
      <w:r w:rsidRPr="00B57FE8">
        <w:rPr>
          <w:rFonts w:ascii="Times New Roman" w:hAnsi="Times New Roman" w:cs="Times New Roman"/>
          <w:color w:val="auto"/>
          <w:sz w:val="16"/>
          <w:szCs w:val="16"/>
          <w:lang w:val="sr-Cyrl-RS"/>
        </w:rPr>
        <w:t xml:space="preserve"> (иновационих димензија).</w:t>
      </w:r>
    </w:p>
  </w:footnote>
  <w:footnote w:id="119">
    <w:p w14:paraId="51B7AB7A" w14:textId="77777777" w:rsidR="00815ACD" w:rsidRPr="00B57FE8" w:rsidRDefault="00815ACD" w:rsidP="00B57FE8">
      <w:pPr>
        <w:pStyle w:val="FootnoteText"/>
        <w:spacing w:after="0"/>
        <w:ind w:firstLine="0"/>
        <w:rPr>
          <w:rFonts w:ascii="Times New Roman" w:hAnsi="Times New Roman" w:cs="Times New Roman"/>
          <w:sz w:val="16"/>
          <w:szCs w:val="16"/>
          <w:lang w:val="sr-Cyrl-RS"/>
        </w:rPr>
      </w:pPr>
      <w:r w:rsidRPr="00B57FE8">
        <w:rPr>
          <w:rStyle w:val="FootnoteReference"/>
          <w:rFonts w:ascii="Times New Roman" w:hAnsi="Times New Roman" w:cs="Times New Roman"/>
          <w:color w:val="auto"/>
          <w:sz w:val="16"/>
          <w:szCs w:val="16"/>
        </w:rPr>
        <w:footnoteRef/>
      </w:r>
      <w:r w:rsidRPr="00B57FE8">
        <w:rPr>
          <w:rFonts w:ascii="Times New Roman" w:hAnsi="Times New Roman" w:cs="Times New Roman"/>
          <w:color w:val="auto"/>
          <w:sz w:val="16"/>
          <w:szCs w:val="16"/>
          <w:lang w:val="sr-Cyrl-RS"/>
        </w:rPr>
        <w:t xml:space="preserve"> </w:t>
      </w:r>
      <w:r w:rsidRPr="00B57FE8">
        <w:rPr>
          <w:rFonts w:ascii="Times New Roman" w:hAnsi="Times New Roman" w:cs="Times New Roman"/>
          <w:color w:val="auto"/>
          <w:sz w:val="16"/>
          <w:szCs w:val="16"/>
        </w:rPr>
        <w:t>European innovation scoreboard 202</w:t>
      </w:r>
      <w:r w:rsidRPr="00B57FE8">
        <w:rPr>
          <w:rFonts w:ascii="Times New Roman" w:hAnsi="Times New Roman" w:cs="Times New Roman"/>
          <w:color w:val="auto"/>
          <w:sz w:val="16"/>
          <w:szCs w:val="16"/>
          <w:lang w:val="en-US"/>
        </w:rPr>
        <w:t>2</w:t>
      </w:r>
      <w:r w:rsidRPr="00B57FE8">
        <w:rPr>
          <w:rFonts w:ascii="Times New Roman" w:hAnsi="Times New Roman" w:cs="Times New Roman"/>
          <w:color w:val="auto"/>
          <w:sz w:val="16"/>
          <w:szCs w:val="16"/>
        </w:rPr>
        <w:t xml:space="preserve"> </w:t>
      </w:r>
      <w:hyperlink r:id="rId56" w:history="1">
        <w:r w:rsidRPr="00B57FE8">
          <w:rPr>
            <w:rStyle w:val="Hyperlink"/>
            <w:rFonts w:ascii="Times New Roman" w:hAnsi="Times New Roman" w:cs="Times New Roman"/>
            <w:sz w:val="16"/>
            <w:szCs w:val="16"/>
          </w:rPr>
          <w:t>https://research-and-innovation.ec.europa.eu/system/files/2022-10/ec_rtd_eis-2022-main-report.pdf</w:t>
        </w:r>
      </w:hyperlink>
      <w:r w:rsidRPr="00B57FE8">
        <w:rPr>
          <w:rFonts w:ascii="Times New Roman" w:hAnsi="Times New Roman" w:cs="Times New Roman"/>
          <w:sz w:val="16"/>
          <w:szCs w:val="16"/>
          <w:lang w:val="en-US"/>
        </w:rPr>
        <w:t xml:space="preserve"> </w:t>
      </w:r>
      <w:r w:rsidRPr="00B57FE8">
        <w:rPr>
          <w:rFonts w:ascii="Times New Roman" w:hAnsi="Times New Roman" w:cs="Times New Roman"/>
          <w:sz w:val="16"/>
          <w:szCs w:val="16"/>
          <w:lang w:val="sr-Cyrl-RS"/>
        </w:rPr>
        <w:t xml:space="preserve"> </w:t>
      </w:r>
    </w:p>
  </w:footnote>
  <w:footnote w:id="120">
    <w:p w14:paraId="0E3A382C" w14:textId="77777777" w:rsidR="00815ACD" w:rsidRPr="00B57FE8" w:rsidRDefault="00815ACD" w:rsidP="00B57FE8">
      <w:pPr>
        <w:pStyle w:val="FootnoteText"/>
        <w:spacing w:after="0"/>
        <w:ind w:firstLine="0"/>
        <w:rPr>
          <w:rFonts w:ascii="Times New Roman" w:hAnsi="Times New Roman" w:cs="Times New Roman"/>
          <w:color w:val="auto"/>
          <w:sz w:val="16"/>
          <w:szCs w:val="16"/>
          <w:lang w:val="sr-Cyrl-RS"/>
        </w:rPr>
      </w:pPr>
      <w:r w:rsidRPr="00B57FE8">
        <w:rPr>
          <w:rStyle w:val="FootnoteReference"/>
          <w:rFonts w:ascii="Times New Roman" w:hAnsi="Times New Roman" w:cs="Times New Roman"/>
          <w:color w:val="auto"/>
          <w:sz w:val="16"/>
          <w:szCs w:val="16"/>
        </w:rPr>
        <w:footnoteRef/>
      </w:r>
      <w:r w:rsidRPr="00B57FE8">
        <w:rPr>
          <w:rFonts w:ascii="Times New Roman" w:hAnsi="Times New Roman" w:cs="Times New Roman"/>
          <w:color w:val="auto"/>
          <w:sz w:val="16"/>
          <w:szCs w:val="16"/>
        </w:rPr>
        <w:t xml:space="preserve"> Годишња ранг листа земаља по капацитету и успеху у иновацијама, коју објављује Светска организација за интелектуалну својину</w:t>
      </w:r>
      <w:r w:rsidRPr="00B57FE8">
        <w:rPr>
          <w:rFonts w:ascii="Times New Roman" w:hAnsi="Times New Roman" w:cs="Times New Roman"/>
          <w:color w:val="auto"/>
          <w:sz w:val="16"/>
          <w:szCs w:val="16"/>
          <w:lang w:val="sr-Cyrl-RS"/>
        </w:rPr>
        <w:t xml:space="preserve"> (</w:t>
      </w:r>
      <w:r w:rsidRPr="00B57FE8">
        <w:rPr>
          <w:rFonts w:ascii="Times New Roman" w:hAnsi="Times New Roman" w:cs="Times New Roman"/>
          <w:i/>
          <w:color w:val="auto"/>
          <w:sz w:val="16"/>
          <w:szCs w:val="16"/>
          <w:lang w:val="sr-Cyrl-RS"/>
        </w:rPr>
        <w:t>World Intellectual Property Organization</w:t>
      </w:r>
      <w:r w:rsidRPr="00B57FE8">
        <w:rPr>
          <w:rFonts w:ascii="Times New Roman" w:hAnsi="Times New Roman" w:cs="Times New Roman"/>
          <w:color w:val="auto"/>
          <w:sz w:val="16"/>
          <w:szCs w:val="16"/>
          <w:lang w:val="sr-Cyrl-RS"/>
        </w:rPr>
        <w:t>)</w:t>
      </w:r>
      <w:r w:rsidRPr="00B57FE8">
        <w:rPr>
          <w:rFonts w:ascii="Times New Roman" w:hAnsi="Times New Roman" w:cs="Times New Roman"/>
          <w:color w:val="auto"/>
          <w:sz w:val="16"/>
          <w:szCs w:val="16"/>
        </w:rPr>
        <w:t>. Састоји се од 81 показатеља, груписаних у иновациона улагања (</w:t>
      </w:r>
      <w:r w:rsidRPr="00B57FE8">
        <w:rPr>
          <w:rFonts w:ascii="Times New Roman" w:hAnsi="Times New Roman" w:cs="Times New Roman"/>
          <w:i/>
          <w:color w:val="auto"/>
          <w:sz w:val="16"/>
          <w:szCs w:val="16"/>
        </w:rPr>
        <w:t>innovation inputs</w:t>
      </w:r>
      <w:r w:rsidRPr="00B57FE8">
        <w:rPr>
          <w:rFonts w:ascii="Times New Roman" w:hAnsi="Times New Roman" w:cs="Times New Roman"/>
          <w:color w:val="auto"/>
          <w:sz w:val="16"/>
          <w:szCs w:val="16"/>
        </w:rPr>
        <w:t>) и резултате иновација (</w:t>
      </w:r>
      <w:r w:rsidRPr="00B57FE8">
        <w:rPr>
          <w:rFonts w:ascii="Times New Roman" w:hAnsi="Times New Roman" w:cs="Times New Roman"/>
          <w:i/>
          <w:color w:val="auto"/>
          <w:sz w:val="16"/>
          <w:szCs w:val="16"/>
        </w:rPr>
        <w:t>innovation outputs</w:t>
      </w:r>
      <w:r w:rsidRPr="00B57FE8">
        <w:rPr>
          <w:rFonts w:ascii="Times New Roman" w:hAnsi="Times New Roman" w:cs="Times New Roman"/>
          <w:color w:val="auto"/>
          <w:sz w:val="16"/>
          <w:szCs w:val="16"/>
        </w:rPr>
        <w:t>).</w:t>
      </w:r>
    </w:p>
  </w:footnote>
  <w:footnote w:id="121">
    <w:p w14:paraId="6A89A315" w14:textId="77777777" w:rsidR="00815ACD" w:rsidRPr="00B57FE8" w:rsidRDefault="00815ACD" w:rsidP="00B57FE8">
      <w:pPr>
        <w:pStyle w:val="FootnoteText"/>
        <w:spacing w:after="0"/>
        <w:ind w:firstLine="0"/>
        <w:rPr>
          <w:rFonts w:ascii="Times New Roman" w:hAnsi="Times New Roman" w:cs="Times New Roman"/>
          <w:sz w:val="16"/>
          <w:szCs w:val="16"/>
          <w:lang w:val="sr-Cyrl-RS"/>
        </w:rPr>
      </w:pPr>
      <w:r w:rsidRPr="00B57FE8">
        <w:rPr>
          <w:rStyle w:val="FootnoteReference"/>
          <w:rFonts w:ascii="Times New Roman" w:hAnsi="Times New Roman" w:cs="Times New Roman"/>
          <w:color w:val="auto"/>
          <w:sz w:val="16"/>
          <w:szCs w:val="16"/>
        </w:rPr>
        <w:footnoteRef/>
      </w:r>
      <w:r w:rsidRPr="00B57FE8">
        <w:rPr>
          <w:rFonts w:ascii="Times New Roman" w:hAnsi="Times New Roman" w:cs="Times New Roman"/>
          <w:color w:val="auto"/>
          <w:sz w:val="16"/>
          <w:szCs w:val="16"/>
        </w:rPr>
        <w:t xml:space="preserve"> Global Innovation Index 2022, WIPO</w:t>
      </w:r>
      <w:r w:rsidRPr="00B57FE8">
        <w:rPr>
          <w:rFonts w:ascii="Times New Roman" w:hAnsi="Times New Roman" w:cs="Times New Roman"/>
          <w:color w:val="auto"/>
          <w:sz w:val="16"/>
          <w:szCs w:val="16"/>
          <w:lang w:val="sr-Cyrl-RS"/>
        </w:rPr>
        <w:t xml:space="preserve"> </w:t>
      </w:r>
      <w:hyperlink r:id="rId57" w:history="1">
        <w:r w:rsidRPr="00B57FE8">
          <w:rPr>
            <w:rStyle w:val="Hyperlink"/>
            <w:rFonts w:ascii="Times New Roman" w:hAnsi="Times New Roman" w:cs="Times New Roman"/>
            <w:sz w:val="16"/>
            <w:szCs w:val="16"/>
          </w:rPr>
          <w:t>https://www.wipo.int/edocs/pubdocs/en/wipo-pub-2000-2022-en-main-report-global-innovation-index-2022-15th-edition.pdf</w:t>
        </w:r>
      </w:hyperlink>
      <w:r w:rsidRPr="00B57FE8">
        <w:rPr>
          <w:rFonts w:ascii="Times New Roman" w:hAnsi="Times New Roman" w:cs="Times New Roman"/>
          <w:sz w:val="16"/>
          <w:szCs w:val="16"/>
          <w:lang w:val="sr-Cyrl-RS"/>
        </w:rPr>
        <w:t xml:space="preserve"> </w:t>
      </w:r>
    </w:p>
  </w:footnote>
  <w:footnote w:id="122">
    <w:p w14:paraId="3D425830" w14:textId="073C457D" w:rsidR="00815ACD" w:rsidRPr="00B57FE8" w:rsidRDefault="00815ACD" w:rsidP="00B57FE8">
      <w:pPr>
        <w:pStyle w:val="FootnoteText"/>
        <w:spacing w:after="0"/>
        <w:ind w:firstLine="0"/>
        <w:rPr>
          <w:rFonts w:ascii="Times New Roman" w:hAnsi="Times New Roman" w:cs="Times New Roman"/>
          <w:color w:val="auto"/>
          <w:sz w:val="16"/>
          <w:szCs w:val="16"/>
          <w:lang w:val="sr-Cyrl-RS"/>
        </w:rPr>
      </w:pPr>
      <w:r w:rsidRPr="00B57FE8">
        <w:rPr>
          <w:rStyle w:val="FootnoteReference"/>
          <w:rFonts w:ascii="Times New Roman" w:hAnsi="Times New Roman" w:cs="Times New Roman"/>
          <w:color w:val="auto"/>
          <w:sz w:val="16"/>
          <w:szCs w:val="16"/>
        </w:rPr>
        <w:footnoteRef/>
      </w:r>
      <w:r w:rsidRPr="00B57FE8">
        <w:rPr>
          <w:rFonts w:ascii="Times New Roman" w:hAnsi="Times New Roman" w:cs="Times New Roman"/>
          <w:color w:val="auto"/>
          <w:sz w:val="16"/>
          <w:szCs w:val="16"/>
        </w:rPr>
        <w:t xml:space="preserve"> Закон о Фонду за н</w:t>
      </w:r>
      <w:r>
        <w:rPr>
          <w:rFonts w:ascii="Times New Roman" w:hAnsi="Times New Roman" w:cs="Times New Roman"/>
          <w:color w:val="auto"/>
          <w:sz w:val="16"/>
          <w:szCs w:val="16"/>
        </w:rPr>
        <w:t>ауку Републике Србије („Сл</w:t>
      </w:r>
      <w:r>
        <w:rPr>
          <w:rFonts w:ascii="Times New Roman" w:hAnsi="Times New Roman" w:cs="Times New Roman"/>
          <w:color w:val="auto"/>
          <w:sz w:val="16"/>
          <w:szCs w:val="16"/>
          <w:lang w:val="sr-Cyrl-RS"/>
        </w:rPr>
        <w:t>ужбени</w:t>
      </w:r>
      <w:r>
        <w:rPr>
          <w:rFonts w:ascii="Times New Roman" w:hAnsi="Times New Roman" w:cs="Times New Roman"/>
          <w:color w:val="auto"/>
          <w:sz w:val="16"/>
          <w:szCs w:val="16"/>
        </w:rPr>
        <w:t xml:space="preserve"> гласник РС</w:t>
      </w:r>
      <w:r w:rsidRPr="003C1DFF">
        <w:rPr>
          <w:rFonts w:ascii="Times New Roman" w:hAnsi="Times New Roman" w:cs="Times New Roman"/>
          <w:sz w:val="16"/>
          <w:szCs w:val="16"/>
          <w:lang w:val="sr-Cyrl-RS"/>
        </w:rPr>
        <w:t>”</w:t>
      </w:r>
      <w:r>
        <w:rPr>
          <w:rFonts w:ascii="Times New Roman" w:hAnsi="Times New Roman" w:cs="Times New Roman"/>
          <w:color w:val="auto"/>
          <w:sz w:val="16"/>
          <w:szCs w:val="16"/>
        </w:rPr>
        <w:t>, бр</w:t>
      </w:r>
      <w:r>
        <w:rPr>
          <w:rFonts w:ascii="Times New Roman" w:hAnsi="Times New Roman" w:cs="Times New Roman"/>
          <w:color w:val="auto"/>
          <w:sz w:val="16"/>
          <w:szCs w:val="16"/>
          <w:lang w:val="sr-Cyrl-RS"/>
        </w:rPr>
        <w:t>ој</w:t>
      </w:r>
      <w:r w:rsidRPr="00B57FE8">
        <w:rPr>
          <w:rFonts w:ascii="Times New Roman" w:hAnsi="Times New Roman" w:cs="Times New Roman"/>
          <w:color w:val="auto"/>
          <w:sz w:val="16"/>
          <w:szCs w:val="16"/>
        </w:rPr>
        <w:t xml:space="preserve"> 85/18)</w:t>
      </w:r>
      <w:r w:rsidRPr="00B57FE8">
        <w:rPr>
          <w:rFonts w:ascii="Times New Roman" w:hAnsi="Times New Roman" w:cs="Times New Roman"/>
          <w:color w:val="auto"/>
          <w:sz w:val="16"/>
          <w:szCs w:val="16"/>
          <w:lang w:val="sr-Cyrl-RS"/>
        </w:rPr>
        <w:t xml:space="preserve">; </w:t>
      </w:r>
      <w:r w:rsidRPr="00B57FE8">
        <w:rPr>
          <w:rFonts w:ascii="Times New Roman" w:hAnsi="Times New Roman" w:cs="Times New Roman"/>
          <w:color w:val="auto"/>
          <w:sz w:val="16"/>
          <w:szCs w:val="16"/>
        </w:rPr>
        <w:t xml:space="preserve">Закон о </w:t>
      </w:r>
      <w:r>
        <w:rPr>
          <w:rFonts w:ascii="Times New Roman" w:hAnsi="Times New Roman" w:cs="Times New Roman"/>
          <w:color w:val="auto"/>
          <w:sz w:val="16"/>
          <w:szCs w:val="16"/>
        </w:rPr>
        <w:t>науци и истраживањима („Сл</w:t>
      </w:r>
      <w:r>
        <w:rPr>
          <w:rFonts w:ascii="Times New Roman" w:hAnsi="Times New Roman" w:cs="Times New Roman"/>
          <w:color w:val="auto"/>
          <w:sz w:val="16"/>
          <w:szCs w:val="16"/>
          <w:lang w:val="sr-Cyrl-RS"/>
        </w:rPr>
        <w:t>ужбени</w:t>
      </w:r>
      <w:r>
        <w:rPr>
          <w:rFonts w:ascii="Times New Roman" w:hAnsi="Times New Roman" w:cs="Times New Roman"/>
          <w:color w:val="auto"/>
          <w:sz w:val="16"/>
          <w:szCs w:val="16"/>
        </w:rPr>
        <w:t xml:space="preserve"> гласник РС</w:t>
      </w:r>
      <w:r w:rsidRPr="003C1DFF">
        <w:rPr>
          <w:rFonts w:ascii="Times New Roman" w:hAnsi="Times New Roman" w:cs="Times New Roman"/>
          <w:sz w:val="16"/>
          <w:szCs w:val="16"/>
          <w:lang w:val="sr-Cyrl-RS"/>
        </w:rPr>
        <w:t>”</w:t>
      </w:r>
      <w:r>
        <w:rPr>
          <w:rFonts w:ascii="Times New Roman" w:hAnsi="Times New Roman" w:cs="Times New Roman"/>
          <w:color w:val="auto"/>
          <w:sz w:val="16"/>
          <w:szCs w:val="16"/>
        </w:rPr>
        <w:t>, бр</w:t>
      </w:r>
      <w:r>
        <w:rPr>
          <w:rFonts w:ascii="Times New Roman" w:hAnsi="Times New Roman" w:cs="Times New Roman"/>
          <w:color w:val="auto"/>
          <w:sz w:val="16"/>
          <w:szCs w:val="16"/>
          <w:lang w:val="sr-Cyrl-RS"/>
        </w:rPr>
        <w:t>ој</w:t>
      </w:r>
      <w:r w:rsidRPr="00B57FE8">
        <w:rPr>
          <w:rFonts w:ascii="Times New Roman" w:hAnsi="Times New Roman" w:cs="Times New Roman"/>
          <w:color w:val="auto"/>
          <w:sz w:val="16"/>
          <w:szCs w:val="16"/>
        </w:rPr>
        <w:t xml:space="preserve"> 49/19)</w:t>
      </w:r>
      <w:r w:rsidRPr="00B57FE8">
        <w:rPr>
          <w:rFonts w:ascii="Times New Roman" w:hAnsi="Times New Roman" w:cs="Times New Roman"/>
          <w:color w:val="auto"/>
          <w:sz w:val="16"/>
          <w:szCs w:val="16"/>
          <w:lang w:val="sr-Cyrl-RS"/>
        </w:rPr>
        <w:t xml:space="preserve">; </w:t>
      </w:r>
      <w:r w:rsidRPr="00B57FE8">
        <w:rPr>
          <w:rFonts w:ascii="Times New Roman" w:hAnsi="Times New Roman" w:cs="Times New Roman"/>
          <w:color w:val="auto"/>
          <w:sz w:val="16"/>
          <w:szCs w:val="16"/>
        </w:rPr>
        <w:t>Закон о и</w:t>
      </w:r>
      <w:r>
        <w:rPr>
          <w:rFonts w:ascii="Times New Roman" w:hAnsi="Times New Roman" w:cs="Times New Roman"/>
          <w:color w:val="auto"/>
          <w:sz w:val="16"/>
          <w:szCs w:val="16"/>
        </w:rPr>
        <w:t>новационој делатности („Сл</w:t>
      </w:r>
      <w:r>
        <w:rPr>
          <w:rFonts w:ascii="Times New Roman" w:hAnsi="Times New Roman" w:cs="Times New Roman"/>
          <w:color w:val="auto"/>
          <w:sz w:val="16"/>
          <w:szCs w:val="16"/>
          <w:lang w:val="sr-Cyrl-RS"/>
        </w:rPr>
        <w:t>ужбени</w:t>
      </w:r>
      <w:r>
        <w:rPr>
          <w:rFonts w:ascii="Times New Roman" w:hAnsi="Times New Roman" w:cs="Times New Roman"/>
          <w:color w:val="auto"/>
          <w:sz w:val="16"/>
          <w:szCs w:val="16"/>
        </w:rPr>
        <w:t xml:space="preserve"> гласник РС</w:t>
      </w:r>
      <w:r w:rsidRPr="003C1DFF">
        <w:rPr>
          <w:rFonts w:ascii="Times New Roman" w:hAnsi="Times New Roman" w:cs="Times New Roman"/>
          <w:sz w:val="16"/>
          <w:szCs w:val="16"/>
          <w:lang w:val="sr-Cyrl-RS"/>
        </w:rPr>
        <w:t>”</w:t>
      </w:r>
      <w:r>
        <w:rPr>
          <w:rFonts w:ascii="Times New Roman" w:hAnsi="Times New Roman" w:cs="Times New Roman"/>
          <w:color w:val="auto"/>
          <w:sz w:val="16"/>
          <w:szCs w:val="16"/>
        </w:rPr>
        <w:t>, бр</w:t>
      </w:r>
      <w:r>
        <w:rPr>
          <w:rFonts w:ascii="Times New Roman" w:hAnsi="Times New Roman" w:cs="Times New Roman"/>
          <w:color w:val="auto"/>
          <w:sz w:val="16"/>
          <w:szCs w:val="16"/>
          <w:lang w:val="sr-Cyrl-RS"/>
        </w:rPr>
        <w:t>ој</w:t>
      </w:r>
      <w:r w:rsidRPr="00B57FE8">
        <w:rPr>
          <w:rFonts w:ascii="Times New Roman" w:hAnsi="Times New Roman" w:cs="Times New Roman"/>
          <w:color w:val="auto"/>
          <w:sz w:val="16"/>
          <w:szCs w:val="16"/>
        </w:rPr>
        <w:t xml:space="preserve"> 129/21)</w:t>
      </w:r>
      <w:r w:rsidRPr="00B57FE8">
        <w:rPr>
          <w:rFonts w:ascii="Times New Roman" w:hAnsi="Times New Roman" w:cs="Times New Roman"/>
          <w:color w:val="auto"/>
          <w:sz w:val="16"/>
          <w:szCs w:val="16"/>
          <w:lang w:val="sr-Cyrl-RS"/>
        </w:rPr>
        <w:t>.</w:t>
      </w:r>
    </w:p>
  </w:footnote>
  <w:footnote w:id="123">
    <w:p w14:paraId="353DF112" w14:textId="3F852CE5" w:rsidR="00815ACD" w:rsidRPr="00B57FE8" w:rsidRDefault="00815ACD" w:rsidP="00B57FE8">
      <w:pPr>
        <w:pStyle w:val="FootnoteText"/>
        <w:spacing w:after="0"/>
        <w:ind w:firstLine="0"/>
        <w:rPr>
          <w:rFonts w:ascii="Times New Roman" w:hAnsi="Times New Roman" w:cs="Times New Roman"/>
          <w:color w:val="auto"/>
          <w:sz w:val="16"/>
          <w:szCs w:val="16"/>
          <w:lang w:val="sr-Cyrl-RS"/>
        </w:rPr>
      </w:pPr>
      <w:r w:rsidRPr="00B57FE8">
        <w:rPr>
          <w:rStyle w:val="FootnoteReference"/>
          <w:rFonts w:ascii="Times New Roman" w:hAnsi="Times New Roman" w:cs="Times New Roman"/>
          <w:color w:val="auto"/>
          <w:sz w:val="16"/>
          <w:szCs w:val="16"/>
        </w:rPr>
        <w:footnoteRef/>
      </w:r>
      <w:r w:rsidRPr="00B57FE8">
        <w:rPr>
          <w:rFonts w:ascii="Times New Roman" w:hAnsi="Times New Roman" w:cs="Times New Roman"/>
          <w:color w:val="auto"/>
          <w:sz w:val="16"/>
          <w:szCs w:val="16"/>
        </w:rPr>
        <w:t xml:space="preserve"> Стратегија научног и технолошког развоја Републике Србије за период од 2021. до 2025. године </w:t>
      </w:r>
      <w:r w:rsidRPr="00B57FE8">
        <w:rPr>
          <w:rFonts w:ascii="Times New Roman" w:hAnsi="Times New Roman" w:cs="Times New Roman"/>
          <w:color w:val="auto"/>
          <w:sz w:val="16"/>
          <w:szCs w:val="16"/>
          <w:lang w:val="sr-Cyrl-RS"/>
        </w:rPr>
        <w:t>„</w:t>
      </w:r>
      <w:r w:rsidRPr="00B57FE8">
        <w:rPr>
          <w:rFonts w:ascii="Times New Roman" w:hAnsi="Times New Roman" w:cs="Times New Roman"/>
          <w:color w:val="auto"/>
          <w:sz w:val="16"/>
          <w:szCs w:val="16"/>
        </w:rPr>
        <w:t>Моћ знања</w:t>
      </w:r>
      <w:r w:rsidRPr="003C1DFF">
        <w:rPr>
          <w:rFonts w:ascii="Times New Roman" w:hAnsi="Times New Roman" w:cs="Times New Roman"/>
          <w:sz w:val="16"/>
          <w:szCs w:val="16"/>
          <w:lang w:val="sr-Cyrl-RS"/>
        </w:rPr>
        <w:t>”</w:t>
      </w:r>
      <w:r w:rsidRPr="00B57FE8">
        <w:rPr>
          <w:rFonts w:ascii="Times New Roman" w:hAnsi="Times New Roman" w:cs="Times New Roman"/>
          <w:color w:val="auto"/>
          <w:sz w:val="16"/>
          <w:szCs w:val="16"/>
        </w:rPr>
        <w:t>, чији саставни део је Акциони план Стратегије научног и технолошког развоја за период 2021. до 2023. године</w:t>
      </w:r>
      <w:r w:rsidRPr="00B57FE8">
        <w:rPr>
          <w:rFonts w:ascii="Times New Roman" w:hAnsi="Times New Roman" w:cs="Times New Roman"/>
          <w:color w:val="auto"/>
          <w:sz w:val="16"/>
          <w:szCs w:val="16"/>
          <w:lang w:val="sr-Cyrl-RS"/>
        </w:rPr>
        <w:t xml:space="preserve"> </w:t>
      </w:r>
      <w:r>
        <w:rPr>
          <w:rFonts w:ascii="Times New Roman" w:hAnsi="Times New Roman" w:cs="Times New Roman"/>
          <w:color w:val="auto"/>
          <w:sz w:val="16"/>
          <w:szCs w:val="16"/>
        </w:rPr>
        <w:t>(„Сл</w:t>
      </w:r>
      <w:r>
        <w:rPr>
          <w:rFonts w:ascii="Times New Roman" w:hAnsi="Times New Roman" w:cs="Times New Roman"/>
          <w:color w:val="auto"/>
          <w:sz w:val="16"/>
          <w:szCs w:val="16"/>
          <w:lang w:val="sr-Cyrl-RS"/>
        </w:rPr>
        <w:t>ужбени</w:t>
      </w:r>
      <w:r>
        <w:rPr>
          <w:rFonts w:ascii="Times New Roman" w:hAnsi="Times New Roman" w:cs="Times New Roman"/>
          <w:color w:val="auto"/>
          <w:sz w:val="16"/>
          <w:szCs w:val="16"/>
        </w:rPr>
        <w:t xml:space="preserve"> гласник РС</w:t>
      </w:r>
      <w:r w:rsidRPr="003C1DFF">
        <w:rPr>
          <w:rFonts w:ascii="Times New Roman" w:hAnsi="Times New Roman" w:cs="Times New Roman"/>
          <w:sz w:val="16"/>
          <w:szCs w:val="16"/>
          <w:lang w:val="sr-Cyrl-RS"/>
        </w:rPr>
        <w:t>”</w:t>
      </w:r>
      <w:r>
        <w:rPr>
          <w:rFonts w:ascii="Times New Roman" w:hAnsi="Times New Roman" w:cs="Times New Roman"/>
          <w:color w:val="auto"/>
          <w:sz w:val="16"/>
          <w:szCs w:val="16"/>
        </w:rPr>
        <w:t>, бр</w:t>
      </w:r>
      <w:r>
        <w:rPr>
          <w:rFonts w:ascii="Times New Roman" w:hAnsi="Times New Roman" w:cs="Times New Roman"/>
          <w:color w:val="auto"/>
          <w:sz w:val="16"/>
          <w:szCs w:val="16"/>
          <w:lang w:val="sr-Cyrl-RS"/>
        </w:rPr>
        <w:t>ој</w:t>
      </w:r>
      <w:r w:rsidRPr="00B57FE8">
        <w:rPr>
          <w:rFonts w:ascii="Times New Roman" w:hAnsi="Times New Roman" w:cs="Times New Roman"/>
          <w:color w:val="auto"/>
          <w:sz w:val="16"/>
          <w:szCs w:val="16"/>
        </w:rPr>
        <w:t xml:space="preserve"> 10/21)</w:t>
      </w:r>
      <w:r w:rsidRPr="00B57FE8">
        <w:rPr>
          <w:rFonts w:ascii="Times New Roman" w:hAnsi="Times New Roman" w:cs="Times New Roman"/>
          <w:color w:val="auto"/>
          <w:sz w:val="16"/>
          <w:szCs w:val="16"/>
          <w:lang w:val="sr-Cyrl-RS"/>
        </w:rPr>
        <w:t>; Стратегија паметне специјализације у Републици Србији за период од 2020. до 2027. године („Сл</w:t>
      </w:r>
      <w:r>
        <w:rPr>
          <w:rFonts w:ascii="Times New Roman" w:hAnsi="Times New Roman" w:cs="Times New Roman"/>
          <w:color w:val="auto"/>
          <w:sz w:val="16"/>
          <w:szCs w:val="16"/>
          <w:lang w:val="sr-Cyrl-RS"/>
        </w:rPr>
        <w:t>ужбени гласник РС</w:t>
      </w:r>
      <w:r w:rsidRPr="003C1DFF">
        <w:rPr>
          <w:rFonts w:ascii="Times New Roman" w:hAnsi="Times New Roman" w:cs="Times New Roman"/>
          <w:sz w:val="16"/>
          <w:szCs w:val="16"/>
          <w:lang w:val="sr-Cyrl-RS"/>
        </w:rPr>
        <w:t>”</w:t>
      </w:r>
      <w:r>
        <w:rPr>
          <w:rFonts w:ascii="Times New Roman" w:hAnsi="Times New Roman" w:cs="Times New Roman"/>
          <w:color w:val="auto"/>
          <w:sz w:val="16"/>
          <w:szCs w:val="16"/>
          <w:lang w:val="sr-Cyrl-RS"/>
        </w:rPr>
        <w:t>, број</w:t>
      </w:r>
      <w:r w:rsidRPr="00B57FE8">
        <w:rPr>
          <w:rFonts w:ascii="Times New Roman" w:hAnsi="Times New Roman" w:cs="Times New Roman"/>
          <w:color w:val="auto"/>
          <w:sz w:val="16"/>
          <w:szCs w:val="16"/>
          <w:lang w:val="sr-Cyrl-RS"/>
        </w:rPr>
        <w:t xml:space="preserve"> 21/20) и Акциони план за период од 2021. до 2022. године за спровођење Стратегије паметне специјализације у Републици Србији за период од 2020. до 2027. године („Сл</w:t>
      </w:r>
      <w:r>
        <w:rPr>
          <w:rFonts w:ascii="Times New Roman" w:hAnsi="Times New Roman" w:cs="Times New Roman"/>
          <w:color w:val="auto"/>
          <w:sz w:val="16"/>
          <w:szCs w:val="16"/>
          <w:lang w:val="sr-Cyrl-RS"/>
        </w:rPr>
        <w:t>ужбени гласник РС</w:t>
      </w:r>
      <w:r w:rsidRPr="003C1DFF">
        <w:rPr>
          <w:rFonts w:ascii="Times New Roman" w:hAnsi="Times New Roman" w:cs="Times New Roman"/>
          <w:sz w:val="16"/>
          <w:szCs w:val="16"/>
          <w:lang w:val="sr-Cyrl-RS"/>
        </w:rPr>
        <w:t>”</w:t>
      </w:r>
      <w:r>
        <w:rPr>
          <w:rFonts w:ascii="Times New Roman" w:hAnsi="Times New Roman" w:cs="Times New Roman"/>
          <w:color w:val="auto"/>
          <w:sz w:val="16"/>
          <w:szCs w:val="16"/>
          <w:lang w:val="sr-Cyrl-RS"/>
        </w:rPr>
        <w:t>, број</w:t>
      </w:r>
      <w:r w:rsidRPr="00B57FE8">
        <w:rPr>
          <w:rFonts w:ascii="Times New Roman" w:hAnsi="Times New Roman" w:cs="Times New Roman"/>
          <w:color w:val="auto"/>
          <w:sz w:val="16"/>
          <w:szCs w:val="16"/>
          <w:lang w:val="sr-Cyrl-RS"/>
        </w:rPr>
        <w:t xml:space="preserve"> 42/21); Стратегијa развоја стартап екосистема Републике Србије за период од 2021. до 2025. године („Сл</w:t>
      </w:r>
      <w:r>
        <w:rPr>
          <w:rFonts w:ascii="Times New Roman" w:hAnsi="Times New Roman" w:cs="Times New Roman"/>
          <w:color w:val="auto"/>
          <w:sz w:val="16"/>
          <w:szCs w:val="16"/>
          <w:lang w:val="sr-Cyrl-RS"/>
        </w:rPr>
        <w:t>ужбени гласник РС</w:t>
      </w:r>
      <w:r w:rsidRPr="003C1DFF">
        <w:rPr>
          <w:rFonts w:ascii="Times New Roman" w:hAnsi="Times New Roman" w:cs="Times New Roman"/>
          <w:sz w:val="16"/>
          <w:szCs w:val="16"/>
          <w:lang w:val="sr-Cyrl-RS"/>
        </w:rPr>
        <w:t>”</w:t>
      </w:r>
      <w:r>
        <w:rPr>
          <w:rFonts w:ascii="Times New Roman" w:hAnsi="Times New Roman" w:cs="Times New Roman"/>
          <w:color w:val="auto"/>
          <w:sz w:val="16"/>
          <w:szCs w:val="16"/>
          <w:lang w:val="sr-Cyrl-RS"/>
        </w:rPr>
        <w:t>, број</w:t>
      </w:r>
      <w:r w:rsidRPr="00B57FE8">
        <w:rPr>
          <w:rFonts w:ascii="Times New Roman" w:hAnsi="Times New Roman" w:cs="Times New Roman"/>
          <w:color w:val="auto"/>
          <w:sz w:val="16"/>
          <w:szCs w:val="16"/>
          <w:lang w:val="sr-Cyrl-RS"/>
        </w:rPr>
        <w:t xml:space="preserve"> 125/21) и Акциони план за период до 31. децембра 2022. године за реализацију Стратегије развоја стартап екосистема Републике Србије за период од 2021. до 2025. године; Стратегија развоја вештачке интелигенције у Републици Србији за период 2020–2025. године („Сл</w:t>
      </w:r>
      <w:r>
        <w:rPr>
          <w:rFonts w:ascii="Times New Roman" w:hAnsi="Times New Roman" w:cs="Times New Roman"/>
          <w:color w:val="auto"/>
          <w:sz w:val="16"/>
          <w:szCs w:val="16"/>
          <w:lang w:val="sr-Cyrl-RS"/>
        </w:rPr>
        <w:t>ужбени гласник РС</w:t>
      </w:r>
      <w:r w:rsidRPr="003C1DFF">
        <w:rPr>
          <w:rFonts w:ascii="Times New Roman" w:hAnsi="Times New Roman" w:cs="Times New Roman"/>
          <w:sz w:val="16"/>
          <w:szCs w:val="16"/>
          <w:lang w:val="sr-Cyrl-RS"/>
        </w:rPr>
        <w:t>”</w:t>
      </w:r>
      <w:r>
        <w:rPr>
          <w:rFonts w:ascii="Times New Roman" w:hAnsi="Times New Roman" w:cs="Times New Roman"/>
          <w:color w:val="auto"/>
          <w:sz w:val="16"/>
          <w:szCs w:val="16"/>
          <w:lang w:val="sr-Cyrl-RS"/>
        </w:rPr>
        <w:t>, број</w:t>
      </w:r>
      <w:r w:rsidRPr="00B57FE8">
        <w:rPr>
          <w:rFonts w:ascii="Times New Roman" w:hAnsi="Times New Roman" w:cs="Times New Roman"/>
          <w:color w:val="auto"/>
          <w:sz w:val="16"/>
          <w:szCs w:val="16"/>
          <w:lang w:val="sr-Cyrl-RS"/>
        </w:rPr>
        <w:t xml:space="preserve"> 96/19) и Акциони план за период 2020–2022. године за примену Стратегије развоја вештачке интелигенције у Републици Србији за пер</w:t>
      </w:r>
      <w:r>
        <w:rPr>
          <w:rFonts w:ascii="Times New Roman" w:hAnsi="Times New Roman" w:cs="Times New Roman"/>
          <w:color w:val="auto"/>
          <w:sz w:val="16"/>
          <w:szCs w:val="16"/>
          <w:lang w:val="sr-Cyrl-RS"/>
        </w:rPr>
        <w:t>иод 2020–2025. година („Службени гласник РС</w:t>
      </w:r>
      <w:r w:rsidRPr="003C1DFF">
        <w:rPr>
          <w:rFonts w:ascii="Times New Roman" w:hAnsi="Times New Roman" w:cs="Times New Roman"/>
          <w:sz w:val="16"/>
          <w:szCs w:val="16"/>
          <w:lang w:val="sr-Cyrl-RS"/>
        </w:rPr>
        <w:t>”</w:t>
      </w:r>
      <w:r>
        <w:rPr>
          <w:rFonts w:ascii="Times New Roman" w:hAnsi="Times New Roman" w:cs="Times New Roman"/>
          <w:color w:val="auto"/>
          <w:sz w:val="16"/>
          <w:szCs w:val="16"/>
          <w:lang w:val="sr-Cyrl-RS"/>
        </w:rPr>
        <w:t>, број</w:t>
      </w:r>
      <w:r w:rsidRPr="00B57FE8">
        <w:rPr>
          <w:rFonts w:ascii="Times New Roman" w:hAnsi="Times New Roman" w:cs="Times New Roman"/>
          <w:color w:val="auto"/>
          <w:sz w:val="16"/>
          <w:szCs w:val="16"/>
          <w:lang w:val="sr-Cyrl-RS"/>
        </w:rPr>
        <w:t xml:space="preserve"> 81/20).</w:t>
      </w:r>
    </w:p>
  </w:footnote>
  <w:footnote w:id="124">
    <w:p w14:paraId="24560BE5" w14:textId="77777777" w:rsidR="00815ACD" w:rsidRPr="00B57FE8" w:rsidRDefault="00815ACD" w:rsidP="00B57FE8">
      <w:pPr>
        <w:pStyle w:val="FootnoteText"/>
        <w:spacing w:after="0"/>
        <w:ind w:firstLine="0"/>
        <w:rPr>
          <w:rFonts w:ascii="Times New Roman" w:hAnsi="Times New Roman" w:cs="Times New Roman"/>
          <w:sz w:val="16"/>
          <w:szCs w:val="16"/>
        </w:rPr>
      </w:pPr>
      <w:r w:rsidRPr="00B57FE8">
        <w:rPr>
          <w:rStyle w:val="FootnoteReference"/>
          <w:rFonts w:ascii="Times New Roman" w:hAnsi="Times New Roman" w:cs="Times New Roman"/>
          <w:color w:val="auto"/>
          <w:sz w:val="16"/>
          <w:szCs w:val="16"/>
        </w:rPr>
        <w:footnoteRef/>
      </w:r>
      <w:r w:rsidRPr="00B57FE8">
        <w:rPr>
          <w:rFonts w:ascii="Times New Roman" w:hAnsi="Times New Roman" w:cs="Times New Roman"/>
          <w:color w:val="auto"/>
          <w:sz w:val="16"/>
          <w:szCs w:val="16"/>
        </w:rPr>
        <w:t xml:space="preserve"> </w:t>
      </w:r>
      <w:r w:rsidRPr="00B57FE8">
        <w:rPr>
          <w:rFonts w:ascii="Times New Roman" w:hAnsi="Times New Roman" w:cs="Times New Roman"/>
          <w:color w:val="auto"/>
          <w:sz w:val="16"/>
          <w:szCs w:val="16"/>
          <w:lang w:val="sr-Cyrl-RS"/>
        </w:rPr>
        <w:t xml:space="preserve">Извор: РЗС </w:t>
      </w:r>
      <w:hyperlink r:id="rId58" w:history="1">
        <w:r w:rsidRPr="00B57FE8">
          <w:rPr>
            <w:rStyle w:val="Hyperlink"/>
            <w:rFonts w:ascii="Times New Roman" w:hAnsi="Times New Roman" w:cs="Times New Roman"/>
            <w:sz w:val="16"/>
            <w:szCs w:val="16"/>
          </w:rPr>
          <w:t>https://data.stat.gov.rs/Home/Result/100109?languageCode=sr-Cyrl</w:t>
        </w:r>
      </w:hyperlink>
      <w:r w:rsidRPr="00B57FE8">
        <w:rPr>
          <w:rFonts w:ascii="Times New Roman" w:hAnsi="Times New Roman" w:cs="Times New Roman"/>
          <w:sz w:val="16"/>
          <w:szCs w:val="16"/>
          <w:lang w:val="en-US"/>
        </w:rPr>
        <w:t xml:space="preserve"> </w:t>
      </w:r>
      <w:r w:rsidRPr="00B57FE8">
        <w:rPr>
          <w:rFonts w:ascii="Times New Roman" w:hAnsi="Times New Roman" w:cs="Times New Roman"/>
          <w:sz w:val="16"/>
          <w:szCs w:val="16"/>
          <w:lang w:val="sr-Cyrl-RS"/>
        </w:rPr>
        <w:t xml:space="preserve"> </w:t>
      </w:r>
    </w:p>
  </w:footnote>
  <w:footnote w:id="125">
    <w:p w14:paraId="14130731" w14:textId="77777777" w:rsidR="00815ACD" w:rsidRPr="00B57FE8" w:rsidRDefault="00815ACD" w:rsidP="00B57FE8">
      <w:pPr>
        <w:pStyle w:val="FootnoteText"/>
        <w:spacing w:after="0"/>
        <w:ind w:firstLine="0"/>
        <w:rPr>
          <w:rFonts w:ascii="Times New Roman" w:hAnsi="Times New Roman" w:cs="Times New Roman"/>
          <w:sz w:val="16"/>
          <w:szCs w:val="16"/>
          <w:lang w:val="sr-Cyrl-RS"/>
        </w:rPr>
      </w:pPr>
      <w:r w:rsidRPr="00B57FE8">
        <w:rPr>
          <w:rStyle w:val="FootnoteReference"/>
          <w:rFonts w:ascii="Times New Roman" w:hAnsi="Times New Roman" w:cs="Times New Roman"/>
          <w:color w:val="auto"/>
          <w:sz w:val="16"/>
          <w:szCs w:val="16"/>
        </w:rPr>
        <w:footnoteRef/>
      </w:r>
      <w:r w:rsidRPr="00B57FE8">
        <w:rPr>
          <w:rFonts w:ascii="Times New Roman" w:hAnsi="Times New Roman" w:cs="Times New Roman"/>
          <w:color w:val="auto"/>
          <w:sz w:val="16"/>
          <w:szCs w:val="16"/>
        </w:rPr>
        <w:t xml:space="preserve"> </w:t>
      </w:r>
      <w:r w:rsidRPr="00B57FE8">
        <w:rPr>
          <w:rFonts w:ascii="Times New Roman" w:hAnsi="Times New Roman" w:cs="Times New Roman"/>
          <w:color w:val="auto"/>
          <w:sz w:val="16"/>
          <w:szCs w:val="16"/>
          <w:lang w:val="sr-Cyrl-RS"/>
        </w:rPr>
        <w:t xml:space="preserve">Извор: </w:t>
      </w:r>
      <w:r w:rsidRPr="00B57FE8">
        <w:rPr>
          <w:rFonts w:ascii="Times New Roman" w:hAnsi="Times New Roman" w:cs="Times New Roman"/>
          <w:color w:val="auto"/>
          <w:sz w:val="16"/>
          <w:szCs w:val="16"/>
        </w:rPr>
        <w:t>Eurostat</w:t>
      </w:r>
      <w:r w:rsidRPr="00B57FE8">
        <w:rPr>
          <w:rFonts w:ascii="Times New Roman" w:hAnsi="Times New Roman" w:cs="Times New Roman"/>
          <w:color w:val="auto"/>
          <w:sz w:val="16"/>
          <w:szCs w:val="16"/>
          <w:lang w:val="sr-Cyrl-RS"/>
        </w:rPr>
        <w:t xml:space="preserve"> </w:t>
      </w:r>
      <w:hyperlink r:id="rId59" w:history="1">
        <w:r w:rsidRPr="00B57FE8">
          <w:rPr>
            <w:rStyle w:val="Hyperlink"/>
            <w:rFonts w:ascii="Times New Roman" w:eastAsia="MS PGothic" w:hAnsi="Times New Roman" w:cs="Times New Roman"/>
            <w:sz w:val="16"/>
            <w:szCs w:val="16"/>
            <w:lang w:val="sr-Cyrl-RS"/>
          </w:rPr>
          <w:t>https://ec.europa.eu/eurostat/databrowser/view/tsc00001/default/table?lang=en</w:t>
        </w:r>
      </w:hyperlink>
      <w:r w:rsidRPr="00B57FE8">
        <w:rPr>
          <w:rFonts w:ascii="Times New Roman" w:hAnsi="Times New Roman" w:cs="Times New Roman"/>
          <w:sz w:val="16"/>
          <w:szCs w:val="16"/>
          <w:lang w:val="sr-Cyrl-RS"/>
        </w:rPr>
        <w:t xml:space="preserve"> </w:t>
      </w:r>
    </w:p>
  </w:footnote>
  <w:footnote w:id="126">
    <w:p w14:paraId="3907A2B7" w14:textId="77777777" w:rsidR="00815ACD" w:rsidRPr="00B57FE8" w:rsidRDefault="00815ACD" w:rsidP="00B57FE8">
      <w:pPr>
        <w:pStyle w:val="FootnoteText"/>
        <w:spacing w:after="0"/>
        <w:ind w:firstLine="0"/>
        <w:rPr>
          <w:rFonts w:ascii="Times New Roman" w:hAnsi="Times New Roman" w:cs="Times New Roman"/>
          <w:color w:val="auto"/>
          <w:sz w:val="16"/>
          <w:szCs w:val="16"/>
          <w:lang w:val="sr-Cyrl-RS"/>
        </w:rPr>
      </w:pPr>
      <w:r w:rsidRPr="00B57FE8">
        <w:rPr>
          <w:rStyle w:val="FootnoteReference"/>
          <w:rFonts w:ascii="Times New Roman" w:hAnsi="Times New Roman" w:cs="Times New Roman"/>
          <w:color w:val="auto"/>
          <w:sz w:val="16"/>
          <w:szCs w:val="16"/>
        </w:rPr>
        <w:footnoteRef/>
      </w:r>
      <w:r w:rsidRPr="00B57FE8">
        <w:rPr>
          <w:rFonts w:ascii="Times New Roman" w:hAnsi="Times New Roman" w:cs="Times New Roman"/>
          <w:color w:val="auto"/>
          <w:sz w:val="16"/>
          <w:szCs w:val="16"/>
        </w:rPr>
        <w:t xml:space="preserve"> Хоризонт Европа је нови ЕУ програм за истраживање и иновације (2021-2027), са буџетом од 95,5 милијарди евра.</w:t>
      </w:r>
    </w:p>
  </w:footnote>
  <w:footnote w:id="127">
    <w:p w14:paraId="74FA1DFE" w14:textId="77777777" w:rsidR="00815ACD" w:rsidRPr="00B57FE8" w:rsidRDefault="00815ACD" w:rsidP="00B57FE8">
      <w:pPr>
        <w:pStyle w:val="FootnoteText"/>
        <w:spacing w:after="0"/>
        <w:ind w:firstLine="0"/>
        <w:rPr>
          <w:rFonts w:ascii="Times New Roman" w:hAnsi="Times New Roman" w:cs="Times New Roman"/>
          <w:color w:val="auto"/>
          <w:sz w:val="16"/>
          <w:szCs w:val="16"/>
          <w:lang w:val="sr-Cyrl-RS"/>
        </w:rPr>
      </w:pPr>
      <w:r w:rsidRPr="00B57FE8">
        <w:rPr>
          <w:rStyle w:val="FootnoteReference"/>
          <w:rFonts w:ascii="Times New Roman" w:hAnsi="Times New Roman" w:cs="Times New Roman"/>
          <w:color w:val="auto"/>
          <w:sz w:val="16"/>
          <w:szCs w:val="16"/>
        </w:rPr>
        <w:footnoteRef/>
      </w:r>
      <w:r w:rsidRPr="00B57FE8">
        <w:rPr>
          <w:rFonts w:ascii="Times New Roman" w:hAnsi="Times New Roman" w:cs="Times New Roman"/>
          <w:color w:val="auto"/>
          <w:sz w:val="16"/>
          <w:szCs w:val="16"/>
        </w:rPr>
        <w:t xml:space="preserve"> </w:t>
      </w:r>
      <w:r w:rsidRPr="00B57FE8">
        <w:rPr>
          <w:rFonts w:ascii="Times New Roman" w:hAnsi="Times New Roman" w:cs="Times New Roman"/>
          <w:color w:val="auto"/>
          <w:sz w:val="16"/>
          <w:szCs w:val="16"/>
          <w:lang w:val="sr-Cyrl-RS"/>
        </w:rPr>
        <w:t>Извор: Фонд за науку</w:t>
      </w:r>
    </w:p>
  </w:footnote>
  <w:footnote w:id="128">
    <w:p w14:paraId="3A5D9F78" w14:textId="77777777" w:rsidR="00815ACD" w:rsidRPr="00B57FE8" w:rsidRDefault="00815ACD" w:rsidP="00B57FE8">
      <w:pPr>
        <w:pStyle w:val="FootnoteText"/>
        <w:spacing w:after="0"/>
        <w:ind w:firstLine="0"/>
        <w:rPr>
          <w:rFonts w:ascii="Times New Roman" w:hAnsi="Times New Roman" w:cs="Times New Roman"/>
          <w:color w:val="auto"/>
          <w:sz w:val="16"/>
          <w:szCs w:val="16"/>
          <w:lang w:val="sr-Cyrl-RS"/>
        </w:rPr>
      </w:pPr>
      <w:r w:rsidRPr="00B57FE8">
        <w:rPr>
          <w:rStyle w:val="FootnoteReference"/>
          <w:rFonts w:ascii="Times New Roman" w:hAnsi="Times New Roman" w:cs="Times New Roman"/>
          <w:color w:val="auto"/>
          <w:sz w:val="16"/>
          <w:szCs w:val="16"/>
        </w:rPr>
        <w:footnoteRef/>
      </w:r>
      <w:r w:rsidRPr="00B57FE8">
        <w:rPr>
          <w:rFonts w:ascii="Times New Roman" w:hAnsi="Times New Roman" w:cs="Times New Roman"/>
          <w:color w:val="auto"/>
          <w:sz w:val="16"/>
          <w:szCs w:val="16"/>
        </w:rPr>
        <w:t xml:space="preserve"> </w:t>
      </w:r>
      <w:r w:rsidRPr="00B57FE8">
        <w:rPr>
          <w:rFonts w:ascii="Times New Roman" w:hAnsi="Times New Roman" w:cs="Times New Roman"/>
          <w:color w:val="auto"/>
          <w:sz w:val="16"/>
          <w:szCs w:val="16"/>
          <w:lang w:val="sr-Cyrl-RS"/>
        </w:rPr>
        <w:t>Јавни</w:t>
      </w:r>
      <w:r w:rsidRPr="00B57FE8">
        <w:rPr>
          <w:rFonts w:ascii="Times New Roman" w:hAnsi="Times New Roman" w:cs="Times New Roman"/>
          <w:color w:val="auto"/>
          <w:sz w:val="16"/>
          <w:szCs w:val="16"/>
        </w:rPr>
        <w:t xml:space="preserve"> позив за Програм ИДЕНТИТЕТИ </w:t>
      </w:r>
      <w:r w:rsidRPr="00B57FE8">
        <w:rPr>
          <w:rFonts w:ascii="Times New Roman" w:hAnsi="Times New Roman" w:cs="Times New Roman"/>
          <w:color w:val="auto"/>
          <w:sz w:val="16"/>
          <w:szCs w:val="16"/>
          <w:lang w:val="sr-Cyrl-RS"/>
        </w:rPr>
        <w:t xml:space="preserve">био је </w:t>
      </w:r>
      <w:r w:rsidRPr="00B57FE8">
        <w:rPr>
          <w:rFonts w:ascii="Times New Roman" w:hAnsi="Times New Roman" w:cs="Times New Roman"/>
          <w:color w:val="auto"/>
          <w:sz w:val="16"/>
          <w:szCs w:val="16"/>
        </w:rPr>
        <w:t xml:space="preserve">отворен </w:t>
      </w:r>
      <w:r w:rsidRPr="00B57FE8">
        <w:rPr>
          <w:rFonts w:ascii="Times New Roman" w:hAnsi="Times New Roman" w:cs="Times New Roman"/>
          <w:color w:val="auto"/>
          <w:sz w:val="16"/>
          <w:szCs w:val="16"/>
          <w:lang w:val="sr-Cyrl-RS"/>
        </w:rPr>
        <w:t>од</w:t>
      </w:r>
      <w:r w:rsidRPr="00B57FE8">
        <w:rPr>
          <w:rFonts w:ascii="Times New Roman" w:hAnsi="Times New Roman" w:cs="Times New Roman"/>
          <w:color w:val="auto"/>
          <w:sz w:val="16"/>
          <w:szCs w:val="16"/>
        </w:rPr>
        <w:t xml:space="preserve"> 14. марта до 20. маја 2022. године.</w:t>
      </w:r>
    </w:p>
  </w:footnote>
  <w:footnote w:id="129">
    <w:p w14:paraId="34BBA4B9" w14:textId="77777777" w:rsidR="00815ACD" w:rsidRPr="00B57FE8" w:rsidRDefault="00815ACD" w:rsidP="00B57FE8">
      <w:pPr>
        <w:pStyle w:val="FootnoteText"/>
        <w:spacing w:after="0"/>
        <w:ind w:firstLine="0"/>
        <w:rPr>
          <w:rFonts w:ascii="Times New Roman" w:hAnsi="Times New Roman" w:cs="Times New Roman"/>
          <w:color w:val="auto"/>
          <w:sz w:val="16"/>
          <w:szCs w:val="16"/>
          <w:lang w:val="sr-Cyrl-RS"/>
        </w:rPr>
      </w:pPr>
      <w:r w:rsidRPr="00B57FE8">
        <w:rPr>
          <w:rStyle w:val="FootnoteReference"/>
          <w:rFonts w:ascii="Times New Roman" w:hAnsi="Times New Roman" w:cs="Times New Roman"/>
          <w:color w:val="auto"/>
          <w:sz w:val="16"/>
          <w:szCs w:val="16"/>
        </w:rPr>
        <w:footnoteRef/>
      </w:r>
      <w:r w:rsidRPr="00B57FE8">
        <w:rPr>
          <w:rFonts w:ascii="Times New Roman" w:hAnsi="Times New Roman" w:cs="Times New Roman"/>
          <w:color w:val="auto"/>
          <w:sz w:val="16"/>
          <w:szCs w:val="16"/>
        </w:rPr>
        <w:t xml:space="preserve"> </w:t>
      </w:r>
      <w:r w:rsidRPr="00B57FE8">
        <w:rPr>
          <w:rFonts w:ascii="Times New Roman" w:hAnsi="Times New Roman" w:cs="Times New Roman"/>
          <w:color w:val="auto"/>
          <w:sz w:val="16"/>
          <w:szCs w:val="16"/>
          <w:lang w:val="sr-Cyrl-RS"/>
        </w:rPr>
        <w:t>П</w:t>
      </w:r>
      <w:r w:rsidRPr="00B57FE8">
        <w:rPr>
          <w:rFonts w:ascii="Times New Roman" w:hAnsi="Times New Roman" w:cs="Times New Roman"/>
          <w:color w:val="auto"/>
          <w:sz w:val="16"/>
          <w:szCs w:val="16"/>
        </w:rPr>
        <w:t>ријаве пројеката су се подносиле до 14. октобра 2022. године.</w:t>
      </w:r>
    </w:p>
  </w:footnote>
  <w:footnote w:id="130">
    <w:p w14:paraId="1DAB16CA" w14:textId="77777777" w:rsidR="00815ACD" w:rsidRPr="00B57FE8" w:rsidRDefault="00815ACD" w:rsidP="00B57FE8">
      <w:pPr>
        <w:pStyle w:val="FootnoteText"/>
        <w:spacing w:after="0"/>
        <w:ind w:firstLine="0"/>
        <w:rPr>
          <w:rFonts w:ascii="Times New Roman" w:hAnsi="Times New Roman" w:cs="Times New Roman"/>
          <w:color w:val="auto"/>
          <w:sz w:val="16"/>
          <w:szCs w:val="16"/>
          <w:lang w:val="sr-Cyrl-RS"/>
        </w:rPr>
      </w:pPr>
      <w:r w:rsidRPr="00B57FE8">
        <w:rPr>
          <w:rStyle w:val="FootnoteReference"/>
          <w:rFonts w:ascii="Times New Roman" w:hAnsi="Times New Roman" w:cs="Times New Roman"/>
          <w:color w:val="auto"/>
          <w:sz w:val="16"/>
          <w:szCs w:val="16"/>
        </w:rPr>
        <w:footnoteRef/>
      </w:r>
      <w:r w:rsidRPr="00B57FE8">
        <w:rPr>
          <w:rFonts w:ascii="Times New Roman" w:hAnsi="Times New Roman" w:cs="Times New Roman"/>
          <w:color w:val="auto"/>
          <w:sz w:val="16"/>
          <w:szCs w:val="16"/>
        </w:rPr>
        <w:t xml:space="preserve"> </w:t>
      </w:r>
      <w:r w:rsidRPr="00B57FE8">
        <w:rPr>
          <w:rFonts w:ascii="Times New Roman" w:hAnsi="Times New Roman" w:cs="Times New Roman"/>
          <w:color w:val="auto"/>
          <w:sz w:val="16"/>
          <w:szCs w:val="16"/>
          <w:lang w:val="sr-Cyrl-RS"/>
        </w:rPr>
        <w:t>П</w:t>
      </w:r>
      <w:r w:rsidRPr="00B57FE8">
        <w:rPr>
          <w:rFonts w:ascii="Times New Roman" w:hAnsi="Times New Roman" w:cs="Times New Roman"/>
          <w:color w:val="auto"/>
          <w:sz w:val="16"/>
          <w:szCs w:val="16"/>
        </w:rPr>
        <w:t>ријаве пројеката су се подносиле до 1</w:t>
      </w:r>
      <w:r w:rsidRPr="00B57FE8">
        <w:rPr>
          <w:rFonts w:ascii="Times New Roman" w:hAnsi="Times New Roman" w:cs="Times New Roman"/>
          <w:color w:val="auto"/>
          <w:sz w:val="16"/>
          <w:szCs w:val="16"/>
          <w:lang w:val="sr-Cyrl-RS"/>
        </w:rPr>
        <w:t>1</w:t>
      </w:r>
      <w:r w:rsidRPr="00B57FE8">
        <w:rPr>
          <w:rFonts w:ascii="Times New Roman" w:hAnsi="Times New Roman" w:cs="Times New Roman"/>
          <w:color w:val="auto"/>
          <w:sz w:val="16"/>
          <w:szCs w:val="16"/>
        </w:rPr>
        <w:t>. октобра 2022. године.</w:t>
      </w:r>
    </w:p>
  </w:footnote>
  <w:footnote w:id="131">
    <w:p w14:paraId="47960518" w14:textId="77777777" w:rsidR="00815ACD" w:rsidRPr="00B57FE8" w:rsidRDefault="00815ACD" w:rsidP="00B57FE8">
      <w:pPr>
        <w:pStyle w:val="FootnoteText"/>
        <w:spacing w:after="0"/>
        <w:ind w:firstLine="0"/>
        <w:rPr>
          <w:rFonts w:ascii="Times New Roman" w:hAnsi="Times New Roman" w:cs="Times New Roman"/>
          <w:sz w:val="16"/>
          <w:szCs w:val="16"/>
          <w:lang w:val="sr-Cyrl-RS"/>
        </w:rPr>
      </w:pPr>
      <w:r w:rsidRPr="00B57FE8">
        <w:rPr>
          <w:rStyle w:val="FootnoteReference"/>
          <w:rFonts w:ascii="Times New Roman" w:hAnsi="Times New Roman" w:cs="Times New Roman"/>
          <w:sz w:val="16"/>
          <w:szCs w:val="16"/>
        </w:rPr>
        <w:footnoteRef/>
      </w:r>
      <w:r w:rsidRPr="00B57FE8">
        <w:rPr>
          <w:rFonts w:ascii="Times New Roman" w:hAnsi="Times New Roman" w:cs="Times New Roman"/>
          <w:sz w:val="16"/>
          <w:szCs w:val="16"/>
        </w:rPr>
        <w:t xml:space="preserve"> </w:t>
      </w:r>
      <w:r w:rsidRPr="00B57FE8">
        <w:rPr>
          <w:rFonts w:ascii="Times New Roman" w:hAnsi="Times New Roman" w:cs="Times New Roman"/>
          <w:color w:val="auto"/>
          <w:sz w:val="16"/>
          <w:szCs w:val="16"/>
          <w:lang w:val="sr-Cyrl-RS"/>
        </w:rPr>
        <w:t>Извор: Фонд за иновациону делатност</w:t>
      </w:r>
      <w:r w:rsidRPr="00B57FE8">
        <w:rPr>
          <w:rFonts w:ascii="Times New Roman" w:hAnsi="Times New Roman" w:cs="Times New Roman"/>
          <w:sz w:val="16"/>
          <w:szCs w:val="16"/>
          <w:lang w:val="sr-Cyrl-RS"/>
        </w:rPr>
        <w:t xml:space="preserve">, </w:t>
      </w:r>
      <w:hyperlink r:id="rId60" w:history="1">
        <w:r w:rsidRPr="00B57FE8">
          <w:rPr>
            <w:rStyle w:val="Hyperlink"/>
            <w:rFonts w:ascii="Times New Roman" w:hAnsi="Times New Roman" w:cs="Times New Roman"/>
            <w:sz w:val="16"/>
            <w:szCs w:val="16"/>
            <w:lang w:val="sr-Cyrl-RS"/>
          </w:rPr>
          <w:t>http://www.inovacionifond.rs/cir/o-fondu/rezultati</w:t>
        </w:r>
      </w:hyperlink>
    </w:p>
  </w:footnote>
  <w:footnote w:id="132">
    <w:p w14:paraId="614E4F05" w14:textId="77777777" w:rsidR="00815ACD" w:rsidRPr="00B57FE8" w:rsidRDefault="00815ACD" w:rsidP="00B57FE8">
      <w:pPr>
        <w:pStyle w:val="FootnoteText"/>
        <w:spacing w:after="0"/>
        <w:ind w:firstLine="0"/>
        <w:rPr>
          <w:rFonts w:ascii="Times New Roman" w:hAnsi="Times New Roman" w:cs="Times New Roman"/>
          <w:color w:val="auto"/>
          <w:sz w:val="16"/>
          <w:szCs w:val="16"/>
          <w:lang w:val="sr-Cyrl-RS"/>
        </w:rPr>
      </w:pPr>
      <w:r w:rsidRPr="00B57FE8">
        <w:rPr>
          <w:rStyle w:val="FootnoteReference"/>
          <w:rFonts w:ascii="Times New Roman" w:hAnsi="Times New Roman" w:cs="Times New Roman"/>
          <w:color w:val="auto"/>
          <w:sz w:val="16"/>
          <w:szCs w:val="16"/>
        </w:rPr>
        <w:footnoteRef/>
      </w:r>
      <w:r w:rsidRPr="00B57FE8">
        <w:rPr>
          <w:rFonts w:ascii="Times New Roman" w:hAnsi="Times New Roman" w:cs="Times New Roman"/>
          <w:color w:val="auto"/>
          <w:sz w:val="16"/>
          <w:szCs w:val="16"/>
        </w:rPr>
        <w:t xml:space="preserve"> Ова платформа представља суперкомпјутер последње генерације, високих перформанси, спремна је да обради огромну количину информација у кратком временском периоду. На располагању је држави, локалној самоуправи, универзитетима, научно-технолошким парковима и стартап компанијама.</w:t>
      </w:r>
    </w:p>
  </w:footnote>
  <w:footnote w:id="133">
    <w:p w14:paraId="143A62D6" w14:textId="4EA1BA33" w:rsidR="00815ACD" w:rsidRPr="00B57FE8" w:rsidRDefault="00815ACD" w:rsidP="00B57FE8">
      <w:pPr>
        <w:pStyle w:val="FootnoteText"/>
        <w:spacing w:after="0"/>
        <w:ind w:firstLine="0"/>
        <w:rPr>
          <w:rFonts w:ascii="Times New Roman" w:hAnsi="Times New Roman" w:cs="Times New Roman"/>
          <w:color w:val="auto"/>
          <w:sz w:val="16"/>
          <w:szCs w:val="16"/>
          <w:lang w:val="sr-Cyrl-RS"/>
        </w:rPr>
      </w:pPr>
      <w:r w:rsidRPr="00B57FE8">
        <w:rPr>
          <w:rStyle w:val="FootnoteReference"/>
          <w:rFonts w:ascii="Times New Roman" w:hAnsi="Times New Roman" w:cs="Times New Roman"/>
          <w:color w:val="auto"/>
          <w:sz w:val="16"/>
          <w:szCs w:val="16"/>
        </w:rPr>
        <w:footnoteRef/>
      </w:r>
      <w:r w:rsidRPr="00B57FE8">
        <w:rPr>
          <w:rFonts w:ascii="Times New Roman" w:hAnsi="Times New Roman" w:cs="Times New Roman"/>
          <w:color w:val="auto"/>
          <w:sz w:val="16"/>
          <w:szCs w:val="16"/>
        </w:rPr>
        <w:t xml:space="preserve"> Заједнички</w:t>
      </w:r>
      <w:r w:rsidRPr="00B57FE8">
        <w:rPr>
          <w:rFonts w:ascii="Times New Roman" w:hAnsi="Times New Roman" w:cs="Times New Roman"/>
          <w:color w:val="auto"/>
          <w:sz w:val="16"/>
          <w:szCs w:val="16"/>
          <w:lang w:val="sr-Cyrl-RS"/>
        </w:rPr>
        <w:t xml:space="preserve"> </w:t>
      </w:r>
      <w:r w:rsidRPr="00B57FE8">
        <w:rPr>
          <w:rFonts w:ascii="Times New Roman" w:hAnsi="Times New Roman" w:cs="Times New Roman"/>
          <w:color w:val="auto"/>
          <w:sz w:val="16"/>
          <w:szCs w:val="16"/>
        </w:rPr>
        <w:t xml:space="preserve">основали </w:t>
      </w:r>
      <w:r w:rsidRPr="00B57FE8">
        <w:rPr>
          <w:rFonts w:ascii="Times New Roman" w:hAnsi="Times New Roman" w:cs="Times New Roman"/>
          <w:color w:val="auto"/>
          <w:sz w:val="16"/>
          <w:szCs w:val="16"/>
          <w:lang w:val="sr-Cyrl-RS"/>
        </w:rPr>
        <w:t>В</w:t>
      </w:r>
      <w:r w:rsidRPr="00B57FE8">
        <w:rPr>
          <w:rFonts w:ascii="Times New Roman" w:hAnsi="Times New Roman" w:cs="Times New Roman"/>
          <w:color w:val="auto"/>
          <w:sz w:val="16"/>
          <w:szCs w:val="16"/>
        </w:rPr>
        <w:t xml:space="preserve">лада и Светски економски форум </w:t>
      </w:r>
      <w:r w:rsidRPr="00B57FE8">
        <w:rPr>
          <w:rFonts w:ascii="Times New Roman" w:hAnsi="Times New Roman" w:cs="Times New Roman"/>
          <w:color w:val="auto"/>
          <w:sz w:val="16"/>
          <w:szCs w:val="16"/>
          <w:lang w:val="sr-Cyrl-RS"/>
        </w:rPr>
        <w:t>под окри</w:t>
      </w:r>
      <w:r w:rsidRPr="00B57FE8">
        <w:rPr>
          <w:rFonts w:ascii="Times New Roman" w:hAnsi="Times New Roman" w:cs="Times New Roman"/>
          <w:color w:val="auto"/>
          <w:sz w:val="16"/>
          <w:szCs w:val="16"/>
        </w:rPr>
        <w:t>љем Канцеларије за информационе технологије и електронску управу, а уз подршку Програма Уједињених нација за развој</w:t>
      </w:r>
      <w:r w:rsidRPr="00B57FE8">
        <w:rPr>
          <w:rFonts w:ascii="Times New Roman" w:hAnsi="Times New Roman" w:cs="Times New Roman"/>
          <w:color w:val="auto"/>
          <w:sz w:val="16"/>
          <w:szCs w:val="16"/>
          <w:lang w:val="sr-Cyrl-RS"/>
        </w:rPr>
        <w:t>.</w:t>
      </w:r>
    </w:p>
  </w:footnote>
  <w:footnote w:id="134">
    <w:p w14:paraId="1EEE746D" w14:textId="77777777" w:rsidR="00815ACD" w:rsidRPr="00B57FE8" w:rsidRDefault="00815ACD" w:rsidP="00B57FE8">
      <w:pPr>
        <w:pStyle w:val="FootnoteText"/>
        <w:spacing w:after="0"/>
        <w:ind w:firstLine="0"/>
        <w:rPr>
          <w:rFonts w:ascii="Times New Roman" w:hAnsi="Times New Roman" w:cs="Times New Roman"/>
          <w:sz w:val="16"/>
          <w:szCs w:val="16"/>
          <w:lang w:val="sr-Cyrl-RS"/>
        </w:rPr>
      </w:pPr>
      <w:r w:rsidRPr="00B57FE8">
        <w:rPr>
          <w:rStyle w:val="FootnoteReference"/>
          <w:rFonts w:ascii="Times New Roman" w:hAnsi="Times New Roman" w:cs="Times New Roman"/>
          <w:sz w:val="16"/>
          <w:szCs w:val="16"/>
        </w:rPr>
        <w:footnoteRef/>
      </w:r>
      <w:r w:rsidRPr="00B57FE8">
        <w:rPr>
          <w:rFonts w:ascii="Times New Roman" w:hAnsi="Times New Roman" w:cs="Times New Roman"/>
          <w:sz w:val="16"/>
          <w:szCs w:val="16"/>
        </w:rPr>
        <w:t xml:space="preserve"> Биотехнологиј</w:t>
      </w:r>
      <w:r w:rsidRPr="00B57FE8">
        <w:rPr>
          <w:rFonts w:ascii="Times New Roman" w:hAnsi="Times New Roman" w:cs="Times New Roman"/>
          <w:sz w:val="16"/>
          <w:szCs w:val="16"/>
          <w:lang w:val="sr-Cyrl-RS"/>
        </w:rPr>
        <w:t>а</w:t>
      </w:r>
      <w:r w:rsidRPr="00B57FE8">
        <w:rPr>
          <w:rFonts w:ascii="Times New Roman" w:hAnsi="Times New Roman" w:cs="Times New Roman"/>
          <w:sz w:val="16"/>
          <w:szCs w:val="16"/>
        </w:rPr>
        <w:t>, биомедицин</w:t>
      </w:r>
      <w:r w:rsidRPr="00B57FE8">
        <w:rPr>
          <w:rFonts w:ascii="Times New Roman" w:hAnsi="Times New Roman" w:cs="Times New Roman"/>
          <w:sz w:val="16"/>
          <w:szCs w:val="16"/>
          <w:lang w:val="sr-Cyrl-RS"/>
        </w:rPr>
        <w:t>а</w:t>
      </w:r>
      <w:r w:rsidRPr="00B57FE8">
        <w:rPr>
          <w:rFonts w:ascii="Times New Roman" w:hAnsi="Times New Roman" w:cs="Times New Roman"/>
          <w:sz w:val="16"/>
          <w:szCs w:val="16"/>
        </w:rPr>
        <w:t>, биоинформатик</w:t>
      </w:r>
      <w:r w:rsidRPr="00B57FE8">
        <w:rPr>
          <w:rFonts w:ascii="Times New Roman" w:hAnsi="Times New Roman" w:cs="Times New Roman"/>
          <w:sz w:val="16"/>
          <w:szCs w:val="16"/>
          <w:lang w:val="sr-Cyrl-RS"/>
        </w:rPr>
        <w:t>а</w:t>
      </w:r>
      <w:r w:rsidRPr="00B57FE8">
        <w:rPr>
          <w:rFonts w:ascii="Times New Roman" w:hAnsi="Times New Roman" w:cs="Times New Roman"/>
          <w:sz w:val="16"/>
          <w:szCs w:val="16"/>
        </w:rPr>
        <w:t xml:space="preserve"> и биодиверзитет</w:t>
      </w:r>
    </w:p>
  </w:footnote>
  <w:footnote w:id="135">
    <w:p w14:paraId="3CF5346B" w14:textId="77777777" w:rsidR="00815ACD" w:rsidRPr="00B57FE8" w:rsidRDefault="00815ACD" w:rsidP="00B57FE8">
      <w:pPr>
        <w:pStyle w:val="FootnoteText"/>
        <w:spacing w:after="0"/>
        <w:ind w:firstLine="0"/>
        <w:rPr>
          <w:rFonts w:ascii="Times New Roman" w:hAnsi="Times New Roman" w:cs="Times New Roman"/>
          <w:sz w:val="16"/>
          <w:szCs w:val="16"/>
          <w:lang w:val="sr-Cyrl-RS"/>
        </w:rPr>
      </w:pPr>
      <w:r w:rsidRPr="00B57FE8">
        <w:rPr>
          <w:rStyle w:val="FootnoteReference"/>
          <w:rFonts w:ascii="Times New Roman" w:hAnsi="Times New Roman" w:cs="Times New Roman"/>
          <w:sz w:val="16"/>
          <w:szCs w:val="16"/>
          <w:lang w:val="sr-Cyrl-RS"/>
        </w:rPr>
        <w:footnoteRef/>
      </w:r>
      <w:r w:rsidRPr="00B57FE8">
        <w:rPr>
          <w:rFonts w:ascii="Times New Roman" w:hAnsi="Times New Roman" w:cs="Times New Roman"/>
          <w:sz w:val="16"/>
          <w:szCs w:val="16"/>
          <w:lang w:val="sr-Cyrl-RS"/>
        </w:rPr>
        <w:t xml:space="preserve"> Извор: РЗС, обрачун РСЈП, </w:t>
      </w:r>
      <w:hyperlink r:id="rId61" w:history="1">
        <w:r w:rsidRPr="00B57FE8">
          <w:rPr>
            <w:rStyle w:val="Hyperlink"/>
            <w:rFonts w:ascii="Times New Roman" w:hAnsi="Times New Roman" w:cs="Times New Roman"/>
            <w:sz w:val="16"/>
            <w:szCs w:val="16"/>
            <w:lang w:val="sr-Cyrl-RS"/>
          </w:rPr>
          <w:t>https://data.stat.gov.rs/Home/Result/1005?languageCode=sr-Cyrl</w:t>
        </w:r>
      </w:hyperlink>
      <w:r w:rsidRPr="00B57FE8">
        <w:rPr>
          <w:rFonts w:ascii="Times New Roman" w:hAnsi="Times New Roman" w:cs="Times New Roman"/>
          <w:sz w:val="16"/>
          <w:szCs w:val="16"/>
          <w:lang w:val="sr-Cyrl-RS"/>
        </w:rPr>
        <w:t xml:space="preserve"> </w:t>
      </w:r>
    </w:p>
  </w:footnote>
  <w:footnote w:id="136">
    <w:p w14:paraId="25E8B6E7" w14:textId="77777777" w:rsidR="00815ACD" w:rsidRPr="00B57FE8" w:rsidRDefault="00815ACD" w:rsidP="00B57FE8">
      <w:pPr>
        <w:pStyle w:val="FootnoteText"/>
        <w:spacing w:after="0"/>
        <w:ind w:firstLine="0"/>
        <w:rPr>
          <w:rFonts w:ascii="Times New Roman" w:hAnsi="Times New Roman" w:cs="Times New Roman"/>
          <w:sz w:val="16"/>
          <w:szCs w:val="16"/>
          <w:lang w:val="sr-Latn-RS"/>
        </w:rPr>
      </w:pPr>
      <w:r w:rsidRPr="00B57FE8">
        <w:rPr>
          <w:rStyle w:val="FootnoteReference"/>
          <w:rFonts w:ascii="Times New Roman" w:hAnsi="Times New Roman" w:cs="Times New Roman"/>
          <w:sz w:val="16"/>
          <w:szCs w:val="16"/>
          <w:lang w:val="sr-Cyrl-RS"/>
        </w:rPr>
        <w:footnoteRef/>
      </w:r>
      <w:r w:rsidRPr="00B57FE8">
        <w:rPr>
          <w:rFonts w:ascii="Times New Roman" w:hAnsi="Times New Roman" w:cs="Times New Roman"/>
          <w:sz w:val="16"/>
          <w:szCs w:val="16"/>
          <w:lang w:val="sr-Cyrl-RS"/>
        </w:rPr>
        <w:t xml:space="preserve"> Извор: </w:t>
      </w:r>
      <w:r w:rsidRPr="00B57FE8">
        <w:rPr>
          <w:rFonts w:ascii="Times New Roman" w:hAnsi="Times New Roman" w:cs="Times New Roman"/>
          <w:sz w:val="16"/>
          <w:szCs w:val="16"/>
        </w:rPr>
        <w:t>Eurostat</w:t>
      </w:r>
      <w:r w:rsidRPr="00B57FE8">
        <w:rPr>
          <w:rFonts w:ascii="Times New Roman" w:hAnsi="Times New Roman" w:cs="Times New Roman"/>
          <w:sz w:val="16"/>
          <w:szCs w:val="16"/>
          <w:lang w:val="sr-Cyrl-RS"/>
        </w:rPr>
        <w:t xml:space="preserve"> </w:t>
      </w:r>
      <w:hyperlink r:id="rId62" w:history="1">
        <w:r w:rsidRPr="00B57FE8">
          <w:rPr>
            <w:rStyle w:val="Hyperlink"/>
            <w:rFonts w:ascii="Times New Roman" w:eastAsia="MS PGothic" w:hAnsi="Times New Roman" w:cs="Times New Roman"/>
            <w:sz w:val="16"/>
            <w:szCs w:val="16"/>
          </w:rPr>
          <w:t>https://ec.europa.eu/eurostat/databrowser/view/rd_p_perslf/default/table?lang=en</w:t>
        </w:r>
      </w:hyperlink>
      <w:r w:rsidRPr="00B57FE8">
        <w:rPr>
          <w:rFonts w:ascii="Times New Roman" w:hAnsi="Times New Roman" w:cs="Times New Roman"/>
          <w:sz w:val="16"/>
          <w:szCs w:val="16"/>
          <w:lang w:val="sr-Cyrl-RS"/>
        </w:rPr>
        <w:t xml:space="preserve"> </w:t>
      </w:r>
    </w:p>
  </w:footnote>
  <w:footnote w:id="137">
    <w:p w14:paraId="6BBD8113" w14:textId="7E25CC07" w:rsidR="00815ACD" w:rsidRPr="00B57FE8" w:rsidRDefault="00815ACD" w:rsidP="00B57FE8">
      <w:pPr>
        <w:pStyle w:val="FootnoteText"/>
        <w:spacing w:after="0"/>
        <w:ind w:firstLine="0"/>
        <w:rPr>
          <w:rFonts w:ascii="Times New Roman" w:hAnsi="Times New Roman" w:cs="Times New Roman"/>
          <w:color w:val="auto"/>
          <w:sz w:val="16"/>
          <w:szCs w:val="16"/>
          <w:lang w:val="sr-Cyrl-RS"/>
        </w:rPr>
      </w:pPr>
      <w:r w:rsidRPr="00B57FE8">
        <w:rPr>
          <w:rStyle w:val="FootnoteReference"/>
          <w:rFonts w:ascii="Times New Roman" w:hAnsi="Times New Roman" w:cs="Times New Roman"/>
          <w:color w:val="auto"/>
          <w:sz w:val="16"/>
          <w:szCs w:val="16"/>
          <w:lang w:val="sr-Cyrl-RS"/>
        </w:rPr>
        <w:footnoteRef/>
      </w:r>
      <w:r w:rsidRPr="00B57FE8">
        <w:rPr>
          <w:rFonts w:ascii="Times New Roman" w:hAnsi="Times New Roman" w:cs="Times New Roman"/>
          <w:color w:val="auto"/>
          <w:sz w:val="16"/>
          <w:szCs w:val="16"/>
          <w:lang w:val="sr-Cyrl-RS"/>
        </w:rPr>
        <w:t xml:space="preserve"> Извор: РЗС: Билтен „Научноистраживачка делатност у РС, 2021</w:t>
      </w:r>
      <w:r w:rsidRPr="003C1DFF">
        <w:rPr>
          <w:rFonts w:ascii="Times New Roman" w:hAnsi="Times New Roman" w:cs="Times New Roman"/>
          <w:sz w:val="16"/>
          <w:szCs w:val="16"/>
          <w:lang w:val="sr-Cyrl-RS"/>
        </w:rPr>
        <w:t>”</w:t>
      </w:r>
      <w:r w:rsidRPr="00B57FE8">
        <w:rPr>
          <w:rFonts w:ascii="Times New Roman" w:hAnsi="Times New Roman" w:cs="Times New Roman"/>
          <w:color w:val="auto"/>
          <w:sz w:val="16"/>
          <w:szCs w:val="16"/>
          <w:lang w:val="sr-Cyrl-RS"/>
        </w:rPr>
        <w:t>.</w:t>
      </w:r>
    </w:p>
  </w:footnote>
  <w:footnote w:id="138">
    <w:p w14:paraId="600DA8D7" w14:textId="77777777" w:rsidR="00815ACD" w:rsidRPr="00B57FE8" w:rsidRDefault="00815ACD" w:rsidP="00B57FE8">
      <w:pPr>
        <w:pStyle w:val="FootnoteText"/>
        <w:spacing w:after="0"/>
        <w:ind w:firstLine="0"/>
        <w:rPr>
          <w:rFonts w:ascii="Times New Roman" w:hAnsi="Times New Roman" w:cs="Times New Roman"/>
          <w:color w:val="auto"/>
          <w:sz w:val="16"/>
          <w:szCs w:val="16"/>
          <w:lang w:val="sr-Cyrl-RS"/>
        </w:rPr>
      </w:pPr>
      <w:r w:rsidRPr="00B57FE8">
        <w:rPr>
          <w:rStyle w:val="FootnoteReference"/>
          <w:rFonts w:ascii="Times New Roman" w:hAnsi="Times New Roman" w:cs="Times New Roman"/>
          <w:color w:val="auto"/>
          <w:sz w:val="16"/>
          <w:szCs w:val="16"/>
        </w:rPr>
        <w:footnoteRef/>
      </w:r>
      <w:r w:rsidRPr="00B57FE8">
        <w:rPr>
          <w:rFonts w:ascii="Times New Roman" w:hAnsi="Times New Roman" w:cs="Times New Roman"/>
          <w:color w:val="auto"/>
          <w:sz w:val="16"/>
          <w:szCs w:val="16"/>
        </w:rPr>
        <w:t xml:space="preserve"> </w:t>
      </w:r>
      <w:r w:rsidRPr="00B57FE8">
        <w:rPr>
          <w:rFonts w:ascii="Times New Roman" w:hAnsi="Times New Roman" w:cs="Times New Roman"/>
          <w:color w:val="auto"/>
          <w:sz w:val="16"/>
          <w:szCs w:val="16"/>
          <w:lang w:val="sr-Cyrl-RS"/>
        </w:rPr>
        <w:t>Извор</w:t>
      </w:r>
      <w:r w:rsidRPr="00B57FE8">
        <w:rPr>
          <w:rFonts w:ascii="Times New Roman" w:hAnsi="Times New Roman" w:cs="Times New Roman"/>
          <w:sz w:val="16"/>
          <w:szCs w:val="16"/>
          <w:lang w:val="sr-Cyrl-RS"/>
        </w:rPr>
        <w:t>:</w:t>
      </w:r>
      <w:r>
        <w:rPr>
          <w:rFonts w:ascii="Times New Roman" w:hAnsi="Times New Roman" w:cs="Times New Roman"/>
          <w:sz w:val="16"/>
          <w:szCs w:val="16"/>
          <w:lang w:val="en-US"/>
        </w:rPr>
        <w:t xml:space="preserve"> </w:t>
      </w:r>
      <w:r w:rsidRPr="00B57FE8">
        <w:rPr>
          <w:rFonts w:ascii="Times New Roman" w:hAnsi="Times New Roman" w:cs="Times New Roman"/>
          <w:color w:val="auto"/>
          <w:sz w:val="16"/>
          <w:szCs w:val="16"/>
          <w:lang w:val="sr-Cyrl-RS"/>
        </w:rPr>
        <w:t>РЗС,</w:t>
      </w:r>
      <w:r w:rsidRPr="00B57FE8">
        <w:rPr>
          <w:rFonts w:ascii="Times New Roman" w:eastAsiaTheme="minorHAnsi" w:hAnsi="Times New Roman" w:cs="Times New Roman"/>
          <w:bCs w:val="0"/>
          <w:color w:val="auto"/>
          <w:sz w:val="16"/>
          <w:szCs w:val="16"/>
          <w:lang w:val="sr-Cyrl-RS"/>
        </w:rPr>
        <w:t xml:space="preserve"> </w:t>
      </w:r>
      <w:r w:rsidRPr="00B57FE8">
        <w:rPr>
          <w:rFonts w:ascii="Times New Roman" w:hAnsi="Times New Roman" w:cs="Times New Roman"/>
          <w:color w:val="auto"/>
          <w:sz w:val="16"/>
          <w:szCs w:val="16"/>
          <w:lang w:val="sr-Cyrl-RS"/>
        </w:rPr>
        <w:t xml:space="preserve">Спољнотрговинска робна размена, коначни подаци 2021., </w:t>
      </w:r>
      <w:hyperlink r:id="rId63" w:history="1">
        <w:r w:rsidRPr="00B57FE8">
          <w:rPr>
            <w:rStyle w:val="Hyperlink"/>
            <w:rFonts w:ascii="Times New Roman" w:hAnsi="Times New Roman" w:cs="Times New Roman"/>
            <w:sz w:val="16"/>
            <w:szCs w:val="16"/>
          </w:rPr>
          <w:t>https://www.stat.gov.rs/sr-latn/vesti/20220715-spoljnotrgovinska-robna-razmena-konacni-podaci-2021/</w:t>
        </w:r>
      </w:hyperlink>
      <w:r w:rsidRPr="00B57FE8">
        <w:rPr>
          <w:rFonts w:ascii="Times New Roman" w:hAnsi="Times New Roman" w:cs="Times New Roman"/>
          <w:color w:val="auto"/>
          <w:sz w:val="16"/>
          <w:szCs w:val="16"/>
          <w:lang w:val="sr-Cyrl-RS"/>
        </w:rPr>
        <w:t xml:space="preserve"> </w:t>
      </w:r>
    </w:p>
  </w:footnote>
  <w:footnote w:id="139">
    <w:p w14:paraId="07133286" w14:textId="77777777" w:rsidR="00815ACD" w:rsidRPr="00B57FE8" w:rsidRDefault="00815ACD" w:rsidP="00B57FE8">
      <w:pPr>
        <w:pStyle w:val="FootnoteText"/>
        <w:spacing w:after="0"/>
        <w:ind w:firstLine="0"/>
        <w:rPr>
          <w:rFonts w:ascii="Times New Roman" w:hAnsi="Times New Roman" w:cs="Times New Roman"/>
          <w:color w:val="auto"/>
          <w:sz w:val="16"/>
          <w:szCs w:val="16"/>
          <w:lang w:val="sr-Cyrl-RS"/>
        </w:rPr>
      </w:pPr>
      <w:r w:rsidRPr="00B57FE8">
        <w:rPr>
          <w:rStyle w:val="FootnoteReference"/>
          <w:rFonts w:ascii="Times New Roman" w:hAnsi="Times New Roman" w:cs="Times New Roman"/>
          <w:color w:val="auto"/>
          <w:sz w:val="16"/>
          <w:szCs w:val="16"/>
        </w:rPr>
        <w:footnoteRef/>
      </w:r>
      <w:r w:rsidRPr="00B57FE8">
        <w:rPr>
          <w:rFonts w:ascii="Times New Roman" w:hAnsi="Times New Roman" w:cs="Times New Roman"/>
          <w:color w:val="auto"/>
          <w:sz w:val="16"/>
          <w:szCs w:val="16"/>
          <w:lang w:val="sr-Cyrl-RS"/>
        </w:rPr>
        <w:t xml:space="preserve"> Извор</w:t>
      </w:r>
      <w:r w:rsidRPr="00B57FE8">
        <w:rPr>
          <w:rFonts w:ascii="Times New Roman" w:hAnsi="Times New Roman" w:cs="Times New Roman"/>
          <w:sz w:val="16"/>
          <w:szCs w:val="16"/>
          <w:lang w:val="sr-Cyrl-RS"/>
        </w:rPr>
        <w:t>:</w:t>
      </w:r>
      <w:r w:rsidRPr="00B57FE8">
        <w:rPr>
          <w:rFonts w:ascii="Times New Roman" w:hAnsi="Times New Roman" w:cs="Times New Roman"/>
          <w:color w:val="auto"/>
          <w:sz w:val="16"/>
          <w:szCs w:val="16"/>
        </w:rPr>
        <w:t xml:space="preserve"> </w:t>
      </w:r>
      <w:r w:rsidRPr="00B57FE8">
        <w:rPr>
          <w:rFonts w:ascii="Times New Roman" w:hAnsi="Times New Roman" w:cs="Times New Roman"/>
          <w:color w:val="auto"/>
          <w:sz w:val="16"/>
          <w:szCs w:val="16"/>
          <w:lang w:val="sr-Cyrl-RS"/>
        </w:rPr>
        <w:t xml:space="preserve">РЗС, Спољнотрговинска робна размена, август 2022., </w:t>
      </w:r>
      <w:hyperlink r:id="rId64" w:history="1">
        <w:r w:rsidRPr="00B57FE8">
          <w:rPr>
            <w:rStyle w:val="Hyperlink"/>
            <w:rFonts w:ascii="Times New Roman" w:hAnsi="Times New Roman" w:cs="Times New Roman"/>
            <w:sz w:val="16"/>
            <w:szCs w:val="16"/>
            <w:lang w:val="sr-Cyrl-RS"/>
          </w:rPr>
          <w:t>https://www.stat.gov.rs/vesti/20220930-spoljnotrgovinska-robna-razmena-za-avgust-2022/</w:t>
        </w:r>
      </w:hyperlink>
      <w:r w:rsidRPr="00B57FE8">
        <w:rPr>
          <w:rFonts w:ascii="Times New Roman" w:hAnsi="Times New Roman" w:cs="Times New Roman"/>
          <w:color w:val="auto"/>
          <w:sz w:val="16"/>
          <w:szCs w:val="16"/>
          <w:lang w:val="sr-Cyrl-RS"/>
        </w:rPr>
        <w:t xml:space="preserve"> </w:t>
      </w:r>
    </w:p>
  </w:footnote>
  <w:footnote w:id="140">
    <w:p w14:paraId="0686002C" w14:textId="2D71152A" w:rsidR="00815ACD" w:rsidRPr="00B57FE8" w:rsidRDefault="00815ACD" w:rsidP="00B57FE8">
      <w:pPr>
        <w:pStyle w:val="FootnoteText"/>
        <w:spacing w:after="0"/>
        <w:ind w:firstLine="0"/>
        <w:rPr>
          <w:rFonts w:ascii="Times New Roman" w:hAnsi="Times New Roman" w:cs="Times New Roman"/>
          <w:color w:val="auto"/>
          <w:sz w:val="16"/>
          <w:szCs w:val="16"/>
          <w:lang w:val="sr-Cyrl-RS"/>
        </w:rPr>
      </w:pPr>
      <w:r w:rsidRPr="00B57FE8">
        <w:rPr>
          <w:rStyle w:val="FootnoteReference"/>
          <w:rFonts w:ascii="Times New Roman" w:hAnsi="Times New Roman" w:cs="Times New Roman"/>
          <w:color w:val="auto"/>
          <w:sz w:val="16"/>
          <w:szCs w:val="16"/>
        </w:rPr>
        <w:footnoteRef/>
      </w:r>
      <w:r w:rsidRPr="00B57FE8">
        <w:rPr>
          <w:rFonts w:ascii="Times New Roman" w:hAnsi="Times New Roman" w:cs="Times New Roman"/>
          <w:color w:val="auto"/>
          <w:sz w:val="16"/>
          <w:szCs w:val="16"/>
        </w:rPr>
        <w:t xml:space="preserve"> </w:t>
      </w:r>
      <w:r w:rsidRPr="00B57FE8">
        <w:rPr>
          <w:rFonts w:ascii="Times New Roman" w:hAnsi="Times New Roman" w:cs="Times New Roman"/>
          <w:color w:val="auto"/>
          <w:sz w:val="16"/>
          <w:szCs w:val="16"/>
          <w:lang w:val="sr-Cyrl-RS"/>
        </w:rPr>
        <w:t>Извор</w:t>
      </w:r>
      <w:r w:rsidRPr="00B57FE8">
        <w:rPr>
          <w:rFonts w:ascii="Times New Roman" w:hAnsi="Times New Roman" w:cs="Times New Roman"/>
          <w:sz w:val="16"/>
          <w:szCs w:val="16"/>
          <w:lang w:val="sr-Cyrl-RS"/>
        </w:rPr>
        <w:t>:</w:t>
      </w:r>
      <w:r>
        <w:rPr>
          <w:rFonts w:ascii="Times New Roman" w:hAnsi="Times New Roman" w:cs="Times New Roman"/>
          <w:sz w:val="16"/>
          <w:szCs w:val="16"/>
          <w:lang w:val="en-US"/>
        </w:rPr>
        <w:t xml:space="preserve"> </w:t>
      </w:r>
      <w:r w:rsidRPr="00B57FE8">
        <w:rPr>
          <w:rFonts w:ascii="Times New Roman" w:hAnsi="Times New Roman" w:cs="Times New Roman"/>
          <w:color w:val="auto"/>
          <w:sz w:val="16"/>
          <w:szCs w:val="16"/>
          <w:lang w:val="sr-Cyrl-RS"/>
        </w:rPr>
        <w:t>Н</w:t>
      </w:r>
      <w:r>
        <w:rPr>
          <w:rFonts w:ascii="Times New Roman" w:hAnsi="Times New Roman" w:cs="Times New Roman"/>
          <w:color w:val="auto"/>
          <w:sz w:val="16"/>
          <w:szCs w:val="16"/>
          <w:lang w:val="sr-Cyrl-RS"/>
        </w:rPr>
        <w:t>ародна банка Србије</w:t>
      </w:r>
      <w:r w:rsidRPr="00B57FE8">
        <w:rPr>
          <w:rFonts w:ascii="Times New Roman" w:hAnsi="Times New Roman" w:cs="Times New Roman"/>
          <w:color w:val="auto"/>
          <w:sz w:val="16"/>
          <w:szCs w:val="16"/>
          <w:lang w:val="sr-Cyrl-RS"/>
        </w:rPr>
        <w:t xml:space="preserve">, Платни биланс, </w:t>
      </w:r>
      <w:hyperlink r:id="rId65" w:history="1">
        <w:r w:rsidRPr="00B57FE8">
          <w:rPr>
            <w:rStyle w:val="Hyperlink"/>
            <w:rFonts w:ascii="Times New Roman" w:hAnsi="Times New Roman" w:cs="Times New Roman"/>
            <w:sz w:val="16"/>
            <w:szCs w:val="16"/>
            <w:lang w:val="sr-Cyrl-RS"/>
          </w:rPr>
          <w:t>https://nbs.rs/sr_RS/drugi-nivo-navigacije/statistika</w:t>
        </w:r>
      </w:hyperlink>
      <w:r w:rsidRPr="00B57FE8">
        <w:rPr>
          <w:rFonts w:ascii="Times New Roman" w:hAnsi="Times New Roman" w:cs="Times New Roman"/>
          <w:sz w:val="16"/>
          <w:szCs w:val="16"/>
          <w:lang w:val="sr-Cyrl-RS"/>
        </w:rPr>
        <w:t xml:space="preserve"> </w:t>
      </w:r>
    </w:p>
  </w:footnote>
  <w:footnote w:id="141">
    <w:p w14:paraId="5DC14205" w14:textId="77777777" w:rsidR="00815ACD" w:rsidRPr="00B57FE8" w:rsidRDefault="00815ACD" w:rsidP="00B57FE8">
      <w:pPr>
        <w:pStyle w:val="FootnoteText"/>
        <w:spacing w:after="0"/>
        <w:ind w:firstLine="0"/>
        <w:rPr>
          <w:rFonts w:ascii="Times New Roman" w:hAnsi="Times New Roman" w:cs="Times New Roman"/>
          <w:sz w:val="16"/>
          <w:szCs w:val="16"/>
          <w:lang w:val="sr-Cyrl-RS"/>
        </w:rPr>
      </w:pPr>
      <w:r w:rsidRPr="00B57FE8">
        <w:rPr>
          <w:rStyle w:val="FootnoteReference"/>
          <w:rFonts w:ascii="Times New Roman" w:hAnsi="Times New Roman" w:cs="Times New Roman"/>
          <w:color w:val="auto"/>
          <w:sz w:val="16"/>
          <w:szCs w:val="16"/>
        </w:rPr>
        <w:footnoteRef/>
      </w:r>
      <w:r w:rsidRPr="00B57FE8">
        <w:rPr>
          <w:rFonts w:ascii="Times New Roman" w:hAnsi="Times New Roman" w:cs="Times New Roman"/>
          <w:color w:val="auto"/>
          <w:sz w:val="16"/>
          <w:szCs w:val="16"/>
        </w:rPr>
        <w:t xml:space="preserve"> </w:t>
      </w:r>
      <w:r w:rsidRPr="00B57FE8">
        <w:rPr>
          <w:rFonts w:ascii="Times New Roman" w:hAnsi="Times New Roman" w:cs="Times New Roman"/>
          <w:color w:val="auto"/>
          <w:sz w:val="16"/>
          <w:szCs w:val="16"/>
          <w:lang w:val="sr-Cyrl-RS"/>
        </w:rPr>
        <w:t>Извор</w:t>
      </w:r>
      <w:r w:rsidRPr="00B57FE8">
        <w:rPr>
          <w:rFonts w:ascii="Times New Roman" w:hAnsi="Times New Roman" w:cs="Times New Roman"/>
          <w:sz w:val="16"/>
          <w:szCs w:val="16"/>
          <w:lang w:val="sr-Cyrl-RS"/>
        </w:rPr>
        <w:t>:</w:t>
      </w:r>
      <w:r>
        <w:rPr>
          <w:rFonts w:ascii="Times New Roman" w:hAnsi="Times New Roman" w:cs="Times New Roman"/>
          <w:sz w:val="16"/>
          <w:szCs w:val="16"/>
          <w:lang w:val="en-US"/>
        </w:rPr>
        <w:t xml:space="preserve"> </w:t>
      </w:r>
      <w:r w:rsidRPr="00B57FE8">
        <w:rPr>
          <w:rFonts w:ascii="Times New Roman" w:hAnsi="Times New Roman" w:cs="Times New Roman"/>
          <w:color w:val="auto"/>
          <w:sz w:val="16"/>
          <w:szCs w:val="16"/>
          <w:lang w:val="sr-Cyrl-RS"/>
        </w:rPr>
        <w:t xml:space="preserve">РЗС, Спољнотрговинска робна размена август 2022., </w:t>
      </w:r>
      <w:hyperlink r:id="rId66" w:history="1">
        <w:r w:rsidRPr="00B57FE8">
          <w:rPr>
            <w:rStyle w:val="Hyperlink"/>
            <w:rFonts w:ascii="Times New Roman" w:eastAsia="MS PGothic" w:hAnsi="Times New Roman" w:cs="Times New Roman"/>
            <w:sz w:val="16"/>
            <w:szCs w:val="16"/>
            <w:lang w:val="sr-Cyrl-RS"/>
          </w:rPr>
          <w:t>https://publikacije.stat.gov.rs/G2022/Pdf/G20221272.pdf</w:t>
        </w:r>
      </w:hyperlink>
      <w:r w:rsidRPr="00B57FE8">
        <w:rPr>
          <w:rFonts w:ascii="Times New Roman" w:hAnsi="Times New Roman" w:cs="Times New Roman"/>
          <w:sz w:val="16"/>
          <w:szCs w:val="16"/>
          <w:lang w:val="sr-Cyrl-RS"/>
        </w:rPr>
        <w:t xml:space="preserve"> </w:t>
      </w:r>
    </w:p>
  </w:footnote>
  <w:footnote w:id="142">
    <w:p w14:paraId="5A0E8FD5" w14:textId="77777777" w:rsidR="00815ACD" w:rsidRPr="00B57FE8" w:rsidRDefault="00815ACD" w:rsidP="00B57FE8">
      <w:pPr>
        <w:pStyle w:val="FootnoteText"/>
        <w:spacing w:after="0"/>
        <w:ind w:firstLine="0"/>
        <w:jc w:val="left"/>
        <w:rPr>
          <w:rFonts w:ascii="Times New Roman" w:hAnsi="Times New Roman" w:cs="Times New Roman"/>
          <w:sz w:val="16"/>
          <w:szCs w:val="16"/>
          <w:lang w:val="sr-Latn-RS"/>
        </w:rPr>
      </w:pPr>
      <w:r w:rsidRPr="00B57FE8">
        <w:rPr>
          <w:rStyle w:val="FootnoteReference"/>
          <w:rFonts w:ascii="Times New Roman" w:hAnsi="Times New Roman" w:cs="Times New Roman"/>
          <w:color w:val="auto"/>
          <w:sz w:val="16"/>
          <w:szCs w:val="16"/>
        </w:rPr>
        <w:footnoteRef/>
      </w:r>
      <w:r w:rsidRPr="00B57FE8">
        <w:rPr>
          <w:rFonts w:ascii="Times New Roman" w:hAnsi="Times New Roman" w:cs="Times New Roman"/>
          <w:color w:val="auto"/>
          <w:sz w:val="16"/>
          <w:szCs w:val="16"/>
          <w:lang w:val="sr-Cyrl-RS"/>
        </w:rPr>
        <w:t xml:space="preserve"> Извор</w:t>
      </w:r>
      <w:r w:rsidRPr="00B57FE8">
        <w:rPr>
          <w:rFonts w:ascii="Times New Roman" w:hAnsi="Times New Roman" w:cs="Times New Roman"/>
          <w:sz w:val="16"/>
          <w:szCs w:val="16"/>
          <w:lang w:val="sr-Cyrl-RS"/>
        </w:rPr>
        <w:t>:</w:t>
      </w:r>
      <w:r>
        <w:rPr>
          <w:rFonts w:ascii="Times New Roman" w:hAnsi="Times New Roman" w:cs="Times New Roman"/>
          <w:sz w:val="16"/>
          <w:szCs w:val="16"/>
          <w:lang w:val="en-US"/>
        </w:rPr>
        <w:t xml:space="preserve"> </w:t>
      </w:r>
      <w:r w:rsidRPr="00B57FE8">
        <w:rPr>
          <w:rFonts w:ascii="Times New Roman" w:hAnsi="Times New Roman" w:cs="Times New Roman"/>
          <w:color w:val="auto"/>
          <w:sz w:val="16"/>
          <w:szCs w:val="16"/>
          <w:lang w:val="sr-Latn-RS"/>
        </w:rPr>
        <w:t xml:space="preserve">Trade map, </w:t>
      </w:r>
      <w:hyperlink r:id="rId67" w:history="1">
        <w:r w:rsidRPr="00B57FE8">
          <w:rPr>
            <w:rStyle w:val="Hyperlink"/>
            <w:rFonts w:ascii="Times New Roman" w:hAnsi="Times New Roman" w:cs="Times New Roman"/>
            <w:sz w:val="16"/>
            <w:szCs w:val="16"/>
            <w:lang w:val="sr-Latn-RS"/>
          </w:rPr>
          <w:t>https://www.trademap.org/Bilateral_TS.aspx?nvpm=1%7c688%7c%7c%7c42%7cTOTAL%7c%7c%7c2%7c1%7c1%7c2%7c2%7c1%7c1%7c1%7c1%7c1</w:t>
        </w:r>
      </w:hyperlink>
      <w:r w:rsidRPr="00B57FE8">
        <w:rPr>
          <w:rFonts w:ascii="Times New Roman" w:hAnsi="Times New Roman" w:cs="Times New Roman"/>
          <w:sz w:val="16"/>
          <w:szCs w:val="16"/>
          <w:lang w:val="sr-Latn-RS"/>
        </w:rPr>
        <w:t xml:space="preserve"> </w:t>
      </w:r>
    </w:p>
  </w:footnote>
  <w:footnote w:id="143">
    <w:p w14:paraId="7BB0CC4C" w14:textId="77777777" w:rsidR="00815ACD" w:rsidRPr="00B57FE8" w:rsidRDefault="00815ACD" w:rsidP="00B57FE8">
      <w:pPr>
        <w:pStyle w:val="FootnoteText"/>
        <w:spacing w:after="0"/>
        <w:ind w:firstLine="0"/>
        <w:rPr>
          <w:rFonts w:ascii="Times New Roman" w:hAnsi="Times New Roman" w:cs="Times New Roman"/>
          <w:color w:val="auto"/>
          <w:sz w:val="16"/>
          <w:szCs w:val="16"/>
        </w:rPr>
      </w:pPr>
      <w:r w:rsidRPr="00B57FE8">
        <w:rPr>
          <w:rStyle w:val="FootnoteReference"/>
          <w:rFonts w:ascii="Times New Roman" w:hAnsi="Times New Roman" w:cs="Times New Roman"/>
          <w:color w:val="auto"/>
          <w:sz w:val="16"/>
          <w:szCs w:val="16"/>
        </w:rPr>
        <w:footnoteRef/>
      </w:r>
      <w:r w:rsidRPr="00B57FE8">
        <w:rPr>
          <w:rFonts w:ascii="Times New Roman" w:hAnsi="Times New Roman" w:cs="Times New Roman"/>
          <w:color w:val="auto"/>
          <w:sz w:val="16"/>
          <w:szCs w:val="16"/>
          <w:lang w:val="sr-Cyrl-RS"/>
        </w:rPr>
        <w:t xml:space="preserve"> Извор</w:t>
      </w:r>
      <w:r w:rsidRPr="00B57FE8">
        <w:rPr>
          <w:rFonts w:ascii="Times New Roman" w:hAnsi="Times New Roman" w:cs="Times New Roman"/>
          <w:sz w:val="16"/>
          <w:szCs w:val="16"/>
          <w:lang w:val="sr-Cyrl-RS"/>
        </w:rPr>
        <w:t>:</w:t>
      </w:r>
      <w:r>
        <w:rPr>
          <w:rFonts w:ascii="Times New Roman" w:hAnsi="Times New Roman" w:cs="Times New Roman"/>
          <w:sz w:val="16"/>
          <w:szCs w:val="16"/>
          <w:lang w:val="en-US"/>
        </w:rPr>
        <w:t xml:space="preserve"> </w:t>
      </w:r>
      <w:r w:rsidRPr="00B57FE8">
        <w:rPr>
          <w:rFonts w:ascii="Times New Roman" w:hAnsi="Times New Roman" w:cs="Times New Roman"/>
          <w:color w:val="auto"/>
          <w:sz w:val="16"/>
          <w:szCs w:val="16"/>
          <w:lang w:val="sr-Cyrl-RS"/>
        </w:rPr>
        <w:t xml:space="preserve">РЗС, Спољнотрговинска робна размена, коначни подаци 2021, </w:t>
      </w:r>
      <w:hyperlink r:id="rId68" w:history="1">
        <w:r w:rsidRPr="00B57FE8">
          <w:rPr>
            <w:rStyle w:val="Hyperlink"/>
            <w:rFonts w:ascii="Times New Roman" w:hAnsi="Times New Roman" w:cs="Times New Roman"/>
            <w:sz w:val="16"/>
            <w:szCs w:val="16"/>
            <w:lang w:val="sr-Cyrl-RS"/>
          </w:rPr>
          <w:t>https://www.stat.gov.rs/sr-latn/vesti/20220715-spoljnotrgovinska-robna-razmena-konacni-podaci-2021/</w:t>
        </w:r>
      </w:hyperlink>
      <w:r w:rsidRPr="00B57FE8">
        <w:rPr>
          <w:rFonts w:ascii="Times New Roman" w:hAnsi="Times New Roman" w:cs="Times New Roman"/>
          <w:color w:val="auto"/>
          <w:sz w:val="16"/>
          <w:szCs w:val="16"/>
          <w:lang w:val="sr-Cyrl-RS"/>
        </w:rPr>
        <w:t xml:space="preserve"> </w:t>
      </w:r>
    </w:p>
  </w:footnote>
  <w:footnote w:id="144">
    <w:p w14:paraId="489A6B5B" w14:textId="77777777" w:rsidR="00815ACD" w:rsidRPr="00B57FE8" w:rsidRDefault="00815ACD" w:rsidP="00B57FE8">
      <w:pPr>
        <w:pStyle w:val="FootnoteText"/>
        <w:spacing w:after="0"/>
        <w:ind w:firstLine="0"/>
        <w:rPr>
          <w:rFonts w:ascii="Times New Roman" w:hAnsi="Times New Roman" w:cs="Times New Roman"/>
          <w:sz w:val="16"/>
          <w:szCs w:val="16"/>
          <w:lang w:val="sr-Cyrl-RS"/>
        </w:rPr>
      </w:pPr>
      <w:r w:rsidRPr="00B57FE8">
        <w:rPr>
          <w:rStyle w:val="FootnoteReference"/>
          <w:rFonts w:ascii="Times New Roman" w:hAnsi="Times New Roman" w:cs="Times New Roman"/>
          <w:sz w:val="16"/>
          <w:szCs w:val="16"/>
        </w:rPr>
        <w:footnoteRef/>
      </w:r>
      <w:r w:rsidRPr="00B57FE8">
        <w:rPr>
          <w:rFonts w:ascii="Times New Roman" w:hAnsi="Times New Roman" w:cs="Times New Roman"/>
          <w:sz w:val="16"/>
          <w:szCs w:val="16"/>
        </w:rPr>
        <w:t xml:space="preserve"> </w:t>
      </w:r>
      <w:r w:rsidRPr="00B57FE8">
        <w:rPr>
          <w:rFonts w:ascii="Times New Roman" w:hAnsi="Times New Roman" w:cs="Times New Roman"/>
          <w:sz w:val="16"/>
          <w:szCs w:val="16"/>
          <w:lang w:val="sr-Cyrl-RS"/>
        </w:rPr>
        <w:t>Експ</w:t>
      </w:r>
      <w:r>
        <w:rPr>
          <w:rFonts w:ascii="Times New Roman" w:hAnsi="Times New Roman" w:cs="Times New Roman"/>
          <w:sz w:val="16"/>
          <w:szCs w:val="16"/>
          <w:lang w:val="sr-Cyrl-RS"/>
        </w:rPr>
        <w:t>ертска процена на основу постоје</w:t>
      </w:r>
      <w:r w:rsidRPr="00B57FE8">
        <w:rPr>
          <w:rFonts w:ascii="Times New Roman" w:hAnsi="Times New Roman" w:cs="Times New Roman"/>
          <w:sz w:val="16"/>
          <w:szCs w:val="16"/>
          <w:lang w:val="sr-Cyrl-RS"/>
        </w:rPr>
        <w:t xml:space="preserve">ћег тренда </w:t>
      </w:r>
    </w:p>
  </w:footnote>
  <w:footnote w:id="145">
    <w:p w14:paraId="671563B0" w14:textId="46BA0A6A" w:rsidR="00815ACD" w:rsidRPr="00B57FE8" w:rsidRDefault="00815ACD" w:rsidP="00B57FE8">
      <w:pPr>
        <w:pStyle w:val="FootnoteText"/>
        <w:spacing w:after="0"/>
        <w:ind w:firstLine="0"/>
        <w:rPr>
          <w:rFonts w:ascii="Times New Roman" w:hAnsi="Times New Roman" w:cs="Times New Roman"/>
          <w:sz w:val="16"/>
          <w:szCs w:val="16"/>
          <w:lang w:val="sr-Latn-RS"/>
        </w:rPr>
      </w:pPr>
      <w:r w:rsidRPr="00B57FE8">
        <w:rPr>
          <w:rStyle w:val="FootnoteReference"/>
          <w:rFonts w:ascii="Times New Roman" w:hAnsi="Times New Roman" w:cs="Times New Roman"/>
          <w:sz w:val="16"/>
          <w:szCs w:val="16"/>
        </w:rPr>
        <w:footnoteRef/>
      </w:r>
      <w:r w:rsidRPr="00B57FE8">
        <w:rPr>
          <w:rFonts w:ascii="Times New Roman" w:hAnsi="Times New Roman" w:cs="Times New Roman"/>
          <w:sz w:val="16"/>
          <w:szCs w:val="16"/>
        </w:rPr>
        <w:t xml:space="preserve"> Глобални преглед (UN Global Survey on Digital and Sustainable Trade Facilitation) се објављује на сваке две године, а обухвата приказ 143 економије широм света и то кроз анализу примене мера које се односе на </w:t>
      </w:r>
      <w:r>
        <w:rPr>
          <w:rFonts w:ascii="Times New Roman" w:hAnsi="Times New Roman" w:cs="Times New Roman"/>
          <w:sz w:val="16"/>
          <w:szCs w:val="16"/>
          <w:lang w:val="sr-Cyrl-RS"/>
        </w:rPr>
        <w:t>примену</w:t>
      </w:r>
      <w:r w:rsidRPr="00B57FE8">
        <w:rPr>
          <w:rFonts w:ascii="Times New Roman" w:hAnsi="Times New Roman" w:cs="Times New Roman"/>
          <w:sz w:val="16"/>
          <w:szCs w:val="16"/>
        </w:rPr>
        <w:t xml:space="preserve"> одредби Споразума о олакшању трговине СТО. На основу информација из упитника експерти УН врше евалуацију оствареног напретка у појединачним земљама.</w:t>
      </w:r>
    </w:p>
  </w:footnote>
  <w:footnote w:id="146">
    <w:p w14:paraId="3A9E4AC7" w14:textId="77777777" w:rsidR="00815ACD" w:rsidRPr="00B57FE8" w:rsidRDefault="00815ACD" w:rsidP="00B57FE8">
      <w:pPr>
        <w:pStyle w:val="FootnoteText"/>
        <w:spacing w:after="0"/>
        <w:ind w:firstLine="0"/>
        <w:rPr>
          <w:rFonts w:ascii="Times New Roman" w:hAnsi="Times New Roman" w:cs="Times New Roman"/>
          <w:sz w:val="16"/>
          <w:szCs w:val="16"/>
          <w:lang w:val="sr-Cyrl-RS"/>
        </w:rPr>
      </w:pPr>
      <w:r w:rsidRPr="00B57FE8">
        <w:rPr>
          <w:rStyle w:val="FootnoteReference"/>
          <w:rFonts w:ascii="Times New Roman" w:hAnsi="Times New Roman" w:cs="Times New Roman"/>
          <w:sz w:val="16"/>
          <w:szCs w:val="16"/>
        </w:rPr>
        <w:footnoteRef/>
      </w:r>
      <w:r w:rsidRPr="00B57FE8">
        <w:rPr>
          <w:rFonts w:ascii="Times New Roman" w:hAnsi="Times New Roman" w:cs="Times New Roman"/>
          <w:sz w:val="16"/>
          <w:szCs w:val="16"/>
        </w:rPr>
        <w:t xml:space="preserve"> </w:t>
      </w:r>
      <w:r w:rsidRPr="00B57FE8">
        <w:rPr>
          <w:rFonts w:ascii="Times New Roman" w:hAnsi="Times New Roman" w:cs="Times New Roman"/>
          <w:sz w:val="16"/>
          <w:szCs w:val="16"/>
          <w:lang w:val="sr-Cyrl-RS"/>
        </w:rPr>
        <w:t>Последња оцена испуњености мера за олакшавање трговине је објављена 2021. године. Наредни извештај се очекује 2023. године.</w:t>
      </w:r>
    </w:p>
  </w:footnote>
  <w:footnote w:id="147">
    <w:p w14:paraId="65A78716" w14:textId="6A2E550E" w:rsidR="00815ACD" w:rsidRPr="006944C5" w:rsidRDefault="00815ACD" w:rsidP="006944C5">
      <w:pPr>
        <w:pStyle w:val="FootnoteText"/>
        <w:spacing w:after="0"/>
        <w:ind w:firstLine="0"/>
        <w:jc w:val="left"/>
        <w:rPr>
          <w:rFonts w:ascii="Times New Roman" w:hAnsi="Times New Roman" w:cs="Times New Roman"/>
          <w:sz w:val="16"/>
          <w:szCs w:val="16"/>
          <w:lang w:val="sr-Cyrl-RS"/>
        </w:rPr>
      </w:pPr>
      <w:r w:rsidRPr="006944C5">
        <w:rPr>
          <w:rStyle w:val="FootnoteReference"/>
          <w:rFonts w:ascii="Times New Roman" w:hAnsi="Times New Roman" w:cs="Times New Roman"/>
          <w:sz w:val="16"/>
          <w:szCs w:val="16"/>
        </w:rPr>
        <w:footnoteRef/>
      </w:r>
      <w:r w:rsidRPr="006944C5">
        <w:rPr>
          <w:rFonts w:ascii="Times New Roman" w:hAnsi="Times New Roman" w:cs="Times New Roman"/>
          <w:sz w:val="16"/>
          <w:szCs w:val="16"/>
        </w:rPr>
        <w:t xml:space="preserve"> </w:t>
      </w:r>
      <w:r w:rsidRPr="006944C5">
        <w:rPr>
          <w:rFonts w:ascii="Times New Roman" w:hAnsi="Times New Roman" w:cs="Times New Roman"/>
          <w:color w:val="auto"/>
          <w:sz w:val="16"/>
          <w:szCs w:val="16"/>
          <w:lang w:val="sr-Cyrl-RS"/>
        </w:rPr>
        <w:t>Годишњи</w:t>
      </w:r>
      <w:r w:rsidRPr="006944C5">
        <w:rPr>
          <w:rFonts w:ascii="Times New Roman" w:hAnsi="Times New Roman" w:cs="Times New Roman"/>
          <w:sz w:val="16"/>
          <w:szCs w:val="16"/>
        </w:rPr>
        <w:t xml:space="preserve"> извештај о наплати путарине ЈП ,,Путеви Србије</w:t>
      </w:r>
      <w:r>
        <w:rPr>
          <w:rFonts w:ascii="Times New Roman" w:hAnsi="Times New Roman" w:cs="Times New Roman"/>
          <w:sz w:val="16"/>
          <w:szCs w:val="16"/>
        </w:rPr>
        <w:t>ˮ</w:t>
      </w:r>
      <w:r w:rsidRPr="006944C5">
        <w:rPr>
          <w:rFonts w:ascii="Times New Roman" w:hAnsi="Times New Roman" w:cs="Times New Roman"/>
          <w:sz w:val="16"/>
          <w:szCs w:val="16"/>
        </w:rPr>
        <w:t>,</w:t>
      </w:r>
      <w:r w:rsidRPr="006944C5">
        <w:rPr>
          <w:rFonts w:ascii="Times New Roman" w:hAnsi="Times New Roman" w:cs="Times New Roman"/>
          <w:sz w:val="16"/>
          <w:szCs w:val="16"/>
          <w:lang w:val="sr-Cyrl-RS"/>
        </w:rPr>
        <w:t xml:space="preserve"> </w:t>
      </w:r>
      <w:hyperlink r:id="rId69" w:history="1">
        <w:r w:rsidRPr="006944C5">
          <w:rPr>
            <w:rStyle w:val="Hyperlink"/>
            <w:rFonts w:ascii="Times New Roman" w:hAnsi="Times New Roman" w:cs="Times New Roman"/>
            <w:sz w:val="16"/>
            <w:szCs w:val="16"/>
            <w:lang w:val="sr-Cyrl-RS"/>
          </w:rPr>
          <w:t>https://www.putevi-srbije.rs/images/pdf/suiss/UISS_godisnji_izvestaj_2021.pdf</w:t>
        </w:r>
      </w:hyperlink>
      <w:r w:rsidRPr="006944C5">
        <w:rPr>
          <w:rFonts w:ascii="Times New Roman" w:hAnsi="Times New Roman" w:cs="Times New Roman"/>
          <w:sz w:val="16"/>
          <w:szCs w:val="16"/>
          <w:lang w:val="sr-Cyrl-RS"/>
        </w:rPr>
        <w:t xml:space="preserve"> </w:t>
      </w:r>
    </w:p>
  </w:footnote>
  <w:footnote w:id="148">
    <w:p w14:paraId="66F64C2E" w14:textId="77777777" w:rsidR="00815ACD" w:rsidRPr="006944C5" w:rsidRDefault="00815ACD" w:rsidP="00B57FE8">
      <w:pPr>
        <w:pStyle w:val="FootnoteText"/>
        <w:spacing w:after="0"/>
        <w:ind w:firstLine="0"/>
        <w:rPr>
          <w:rFonts w:ascii="Times New Roman" w:hAnsi="Times New Roman" w:cs="Times New Roman"/>
          <w:sz w:val="16"/>
          <w:szCs w:val="16"/>
          <w:lang w:val="sr-Cyrl-RS"/>
        </w:rPr>
      </w:pPr>
      <w:r w:rsidRPr="006944C5">
        <w:rPr>
          <w:rFonts w:ascii="Times New Roman" w:hAnsi="Times New Roman" w:cs="Times New Roman"/>
          <w:sz w:val="16"/>
          <w:szCs w:val="16"/>
          <w:vertAlign w:val="superscript"/>
        </w:rPr>
        <w:footnoteRef/>
      </w:r>
      <w:r w:rsidRPr="006944C5">
        <w:rPr>
          <w:rFonts w:ascii="Times New Roman" w:hAnsi="Times New Roman" w:cs="Times New Roman"/>
          <w:sz w:val="16"/>
          <w:szCs w:val="16"/>
        </w:rPr>
        <w:t xml:space="preserve"> </w:t>
      </w:r>
      <w:r w:rsidRPr="006944C5">
        <w:rPr>
          <w:rFonts w:ascii="Times New Roman" w:hAnsi="Times New Roman" w:cs="Times New Roman"/>
          <w:color w:val="auto"/>
          <w:sz w:val="16"/>
          <w:szCs w:val="16"/>
          <w:lang w:val="sr-Cyrl-RS"/>
        </w:rPr>
        <w:t>Извор</w:t>
      </w:r>
      <w:r w:rsidRPr="006944C5">
        <w:rPr>
          <w:rFonts w:ascii="Times New Roman" w:hAnsi="Times New Roman" w:cs="Times New Roman"/>
          <w:sz w:val="16"/>
          <w:szCs w:val="16"/>
          <w:lang w:val="sr-Cyrl-RS"/>
        </w:rPr>
        <w:t>:</w:t>
      </w:r>
      <w:r>
        <w:rPr>
          <w:rFonts w:ascii="Times New Roman" w:hAnsi="Times New Roman" w:cs="Times New Roman"/>
          <w:sz w:val="16"/>
          <w:szCs w:val="16"/>
          <w:lang w:val="sr-Cyrl-RS"/>
        </w:rPr>
        <w:t xml:space="preserve"> </w:t>
      </w:r>
      <w:r w:rsidRPr="006944C5">
        <w:rPr>
          <w:rFonts w:ascii="Times New Roman" w:hAnsi="Times New Roman" w:cs="Times New Roman"/>
          <w:color w:val="auto"/>
          <w:sz w:val="16"/>
          <w:szCs w:val="16"/>
          <w:lang w:val="sr-Cyrl-RS"/>
        </w:rPr>
        <w:t>РЗС</w:t>
      </w:r>
      <w:r w:rsidRPr="006944C5">
        <w:rPr>
          <w:rFonts w:ascii="Times New Roman" w:hAnsi="Times New Roman" w:cs="Times New Roman"/>
          <w:sz w:val="16"/>
          <w:szCs w:val="16"/>
        </w:rPr>
        <w:t xml:space="preserve">, </w:t>
      </w:r>
      <w:hyperlink r:id="rId70" w:history="1">
        <w:r w:rsidRPr="006944C5">
          <w:rPr>
            <w:rStyle w:val="Hyperlink"/>
            <w:rFonts w:ascii="Times New Roman" w:hAnsi="Times New Roman" w:cs="Times New Roman"/>
            <w:sz w:val="16"/>
            <w:szCs w:val="16"/>
          </w:rPr>
          <w:t>https://publikacije.stat.gov.rs/G2022/Pdf/G20221177.pdf</w:t>
        </w:r>
      </w:hyperlink>
      <w:r w:rsidRPr="006944C5">
        <w:rPr>
          <w:rFonts w:ascii="Times New Roman" w:hAnsi="Times New Roman" w:cs="Times New Roman"/>
          <w:sz w:val="16"/>
          <w:szCs w:val="16"/>
          <w:lang w:val="sr-Cyrl-RS"/>
        </w:rPr>
        <w:t xml:space="preserve"> </w:t>
      </w:r>
    </w:p>
  </w:footnote>
  <w:footnote w:id="149">
    <w:p w14:paraId="11D55DDA" w14:textId="77777777" w:rsidR="00815ACD" w:rsidRPr="006944C5" w:rsidRDefault="00815ACD" w:rsidP="00B57FE8">
      <w:pPr>
        <w:pStyle w:val="FootnoteText"/>
        <w:spacing w:after="0"/>
        <w:ind w:firstLine="0"/>
        <w:rPr>
          <w:rFonts w:ascii="Times New Roman" w:hAnsi="Times New Roman" w:cs="Times New Roman"/>
          <w:sz w:val="16"/>
          <w:szCs w:val="16"/>
          <w:lang w:val="sr-Cyrl-RS"/>
        </w:rPr>
      </w:pPr>
      <w:r w:rsidRPr="006944C5">
        <w:rPr>
          <w:rFonts w:ascii="Times New Roman" w:hAnsi="Times New Roman" w:cs="Times New Roman"/>
          <w:sz w:val="16"/>
          <w:szCs w:val="16"/>
          <w:vertAlign w:val="superscript"/>
        </w:rPr>
        <w:footnoteRef/>
      </w:r>
      <w:r w:rsidRPr="006944C5">
        <w:rPr>
          <w:rFonts w:ascii="Times New Roman" w:hAnsi="Times New Roman" w:cs="Times New Roman"/>
          <w:sz w:val="16"/>
          <w:szCs w:val="16"/>
        </w:rPr>
        <w:t xml:space="preserve"> </w:t>
      </w:r>
      <w:r w:rsidRPr="006944C5">
        <w:rPr>
          <w:rFonts w:ascii="Times New Roman" w:hAnsi="Times New Roman" w:cs="Times New Roman"/>
          <w:color w:val="auto"/>
          <w:sz w:val="16"/>
          <w:szCs w:val="16"/>
          <w:lang w:val="sr-Cyrl-RS"/>
        </w:rPr>
        <w:t>Извор</w:t>
      </w:r>
      <w:r w:rsidRPr="006944C5">
        <w:rPr>
          <w:rFonts w:ascii="Times New Roman" w:hAnsi="Times New Roman" w:cs="Times New Roman"/>
          <w:sz w:val="16"/>
          <w:szCs w:val="16"/>
          <w:lang w:val="sr-Cyrl-RS"/>
        </w:rPr>
        <w:t>:</w:t>
      </w:r>
      <w:r>
        <w:rPr>
          <w:rFonts w:ascii="Times New Roman" w:hAnsi="Times New Roman" w:cs="Times New Roman"/>
          <w:sz w:val="16"/>
          <w:szCs w:val="16"/>
          <w:lang w:val="sr-Cyrl-RS"/>
        </w:rPr>
        <w:t xml:space="preserve"> </w:t>
      </w:r>
      <w:r w:rsidRPr="006944C5">
        <w:rPr>
          <w:rFonts w:ascii="Times New Roman" w:hAnsi="Times New Roman" w:cs="Times New Roman"/>
          <w:color w:val="auto"/>
          <w:sz w:val="16"/>
          <w:szCs w:val="16"/>
          <w:lang w:val="sr-Cyrl-RS"/>
        </w:rPr>
        <w:t>РЗС</w:t>
      </w:r>
      <w:r w:rsidRPr="006944C5">
        <w:rPr>
          <w:rFonts w:ascii="Times New Roman" w:hAnsi="Times New Roman" w:cs="Times New Roman"/>
          <w:sz w:val="16"/>
          <w:szCs w:val="16"/>
        </w:rPr>
        <w:t xml:space="preserve">, </w:t>
      </w:r>
      <w:hyperlink r:id="rId71" w:history="1">
        <w:r w:rsidRPr="006944C5">
          <w:rPr>
            <w:rStyle w:val="Hyperlink"/>
            <w:rFonts w:ascii="Times New Roman" w:hAnsi="Times New Roman" w:cs="Times New Roman"/>
            <w:sz w:val="16"/>
            <w:szCs w:val="16"/>
          </w:rPr>
          <w:t>https://publikacije.stat.gov.rs/G2022/Pdf/G20221153.pdf</w:t>
        </w:r>
      </w:hyperlink>
      <w:r w:rsidRPr="006944C5">
        <w:rPr>
          <w:rFonts w:ascii="Times New Roman" w:hAnsi="Times New Roman" w:cs="Times New Roman"/>
          <w:sz w:val="16"/>
          <w:szCs w:val="16"/>
          <w:lang w:val="sr-Cyrl-RS"/>
        </w:rPr>
        <w:t xml:space="preserve"> </w:t>
      </w:r>
    </w:p>
  </w:footnote>
  <w:footnote w:id="150">
    <w:p w14:paraId="417E1F34" w14:textId="77777777" w:rsidR="00815ACD" w:rsidRPr="006944C5" w:rsidRDefault="00815ACD" w:rsidP="006944C5">
      <w:pPr>
        <w:pStyle w:val="FootnoteText"/>
        <w:spacing w:after="0"/>
        <w:ind w:firstLine="0"/>
        <w:jc w:val="left"/>
        <w:rPr>
          <w:rFonts w:ascii="Times New Roman" w:hAnsi="Times New Roman" w:cs="Times New Roman"/>
          <w:sz w:val="16"/>
          <w:szCs w:val="16"/>
          <w:lang w:val="sr-Cyrl-RS"/>
        </w:rPr>
      </w:pPr>
      <w:r w:rsidRPr="006944C5">
        <w:rPr>
          <w:rFonts w:ascii="Times New Roman" w:hAnsi="Times New Roman" w:cs="Times New Roman"/>
          <w:sz w:val="16"/>
          <w:szCs w:val="16"/>
          <w:vertAlign w:val="superscript"/>
        </w:rPr>
        <w:footnoteRef/>
      </w:r>
      <w:r w:rsidRPr="006944C5">
        <w:rPr>
          <w:rFonts w:ascii="Times New Roman" w:hAnsi="Times New Roman" w:cs="Times New Roman"/>
          <w:sz w:val="16"/>
          <w:szCs w:val="16"/>
        </w:rPr>
        <w:t xml:space="preserve"> </w:t>
      </w:r>
      <w:r w:rsidRPr="006944C5">
        <w:rPr>
          <w:rFonts w:ascii="Times New Roman" w:hAnsi="Times New Roman" w:cs="Times New Roman"/>
          <w:color w:val="auto"/>
          <w:sz w:val="16"/>
          <w:szCs w:val="16"/>
          <w:lang w:val="sr-Cyrl-RS"/>
        </w:rPr>
        <w:t>Извор</w:t>
      </w:r>
      <w:r w:rsidRPr="006944C5">
        <w:rPr>
          <w:rFonts w:ascii="Times New Roman" w:hAnsi="Times New Roman" w:cs="Times New Roman"/>
          <w:sz w:val="16"/>
          <w:szCs w:val="16"/>
          <w:lang w:val="sr-Cyrl-RS"/>
        </w:rPr>
        <w:t>:</w:t>
      </w:r>
      <w:r>
        <w:rPr>
          <w:rFonts w:ascii="Times New Roman" w:hAnsi="Times New Roman" w:cs="Times New Roman"/>
          <w:sz w:val="16"/>
          <w:szCs w:val="16"/>
          <w:lang w:val="sr-Cyrl-RS"/>
        </w:rPr>
        <w:t xml:space="preserve"> </w:t>
      </w:r>
      <w:r w:rsidRPr="006944C5">
        <w:rPr>
          <w:rFonts w:ascii="Times New Roman" w:hAnsi="Times New Roman" w:cs="Times New Roman"/>
          <w:sz w:val="16"/>
          <w:szCs w:val="16"/>
        </w:rPr>
        <w:t xml:space="preserve">Извештај о регулисању тржишта железничких услуга за 2021. годину, </w:t>
      </w:r>
      <w:hyperlink r:id="rId72" w:history="1">
        <w:r w:rsidRPr="006944C5">
          <w:rPr>
            <w:rStyle w:val="Hyperlink"/>
            <w:rFonts w:ascii="Times New Roman" w:hAnsi="Times New Roman" w:cs="Times New Roman"/>
            <w:sz w:val="16"/>
            <w:szCs w:val="16"/>
          </w:rPr>
          <w:t>https://www.raildir.gov.rs/doc/izvestaji/Izvestaj%20_o_regulisanju_trzista_zeleznickih_usluga_za_2021.pdf</w:t>
        </w:r>
      </w:hyperlink>
      <w:r w:rsidRPr="006944C5">
        <w:rPr>
          <w:rFonts w:ascii="Times New Roman" w:hAnsi="Times New Roman" w:cs="Times New Roman"/>
          <w:sz w:val="16"/>
          <w:szCs w:val="16"/>
          <w:lang w:val="sr-Cyrl-RS"/>
        </w:rPr>
        <w:t xml:space="preserve"> </w:t>
      </w:r>
    </w:p>
  </w:footnote>
  <w:footnote w:id="151">
    <w:p w14:paraId="1E7FF1C6" w14:textId="77777777" w:rsidR="00815ACD" w:rsidRPr="006944C5" w:rsidRDefault="00815ACD" w:rsidP="006944C5">
      <w:pPr>
        <w:pStyle w:val="FootnoteText"/>
        <w:spacing w:after="0"/>
        <w:ind w:firstLine="0"/>
        <w:jc w:val="left"/>
        <w:rPr>
          <w:rFonts w:ascii="Times New Roman" w:hAnsi="Times New Roman" w:cs="Times New Roman"/>
          <w:sz w:val="16"/>
          <w:szCs w:val="16"/>
          <w:lang w:val="sr-Cyrl-RS"/>
        </w:rPr>
      </w:pPr>
      <w:r w:rsidRPr="006944C5">
        <w:rPr>
          <w:rFonts w:ascii="Times New Roman" w:hAnsi="Times New Roman" w:cs="Times New Roman"/>
          <w:sz w:val="16"/>
          <w:szCs w:val="16"/>
          <w:vertAlign w:val="superscript"/>
        </w:rPr>
        <w:footnoteRef/>
      </w:r>
      <w:r w:rsidRPr="006944C5">
        <w:rPr>
          <w:rFonts w:ascii="Times New Roman" w:hAnsi="Times New Roman" w:cs="Times New Roman"/>
          <w:sz w:val="16"/>
          <w:szCs w:val="16"/>
        </w:rPr>
        <w:t xml:space="preserve"> </w:t>
      </w:r>
      <w:r w:rsidRPr="006944C5">
        <w:rPr>
          <w:rFonts w:ascii="Times New Roman" w:hAnsi="Times New Roman" w:cs="Times New Roman"/>
          <w:color w:val="auto"/>
          <w:sz w:val="16"/>
          <w:szCs w:val="16"/>
          <w:lang w:val="sr-Cyrl-RS"/>
        </w:rPr>
        <w:t>Извор</w:t>
      </w:r>
      <w:r w:rsidRPr="006944C5">
        <w:rPr>
          <w:rFonts w:ascii="Times New Roman" w:hAnsi="Times New Roman" w:cs="Times New Roman"/>
          <w:sz w:val="16"/>
          <w:szCs w:val="16"/>
          <w:lang w:val="sr-Cyrl-RS"/>
        </w:rPr>
        <w:t>:</w:t>
      </w:r>
      <w:r>
        <w:rPr>
          <w:rFonts w:ascii="Times New Roman" w:hAnsi="Times New Roman" w:cs="Times New Roman"/>
          <w:sz w:val="16"/>
          <w:szCs w:val="16"/>
          <w:lang w:val="sr-Cyrl-RS"/>
        </w:rPr>
        <w:t xml:space="preserve"> </w:t>
      </w:r>
      <w:r w:rsidRPr="006944C5">
        <w:rPr>
          <w:rFonts w:ascii="Times New Roman" w:hAnsi="Times New Roman" w:cs="Times New Roman"/>
          <w:sz w:val="16"/>
          <w:szCs w:val="16"/>
        </w:rPr>
        <w:t xml:space="preserve">Извештај о регулисању тржишта железничких услуга за 2021. годину, </w:t>
      </w:r>
      <w:hyperlink r:id="rId73" w:history="1">
        <w:r w:rsidRPr="006944C5">
          <w:rPr>
            <w:rStyle w:val="Hyperlink"/>
            <w:rFonts w:ascii="Times New Roman" w:hAnsi="Times New Roman" w:cs="Times New Roman"/>
            <w:sz w:val="16"/>
            <w:szCs w:val="16"/>
          </w:rPr>
          <w:t>https://www.raildir.gov.rs/doc/izvestaji/Izvestaj%20_o_regulisanju_trzista_zeleznickih_usluga_za_2021.pdf</w:t>
        </w:r>
      </w:hyperlink>
      <w:r w:rsidRPr="006944C5">
        <w:rPr>
          <w:rFonts w:ascii="Times New Roman" w:hAnsi="Times New Roman" w:cs="Times New Roman"/>
          <w:sz w:val="16"/>
          <w:szCs w:val="16"/>
          <w:lang w:val="sr-Cyrl-RS"/>
        </w:rPr>
        <w:t xml:space="preserve"> </w:t>
      </w:r>
    </w:p>
  </w:footnote>
  <w:footnote w:id="152">
    <w:p w14:paraId="2D6AF147" w14:textId="77777777" w:rsidR="00815ACD" w:rsidRPr="006944C5" w:rsidRDefault="00815ACD" w:rsidP="00B57FE8">
      <w:pPr>
        <w:pStyle w:val="FootnoteText"/>
        <w:spacing w:after="0"/>
        <w:ind w:firstLine="0"/>
        <w:rPr>
          <w:rFonts w:ascii="Times New Roman" w:hAnsi="Times New Roman" w:cs="Times New Roman"/>
          <w:sz w:val="16"/>
          <w:szCs w:val="16"/>
          <w:lang w:val="sr-Cyrl-RS"/>
        </w:rPr>
      </w:pPr>
      <w:r w:rsidRPr="006944C5">
        <w:rPr>
          <w:rFonts w:ascii="Times New Roman" w:hAnsi="Times New Roman" w:cs="Times New Roman"/>
          <w:sz w:val="16"/>
          <w:szCs w:val="16"/>
          <w:vertAlign w:val="superscript"/>
        </w:rPr>
        <w:footnoteRef/>
      </w:r>
      <w:r w:rsidRPr="006944C5">
        <w:rPr>
          <w:rFonts w:ascii="Times New Roman" w:hAnsi="Times New Roman" w:cs="Times New Roman"/>
          <w:sz w:val="16"/>
          <w:szCs w:val="16"/>
        </w:rPr>
        <w:t xml:space="preserve"> </w:t>
      </w:r>
      <w:r w:rsidRPr="006944C5">
        <w:rPr>
          <w:rFonts w:ascii="Times New Roman" w:hAnsi="Times New Roman" w:cs="Times New Roman"/>
          <w:color w:val="auto"/>
          <w:sz w:val="16"/>
          <w:szCs w:val="16"/>
          <w:lang w:val="sr-Cyrl-RS"/>
        </w:rPr>
        <w:t>Извор</w:t>
      </w:r>
      <w:r w:rsidRPr="006944C5">
        <w:rPr>
          <w:rFonts w:ascii="Times New Roman" w:hAnsi="Times New Roman" w:cs="Times New Roman"/>
          <w:sz w:val="16"/>
          <w:szCs w:val="16"/>
          <w:lang w:val="sr-Cyrl-RS"/>
        </w:rPr>
        <w:t>:</w:t>
      </w:r>
      <w:r>
        <w:rPr>
          <w:rFonts w:ascii="Times New Roman" w:hAnsi="Times New Roman" w:cs="Times New Roman"/>
          <w:sz w:val="16"/>
          <w:szCs w:val="16"/>
          <w:lang w:val="sr-Cyrl-RS"/>
        </w:rPr>
        <w:t xml:space="preserve"> </w:t>
      </w:r>
      <w:r w:rsidRPr="006944C5">
        <w:rPr>
          <w:rFonts w:ascii="Times New Roman" w:hAnsi="Times New Roman" w:cs="Times New Roman"/>
          <w:color w:val="auto"/>
          <w:sz w:val="16"/>
          <w:szCs w:val="16"/>
          <w:lang w:val="sr-Cyrl-RS"/>
        </w:rPr>
        <w:t>РЗС</w:t>
      </w:r>
      <w:r w:rsidRPr="006944C5">
        <w:rPr>
          <w:rFonts w:ascii="Times New Roman" w:hAnsi="Times New Roman" w:cs="Times New Roman"/>
          <w:sz w:val="16"/>
          <w:szCs w:val="16"/>
        </w:rPr>
        <w:t xml:space="preserve">, </w:t>
      </w:r>
      <w:hyperlink r:id="rId74" w:history="1">
        <w:r w:rsidRPr="006944C5">
          <w:rPr>
            <w:rStyle w:val="Hyperlink"/>
            <w:rFonts w:ascii="Times New Roman" w:hAnsi="Times New Roman" w:cs="Times New Roman"/>
            <w:sz w:val="16"/>
            <w:szCs w:val="16"/>
          </w:rPr>
          <w:t>https://publikacije.stat.gov.rs/G2022/Pdf/G20221177.pdf</w:t>
        </w:r>
      </w:hyperlink>
      <w:r w:rsidRPr="006944C5">
        <w:rPr>
          <w:rFonts w:ascii="Times New Roman" w:hAnsi="Times New Roman" w:cs="Times New Roman"/>
          <w:sz w:val="16"/>
          <w:szCs w:val="16"/>
          <w:lang w:val="sr-Cyrl-RS"/>
        </w:rPr>
        <w:t xml:space="preserve"> </w:t>
      </w:r>
    </w:p>
  </w:footnote>
  <w:footnote w:id="153">
    <w:p w14:paraId="7AB6FB0B" w14:textId="77777777" w:rsidR="00815ACD" w:rsidRPr="006944C5" w:rsidRDefault="00815ACD" w:rsidP="00B57FE8">
      <w:pPr>
        <w:pStyle w:val="FootnoteText"/>
        <w:spacing w:after="0"/>
        <w:ind w:firstLine="0"/>
        <w:rPr>
          <w:rFonts w:ascii="Times New Roman" w:hAnsi="Times New Roman" w:cs="Times New Roman"/>
          <w:sz w:val="16"/>
          <w:szCs w:val="16"/>
          <w:lang w:val="sr-Cyrl-RS"/>
        </w:rPr>
      </w:pPr>
      <w:r w:rsidRPr="006944C5">
        <w:rPr>
          <w:rFonts w:ascii="Times New Roman" w:hAnsi="Times New Roman" w:cs="Times New Roman"/>
          <w:sz w:val="16"/>
          <w:szCs w:val="16"/>
          <w:vertAlign w:val="superscript"/>
        </w:rPr>
        <w:footnoteRef/>
      </w:r>
      <w:r w:rsidRPr="006944C5">
        <w:rPr>
          <w:rFonts w:ascii="Times New Roman" w:hAnsi="Times New Roman" w:cs="Times New Roman"/>
          <w:color w:val="auto"/>
          <w:sz w:val="16"/>
          <w:szCs w:val="16"/>
          <w:lang w:val="sr-Cyrl-RS"/>
        </w:rPr>
        <w:t xml:space="preserve"> Извор:</w:t>
      </w:r>
      <w:r w:rsidRPr="006944C5">
        <w:rPr>
          <w:rFonts w:ascii="Times New Roman" w:hAnsi="Times New Roman" w:cs="Times New Roman"/>
          <w:color w:val="auto"/>
          <w:sz w:val="16"/>
          <w:szCs w:val="16"/>
        </w:rPr>
        <w:t xml:space="preserve"> РЗС, </w:t>
      </w:r>
      <w:hyperlink r:id="rId75" w:history="1">
        <w:r w:rsidRPr="006944C5">
          <w:rPr>
            <w:rStyle w:val="Hyperlink"/>
            <w:rFonts w:ascii="Times New Roman" w:hAnsi="Times New Roman" w:cs="Times New Roman"/>
            <w:sz w:val="16"/>
            <w:szCs w:val="16"/>
          </w:rPr>
          <w:t>https://publikacije.stat.gov.rs/G2022/Pdf/G20221071.pdf</w:t>
        </w:r>
      </w:hyperlink>
      <w:r w:rsidRPr="006944C5">
        <w:rPr>
          <w:rFonts w:ascii="Times New Roman" w:hAnsi="Times New Roman" w:cs="Times New Roman"/>
          <w:sz w:val="16"/>
          <w:szCs w:val="16"/>
          <w:lang w:val="sr-Cyrl-RS"/>
        </w:rPr>
        <w:t xml:space="preserve"> </w:t>
      </w:r>
    </w:p>
  </w:footnote>
  <w:footnote w:id="154">
    <w:p w14:paraId="58C9D56C" w14:textId="77777777" w:rsidR="00815ACD" w:rsidRPr="006944C5" w:rsidRDefault="00815ACD" w:rsidP="00B57FE8">
      <w:pPr>
        <w:pStyle w:val="FootnoteText"/>
        <w:spacing w:after="0"/>
        <w:ind w:firstLine="0"/>
        <w:rPr>
          <w:rFonts w:ascii="Times New Roman" w:hAnsi="Times New Roman" w:cs="Times New Roman"/>
          <w:color w:val="auto"/>
          <w:sz w:val="16"/>
          <w:szCs w:val="16"/>
          <w:u w:val="single"/>
          <w:lang w:val="sr-Cyrl-RS"/>
        </w:rPr>
      </w:pPr>
      <w:r w:rsidRPr="006944C5">
        <w:rPr>
          <w:rFonts w:ascii="Times New Roman" w:hAnsi="Times New Roman" w:cs="Times New Roman"/>
          <w:color w:val="auto"/>
          <w:sz w:val="16"/>
          <w:szCs w:val="16"/>
          <w:vertAlign w:val="superscript"/>
        </w:rPr>
        <w:footnoteRef/>
      </w:r>
      <w:r w:rsidRPr="006944C5">
        <w:rPr>
          <w:rFonts w:ascii="Times New Roman" w:hAnsi="Times New Roman" w:cs="Times New Roman"/>
          <w:color w:val="auto"/>
          <w:sz w:val="16"/>
          <w:szCs w:val="16"/>
        </w:rPr>
        <w:t xml:space="preserve"> </w:t>
      </w:r>
      <w:r w:rsidRPr="006944C5">
        <w:rPr>
          <w:rFonts w:ascii="Times New Roman" w:hAnsi="Times New Roman" w:cs="Times New Roman"/>
          <w:color w:val="auto"/>
          <w:sz w:val="16"/>
          <w:szCs w:val="16"/>
          <w:lang w:val="sr-Cyrl-RS"/>
        </w:rPr>
        <w:t>Извор:Агенција</w:t>
      </w:r>
      <w:r w:rsidRPr="006944C5">
        <w:rPr>
          <w:rFonts w:ascii="Times New Roman" w:hAnsi="Times New Roman" w:cs="Times New Roman"/>
          <w:color w:val="auto"/>
          <w:sz w:val="16"/>
          <w:szCs w:val="16"/>
        </w:rPr>
        <w:t xml:space="preserve"> за управљање лукама</w:t>
      </w:r>
    </w:p>
  </w:footnote>
  <w:footnote w:id="155">
    <w:p w14:paraId="520D76F6" w14:textId="77777777" w:rsidR="00815ACD" w:rsidRPr="006944C5" w:rsidRDefault="00815ACD" w:rsidP="00B57FE8">
      <w:pPr>
        <w:pStyle w:val="FootnoteText"/>
        <w:spacing w:after="0"/>
        <w:ind w:firstLine="0"/>
        <w:rPr>
          <w:rFonts w:ascii="Times New Roman" w:hAnsi="Times New Roman" w:cs="Times New Roman"/>
          <w:color w:val="auto"/>
          <w:sz w:val="16"/>
          <w:szCs w:val="16"/>
          <w:lang w:val="sr-Cyrl-RS"/>
        </w:rPr>
      </w:pPr>
      <w:r w:rsidRPr="006944C5">
        <w:rPr>
          <w:rStyle w:val="FootnoteReference"/>
          <w:rFonts w:ascii="Times New Roman" w:hAnsi="Times New Roman" w:cs="Times New Roman"/>
          <w:color w:val="auto"/>
          <w:sz w:val="16"/>
          <w:szCs w:val="16"/>
        </w:rPr>
        <w:footnoteRef/>
      </w:r>
      <w:r w:rsidRPr="006944C5">
        <w:rPr>
          <w:rFonts w:ascii="Times New Roman" w:hAnsi="Times New Roman" w:cs="Times New Roman"/>
          <w:color w:val="auto"/>
          <w:sz w:val="16"/>
          <w:szCs w:val="16"/>
        </w:rPr>
        <w:t xml:space="preserve"> </w:t>
      </w:r>
      <w:r w:rsidRPr="006944C5">
        <w:rPr>
          <w:rFonts w:ascii="Times New Roman" w:hAnsi="Times New Roman" w:cs="Times New Roman"/>
          <w:color w:val="auto"/>
          <w:sz w:val="16"/>
          <w:szCs w:val="16"/>
          <w:lang w:val="sr-Cyrl-RS"/>
        </w:rPr>
        <w:t>Извор:Агенција</w:t>
      </w:r>
      <w:r w:rsidRPr="006944C5">
        <w:rPr>
          <w:rFonts w:ascii="Times New Roman" w:hAnsi="Times New Roman" w:cs="Times New Roman"/>
          <w:color w:val="auto"/>
          <w:sz w:val="16"/>
          <w:szCs w:val="16"/>
        </w:rPr>
        <w:t xml:space="preserve"> за управљање лукама</w:t>
      </w:r>
    </w:p>
  </w:footnote>
  <w:footnote w:id="156">
    <w:p w14:paraId="69999654" w14:textId="77777777" w:rsidR="00815ACD" w:rsidRPr="006944C5" w:rsidRDefault="00815ACD" w:rsidP="00B57FE8">
      <w:pPr>
        <w:pStyle w:val="FootnoteText"/>
        <w:spacing w:after="0"/>
        <w:ind w:firstLine="0"/>
        <w:rPr>
          <w:rFonts w:ascii="Times New Roman" w:hAnsi="Times New Roman" w:cs="Times New Roman"/>
          <w:color w:val="auto"/>
          <w:sz w:val="16"/>
          <w:szCs w:val="16"/>
          <w:lang w:val="sr-Cyrl-RS"/>
        </w:rPr>
      </w:pPr>
      <w:r w:rsidRPr="006944C5">
        <w:rPr>
          <w:rStyle w:val="FootnoteReference"/>
          <w:rFonts w:ascii="Times New Roman" w:hAnsi="Times New Roman" w:cs="Times New Roman"/>
          <w:color w:val="auto"/>
          <w:sz w:val="16"/>
          <w:szCs w:val="16"/>
        </w:rPr>
        <w:footnoteRef/>
      </w:r>
      <w:r w:rsidRPr="006944C5">
        <w:rPr>
          <w:rFonts w:ascii="Times New Roman" w:hAnsi="Times New Roman" w:cs="Times New Roman"/>
          <w:color w:val="auto"/>
          <w:sz w:val="16"/>
          <w:szCs w:val="16"/>
        </w:rPr>
        <w:t xml:space="preserve"> </w:t>
      </w:r>
      <w:r w:rsidRPr="006944C5">
        <w:rPr>
          <w:rFonts w:ascii="Times New Roman" w:hAnsi="Times New Roman" w:cs="Times New Roman"/>
          <w:color w:val="auto"/>
          <w:sz w:val="16"/>
          <w:szCs w:val="16"/>
          <w:lang w:val="sr-Cyrl-RS"/>
        </w:rPr>
        <w:t>Извор: Агенција</w:t>
      </w:r>
      <w:r w:rsidRPr="006944C5">
        <w:rPr>
          <w:rFonts w:ascii="Times New Roman" w:hAnsi="Times New Roman" w:cs="Times New Roman"/>
          <w:color w:val="auto"/>
          <w:sz w:val="16"/>
          <w:szCs w:val="16"/>
        </w:rPr>
        <w:t xml:space="preserve"> за управљање лукама</w:t>
      </w:r>
    </w:p>
  </w:footnote>
  <w:footnote w:id="157">
    <w:p w14:paraId="442901FC" w14:textId="77777777" w:rsidR="00815ACD" w:rsidRPr="006944C5" w:rsidRDefault="00815ACD" w:rsidP="00B57FE8">
      <w:pPr>
        <w:pStyle w:val="FootnoteText"/>
        <w:spacing w:after="0"/>
        <w:ind w:firstLine="0"/>
        <w:rPr>
          <w:rFonts w:ascii="Times New Roman" w:hAnsi="Times New Roman" w:cs="Times New Roman"/>
          <w:sz w:val="16"/>
          <w:szCs w:val="16"/>
          <w:lang w:val="sr-Cyrl-RS"/>
        </w:rPr>
      </w:pPr>
      <w:r w:rsidRPr="006944C5">
        <w:rPr>
          <w:rStyle w:val="FootnoteReference"/>
          <w:rFonts w:ascii="Times New Roman" w:hAnsi="Times New Roman" w:cs="Times New Roman"/>
          <w:color w:val="auto"/>
          <w:sz w:val="16"/>
          <w:szCs w:val="16"/>
        </w:rPr>
        <w:footnoteRef/>
      </w:r>
      <w:r w:rsidRPr="006944C5">
        <w:rPr>
          <w:rFonts w:ascii="Times New Roman" w:hAnsi="Times New Roman" w:cs="Times New Roman"/>
          <w:color w:val="auto"/>
          <w:sz w:val="16"/>
          <w:szCs w:val="16"/>
        </w:rPr>
        <w:t xml:space="preserve"> </w:t>
      </w:r>
      <w:r w:rsidRPr="006944C5">
        <w:rPr>
          <w:rFonts w:ascii="Times New Roman" w:hAnsi="Times New Roman" w:cs="Times New Roman"/>
          <w:color w:val="auto"/>
          <w:sz w:val="16"/>
          <w:szCs w:val="16"/>
          <w:lang w:val="sr-Cyrl-RS"/>
        </w:rPr>
        <w:t>Извор: Аеродром Никола Тесла</w:t>
      </w:r>
    </w:p>
  </w:footnote>
  <w:footnote w:id="158">
    <w:p w14:paraId="743E08D8" w14:textId="77777777" w:rsidR="00815ACD" w:rsidRPr="006944C5" w:rsidRDefault="00815ACD" w:rsidP="006944C5">
      <w:pPr>
        <w:pStyle w:val="FootnoteText"/>
        <w:spacing w:after="0"/>
        <w:ind w:firstLine="0"/>
        <w:jc w:val="left"/>
        <w:rPr>
          <w:rFonts w:ascii="Times New Roman" w:hAnsi="Times New Roman" w:cs="Times New Roman"/>
          <w:sz w:val="16"/>
          <w:szCs w:val="16"/>
        </w:rPr>
      </w:pPr>
      <w:r w:rsidRPr="006944C5">
        <w:rPr>
          <w:rFonts w:ascii="Times New Roman" w:hAnsi="Times New Roman" w:cs="Times New Roman"/>
          <w:sz w:val="16"/>
          <w:szCs w:val="16"/>
          <w:vertAlign w:val="superscript"/>
        </w:rPr>
        <w:footnoteRef/>
      </w:r>
      <w:r w:rsidRPr="006944C5">
        <w:rPr>
          <w:rFonts w:ascii="Times New Roman" w:hAnsi="Times New Roman" w:cs="Times New Roman"/>
          <w:sz w:val="16"/>
          <w:szCs w:val="16"/>
        </w:rPr>
        <w:t xml:space="preserve"> </w:t>
      </w:r>
      <w:r w:rsidRPr="006944C5">
        <w:rPr>
          <w:rFonts w:ascii="Times New Roman" w:hAnsi="Times New Roman" w:cs="Times New Roman"/>
          <w:color w:val="auto"/>
          <w:sz w:val="16"/>
          <w:szCs w:val="16"/>
          <w:lang w:val="sr-Cyrl-RS"/>
        </w:rPr>
        <w:t xml:space="preserve">Извор: </w:t>
      </w:r>
      <w:r w:rsidRPr="006944C5">
        <w:rPr>
          <w:rFonts w:ascii="Times New Roman" w:hAnsi="Times New Roman" w:cs="Times New Roman"/>
          <w:color w:val="auto"/>
          <w:sz w:val="16"/>
          <w:szCs w:val="16"/>
        </w:rPr>
        <w:t xml:space="preserve">VINCI Airoprts – </w:t>
      </w:r>
      <w:r w:rsidRPr="006944C5">
        <w:rPr>
          <w:rFonts w:ascii="Times New Roman" w:hAnsi="Times New Roman" w:cs="Times New Roman"/>
          <w:color w:val="auto"/>
          <w:sz w:val="16"/>
          <w:szCs w:val="16"/>
          <w:lang w:val="sr-Cyrl-RS"/>
        </w:rPr>
        <w:t xml:space="preserve">саобраћај за 2021. годину, </w:t>
      </w:r>
      <w:r w:rsidRPr="006944C5">
        <w:rPr>
          <w:rFonts w:ascii="Times New Roman" w:hAnsi="Times New Roman" w:cs="Times New Roman"/>
          <w:color w:val="2F5496"/>
          <w:sz w:val="16"/>
          <w:szCs w:val="16"/>
        </w:rPr>
        <w:t>https://beg.aero/sites/belgrade/files/pdf/putnicki_saobracaj_i_komercijalne_avio_operacije_na_dan_31._decembar_2021._g.pdf</w:t>
      </w:r>
    </w:p>
  </w:footnote>
  <w:footnote w:id="159">
    <w:p w14:paraId="0AE640AE" w14:textId="77777777" w:rsidR="00815ACD" w:rsidRPr="006944C5" w:rsidRDefault="00815ACD" w:rsidP="00525258">
      <w:pPr>
        <w:pStyle w:val="FootnoteText"/>
        <w:spacing w:after="0"/>
        <w:ind w:firstLine="0"/>
        <w:rPr>
          <w:rFonts w:ascii="Times New Roman" w:hAnsi="Times New Roman" w:cs="Times New Roman"/>
          <w:sz w:val="16"/>
          <w:szCs w:val="16"/>
          <w:lang w:val="sr-Cyrl-RS"/>
        </w:rPr>
      </w:pPr>
      <w:r w:rsidRPr="006944C5">
        <w:rPr>
          <w:rStyle w:val="FootnoteReference"/>
          <w:rFonts w:ascii="Times New Roman" w:hAnsi="Times New Roman" w:cs="Times New Roman"/>
          <w:sz w:val="16"/>
          <w:szCs w:val="16"/>
        </w:rPr>
        <w:footnoteRef/>
      </w:r>
      <w:r w:rsidRPr="006944C5">
        <w:rPr>
          <w:rFonts w:ascii="Times New Roman" w:hAnsi="Times New Roman" w:cs="Times New Roman"/>
          <w:sz w:val="16"/>
          <w:szCs w:val="16"/>
        </w:rPr>
        <w:t xml:space="preserve"> </w:t>
      </w:r>
      <w:r w:rsidRPr="006944C5">
        <w:rPr>
          <w:rFonts w:ascii="Times New Roman" w:hAnsi="Times New Roman" w:cs="Times New Roman"/>
          <w:color w:val="auto"/>
          <w:sz w:val="16"/>
          <w:szCs w:val="16"/>
          <w:lang w:val="sr-Cyrl-RS"/>
        </w:rPr>
        <w:t>Извор: VINCI</w:t>
      </w:r>
      <w:r w:rsidRPr="006944C5">
        <w:rPr>
          <w:rFonts w:ascii="Times New Roman" w:hAnsi="Times New Roman" w:cs="Times New Roman"/>
          <w:color w:val="auto"/>
          <w:sz w:val="16"/>
          <w:szCs w:val="16"/>
        </w:rPr>
        <w:t xml:space="preserve"> Airoprts – </w:t>
      </w:r>
      <w:r w:rsidRPr="006944C5">
        <w:rPr>
          <w:rFonts w:ascii="Times New Roman" w:hAnsi="Times New Roman" w:cs="Times New Roman"/>
          <w:color w:val="auto"/>
          <w:sz w:val="16"/>
          <w:szCs w:val="16"/>
          <w:lang w:val="sr-Cyrl-RS"/>
        </w:rPr>
        <w:t>саобраћај на дан 3</w:t>
      </w:r>
      <w:r>
        <w:rPr>
          <w:rFonts w:ascii="Times New Roman" w:hAnsi="Times New Roman" w:cs="Times New Roman"/>
          <w:color w:val="auto"/>
          <w:sz w:val="16"/>
          <w:szCs w:val="16"/>
          <w:lang w:val="sr-Cyrl-RS"/>
        </w:rPr>
        <w:t>0</w:t>
      </w:r>
      <w:r w:rsidRPr="006944C5">
        <w:rPr>
          <w:rFonts w:ascii="Times New Roman" w:hAnsi="Times New Roman" w:cs="Times New Roman"/>
          <w:color w:val="auto"/>
          <w:sz w:val="16"/>
          <w:szCs w:val="16"/>
          <w:lang w:val="sr-Cyrl-RS"/>
        </w:rPr>
        <w:t xml:space="preserve">. </w:t>
      </w:r>
      <w:r>
        <w:rPr>
          <w:rFonts w:ascii="Times New Roman" w:hAnsi="Times New Roman" w:cs="Times New Roman"/>
          <w:color w:val="auto"/>
          <w:sz w:val="16"/>
          <w:szCs w:val="16"/>
          <w:lang w:val="sr-Cyrl-RS"/>
        </w:rPr>
        <w:t>септембар 2022</w:t>
      </w:r>
    </w:p>
  </w:footnote>
  <w:footnote w:id="160">
    <w:p w14:paraId="3E4C1094" w14:textId="0B111A5D" w:rsidR="00815ACD" w:rsidRPr="006944C5" w:rsidRDefault="00815ACD" w:rsidP="00B57FE8">
      <w:pPr>
        <w:pStyle w:val="FootnoteText"/>
        <w:spacing w:after="0"/>
        <w:ind w:firstLine="0"/>
        <w:rPr>
          <w:rFonts w:ascii="Times New Roman" w:hAnsi="Times New Roman" w:cs="Times New Roman"/>
          <w:sz w:val="16"/>
          <w:szCs w:val="16"/>
          <w:lang w:val="sr-Cyrl-RS"/>
        </w:rPr>
      </w:pPr>
      <w:r w:rsidRPr="006944C5">
        <w:rPr>
          <w:rFonts w:ascii="Times New Roman" w:hAnsi="Times New Roman" w:cs="Times New Roman"/>
          <w:sz w:val="16"/>
          <w:szCs w:val="16"/>
          <w:vertAlign w:val="superscript"/>
        </w:rPr>
        <w:footnoteRef/>
      </w:r>
      <w:r w:rsidRPr="006944C5">
        <w:rPr>
          <w:rFonts w:ascii="Times New Roman" w:hAnsi="Times New Roman" w:cs="Times New Roman"/>
          <w:sz w:val="16"/>
          <w:szCs w:val="16"/>
        </w:rPr>
        <w:t xml:space="preserve"> </w:t>
      </w:r>
      <w:r w:rsidRPr="006944C5">
        <w:rPr>
          <w:rFonts w:ascii="Times New Roman" w:hAnsi="Times New Roman" w:cs="Times New Roman"/>
          <w:color w:val="auto"/>
          <w:sz w:val="16"/>
          <w:szCs w:val="16"/>
          <w:lang w:val="sr-Cyrl-RS"/>
        </w:rPr>
        <w:t>Извор: Аеродром</w:t>
      </w:r>
      <w:r w:rsidRPr="006944C5">
        <w:rPr>
          <w:rFonts w:ascii="Times New Roman" w:hAnsi="Times New Roman" w:cs="Times New Roman"/>
          <w:color w:val="auto"/>
          <w:sz w:val="16"/>
          <w:szCs w:val="16"/>
        </w:rPr>
        <w:t xml:space="preserve"> ,,Константин Велики</w:t>
      </w:r>
      <w:r w:rsidRPr="003C1DFF">
        <w:rPr>
          <w:rFonts w:ascii="Times New Roman" w:hAnsi="Times New Roman" w:cs="Times New Roman"/>
          <w:sz w:val="16"/>
          <w:szCs w:val="16"/>
          <w:lang w:val="sr-Cyrl-RS"/>
        </w:rPr>
        <w:t>”</w:t>
      </w:r>
      <w:r w:rsidRPr="006944C5">
        <w:rPr>
          <w:rFonts w:ascii="Times New Roman" w:hAnsi="Times New Roman" w:cs="Times New Roman"/>
          <w:color w:val="auto"/>
          <w:sz w:val="16"/>
          <w:szCs w:val="16"/>
        </w:rPr>
        <w:t xml:space="preserve"> Ниш</w:t>
      </w:r>
      <w:r w:rsidRPr="006944C5">
        <w:rPr>
          <w:rFonts w:ascii="Times New Roman" w:hAnsi="Times New Roman" w:cs="Times New Roman"/>
          <w:sz w:val="16"/>
          <w:szCs w:val="16"/>
        </w:rPr>
        <w:t xml:space="preserve">, </w:t>
      </w:r>
      <w:hyperlink r:id="rId76" w:history="1">
        <w:r w:rsidRPr="006944C5">
          <w:rPr>
            <w:rStyle w:val="Hyperlink"/>
            <w:rFonts w:ascii="Times New Roman" w:hAnsi="Times New Roman" w:cs="Times New Roman"/>
            <w:sz w:val="16"/>
            <w:szCs w:val="16"/>
          </w:rPr>
          <w:t>https://ini.aerodromisrbije.rs/statistika/</w:t>
        </w:r>
      </w:hyperlink>
      <w:r w:rsidRPr="006944C5">
        <w:rPr>
          <w:rFonts w:ascii="Times New Roman" w:hAnsi="Times New Roman" w:cs="Times New Roman"/>
          <w:sz w:val="16"/>
          <w:szCs w:val="16"/>
          <w:lang w:val="sr-Cyrl-RS"/>
        </w:rPr>
        <w:t xml:space="preserve"> </w:t>
      </w:r>
    </w:p>
  </w:footnote>
  <w:footnote w:id="161">
    <w:p w14:paraId="0724CE8B" w14:textId="0E81DE0B" w:rsidR="00815ACD" w:rsidRPr="006944C5" w:rsidRDefault="00815ACD" w:rsidP="00B57FE8">
      <w:pPr>
        <w:pStyle w:val="FootnoteText"/>
        <w:spacing w:after="0"/>
        <w:ind w:firstLine="0"/>
        <w:rPr>
          <w:rFonts w:ascii="Times New Roman" w:hAnsi="Times New Roman" w:cs="Times New Roman"/>
          <w:color w:val="auto"/>
          <w:sz w:val="16"/>
          <w:szCs w:val="16"/>
          <w:lang w:val="sr-Cyrl-RS"/>
        </w:rPr>
      </w:pPr>
      <w:r w:rsidRPr="006944C5">
        <w:rPr>
          <w:rStyle w:val="FootnoteReference"/>
          <w:rFonts w:ascii="Times New Roman" w:hAnsi="Times New Roman" w:cs="Times New Roman"/>
          <w:color w:val="auto"/>
          <w:sz w:val="16"/>
          <w:szCs w:val="16"/>
        </w:rPr>
        <w:footnoteRef/>
      </w:r>
      <w:r w:rsidRPr="006944C5">
        <w:rPr>
          <w:rFonts w:ascii="Times New Roman" w:hAnsi="Times New Roman" w:cs="Times New Roman"/>
          <w:color w:val="auto"/>
          <w:sz w:val="16"/>
          <w:szCs w:val="16"/>
        </w:rPr>
        <w:t xml:space="preserve"> </w:t>
      </w:r>
      <w:r w:rsidRPr="006944C5">
        <w:rPr>
          <w:rFonts w:ascii="Times New Roman" w:hAnsi="Times New Roman" w:cs="Times New Roman"/>
          <w:color w:val="auto"/>
          <w:sz w:val="16"/>
          <w:szCs w:val="16"/>
          <w:lang w:val="sr-Cyrl-RS"/>
        </w:rPr>
        <w:t>Извор: М</w:t>
      </w:r>
      <w:r>
        <w:rPr>
          <w:rFonts w:ascii="Times New Roman" w:hAnsi="Times New Roman" w:cs="Times New Roman"/>
          <w:color w:val="auto"/>
          <w:sz w:val="16"/>
          <w:szCs w:val="16"/>
          <w:lang w:val="sr-Cyrl-RS"/>
        </w:rPr>
        <w:t>инистарство пољопривреде, шумарства и водопривреде</w:t>
      </w:r>
    </w:p>
  </w:footnote>
  <w:footnote w:id="162">
    <w:p w14:paraId="2A1456A1" w14:textId="77777777" w:rsidR="00815ACD" w:rsidRPr="006944C5" w:rsidRDefault="00815ACD" w:rsidP="00B57FE8">
      <w:pPr>
        <w:pStyle w:val="FootnoteText"/>
        <w:spacing w:after="0"/>
        <w:ind w:firstLine="0"/>
        <w:rPr>
          <w:rFonts w:ascii="Times New Roman" w:hAnsi="Times New Roman" w:cs="Times New Roman"/>
          <w:noProof/>
          <w:sz w:val="16"/>
          <w:szCs w:val="16"/>
          <w:lang w:val="sr-Cyrl-RS"/>
        </w:rPr>
      </w:pPr>
      <w:r w:rsidRPr="006944C5">
        <w:rPr>
          <w:rStyle w:val="FootnoteReference"/>
          <w:rFonts w:ascii="Times New Roman" w:hAnsi="Times New Roman" w:cs="Times New Roman"/>
          <w:noProof/>
          <w:sz w:val="16"/>
          <w:szCs w:val="16"/>
          <w:lang w:val="sr-Cyrl-RS"/>
        </w:rPr>
        <w:footnoteRef/>
      </w:r>
      <w:r w:rsidRPr="006944C5">
        <w:rPr>
          <w:rStyle w:val="Hyperlink"/>
          <w:rFonts w:ascii="Times New Roman" w:eastAsia="MS PGothic" w:hAnsi="Times New Roman" w:cs="Times New Roman"/>
          <w:noProof/>
          <w:color w:val="auto"/>
          <w:sz w:val="16"/>
          <w:szCs w:val="16"/>
          <w:u w:val="none"/>
          <w:lang w:val="sr-Cyrl-RS"/>
        </w:rPr>
        <w:t xml:space="preserve"> </w:t>
      </w:r>
      <w:r w:rsidRPr="006944C5">
        <w:rPr>
          <w:rFonts w:ascii="Times New Roman" w:hAnsi="Times New Roman" w:cs="Times New Roman"/>
          <w:color w:val="auto"/>
          <w:sz w:val="16"/>
          <w:szCs w:val="16"/>
        </w:rPr>
        <w:t>РЗС</w:t>
      </w:r>
      <w:r w:rsidRPr="006944C5">
        <w:rPr>
          <w:rFonts w:ascii="Times New Roman" w:hAnsi="Times New Roman" w:cs="Times New Roman"/>
          <w:color w:val="auto"/>
          <w:sz w:val="16"/>
          <w:szCs w:val="16"/>
          <w:lang w:val="sr-Latn-RS"/>
        </w:rPr>
        <w:t xml:space="preserve">, </w:t>
      </w:r>
      <w:r w:rsidRPr="006944C5">
        <w:rPr>
          <w:rFonts w:ascii="Times New Roman" w:hAnsi="Times New Roman" w:cs="Times New Roman"/>
          <w:color w:val="auto"/>
          <w:sz w:val="16"/>
          <w:szCs w:val="16"/>
          <w:lang w:val="sr-Cyrl-RS"/>
        </w:rPr>
        <w:t>Анкета о радној снази, 2021;</w:t>
      </w:r>
      <w:r w:rsidRPr="006944C5">
        <w:rPr>
          <w:rStyle w:val="Hyperlink"/>
          <w:rFonts w:ascii="Times New Roman" w:eastAsia="MS PGothic" w:hAnsi="Times New Roman" w:cs="Times New Roman"/>
          <w:noProof/>
          <w:color w:val="auto"/>
          <w:sz w:val="16"/>
          <w:szCs w:val="16"/>
          <w:u w:val="none"/>
          <w:lang w:val="sr-Cyrl-RS"/>
        </w:rPr>
        <w:t xml:space="preserve"> обрада РСЈП,</w:t>
      </w:r>
      <w:r w:rsidRPr="006944C5">
        <w:rPr>
          <w:rStyle w:val="Hyperlink"/>
          <w:rFonts w:ascii="Times New Roman" w:eastAsia="MS PGothic" w:hAnsi="Times New Roman" w:cs="Times New Roman"/>
          <w:noProof/>
          <w:color w:val="auto"/>
          <w:sz w:val="16"/>
          <w:szCs w:val="16"/>
          <w:lang w:val="sr-Cyrl-RS"/>
        </w:rPr>
        <w:t xml:space="preserve"> </w:t>
      </w:r>
      <w:hyperlink r:id="rId77" w:history="1">
        <w:r w:rsidRPr="006944C5">
          <w:rPr>
            <w:rStyle w:val="Hyperlink"/>
            <w:rFonts w:ascii="Times New Roman" w:eastAsia="MS PGothic" w:hAnsi="Times New Roman" w:cs="Times New Roman"/>
            <w:noProof/>
            <w:sz w:val="16"/>
            <w:szCs w:val="16"/>
            <w:lang w:val="sr-Cyrl-RS"/>
          </w:rPr>
          <w:t>https://publikacije.stat.gov.rs/G2022/Pdf/G20225682.pdf</w:t>
        </w:r>
      </w:hyperlink>
      <w:r w:rsidRPr="006944C5">
        <w:rPr>
          <w:rStyle w:val="Hyperlink"/>
          <w:rFonts w:ascii="Times New Roman" w:eastAsia="MS PGothic" w:hAnsi="Times New Roman" w:cs="Times New Roman"/>
          <w:noProof/>
          <w:sz w:val="16"/>
          <w:szCs w:val="16"/>
          <w:lang w:val="sr-Cyrl-RS"/>
        </w:rPr>
        <w:t xml:space="preserve"> </w:t>
      </w:r>
    </w:p>
  </w:footnote>
  <w:footnote w:id="163">
    <w:p w14:paraId="694C37CD" w14:textId="77777777" w:rsidR="00815ACD" w:rsidRPr="006944C5" w:rsidRDefault="00815ACD" w:rsidP="00B57FE8">
      <w:pPr>
        <w:pStyle w:val="FootnoteText"/>
        <w:spacing w:after="0"/>
        <w:ind w:firstLine="0"/>
        <w:rPr>
          <w:rFonts w:ascii="Times New Roman" w:hAnsi="Times New Roman" w:cs="Times New Roman"/>
          <w:sz w:val="16"/>
          <w:szCs w:val="16"/>
          <w:lang w:val="sr-Cyrl-RS"/>
        </w:rPr>
      </w:pPr>
      <w:r w:rsidRPr="006944C5">
        <w:rPr>
          <w:rStyle w:val="FootnoteReference"/>
          <w:rFonts w:ascii="Times New Roman" w:hAnsi="Times New Roman" w:cs="Times New Roman"/>
          <w:sz w:val="16"/>
          <w:szCs w:val="16"/>
        </w:rPr>
        <w:footnoteRef/>
      </w:r>
      <w:r w:rsidRPr="006944C5">
        <w:rPr>
          <w:rFonts w:ascii="Times New Roman" w:hAnsi="Times New Roman" w:cs="Times New Roman"/>
          <w:sz w:val="16"/>
          <w:szCs w:val="16"/>
        </w:rPr>
        <w:t xml:space="preserve"> </w:t>
      </w:r>
      <w:r w:rsidRPr="006944C5">
        <w:rPr>
          <w:rFonts w:ascii="Times New Roman" w:hAnsi="Times New Roman" w:cs="Times New Roman"/>
          <w:color w:val="auto"/>
          <w:sz w:val="16"/>
          <w:szCs w:val="16"/>
          <w:lang w:val="sr-Cyrl-RS"/>
        </w:rPr>
        <w:t>РЗС</w:t>
      </w:r>
      <w:r w:rsidRPr="006944C5">
        <w:rPr>
          <w:rFonts w:ascii="Times New Roman" w:hAnsi="Times New Roman" w:cs="Times New Roman"/>
          <w:sz w:val="16"/>
          <w:szCs w:val="16"/>
          <w:lang w:val="sr-Cyrl-RS"/>
        </w:rPr>
        <w:t xml:space="preserve">, </w:t>
      </w:r>
      <w:hyperlink r:id="rId78" w:history="1">
        <w:r w:rsidRPr="006944C5">
          <w:rPr>
            <w:rStyle w:val="Hyperlink"/>
            <w:rFonts w:ascii="Times New Roman" w:hAnsi="Times New Roman" w:cs="Times New Roman"/>
            <w:sz w:val="16"/>
            <w:szCs w:val="16"/>
            <w:lang w:val="sr-Cyrl-RS"/>
          </w:rPr>
          <w:t>https://publikacije.stat.gov.rs/G2022/Pdf/G20221021.pdf</w:t>
        </w:r>
      </w:hyperlink>
    </w:p>
  </w:footnote>
  <w:footnote w:id="164">
    <w:p w14:paraId="2C05A118" w14:textId="27300B50" w:rsidR="00815ACD" w:rsidRPr="006944C5" w:rsidRDefault="00815ACD" w:rsidP="00B57FE8">
      <w:pPr>
        <w:pStyle w:val="FootnoteText"/>
        <w:spacing w:after="0"/>
        <w:ind w:firstLine="0"/>
        <w:rPr>
          <w:rFonts w:ascii="Times New Roman" w:hAnsi="Times New Roman" w:cs="Times New Roman"/>
          <w:sz w:val="16"/>
          <w:szCs w:val="16"/>
          <w:lang w:val="sr-Cyrl-RS"/>
        </w:rPr>
      </w:pPr>
      <w:r w:rsidRPr="006944C5">
        <w:rPr>
          <w:rStyle w:val="FootnoteReference"/>
          <w:rFonts w:ascii="Times New Roman" w:hAnsi="Times New Roman" w:cs="Times New Roman"/>
          <w:sz w:val="16"/>
          <w:szCs w:val="16"/>
        </w:rPr>
        <w:footnoteRef/>
      </w:r>
      <w:r w:rsidRPr="006944C5">
        <w:rPr>
          <w:rFonts w:ascii="Times New Roman" w:hAnsi="Times New Roman" w:cs="Times New Roman"/>
          <w:sz w:val="16"/>
          <w:szCs w:val="16"/>
        </w:rPr>
        <w:t xml:space="preserve"> </w:t>
      </w:r>
      <w:r w:rsidRPr="006944C5">
        <w:rPr>
          <w:rFonts w:ascii="Times New Roman" w:hAnsi="Times New Roman" w:cs="Times New Roman"/>
          <w:color w:val="auto"/>
          <w:sz w:val="16"/>
          <w:szCs w:val="16"/>
          <w:lang w:val="sr-Cyrl-RS"/>
        </w:rPr>
        <w:t>Извештај</w:t>
      </w:r>
      <w:r w:rsidRPr="006944C5">
        <w:rPr>
          <w:rFonts w:ascii="Times New Roman" w:hAnsi="Times New Roman" w:cs="Times New Roman"/>
          <w:sz w:val="16"/>
          <w:szCs w:val="16"/>
          <w:lang w:val="sr-Cyrl-RS"/>
        </w:rPr>
        <w:t xml:space="preserve"> о стању у пољопривреди у Републици Србији у 2021. години, М</w:t>
      </w:r>
      <w:r>
        <w:rPr>
          <w:rFonts w:ascii="Times New Roman" w:hAnsi="Times New Roman" w:cs="Times New Roman"/>
          <w:sz w:val="16"/>
          <w:szCs w:val="16"/>
          <w:lang w:val="sr-Cyrl-RS"/>
        </w:rPr>
        <w:t>инистарство пољопривреде, шумарства и водопривреде</w:t>
      </w:r>
      <w:r w:rsidRPr="006944C5">
        <w:rPr>
          <w:rFonts w:ascii="Times New Roman" w:hAnsi="Times New Roman" w:cs="Times New Roman"/>
          <w:sz w:val="16"/>
          <w:szCs w:val="16"/>
          <w:lang w:val="sr-Cyrl-RS"/>
        </w:rPr>
        <w:t>, јун 2022.</w:t>
      </w:r>
    </w:p>
  </w:footnote>
  <w:footnote w:id="165">
    <w:p w14:paraId="6F01E597" w14:textId="77777777" w:rsidR="00815ACD" w:rsidRPr="006944C5" w:rsidRDefault="00815ACD" w:rsidP="00B57FE8">
      <w:pPr>
        <w:pStyle w:val="FootnoteText"/>
        <w:spacing w:after="0"/>
        <w:ind w:firstLine="0"/>
        <w:rPr>
          <w:rFonts w:ascii="Times New Roman" w:hAnsi="Times New Roman" w:cs="Times New Roman"/>
          <w:noProof/>
          <w:sz w:val="16"/>
          <w:szCs w:val="16"/>
          <w:lang w:val="sr-Cyrl-RS"/>
        </w:rPr>
      </w:pPr>
      <w:r w:rsidRPr="006944C5">
        <w:rPr>
          <w:rStyle w:val="FootnoteReference"/>
          <w:rFonts w:ascii="Times New Roman" w:hAnsi="Times New Roman" w:cs="Times New Roman"/>
          <w:noProof/>
          <w:sz w:val="16"/>
          <w:szCs w:val="16"/>
          <w:lang w:val="sr-Cyrl-RS"/>
        </w:rPr>
        <w:footnoteRef/>
      </w:r>
      <w:r w:rsidRPr="006944C5">
        <w:rPr>
          <w:rFonts w:ascii="Times New Roman" w:hAnsi="Times New Roman" w:cs="Times New Roman"/>
          <w:noProof/>
          <w:sz w:val="16"/>
          <w:szCs w:val="16"/>
          <w:lang w:val="sr-Cyrl-RS"/>
        </w:rPr>
        <w:t xml:space="preserve"> </w:t>
      </w:r>
      <w:r w:rsidRPr="006944C5">
        <w:rPr>
          <w:rFonts w:ascii="Times New Roman" w:hAnsi="Times New Roman" w:cs="Times New Roman"/>
          <w:color w:val="auto"/>
          <w:sz w:val="16"/>
          <w:szCs w:val="16"/>
          <w:lang w:val="sr-Cyrl-RS"/>
        </w:rPr>
        <w:t>РСЗ</w:t>
      </w:r>
      <w:r w:rsidRPr="006944C5">
        <w:rPr>
          <w:rFonts w:ascii="Times New Roman" w:hAnsi="Times New Roman" w:cs="Times New Roman"/>
          <w:noProof/>
          <w:sz w:val="16"/>
          <w:szCs w:val="16"/>
          <w:lang w:val="sr-Cyrl-RS"/>
        </w:rPr>
        <w:t xml:space="preserve"> Анкета о структури пољопривредних газдинстава, 2018. </w:t>
      </w:r>
      <w:hyperlink r:id="rId79" w:history="1">
        <w:r w:rsidRPr="006944C5">
          <w:rPr>
            <w:rStyle w:val="Hyperlink"/>
            <w:rFonts w:ascii="Times New Roman" w:eastAsia="MS PGothic" w:hAnsi="Times New Roman" w:cs="Times New Roman"/>
            <w:noProof/>
            <w:sz w:val="16"/>
            <w:szCs w:val="16"/>
            <w:lang w:val="sr-Cyrl-RS"/>
          </w:rPr>
          <w:t>https://publikacije.stat.gov.rs/G2019/Pdf/G20196002.pdf</w:t>
        </w:r>
      </w:hyperlink>
      <w:r w:rsidRPr="006944C5">
        <w:rPr>
          <w:rFonts w:ascii="Times New Roman" w:hAnsi="Times New Roman" w:cs="Times New Roman"/>
          <w:noProof/>
          <w:sz w:val="16"/>
          <w:szCs w:val="16"/>
          <w:lang w:val="sr-Cyrl-RS"/>
        </w:rPr>
        <w:t xml:space="preserve"> </w:t>
      </w:r>
    </w:p>
  </w:footnote>
  <w:footnote w:id="166">
    <w:p w14:paraId="36D1C3D3" w14:textId="77777777" w:rsidR="00815ACD" w:rsidRPr="006944C5" w:rsidRDefault="00815ACD" w:rsidP="00B57FE8">
      <w:pPr>
        <w:pStyle w:val="FootnoteText"/>
        <w:spacing w:after="0"/>
        <w:ind w:firstLine="0"/>
        <w:rPr>
          <w:rFonts w:ascii="Times New Roman" w:hAnsi="Times New Roman" w:cs="Times New Roman"/>
          <w:sz w:val="16"/>
          <w:szCs w:val="16"/>
        </w:rPr>
      </w:pPr>
      <w:r w:rsidRPr="006944C5">
        <w:rPr>
          <w:rStyle w:val="FootnoteReference"/>
          <w:rFonts w:ascii="Times New Roman" w:hAnsi="Times New Roman" w:cs="Times New Roman"/>
          <w:sz w:val="16"/>
          <w:szCs w:val="16"/>
        </w:rPr>
        <w:footnoteRef/>
      </w:r>
      <w:r w:rsidRPr="006944C5">
        <w:rPr>
          <w:rStyle w:val="FootnoteReference"/>
          <w:rFonts w:ascii="Times New Roman" w:hAnsi="Times New Roman" w:cs="Times New Roman"/>
          <w:sz w:val="16"/>
          <w:szCs w:val="16"/>
        </w:rPr>
        <w:t xml:space="preserve"> </w:t>
      </w:r>
      <w:r w:rsidRPr="006944C5">
        <w:rPr>
          <w:rFonts w:ascii="Times New Roman" w:hAnsi="Times New Roman" w:cs="Times New Roman"/>
          <w:color w:val="auto"/>
          <w:sz w:val="16"/>
          <w:szCs w:val="16"/>
          <w:lang w:val="sr-Cyrl-RS"/>
        </w:rPr>
        <w:t>Smallholders</w:t>
      </w:r>
      <w:r w:rsidRPr="006944C5">
        <w:rPr>
          <w:rFonts w:ascii="Times New Roman" w:hAnsi="Times New Roman" w:cs="Times New Roman"/>
          <w:sz w:val="16"/>
          <w:szCs w:val="16"/>
        </w:rPr>
        <w:t xml:space="preserve"> and family farms in Serbia, FAO, 2019.</w:t>
      </w:r>
    </w:p>
  </w:footnote>
  <w:footnote w:id="167">
    <w:p w14:paraId="285233C5" w14:textId="77777777" w:rsidR="00815ACD" w:rsidRPr="006944C5" w:rsidRDefault="00815ACD" w:rsidP="00B57FE8">
      <w:pPr>
        <w:pStyle w:val="FootnoteText"/>
        <w:spacing w:after="0"/>
        <w:ind w:firstLine="0"/>
        <w:rPr>
          <w:rFonts w:ascii="Times New Roman" w:hAnsi="Times New Roman" w:cs="Times New Roman"/>
          <w:noProof/>
          <w:sz w:val="16"/>
          <w:szCs w:val="16"/>
          <w:lang w:val="sr-Latn-RS"/>
        </w:rPr>
      </w:pPr>
      <w:r w:rsidRPr="006944C5">
        <w:rPr>
          <w:rStyle w:val="FootnoteReference"/>
          <w:rFonts w:ascii="Times New Roman" w:hAnsi="Times New Roman" w:cs="Times New Roman"/>
          <w:noProof/>
          <w:sz w:val="16"/>
          <w:szCs w:val="16"/>
          <w:lang w:val="sr-Cyrl-RS"/>
        </w:rPr>
        <w:footnoteRef/>
      </w:r>
      <w:r w:rsidRPr="006944C5">
        <w:rPr>
          <w:rFonts w:ascii="Times New Roman" w:hAnsi="Times New Roman" w:cs="Times New Roman"/>
          <w:noProof/>
          <w:sz w:val="16"/>
          <w:szCs w:val="16"/>
          <w:lang w:val="sr-Cyrl-RS"/>
        </w:rPr>
        <w:t xml:space="preserve"> </w:t>
      </w:r>
      <w:hyperlink r:id="rId80" w:history="1">
        <w:r w:rsidRPr="006944C5">
          <w:rPr>
            <w:rStyle w:val="Hyperlink"/>
            <w:rFonts w:ascii="Times New Roman" w:eastAsia="MS PGothic" w:hAnsi="Times New Roman" w:cs="Times New Roman"/>
            <w:noProof/>
            <w:sz w:val="16"/>
            <w:szCs w:val="16"/>
            <w:lang w:val="sr-Cyrl-RS"/>
          </w:rPr>
          <w:t>https://naled.rs/htdocs/Files/01428/Komasacija-vodic-web.pdf</w:t>
        </w:r>
      </w:hyperlink>
    </w:p>
  </w:footnote>
  <w:footnote w:id="168">
    <w:p w14:paraId="7498D64B" w14:textId="792EC231" w:rsidR="00815ACD" w:rsidRPr="006944C5" w:rsidRDefault="00815ACD" w:rsidP="006944C5">
      <w:pPr>
        <w:pStyle w:val="FootnoteText"/>
        <w:spacing w:after="0"/>
        <w:ind w:firstLine="0"/>
        <w:jc w:val="left"/>
        <w:rPr>
          <w:rFonts w:ascii="Times New Roman" w:hAnsi="Times New Roman" w:cs="Times New Roman"/>
          <w:sz w:val="16"/>
          <w:szCs w:val="16"/>
          <w:lang w:val="sr-Cyrl-RS"/>
        </w:rPr>
      </w:pPr>
      <w:r w:rsidRPr="006944C5">
        <w:rPr>
          <w:rStyle w:val="FootnoteReference"/>
          <w:rFonts w:ascii="Times New Roman" w:hAnsi="Times New Roman" w:cs="Times New Roman"/>
          <w:sz w:val="16"/>
          <w:szCs w:val="16"/>
        </w:rPr>
        <w:footnoteRef/>
      </w:r>
      <w:r w:rsidRPr="006944C5">
        <w:rPr>
          <w:rFonts w:ascii="Times New Roman" w:hAnsi="Times New Roman" w:cs="Times New Roman"/>
          <w:sz w:val="16"/>
          <w:szCs w:val="16"/>
        </w:rPr>
        <w:t xml:space="preserve"> </w:t>
      </w:r>
      <w:r w:rsidRPr="006944C5">
        <w:rPr>
          <w:rFonts w:ascii="Times New Roman" w:hAnsi="Times New Roman" w:cs="Times New Roman"/>
          <w:color w:val="auto"/>
          <w:sz w:val="16"/>
          <w:szCs w:val="16"/>
          <w:lang w:val="sr-Cyrl-RS"/>
        </w:rPr>
        <w:t>Н</w:t>
      </w:r>
      <w:r>
        <w:rPr>
          <w:rFonts w:ascii="Times New Roman" w:hAnsi="Times New Roman" w:cs="Times New Roman"/>
          <w:color w:val="auto"/>
          <w:sz w:val="16"/>
          <w:szCs w:val="16"/>
          <w:lang w:val="sr-Cyrl-RS"/>
        </w:rPr>
        <w:t>ародна банка Србије</w:t>
      </w:r>
      <w:r w:rsidRPr="006944C5">
        <w:rPr>
          <w:rFonts w:ascii="Times New Roman" w:hAnsi="Times New Roman" w:cs="Times New Roman"/>
          <w:sz w:val="16"/>
          <w:szCs w:val="16"/>
          <w:lang w:val="sr-Cyrl-RS"/>
        </w:rPr>
        <w:t>,</w:t>
      </w:r>
      <w:r w:rsidRPr="006944C5">
        <w:rPr>
          <w:rFonts w:ascii="Times New Roman" w:hAnsi="Times New Roman" w:cs="Times New Roman"/>
          <w:sz w:val="16"/>
          <w:szCs w:val="16"/>
        </w:rPr>
        <w:t xml:space="preserve"> Страна директна улагања, нето обавезе, по делатностима</w:t>
      </w:r>
      <w:r w:rsidRPr="006944C5">
        <w:rPr>
          <w:rFonts w:ascii="Times New Roman" w:hAnsi="Times New Roman" w:cs="Times New Roman"/>
          <w:sz w:val="16"/>
          <w:szCs w:val="16"/>
          <w:lang w:val="sr-Cyrl-RS"/>
        </w:rPr>
        <w:t>, обрада РСЈП</w:t>
      </w:r>
      <w:r w:rsidRPr="006944C5">
        <w:rPr>
          <w:rFonts w:ascii="Times New Roman" w:hAnsi="Times New Roman" w:cs="Times New Roman"/>
          <w:sz w:val="16"/>
          <w:szCs w:val="16"/>
          <w:lang w:val="sr-Latn-RS"/>
        </w:rPr>
        <w:t xml:space="preserve">, </w:t>
      </w:r>
      <w:hyperlink r:id="rId81" w:history="1">
        <w:r w:rsidRPr="006944C5">
          <w:rPr>
            <w:rStyle w:val="Hyperlink"/>
            <w:rFonts w:ascii="Times New Roman" w:hAnsi="Times New Roman" w:cs="Times New Roman"/>
            <w:sz w:val="16"/>
            <w:szCs w:val="16"/>
            <w:lang w:val="sr-Latn-RS"/>
          </w:rPr>
          <w:t>https://nbs.rs/sr_RS/drugi-nivo-navigacije/statistika/platni_bilans/</w:t>
        </w:r>
      </w:hyperlink>
      <w:r w:rsidRPr="006944C5">
        <w:rPr>
          <w:rFonts w:ascii="Times New Roman" w:hAnsi="Times New Roman" w:cs="Times New Roman"/>
          <w:sz w:val="16"/>
          <w:szCs w:val="16"/>
          <w:lang w:val="sr-Cyrl-RS"/>
        </w:rPr>
        <w:t xml:space="preserve"> </w:t>
      </w:r>
    </w:p>
  </w:footnote>
  <w:footnote w:id="169">
    <w:p w14:paraId="2661F143" w14:textId="77777777" w:rsidR="00815ACD" w:rsidRPr="006944C5" w:rsidRDefault="00815ACD" w:rsidP="006944C5">
      <w:pPr>
        <w:pStyle w:val="FootnoteText"/>
        <w:spacing w:after="0"/>
        <w:ind w:firstLine="0"/>
        <w:jc w:val="left"/>
        <w:rPr>
          <w:rFonts w:ascii="Times New Roman" w:hAnsi="Times New Roman" w:cs="Times New Roman"/>
          <w:sz w:val="16"/>
          <w:szCs w:val="16"/>
          <w:lang w:val="sr-Cyrl-RS"/>
        </w:rPr>
      </w:pPr>
      <w:r w:rsidRPr="006944C5">
        <w:rPr>
          <w:rStyle w:val="FootnoteReference"/>
          <w:rFonts w:ascii="Times New Roman" w:hAnsi="Times New Roman" w:cs="Times New Roman"/>
          <w:sz w:val="16"/>
          <w:szCs w:val="16"/>
        </w:rPr>
        <w:footnoteRef/>
      </w:r>
      <w:r w:rsidRPr="006944C5">
        <w:rPr>
          <w:rFonts w:ascii="Times New Roman" w:hAnsi="Times New Roman" w:cs="Times New Roman"/>
          <w:sz w:val="16"/>
          <w:szCs w:val="16"/>
          <w:lang w:val="sr-Cyrl-RS"/>
        </w:rPr>
        <w:t xml:space="preserve"> </w:t>
      </w:r>
      <w:r w:rsidRPr="006944C5">
        <w:rPr>
          <w:rFonts w:ascii="Times New Roman" w:hAnsi="Times New Roman" w:cs="Times New Roman"/>
          <w:sz w:val="16"/>
          <w:szCs w:val="16"/>
        </w:rPr>
        <w:t>Утицај Информационог система за управљање пољопривредним земљиштем</w:t>
      </w:r>
      <w:r w:rsidRPr="006944C5">
        <w:rPr>
          <w:rFonts w:ascii="Times New Roman" w:hAnsi="Times New Roman" w:cs="Times New Roman"/>
          <w:sz w:val="16"/>
          <w:szCs w:val="16"/>
          <w:lang w:val="sr-Cyrl-RS"/>
        </w:rPr>
        <w:t xml:space="preserve">, </w:t>
      </w:r>
      <w:hyperlink r:id="rId82" w:history="1">
        <w:r w:rsidRPr="006944C5">
          <w:rPr>
            <w:rStyle w:val="Hyperlink"/>
            <w:rFonts w:ascii="Times New Roman" w:hAnsi="Times New Roman" w:cs="Times New Roman"/>
            <w:sz w:val="16"/>
            <w:szCs w:val="16"/>
            <w:lang w:val="sr-Cyrl-RS"/>
          </w:rPr>
          <w:t>https://upz.minpolj.gov.rs/download/GIZ%20Uticaj%20IS%20za%20upravljanje%20poljoprivrednim%20zemljistem.pdf</w:t>
        </w:r>
      </w:hyperlink>
      <w:r w:rsidRPr="006944C5">
        <w:rPr>
          <w:rFonts w:ascii="Times New Roman" w:hAnsi="Times New Roman" w:cs="Times New Roman"/>
          <w:sz w:val="16"/>
          <w:szCs w:val="16"/>
          <w:lang w:val="sr-Cyrl-RS"/>
        </w:rPr>
        <w:t xml:space="preserve"> </w:t>
      </w:r>
    </w:p>
  </w:footnote>
  <w:footnote w:id="170">
    <w:p w14:paraId="16714E1E" w14:textId="09355BA9" w:rsidR="00815ACD" w:rsidRPr="006944C5" w:rsidRDefault="00815ACD" w:rsidP="00B57FE8">
      <w:pPr>
        <w:pStyle w:val="FootnoteText"/>
        <w:spacing w:after="0"/>
        <w:ind w:firstLine="0"/>
        <w:rPr>
          <w:rFonts w:ascii="Times New Roman" w:hAnsi="Times New Roman" w:cs="Times New Roman"/>
          <w:sz w:val="16"/>
          <w:szCs w:val="16"/>
          <w:lang w:val="sr-Cyrl-RS"/>
        </w:rPr>
      </w:pPr>
      <w:r w:rsidRPr="006944C5">
        <w:rPr>
          <w:rStyle w:val="FootnoteReference"/>
          <w:rFonts w:ascii="Times New Roman" w:hAnsi="Times New Roman" w:cs="Times New Roman"/>
          <w:sz w:val="16"/>
          <w:szCs w:val="16"/>
        </w:rPr>
        <w:footnoteRef/>
      </w:r>
      <w:r w:rsidRPr="006944C5">
        <w:rPr>
          <w:rFonts w:ascii="Times New Roman" w:hAnsi="Times New Roman" w:cs="Times New Roman"/>
          <w:sz w:val="16"/>
          <w:szCs w:val="16"/>
        </w:rPr>
        <w:t xml:space="preserve"> </w:t>
      </w:r>
      <w:r w:rsidRPr="006944C5">
        <w:rPr>
          <w:rFonts w:ascii="Times New Roman" w:hAnsi="Times New Roman" w:cs="Times New Roman"/>
          <w:sz w:val="16"/>
          <w:szCs w:val="16"/>
          <w:lang w:val="sr-Cyrl-RS"/>
        </w:rPr>
        <w:t xml:space="preserve">У складу са </w:t>
      </w:r>
      <w:r w:rsidRPr="006944C5">
        <w:rPr>
          <w:rFonts w:ascii="Times New Roman" w:hAnsi="Times New Roman" w:cs="Times New Roman"/>
          <w:sz w:val="16"/>
          <w:szCs w:val="16"/>
        </w:rPr>
        <w:t>Правилник</w:t>
      </w:r>
      <w:r w:rsidRPr="006944C5">
        <w:rPr>
          <w:rFonts w:ascii="Times New Roman" w:hAnsi="Times New Roman" w:cs="Times New Roman"/>
          <w:sz w:val="16"/>
          <w:szCs w:val="16"/>
          <w:lang w:val="sr-Cyrl-RS"/>
        </w:rPr>
        <w:t>ом</w:t>
      </w:r>
      <w:r w:rsidRPr="006944C5">
        <w:rPr>
          <w:rFonts w:ascii="Times New Roman" w:hAnsi="Times New Roman" w:cs="Times New Roman"/>
          <w:sz w:val="16"/>
          <w:szCs w:val="16"/>
        </w:rPr>
        <w:t xml:space="preserve"> о подстицајима за инвестиције за унапређење и развој руралне јавне инфраструктуре</w:t>
      </w:r>
      <w:r w:rsidRPr="006944C5">
        <w:rPr>
          <w:rFonts w:ascii="Times New Roman" w:hAnsi="Times New Roman" w:cs="Times New Roman"/>
          <w:sz w:val="16"/>
          <w:szCs w:val="16"/>
          <w:lang w:val="en-US"/>
        </w:rPr>
        <w:t xml:space="preserve"> </w:t>
      </w:r>
      <w:r w:rsidRPr="00467990">
        <w:rPr>
          <w:rFonts w:ascii="Times New Roman" w:hAnsi="Times New Roman" w:cs="Times New Roman"/>
          <w:sz w:val="16"/>
          <w:szCs w:val="16"/>
          <w:lang w:val="sr-Cyrl-RS"/>
        </w:rPr>
        <w:t>(</w:t>
      </w:r>
      <w:r>
        <w:rPr>
          <w:rFonts w:ascii="Times New Roman" w:hAnsi="Times New Roman" w:cs="Times New Roman"/>
          <w:sz w:val="16"/>
          <w:szCs w:val="16"/>
          <w:lang w:val="sr-Cyrl-RS"/>
        </w:rPr>
        <w:t xml:space="preserve">„Службени гласник РСˮ, бр. </w:t>
      </w:r>
      <w:r w:rsidRPr="00467990">
        <w:rPr>
          <w:rFonts w:ascii="Times New Roman" w:hAnsi="Times New Roman" w:cs="Times New Roman"/>
          <w:sz w:val="16"/>
          <w:szCs w:val="16"/>
          <w:lang w:val="sr-Cyrl-RS"/>
        </w:rPr>
        <w:t xml:space="preserve"> </w:t>
      </w:r>
      <w:r>
        <w:rPr>
          <w:rFonts w:ascii="Times New Roman" w:hAnsi="Times New Roman" w:cs="Times New Roman"/>
          <w:sz w:val="16"/>
          <w:szCs w:val="16"/>
          <w:lang w:val="en-US"/>
        </w:rPr>
        <w:t>67</w:t>
      </w:r>
      <w:r>
        <w:rPr>
          <w:rFonts w:ascii="Times New Roman" w:hAnsi="Times New Roman" w:cs="Times New Roman"/>
          <w:sz w:val="16"/>
          <w:szCs w:val="16"/>
          <w:lang w:val="sr-Cyrl-RS"/>
        </w:rPr>
        <w:t>/</w:t>
      </w:r>
      <w:r>
        <w:rPr>
          <w:rFonts w:ascii="Times New Roman" w:hAnsi="Times New Roman" w:cs="Times New Roman"/>
          <w:sz w:val="16"/>
          <w:szCs w:val="16"/>
          <w:lang w:val="en-US"/>
        </w:rPr>
        <w:t>21, 83</w:t>
      </w:r>
      <w:r>
        <w:rPr>
          <w:rFonts w:ascii="Times New Roman" w:hAnsi="Times New Roman" w:cs="Times New Roman"/>
          <w:sz w:val="16"/>
          <w:szCs w:val="16"/>
          <w:lang w:val="sr-Cyrl-RS"/>
        </w:rPr>
        <w:t>/</w:t>
      </w:r>
      <w:r>
        <w:rPr>
          <w:rFonts w:ascii="Times New Roman" w:hAnsi="Times New Roman" w:cs="Times New Roman"/>
          <w:sz w:val="16"/>
          <w:szCs w:val="16"/>
          <w:lang w:val="en-US"/>
        </w:rPr>
        <w:t>21, 125</w:t>
      </w:r>
      <w:r>
        <w:rPr>
          <w:rFonts w:ascii="Times New Roman" w:hAnsi="Times New Roman" w:cs="Times New Roman"/>
          <w:sz w:val="16"/>
          <w:szCs w:val="16"/>
          <w:lang w:val="sr-Cyrl-RS"/>
        </w:rPr>
        <w:t>/</w:t>
      </w:r>
      <w:r>
        <w:rPr>
          <w:rFonts w:ascii="Times New Roman" w:hAnsi="Times New Roman" w:cs="Times New Roman"/>
          <w:sz w:val="16"/>
          <w:szCs w:val="16"/>
          <w:lang w:val="en-US"/>
        </w:rPr>
        <w:t>21 и 10</w:t>
      </w:r>
      <w:r>
        <w:rPr>
          <w:rFonts w:ascii="Times New Roman" w:hAnsi="Times New Roman" w:cs="Times New Roman"/>
          <w:sz w:val="16"/>
          <w:szCs w:val="16"/>
          <w:lang w:val="sr-Cyrl-RS"/>
        </w:rPr>
        <w:t>/</w:t>
      </w:r>
      <w:r>
        <w:rPr>
          <w:rFonts w:ascii="Times New Roman" w:hAnsi="Times New Roman" w:cs="Times New Roman"/>
          <w:sz w:val="16"/>
          <w:szCs w:val="16"/>
          <w:lang w:val="en-US"/>
        </w:rPr>
        <w:t>22</w:t>
      </w:r>
      <w:r>
        <w:rPr>
          <w:rFonts w:ascii="Times New Roman" w:hAnsi="Times New Roman" w:cs="Times New Roman"/>
          <w:sz w:val="16"/>
          <w:szCs w:val="16"/>
          <w:lang w:val="sr-Cyrl-RS"/>
        </w:rPr>
        <w:t>)</w:t>
      </w:r>
      <w:r w:rsidRPr="00467990" w:rsidDel="00467990">
        <w:rPr>
          <w:rFonts w:ascii="Times New Roman" w:hAnsi="Times New Roman" w:cs="Times New Roman"/>
          <w:sz w:val="16"/>
          <w:szCs w:val="16"/>
          <w:lang w:val="sr-Cyrl-RS"/>
        </w:rPr>
        <w:t xml:space="preserve"> </w:t>
      </w:r>
    </w:p>
  </w:footnote>
  <w:footnote w:id="171">
    <w:p w14:paraId="13CE7FE9" w14:textId="77777777" w:rsidR="00815ACD" w:rsidRPr="006944C5" w:rsidRDefault="00815ACD" w:rsidP="00B57FE8">
      <w:pPr>
        <w:pStyle w:val="FootnoteText"/>
        <w:spacing w:after="0"/>
        <w:ind w:firstLine="0"/>
        <w:rPr>
          <w:rFonts w:ascii="Times New Roman" w:hAnsi="Times New Roman" w:cs="Times New Roman"/>
          <w:sz w:val="16"/>
          <w:szCs w:val="16"/>
          <w:lang w:val="sr-Cyrl-RS"/>
        </w:rPr>
      </w:pPr>
      <w:r w:rsidRPr="006944C5">
        <w:rPr>
          <w:rStyle w:val="FootnoteReference"/>
          <w:rFonts w:ascii="Times New Roman" w:hAnsi="Times New Roman" w:cs="Times New Roman"/>
          <w:sz w:val="16"/>
          <w:szCs w:val="16"/>
        </w:rPr>
        <w:footnoteRef/>
      </w:r>
      <w:r w:rsidRPr="006944C5">
        <w:rPr>
          <w:rFonts w:ascii="Times New Roman" w:hAnsi="Times New Roman" w:cs="Times New Roman"/>
          <w:sz w:val="16"/>
          <w:szCs w:val="16"/>
        </w:rPr>
        <w:t xml:space="preserve"> Први Јавни позив је расписан 23. јула 2021. године - поднето је укупно 93 захтева, усвојено 19 захтева и исплаћено је 234</w:t>
      </w:r>
      <w:r w:rsidRPr="006944C5">
        <w:rPr>
          <w:rFonts w:ascii="Times New Roman" w:hAnsi="Times New Roman" w:cs="Times New Roman"/>
          <w:sz w:val="16"/>
          <w:szCs w:val="16"/>
          <w:lang w:val="sr-Cyrl-RS"/>
        </w:rPr>
        <w:t>,5 милиона</w:t>
      </w:r>
      <w:r w:rsidRPr="006944C5">
        <w:rPr>
          <w:rFonts w:ascii="Times New Roman" w:hAnsi="Times New Roman" w:cs="Times New Roman"/>
          <w:sz w:val="16"/>
          <w:szCs w:val="16"/>
        </w:rPr>
        <w:t xml:space="preserve"> динара</w:t>
      </w:r>
      <w:r w:rsidRPr="006944C5">
        <w:rPr>
          <w:rFonts w:ascii="Times New Roman" w:hAnsi="Times New Roman" w:cs="Times New Roman"/>
          <w:sz w:val="16"/>
          <w:szCs w:val="16"/>
          <w:lang w:val="sr-Cyrl-RS"/>
        </w:rPr>
        <w:t>.</w:t>
      </w:r>
    </w:p>
  </w:footnote>
  <w:footnote w:id="172">
    <w:p w14:paraId="740DCB28" w14:textId="77777777" w:rsidR="00815ACD" w:rsidRPr="006944C5" w:rsidRDefault="00815ACD" w:rsidP="00B57FE8">
      <w:pPr>
        <w:pStyle w:val="FootnoteText"/>
        <w:spacing w:after="0"/>
        <w:ind w:firstLine="0"/>
        <w:rPr>
          <w:rFonts w:ascii="Times New Roman" w:hAnsi="Times New Roman" w:cs="Times New Roman"/>
          <w:sz w:val="16"/>
          <w:szCs w:val="16"/>
          <w:lang w:val="sr-Cyrl-RS"/>
        </w:rPr>
      </w:pPr>
      <w:r w:rsidRPr="006944C5">
        <w:rPr>
          <w:rStyle w:val="FootnoteReference"/>
          <w:rFonts w:ascii="Times New Roman" w:hAnsi="Times New Roman" w:cs="Times New Roman"/>
          <w:sz w:val="16"/>
          <w:szCs w:val="16"/>
        </w:rPr>
        <w:footnoteRef/>
      </w:r>
      <w:r w:rsidRPr="006944C5">
        <w:rPr>
          <w:rFonts w:ascii="Times New Roman" w:hAnsi="Times New Roman" w:cs="Times New Roman"/>
          <w:sz w:val="16"/>
          <w:szCs w:val="16"/>
        </w:rPr>
        <w:t xml:space="preserve"> Други Јавни позив је расписан 11. јануара 2022. године </w:t>
      </w:r>
      <w:r w:rsidRPr="006944C5">
        <w:rPr>
          <w:rFonts w:ascii="Times New Roman" w:hAnsi="Times New Roman" w:cs="Times New Roman"/>
          <w:sz w:val="16"/>
          <w:szCs w:val="16"/>
          <w:lang w:val="sr-Cyrl-RS"/>
        </w:rPr>
        <w:t>-</w:t>
      </w:r>
      <w:r w:rsidRPr="006944C5">
        <w:rPr>
          <w:rFonts w:ascii="Times New Roman" w:hAnsi="Times New Roman" w:cs="Times New Roman"/>
          <w:sz w:val="16"/>
          <w:szCs w:val="16"/>
        </w:rPr>
        <w:t xml:space="preserve"> поднето је укупно 97 захтева, усвојено 17 захтева и исплаћено 308</w:t>
      </w:r>
      <w:r w:rsidRPr="006944C5">
        <w:rPr>
          <w:rFonts w:ascii="Times New Roman" w:hAnsi="Times New Roman" w:cs="Times New Roman"/>
          <w:sz w:val="16"/>
          <w:szCs w:val="16"/>
          <w:lang w:val="sr-Cyrl-RS"/>
        </w:rPr>
        <w:t xml:space="preserve"> милиона</w:t>
      </w:r>
      <w:r w:rsidRPr="006944C5">
        <w:rPr>
          <w:rFonts w:ascii="Times New Roman" w:hAnsi="Times New Roman" w:cs="Times New Roman"/>
          <w:sz w:val="16"/>
          <w:szCs w:val="16"/>
        </w:rPr>
        <w:t xml:space="preserve"> динара.</w:t>
      </w:r>
    </w:p>
  </w:footnote>
  <w:footnote w:id="173">
    <w:p w14:paraId="5037C29A" w14:textId="77777777" w:rsidR="00815ACD" w:rsidRPr="006944C5" w:rsidRDefault="00815ACD" w:rsidP="00D030D6">
      <w:pPr>
        <w:pStyle w:val="FootnoteText"/>
        <w:spacing w:after="0"/>
        <w:ind w:firstLine="0"/>
        <w:jc w:val="left"/>
        <w:rPr>
          <w:rFonts w:ascii="Times New Roman" w:hAnsi="Times New Roman" w:cs="Times New Roman"/>
          <w:color w:val="auto"/>
          <w:sz w:val="16"/>
          <w:szCs w:val="16"/>
          <w:lang w:val="sr-Cyrl-RS"/>
        </w:rPr>
      </w:pPr>
      <w:r w:rsidRPr="006944C5">
        <w:rPr>
          <w:rStyle w:val="FootnoteReference"/>
          <w:rFonts w:ascii="Times New Roman" w:hAnsi="Times New Roman" w:cs="Times New Roman"/>
          <w:sz w:val="16"/>
          <w:szCs w:val="16"/>
        </w:rPr>
        <w:footnoteRef/>
      </w:r>
      <w:r w:rsidRPr="006944C5">
        <w:rPr>
          <w:rFonts w:ascii="Times New Roman" w:hAnsi="Times New Roman" w:cs="Times New Roman"/>
          <w:sz w:val="16"/>
          <w:szCs w:val="16"/>
        </w:rPr>
        <w:t xml:space="preserve"> </w:t>
      </w:r>
      <w:r w:rsidRPr="006944C5">
        <w:rPr>
          <w:rFonts w:ascii="Times New Roman" w:hAnsi="Times New Roman" w:cs="Times New Roman"/>
          <w:color w:val="auto"/>
          <w:sz w:val="16"/>
          <w:szCs w:val="16"/>
          <w:lang w:val="sr-Cyrl-RS"/>
        </w:rPr>
        <w:t>Портал отворених података</w:t>
      </w:r>
      <w:r w:rsidRPr="006944C5">
        <w:rPr>
          <w:rFonts w:ascii="Times New Roman" w:hAnsi="Times New Roman" w:cs="Times New Roman"/>
          <w:sz w:val="16"/>
          <w:szCs w:val="16"/>
          <w:lang w:val="sr-Cyrl-RS"/>
        </w:rPr>
        <w:t>,</w:t>
      </w:r>
      <w:r w:rsidRPr="006944C5">
        <w:rPr>
          <w:rFonts w:ascii="Times New Roman" w:hAnsi="Times New Roman" w:cs="Times New Roman"/>
          <w:sz w:val="16"/>
          <w:szCs w:val="16"/>
        </w:rPr>
        <w:t xml:space="preserve"> </w:t>
      </w:r>
      <w:hyperlink r:id="rId83" w:history="1">
        <w:r w:rsidRPr="006944C5">
          <w:rPr>
            <w:rStyle w:val="Hyperlink"/>
            <w:rFonts w:ascii="Times New Roman" w:hAnsi="Times New Roman" w:cs="Times New Roman"/>
            <w:sz w:val="16"/>
            <w:szCs w:val="16"/>
          </w:rPr>
          <w:t>https://data.gov.rs/sr/datasets/rpg-broj-svikh-registrovanikh-poljoprivrednikh-gazdinstava-aktivna-gazdinstva/</w:t>
        </w:r>
      </w:hyperlink>
      <w:r>
        <w:rPr>
          <w:rStyle w:val="Hyperlink"/>
          <w:rFonts w:ascii="Times New Roman" w:hAnsi="Times New Roman" w:cs="Times New Roman"/>
          <w:sz w:val="16"/>
          <w:szCs w:val="16"/>
          <w:lang w:val="sr-Latn-RS"/>
        </w:rPr>
        <w:t xml:space="preserve">, </w:t>
      </w:r>
      <w:r w:rsidRPr="006944C5">
        <w:rPr>
          <w:rFonts w:ascii="Times New Roman" w:hAnsi="Times New Roman" w:cs="Times New Roman"/>
          <w:color w:val="auto"/>
          <w:sz w:val="16"/>
          <w:szCs w:val="16"/>
          <w:lang w:val="sr-Cyrl-RS"/>
        </w:rPr>
        <w:t>*без података за Косово и Метохију</w:t>
      </w:r>
    </w:p>
  </w:footnote>
  <w:footnote w:id="174">
    <w:p w14:paraId="06317E91" w14:textId="77777777" w:rsidR="00815ACD" w:rsidRPr="006944C5" w:rsidRDefault="00815ACD" w:rsidP="00B57FE8">
      <w:pPr>
        <w:pStyle w:val="FootnoteText"/>
        <w:spacing w:after="0"/>
        <w:ind w:firstLine="0"/>
        <w:rPr>
          <w:rFonts w:ascii="Times New Roman" w:hAnsi="Times New Roman" w:cs="Times New Roman"/>
          <w:color w:val="auto"/>
          <w:sz w:val="16"/>
          <w:szCs w:val="16"/>
          <w:lang w:val="sr-Cyrl-RS"/>
        </w:rPr>
      </w:pPr>
      <w:r w:rsidRPr="006944C5">
        <w:rPr>
          <w:rStyle w:val="FootnoteReference"/>
          <w:rFonts w:ascii="Times New Roman" w:hAnsi="Times New Roman" w:cs="Times New Roman"/>
          <w:color w:val="auto"/>
          <w:sz w:val="16"/>
          <w:szCs w:val="16"/>
        </w:rPr>
        <w:footnoteRef/>
      </w:r>
      <w:r w:rsidRPr="006944C5">
        <w:rPr>
          <w:rFonts w:ascii="Times New Roman" w:hAnsi="Times New Roman" w:cs="Times New Roman"/>
          <w:color w:val="auto"/>
          <w:sz w:val="16"/>
          <w:szCs w:val="16"/>
        </w:rPr>
        <w:t xml:space="preserve"> </w:t>
      </w:r>
      <w:r w:rsidRPr="006944C5">
        <w:rPr>
          <w:rFonts w:ascii="Times New Roman" w:hAnsi="Times New Roman" w:cs="Times New Roman"/>
          <w:color w:val="auto"/>
          <w:sz w:val="16"/>
          <w:szCs w:val="16"/>
          <w:lang w:val="sr-Cyrl-RS"/>
        </w:rPr>
        <w:t>Мера је део</w:t>
      </w:r>
      <w:r w:rsidRPr="006944C5">
        <w:rPr>
          <w:rFonts w:ascii="Times New Roman" w:hAnsi="Times New Roman" w:cs="Times New Roman"/>
          <w:color w:val="auto"/>
          <w:sz w:val="16"/>
          <w:szCs w:val="16"/>
        </w:rPr>
        <w:t xml:space="preserve"> Националног програма руралног развоја</w:t>
      </w:r>
      <w:r w:rsidRPr="006944C5">
        <w:rPr>
          <w:rFonts w:ascii="Times New Roman" w:hAnsi="Times New Roman" w:cs="Times New Roman"/>
          <w:color w:val="auto"/>
          <w:sz w:val="16"/>
          <w:szCs w:val="16"/>
          <w:lang w:val="sr-Cyrl-RS"/>
        </w:rPr>
        <w:t>, а</w:t>
      </w:r>
      <w:r w:rsidRPr="006944C5">
        <w:rPr>
          <w:rFonts w:ascii="Times New Roman" w:hAnsi="Times New Roman" w:cs="Times New Roman"/>
          <w:color w:val="auto"/>
          <w:sz w:val="16"/>
          <w:szCs w:val="16"/>
        </w:rPr>
        <w:t xml:space="preserve"> има за циљ да подстакне раст, запошљавање и одрживи развој у руралним подручјима и допринесе смањењу територијалних друштвених и економских развојних диспропорција.</w:t>
      </w:r>
    </w:p>
  </w:footnote>
  <w:footnote w:id="175">
    <w:p w14:paraId="33D13461" w14:textId="5F0A0922" w:rsidR="00815ACD" w:rsidRPr="006944C5" w:rsidRDefault="00815ACD" w:rsidP="00B57FE8">
      <w:pPr>
        <w:pStyle w:val="FootnoteText"/>
        <w:spacing w:after="0"/>
        <w:ind w:firstLine="0"/>
        <w:rPr>
          <w:rFonts w:ascii="Times New Roman" w:hAnsi="Times New Roman" w:cs="Times New Roman"/>
          <w:color w:val="auto"/>
          <w:sz w:val="16"/>
          <w:szCs w:val="16"/>
          <w:lang w:val="sr-Cyrl-RS"/>
        </w:rPr>
      </w:pPr>
      <w:r w:rsidRPr="006944C5">
        <w:rPr>
          <w:rStyle w:val="FootnoteReference"/>
          <w:rFonts w:ascii="Times New Roman" w:hAnsi="Times New Roman" w:cs="Times New Roman"/>
          <w:color w:val="auto"/>
          <w:sz w:val="16"/>
          <w:szCs w:val="16"/>
        </w:rPr>
        <w:footnoteRef/>
      </w:r>
      <w:r w:rsidRPr="006944C5">
        <w:rPr>
          <w:rFonts w:ascii="Times New Roman" w:hAnsi="Times New Roman" w:cs="Times New Roman"/>
          <w:color w:val="auto"/>
          <w:sz w:val="16"/>
          <w:szCs w:val="16"/>
        </w:rPr>
        <w:t xml:space="preserve"> </w:t>
      </w:r>
      <w:r w:rsidRPr="006944C5">
        <w:rPr>
          <w:rFonts w:ascii="Times New Roman" w:hAnsi="Times New Roman" w:cs="Times New Roman"/>
          <w:color w:val="auto"/>
          <w:sz w:val="16"/>
          <w:szCs w:val="16"/>
          <w:lang w:val="sr-Cyrl-RS"/>
        </w:rPr>
        <w:t>У складу са</w:t>
      </w:r>
      <w:r w:rsidRPr="006944C5">
        <w:rPr>
          <w:rFonts w:ascii="Times New Roman" w:hAnsi="Times New Roman" w:cs="Times New Roman"/>
          <w:color w:val="auto"/>
          <w:sz w:val="16"/>
          <w:szCs w:val="16"/>
        </w:rPr>
        <w:t xml:space="preserve"> </w:t>
      </w:r>
      <w:r w:rsidRPr="00CE53B0">
        <w:rPr>
          <w:rFonts w:ascii="Times New Roman" w:hAnsi="Times New Roman" w:cs="Times New Roman"/>
          <w:color w:val="auto"/>
          <w:sz w:val="16"/>
          <w:szCs w:val="16"/>
          <w:lang w:val="sr-Cyrl-RS"/>
        </w:rPr>
        <w:t>П</w:t>
      </w:r>
      <w:r w:rsidRPr="00CE53B0">
        <w:rPr>
          <w:rFonts w:ascii="Times New Roman" w:hAnsi="Times New Roman" w:cs="Times New Roman"/>
          <w:color w:val="auto"/>
          <w:sz w:val="16"/>
          <w:szCs w:val="16"/>
        </w:rPr>
        <w:t>равилник</w:t>
      </w:r>
      <w:r w:rsidRPr="00CE53B0">
        <w:rPr>
          <w:rFonts w:ascii="Times New Roman" w:hAnsi="Times New Roman" w:cs="Times New Roman"/>
          <w:color w:val="auto"/>
          <w:sz w:val="16"/>
          <w:szCs w:val="16"/>
          <w:lang w:val="sr-Cyrl-RS"/>
        </w:rPr>
        <w:t>ом о</w:t>
      </w:r>
      <w:r w:rsidRPr="00CE53B0">
        <w:rPr>
          <w:rFonts w:ascii="Times New Roman" w:hAnsi="Times New Roman" w:cs="Times New Roman"/>
          <w:color w:val="auto"/>
          <w:sz w:val="16"/>
          <w:szCs w:val="16"/>
        </w:rPr>
        <w:t xml:space="preserve"> подстицајима за унапређење економских активности на селу кроз подршку непољопривредним активностима</w:t>
      </w:r>
      <w:r w:rsidRPr="00CE53B0">
        <w:rPr>
          <w:rFonts w:ascii="Times New Roman" w:hAnsi="Times New Roman" w:cs="Times New Roman"/>
          <w:color w:val="auto"/>
          <w:sz w:val="16"/>
          <w:szCs w:val="16"/>
          <w:lang w:val="sr-Cyrl-RS"/>
        </w:rPr>
        <w:t xml:space="preserve"> (</w:t>
      </w:r>
      <w:r>
        <w:rPr>
          <w:rFonts w:ascii="Times New Roman" w:hAnsi="Times New Roman" w:cs="Times New Roman"/>
          <w:color w:val="auto"/>
          <w:sz w:val="16"/>
          <w:szCs w:val="16"/>
          <w:lang w:val="sr-Cyrl-RS"/>
        </w:rPr>
        <w:t>„Службени гласник РСˮ, број 93/21</w:t>
      </w:r>
      <w:r w:rsidRPr="00CE53B0">
        <w:rPr>
          <w:rFonts w:ascii="Times New Roman" w:hAnsi="Times New Roman" w:cs="Times New Roman"/>
          <w:color w:val="auto"/>
          <w:sz w:val="16"/>
          <w:szCs w:val="16"/>
          <w:lang w:val="sr-Cyrl-RS"/>
        </w:rPr>
        <w:t>),</w:t>
      </w:r>
      <w:r w:rsidRPr="006944C5">
        <w:rPr>
          <w:rFonts w:ascii="Times New Roman" w:hAnsi="Times New Roman" w:cs="Times New Roman"/>
          <w:color w:val="auto"/>
          <w:sz w:val="16"/>
          <w:szCs w:val="16"/>
        </w:rPr>
        <w:t xml:space="preserve"> у које спада подршка развоју руралног туризма и очувања старих заната</w:t>
      </w:r>
      <w:r w:rsidRPr="006944C5">
        <w:rPr>
          <w:rFonts w:ascii="Times New Roman" w:hAnsi="Times New Roman" w:cs="Times New Roman"/>
          <w:color w:val="auto"/>
          <w:sz w:val="16"/>
          <w:szCs w:val="16"/>
          <w:lang w:val="sr-Cyrl-RS"/>
        </w:rPr>
        <w:t>.</w:t>
      </w:r>
    </w:p>
  </w:footnote>
  <w:footnote w:id="176">
    <w:p w14:paraId="7BD32D73" w14:textId="77777777" w:rsidR="00815ACD" w:rsidRPr="006944C5" w:rsidRDefault="00815ACD" w:rsidP="00B57FE8">
      <w:pPr>
        <w:pStyle w:val="FootnoteText"/>
        <w:spacing w:after="0"/>
        <w:ind w:firstLine="0"/>
        <w:rPr>
          <w:rFonts w:ascii="Times New Roman" w:hAnsi="Times New Roman" w:cs="Times New Roman"/>
          <w:sz w:val="16"/>
          <w:szCs w:val="16"/>
          <w:lang w:val="sr-Cyrl-RS"/>
        </w:rPr>
      </w:pPr>
      <w:r w:rsidRPr="006944C5">
        <w:rPr>
          <w:rStyle w:val="FootnoteReference"/>
          <w:rFonts w:ascii="Times New Roman" w:hAnsi="Times New Roman" w:cs="Times New Roman"/>
          <w:sz w:val="16"/>
          <w:szCs w:val="16"/>
          <w:lang w:val="sr-Cyrl-RS"/>
        </w:rPr>
        <w:footnoteRef/>
      </w:r>
      <w:r w:rsidRPr="006944C5">
        <w:rPr>
          <w:rFonts w:ascii="Times New Roman" w:hAnsi="Times New Roman" w:cs="Times New Roman"/>
          <w:sz w:val="16"/>
          <w:szCs w:val="16"/>
          <w:lang w:val="sr-Cyrl-RS"/>
        </w:rPr>
        <w:t xml:space="preserve"> </w:t>
      </w:r>
      <w:r w:rsidRPr="006944C5">
        <w:rPr>
          <w:rFonts w:ascii="Times New Roman" w:hAnsi="Times New Roman" w:cs="Times New Roman"/>
          <w:color w:val="auto"/>
          <w:sz w:val="16"/>
          <w:szCs w:val="16"/>
          <w:lang w:val="sr-Cyrl-RS"/>
        </w:rPr>
        <w:t xml:space="preserve">РЗС, Структура пољопривредних газдинстава, 2018. </w:t>
      </w:r>
      <w:hyperlink r:id="rId84" w:history="1">
        <w:r w:rsidRPr="006944C5">
          <w:rPr>
            <w:rStyle w:val="Hyperlink"/>
            <w:rFonts w:ascii="Times New Roman" w:eastAsia="MS PGothic" w:hAnsi="Times New Roman" w:cs="Times New Roman"/>
            <w:sz w:val="16"/>
            <w:szCs w:val="16"/>
            <w:lang w:val="sr-Cyrl-RS"/>
          </w:rPr>
          <w:t>https://publikacije.stat.gov.rs/G2019/Pdf/G201922002.pdf</w:t>
        </w:r>
      </w:hyperlink>
    </w:p>
  </w:footnote>
  <w:footnote w:id="177">
    <w:p w14:paraId="6F83882A" w14:textId="77777777" w:rsidR="00815ACD" w:rsidRPr="006944C5" w:rsidRDefault="00815ACD" w:rsidP="00B57FE8">
      <w:pPr>
        <w:pStyle w:val="FootnoteText"/>
        <w:spacing w:after="0"/>
        <w:ind w:firstLine="0"/>
        <w:rPr>
          <w:rFonts w:ascii="Times New Roman" w:hAnsi="Times New Roman" w:cs="Times New Roman"/>
          <w:color w:val="auto"/>
          <w:sz w:val="16"/>
          <w:szCs w:val="16"/>
          <w:lang w:val="sr-Cyrl-RS"/>
        </w:rPr>
      </w:pPr>
      <w:r w:rsidRPr="006944C5">
        <w:rPr>
          <w:rStyle w:val="FootnoteReference"/>
          <w:rFonts w:ascii="Times New Roman" w:hAnsi="Times New Roman" w:cs="Times New Roman"/>
          <w:color w:val="auto"/>
          <w:sz w:val="16"/>
          <w:szCs w:val="16"/>
        </w:rPr>
        <w:footnoteRef/>
      </w:r>
      <w:r w:rsidRPr="006944C5">
        <w:rPr>
          <w:rStyle w:val="FootnoteReference"/>
          <w:rFonts w:ascii="Times New Roman" w:hAnsi="Times New Roman" w:cs="Times New Roman"/>
          <w:color w:val="auto"/>
          <w:sz w:val="16"/>
          <w:szCs w:val="16"/>
        </w:rPr>
        <w:t xml:space="preserve"> </w:t>
      </w:r>
      <w:r w:rsidRPr="006944C5">
        <w:rPr>
          <w:rFonts w:ascii="Times New Roman" w:hAnsi="Times New Roman" w:cs="Times New Roman"/>
          <w:color w:val="auto"/>
          <w:sz w:val="16"/>
          <w:szCs w:val="16"/>
          <w:lang w:val="sr-Cyrl-RS"/>
        </w:rPr>
        <w:t>Резултати истраживања понашања корисника средстава за заштиту биља у Републици Србији, Фондација Ана и Владе Дивац, 2021</w:t>
      </w:r>
      <w:r w:rsidRPr="006944C5">
        <w:rPr>
          <w:rFonts w:ascii="Times New Roman" w:hAnsi="Times New Roman" w:cs="Times New Roman"/>
          <w:color w:val="auto"/>
          <w:sz w:val="16"/>
          <w:szCs w:val="16"/>
        </w:rPr>
        <w:t>.</w:t>
      </w:r>
    </w:p>
  </w:footnote>
  <w:footnote w:id="178">
    <w:p w14:paraId="240BA8F9" w14:textId="77777777" w:rsidR="00815ACD" w:rsidRPr="006944C5" w:rsidRDefault="00815ACD" w:rsidP="00B57FE8">
      <w:pPr>
        <w:pStyle w:val="FootnoteText"/>
        <w:spacing w:after="0"/>
        <w:ind w:firstLine="0"/>
        <w:rPr>
          <w:rFonts w:ascii="Times New Roman" w:hAnsi="Times New Roman" w:cs="Times New Roman"/>
          <w:color w:val="auto"/>
          <w:sz w:val="16"/>
          <w:szCs w:val="16"/>
          <w:lang w:val="sr-Cyrl-RS"/>
        </w:rPr>
      </w:pPr>
      <w:r w:rsidRPr="006944C5">
        <w:rPr>
          <w:rStyle w:val="FootnoteReference"/>
          <w:rFonts w:ascii="Times New Roman" w:hAnsi="Times New Roman" w:cs="Times New Roman"/>
          <w:color w:val="auto"/>
          <w:sz w:val="16"/>
          <w:szCs w:val="16"/>
        </w:rPr>
        <w:footnoteRef/>
      </w:r>
      <w:r w:rsidRPr="006944C5">
        <w:rPr>
          <w:rStyle w:val="FootnoteReference"/>
          <w:rFonts w:ascii="Times New Roman" w:hAnsi="Times New Roman" w:cs="Times New Roman"/>
          <w:color w:val="auto"/>
          <w:sz w:val="16"/>
          <w:szCs w:val="16"/>
        </w:rPr>
        <w:t xml:space="preserve"> </w:t>
      </w:r>
      <w:hyperlink r:id="rId85" w:history="1">
        <w:r w:rsidRPr="006944C5">
          <w:rPr>
            <w:rStyle w:val="Hyperlink"/>
            <w:rFonts w:ascii="Times New Roman" w:hAnsi="Times New Roman" w:cs="Times New Roman"/>
            <w:sz w:val="16"/>
            <w:szCs w:val="16"/>
          </w:rPr>
          <w:t>http://www.minpolj.gov.rs/download/lista-sredstava-za-zastitu-bilja-na-osnovu-izdatih-resenja-o-registraciji-sredstava-za-zastitu-bilja/#</w:t>
        </w:r>
      </w:hyperlink>
      <w:r w:rsidRPr="006944C5">
        <w:rPr>
          <w:rFonts w:ascii="Times New Roman" w:hAnsi="Times New Roman" w:cs="Times New Roman"/>
          <w:color w:val="auto"/>
          <w:sz w:val="16"/>
          <w:szCs w:val="16"/>
          <w:lang w:val="sr-Cyrl-RS"/>
        </w:rPr>
        <w:t xml:space="preserve"> </w:t>
      </w:r>
    </w:p>
  </w:footnote>
  <w:footnote w:id="179">
    <w:p w14:paraId="6E5E19B8" w14:textId="77777777" w:rsidR="00815ACD" w:rsidRPr="006944C5" w:rsidRDefault="00815ACD" w:rsidP="00B57FE8">
      <w:pPr>
        <w:pStyle w:val="FootnoteText"/>
        <w:spacing w:after="0"/>
        <w:ind w:firstLine="0"/>
        <w:rPr>
          <w:rFonts w:ascii="Times New Roman" w:hAnsi="Times New Roman" w:cs="Times New Roman"/>
          <w:sz w:val="16"/>
          <w:szCs w:val="16"/>
          <w:lang w:val="sr-Cyrl-RS"/>
        </w:rPr>
      </w:pPr>
      <w:r w:rsidRPr="006944C5">
        <w:rPr>
          <w:rStyle w:val="FootnoteReference"/>
          <w:rFonts w:ascii="Times New Roman" w:hAnsi="Times New Roman" w:cs="Times New Roman"/>
          <w:sz w:val="16"/>
          <w:szCs w:val="16"/>
        </w:rPr>
        <w:footnoteRef/>
      </w:r>
      <w:r w:rsidRPr="006944C5">
        <w:rPr>
          <w:rFonts w:ascii="Times New Roman" w:hAnsi="Times New Roman" w:cs="Times New Roman"/>
          <w:sz w:val="16"/>
          <w:szCs w:val="16"/>
          <w:lang w:val="sr-Cyrl-RS"/>
        </w:rPr>
        <w:t xml:space="preserve"> </w:t>
      </w:r>
      <w:r w:rsidRPr="006944C5">
        <w:rPr>
          <w:rFonts w:ascii="Times New Roman" w:hAnsi="Times New Roman" w:cs="Times New Roman"/>
          <w:color w:val="auto"/>
          <w:sz w:val="16"/>
          <w:szCs w:val="16"/>
          <w:lang w:val="sr-Cyrl-RS"/>
        </w:rPr>
        <w:t>Управа</w:t>
      </w:r>
      <w:r w:rsidRPr="006944C5">
        <w:rPr>
          <w:rFonts w:ascii="Times New Roman" w:hAnsi="Times New Roman" w:cs="Times New Roman"/>
          <w:sz w:val="16"/>
          <w:szCs w:val="16"/>
          <w:lang w:val="sr-Cyrl-RS"/>
        </w:rPr>
        <w:t xml:space="preserve"> за заштиту биља, Информатор о раду,</w:t>
      </w:r>
      <w:r w:rsidRPr="006944C5">
        <w:rPr>
          <w:rFonts w:ascii="Times New Roman" w:hAnsi="Times New Roman" w:cs="Times New Roman"/>
          <w:sz w:val="16"/>
          <w:szCs w:val="16"/>
        </w:rPr>
        <w:t xml:space="preserve"> </w:t>
      </w:r>
      <w:hyperlink r:id="rId86" w:history="1">
        <w:r w:rsidRPr="006944C5">
          <w:rPr>
            <w:rStyle w:val="Hyperlink"/>
            <w:rFonts w:ascii="Times New Roman" w:hAnsi="Times New Roman" w:cs="Times New Roman"/>
            <w:sz w:val="16"/>
            <w:szCs w:val="16"/>
          </w:rPr>
          <w:t>https://uzb.minpolj.gov.rs/wp-content/uploads/2022/07/Informator_UZB_junj2022.pdf</w:t>
        </w:r>
      </w:hyperlink>
      <w:r w:rsidRPr="006944C5">
        <w:rPr>
          <w:rFonts w:ascii="Times New Roman" w:hAnsi="Times New Roman" w:cs="Times New Roman"/>
          <w:sz w:val="16"/>
          <w:szCs w:val="16"/>
          <w:lang w:val="sr-Cyrl-RS"/>
        </w:rPr>
        <w:t xml:space="preserve"> </w:t>
      </w:r>
    </w:p>
  </w:footnote>
  <w:footnote w:id="180">
    <w:p w14:paraId="2B0D89B4" w14:textId="77777777" w:rsidR="00815ACD" w:rsidRPr="006944C5" w:rsidRDefault="00815ACD" w:rsidP="00B57FE8">
      <w:pPr>
        <w:pStyle w:val="FootnoteText"/>
        <w:spacing w:after="0"/>
        <w:ind w:firstLine="0"/>
        <w:rPr>
          <w:rFonts w:ascii="Times New Roman" w:hAnsi="Times New Roman" w:cs="Times New Roman"/>
          <w:sz w:val="16"/>
          <w:szCs w:val="16"/>
        </w:rPr>
      </w:pPr>
      <w:r w:rsidRPr="006944C5">
        <w:rPr>
          <w:rStyle w:val="FootnoteReference"/>
          <w:rFonts w:ascii="Times New Roman" w:hAnsi="Times New Roman" w:cs="Times New Roman"/>
          <w:sz w:val="16"/>
          <w:szCs w:val="16"/>
        </w:rPr>
        <w:footnoteRef/>
      </w:r>
      <w:r w:rsidRPr="006944C5">
        <w:rPr>
          <w:rFonts w:ascii="Times New Roman" w:hAnsi="Times New Roman" w:cs="Times New Roman"/>
          <w:sz w:val="16"/>
          <w:szCs w:val="16"/>
        </w:rPr>
        <w:t xml:space="preserve"> </w:t>
      </w:r>
      <w:r w:rsidRPr="006944C5">
        <w:rPr>
          <w:rFonts w:ascii="Times New Roman" w:hAnsi="Times New Roman" w:cs="Times New Roman"/>
          <w:color w:val="auto"/>
          <w:sz w:val="16"/>
          <w:szCs w:val="16"/>
          <w:lang w:val="sr-Cyrl-RS"/>
        </w:rPr>
        <w:t>РЗС</w:t>
      </w:r>
      <w:r w:rsidRPr="006944C5">
        <w:rPr>
          <w:rFonts w:ascii="Times New Roman" w:hAnsi="Times New Roman" w:cs="Times New Roman"/>
          <w:sz w:val="16"/>
          <w:szCs w:val="16"/>
          <w:lang w:val="sr-Cyrl-RS"/>
        </w:rPr>
        <w:t xml:space="preserve">, Индекси индустријске производње, децембар 2021., </w:t>
      </w:r>
      <w:hyperlink r:id="rId87" w:history="1">
        <w:r w:rsidRPr="006944C5">
          <w:rPr>
            <w:rStyle w:val="Hyperlink"/>
            <w:rFonts w:ascii="Times New Roman" w:hAnsi="Times New Roman" w:cs="Times New Roman"/>
            <w:sz w:val="16"/>
            <w:szCs w:val="16"/>
            <w:lang w:val="sr-Cyrl-RS"/>
          </w:rPr>
          <w:t>https://publikacije.stat.gov.rs/G2022/HtmlL/G20221025.html</w:t>
        </w:r>
      </w:hyperlink>
      <w:r w:rsidRPr="006944C5">
        <w:rPr>
          <w:rFonts w:ascii="Times New Roman" w:hAnsi="Times New Roman" w:cs="Times New Roman"/>
          <w:sz w:val="16"/>
          <w:szCs w:val="16"/>
          <w:lang w:val="sr-Cyrl-RS"/>
        </w:rPr>
        <w:t xml:space="preserve"> </w:t>
      </w:r>
    </w:p>
  </w:footnote>
  <w:footnote w:id="181">
    <w:p w14:paraId="41687A8F" w14:textId="77777777" w:rsidR="00815ACD" w:rsidRPr="006944C5" w:rsidRDefault="00815ACD" w:rsidP="00B57FE8">
      <w:pPr>
        <w:pStyle w:val="FootnoteText"/>
        <w:spacing w:after="0"/>
        <w:ind w:firstLine="0"/>
        <w:rPr>
          <w:rFonts w:ascii="Times New Roman" w:hAnsi="Times New Roman" w:cs="Times New Roman"/>
          <w:sz w:val="16"/>
          <w:szCs w:val="16"/>
          <w:lang w:val="sr-Cyrl-RS"/>
        </w:rPr>
      </w:pPr>
      <w:r w:rsidRPr="006944C5">
        <w:rPr>
          <w:rStyle w:val="FootnoteReference"/>
          <w:rFonts w:ascii="Times New Roman" w:hAnsi="Times New Roman" w:cs="Times New Roman"/>
          <w:sz w:val="16"/>
          <w:szCs w:val="16"/>
        </w:rPr>
        <w:footnoteRef/>
      </w:r>
      <w:r w:rsidRPr="006944C5">
        <w:rPr>
          <w:rFonts w:ascii="Times New Roman" w:hAnsi="Times New Roman" w:cs="Times New Roman"/>
          <w:sz w:val="16"/>
          <w:szCs w:val="16"/>
        </w:rPr>
        <w:t xml:space="preserve"> </w:t>
      </w:r>
      <w:r w:rsidRPr="006944C5">
        <w:rPr>
          <w:rFonts w:ascii="Times New Roman" w:hAnsi="Times New Roman" w:cs="Times New Roman"/>
          <w:color w:val="auto"/>
          <w:sz w:val="16"/>
          <w:szCs w:val="16"/>
          <w:lang w:val="sr-Cyrl-RS"/>
        </w:rPr>
        <w:t>РЗС</w:t>
      </w:r>
      <w:r w:rsidRPr="006944C5">
        <w:rPr>
          <w:rFonts w:ascii="Times New Roman" w:hAnsi="Times New Roman" w:cs="Times New Roman"/>
          <w:sz w:val="16"/>
          <w:szCs w:val="16"/>
          <w:lang w:val="sr-Cyrl-RS"/>
        </w:rPr>
        <w:t xml:space="preserve">, Национални рачуни, </w:t>
      </w:r>
      <w:hyperlink r:id="rId88" w:history="1">
        <w:r w:rsidRPr="006944C5">
          <w:rPr>
            <w:rStyle w:val="Hyperlink"/>
            <w:rFonts w:ascii="Times New Roman" w:hAnsi="Times New Roman" w:cs="Times New Roman"/>
            <w:sz w:val="16"/>
            <w:szCs w:val="16"/>
            <w:lang w:val="sr-Cyrl-RS"/>
          </w:rPr>
          <w:t>https://www.stat.gov.rs/oblasti/nacionalni-racuni/</w:t>
        </w:r>
      </w:hyperlink>
      <w:r w:rsidRPr="006944C5">
        <w:rPr>
          <w:rFonts w:ascii="Times New Roman" w:hAnsi="Times New Roman" w:cs="Times New Roman"/>
          <w:sz w:val="16"/>
          <w:szCs w:val="16"/>
          <w:lang w:val="sr-Cyrl-RS"/>
        </w:rPr>
        <w:t xml:space="preserve"> </w:t>
      </w:r>
    </w:p>
  </w:footnote>
  <w:footnote w:id="182">
    <w:p w14:paraId="60329451" w14:textId="1F0D33AC" w:rsidR="00815ACD" w:rsidRPr="006944C5" w:rsidRDefault="00815ACD" w:rsidP="00B57FE8">
      <w:pPr>
        <w:pStyle w:val="FootnoteText"/>
        <w:spacing w:after="0"/>
        <w:ind w:firstLine="0"/>
        <w:rPr>
          <w:rFonts w:ascii="Times New Roman" w:hAnsi="Times New Roman" w:cs="Times New Roman"/>
          <w:sz w:val="16"/>
          <w:szCs w:val="16"/>
          <w:lang w:val="sr-Latn-RS"/>
        </w:rPr>
      </w:pPr>
      <w:r w:rsidRPr="006944C5">
        <w:rPr>
          <w:rStyle w:val="FootnoteReference"/>
          <w:rFonts w:ascii="Times New Roman" w:hAnsi="Times New Roman" w:cs="Times New Roman"/>
          <w:sz w:val="16"/>
          <w:szCs w:val="16"/>
        </w:rPr>
        <w:footnoteRef/>
      </w:r>
      <w:r w:rsidRPr="006944C5">
        <w:rPr>
          <w:rFonts w:ascii="Times New Roman" w:hAnsi="Times New Roman" w:cs="Times New Roman"/>
          <w:sz w:val="16"/>
          <w:szCs w:val="16"/>
        </w:rPr>
        <w:t xml:space="preserve"> </w:t>
      </w:r>
      <w:r w:rsidRPr="006944C5">
        <w:rPr>
          <w:rFonts w:ascii="Times New Roman" w:hAnsi="Times New Roman" w:cs="Times New Roman"/>
          <w:color w:val="auto"/>
          <w:sz w:val="16"/>
          <w:szCs w:val="16"/>
          <w:lang w:val="sr-Cyrl-RS"/>
        </w:rPr>
        <w:t>Н</w:t>
      </w:r>
      <w:r>
        <w:rPr>
          <w:rFonts w:ascii="Times New Roman" w:hAnsi="Times New Roman" w:cs="Times New Roman"/>
          <w:color w:val="auto"/>
          <w:sz w:val="16"/>
          <w:szCs w:val="16"/>
          <w:lang w:val="sr-Cyrl-RS"/>
        </w:rPr>
        <w:t>ародна банка Србије</w:t>
      </w:r>
      <w:r w:rsidRPr="006944C5">
        <w:rPr>
          <w:rFonts w:ascii="Times New Roman" w:hAnsi="Times New Roman" w:cs="Times New Roman"/>
          <w:sz w:val="16"/>
          <w:szCs w:val="16"/>
          <w:lang w:val="sr-Cyrl-RS"/>
        </w:rPr>
        <w:t xml:space="preserve">, Страна директна улагања, нето обавезе, по делатностима, </w:t>
      </w:r>
      <w:r w:rsidRPr="006944C5">
        <w:rPr>
          <w:rFonts w:ascii="Times New Roman" w:hAnsi="Times New Roman" w:cs="Times New Roman"/>
          <w:sz w:val="16"/>
          <w:szCs w:val="16"/>
          <w:lang w:val="sr-Latn-RS"/>
        </w:rPr>
        <w:t xml:space="preserve">I </w:t>
      </w:r>
      <w:r w:rsidRPr="006944C5">
        <w:rPr>
          <w:rFonts w:ascii="Times New Roman" w:hAnsi="Times New Roman" w:cs="Times New Roman"/>
          <w:sz w:val="16"/>
          <w:szCs w:val="16"/>
          <w:lang w:val="sr-Cyrl-RS"/>
        </w:rPr>
        <w:t xml:space="preserve">тромесечје 2022., </w:t>
      </w:r>
      <w:hyperlink r:id="rId89" w:history="1">
        <w:r w:rsidRPr="006944C5">
          <w:rPr>
            <w:rStyle w:val="Hyperlink"/>
            <w:rFonts w:ascii="Times New Roman" w:hAnsi="Times New Roman" w:cs="Times New Roman"/>
            <w:sz w:val="16"/>
            <w:szCs w:val="16"/>
            <w:lang w:val="sr-Cyrl-RS"/>
          </w:rPr>
          <w:t>https://nbs.rs/sr_RS/drugi-nivo-navigacije/statistika/platni_bilans/</w:t>
        </w:r>
      </w:hyperlink>
      <w:r w:rsidRPr="006944C5">
        <w:rPr>
          <w:rFonts w:ascii="Times New Roman" w:hAnsi="Times New Roman" w:cs="Times New Roman"/>
          <w:sz w:val="16"/>
          <w:szCs w:val="16"/>
          <w:lang w:val="sr-Cyrl-RS"/>
        </w:rPr>
        <w:t xml:space="preserve"> </w:t>
      </w:r>
    </w:p>
  </w:footnote>
  <w:footnote w:id="183">
    <w:p w14:paraId="0F70D580" w14:textId="77777777" w:rsidR="00815ACD" w:rsidRPr="006944C5" w:rsidRDefault="00815ACD" w:rsidP="00B57FE8">
      <w:pPr>
        <w:pStyle w:val="FootnoteText"/>
        <w:spacing w:after="0"/>
        <w:ind w:firstLine="0"/>
        <w:rPr>
          <w:rFonts w:ascii="Times New Roman" w:hAnsi="Times New Roman" w:cs="Times New Roman"/>
          <w:sz w:val="16"/>
          <w:szCs w:val="16"/>
          <w:lang w:val="sr-Cyrl-RS"/>
        </w:rPr>
      </w:pPr>
      <w:r w:rsidRPr="006944C5">
        <w:rPr>
          <w:rStyle w:val="FootnoteReference"/>
          <w:rFonts w:ascii="Times New Roman" w:hAnsi="Times New Roman" w:cs="Times New Roman"/>
          <w:sz w:val="16"/>
          <w:szCs w:val="16"/>
        </w:rPr>
        <w:footnoteRef/>
      </w:r>
      <w:r w:rsidRPr="006944C5">
        <w:rPr>
          <w:rFonts w:ascii="Times New Roman" w:hAnsi="Times New Roman" w:cs="Times New Roman"/>
          <w:sz w:val="16"/>
          <w:szCs w:val="16"/>
        </w:rPr>
        <w:t xml:space="preserve"> </w:t>
      </w:r>
      <w:r w:rsidRPr="006944C5">
        <w:rPr>
          <w:rFonts w:ascii="Times New Roman" w:hAnsi="Times New Roman" w:cs="Times New Roman"/>
          <w:color w:val="auto"/>
          <w:sz w:val="16"/>
          <w:szCs w:val="16"/>
          <w:lang w:val="sr-Cyrl-RS"/>
        </w:rPr>
        <w:t>РЗС</w:t>
      </w:r>
      <w:r w:rsidRPr="006944C5">
        <w:rPr>
          <w:rFonts w:ascii="Times New Roman" w:hAnsi="Times New Roman" w:cs="Times New Roman"/>
          <w:sz w:val="16"/>
          <w:szCs w:val="16"/>
          <w:lang w:val="sr-Cyrl-RS"/>
        </w:rPr>
        <w:t xml:space="preserve">, Регистрована запосленост, 2021., обрада РСЈП,  </w:t>
      </w:r>
      <w:hyperlink r:id="rId90" w:history="1">
        <w:r w:rsidRPr="006944C5">
          <w:rPr>
            <w:rStyle w:val="Hyperlink"/>
            <w:rFonts w:ascii="Times New Roman" w:hAnsi="Times New Roman" w:cs="Times New Roman"/>
            <w:sz w:val="16"/>
            <w:szCs w:val="16"/>
            <w:lang w:val="sr-Cyrl-RS"/>
          </w:rPr>
          <w:t>https://publikacije.stat.gov.rs/G2022/Html/G20221023.html</w:t>
        </w:r>
      </w:hyperlink>
      <w:r w:rsidRPr="006944C5">
        <w:rPr>
          <w:rFonts w:ascii="Times New Roman" w:hAnsi="Times New Roman" w:cs="Times New Roman"/>
          <w:sz w:val="16"/>
          <w:szCs w:val="16"/>
          <w:lang w:val="sr-Cyrl-RS"/>
        </w:rPr>
        <w:t xml:space="preserve"> </w:t>
      </w:r>
    </w:p>
  </w:footnote>
  <w:footnote w:id="184">
    <w:p w14:paraId="76BB3C74" w14:textId="77777777" w:rsidR="00815ACD" w:rsidRPr="006944C5" w:rsidRDefault="00815ACD" w:rsidP="00B57FE8">
      <w:pPr>
        <w:pStyle w:val="FootnoteText"/>
        <w:spacing w:after="0"/>
        <w:ind w:firstLine="0"/>
        <w:rPr>
          <w:rFonts w:ascii="Times New Roman" w:hAnsi="Times New Roman" w:cs="Times New Roman"/>
          <w:sz w:val="16"/>
          <w:szCs w:val="16"/>
          <w:lang w:val="en-US"/>
        </w:rPr>
      </w:pPr>
      <w:r w:rsidRPr="006944C5">
        <w:rPr>
          <w:rStyle w:val="FootnoteReference"/>
          <w:rFonts w:ascii="Times New Roman" w:hAnsi="Times New Roman" w:cs="Times New Roman"/>
          <w:sz w:val="16"/>
          <w:szCs w:val="16"/>
        </w:rPr>
        <w:footnoteRef/>
      </w:r>
      <w:r w:rsidRPr="006944C5">
        <w:rPr>
          <w:rFonts w:ascii="Times New Roman" w:hAnsi="Times New Roman" w:cs="Times New Roman"/>
          <w:sz w:val="16"/>
          <w:szCs w:val="16"/>
        </w:rPr>
        <w:t xml:space="preserve"> </w:t>
      </w:r>
      <w:r w:rsidRPr="006944C5">
        <w:rPr>
          <w:rFonts w:ascii="Times New Roman" w:hAnsi="Times New Roman" w:cs="Times New Roman"/>
          <w:color w:val="auto"/>
          <w:sz w:val="16"/>
          <w:szCs w:val="16"/>
          <w:lang w:val="sr-Cyrl-RS"/>
        </w:rPr>
        <w:t>РЗС</w:t>
      </w:r>
      <w:r w:rsidRPr="006944C5">
        <w:rPr>
          <w:rFonts w:ascii="Times New Roman" w:hAnsi="Times New Roman" w:cs="Times New Roman"/>
          <w:sz w:val="16"/>
          <w:szCs w:val="16"/>
          <w:lang w:val="sr-Cyrl-RS"/>
        </w:rPr>
        <w:t xml:space="preserve">, Регистрована запосленост, </w:t>
      </w:r>
      <w:r w:rsidRPr="006944C5">
        <w:rPr>
          <w:rFonts w:ascii="Times New Roman" w:hAnsi="Times New Roman" w:cs="Times New Roman"/>
          <w:sz w:val="16"/>
          <w:szCs w:val="16"/>
          <w:lang w:val="sr-Latn-RS"/>
        </w:rPr>
        <w:t xml:space="preserve">II </w:t>
      </w:r>
      <w:r w:rsidRPr="006944C5">
        <w:rPr>
          <w:rFonts w:ascii="Times New Roman" w:hAnsi="Times New Roman" w:cs="Times New Roman"/>
          <w:sz w:val="16"/>
          <w:szCs w:val="16"/>
          <w:lang w:val="sr-Cyrl-RS"/>
        </w:rPr>
        <w:t xml:space="preserve">квартал 2022., обрада РСЈП, </w:t>
      </w:r>
      <w:hyperlink r:id="rId91" w:history="1">
        <w:r w:rsidRPr="006944C5">
          <w:rPr>
            <w:rStyle w:val="Hyperlink"/>
            <w:rFonts w:ascii="Times New Roman" w:hAnsi="Times New Roman" w:cs="Times New Roman"/>
            <w:sz w:val="16"/>
            <w:szCs w:val="16"/>
            <w:lang w:val="sr-Cyrl-RS"/>
          </w:rPr>
          <w:t>https://publikacije.stat.gov.rs/G2022/Html/G20221212.html</w:t>
        </w:r>
      </w:hyperlink>
      <w:r w:rsidRPr="006944C5">
        <w:rPr>
          <w:rFonts w:ascii="Times New Roman" w:hAnsi="Times New Roman" w:cs="Times New Roman"/>
          <w:sz w:val="16"/>
          <w:szCs w:val="16"/>
          <w:lang w:val="sr-Cyrl-RS"/>
        </w:rPr>
        <w:t xml:space="preserve"> </w:t>
      </w:r>
    </w:p>
  </w:footnote>
  <w:footnote w:id="185">
    <w:p w14:paraId="080B2DBF" w14:textId="77777777" w:rsidR="00815ACD" w:rsidRPr="006944C5" w:rsidRDefault="00815ACD" w:rsidP="00B57FE8">
      <w:pPr>
        <w:pStyle w:val="FootnoteText"/>
        <w:spacing w:after="0"/>
        <w:ind w:firstLine="0"/>
        <w:rPr>
          <w:rFonts w:ascii="Times New Roman" w:hAnsi="Times New Roman" w:cs="Times New Roman"/>
          <w:sz w:val="16"/>
          <w:szCs w:val="16"/>
          <w:lang w:val="sr-Cyrl-RS"/>
        </w:rPr>
      </w:pPr>
      <w:r w:rsidRPr="006944C5">
        <w:rPr>
          <w:rStyle w:val="FootnoteReference"/>
          <w:rFonts w:ascii="Times New Roman" w:hAnsi="Times New Roman" w:cs="Times New Roman"/>
          <w:sz w:val="16"/>
          <w:szCs w:val="16"/>
        </w:rPr>
        <w:footnoteRef/>
      </w:r>
      <w:r w:rsidRPr="006944C5">
        <w:rPr>
          <w:rFonts w:ascii="Times New Roman" w:hAnsi="Times New Roman" w:cs="Times New Roman"/>
          <w:sz w:val="16"/>
          <w:szCs w:val="16"/>
        </w:rPr>
        <w:t xml:space="preserve"> </w:t>
      </w:r>
      <w:r w:rsidRPr="006944C5">
        <w:rPr>
          <w:rFonts w:ascii="Times New Roman" w:hAnsi="Times New Roman" w:cs="Times New Roman"/>
          <w:color w:val="auto"/>
          <w:sz w:val="16"/>
          <w:szCs w:val="16"/>
          <w:lang w:val="sr-Cyrl-RS"/>
        </w:rPr>
        <w:t>РЗС</w:t>
      </w:r>
      <w:r w:rsidRPr="006944C5">
        <w:rPr>
          <w:rFonts w:ascii="Times New Roman" w:hAnsi="Times New Roman" w:cs="Times New Roman"/>
          <w:sz w:val="16"/>
          <w:szCs w:val="16"/>
          <w:lang w:val="sr-Cyrl-RS"/>
        </w:rPr>
        <w:t xml:space="preserve">, Спољнотрговински робни промет, јун 2022., </w:t>
      </w:r>
      <w:hyperlink r:id="rId92" w:history="1">
        <w:r w:rsidRPr="006944C5">
          <w:rPr>
            <w:rStyle w:val="Hyperlink"/>
            <w:rFonts w:ascii="Times New Roman" w:hAnsi="Times New Roman" w:cs="Times New Roman"/>
            <w:sz w:val="16"/>
            <w:szCs w:val="16"/>
            <w:lang w:val="sr-Cyrl-RS"/>
          </w:rPr>
          <w:t>https://publikacije.stat.gov.rs/G2022/Pdf/G20221211.pdf</w:t>
        </w:r>
      </w:hyperlink>
      <w:r w:rsidRPr="006944C5">
        <w:rPr>
          <w:rFonts w:ascii="Times New Roman" w:hAnsi="Times New Roman" w:cs="Times New Roman"/>
          <w:sz w:val="16"/>
          <w:szCs w:val="16"/>
          <w:lang w:val="sr-Cyrl-RS"/>
        </w:rPr>
        <w:t xml:space="preserve"> </w:t>
      </w:r>
    </w:p>
  </w:footnote>
  <w:footnote w:id="186">
    <w:p w14:paraId="2FE6B8C0" w14:textId="73CF824A" w:rsidR="00815ACD" w:rsidRPr="006944C5" w:rsidRDefault="00815ACD" w:rsidP="00B57FE8">
      <w:pPr>
        <w:pStyle w:val="FootnoteText"/>
        <w:spacing w:after="0"/>
        <w:ind w:firstLine="0"/>
        <w:rPr>
          <w:rFonts w:ascii="Times New Roman" w:hAnsi="Times New Roman" w:cs="Times New Roman"/>
          <w:bCs w:val="0"/>
          <w:color w:val="auto"/>
          <w:sz w:val="16"/>
          <w:szCs w:val="16"/>
          <w:lang w:val="sr-Cyrl-RS"/>
        </w:rPr>
      </w:pPr>
      <w:r w:rsidRPr="006944C5">
        <w:rPr>
          <w:rStyle w:val="FootnoteReference"/>
          <w:rFonts w:ascii="Times New Roman" w:hAnsi="Times New Roman" w:cs="Times New Roman"/>
          <w:color w:val="auto"/>
          <w:sz w:val="16"/>
          <w:szCs w:val="16"/>
          <w:lang w:val="sr-Cyrl-RS"/>
        </w:rPr>
        <w:footnoteRef/>
      </w:r>
      <w:r w:rsidRPr="006944C5">
        <w:rPr>
          <w:rFonts w:ascii="Times New Roman" w:hAnsi="Times New Roman" w:cs="Times New Roman"/>
          <w:color w:val="auto"/>
          <w:sz w:val="16"/>
          <w:szCs w:val="16"/>
          <w:lang w:val="sr-Cyrl-RS"/>
        </w:rPr>
        <w:t xml:space="preserve"> Препорука 4. ЕКОФИН Савета из маја 2019. године: „Усвојити посебне законе о алтернативним инвестиционим фондовима (investment vehicles)</w:t>
      </w:r>
      <w:r w:rsidRPr="003C1DFF">
        <w:rPr>
          <w:rFonts w:ascii="Times New Roman" w:hAnsi="Times New Roman" w:cs="Times New Roman"/>
          <w:sz w:val="16"/>
          <w:szCs w:val="16"/>
          <w:lang w:val="sr-Cyrl-RS"/>
        </w:rPr>
        <w:t>”</w:t>
      </w:r>
      <w:r>
        <w:rPr>
          <w:rFonts w:ascii="Times New Roman" w:hAnsi="Times New Roman" w:cs="Times New Roman"/>
          <w:color w:val="auto"/>
          <w:sz w:val="16"/>
          <w:szCs w:val="16"/>
          <w:lang w:val="sr-Cyrl-RS"/>
        </w:rPr>
        <w:t>.</w:t>
      </w:r>
    </w:p>
  </w:footnote>
  <w:footnote w:id="187">
    <w:p w14:paraId="414A78B7" w14:textId="58840A8D" w:rsidR="00815ACD" w:rsidRPr="006944C5" w:rsidRDefault="00815ACD" w:rsidP="00B57FE8">
      <w:pPr>
        <w:pStyle w:val="FootnoteText"/>
        <w:spacing w:after="0"/>
        <w:ind w:firstLine="0"/>
        <w:rPr>
          <w:rFonts w:ascii="Times New Roman" w:hAnsi="Times New Roman" w:cs="Times New Roman"/>
          <w:sz w:val="16"/>
          <w:szCs w:val="16"/>
          <w:lang w:val="sr-Latn-RS"/>
        </w:rPr>
      </w:pPr>
      <w:r w:rsidRPr="006944C5">
        <w:rPr>
          <w:rStyle w:val="FootnoteReference"/>
          <w:rFonts w:ascii="Times New Roman" w:hAnsi="Times New Roman" w:cs="Times New Roman"/>
          <w:sz w:val="16"/>
          <w:szCs w:val="16"/>
        </w:rPr>
        <w:footnoteRef/>
      </w:r>
      <w:r w:rsidRPr="006944C5">
        <w:rPr>
          <w:rFonts w:ascii="Times New Roman" w:hAnsi="Times New Roman" w:cs="Times New Roman"/>
          <w:sz w:val="16"/>
          <w:szCs w:val="16"/>
        </w:rPr>
        <w:t xml:space="preserve"> </w:t>
      </w:r>
      <w:r w:rsidRPr="006944C5">
        <w:rPr>
          <w:rFonts w:ascii="Times New Roman" w:hAnsi="Times New Roman" w:cs="Times New Roman"/>
          <w:color w:val="auto"/>
          <w:sz w:val="16"/>
          <w:szCs w:val="16"/>
          <w:lang w:val="sr-Cyrl-RS"/>
        </w:rPr>
        <w:t>Н</w:t>
      </w:r>
      <w:r>
        <w:rPr>
          <w:rFonts w:ascii="Times New Roman" w:hAnsi="Times New Roman" w:cs="Times New Roman"/>
          <w:color w:val="auto"/>
          <w:sz w:val="16"/>
          <w:szCs w:val="16"/>
          <w:lang w:val="sr-Cyrl-RS"/>
        </w:rPr>
        <w:t>ародна банка Србије</w:t>
      </w:r>
      <w:r w:rsidRPr="006944C5">
        <w:rPr>
          <w:rFonts w:ascii="Times New Roman" w:hAnsi="Times New Roman" w:cs="Times New Roman"/>
          <w:sz w:val="16"/>
          <w:szCs w:val="16"/>
          <w:lang w:val="sr-Cyrl-RS"/>
        </w:rPr>
        <w:t xml:space="preserve">, Платни биланс, </w:t>
      </w:r>
      <w:hyperlink r:id="rId93" w:history="1">
        <w:r w:rsidRPr="006944C5">
          <w:rPr>
            <w:rStyle w:val="Hyperlink"/>
            <w:rFonts w:ascii="Times New Roman" w:hAnsi="Times New Roman" w:cs="Times New Roman"/>
            <w:sz w:val="16"/>
            <w:szCs w:val="16"/>
            <w:lang w:val="sr-Cyrl-RS"/>
          </w:rPr>
          <w:t>https://nbs.rs/sr_RS/drugi-nivo-navigacije/statistika/platni_bilans/</w:t>
        </w:r>
      </w:hyperlink>
      <w:r w:rsidRPr="006944C5">
        <w:rPr>
          <w:rFonts w:ascii="Times New Roman" w:hAnsi="Times New Roman" w:cs="Times New Roman"/>
          <w:sz w:val="16"/>
          <w:szCs w:val="16"/>
          <w:lang w:val="sr-Cyrl-RS"/>
        </w:rPr>
        <w:t xml:space="preserve"> </w:t>
      </w:r>
    </w:p>
  </w:footnote>
  <w:footnote w:id="188">
    <w:p w14:paraId="6105CB96" w14:textId="5C959E7C" w:rsidR="00815ACD" w:rsidRPr="006944C5" w:rsidRDefault="00815ACD" w:rsidP="00B57FE8">
      <w:pPr>
        <w:pStyle w:val="FootnoteText"/>
        <w:spacing w:after="0"/>
        <w:ind w:firstLine="0"/>
        <w:rPr>
          <w:rFonts w:ascii="Times New Roman" w:hAnsi="Times New Roman" w:cs="Times New Roman"/>
          <w:sz w:val="16"/>
          <w:szCs w:val="16"/>
          <w:lang w:val="sr-Cyrl-RS"/>
        </w:rPr>
      </w:pPr>
      <w:r w:rsidRPr="006944C5">
        <w:rPr>
          <w:rStyle w:val="FootnoteReference"/>
          <w:rFonts w:ascii="Times New Roman" w:hAnsi="Times New Roman" w:cs="Times New Roman"/>
          <w:sz w:val="16"/>
          <w:szCs w:val="16"/>
        </w:rPr>
        <w:footnoteRef/>
      </w:r>
      <w:r w:rsidRPr="006944C5">
        <w:rPr>
          <w:rFonts w:ascii="Times New Roman" w:hAnsi="Times New Roman" w:cs="Times New Roman"/>
          <w:sz w:val="16"/>
          <w:szCs w:val="16"/>
        </w:rPr>
        <w:t xml:space="preserve"> </w:t>
      </w:r>
      <w:r w:rsidRPr="006944C5">
        <w:rPr>
          <w:rFonts w:ascii="Times New Roman" w:hAnsi="Times New Roman" w:cs="Times New Roman"/>
          <w:color w:val="auto"/>
          <w:sz w:val="16"/>
          <w:szCs w:val="16"/>
          <w:lang w:val="sr-Cyrl-RS"/>
        </w:rPr>
        <w:t>Н</w:t>
      </w:r>
      <w:r>
        <w:rPr>
          <w:rFonts w:ascii="Times New Roman" w:hAnsi="Times New Roman" w:cs="Times New Roman"/>
          <w:color w:val="auto"/>
          <w:sz w:val="16"/>
          <w:szCs w:val="16"/>
          <w:lang w:val="sr-Cyrl-RS"/>
        </w:rPr>
        <w:t>ародна банка Србије</w:t>
      </w:r>
      <w:r w:rsidRPr="006944C5">
        <w:rPr>
          <w:rFonts w:ascii="Times New Roman" w:hAnsi="Times New Roman" w:cs="Times New Roman"/>
          <w:sz w:val="16"/>
          <w:szCs w:val="16"/>
          <w:lang w:val="sr-Cyrl-RS"/>
        </w:rPr>
        <w:t xml:space="preserve">, Платни биланс, </w:t>
      </w:r>
      <w:hyperlink r:id="rId94" w:history="1">
        <w:r w:rsidRPr="006944C5">
          <w:rPr>
            <w:rStyle w:val="Hyperlink"/>
            <w:rFonts w:ascii="Times New Roman" w:hAnsi="Times New Roman" w:cs="Times New Roman"/>
            <w:sz w:val="16"/>
            <w:szCs w:val="16"/>
            <w:lang w:val="sr-Cyrl-RS"/>
          </w:rPr>
          <w:t>https://nbs.rs/sr_RS/drugi-nivo-navigacije/statistika/platni_bilans/</w:t>
        </w:r>
      </w:hyperlink>
      <w:r w:rsidRPr="006944C5">
        <w:rPr>
          <w:rFonts w:ascii="Times New Roman" w:hAnsi="Times New Roman" w:cs="Times New Roman"/>
          <w:sz w:val="16"/>
          <w:szCs w:val="16"/>
          <w:lang w:val="sr-Cyrl-RS"/>
        </w:rPr>
        <w:t xml:space="preserve"> </w:t>
      </w:r>
    </w:p>
  </w:footnote>
  <w:footnote w:id="189">
    <w:p w14:paraId="366021CB" w14:textId="77777777" w:rsidR="00815ACD" w:rsidRPr="006944C5" w:rsidRDefault="00815ACD" w:rsidP="00B57FE8">
      <w:pPr>
        <w:pStyle w:val="FootnoteText"/>
        <w:spacing w:after="0"/>
        <w:ind w:firstLine="0"/>
        <w:rPr>
          <w:rFonts w:ascii="Times New Roman" w:hAnsi="Times New Roman" w:cs="Times New Roman"/>
          <w:sz w:val="16"/>
          <w:szCs w:val="16"/>
          <w:lang w:val="sr-Cyrl-RS"/>
        </w:rPr>
      </w:pPr>
      <w:r w:rsidRPr="006944C5">
        <w:rPr>
          <w:rStyle w:val="FootnoteReference"/>
          <w:rFonts w:ascii="Times New Roman" w:hAnsi="Times New Roman" w:cs="Times New Roman"/>
          <w:sz w:val="16"/>
          <w:szCs w:val="16"/>
        </w:rPr>
        <w:footnoteRef/>
      </w:r>
      <w:r w:rsidRPr="006944C5">
        <w:rPr>
          <w:rFonts w:ascii="Times New Roman" w:hAnsi="Times New Roman" w:cs="Times New Roman"/>
          <w:sz w:val="16"/>
          <w:szCs w:val="16"/>
        </w:rPr>
        <w:t xml:space="preserve"> </w:t>
      </w:r>
      <w:hyperlink r:id="rId95" w:history="1">
        <w:r w:rsidRPr="006944C5">
          <w:rPr>
            <w:rStyle w:val="Hyperlink"/>
            <w:rFonts w:ascii="Times New Roman" w:hAnsi="Times New Roman" w:cs="Times New Roman"/>
            <w:sz w:val="16"/>
            <w:szCs w:val="16"/>
          </w:rPr>
          <w:t>https://mojasrbija.rs/wp/i-u-2021-godini-100-000-vaucera-za-odmor-u-srbiji/</w:t>
        </w:r>
      </w:hyperlink>
      <w:r w:rsidRPr="006944C5">
        <w:rPr>
          <w:rFonts w:ascii="Times New Roman" w:hAnsi="Times New Roman" w:cs="Times New Roman"/>
          <w:sz w:val="16"/>
          <w:szCs w:val="16"/>
          <w:lang w:val="sr-Cyrl-RS"/>
        </w:rPr>
        <w:t xml:space="preserve"> </w:t>
      </w:r>
    </w:p>
  </w:footnote>
  <w:footnote w:id="190">
    <w:p w14:paraId="20FD3C98" w14:textId="72EDDE06" w:rsidR="00815ACD" w:rsidRPr="006944C5" w:rsidRDefault="00815ACD" w:rsidP="00B57FE8">
      <w:pPr>
        <w:pStyle w:val="FootnoteText"/>
        <w:spacing w:after="0"/>
        <w:ind w:firstLine="0"/>
        <w:rPr>
          <w:rFonts w:ascii="Times New Roman" w:hAnsi="Times New Roman" w:cs="Times New Roman"/>
          <w:sz w:val="16"/>
          <w:szCs w:val="16"/>
          <w:lang w:val="sr-Cyrl-RS"/>
        </w:rPr>
      </w:pPr>
      <w:r w:rsidRPr="006944C5">
        <w:rPr>
          <w:rStyle w:val="FootnoteReference"/>
          <w:rFonts w:ascii="Times New Roman" w:hAnsi="Times New Roman" w:cs="Times New Roman"/>
          <w:sz w:val="16"/>
          <w:szCs w:val="16"/>
        </w:rPr>
        <w:footnoteRef/>
      </w:r>
      <w:r w:rsidRPr="006944C5">
        <w:rPr>
          <w:rFonts w:ascii="Times New Roman" w:hAnsi="Times New Roman" w:cs="Times New Roman"/>
          <w:sz w:val="16"/>
          <w:szCs w:val="16"/>
        </w:rPr>
        <w:t xml:space="preserve"> </w:t>
      </w:r>
      <w:r w:rsidRPr="006944C5">
        <w:rPr>
          <w:rFonts w:ascii="Times New Roman" w:hAnsi="Times New Roman" w:cs="Times New Roman"/>
          <w:color w:val="auto"/>
          <w:sz w:val="16"/>
          <w:szCs w:val="16"/>
          <w:lang w:val="sr-Cyrl-RS"/>
        </w:rPr>
        <w:t>Н</w:t>
      </w:r>
      <w:r>
        <w:rPr>
          <w:rFonts w:ascii="Times New Roman" w:hAnsi="Times New Roman" w:cs="Times New Roman"/>
          <w:color w:val="auto"/>
          <w:sz w:val="16"/>
          <w:szCs w:val="16"/>
          <w:lang w:val="sr-Cyrl-RS"/>
        </w:rPr>
        <w:t>ародна банка Србије</w:t>
      </w:r>
      <w:r w:rsidRPr="006944C5">
        <w:rPr>
          <w:rFonts w:ascii="Times New Roman" w:hAnsi="Times New Roman" w:cs="Times New Roman"/>
          <w:sz w:val="16"/>
          <w:szCs w:val="16"/>
          <w:lang w:val="sr-Cyrl-RS"/>
        </w:rPr>
        <w:t xml:space="preserve">, Платне трансакције куповине робе и услуга преко интернета, </w:t>
      </w:r>
      <w:hyperlink r:id="rId96" w:history="1">
        <w:r w:rsidRPr="006944C5">
          <w:rPr>
            <w:rStyle w:val="Hyperlink"/>
            <w:rFonts w:ascii="Times New Roman" w:hAnsi="Times New Roman" w:cs="Times New Roman"/>
            <w:sz w:val="16"/>
            <w:szCs w:val="16"/>
            <w:lang w:val="sr-Cyrl-RS"/>
          </w:rPr>
          <w:t>https://nbs.rs/sr/ciljevi-i-funkcije/platni-sistem/statistika/</w:t>
        </w:r>
      </w:hyperlink>
      <w:r w:rsidRPr="006944C5">
        <w:rPr>
          <w:rFonts w:ascii="Times New Roman" w:hAnsi="Times New Roman" w:cs="Times New Roman"/>
          <w:sz w:val="16"/>
          <w:szCs w:val="16"/>
          <w:lang w:val="sr-Cyrl-RS"/>
        </w:rPr>
        <w:t xml:space="preserve"> </w:t>
      </w:r>
    </w:p>
  </w:footnote>
  <w:footnote w:id="191">
    <w:p w14:paraId="2E0A5083" w14:textId="2A6B8A5C" w:rsidR="00815ACD" w:rsidRPr="006944C5" w:rsidRDefault="00815ACD" w:rsidP="00B57FE8">
      <w:pPr>
        <w:pStyle w:val="FootnoteText"/>
        <w:spacing w:after="0"/>
        <w:ind w:firstLine="0"/>
        <w:rPr>
          <w:rFonts w:ascii="Times New Roman" w:hAnsi="Times New Roman" w:cs="Times New Roman"/>
          <w:sz w:val="16"/>
          <w:szCs w:val="16"/>
          <w:lang w:val="sr-Cyrl-RS"/>
        </w:rPr>
      </w:pPr>
      <w:r w:rsidRPr="006944C5">
        <w:rPr>
          <w:rStyle w:val="FootnoteReference"/>
          <w:rFonts w:ascii="Times New Roman" w:hAnsi="Times New Roman" w:cs="Times New Roman"/>
          <w:sz w:val="16"/>
          <w:szCs w:val="16"/>
        </w:rPr>
        <w:footnoteRef/>
      </w:r>
      <w:r w:rsidRPr="006944C5">
        <w:rPr>
          <w:rFonts w:ascii="Times New Roman" w:hAnsi="Times New Roman" w:cs="Times New Roman"/>
          <w:sz w:val="16"/>
          <w:szCs w:val="16"/>
        </w:rPr>
        <w:t xml:space="preserve"> </w:t>
      </w:r>
      <w:r w:rsidRPr="006944C5">
        <w:rPr>
          <w:rFonts w:ascii="Times New Roman" w:hAnsi="Times New Roman" w:cs="Times New Roman"/>
          <w:color w:val="auto"/>
          <w:sz w:val="16"/>
          <w:szCs w:val="16"/>
          <w:lang w:val="sr-Cyrl-RS"/>
        </w:rPr>
        <w:t>М</w:t>
      </w:r>
      <w:r>
        <w:rPr>
          <w:rFonts w:ascii="Times New Roman" w:hAnsi="Times New Roman" w:cs="Times New Roman"/>
          <w:color w:val="auto"/>
          <w:sz w:val="16"/>
          <w:szCs w:val="16"/>
          <w:lang w:val="sr-Cyrl-RS"/>
        </w:rPr>
        <w:t>инистарство трговине, туризма и телекомуникација</w:t>
      </w:r>
      <w:r w:rsidRPr="006944C5">
        <w:rPr>
          <w:rFonts w:ascii="Times New Roman" w:hAnsi="Times New Roman" w:cs="Times New Roman"/>
          <w:sz w:val="16"/>
          <w:szCs w:val="16"/>
          <w:lang w:val="sr-Cyrl-RS"/>
        </w:rPr>
        <w:t xml:space="preserve">, Извештај о раду Националног регистра потрошачких приговора за 2021. годину, </w:t>
      </w:r>
      <w:hyperlink r:id="rId97" w:history="1">
        <w:r w:rsidRPr="006944C5">
          <w:rPr>
            <w:rStyle w:val="Hyperlink"/>
            <w:rFonts w:ascii="Times New Roman" w:hAnsi="Times New Roman" w:cs="Times New Roman"/>
            <w:sz w:val="16"/>
            <w:szCs w:val="16"/>
            <w:lang w:val="sr-Cyrl-RS"/>
          </w:rPr>
          <w:t>Извештај-МТТ</w:t>
        </w:r>
      </w:hyperlink>
    </w:p>
  </w:footnote>
  <w:footnote w:id="192">
    <w:p w14:paraId="5CBF7B65" w14:textId="7AA7C0C3" w:rsidR="00815ACD" w:rsidRPr="006944C5" w:rsidRDefault="00815ACD" w:rsidP="00B57FE8">
      <w:pPr>
        <w:pStyle w:val="FootnoteText"/>
        <w:spacing w:after="0"/>
        <w:ind w:firstLine="0"/>
        <w:rPr>
          <w:rFonts w:ascii="Times New Roman" w:hAnsi="Times New Roman" w:cs="Times New Roman"/>
          <w:sz w:val="16"/>
          <w:szCs w:val="16"/>
          <w:lang w:val="sr-Cyrl-RS"/>
        </w:rPr>
      </w:pPr>
      <w:r w:rsidRPr="006944C5">
        <w:rPr>
          <w:rStyle w:val="FootnoteReference"/>
          <w:rFonts w:ascii="Times New Roman" w:hAnsi="Times New Roman" w:cs="Times New Roman"/>
          <w:sz w:val="16"/>
          <w:szCs w:val="16"/>
        </w:rPr>
        <w:footnoteRef/>
      </w:r>
      <w:r w:rsidRPr="006944C5">
        <w:rPr>
          <w:rFonts w:ascii="Times New Roman" w:hAnsi="Times New Roman" w:cs="Times New Roman"/>
          <w:sz w:val="16"/>
          <w:szCs w:val="16"/>
        </w:rPr>
        <w:t xml:space="preserve"> </w:t>
      </w:r>
      <w:r w:rsidRPr="006944C5">
        <w:rPr>
          <w:rFonts w:ascii="Times New Roman" w:hAnsi="Times New Roman" w:cs="Times New Roman"/>
          <w:color w:val="auto"/>
          <w:sz w:val="16"/>
          <w:szCs w:val="16"/>
          <w:lang w:val="sr-Cyrl-RS"/>
        </w:rPr>
        <w:t>Н</w:t>
      </w:r>
      <w:r>
        <w:rPr>
          <w:rFonts w:ascii="Times New Roman" w:hAnsi="Times New Roman" w:cs="Times New Roman"/>
          <w:color w:val="auto"/>
          <w:sz w:val="16"/>
          <w:szCs w:val="16"/>
          <w:lang w:val="sr-Cyrl-RS"/>
        </w:rPr>
        <w:t>ародна банка Србије</w:t>
      </w:r>
      <w:r w:rsidRPr="006944C5">
        <w:rPr>
          <w:rFonts w:ascii="Times New Roman" w:hAnsi="Times New Roman" w:cs="Times New Roman"/>
          <w:sz w:val="16"/>
          <w:szCs w:val="16"/>
          <w:lang w:val="sr-Cyrl-RS"/>
        </w:rPr>
        <w:t xml:space="preserve">, Прихватна мрежа, </w:t>
      </w:r>
      <w:hyperlink r:id="rId98" w:history="1">
        <w:r w:rsidRPr="006944C5">
          <w:rPr>
            <w:rStyle w:val="Hyperlink"/>
            <w:rFonts w:ascii="Times New Roman" w:eastAsia="MS PGothic" w:hAnsi="Times New Roman" w:cs="Times New Roman"/>
            <w:sz w:val="16"/>
            <w:szCs w:val="16"/>
            <w:lang w:val="sr-Cyrl-RS"/>
          </w:rPr>
          <w:t>https://nbs.rs/export/sites/NBS_site/documents/platni-sistem/statistika/el_novac/prihvatna_mreza.xlsx</w:t>
        </w:r>
      </w:hyperlink>
      <w:r w:rsidRPr="006944C5">
        <w:rPr>
          <w:rFonts w:ascii="Times New Roman" w:hAnsi="Times New Roman" w:cs="Times New Roman"/>
          <w:sz w:val="16"/>
          <w:szCs w:val="16"/>
          <w:lang w:val="sr-Cyrl-RS"/>
        </w:rPr>
        <w:t xml:space="preserve"> </w:t>
      </w:r>
    </w:p>
  </w:footnote>
  <w:footnote w:id="193">
    <w:p w14:paraId="38EDA84F" w14:textId="2464A90A" w:rsidR="00815ACD" w:rsidRPr="006944C5" w:rsidRDefault="00815ACD" w:rsidP="00B57FE8">
      <w:pPr>
        <w:pStyle w:val="FootnoteText"/>
        <w:spacing w:after="0"/>
        <w:ind w:firstLine="0"/>
        <w:rPr>
          <w:rFonts w:ascii="Times New Roman" w:hAnsi="Times New Roman" w:cs="Times New Roman"/>
          <w:color w:val="auto"/>
          <w:sz w:val="16"/>
          <w:szCs w:val="16"/>
          <w:lang w:val="sr-Cyrl-RS"/>
        </w:rPr>
      </w:pPr>
      <w:r w:rsidRPr="006944C5">
        <w:rPr>
          <w:rStyle w:val="FootnoteReference"/>
          <w:rFonts w:ascii="Times New Roman" w:hAnsi="Times New Roman" w:cs="Times New Roman"/>
          <w:color w:val="auto"/>
          <w:sz w:val="16"/>
          <w:szCs w:val="16"/>
        </w:rPr>
        <w:footnoteRef/>
      </w:r>
      <w:r w:rsidRPr="006944C5">
        <w:rPr>
          <w:rFonts w:ascii="Times New Roman" w:hAnsi="Times New Roman" w:cs="Times New Roman"/>
          <w:color w:val="auto"/>
          <w:sz w:val="16"/>
          <w:szCs w:val="16"/>
        </w:rPr>
        <w:t xml:space="preserve"> </w:t>
      </w:r>
      <w:r w:rsidRPr="006944C5">
        <w:rPr>
          <w:rFonts w:ascii="Times New Roman" w:hAnsi="Times New Roman" w:cs="Times New Roman"/>
          <w:color w:val="auto"/>
          <w:sz w:val="16"/>
          <w:szCs w:val="16"/>
          <w:lang w:val="sr-Cyrl-RS"/>
        </w:rPr>
        <w:t xml:space="preserve">Важно је нагласити да увођење средњег образовања као обавезног захтева промену у Уставу </w:t>
      </w:r>
      <w:r>
        <w:rPr>
          <w:rFonts w:ascii="Times New Roman" w:hAnsi="Times New Roman" w:cs="Times New Roman"/>
          <w:color w:val="auto"/>
          <w:sz w:val="16"/>
          <w:szCs w:val="16"/>
          <w:lang w:val="sr-Cyrl-RS"/>
        </w:rPr>
        <w:t>Реублике Србије</w:t>
      </w:r>
      <w:r w:rsidRPr="006944C5">
        <w:rPr>
          <w:rFonts w:ascii="Times New Roman" w:hAnsi="Times New Roman" w:cs="Times New Roman"/>
          <w:color w:val="auto"/>
          <w:sz w:val="16"/>
          <w:szCs w:val="16"/>
          <w:lang w:val="sr-Cyrl-RS"/>
        </w:rPr>
        <w:t xml:space="preserve">. </w:t>
      </w:r>
      <w:r>
        <w:rPr>
          <w:rFonts w:ascii="Times New Roman" w:hAnsi="Times New Roman" w:cs="Times New Roman"/>
          <w:color w:val="auto"/>
          <w:sz w:val="16"/>
          <w:szCs w:val="16"/>
          <w:lang w:val="sr-Cyrl-RS"/>
        </w:rPr>
        <w:t>У ч</w:t>
      </w:r>
      <w:r w:rsidRPr="006944C5">
        <w:rPr>
          <w:rFonts w:ascii="Times New Roman" w:hAnsi="Times New Roman" w:cs="Times New Roman"/>
          <w:color w:val="auto"/>
          <w:sz w:val="16"/>
          <w:szCs w:val="16"/>
          <w:lang w:val="sr-Cyrl-RS"/>
        </w:rPr>
        <w:t>лан</w:t>
      </w:r>
      <w:r>
        <w:rPr>
          <w:rFonts w:ascii="Times New Roman" w:hAnsi="Times New Roman" w:cs="Times New Roman"/>
          <w:color w:val="auto"/>
          <w:sz w:val="16"/>
          <w:szCs w:val="16"/>
          <w:lang w:val="sr-Cyrl-RS"/>
        </w:rPr>
        <w:t>у</w:t>
      </w:r>
      <w:r w:rsidRPr="006944C5">
        <w:rPr>
          <w:rFonts w:ascii="Times New Roman" w:hAnsi="Times New Roman" w:cs="Times New Roman"/>
          <w:color w:val="auto"/>
          <w:sz w:val="16"/>
          <w:szCs w:val="16"/>
          <w:lang w:val="sr-Cyrl-RS"/>
        </w:rPr>
        <w:t xml:space="preserve"> 71. Устава </w:t>
      </w:r>
      <w:r>
        <w:rPr>
          <w:rFonts w:ascii="Times New Roman" w:hAnsi="Times New Roman" w:cs="Times New Roman"/>
          <w:color w:val="auto"/>
          <w:sz w:val="16"/>
          <w:szCs w:val="16"/>
          <w:lang w:val="sr-Cyrl-RS"/>
        </w:rPr>
        <w:t>Републике Србије</w:t>
      </w:r>
      <w:r w:rsidRPr="006944C5">
        <w:rPr>
          <w:rFonts w:ascii="Times New Roman" w:hAnsi="Times New Roman" w:cs="Times New Roman"/>
          <w:color w:val="auto"/>
          <w:sz w:val="16"/>
          <w:szCs w:val="16"/>
          <w:lang w:val="sr-Cyrl-RS"/>
        </w:rPr>
        <w:t xml:space="preserve"> </w:t>
      </w:r>
      <w:r>
        <w:rPr>
          <w:rFonts w:ascii="Times New Roman" w:hAnsi="Times New Roman" w:cs="Times New Roman"/>
          <w:color w:val="auto"/>
          <w:sz w:val="16"/>
          <w:szCs w:val="16"/>
          <w:lang w:val="sr-Cyrl-RS"/>
        </w:rPr>
        <w:t>одређено је</w:t>
      </w:r>
      <w:r w:rsidRPr="006944C5">
        <w:rPr>
          <w:rFonts w:ascii="Times New Roman" w:hAnsi="Times New Roman" w:cs="Times New Roman"/>
          <w:color w:val="auto"/>
          <w:sz w:val="16"/>
          <w:szCs w:val="16"/>
          <w:lang w:val="sr-Cyrl-RS"/>
        </w:rPr>
        <w:t xml:space="preserve"> да је основно образовање обавезно и бесплатно, док за средње образовање наводи само да је бесплатно, па је тако потребно изменити Устав у смислу навођења да је и средње образовање обавезно и бесплатно.</w:t>
      </w:r>
    </w:p>
  </w:footnote>
  <w:footnote w:id="194">
    <w:p w14:paraId="105EB7A4" w14:textId="77777777" w:rsidR="00815ACD" w:rsidRPr="006944C5" w:rsidRDefault="00815ACD" w:rsidP="00E44EF2">
      <w:pPr>
        <w:pStyle w:val="FootnoteText"/>
        <w:spacing w:after="0"/>
        <w:ind w:firstLine="0"/>
        <w:rPr>
          <w:rFonts w:ascii="Times New Roman" w:hAnsi="Times New Roman" w:cs="Times New Roman"/>
          <w:sz w:val="16"/>
          <w:szCs w:val="16"/>
          <w:lang w:val="sr-Cyrl-RS"/>
        </w:rPr>
      </w:pPr>
      <w:r w:rsidRPr="006944C5">
        <w:rPr>
          <w:rStyle w:val="FootnoteReference"/>
          <w:rFonts w:ascii="Times New Roman" w:hAnsi="Times New Roman" w:cs="Times New Roman"/>
          <w:sz w:val="16"/>
          <w:szCs w:val="16"/>
        </w:rPr>
        <w:footnoteRef/>
      </w:r>
      <w:r w:rsidRPr="006944C5">
        <w:rPr>
          <w:rFonts w:ascii="Times New Roman" w:hAnsi="Times New Roman" w:cs="Times New Roman"/>
          <w:sz w:val="16"/>
          <w:szCs w:val="16"/>
        </w:rPr>
        <w:t xml:space="preserve"> Предшколско васпитање и образовање у школској 2021/2022 години похађало је 53.981 дете узраста до три године </w:t>
      </w:r>
      <w:r w:rsidRPr="006944C5">
        <w:rPr>
          <w:rFonts w:ascii="Times New Roman" w:hAnsi="Times New Roman" w:cs="Times New Roman"/>
          <w:sz w:val="16"/>
          <w:szCs w:val="16"/>
          <w:lang w:val="sr-Cyrl-RS"/>
        </w:rPr>
        <w:t>(</w:t>
      </w:r>
      <w:r w:rsidRPr="006944C5">
        <w:rPr>
          <w:rFonts w:ascii="Times New Roman" w:hAnsi="Times New Roman" w:cs="Times New Roman"/>
          <w:sz w:val="16"/>
          <w:szCs w:val="16"/>
        </w:rPr>
        <w:t>34,3% у односу на укупан број живорођених наведеног узраста</w:t>
      </w:r>
      <w:r w:rsidRPr="006944C5">
        <w:rPr>
          <w:rFonts w:ascii="Times New Roman" w:hAnsi="Times New Roman" w:cs="Times New Roman"/>
          <w:sz w:val="16"/>
          <w:szCs w:val="16"/>
          <w:lang w:val="sr-Cyrl-RS"/>
        </w:rPr>
        <w:t xml:space="preserve">) и </w:t>
      </w:r>
      <w:r w:rsidRPr="006944C5">
        <w:rPr>
          <w:rFonts w:ascii="Times New Roman" w:hAnsi="Times New Roman" w:cs="Times New Roman"/>
          <w:sz w:val="16"/>
          <w:szCs w:val="16"/>
        </w:rPr>
        <w:t>107.438 деце узраста од три до пет и по година (66,4% у односу на укупан број живорођених наведеног узраста</w:t>
      </w:r>
      <w:r w:rsidRPr="006944C5">
        <w:rPr>
          <w:rFonts w:ascii="Times New Roman" w:hAnsi="Times New Roman" w:cs="Times New Roman"/>
          <w:sz w:val="16"/>
          <w:szCs w:val="16"/>
          <w:lang w:val="sr-Cyrl-RS"/>
        </w:rPr>
        <w:t>)</w:t>
      </w:r>
      <w:r w:rsidRPr="006944C5">
        <w:rPr>
          <w:rFonts w:ascii="Times New Roman" w:hAnsi="Times New Roman" w:cs="Times New Roman"/>
          <w:sz w:val="16"/>
          <w:szCs w:val="16"/>
        </w:rPr>
        <w:t>.</w:t>
      </w:r>
    </w:p>
  </w:footnote>
  <w:footnote w:id="195">
    <w:p w14:paraId="1CB7D95C" w14:textId="77777777" w:rsidR="00815ACD" w:rsidRPr="006944C5" w:rsidRDefault="00815ACD" w:rsidP="00E44EF2">
      <w:pPr>
        <w:pStyle w:val="FootnoteText"/>
        <w:spacing w:after="0"/>
        <w:ind w:firstLine="0"/>
        <w:rPr>
          <w:rFonts w:ascii="Times New Roman" w:hAnsi="Times New Roman" w:cs="Times New Roman"/>
          <w:color w:val="auto"/>
          <w:sz w:val="16"/>
          <w:szCs w:val="16"/>
          <w:lang w:val="sr-Cyrl-RS"/>
        </w:rPr>
      </w:pPr>
      <w:r w:rsidRPr="006944C5">
        <w:rPr>
          <w:rStyle w:val="FootnoteReference"/>
          <w:rFonts w:ascii="Times New Roman" w:hAnsi="Times New Roman" w:cs="Times New Roman"/>
          <w:color w:val="auto"/>
          <w:sz w:val="16"/>
          <w:szCs w:val="16"/>
        </w:rPr>
        <w:footnoteRef/>
      </w:r>
      <w:r w:rsidRPr="006944C5">
        <w:rPr>
          <w:rFonts w:ascii="Times New Roman" w:hAnsi="Times New Roman" w:cs="Times New Roman"/>
          <w:color w:val="auto"/>
          <w:sz w:val="16"/>
          <w:szCs w:val="16"/>
          <w:lang w:val="en-US"/>
        </w:rPr>
        <w:t xml:space="preserve"> </w:t>
      </w:r>
      <w:r w:rsidRPr="006944C5">
        <w:rPr>
          <w:rFonts w:ascii="Times New Roman" w:hAnsi="Times New Roman" w:cs="Times New Roman"/>
          <w:color w:val="auto"/>
          <w:sz w:val="16"/>
          <w:szCs w:val="16"/>
          <w:lang w:val="sr-Cyrl-RS"/>
        </w:rPr>
        <w:t xml:space="preserve">РЗС, </w:t>
      </w:r>
      <w:hyperlink r:id="rId99" w:history="1">
        <w:r w:rsidRPr="006944C5">
          <w:rPr>
            <w:rStyle w:val="Hyperlink"/>
            <w:rFonts w:ascii="Times New Roman" w:hAnsi="Times New Roman" w:cs="Times New Roman"/>
            <w:sz w:val="16"/>
            <w:szCs w:val="16"/>
          </w:rPr>
          <w:t>https://publikacije.stat.gov.rs/G2022/Pdf/G20221083.pdf</w:t>
        </w:r>
      </w:hyperlink>
    </w:p>
  </w:footnote>
  <w:footnote w:id="196">
    <w:p w14:paraId="541A5C89" w14:textId="77777777" w:rsidR="00815ACD" w:rsidRPr="006944C5" w:rsidRDefault="00815ACD" w:rsidP="00E44EF2">
      <w:pPr>
        <w:pStyle w:val="FootnoteText"/>
        <w:spacing w:after="0"/>
        <w:ind w:firstLine="0"/>
        <w:rPr>
          <w:rFonts w:ascii="Times New Roman" w:hAnsi="Times New Roman" w:cs="Times New Roman"/>
          <w:color w:val="auto"/>
          <w:sz w:val="16"/>
          <w:szCs w:val="16"/>
          <w:lang w:val="sr-Cyrl-RS"/>
        </w:rPr>
      </w:pPr>
      <w:r w:rsidRPr="006944C5">
        <w:rPr>
          <w:rStyle w:val="FootnoteReference"/>
          <w:rFonts w:ascii="Times New Roman" w:hAnsi="Times New Roman" w:cs="Times New Roman"/>
          <w:color w:val="auto"/>
          <w:sz w:val="16"/>
          <w:szCs w:val="16"/>
        </w:rPr>
        <w:footnoteRef/>
      </w:r>
      <w:r w:rsidRPr="006944C5">
        <w:rPr>
          <w:rFonts w:ascii="Times New Roman" w:hAnsi="Times New Roman" w:cs="Times New Roman"/>
          <w:color w:val="auto"/>
          <w:sz w:val="16"/>
          <w:szCs w:val="16"/>
        </w:rPr>
        <w:t xml:space="preserve"> </w:t>
      </w:r>
      <w:r w:rsidRPr="006944C5">
        <w:rPr>
          <w:rFonts w:ascii="Times New Roman" w:hAnsi="Times New Roman" w:cs="Times New Roman"/>
          <w:color w:val="auto"/>
          <w:sz w:val="16"/>
          <w:szCs w:val="16"/>
          <w:lang w:val="sr-Cyrl-RS"/>
        </w:rPr>
        <w:t>Структура: број редовних матичних основних школа - 1.135, број издвојених одељења – 2.084. Извор: РЗС, Саопштење Основно образовање</w:t>
      </w:r>
    </w:p>
  </w:footnote>
  <w:footnote w:id="197">
    <w:p w14:paraId="125CE3DE" w14:textId="77777777" w:rsidR="00815ACD" w:rsidRPr="006944C5" w:rsidRDefault="00815ACD" w:rsidP="00E44EF2">
      <w:pPr>
        <w:pStyle w:val="FootnoteText"/>
        <w:spacing w:after="0"/>
        <w:ind w:firstLine="0"/>
        <w:rPr>
          <w:rFonts w:ascii="Times New Roman" w:hAnsi="Times New Roman" w:cs="Times New Roman"/>
          <w:color w:val="auto"/>
          <w:sz w:val="16"/>
          <w:szCs w:val="16"/>
          <w:lang w:val="sr-Cyrl-RS"/>
        </w:rPr>
      </w:pPr>
      <w:r w:rsidRPr="006944C5">
        <w:rPr>
          <w:rStyle w:val="FootnoteReference"/>
          <w:rFonts w:ascii="Times New Roman" w:hAnsi="Times New Roman" w:cs="Times New Roman"/>
          <w:color w:val="auto"/>
          <w:sz w:val="16"/>
          <w:szCs w:val="16"/>
        </w:rPr>
        <w:footnoteRef/>
      </w:r>
      <w:r w:rsidRPr="006944C5">
        <w:rPr>
          <w:rFonts w:ascii="Times New Roman" w:hAnsi="Times New Roman" w:cs="Times New Roman"/>
          <w:color w:val="auto"/>
          <w:sz w:val="16"/>
          <w:szCs w:val="16"/>
        </w:rPr>
        <w:t xml:space="preserve"> </w:t>
      </w:r>
      <w:r w:rsidRPr="006944C5">
        <w:rPr>
          <w:rFonts w:ascii="Times New Roman" w:hAnsi="Times New Roman" w:cs="Times New Roman"/>
          <w:color w:val="auto"/>
          <w:sz w:val="16"/>
          <w:szCs w:val="16"/>
          <w:lang w:val="sr-Cyrl-RS"/>
        </w:rPr>
        <w:t xml:space="preserve">РЗС, </w:t>
      </w:r>
      <w:hyperlink r:id="rId100" w:history="1">
        <w:r w:rsidRPr="006944C5">
          <w:rPr>
            <w:rStyle w:val="Hyperlink"/>
            <w:rFonts w:ascii="Times New Roman" w:hAnsi="Times New Roman" w:cs="Times New Roman"/>
            <w:sz w:val="16"/>
            <w:szCs w:val="16"/>
          </w:rPr>
          <w:t>https://publikacije.stat.gov.rs/G2022/Html/G20221072.html</w:t>
        </w:r>
      </w:hyperlink>
      <w:r w:rsidRPr="006944C5">
        <w:rPr>
          <w:rFonts w:ascii="Times New Roman" w:hAnsi="Times New Roman" w:cs="Times New Roman"/>
          <w:color w:val="auto"/>
          <w:sz w:val="16"/>
          <w:szCs w:val="16"/>
          <w:lang w:val="sr-Cyrl-RS"/>
        </w:rPr>
        <w:t xml:space="preserve"> </w:t>
      </w:r>
    </w:p>
  </w:footnote>
  <w:footnote w:id="198">
    <w:p w14:paraId="109E64F0" w14:textId="77777777" w:rsidR="00815ACD" w:rsidRPr="006944C5" w:rsidRDefault="00815ACD" w:rsidP="00E44EF2">
      <w:pPr>
        <w:pStyle w:val="FootnoteText"/>
        <w:spacing w:after="0"/>
        <w:ind w:firstLine="0"/>
        <w:rPr>
          <w:rFonts w:ascii="Times New Roman" w:hAnsi="Times New Roman" w:cs="Times New Roman"/>
          <w:color w:val="auto"/>
          <w:sz w:val="16"/>
          <w:szCs w:val="16"/>
          <w:lang w:val="sr-Cyrl-RS"/>
        </w:rPr>
      </w:pPr>
      <w:r w:rsidRPr="006944C5">
        <w:rPr>
          <w:rStyle w:val="FootnoteReference"/>
          <w:rFonts w:ascii="Times New Roman" w:hAnsi="Times New Roman" w:cs="Times New Roman"/>
          <w:color w:val="auto"/>
          <w:sz w:val="16"/>
          <w:szCs w:val="16"/>
          <w:lang w:val="sr-Cyrl-RS"/>
        </w:rPr>
        <w:footnoteRef/>
      </w:r>
      <w:r w:rsidRPr="006944C5">
        <w:rPr>
          <w:rFonts w:ascii="Times New Roman" w:hAnsi="Times New Roman" w:cs="Times New Roman"/>
          <w:color w:val="auto"/>
          <w:sz w:val="16"/>
          <w:szCs w:val="16"/>
          <w:lang w:val="sr-Cyrl-RS"/>
        </w:rPr>
        <w:t xml:space="preserve"> Стопа обухвата основним образовањем износила 97% у 2018. години.</w:t>
      </w:r>
    </w:p>
  </w:footnote>
  <w:footnote w:id="199">
    <w:p w14:paraId="279301E3" w14:textId="77777777" w:rsidR="00815ACD" w:rsidRPr="006944C5" w:rsidRDefault="00815ACD" w:rsidP="00E44EF2">
      <w:pPr>
        <w:pStyle w:val="FootnoteText"/>
        <w:spacing w:after="0"/>
        <w:ind w:firstLine="0"/>
        <w:rPr>
          <w:rFonts w:ascii="Times New Roman" w:hAnsi="Times New Roman" w:cs="Times New Roman"/>
          <w:sz w:val="16"/>
          <w:szCs w:val="16"/>
          <w:lang w:val="sr-Cyrl-RS"/>
        </w:rPr>
      </w:pPr>
      <w:r w:rsidRPr="006944C5">
        <w:rPr>
          <w:rStyle w:val="FootnoteReference"/>
          <w:rFonts w:ascii="Times New Roman" w:hAnsi="Times New Roman" w:cs="Times New Roman"/>
          <w:sz w:val="16"/>
          <w:szCs w:val="16"/>
        </w:rPr>
        <w:footnoteRef/>
      </w:r>
      <w:r w:rsidRPr="006944C5">
        <w:rPr>
          <w:rFonts w:ascii="Times New Roman" w:hAnsi="Times New Roman" w:cs="Times New Roman"/>
          <w:sz w:val="16"/>
          <w:szCs w:val="16"/>
        </w:rPr>
        <w:t xml:space="preserve"> </w:t>
      </w:r>
      <w:r w:rsidRPr="006944C5">
        <w:rPr>
          <w:rFonts w:ascii="Times New Roman" w:hAnsi="Times New Roman" w:cs="Times New Roman"/>
          <w:sz w:val="16"/>
          <w:szCs w:val="16"/>
          <w:lang w:val="sr-Cyrl-RS"/>
        </w:rPr>
        <w:t xml:space="preserve">РЗС, </w:t>
      </w:r>
      <w:hyperlink r:id="rId101" w:history="1">
        <w:r w:rsidRPr="006944C5">
          <w:rPr>
            <w:rStyle w:val="Hyperlink"/>
            <w:rFonts w:ascii="Times New Roman" w:hAnsi="Times New Roman" w:cs="Times New Roman"/>
            <w:sz w:val="16"/>
            <w:szCs w:val="16"/>
            <w:lang w:val="sr-Cyrl-RS"/>
          </w:rPr>
          <w:t>https://publikacije.stat.gov.rs/G2022/Pdf/G20225683.pdf</w:t>
        </w:r>
      </w:hyperlink>
      <w:r w:rsidRPr="006944C5">
        <w:rPr>
          <w:rFonts w:ascii="Times New Roman" w:hAnsi="Times New Roman" w:cs="Times New Roman"/>
          <w:sz w:val="16"/>
          <w:szCs w:val="16"/>
          <w:lang w:val="sr-Cyrl-RS"/>
        </w:rPr>
        <w:t xml:space="preserve"> </w:t>
      </w:r>
    </w:p>
  </w:footnote>
  <w:footnote w:id="200">
    <w:p w14:paraId="4DBC2BDE" w14:textId="77777777" w:rsidR="00815ACD" w:rsidRPr="006944C5" w:rsidRDefault="00815ACD" w:rsidP="00E44EF2">
      <w:pPr>
        <w:pStyle w:val="FootnoteText"/>
        <w:spacing w:after="0"/>
        <w:ind w:firstLine="0"/>
        <w:rPr>
          <w:rFonts w:ascii="Times New Roman" w:hAnsi="Times New Roman" w:cs="Times New Roman"/>
          <w:sz w:val="16"/>
          <w:szCs w:val="16"/>
          <w:lang w:val="en-US"/>
        </w:rPr>
      </w:pPr>
      <w:r w:rsidRPr="006944C5">
        <w:rPr>
          <w:rStyle w:val="FootnoteReference"/>
          <w:rFonts w:ascii="Times New Roman" w:hAnsi="Times New Roman" w:cs="Times New Roman"/>
          <w:sz w:val="16"/>
          <w:szCs w:val="16"/>
        </w:rPr>
        <w:footnoteRef/>
      </w:r>
      <w:r w:rsidRPr="006944C5">
        <w:rPr>
          <w:rFonts w:ascii="Times New Roman" w:hAnsi="Times New Roman" w:cs="Times New Roman"/>
          <w:sz w:val="16"/>
          <w:szCs w:val="16"/>
        </w:rPr>
        <w:t xml:space="preserve"> </w:t>
      </w:r>
      <w:hyperlink r:id="rId102" w:history="1">
        <w:r w:rsidRPr="006944C5">
          <w:rPr>
            <w:rStyle w:val="Hyperlink"/>
            <w:rFonts w:ascii="Times New Roman" w:hAnsi="Times New Roman" w:cs="Times New Roman"/>
            <w:sz w:val="16"/>
            <w:szCs w:val="16"/>
          </w:rPr>
          <w:t>https://www.shanghairanking.com/rankings/arwu/2022</w:t>
        </w:r>
      </w:hyperlink>
      <w:r w:rsidRPr="006944C5">
        <w:rPr>
          <w:rFonts w:ascii="Times New Roman" w:hAnsi="Times New Roman" w:cs="Times New Roman"/>
          <w:sz w:val="16"/>
          <w:szCs w:val="16"/>
          <w:lang w:val="en-US"/>
        </w:rPr>
        <w:t xml:space="preserve"> </w:t>
      </w:r>
    </w:p>
  </w:footnote>
  <w:footnote w:id="201">
    <w:p w14:paraId="46EBCBA6" w14:textId="44B5BA0D" w:rsidR="00815ACD" w:rsidRPr="006944C5" w:rsidRDefault="00815ACD" w:rsidP="00E44EF2">
      <w:pPr>
        <w:pStyle w:val="FootnoteText"/>
        <w:spacing w:after="0"/>
        <w:ind w:firstLine="0"/>
        <w:rPr>
          <w:rFonts w:ascii="Times New Roman" w:hAnsi="Times New Roman" w:cs="Times New Roman"/>
          <w:color w:val="auto"/>
          <w:sz w:val="16"/>
          <w:szCs w:val="16"/>
          <w:lang w:val="sr-Cyrl-RS"/>
        </w:rPr>
      </w:pPr>
      <w:r w:rsidRPr="006944C5">
        <w:rPr>
          <w:rStyle w:val="FootnoteReference"/>
          <w:rFonts w:ascii="Times New Roman" w:hAnsi="Times New Roman" w:cs="Times New Roman"/>
          <w:color w:val="auto"/>
          <w:sz w:val="16"/>
          <w:szCs w:val="16"/>
          <w:lang w:val="sr-Cyrl-RS"/>
        </w:rPr>
        <w:footnoteRef/>
      </w:r>
      <w:r w:rsidRPr="006944C5">
        <w:rPr>
          <w:rFonts w:ascii="Times New Roman" w:hAnsi="Times New Roman" w:cs="Times New Roman"/>
          <w:color w:val="auto"/>
          <w:sz w:val="16"/>
          <w:szCs w:val="16"/>
          <w:lang w:val="sr-Cyrl-RS"/>
        </w:rPr>
        <w:t xml:space="preserve"> М</w:t>
      </w:r>
      <w:r>
        <w:rPr>
          <w:rFonts w:ascii="Times New Roman" w:hAnsi="Times New Roman" w:cs="Times New Roman"/>
          <w:color w:val="auto"/>
          <w:sz w:val="16"/>
          <w:szCs w:val="16"/>
          <w:lang w:val="sr-Cyrl-RS"/>
        </w:rPr>
        <w:t>инистарство финансија</w:t>
      </w:r>
      <w:r w:rsidRPr="006944C5">
        <w:rPr>
          <w:rFonts w:ascii="Times New Roman" w:hAnsi="Times New Roman" w:cs="Times New Roman"/>
          <w:color w:val="auto"/>
          <w:sz w:val="16"/>
          <w:szCs w:val="16"/>
          <w:lang w:val="sr-Cyrl-RS"/>
        </w:rPr>
        <w:t xml:space="preserve">, </w:t>
      </w:r>
      <w:hyperlink r:id="rId103" w:history="1">
        <w:r w:rsidRPr="006944C5">
          <w:rPr>
            <w:rStyle w:val="Hyperlink"/>
            <w:rFonts w:ascii="Times New Roman" w:hAnsi="Times New Roman" w:cs="Times New Roman"/>
            <w:sz w:val="16"/>
            <w:szCs w:val="16"/>
            <w:lang w:val="sr-Cyrl-RS"/>
          </w:rPr>
          <w:t>https://www.mfin.gov.rs//upload/media/XhuXUy_61ced86c7e83c.pdf</w:t>
        </w:r>
      </w:hyperlink>
      <w:r w:rsidRPr="006944C5">
        <w:rPr>
          <w:rFonts w:ascii="Times New Roman" w:hAnsi="Times New Roman" w:cs="Times New Roman"/>
          <w:color w:val="auto"/>
          <w:sz w:val="16"/>
          <w:szCs w:val="16"/>
          <w:lang w:val="sr-Cyrl-RS"/>
        </w:rPr>
        <w:t xml:space="preserve"> </w:t>
      </w:r>
    </w:p>
  </w:footnote>
  <w:footnote w:id="202">
    <w:p w14:paraId="5EF07DA3" w14:textId="77777777" w:rsidR="00815ACD" w:rsidRPr="006944C5" w:rsidRDefault="00815ACD" w:rsidP="00E44EF2">
      <w:pPr>
        <w:pStyle w:val="FootnoteText"/>
        <w:spacing w:after="0"/>
        <w:ind w:firstLine="0"/>
        <w:rPr>
          <w:rFonts w:ascii="Times New Roman" w:hAnsi="Times New Roman" w:cs="Times New Roman"/>
          <w:color w:val="auto"/>
          <w:sz w:val="16"/>
          <w:szCs w:val="16"/>
          <w:lang w:val="sr-Cyrl-RS"/>
        </w:rPr>
      </w:pPr>
      <w:r w:rsidRPr="006944C5">
        <w:rPr>
          <w:rStyle w:val="FootnoteReference"/>
          <w:rFonts w:ascii="Times New Roman" w:hAnsi="Times New Roman" w:cs="Times New Roman"/>
          <w:color w:val="auto"/>
          <w:sz w:val="16"/>
          <w:szCs w:val="16"/>
        </w:rPr>
        <w:footnoteRef/>
      </w:r>
      <w:r w:rsidRPr="006944C5">
        <w:rPr>
          <w:rFonts w:ascii="Times New Roman" w:hAnsi="Times New Roman" w:cs="Times New Roman"/>
          <w:color w:val="auto"/>
          <w:sz w:val="16"/>
          <w:szCs w:val="16"/>
        </w:rPr>
        <w:t xml:space="preserve"> </w:t>
      </w:r>
      <w:r w:rsidRPr="006944C5">
        <w:rPr>
          <w:rFonts w:ascii="Times New Roman" w:hAnsi="Times New Roman" w:cs="Times New Roman"/>
          <w:sz w:val="16"/>
          <w:szCs w:val="16"/>
        </w:rPr>
        <w:t>Статистички</w:t>
      </w:r>
      <w:r w:rsidRPr="006944C5">
        <w:rPr>
          <w:rFonts w:ascii="Times New Roman" w:hAnsi="Times New Roman" w:cs="Times New Roman"/>
          <w:color w:val="auto"/>
          <w:sz w:val="16"/>
          <w:szCs w:val="16"/>
        </w:rPr>
        <w:t xml:space="preserve"> подаци су резултат повезивања са Централним регистром обавезног социјалног осигурања.</w:t>
      </w:r>
    </w:p>
  </w:footnote>
  <w:footnote w:id="203">
    <w:p w14:paraId="4B10CA5A" w14:textId="77777777" w:rsidR="00815ACD" w:rsidRPr="006944C5" w:rsidRDefault="00815ACD" w:rsidP="00E44EF2">
      <w:pPr>
        <w:pStyle w:val="FootnoteText"/>
        <w:spacing w:after="0"/>
        <w:ind w:firstLine="0"/>
        <w:rPr>
          <w:rFonts w:ascii="Times New Roman" w:hAnsi="Times New Roman" w:cs="Times New Roman"/>
          <w:sz w:val="16"/>
          <w:szCs w:val="16"/>
          <w:lang w:val="sr-Cyrl-RS"/>
        </w:rPr>
      </w:pPr>
      <w:r w:rsidRPr="006944C5">
        <w:rPr>
          <w:rStyle w:val="FootnoteReference"/>
          <w:rFonts w:ascii="Times New Roman" w:hAnsi="Times New Roman" w:cs="Times New Roman"/>
          <w:color w:val="auto"/>
          <w:sz w:val="16"/>
          <w:szCs w:val="16"/>
        </w:rPr>
        <w:footnoteRef/>
      </w:r>
      <w:r w:rsidRPr="006944C5">
        <w:rPr>
          <w:rFonts w:ascii="Times New Roman" w:hAnsi="Times New Roman" w:cs="Times New Roman"/>
          <w:color w:val="auto"/>
          <w:sz w:val="16"/>
          <w:szCs w:val="16"/>
        </w:rPr>
        <w:t xml:space="preserve"> </w:t>
      </w:r>
      <w:r w:rsidRPr="006944C5">
        <w:rPr>
          <w:rFonts w:ascii="Times New Roman" w:hAnsi="Times New Roman" w:cs="Times New Roman"/>
          <w:color w:val="auto"/>
          <w:sz w:val="16"/>
          <w:szCs w:val="16"/>
          <w:lang w:val="sr-Cyrl-RS"/>
        </w:rPr>
        <w:t>И</w:t>
      </w:r>
      <w:r w:rsidRPr="006944C5">
        <w:rPr>
          <w:rFonts w:ascii="Times New Roman" w:hAnsi="Times New Roman" w:cs="Times New Roman"/>
          <w:color w:val="auto"/>
          <w:sz w:val="16"/>
          <w:szCs w:val="16"/>
        </w:rPr>
        <w:t>страживање којим се прикупљају информације о улагањима предузећа у сталну стручну обуку његових запослених.</w:t>
      </w:r>
      <w:r w:rsidRPr="006944C5">
        <w:rPr>
          <w:rFonts w:ascii="Times New Roman" w:hAnsi="Times New Roman" w:cs="Times New Roman"/>
          <w:color w:val="auto"/>
          <w:sz w:val="16"/>
          <w:szCs w:val="16"/>
          <w:lang w:val="sr-Cyrl-RS"/>
        </w:rPr>
        <w:t xml:space="preserve"> Енг. </w:t>
      </w:r>
      <w:r w:rsidRPr="006944C5">
        <w:rPr>
          <w:rFonts w:ascii="Times New Roman" w:hAnsi="Times New Roman" w:cs="Times New Roman"/>
          <w:i/>
          <w:color w:val="auto"/>
          <w:sz w:val="16"/>
          <w:szCs w:val="16"/>
          <w:lang w:val="sr-Cyrl-RS"/>
        </w:rPr>
        <w:t>Continuing Vocational Training Survey</w:t>
      </w:r>
    </w:p>
  </w:footnote>
  <w:footnote w:id="204">
    <w:p w14:paraId="5E2FCD5D" w14:textId="77777777" w:rsidR="00815ACD" w:rsidRPr="006944C5" w:rsidRDefault="00815ACD" w:rsidP="00E44EF2">
      <w:pPr>
        <w:pStyle w:val="FootnoteText"/>
        <w:spacing w:after="0"/>
        <w:ind w:firstLine="0"/>
        <w:rPr>
          <w:rFonts w:ascii="Times New Roman" w:hAnsi="Times New Roman" w:cs="Times New Roman"/>
          <w:color w:val="auto"/>
          <w:sz w:val="16"/>
          <w:szCs w:val="16"/>
          <w:lang w:val="sr-Cyrl-RS"/>
        </w:rPr>
      </w:pPr>
      <w:r w:rsidRPr="006944C5">
        <w:rPr>
          <w:rStyle w:val="FootnoteReference"/>
          <w:rFonts w:ascii="Times New Roman" w:hAnsi="Times New Roman" w:cs="Times New Roman"/>
          <w:color w:val="auto"/>
          <w:sz w:val="16"/>
          <w:szCs w:val="16"/>
        </w:rPr>
        <w:footnoteRef/>
      </w:r>
      <w:r w:rsidRPr="006944C5">
        <w:rPr>
          <w:rFonts w:ascii="Times New Roman" w:hAnsi="Times New Roman" w:cs="Times New Roman"/>
          <w:color w:val="auto"/>
          <w:sz w:val="16"/>
          <w:szCs w:val="16"/>
        </w:rPr>
        <w:t xml:space="preserve"> </w:t>
      </w:r>
      <w:r w:rsidRPr="006944C5">
        <w:rPr>
          <w:rFonts w:ascii="Times New Roman" w:hAnsi="Times New Roman" w:cs="Times New Roman"/>
          <w:color w:val="auto"/>
          <w:sz w:val="16"/>
          <w:szCs w:val="16"/>
          <w:lang w:val="sr-Cyrl-RS"/>
        </w:rPr>
        <w:t xml:space="preserve">РЗС, </w:t>
      </w:r>
      <w:hyperlink r:id="rId104" w:history="1">
        <w:r w:rsidRPr="006944C5">
          <w:rPr>
            <w:rStyle w:val="Hyperlink"/>
            <w:rFonts w:ascii="Times New Roman" w:hAnsi="Times New Roman" w:cs="Times New Roman"/>
            <w:sz w:val="16"/>
            <w:szCs w:val="16"/>
          </w:rPr>
          <w:t>https://publikacije.stat.gov.rs/G2022/Pdf/G20221090.pdf</w:t>
        </w:r>
      </w:hyperlink>
      <w:r w:rsidRPr="006944C5">
        <w:rPr>
          <w:rFonts w:ascii="Times New Roman" w:hAnsi="Times New Roman" w:cs="Times New Roman"/>
          <w:color w:val="auto"/>
          <w:sz w:val="16"/>
          <w:szCs w:val="16"/>
          <w:lang w:val="sr-Cyrl-RS"/>
        </w:rPr>
        <w:t xml:space="preserve"> </w:t>
      </w:r>
    </w:p>
  </w:footnote>
  <w:footnote w:id="205">
    <w:p w14:paraId="6AE64D7D" w14:textId="09AC583A" w:rsidR="00815ACD" w:rsidRPr="006944C5" w:rsidRDefault="00815ACD" w:rsidP="00E44EF2">
      <w:pPr>
        <w:pStyle w:val="FootnoteText"/>
        <w:spacing w:after="0"/>
        <w:ind w:firstLine="0"/>
        <w:rPr>
          <w:rFonts w:ascii="Times New Roman" w:hAnsi="Times New Roman" w:cs="Times New Roman"/>
          <w:color w:val="auto"/>
          <w:sz w:val="16"/>
          <w:szCs w:val="16"/>
          <w:lang w:val="sr-Cyrl-RS"/>
        </w:rPr>
      </w:pPr>
      <w:r w:rsidRPr="006944C5">
        <w:rPr>
          <w:rStyle w:val="FootnoteReference"/>
          <w:rFonts w:ascii="Times New Roman" w:hAnsi="Times New Roman" w:cs="Times New Roman"/>
          <w:color w:val="auto"/>
          <w:sz w:val="16"/>
          <w:szCs w:val="16"/>
          <w:lang w:val="sr-Cyrl-RS"/>
        </w:rPr>
        <w:footnoteRef/>
      </w:r>
      <w:r w:rsidRPr="006944C5">
        <w:rPr>
          <w:rFonts w:ascii="Times New Roman" w:hAnsi="Times New Roman" w:cs="Times New Roman"/>
          <w:color w:val="auto"/>
          <w:sz w:val="16"/>
          <w:szCs w:val="16"/>
          <w:lang w:val="sr-Cyrl-RS"/>
        </w:rPr>
        <w:t xml:space="preserve"> Поред доприноса, систем обавезног здравстевног осигурања се финансира и из других извора - члан 168. Закона о з</w:t>
      </w:r>
      <w:r>
        <w:rPr>
          <w:rFonts w:ascii="Times New Roman" w:hAnsi="Times New Roman" w:cs="Times New Roman"/>
          <w:color w:val="auto"/>
          <w:sz w:val="16"/>
          <w:szCs w:val="16"/>
          <w:lang w:val="sr-Cyrl-RS"/>
        </w:rPr>
        <w:t>дравственом осигурању („Службени</w:t>
      </w:r>
      <w:r w:rsidRPr="006944C5">
        <w:rPr>
          <w:rFonts w:ascii="Times New Roman" w:hAnsi="Times New Roman" w:cs="Times New Roman"/>
          <w:color w:val="auto"/>
          <w:sz w:val="16"/>
          <w:szCs w:val="16"/>
          <w:lang w:val="sr-Cyrl-RS"/>
        </w:rPr>
        <w:t xml:space="preserve"> гласник РС</w:t>
      </w:r>
      <w:r w:rsidRPr="003C1DFF">
        <w:rPr>
          <w:rFonts w:ascii="Times New Roman" w:hAnsi="Times New Roman" w:cs="Times New Roman"/>
          <w:sz w:val="16"/>
          <w:szCs w:val="16"/>
          <w:lang w:val="sr-Cyrl-RS"/>
        </w:rPr>
        <w:t>”</w:t>
      </w:r>
      <w:r w:rsidRPr="006944C5">
        <w:rPr>
          <w:rFonts w:ascii="Times New Roman" w:hAnsi="Times New Roman" w:cs="Times New Roman"/>
          <w:color w:val="auto"/>
          <w:sz w:val="16"/>
          <w:szCs w:val="16"/>
          <w:lang w:val="sr-Cyrl-RS"/>
        </w:rPr>
        <w:t>, бр</w:t>
      </w:r>
      <w:r>
        <w:rPr>
          <w:rFonts w:ascii="Times New Roman" w:hAnsi="Times New Roman" w:cs="Times New Roman"/>
          <w:color w:val="auto"/>
          <w:sz w:val="16"/>
          <w:szCs w:val="16"/>
          <w:lang w:val="sr-Cyrl-RS"/>
        </w:rPr>
        <w:t>ој</w:t>
      </w:r>
      <w:r w:rsidRPr="006944C5">
        <w:rPr>
          <w:rFonts w:ascii="Times New Roman" w:hAnsi="Times New Roman" w:cs="Times New Roman"/>
          <w:color w:val="auto"/>
          <w:sz w:val="16"/>
          <w:szCs w:val="16"/>
          <w:lang w:val="sr-Cyrl-RS"/>
        </w:rPr>
        <w:t xml:space="preserve"> 25/19)</w:t>
      </w:r>
    </w:p>
  </w:footnote>
  <w:footnote w:id="206">
    <w:p w14:paraId="2037930C" w14:textId="23F948CE" w:rsidR="00815ACD" w:rsidRPr="006944C5" w:rsidRDefault="00815ACD" w:rsidP="00D210F0">
      <w:pPr>
        <w:shd w:val="clear" w:color="auto" w:fill="FFFFFF"/>
        <w:tabs>
          <w:tab w:val="left" w:pos="9360"/>
        </w:tabs>
        <w:spacing w:after="0"/>
        <w:outlineLvl w:val="0"/>
        <w:rPr>
          <w:rFonts w:eastAsia="Times New Roman" w:cs="Times New Roman"/>
          <w:sz w:val="16"/>
          <w:szCs w:val="16"/>
          <w:lang w:val="sr-Cyrl-RS"/>
        </w:rPr>
      </w:pPr>
      <w:r w:rsidRPr="006944C5">
        <w:rPr>
          <w:rStyle w:val="FootnoteReference"/>
          <w:rFonts w:cs="Times New Roman"/>
          <w:sz w:val="16"/>
          <w:szCs w:val="16"/>
        </w:rPr>
        <w:footnoteRef/>
      </w:r>
      <w:r w:rsidRPr="006944C5">
        <w:rPr>
          <w:rFonts w:cs="Times New Roman"/>
          <w:sz w:val="16"/>
          <w:szCs w:val="16"/>
          <w:lang w:val="sr-Cyrl-RS"/>
        </w:rPr>
        <w:t xml:space="preserve"> </w:t>
      </w:r>
      <w:r w:rsidRPr="006944C5">
        <w:rPr>
          <w:rFonts w:eastAsia="Times New Roman" w:cs="Times New Roman"/>
          <w:kern w:val="36"/>
          <w:sz w:val="16"/>
          <w:szCs w:val="16"/>
          <w:lang w:val="sr-Cyrl-RS"/>
        </w:rPr>
        <w:t xml:space="preserve">Закон о доприносима за обавезно социјално осигурање </w:t>
      </w:r>
      <w:r>
        <w:rPr>
          <w:rFonts w:eastAsia="Times New Roman" w:cs="Times New Roman"/>
          <w:sz w:val="16"/>
          <w:szCs w:val="16"/>
          <w:lang w:val="sr-Cyrl-RS"/>
        </w:rPr>
        <w:t>(„Службени</w:t>
      </w:r>
      <w:r w:rsidRPr="006944C5">
        <w:rPr>
          <w:rFonts w:eastAsia="Times New Roman" w:cs="Times New Roman"/>
          <w:sz w:val="16"/>
          <w:szCs w:val="16"/>
          <w:lang w:val="sr-Cyrl-RS"/>
        </w:rPr>
        <w:t xml:space="preserve"> гласник РС</w:t>
      </w:r>
      <w:r w:rsidRPr="003C1DFF">
        <w:rPr>
          <w:rFonts w:cs="Times New Roman"/>
          <w:sz w:val="16"/>
          <w:szCs w:val="16"/>
          <w:lang w:val="sr-Cyrl-RS"/>
        </w:rPr>
        <w:t>”</w:t>
      </w:r>
      <w:r w:rsidRPr="006944C5">
        <w:rPr>
          <w:rFonts w:eastAsia="Times New Roman" w:cs="Times New Roman"/>
          <w:sz w:val="16"/>
          <w:szCs w:val="16"/>
          <w:lang w:val="sr-Cyrl-RS"/>
        </w:rPr>
        <w:t>, бр</w:t>
      </w:r>
      <w:r w:rsidRPr="006944C5">
        <w:rPr>
          <w:rFonts w:eastAsia="Times New Roman" w:cs="Times New Roman"/>
          <w:kern w:val="36"/>
          <w:sz w:val="16"/>
          <w:szCs w:val="16"/>
          <w:lang w:val="sr-Cyrl-RS"/>
        </w:rPr>
        <w:t>. 84/04, 61/05, 62/06, 5/09, 52/11, 101/11, 47/13, 108/13, 57/14, 68/14-др. закон, 112/15, 113/17, 95/18, 86/19, 153/20, 44/21, 118/21</w:t>
      </w:r>
      <w:r>
        <w:rPr>
          <w:rFonts w:eastAsia="Times New Roman" w:cs="Times New Roman"/>
          <w:kern w:val="36"/>
          <w:sz w:val="16"/>
          <w:szCs w:val="16"/>
          <w:lang w:val="sr-Cyrl-RS"/>
        </w:rPr>
        <w:t xml:space="preserve"> и 138/22</w:t>
      </w:r>
      <w:r w:rsidRPr="006944C5">
        <w:rPr>
          <w:rFonts w:eastAsia="Times New Roman" w:cs="Times New Roman"/>
          <w:kern w:val="36"/>
          <w:sz w:val="16"/>
          <w:szCs w:val="16"/>
          <w:lang w:val="sr-Cyrl-RS"/>
        </w:rPr>
        <w:t xml:space="preserve">), </w:t>
      </w:r>
      <w:r w:rsidRPr="006944C5">
        <w:rPr>
          <w:rFonts w:eastAsia="Times New Roman" w:cs="Times New Roman"/>
          <w:sz w:val="16"/>
          <w:szCs w:val="16"/>
          <w:lang w:val="sr-Cyrl-RS"/>
        </w:rPr>
        <w:t>члан 44.</w:t>
      </w:r>
    </w:p>
  </w:footnote>
  <w:footnote w:id="207">
    <w:p w14:paraId="0F10F6B9" w14:textId="55609CE1" w:rsidR="00815ACD" w:rsidRPr="006944C5" w:rsidRDefault="00815ACD" w:rsidP="00E44EF2">
      <w:pPr>
        <w:pStyle w:val="FootnoteText"/>
        <w:spacing w:after="0"/>
        <w:ind w:firstLine="0"/>
        <w:rPr>
          <w:rFonts w:ascii="Times New Roman" w:hAnsi="Times New Roman" w:cs="Times New Roman"/>
          <w:color w:val="auto"/>
          <w:sz w:val="16"/>
          <w:szCs w:val="16"/>
          <w:lang w:val="sr-Cyrl-RS"/>
        </w:rPr>
      </w:pPr>
      <w:r w:rsidRPr="006944C5">
        <w:rPr>
          <w:rStyle w:val="FootnoteReference"/>
          <w:rFonts w:ascii="Times New Roman" w:hAnsi="Times New Roman" w:cs="Times New Roman"/>
          <w:color w:val="auto"/>
          <w:sz w:val="16"/>
          <w:szCs w:val="16"/>
        </w:rPr>
        <w:footnoteRef/>
      </w:r>
      <w:r w:rsidRPr="006944C5">
        <w:rPr>
          <w:rFonts w:ascii="Times New Roman" w:hAnsi="Times New Roman" w:cs="Times New Roman"/>
          <w:color w:val="auto"/>
          <w:sz w:val="16"/>
          <w:szCs w:val="16"/>
        </w:rPr>
        <w:t xml:space="preserve"> </w:t>
      </w:r>
      <w:r w:rsidRPr="006944C5">
        <w:rPr>
          <w:rFonts w:ascii="Times New Roman" w:hAnsi="Times New Roman" w:cs="Times New Roman"/>
          <w:color w:val="auto"/>
          <w:sz w:val="16"/>
          <w:szCs w:val="16"/>
          <w:lang w:val="sr-Cyrl-RS"/>
        </w:rPr>
        <w:t>Закон о з</w:t>
      </w:r>
      <w:r>
        <w:rPr>
          <w:rFonts w:ascii="Times New Roman" w:hAnsi="Times New Roman" w:cs="Times New Roman"/>
          <w:color w:val="auto"/>
          <w:sz w:val="16"/>
          <w:szCs w:val="16"/>
          <w:lang w:val="sr-Cyrl-RS"/>
        </w:rPr>
        <w:t>дравственом осигурању</w:t>
      </w:r>
      <w:r w:rsidRPr="006944C5">
        <w:rPr>
          <w:rFonts w:ascii="Times New Roman" w:hAnsi="Times New Roman" w:cs="Times New Roman"/>
          <w:color w:val="auto"/>
          <w:sz w:val="16"/>
          <w:szCs w:val="16"/>
          <w:lang w:val="sr-Cyrl-RS"/>
        </w:rPr>
        <w:t>, члан 72.</w:t>
      </w:r>
    </w:p>
  </w:footnote>
  <w:footnote w:id="208">
    <w:p w14:paraId="18D5D600" w14:textId="77777777" w:rsidR="00815ACD" w:rsidRPr="006944C5" w:rsidRDefault="00815ACD" w:rsidP="00E44EF2">
      <w:pPr>
        <w:pStyle w:val="FootnoteText"/>
        <w:spacing w:after="0"/>
        <w:ind w:firstLine="0"/>
        <w:rPr>
          <w:rFonts w:ascii="Times New Roman" w:hAnsi="Times New Roman" w:cs="Times New Roman"/>
          <w:color w:val="auto"/>
          <w:sz w:val="16"/>
          <w:szCs w:val="16"/>
          <w:lang w:val="sr-Cyrl-RS"/>
        </w:rPr>
      </w:pPr>
      <w:r w:rsidRPr="006944C5">
        <w:rPr>
          <w:rStyle w:val="FootnoteReference"/>
          <w:rFonts w:ascii="Times New Roman" w:hAnsi="Times New Roman" w:cs="Times New Roman"/>
          <w:color w:val="auto"/>
          <w:sz w:val="16"/>
          <w:szCs w:val="16"/>
        </w:rPr>
        <w:footnoteRef/>
      </w:r>
      <w:r w:rsidRPr="006944C5">
        <w:rPr>
          <w:rFonts w:ascii="Times New Roman" w:hAnsi="Times New Roman" w:cs="Times New Roman"/>
          <w:color w:val="auto"/>
          <w:sz w:val="16"/>
          <w:szCs w:val="16"/>
        </w:rPr>
        <w:t xml:space="preserve"> </w:t>
      </w:r>
      <w:r w:rsidRPr="006944C5">
        <w:rPr>
          <w:rFonts w:ascii="Times New Roman" w:hAnsi="Times New Roman" w:cs="Times New Roman"/>
          <w:sz w:val="16"/>
          <w:szCs w:val="16"/>
        </w:rPr>
        <w:t>Извор</w:t>
      </w:r>
      <w:r w:rsidRPr="006944C5">
        <w:rPr>
          <w:rFonts w:ascii="Times New Roman" w:hAnsi="Times New Roman" w:cs="Times New Roman"/>
          <w:color w:val="auto"/>
          <w:sz w:val="16"/>
          <w:szCs w:val="16"/>
          <w:lang w:val="sr-Cyrl-RS"/>
        </w:rPr>
        <w:t>: Републички фонд за здравствено осигурање</w:t>
      </w:r>
    </w:p>
  </w:footnote>
  <w:footnote w:id="209">
    <w:p w14:paraId="5E7F79B7" w14:textId="77777777" w:rsidR="00815ACD" w:rsidRPr="006944C5" w:rsidRDefault="00815ACD" w:rsidP="00E44EF2">
      <w:pPr>
        <w:pStyle w:val="FootnoteText"/>
        <w:spacing w:after="0"/>
        <w:ind w:firstLine="0"/>
        <w:rPr>
          <w:rFonts w:ascii="Times New Roman" w:hAnsi="Times New Roman" w:cs="Times New Roman"/>
          <w:sz w:val="16"/>
          <w:szCs w:val="16"/>
          <w:lang w:val="sr-Cyrl-RS"/>
        </w:rPr>
      </w:pPr>
      <w:r w:rsidRPr="006944C5">
        <w:rPr>
          <w:rStyle w:val="FootnoteReference"/>
          <w:rFonts w:ascii="Times New Roman" w:hAnsi="Times New Roman" w:cs="Times New Roman"/>
          <w:color w:val="auto"/>
          <w:sz w:val="16"/>
          <w:szCs w:val="16"/>
        </w:rPr>
        <w:footnoteRef/>
      </w:r>
      <w:r w:rsidRPr="006944C5">
        <w:rPr>
          <w:rFonts w:ascii="Times New Roman" w:hAnsi="Times New Roman" w:cs="Times New Roman"/>
          <w:color w:val="auto"/>
          <w:sz w:val="16"/>
          <w:szCs w:val="16"/>
        </w:rPr>
        <w:t xml:space="preserve"> </w:t>
      </w:r>
      <w:r w:rsidRPr="006944C5">
        <w:rPr>
          <w:rFonts w:ascii="Times New Roman" w:hAnsi="Times New Roman" w:cs="Times New Roman"/>
          <w:color w:val="auto"/>
          <w:sz w:val="16"/>
          <w:szCs w:val="16"/>
          <w:lang w:val="sr-Cyrl-RS"/>
        </w:rPr>
        <w:t xml:space="preserve">Извор: Министарство финансија, Макроекономски и фискални подаци, </w:t>
      </w:r>
      <w:hyperlink r:id="rId105" w:history="1">
        <w:r w:rsidRPr="006944C5">
          <w:rPr>
            <w:rStyle w:val="Hyperlink"/>
            <w:rFonts w:ascii="Times New Roman" w:hAnsi="Times New Roman" w:cs="Times New Roman"/>
            <w:sz w:val="16"/>
            <w:szCs w:val="16"/>
            <w:lang w:val="sr-Cyrl-RS"/>
          </w:rPr>
          <w:t>https://www.mfin.gov.rs/dokumenti2/makroekonomski-i-fiskalni-podaci</w:t>
        </w:r>
      </w:hyperlink>
      <w:r w:rsidRPr="006944C5">
        <w:rPr>
          <w:rFonts w:ascii="Times New Roman" w:hAnsi="Times New Roman" w:cs="Times New Roman"/>
          <w:sz w:val="16"/>
          <w:szCs w:val="16"/>
          <w:lang w:val="sr-Cyrl-RS"/>
        </w:rPr>
        <w:t xml:space="preserve"> </w:t>
      </w:r>
    </w:p>
  </w:footnote>
  <w:footnote w:id="210">
    <w:p w14:paraId="5B6D58C4" w14:textId="77777777" w:rsidR="00815ACD" w:rsidRPr="006944C5" w:rsidRDefault="00815ACD" w:rsidP="00E44EF2">
      <w:pPr>
        <w:pStyle w:val="FootnoteText"/>
        <w:spacing w:after="0"/>
        <w:ind w:firstLine="0"/>
        <w:rPr>
          <w:rFonts w:ascii="Times New Roman" w:hAnsi="Times New Roman" w:cs="Times New Roman"/>
          <w:sz w:val="16"/>
          <w:szCs w:val="16"/>
          <w:lang w:val="sr-Cyrl-RS"/>
        </w:rPr>
      </w:pPr>
      <w:r w:rsidRPr="006944C5">
        <w:rPr>
          <w:rStyle w:val="FootnoteReference"/>
          <w:rFonts w:ascii="Times New Roman" w:hAnsi="Times New Roman" w:cs="Times New Roman"/>
          <w:color w:val="auto"/>
          <w:sz w:val="16"/>
          <w:szCs w:val="16"/>
        </w:rPr>
        <w:footnoteRef/>
      </w:r>
      <w:r w:rsidRPr="006944C5">
        <w:rPr>
          <w:rFonts w:ascii="Times New Roman" w:hAnsi="Times New Roman" w:cs="Times New Roman"/>
          <w:color w:val="auto"/>
          <w:sz w:val="16"/>
          <w:szCs w:val="16"/>
        </w:rPr>
        <w:t xml:space="preserve"> </w:t>
      </w:r>
      <w:r w:rsidRPr="006944C5">
        <w:rPr>
          <w:rFonts w:ascii="Times New Roman" w:hAnsi="Times New Roman" w:cs="Times New Roman"/>
          <w:color w:val="auto"/>
          <w:sz w:val="16"/>
          <w:szCs w:val="16"/>
          <w:lang w:val="sr-Cyrl-RS"/>
        </w:rPr>
        <w:t xml:space="preserve">Извор: Светска банка, Health Nutrition and Population Statistics </w:t>
      </w:r>
      <w:hyperlink r:id="rId106" w:history="1">
        <w:r w:rsidRPr="006944C5">
          <w:rPr>
            <w:rStyle w:val="Hyperlink"/>
            <w:rFonts w:ascii="Times New Roman" w:hAnsi="Times New Roman" w:cs="Times New Roman"/>
            <w:sz w:val="16"/>
            <w:szCs w:val="16"/>
            <w:lang w:val="sr-Cyrl-RS"/>
          </w:rPr>
          <w:t>https://databank.worldbank.org/source/health-nutrition-and-population-statistics</w:t>
        </w:r>
      </w:hyperlink>
      <w:r w:rsidRPr="006944C5">
        <w:rPr>
          <w:rFonts w:ascii="Times New Roman" w:hAnsi="Times New Roman" w:cs="Times New Roman"/>
          <w:sz w:val="16"/>
          <w:szCs w:val="16"/>
          <w:lang w:val="sr-Cyrl-RS"/>
        </w:rPr>
        <w:t xml:space="preserve"> </w:t>
      </w:r>
    </w:p>
  </w:footnote>
  <w:footnote w:id="211">
    <w:p w14:paraId="0CF337A4" w14:textId="766F3A0D" w:rsidR="00815ACD" w:rsidRPr="006944C5" w:rsidRDefault="00815ACD" w:rsidP="00E44EF2">
      <w:pPr>
        <w:pStyle w:val="FootnoteText"/>
        <w:spacing w:after="0"/>
        <w:ind w:firstLine="0"/>
        <w:rPr>
          <w:rFonts w:ascii="Times New Roman" w:hAnsi="Times New Roman" w:cs="Times New Roman"/>
          <w:color w:val="auto"/>
          <w:sz w:val="16"/>
          <w:szCs w:val="16"/>
          <w:lang w:val="sr-Cyrl-RS"/>
        </w:rPr>
      </w:pPr>
      <w:r w:rsidRPr="006944C5">
        <w:rPr>
          <w:rStyle w:val="FootnoteReference"/>
          <w:rFonts w:ascii="Times New Roman" w:hAnsi="Times New Roman" w:cs="Times New Roman"/>
          <w:color w:val="auto"/>
          <w:sz w:val="16"/>
          <w:szCs w:val="16"/>
          <w:lang w:val="sr-Cyrl-RS"/>
        </w:rPr>
        <w:footnoteRef/>
      </w:r>
      <w:r w:rsidRPr="006944C5">
        <w:rPr>
          <w:rFonts w:ascii="Times New Roman" w:hAnsi="Times New Roman" w:cs="Times New Roman"/>
          <w:color w:val="auto"/>
          <w:sz w:val="16"/>
          <w:szCs w:val="16"/>
          <w:lang w:val="sr-Cyrl-RS"/>
        </w:rPr>
        <w:t xml:space="preserve"> </w:t>
      </w:r>
      <w:r w:rsidRPr="006944C5">
        <w:rPr>
          <w:rFonts w:ascii="Times New Roman" w:hAnsi="Times New Roman" w:cs="Times New Roman"/>
          <w:sz w:val="16"/>
          <w:szCs w:val="16"/>
        </w:rPr>
        <w:t>Уредба</w:t>
      </w:r>
      <w:r w:rsidRPr="006944C5">
        <w:rPr>
          <w:rFonts w:ascii="Times New Roman" w:hAnsi="Times New Roman" w:cs="Times New Roman"/>
          <w:color w:val="auto"/>
          <w:kern w:val="36"/>
          <w:sz w:val="16"/>
          <w:szCs w:val="16"/>
          <w:lang w:val="sr-Cyrl-RS"/>
        </w:rPr>
        <w:t xml:space="preserve"> о Плану мреже здравствених установа </w:t>
      </w:r>
      <w:r>
        <w:rPr>
          <w:rFonts w:ascii="Times New Roman" w:hAnsi="Times New Roman" w:cs="Times New Roman"/>
          <w:color w:val="auto"/>
          <w:sz w:val="16"/>
          <w:szCs w:val="16"/>
          <w:lang w:val="sr-Cyrl-RS"/>
        </w:rPr>
        <w:t>(„Службени</w:t>
      </w:r>
      <w:r w:rsidRPr="006944C5">
        <w:rPr>
          <w:rFonts w:ascii="Times New Roman" w:hAnsi="Times New Roman" w:cs="Times New Roman"/>
          <w:color w:val="auto"/>
          <w:sz w:val="16"/>
          <w:szCs w:val="16"/>
          <w:lang w:val="sr-Cyrl-RS"/>
        </w:rPr>
        <w:t xml:space="preserve"> гласник РС</w:t>
      </w:r>
      <w:r w:rsidRPr="003C1DFF">
        <w:rPr>
          <w:rFonts w:ascii="Times New Roman" w:hAnsi="Times New Roman" w:cs="Times New Roman"/>
          <w:sz w:val="16"/>
          <w:szCs w:val="16"/>
          <w:lang w:val="sr-Cyrl-RS"/>
        </w:rPr>
        <w:t>”</w:t>
      </w:r>
      <w:r>
        <w:rPr>
          <w:rFonts w:ascii="Times New Roman" w:hAnsi="Times New Roman" w:cs="Times New Roman"/>
          <w:color w:val="auto"/>
          <w:sz w:val="16"/>
          <w:szCs w:val="16"/>
          <w:lang w:val="en-US"/>
        </w:rPr>
        <w:t>,</w:t>
      </w:r>
      <w:r w:rsidRPr="006944C5">
        <w:rPr>
          <w:rFonts w:ascii="Times New Roman" w:hAnsi="Times New Roman" w:cs="Times New Roman"/>
          <w:color w:val="auto"/>
          <w:sz w:val="16"/>
          <w:szCs w:val="16"/>
          <w:lang w:val="sr-Cyrl-RS"/>
        </w:rPr>
        <w:t xml:space="preserve"> бр. </w:t>
      </w:r>
      <w:hyperlink r:id="rId107" w:tooltip="Уредба о Плану мреже здравствених установа (22/01/2020)" w:history="1">
        <w:r w:rsidRPr="006944C5">
          <w:rPr>
            <w:rFonts w:ascii="Times New Roman" w:hAnsi="Times New Roman" w:cs="Times New Roman"/>
            <w:color w:val="auto"/>
            <w:sz w:val="16"/>
            <w:szCs w:val="16"/>
            <w:lang w:val="sr-Cyrl-RS"/>
          </w:rPr>
          <w:t>5/20</w:t>
        </w:r>
      </w:hyperlink>
      <w:r w:rsidRPr="006944C5">
        <w:rPr>
          <w:rFonts w:ascii="Times New Roman" w:hAnsi="Times New Roman" w:cs="Times New Roman"/>
          <w:color w:val="auto"/>
          <w:sz w:val="16"/>
          <w:szCs w:val="16"/>
          <w:lang w:val="sr-Cyrl-RS"/>
        </w:rPr>
        <w:t xml:space="preserve">, </w:t>
      </w:r>
      <w:hyperlink r:id="rId108" w:tooltip="Уредба о допуни Уредбе о Плану мреже здравствених установа (07/02/2020)" w:history="1">
        <w:r w:rsidRPr="006944C5">
          <w:rPr>
            <w:rFonts w:ascii="Times New Roman" w:hAnsi="Times New Roman" w:cs="Times New Roman"/>
            <w:color w:val="auto"/>
            <w:sz w:val="16"/>
            <w:szCs w:val="16"/>
            <w:lang w:val="sr-Cyrl-RS"/>
          </w:rPr>
          <w:t>11/20</w:t>
        </w:r>
      </w:hyperlink>
      <w:r w:rsidRPr="006944C5">
        <w:rPr>
          <w:rFonts w:ascii="Times New Roman" w:hAnsi="Times New Roman" w:cs="Times New Roman"/>
          <w:color w:val="auto"/>
          <w:sz w:val="16"/>
          <w:szCs w:val="16"/>
          <w:lang w:val="sr-Cyrl-RS"/>
        </w:rPr>
        <w:t xml:space="preserve">, </w:t>
      </w:r>
      <w:hyperlink r:id="rId109" w:tooltip="Уредба о измени Уредбе о Плану мреже здравствених установа (07/04/2020)" w:history="1">
        <w:r w:rsidRPr="006944C5">
          <w:rPr>
            <w:rFonts w:ascii="Times New Roman" w:hAnsi="Times New Roman" w:cs="Times New Roman"/>
            <w:color w:val="auto"/>
            <w:sz w:val="16"/>
            <w:szCs w:val="16"/>
            <w:lang w:val="sr-Cyrl-RS"/>
          </w:rPr>
          <w:t>52/20</w:t>
        </w:r>
      </w:hyperlink>
      <w:r w:rsidRPr="006944C5">
        <w:rPr>
          <w:rFonts w:ascii="Times New Roman" w:hAnsi="Times New Roman" w:cs="Times New Roman"/>
          <w:color w:val="auto"/>
          <w:sz w:val="16"/>
          <w:szCs w:val="16"/>
          <w:lang w:val="sr-Cyrl-RS"/>
        </w:rPr>
        <w:t xml:space="preserve">, </w:t>
      </w:r>
      <w:hyperlink r:id="rId110" w:tooltip="Уредба о изменама Уредбе о Плану мреже здравствених установа (22/06/2020)" w:history="1">
        <w:r w:rsidRPr="006944C5">
          <w:rPr>
            <w:rFonts w:ascii="Times New Roman" w:hAnsi="Times New Roman" w:cs="Times New Roman"/>
            <w:color w:val="auto"/>
            <w:sz w:val="16"/>
            <w:szCs w:val="16"/>
            <w:lang w:val="sr-Cyrl-RS"/>
          </w:rPr>
          <w:t>88/20</w:t>
        </w:r>
      </w:hyperlink>
      <w:r w:rsidRPr="006944C5">
        <w:rPr>
          <w:rFonts w:ascii="Times New Roman" w:hAnsi="Times New Roman" w:cs="Times New Roman"/>
          <w:color w:val="auto"/>
          <w:sz w:val="16"/>
          <w:szCs w:val="16"/>
          <w:lang w:val="sr-Cyrl-RS"/>
        </w:rPr>
        <w:t xml:space="preserve">, </w:t>
      </w:r>
      <w:hyperlink r:id="rId111" w:tooltip="Уредба о измени и допуни Уредбе о Плану мреже здравствених установа (17/06/2021)" w:history="1">
        <w:r w:rsidRPr="006944C5">
          <w:rPr>
            <w:rFonts w:ascii="Times New Roman" w:hAnsi="Times New Roman" w:cs="Times New Roman"/>
            <w:color w:val="auto"/>
            <w:sz w:val="16"/>
            <w:szCs w:val="16"/>
            <w:lang w:val="sr-Cyrl-RS"/>
          </w:rPr>
          <w:t>62/21</w:t>
        </w:r>
      </w:hyperlink>
      <w:r w:rsidRPr="006944C5">
        <w:rPr>
          <w:rFonts w:ascii="Times New Roman" w:hAnsi="Times New Roman" w:cs="Times New Roman"/>
          <w:color w:val="auto"/>
          <w:sz w:val="16"/>
          <w:szCs w:val="16"/>
          <w:lang w:val="sr-Cyrl-RS"/>
        </w:rPr>
        <w:t xml:space="preserve">, </w:t>
      </w:r>
      <w:hyperlink r:id="rId112" w:tooltip="Уредба о измени и допуни Уредбе о Плану мреже здравствених установа (09/07/2021)" w:history="1">
        <w:r w:rsidRPr="006944C5">
          <w:rPr>
            <w:rFonts w:ascii="Times New Roman" w:hAnsi="Times New Roman" w:cs="Times New Roman"/>
            <w:color w:val="auto"/>
            <w:sz w:val="16"/>
            <w:szCs w:val="16"/>
            <w:lang w:val="sr-Cyrl-RS"/>
          </w:rPr>
          <w:t>69/21</w:t>
        </w:r>
      </w:hyperlink>
      <w:r w:rsidRPr="006944C5">
        <w:rPr>
          <w:rFonts w:ascii="Times New Roman" w:hAnsi="Times New Roman" w:cs="Times New Roman"/>
          <w:color w:val="auto"/>
          <w:sz w:val="16"/>
          <w:szCs w:val="16"/>
          <w:lang w:val="sr-Cyrl-RS"/>
        </w:rPr>
        <w:t xml:space="preserve">, </w:t>
      </w:r>
      <w:hyperlink r:id="rId113" w:tooltip="Уредба о изменама Уредбе о Плану мреже здравствених установа (23/07/2021)" w:history="1">
        <w:r w:rsidRPr="006944C5">
          <w:rPr>
            <w:rFonts w:ascii="Times New Roman" w:hAnsi="Times New Roman" w:cs="Times New Roman"/>
            <w:color w:val="auto"/>
            <w:sz w:val="16"/>
            <w:szCs w:val="16"/>
            <w:lang w:val="sr-Cyrl-RS"/>
          </w:rPr>
          <w:t>74/21</w:t>
        </w:r>
      </w:hyperlink>
      <w:r>
        <w:rPr>
          <w:rFonts w:ascii="Times New Roman" w:hAnsi="Times New Roman" w:cs="Times New Roman"/>
          <w:color w:val="auto"/>
          <w:sz w:val="16"/>
          <w:szCs w:val="16"/>
          <w:lang w:val="sr-Cyrl-RS"/>
        </w:rPr>
        <w:t xml:space="preserve"> и</w:t>
      </w:r>
      <w:r w:rsidRPr="006944C5">
        <w:rPr>
          <w:rFonts w:ascii="Times New Roman" w:hAnsi="Times New Roman" w:cs="Times New Roman"/>
          <w:color w:val="auto"/>
          <w:sz w:val="16"/>
          <w:szCs w:val="16"/>
          <w:lang w:val="sr-Cyrl-RS"/>
        </w:rPr>
        <w:t xml:space="preserve"> </w:t>
      </w:r>
      <w:hyperlink r:id="rId114" w:tooltip="Уредба о изменама Уредбе о Плану мреже здравствених установа (01/10/2021)" w:history="1">
        <w:r w:rsidRPr="006944C5">
          <w:rPr>
            <w:rFonts w:ascii="Times New Roman" w:hAnsi="Times New Roman" w:cs="Times New Roman"/>
            <w:color w:val="auto"/>
            <w:sz w:val="16"/>
            <w:szCs w:val="16"/>
            <w:lang w:val="sr-Cyrl-RS"/>
          </w:rPr>
          <w:t>95/21</w:t>
        </w:r>
      </w:hyperlink>
      <w:r w:rsidRPr="006944C5">
        <w:rPr>
          <w:rFonts w:ascii="Times New Roman" w:hAnsi="Times New Roman" w:cs="Times New Roman"/>
          <w:color w:val="auto"/>
          <w:sz w:val="16"/>
          <w:szCs w:val="16"/>
          <w:lang w:val="sr-Cyrl-RS"/>
        </w:rPr>
        <w:t>)</w:t>
      </w:r>
    </w:p>
  </w:footnote>
  <w:footnote w:id="212">
    <w:p w14:paraId="69AA3949" w14:textId="77777777" w:rsidR="00815ACD" w:rsidRPr="006944C5" w:rsidRDefault="00815ACD" w:rsidP="00E44EF2">
      <w:pPr>
        <w:pStyle w:val="FootnoteText"/>
        <w:spacing w:after="0"/>
        <w:ind w:firstLine="0"/>
        <w:rPr>
          <w:rFonts w:ascii="Times New Roman" w:hAnsi="Times New Roman" w:cs="Times New Roman"/>
          <w:color w:val="auto"/>
          <w:sz w:val="16"/>
          <w:szCs w:val="16"/>
          <w:lang w:val="sr-Cyrl-RS"/>
        </w:rPr>
      </w:pPr>
      <w:r w:rsidRPr="006944C5">
        <w:rPr>
          <w:rStyle w:val="FootnoteReference"/>
          <w:rFonts w:ascii="Times New Roman" w:hAnsi="Times New Roman" w:cs="Times New Roman"/>
          <w:color w:val="auto"/>
          <w:sz w:val="16"/>
          <w:szCs w:val="16"/>
          <w:lang w:val="sr-Cyrl-RS"/>
        </w:rPr>
        <w:footnoteRef/>
      </w:r>
      <w:r w:rsidRPr="006944C5">
        <w:rPr>
          <w:rFonts w:ascii="Times New Roman" w:hAnsi="Times New Roman" w:cs="Times New Roman"/>
          <w:color w:val="auto"/>
          <w:sz w:val="16"/>
          <w:szCs w:val="16"/>
          <w:lang w:val="sr-Cyrl-RS"/>
        </w:rPr>
        <w:t xml:space="preserve"> На примарном нивоу здравствену заштиту обезбеђују домови здравља (158), апотеке (</w:t>
      </w:r>
      <w:r w:rsidRPr="006944C5">
        <w:rPr>
          <w:rFonts w:ascii="Times New Roman" w:hAnsi="Times New Roman" w:cs="Times New Roman"/>
          <w:color w:val="auto"/>
          <w:sz w:val="16"/>
          <w:szCs w:val="16"/>
        </w:rPr>
        <w:t>27</w:t>
      </w:r>
      <w:r w:rsidRPr="006944C5">
        <w:rPr>
          <w:rFonts w:ascii="Times New Roman" w:hAnsi="Times New Roman" w:cs="Times New Roman"/>
          <w:color w:val="auto"/>
          <w:sz w:val="16"/>
          <w:szCs w:val="16"/>
          <w:lang w:val="sr-Cyrl-RS"/>
        </w:rPr>
        <w:t>) и заводи (22); на секундарном нивоу опште (30) и специјалне болнице (33); на терцијарном нивоу клиничко-болнички центри (4), клинике (7), клинички центри (4) и институти (16). На више нивоа здравствену заштиту обезбеђују институти/заводи</w:t>
      </w:r>
      <w:r w:rsidRPr="006944C5">
        <w:rPr>
          <w:rFonts w:ascii="Times New Roman" w:hAnsi="Times New Roman" w:cs="Times New Roman"/>
          <w:color w:val="auto"/>
          <w:sz w:val="16"/>
          <w:szCs w:val="16"/>
        </w:rPr>
        <w:t xml:space="preserve"> </w:t>
      </w:r>
      <w:r w:rsidRPr="006944C5">
        <w:rPr>
          <w:rFonts w:ascii="Times New Roman" w:hAnsi="Times New Roman" w:cs="Times New Roman"/>
          <w:color w:val="auto"/>
          <w:sz w:val="16"/>
          <w:szCs w:val="16"/>
          <w:lang w:val="sr-Cyrl-RS"/>
        </w:rPr>
        <w:t>за јавно здравље (24).</w:t>
      </w:r>
    </w:p>
  </w:footnote>
  <w:footnote w:id="213">
    <w:p w14:paraId="426493E4" w14:textId="77777777" w:rsidR="00815ACD" w:rsidRPr="006944C5" w:rsidRDefault="00815ACD" w:rsidP="00E44EF2">
      <w:pPr>
        <w:pStyle w:val="FootnoteText"/>
        <w:spacing w:after="0"/>
        <w:ind w:firstLine="0"/>
        <w:rPr>
          <w:rFonts w:ascii="Times New Roman" w:hAnsi="Times New Roman" w:cs="Times New Roman"/>
          <w:color w:val="auto"/>
          <w:sz w:val="16"/>
          <w:szCs w:val="16"/>
          <w:lang w:val="sr-Cyrl-RS"/>
        </w:rPr>
      </w:pPr>
      <w:r w:rsidRPr="006944C5">
        <w:rPr>
          <w:rStyle w:val="FootnoteReference"/>
          <w:rFonts w:ascii="Times New Roman" w:hAnsi="Times New Roman" w:cs="Times New Roman"/>
          <w:color w:val="auto"/>
          <w:sz w:val="16"/>
          <w:szCs w:val="16"/>
        </w:rPr>
        <w:footnoteRef/>
      </w:r>
      <w:r w:rsidRPr="006944C5">
        <w:rPr>
          <w:rFonts w:ascii="Times New Roman" w:hAnsi="Times New Roman" w:cs="Times New Roman"/>
          <w:color w:val="auto"/>
          <w:sz w:val="16"/>
          <w:szCs w:val="16"/>
        </w:rPr>
        <w:t xml:space="preserve"> </w:t>
      </w:r>
      <w:r w:rsidRPr="006944C5">
        <w:rPr>
          <w:rFonts w:ascii="Times New Roman" w:hAnsi="Times New Roman" w:cs="Times New Roman"/>
          <w:color w:val="auto"/>
          <w:sz w:val="16"/>
          <w:szCs w:val="16"/>
          <w:lang w:val="sr-Cyrl-RS"/>
        </w:rPr>
        <w:t>Извор: Институт за јавно здравље Србије ,,Др Милан Јовановић –Батут”, Здравствено-статистички годишњак Републике Србије 2021.</w:t>
      </w:r>
    </w:p>
  </w:footnote>
  <w:footnote w:id="214">
    <w:p w14:paraId="278A5AA9" w14:textId="77777777" w:rsidR="00815ACD" w:rsidRPr="006944C5" w:rsidRDefault="00815ACD" w:rsidP="00E44EF2">
      <w:pPr>
        <w:pStyle w:val="FootnoteText"/>
        <w:spacing w:after="0"/>
        <w:ind w:firstLine="0"/>
        <w:rPr>
          <w:rFonts w:ascii="Times New Roman" w:hAnsi="Times New Roman" w:cs="Times New Roman"/>
          <w:color w:val="auto"/>
          <w:sz w:val="16"/>
          <w:szCs w:val="16"/>
          <w:lang w:val="sr-Cyrl-RS"/>
        </w:rPr>
      </w:pPr>
      <w:r w:rsidRPr="006944C5">
        <w:rPr>
          <w:rStyle w:val="FootnoteReference"/>
          <w:rFonts w:ascii="Times New Roman" w:hAnsi="Times New Roman" w:cs="Times New Roman"/>
          <w:color w:val="auto"/>
          <w:sz w:val="16"/>
          <w:szCs w:val="16"/>
          <w:lang w:val="sr-Cyrl-RS"/>
        </w:rPr>
        <w:footnoteRef/>
      </w:r>
      <w:r w:rsidRPr="006944C5">
        <w:rPr>
          <w:rFonts w:ascii="Times New Roman" w:hAnsi="Times New Roman" w:cs="Times New Roman"/>
          <w:color w:val="auto"/>
          <w:sz w:val="16"/>
          <w:szCs w:val="16"/>
          <w:lang w:val="sr-Cyrl-RS"/>
        </w:rPr>
        <w:t xml:space="preserve"> У овај број укључене су и дневне болнице (2.135 постеља), дијализа и неонатологија.</w:t>
      </w:r>
    </w:p>
  </w:footnote>
  <w:footnote w:id="215">
    <w:p w14:paraId="01C4CE27" w14:textId="4FBAB875" w:rsidR="00815ACD" w:rsidRPr="004D77C4" w:rsidRDefault="00815ACD" w:rsidP="00E44EF2">
      <w:pPr>
        <w:pStyle w:val="FootnoteText"/>
        <w:spacing w:after="0"/>
        <w:ind w:firstLine="0"/>
        <w:rPr>
          <w:rFonts w:cs="Times New Roman"/>
          <w:szCs w:val="16"/>
          <w:lang w:val="sr-Cyrl-RS"/>
        </w:rPr>
      </w:pPr>
      <w:r w:rsidRPr="006944C5">
        <w:rPr>
          <w:rStyle w:val="FootnoteReference"/>
          <w:rFonts w:ascii="Times New Roman" w:hAnsi="Times New Roman" w:cs="Times New Roman"/>
          <w:color w:val="auto"/>
          <w:sz w:val="16"/>
          <w:szCs w:val="16"/>
        </w:rPr>
        <w:footnoteRef/>
      </w:r>
      <w:r w:rsidRPr="006944C5">
        <w:rPr>
          <w:rFonts w:ascii="Times New Roman" w:hAnsi="Times New Roman" w:cs="Times New Roman"/>
          <w:color w:val="auto"/>
          <w:sz w:val="16"/>
          <w:szCs w:val="16"/>
        </w:rPr>
        <w:t xml:space="preserve"> </w:t>
      </w:r>
      <w:r w:rsidRPr="006944C5">
        <w:rPr>
          <w:rFonts w:ascii="Times New Roman" w:hAnsi="Times New Roman" w:cs="Times New Roman"/>
          <w:color w:val="auto"/>
          <w:sz w:val="16"/>
          <w:szCs w:val="16"/>
          <w:lang w:val="sr-Cyrl-RS"/>
        </w:rPr>
        <w:t>Извор: Стручни рад „Неки аспекти развоја здравственог система Србије и Јапана</w:t>
      </w:r>
      <w:r w:rsidRPr="003C1DFF">
        <w:rPr>
          <w:rFonts w:ascii="Times New Roman" w:hAnsi="Times New Roman" w:cs="Times New Roman"/>
          <w:sz w:val="16"/>
          <w:szCs w:val="16"/>
          <w:lang w:val="sr-Cyrl-RS"/>
        </w:rPr>
        <w:t>”</w:t>
      </w:r>
      <w:r w:rsidRPr="006944C5">
        <w:rPr>
          <w:rFonts w:ascii="Times New Roman" w:hAnsi="Times New Roman" w:cs="Times New Roman"/>
          <w:color w:val="auto"/>
          <w:sz w:val="16"/>
          <w:szCs w:val="16"/>
          <w:lang w:val="sr-Cyrl-RS"/>
        </w:rPr>
        <w:t>, В.</w:t>
      </w:r>
      <w:r w:rsidRPr="006944C5">
        <w:rPr>
          <w:rFonts w:ascii="Times New Roman" w:hAnsi="Times New Roman" w:cs="Times New Roman"/>
          <w:color w:val="auto"/>
          <w:sz w:val="16"/>
          <w:szCs w:val="16"/>
        </w:rPr>
        <w:t xml:space="preserve"> </w:t>
      </w:r>
      <w:r w:rsidRPr="006944C5">
        <w:rPr>
          <w:rFonts w:ascii="Times New Roman" w:hAnsi="Times New Roman" w:cs="Times New Roman"/>
          <w:color w:val="auto"/>
          <w:sz w:val="16"/>
          <w:szCs w:val="16"/>
          <w:lang w:val="sr-Cyrl-RS"/>
        </w:rPr>
        <w:t xml:space="preserve">Радивојевић, С. Весић </w:t>
      </w:r>
      <w:hyperlink r:id="rId115" w:history="1">
        <w:r w:rsidRPr="006944C5">
          <w:rPr>
            <w:rStyle w:val="Hyperlink"/>
            <w:rFonts w:ascii="Times New Roman" w:hAnsi="Times New Roman" w:cs="Times New Roman"/>
            <w:sz w:val="16"/>
            <w:szCs w:val="16"/>
          </w:rPr>
          <w:t>http://www.dunp.np.ac.rs/eng/wp-content/uploads/2022/publikacije/serija-b/2020vol3/br2/8.pdf</w:t>
        </w:r>
      </w:hyperlink>
      <w:r>
        <w:rPr>
          <w:rFonts w:cs="Times New Roman"/>
          <w:szCs w:val="16"/>
          <w:lang w:val="sr-Cyrl-RS"/>
        </w:rPr>
        <w:t xml:space="preserve"> </w:t>
      </w:r>
    </w:p>
  </w:footnote>
  <w:footnote w:id="216">
    <w:p w14:paraId="76256FF4" w14:textId="77777777" w:rsidR="00815ACD" w:rsidRPr="0092798F" w:rsidRDefault="00815ACD" w:rsidP="00E44EF2">
      <w:pPr>
        <w:pStyle w:val="FootnoteText"/>
        <w:spacing w:after="0"/>
        <w:ind w:firstLine="0"/>
        <w:rPr>
          <w:rFonts w:ascii="Times New Roman" w:hAnsi="Times New Roman" w:cs="Times New Roman"/>
          <w:sz w:val="16"/>
          <w:szCs w:val="16"/>
          <w:lang w:val="sr-Cyrl-RS"/>
        </w:rPr>
      </w:pPr>
      <w:r w:rsidRPr="0092798F">
        <w:rPr>
          <w:rStyle w:val="FootnoteReference"/>
          <w:rFonts w:ascii="Times New Roman" w:hAnsi="Times New Roman" w:cs="Times New Roman"/>
          <w:sz w:val="16"/>
          <w:szCs w:val="16"/>
        </w:rPr>
        <w:footnoteRef/>
      </w:r>
      <w:r w:rsidRPr="0092798F">
        <w:rPr>
          <w:rFonts w:ascii="Times New Roman" w:hAnsi="Times New Roman" w:cs="Times New Roman"/>
          <w:sz w:val="16"/>
          <w:szCs w:val="16"/>
        </w:rPr>
        <w:t xml:space="preserve"> </w:t>
      </w:r>
      <w:hyperlink r:id="rId116" w:history="1">
        <w:r w:rsidRPr="0092798F">
          <w:rPr>
            <w:rStyle w:val="Hyperlink"/>
            <w:rFonts w:ascii="Times New Roman" w:hAnsi="Times New Roman" w:cs="Times New Roman"/>
            <w:sz w:val="16"/>
            <w:szCs w:val="16"/>
          </w:rPr>
          <w:t>https://www.rfzo.rs/index.php/davaocizdrusluga/ugovaranje-dzu</w:t>
        </w:r>
      </w:hyperlink>
    </w:p>
  </w:footnote>
  <w:footnote w:id="217">
    <w:p w14:paraId="1544CFEB" w14:textId="77777777" w:rsidR="00815ACD" w:rsidRPr="0092798F" w:rsidRDefault="00815ACD" w:rsidP="00E44EF2">
      <w:pPr>
        <w:pStyle w:val="FootnoteText"/>
        <w:spacing w:after="0"/>
        <w:ind w:firstLine="0"/>
        <w:rPr>
          <w:rFonts w:ascii="Times New Roman" w:hAnsi="Times New Roman" w:cs="Times New Roman"/>
          <w:color w:val="auto"/>
          <w:sz w:val="16"/>
          <w:szCs w:val="16"/>
          <w:lang w:val="sr-Cyrl-RS"/>
        </w:rPr>
      </w:pPr>
      <w:r w:rsidRPr="0092798F">
        <w:rPr>
          <w:rStyle w:val="FootnoteReference"/>
          <w:rFonts w:ascii="Times New Roman" w:hAnsi="Times New Roman" w:cs="Times New Roman"/>
          <w:color w:val="auto"/>
          <w:sz w:val="16"/>
          <w:szCs w:val="16"/>
        </w:rPr>
        <w:footnoteRef/>
      </w:r>
      <w:r w:rsidRPr="0092798F">
        <w:rPr>
          <w:rFonts w:ascii="Times New Roman" w:hAnsi="Times New Roman" w:cs="Times New Roman"/>
          <w:color w:val="auto"/>
          <w:sz w:val="16"/>
          <w:szCs w:val="16"/>
        </w:rPr>
        <w:t xml:space="preserve"> </w:t>
      </w:r>
      <w:r w:rsidRPr="0092798F">
        <w:rPr>
          <w:rFonts w:ascii="Times New Roman" w:hAnsi="Times New Roman" w:cs="Times New Roman"/>
          <w:color w:val="auto"/>
          <w:sz w:val="16"/>
          <w:szCs w:val="16"/>
          <w:lang w:val="sr-Cyrl-RS"/>
        </w:rPr>
        <w:t xml:space="preserve">Извор: </w:t>
      </w:r>
      <w:r w:rsidRPr="0092798F">
        <w:rPr>
          <w:rFonts w:ascii="Times New Roman" w:hAnsi="Times New Roman" w:cs="Times New Roman"/>
          <w:color w:val="auto"/>
          <w:sz w:val="16"/>
          <w:szCs w:val="16"/>
        </w:rPr>
        <w:t>UNICEF</w:t>
      </w:r>
      <w:r w:rsidRPr="0092798F">
        <w:rPr>
          <w:rFonts w:ascii="Times New Roman" w:hAnsi="Times New Roman" w:cs="Times New Roman"/>
          <w:color w:val="auto"/>
          <w:sz w:val="16"/>
          <w:szCs w:val="16"/>
          <w:lang w:val="sr-Cyrl-RS"/>
        </w:rPr>
        <w:t>, Изградња људског капитала за дугорочни просперитет</w:t>
      </w:r>
    </w:p>
  </w:footnote>
  <w:footnote w:id="218">
    <w:p w14:paraId="0BE9208C" w14:textId="77777777" w:rsidR="00815ACD" w:rsidRPr="0092798F" w:rsidRDefault="00815ACD" w:rsidP="00E44EF2">
      <w:pPr>
        <w:pStyle w:val="FootnoteText"/>
        <w:spacing w:after="0"/>
        <w:ind w:firstLine="0"/>
        <w:rPr>
          <w:rFonts w:ascii="Times New Roman" w:hAnsi="Times New Roman" w:cs="Times New Roman"/>
          <w:color w:val="auto"/>
          <w:sz w:val="16"/>
          <w:szCs w:val="16"/>
          <w:lang w:val="sr-Cyrl-RS"/>
        </w:rPr>
      </w:pPr>
      <w:r w:rsidRPr="0092798F">
        <w:rPr>
          <w:rStyle w:val="FootnoteReference"/>
          <w:rFonts w:ascii="Times New Roman" w:hAnsi="Times New Roman" w:cs="Times New Roman"/>
          <w:color w:val="auto"/>
          <w:sz w:val="16"/>
          <w:szCs w:val="16"/>
          <w:lang w:val="sr-Cyrl-RS"/>
        </w:rPr>
        <w:footnoteRef/>
      </w:r>
      <w:r w:rsidRPr="0092798F">
        <w:rPr>
          <w:rFonts w:ascii="Times New Roman" w:hAnsi="Times New Roman" w:cs="Times New Roman"/>
          <w:color w:val="auto"/>
          <w:sz w:val="16"/>
          <w:szCs w:val="16"/>
          <w:lang w:val="sr-Cyrl-RS"/>
        </w:rPr>
        <w:t xml:space="preserve"> Нова кула Клиничког центра Србије простире се на 86.000 m</w:t>
      </w:r>
      <w:r w:rsidRPr="00815ACD">
        <w:rPr>
          <w:rFonts w:ascii="Times New Roman" w:hAnsi="Times New Roman" w:cs="Times New Roman"/>
          <w:color w:val="auto"/>
          <w:sz w:val="16"/>
          <w:szCs w:val="16"/>
          <w:vertAlign w:val="superscript"/>
          <w:lang w:val="sr-Cyrl-RS"/>
        </w:rPr>
        <w:t>2</w:t>
      </w:r>
      <w:r w:rsidRPr="0092798F">
        <w:rPr>
          <w:rFonts w:ascii="Times New Roman" w:hAnsi="Times New Roman" w:cs="Times New Roman"/>
          <w:color w:val="auto"/>
          <w:sz w:val="16"/>
          <w:szCs w:val="16"/>
          <w:lang w:val="sr-Cyrl-RS"/>
        </w:rPr>
        <w:t xml:space="preserve"> и има укупно 825 болничких кревета (231 кревет на јединици интензивне неге, 547 кревета на јединици полуинтензивног лечења и 47 кревета у болници за дневно лечење). Oпремљена је и са три магнетне резонанце, шест скенера и 12 рендген апарата. </w:t>
      </w:r>
    </w:p>
  </w:footnote>
  <w:footnote w:id="219">
    <w:p w14:paraId="09925ADA" w14:textId="77777777" w:rsidR="00815ACD" w:rsidRPr="0092798F" w:rsidRDefault="00815ACD" w:rsidP="00E44EF2">
      <w:pPr>
        <w:pStyle w:val="FootnoteText"/>
        <w:spacing w:after="0"/>
        <w:ind w:firstLine="0"/>
        <w:rPr>
          <w:rFonts w:ascii="Times New Roman" w:hAnsi="Times New Roman" w:cs="Times New Roman"/>
          <w:color w:val="auto"/>
          <w:sz w:val="16"/>
          <w:szCs w:val="16"/>
          <w:lang w:val="sr-Cyrl-RS"/>
        </w:rPr>
      </w:pPr>
      <w:r w:rsidRPr="0092798F">
        <w:rPr>
          <w:rStyle w:val="FootnoteReference"/>
          <w:rFonts w:ascii="Times New Roman" w:hAnsi="Times New Roman" w:cs="Times New Roman"/>
          <w:color w:val="auto"/>
          <w:sz w:val="16"/>
          <w:szCs w:val="16"/>
        </w:rPr>
        <w:footnoteRef/>
      </w:r>
      <w:r w:rsidRPr="0092798F">
        <w:rPr>
          <w:rFonts w:ascii="Times New Roman" w:hAnsi="Times New Roman" w:cs="Times New Roman"/>
          <w:color w:val="auto"/>
          <w:sz w:val="16"/>
          <w:szCs w:val="16"/>
          <w:lang w:val="sr-Cyrl-RS"/>
        </w:rPr>
        <w:t xml:space="preserve"> Извор: </w:t>
      </w:r>
      <w:hyperlink r:id="rId117" w:history="1">
        <w:r w:rsidRPr="0092798F">
          <w:rPr>
            <w:rStyle w:val="Hyperlink"/>
            <w:rFonts w:ascii="Times New Roman" w:eastAsia="MS PGothic" w:hAnsi="Times New Roman" w:cs="Times New Roman"/>
            <w:sz w:val="16"/>
            <w:szCs w:val="16"/>
          </w:rPr>
          <w:t>https</w:t>
        </w:r>
        <w:r w:rsidRPr="0092798F">
          <w:rPr>
            <w:rStyle w:val="Hyperlink"/>
            <w:rFonts w:ascii="Times New Roman" w:eastAsia="MS PGothic" w:hAnsi="Times New Roman" w:cs="Times New Roman"/>
            <w:sz w:val="16"/>
            <w:szCs w:val="16"/>
            <w:lang w:val="sr-Cyrl-RS"/>
          </w:rPr>
          <w:t>://</w:t>
        </w:r>
        <w:r w:rsidRPr="0092798F">
          <w:rPr>
            <w:rStyle w:val="Hyperlink"/>
            <w:rFonts w:ascii="Times New Roman" w:eastAsia="MS PGothic" w:hAnsi="Times New Roman" w:cs="Times New Roman"/>
            <w:sz w:val="16"/>
            <w:szCs w:val="16"/>
          </w:rPr>
          <w:t>www</w:t>
        </w:r>
        <w:r w:rsidRPr="0092798F">
          <w:rPr>
            <w:rStyle w:val="Hyperlink"/>
            <w:rFonts w:ascii="Times New Roman" w:eastAsia="MS PGothic" w:hAnsi="Times New Roman" w:cs="Times New Roman"/>
            <w:sz w:val="16"/>
            <w:szCs w:val="16"/>
            <w:lang w:val="sr-Cyrl-RS"/>
          </w:rPr>
          <w:t>.</w:t>
        </w:r>
        <w:r w:rsidRPr="0092798F">
          <w:rPr>
            <w:rStyle w:val="Hyperlink"/>
            <w:rFonts w:ascii="Times New Roman" w:eastAsia="MS PGothic" w:hAnsi="Times New Roman" w:cs="Times New Roman"/>
            <w:sz w:val="16"/>
            <w:szCs w:val="16"/>
            <w:lang w:val="sr-Latn-RS"/>
          </w:rPr>
          <w:t>rfzo.rs/index.php/osiguranalica/listecekanja/lc-dnevni-presek</w:t>
        </w:r>
        <w:r w:rsidRPr="0092798F">
          <w:rPr>
            <w:rStyle w:val="Hyperlink"/>
            <w:rFonts w:ascii="Times New Roman" w:eastAsia="MS PGothic" w:hAnsi="Times New Roman" w:cs="Times New Roman"/>
            <w:sz w:val="16"/>
            <w:szCs w:val="16"/>
            <w:lang w:val="sr-Cyrl-RS"/>
          </w:rPr>
          <w:t xml:space="preserve"> /</w:t>
        </w:r>
      </w:hyperlink>
      <w:r w:rsidRPr="0092798F">
        <w:rPr>
          <w:rFonts w:ascii="Times New Roman" w:eastAsia="MS PGothic" w:hAnsi="Times New Roman" w:cs="Times New Roman"/>
          <w:sz w:val="16"/>
          <w:szCs w:val="16"/>
          <w:lang w:val="sr-Cyrl-RS"/>
        </w:rPr>
        <w:t xml:space="preserve"> подаци закључно са 25</w:t>
      </w:r>
      <w:r w:rsidRPr="0092798F">
        <w:rPr>
          <w:rStyle w:val="Hyperlink"/>
          <w:rFonts w:ascii="Times New Roman" w:eastAsia="MS PGothic" w:hAnsi="Times New Roman" w:cs="Times New Roman"/>
          <w:color w:val="auto"/>
          <w:sz w:val="16"/>
          <w:szCs w:val="16"/>
          <w:u w:val="none"/>
          <w:lang w:val="sr-Cyrl-RS"/>
        </w:rPr>
        <w:t>. октобром 2022.</w:t>
      </w:r>
    </w:p>
  </w:footnote>
  <w:footnote w:id="220">
    <w:p w14:paraId="4EB41551" w14:textId="77777777" w:rsidR="00815ACD" w:rsidRPr="0092798F" w:rsidRDefault="00815ACD" w:rsidP="00E44EF2">
      <w:pPr>
        <w:pStyle w:val="FootnoteText"/>
        <w:spacing w:after="0"/>
        <w:ind w:firstLine="0"/>
        <w:rPr>
          <w:rFonts w:ascii="Times New Roman" w:hAnsi="Times New Roman" w:cs="Times New Roman"/>
          <w:sz w:val="16"/>
          <w:szCs w:val="16"/>
          <w:lang w:val="sr-Cyrl-RS"/>
        </w:rPr>
      </w:pPr>
      <w:r w:rsidRPr="0092798F">
        <w:rPr>
          <w:rStyle w:val="FootnoteReference"/>
          <w:rFonts w:ascii="Times New Roman" w:hAnsi="Times New Roman" w:cs="Times New Roman"/>
          <w:sz w:val="16"/>
          <w:szCs w:val="16"/>
        </w:rPr>
        <w:footnoteRef/>
      </w:r>
      <w:r w:rsidRPr="0092798F">
        <w:rPr>
          <w:rFonts w:ascii="Times New Roman" w:hAnsi="Times New Roman" w:cs="Times New Roman"/>
          <w:sz w:val="16"/>
          <w:szCs w:val="16"/>
        </w:rPr>
        <w:t xml:space="preserve"> </w:t>
      </w:r>
      <w:hyperlink r:id="rId118" w:history="1">
        <w:r w:rsidRPr="0092798F">
          <w:rPr>
            <w:rStyle w:val="Hyperlink"/>
            <w:rFonts w:ascii="Times New Roman" w:hAnsi="Times New Roman" w:cs="Times New Roman"/>
            <w:sz w:val="16"/>
            <w:szCs w:val="16"/>
            <w:lang w:val="sr-Cyrl-RS"/>
          </w:rPr>
          <w:t>https://optimizacijazdravstva.rs/izrada-masterplana</w:t>
        </w:r>
      </w:hyperlink>
      <w:r w:rsidRPr="0092798F">
        <w:rPr>
          <w:rFonts w:ascii="Times New Roman" w:hAnsi="Times New Roman" w:cs="Times New Roman"/>
          <w:sz w:val="16"/>
          <w:szCs w:val="16"/>
          <w:lang w:val="sr-Cyrl-RS"/>
        </w:rPr>
        <w:t xml:space="preserve">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60E6EB78"/>
    <w:lvl w:ilvl="0">
      <w:start w:val="1"/>
      <w:numFmt w:val="bullet"/>
      <w:pStyle w:val="ListBullet1"/>
      <w:lvlText w:val="•"/>
      <w:lvlJc w:val="left"/>
      <w:pPr>
        <w:ind w:left="576" w:hanging="288"/>
      </w:pPr>
      <w:rPr>
        <w:rFonts w:ascii="Cambria" w:hAnsi="Cambria" w:hint="default"/>
        <w:color w:val="5B9BD5" w:themeColor="accent1"/>
      </w:rPr>
    </w:lvl>
  </w:abstractNum>
  <w:abstractNum w:abstractNumId="1" w15:restartNumberingAfterBreak="0">
    <w:nsid w:val="01AC56DA"/>
    <w:multiLevelType w:val="hybridMultilevel"/>
    <w:tmpl w:val="229E818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686" w:hanging="360"/>
      </w:pPr>
    </w:lvl>
    <w:lvl w:ilvl="2" w:tplc="0409001B" w:tentative="1">
      <w:start w:val="1"/>
      <w:numFmt w:val="lowerRoman"/>
      <w:lvlText w:val="%3."/>
      <w:lvlJc w:val="right"/>
      <w:pPr>
        <w:ind w:left="34" w:hanging="180"/>
      </w:pPr>
    </w:lvl>
    <w:lvl w:ilvl="3" w:tplc="0409000F" w:tentative="1">
      <w:start w:val="1"/>
      <w:numFmt w:val="decimal"/>
      <w:lvlText w:val="%4."/>
      <w:lvlJc w:val="left"/>
      <w:pPr>
        <w:ind w:left="754" w:hanging="360"/>
      </w:pPr>
    </w:lvl>
    <w:lvl w:ilvl="4" w:tplc="04090019" w:tentative="1">
      <w:start w:val="1"/>
      <w:numFmt w:val="lowerLetter"/>
      <w:lvlText w:val="%5."/>
      <w:lvlJc w:val="left"/>
      <w:pPr>
        <w:ind w:left="1474" w:hanging="360"/>
      </w:pPr>
    </w:lvl>
    <w:lvl w:ilvl="5" w:tplc="0409001B" w:tentative="1">
      <w:start w:val="1"/>
      <w:numFmt w:val="lowerRoman"/>
      <w:lvlText w:val="%6."/>
      <w:lvlJc w:val="right"/>
      <w:pPr>
        <w:ind w:left="2194" w:hanging="180"/>
      </w:pPr>
    </w:lvl>
    <w:lvl w:ilvl="6" w:tplc="0409000F" w:tentative="1">
      <w:start w:val="1"/>
      <w:numFmt w:val="decimal"/>
      <w:lvlText w:val="%7."/>
      <w:lvlJc w:val="left"/>
      <w:pPr>
        <w:ind w:left="2914" w:hanging="360"/>
      </w:pPr>
    </w:lvl>
    <w:lvl w:ilvl="7" w:tplc="04090019" w:tentative="1">
      <w:start w:val="1"/>
      <w:numFmt w:val="lowerLetter"/>
      <w:lvlText w:val="%8."/>
      <w:lvlJc w:val="left"/>
      <w:pPr>
        <w:ind w:left="3634" w:hanging="360"/>
      </w:pPr>
    </w:lvl>
    <w:lvl w:ilvl="8" w:tplc="0409001B" w:tentative="1">
      <w:start w:val="1"/>
      <w:numFmt w:val="lowerRoman"/>
      <w:lvlText w:val="%9."/>
      <w:lvlJc w:val="right"/>
      <w:pPr>
        <w:ind w:left="4354" w:hanging="180"/>
      </w:pPr>
    </w:lvl>
  </w:abstractNum>
  <w:abstractNum w:abstractNumId="2" w15:restartNumberingAfterBreak="0">
    <w:nsid w:val="01BD5D5D"/>
    <w:multiLevelType w:val="hybridMultilevel"/>
    <w:tmpl w:val="FC24B3F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167F5D"/>
    <w:multiLevelType w:val="hybridMultilevel"/>
    <w:tmpl w:val="E28809B4"/>
    <w:lvl w:ilvl="0" w:tplc="04090001">
      <w:start w:val="1"/>
      <w:numFmt w:val="bullet"/>
      <w:pStyle w:val="ListNumber5"/>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036F6C"/>
    <w:multiLevelType w:val="hybridMultilevel"/>
    <w:tmpl w:val="2EDE4F3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686" w:hanging="360"/>
      </w:pPr>
    </w:lvl>
    <w:lvl w:ilvl="2" w:tplc="0409001B" w:tentative="1">
      <w:start w:val="1"/>
      <w:numFmt w:val="lowerRoman"/>
      <w:lvlText w:val="%3."/>
      <w:lvlJc w:val="right"/>
      <w:pPr>
        <w:ind w:left="34" w:hanging="180"/>
      </w:pPr>
    </w:lvl>
    <w:lvl w:ilvl="3" w:tplc="0409000F" w:tentative="1">
      <w:start w:val="1"/>
      <w:numFmt w:val="decimal"/>
      <w:lvlText w:val="%4."/>
      <w:lvlJc w:val="left"/>
      <w:pPr>
        <w:ind w:left="754" w:hanging="360"/>
      </w:pPr>
    </w:lvl>
    <w:lvl w:ilvl="4" w:tplc="04090019" w:tentative="1">
      <w:start w:val="1"/>
      <w:numFmt w:val="lowerLetter"/>
      <w:lvlText w:val="%5."/>
      <w:lvlJc w:val="left"/>
      <w:pPr>
        <w:ind w:left="1474" w:hanging="360"/>
      </w:pPr>
    </w:lvl>
    <w:lvl w:ilvl="5" w:tplc="0409001B" w:tentative="1">
      <w:start w:val="1"/>
      <w:numFmt w:val="lowerRoman"/>
      <w:lvlText w:val="%6."/>
      <w:lvlJc w:val="right"/>
      <w:pPr>
        <w:ind w:left="2194" w:hanging="180"/>
      </w:pPr>
    </w:lvl>
    <w:lvl w:ilvl="6" w:tplc="0409000F" w:tentative="1">
      <w:start w:val="1"/>
      <w:numFmt w:val="decimal"/>
      <w:lvlText w:val="%7."/>
      <w:lvlJc w:val="left"/>
      <w:pPr>
        <w:ind w:left="2914" w:hanging="360"/>
      </w:pPr>
    </w:lvl>
    <w:lvl w:ilvl="7" w:tplc="04090019" w:tentative="1">
      <w:start w:val="1"/>
      <w:numFmt w:val="lowerLetter"/>
      <w:lvlText w:val="%8."/>
      <w:lvlJc w:val="left"/>
      <w:pPr>
        <w:ind w:left="3634" w:hanging="360"/>
      </w:pPr>
    </w:lvl>
    <w:lvl w:ilvl="8" w:tplc="0409001B" w:tentative="1">
      <w:start w:val="1"/>
      <w:numFmt w:val="lowerRoman"/>
      <w:lvlText w:val="%9."/>
      <w:lvlJc w:val="right"/>
      <w:pPr>
        <w:ind w:left="4354" w:hanging="180"/>
      </w:pPr>
    </w:lvl>
  </w:abstractNum>
  <w:abstractNum w:abstractNumId="5" w15:restartNumberingAfterBreak="0">
    <w:nsid w:val="051A6590"/>
    <w:multiLevelType w:val="hybridMultilevel"/>
    <w:tmpl w:val="829E8C34"/>
    <w:lvl w:ilvl="0" w:tplc="25BC08AE">
      <w:start w:val="1"/>
      <w:numFmt w:val="bullet"/>
      <w:lvlText w:val="-"/>
      <w:lvlJc w:val="left"/>
      <w:pPr>
        <w:ind w:left="360" w:hanging="360"/>
      </w:pPr>
      <w:rPr>
        <w:rFonts w:ascii="Verdana" w:hAnsi="Verdana" w:hint="default"/>
      </w:rPr>
    </w:lvl>
    <w:lvl w:ilvl="1" w:tplc="0409000D">
      <w:start w:val="1"/>
      <w:numFmt w:val="bullet"/>
      <w:lvlText w:val=""/>
      <w:lvlJc w:val="left"/>
      <w:pPr>
        <w:ind w:left="1080" w:hanging="360"/>
      </w:pPr>
      <w:rPr>
        <w:rFonts w:ascii="Wingdings" w:hAnsi="Wingding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5401AF9"/>
    <w:multiLevelType w:val="hybridMultilevel"/>
    <w:tmpl w:val="A154AE00"/>
    <w:lvl w:ilvl="0" w:tplc="BFA4663C">
      <w:start w:val="1"/>
      <w:numFmt w:val="bullet"/>
      <w:lvlText w:val="-"/>
      <w:lvlJc w:val="left"/>
      <w:pPr>
        <w:ind w:left="720" w:hanging="360"/>
      </w:pPr>
      <w:rPr>
        <w:rFonts w:ascii="Calibri" w:eastAsia="MS PGothic"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8D20357"/>
    <w:multiLevelType w:val="hybridMultilevel"/>
    <w:tmpl w:val="A504FF2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B5749B2"/>
    <w:multiLevelType w:val="hybridMultilevel"/>
    <w:tmpl w:val="16C84B2C"/>
    <w:lvl w:ilvl="0" w:tplc="04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15:restartNumberingAfterBreak="0">
    <w:nsid w:val="0BF27F7C"/>
    <w:multiLevelType w:val="hybridMultilevel"/>
    <w:tmpl w:val="2EDE4F3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686" w:hanging="360"/>
      </w:pPr>
    </w:lvl>
    <w:lvl w:ilvl="2" w:tplc="0409001B" w:tentative="1">
      <w:start w:val="1"/>
      <w:numFmt w:val="lowerRoman"/>
      <w:lvlText w:val="%3."/>
      <w:lvlJc w:val="right"/>
      <w:pPr>
        <w:ind w:left="34" w:hanging="180"/>
      </w:pPr>
    </w:lvl>
    <w:lvl w:ilvl="3" w:tplc="0409000F" w:tentative="1">
      <w:start w:val="1"/>
      <w:numFmt w:val="decimal"/>
      <w:lvlText w:val="%4."/>
      <w:lvlJc w:val="left"/>
      <w:pPr>
        <w:ind w:left="754" w:hanging="360"/>
      </w:pPr>
    </w:lvl>
    <w:lvl w:ilvl="4" w:tplc="04090019" w:tentative="1">
      <w:start w:val="1"/>
      <w:numFmt w:val="lowerLetter"/>
      <w:lvlText w:val="%5."/>
      <w:lvlJc w:val="left"/>
      <w:pPr>
        <w:ind w:left="1474" w:hanging="360"/>
      </w:pPr>
    </w:lvl>
    <w:lvl w:ilvl="5" w:tplc="0409001B" w:tentative="1">
      <w:start w:val="1"/>
      <w:numFmt w:val="lowerRoman"/>
      <w:lvlText w:val="%6."/>
      <w:lvlJc w:val="right"/>
      <w:pPr>
        <w:ind w:left="2194" w:hanging="180"/>
      </w:pPr>
    </w:lvl>
    <w:lvl w:ilvl="6" w:tplc="0409000F" w:tentative="1">
      <w:start w:val="1"/>
      <w:numFmt w:val="decimal"/>
      <w:lvlText w:val="%7."/>
      <w:lvlJc w:val="left"/>
      <w:pPr>
        <w:ind w:left="2914" w:hanging="360"/>
      </w:pPr>
    </w:lvl>
    <w:lvl w:ilvl="7" w:tplc="04090019" w:tentative="1">
      <w:start w:val="1"/>
      <w:numFmt w:val="lowerLetter"/>
      <w:lvlText w:val="%8."/>
      <w:lvlJc w:val="left"/>
      <w:pPr>
        <w:ind w:left="3634" w:hanging="360"/>
      </w:pPr>
    </w:lvl>
    <w:lvl w:ilvl="8" w:tplc="0409001B" w:tentative="1">
      <w:start w:val="1"/>
      <w:numFmt w:val="lowerRoman"/>
      <w:lvlText w:val="%9."/>
      <w:lvlJc w:val="right"/>
      <w:pPr>
        <w:ind w:left="4354" w:hanging="180"/>
      </w:pPr>
    </w:lvl>
  </w:abstractNum>
  <w:abstractNum w:abstractNumId="10" w15:restartNumberingAfterBreak="0">
    <w:nsid w:val="0DFA5C74"/>
    <w:multiLevelType w:val="hybridMultilevel"/>
    <w:tmpl w:val="361E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E132D2B"/>
    <w:multiLevelType w:val="hybridMultilevel"/>
    <w:tmpl w:val="F0BC093A"/>
    <w:lvl w:ilvl="0" w:tplc="25BC08AE">
      <w:start w:val="1"/>
      <w:numFmt w:val="bullet"/>
      <w:lvlText w:val="-"/>
      <w:lvlJc w:val="left"/>
      <w:pPr>
        <w:ind w:left="360" w:hanging="360"/>
      </w:pPr>
      <w:rPr>
        <w:rFonts w:ascii="Verdana" w:hAnsi="Verdana"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0EFD30CF"/>
    <w:multiLevelType w:val="hybridMultilevel"/>
    <w:tmpl w:val="8EA01372"/>
    <w:lvl w:ilvl="0" w:tplc="47FC0E58">
      <w:numFmt w:val="bullet"/>
      <w:lvlText w:val="-"/>
      <w:lvlJc w:val="left"/>
      <w:pPr>
        <w:ind w:left="494" w:hanging="360"/>
      </w:pPr>
      <w:rPr>
        <w:rFonts w:ascii="Times New Roman" w:eastAsia="Times New Roman" w:hAnsi="Times New Roman" w:cs="Times New Roman" w:hint="default"/>
      </w:rPr>
    </w:lvl>
    <w:lvl w:ilvl="1" w:tplc="08090003" w:tentative="1">
      <w:start w:val="1"/>
      <w:numFmt w:val="bullet"/>
      <w:lvlText w:val="o"/>
      <w:lvlJc w:val="left"/>
      <w:pPr>
        <w:ind w:left="1214" w:hanging="360"/>
      </w:pPr>
      <w:rPr>
        <w:rFonts w:ascii="Courier New" w:hAnsi="Courier New" w:cs="Courier New" w:hint="default"/>
      </w:rPr>
    </w:lvl>
    <w:lvl w:ilvl="2" w:tplc="08090005" w:tentative="1">
      <w:start w:val="1"/>
      <w:numFmt w:val="bullet"/>
      <w:lvlText w:val=""/>
      <w:lvlJc w:val="left"/>
      <w:pPr>
        <w:ind w:left="1934" w:hanging="360"/>
      </w:pPr>
      <w:rPr>
        <w:rFonts w:ascii="Wingdings" w:hAnsi="Wingdings" w:hint="default"/>
      </w:rPr>
    </w:lvl>
    <w:lvl w:ilvl="3" w:tplc="08090001" w:tentative="1">
      <w:start w:val="1"/>
      <w:numFmt w:val="bullet"/>
      <w:lvlText w:val=""/>
      <w:lvlJc w:val="left"/>
      <w:pPr>
        <w:ind w:left="2654" w:hanging="360"/>
      </w:pPr>
      <w:rPr>
        <w:rFonts w:ascii="Symbol" w:hAnsi="Symbol" w:hint="default"/>
      </w:rPr>
    </w:lvl>
    <w:lvl w:ilvl="4" w:tplc="08090003" w:tentative="1">
      <w:start w:val="1"/>
      <w:numFmt w:val="bullet"/>
      <w:lvlText w:val="o"/>
      <w:lvlJc w:val="left"/>
      <w:pPr>
        <w:ind w:left="3374" w:hanging="360"/>
      </w:pPr>
      <w:rPr>
        <w:rFonts w:ascii="Courier New" w:hAnsi="Courier New" w:cs="Courier New" w:hint="default"/>
      </w:rPr>
    </w:lvl>
    <w:lvl w:ilvl="5" w:tplc="08090005" w:tentative="1">
      <w:start w:val="1"/>
      <w:numFmt w:val="bullet"/>
      <w:lvlText w:val=""/>
      <w:lvlJc w:val="left"/>
      <w:pPr>
        <w:ind w:left="4094" w:hanging="360"/>
      </w:pPr>
      <w:rPr>
        <w:rFonts w:ascii="Wingdings" w:hAnsi="Wingdings" w:hint="default"/>
      </w:rPr>
    </w:lvl>
    <w:lvl w:ilvl="6" w:tplc="08090001" w:tentative="1">
      <w:start w:val="1"/>
      <w:numFmt w:val="bullet"/>
      <w:lvlText w:val=""/>
      <w:lvlJc w:val="left"/>
      <w:pPr>
        <w:ind w:left="4814" w:hanging="360"/>
      </w:pPr>
      <w:rPr>
        <w:rFonts w:ascii="Symbol" w:hAnsi="Symbol" w:hint="default"/>
      </w:rPr>
    </w:lvl>
    <w:lvl w:ilvl="7" w:tplc="08090003" w:tentative="1">
      <w:start w:val="1"/>
      <w:numFmt w:val="bullet"/>
      <w:lvlText w:val="o"/>
      <w:lvlJc w:val="left"/>
      <w:pPr>
        <w:ind w:left="5534" w:hanging="360"/>
      </w:pPr>
      <w:rPr>
        <w:rFonts w:ascii="Courier New" w:hAnsi="Courier New" w:cs="Courier New" w:hint="default"/>
      </w:rPr>
    </w:lvl>
    <w:lvl w:ilvl="8" w:tplc="08090005" w:tentative="1">
      <w:start w:val="1"/>
      <w:numFmt w:val="bullet"/>
      <w:lvlText w:val=""/>
      <w:lvlJc w:val="left"/>
      <w:pPr>
        <w:ind w:left="6254" w:hanging="360"/>
      </w:pPr>
      <w:rPr>
        <w:rFonts w:ascii="Wingdings" w:hAnsi="Wingdings" w:hint="default"/>
      </w:rPr>
    </w:lvl>
  </w:abstractNum>
  <w:abstractNum w:abstractNumId="13" w15:restartNumberingAfterBreak="0">
    <w:nsid w:val="0F306A02"/>
    <w:multiLevelType w:val="hybridMultilevel"/>
    <w:tmpl w:val="08F631FE"/>
    <w:lvl w:ilvl="0" w:tplc="62F851BC">
      <w:start w:val="1"/>
      <w:numFmt w:val="bullet"/>
      <w:lvlText w:val=""/>
      <w:lvlJc w:val="left"/>
      <w:pPr>
        <w:ind w:left="720" w:hanging="360"/>
      </w:pPr>
      <w:rPr>
        <w:rFonts w:ascii="Symbol" w:hAnsi="Symbol" w:hint="default"/>
      </w:rPr>
    </w:lvl>
    <w:lvl w:ilvl="1" w:tplc="241A0003">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4" w15:restartNumberingAfterBreak="0">
    <w:nsid w:val="102F00BE"/>
    <w:multiLevelType w:val="hybridMultilevel"/>
    <w:tmpl w:val="6E8082D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5" w15:restartNumberingAfterBreak="0">
    <w:nsid w:val="1084523C"/>
    <w:multiLevelType w:val="hybridMultilevel"/>
    <w:tmpl w:val="2EDE4F3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686" w:hanging="360"/>
      </w:pPr>
    </w:lvl>
    <w:lvl w:ilvl="2" w:tplc="0409001B" w:tentative="1">
      <w:start w:val="1"/>
      <w:numFmt w:val="lowerRoman"/>
      <w:lvlText w:val="%3."/>
      <w:lvlJc w:val="right"/>
      <w:pPr>
        <w:ind w:left="34" w:hanging="180"/>
      </w:pPr>
    </w:lvl>
    <w:lvl w:ilvl="3" w:tplc="0409000F" w:tentative="1">
      <w:start w:val="1"/>
      <w:numFmt w:val="decimal"/>
      <w:lvlText w:val="%4."/>
      <w:lvlJc w:val="left"/>
      <w:pPr>
        <w:ind w:left="754" w:hanging="360"/>
      </w:pPr>
    </w:lvl>
    <w:lvl w:ilvl="4" w:tplc="04090019" w:tentative="1">
      <w:start w:val="1"/>
      <w:numFmt w:val="lowerLetter"/>
      <w:lvlText w:val="%5."/>
      <w:lvlJc w:val="left"/>
      <w:pPr>
        <w:ind w:left="1474" w:hanging="360"/>
      </w:pPr>
    </w:lvl>
    <w:lvl w:ilvl="5" w:tplc="0409001B" w:tentative="1">
      <w:start w:val="1"/>
      <w:numFmt w:val="lowerRoman"/>
      <w:lvlText w:val="%6."/>
      <w:lvlJc w:val="right"/>
      <w:pPr>
        <w:ind w:left="2194" w:hanging="180"/>
      </w:pPr>
    </w:lvl>
    <w:lvl w:ilvl="6" w:tplc="0409000F" w:tentative="1">
      <w:start w:val="1"/>
      <w:numFmt w:val="decimal"/>
      <w:lvlText w:val="%7."/>
      <w:lvlJc w:val="left"/>
      <w:pPr>
        <w:ind w:left="2914" w:hanging="360"/>
      </w:pPr>
    </w:lvl>
    <w:lvl w:ilvl="7" w:tplc="04090019" w:tentative="1">
      <w:start w:val="1"/>
      <w:numFmt w:val="lowerLetter"/>
      <w:lvlText w:val="%8."/>
      <w:lvlJc w:val="left"/>
      <w:pPr>
        <w:ind w:left="3634" w:hanging="360"/>
      </w:pPr>
    </w:lvl>
    <w:lvl w:ilvl="8" w:tplc="0409001B" w:tentative="1">
      <w:start w:val="1"/>
      <w:numFmt w:val="lowerRoman"/>
      <w:lvlText w:val="%9."/>
      <w:lvlJc w:val="right"/>
      <w:pPr>
        <w:ind w:left="4354" w:hanging="180"/>
      </w:pPr>
    </w:lvl>
  </w:abstractNum>
  <w:abstractNum w:abstractNumId="16" w15:restartNumberingAfterBreak="0">
    <w:nsid w:val="114F2D2B"/>
    <w:multiLevelType w:val="hybridMultilevel"/>
    <w:tmpl w:val="14FEBE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2D52B87"/>
    <w:multiLevelType w:val="hybridMultilevel"/>
    <w:tmpl w:val="4A3C3092"/>
    <w:lvl w:ilvl="0" w:tplc="241A0005">
      <w:start w:val="1"/>
      <w:numFmt w:val="bullet"/>
      <w:lvlText w:val=""/>
      <w:lvlJc w:val="left"/>
      <w:pPr>
        <w:ind w:left="360" w:hanging="360"/>
      </w:pPr>
      <w:rPr>
        <w:rFonts w:ascii="Wingdings" w:hAnsi="Wingdings" w:hint="default"/>
      </w:rPr>
    </w:lvl>
    <w:lvl w:ilvl="1" w:tplc="241A0003" w:tentative="1">
      <w:start w:val="1"/>
      <w:numFmt w:val="bullet"/>
      <w:lvlText w:val="o"/>
      <w:lvlJc w:val="left"/>
      <w:pPr>
        <w:ind w:left="1080" w:hanging="360"/>
      </w:pPr>
      <w:rPr>
        <w:rFonts w:ascii="Courier New" w:hAnsi="Courier New" w:cs="Courier New" w:hint="default"/>
      </w:rPr>
    </w:lvl>
    <w:lvl w:ilvl="2" w:tplc="241A0005" w:tentative="1">
      <w:start w:val="1"/>
      <w:numFmt w:val="bullet"/>
      <w:lvlText w:val=""/>
      <w:lvlJc w:val="left"/>
      <w:pPr>
        <w:ind w:left="1800" w:hanging="360"/>
      </w:pPr>
      <w:rPr>
        <w:rFonts w:ascii="Wingdings" w:hAnsi="Wingdings" w:hint="default"/>
      </w:rPr>
    </w:lvl>
    <w:lvl w:ilvl="3" w:tplc="241A0001" w:tentative="1">
      <w:start w:val="1"/>
      <w:numFmt w:val="bullet"/>
      <w:lvlText w:val=""/>
      <w:lvlJc w:val="left"/>
      <w:pPr>
        <w:ind w:left="2520" w:hanging="360"/>
      </w:pPr>
      <w:rPr>
        <w:rFonts w:ascii="Symbol" w:hAnsi="Symbol" w:hint="default"/>
      </w:rPr>
    </w:lvl>
    <w:lvl w:ilvl="4" w:tplc="241A0003" w:tentative="1">
      <w:start w:val="1"/>
      <w:numFmt w:val="bullet"/>
      <w:lvlText w:val="o"/>
      <w:lvlJc w:val="left"/>
      <w:pPr>
        <w:ind w:left="3240" w:hanging="360"/>
      </w:pPr>
      <w:rPr>
        <w:rFonts w:ascii="Courier New" w:hAnsi="Courier New" w:cs="Courier New" w:hint="default"/>
      </w:rPr>
    </w:lvl>
    <w:lvl w:ilvl="5" w:tplc="241A0005" w:tentative="1">
      <w:start w:val="1"/>
      <w:numFmt w:val="bullet"/>
      <w:lvlText w:val=""/>
      <w:lvlJc w:val="left"/>
      <w:pPr>
        <w:ind w:left="3960" w:hanging="360"/>
      </w:pPr>
      <w:rPr>
        <w:rFonts w:ascii="Wingdings" w:hAnsi="Wingdings" w:hint="default"/>
      </w:rPr>
    </w:lvl>
    <w:lvl w:ilvl="6" w:tplc="241A0001" w:tentative="1">
      <w:start w:val="1"/>
      <w:numFmt w:val="bullet"/>
      <w:lvlText w:val=""/>
      <w:lvlJc w:val="left"/>
      <w:pPr>
        <w:ind w:left="4680" w:hanging="360"/>
      </w:pPr>
      <w:rPr>
        <w:rFonts w:ascii="Symbol" w:hAnsi="Symbol" w:hint="default"/>
      </w:rPr>
    </w:lvl>
    <w:lvl w:ilvl="7" w:tplc="241A0003" w:tentative="1">
      <w:start w:val="1"/>
      <w:numFmt w:val="bullet"/>
      <w:lvlText w:val="o"/>
      <w:lvlJc w:val="left"/>
      <w:pPr>
        <w:ind w:left="5400" w:hanging="360"/>
      </w:pPr>
      <w:rPr>
        <w:rFonts w:ascii="Courier New" w:hAnsi="Courier New" w:cs="Courier New" w:hint="default"/>
      </w:rPr>
    </w:lvl>
    <w:lvl w:ilvl="8" w:tplc="241A0005" w:tentative="1">
      <w:start w:val="1"/>
      <w:numFmt w:val="bullet"/>
      <w:lvlText w:val=""/>
      <w:lvlJc w:val="left"/>
      <w:pPr>
        <w:ind w:left="6120" w:hanging="360"/>
      </w:pPr>
      <w:rPr>
        <w:rFonts w:ascii="Wingdings" w:hAnsi="Wingdings" w:hint="default"/>
      </w:rPr>
    </w:lvl>
  </w:abstractNum>
  <w:abstractNum w:abstractNumId="18" w15:restartNumberingAfterBreak="0">
    <w:nsid w:val="12E17545"/>
    <w:multiLevelType w:val="hybridMultilevel"/>
    <w:tmpl w:val="2EDE4F3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686" w:hanging="360"/>
      </w:pPr>
    </w:lvl>
    <w:lvl w:ilvl="2" w:tplc="0409001B" w:tentative="1">
      <w:start w:val="1"/>
      <w:numFmt w:val="lowerRoman"/>
      <w:lvlText w:val="%3."/>
      <w:lvlJc w:val="right"/>
      <w:pPr>
        <w:ind w:left="34" w:hanging="180"/>
      </w:pPr>
    </w:lvl>
    <w:lvl w:ilvl="3" w:tplc="0409000F" w:tentative="1">
      <w:start w:val="1"/>
      <w:numFmt w:val="decimal"/>
      <w:lvlText w:val="%4."/>
      <w:lvlJc w:val="left"/>
      <w:pPr>
        <w:ind w:left="754" w:hanging="360"/>
      </w:pPr>
    </w:lvl>
    <w:lvl w:ilvl="4" w:tplc="04090019" w:tentative="1">
      <w:start w:val="1"/>
      <w:numFmt w:val="lowerLetter"/>
      <w:lvlText w:val="%5."/>
      <w:lvlJc w:val="left"/>
      <w:pPr>
        <w:ind w:left="1474" w:hanging="360"/>
      </w:pPr>
    </w:lvl>
    <w:lvl w:ilvl="5" w:tplc="0409001B" w:tentative="1">
      <w:start w:val="1"/>
      <w:numFmt w:val="lowerRoman"/>
      <w:lvlText w:val="%6."/>
      <w:lvlJc w:val="right"/>
      <w:pPr>
        <w:ind w:left="2194" w:hanging="180"/>
      </w:pPr>
    </w:lvl>
    <w:lvl w:ilvl="6" w:tplc="0409000F" w:tentative="1">
      <w:start w:val="1"/>
      <w:numFmt w:val="decimal"/>
      <w:lvlText w:val="%7."/>
      <w:lvlJc w:val="left"/>
      <w:pPr>
        <w:ind w:left="2914" w:hanging="360"/>
      </w:pPr>
    </w:lvl>
    <w:lvl w:ilvl="7" w:tplc="04090019" w:tentative="1">
      <w:start w:val="1"/>
      <w:numFmt w:val="lowerLetter"/>
      <w:lvlText w:val="%8."/>
      <w:lvlJc w:val="left"/>
      <w:pPr>
        <w:ind w:left="3634" w:hanging="360"/>
      </w:pPr>
    </w:lvl>
    <w:lvl w:ilvl="8" w:tplc="0409001B" w:tentative="1">
      <w:start w:val="1"/>
      <w:numFmt w:val="lowerRoman"/>
      <w:lvlText w:val="%9."/>
      <w:lvlJc w:val="right"/>
      <w:pPr>
        <w:ind w:left="4354" w:hanging="180"/>
      </w:pPr>
    </w:lvl>
  </w:abstractNum>
  <w:abstractNum w:abstractNumId="19" w15:restartNumberingAfterBreak="0">
    <w:nsid w:val="17C648EE"/>
    <w:multiLevelType w:val="hybridMultilevel"/>
    <w:tmpl w:val="1C44CD38"/>
    <w:lvl w:ilvl="0" w:tplc="00A6192C">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BEC5A86"/>
    <w:multiLevelType w:val="hybridMultilevel"/>
    <w:tmpl w:val="7F4E5804"/>
    <w:lvl w:ilvl="0" w:tplc="5476874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1EC1773A"/>
    <w:multiLevelType w:val="multilevel"/>
    <w:tmpl w:val="705C1ACA"/>
    <w:lvl w:ilvl="0">
      <w:start w:val="1"/>
      <w:numFmt w:val="upperRoman"/>
      <w:lvlText w:val="%1."/>
      <w:lvlJc w:val="left"/>
      <w:pPr>
        <w:ind w:left="360" w:hanging="360"/>
      </w:pPr>
      <w:rPr>
        <w:rFonts w:hint="default"/>
      </w:rPr>
    </w:lvl>
    <w:lvl w:ilvl="1">
      <w:start w:val="1"/>
      <w:numFmt w:val="decimal"/>
      <w:pStyle w:val="EFPNaslov2"/>
      <w:lvlText w:val="%1.%2."/>
      <w:lvlJc w:val="left"/>
      <w:pPr>
        <w:ind w:left="792" w:hanging="432"/>
      </w:pPr>
      <w:rPr>
        <w:rFonts w:hint="default"/>
        <w:sz w:val="24"/>
        <w:szCs w:val="24"/>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1ECA53C8"/>
    <w:multiLevelType w:val="hybridMultilevel"/>
    <w:tmpl w:val="D01E85EE"/>
    <w:lvl w:ilvl="0" w:tplc="702249F6">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1F8C02E7"/>
    <w:multiLevelType w:val="hybridMultilevel"/>
    <w:tmpl w:val="C31468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0342A57"/>
    <w:multiLevelType w:val="hybridMultilevel"/>
    <w:tmpl w:val="038210C6"/>
    <w:lvl w:ilvl="0" w:tplc="7DBC233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20871D35"/>
    <w:multiLevelType w:val="hybridMultilevel"/>
    <w:tmpl w:val="86FA9F7E"/>
    <w:lvl w:ilvl="0" w:tplc="241A0005">
      <w:start w:val="1"/>
      <w:numFmt w:val="bullet"/>
      <w:lvlText w:val=""/>
      <w:lvlJc w:val="left"/>
      <w:pPr>
        <w:ind w:left="360" w:hanging="360"/>
      </w:pPr>
      <w:rPr>
        <w:rFonts w:ascii="Wingdings" w:hAnsi="Wingdings" w:hint="default"/>
      </w:rPr>
    </w:lvl>
    <w:lvl w:ilvl="1" w:tplc="25BC08AE">
      <w:start w:val="1"/>
      <w:numFmt w:val="bullet"/>
      <w:lvlText w:val="-"/>
      <w:lvlJc w:val="left"/>
      <w:pPr>
        <w:ind w:left="1080" w:hanging="360"/>
      </w:pPr>
      <w:rPr>
        <w:rFonts w:ascii="Verdana" w:hAnsi="Verdana" w:hint="default"/>
      </w:rPr>
    </w:lvl>
    <w:lvl w:ilvl="2" w:tplc="241A0005">
      <w:start w:val="1"/>
      <w:numFmt w:val="bullet"/>
      <w:lvlText w:val=""/>
      <w:lvlJc w:val="left"/>
      <w:pPr>
        <w:ind w:left="1800" w:hanging="360"/>
      </w:pPr>
      <w:rPr>
        <w:rFonts w:ascii="Wingdings" w:hAnsi="Wingdings" w:hint="default"/>
      </w:rPr>
    </w:lvl>
    <w:lvl w:ilvl="3" w:tplc="241A0001" w:tentative="1">
      <w:start w:val="1"/>
      <w:numFmt w:val="bullet"/>
      <w:lvlText w:val=""/>
      <w:lvlJc w:val="left"/>
      <w:pPr>
        <w:ind w:left="2520" w:hanging="360"/>
      </w:pPr>
      <w:rPr>
        <w:rFonts w:ascii="Symbol" w:hAnsi="Symbol" w:hint="default"/>
      </w:rPr>
    </w:lvl>
    <w:lvl w:ilvl="4" w:tplc="241A0003" w:tentative="1">
      <w:start w:val="1"/>
      <w:numFmt w:val="bullet"/>
      <w:lvlText w:val="o"/>
      <w:lvlJc w:val="left"/>
      <w:pPr>
        <w:ind w:left="3240" w:hanging="360"/>
      </w:pPr>
      <w:rPr>
        <w:rFonts w:ascii="Courier New" w:hAnsi="Courier New" w:cs="Courier New" w:hint="default"/>
      </w:rPr>
    </w:lvl>
    <w:lvl w:ilvl="5" w:tplc="241A0005" w:tentative="1">
      <w:start w:val="1"/>
      <w:numFmt w:val="bullet"/>
      <w:lvlText w:val=""/>
      <w:lvlJc w:val="left"/>
      <w:pPr>
        <w:ind w:left="3960" w:hanging="360"/>
      </w:pPr>
      <w:rPr>
        <w:rFonts w:ascii="Wingdings" w:hAnsi="Wingdings" w:hint="default"/>
      </w:rPr>
    </w:lvl>
    <w:lvl w:ilvl="6" w:tplc="241A0001" w:tentative="1">
      <w:start w:val="1"/>
      <w:numFmt w:val="bullet"/>
      <w:lvlText w:val=""/>
      <w:lvlJc w:val="left"/>
      <w:pPr>
        <w:ind w:left="4680" w:hanging="360"/>
      </w:pPr>
      <w:rPr>
        <w:rFonts w:ascii="Symbol" w:hAnsi="Symbol" w:hint="default"/>
      </w:rPr>
    </w:lvl>
    <w:lvl w:ilvl="7" w:tplc="241A0003" w:tentative="1">
      <w:start w:val="1"/>
      <w:numFmt w:val="bullet"/>
      <w:lvlText w:val="o"/>
      <w:lvlJc w:val="left"/>
      <w:pPr>
        <w:ind w:left="5400" w:hanging="360"/>
      </w:pPr>
      <w:rPr>
        <w:rFonts w:ascii="Courier New" w:hAnsi="Courier New" w:cs="Courier New" w:hint="default"/>
      </w:rPr>
    </w:lvl>
    <w:lvl w:ilvl="8" w:tplc="241A0005" w:tentative="1">
      <w:start w:val="1"/>
      <w:numFmt w:val="bullet"/>
      <w:lvlText w:val=""/>
      <w:lvlJc w:val="left"/>
      <w:pPr>
        <w:ind w:left="6120" w:hanging="360"/>
      </w:pPr>
      <w:rPr>
        <w:rFonts w:ascii="Wingdings" w:hAnsi="Wingdings" w:hint="default"/>
      </w:rPr>
    </w:lvl>
  </w:abstractNum>
  <w:abstractNum w:abstractNumId="26" w15:restartNumberingAfterBreak="0">
    <w:nsid w:val="20FA5E91"/>
    <w:multiLevelType w:val="hybridMultilevel"/>
    <w:tmpl w:val="5DF4BD48"/>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21614544"/>
    <w:multiLevelType w:val="hybridMultilevel"/>
    <w:tmpl w:val="1F5C4E66"/>
    <w:lvl w:ilvl="0" w:tplc="3BCA126A">
      <w:start w:val="1"/>
      <w:numFmt w:val="bullet"/>
      <w:lvlText w:val=""/>
      <w:lvlJc w:val="left"/>
      <w:pPr>
        <w:ind w:left="720" w:hanging="360"/>
      </w:pPr>
      <w:rPr>
        <w:rFonts w:ascii="Symbol" w:hAnsi="Symbol" w:hint="default"/>
        <w:color w:val="auto"/>
      </w:rPr>
    </w:lvl>
    <w:lvl w:ilvl="1" w:tplc="0409000F">
      <w:start w:val="1"/>
      <w:numFmt w:val="decimal"/>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1B7265C"/>
    <w:multiLevelType w:val="hybridMultilevel"/>
    <w:tmpl w:val="CFD0FDC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26617FD7"/>
    <w:multiLevelType w:val="hybridMultilevel"/>
    <w:tmpl w:val="583C7556"/>
    <w:lvl w:ilvl="0" w:tplc="4E42A08A">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72317BC"/>
    <w:multiLevelType w:val="hybridMultilevel"/>
    <w:tmpl w:val="9190E800"/>
    <w:lvl w:ilvl="0" w:tplc="241A0005">
      <w:start w:val="1"/>
      <w:numFmt w:val="bullet"/>
      <w:lvlText w:val=""/>
      <w:lvlJc w:val="left"/>
      <w:pPr>
        <w:ind w:left="360" w:hanging="360"/>
      </w:pPr>
      <w:rPr>
        <w:rFonts w:ascii="Wingdings" w:hAnsi="Wingdings" w:hint="default"/>
      </w:rPr>
    </w:lvl>
    <w:lvl w:ilvl="1" w:tplc="241A000D">
      <w:start w:val="1"/>
      <w:numFmt w:val="bullet"/>
      <w:lvlText w:val=""/>
      <w:lvlJc w:val="left"/>
      <w:pPr>
        <w:ind w:left="1080" w:hanging="360"/>
      </w:pPr>
      <w:rPr>
        <w:rFonts w:ascii="Wingdings" w:hAnsi="Wingdings" w:hint="default"/>
      </w:rPr>
    </w:lvl>
    <w:lvl w:ilvl="2" w:tplc="241A0005">
      <w:start w:val="1"/>
      <w:numFmt w:val="bullet"/>
      <w:lvlText w:val=""/>
      <w:lvlJc w:val="left"/>
      <w:pPr>
        <w:ind w:left="1800" w:hanging="360"/>
      </w:pPr>
      <w:rPr>
        <w:rFonts w:ascii="Wingdings" w:hAnsi="Wingdings" w:hint="default"/>
      </w:rPr>
    </w:lvl>
    <w:lvl w:ilvl="3" w:tplc="241A0001" w:tentative="1">
      <w:start w:val="1"/>
      <w:numFmt w:val="bullet"/>
      <w:lvlText w:val=""/>
      <w:lvlJc w:val="left"/>
      <w:pPr>
        <w:ind w:left="2520" w:hanging="360"/>
      </w:pPr>
      <w:rPr>
        <w:rFonts w:ascii="Symbol" w:hAnsi="Symbol" w:hint="default"/>
      </w:rPr>
    </w:lvl>
    <w:lvl w:ilvl="4" w:tplc="241A0003" w:tentative="1">
      <w:start w:val="1"/>
      <w:numFmt w:val="bullet"/>
      <w:lvlText w:val="o"/>
      <w:lvlJc w:val="left"/>
      <w:pPr>
        <w:ind w:left="3240" w:hanging="360"/>
      </w:pPr>
      <w:rPr>
        <w:rFonts w:ascii="Courier New" w:hAnsi="Courier New" w:cs="Courier New" w:hint="default"/>
      </w:rPr>
    </w:lvl>
    <w:lvl w:ilvl="5" w:tplc="241A0005" w:tentative="1">
      <w:start w:val="1"/>
      <w:numFmt w:val="bullet"/>
      <w:lvlText w:val=""/>
      <w:lvlJc w:val="left"/>
      <w:pPr>
        <w:ind w:left="3960" w:hanging="360"/>
      </w:pPr>
      <w:rPr>
        <w:rFonts w:ascii="Wingdings" w:hAnsi="Wingdings" w:hint="default"/>
      </w:rPr>
    </w:lvl>
    <w:lvl w:ilvl="6" w:tplc="241A0001" w:tentative="1">
      <w:start w:val="1"/>
      <w:numFmt w:val="bullet"/>
      <w:lvlText w:val=""/>
      <w:lvlJc w:val="left"/>
      <w:pPr>
        <w:ind w:left="4680" w:hanging="360"/>
      </w:pPr>
      <w:rPr>
        <w:rFonts w:ascii="Symbol" w:hAnsi="Symbol" w:hint="default"/>
      </w:rPr>
    </w:lvl>
    <w:lvl w:ilvl="7" w:tplc="241A0003" w:tentative="1">
      <w:start w:val="1"/>
      <w:numFmt w:val="bullet"/>
      <w:lvlText w:val="o"/>
      <w:lvlJc w:val="left"/>
      <w:pPr>
        <w:ind w:left="5400" w:hanging="360"/>
      </w:pPr>
      <w:rPr>
        <w:rFonts w:ascii="Courier New" w:hAnsi="Courier New" w:cs="Courier New" w:hint="default"/>
      </w:rPr>
    </w:lvl>
    <w:lvl w:ilvl="8" w:tplc="241A0005" w:tentative="1">
      <w:start w:val="1"/>
      <w:numFmt w:val="bullet"/>
      <w:lvlText w:val=""/>
      <w:lvlJc w:val="left"/>
      <w:pPr>
        <w:ind w:left="6120" w:hanging="360"/>
      </w:pPr>
      <w:rPr>
        <w:rFonts w:ascii="Wingdings" w:hAnsi="Wingdings" w:hint="default"/>
      </w:rPr>
    </w:lvl>
  </w:abstractNum>
  <w:abstractNum w:abstractNumId="31" w15:restartNumberingAfterBreak="0">
    <w:nsid w:val="27616F61"/>
    <w:multiLevelType w:val="hybridMultilevel"/>
    <w:tmpl w:val="6D6891A0"/>
    <w:lvl w:ilvl="0" w:tplc="B1A4936E">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28B84BC9"/>
    <w:multiLevelType w:val="hybridMultilevel"/>
    <w:tmpl w:val="C2305E92"/>
    <w:lvl w:ilvl="0" w:tplc="0409000F">
      <w:start w:val="1"/>
      <w:numFmt w:val="decimal"/>
      <w:lvlText w:val="%1."/>
      <w:lvlJc w:val="left"/>
      <w:pPr>
        <w:ind w:left="248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2A5B1DAA"/>
    <w:multiLevelType w:val="hybridMultilevel"/>
    <w:tmpl w:val="5920BBDE"/>
    <w:lvl w:ilvl="0" w:tplc="9B323FDC">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C656583"/>
    <w:multiLevelType w:val="hybridMultilevel"/>
    <w:tmpl w:val="635C31EA"/>
    <w:lvl w:ilvl="0" w:tplc="04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2D24792D"/>
    <w:multiLevelType w:val="hybridMultilevel"/>
    <w:tmpl w:val="1D9A1346"/>
    <w:lvl w:ilvl="0" w:tplc="04090011">
      <w:start w:val="1"/>
      <w:numFmt w:val="decimal"/>
      <w:lvlText w:val="%1)"/>
      <w:lvlJc w:val="left"/>
      <w:pPr>
        <w:ind w:left="1214" w:hanging="360"/>
      </w:pPr>
    </w:lvl>
    <w:lvl w:ilvl="1" w:tplc="04090019" w:tentative="1">
      <w:start w:val="1"/>
      <w:numFmt w:val="lowerLetter"/>
      <w:lvlText w:val="%2."/>
      <w:lvlJc w:val="left"/>
      <w:pPr>
        <w:ind w:left="1934" w:hanging="360"/>
      </w:pPr>
    </w:lvl>
    <w:lvl w:ilvl="2" w:tplc="0409001B" w:tentative="1">
      <w:start w:val="1"/>
      <w:numFmt w:val="lowerRoman"/>
      <w:lvlText w:val="%3."/>
      <w:lvlJc w:val="right"/>
      <w:pPr>
        <w:ind w:left="2654" w:hanging="180"/>
      </w:pPr>
    </w:lvl>
    <w:lvl w:ilvl="3" w:tplc="0409000F" w:tentative="1">
      <w:start w:val="1"/>
      <w:numFmt w:val="decimal"/>
      <w:lvlText w:val="%4."/>
      <w:lvlJc w:val="left"/>
      <w:pPr>
        <w:ind w:left="3374" w:hanging="360"/>
      </w:pPr>
    </w:lvl>
    <w:lvl w:ilvl="4" w:tplc="04090019" w:tentative="1">
      <w:start w:val="1"/>
      <w:numFmt w:val="lowerLetter"/>
      <w:lvlText w:val="%5."/>
      <w:lvlJc w:val="left"/>
      <w:pPr>
        <w:ind w:left="4094" w:hanging="360"/>
      </w:pPr>
    </w:lvl>
    <w:lvl w:ilvl="5" w:tplc="0409001B" w:tentative="1">
      <w:start w:val="1"/>
      <w:numFmt w:val="lowerRoman"/>
      <w:lvlText w:val="%6."/>
      <w:lvlJc w:val="right"/>
      <w:pPr>
        <w:ind w:left="4814" w:hanging="180"/>
      </w:pPr>
    </w:lvl>
    <w:lvl w:ilvl="6" w:tplc="0409000F" w:tentative="1">
      <w:start w:val="1"/>
      <w:numFmt w:val="decimal"/>
      <w:lvlText w:val="%7."/>
      <w:lvlJc w:val="left"/>
      <w:pPr>
        <w:ind w:left="5534" w:hanging="360"/>
      </w:pPr>
    </w:lvl>
    <w:lvl w:ilvl="7" w:tplc="04090019" w:tentative="1">
      <w:start w:val="1"/>
      <w:numFmt w:val="lowerLetter"/>
      <w:lvlText w:val="%8."/>
      <w:lvlJc w:val="left"/>
      <w:pPr>
        <w:ind w:left="6254" w:hanging="360"/>
      </w:pPr>
    </w:lvl>
    <w:lvl w:ilvl="8" w:tplc="0409001B" w:tentative="1">
      <w:start w:val="1"/>
      <w:numFmt w:val="lowerRoman"/>
      <w:lvlText w:val="%9."/>
      <w:lvlJc w:val="right"/>
      <w:pPr>
        <w:ind w:left="6974" w:hanging="180"/>
      </w:pPr>
    </w:lvl>
  </w:abstractNum>
  <w:abstractNum w:abstractNumId="36" w15:restartNumberingAfterBreak="0">
    <w:nsid w:val="2D816CC7"/>
    <w:multiLevelType w:val="hybridMultilevel"/>
    <w:tmpl w:val="A59CDECC"/>
    <w:lvl w:ilvl="0" w:tplc="04090005">
      <w:start w:val="1"/>
      <w:numFmt w:val="bullet"/>
      <w:lvlText w:val=""/>
      <w:lvlJc w:val="left"/>
      <w:pPr>
        <w:ind w:left="854" w:hanging="360"/>
      </w:pPr>
      <w:rPr>
        <w:rFonts w:ascii="Wingdings" w:hAnsi="Wingdings" w:hint="default"/>
      </w:rPr>
    </w:lvl>
    <w:lvl w:ilvl="1" w:tplc="04090003" w:tentative="1">
      <w:start w:val="1"/>
      <w:numFmt w:val="bullet"/>
      <w:lvlText w:val="o"/>
      <w:lvlJc w:val="left"/>
      <w:pPr>
        <w:ind w:left="1574" w:hanging="360"/>
      </w:pPr>
      <w:rPr>
        <w:rFonts w:ascii="Courier New" w:hAnsi="Courier New" w:cs="Courier New" w:hint="default"/>
      </w:rPr>
    </w:lvl>
    <w:lvl w:ilvl="2" w:tplc="04090005" w:tentative="1">
      <w:start w:val="1"/>
      <w:numFmt w:val="bullet"/>
      <w:lvlText w:val=""/>
      <w:lvlJc w:val="left"/>
      <w:pPr>
        <w:ind w:left="2294" w:hanging="360"/>
      </w:pPr>
      <w:rPr>
        <w:rFonts w:ascii="Wingdings" w:hAnsi="Wingdings" w:hint="default"/>
      </w:rPr>
    </w:lvl>
    <w:lvl w:ilvl="3" w:tplc="04090001" w:tentative="1">
      <w:start w:val="1"/>
      <w:numFmt w:val="bullet"/>
      <w:lvlText w:val=""/>
      <w:lvlJc w:val="left"/>
      <w:pPr>
        <w:ind w:left="3014" w:hanging="360"/>
      </w:pPr>
      <w:rPr>
        <w:rFonts w:ascii="Symbol" w:hAnsi="Symbol" w:hint="default"/>
      </w:rPr>
    </w:lvl>
    <w:lvl w:ilvl="4" w:tplc="04090003" w:tentative="1">
      <w:start w:val="1"/>
      <w:numFmt w:val="bullet"/>
      <w:lvlText w:val="o"/>
      <w:lvlJc w:val="left"/>
      <w:pPr>
        <w:ind w:left="3734" w:hanging="360"/>
      </w:pPr>
      <w:rPr>
        <w:rFonts w:ascii="Courier New" w:hAnsi="Courier New" w:cs="Courier New" w:hint="default"/>
      </w:rPr>
    </w:lvl>
    <w:lvl w:ilvl="5" w:tplc="04090005" w:tentative="1">
      <w:start w:val="1"/>
      <w:numFmt w:val="bullet"/>
      <w:lvlText w:val=""/>
      <w:lvlJc w:val="left"/>
      <w:pPr>
        <w:ind w:left="4454" w:hanging="360"/>
      </w:pPr>
      <w:rPr>
        <w:rFonts w:ascii="Wingdings" w:hAnsi="Wingdings" w:hint="default"/>
      </w:rPr>
    </w:lvl>
    <w:lvl w:ilvl="6" w:tplc="04090001" w:tentative="1">
      <w:start w:val="1"/>
      <w:numFmt w:val="bullet"/>
      <w:lvlText w:val=""/>
      <w:lvlJc w:val="left"/>
      <w:pPr>
        <w:ind w:left="5174" w:hanging="360"/>
      </w:pPr>
      <w:rPr>
        <w:rFonts w:ascii="Symbol" w:hAnsi="Symbol" w:hint="default"/>
      </w:rPr>
    </w:lvl>
    <w:lvl w:ilvl="7" w:tplc="04090003" w:tentative="1">
      <w:start w:val="1"/>
      <w:numFmt w:val="bullet"/>
      <w:lvlText w:val="o"/>
      <w:lvlJc w:val="left"/>
      <w:pPr>
        <w:ind w:left="5894" w:hanging="360"/>
      </w:pPr>
      <w:rPr>
        <w:rFonts w:ascii="Courier New" w:hAnsi="Courier New" w:cs="Courier New" w:hint="default"/>
      </w:rPr>
    </w:lvl>
    <w:lvl w:ilvl="8" w:tplc="04090005" w:tentative="1">
      <w:start w:val="1"/>
      <w:numFmt w:val="bullet"/>
      <w:lvlText w:val=""/>
      <w:lvlJc w:val="left"/>
      <w:pPr>
        <w:ind w:left="6614" w:hanging="360"/>
      </w:pPr>
      <w:rPr>
        <w:rFonts w:ascii="Wingdings" w:hAnsi="Wingdings" w:hint="default"/>
      </w:rPr>
    </w:lvl>
  </w:abstractNum>
  <w:abstractNum w:abstractNumId="37" w15:restartNumberingAfterBreak="0">
    <w:nsid w:val="2D8E49B8"/>
    <w:multiLevelType w:val="hybridMultilevel"/>
    <w:tmpl w:val="C2305E9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686" w:hanging="360"/>
      </w:pPr>
    </w:lvl>
    <w:lvl w:ilvl="2" w:tplc="0409001B" w:tentative="1">
      <w:start w:val="1"/>
      <w:numFmt w:val="lowerRoman"/>
      <w:lvlText w:val="%3."/>
      <w:lvlJc w:val="right"/>
      <w:pPr>
        <w:ind w:left="34" w:hanging="180"/>
      </w:pPr>
    </w:lvl>
    <w:lvl w:ilvl="3" w:tplc="0409000F" w:tentative="1">
      <w:start w:val="1"/>
      <w:numFmt w:val="decimal"/>
      <w:lvlText w:val="%4."/>
      <w:lvlJc w:val="left"/>
      <w:pPr>
        <w:ind w:left="754" w:hanging="360"/>
      </w:pPr>
    </w:lvl>
    <w:lvl w:ilvl="4" w:tplc="04090019" w:tentative="1">
      <w:start w:val="1"/>
      <w:numFmt w:val="lowerLetter"/>
      <w:lvlText w:val="%5."/>
      <w:lvlJc w:val="left"/>
      <w:pPr>
        <w:ind w:left="1474" w:hanging="360"/>
      </w:pPr>
    </w:lvl>
    <w:lvl w:ilvl="5" w:tplc="0409001B" w:tentative="1">
      <w:start w:val="1"/>
      <w:numFmt w:val="lowerRoman"/>
      <w:lvlText w:val="%6."/>
      <w:lvlJc w:val="right"/>
      <w:pPr>
        <w:ind w:left="2194" w:hanging="180"/>
      </w:pPr>
    </w:lvl>
    <w:lvl w:ilvl="6" w:tplc="0409000F" w:tentative="1">
      <w:start w:val="1"/>
      <w:numFmt w:val="decimal"/>
      <w:lvlText w:val="%7."/>
      <w:lvlJc w:val="left"/>
      <w:pPr>
        <w:ind w:left="2914" w:hanging="360"/>
      </w:pPr>
    </w:lvl>
    <w:lvl w:ilvl="7" w:tplc="04090019" w:tentative="1">
      <w:start w:val="1"/>
      <w:numFmt w:val="lowerLetter"/>
      <w:lvlText w:val="%8."/>
      <w:lvlJc w:val="left"/>
      <w:pPr>
        <w:ind w:left="3634" w:hanging="360"/>
      </w:pPr>
    </w:lvl>
    <w:lvl w:ilvl="8" w:tplc="0409001B" w:tentative="1">
      <w:start w:val="1"/>
      <w:numFmt w:val="lowerRoman"/>
      <w:lvlText w:val="%9."/>
      <w:lvlJc w:val="right"/>
      <w:pPr>
        <w:ind w:left="4354" w:hanging="180"/>
      </w:pPr>
    </w:lvl>
  </w:abstractNum>
  <w:abstractNum w:abstractNumId="38" w15:restartNumberingAfterBreak="0">
    <w:nsid w:val="2D9E4A7A"/>
    <w:multiLevelType w:val="hybridMultilevel"/>
    <w:tmpl w:val="C0505144"/>
    <w:lvl w:ilvl="0" w:tplc="D8A2529A">
      <w:start w:val="1"/>
      <w:numFmt w:val="decimal"/>
      <w:pStyle w:val="ListNumber2"/>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2EC61598"/>
    <w:multiLevelType w:val="hybridMultilevel"/>
    <w:tmpl w:val="26EA460E"/>
    <w:lvl w:ilvl="0" w:tplc="241A0011">
      <w:start w:val="1"/>
      <w:numFmt w:val="decimal"/>
      <w:lvlText w:val="%1)"/>
      <w:lvlJc w:val="left"/>
      <w:pPr>
        <w:ind w:left="720" w:hanging="360"/>
      </w:pPr>
    </w:lvl>
    <w:lvl w:ilvl="1" w:tplc="241A0019">
      <w:start w:val="1"/>
      <w:numFmt w:val="lowerLetter"/>
      <w:lvlText w:val="%2."/>
      <w:lvlJc w:val="left"/>
      <w:pPr>
        <w:ind w:left="1440" w:hanging="360"/>
      </w:pPr>
    </w:lvl>
    <w:lvl w:ilvl="2" w:tplc="241A001B">
      <w:start w:val="1"/>
      <w:numFmt w:val="lowerRoman"/>
      <w:lvlText w:val="%3."/>
      <w:lvlJc w:val="right"/>
      <w:pPr>
        <w:ind w:left="2160" w:hanging="180"/>
      </w:pPr>
    </w:lvl>
    <w:lvl w:ilvl="3" w:tplc="241A000F">
      <w:start w:val="1"/>
      <w:numFmt w:val="decimal"/>
      <w:lvlText w:val="%4."/>
      <w:lvlJc w:val="left"/>
      <w:pPr>
        <w:ind w:left="2880" w:hanging="360"/>
      </w:pPr>
    </w:lvl>
    <w:lvl w:ilvl="4" w:tplc="241A0019">
      <w:start w:val="1"/>
      <w:numFmt w:val="lowerLetter"/>
      <w:lvlText w:val="%5."/>
      <w:lvlJc w:val="left"/>
      <w:pPr>
        <w:ind w:left="3600" w:hanging="360"/>
      </w:pPr>
    </w:lvl>
    <w:lvl w:ilvl="5" w:tplc="241A001B">
      <w:start w:val="1"/>
      <w:numFmt w:val="lowerRoman"/>
      <w:lvlText w:val="%6."/>
      <w:lvlJc w:val="right"/>
      <w:pPr>
        <w:ind w:left="4320" w:hanging="180"/>
      </w:pPr>
    </w:lvl>
    <w:lvl w:ilvl="6" w:tplc="241A000F">
      <w:start w:val="1"/>
      <w:numFmt w:val="decimal"/>
      <w:lvlText w:val="%7."/>
      <w:lvlJc w:val="left"/>
      <w:pPr>
        <w:ind w:left="5040" w:hanging="360"/>
      </w:pPr>
    </w:lvl>
    <w:lvl w:ilvl="7" w:tplc="241A0019">
      <w:start w:val="1"/>
      <w:numFmt w:val="lowerLetter"/>
      <w:lvlText w:val="%8."/>
      <w:lvlJc w:val="left"/>
      <w:pPr>
        <w:ind w:left="5760" w:hanging="360"/>
      </w:pPr>
    </w:lvl>
    <w:lvl w:ilvl="8" w:tplc="241A001B">
      <w:start w:val="1"/>
      <w:numFmt w:val="lowerRoman"/>
      <w:lvlText w:val="%9."/>
      <w:lvlJc w:val="right"/>
      <w:pPr>
        <w:ind w:left="6480" w:hanging="180"/>
      </w:pPr>
    </w:lvl>
  </w:abstractNum>
  <w:abstractNum w:abstractNumId="40" w15:restartNumberingAfterBreak="0">
    <w:nsid w:val="307D67FF"/>
    <w:multiLevelType w:val="hybridMultilevel"/>
    <w:tmpl w:val="DD96419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0B24AC5"/>
    <w:multiLevelType w:val="hybridMultilevel"/>
    <w:tmpl w:val="6FCA1644"/>
    <w:lvl w:ilvl="0" w:tplc="241A0011">
      <w:start w:val="1"/>
      <w:numFmt w:val="decimal"/>
      <w:lvlText w:val="%1)"/>
      <w:lvlJc w:val="left"/>
      <w:pPr>
        <w:ind w:left="360" w:hanging="360"/>
      </w:pPr>
      <w:rPr>
        <w:rFonts w:hint="default"/>
      </w:rPr>
    </w:lvl>
    <w:lvl w:ilvl="1" w:tplc="241A0019" w:tentative="1">
      <w:start w:val="1"/>
      <w:numFmt w:val="lowerLetter"/>
      <w:lvlText w:val="%2."/>
      <w:lvlJc w:val="left"/>
      <w:pPr>
        <w:ind w:left="1080" w:hanging="360"/>
      </w:pPr>
    </w:lvl>
    <w:lvl w:ilvl="2" w:tplc="241A001B" w:tentative="1">
      <w:start w:val="1"/>
      <w:numFmt w:val="lowerRoman"/>
      <w:lvlText w:val="%3."/>
      <w:lvlJc w:val="right"/>
      <w:pPr>
        <w:ind w:left="1800" w:hanging="180"/>
      </w:pPr>
    </w:lvl>
    <w:lvl w:ilvl="3" w:tplc="241A000F" w:tentative="1">
      <w:start w:val="1"/>
      <w:numFmt w:val="decimal"/>
      <w:lvlText w:val="%4."/>
      <w:lvlJc w:val="left"/>
      <w:pPr>
        <w:ind w:left="2520" w:hanging="360"/>
      </w:pPr>
    </w:lvl>
    <w:lvl w:ilvl="4" w:tplc="241A0019" w:tentative="1">
      <w:start w:val="1"/>
      <w:numFmt w:val="lowerLetter"/>
      <w:lvlText w:val="%5."/>
      <w:lvlJc w:val="left"/>
      <w:pPr>
        <w:ind w:left="3240" w:hanging="360"/>
      </w:pPr>
    </w:lvl>
    <w:lvl w:ilvl="5" w:tplc="241A001B" w:tentative="1">
      <w:start w:val="1"/>
      <w:numFmt w:val="lowerRoman"/>
      <w:lvlText w:val="%6."/>
      <w:lvlJc w:val="right"/>
      <w:pPr>
        <w:ind w:left="3960" w:hanging="180"/>
      </w:pPr>
    </w:lvl>
    <w:lvl w:ilvl="6" w:tplc="241A000F" w:tentative="1">
      <w:start w:val="1"/>
      <w:numFmt w:val="decimal"/>
      <w:lvlText w:val="%7."/>
      <w:lvlJc w:val="left"/>
      <w:pPr>
        <w:ind w:left="4680" w:hanging="360"/>
      </w:pPr>
    </w:lvl>
    <w:lvl w:ilvl="7" w:tplc="241A0019" w:tentative="1">
      <w:start w:val="1"/>
      <w:numFmt w:val="lowerLetter"/>
      <w:lvlText w:val="%8."/>
      <w:lvlJc w:val="left"/>
      <w:pPr>
        <w:ind w:left="5400" w:hanging="360"/>
      </w:pPr>
    </w:lvl>
    <w:lvl w:ilvl="8" w:tplc="241A001B" w:tentative="1">
      <w:start w:val="1"/>
      <w:numFmt w:val="lowerRoman"/>
      <w:lvlText w:val="%9."/>
      <w:lvlJc w:val="right"/>
      <w:pPr>
        <w:ind w:left="6120" w:hanging="180"/>
      </w:pPr>
    </w:lvl>
  </w:abstractNum>
  <w:abstractNum w:abstractNumId="42" w15:restartNumberingAfterBreak="0">
    <w:nsid w:val="32121F1C"/>
    <w:multiLevelType w:val="hybridMultilevel"/>
    <w:tmpl w:val="C2305E92"/>
    <w:lvl w:ilvl="0" w:tplc="0409000F">
      <w:start w:val="1"/>
      <w:numFmt w:val="decimal"/>
      <w:lvlText w:val="%1."/>
      <w:lvlJc w:val="left"/>
      <w:pPr>
        <w:ind w:left="248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333D7BB7"/>
    <w:multiLevelType w:val="hybridMultilevel"/>
    <w:tmpl w:val="70E435F0"/>
    <w:lvl w:ilvl="0" w:tplc="41C0CB00">
      <w:start w:val="1"/>
      <w:numFmt w:val="decimal"/>
      <w:pStyle w:val="ParagraphNumbering"/>
      <w:lvlText w:val="%1.     "/>
      <w:lvlJc w:val="left"/>
      <w:pPr>
        <w:ind w:left="630" w:hanging="360"/>
      </w:pPr>
      <w:rPr>
        <w:rFonts w:ascii="Segoe UI" w:hAnsi="Segoe UI" w:hint="default"/>
        <w:b/>
        <w:i w:val="0"/>
        <w:sz w:val="21"/>
      </w:rPr>
    </w:lvl>
    <w:lvl w:ilvl="1" w:tplc="33B40FEA" w:tentative="1">
      <w:start w:val="1"/>
      <w:numFmt w:val="lowerLetter"/>
      <w:lvlText w:val="%2."/>
      <w:lvlJc w:val="left"/>
      <w:pPr>
        <w:ind w:left="1440" w:hanging="360"/>
      </w:pPr>
    </w:lvl>
    <w:lvl w:ilvl="2" w:tplc="DCB0CC42" w:tentative="1">
      <w:start w:val="1"/>
      <w:numFmt w:val="lowerRoman"/>
      <w:lvlText w:val="%3."/>
      <w:lvlJc w:val="right"/>
      <w:pPr>
        <w:ind w:left="2160" w:hanging="180"/>
      </w:pPr>
    </w:lvl>
    <w:lvl w:ilvl="3" w:tplc="B790AE84" w:tentative="1">
      <w:start w:val="1"/>
      <w:numFmt w:val="decimal"/>
      <w:lvlText w:val="%4."/>
      <w:lvlJc w:val="left"/>
      <w:pPr>
        <w:ind w:left="2880" w:hanging="360"/>
      </w:pPr>
    </w:lvl>
    <w:lvl w:ilvl="4" w:tplc="889A005E" w:tentative="1">
      <w:start w:val="1"/>
      <w:numFmt w:val="lowerLetter"/>
      <w:lvlText w:val="%5."/>
      <w:lvlJc w:val="left"/>
      <w:pPr>
        <w:ind w:left="3600" w:hanging="360"/>
      </w:pPr>
    </w:lvl>
    <w:lvl w:ilvl="5" w:tplc="6960F5F0" w:tentative="1">
      <w:start w:val="1"/>
      <w:numFmt w:val="lowerRoman"/>
      <w:lvlText w:val="%6."/>
      <w:lvlJc w:val="right"/>
      <w:pPr>
        <w:ind w:left="4320" w:hanging="180"/>
      </w:pPr>
    </w:lvl>
    <w:lvl w:ilvl="6" w:tplc="BBB45C82" w:tentative="1">
      <w:start w:val="1"/>
      <w:numFmt w:val="decimal"/>
      <w:lvlText w:val="%7."/>
      <w:lvlJc w:val="left"/>
      <w:pPr>
        <w:ind w:left="5040" w:hanging="360"/>
      </w:pPr>
    </w:lvl>
    <w:lvl w:ilvl="7" w:tplc="5516958C" w:tentative="1">
      <w:start w:val="1"/>
      <w:numFmt w:val="lowerLetter"/>
      <w:lvlText w:val="%8."/>
      <w:lvlJc w:val="left"/>
      <w:pPr>
        <w:ind w:left="5760" w:hanging="360"/>
      </w:pPr>
    </w:lvl>
    <w:lvl w:ilvl="8" w:tplc="98DCDC2C" w:tentative="1">
      <w:start w:val="1"/>
      <w:numFmt w:val="lowerRoman"/>
      <w:lvlText w:val="%9."/>
      <w:lvlJc w:val="right"/>
      <w:pPr>
        <w:ind w:left="6480" w:hanging="180"/>
      </w:pPr>
    </w:lvl>
  </w:abstractNum>
  <w:abstractNum w:abstractNumId="44" w15:restartNumberingAfterBreak="0">
    <w:nsid w:val="33644418"/>
    <w:multiLevelType w:val="hybridMultilevel"/>
    <w:tmpl w:val="054ED78A"/>
    <w:lvl w:ilvl="0" w:tplc="3BCA126A">
      <w:start w:val="1"/>
      <w:numFmt w:val="bullet"/>
      <w:lvlText w:val=""/>
      <w:lvlJc w:val="left"/>
      <w:pPr>
        <w:ind w:left="360" w:hanging="360"/>
      </w:pPr>
      <w:rPr>
        <w:rFonts w:ascii="Symbol" w:hAnsi="Symbol" w:hint="default"/>
        <w:color w:val="auto"/>
      </w:rPr>
    </w:lvl>
    <w:lvl w:ilvl="1" w:tplc="241A0003" w:tentative="1">
      <w:start w:val="1"/>
      <w:numFmt w:val="bullet"/>
      <w:lvlText w:val="o"/>
      <w:lvlJc w:val="left"/>
      <w:pPr>
        <w:ind w:left="1080" w:hanging="360"/>
      </w:pPr>
      <w:rPr>
        <w:rFonts w:ascii="Courier New" w:hAnsi="Courier New" w:cs="Courier New" w:hint="default"/>
      </w:rPr>
    </w:lvl>
    <w:lvl w:ilvl="2" w:tplc="241A0005" w:tentative="1">
      <w:start w:val="1"/>
      <w:numFmt w:val="bullet"/>
      <w:lvlText w:val=""/>
      <w:lvlJc w:val="left"/>
      <w:pPr>
        <w:ind w:left="1800" w:hanging="360"/>
      </w:pPr>
      <w:rPr>
        <w:rFonts w:ascii="Wingdings" w:hAnsi="Wingdings" w:hint="default"/>
      </w:rPr>
    </w:lvl>
    <w:lvl w:ilvl="3" w:tplc="241A0001" w:tentative="1">
      <w:start w:val="1"/>
      <w:numFmt w:val="bullet"/>
      <w:lvlText w:val=""/>
      <w:lvlJc w:val="left"/>
      <w:pPr>
        <w:ind w:left="2520" w:hanging="360"/>
      </w:pPr>
      <w:rPr>
        <w:rFonts w:ascii="Symbol" w:hAnsi="Symbol" w:hint="default"/>
      </w:rPr>
    </w:lvl>
    <w:lvl w:ilvl="4" w:tplc="241A0003" w:tentative="1">
      <w:start w:val="1"/>
      <w:numFmt w:val="bullet"/>
      <w:lvlText w:val="o"/>
      <w:lvlJc w:val="left"/>
      <w:pPr>
        <w:ind w:left="3240" w:hanging="360"/>
      </w:pPr>
      <w:rPr>
        <w:rFonts w:ascii="Courier New" w:hAnsi="Courier New" w:cs="Courier New" w:hint="default"/>
      </w:rPr>
    </w:lvl>
    <w:lvl w:ilvl="5" w:tplc="241A0005" w:tentative="1">
      <w:start w:val="1"/>
      <w:numFmt w:val="bullet"/>
      <w:lvlText w:val=""/>
      <w:lvlJc w:val="left"/>
      <w:pPr>
        <w:ind w:left="3960" w:hanging="360"/>
      </w:pPr>
      <w:rPr>
        <w:rFonts w:ascii="Wingdings" w:hAnsi="Wingdings" w:hint="default"/>
      </w:rPr>
    </w:lvl>
    <w:lvl w:ilvl="6" w:tplc="241A0001" w:tentative="1">
      <w:start w:val="1"/>
      <w:numFmt w:val="bullet"/>
      <w:lvlText w:val=""/>
      <w:lvlJc w:val="left"/>
      <w:pPr>
        <w:ind w:left="4680" w:hanging="360"/>
      </w:pPr>
      <w:rPr>
        <w:rFonts w:ascii="Symbol" w:hAnsi="Symbol" w:hint="default"/>
      </w:rPr>
    </w:lvl>
    <w:lvl w:ilvl="7" w:tplc="241A0003" w:tentative="1">
      <w:start w:val="1"/>
      <w:numFmt w:val="bullet"/>
      <w:lvlText w:val="o"/>
      <w:lvlJc w:val="left"/>
      <w:pPr>
        <w:ind w:left="5400" w:hanging="360"/>
      </w:pPr>
      <w:rPr>
        <w:rFonts w:ascii="Courier New" w:hAnsi="Courier New" w:cs="Courier New" w:hint="default"/>
      </w:rPr>
    </w:lvl>
    <w:lvl w:ilvl="8" w:tplc="241A0005" w:tentative="1">
      <w:start w:val="1"/>
      <w:numFmt w:val="bullet"/>
      <w:lvlText w:val=""/>
      <w:lvlJc w:val="left"/>
      <w:pPr>
        <w:ind w:left="6120" w:hanging="360"/>
      </w:pPr>
      <w:rPr>
        <w:rFonts w:ascii="Wingdings" w:hAnsi="Wingdings" w:hint="default"/>
      </w:rPr>
    </w:lvl>
  </w:abstractNum>
  <w:abstractNum w:abstractNumId="45" w15:restartNumberingAfterBreak="0">
    <w:nsid w:val="33C418D1"/>
    <w:multiLevelType w:val="hybridMultilevel"/>
    <w:tmpl w:val="890E7CDE"/>
    <w:lvl w:ilvl="0" w:tplc="BFA4663C">
      <w:start w:val="1"/>
      <w:numFmt w:val="bullet"/>
      <w:lvlText w:val="-"/>
      <w:lvlJc w:val="left"/>
      <w:pPr>
        <w:ind w:left="720" w:hanging="360"/>
      </w:pPr>
      <w:rPr>
        <w:rFonts w:ascii="Calibri" w:eastAsia="MS PGothic"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4030896"/>
    <w:multiLevelType w:val="hybridMultilevel"/>
    <w:tmpl w:val="407AD9DC"/>
    <w:lvl w:ilvl="0" w:tplc="25BC08AE">
      <w:start w:val="1"/>
      <w:numFmt w:val="bullet"/>
      <w:lvlText w:val="-"/>
      <w:lvlJc w:val="left"/>
      <w:pPr>
        <w:ind w:left="360" w:hanging="360"/>
      </w:pPr>
      <w:rPr>
        <w:rFonts w:ascii="Verdana" w:hAnsi="Verdana" w:hint="default"/>
      </w:rPr>
    </w:lvl>
    <w:lvl w:ilvl="1" w:tplc="241A0003" w:tentative="1">
      <w:start w:val="1"/>
      <w:numFmt w:val="bullet"/>
      <w:lvlText w:val="o"/>
      <w:lvlJc w:val="left"/>
      <w:pPr>
        <w:ind w:left="1080" w:hanging="360"/>
      </w:pPr>
      <w:rPr>
        <w:rFonts w:ascii="Courier New" w:hAnsi="Courier New" w:cs="Courier New" w:hint="default"/>
      </w:rPr>
    </w:lvl>
    <w:lvl w:ilvl="2" w:tplc="241A0005" w:tentative="1">
      <w:start w:val="1"/>
      <w:numFmt w:val="bullet"/>
      <w:lvlText w:val=""/>
      <w:lvlJc w:val="left"/>
      <w:pPr>
        <w:ind w:left="1800" w:hanging="360"/>
      </w:pPr>
      <w:rPr>
        <w:rFonts w:ascii="Wingdings" w:hAnsi="Wingdings" w:hint="default"/>
      </w:rPr>
    </w:lvl>
    <w:lvl w:ilvl="3" w:tplc="241A0001" w:tentative="1">
      <w:start w:val="1"/>
      <w:numFmt w:val="bullet"/>
      <w:lvlText w:val=""/>
      <w:lvlJc w:val="left"/>
      <w:pPr>
        <w:ind w:left="2520" w:hanging="360"/>
      </w:pPr>
      <w:rPr>
        <w:rFonts w:ascii="Symbol" w:hAnsi="Symbol" w:hint="default"/>
      </w:rPr>
    </w:lvl>
    <w:lvl w:ilvl="4" w:tplc="241A0003" w:tentative="1">
      <w:start w:val="1"/>
      <w:numFmt w:val="bullet"/>
      <w:lvlText w:val="o"/>
      <w:lvlJc w:val="left"/>
      <w:pPr>
        <w:ind w:left="3240" w:hanging="360"/>
      </w:pPr>
      <w:rPr>
        <w:rFonts w:ascii="Courier New" w:hAnsi="Courier New" w:cs="Courier New" w:hint="default"/>
      </w:rPr>
    </w:lvl>
    <w:lvl w:ilvl="5" w:tplc="241A0005" w:tentative="1">
      <w:start w:val="1"/>
      <w:numFmt w:val="bullet"/>
      <w:lvlText w:val=""/>
      <w:lvlJc w:val="left"/>
      <w:pPr>
        <w:ind w:left="3960" w:hanging="360"/>
      </w:pPr>
      <w:rPr>
        <w:rFonts w:ascii="Wingdings" w:hAnsi="Wingdings" w:hint="default"/>
      </w:rPr>
    </w:lvl>
    <w:lvl w:ilvl="6" w:tplc="241A0001" w:tentative="1">
      <w:start w:val="1"/>
      <w:numFmt w:val="bullet"/>
      <w:lvlText w:val=""/>
      <w:lvlJc w:val="left"/>
      <w:pPr>
        <w:ind w:left="4680" w:hanging="360"/>
      </w:pPr>
      <w:rPr>
        <w:rFonts w:ascii="Symbol" w:hAnsi="Symbol" w:hint="default"/>
      </w:rPr>
    </w:lvl>
    <w:lvl w:ilvl="7" w:tplc="241A0003" w:tentative="1">
      <w:start w:val="1"/>
      <w:numFmt w:val="bullet"/>
      <w:lvlText w:val="o"/>
      <w:lvlJc w:val="left"/>
      <w:pPr>
        <w:ind w:left="5400" w:hanging="360"/>
      </w:pPr>
      <w:rPr>
        <w:rFonts w:ascii="Courier New" w:hAnsi="Courier New" w:cs="Courier New" w:hint="default"/>
      </w:rPr>
    </w:lvl>
    <w:lvl w:ilvl="8" w:tplc="241A0005" w:tentative="1">
      <w:start w:val="1"/>
      <w:numFmt w:val="bullet"/>
      <w:lvlText w:val=""/>
      <w:lvlJc w:val="left"/>
      <w:pPr>
        <w:ind w:left="6120" w:hanging="360"/>
      </w:pPr>
      <w:rPr>
        <w:rFonts w:ascii="Wingdings" w:hAnsi="Wingdings" w:hint="default"/>
      </w:rPr>
    </w:lvl>
  </w:abstractNum>
  <w:abstractNum w:abstractNumId="47" w15:restartNumberingAfterBreak="0">
    <w:nsid w:val="350B380A"/>
    <w:multiLevelType w:val="hybridMultilevel"/>
    <w:tmpl w:val="C2305E92"/>
    <w:lvl w:ilvl="0" w:tplc="0409000F">
      <w:start w:val="1"/>
      <w:numFmt w:val="decimal"/>
      <w:lvlText w:val="%1."/>
      <w:lvlJc w:val="left"/>
      <w:pPr>
        <w:ind w:left="248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367F6A45"/>
    <w:multiLevelType w:val="multilevel"/>
    <w:tmpl w:val="0436C7FE"/>
    <w:lvl w:ilvl="0">
      <w:start w:val="1"/>
      <w:numFmt w:val="decimal"/>
      <w:pStyle w:val="ListNumber1"/>
      <w:lvlText w:val="%1."/>
      <w:lvlJc w:val="left"/>
      <w:pPr>
        <w:ind w:left="360" w:hanging="360"/>
      </w:pPr>
      <w:rPr>
        <w:rFonts w:hint="default"/>
        <w:color w:val="5B9BD5" w:themeColor="accent1"/>
      </w:rPr>
    </w:lvl>
    <w:lvl w:ilvl="1">
      <w:start w:val="1"/>
      <w:numFmt w:val="decimal"/>
      <w:pStyle w:val="ListNumber21"/>
      <w:suff w:val="space"/>
      <w:lvlText w:val="%1.%2"/>
      <w:lvlJc w:val="left"/>
      <w:pPr>
        <w:ind w:left="936" w:hanging="576"/>
      </w:pPr>
      <w:rPr>
        <w:rFonts w:hint="default"/>
        <w:color w:val="5B9BD5" w:themeColor="accent1"/>
      </w:rPr>
    </w:lvl>
    <w:lvl w:ilvl="2">
      <w:start w:val="1"/>
      <w:numFmt w:val="lowerLetter"/>
      <w:pStyle w:val="ListNumber31"/>
      <w:lvlText w:val="%3."/>
      <w:lvlJc w:val="left"/>
      <w:pPr>
        <w:ind w:left="720" w:hanging="360"/>
      </w:pPr>
      <w:rPr>
        <w:rFonts w:hint="default"/>
        <w:color w:val="5B9BD5" w:themeColor="accent1"/>
      </w:rPr>
    </w:lvl>
    <w:lvl w:ilvl="3">
      <w:start w:val="1"/>
      <w:numFmt w:val="lowerRoman"/>
      <w:pStyle w:val="ListNumber41"/>
      <w:lvlText w:val="%4."/>
      <w:lvlJc w:val="left"/>
      <w:pPr>
        <w:ind w:left="1080" w:hanging="360"/>
      </w:pPr>
      <w:rPr>
        <w:rFonts w:hint="default"/>
        <w:color w:val="5B9BD5" w:themeColor="accent1"/>
      </w:rPr>
    </w:lvl>
    <w:lvl w:ilvl="4">
      <w:start w:val="1"/>
      <w:numFmt w:val="lowerLetter"/>
      <w:pStyle w:val="ListNumber51"/>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9" w15:restartNumberingAfterBreak="0">
    <w:nsid w:val="374F1C1E"/>
    <w:multiLevelType w:val="hybridMultilevel"/>
    <w:tmpl w:val="D12AD8A4"/>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37A0236D"/>
    <w:multiLevelType w:val="hybridMultilevel"/>
    <w:tmpl w:val="F6F47070"/>
    <w:lvl w:ilvl="0" w:tplc="014AD722">
      <w:start w:val="1"/>
      <w:numFmt w:val="decimal"/>
      <w:pStyle w:val="Nabrajanjemera"/>
      <w:lvlText w:val="Приоритетна мера %1."/>
      <w:lvlJc w:val="left"/>
      <w:pPr>
        <w:ind w:left="786" w:hanging="360"/>
      </w:pPr>
      <w:rPr>
        <w:rFonts w:hint="default"/>
        <w:b/>
        <w:i w:val="0"/>
        <w:smallCaps/>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38FE286B"/>
    <w:multiLevelType w:val="multilevel"/>
    <w:tmpl w:val="7E8E7DFC"/>
    <w:lvl w:ilvl="0">
      <w:start w:val="1"/>
      <w:numFmt w:val="upperRoman"/>
      <w:pStyle w:val="IFS2012naslov1"/>
      <w:lvlText w:val="%1."/>
      <w:lvlJc w:val="left"/>
      <w:pPr>
        <w:ind w:left="1080" w:hanging="720"/>
      </w:pPr>
      <w:rPr>
        <w:rFonts w:hint="default"/>
      </w:rPr>
    </w:lvl>
    <w:lvl w:ilvl="1">
      <w:start w:val="1"/>
      <w:numFmt w:val="decimal"/>
      <w:isLgl/>
      <w:lvlText w:val="%1.%2."/>
      <w:lvlJc w:val="left"/>
      <w:pPr>
        <w:ind w:left="9651"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52" w15:restartNumberingAfterBreak="0">
    <w:nsid w:val="3C0422F5"/>
    <w:multiLevelType w:val="hybridMultilevel"/>
    <w:tmpl w:val="2EDE4F3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686" w:hanging="360"/>
      </w:pPr>
    </w:lvl>
    <w:lvl w:ilvl="2" w:tplc="0409001B" w:tentative="1">
      <w:start w:val="1"/>
      <w:numFmt w:val="lowerRoman"/>
      <w:lvlText w:val="%3."/>
      <w:lvlJc w:val="right"/>
      <w:pPr>
        <w:ind w:left="34" w:hanging="180"/>
      </w:pPr>
    </w:lvl>
    <w:lvl w:ilvl="3" w:tplc="0409000F" w:tentative="1">
      <w:start w:val="1"/>
      <w:numFmt w:val="decimal"/>
      <w:lvlText w:val="%4."/>
      <w:lvlJc w:val="left"/>
      <w:pPr>
        <w:ind w:left="754" w:hanging="360"/>
      </w:pPr>
    </w:lvl>
    <w:lvl w:ilvl="4" w:tplc="04090019" w:tentative="1">
      <w:start w:val="1"/>
      <w:numFmt w:val="lowerLetter"/>
      <w:lvlText w:val="%5."/>
      <w:lvlJc w:val="left"/>
      <w:pPr>
        <w:ind w:left="1474" w:hanging="360"/>
      </w:pPr>
    </w:lvl>
    <w:lvl w:ilvl="5" w:tplc="0409001B" w:tentative="1">
      <w:start w:val="1"/>
      <w:numFmt w:val="lowerRoman"/>
      <w:lvlText w:val="%6."/>
      <w:lvlJc w:val="right"/>
      <w:pPr>
        <w:ind w:left="2194" w:hanging="180"/>
      </w:pPr>
    </w:lvl>
    <w:lvl w:ilvl="6" w:tplc="0409000F" w:tentative="1">
      <w:start w:val="1"/>
      <w:numFmt w:val="decimal"/>
      <w:lvlText w:val="%7."/>
      <w:lvlJc w:val="left"/>
      <w:pPr>
        <w:ind w:left="2914" w:hanging="360"/>
      </w:pPr>
    </w:lvl>
    <w:lvl w:ilvl="7" w:tplc="04090019" w:tentative="1">
      <w:start w:val="1"/>
      <w:numFmt w:val="lowerLetter"/>
      <w:lvlText w:val="%8."/>
      <w:lvlJc w:val="left"/>
      <w:pPr>
        <w:ind w:left="3634" w:hanging="360"/>
      </w:pPr>
    </w:lvl>
    <w:lvl w:ilvl="8" w:tplc="0409001B" w:tentative="1">
      <w:start w:val="1"/>
      <w:numFmt w:val="lowerRoman"/>
      <w:lvlText w:val="%9."/>
      <w:lvlJc w:val="right"/>
      <w:pPr>
        <w:ind w:left="4354" w:hanging="180"/>
      </w:pPr>
    </w:lvl>
  </w:abstractNum>
  <w:abstractNum w:abstractNumId="53" w15:restartNumberingAfterBreak="0">
    <w:nsid w:val="3E2B2831"/>
    <w:multiLevelType w:val="hybridMultilevel"/>
    <w:tmpl w:val="29562056"/>
    <w:lvl w:ilvl="0" w:tplc="4E42A08A">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EA2024A"/>
    <w:multiLevelType w:val="hybridMultilevel"/>
    <w:tmpl w:val="2EDE4F3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686" w:hanging="360"/>
      </w:pPr>
    </w:lvl>
    <w:lvl w:ilvl="2" w:tplc="0409001B" w:tentative="1">
      <w:start w:val="1"/>
      <w:numFmt w:val="lowerRoman"/>
      <w:lvlText w:val="%3."/>
      <w:lvlJc w:val="right"/>
      <w:pPr>
        <w:ind w:left="34" w:hanging="180"/>
      </w:pPr>
    </w:lvl>
    <w:lvl w:ilvl="3" w:tplc="0409000F" w:tentative="1">
      <w:start w:val="1"/>
      <w:numFmt w:val="decimal"/>
      <w:lvlText w:val="%4."/>
      <w:lvlJc w:val="left"/>
      <w:pPr>
        <w:ind w:left="754" w:hanging="360"/>
      </w:pPr>
    </w:lvl>
    <w:lvl w:ilvl="4" w:tplc="04090019" w:tentative="1">
      <w:start w:val="1"/>
      <w:numFmt w:val="lowerLetter"/>
      <w:lvlText w:val="%5."/>
      <w:lvlJc w:val="left"/>
      <w:pPr>
        <w:ind w:left="1474" w:hanging="360"/>
      </w:pPr>
    </w:lvl>
    <w:lvl w:ilvl="5" w:tplc="0409001B" w:tentative="1">
      <w:start w:val="1"/>
      <w:numFmt w:val="lowerRoman"/>
      <w:lvlText w:val="%6."/>
      <w:lvlJc w:val="right"/>
      <w:pPr>
        <w:ind w:left="2194" w:hanging="180"/>
      </w:pPr>
    </w:lvl>
    <w:lvl w:ilvl="6" w:tplc="0409000F" w:tentative="1">
      <w:start w:val="1"/>
      <w:numFmt w:val="decimal"/>
      <w:lvlText w:val="%7."/>
      <w:lvlJc w:val="left"/>
      <w:pPr>
        <w:ind w:left="2914" w:hanging="360"/>
      </w:pPr>
    </w:lvl>
    <w:lvl w:ilvl="7" w:tplc="04090019" w:tentative="1">
      <w:start w:val="1"/>
      <w:numFmt w:val="lowerLetter"/>
      <w:lvlText w:val="%8."/>
      <w:lvlJc w:val="left"/>
      <w:pPr>
        <w:ind w:left="3634" w:hanging="360"/>
      </w:pPr>
    </w:lvl>
    <w:lvl w:ilvl="8" w:tplc="0409001B" w:tentative="1">
      <w:start w:val="1"/>
      <w:numFmt w:val="lowerRoman"/>
      <w:lvlText w:val="%9."/>
      <w:lvlJc w:val="right"/>
      <w:pPr>
        <w:ind w:left="4354" w:hanging="180"/>
      </w:pPr>
    </w:lvl>
  </w:abstractNum>
  <w:abstractNum w:abstractNumId="55" w15:restartNumberingAfterBreak="0">
    <w:nsid w:val="3F53057D"/>
    <w:multiLevelType w:val="hybridMultilevel"/>
    <w:tmpl w:val="84D08E9E"/>
    <w:lvl w:ilvl="0" w:tplc="3BCA126A">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41552383"/>
    <w:multiLevelType w:val="hybridMultilevel"/>
    <w:tmpl w:val="121291CA"/>
    <w:lvl w:ilvl="0" w:tplc="6BB4612E">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419528A0"/>
    <w:multiLevelType w:val="hybridMultilevel"/>
    <w:tmpl w:val="86F004C2"/>
    <w:lvl w:ilvl="0" w:tplc="0409000F">
      <w:start w:val="1"/>
      <w:numFmt w:val="decimal"/>
      <w:lvlText w:val="%1."/>
      <w:lvlJc w:val="left"/>
      <w:pPr>
        <w:ind w:left="720" w:hanging="360"/>
      </w:pPr>
      <w:rPr>
        <w:rFonts w:eastAsia="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41C971A3"/>
    <w:multiLevelType w:val="hybridMultilevel"/>
    <w:tmpl w:val="2EDE4F3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686" w:hanging="360"/>
      </w:pPr>
    </w:lvl>
    <w:lvl w:ilvl="2" w:tplc="0409001B" w:tentative="1">
      <w:start w:val="1"/>
      <w:numFmt w:val="lowerRoman"/>
      <w:lvlText w:val="%3."/>
      <w:lvlJc w:val="right"/>
      <w:pPr>
        <w:ind w:left="34" w:hanging="180"/>
      </w:pPr>
    </w:lvl>
    <w:lvl w:ilvl="3" w:tplc="0409000F" w:tentative="1">
      <w:start w:val="1"/>
      <w:numFmt w:val="decimal"/>
      <w:lvlText w:val="%4."/>
      <w:lvlJc w:val="left"/>
      <w:pPr>
        <w:ind w:left="754" w:hanging="360"/>
      </w:pPr>
    </w:lvl>
    <w:lvl w:ilvl="4" w:tplc="04090019" w:tentative="1">
      <w:start w:val="1"/>
      <w:numFmt w:val="lowerLetter"/>
      <w:lvlText w:val="%5."/>
      <w:lvlJc w:val="left"/>
      <w:pPr>
        <w:ind w:left="1474" w:hanging="360"/>
      </w:pPr>
    </w:lvl>
    <w:lvl w:ilvl="5" w:tplc="0409001B" w:tentative="1">
      <w:start w:val="1"/>
      <w:numFmt w:val="lowerRoman"/>
      <w:lvlText w:val="%6."/>
      <w:lvlJc w:val="right"/>
      <w:pPr>
        <w:ind w:left="2194" w:hanging="180"/>
      </w:pPr>
    </w:lvl>
    <w:lvl w:ilvl="6" w:tplc="0409000F" w:tentative="1">
      <w:start w:val="1"/>
      <w:numFmt w:val="decimal"/>
      <w:lvlText w:val="%7."/>
      <w:lvlJc w:val="left"/>
      <w:pPr>
        <w:ind w:left="2914" w:hanging="360"/>
      </w:pPr>
    </w:lvl>
    <w:lvl w:ilvl="7" w:tplc="04090019" w:tentative="1">
      <w:start w:val="1"/>
      <w:numFmt w:val="lowerLetter"/>
      <w:lvlText w:val="%8."/>
      <w:lvlJc w:val="left"/>
      <w:pPr>
        <w:ind w:left="3634" w:hanging="360"/>
      </w:pPr>
    </w:lvl>
    <w:lvl w:ilvl="8" w:tplc="0409001B" w:tentative="1">
      <w:start w:val="1"/>
      <w:numFmt w:val="lowerRoman"/>
      <w:lvlText w:val="%9."/>
      <w:lvlJc w:val="right"/>
      <w:pPr>
        <w:ind w:left="4354" w:hanging="180"/>
      </w:pPr>
    </w:lvl>
  </w:abstractNum>
  <w:abstractNum w:abstractNumId="59" w15:restartNumberingAfterBreak="0">
    <w:nsid w:val="429648D6"/>
    <w:multiLevelType w:val="hybridMultilevel"/>
    <w:tmpl w:val="C31468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42F61F1E"/>
    <w:multiLevelType w:val="hybridMultilevel"/>
    <w:tmpl w:val="DAC40EF6"/>
    <w:lvl w:ilvl="0" w:tplc="3F201720">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4330417C"/>
    <w:multiLevelType w:val="hybridMultilevel"/>
    <w:tmpl w:val="F3A49B5A"/>
    <w:lvl w:ilvl="0" w:tplc="FC1691C4">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434F6A99"/>
    <w:multiLevelType w:val="hybridMultilevel"/>
    <w:tmpl w:val="29C4C88A"/>
    <w:lvl w:ilvl="0" w:tplc="3BCA126A">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3A85611"/>
    <w:multiLevelType w:val="multilevel"/>
    <w:tmpl w:val="18667D1A"/>
    <w:lvl w:ilvl="0">
      <w:start w:val="1"/>
      <w:numFmt w:val="decimal"/>
      <w:pStyle w:val="NumPar1"/>
      <w:lvlText w:val="%1."/>
      <w:lvlJc w:val="left"/>
      <w:pPr>
        <w:tabs>
          <w:tab w:val="num" w:pos="850"/>
        </w:tabs>
        <w:ind w:left="850" w:hanging="850"/>
      </w:pPr>
      <w:rPr>
        <w:rFonts w:cs="Times New Roman"/>
      </w:rPr>
    </w:lvl>
    <w:lvl w:ilvl="1">
      <w:start w:val="1"/>
      <w:numFmt w:val="decimal"/>
      <w:pStyle w:val="NumPar2"/>
      <w:lvlText w:val="%1.%2."/>
      <w:lvlJc w:val="left"/>
      <w:pPr>
        <w:tabs>
          <w:tab w:val="num" w:pos="850"/>
        </w:tabs>
        <w:ind w:left="850" w:hanging="850"/>
      </w:pPr>
      <w:rPr>
        <w:rFonts w:cs="Times New Roman"/>
      </w:rPr>
    </w:lvl>
    <w:lvl w:ilvl="2">
      <w:start w:val="1"/>
      <w:numFmt w:val="decimal"/>
      <w:pStyle w:val="NumPar3"/>
      <w:lvlText w:val="%1.%2.%3."/>
      <w:lvlJc w:val="left"/>
      <w:pPr>
        <w:tabs>
          <w:tab w:val="num" w:pos="850"/>
        </w:tabs>
        <w:ind w:left="850" w:hanging="850"/>
      </w:pPr>
      <w:rPr>
        <w:rFonts w:cs="Times New Roman"/>
      </w:rPr>
    </w:lvl>
    <w:lvl w:ilvl="3">
      <w:start w:val="1"/>
      <w:numFmt w:val="decimal"/>
      <w:pStyle w:val="NumPar4"/>
      <w:lvlText w:val="%1.%2.%3.%4."/>
      <w:lvlJc w:val="left"/>
      <w:pPr>
        <w:tabs>
          <w:tab w:val="num" w:pos="850"/>
        </w:tabs>
        <w:ind w:left="850" w:hanging="85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64" w15:restartNumberingAfterBreak="0">
    <w:nsid w:val="43F43133"/>
    <w:multiLevelType w:val="hybridMultilevel"/>
    <w:tmpl w:val="4DF8873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5" w15:restartNumberingAfterBreak="0">
    <w:nsid w:val="459233CB"/>
    <w:multiLevelType w:val="hybridMultilevel"/>
    <w:tmpl w:val="48461ADC"/>
    <w:lvl w:ilvl="0" w:tplc="DBFE5B7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47856B31"/>
    <w:multiLevelType w:val="hybridMultilevel"/>
    <w:tmpl w:val="23003A7A"/>
    <w:lvl w:ilvl="0" w:tplc="0409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7" w15:restartNumberingAfterBreak="0">
    <w:nsid w:val="487A2351"/>
    <w:multiLevelType w:val="hybridMultilevel"/>
    <w:tmpl w:val="2EDE4F3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686" w:hanging="360"/>
      </w:pPr>
    </w:lvl>
    <w:lvl w:ilvl="2" w:tplc="0409001B" w:tentative="1">
      <w:start w:val="1"/>
      <w:numFmt w:val="lowerRoman"/>
      <w:lvlText w:val="%3."/>
      <w:lvlJc w:val="right"/>
      <w:pPr>
        <w:ind w:left="34" w:hanging="180"/>
      </w:pPr>
    </w:lvl>
    <w:lvl w:ilvl="3" w:tplc="0409000F" w:tentative="1">
      <w:start w:val="1"/>
      <w:numFmt w:val="decimal"/>
      <w:lvlText w:val="%4."/>
      <w:lvlJc w:val="left"/>
      <w:pPr>
        <w:ind w:left="754" w:hanging="360"/>
      </w:pPr>
    </w:lvl>
    <w:lvl w:ilvl="4" w:tplc="04090019" w:tentative="1">
      <w:start w:val="1"/>
      <w:numFmt w:val="lowerLetter"/>
      <w:lvlText w:val="%5."/>
      <w:lvlJc w:val="left"/>
      <w:pPr>
        <w:ind w:left="1474" w:hanging="360"/>
      </w:pPr>
    </w:lvl>
    <w:lvl w:ilvl="5" w:tplc="0409001B" w:tentative="1">
      <w:start w:val="1"/>
      <w:numFmt w:val="lowerRoman"/>
      <w:lvlText w:val="%6."/>
      <w:lvlJc w:val="right"/>
      <w:pPr>
        <w:ind w:left="2194" w:hanging="180"/>
      </w:pPr>
    </w:lvl>
    <w:lvl w:ilvl="6" w:tplc="0409000F" w:tentative="1">
      <w:start w:val="1"/>
      <w:numFmt w:val="decimal"/>
      <w:lvlText w:val="%7."/>
      <w:lvlJc w:val="left"/>
      <w:pPr>
        <w:ind w:left="2914" w:hanging="360"/>
      </w:pPr>
    </w:lvl>
    <w:lvl w:ilvl="7" w:tplc="04090019" w:tentative="1">
      <w:start w:val="1"/>
      <w:numFmt w:val="lowerLetter"/>
      <w:lvlText w:val="%8."/>
      <w:lvlJc w:val="left"/>
      <w:pPr>
        <w:ind w:left="3634" w:hanging="360"/>
      </w:pPr>
    </w:lvl>
    <w:lvl w:ilvl="8" w:tplc="0409001B" w:tentative="1">
      <w:start w:val="1"/>
      <w:numFmt w:val="lowerRoman"/>
      <w:lvlText w:val="%9."/>
      <w:lvlJc w:val="right"/>
      <w:pPr>
        <w:ind w:left="4354" w:hanging="180"/>
      </w:pPr>
    </w:lvl>
  </w:abstractNum>
  <w:abstractNum w:abstractNumId="68" w15:restartNumberingAfterBreak="0">
    <w:nsid w:val="48B7578D"/>
    <w:multiLevelType w:val="hybridMultilevel"/>
    <w:tmpl w:val="1EB2F07E"/>
    <w:lvl w:ilvl="0" w:tplc="3BCA126A">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C017860"/>
    <w:multiLevelType w:val="hybridMultilevel"/>
    <w:tmpl w:val="2EDE4F3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686" w:hanging="360"/>
      </w:pPr>
    </w:lvl>
    <w:lvl w:ilvl="2" w:tplc="0409001B" w:tentative="1">
      <w:start w:val="1"/>
      <w:numFmt w:val="lowerRoman"/>
      <w:lvlText w:val="%3."/>
      <w:lvlJc w:val="right"/>
      <w:pPr>
        <w:ind w:left="34" w:hanging="180"/>
      </w:pPr>
    </w:lvl>
    <w:lvl w:ilvl="3" w:tplc="0409000F" w:tentative="1">
      <w:start w:val="1"/>
      <w:numFmt w:val="decimal"/>
      <w:lvlText w:val="%4."/>
      <w:lvlJc w:val="left"/>
      <w:pPr>
        <w:ind w:left="754" w:hanging="360"/>
      </w:pPr>
    </w:lvl>
    <w:lvl w:ilvl="4" w:tplc="04090019" w:tentative="1">
      <w:start w:val="1"/>
      <w:numFmt w:val="lowerLetter"/>
      <w:lvlText w:val="%5."/>
      <w:lvlJc w:val="left"/>
      <w:pPr>
        <w:ind w:left="1474" w:hanging="360"/>
      </w:pPr>
    </w:lvl>
    <w:lvl w:ilvl="5" w:tplc="0409001B" w:tentative="1">
      <w:start w:val="1"/>
      <w:numFmt w:val="lowerRoman"/>
      <w:lvlText w:val="%6."/>
      <w:lvlJc w:val="right"/>
      <w:pPr>
        <w:ind w:left="2194" w:hanging="180"/>
      </w:pPr>
    </w:lvl>
    <w:lvl w:ilvl="6" w:tplc="0409000F" w:tentative="1">
      <w:start w:val="1"/>
      <w:numFmt w:val="decimal"/>
      <w:lvlText w:val="%7."/>
      <w:lvlJc w:val="left"/>
      <w:pPr>
        <w:ind w:left="2914" w:hanging="360"/>
      </w:pPr>
    </w:lvl>
    <w:lvl w:ilvl="7" w:tplc="04090019" w:tentative="1">
      <w:start w:val="1"/>
      <w:numFmt w:val="lowerLetter"/>
      <w:lvlText w:val="%8."/>
      <w:lvlJc w:val="left"/>
      <w:pPr>
        <w:ind w:left="3634" w:hanging="360"/>
      </w:pPr>
    </w:lvl>
    <w:lvl w:ilvl="8" w:tplc="0409001B" w:tentative="1">
      <w:start w:val="1"/>
      <w:numFmt w:val="lowerRoman"/>
      <w:lvlText w:val="%9."/>
      <w:lvlJc w:val="right"/>
      <w:pPr>
        <w:ind w:left="4354" w:hanging="180"/>
      </w:pPr>
    </w:lvl>
  </w:abstractNum>
  <w:abstractNum w:abstractNumId="70" w15:restartNumberingAfterBreak="0">
    <w:nsid w:val="4C773C62"/>
    <w:multiLevelType w:val="hybridMultilevel"/>
    <w:tmpl w:val="359E55D0"/>
    <w:lvl w:ilvl="0" w:tplc="241A000F">
      <w:start w:val="1"/>
      <w:numFmt w:val="decimal"/>
      <w:lvlText w:val="%1."/>
      <w:lvlJc w:val="left"/>
      <w:pPr>
        <w:ind w:left="360" w:hanging="360"/>
      </w:pPr>
      <w:rPr>
        <w:rFonts w:hint="default"/>
      </w:rPr>
    </w:lvl>
    <w:lvl w:ilvl="1" w:tplc="241A0019" w:tentative="1">
      <w:start w:val="1"/>
      <w:numFmt w:val="lowerLetter"/>
      <w:lvlText w:val="%2."/>
      <w:lvlJc w:val="left"/>
      <w:pPr>
        <w:ind w:left="1080" w:hanging="360"/>
      </w:pPr>
    </w:lvl>
    <w:lvl w:ilvl="2" w:tplc="241A001B" w:tentative="1">
      <w:start w:val="1"/>
      <w:numFmt w:val="lowerRoman"/>
      <w:lvlText w:val="%3."/>
      <w:lvlJc w:val="right"/>
      <w:pPr>
        <w:ind w:left="1800" w:hanging="180"/>
      </w:pPr>
    </w:lvl>
    <w:lvl w:ilvl="3" w:tplc="241A000F" w:tentative="1">
      <w:start w:val="1"/>
      <w:numFmt w:val="decimal"/>
      <w:lvlText w:val="%4."/>
      <w:lvlJc w:val="left"/>
      <w:pPr>
        <w:ind w:left="2520" w:hanging="360"/>
      </w:pPr>
    </w:lvl>
    <w:lvl w:ilvl="4" w:tplc="241A0019" w:tentative="1">
      <w:start w:val="1"/>
      <w:numFmt w:val="lowerLetter"/>
      <w:lvlText w:val="%5."/>
      <w:lvlJc w:val="left"/>
      <w:pPr>
        <w:ind w:left="3240" w:hanging="360"/>
      </w:pPr>
    </w:lvl>
    <w:lvl w:ilvl="5" w:tplc="241A001B" w:tentative="1">
      <w:start w:val="1"/>
      <w:numFmt w:val="lowerRoman"/>
      <w:lvlText w:val="%6."/>
      <w:lvlJc w:val="right"/>
      <w:pPr>
        <w:ind w:left="3960" w:hanging="180"/>
      </w:pPr>
    </w:lvl>
    <w:lvl w:ilvl="6" w:tplc="241A000F" w:tentative="1">
      <w:start w:val="1"/>
      <w:numFmt w:val="decimal"/>
      <w:lvlText w:val="%7."/>
      <w:lvlJc w:val="left"/>
      <w:pPr>
        <w:ind w:left="4680" w:hanging="360"/>
      </w:pPr>
    </w:lvl>
    <w:lvl w:ilvl="7" w:tplc="241A0019" w:tentative="1">
      <w:start w:val="1"/>
      <w:numFmt w:val="lowerLetter"/>
      <w:lvlText w:val="%8."/>
      <w:lvlJc w:val="left"/>
      <w:pPr>
        <w:ind w:left="5400" w:hanging="360"/>
      </w:pPr>
    </w:lvl>
    <w:lvl w:ilvl="8" w:tplc="241A001B" w:tentative="1">
      <w:start w:val="1"/>
      <w:numFmt w:val="lowerRoman"/>
      <w:lvlText w:val="%9."/>
      <w:lvlJc w:val="right"/>
      <w:pPr>
        <w:ind w:left="6120" w:hanging="180"/>
      </w:pPr>
    </w:lvl>
  </w:abstractNum>
  <w:abstractNum w:abstractNumId="71" w15:restartNumberingAfterBreak="0">
    <w:nsid w:val="4DBC6040"/>
    <w:multiLevelType w:val="hybridMultilevel"/>
    <w:tmpl w:val="66CAD012"/>
    <w:lvl w:ilvl="0" w:tplc="9A5088CC">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508E1EBC"/>
    <w:multiLevelType w:val="hybridMultilevel"/>
    <w:tmpl w:val="9CC47A1A"/>
    <w:lvl w:ilvl="0" w:tplc="702249F6">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3" w15:restartNumberingAfterBreak="0">
    <w:nsid w:val="50B56B20"/>
    <w:multiLevelType w:val="hybridMultilevel"/>
    <w:tmpl w:val="C2305E92"/>
    <w:lvl w:ilvl="0" w:tplc="0409000F">
      <w:start w:val="1"/>
      <w:numFmt w:val="decimal"/>
      <w:lvlText w:val="%1."/>
      <w:lvlJc w:val="left"/>
      <w:pPr>
        <w:ind w:left="248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514469D8"/>
    <w:multiLevelType w:val="hybridMultilevel"/>
    <w:tmpl w:val="C2305E92"/>
    <w:lvl w:ilvl="0" w:tplc="0409000F">
      <w:start w:val="1"/>
      <w:numFmt w:val="decimal"/>
      <w:lvlText w:val="%1."/>
      <w:lvlJc w:val="left"/>
      <w:pPr>
        <w:ind w:left="248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561C3BB2"/>
    <w:multiLevelType w:val="hybridMultilevel"/>
    <w:tmpl w:val="CE867B22"/>
    <w:lvl w:ilvl="0" w:tplc="3BCA126A">
      <w:start w:val="1"/>
      <w:numFmt w:val="bullet"/>
      <w:lvlText w:val=""/>
      <w:lvlJc w:val="left"/>
      <w:pPr>
        <w:ind w:left="1440" w:hanging="360"/>
      </w:pPr>
      <w:rPr>
        <w:rFonts w:ascii="Symbol" w:hAnsi="Symbol" w:hint="default"/>
        <w:color w:val="auto"/>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76" w15:restartNumberingAfterBreak="0">
    <w:nsid w:val="570A6773"/>
    <w:multiLevelType w:val="hybridMultilevel"/>
    <w:tmpl w:val="C31468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574E1524"/>
    <w:multiLevelType w:val="hybridMultilevel"/>
    <w:tmpl w:val="5D9CAC56"/>
    <w:lvl w:ilvl="0" w:tplc="241A0005">
      <w:start w:val="1"/>
      <w:numFmt w:val="bullet"/>
      <w:lvlText w:val=""/>
      <w:lvlJc w:val="left"/>
      <w:pPr>
        <w:ind w:left="360" w:hanging="360"/>
      </w:pPr>
      <w:rPr>
        <w:rFonts w:ascii="Wingdings" w:hAnsi="Wingdings" w:hint="default"/>
      </w:rPr>
    </w:lvl>
    <w:lvl w:ilvl="1" w:tplc="AF3E70D4">
      <w:numFmt w:val="bullet"/>
      <w:lvlText w:val="•"/>
      <w:lvlJc w:val="left"/>
      <w:pPr>
        <w:ind w:left="1440" w:hanging="720"/>
      </w:pPr>
      <w:rPr>
        <w:rFonts w:ascii="Times New Roman" w:eastAsia="MS PGothic" w:hAnsi="Times New Roman" w:cs="Times New Roman" w:hint="default"/>
      </w:rPr>
    </w:lvl>
    <w:lvl w:ilvl="2" w:tplc="CAB2BA68">
      <w:numFmt w:val="bullet"/>
      <w:lvlText w:val=""/>
      <w:lvlJc w:val="left"/>
      <w:pPr>
        <w:ind w:left="2160" w:hanging="720"/>
      </w:pPr>
      <w:rPr>
        <w:rFonts w:ascii="Symbol" w:eastAsia="MS PGothic" w:hAnsi="Symbol" w:cs="Times New Roman" w:hint="default"/>
      </w:rPr>
    </w:lvl>
    <w:lvl w:ilvl="3" w:tplc="241A0001" w:tentative="1">
      <w:start w:val="1"/>
      <w:numFmt w:val="bullet"/>
      <w:lvlText w:val=""/>
      <w:lvlJc w:val="left"/>
      <w:pPr>
        <w:ind w:left="2520" w:hanging="360"/>
      </w:pPr>
      <w:rPr>
        <w:rFonts w:ascii="Symbol" w:hAnsi="Symbol" w:hint="default"/>
      </w:rPr>
    </w:lvl>
    <w:lvl w:ilvl="4" w:tplc="241A0003" w:tentative="1">
      <w:start w:val="1"/>
      <w:numFmt w:val="bullet"/>
      <w:lvlText w:val="o"/>
      <w:lvlJc w:val="left"/>
      <w:pPr>
        <w:ind w:left="3240" w:hanging="360"/>
      </w:pPr>
      <w:rPr>
        <w:rFonts w:ascii="Courier New" w:hAnsi="Courier New" w:cs="Courier New" w:hint="default"/>
      </w:rPr>
    </w:lvl>
    <w:lvl w:ilvl="5" w:tplc="241A0005" w:tentative="1">
      <w:start w:val="1"/>
      <w:numFmt w:val="bullet"/>
      <w:lvlText w:val=""/>
      <w:lvlJc w:val="left"/>
      <w:pPr>
        <w:ind w:left="3960" w:hanging="360"/>
      </w:pPr>
      <w:rPr>
        <w:rFonts w:ascii="Wingdings" w:hAnsi="Wingdings" w:hint="default"/>
      </w:rPr>
    </w:lvl>
    <w:lvl w:ilvl="6" w:tplc="241A0001" w:tentative="1">
      <w:start w:val="1"/>
      <w:numFmt w:val="bullet"/>
      <w:lvlText w:val=""/>
      <w:lvlJc w:val="left"/>
      <w:pPr>
        <w:ind w:left="4680" w:hanging="360"/>
      </w:pPr>
      <w:rPr>
        <w:rFonts w:ascii="Symbol" w:hAnsi="Symbol" w:hint="default"/>
      </w:rPr>
    </w:lvl>
    <w:lvl w:ilvl="7" w:tplc="241A0003" w:tentative="1">
      <w:start w:val="1"/>
      <w:numFmt w:val="bullet"/>
      <w:lvlText w:val="o"/>
      <w:lvlJc w:val="left"/>
      <w:pPr>
        <w:ind w:left="5400" w:hanging="360"/>
      </w:pPr>
      <w:rPr>
        <w:rFonts w:ascii="Courier New" w:hAnsi="Courier New" w:cs="Courier New" w:hint="default"/>
      </w:rPr>
    </w:lvl>
    <w:lvl w:ilvl="8" w:tplc="241A0005" w:tentative="1">
      <w:start w:val="1"/>
      <w:numFmt w:val="bullet"/>
      <w:lvlText w:val=""/>
      <w:lvlJc w:val="left"/>
      <w:pPr>
        <w:ind w:left="6120" w:hanging="360"/>
      </w:pPr>
      <w:rPr>
        <w:rFonts w:ascii="Wingdings" w:hAnsi="Wingdings" w:hint="default"/>
      </w:rPr>
    </w:lvl>
  </w:abstractNum>
  <w:abstractNum w:abstractNumId="78" w15:restartNumberingAfterBreak="0">
    <w:nsid w:val="5A8B3F70"/>
    <w:multiLevelType w:val="hybridMultilevel"/>
    <w:tmpl w:val="3730B9B0"/>
    <w:lvl w:ilvl="0" w:tplc="0428BEC8">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5ABC268D"/>
    <w:multiLevelType w:val="hybridMultilevel"/>
    <w:tmpl w:val="68BEB0BC"/>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80" w15:restartNumberingAfterBreak="0">
    <w:nsid w:val="64A5633F"/>
    <w:multiLevelType w:val="hybridMultilevel"/>
    <w:tmpl w:val="EBCE0320"/>
    <w:lvl w:ilvl="0" w:tplc="AD4A6610">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64EA3600"/>
    <w:multiLevelType w:val="hybridMultilevel"/>
    <w:tmpl w:val="AB4280A2"/>
    <w:lvl w:ilvl="0" w:tplc="AD4A6610">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65FC475C"/>
    <w:multiLevelType w:val="hybridMultilevel"/>
    <w:tmpl w:val="55E83B90"/>
    <w:lvl w:ilvl="0" w:tplc="241A000F">
      <w:start w:val="1"/>
      <w:numFmt w:val="decimal"/>
      <w:lvlText w:val="%1."/>
      <w:lvlJc w:val="left"/>
      <w:pPr>
        <w:ind w:left="720" w:hanging="360"/>
      </w:p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83" w15:restartNumberingAfterBreak="0">
    <w:nsid w:val="66046B57"/>
    <w:multiLevelType w:val="hybridMultilevel"/>
    <w:tmpl w:val="C2305E92"/>
    <w:lvl w:ilvl="0" w:tplc="0409000F">
      <w:start w:val="1"/>
      <w:numFmt w:val="decimal"/>
      <w:lvlText w:val="%1."/>
      <w:lvlJc w:val="left"/>
      <w:pPr>
        <w:ind w:left="248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66477105"/>
    <w:multiLevelType w:val="hybridMultilevel"/>
    <w:tmpl w:val="1E981E7C"/>
    <w:lvl w:ilvl="0" w:tplc="711495E4">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66727D74"/>
    <w:multiLevelType w:val="hybridMultilevel"/>
    <w:tmpl w:val="C2305E92"/>
    <w:lvl w:ilvl="0" w:tplc="0409000F">
      <w:start w:val="1"/>
      <w:numFmt w:val="decimal"/>
      <w:lvlText w:val="%1."/>
      <w:lvlJc w:val="left"/>
      <w:pPr>
        <w:ind w:left="248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688F7692"/>
    <w:multiLevelType w:val="hybridMultilevel"/>
    <w:tmpl w:val="12D843CE"/>
    <w:lvl w:ilvl="0" w:tplc="0409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7" w15:restartNumberingAfterBreak="0">
    <w:nsid w:val="689A278D"/>
    <w:multiLevelType w:val="hybridMultilevel"/>
    <w:tmpl w:val="2CA41BF0"/>
    <w:lvl w:ilvl="0" w:tplc="04090001">
      <w:start w:val="1"/>
      <w:numFmt w:val="bullet"/>
      <w:pStyle w:val="ListNumber4"/>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AA75434"/>
    <w:multiLevelType w:val="hybridMultilevel"/>
    <w:tmpl w:val="1F682A80"/>
    <w:lvl w:ilvl="0" w:tplc="1DFCD06E">
      <w:start w:val="1"/>
      <w:numFmt w:val="bullet"/>
      <w:lvlText w:val=""/>
      <w:lvlJc w:val="left"/>
      <w:pPr>
        <w:ind w:left="720" w:hanging="360"/>
      </w:pPr>
      <w:rPr>
        <w:rFonts w:ascii="Wingdings" w:hAnsi="Wingdings" w:hint="default"/>
        <w:color w:val="44546A" w:themeColor="text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AC3168B"/>
    <w:multiLevelType w:val="hybridMultilevel"/>
    <w:tmpl w:val="149C043E"/>
    <w:lvl w:ilvl="0" w:tplc="702249F6">
      <w:start w:val="1"/>
      <w:numFmt w:val="bullet"/>
      <w:lvlText w:val=""/>
      <w:lvlJc w:val="left"/>
      <w:pPr>
        <w:ind w:left="360" w:hanging="360"/>
      </w:pPr>
      <w:rPr>
        <w:rFonts w:ascii="Symbol" w:hAnsi="Symbol" w:hint="default"/>
      </w:rPr>
    </w:lvl>
    <w:lvl w:ilvl="1" w:tplc="241A0003" w:tentative="1">
      <w:start w:val="1"/>
      <w:numFmt w:val="bullet"/>
      <w:lvlText w:val="o"/>
      <w:lvlJc w:val="left"/>
      <w:pPr>
        <w:ind w:left="1080" w:hanging="360"/>
      </w:pPr>
      <w:rPr>
        <w:rFonts w:ascii="Courier New" w:hAnsi="Courier New" w:cs="Courier New" w:hint="default"/>
      </w:rPr>
    </w:lvl>
    <w:lvl w:ilvl="2" w:tplc="241A0005" w:tentative="1">
      <w:start w:val="1"/>
      <w:numFmt w:val="bullet"/>
      <w:lvlText w:val=""/>
      <w:lvlJc w:val="left"/>
      <w:pPr>
        <w:ind w:left="1800" w:hanging="360"/>
      </w:pPr>
      <w:rPr>
        <w:rFonts w:ascii="Wingdings" w:hAnsi="Wingdings" w:hint="default"/>
      </w:rPr>
    </w:lvl>
    <w:lvl w:ilvl="3" w:tplc="241A0001" w:tentative="1">
      <w:start w:val="1"/>
      <w:numFmt w:val="bullet"/>
      <w:lvlText w:val=""/>
      <w:lvlJc w:val="left"/>
      <w:pPr>
        <w:ind w:left="2520" w:hanging="360"/>
      </w:pPr>
      <w:rPr>
        <w:rFonts w:ascii="Symbol" w:hAnsi="Symbol" w:hint="default"/>
      </w:rPr>
    </w:lvl>
    <w:lvl w:ilvl="4" w:tplc="241A0003" w:tentative="1">
      <w:start w:val="1"/>
      <w:numFmt w:val="bullet"/>
      <w:lvlText w:val="o"/>
      <w:lvlJc w:val="left"/>
      <w:pPr>
        <w:ind w:left="3240" w:hanging="360"/>
      </w:pPr>
      <w:rPr>
        <w:rFonts w:ascii="Courier New" w:hAnsi="Courier New" w:cs="Courier New" w:hint="default"/>
      </w:rPr>
    </w:lvl>
    <w:lvl w:ilvl="5" w:tplc="241A0005" w:tentative="1">
      <w:start w:val="1"/>
      <w:numFmt w:val="bullet"/>
      <w:lvlText w:val=""/>
      <w:lvlJc w:val="left"/>
      <w:pPr>
        <w:ind w:left="3960" w:hanging="360"/>
      </w:pPr>
      <w:rPr>
        <w:rFonts w:ascii="Wingdings" w:hAnsi="Wingdings" w:hint="default"/>
      </w:rPr>
    </w:lvl>
    <w:lvl w:ilvl="6" w:tplc="241A0001" w:tentative="1">
      <w:start w:val="1"/>
      <w:numFmt w:val="bullet"/>
      <w:lvlText w:val=""/>
      <w:lvlJc w:val="left"/>
      <w:pPr>
        <w:ind w:left="4680" w:hanging="360"/>
      </w:pPr>
      <w:rPr>
        <w:rFonts w:ascii="Symbol" w:hAnsi="Symbol" w:hint="default"/>
      </w:rPr>
    </w:lvl>
    <w:lvl w:ilvl="7" w:tplc="241A0003" w:tentative="1">
      <w:start w:val="1"/>
      <w:numFmt w:val="bullet"/>
      <w:lvlText w:val="o"/>
      <w:lvlJc w:val="left"/>
      <w:pPr>
        <w:ind w:left="5400" w:hanging="360"/>
      </w:pPr>
      <w:rPr>
        <w:rFonts w:ascii="Courier New" w:hAnsi="Courier New" w:cs="Courier New" w:hint="default"/>
      </w:rPr>
    </w:lvl>
    <w:lvl w:ilvl="8" w:tplc="241A0005" w:tentative="1">
      <w:start w:val="1"/>
      <w:numFmt w:val="bullet"/>
      <w:lvlText w:val=""/>
      <w:lvlJc w:val="left"/>
      <w:pPr>
        <w:ind w:left="6120" w:hanging="360"/>
      </w:pPr>
      <w:rPr>
        <w:rFonts w:ascii="Wingdings" w:hAnsi="Wingdings" w:hint="default"/>
      </w:rPr>
    </w:lvl>
  </w:abstractNum>
  <w:abstractNum w:abstractNumId="90" w15:restartNumberingAfterBreak="0">
    <w:nsid w:val="6AC840EF"/>
    <w:multiLevelType w:val="hybridMultilevel"/>
    <w:tmpl w:val="9A94ABCE"/>
    <w:lvl w:ilvl="0" w:tplc="4E42A08A">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6ACC5734"/>
    <w:multiLevelType w:val="hybridMultilevel"/>
    <w:tmpl w:val="C2305E92"/>
    <w:lvl w:ilvl="0" w:tplc="0409000F">
      <w:start w:val="1"/>
      <w:numFmt w:val="decimal"/>
      <w:lvlText w:val="%1."/>
      <w:lvlJc w:val="left"/>
      <w:pPr>
        <w:ind w:left="248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6B421B76"/>
    <w:multiLevelType w:val="hybridMultilevel"/>
    <w:tmpl w:val="44669088"/>
    <w:lvl w:ilvl="0" w:tplc="04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6ECE33A1"/>
    <w:multiLevelType w:val="hybridMultilevel"/>
    <w:tmpl w:val="C31468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6EDF3AE9"/>
    <w:multiLevelType w:val="hybridMultilevel"/>
    <w:tmpl w:val="062C15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6F1F576D"/>
    <w:multiLevelType w:val="hybridMultilevel"/>
    <w:tmpl w:val="5F86367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6F973EF6"/>
    <w:multiLevelType w:val="hybridMultilevel"/>
    <w:tmpl w:val="292AA370"/>
    <w:lvl w:ilvl="0" w:tplc="3BCA126A">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72B43359"/>
    <w:multiLevelType w:val="hybridMultilevel"/>
    <w:tmpl w:val="C31468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72D814AA"/>
    <w:multiLevelType w:val="hybridMultilevel"/>
    <w:tmpl w:val="7E88A552"/>
    <w:lvl w:ilvl="0" w:tplc="CDBC3A00">
      <w:start w:val="1"/>
      <w:numFmt w:val="decimal"/>
      <w:lvlText w:val="%1."/>
      <w:lvlJc w:val="left"/>
      <w:pPr>
        <w:ind w:left="360" w:hanging="360"/>
      </w:pPr>
      <w:rPr>
        <w:rFonts w:hint="default"/>
      </w:rPr>
    </w:lvl>
    <w:lvl w:ilvl="1" w:tplc="04090019" w:tentative="1">
      <w:start w:val="1"/>
      <w:numFmt w:val="lowerLetter"/>
      <w:lvlText w:val="%2."/>
      <w:lvlJc w:val="left"/>
      <w:pPr>
        <w:ind w:left="-686" w:hanging="360"/>
      </w:pPr>
    </w:lvl>
    <w:lvl w:ilvl="2" w:tplc="0409001B" w:tentative="1">
      <w:start w:val="1"/>
      <w:numFmt w:val="lowerRoman"/>
      <w:lvlText w:val="%3."/>
      <w:lvlJc w:val="right"/>
      <w:pPr>
        <w:ind w:left="34" w:hanging="180"/>
      </w:pPr>
    </w:lvl>
    <w:lvl w:ilvl="3" w:tplc="0409000F" w:tentative="1">
      <w:start w:val="1"/>
      <w:numFmt w:val="decimal"/>
      <w:lvlText w:val="%4."/>
      <w:lvlJc w:val="left"/>
      <w:pPr>
        <w:ind w:left="754" w:hanging="360"/>
      </w:pPr>
    </w:lvl>
    <w:lvl w:ilvl="4" w:tplc="04090019" w:tentative="1">
      <w:start w:val="1"/>
      <w:numFmt w:val="lowerLetter"/>
      <w:lvlText w:val="%5."/>
      <w:lvlJc w:val="left"/>
      <w:pPr>
        <w:ind w:left="1474" w:hanging="360"/>
      </w:pPr>
    </w:lvl>
    <w:lvl w:ilvl="5" w:tplc="0409001B" w:tentative="1">
      <w:start w:val="1"/>
      <w:numFmt w:val="lowerRoman"/>
      <w:lvlText w:val="%6."/>
      <w:lvlJc w:val="right"/>
      <w:pPr>
        <w:ind w:left="2194" w:hanging="180"/>
      </w:pPr>
    </w:lvl>
    <w:lvl w:ilvl="6" w:tplc="0409000F" w:tentative="1">
      <w:start w:val="1"/>
      <w:numFmt w:val="decimal"/>
      <w:lvlText w:val="%7."/>
      <w:lvlJc w:val="left"/>
      <w:pPr>
        <w:ind w:left="2914" w:hanging="360"/>
      </w:pPr>
    </w:lvl>
    <w:lvl w:ilvl="7" w:tplc="04090019" w:tentative="1">
      <w:start w:val="1"/>
      <w:numFmt w:val="lowerLetter"/>
      <w:lvlText w:val="%8."/>
      <w:lvlJc w:val="left"/>
      <w:pPr>
        <w:ind w:left="3634" w:hanging="360"/>
      </w:pPr>
    </w:lvl>
    <w:lvl w:ilvl="8" w:tplc="0409001B" w:tentative="1">
      <w:start w:val="1"/>
      <w:numFmt w:val="lowerRoman"/>
      <w:lvlText w:val="%9."/>
      <w:lvlJc w:val="right"/>
      <w:pPr>
        <w:ind w:left="4354" w:hanging="180"/>
      </w:pPr>
    </w:lvl>
  </w:abstractNum>
  <w:abstractNum w:abstractNumId="99" w15:restartNumberingAfterBreak="0">
    <w:nsid w:val="79B73D7F"/>
    <w:multiLevelType w:val="hybridMultilevel"/>
    <w:tmpl w:val="E4A2CD30"/>
    <w:lvl w:ilvl="0" w:tplc="0409000D">
      <w:start w:val="1"/>
      <w:numFmt w:val="bullet"/>
      <w:lvlText w:val=""/>
      <w:lvlJc w:val="left"/>
      <w:pPr>
        <w:ind w:left="1080" w:hanging="360"/>
      </w:pPr>
      <w:rPr>
        <w:rFonts w:ascii="Wingdings" w:hAnsi="Wingdings" w:hint="default"/>
      </w:rPr>
    </w:lvl>
    <w:lvl w:ilvl="1" w:tplc="281A0003" w:tentative="1">
      <w:start w:val="1"/>
      <w:numFmt w:val="bullet"/>
      <w:lvlText w:val="o"/>
      <w:lvlJc w:val="left"/>
      <w:pPr>
        <w:ind w:left="1800" w:hanging="360"/>
      </w:pPr>
      <w:rPr>
        <w:rFonts w:ascii="Courier New" w:hAnsi="Courier New" w:cs="Courier New" w:hint="default"/>
      </w:rPr>
    </w:lvl>
    <w:lvl w:ilvl="2" w:tplc="281A0005" w:tentative="1">
      <w:start w:val="1"/>
      <w:numFmt w:val="bullet"/>
      <w:lvlText w:val=""/>
      <w:lvlJc w:val="left"/>
      <w:pPr>
        <w:ind w:left="2520" w:hanging="360"/>
      </w:pPr>
      <w:rPr>
        <w:rFonts w:ascii="Wingdings" w:hAnsi="Wingdings" w:hint="default"/>
      </w:rPr>
    </w:lvl>
    <w:lvl w:ilvl="3" w:tplc="281A0001" w:tentative="1">
      <w:start w:val="1"/>
      <w:numFmt w:val="bullet"/>
      <w:lvlText w:val=""/>
      <w:lvlJc w:val="left"/>
      <w:pPr>
        <w:ind w:left="3240" w:hanging="360"/>
      </w:pPr>
      <w:rPr>
        <w:rFonts w:ascii="Symbol" w:hAnsi="Symbol" w:hint="default"/>
      </w:rPr>
    </w:lvl>
    <w:lvl w:ilvl="4" w:tplc="281A0003" w:tentative="1">
      <w:start w:val="1"/>
      <w:numFmt w:val="bullet"/>
      <w:lvlText w:val="o"/>
      <w:lvlJc w:val="left"/>
      <w:pPr>
        <w:ind w:left="3960" w:hanging="360"/>
      </w:pPr>
      <w:rPr>
        <w:rFonts w:ascii="Courier New" w:hAnsi="Courier New" w:cs="Courier New" w:hint="default"/>
      </w:rPr>
    </w:lvl>
    <w:lvl w:ilvl="5" w:tplc="281A0005" w:tentative="1">
      <w:start w:val="1"/>
      <w:numFmt w:val="bullet"/>
      <w:lvlText w:val=""/>
      <w:lvlJc w:val="left"/>
      <w:pPr>
        <w:ind w:left="4680" w:hanging="360"/>
      </w:pPr>
      <w:rPr>
        <w:rFonts w:ascii="Wingdings" w:hAnsi="Wingdings" w:hint="default"/>
      </w:rPr>
    </w:lvl>
    <w:lvl w:ilvl="6" w:tplc="281A0001" w:tentative="1">
      <w:start w:val="1"/>
      <w:numFmt w:val="bullet"/>
      <w:lvlText w:val=""/>
      <w:lvlJc w:val="left"/>
      <w:pPr>
        <w:ind w:left="5400" w:hanging="360"/>
      </w:pPr>
      <w:rPr>
        <w:rFonts w:ascii="Symbol" w:hAnsi="Symbol" w:hint="default"/>
      </w:rPr>
    </w:lvl>
    <w:lvl w:ilvl="7" w:tplc="281A0003" w:tentative="1">
      <w:start w:val="1"/>
      <w:numFmt w:val="bullet"/>
      <w:lvlText w:val="o"/>
      <w:lvlJc w:val="left"/>
      <w:pPr>
        <w:ind w:left="6120" w:hanging="360"/>
      </w:pPr>
      <w:rPr>
        <w:rFonts w:ascii="Courier New" w:hAnsi="Courier New" w:cs="Courier New" w:hint="default"/>
      </w:rPr>
    </w:lvl>
    <w:lvl w:ilvl="8" w:tplc="281A0005" w:tentative="1">
      <w:start w:val="1"/>
      <w:numFmt w:val="bullet"/>
      <w:lvlText w:val=""/>
      <w:lvlJc w:val="left"/>
      <w:pPr>
        <w:ind w:left="6840" w:hanging="360"/>
      </w:pPr>
      <w:rPr>
        <w:rFonts w:ascii="Wingdings" w:hAnsi="Wingdings" w:hint="default"/>
      </w:rPr>
    </w:lvl>
  </w:abstractNum>
  <w:abstractNum w:abstractNumId="100" w15:restartNumberingAfterBreak="0">
    <w:nsid w:val="7A00237D"/>
    <w:multiLevelType w:val="hybridMultilevel"/>
    <w:tmpl w:val="C31468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15:restartNumberingAfterBreak="0">
    <w:nsid w:val="7B7D38E1"/>
    <w:multiLevelType w:val="hybridMultilevel"/>
    <w:tmpl w:val="2EDE4F3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686" w:hanging="360"/>
      </w:pPr>
    </w:lvl>
    <w:lvl w:ilvl="2" w:tplc="0409001B" w:tentative="1">
      <w:start w:val="1"/>
      <w:numFmt w:val="lowerRoman"/>
      <w:lvlText w:val="%3."/>
      <w:lvlJc w:val="right"/>
      <w:pPr>
        <w:ind w:left="34" w:hanging="180"/>
      </w:pPr>
    </w:lvl>
    <w:lvl w:ilvl="3" w:tplc="0409000F" w:tentative="1">
      <w:start w:val="1"/>
      <w:numFmt w:val="decimal"/>
      <w:lvlText w:val="%4."/>
      <w:lvlJc w:val="left"/>
      <w:pPr>
        <w:ind w:left="754" w:hanging="360"/>
      </w:pPr>
    </w:lvl>
    <w:lvl w:ilvl="4" w:tplc="04090019" w:tentative="1">
      <w:start w:val="1"/>
      <w:numFmt w:val="lowerLetter"/>
      <w:lvlText w:val="%5."/>
      <w:lvlJc w:val="left"/>
      <w:pPr>
        <w:ind w:left="1474" w:hanging="360"/>
      </w:pPr>
    </w:lvl>
    <w:lvl w:ilvl="5" w:tplc="0409001B" w:tentative="1">
      <w:start w:val="1"/>
      <w:numFmt w:val="lowerRoman"/>
      <w:lvlText w:val="%6."/>
      <w:lvlJc w:val="right"/>
      <w:pPr>
        <w:ind w:left="2194" w:hanging="180"/>
      </w:pPr>
    </w:lvl>
    <w:lvl w:ilvl="6" w:tplc="0409000F" w:tentative="1">
      <w:start w:val="1"/>
      <w:numFmt w:val="decimal"/>
      <w:lvlText w:val="%7."/>
      <w:lvlJc w:val="left"/>
      <w:pPr>
        <w:ind w:left="2914" w:hanging="360"/>
      </w:pPr>
    </w:lvl>
    <w:lvl w:ilvl="7" w:tplc="04090019" w:tentative="1">
      <w:start w:val="1"/>
      <w:numFmt w:val="lowerLetter"/>
      <w:lvlText w:val="%8."/>
      <w:lvlJc w:val="left"/>
      <w:pPr>
        <w:ind w:left="3634" w:hanging="360"/>
      </w:pPr>
    </w:lvl>
    <w:lvl w:ilvl="8" w:tplc="0409001B" w:tentative="1">
      <w:start w:val="1"/>
      <w:numFmt w:val="lowerRoman"/>
      <w:lvlText w:val="%9."/>
      <w:lvlJc w:val="right"/>
      <w:pPr>
        <w:ind w:left="4354" w:hanging="180"/>
      </w:pPr>
    </w:lvl>
  </w:abstractNum>
  <w:abstractNum w:abstractNumId="102" w15:restartNumberingAfterBreak="0">
    <w:nsid w:val="7E9578AF"/>
    <w:multiLevelType w:val="hybridMultilevel"/>
    <w:tmpl w:val="2B4EB2DE"/>
    <w:lvl w:ilvl="0" w:tplc="25BC08AE">
      <w:start w:val="1"/>
      <w:numFmt w:val="bullet"/>
      <w:lvlText w:val="-"/>
      <w:lvlJc w:val="left"/>
      <w:pPr>
        <w:ind w:left="360" w:hanging="360"/>
      </w:pPr>
      <w:rPr>
        <w:rFonts w:ascii="Verdana" w:hAnsi="Verdana" w:hint="default"/>
      </w:rPr>
    </w:lvl>
    <w:lvl w:ilvl="1" w:tplc="241A0003" w:tentative="1">
      <w:start w:val="1"/>
      <w:numFmt w:val="bullet"/>
      <w:lvlText w:val="o"/>
      <w:lvlJc w:val="left"/>
      <w:pPr>
        <w:ind w:left="1080" w:hanging="360"/>
      </w:pPr>
      <w:rPr>
        <w:rFonts w:ascii="Courier New" w:hAnsi="Courier New" w:cs="Courier New" w:hint="default"/>
      </w:rPr>
    </w:lvl>
    <w:lvl w:ilvl="2" w:tplc="241A0005" w:tentative="1">
      <w:start w:val="1"/>
      <w:numFmt w:val="bullet"/>
      <w:lvlText w:val=""/>
      <w:lvlJc w:val="left"/>
      <w:pPr>
        <w:ind w:left="1800" w:hanging="360"/>
      </w:pPr>
      <w:rPr>
        <w:rFonts w:ascii="Wingdings" w:hAnsi="Wingdings" w:hint="default"/>
      </w:rPr>
    </w:lvl>
    <w:lvl w:ilvl="3" w:tplc="241A0001" w:tentative="1">
      <w:start w:val="1"/>
      <w:numFmt w:val="bullet"/>
      <w:lvlText w:val=""/>
      <w:lvlJc w:val="left"/>
      <w:pPr>
        <w:ind w:left="2520" w:hanging="360"/>
      </w:pPr>
      <w:rPr>
        <w:rFonts w:ascii="Symbol" w:hAnsi="Symbol" w:hint="default"/>
      </w:rPr>
    </w:lvl>
    <w:lvl w:ilvl="4" w:tplc="241A0003" w:tentative="1">
      <w:start w:val="1"/>
      <w:numFmt w:val="bullet"/>
      <w:lvlText w:val="o"/>
      <w:lvlJc w:val="left"/>
      <w:pPr>
        <w:ind w:left="3240" w:hanging="360"/>
      </w:pPr>
      <w:rPr>
        <w:rFonts w:ascii="Courier New" w:hAnsi="Courier New" w:cs="Courier New" w:hint="default"/>
      </w:rPr>
    </w:lvl>
    <w:lvl w:ilvl="5" w:tplc="241A0005" w:tentative="1">
      <w:start w:val="1"/>
      <w:numFmt w:val="bullet"/>
      <w:lvlText w:val=""/>
      <w:lvlJc w:val="left"/>
      <w:pPr>
        <w:ind w:left="3960" w:hanging="360"/>
      </w:pPr>
      <w:rPr>
        <w:rFonts w:ascii="Wingdings" w:hAnsi="Wingdings" w:hint="default"/>
      </w:rPr>
    </w:lvl>
    <w:lvl w:ilvl="6" w:tplc="241A0001" w:tentative="1">
      <w:start w:val="1"/>
      <w:numFmt w:val="bullet"/>
      <w:lvlText w:val=""/>
      <w:lvlJc w:val="left"/>
      <w:pPr>
        <w:ind w:left="4680" w:hanging="360"/>
      </w:pPr>
      <w:rPr>
        <w:rFonts w:ascii="Symbol" w:hAnsi="Symbol" w:hint="default"/>
      </w:rPr>
    </w:lvl>
    <w:lvl w:ilvl="7" w:tplc="241A0003" w:tentative="1">
      <w:start w:val="1"/>
      <w:numFmt w:val="bullet"/>
      <w:lvlText w:val="o"/>
      <w:lvlJc w:val="left"/>
      <w:pPr>
        <w:ind w:left="5400" w:hanging="360"/>
      </w:pPr>
      <w:rPr>
        <w:rFonts w:ascii="Courier New" w:hAnsi="Courier New" w:cs="Courier New" w:hint="default"/>
      </w:rPr>
    </w:lvl>
    <w:lvl w:ilvl="8" w:tplc="241A0005" w:tentative="1">
      <w:start w:val="1"/>
      <w:numFmt w:val="bullet"/>
      <w:lvlText w:val=""/>
      <w:lvlJc w:val="left"/>
      <w:pPr>
        <w:ind w:left="6120" w:hanging="360"/>
      </w:pPr>
      <w:rPr>
        <w:rFonts w:ascii="Wingdings" w:hAnsi="Wingdings" w:hint="default"/>
      </w:rPr>
    </w:lvl>
  </w:abstractNum>
  <w:num w:numId="1" w16cid:durableId="846363270">
    <w:abstractNumId w:val="0"/>
  </w:num>
  <w:num w:numId="2" w16cid:durableId="1946498169">
    <w:abstractNumId w:val="48"/>
  </w:num>
  <w:num w:numId="3" w16cid:durableId="643051723">
    <w:abstractNumId w:val="38"/>
  </w:num>
  <w:num w:numId="4" w16cid:durableId="1108043191">
    <w:abstractNumId w:val="43"/>
  </w:num>
  <w:num w:numId="5" w16cid:durableId="820582378">
    <w:abstractNumId w:val="87"/>
  </w:num>
  <w:num w:numId="6" w16cid:durableId="301664122">
    <w:abstractNumId w:val="3"/>
  </w:num>
  <w:num w:numId="7" w16cid:durableId="130757957">
    <w:abstractNumId w:val="51"/>
  </w:num>
  <w:num w:numId="8" w16cid:durableId="974989803">
    <w:abstractNumId w:val="21"/>
  </w:num>
  <w:num w:numId="9" w16cid:durableId="1828745940">
    <w:abstractNumId w:val="50"/>
  </w:num>
  <w:num w:numId="10" w16cid:durableId="1617833542">
    <w:abstractNumId w:val="6"/>
  </w:num>
  <w:num w:numId="11" w16cid:durableId="1648971107">
    <w:abstractNumId w:val="73"/>
  </w:num>
  <w:num w:numId="12" w16cid:durableId="1779713123">
    <w:abstractNumId w:val="63"/>
  </w:num>
  <w:num w:numId="13" w16cid:durableId="562838277">
    <w:abstractNumId w:val="26"/>
  </w:num>
  <w:num w:numId="14" w16cid:durableId="893276644">
    <w:abstractNumId w:val="34"/>
  </w:num>
  <w:num w:numId="15" w16cid:durableId="1549995858">
    <w:abstractNumId w:val="66"/>
  </w:num>
  <w:num w:numId="16" w16cid:durableId="953444671">
    <w:abstractNumId w:val="92"/>
  </w:num>
  <w:num w:numId="17" w16cid:durableId="278219127">
    <w:abstractNumId w:val="2"/>
  </w:num>
  <w:num w:numId="18" w16cid:durableId="249584737">
    <w:abstractNumId w:val="40"/>
  </w:num>
  <w:num w:numId="19" w16cid:durableId="1479572468">
    <w:abstractNumId w:val="28"/>
  </w:num>
  <w:num w:numId="20" w16cid:durableId="1644430365">
    <w:abstractNumId w:val="93"/>
  </w:num>
  <w:num w:numId="21" w16cid:durableId="1206018048">
    <w:abstractNumId w:val="94"/>
  </w:num>
  <w:num w:numId="22" w16cid:durableId="26639492">
    <w:abstractNumId w:val="20"/>
  </w:num>
  <w:num w:numId="23" w16cid:durableId="1919559400">
    <w:abstractNumId w:val="23"/>
  </w:num>
  <w:num w:numId="24" w16cid:durableId="1073547233">
    <w:abstractNumId w:val="59"/>
  </w:num>
  <w:num w:numId="25" w16cid:durableId="47799141">
    <w:abstractNumId w:val="76"/>
  </w:num>
  <w:num w:numId="26" w16cid:durableId="652677853">
    <w:abstractNumId w:val="100"/>
  </w:num>
  <w:num w:numId="27" w16cid:durableId="1092046950">
    <w:abstractNumId w:val="97"/>
  </w:num>
  <w:num w:numId="28" w16cid:durableId="1463770828">
    <w:abstractNumId w:val="24"/>
  </w:num>
  <w:num w:numId="29" w16cid:durableId="2114934301">
    <w:abstractNumId w:val="78"/>
  </w:num>
  <w:num w:numId="30" w16cid:durableId="2144806624">
    <w:abstractNumId w:val="56"/>
  </w:num>
  <w:num w:numId="31" w16cid:durableId="2109812454">
    <w:abstractNumId w:val="60"/>
  </w:num>
  <w:num w:numId="32" w16cid:durableId="1833644930">
    <w:abstractNumId w:val="61"/>
  </w:num>
  <w:num w:numId="33" w16cid:durableId="1652833397">
    <w:abstractNumId w:val="19"/>
  </w:num>
  <w:num w:numId="34" w16cid:durableId="915551553">
    <w:abstractNumId w:val="84"/>
  </w:num>
  <w:num w:numId="35" w16cid:durableId="1239094229">
    <w:abstractNumId w:val="71"/>
  </w:num>
  <w:num w:numId="36" w16cid:durableId="960111551">
    <w:abstractNumId w:val="31"/>
  </w:num>
  <w:num w:numId="37" w16cid:durableId="1268807026">
    <w:abstractNumId w:val="70"/>
  </w:num>
  <w:num w:numId="38" w16cid:durableId="685256106">
    <w:abstractNumId w:val="81"/>
  </w:num>
  <w:num w:numId="39" w16cid:durableId="1711343504">
    <w:abstractNumId w:val="80"/>
  </w:num>
  <w:num w:numId="40" w16cid:durableId="1076901356">
    <w:abstractNumId w:val="57"/>
  </w:num>
  <w:num w:numId="41" w16cid:durableId="1698312952">
    <w:abstractNumId w:val="33"/>
  </w:num>
  <w:num w:numId="42" w16cid:durableId="1207791052">
    <w:abstractNumId w:val="11"/>
  </w:num>
  <w:num w:numId="43" w16cid:durableId="2097357320">
    <w:abstractNumId w:val="5"/>
  </w:num>
  <w:num w:numId="44" w16cid:durableId="298994029">
    <w:abstractNumId w:val="86"/>
  </w:num>
  <w:num w:numId="45" w16cid:durableId="1701782077">
    <w:abstractNumId w:val="65"/>
  </w:num>
  <w:num w:numId="46" w16cid:durableId="578515731">
    <w:abstractNumId w:val="8"/>
  </w:num>
  <w:num w:numId="47" w16cid:durableId="420837321">
    <w:abstractNumId w:val="95"/>
  </w:num>
  <w:num w:numId="48" w16cid:durableId="1856848506">
    <w:abstractNumId w:val="12"/>
  </w:num>
  <w:num w:numId="49" w16cid:durableId="1026248071">
    <w:abstractNumId w:val="35"/>
  </w:num>
  <w:num w:numId="50" w16cid:durableId="1381245808">
    <w:abstractNumId w:val="79"/>
  </w:num>
  <w:num w:numId="51" w16cid:durableId="51926158">
    <w:abstractNumId w:val="72"/>
  </w:num>
  <w:num w:numId="52" w16cid:durableId="1326981376">
    <w:abstractNumId w:val="89"/>
  </w:num>
  <w:num w:numId="53" w16cid:durableId="1598366175">
    <w:abstractNumId w:val="41"/>
  </w:num>
  <w:num w:numId="54" w16cid:durableId="463816976">
    <w:abstractNumId w:val="22"/>
  </w:num>
  <w:num w:numId="55" w16cid:durableId="261642963">
    <w:abstractNumId w:val="16"/>
  </w:num>
  <w:num w:numId="56" w16cid:durableId="2006008544">
    <w:abstractNumId w:val="14"/>
  </w:num>
  <w:num w:numId="57" w16cid:durableId="1987321260">
    <w:abstractNumId w:val="10"/>
  </w:num>
  <w:num w:numId="58" w16cid:durableId="693650870">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341780804">
    <w:abstractNumId w:val="88"/>
  </w:num>
  <w:num w:numId="60" w16cid:durableId="1116020337">
    <w:abstractNumId w:val="49"/>
  </w:num>
  <w:num w:numId="61" w16cid:durableId="650135465">
    <w:abstractNumId w:val="77"/>
  </w:num>
  <w:num w:numId="62" w16cid:durableId="69620924">
    <w:abstractNumId w:val="30"/>
  </w:num>
  <w:num w:numId="63" w16cid:durableId="452094588">
    <w:abstractNumId w:val="25"/>
  </w:num>
  <w:num w:numId="64" w16cid:durableId="2059739532">
    <w:abstractNumId w:val="102"/>
  </w:num>
  <w:num w:numId="65" w16cid:durableId="354230190">
    <w:abstractNumId w:val="46"/>
  </w:num>
  <w:num w:numId="66" w16cid:durableId="1624775820">
    <w:abstractNumId w:val="17"/>
  </w:num>
  <w:num w:numId="67" w16cid:durableId="202641106">
    <w:abstractNumId w:val="13"/>
  </w:num>
  <w:num w:numId="68" w16cid:durableId="1611619524">
    <w:abstractNumId w:val="42"/>
  </w:num>
  <w:num w:numId="69" w16cid:durableId="305208705">
    <w:abstractNumId w:val="91"/>
  </w:num>
  <w:num w:numId="70" w16cid:durableId="1078212343">
    <w:abstractNumId w:val="67"/>
  </w:num>
  <w:num w:numId="71" w16cid:durableId="657225785">
    <w:abstractNumId w:val="54"/>
  </w:num>
  <w:num w:numId="72" w16cid:durableId="1029263435">
    <w:abstractNumId w:val="47"/>
  </w:num>
  <w:num w:numId="73" w16cid:durableId="786582573">
    <w:abstractNumId w:val="74"/>
  </w:num>
  <w:num w:numId="74" w16cid:durableId="484668224">
    <w:abstractNumId w:val="4"/>
  </w:num>
  <w:num w:numId="75" w16cid:durableId="589855408">
    <w:abstractNumId w:val="37"/>
  </w:num>
  <w:num w:numId="76" w16cid:durableId="1888254144">
    <w:abstractNumId w:val="85"/>
  </w:num>
  <w:num w:numId="77" w16cid:durableId="159542055">
    <w:abstractNumId w:val="9"/>
  </w:num>
  <w:num w:numId="78" w16cid:durableId="796411331">
    <w:abstractNumId w:val="101"/>
  </w:num>
  <w:num w:numId="79" w16cid:durableId="127818127">
    <w:abstractNumId w:val="15"/>
  </w:num>
  <w:num w:numId="80" w16cid:durableId="627663972">
    <w:abstractNumId w:val="69"/>
  </w:num>
  <w:num w:numId="81" w16cid:durableId="1000237368">
    <w:abstractNumId w:val="58"/>
  </w:num>
  <w:num w:numId="82" w16cid:durableId="993681063">
    <w:abstractNumId w:val="18"/>
  </w:num>
  <w:num w:numId="83" w16cid:durableId="917516361">
    <w:abstractNumId w:val="98"/>
  </w:num>
  <w:num w:numId="84" w16cid:durableId="619146040">
    <w:abstractNumId w:val="1"/>
  </w:num>
  <w:num w:numId="85" w16cid:durableId="131752775">
    <w:abstractNumId w:val="52"/>
  </w:num>
  <w:num w:numId="86" w16cid:durableId="103699433">
    <w:abstractNumId w:val="83"/>
  </w:num>
  <w:num w:numId="87" w16cid:durableId="1398940465">
    <w:abstractNumId w:val="32"/>
  </w:num>
  <w:num w:numId="88" w16cid:durableId="514921428">
    <w:abstractNumId w:val="99"/>
  </w:num>
  <w:num w:numId="89" w16cid:durableId="1616936706">
    <w:abstractNumId w:val="82"/>
  </w:num>
  <w:num w:numId="90" w16cid:durableId="892887056">
    <w:abstractNumId w:val="64"/>
  </w:num>
  <w:num w:numId="91" w16cid:durableId="1624581646">
    <w:abstractNumId w:val="36"/>
  </w:num>
  <w:num w:numId="92" w16cid:durableId="1659963220">
    <w:abstractNumId w:val="68"/>
  </w:num>
  <w:num w:numId="93" w16cid:durableId="128789400">
    <w:abstractNumId w:val="55"/>
  </w:num>
  <w:num w:numId="94" w16cid:durableId="984431040">
    <w:abstractNumId w:val="62"/>
  </w:num>
  <w:num w:numId="95" w16cid:durableId="2123188533">
    <w:abstractNumId w:val="27"/>
  </w:num>
  <w:num w:numId="96" w16cid:durableId="929120898">
    <w:abstractNumId w:val="96"/>
  </w:num>
  <w:num w:numId="97" w16cid:durableId="962345727">
    <w:abstractNumId w:val="44"/>
  </w:num>
  <w:num w:numId="98" w16cid:durableId="1782988597">
    <w:abstractNumId w:val="75"/>
  </w:num>
  <w:num w:numId="99" w16cid:durableId="1217742122">
    <w:abstractNumId w:val="7"/>
  </w:num>
  <w:num w:numId="100" w16cid:durableId="251624133">
    <w:abstractNumId w:val="45"/>
  </w:num>
  <w:num w:numId="101" w16cid:durableId="388189421">
    <w:abstractNumId w:val="53"/>
  </w:num>
  <w:num w:numId="102" w16cid:durableId="5837888">
    <w:abstractNumId w:val="29"/>
  </w:num>
  <w:num w:numId="103" w16cid:durableId="1118379075">
    <w:abstractNumId w:val="90"/>
  </w:num>
  <w:numIdMacAtCleanup w:val="9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activeWritingStyle w:appName="MSWord" w:lang="ru-RU" w:vendorID="64" w:dllVersion="6" w:nlCheck="1" w:checkStyle="0"/>
  <w:activeWritingStyle w:appName="MSWord" w:lang="en-US" w:vendorID="64" w:dllVersion="6" w:nlCheck="1" w:checkStyle="0"/>
  <w:activeWritingStyle w:appName="MSWord" w:lang="en-GB" w:vendorID="64" w:dllVersion="6"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6" w:nlCheck="1" w:checkStyle="0"/>
  <w:activeWritingStyle w:appName="MSWord" w:lang="de-DE" w:vendorID="64" w:dllVersion="6" w:nlCheck="1" w:checkStyle="0"/>
  <w:activeWritingStyle w:appName="MSWord" w:lang="en-US" w:vendorID="64" w:dllVersion="0" w:nlCheck="1" w:checkStyle="0"/>
  <w:activeWritingStyle w:appName="MSWord" w:lang="en-GB" w:vendorID="64" w:dllVersion="0" w:nlCheck="1" w:checkStyle="0"/>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yMjE2NjY0NzUxMDFT0lEKTi0uzszPAykwrgUANtLyXCwAAAA="/>
  </w:docVars>
  <w:rsids>
    <w:rsidRoot w:val="00797049"/>
    <w:rsid w:val="000001F8"/>
    <w:rsid w:val="000003B8"/>
    <w:rsid w:val="000006E6"/>
    <w:rsid w:val="00000BB9"/>
    <w:rsid w:val="00000DE8"/>
    <w:rsid w:val="00001E72"/>
    <w:rsid w:val="000020A3"/>
    <w:rsid w:val="00002884"/>
    <w:rsid w:val="00002B05"/>
    <w:rsid w:val="00002CB1"/>
    <w:rsid w:val="000045F6"/>
    <w:rsid w:val="00005DFC"/>
    <w:rsid w:val="00012425"/>
    <w:rsid w:val="00012D78"/>
    <w:rsid w:val="000132B7"/>
    <w:rsid w:val="00013417"/>
    <w:rsid w:val="000137AC"/>
    <w:rsid w:val="00013A0B"/>
    <w:rsid w:val="00014DAA"/>
    <w:rsid w:val="0001548A"/>
    <w:rsid w:val="00015AE1"/>
    <w:rsid w:val="00016066"/>
    <w:rsid w:val="0001608D"/>
    <w:rsid w:val="00016287"/>
    <w:rsid w:val="000169B7"/>
    <w:rsid w:val="00017C48"/>
    <w:rsid w:val="00017F94"/>
    <w:rsid w:val="000202AC"/>
    <w:rsid w:val="00020BEA"/>
    <w:rsid w:val="00021DC9"/>
    <w:rsid w:val="00022AB8"/>
    <w:rsid w:val="00022FDE"/>
    <w:rsid w:val="00023A81"/>
    <w:rsid w:val="00024AA2"/>
    <w:rsid w:val="00024EA0"/>
    <w:rsid w:val="00024FE3"/>
    <w:rsid w:val="000260F7"/>
    <w:rsid w:val="000261D2"/>
    <w:rsid w:val="00026D86"/>
    <w:rsid w:val="000272D5"/>
    <w:rsid w:val="00027678"/>
    <w:rsid w:val="000309BB"/>
    <w:rsid w:val="00030A9C"/>
    <w:rsid w:val="00030D5A"/>
    <w:rsid w:val="0003195F"/>
    <w:rsid w:val="00031CC2"/>
    <w:rsid w:val="00032157"/>
    <w:rsid w:val="000324A5"/>
    <w:rsid w:val="000325E2"/>
    <w:rsid w:val="00032945"/>
    <w:rsid w:val="00032CCF"/>
    <w:rsid w:val="000335F3"/>
    <w:rsid w:val="00033627"/>
    <w:rsid w:val="000336DF"/>
    <w:rsid w:val="00033E00"/>
    <w:rsid w:val="00035AD8"/>
    <w:rsid w:val="00035F56"/>
    <w:rsid w:val="00036356"/>
    <w:rsid w:val="00036738"/>
    <w:rsid w:val="00036A25"/>
    <w:rsid w:val="00036DD7"/>
    <w:rsid w:val="00040056"/>
    <w:rsid w:val="00040667"/>
    <w:rsid w:val="00040ACE"/>
    <w:rsid w:val="00041425"/>
    <w:rsid w:val="00041E3E"/>
    <w:rsid w:val="0004222F"/>
    <w:rsid w:val="00042597"/>
    <w:rsid w:val="00043758"/>
    <w:rsid w:val="00045F19"/>
    <w:rsid w:val="00046034"/>
    <w:rsid w:val="0004613A"/>
    <w:rsid w:val="0004623F"/>
    <w:rsid w:val="000465E0"/>
    <w:rsid w:val="00046CA9"/>
    <w:rsid w:val="00047167"/>
    <w:rsid w:val="00047A62"/>
    <w:rsid w:val="000520F8"/>
    <w:rsid w:val="000524AA"/>
    <w:rsid w:val="00052735"/>
    <w:rsid w:val="00052B37"/>
    <w:rsid w:val="00053A8F"/>
    <w:rsid w:val="00053B2B"/>
    <w:rsid w:val="00055B7C"/>
    <w:rsid w:val="000569AA"/>
    <w:rsid w:val="00056F47"/>
    <w:rsid w:val="0005749E"/>
    <w:rsid w:val="0005750F"/>
    <w:rsid w:val="00057818"/>
    <w:rsid w:val="00057B4C"/>
    <w:rsid w:val="00057F4B"/>
    <w:rsid w:val="0006024A"/>
    <w:rsid w:val="000604DA"/>
    <w:rsid w:val="00060672"/>
    <w:rsid w:val="000614DC"/>
    <w:rsid w:val="000616B3"/>
    <w:rsid w:val="00061F8A"/>
    <w:rsid w:val="000620B3"/>
    <w:rsid w:val="00062B75"/>
    <w:rsid w:val="000634BE"/>
    <w:rsid w:val="0006370D"/>
    <w:rsid w:val="00063909"/>
    <w:rsid w:val="00065017"/>
    <w:rsid w:val="00065B13"/>
    <w:rsid w:val="00065DF9"/>
    <w:rsid w:val="00066F2C"/>
    <w:rsid w:val="00067011"/>
    <w:rsid w:val="00067265"/>
    <w:rsid w:val="0006742F"/>
    <w:rsid w:val="00067709"/>
    <w:rsid w:val="000679CD"/>
    <w:rsid w:val="0007077C"/>
    <w:rsid w:val="0007083B"/>
    <w:rsid w:val="0007126F"/>
    <w:rsid w:val="00071952"/>
    <w:rsid w:val="00071E66"/>
    <w:rsid w:val="00072287"/>
    <w:rsid w:val="000722E6"/>
    <w:rsid w:val="00072F40"/>
    <w:rsid w:val="000733FF"/>
    <w:rsid w:val="00074995"/>
    <w:rsid w:val="00074B8A"/>
    <w:rsid w:val="00074E1B"/>
    <w:rsid w:val="0007650B"/>
    <w:rsid w:val="0007697A"/>
    <w:rsid w:val="00076C95"/>
    <w:rsid w:val="000770EA"/>
    <w:rsid w:val="00077C67"/>
    <w:rsid w:val="000816D0"/>
    <w:rsid w:val="00081A17"/>
    <w:rsid w:val="00081A94"/>
    <w:rsid w:val="00081DFC"/>
    <w:rsid w:val="00081E0F"/>
    <w:rsid w:val="00082D55"/>
    <w:rsid w:val="000840EF"/>
    <w:rsid w:val="00084834"/>
    <w:rsid w:val="0008490E"/>
    <w:rsid w:val="0008543E"/>
    <w:rsid w:val="00086E58"/>
    <w:rsid w:val="000906FD"/>
    <w:rsid w:val="00092829"/>
    <w:rsid w:val="00092ED7"/>
    <w:rsid w:val="0009353E"/>
    <w:rsid w:val="0009374A"/>
    <w:rsid w:val="000944D6"/>
    <w:rsid w:val="00094BEE"/>
    <w:rsid w:val="00094C3F"/>
    <w:rsid w:val="00095DBE"/>
    <w:rsid w:val="00096198"/>
    <w:rsid w:val="000962C5"/>
    <w:rsid w:val="0009697B"/>
    <w:rsid w:val="00096BBB"/>
    <w:rsid w:val="00096D22"/>
    <w:rsid w:val="000971EA"/>
    <w:rsid w:val="00097798"/>
    <w:rsid w:val="000A195A"/>
    <w:rsid w:val="000A1B24"/>
    <w:rsid w:val="000A2ED6"/>
    <w:rsid w:val="000A2F6D"/>
    <w:rsid w:val="000A3003"/>
    <w:rsid w:val="000A311A"/>
    <w:rsid w:val="000A3531"/>
    <w:rsid w:val="000A4E7A"/>
    <w:rsid w:val="000A4EC1"/>
    <w:rsid w:val="000A5496"/>
    <w:rsid w:val="000A5857"/>
    <w:rsid w:val="000A5C95"/>
    <w:rsid w:val="000A663B"/>
    <w:rsid w:val="000A7001"/>
    <w:rsid w:val="000A78FC"/>
    <w:rsid w:val="000A7CED"/>
    <w:rsid w:val="000B01BD"/>
    <w:rsid w:val="000B0B28"/>
    <w:rsid w:val="000B0BD8"/>
    <w:rsid w:val="000B0C3C"/>
    <w:rsid w:val="000B10CF"/>
    <w:rsid w:val="000B1ABF"/>
    <w:rsid w:val="000B241F"/>
    <w:rsid w:val="000B267C"/>
    <w:rsid w:val="000B339E"/>
    <w:rsid w:val="000B3461"/>
    <w:rsid w:val="000B38A6"/>
    <w:rsid w:val="000B39F2"/>
    <w:rsid w:val="000B49AA"/>
    <w:rsid w:val="000B4DB4"/>
    <w:rsid w:val="000B4F8A"/>
    <w:rsid w:val="000B544A"/>
    <w:rsid w:val="000B5661"/>
    <w:rsid w:val="000B5A70"/>
    <w:rsid w:val="000B5B0F"/>
    <w:rsid w:val="000B5CBA"/>
    <w:rsid w:val="000B5EDA"/>
    <w:rsid w:val="000B6D63"/>
    <w:rsid w:val="000B7717"/>
    <w:rsid w:val="000B7D76"/>
    <w:rsid w:val="000C01FD"/>
    <w:rsid w:val="000C0BE0"/>
    <w:rsid w:val="000C146F"/>
    <w:rsid w:val="000C3251"/>
    <w:rsid w:val="000C3600"/>
    <w:rsid w:val="000C3BEC"/>
    <w:rsid w:val="000C44D1"/>
    <w:rsid w:val="000C4B58"/>
    <w:rsid w:val="000C4DD1"/>
    <w:rsid w:val="000C5935"/>
    <w:rsid w:val="000C5CF3"/>
    <w:rsid w:val="000C6FA1"/>
    <w:rsid w:val="000C7942"/>
    <w:rsid w:val="000C7CD6"/>
    <w:rsid w:val="000D0544"/>
    <w:rsid w:val="000D2889"/>
    <w:rsid w:val="000D2C56"/>
    <w:rsid w:val="000D2F28"/>
    <w:rsid w:val="000D310F"/>
    <w:rsid w:val="000D3771"/>
    <w:rsid w:val="000D410C"/>
    <w:rsid w:val="000D4FD4"/>
    <w:rsid w:val="000D5CE6"/>
    <w:rsid w:val="000D6108"/>
    <w:rsid w:val="000D63B8"/>
    <w:rsid w:val="000D6ED5"/>
    <w:rsid w:val="000D722D"/>
    <w:rsid w:val="000D7482"/>
    <w:rsid w:val="000E0422"/>
    <w:rsid w:val="000E06AF"/>
    <w:rsid w:val="000E1787"/>
    <w:rsid w:val="000E1C07"/>
    <w:rsid w:val="000E1D3A"/>
    <w:rsid w:val="000E2A0C"/>
    <w:rsid w:val="000E3447"/>
    <w:rsid w:val="000E4A66"/>
    <w:rsid w:val="000E50E4"/>
    <w:rsid w:val="000E565F"/>
    <w:rsid w:val="000E5CD1"/>
    <w:rsid w:val="000E6525"/>
    <w:rsid w:val="000E6959"/>
    <w:rsid w:val="000E69C6"/>
    <w:rsid w:val="000E6CF5"/>
    <w:rsid w:val="000E7DFE"/>
    <w:rsid w:val="000F052F"/>
    <w:rsid w:val="000F059B"/>
    <w:rsid w:val="000F26D4"/>
    <w:rsid w:val="000F28C3"/>
    <w:rsid w:val="000F44A7"/>
    <w:rsid w:val="000F4634"/>
    <w:rsid w:val="000F5304"/>
    <w:rsid w:val="000F569C"/>
    <w:rsid w:val="000F6337"/>
    <w:rsid w:val="000F647E"/>
    <w:rsid w:val="000F667F"/>
    <w:rsid w:val="000F67F8"/>
    <w:rsid w:val="000F68D4"/>
    <w:rsid w:val="000F6F06"/>
    <w:rsid w:val="00100974"/>
    <w:rsid w:val="00101672"/>
    <w:rsid w:val="00101E69"/>
    <w:rsid w:val="001028F8"/>
    <w:rsid w:val="00105194"/>
    <w:rsid w:val="00105E58"/>
    <w:rsid w:val="00106563"/>
    <w:rsid w:val="001077E6"/>
    <w:rsid w:val="00107BD4"/>
    <w:rsid w:val="0011016A"/>
    <w:rsid w:val="00111278"/>
    <w:rsid w:val="00111A31"/>
    <w:rsid w:val="001122E1"/>
    <w:rsid w:val="0011280A"/>
    <w:rsid w:val="00112874"/>
    <w:rsid w:val="00112925"/>
    <w:rsid w:val="00112B29"/>
    <w:rsid w:val="00112B6F"/>
    <w:rsid w:val="001148BC"/>
    <w:rsid w:val="00114C7A"/>
    <w:rsid w:val="00115299"/>
    <w:rsid w:val="0011557F"/>
    <w:rsid w:val="0011558D"/>
    <w:rsid w:val="00115BE3"/>
    <w:rsid w:val="00115D0E"/>
    <w:rsid w:val="001162EE"/>
    <w:rsid w:val="00116512"/>
    <w:rsid w:val="00117343"/>
    <w:rsid w:val="00117995"/>
    <w:rsid w:val="00120C49"/>
    <w:rsid w:val="00120EF7"/>
    <w:rsid w:val="001216F1"/>
    <w:rsid w:val="00121A9E"/>
    <w:rsid w:val="00123DB2"/>
    <w:rsid w:val="00123DFA"/>
    <w:rsid w:val="001242B4"/>
    <w:rsid w:val="00124DCA"/>
    <w:rsid w:val="00125217"/>
    <w:rsid w:val="001252B9"/>
    <w:rsid w:val="00125B23"/>
    <w:rsid w:val="00125E3B"/>
    <w:rsid w:val="00126765"/>
    <w:rsid w:val="00126936"/>
    <w:rsid w:val="00127CF3"/>
    <w:rsid w:val="00127F10"/>
    <w:rsid w:val="00127FE8"/>
    <w:rsid w:val="0013006E"/>
    <w:rsid w:val="001305E1"/>
    <w:rsid w:val="0013075D"/>
    <w:rsid w:val="001311AC"/>
    <w:rsid w:val="00131406"/>
    <w:rsid w:val="00131770"/>
    <w:rsid w:val="00131B9B"/>
    <w:rsid w:val="001341ED"/>
    <w:rsid w:val="001362F0"/>
    <w:rsid w:val="00136E03"/>
    <w:rsid w:val="00136E4B"/>
    <w:rsid w:val="00137728"/>
    <w:rsid w:val="001406A9"/>
    <w:rsid w:val="00140A49"/>
    <w:rsid w:val="00140B2E"/>
    <w:rsid w:val="00141959"/>
    <w:rsid w:val="001419A8"/>
    <w:rsid w:val="00141FEF"/>
    <w:rsid w:val="00142AC7"/>
    <w:rsid w:val="0014307E"/>
    <w:rsid w:val="00144B54"/>
    <w:rsid w:val="00145136"/>
    <w:rsid w:val="001457A3"/>
    <w:rsid w:val="00145B51"/>
    <w:rsid w:val="00145DF8"/>
    <w:rsid w:val="001460C0"/>
    <w:rsid w:val="00146582"/>
    <w:rsid w:val="00147385"/>
    <w:rsid w:val="00147A94"/>
    <w:rsid w:val="00147DF0"/>
    <w:rsid w:val="001501D6"/>
    <w:rsid w:val="001502A6"/>
    <w:rsid w:val="001505B2"/>
    <w:rsid w:val="0015086D"/>
    <w:rsid w:val="00150ED1"/>
    <w:rsid w:val="0015100B"/>
    <w:rsid w:val="001515BF"/>
    <w:rsid w:val="0015261E"/>
    <w:rsid w:val="00152E8C"/>
    <w:rsid w:val="00152E92"/>
    <w:rsid w:val="0015349A"/>
    <w:rsid w:val="001534F9"/>
    <w:rsid w:val="00153985"/>
    <w:rsid w:val="001550BB"/>
    <w:rsid w:val="001550BC"/>
    <w:rsid w:val="001553F6"/>
    <w:rsid w:val="0015547E"/>
    <w:rsid w:val="00155DE2"/>
    <w:rsid w:val="00155FA6"/>
    <w:rsid w:val="001561CC"/>
    <w:rsid w:val="00156407"/>
    <w:rsid w:val="001571AD"/>
    <w:rsid w:val="001578A1"/>
    <w:rsid w:val="001608D7"/>
    <w:rsid w:val="00161650"/>
    <w:rsid w:val="00162C43"/>
    <w:rsid w:val="001632EC"/>
    <w:rsid w:val="0016454D"/>
    <w:rsid w:val="00165C22"/>
    <w:rsid w:val="00165F2B"/>
    <w:rsid w:val="00167D39"/>
    <w:rsid w:val="001704C6"/>
    <w:rsid w:val="00170609"/>
    <w:rsid w:val="00170F63"/>
    <w:rsid w:val="001721D8"/>
    <w:rsid w:val="00172EDF"/>
    <w:rsid w:val="001737A3"/>
    <w:rsid w:val="00174158"/>
    <w:rsid w:val="00174752"/>
    <w:rsid w:val="00174D57"/>
    <w:rsid w:val="00174EDF"/>
    <w:rsid w:val="00174F80"/>
    <w:rsid w:val="00175636"/>
    <w:rsid w:val="001760BE"/>
    <w:rsid w:val="00176B54"/>
    <w:rsid w:val="00177413"/>
    <w:rsid w:val="00177DD2"/>
    <w:rsid w:val="00177E8A"/>
    <w:rsid w:val="00180D37"/>
    <w:rsid w:val="00181714"/>
    <w:rsid w:val="00181C36"/>
    <w:rsid w:val="00181FA8"/>
    <w:rsid w:val="001821D6"/>
    <w:rsid w:val="00182335"/>
    <w:rsid w:val="00183419"/>
    <w:rsid w:val="00183A80"/>
    <w:rsid w:val="00184075"/>
    <w:rsid w:val="001853CE"/>
    <w:rsid w:val="0018553E"/>
    <w:rsid w:val="00185703"/>
    <w:rsid w:val="00185934"/>
    <w:rsid w:val="00186479"/>
    <w:rsid w:val="00186B21"/>
    <w:rsid w:val="00186B59"/>
    <w:rsid w:val="001870DE"/>
    <w:rsid w:val="00187A88"/>
    <w:rsid w:val="00187D83"/>
    <w:rsid w:val="00191E06"/>
    <w:rsid w:val="001920F3"/>
    <w:rsid w:val="00192281"/>
    <w:rsid w:val="00192E23"/>
    <w:rsid w:val="0019320C"/>
    <w:rsid w:val="00193EC0"/>
    <w:rsid w:val="00196B02"/>
    <w:rsid w:val="00196F94"/>
    <w:rsid w:val="001A00A7"/>
    <w:rsid w:val="001A1222"/>
    <w:rsid w:val="001A2481"/>
    <w:rsid w:val="001A3D0D"/>
    <w:rsid w:val="001A3EE1"/>
    <w:rsid w:val="001A51FE"/>
    <w:rsid w:val="001A540F"/>
    <w:rsid w:val="001A5622"/>
    <w:rsid w:val="001A5B2B"/>
    <w:rsid w:val="001A6451"/>
    <w:rsid w:val="001A656D"/>
    <w:rsid w:val="001B0269"/>
    <w:rsid w:val="001B07B7"/>
    <w:rsid w:val="001B1425"/>
    <w:rsid w:val="001B2208"/>
    <w:rsid w:val="001B3258"/>
    <w:rsid w:val="001B332A"/>
    <w:rsid w:val="001B36E0"/>
    <w:rsid w:val="001B40EF"/>
    <w:rsid w:val="001B4652"/>
    <w:rsid w:val="001B4CA8"/>
    <w:rsid w:val="001B4EFC"/>
    <w:rsid w:val="001B53A8"/>
    <w:rsid w:val="001B6CEB"/>
    <w:rsid w:val="001B6E46"/>
    <w:rsid w:val="001B6F54"/>
    <w:rsid w:val="001B7533"/>
    <w:rsid w:val="001C075D"/>
    <w:rsid w:val="001C0EF3"/>
    <w:rsid w:val="001C18BE"/>
    <w:rsid w:val="001C2A20"/>
    <w:rsid w:val="001C58E9"/>
    <w:rsid w:val="001C6A81"/>
    <w:rsid w:val="001C6CFD"/>
    <w:rsid w:val="001C708A"/>
    <w:rsid w:val="001C72D2"/>
    <w:rsid w:val="001C7B88"/>
    <w:rsid w:val="001C7C49"/>
    <w:rsid w:val="001C7D73"/>
    <w:rsid w:val="001D02F2"/>
    <w:rsid w:val="001D0341"/>
    <w:rsid w:val="001D0812"/>
    <w:rsid w:val="001D102E"/>
    <w:rsid w:val="001D27D0"/>
    <w:rsid w:val="001D4171"/>
    <w:rsid w:val="001D56F3"/>
    <w:rsid w:val="001D5E1B"/>
    <w:rsid w:val="001D63D0"/>
    <w:rsid w:val="001D71BB"/>
    <w:rsid w:val="001D7EE0"/>
    <w:rsid w:val="001E1744"/>
    <w:rsid w:val="001E1B53"/>
    <w:rsid w:val="001E1F98"/>
    <w:rsid w:val="001E2457"/>
    <w:rsid w:val="001E32DF"/>
    <w:rsid w:val="001E3853"/>
    <w:rsid w:val="001E3C95"/>
    <w:rsid w:val="001E5441"/>
    <w:rsid w:val="001E558B"/>
    <w:rsid w:val="001E604A"/>
    <w:rsid w:val="001E71D5"/>
    <w:rsid w:val="001E72AE"/>
    <w:rsid w:val="001F2ECD"/>
    <w:rsid w:val="001F3146"/>
    <w:rsid w:val="001F3B72"/>
    <w:rsid w:val="001F4238"/>
    <w:rsid w:val="001F62AF"/>
    <w:rsid w:val="00200379"/>
    <w:rsid w:val="00200942"/>
    <w:rsid w:val="0020125C"/>
    <w:rsid w:val="00201456"/>
    <w:rsid w:val="00201BEA"/>
    <w:rsid w:val="00202977"/>
    <w:rsid w:val="00202F36"/>
    <w:rsid w:val="00203015"/>
    <w:rsid w:val="00203D61"/>
    <w:rsid w:val="00204287"/>
    <w:rsid w:val="00204479"/>
    <w:rsid w:val="00204FA6"/>
    <w:rsid w:val="00205955"/>
    <w:rsid w:val="00206218"/>
    <w:rsid w:val="002102A7"/>
    <w:rsid w:val="00210AD2"/>
    <w:rsid w:val="00210EBE"/>
    <w:rsid w:val="0021103E"/>
    <w:rsid w:val="00211200"/>
    <w:rsid w:val="00211E9F"/>
    <w:rsid w:val="002122F3"/>
    <w:rsid w:val="002126A3"/>
    <w:rsid w:val="002130B4"/>
    <w:rsid w:val="00213E6E"/>
    <w:rsid w:val="002148DB"/>
    <w:rsid w:val="00215B72"/>
    <w:rsid w:val="00216595"/>
    <w:rsid w:val="002171C8"/>
    <w:rsid w:val="002173DA"/>
    <w:rsid w:val="002174C1"/>
    <w:rsid w:val="00217782"/>
    <w:rsid w:val="0022028E"/>
    <w:rsid w:val="002208A0"/>
    <w:rsid w:val="00222585"/>
    <w:rsid w:val="0022322A"/>
    <w:rsid w:val="0022364E"/>
    <w:rsid w:val="00224134"/>
    <w:rsid w:val="0022473D"/>
    <w:rsid w:val="002264C3"/>
    <w:rsid w:val="00227AB9"/>
    <w:rsid w:val="002307CC"/>
    <w:rsid w:val="00230A78"/>
    <w:rsid w:val="00231E85"/>
    <w:rsid w:val="002331E2"/>
    <w:rsid w:val="00234522"/>
    <w:rsid w:val="00234A9A"/>
    <w:rsid w:val="00234B69"/>
    <w:rsid w:val="00236EF5"/>
    <w:rsid w:val="0023779D"/>
    <w:rsid w:val="00240B61"/>
    <w:rsid w:val="002415E2"/>
    <w:rsid w:val="00241912"/>
    <w:rsid w:val="00243B8E"/>
    <w:rsid w:val="00244AC7"/>
    <w:rsid w:val="0024575F"/>
    <w:rsid w:val="00246694"/>
    <w:rsid w:val="002466EA"/>
    <w:rsid w:val="0024684B"/>
    <w:rsid w:val="00247954"/>
    <w:rsid w:val="00247CBF"/>
    <w:rsid w:val="0025015E"/>
    <w:rsid w:val="00251168"/>
    <w:rsid w:val="00251403"/>
    <w:rsid w:val="0025143A"/>
    <w:rsid w:val="00251C36"/>
    <w:rsid w:val="00252C01"/>
    <w:rsid w:val="00253A76"/>
    <w:rsid w:val="00253C01"/>
    <w:rsid w:val="00253E50"/>
    <w:rsid w:val="00254B25"/>
    <w:rsid w:val="00254ECD"/>
    <w:rsid w:val="00255A45"/>
    <w:rsid w:val="00256703"/>
    <w:rsid w:val="002567A4"/>
    <w:rsid w:val="00256C19"/>
    <w:rsid w:val="00260A38"/>
    <w:rsid w:val="002612E2"/>
    <w:rsid w:val="0026139F"/>
    <w:rsid w:val="002616E7"/>
    <w:rsid w:val="00261FF7"/>
    <w:rsid w:val="00262C32"/>
    <w:rsid w:val="002631A4"/>
    <w:rsid w:val="0026341C"/>
    <w:rsid w:val="0026427F"/>
    <w:rsid w:val="0026564E"/>
    <w:rsid w:val="002661A7"/>
    <w:rsid w:val="0026699A"/>
    <w:rsid w:val="00266F9F"/>
    <w:rsid w:val="00267430"/>
    <w:rsid w:val="00267795"/>
    <w:rsid w:val="00270295"/>
    <w:rsid w:val="002702AE"/>
    <w:rsid w:val="00270450"/>
    <w:rsid w:val="002704DB"/>
    <w:rsid w:val="002705C2"/>
    <w:rsid w:val="00270B62"/>
    <w:rsid w:val="002716C6"/>
    <w:rsid w:val="00271C31"/>
    <w:rsid w:val="0027219A"/>
    <w:rsid w:val="0027332F"/>
    <w:rsid w:val="002734DA"/>
    <w:rsid w:val="00274030"/>
    <w:rsid w:val="002748E4"/>
    <w:rsid w:val="00275739"/>
    <w:rsid w:val="0027579B"/>
    <w:rsid w:val="00275A29"/>
    <w:rsid w:val="00275AE8"/>
    <w:rsid w:val="00275B59"/>
    <w:rsid w:val="00276402"/>
    <w:rsid w:val="00276EBA"/>
    <w:rsid w:val="00277983"/>
    <w:rsid w:val="00280CDF"/>
    <w:rsid w:val="00280FC2"/>
    <w:rsid w:val="00281038"/>
    <w:rsid w:val="002816A3"/>
    <w:rsid w:val="00282877"/>
    <w:rsid w:val="00282C9C"/>
    <w:rsid w:val="00283BB0"/>
    <w:rsid w:val="00284191"/>
    <w:rsid w:val="00284FE5"/>
    <w:rsid w:val="002860F8"/>
    <w:rsid w:val="002863C3"/>
    <w:rsid w:val="00287122"/>
    <w:rsid w:val="002879DB"/>
    <w:rsid w:val="00287D9C"/>
    <w:rsid w:val="002905C9"/>
    <w:rsid w:val="0029061D"/>
    <w:rsid w:val="00290882"/>
    <w:rsid w:val="002917F1"/>
    <w:rsid w:val="00291A46"/>
    <w:rsid w:val="00291CBC"/>
    <w:rsid w:val="00292BCF"/>
    <w:rsid w:val="00292DEF"/>
    <w:rsid w:val="00293EB8"/>
    <w:rsid w:val="00295178"/>
    <w:rsid w:val="00295B15"/>
    <w:rsid w:val="002960C2"/>
    <w:rsid w:val="00296994"/>
    <w:rsid w:val="002979AC"/>
    <w:rsid w:val="00297E37"/>
    <w:rsid w:val="002A011C"/>
    <w:rsid w:val="002A1021"/>
    <w:rsid w:val="002A231B"/>
    <w:rsid w:val="002A2657"/>
    <w:rsid w:val="002A2B8C"/>
    <w:rsid w:val="002A3099"/>
    <w:rsid w:val="002A409F"/>
    <w:rsid w:val="002A4877"/>
    <w:rsid w:val="002A640D"/>
    <w:rsid w:val="002A6857"/>
    <w:rsid w:val="002A6C79"/>
    <w:rsid w:val="002A7232"/>
    <w:rsid w:val="002B0040"/>
    <w:rsid w:val="002B0CFF"/>
    <w:rsid w:val="002B14D4"/>
    <w:rsid w:val="002B1550"/>
    <w:rsid w:val="002B16E7"/>
    <w:rsid w:val="002B176D"/>
    <w:rsid w:val="002B1F42"/>
    <w:rsid w:val="002B2307"/>
    <w:rsid w:val="002B3122"/>
    <w:rsid w:val="002B3805"/>
    <w:rsid w:val="002B4647"/>
    <w:rsid w:val="002B52B8"/>
    <w:rsid w:val="002B54DB"/>
    <w:rsid w:val="002B5E97"/>
    <w:rsid w:val="002B64C7"/>
    <w:rsid w:val="002B6728"/>
    <w:rsid w:val="002B6E49"/>
    <w:rsid w:val="002B7BA0"/>
    <w:rsid w:val="002C09E7"/>
    <w:rsid w:val="002C0AD2"/>
    <w:rsid w:val="002C0C52"/>
    <w:rsid w:val="002C0CB5"/>
    <w:rsid w:val="002C13A3"/>
    <w:rsid w:val="002C1972"/>
    <w:rsid w:val="002C1A76"/>
    <w:rsid w:val="002C2A99"/>
    <w:rsid w:val="002C3436"/>
    <w:rsid w:val="002C3EC4"/>
    <w:rsid w:val="002C3FEF"/>
    <w:rsid w:val="002C4928"/>
    <w:rsid w:val="002C5640"/>
    <w:rsid w:val="002C571D"/>
    <w:rsid w:val="002C7197"/>
    <w:rsid w:val="002D0105"/>
    <w:rsid w:val="002D05EE"/>
    <w:rsid w:val="002D07A1"/>
    <w:rsid w:val="002D1D1E"/>
    <w:rsid w:val="002D211E"/>
    <w:rsid w:val="002D2BFB"/>
    <w:rsid w:val="002D2E18"/>
    <w:rsid w:val="002D318D"/>
    <w:rsid w:val="002D4132"/>
    <w:rsid w:val="002D42E1"/>
    <w:rsid w:val="002D475F"/>
    <w:rsid w:val="002D47AE"/>
    <w:rsid w:val="002D49B9"/>
    <w:rsid w:val="002D691B"/>
    <w:rsid w:val="002D7078"/>
    <w:rsid w:val="002E0420"/>
    <w:rsid w:val="002E04B5"/>
    <w:rsid w:val="002E04BB"/>
    <w:rsid w:val="002E0746"/>
    <w:rsid w:val="002E0CE3"/>
    <w:rsid w:val="002E222C"/>
    <w:rsid w:val="002E248F"/>
    <w:rsid w:val="002E2607"/>
    <w:rsid w:val="002E3364"/>
    <w:rsid w:val="002E3C4D"/>
    <w:rsid w:val="002E3CFC"/>
    <w:rsid w:val="002E4CF7"/>
    <w:rsid w:val="002E5484"/>
    <w:rsid w:val="002E5B35"/>
    <w:rsid w:val="002E5F64"/>
    <w:rsid w:val="002E61FD"/>
    <w:rsid w:val="002E6900"/>
    <w:rsid w:val="002E6D1F"/>
    <w:rsid w:val="002E6D91"/>
    <w:rsid w:val="002E7E81"/>
    <w:rsid w:val="002F0018"/>
    <w:rsid w:val="002F0850"/>
    <w:rsid w:val="002F0AF4"/>
    <w:rsid w:val="002F2911"/>
    <w:rsid w:val="002F2BA5"/>
    <w:rsid w:val="002F2E15"/>
    <w:rsid w:val="002F42C1"/>
    <w:rsid w:val="002F4CC9"/>
    <w:rsid w:val="002F4DA5"/>
    <w:rsid w:val="0030080C"/>
    <w:rsid w:val="0030089D"/>
    <w:rsid w:val="00301463"/>
    <w:rsid w:val="00301E35"/>
    <w:rsid w:val="0030288E"/>
    <w:rsid w:val="003030E9"/>
    <w:rsid w:val="00303328"/>
    <w:rsid w:val="00303D95"/>
    <w:rsid w:val="00304202"/>
    <w:rsid w:val="003043FB"/>
    <w:rsid w:val="00304985"/>
    <w:rsid w:val="00304A36"/>
    <w:rsid w:val="00304C55"/>
    <w:rsid w:val="003051FE"/>
    <w:rsid w:val="00305C81"/>
    <w:rsid w:val="00306E5F"/>
    <w:rsid w:val="00307068"/>
    <w:rsid w:val="0030787C"/>
    <w:rsid w:val="00310355"/>
    <w:rsid w:val="00310C45"/>
    <w:rsid w:val="00310E6B"/>
    <w:rsid w:val="0031123A"/>
    <w:rsid w:val="00312F4E"/>
    <w:rsid w:val="00313B37"/>
    <w:rsid w:val="0031427F"/>
    <w:rsid w:val="003148DB"/>
    <w:rsid w:val="003155FE"/>
    <w:rsid w:val="00317042"/>
    <w:rsid w:val="00317DB5"/>
    <w:rsid w:val="00317FEC"/>
    <w:rsid w:val="003207C4"/>
    <w:rsid w:val="00320C35"/>
    <w:rsid w:val="003214F6"/>
    <w:rsid w:val="00323489"/>
    <w:rsid w:val="00323880"/>
    <w:rsid w:val="0032417B"/>
    <w:rsid w:val="003256E1"/>
    <w:rsid w:val="00325FBF"/>
    <w:rsid w:val="00326514"/>
    <w:rsid w:val="003276B1"/>
    <w:rsid w:val="003277A6"/>
    <w:rsid w:val="00330051"/>
    <w:rsid w:val="00330B8F"/>
    <w:rsid w:val="00330F5C"/>
    <w:rsid w:val="00330FF2"/>
    <w:rsid w:val="00331F29"/>
    <w:rsid w:val="00332563"/>
    <w:rsid w:val="00332F5A"/>
    <w:rsid w:val="0033359C"/>
    <w:rsid w:val="00333BF3"/>
    <w:rsid w:val="00333CD5"/>
    <w:rsid w:val="00334FF8"/>
    <w:rsid w:val="00335242"/>
    <w:rsid w:val="00336757"/>
    <w:rsid w:val="00336AFC"/>
    <w:rsid w:val="00336DD6"/>
    <w:rsid w:val="00336E7A"/>
    <w:rsid w:val="00342334"/>
    <w:rsid w:val="00342655"/>
    <w:rsid w:val="003435DD"/>
    <w:rsid w:val="00343A3D"/>
    <w:rsid w:val="0034459D"/>
    <w:rsid w:val="00344830"/>
    <w:rsid w:val="00344CEA"/>
    <w:rsid w:val="00344F62"/>
    <w:rsid w:val="00345C4A"/>
    <w:rsid w:val="0034615F"/>
    <w:rsid w:val="003461C2"/>
    <w:rsid w:val="0034625C"/>
    <w:rsid w:val="003468CB"/>
    <w:rsid w:val="00347837"/>
    <w:rsid w:val="003479DE"/>
    <w:rsid w:val="003503D3"/>
    <w:rsid w:val="0035065C"/>
    <w:rsid w:val="003510B9"/>
    <w:rsid w:val="00351183"/>
    <w:rsid w:val="0035233B"/>
    <w:rsid w:val="00352812"/>
    <w:rsid w:val="003529A3"/>
    <w:rsid w:val="00354A01"/>
    <w:rsid w:val="00354B01"/>
    <w:rsid w:val="00355DC9"/>
    <w:rsid w:val="003562EC"/>
    <w:rsid w:val="00356AF6"/>
    <w:rsid w:val="00356DB1"/>
    <w:rsid w:val="003579AC"/>
    <w:rsid w:val="00360754"/>
    <w:rsid w:val="00360EBA"/>
    <w:rsid w:val="003616A1"/>
    <w:rsid w:val="003619D6"/>
    <w:rsid w:val="00362206"/>
    <w:rsid w:val="003632C7"/>
    <w:rsid w:val="00363A18"/>
    <w:rsid w:val="0036514C"/>
    <w:rsid w:val="00366425"/>
    <w:rsid w:val="003666FA"/>
    <w:rsid w:val="00366A11"/>
    <w:rsid w:val="00366C51"/>
    <w:rsid w:val="00366CFD"/>
    <w:rsid w:val="00370164"/>
    <w:rsid w:val="0037056F"/>
    <w:rsid w:val="00371033"/>
    <w:rsid w:val="003711D8"/>
    <w:rsid w:val="00371A0E"/>
    <w:rsid w:val="00371F25"/>
    <w:rsid w:val="00372E4D"/>
    <w:rsid w:val="00373BE9"/>
    <w:rsid w:val="003756BB"/>
    <w:rsid w:val="00375C03"/>
    <w:rsid w:val="00376B1A"/>
    <w:rsid w:val="00377D9F"/>
    <w:rsid w:val="00377E1E"/>
    <w:rsid w:val="00380C07"/>
    <w:rsid w:val="00380F46"/>
    <w:rsid w:val="00381D4E"/>
    <w:rsid w:val="00381EDD"/>
    <w:rsid w:val="00382BAC"/>
    <w:rsid w:val="00383E1F"/>
    <w:rsid w:val="00384026"/>
    <w:rsid w:val="00384515"/>
    <w:rsid w:val="003852E0"/>
    <w:rsid w:val="0038541A"/>
    <w:rsid w:val="0038576F"/>
    <w:rsid w:val="00385929"/>
    <w:rsid w:val="00385B7D"/>
    <w:rsid w:val="00385C63"/>
    <w:rsid w:val="00386680"/>
    <w:rsid w:val="00386775"/>
    <w:rsid w:val="003869CF"/>
    <w:rsid w:val="00387094"/>
    <w:rsid w:val="003870FA"/>
    <w:rsid w:val="0038742E"/>
    <w:rsid w:val="00387533"/>
    <w:rsid w:val="00387A44"/>
    <w:rsid w:val="00387B35"/>
    <w:rsid w:val="00387C74"/>
    <w:rsid w:val="00387F5B"/>
    <w:rsid w:val="0039015B"/>
    <w:rsid w:val="00390AA0"/>
    <w:rsid w:val="003917AF"/>
    <w:rsid w:val="003917D5"/>
    <w:rsid w:val="00393930"/>
    <w:rsid w:val="00395722"/>
    <w:rsid w:val="00395E8D"/>
    <w:rsid w:val="00396B9D"/>
    <w:rsid w:val="00396D62"/>
    <w:rsid w:val="00396F3D"/>
    <w:rsid w:val="00397651"/>
    <w:rsid w:val="0039768E"/>
    <w:rsid w:val="003A0718"/>
    <w:rsid w:val="003A0AE3"/>
    <w:rsid w:val="003A1248"/>
    <w:rsid w:val="003A1729"/>
    <w:rsid w:val="003A1974"/>
    <w:rsid w:val="003A3205"/>
    <w:rsid w:val="003A39D4"/>
    <w:rsid w:val="003A39F4"/>
    <w:rsid w:val="003A3FB3"/>
    <w:rsid w:val="003A60A5"/>
    <w:rsid w:val="003A6ABA"/>
    <w:rsid w:val="003B0169"/>
    <w:rsid w:val="003B03B6"/>
    <w:rsid w:val="003B248B"/>
    <w:rsid w:val="003B2E4B"/>
    <w:rsid w:val="003B3CCF"/>
    <w:rsid w:val="003B3D00"/>
    <w:rsid w:val="003B4523"/>
    <w:rsid w:val="003B4F86"/>
    <w:rsid w:val="003B5902"/>
    <w:rsid w:val="003B5B09"/>
    <w:rsid w:val="003B5ED5"/>
    <w:rsid w:val="003B60E6"/>
    <w:rsid w:val="003B6113"/>
    <w:rsid w:val="003B63ED"/>
    <w:rsid w:val="003B6C1F"/>
    <w:rsid w:val="003B6E7B"/>
    <w:rsid w:val="003B758F"/>
    <w:rsid w:val="003B7E5A"/>
    <w:rsid w:val="003C1037"/>
    <w:rsid w:val="003C1049"/>
    <w:rsid w:val="003C104E"/>
    <w:rsid w:val="003C1DFF"/>
    <w:rsid w:val="003C2180"/>
    <w:rsid w:val="003C2774"/>
    <w:rsid w:val="003C2A0B"/>
    <w:rsid w:val="003C2A7D"/>
    <w:rsid w:val="003C32EE"/>
    <w:rsid w:val="003C335D"/>
    <w:rsid w:val="003C3431"/>
    <w:rsid w:val="003C3AC5"/>
    <w:rsid w:val="003C4CE6"/>
    <w:rsid w:val="003C5DC4"/>
    <w:rsid w:val="003C6666"/>
    <w:rsid w:val="003C76A4"/>
    <w:rsid w:val="003D006C"/>
    <w:rsid w:val="003D0D20"/>
    <w:rsid w:val="003D1113"/>
    <w:rsid w:val="003D1D17"/>
    <w:rsid w:val="003D2724"/>
    <w:rsid w:val="003D3394"/>
    <w:rsid w:val="003D514C"/>
    <w:rsid w:val="003D55F3"/>
    <w:rsid w:val="003D5869"/>
    <w:rsid w:val="003D5FE3"/>
    <w:rsid w:val="003D6A71"/>
    <w:rsid w:val="003D737E"/>
    <w:rsid w:val="003D7AAF"/>
    <w:rsid w:val="003E00C3"/>
    <w:rsid w:val="003E12CE"/>
    <w:rsid w:val="003E15A5"/>
    <w:rsid w:val="003E312F"/>
    <w:rsid w:val="003E317A"/>
    <w:rsid w:val="003E3683"/>
    <w:rsid w:val="003E3750"/>
    <w:rsid w:val="003E3E51"/>
    <w:rsid w:val="003E4638"/>
    <w:rsid w:val="003E4941"/>
    <w:rsid w:val="003E4E2A"/>
    <w:rsid w:val="003E640B"/>
    <w:rsid w:val="003E6646"/>
    <w:rsid w:val="003E6C6B"/>
    <w:rsid w:val="003E7401"/>
    <w:rsid w:val="003E7A90"/>
    <w:rsid w:val="003E7D1D"/>
    <w:rsid w:val="003F01A2"/>
    <w:rsid w:val="003F0C14"/>
    <w:rsid w:val="003F1566"/>
    <w:rsid w:val="003F1FDD"/>
    <w:rsid w:val="003F2F60"/>
    <w:rsid w:val="003F4432"/>
    <w:rsid w:val="003F5310"/>
    <w:rsid w:val="003F5B19"/>
    <w:rsid w:val="003F69E2"/>
    <w:rsid w:val="003F6ECB"/>
    <w:rsid w:val="003F721E"/>
    <w:rsid w:val="00400538"/>
    <w:rsid w:val="004006D2"/>
    <w:rsid w:val="004013DE"/>
    <w:rsid w:val="00401C93"/>
    <w:rsid w:val="00401E93"/>
    <w:rsid w:val="004023CC"/>
    <w:rsid w:val="00402FCD"/>
    <w:rsid w:val="00403284"/>
    <w:rsid w:val="004050EB"/>
    <w:rsid w:val="00405762"/>
    <w:rsid w:val="00405898"/>
    <w:rsid w:val="00407172"/>
    <w:rsid w:val="004079FA"/>
    <w:rsid w:val="00410D53"/>
    <w:rsid w:val="00410DB2"/>
    <w:rsid w:val="00410DEF"/>
    <w:rsid w:val="00411455"/>
    <w:rsid w:val="004118F0"/>
    <w:rsid w:val="004119EE"/>
    <w:rsid w:val="00411FBD"/>
    <w:rsid w:val="00411FC4"/>
    <w:rsid w:val="004130F6"/>
    <w:rsid w:val="004142FC"/>
    <w:rsid w:val="0041525D"/>
    <w:rsid w:val="00415A12"/>
    <w:rsid w:val="00415B3D"/>
    <w:rsid w:val="0041616F"/>
    <w:rsid w:val="00417530"/>
    <w:rsid w:val="00417D06"/>
    <w:rsid w:val="004202A9"/>
    <w:rsid w:val="00421233"/>
    <w:rsid w:val="00421267"/>
    <w:rsid w:val="00421270"/>
    <w:rsid w:val="00421FAF"/>
    <w:rsid w:val="004221CA"/>
    <w:rsid w:val="00422633"/>
    <w:rsid w:val="00422F3C"/>
    <w:rsid w:val="00422F5D"/>
    <w:rsid w:val="0042307B"/>
    <w:rsid w:val="00424517"/>
    <w:rsid w:val="004245AE"/>
    <w:rsid w:val="00424F05"/>
    <w:rsid w:val="00425264"/>
    <w:rsid w:val="004259F1"/>
    <w:rsid w:val="004262B3"/>
    <w:rsid w:val="00426466"/>
    <w:rsid w:val="004270DC"/>
    <w:rsid w:val="0042748E"/>
    <w:rsid w:val="00430371"/>
    <w:rsid w:val="0043062B"/>
    <w:rsid w:val="00430BD1"/>
    <w:rsid w:val="00431107"/>
    <w:rsid w:val="004314F0"/>
    <w:rsid w:val="0043218A"/>
    <w:rsid w:val="00432907"/>
    <w:rsid w:val="00433935"/>
    <w:rsid w:val="00434C03"/>
    <w:rsid w:val="004370E9"/>
    <w:rsid w:val="004373B5"/>
    <w:rsid w:val="004379F8"/>
    <w:rsid w:val="00437CB8"/>
    <w:rsid w:val="00440691"/>
    <w:rsid w:val="00440DD7"/>
    <w:rsid w:val="0044270D"/>
    <w:rsid w:val="00442AEC"/>
    <w:rsid w:val="0044316A"/>
    <w:rsid w:val="004442F2"/>
    <w:rsid w:val="00444542"/>
    <w:rsid w:val="00444996"/>
    <w:rsid w:val="004449E9"/>
    <w:rsid w:val="00445BF4"/>
    <w:rsid w:val="00446676"/>
    <w:rsid w:val="004468DB"/>
    <w:rsid w:val="00447339"/>
    <w:rsid w:val="004512D1"/>
    <w:rsid w:val="004514BE"/>
    <w:rsid w:val="00451981"/>
    <w:rsid w:val="00451B29"/>
    <w:rsid w:val="004527CB"/>
    <w:rsid w:val="0045341D"/>
    <w:rsid w:val="00453E27"/>
    <w:rsid w:val="00453F51"/>
    <w:rsid w:val="004546A2"/>
    <w:rsid w:val="004549BF"/>
    <w:rsid w:val="00455182"/>
    <w:rsid w:val="00457C30"/>
    <w:rsid w:val="0046098B"/>
    <w:rsid w:val="00460AB8"/>
    <w:rsid w:val="00460F4E"/>
    <w:rsid w:val="00461EE0"/>
    <w:rsid w:val="00462420"/>
    <w:rsid w:val="00462579"/>
    <w:rsid w:val="004626B3"/>
    <w:rsid w:val="00464116"/>
    <w:rsid w:val="00464796"/>
    <w:rsid w:val="00464F5F"/>
    <w:rsid w:val="004652DD"/>
    <w:rsid w:val="00465CE2"/>
    <w:rsid w:val="0046618F"/>
    <w:rsid w:val="0046775B"/>
    <w:rsid w:val="00467990"/>
    <w:rsid w:val="00467AFF"/>
    <w:rsid w:val="00467D0D"/>
    <w:rsid w:val="0047017C"/>
    <w:rsid w:val="00470C2E"/>
    <w:rsid w:val="00471226"/>
    <w:rsid w:val="00471ACC"/>
    <w:rsid w:val="0047302B"/>
    <w:rsid w:val="004731B8"/>
    <w:rsid w:val="004739FD"/>
    <w:rsid w:val="00474698"/>
    <w:rsid w:val="00474CCC"/>
    <w:rsid w:val="0047512E"/>
    <w:rsid w:val="00475390"/>
    <w:rsid w:val="0047598D"/>
    <w:rsid w:val="00476166"/>
    <w:rsid w:val="0047697C"/>
    <w:rsid w:val="0047749A"/>
    <w:rsid w:val="004777A4"/>
    <w:rsid w:val="004801D0"/>
    <w:rsid w:val="004804F8"/>
    <w:rsid w:val="0048127C"/>
    <w:rsid w:val="004814E3"/>
    <w:rsid w:val="004819DA"/>
    <w:rsid w:val="00481F6C"/>
    <w:rsid w:val="004825B8"/>
    <w:rsid w:val="0048287C"/>
    <w:rsid w:val="00482C63"/>
    <w:rsid w:val="00483284"/>
    <w:rsid w:val="004841CE"/>
    <w:rsid w:val="0048553F"/>
    <w:rsid w:val="00485BCD"/>
    <w:rsid w:val="00486E8A"/>
    <w:rsid w:val="004874B7"/>
    <w:rsid w:val="00487EE8"/>
    <w:rsid w:val="004904B2"/>
    <w:rsid w:val="004905E2"/>
    <w:rsid w:val="0049158C"/>
    <w:rsid w:val="00491CA0"/>
    <w:rsid w:val="00493443"/>
    <w:rsid w:val="004938BE"/>
    <w:rsid w:val="00493D33"/>
    <w:rsid w:val="00494527"/>
    <w:rsid w:val="00494B2E"/>
    <w:rsid w:val="00495EF3"/>
    <w:rsid w:val="00495F46"/>
    <w:rsid w:val="004967C4"/>
    <w:rsid w:val="00497A1F"/>
    <w:rsid w:val="004A02EE"/>
    <w:rsid w:val="004A0912"/>
    <w:rsid w:val="004A1D96"/>
    <w:rsid w:val="004A3031"/>
    <w:rsid w:val="004A32FF"/>
    <w:rsid w:val="004A3525"/>
    <w:rsid w:val="004A3653"/>
    <w:rsid w:val="004A3679"/>
    <w:rsid w:val="004A3CCD"/>
    <w:rsid w:val="004A4478"/>
    <w:rsid w:val="004A4F9E"/>
    <w:rsid w:val="004A5A65"/>
    <w:rsid w:val="004A67B0"/>
    <w:rsid w:val="004A6D12"/>
    <w:rsid w:val="004A6EBF"/>
    <w:rsid w:val="004A6EEE"/>
    <w:rsid w:val="004B03A0"/>
    <w:rsid w:val="004B0AC2"/>
    <w:rsid w:val="004B0B23"/>
    <w:rsid w:val="004B0EF7"/>
    <w:rsid w:val="004B1308"/>
    <w:rsid w:val="004B1528"/>
    <w:rsid w:val="004B1B7C"/>
    <w:rsid w:val="004B1F66"/>
    <w:rsid w:val="004B24D4"/>
    <w:rsid w:val="004B25FB"/>
    <w:rsid w:val="004B2A91"/>
    <w:rsid w:val="004B2F06"/>
    <w:rsid w:val="004B3192"/>
    <w:rsid w:val="004B31D9"/>
    <w:rsid w:val="004B3ED5"/>
    <w:rsid w:val="004B4045"/>
    <w:rsid w:val="004B457A"/>
    <w:rsid w:val="004B4786"/>
    <w:rsid w:val="004B53A6"/>
    <w:rsid w:val="004B57D8"/>
    <w:rsid w:val="004B5EFA"/>
    <w:rsid w:val="004B6858"/>
    <w:rsid w:val="004B6B15"/>
    <w:rsid w:val="004B72CD"/>
    <w:rsid w:val="004B77A8"/>
    <w:rsid w:val="004B7E54"/>
    <w:rsid w:val="004C03FF"/>
    <w:rsid w:val="004C068F"/>
    <w:rsid w:val="004C07DE"/>
    <w:rsid w:val="004C1702"/>
    <w:rsid w:val="004C18C7"/>
    <w:rsid w:val="004C211C"/>
    <w:rsid w:val="004C2768"/>
    <w:rsid w:val="004C28EA"/>
    <w:rsid w:val="004C2BA6"/>
    <w:rsid w:val="004C3A32"/>
    <w:rsid w:val="004C487F"/>
    <w:rsid w:val="004C5146"/>
    <w:rsid w:val="004C541E"/>
    <w:rsid w:val="004C599B"/>
    <w:rsid w:val="004C5A44"/>
    <w:rsid w:val="004C6674"/>
    <w:rsid w:val="004C6B13"/>
    <w:rsid w:val="004C6F96"/>
    <w:rsid w:val="004C7997"/>
    <w:rsid w:val="004D0B6B"/>
    <w:rsid w:val="004D19A0"/>
    <w:rsid w:val="004D22FA"/>
    <w:rsid w:val="004D3F5B"/>
    <w:rsid w:val="004D4156"/>
    <w:rsid w:val="004D44C1"/>
    <w:rsid w:val="004D461F"/>
    <w:rsid w:val="004D5081"/>
    <w:rsid w:val="004D6338"/>
    <w:rsid w:val="004D6726"/>
    <w:rsid w:val="004D728F"/>
    <w:rsid w:val="004D7572"/>
    <w:rsid w:val="004D7E44"/>
    <w:rsid w:val="004E0315"/>
    <w:rsid w:val="004E0984"/>
    <w:rsid w:val="004E16D2"/>
    <w:rsid w:val="004E2954"/>
    <w:rsid w:val="004E2E5D"/>
    <w:rsid w:val="004E365A"/>
    <w:rsid w:val="004E420B"/>
    <w:rsid w:val="004E5581"/>
    <w:rsid w:val="004E576E"/>
    <w:rsid w:val="004E57DB"/>
    <w:rsid w:val="004E5D95"/>
    <w:rsid w:val="004E601F"/>
    <w:rsid w:val="004E6CC5"/>
    <w:rsid w:val="004E71F9"/>
    <w:rsid w:val="004E72CF"/>
    <w:rsid w:val="004E7B0F"/>
    <w:rsid w:val="004F0D3B"/>
    <w:rsid w:val="004F1583"/>
    <w:rsid w:val="004F1AA1"/>
    <w:rsid w:val="004F1BF8"/>
    <w:rsid w:val="004F1C33"/>
    <w:rsid w:val="004F1EF3"/>
    <w:rsid w:val="004F287B"/>
    <w:rsid w:val="004F28E6"/>
    <w:rsid w:val="004F4240"/>
    <w:rsid w:val="004F4ADA"/>
    <w:rsid w:val="004F52B5"/>
    <w:rsid w:val="004F56D8"/>
    <w:rsid w:val="004F59B9"/>
    <w:rsid w:val="004F70CB"/>
    <w:rsid w:val="004F7861"/>
    <w:rsid w:val="00501568"/>
    <w:rsid w:val="00501930"/>
    <w:rsid w:val="005021DB"/>
    <w:rsid w:val="005028F9"/>
    <w:rsid w:val="00502CFD"/>
    <w:rsid w:val="00503B0C"/>
    <w:rsid w:val="00504E10"/>
    <w:rsid w:val="005052DA"/>
    <w:rsid w:val="00505903"/>
    <w:rsid w:val="00505A5E"/>
    <w:rsid w:val="00505E8B"/>
    <w:rsid w:val="005060A6"/>
    <w:rsid w:val="005060D9"/>
    <w:rsid w:val="00506351"/>
    <w:rsid w:val="00506C1F"/>
    <w:rsid w:val="00506E75"/>
    <w:rsid w:val="00510260"/>
    <w:rsid w:val="005104C2"/>
    <w:rsid w:val="005104C6"/>
    <w:rsid w:val="005114E1"/>
    <w:rsid w:val="00512282"/>
    <w:rsid w:val="00512B86"/>
    <w:rsid w:val="00513541"/>
    <w:rsid w:val="005136C5"/>
    <w:rsid w:val="00514293"/>
    <w:rsid w:val="00514D6A"/>
    <w:rsid w:val="00515142"/>
    <w:rsid w:val="005153C0"/>
    <w:rsid w:val="005157EE"/>
    <w:rsid w:val="00515D4D"/>
    <w:rsid w:val="00515E22"/>
    <w:rsid w:val="005164CE"/>
    <w:rsid w:val="0051711E"/>
    <w:rsid w:val="00517844"/>
    <w:rsid w:val="0052021D"/>
    <w:rsid w:val="00520295"/>
    <w:rsid w:val="0052044C"/>
    <w:rsid w:val="0052060E"/>
    <w:rsid w:val="005218AE"/>
    <w:rsid w:val="00522E48"/>
    <w:rsid w:val="00523E95"/>
    <w:rsid w:val="00524A98"/>
    <w:rsid w:val="00524AB1"/>
    <w:rsid w:val="00524E61"/>
    <w:rsid w:val="00525258"/>
    <w:rsid w:val="00525362"/>
    <w:rsid w:val="005253D5"/>
    <w:rsid w:val="0052577F"/>
    <w:rsid w:val="00525AD8"/>
    <w:rsid w:val="00525BA0"/>
    <w:rsid w:val="00526094"/>
    <w:rsid w:val="00526F36"/>
    <w:rsid w:val="00527A51"/>
    <w:rsid w:val="00527B84"/>
    <w:rsid w:val="00527D14"/>
    <w:rsid w:val="0053028D"/>
    <w:rsid w:val="00530449"/>
    <w:rsid w:val="00530F17"/>
    <w:rsid w:val="0053221B"/>
    <w:rsid w:val="005326D7"/>
    <w:rsid w:val="00532A5F"/>
    <w:rsid w:val="0053376A"/>
    <w:rsid w:val="00534798"/>
    <w:rsid w:val="00534C06"/>
    <w:rsid w:val="00534DDE"/>
    <w:rsid w:val="00534F4E"/>
    <w:rsid w:val="005351A0"/>
    <w:rsid w:val="0053595C"/>
    <w:rsid w:val="005375DF"/>
    <w:rsid w:val="00537B19"/>
    <w:rsid w:val="00540609"/>
    <w:rsid w:val="005437CC"/>
    <w:rsid w:val="00543E3A"/>
    <w:rsid w:val="005444CD"/>
    <w:rsid w:val="00545AFC"/>
    <w:rsid w:val="00545F19"/>
    <w:rsid w:val="00546453"/>
    <w:rsid w:val="00547856"/>
    <w:rsid w:val="005478EF"/>
    <w:rsid w:val="00547D89"/>
    <w:rsid w:val="00550474"/>
    <w:rsid w:val="00551263"/>
    <w:rsid w:val="0055152E"/>
    <w:rsid w:val="00551FDA"/>
    <w:rsid w:val="0055280A"/>
    <w:rsid w:val="005541E7"/>
    <w:rsid w:val="005552E3"/>
    <w:rsid w:val="0055693E"/>
    <w:rsid w:val="005569E7"/>
    <w:rsid w:val="00560635"/>
    <w:rsid w:val="00560CAC"/>
    <w:rsid w:val="00560E36"/>
    <w:rsid w:val="00561CB8"/>
    <w:rsid w:val="00562D11"/>
    <w:rsid w:val="00562D74"/>
    <w:rsid w:val="00563037"/>
    <w:rsid w:val="00563F10"/>
    <w:rsid w:val="00564155"/>
    <w:rsid w:val="00564BDA"/>
    <w:rsid w:val="00565BFB"/>
    <w:rsid w:val="005674A7"/>
    <w:rsid w:val="005676C8"/>
    <w:rsid w:val="005679BB"/>
    <w:rsid w:val="005701C0"/>
    <w:rsid w:val="00570468"/>
    <w:rsid w:val="0057091A"/>
    <w:rsid w:val="00571299"/>
    <w:rsid w:val="005714F2"/>
    <w:rsid w:val="00571BD7"/>
    <w:rsid w:val="00571D45"/>
    <w:rsid w:val="00572619"/>
    <w:rsid w:val="00572A59"/>
    <w:rsid w:val="00573009"/>
    <w:rsid w:val="00573749"/>
    <w:rsid w:val="005739CD"/>
    <w:rsid w:val="00574019"/>
    <w:rsid w:val="005744A5"/>
    <w:rsid w:val="00574FAA"/>
    <w:rsid w:val="00574FEB"/>
    <w:rsid w:val="005754CA"/>
    <w:rsid w:val="00575510"/>
    <w:rsid w:val="00576076"/>
    <w:rsid w:val="00576A4F"/>
    <w:rsid w:val="00576B99"/>
    <w:rsid w:val="00577004"/>
    <w:rsid w:val="00577C04"/>
    <w:rsid w:val="00577D6E"/>
    <w:rsid w:val="00580059"/>
    <w:rsid w:val="00580133"/>
    <w:rsid w:val="00580E99"/>
    <w:rsid w:val="00580F4D"/>
    <w:rsid w:val="005813EB"/>
    <w:rsid w:val="005817F0"/>
    <w:rsid w:val="005818F4"/>
    <w:rsid w:val="005820D7"/>
    <w:rsid w:val="005823F8"/>
    <w:rsid w:val="005834C6"/>
    <w:rsid w:val="00583C5C"/>
    <w:rsid w:val="00584DA2"/>
    <w:rsid w:val="0058501B"/>
    <w:rsid w:val="005860F2"/>
    <w:rsid w:val="005866A9"/>
    <w:rsid w:val="005867B0"/>
    <w:rsid w:val="00586A27"/>
    <w:rsid w:val="00587133"/>
    <w:rsid w:val="005917AD"/>
    <w:rsid w:val="00591CC0"/>
    <w:rsid w:val="00591FF5"/>
    <w:rsid w:val="00592949"/>
    <w:rsid w:val="00592C28"/>
    <w:rsid w:val="00593517"/>
    <w:rsid w:val="005937B4"/>
    <w:rsid w:val="0059482B"/>
    <w:rsid w:val="0059589C"/>
    <w:rsid w:val="005965A2"/>
    <w:rsid w:val="00597425"/>
    <w:rsid w:val="00597FE3"/>
    <w:rsid w:val="00597FF7"/>
    <w:rsid w:val="005A0495"/>
    <w:rsid w:val="005A1859"/>
    <w:rsid w:val="005A1958"/>
    <w:rsid w:val="005A1E5D"/>
    <w:rsid w:val="005A2DE8"/>
    <w:rsid w:val="005A3081"/>
    <w:rsid w:val="005A33CF"/>
    <w:rsid w:val="005A357C"/>
    <w:rsid w:val="005A3946"/>
    <w:rsid w:val="005A4017"/>
    <w:rsid w:val="005A4237"/>
    <w:rsid w:val="005A4F09"/>
    <w:rsid w:val="005A52A6"/>
    <w:rsid w:val="005A5F68"/>
    <w:rsid w:val="005A611A"/>
    <w:rsid w:val="005A6DD6"/>
    <w:rsid w:val="005A7265"/>
    <w:rsid w:val="005A7294"/>
    <w:rsid w:val="005B057C"/>
    <w:rsid w:val="005B2030"/>
    <w:rsid w:val="005B2B94"/>
    <w:rsid w:val="005B2E1E"/>
    <w:rsid w:val="005B35F3"/>
    <w:rsid w:val="005B3BCB"/>
    <w:rsid w:val="005B484F"/>
    <w:rsid w:val="005B4B18"/>
    <w:rsid w:val="005B4EE2"/>
    <w:rsid w:val="005B53AD"/>
    <w:rsid w:val="005B621A"/>
    <w:rsid w:val="005B6908"/>
    <w:rsid w:val="005B6AAF"/>
    <w:rsid w:val="005B6D11"/>
    <w:rsid w:val="005B70AB"/>
    <w:rsid w:val="005B7265"/>
    <w:rsid w:val="005C06F7"/>
    <w:rsid w:val="005C0DE5"/>
    <w:rsid w:val="005C11EC"/>
    <w:rsid w:val="005C2649"/>
    <w:rsid w:val="005C288D"/>
    <w:rsid w:val="005C2EFD"/>
    <w:rsid w:val="005C35FA"/>
    <w:rsid w:val="005C3ABF"/>
    <w:rsid w:val="005C40FB"/>
    <w:rsid w:val="005C49FA"/>
    <w:rsid w:val="005C4D9A"/>
    <w:rsid w:val="005C6C51"/>
    <w:rsid w:val="005C756A"/>
    <w:rsid w:val="005C77E2"/>
    <w:rsid w:val="005C7C81"/>
    <w:rsid w:val="005C7F1D"/>
    <w:rsid w:val="005D0747"/>
    <w:rsid w:val="005D0D13"/>
    <w:rsid w:val="005D0E66"/>
    <w:rsid w:val="005D14E2"/>
    <w:rsid w:val="005D2EEE"/>
    <w:rsid w:val="005D32A2"/>
    <w:rsid w:val="005D3473"/>
    <w:rsid w:val="005D3E26"/>
    <w:rsid w:val="005D4434"/>
    <w:rsid w:val="005D77C7"/>
    <w:rsid w:val="005E2598"/>
    <w:rsid w:val="005E333F"/>
    <w:rsid w:val="005E36FC"/>
    <w:rsid w:val="005E370E"/>
    <w:rsid w:val="005E3F54"/>
    <w:rsid w:val="005E4BA6"/>
    <w:rsid w:val="005E4D18"/>
    <w:rsid w:val="005E5B70"/>
    <w:rsid w:val="005E65E7"/>
    <w:rsid w:val="005E763D"/>
    <w:rsid w:val="005E78EA"/>
    <w:rsid w:val="005F0318"/>
    <w:rsid w:val="005F0D44"/>
    <w:rsid w:val="005F106E"/>
    <w:rsid w:val="005F16DF"/>
    <w:rsid w:val="005F1B90"/>
    <w:rsid w:val="005F2182"/>
    <w:rsid w:val="005F26DA"/>
    <w:rsid w:val="005F2E61"/>
    <w:rsid w:val="005F3193"/>
    <w:rsid w:val="005F40A2"/>
    <w:rsid w:val="005F450F"/>
    <w:rsid w:val="005F4510"/>
    <w:rsid w:val="005F5A7D"/>
    <w:rsid w:val="005F5D34"/>
    <w:rsid w:val="005F7CEE"/>
    <w:rsid w:val="005F7E08"/>
    <w:rsid w:val="0060016D"/>
    <w:rsid w:val="00600D1C"/>
    <w:rsid w:val="00601439"/>
    <w:rsid w:val="00602019"/>
    <w:rsid w:val="00603975"/>
    <w:rsid w:val="006039A4"/>
    <w:rsid w:val="00603C1A"/>
    <w:rsid w:val="0060423A"/>
    <w:rsid w:val="006047A9"/>
    <w:rsid w:val="00604FBD"/>
    <w:rsid w:val="00605F8C"/>
    <w:rsid w:val="00606566"/>
    <w:rsid w:val="00606C5F"/>
    <w:rsid w:val="00607145"/>
    <w:rsid w:val="00607305"/>
    <w:rsid w:val="00607898"/>
    <w:rsid w:val="006104B4"/>
    <w:rsid w:val="006105B6"/>
    <w:rsid w:val="00610F9D"/>
    <w:rsid w:val="00611338"/>
    <w:rsid w:val="00611DA0"/>
    <w:rsid w:val="00611DAF"/>
    <w:rsid w:val="00612365"/>
    <w:rsid w:val="006125A9"/>
    <w:rsid w:val="00612D53"/>
    <w:rsid w:val="00612D57"/>
    <w:rsid w:val="00613112"/>
    <w:rsid w:val="00613408"/>
    <w:rsid w:val="00613492"/>
    <w:rsid w:val="00613B5B"/>
    <w:rsid w:val="00613CB3"/>
    <w:rsid w:val="0061413A"/>
    <w:rsid w:val="0061418F"/>
    <w:rsid w:val="00615D63"/>
    <w:rsid w:val="00616221"/>
    <w:rsid w:val="00616441"/>
    <w:rsid w:val="00616BD3"/>
    <w:rsid w:val="00617616"/>
    <w:rsid w:val="00617CB9"/>
    <w:rsid w:val="006205D2"/>
    <w:rsid w:val="00620844"/>
    <w:rsid w:val="006208EC"/>
    <w:rsid w:val="006215E8"/>
    <w:rsid w:val="00621B32"/>
    <w:rsid w:val="00622480"/>
    <w:rsid w:val="006229F4"/>
    <w:rsid w:val="006235E5"/>
    <w:rsid w:val="00623B24"/>
    <w:rsid w:val="006244BF"/>
    <w:rsid w:val="0062483A"/>
    <w:rsid w:val="006256AB"/>
    <w:rsid w:val="00625DBF"/>
    <w:rsid w:val="00626314"/>
    <w:rsid w:val="00626E21"/>
    <w:rsid w:val="00626E55"/>
    <w:rsid w:val="0062763C"/>
    <w:rsid w:val="00630038"/>
    <w:rsid w:val="00631AA5"/>
    <w:rsid w:val="00631EAD"/>
    <w:rsid w:val="006321C0"/>
    <w:rsid w:val="00633255"/>
    <w:rsid w:val="0063370F"/>
    <w:rsid w:val="00633BAF"/>
    <w:rsid w:val="00633D53"/>
    <w:rsid w:val="006340ED"/>
    <w:rsid w:val="00634C1F"/>
    <w:rsid w:val="0063502F"/>
    <w:rsid w:val="00636500"/>
    <w:rsid w:val="0063659E"/>
    <w:rsid w:val="00636729"/>
    <w:rsid w:val="00637C64"/>
    <w:rsid w:val="00637DED"/>
    <w:rsid w:val="00640567"/>
    <w:rsid w:val="00640FFB"/>
    <w:rsid w:val="0064146F"/>
    <w:rsid w:val="00642E17"/>
    <w:rsid w:val="006437C7"/>
    <w:rsid w:val="00643C8D"/>
    <w:rsid w:val="00645152"/>
    <w:rsid w:val="006458EB"/>
    <w:rsid w:val="00646910"/>
    <w:rsid w:val="00646A9B"/>
    <w:rsid w:val="00646AF5"/>
    <w:rsid w:val="006474B2"/>
    <w:rsid w:val="0064783B"/>
    <w:rsid w:val="00647E8A"/>
    <w:rsid w:val="00650F7F"/>
    <w:rsid w:val="006516AB"/>
    <w:rsid w:val="00651F38"/>
    <w:rsid w:val="0065245F"/>
    <w:rsid w:val="006528A7"/>
    <w:rsid w:val="006533E4"/>
    <w:rsid w:val="00653585"/>
    <w:rsid w:val="0065364A"/>
    <w:rsid w:val="00653DB0"/>
    <w:rsid w:val="00655755"/>
    <w:rsid w:val="00656235"/>
    <w:rsid w:val="006566ED"/>
    <w:rsid w:val="0065690A"/>
    <w:rsid w:val="0065728B"/>
    <w:rsid w:val="00657813"/>
    <w:rsid w:val="00657819"/>
    <w:rsid w:val="0066087D"/>
    <w:rsid w:val="00660CA2"/>
    <w:rsid w:val="006615AC"/>
    <w:rsid w:val="0066187F"/>
    <w:rsid w:val="00661D48"/>
    <w:rsid w:val="00661F2D"/>
    <w:rsid w:val="00663528"/>
    <w:rsid w:val="00663CE6"/>
    <w:rsid w:val="00663EA2"/>
    <w:rsid w:val="00665839"/>
    <w:rsid w:val="006666EF"/>
    <w:rsid w:val="0066789A"/>
    <w:rsid w:val="006703FC"/>
    <w:rsid w:val="00670890"/>
    <w:rsid w:val="006715CE"/>
    <w:rsid w:val="006719E4"/>
    <w:rsid w:val="00671AC9"/>
    <w:rsid w:val="00671F4B"/>
    <w:rsid w:val="0067230B"/>
    <w:rsid w:val="00672D1F"/>
    <w:rsid w:val="00673549"/>
    <w:rsid w:val="00673A95"/>
    <w:rsid w:val="00674E64"/>
    <w:rsid w:val="006755A1"/>
    <w:rsid w:val="0067605A"/>
    <w:rsid w:val="00676837"/>
    <w:rsid w:val="00677E21"/>
    <w:rsid w:val="006814CE"/>
    <w:rsid w:val="00682BA0"/>
    <w:rsid w:val="00683A1C"/>
    <w:rsid w:val="00683C38"/>
    <w:rsid w:val="00684876"/>
    <w:rsid w:val="00684AEA"/>
    <w:rsid w:val="006853A2"/>
    <w:rsid w:val="00686736"/>
    <w:rsid w:val="00686BC1"/>
    <w:rsid w:val="00686D79"/>
    <w:rsid w:val="00687260"/>
    <w:rsid w:val="00690051"/>
    <w:rsid w:val="006902A1"/>
    <w:rsid w:val="0069096A"/>
    <w:rsid w:val="00690C1F"/>
    <w:rsid w:val="00691D63"/>
    <w:rsid w:val="006940F1"/>
    <w:rsid w:val="0069425C"/>
    <w:rsid w:val="0069448E"/>
    <w:rsid w:val="006944C5"/>
    <w:rsid w:val="006944F7"/>
    <w:rsid w:val="0069502E"/>
    <w:rsid w:val="00695770"/>
    <w:rsid w:val="006958B0"/>
    <w:rsid w:val="00695C78"/>
    <w:rsid w:val="00696F78"/>
    <w:rsid w:val="00697382"/>
    <w:rsid w:val="00697724"/>
    <w:rsid w:val="006A0140"/>
    <w:rsid w:val="006A031A"/>
    <w:rsid w:val="006A1BE8"/>
    <w:rsid w:val="006A1BEF"/>
    <w:rsid w:val="006A2492"/>
    <w:rsid w:val="006A2646"/>
    <w:rsid w:val="006A28CE"/>
    <w:rsid w:val="006A2971"/>
    <w:rsid w:val="006A48F5"/>
    <w:rsid w:val="006A4E10"/>
    <w:rsid w:val="006A504C"/>
    <w:rsid w:val="006A60B5"/>
    <w:rsid w:val="006A619A"/>
    <w:rsid w:val="006A66F4"/>
    <w:rsid w:val="006A789C"/>
    <w:rsid w:val="006A7C3F"/>
    <w:rsid w:val="006A7CA1"/>
    <w:rsid w:val="006B041F"/>
    <w:rsid w:val="006B051D"/>
    <w:rsid w:val="006B0787"/>
    <w:rsid w:val="006B0889"/>
    <w:rsid w:val="006B0BA0"/>
    <w:rsid w:val="006B1007"/>
    <w:rsid w:val="006B1227"/>
    <w:rsid w:val="006B2217"/>
    <w:rsid w:val="006B2493"/>
    <w:rsid w:val="006B314E"/>
    <w:rsid w:val="006B3D79"/>
    <w:rsid w:val="006B48CE"/>
    <w:rsid w:val="006B50FE"/>
    <w:rsid w:val="006B5B76"/>
    <w:rsid w:val="006B5F21"/>
    <w:rsid w:val="006B69D6"/>
    <w:rsid w:val="006B76C3"/>
    <w:rsid w:val="006B7E63"/>
    <w:rsid w:val="006C025B"/>
    <w:rsid w:val="006C0E63"/>
    <w:rsid w:val="006C106B"/>
    <w:rsid w:val="006C154D"/>
    <w:rsid w:val="006C2389"/>
    <w:rsid w:val="006C23AF"/>
    <w:rsid w:val="006C2ADE"/>
    <w:rsid w:val="006C2F27"/>
    <w:rsid w:val="006C365B"/>
    <w:rsid w:val="006C3D11"/>
    <w:rsid w:val="006C457F"/>
    <w:rsid w:val="006C4A33"/>
    <w:rsid w:val="006C523D"/>
    <w:rsid w:val="006C547C"/>
    <w:rsid w:val="006C5944"/>
    <w:rsid w:val="006C5948"/>
    <w:rsid w:val="006C633C"/>
    <w:rsid w:val="006C63C9"/>
    <w:rsid w:val="006C6CB6"/>
    <w:rsid w:val="006C7009"/>
    <w:rsid w:val="006D0854"/>
    <w:rsid w:val="006D08CC"/>
    <w:rsid w:val="006D0C6D"/>
    <w:rsid w:val="006D0F50"/>
    <w:rsid w:val="006D131B"/>
    <w:rsid w:val="006D1CBD"/>
    <w:rsid w:val="006D2688"/>
    <w:rsid w:val="006D2BE2"/>
    <w:rsid w:val="006D2CDD"/>
    <w:rsid w:val="006D39C6"/>
    <w:rsid w:val="006D400E"/>
    <w:rsid w:val="006D47C6"/>
    <w:rsid w:val="006D5474"/>
    <w:rsid w:val="006D5549"/>
    <w:rsid w:val="006D6696"/>
    <w:rsid w:val="006D67F5"/>
    <w:rsid w:val="006D690A"/>
    <w:rsid w:val="006D6D1D"/>
    <w:rsid w:val="006D7293"/>
    <w:rsid w:val="006D72AC"/>
    <w:rsid w:val="006D75F1"/>
    <w:rsid w:val="006E0CEF"/>
    <w:rsid w:val="006E2776"/>
    <w:rsid w:val="006E44CA"/>
    <w:rsid w:val="006E4DE0"/>
    <w:rsid w:val="006E5889"/>
    <w:rsid w:val="006E606E"/>
    <w:rsid w:val="006E6FF7"/>
    <w:rsid w:val="006F038E"/>
    <w:rsid w:val="006F09C2"/>
    <w:rsid w:val="006F1CEB"/>
    <w:rsid w:val="006F2955"/>
    <w:rsid w:val="006F30BE"/>
    <w:rsid w:val="006F4A7D"/>
    <w:rsid w:val="006F4B61"/>
    <w:rsid w:val="006F4BDE"/>
    <w:rsid w:val="006F6891"/>
    <w:rsid w:val="006F6D53"/>
    <w:rsid w:val="006F759C"/>
    <w:rsid w:val="00700E5A"/>
    <w:rsid w:val="007010E4"/>
    <w:rsid w:val="00701EC8"/>
    <w:rsid w:val="0070260A"/>
    <w:rsid w:val="0070276C"/>
    <w:rsid w:val="007029C3"/>
    <w:rsid w:val="00703648"/>
    <w:rsid w:val="007042B6"/>
    <w:rsid w:val="007044BF"/>
    <w:rsid w:val="00704505"/>
    <w:rsid w:val="00705918"/>
    <w:rsid w:val="00706959"/>
    <w:rsid w:val="00707304"/>
    <w:rsid w:val="007075DF"/>
    <w:rsid w:val="00710F0A"/>
    <w:rsid w:val="00710FE9"/>
    <w:rsid w:val="007117C2"/>
    <w:rsid w:val="00711AF5"/>
    <w:rsid w:val="00711B5F"/>
    <w:rsid w:val="0071335A"/>
    <w:rsid w:val="007141C1"/>
    <w:rsid w:val="00714796"/>
    <w:rsid w:val="0071510C"/>
    <w:rsid w:val="00715B79"/>
    <w:rsid w:val="00715B97"/>
    <w:rsid w:val="00715D28"/>
    <w:rsid w:val="00715EA2"/>
    <w:rsid w:val="007160BB"/>
    <w:rsid w:val="007160E5"/>
    <w:rsid w:val="00716DC6"/>
    <w:rsid w:val="00716E05"/>
    <w:rsid w:val="00717E50"/>
    <w:rsid w:val="00720319"/>
    <w:rsid w:val="00720326"/>
    <w:rsid w:val="00720961"/>
    <w:rsid w:val="007213A3"/>
    <w:rsid w:val="00721B88"/>
    <w:rsid w:val="0072219A"/>
    <w:rsid w:val="00722515"/>
    <w:rsid w:val="00722715"/>
    <w:rsid w:val="007234E0"/>
    <w:rsid w:val="007236D3"/>
    <w:rsid w:val="0072438A"/>
    <w:rsid w:val="00724541"/>
    <w:rsid w:val="00724BA3"/>
    <w:rsid w:val="007251A9"/>
    <w:rsid w:val="00725667"/>
    <w:rsid w:val="007256C6"/>
    <w:rsid w:val="0072623B"/>
    <w:rsid w:val="007262B8"/>
    <w:rsid w:val="00726EAE"/>
    <w:rsid w:val="007272B6"/>
    <w:rsid w:val="00727AFD"/>
    <w:rsid w:val="00727B17"/>
    <w:rsid w:val="00727B35"/>
    <w:rsid w:val="00730771"/>
    <w:rsid w:val="00732445"/>
    <w:rsid w:val="00734F11"/>
    <w:rsid w:val="007351E3"/>
    <w:rsid w:val="00735583"/>
    <w:rsid w:val="007357D6"/>
    <w:rsid w:val="00735870"/>
    <w:rsid w:val="00736339"/>
    <w:rsid w:val="00736556"/>
    <w:rsid w:val="00736693"/>
    <w:rsid w:val="00736876"/>
    <w:rsid w:val="0073704A"/>
    <w:rsid w:val="007370BE"/>
    <w:rsid w:val="00740003"/>
    <w:rsid w:val="00740C58"/>
    <w:rsid w:val="00740E58"/>
    <w:rsid w:val="00741267"/>
    <w:rsid w:val="00741890"/>
    <w:rsid w:val="00742053"/>
    <w:rsid w:val="007425E8"/>
    <w:rsid w:val="00743871"/>
    <w:rsid w:val="00746113"/>
    <w:rsid w:val="00747367"/>
    <w:rsid w:val="00747A4C"/>
    <w:rsid w:val="00747E19"/>
    <w:rsid w:val="00747E5C"/>
    <w:rsid w:val="00747FAA"/>
    <w:rsid w:val="007505B1"/>
    <w:rsid w:val="00750ADF"/>
    <w:rsid w:val="007510F2"/>
    <w:rsid w:val="0075277F"/>
    <w:rsid w:val="00753287"/>
    <w:rsid w:val="00753D07"/>
    <w:rsid w:val="0075409F"/>
    <w:rsid w:val="0075494B"/>
    <w:rsid w:val="007553DD"/>
    <w:rsid w:val="00755AF5"/>
    <w:rsid w:val="0075627A"/>
    <w:rsid w:val="00756FB1"/>
    <w:rsid w:val="007575CC"/>
    <w:rsid w:val="00757D8D"/>
    <w:rsid w:val="00757DEB"/>
    <w:rsid w:val="00760D38"/>
    <w:rsid w:val="007616DF"/>
    <w:rsid w:val="0076192C"/>
    <w:rsid w:val="007619FF"/>
    <w:rsid w:val="007629CA"/>
    <w:rsid w:val="00762DE5"/>
    <w:rsid w:val="00763787"/>
    <w:rsid w:val="007640B7"/>
    <w:rsid w:val="00764B06"/>
    <w:rsid w:val="00765B8F"/>
    <w:rsid w:val="00766476"/>
    <w:rsid w:val="00766F9D"/>
    <w:rsid w:val="0076756B"/>
    <w:rsid w:val="0076760C"/>
    <w:rsid w:val="00770309"/>
    <w:rsid w:val="00770530"/>
    <w:rsid w:val="0077085E"/>
    <w:rsid w:val="00770DE4"/>
    <w:rsid w:val="00772136"/>
    <w:rsid w:val="00772627"/>
    <w:rsid w:val="00772C60"/>
    <w:rsid w:val="007731E9"/>
    <w:rsid w:val="00773B81"/>
    <w:rsid w:val="00773F74"/>
    <w:rsid w:val="00774AF1"/>
    <w:rsid w:val="007750DD"/>
    <w:rsid w:val="007750E3"/>
    <w:rsid w:val="00776BD7"/>
    <w:rsid w:val="0078137E"/>
    <w:rsid w:val="007821E2"/>
    <w:rsid w:val="007821FB"/>
    <w:rsid w:val="00782BCA"/>
    <w:rsid w:val="00782E21"/>
    <w:rsid w:val="00783B95"/>
    <w:rsid w:val="00783C0A"/>
    <w:rsid w:val="00784623"/>
    <w:rsid w:val="00784ABE"/>
    <w:rsid w:val="00786535"/>
    <w:rsid w:val="0078758A"/>
    <w:rsid w:val="00787889"/>
    <w:rsid w:val="00787F6C"/>
    <w:rsid w:val="007902D0"/>
    <w:rsid w:val="00791C38"/>
    <w:rsid w:val="00791E6E"/>
    <w:rsid w:val="00792ABB"/>
    <w:rsid w:val="00792CBF"/>
    <w:rsid w:val="0079401D"/>
    <w:rsid w:val="00795C03"/>
    <w:rsid w:val="00795D8E"/>
    <w:rsid w:val="007962BB"/>
    <w:rsid w:val="007966E4"/>
    <w:rsid w:val="00796F9C"/>
    <w:rsid w:val="00797049"/>
    <w:rsid w:val="00797AE0"/>
    <w:rsid w:val="007A01EA"/>
    <w:rsid w:val="007A07E7"/>
    <w:rsid w:val="007A08BF"/>
    <w:rsid w:val="007A0D1B"/>
    <w:rsid w:val="007A0E6C"/>
    <w:rsid w:val="007A0EB8"/>
    <w:rsid w:val="007A14A2"/>
    <w:rsid w:val="007A1539"/>
    <w:rsid w:val="007A17B7"/>
    <w:rsid w:val="007A2188"/>
    <w:rsid w:val="007A244E"/>
    <w:rsid w:val="007A2496"/>
    <w:rsid w:val="007A25D3"/>
    <w:rsid w:val="007A25F4"/>
    <w:rsid w:val="007A375E"/>
    <w:rsid w:val="007A395B"/>
    <w:rsid w:val="007A3F87"/>
    <w:rsid w:val="007A4B5B"/>
    <w:rsid w:val="007A4C17"/>
    <w:rsid w:val="007B12BB"/>
    <w:rsid w:val="007B16F2"/>
    <w:rsid w:val="007B1C6C"/>
    <w:rsid w:val="007B2B5E"/>
    <w:rsid w:val="007B2ED1"/>
    <w:rsid w:val="007B3113"/>
    <w:rsid w:val="007B3C13"/>
    <w:rsid w:val="007B53AA"/>
    <w:rsid w:val="007B59FE"/>
    <w:rsid w:val="007B61E5"/>
    <w:rsid w:val="007B69F9"/>
    <w:rsid w:val="007B6F29"/>
    <w:rsid w:val="007B73C8"/>
    <w:rsid w:val="007B790A"/>
    <w:rsid w:val="007C013F"/>
    <w:rsid w:val="007C04E5"/>
    <w:rsid w:val="007C0F14"/>
    <w:rsid w:val="007C18C9"/>
    <w:rsid w:val="007C1F34"/>
    <w:rsid w:val="007C21AB"/>
    <w:rsid w:val="007C22D5"/>
    <w:rsid w:val="007C2486"/>
    <w:rsid w:val="007C29DD"/>
    <w:rsid w:val="007C3538"/>
    <w:rsid w:val="007C358D"/>
    <w:rsid w:val="007C54E3"/>
    <w:rsid w:val="007C56AD"/>
    <w:rsid w:val="007C56B7"/>
    <w:rsid w:val="007C5AB6"/>
    <w:rsid w:val="007C693C"/>
    <w:rsid w:val="007C6E67"/>
    <w:rsid w:val="007C78CB"/>
    <w:rsid w:val="007C7AFE"/>
    <w:rsid w:val="007C7DAA"/>
    <w:rsid w:val="007D09C0"/>
    <w:rsid w:val="007D0BFB"/>
    <w:rsid w:val="007D1257"/>
    <w:rsid w:val="007D1B05"/>
    <w:rsid w:val="007D2348"/>
    <w:rsid w:val="007D2445"/>
    <w:rsid w:val="007D2581"/>
    <w:rsid w:val="007D26ED"/>
    <w:rsid w:val="007D2A0B"/>
    <w:rsid w:val="007D322B"/>
    <w:rsid w:val="007D3416"/>
    <w:rsid w:val="007D40F0"/>
    <w:rsid w:val="007D4B2D"/>
    <w:rsid w:val="007D4C72"/>
    <w:rsid w:val="007D4DEA"/>
    <w:rsid w:val="007D4DFB"/>
    <w:rsid w:val="007D5D18"/>
    <w:rsid w:val="007D5E86"/>
    <w:rsid w:val="007D60EC"/>
    <w:rsid w:val="007D7305"/>
    <w:rsid w:val="007D74AC"/>
    <w:rsid w:val="007E139D"/>
    <w:rsid w:val="007E1B95"/>
    <w:rsid w:val="007E1DAE"/>
    <w:rsid w:val="007E4C33"/>
    <w:rsid w:val="007E65FB"/>
    <w:rsid w:val="007E6FF6"/>
    <w:rsid w:val="007E7295"/>
    <w:rsid w:val="007E771F"/>
    <w:rsid w:val="007F0E6D"/>
    <w:rsid w:val="007F13E3"/>
    <w:rsid w:val="007F285F"/>
    <w:rsid w:val="007F375B"/>
    <w:rsid w:val="007F3B95"/>
    <w:rsid w:val="007F3F19"/>
    <w:rsid w:val="007F4277"/>
    <w:rsid w:val="007F4B6E"/>
    <w:rsid w:val="007F4E06"/>
    <w:rsid w:val="007F547C"/>
    <w:rsid w:val="007F5867"/>
    <w:rsid w:val="007F63ED"/>
    <w:rsid w:val="007F6B51"/>
    <w:rsid w:val="007F7EB2"/>
    <w:rsid w:val="0080035F"/>
    <w:rsid w:val="008023BD"/>
    <w:rsid w:val="00802EC3"/>
    <w:rsid w:val="0080326F"/>
    <w:rsid w:val="00803EE5"/>
    <w:rsid w:val="008044C8"/>
    <w:rsid w:val="0080459A"/>
    <w:rsid w:val="008071A9"/>
    <w:rsid w:val="008077CF"/>
    <w:rsid w:val="00807C35"/>
    <w:rsid w:val="00807E41"/>
    <w:rsid w:val="008105F9"/>
    <w:rsid w:val="00810BF9"/>
    <w:rsid w:val="00810C28"/>
    <w:rsid w:val="00811023"/>
    <w:rsid w:val="00811143"/>
    <w:rsid w:val="008112B8"/>
    <w:rsid w:val="008116A7"/>
    <w:rsid w:val="00812793"/>
    <w:rsid w:val="00812992"/>
    <w:rsid w:val="00813CC2"/>
    <w:rsid w:val="008143FA"/>
    <w:rsid w:val="00814682"/>
    <w:rsid w:val="008147CA"/>
    <w:rsid w:val="008158D2"/>
    <w:rsid w:val="00815ACD"/>
    <w:rsid w:val="0081601B"/>
    <w:rsid w:val="00816D03"/>
    <w:rsid w:val="008171A7"/>
    <w:rsid w:val="00817867"/>
    <w:rsid w:val="00820429"/>
    <w:rsid w:val="008207C1"/>
    <w:rsid w:val="00820CEB"/>
    <w:rsid w:val="008219D5"/>
    <w:rsid w:val="0082223F"/>
    <w:rsid w:val="008226BC"/>
    <w:rsid w:val="00823AA0"/>
    <w:rsid w:val="00823CAB"/>
    <w:rsid w:val="00823DF1"/>
    <w:rsid w:val="00824676"/>
    <w:rsid w:val="00824C9A"/>
    <w:rsid w:val="008250A4"/>
    <w:rsid w:val="00826441"/>
    <w:rsid w:val="00826CDD"/>
    <w:rsid w:val="00827887"/>
    <w:rsid w:val="00830B48"/>
    <w:rsid w:val="00831104"/>
    <w:rsid w:val="00831A60"/>
    <w:rsid w:val="00831C8B"/>
    <w:rsid w:val="00831FF9"/>
    <w:rsid w:val="00832410"/>
    <w:rsid w:val="008324AA"/>
    <w:rsid w:val="00832BE1"/>
    <w:rsid w:val="00832DF3"/>
    <w:rsid w:val="00832EE5"/>
    <w:rsid w:val="008330FB"/>
    <w:rsid w:val="008332B5"/>
    <w:rsid w:val="0083361C"/>
    <w:rsid w:val="00833B80"/>
    <w:rsid w:val="008343A6"/>
    <w:rsid w:val="008354EB"/>
    <w:rsid w:val="008365D0"/>
    <w:rsid w:val="00836984"/>
    <w:rsid w:val="008373BA"/>
    <w:rsid w:val="008375C8"/>
    <w:rsid w:val="00841704"/>
    <w:rsid w:val="00841D37"/>
    <w:rsid w:val="0084238D"/>
    <w:rsid w:val="0084242A"/>
    <w:rsid w:val="00842861"/>
    <w:rsid w:val="00842EFE"/>
    <w:rsid w:val="008434D8"/>
    <w:rsid w:val="00843835"/>
    <w:rsid w:val="00843867"/>
    <w:rsid w:val="0084393C"/>
    <w:rsid w:val="00845550"/>
    <w:rsid w:val="00845CB0"/>
    <w:rsid w:val="0084640C"/>
    <w:rsid w:val="00846C55"/>
    <w:rsid w:val="00846CA3"/>
    <w:rsid w:val="00847111"/>
    <w:rsid w:val="008479FB"/>
    <w:rsid w:val="0085116E"/>
    <w:rsid w:val="008528E5"/>
    <w:rsid w:val="00853323"/>
    <w:rsid w:val="00854598"/>
    <w:rsid w:val="00854E01"/>
    <w:rsid w:val="00854FCC"/>
    <w:rsid w:val="00854FFB"/>
    <w:rsid w:val="0085510B"/>
    <w:rsid w:val="00855174"/>
    <w:rsid w:val="00855B48"/>
    <w:rsid w:val="008561A5"/>
    <w:rsid w:val="008566C3"/>
    <w:rsid w:val="00856857"/>
    <w:rsid w:val="00860F1C"/>
    <w:rsid w:val="00861631"/>
    <w:rsid w:val="00861649"/>
    <w:rsid w:val="00862096"/>
    <w:rsid w:val="00862232"/>
    <w:rsid w:val="00862B63"/>
    <w:rsid w:val="00862CE4"/>
    <w:rsid w:val="008636AC"/>
    <w:rsid w:val="008641D5"/>
    <w:rsid w:val="00864523"/>
    <w:rsid w:val="00866085"/>
    <w:rsid w:val="00866BD2"/>
    <w:rsid w:val="00866D9B"/>
    <w:rsid w:val="008672A6"/>
    <w:rsid w:val="0087003E"/>
    <w:rsid w:val="00870CB7"/>
    <w:rsid w:val="00871074"/>
    <w:rsid w:val="00872089"/>
    <w:rsid w:val="008723CF"/>
    <w:rsid w:val="008725AF"/>
    <w:rsid w:val="0087346D"/>
    <w:rsid w:val="00874A6D"/>
    <w:rsid w:val="00874F24"/>
    <w:rsid w:val="0087526E"/>
    <w:rsid w:val="00875ED4"/>
    <w:rsid w:val="00876600"/>
    <w:rsid w:val="00877844"/>
    <w:rsid w:val="00877A7B"/>
    <w:rsid w:val="00877AE9"/>
    <w:rsid w:val="00880510"/>
    <w:rsid w:val="00881254"/>
    <w:rsid w:val="008821DB"/>
    <w:rsid w:val="008822C7"/>
    <w:rsid w:val="00882DE6"/>
    <w:rsid w:val="00883BA2"/>
    <w:rsid w:val="00883FED"/>
    <w:rsid w:val="0088400F"/>
    <w:rsid w:val="008840E0"/>
    <w:rsid w:val="008846CF"/>
    <w:rsid w:val="00885300"/>
    <w:rsid w:val="00885330"/>
    <w:rsid w:val="008856D7"/>
    <w:rsid w:val="0088590A"/>
    <w:rsid w:val="00885D1E"/>
    <w:rsid w:val="00886871"/>
    <w:rsid w:val="0088748D"/>
    <w:rsid w:val="008877A5"/>
    <w:rsid w:val="0089038A"/>
    <w:rsid w:val="00891786"/>
    <w:rsid w:val="00892A98"/>
    <w:rsid w:val="00892B99"/>
    <w:rsid w:val="00893374"/>
    <w:rsid w:val="008933D8"/>
    <w:rsid w:val="008934ED"/>
    <w:rsid w:val="008943C8"/>
    <w:rsid w:val="008945B0"/>
    <w:rsid w:val="0089542D"/>
    <w:rsid w:val="00895628"/>
    <w:rsid w:val="00895FF6"/>
    <w:rsid w:val="00897D49"/>
    <w:rsid w:val="008A012D"/>
    <w:rsid w:val="008A08D5"/>
    <w:rsid w:val="008A0C9D"/>
    <w:rsid w:val="008A11FA"/>
    <w:rsid w:val="008A12CE"/>
    <w:rsid w:val="008A1E98"/>
    <w:rsid w:val="008A1ECC"/>
    <w:rsid w:val="008A1EF9"/>
    <w:rsid w:val="008A20AC"/>
    <w:rsid w:val="008A2682"/>
    <w:rsid w:val="008A2A83"/>
    <w:rsid w:val="008A38D8"/>
    <w:rsid w:val="008A3D21"/>
    <w:rsid w:val="008A4C08"/>
    <w:rsid w:val="008A4F01"/>
    <w:rsid w:val="008A5360"/>
    <w:rsid w:val="008A5639"/>
    <w:rsid w:val="008A6476"/>
    <w:rsid w:val="008A67EC"/>
    <w:rsid w:val="008A6B24"/>
    <w:rsid w:val="008A6DAE"/>
    <w:rsid w:val="008A7E85"/>
    <w:rsid w:val="008B0404"/>
    <w:rsid w:val="008B1305"/>
    <w:rsid w:val="008B1412"/>
    <w:rsid w:val="008B15E9"/>
    <w:rsid w:val="008B1D11"/>
    <w:rsid w:val="008B200E"/>
    <w:rsid w:val="008B258A"/>
    <w:rsid w:val="008B2875"/>
    <w:rsid w:val="008B2FE3"/>
    <w:rsid w:val="008B3A44"/>
    <w:rsid w:val="008B3E66"/>
    <w:rsid w:val="008B4CAE"/>
    <w:rsid w:val="008B5727"/>
    <w:rsid w:val="008B587D"/>
    <w:rsid w:val="008B6CEF"/>
    <w:rsid w:val="008B75A0"/>
    <w:rsid w:val="008C00EF"/>
    <w:rsid w:val="008C17E2"/>
    <w:rsid w:val="008C213A"/>
    <w:rsid w:val="008C25C5"/>
    <w:rsid w:val="008C2B1A"/>
    <w:rsid w:val="008C38F5"/>
    <w:rsid w:val="008C3E07"/>
    <w:rsid w:val="008C40F2"/>
    <w:rsid w:val="008C478F"/>
    <w:rsid w:val="008C50EA"/>
    <w:rsid w:val="008C55A2"/>
    <w:rsid w:val="008C56A3"/>
    <w:rsid w:val="008C5D77"/>
    <w:rsid w:val="008C5DCE"/>
    <w:rsid w:val="008C61FB"/>
    <w:rsid w:val="008D1A79"/>
    <w:rsid w:val="008D22C0"/>
    <w:rsid w:val="008D24BA"/>
    <w:rsid w:val="008D25BF"/>
    <w:rsid w:val="008D3121"/>
    <w:rsid w:val="008D3366"/>
    <w:rsid w:val="008D39C4"/>
    <w:rsid w:val="008D40F9"/>
    <w:rsid w:val="008D4802"/>
    <w:rsid w:val="008D5B8D"/>
    <w:rsid w:val="008D65DE"/>
    <w:rsid w:val="008D691E"/>
    <w:rsid w:val="008D70DC"/>
    <w:rsid w:val="008D7161"/>
    <w:rsid w:val="008D7594"/>
    <w:rsid w:val="008D78F3"/>
    <w:rsid w:val="008D7C20"/>
    <w:rsid w:val="008E0722"/>
    <w:rsid w:val="008E0A4C"/>
    <w:rsid w:val="008E0C3C"/>
    <w:rsid w:val="008E197B"/>
    <w:rsid w:val="008E2AAE"/>
    <w:rsid w:val="008E2E8D"/>
    <w:rsid w:val="008E5060"/>
    <w:rsid w:val="008E6A75"/>
    <w:rsid w:val="008E74F9"/>
    <w:rsid w:val="008F066B"/>
    <w:rsid w:val="008F07C0"/>
    <w:rsid w:val="008F0E1D"/>
    <w:rsid w:val="008F1057"/>
    <w:rsid w:val="008F1F0C"/>
    <w:rsid w:val="008F22E0"/>
    <w:rsid w:val="008F2E96"/>
    <w:rsid w:val="008F48D8"/>
    <w:rsid w:val="008F521E"/>
    <w:rsid w:val="008F53D9"/>
    <w:rsid w:val="008F657A"/>
    <w:rsid w:val="00900A02"/>
    <w:rsid w:val="00900FD8"/>
    <w:rsid w:val="00901024"/>
    <w:rsid w:val="009023C8"/>
    <w:rsid w:val="00902405"/>
    <w:rsid w:val="0090303B"/>
    <w:rsid w:val="0090352E"/>
    <w:rsid w:val="00903A11"/>
    <w:rsid w:val="00903F69"/>
    <w:rsid w:val="00904330"/>
    <w:rsid w:val="00904640"/>
    <w:rsid w:val="009050D8"/>
    <w:rsid w:val="009056F8"/>
    <w:rsid w:val="00905A9F"/>
    <w:rsid w:val="0090611F"/>
    <w:rsid w:val="009066D5"/>
    <w:rsid w:val="00906D02"/>
    <w:rsid w:val="00906F21"/>
    <w:rsid w:val="009078BB"/>
    <w:rsid w:val="00910122"/>
    <w:rsid w:val="009103FF"/>
    <w:rsid w:val="009105E8"/>
    <w:rsid w:val="00910F2A"/>
    <w:rsid w:val="009112B9"/>
    <w:rsid w:val="00911637"/>
    <w:rsid w:val="00912340"/>
    <w:rsid w:val="00912C05"/>
    <w:rsid w:val="00913899"/>
    <w:rsid w:val="00913C14"/>
    <w:rsid w:val="00914076"/>
    <w:rsid w:val="00914B90"/>
    <w:rsid w:val="00916E48"/>
    <w:rsid w:val="00916F31"/>
    <w:rsid w:val="00921113"/>
    <w:rsid w:val="00921DD1"/>
    <w:rsid w:val="00922D0A"/>
    <w:rsid w:val="009235C5"/>
    <w:rsid w:val="00923D8E"/>
    <w:rsid w:val="00923E25"/>
    <w:rsid w:val="009241A2"/>
    <w:rsid w:val="0092468C"/>
    <w:rsid w:val="00924BCA"/>
    <w:rsid w:val="00925F0C"/>
    <w:rsid w:val="00926192"/>
    <w:rsid w:val="00926895"/>
    <w:rsid w:val="00927303"/>
    <w:rsid w:val="0092730B"/>
    <w:rsid w:val="0092798F"/>
    <w:rsid w:val="00927C1D"/>
    <w:rsid w:val="00930145"/>
    <w:rsid w:val="009308CE"/>
    <w:rsid w:val="00930F9D"/>
    <w:rsid w:val="009311CC"/>
    <w:rsid w:val="00931736"/>
    <w:rsid w:val="00931CF1"/>
    <w:rsid w:val="0093225E"/>
    <w:rsid w:val="00932F88"/>
    <w:rsid w:val="00933246"/>
    <w:rsid w:val="009333E2"/>
    <w:rsid w:val="0093362A"/>
    <w:rsid w:val="00933E3D"/>
    <w:rsid w:val="00933F5C"/>
    <w:rsid w:val="0093474D"/>
    <w:rsid w:val="009349ED"/>
    <w:rsid w:val="0093508A"/>
    <w:rsid w:val="00935ECF"/>
    <w:rsid w:val="00937854"/>
    <w:rsid w:val="00941038"/>
    <w:rsid w:val="00941083"/>
    <w:rsid w:val="00941155"/>
    <w:rsid w:val="009415E0"/>
    <w:rsid w:val="00941F82"/>
    <w:rsid w:val="00941F96"/>
    <w:rsid w:val="00942077"/>
    <w:rsid w:val="009420BE"/>
    <w:rsid w:val="009422AD"/>
    <w:rsid w:val="0094261C"/>
    <w:rsid w:val="009430BA"/>
    <w:rsid w:val="009439C1"/>
    <w:rsid w:val="00943F16"/>
    <w:rsid w:val="00945202"/>
    <w:rsid w:val="00945CCC"/>
    <w:rsid w:val="00946500"/>
    <w:rsid w:val="00950C47"/>
    <w:rsid w:val="009511B5"/>
    <w:rsid w:val="009517A7"/>
    <w:rsid w:val="00951ACC"/>
    <w:rsid w:val="00951FE0"/>
    <w:rsid w:val="00953198"/>
    <w:rsid w:val="0095341F"/>
    <w:rsid w:val="00954295"/>
    <w:rsid w:val="00954D52"/>
    <w:rsid w:val="009551C8"/>
    <w:rsid w:val="0095591A"/>
    <w:rsid w:val="00955EB4"/>
    <w:rsid w:val="00956282"/>
    <w:rsid w:val="0095794A"/>
    <w:rsid w:val="00960055"/>
    <w:rsid w:val="0096014E"/>
    <w:rsid w:val="0096044C"/>
    <w:rsid w:val="009611D5"/>
    <w:rsid w:val="009613EF"/>
    <w:rsid w:val="00961D5A"/>
    <w:rsid w:val="009628F9"/>
    <w:rsid w:val="00963514"/>
    <w:rsid w:val="00963545"/>
    <w:rsid w:val="0096436C"/>
    <w:rsid w:val="00964E65"/>
    <w:rsid w:val="009651A2"/>
    <w:rsid w:val="009653F7"/>
    <w:rsid w:val="009655A3"/>
    <w:rsid w:val="00966D98"/>
    <w:rsid w:val="00966F0C"/>
    <w:rsid w:val="00967283"/>
    <w:rsid w:val="0096782F"/>
    <w:rsid w:val="00967A5D"/>
    <w:rsid w:val="00967DE6"/>
    <w:rsid w:val="00967E21"/>
    <w:rsid w:val="00970039"/>
    <w:rsid w:val="00970EFE"/>
    <w:rsid w:val="009710B1"/>
    <w:rsid w:val="00971211"/>
    <w:rsid w:val="0097183A"/>
    <w:rsid w:val="009720B6"/>
    <w:rsid w:val="009720D6"/>
    <w:rsid w:val="009727B0"/>
    <w:rsid w:val="00973039"/>
    <w:rsid w:val="00973B05"/>
    <w:rsid w:val="00975218"/>
    <w:rsid w:val="009754B4"/>
    <w:rsid w:val="00975D87"/>
    <w:rsid w:val="009760C3"/>
    <w:rsid w:val="00977F4F"/>
    <w:rsid w:val="0098003B"/>
    <w:rsid w:val="009807AD"/>
    <w:rsid w:val="00980F8F"/>
    <w:rsid w:val="0098166D"/>
    <w:rsid w:val="00981740"/>
    <w:rsid w:val="00981B55"/>
    <w:rsid w:val="00981FDD"/>
    <w:rsid w:val="0098256F"/>
    <w:rsid w:val="009829C5"/>
    <w:rsid w:val="00982B31"/>
    <w:rsid w:val="00983920"/>
    <w:rsid w:val="00984CFE"/>
    <w:rsid w:val="0098577D"/>
    <w:rsid w:val="009902EB"/>
    <w:rsid w:val="009910C5"/>
    <w:rsid w:val="00991CD6"/>
    <w:rsid w:val="00992527"/>
    <w:rsid w:val="009927D3"/>
    <w:rsid w:val="00992B51"/>
    <w:rsid w:val="00992B59"/>
    <w:rsid w:val="00992C92"/>
    <w:rsid w:val="0099332A"/>
    <w:rsid w:val="0099370B"/>
    <w:rsid w:val="00994180"/>
    <w:rsid w:val="009943B4"/>
    <w:rsid w:val="00994D6A"/>
    <w:rsid w:val="00995A1B"/>
    <w:rsid w:val="00995DD8"/>
    <w:rsid w:val="00995FC8"/>
    <w:rsid w:val="009A032C"/>
    <w:rsid w:val="009A1280"/>
    <w:rsid w:val="009A1321"/>
    <w:rsid w:val="009A1936"/>
    <w:rsid w:val="009A1A93"/>
    <w:rsid w:val="009A1E17"/>
    <w:rsid w:val="009A1E48"/>
    <w:rsid w:val="009A2B9A"/>
    <w:rsid w:val="009A2DD7"/>
    <w:rsid w:val="009A4C22"/>
    <w:rsid w:val="009A4EE8"/>
    <w:rsid w:val="009A533F"/>
    <w:rsid w:val="009A5C25"/>
    <w:rsid w:val="009A621D"/>
    <w:rsid w:val="009B0814"/>
    <w:rsid w:val="009B0935"/>
    <w:rsid w:val="009B132F"/>
    <w:rsid w:val="009B4A55"/>
    <w:rsid w:val="009B4C7F"/>
    <w:rsid w:val="009B5AAF"/>
    <w:rsid w:val="009B5C04"/>
    <w:rsid w:val="009B6859"/>
    <w:rsid w:val="009B7C2D"/>
    <w:rsid w:val="009C01B4"/>
    <w:rsid w:val="009C1B27"/>
    <w:rsid w:val="009C32E3"/>
    <w:rsid w:val="009C38FE"/>
    <w:rsid w:val="009C39F8"/>
    <w:rsid w:val="009C3E78"/>
    <w:rsid w:val="009C5AE4"/>
    <w:rsid w:val="009C5F09"/>
    <w:rsid w:val="009C5F53"/>
    <w:rsid w:val="009C7740"/>
    <w:rsid w:val="009D0423"/>
    <w:rsid w:val="009D04A6"/>
    <w:rsid w:val="009D0C40"/>
    <w:rsid w:val="009D2C37"/>
    <w:rsid w:val="009D4BCD"/>
    <w:rsid w:val="009D4C3F"/>
    <w:rsid w:val="009D4FA6"/>
    <w:rsid w:val="009D5D8D"/>
    <w:rsid w:val="009D6472"/>
    <w:rsid w:val="009D647C"/>
    <w:rsid w:val="009D6798"/>
    <w:rsid w:val="009D6B48"/>
    <w:rsid w:val="009D6FEF"/>
    <w:rsid w:val="009D7580"/>
    <w:rsid w:val="009D7689"/>
    <w:rsid w:val="009D7735"/>
    <w:rsid w:val="009D7A09"/>
    <w:rsid w:val="009D7CA0"/>
    <w:rsid w:val="009E0076"/>
    <w:rsid w:val="009E0321"/>
    <w:rsid w:val="009E0881"/>
    <w:rsid w:val="009E09A5"/>
    <w:rsid w:val="009E0CFF"/>
    <w:rsid w:val="009E104C"/>
    <w:rsid w:val="009E1B88"/>
    <w:rsid w:val="009E2892"/>
    <w:rsid w:val="009E3307"/>
    <w:rsid w:val="009E3463"/>
    <w:rsid w:val="009E38DC"/>
    <w:rsid w:val="009E3DAA"/>
    <w:rsid w:val="009E4346"/>
    <w:rsid w:val="009E45BB"/>
    <w:rsid w:val="009E51E9"/>
    <w:rsid w:val="009E5366"/>
    <w:rsid w:val="009E62DF"/>
    <w:rsid w:val="009E6E81"/>
    <w:rsid w:val="009E774C"/>
    <w:rsid w:val="009E7843"/>
    <w:rsid w:val="009E7AB4"/>
    <w:rsid w:val="009F0D95"/>
    <w:rsid w:val="009F1D9C"/>
    <w:rsid w:val="009F2129"/>
    <w:rsid w:val="009F2410"/>
    <w:rsid w:val="009F2AAD"/>
    <w:rsid w:val="009F2B2D"/>
    <w:rsid w:val="009F4986"/>
    <w:rsid w:val="009F5B62"/>
    <w:rsid w:val="009F66D5"/>
    <w:rsid w:val="009F7FB9"/>
    <w:rsid w:val="00A00CD6"/>
    <w:rsid w:val="00A00FAB"/>
    <w:rsid w:val="00A0108B"/>
    <w:rsid w:val="00A01529"/>
    <w:rsid w:val="00A01A11"/>
    <w:rsid w:val="00A01AB7"/>
    <w:rsid w:val="00A023EB"/>
    <w:rsid w:val="00A0299F"/>
    <w:rsid w:val="00A02C36"/>
    <w:rsid w:val="00A03723"/>
    <w:rsid w:val="00A03A46"/>
    <w:rsid w:val="00A044A7"/>
    <w:rsid w:val="00A045E8"/>
    <w:rsid w:val="00A054A5"/>
    <w:rsid w:val="00A05614"/>
    <w:rsid w:val="00A06899"/>
    <w:rsid w:val="00A06946"/>
    <w:rsid w:val="00A0698E"/>
    <w:rsid w:val="00A073B0"/>
    <w:rsid w:val="00A07FFE"/>
    <w:rsid w:val="00A10098"/>
    <w:rsid w:val="00A1019B"/>
    <w:rsid w:val="00A11066"/>
    <w:rsid w:val="00A11618"/>
    <w:rsid w:val="00A121A1"/>
    <w:rsid w:val="00A12315"/>
    <w:rsid w:val="00A12F87"/>
    <w:rsid w:val="00A13754"/>
    <w:rsid w:val="00A13A51"/>
    <w:rsid w:val="00A13C50"/>
    <w:rsid w:val="00A13F5E"/>
    <w:rsid w:val="00A14016"/>
    <w:rsid w:val="00A14517"/>
    <w:rsid w:val="00A15328"/>
    <w:rsid w:val="00A16173"/>
    <w:rsid w:val="00A17481"/>
    <w:rsid w:val="00A204E7"/>
    <w:rsid w:val="00A20FB9"/>
    <w:rsid w:val="00A215FA"/>
    <w:rsid w:val="00A21968"/>
    <w:rsid w:val="00A21E50"/>
    <w:rsid w:val="00A220E0"/>
    <w:rsid w:val="00A22E60"/>
    <w:rsid w:val="00A237A4"/>
    <w:rsid w:val="00A242BF"/>
    <w:rsid w:val="00A252B4"/>
    <w:rsid w:val="00A258B2"/>
    <w:rsid w:val="00A2596A"/>
    <w:rsid w:val="00A26033"/>
    <w:rsid w:val="00A2635B"/>
    <w:rsid w:val="00A26B89"/>
    <w:rsid w:val="00A30655"/>
    <w:rsid w:val="00A30D5E"/>
    <w:rsid w:val="00A31A1A"/>
    <w:rsid w:val="00A332FD"/>
    <w:rsid w:val="00A3375F"/>
    <w:rsid w:val="00A33E27"/>
    <w:rsid w:val="00A3426C"/>
    <w:rsid w:val="00A34670"/>
    <w:rsid w:val="00A34CAE"/>
    <w:rsid w:val="00A34F5F"/>
    <w:rsid w:val="00A35688"/>
    <w:rsid w:val="00A364FA"/>
    <w:rsid w:val="00A3670F"/>
    <w:rsid w:val="00A36CC0"/>
    <w:rsid w:val="00A37A7A"/>
    <w:rsid w:val="00A37F3E"/>
    <w:rsid w:val="00A4061F"/>
    <w:rsid w:val="00A40D36"/>
    <w:rsid w:val="00A41C9C"/>
    <w:rsid w:val="00A42CF3"/>
    <w:rsid w:val="00A431D6"/>
    <w:rsid w:val="00A43A99"/>
    <w:rsid w:val="00A44E17"/>
    <w:rsid w:val="00A450D4"/>
    <w:rsid w:val="00A4536F"/>
    <w:rsid w:val="00A45393"/>
    <w:rsid w:val="00A4561D"/>
    <w:rsid w:val="00A458D7"/>
    <w:rsid w:val="00A460B0"/>
    <w:rsid w:val="00A46D95"/>
    <w:rsid w:val="00A4749F"/>
    <w:rsid w:val="00A47630"/>
    <w:rsid w:val="00A477DE"/>
    <w:rsid w:val="00A47C2C"/>
    <w:rsid w:val="00A50E42"/>
    <w:rsid w:val="00A5229A"/>
    <w:rsid w:val="00A528EF"/>
    <w:rsid w:val="00A52FD9"/>
    <w:rsid w:val="00A53EDA"/>
    <w:rsid w:val="00A53F13"/>
    <w:rsid w:val="00A551AC"/>
    <w:rsid w:val="00A552EC"/>
    <w:rsid w:val="00A55675"/>
    <w:rsid w:val="00A55A8A"/>
    <w:rsid w:val="00A56C7D"/>
    <w:rsid w:val="00A56DC9"/>
    <w:rsid w:val="00A60127"/>
    <w:rsid w:val="00A60D32"/>
    <w:rsid w:val="00A61B6A"/>
    <w:rsid w:val="00A6263A"/>
    <w:rsid w:val="00A62E58"/>
    <w:rsid w:val="00A63134"/>
    <w:rsid w:val="00A63AB9"/>
    <w:rsid w:val="00A63F3F"/>
    <w:rsid w:val="00A6621F"/>
    <w:rsid w:val="00A662C8"/>
    <w:rsid w:val="00A6728C"/>
    <w:rsid w:val="00A67515"/>
    <w:rsid w:val="00A67EE8"/>
    <w:rsid w:val="00A70329"/>
    <w:rsid w:val="00A70672"/>
    <w:rsid w:val="00A707E0"/>
    <w:rsid w:val="00A71BD7"/>
    <w:rsid w:val="00A724F1"/>
    <w:rsid w:val="00A7258F"/>
    <w:rsid w:val="00A72F00"/>
    <w:rsid w:val="00A734D0"/>
    <w:rsid w:val="00A735B6"/>
    <w:rsid w:val="00A74A7D"/>
    <w:rsid w:val="00A751A7"/>
    <w:rsid w:val="00A7557E"/>
    <w:rsid w:val="00A75829"/>
    <w:rsid w:val="00A76A23"/>
    <w:rsid w:val="00A77D48"/>
    <w:rsid w:val="00A80025"/>
    <w:rsid w:val="00A8050B"/>
    <w:rsid w:val="00A82BD2"/>
    <w:rsid w:val="00A82C5B"/>
    <w:rsid w:val="00A83CB0"/>
    <w:rsid w:val="00A84662"/>
    <w:rsid w:val="00A85219"/>
    <w:rsid w:val="00A8581B"/>
    <w:rsid w:val="00A85942"/>
    <w:rsid w:val="00A85A7F"/>
    <w:rsid w:val="00A85E0D"/>
    <w:rsid w:val="00A86097"/>
    <w:rsid w:val="00A86E88"/>
    <w:rsid w:val="00A901AA"/>
    <w:rsid w:val="00A90E23"/>
    <w:rsid w:val="00A910EB"/>
    <w:rsid w:val="00A91CBB"/>
    <w:rsid w:val="00A928A6"/>
    <w:rsid w:val="00A9385D"/>
    <w:rsid w:val="00A93DA8"/>
    <w:rsid w:val="00A94C4C"/>
    <w:rsid w:val="00A9505F"/>
    <w:rsid w:val="00A9529F"/>
    <w:rsid w:val="00A95F01"/>
    <w:rsid w:val="00A96FED"/>
    <w:rsid w:val="00A978F7"/>
    <w:rsid w:val="00A97937"/>
    <w:rsid w:val="00A97BD9"/>
    <w:rsid w:val="00AA03C0"/>
    <w:rsid w:val="00AA0C6A"/>
    <w:rsid w:val="00AA0F94"/>
    <w:rsid w:val="00AA1092"/>
    <w:rsid w:val="00AA1220"/>
    <w:rsid w:val="00AA1BAE"/>
    <w:rsid w:val="00AA2AB7"/>
    <w:rsid w:val="00AA338B"/>
    <w:rsid w:val="00AA3FDC"/>
    <w:rsid w:val="00AA5193"/>
    <w:rsid w:val="00AA52D5"/>
    <w:rsid w:val="00AA5776"/>
    <w:rsid w:val="00AA5AD3"/>
    <w:rsid w:val="00AA5BAE"/>
    <w:rsid w:val="00AA5E18"/>
    <w:rsid w:val="00AA7059"/>
    <w:rsid w:val="00AA7490"/>
    <w:rsid w:val="00AA78C4"/>
    <w:rsid w:val="00AA7B76"/>
    <w:rsid w:val="00AB00F9"/>
    <w:rsid w:val="00AB02CD"/>
    <w:rsid w:val="00AB0A2B"/>
    <w:rsid w:val="00AB105C"/>
    <w:rsid w:val="00AB2254"/>
    <w:rsid w:val="00AB2715"/>
    <w:rsid w:val="00AB2E92"/>
    <w:rsid w:val="00AB3AC5"/>
    <w:rsid w:val="00AB3B78"/>
    <w:rsid w:val="00AB3F77"/>
    <w:rsid w:val="00AB47BA"/>
    <w:rsid w:val="00AB4A7F"/>
    <w:rsid w:val="00AB4B20"/>
    <w:rsid w:val="00AB4F73"/>
    <w:rsid w:val="00AB5071"/>
    <w:rsid w:val="00AB53BF"/>
    <w:rsid w:val="00AB6268"/>
    <w:rsid w:val="00AB722F"/>
    <w:rsid w:val="00AB7442"/>
    <w:rsid w:val="00AC0746"/>
    <w:rsid w:val="00AC0B57"/>
    <w:rsid w:val="00AC0E3C"/>
    <w:rsid w:val="00AC1235"/>
    <w:rsid w:val="00AC12B4"/>
    <w:rsid w:val="00AC1B8D"/>
    <w:rsid w:val="00AC1FEE"/>
    <w:rsid w:val="00AC2F68"/>
    <w:rsid w:val="00AC2F74"/>
    <w:rsid w:val="00AC37CF"/>
    <w:rsid w:val="00AC3EBB"/>
    <w:rsid w:val="00AC438D"/>
    <w:rsid w:val="00AC4AAC"/>
    <w:rsid w:val="00AC4F6B"/>
    <w:rsid w:val="00AC69CE"/>
    <w:rsid w:val="00AC6FD5"/>
    <w:rsid w:val="00AC7033"/>
    <w:rsid w:val="00AC74BB"/>
    <w:rsid w:val="00AC7A21"/>
    <w:rsid w:val="00AC7CC1"/>
    <w:rsid w:val="00AD08D6"/>
    <w:rsid w:val="00AD1A67"/>
    <w:rsid w:val="00AD1C76"/>
    <w:rsid w:val="00AD20C6"/>
    <w:rsid w:val="00AD229E"/>
    <w:rsid w:val="00AD3149"/>
    <w:rsid w:val="00AD32FB"/>
    <w:rsid w:val="00AD3A68"/>
    <w:rsid w:val="00AD44D0"/>
    <w:rsid w:val="00AD6447"/>
    <w:rsid w:val="00AD69CC"/>
    <w:rsid w:val="00AD6C7C"/>
    <w:rsid w:val="00AD7EA0"/>
    <w:rsid w:val="00AE00EF"/>
    <w:rsid w:val="00AE0752"/>
    <w:rsid w:val="00AE0C88"/>
    <w:rsid w:val="00AE21EC"/>
    <w:rsid w:val="00AE26FF"/>
    <w:rsid w:val="00AE28AE"/>
    <w:rsid w:val="00AE2E25"/>
    <w:rsid w:val="00AE3094"/>
    <w:rsid w:val="00AE3A59"/>
    <w:rsid w:val="00AE3D4D"/>
    <w:rsid w:val="00AE3D56"/>
    <w:rsid w:val="00AE4314"/>
    <w:rsid w:val="00AE4362"/>
    <w:rsid w:val="00AE44EB"/>
    <w:rsid w:val="00AE4602"/>
    <w:rsid w:val="00AE7305"/>
    <w:rsid w:val="00AE7A62"/>
    <w:rsid w:val="00AE7B50"/>
    <w:rsid w:val="00AF05A3"/>
    <w:rsid w:val="00AF1691"/>
    <w:rsid w:val="00AF1831"/>
    <w:rsid w:val="00AF1BF1"/>
    <w:rsid w:val="00AF1C6C"/>
    <w:rsid w:val="00AF1D04"/>
    <w:rsid w:val="00AF1F9F"/>
    <w:rsid w:val="00AF3143"/>
    <w:rsid w:val="00AF4591"/>
    <w:rsid w:val="00AF54F8"/>
    <w:rsid w:val="00AF5731"/>
    <w:rsid w:val="00AF643F"/>
    <w:rsid w:val="00AF6B80"/>
    <w:rsid w:val="00AF6FA9"/>
    <w:rsid w:val="00AF76EC"/>
    <w:rsid w:val="00AF77D7"/>
    <w:rsid w:val="00AF797C"/>
    <w:rsid w:val="00B010FF"/>
    <w:rsid w:val="00B01278"/>
    <w:rsid w:val="00B01746"/>
    <w:rsid w:val="00B02D4E"/>
    <w:rsid w:val="00B03F96"/>
    <w:rsid w:val="00B046C3"/>
    <w:rsid w:val="00B06106"/>
    <w:rsid w:val="00B061AE"/>
    <w:rsid w:val="00B06A4C"/>
    <w:rsid w:val="00B10E6C"/>
    <w:rsid w:val="00B119FB"/>
    <w:rsid w:val="00B11AE5"/>
    <w:rsid w:val="00B11D4D"/>
    <w:rsid w:val="00B12A7C"/>
    <w:rsid w:val="00B13B77"/>
    <w:rsid w:val="00B1454A"/>
    <w:rsid w:val="00B151AA"/>
    <w:rsid w:val="00B157B3"/>
    <w:rsid w:val="00B15CB4"/>
    <w:rsid w:val="00B16622"/>
    <w:rsid w:val="00B175E1"/>
    <w:rsid w:val="00B20035"/>
    <w:rsid w:val="00B20677"/>
    <w:rsid w:val="00B206D8"/>
    <w:rsid w:val="00B20F0C"/>
    <w:rsid w:val="00B21152"/>
    <w:rsid w:val="00B21972"/>
    <w:rsid w:val="00B2255A"/>
    <w:rsid w:val="00B2262A"/>
    <w:rsid w:val="00B23548"/>
    <w:rsid w:val="00B24138"/>
    <w:rsid w:val="00B24C0F"/>
    <w:rsid w:val="00B24D6C"/>
    <w:rsid w:val="00B25882"/>
    <w:rsid w:val="00B2638E"/>
    <w:rsid w:val="00B27103"/>
    <w:rsid w:val="00B2747B"/>
    <w:rsid w:val="00B27953"/>
    <w:rsid w:val="00B30259"/>
    <w:rsid w:val="00B30EB1"/>
    <w:rsid w:val="00B31645"/>
    <w:rsid w:val="00B3174B"/>
    <w:rsid w:val="00B318F2"/>
    <w:rsid w:val="00B3196F"/>
    <w:rsid w:val="00B31C28"/>
    <w:rsid w:val="00B326DA"/>
    <w:rsid w:val="00B32A2B"/>
    <w:rsid w:val="00B34232"/>
    <w:rsid w:val="00B343CE"/>
    <w:rsid w:val="00B3663A"/>
    <w:rsid w:val="00B36E3F"/>
    <w:rsid w:val="00B371A3"/>
    <w:rsid w:val="00B373A7"/>
    <w:rsid w:val="00B376D0"/>
    <w:rsid w:val="00B4065C"/>
    <w:rsid w:val="00B40B77"/>
    <w:rsid w:val="00B425B2"/>
    <w:rsid w:val="00B42C76"/>
    <w:rsid w:val="00B431FA"/>
    <w:rsid w:val="00B43F64"/>
    <w:rsid w:val="00B4473E"/>
    <w:rsid w:val="00B45704"/>
    <w:rsid w:val="00B45889"/>
    <w:rsid w:val="00B45EE3"/>
    <w:rsid w:val="00B46507"/>
    <w:rsid w:val="00B46DED"/>
    <w:rsid w:val="00B472AD"/>
    <w:rsid w:val="00B5275E"/>
    <w:rsid w:val="00B527B6"/>
    <w:rsid w:val="00B52C0F"/>
    <w:rsid w:val="00B53011"/>
    <w:rsid w:val="00B5488A"/>
    <w:rsid w:val="00B54D1D"/>
    <w:rsid w:val="00B5658C"/>
    <w:rsid w:val="00B57FE8"/>
    <w:rsid w:val="00B622F1"/>
    <w:rsid w:val="00B63947"/>
    <w:rsid w:val="00B640AF"/>
    <w:rsid w:val="00B64601"/>
    <w:rsid w:val="00B649CF"/>
    <w:rsid w:val="00B649E2"/>
    <w:rsid w:val="00B64D4E"/>
    <w:rsid w:val="00B656B5"/>
    <w:rsid w:val="00B658B7"/>
    <w:rsid w:val="00B65911"/>
    <w:rsid w:val="00B662E5"/>
    <w:rsid w:val="00B67094"/>
    <w:rsid w:val="00B67434"/>
    <w:rsid w:val="00B676BB"/>
    <w:rsid w:val="00B70382"/>
    <w:rsid w:val="00B704D2"/>
    <w:rsid w:val="00B70953"/>
    <w:rsid w:val="00B7287C"/>
    <w:rsid w:val="00B72A28"/>
    <w:rsid w:val="00B72C80"/>
    <w:rsid w:val="00B72D88"/>
    <w:rsid w:val="00B72DDF"/>
    <w:rsid w:val="00B73F1A"/>
    <w:rsid w:val="00B74096"/>
    <w:rsid w:val="00B7525C"/>
    <w:rsid w:val="00B753EF"/>
    <w:rsid w:val="00B75F26"/>
    <w:rsid w:val="00B764CB"/>
    <w:rsid w:val="00B76D0C"/>
    <w:rsid w:val="00B77252"/>
    <w:rsid w:val="00B779CC"/>
    <w:rsid w:val="00B77A81"/>
    <w:rsid w:val="00B77F00"/>
    <w:rsid w:val="00B80649"/>
    <w:rsid w:val="00B80B66"/>
    <w:rsid w:val="00B819B2"/>
    <w:rsid w:val="00B81C9C"/>
    <w:rsid w:val="00B82424"/>
    <w:rsid w:val="00B82443"/>
    <w:rsid w:val="00B825FF"/>
    <w:rsid w:val="00B846A2"/>
    <w:rsid w:val="00B847C6"/>
    <w:rsid w:val="00B8525C"/>
    <w:rsid w:val="00B86876"/>
    <w:rsid w:val="00B86E7C"/>
    <w:rsid w:val="00B86E8D"/>
    <w:rsid w:val="00B87532"/>
    <w:rsid w:val="00B8767E"/>
    <w:rsid w:val="00B905D4"/>
    <w:rsid w:val="00B9068E"/>
    <w:rsid w:val="00B90A41"/>
    <w:rsid w:val="00B9123D"/>
    <w:rsid w:val="00B92325"/>
    <w:rsid w:val="00B923FD"/>
    <w:rsid w:val="00B9325E"/>
    <w:rsid w:val="00B934EE"/>
    <w:rsid w:val="00B94141"/>
    <w:rsid w:val="00B94430"/>
    <w:rsid w:val="00B94540"/>
    <w:rsid w:val="00B957F7"/>
    <w:rsid w:val="00B9608F"/>
    <w:rsid w:val="00B9668E"/>
    <w:rsid w:val="00BA00E7"/>
    <w:rsid w:val="00BA08C0"/>
    <w:rsid w:val="00BA138D"/>
    <w:rsid w:val="00BA1533"/>
    <w:rsid w:val="00BA2C80"/>
    <w:rsid w:val="00BA359C"/>
    <w:rsid w:val="00BA4386"/>
    <w:rsid w:val="00BA4E0B"/>
    <w:rsid w:val="00BA503E"/>
    <w:rsid w:val="00BA5958"/>
    <w:rsid w:val="00BA5980"/>
    <w:rsid w:val="00BA5C1D"/>
    <w:rsid w:val="00BA5F63"/>
    <w:rsid w:val="00BA6853"/>
    <w:rsid w:val="00BA6F21"/>
    <w:rsid w:val="00BA7099"/>
    <w:rsid w:val="00BA7C2E"/>
    <w:rsid w:val="00BB0AF1"/>
    <w:rsid w:val="00BB0FE1"/>
    <w:rsid w:val="00BB164C"/>
    <w:rsid w:val="00BB1F17"/>
    <w:rsid w:val="00BB279D"/>
    <w:rsid w:val="00BB303A"/>
    <w:rsid w:val="00BB3B38"/>
    <w:rsid w:val="00BB400A"/>
    <w:rsid w:val="00BB4727"/>
    <w:rsid w:val="00BB4C2D"/>
    <w:rsid w:val="00BB4CD7"/>
    <w:rsid w:val="00BB515C"/>
    <w:rsid w:val="00BB5C1F"/>
    <w:rsid w:val="00BB5C79"/>
    <w:rsid w:val="00BB6EDC"/>
    <w:rsid w:val="00BB7178"/>
    <w:rsid w:val="00BB756F"/>
    <w:rsid w:val="00BB7EA2"/>
    <w:rsid w:val="00BB7FAC"/>
    <w:rsid w:val="00BC08FA"/>
    <w:rsid w:val="00BC0D07"/>
    <w:rsid w:val="00BC12EA"/>
    <w:rsid w:val="00BC14AE"/>
    <w:rsid w:val="00BC16BA"/>
    <w:rsid w:val="00BC1A50"/>
    <w:rsid w:val="00BC1B4E"/>
    <w:rsid w:val="00BC21D1"/>
    <w:rsid w:val="00BC2E87"/>
    <w:rsid w:val="00BC354B"/>
    <w:rsid w:val="00BC3948"/>
    <w:rsid w:val="00BC4125"/>
    <w:rsid w:val="00BC4BF7"/>
    <w:rsid w:val="00BC4DAD"/>
    <w:rsid w:val="00BC62E9"/>
    <w:rsid w:val="00BC65A9"/>
    <w:rsid w:val="00BC7CAB"/>
    <w:rsid w:val="00BC7FFA"/>
    <w:rsid w:val="00BD0E08"/>
    <w:rsid w:val="00BD167E"/>
    <w:rsid w:val="00BD1CBA"/>
    <w:rsid w:val="00BD1DF0"/>
    <w:rsid w:val="00BD2CB6"/>
    <w:rsid w:val="00BD3296"/>
    <w:rsid w:val="00BD3989"/>
    <w:rsid w:val="00BD3BBA"/>
    <w:rsid w:val="00BD3E0E"/>
    <w:rsid w:val="00BD43F7"/>
    <w:rsid w:val="00BD4639"/>
    <w:rsid w:val="00BD5593"/>
    <w:rsid w:val="00BD5B93"/>
    <w:rsid w:val="00BD5C09"/>
    <w:rsid w:val="00BD6D39"/>
    <w:rsid w:val="00BD78F3"/>
    <w:rsid w:val="00BD7A11"/>
    <w:rsid w:val="00BE01F7"/>
    <w:rsid w:val="00BE08E2"/>
    <w:rsid w:val="00BE0A62"/>
    <w:rsid w:val="00BE0BCF"/>
    <w:rsid w:val="00BE0C7F"/>
    <w:rsid w:val="00BE197D"/>
    <w:rsid w:val="00BE1ED5"/>
    <w:rsid w:val="00BE21D4"/>
    <w:rsid w:val="00BE27DA"/>
    <w:rsid w:val="00BE2B7C"/>
    <w:rsid w:val="00BE2DFE"/>
    <w:rsid w:val="00BE3EF3"/>
    <w:rsid w:val="00BE461A"/>
    <w:rsid w:val="00BE462E"/>
    <w:rsid w:val="00BE5FA1"/>
    <w:rsid w:val="00BE60CC"/>
    <w:rsid w:val="00BE638B"/>
    <w:rsid w:val="00BE6584"/>
    <w:rsid w:val="00BE6D80"/>
    <w:rsid w:val="00BE7331"/>
    <w:rsid w:val="00BF1087"/>
    <w:rsid w:val="00BF16F3"/>
    <w:rsid w:val="00BF1715"/>
    <w:rsid w:val="00BF1B06"/>
    <w:rsid w:val="00BF23E7"/>
    <w:rsid w:val="00BF3A1B"/>
    <w:rsid w:val="00BF524A"/>
    <w:rsid w:val="00BF555C"/>
    <w:rsid w:val="00BF57C3"/>
    <w:rsid w:val="00BF6B0B"/>
    <w:rsid w:val="00BF6EA6"/>
    <w:rsid w:val="00BF766C"/>
    <w:rsid w:val="00C00109"/>
    <w:rsid w:val="00C01F15"/>
    <w:rsid w:val="00C035EB"/>
    <w:rsid w:val="00C04157"/>
    <w:rsid w:val="00C0479E"/>
    <w:rsid w:val="00C04EDF"/>
    <w:rsid w:val="00C06295"/>
    <w:rsid w:val="00C067ED"/>
    <w:rsid w:val="00C06EA2"/>
    <w:rsid w:val="00C07058"/>
    <w:rsid w:val="00C0794B"/>
    <w:rsid w:val="00C10331"/>
    <w:rsid w:val="00C103BB"/>
    <w:rsid w:val="00C1056F"/>
    <w:rsid w:val="00C10A44"/>
    <w:rsid w:val="00C11A9A"/>
    <w:rsid w:val="00C125E2"/>
    <w:rsid w:val="00C12765"/>
    <w:rsid w:val="00C1281D"/>
    <w:rsid w:val="00C1320A"/>
    <w:rsid w:val="00C13880"/>
    <w:rsid w:val="00C13979"/>
    <w:rsid w:val="00C13F68"/>
    <w:rsid w:val="00C147B8"/>
    <w:rsid w:val="00C156D8"/>
    <w:rsid w:val="00C15EB6"/>
    <w:rsid w:val="00C161BB"/>
    <w:rsid w:val="00C1699A"/>
    <w:rsid w:val="00C178AA"/>
    <w:rsid w:val="00C20622"/>
    <w:rsid w:val="00C20CBF"/>
    <w:rsid w:val="00C22745"/>
    <w:rsid w:val="00C227BE"/>
    <w:rsid w:val="00C22CD3"/>
    <w:rsid w:val="00C23826"/>
    <w:rsid w:val="00C23B63"/>
    <w:rsid w:val="00C242BA"/>
    <w:rsid w:val="00C249A2"/>
    <w:rsid w:val="00C25CB3"/>
    <w:rsid w:val="00C25DC7"/>
    <w:rsid w:val="00C261B0"/>
    <w:rsid w:val="00C26B1D"/>
    <w:rsid w:val="00C2704A"/>
    <w:rsid w:val="00C270BD"/>
    <w:rsid w:val="00C2719C"/>
    <w:rsid w:val="00C27BEE"/>
    <w:rsid w:val="00C27E19"/>
    <w:rsid w:val="00C306BF"/>
    <w:rsid w:val="00C306F4"/>
    <w:rsid w:val="00C30860"/>
    <w:rsid w:val="00C30FCC"/>
    <w:rsid w:val="00C31367"/>
    <w:rsid w:val="00C31648"/>
    <w:rsid w:val="00C31A92"/>
    <w:rsid w:val="00C31FA7"/>
    <w:rsid w:val="00C34300"/>
    <w:rsid w:val="00C34526"/>
    <w:rsid w:val="00C347D8"/>
    <w:rsid w:val="00C34C13"/>
    <w:rsid w:val="00C354D0"/>
    <w:rsid w:val="00C35528"/>
    <w:rsid w:val="00C35BA1"/>
    <w:rsid w:val="00C36118"/>
    <w:rsid w:val="00C361D8"/>
    <w:rsid w:val="00C3637E"/>
    <w:rsid w:val="00C36798"/>
    <w:rsid w:val="00C36E26"/>
    <w:rsid w:val="00C36E49"/>
    <w:rsid w:val="00C3715C"/>
    <w:rsid w:val="00C37509"/>
    <w:rsid w:val="00C40FBA"/>
    <w:rsid w:val="00C41036"/>
    <w:rsid w:val="00C41821"/>
    <w:rsid w:val="00C4230C"/>
    <w:rsid w:val="00C4277B"/>
    <w:rsid w:val="00C429AB"/>
    <w:rsid w:val="00C42D80"/>
    <w:rsid w:val="00C435AB"/>
    <w:rsid w:val="00C43DEA"/>
    <w:rsid w:val="00C4495C"/>
    <w:rsid w:val="00C44A1B"/>
    <w:rsid w:val="00C458FD"/>
    <w:rsid w:val="00C45972"/>
    <w:rsid w:val="00C45A4C"/>
    <w:rsid w:val="00C46ACC"/>
    <w:rsid w:val="00C47140"/>
    <w:rsid w:val="00C4765D"/>
    <w:rsid w:val="00C51327"/>
    <w:rsid w:val="00C51A0B"/>
    <w:rsid w:val="00C53E50"/>
    <w:rsid w:val="00C54030"/>
    <w:rsid w:val="00C541DC"/>
    <w:rsid w:val="00C558A1"/>
    <w:rsid w:val="00C5767D"/>
    <w:rsid w:val="00C57921"/>
    <w:rsid w:val="00C57EAF"/>
    <w:rsid w:val="00C60566"/>
    <w:rsid w:val="00C60F76"/>
    <w:rsid w:val="00C61C3E"/>
    <w:rsid w:val="00C61D9F"/>
    <w:rsid w:val="00C6216A"/>
    <w:rsid w:val="00C62CD8"/>
    <w:rsid w:val="00C62FA5"/>
    <w:rsid w:val="00C635A2"/>
    <w:rsid w:val="00C6388D"/>
    <w:rsid w:val="00C63D0D"/>
    <w:rsid w:val="00C646D1"/>
    <w:rsid w:val="00C64D11"/>
    <w:rsid w:val="00C67554"/>
    <w:rsid w:val="00C67FF3"/>
    <w:rsid w:val="00C7077E"/>
    <w:rsid w:val="00C708BF"/>
    <w:rsid w:val="00C72270"/>
    <w:rsid w:val="00C722AB"/>
    <w:rsid w:val="00C72ABF"/>
    <w:rsid w:val="00C73DC9"/>
    <w:rsid w:val="00C74348"/>
    <w:rsid w:val="00C747A6"/>
    <w:rsid w:val="00C758DF"/>
    <w:rsid w:val="00C76711"/>
    <w:rsid w:val="00C769DE"/>
    <w:rsid w:val="00C77A6F"/>
    <w:rsid w:val="00C77FFD"/>
    <w:rsid w:val="00C807A7"/>
    <w:rsid w:val="00C810F8"/>
    <w:rsid w:val="00C82765"/>
    <w:rsid w:val="00C83A6F"/>
    <w:rsid w:val="00C83B48"/>
    <w:rsid w:val="00C8439E"/>
    <w:rsid w:val="00C84C3A"/>
    <w:rsid w:val="00C85064"/>
    <w:rsid w:val="00C857C5"/>
    <w:rsid w:val="00C86A6C"/>
    <w:rsid w:val="00C86AE1"/>
    <w:rsid w:val="00C90017"/>
    <w:rsid w:val="00C903B1"/>
    <w:rsid w:val="00C90F5D"/>
    <w:rsid w:val="00C92761"/>
    <w:rsid w:val="00C92F0B"/>
    <w:rsid w:val="00C9304C"/>
    <w:rsid w:val="00C95577"/>
    <w:rsid w:val="00C964DC"/>
    <w:rsid w:val="00C97C81"/>
    <w:rsid w:val="00CA0537"/>
    <w:rsid w:val="00CA0E52"/>
    <w:rsid w:val="00CA10B2"/>
    <w:rsid w:val="00CA1188"/>
    <w:rsid w:val="00CA1334"/>
    <w:rsid w:val="00CA2960"/>
    <w:rsid w:val="00CA2F2C"/>
    <w:rsid w:val="00CA38DE"/>
    <w:rsid w:val="00CA4343"/>
    <w:rsid w:val="00CA5273"/>
    <w:rsid w:val="00CA58B1"/>
    <w:rsid w:val="00CA65CB"/>
    <w:rsid w:val="00CA6806"/>
    <w:rsid w:val="00CA6EAA"/>
    <w:rsid w:val="00CA71AD"/>
    <w:rsid w:val="00CB0487"/>
    <w:rsid w:val="00CB04AA"/>
    <w:rsid w:val="00CB0950"/>
    <w:rsid w:val="00CB13F0"/>
    <w:rsid w:val="00CB157C"/>
    <w:rsid w:val="00CB26DC"/>
    <w:rsid w:val="00CB4EE7"/>
    <w:rsid w:val="00CB5E01"/>
    <w:rsid w:val="00CB5E8A"/>
    <w:rsid w:val="00CB663F"/>
    <w:rsid w:val="00CB66AD"/>
    <w:rsid w:val="00CB6B4B"/>
    <w:rsid w:val="00CC00A7"/>
    <w:rsid w:val="00CC03F5"/>
    <w:rsid w:val="00CC0535"/>
    <w:rsid w:val="00CC1541"/>
    <w:rsid w:val="00CC276A"/>
    <w:rsid w:val="00CC322C"/>
    <w:rsid w:val="00CC3510"/>
    <w:rsid w:val="00CC3C45"/>
    <w:rsid w:val="00CC463E"/>
    <w:rsid w:val="00CC4C3E"/>
    <w:rsid w:val="00CC5643"/>
    <w:rsid w:val="00CC58DC"/>
    <w:rsid w:val="00CC5A27"/>
    <w:rsid w:val="00CC6AB4"/>
    <w:rsid w:val="00CC6AD0"/>
    <w:rsid w:val="00CC71EC"/>
    <w:rsid w:val="00CD0048"/>
    <w:rsid w:val="00CD0522"/>
    <w:rsid w:val="00CD05C0"/>
    <w:rsid w:val="00CD0961"/>
    <w:rsid w:val="00CD0A41"/>
    <w:rsid w:val="00CD0BC6"/>
    <w:rsid w:val="00CD0D7A"/>
    <w:rsid w:val="00CD199E"/>
    <w:rsid w:val="00CD1BE8"/>
    <w:rsid w:val="00CD266A"/>
    <w:rsid w:val="00CD281B"/>
    <w:rsid w:val="00CD2D87"/>
    <w:rsid w:val="00CD37E4"/>
    <w:rsid w:val="00CD63A0"/>
    <w:rsid w:val="00CD66A7"/>
    <w:rsid w:val="00CD67A4"/>
    <w:rsid w:val="00CD6A48"/>
    <w:rsid w:val="00CD6FAA"/>
    <w:rsid w:val="00CD700E"/>
    <w:rsid w:val="00CD7581"/>
    <w:rsid w:val="00CD7B23"/>
    <w:rsid w:val="00CD7E8E"/>
    <w:rsid w:val="00CE08C6"/>
    <w:rsid w:val="00CE19E3"/>
    <w:rsid w:val="00CE3280"/>
    <w:rsid w:val="00CE3982"/>
    <w:rsid w:val="00CE3B79"/>
    <w:rsid w:val="00CE410E"/>
    <w:rsid w:val="00CE4D3D"/>
    <w:rsid w:val="00CE53B0"/>
    <w:rsid w:val="00CE5D27"/>
    <w:rsid w:val="00CE6286"/>
    <w:rsid w:val="00CE65F3"/>
    <w:rsid w:val="00CE678D"/>
    <w:rsid w:val="00CE6C76"/>
    <w:rsid w:val="00CE6CAD"/>
    <w:rsid w:val="00CE76B4"/>
    <w:rsid w:val="00CF058E"/>
    <w:rsid w:val="00CF168E"/>
    <w:rsid w:val="00CF1796"/>
    <w:rsid w:val="00CF19B9"/>
    <w:rsid w:val="00CF26CA"/>
    <w:rsid w:val="00CF3AED"/>
    <w:rsid w:val="00CF3C6C"/>
    <w:rsid w:val="00CF3C92"/>
    <w:rsid w:val="00CF4D2F"/>
    <w:rsid w:val="00CF5200"/>
    <w:rsid w:val="00CF5A5F"/>
    <w:rsid w:val="00CF653D"/>
    <w:rsid w:val="00CF67AF"/>
    <w:rsid w:val="00CF6FC1"/>
    <w:rsid w:val="00CF7989"/>
    <w:rsid w:val="00D00208"/>
    <w:rsid w:val="00D00C58"/>
    <w:rsid w:val="00D01252"/>
    <w:rsid w:val="00D01D34"/>
    <w:rsid w:val="00D02A69"/>
    <w:rsid w:val="00D02CFA"/>
    <w:rsid w:val="00D02F1E"/>
    <w:rsid w:val="00D02FEC"/>
    <w:rsid w:val="00D030D6"/>
    <w:rsid w:val="00D0315E"/>
    <w:rsid w:val="00D0357C"/>
    <w:rsid w:val="00D03C4B"/>
    <w:rsid w:val="00D03EC2"/>
    <w:rsid w:val="00D041E0"/>
    <w:rsid w:val="00D04B64"/>
    <w:rsid w:val="00D04D54"/>
    <w:rsid w:val="00D0503A"/>
    <w:rsid w:val="00D056AC"/>
    <w:rsid w:val="00D0583B"/>
    <w:rsid w:val="00D0670E"/>
    <w:rsid w:val="00D06BBD"/>
    <w:rsid w:val="00D07445"/>
    <w:rsid w:val="00D07D1F"/>
    <w:rsid w:val="00D10049"/>
    <w:rsid w:val="00D10169"/>
    <w:rsid w:val="00D10323"/>
    <w:rsid w:val="00D10646"/>
    <w:rsid w:val="00D112EF"/>
    <w:rsid w:val="00D12A77"/>
    <w:rsid w:val="00D13EEF"/>
    <w:rsid w:val="00D14E5A"/>
    <w:rsid w:val="00D15564"/>
    <w:rsid w:val="00D15A88"/>
    <w:rsid w:val="00D15C8D"/>
    <w:rsid w:val="00D166B0"/>
    <w:rsid w:val="00D1696C"/>
    <w:rsid w:val="00D202B1"/>
    <w:rsid w:val="00D2030C"/>
    <w:rsid w:val="00D20607"/>
    <w:rsid w:val="00D209BD"/>
    <w:rsid w:val="00D21022"/>
    <w:rsid w:val="00D210F0"/>
    <w:rsid w:val="00D211B8"/>
    <w:rsid w:val="00D21506"/>
    <w:rsid w:val="00D216E4"/>
    <w:rsid w:val="00D21BA5"/>
    <w:rsid w:val="00D222D1"/>
    <w:rsid w:val="00D22DF6"/>
    <w:rsid w:val="00D23C5B"/>
    <w:rsid w:val="00D248CF"/>
    <w:rsid w:val="00D250E5"/>
    <w:rsid w:val="00D25345"/>
    <w:rsid w:val="00D25519"/>
    <w:rsid w:val="00D255A6"/>
    <w:rsid w:val="00D25CE8"/>
    <w:rsid w:val="00D26602"/>
    <w:rsid w:val="00D269D5"/>
    <w:rsid w:val="00D270FD"/>
    <w:rsid w:val="00D2730E"/>
    <w:rsid w:val="00D274D3"/>
    <w:rsid w:val="00D27DB2"/>
    <w:rsid w:val="00D30903"/>
    <w:rsid w:val="00D30997"/>
    <w:rsid w:val="00D31590"/>
    <w:rsid w:val="00D318A2"/>
    <w:rsid w:val="00D32275"/>
    <w:rsid w:val="00D323D9"/>
    <w:rsid w:val="00D3291F"/>
    <w:rsid w:val="00D338AB"/>
    <w:rsid w:val="00D33A35"/>
    <w:rsid w:val="00D34D85"/>
    <w:rsid w:val="00D3546B"/>
    <w:rsid w:val="00D35F7F"/>
    <w:rsid w:val="00D36231"/>
    <w:rsid w:val="00D36E83"/>
    <w:rsid w:val="00D36EEE"/>
    <w:rsid w:val="00D4062E"/>
    <w:rsid w:val="00D41467"/>
    <w:rsid w:val="00D42CB8"/>
    <w:rsid w:val="00D42D84"/>
    <w:rsid w:val="00D431FE"/>
    <w:rsid w:val="00D43588"/>
    <w:rsid w:val="00D442B5"/>
    <w:rsid w:val="00D4470B"/>
    <w:rsid w:val="00D44E83"/>
    <w:rsid w:val="00D450FE"/>
    <w:rsid w:val="00D4531C"/>
    <w:rsid w:val="00D45956"/>
    <w:rsid w:val="00D46029"/>
    <w:rsid w:val="00D46041"/>
    <w:rsid w:val="00D46214"/>
    <w:rsid w:val="00D46416"/>
    <w:rsid w:val="00D4645B"/>
    <w:rsid w:val="00D46E7F"/>
    <w:rsid w:val="00D46F86"/>
    <w:rsid w:val="00D47A50"/>
    <w:rsid w:val="00D47AB1"/>
    <w:rsid w:val="00D47BD8"/>
    <w:rsid w:val="00D50025"/>
    <w:rsid w:val="00D50624"/>
    <w:rsid w:val="00D50791"/>
    <w:rsid w:val="00D508CD"/>
    <w:rsid w:val="00D525F9"/>
    <w:rsid w:val="00D52CC5"/>
    <w:rsid w:val="00D53ED3"/>
    <w:rsid w:val="00D54C4C"/>
    <w:rsid w:val="00D54F4B"/>
    <w:rsid w:val="00D55301"/>
    <w:rsid w:val="00D55425"/>
    <w:rsid w:val="00D569F4"/>
    <w:rsid w:val="00D570E6"/>
    <w:rsid w:val="00D571D4"/>
    <w:rsid w:val="00D603D0"/>
    <w:rsid w:val="00D60408"/>
    <w:rsid w:val="00D610C8"/>
    <w:rsid w:val="00D623D0"/>
    <w:rsid w:val="00D640BF"/>
    <w:rsid w:val="00D644C6"/>
    <w:rsid w:val="00D64848"/>
    <w:rsid w:val="00D64B3B"/>
    <w:rsid w:val="00D6500B"/>
    <w:rsid w:val="00D659B3"/>
    <w:rsid w:val="00D65B6D"/>
    <w:rsid w:val="00D6652E"/>
    <w:rsid w:val="00D67271"/>
    <w:rsid w:val="00D6757F"/>
    <w:rsid w:val="00D67F27"/>
    <w:rsid w:val="00D706BE"/>
    <w:rsid w:val="00D71EE2"/>
    <w:rsid w:val="00D72506"/>
    <w:rsid w:val="00D7265D"/>
    <w:rsid w:val="00D7267E"/>
    <w:rsid w:val="00D72DC3"/>
    <w:rsid w:val="00D73CAF"/>
    <w:rsid w:val="00D7433D"/>
    <w:rsid w:val="00D752AF"/>
    <w:rsid w:val="00D75AF2"/>
    <w:rsid w:val="00D75FD6"/>
    <w:rsid w:val="00D763B2"/>
    <w:rsid w:val="00D7672A"/>
    <w:rsid w:val="00D76C9A"/>
    <w:rsid w:val="00D76E40"/>
    <w:rsid w:val="00D76E42"/>
    <w:rsid w:val="00D7730A"/>
    <w:rsid w:val="00D77908"/>
    <w:rsid w:val="00D77FFE"/>
    <w:rsid w:val="00D80300"/>
    <w:rsid w:val="00D80591"/>
    <w:rsid w:val="00D80D6C"/>
    <w:rsid w:val="00D80E02"/>
    <w:rsid w:val="00D818AE"/>
    <w:rsid w:val="00D8272B"/>
    <w:rsid w:val="00D829A4"/>
    <w:rsid w:val="00D82E28"/>
    <w:rsid w:val="00D835A8"/>
    <w:rsid w:val="00D837CF"/>
    <w:rsid w:val="00D8385F"/>
    <w:rsid w:val="00D83A89"/>
    <w:rsid w:val="00D8424B"/>
    <w:rsid w:val="00D8449E"/>
    <w:rsid w:val="00D84756"/>
    <w:rsid w:val="00D85007"/>
    <w:rsid w:val="00D85FE2"/>
    <w:rsid w:val="00D863F1"/>
    <w:rsid w:val="00D8649F"/>
    <w:rsid w:val="00D8670D"/>
    <w:rsid w:val="00D86CAC"/>
    <w:rsid w:val="00D8796F"/>
    <w:rsid w:val="00D90ADE"/>
    <w:rsid w:val="00D91882"/>
    <w:rsid w:val="00D91939"/>
    <w:rsid w:val="00D91CC9"/>
    <w:rsid w:val="00D9202B"/>
    <w:rsid w:val="00D92AFD"/>
    <w:rsid w:val="00D93158"/>
    <w:rsid w:val="00D94708"/>
    <w:rsid w:val="00D94D0F"/>
    <w:rsid w:val="00D94E30"/>
    <w:rsid w:val="00D954A4"/>
    <w:rsid w:val="00D96EE0"/>
    <w:rsid w:val="00DA1485"/>
    <w:rsid w:val="00DA1C9D"/>
    <w:rsid w:val="00DA22CA"/>
    <w:rsid w:val="00DA2DBE"/>
    <w:rsid w:val="00DA3058"/>
    <w:rsid w:val="00DA3DC8"/>
    <w:rsid w:val="00DA428B"/>
    <w:rsid w:val="00DA463D"/>
    <w:rsid w:val="00DA4674"/>
    <w:rsid w:val="00DA46DB"/>
    <w:rsid w:val="00DA50E8"/>
    <w:rsid w:val="00DA545E"/>
    <w:rsid w:val="00DA5BE6"/>
    <w:rsid w:val="00DA75E1"/>
    <w:rsid w:val="00DA794D"/>
    <w:rsid w:val="00DA7C88"/>
    <w:rsid w:val="00DB006D"/>
    <w:rsid w:val="00DB078F"/>
    <w:rsid w:val="00DB18E2"/>
    <w:rsid w:val="00DB1BC3"/>
    <w:rsid w:val="00DB40F6"/>
    <w:rsid w:val="00DB4DE7"/>
    <w:rsid w:val="00DB5637"/>
    <w:rsid w:val="00DB68FD"/>
    <w:rsid w:val="00DB6C56"/>
    <w:rsid w:val="00DB734D"/>
    <w:rsid w:val="00DC03ED"/>
    <w:rsid w:val="00DC0BE2"/>
    <w:rsid w:val="00DC161B"/>
    <w:rsid w:val="00DC1811"/>
    <w:rsid w:val="00DC24F7"/>
    <w:rsid w:val="00DC3EE8"/>
    <w:rsid w:val="00DC4E9A"/>
    <w:rsid w:val="00DC50CA"/>
    <w:rsid w:val="00DC535A"/>
    <w:rsid w:val="00DC5568"/>
    <w:rsid w:val="00DC650C"/>
    <w:rsid w:val="00DC7F92"/>
    <w:rsid w:val="00DC7FFE"/>
    <w:rsid w:val="00DD00FA"/>
    <w:rsid w:val="00DD04E6"/>
    <w:rsid w:val="00DD04E8"/>
    <w:rsid w:val="00DD09B6"/>
    <w:rsid w:val="00DD0D72"/>
    <w:rsid w:val="00DD19D1"/>
    <w:rsid w:val="00DD28C8"/>
    <w:rsid w:val="00DD2A2C"/>
    <w:rsid w:val="00DD2BF4"/>
    <w:rsid w:val="00DD34AE"/>
    <w:rsid w:val="00DD4D6B"/>
    <w:rsid w:val="00DD5561"/>
    <w:rsid w:val="00DD5800"/>
    <w:rsid w:val="00DD5899"/>
    <w:rsid w:val="00DD5EC3"/>
    <w:rsid w:val="00DD5F03"/>
    <w:rsid w:val="00DD710A"/>
    <w:rsid w:val="00DD7A38"/>
    <w:rsid w:val="00DE0A74"/>
    <w:rsid w:val="00DE0CAD"/>
    <w:rsid w:val="00DE298C"/>
    <w:rsid w:val="00DE4389"/>
    <w:rsid w:val="00DE52E2"/>
    <w:rsid w:val="00DE5AF3"/>
    <w:rsid w:val="00DE67DF"/>
    <w:rsid w:val="00DE6D62"/>
    <w:rsid w:val="00DE6DB9"/>
    <w:rsid w:val="00DE70CD"/>
    <w:rsid w:val="00DF0C1B"/>
    <w:rsid w:val="00DF1296"/>
    <w:rsid w:val="00DF2170"/>
    <w:rsid w:val="00DF30B7"/>
    <w:rsid w:val="00DF4F3C"/>
    <w:rsid w:val="00DF5495"/>
    <w:rsid w:val="00DF6043"/>
    <w:rsid w:val="00DF6379"/>
    <w:rsid w:val="00DF64DA"/>
    <w:rsid w:val="00DF6969"/>
    <w:rsid w:val="00DF6D66"/>
    <w:rsid w:val="00DF7352"/>
    <w:rsid w:val="00DF78BF"/>
    <w:rsid w:val="00E0001B"/>
    <w:rsid w:val="00E00AB3"/>
    <w:rsid w:val="00E0125A"/>
    <w:rsid w:val="00E014F8"/>
    <w:rsid w:val="00E01C8D"/>
    <w:rsid w:val="00E02533"/>
    <w:rsid w:val="00E02C77"/>
    <w:rsid w:val="00E02D11"/>
    <w:rsid w:val="00E039EB"/>
    <w:rsid w:val="00E056DA"/>
    <w:rsid w:val="00E0589E"/>
    <w:rsid w:val="00E05D7C"/>
    <w:rsid w:val="00E06C5A"/>
    <w:rsid w:val="00E07A8E"/>
    <w:rsid w:val="00E1090B"/>
    <w:rsid w:val="00E1152E"/>
    <w:rsid w:val="00E12434"/>
    <w:rsid w:val="00E12EB2"/>
    <w:rsid w:val="00E13619"/>
    <w:rsid w:val="00E140DB"/>
    <w:rsid w:val="00E1429B"/>
    <w:rsid w:val="00E14751"/>
    <w:rsid w:val="00E14B83"/>
    <w:rsid w:val="00E14B8D"/>
    <w:rsid w:val="00E14F16"/>
    <w:rsid w:val="00E150E9"/>
    <w:rsid w:val="00E153C4"/>
    <w:rsid w:val="00E1545D"/>
    <w:rsid w:val="00E1583B"/>
    <w:rsid w:val="00E15E0E"/>
    <w:rsid w:val="00E15F14"/>
    <w:rsid w:val="00E1668B"/>
    <w:rsid w:val="00E1677E"/>
    <w:rsid w:val="00E16A62"/>
    <w:rsid w:val="00E17303"/>
    <w:rsid w:val="00E17B16"/>
    <w:rsid w:val="00E20897"/>
    <w:rsid w:val="00E20CC4"/>
    <w:rsid w:val="00E23A0F"/>
    <w:rsid w:val="00E23D2B"/>
    <w:rsid w:val="00E2451D"/>
    <w:rsid w:val="00E24882"/>
    <w:rsid w:val="00E24EB1"/>
    <w:rsid w:val="00E255B1"/>
    <w:rsid w:val="00E26058"/>
    <w:rsid w:val="00E26144"/>
    <w:rsid w:val="00E27158"/>
    <w:rsid w:val="00E2729B"/>
    <w:rsid w:val="00E27977"/>
    <w:rsid w:val="00E27F39"/>
    <w:rsid w:val="00E30D57"/>
    <w:rsid w:val="00E31ACA"/>
    <w:rsid w:val="00E32353"/>
    <w:rsid w:val="00E32AE8"/>
    <w:rsid w:val="00E3327C"/>
    <w:rsid w:val="00E33AB8"/>
    <w:rsid w:val="00E33B54"/>
    <w:rsid w:val="00E33C88"/>
    <w:rsid w:val="00E34561"/>
    <w:rsid w:val="00E34C67"/>
    <w:rsid w:val="00E36DC8"/>
    <w:rsid w:val="00E36DEB"/>
    <w:rsid w:val="00E37276"/>
    <w:rsid w:val="00E37BDB"/>
    <w:rsid w:val="00E406CC"/>
    <w:rsid w:val="00E40E8B"/>
    <w:rsid w:val="00E4128D"/>
    <w:rsid w:val="00E41E98"/>
    <w:rsid w:val="00E430C1"/>
    <w:rsid w:val="00E433BD"/>
    <w:rsid w:val="00E4340B"/>
    <w:rsid w:val="00E443AD"/>
    <w:rsid w:val="00E44EF2"/>
    <w:rsid w:val="00E44F0F"/>
    <w:rsid w:val="00E45580"/>
    <w:rsid w:val="00E459C7"/>
    <w:rsid w:val="00E4620C"/>
    <w:rsid w:val="00E467C1"/>
    <w:rsid w:val="00E46AE5"/>
    <w:rsid w:val="00E47D91"/>
    <w:rsid w:val="00E50019"/>
    <w:rsid w:val="00E50055"/>
    <w:rsid w:val="00E507ED"/>
    <w:rsid w:val="00E5089F"/>
    <w:rsid w:val="00E519AA"/>
    <w:rsid w:val="00E51C9C"/>
    <w:rsid w:val="00E51F5C"/>
    <w:rsid w:val="00E527B3"/>
    <w:rsid w:val="00E52B4C"/>
    <w:rsid w:val="00E52D3E"/>
    <w:rsid w:val="00E52D98"/>
    <w:rsid w:val="00E53429"/>
    <w:rsid w:val="00E53A0A"/>
    <w:rsid w:val="00E53C21"/>
    <w:rsid w:val="00E54271"/>
    <w:rsid w:val="00E54486"/>
    <w:rsid w:val="00E54670"/>
    <w:rsid w:val="00E55310"/>
    <w:rsid w:val="00E55638"/>
    <w:rsid w:val="00E556FE"/>
    <w:rsid w:val="00E55D2B"/>
    <w:rsid w:val="00E561DE"/>
    <w:rsid w:val="00E5741A"/>
    <w:rsid w:val="00E575DD"/>
    <w:rsid w:val="00E575E1"/>
    <w:rsid w:val="00E60968"/>
    <w:rsid w:val="00E6287C"/>
    <w:rsid w:val="00E63680"/>
    <w:rsid w:val="00E63AE6"/>
    <w:rsid w:val="00E64214"/>
    <w:rsid w:val="00E64336"/>
    <w:rsid w:val="00E66C6C"/>
    <w:rsid w:val="00E67441"/>
    <w:rsid w:val="00E67663"/>
    <w:rsid w:val="00E67847"/>
    <w:rsid w:val="00E67B17"/>
    <w:rsid w:val="00E700E6"/>
    <w:rsid w:val="00E71860"/>
    <w:rsid w:val="00E71D91"/>
    <w:rsid w:val="00E72659"/>
    <w:rsid w:val="00E726B3"/>
    <w:rsid w:val="00E7497A"/>
    <w:rsid w:val="00E753FC"/>
    <w:rsid w:val="00E75BB3"/>
    <w:rsid w:val="00E75E74"/>
    <w:rsid w:val="00E7729B"/>
    <w:rsid w:val="00E7734C"/>
    <w:rsid w:val="00E77B40"/>
    <w:rsid w:val="00E77BE8"/>
    <w:rsid w:val="00E8000F"/>
    <w:rsid w:val="00E8059E"/>
    <w:rsid w:val="00E80616"/>
    <w:rsid w:val="00E807FE"/>
    <w:rsid w:val="00E808BF"/>
    <w:rsid w:val="00E8158D"/>
    <w:rsid w:val="00E81606"/>
    <w:rsid w:val="00E82B51"/>
    <w:rsid w:val="00E82BE5"/>
    <w:rsid w:val="00E8317F"/>
    <w:rsid w:val="00E83E97"/>
    <w:rsid w:val="00E83FFC"/>
    <w:rsid w:val="00E8422A"/>
    <w:rsid w:val="00E84619"/>
    <w:rsid w:val="00E85A00"/>
    <w:rsid w:val="00E85B43"/>
    <w:rsid w:val="00E85CD3"/>
    <w:rsid w:val="00E865D2"/>
    <w:rsid w:val="00E86746"/>
    <w:rsid w:val="00E872E8"/>
    <w:rsid w:val="00E90CB7"/>
    <w:rsid w:val="00E90E60"/>
    <w:rsid w:val="00E93687"/>
    <w:rsid w:val="00E937C2"/>
    <w:rsid w:val="00E93801"/>
    <w:rsid w:val="00E939B0"/>
    <w:rsid w:val="00E93C51"/>
    <w:rsid w:val="00E9538F"/>
    <w:rsid w:val="00E95568"/>
    <w:rsid w:val="00E95AB9"/>
    <w:rsid w:val="00E9628E"/>
    <w:rsid w:val="00E96557"/>
    <w:rsid w:val="00E967CE"/>
    <w:rsid w:val="00E96DBA"/>
    <w:rsid w:val="00E975CA"/>
    <w:rsid w:val="00E97FD0"/>
    <w:rsid w:val="00EA064B"/>
    <w:rsid w:val="00EA11A2"/>
    <w:rsid w:val="00EA1561"/>
    <w:rsid w:val="00EA1BE0"/>
    <w:rsid w:val="00EA2646"/>
    <w:rsid w:val="00EA3025"/>
    <w:rsid w:val="00EA457E"/>
    <w:rsid w:val="00EA488B"/>
    <w:rsid w:val="00EA4E6A"/>
    <w:rsid w:val="00EA54D9"/>
    <w:rsid w:val="00EA6A83"/>
    <w:rsid w:val="00EA734A"/>
    <w:rsid w:val="00EA737D"/>
    <w:rsid w:val="00EB1E02"/>
    <w:rsid w:val="00EB273C"/>
    <w:rsid w:val="00EB2907"/>
    <w:rsid w:val="00EB2F89"/>
    <w:rsid w:val="00EB386D"/>
    <w:rsid w:val="00EB4E47"/>
    <w:rsid w:val="00EB5A9F"/>
    <w:rsid w:val="00EB5D17"/>
    <w:rsid w:val="00EB6431"/>
    <w:rsid w:val="00EB68B5"/>
    <w:rsid w:val="00EB77D8"/>
    <w:rsid w:val="00EC0745"/>
    <w:rsid w:val="00EC1115"/>
    <w:rsid w:val="00EC18D9"/>
    <w:rsid w:val="00EC19EB"/>
    <w:rsid w:val="00EC1BA5"/>
    <w:rsid w:val="00EC2033"/>
    <w:rsid w:val="00EC241D"/>
    <w:rsid w:val="00EC2C5D"/>
    <w:rsid w:val="00EC3927"/>
    <w:rsid w:val="00EC3F2B"/>
    <w:rsid w:val="00EC4A63"/>
    <w:rsid w:val="00EC6003"/>
    <w:rsid w:val="00EC6502"/>
    <w:rsid w:val="00EC7F4F"/>
    <w:rsid w:val="00ED0753"/>
    <w:rsid w:val="00ED07A4"/>
    <w:rsid w:val="00ED0ADE"/>
    <w:rsid w:val="00ED1E46"/>
    <w:rsid w:val="00ED1EC0"/>
    <w:rsid w:val="00ED20F2"/>
    <w:rsid w:val="00ED284E"/>
    <w:rsid w:val="00ED2B9F"/>
    <w:rsid w:val="00ED2E5D"/>
    <w:rsid w:val="00ED31EE"/>
    <w:rsid w:val="00ED38D6"/>
    <w:rsid w:val="00ED400C"/>
    <w:rsid w:val="00ED4D49"/>
    <w:rsid w:val="00ED50BA"/>
    <w:rsid w:val="00ED5224"/>
    <w:rsid w:val="00ED527E"/>
    <w:rsid w:val="00ED5741"/>
    <w:rsid w:val="00ED605D"/>
    <w:rsid w:val="00EE0647"/>
    <w:rsid w:val="00EE0D88"/>
    <w:rsid w:val="00EE16E2"/>
    <w:rsid w:val="00EE1DD0"/>
    <w:rsid w:val="00EE2E37"/>
    <w:rsid w:val="00EE36F7"/>
    <w:rsid w:val="00EE405B"/>
    <w:rsid w:val="00EE4336"/>
    <w:rsid w:val="00EE446A"/>
    <w:rsid w:val="00EE45E5"/>
    <w:rsid w:val="00EE48E7"/>
    <w:rsid w:val="00EE595D"/>
    <w:rsid w:val="00EE663B"/>
    <w:rsid w:val="00EE6A49"/>
    <w:rsid w:val="00EE6EF7"/>
    <w:rsid w:val="00EE7027"/>
    <w:rsid w:val="00EE775E"/>
    <w:rsid w:val="00EE783E"/>
    <w:rsid w:val="00EF22AE"/>
    <w:rsid w:val="00EF262F"/>
    <w:rsid w:val="00EF2D8F"/>
    <w:rsid w:val="00EF2E51"/>
    <w:rsid w:val="00EF2F8F"/>
    <w:rsid w:val="00EF3959"/>
    <w:rsid w:val="00EF3D13"/>
    <w:rsid w:val="00EF41A9"/>
    <w:rsid w:val="00EF67D6"/>
    <w:rsid w:val="00EF68A3"/>
    <w:rsid w:val="00EF6C48"/>
    <w:rsid w:val="00EF7B41"/>
    <w:rsid w:val="00F00209"/>
    <w:rsid w:val="00F00550"/>
    <w:rsid w:val="00F01073"/>
    <w:rsid w:val="00F014D3"/>
    <w:rsid w:val="00F016D5"/>
    <w:rsid w:val="00F01CDA"/>
    <w:rsid w:val="00F04545"/>
    <w:rsid w:val="00F04A47"/>
    <w:rsid w:val="00F04A4C"/>
    <w:rsid w:val="00F07496"/>
    <w:rsid w:val="00F07A2B"/>
    <w:rsid w:val="00F07EC8"/>
    <w:rsid w:val="00F07ED6"/>
    <w:rsid w:val="00F07F87"/>
    <w:rsid w:val="00F10015"/>
    <w:rsid w:val="00F11013"/>
    <w:rsid w:val="00F11B0D"/>
    <w:rsid w:val="00F11E3F"/>
    <w:rsid w:val="00F11F96"/>
    <w:rsid w:val="00F1218E"/>
    <w:rsid w:val="00F12A61"/>
    <w:rsid w:val="00F12DC9"/>
    <w:rsid w:val="00F13198"/>
    <w:rsid w:val="00F131A8"/>
    <w:rsid w:val="00F13218"/>
    <w:rsid w:val="00F13B06"/>
    <w:rsid w:val="00F140B9"/>
    <w:rsid w:val="00F14A72"/>
    <w:rsid w:val="00F14EB1"/>
    <w:rsid w:val="00F151A3"/>
    <w:rsid w:val="00F15A96"/>
    <w:rsid w:val="00F17635"/>
    <w:rsid w:val="00F218D5"/>
    <w:rsid w:val="00F21A1B"/>
    <w:rsid w:val="00F21A62"/>
    <w:rsid w:val="00F21C75"/>
    <w:rsid w:val="00F22361"/>
    <w:rsid w:val="00F231E6"/>
    <w:rsid w:val="00F23795"/>
    <w:rsid w:val="00F23F46"/>
    <w:rsid w:val="00F24384"/>
    <w:rsid w:val="00F245A5"/>
    <w:rsid w:val="00F25059"/>
    <w:rsid w:val="00F2545C"/>
    <w:rsid w:val="00F27707"/>
    <w:rsid w:val="00F27814"/>
    <w:rsid w:val="00F27826"/>
    <w:rsid w:val="00F27C01"/>
    <w:rsid w:val="00F27F27"/>
    <w:rsid w:val="00F30985"/>
    <w:rsid w:val="00F30C7B"/>
    <w:rsid w:val="00F31B66"/>
    <w:rsid w:val="00F31CC8"/>
    <w:rsid w:val="00F32C0A"/>
    <w:rsid w:val="00F3386C"/>
    <w:rsid w:val="00F34425"/>
    <w:rsid w:val="00F347CE"/>
    <w:rsid w:val="00F34D00"/>
    <w:rsid w:val="00F36DE1"/>
    <w:rsid w:val="00F41F9A"/>
    <w:rsid w:val="00F42759"/>
    <w:rsid w:val="00F428EC"/>
    <w:rsid w:val="00F42CEA"/>
    <w:rsid w:val="00F42D23"/>
    <w:rsid w:val="00F43B0A"/>
    <w:rsid w:val="00F46178"/>
    <w:rsid w:val="00F466E3"/>
    <w:rsid w:val="00F472B2"/>
    <w:rsid w:val="00F47767"/>
    <w:rsid w:val="00F478E2"/>
    <w:rsid w:val="00F50058"/>
    <w:rsid w:val="00F5059B"/>
    <w:rsid w:val="00F50B50"/>
    <w:rsid w:val="00F51079"/>
    <w:rsid w:val="00F514E3"/>
    <w:rsid w:val="00F51DA3"/>
    <w:rsid w:val="00F5291B"/>
    <w:rsid w:val="00F52D8B"/>
    <w:rsid w:val="00F5405B"/>
    <w:rsid w:val="00F54DF8"/>
    <w:rsid w:val="00F55583"/>
    <w:rsid w:val="00F56B3A"/>
    <w:rsid w:val="00F5748C"/>
    <w:rsid w:val="00F601BA"/>
    <w:rsid w:val="00F60542"/>
    <w:rsid w:val="00F6081C"/>
    <w:rsid w:val="00F608AD"/>
    <w:rsid w:val="00F60CC7"/>
    <w:rsid w:val="00F621C9"/>
    <w:rsid w:val="00F623AD"/>
    <w:rsid w:val="00F623B2"/>
    <w:rsid w:val="00F62C40"/>
    <w:rsid w:val="00F63411"/>
    <w:rsid w:val="00F63568"/>
    <w:rsid w:val="00F63B8C"/>
    <w:rsid w:val="00F64185"/>
    <w:rsid w:val="00F66001"/>
    <w:rsid w:val="00F66084"/>
    <w:rsid w:val="00F67128"/>
    <w:rsid w:val="00F677E9"/>
    <w:rsid w:val="00F702F9"/>
    <w:rsid w:val="00F705F7"/>
    <w:rsid w:val="00F70600"/>
    <w:rsid w:val="00F709C2"/>
    <w:rsid w:val="00F7206D"/>
    <w:rsid w:val="00F72E77"/>
    <w:rsid w:val="00F73653"/>
    <w:rsid w:val="00F73B38"/>
    <w:rsid w:val="00F743AC"/>
    <w:rsid w:val="00F7461A"/>
    <w:rsid w:val="00F74901"/>
    <w:rsid w:val="00F753A8"/>
    <w:rsid w:val="00F75933"/>
    <w:rsid w:val="00F76258"/>
    <w:rsid w:val="00F776DE"/>
    <w:rsid w:val="00F81DC7"/>
    <w:rsid w:val="00F81F1E"/>
    <w:rsid w:val="00F82EF2"/>
    <w:rsid w:val="00F848A9"/>
    <w:rsid w:val="00F84A67"/>
    <w:rsid w:val="00F84EE4"/>
    <w:rsid w:val="00F8535C"/>
    <w:rsid w:val="00F86166"/>
    <w:rsid w:val="00F868E7"/>
    <w:rsid w:val="00F86B2E"/>
    <w:rsid w:val="00F86F51"/>
    <w:rsid w:val="00F8789C"/>
    <w:rsid w:val="00F87974"/>
    <w:rsid w:val="00F879C2"/>
    <w:rsid w:val="00F9073C"/>
    <w:rsid w:val="00F90DAD"/>
    <w:rsid w:val="00F91081"/>
    <w:rsid w:val="00F919AD"/>
    <w:rsid w:val="00F92DD7"/>
    <w:rsid w:val="00F9391B"/>
    <w:rsid w:val="00F93F07"/>
    <w:rsid w:val="00F94CCF"/>
    <w:rsid w:val="00F950AA"/>
    <w:rsid w:val="00F950DC"/>
    <w:rsid w:val="00F96753"/>
    <w:rsid w:val="00F96AC8"/>
    <w:rsid w:val="00FA12D4"/>
    <w:rsid w:val="00FA1749"/>
    <w:rsid w:val="00FA1908"/>
    <w:rsid w:val="00FA36CF"/>
    <w:rsid w:val="00FA3BF4"/>
    <w:rsid w:val="00FA4023"/>
    <w:rsid w:val="00FA455C"/>
    <w:rsid w:val="00FA53FD"/>
    <w:rsid w:val="00FA5572"/>
    <w:rsid w:val="00FA774D"/>
    <w:rsid w:val="00FA791E"/>
    <w:rsid w:val="00FA7949"/>
    <w:rsid w:val="00FB05B7"/>
    <w:rsid w:val="00FB0777"/>
    <w:rsid w:val="00FB09AE"/>
    <w:rsid w:val="00FB0EB9"/>
    <w:rsid w:val="00FB19CB"/>
    <w:rsid w:val="00FB1F1C"/>
    <w:rsid w:val="00FB1FCD"/>
    <w:rsid w:val="00FB2678"/>
    <w:rsid w:val="00FB3F23"/>
    <w:rsid w:val="00FB4323"/>
    <w:rsid w:val="00FB47ED"/>
    <w:rsid w:val="00FB6B1A"/>
    <w:rsid w:val="00FB6D14"/>
    <w:rsid w:val="00FB7475"/>
    <w:rsid w:val="00FB761B"/>
    <w:rsid w:val="00FB7C1C"/>
    <w:rsid w:val="00FB7C56"/>
    <w:rsid w:val="00FC072D"/>
    <w:rsid w:val="00FC0AC2"/>
    <w:rsid w:val="00FC0E1F"/>
    <w:rsid w:val="00FC0EEB"/>
    <w:rsid w:val="00FC1026"/>
    <w:rsid w:val="00FC3CF1"/>
    <w:rsid w:val="00FC43B6"/>
    <w:rsid w:val="00FC5953"/>
    <w:rsid w:val="00FC59AC"/>
    <w:rsid w:val="00FC74AA"/>
    <w:rsid w:val="00FC7D9E"/>
    <w:rsid w:val="00FD090A"/>
    <w:rsid w:val="00FD0C39"/>
    <w:rsid w:val="00FD102F"/>
    <w:rsid w:val="00FD1C60"/>
    <w:rsid w:val="00FD292F"/>
    <w:rsid w:val="00FD36F4"/>
    <w:rsid w:val="00FD463D"/>
    <w:rsid w:val="00FD4C33"/>
    <w:rsid w:val="00FD4FB8"/>
    <w:rsid w:val="00FD5B8D"/>
    <w:rsid w:val="00FD5BDE"/>
    <w:rsid w:val="00FD5D4D"/>
    <w:rsid w:val="00FD60EE"/>
    <w:rsid w:val="00FD634B"/>
    <w:rsid w:val="00FD6BF5"/>
    <w:rsid w:val="00FD7510"/>
    <w:rsid w:val="00FD7D39"/>
    <w:rsid w:val="00FE0130"/>
    <w:rsid w:val="00FE097C"/>
    <w:rsid w:val="00FE1550"/>
    <w:rsid w:val="00FE16F8"/>
    <w:rsid w:val="00FE1AAE"/>
    <w:rsid w:val="00FE2B9C"/>
    <w:rsid w:val="00FE30E3"/>
    <w:rsid w:val="00FE4CC7"/>
    <w:rsid w:val="00FE593E"/>
    <w:rsid w:val="00FE59A5"/>
    <w:rsid w:val="00FE59BD"/>
    <w:rsid w:val="00FE70E2"/>
    <w:rsid w:val="00FE750B"/>
    <w:rsid w:val="00FE7789"/>
    <w:rsid w:val="00FE7A48"/>
    <w:rsid w:val="00FE7B78"/>
    <w:rsid w:val="00FE7BCC"/>
    <w:rsid w:val="00FE7C38"/>
    <w:rsid w:val="00FF060B"/>
    <w:rsid w:val="00FF2F6F"/>
    <w:rsid w:val="00FF354A"/>
    <w:rsid w:val="00FF3D52"/>
    <w:rsid w:val="00FF404B"/>
    <w:rsid w:val="00FF4D96"/>
    <w:rsid w:val="00FF5D1A"/>
    <w:rsid w:val="00FF6D02"/>
    <w:rsid w:val="00FF6F65"/>
    <w:rsid w:val="00FF70F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89DD577"/>
  <w15:docId w15:val="{B4D2E140-75F6-4C89-8851-C03D21F710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F26DA"/>
    <w:pPr>
      <w:spacing w:after="120" w:line="240" w:lineRule="auto"/>
      <w:jc w:val="both"/>
    </w:pPr>
    <w:rPr>
      <w:rFonts w:ascii="Times New Roman" w:hAnsi="Times New Roman"/>
      <w:sz w:val="24"/>
    </w:rPr>
  </w:style>
  <w:style w:type="paragraph" w:styleId="Heading1">
    <w:name w:val="heading 1"/>
    <w:basedOn w:val="Normal"/>
    <w:next w:val="Normal"/>
    <w:link w:val="Heading1Char1"/>
    <w:uiPriority w:val="9"/>
    <w:qFormat/>
    <w:rsid w:val="00797049"/>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aliases w:val="Podnaslov 2"/>
    <w:basedOn w:val="Normal"/>
    <w:next w:val="Normal"/>
    <w:link w:val="Heading2Char"/>
    <w:unhideWhenUsed/>
    <w:qFormat/>
    <w:rsid w:val="00797049"/>
    <w:pPr>
      <w:keepNext/>
      <w:keepLines/>
      <w:spacing w:before="40" w:after="0"/>
      <w:outlineLvl w:val="1"/>
    </w:pPr>
    <w:rPr>
      <w:rFonts w:ascii="Cambria" w:eastAsia="MS PGothic" w:hAnsi="Cambria" w:cs="Arial"/>
      <w:color w:val="404040"/>
      <w:sz w:val="28"/>
      <w:szCs w:val="28"/>
    </w:rPr>
  </w:style>
  <w:style w:type="paragraph" w:styleId="Heading3">
    <w:name w:val="heading 3"/>
    <w:basedOn w:val="Normal"/>
    <w:next w:val="Normal"/>
    <w:link w:val="Heading3Char"/>
    <w:uiPriority w:val="9"/>
    <w:unhideWhenUsed/>
    <w:qFormat/>
    <w:rsid w:val="00797049"/>
    <w:pPr>
      <w:keepNext/>
      <w:keepLines/>
      <w:spacing w:before="40" w:after="0"/>
      <w:outlineLvl w:val="2"/>
    </w:pPr>
    <w:rPr>
      <w:rFonts w:ascii="Arial" w:eastAsia="MS PGothic" w:hAnsi="Arial" w:cs="Arial"/>
      <w:color w:val="000000"/>
      <w:szCs w:val="24"/>
    </w:rPr>
  </w:style>
  <w:style w:type="paragraph" w:styleId="Heading4">
    <w:name w:val="heading 4"/>
    <w:basedOn w:val="Normal"/>
    <w:next w:val="Normal"/>
    <w:link w:val="Heading4Char"/>
    <w:unhideWhenUsed/>
    <w:qFormat/>
    <w:rsid w:val="00797049"/>
    <w:pPr>
      <w:keepNext/>
      <w:keepLines/>
      <w:spacing w:before="40" w:after="0"/>
      <w:outlineLvl w:val="3"/>
    </w:pPr>
    <w:rPr>
      <w:rFonts w:ascii="Arial" w:eastAsia="MS PGothic" w:hAnsi="Arial" w:cs="Arial"/>
    </w:rPr>
  </w:style>
  <w:style w:type="paragraph" w:styleId="Heading5">
    <w:name w:val="heading 5"/>
    <w:basedOn w:val="Normal"/>
    <w:next w:val="Normal"/>
    <w:link w:val="Heading5Char"/>
    <w:unhideWhenUsed/>
    <w:qFormat/>
    <w:rsid w:val="00797049"/>
    <w:pPr>
      <w:keepNext/>
      <w:keepLines/>
      <w:spacing w:before="40" w:after="0"/>
      <w:outlineLvl w:val="4"/>
    </w:pPr>
    <w:rPr>
      <w:rFonts w:ascii="Arial" w:eastAsia="MS PGothic" w:hAnsi="Arial" w:cs="Arial"/>
      <w:color w:val="000000"/>
    </w:rPr>
  </w:style>
  <w:style w:type="paragraph" w:styleId="Heading6">
    <w:name w:val="heading 6"/>
    <w:basedOn w:val="Normal"/>
    <w:next w:val="Normal"/>
    <w:link w:val="Heading6Char"/>
    <w:unhideWhenUsed/>
    <w:qFormat/>
    <w:rsid w:val="00797049"/>
    <w:pPr>
      <w:keepNext/>
      <w:keepLines/>
      <w:spacing w:before="40" w:after="0"/>
      <w:outlineLvl w:val="5"/>
    </w:pPr>
    <w:rPr>
      <w:rFonts w:ascii="Arial" w:eastAsia="MS PGothic" w:hAnsi="Arial" w:cs="Arial"/>
      <w:i/>
      <w:iCs/>
      <w:color w:val="000000"/>
      <w:sz w:val="21"/>
      <w:szCs w:val="21"/>
    </w:rPr>
  </w:style>
  <w:style w:type="paragraph" w:styleId="Heading7">
    <w:name w:val="heading 7"/>
    <w:basedOn w:val="Normal"/>
    <w:next w:val="Normal"/>
    <w:link w:val="Heading7Char"/>
    <w:uiPriority w:val="9"/>
    <w:semiHidden/>
    <w:unhideWhenUsed/>
    <w:qFormat/>
    <w:rsid w:val="00797049"/>
    <w:pPr>
      <w:keepNext/>
      <w:keepLines/>
      <w:spacing w:before="40" w:after="0"/>
      <w:outlineLvl w:val="6"/>
    </w:pPr>
    <w:rPr>
      <w:rFonts w:ascii="Arial" w:eastAsia="MS PGothic" w:hAnsi="Arial" w:cs="Arial"/>
      <w:i/>
      <w:iCs/>
      <w:color w:val="7F1D09"/>
      <w:sz w:val="21"/>
      <w:szCs w:val="21"/>
    </w:rPr>
  </w:style>
  <w:style w:type="paragraph" w:styleId="Heading8">
    <w:name w:val="heading 8"/>
    <w:basedOn w:val="Normal"/>
    <w:next w:val="Normal"/>
    <w:link w:val="Heading8Char"/>
    <w:uiPriority w:val="9"/>
    <w:unhideWhenUsed/>
    <w:qFormat/>
    <w:rsid w:val="00797049"/>
    <w:pPr>
      <w:keepNext/>
      <w:keepLines/>
      <w:spacing w:before="40" w:after="0"/>
      <w:outlineLvl w:val="7"/>
    </w:pPr>
    <w:rPr>
      <w:rFonts w:ascii="Arial" w:eastAsia="MS PGothic" w:hAnsi="Arial" w:cs="Arial"/>
      <w:b/>
      <w:bCs/>
      <w:color w:val="000000"/>
    </w:rPr>
  </w:style>
  <w:style w:type="paragraph" w:styleId="Heading9">
    <w:name w:val="heading 9"/>
    <w:basedOn w:val="Normal"/>
    <w:next w:val="Normal"/>
    <w:link w:val="Heading9Char"/>
    <w:uiPriority w:val="9"/>
    <w:semiHidden/>
    <w:unhideWhenUsed/>
    <w:qFormat/>
    <w:rsid w:val="00797049"/>
    <w:pPr>
      <w:keepNext/>
      <w:keepLines/>
      <w:spacing w:before="40" w:after="0"/>
      <w:outlineLvl w:val="8"/>
    </w:pPr>
    <w:rPr>
      <w:rFonts w:ascii="Arial" w:eastAsia="MS PGothic" w:hAnsi="Arial" w:cs="Arial"/>
      <w:b/>
      <w:bCs/>
      <w:i/>
      <w:iCs/>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1">
    <w:name w:val="Heading 11"/>
    <w:basedOn w:val="Normal"/>
    <w:next w:val="Normal"/>
    <w:link w:val="Heading1Char"/>
    <w:uiPriority w:val="9"/>
    <w:qFormat/>
    <w:rsid w:val="00797049"/>
    <w:pPr>
      <w:keepNext/>
      <w:keepLines/>
      <w:spacing w:before="320" w:after="0"/>
      <w:outlineLvl w:val="0"/>
    </w:pPr>
    <w:rPr>
      <w:rFonts w:ascii="Arial" w:eastAsia="MS PGothic" w:hAnsi="Arial" w:cs="Arial"/>
      <w:color w:val="BF2B0E"/>
      <w:sz w:val="32"/>
      <w:szCs w:val="32"/>
    </w:rPr>
  </w:style>
  <w:style w:type="paragraph" w:customStyle="1" w:styleId="Heading21">
    <w:name w:val="Heading 21"/>
    <w:basedOn w:val="Normal"/>
    <w:next w:val="Normal"/>
    <w:uiPriority w:val="9"/>
    <w:unhideWhenUsed/>
    <w:qFormat/>
    <w:rsid w:val="00797049"/>
    <w:pPr>
      <w:keepNext/>
      <w:keepLines/>
      <w:spacing w:before="80" w:after="0"/>
      <w:outlineLvl w:val="1"/>
    </w:pPr>
    <w:rPr>
      <w:rFonts w:ascii="Cambria" w:eastAsia="MS PGothic" w:hAnsi="Cambria" w:cs="Arial"/>
      <w:color w:val="404040"/>
      <w:sz w:val="28"/>
      <w:szCs w:val="28"/>
      <w:lang w:eastAsia="ja-JP"/>
    </w:rPr>
  </w:style>
  <w:style w:type="paragraph" w:customStyle="1" w:styleId="Heading31">
    <w:name w:val="Heading 31"/>
    <w:basedOn w:val="Normal"/>
    <w:next w:val="Normal"/>
    <w:uiPriority w:val="9"/>
    <w:unhideWhenUsed/>
    <w:qFormat/>
    <w:rsid w:val="00797049"/>
    <w:pPr>
      <w:keepNext/>
      <w:keepLines/>
      <w:spacing w:before="40" w:after="0"/>
      <w:outlineLvl w:val="2"/>
    </w:pPr>
    <w:rPr>
      <w:rFonts w:ascii="Arial" w:eastAsia="MS PGothic" w:hAnsi="Arial" w:cs="Arial"/>
      <w:color w:val="000000"/>
      <w:szCs w:val="24"/>
      <w:lang w:eastAsia="ja-JP"/>
    </w:rPr>
  </w:style>
  <w:style w:type="paragraph" w:customStyle="1" w:styleId="Heading41">
    <w:name w:val="Heading 41"/>
    <w:basedOn w:val="Normal"/>
    <w:next w:val="Normal"/>
    <w:uiPriority w:val="9"/>
    <w:unhideWhenUsed/>
    <w:qFormat/>
    <w:rsid w:val="00797049"/>
    <w:pPr>
      <w:keepNext/>
      <w:keepLines/>
      <w:spacing w:before="40" w:after="0" w:line="264" w:lineRule="auto"/>
      <w:outlineLvl w:val="3"/>
    </w:pPr>
    <w:rPr>
      <w:rFonts w:ascii="Arial" w:eastAsia="MS PGothic" w:hAnsi="Arial" w:cs="Arial"/>
      <w:lang w:eastAsia="ja-JP"/>
    </w:rPr>
  </w:style>
  <w:style w:type="paragraph" w:customStyle="1" w:styleId="Heading51">
    <w:name w:val="Heading 51"/>
    <w:basedOn w:val="Normal"/>
    <w:next w:val="Normal"/>
    <w:uiPriority w:val="9"/>
    <w:semiHidden/>
    <w:unhideWhenUsed/>
    <w:qFormat/>
    <w:rsid w:val="00797049"/>
    <w:pPr>
      <w:keepNext/>
      <w:keepLines/>
      <w:spacing w:before="40" w:after="0" w:line="264" w:lineRule="auto"/>
      <w:outlineLvl w:val="4"/>
    </w:pPr>
    <w:rPr>
      <w:rFonts w:ascii="Arial" w:eastAsia="MS PGothic" w:hAnsi="Arial" w:cs="Arial"/>
      <w:color w:val="000000"/>
      <w:lang w:eastAsia="ja-JP"/>
    </w:rPr>
  </w:style>
  <w:style w:type="paragraph" w:customStyle="1" w:styleId="Heading61">
    <w:name w:val="Heading 61"/>
    <w:basedOn w:val="Normal"/>
    <w:next w:val="Normal"/>
    <w:uiPriority w:val="9"/>
    <w:semiHidden/>
    <w:unhideWhenUsed/>
    <w:qFormat/>
    <w:rsid w:val="00797049"/>
    <w:pPr>
      <w:keepNext/>
      <w:keepLines/>
      <w:spacing w:before="40" w:after="0" w:line="264" w:lineRule="auto"/>
      <w:outlineLvl w:val="5"/>
    </w:pPr>
    <w:rPr>
      <w:rFonts w:ascii="Arial" w:eastAsia="MS PGothic" w:hAnsi="Arial" w:cs="Arial"/>
      <w:i/>
      <w:iCs/>
      <w:color w:val="000000"/>
      <w:sz w:val="21"/>
      <w:szCs w:val="21"/>
      <w:lang w:eastAsia="ja-JP"/>
    </w:rPr>
  </w:style>
  <w:style w:type="paragraph" w:customStyle="1" w:styleId="Heading71">
    <w:name w:val="Heading 71"/>
    <w:basedOn w:val="Normal"/>
    <w:next w:val="Normal"/>
    <w:uiPriority w:val="9"/>
    <w:semiHidden/>
    <w:unhideWhenUsed/>
    <w:qFormat/>
    <w:rsid w:val="00797049"/>
    <w:pPr>
      <w:keepNext/>
      <w:keepLines/>
      <w:spacing w:before="40" w:after="0" w:line="264" w:lineRule="auto"/>
      <w:outlineLvl w:val="6"/>
    </w:pPr>
    <w:rPr>
      <w:rFonts w:ascii="Arial" w:eastAsia="MS PGothic" w:hAnsi="Arial" w:cs="Arial"/>
      <w:i/>
      <w:iCs/>
      <w:color w:val="7F1D09"/>
      <w:sz w:val="21"/>
      <w:szCs w:val="21"/>
      <w:lang w:eastAsia="ja-JP"/>
    </w:rPr>
  </w:style>
  <w:style w:type="paragraph" w:customStyle="1" w:styleId="Heading81">
    <w:name w:val="Heading 81"/>
    <w:basedOn w:val="Normal"/>
    <w:next w:val="Normal"/>
    <w:uiPriority w:val="9"/>
    <w:semiHidden/>
    <w:unhideWhenUsed/>
    <w:qFormat/>
    <w:rsid w:val="00797049"/>
    <w:pPr>
      <w:keepNext/>
      <w:keepLines/>
      <w:spacing w:before="40" w:after="0" w:line="264" w:lineRule="auto"/>
      <w:outlineLvl w:val="7"/>
    </w:pPr>
    <w:rPr>
      <w:rFonts w:ascii="Arial" w:eastAsia="MS PGothic" w:hAnsi="Arial" w:cs="Arial"/>
      <w:b/>
      <w:bCs/>
      <w:color w:val="000000"/>
      <w:sz w:val="20"/>
      <w:szCs w:val="20"/>
      <w:lang w:eastAsia="ja-JP"/>
    </w:rPr>
  </w:style>
  <w:style w:type="paragraph" w:customStyle="1" w:styleId="Heading91">
    <w:name w:val="Heading 91"/>
    <w:basedOn w:val="Normal"/>
    <w:next w:val="Normal"/>
    <w:uiPriority w:val="9"/>
    <w:semiHidden/>
    <w:unhideWhenUsed/>
    <w:qFormat/>
    <w:rsid w:val="00797049"/>
    <w:pPr>
      <w:keepNext/>
      <w:keepLines/>
      <w:spacing w:before="40" w:after="0" w:line="264" w:lineRule="auto"/>
      <w:outlineLvl w:val="8"/>
    </w:pPr>
    <w:rPr>
      <w:rFonts w:ascii="Arial" w:eastAsia="MS PGothic" w:hAnsi="Arial" w:cs="Arial"/>
      <w:b/>
      <w:bCs/>
      <w:i/>
      <w:iCs/>
      <w:color w:val="000000"/>
      <w:sz w:val="20"/>
      <w:szCs w:val="20"/>
      <w:lang w:eastAsia="ja-JP"/>
    </w:rPr>
  </w:style>
  <w:style w:type="numbering" w:customStyle="1" w:styleId="NoList1">
    <w:name w:val="No List1"/>
    <w:next w:val="NoList"/>
    <w:uiPriority w:val="99"/>
    <w:semiHidden/>
    <w:unhideWhenUsed/>
    <w:rsid w:val="00797049"/>
  </w:style>
  <w:style w:type="paragraph" w:customStyle="1" w:styleId="Footer1">
    <w:name w:val="Footer1"/>
    <w:basedOn w:val="Normal"/>
    <w:next w:val="Footer"/>
    <w:link w:val="FooterChar"/>
    <w:uiPriority w:val="99"/>
    <w:unhideWhenUsed/>
    <w:rsid w:val="00797049"/>
    <w:pPr>
      <w:spacing w:after="0" w:line="264" w:lineRule="auto"/>
      <w:ind w:left="29" w:right="144"/>
    </w:pPr>
    <w:rPr>
      <w:color w:val="EF4623"/>
    </w:rPr>
  </w:style>
  <w:style w:type="character" w:customStyle="1" w:styleId="FooterChar">
    <w:name w:val="Footer Char"/>
    <w:aliases w:val="Char Char Char Char Char,Char Char1,Char Char Char1,Char Char Char Char Char Char Char Char,Char Char Char Char Char Char Char Char Char Char,Char Char Char Char Char Char Char Char Char Char Char Char Char Char"/>
    <w:basedOn w:val="DefaultParagraphFont"/>
    <w:link w:val="Footer1"/>
    <w:rsid w:val="00797049"/>
    <w:rPr>
      <w:color w:val="EF4623"/>
    </w:rPr>
  </w:style>
  <w:style w:type="paragraph" w:customStyle="1" w:styleId="Subtitle1">
    <w:name w:val="Subtitle1"/>
    <w:basedOn w:val="Normal"/>
    <w:next w:val="Normal"/>
    <w:uiPriority w:val="11"/>
    <w:qFormat/>
    <w:rsid w:val="00797049"/>
    <w:pPr>
      <w:numPr>
        <w:ilvl w:val="1"/>
      </w:numPr>
    </w:pPr>
    <w:rPr>
      <w:rFonts w:ascii="Arial" w:eastAsia="MS PGothic" w:hAnsi="Arial" w:cs="Arial"/>
      <w:szCs w:val="24"/>
      <w:lang w:eastAsia="ja-JP"/>
    </w:rPr>
  </w:style>
  <w:style w:type="paragraph" w:customStyle="1" w:styleId="Graphic">
    <w:name w:val="Graphic"/>
    <w:basedOn w:val="Normal"/>
    <w:uiPriority w:val="99"/>
    <w:rsid w:val="00797049"/>
    <w:pPr>
      <w:spacing w:line="264" w:lineRule="auto"/>
      <w:jc w:val="center"/>
    </w:pPr>
    <w:rPr>
      <w:rFonts w:eastAsia="MS PGothic"/>
      <w:sz w:val="20"/>
      <w:szCs w:val="20"/>
      <w:lang w:eastAsia="ja-JP"/>
    </w:rPr>
  </w:style>
  <w:style w:type="paragraph" w:styleId="Header">
    <w:name w:val="header"/>
    <w:basedOn w:val="Normal"/>
    <w:link w:val="HeaderChar"/>
    <w:uiPriority w:val="99"/>
    <w:rsid w:val="00797049"/>
    <w:pPr>
      <w:spacing w:after="380" w:line="264" w:lineRule="auto"/>
    </w:pPr>
    <w:rPr>
      <w:rFonts w:eastAsia="MS PGothic"/>
      <w:sz w:val="20"/>
      <w:szCs w:val="20"/>
      <w:lang w:eastAsia="ja-JP"/>
    </w:rPr>
  </w:style>
  <w:style w:type="character" w:customStyle="1" w:styleId="HeaderChar">
    <w:name w:val="Header Char"/>
    <w:basedOn w:val="DefaultParagraphFont"/>
    <w:link w:val="Header"/>
    <w:uiPriority w:val="99"/>
    <w:rsid w:val="00797049"/>
    <w:rPr>
      <w:rFonts w:eastAsia="MS PGothic"/>
      <w:sz w:val="20"/>
      <w:szCs w:val="20"/>
      <w:lang w:eastAsia="ja-JP"/>
    </w:rPr>
  </w:style>
  <w:style w:type="table" w:styleId="TableGrid">
    <w:name w:val="Table Grid"/>
    <w:basedOn w:val="TableNormal"/>
    <w:uiPriority w:val="59"/>
    <w:rsid w:val="00797049"/>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paragraph" w:customStyle="1" w:styleId="InfoHeading">
    <w:name w:val="Info Heading"/>
    <w:basedOn w:val="Normal"/>
    <w:uiPriority w:val="2"/>
    <w:rsid w:val="00797049"/>
    <w:pPr>
      <w:spacing w:after="60" w:line="264" w:lineRule="auto"/>
      <w:ind w:left="29" w:right="29"/>
      <w:jc w:val="right"/>
    </w:pPr>
    <w:rPr>
      <w:rFonts w:eastAsia="MS PGothic"/>
      <w:b/>
      <w:bCs/>
      <w:color w:val="EF4623"/>
      <w:sz w:val="36"/>
      <w:szCs w:val="20"/>
      <w:lang w:eastAsia="ja-JP"/>
    </w:rPr>
  </w:style>
  <w:style w:type="paragraph" w:customStyle="1" w:styleId="Page">
    <w:name w:val="Page"/>
    <w:basedOn w:val="Normal"/>
    <w:next w:val="Normal"/>
    <w:uiPriority w:val="99"/>
    <w:unhideWhenUsed/>
    <w:rsid w:val="00797049"/>
    <w:pPr>
      <w:spacing w:after="40" w:line="264" w:lineRule="auto"/>
    </w:pPr>
    <w:rPr>
      <w:rFonts w:eastAsia="MS PGothic"/>
      <w:noProof/>
      <w:color w:val="000000"/>
      <w:sz w:val="36"/>
      <w:szCs w:val="20"/>
      <w:lang w:eastAsia="ja-JP"/>
    </w:rPr>
  </w:style>
  <w:style w:type="paragraph" w:customStyle="1" w:styleId="Title1">
    <w:name w:val="Title1"/>
    <w:basedOn w:val="Normal"/>
    <w:next w:val="Normal"/>
    <w:uiPriority w:val="10"/>
    <w:qFormat/>
    <w:rsid w:val="00797049"/>
    <w:pPr>
      <w:spacing w:after="0"/>
      <w:contextualSpacing/>
    </w:pPr>
    <w:rPr>
      <w:rFonts w:ascii="Arial" w:eastAsia="MS PGothic" w:hAnsi="Arial" w:cs="Arial"/>
      <w:color w:val="EF4623"/>
      <w:spacing w:val="-10"/>
      <w:sz w:val="56"/>
      <w:szCs w:val="56"/>
      <w:lang w:eastAsia="ja-JP"/>
    </w:rPr>
  </w:style>
  <w:style w:type="character" w:customStyle="1" w:styleId="TitleChar">
    <w:name w:val="Title Char"/>
    <w:basedOn w:val="DefaultParagraphFont"/>
    <w:link w:val="Title"/>
    <w:rsid w:val="00797049"/>
    <w:rPr>
      <w:rFonts w:ascii="Arial" w:eastAsia="MS PGothic" w:hAnsi="Arial" w:cs="Arial"/>
      <w:color w:val="EF4623"/>
      <w:spacing w:val="-10"/>
      <w:sz w:val="56"/>
      <w:szCs w:val="56"/>
    </w:rPr>
  </w:style>
  <w:style w:type="character" w:styleId="PlaceholderText">
    <w:name w:val="Placeholder Text"/>
    <w:basedOn w:val="DefaultParagraphFont"/>
    <w:uiPriority w:val="99"/>
    <w:semiHidden/>
    <w:rsid w:val="00797049"/>
    <w:rPr>
      <w:color w:val="808080"/>
    </w:rPr>
  </w:style>
  <w:style w:type="paragraph" w:styleId="BalloonText">
    <w:name w:val="Balloon Text"/>
    <w:basedOn w:val="Normal"/>
    <w:link w:val="BalloonTextChar"/>
    <w:uiPriority w:val="99"/>
    <w:unhideWhenUsed/>
    <w:rsid w:val="00797049"/>
    <w:pPr>
      <w:spacing w:after="0" w:line="264" w:lineRule="auto"/>
    </w:pPr>
    <w:rPr>
      <w:rFonts w:ascii="Tahoma" w:eastAsia="MS PGothic" w:hAnsi="Tahoma" w:cs="Tahoma"/>
      <w:sz w:val="16"/>
      <w:szCs w:val="20"/>
      <w:lang w:eastAsia="ja-JP"/>
    </w:rPr>
  </w:style>
  <w:style w:type="character" w:customStyle="1" w:styleId="BalloonTextChar">
    <w:name w:val="Balloon Text Char"/>
    <w:basedOn w:val="DefaultParagraphFont"/>
    <w:link w:val="BalloonText"/>
    <w:uiPriority w:val="99"/>
    <w:rsid w:val="00797049"/>
    <w:rPr>
      <w:rFonts w:ascii="Tahoma" w:eastAsia="MS PGothic" w:hAnsi="Tahoma" w:cs="Tahoma"/>
      <w:sz w:val="16"/>
      <w:szCs w:val="20"/>
      <w:lang w:eastAsia="ja-JP"/>
    </w:rPr>
  </w:style>
  <w:style w:type="character" w:styleId="Strong">
    <w:name w:val="Strong"/>
    <w:basedOn w:val="DefaultParagraphFont"/>
    <w:uiPriority w:val="22"/>
    <w:qFormat/>
    <w:rsid w:val="00797049"/>
    <w:rPr>
      <w:b/>
      <w:bCs/>
    </w:rPr>
  </w:style>
  <w:style w:type="character" w:customStyle="1" w:styleId="SubtitleChar">
    <w:name w:val="Subtitle Char"/>
    <w:basedOn w:val="DefaultParagraphFont"/>
    <w:link w:val="Subtitle"/>
    <w:rsid w:val="00797049"/>
    <w:rPr>
      <w:rFonts w:ascii="Arial" w:eastAsia="MS PGothic" w:hAnsi="Arial" w:cs="Arial"/>
      <w:sz w:val="24"/>
      <w:szCs w:val="24"/>
    </w:rPr>
  </w:style>
  <w:style w:type="paragraph" w:customStyle="1" w:styleId="Abstract">
    <w:name w:val="Abstract"/>
    <w:basedOn w:val="Normal"/>
    <w:uiPriority w:val="3"/>
    <w:rsid w:val="00797049"/>
    <w:pPr>
      <w:spacing w:before="360" w:after="480" w:line="360" w:lineRule="auto"/>
    </w:pPr>
    <w:rPr>
      <w:rFonts w:eastAsia="MS PGothic"/>
      <w:i/>
      <w:iCs/>
      <w:color w:val="EF4623"/>
      <w:kern w:val="20"/>
      <w:sz w:val="28"/>
      <w:szCs w:val="20"/>
      <w:lang w:eastAsia="ja-JP"/>
    </w:rPr>
  </w:style>
  <w:style w:type="paragraph" w:styleId="NoSpacing">
    <w:name w:val="No Spacing"/>
    <w:aliases w:val="Uvodna rečenica"/>
    <w:link w:val="NoSpacingChar"/>
    <w:uiPriority w:val="1"/>
    <w:qFormat/>
    <w:rsid w:val="00797049"/>
    <w:pPr>
      <w:spacing w:after="0" w:line="240" w:lineRule="auto"/>
    </w:pPr>
    <w:rPr>
      <w:rFonts w:eastAsia="MS PGothic"/>
      <w:sz w:val="20"/>
      <w:szCs w:val="20"/>
      <w:lang w:eastAsia="ja-JP"/>
    </w:rPr>
  </w:style>
  <w:style w:type="character" w:customStyle="1" w:styleId="Hyperlink1">
    <w:name w:val="Hyperlink1"/>
    <w:basedOn w:val="DefaultParagraphFont"/>
    <w:uiPriority w:val="99"/>
    <w:unhideWhenUsed/>
    <w:rsid w:val="00797049"/>
    <w:rPr>
      <w:color w:val="5F5F5F"/>
      <w:u w:val="single"/>
    </w:rPr>
  </w:style>
  <w:style w:type="paragraph" w:styleId="TOC1">
    <w:name w:val="toc 1"/>
    <w:basedOn w:val="Normal"/>
    <w:next w:val="Normal"/>
    <w:autoRedefine/>
    <w:uiPriority w:val="39"/>
    <w:unhideWhenUsed/>
    <w:qFormat/>
    <w:rsid w:val="00F46178"/>
    <w:pPr>
      <w:tabs>
        <w:tab w:val="left" w:pos="400"/>
        <w:tab w:val="right" w:leader="underscore" w:pos="8424"/>
      </w:tabs>
      <w:spacing w:before="40" w:after="100" w:line="288" w:lineRule="auto"/>
    </w:pPr>
    <w:rPr>
      <w:rFonts w:eastAsia="MS PGothic"/>
      <w:noProof/>
      <w:kern w:val="20"/>
      <w:sz w:val="20"/>
      <w:szCs w:val="20"/>
      <w:lang w:eastAsia="ja-JP"/>
    </w:rPr>
  </w:style>
  <w:style w:type="character" w:customStyle="1" w:styleId="Heading1Char">
    <w:name w:val="Heading 1 Char"/>
    <w:basedOn w:val="DefaultParagraphFont"/>
    <w:link w:val="Heading11"/>
    <w:uiPriority w:val="9"/>
    <w:rsid w:val="00797049"/>
    <w:rPr>
      <w:rFonts w:ascii="Arial" w:eastAsia="MS PGothic" w:hAnsi="Arial" w:cs="Arial"/>
      <w:color w:val="BF2B0E"/>
      <w:sz w:val="32"/>
      <w:szCs w:val="32"/>
    </w:rPr>
  </w:style>
  <w:style w:type="character" w:customStyle="1" w:styleId="Heading1Char1">
    <w:name w:val="Heading 1 Char1"/>
    <w:basedOn w:val="DefaultParagraphFont"/>
    <w:link w:val="Heading1"/>
    <w:uiPriority w:val="9"/>
    <w:rsid w:val="00797049"/>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unhideWhenUsed/>
    <w:qFormat/>
    <w:rsid w:val="00797049"/>
    <w:pPr>
      <w:spacing w:before="320"/>
      <w:outlineLvl w:val="9"/>
    </w:pPr>
    <w:rPr>
      <w:lang w:eastAsia="ja-JP"/>
    </w:rPr>
  </w:style>
  <w:style w:type="character" w:customStyle="1" w:styleId="Heading2Char">
    <w:name w:val="Heading 2 Char"/>
    <w:aliases w:val="Podnaslov 2 Char"/>
    <w:basedOn w:val="DefaultParagraphFont"/>
    <w:link w:val="Heading2"/>
    <w:rsid w:val="00797049"/>
    <w:rPr>
      <w:rFonts w:ascii="Cambria" w:eastAsia="MS PGothic" w:hAnsi="Cambria" w:cs="Arial"/>
      <w:color w:val="404040"/>
      <w:sz w:val="28"/>
      <w:szCs w:val="28"/>
    </w:rPr>
  </w:style>
  <w:style w:type="paragraph" w:customStyle="1" w:styleId="Quote1">
    <w:name w:val="Quote1"/>
    <w:basedOn w:val="Normal"/>
    <w:next w:val="Normal"/>
    <w:uiPriority w:val="29"/>
    <w:qFormat/>
    <w:rsid w:val="00797049"/>
    <w:pPr>
      <w:spacing w:before="160" w:line="264" w:lineRule="auto"/>
      <w:ind w:left="720" w:right="720"/>
    </w:pPr>
    <w:rPr>
      <w:rFonts w:eastAsia="MS PGothic"/>
      <w:i/>
      <w:iCs/>
      <w:color w:val="404040"/>
      <w:sz w:val="20"/>
      <w:szCs w:val="20"/>
      <w:lang w:eastAsia="ja-JP"/>
    </w:rPr>
  </w:style>
  <w:style w:type="character" w:customStyle="1" w:styleId="QuoteChar">
    <w:name w:val="Quote Char"/>
    <w:basedOn w:val="DefaultParagraphFont"/>
    <w:link w:val="Quote"/>
    <w:uiPriority w:val="29"/>
    <w:rsid w:val="00797049"/>
    <w:rPr>
      <w:i/>
      <w:iCs/>
      <w:color w:val="404040"/>
    </w:rPr>
  </w:style>
  <w:style w:type="paragraph" w:customStyle="1" w:styleId="Signature1">
    <w:name w:val="Signature1"/>
    <w:basedOn w:val="Normal"/>
    <w:next w:val="Signature"/>
    <w:link w:val="SignatureChar"/>
    <w:uiPriority w:val="9"/>
    <w:unhideWhenUsed/>
    <w:rsid w:val="00797049"/>
    <w:pPr>
      <w:spacing w:before="720" w:after="0" w:line="312" w:lineRule="auto"/>
      <w:contextualSpacing/>
    </w:pPr>
    <w:rPr>
      <w:color w:val="595959"/>
      <w:kern w:val="20"/>
    </w:rPr>
  </w:style>
  <w:style w:type="character" w:customStyle="1" w:styleId="SignatureChar">
    <w:name w:val="Signature Char"/>
    <w:basedOn w:val="DefaultParagraphFont"/>
    <w:link w:val="Signature1"/>
    <w:uiPriority w:val="9"/>
    <w:rsid w:val="00797049"/>
    <w:rPr>
      <w:color w:val="595959"/>
      <w:kern w:val="20"/>
    </w:rPr>
  </w:style>
  <w:style w:type="character" w:customStyle="1" w:styleId="NoSpacingChar">
    <w:name w:val="No Spacing Char"/>
    <w:aliases w:val="Uvodna rečenica Char"/>
    <w:basedOn w:val="DefaultParagraphFont"/>
    <w:link w:val="NoSpacing"/>
    <w:uiPriority w:val="1"/>
    <w:rsid w:val="00797049"/>
    <w:rPr>
      <w:rFonts w:eastAsia="MS PGothic"/>
      <w:sz w:val="20"/>
      <w:szCs w:val="20"/>
      <w:lang w:eastAsia="ja-JP"/>
    </w:rPr>
  </w:style>
  <w:style w:type="paragraph" w:customStyle="1" w:styleId="ListBullet1">
    <w:name w:val="List Bullet1"/>
    <w:basedOn w:val="Normal"/>
    <w:next w:val="ListBullet"/>
    <w:link w:val="ListBulletChar"/>
    <w:uiPriority w:val="99"/>
    <w:unhideWhenUsed/>
    <w:qFormat/>
    <w:rsid w:val="00797049"/>
    <w:pPr>
      <w:numPr>
        <w:numId w:val="1"/>
      </w:numPr>
      <w:spacing w:before="40" w:after="40" w:line="288" w:lineRule="auto"/>
    </w:pPr>
    <w:rPr>
      <w:rFonts w:eastAsia="MS PGothic"/>
      <w:color w:val="595959"/>
      <w:kern w:val="20"/>
      <w:sz w:val="20"/>
      <w:szCs w:val="20"/>
      <w:lang w:eastAsia="ja-JP"/>
    </w:rPr>
  </w:style>
  <w:style w:type="paragraph" w:customStyle="1" w:styleId="ListNumber1">
    <w:name w:val="List Number1"/>
    <w:basedOn w:val="Normal"/>
    <w:next w:val="ListNumber"/>
    <w:uiPriority w:val="1"/>
    <w:unhideWhenUsed/>
    <w:rsid w:val="00797049"/>
    <w:pPr>
      <w:numPr>
        <w:numId w:val="2"/>
      </w:numPr>
      <w:spacing w:before="40" w:line="288" w:lineRule="auto"/>
      <w:contextualSpacing/>
    </w:pPr>
    <w:rPr>
      <w:rFonts w:eastAsia="MS PGothic"/>
      <w:color w:val="595959"/>
      <w:kern w:val="20"/>
      <w:sz w:val="20"/>
      <w:szCs w:val="20"/>
      <w:lang w:eastAsia="ja-JP"/>
    </w:rPr>
  </w:style>
  <w:style w:type="paragraph" w:customStyle="1" w:styleId="ListNumber21">
    <w:name w:val="List Number 21"/>
    <w:basedOn w:val="Normal"/>
    <w:next w:val="ListNumber2"/>
    <w:uiPriority w:val="1"/>
    <w:unhideWhenUsed/>
    <w:rsid w:val="00797049"/>
    <w:pPr>
      <w:numPr>
        <w:ilvl w:val="1"/>
        <w:numId w:val="2"/>
      </w:numPr>
      <w:spacing w:before="40" w:line="288" w:lineRule="auto"/>
      <w:contextualSpacing/>
    </w:pPr>
    <w:rPr>
      <w:rFonts w:eastAsia="MS PGothic"/>
      <w:color w:val="595959"/>
      <w:kern w:val="20"/>
      <w:sz w:val="20"/>
      <w:szCs w:val="20"/>
      <w:lang w:eastAsia="ja-JP"/>
    </w:rPr>
  </w:style>
  <w:style w:type="paragraph" w:customStyle="1" w:styleId="ListNumber31">
    <w:name w:val="List Number 31"/>
    <w:basedOn w:val="Normal"/>
    <w:next w:val="ListNumber3"/>
    <w:uiPriority w:val="18"/>
    <w:unhideWhenUsed/>
    <w:rsid w:val="00797049"/>
    <w:pPr>
      <w:numPr>
        <w:ilvl w:val="2"/>
        <w:numId w:val="2"/>
      </w:numPr>
      <w:spacing w:before="40" w:line="288" w:lineRule="auto"/>
      <w:contextualSpacing/>
    </w:pPr>
    <w:rPr>
      <w:rFonts w:eastAsia="MS PGothic"/>
      <w:color w:val="595959"/>
      <w:kern w:val="20"/>
      <w:sz w:val="20"/>
      <w:szCs w:val="20"/>
      <w:lang w:eastAsia="ja-JP"/>
    </w:rPr>
  </w:style>
  <w:style w:type="paragraph" w:customStyle="1" w:styleId="ListNumber41">
    <w:name w:val="List Number 41"/>
    <w:basedOn w:val="Normal"/>
    <w:next w:val="ListNumber4"/>
    <w:uiPriority w:val="18"/>
    <w:unhideWhenUsed/>
    <w:rsid w:val="00797049"/>
    <w:pPr>
      <w:numPr>
        <w:ilvl w:val="3"/>
        <w:numId w:val="2"/>
      </w:numPr>
      <w:spacing w:before="40" w:line="288" w:lineRule="auto"/>
      <w:contextualSpacing/>
    </w:pPr>
    <w:rPr>
      <w:rFonts w:eastAsia="MS PGothic"/>
      <w:color w:val="595959"/>
      <w:kern w:val="20"/>
      <w:sz w:val="20"/>
      <w:szCs w:val="20"/>
      <w:lang w:eastAsia="ja-JP"/>
    </w:rPr>
  </w:style>
  <w:style w:type="paragraph" w:customStyle="1" w:styleId="ListNumber51">
    <w:name w:val="List Number 51"/>
    <w:basedOn w:val="Normal"/>
    <w:next w:val="ListNumber5"/>
    <w:uiPriority w:val="18"/>
    <w:unhideWhenUsed/>
    <w:rsid w:val="00797049"/>
    <w:pPr>
      <w:numPr>
        <w:ilvl w:val="4"/>
        <w:numId w:val="2"/>
      </w:numPr>
      <w:spacing w:before="40" w:line="288" w:lineRule="auto"/>
      <w:contextualSpacing/>
    </w:pPr>
    <w:rPr>
      <w:rFonts w:eastAsia="MS PGothic"/>
      <w:color w:val="595959"/>
      <w:kern w:val="20"/>
      <w:sz w:val="20"/>
      <w:szCs w:val="20"/>
      <w:lang w:eastAsia="ja-JP"/>
    </w:rPr>
  </w:style>
  <w:style w:type="table" w:customStyle="1" w:styleId="FinancialTable">
    <w:name w:val="Financial Table"/>
    <w:basedOn w:val="TableNormal"/>
    <w:uiPriority w:val="99"/>
    <w:rsid w:val="00797049"/>
    <w:pPr>
      <w:spacing w:before="60" w:after="60" w:line="264" w:lineRule="auto"/>
    </w:pPr>
    <w:rPr>
      <w:rFonts w:eastAsia="MS PGothic"/>
      <w:sz w:val="20"/>
      <w:szCs w:val="20"/>
      <w:lang w:eastAsia="ja-JP"/>
    </w:rPr>
    <w:tblPr>
      <w:tblBorders>
        <w:top w:val="single" w:sz="8" w:space="0" w:color="000000"/>
        <w:left w:val="single" w:sz="8" w:space="0" w:color="000000"/>
        <w:bottom w:val="single" w:sz="24" w:space="0" w:color="000000"/>
        <w:right w:val="single" w:sz="8" w:space="0" w:color="000000"/>
        <w:insideH w:val="single" w:sz="8" w:space="0" w:color="000000"/>
        <w:insideV w:val="single" w:sz="8" w:space="0" w:color="000000"/>
      </w:tblBorders>
      <w:tblCellMar>
        <w:left w:w="72" w:type="dxa"/>
        <w:right w:w="72" w:type="dxa"/>
      </w:tblCellMar>
    </w:tblPr>
    <w:tblStylePr w:type="firstRow">
      <w:pPr>
        <w:wordWrap/>
        <w:spacing w:beforeLines="0" w:before="40" w:beforeAutospacing="0" w:afterLines="0" w:after="40" w:afterAutospacing="0"/>
        <w:jc w:val="left"/>
      </w:pPr>
      <w:rPr>
        <w:rFonts w:ascii="Arial" w:hAnsi="Arial"/>
        <w:b/>
        <w:i w:val="0"/>
        <w:caps w:val="0"/>
        <w:smallCaps w:val="0"/>
        <w:color w:val="000000"/>
        <w:sz w:val="22"/>
      </w:rPr>
    </w:tblStylePr>
    <w:tblStylePr w:type="firstCol">
      <w:rPr>
        <w:b/>
        <w:color w:val="000000"/>
      </w:rPr>
    </w:tblStylePr>
  </w:style>
  <w:style w:type="character" w:styleId="CommentReference">
    <w:name w:val="annotation reference"/>
    <w:basedOn w:val="DefaultParagraphFont"/>
    <w:uiPriority w:val="99"/>
    <w:semiHidden/>
    <w:unhideWhenUsed/>
    <w:rsid w:val="00797049"/>
    <w:rPr>
      <w:sz w:val="16"/>
    </w:rPr>
  </w:style>
  <w:style w:type="paragraph" w:styleId="CommentText">
    <w:name w:val="annotation text"/>
    <w:basedOn w:val="Normal"/>
    <w:link w:val="CommentTextChar"/>
    <w:uiPriority w:val="99"/>
    <w:unhideWhenUsed/>
    <w:rsid w:val="00797049"/>
    <w:pPr>
      <w:spacing w:line="264" w:lineRule="auto"/>
    </w:pPr>
    <w:rPr>
      <w:rFonts w:eastAsia="MS PGothic"/>
      <w:sz w:val="20"/>
      <w:szCs w:val="20"/>
      <w:lang w:eastAsia="ja-JP"/>
    </w:rPr>
  </w:style>
  <w:style w:type="character" w:customStyle="1" w:styleId="CommentTextChar">
    <w:name w:val="Comment Text Char"/>
    <w:basedOn w:val="DefaultParagraphFont"/>
    <w:link w:val="CommentText"/>
    <w:uiPriority w:val="99"/>
    <w:rsid w:val="00797049"/>
    <w:rPr>
      <w:rFonts w:eastAsia="MS PGothic"/>
      <w:sz w:val="20"/>
      <w:szCs w:val="20"/>
      <w:lang w:eastAsia="ja-JP"/>
    </w:rPr>
  </w:style>
  <w:style w:type="paragraph" w:styleId="CommentSubject">
    <w:name w:val="annotation subject"/>
    <w:basedOn w:val="CommentText"/>
    <w:next w:val="CommentText"/>
    <w:link w:val="CommentSubjectChar"/>
    <w:uiPriority w:val="99"/>
    <w:unhideWhenUsed/>
    <w:rsid w:val="00797049"/>
    <w:rPr>
      <w:b/>
      <w:bCs/>
    </w:rPr>
  </w:style>
  <w:style w:type="character" w:customStyle="1" w:styleId="CommentSubjectChar">
    <w:name w:val="Comment Subject Char"/>
    <w:basedOn w:val="CommentTextChar"/>
    <w:link w:val="CommentSubject"/>
    <w:uiPriority w:val="99"/>
    <w:rsid w:val="00797049"/>
    <w:rPr>
      <w:rFonts w:eastAsia="MS PGothic"/>
      <w:b/>
      <w:bCs/>
      <w:sz w:val="20"/>
      <w:szCs w:val="20"/>
      <w:lang w:eastAsia="ja-JP"/>
    </w:rPr>
  </w:style>
  <w:style w:type="table" w:customStyle="1" w:styleId="LightShading1">
    <w:name w:val="Light Shading1"/>
    <w:basedOn w:val="TableNormal"/>
    <w:next w:val="LightShading"/>
    <w:uiPriority w:val="60"/>
    <w:rsid w:val="00797049"/>
    <w:pPr>
      <w:spacing w:after="0" w:line="264" w:lineRule="auto"/>
    </w:pPr>
    <w:rPr>
      <w:rFonts w:eastAsia="MS PGothic"/>
      <w:color w:val="000000"/>
      <w:sz w:val="20"/>
      <w:szCs w:val="20"/>
      <w:lang w:eastAsia="ja-JP"/>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TableTextDecimal">
    <w:name w:val="Table Text Decimal"/>
    <w:basedOn w:val="Normal"/>
    <w:uiPriority w:val="1"/>
    <w:rsid w:val="00797049"/>
    <w:pPr>
      <w:tabs>
        <w:tab w:val="decimal" w:pos="869"/>
      </w:tabs>
      <w:spacing w:before="60" w:after="60" w:line="264" w:lineRule="auto"/>
    </w:pPr>
    <w:rPr>
      <w:rFonts w:eastAsia="MS PGothic"/>
      <w:sz w:val="20"/>
      <w:szCs w:val="20"/>
      <w:lang w:eastAsia="ja-JP"/>
    </w:rPr>
  </w:style>
  <w:style w:type="paragraph" w:customStyle="1" w:styleId="TableText">
    <w:name w:val="Table Text"/>
    <w:basedOn w:val="Normal"/>
    <w:uiPriority w:val="1"/>
    <w:rsid w:val="00797049"/>
    <w:pPr>
      <w:spacing w:before="60" w:after="60" w:line="264" w:lineRule="auto"/>
    </w:pPr>
    <w:rPr>
      <w:rFonts w:eastAsia="MS PGothic"/>
      <w:sz w:val="20"/>
      <w:szCs w:val="20"/>
      <w:lang w:eastAsia="ja-JP"/>
    </w:rPr>
  </w:style>
  <w:style w:type="paragraph" w:customStyle="1" w:styleId="Organization">
    <w:name w:val="Organization"/>
    <w:basedOn w:val="Normal"/>
    <w:uiPriority w:val="2"/>
    <w:rsid w:val="00797049"/>
    <w:pPr>
      <w:spacing w:after="60" w:line="264" w:lineRule="auto"/>
      <w:ind w:left="29" w:right="29"/>
    </w:pPr>
    <w:rPr>
      <w:rFonts w:eastAsia="MS PGothic"/>
      <w:b/>
      <w:bCs/>
      <w:color w:val="EF4623"/>
      <w:sz w:val="36"/>
      <w:szCs w:val="20"/>
      <w:lang w:eastAsia="ja-JP"/>
    </w:rPr>
  </w:style>
  <w:style w:type="paragraph" w:styleId="TOC2">
    <w:name w:val="toc 2"/>
    <w:basedOn w:val="Normal"/>
    <w:next w:val="Normal"/>
    <w:autoRedefine/>
    <w:uiPriority w:val="39"/>
    <w:unhideWhenUsed/>
    <w:qFormat/>
    <w:rsid w:val="00DE298C"/>
    <w:pPr>
      <w:tabs>
        <w:tab w:val="left" w:pos="660"/>
        <w:tab w:val="right" w:leader="underscore" w:pos="8657"/>
      </w:tabs>
      <w:spacing w:after="100" w:line="264" w:lineRule="auto"/>
      <w:ind w:left="200"/>
    </w:pPr>
    <w:rPr>
      <w:rFonts w:ascii="Cambria" w:eastAsia="MS PGothic" w:hAnsi="Cambria"/>
      <w:noProof/>
      <w:sz w:val="20"/>
      <w:szCs w:val="20"/>
      <w:lang w:val="sr-Cyrl-RS" w:eastAsia="ja-JP"/>
    </w:rPr>
  </w:style>
  <w:style w:type="table" w:customStyle="1" w:styleId="GridTable6Colorful-Accent51">
    <w:name w:val="Grid Table 6 Colorful - Accent 51"/>
    <w:basedOn w:val="TableNormal"/>
    <w:next w:val="GridTable6Colorful-Accent54"/>
    <w:uiPriority w:val="51"/>
    <w:rsid w:val="00797049"/>
    <w:pPr>
      <w:spacing w:after="0" w:line="264" w:lineRule="auto"/>
    </w:pPr>
    <w:rPr>
      <w:rFonts w:ascii="Calibri" w:eastAsia="Calibri" w:hAnsi="Calibri" w:cs="Times New Roman"/>
      <w:color w:val="474747"/>
      <w:sz w:val="20"/>
      <w:szCs w:val="20"/>
    </w:rPr>
    <w:tblPr>
      <w:tblStyleRowBandSize w:val="1"/>
      <w:tblStyleColBandSize w:val="1"/>
      <w:tblBorders>
        <w:top w:val="single" w:sz="4" w:space="0" w:color="9F9F9F"/>
        <w:left w:val="single" w:sz="4" w:space="0" w:color="9F9F9F"/>
        <w:bottom w:val="single" w:sz="4" w:space="0" w:color="9F9F9F"/>
        <w:right w:val="single" w:sz="4" w:space="0" w:color="9F9F9F"/>
        <w:insideH w:val="single" w:sz="4" w:space="0" w:color="9F9F9F"/>
        <w:insideV w:val="single" w:sz="4" w:space="0" w:color="9F9F9F"/>
      </w:tblBorders>
    </w:tblPr>
    <w:tblStylePr w:type="firstRow">
      <w:rPr>
        <w:b/>
        <w:bCs/>
      </w:rPr>
      <w:tblPr/>
      <w:tcPr>
        <w:tcBorders>
          <w:bottom w:val="single" w:sz="12" w:space="0" w:color="9F9F9F"/>
        </w:tcBorders>
      </w:tcPr>
    </w:tblStylePr>
    <w:tblStylePr w:type="lastRow">
      <w:rPr>
        <w:b/>
        <w:bCs/>
      </w:rPr>
      <w:tblPr/>
      <w:tcPr>
        <w:tcBorders>
          <w:top w:val="double" w:sz="4" w:space="0" w:color="9F9F9F"/>
        </w:tcBorders>
      </w:tcPr>
    </w:tblStylePr>
    <w:tblStylePr w:type="firstCol">
      <w:rPr>
        <w:b/>
        <w:bCs/>
      </w:rPr>
    </w:tblStylePr>
    <w:tblStylePr w:type="lastCol">
      <w:rPr>
        <w:b/>
        <w:bCs/>
      </w:rPr>
    </w:tblStylePr>
    <w:tblStylePr w:type="band1Vert">
      <w:tblPr/>
      <w:tcPr>
        <w:shd w:val="clear" w:color="auto" w:fill="DFDFDF"/>
      </w:tcPr>
    </w:tblStylePr>
    <w:tblStylePr w:type="band1Horz">
      <w:tblPr/>
      <w:tcPr>
        <w:shd w:val="clear" w:color="auto" w:fill="DFDFDF"/>
      </w:tcPr>
    </w:tblStylePr>
  </w:style>
  <w:style w:type="character" w:customStyle="1" w:styleId="Heading3Char">
    <w:name w:val="Heading 3 Char"/>
    <w:basedOn w:val="DefaultParagraphFont"/>
    <w:link w:val="Heading3"/>
    <w:uiPriority w:val="9"/>
    <w:rsid w:val="00797049"/>
    <w:rPr>
      <w:rFonts w:ascii="Arial" w:eastAsia="MS PGothic" w:hAnsi="Arial" w:cs="Arial"/>
      <w:color w:val="000000"/>
      <w:sz w:val="24"/>
      <w:szCs w:val="24"/>
    </w:rPr>
  </w:style>
  <w:style w:type="table" w:customStyle="1" w:styleId="LightShading-Accent12">
    <w:name w:val="Light Shading - Accent 12"/>
    <w:basedOn w:val="TableNormal"/>
    <w:uiPriority w:val="60"/>
    <w:rsid w:val="00797049"/>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GridTable6Colorful-Accent511">
    <w:name w:val="Grid Table 6 Colorful - Accent 511"/>
    <w:basedOn w:val="TableNormal"/>
    <w:uiPriority w:val="51"/>
    <w:rsid w:val="00797049"/>
    <w:pPr>
      <w:spacing w:after="0" w:line="264" w:lineRule="auto"/>
    </w:pPr>
    <w:rPr>
      <w:rFonts w:ascii="Calibri" w:eastAsia="Calibri" w:hAnsi="Calibri" w:cs="Times New Roman"/>
      <w:color w:val="387AAA"/>
      <w:sz w:val="20"/>
      <w:szCs w:val="20"/>
    </w:rPr>
    <w:tblPr>
      <w:tblStyleRowBandSize w:val="1"/>
      <w:tblStyleColBandSize w:val="1"/>
      <w:tblBorders>
        <w:top w:val="single" w:sz="4" w:space="0" w:color="A1C5E0"/>
        <w:left w:val="single" w:sz="4" w:space="0" w:color="A1C5E0"/>
        <w:bottom w:val="single" w:sz="4" w:space="0" w:color="A1C5E0"/>
        <w:right w:val="single" w:sz="4" w:space="0" w:color="A1C5E0"/>
        <w:insideH w:val="single" w:sz="4" w:space="0" w:color="A1C5E0"/>
        <w:insideV w:val="single" w:sz="4" w:space="0" w:color="A1C5E0"/>
      </w:tblBorders>
    </w:tblPr>
    <w:tblStylePr w:type="firstRow">
      <w:rPr>
        <w:b/>
        <w:bCs/>
      </w:rPr>
      <w:tblPr/>
      <w:tcPr>
        <w:tcBorders>
          <w:bottom w:val="single" w:sz="12" w:space="0" w:color="A1C5E0"/>
        </w:tcBorders>
      </w:tcPr>
    </w:tblStylePr>
    <w:tblStylePr w:type="lastRow">
      <w:rPr>
        <w:b/>
        <w:bCs/>
      </w:rPr>
      <w:tblPr/>
      <w:tcPr>
        <w:tcBorders>
          <w:top w:val="double" w:sz="4" w:space="0" w:color="A1C5E0"/>
        </w:tcBorders>
      </w:tcPr>
    </w:tblStylePr>
    <w:tblStylePr w:type="firstCol">
      <w:rPr>
        <w:b/>
        <w:bCs/>
      </w:rPr>
    </w:tblStylePr>
    <w:tblStylePr w:type="lastCol">
      <w:rPr>
        <w:b/>
        <w:bCs/>
      </w:rPr>
    </w:tblStylePr>
    <w:tblStylePr w:type="band1Vert">
      <w:tblPr/>
      <w:tcPr>
        <w:shd w:val="clear" w:color="auto" w:fill="DFEBF4"/>
      </w:tcPr>
    </w:tblStylePr>
    <w:tblStylePr w:type="band1Horz">
      <w:tblPr/>
      <w:tcPr>
        <w:shd w:val="clear" w:color="auto" w:fill="DFEBF4"/>
      </w:tcPr>
    </w:tblStylePr>
  </w:style>
  <w:style w:type="table" w:customStyle="1" w:styleId="LightShading-Accent121">
    <w:name w:val="Light Shading - Accent 121"/>
    <w:basedOn w:val="TableNormal"/>
    <w:uiPriority w:val="60"/>
    <w:rsid w:val="00797049"/>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GridTable6Colorful-Accent11">
    <w:name w:val="Grid Table 6 Colorful - Accent 11"/>
    <w:basedOn w:val="TableNormal"/>
    <w:next w:val="GridTable6Colorful-Accent13"/>
    <w:uiPriority w:val="51"/>
    <w:rsid w:val="00797049"/>
    <w:pPr>
      <w:spacing w:after="0" w:line="264" w:lineRule="auto"/>
    </w:pPr>
    <w:rPr>
      <w:rFonts w:eastAsia="MS PGothic"/>
      <w:color w:val="BF2B0E"/>
      <w:sz w:val="20"/>
      <w:szCs w:val="20"/>
      <w:lang w:eastAsia="ja-JP"/>
    </w:rPr>
    <w:tblPr>
      <w:tblStyleRowBandSize w:val="1"/>
      <w:tblStyleColBandSize w:val="1"/>
      <w:tblBorders>
        <w:top w:val="single" w:sz="4" w:space="0" w:color="F58F7A"/>
        <w:left w:val="single" w:sz="4" w:space="0" w:color="F58F7A"/>
        <w:bottom w:val="single" w:sz="4" w:space="0" w:color="F58F7A"/>
        <w:right w:val="single" w:sz="4" w:space="0" w:color="F58F7A"/>
        <w:insideH w:val="single" w:sz="4" w:space="0" w:color="F58F7A"/>
        <w:insideV w:val="single" w:sz="4" w:space="0" w:color="F58F7A"/>
      </w:tblBorders>
    </w:tblPr>
    <w:tblStylePr w:type="firstRow">
      <w:rPr>
        <w:b/>
        <w:bCs/>
      </w:rPr>
      <w:tblPr/>
      <w:tcPr>
        <w:tcBorders>
          <w:bottom w:val="single" w:sz="12" w:space="0" w:color="F58F7A"/>
        </w:tcBorders>
      </w:tcPr>
    </w:tblStylePr>
    <w:tblStylePr w:type="lastRow">
      <w:rPr>
        <w:b/>
        <w:bCs/>
      </w:rPr>
      <w:tblPr/>
      <w:tcPr>
        <w:tcBorders>
          <w:top w:val="double" w:sz="4" w:space="0" w:color="F58F7A"/>
        </w:tcBorders>
      </w:tcPr>
    </w:tblStylePr>
    <w:tblStylePr w:type="firstCol">
      <w:rPr>
        <w:b/>
        <w:bCs/>
      </w:rPr>
    </w:tblStylePr>
    <w:tblStylePr w:type="lastCol">
      <w:rPr>
        <w:b/>
        <w:bCs/>
      </w:rPr>
    </w:tblStylePr>
    <w:tblStylePr w:type="band1Vert">
      <w:tblPr/>
      <w:tcPr>
        <w:shd w:val="clear" w:color="auto" w:fill="FBD9D2"/>
      </w:tcPr>
    </w:tblStylePr>
    <w:tblStylePr w:type="band1Horz">
      <w:tblPr/>
      <w:tcPr>
        <w:shd w:val="clear" w:color="auto" w:fill="FBD9D2"/>
      </w:tcPr>
    </w:tblStylePr>
  </w:style>
  <w:style w:type="paragraph" w:styleId="TOC3">
    <w:name w:val="toc 3"/>
    <w:basedOn w:val="Normal"/>
    <w:next w:val="Normal"/>
    <w:autoRedefine/>
    <w:uiPriority w:val="39"/>
    <w:unhideWhenUsed/>
    <w:qFormat/>
    <w:rsid w:val="00797049"/>
    <w:pPr>
      <w:spacing w:after="100" w:line="264" w:lineRule="auto"/>
      <w:ind w:left="400"/>
    </w:pPr>
    <w:rPr>
      <w:rFonts w:eastAsia="MS PGothic"/>
      <w:sz w:val="20"/>
      <w:szCs w:val="20"/>
      <w:lang w:eastAsia="ja-JP"/>
    </w:rPr>
  </w:style>
  <w:style w:type="character" w:customStyle="1" w:styleId="Heading4Char">
    <w:name w:val="Heading 4 Char"/>
    <w:basedOn w:val="DefaultParagraphFont"/>
    <w:link w:val="Heading4"/>
    <w:rsid w:val="00797049"/>
    <w:rPr>
      <w:rFonts w:ascii="Arial" w:eastAsia="MS PGothic" w:hAnsi="Arial" w:cs="Arial"/>
      <w:sz w:val="22"/>
      <w:szCs w:val="22"/>
    </w:rPr>
  </w:style>
  <w:style w:type="character" w:customStyle="1" w:styleId="Heading5Char">
    <w:name w:val="Heading 5 Char"/>
    <w:basedOn w:val="DefaultParagraphFont"/>
    <w:link w:val="Heading5"/>
    <w:rsid w:val="00797049"/>
    <w:rPr>
      <w:rFonts w:ascii="Arial" w:eastAsia="MS PGothic" w:hAnsi="Arial" w:cs="Arial"/>
      <w:color w:val="000000"/>
      <w:sz w:val="22"/>
      <w:szCs w:val="22"/>
    </w:rPr>
  </w:style>
  <w:style w:type="character" w:customStyle="1" w:styleId="Heading6Char">
    <w:name w:val="Heading 6 Char"/>
    <w:basedOn w:val="DefaultParagraphFont"/>
    <w:link w:val="Heading6"/>
    <w:rsid w:val="00797049"/>
    <w:rPr>
      <w:rFonts w:ascii="Arial" w:eastAsia="MS PGothic" w:hAnsi="Arial" w:cs="Arial"/>
      <w:i/>
      <w:iCs/>
      <w:color w:val="000000"/>
      <w:sz w:val="21"/>
      <w:szCs w:val="21"/>
    </w:rPr>
  </w:style>
  <w:style w:type="character" w:customStyle="1" w:styleId="Heading7Char">
    <w:name w:val="Heading 7 Char"/>
    <w:basedOn w:val="DefaultParagraphFont"/>
    <w:link w:val="Heading7"/>
    <w:uiPriority w:val="9"/>
    <w:semiHidden/>
    <w:rsid w:val="00797049"/>
    <w:rPr>
      <w:rFonts w:ascii="Arial" w:eastAsia="MS PGothic" w:hAnsi="Arial" w:cs="Arial"/>
      <w:i/>
      <w:iCs/>
      <w:color w:val="7F1D09"/>
      <w:sz w:val="21"/>
      <w:szCs w:val="21"/>
    </w:rPr>
  </w:style>
  <w:style w:type="character" w:customStyle="1" w:styleId="Heading8Char">
    <w:name w:val="Heading 8 Char"/>
    <w:basedOn w:val="DefaultParagraphFont"/>
    <w:link w:val="Heading8"/>
    <w:uiPriority w:val="9"/>
    <w:rsid w:val="00797049"/>
    <w:rPr>
      <w:rFonts w:ascii="Arial" w:eastAsia="MS PGothic" w:hAnsi="Arial" w:cs="Arial"/>
      <w:b/>
      <w:bCs/>
      <w:color w:val="000000"/>
    </w:rPr>
  </w:style>
  <w:style w:type="character" w:customStyle="1" w:styleId="Heading9Char">
    <w:name w:val="Heading 9 Char"/>
    <w:basedOn w:val="DefaultParagraphFont"/>
    <w:link w:val="Heading9"/>
    <w:uiPriority w:val="9"/>
    <w:semiHidden/>
    <w:rsid w:val="00797049"/>
    <w:rPr>
      <w:rFonts w:ascii="Arial" w:eastAsia="MS PGothic" w:hAnsi="Arial" w:cs="Arial"/>
      <w:b/>
      <w:bCs/>
      <w:i/>
      <w:iCs/>
      <w:color w:val="000000"/>
    </w:rPr>
  </w:style>
  <w:style w:type="paragraph" w:customStyle="1" w:styleId="Caption1">
    <w:name w:val="Caption1"/>
    <w:basedOn w:val="Normal"/>
    <w:next w:val="Normal"/>
    <w:unhideWhenUsed/>
    <w:qFormat/>
    <w:rsid w:val="00797049"/>
    <w:rPr>
      <w:rFonts w:eastAsia="MS PGothic"/>
      <w:b/>
      <w:bCs/>
      <w:smallCaps/>
      <w:color w:val="595959"/>
      <w:spacing w:val="6"/>
      <w:sz w:val="20"/>
      <w:szCs w:val="20"/>
      <w:lang w:eastAsia="ja-JP"/>
    </w:rPr>
  </w:style>
  <w:style w:type="character" w:styleId="Emphasis">
    <w:name w:val="Emphasis"/>
    <w:basedOn w:val="DefaultParagraphFont"/>
    <w:uiPriority w:val="20"/>
    <w:qFormat/>
    <w:rsid w:val="00797049"/>
    <w:rPr>
      <w:i/>
      <w:iCs/>
    </w:rPr>
  </w:style>
  <w:style w:type="paragraph" w:customStyle="1" w:styleId="IntenseQuote1">
    <w:name w:val="Intense Quote1"/>
    <w:basedOn w:val="Normal"/>
    <w:next w:val="Normal"/>
    <w:uiPriority w:val="30"/>
    <w:qFormat/>
    <w:rsid w:val="00797049"/>
    <w:pPr>
      <w:pBdr>
        <w:left w:val="single" w:sz="18" w:space="12" w:color="EF4623"/>
      </w:pBdr>
      <w:spacing w:before="100" w:beforeAutospacing="1" w:line="300" w:lineRule="auto"/>
      <w:ind w:left="1224" w:right="1224"/>
    </w:pPr>
    <w:rPr>
      <w:rFonts w:ascii="Arial" w:eastAsia="MS PGothic" w:hAnsi="Arial" w:cs="Arial"/>
      <w:color w:val="EF4623"/>
      <w:sz w:val="28"/>
      <w:szCs w:val="28"/>
      <w:lang w:eastAsia="ja-JP"/>
    </w:rPr>
  </w:style>
  <w:style w:type="character" w:customStyle="1" w:styleId="IntenseQuoteChar">
    <w:name w:val="Intense Quote Char"/>
    <w:basedOn w:val="DefaultParagraphFont"/>
    <w:link w:val="IntenseQuote"/>
    <w:uiPriority w:val="30"/>
    <w:rsid w:val="00797049"/>
    <w:rPr>
      <w:rFonts w:ascii="Arial" w:eastAsia="MS PGothic" w:hAnsi="Arial" w:cs="Arial"/>
      <w:color w:val="EF4623"/>
      <w:sz w:val="28"/>
      <w:szCs w:val="28"/>
    </w:rPr>
  </w:style>
  <w:style w:type="character" w:customStyle="1" w:styleId="SubtleEmphasis1">
    <w:name w:val="Subtle Emphasis1"/>
    <w:basedOn w:val="DefaultParagraphFont"/>
    <w:uiPriority w:val="19"/>
    <w:qFormat/>
    <w:rsid w:val="00797049"/>
    <w:rPr>
      <w:i/>
      <w:iCs/>
      <w:color w:val="404040"/>
    </w:rPr>
  </w:style>
  <w:style w:type="character" w:styleId="IntenseEmphasis">
    <w:name w:val="Intense Emphasis"/>
    <w:basedOn w:val="DefaultParagraphFont"/>
    <w:uiPriority w:val="21"/>
    <w:qFormat/>
    <w:rsid w:val="00797049"/>
    <w:rPr>
      <w:b/>
      <w:bCs/>
      <w:i/>
      <w:iCs/>
    </w:rPr>
  </w:style>
  <w:style w:type="character" w:customStyle="1" w:styleId="SubtleReference1">
    <w:name w:val="Subtle Reference1"/>
    <w:basedOn w:val="DefaultParagraphFont"/>
    <w:uiPriority w:val="31"/>
    <w:qFormat/>
    <w:rsid w:val="00797049"/>
    <w:rPr>
      <w:smallCaps/>
      <w:color w:val="404040"/>
      <w:u w:val="single" w:color="7F7F7F"/>
    </w:rPr>
  </w:style>
  <w:style w:type="character" w:styleId="IntenseReference">
    <w:name w:val="Intense Reference"/>
    <w:basedOn w:val="DefaultParagraphFont"/>
    <w:uiPriority w:val="32"/>
    <w:qFormat/>
    <w:rsid w:val="00797049"/>
    <w:rPr>
      <w:b/>
      <w:bCs/>
      <w:smallCaps/>
      <w:spacing w:val="5"/>
      <w:u w:val="single"/>
    </w:rPr>
  </w:style>
  <w:style w:type="character" w:styleId="BookTitle">
    <w:name w:val="Book Title"/>
    <w:basedOn w:val="DefaultParagraphFont"/>
    <w:uiPriority w:val="33"/>
    <w:qFormat/>
    <w:rsid w:val="00797049"/>
    <w:rPr>
      <w:b/>
      <w:bCs/>
      <w:smallCaps/>
    </w:rPr>
  </w:style>
  <w:style w:type="paragraph" w:styleId="ListParagraph">
    <w:name w:val="List Paragraph"/>
    <w:aliases w:val="Liste 1,Liste Paragraf,Figure_name,numbered,Bullet List,FooterText,Paragraphe de liste1,Bulletr List Paragraph,列出段落,列出段落1,List Paragraph2,List Paragraph21,Párrafo de lista1,Parágrafo da Lista1,リスト段落1,Listeafsnit1,b1,lp1,cS List Paragraph"/>
    <w:basedOn w:val="Normal"/>
    <w:link w:val="ListParagraphChar"/>
    <w:uiPriority w:val="34"/>
    <w:qFormat/>
    <w:rsid w:val="00797049"/>
    <w:pPr>
      <w:spacing w:line="264" w:lineRule="auto"/>
      <w:ind w:left="720"/>
      <w:contextualSpacing/>
    </w:pPr>
    <w:rPr>
      <w:rFonts w:eastAsia="MS PGothic"/>
      <w:sz w:val="20"/>
      <w:szCs w:val="20"/>
      <w:lang w:eastAsia="ja-JP"/>
    </w:rPr>
  </w:style>
  <w:style w:type="paragraph" w:styleId="NormalWeb">
    <w:name w:val="Normal (Web)"/>
    <w:basedOn w:val="Normal"/>
    <w:uiPriority w:val="99"/>
    <w:unhideWhenUsed/>
    <w:rsid w:val="00797049"/>
    <w:pPr>
      <w:spacing w:before="100" w:beforeAutospacing="1" w:after="100" w:afterAutospacing="1"/>
    </w:pPr>
    <w:rPr>
      <w:rFonts w:eastAsia="MS PGothic" w:cs="Times New Roman"/>
      <w:szCs w:val="24"/>
    </w:rPr>
  </w:style>
  <w:style w:type="table" w:customStyle="1" w:styleId="LightShading-Accent122">
    <w:name w:val="Light Shading - Accent 122"/>
    <w:basedOn w:val="TableNormal"/>
    <w:uiPriority w:val="60"/>
    <w:rsid w:val="00797049"/>
    <w:pPr>
      <w:spacing w:after="0" w:line="240"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GridTable6Colorful-Accent52">
    <w:name w:val="Grid Table 6 Colorful - Accent 52"/>
    <w:basedOn w:val="TableNormal"/>
    <w:next w:val="GridTable6Colorful-Accent54"/>
    <w:uiPriority w:val="51"/>
    <w:rsid w:val="00797049"/>
    <w:pPr>
      <w:spacing w:after="0" w:line="240" w:lineRule="auto"/>
    </w:pPr>
    <w:rPr>
      <w:rFonts w:ascii="Calibri" w:eastAsia="Calibri" w:hAnsi="Calibri" w:cs="Times New Roman"/>
      <w:color w:val="C19300"/>
      <w:sz w:val="20"/>
      <w:szCs w:val="20"/>
    </w:rPr>
    <w:tblPr>
      <w:tblStyleRowBandSize w:val="1"/>
      <w:tblStyleColBandSize w:val="1"/>
      <w:tblBorders>
        <w:top w:val="single" w:sz="4" w:space="0" w:color="FEDA69"/>
        <w:left w:val="single" w:sz="4" w:space="0" w:color="FEDA69"/>
        <w:bottom w:val="single" w:sz="4" w:space="0" w:color="FEDA69"/>
        <w:right w:val="single" w:sz="4" w:space="0" w:color="FEDA69"/>
        <w:insideH w:val="single" w:sz="4" w:space="0" w:color="FEDA69"/>
        <w:insideV w:val="single" w:sz="4" w:space="0" w:color="FEDA69"/>
      </w:tblBorders>
    </w:tblPr>
    <w:tblStylePr w:type="firstRow">
      <w:rPr>
        <w:b/>
        <w:bCs/>
      </w:rPr>
      <w:tblPr/>
      <w:tcPr>
        <w:tcBorders>
          <w:bottom w:val="single" w:sz="12" w:space="0" w:color="FEDA69"/>
        </w:tcBorders>
      </w:tcPr>
    </w:tblStylePr>
    <w:tblStylePr w:type="lastRow">
      <w:rPr>
        <w:b/>
        <w:bCs/>
      </w:rPr>
      <w:tblPr/>
      <w:tcPr>
        <w:tcBorders>
          <w:top w:val="double" w:sz="4" w:space="0" w:color="FEDA69"/>
        </w:tcBorders>
      </w:tcPr>
    </w:tblStylePr>
    <w:tblStylePr w:type="firstCol">
      <w:rPr>
        <w:b/>
        <w:bCs/>
      </w:rPr>
    </w:tblStylePr>
    <w:tblStylePr w:type="lastCol">
      <w:rPr>
        <w:b/>
        <w:bCs/>
      </w:rPr>
    </w:tblStylePr>
    <w:tblStylePr w:type="band1Vert">
      <w:tblPr/>
      <w:tcPr>
        <w:shd w:val="clear" w:color="auto" w:fill="FEF2CD"/>
      </w:tcPr>
    </w:tblStylePr>
    <w:tblStylePr w:type="band1Horz">
      <w:tblPr/>
      <w:tcPr>
        <w:shd w:val="clear" w:color="auto" w:fill="FEF2CD"/>
      </w:tcPr>
    </w:tblStylePr>
  </w:style>
  <w:style w:type="paragraph" w:customStyle="1" w:styleId="ParagraphNumbering">
    <w:name w:val="Paragraph Numbering"/>
    <w:basedOn w:val="Normal"/>
    <w:link w:val="ParagraphNumberingChar"/>
    <w:uiPriority w:val="99"/>
    <w:qFormat/>
    <w:rsid w:val="00797049"/>
    <w:pPr>
      <w:numPr>
        <w:numId w:val="4"/>
      </w:numPr>
      <w:spacing w:after="240" w:line="300" w:lineRule="exact"/>
    </w:pPr>
    <w:rPr>
      <w:rFonts w:ascii="Segoe UI" w:eastAsia="MS Mincho" w:hAnsi="Segoe UI" w:cs="Times New Roman"/>
      <w:sz w:val="21"/>
      <w:szCs w:val="24"/>
    </w:rPr>
  </w:style>
  <w:style w:type="character" w:customStyle="1" w:styleId="ParagraphNumberingChar">
    <w:name w:val="Paragraph Numbering Char"/>
    <w:basedOn w:val="DefaultParagraphFont"/>
    <w:link w:val="ParagraphNumbering"/>
    <w:uiPriority w:val="99"/>
    <w:rsid w:val="00797049"/>
    <w:rPr>
      <w:rFonts w:ascii="Segoe UI" w:eastAsia="MS Mincho" w:hAnsi="Segoe UI" w:cs="Times New Roman"/>
      <w:sz w:val="21"/>
      <w:szCs w:val="24"/>
    </w:rPr>
  </w:style>
  <w:style w:type="character" w:customStyle="1" w:styleId="ListParagraphChar">
    <w:name w:val="List Paragraph Char"/>
    <w:aliases w:val="Liste 1 Char,Liste Paragraf Char,Figure_name Char,numbered Char,Bullet List Char,FooterText Char,Paragraphe de liste1 Char,Bulletr List Paragraph Char,列出段落 Char,列出段落1 Char,List Paragraph2 Char,List Paragraph21 Char,リスト段落1 Char"/>
    <w:link w:val="ListParagraph"/>
    <w:uiPriority w:val="34"/>
    <w:qFormat/>
    <w:locked/>
    <w:rsid w:val="00797049"/>
    <w:rPr>
      <w:rFonts w:eastAsia="MS PGothic"/>
      <w:sz w:val="20"/>
      <w:szCs w:val="20"/>
      <w:lang w:eastAsia="ja-JP"/>
    </w:rPr>
  </w:style>
  <w:style w:type="paragraph" w:customStyle="1" w:styleId="IFS2012tekst">
    <w:name w:val="IFS 2012 tekst"/>
    <w:basedOn w:val="Normal"/>
    <w:uiPriority w:val="99"/>
    <w:qFormat/>
    <w:rsid w:val="00797049"/>
    <w:pPr>
      <w:ind w:firstLine="709"/>
    </w:pPr>
    <w:rPr>
      <w:rFonts w:ascii="Cambria" w:eastAsia="Calibri" w:hAnsi="Cambria" w:cs="Times New Roman"/>
      <w:color w:val="404040"/>
      <w:sz w:val="21"/>
      <w:lang w:val="sr-Cyrl-CS"/>
    </w:rPr>
  </w:style>
  <w:style w:type="paragraph" w:customStyle="1" w:styleId="IFS2012naslov1">
    <w:name w:val="IFS 2012 naslov 1"/>
    <w:basedOn w:val="Heading1"/>
    <w:uiPriority w:val="99"/>
    <w:qFormat/>
    <w:rsid w:val="00797049"/>
    <w:pPr>
      <w:numPr>
        <w:numId w:val="7"/>
      </w:numPr>
      <w:spacing w:before="0"/>
    </w:pPr>
    <w:rPr>
      <w:rFonts w:eastAsia="Times New Roman" w:cs="Calibri"/>
      <w:b/>
      <w:bCs/>
      <w:color w:val="4B4B4B"/>
      <w:szCs w:val="24"/>
      <w:lang w:val="sr-Cyrl-CS"/>
    </w:rPr>
  </w:style>
  <w:style w:type="paragraph" w:customStyle="1" w:styleId="IFS2012Naslov2">
    <w:name w:val="IFS 2012 Naslov 2"/>
    <w:basedOn w:val="Heading2"/>
    <w:autoRedefine/>
    <w:uiPriority w:val="99"/>
    <w:qFormat/>
    <w:rsid w:val="00797049"/>
  </w:style>
  <w:style w:type="paragraph" w:customStyle="1" w:styleId="IFS2012naslov3">
    <w:name w:val="IFS 2012 naslov 3"/>
    <w:basedOn w:val="Heading3"/>
    <w:autoRedefine/>
    <w:uiPriority w:val="99"/>
    <w:qFormat/>
    <w:rsid w:val="00797049"/>
  </w:style>
  <w:style w:type="paragraph" w:customStyle="1" w:styleId="Analizatekst">
    <w:name w:val="Analiza tekst"/>
    <w:basedOn w:val="Normal"/>
    <w:link w:val="AnalizatekstChar"/>
    <w:qFormat/>
    <w:rsid w:val="00797049"/>
    <w:pPr>
      <w:ind w:firstLine="709"/>
    </w:pPr>
    <w:rPr>
      <w:rFonts w:ascii="Calibri" w:eastAsia="Times New Roman" w:hAnsi="Calibri" w:cs="Times New Roman"/>
      <w:color w:val="404040"/>
      <w:lang w:val="sr-Cyrl-CS"/>
    </w:rPr>
  </w:style>
  <w:style w:type="character" w:customStyle="1" w:styleId="AnalizatekstChar">
    <w:name w:val="Analiza tekst Char"/>
    <w:link w:val="Analizatekst"/>
    <w:rsid w:val="00797049"/>
    <w:rPr>
      <w:rFonts w:ascii="Calibri" w:eastAsia="Times New Roman" w:hAnsi="Calibri" w:cs="Times New Roman"/>
      <w:color w:val="404040"/>
      <w:lang w:val="sr-Cyrl-CS"/>
    </w:rPr>
  </w:style>
  <w:style w:type="table" w:styleId="LightList-Accent3">
    <w:name w:val="Light List Accent 3"/>
    <w:aliases w:val="tabele 3"/>
    <w:basedOn w:val="TableNormal"/>
    <w:uiPriority w:val="61"/>
    <w:rsid w:val="00797049"/>
    <w:pPr>
      <w:spacing w:after="0" w:line="240" w:lineRule="auto"/>
    </w:pPr>
    <w:rPr>
      <w:rFonts w:ascii="Cambria Math" w:eastAsia="Calibri" w:hAnsi="Cambria Math" w:cs="Times New Roman"/>
      <w:sz w:val="18"/>
      <w:lang w:val="sr-Cyrl-C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paragraph" w:styleId="BodyText">
    <w:name w:val="Body Text"/>
    <w:basedOn w:val="Normal"/>
    <w:link w:val="BodyTextChar"/>
    <w:uiPriority w:val="99"/>
    <w:unhideWhenUsed/>
    <w:rsid w:val="00797049"/>
    <w:pPr>
      <w:spacing w:line="276" w:lineRule="auto"/>
      <w:ind w:firstLine="709"/>
    </w:pPr>
    <w:rPr>
      <w:rFonts w:ascii="Calibri" w:eastAsia="Calibri" w:hAnsi="Calibri" w:cs="Times New Roman"/>
      <w:color w:val="404040"/>
    </w:rPr>
  </w:style>
  <w:style w:type="character" w:customStyle="1" w:styleId="BodyTextChar">
    <w:name w:val="Body Text Char"/>
    <w:basedOn w:val="DefaultParagraphFont"/>
    <w:link w:val="BodyText"/>
    <w:uiPriority w:val="99"/>
    <w:rsid w:val="00797049"/>
    <w:rPr>
      <w:rFonts w:ascii="Calibri" w:eastAsia="Calibri" w:hAnsi="Calibri" w:cs="Times New Roman"/>
      <w:color w:val="404040"/>
    </w:rPr>
  </w:style>
  <w:style w:type="table" w:customStyle="1" w:styleId="LightShading-Accent11">
    <w:name w:val="Light Shading - Accent 11"/>
    <w:basedOn w:val="TableNormal"/>
    <w:uiPriority w:val="60"/>
    <w:rsid w:val="00797049"/>
    <w:pPr>
      <w:spacing w:after="0" w:line="240" w:lineRule="auto"/>
      <w:ind w:left="568" w:hanging="284"/>
    </w:pPr>
    <w:rPr>
      <w:rFonts w:ascii="Calibri" w:eastAsia="Calibri"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LightShading-Accent3">
    <w:name w:val="Light Shading Accent 3"/>
    <w:basedOn w:val="TableNormal"/>
    <w:uiPriority w:val="60"/>
    <w:rsid w:val="00797049"/>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LightList-Accent5">
    <w:name w:val="Light List Accent 5"/>
    <w:basedOn w:val="TableNormal"/>
    <w:uiPriority w:val="61"/>
    <w:rsid w:val="00797049"/>
    <w:pPr>
      <w:spacing w:after="0" w:line="240" w:lineRule="auto"/>
    </w:pPr>
    <w:rPr>
      <w:rFonts w:ascii="Calibri" w:eastAsia="Calibri" w:hAnsi="Calibri" w:cs="Times New Roman"/>
      <w:sz w:val="20"/>
      <w:szCs w:val="20"/>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LightShading-Accent31">
    <w:name w:val="Light Shading - Accent 31"/>
    <w:basedOn w:val="TableNormal"/>
    <w:next w:val="LightShading-Accent3"/>
    <w:uiPriority w:val="60"/>
    <w:rsid w:val="00797049"/>
    <w:pPr>
      <w:spacing w:after="0" w:line="240" w:lineRule="auto"/>
    </w:pPr>
    <w:rPr>
      <w:rFonts w:ascii="Constantia" w:eastAsia="Constantia" w:hAnsi="Constantia" w:cs="Times New Roman"/>
      <w:color w:val="8CADAE"/>
      <w:lang w:val="sr-Cyrl-CS"/>
    </w:rPr>
    <w:tblPr>
      <w:tblStyleRowBandSize w:val="1"/>
      <w:tblStyleColBandSize w:val="1"/>
      <w:tblBorders>
        <w:top w:val="single" w:sz="8" w:space="0" w:color="8CADAE"/>
        <w:bottom w:val="single" w:sz="8" w:space="0" w:color="8CADAE"/>
      </w:tblBorders>
    </w:tblPr>
    <w:tblStylePr w:type="firstRow">
      <w:pPr>
        <w:spacing w:before="0" w:after="0" w:line="240" w:lineRule="auto"/>
      </w:pPr>
      <w:rPr>
        <w:b/>
        <w:bCs/>
      </w:rPr>
      <w:tblPr/>
      <w:tcPr>
        <w:tcBorders>
          <w:top w:val="single" w:sz="8" w:space="0" w:color="8CADAE"/>
          <w:left w:val="nil"/>
          <w:bottom w:val="single" w:sz="8" w:space="0" w:color="8CADAE"/>
          <w:right w:val="nil"/>
          <w:insideH w:val="nil"/>
          <w:insideV w:val="nil"/>
        </w:tcBorders>
      </w:tcPr>
    </w:tblStylePr>
    <w:tblStylePr w:type="lastRow">
      <w:pPr>
        <w:spacing w:before="0" w:after="0" w:line="240" w:lineRule="auto"/>
      </w:pPr>
      <w:rPr>
        <w:b/>
        <w:bCs/>
      </w:rPr>
      <w:tblPr/>
      <w:tcPr>
        <w:tcBorders>
          <w:top w:val="single" w:sz="8" w:space="0" w:color="8CADAE"/>
          <w:left w:val="nil"/>
          <w:bottom w:val="single" w:sz="8" w:space="0" w:color="8CADA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AEB"/>
      </w:tcPr>
    </w:tblStylePr>
    <w:tblStylePr w:type="band1Horz">
      <w:tblPr/>
      <w:tcPr>
        <w:tcBorders>
          <w:left w:val="nil"/>
          <w:right w:val="nil"/>
          <w:insideH w:val="nil"/>
          <w:insideV w:val="nil"/>
        </w:tcBorders>
        <w:shd w:val="clear" w:color="auto" w:fill="E2EAEB"/>
      </w:tcPr>
    </w:tblStylePr>
  </w:style>
  <w:style w:type="table" w:customStyle="1" w:styleId="LightList-Accent31">
    <w:name w:val="Light List - Accent 31"/>
    <w:basedOn w:val="TableNormal"/>
    <w:next w:val="LightList-Accent3"/>
    <w:uiPriority w:val="61"/>
    <w:rsid w:val="00797049"/>
    <w:pPr>
      <w:spacing w:after="0" w:line="240" w:lineRule="auto"/>
    </w:pPr>
    <w:rPr>
      <w:rFonts w:ascii="Constantia" w:eastAsia="Constantia" w:hAnsi="Constantia" w:cs="Times New Roman"/>
      <w:lang w:val="sr-Cyrl-CS"/>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TableGrid1">
    <w:name w:val="Table Grid1"/>
    <w:basedOn w:val="TableNormal"/>
    <w:next w:val="TableGrid"/>
    <w:uiPriority w:val="59"/>
    <w:rsid w:val="00797049"/>
    <w:pPr>
      <w:spacing w:after="0" w:line="240" w:lineRule="auto"/>
    </w:pPr>
    <w:rPr>
      <w:rFonts w:ascii="Constantia" w:eastAsia="Constantia" w:hAnsi="Constantia" w:cs="Times New Roman"/>
      <w:lang w:val="sr-Cyrl-C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List-Accent51">
    <w:name w:val="Light List - Accent 51"/>
    <w:basedOn w:val="TableNormal"/>
    <w:next w:val="LightList-Accent5"/>
    <w:uiPriority w:val="61"/>
    <w:rsid w:val="00797049"/>
    <w:pPr>
      <w:spacing w:after="0" w:line="240" w:lineRule="auto"/>
    </w:pPr>
    <w:rPr>
      <w:rFonts w:ascii="Times New Roman" w:eastAsia="Constantia" w:hAnsi="Times New Roman" w:cs="Times New Roman"/>
      <w:lang w:val="sr-Cyrl-CS"/>
    </w:rPr>
    <w:tblPr>
      <w:tblStyleRowBandSize w:val="1"/>
      <w:tblStyleColBandSize w:val="1"/>
      <w:tblBorders>
        <w:top w:val="single" w:sz="8" w:space="0" w:color="8FB08C"/>
        <w:left w:val="single" w:sz="8" w:space="0" w:color="8FB08C"/>
        <w:bottom w:val="single" w:sz="8" w:space="0" w:color="8FB08C"/>
        <w:right w:val="single" w:sz="8" w:space="0" w:color="8FB08C"/>
      </w:tblBorders>
    </w:tblPr>
    <w:tblStylePr w:type="firstRow">
      <w:pPr>
        <w:spacing w:before="0" w:after="0" w:line="240" w:lineRule="auto"/>
      </w:pPr>
      <w:rPr>
        <w:b/>
        <w:bCs/>
        <w:color w:val="FFFFFF"/>
      </w:rPr>
      <w:tblPr/>
      <w:tcPr>
        <w:shd w:val="clear" w:color="auto" w:fill="8FB08C"/>
      </w:tcPr>
    </w:tblStylePr>
    <w:tblStylePr w:type="lastRow">
      <w:pPr>
        <w:spacing w:before="0" w:after="0" w:line="240" w:lineRule="auto"/>
      </w:pPr>
      <w:rPr>
        <w:b/>
        <w:bCs/>
      </w:rPr>
      <w:tblPr/>
      <w:tcPr>
        <w:tcBorders>
          <w:top w:val="double" w:sz="6" w:space="0" w:color="8FB08C"/>
          <w:left w:val="single" w:sz="8" w:space="0" w:color="8FB08C"/>
          <w:bottom w:val="single" w:sz="8" w:space="0" w:color="8FB08C"/>
          <w:right w:val="single" w:sz="8" w:space="0" w:color="8FB08C"/>
        </w:tcBorders>
      </w:tcPr>
    </w:tblStylePr>
    <w:tblStylePr w:type="firstCol">
      <w:rPr>
        <w:b/>
        <w:bCs/>
      </w:rPr>
    </w:tblStylePr>
    <w:tblStylePr w:type="lastCol">
      <w:rPr>
        <w:b/>
        <w:bCs/>
      </w:rPr>
    </w:tblStylePr>
    <w:tblStylePr w:type="band1Vert">
      <w:tblPr/>
      <w:tcPr>
        <w:tcBorders>
          <w:top w:val="single" w:sz="8" w:space="0" w:color="8FB08C"/>
          <w:left w:val="single" w:sz="8" w:space="0" w:color="8FB08C"/>
          <w:bottom w:val="single" w:sz="8" w:space="0" w:color="8FB08C"/>
          <w:right w:val="single" w:sz="8" w:space="0" w:color="8FB08C"/>
        </w:tcBorders>
      </w:tcPr>
    </w:tblStylePr>
    <w:tblStylePr w:type="band1Horz">
      <w:tblPr/>
      <w:tcPr>
        <w:tcBorders>
          <w:top w:val="single" w:sz="8" w:space="0" w:color="8FB08C"/>
          <w:left w:val="single" w:sz="8" w:space="0" w:color="8FB08C"/>
          <w:bottom w:val="single" w:sz="8" w:space="0" w:color="8FB08C"/>
          <w:right w:val="single" w:sz="8" w:space="0" w:color="8FB08C"/>
        </w:tcBorders>
      </w:tcPr>
    </w:tblStylePr>
  </w:style>
  <w:style w:type="table" w:customStyle="1" w:styleId="MediumList1-Accent51">
    <w:name w:val="Medium List 1 - Accent 51"/>
    <w:basedOn w:val="TableNormal"/>
    <w:next w:val="MediumList1-Accent5"/>
    <w:uiPriority w:val="65"/>
    <w:rsid w:val="00797049"/>
    <w:pPr>
      <w:spacing w:after="0" w:line="240" w:lineRule="auto"/>
    </w:pPr>
    <w:rPr>
      <w:rFonts w:ascii="Constantia" w:eastAsia="Constantia" w:hAnsi="Constantia" w:cs="Times New Roman"/>
      <w:color w:val="000000"/>
      <w:lang w:val="sr-Cyrl-CS"/>
    </w:rPr>
    <w:tblPr>
      <w:tblStyleRowBandSize w:val="1"/>
      <w:tblStyleColBandSize w:val="1"/>
      <w:tblBorders>
        <w:top w:val="single" w:sz="8" w:space="0" w:color="8FB08C"/>
        <w:bottom w:val="single" w:sz="8" w:space="0" w:color="8FB08C"/>
      </w:tblBorders>
    </w:tblPr>
    <w:tblStylePr w:type="firstRow">
      <w:rPr>
        <w:rFonts w:ascii="Verdana" w:eastAsia="Times New Roman" w:hAnsi="Verdana" w:cs="Times New Roman"/>
      </w:rPr>
      <w:tblPr/>
      <w:tcPr>
        <w:tcBorders>
          <w:top w:val="nil"/>
          <w:bottom w:val="single" w:sz="8" w:space="0" w:color="8FB08C"/>
        </w:tcBorders>
      </w:tcPr>
    </w:tblStylePr>
    <w:tblStylePr w:type="lastRow">
      <w:rPr>
        <w:b/>
        <w:bCs/>
        <w:color w:val="646B86"/>
      </w:rPr>
      <w:tblPr/>
      <w:tcPr>
        <w:tcBorders>
          <w:top w:val="single" w:sz="8" w:space="0" w:color="8FB08C"/>
          <w:bottom w:val="single" w:sz="8" w:space="0" w:color="8FB08C"/>
        </w:tcBorders>
      </w:tcPr>
    </w:tblStylePr>
    <w:tblStylePr w:type="firstCol">
      <w:rPr>
        <w:b/>
        <w:bCs/>
      </w:rPr>
    </w:tblStylePr>
    <w:tblStylePr w:type="lastCol">
      <w:rPr>
        <w:b/>
        <w:bCs/>
      </w:rPr>
      <w:tblPr/>
      <w:tcPr>
        <w:tcBorders>
          <w:top w:val="single" w:sz="8" w:space="0" w:color="8FB08C"/>
          <w:bottom w:val="single" w:sz="8" w:space="0" w:color="8FB08C"/>
        </w:tcBorders>
      </w:tcPr>
    </w:tblStylePr>
    <w:tblStylePr w:type="band1Vert">
      <w:tblPr/>
      <w:tcPr>
        <w:shd w:val="clear" w:color="auto" w:fill="E3EBE2"/>
      </w:tcPr>
    </w:tblStylePr>
    <w:tblStylePr w:type="band1Horz">
      <w:tblPr/>
      <w:tcPr>
        <w:shd w:val="clear" w:color="auto" w:fill="E3EBE2"/>
      </w:tcPr>
    </w:tblStylePr>
  </w:style>
  <w:style w:type="paragraph" w:styleId="FootnoteText">
    <w:name w:val="footnote text"/>
    <w:aliases w:val="Footnote Text Char Char Char,Footnote Text Char Char,Char Char Char,single space,ft,ft Char Char Char,ft Char Char,Fußnote, Char Char Char,footnote text,FOOTNOTES,fn,Footnote Text Char1 Char,Footnote Text Char Char Char Char Char,f,ADB"/>
    <w:basedOn w:val="Normal"/>
    <w:link w:val="FootnoteTextChar"/>
    <w:uiPriority w:val="99"/>
    <w:unhideWhenUsed/>
    <w:qFormat/>
    <w:rsid w:val="00797049"/>
    <w:pPr>
      <w:ind w:firstLine="709"/>
    </w:pPr>
    <w:rPr>
      <w:rFonts w:ascii="Cambria" w:eastAsia="Times New Roman" w:hAnsi="Cambria" w:cs="Tahoma"/>
      <w:bCs/>
      <w:color w:val="404040"/>
      <w:sz w:val="20"/>
      <w:szCs w:val="20"/>
      <w:lang w:val="sr-Cyrl-CS"/>
    </w:rPr>
  </w:style>
  <w:style w:type="character" w:customStyle="1" w:styleId="FootnoteTextChar">
    <w:name w:val="Footnote Text Char"/>
    <w:aliases w:val="Footnote Text Char Char Char Char,Footnote Text Char Char Char1,Char Char Char Char,single space Char,ft Char,ft Char Char Char Char,ft Char Char Char1,Fußnote Char, Char Char Char Char,footnote text Char,FOOTNOTES Char,fn Char,f Char"/>
    <w:basedOn w:val="DefaultParagraphFont"/>
    <w:link w:val="FootnoteText"/>
    <w:uiPriority w:val="99"/>
    <w:qFormat/>
    <w:rsid w:val="00797049"/>
    <w:rPr>
      <w:rFonts w:ascii="Cambria" w:eastAsia="Times New Roman" w:hAnsi="Cambria" w:cs="Tahoma"/>
      <w:bCs/>
      <w:color w:val="404040"/>
      <w:sz w:val="20"/>
      <w:szCs w:val="20"/>
      <w:lang w:val="sr-Cyrl-CS"/>
    </w:rPr>
  </w:style>
  <w:style w:type="character" w:styleId="FootnoteReference">
    <w:name w:val="footnote reference"/>
    <w:aliases w:val="ftref,BVI fnr,Footnote za GI,16 Point,Superscript 6 Point,Footnote Reference Number,nota pié di pagina,Footnote symbol,Footnote reference number,Times 10 Point,Exposant 3 Point,EN Footnote Reference,note TESI,Footnotes refss,4_G,fr,FR"/>
    <w:link w:val="BVIfnrChar"/>
    <w:uiPriority w:val="99"/>
    <w:unhideWhenUsed/>
    <w:qFormat/>
    <w:rsid w:val="00797049"/>
    <w:rPr>
      <w:vertAlign w:val="superscript"/>
    </w:rPr>
  </w:style>
  <w:style w:type="table" w:styleId="MediumList1-Accent5">
    <w:name w:val="Medium List 1 Accent 5"/>
    <w:basedOn w:val="TableNormal"/>
    <w:uiPriority w:val="65"/>
    <w:rsid w:val="00797049"/>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4BACC6"/>
        <w:bottom w:val="single" w:sz="8" w:space="0" w:color="4BACC6"/>
      </w:tblBorders>
    </w:tblPr>
    <w:tblStylePr w:type="firstRow">
      <w:rPr>
        <w:rFonts w:ascii="Times New Roman" w:eastAsia="Times New Roman" w:hAnsi="Times New Roman" w:cs="Times New Roman"/>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numbering" w:customStyle="1" w:styleId="NoList11">
    <w:name w:val="No List11"/>
    <w:next w:val="NoList"/>
    <w:uiPriority w:val="99"/>
    <w:semiHidden/>
    <w:unhideWhenUsed/>
    <w:rsid w:val="00797049"/>
  </w:style>
  <w:style w:type="character" w:customStyle="1" w:styleId="BookTitle1">
    <w:name w:val="Book Title1"/>
    <w:uiPriority w:val="33"/>
    <w:qFormat/>
    <w:rsid w:val="00797049"/>
    <w:rPr>
      <w:rFonts w:ascii="Calibri" w:hAnsi="Calibri"/>
      <w:b/>
      <w:bCs/>
      <w:smallCaps/>
      <w:color w:val="17365D"/>
      <w:spacing w:val="5"/>
      <w:sz w:val="36"/>
    </w:rPr>
  </w:style>
  <w:style w:type="paragraph" w:customStyle="1" w:styleId="TOC21">
    <w:name w:val="TOC 21"/>
    <w:basedOn w:val="Normal"/>
    <w:next w:val="Normal"/>
    <w:autoRedefine/>
    <w:uiPriority w:val="39"/>
    <w:unhideWhenUsed/>
    <w:qFormat/>
    <w:rsid w:val="00797049"/>
    <w:pPr>
      <w:tabs>
        <w:tab w:val="left" w:pos="660"/>
        <w:tab w:val="right" w:leader="dot" w:pos="8755"/>
      </w:tabs>
      <w:ind w:left="440" w:firstLine="709"/>
    </w:pPr>
    <w:rPr>
      <w:rFonts w:ascii="Calibri" w:eastAsia="Times New Roman" w:hAnsi="Calibri" w:cs="Times New Roman"/>
      <w:b/>
      <w:i/>
      <w:noProof/>
      <w:color w:val="404040"/>
      <w:szCs w:val="24"/>
      <w:lang w:val="sr-Cyrl-CS"/>
    </w:rPr>
  </w:style>
  <w:style w:type="paragraph" w:customStyle="1" w:styleId="TOC31">
    <w:name w:val="TOC 31"/>
    <w:basedOn w:val="Normal"/>
    <w:next w:val="Normal"/>
    <w:autoRedefine/>
    <w:uiPriority w:val="39"/>
    <w:unhideWhenUsed/>
    <w:qFormat/>
    <w:rsid w:val="00797049"/>
    <w:pPr>
      <w:tabs>
        <w:tab w:val="right" w:leader="dot" w:pos="8755"/>
      </w:tabs>
      <w:spacing w:after="240" w:line="276" w:lineRule="auto"/>
      <w:ind w:left="708" w:firstLine="709"/>
      <w:jc w:val="center"/>
    </w:pPr>
    <w:rPr>
      <w:rFonts w:ascii="Calibri" w:eastAsia="Times New Roman" w:hAnsi="Calibri" w:cs="Times New Roman"/>
      <w:smallCaps/>
      <w:noProof/>
      <w:color w:val="404040"/>
      <w:spacing w:val="5"/>
      <w:szCs w:val="24"/>
      <w:lang w:val="sr-Cyrl-CS" w:bidi="en-US"/>
    </w:rPr>
  </w:style>
  <w:style w:type="table" w:customStyle="1" w:styleId="LightGrid-Accent51">
    <w:name w:val="Light Grid - Accent 51"/>
    <w:basedOn w:val="TableNormal"/>
    <w:next w:val="LightGrid-Accent5"/>
    <w:uiPriority w:val="62"/>
    <w:rsid w:val="00797049"/>
    <w:pPr>
      <w:spacing w:after="0" w:line="240" w:lineRule="auto"/>
    </w:pPr>
    <w:rPr>
      <w:rFonts w:ascii="Calibri" w:eastAsia="Calibri" w:hAnsi="Calibri" w:cs="Times New Roman"/>
      <w:sz w:val="20"/>
      <w:szCs w:val="20"/>
      <w:lang w:val="sr-Latn-CS" w:eastAsia="en-GB"/>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Comic Sans MS" w:eastAsia="Times New Roman" w:hAnsi="Comic Sans MS"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omic Sans MS" w:eastAsia="Times New Roman" w:hAnsi="Comic Sans MS"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omic Sans MS" w:eastAsia="Times New Roman" w:hAnsi="Comic Sans MS" w:cs="Times New Roman"/>
        <w:b/>
        <w:bCs/>
      </w:rPr>
    </w:tblStylePr>
    <w:tblStylePr w:type="lastCol">
      <w:rPr>
        <w:rFonts w:ascii="Comic Sans MS" w:eastAsia="Times New Roman" w:hAnsi="Comic Sans MS"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11">
    <w:name w:val="Светло сенчење – наглашавање 11"/>
    <w:basedOn w:val="TableNormal"/>
    <w:uiPriority w:val="60"/>
    <w:rsid w:val="00797049"/>
    <w:pPr>
      <w:spacing w:after="0" w:line="240" w:lineRule="auto"/>
    </w:pPr>
    <w:rPr>
      <w:rFonts w:ascii="Calibri" w:eastAsia="Calibri" w:hAnsi="Calibri" w:cs="Times New Roman"/>
      <w:color w:val="365F91"/>
      <w:sz w:val="20"/>
      <w:szCs w:val="20"/>
      <w:lang w:val="sr-Latn-CS" w:eastAsia="en-GB"/>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character" w:customStyle="1" w:styleId="TitleChar1">
    <w:name w:val="Title Char1"/>
    <w:uiPriority w:val="10"/>
    <w:rsid w:val="00797049"/>
    <w:rPr>
      <w:rFonts w:ascii="Cambria" w:eastAsia="Times New Roman" w:hAnsi="Cambria" w:cs="Times New Roman"/>
      <w:color w:val="4A4F64"/>
      <w:spacing w:val="5"/>
      <w:kern w:val="28"/>
      <w:sz w:val="52"/>
      <w:szCs w:val="52"/>
    </w:rPr>
  </w:style>
  <w:style w:type="character" w:customStyle="1" w:styleId="Heading4Char1">
    <w:name w:val="Heading 4 Char1"/>
    <w:uiPriority w:val="9"/>
    <w:semiHidden/>
    <w:rsid w:val="00797049"/>
    <w:rPr>
      <w:rFonts w:ascii="Cambria" w:eastAsia="Times New Roman" w:hAnsi="Cambria" w:cs="Times New Roman"/>
      <w:b/>
      <w:bCs/>
      <w:i/>
      <w:iCs/>
      <w:color w:val="D16349"/>
    </w:rPr>
  </w:style>
  <w:style w:type="table" w:styleId="LightGrid-Accent5">
    <w:name w:val="Light Grid Accent 5"/>
    <w:basedOn w:val="TableNormal"/>
    <w:uiPriority w:val="62"/>
    <w:rsid w:val="00797049"/>
    <w:pPr>
      <w:spacing w:after="0" w:line="240" w:lineRule="auto"/>
    </w:pPr>
    <w:rPr>
      <w:rFonts w:ascii="Calibri" w:eastAsia="Calibri" w:hAnsi="Calibri" w:cs="Times New Roman"/>
      <w:sz w:val="20"/>
      <w:szCs w:val="20"/>
      <w:lang w:val="en-GB" w:eastAsia="en-GB"/>
    </w:rPr>
    <w:tblPr>
      <w:tblStyleRowBandSize w:val="1"/>
      <w:tblStyleColBandSize w:val="1"/>
      <w:tblBorders>
        <w:top w:val="single" w:sz="8" w:space="0" w:color="8FB08C"/>
        <w:left w:val="single" w:sz="8" w:space="0" w:color="8FB08C"/>
        <w:bottom w:val="single" w:sz="8" w:space="0" w:color="8FB08C"/>
        <w:right w:val="single" w:sz="8" w:space="0" w:color="8FB08C"/>
        <w:insideH w:val="single" w:sz="8" w:space="0" w:color="8FB08C"/>
        <w:insideV w:val="single" w:sz="8" w:space="0" w:color="8FB08C"/>
      </w:tblBorders>
    </w:tblPr>
    <w:tblStylePr w:type="firstRow">
      <w:pPr>
        <w:spacing w:before="0" w:after="0" w:line="240" w:lineRule="auto"/>
      </w:pPr>
      <w:rPr>
        <w:rFonts w:ascii="Comic Sans MS" w:eastAsia="Times New Roman" w:hAnsi="Comic Sans MS" w:cs="Times New Roman"/>
        <w:b/>
        <w:bCs/>
      </w:rPr>
      <w:tblPr/>
      <w:tcPr>
        <w:tcBorders>
          <w:top w:val="single" w:sz="8" w:space="0" w:color="8FB08C"/>
          <w:left w:val="single" w:sz="8" w:space="0" w:color="8FB08C"/>
          <w:bottom w:val="single" w:sz="18" w:space="0" w:color="8FB08C"/>
          <w:right w:val="single" w:sz="8" w:space="0" w:color="8FB08C"/>
          <w:insideH w:val="nil"/>
          <w:insideV w:val="single" w:sz="8" w:space="0" w:color="8FB08C"/>
        </w:tcBorders>
      </w:tcPr>
    </w:tblStylePr>
    <w:tblStylePr w:type="lastRow">
      <w:pPr>
        <w:spacing w:before="0" w:after="0" w:line="240" w:lineRule="auto"/>
      </w:pPr>
      <w:rPr>
        <w:rFonts w:ascii="Comic Sans MS" w:eastAsia="Times New Roman" w:hAnsi="Comic Sans MS" w:cs="Times New Roman"/>
        <w:b/>
        <w:bCs/>
      </w:rPr>
      <w:tblPr/>
      <w:tcPr>
        <w:tcBorders>
          <w:top w:val="double" w:sz="6" w:space="0" w:color="8FB08C"/>
          <w:left w:val="single" w:sz="8" w:space="0" w:color="8FB08C"/>
          <w:bottom w:val="single" w:sz="8" w:space="0" w:color="8FB08C"/>
          <w:right w:val="single" w:sz="8" w:space="0" w:color="8FB08C"/>
          <w:insideH w:val="nil"/>
          <w:insideV w:val="single" w:sz="8" w:space="0" w:color="8FB08C"/>
        </w:tcBorders>
      </w:tcPr>
    </w:tblStylePr>
    <w:tblStylePr w:type="firstCol">
      <w:rPr>
        <w:rFonts w:ascii="Comic Sans MS" w:eastAsia="Times New Roman" w:hAnsi="Comic Sans MS" w:cs="Times New Roman"/>
        <w:b/>
        <w:bCs/>
      </w:rPr>
    </w:tblStylePr>
    <w:tblStylePr w:type="lastCol">
      <w:rPr>
        <w:rFonts w:ascii="Comic Sans MS" w:eastAsia="Times New Roman" w:hAnsi="Comic Sans MS" w:cs="Times New Roman"/>
        <w:b/>
        <w:bCs/>
      </w:rPr>
      <w:tblPr/>
      <w:tcPr>
        <w:tcBorders>
          <w:top w:val="single" w:sz="8" w:space="0" w:color="8FB08C"/>
          <w:left w:val="single" w:sz="8" w:space="0" w:color="8FB08C"/>
          <w:bottom w:val="single" w:sz="8" w:space="0" w:color="8FB08C"/>
          <w:right w:val="single" w:sz="8" w:space="0" w:color="8FB08C"/>
        </w:tcBorders>
      </w:tcPr>
    </w:tblStylePr>
    <w:tblStylePr w:type="band1Vert">
      <w:tblPr/>
      <w:tcPr>
        <w:tcBorders>
          <w:top w:val="single" w:sz="8" w:space="0" w:color="8FB08C"/>
          <w:left w:val="single" w:sz="8" w:space="0" w:color="8FB08C"/>
          <w:bottom w:val="single" w:sz="8" w:space="0" w:color="8FB08C"/>
          <w:right w:val="single" w:sz="8" w:space="0" w:color="8FB08C"/>
        </w:tcBorders>
        <w:shd w:val="clear" w:color="auto" w:fill="E3EBE2"/>
      </w:tcPr>
    </w:tblStylePr>
    <w:tblStylePr w:type="band1Horz">
      <w:tblPr/>
      <w:tcPr>
        <w:tcBorders>
          <w:top w:val="single" w:sz="8" w:space="0" w:color="8FB08C"/>
          <w:left w:val="single" w:sz="8" w:space="0" w:color="8FB08C"/>
          <w:bottom w:val="single" w:sz="8" w:space="0" w:color="8FB08C"/>
          <w:right w:val="single" w:sz="8" w:space="0" w:color="8FB08C"/>
          <w:insideV w:val="single" w:sz="8" w:space="0" w:color="8FB08C"/>
        </w:tcBorders>
        <w:shd w:val="clear" w:color="auto" w:fill="E3EBE2"/>
      </w:tcPr>
    </w:tblStylePr>
    <w:tblStylePr w:type="band2Horz">
      <w:tblPr/>
      <w:tcPr>
        <w:tcBorders>
          <w:top w:val="single" w:sz="8" w:space="0" w:color="8FB08C"/>
          <w:left w:val="single" w:sz="8" w:space="0" w:color="8FB08C"/>
          <w:bottom w:val="single" w:sz="8" w:space="0" w:color="8FB08C"/>
          <w:right w:val="single" w:sz="8" w:space="0" w:color="8FB08C"/>
          <w:insideV w:val="single" w:sz="8" w:space="0" w:color="8FB08C"/>
        </w:tcBorders>
      </w:tcPr>
    </w:tblStylePr>
  </w:style>
  <w:style w:type="table" w:customStyle="1" w:styleId="tabelezaifs">
    <w:name w:val="tabele za ifs"/>
    <w:basedOn w:val="TableNormal"/>
    <w:uiPriority w:val="99"/>
    <w:qFormat/>
    <w:rsid w:val="00797049"/>
    <w:pPr>
      <w:spacing w:after="0" w:line="240" w:lineRule="auto"/>
    </w:pPr>
    <w:rPr>
      <w:rFonts w:ascii="Cambria Math" w:eastAsia="Calibri" w:hAnsi="Cambria Math" w:cs="Times New Roman"/>
      <w:sz w:val="20"/>
      <w:szCs w:val="20"/>
      <w:lang w:val="en-GB" w:eastAsia="en-GB"/>
    </w:rPr>
    <w:tblPr/>
  </w:style>
  <w:style w:type="table" w:customStyle="1" w:styleId="MediumList2-Accent31">
    <w:name w:val="Medium List 2 - Accent 31"/>
    <w:aliases w:val="tabele za ifs 1"/>
    <w:basedOn w:val="TableNormal"/>
    <w:uiPriority w:val="66"/>
    <w:rsid w:val="00797049"/>
    <w:pPr>
      <w:spacing w:after="0" w:line="240" w:lineRule="auto"/>
    </w:pPr>
    <w:rPr>
      <w:rFonts w:ascii="Cambria Math" w:eastAsia="Times New Roman" w:hAnsi="Cambria Math" w:cs="Times New Roman"/>
      <w:color w:val="000000"/>
      <w:sz w:val="20"/>
      <w:szCs w:val="20"/>
      <w:lang w:val="en-GB" w:eastAsia="en-GB"/>
    </w:rPr>
    <w:tblPr>
      <w:tblStyleRowBandSize w:val="1"/>
      <w:tblStyleColBandSize w:val="1"/>
      <w:tblBorders>
        <w:top w:val="single" w:sz="8" w:space="0" w:color="8CADAE"/>
        <w:left w:val="single" w:sz="8" w:space="0" w:color="8CADAE"/>
        <w:bottom w:val="single" w:sz="8" w:space="0" w:color="8CADAE"/>
        <w:right w:val="single" w:sz="8" w:space="0" w:color="8CADAE"/>
      </w:tblBorders>
    </w:tblPr>
    <w:tcPr>
      <w:vAlign w:val="bottom"/>
    </w:tcPr>
    <w:tblStylePr w:type="firstRow">
      <w:rPr>
        <w:sz w:val="24"/>
        <w:szCs w:val="24"/>
      </w:rPr>
      <w:tblPr/>
      <w:tcPr>
        <w:tcBorders>
          <w:top w:val="nil"/>
          <w:left w:val="nil"/>
          <w:bottom w:val="single" w:sz="24" w:space="0" w:color="8CADAE"/>
          <w:right w:val="nil"/>
          <w:insideH w:val="nil"/>
          <w:insideV w:val="nil"/>
        </w:tcBorders>
        <w:shd w:val="clear" w:color="auto" w:fill="FFFFFF"/>
      </w:tcPr>
    </w:tblStylePr>
    <w:tblStylePr w:type="lastRow">
      <w:tblPr/>
      <w:tcPr>
        <w:tcBorders>
          <w:top w:val="single" w:sz="8" w:space="0" w:color="8CADAE"/>
          <w:left w:val="nil"/>
          <w:bottom w:val="nil"/>
          <w:right w:val="nil"/>
          <w:insideH w:val="nil"/>
          <w:insideV w:val="nil"/>
        </w:tcBorders>
        <w:shd w:val="clear" w:color="auto" w:fill="FFFFFF"/>
      </w:tcPr>
    </w:tblStylePr>
    <w:tblStylePr w:type="firstCol">
      <w:tblPr/>
      <w:tcPr>
        <w:tcBorders>
          <w:top w:val="nil"/>
          <w:left w:val="nil"/>
          <w:bottom w:val="nil"/>
          <w:right w:val="single" w:sz="8" w:space="0" w:color="8CADAE"/>
          <w:insideH w:val="nil"/>
          <w:insideV w:val="nil"/>
        </w:tcBorders>
        <w:shd w:val="clear" w:color="auto" w:fill="FFFFFF"/>
      </w:tcPr>
    </w:tblStylePr>
    <w:tblStylePr w:type="lastCol">
      <w:tblPr/>
      <w:tcPr>
        <w:tcBorders>
          <w:top w:val="nil"/>
          <w:left w:val="single" w:sz="8" w:space="0" w:color="8CADAE"/>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2EAEB"/>
      </w:tcPr>
    </w:tblStylePr>
    <w:tblStylePr w:type="band1Horz">
      <w:tblPr/>
      <w:tcPr>
        <w:tcBorders>
          <w:top w:val="nil"/>
          <w:bottom w:val="nil"/>
          <w:insideH w:val="nil"/>
          <w:insideV w:val="nil"/>
        </w:tcBorders>
        <w:shd w:val="clear" w:color="auto" w:fill="E2EAEB"/>
      </w:tcPr>
    </w:tblStylePr>
    <w:tblStylePr w:type="nwCell">
      <w:tblPr/>
      <w:tcPr>
        <w:shd w:val="clear" w:color="auto" w:fill="FFFFFF"/>
      </w:tcPr>
    </w:tblStylePr>
    <w:tblStylePr w:type="swCell">
      <w:tblPr/>
      <w:tcPr>
        <w:tcBorders>
          <w:top w:val="nil"/>
        </w:tcBorders>
      </w:tcPr>
    </w:tblStylePr>
  </w:style>
  <w:style w:type="paragraph" w:styleId="TOC4">
    <w:name w:val="toc 4"/>
    <w:basedOn w:val="Normal"/>
    <w:next w:val="Normal"/>
    <w:autoRedefine/>
    <w:uiPriority w:val="39"/>
    <w:unhideWhenUsed/>
    <w:rsid w:val="00797049"/>
    <w:pPr>
      <w:spacing w:after="100" w:line="276" w:lineRule="auto"/>
      <w:ind w:left="660" w:firstLine="709"/>
    </w:pPr>
    <w:rPr>
      <w:rFonts w:ascii="Cambria" w:eastAsia="Calibri" w:hAnsi="Cambria" w:cs="Times New Roman"/>
      <w:color w:val="404040"/>
      <w:sz w:val="21"/>
      <w:lang w:val="sr-Cyrl-CS"/>
    </w:rPr>
  </w:style>
  <w:style w:type="paragraph" w:styleId="TOC5">
    <w:name w:val="toc 5"/>
    <w:basedOn w:val="Normal"/>
    <w:next w:val="Normal"/>
    <w:autoRedefine/>
    <w:uiPriority w:val="39"/>
    <w:unhideWhenUsed/>
    <w:rsid w:val="00797049"/>
    <w:pPr>
      <w:spacing w:after="100" w:line="276" w:lineRule="auto"/>
      <w:ind w:left="880" w:firstLine="709"/>
    </w:pPr>
    <w:rPr>
      <w:rFonts w:ascii="Cambria" w:eastAsia="Calibri" w:hAnsi="Cambria" w:cs="Times New Roman"/>
      <w:color w:val="404040"/>
      <w:sz w:val="21"/>
      <w:lang w:val="sr-Cyrl-CS"/>
    </w:rPr>
  </w:style>
  <w:style w:type="paragraph" w:styleId="EndnoteText">
    <w:name w:val="endnote text"/>
    <w:basedOn w:val="Normal"/>
    <w:link w:val="EndnoteTextChar"/>
    <w:uiPriority w:val="99"/>
    <w:semiHidden/>
    <w:unhideWhenUsed/>
    <w:rsid w:val="00797049"/>
    <w:pPr>
      <w:ind w:firstLine="709"/>
    </w:pPr>
    <w:rPr>
      <w:rFonts w:ascii="Calibri" w:eastAsia="Calibri" w:hAnsi="Calibri" w:cs="Times New Roman"/>
      <w:color w:val="404040"/>
      <w:sz w:val="20"/>
      <w:szCs w:val="20"/>
      <w:lang w:val="sr-Cyrl-CS"/>
    </w:rPr>
  </w:style>
  <w:style w:type="character" w:customStyle="1" w:styleId="EndnoteTextChar">
    <w:name w:val="Endnote Text Char"/>
    <w:basedOn w:val="DefaultParagraphFont"/>
    <w:link w:val="EndnoteText"/>
    <w:uiPriority w:val="99"/>
    <w:semiHidden/>
    <w:rsid w:val="00797049"/>
    <w:rPr>
      <w:rFonts w:ascii="Calibri" w:eastAsia="Calibri" w:hAnsi="Calibri" w:cs="Times New Roman"/>
      <w:color w:val="404040"/>
      <w:sz w:val="20"/>
      <w:szCs w:val="20"/>
      <w:lang w:val="sr-Cyrl-CS"/>
    </w:rPr>
  </w:style>
  <w:style w:type="character" w:styleId="EndnoteReference">
    <w:name w:val="endnote reference"/>
    <w:uiPriority w:val="99"/>
    <w:semiHidden/>
    <w:unhideWhenUsed/>
    <w:rsid w:val="00797049"/>
    <w:rPr>
      <w:vertAlign w:val="superscript"/>
    </w:rPr>
  </w:style>
  <w:style w:type="character" w:customStyle="1" w:styleId="apple-style-span">
    <w:name w:val="apple-style-span"/>
    <w:basedOn w:val="DefaultParagraphFont"/>
    <w:rsid w:val="00797049"/>
  </w:style>
  <w:style w:type="paragraph" w:customStyle="1" w:styleId="Default">
    <w:name w:val="Default"/>
    <w:rsid w:val="00797049"/>
    <w:pPr>
      <w:autoSpaceDE w:val="0"/>
      <w:autoSpaceDN w:val="0"/>
      <w:adjustRightInd w:val="0"/>
      <w:spacing w:after="0" w:line="240" w:lineRule="auto"/>
      <w:jc w:val="both"/>
    </w:pPr>
    <w:rPr>
      <w:rFonts w:ascii="Arial" w:eastAsia="Times New Roman" w:hAnsi="Arial" w:cs="Arial"/>
      <w:color w:val="000000"/>
      <w:sz w:val="24"/>
      <w:szCs w:val="24"/>
    </w:rPr>
  </w:style>
  <w:style w:type="paragraph" w:customStyle="1" w:styleId="msolistparagraph0">
    <w:name w:val="msolistparagraph"/>
    <w:basedOn w:val="Normal"/>
    <w:uiPriority w:val="99"/>
    <w:rsid w:val="00797049"/>
    <w:pPr>
      <w:spacing w:after="200" w:line="276" w:lineRule="auto"/>
      <w:ind w:left="720" w:firstLine="709"/>
      <w:contextualSpacing/>
    </w:pPr>
    <w:rPr>
      <w:rFonts w:ascii="Calibri" w:eastAsia="Times New Roman" w:hAnsi="Calibri" w:cs="Times New Roman"/>
      <w:color w:val="404040"/>
    </w:rPr>
  </w:style>
  <w:style w:type="paragraph" w:styleId="Revision">
    <w:name w:val="Revision"/>
    <w:hidden/>
    <w:uiPriority w:val="99"/>
    <w:semiHidden/>
    <w:rsid w:val="00797049"/>
    <w:pPr>
      <w:spacing w:after="0" w:line="240" w:lineRule="auto"/>
      <w:jc w:val="both"/>
    </w:pPr>
    <w:rPr>
      <w:rFonts w:ascii="Calibri" w:eastAsia="Calibri" w:hAnsi="Calibri" w:cs="Times New Roman"/>
      <w:lang w:val="sr-Cyrl-CS"/>
    </w:rPr>
  </w:style>
  <w:style w:type="table" w:styleId="ColorfulList-Accent1">
    <w:name w:val="Colorful List Accent 1"/>
    <w:basedOn w:val="TableNormal"/>
    <w:uiPriority w:val="72"/>
    <w:rsid w:val="00797049"/>
    <w:pPr>
      <w:spacing w:after="0" w:line="240" w:lineRule="auto"/>
    </w:pPr>
    <w:rPr>
      <w:rFonts w:ascii="Calibri" w:eastAsia="Calibri" w:hAnsi="Calibri" w:cs="Times New Roman"/>
      <w:color w:val="000000"/>
      <w:sz w:val="20"/>
      <w:szCs w:val="20"/>
      <w:lang w:val="en-GB" w:eastAsia="en-GB"/>
    </w:rPr>
    <w:tblPr>
      <w:tblStyleRowBandSize w:val="1"/>
      <w:tblStyleColBandSize w:val="1"/>
    </w:tblPr>
    <w:tcPr>
      <w:shd w:val="clear" w:color="auto" w:fill="FAEFEC"/>
    </w:tcPr>
    <w:tblStylePr w:type="firstRow">
      <w:rPr>
        <w:b/>
        <w:bCs/>
        <w:color w:val="FFFFFF"/>
      </w:rPr>
      <w:tblPr/>
      <w:tcPr>
        <w:tcBorders>
          <w:bottom w:val="single" w:sz="12" w:space="0" w:color="FFFFFF"/>
        </w:tcBorders>
        <w:shd w:val="clear" w:color="auto" w:fill="A38F00"/>
      </w:tcPr>
    </w:tblStylePr>
    <w:tblStylePr w:type="lastRow">
      <w:rPr>
        <w:b/>
        <w:bCs/>
        <w:color w:val="A38F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3D8D2"/>
      </w:tcPr>
    </w:tblStylePr>
    <w:tblStylePr w:type="band1Horz">
      <w:tblPr/>
      <w:tcPr>
        <w:shd w:val="clear" w:color="auto" w:fill="F5DFDA"/>
      </w:tcPr>
    </w:tblStylePr>
  </w:style>
  <w:style w:type="character" w:customStyle="1" w:styleId="BodyChar">
    <w:name w:val="Body Char"/>
    <w:link w:val="Body"/>
    <w:rsid w:val="00797049"/>
    <w:rPr>
      <w:rFonts w:ascii="Arial" w:hAnsi="Arial" w:cs="Arial"/>
      <w:kern w:val="20"/>
      <w:sz w:val="24"/>
      <w:szCs w:val="24"/>
      <w:lang w:val="en-GB"/>
    </w:rPr>
  </w:style>
  <w:style w:type="paragraph" w:customStyle="1" w:styleId="Body">
    <w:name w:val="Body"/>
    <w:basedOn w:val="Normal"/>
    <w:link w:val="BodyChar"/>
    <w:rsid w:val="00797049"/>
    <w:pPr>
      <w:spacing w:after="140" w:line="288" w:lineRule="auto"/>
      <w:ind w:firstLine="709"/>
    </w:pPr>
    <w:rPr>
      <w:rFonts w:ascii="Arial" w:hAnsi="Arial" w:cs="Arial"/>
      <w:kern w:val="20"/>
      <w:szCs w:val="24"/>
      <w:lang w:val="en-GB"/>
    </w:rPr>
  </w:style>
  <w:style w:type="paragraph" w:customStyle="1" w:styleId="Body5">
    <w:name w:val="Body 5"/>
    <w:basedOn w:val="Normal"/>
    <w:uiPriority w:val="99"/>
    <w:rsid w:val="00797049"/>
    <w:pPr>
      <w:spacing w:after="140" w:line="290" w:lineRule="auto"/>
      <w:ind w:left="2608" w:firstLine="709"/>
    </w:pPr>
    <w:rPr>
      <w:rFonts w:ascii="Arial" w:eastAsia="Batang" w:hAnsi="Arial" w:cs="Times New Roman"/>
      <w:color w:val="404040"/>
      <w:kern w:val="20"/>
      <w:sz w:val="20"/>
      <w:szCs w:val="24"/>
      <w:lang w:val="en-GB"/>
    </w:rPr>
  </w:style>
  <w:style w:type="paragraph" w:customStyle="1" w:styleId="Body6">
    <w:name w:val="Body 6"/>
    <w:basedOn w:val="Normal"/>
    <w:uiPriority w:val="99"/>
    <w:rsid w:val="00797049"/>
    <w:pPr>
      <w:spacing w:after="140" w:line="290" w:lineRule="auto"/>
      <w:ind w:left="3288" w:firstLine="709"/>
    </w:pPr>
    <w:rPr>
      <w:rFonts w:ascii="Arial" w:eastAsia="Batang" w:hAnsi="Arial" w:cs="Times New Roman"/>
      <w:color w:val="404040"/>
      <w:kern w:val="20"/>
      <w:sz w:val="20"/>
      <w:szCs w:val="24"/>
      <w:lang w:val="en-GB"/>
    </w:rPr>
  </w:style>
  <w:style w:type="paragraph" w:customStyle="1" w:styleId="Level1">
    <w:name w:val="Level 1"/>
    <w:basedOn w:val="Normal"/>
    <w:next w:val="Normal"/>
    <w:uiPriority w:val="99"/>
    <w:rsid w:val="00797049"/>
    <w:pPr>
      <w:keepNext/>
      <w:tabs>
        <w:tab w:val="num" w:pos="680"/>
      </w:tabs>
      <w:spacing w:before="280" w:after="140" w:line="290" w:lineRule="auto"/>
      <w:ind w:left="680" w:hanging="680"/>
      <w:outlineLvl w:val="0"/>
    </w:pPr>
    <w:rPr>
      <w:rFonts w:ascii="Arial" w:eastAsia="Batang" w:hAnsi="Arial" w:cs="Times New Roman"/>
      <w:b/>
      <w:bCs/>
      <w:color w:val="404040"/>
      <w:kern w:val="20"/>
      <w:szCs w:val="32"/>
      <w:lang w:val="en-GB"/>
    </w:rPr>
  </w:style>
  <w:style w:type="paragraph" w:customStyle="1" w:styleId="Level2">
    <w:name w:val="Level 2"/>
    <w:basedOn w:val="Normal"/>
    <w:uiPriority w:val="99"/>
    <w:rsid w:val="00797049"/>
    <w:pPr>
      <w:tabs>
        <w:tab w:val="num" w:pos="680"/>
      </w:tabs>
      <w:spacing w:after="140" w:line="290" w:lineRule="auto"/>
      <w:ind w:left="680" w:hanging="360"/>
    </w:pPr>
    <w:rPr>
      <w:rFonts w:ascii="Arial" w:eastAsia="Batang" w:hAnsi="Arial" w:cs="Times New Roman"/>
      <w:color w:val="404040"/>
      <w:kern w:val="20"/>
      <w:sz w:val="20"/>
      <w:szCs w:val="28"/>
      <w:lang w:val="en-GB"/>
    </w:rPr>
  </w:style>
  <w:style w:type="paragraph" w:customStyle="1" w:styleId="Level3">
    <w:name w:val="Level 3"/>
    <w:basedOn w:val="Normal"/>
    <w:uiPriority w:val="99"/>
    <w:rsid w:val="00797049"/>
    <w:pPr>
      <w:tabs>
        <w:tab w:val="num" w:pos="1361"/>
      </w:tabs>
      <w:spacing w:after="140" w:line="290" w:lineRule="auto"/>
      <w:ind w:left="1361" w:hanging="681"/>
    </w:pPr>
    <w:rPr>
      <w:rFonts w:ascii="Arial" w:eastAsia="Batang" w:hAnsi="Arial" w:cs="Times New Roman"/>
      <w:color w:val="404040"/>
      <w:kern w:val="20"/>
      <w:sz w:val="20"/>
      <w:szCs w:val="28"/>
      <w:lang w:val="en-GB"/>
    </w:rPr>
  </w:style>
  <w:style w:type="paragraph" w:customStyle="1" w:styleId="Level4">
    <w:name w:val="Level 4"/>
    <w:basedOn w:val="Normal"/>
    <w:uiPriority w:val="99"/>
    <w:rsid w:val="00797049"/>
    <w:pPr>
      <w:tabs>
        <w:tab w:val="num" w:pos="2041"/>
      </w:tabs>
      <w:spacing w:after="140" w:line="290" w:lineRule="auto"/>
      <w:ind w:left="2041" w:hanging="360"/>
    </w:pPr>
    <w:rPr>
      <w:rFonts w:ascii="Arial" w:eastAsia="Batang" w:hAnsi="Arial" w:cs="Times New Roman"/>
      <w:color w:val="404040"/>
      <w:kern w:val="20"/>
      <w:sz w:val="20"/>
      <w:szCs w:val="24"/>
      <w:lang w:val="en-GB"/>
    </w:rPr>
  </w:style>
  <w:style w:type="character" w:customStyle="1" w:styleId="apple-converted-space">
    <w:name w:val="apple-converted-space"/>
    <w:basedOn w:val="DefaultParagraphFont"/>
    <w:rsid w:val="00797049"/>
  </w:style>
  <w:style w:type="numbering" w:customStyle="1" w:styleId="NoList2">
    <w:name w:val="No List2"/>
    <w:next w:val="NoList"/>
    <w:uiPriority w:val="99"/>
    <w:semiHidden/>
    <w:unhideWhenUsed/>
    <w:rsid w:val="00797049"/>
  </w:style>
  <w:style w:type="table" w:customStyle="1" w:styleId="LightList-Accent32">
    <w:name w:val="Light List - Accent 32"/>
    <w:basedOn w:val="TableNormal"/>
    <w:next w:val="LightList-Accent3"/>
    <w:uiPriority w:val="61"/>
    <w:rsid w:val="00797049"/>
    <w:pPr>
      <w:spacing w:after="0" w:line="240" w:lineRule="auto"/>
    </w:pPr>
    <w:rPr>
      <w:rFonts w:ascii="Calibri" w:eastAsia="Calibri" w:hAnsi="Calibri" w:cs="Times New Roman"/>
      <w:sz w:val="20"/>
      <w:szCs w:val="20"/>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List-Accent311">
    <w:name w:val="Light List - Accent 311"/>
    <w:basedOn w:val="TableNormal"/>
    <w:next w:val="LightList-Accent3"/>
    <w:uiPriority w:val="61"/>
    <w:rsid w:val="00797049"/>
    <w:pPr>
      <w:spacing w:after="0" w:line="240" w:lineRule="auto"/>
    </w:pPr>
    <w:rPr>
      <w:rFonts w:ascii="Constantia" w:eastAsia="Constantia" w:hAnsi="Constantia" w:cs="Times New Roman"/>
      <w:lang w:val="sr-Cyrl-CS"/>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Shading-Accent13">
    <w:name w:val="Light Shading - Accent 13"/>
    <w:basedOn w:val="TableNormal"/>
    <w:uiPriority w:val="60"/>
    <w:rsid w:val="00797049"/>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styleId="BodyTextIndent">
    <w:name w:val="Body Text Indent"/>
    <w:basedOn w:val="Normal"/>
    <w:link w:val="BodyTextIndentChar"/>
    <w:uiPriority w:val="99"/>
    <w:unhideWhenUsed/>
    <w:rsid w:val="00797049"/>
    <w:pPr>
      <w:ind w:firstLine="709"/>
      <w:jc w:val="center"/>
    </w:pPr>
    <w:rPr>
      <w:rFonts w:ascii="Cambria" w:eastAsia="Calibri" w:hAnsi="Cambria" w:cs="Times New Roman"/>
      <w:bCs/>
      <w:color w:val="404040"/>
      <w:sz w:val="21"/>
      <w:szCs w:val="21"/>
      <w:lang w:val="sr-Cyrl-CS"/>
    </w:rPr>
  </w:style>
  <w:style w:type="character" w:customStyle="1" w:styleId="BodyTextIndentChar">
    <w:name w:val="Body Text Indent Char"/>
    <w:basedOn w:val="DefaultParagraphFont"/>
    <w:link w:val="BodyTextIndent"/>
    <w:uiPriority w:val="99"/>
    <w:rsid w:val="00797049"/>
    <w:rPr>
      <w:rFonts w:ascii="Cambria" w:eastAsia="Calibri" w:hAnsi="Cambria" w:cs="Times New Roman"/>
      <w:bCs/>
      <w:color w:val="404040"/>
      <w:sz w:val="21"/>
      <w:szCs w:val="21"/>
      <w:lang w:val="sr-Cyrl-CS"/>
    </w:rPr>
  </w:style>
  <w:style w:type="paragraph" w:styleId="BodyText2">
    <w:name w:val="Body Text 2"/>
    <w:basedOn w:val="Normal"/>
    <w:link w:val="BodyText2Char"/>
    <w:uiPriority w:val="99"/>
    <w:unhideWhenUsed/>
    <w:rsid w:val="00797049"/>
    <w:pPr>
      <w:spacing w:line="480" w:lineRule="auto"/>
      <w:ind w:firstLine="709"/>
    </w:pPr>
    <w:rPr>
      <w:rFonts w:ascii="Cambria" w:eastAsia="Times New Roman" w:hAnsi="Cambria" w:cs="Tahoma"/>
      <w:bCs/>
      <w:color w:val="404040"/>
      <w:szCs w:val="24"/>
      <w:lang w:val="sr-Cyrl-CS"/>
    </w:rPr>
  </w:style>
  <w:style w:type="character" w:customStyle="1" w:styleId="BodyText2Char">
    <w:name w:val="Body Text 2 Char"/>
    <w:basedOn w:val="DefaultParagraphFont"/>
    <w:link w:val="BodyText2"/>
    <w:uiPriority w:val="99"/>
    <w:rsid w:val="00797049"/>
    <w:rPr>
      <w:rFonts w:ascii="Cambria" w:eastAsia="Times New Roman" w:hAnsi="Cambria" w:cs="Tahoma"/>
      <w:bCs/>
      <w:color w:val="404040"/>
      <w:szCs w:val="24"/>
      <w:lang w:val="sr-Cyrl-CS"/>
    </w:rPr>
  </w:style>
  <w:style w:type="paragraph" w:styleId="BodyTextIndent2">
    <w:name w:val="Body Text Indent 2"/>
    <w:basedOn w:val="Normal"/>
    <w:link w:val="BodyTextIndent2Char"/>
    <w:uiPriority w:val="99"/>
    <w:unhideWhenUsed/>
    <w:rsid w:val="00797049"/>
    <w:pPr>
      <w:ind w:firstLine="708"/>
    </w:pPr>
    <w:rPr>
      <w:rFonts w:ascii="Cambria" w:eastAsia="Times New Roman" w:hAnsi="Cambria" w:cs="Tahoma"/>
      <w:bCs/>
      <w:color w:val="404040"/>
      <w:sz w:val="21"/>
      <w:szCs w:val="21"/>
      <w:lang w:val="sr-Cyrl-CS"/>
    </w:rPr>
  </w:style>
  <w:style w:type="character" w:customStyle="1" w:styleId="BodyTextIndent2Char">
    <w:name w:val="Body Text Indent 2 Char"/>
    <w:basedOn w:val="DefaultParagraphFont"/>
    <w:link w:val="BodyTextIndent2"/>
    <w:uiPriority w:val="99"/>
    <w:rsid w:val="00797049"/>
    <w:rPr>
      <w:rFonts w:ascii="Cambria" w:eastAsia="Times New Roman" w:hAnsi="Cambria" w:cs="Tahoma"/>
      <w:bCs/>
      <w:color w:val="404040"/>
      <w:sz w:val="21"/>
      <w:szCs w:val="21"/>
      <w:lang w:val="sr-Cyrl-CS"/>
    </w:rPr>
  </w:style>
  <w:style w:type="paragraph" w:styleId="BodyText3">
    <w:name w:val="Body Text 3"/>
    <w:basedOn w:val="Normal"/>
    <w:link w:val="BodyText3Char"/>
    <w:uiPriority w:val="99"/>
    <w:unhideWhenUsed/>
    <w:rsid w:val="00797049"/>
    <w:rPr>
      <w:rFonts w:ascii="Cambria" w:eastAsia="Times New Roman" w:hAnsi="Cambria" w:cs="Tahoma"/>
      <w:color w:val="404040"/>
      <w:kern w:val="20"/>
      <w:sz w:val="21"/>
      <w:szCs w:val="21"/>
      <w:lang w:val="sr-Cyrl-CS" w:eastAsia="ko-KR"/>
    </w:rPr>
  </w:style>
  <w:style w:type="character" w:customStyle="1" w:styleId="BodyText3Char">
    <w:name w:val="Body Text 3 Char"/>
    <w:basedOn w:val="DefaultParagraphFont"/>
    <w:link w:val="BodyText3"/>
    <w:uiPriority w:val="99"/>
    <w:rsid w:val="00797049"/>
    <w:rPr>
      <w:rFonts w:ascii="Cambria" w:eastAsia="Times New Roman" w:hAnsi="Cambria" w:cs="Tahoma"/>
      <w:color w:val="404040"/>
      <w:kern w:val="20"/>
      <w:sz w:val="21"/>
      <w:szCs w:val="21"/>
      <w:lang w:val="sr-Cyrl-CS" w:eastAsia="ko-KR"/>
    </w:rPr>
  </w:style>
  <w:style w:type="paragraph" w:styleId="BodyTextIndent3">
    <w:name w:val="Body Text Indent 3"/>
    <w:basedOn w:val="Normal"/>
    <w:link w:val="BodyTextIndent3Char"/>
    <w:uiPriority w:val="99"/>
    <w:unhideWhenUsed/>
    <w:rsid w:val="00797049"/>
    <w:pPr>
      <w:ind w:firstLine="709"/>
    </w:pPr>
    <w:rPr>
      <w:rFonts w:ascii="Cambria" w:eastAsia="Times New Roman" w:hAnsi="Cambria" w:cs="Tahoma"/>
      <w:color w:val="404040"/>
      <w:sz w:val="21"/>
      <w:szCs w:val="21"/>
      <w:lang w:val="sr-Cyrl-CS"/>
    </w:rPr>
  </w:style>
  <w:style w:type="character" w:customStyle="1" w:styleId="BodyTextIndent3Char">
    <w:name w:val="Body Text Indent 3 Char"/>
    <w:basedOn w:val="DefaultParagraphFont"/>
    <w:link w:val="BodyTextIndent3"/>
    <w:uiPriority w:val="99"/>
    <w:rsid w:val="00797049"/>
    <w:rPr>
      <w:rFonts w:ascii="Cambria" w:eastAsia="Times New Roman" w:hAnsi="Cambria" w:cs="Tahoma"/>
      <w:color w:val="404040"/>
      <w:sz w:val="21"/>
      <w:szCs w:val="21"/>
      <w:lang w:val="sr-Cyrl-CS"/>
    </w:rPr>
  </w:style>
  <w:style w:type="table" w:customStyle="1" w:styleId="LightShading-Accent131">
    <w:name w:val="Light Shading - Accent 131"/>
    <w:basedOn w:val="TableNormal"/>
    <w:uiPriority w:val="60"/>
    <w:rsid w:val="00797049"/>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2">
    <w:name w:val="Light Shading - Accent 132"/>
    <w:basedOn w:val="TableNormal"/>
    <w:uiPriority w:val="60"/>
    <w:rsid w:val="00797049"/>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ele31">
    <w:name w:val="tabele 31"/>
    <w:basedOn w:val="TableNormal"/>
    <w:next w:val="LightList-Accent3"/>
    <w:uiPriority w:val="61"/>
    <w:rsid w:val="00797049"/>
    <w:pPr>
      <w:spacing w:after="0" w:line="240" w:lineRule="auto"/>
    </w:pPr>
    <w:rPr>
      <w:rFonts w:ascii="Cambria Math" w:eastAsia="Calibri" w:hAnsi="Cambria Math" w:cs="Times New Roman"/>
      <w:sz w:val="18"/>
      <w:lang w:val="sr-Cyrl-C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ghtShading-Accent111">
    <w:name w:val="Light Shading - Accent 111"/>
    <w:basedOn w:val="TableNormal"/>
    <w:uiPriority w:val="60"/>
    <w:rsid w:val="00797049"/>
    <w:pPr>
      <w:spacing w:after="0" w:line="240" w:lineRule="auto"/>
      <w:ind w:left="568" w:hanging="284"/>
    </w:pPr>
    <w:rPr>
      <w:rFonts w:ascii="Calibri" w:eastAsia="Calibri"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32">
    <w:name w:val="Light Shading - Accent 32"/>
    <w:basedOn w:val="TableNormal"/>
    <w:next w:val="LightShading-Accent3"/>
    <w:uiPriority w:val="60"/>
    <w:rsid w:val="00797049"/>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List-Accent52">
    <w:name w:val="Light List - Accent 52"/>
    <w:basedOn w:val="TableNormal"/>
    <w:next w:val="LightList-Accent5"/>
    <w:uiPriority w:val="61"/>
    <w:rsid w:val="00797049"/>
    <w:pPr>
      <w:spacing w:after="0" w:line="240" w:lineRule="auto"/>
    </w:pPr>
    <w:rPr>
      <w:rFonts w:ascii="Calibri" w:eastAsia="Calibri" w:hAnsi="Calibri" w:cs="Times New Roman"/>
      <w:sz w:val="20"/>
      <w:szCs w:val="20"/>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LightShading-Accent311">
    <w:name w:val="Light Shading - Accent 311"/>
    <w:basedOn w:val="TableNormal"/>
    <w:next w:val="LightShading-Accent3"/>
    <w:uiPriority w:val="60"/>
    <w:rsid w:val="00797049"/>
    <w:pPr>
      <w:spacing w:after="0" w:line="240" w:lineRule="auto"/>
    </w:pPr>
    <w:rPr>
      <w:rFonts w:ascii="Constantia" w:eastAsia="Constantia" w:hAnsi="Constantia" w:cs="Times New Roman"/>
      <w:color w:val="8CADAE"/>
      <w:lang w:val="sr-Cyrl-CS"/>
    </w:rPr>
    <w:tblPr>
      <w:tblStyleRowBandSize w:val="1"/>
      <w:tblStyleColBandSize w:val="1"/>
      <w:tblBorders>
        <w:top w:val="single" w:sz="8" w:space="0" w:color="8CADAE"/>
        <w:bottom w:val="single" w:sz="8" w:space="0" w:color="8CADAE"/>
      </w:tblBorders>
    </w:tblPr>
    <w:tblStylePr w:type="firstRow">
      <w:pPr>
        <w:spacing w:before="0" w:after="0" w:line="240" w:lineRule="auto"/>
      </w:pPr>
      <w:rPr>
        <w:b/>
        <w:bCs/>
      </w:rPr>
      <w:tblPr/>
      <w:tcPr>
        <w:tcBorders>
          <w:top w:val="single" w:sz="8" w:space="0" w:color="8CADAE"/>
          <w:left w:val="nil"/>
          <w:bottom w:val="single" w:sz="8" w:space="0" w:color="8CADAE"/>
          <w:right w:val="nil"/>
          <w:insideH w:val="nil"/>
          <w:insideV w:val="nil"/>
        </w:tcBorders>
      </w:tcPr>
    </w:tblStylePr>
    <w:tblStylePr w:type="lastRow">
      <w:pPr>
        <w:spacing w:before="0" w:after="0" w:line="240" w:lineRule="auto"/>
      </w:pPr>
      <w:rPr>
        <w:b/>
        <w:bCs/>
      </w:rPr>
      <w:tblPr/>
      <w:tcPr>
        <w:tcBorders>
          <w:top w:val="single" w:sz="8" w:space="0" w:color="8CADAE"/>
          <w:left w:val="nil"/>
          <w:bottom w:val="single" w:sz="8" w:space="0" w:color="8CADA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AEB"/>
      </w:tcPr>
    </w:tblStylePr>
    <w:tblStylePr w:type="band1Horz">
      <w:tblPr/>
      <w:tcPr>
        <w:tcBorders>
          <w:left w:val="nil"/>
          <w:right w:val="nil"/>
          <w:insideH w:val="nil"/>
          <w:insideV w:val="nil"/>
        </w:tcBorders>
        <w:shd w:val="clear" w:color="auto" w:fill="E2EAEB"/>
      </w:tcPr>
    </w:tblStylePr>
  </w:style>
  <w:style w:type="table" w:customStyle="1" w:styleId="LightList-Accent312">
    <w:name w:val="Light List - Accent 312"/>
    <w:basedOn w:val="TableNormal"/>
    <w:next w:val="LightList-Accent3"/>
    <w:uiPriority w:val="61"/>
    <w:rsid w:val="00797049"/>
    <w:pPr>
      <w:spacing w:after="0" w:line="240" w:lineRule="auto"/>
    </w:pPr>
    <w:rPr>
      <w:rFonts w:ascii="Constantia" w:eastAsia="Constantia" w:hAnsi="Constantia" w:cs="Times New Roman"/>
      <w:lang w:val="sr-Cyrl-CS"/>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List-Accent511">
    <w:name w:val="Light List - Accent 511"/>
    <w:basedOn w:val="TableNormal"/>
    <w:next w:val="LightList-Accent5"/>
    <w:uiPriority w:val="61"/>
    <w:rsid w:val="00797049"/>
    <w:pPr>
      <w:spacing w:after="0" w:line="240" w:lineRule="auto"/>
    </w:pPr>
    <w:rPr>
      <w:rFonts w:ascii="Times New Roman" w:eastAsia="Constantia" w:hAnsi="Times New Roman" w:cs="Times New Roman"/>
      <w:lang w:val="sr-Cyrl-CS"/>
    </w:rPr>
    <w:tblPr>
      <w:tblStyleRowBandSize w:val="1"/>
      <w:tblStyleColBandSize w:val="1"/>
      <w:tblBorders>
        <w:top w:val="single" w:sz="8" w:space="0" w:color="8FB08C"/>
        <w:left w:val="single" w:sz="8" w:space="0" w:color="8FB08C"/>
        <w:bottom w:val="single" w:sz="8" w:space="0" w:color="8FB08C"/>
        <w:right w:val="single" w:sz="8" w:space="0" w:color="8FB08C"/>
      </w:tblBorders>
    </w:tblPr>
    <w:tblStylePr w:type="firstRow">
      <w:pPr>
        <w:spacing w:before="0" w:after="0" w:line="240" w:lineRule="auto"/>
      </w:pPr>
      <w:rPr>
        <w:b/>
        <w:bCs/>
        <w:color w:val="FFFFFF"/>
      </w:rPr>
      <w:tblPr/>
      <w:tcPr>
        <w:shd w:val="clear" w:color="auto" w:fill="8FB08C"/>
      </w:tcPr>
    </w:tblStylePr>
    <w:tblStylePr w:type="lastRow">
      <w:pPr>
        <w:spacing w:before="0" w:after="0" w:line="240" w:lineRule="auto"/>
      </w:pPr>
      <w:rPr>
        <w:b/>
        <w:bCs/>
      </w:rPr>
      <w:tblPr/>
      <w:tcPr>
        <w:tcBorders>
          <w:top w:val="double" w:sz="6" w:space="0" w:color="8FB08C"/>
          <w:left w:val="single" w:sz="8" w:space="0" w:color="8FB08C"/>
          <w:bottom w:val="single" w:sz="8" w:space="0" w:color="8FB08C"/>
          <w:right w:val="single" w:sz="8" w:space="0" w:color="8FB08C"/>
        </w:tcBorders>
      </w:tcPr>
    </w:tblStylePr>
    <w:tblStylePr w:type="firstCol">
      <w:rPr>
        <w:b/>
        <w:bCs/>
      </w:rPr>
    </w:tblStylePr>
    <w:tblStylePr w:type="lastCol">
      <w:rPr>
        <w:b/>
        <w:bCs/>
      </w:rPr>
    </w:tblStylePr>
    <w:tblStylePr w:type="band1Vert">
      <w:tblPr/>
      <w:tcPr>
        <w:tcBorders>
          <w:top w:val="single" w:sz="8" w:space="0" w:color="8FB08C"/>
          <w:left w:val="single" w:sz="8" w:space="0" w:color="8FB08C"/>
          <w:bottom w:val="single" w:sz="8" w:space="0" w:color="8FB08C"/>
          <w:right w:val="single" w:sz="8" w:space="0" w:color="8FB08C"/>
        </w:tcBorders>
      </w:tcPr>
    </w:tblStylePr>
    <w:tblStylePr w:type="band1Horz">
      <w:tblPr/>
      <w:tcPr>
        <w:tcBorders>
          <w:top w:val="single" w:sz="8" w:space="0" w:color="8FB08C"/>
          <w:left w:val="single" w:sz="8" w:space="0" w:color="8FB08C"/>
          <w:bottom w:val="single" w:sz="8" w:space="0" w:color="8FB08C"/>
          <w:right w:val="single" w:sz="8" w:space="0" w:color="8FB08C"/>
        </w:tcBorders>
      </w:tcPr>
    </w:tblStylePr>
  </w:style>
  <w:style w:type="table" w:customStyle="1" w:styleId="LightGrid-Accent511">
    <w:name w:val="Light Grid - Accent 511"/>
    <w:basedOn w:val="TableNormal"/>
    <w:next w:val="LightGrid-Accent5"/>
    <w:uiPriority w:val="62"/>
    <w:rsid w:val="00797049"/>
    <w:pPr>
      <w:spacing w:after="0" w:line="240" w:lineRule="auto"/>
    </w:pPr>
    <w:rPr>
      <w:rFonts w:ascii="Calibri" w:eastAsia="Calibri" w:hAnsi="Calibri" w:cs="Times New Roman"/>
      <w:sz w:val="20"/>
      <w:szCs w:val="20"/>
      <w:lang w:val="sr-Latn-CS" w:eastAsia="en-GB"/>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Comic Sans MS" w:eastAsia="Times New Roman" w:hAnsi="Comic Sans MS"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omic Sans MS" w:eastAsia="Times New Roman" w:hAnsi="Comic Sans MS"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omic Sans MS" w:eastAsia="Times New Roman" w:hAnsi="Comic Sans MS" w:cs="Times New Roman"/>
        <w:b/>
        <w:bCs/>
      </w:rPr>
    </w:tblStylePr>
    <w:tblStylePr w:type="lastCol">
      <w:rPr>
        <w:rFonts w:ascii="Comic Sans MS" w:eastAsia="Times New Roman" w:hAnsi="Comic Sans MS"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111">
    <w:name w:val="Светло сенчење – наглашавање 111"/>
    <w:basedOn w:val="TableNormal"/>
    <w:uiPriority w:val="60"/>
    <w:rsid w:val="00797049"/>
    <w:pPr>
      <w:spacing w:after="0" w:line="240" w:lineRule="auto"/>
    </w:pPr>
    <w:rPr>
      <w:rFonts w:ascii="Calibri" w:eastAsia="Calibri" w:hAnsi="Calibri" w:cs="Times New Roman"/>
      <w:color w:val="365F91"/>
      <w:sz w:val="20"/>
      <w:szCs w:val="20"/>
      <w:lang w:val="sr-Latn-CS" w:eastAsia="en-GB"/>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Grid-Accent52">
    <w:name w:val="Light Grid - Accent 52"/>
    <w:basedOn w:val="TableNormal"/>
    <w:next w:val="LightGrid-Accent5"/>
    <w:uiPriority w:val="62"/>
    <w:rsid w:val="00797049"/>
    <w:pPr>
      <w:spacing w:after="0" w:line="240" w:lineRule="auto"/>
    </w:pPr>
    <w:rPr>
      <w:rFonts w:ascii="Calibri" w:eastAsia="Calibri" w:hAnsi="Calibri" w:cs="Times New Roman"/>
      <w:sz w:val="20"/>
      <w:szCs w:val="20"/>
      <w:lang w:val="en-GB" w:eastAsia="en-GB"/>
    </w:rPr>
    <w:tblPr>
      <w:tblStyleRowBandSize w:val="1"/>
      <w:tblStyleColBandSize w:val="1"/>
      <w:tblBorders>
        <w:top w:val="single" w:sz="8" w:space="0" w:color="8FB08C"/>
        <w:left w:val="single" w:sz="8" w:space="0" w:color="8FB08C"/>
        <w:bottom w:val="single" w:sz="8" w:space="0" w:color="8FB08C"/>
        <w:right w:val="single" w:sz="8" w:space="0" w:color="8FB08C"/>
        <w:insideH w:val="single" w:sz="8" w:space="0" w:color="8FB08C"/>
        <w:insideV w:val="single" w:sz="8" w:space="0" w:color="8FB08C"/>
      </w:tblBorders>
    </w:tblPr>
    <w:tblStylePr w:type="firstRow">
      <w:pPr>
        <w:spacing w:before="0" w:after="0" w:line="240" w:lineRule="auto"/>
      </w:pPr>
      <w:rPr>
        <w:rFonts w:ascii="Comic Sans MS" w:eastAsia="Times New Roman" w:hAnsi="Comic Sans MS" w:cs="Times New Roman"/>
        <w:b/>
        <w:bCs/>
      </w:rPr>
      <w:tblPr/>
      <w:tcPr>
        <w:tcBorders>
          <w:top w:val="single" w:sz="8" w:space="0" w:color="8FB08C"/>
          <w:left w:val="single" w:sz="8" w:space="0" w:color="8FB08C"/>
          <w:bottom w:val="single" w:sz="18" w:space="0" w:color="8FB08C"/>
          <w:right w:val="single" w:sz="8" w:space="0" w:color="8FB08C"/>
          <w:insideH w:val="nil"/>
          <w:insideV w:val="single" w:sz="8" w:space="0" w:color="8FB08C"/>
        </w:tcBorders>
      </w:tcPr>
    </w:tblStylePr>
    <w:tblStylePr w:type="lastRow">
      <w:pPr>
        <w:spacing w:before="0" w:after="0" w:line="240" w:lineRule="auto"/>
      </w:pPr>
      <w:rPr>
        <w:rFonts w:ascii="Comic Sans MS" w:eastAsia="Times New Roman" w:hAnsi="Comic Sans MS" w:cs="Times New Roman"/>
        <w:b/>
        <w:bCs/>
      </w:rPr>
      <w:tblPr/>
      <w:tcPr>
        <w:tcBorders>
          <w:top w:val="double" w:sz="6" w:space="0" w:color="8FB08C"/>
          <w:left w:val="single" w:sz="8" w:space="0" w:color="8FB08C"/>
          <w:bottom w:val="single" w:sz="8" w:space="0" w:color="8FB08C"/>
          <w:right w:val="single" w:sz="8" w:space="0" w:color="8FB08C"/>
          <w:insideH w:val="nil"/>
          <w:insideV w:val="single" w:sz="8" w:space="0" w:color="8FB08C"/>
        </w:tcBorders>
      </w:tcPr>
    </w:tblStylePr>
    <w:tblStylePr w:type="firstCol">
      <w:rPr>
        <w:rFonts w:ascii="Comic Sans MS" w:eastAsia="Times New Roman" w:hAnsi="Comic Sans MS" w:cs="Times New Roman"/>
        <w:b/>
        <w:bCs/>
      </w:rPr>
    </w:tblStylePr>
    <w:tblStylePr w:type="lastCol">
      <w:rPr>
        <w:rFonts w:ascii="Comic Sans MS" w:eastAsia="Times New Roman" w:hAnsi="Comic Sans MS" w:cs="Times New Roman"/>
        <w:b/>
        <w:bCs/>
      </w:rPr>
      <w:tblPr/>
      <w:tcPr>
        <w:tcBorders>
          <w:top w:val="single" w:sz="8" w:space="0" w:color="8FB08C"/>
          <w:left w:val="single" w:sz="8" w:space="0" w:color="8FB08C"/>
          <w:bottom w:val="single" w:sz="8" w:space="0" w:color="8FB08C"/>
          <w:right w:val="single" w:sz="8" w:space="0" w:color="8FB08C"/>
        </w:tcBorders>
      </w:tcPr>
    </w:tblStylePr>
    <w:tblStylePr w:type="band1Vert">
      <w:tblPr/>
      <w:tcPr>
        <w:tcBorders>
          <w:top w:val="single" w:sz="8" w:space="0" w:color="8FB08C"/>
          <w:left w:val="single" w:sz="8" w:space="0" w:color="8FB08C"/>
          <w:bottom w:val="single" w:sz="8" w:space="0" w:color="8FB08C"/>
          <w:right w:val="single" w:sz="8" w:space="0" w:color="8FB08C"/>
        </w:tcBorders>
        <w:shd w:val="clear" w:color="auto" w:fill="E3EBE2"/>
      </w:tcPr>
    </w:tblStylePr>
    <w:tblStylePr w:type="band1Horz">
      <w:tblPr/>
      <w:tcPr>
        <w:tcBorders>
          <w:top w:val="single" w:sz="8" w:space="0" w:color="8FB08C"/>
          <w:left w:val="single" w:sz="8" w:space="0" w:color="8FB08C"/>
          <w:bottom w:val="single" w:sz="8" w:space="0" w:color="8FB08C"/>
          <w:right w:val="single" w:sz="8" w:space="0" w:color="8FB08C"/>
          <w:insideV w:val="single" w:sz="8" w:space="0" w:color="8FB08C"/>
        </w:tcBorders>
        <w:shd w:val="clear" w:color="auto" w:fill="E3EBE2"/>
      </w:tcPr>
    </w:tblStylePr>
    <w:tblStylePr w:type="band2Horz">
      <w:tblPr/>
      <w:tcPr>
        <w:tcBorders>
          <w:top w:val="single" w:sz="8" w:space="0" w:color="8FB08C"/>
          <w:left w:val="single" w:sz="8" w:space="0" w:color="8FB08C"/>
          <w:bottom w:val="single" w:sz="8" w:space="0" w:color="8FB08C"/>
          <w:right w:val="single" w:sz="8" w:space="0" w:color="8FB08C"/>
          <w:insideV w:val="single" w:sz="8" w:space="0" w:color="8FB08C"/>
        </w:tcBorders>
      </w:tcPr>
    </w:tblStylePr>
  </w:style>
  <w:style w:type="table" w:customStyle="1" w:styleId="LightList-Accent321">
    <w:name w:val="Light List - Accent 321"/>
    <w:basedOn w:val="TableNormal"/>
    <w:next w:val="LightList-Accent3"/>
    <w:uiPriority w:val="61"/>
    <w:rsid w:val="00797049"/>
    <w:pPr>
      <w:spacing w:after="0" w:line="240" w:lineRule="auto"/>
    </w:pPr>
    <w:rPr>
      <w:rFonts w:ascii="Calibri" w:eastAsia="Calibri" w:hAnsi="Calibri" w:cs="Times New Roman"/>
      <w:sz w:val="20"/>
      <w:szCs w:val="20"/>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List-Accent3111">
    <w:name w:val="Light List - Accent 3111"/>
    <w:basedOn w:val="TableNormal"/>
    <w:next w:val="LightList-Accent3"/>
    <w:uiPriority w:val="61"/>
    <w:rsid w:val="00797049"/>
    <w:pPr>
      <w:spacing w:after="0" w:line="240" w:lineRule="auto"/>
    </w:pPr>
    <w:rPr>
      <w:rFonts w:ascii="Constantia" w:eastAsia="Constantia" w:hAnsi="Constantia" w:cs="Times New Roman"/>
      <w:lang w:val="sr-Cyrl-CS"/>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Shading-Accent133">
    <w:name w:val="Light Shading - Accent 133"/>
    <w:basedOn w:val="TableNormal"/>
    <w:uiPriority w:val="60"/>
    <w:rsid w:val="00797049"/>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11">
    <w:name w:val="Light Shading - Accent 1311"/>
    <w:basedOn w:val="TableNormal"/>
    <w:uiPriority w:val="60"/>
    <w:rsid w:val="00797049"/>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21">
    <w:name w:val="Light Shading - Accent 1321"/>
    <w:basedOn w:val="TableNormal"/>
    <w:uiPriority w:val="60"/>
    <w:rsid w:val="00797049"/>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12">
    <w:name w:val="Light Shading - Accent 112"/>
    <w:basedOn w:val="TableNormal"/>
    <w:uiPriority w:val="60"/>
    <w:rsid w:val="00797049"/>
    <w:pPr>
      <w:spacing w:after="0" w:line="240" w:lineRule="auto"/>
      <w:ind w:left="568" w:hanging="284"/>
    </w:pPr>
    <w:rPr>
      <w:rFonts w:ascii="Calibri" w:eastAsia="Calibri"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4">
    <w:name w:val="Light Shading - Accent 134"/>
    <w:basedOn w:val="TableNormal"/>
    <w:uiPriority w:val="60"/>
    <w:rsid w:val="00797049"/>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13">
    <w:name w:val="Light Shading - Accent 113"/>
    <w:basedOn w:val="TableNormal"/>
    <w:uiPriority w:val="60"/>
    <w:rsid w:val="00797049"/>
    <w:pPr>
      <w:spacing w:after="0" w:line="240" w:lineRule="auto"/>
      <w:ind w:left="568" w:hanging="284"/>
    </w:pPr>
    <w:rPr>
      <w:rFonts w:ascii="Calibri" w:eastAsia="Calibri"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5">
    <w:name w:val="Light Shading - Accent 135"/>
    <w:basedOn w:val="TableNormal"/>
    <w:uiPriority w:val="60"/>
    <w:rsid w:val="00797049"/>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6">
    <w:name w:val="Light Shading - Accent 136"/>
    <w:basedOn w:val="TableNormal"/>
    <w:uiPriority w:val="60"/>
    <w:rsid w:val="00797049"/>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7">
    <w:name w:val="Light Shading - Accent 137"/>
    <w:basedOn w:val="TableNormal"/>
    <w:uiPriority w:val="60"/>
    <w:rsid w:val="00797049"/>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ele32">
    <w:name w:val="tabele 32"/>
    <w:basedOn w:val="TableNormal"/>
    <w:next w:val="LightList-Accent3"/>
    <w:uiPriority w:val="61"/>
    <w:rsid w:val="00797049"/>
    <w:pPr>
      <w:spacing w:after="0" w:line="240" w:lineRule="auto"/>
    </w:pPr>
    <w:rPr>
      <w:rFonts w:ascii="Cambria Math" w:eastAsia="Calibri" w:hAnsi="Cambria Math" w:cs="Times New Roman"/>
      <w:sz w:val="18"/>
      <w:lang w:val="sr-Cyrl-C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ghtShading-Accent114">
    <w:name w:val="Light Shading - Accent 114"/>
    <w:basedOn w:val="TableNormal"/>
    <w:uiPriority w:val="60"/>
    <w:rsid w:val="00797049"/>
    <w:pPr>
      <w:spacing w:after="0" w:line="240" w:lineRule="auto"/>
      <w:ind w:left="568" w:hanging="284"/>
    </w:pPr>
    <w:rPr>
      <w:rFonts w:ascii="Calibri" w:eastAsia="Calibri"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33">
    <w:name w:val="Light Shading - Accent 33"/>
    <w:basedOn w:val="TableNormal"/>
    <w:next w:val="LightShading-Accent3"/>
    <w:uiPriority w:val="60"/>
    <w:rsid w:val="00797049"/>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List-Accent53">
    <w:name w:val="Light List - Accent 53"/>
    <w:basedOn w:val="TableNormal"/>
    <w:next w:val="LightList-Accent5"/>
    <w:uiPriority w:val="61"/>
    <w:rsid w:val="00797049"/>
    <w:pPr>
      <w:spacing w:after="0" w:line="240" w:lineRule="auto"/>
    </w:pPr>
    <w:rPr>
      <w:rFonts w:ascii="Calibri" w:eastAsia="Calibri" w:hAnsi="Calibri" w:cs="Times New Roman"/>
      <w:sz w:val="20"/>
      <w:szCs w:val="20"/>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LightShading-Accent312">
    <w:name w:val="Light Shading - Accent 312"/>
    <w:basedOn w:val="TableNormal"/>
    <w:next w:val="LightShading-Accent3"/>
    <w:uiPriority w:val="60"/>
    <w:rsid w:val="00797049"/>
    <w:pPr>
      <w:spacing w:after="0" w:line="240" w:lineRule="auto"/>
    </w:pPr>
    <w:rPr>
      <w:rFonts w:ascii="Constantia" w:eastAsia="Constantia" w:hAnsi="Constantia" w:cs="Times New Roman"/>
      <w:color w:val="8CADAE"/>
      <w:lang w:val="sr-Cyrl-CS"/>
    </w:rPr>
    <w:tblPr>
      <w:tblStyleRowBandSize w:val="1"/>
      <w:tblStyleColBandSize w:val="1"/>
      <w:tblBorders>
        <w:top w:val="single" w:sz="8" w:space="0" w:color="8CADAE"/>
        <w:bottom w:val="single" w:sz="8" w:space="0" w:color="8CADAE"/>
      </w:tblBorders>
    </w:tblPr>
    <w:tblStylePr w:type="firstRow">
      <w:pPr>
        <w:spacing w:before="0" w:after="0" w:line="240" w:lineRule="auto"/>
      </w:pPr>
      <w:rPr>
        <w:b/>
        <w:bCs/>
      </w:rPr>
      <w:tblPr/>
      <w:tcPr>
        <w:tcBorders>
          <w:top w:val="single" w:sz="8" w:space="0" w:color="8CADAE"/>
          <w:left w:val="nil"/>
          <w:bottom w:val="single" w:sz="8" w:space="0" w:color="8CADAE"/>
          <w:right w:val="nil"/>
          <w:insideH w:val="nil"/>
          <w:insideV w:val="nil"/>
        </w:tcBorders>
      </w:tcPr>
    </w:tblStylePr>
    <w:tblStylePr w:type="lastRow">
      <w:pPr>
        <w:spacing w:before="0" w:after="0" w:line="240" w:lineRule="auto"/>
      </w:pPr>
      <w:rPr>
        <w:b/>
        <w:bCs/>
      </w:rPr>
      <w:tblPr/>
      <w:tcPr>
        <w:tcBorders>
          <w:top w:val="single" w:sz="8" w:space="0" w:color="8CADAE"/>
          <w:left w:val="nil"/>
          <w:bottom w:val="single" w:sz="8" w:space="0" w:color="8CADA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AEB"/>
      </w:tcPr>
    </w:tblStylePr>
    <w:tblStylePr w:type="band1Horz">
      <w:tblPr/>
      <w:tcPr>
        <w:tcBorders>
          <w:left w:val="nil"/>
          <w:right w:val="nil"/>
          <w:insideH w:val="nil"/>
          <w:insideV w:val="nil"/>
        </w:tcBorders>
        <w:shd w:val="clear" w:color="auto" w:fill="E2EAEB"/>
      </w:tcPr>
    </w:tblStylePr>
  </w:style>
  <w:style w:type="table" w:customStyle="1" w:styleId="LightList-Accent313">
    <w:name w:val="Light List - Accent 313"/>
    <w:basedOn w:val="TableNormal"/>
    <w:next w:val="LightList-Accent3"/>
    <w:uiPriority w:val="61"/>
    <w:rsid w:val="00797049"/>
    <w:pPr>
      <w:spacing w:after="0" w:line="240" w:lineRule="auto"/>
    </w:pPr>
    <w:rPr>
      <w:rFonts w:ascii="Constantia" w:eastAsia="Constantia" w:hAnsi="Constantia" w:cs="Times New Roman"/>
      <w:lang w:val="sr-Cyrl-CS"/>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List-Accent512">
    <w:name w:val="Light List - Accent 512"/>
    <w:basedOn w:val="TableNormal"/>
    <w:next w:val="LightList-Accent5"/>
    <w:uiPriority w:val="61"/>
    <w:rsid w:val="00797049"/>
    <w:pPr>
      <w:spacing w:after="0" w:line="240" w:lineRule="auto"/>
    </w:pPr>
    <w:rPr>
      <w:rFonts w:ascii="Times New Roman" w:eastAsia="Constantia" w:hAnsi="Times New Roman" w:cs="Times New Roman"/>
      <w:lang w:val="sr-Cyrl-CS"/>
    </w:rPr>
    <w:tblPr>
      <w:tblStyleRowBandSize w:val="1"/>
      <w:tblStyleColBandSize w:val="1"/>
      <w:tblBorders>
        <w:top w:val="single" w:sz="8" w:space="0" w:color="8FB08C"/>
        <w:left w:val="single" w:sz="8" w:space="0" w:color="8FB08C"/>
        <w:bottom w:val="single" w:sz="8" w:space="0" w:color="8FB08C"/>
        <w:right w:val="single" w:sz="8" w:space="0" w:color="8FB08C"/>
      </w:tblBorders>
    </w:tblPr>
    <w:tblStylePr w:type="firstRow">
      <w:pPr>
        <w:spacing w:before="0" w:after="0" w:line="240" w:lineRule="auto"/>
      </w:pPr>
      <w:rPr>
        <w:b/>
        <w:bCs/>
        <w:color w:val="FFFFFF"/>
      </w:rPr>
      <w:tblPr/>
      <w:tcPr>
        <w:shd w:val="clear" w:color="auto" w:fill="8FB08C"/>
      </w:tcPr>
    </w:tblStylePr>
    <w:tblStylePr w:type="lastRow">
      <w:pPr>
        <w:spacing w:before="0" w:after="0" w:line="240" w:lineRule="auto"/>
      </w:pPr>
      <w:rPr>
        <w:b/>
        <w:bCs/>
      </w:rPr>
      <w:tblPr/>
      <w:tcPr>
        <w:tcBorders>
          <w:top w:val="double" w:sz="6" w:space="0" w:color="8FB08C"/>
          <w:left w:val="single" w:sz="8" w:space="0" w:color="8FB08C"/>
          <w:bottom w:val="single" w:sz="8" w:space="0" w:color="8FB08C"/>
          <w:right w:val="single" w:sz="8" w:space="0" w:color="8FB08C"/>
        </w:tcBorders>
      </w:tcPr>
    </w:tblStylePr>
    <w:tblStylePr w:type="firstCol">
      <w:rPr>
        <w:b/>
        <w:bCs/>
      </w:rPr>
    </w:tblStylePr>
    <w:tblStylePr w:type="lastCol">
      <w:rPr>
        <w:b/>
        <w:bCs/>
      </w:rPr>
    </w:tblStylePr>
    <w:tblStylePr w:type="band1Vert">
      <w:tblPr/>
      <w:tcPr>
        <w:tcBorders>
          <w:top w:val="single" w:sz="8" w:space="0" w:color="8FB08C"/>
          <w:left w:val="single" w:sz="8" w:space="0" w:color="8FB08C"/>
          <w:bottom w:val="single" w:sz="8" w:space="0" w:color="8FB08C"/>
          <w:right w:val="single" w:sz="8" w:space="0" w:color="8FB08C"/>
        </w:tcBorders>
      </w:tcPr>
    </w:tblStylePr>
    <w:tblStylePr w:type="band1Horz">
      <w:tblPr/>
      <w:tcPr>
        <w:tcBorders>
          <w:top w:val="single" w:sz="8" w:space="0" w:color="8FB08C"/>
          <w:left w:val="single" w:sz="8" w:space="0" w:color="8FB08C"/>
          <w:bottom w:val="single" w:sz="8" w:space="0" w:color="8FB08C"/>
          <w:right w:val="single" w:sz="8" w:space="0" w:color="8FB08C"/>
        </w:tcBorders>
      </w:tcPr>
    </w:tblStylePr>
  </w:style>
  <w:style w:type="table" w:customStyle="1" w:styleId="LightGrid-Accent512">
    <w:name w:val="Light Grid - Accent 512"/>
    <w:basedOn w:val="TableNormal"/>
    <w:next w:val="LightGrid-Accent5"/>
    <w:uiPriority w:val="62"/>
    <w:rsid w:val="00797049"/>
    <w:pPr>
      <w:spacing w:after="0" w:line="240" w:lineRule="auto"/>
    </w:pPr>
    <w:rPr>
      <w:rFonts w:ascii="Calibri" w:eastAsia="Calibri" w:hAnsi="Calibri" w:cs="Times New Roman"/>
      <w:sz w:val="20"/>
      <w:szCs w:val="20"/>
      <w:lang w:val="sr-Latn-CS" w:eastAsia="en-GB"/>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Comic Sans MS" w:eastAsia="Times New Roman" w:hAnsi="Comic Sans MS"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omic Sans MS" w:eastAsia="Times New Roman" w:hAnsi="Comic Sans MS"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omic Sans MS" w:eastAsia="Times New Roman" w:hAnsi="Comic Sans MS" w:cs="Times New Roman"/>
        <w:b/>
        <w:bCs/>
      </w:rPr>
    </w:tblStylePr>
    <w:tblStylePr w:type="lastCol">
      <w:rPr>
        <w:rFonts w:ascii="Comic Sans MS" w:eastAsia="Times New Roman" w:hAnsi="Comic Sans MS"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112">
    <w:name w:val="Светло сенчење – наглашавање 112"/>
    <w:basedOn w:val="TableNormal"/>
    <w:uiPriority w:val="60"/>
    <w:rsid w:val="00797049"/>
    <w:pPr>
      <w:spacing w:after="0" w:line="240" w:lineRule="auto"/>
    </w:pPr>
    <w:rPr>
      <w:rFonts w:ascii="Calibri" w:eastAsia="Calibri" w:hAnsi="Calibri" w:cs="Times New Roman"/>
      <w:color w:val="365F91"/>
      <w:sz w:val="20"/>
      <w:szCs w:val="20"/>
      <w:lang w:val="sr-Latn-CS" w:eastAsia="en-GB"/>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Grid-Accent53">
    <w:name w:val="Light Grid - Accent 53"/>
    <w:basedOn w:val="TableNormal"/>
    <w:next w:val="LightGrid-Accent5"/>
    <w:uiPriority w:val="62"/>
    <w:rsid w:val="00797049"/>
    <w:pPr>
      <w:spacing w:after="0" w:line="240" w:lineRule="auto"/>
    </w:pPr>
    <w:rPr>
      <w:rFonts w:ascii="Calibri" w:eastAsia="Calibri" w:hAnsi="Calibri" w:cs="Times New Roman"/>
      <w:sz w:val="20"/>
      <w:szCs w:val="20"/>
      <w:lang w:val="en-GB" w:eastAsia="en-GB"/>
    </w:rPr>
    <w:tblPr>
      <w:tblStyleRowBandSize w:val="1"/>
      <w:tblStyleColBandSize w:val="1"/>
      <w:tblBorders>
        <w:top w:val="single" w:sz="8" w:space="0" w:color="8FB08C"/>
        <w:left w:val="single" w:sz="8" w:space="0" w:color="8FB08C"/>
        <w:bottom w:val="single" w:sz="8" w:space="0" w:color="8FB08C"/>
        <w:right w:val="single" w:sz="8" w:space="0" w:color="8FB08C"/>
        <w:insideH w:val="single" w:sz="8" w:space="0" w:color="8FB08C"/>
        <w:insideV w:val="single" w:sz="8" w:space="0" w:color="8FB08C"/>
      </w:tblBorders>
    </w:tblPr>
    <w:tblStylePr w:type="firstRow">
      <w:pPr>
        <w:spacing w:before="0" w:after="0" w:line="240" w:lineRule="auto"/>
      </w:pPr>
      <w:rPr>
        <w:rFonts w:ascii="Comic Sans MS" w:eastAsia="Times New Roman" w:hAnsi="Comic Sans MS" w:cs="Times New Roman"/>
        <w:b/>
        <w:bCs/>
      </w:rPr>
      <w:tblPr/>
      <w:tcPr>
        <w:tcBorders>
          <w:top w:val="single" w:sz="8" w:space="0" w:color="8FB08C"/>
          <w:left w:val="single" w:sz="8" w:space="0" w:color="8FB08C"/>
          <w:bottom w:val="single" w:sz="18" w:space="0" w:color="8FB08C"/>
          <w:right w:val="single" w:sz="8" w:space="0" w:color="8FB08C"/>
          <w:insideH w:val="nil"/>
          <w:insideV w:val="single" w:sz="8" w:space="0" w:color="8FB08C"/>
        </w:tcBorders>
      </w:tcPr>
    </w:tblStylePr>
    <w:tblStylePr w:type="lastRow">
      <w:pPr>
        <w:spacing w:before="0" w:after="0" w:line="240" w:lineRule="auto"/>
      </w:pPr>
      <w:rPr>
        <w:rFonts w:ascii="Comic Sans MS" w:eastAsia="Times New Roman" w:hAnsi="Comic Sans MS" w:cs="Times New Roman"/>
        <w:b/>
        <w:bCs/>
      </w:rPr>
      <w:tblPr/>
      <w:tcPr>
        <w:tcBorders>
          <w:top w:val="double" w:sz="6" w:space="0" w:color="8FB08C"/>
          <w:left w:val="single" w:sz="8" w:space="0" w:color="8FB08C"/>
          <w:bottom w:val="single" w:sz="8" w:space="0" w:color="8FB08C"/>
          <w:right w:val="single" w:sz="8" w:space="0" w:color="8FB08C"/>
          <w:insideH w:val="nil"/>
          <w:insideV w:val="single" w:sz="8" w:space="0" w:color="8FB08C"/>
        </w:tcBorders>
      </w:tcPr>
    </w:tblStylePr>
    <w:tblStylePr w:type="firstCol">
      <w:rPr>
        <w:rFonts w:ascii="Comic Sans MS" w:eastAsia="Times New Roman" w:hAnsi="Comic Sans MS" w:cs="Times New Roman"/>
        <w:b/>
        <w:bCs/>
      </w:rPr>
    </w:tblStylePr>
    <w:tblStylePr w:type="lastCol">
      <w:rPr>
        <w:rFonts w:ascii="Comic Sans MS" w:eastAsia="Times New Roman" w:hAnsi="Comic Sans MS" w:cs="Times New Roman"/>
        <w:b/>
        <w:bCs/>
      </w:rPr>
      <w:tblPr/>
      <w:tcPr>
        <w:tcBorders>
          <w:top w:val="single" w:sz="8" w:space="0" w:color="8FB08C"/>
          <w:left w:val="single" w:sz="8" w:space="0" w:color="8FB08C"/>
          <w:bottom w:val="single" w:sz="8" w:space="0" w:color="8FB08C"/>
          <w:right w:val="single" w:sz="8" w:space="0" w:color="8FB08C"/>
        </w:tcBorders>
      </w:tcPr>
    </w:tblStylePr>
    <w:tblStylePr w:type="band1Vert">
      <w:tblPr/>
      <w:tcPr>
        <w:tcBorders>
          <w:top w:val="single" w:sz="8" w:space="0" w:color="8FB08C"/>
          <w:left w:val="single" w:sz="8" w:space="0" w:color="8FB08C"/>
          <w:bottom w:val="single" w:sz="8" w:space="0" w:color="8FB08C"/>
          <w:right w:val="single" w:sz="8" w:space="0" w:color="8FB08C"/>
        </w:tcBorders>
        <w:shd w:val="clear" w:color="auto" w:fill="E3EBE2"/>
      </w:tcPr>
    </w:tblStylePr>
    <w:tblStylePr w:type="band1Horz">
      <w:tblPr/>
      <w:tcPr>
        <w:tcBorders>
          <w:top w:val="single" w:sz="8" w:space="0" w:color="8FB08C"/>
          <w:left w:val="single" w:sz="8" w:space="0" w:color="8FB08C"/>
          <w:bottom w:val="single" w:sz="8" w:space="0" w:color="8FB08C"/>
          <w:right w:val="single" w:sz="8" w:space="0" w:color="8FB08C"/>
          <w:insideV w:val="single" w:sz="8" w:space="0" w:color="8FB08C"/>
        </w:tcBorders>
        <w:shd w:val="clear" w:color="auto" w:fill="E3EBE2"/>
      </w:tcPr>
    </w:tblStylePr>
    <w:tblStylePr w:type="band2Horz">
      <w:tblPr/>
      <w:tcPr>
        <w:tcBorders>
          <w:top w:val="single" w:sz="8" w:space="0" w:color="8FB08C"/>
          <w:left w:val="single" w:sz="8" w:space="0" w:color="8FB08C"/>
          <w:bottom w:val="single" w:sz="8" w:space="0" w:color="8FB08C"/>
          <w:right w:val="single" w:sz="8" w:space="0" w:color="8FB08C"/>
          <w:insideV w:val="single" w:sz="8" w:space="0" w:color="8FB08C"/>
        </w:tcBorders>
      </w:tcPr>
    </w:tblStylePr>
  </w:style>
  <w:style w:type="table" w:customStyle="1" w:styleId="LightList-Accent322">
    <w:name w:val="Light List - Accent 322"/>
    <w:basedOn w:val="TableNormal"/>
    <w:next w:val="LightList-Accent3"/>
    <w:uiPriority w:val="61"/>
    <w:rsid w:val="00797049"/>
    <w:pPr>
      <w:spacing w:after="0" w:line="240" w:lineRule="auto"/>
    </w:pPr>
    <w:rPr>
      <w:rFonts w:ascii="Calibri" w:eastAsia="Calibri" w:hAnsi="Calibri" w:cs="Times New Roman"/>
      <w:sz w:val="20"/>
      <w:szCs w:val="20"/>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List-Accent3112">
    <w:name w:val="Light List - Accent 3112"/>
    <w:basedOn w:val="TableNormal"/>
    <w:next w:val="LightList-Accent3"/>
    <w:uiPriority w:val="61"/>
    <w:rsid w:val="00797049"/>
    <w:pPr>
      <w:spacing w:after="0" w:line="240" w:lineRule="auto"/>
    </w:pPr>
    <w:rPr>
      <w:rFonts w:ascii="Constantia" w:eastAsia="Constantia" w:hAnsi="Constantia" w:cs="Times New Roman"/>
      <w:lang w:val="sr-Cyrl-CS"/>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Shading-Accent138">
    <w:name w:val="Light Shading - Accent 138"/>
    <w:basedOn w:val="TableNormal"/>
    <w:uiPriority w:val="60"/>
    <w:rsid w:val="00797049"/>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12">
    <w:name w:val="Light Shading - Accent 1312"/>
    <w:basedOn w:val="TableNormal"/>
    <w:uiPriority w:val="60"/>
    <w:rsid w:val="00797049"/>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22">
    <w:name w:val="Light Shading - Accent 1322"/>
    <w:basedOn w:val="TableNormal"/>
    <w:uiPriority w:val="60"/>
    <w:rsid w:val="00797049"/>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15">
    <w:name w:val="Light Shading - Accent 115"/>
    <w:basedOn w:val="TableNormal"/>
    <w:uiPriority w:val="60"/>
    <w:rsid w:val="00797049"/>
    <w:pPr>
      <w:spacing w:after="0" w:line="240" w:lineRule="auto"/>
      <w:ind w:left="568" w:hanging="284"/>
    </w:pPr>
    <w:rPr>
      <w:rFonts w:ascii="Calibri" w:eastAsia="Calibri"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9">
    <w:name w:val="Light Shading - Accent 139"/>
    <w:basedOn w:val="TableNormal"/>
    <w:uiPriority w:val="60"/>
    <w:rsid w:val="00797049"/>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16">
    <w:name w:val="Light Shading - Accent 116"/>
    <w:basedOn w:val="TableNormal"/>
    <w:uiPriority w:val="60"/>
    <w:rsid w:val="00797049"/>
    <w:pPr>
      <w:spacing w:after="0" w:line="240" w:lineRule="auto"/>
      <w:ind w:left="568" w:hanging="284"/>
    </w:pPr>
    <w:rPr>
      <w:rFonts w:ascii="Calibri" w:eastAsia="Calibri"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10">
    <w:name w:val="Light Shading - Accent 1310"/>
    <w:basedOn w:val="TableNormal"/>
    <w:uiPriority w:val="60"/>
    <w:rsid w:val="00797049"/>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13">
    <w:name w:val="Light Shading - Accent 1313"/>
    <w:basedOn w:val="TableNormal"/>
    <w:uiPriority w:val="60"/>
    <w:rsid w:val="00797049"/>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ele33">
    <w:name w:val="tabele 33"/>
    <w:basedOn w:val="TableNormal"/>
    <w:next w:val="LightList-Accent3"/>
    <w:uiPriority w:val="61"/>
    <w:rsid w:val="00797049"/>
    <w:pPr>
      <w:spacing w:after="0" w:line="240" w:lineRule="auto"/>
    </w:pPr>
    <w:rPr>
      <w:rFonts w:ascii="Cambria Math" w:eastAsia="Calibri" w:hAnsi="Cambria Math" w:cs="Times New Roman"/>
      <w:sz w:val="18"/>
      <w:lang w:val="sr-Cyrl-C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ghtShading-Accent117">
    <w:name w:val="Light Shading - Accent 117"/>
    <w:basedOn w:val="TableNormal"/>
    <w:uiPriority w:val="60"/>
    <w:rsid w:val="00797049"/>
    <w:pPr>
      <w:spacing w:after="0" w:line="240" w:lineRule="auto"/>
      <w:ind w:left="568" w:hanging="284"/>
    </w:pPr>
    <w:rPr>
      <w:rFonts w:ascii="Calibri" w:eastAsia="Calibri"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34">
    <w:name w:val="Light Shading - Accent 34"/>
    <w:basedOn w:val="TableNormal"/>
    <w:next w:val="LightShading-Accent3"/>
    <w:uiPriority w:val="60"/>
    <w:rsid w:val="00797049"/>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List-Accent54">
    <w:name w:val="Light List - Accent 54"/>
    <w:basedOn w:val="TableNormal"/>
    <w:next w:val="LightList-Accent5"/>
    <w:uiPriority w:val="61"/>
    <w:rsid w:val="00797049"/>
    <w:pPr>
      <w:spacing w:after="0" w:line="240" w:lineRule="auto"/>
    </w:pPr>
    <w:rPr>
      <w:rFonts w:ascii="Calibri" w:eastAsia="Calibri" w:hAnsi="Calibri" w:cs="Times New Roman"/>
      <w:sz w:val="20"/>
      <w:szCs w:val="20"/>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LightShading-Accent313">
    <w:name w:val="Light Shading - Accent 313"/>
    <w:basedOn w:val="TableNormal"/>
    <w:next w:val="LightShading-Accent3"/>
    <w:uiPriority w:val="60"/>
    <w:rsid w:val="00797049"/>
    <w:pPr>
      <w:spacing w:after="0" w:line="240" w:lineRule="auto"/>
    </w:pPr>
    <w:rPr>
      <w:rFonts w:ascii="Constantia" w:eastAsia="Constantia" w:hAnsi="Constantia" w:cs="Times New Roman"/>
      <w:color w:val="8CADAE"/>
      <w:lang w:val="sr-Cyrl-CS"/>
    </w:rPr>
    <w:tblPr>
      <w:tblStyleRowBandSize w:val="1"/>
      <w:tblStyleColBandSize w:val="1"/>
      <w:tblBorders>
        <w:top w:val="single" w:sz="8" w:space="0" w:color="8CADAE"/>
        <w:bottom w:val="single" w:sz="8" w:space="0" w:color="8CADAE"/>
      </w:tblBorders>
    </w:tblPr>
    <w:tblStylePr w:type="firstRow">
      <w:pPr>
        <w:spacing w:before="0" w:after="0" w:line="240" w:lineRule="auto"/>
      </w:pPr>
      <w:rPr>
        <w:b/>
        <w:bCs/>
      </w:rPr>
      <w:tblPr/>
      <w:tcPr>
        <w:tcBorders>
          <w:top w:val="single" w:sz="8" w:space="0" w:color="8CADAE"/>
          <w:left w:val="nil"/>
          <w:bottom w:val="single" w:sz="8" w:space="0" w:color="8CADAE"/>
          <w:right w:val="nil"/>
          <w:insideH w:val="nil"/>
          <w:insideV w:val="nil"/>
        </w:tcBorders>
      </w:tcPr>
    </w:tblStylePr>
    <w:tblStylePr w:type="lastRow">
      <w:pPr>
        <w:spacing w:before="0" w:after="0" w:line="240" w:lineRule="auto"/>
      </w:pPr>
      <w:rPr>
        <w:b/>
        <w:bCs/>
      </w:rPr>
      <w:tblPr/>
      <w:tcPr>
        <w:tcBorders>
          <w:top w:val="single" w:sz="8" w:space="0" w:color="8CADAE"/>
          <w:left w:val="nil"/>
          <w:bottom w:val="single" w:sz="8" w:space="0" w:color="8CADA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AEB"/>
      </w:tcPr>
    </w:tblStylePr>
    <w:tblStylePr w:type="band1Horz">
      <w:tblPr/>
      <w:tcPr>
        <w:tcBorders>
          <w:left w:val="nil"/>
          <w:right w:val="nil"/>
          <w:insideH w:val="nil"/>
          <w:insideV w:val="nil"/>
        </w:tcBorders>
        <w:shd w:val="clear" w:color="auto" w:fill="E2EAEB"/>
      </w:tcPr>
    </w:tblStylePr>
  </w:style>
  <w:style w:type="table" w:customStyle="1" w:styleId="LightList-Accent314">
    <w:name w:val="Light List - Accent 314"/>
    <w:basedOn w:val="TableNormal"/>
    <w:next w:val="LightList-Accent3"/>
    <w:uiPriority w:val="61"/>
    <w:rsid w:val="00797049"/>
    <w:pPr>
      <w:spacing w:after="0" w:line="240" w:lineRule="auto"/>
    </w:pPr>
    <w:rPr>
      <w:rFonts w:ascii="Constantia" w:eastAsia="Constantia" w:hAnsi="Constantia" w:cs="Times New Roman"/>
      <w:lang w:val="sr-Cyrl-CS"/>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List-Accent513">
    <w:name w:val="Light List - Accent 513"/>
    <w:basedOn w:val="TableNormal"/>
    <w:next w:val="LightList-Accent5"/>
    <w:uiPriority w:val="61"/>
    <w:rsid w:val="00797049"/>
    <w:pPr>
      <w:spacing w:after="0" w:line="240" w:lineRule="auto"/>
    </w:pPr>
    <w:rPr>
      <w:rFonts w:ascii="Times New Roman" w:eastAsia="Constantia" w:hAnsi="Times New Roman" w:cs="Times New Roman"/>
      <w:lang w:val="sr-Cyrl-CS"/>
    </w:rPr>
    <w:tblPr>
      <w:tblStyleRowBandSize w:val="1"/>
      <w:tblStyleColBandSize w:val="1"/>
      <w:tblBorders>
        <w:top w:val="single" w:sz="8" w:space="0" w:color="8FB08C"/>
        <w:left w:val="single" w:sz="8" w:space="0" w:color="8FB08C"/>
        <w:bottom w:val="single" w:sz="8" w:space="0" w:color="8FB08C"/>
        <w:right w:val="single" w:sz="8" w:space="0" w:color="8FB08C"/>
      </w:tblBorders>
    </w:tblPr>
    <w:tblStylePr w:type="firstRow">
      <w:pPr>
        <w:spacing w:before="0" w:after="0" w:line="240" w:lineRule="auto"/>
      </w:pPr>
      <w:rPr>
        <w:b/>
        <w:bCs/>
        <w:color w:val="FFFFFF"/>
      </w:rPr>
      <w:tblPr/>
      <w:tcPr>
        <w:shd w:val="clear" w:color="auto" w:fill="8FB08C"/>
      </w:tcPr>
    </w:tblStylePr>
    <w:tblStylePr w:type="lastRow">
      <w:pPr>
        <w:spacing w:before="0" w:after="0" w:line="240" w:lineRule="auto"/>
      </w:pPr>
      <w:rPr>
        <w:b/>
        <w:bCs/>
      </w:rPr>
      <w:tblPr/>
      <w:tcPr>
        <w:tcBorders>
          <w:top w:val="double" w:sz="6" w:space="0" w:color="8FB08C"/>
          <w:left w:val="single" w:sz="8" w:space="0" w:color="8FB08C"/>
          <w:bottom w:val="single" w:sz="8" w:space="0" w:color="8FB08C"/>
          <w:right w:val="single" w:sz="8" w:space="0" w:color="8FB08C"/>
        </w:tcBorders>
      </w:tcPr>
    </w:tblStylePr>
    <w:tblStylePr w:type="firstCol">
      <w:rPr>
        <w:b/>
        <w:bCs/>
      </w:rPr>
    </w:tblStylePr>
    <w:tblStylePr w:type="lastCol">
      <w:rPr>
        <w:b/>
        <w:bCs/>
      </w:rPr>
    </w:tblStylePr>
    <w:tblStylePr w:type="band1Vert">
      <w:tblPr/>
      <w:tcPr>
        <w:tcBorders>
          <w:top w:val="single" w:sz="8" w:space="0" w:color="8FB08C"/>
          <w:left w:val="single" w:sz="8" w:space="0" w:color="8FB08C"/>
          <w:bottom w:val="single" w:sz="8" w:space="0" w:color="8FB08C"/>
          <w:right w:val="single" w:sz="8" w:space="0" w:color="8FB08C"/>
        </w:tcBorders>
      </w:tcPr>
    </w:tblStylePr>
    <w:tblStylePr w:type="band1Horz">
      <w:tblPr/>
      <w:tcPr>
        <w:tcBorders>
          <w:top w:val="single" w:sz="8" w:space="0" w:color="8FB08C"/>
          <w:left w:val="single" w:sz="8" w:space="0" w:color="8FB08C"/>
          <w:bottom w:val="single" w:sz="8" w:space="0" w:color="8FB08C"/>
          <w:right w:val="single" w:sz="8" w:space="0" w:color="8FB08C"/>
        </w:tcBorders>
      </w:tcPr>
    </w:tblStylePr>
  </w:style>
  <w:style w:type="table" w:customStyle="1" w:styleId="LightGrid-Accent513">
    <w:name w:val="Light Grid - Accent 513"/>
    <w:basedOn w:val="TableNormal"/>
    <w:next w:val="LightGrid-Accent5"/>
    <w:uiPriority w:val="62"/>
    <w:rsid w:val="00797049"/>
    <w:pPr>
      <w:spacing w:after="0" w:line="240" w:lineRule="auto"/>
    </w:pPr>
    <w:rPr>
      <w:rFonts w:ascii="Calibri" w:eastAsia="Calibri" w:hAnsi="Calibri" w:cs="Times New Roman"/>
      <w:sz w:val="20"/>
      <w:szCs w:val="20"/>
      <w:lang w:val="sr-Latn-CS" w:eastAsia="en-GB"/>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Comic Sans MS" w:eastAsia="Times New Roman" w:hAnsi="Comic Sans MS"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omic Sans MS" w:eastAsia="Times New Roman" w:hAnsi="Comic Sans MS"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omic Sans MS" w:eastAsia="Times New Roman" w:hAnsi="Comic Sans MS" w:cs="Times New Roman"/>
        <w:b/>
        <w:bCs/>
      </w:rPr>
    </w:tblStylePr>
    <w:tblStylePr w:type="lastCol">
      <w:rPr>
        <w:rFonts w:ascii="Comic Sans MS" w:eastAsia="Times New Roman" w:hAnsi="Comic Sans MS"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113">
    <w:name w:val="Светло сенчење – наглашавање 113"/>
    <w:basedOn w:val="TableNormal"/>
    <w:uiPriority w:val="60"/>
    <w:rsid w:val="00797049"/>
    <w:pPr>
      <w:spacing w:after="0" w:line="240" w:lineRule="auto"/>
    </w:pPr>
    <w:rPr>
      <w:rFonts w:ascii="Calibri" w:eastAsia="Calibri" w:hAnsi="Calibri" w:cs="Times New Roman"/>
      <w:color w:val="365F91"/>
      <w:sz w:val="20"/>
      <w:szCs w:val="20"/>
      <w:lang w:val="sr-Latn-CS" w:eastAsia="en-GB"/>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Grid-Accent54">
    <w:name w:val="Light Grid - Accent 54"/>
    <w:basedOn w:val="TableNormal"/>
    <w:next w:val="LightGrid-Accent5"/>
    <w:uiPriority w:val="62"/>
    <w:rsid w:val="00797049"/>
    <w:pPr>
      <w:spacing w:after="0" w:line="240" w:lineRule="auto"/>
    </w:pPr>
    <w:rPr>
      <w:rFonts w:ascii="Calibri" w:eastAsia="Calibri" w:hAnsi="Calibri" w:cs="Times New Roman"/>
      <w:sz w:val="20"/>
      <w:szCs w:val="20"/>
      <w:lang w:val="en-GB" w:eastAsia="en-GB"/>
    </w:rPr>
    <w:tblPr>
      <w:tblStyleRowBandSize w:val="1"/>
      <w:tblStyleColBandSize w:val="1"/>
      <w:tblBorders>
        <w:top w:val="single" w:sz="8" w:space="0" w:color="8FB08C"/>
        <w:left w:val="single" w:sz="8" w:space="0" w:color="8FB08C"/>
        <w:bottom w:val="single" w:sz="8" w:space="0" w:color="8FB08C"/>
        <w:right w:val="single" w:sz="8" w:space="0" w:color="8FB08C"/>
        <w:insideH w:val="single" w:sz="8" w:space="0" w:color="8FB08C"/>
        <w:insideV w:val="single" w:sz="8" w:space="0" w:color="8FB08C"/>
      </w:tblBorders>
    </w:tblPr>
    <w:tblStylePr w:type="firstRow">
      <w:pPr>
        <w:spacing w:before="0" w:after="0" w:line="240" w:lineRule="auto"/>
      </w:pPr>
      <w:rPr>
        <w:rFonts w:ascii="Comic Sans MS" w:eastAsia="Times New Roman" w:hAnsi="Comic Sans MS" w:cs="Times New Roman"/>
        <w:b/>
        <w:bCs/>
      </w:rPr>
      <w:tblPr/>
      <w:tcPr>
        <w:tcBorders>
          <w:top w:val="single" w:sz="8" w:space="0" w:color="8FB08C"/>
          <w:left w:val="single" w:sz="8" w:space="0" w:color="8FB08C"/>
          <w:bottom w:val="single" w:sz="18" w:space="0" w:color="8FB08C"/>
          <w:right w:val="single" w:sz="8" w:space="0" w:color="8FB08C"/>
          <w:insideH w:val="nil"/>
          <w:insideV w:val="single" w:sz="8" w:space="0" w:color="8FB08C"/>
        </w:tcBorders>
      </w:tcPr>
    </w:tblStylePr>
    <w:tblStylePr w:type="lastRow">
      <w:pPr>
        <w:spacing w:before="0" w:after="0" w:line="240" w:lineRule="auto"/>
      </w:pPr>
      <w:rPr>
        <w:rFonts w:ascii="Comic Sans MS" w:eastAsia="Times New Roman" w:hAnsi="Comic Sans MS" w:cs="Times New Roman"/>
        <w:b/>
        <w:bCs/>
      </w:rPr>
      <w:tblPr/>
      <w:tcPr>
        <w:tcBorders>
          <w:top w:val="double" w:sz="6" w:space="0" w:color="8FB08C"/>
          <w:left w:val="single" w:sz="8" w:space="0" w:color="8FB08C"/>
          <w:bottom w:val="single" w:sz="8" w:space="0" w:color="8FB08C"/>
          <w:right w:val="single" w:sz="8" w:space="0" w:color="8FB08C"/>
          <w:insideH w:val="nil"/>
          <w:insideV w:val="single" w:sz="8" w:space="0" w:color="8FB08C"/>
        </w:tcBorders>
      </w:tcPr>
    </w:tblStylePr>
    <w:tblStylePr w:type="firstCol">
      <w:rPr>
        <w:rFonts w:ascii="Comic Sans MS" w:eastAsia="Times New Roman" w:hAnsi="Comic Sans MS" w:cs="Times New Roman"/>
        <w:b/>
        <w:bCs/>
      </w:rPr>
    </w:tblStylePr>
    <w:tblStylePr w:type="lastCol">
      <w:rPr>
        <w:rFonts w:ascii="Comic Sans MS" w:eastAsia="Times New Roman" w:hAnsi="Comic Sans MS" w:cs="Times New Roman"/>
        <w:b/>
        <w:bCs/>
      </w:rPr>
      <w:tblPr/>
      <w:tcPr>
        <w:tcBorders>
          <w:top w:val="single" w:sz="8" w:space="0" w:color="8FB08C"/>
          <w:left w:val="single" w:sz="8" w:space="0" w:color="8FB08C"/>
          <w:bottom w:val="single" w:sz="8" w:space="0" w:color="8FB08C"/>
          <w:right w:val="single" w:sz="8" w:space="0" w:color="8FB08C"/>
        </w:tcBorders>
      </w:tcPr>
    </w:tblStylePr>
    <w:tblStylePr w:type="band1Vert">
      <w:tblPr/>
      <w:tcPr>
        <w:tcBorders>
          <w:top w:val="single" w:sz="8" w:space="0" w:color="8FB08C"/>
          <w:left w:val="single" w:sz="8" w:space="0" w:color="8FB08C"/>
          <w:bottom w:val="single" w:sz="8" w:space="0" w:color="8FB08C"/>
          <w:right w:val="single" w:sz="8" w:space="0" w:color="8FB08C"/>
        </w:tcBorders>
        <w:shd w:val="clear" w:color="auto" w:fill="E3EBE2"/>
      </w:tcPr>
    </w:tblStylePr>
    <w:tblStylePr w:type="band1Horz">
      <w:tblPr/>
      <w:tcPr>
        <w:tcBorders>
          <w:top w:val="single" w:sz="8" w:space="0" w:color="8FB08C"/>
          <w:left w:val="single" w:sz="8" w:space="0" w:color="8FB08C"/>
          <w:bottom w:val="single" w:sz="8" w:space="0" w:color="8FB08C"/>
          <w:right w:val="single" w:sz="8" w:space="0" w:color="8FB08C"/>
          <w:insideV w:val="single" w:sz="8" w:space="0" w:color="8FB08C"/>
        </w:tcBorders>
        <w:shd w:val="clear" w:color="auto" w:fill="E3EBE2"/>
      </w:tcPr>
    </w:tblStylePr>
    <w:tblStylePr w:type="band2Horz">
      <w:tblPr/>
      <w:tcPr>
        <w:tcBorders>
          <w:top w:val="single" w:sz="8" w:space="0" w:color="8FB08C"/>
          <w:left w:val="single" w:sz="8" w:space="0" w:color="8FB08C"/>
          <w:bottom w:val="single" w:sz="8" w:space="0" w:color="8FB08C"/>
          <w:right w:val="single" w:sz="8" w:space="0" w:color="8FB08C"/>
          <w:insideV w:val="single" w:sz="8" w:space="0" w:color="8FB08C"/>
        </w:tcBorders>
      </w:tcPr>
    </w:tblStylePr>
  </w:style>
  <w:style w:type="table" w:customStyle="1" w:styleId="LightShading-Accent123">
    <w:name w:val="Light Shading - Accent 123"/>
    <w:basedOn w:val="TableNormal"/>
    <w:uiPriority w:val="60"/>
    <w:rsid w:val="00797049"/>
    <w:pPr>
      <w:spacing w:after="0" w:line="240"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List-Accent323">
    <w:name w:val="Light List - Accent 323"/>
    <w:basedOn w:val="TableNormal"/>
    <w:next w:val="LightList-Accent3"/>
    <w:uiPriority w:val="61"/>
    <w:rsid w:val="00797049"/>
    <w:pPr>
      <w:spacing w:after="0" w:line="240" w:lineRule="auto"/>
    </w:pPr>
    <w:rPr>
      <w:rFonts w:ascii="Calibri" w:eastAsia="Calibri" w:hAnsi="Calibri" w:cs="Times New Roman"/>
      <w:sz w:val="20"/>
      <w:szCs w:val="20"/>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List-Accent3113">
    <w:name w:val="Light List - Accent 3113"/>
    <w:basedOn w:val="TableNormal"/>
    <w:next w:val="LightList-Accent3"/>
    <w:uiPriority w:val="61"/>
    <w:rsid w:val="00797049"/>
    <w:pPr>
      <w:spacing w:after="0" w:line="240" w:lineRule="auto"/>
    </w:pPr>
    <w:rPr>
      <w:rFonts w:ascii="Constantia" w:eastAsia="Constantia" w:hAnsi="Constantia" w:cs="Times New Roman"/>
      <w:lang w:val="sr-Cyrl-CS"/>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Shading-Accent1314">
    <w:name w:val="Light Shading - Accent 1314"/>
    <w:basedOn w:val="TableNormal"/>
    <w:uiPriority w:val="60"/>
    <w:rsid w:val="00797049"/>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15">
    <w:name w:val="Light Shading - Accent 1315"/>
    <w:basedOn w:val="TableNormal"/>
    <w:uiPriority w:val="60"/>
    <w:rsid w:val="00797049"/>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23">
    <w:name w:val="Light Shading - Accent 1323"/>
    <w:basedOn w:val="TableNormal"/>
    <w:uiPriority w:val="60"/>
    <w:rsid w:val="00797049"/>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16">
    <w:name w:val="Light Shading - Accent 1316"/>
    <w:basedOn w:val="TableNormal"/>
    <w:uiPriority w:val="60"/>
    <w:rsid w:val="00797049"/>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81">
    <w:name w:val="Light Shading - Accent 1381"/>
    <w:basedOn w:val="TableNormal"/>
    <w:uiPriority w:val="60"/>
    <w:rsid w:val="00797049"/>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18">
    <w:name w:val="Light Shading - Accent 118"/>
    <w:basedOn w:val="TableNormal"/>
    <w:uiPriority w:val="60"/>
    <w:rsid w:val="00797049"/>
    <w:pPr>
      <w:spacing w:after="0" w:line="240" w:lineRule="auto"/>
      <w:ind w:left="568" w:hanging="284"/>
    </w:pPr>
    <w:rPr>
      <w:rFonts w:ascii="Calibri" w:eastAsia="Calibri"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91">
    <w:name w:val="Light Shading - Accent 1391"/>
    <w:basedOn w:val="TableNormal"/>
    <w:uiPriority w:val="60"/>
    <w:rsid w:val="00797049"/>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161">
    <w:name w:val="Light Shading - Accent 1161"/>
    <w:basedOn w:val="TableNormal"/>
    <w:uiPriority w:val="60"/>
    <w:rsid w:val="00797049"/>
    <w:pPr>
      <w:spacing w:after="0" w:line="240" w:lineRule="auto"/>
      <w:ind w:left="568" w:hanging="284"/>
    </w:pPr>
    <w:rPr>
      <w:rFonts w:ascii="Calibri" w:eastAsia="Calibri"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101">
    <w:name w:val="Light Shading - Accent 13101"/>
    <w:basedOn w:val="TableNormal"/>
    <w:uiPriority w:val="60"/>
    <w:rsid w:val="00797049"/>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61">
    <w:name w:val="Light Shading - Accent 1361"/>
    <w:basedOn w:val="TableNormal"/>
    <w:uiPriority w:val="60"/>
    <w:rsid w:val="00797049"/>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character" w:customStyle="1" w:styleId="FollowedHyperlink1">
    <w:name w:val="FollowedHyperlink1"/>
    <w:basedOn w:val="DefaultParagraphFont"/>
    <w:uiPriority w:val="99"/>
    <w:semiHidden/>
    <w:unhideWhenUsed/>
    <w:rsid w:val="00797049"/>
    <w:rPr>
      <w:color w:val="919191"/>
      <w:u w:val="single"/>
    </w:rPr>
  </w:style>
  <w:style w:type="table" w:customStyle="1" w:styleId="LightShading-Accent119">
    <w:name w:val="Light Shading - Accent 119"/>
    <w:basedOn w:val="TableNormal"/>
    <w:uiPriority w:val="60"/>
    <w:rsid w:val="00797049"/>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4">
    <w:name w:val="Light Shading - Accent 14"/>
    <w:basedOn w:val="TableNormal"/>
    <w:next w:val="LightShading-Accent1"/>
    <w:uiPriority w:val="60"/>
    <w:rsid w:val="00797049"/>
    <w:pPr>
      <w:spacing w:after="0" w:line="240" w:lineRule="auto"/>
    </w:pPr>
    <w:rPr>
      <w:color w:val="BF2B0E"/>
    </w:rPr>
    <w:tblPr>
      <w:tblStyleRowBandSize w:val="1"/>
      <w:tblStyleColBandSize w:val="1"/>
      <w:tblBorders>
        <w:top w:val="single" w:sz="8" w:space="0" w:color="EF4623"/>
        <w:bottom w:val="single" w:sz="8" w:space="0" w:color="EF4623"/>
      </w:tblBorders>
    </w:tblPr>
    <w:tblStylePr w:type="firstRow">
      <w:pPr>
        <w:spacing w:before="0" w:after="0" w:line="240" w:lineRule="auto"/>
      </w:pPr>
      <w:rPr>
        <w:b/>
        <w:bCs/>
      </w:rPr>
      <w:tblPr/>
      <w:tcPr>
        <w:tcBorders>
          <w:top w:val="single" w:sz="8" w:space="0" w:color="EF4623"/>
          <w:left w:val="nil"/>
          <w:bottom w:val="single" w:sz="8" w:space="0" w:color="EF4623"/>
          <w:right w:val="nil"/>
          <w:insideH w:val="nil"/>
          <w:insideV w:val="nil"/>
        </w:tcBorders>
      </w:tcPr>
    </w:tblStylePr>
    <w:tblStylePr w:type="lastRow">
      <w:pPr>
        <w:spacing w:before="0" w:after="0" w:line="240" w:lineRule="auto"/>
      </w:pPr>
      <w:rPr>
        <w:b/>
        <w:bCs/>
      </w:rPr>
      <w:tblPr/>
      <w:tcPr>
        <w:tcBorders>
          <w:top w:val="single" w:sz="8" w:space="0" w:color="EF4623"/>
          <w:left w:val="nil"/>
          <w:bottom w:val="single" w:sz="8" w:space="0" w:color="EF462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BD1C8"/>
      </w:tcPr>
    </w:tblStylePr>
    <w:tblStylePr w:type="band1Horz">
      <w:tblPr/>
      <w:tcPr>
        <w:tcBorders>
          <w:left w:val="nil"/>
          <w:right w:val="nil"/>
          <w:insideH w:val="nil"/>
          <w:insideV w:val="nil"/>
        </w:tcBorders>
        <w:shd w:val="clear" w:color="auto" w:fill="FBD1C8"/>
      </w:tcPr>
    </w:tblStylePr>
  </w:style>
  <w:style w:type="paragraph" w:styleId="HTMLPreformatted">
    <w:name w:val="HTML Preformatted"/>
    <w:basedOn w:val="Normal"/>
    <w:link w:val="HTMLPreformattedChar"/>
    <w:uiPriority w:val="99"/>
    <w:semiHidden/>
    <w:unhideWhenUsed/>
    <w:rsid w:val="00797049"/>
    <w:pPr>
      <w:spacing w:after="0"/>
      <w:ind w:firstLine="709"/>
    </w:pPr>
    <w:rPr>
      <w:rFonts w:ascii="Consolas" w:eastAsia="Times New Roman" w:hAnsi="Consolas" w:cs="Consolas"/>
      <w:bCs/>
      <w:color w:val="404040"/>
      <w:sz w:val="20"/>
      <w:szCs w:val="20"/>
      <w:lang w:val="sr-Cyrl-CS"/>
    </w:rPr>
  </w:style>
  <w:style w:type="character" w:customStyle="1" w:styleId="HTMLPreformattedChar">
    <w:name w:val="HTML Preformatted Char"/>
    <w:basedOn w:val="DefaultParagraphFont"/>
    <w:link w:val="HTMLPreformatted"/>
    <w:uiPriority w:val="99"/>
    <w:semiHidden/>
    <w:rsid w:val="00797049"/>
    <w:rPr>
      <w:rFonts w:ascii="Consolas" w:eastAsia="Times New Roman" w:hAnsi="Consolas" w:cs="Consolas"/>
      <w:bCs/>
      <w:color w:val="404040"/>
      <w:sz w:val="20"/>
      <w:szCs w:val="20"/>
      <w:lang w:val="sr-Cyrl-CS"/>
    </w:rPr>
  </w:style>
  <w:style w:type="table" w:customStyle="1" w:styleId="LightShading-Accent331">
    <w:name w:val="Light Shading - Accent 331"/>
    <w:basedOn w:val="TableNormal"/>
    <w:next w:val="LightShading-Accent3"/>
    <w:uiPriority w:val="60"/>
    <w:rsid w:val="00797049"/>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2">
    <w:name w:val="Light Shading - Accent 332"/>
    <w:basedOn w:val="TableNormal"/>
    <w:next w:val="LightShading-Accent3"/>
    <w:uiPriority w:val="60"/>
    <w:rsid w:val="00797049"/>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3">
    <w:name w:val="Light Shading - Accent 333"/>
    <w:basedOn w:val="TableNormal"/>
    <w:next w:val="LightShading-Accent3"/>
    <w:uiPriority w:val="60"/>
    <w:rsid w:val="00797049"/>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41">
    <w:name w:val="Light Shading - Accent 341"/>
    <w:basedOn w:val="TableNormal"/>
    <w:next w:val="LightShading-Accent3"/>
    <w:uiPriority w:val="60"/>
    <w:rsid w:val="00797049"/>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42">
    <w:name w:val="Light Shading - Accent 342"/>
    <w:basedOn w:val="TableNormal"/>
    <w:next w:val="LightShading-Accent3"/>
    <w:uiPriority w:val="60"/>
    <w:rsid w:val="00797049"/>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Grid-Accent514">
    <w:name w:val="Light Grid - Accent 514"/>
    <w:basedOn w:val="TableNormal"/>
    <w:next w:val="LightGrid-Accent5"/>
    <w:uiPriority w:val="62"/>
    <w:rsid w:val="00797049"/>
    <w:pPr>
      <w:spacing w:after="0" w:line="240" w:lineRule="auto"/>
    </w:pPr>
    <w:rPr>
      <w:rFonts w:ascii="Calibri" w:eastAsia="Calibri" w:hAnsi="Calibri" w:cs="Times New Roman"/>
      <w:sz w:val="20"/>
      <w:szCs w:val="20"/>
      <w:lang w:val="sr-Latn-CS" w:eastAsia="en-GB"/>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Franklin Gothic Medium" w:eastAsia="Times New Roman" w:hAnsi="Franklin Gothic Medium"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Franklin Gothic Medium" w:eastAsia="Times New Roman" w:hAnsi="Franklin Gothic Medium"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Franklin Gothic Medium" w:eastAsia="Times New Roman" w:hAnsi="Franklin Gothic Medium" w:cs="Times New Roman"/>
        <w:b/>
        <w:bCs/>
      </w:rPr>
    </w:tblStylePr>
    <w:tblStylePr w:type="lastCol">
      <w:rPr>
        <w:rFonts w:ascii="Franklin Gothic Medium" w:eastAsia="Times New Roman" w:hAnsi="Franklin Gothic Medium"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LightGrid-Accent55">
    <w:name w:val="Light Grid - Accent 55"/>
    <w:basedOn w:val="TableNormal"/>
    <w:next w:val="LightGrid-Accent5"/>
    <w:uiPriority w:val="62"/>
    <w:rsid w:val="00797049"/>
    <w:pPr>
      <w:spacing w:after="0" w:line="240" w:lineRule="auto"/>
    </w:pPr>
    <w:rPr>
      <w:rFonts w:ascii="Calibri" w:eastAsia="Calibri" w:hAnsi="Calibri" w:cs="Times New Roman"/>
      <w:sz w:val="20"/>
      <w:szCs w:val="20"/>
      <w:lang w:val="en-GB" w:eastAsia="en-GB"/>
    </w:rPr>
    <w:tblPr>
      <w:tblStyleRowBandSize w:val="1"/>
      <w:tblStyleColBandSize w:val="1"/>
      <w:tblBorders>
        <w:top w:val="single" w:sz="8" w:space="0" w:color="8FB08C"/>
        <w:left w:val="single" w:sz="8" w:space="0" w:color="8FB08C"/>
        <w:bottom w:val="single" w:sz="8" w:space="0" w:color="8FB08C"/>
        <w:right w:val="single" w:sz="8" w:space="0" w:color="8FB08C"/>
        <w:insideH w:val="single" w:sz="8" w:space="0" w:color="8FB08C"/>
        <w:insideV w:val="single" w:sz="8" w:space="0" w:color="8FB08C"/>
      </w:tblBorders>
    </w:tblPr>
    <w:tblStylePr w:type="firstRow">
      <w:pPr>
        <w:spacing w:before="0" w:after="0" w:line="240" w:lineRule="auto"/>
      </w:pPr>
      <w:rPr>
        <w:rFonts w:ascii="Franklin Gothic Medium" w:eastAsia="Times New Roman" w:hAnsi="Franklin Gothic Medium" w:cs="Times New Roman"/>
        <w:b/>
        <w:bCs/>
      </w:rPr>
      <w:tblPr/>
      <w:tcPr>
        <w:tcBorders>
          <w:top w:val="single" w:sz="8" w:space="0" w:color="8FB08C"/>
          <w:left w:val="single" w:sz="8" w:space="0" w:color="8FB08C"/>
          <w:bottom w:val="single" w:sz="18" w:space="0" w:color="8FB08C"/>
          <w:right w:val="single" w:sz="8" w:space="0" w:color="8FB08C"/>
          <w:insideH w:val="nil"/>
          <w:insideV w:val="single" w:sz="8" w:space="0" w:color="8FB08C"/>
        </w:tcBorders>
      </w:tcPr>
    </w:tblStylePr>
    <w:tblStylePr w:type="lastRow">
      <w:pPr>
        <w:spacing w:before="0" w:after="0" w:line="240" w:lineRule="auto"/>
      </w:pPr>
      <w:rPr>
        <w:rFonts w:ascii="Franklin Gothic Medium" w:eastAsia="Times New Roman" w:hAnsi="Franklin Gothic Medium" w:cs="Times New Roman"/>
        <w:b/>
        <w:bCs/>
      </w:rPr>
      <w:tblPr/>
      <w:tcPr>
        <w:tcBorders>
          <w:top w:val="double" w:sz="6" w:space="0" w:color="8FB08C"/>
          <w:left w:val="single" w:sz="8" w:space="0" w:color="8FB08C"/>
          <w:bottom w:val="single" w:sz="8" w:space="0" w:color="8FB08C"/>
          <w:right w:val="single" w:sz="8" w:space="0" w:color="8FB08C"/>
          <w:insideH w:val="nil"/>
          <w:insideV w:val="single" w:sz="8" w:space="0" w:color="8FB08C"/>
        </w:tcBorders>
      </w:tcPr>
    </w:tblStylePr>
    <w:tblStylePr w:type="firstCol">
      <w:rPr>
        <w:rFonts w:ascii="Franklin Gothic Medium" w:eastAsia="Times New Roman" w:hAnsi="Franklin Gothic Medium" w:cs="Times New Roman"/>
        <w:b/>
        <w:bCs/>
      </w:rPr>
    </w:tblStylePr>
    <w:tblStylePr w:type="lastCol">
      <w:rPr>
        <w:rFonts w:ascii="Franklin Gothic Medium" w:eastAsia="Times New Roman" w:hAnsi="Franklin Gothic Medium" w:cs="Times New Roman"/>
        <w:b/>
        <w:bCs/>
      </w:rPr>
      <w:tblPr/>
      <w:tcPr>
        <w:tcBorders>
          <w:top w:val="single" w:sz="8" w:space="0" w:color="8FB08C"/>
          <w:left w:val="single" w:sz="8" w:space="0" w:color="8FB08C"/>
          <w:bottom w:val="single" w:sz="8" w:space="0" w:color="8FB08C"/>
          <w:right w:val="single" w:sz="8" w:space="0" w:color="8FB08C"/>
        </w:tcBorders>
      </w:tcPr>
    </w:tblStylePr>
    <w:tblStylePr w:type="band1Vert">
      <w:tblPr/>
      <w:tcPr>
        <w:tcBorders>
          <w:top w:val="single" w:sz="8" w:space="0" w:color="8FB08C"/>
          <w:left w:val="single" w:sz="8" w:space="0" w:color="8FB08C"/>
          <w:bottom w:val="single" w:sz="8" w:space="0" w:color="8FB08C"/>
          <w:right w:val="single" w:sz="8" w:space="0" w:color="8FB08C"/>
        </w:tcBorders>
        <w:shd w:val="clear" w:color="auto" w:fill="E3EBE2"/>
      </w:tcPr>
    </w:tblStylePr>
    <w:tblStylePr w:type="band1Horz">
      <w:tblPr/>
      <w:tcPr>
        <w:tcBorders>
          <w:top w:val="single" w:sz="8" w:space="0" w:color="8FB08C"/>
          <w:left w:val="single" w:sz="8" w:space="0" w:color="8FB08C"/>
          <w:bottom w:val="single" w:sz="8" w:space="0" w:color="8FB08C"/>
          <w:right w:val="single" w:sz="8" w:space="0" w:color="8FB08C"/>
          <w:insideV w:val="single" w:sz="8" w:space="0" w:color="8FB08C"/>
        </w:tcBorders>
        <w:shd w:val="clear" w:color="auto" w:fill="E3EBE2"/>
      </w:tcPr>
    </w:tblStylePr>
    <w:tblStylePr w:type="band2Horz">
      <w:tblPr/>
      <w:tcPr>
        <w:tcBorders>
          <w:top w:val="single" w:sz="8" w:space="0" w:color="8FB08C"/>
          <w:left w:val="single" w:sz="8" w:space="0" w:color="8FB08C"/>
          <w:bottom w:val="single" w:sz="8" w:space="0" w:color="8FB08C"/>
          <w:right w:val="single" w:sz="8" w:space="0" w:color="8FB08C"/>
          <w:insideV w:val="single" w:sz="8" w:space="0" w:color="8FB08C"/>
        </w:tcBorders>
      </w:tcPr>
    </w:tblStylePr>
  </w:style>
  <w:style w:type="table" w:customStyle="1" w:styleId="LightGrid-Accent5111">
    <w:name w:val="Light Grid - Accent 5111"/>
    <w:basedOn w:val="TableNormal"/>
    <w:next w:val="LightGrid-Accent5"/>
    <w:uiPriority w:val="62"/>
    <w:rsid w:val="00797049"/>
    <w:pPr>
      <w:spacing w:after="0" w:line="240" w:lineRule="auto"/>
    </w:pPr>
    <w:rPr>
      <w:rFonts w:ascii="Calibri" w:eastAsia="Calibri" w:hAnsi="Calibri" w:cs="Times New Roman"/>
      <w:sz w:val="20"/>
      <w:szCs w:val="20"/>
      <w:lang w:val="sr-Latn-CS" w:eastAsia="en-GB"/>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Franklin Gothic Medium" w:eastAsia="Times New Roman" w:hAnsi="Franklin Gothic Medium"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Franklin Gothic Medium" w:eastAsia="Times New Roman" w:hAnsi="Franklin Gothic Medium"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Franklin Gothic Medium" w:eastAsia="Times New Roman" w:hAnsi="Franklin Gothic Medium" w:cs="Times New Roman"/>
        <w:b/>
        <w:bCs/>
      </w:rPr>
    </w:tblStylePr>
    <w:tblStylePr w:type="lastCol">
      <w:rPr>
        <w:rFonts w:ascii="Franklin Gothic Medium" w:eastAsia="Times New Roman" w:hAnsi="Franklin Gothic Medium"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LightGrid-Accent521">
    <w:name w:val="Light Grid - Accent 521"/>
    <w:basedOn w:val="TableNormal"/>
    <w:next w:val="LightGrid-Accent5"/>
    <w:uiPriority w:val="62"/>
    <w:rsid w:val="00797049"/>
    <w:pPr>
      <w:spacing w:after="0" w:line="240" w:lineRule="auto"/>
    </w:pPr>
    <w:rPr>
      <w:rFonts w:ascii="Calibri" w:eastAsia="Calibri" w:hAnsi="Calibri" w:cs="Times New Roman"/>
      <w:sz w:val="20"/>
      <w:szCs w:val="20"/>
      <w:lang w:val="en-GB" w:eastAsia="en-GB"/>
    </w:rPr>
    <w:tblPr>
      <w:tblStyleRowBandSize w:val="1"/>
      <w:tblStyleColBandSize w:val="1"/>
      <w:tblBorders>
        <w:top w:val="single" w:sz="8" w:space="0" w:color="8FB08C"/>
        <w:left w:val="single" w:sz="8" w:space="0" w:color="8FB08C"/>
        <w:bottom w:val="single" w:sz="8" w:space="0" w:color="8FB08C"/>
        <w:right w:val="single" w:sz="8" w:space="0" w:color="8FB08C"/>
        <w:insideH w:val="single" w:sz="8" w:space="0" w:color="8FB08C"/>
        <w:insideV w:val="single" w:sz="8" w:space="0" w:color="8FB08C"/>
      </w:tblBorders>
    </w:tblPr>
    <w:tblStylePr w:type="firstRow">
      <w:pPr>
        <w:spacing w:before="0" w:after="0" w:line="240" w:lineRule="auto"/>
      </w:pPr>
      <w:rPr>
        <w:rFonts w:ascii="Franklin Gothic Medium" w:eastAsia="Times New Roman" w:hAnsi="Franklin Gothic Medium" w:cs="Times New Roman"/>
        <w:b/>
        <w:bCs/>
      </w:rPr>
      <w:tblPr/>
      <w:tcPr>
        <w:tcBorders>
          <w:top w:val="single" w:sz="8" w:space="0" w:color="8FB08C"/>
          <w:left w:val="single" w:sz="8" w:space="0" w:color="8FB08C"/>
          <w:bottom w:val="single" w:sz="18" w:space="0" w:color="8FB08C"/>
          <w:right w:val="single" w:sz="8" w:space="0" w:color="8FB08C"/>
          <w:insideH w:val="nil"/>
          <w:insideV w:val="single" w:sz="8" w:space="0" w:color="8FB08C"/>
        </w:tcBorders>
      </w:tcPr>
    </w:tblStylePr>
    <w:tblStylePr w:type="lastRow">
      <w:pPr>
        <w:spacing w:before="0" w:after="0" w:line="240" w:lineRule="auto"/>
      </w:pPr>
      <w:rPr>
        <w:rFonts w:ascii="Franklin Gothic Medium" w:eastAsia="Times New Roman" w:hAnsi="Franklin Gothic Medium" w:cs="Times New Roman"/>
        <w:b/>
        <w:bCs/>
      </w:rPr>
      <w:tblPr/>
      <w:tcPr>
        <w:tcBorders>
          <w:top w:val="double" w:sz="6" w:space="0" w:color="8FB08C"/>
          <w:left w:val="single" w:sz="8" w:space="0" w:color="8FB08C"/>
          <w:bottom w:val="single" w:sz="8" w:space="0" w:color="8FB08C"/>
          <w:right w:val="single" w:sz="8" w:space="0" w:color="8FB08C"/>
          <w:insideH w:val="nil"/>
          <w:insideV w:val="single" w:sz="8" w:space="0" w:color="8FB08C"/>
        </w:tcBorders>
      </w:tcPr>
    </w:tblStylePr>
    <w:tblStylePr w:type="firstCol">
      <w:rPr>
        <w:rFonts w:ascii="Franklin Gothic Medium" w:eastAsia="Times New Roman" w:hAnsi="Franklin Gothic Medium" w:cs="Times New Roman"/>
        <w:b/>
        <w:bCs/>
      </w:rPr>
    </w:tblStylePr>
    <w:tblStylePr w:type="lastCol">
      <w:rPr>
        <w:rFonts w:ascii="Franklin Gothic Medium" w:eastAsia="Times New Roman" w:hAnsi="Franklin Gothic Medium" w:cs="Times New Roman"/>
        <w:b/>
        <w:bCs/>
      </w:rPr>
      <w:tblPr/>
      <w:tcPr>
        <w:tcBorders>
          <w:top w:val="single" w:sz="8" w:space="0" w:color="8FB08C"/>
          <w:left w:val="single" w:sz="8" w:space="0" w:color="8FB08C"/>
          <w:bottom w:val="single" w:sz="8" w:space="0" w:color="8FB08C"/>
          <w:right w:val="single" w:sz="8" w:space="0" w:color="8FB08C"/>
        </w:tcBorders>
      </w:tcPr>
    </w:tblStylePr>
    <w:tblStylePr w:type="band1Vert">
      <w:tblPr/>
      <w:tcPr>
        <w:tcBorders>
          <w:top w:val="single" w:sz="8" w:space="0" w:color="8FB08C"/>
          <w:left w:val="single" w:sz="8" w:space="0" w:color="8FB08C"/>
          <w:bottom w:val="single" w:sz="8" w:space="0" w:color="8FB08C"/>
          <w:right w:val="single" w:sz="8" w:space="0" w:color="8FB08C"/>
        </w:tcBorders>
        <w:shd w:val="clear" w:color="auto" w:fill="E3EBE2"/>
      </w:tcPr>
    </w:tblStylePr>
    <w:tblStylePr w:type="band1Horz">
      <w:tblPr/>
      <w:tcPr>
        <w:tcBorders>
          <w:top w:val="single" w:sz="8" w:space="0" w:color="8FB08C"/>
          <w:left w:val="single" w:sz="8" w:space="0" w:color="8FB08C"/>
          <w:bottom w:val="single" w:sz="8" w:space="0" w:color="8FB08C"/>
          <w:right w:val="single" w:sz="8" w:space="0" w:color="8FB08C"/>
          <w:insideV w:val="single" w:sz="8" w:space="0" w:color="8FB08C"/>
        </w:tcBorders>
        <w:shd w:val="clear" w:color="auto" w:fill="E3EBE2"/>
      </w:tcPr>
    </w:tblStylePr>
    <w:tblStylePr w:type="band2Horz">
      <w:tblPr/>
      <w:tcPr>
        <w:tcBorders>
          <w:top w:val="single" w:sz="8" w:space="0" w:color="8FB08C"/>
          <w:left w:val="single" w:sz="8" w:space="0" w:color="8FB08C"/>
          <w:bottom w:val="single" w:sz="8" w:space="0" w:color="8FB08C"/>
          <w:right w:val="single" w:sz="8" w:space="0" w:color="8FB08C"/>
          <w:insideV w:val="single" w:sz="8" w:space="0" w:color="8FB08C"/>
        </w:tcBorders>
      </w:tcPr>
    </w:tblStylePr>
  </w:style>
  <w:style w:type="table" w:customStyle="1" w:styleId="LightGrid-Accent5121">
    <w:name w:val="Light Grid - Accent 5121"/>
    <w:basedOn w:val="TableNormal"/>
    <w:next w:val="LightGrid-Accent5"/>
    <w:uiPriority w:val="62"/>
    <w:rsid w:val="00797049"/>
    <w:pPr>
      <w:spacing w:after="0" w:line="240" w:lineRule="auto"/>
    </w:pPr>
    <w:rPr>
      <w:rFonts w:ascii="Calibri" w:eastAsia="Calibri" w:hAnsi="Calibri" w:cs="Times New Roman"/>
      <w:sz w:val="20"/>
      <w:szCs w:val="20"/>
      <w:lang w:val="sr-Latn-CS" w:eastAsia="en-GB"/>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Franklin Gothic Medium" w:eastAsia="Times New Roman" w:hAnsi="Franklin Gothic Medium"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Franklin Gothic Medium" w:eastAsia="Times New Roman" w:hAnsi="Franklin Gothic Medium"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Franklin Gothic Medium" w:eastAsia="Times New Roman" w:hAnsi="Franklin Gothic Medium" w:cs="Times New Roman"/>
        <w:b/>
        <w:bCs/>
      </w:rPr>
    </w:tblStylePr>
    <w:tblStylePr w:type="lastCol">
      <w:rPr>
        <w:rFonts w:ascii="Franklin Gothic Medium" w:eastAsia="Times New Roman" w:hAnsi="Franklin Gothic Medium"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LightGrid-Accent531">
    <w:name w:val="Light Grid - Accent 531"/>
    <w:basedOn w:val="TableNormal"/>
    <w:next w:val="LightGrid-Accent5"/>
    <w:uiPriority w:val="62"/>
    <w:rsid w:val="00797049"/>
    <w:pPr>
      <w:spacing w:after="0" w:line="240" w:lineRule="auto"/>
    </w:pPr>
    <w:rPr>
      <w:rFonts w:ascii="Calibri" w:eastAsia="Calibri" w:hAnsi="Calibri" w:cs="Times New Roman"/>
      <w:sz w:val="20"/>
      <w:szCs w:val="20"/>
      <w:lang w:val="en-GB" w:eastAsia="en-GB"/>
    </w:rPr>
    <w:tblPr>
      <w:tblStyleRowBandSize w:val="1"/>
      <w:tblStyleColBandSize w:val="1"/>
      <w:tblBorders>
        <w:top w:val="single" w:sz="8" w:space="0" w:color="8FB08C"/>
        <w:left w:val="single" w:sz="8" w:space="0" w:color="8FB08C"/>
        <w:bottom w:val="single" w:sz="8" w:space="0" w:color="8FB08C"/>
        <w:right w:val="single" w:sz="8" w:space="0" w:color="8FB08C"/>
        <w:insideH w:val="single" w:sz="8" w:space="0" w:color="8FB08C"/>
        <w:insideV w:val="single" w:sz="8" w:space="0" w:color="8FB08C"/>
      </w:tblBorders>
    </w:tblPr>
    <w:tblStylePr w:type="firstRow">
      <w:pPr>
        <w:spacing w:before="0" w:after="0" w:line="240" w:lineRule="auto"/>
      </w:pPr>
      <w:rPr>
        <w:rFonts w:ascii="Franklin Gothic Medium" w:eastAsia="Times New Roman" w:hAnsi="Franklin Gothic Medium" w:cs="Times New Roman"/>
        <w:b/>
        <w:bCs/>
      </w:rPr>
      <w:tblPr/>
      <w:tcPr>
        <w:tcBorders>
          <w:top w:val="single" w:sz="8" w:space="0" w:color="8FB08C"/>
          <w:left w:val="single" w:sz="8" w:space="0" w:color="8FB08C"/>
          <w:bottom w:val="single" w:sz="18" w:space="0" w:color="8FB08C"/>
          <w:right w:val="single" w:sz="8" w:space="0" w:color="8FB08C"/>
          <w:insideH w:val="nil"/>
          <w:insideV w:val="single" w:sz="8" w:space="0" w:color="8FB08C"/>
        </w:tcBorders>
      </w:tcPr>
    </w:tblStylePr>
    <w:tblStylePr w:type="lastRow">
      <w:pPr>
        <w:spacing w:before="0" w:after="0" w:line="240" w:lineRule="auto"/>
      </w:pPr>
      <w:rPr>
        <w:rFonts w:ascii="Franklin Gothic Medium" w:eastAsia="Times New Roman" w:hAnsi="Franklin Gothic Medium" w:cs="Times New Roman"/>
        <w:b/>
        <w:bCs/>
      </w:rPr>
      <w:tblPr/>
      <w:tcPr>
        <w:tcBorders>
          <w:top w:val="double" w:sz="6" w:space="0" w:color="8FB08C"/>
          <w:left w:val="single" w:sz="8" w:space="0" w:color="8FB08C"/>
          <w:bottom w:val="single" w:sz="8" w:space="0" w:color="8FB08C"/>
          <w:right w:val="single" w:sz="8" w:space="0" w:color="8FB08C"/>
          <w:insideH w:val="nil"/>
          <w:insideV w:val="single" w:sz="8" w:space="0" w:color="8FB08C"/>
        </w:tcBorders>
      </w:tcPr>
    </w:tblStylePr>
    <w:tblStylePr w:type="firstCol">
      <w:rPr>
        <w:rFonts w:ascii="Franklin Gothic Medium" w:eastAsia="Times New Roman" w:hAnsi="Franklin Gothic Medium" w:cs="Times New Roman"/>
        <w:b/>
        <w:bCs/>
      </w:rPr>
    </w:tblStylePr>
    <w:tblStylePr w:type="lastCol">
      <w:rPr>
        <w:rFonts w:ascii="Franklin Gothic Medium" w:eastAsia="Times New Roman" w:hAnsi="Franklin Gothic Medium" w:cs="Times New Roman"/>
        <w:b/>
        <w:bCs/>
      </w:rPr>
      <w:tblPr/>
      <w:tcPr>
        <w:tcBorders>
          <w:top w:val="single" w:sz="8" w:space="0" w:color="8FB08C"/>
          <w:left w:val="single" w:sz="8" w:space="0" w:color="8FB08C"/>
          <w:bottom w:val="single" w:sz="8" w:space="0" w:color="8FB08C"/>
          <w:right w:val="single" w:sz="8" w:space="0" w:color="8FB08C"/>
        </w:tcBorders>
      </w:tcPr>
    </w:tblStylePr>
    <w:tblStylePr w:type="band1Vert">
      <w:tblPr/>
      <w:tcPr>
        <w:tcBorders>
          <w:top w:val="single" w:sz="8" w:space="0" w:color="8FB08C"/>
          <w:left w:val="single" w:sz="8" w:space="0" w:color="8FB08C"/>
          <w:bottom w:val="single" w:sz="8" w:space="0" w:color="8FB08C"/>
          <w:right w:val="single" w:sz="8" w:space="0" w:color="8FB08C"/>
        </w:tcBorders>
        <w:shd w:val="clear" w:color="auto" w:fill="E3EBE2"/>
      </w:tcPr>
    </w:tblStylePr>
    <w:tblStylePr w:type="band1Horz">
      <w:tblPr/>
      <w:tcPr>
        <w:tcBorders>
          <w:top w:val="single" w:sz="8" w:space="0" w:color="8FB08C"/>
          <w:left w:val="single" w:sz="8" w:space="0" w:color="8FB08C"/>
          <w:bottom w:val="single" w:sz="8" w:space="0" w:color="8FB08C"/>
          <w:right w:val="single" w:sz="8" w:space="0" w:color="8FB08C"/>
          <w:insideV w:val="single" w:sz="8" w:space="0" w:color="8FB08C"/>
        </w:tcBorders>
        <w:shd w:val="clear" w:color="auto" w:fill="E3EBE2"/>
      </w:tcPr>
    </w:tblStylePr>
    <w:tblStylePr w:type="band2Horz">
      <w:tblPr/>
      <w:tcPr>
        <w:tcBorders>
          <w:top w:val="single" w:sz="8" w:space="0" w:color="8FB08C"/>
          <w:left w:val="single" w:sz="8" w:space="0" w:color="8FB08C"/>
          <w:bottom w:val="single" w:sz="8" w:space="0" w:color="8FB08C"/>
          <w:right w:val="single" w:sz="8" w:space="0" w:color="8FB08C"/>
          <w:insideV w:val="single" w:sz="8" w:space="0" w:color="8FB08C"/>
        </w:tcBorders>
      </w:tcPr>
    </w:tblStylePr>
  </w:style>
  <w:style w:type="table" w:customStyle="1" w:styleId="LightGrid-Accent5131">
    <w:name w:val="Light Grid - Accent 5131"/>
    <w:basedOn w:val="TableNormal"/>
    <w:next w:val="LightGrid-Accent5"/>
    <w:uiPriority w:val="62"/>
    <w:rsid w:val="00797049"/>
    <w:pPr>
      <w:spacing w:after="0" w:line="240" w:lineRule="auto"/>
    </w:pPr>
    <w:rPr>
      <w:rFonts w:ascii="Calibri" w:eastAsia="Calibri" w:hAnsi="Calibri" w:cs="Times New Roman"/>
      <w:sz w:val="20"/>
      <w:szCs w:val="20"/>
      <w:lang w:val="sr-Latn-CS" w:eastAsia="en-GB"/>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Franklin Gothic Medium" w:eastAsia="Times New Roman" w:hAnsi="Franklin Gothic Medium"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Franklin Gothic Medium" w:eastAsia="Times New Roman" w:hAnsi="Franklin Gothic Medium"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Franklin Gothic Medium" w:eastAsia="Times New Roman" w:hAnsi="Franklin Gothic Medium" w:cs="Times New Roman"/>
        <w:b/>
        <w:bCs/>
      </w:rPr>
    </w:tblStylePr>
    <w:tblStylePr w:type="lastCol">
      <w:rPr>
        <w:rFonts w:ascii="Franklin Gothic Medium" w:eastAsia="Times New Roman" w:hAnsi="Franklin Gothic Medium"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LightGrid-Accent541">
    <w:name w:val="Light Grid - Accent 541"/>
    <w:basedOn w:val="TableNormal"/>
    <w:next w:val="LightGrid-Accent5"/>
    <w:uiPriority w:val="62"/>
    <w:rsid w:val="00797049"/>
    <w:pPr>
      <w:spacing w:after="0" w:line="240" w:lineRule="auto"/>
    </w:pPr>
    <w:rPr>
      <w:rFonts w:ascii="Calibri" w:eastAsia="Calibri" w:hAnsi="Calibri" w:cs="Times New Roman"/>
      <w:sz w:val="20"/>
      <w:szCs w:val="20"/>
      <w:lang w:val="en-GB" w:eastAsia="en-GB"/>
    </w:rPr>
    <w:tblPr>
      <w:tblStyleRowBandSize w:val="1"/>
      <w:tblStyleColBandSize w:val="1"/>
      <w:tblBorders>
        <w:top w:val="single" w:sz="8" w:space="0" w:color="8FB08C"/>
        <w:left w:val="single" w:sz="8" w:space="0" w:color="8FB08C"/>
        <w:bottom w:val="single" w:sz="8" w:space="0" w:color="8FB08C"/>
        <w:right w:val="single" w:sz="8" w:space="0" w:color="8FB08C"/>
        <w:insideH w:val="single" w:sz="8" w:space="0" w:color="8FB08C"/>
        <w:insideV w:val="single" w:sz="8" w:space="0" w:color="8FB08C"/>
      </w:tblBorders>
    </w:tblPr>
    <w:tblStylePr w:type="firstRow">
      <w:pPr>
        <w:spacing w:before="0" w:after="0" w:line="240" w:lineRule="auto"/>
      </w:pPr>
      <w:rPr>
        <w:rFonts w:ascii="Franklin Gothic Medium" w:eastAsia="Times New Roman" w:hAnsi="Franklin Gothic Medium" w:cs="Times New Roman"/>
        <w:b/>
        <w:bCs/>
      </w:rPr>
      <w:tblPr/>
      <w:tcPr>
        <w:tcBorders>
          <w:top w:val="single" w:sz="8" w:space="0" w:color="8FB08C"/>
          <w:left w:val="single" w:sz="8" w:space="0" w:color="8FB08C"/>
          <w:bottom w:val="single" w:sz="18" w:space="0" w:color="8FB08C"/>
          <w:right w:val="single" w:sz="8" w:space="0" w:color="8FB08C"/>
          <w:insideH w:val="nil"/>
          <w:insideV w:val="single" w:sz="8" w:space="0" w:color="8FB08C"/>
        </w:tcBorders>
      </w:tcPr>
    </w:tblStylePr>
    <w:tblStylePr w:type="lastRow">
      <w:pPr>
        <w:spacing w:before="0" w:after="0" w:line="240" w:lineRule="auto"/>
      </w:pPr>
      <w:rPr>
        <w:rFonts w:ascii="Franklin Gothic Medium" w:eastAsia="Times New Roman" w:hAnsi="Franklin Gothic Medium" w:cs="Times New Roman"/>
        <w:b/>
        <w:bCs/>
      </w:rPr>
      <w:tblPr/>
      <w:tcPr>
        <w:tcBorders>
          <w:top w:val="double" w:sz="6" w:space="0" w:color="8FB08C"/>
          <w:left w:val="single" w:sz="8" w:space="0" w:color="8FB08C"/>
          <w:bottom w:val="single" w:sz="8" w:space="0" w:color="8FB08C"/>
          <w:right w:val="single" w:sz="8" w:space="0" w:color="8FB08C"/>
          <w:insideH w:val="nil"/>
          <w:insideV w:val="single" w:sz="8" w:space="0" w:color="8FB08C"/>
        </w:tcBorders>
      </w:tcPr>
    </w:tblStylePr>
    <w:tblStylePr w:type="firstCol">
      <w:rPr>
        <w:rFonts w:ascii="Franklin Gothic Medium" w:eastAsia="Times New Roman" w:hAnsi="Franklin Gothic Medium" w:cs="Times New Roman"/>
        <w:b/>
        <w:bCs/>
      </w:rPr>
    </w:tblStylePr>
    <w:tblStylePr w:type="lastCol">
      <w:rPr>
        <w:rFonts w:ascii="Franklin Gothic Medium" w:eastAsia="Times New Roman" w:hAnsi="Franklin Gothic Medium" w:cs="Times New Roman"/>
        <w:b/>
        <w:bCs/>
      </w:rPr>
      <w:tblPr/>
      <w:tcPr>
        <w:tcBorders>
          <w:top w:val="single" w:sz="8" w:space="0" w:color="8FB08C"/>
          <w:left w:val="single" w:sz="8" w:space="0" w:color="8FB08C"/>
          <w:bottom w:val="single" w:sz="8" w:space="0" w:color="8FB08C"/>
          <w:right w:val="single" w:sz="8" w:space="0" w:color="8FB08C"/>
        </w:tcBorders>
      </w:tcPr>
    </w:tblStylePr>
    <w:tblStylePr w:type="band1Vert">
      <w:tblPr/>
      <w:tcPr>
        <w:tcBorders>
          <w:top w:val="single" w:sz="8" w:space="0" w:color="8FB08C"/>
          <w:left w:val="single" w:sz="8" w:space="0" w:color="8FB08C"/>
          <w:bottom w:val="single" w:sz="8" w:space="0" w:color="8FB08C"/>
          <w:right w:val="single" w:sz="8" w:space="0" w:color="8FB08C"/>
        </w:tcBorders>
        <w:shd w:val="clear" w:color="auto" w:fill="E3EBE2"/>
      </w:tcPr>
    </w:tblStylePr>
    <w:tblStylePr w:type="band1Horz">
      <w:tblPr/>
      <w:tcPr>
        <w:tcBorders>
          <w:top w:val="single" w:sz="8" w:space="0" w:color="8FB08C"/>
          <w:left w:val="single" w:sz="8" w:space="0" w:color="8FB08C"/>
          <w:bottom w:val="single" w:sz="8" w:space="0" w:color="8FB08C"/>
          <w:right w:val="single" w:sz="8" w:space="0" w:color="8FB08C"/>
          <w:insideV w:val="single" w:sz="8" w:space="0" w:color="8FB08C"/>
        </w:tcBorders>
        <w:shd w:val="clear" w:color="auto" w:fill="E3EBE2"/>
      </w:tcPr>
    </w:tblStylePr>
    <w:tblStylePr w:type="band2Horz">
      <w:tblPr/>
      <w:tcPr>
        <w:tcBorders>
          <w:top w:val="single" w:sz="8" w:space="0" w:color="8FB08C"/>
          <w:left w:val="single" w:sz="8" w:space="0" w:color="8FB08C"/>
          <w:bottom w:val="single" w:sz="8" w:space="0" w:color="8FB08C"/>
          <w:right w:val="single" w:sz="8" w:space="0" w:color="8FB08C"/>
          <w:insideV w:val="single" w:sz="8" w:space="0" w:color="8FB08C"/>
        </w:tcBorders>
      </w:tcPr>
    </w:tblStylePr>
  </w:style>
  <w:style w:type="table" w:customStyle="1" w:styleId="LightShading-Accent61">
    <w:name w:val="Light Shading - Accent 61"/>
    <w:basedOn w:val="TableNormal"/>
    <w:next w:val="LightShading-Accent6"/>
    <w:uiPriority w:val="60"/>
    <w:rsid w:val="00797049"/>
    <w:pPr>
      <w:spacing w:after="0" w:line="240" w:lineRule="auto"/>
    </w:pPr>
    <w:rPr>
      <w:rFonts w:ascii="Calibri" w:eastAsia="Calibri" w:hAnsi="Calibri" w:cs="Times New Roman"/>
      <w:color w:val="393939"/>
      <w:sz w:val="20"/>
      <w:szCs w:val="20"/>
    </w:rPr>
    <w:tblPr>
      <w:tblStyleRowBandSize w:val="1"/>
      <w:tblStyleColBandSize w:val="1"/>
      <w:tblBorders>
        <w:top w:val="single" w:sz="8" w:space="0" w:color="4D4D4D"/>
        <w:bottom w:val="single" w:sz="8" w:space="0" w:color="4D4D4D"/>
      </w:tblBorders>
    </w:tblPr>
    <w:tblStylePr w:type="firstRow">
      <w:pPr>
        <w:spacing w:beforeLines="0" w:before="0" w:beforeAutospacing="0" w:afterLines="0" w:after="0" w:afterAutospacing="0" w:line="240" w:lineRule="auto"/>
      </w:pPr>
      <w:rPr>
        <w:b/>
        <w:bCs/>
      </w:rPr>
      <w:tblPr/>
      <w:tcPr>
        <w:tcBorders>
          <w:top w:val="single" w:sz="8" w:space="0" w:color="4D4D4D"/>
          <w:left w:val="nil"/>
          <w:bottom w:val="single" w:sz="8" w:space="0" w:color="4D4D4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D4D4D"/>
          <w:left w:val="nil"/>
          <w:bottom w:val="single" w:sz="8" w:space="0" w:color="4D4D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3D3"/>
      </w:tcPr>
    </w:tblStylePr>
    <w:tblStylePr w:type="band1Horz">
      <w:tblPr/>
      <w:tcPr>
        <w:tcBorders>
          <w:left w:val="nil"/>
          <w:right w:val="nil"/>
          <w:insideH w:val="nil"/>
          <w:insideV w:val="nil"/>
        </w:tcBorders>
        <w:shd w:val="clear" w:color="auto" w:fill="D3D3D3"/>
      </w:tcPr>
    </w:tblStylePr>
  </w:style>
  <w:style w:type="character" w:customStyle="1" w:styleId="ListBulletChar">
    <w:name w:val="List Bullet Char"/>
    <w:basedOn w:val="DefaultParagraphFont"/>
    <w:link w:val="ListBullet1"/>
    <w:uiPriority w:val="99"/>
    <w:locked/>
    <w:rsid w:val="00797049"/>
    <w:rPr>
      <w:rFonts w:ascii="Times New Roman" w:eastAsia="MS PGothic" w:hAnsi="Times New Roman"/>
      <w:color w:val="595959"/>
      <w:kern w:val="20"/>
      <w:sz w:val="20"/>
      <w:szCs w:val="20"/>
      <w:lang w:eastAsia="ja-JP"/>
    </w:rPr>
  </w:style>
  <w:style w:type="table" w:customStyle="1" w:styleId="GridTable6Colorful-Accent41">
    <w:name w:val="Grid Table 6 Colorful - Accent 41"/>
    <w:basedOn w:val="TableNormal"/>
    <w:next w:val="GridTable6Colorful-Accent43"/>
    <w:uiPriority w:val="51"/>
    <w:rsid w:val="00797049"/>
    <w:pPr>
      <w:spacing w:after="0" w:line="240" w:lineRule="auto"/>
    </w:pPr>
    <w:rPr>
      <w:color w:val="5F5F5F"/>
    </w:rPr>
    <w:tblPr>
      <w:tblStyleRowBandSize w:val="1"/>
      <w:tblStyleColBandSize w:val="1"/>
      <w:tblBorders>
        <w:top w:val="single" w:sz="4" w:space="0" w:color="B2B2B2"/>
        <w:left w:val="single" w:sz="4" w:space="0" w:color="B2B2B2"/>
        <w:bottom w:val="single" w:sz="4" w:space="0" w:color="B2B2B2"/>
        <w:right w:val="single" w:sz="4" w:space="0" w:color="B2B2B2"/>
        <w:insideH w:val="single" w:sz="4" w:space="0" w:color="B2B2B2"/>
        <w:insideV w:val="single" w:sz="4" w:space="0" w:color="B2B2B2"/>
      </w:tblBorders>
    </w:tblPr>
    <w:tblStylePr w:type="firstRow">
      <w:rPr>
        <w:b/>
        <w:bCs/>
      </w:rPr>
      <w:tblPr/>
      <w:tcPr>
        <w:tcBorders>
          <w:bottom w:val="single" w:sz="12" w:space="0" w:color="B2B2B2"/>
        </w:tcBorders>
      </w:tcPr>
    </w:tblStylePr>
    <w:tblStylePr w:type="lastRow">
      <w:rPr>
        <w:b/>
        <w:bCs/>
      </w:rPr>
      <w:tblPr/>
      <w:tcPr>
        <w:tcBorders>
          <w:top w:val="double" w:sz="4" w:space="0" w:color="B2B2B2"/>
        </w:tcBorders>
      </w:tcPr>
    </w:tblStylePr>
    <w:tblStylePr w:type="firstCol">
      <w:rPr>
        <w:b/>
        <w:bCs/>
      </w:rPr>
    </w:tblStylePr>
    <w:tblStylePr w:type="lastCol">
      <w:rPr>
        <w:b/>
        <w:bCs/>
      </w:rPr>
    </w:tblStylePr>
    <w:tblStylePr w:type="band1Vert">
      <w:tblPr/>
      <w:tcPr>
        <w:shd w:val="clear" w:color="auto" w:fill="E5E5E5"/>
      </w:tcPr>
    </w:tblStylePr>
    <w:tblStylePr w:type="band1Horz">
      <w:tblPr/>
      <w:tcPr>
        <w:shd w:val="clear" w:color="auto" w:fill="E5E5E5"/>
      </w:tcPr>
    </w:tblStylePr>
  </w:style>
  <w:style w:type="table" w:customStyle="1" w:styleId="LightShading-Accent611">
    <w:name w:val="Light Shading - Accent 611"/>
    <w:basedOn w:val="TableNormal"/>
    <w:next w:val="LightShading-Accent6"/>
    <w:uiPriority w:val="60"/>
    <w:rsid w:val="00797049"/>
    <w:pPr>
      <w:spacing w:after="0" w:line="240" w:lineRule="auto"/>
    </w:pPr>
    <w:rPr>
      <w:rFonts w:ascii="Calibri" w:eastAsia="Calibri" w:hAnsi="Calibri" w:cs="Times New Roman"/>
      <w:color w:val="E36C0A"/>
      <w:sz w:val="20"/>
      <w:szCs w:val="20"/>
    </w:rPr>
    <w:tblPr>
      <w:tblStyleRowBandSize w:val="1"/>
      <w:tblStyleColBandSize w:val="1"/>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GridTable6Colorful-Accent31">
    <w:name w:val="Grid Table 6 Colorful - Accent 31"/>
    <w:basedOn w:val="TableNormal"/>
    <w:next w:val="GridTable6Colorful-Accent33"/>
    <w:uiPriority w:val="51"/>
    <w:rsid w:val="00797049"/>
    <w:pPr>
      <w:spacing w:after="0" w:line="240" w:lineRule="auto"/>
    </w:pPr>
    <w:rPr>
      <w:rFonts w:ascii="Calibri" w:eastAsia="Calibri" w:hAnsi="Calibri" w:cs="Times New Roman"/>
      <w:color w:val="707070"/>
      <w:sz w:val="20"/>
      <w:szCs w:val="20"/>
    </w:rPr>
    <w:tblPr>
      <w:tblStyleRowBandSize w:val="1"/>
      <w:tblStyleColBandSize w:val="1"/>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Pr>
    <w:tblStylePr w:type="firstRow">
      <w:rPr>
        <w:b/>
        <w:bCs/>
      </w:rPr>
      <w:tblPr/>
      <w:tcPr>
        <w:tcBorders>
          <w:bottom w:val="single" w:sz="12" w:space="0" w:color="C0C0C0"/>
        </w:tcBorders>
      </w:tcPr>
    </w:tblStylePr>
    <w:tblStylePr w:type="lastRow">
      <w:rPr>
        <w:b/>
        <w:bCs/>
      </w:rPr>
      <w:tblPr/>
      <w:tcPr>
        <w:tcBorders>
          <w:top w:val="double" w:sz="4" w:space="0" w:color="C0C0C0"/>
        </w:tcBorders>
      </w:tcPr>
    </w:tblStylePr>
    <w:tblStylePr w:type="firstCol">
      <w:rPr>
        <w:b/>
        <w:bCs/>
      </w:rPr>
    </w:tblStylePr>
    <w:tblStylePr w:type="lastCol">
      <w:rPr>
        <w:b/>
        <w:bCs/>
      </w:rPr>
    </w:tblStylePr>
    <w:tblStylePr w:type="band1Vert">
      <w:tblPr/>
      <w:tcPr>
        <w:shd w:val="clear" w:color="auto" w:fill="EAEAEA"/>
      </w:tcPr>
    </w:tblStylePr>
    <w:tblStylePr w:type="band1Horz">
      <w:tblPr/>
      <w:tcPr>
        <w:shd w:val="clear" w:color="auto" w:fill="EAEAEA"/>
      </w:tcPr>
    </w:tblStylePr>
  </w:style>
  <w:style w:type="table" w:customStyle="1" w:styleId="GridTable4-Accent51">
    <w:name w:val="Grid Table 4 - Accent 51"/>
    <w:basedOn w:val="TableNormal"/>
    <w:next w:val="GridTable4-Accent53"/>
    <w:uiPriority w:val="49"/>
    <w:rsid w:val="00797049"/>
    <w:pPr>
      <w:spacing w:after="0" w:line="240" w:lineRule="auto"/>
    </w:pPr>
    <w:rPr>
      <w:rFonts w:ascii="Calibri" w:eastAsia="Calibri" w:hAnsi="Calibri" w:cs="Times New Roman"/>
      <w:sz w:val="20"/>
      <w:szCs w:val="20"/>
    </w:rPr>
    <w:tblPr>
      <w:tblStyleRowBandSize w:val="1"/>
      <w:tblStyleColBandSize w:val="1"/>
      <w:tblBorders>
        <w:top w:val="single" w:sz="4" w:space="0" w:color="9F9F9F"/>
        <w:left w:val="single" w:sz="4" w:space="0" w:color="9F9F9F"/>
        <w:bottom w:val="single" w:sz="4" w:space="0" w:color="9F9F9F"/>
        <w:right w:val="single" w:sz="4" w:space="0" w:color="9F9F9F"/>
        <w:insideH w:val="single" w:sz="4" w:space="0" w:color="9F9F9F"/>
        <w:insideV w:val="single" w:sz="4" w:space="0" w:color="9F9F9F"/>
      </w:tblBorders>
    </w:tblPr>
    <w:tblStylePr w:type="firstRow">
      <w:rPr>
        <w:b/>
        <w:bCs/>
        <w:color w:val="FFFFFF"/>
      </w:rPr>
      <w:tblPr/>
      <w:tcPr>
        <w:tcBorders>
          <w:top w:val="single" w:sz="4" w:space="0" w:color="5F5F5F"/>
          <w:left w:val="single" w:sz="4" w:space="0" w:color="5F5F5F"/>
          <w:bottom w:val="single" w:sz="4" w:space="0" w:color="5F5F5F"/>
          <w:right w:val="single" w:sz="4" w:space="0" w:color="5F5F5F"/>
          <w:insideH w:val="nil"/>
          <w:insideV w:val="nil"/>
        </w:tcBorders>
        <w:shd w:val="clear" w:color="auto" w:fill="5F5F5F"/>
      </w:tcPr>
    </w:tblStylePr>
    <w:tblStylePr w:type="lastRow">
      <w:rPr>
        <w:b/>
        <w:bCs/>
      </w:rPr>
      <w:tblPr/>
      <w:tcPr>
        <w:tcBorders>
          <w:top w:val="double" w:sz="4" w:space="0" w:color="5F5F5F"/>
        </w:tcBorders>
      </w:tcPr>
    </w:tblStylePr>
    <w:tblStylePr w:type="firstCol">
      <w:rPr>
        <w:b/>
        <w:bCs/>
      </w:rPr>
    </w:tblStylePr>
    <w:tblStylePr w:type="lastCol">
      <w:rPr>
        <w:b/>
        <w:bCs/>
      </w:rPr>
    </w:tblStylePr>
    <w:tblStylePr w:type="band1Vert">
      <w:tblPr/>
      <w:tcPr>
        <w:shd w:val="clear" w:color="auto" w:fill="DFDFDF"/>
      </w:tcPr>
    </w:tblStylePr>
    <w:tblStylePr w:type="band1Horz">
      <w:tblPr/>
      <w:tcPr>
        <w:shd w:val="clear" w:color="auto" w:fill="DFDFDF"/>
      </w:tcPr>
    </w:tblStylePr>
  </w:style>
  <w:style w:type="table" w:customStyle="1" w:styleId="GridTable5Dark-Accent51">
    <w:name w:val="Grid Table 5 Dark - Accent 51"/>
    <w:basedOn w:val="TableNormal"/>
    <w:next w:val="GridTable5Dark-Accent53"/>
    <w:uiPriority w:val="50"/>
    <w:rsid w:val="00797049"/>
    <w:pPr>
      <w:spacing w:after="0" w:line="240" w:lineRule="auto"/>
    </w:pPr>
    <w:rPr>
      <w:rFonts w:ascii="Calibri" w:eastAsia="Calibri" w:hAnsi="Calibri" w:cs="Times New Roman"/>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FDFDF"/>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F5F5F"/>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F5F5F"/>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F5F5F"/>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F5F5F"/>
      </w:tcPr>
    </w:tblStylePr>
    <w:tblStylePr w:type="band1Vert">
      <w:tblPr/>
      <w:tcPr>
        <w:shd w:val="clear" w:color="auto" w:fill="BFBFBF"/>
      </w:tcPr>
    </w:tblStylePr>
    <w:tblStylePr w:type="band1Horz">
      <w:tblPr/>
      <w:tcPr>
        <w:shd w:val="clear" w:color="auto" w:fill="BFBFBF"/>
      </w:tcPr>
    </w:tblStylePr>
  </w:style>
  <w:style w:type="table" w:customStyle="1" w:styleId="a">
    <w:name w:val="ФС"/>
    <w:basedOn w:val="TableNormal"/>
    <w:uiPriority w:val="99"/>
    <w:rsid w:val="00797049"/>
    <w:pPr>
      <w:spacing w:after="0" w:line="240" w:lineRule="auto"/>
    </w:pPr>
    <w:rPr>
      <w:rFonts w:ascii="Calibri" w:eastAsia="Calibri" w:hAnsi="Calibri" w:cs="Times New Roman"/>
      <w:sz w:val="20"/>
      <w:szCs w:val="20"/>
    </w:rPr>
    <w:tblPr/>
  </w:style>
  <w:style w:type="table" w:customStyle="1" w:styleId="ListTable6Colorful-Accent31">
    <w:name w:val="List Table 6 Colorful - Accent 31"/>
    <w:basedOn w:val="TableNormal"/>
    <w:next w:val="ListTable6Colorful-Accent33"/>
    <w:uiPriority w:val="51"/>
    <w:rsid w:val="00797049"/>
    <w:pPr>
      <w:spacing w:after="0" w:line="240" w:lineRule="auto"/>
    </w:pPr>
    <w:rPr>
      <w:rFonts w:ascii="Calibri" w:eastAsia="Calibri" w:hAnsi="Calibri" w:cs="Times New Roman"/>
      <w:color w:val="707070"/>
      <w:sz w:val="20"/>
      <w:szCs w:val="20"/>
    </w:rPr>
    <w:tblPr>
      <w:tblStyleRowBandSize w:val="1"/>
      <w:tblStyleColBandSize w:val="1"/>
      <w:tblBorders>
        <w:top w:val="single" w:sz="4" w:space="0" w:color="969696"/>
        <w:bottom w:val="single" w:sz="4" w:space="0" w:color="969696"/>
      </w:tblBorders>
    </w:tblPr>
    <w:tblStylePr w:type="firstRow">
      <w:rPr>
        <w:b/>
        <w:bCs/>
      </w:rPr>
      <w:tblPr/>
      <w:tcPr>
        <w:tcBorders>
          <w:bottom w:val="single" w:sz="4" w:space="0" w:color="969696"/>
        </w:tcBorders>
      </w:tcPr>
    </w:tblStylePr>
    <w:tblStylePr w:type="lastRow">
      <w:rPr>
        <w:b/>
        <w:bCs/>
      </w:rPr>
      <w:tblPr/>
      <w:tcPr>
        <w:tcBorders>
          <w:top w:val="double" w:sz="4" w:space="0" w:color="969696"/>
        </w:tcBorders>
      </w:tcPr>
    </w:tblStylePr>
    <w:tblStylePr w:type="firstCol">
      <w:rPr>
        <w:b/>
        <w:bCs/>
      </w:rPr>
    </w:tblStylePr>
    <w:tblStylePr w:type="lastCol">
      <w:rPr>
        <w:b/>
        <w:bCs/>
      </w:rPr>
    </w:tblStylePr>
    <w:tblStylePr w:type="band1Vert">
      <w:tblPr/>
      <w:tcPr>
        <w:shd w:val="clear" w:color="auto" w:fill="EAEAEA"/>
      </w:tcPr>
    </w:tblStylePr>
    <w:tblStylePr w:type="band1Horz">
      <w:tblPr/>
      <w:tcPr>
        <w:shd w:val="clear" w:color="auto" w:fill="EAEAEA"/>
      </w:tcPr>
    </w:tblStylePr>
  </w:style>
  <w:style w:type="table" w:customStyle="1" w:styleId="GridTable1Light-Accent11">
    <w:name w:val="Grid Table 1 Light - Accent 11"/>
    <w:basedOn w:val="TableNormal"/>
    <w:next w:val="GridTable1Light-Accent13"/>
    <w:uiPriority w:val="46"/>
    <w:rsid w:val="00797049"/>
    <w:pPr>
      <w:spacing w:after="0" w:line="240" w:lineRule="auto"/>
    </w:pPr>
    <w:tblPr>
      <w:tblStyleRowBandSize w:val="1"/>
      <w:tblStyleColBandSize w:val="1"/>
      <w:tblBorders>
        <w:top w:val="single" w:sz="4" w:space="0" w:color="F8B4A6"/>
        <w:left w:val="single" w:sz="4" w:space="0" w:color="F8B4A6"/>
        <w:bottom w:val="single" w:sz="4" w:space="0" w:color="F8B4A6"/>
        <w:right w:val="single" w:sz="4" w:space="0" w:color="F8B4A6"/>
        <w:insideH w:val="single" w:sz="4" w:space="0" w:color="F8B4A6"/>
        <w:insideV w:val="single" w:sz="4" w:space="0" w:color="F8B4A6"/>
      </w:tblBorders>
    </w:tblPr>
    <w:tblStylePr w:type="firstRow">
      <w:rPr>
        <w:b/>
        <w:bCs/>
      </w:rPr>
      <w:tblPr/>
      <w:tcPr>
        <w:tcBorders>
          <w:bottom w:val="single" w:sz="12" w:space="0" w:color="F58F7A"/>
        </w:tcBorders>
      </w:tcPr>
    </w:tblStylePr>
    <w:tblStylePr w:type="lastRow">
      <w:rPr>
        <w:b/>
        <w:bCs/>
      </w:rPr>
      <w:tblPr/>
      <w:tcPr>
        <w:tcBorders>
          <w:top w:val="double" w:sz="2" w:space="0" w:color="F58F7A"/>
        </w:tcBorders>
      </w:tcPr>
    </w:tblStylePr>
    <w:tblStylePr w:type="firstCol">
      <w:rPr>
        <w:b/>
        <w:bCs/>
      </w:rPr>
    </w:tblStylePr>
    <w:tblStylePr w:type="lastCol">
      <w:rPr>
        <w:b/>
        <w:bCs/>
      </w:rPr>
    </w:tblStylePr>
  </w:style>
  <w:style w:type="table" w:customStyle="1" w:styleId="ListTable1Light-Accent11">
    <w:name w:val="List Table 1 Light - Accent 11"/>
    <w:basedOn w:val="TableNormal"/>
    <w:next w:val="ListTable1Light-Accent13"/>
    <w:uiPriority w:val="46"/>
    <w:rsid w:val="00797049"/>
    <w:pPr>
      <w:spacing w:after="0" w:line="240" w:lineRule="auto"/>
    </w:pPr>
    <w:tblPr>
      <w:tblStyleRowBandSize w:val="1"/>
      <w:tblStyleColBandSize w:val="1"/>
    </w:tblPr>
    <w:tblStylePr w:type="firstRow">
      <w:rPr>
        <w:b/>
        <w:bCs/>
      </w:rPr>
      <w:tblPr/>
      <w:tcPr>
        <w:tcBorders>
          <w:bottom w:val="single" w:sz="4" w:space="0" w:color="F58F7A"/>
        </w:tcBorders>
      </w:tcPr>
    </w:tblStylePr>
    <w:tblStylePr w:type="lastRow">
      <w:rPr>
        <w:b/>
        <w:bCs/>
      </w:rPr>
      <w:tblPr/>
      <w:tcPr>
        <w:tcBorders>
          <w:top w:val="single" w:sz="4" w:space="0" w:color="F58F7A"/>
        </w:tcBorders>
      </w:tcPr>
    </w:tblStylePr>
    <w:tblStylePr w:type="firstCol">
      <w:rPr>
        <w:b/>
        <w:bCs/>
      </w:rPr>
    </w:tblStylePr>
    <w:tblStylePr w:type="lastCol">
      <w:rPr>
        <w:b/>
        <w:bCs/>
      </w:rPr>
    </w:tblStylePr>
    <w:tblStylePr w:type="band1Vert">
      <w:tblPr/>
      <w:tcPr>
        <w:shd w:val="clear" w:color="auto" w:fill="FBD9D2"/>
      </w:tcPr>
    </w:tblStylePr>
    <w:tblStylePr w:type="band1Horz">
      <w:tblPr/>
      <w:tcPr>
        <w:shd w:val="clear" w:color="auto" w:fill="FBD9D2"/>
      </w:tcPr>
    </w:tblStylePr>
  </w:style>
  <w:style w:type="table" w:customStyle="1" w:styleId="ListTable2-Accent11">
    <w:name w:val="List Table 2 - Accent 11"/>
    <w:basedOn w:val="TableNormal"/>
    <w:next w:val="ListTable2-Accent13"/>
    <w:uiPriority w:val="47"/>
    <w:rsid w:val="00797049"/>
    <w:pPr>
      <w:spacing w:after="0" w:line="240" w:lineRule="auto"/>
    </w:pPr>
    <w:tblPr>
      <w:tblStyleRowBandSize w:val="1"/>
      <w:tblStyleColBandSize w:val="1"/>
      <w:tblBorders>
        <w:top w:val="single" w:sz="4" w:space="0" w:color="F58F7A"/>
        <w:bottom w:val="single" w:sz="4" w:space="0" w:color="F58F7A"/>
        <w:insideH w:val="single" w:sz="4" w:space="0" w:color="F58F7A"/>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D9D2"/>
      </w:tcPr>
    </w:tblStylePr>
    <w:tblStylePr w:type="band1Horz">
      <w:tblPr/>
      <w:tcPr>
        <w:shd w:val="clear" w:color="auto" w:fill="FBD9D2"/>
      </w:tcPr>
    </w:tblStylePr>
  </w:style>
  <w:style w:type="table" w:customStyle="1" w:styleId="ListTable2-Accent51">
    <w:name w:val="List Table 2 - Accent 51"/>
    <w:basedOn w:val="TableNormal"/>
    <w:next w:val="ListTable2-Accent53"/>
    <w:uiPriority w:val="47"/>
    <w:rsid w:val="00797049"/>
    <w:pPr>
      <w:spacing w:after="0" w:line="240" w:lineRule="auto"/>
    </w:pPr>
    <w:tblPr>
      <w:tblStyleRowBandSize w:val="1"/>
      <w:tblStyleColBandSize w:val="1"/>
      <w:tblBorders>
        <w:top w:val="single" w:sz="4" w:space="0" w:color="9F9F9F"/>
        <w:bottom w:val="single" w:sz="4" w:space="0" w:color="9F9F9F"/>
        <w:insideH w:val="single" w:sz="4" w:space="0" w:color="9F9F9F"/>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FDFDF"/>
      </w:tcPr>
    </w:tblStylePr>
    <w:tblStylePr w:type="band1Horz">
      <w:tblPr/>
      <w:tcPr>
        <w:shd w:val="clear" w:color="auto" w:fill="DFDFDF"/>
      </w:tcPr>
    </w:tblStylePr>
  </w:style>
  <w:style w:type="table" w:customStyle="1" w:styleId="GridTable2-Accent51">
    <w:name w:val="Grid Table 2 - Accent 51"/>
    <w:basedOn w:val="TableNormal"/>
    <w:next w:val="GridTable2-Accent53"/>
    <w:uiPriority w:val="47"/>
    <w:rsid w:val="00797049"/>
    <w:pPr>
      <w:spacing w:after="0" w:line="240" w:lineRule="auto"/>
    </w:pPr>
    <w:tblPr>
      <w:tblStyleRowBandSize w:val="1"/>
      <w:tblStyleColBandSize w:val="1"/>
      <w:tblBorders>
        <w:top w:val="single" w:sz="2" w:space="0" w:color="9F9F9F"/>
        <w:bottom w:val="single" w:sz="2" w:space="0" w:color="9F9F9F"/>
        <w:insideH w:val="single" w:sz="2" w:space="0" w:color="9F9F9F"/>
        <w:insideV w:val="single" w:sz="2" w:space="0" w:color="9F9F9F"/>
      </w:tblBorders>
    </w:tblPr>
    <w:tblStylePr w:type="firstRow">
      <w:rPr>
        <w:b/>
        <w:bCs/>
      </w:rPr>
      <w:tblPr/>
      <w:tcPr>
        <w:tcBorders>
          <w:top w:val="nil"/>
          <w:bottom w:val="single" w:sz="12" w:space="0" w:color="9F9F9F"/>
          <w:insideH w:val="nil"/>
          <w:insideV w:val="nil"/>
        </w:tcBorders>
        <w:shd w:val="clear" w:color="auto" w:fill="FFFFFF"/>
      </w:tcPr>
    </w:tblStylePr>
    <w:tblStylePr w:type="lastRow">
      <w:rPr>
        <w:b/>
        <w:bCs/>
      </w:rPr>
      <w:tblPr/>
      <w:tcPr>
        <w:tcBorders>
          <w:top w:val="double" w:sz="2" w:space="0" w:color="9F9F9F"/>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FDFDF"/>
      </w:tcPr>
    </w:tblStylePr>
    <w:tblStylePr w:type="band1Horz">
      <w:tblPr/>
      <w:tcPr>
        <w:shd w:val="clear" w:color="auto" w:fill="DFDFDF"/>
      </w:tcPr>
    </w:tblStylePr>
  </w:style>
  <w:style w:type="table" w:customStyle="1" w:styleId="TableGrid2">
    <w:name w:val="Table Grid2"/>
    <w:basedOn w:val="TableNormal"/>
    <w:next w:val="TableGrid"/>
    <w:uiPriority w:val="59"/>
    <w:rsid w:val="00797049"/>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LightShading-Accent124">
    <w:name w:val="Light Shading - Accent 124"/>
    <w:basedOn w:val="TableNormal"/>
    <w:uiPriority w:val="60"/>
    <w:rsid w:val="00797049"/>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GridTable6Colorful-Accent512">
    <w:name w:val="Grid Table 6 Colorful - Accent 512"/>
    <w:basedOn w:val="TableNormal"/>
    <w:next w:val="GridTable6Colorful-Accent54"/>
    <w:uiPriority w:val="51"/>
    <w:rsid w:val="00797049"/>
    <w:pPr>
      <w:spacing w:after="0" w:line="240" w:lineRule="auto"/>
    </w:pPr>
    <w:rPr>
      <w:rFonts w:ascii="Calibri" w:eastAsia="Calibri" w:hAnsi="Calibri" w:cs="Times New Roman"/>
      <w:color w:val="C19300"/>
      <w:sz w:val="20"/>
      <w:szCs w:val="20"/>
    </w:rPr>
    <w:tblPr>
      <w:tblStyleRowBandSize w:val="1"/>
      <w:tblStyleColBandSize w:val="1"/>
      <w:tblBorders>
        <w:top w:val="single" w:sz="4" w:space="0" w:color="FEDA69"/>
        <w:left w:val="single" w:sz="4" w:space="0" w:color="FEDA69"/>
        <w:bottom w:val="single" w:sz="4" w:space="0" w:color="FEDA69"/>
        <w:right w:val="single" w:sz="4" w:space="0" w:color="FEDA69"/>
        <w:insideH w:val="single" w:sz="4" w:space="0" w:color="FEDA69"/>
        <w:insideV w:val="single" w:sz="4" w:space="0" w:color="FEDA69"/>
      </w:tblBorders>
    </w:tblPr>
    <w:tblStylePr w:type="firstRow">
      <w:rPr>
        <w:b/>
        <w:bCs/>
      </w:rPr>
      <w:tblPr/>
      <w:tcPr>
        <w:tcBorders>
          <w:bottom w:val="single" w:sz="12" w:space="0" w:color="FEDA69"/>
        </w:tcBorders>
      </w:tcPr>
    </w:tblStylePr>
    <w:tblStylePr w:type="lastRow">
      <w:rPr>
        <w:b/>
        <w:bCs/>
      </w:rPr>
      <w:tblPr/>
      <w:tcPr>
        <w:tcBorders>
          <w:top w:val="double" w:sz="4" w:space="0" w:color="FEDA69"/>
        </w:tcBorders>
      </w:tcPr>
    </w:tblStylePr>
    <w:tblStylePr w:type="firstCol">
      <w:rPr>
        <w:b/>
        <w:bCs/>
      </w:rPr>
    </w:tblStylePr>
    <w:tblStylePr w:type="lastCol">
      <w:rPr>
        <w:b/>
        <w:bCs/>
      </w:rPr>
    </w:tblStylePr>
    <w:tblStylePr w:type="band1Vert">
      <w:tblPr/>
      <w:tcPr>
        <w:shd w:val="clear" w:color="auto" w:fill="FEF2CD"/>
      </w:tcPr>
    </w:tblStylePr>
    <w:tblStylePr w:type="band1Horz">
      <w:tblPr/>
      <w:tcPr>
        <w:shd w:val="clear" w:color="auto" w:fill="FEF2CD"/>
      </w:tcPr>
    </w:tblStylePr>
  </w:style>
  <w:style w:type="table" w:customStyle="1" w:styleId="GridTable6Colorful-Accent513">
    <w:name w:val="Grid Table 6 Colorful - Accent 513"/>
    <w:basedOn w:val="TableNormal"/>
    <w:uiPriority w:val="51"/>
    <w:rsid w:val="00797049"/>
    <w:pPr>
      <w:spacing w:after="0" w:line="264" w:lineRule="auto"/>
    </w:pPr>
    <w:rPr>
      <w:rFonts w:ascii="Calibri" w:eastAsia="Calibri" w:hAnsi="Calibri" w:cs="Times New Roman"/>
      <w:color w:val="474747"/>
      <w:sz w:val="20"/>
      <w:szCs w:val="20"/>
    </w:rPr>
    <w:tblPr>
      <w:tblStyleRowBandSize w:val="1"/>
      <w:tblStyleColBandSize w:val="1"/>
      <w:tblBorders>
        <w:top w:val="single" w:sz="4" w:space="0" w:color="9F9F9F"/>
        <w:left w:val="single" w:sz="4" w:space="0" w:color="9F9F9F"/>
        <w:bottom w:val="single" w:sz="4" w:space="0" w:color="9F9F9F"/>
        <w:right w:val="single" w:sz="4" w:space="0" w:color="9F9F9F"/>
        <w:insideH w:val="single" w:sz="4" w:space="0" w:color="9F9F9F"/>
        <w:insideV w:val="single" w:sz="4" w:space="0" w:color="9F9F9F"/>
      </w:tblBorders>
    </w:tblPr>
    <w:tblStylePr w:type="firstRow">
      <w:rPr>
        <w:b/>
        <w:bCs/>
      </w:rPr>
      <w:tblPr/>
      <w:tcPr>
        <w:tcBorders>
          <w:bottom w:val="single" w:sz="12" w:space="0" w:color="9F9F9F"/>
        </w:tcBorders>
      </w:tcPr>
    </w:tblStylePr>
    <w:tblStylePr w:type="lastRow">
      <w:rPr>
        <w:b/>
        <w:bCs/>
      </w:rPr>
      <w:tblPr/>
      <w:tcPr>
        <w:tcBorders>
          <w:top w:val="double" w:sz="4" w:space="0" w:color="9F9F9F"/>
        </w:tcBorders>
      </w:tcPr>
    </w:tblStylePr>
    <w:tblStylePr w:type="firstCol">
      <w:rPr>
        <w:b/>
        <w:bCs/>
      </w:rPr>
    </w:tblStylePr>
    <w:tblStylePr w:type="lastCol">
      <w:rPr>
        <w:b/>
        <w:bCs/>
      </w:rPr>
    </w:tblStylePr>
    <w:tblStylePr w:type="band1Vert">
      <w:tblPr/>
      <w:tcPr>
        <w:shd w:val="clear" w:color="auto" w:fill="DFDFDF"/>
      </w:tcPr>
    </w:tblStylePr>
    <w:tblStylePr w:type="band1Horz">
      <w:tblPr/>
      <w:tcPr>
        <w:shd w:val="clear" w:color="auto" w:fill="DFDFDF"/>
      </w:tcPr>
    </w:tblStylePr>
  </w:style>
  <w:style w:type="numbering" w:customStyle="1" w:styleId="NoList3">
    <w:name w:val="No List3"/>
    <w:next w:val="NoList"/>
    <w:uiPriority w:val="99"/>
    <w:semiHidden/>
    <w:unhideWhenUsed/>
    <w:rsid w:val="00797049"/>
  </w:style>
  <w:style w:type="table" w:customStyle="1" w:styleId="TableGrid3">
    <w:name w:val="Table Grid3"/>
    <w:basedOn w:val="TableNormal"/>
    <w:next w:val="TableGrid"/>
    <w:uiPriority w:val="59"/>
    <w:rsid w:val="00797049"/>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FinancialTable1">
    <w:name w:val="Financial Table1"/>
    <w:basedOn w:val="TableNormal"/>
    <w:uiPriority w:val="99"/>
    <w:rsid w:val="00797049"/>
    <w:pPr>
      <w:spacing w:before="60" w:after="60" w:line="264" w:lineRule="auto"/>
    </w:pPr>
    <w:rPr>
      <w:rFonts w:eastAsia="MS PGothic"/>
      <w:sz w:val="20"/>
      <w:szCs w:val="20"/>
      <w:lang w:eastAsia="ja-JP"/>
    </w:rPr>
    <w:tblPr>
      <w:tblBorders>
        <w:top w:val="single" w:sz="8" w:space="0" w:color="000000"/>
        <w:left w:val="single" w:sz="8" w:space="0" w:color="000000"/>
        <w:bottom w:val="single" w:sz="24" w:space="0" w:color="000000"/>
        <w:right w:val="single" w:sz="8" w:space="0" w:color="000000"/>
        <w:insideH w:val="single" w:sz="8" w:space="0" w:color="000000"/>
        <w:insideV w:val="single" w:sz="8" w:space="0" w:color="000000"/>
      </w:tblBorders>
      <w:tblCellMar>
        <w:left w:w="72" w:type="dxa"/>
        <w:right w:w="72" w:type="dxa"/>
      </w:tblCellMar>
    </w:tblPr>
    <w:tblStylePr w:type="firstRow">
      <w:pPr>
        <w:wordWrap/>
        <w:spacing w:beforeLines="0" w:before="40" w:beforeAutospacing="0" w:afterLines="0" w:after="40" w:afterAutospacing="0"/>
        <w:jc w:val="left"/>
      </w:pPr>
      <w:rPr>
        <w:rFonts w:ascii="Arial" w:hAnsi="Arial"/>
        <w:b/>
        <w:i w:val="0"/>
        <w:caps w:val="0"/>
        <w:smallCaps w:val="0"/>
        <w:color w:val="000000"/>
        <w:sz w:val="22"/>
      </w:rPr>
    </w:tblStylePr>
    <w:tblStylePr w:type="firstCol">
      <w:rPr>
        <w:b/>
        <w:color w:val="000000"/>
      </w:rPr>
    </w:tblStylePr>
  </w:style>
  <w:style w:type="table" w:customStyle="1" w:styleId="GridTable6Colorful-Accent53">
    <w:name w:val="Grid Table 6 Colorful - Accent 53"/>
    <w:basedOn w:val="TableNormal"/>
    <w:next w:val="GridTable6Colorful-Accent54"/>
    <w:uiPriority w:val="51"/>
    <w:rsid w:val="00797049"/>
    <w:pPr>
      <w:spacing w:after="0" w:line="264" w:lineRule="auto"/>
    </w:pPr>
    <w:rPr>
      <w:rFonts w:ascii="Calibri" w:eastAsia="Calibri" w:hAnsi="Calibri" w:cs="Times New Roman"/>
      <w:color w:val="474747"/>
      <w:sz w:val="20"/>
      <w:szCs w:val="20"/>
    </w:rPr>
    <w:tblPr>
      <w:tblStyleRowBandSize w:val="1"/>
      <w:tblStyleColBandSize w:val="1"/>
      <w:tblBorders>
        <w:top w:val="single" w:sz="4" w:space="0" w:color="9F9F9F"/>
        <w:left w:val="single" w:sz="4" w:space="0" w:color="9F9F9F"/>
        <w:bottom w:val="single" w:sz="4" w:space="0" w:color="9F9F9F"/>
        <w:right w:val="single" w:sz="4" w:space="0" w:color="9F9F9F"/>
        <w:insideH w:val="single" w:sz="4" w:space="0" w:color="9F9F9F"/>
        <w:insideV w:val="single" w:sz="4" w:space="0" w:color="9F9F9F"/>
      </w:tblBorders>
    </w:tblPr>
    <w:tblStylePr w:type="firstRow">
      <w:rPr>
        <w:b/>
        <w:bCs/>
      </w:rPr>
      <w:tblPr/>
      <w:tcPr>
        <w:tcBorders>
          <w:bottom w:val="single" w:sz="12" w:space="0" w:color="9F9F9F"/>
        </w:tcBorders>
      </w:tcPr>
    </w:tblStylePr>
    <w:tblStylePr w:type="lastRow">
      <w:rPr>
        <w:b/>
        <w:bCs/>
      </w:rPr>
      <w:tblPr/>
      <w:tcPr>
        <w:tcBorders>
          <w:top w:val="double" w:sz="4" w:space="0" w:color="9F9F9F"/>
        </w:tcBorders>
      </w:tcPr>
    </w:tblStylePr>
    <w:tblStylePr w:type="firstCol">
      <w:rPr>
        <w:b/>
        <w:bCs/>
      </w:rPr>
    </w:tblStylePr>
    <w:tblStylePr w:type="lastCol">
      <w:rPr>
        <w:b/>
        <w:bCs/>
      </w:rPr>
    </w:tblStylePr>
    <w:tblStylePr w:type="band1Vert">
      <w:tblPr/>
      <w:tcPr>
        <w:shd w:val="clear" w:color="auto" w:fill="DFDFDF"/>
      </w:tcPr>
    </w:tblStylePr>
    <w:tblStylePr w:type="band1Horz">
      <w:tblPr/>
      <w:tcPr>
        <w:shd w:val="clear" w:color="auto" w:fill="DFDFDF"/>
      </w:tcPr>
    </w:tblStylePr>
  </w:style>
  <w:style w:type="table" w:customStyle="1" w:styleId="LightShading-Accent125">
    <w:name w:val="Light Shading - Accent 125"/>
    <w:basedOn w:val="TableNormal"/>
    <w:uiPriority w:val="60"/>
    <w:rsid w:val="00797049"/>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GridTable6Colorful-Accent514">
    <w:name w:val="Grid Table 6 Colorful - Accent 514"/>
    <w:basedOn w:val="TableNormal"/>
    <w:uiPriority w:val="51"/>
    <w:rsid w:val="00797049"/>
    <w:pPr>
      <w:spacing w:after="0" w:line="264" w:lineRule="auto"/>
    </w:pPr>
    <w:rPr>
      <w:rFonts w:ascii="Calibri" w:eastAsia="Calibri" w:hAnsi="Calibri" w:cs="Times New Roman"/>
      <w:color w:val="387AAA"/>
      <w:sz w:val="20"/>
      <w:szCs w:val="20"/>
    </w:rPr>
    <w:tblPr>
      <w:tblStyleRowBandSize w:val="1"/>
      <w:tblStyleColBandSize w:val="1"/>
      <w:tblBorders>
        <w:top w:val="single" w:sz="4" w:space="0" w:color="A1C5E0"/>
        <w:left w:val="single" w:sz="4" w:space="0" w:color="A1C5E0"/>
        <w:bottom w:val="single" w:sz="4" w:space="0" w:color="A1C5E0"/>
        <w:right w:val="single" w:sz="4" w:space="0" w:color="A1C5E0"/>
        <w:insideH w:val="single" w:sz="4" w:space="0" w:color="A1C5E0"/>
        <w:insideV w:val="single" w:sz="4" w:space="0" w:color="A1C5E0"/>
      </w:tblBorders>
    </w:tblPr>
    <w:tblStylePr w:type="firstRow">
      <w:rPr>
        <w:b/>
        <w:bCs/>
      </w:rPr>
      <w:tblPr/>
      <w:tcPr>
        <w:tcBorders>
          <w:bottom w:val="single" w:sz="12" w:space="0" w:color="A1C5E0"/>
        </w:tcBorders>
      </w:tcPr>
    </w:tblStylePr>
    <w:tblStylePr w:type="lastRow">
      <w:rPr>
        <w:b/>
        <w:bCs/>
      </w:rPr>
      <w:tblPr/>
      <w:tcPr>
        <w:tcBorders>
          <w:top w:val="double" w:sz="4" w:space="0" w:color="A1C5E0"/>
        </w:tcBorders>
      </w:tcPr>
    </w:tblStylePr>
    <w:tblStylePr w:type="firstCol">
      <w:rPr>
        <w:b/>
        <w:bCs/>
      </w:rPr>
    </w:tblStylePr>
    <w:tblStylePr w:type="lastCol">
      <w:rPr>
        <w:b/>
        <w:bCs/>
      </w:rPr>
    </w:tblStylePr>
    <w:tblStylePr w:type="band1Vert">
      <w:tblPr/>
      <w:tcPr>
        <w:shd w:val="clear" w:color="auto" w:fill="DFEBF4"/>
      </w:tcPr>
    </w:tblStylePr>
    <w:tblStylePr w:type="band1Horz">
      <w:tblPr/>
      <w:tcPr>
        <w:shd w:val="clear" w:color="auto" w:fill="DFEBF4"/>
      </w:tcPr>
    </w:tblStylePr>
  </w:style>
  <w:style w:type="table" w:customStyle="1" w:styleId="LightShading-Accent1211">
    <w:name w:val="Light Shading - Accent 1211"/>
    <w:basedOn w:val="TableNormal"/>
    <w:uiPriority w:val="60"/>
    <w:rsid w:val="00797049"/>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GridTable6Colorful-Accent5111">
    <w:name w:val="Grid Table 6 Colorful - Accent 5111"/>
    <w:basedOn w:val="TableNormal"/>
    <w:uiPriority w:val="51"/>
    <w:rsid w:val="00797049"/>
    <w:pPr>
      <w:spacing w:after="0" w:line="264" w:lineRule="auto"/>
    </w:pPr>
    <w:rPr>
      <w:rFonts w:ascii="Calibri" w:eastAsia="Calibri" w:hAnsi="Calibri" w:cs="Times New Roman"/>
      <w:color w:val="387AAA"/>
      <w:sz w:val="20"/>
      <w:szCs w:val="20"/>
    </w:rPr>
    <w:tblPr>
      <w:tblStyleRowBandSize w:val="1"/>
      <w:tblStyleColBandSize w:val="1"/>
      <w:tblBorders>
        <w:top w:val="single" w:sz="4" w:space="0" w:color="A1C5E0"/>
        <w:left w:val="single" w:sz="4" w:space="0" w:color="A1C5E0"/>
        <w:bottom w:val="single" w:sz="4" w:space="0" w:color="A1C5E0"/>
        <w:right w:val="single" w:sz="4" w:space="0" w:color="A1C5E0"/>
        <w:insideH w:val="single" w:sz="4" w:space="0" w:color="A1C5E0"/>
        <w:insideV w:val="single" w:sz="4" w:space="0" w:color="A1C5E0"/>
      </w:tblBorders>
    </w:tblPr>
    <w:tblStylePr w:type="firstRow">
      <w:rPr>
        <w:b/>
        <w:bCs/>
      </w:rPr>
      <w:tblPr/>
      <w:tcPr>
        <w:tcBorders>
          <w:bottom w:val="single" w:sz="12" w:space="0" w:color="A1C5E0"/>
        </w:tcBorders>
      </w:tcPr>
    </w:tblStylePr>
    <w:tblStylePr w:type="lastRow">
      <w:rPr>
        <w:b/>
        <w:bCs/>
      </w:rPr>
      <w:tblPr/>
      <w:tcPr>
        <w:tcBorders>
          <w:top w:val="double" w:sz="4" w:space="0" w:color="A1C5E0"/>
        </w:tcBorders>
      </w:tcPr>
    </w:tblStylePr>
    <w:tblStylePr w:type="firstCol">
      <w:rPr>
        <w:b/>
        <w:bCs/>
      </w:rPr>
    </w:tblStylePr>
    <w:tblStylePr w:type="lastCol">
      <w:rPr>
        <w:b/>
        <w:bCs/>
      </w:rPr>
    </w:tblStylePr>
    <w:tblStylePr w:type="band1Vert">
      <w:tblPr/>
      <w:tcPr>
        <w:shd w:val="clear" w:color="auto" w:fill="DFEBF4"/>
      </w:tcPr>
    </w:tblStylePr>
    <w:tblStylePr w:type="band1Horz">
      <w:tblPr/>
      <w:tcPr>
        <w:shd w:val="clear" w:color="auto" w:fill="DFEBF4"/>
      </w:tcPr>
    </w:tblStylePr>
  </w:style>
  <w:style w:type="table" w:customStyle="1" w:styleId="GridTable6Colorful-Accent12">
    <w:name w:val="Grid Table 6 Colorful - Accent 12"/>
    <w:basedOn w:val="TableNormal"/>
    <w:next w:val="GridTable6Colorful-Accent13"/>
    <w:uiPriority w:val="51"/>
    <w:rsid w:val="00797049"/>
    <w:pPr>
      <w:spacing w:after="0" w:line="264" w:lineRule="auto"/>
    </w:pPr>
    <w:rPr>
      <w:rFonts w:eastAsia="MS PGothic"/>
      <w:color w:val="BF2B0E"/>
      <w:sz w:val="20"/>
      <w:szCs w:val="20"/>
      <w:lang w:eastAsia="ja-JP"/>
    </w:rPr>
    <w:tblPr>
      <w:tblStyleRowBandSize w:val="1"/>
      <w:tblStyleColBandSize w:val="1"/>
      <w:tblBorders>
        <w:top w:val="single" w:sz="4" w:space="0" w:color="F58F7A"/>
        <w:left w:val="single" w:sz="4" w:space="0" w:color="F58F7A"/>
        <w:bottom w:val="single" w:sz="4" w:space="0" w:color="F58F7A"/>
        <w:right w:val="single" w:sz="4" w:space="0" w:color="F58F7A"/>
        <w:insideH w:val="single" w:sz="4" w:space="0" w:color="F58F7A"/>
        <w:insideV w:val="single" w:sz="4" w:space="0" w:color="F58F7A"/>
      </w:tblBorders>
    </w:tblPr>
    <w:tblStylePr w:type="firstRow">
      <w:rPr>
        <w:b/>
        <w:bCs/>
      </w:rPr>
      <w:tblPr/>
      <w:tcPr>
        <w:tcBorders>
          <w:bottom w:val="single" w:sz="12" w:space="0" w:color="F58F7A"/>
        </w:tcBorders>
      </w:tcPr>
    </w:tblStylePr>
    <w:tblStylePr w:type="lastRow">
      <w:rPr>
        <w:b/>
        <w:bCs/>
      </w:rPr>
      <w:tblPr/>
      <w:tcPr>
        <w:tcBorders>
          <w:top w:val="double" w:sz="4" w:space="0" w:color="F58F7A"/>
        </w:tcBorders>
      </w:tcPr>
    </w:tblStylePr>
    <w:tblStylePr w:type="firstCol">
      <w:rPr>
        <w:b/>
        <w:bCs/>
      </w:rPr>
    </w:tblStylePr>
    <w:tblStylePr w:type="lastCol">
      <w:rPr>
        <w:b/>
        <w:bCs/>
      </w:rPr>
    </w:tblStylePr>
    <w:tblStylePr w:type="band1Vert">
      <w:tblPr/>
      <w:tcPr>
        <w:shd w:val="clear" w:color="auto" w:fill="FBD9D2"/>
      </w:tcPr>
    </w:tblStylePr>
    <w:tblStylePr w:type="band1Horz">
      <w:tblPr/>
      <w:tcPr>
        <w:shd w:val="clear" w:color="auto" w:fill="FBD9D2"/>
      </w:tcPr>
    </w:tblStylePr>
  </w:style>
  <w:style w:type="table" w:customStyle="1" w:styleId="LightShading-Accent1221">
    <w:name w:val="Light Shading - Accent 1221"/>
    <w:basedOn w:val="TableNormal"/>
    <w:uiPriority w:val="60"/>
    <w:rsid w:val="00797049"/>
    <w:pPr>
      <w:spacing w:after="0" w:line="240"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GridTable6Colorful-Accent521">
    <w:name w:val="Grid Table 6 Colorful - Accent 521"/>
    <w:basedOn w:val="TableNormal"/>
    <w:next w:val="GridTable6Colorful-Accent54"/>
    <w:uiPriority w:val="51"/>
    <w:rsid w:val="00797049"/>
    <w:pPr>
      <w:spacing w:after="0" w:line="240" w:lineRule="auto"/>
    </w:pPr>
    <w:rPr>
      <w:rFonts w:ascii="Calibri" w:eastAsia="Calibri" w:hAnsi="Calibri" w:cs="Times New Roman"/>
      <w:color w:val="C19300"/>
      <w:sz w:val="20"/>
      <w:szCs w:val="20"/>
    </w:rPr>
    <w:tblPr>
      <w:tblStyleRowBandSize w:val="1"/>
      <w:tblStyleColBandSize w:val="1"/>
      <w:tblBorders>
        <w:top w:val="single" w:sz="4" w:space="0" w:color="FEDA69"/>
        <w:left w:val="single" w:sz="4" w:space="0" w:color="FEDA69"/>
        <w:bottom w:val="single" w:sz="4" w:space="0" w:color="FEDA69"/>
        <w:right w:val="single" w:sz="4" w:space="0" w:color="FEDA69"/>
        <w:insideH w:val="single" w:sz="4" w:space="0" w:color="FEDA69"/>
        <w:insideV w:val="single" w:sz="4" w:space="0" w:color="FEDA69"/>
      </w:tblBorders>
    </w:tblPr>
    <w:tblStylePr w:type="firstRow">
      <w:rPr>
        <w:b/>
        <w:bCs/>
      </w:rPr>
      <w:tblPr/>
      <w:tcPr>
        <w:tcBorders>
          <w:bottom w:val="single" w:sz="12" w:space="0" w:color="FEDA69"/>
        </w:tcBorders>
      </w:tcPr>
    </w:tblStylePr>
    <w:tblStylePr w:type="lastRow">
      <w:rPr>
        <w:b/>
        <w:bCs/>
      </w:rPr>
      <w:tblPr/>
      <w:tcPr>
        <w:tcBorders>
          <w:top w:val="double" w:sz="4" w:space="0" w:color="FEDA69"/>
        </w:tcBorders>
      </w:tcPr>
    </w:tblStylePr>
    <w:tblStylePr w:type="firstCol">
      <w:rPr>
        <w:b/>
        <w:bCs/>
      </w:rPr>
    </w:tblStylePr>
    <w:tblStylePr w:type="lastCol">
      <w:rPr>
        <w:b/>
        <w:bCs/>
      </w:rPr>
    </w:tblStylePr>
    <w:tblStylePr w:type="band1Vert">
      <w:tblPr/>
      <w:tcPr>
        <w:shd w:val="clear" w:color="auto" w:fill="FEF2CD"/>
      </w:tcPr>
    </w:tblStylePr>
    <w:tblStylePr w:type="band1Horz">
      <w:tblPr/>
      <w:tcPr>
        <w:shd w:val="clear" w:color="auto" w:fill="FEF2CD"/>
      </w:tcPr>
    </w:tblStylePr>
  </w:style>
  <w:style w:type="table" w:customStyle="1" w:styleId="tabele34">
    <w:name w:val="tabele 34"/>
    <w:basedOn w:val="TableNormal"/>
    <w:next w:val="LightList-Accent3"/>
    <w:uiPriority w:val="61"/>
    <w:rsid w:val="00797049"/>
    <w:pPr>
      <w:spacing w:after="0" w:line="240" w:lineRule="auto"/>
    </w:pPr>
    <w:rPr>
      <w:rFonts w:ascii="Cambria Math" w:eastAsia="Calibri" w:hAnsi="Cambria Math" w:cs="Times New Roman"/>
      <w:sz w:val="18"/>
      <w:lang w:val="sr-Cyrl-C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ghtShading-Accent1110">
    <w:name w:val="Light Shading - Accent 1110"/>
    <w:basedOn w:val="TableNormal"/>
    <w:uiPriority w:val="60"/>
    <w:rsid w:val="00797049"/>
    <w:pPr>
      <w:spacing w:after="0" w:line="240" w:lineRule="auto"/>
      <w:ind w:left="568" w:hanging="284"/>
    </w:pPr>
    <w:rPr>
      <w:rFonts w:ascii="Calibri" w:eastAsia="Calibri"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35">
    <w:name w:val="Light Shading - Accent 35"/>
    <w:basedOn w:val="TableNormal"/>
    <w:next w:val="LightShading-Accent3"/>
    <w:uiPriority w:val="60"/>
    <w:rsid w:val="00797049"/>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List-Accent55">
    <w:name w:val="Light List - Accent 55"/>
    <w:basedOn w:val="TableNormal"/>
    <w:next w:val="LightList-Accent5"/>
    <w:uiPriority w:val="61"/>
    <w:rsid w:val="00797049"/>
    <w:pPr>
      <w:spacing w:after="0" w:line="240" w:lineRule="auto"/>
    </w:pPr>
    <w:rPr>
      <w:rFonts w:ascii="Calibri" w:eastAsia="Calibri" w:hAnsi="Calibri" w:cs="Times New Roman"/>
      <w:sz w:val="20"/>
      <w:szCs w:val="20"/>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LightShading-Accent314">
    <w:name w:val="Light Shading - Accent 314"/>
    <w:basedOn w:val="TableNormal"/>
    <w:next w:val="LightShading-Accent3"/>
    <w:uiPriority w:val="60"/>
    <w:rsid w:val="00797049"/>
    <w:pPr>
      <w:spacing w:after="0" w:line="240" w:lineRule="auto"/>
    </w:pPr>
    <w:rPr>
      <w:rFonts w:ascii="Constantia" w:eastAsia="Constantia" w:hAnsi="Constantia" w:cs="Times New Roman"/>
      <w:color w:val="8CADAE"/>
      <w:lang w:val="sr-Cyrl-CS"/>
    </w:rPr>
    <w:tblPr>
      <w:tblStyleRowBandSize w:val="1"/>
      <w:tblStyleColBandSize w:val="1"/>
      <w:tblBorders>
        <w:top w:val="single" w:sz="8" w:space="0" w:color="8CADAE"/>
        <w:bottom w:val="single" w:sz="8" w:space="0" w:color="8CADAE"/>
      </w:tblBorders>
    </w:tblPr>
    <w:tblStylePr w:type="firstRow">
      <w:pPr>
        <w:spacing w:before="0" w:after="0" w:line="240" w:lineRule="auto"/>
      </w:pPr>
      <w:rPr>
        <w:b/>
        <w:bCs/>
      </w:rPr>
      <w:tblPr/>
      <w:tcPr>
        <w:tcBorders>
          <w:top w:val="single" w:sz="8" w:space="0" w:color="8CADAE"/>
          <w:left w:val="nil"/>
          <w:bottom w:val="single" w:sz="8" w:space="0" w:color="8CADAE"/>
          <w:right w:val="nil"/>
          <w:insideH w:val="nil"/>
          <w:insideV w:val="nil"/>
        </w:tcBorders>
      </w:tcPr>
    </w:tblStylePr>
    <w:tblStylePr w:type="lastRow">
      <w:pPr>
        <w:spacing w:before="0" w:after="0" w:line="240" w:lineRule="auto"/>
      </w:pPr>
      <w:rPr>
        <w:b/>
        <w:bCs/>
      </w:rPr>
      <w:tblPr/>
      <w:tcPr>
        <w:tcBorders>
          <w:top w:val="single" w:sz="8" w:space="0" w:color="8CADAE"/>
          <w:left w:val="nil"/>
          <w:bottom w:val="single" w:sz="8" w:space="0" w:color="8CADA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AEB"/>
      </w:tcPr>
    </w:tblStylePr>
    <w:tblStylePr w:type="band1Horz">
      <w:tblPr/>
      <w:tcPr>
        <w:tcBorders>
          <w:left w:val="nil"/>
          <w:right w:val="nil"/>
          <w:insideH w:val="nil"/>
          <w:insideV w:val="nil"/>
        </w:tcBorders>
        <w:shd w:val="clear" w:color="auto" w:fill="E2EAEB"/>
      </w:tcPr>
    </w:tblStylePr>
  </w:style>
  <w:style w:type="table" w:customStyle="1" w:styleId="LightList-Accent315">
    <w:name w:val="Light List - Accent 315"/>
    <w:basedOn w:val="TableNormal"/>
    <w:next w:val="LightList-Accent3"/>
    <w:uiPriority w:val="61"/>
    <w:rsid w:val="00797049"/>
    <w:pPr>
      <w:spacing w:after="0" w:line="240" w:lineRule="auto"/>
    </w:pPr>
    <w:rPr>
      <w:rFonts w:ascii="Constantia" w:eastAsia="Constantia" w:hAnsi="Constantia" w:cs="Times New Roman"/>
      <w:lang w:val="sr-Cyrl-CS"/>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TableGrid11">
    <w:name w:val="Table Grid11"/>
    <w:basedOn w:val="TableNormal"/>
    <w:next w:val="TableGrid"/>
    <w:uiPriority w:val="59"/>
    <w:rsid w:val="00797049"/>
    <w:pPr>
      <w:spacing w:after="0" w:line="240" w:lineRule="auto"/>
    </w:pPr>
    <w:rPr>
      <w:rFonts w:ascii="Constantia" w:eastAsia="Constantia" w:hAnsi="Constantia" w:cs="Times New Roman"/>
      <w:lang w:val="sr-Cyrl-C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List-Accent514">
    <w:name w:val="Light List - Accent 514"/>
    <w:basedOn w:val="TableNormal"/>
    <w:next w:val="LightList-Accent5"/>
    <w:uiPriority w:val="61"/>
    <w:rsid w:val="00797049"/>
    <w:pPr>
      <w:spacing w:after="0" w:line="240" w:lineRule="auto"/>
    </w:pPr>
    <w:rPr>
      <w:rFonts w:ascii="Times New Roman" w:eastAsia="Constantia" w:hAnsi="Times New Roman" w:cs="Times New Roman"/>
      <w:lang w:val="sr-Cyrl-CS"/>
    </w:rPr>
    <w:tblPr>
      <w:tblStyleRowBandSize w:val="1"/>
      <w:tblStyleColBandSize w:val="1"/>
      <w:tblBorders>
        <w:top w:val="single" w:sz="8" w:space="0" w:color="8FB08C"/>
        <w:left w:val="single" w:sz="8" w:space="0" w:color="8FB08C"/>
        <w:bottom w:val="single" w:sz="8" w:space="0" w:color="8FB08C"/>
        <w:right w:val="single" w:sz="8" w:space="0" w:color="8FB08C"/>
      </w:tblBorders>
    </w:tblPr>
    <w:tblStylePr w:type="firstRow">
      <w:pPr>
        <w:spacing w:before="0" w:after="0" w:line="240" w:lineRule="auto"/>
      </w:pPr>
      <w:rPr>
        <w:b/>
        <w:bCs/>
        <w:color w:val="FFFFFF"/>
      </w:rPr>
      <w:tblPr/>
      <w:tcPr>
        <w:shd w:val="clear" w:color="auto" w:fill="8FB08C"/>
      </w:tcPr>
    </w:tblStylePr>
    <w:tblStylePr w:type="lastRow">
      <w:pPr>
        <w:spacing w:before="0" w:after="0" w:line="240" w:lineRule="auto"/>
      </w:pPr>
      <w:rPr>
        <w:b/>
        <w:bCs/>
      </w:rPr>
      <w:tblPr/>
      <w:tcPr>
        <w:tcBorders>
          <w:top w:val="double" w:sz="6" w:space="0" w:color="8FB08C"/>
          <w:left w:val="single" w:sz="8" w:space="0" w:color="8FB08C"/>
          <w:bottom w:val="single" w:sz="8" w:space="0" w:color="8FB08C"/>
          <w:right w:val="single" w:sz="8" w:space="0" w:color="8FB08C"/>
        </w:tcBorders>
      </w:tcPr>
    </w:tblStylePr>
    <w:tblStylePr w:type="firstCol">
      <w:rPr>
        <w:b/>
        <w:bCs/>
      </w:rPr>
    </w:tblStylePr>
    <w:tblStylePr w:type="lastCol">
      <w:rPr>
        <w:b/>
        <w:bCs/>
      </w:rPr>
    </w:tblStylePr>
    <w:tblStylePr w:type="band1Vert">
      <w:tblPr/>
      <w:tcPr>
        <w:tcBorders>
          <w:top w:val="single" w:sz="8" w:space="0" w:color="8FB08C"/>
          <w:left w:val="single" w:sz="8" w:space="0" w:color="8FB08C"/>
          <w:bottom w:val="single" w:sz="8" w:space="0" w:color="8FB08C"/>
          <w:right w:val="single" w:sz="8" w:space="0" w:color="8FB08C"/>
        </w:tcBorders>
      </w:tcPr>
    </w:tblStylePr>
    <w:tblStylePr w:type="band1Horz">
      <w:tblPr/>
      <w:tcPr>
        <w:tcBorders>
          <w:top w:val="single" w:sz="8" w:space="0" w:color="8FB08C"/>
          <w:left w:val="single" w:sz="8" w:space="0" w:color="8FB08C"/>
          <w:bottom w:val="single" w:sz="8" w:space="0" w:color="8FB08C"/>
          <w:right w:val="single" w:sz="8" w:space="0" w:color="8FB08C"/>
        </w:tcBorders>
      </w:tcPr>
    </w:tblStylePr>
  </w:style>
  <w:style w:type="table" w:customStyle="1" w:styleId="MediumList1-Accent511">
    <w:name w:val="Medium List 1 - Accent 511"/>
    <w:basedOn w:val="TableNormal"/>
    <w:next w:val="MediumList1-Accent5"/>
    <w:uiPriority w:val="65"/>
    <w:rsid w:val="00797049"/>
    <w:pPr>
      <w:spacing w:after="0" w:line="240" w:lineRule="auto"/>
    </w:pPr>
    <w:rPr>
      <w:rFonts w:ascii="Constantia" w:eastAsia="Constantia" w:hAnsi="Constantia" w:cs="Times New Roman"/>
      <w:color w:val="000000"/>
      <w:lang w:val="sr-Cyrl-CS"/>
    </w:rPr>
    <w:tblPr>
      <w:tblStyleRowBandSize w:val="1"/>
      <w:tblStyleColBandSize w:val="1"/>
      <w:tblBorders>
        <w:top w:val="single" w:sz="8" w:space="0" w:color="8FB08C"/>
        <w:bottom w:val="single" w:sz="8" w:space="0" w:color="8FB08C"/>
      </w:tblBorders>
    </w:tblPr>
    <w:tblStylePr w:type="firstRow">
      <w:rPr>
        <w:rFonts w:ascii="Verdana" w:eastAsia="Times New Roman" w:hAnsi="Verdana" w:cs="Times New Roman"/>
      </w:rPr>
      <w:tblPr/>
      <w:tcPr>
        <w:tcBorders>
          <w:top w:val="nil"/>
          <w:bottom w:val="single" w:sz="8" w:space="0" w:color="8FB08C"/>
        </w:tcBorders>
      </w:tcPr>
    </w:tblStylePr>
    <w:tblStylePr w:type="lastRow">
      <w:rPr>
        <w:b/>
        <w:bCs/>
        <w:color w:val="646B86"/>
      </w:rPr>
      <w:tblPr/>
      <w:tcPr>
        <w:tcBorders>
          <w:top w:val="single" w:sz="8" w:space="0" w:color="8FB08C"/>
          <w:bottom w:val="single" w:sz="8" w:space="0" w:color="8FB08C"/>
        </w:tcBorders>
      </w:tcPr>
    </w:tblStylePr>
    <w:tblStylePr w:type="firstCol">
      <w:rPr>
        <w:b/>
        <w:bCs/>
      </w:rPr>
    </w:tblStylePr>
    <w:tblStylePr w:type="lastCol">
      <w:rPr>
        <w:b/>
        <w:bCs/>
      </w:rPr>
      <w:tblPr/>
      <w:tcPr>
        <w:tcBorders>
          <w:top w:val="single" w:sz="8" w:space="0" w:color="8FB08C"/>
          <w:bottom w:val="single" w:sz="8" w:space="0" w:color="8FB08C"/>
        </w:tcBorders>
      </w:tcPr>
    </w:tblStylePr>
    <w:tblStylePr w:type="band1Vert">
      <w:tblPr/>
      <w:tcPr>
        <w:shd w:val="clear" w:color="auto" w:fill="E3EBE2"/>
      </w:tcPr>
    </w:tblStylePr>
    <w:tblStylePr w:type="band1Horz">
      <w:tblPr/>
      <w:tcPr>
        <w:shd w:val="clear" w:color="auto" w:fill="E3EBE2"/>
      </w:tcPr>
    </w:tblStylePr>
  </w:style>
  <w:style w:type="table" w:customStyle="1" w:styleId="MediumList1-Accent52">
    <w:name w:val="Medium List 1 - Accent 52"/>
    <w:basedOn w:val="TableNormal"/>
    <w:next w:val="MediumList1-Accent5"/>
    <w:uiPriority w:val="65"/>
    <w:rsid w:val="00797049"/>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4BACC6"/>
        <w:bottom w:val="single" w:sz="8" w:space="0" w:color="4BACC6"/>
      </w:tblBorders>
    </w:tblPr>
    <w:tblStylePr w:type="firstRow">
      <w:rPr>
        <w:rFonts w:ascii="Times New Roman" w:eastAsia="Times New Roman" w:hAnsi="Times New Roman" w:cs="Times New Roman"/>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numbering" w:customStyle="1" w:styleId="NoList111">
    <w:name w:val="No List111"/>
    <w:next w:val="NoList"/>
    <w:uiPriority w:val="99"/>
    <w:semiHidden/>
    <w:unhideWhenUsed/>
    <w:rsid w:val="00797049"/>
  </w:style>
  <w:style w:type="table" w:customStyle="1" w:styleId="LightGrid-Accent515">
    <w:name w:val="Light Grid - Accent 515"/>
    <w:basedOn w:val="TableNormal"/>
    <w:next w:val="LightGrid-Accent5"/>
    <w:uiPriority w:val="62"/>
    <w:rsid w:val="00797049"/>
    <w:pPr>
      <w:spacing w:after="0" w:line="240" w:lineRule="auto"/>
    </w:pPr>
    <w:rPr>
      <w:rFonts w:ascii="Calibri" w:eastAsia="Calibri" w:hAnsi="Calibri" w:cs="Times New Roman"/>
      <w:sz w:val="20"/>
      <w:szCs w:val="20"/>
      <w:lang w:val="sr-Latn-CS" w:eastAsia="en-GB"/>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Comic Sans MS" w:eastAsia="Times New Roman" w:hAnsi="Comic Sans MS"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omic Sans MS" w:eastAsia="Times New Roman" w:hAnsi="Comic Sans MS"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omic Sans MS" w:eastAsia="Times New Roman" w:hAnsi="Comic Sans MS" w:cs="Times New Roman"/>
        <w:b/>
        <w:bCs/>
      </w:rPr>
    </w:tblStylePr>
    <w:tblStylePr w:type="lastCol">
      <w:rPr>
        <w:rFonts w:ascii="Comic Sans MS" w:eastAsia="Times New Roman" w:hAnsi="Comic Sans MS"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114">
    <w:name w:val="Светло сенчење – наглашавање 114"/>
    <w:basedOn w:val="TableNormal"/>
    <w:uiPriority w:val="60"/>
    <w:rsid w:val="00797049"/>
    <w:pPr>
      <w:spacing w:after="0" w:line="240" w:lineRule="auto"/>
    </w:pPr>
    <w:rPr>
      <w:rFonts w:ascii="Calibri" w:eastAsia="Calibri" w:hAnsi="Calibri" w:cs="Times New Roman"/>
      <w:color w:val="365F91"/>
      <w:sz w:val="20"/>
      <w:szCs w:val="20"/>
      <w:lang w:val="sr-Latn-CS" w:eastAsia="en-GB"/>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Grid-Accent56">
    <w:name w:val="Light Grid - Accent 56"/>
    <w:basedOn w:val="TableNormal"/>
    <w:next w:val="LightGrid-Accent5"/>
    <w:uiPriority w:val="62"/>
    <w:rsid w:val="00797049"/>
    <w:pPr>
      <w:spacing w:after="0" w:line="240" w:lineRule="auto"/>
    </w:pPr>
    <w:rPr>
      <w:rFonts w:ascii="Calibri" w:eastAsia="Calibri" w:hAnsi="Calibri" w:cs="Times New Roman"/>
      <w:sz w:val="20"/>
      <w:szCs w:val="20"/>
      <w:lang w:val="en-GB" w:eastAsia="en-GB"/>
    </w:rPr>
    <w:tblPr>
      <w:tblStyleRowBandSize w:val="1"/>
      <w:tblStyleColBandSize w:val="1"/>
      <w:tblBorders>
        <w:top w:val="single" w:sz="8" w:space="0" w:color="8FB08C"/>
        <w:left w:val="single" w:sz="8" w:space="0" w:color="8FB08C"/>
        <w:bottom w:val="single" w:sz="8" w:space="0" w:color="8FB08C"/>
        <w:right w:val="single" w:sz="8" w:space="0" w:color="8FB08C"/>
        <w:insideH w:val="single" w:sz="8" w:space="0" w:color="8FB08C"/>
        <w:insideV w:val="single" w:sz="8" w:space="0" w:color="8FB08C"/>
      </w:tblBorders>
    </w:tblPr>
    <w:tblStylePr w:type="firstRow">
      <w:pPr>
        <w:spacing w:before="0" w:after="0" w:line="240" w:lineRule="auto"/>
      </w:pPr>
      <w:rPr>
        <w:rFonts w:ascii="Comic Sans MS" w:eastAsia="Times New Roman" w:hAnsi="Comic Sans MS" w:cs="Times New Roman"/>
        <w:b/>
        <w:bCs/>
      </w:rPr>
      <w:tblPr/>
      <w:tcPr>
        <w:tcBorders>
          <w:top w:val="single" w:sz="8" w:space="0" w:color="8FB08C"/>
          <w:left w:val="single" w:sz="8" w:space="0" w:color="8FB08C"/>
          <w:bottom w:val="single" w:sz="18" w:space="0" w:color="8FB08C"/>
          <w:right w:val="single" w:sz="8" w:space="0" w:color="8FB08C"/>
          <w:insideH w:val="nil"/>
          <w:insideV w:val="single" w:sz="8" w:space="0" w:color="8FB08C"/>
        </w:tcBorders>
      </w:tcPr>
    </w:tblStylePr>
    <w:tblStylePr w:type="lastRow">
      <w:pPr>
        <w:spacing w:before="0" w:after="0" w:line="240" w:lineRule="auto"/>
      </w:pPr>
      <w:rPr>
        <w:rFonts w:ascii="Comic Sans MS" w:eastAsia="Times New Roman" w:hAnsi="Comic Sans MS" w:cs="Times New Roman"/>
        <w:b/>
        <w:bCs/>
      </w:rPr>
      <w:tblPr/>
      <w:tcPr>
        <w:tcBorders>
          <w:top w:val="double" w:sz="6" w:space="0" w:color="8FB08C"/>
          <w:left w:val="single" w:sz="8" w:space="0" w:color="8FB08C"/>
          <w:bottom w:val="single" w:sz="8" w:space="0" w:color="8FB08C"/>
          <w:right w:val="single" w:sz="8" w:space="0" w:color="8FB08C"/>
          <w:insideH w:val="nil"/>
          <w:insideV w:val="single" w:sz="8" w:space="0" w:color="8FB08C"/>
        </w:tcBorders>
      </w:tcPr>
    </w:tblStylePr>
    <w:tblStylePr w:type="firstCol">
      <w:rPr>
        <w:rFonts w:ascii="Comic Sans MS" w:eastAsia="Times New Roman" w:hAnsi="Comic Sans MS" w:cs="Times New Roman"/>
        <w:b/>
        <w:bCs/>
      </w:rPr>
    </w:tblStylePr>
    <w:tblStylePr w:type="lastCol">
      <w:rPr>
        <w:rFonts w:ascii="Comic Sans MS" w:eastAsia="Times New Roman" w:hAnsi="Comic Sans MS" w:cs="Times New Roman"/>
        <w:b/>
        <w:bCs/>
      </w:rPr>
      <w:tblPr/>
      <w:tcPr>
        <w:tcBorders>
          <w:top w:val="single" w:sz="8" w:space="0" w:color="8FB08C"/>
          <w:left w:val="single" w:sz="8" w:space="0" w:color="8FB08C"/>
          <w:bottom w:val="single" w:sz="8" w:space="0" w:color="8FB08C"/>
          <w:right w:val="single" w:sz="8" w:space="0" w:color="8FB08C"/>
        </w:tcBorders>
      </w:tcPr>
    </w:tblStylePr>
    <w:tblStylePr w:type="band1Vert">
      <w:tblPr/>
      <w:tcPr>
        <w:tcBorders>
          <w:top w:val="single" w:sz="8" w:space="0" w:color="8FB08C"/>
          <w:left w:val="single" w:sz="8" w:space="0" w:color="8FB08C"/>
          <w:bottom w:val="single" w:sz="8" w:space="0" w:color="8FB08C"/>
          <w:right w:val="single" w:sz="8" w:space="0" w:color="8FB08C"/>
        </w:tcBorders>
        <w:shd w:val="clear" w:color="auto" w:fill="E3EBE2"/>
      </w:tcPr>
    </w:tblStylePr>
    <w:tblStylePr w:type="band1Horz">
      <w:tblPr/>
      <w:tcPr>
        <w:tcBorders>
          <w:top w:val="single" w:sz="8" w:space="0" w:color="8FB08C"/>
          <w:left w:val="single" w:sz="8" w:space="0" w:color="8FB08C"/>
          <w:bottom w:val="single" w:sz="8" w:space="0" w:color="8FB08C"/>
          <w:right w:val="single" w:sz="8" w:space="0" w:color="8FB08C"/>
          <w:insideV w:val="single" w:sz="8" w:space="0" w:color="8FB08C"/>
        </w:tcBorders>
        <w:shd w:val="clear" w:color="auto" w:fill="E3EBE2"/>
      </w:tcPr>
    </w:tblStylePr>
    <w:tblStylePr w:type="band2Horz">
      <w:tblPr/>
      <w:tcPr>
        <w:tcBorders>
          <w:top w:val="single" w:sz="8" w:space="0" w:color="8FB08C"/>
          <w:left w:val="single" w:sz="8" w:space="0" w:color="8FB08C"/>
          <w:bottom w:val="single" w:sz="8" w:space="0" w:color="8FB08C"/>
          <w:right w:val="single" w:sz="8" w:space="0" w:color="8FB08C"/>
          <w:insideV w:val="single" w:sz="8" w:space="0" w:color="8FB08C"/>
        </w:tcBorders>
      </w:tcPr>
    </w:tblStylePr>
  </w:style>
  <w:style w:type="table" w:customStyle="1" w:styleId="tabelezaifs1">
    <w:name w:val="tabele za ifs1"/>
    <w:basedOn w:val="TableNormal"/>
    <w:uiPriority w:val="99"/>
    <w:qFormat/>
    <w:rsid w:val="00797049"/>
    <w:pPr>
      <w:spacing w:after="0" w:line="240" w:lineRule="auto"/>
    </w:pPr>
    <w:rPr>
      <w:rFonts w:ascii="Cambria Math" w:eastAsia="Calibri" w:hAnsi="Cambria Math" w:cs="Times New Roman"/>
      <w:sz w:val="20"/>
      <w:szCs w:val="20"/>
      <w:lang w:val="en-GB" w:eastAsia="en-GB"/>
    </w:rPr>
    <w:tblPr/>
  </w:style>
  <w:style w:type="table" w:customStyle="1" w:styleId="tabelezaifs11">
    <w:name w:val="tabele za ifs 11"/>
    <w:basedOn w:val="TableNormal"/>
    <w:uiPriority w:val="66"/>
    <w:rsid w:val="00797049"/>
    <w:pPr>
      <w:spacing w:after="0" w:line="240" w:lineRule="auto"/>
    </w:pPr>
    <w:rPr>
      <w:rFonts w:ascii="Cambria Math" w:eastAsia="Times New Roman" w:hAnsi="Cambria Math" w:cs="Times New Roman"/>
      <w:color w:val="000000"/>
      <w:sz w:val="20"/>
      <w:szCs w:val="20"/>
      <w:lang w:val="en-GB" w:eastAsia="en-GB"/>
    </w:rPr>
    <w:tblPr>
      <w:tblStyleRowBandSize w:val="1"/>
      <w:tblStyleColBandSize w:val="1"/>
      <w:tblBorders>
        <w:top w:val="single" w:sz="8" w:space="0" w:color="8CADAE"/>
        <w:left w:val="single" w:sz="8" w:space="0" w:color="8CADAE"/>
        <w:bottom w:val="single" w:sz="8" w:space="0" w:color="8CADAE"/>
        <w:right w:val="single" w:sz="8" w:space="0" w:color="8CADAE"/>
      </w:tblBorders>
    </w:tblPr>
    <w:tcPr>
      <w:vAlign w:val="bottom"/>
    </w:tcPr>
    <w:tblStylePr w:type="firstRow">
      <w:rPr>
        <w:sz w:val="24"/>
        <w:szCs w:val="24"/>
      </w:rPr>
      <w:tblPr/>
      <w:tcPr>
        <w:tcBorders>
          <w:top w:val="nil"/>
          <w:left w:val="nil"/>
          <w:bottom w:val="single" w:sz="24" w:space="0" w:color="8CADAE"/>
          <w:right w:val="nil"/>
          <w:insideH w:val="nil"/>
          <w:insideV w:val="nil"/>
        </w:tcBorders>
        <w:shd w:val="clear" w:color="auto" w:fill="FFFFFF"/>
      </w:tcPr>
    </w:tblStylePr>
    <w:tblStylePr w:type="lastRow">
      <w:tblPr/>
      <w:tcPr>
        <w:tcBorders>
          <w:top w:val="single" w:sz="8" w:space="0" w:color="8CADAE"/>
          <w:left w:val="nil"/>
          <w:bottom w:val="nil"/>
          <w:right w:val="nil"/>
          <w:insideH w:val="nil"/>
          <w:insideV w:val="nil"/>
        </w:tcBorders>
        <w:shd w:val="clear" w:color="auto" w:fill="FFFFFF"/>
      </w:tcPr>
    </w:tblStylePr>
    <w:tblStylePr w:type="firstCol">
      <w:tblPr/>
      <w:tcPr>
        <w:tcBorders>
          <w:top w:val="nil"/>
          <w:left w:val="nil"/>
          <w:bottom w:val="nil"/>
          <w:right w:val="single" w:sz="8" w:space="0" w:color="8CADAE"/>
          <w:insideH w:val="nil"/>
          <w:insideV w:val="nil"/>
        </w:tcBorders>
        <w:shd w:val="clear" w:color="auto" w:fill="FFFFFF"/>
      </w:tcPr>
    </w:tblStylePr>
    <w:tblStylePr w:type="lastCol">
      <w:tblPr/>
      <w:tcPr>
        <w:tcBorders>
          <w:top w:val="nil"/>
          <w:left w:val="single" w:sz="8" w:space="0" w:color="8CADAE"/>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2EAEB"/>
      </w:tcPr>
    </w:tblStylePr>
    <w:tblStylePr w:type="band1Horz">
      <w:tblPr/>
      <w:tcPr>
        <w:tcBorders>
          <w:top w:val="nil"/>
          <w:bottom w:val="nil"/>
          <w:insideH w:val="nil"/>
          <w:insideV w:val="nil"/>
        </w:tcBorders>
        <w:shd w:val="clear" w:color="auto" w:fill="E2EAEB"/>
      </w:tcPr>
    </w:tblStylePr>
    <w:tblStylePr w:type="nwCell">
      <w:tblPr/>
      <w:tcPr>
        <w:shd w:val="clear" w:color="auto" w:fill="FFFFFF"/>
      </w:tcPr>
    </w:tblStylePr>
    <w:tblStylePr w:type="swCell">
      <w:tblPr/>
      <w:tcPr>
        <w:tcBorders>
          <w:top w:val="nil"/>
        </w:tcBorders>
      </w:tcPr>
    </w:tblStylePr>
  </w:style>
  <w:style w:type="table" w:customStyle="1" w:styleId="ColorfulList-Accent11">
    <w:name w:val="Colorful List - Accent 11"/>
    <w:basedOn w:val="TableNormal"/>
    <w:next w:val="ColorfulList-Accent1"/>
    <w:uiPriority w:val="72"/>
    <w:rsid w:val="00797049"/>
    <w:pPr>
      <w:spacing w:after="0" w:line="240" w:lineRule="auto"/>
    </w:pPr>
    <w:rPr>
      <w:rFonts w:ascii="Calibri" w:eastAsia="Calibri" w:hAnsi="Calibri" w:cs="Times New Roman"/>
      <w:color w:val="000000"/>
      <w:sz w:val="20"/>
      <w:szCs w:val="20"/>
      <w:lang w:val="en-GB" w:eastAsia="en-GB"/>
    </w:rPr>
    <w:tblPr>
      <w:tblStyleRowBandSize w:val="1"/>
      <w:tblStyleColBandSize w:val="1"/>
    </w:tblPr>
    <w:tcPr>
      <w:shd w:val="clear" w:color="auto" w:fill="FAEFEC"/>
    </w:tcPr>
    <w:tblStylePr w:type="firstRow">
      <w:rPr>
        <w:b/>
        <w:bCs/>
        <w:color w:val="FFFFFF"/>
      </w:rPr>
      <w:tblPr/>
      <w:tcPr>
        <w:tcBorders>
          <w:bottom w:val="single" w:sz="12" w:space="0" w:color="FFFFFF"/>
        </w:tcBorders>
        <w:shd w:val="clear" w:color="auto" w:fill="A38F00"/>
      </w:tcPr>
    </w:tblStylePr>
    <w:tblStylePr w:type="lastRow">
      <w:rPr>
        <w:b/>
        <w:bCs/>
        <w:color w:val="A38F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3D8D2"/>
      </w:tcPr>
    </w:tblStylePr>
    <w:tblStylePr w:type="band1Horz">
      <w:tblPr/>
      <w:tcPr>
        <w:shd w:val="clear" w:color="auto" w:fill="F5DFDA"/>
      </w:tcPr>
    </w:tblStylePr>
  </w:style>
  <w:style w:type="numbering" w:customStyle="1" w:styleId="NoList21">
    <w:name w:val="No List21"/>
    <w:next w:val="NoList"/>
    <w:uiPriority w:val="99"/>
    <w:semiHidden/>
    <w:unhideWhenUsed/>
    <w:rsid w:val="00797049"/>
  </w:style>
  <w:style w:type="table" w:customStyle="1" w:styleId="LightList-Accent324">
    <w:name w:val="Light List - Accent 324"/>
    <w:basedOn w:val="TableNormal"/>
    <w:next w:val="LightList-Accent3"/>
    <w:uiPriority w:val="61"/>
    <w:rsid w:val="00797049"/>
    <w:pPr>
      <w:spacing w:after="0" w:line="240" w:lineRule="auto"/>
    </w:pPr>
    <w:rPr>
      <w:rFonts w:ascii="Calibri" w:eastAsia="Calibri" w:hAnsi="Calibri" w:cs="Times New Roman"/>
      <w:sz w:val="20"/>
      <w:szCs w:val="20"/>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List-Accent3114">
    <w:name w:val="Light List - Accent 3114"/>
    <w:basedOn w:val="TableNormal"/>
    <w:next w:val="LightList-Accent3"/>
    <w:uiPriority w:val="61"/>
    <w:rsid w:val="00797049"/>
    <w:pPr>
      <w:spacing w:after="0" w:line="240" w:lineRule="auto"/>
    </w:pPr>
    <w:rPr>
      <w:rFonts w:ascii="Constantia" w:eastAsia="Constantia" w:hAnsi="Constantia" w:cs="Times New Roman"/>
      <w:lang w:val="sr-Cyrl-CS"/>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Shading-Accent1317">
    <w:name w:val="Light Shading - Accent 1317"/>
    <w:basedOn w:val="TableNormal"/>
    <w:uiPriority w:val="60"/>
    <w:rsid w:val="00797049"/>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18">
    <w:name w:val="Light Shading - Accent 1318"/>
    <w:basedOn w:val="TableNormal"/>
    <w:uiPriority w:val="60"/>
    <w:rsid w:val="00797049"/>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24">
    <w:name w:val="Light Shading - Accent 1324"/>
    <w:basedOn w:val="TableNormal"/>
    <w:uiPriority w:val="60"/>
    <w:rsid w:val="00797049"/>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ele311">
    <w:name w:val="tabele 311"/>
    <w:basedOn w:val="TableNormal"/>
    <w:next w:val="LightList-Accent3"/>
    <w:uiPriority w:val="61"/>
    <w:rsid w:val="00797049"/>
    <w:pPr>
      <w:spacing w:after="0" w:line="240" w:lineRule="auto"/>
    </w:pPr>
    <w:rPr>
      <w:rFonts w:ascii="Cambria Math" w:eastAsia="Calibri" w:hAnsi="Cambria Math" w:cs="Times New Roman"/>
      <w:sz w:val="18"/>
      <w:lang w:val="sr-Cyrl-C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ghtShading-Accent1111">
    <w:name w:val="Light Shading - Accent 1111"/>
    <w:basedOn w:val="TableNormal"/>
    <w:uiPriority w:val="60"/>
    <w:rsid w:val="00797049"/>
    <w:pPr>
      <w:spacing w:after="0" w:line="240" w:lineRule="auto"/>
      <w:ind w:left="568" w:hanging="284"/>
    </w:pPr>
    <w:rPr>
      <w:rFonts w:ascii="Calibri" w:eastAsia="Calibri"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321">
    <w:name w:val="Light Shading - Accent 321"/>
    <w:basedOn w:val="TableNormal"/>
    <w:next w:val="LightShading-Accent3"/>
    <w:uiPriority w:val="60"/>
    <w:rsid w:val="00797049"/>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List-Accent521">
    <w:name w:val="Light List - Accent 521"/>
    <w:basedOn w:val="TableNormal"/>
    <w:next w:val="LightList-Accent5"/>
    <w:uiPriority w:val="61"/>
    <w:rsid w:val="00797049"/>
    <w:pPr>
      <w:spacing w:after="0" w:line="240" w:lineRule="auto"/>
    </w:pPr>
    <w:rPr>
      <w:rFonts w:ascii="Calibri" w:eastAsia="Calibri" w:hAnsi="Calibri" w:cs="Times New Roman"/>
      <w:sz w:val="20"/>
      <w:szCs w:val="20"/>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LightShading-Accent3111">
    <w:name w:val="Light Shading - Accent 3111"/>
    <w:basedOn w:val="TableNormal"/>
    <w:next w:val="LightShading-Accent3"/>
    <w:uiPriority w:val="60"/>
    <w:rsid w:val="00797049"/>
    <w:pPr>
      <w:spacing w:after="0" w:line="240" w:lineRule="auto"/>
    </w:pPr>
    <w:rPr>
      <w:rFonts w:ascii="Constantia" w:eastAsia="Constantia" w:hAnsi="Constantia" w:cs="Times New Roman"/>
      <w:color w:val="8CADAE"/>
      <w:lang w:val="sr-Cyrl-CS"/>
    </w:rPr>
    <w:tblPr>
      <w:tblStyleRowBandSize w:val="1"/>
      <w:tblStyleColBandSize w:val="1"/>
      <w:tblBorders>
        <w:top w:val="single" w:sz="8" w:space="0" w:color="8CADAE"/>
        <w:bottom w:val="single" w:sz="8" w:space="0" w:color="8CADAE"/>
      </w:tblBorders>
    </w:tblPr>
    <w:tblStylePr w:type="firstRow">
      <w:pPr>
        <w:spacing w:before="0" w:after="0" w:line="240" w:lineRule="auto"/>
      </w:pPr>
      <w:rPr>
        <w:b/>
        <w:bCs/>
      </w:rPr>
      <w:tblPr/>
      <w:tcPr>
        <w:tcBorders>
          <w:top w:val="single" w:sz="8" w:space="0" w:color="8CADAE"/>
          <w:left w:val="nil"/>
          <w:bottom w:val="single" w:sz="8" w:space="0" w:color="8CADAE"/>
          <w:right w:val="nil"/>
          <w:insideH w:val="nil"/>
          <w:insideV w:val="nil"/>
        </w:tcBorders>
      </w:tcPr>
    </w:tblStylePr>
    <w:tblStylePr w:type="lastRow">
      <w:pPr>
        <w:spacing w:before="0" w:after="0" w:line="240" w:lineRule="auto"/>
      </w:pPr>
      <w:rPr>
        <w:b/>
        <w:bCs/>
      </w:rPr>
      <w:tblPr/>
      <w:tcPr>
        <w:tcBorders>
          <w:top w:val="single" w:sz="8" w:space="0" w:color="8CADAE"/>
          <w:left w:val="nil"/>
          <w:bottom w:val="single" w:sz="8" w:space="0" w:color="8CADA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AEB"/>
      </w:tcPr>
    </w:tblStylePr>
    <w:tblStylePr w:type="band1Horz">
      <w:tblPr/>
      <w:tcPr>
        <w:tcBorders>
          <w:left w:val="nil"/>
          <w:right w:val="nil"/>
          <w:insideH w:val="nil"/>
          <w:insideV w:val="nil"/>
        </w:tcBorders>
        <w:shd w:val="clear" w:color="auto" w:fill="E2EAEB"/>
      </w:tcPr>
    </w:tblStylePr>
  </w:style>
  <w:style w:type="table" w:customStyle="1" w:styleId="LightList-Accent3121">
    <w:name w:val="Light List - Accent 3121"/>
    <w:basedOn w:val="TableNormal"/>
    <w:next w:val="LightList-Accent3"/>
    <w:uiPriority w:val="61"/>
    <w:rsid w:val="00797049"/>
    <w:pPr>
      <w:spacing w:after="0" w:line="240" w:lineRule="auto"/>
    </w:pPr>
    <w:rPr>
      <w:rFonts w:ascii="Constantia" w:eastAsia="Constantia" w:hAnsi="Constantia" w:cs="Times New Roman"/>
      <w:lang w:val="sr-Cyrl-CS"/>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List-Accent5111">
    <w:name w:val="Light List - Accent 5111"/>
    <w:basedOn w:val="TableNormal"/>
    <w:next w:val="LightList-Accent5"/>
    <w:uiPriority w:val="61"/>
    <w:rsid w:val="00797049"/>
    <w:pPr>
      <w:spacing w:after="0" w:line="240" w:lineRule="auto"/>
    </w:pPr>
    <w:rPr>
      <w:rFonts w:ascii="Times New Roman" w:eastAsia="Constantia" w:hAnsi="Times New Roman" w:cs="Times New Roman"/>
      <w:lang w:val="sr-Cyrl-CS"/>
    </w:rPr>
    <w:tblPr>
      <w:tblStyleRowBandSize w:val="1"/>
      <w:tblStyleColBandSize w:val="1"/>
      <w:tblBorders>
        <w:top w:val="single" w:sz="8" w:space="0" w:color="8FB08C"/>
        <w:left w:val="single" w:sz="8" w:space="0" w:color="8FB08C"/>
        <w:bottom w:val="single" w:sz="8" w:space="0" w:color="8FB08C"/>
        <w:right w:val="single" w:sz="8" w:space="0" w:color="8FB08C"/>
      </w:tblBorders>
    </w:tblPr>
    <w:tblStylePr w:type="firstRow">
      <w:pPr>
        <w:spacing w:before="0" w:after="0" w:line="240" w:lineRule="auto"/>
      </w:pPr>
      <w:rPr>
        <w:b/>
        <w:bCs/>
        <w:color w:val="FFFFFF"/>
      </w:rPr>
      <w:tblPr/>
      <w:tcPr>
        <w:shd w:val="clear" w:color="auto" w:fill="8FB08C"/>
      </w:tcPr>
    </w:tblStylePr>
    <w:tblStylePr w:type="lastRow">
      <w:pPr>
        <w:spacing w:before="0" w:after="0" w:line="240" w:lineRule="auto"/>
      </w:pPr>
      <w:rPr>
        <w:b/>
        <w:bCs/>
      </w:rPr>
      <w:tblPr/>
      <w:tcPr>
        <w:tcBorders>
          <w:top w:val="double" w:sz="6" w:space="0" w:color="8FB08C"/>
          <w:left w:val="single" w:sz="8" w:space="0" w:color="8FB08C"/>
          <w:bottom w:val="single" w:sz="8" w:space="0" w:color="8FB08C"/>
          <w:right w:val="single" w:sz="8" w:space="0" w:color="8FB08C"/>
        </w:tcBorders>
      </w:tcPr>
    </w:tblStylePr>
    <w:tblStylePr w:type="firstCol">
      <w:rPr>
        <w:b/>
        <w:bCs/>
      </w:rPr>
    </w:tblStylePr>
    <w:tblStylePr w:type="lastCol">
      <w:rPr>
        <w:b/>
        <w:bCs/>
      </w:rPr>
    </w:tblStylePr>
    <w:tblStylePr w:type="band1Vert">
      <w:tblPr/>
      <w:tcPr>
        <w:tcBorders>
          <w:top w:val="single" w:sz="8" w:space="0" w:color="8FB08C"/>
          <w:left w:val="single" w:sz="8" w:space="0" w:color="8FB08C"/>
          <w:bottom w:val="single" w:sz="8" w:space="0" w:color="8FB08C"/>
          <w:right w:val="single" w:sz="8" w:space="0" w:color="8FB08C"/>
        </w:tcBorders>
      </w:tcPr>
    </w:tblStylePr>
    <w:tblStylePr w:type="band1Horz">
      <w:tblPr/>
      <w:tcPr>
        <w:tcBorders>
          <w:top w:val="single" w:sz="8" w:space="0" w:color="8FB08C"/>
          <w:left w:val="single" w:sz="8" w:space="0" w:color="8FB08C"/>
          <w:bottom w:val="single" w:sz="8" w:space="0" w:color="8FB08C"/>
          <w:right w:val="single" w:sz="8" w:space="0" w:color="8FB08C"/>
        </w:tcBorders>
      </w:tcPr>
    </w:tblStylePr>
  </w:style>
  <w:style w:type="table" w:customStyle="1" w:styleId="LightGrid-Accent5112">
    <w:name w:val="Light Grid - Accent 5112"/>
    <w:basedOn w:val="TableNormal"/>
    <w:next w:val="LightGrid-Accent5"/>
    <w:uiPriority w:val="62"/>
    <w:rsid w:val="00797049"/>
    <w:pPr>
      <w:spacing w:after="0" w:line="240" w:lineRule="auto"/>
    </w:pPr>
    <w:rPr>
      <w:rFonts w:ascii="Calibri" w:eastAsia="Calibri" w:hAnsi="Calibri" w:cs="Times New Roman"/>
      <w:sz w:val="20"/>
      <w:szCs w:val="20"/>
      <w:lang w:val="sr-Latn-CS" w:eastAsia="en-GB"/>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Comic Sans MS" w:eastAsia="Times New Roman" w:hAnsi="Comic Sans MS"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omic Sans MS" w:eastAsia="Times New Roman" w:hAnsi="Comic Sans MS"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omic Sans MS" w:eastAsia="Times New Roman" w:hAnsi="Comic Sans MS" w:cs="Times New Roman"/>
        <w:b/>
        <w:bCs/>
      </w:rPr>
    </w:tblStylePr>
    <w:tblStylePr w:type="lastCol">
      <w:rPr>
        <w:rFonts w:ascii="Comic Sans MS" w:eastAsia="Times New Roman" w:hAnsi="Comic Sans MS"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1111">
    <w:name w:val="Светло сенчење – наглашавање 1111"/>
    <w:basedOn w:val="TableNormal"/>
    <w:uiPriority w:val="60"/>
    <w:rsid w:val="00797049"/>
    <w:pPr>
      <w:spacing w:after="0" w:line="240" w:lineRule="auto"/>
    </w:pPr>
    <w:rPr>
      <w:rFonts w:ascii="Calibri" w:eastAsia="Calibri" w:hAnsi="Calibri" w:cs="Times New Roman"/>
      <w:color w:val="365F91"/>
      <w:sz w:val="20"/>
      <w:szCs w:val="20"/>
      <w:lang w:val="sr-Latn-CS" w:eastAsia="en-GB"/>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Grid-Accent522">
    <w:name w:val="Light Grid - Accent 522"/>
    <w:basedOn w:val="TableNormal"/>
    <w:next w:val="LightGrid-Accent5"/>
    <w:uiPriority w:val="62"/>
    <w:rsid w:val="00797049"/>
    <w:pPr>
      <w:spacing w:after="0" w:line="240" w:lineRule="auto"/>
    </w:pPr>
    <w:rPr>
      <w:rFonts w:ascii="Calibri" w:eastAsia="Calibri" w:hAnsi="Calibri" w:cs="Times New Roman"/>
      <w:sz w:val="20"/>
      <w:szCs w:val="20"/>
      <w:lang w:val="en-GB" w:eastAsia="en-GB"/>
    </w:rPr>
    <w:tblPr>
      <w:tblStyleRowBandSize w:val="1"/>
      <w:tblStyleColBandSize w:val="1"/>
      <w:tblBorders>
        <w:top w:val="single" w:sz="8" w:space="0" w:color="8FB08C"/>
        <w:left w:val="single" w:sz="8" w:space="0" w:color="8FB08C"/>
        <w:bottom w:val="single" w:sz="8" w:space="0" w:color="8FB08C"/>
        <w:right w:val="single" w:sz="8" w:space="0" w:color="8FB08C"/>
        <w:insideH w:val="single" w:sz="8" w:space="0" w:color="8FB08C"/>
        <w:insideV w:val="single" w:sz="8" w:space="0" w:color="8FB08C"/>
      </w:tblBorders>
    </w:tblPr>
    <w:tblStylePr w:type="firstRow">
      <w:pPr>
        <w:spacing w:before="0" w:after="0" w:line="240" w:lineRule="auto"/>
      </w:pPr>
      <w:rPr>
        <w:rFonts w:ascii="Comic Sans MS" w:eastAsia="Times New Roman" w:hAnsi="Comic Sans MS" w:cs="Times New Roman"/>
        <w:b/>
        <w:bCs/>
      </w:rPr>
      <w:tblPr/>
      <w:tcPr>
        <w:tcBorders>
          <w:top w:val="single" w:sz="8" w:space="0" w:color="8FB08C"/>
          <w:left w:val="single" w:sz="8" w:space="0" w:color="8FB08C"/>
          <w:bottom w:val="single" w:sz="18" w:space="0" w:color="8FB08C"/>
          <w:right w:val="single" w:sz="8" w:space="0" w:color="8FB08C"/>
          <w:insideH w:val="nil"/>
          <w:insideV w:val="single" w:sz="8" w:space="0" w:color="8FB08C"/>
        </w:tcBorders>
      </w:tcPr>
    </w:tblStylePr>
    <w:tblStylePr w:type="lastRow">
      <w:pPr>
        <w:spacing w:before="0" w:after="0" w:line="240" w:lineRule="auto"/>
      </w:pPr>
      <w:rPr>
        <w:rFonts w:ascii="Comic Sans MS" w:eastAsia="Times New Roman" w:hAnsi="Comic Sans MS" w:cs="Times New Roman"/>
        <w:b/>
        <w:bCs/>
      </w:rPr>
      <w:tblPr/>
      <w:tcPr>
        <w:tcBorders>
          <w:top w:val="double" w:sz="6" w:space="0" w:color="8FB08C"/>
          <w:left w:val="single" w:sz="8" w:space="0" w:color="8FB08C"/>
          <w:bottom w:val="single" w:sz="8" w:space="0" w:color="8FB08C"/>
          <w:right w:val="single" w:sz="8" w:space="0" w:color="8FB08C"/>
          <w:insideH w:val="nil"/>
          <w:insideV w:val="single" w:sz="8" w:space="0" w:color="8FB08C"/>
        </w:tcBorders>
      </w:tcPr>
    </w:tblStylePr>
    <w:tblStylePr w:type="firstCol">
      <w:rPr>
        <w:rFonts w:ascii="Comic Sans MS" w:eastAsia="Times New Roman" w:hAnsi="Comic Sans MS" w:cs="Times New Roman"/>
        <w:b/>
        <w:bCs/>
      </w:rPr>
    </w:tblStylePr>
    <w:tblStylePr w:type="lastCol">
      <w:rPr>
        <w:rFonts w:ascii="Comic Sans MS" w:eastAsia="Times New Roman" w:hAnsi="Comic Sans MS" w:cs="Times New Roman"/>
        <w:b/>
        <w:bCs/>
      </w:rPr>
      <w:tblPr/>
      <w:tcPr>
        <w:tcBorders>
          <w:top w:val="single" w:sz="8" w:space="0" w:color="8FB08C"/>
          <w:left w:val="single" w:sz="8" w:space="0" w:color="8FB08C"/>
          <w:bottom w:val="single" w:sz="8" w:space="0" w:color="8FB08C"/>
          <w:right w:val="single" w:sz="8" w:space="0" w:color="8FB08C"/>
        </w:tcBorders>
      </w:tcPr>
    </w:tblStylePr>
    <w:tblStylePr w:type="band1Vert">
      <w:tblPr/>
      <w:tcPr>
        <w:tcBorders>
          <w:top w:val="single" w:sz="8" w:space="0" w:color="8FB08C"/>
          <w:left w:val="single" w:sz="8" w:space="0" w:color="8FB08C"/>
          <w:bottom w:val="single" w:sz="8" w:space="0" w:color="8FB08C"/>
          <w:right w:val="single" w:sz="8" w:space="0" w:color="8FB08C"/>
        </w:tcBorders>
        <w:shd w:val="clear" w:color="auto" w:fill="E3EBE2"/>
      </w:tcPr>
    </w:tblStylePr>
    <w:tblStylePr w:type="band1Horz">
      <w:tblPr/>
      <w:tcPr>
        <w:tcBorders>
          <w:top w:val="single" w:sz="8" w:space="0" w:color="8FB08C"/>
          <w:left w:val="single" w:sz="8" w:space="0" w:color="8FB08C"/>
          <w:bottom w:val="single" w:sz="8" w:space="0" w:color="8FB08C"/>
          <w:right w:val="single" w:sz="8" w:space="0" w:color="8FB08C"/>
          <w:insideV w:val="single" w:sz="8" w:space="0" w:color="8FB08C"/>
        </w:tcBorders>
        <w:shd w:val="clear" w:color="auto" w:fill="E3EBE2"/>
      </w:tcPr>
    </w:tblStylePr>
    <w:tblStylePr w:type="band2Horz">
      <w:tblPr/>
      <w:tcPr>
        <w:tcBorders>
          <w:top w:val="single" w:sz="8" w:space="0" w:color="8FB08C"/>
          <w:left w:val="single" w:sz="8" w:space="0" w:color="8FB08C"/>
          <w:bottom w:val="single" w:sz="8" w:space="0" w:color="8FB08C"/>
          <w:right w:val="single" w:sz="8" w:space="0" w:color="8FB08C"/>
          <w:insideV w:val="single" w:sz="8" w:space="0" w:color="8FB08C"/>
        </w:tcBorders>
      </w:tcPr>
    </w:tblStylePr>
  </w:style>
  <w:style w:type="table" w:customStyle="1" w:styleId="LightList-Accent3211">
    <w:name w:val="Light List - Accent 3211"/>
    <w:basedOn w:val="TableNormal"/>
    <w:next w:val="LightList-Accent3"/>
    <w:uiPriority w:val="61"/>
    <w:rsid w:val="00797049"/>
    <w:pPr>
      <w:spacing w:after="0" w:line="240" w:lineRule="auto"/>
    </w:pPr>
    <w:rPr>
      <w:rFonts w:ascii="Calibri" w:eastAsia="Calibri" w:hAnsi="Calibri" w:cs="Times New Roman"/>
      <w:sz w:val="20"/>
      <w:szCs w:val="20"/>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List-Accent31111">
    <w:name w:val="Light List - Accent 31111"/>
    <w:basedOn w:val="TableNormal"/>
    <w:next w:val="LightList-Accent3"/>
    <w:uiPriority w:val="61"/>
    <w:rsid w:val="00797049"/>
    <w:pPr>
      <w:spacing w:after="0" w:line="240" w:lineRule="auto"/>
    </w:pPr>
    <w:rPr>
      <w:rFonts w:ascii="Constantia" w:eastAsia="Constantia" w:hAnsi="Constantia" w:cs="Times New Roman"/>
      <w:lang w:val="sr-Cyrl-CS"/>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Shading-Accent1331">
    <w:name w:val="Light Shading - Accent 1331"/>
    <w:basedOn w:val="TableNormal"/>
    <w:uiPriority w:val="60"/>
    <w:rsid w:val="00797049"/>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111">
    <w:name w:val="Light Shading - Accent 13111"/>
    <w:basedOn w:val="TableNormal"/>
    <w:uiPriority w:val="60"/>
    <w:rsid w:val="00797049"/>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211">
    <w:name w:val="Light Shading - Accent 13211"/>
    <w:basedOn w:val="TableNormal"/>
    <w:uiPriority w:val="60"/>
    <w:rsid w:val="00797049"/>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121">
    <w:name w:val="Light Shading - Accent 1121"/>
    <w:basedOn w:val="TableNormal"/>
    <w:uiPriority w:val="60"/>
    <w:rsid w:val="00797049"/>
    <w:pPr>
      <w:spacing w:after="0" w:line="240" w:lineRule="auto"/>
      <w:ind w:left="568" w:hanging="284"/>
    </w:pPr>
    <w:rPr>
      <w:rFonts w:ascii="Calibri" w:eastAsia="Calibri"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41">
    <w:name w:val="Light Shading - Accent 1341"/>
    <w:basedOn w:val="TableNormal"/>
    <w:uiPriority w:val="60"/>
    <w:rsid w:val="00797049"/>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131">
    <w:name w:val="Light Shading - Accent 1131"/>
    <w:basedOn w:val="TableNormal"/>
    <w:uiPriority w:val="60"/>
    <w:rsid w:val="00797049"/>
    <w:pPr>
      <w:spacing w:after="0" w:line="240" w:lineRule="auto"/>
      <w:ind w:left="568" w:hanging="284"/>
    </w:pPr>
    <w:rPr>
      <w:rFonts w:ascii="Calibri" w:eastAsia="Calibri"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51">
    <w:name w:val="Light Shading - Accent 1351"/>
    <w:basedOn w:val="TableNormal"/>
    <w:uiPriority w:val="60"/>
    <w:rsid w:val="00797049"/>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62">
    <w:name w:val="Light Shading - Accent 1362"/>
    <w:basedOn w:val="TableNormal"/>
    <w:uiPriority w:val="60"/>
    <w:rsid w:val="00797049"/>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71">
    <w:name w:val="Light Shading - Accent 1371"/>
    <w:basedOn w:val="TableNormal"/>
    <w:uiPriority w:val="60"/>
    <w:rsid w:val="00797049"/>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ele321">
    <w:name w:val="tabele 321"/>
    <w:basedOn w:val="TableNormal"/>
    <w:next w:val="LightList-Accent3"/>
    <w:uiPriority w:val="61"/>
    <w:rsid w:val="00797049"/>
    <w:pPr>
      <w:spacing w:after="0" w:line="240" w:lineRule="auto"/>
    </w:pPr>
    <w:rPr>
      <w:rFonts w:ascii="Cambria Math" w:eastAsia="Calibri" w:hAnsi="Cambria Math" w:cs="Times New Roman"/>
      <w:sz w:val="18"/>
      <w:lang w:val="sr-Cyrl-C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ghtShading-Accent1141">
    <w:name w:val="Light Shading - Accent 1141"/>
    <w:basedOn w:val="TableNormal"/>
    <w:uiPriority w:val="60"/>
    <w:rsid w:val="00797049"/>
    <w:pPr>
      <w:spacing w:after="0" w:line="240" w:lineRule="auto"/>
      <w:ind w:left="568" w:hanging="284"/>
    </w:pPr>
    <w:rPr>
      <w:rFonts w:ascii="Calibri" w:eastAsia="Calibri"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334">
    <w:name w:val="Light Shading - Accent 334"/>
    <w:basedOn w:val="TableNormal"/>
    <w:next w:val="LightShading-Accent3"/>
    <w:uiPriority w:val="60"/>
    <w:rsid w:val="00797049"/>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List-Accent531">
    <w:name w:val="Light List - Accent 531"/>
    <w:basedOn w:val="TableNormal"/>
    <w:next w:val="LightList-Accent5"/>
    <w:uiPriority w:val="61"/>
    <w:rsid w:val="00797049"/>
    <w:pPr>
      <w:spacing w:after="0" w:line="240" w:lineRule="auto"/>
    </w:pPr>
    <w:rPr>
      <w:rFonts w:ascii="Calibri" w:eastAsia="Calibri" w:hAnsi="Calibri" w:cs="Times New Roman"/>
      <w:sz w:val="20"/>
      <w:szCs w:val="20"/>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LightShading-Accent3121">
    <w:name w:val="Light Shading - Accent 3121"/>
    <w:basedOn w:val="TableNormal"/>
    <w:next w:val="LightShading-Accent3"/>
    <w:uiPriority w:val="60"/>
    <w:rsid w:val="00797049"/>
    <w:pPr>
      <w:spacing w:after="0" w:line="240" w:lineRule="auto"/>
    </w:pPr>
    <w:rPr>
      <w:rFonts w:ascii="Constantia" w:eastAsia="Constantia" w:hAnsi="Constantia" w:cs="Times New Roman"/>
      <w:color w:val="8CADAE"/>
      <w:lang w:val="sr-Cyrl-CS"/>
    </w:rPr>
    <w:tblPr>
      <w:tblStyleRowBandSize w:val="1"/>
      <w:tblStyleColBandSize w:val="1"/>
      <w:tblBorders>
        <w:top w:val="single" w:sz="8" w:space="0" w:color="8CADAE"/>
        <w:bottom w:val="single" w:sz="8" w:space="0" w:color="8CADAE"/>
      </w:tblBorders>
    </w:tblPr>
    <w:tblStylePr w:type="firstRow">
      <w:pPr>
        <w:spacing w:before="0" w:after="0" w:line="240" w:lineRule="auto"/>
      </w:pPr>
      <w:rPr>
        <w:b/>
        <w:bCs/>
      </w:rPr>
      <w:tblPr/>
      <w:tcPr>
        <w:tcBorders>
          <w:top w:val="single" w:sz="8" w:space="0" w:color="8CADAE"/>
          <w:left w:val="nil"/>
          <w:bottom w:val="single" w:sz="8" w:space="0" w:color="8CADAE"/>
          <w:right w:val="nil"/>
          <w:insideH w:val="nil"/>
          <w:insideV w:val="nil"/>
        </w:tcBorders>
      </w:tcPr>
    </w:tblStylePr>
    <w:tblStylePr w:type="lastRow">
      <w:pPr>
        <w:spacing w:before="0" w:after="0" w:line="240" w:lineRule="auto"/>
      </w:pPr>
      <w:rPr>
        <w:b/>
        <w:bCs/>
      </w:rPr>
      <w:tblPr/>
      <w:tcPr>
        <w:tcBorders>
          <w:top w:val="single" w:sz="8" w:space="0" w:color="8CADAE"/>
          <w:left w:val="nil"/>
          <w:bottom w:val="single" w:sz="8" w:space="0" w:color="8CADA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AEB"/>
      </w:tcPr>
    </w:tblStylePr>
    <w:tblStylePr w:type="band1Horz">
      <w:tblPr/>
      <w:tcPr>
        <w:tcBorders>
          <w:left w:val="nil"/>
          <w:right w:val="nil"/>
          <w:insideH w:val="nil"/>
          <w:insideV w:val="nil"/>
        </w:tcBorders>
        <w:shd w:val="clear" w:color="auto" w:fill="E2EAEB"/>
      </w:tcPr>
    </w:tblStylePr>
  </w:style>
  <w:style w:type="table" w:customStyle="1" w:styleId="LightList-Accent3131">
    <w:name w:val="Light List - Accent 3131"/>
    <w:basedOn w:val="TableNormal"/>
    <w:next w:val="LightList-Accent3"/>
    <w:uiPriority w:val="61"/>
    <w:rsid w:val="00797049"/>
    <w:pPr>
      <w:spacing w:after="0" w:line="240" w:lineRule="auto"/>
    </w:pPr>
    <w:rPr>
      <w:rFonts w:ascii="Constantia" w:eastAsia="Constantia" w:hAnsi="Constantia" w:cs="Times New Roman"/>
      <w:lang w:val="sr-Cyrl-CS"/>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List-Accent5121">
    <w:name w:val="Light List - Accent 5121"/>
    <w:basedOn w:val="TableNormal"/>
    <w:next w:val="LightList-Accent5"/>
    <w:uiPriority w:val="61"/>
    <w:rsid w:val="00797049"/>
    <w:pPr>
      <w:spacing w:after="0" w:line="240" w:lineRule="auto"/>
    </w:pPr>
    <w:rPr>
      <w:rFonts w:ascii="Times New Roman" w:eastAsia="Constantia" w:hAnsi="Times New Roman" w:cs="Times New Roman"/>
      <w:lang w:val="sr-Cyrl-CS"/>
    </w:rPr>
    <w:tblPr>
      <w:tblStyleRowBandSize w:val="1"/>
      <w:tblStyleColBandSize w:val="1"/>
      <w:tblBorders>
        <w:top w:val="single" w:sz="8" w:space="0" w:color="8FB08C"/>
        <w:left w:val="single" w:sz="8" w:space="0" w:color="8FB08C"/>
        <w:bottom w:val="single" w:sz="8" w:space="0" w:color="8FB08C"/>
        <w:right w:val="single" w:sz="8" w:space="0" w:color="8FB08C"/>
      </w:tblBorders>
    </w:tblPr>
    <w:tblStylePr w:type="firstRow">
      <w:pPr>
        <w:spacing w:before="0" w:after="0" w:line="240" w:lineRule="auto"/>
      </w:pPr>
      <w:rPr>
        <w:b/>
        <w:bCs/>
        <w:color w:val="FFFFFF"/>
      </w:rPr>
      <w:tblPr/>
      <w:tcPr>
        <w:shd w:val="clear" w:color="auto" w:fill="8FB08C"/>
      </w:tcPr>
    </w:tblStylePr>
    <w:tblStylePr w:type="lastRow">
      <w:pPr>
        <w:spacing w:before="0" w:after="0" w:line="240" w:lineRule="auto"/>
      </w:pPr>
      <w:rPr>
        <w:b/>
        <w:bCs/>
      </w:rPr>
      <w:tblPr/>
      <w:tcPr>
        <w:tcBorders>
          <w:top w:val="double" w:sz="6" w:space="0" w:color="8FB08C"/>
          <w:left w:val="single" w:sz="8" w:space="0" w:color="8FB08C"/>
          <w:bottom w:val="single" w:sz="8" w:space="0" w:color="8FB08C"/>
          <w:right w:val="single" w:sz="8" w:space="0" w:color="8FB08C"/>
        </w:tcBorders>
      </w:tcPr>
    </w:tblStylePr>
    <w:tblStylePr w:type="firstCol">
      <w:rPr>
        <w:b/>
        <w:bCs/>
      </w:rPr>
    </w:tblStylePr>
    <w:tblStylePr w:type="lastCol">
      <w:rPr>
        <w:b/>
        <w:bCs/>
      </w:rPr>
    </w:tblStylePr>
    <w:tblStylePr w:type="band1Vert">
      <w:tblPr/>
      <w:tcPr>
        <w:tcBorders>
          <w:top w:val="single" w:sz="8" w:space="0" w:color="8FB08C"/>
          <w:left w:val="single" w:sz="8" w:space="0" w:color="8FB08C"/>
          <w:bottom w:val="single" w:sz="8" w:space="0" w:color="8FB08C"/>
          <w:right w:val="single" w:sz="8" w:space="0" w:color="8FB08C"/>
        </w:tcBorders>
      </w:tcPr>
    </w:tblStylePr>
    <w:tblStylePr w:type="band1Horz">
      <w:tblPr/>
      <w:tcPr>
        <w:tcBorders>
          <w:top w:val="single" w:sz="8" w:space="0" w:color="8FB08C"/>
          <w:left w:val="single" w:sz="8" w:space="0" w:color="8FB08C"/>
          <w:bottom w:val="single" w:sz="8" w:space="0" w:color="8FB08C"/>
          <w:right w:val="single" w:sz="8" w:space="0" w:color="8FB08C"/>
        </w:tcBorders>
      </w:tcPr>
    </w:tblStylePr>
  </w:style>
  <w:style w:type="table" w:customStyle="1" w:styleId="LightGrid-Accent5122">
    <w:name w:val="Light Grid - Accent 5122"/>
    <w:basedOn w:val="TableNormal"/>
    <w:next w:val="LightGrid-Accent5"/>
    <w:uiPriority w:val="62"/>
    <w:rsid w:val="00797049"/>
    <w:pPr>
      <w:spacing w:after="0" w:line="240" w:lineRule="auto"/>
    </w:pPr>
    <w:rPr>
      <w:rFonts w:ascii="Calibri" w:eastAsia="Calibri" w:hAnsi="Calibri" w:cs="Times New Roman"/>
      <w:sz w:val="20"/>
      <w:szCs w:val="20"/>
      <w:lang w:val="sr-Latn-CS" w:eastAsia="en-GB"/>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Comic Sans MS" w:eastAsia="Times New Roman" w:hAnsi="Comic Sans MS"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omic Sans MS" w:eastAsia="Times New Roman" w:hAnsi="Comic Sans MS"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omic Sans MS" w:eastAsia="Times New Roman" w:hAnsi="Comic Sans MS" w:cs="Times New Roman"/>
        <w:b/>
        <w:bCs/>
      </w:rPr>
    </w:tblStylePr>
    <w:tblStylePr w:type="lastCol">
      <w:rPr>
        <w:rFonts w:ascii="Comic Sans MS" w:eastAsia="Times New Roman" w:hAnsi="Comic Sans MS"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1121">
    <w:name w:val="Светло сенчење – наглашавање 1121"/>
    <w:basedOn w:val="TableNormal"/>
    <w:uiPriority w:val="60"/>
    <w:rsid w:val="00797049"/>
    <w:pPr>
      <w:spacing w:after="0" w:line="240" w:lineRule="auto"/>
    </w:pPr>
    <w:rPr>
      <w:rFonts w:ascii="Calibri" w:eastAsia="Calibri" w:hAnsi="Calibri" w:cs="Times New Roman"/>
      <w:color w:val="365F91"/>
      <w:sz w:val="20"/>
      <w:szCs w:val="20"/>
      <w:lang w:val="sr-Latn-CS" w:eastAsia="en-GB"/>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Grid-Accent532">
    <w:name w:val="Light Grid - Accent 532"/>
    <w:basedOn w:val="TableNormal"/>
    <w:next w:val="LightGrid-Accent5"/>
    <w:uiPriority w:val="62"/>
    <w:rsid w:val="00797049"/>
    <w:pPr>
      <w:spacing w:after="0" w:line="240" w:lineRule="auto"/>
    </w:pPr>
    <w:rPr>
      <w:rFonts w:ascii="Calibri" w:eastAsia="Calibri" w:hAnsi="Calibri" w:cs="Times New Roman"/>
      <w:sz w:val="20"/>
      <w:szCs w:val="20"/>
      <w:lang w:val="en-GB" w:eastAsia="en-GB"/>
    </w:rPr>
    <w:tblPr>
      <w:tblStyleRowBandSize w:val="1"/>
      <w:tblStyleColBandSize w:val="1"/>
      <w:tblBorders>
        <w:top w:val="single" w:sz="8" w:space="0" w:color="8FB08C"/>
        <w:left w:val="single" w:sz="8" w:space="0" w:color="8FB08C"/>
        <w:bottom w:val="single" w:sz="8" w:space="0" w:color="8FB08C"/>
        <w:right w:val="single" w:sz="8" w:space="0" w:color="8FB08C"/>
        <w:insideH w:val="single" w:sz="8" w:space="0" w:color="8FB08C"/>
        <w:insideV w:val="single" w:sz="8" w:space="0" w:color="8FB08C"/>
      </w:tblBorders>
    </w:tblPr>
    <w:tblStylePr w:type="firstRow">
      <w:pPr>
        <w:spacing w:before="0" w:after="0" w:line="240" w:lineRule="auto"/>
      </w:pPr>
      <w:rPr>
        <w:rFonts w:ascii="Comic Sans MS" w:eastAsia="Times New Roman" w:hAnsi="Comic Sans MS" w:cs="Times New Roman"/>
        <w:b/>
        <w:bCs/>
      </w:rPr>
      <w:tblPr/>
      <w:tcPr>
        <w:tcBorders>
          <w:top w:val="single" w:sz="8" w:space="0" w:color="8FB08C"/>
          <w:left w:val="single" w:sz="8" w:space="0" w:color="8FB08C"/>
          <w:bottom w:val="single" w:sz="18" w:space="0" w:color="8FB08C"/>
          <w:right w:val="single" w:sz="8" w:space="0" w:color="8FB08C"/>
          <w:insideH w:val="nil"/>
          <w:insideV w:val="single" w:sz="8" w:space="0" w:color="8FB08C"/>
        </w:tcBorders>
      </w:tcPr>
    </w:tblStylePr>
    <w:tblStylePr w:type="lastRow">
      <w:pPr>
        <w:spacing w:before="0" w:after="0" w:line="240" w:lineRule="auto"/>
      </w:pPr>
      <w:rPr>
        <w:rFonts w:ascii="Comic Sans MS" w:eastAsia="Times New Roman" w:hAnsi="Comic Sans MS" w:cs="Times New Roman"/>
        <w:b/>
        <w:bCs/>
      </w:rPr>
      <w:tblPr/>
      <w:tcPr>
        <w:tcBorders>
          <w:top w:val="double" w:sz="6" w:space="0" w:color="8FB08C"/>
          <w:left w:val="single" w:sz="8" w:space="0" w:color="8FB08C"/>
          <w:bottom w:val="single" w:sz="8" w:space="0" w:color="8FB08C"/>
          <w:right w:val="single" w:sz="8" w:space="0" w:color="8FB08C"/>
          <w:insideH w:val="nil"/>
          <w:insideV w:val="single" w:sz="8" w:space="0" w:color="8FB08C"/>
        </w:tcBorders>
      </w:tcPr>
    </w:tblStylePr>
    <w:tblStylePr w:type="firstCol">
      <w:rPr>
        <w:rFonts w:ascii="Comic Sans MS" w:eastAsia="Times New Roman" w:hAnsi="Comic Sans MS" w:cs="Times New Roman"/>
        <w:b/>
        <w:bCs/>
      </w:rPr>
    </w:tblStylePr>
    <w:tblStylePr w:type="lastCol">
      <w:rPr>
        <w:rFonts w:ascii="Comic Sans MS" w:eastAsia="Times New Roman" w:hAnsi="Comic Sans MS" w:cs="Times New Roman"/>
        <w:b/>
        <w:bCs/>
      </w:rPr>
      <w:tblPr/>
      <w:tcPr>
        <w:tcBorders>
          <w:top w:val="single" w:sz="8" w:space="0" w:color="8FB08C"/>
          <w:left w:val="single" w:sz="8" w:space="0" w:color="8FB08C"/>
          <w:bottom w:val="single" w:sz="8" w:space="0" w:color="8FB08C"/>
          <w:right w:val="single" w:sz="8" w:space="0" w:color="8FB08C"/>
        </w:tcBorders>
      </w:tcPr>
    </w:tblStylePr>
    <w:tblStylePr w:type="band1Vert">
      <w:tblPr/>
      <w:tcPr>
        <w:tcBorders>
          <w:top w:val="single" w:sz="8" w:space="0" w:color="8FB08C"/>
          <w:left w:val="single" w:sz="8" w:space="0" w:color="8FB08C"/>
          <w:bottom w:val="single" w:sz="8" w:space="0" w:color="8FB08C"/>
          <w:right w:val="single" w:sz="8" w:space="0" w:color="8FB08C"/>
        </w:tcBorders>
        <w:shd w:val="clear" w:color="auto" w:fill="E3EBE2"/>
      </w:tcPr>
    </w:tblStylePr>
    <w:tblStylePr w:type="band1Horz">
      <w:tblPr/>
      <w:tcPr>
        <w:tcBorders>
          <w:top w:val="single" w:sz="8" w:space="0" w:color="8FB08C"/>
          <w:left w:val="single" w:sz="8" w:space="0" w:color="8FB08C"/>
          <w:bottom w:val="single" w:sz="8" w:space="0" w:color="8FB08C"/>
          <w:right w:val="single" w:sz="8" w:space="0" w:color="8FB08C"/>
          <w:insideV w:val="single" w:sz="8" w:space="0" w:color="8FB08C"/>
        </w:tcBorders>
        <w:shd w:val="clear" w:color="auto" w:fill="E3EBE2"/>
      </w:tcPr>
    </w:tblStylePr>
    <w:tblStylePr w:type="band2Horz">
      <w:tblPr/>
      <w:tcPr>
        <w:tcBorders>
          <w:top w:val="single" w:sz="8" w:space="0" w:color="8FB08C"/>
          <w:left w:val="single" w:sz="8" w:space="0" w:color="8FB08C"/>
          <w:bottom w:val="single" w:sz="8" w:space="0" w:color="8FB08C"/>
          <w:right w:val="single" w:sz="8" w:space="0" w:color="8FB08C"/>
          <w:insideV w:val="single" w:sz="8" w:space="0" w:color="8FB08C"/>
        </w:tcBorders>
      </w:tcPr>
    </w:tblStylePr>
  </w:style>
  <w:style w:type="table" w:customStyle="1" w:styleId="LightList-Accent3221">
    <w:name w:val="Light List - Accent 3221"/>
    <w:basedOn w:val="TableNormal"/>
    <w:next w:val="LightList-Accent3"/>
    <w:uiPriority w:val="61"/>
    <w:rsid w:val="00797049"/>
    <w:pPr>
      <w:spacing w:after="0" w:line="240" w:lineRule="auto"/>
    </w:pPr>
    <w:rPr>
      <w:rFonts w:ascii="Calibri" w:eastAsia="Calibri" w:hAnsi="Calibri" w:cs="Times New Roman"/>
      <w:sz w:val="20"/>
      <w:szCs w:val="20"/>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List-Accent31121">
    <w:name w:val="Light List - Accent 31121"/>
    <w:basedOn w:val="TableNormal"/>
    <w:next w:val="LightList-Accent3"/>
    <w:uiPriority w:val="61"/>
    <w:rsid w:val="00797049"/>
    <w:pPr>
      <w:spacing w:after="0" w:line="240" w:lineRule="auto"/>
    </w:pPr>
    <w:rPr>
      <w:rFonts w:ascii="Constantia" w:eastAsia="Constantia" w:hAnsi="Constantia" w:cs="Times New Roman"/>
      <w:lang w:val="sr-Cyrl-CS"/>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Shading-Accent1382">
    <w:name w:val="Light Shading - Accent 1382"/>
    <w:basedOn w:val="TableNormal"/>
    <w:uiPriority w:val="60"/>
    <w:rsid w:val="00797049"/>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121">
    <w:name w:val="Light Shading - Accent 13121"/>
    <w:basedOn w:val="TableNormal"/>
    <w:uiPriority w:val="60"/>
    <w:rsid w:val="00797049"/>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221">
    <w:name w:val="Light Shading - Accent 13221"/>
    <w:basedOn w:val="TableNormal"/>
    <w:uiPriority w:val="60"/>
    <w:rsid w:val="00797049"/>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151">
    <w:name w:val="Light Shading - Accent 1151"/>
    <w:basedOn w:val="TableNormal"/>
    <w:uiPriority w:val="60"/>
    <w:rsid w:val="00797049"/>
    <w:pPr>
      <w:spacing w:after="0" w:line="240" w:lineRule="auto"/>
      <w:ind w:left="568" w:hanging="284"/>
    </w:pPr>
    <w:rPr>
      <w:rFonts w:ascii="Calibri" w:eastAsia="Calibri"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92">
    <w:name w:val="Light Shading - Accent 1392"/>
    <w:basedOn w:val="TableNormal"/>
    <w:uiPriority w:val="60"/>
    <w:rsid w:val="00797049"/>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162">
    <w:name w:val="Light Shading - Accent 1162"/>
    <w:basedOn w:val="TableNormal"/>
    <w:uiPriority w:val="60"/>
    <w:rsid w:val="00797049"/>
    <w:pPr>
      <w:spacing w:after="0" w:line="240" w:lineRule="auto"/>
      <w:ind w:left="568" w:hanging="284"/>
    </w:pPr>
    <w:rPr>
      <w:rFonts w:ascii="Calibri" w:eastAsia="Calibri"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102">
    <w:name w:val="Light Shading - Accent 13102"/>
    <w:basedOn w:val="TableNormal"/>
    <w:uiPriority w:val="60"/>
    <w:rsid w:val="00797049"/>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131">
    <w:name w:val="Light Shading - Accent 13131"/>
    <w:basedOn w:val="TableNormal"/>
    <w:uiPriority w:val="60"/>
    <w:rsid w:val="00797049"/>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ele331">
    <w:name w:val="tabele 331"/>
    <w:basedOn w:val="TableNormal"/>
    <w:next w:val="LightList-Accent3"/>
    <w:uiPriority w:val="61"/>
    <w:rsid w:val="00797049"/>
    <w:pPr>
      <w:spacing w:after="0" w:line="240" w:lineRule="auto"/>
    </w:pPr>
    <w:rPr>
      <w:rFonts w:ascii="Cambria Math" w:eastAsia="Calibri" w:hAnsi="Cambria Math" w:cs="Times New Roman"/>
      <w:sz w:val="18"/>
      <w:lang w:val="sr-Cyrl-C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ghtShading-Accent1171">
    <w:name w:val="Light Shading - Accent 1171"/>
    <w:basedOn w:val="TableNormal"/>
    <w:uiPriority w:val="60"/>
    <w:rsid w:val="00797049"/>
    <w:pPr>
      <w:spacing w:after="0" w:line="240" w:lineRule="auto"/>
      <w:ind w:left="568" w:hanging="284"/>
    </w:pPr>
    <w:rPr>
      <w:rFonts w:ascii="Calibri" w:eastAsia="Calibri"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343">
    <w:name w:val="Light Shading - Accent 343"/>
    <w:basedOn w:val="TableNormal"/>
    <w:next w:val="LightShading-Accent3"/>
    <w:uiPriority w:val="60"/>
    <w:rsid w:val="00797049"/>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List-Accent541">
    <w:name w:val="Light List - Accent 541"/>
    <w:basedOn w:val="TableNormal"/>
    <w:next w:val="LightList-Accent5"/>
    <w:uiPriority w:val="61"/>
    <w:rsid w:val="00797049"/>
    <w:pPr>
      <w:spacing w:after="0" w:line="240" w:lineRule="auto"/>
    </w:pPr>
    <w:rPr>
      <w:rFonts w:ascii="Calibri" w:eastAsia="Calibri" w:hAnsi="Calibri" w:cs="Times New Roman"/>
      <w:sz w:val="20"/>
      <w:szCs w:val="20"/>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LightShading-Accent3131">
    <w:name w:val="Light Shading - Accent 3131"/>
    <w:basedOn w:val="TableNormal"/>
    <w:next w:val="LightShading-Accent3"/>
    <w:uiPriority w:val="60"/>
    <w:rsid w:val="00797049"/>
    <w:pPr>
      <w:spacing w:after="0" w:line="240" w:lineRule="auto"/>
    </w:pPr>
    <w:rPr>
      <w:rFonts w:ascii="Constantia" w:eastAsia="Constantia" w:hAnsi="Constantia" w:cs="Times New Roman"/>
      <w:color w:val="8CADAE"/>
      <w:lang w:val="sr-Cyrl-CS"/>
    </w:rPr>
    <w:tblPr>
      <w:tblStyleRowBandSize w:val="1"/>
      <w:tblStyleColBandSize w:val="1"/>
      <w:tblBorders>
        <w:top w:val="single" w:sz="8" w:space="0" w:color="8CADAE"/>
        <w:bottom w:val="single" w:sz="8" w:space="0" w:color="8CADAE"/>
      </w:tblBorders>
    </w:tblPr>
    <w:tblStylePr w:type="firstRow">
      <w:pPr>
        <w:spacing w:before="0" w:after="0" w:line="240" w:lineRule="auto"/>
      </w:pPr>
      <w:rPr>
        <w:b/>
        <w:bCs/>
      </w:rPr>
      <w:tblPr/>
      <w:tcPr>
        <w:tcBorders>
          <w:top w:val="single" w:sz="8" w:space="0" w:color="8CADAE"/>
          <w:left w:val="nil"/>
          <w:bottom w:val="single" w:sz="8" w:space="0" w:color="8CADAE"/>
          <w:right w:val="nil"/>
          <w:insideH w:val="nil"/>
          <w:insideV w:val="nil"/>
        </w:tcBorders>
      </w:tcPr>
    </w:tblStylePr>
    <w:tblStylePr w:type="lastRow">
      <w:pPr>
        <w:spacing w:before="0" w:after="0" w:line="240" w:lineRule="auto"/>
      </w:pPr>
      <w:rPr>
        <w:b/>
        <w:bCs/>
      </w:rPr>
      <w:tblPr/>
      <w:tcPr>
        <w:tcBorders>
          <w:top w:val="single" w:sz="8" w:space="0" w:color="8CADAE"/>
          <w:left w:val="nil"/>
          <w:bottom w:val="single" w:sz="8" w:space="0" w:color="8CADA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AEB"/>
      </w:tcPr>
    </w:tblStylePr>
    <w:tblStylePr w:type="band1Horz">
      <w:tblPr/>
      <w:tcPr>
        <w:tcBorders>
          <w:left w:val="nil"/>
          <w:right w:val="nil"/>
          <w:insideH w:val="nil"/>
          <w:insideV w:val="nil"/>
        </w:tcBorders>
        <w:shd w:val="clear" w:color="auto" w:fill="E2EAEB"/>
      </w:tcPr>
    </w:tblStylePr>
  </w:style>
  <w:style w:type="table" w:customStyle="1" w:styleId="LightList-Accent3141">
    <w:name w:val="Light List - Accent 3141"/>
    <w:basedOn w:val="TableNormal"/>
    <w:next w:val="LightList-Accent3"/>
    <w:uiPriority w:val="61"/>
    <w:rsid w:val="00797049"/>
    <w:pPr>
      <w:spacing w:after="0" w:line="240" w:lineRule="auto"/>
    </w:pPr>
    <w:rPr>
      <w:rFonts w:ascii="Constantia" w:eastAsia="Constantia" w:hAnsi="Constantia" w:cs="Times New Roman"/>
      <w:lang w:val="sr-Cyrl-CS"/>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List-Accent5131">
    <w:name w:val="Light List - Accent 5131"/>
    <w:basedOn w:val="TableNormal"/>
    <w:next w:val="LightList-Accent5"/>
    <w:uiPriority w:val="61"/>
    <w:rsid w:val="00797049"/>
    <w:pPr>
      <w:spacing w:after="0" w:line="240" w:lineRule="auto"/>
    </w:pPr>
    <w:rPr>
      <w:rFonts w:ascii="Times New Roman" w:eastAsia="Constantia" w:hAnsi="Times New Roman" w:cs="Times New Roman"/>
      <w:lang w:val="sr-Cyrl-CS"/>
    </w:rPr>
    <w:tblPr>
      <w:tblStyleRowBandSize w:val="1"/>
      <w:tblStyleColBandSize w:val="1"/>
      <w:tblBorders>
        <w:top w:val="single" w:sz="8" w:space="0" w:color="8FB08C"/>
        <w:left w:val="single" w:sz="8" w:space="0" w:color="8FB08C"/>
        <w:bottom w:val="single" w:sz="8" w:space="0" w:color="8FB08C"/>
        <w:right w:val="single" w:sz="8" w:space="0" w:color="8FB08C"/>
      </w:tblBorders>
    </w:tblPr>
    <w:tblStylePr w:type="firstRow">
      <w:pPr>
        <w:spacing w:before="0" w:after="0" w:line="240" w:lineRule="auto"/>
      </w:pPr>
      <w:rPr>
        <w:b/>
        <w:bCs/>
        <w:color w:val="FFFFFF"/>
      </w:rPr>
      <w:tblPr/>
      <w:tcPr>
        <w:shd w:val="clear" w:color="auto" w:fill="8FB08C"/>
      </w:tcPr>
    </w:tblStylePr>
    <w:tblStylePr w:type="lastRow">
      <w:pPr>
        <w:spacing w:before="0" w:after="0" w:line="240" w:lineRule="auto"/>
      </w:pPr>
      <w:rPr>
        <w:b/>
        <w:bCs/>
      </w:rPr>
      <w:tblPr/>
      <w:tcPr>
        <w:tcBorders>
          <w:top w:val="double" w:sz="6" w:space="0" w:color="8FB08C"/>
          <w:left w:val="single" w:sz="8" w:space="0" w:color="8FB08C"/>
          <w:bottom w:val="single" w:sz="8" w:space="0" w:color="8FB08C"/>
          <w:right w:val="single" w:sz="8" w:space="0" w:color="8FB08C"/>
        </w:tcBorders>
      </w:tcPr>
    </w:tblStylePr>
    <w:tblStylePr w:type="firstCol">
      <w:rPr>
        <w:b/>
        <w:bCs/>
      </w:rPr>
    </w:tblStylePr>
    <w:tblStylePr w:type="lastCol">
      <w:rPr>
        <w:b/>
        <w:bCs/>
      </w:rPr>
    </w:tblStylePr>
    <w:tblStylePr w:type="band1Vert">
      <w:tblPr/>
      <w:tcPr>
        <w:tcBorders>
          <w:top w:val="single" w:sz="8" w:space="0" w:color="8FB08C"/>
          <w:left w:val="single" w:sz="8" w:space="0" w:color="8FB08C"/>
          <w:bottom w:val="single" w:sz="8" w:space="0" w:color="8FB08C"/>
          <w:right w:val="single" w:sz="8" w:space="0" w:color="8FB08C"/>
        </w:tcBorders>
      </w:tcPr>
    </w:tblStylePr>
    <w:tblStylePr w:type="band1Horz">
      <w:tblPr/>
      <w:tcPr>
        <w:tcBorders>
          <w:top w:val="single" w:sz="8" w:space="0" w:color="8FB08C"/>
          <w:left w:val="single" w:sz="8" w:space="0" w:color="8FB08C"/>
          <w:bottom w:val="single" w:sz="8" w:space="0" w:color="8FB08C"/>
          <w:right w:val="single" w:sz="8" w:space="0" w:color="8FB08C"/>
        </w:tcBorders>
      </w:tcPr>
    </w:tblStylePr>
  </w:style>
  <w:style w:type="table" w:customStyle="1" w:styleId="LightGrid-Accent5132">
    <w:name w:val="Light Grid - Accent 5132"/>
    <w:basedOn w:val="TableNormal"/>
    <w:next w:val="LightGrid-Accent5"/>
    <w:uiPriority w:val="62"/>
    <w:rsid w:val="00797049"/>
    <w:pPr>
      <w:spacing w:after="0" w:line="240" w:lineRule="auto"/>
    </w:pPr>
    <w:rPr>
      <w:rFonts w:ascii="Calibri" w:eastAsia="Calibri" w:hAnsi="Calibri" w:cs="Times New Roman"/>
      <w:sz w:val="20"/>
      <w:szCs w:val="20"/>
      <w:lang w:val="sr-Latn-CS" w:eastAsia="en-GB"/>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Comic Sans MS" w:eastAsia="Times New Roman" w:hAnsi="Comic Sans MS"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omic Sans MS" w:eastAsia="Times New Roman" w:hAnsi="Comic Sans MS"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omic Sans MS" w:eastAsia="Times New Roman" w:hAnsi="Comic Sans MS" w:cs="Times New Roman"/>
        <w:b/>
        <w:bCs/>
      </w:rPr>
    </w:tblStylePr>
    <w:tblStylePr w:type="lastCol">
      <w:rPr>
        <w:rFonts w:ascii="Comic Sans MS" w:eastAsia="Times New Roman" w:hAnsi="Comic Sans MS"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1131">
    <w:name w:val="Светло сенчење – наглашавање 1131"/>
    <w:basedOn w:val="TableNormal"/>
    <w:uiPriority w:val="60"/>
    <w:rsid w:val="00797049"/>
    <w:pPr>
      <w:spacing w:after="0" w:line="240" w:lineRule="auto"/>
    </w:pPr>
    <w:rPr>
      <w:rFonts w:ascii="Calibri" w:eastAsia="Calibri" w:hAnsi="Calibri" w:cs="Times New Roman"/>
      <w:color w:val="365F91"/>
      <w:sz w:val="20"/>
      <w:szCs w:val="20"/>
      <w:lang w:val="sr-Latn-CS" w:eastAsia="en-GB"/>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Grid-Accent542">
    <w:name w:val="Light Grid - Accent 542"/>
    <w:basedOn w:val="TableNormal"/>
    <w:next w:val="LightGrid-Accent5"/>
    <w:uiPriority w:val="62"/>
    <w:rsid w:val="00797049"/>
    <w:pPr>
      <w:spacing w:after="0" w:line="240" w:lineRule="auto"/>
    </w:pPr>
    <w:rPr>
      <w:rFonts w:ascii="Calibri" w:eastAsia="Calibri" w:hAnsi="Calibri" w:cs="Times New Roman"/>
      <w:sz w:val="20"/>
      <w:szCs w:val="20"/>
      <w:lang w:val="en-GB" w:eastAsia="en-GB"/>
    </w:rPr>
    <w:tblPr>
      <w:tblStyleRowBandSize w:val="1"/>
      <w:tblStyleColBandSize w:val="1"/>
      <w:tblBorders>
        <w:top w:val="single" w:sz="8" w:space="0" w:color="8FB08C"/>
        <w:left w:val="single" w:sz="8" w:space="0" w:color="8FB08C"/>
        <w:bottom w:val="single" w:sz="8" w:space="0" w:color="8FB08C"/>
        <w:right w:val="single" w:sz="8" w:space="0" w:color="8FB08C"/>
        <w:insideH w:val="single" w:sz="8" w:space="0" w:color="8FB08C"/>
        <w:insideV w:val="single" w:sz="8" w:space="0" w:color="8FB08C"/>
      </w:tblBorders>
    </w:tblPr>
    <w:tblStylePr w:type="firstRow">
      <w:pPr>
        <w:spacing w:before="0" w:after="0" w:line="240" w:lineRule="auto"/>
      </w:pPr>
      <w:rPr>
        <w:rFonts w:ascii="Comic Sans MS" w:eastAsia="Times New Roman" w:hAnsi="Comic Sans MS" w:cs="Times New Roman"/>
        <w:b/>
        <w:bCs/>
      </w:rPr>
      <w:tblPr/>
      <w:tcPr>
        <w:tcBorders>
          <w:top w:val="single" w:sz="8" w:space="0" w:color="8FB08C"/>
          <w:left w:val="single" w:sz="8" w:space="0" w:color="8FB08C"/>
          <w:bottom w:val="single" w:sz="18" w:space="0" w:color="8FB08C"/>
          <w:right w:val="single" w:sz="8" w:space="0" w:color="8FB08C"/>
          <w:insideH w:val="nil"/>
          <w:insideV w:val="single" w:sz="8" w:space="0" w:color="8FB08C"/>
        </w:tcBorders>
      </w:tcPr>
    </w:tblStylePr>
    <w:tblStylePr w:type="lastRow">
      <w:pPr>
        <w:spacing w:before="0" w:after="0" w:line="240" w:lineRule="auto"/>
      </w:pPr>
      <w:rPr>
        <w:rFonts w:ascii="Comic Sans MS" w:eastAsia="Times New Roman" w:hAnsi="Comic Sans MS" w:cs="Times New Roman"/>
        <w:b/>
        <w:bCs/>
      </w:rPr>
      <w:tblPr/>
      <w:tcPr>
        <w:tcBorders>
          <w:top w:val="double" w:sz="6" w:space="0" w:color="8FB08C"/>
          <w:left w:val="single" w:sz="8" w:space="0" w:color="8FB08C"/>
          <w:bottom w:val="single" w:sz="8" w:space="0" w:color="8FB08C"/>
          <w:right w:val="single" w:sz="8" w:space="0" w:color="8FB08C"/>
          <w:insideH w:val="nil"/>
          <w:insideV w:val="single" w:sz="8" w:space="0" w:color="8FB08C"/>
        </w:tcBorders>
      </w:tcPr>
    </w:tblStylePr>
    <w:tblStylePr w:type="firstCol">
      <w:rPr>
        <w:rFonts w:ascii="Comic Sans MS" w:eastAsia="Times New Roman" w:hAnsi="Comic Sans MS" w:cs="Times New Roman"/>
        <w:b/>
        <w:bCs/>
      </w:rPr>
    </w:tblStylePr>
    <w:tblStylePr w:type="lastCol">
      <w:rPr>
        <w:rFonts w:ascii="Comic Sans MS" w:eastAsia="Times New Roman" w:hAnsi="Comic Sans MS" w:cs="Times New Roman"/>
        <w:b/>
        <w:bCs/>
      </w:rPr>
      <w:tblPr/>
      <w:tcPr>
        <w:tcBorders>
          <w:top w:val="single" w:sz="8" w:space="0" w:color="8FB08C"/>
          <w:left w:val="single" w:sz="8" w:space="0" w:color="8FB08C"/>
          <w:bottom w:val="single" w:sz="8" w:space="0" w:color="8FB08C"/>
          <w:right w:val="single" w:sz="8" w:space="0" w:color="8FB08C"/>
        </w:tcBorders>
      </w:tcPr>
    </w:tblStylePr>
    <w:tblStylePr w:type="band1Vert">
      <w:tblPr/>
      <w:tcPr>
        <w:tcBorders>
          <w:top w:val="single" w:sz="8" w:space="0" w:color="8FB08C"/>
          <w:left w:val="single" w:sz="8" w:space="0" w:color="8FB08C"/>
          <w:bottom w:val="single" w:sz="8" w:space="0" w:color="8FB08C"/>
          <w:right w:val="single" w:sz="8" w:space="0" w:color="8FB08C"/>
        </w:tcBorders>
        <w:shd w:val="clear" w:color="auto" w:fill="E3EBE2"/>
      </w:tcPr>
    </w:tblStylePr>
    <w:tblStylePr w:type="band1Horz">
      <w:tblPr/>
      <w:tcPr>
        <w:tcBorders>
          <w:top w:val="single" w:sz="8" w:space="0" w:color="8FB08C"/>
          <w:left w:val="single" w:sz="8" w:space="0" w:color="8FB08C"/>
          <w:bottom w:val="single" w:sz="8" w:space="0" w:color="8FB08C"/>
          <w:right w:val="single" w:sz="8" w:space="0" w:color="8FB08C"/>
          <w:insideV w:val="single" w:sz="8" w:space="0" w:color="8FB08C"/>
        </w:tcBorders>
        <w:shd w:val="clear" w:color="auto" w:fill="E3EBE2"/>
      </w:tcPr>
    </w:tblStylePr>
    <w:tblStylePr w:type="band2Horz">
      <w:tblPr/>
      <w:tcPr>
        <w:tcBorders>
          <w:top w:val="single" w:sz="8" w:space="0" w:color="8FB08C"/>
          <w:left w:val="single" w:sz="8" w:space="0" w:color="8FB08C"/>
          <w:bottom w:val="single" w:sz="8" w:space="0" w:color="8FB08C"/>
          <w:right w:val="single" w:sz="8" w:space="0" w:color="8FB08C"/>
          <w:insideV w:val="single" w:sz="8" w:space="0" w:color="8FB08C"/>
        </w:tcBorders>
      </w:tcPr>
    </w:tblStylePr>
  </w:style>
  <w:style w:type="table" w:customStyle="1" w:styleId="LightShading-Accent1231">
    <w:name w:val="Light Shading - Accent 1231"/>
    <w:basedOn w:val="TableNormal"/>
    <w:uiPriority w:val="60"/>
    <w:rsid w:val="00797049"/>
    <w:pPr>
      <w:spacing w:after="0" w:line="240"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List-Accent3231">
    <w:name w:val="Light List - Accent 3231"/>
    <w:basedOn w:val="TableNormal"/>
    <w:next w:val="LightList-Accent3"/>
    <w:uiPriority w:val="61"/>
    <w:rsid w:val="00797049"/>
    <w:pPr>
      <w:spacing w:after="0" w:line="240" w:lineRule="auto"/>
    </w:pPr>
    <w:rPr>
      <w:rFonts w:ascii="Calibri" w:eastAsia="Calibri" w:hAnsi="Calibri" w:cs="Times New Roman"/>
      <w:sz w:val="20"/>
      <w:szCs w:val="20"/>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List-Accent31131">
    <w:name w:val="Light List - Accent 31131"/>
    <w:basedOn w:val="TableNormal"/>
    <w:next w:val="LightList-Accent3"/>
    <w:uiPriority w:val="61"/>
    <w:rsid w:val="00797049"/>
    <w:pPr>
      <w:spacing w:after="0" w:line="240" w:lineRule="auto"/>
    </w:pPr>
    <w:rPr>
      <w:rFonts w:ascii="Constantia" w:eastAsia="Constantia" w:hAnsi="Constantia" w:cs="Times New Roman"/>
      <w:lang w:val="sr-Cyrl-CS"/>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Shading-Accent13141">
    <w:name w:val="Light Shading - Accent 13141"/>
    <w:basedOn w:val="TableNormal"/>
    <w:uiPriority w:val="60"/>
    <w:rsid w:val="00797049"/>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151">
    <w:name w:val="Light Shading - Accent 13151"/>
    <w:basedOn w:val="TableNormal"/>
    <w:uiPriority w:val="60"/>
    <w:rsid w:val="00797049"/>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231">
    <w:name w:val="Light Shading - Accent 13231"/>
    <w:basedOn w:val="TableNormal"/>
    <w:uiPriority w:val="60"/>
    <w:rsid w:val="00797049"/>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161">
    <w:name w:val="Light Shading - Accent 13161"/>
    <w:basedOn w:val="TableNormal"/>
    <w:uiPriority w:val="60"/>
    <w:rsid w:val="00797049"/>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811">
    <w:name w:val="Light Shading - Accent 13811"/>
    <w:basedOn w:val="TableNormal"/>
    <w:uiPriority w:val="60"/>
    <w:rsid w:val="00797049"/>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181">
    <w:name w:val="Light Shading - Accent 1181"/>
    <w:basedOn w:val="TableNormal"/>
    <w:uiPriority w:val="60"/>
    <w:rsid w:val="00797049"/>
    <w:pPr>
      <w:spacing w:after="0" w:line="240" w:lineRule="auto"/>
      <w:ind w:left="568" w:hanging="284"/>
    </w:pPr>
    <w:rPr>
      <w:rFonts w:ascii="Calibri" w:eastAsia="Calibri"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911">
    <w:name w:val="Light Shading - Accent 13911"/>
    <w:basedOn w:val="TableNormal"/>
    <w:uiPriority w:val="60"/>
    <w:rsid w:val="00797049"/>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1611">
    <w:name w:val="Light Shading - Accent 11611"/>
    <w:basedOn w:val="TableNormal"/>
    <w:uiPriority w:val="60"/>
    <w:rsid w:val="00797049"/>
    <w:pPr>
      <w:spacing w:after="0" w:line="240" w:lineRule="auto"/>
      <w:ind w:left="568" w:hanging="284"/>
    </w:pPr>
    <w:rPr>
      <w:rFonts w:ascii="Calibri" w:eastAsia="Calibri"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1011">
    <w:name w:val="Light Shading - Accent 131011"/>
    <w:basedOn w:val="TableNormal"/>
    <w:uiPriority w:val="60"/>
    <w:rsid w:val="00797049"/>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611">
    <w:name w:val="Light Shading - Accent 13611"/>
    <w:basedOn w:val="TableNormal"/>
    <w:uiPriority w:val="60"/>
    <w:rsid w:val="00797049"/>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191">
    <w:name w:val="Light Shading - Accent 1191"/>
    <w:basedOn w:val="TableNormal"/>
    <w:uiPriority w:val="60"/>
    <w:rsid w:val="00797049"/>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3311">
    <w:name w:val="Light Shading - Accent 3311"/>
    <w:basedOn w:val="TableNormal"/>
    <w:next w:val="LightShading-Accent3"/>
    <w:uiPriority w:val="60"/>
    <w:rsid w:val="00797049"/>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21">
    <w:name w:val="Light Shading - Accent 3321"/>
    <w:basedOn w:val="TableNormal"/>
    <w:next w:val="LightShading-Accent3"/>
    <w:uiPriority w:val="60"/>
    <w:rsid w:val="00797049"/>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31">
    <w:name w:val="Light Shading - Accent 3331"/>
    <w:basedOn w:val="TableNormal"/>
    <w:next w:val="LightShading-Accent3"/>
    <w:uiPriority w:val="60"/>
    <w:rsid w:val="00797049"/>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411">
    <w:name w:val="Light Shading - Accent 3411"/>
    <w:basedOn w:val="TableNormal"/>
    <w:next w:val="LightShading-Accent3"/>
    <w:uiPriority w:val="60"/>
    <w:rsid w:val="00797049"/>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421">
    <w:name w:val="Light Shading - Accent 3421"/>
    <w:basedOn w:val="TableNormal"/>
    <w:next w:val="LightShading-Accent3"/>
    <w:uiPriority w:val="60"/>
    <w:rsid w:val="00797049"/>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Grid-Accent5141">
    <w:name w:val="Light Grid - Accent 5141"/>
    <w:basedOn w:val="TableNormal"/>
    <w:next w:val="LightGrid-Accent5"/>
    <w:uiPriority w:val="62"/>
    <w:rsid w:val="00797049"/>
    <w:pPr>
      <w:spacing w:after="0" w:line="240" w:lineRule="auto"/>
    </w:pPr>
    <w:rPr>
      <w:rFonts w:ascii="Calibri" w:eastAsia="Calibri" w:hAnsi="Calibri" w:cs="Times New Roman"/>
      <w:sz w:val="20"/>
      <w:szCs w:val="20"/>
      <w:lang w:val="sr-Latn-CS" w:eastAsia="en-GB"/>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Franklin Gothic Medium" w:eastAsia="Times New Roman" w:hAnsi="Franklin Gothic Medium"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Franklin Gothic Medium" w:eastAsia="Times New Roman" w:hAnsi="Franklin Gothic Medium"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Franklin Gothic Medium" w:eastAsia="Times New Roman" w:hAnsi="Franklin Gothic Medium" w:cs="Times New Roman"/>
        <w:b/>
        <w:bCs/>
      </w:rPr>
    </w:tblStylePr>
    <w:tblStylePr w:type="lastCol">
      <w:rPr>
        <w:rFonts w:ascii="Franklin Gothic Medium" w:eastAsia="Times New Roman" w:hAnsi="Franklin Gothic Medium"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LightGrid-Accent551">
    <w:name w:val="Light Grid - Accent 551"/>
    <w:basedOn w:val="TableNormal"/>
    <w:next w:val="LightGrid-Accent5"/>
    <w:uiPriority w:val="62"/>
    <w:rsid w:val="00797049"/>
    <w:pPr>
      <w:spacing w:after="0" w:line="240" w:lineRule="auto"/>
    </w:pPr>
    <w:rPr>
      <w:rFonts w:ascii="Calibri" w:eastAsia="Calibri" w:hAnsi="Calibri" w:cs="Times New Roman"/>
      <w:sz w:val="20"/>
      <w:szCs w:val="20"/>
      <w:lang w:val="en-GB" w:eastAsia="en-GB"/>
    </w:rPr>
    <w:tblPr>
      <w:tblStyleRowBandSize w:val="1"/>
      <w:tblStyleColBandSize w:val="1"/>
      <w:tblBorders>
        <w:top w:val="single" w:sz="8" w:space="0" w:color="8FB08C"/>
        <w:left w:val="single" w:sz="8" w:space="0" w:color="8FB08C"/>
        <w:bottom w:val="single" w:sz="8" w:space="0" w:color="8FB08C"/>
        <w:right w:val="single" w:sz="8" w:space="0" w:color="8FB08C"/>
        <w:insideH w:val="single" w:sz="8" w:space="0" w:color="8FB08C"/>
        <w:insideV w:val="single" w:sz="8" w:space="0" w:color="8FB08C"/>
      </w:tblBorders>
    </w:tblPr>
    <w:tblStylePr w:type="firstRow">
      <w:pPr>
        <w:spacing w:before="0" w:after="0" w:line="240" w:lineRule="auto"/>
      </w:pPr>
      <w:rPr>
        <w:rFonts w:ascii="Franklin Gothic Medium" w:eastAsia="Times New Roman" w:hAnsi="Franklin Gothic Medium" w:cs="Times New Roman"/>
        <w:b/>
        <w:bCs/>
      </w:rPr>
      <w:tblPr/>
      <w:tcPr>
        <w:tcBorders>
          <w:top w:val="single" w:sz="8" w:space="0" w:color="8FB08C"/>
          <w:left w:val="single" w:sz="8" w:space="0" w:color="8FB08C"/>
          <w:bottom w:val="single" w:sz="18" w:space="0" w:color="8FB08C"/>
          <w:right w:val="single" w:sz="8" w:space="0" w:color="8FB08C"/>
          <w:insideH w:val="nil"/>
          <w:insideV w:val="single" w:sz="8" w:space="0" w:color="8FB08C"/>
        </w:tcBorders>
      </w:tcPr>
    </w:tblStylePr>
    <w:tblStylePr w:type="lastRow">
      <w:pPr>
        <w:spacing w:before="0" w:after="0" w:line="240" w:lineRule="auto"/>
      </w:pPr>
      <w:rPr>
        <w:rFonts w:ascii="Franklin Gothic Medium" w:eastAsia="Times New Roman" w:hAnsi="Franklin Gothic Medium" w:cs="Times New Roman"/>
        <w:b/>
        <w:bCs/>
      </w:rPr>
      <w:tblPr/>
      <w:tcPr>
        <w:tcBorders>
          <w:top w:val="double" w:sz="6" w:space="0" w:color="8FB08C"/>
          <w:left w:val="single" w:sz="8" w:space="0" w:color="8FB08C"/>
          <w:bottom w:val="single" w:sz="8" w:space="0" w:color="8FB08C"/>
          <w:right w:val="single" w:sz="8" w:space="0" w:color="8FB08C"/>
          <w:insideH w:val="nil"/>
          <w:insideV w:val="single" w:sz="8" w:space="0" w:color="8FB08C"/>
        </w:tcBorders>
      </w:tcPr>
    </w:tblStylePr>
    <w:tblStylePr w:type="firstCol">
      <w:rPr>
        <w:rFonts w:ascii="Franklin Gothic Medium" w:eastAsia="Times New Roman" w:hAnsi="Franklin Gothic Medium" w:cs="Times New Roman"/>
        <w:b/>
        <w:bCs/>
      </w:rPr>
    </w:tblStylePr>
    <w:tblStylePr w:type="lastCol">
      <w:rPr>
        <w:rFonts w:ascii="Franklin Gothic Medium" w:eastAsia="Times New Roman" w:hAnsi="Franklin Gothic Medium" w:cs="Times New Roman"/>
        <w:b/>
        <w:bCs/>
      </w:rPr>
      <w:tblPr/>
      <w:tcPr>
        <w:tcBorders>
          <w:top w:val="single" w:sz="8" w:space="0" w:color="8FB08C"/>
          <w:left w:val="single" w:sz="8" w:space="0" w:color="8FB08C"/>
          <w:bottom w:val="single" w:sz="8" w:space="0" w:color="8FB08C"/>
          <w:right w:val="single" w:sz="8" w:space="0" w:color="8FB08C"/>
        </w:tcBorders>
      </w:tcPr>
    </w:tblStylePr>
    <w:tblStylePr w:type="band1Vert">
      <w:tblPr/>
      <w:tcPr>
        <w:tcBorders>
          <w:top w:val="single" w:sz="8" w:space="0" w:color="8FB08C"/>
          <w:left w:val="single" w:sz="8" w:space="0" w:color="8FB08C"/>
          <w:bottom w:val="single" w:sz="8" w:space="0" w:color="8FB08C"/>
          <w:right w:val="single" w:sz="8" w:space="0" w:color="8FB08C"/>
        </w:tcBorders>
        <w:shd w:val="clear" w:color="auto" w:fill="E3EBE2"/>
      </w:tcPr>
    </w:tblStylePr>
    <w:tblStylePr w:type="band1Horz">
      <w:tblPr/>
      <w:tcPr>
        <w:tcBorders>
          <w:top w:val="single" w:sz="8" w:space="0" w:color="8FB08C"/>
          <w:left w:val="single" w:sz="8" w:space="0" w:color="8FB08C"/>
          <w:bottom w:val="single" w:sz="8" w:space="0" w:color="8FB08C"/>
          <w:right w:val="single" w:sz="8" w:space="0" w:color="8FB08C"/>
          <w:insideV w:val="single" w:sz="8" w:space="0" w:color="8FB08C"/>
        </w:tcBorders>
        <w:shd w:val="clear" w:color="auto" w:fill="E3EBE2"/>
      </w:tcPr>
    </w:tblStylePr>
    <w:tblStylePr w:type="band2Horz">
      <w:tblPr/>
      <w:tcPr>
        <w:tcBorders>
          <w:top w:val="single" w:sz="8" w:space="0" w:color="8FB08C"/>
          <w:left w:val="single" w:sz="8" w:space="0" w:color="8FB08C"/>
          <w:bottom w:val="single" w:sz="8" w:space="0" w:color="8FB08C"/>
          <w:right w:val="single" w:sz="8" w:space="0" w:color="8FB08C"/>
          <w:insideV w:val="single" w:sz="8" w:space="0" w:color="8FB08C"/>
        </w:tcBorders>
      </w:tcPr>
    </w:tblStylePr>
  </w:style>
  <w:style w:type="table" w:customStyle="1" w:styleId="LightGrid-Accent51111">
    <w:name w:val="Light Grid - Accent 51111"/>
    <w:basedOn w:val="TableNormal"/>
    <w:next w:val="LightGrid-Accent5"/>
    <w:uiPriority w:val="62"/>
    <w:rsid w:val="00797049"/>
    <w:pPr>
      <w:spacing w:after="0" w:line="240" w:lineRule="auto"/>
    </w:pPr>
    <w:rPr>
      <w:rFonts w:ascii="Calibri" w:eastAsia="Calibri" w:hAnsi="Calibri" w:cs="Times New Roman"/>
      <w:sz w:val="20"/>
      <w:szCs w:val="20"/>
      <w:lang w:val="sr-Latn-CS" w:eastAsia="en-GB"/>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Franklin Gothic Medium" w:eastAsia="Times New Roman" w:hAnsi="Franklin Gothic Medium"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Franklin Gothic Medium" w:eastAsia="Times New Roman" w:hAnsi="Franklin Gothic Medium"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Franklin Gothic Medium" w:eastAsia="Times New Roman" w:hAnsi="Franklin Gothic Medium" w:cs="Times New Roman"/>
        <w:b/>
        <w:bCs/>
      </w:rPr>
    </w:tblStylePr>
    <w:tblStylePr w:type="lastCol">
      <w:rPr>
        <w:rFonts w:ascii="Franklin Gothic Medium" w:eastAsia="Times New Roman" w:hAnsi="Franklin Gothic Medium"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LightGrid-Accent5211">
    <w:name w:val="Light Grid - Accent 5211"/>
    <w:basedOn w:val="TableNormal"/>
    <w:next w:val="LightGrid-Accent5"/>
    <w:uiPriority w:val="62"/>
    <w:rsid w:val="00797049"/>
    <w:pPr>
      <w:spacing w:after="0" w:line="240" w:lineRule="auto"/>
    </w:pPr>
    <w:rPr>
      <w:rFonts w:ascii="Calibri" w:eastAsia="Calibri" w:hAnsi="Calibri" w:cs="Times New Roman"/>
      <w:sz w:val="20"/>
      <w:szCs w:val="20"/>
      <w:lang w:val="en-GB" w:eastAsia="en-GB"/>
    </w:rPr>
    <w:tblPr>
      <w:tblStyleRowBandSize w:val="1"/>
      <w:tblStyleColBandSize w:val="1"/>
      <w:tblBorders>
        <w:top w:val="single" w:sz="8" w:space="0" w:color="8FB08C"/>
        <w:left w:val="single" w:sz="8" w:space="0" w:color="8FB08C"/>
        <w:bottom w:val="single" w:sz="8" w:space="0" w:color="8FB08C"/>
        <w:right w:val="single" w:sz="8" w:space="0" w:color="8FB08C"/>
        <w:insideH w:val="single" w:sz="8" w:space="0" w:color="8FB08C"/>
        <w:insideV w:val="single" w:sz="8" w:space="0" w:color="8FB08C"/>
      </w:tblBorders>
    </w:tblPr>
    <w:tblStylePr w:type="firstRow">
      <w:pPr>
        <w:spacing w:before="0" w:after="0" w:line="240" w:lineRule="auto"/>
      </w:pPr>
      <w:rPr>
        <w:rFonts w:ascii="Franklin Gothic Medium" w:eastAsia="Times New Roman" w:hAnsi="Franklin Gothic Medium" w:cs="Times New Roman"/>
        <w:b/>
        <w:bCs/>
      </w:rPr>
      <w:tblPr/>
      <w:tcPr>
        <w:tcBorders>
          <w:top w:val="single" w:sz="8" w:space="0" w:color="8FB08C"/>
          <w:left w:val="single" w:sz="8" w:space="0" w:color="8FB08C"/>
          <w:bottom w:val="single" w:sz="18" w:space="0" w:color="8FB08C"/>
          <w:right w:val="single" w:sz="8" w:space="0" w:color="8FB08C"/>
          <w:insideH w:val="nil"/>
          <w:insideV w:val="single" w:sz="8" w:space="0" w:color="8FB08C"/>
        </w:tcBorders>
      </w:tcPr>
    </w:tblStylePr>
    <w:tblStylePr w:type="lastRow">
      <w:pPr>
        <w:spacing w:before="0" w:after="0" w:line="240" w:lineRule="auto"/>
      </w:pPr>
      <w:rPr>
        <w:rFonts w:ascii="Franklin Gothic Medium" w:eastAsia="Times New Roman" w:hAnsi="Franklin Gothic Medium" w:cs="Times New Roman"/>
        <w:b/>
        <w:bCs/>
      </w:rPr>
      <w:tblPr/>
      <w:tcPr>
        <w:tcBorders>
          <w:top w:val="double" w:sz="6" w:space="0" w:color="8FB08C"/>
          <w:left w:val="single" w:sz="8" w:space="0" w:color="8FB08C"/>
          <w:bottom w:val="single" w:sz="8" w:space="0" w:color="8FB08C"/>
          <w:right w:val="single" w:sz="8" w:space="0" w:color="8FB08C"/>
          <w:insideH w:val="nil"/>
          <w:insideV w:val="single" w:sz="8" w:space="0" w:color="8FB08C"/>
        </w:tcBorders>
      </w:tcPr>
    </w:tblStylePr>
    <w:tblStylePr w:type="firstCol">
      <w:rPr>
        <w:rFonts w:ascii="Franklin Gothic Medium" w:eastAsia="Times New Roman" w:hAnsi="Franklin Gothic Medium" w:cs="Times New Roman"/>
        <w:b/>
        <w:bCs/>
      </w:rPr>
    </w:tblStylePr>
    <w:tblStylePr w:type="lastCol">
      <w:rPr>
        <w:rFonts w:ascii="Franklin Gothic Medium" w:eastAsia="Times New Roman" w:hAnsi="Franklin Gothic Medium" w:cs="Times New Roman"/>
        <w:b/>
        <w:bCs/>
      </w:rPr>
      <w:tblPr/>
      <w:tcPr>
        <w:tcBorders>
          <w:top w:val="single" w:sz="8" w:space="0" w:color="8FB08C"/>
          <w:left w:val="single" w:sz="8" w:space="0" w:color="8FB08C"/>
          <w:bottom w:val="single" w:sz="8" w:space="0" w:color="8FB08C"/>
          <w:right w:val="single" w:sz="8" w:space="0" w:color="8FB08C"/>
        </w:tcBorders>
      </w:tcPr>
    </w:tblStylePr>
    <w:tblStylePr w:type="band1Vert">
      <w:tblPr/>
      <w:tcPr>
        <w:tcBorders>
          <w:top w:val="single" w:sz="8" w:space="0" w:color="8FB08C"/>
          <w:left w:val="single" w:sz="8" w:space="0" w:color="8FB08C"/>
          <w:bottom w:val="single" w:sz="8" w:space="0" w:color="8FB08C"/>
          <w:right w:val="single" w:sz="8" w:space="0" w:color="8FB08C"/>
        </w:tcBorders>
        <w:shd w:val="clear" w:color="auto" w:fill="E3EBE2"/>
      </w:tcPr>
    </w:tblStylePr>
    <w:tblStylePr w:type="band1Horz">
      <w:tblPr/>
      <w:tcPr>
        <w:tcBorders>
          <w:top w:val="single" w:sz="8" w:space="0" w:color="8FB08C"/>
          <w:left w:val="single" w:sz="8" w:space="0" w:color="8FB08C"/>
          <w:bottom w:val="single" w:sz="8" w:space="0" w:color="8FB08C"/>
          <w:right w:val="single" w:sz="8" w:space="0" w:color="8FB08C"/>
          <w:insideV w:val="single" w:sz="8" w:space="0" w:color="8FB08C"/>
        </w:tcBorders>
        <w:shd w:val="clear" w:color="auto" w:fill="E3EBE2"/>
      </w:tcPr>
    </w:tblStylePr>
    <w:tblStylePr w:type="band2Horz">
      <w:tblPr/>
      <w:tcPr>
        <w:tcBorders>
          <w:top w:val="single" w:sz="8" w:space="0" w:color="8FB08C"/>
          <w:left w:val="single" w:sz="8" w:space="0" w:color="8FB08C"/>
          <w:bottom w:val="single" w:sz="8" w:space="0" w:color="8FB08C"/>
          <w:right w:val="single" w:sz="8" w:space="0" w:color="8FB08C"/>
          <w:insideV w:val="single" w:sz="8" w:space="0" w:color="8FB08C"/>
        </w:tcBorders>
      </w:tcPr>
    </w:tblStylePr>
  </w:style>
  <w:style w:type="table" w:customStyle="1" w:styleId="LightGrid-Accent51211">
    <w:name w:val="Light Grid - Accent 51211"/>
    <w:basedOn w:val="TableNormal"/>
    <w:next w:val="LightGrid-Accent5"/>
    <w:uiPriority w:val="62"/>
    <w:rsid w:val="00797049"/>
    <w:pPr>
      <w:spacing w:after="0" w:line="240" w:lineRule="auto"/>
    </w:pPr>
    <w:rPr>
      <w:rFonts w:ascii="Calibri" w:eastAsia="Calibri" w:hAnsi="Calibri" w:cs="Times New Roman"/>
      <w:sz w:val="20"/>
      <w:szCs w:val="20"/>
      <w:lang w:val="sr-Latn-CS" w:eastAsia="en-GB"/>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Franklin Gothic Medium" w:eastAsia="Times New Roman" w:hAnsi="Franklin Gothic Medium"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Franklin Gothic Medium" w:eastAsia="Times New Roman" w:hAnsi="Franklin Gothic Medium"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Franklin Gothic Medium" w:eastAsia="Times New Roman" w:hAnsi="Franklin Gothic Medium" w:cs="Times New Roman"/>
        <w:b/>
        <w:bCs/>
      </w:rPr>
    </w:tblStylePr>
    <w:tblStylePr w:type="lastCol">
      <w:rPr>
        <w:rFonts w:ascii="Franklin Gothic Medium" w:eastAsia="Times New Roman" w:hAnsi="Franklin Gothic Medium"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LightGrid-Accent5311">
    <w:name w:val="Light Grid - Accent 5311"/>
    <w:basedOn w:val="TableNormal"/>
    <w:next w:val="LightGrid-Accent5"/>
    <w:uiPriority w:val="62"/>
    <w:rsid w:val="00797049"/>
    <w:pPr>
      <w:spacing w:after="0" w:line="240" w:lineRule="auto"/>
    </w:pPr>
    <w:rPr>
      <w:rFonts w:ascii="Calibri" w:eastAsia="Calibri" w:hAnsi="Calibri" w:cs="Times New Roman"/>
      <w:sz w:val="20"/>
      <w:szCs w:val="20"/>
      <w:lang w:val="en-GB" w:eastAsia="en-GB"/>
    </w:rPr>
    <w:tblPr>
      <w:tblStyleRowBandSize w:val="1"/>
      <w:tblStyleColBandSize w:val="1"/>
      <w:tblBorders>
        <w:top w:val="single" w:sz="8" w:space="0" w:color="8FB08C"/>
        <w:left w:val="single" w:sz="8" w:space="0" w:color="8FB08C"/>
        <w:bottom w:val="single" w:sz="8" w:space="0" w:color="8FB08C"/>
        <w:right w:val="single" w:sz="8" w:space="0" w:color="8FB08C"/>
        <w:insideH w:val="single" w:sz="8" w:space="0" w:color="8FB08C"/>
        <w:insideV w:val="single" w:sz="8" w:space="0" w:color="8FB08C"/>
      </w:tblBorders>
    </w:tblPr>
    <w:tblStylePr w:type="firstRow">
      <w:pPr>
        <w:spacing w:before="0" w:after="0" w:line="240" w:lineRule="auto"/>
      </w:pPr>
      <w:rPr>
        <w:rFonts w:ascii="Franklin Gothic Medium" w:eastAsia="Times New Roman" w:hAnsi="Franklin Gothic Medium" w:cs="Times New Roman"/>
        <w:b/>
        <w:bCs/>
      </w:rPr>
      <w:tblPr/>
      <w:tcPr>
        <w:tcBorders>
          <w:top w:val="single" w:sz="8" w:space="0" w:color="8FB08C"/>
          <w:left w:val="single" w:sz="8" w:space="0" w:color="8FB08C"/>
          <w:bottom w:val="single" w:sz="18" w:space="0" w:color="8FB08C"/>
          <w:right w:val="single" w:sz="8" w:space="0" w:color="8FB08C"/>
          <w:insideH w:val="nil"/>
          <w:insideV w:val="single" w:sz="8" w:space="0" w:color="8FB08C"/>
        </w:tcBorders>
      </w:tcPr>
    </w:tblStylePr>
    <w:tblStylePr w:type="lastRow">
      <w:pPr>
        <w:spacing w:before="0" w:after="0" w:line="240" w:lineRule="auto"/>
      </w:pPr>
      <w:rPr>
        <w:rFonts w:ascii="Franklin Gothic Medium" w:eastAsia="Times New Roman" w:hAnsi="Franklin Gothic Medium" w:cs="Times New Roman"/>
        <w:b/>
        <w:bCs/>
      </w:rPr>
      <w:tblPr/>
      <w:tcPr>
        <w:tcBorders>
          <w:top w:val="double" w:sz="6" w:space="0" w:color="8FB08C"/>
          <w:left w:val="single" w:sz="8" w:space="0" w:color="8FB08C"/>
          <w:bottom w:val="single" w:sz="8" w:space="0" w:color="8FB08C"/>
          <w:right w:val="single" w:sz="8" w:space="0" w:color="8FB08C"/>
          <w:insideH w:val="nil"/>
          <w:insideV w:val="single" w:sz="8" w:space="0" w:color="8FB08C"/>
        </w:tcBorders>
      </w:tcPr>
    </w:tblStylePr>
    <w:tblStylePr w:type="firstCol">
      <w:rPr>
        <w:rFonts w:ascii="Franklin Gothic Medium" w:eastAsia="Times New Roman" w:hAnsi="Franklin Gothic Medium" w:cs="Times New Roman"/>
        <w:b/>
        <w:bCs/>
      </w:rPr>
    </w:tblStylePr>
    <w:tblStylePr w:type="lastCol">
      <w:rPr>
        <w:rFonts w:ascii="Franklin Gothic Medium" w:eastAsia="Times New Roman" w:hAnsi="Franklin Gothic Medium" w:cs="Times New Roman"/>
        <w:b/>
        <w:bCs/>
      </w:rPr>
      <w:tblPr/>
      <w:tcPr>
        <w:tcBorders>
          <w:top w:val="single" w:sz="8" w:space="0" w:color="8FB08C"/>
          <w:left w:val="single" w:sz="8" w:space="0" w:color="8FB08C"/>
          <w:bottom w:val="single" w:sz="8" w:space="0" w:color="8FB08C"/>
          <w:right w:val="single" w:sz="8" w:space="0" w:color="8FB08C"/>
        </w:tcBorders>
      </w:tcPr>
    </w:tblStylePr>
    <w:tblStylePr w:type="band1Vert">
      <w:tblPr/>
      <w:tcPr>
        <w:tcBorders>
          <w:top w:val="single" w:sz="8" w:space="0" w:color="8FB08C"/>
          <w:left w:val="single" w:sz="8" w:space="0" w:color="8FB08C"/>
          <w:bottom w:val="single" w:sz="8" w:space="0" w:color="8FB08C"/>
          <w:right w:val="single" w:sz="8" w:space="0" w:color="8FB08C"/>
        </w:tcBorders>
        <w:shd w:val="clear" w:color="auto" w:fill="E3EBE2"/>
      </w:tcPr>
    </w:tblStylePr>
    <w:tblStylePr w:type="band1Horz">
      <w:tblPr/>
      <w:tcPr>
        <w:tcBorders>
          <w:top w:val="single" w:sz="8" w:space="0" w:color="8FB08C"/>
          <w:left w:val="single" w:sz="8" w:space="0" w:color="8FB08C"/>
          <w:bottom w:val="single" w:sz="8" w:space="0" w:color="8FB08C"/>
          <w:right w:val="single" w:sz="8" w:space="0" w:color="8FB08C"/>
          <w:insideV w:val="single" w:sz="8" w:space="0" w:color="8FB08C"/>
        </w:tcBorders>
        <w:shd w:val="clear" w:color="auto" w:fill="E3EBE2"/>
      </w:tcPr>
    </w:tblStylePr>
    <w:tblStylePr w:type="band2Horz">
      <w:tblPr/>
      <w:tcPr>
        <w:tcBorders>
          <w:top w:val="single" w:sz="8" w:space="0" w:color="8FB08C"/>
          <w:left w:val="single" w:sz="8" w:space="0" w:color="8FB08C"/>
          <w:bottom w:val="single" w:sz="8" w:space="0" w:color="8FB08C"/>
          <w:right w:val="single" w:sz="8" w:space="0" w:color="8FB08C"/>
          <w:insideV w:val="single" w:sz="8" w:space="0" w:color="8FB08C"/>
        </w:tcBorders>
      </w:tcPr>
    </w:tblStylePr>
  </w:style>
  <w:style w:type="table" w:customStyle="1" w:styleId="LightGrid-Accent51311">
    <w:name w:val="Light Grid - Accent 51311"/>
    <w:basedOn w:val="TableNormal"/>
    <w:next w:val="LightGrid-Accent5"/>
    <w:uiPriority w:val="62"/>
    <w:rsid w:val="00797049"/>
    <w:pPr>
      <w:spacing w:after="0" w:line="240" w:lineRule="auto"/>
    </w:pPr>
    <w:rPr>
      <w:rFonts w:ascii="Calibri" w:eastAsia="Calibri" w:hAnsi="Calibri" w:cs="Times New Roman"/>
      <w:sz w:val="20"/>
      <w:szCs w:val="20"/>
      <w:lang w:val="sr-Latn-CS" w:eastAsia="en-GB"/>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Franklin Gothic Medium" w:eastAsia="Times New Roman" w:hAnsi="Franklin Gothic Medium"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Franklin Gothic Medium" w:eastAsia="Times New Roman" w:hAnsi="Franklin Gothic Medium"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Franklin Gothic Medium" w:eastAsia="Times New Roman" w:hAnsi="Franklin Gothic Medium" w:cs="Times New Roman"/>
        <w:b/>
        <w:bCs/>
      </w:rPr>
    </w:tblStylePr>
    <w:tblStylePr w:type="lastCol">
      <w:rPr>
        <w:rFonts w:ascii="Franklin Gothic Medium" w:eastAsia="Times New Roman" w:hAnsi="Franklin Gothic Medium"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LightGrid-Accent5411">
    <w:name w:val="Light Grid - Accent 5411"/>
    <w:basedOn w:val="TableNormal"/>
    <w:next w:val="LightGrid-Accent5"/>
    <w:uiPriority w:val="62"/>
    <w:rsid w:val="00797049"/>
    <w:pPr>
      <w:spacing w:after="0" w:line="240" w:lineRule="auto"/>
    </w:pPr>
    <w:rPr>
      <w:rFonts w:ascii="Calibri" w:eastAsia="Calibri" w:hAnsi="Calibri" w:cs="Times New Roman"/>
      <w:sz w:val="20"/>
      <w:szCs w:val="20"/>
      <w:lang w:val="en-GB" w:eastAsia="en-GB"/>
    </w:rPr>
    <w:tblPr>
      <w:tblStyleRowBandSize w:val="1"/>
      <w:tblStyleColBandSize w:val="1"/>
      <w:tblBorders>
        <w:top w:val="single" w:sz="8" w:space="0" w:color="8FB08C"/>
        <w:left w:val="single" w:sz="8" w:space="0" w:color="8FB08C"/>
        <w:bottom w:val="single" w:sz="8" w:space="0" w:color="8FB08C"/>
        <w:right w:val="single" w:sz="8" w:space="0" w:color="8FB08C"/>
        <w:insideH w:val="single" w:sz="8" w:space="0" w:color="8FB08C"/>
        <w:insideV w:val="single" w:sz="8" w:space="0" w:color="8FB08C"/>
      </w:tblBorders>
    </w:tblPr>
    <w:tblStylePr w:type="firstRow">
      <w:pPr>
        <w:spacing w:before="0" w:after="0" w:line="240" w:lineRule="auto"/>
      </w:pPr>
      <w:rPr>
        <w:rFonts w:ascii="Franklin Gothic Medium" w:eastAsia="Times New Roman" w:hAnsi="Franklin Gothic Medium" w:cs="Times New Roman"/>
        <w:b/>
        <w:bCs/>
      </w:rPr>
      <w:tblPr/>
      <w:tcPr>
        <w:tcBorders>
          <w:top w:val="single" w:sz="8" w:space="0" w:color="8FB08C"/>
          <w:left w:val="single" w:sz="8" w:space="0" w:color="8FB08C"/>
          <w:bottom w:val="single" w:sz="18" w:space="0" w:color="8FB08C"/>
          <w:right w:val="single" w:sz="8" w:space="0" w:color="8FB08C"/>
          <w:insideH w:val="nil"/>
          <w:insideV w:val="single" w:sz="8" w:space="0" w:color="8FB08C"/>
        </w:tcBorders>
      </w:tcPr>
    </w:tblStylePr>
    <w:tblStylePr w:type="lastRow">
      <w:pPr>
        <w:spacing w:before="0" w:after="0" w:line="240" w:lineRule="auto"/>
      </w:pPr>
      <w:rPr>
        <w:rFonts w:ascii="Franklin Gothic Medium" w:eastAsia="Times New Roman" w:hAnsi="Franklin Gothic Medium" w:cs="Times New Roman"/>
        <w:b/>
        <w:bCs/>
      </w:rPr>
      <w:tblPr/>
      <w:tcPr>
        <w:tcBorders>
          <w:top w:val="double" w:sz="6" w:space="0" w:color="8FB08C"/>
          <w:left w:val="single" w:sz="8" w:space="0" w:color="8FB08C"/>
          <w:bottom w:val="single" w:sz="8" w:space="0" w:color="8FB08C"/>
          <w:right w:val="single" w:sz="8" w:space="0" w:color="8FB08C"/>
          <w:insideH w:val="nil"/>
          <w:insideV w:val="single" w:sz="8" w:space="0" w:color="8FB08C"/>
        </w:tcBorders>
      </w:tcPr>
    </w:tblStylePr>
    <w:tblStylePr w:type="firstCol">
      <w:rPr>
        <w:rFonts w:ascii="Franklin Gothic Medium" w:eastAsia="Times New Roman" w:hAnsi="Franklin Gothic Medium" w:cs="Times New Roman"/>
        <w:b/>
        <w:bCs/>
      </w:rPr>
    </w:tblStylePr>
    <w:tblStylePr w:type="lastCol">
      <w:rPr>
        <w:rFonts w:ascii="Franklin Gothic Medium" w:eastAsia="Times New Roman" w:hAnsi="Franklin Gothic Medium" w:cs="Times New Roman"/>
        <w:b/>
        <w:bCs/>
      </w:rPr>
      <w:tblPr/>
      <w:tcPr>
        <w:tcBorders>
          <w:top w:val="single" w:sz="8" w:space="0" w:color="8FB08C"/>
          <w:left w:val="single" w:sz="8" w:space="0" w:color="8FB08C"/>
          <w:bottom w:val="single" w:sz="8" w:space="0" w:color="8FB08C"/>
          <w:right w:val="single" w:sz="8" w:space="0" w:color="8FB08C"/>
        </w:tcBorders>
      </w:tcPr>
    </w:tblStylePr>
    <w:tblStylePr w:type="band1Vert">
      <w:tblPr/>
      <w:tcPr>
        <w:tcBorders>
          <w:top w:val="single" w:sz="8" w:space="0" w:color="8FB08C"/>
          <w:left w:val="single" w:sz="8" w:space="0" w:color="8FB08C"/>
          <w:bottom w:val="single" w:sz="8" w:space="0" w:color="8FB08C"/>
          <w:right w:val="single" w:sz="8" w:space="0" w:color="8FB08C"/>
        </w:tcBorders>
        <w:shd w:val="clear" w:color="auto" w:fill="E3EBE2"/>
      </w:tcPr>
    </w:tblStylePr>
    <w:tblStylePr w:type="band1Horz">
      <w:tblPr/>
      <w:tcPr>
        <w:tcBorders>
          <w:top w:val="single" w:sz="8" w:space="0" w:color="8FB08C"/>
          <w:left w:val="single" w:sz="8" w:space="0" w:color="8FB08C"/>
          <w:bottom w:val="single" w:sz="8" w:space="0" w:color="8FB08C"/>
          <w:right w:val="single" w:sz="8" w:space="0" w:color="8FB08C"/>
          <w:insideV w:val="single" w:sz="8" w:space="0" w:color="8FB08C"/>
        </w:tcBorders>
        <w:shd w:val="clear" w:color="auto" w:fill="E3EBE2"/>
      </w:tcPr>
    </w:tblStylePr>
    <w:tblStylePr w:type="band2Horz">
      <w:tblPr/>
      <w:tcPr>
        <w:tcBorders>
          <w:top w:val="single" w:sz="8" w:space="0" w:color="8FB08C"/>
          <w:left w:val="single" w:sz="8" w:space="0" w:color="8FB08C"/>
          <w:bottom w:val="single" w:sz="8" w:space="0" w:color="8FB08C"/>
          <w:right w:val="single" w:sz="8" w:space="0" w:color="8FB08C"/>
          <w:insideV w:val="single" w:sz="8" w:space="0" w:color="8FB08C"/>
        </w:tcBorders>
      </w:tcPr>
    </w:tblStylePr>
  </w:style>
  <w:style w:type="table" w:customStyle="1" w:styleId="LightShading-Accent62">
    <w:name w:val="Light Shading - Accent 62"/>
    <w:basedOn w:val="TableNormal"/>
    <w:next w:val="LightShading-Accent6"/>
    <w:uiPriority w:val="60"/>
    <w:rsid w:val="00797049"/>
    <w:pPr>
      <w:spacing w:after="0" w:line="240" w:lineRule="auto"/>
    </w:pPr>
    <w:rPr>
      <w:rFonts w:ascii="Calibri" w:eastAsia="Calibri" w:hAnsi="Calibri" w:cs="Times New Roman"/>
      <w:color w:val="393939"/>
      <w:sz w:val="20"/>
      <w:szCs w:val="20"/>
    </w:rPr>
    <w:tblPr>
      <w:tblStyleRowBandSize w:val="1"/>
      <w:tblStyleColBandSize w:val="1"/>
      <w:tblBorders>
        <w:top w:val="single" w:sz="8" w:space="0" w:color="4D4D4D"/>
        <w:bottom w:val="single" w:sz="8" w:space="0" w:color="4D4D4D"/>
      </w:tblBorders>
    </w:tblPr>
    <w:tblStylePr w:type="firstRow">
      <w:pPr>
        <w:spacing w:beforeLines="0" w:before="0" w:beforeAutospacing="0" w:afterLines="0" w:after="0" w:afterAutospacing="0" w:line="240" w:lineRule="auto"/>
      </w:pPr>
      <w:rPr>
        <w:b/>
        <w:bCs/>
      </w:rPr>
      <w:tblPr/>
      <w:tcPr>
        <w:tcBorders>
          <w:top w:val="single" w:sz="8" w:space="0" w:color="4D4D4D"/>
          <w:left w:val="nil"/>
          <w:bottom w:val="single" w:sz="8" w:space="0" w:color="4D4D4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D4D4D"/>
          <w:left w:val="nil"/>
          <w:bottom w:val="single" w:sz="8" w:space="0" w:color="4D4D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3D3"/>
      </w:tcPr>
    </w:tblStylePr>
    <w:tblStylePr w:type="band1Horz">
      <w:tblPr/>
      <w:tcPr>
        <w:tcBorders>
          <w:left w:val="nil"/>
          <w:right w:val="nil"/>
          <w:insideH w:val="nil"/>
          <w:insideV w:val="nil"/>
        </w:tcBorders>
        <w:shd w:val="clear" w:color="auto" w:fill="D3D3D3"/>
      </w:tcPr>
    </w:tblStylePr>
  </w:style>
  <w:style w:type="table" w:customStyle="1" w:styleId="GridTable6Colorful-Accent42">
    <w:name w:val="Grid Table 6 Colorful - Accent 42"/>
    <w:basedOn w:val="TableNormal"/>
    <w:next w:val="GridTable6Colorful-Accent43"/>
    <w:uiPriority w:val="51"/>
    <w:rsid w:val="00797049"/>
    <w:pPr>
      <w:spacing w:after="0" w:line="240" w:lineRule="auto"/>
    </w:pPr>
    <w:rPr>
      <w:color w:val="5F5F5F"/>
    </w:rPr>
    <w:tblPr>
      <w:tblStyleRowBandSize w:val="1"/>
      <w:tblStyleColBandSize w:val="1"/>
      <w:tblBorders>
        <w:top w:val="single" w:sz="4" w:space="0" w:color="B2B2B2"/>
        <w:left w:val="single" w:sz="4" w:space="0" w:color="B2B2B2"/>
        <w:bottom w:val="single" w:sz="4" w:space="0" w:color="B2B2B2"/>
        <w:right w:val="single" w:sz="4" w:space="0" w:color="B2B2B2"/>
        <w:insideH w:val="single" w:sz="4" w:space="0" w:color="B2B2B2"/>
        <w:insideV w:val="single" w:sz="4" w:space="0" w:color="B2B2B2"/>
      </w:tblBorders>
    </w:tblPr>
    <w:tblStylePr w:type="firstRow">
      <w:rPr>
        <w:b/>
        <w:bCs/>
      </w:rPr>
      <w:tblPr/>
      <w:tcPr>
        <w:tcBorders>
          <w:bottom w:val="single" w:sz="12" w:space="0" w:color="B2B2B2"/>
        </w:tcBorders>
      </w:tcPr>
    </w:tblStylePr>
    <w:tblStylePr w:type="lastRow">
      <w:rPr>
        <w:b/>
        <w:bCs/>
      </w:rPr>
      <w:tblPr/>
      <w:tcPr>
        <w:tcBorders>
          <w:top w:val="double" w:sz="4" w:space="0" w:color="B2B2B2"/>
        </w:tcBorders>
      </w:tcPr>
    </w:tblStylePr>
    <w:tblStylePr w:type="firstCol">
      <w:rPr>
        <w:b/>
        <w:bCs/>
      </w:rPr>
    </w:tblStylePr>
    <w:tblStylePr w:type="lastCol">
      <w:rPr>
        <w:b/>
        <w:bCs/>
      </w:rPr>
    </w:tblStylePr>
    <w:tblStylePr w:type="band1Vert">
      <w:tblPr/>
      <w:tcPr>
        <w:shd w:val="clear" w:color="auto" w:fill="E5E5E5"/>
      </w:tcPr>
    </w:tblStylePr>
    <w:tblStylePr w:type="band1Horz">
      <w:tblPr/>
      <w:tcPr>
        <w:shd w:val="clear" w:color="auto" w:fill="E5E5E5"/>
      </w:tcPr>
    </w:tblStylePr>
  </w:style>
  <w:style w:type="table" w:customStyle="1" w:styleId="GridTable6Colorful-Accent32">
    <w:name w:val="Grid Table 6 Colorful - Accent 32"/>
    <w:basedOn w:val="TableNormal"/>
    <w:next w:val="GridTable6Colorful-Accent33"/>
    <w:uiPriority w:val="51"/>
    <w:rsid w:val="00797049"/>
    <w:pPr>
      <w:spacing w:after="0" w:line="240" w:lineRule="auto"/>
    </w:pPr>
    <w:rPr>
      <w:rFonts w:ascii="Calibri" w:eastAsia="Calibri" w:hAnsi="Calibri" w:cs="Times New Roman"/>
      <w:color w:val="707070"/>
      <w:sz w:val="20"/>
      <w:szCs w:val="20"/>
    </w:rPr>
    <w:tblPr>
      <w:tblStyleRowBandSize w:val="1"/>
      <w:tblStyleColBandSize w:val="1"/>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Pr>
    <w:tblStylePr w:type="firstRow">
      <w:rPr>
        <w:b/>
        <w:bCs/>
      </w:rPr>
      <w:tblPr/>
      <w:tcPr>
        <w:tcBorders>
          <w:bottom w:val="single" w:sz="12" w:space="0" w:color="C0C0C0"/>
        </w:tcBorders>
      </w:tcPr>
    </w:tblStylePr>
    <w:tblStylePr w:type="lastRow">
      <w:rPr>
        <w:b/>
        <w:bCs/>
      </w:rPr>
      <w:tblPr/>
      <w:tcPr>
        <w:tcBorders>
          <w:top w:val="double" w:sz="4" w:space="0" w:color="C0C0C0"/>
        </w:tcBorders>
      </w:tcPr>
    </w:tblStylePr>
    <w:tblStylePr w:type="firstCol">
      <w:rPr>
        <w:b/>
        <w:bCs/>
      </w:rPr>
    </w:tblStylePr>
    <w:tblStylePr w:type="lastCol">
      <w:rPr>
        <w:b/>
        <w:bCs/>
      </w:rPr>
    </w:tblStylePr>
    <w:tblStylePr w:type="band1Vert">
      <w:tblPr/>
      <w:tcPr>
        <w:shd w:val="clear" w:color="auto" w:fill="EAEAEA"/>
      </w:tcPr>
    </w:tblStylePr>
    <w:tblStylePr w:type="band1Horz">
      <w:tblPr/>
      <w:tcPr>
        <w:shd w:val="clear" w:color="auto" w:fill="EAEAEA"/>
      </w:tcPr>
    </w:tblStylePr>
  </w:style>
  <w:style w:type="table" w:customStyle="1" w:styleId="GridTable4-Accent52">
    <w:name w:val="Grid Table 4 - Accent 52"/>
    <w:basedOn w:val="TableNormal"/>
    <w:next w:val="GridTable4-Accent53"/>
    <w:uiPriority w:val="49"/>
    <w:rsid w:val="00797049"/>
    <w:pPr>
      <w:spacing w:after="0" w:line="240" w:lineRule="auto"/>
    </w:pPr>
    <w:rPr>
      <w:rFonts w:ascii="Calibri" w:eastAsia="Calibri" w:hAnsi="Calibri" w:cs="Times New Roman"/>
      <w:sz w:val="20"/>
      <w:szCs w:val="20"/>
    </w:rPr>
    <w:tblPr>
      <w:tblStyleRowBandSize w:val="1"/>
      <w:tblStyleColBandSize w:val="1"/>
      <w:tblBorders>
        <w:top w:val="single" w:sz="4" w:space="0" w:color="9F9F9F"/>
        <w:left w:val="single" w:sz="4" w:space="0" w:color="9F9F9F"/>
        <w:bottom w:val="single" w:sz="4" w:space="0" w:color="9F9F9F"/>
        <w:right w:val="single" w:sz="4" w:space="0" w:color="9F9F9F"/>
        <w:insideH w:val="single" w:sz="4" w:space="0" w:color="9F9F9F"/>
        <w:insideV w:val="single" w:sz="4" w:space="0" w:color="9F9F9F"/>
      </w:tblBorders>
    </w:tblPr>
    <w:tblStylePr w:type="firstRow">
      <w:rPr>
        <w:b/>
        <w:bCs/>
        <w:color w:val="FFFFFF"/>
      </w:rPr>
      <w:tblPr/>
      <w:tcPr>
        <w:tcBorders>
          <w:top w:val="single" w:sz="4" w:space="0" w:color="5F5F5F"/>
          <w:left w:val="single" w:sz="4" w:space="0" w:color="5F5F5F"/>
          <w:bottom w:val="single" w:sz="4" w:space="0" w:color="5F5F5F"/>
          <w:right w:val="single" w:sz="4" w:space="0" w:color="5F5F5F"/>
          <w:insideH w:val="nil"/>
          <w:insideV w:val="nil"/>
        </w:tcBorders>
        <w:shd w:val="clear" w:color="auto" w:fill="5F5F5F"/>
      </w:tcPr>
    </w:tblStylePr>
    <w:tblStylePr w:type="lastRow">
      <w:rPr>
        <w:b/>
        <w:bCs/>
      </w:rPr>
      <w:tblPr/>
      <w:tcPr>
        <w:tcBorders>
          <w:top w:val="double" w:sz="4" w:space="0" w:color="5F5F5F"/>
        </w:tcBorders>
      </w:tcPr>
    </w:tblStylePr>
    <w:tblStylePr w:type="firstCol">
      <w:rPr>
        <w:b/>
        <w:bCs/>
      </w:rPr>
    </w:tblStylePr>
    <w:tblStylePr w:type="lastCol">
      <w:rPr>
        <w:b/>
        <w:bCs/>
      </w:rPr>
    </w:tblStylePr>
    <w:tblStylePr w:type="band1Vert">
      <w:tblPr/>
      <w:tcPr>
        <w:shd w:val="clear" w:color="auto" w:fill="DFDFDF"/>
      </w:tcPr>
    </w:tblStylePr>
    <w:tblStylePr w:type="band1Horz">
      <w:tblPr/>
      <w:tcPr>
        <w:shd w:val="clear" w:color="auto" w:fill="DFDFDF"/>
      </w:tcPr>
    </w:tblStylePr>
  </w:style>
  <w:style w:type="table" w:customStyle="1" w:styleId="GridTable5Dark-Accent52">
    <w:name w:val="Grid Table 5 Dark - Accent 52"/>
    <w:basedOn w:val="TableNormal"/>
    <w:next w:val="GridTable5Dark-Accent53"/>
    <w:uiPriority w:val="50"/>
    <w:rsid w:val="00797049"/>
    <w:pPr>
      <w:spacing w:after="0" w:line="240" w:lineRule="auto"/>
    </w:pPr>
    <w:rPr>
      <w:rFonts w:ascii="Calibri" w:eastAsia="Calibri" w:hAnsi="Calibri" w:cs="Times New Roman"/>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FDFDF"/>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F5F5F"/>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F5F5F"/>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F5F5F"/>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F5F5F"/>
      </w:tcPr>
    </w:tblStylePr>
    <w:tblStylePr w:type="band1Vert">
      <w:tblPr/>
      <w:tcPr>
        <w:shd w:val="clear" w:color="auto" w:fill="BFBFBF"/>
      </w:tcPr>
    </w:tblStylePr>
    <w:tblStylePr w:type="band1Horz">
      <w:tblPr/>
      <w:tcPr>
        <w:shd w:val="clear" w:color="auto" w:fill="BFBFBF"/>
      </w:tcPr>
    </w:tblStylePr>
  </w:style>
  <w:style w:type="table" w:customStyle="1" w:styleId="1">
    <w:name w:val="ФС1"/>
    <w:basedOn w:val="TableNormal"/>
    <w:uiPriority w:val="99"/>
    <w:rsid w:val="00797049"/>
    <w:pPr>
      <w:spacing w:after="0" w:line="240" w:lineRule="auto"/>
    </w:pPr>
    <w:rPr>
      <w:rFonts w:ascii="Calibri" w:eastAsia="Calibri" w:hAnsi="Calibri" w:cs="Times New Roman"/>
      <w:sz w:val="20"/>
      <w:szCs w:val="20"/>
    </w:rPr>
    <w:tblPr/>
  </w:style>
  <w:style w:type="table" w:customStyle="1" w:styleId="ListTable6Colorful-Accent32">
    <w:name w:val="List Table 6 Colorful - Accent 32"/>
    <w:basedOn w:val="TableNormal"/>
    <w:next w:val="ListTable6Colorful-Accent33"/>
    <w:uiPriority w:val="51"/>
    <w:rsid w:val="00797049"/>
    <w:pPr>
      <w:spacing w:after="0" w:line="240" w:lineRule="auto"/>
    </w:pPr>
    <w:rPr>
      <w:rFonts w:ascii="Calibri" w:eastAsia="Calibri" w:hAnsi="Calibri" w:cs="Times New Roman"/>
      <w:color w:val="707070"/>
      <w:sz w:val="20"/>
      <w:szCs w:val="20"/>
    </w:rPr>
    <w:tblPr>
      <w:tblStyleRowBandSize w:val="1"/>
      <w:tblStyleColBandSize w:val="1"/>
      <w:tblBorders>
        <w:top w:val="single" w:sz="4" w:space="0" w:color="969696"/>
        <w:bottom w:val="single" w:sz="4" w:space="0" w:color="969696"/>
      </w:tblBorders>
    </w:tblPr>
    <w:tblStylePr w:type="firstRow">
      <w:rPr>
        <w:b/>
        <w:bCs/>
      </w:rPr>
      <w:tblPr/>
      <w:tcPr>
        <w:tcBorders>
          <w:bottom w:val="single" w:sz="4" w:space="0" w:color="969696"/>
        </w:tcBorders>
      </w:tcPr>
    </w:tblStylePr>
    <w:tblStylePr w:type="lastRow">
      <w:rPr>
        <w:b/>
        <w:bCs/>
      </w:rPr>
      <w:tblPr/>
      <w:tcPr>
        <w:tcBorders>
          <w:top w:val="double" w:sz="4" w:space="0" w:color="969696"/>
        </w:tcBorders>
      </w:tcPr>
    </w:tblStylePr>
    <w:tblStylePr w:type="firstCol">
      <w:rPr>
        <w:b/>
        <w:bCs/>
      </w:rPr>
    </w:tblStylePr>
    <w:tblStylePr w:type="lastCol">
      <w:rPr>
        <w:b/>
        <w:bCs/>
      </w:rPr>
    </w:tblStylePr>
    <w:tblStylePr w:type="band1Vert">
      <w:tblPr/>
      <w:tcPr>
        <w:shd w:val="clear" w:color="auto" w:fill="EAEAEA"/>
      </w:tcPr>
    </w:tblStylePr>
    <w:tblStylePr w:type="band1Horz">
      <w:tblPr/>
      <w:tcPr>
        <w:shd w:val="clear" w:color="auto" w:fill="EAEAEA"/>
      </w:tcPr>
    </w:tblStylePr>
  </w:style>
  <w:style w:type="table" w:customStyle="1" w:styleId="GridTable1Light-Accent12">
    <w:name w:val="Grid Table 1 Light - Accent 12"/>
    <w:basedOn w:val="TableNormal"/>
    <w:next w:val="GridTable1Light-Accent13"/>
    <w:uiPriority w:val="46"/>
    <w:rsid w:val="00797049"/>
    <w:pPr>
      <w:spacing w:after="0" w:line="240" w:lineRule="auto"/>
    </w:pPr>
    <w:tblPr>
      <w:tblStyleRowBandSize w:val="1"/>
      <w:tblStyleColBandSize w:val="1"/>
      <w:tblBorders>
        <w:top w:val="single" w:sz="4" w:space="0" w:color="F8B4A6"/>
        <w:left w:val="single" w:sz="4" w:space="0" w:color="F8B4A6"/>
        <w:bottom w:val="single" w:sz="4" w:space="0" w:color="F8B4A6"/>
        <w:right w:val="single" w:sz="4" w:space="0" w:color="F8B4A6"/>
        <w:insideH w:val="single" w:sz="4" w:space="0" w:color="F8B4A6"/>
        <w:insideV w:val="single" w:sz="4" w:space="0" w:color="F8B4A6"/>
      </w:tblBorders>
    </w:tblPr>
    <w:tblStylePr w:type="firstRow">
      <w:rPr>
        <w:b/>
        <w:bCs/>
      </w:rPr>
      <w:tblPr/>
      <w:tcPr>
        <w:tcBorders>
          <w:bottom w:val="single" w:sz="12" w:space="0" w:color="F58F7A"/>
        </w:tcBorders>
      </w:tcPr>
    </w:tblStylePr>
    <w:tblStylePr w:type="lastRow">
      <w:rPr>
        <w:b/>
        <w:bCs/>
      </w:rPr>
      <w:tblPr/>
      <w:tcPr>
        <w:tcBorders>
          <w:top w:val="double" w:sz="2" w:space="0" w:color="F58F7A"/>
        </w:tcBorders>
      </w:tcPr>
    </w:tblStylePr>
    <w:tblStylePr w:type="firstCol">
      <w:rPr>
        <w:b/>
        <w:bCs/>
      </w:rPr>
    </w:tblStylePr>
    <w:tblStylePr w:type="lastCol">
      <w:rPr>
        <w:b/>
        <w:bCs/>
      </w:rPr>
    </w:tblStylePr>
  </w:style>
  <w:style w:type="table" w:customStyle="1" w:styleId="ListTable1Light-Accent12">
    <w:name w:val="List Table 1 Light - Accent 12"/>
    <w:basedOn w:val="TableNormal"/>
    <w:next w:val="ListTable1Light-Accent13"/>
    <w:uiPriority w:val="46"/>
    <w:rsid w:val="00797049"/>
    <w:pPr>
      <w:spacing w:after="0" w:line="240" w:lineRule="auto"/>
    </w:pPr>
    <w:tblPr>
      <w:tblStyleRowBandSize w:val="1"/>
      <w:tblStyleColBandSize w:val="1"/>
    </w:tblPr>
    <w:tblStylePr w:type="firstRow">
      <w:rPr>
        <w:b/>
        <w:bCs/>
      </w:rPr>
      <w:tblPr/>
      <w:tcPr>
        <w:tcBorders>
          <w:bottom w:val="single" w:sz="4" w:space="0" w:color="F58F7A"/>
        </w:tcBorders>
      </w:tcPr>
    </w:tblStylePr>
    <w:tblStylePr w:type="lastRow">
      <w:rPr>
        <w:b/>
        <w:bCs/>
      </w:rPr>
      <w:tblPr/>
      <w:tcPr>
        <w:tcBorders>
          <w:top w:val="single" w:sz="4" w:space="0" w:color="F58F7A"/>
        </w:tcBorders>
      </w:tcPr>
    </w:tblStylePr>
    <w:tblStylePr w:type="firstCol">
      <w:rPr>
        <w:b/>
        <w:bCs/>
      </w:rPr>
    </w:tblStylePr>
    <w:tblStylePr w:type="lastCol">
      <w:rPr>
        <w:b/>
        <w:bCs/>
      </w:rPr>
    </w:tblStylePr>
    <w:tblStylePr w:type="band1Vert">
      <w:tblPr/>
      <w:tcPr>
        <w:shd w:val="clear" w:color="auto" w:fill="FBD9D2"/>
      </w:tcPr>
    </w:tblStylePr>
    <w:tblStylePr w:type="band1Horz">
      <w:tblPr/>
      <w:tcPr>
        <w:shd w:val="clear" w:color="auto" w:fill="FBD9D2"/>
      </w:tcPr>
    </w:tblStylePr>
  </w:style>
  <w:style w:type="table" w:customStyle="1" w:styleId="ListTable2-Accent12">
    <w:name w:val="List Table 2 - Accent 12"/>
    <w:basedOn w:val="TableNormal"/>
    <w:next w:val="ListTable2-Accent13"/>
    <w:uiPriority w:val="47"/>
    <w:rsid w:val="00797049"/>
    <w:pPr>
      <w:spacing w:after="0" w:line="240" w:lineRule="auto"/>
    </w:pPr>
    <w:tblPr>
      <w:tblStyleRowBandSize w:val="1"/>
      <w:tblStyleColBandSize w:val="1"/>
      <w:tblBorders>
        <w:top w:val="single" w:sz="4" w:space="0" w:color="F58F7A"/>
        <w:bottom w:val="single" w:sz="4" w:space="0" w:color="F58F7A"/>
        <w:insideH w:val="single" w:sz="4" w:space="0" w:color="F58F7A"/>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D9D2"/>
      </w:tcPr>
    </w:tblStylePr>
    <w:tblStylePr w:type="band1Horz">
      <w:tblPr/>
      <w:tcPr>
        <w:shd w:val="clear" w:color="auto" w:fill="FBD9D2"/>
      </w:tcPr>
    </w:tblStylePr>
  </w:style>
  <w:style w:type="table" w:customStyle="1" w:styleId="ListTable2-Accent52">
    <w:name w:val="List Table 2 - Accent 52"/>
    <w:basedOn w:val="TableNormal"/>
    <w:next w:val="ListTable2-Accent53"/>
    <w:uiPriority w:val="47"/>
    <w:rsid w:val="00797049"/>
    <w:pPr>
      <w:spacing w:after="0" w:line="240" w:lineRule="auto"/>
    </w:pPr>
    <w:tblPr>
      <w:tblStyleRowBandSize w:val="1"/>
      <w:tblStyleColBandSize w:val="1"/>
      <w:tblBorders>
        <w:top w:val="single" w:sz="4" w:space="0" w:color="9F9F9F"/>
        <w:bottom w:val="single" w:sz="4" w:space="0" w:color="9F9F9F"/>
        <w:insideH w:val="single" w:sz="4" w:space="0" w:color="9F9F9F"/>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FDFDF"/>
      </w:tcPr>
    </w:tblStylePr>
    <w:tblStylePr w:type="band1Horz">
      <w:tblPr/>
      <w:tcPr>
        <w:shd w:val="clear" w:color="auto" w:fill="DFDFDF"/>
      </w:tcPr>
    </w:tblStylePr>
  </w:style>
  <w:style w:type="table" w:customStyle="1" w:styleId="GridTable2-Accent52">
    <w:name w:val="Grid Table 2 - Accent 52"/>
    <w:basedOn w:val="TableNormal"/>
    <w:next w:val="GridTable2-Accent53"/>
    <w:uiPriority w:val="47"/>
    <w:rsid w:val="00797049"/>
    <w:pPr>
      <w:spacing w:after="0" w:line="240" w:lineRule="auto"/>
    </w:pPr>
    <w:tblPr>
      <w:tblStyleRowBandSize w:val="1"/>
      <w:tblStyleColBandSize w:val="1"/>
      <w:tblBorders>
        <w:top w:val="single" w:sz="2" w:space="0" w:color="9F9F9F"/>
        <w:bottom w:val="single" w:sz="2" w:space="0" w:color="9F9F9F"/>
        <w:insideH w:val="single" w:sz="2" w:space="0" w:color="9F9F9F"/>
        <w:insideV w:val="single" w:sz="2" w:space="0" w:color="9F9F9F"/>
      </w:tblBorders>
    </w:tblPr>
    <w:tblStylePr w:type="firstRow">
      <w:rPr>
        <w:b/>
        <w:bCs/>
      </w:rPr>
      <w:tblPr/>
      <w:tcPr>
        <w:tcBorders>
          <w:top w:val="nil"/>
          <w:bottom w:val="single" w:sz="12" w:space="0" w:color="9F9F9F"/>
          <w:insideH w:val="nil"/>
          <w:insideV w:val="nil"/>
        </w:tcBorders>
        <w:shd w:val="clear" w:color="auto" w:fill="FFFFFF"/>
      </w:tcPr>
    </w:tblStylePr>
    <w:tblStylePr w:type="lastRow">
      <w:rPr>
        <w:b/>
        <w:bCs/>
      </w:rPr>
      <w:tblPr/>
      <w:tcPr>
        <w:tcBorders>
          <w:top w:val="double" w:sz="2" w:space="0" w:color="9F9F9F"/>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FDFDF"/>
      </w:tcPr>
    </w:tblStylePr>
    <w:tblStylePr w:type="band1Horz">
      <w:tblPr/>
      <w:tcPr>
        <w:shd w:val="clear" w:color="auto" w:fill="DFDFDF"/>
      </w:tcPr>
    </w:tblStylePr>
  </w:style>
  <w:style w:type="table" w:customStyle="1" w:styleId="GridTable6Colorful-Accent411">
    <w:name w:val="Grid Table 6 Colorful - Accent 411"/>
    <w:basedOn w:val="TableNormal"/>
    <w:uiPriority w:val="51"/>
    <w:rsid w:val="00797049"/>
    <w:pPr>
      <w:spacing w:after="0" w:line="240" w:lineRule="auto"/>
    </w:pPr>
    <w:rPr>
      <w:color w:val="5F5F5F"/>
    </w:rPr>
    <w:tblPr>
      <w:tblStyleRowBandSize w:val="1"/>
      <w:tblStyleColBandSize w:val="1"/>
      <w:tblBorders>
        <w:top w:val="single" w:sz="4" w:space="0" w:color="B2B2B2"/>
        <w:left w:val="single" w:sz="4" w:space="0" w:color="B2B2B2"/>
        <w:bottom w:val="single" w:sz="4" w:space="0" w:color="B2B2B2"/>
        <w:right w:val="single" w:sz="4" w:space="0" w:color="B2B2B2"/>
        <w:insideH w:val="single" w:sz="4" w:space="0" w:color="B2B2B2"/>
        <w:insideV w:val="single" w:sz="4" w:space="0" w:color="B2B2B2"/>
      </w:tblBorders>
    </w:tblPr>
    <w:tblStylePr w:type="firstRow">
      <w:rPr>
        <w:b/>
        <w:bCs/>
      </w:rPr>
      <w:tblPr/>
      <w:tcPr>
        <w:tcBorders>
          <w:bottom w:val="single" w:sz="12" w:space="0" w:color="B2B2B2"/>
        </w:tcBorders>
      </w:tcPr>
    </w:tblStylePr>
    <w:tblStylePr w:type="lastRow">
      <w:rPr>
        <w:b/>
        <w:bCs/>
      </w:rPr>
      <w:tblPr/>
      <w:tcPr>
        <w:tcBorders>
          <w:top w:val="double" w:sz="4" w:space="0" w:color="B2B2B2"/>
        </w:tcBorders>
      </w:tcPr>
    </w:tblStylePr>
    <w:tblStylePr w:type="firstCol">
      <w:rPr>
        <w:b/>
        <w:bCs/>
      </w:rPr>
    </w:tblStylePr>
    <w:tblStylePr w:type="lastCol">
      <w:rPr>
        <w:b/>
        <w:bCs/>
      </w:rPr>
    </w:tblStylePr>
    <w:tblStylePr w:type="band1Vert">
      <w:tblPr/>
      <w:tcPr>
        <w:shd w:val="clear" w:color="auto" w:fill="E5E5E5"/>
      </w:tcPr>
    </w:tblStylePr>
    <w:tblStylePr w:type="band1Horz">
      <w:tblPr/>
      <w:tcPr>
        <w:shd w:val="clear" w:color="auto" w:fill="E5E5E5"/>
      </w:tcPr>
    </w:tblStylePr>
  </w:style>
  <w:style w:type="table" w:customStyle="1" w:styleId="GridTable6Colorful-Accent311">
    <w:name w:val="Grid Table 6 Colorful - Accent 311"/>
    <w:basedOn w:val="TableNormal"/>
    <w:uiPriority w:val="51"/>
    <w:rsid w:val="00797049"/>
    <w:pPr>
      <w:spacing w:after="0" w:line="240" w:lineRule="auto"/>
    </w:pPr>
    <w:rPr>
      <w:rFonts w:ascii="Calibri" w:eastAsia="Calibri" w:hAnsi="Calibri" w:cs="Times New Roman"/>
      <w:color w:val="707070"/>
      <w:sz w:val="20"/>
      <w:szCs w:val="20"/>
    </w:rPr>
    <w:tblPr>
      <w:tblStyleRowBandSize w:val="1"/>
      <w:tblStyleColBandSize w:val="1"/>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Pr>
    <w:tblStylePr w:type="firstRow">
      <w:rPr>
        <w:b/>
        <w:bCs/>
      </w:rPr>
      <w:tblPr/>
      <w:tcPr>
        <w:tcBorders>
          <w:bottom w:val="single" w:sz="12" w:space="0" w:color="C0C0C0"/>
        </w:tcBorders>
      </w:tcPr>
    </w:tblStylePr>
    <w:tblStylePr w:type="lastRow">
      <w:rPr>
        <w:b/>
        <w:bCs/>
      </w:rPr>
      <w:tblPr/>
      <w:tcPr>
        <w:tcBorders>
          <w:top w:val="double" w:sz="4" w:space="0" w:color="C0C0C0"/>
        </w:tcBorders>
      </w:tcPr>
    </w:tblStylePr>
    <w:tblStylePr w:type="firstCol">
      <w:rPr>
        <w:b/>
        <w:bCs/>
      </w:rPr>
    </w:tblStylePr>
    <w:tblStylePr w:type="lastCol">
      <w:rPr>
        <w:b/>
        <w:bCs/>
      </w:rPr>
    </w:tblStylePr>
    <w:tblStylePr w:type="band1Vert">
      <w:tblPr/>
      <w:tcPr>
        <w:shd w:val="clear" w:color="auto" w:fill="EAEAEA"/>
      </w:tcPr>
    </w:tblStylePr>
    <w:tblStylePr w:type="band1Horz">
      <w:tblPr/>
      <w:tcPr>
        <w:shd w:val="clear" w:color="auto" w:fill="EAEAEA"/>
      </w:tcPr>
    </w:tblStylePr>
  </w:style>
  <w:style w:type="table" w:customStyle="1" w:styleId="TableGrid21">
    <w:name w:val="Table Grid21"/>
    <w:basedOn w:val="TableNormal"/>
    <w:next w:val="TableGrid"/>
    <w:uiPriority w:val="39"/>
    <w:rsid w:val="00797049"/>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LightShading-Accent1241">
    <w:name w:val="Light Shading - Accent 1241"/>
    <w:basedOn w:val="TableNormal"/>
    <w:uiPriority w:val="60"/>
    <w:rsid w:val="00797049"/>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51">
    <w:name w:val="Light Shading - Accent 1251"/>
    <w:basedOn w:val="TableNormal"/>
    <w:uiPriority w:val="60"/>
    <w:rsid w:val="00797049"/>
    <w:pPr>
      <w:spacing w:after="0" w:line="240"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paragraph" w:styleId="Footer">
    <w:name w:val="footer"/>
    <w:aliases w:val="Char,Char Char,Char Char Char Char Char Char Char,Char Char Char Char Char Char Char Char Char,Char Char Char Char Char Char Char Char Char Char Char Char Char,Char Char Char Char Char Char,Char1, Char,Char1 Cha"/>
    <w:basedOn w:val="Normal"/>
    <w:link w:val="FooterChar1"/>
    <w:unhideWhenUsed/>
    <w:rsid w:val="00797049"/>
    <w:pPr>
      <w:tabs>
        <w:tab w:val="center" w:pos="4680"/>
        <w:tab w:val="right" w:pos="9360"/>
      </w:tabs>
      <w:spacing w:after="0"/>
    </w:pPr>
  </w:style>
  <w:style w:type="character" w:customStyle="1" w:styleId="FooterChar1">
    <w:name w:val="Footer Char1"/>
    <w:aliases w:val="Char Char2,Char Char Char2,Char Char Char Char Char Char Char Char1,Char Char Char Char Char Char Char Char Char Char1,Char Char Char Char Char Char Char Char Char Char Char Char Char Char1,Char Char Char Char Char Char Char1,Char1 Char"/>
    <w:basedOn w:val="DefaultParagraphFont"/>
    <w:link w:val="Footer"/>
    <w:uiPriority w:val="99"/>
    <w:rsid w:val="00797049"/>
  </w:style>
  <w:style w:type="paragraph" w:styleId="Title">
    <w:name w:val="Title"/>
    <w:basedOn w:val="Normal"/>
    <w:next w:val="Normal"/>
    <w:link w:val="TitleChar"/>
    <w:qFormat/>
    <w:rsid w:val="00797049"/>
    <w:pPr>
      <w:spacing w:after="0"/>
      <w:contextualSpacing/>
    </w:pPr>
    <w:rPr>
      <w:rFonts w:ascii="Arial" w:eastAsia="MS PGothic" w:hAnsi="Arial" w:cs="Arial"/>
      <w:color w:val="EF4623"/>
      <w:spacing w:val="-10"/>
      <w:sz w:val="56"/>
      <w:szCs w:val="56"/>
    </w:rPr>
  </w:style>
  <w:style w:type="character" w:customStyle="1" w:styleId="TitleChar2">
    <w:name w:val="Title Char2"/>
    <w:basedOn w:val="DefaultParagraphFont"/>
    <w:uiPriority w:val="10"/>
    <w:rsid w:val="00797049"/>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qFormat/>
    <w:rsid w:val="00797049"/>
    <w:pPr>
      <w:numPr>
        <w:ilvl w:val="1"/>
      </w:numPr>
    </w:pPr>
    <w:rPr>
      <w:rFonts w:ascii="Arial" w:eastAsia="MS PGothic" w:hAnsi="Arial" w:cs="Arial"/>
      <w:szCs w:val="24"/>
    </w:rPr>
  </w:style>
  <w:style w:type="character" w:customStyle="1" w:styleId="SubtitleChar1">
    <w:name w:val="Subtitle Char1"/>
    <w:basedOn w:val="DefaultParagraphFont"/>
    <w:uiPriority w:val="11"/>
    <w:rsid w:val="00797049"/>
    <w:rPr>
      <w:rFonts w:eastAsiaTheme="minorEastAsia"/>
      <w:color w:val="5A5A5A" w:themeColor="text1" w:themeTint="A5"/>
      <w:spacing w:val="15"/>
    </w:rPr>
  </w:style>
  <w:style w:type="character" w:styleId="Hyperlink">
    <w:name w:val="Hyperlink"/>
    <w:basedOn w:val="DefaultParagraphFont"/>
    <w:uiPriority w:val="99"/>
    <w:unhideWhenUsed/>
    <w:rsid w:val="00797049"/>
    <w:rPr>
      <w:color w:val="0563C1" w:themeColor="hyperlink"/>
      <w:u w:val="single"/>
    </w:rPr>
  </w:style>
  <w:style w:type="character" w:customStyle="1" w:styleId="Heading2Char1">
    <w:name w:val="Heading 2 Char1"/>
    <w:basedOn w:val="DefaultParagraphFont"/>
    <w:uiPriority w:val="9"/>
    <w:semiHidden/>
    <w:rsid w:val="00797049"/>
    <w:rPr>
      <w:rFonts w:asciiTheme="majorHAnsi" w:eastAsiaTheme="majorEastAsia" w:hAnsiTheme="majorHAnsi" w:cstheme="majorBidi"/>
      <w:color w:val="2E74B5" w:themeColor="accent1" w:themeShade="BF"/>
      <w:sz w:val="26"/>
      <w:szCs w:val="26"/>
    </w:rPr>
  </w:style>
  <w:style w:type="paragraph" w:styleId="Quote">
    <w:name w:val="Quote"/>
    <w:basedOn w:val="Normal"/>
    <w:next w:val="Normal"/>
    <w:link w:val="QuoteChar"/>
    <w:uiPriority w:val="29"/>
    <w:qFormat/>
    <w:rsid w:val="00797049"/>
    <w:pPr>
      <w:spacing w:before="200"/>
      <w:ind w:left="864" w:right="864"/>
      <w:jc w:val="center"/>
    </w:pPr>
    <w:rPr>
      <w:i/>
      <w:iCs/>
      <w:color w:val="404040"/>
    </w:rPr>
  </w:style>
  <w:style w:type="character" w:customStyle="1" w:styleId="QuoteChar1">
    <w:name w:val="Quote Char1"/>
    <w:basedOn w:val="DefaultParagraphFont"/>
    <w:uiPriority w:val="29"/>
    <w:rsid w:val="00797049"/>
    <w:rPr>
      <w:i/>
      <w:iCs/>
      <w:color w:val="404040" w:themeColor="text1" w:themeTint="BF"/>
    </w:rPr>
  </w:style>
  <w:style w:type="paragraph" w:styleId="Signature">
    <w:name w:val="Signature"/>
    <w:basedOn w:val="Normal"/>
    <w:link w:val="SignatureChar1"/>
    <w:uiPriority w:val="99"/>
    <w:unhideWhenUsed/>
    <w:rsid w:val="00797049"/>
    <w:pPr>
      <w:spacing w:after="0"/>
      <w:ind w:left="4252"/>
    </w:pPr>
  </w:style>
  <w:style w:type="character" w:customStyle="1" w:styleId="SignatureChar1">
    <w:name w:val="Signature Char1"/>
    <w:basedOn w:val="DefaultParagraphFont"/>
    <w:link w:val="Signature"/>
    <w:uiPriority w:val="99"/>
    <w:rsid w:val="00797049"/>
  </w:style>
  <w:style w:type="paragraph" w:styleId="ListBullet">
    <w:name w:val="List Bullet"/>
    <w:basedOn w:val="Normal"/>
    <w:uiPriority w:val="99"/>
    <w:unhideWhenUsed/>
    <w:qFormat/>
    <w:rsid w:val="00797049"/>
    <w:pPr>
      <w:ind w:left="576" w:hanging="288"/>
      <w:contextualSpacing/>
    </w:pPr>
  </w:style>
  <w:style w:type="paragraph" w:styleId="ListNumber">
    <w:name w:val="List Number"/>
    <w:basedOn w:val="Normal"/>
    <w:uiPriority w:val="99"/>
    <w:unhideWhenUsed/>
    <w:rsid w:val="00797049"/>
    <w:pPr>
      <w:ind w:left="360" w:hanging="360"/>
      <w:contextualSpacing/>
    </w:pPr>
  </w:style>
  <w:style w:type="paragraph" w:styleId="ListNumber2">
    <w:name w:val="List Number 2"/>
    <w:basedOn w:val="Normal"/>
    <w:uiPriority w:val="99"/>
    <w:unhideWhenUsed/>
    <w:rsid w:val="00797049"/>
    <w:pPr>
      <w:numPr>
        <w:numId w:val="3"/>
      </w:numPr>
      <w:contextualSpacing/>
    </w:pPr>
  </w:style>
  <w:style w:type="paragraph" w:styleId="ListNumber3">
    <w:name w:val="List Number 3"/>
    <w:basedOn w:val="Normal"/>
    <w:uiPriority w:val="99"/>
    <w:unhideWhenUsed/>
    <w:rsid w:val="00797049"/>
    <w:pPr>
      <w:ind w:left="630" w:hanging="360"/>
      <w:contextualSpacing/>
    </w:pPr>
  </w:style>
  <w:style w:type="paragraph" w:styleId="ListNumber4">
    <w:name w:val="List Number 4"/>
    <w:basedOn w:val="Normal"/>
    <w:uiPriority w:val="99"/>
    <w:unhideWhenUsed/>
    <w:rsid w:val="00797049"/>
    <w:pPr>
      <w:numPr>
        <w:numId w:val="5"/>
      </w:numPr>
      <w:contextualSpacing/>
    </w:pPr>
  </w:style>
  <w:style w:type="paragraph" w:styleId="ListNumber5">
    <w:name w:val="List Number 5"/>
    <w:basedOn w:val="Normal"/>
    <w:uiPriority w:val="99"/>
    <w:unhideWhenUsed/>
    <w:rsid w:val="00797049"/>
    <w:pPr>
      <w:numPr>
        <w:numId w:val="6"/>
      </w:numPr>
      <w:contextualSpacing/>
    </w:pPr>
  </w:style>
  <w:style w:type="table" w:styleId="LightShading">
    <w:name w:val="Light Shading"/>
    <w:basedOn w:val="TableNormal"/>
    <w:uiPriority w:val="60"/>
    <w:unhideWhenUsed/>
    <w:rsid w:val="0079704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GridTable6Colorful-Accent54">
    <w:name w:val="Grid Table 6 Colorful - Accent 54"/>
    <w:basedOn w:val="TableNormal"/>
    <w:uiPriority w:val="51"/>
    <w:rsid w:val="00797049"/>
    <w:pPr>
      <w:spacing w:after="0" w:line="240" w:lineRule="auto"/>
    </w:pPr>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customStyle="1" w:styleId="Heading3Char1">
    <w:name w:val="Heading 3 Char1"/>
    <w:basedOn w:val="DefaultParagraphFont"/>
    <w:uiPriority w:val="9"/>
    <w:semiHidden/>
    <w:rsid w:val="00797049"/>
    <w:rPr>
      <w:rFonts w:asciiTheme="majorHAnsi" w:eastAsiaTheme="majorEastAsia" w:hAnsiTheme="majorHAnsi" w:cstheme="majorBidi"/>
      <w:color w:val="1F4D78" w:themeColor="accent1" w:themeShade="7F"/>
      <w:sz w:val="24"/>
      <w:szCs w:val="24"/>
    </w:rPr>
  </w:style>
  <w:style w:type="table" w:customStyle="1" w:styleId="GridTable6Colorful-Accent13">
    <w:name w:val="Grid Table 6 Colorful - Accent 13"/>
    <w:basedOn w:val="TableNormal"/>
    <w:uiPriority w:val="51"/>
    <w:rsid w:val="00797049"/>
    <w:pPr>
      <w:spacing w:after="0" w:line="240" w:lineRule="auto"/>
    </w:pPr>
    <w:rPr>
      <w:color w:val="2E74B5" w:themeColor="accent1" w:themeShade="BF"/>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Heading4Char2">
    <w:name w:val="Heading 4 Char2"/>
    <w:basedOn w:val="DefaultParagraphFont"/>
    <w:uiPriority w:val="9"/>
    <w:semiHidden/>
    <w:rsid w:val="00797049"/>
    <w:rPr>
      <w:rFonts w:asciiTheme="majorHAnsi" w:eastAsiaTheme="majorEastAsia" w:hAnsiTheme="majorHAnsi" w:cstheme="majorBidi"/>
      <w:i/>
      <w:iCs/>
      <w:color w:val="2E74B5" w:themeColor="accent1" w:themeShade="BF"/>
    </w:rPr>
  </w:style>
  <w:style w:type="character" w:customStyle="1" w:styleId="Heading5Char1">
    <w:name w:val="Heading 5 Char1"/>
    <w:basedOn w:val="DefaultParagraphFont"/>
    <w:uiPriority w:val="9"/>
    <w:semiHidden/>
    <w:rsid w:val="00797049"/>
    <w:rPr>
      <w:rFonts w:asciiTheme="majorHAnsi" w:eastAsiaTheme="majorEastAsia" w:hAnsiTheme="majorHAnsi" w:cstheme="majorBidi"/>
      <w:color w:val="2E74B5" w:themeColor="accent1" w:themeShade="BF"/>
    </w:rPr>
  </w:style>
  <w:style w:type="character" w:customStyle="1" w:styleId="Heading6Char1">
    <w:name w:val="Heading 6 Char1"/>
    <w:basedOn w:val="DefaultParagraphFont"/>
    <w:uiPriority w:val="9"/>
    <w:semiHidden/>
    <w:rsid w:val="00797049"/>
    <w:rPr>
      <w:rFonts w:asciiTheme="majorHAnsi" w:eastAsiaTheme="majorEastAsia" w:hAnsiTheme="majorHAnsi" w:cstheme="majorBidi"/>
      <w:color w:val="1F4D78" w:themeColor="accent1" w:themeShade="7F"/>
    </w:rPr>
  </w:style>
  <w:style w:type="character" w:customStyle="1" w:styleId="Heading7Char1">
    <w:name w:val="Heading 7 Char1"/>
    <w:basedOn w:val="DefaultParagraphFont"/>
    <w:uiPriority w:val="9"/>
    <w:semiHidden/>
    <w:rsid w:val="00797049"/>
    <w:rPr>
      <w:rFonts w:asciiTheme="majorHAnsi" w:eastAsiaTheme="majorEastAsia" w:hAnsiTheme="majorHAnsi" w:cstheme="majorBidi"/>
      <w:i/>
      <w:iCs/>
      <w:color w:val="1F4D78" w:themeColor="accent1" w:themeShade="7F"/>
    </w:rPr>
  </w:style>
  <w:style w:type="character" w:customStyle="1" w:styleId="Heading8Char1">
    <w:name w:val="Heading 8 Char1"/>
    <w:basedOn w:val="DefaultParagraphFont"/>
    <w:uiPriority w:val="9"/>
    <w:semiHidden/>
    <w:rsid w:val="00797049"/>
    <w:rPr>
      <w:rFonts w:asciiTheme="majorHAnsi" w:eastAsiaTheme="majorEastAsia" w:hAnsiTheme="majorHAnsi" w:cstheme="majorBidi"/>
      <w:color w:val="272727" w:themeColor="text1" w:themeTint="D8"/>
      <w:sz w:val="21"/>
      <w:szCs w:val="21"/>
    </w:rPr>
  </w:style>
  <w:style w:type="character" w:customStyle="1" w:styleId="Heading9Char1">
    <w:name w:val="Heading 9 Char1"/>
    <w:basedOn w:val="DefaultParagraphFont"/>
    <w:uiPriority w:val="9"/>
    <w:semiHidden/>
    <w:rsid w:val="00797049"/>
    <w:rPr>
      <w:rFonts w:asciiTheme="majorHAnsi" w:eastAsiaTheme="majorEastAsia" w:hAnsiTheme="majorHAnsi" w:cstheme="majorBidi"/>
      <w:i/>
      <w:iCs/>
      <w:color w:val="272727" w:themeColor="text1" w:themeTint="D8"/>
      <w:sz w:val="21"/>
      <w:szCs w:val="21"/>
    </w:rPr>
  </w:style>
  <w:style w:type="paragraph" w:styleId="IntenseQuote">
    <w:name w:val="Intense Quote"/>
    <w:basedOn w:val="Normal"/>
    <w:next w:val="Normal"/>
    <w:link w:val="IntenseQuoteChar"/>
    <w:uiPriority w:val="30"/>
    <w:qFormat/>
    <w:rsid w:val="00797049"/>
    <w:pPr>
      <w:pBdr>
        <w:top w:val="single" w:sz="4" w:space="10" w:color="5B9BD5" w:themeColor="accent1"/>
        <w:bottom w:val="single" w:sz="4" w:space="10" w:color="5B9BD5" w:themeColor="accent1"/>
      </w:pBdr>
      <w:spacing w:before="360" w:after="360"/>
      <w:ind w:left="864" w:right="864"/>
      <w:jc w:val="center"/>
    </w:pPr>
    <w:rPr>
      <w:rFonts w:ascii="Arial" w:eastAsia="MS PGothic" w:hAnsi="Arial" w:cs="Arial"/>
      <w:color w:val="EF4623"/>
      <w:sz w:val="28"/>
      <w:szCs w:val="28"/>
    </w:rPr>
  </w:style>
  <w:style w:type="character" w:customStyle="1" w:styleId="IntenseQuoteChar1">
    <w:name w:val="Intense Quote Char1"/>
    <w:basedOn w:val="DefaultParagraphFont"/>
    <w:uiPriority w:val="30"/>
    <w:rsid w:val="00797049"/>
    <w:rPr>
      <w:i/>
      <w:iCs/>
      <w:color w:val="5B9BD5" w:themeColor="accent1"/>
    </w:rPr>
  </w:style>
  <w:style w:type="character" w:styleId="SubtleEmphasis">
    <w:name w:val="Subtle Emphasis"/>
    <w:basedOn w:val="DefaultParagraphFont"/>
    <w:uiPriority w:val="19"/>
    <w:qFormat/>
    <w:rsid w:val="00797049"/>
    <w:rPr>
      <w:i/>
      <w:iCs/>
      <w:color w:val="404040" w:themeColor="text1" w:themeTint="BF"/>
    </w:rPr>
  </w:style>
  <w:style w:type="character" w:styleId="SubtleReference">
    <w:name w:val="Subtle Reference"/>
    <w:basedOn w:val="DefaultParagraphFont"/>
    <w:uiPriority w:val="31"/>
    <w:qFormat/>
    <w:rsid w:val="00797049"/>
    <w:rPr>
      <w:smallCaps/>
      <w:color w:val="5A5A5A" w:themeColor="text1" w:themeTint="A5"/>
    </w:rPr>
  </w:style>
  <w:style w:type="character" w:styleId="FollowedHyperlink">
    <w:name w:val="FollowedHyperlink"/>
    <w:basedOn w:val="DefaultParagraphFont"/>
    <w:uiPriority w:val="99"/>
    <w:semiHidden/>
    <w:unhideWhenUsed/>
    <w:rsid w:val="00797049"/>
    <w:rPr>
      <w:color w:val="954F72" w:themeColor="followedHyperlink"/>
      <w:u w:val="single"/>
    </w:rPr>
  </w:style>
  <w:style w:type="table" w:styleId="LightShading-Accent1">
    <w:name w:val="Light Shading Accent 1"/>
    <w:basedOn w:val="TableNormal"/>
    <w:uiPriority w:val="60"/>
    <w:unhideWhenUsed/>
    <w:rsid w:val="00797049"/>
    <w:pPr>
      <w:spacing w:after="0" w:line="240" w:lineRule="auto"/>
    </w:pPr>
    <w:rPr>
      <w:color w:val="2E74B5" w:themeColor="accent1" w:themeShade="BF"/>
    </w:rPr>
    <w:tblPr>
      <w:tblStyleRowBandSize w:val="1"/>
      <w:tblStyleColBandSize w:val="1"/>
      <w:tblBorders>
        <w:top w:val="single" w:sz="8" w:space="0" w:color="5B9BD5" w:themeColor="accent1"/>
        <w:bottom w:val="single" w:sz="8" w:space="0" w:color="5B9BD5" w:themeColor="accent1"/>
      </w:tblBorders>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table" w:styleId="LightShading-Accent6">
    <w:name w:val="Light Shading Accent 6"/>
    <w:basedOn w:val="TableNormal"/>
    <w:uiPriority w:val="60"/>
    <w:unhideWhenUsed/>
    <w:rsid w:val="00797049"/>
    <w:pPr>
      <w:spacing w:after="0" w:line="240" w:lineRule="auto"/>
    </w:pPr>
    <w:rPr>
      <w:color w:val="538135" w:themeColor="accent6" w:themeShade="BF"/>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customStyle="1" w:styleId="GridTable6Colorful-Accent43">
    <w:name w:val="Grid Table 6 Colorful - Accent 43"/>
    <w:basedOn w:val="TableNormal"/>
    <w:uiPriority w:val="51"/>
    <w:rsid w:val="00797049"/>
    <w:pPr>
      <w:spacing w:after="0" w:line="240" w:lineRule="auto"/>
    </w:pPr>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GridTable6Colorful-Accent33">
    <w:name w:val="Grid Table 6 Colorful - Accent 33"/>
    <w:basedOn w:val="TableNormal"/>
    <w:uiPriority w:val="51"/>
    <w:rsid w:val="00797049"/>
    <w:pPr>
      <w:spacing w:after="0" w:line="240" w:lineRule="auto"/>
    </w:pPr>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Accent53">
    <w:name w:val="Grid Table 4 - Accent 53"/>
    <w:basedOn w:val="TableNormal"/>
    <w:uiPriority w:val="49"/>
    <w:rsid w:val="00797049"/>
    <w:pPr>
      <w:spacing w:after="0" w:line="240" w:lineRule="auto"/>
    </w:p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GridTable5Dark-Accent53">
    <w:name w:val="Grid Table 5 Dark - Accent 53"/>
    <w:basedOn w:val="TableNormal"/>
    <w:uiPriority w:val="50"/>
    <w:rsid w:val="0079704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ListTable6Colorful-Accent33">
    <w:name w:val="List Table 6 Colorful - Accent 33"/>
    <w:basedOn w:val="TableNormal"/>
    <w:uiPriority w:val="51"/>
    <w:rsid w:val="00797049"/>
    <w:pPr>
      <w:spacing w:after="0" w:line="240" w:lineRule="auto"/>
    </w:pPr>
    <w:rPr>
      <w:color w:val="7B7B7B" w:themeColor="accent3" w:themeShade="BF"/>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Accent13">
    <w:name w:val="Grid Table 1 Light - Accent 13"/>
    <w:basedOn w:val="TableNormal"/>
    <w:uiPriority w:val="46"/>
    <w:rsid w:val="00797049"/>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customStyle="1" w:styleId="ListTable1Light-Accent13">
    <w:name w:val="List Table 1 Light - Accent 13"/>
    <w:basedOn w:val="TableNormal"/>
    <w:uiPriority w:val="46"/>
    <w:rsid w:val="00797049"/>
    <w:pPr>
      <w:spacing w:after="0" w:line="240" w:lineRule="auto"/>
    </w:pPr>
    <w:tblPr>
      <w:tblStyleRowBandSize w:val="1"/>
      <w:tblStyleColBandSize w:val="1"/>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ListTable2-Accent13">
    <w:name w:val="List Table 2 - Accent 13"/>
    <w:basedOn w:val="TableNormal"/>
    <w:uiPriority w:val="47"/>
    <w:rsid w:val="00797049"/>
    <w:pPr>
      <w:spacing w:after="0" w:line="240" w:lineRule="auto"/>
    </w:pPr>
    <w:tblPr>
      <w:tblStyleRowBandSize w:val="1"/>
      <w:tblStyleColBandSize w:val="1"/>
      <w:tblBorders>
        <w:top w:val="single" w:sz="4" w:space="0" w:color="9CC2E5" w:themeColor="accent1" w:themeTint="99"/>
        <w:bottom w:val="single" w:sz="4" w:space="0" w:color="9CC2E5" w:themeColor="accent1" w:themeTint="99"/>
        <w:insideH w:val="single" w:sz="4" w:space="0" w:color="9CC2E5"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ListTable2-Accent53">
    <w:name w:val="List Table 2 - Accent 53"/>
    <w:basedOn w:val="TableNormal"/>
    <w:uiPriority w:val="47"/>
    <w:rsid w:val="00797049"/>
    <w:pPr>
      <w:spacing w:after="0" w:line="240" w:lineRule="auto"/>
    </w:pPr>
    <w:tblPr>
      <w:tblStyleRowBandSize w:val="1"/>
      <w:tblStyleColBandSize w:val="1"/>
      <w:tblBorders>
        <w:top w:val="single" w:sz="4" w:space="0" w:color="8EAADB" w:themeColor="accent5" w:themeTint="99"/>
        <w:bottom w:val="single" w:sz="4" w:space="0" w:color="8EAADB" w:themeColor="accent5" w:themeTint="99"/>
        <w:insideH w:val="single" w:sz="4" w:space="0" w:color="8EAADB"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GridTable2-Accent53">
    <w:name w:val="Grid Table 2 - Accent 53"/>
    <w:basedOn w:val="TableNormal"/>
    <w:uiPriority w:val="47"/>
    <w:rsid w:val="00797049"/>
    <w:pPr>
      <w:spacing w:after="0" w:line="240" w:lineRule="auto"/>
    </w:pPr>
    <w:tblPr>
      <w:tblStyleRowBandSize w:val="1"/>
      <w:tblStyleColBandSize w:val="1"/>
      <w:tblBorders>
        <w:top w:val="single" w:sz="2" w:space="0" w:color="8EAADB" w:themeColor="accent5" w:themeTint="99"/>
        <w:bottom w:val="single" w:sz="2" w:space="0" w:color="8EAADB" w:themeColor="accent5" w:themeTint="99"/>
        <w:insideH w:val="single" w:sz="2" w:space="0" w:color="8EAADB" w:themeColor="accent5" w:themeTint="99"/>
        <w:insideV w:val="single" w:sz="2" w:space="0" w:color="8EAADB" w:themeColor="accent5" w:themeTint="99"/>
      </w:tblBorders>
    </w:tblPr>
    <w:tblStylePr w:type="firstRow">
      <w:rPr>
        <w:b/>
        <w:bCs/>
      </w:rPr>
      <w:tblPr/>
      <w:tcPr>
        <w:tcBorders>
          <w:top w:val="nil"/>
          <w:bottom w:val="single" w:sz="12" w:space="0" w:color="8EAADB" w:themeColor="accent5" w:themeTint="99"/>
          <w:insideH w:val="nil"/>
          <w:insideV w:val="nil"/>
        </w:tcBorders>
        <w:shd w:val="clear" w:color="auto" w:fill="FFFFFF" w:themeFill="background1"/>
      </w:tcPr>
    </w:tblStylePr>
    <w:tblStylePr w:type="lastRow">
      <w:rPr>
        <w:b/>
        <w:bCs/>
      </w:rPr>
      <w:tblPr/>
      <w:tcPr>
        <w:tcBorders>
          <w:top w:val="double" w:sz="2" w:space="0" w:color="8EAADB"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styleId="LineNumber">
    <w:name w:val="line number"/>
    <w:basedOn w:val="DefaultParagraphFont"/>
    <w:uiPriority w:val="99"/>
    <w:semiHidden/>
    <w:unhideWhenUsed/>
    <w:rsid w:val="00E27F39"/>
  </w:style>
  <w:style w:type="table" w:customStyle="1" w:styleId="TableGrid22">
    <w:name w:val="Table Grid22"/>
    <w:basedOn w:val="TableNormal"/>
    <w:next w:val="TableGrid"/>
    <w:uiPriority w:val="39"/>
    <w:rsid w:val="00AE44EB"/>
    <w:pPr>
      <w:spacing w:before="120" w:after="120" w:line="264" w:lineRule="auto"/>
      <w:ind w:left="115" w:right="115"/>
    </w:pPr>
    <w:rPr>
      <w:rFonts w:eastAsiaTheme="minorEastAsia"/>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paragraph" w:styleId="Caption">
    <w:name w:val="caption"/>
    <w:basedOn w:val="Normal"/>
    <w:next w:val="Normal"/>
    <w:link w:val="CaptionChar"/>
    <w:uiPriority w:val="35"/>
    <w:unhideWhenUsed/>
    <w:qFormat/>
    <w:rsid w:val="002C0AD2"/>
    <w:rPr>
      <w:rFonts w:eastAsiaTheme="minorEastAsia"/>
      <w:b/>
      <w:bCs/>
      <w:smallCaps/>
      <w:color w:val="595959" w:themeColor="text1" w:themeTint="A6"/>
      <w:spacing w:val="6"/>
      <w:sz w:val="20"/>
      <w:szCs w:val="20"/>
      <w:lang w:eastAsia="ja-JP"/>
    </w:rPr>
  </w:style>
  <w:style w:type="numbering" w:customStyle="1" w:styleId="NoList4">
    <w:name w:val="No List4"/>
    <w:next w:val="NoList"/>
    <w:uiPriority w:val="99"/>
    <w:semiHidden/>
    <w:unhideWhenUsed/>
    <w:rsid w:val="00C1281D"/>
  </w:style>
  <w:style w:type="numbering" w:customStyle="1" w:styleId="NoList12">
    <w:name w:val="No List12"/>
    <w:next w:val="NoList"/>
    <w:uiPriority w:val="99"/>
    <w:semiHidden/>
    <w:unhideWhenUsed/>
    <w:rsid w:val="00C1281D"/>
  </w:style>
  <w:style w:type="table" w:customStyle="1" w:styleId="TableGrid4">
    <w:name w:val="Table Grid4"/>
    <w:basedOn w:val="TableNormal"/>
    <w:next w:val="TableGrid"/>
    <w:uiPriority w:val="59"/>
    <w:rsid w:val="00C1281D"/>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FinancialTable2">
    <w:name w:val="Financial Table2"/>
    <w:basedOn w:val="TableNormal"/>
    <w:uiPriority w:val="99"/>
    <w:rsid w:val="00C1281D"/>
    <w:pPr>
      <w:spacing w:before="60" w:after="60" w:line="264" w:lineRule="auto"/>
    </w:pPr>
    <w:rPr>
      <w:rFonts w:eastAsia="MS PGothic"/>
      <w:sz w:val="20"/>
      <w:szCs w:val="20"/>
      <w:lang w:eastAsia="ja-JP"/>
    </w:rPr>
    <w:tblPr>
      <w:tblBorders>
        <w:top w:val="single" w:sz="8" w:space="0" w:color="000000"/>
        <w:left w:val="single" w:sz="8" w:space="0" w:color="000000"/>
        <w:bottom w:val="single" w:sz="24" w:space="0" w:color="000000"/>
        <w:right w:val="single" w:sz="8" w:space="0" w:color="000000"/>
        <w:insideH w:val="single" w:sz="8" w:space="0" w:color="000000"/>
        <w:insideV w:val="single" w:sz="8" w:space="0" w:color="000000"/>
      </w:tblBorders>
      <w:tblCellMar>
        <w:left w:w="72" w:type="dxa"/>
        <w:right w:w="72" w:type="dxa"/>
      </w:tblCellMar>
    </w:tblPr>
    <w:tblStylePr w:type="firstRow">
      <w:pPr>
        <w:wordWrap/>
        <w:spacing w:beforeLines="0" w:before="40" w:beforeAutospacing="0" w:afterLines="0" w:after="40" w:afterAutospacing="0"/>
        <w:jc w:val="left"/>
      </w:pPr>
      <w:rPr>
        <w:rFonts w:ascii="Arial" w:hAnsi="Arial"/>
        <w:b/>
        <w:i w:val="0"/>
        <w:caps w:val="0"/>
        <w:smallCaps w:val="0"/>
        <w:color w:val="000000"/>
        <w:sz w:val="22"/>
      </w:rPr>
    </w:tblStylePr>
    <w:tblStylePr w:type="firstCol">
      <w:rPr>
        <w:b/>
        <w:color w:val="000000"/>
      </w:rPr>
    </w:tblStylePr>
  </w:style>
  <w:style w:type="table" w:customStyle="1" w:styleId="LightShading11">
    <w:name w:val="Light Shading11"/>
    <w:basedOn w:val="TableNormal"/>
    <w:next w:val="LightShading"/>
    <w:uiPriority w:val="60"/>
    <w:rsid w:val="00C1281D"/>
    <w:pPr>
      <w:spacing w:after="0" w:line="264" w:lineRule="auto"/>
    </w:pPr>
    <w:rPr>
      <w:rFonts w:eastAsia="MS PGothic"/>
      <w:color w:val="000000"/>
      <w:sz w:val="20"/>
      <w:szCs w:val="20"/>
      <w:lang w:eastAsia="ja-JP"/>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GridTable6Colorful-Accent515">
    <w:name w:val="Grid Table 6 Colorful - Accent 515"/>
    <w:basedOn w:val="TableNormal"/>
    <w:next w:val="GridTable6Colorful-Accent54"/>
    <w:uiPriority w:val="51"/>
    <w:rsid w:val="00C1281D"/>
    <w:pPr>
      <w:spacing w:after="0" w:line="264" w:lineRule="auto"/>
    </w:pPr>
    <w:rPr>
      <w:rFonts w:ascii="Calibri" w:eastAsia="Calibri" w:hAnsi="Calibri" w:cs="Times New Roman"/>
      <w:color w:val="474747"/>
      <w:sz w:val="20"/>
      <w:szCs w:val="20"/>
    </w:rPr>
    <w:tblPr>
      <w:tblStyleRowBandSize w:val="1"/>
      <w:tblStyleColBandSize w:val="1"/>
      <w:tblBorders>
        <w:top w:val="single" w:sz="4" w:space="0" w:color="9F9F9F"/>
        <w:left w:val="single" w:sz="4" w:space="0" w:color="9F9F9F"/>
        <w:bottom w:val="single" w:sz="4" w:space="0" w:color="9F9F9F"/>
        <w:right w:val="single" w:sz="4" w:space="0" w:color="9F9F9F"/>
        <w:insideH w:val="single" w:sz="4" w:space="0" w:color="9F9F9F"/>
        <w:insideV w:val="single" w:sz="4" w:space="0" w:color="9F9F9F"/>
      </w:tblBorders>
    </w:tblPr>
    <w:tblStylePr w:type="firstRow">
      <w:rPr>
        <w:b/>
        <w:bCs/>
      </w:rPr>
      <w:tblPr/>
      <w:tcPr>
        <w:tcBorders>
          <w:bottom w:val="single" w:sz="12" w:space="0" w:color="9F9F9F"/>
        </w:tcBorders>
      </w:tcPr>
    </w:tblStylePr>
    <w:tblStylePr w:type="lastRow">
      <w:rPr>
        <w:b/>
        <w:bCs/>
      </w:rPr>
      <w:tblPr/>
      <w:tcPr>
        <w:tcBorders>
          <w:top w:val="double" w:sz="4" w:space="0" w:color="9F9F9F"/>
        </w:tcBorders>
      </w:tcPr>
    </w:tblStylePr>
    <w:tblStylePr w:type="firstCol">
      <w:rPr>
        <w:b/>
        <w:bCs/>
      </w:rPr>
    </w:tblStylePr>
    <w:tblStylePr w:type="lastCol">
      <w:rPr>
        <w:b/>
        <w:bCs/>
      </w:rPr>
    </w:tblStylePr>
    <w:tblStylePr w:type="band1Vert">
      <w:tblPr/>
      <w:tcPr>
        <w:shd w:val="clear" w:color="auto" w:fill="DFDFDF"/>
      </w:tcPr>
    </w:tblStylePr>
    <w:tblStylePr w:type="band1Horz">
      <w:tblPr/>
      <w:tcPr>
        <w:shd w:val="clear" w:color="auto" w:fill="DFDFDF"/>
      </w:tcPr>
    </w:tblStylePr>
  </w:style>
  <w:style w:type="table" w:customStyle="1" w:styleId="LightShading-Accent126">
    <w:name w:val="Light Shading - Accent 126"/>
    <w:basedOn w:val="TableNormal"/>
    <w:uiPriority w:val="60"/>
    <w:rsid w:val="00C1281D"/>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GridTable6Colorful-Accent5112">
    <w:name w:val="Grid Table 6 Colorful - Accent 5112"/>
    <w:basedOn w:val="TableNormal"/>
    <w:uiPriority w:val="51"/>
    <w:rsid w:val="00C1281D"/>
    <w:pPr>
      <w:spacing w:after="0" w:line="264" w:lineRule="auto"/>
    </w:pPr>
    <w:rPr>
      <w:rFonts w:ascii="Calibri" w:eastAsia="Calibri" w:hAnsi="Calibri" w:cs="Times New Roman"/>
      <w:color w:val="387AAA"/>
      <w:sz w:val="20"/>
      <w:szCs w:val="20"/>
    </w:rPr>
    <w:tblPr>
      <w:tblStyleRowBandSize w:val="1"/>
      <w:tblStyleColBandSize w:val="1"/>
      <w:tblBorders>
        <w:top w:val="single" w:sz="4" w:space="0" w:color="A1C5E0"/>
        <w:left w:val="single" w:sz="4" w:space="0" w:color="A1C5E0"/>
        <w:bottom w:val="single" w:sz="4" w:space="0" w:color="A1C5E0"/>
        <w:right w:val="single" w:sz="4" w:space="0" w:color="A1C5E0"/>
        <w:insideH w:val="single" w:sz="4" w:space="0" w:color="A1C5E0"/>
        <w:insideV w:val="single" w:sz="4" w:space="0" w:color="A1C5E0"/>
      </w:tblBorders>
    </w:tblPr>
    <w:tblStylePr w:type="firstRow">
      <w:rPr>
        <w:b/>
        <w:bCs/>
      </w:rPr>
      <w:tblPr/>
      <w:tcPr>
        <w:tcBorders>
          <w:bottom w:val="single" w:sz="12" w:space="0" w:color="A1C5E0"/>
        </w:tcBorders>
      </w:tcPr>
    </w:tblStylePr>
    <w:tblStylePr w:type="lastRow">
      <w:rPr>
        <w:b/>
        <w:bCs/>
      </w:rPr>
      <w:tblPr/>
      <w:tcPr>
        <w:tcBorders>
          <w:top w:val="double" w:sz="4" w:space="0" w:color="A1C5E0"/>
        </w:tcBorders>
      </w:tcPr>
    </w:tblStylePr>
    <w:tblStylePr w:type="firstCol">
      <w:rPr>
        <w:b/>
        <w:bCs/>
      </w:rPr>
    </w:tblStylePr>
    <w:tblStylePr w:type="lastCol">
      <w:rPr>
        <w:b/>
        <w:bCs/>
      </w:rPr>
    </w:tblStylePr>
    <w:tblStylePr w:type="band1Vert">
      <w:tblPr/>
      <w:tcPr>
        <w:shd w:val="clear" w:color="auto" w:fill="DFEBF4"/>
      </w:tcPr>
    </w:tblStylePr>
    <w:tblStylePr w:type="band1Horz">
      <w:tblPr/>
      <w:tcPr>
        <w:shd w:val="clear" w:color="auto" w:fill="DFEBF4"/>
      </w:tcPr>
    </w:tblStylePr>
  </w:style>
  <w:style w:type="table" w:customStyle="1" w:styleId="LightShading-Accent1212">
    <w:name w:val="Light Shading - Accent 1212"/>
    <w:basedOn w:val="TableNormal"/>
    <w:uiPriority w:val="60"/>
    <w:rsid w:val="00C1281D"/>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GridTable6Colorful-Accent111">
    <w:name w:val="Grid Table 6 Colorful - Accent 111"/>
    <w:basedOn w:val="TableNormal"/>
    <w:next w:val="GridTable6Colorful-Accent13"/>
    <w:uiPriority w:val="51"/>
    <w:rsid w:val="00C1281D"/>
    <w:pPr>
      <w:spacing w:after="0" w:line="264" w:lineRule="auto"/>
    </w:pPr>
    <w:rPr>
      <w:rFonts w:eastAsia="MS PGothic"/>
      <w:color w:val="BF2B0E"/>
      <w:sz w:val="20"/>
      <w:szCs w:val="20"/>
      <w:lang w:eastAsia="ja-JP"/>
    </w:rPr>
    <w:tblPr>
      <w:tblStyleRowBandSize w:val="1"/>
      <w:tblStyleColBandSize w:val="1"/>
      <w:tblBorders>
        <w:top w:val="single" w:sz="4" w:space="0" w:color="F58F7A"/>
        <w:left w:val="single" w:sz="4" w:space="0" w:color="F58F7A"/>
        <w:bottom w:val="single" w:sz="4" w:space="0" w:color="F58F7A"/>
        <w:right w:val="single" w:sz="4" w:space="0" w:color="F58F7A"/>
        <w:insideH w:val="single" w:sz="4" w:space="0" w:color="F58F7A"/>
        <w:insideV w:val="single" w:sz="4" w:space="0" w:color="F58F7A"/>
      </w:tblBorders>
    </w:tblPr>
    <w:tblStylePr w:type="firstRow">
      <w:rPr>
        <w:b/>
        <w:bCs/>
      </w:rPr>
      <w:tblPr/>
      <w:tcPr>
        <w:tcBorders>
          <w:bottom w:val="single" w:sz="12" w:space="0" w:color="F58F7A"/>
        </w:tcBorders>
      </w:tcPr>
    </w:tblStylePr>
    <w:tblStylePr w:type="lastRow">
      <w:rPr>
        <w:b/>
        <w:bCs/>
      </w:rPr>
      <w:tblPr/>
      <w:tcPr>
        <w:tcBorders>
          <w:top w:val="double" w:sz="4" w:space="0" w:color="F58F7A"/>
        </w:tcBorders>
      </w:tcPr>
    </w:tblStylePr>
    <w:tblStylePr w:type="firstCol">
      <w:rPr>
        <w:b/>
        <w:bCs/>
      </w:rPr>
    </w:tblStylePr>
    <w:tblStylePr w:type="lastCol">
      <w:rPr>
        <w:b/>
        <w:bCs/>
      </w:rPr>
    </w:tblStylePr>
    <w:tblStylePr w:type="band1Vert">
      <w:tblPr/>
      <w:tcPr>
        <w:shd w:val="clear" w:color="auto" w:fill="FBD9D2"/>
      </w:tcPr>
    </w:tblStylePr>
    <w:tblStylePr w:type="band1Horz">
      <w:tblPr/>
      <w:tcPr>
        <w:shd w:val="clear" w:color="auto" w:fill="FBD9D2"/>
      </w:tcPr>
    </w:tblStylePr>
  </w:style>
  <w:style w:type="table" w:customStyle="1" w:styleId="LightShading-Accent1222">
    <w:name w:val="Light Shading - Accent 1222"/>
    <w:basedOn w:val="TableNormal"/>
    <w:uiPriority w:val="60"/>
    <w:rsid w:val="00C1281D"/>
    <w:pPr>
      <w:spacing w:after="0" w:line="240"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GridTable6Colorful-Accent522">
    <w:name w:val="Grid Table 6 Colorful - Accent 522"/>
    <w:basedOn w:val="TableNormal"/>
    <w:next w:val="GridTable6Colorful-Accent54"/>
    <w:uiPriority w:val="51"/>
    <w:rsid w:val="00C1281D"/>
    <w:pPr>
      <w:spacing w:after="0" w:line="240" w:lineRule="auto"/>
    </w:pPr>
    <w:rPr>
      <w:rFonts w:ascii="Calibri" w:eastAsia="Calibri" w:hAnsi="Calibri" w:cs="Times New Roman"/>
      <w:color w:val="C19300"/>
      <w:sz w:val="20"/>
      <w:szCs w:val="20"/>
    </w:rPr>
    <w:tblPr>
      <w:tblStyleRowBandSize w:val="1"/>
      <w:tblStyleColBandSize w:val="1"/>
      <w:tblBorders>
        <w:top w:val="single" w:sz="4" w:space="0" w:color="FEDA69"/>
        <w:left w:val="single" w:sz="4" w:space="0" w:color="FEDA69"/>
        <w:bottom w:val="single" w:sz="4" w:space="0" w:color="FEDA69"/>
        <w:right w:val="single" w:sz="4" w:space="0" w:color="FEDA69"/>
        <w:insideH w:val="single" w:sz="4" w:space="0" w:color="FEDA69"/>
        <w:insideV w:val="single" w:sz="4" w:space="0" w:color="FEDA69"/>
      </w:tblBorders>
    </w:tblPr>
    <w:tblStylePr w:type="firstRow">
      <w:rPr>
        <w:b/>
        <w:bCs/>
      </w:rPr>
      <w:tblPr/>
      <w:tcPr>
        <w:tcBorders>
          <w:bottom w:val="single" w:sz="12" w:space="0" w:color="FEDA69"/>
        </w:tcBorders>
      </w:tcPr>
    </w:tblStylePr>
    <w:tblStylePr w:type="lastRow">
      <w:rPr>
        <w:b/>
        <w:bCs/>
      </w:rPr>
      <w:tblPr/>
      <w:tcPr>
        <w:tcBorders>
          <w:top w:val="double" w:sz="4" w:space="0" w:color="FEDA69"/>
        </w:tcBorders>
      </w:tcPr>
    </w:tblStylePr>
    <w:tblStylePr w:type="firstCol">
      <w:rPr>
        <w:b/>
        <w:bCs/>
      </w:rPr>
    </w:tblStylePr>
    <w:tblStylePr w:type="lastCol">
      <w:rPr>
        <w:b/>
        <w:bCs/>
      </w:rPr>
    </w:tblStylePr>
    <w:tblStylePr w:type="band1Vert">
      <w:tblPr/>
      <w:tcPr>
        <w:shd w:val="clear" w:color="auto" w:fill="FEF2CD"/>
      </w:tcPr>
    </w:tblStylePr>
    <w:tblStylePr w:type="band1Horz">
      <w:tblPr/>
      <w:tcPr>
        <w:shd w:val="clear" w:color="auto" w:fill="FEF2CD"/>
      </w:tcPr>
    </w:tblStylePr>
  </w:style>
  <w:style w:type="table" w:customStyle="1" w:styleId="tabele35">
    <w:name w:val="tabele 35"/>
    <w:basedOn w:val="TableNormal"/>
    <w:next w:val="LightList-Accent3"/>
    <w:uiPriority w:val="61"/>
    <w:rsid w:val="00C1281D"/>
    <w:pPr>
      <w:spacing w:after="0" w:line="240" w:lineRule="auto"/>
    </w:pPr>
    <w:rPr>
      <w:rFonts w:ascii="Cambria Math" w:eastAsia="Calibri" w:hAnsi="Cambria Math" w:cs="Times New Roman"/>
      <w:sz w:val="18"/>
      <w:lang w:val="sr-Cyrl-C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ghtShading-Accent1112">
    <w:name w:val="Light Shading - Accent 1112"/>
    <w:basedOn w:val="TableNormal"/>
    <w:uiPriority w:val="60"/>
    <w:rsid w:val="00C1281D"/>
    <w:pPr>
      <w:spacing w:after="0" w:line="240" w:lineRule="auto"/>
      <w:ind w:left="568" w:hanging="284"/>
    </w:pPr>
    <w:rPr>
      <w:rFonts w:ascii="Calibri" w:eastAsia="Calibri"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36">
    <w:name w:val="Light Shading - Accent 36"/>
    <w:basedOn w:val="TableNormal"/>
    <w:next w:val="LightShading-Accent3"/>
    <w:uiPriority w:val="60"/>
    <w:rsid w:val="00C1281D"/>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List-Accent56">
    <w:name w:val="Light List - Accent 56"/>
    <w:basedOn w:val="TableNormal"/>
    <w:next w:val="LightList-Accent5"/>
    <w:uiPriority w:val="61"/>
    <w:rsid w:val="00C1281D"/>
    <w:pPr>
      <w:spacing w:after="0" w:line="240" w:lineRule="auto"/>
    </w:pPr>
    <w:rPr>
      <w:rFonts w:ascii="Calibri" w:eastAsia="Calibri" w:hAnsi="Calibri" w:cs="Times New Roman"/>
      <w:sz w:val="20"/>
      <w:szCs w:val="20"/>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LightShading-Accent315">
    <w:name w:val="Light Shading - Accent 315"/>
    <w:basedOn w:val="TableNormal"/>
    <w:next w:val="LightShading-Accent3"/>
    <w:uiPriority w:val="60"/>
    <w:rsid w:val="00C1281D"/>
    <w:pPr>
      <w:spacing w:after="0" w:line="240" w:lineRule="auto"/>
    </w:pPr>
    <w:rPr>
      <w:rFonts w:ascii="Constantia" w:eastAsia="Constantia" w:hAnsi="Constantia" w:cs="Times New Roman"/>
      <w:color w:val="8CADAE"/>
      <w:lang w:val="sr-Cyrl-CS"/>
    </w:rPr>
    <w:tblPr>
      <w:tblStyleRowBandSize w:val="1"/>
      <w:tblStyleColBandSize w:val="1"/>
      <w:tblBorders>
        <w:top w:val="single" w:sz="8" w:space="0" w:color="8CADAE"/>
        <w:bottom w:val="single" w:sz="8" w:space="0" w:color="8CADAE"/>
      </w:tblBorders>
    </w:tblPr>
    <w:tblStylePr w:type="firstRow">
      <w:pPr>
        <w:spacing w:before="0" w:after="0" w:line="240" w:lineRule="auto"/>
      </w:pPr>
      <w:rPr>
        <w:b/>
        <w:bCs/>
      </w:rPr>
      <w:tblPr/>
      <w:tcPr>
        <w:tcBorders>
          <w:top w:val="single" w:sz="8" w:space="0" w:color="8CADAE"/>
          <w:left w:val="nil"/>
          <w:bottom w:val="single" w:sz="8" w:space="0" w:color="8CADAE"/>
          <w:right w:val="nil"/>
          <w:insideH w:val="nil"/>
          <w:insideV w:val="nil"/>
        </w:tcBorders>
      </w:tcPr>
    </w:tblStylePr>
    <w:tblStylePr w:type="lastRow">
      <w:pPr>
        <w:spacing w:before="0" w:after="0" w:line="240" w:lineRule="auto"/>
      </w:pPr>
      <w:rPr>
        <w:b/>
        <w:bCs/>
      </w:rPr>
      <w:tblPr/>
      <w:tcPr>
        <w:tcBorders>
          <w:top w:val="single" w:sz="8" w:space="0" w:color="8CADAE"/>
          <w:left w:val="nil"/>
          <w:bottom w:val="single" w:sz="8" w:space="0" w:color="8CADA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AEB"/>
      </w:tcPr>
    </w:tblStylePr>
    <w:tblStylePr w:type="band1Horz">
      <w:tblPr/>
      <w:tcPr>
        <w:tcBorders>
          <w:left w:val="nil"/>
          <w:right w:val="nil"/>
          <w:insideH w:val="nil"/>
          <w:insideV w:val="nil"/>
        </w:tcBorders>
        <w:shd w:val="clear" w:color="auto" w:fill="E2EAEB"/>
      </w:tcPr>
    </w:tblStylePr>
  </w:style>
  <w:style w:type="table" w:customStyle="1" w:styleId="LightList-Accent316">
    <w:name w:val="Light List - Accent 316"/>
    <w:basedOn w:val="TableNormal"/>
    <w:next w:val="LightList-Accent3"/>
    <w:uiPriority w:val="61"/>
    <w:rsid w:val="00C1281D"/>
    <w:pPr>
      <w:spacing w:after="0" w:line="240" w:lineRule="auto"/>
    </w:pPr>
    <w:rPr>
      <w:rFonts w:ascii="Constantia" w:eastAsia="Constantia" w:hAnsi="Constantia" w:cs="Times New Roman"/>
      <w:lang w:val="sr-Cyrl-CS"/>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TableGrid12">
    <w:name w:val="Table Grid12"/>
    <w:basedOn w:val="TableNormal"/>
    <w:next w:val="TableGrid"/>
    <w:uiPriority w:val="59"/>
    <w:rsid w:val="00C1281D"/>
    <w:pPr>
      <w:spacing w:after="0" w:line="240" w:lineRule="auto"/>
    </w:pPr>
    <w:rPr>
      <w:rFonts w:ascii="Constantia" w:eastAsia="Constantia" w:hAnsi="Constantia" w:cs="Times New Roman"/>
      <w:lang w:val="sr-Cyrl-C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List-Accent515">
    <w:name w:val="Light List - Accent 515"/>
    <w:basedOn w:val="TableNormal"/>
    <w:next w:val="LightList-Accent5"/>
    <w:uiPriority w:val="61"/>
    <w:rsid w:val="00C1281D"/>
    <w:pPr>
      <w:spacing w:after="0" w:line="240" w:lineRule="auto"/>
    </w:pPr>
    <w:rPr>
      <w:rFonts w:ascii="Times New Roman" w:eastAsia="Constantia" w:hAnsi="Times New Roman" w:cs="Times New Roman"/>
      <w:lang w:val="sr-Cyrl-CS"/>
    </w:rPr>
    <w:tblPr>
      <w:tblStyleRowBandSize w:val="1"/>
      <w:tblStyleColBandSize w:val="1"/>
      <w:tblBorders>
        <w:top w:val="single" w:sz="8" w:space="0" w:color="8FB08C"/>
        <w:left w:val="single" w:sz="8" w:space="0" w:color="8FB08C"/>
        <w:bottom w:val="single" w:sz="8" w:space="0" w:color="8FB08C"/>
        <w:right w:val="single" w:sz="8" w:space="0" w:color="8FB08C"/>
      </w:tblBorders>
    </w:tblPr>
    <w:tblStylePr w:type="firstRow">
      <w:pPr>
        <w:spacing w:before="0" w:after="0" w:line="240" w:lineRule="auto"/>
      </w:pPr>
      <w:rPr>
        <w:b/>
        <w:bCs/>
        <w:color w:val="FFFFFF"/>
      </w:rPr>
      <w:tblPr/>
      <w:tcPr>
        <w:shd w:val="clear" w:color="auto" w:fill="8FB08C"/>
      </w:tcPr>
    </w:tblStylePr>
    <w:tblStylePr w:type="lastRow">
      <w:pPr>
        <w:spacing w:before="0" w:after="0" w:line="240" w:lineRule="auto"/>
      </w:pPr>
      <w:rPr>
        <w:b/>
        <w:bCs/>
      </w:rPr>
      <w:tblPr/>
      <w:tcPr>
        <w:tcBorders>
          <w:top w:val="double" w:sz="6" w:space="0" w:color="8FB08C"/>
          <w:left w:val="single" w:sz="8" w:space="0" w:color="8FB08C"/>
          <w:bottom w:val="single" w:sz="8" w:space="0" w:color="8FB08C"/>
          <w:right w:val="single" w:sz="8" w:space="0" w:color="8FB08C"/>
        </w:tcBorders>
      </w:tcPr>
    </w:tblStylePr>
    <w:tblStylePr w:type="firstCol">
      <w:rPr>
        <w:b/>
        <w:bCs/>
      </w:rPr>
    </w:tblStylePr>
    <w:tblStylePr w:type="lastCol">
      <w:rPr>
        <w:b/>
        <w:bCs/>
      </w:rPr>
    </w:tblStylePr>
    <w:tblStylePr w:type="band1Vert">
      <w:tblPr/>
      <w:tcPr>
        <w:tcBorders>
          <w:top w:val="single" w:sz="8" w:space="0" w:color="8FB08C"/>
          <w:left w:val="single" w:sz="8" w:space="0" w:color="8FB08C"/>
          <w:bottom w:val="single" w:sz="8" w:space="0" w:color="8FB08C"/>
          <w:right w:val="single" w:sz="8" w:space="0" w:color="8FB08C"/>
        </w:tcBorders>
      </w:tcPr>
    </w:tblStylePr>
    <w:tblStylePr w:type="band1Horz">
      <w:tblPr/>
      <w:tcPr>
        <w:tcBorders>
          <w:top w:val="single" w:sz="8" w:space="0" w:color="8FB08C"/>
          <w:left w:val="single" w:sz="8" w:space="0" w:color="8FB08C"/>
          <w:bottom w:val="single" w:sz="8" w:space="0" w:color="8FB08C"/>
          <w:right w:val="single" w:sz="8" w:space="0" w:color="8FB08C"/>
        </w:tcBorders>
      </w:tcPr>
    </w:tblStylePr>
  </w:style>
  <w:style w:type="table" w:customStyle="1" w:styleId="MediumList1-Accent512">
    <w:name w:val="Medium List 1 - Accent 512"/>
    <w:basedOn w:val="TableNormal"/>
    <w:next w:val="MediumList1-Accent5"/>
    <w:uiPriority w:val="65"/>
    <w:rsid w:val="00C1281D"/>
    <w:pPr>
      <w:spacing w:after="0" w:line="240" w:lineRule="auto"/>
    </w:pPr>
    <w:rPr>
      <w:rFonts w:ascii="Constantia" w:eastAsia="Constantia" w:hAnsi="Constantia" w:cs="Times New Roman"/>
      <w:color w:val="000000"/>
      <w:lang w:val="sr-Cyrl-CS"/>
    </w:rPr>
    <w:tblPr>
      <w:tblStyleRowBandSize w:val="1"/>
      <w:tblStyleColBandSize w:val="1"/>
      <w:tblBorders>
        <w:top w:val="single" w:sz="8" w:space="0" w:color="8FB08C"/>
        <w:bottom w:val="single" w:sz="8" w:space="0" w:color="8FB08C"/>
      </w:tblBorders>
    </w:tblPr>
    <w:tblStylePr w:type="firstRow">
      <w:rPr>
        <w:rFonts w:ascii="Consolas" w:eastAsia="Times New Roman" w:hAnsi="Consolas" w:cs="Times New Roman"/>
      </w:rPr>
      <w:tblPr/>
      <w:tcPr>
        <w:tcBorders>
          <w:top w:val="nil"/>
          <w:bottom w:val="single" w:sz="8" w:space="0" w:color="8FB08C"/>
        </w:tcBorders>
      </w:tcPr>
    </w:tblStylePr>
    <w:tblStylePr w:type="lastRow">
      <w:rPr>
        <w:b/>
        <w:bCs/>
        <w:color w:val="646B86"/>
      </w:rPr>
      <w:tblPr/>
      <w:tcPr>
        <w:tcBorders>
          <w:top w:val="single" w:sz="8" w:space="0" w:color="8FB08C"/>
          <w:bottom w:val="single" w:sz="8" w:space="0" w:color="8FB08C"/>
        </w:tcBorders>
      </w:tcPr>
    </w:tblStylePr>
    <w:tblStylePr w:type="firstCol">
      <w:rPr>
        <w:b/>
        <w:bCs/>
      </w:rPr>
    </w:tblStylePr>
    <w:tblStylePr w:type="lastCol">
      <w:rPr>
        <w:b/>
        <w:bCs/>
      </w:rPr>
      <w:tblPr/>
      <w:tcPr>
        <w:tcBorders>
          <w:top w:val="single" w:sz="8" w:space="0" w:color="8FB08C"/>
          <w:bottom w:val="single" w:sz="8" w:space="0" w:color="8FB08C"/>
        </w:tcBorders>
      </w:tcPr>
    </w:tblStylePr>
    <w:tblStylePr w:type="band1Vert">
      <w:tblPr/>
      <w:tcPr>
        <w:shd w:val="clear" w:color="auto" w:fill="E3EBE2"/>
      </w:tcPr>
    </w:tblStylePr>
    <w:tblStylePr w:type="band1Horz">
      <w:tblPr/>
      <w:tcPr>
        <w:shd w:val="clear" w:color="auto" w:fill="E3EBE2"/>
      </w:tcPr>
    </w:tblStylePr>
  </w:style>
  <w:style w:type="table" w:customStyle="1" w:styleId="MediumList1-Accent53">
    <w:name w:val="Medium List 1 - Accent 53"/>
    <w:basedOn w:val="TableNormal"/>
    <w:next w:val="MediumList1-Accent5"/>
    <w:uiPriority w:val="65"/>
    <w:rsid w:val="00C1281D"/>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4BACC6"/>
        <w:bottom w:val="single" w:sz="8" w:space="0" w:color="4BACC6"/>
      </w:tblBorders>
    </w:tblPr>
    <w:tblStylePr w:type="firstRow">
      <w:rPr>
        <w:rFonts w:ascii="Times New Roman" w:eastAsia="Times New Roman" w:hAnsi="Times New Roman" w:cs="Times New Roman"/>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numbering" w:customStyle="1" w:styleId="NoList112">
    <w:name w:val="No List112"/>
    <w:next w:val="NoList"/>
    <w:uiPriority w:val="99"/>
    <w:semiHidden/>
    <w:unhideWhenUsed/>
    <w:rsid w:val="00C1281D"/>
  </w:style>
  <w:style w:type="table" w:customStyle="1" w:styleId="LightGrid-Accent516">
    <w:name w:val="Light Grid - Accent 516"/>
    <w:basedOn w:val="TableNormal"/>
    <w:next w:val="LightGrid-Accent5"/>
    <w:uiPriority w:val="62"/>
    <w:rsid w:val="00C1281D"/>
    <w:pPr>
      <w:spacing w:after="0" w:line="240" w:lineRule="auto"/>
    </w:pPr>
    <w:rPr>
      <w:rFonts w:ascii="Calibri" w:eastAsia="Calibri" w:hAnsi="Calibri" w:cs="Times New Roman"/>
      <w:sz w:val="20"/>
      <w:szCs w:val="20"/>
      <w:lang w:val="sr-Latn-CS" w:eastAsia="en-GB"/>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Verdana" w:eastAsia="Times New Roman" w:hAnsi="Verdan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Verdana" w:eastAsia="Times New Roman" w:hAnsi="Verdan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Verdana" w:eastAsia="Times New Roman" w:hAnsi="Verdana" w:cs="Times New Roman"/>
        <w:b/>
        <w:bCs/>
      </w:rPr>
    </w:tblStylePr>
    <w:tblStylePr w:type="lastCol">
      <w:rPr>
        <w:rFonts w:ascii="Verdana" w:eastAsia="Times New Roman" w:hAnsi="Verdan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115">
    <w:name w:val="Светло сенчење – наглашавање 115"/>
    <w:basedOn w:val="TableNormal"/>
    <w:uiPriority w:val="60"/>
    <w:rsid w:val="00C1281D"/>
    <w:pPr>
      <w:spacing w:after="0" w:line="240" w:lineRule="auto"/>
    </w:pPr>
    <w:rPr>
      <w:rFonts w:ascii="Calibri" w:eastAsia="Calibri" w:hAnsi="Calibri" w:cs="Times New Roman"/>
      <w:color w:val="365F91"/>
      <w:sz w:val="20"/>
      <w:szCs w:val="20"/>
      <w:lang w:val="sr-Latn-CS" w:eastAsia="en-GB"/>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Grid-Accent57">
    <w:name w:val="Light Grid - Accent 57"/>
    <w:basedOn w:val="TableNormal"/>
    <w:next w:val="LightGrid-Accent5"/>
    <w:uiPriority w:val="62"/>
    <w:rsid w:val="00C1281D"/>
    <w:pPr>
      <w:spacing w:after="0" w:line="240" w:lineRule="auto"/>
    </w:pPr>
    <w:rPr>
      <w:rFonts w:ascii="Calibri" w:eastAsia="Calibri" w:hAnsi="Calibri" w:cs="Times New Roman"/>
      <w:sz w:val="20"/>
      <w:szCs w:val="20"/>
      <w:lang w:val="en-GB" w:eastAsia="en-GB"/>
    </w:rPr>
    <w:tblPr>
      <w:tblStyleRowBandSize w:val="1"/>
      <w:tblStyleColBandSize w:val="1"/>
      <w:tblBorders>
        <w:top w:val="single" w:sz="8" w:space="0" w:color="8FB08C"/>
        <w:left w:val="single" w:sz="8" w:space="0" w:color="8FB08C"/>
        <w:bottom w:val="single" w:sz="8" w:space="0" w:color="8FB08C"/>
        <w:right w:val="single" w:sz="8" w:space="0" w:color="8FB08C"/>
        <w:insideH w:val="single" w:sz="8" w:space="0" w:color="8FB08C"/>
        <w:insideV w:val="single" w:sz="8" w:space="0" w:color="8FB08C"/>
      </w:tblBorders>
    </w:tblPr>
    <w:tblStylePr w:type="firstRow">
      <w:pPr>
        <w:spacing w:before="0" w:after="0" w:line="240" w:lineRule="auto"/>
      </w:pPr>
      <w:rPr>
        <w:rFonts w:ascii="Verdana" w:eastAsia="Times New Roman" w:hAnsi="Verdana" w:cs="Times New Roman"/>
        <w:b/>
        <w:bCs/>
      </w:rPr>
      <w:tblPr/>
      <w:tcPr>
        <w:tcBorders>
          <w:top w:val="single" w:sz="8" w:space="0" w:color="8FB08C"/>
          <w:left w:val="single" w:sz="8" w:space="0" w:color="8FB08C"/>
          <w:bottom w:val="single" w:sz="18" w:space="0" w:color="8FB08C"/>
          <w:right w:val="single" w:sz="8" w:space="0" w:color="8FB08C"/>
          <w:insideH w:val="nil"/>
          <w:insideV w:val="single" w:sz="8" w:space="0" w:color="8FB08C"/>
        </w:tcBorders>
      </w:tcPr>
    </w:tblStylePr>
    <w:tblStylePr w:type="lastRow">
      <w:pPr>
        <w:spacing w:before="0" w:after="0" w:line="240" w:lineRule="auto"/>
      </w:pPr>
      <w:rPr>
        <w:rFonts w:ascii="Verdana" w:eastAsia="Times New Roman" w:hAnsi="Verdana" w:cs="Times New Roman"/>
        <w:b/>
        <w:bCs/>
      </w:rPr>
      <w:tblPr/>
      <w:tcPr>
        <w:tcBorders>
          <w:top w:val="double" w:sz="6" w:space="0" w:color="8FB08C"/>
          <w:left w:val="single" w:sz="8" w:space="0" w:color="8FB08C"/>
          <w:bottom w:val="single" w:sz="8" w:space="0" w:color="8FB08C"/>
          <w:right w:val="single" w:sz="8" w:space="0" w:color="8FB08C"/>
          <w:insideH w:val="nil"/>
          <w:insideV w:val="single" w:sz="8" w:space="0" w:color="8FB08C"/>
        </w:tcBorders>
      </w:tcPr>
    </w:tblStylePr>
    <w:tblStylePr w:type="firstCol">
      <w:rPr>
        <w:rFonts w:ascii="Verdana" w:eastAsia="Times New Roman" w:hAnsi="Verdana" w:cs="Times New Roman"/>
        <w:b/>
        <w:bCs/>
      </w:rPr>
    </w:tblStylePr>
    <w:tblStylePr w:type="lastCol">
      <w:rPr>
        <w:rFonts w:ascii="Verdana" w:eastAsia="Times New Roman" w:hAnsi="Verdana" w:cs="Times New Roman"/>
        <w:b/>
        <w:bCs/>
      </w:rPr>
      <w:tblPr/>
      <w:tcPr>
        <w:tcBorders>
          <w:top w:val="single" w:sz="8" w:space="0" w:color="8FB08C"/>
          <w:left w:val="single" w:sz="8" w:space="0" w:color="8FB08C"/>
          <w:bottom w:val="single" w:sz="8" w:space="0" w:color="8FB08C"/>
          <w:right w:val="single" w:sz="8" w:space="0" w:color="8FB08C"/>
        </w:tcBorders>
      </w:tcPr>
    </w:tblStylePr>
    <w:tblStylePr w:type="band1Vert">
      <w:tblPr/>
      <w:tcPr>
        <w:tcBorders>
          <w:top w:val="single" w:sz="8" w:space="0" w:color="8FB08C"/>
          <w:left w:val="single" w:sz="8" w:space="0" w:color="8FB08C"/>
          <w:bottom w:val="single" w:sz="8" w:space="0" w:color="8FB08C"/>
          <w:right w:val="single" w:sz="8" w:space="0" w:color="8FB08C"/>
        </w:tcBorders>
        <w:shd w:val="clear" w:color="auto" w:fill="E3EBE2"/>
      </w:tcPr>
    </w:tblStylePr>
    <w:tblStylePr w:type="band1Horz">
      <w:tblPr/>
      <w:tcPr>
        <w:tcBorders>
          <w:top w:val="single" w:sz="8" w:space="0" w:color="8FB08C"/>
          <w:left w:val="single" w:sz="8" w:space="0" w:color="8FB08C"/>
          <w:bottom w:val="single" w:sz="8" w:space="0" w:color="8FB08C"/>
          <w:right w:val="single" w:sz="8" w:space="0" w:color="8FB08C"/>
          <w:insideV w:val="single" w:sz="8" w:space="0" w:color="8FB08C"/>
        </w:tcBorders>
        <w:shd w:val="clear" w:color="auto" w:fill="E3EBE2"/>
      </w:tcPr>
    </w:tblStylePr>
    <w:tblStylePr w:type="band2Horz">
      <w:tblPr/>
      <w:tcPr>
        <w:tcBorders>
          <w:top w:val="single" w:sz="8" w:space="0" w:color="8FB08C"/>
          <w:left w:val="single" w:sz="8" w:space="0" w:color="8FB08C"/>
          <w:bottom w:val="single" w:sz="8" w:space="0" w:color="8FB08C"/>
          <w:right w:val="single" w:sz="8" w:space="0" w:color="8FB08C"/>
          <w:insideV w:val="single" w:sz="8" w:space="0" w:color="8FB08C"/>
        </w:tcBorders>
      </w:tcPr>
    </w:tblStylePr>
  </w:style>
  <w:style w:type="table" w:customStyle="1" w:styleId="tabelezaifs2">
    <w:name w:val="tabele za ifs2"/>
    <w:basedOn w:val="TableNormal"/>
    <w:uiPriority w:val="99"/>
    <w:qFormat/>
    <w:rsid w:val="00C1281D"/>
    <w:pPr>
      <w:spacing w:after="0" w:line="240" w:lineRule="auto"/>
    </w:pPr>
    <w:rPr>
      <w:rFonts w:ascii="Cambria Math" w:eastAsia="Calibri" w:hAnsi="Cambria Math" w:cs="Times New Roman"/>
      <w:sz w:val="20"/>
      <w:szCs w:val="20"/>
      <w:lang w:val="en-GB" w:eastAsia="en-GB"/>
    </w:rPr>
    <w:tblPr/>
  </w:style>
  <w:style w:type="table" w:customStyle="1" w:styleId="tabelezaifs12">
    <w:name w:val="tabele za ifs 12"/>
    <w:basedOn w:val="TableNormal"/>
    <w:uiPriority w:val="66"/>
    <w:rsid w:val="00C1281D"/>
    <w:pPr>
      <w:spacing w:after="0" w:line="240" w:lineRule="auto"/>
    </w:pPr>
    <w:rPr>
      <w:rFonts w:ascii="Cambria Math" w:eastAsia="Times New Roman" w:hAnsi="Cambria Math" w:cs="Times New Roman"/>
      <w:color w:val="000000"/>
      <w:sz w:val="20"/>
      <w:szCs w:val="20"/>
      <w:lang w:val="en-GB" w:eastAsia="en-GB"/>
    </w:rPr>
    <w:tblPr>
      <w:tblStyleRowBandSize w:val="1"/>
      <w:tblStyleColBandSize w:val="1"/>
      <w:tblBorders>
        <w:top w:val="single" w:sz="8" w:space="0" w:color="8CADAE"/>
        <w:left w:val="single" w:sz="8" w:space="0" w:color="8CADAE"/>
        <w:bottom w:val="single" w:sz="8" w:space="0" w:color="8CADAE"/>
        <w:right w:val="single" w:sz="8" w:space="0" w:color="8CADAE"/>
      </w:tblBorders>
    </w:tblPr>
    <w:tcPr>
      <w:vAlign w:val="bottom"/>
    </w:tcPr>
    <w:tblStylePr w:type="firstRow">
      <w:rPr>
        <w:sz w:val="24"/>
        <w:szCs w:val="24"/>
      </w:rPr>
      <w:tblPr/>
      <w:tcPr>
        <w:tcBorders>
          <w:top w:val="nil"/>
          <w:left w:val="nil"/>
          <w:bottom w:val="single" w:sz="24" w:space="0" w:color="8CADAE"/>
          <w:right w:val="nil"/>
          <w:insideH w:val="nil"/>
          <w:insideV w:val="nil"/>
        </w:tcBorders>
        <w:shd w:val="clear" w:color="auto" w:fill="FFFFFF"/>
      </w:tcPr>
    </w:tblStylePr>
    <w:tblStylePr w:type="lastRow">
      <w:tblPr/>
      <w:tcPr>
        <w:tcBorders>
          <w:top w:val="single" w:sz="8" w:space="0" w:color="8CADAE"/>
          <w:left w:val="nil"/>
          <w:bottom w:val="nil"/>
          <w:right w:val="nil"/>
          <w:insideH w:val="nil"/>
          <w:insideV w:val="nil"/>
        </w:tcBorders>
        <w:shd w:val="clear" w:color="auto" w:fill="FFFFFF"/>
      </w:tcPr>
    </w:tblStylePr>
    <w:tblStylePr w:type="firstCol">
      <w:tblPr/>
      <w:tcPr>
        <w:tcBorders>
          <w:top w:val="nil"/>
          <w:left w:val="nil"/>
          <w:bottom w:val="nil"/>
          <w:right w:val="single" w:sz="8" w:space="0" w:color="8CADAE"/>
          <w:insideH w:val="nil"/>
          <w:insideV w:val="nil"/>
        </w:tcBorders>
        <w:shd w:val="clear" w:color="auto" w:fill="FFFFFF"/>
      </w:tcPr>
    </w:tblStylePr>
    <w:tblStylePr w:type="lastCol">
      <w:tblPr/>
      <w:tcPr>
        <w:tcBorders>
          <w:top w:val="nil"/>
          <w:left w:val="single" w:sz="8" w:space="0" w:color="8CADAE"/>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2EAEB"/>
      </w:tcPr>
    </w:tblStylePr>
    <w:tblStylePr w:type="band1Horz">
      <w:tblPr/>
      <w:tcPr>
        <w:tcBorders>
          <w:top w:val="nil"/>
          <w:bottom w:val="nil"/>
          <w:insideH w:val="nil"/>
          <w:insideV w:val="nil"/>
        </w:tcBorders>
        <w:shd w:val="clear" w:color="auto" w:fill="E2EAEB"/>
      </w:tcPr>
    </w:tblStylePr>
    <w:tblStylePr w:type="nwCell">
      <w:tblPr/>
      <w:tcPr>
        <w:shd w:val="clear" w:color="auto" w:fill="FFFFFF"/>
      </w:tcPr>
    </w:tblStylePr>
    <w:tblStylePr w:type="swCell">
      <w:tblPr/>
      <w:tcPr>
        <w:tcBorders>
          <w:top w:val="nil"/>
        </w:tcBorders>
      </w:tcPr>
    </w:tblStylePr>
  </w:style>
  <w:style w:type="table" w:customStyle="1" w:styleId="ColorfulList-Accent12">
    <w:name w:val="Colorful List - Accent 12"/>
    <w:basedOn w:val="TableNormal"/>
    <w:next w:val="ColorfulList-Accent1"/>
    <w:uiPriority w:val="72"/>
    <w:rsid w:val="00C1281D"/>
    <w:pPr>
      <w:spacing w:after="0" w:line="240" w:lineRule="auto"/>
    </w:pPr>
    <w:rPr>
      <w:rFonts w:ascii="Calibri" w:eastAsia="Calibri" w:hAnsi="Calibri" w:cs="Times New Roman"/>
      <w:color w:val="000000"/>
      <w:sz w:val="20"/>
      <w:szCs w:val="20"/>
      <w:lang w:val="en-GB" w:eastAsia="en-GB"/>
    </w:rPr>
    <w:tblPr>
      <w:tblStyleRowBandSize w:val="1"/>
      <w:tblStyleColBandSize w:val="1"/>
    </w:tblPr>
    <w:tcPr>
      <w:shd w:val="clear" w:color="auto" w:fill="FAEFEC"/>
    </w:tcPr>
    <w:tblStylePr w:type="firstRow">
      <w:rPr>
        <w:b/>
        <w:bCs/>
        <w:color w:val="FFFFFF"/>
      </w:rPr>
      <w:tblPr/>
      <w:tcPr>
        <w:tcBorders>
          <w:bottom w:val="single" w:sz="12" w:space="0" w:color="FFFFFF"/>
        </w:tcBorders>
        <w:shd w:val="clear" w:color="auto" w:fill="A38F00"/>
      </w:tcPr>
    </w:tblStylePr>
    <w:tblStylePr w:type="lastRow">
      <w:rPr>
        <w:b/>
        <w:bCs/>
        <w:color w:val="A38F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3D8D2"/>
      </w:tcPr>
    </w:tblStylePr>
    <w:tblStylePr w:type="band1Horz">
      <w:tblPr/>
      <w:tcPr>
        <w:shd w:val="clear" w:color="auto" w:fill="F5DFDA"/>
      </w:tcPr>
    </w:tblStylePr>
  </w:style>
  <w:style w:type="numbering" w:customStyle="1" w:styleId="NoList22">
    <w:name w:val="No List22"/>
    <w:next w:val="NoList"/>
    <w:uiPriority w:val="99"/>
    <w:semiHidden/>
    <w:unhideWhenUsed/>
    <w:rsid w:val="00C1281D"/>
  </w:style>
  <w:style w:type="table" w:customStyle="1" w:styleId="LightList-Accent325">
    <w:name w:val="Light List - Accent 325"/>
    <w:basedOn w:val="TableNormal"/>
    <w:next w:val="LightList-Accent3"/>
    <w:uiPriority w:val="61"/>
    <w:rsid w:val="00C1281D"/>
    <w:pPr>
      <w:spacing w:after="0" w:line="240" w:lineRule="auto"/>
    </w:pPr>
    <w:rPr>
      <w:rFonts w:ascii="Calibri" w:eastAsia="Calibri" w:hAnsi="Calibri" w:cs="Times New Roman"/>
      <w:sz w:val="20"/>
      <w:szCs w:val="20"/>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List-Accent3115">
    <w:name w:val="Light List - Accent 3115"/>
    <w:basedOn w:val="TableNormal"/>
    <w:next w:val="LightList-Accent3"/>
    <w:uiPriority w:val="61"/>
    <w:rsid w:val="00C1281D"/>
    <w:pPr>
      <w:spacing w:after="0" w:line="240" w:lineRule="auto"/>
    </w:pPr>
    <w:rPr>
      <w:rFonts w:ascii="Constantia" w:eastAsia="Constantia" w:hAnsi="Constantia" w:cs="Times New Roman"/>
      <w:lang w:val="sr-Cyrl-CS"/>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Shading-Accent1319">
    <w:name w:val="Light Shading - Accent 1319"/>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110">
    <w:name w:val="Light Shading - Accent 13110"/>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25">
    <w:name w:val="Light Shading - Accent 1325"/>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ele312">
    <w:name w:val="tabele 312"/>
    <w:basedOn w:val="TableNormal"/>
    <w:next w:val="LightList-Accent3"/>
    <w:uiPriority w:val="61"/>
    <w:rsid w:val="00C1281D"/>
    <w:pPr>
      <w:spacing w:after="0" w:line="240" w:lineRule="auto"/>
    </w:pPr>
    <w:rPr>
      <w:rFonts w:ascii="Cambria Math" w:eastAsia="Calibri" w:hAnsi="Cambria Math" w:cs="Times New Roman"/>
      <w:sz w:val="18"/>
      <w:lang w:val="sr-Cyrl-C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ghtShading-Accent1113">
    <w:name w:val="Light Shading - Accent 1113"/>
    <w:basedOn w:val="TableNormal"/>
    <w:uiPriority w:val="60"/>
    <w:rsid w:val="00C1281D"/>
    <w:pPr>
      <w:spacing w:after="0" w:line="240" w:lineRule="auto"/>
      <w:ind w:left="568" w:hanging="284"/>
    </w:pPr>
    <w:rPr>
      <w:rFonts w:ascii="Calibri" w:eastAsia="Calibri"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322">
    <w:name w:val="Light Shading - Accent 322"/>
    <w:basedOn w:val="TableNormal"/>
    <w:next w:val="LightShading-Accent3"/>
    <w:uiPriority w:val="60"/>
    <w:rsid w:val="00C1281D"/>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List-Accent522">
    <w:name w:val="Light List - Accent 522"/>
    <w:basedOn w:val="TableNormal"/>
    <w:next w:val="LightList-Accent5"/>
    <w:uiPriority w:val="61"/>
    <w:rsid w:val="00C1281D"/>
    <w:pPr>
      <w:spacing w:after="0" w:line="240" w:lineRule="auto"/>
    </w:pPr>
    <w:rPr>
      <w:rFonts w:ascii="Calibri" w:eastAsia="Calibri" w:hAnsi="Calibri" w:cs="Times New Roman"/>
      <w:sz w:val="20"/>
      <w:szCs w:val="20"/>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LightShading-Accent3112">
    <w:name w:val="Light Shading - Accent 3112"/>
    <w:basedOn w:val="TableNormal"/>
    <w:next w:val="LightShading-Accent3"/>
    <w:uiPriority w:val="60"/>
    <w:rsid w:val="00C1281D"/>
    <w:pPr>
      <w:spacing w:after="0" w:line="240" w:lineRule="auto"/>
    </w:pPr>
    <w:rPr>
      <w:rFonts w:ascii="Constantia" w:eastAsia="Constantia" w:hAnsi="Constantia" w:cs="Times New Roman"/>
      <w:color w:val="8CADAE"/>
      <w:lang w:val="sr-Cyrl-CS"/>
    </w:rPr>
    <w:tblPr>
      <w:tblStyleRowBandSize w:val="1"/>
      <w:tblStyleColBandSize w:val="1"/>
      <w:tblBorders>
        <w:top w:val="single" w:sz="8" w:space="0" w:color="8CADAE"/>
        <w:bottom w:val="single" w:sz="8" w:space="0" w:color="8CADAE"/>
      </w:tblBorders>
    </w:tblPr>
    <w:tblStylePr w:type="firstRow">
      <w:pPr>
        <w:spacing w:before="0" w:after="0" w:line="240" w:lineRule="auto"/>
      </w:pPr>
      <w:rPr>
        <w:b/>
        <w:bCs/>
      </w:rPr>
      <w:tblPr/>
      <w:tcPr>
        <w:tcBorders>
          <w:top w:val="single" w:sz="8" w:space="0" w:color="8CADAE"/>
          <w:left w:val="nil"/>
          <w:bottom w:val="single" w:sz="8" w:space="0" w:color="8CADAE"/>
          <w:right w:val="nil"/>
          <w:insideH w:val="nil"/>
          <w:insideV w:val="nil"/>
        </w:tcBorders>
      </w:tcPr>
    </w:tblStylePr>
    <w:tblStylePr w:type="lastRow">
      <w:pPr>
        <w:spacing w:before="0" w:after="0" w:line="240" w:lineRule="auto"/>
      </w:pPr>
      <w:rPr>
        <w:b/>
        <w:bCs/>
      </w:rPr>
      <w:tblPr/>
      <w:tcPr>
        <w:tcBorders>
          <w:top w:val="single" w:sz="8" w:space="0" w:color="8CADAE"/>
          <w:left w:val="nil"/>
          <w:bottom w:val="single" w:sz="8" w:space="0" w:color="8CADA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AEB"/>
      </w:tcPr>
    </w:tblStylePr>
    <w:tblStylePr w:type="band1Horz">
      <w:tblPr/>
      <w:tcPr>
        <w:tcBorders>
          <w:left w:val="nil"/>
          <w:right w:val="nil"/>
          <w:insideH w:val="nil"/>
          <w:insideV w:val="nil"/>
        </w:tcBorders>
        <w:shd w:val="clear" w:color="auto" w:fill="E2EAEB"/>
      </w:tcPr>
    </w:tblStylePr>
  </w:style>
  <w:style w:type="table" w:customStyle="1" w:styleId="LightList-Accent3122">
    <w:name w:val="Light List - Accent 3122"/>
    <w:basedOn w:val="TableNormal"/>
    <w:next w:val="LightList-Accent3"/>
    <w:uiPriority w:val="61"/>
    <w:rsid w:val="00C1281D"/>
    <w:pPr>
      <w:spacing w:after="0" w:line="240" w:lineRule="auto"/>
    </w:pPr>
    <w:rPr>
      <w:rFonts w:ascii="Constantia" w:eastAsia="Constantia" w:hAnsi="Constantia" w:cs="Times New Roman"/>
      <w:lang w:val="sr-Cyrl-CS"/>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List-Accent5112">
    <w:name w:val="Light List - Accent 5112"/>
    <w:basedOn w:val="TableNormal"/>
    <w:next w:val="LightList-Accent5"/>
    <w:uiPriority w:val="61"/>
    <w:rsid w:val="00C1281D"/>
    <w:pPr>
      <w:spacing w:after="0" w:line="240" w:lineRule="auto"/>
    </w:pPr>
    <w:rPr>
      <w:rFonts w:ascii="Times New Roman" w:eastAsia="Constantia" w:hAnsi="Times New Roman" w:cs="Times New Roman"/>
      <w:lang w:val="sr-Cyrl-CS"/>
    </w:rPr>
    <w:tblPr>
      <w:tblStyleRowBandSize w:val="1"/>
      <w:tblStyleColBandSize w:val="1"/>
      <w:tblBorders>
        <w:top w:val="single" w:sz="8" w:space="0" w:color="8FB08C"/>
        <w:left w:val="single" w:sz="8" w:space="0" w:color="8FB08C"/>
        <w:bottom w:val="single" w:sz="8" w:space="0" w:color="8FB08C"/>
        <w:right w:val="single" w:sz="8" w:space="0" w:color="8FB08C"/>
      </w:tblBorders>
    </w:tblPr>
    <w:tblStylePr w:type="firstRow">
      <w:pPr>
        <w:spacing w:before="0" w:after="0" w:line="240" w:lineRule="auto"/>
      </w:pPr>
      <w:rPr>
        <w:b/>
        <w:bCs/>
        <w:color w:val="FFFFFF"/>
      </w:rPr>
      <w:tblPr/>
      <w:tcPr>
        <w:shd w:val="clear" w:color="auto" w:fill="8FB08C"/>
      </w:tcPr>
    </w:tblStylePr>
    <w:tblStylePr w:type="lastRow">
      <w:pPr>
        <w:spacing w:before="0" w:after="0" w:line="240" w:lineRule="auto"/>
      </w:pPr>
      <w:rPr>
        <w:b/>
        <w:bCs/>
      </w:rPr>
      <w:tblPr/>
      <w:tcPr>
        <w:tcBorders>
          <w:top w:val="double" w:sz="6" w:space="0" w:color="8FB08C"/>
          <w:left w:val="single" w:sz="8" w:space="0" w:color="8FB08C"/>
          <w:bottom w:val="single" w:sz="8" w:space="0" w:color="8FB08C"/>
          <w:right w:val="single" w:sz="8" w:space="0" w:color="8FB08C"/>
        </w:tcBorders>
      </w:tcPr>
    </w:tblStylePr>
    <w:tblStylePr w:type="firstCol">
      <w:rPr>
        <w:b/>
        <w:bCs/>
      </w:rPr>
    </w:tblStylePr>
    <w:tblStylePr w:type="lastCol">
      <w:rPr>
        <w:b/>
        <w:bCs/>
      </w:rPr>
    </w:tblStylePr>
    <w:tblStylePr w:type="band1Vert">
      <w:tblPr/>
      <w:tcPr>
        <w:tcBorders>
          <w:top w:val="single" w:sz="8" w:space="0" w:color="8FB08C"/>
          <w:left w:val="single" w:sz="8" w:space="0" w:color="8FB08C"/>
          <w:bottom w:val="single" w:sz="8" w:space="0" w:color="8FB08C"/>
          <w:right w:val="single" w:sz="8" w:space="0" w:color="8FB08C"/>
        </w:tcBorders>
      </w:tcPr>
    </w:tblStylePr>
    <w:tblStylePr w:type="band1Horz">
      <w:tblPr/>
      <w:tcPr>
        <w:tcBorders>
          <w:top w:val="single" w:sz="8" w:space="0" w:color="8FB08C"/>
          <w:left w:val="single" w:sz="8" w:space="0" w:color="8FB08C"/>
          <w:bottom w:val="single" w:sz="8" w:space="0" w:color="8FB08C"/>
          <w:right w:val="single" w:sz="8" w:space="0" w:color="8FB08C"/>
        </w:tcBorders>
      </w:tcPr>
    </w:tblStylePr>
  </w:style>
  <w:style w:type="table" w:customStyle="1" w:styleId="LightGrid-Accent5113">
    <w:name w:val="Light Grid - Accent 5113"/>
    <w:basedOn w:val="TableNormal"/>
    <w:next w:val="LightGrid-Accent5"/>
    <w:uiPriority w:val="62"/>
    <w:rsid w:val="00C1281D"/>
    <w:pPr>
      <w:spacing w:after="0" w:line="240" w:lineRule="auto"/>
    </w:pPr>
    <w:rPr>
      <w:rFonts w:ascii="Calibri" w:eastAsia="Calibri" w:hAnsi="Calibri" w:cs="Times New Roman"/>
      <w:sz w:val="20"/>
      <w:szCs w:val="20"/>
      <w:lang w:val="sr-Latn-CS" w:eastAsia="en-GB"/>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Verdana" w:eastAsia="Times New Roman" w:hAnsi="Verdan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Verdana" w:eastAsia="Times New Roman" w:hAnsi="Verdan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Verdana" w:eastAsia="Times New Roman" w:hAnsi="Verdana" w:cs="Times New Roman"/>
        <w:b/>
        <w:bCs/>
      </w:rPr>
    </w:tblStylePr>
    <w:tblStylePr w:type="lastCol">
      <w:rPr>
        <w:rFonts w:ascii="Verdana" w:eastAsia="Times New Roman" w:hAnsi="Verdan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1112">
    <w:name w:val="Светло сенчење – наглашавање 1112"/>
    <w:basedOn w:val="TableNormal"/>
    <w:uiPriority w:val="60"/>
    <w:rsid w:val="00C1281D"/>
    <w:pPr>
      <w:spacing w:after="0" w:line="240" w:lineRule="auto"/>
    </w:pPr>
    <w:rPr>
      <w:rFonts w:ascii="Calibri" w:eastAsia="Calibri" w:hAnsi="Calibri" w:cs="Times New Roman"/>
      <w:color w:val="365F91"/>
      <w:sz w:val="20"/>
      <w:szCs w:val="20"/>
      <w:lang w:val="sr-Latn-CS" w:eastAsia="en-GB"/>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Grid-Accent523">
    <w:name w:val="Light Grid - Accent 523"/>
    <w:basedOn w:val="TableNormal"/>
    <w:next w:val="LightGrid-Accent5"/>
    <w:uiPriority w:val="62"/>
    <w:rsid w:val="00C1281D"/>
    <w:pPr>
      <w:spacing w:after="0" w:line="240" w:lineRule="auto"/>
    </w:pPr>
    <w:rPr>
      <w:rFonts w:ascii="Calibri" w:eastAsia="Calibri" w:hAnsi="Calibri" w:cs="Times New Roman"/>
      <w:sz w:val="20"/>
      <w:szCs w:val="20"/>
      <w:lang w:val="en-GB" w:eastAsia="en-GB"/>
    </w:rPr>
    <w:tblPr>
      <w:tblStyleRowBandSize w:val="1"/>
      <w:tblStyleColBandSize w:val="1"/>
      <w:tblBorders>
        <w:top w:val="single" w:sz="8" w:space="0" w:color="8FB08C"/>
        <w:left w:val="single" w:sz="8" w:space="0" w:color="8FB08C"/>
        <w:bottom w:val="single" w:sz="8" w:space="0" w:color="8FB08C"/>
        <w:right w:val="single" w:sz="8" w:space="0" w:color="8FB08C"/>
        <w:insideH w:val="single" w:sz="8" w:space="0" w:color="8FB08C"/>
        <w:insideV w:val="single" w:sz="8" w:space="0" w:color="8FB08C"/>
      </w:tblBorders>
    </w:tblPr>
    <w:tblStylePr w:type="firstRow">
      <w:pPr>
        <w:spacing w:before="0" w:after="0" w:line="240" w:lineRule="auto"/>
      </w:pPr>
      <w:rPr>
        <w:rFonts w:ascii="Verdana" w:eastAsia="Times New Roman" w:hAnsi="Verdana" w:cs="Times New Roman"/>
        <w:b/>
        <w:bCs/>
      </w:rPr>
      <w:tblPr/>
      <w:tcPr>
        <w:tcBorders>
          <w:top w:val="single" w:sz="8" w:space="0" w:color="8FB08C"/>
          <w:left w:val="single" w:sz="8" w:space="0" w:color="8FB08C"/>
          <w:bottom w:val="single" w:sz="18" w:space="0" w:color="8FB08C"/>
          <w:right w:val="single" w:sz="8" w:space="0" w:color="8FB08C"/>
          <w:insideH w:val="nil"/>
          <w:insideV w:val="single" w:sz="8" w:space="0" w:color="8FB08C"/>
        </w:tcBorders>
      </w:tcPr>
    </w:tblStylePr>
    <w:tblStylePr w:type="lastRow">
      <w:pPr>
        <w:spacing w:before="0" w:after="0" w:line="240" w:lineRule="auto"/>
      </w:pPr>
      <w:rPr>
        <w:rFonts w:ascii="Verdana" w:eastAsia="Times New Roman" w:hAnsi="Verdana" w:cs="Times New Roman"/>
        <w:b/>
        <w:bCs/>
      </w:rPr>
      <w:tblPr/>
      <w:tcPr>
        <w:tcBorders>
          <w:top w:val="double" w:sz="6" w:space="0" w:color="8FB08C"/>
          <w:left w:val="single" w:sz="8" w:space="0" w:color="8FB08C"/>
          <w:bottom w:val="single" w:sz="8" w:space="0" w:color="8FB08C"/>
          <w:right w:val="single" w:sz="8" w:space="0" w:color="8FB08C"/>
          <w:insideH w:val="nil"/>
          <w:insideV w:val="single" w:sz="8" w:space="0" w:color="8FB08C"/>
        </w:tcBorders>
      </w:tcPr>
    </w:tblStylePr>
    <w:tblStylePr w:type="firstCol">
      <w:rPr>
        <w:rFonts w:ascii="Verdana" w:eastAsia="Times New Roman" w:hAnsi="Verdana" w:cs="Times New Roman"/>
        <w:b/>
        <w:bCs/>
      </w:rPr>
    </w:tblStylePr>
    <w:tblStylePr w:type="lastCol">
      <w:rPr>
        <w:rFonts w:ascii="Verdana" w:eastAsia="Times New Roman" w:hAnsi="Verdana" w:cs="Times New Roman"/>
        <w:b/>
        <w:bCs/>
      </w:rPr>
      <w:tblPr/>
      <w:tcPr>
        <w:tcBorders>
          <w:top w:val="single" w:sz="8" w:space="0" w:color="8FB08C"/>
          <w:left w:val="single" w:sz="8" w:space="0" w:color="8FB08C"/>
          <w:bottom w:val="single" w:sz="8" w:space="0" w:color="8FB08C"/>
          <w:right w:val="single" w:sz="8" w:space="0" w:color="8FB08C"/>
        </w:tcBorders>
      </w:tcPr>
    </w:tblStylePr>
    <w:tblStylePr w:type="band1Vert">
      <w:tblPr/>
      <w:tcPr>
        <w:tcBorders>
          <w:top w:val="single" w:sz="8" w:space="0" w:color="8FB08C"/>
          <w:left w:val="single" w:sz="8" w:space="0" w:color="8FB08C"/>
          <w:bottom w:val="single" w:sz="8" w:space="0" w:color="8FB08C"/>
          <w:right w:val="single" w:sz="8" w:space="0" w:color="8FB08C"/>
        </w:tcBorders>
        <w:shd w:val="clear" w:color="auto" w:fill="E3EBE2"/>
      </w:tcPr>
    </w:tblStylePr>
    <w:tblStylePr w:type="band1Horz">
      <w:tblPr/>
      <w:tcPr>
        <w:tcBorders>
          <w:top w:val="single" w:sz="8" w:space="0" w:color="8FB08C"/>
          <w:left w:val="single" w:sz="8" w:space="0" w:color="8FB08C"/>
          <w:bottom w:val="single" w:sz="8" w:space="0" w:color="8FB08C"/>
          <w:right w:val="single" w:sz="8" w:space="0" w:color="8FB08C"/>
          <w:insideV w:val="single" w:sz="8" w:space="0" w:color="8FB08C"/>
        </w:tcBorders>
        <w:shd w:val="clear" w:color="auto" w:fill="E3EBE2"/>
      </w:tcPr>
    </w:tblStylePr>
    <w:tblStylePr w:type="band2Horz">
      <w:tblPr/>
      <w:tcPr>
        <w:tcBorders>
          <w:top w:val="single" w:sz="8" w:space="0" w:color="8FB08C"/>
          <w:left w:val="single" w:sz="8" w:space="0" w:color="8FB08C"/>
          <w:bottom w:val="single" w:sz="8" w:space="0" w:color="8FB08C"/>
          <w:right w:val="single" w:sz="8" w:space="0" w:color="8FB08C"/>
          <w:insideV w:val="single" w:sz="8" w:space="0" w:color="8FB08C"/>
        </w:tcBorders>
      </w:tcPr>
    </w:tblStylePr>
  </w:style>
  <w:style w:type="table" w:customStyle="1" w:styleId="LightList-Accent3212">
    <w:name w:val="Light List - Accent 3212"/>
    <w:basedOn w:val="TableNormal"/>
    <w:next w:val="LightList-Accent3"/>
    <w:uiPriority w:val="61"/>
    <w:rsid w:val="00C1281D"/>
    <w:pPr>
      <w:spacing w:after="0" w:line="240" w:lineRule="auto"/>
    </w:pPr>
    <w:rPr>
      <w:rFonts w:ascii="Calibri" w:eastAsia="Calibri" w:hAnsi="Calibri" w:cs="Times New Roman"/>
      <w:sz w:val="20"/>
      <w:szCs w:val="20"/>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List-Accent31112">
    <w:name w:val="Light List - Accent 31112"/>
    <w:basedOn w:val="TableNormal"/>
    <w:next w:val="LightList-Accent3"/>
    <w:uiPriority w:val="61"/>
    <w:rsid w:val="00C1281D"/>
    <w:pPr>
      <w:spacing w:after="0" w:line="240" w:lineRule="auto"/>
    </w:pPr>
    <w:rPr>
      <w:rFonts w:ascii="Constantia" w:eastAsia="Constantia" w:hAnsi="Constantia" w:cs="Times New Roman"/>
      <w:lang w:val="sr-Cyrl-CS"/>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Shading-Accent1332">
    <w:name w:val="Light Shading - Accent 1332"/>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112">
    <w:name w:val="Light Shading - Accent 13112"/>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212">
    <w:name w:val="Light Shading - Accent 13212"/>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122">
    <w:name w:val="Light Shading - Accent 1122"/>
    <w:basedOn w:val="TableNormal"/>
    <w:uiPriority w:val="60"/>
    <w:rsid w:val="00C1281D"/>
    <w:pPr>
      <w:spacing w:after="0" w:line="240" w:lineRule="auto"/>
      <w:ind w:left="568" w:hanging="284"/>
    </w:pPr>
    <w:rPr>
      <w:rFonts w:ascii="Calibri" w:eastAsia="Calibri"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42">
    <w:name w:val="Light Shading - Accent 1342"/>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132">
    <w:name w:val="Light Shading - Accent 1132"/>
    <w:basedOn w:val="TableNormal"/>
    <w:uiPriority w:val="60"/>
    <w:rsid w:val="00C1281D"/>
    <w:pPr>
      <w:spacing w:after="0" w:line="240" w:lineRule="auto"/>
      <w:ind w:left="568" w:hanging="284"/>
    </w:pPr>
    <w:rPr>
      <w:rFonts w:ascii="Calibri" w:eastAsia="Calibri"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52">
    <w:name w:val="Light Shading - Accent 1352"/>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63">
    <w:name w:val="Light Shading - Accent 1363"/>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72">
    <w:name w:val="Light Shading - Accent 1372"/>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ele322">
    <w:name w:val="tabele 322"/>
    <w:basedOn w:val="TableNormal"/>
    <w:next w:val="LightList-Accent3"/>
    <w:uiPriority w:val="61"/>
    <w:rsid w:val="00C1281D"/>
    <w:pPr>
      <w:spacing w:after="0" w:line="240" w:lineRule="auto"/>
    </w:pPr>
    <w:rPr>
      <w:rFonts w:ascii="Cambria Math" w:eastAsia="Calibri" w:hAnsi="Cambria Math" w:cs="Times New Roman"/>
      <w:sz w:val="18"/>
      <w:lang w:val="sr-Cyrl-C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ghtShading-Accent1142">
    <w:name w:val="Light Shading - Accent 1142"/>
    <w:basedOn w:val="TableNormal"/>
    <w:uiPriority w:val="60"/>
    <w:rsid w:val="00C1281D"/>
    <w:pPr>
      <w:spacing w:after="0" w:line="240" w:lineRule="auto"/>
      <w:ind w:left="568" w:hanging="284"/>
    </w:pPr>
    <w:rPr>
      <w:rFonts w:ascii="Calibri" w:eastAsia="Calibri"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335">
    <w:name w:val="Light Shading - Accent 335"/>
    <w:basedOn w:val="TableNormal"/>
    <w:next w:val="LightShading-Accent3"/>
    <w:uiPriority w:val="60"/>
    <w:rsid w:val="00C1281D"/>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List-Accent532">
    <w:name w:val="Light List - Accent 532"/>
    <w:basedOn w:val="TableNormal"/>
    <w:next w:val="LightList-Accent5"/>
    <w:uiPriority w:val="61"/>
    <w:rsid w:val="00C1281D"/>
    <w:pPr>
      <w:spacing w:after="0" w:line="240" w:lineRule="auto"/>
    </w:pPr>
    <w:rPr>
      <w:rFonts w:ascii="Calibri" w:eastAsia="Calibri" w:hAnsi="Calibri" w:cs="Times New Roman"/>
      <w:sz w:val="20"/>
      <w:szCs w:val="20"/>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LightShading-Accent3122">
    <w:name w:val="Light Shading - Accent 3122"/>
    <w:basedOn w:val="TableNormal"/>
    <w:next w:val="LightShading-Accent3"/>
    <w:uiPriority w:val="60"/>
    <w:rsid w:val="00C1281D"/>
    <w:pPr>
      <w:spacing w:after="0" w:line="240" w:lineRule="auto"/>
    </w:pPr>
    <w:rPr>
      <w:rFonts w:ascii="Constantia" w:eastAsia="Constantia" w:hAnsi="Constantia" w:cs="Times New Roman"/>
      <w:color w:val="8CADAE"/>
      <w:lang w:val="sr-Cyrl-CS"/>
    </w:rPr>
    <w:tblPr>
      <w:tblStyleRowBandSize w:val="1"/>
      <w:tblStyleColBandSize w:val="1"/>
      <w:tblBorders>
        <w:top w:val="single" w:sz="8" w:space="0" w:color="8CADAE"/>
        <w:bottom w:val="single" w:sz="8" w:space="0" w:color="8CADAE"/>
      </w:tblBorders>
    </w:tblPr>
    <w:tblStylePr w:type="firstRow">
      <w:pPr>
        <w:spacing w:before="0" w:after="0" w:line="240" w:lineRule="auto"/>
      </w:pPr>
      <w:rPr>
        <w:b/>
        <w:bCs/>
      </w:rPr>
      <w:tblPr/>
      <w:tcPr>
        <w:tcBorders>
          <w:top w:val="single" w:sz="8" w:space="0" w:color="8CADAE"/>
          <w:left w:val="nil"/>
          <w:bottom w:val="single" w:sz="8" w:space="0" w:color="8CADAE"/>
          <w:right w:val="nil"/>
          <w:insideH w:val="nil"/>
          <w:insideV w:val="nil"/>
        </w:tcBorders>
      </w:tcPr>
    </w:tblStylePr>
    <w:tblStylePr w:type="lastRow">
      <w:pPr>
        <w:spacing w:before="0" w:after="0" w:line="240" w:lineRule="auto"/>
      </w:pPr>
      <w:rPr>
        <w:b/>
        <w:bCs/>
      </w:rPr>
      <w:tblPr/>
      <w:tcPr>
        <w:tcBorders>
          <w:top w:val="single" w:sz="8" w:space="0" w:color="8CADAE"/>
          <w:left w:val="nil"/>
          <w:bottom w:val="single" w:sz="8" w:space="0" w:color="8CADA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AEB"/>
      </w:tcPr>
    </w:tblStylePr>
    <w:tblStylePr w:type="band1Horz">
      <w:tblPr/>
      <w:tcPr>
        <w:tcBorders>
          <w:left w:val="nil"/>
          <w:right w:val="nil"/>
          <w:insideH w:val="nil"/>
          <w:insideV w:val="nil"/>
        </w:tcBorders>
        <w:shd w:val="clear" w:color="auto" w:fill="E2EAEB"/>
      </w:tcPr>
    </w:tblStylePr>
  </w:style>
  <w:style w:type="table" w:customStyle="1" w:styleId="LightList-Accent3132">
    <w:name w:val="Light List - Accent 3132"/>
    <w:basedOn w:val="TableNormal"/>
    <w:next w:val="LightList-Accent3"/>
    <w:uiPriority w:val="61"/>
    <w:rsid w:val="00C1281D"/>
    <w:pPr>
      <w:spacing w:after="0" w:line="240" w:lineRule="auto"/>
    </w:pPr>
    <w:rPr>
      <w:rFonts w:ascii="Constantia" w:eastAsia="Constantia" w:hAnsi="Constantia" w:cs="Times New Roman"/>
      <w:lang w:val="sr-Cyrl-CS"/>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List-Accent5122">
    <w:name w:val="Light List - Accent 5122"/>
    <w:basedOn w:val="TableNormal"/>
    <w:next w:val="LightList-Accent5"/>
    <w:uiPriority w:val="61"/>
    <w:rsid w:val="00C1281D"/>
    <w:pPr>
      <w:spacing w:after="0" w:line="240" w:lineRule="auto"/>
    </w:pPr>
    <w:rPr>
      <w:rFonts w:ascii="Times New Roman" w:eastAsia="Constantia" w:hAnsi="Times New Roman" w:cs="Times New Roman"/>
      <w:lang w:val="sr-Cyrl-CS"/>
    </w:rPr>
    <w:tblPr>
      <w:tblStyleRowBandSize w:val="1"/>
      <w:tblStyleColBandSize w:val="1"/>
      <w:tblBorders>
        <w:top w:val="single" w:sz="8" w:space="0" w:color="8FB08C"/>
        <w:left w:val="single" w:sz="8" w:space="0" w:color="8FB08C"/>
        <w:bottom w:val="single" w:sz="8" w:space="0" w:color="8FB08C"/>
        <w:right w:val="single" w:sz="8" w:space="0" w:color="8FB08C"/>
      </w:tblBorders>
    </w:tblPr>
    <w:tblStylePr w:type="firstRow">
      <w:pPr>
        <w:spacing w:before="0" w:after="0" w:line="240" w:lineRule="auto"/>
      </w:pPr>
      <w:rPr>
        <w:b/>
        <w:bCs/>
        <w:color w:val="FFFFFF"/>
      </w:rPr>
      <w:tblPr/>
      <w:tcPr>
        <w:shd w:val="clear" w:color="auto" w:fill="8FB08C"/>
      </w:tcPr>
    </w:tblStylePr>
    <w:tblStylePr w:type="lastRow">
      <w:pPr>
        <w:spacing w:before="0" w:after="0" w:line="240" w:lineRule="auto"/>
      </w:pPr>
      <w:rPr>
        <w:b/>
        <w:bCs/>
      </w:rPr>
      <w:tblPr/>
      <w:tcPr>
        <w:tcBorders>
          <w:top w:val="double" w:sz="6" w:space="0" w:color="8FB08C"/>
          <w:left w:val="single" w:sz="8" w:space="0" w:color="8FB08C"/>
          <w:bottom w:val="single" w:sz="8" w:space="0" w:color="8FB08C"/>
          <w:right w:val="single" w:sz="8" w:space="0" w:color="8FB08C"/>
        </w:tcBorders>
      </w:tcPr>
    </w:tblStylePr>
    <w:tblStylePr w:type="firstCol">
      <w:rPr>
        <w:b/>
        <w:bCs/>
      </w:rPr>
    </w:tblStylePr>
    <w:tblStylePr w:type="lastCol">
      <w:rPr>
        <w:b/>
        <w:bCs/>
      </w:rPr>
    </w:tblStylePr>
    <w:tblStylePr w:type="band1Vert">
      <w:tblPr/>
      <w:tcPr>
        <w:tcBorders>
          <w:top w:val="single" w:sz="8" w:space="0" w:color="8FB08C"/>
          <w:left w:val="single" w:sz="8" w:space="0" w:color="8FB08C"/>
          <w:bottom w:val="single" w:sz="8" w:space="0" w:color="8FB08C"/>
          <w:right w:val="single" w:sz="8" w:space="0" w:color="8FB08C"/>
        </w:tcBorders>
      </w:tcPr>
    </w:tblStylePr>
    <w:tblStylePr w:type="band1Horz">
      <w:tblPr/>
      <w:tcPr>
        <w:tcBorders>
          <w:top w:val="single" w:sz="8" w:space="0" w:color="8FB08C"/>
          <w:left w:val="single" w:sz="8" w:space="0" w:color="8FB08C"/>
          <w:bottom w:val="single" w:sz="8" w:space="0" w:color="8FB08C"/>
          <w:right w:val="single" w:sz="8" w:space="0" w:color="8FB08C"/>
        </w:tcBorders>
      </w:tcPr>
    </w:tblStylePr>
  </w:style>
  <w:style w:type="table" w:customStyle="1" w:styleId="LightGrid-Accent5123">
    <w:name w:val="Light Grid - Accent 5123"/>
    <w:basedOn w:val="TableNormal"/>
    <w:next w:val="LightGrid-Accent5"/>
    <w:uiPriority w:val="62"/>
    <w:rsid w:val="00C1281D"/>
    <w:pPr>
      <w:spacing w:after="0" w:line="240" w:lineRule="auto"/>
    </w:pPr>
    <w:rPr>
      <w:rFonts w:ascii="Calibri" w:eastAsia="Calibri" w:hAnsi="Calibri" w:cs="Times New Roman"/>
      <w:sz w:val="20"/>
      <w:szCs w:val="20"/>
      <w:lang w:val="sr-Latn-CS" w:eastAsia="en-GB"/>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Verdana" w:eastAsia="Times New Roman" w:hAnsi="Verdan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Verdana" w:eastAsia="Times New Roman" w:hAnsi="Verdan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Verdana" w:eastAsia="Times New Roman" w:hAnsi="Verdana" w:cs="Times New Roman"/>
        <w:b/>
        <w:bCs/>
      </w:rPr>
    </w:tblStylePr>
    <w:tblStylePr w:type="lastCol">
      <w:rPr>
        <w:rFonts w:ascii="Verdana" w:eastAsia="Times New Roman" w:hAnsi="Verdan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1122">
    <w:name w:val="Светло сенчење – наглашавање 1122"/>
    <w:basedOn w:val="TableNormal"/>
    <w:uiPriority w:val="60"/>
    <w:rsid w:val="00C1281D"/>
    <w:pPr>
      <w:spacing w:after="0" w:line="240" w:lineRule="auto"/>
    </w:pPr>
    <w:rPr>
      <w:rFonts w:ascii="Calibri" w:eastAsia="Calibri" w:hAnsi="Calibri" w:cs="Times New Roman"/>
      <w:color w:val="365F91"/>
      <w:sz w:val="20"/>
      <w:szCs w:val="20"/>
      <w:lang w:val="sr-Latn-CS" w:eastAsia="en-GB"/>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Grid-Accent533">
    <w:name w:val="Light Grid - Accent 533"/>
    <w:basedOn w:val="TableNormal"/>
    <w:next w:val="LightGrid-Accent5"/>
    <w:uiPriority w:val="62"/>
    <w:rsid w:val="00C1281D"/>
    <w:pPr>
      <w:spacing w:after="0" w:line="240" w:lineRule="auto"/>
    </w:pPr>
    <w:rPr>
      <w:rFonts w:ascii="Calibri" w:eastAsia="Calibri" w:hAnsi="Calibri" w:cs="Times New Roman"/>
      <w:sz w:val="20"/>
      <w:szCs w:val="20"/>
      <w:lang w:val="en-GB" w:eastAsia="en-GB"/>
    </w:rPr>
    <w:tblPr>
      <w:tblStyleRowBandSize w:val="1"/>
      <w:tblStyleColBandSize w:val="1"/>
      <w:tblBorders>
        <w:top w:val="single" w:sz="8" w:space="0" w:color="8FB08C"/>
        <w:left w:val="single" w:sz="8" w:space="0" w:color="8FB08C"/>
        <w:bottom w:val="single" w:sz="8" w:space="0" w:color="8FB08C"/>
        <w:right w:val="single" w:sz="8" w:space="0" w:color="8FB08C"/>
        <w:insideH w:val="single" w:sz="8" w:space="0" w:color="8FB08C"/>
        <w:insideV w:val="single" w:sz="8" w:space="0" w:color="8FB08C"/>
      </w:tblBorders>
    </w:tblPr>
    <w:tblStylePr w:type="firstRow">
      <w:pPr>
        <w:spacing w:before="0" w:after="0" w:line="240" w:lineRule="auto"/>
      </w:pPr>
      <w:rPr>
        <w:rFonts w:ascii="Verdana" w:eastAsia="Times New Roman" w:hAnsi="Verdana" w:cs="Times New Roman"/>
        <w:b/>
        <w:bCs/>
      </w:rPr>
      <w:tblPr/>
      <w:tcPr>
        <w:tcBorders>
          <w:top w:val="single" w:sz="8" w:space="0" w:color="8FB08C"/>
          <w:left w:val="single" w:sz="8" w:space="0" w:color="8FB08C"/>
          <w:bottom w:val="single" w:sz="18" w:space="0" w:color="8FB08C"/>
          <w:right w:val="single" w:sz="8" w:space="0" w:color="8FB08C"/>
          <w:insideH w:val="nil"/>
          <w:insideV w:val="single" w:sz="8" w:space="0" w:color="8FB08C"/>
        </w:tcBorders>
      </w:tcPr>
    </w:tblStylePr>
    <w:tblStylePr w:type="lastRow">
      <w:pPr>
        <w:spacing w:before="0" w:after="0" w:line="240" w:lineRule="auto"/>
      </w:pPr>
      <w:rPr>
        <w:rFonts w:ascii="Verdana" w:eastAsia="Times New Roman" w:hAnsi="Verdana" w:cs="Times New Roman"/>
        <w:b/>
        <w:bCs/>
      </w:rPr>
      <w:tblPr/>
      <w:tcPr>
        <w:tcBorders>
          <w:top w:val="double" w:sz="6" w:space="0" w:color="8FB08C"/>
          <w:left w:val="single" w:sz="8" w:space="0" w:color="8FB08C"/>
          <w:bottom w:val="single" w:sz="8" w:space="0" w:color="8FB08C"/>
          <w:right w:val="single" w:sz="8" w:space="0" w:color="8FB08C"/>
          <w:insideH w:val="nil"/>
          <w:insideV w:val="single" w:sz="8" w:space="0" w:color="8FB08C"/>
        </w:tcBorders>
      </w:tcPr>
    </w:tblStylePr>
    <w:tblStylePr w:type="firstCol">
      <w:rPr>
        <w:rFonts w:ascii="Verdana" w:eastAsia="Times New Roman" w:hAnsi="Verdana" w:cs="Times New Roman"/>
        <w:b/>
        <w:bCs/>
      </w:rPr>
    </w:tblStylePr>
    <w:tblStylePr w:type="lastCol">
      <w:rPr>
        <w:rFonts w:ascii="Verdana" w:eastAsia="Times New Roman" w:hAnsi="Verdana" w:cs="Times New Roman"/>
        <w:b/>
        <w:bCs/>
      </w:rPr>
      <w:tblPr/>
      <w:tcPr>
        <w:tcBorders>
          <w:top w:val="single" w:sz="8" w:space="0" w:color="8FB08C"/>
          <w:left w:val="single" w:sz="8" w:space="0" w:color="8FB08C"/>
          <w:bottom w:val="single" w:sz="8" w:space="0" w:color="8FB08C"/>
          <w:right w:val="single" w:sz="8" w:space="0" w:color="8FB08C"/>
        </w:tcBorders>
      </w:tcPr>
    </w:tblStylePr>
    <w:tblStylePr w:type="band1Vert">
      <w:tblPr/>
      <w:tcPr>
        <w:tcBorders>
          <w:top w:val="single" w:sz="8" w:space="0" w:color="8FB08C"/>
          <w:left w:val="single" w:sz="8" w:space="0" w:color="8FB08C"/>
          <w:bottom w:val="single" w:sz="8" w:space="0" w:color="8FB08C"/>
          <w:right w:val="single" w:sz="8" w:space="0" w:color="8FB08C"/>
        </w:tcBorders>
        <w:shd w:val="clear" w:color="auto" w:fill="E3EBE2"/>
      </w:tcPr>
    </w:tblStylePr>
    <w:tblStylePr w:type="band1Horz">
      <w:tblPr/>
      <w:tcPr>
        <w:tcBorders>
          <w:top w:val="single" w:sz="8" w:space="0" w:color="8FB08C"/>
          <w:left w:val="single" w:sz="8" w:space="0" w:color="8FB08C"/>
          <w:bottom w:val="single" w:sz="8" w:space="0" w:color="8FB08C"/>
          <w:right w:val="single" w:sz="8" w:space="0" w:color="8FB08C"/>
          <w:insideV w:val="single" w:sz="8" w:space="0" w:color="8FB08C"/>
        </w:tcBorders>
        <w:shd w:val="clear" w:color="auto" w:fill="E3EBE2"/>
      </w:tcPr>
    </w:tblStylePr>
    <w:tblStylePr w:type="band2Horz">
      <w:tblPr/>
      <w:tcPr>
        <w:tcBorders>
          <w:top w:val="single" w:sz="8" w:space="0" w:color="8FB08C"/>
          <w:left w:val="single" w:sz="8" w:space="0" w:color="8FB08C"/>
          <w:bottom w:val="single" w:sz="8" w:space="0" w:color="8FB08C"/>
          <w:right w:val="single" w:sz="8" w:space="0" w:color="8FB08C"/>
          <w:insideV w:val="single" w:sz="8" w:space="0" w:color="8FB08C"/>
        </w:tcBorders>
      </w:tcPr>
    </w:tblStylePr>
  </w:style>
  <w:style w:type="table" w:customStyle="1" w:styleId="LightList-Accent3222">
    <w:name w:val="Light List - Accent 3222"/>
    <w:basedOn w:val="TableNormal"/>
    <w:next w:val="LightList-Accent3"/>
    <w:uiPriority w:val="61"/>
    <w:rsid w:val="00C1281D"/>
    <w:pPr>
      <w:spacing w:after="0" w:line="240" w:lineRule="auto"/>
    </w:pPr>
    <w:rPr>
      <w:rFonts w:ascii="Calibri" w:eastAsia="Calibri" w:hAnsi="Calibri" w:cs="Times New Roman"/>
      <w:sz w:val="20"/>
      <w:szCs w:val="20"/>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List-Accent31122">
    <w:name w:val="Light List - Accent 31122"/>
    <w:basedOn w:val="TableNormal"/>
    <w:next w:val="LightList-Accent3"/>
    <w:uiPriority w:val="61"/>
    <w:rsid w:val="00C1281D"/>
    <w:pPr>
      <w:spacing w:after="0" w:line="240" w:lineRule="auto"/>
    </w:pPr>
    <w:rPr>
      <w:rFonts w:ascii="Constantia" w:eastAsia="Constantia" w:hAnsi="Constantia" w:cs="Times New Roman"/>
      <w:lang w:val="sr-Cyrl-CS"/>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Shading-Accent1383">
    <w:name w:val="Light Shading - Accent 1383"/>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122">
    <w:name w:val="Light Shading - Accent 13122"/>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222">
    <w:name w:val="Light Shading - Accent 13222"/>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152">
    <w:name w:val="Light Shading - Accent 1152"/>
    <w:basedOn w:val="TableNormal"/>
    <w:uiPriority w:val="60"/>
    <w:rsid w:val="00C1281D"/>
    <w:pPr>
      <w:spacing w:after="0" w:line="240" w:lineRule="auto"/>
      <w:ind w:left="568" w:hanging="284"/>
    </w:pPr>
    <w:rPr>
      <w:rFonts w:ascii="Calibri" w:eastAsia="Calibri"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93">
    <w:name w:val="Light Shading - Accent 1393"/>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163">
    <w:name w:val="Light Shading - Accent 1163"/>
    <w:basedOn w:val="TableNormal"/>
    <w:uiPriority w:val="60"/>
    <w:rsid w:val="00C1281D"/>
    <w:pPr>
      <w:spacing w:after="0" w:line="240" w:lineRule="auto"/>
      <w:ind w:left="568" w:hanging="284"/>
    </w:pPr>
    <w:rPr>
      <w:rFonts w:ascii="Calibri" w:eastAsia="Calibri"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103">
    <w:name w:val="Light Shading - Accent 13103"/>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132">
    <w:name w:val="Light Shading - Accent 13132"/>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ele332">
    <w:name w:val="tabele 332"/>
    <w:basedOn w:val="TableNormal"/>
    <w:next w:val="LightList-Accent3"/>
    <w:uiPriority w:val="61"/>
    <w:rsid w:val="00C1281D"/>
    <w:pPr>
      <w:spacing w:after="0" w:line="240" w:lineRule="auto"/>
    </w:pPr>
    <w:rPr>
      <w:rFonts w:ascii="Cambria Math" w:eastAsia="Calibri" w:hAnsi="Cambria Math" w:cs="Times New Roman"/>
      <w:sz w:val="18"/>
      <w:lang w:val="sr-Cyrl-C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ghtShading-Accent1172">
    <w:name w:val="Light Shading - Accent 1172"/>
    <w:basedOn w:val="TableNormal"/>
    <w:uiPriority w:val="60"/>
    <w:rsid w:val="00C1281D"/>
    <w:pPr>
      <w:spacing w:after="0" w:line="240" w:lineRule="auto"/>
      <w:ind w:left="568" w:hanging="284"/>
    </w:pPr>
    <w:rPr>
      <w:rFonts w:ascii="Calibri" w:eastAsia="Calibri"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344">
    <w:name w:val="Light Shading - Accent 344"/>
    <w:basedOn w:val="TableNormal"/>
    <w:next w:val="LightShading-Accent3"/>
    <w:uiPriority w:val="60"/>
    <w:rsid w:val="00C1281D"/>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List-Accent542">
    <w:name w:val="Light List - Accent 542"/>
    <w:basedOn w:val="TableNormal"/>
    <w:next w:val="LightList-Accent5"/>
    <w:uiPriority w:val="61"/>
    <w:rsid w:val="00C1281D"/>
    <w:pPr>
      <w:spacing w:after="0" w:line="240" w:lineRule="auto"/>
    </w:pPr>
    <w:rPr>
      <w:rFonts w:ascii="Calibri" w:eastAsia="Calibri" w:hAnsi="Calibri" w:cs="Times New Roman"/>
      <w:sz w:val="20"/>
      <w:szCs w:val="20"/>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LightShading-Accent3132">
    <w:name w:val="Light Shading - Accent 3132"/>
    <w:basedOn w:val="TableNormal"/>
    <w:next w:val="LightShading-Accent3"/>
    <w:uiPriority w:val="60"/>
    <w:rsid w:val="00C1281D"/>
    <w:pPr>
      <w:spacing w:after="0" w:line="240" w:lineRule="auto"/>
    </w:pPr>
    <w:rPr>
      <w:rFonts w:ascii="Constantia" w:eastAsia="Constantia" w:hAnsi="Constantia" w:cs="Times New Roman"/>
      <w:color w:val="8CADAE"/>
      <w:lang w:val="sr-Cyrl-CS"/>
    </w:rPr>
    <w:tblPr>
      <w:tblStyleRowBandSize w:val="1"/>
      <w:tblStyleColBandSize w:val="1"/>
      <w:tblBorders>
        <w:top w:val="single" w:sz="8" w:space="0" w:color="8CADAE"/>
        <w:bottom w:val="single" w:sz="8" w:space="0" w:color="8CADAE"/>
      </w:tblBorders>
    </w:tblPr>
    <w:tblStylePr w:type="firstRow">
      <w:pPr>
        <w:spacing w:before="0" w:after="0" w:line="240" w:lineRule="auto"/>
      </w:pPr>
      <w:rPr>
        <w:b/>
        <w:bCs/>
      </w:rPr>
      <w:tblPr/>
      <w:tcPr>
        <w:tcBorders>
          <w:top w:val="single" w:sz="8" w:space="0" w:color="8CADAE"/>
          <w:left w:val="nil"/>
          <w:bottom w:val="single" w:sz="8" w:space="0" w:color="8CADAE"/>
          <w:right w:val="nil"/>
          <w:insideH w:val="nil"/>
          <w:insideV w:val="nil"/>
        </w:tcBorders>
      </w:tcPr>
    </w:tblStylePr>
    <w:tblStylePr w:type="lastRow">
      <w:pPr>
        <w:spacing w:before="0" w:after="0" w:line="240" w:lineRule="auto"/>
      </w:pPr>
      <w:rPr>
        <w:b/>
        <w:bCs/>
      </w:rPr>
      <w:tblPr/>
      <w:tcPr>
        <w:tcBorders>
          <w:top w:val="single" w:sz="8" w:space="0" w:color="8CADAE"/>
          <w:left w:val="nil"/>
          <w:bottom w:val="single" w:sz="8" w:space="0" w:color="8CADA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AEB"/>
      </w:tcPr>
    </w:tblStylePr>
    <w:tblStylePr w:type="band1Horz">
      <w:tblPr/>
      <w:tcPr>
        <w:tcBorders>
          <w:left w:val="nil"/>
          <w:right w:val="nil"/>
          <w:insideH w:val="nil"/>
          <w:insideV w:val="nil"/>
        </w:tcBorders>
        <w:shd w:val="clear" w:color="auto" w:fill="E2EAEB"/>
      </w:tcPr>
    </w:tblStylePr>
  </w:style>
  <w:style w:type="table" w:customStyle="1" w:styleId="LightList-Accent3142">
    <w:name w:val="Light List - Accent 3142"/>
    <w:basedOn w:val="TableNormal"/>
    <w:next w:val="LightList-Accent3"/>
    <w:uiPriority w:val="61"/>
    <w:rsid w:val="00C1281D"/>
    <w:pPr>
      <w:spacing w:after="0" w:line="240" w:lineRule="auto"/>
    </w:pPr>
    <w:rPr>
      <w:rFonts w:ascii="Constantia" w:eastAsia="Constantia" w:hAnsi="Constantia" w:cs="Times New Roman"/>
      <w:lang w:val="sr-Cyrl-CS"/>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List-Accent5132">
    <w:name w:val="Light List - Accent 5132"/>
    <w:basedOn w:val="TableNormal"/>
    <w:next w:val="LightList-Accent5"/>
    <w:uiPriority w:val="61"/>
    <w:rsid w:val="00C1281D"/>
    <w:pPr>
      <w:spacing w:after="0" w:line="240" w:lineRule="auto"/>
    </w:pPr>
    <w:rPr>
      <w:rFonts w:ascii="Times New Roman" w:eastAsia="Constantia" w:hAnsi="Times New Roman" w:cs="Times New Roman"/>
      <w:lang w:val="sr-Cyrl-CS"/>
    </w:rPr>
    <w:tblPr>
      <w:tblStyleRowBandSize w:val="1"/>
      <w:tblStyleColBandSize w:val="1"/>
      <w:tblBorders>
        <w:top w:val="single" w:sz="8" w:space="0" w:color="8FB08C"/>
        <w:left w:val="single" w:sz="8" w:space="0" w:color="8FB08C"/>
        <w:bottom w:val="single" w:sz="8" w:space="0" w:color="8FB08C"/>
        <w:right w:val="single" w:sz="8" w:space="0" w:color="8FB08C"/>
      </w:tblBorders>
    </w:tblPr>
    <w:tblStylePr w:type="firstRow">
      <w:pPr>
        <w:spacing w:before="0" w:after="0" w:line="240" w:lineRule="auto"/>
      </w:pPr>
      <w:rPr>
        <w:b/>
        <w:bCs/>
        <w:color w:val="FFFFFF"/>
      </w:rPr>
      <w:tblPr/>
      <w:tcPr>
        <w:shd w:val="clear" w:color="auto" w:fill="8FB08C"/>
      </w:tcPr>
    </w:tblStylePr>
    <w:tblStylePr w:type="lastRow">
      <w:pPr>
        <w:spacing w:before="0" w:after="0" w:line="240" w:lineRule="auto"/>
      </w:pPr>
      <w:rPr>
        <w:b/>
        <w:bCs/>
      </w:rPr>
      <w:tblPr/>
      <w:tcPr>
        <w:tcBorders>
          <w:top w:val="double" w:sz="6" w:space="0" w:color="8FB08C"/>
          <w:left w:val="single" w:sz="8" w:space="0" w:color="8FB08C"/>
          <w:bottom w:val="single" w:sz="8" w:space="0" w:color="8FB08C"/>
          <w:right w:val="single" w:sz="8" w:space="0" w:color="8FB08C"/>
        </w:tcBorders>
      </w:tcPr>
    </w:tblStylePr>
    <w:tblStylePr w:type="firstCol">
      <w:rPr>
        <w:b/>
        <w:bCs/>
      </w:rPr>
    </w:tblStylePr>
    <w:tblStylePr w:type="lastCol">
      <w:rPr>
        <w:b/>
        <w:bCs/>
      </w:rPr>
    </w:tblStylePr>
    <w:tblStylePr w:type="band1Vert">
      <w:tblPr/>
      <w:tcPr>
        <w:tcBorders>
          <w:top w:val="single" w:sz="8" w:space="0" w:color="8FB08C"/>
          <w:left w:val="single" w:sz="8" w:space="0" w:color="8FB08C"/>
          <w:bottom w:val="single" w:sz="8" w:space="0" w:color="8FB08C"/>
          <w:right w:val="single" w:sz="8" w:space="0" w:color="8FB08C"/>
        </w:tcBorders>
      </w:tcPr>
    </w:tblStylePr>
    <w:tblStylePr w:type="band1Horz">
      <w:tblPr/>
      <w:tcPr>
        <w:tcBorders>
          <w:top w:val="single" w:sz="8" w:space="0" w:color="8FB08C"/>
          <w:left w:val="single" w:sz="8" w:space="0" w:color="8FB08C"/>
          <w:bottom w:val="single" w:sz="8" w:space="0" w:color="8FB08C"/>
          <w:right w:val="single" w:sz="8" w:space="0" w:color="8FB08C"/>
        </w:tcBorders>
      </w:tcPr>
    </w:tblStylePr>
  </w:style>
  <w:style w:type="table" w:customStyle="1" w:styleId="LightGrid-Accent5133">
    <w:name w:val="Light Grid - Accent 5133"/>
    <w:basedOn w:val="TableNormal"/>
    <w:next w:val="LightGrid-Accent5"/>
    <w:uiPriority w:val="62"/>
    <w:rsid w:val="00C1281D"/>
    <w:pPr>
      <w:spacing w:after="0" w:line="240" w:lineRule="auto"/>
    </w:pPr>
    <w:rPr>
      <w:rFonts w:ascii="Calibri" w:eastAsia="Calibri" w:hAnsi="Calibri" w:cs="Times New Roman"/>
      <w:sz w:val="20"/>
      <w:szCs w:val="20"/>
      <w:lang w:val="sr-Latn-CS" w:eastAsia="en-GB"/>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Verdana" w:eastAsia="Times New Roman" w:hAnsi="Verdan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Verdana" w:eastAsia="Times New Roman" w:hAnsi="Verdan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Verdana" w:eastAsia="Times New Roman" w:hAnsi="Verdana" w:cs="Times New Roman"/>
        <w:b/>
        <w:bCs/>
      </w:rPr>
    </w:tblStylePr>
    <w:tblStylePr w:type="lastCol">
      <w:rPr>
        <w:rFonts w:ascii="Verdana" w:eastAsia="Times New Roman" w:hAnsi="Verdan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1132">
    <w:name w:val="Светло сенчење – наглашавање 1132"/>
    <w:basedOn w:val="TableNormal"/>
    <w:uiPriority w:val="60"/>
    <w:rsid w:val="00C1281D"/>
    <w:pPr>
      <w:spacing w:after="0" w:line="240" w:lineRule="auto"/>
    </w:pPr>
    <w:rPr>
      <w:rFonts w:ascii="Calibri" w:eastAsia="Calibri" w:hAnsi="Calibri" w:cs="Times New Roman"/>
      <w:color w:val="365F91"/>
      <w:sz w:val="20"/>
      <w:szCs w:val="20"/>
      <w:lang w:val="sr-Latn-CS" w:eastAsia="en-GB"/>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Grid-Accent543">
    <w:name w:val="Light Grid - Accent 543"/>
    <w:basedOn w:val="TableNormal"/>
    <w:next w:val="LightGrid-Accent5"/>
    <w:uiPriority w:val="62"/>
    <w:rsid w:val="00C1281D"/>
    <w:pPr>
      <w:spacing w:after="0" w:line="240" w:lineRule="auto"/>
    </w:pPr>
    <w:rPr>
      <w:rFonts w:ascii="Calibri" w:eastAsia="Calibri" w:hAnsi="Calibri" w:cs="Times New Roman"/>
      <w:sz w:val="20"/>
      <w:szCs w:val="20"/>
      <w:lang w:val="en-GB" w:eastAsia="en-GB"/>
    </w:rPr>
    <w:tblPr>
      <w:tblStyleRowBandSize w:val="1"/>
      <w:tblStyleColBandSize w:val="1"/>
      <w:tblBorders>
        <w:top w:val="single" w:sz="8" w:space="0" w:color="8FB08C"/>
        <w:left w:val="single" w:sz="8" w:space="0" w:color="8FB08C"/>
        <w:bottom w:val="single" w:sz="8" w:space="0" w:color="8FB08C"/>
        <w:right w:val="single" w:sz="8" w:space="0" w:color="8FB08C"/>
        <w:insideH w:val="single" w:sz="8" w:space="0" w:color="8FB08C"/>
        <w:insideV w:val="single" w:sz="8" w:space="0" w:color="8FB08C"/>
      </w:tblBorders>
    </w:tblPr>
    <w:tblStylePr w:type="firstRow">
      <w:pPr>
        <w:spacing w:before="0" w:after="0" w:line="240" w:lineRule="auto"/>
      </w:pPr>
      <w:rPr>
        <w:rFonts w:ascii="Verdana" w:eastAsia="Times New Roman" w:hAnsi="Verdana" w:cs="Times New Roman"/>
        <w:b/>
        <w:bCs/>
      </w:rPr>
      <w:tblPr/>
      <w:tcPr>
        <w:tcBorders>
          <w:top w:val="single" w:sz="8" w:space="0" w:color="8FB08C"/>
          <w:left w:val="single" w:sz="8" w:space="0" w:color="8FB08C"/>
          <w:bottom w:val="single" w:sz="18" w:space="0" w:color="8FB08C"/>
          <w:right w:val="single" w:sz="8" w:space="0" w:color="8FB08C"/>
          <w:insideH w:val="nil"/>
          <w:insideV w:val="single" w:sz="8" w:space="0" w:color="8FB08C"/>
        </w:tcBorders>
      </w:tcPr>
    </w:tblStylePr>
    <w:tblStylePr w:type="lastRow">
      <w:pPr>
        <w:spacing w:before="0" w:after="0" w:line="240" w:lineRule="auto"/>
      </w:pPr>
      <w:rPr>
        <w:rFonts w:ascii="Verdana" w:eastAsia="Times New Roman" w:hAnsi="Verdana" w:cs="Times New Roman"/>
        <w:b/>
        <w:bCs/>
      </w:rPr>
      <w:tblPr/>
      <w:tcPr>
        <w:tcBorders>
          <w:top w:val="double" w:sz="6" w:space="0" w:color="8FB08C"/>
          <w:left w:val="single" w:sz="8" w:space="0" w:color="8FB08C"/>
          <w:bottom w:val="single" w:sz="8" w:space="0" w:color="8FB08C"/>
          <w:right w:val="single" w:sz="8" w:space="0" w:color="8FB08C"/>
          <w:insideH w:val="nil"/>
          <w:insideV w:val="single" w:sz="8" w:space="0" w:color="8FB08C"/>
        </w:tcBorders>
      </w:tcPr>
    </w:tblStylePr>
    <w:tblStylePr w:type="firstCol">
      <w:rPr>
        <w:rFonts w:ascii="Verdana" w:eastAsia="Times New Roman" w:hAnsi="Verdana" w:cs="Times New Roman"/>
        <w:b/>
        <w:bCs/>
      </w:rPr>
    </w:tblStylePr>
    <w:tblStylePr w:type="lastCol">
      <w:rPr>
        <w:rFonts w:ascii="Verdana" w:eastAsia="Times New Roman" w:hAnsi="Verdana" w:cs="Times New Roman"/>
        <w:b/>
        <w:bCs/>
      </w:rPr>
      <w:tblPr/>
      <w:tcPr>
        <w:tcBorders>
          <w:top w:val="single" w:sz="8" w:space="0" w:color="8FB08C"/>
          <w:left w:val="single" w:sz="8" w:space="0" w:color="8FB08C"/>
          <w:bottom w:val="single" w:sz="8" w:space="0" w:color="8FB08C"/>
          <w:right w:val="single" w:sz="8" w:space="0" w:color="8FB08C"/>
        </w:tcBorders>
      </w:tcPr>
    </w:tblStylePr>
    <w:tblStylePr w:type="band1Vert">
      <w:tblPr/>
      <w:tcPr>
        <w:tcBorders>
          <w:top w:val="single" w:sz="8" w:space="0" w:color="8FB08C"/>
          <w:left w:val="single" w:sz="8" w:space="0" w:color="8FB08C"/>
          <w:bottom w:val="single" w:sz="8" w:space="0" w:color="8FB08C"/>
          <w:right w:val="single" w:sz="8" w:space="0" w:color="8FB08C"/>
        </w:tcBorders>
        <w:shd w:val="clear" w:color="auto" w:fill="E3EBE2"/>
      </w:tcPr>
    </w:tblStylePr>
    <w:tblStylePr w:type="band1Horz">
      <w:tblPr/>
      <w:tcPr>
        <w:tcBorders>
          <w:top w:val="single" w:sz="8" w:space="0" w:color="8FB08C"/>
          <w:left w:val="single" w:sz="8" w:space="0" w:color="8FB08C"/>
          <w:bottom w:val="single" w:sz="8" w:space="0" w:color="8FB08C"/>
          <w:right w:val="single" w:sz="8" w:space="0" w:color="8FB08C"/>
          <w:insideV w:val="single" w:sz="8" w:space="0" w:color="8FB08C"/>
        </w:tcBorders>
        <w:shd w:val="clear" w:color="auto" w:fill="E3EBE2"/>
      </w:tcPr>
    </w:tblStylePr>
    <w:tblStylePr w:type="band2Horz">
      <w:tblPr/>
      <w:tcPr>
        <w:tcBorders>
          <w:top w:val="single" w:sz="8" w:space="0" w:color="8FB08C"/>
          <w:left w:val="single" w:sz="8" w:space="0" w:color="8FB08C"/>
          <w:bottom w:val="single" w:sz="8" w:space="0" w:color="8FB08C"/>
          <w:right w:val="single" w:sz="8" w:space="0" w:color="8FB08C"/>
          <w:insideV w:val="single" w:sz="8" w:space="0" w:color="8FB08C"/>
        </w:tcBorders>
      </w:tcPr>
    </w:tblStylePr>
  </w:style>
  <w:style w:type="table" w:customStyle="1" w:styleId="LightShading-Accent1232">
    <w:name w:val="Light Shading - Accent 1232"/>
    <w:basedOn w:val="TableNormal"/>
    <w:uiPriority w:val="60"/>
    <w:rsid w:val="00C1281D"/>
    <w:pPr>
      <w:spacing w:after="0" w:line="240"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List-Accent3232">
    <w:name w:val="Light List - Accent 3232"/>
    <w:basedOn w:val="TableNormal"/>
    <w:next w:val="LightList-Accent3"/>
    <w:uiPriority w:val="61"/>
    <w:rsid w:val="00C1281D"/>
    <w:pPr>
      <w:spacing w:after="0" w:line="240" w:lineRule="auto"/>
    </w:pPr>
    <w:rPr>
      <w:rFonts w:ascii="Calibri" w:eastAsia="Calibri" w:hAnsi="Calibri" w:cs="Times New Roman"/>
      <w:sz w:val="20"/>
      <w:szCs w:val="20"/>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List-Accent31132">
    <w:name w:val="Light List - Accent 31132"/>
    <w:basedOn w:val="TableNormal"/>
    <w:next w:val="LightList-Accent3"/>
    <w:uiPriority w:val="61"/>
    <w:rsid w:val="00C1281D"/>
    <w:pPr>
      <w:spacing w:after="0" w:line="240" w:lineRule="auto"/>
    </w:pPr>
    <w:rPr>
      <w:rFonts w:ascii="Constantia" w:eastAsia="Constantia" w:hAnsi="Constantia" w:cs="Times New Roman"/>
      <w:lang w:val="sr-Cyrl-CS"/>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Shading-Accent13142">
    <w:name w:val="Light Shading - Accent 13142"/>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152">
    <w:name w:val="Light Shading - Accent 13152"/>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232">
    <w:name w:val="Light Shading - Accent 13232"/>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162">
    <w:name w:val="Light Shading - Accent 13162"/>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812">
    <w:name w:val="Light Shading - Accent 13812"/>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182">
    <w:name w:val="Light Shading - Accent 1182"/>
    <w:basedOn w:val="TableNormal"/>
    <w:uiPriority w:val="60"/>
    <w:rsid w:val="00C1281D"/>
    <w:pPr>
      <w:spacing w:after="0" w:line="240" w:lineRule="auto"/>
      <w:ind w:left="568" w:hanging="284"/>
    </w:pPr>
    <w:rPr>
      <w:rFonts w:ascii="Calibri" w:eastAsia="Calibri"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912">
    <w:name w:val="Light Shading - Accent 13912"/>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1612">
    <w:name w:val="Light Shading - Accent 11612"/>
    <w:basedOn w:val="TableNormal"/>
    <w:uiPriority w:val="60"/>
    <w:rsid w:val="00C1281D"/>
    <w:pPr>
      <w:spacing w:after="0" w:line="240" w:lineRule="auto"/>
      <w:ind w:left="568" w:hanging="284"/>
    </w:pPr>
    <w:rPr>
      <w:rFonts w:ascii="Calibri" w:eastAsia="Calibri"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1012">
    <w:name w:val="Light Shading - Accent 131012"/>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612">
    <w:name w:val="Light Shading - Accent 13612"/>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192">
    <w:name w:val="Light Shading - Accent 1192"/>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41">
    <w:name w:val="Light Shading - Accent 141"/>
    <w:basedOn w:val="TableNormal"/>
    <w:next w:val="LightShading-Accent1"/>
    <w:uiPriority w:val="60"/>
    <w:rsid w:val="00C1281D"/>
    <w:pPr>
      <w:spacing w:after="0" w:line="240" w:lineRule="auto"/>
    </w:pPr>
    <w:rPr>
      <w:color w:val="BF2B0E"/>
    </w:rPr>
    <w:tblPr>
      <w:tblStyleRowBandSize w:val="1"/>
      <w:tblStyleColBandSize w:val="1"/>
      <w:tblBorders>
        <w:top w:val="single" w:sz="8" w:space="0" w:color="EF4623"/>
        <w:bottom w:val="single" w:sz="8" w:space="0" w:color="EF4623"/>
      </w:tblBorders>
    </w:tblPr>
    <w:tblStylePr w:type="firstRow">
      <w:pPr>
        <w:spacing w:before="0" w:after="0" w:line="240" w:lineRule="auto"/>
      </w:pPr>
      <w:rPr>
        <w:b/>
        <w:bCs/>
      </w:rPr>
      <w:tblPr/>
      <w:tcPr>
        <w:tcBorders>
          <w:top w:val="single" w:sz="8" w:space="0" w:color="EF4623"/>
          <w:left w:val="nil"/>
          <w:bottom w:val="single" w:sz="8" w:space="0" w:color="EF4623"/>
          <w:right w:val="nil"/>
          <w:insideH w:val="nil"/>
          <w:insideV w:val="nil"/>
        </w:tcBorders>
      </w:tcPr>
    </w:tblStylePr>
    <w:tblStylePr w:type="lastRow">
      <w:pPr>
        <w:spacing w:before="0" w:after="0" w:line="240" w:lineRule="auto"/>
      </w:pPr>
      <w:rPr>
        <w:b/>
        <w:bCs/>
      </w:rPr>
      <w:tblPr/>
      <w:tcPr>
        <w:tcBorders>
          <w:top w:val="single" w:sz="8" w:space="0" w:color="EF4623"/>
          <w:left w:val="nil"/>
          <w:bottom w:val="single" w:sz="8" w:space="0" w:color="EF462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BD1C8"/>
      </w:tcPr>
    </w:tblStylePr>
    <w:tblStylePr w:type="band1Horz">
      <w:tblPr/>
      <w:tcPr>
        <w:tcBorders>
          <w:left w:val="nil"/>
          <w:right w:val="nil"/>
          <w:insideH w:val="nil"/>
          <w:insideV w:val="nil"/>
        </w:tcBorders>
        <w:shd w:val="clear" w:color="auto" w:fill="FBD1C8"/>
      </w:tcPr>
    </w:tblStylePr>
  </w:style>
  <w:style w:type="table" w:customStyle="1" w:styleId="LightShading-Accent3312">
    <w:name w:val="Light Shading - Accent 3312"/>
    <w:basedOn w:val="TableNormal"/>
    <w:next w:val="LightShading-Accent3"/>
    <w:uiPriority w:val="60"/>
    <w:rsid w:val="00C1281D"/>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22">
    <w:name w:val="Light Shading - Accent 3322"/>
    <w:basedOn w:val="TableNormal"/>
    <w:next w:val="LightShading-Accent3"/>
    <w:uiPriority w:val="60"/>
    <w:rsid w:val="00C1281D"/>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32">
    <w:name w:val="Light Shading - Accent 3332"/>
    <w:basedOn w:val="TableNormal"/>
    <w:next w:val="LightShading-Accent3"/>
    <w:uiPriority w:val="60"/>
    <w:rsid w:val="00C1281D"/>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412">
    <w:name w:val="Light Shading - Accent 3412"/>
    <w:basedOn w:val="TableNormal"/>
    <w:next w:val="LightShading-Accent3"/>
    <w:uiPriority w:val="60"/>
    <w:rsid w:val="00C1281D"/>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422">
    <w:name w:val="Light Shading - Accent 3422"/>
    <w:basedOn w:val="TableNormal"/>
    <w:next w:val="LightShading-Accent3"/>
    <w:uiPriority w:val="60"/>
    <w:rsid w:val="00C1281D"/>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Grid-Accent5142">
    <w:name w:val="Light Grid - Accent 5142"/>
    <w:basedOn w:val="TableNormal"/>
    <w:next w:val="LightGrid-Accent5"/>
    <w:uiPriority w:val="62"/>
    <w:rsid w:val="00C1281D"/>
    <w:pPr>
      <w:spacing w:after="0" w:line="240" w:lineRule="auto"/>
    </w:pPr>
    <w:rPr>
      <w:rFonts w:ascii="Calibri" w:eastAsia="Calibri" w:hAnsi="Calibri" w:cs="Times New Roman"/>
      <w:sz w:val="20"/>
      <w:szCs w:val="20"/>
      <w:lang w:val="sr-Latn-CS" w:eastAsia="en-GB"/>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Franklin Gothic Medium" w:eastAsia="Times New Roman" w:hAnsi="Franklin Gothic Medium"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Franklin Gothic Medium" w:eastAsia="Times New Roman" w:hAnsi="Franklin Gothic Medium"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Franklin Gothic Medium" w:eastAsia="Times New Roman" w:hAnsi="Franklin Gothic Medium" w:cs="Times New Roman"/>
        <w:b/>
        <w:bCs/>
      </w:rPr>
    </w:tblStylePr>
    <w:tblStylePr w:type="lastCol">
      <w:rPr>
        <w:rFonts w:ascii="Franklin Gothic Medium" w:eastAsia="Times New Roman" w:hAnsi="Franklin Gothic Medium"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LightGrid-Accent552">
    <w:name w:val="Light Grid - Accent 552"/>
    <w:basedOn w:val="TableNormal"/>
    <w:next w:val="LightGrid-Accent5"/>
    <w:uiPriority w:val="62"/>
    <w:rsid w:val="00C1281D"/>
    <w:pPr>
      <w:spacing w:after="0" w:line="240" w:lineRule="auto"/>
    </w:pPr>
    <w:rPr>
      <w:rFonts w:ascii="Calibri" w:eastAsia="Calibri" w:hAnsi="Calibri" w:cs="Times New Roman"/>
      <w:sz w:val="20"/>
      <w:szCs w:val="20"/>
      <w:lang w:val="en-GB" w:eastAsia="en-GB"/>
    </w:rPr>
    <w:tblPr>
      <w:tblStyleRowBandSize w:val="1"/>
      <w:tblStyleColBandSize w:val="1"/>
      <w:tblBorders>
        <w:top w:val="single" w:sz="8" w:space="0" w:color="8FB08C"/>
        <w:left w:val="single" w:sz="8" w:space="0" w:color="8FB08C"/>
        <w:bottom w:val="single" w:sz="8" w:space="0" w:color="8FB08C"/>
        <w:right w:val="single" w:sz="8" w:space="0" w:color="8FB08C"/>
        <w:insideH w:val="single" w:sz="8" w:space="0" w:color="8FB08C"/>
        <w:insideV w:val="single" w:sz="8" w:space="0" w:color="8FB08C"/>
      </w:tblBorders>
    </w:tblPr>
    <w:tblStylePr w:type="firstRow">
      <w:pPr>
        <w:spacing w:before="0" w:after="0" w:line="240" w:lineRule="auto"/>
      </w:pPr>
      <w:rPr>
        <w:rFonts w:ascii="Franklin Gothic Medium" w:eastAsia="Times New Roman" w:hAnsi="Franklin Gothic Medium" w:cs="Times New Roman"/>
        <w:b/>
        <w:bCs/>
      </w:rPr>
      <w:tblPr/>
      <w:tcPr>
        <w:tcBorders>
          <w:top w:val="single" w:sz="8" w:space="0" w:color="8FB08C"/>
          <w:left w:val="single" w:sz="8" w:space="0" w:color="8FB08C"/>
          <w:bottom w:val="single" w:sz="18" w:space="0" w:color="8FB08C"/>
          <w:right w:val="single" w:sz="8" w:space="0" w:color="8FB08C"/>
          <w:insideH w:val="nil"/>
          <w:insideV w:val="single" w:sz="8" w:space="0" w:color="8FB08C"/>
        </w:tcBorders>
      </w:tcPr>
    </w:tblStylePr>
    <w:tblStylePr w:type="lastRow">
      <w:pPr>
        <w:spacing w:before="0" w:after="0" w:line="240" w:lineRule="auto"/>
      </w:pPr>
      <w:rPr>
        <w:rFonts w:ascii="Franklin Gothic Medium" w:eastAsia="Times New Roman" w:hAnsi="Franklin Gothic Medium" w:cs="Times New Roman"/>
        <w:b/>
        <w:bCs/>
      </w:rPr>
      <w:tblPr/>
      <w:tcPr>
        <w:tcBorders>
          <w:top w:val="double" w:sz="6" w:space="0" w:color="8FB08C"/>
          <w:left w:val="single" w:sz="8" w:space="0" w:color="8FB08C"/>
          <w:bottom w:val="single" w:sz="8" w:space="0" w:color="8FB08C"/>
          <w:right w:val="single" w:sz="8" w:space="0" w:color="8FB08C"/>
          <w:insideH w:val="nil"/>
          <w:insideV w:val="single" w:sz="8" w:space="0" w:color="8FB08C"/>
        </w:tcBorders>
      </w:tcPr>
    </w:tblStylePr>
    <w:tblStylePr w:type="firstCol">
      <w:rPr>
        <w:rFonts w:ascii="Franklin Gothic Medium" w:eastAsia="Times New Roman" w:hAnsi="Franklin Gothic Medium" w:cs="Times New Roman"/>
        <w:b/>
        <w:bCs/>
      </w:rPr>
    </w:tblStylePr>
    <w:tblStylePr w:type="lastCol">
      <w:rPr>
        <w:rFonts w:ascii="Franklin Gothic Medium" w:eastAsia="Times New Roman" w:hAnsi="Franklin Gothic Medium" w:cs="Times New Roman"/>
        <w:b/>
        <w:bCs/>
      </w:rPr>
      <w:tblPr/>
      <w:tcPr>
        <w:tcBorders>
          <w:top w:val="single" w:sz="8" w:space="0" w:color="8FB08C"/>
          <w:left w:val="single" w:sz="8" w:space="0" w:color="8FB08C"/>
          <w:bottom w:val="single" w:sz="8" w:space="0" w:color="8FB08C"/>
          <w:right w:val="single" w:sz="8" w:space="0" w:color="8FB08C"/>
        </w:tcBorders>
      </w:tcPr>
    </w:tblStylePr>
    <w:tblStylePr w:type="band1Vert">
      <w:tblPr/>
      <w:tcPr>
        <w:tcBorders>
          <w:top w:val="single" w:sz="8" w:space="0" w:color="8FB08C"/>
          <w:left w:val="single" w:sz="8" w:space="0" w:color="8FB08C"/>
          <w:bottom w:val="single" w:sz="8" w:space="0" w:color="8FB08C"/>
          <w:right w:val="single" w:sz="8" w:space="0" w:color="8FB08C"/>
        </w:tcBorders>
        <w:shd w:val="clear" w:color="auto" w:fill="E3EBE2"/>
      </w:tcPr>
    </w:tblStylePr>
    <w:tblStylePr w:type="band1Horz">
      <w:tblPr/>
      <w:tcPr>
        <w:tcBorders>
          <w:top w:val="single" w:sz="8" w:space="0" w:color="8FB08C"/>
          <w:left w:val="single" w:sz="8" w:space="0" w:color="8FB08C"/>
          <w:bottom w:val="single" w:sz="8" w:space="0" w:color="8FB08C"/>
          <w:right w:val="single" w:sz="8" w:space="0" w:color="8FB08C"/>
          <w:insideV w:val="single" w:sz="8" w:space="0" w:color="8FB08C"/>
        </w:tcBorders>
        <w:shd w:val="clear" w:color="auto" w:fill="E3EBE2"/>
      </w:tcPr>
    </w:tblStylePr>
    <w:tblStylePr w:type="band2Horz">
      <w:tblPr/>
      <w:tcPr>
        <w:tcBorders>
          <w:top w:val="single" w:sz="8" w:space="0" w:color="8FB08C"/>
          <w:left w:val="single" w:sz="8" w:space="0" w:color="8FB08C"/>
          <w:bottom w:val="single" w:sz="8" w:space="0" w:color="8FB08C"/>
          <w:right w:val="single" w:sz="8" w:space="0" w:color="8FB08C"/>
          <w:insideV w:val="single" w:sz="8" w:space="0" w:color="8FB08C"/>
        </w:tcBorders>
      </w:tcPr>
    </w:tblStylePr>
  </w:style>
  <w:style w:type="table" w:customStyle="1" w:styleId="LightGrid-Accent51112">
    <w:name w:val="Light Grid - Accent 51112"/>
    <w:basedOn w:val="TableNormal"/>
    <w:next w:val="LightGrid-Accent5"/>
    <w:uiPriority w:val="62"/>
    <w:rsid w:val="00C1281D"/>
    <w:pPr>
      <w:spacing w:after="0" w:line="240" w:lineRule="auto"/>
    </w:pPr>
    <w:rPr>
      <w:rFonts w:ascii="Calibri" w:eastAsia="Calibri" w:hAnsi="Calibri" w:cs="Times New Roman"/>
      <w:sz w:val="20"/>
      <w:szCs w:val="20"/>
      <w:lang w:val="sr-Latn-CS" w:eastAsia="en-GB"/>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Franklin Gothic Medium" w:eastAsia="Times New Roman" w:hAnsi="Franklin Gothic Medium"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Franklin Gothic Medium" w:eastAsia="Times New Roman" w:hAnsi="Franklin Gothic Medium"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Franklin Gothic Medium" w:eastAsia="Times New Roman" w:hAnsi="Franklin Gothic Medium" w:cs="Times New Roman"/>
        <w:b/>
        <w:bCs/>
      </w:rPr>
    </w:tblStylePr>
    <w:tblStylePr w:type="lastCol">
      <w:rPr>
        <w:rFonts w:ascii="Franklin Gothic Medium" w:eastAsia="Times New Roman" w:hAnsi="Franklin Gothic Medium"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LightGrid-Accent5212">
    <w:name w:val="Light Grid - Accent 5212"/>
    <w:basedOn w:val="TableNormal"/>
    <w:next w:val="LightGrid-Accent5"/>
    <w:uiPriority w:val="62"/>
    <w:rsid w:val="00C1281D"/>
    <w:pPr>
      <w:spacing w:after="0" w:line="240" w:lineRule="auto"/>
    </w:pPr>
    <w:rPr>
      <w:rFonts w:ascii="Calibri" w:eastAsia="Calibri" w:hAnsi="Calibri" w:cs="Times New Roman"/>
      <w:sz w:val="20"/>
      <w:szCs w:val="20"/>
      <w:lang w:val="en-GB" w:eastAsia="en-GB"/>
    </w:rPr>
    <w:tblPr>
      <w:tblStyleRowBandSize w:val="1"/>
      <w:tblStyleColBandSize w:val="1"/>
      <w:tblBorders>
        <w:top w:val="single" w:sz="8" w:space="0" w:color="8FB08C"/>
        <w:left w:val="single" w:sz="8" w:space="0" w:color="8FB08C"/>
        <w:bottom w:val="single" w:sz="8" w:space="0" w:color="8FB08C"/>
        <w:right w:val="single" w:sz="8" w:space="0" w:color="8FB08C"/>
        <w:insideH w:val="single" w:sz="8" w:space="0" w:color="8FB08C"/>
        <w:insideV w:val="single" w:sz="8" w:space="0" w:color="8FB08C"/>
      </w:tblBorders>
    </w:tblPr>
    <w:tblStylePr w:type="firstRow">
      <w:pPr>
        <w:spacing w:before="0" w:after="0" w:line="240" w:lineRule="auto"/>
      </w:pPr>
      <w:rPr>
        <w:rFonts w:ascii="Franklin Gothic Medium" w:eastAsia="Times New Roman" w:hAnsi="Franklin Gothic Medium" w:cs="Times New Roman"/>
        <w:b/>
        <w:bCs/>
      </w:rPr>
      <w:tblPr/>
      <w:tcPr>
        <w:tcBorders>
          <w:top w:val="single" w:sz="8" w:space="0" w:color="8FB08C"/>
          <w:left w:val="single" w:sz="8" w:space="0" w:color="8FB08C"/>
          <w:bottom w:val="single" w:sz="18" w:space="0" w:color="8FB08C"/>
          <w:right w:val="single" w:sz="8" w:space="0" w:color="8FB08C"/>
          <w:insideH w:val="nil"/>
          <w:insideV w:val="single" w:sz="8" w:space="0" w:color="8FB08C"/>
        </w:tcBorders>
      </w:tcPr>
    </w:tblStylePr>
    <w:tblStylePr w:type="lastRow">
      <w:pPr>
        <w:spacing w:before="0" w:after="0" w:line="240" w:lineRule="auto"/>
      </w:pPr>
      <w:rPr>
        <w:rFonts w:ascii="Franklin Gothic Medium" w:eastAsia="Times New Roman" w:hAnsi="Franklin Gothic Medium" w:cs="Times New Roman"/>
        <w:b/>
        <w:bCs/>
      </w:rPr>
      <w:tblPr/>
      <w:tcPr>
        <w:tcBorders>
          <w:top w:val="double" w:sz="6" w:space="0" w:color="8FB08C"/>
          <w:left w:val="single" w:sz="8" w:space="0" w:color="8FB08C"/>
          <w:bottom w:val="single" w:sz="8" w:space="0" w:color="8FB08C"/>
          <w:right w:val="single" w:sz="8" w:space="0" w:color="8FB08C"/>
          <w:insideH w:val="nil"/>
          <w:insideV w:val="single" w:sz="8" w:space="0" w:color="8FB08C"/>
        </w:tcBorders>
      </w:tcPr>
    </w:tblStylePr>
    <w:tblStylePr w:type="firstCol">
      <w:rPr>
        <w:rFonts w:ascii="Franklin Gothic Medium" w:eastAsia="Times New Roman" w:hAnsi="Franklin Gothic Medium" w:cs="Times New Roman"/>
        <w:b/>
        <w:bCs/>
      </w:rPr>
    </w:tblStylePr>
    <w:tblStylePr w:type="lastCol">
      <w:rPr>
        <w:rFonts w:ascii="Franklin Gothic Medium" w:eastAsia="Times New Roman" w:hAnsi="Franklin Gothic Medium" w:cs="Times New Roman"/>
        <w:b/>
        <w:bCs/>
      </w:rPr>
      <w:tblPr/>
      <w:tcPr>
        <w:tcBorders>
          <w:top w:val="single" w:sz="8" w:space="0" w:color="8FB08C"/>
          <w:left w:val="single" w:sz="8" w:space="0" w:color="8FB08C"/>
          <w:bottom w:val="single" w:sz="8" w:space="0" w:color="8FB08C"/>
          <w:right w:val="single" w:sz="8" w:space="0" w:color="8FB08C"/>
        </w:tcBorders>
      </w:tcPr>
    </w:tblStylePr>
    <w:tblStylePr w:type="band1Vert">
      <w:tblPr/>
      <w:tcPr>
        <w:tcBorders>
          <w:top w:val="single" w:sz="8" w:space="0" w:color="8FB08C"/>
          <w:left w:val="single" w:sz="8" w:space="0" w:color="8FB08C"/>
          <w:bottom w:val="single" w:sz="8" w:space="0" w:color="8FB08C"/>
          <w:right w:val="single" w:sz="8" w:space="0" w:color="8FB08C"/>
        </w:tcBorders>
        <w:shd w:val="clear" w:color="auto" w:fill="E3EBE2"/>
      </w:tcPr>
    </w:tblStylePr>
    <w:tblStylePr w:type="band1Horz">
      <w:tblPr/>
      <w:tcPr>
        <w:tcBorders>
          <w:top w:val="single" w:sz="8" w:space="0" w:color="8FB08C"/>
          <w:left w:val="single" w:sz="8" w:space="0" w:color="8FB08C"/>
          <w:bottom w:val="single" w:sz="8" w:space="0" w:color="8FB08C"/>
          <w:right w:val="single" w:sz="8" w:space="0" w:color="8FB08C"/>
          <w:insideV w:val="single" w:sz="8" w:space="0" w:color="8FB08C"/>
        </w:tcBorders>
        <w:shd w:val="clear" w:color="auto" w:fill="E3EBE2"/>
      </w:tcPr>
    </w:tblStylePr>
    <w:tblStylePr w:type="band2Horz">
      <w:tblPr/>
      <w:tcPr>
        <w:tcBorders>
          <w:top w:val="single" w:sz="8" w:space="0" w:color="8FB08C"/>
          <w:left w:val="single" w:sz="8" w:space="0" w:color="8FB08C"/>
          <w:bottom w:val="single" w:sz="8" w:space="0" w:color="8FB08C"/>
          <w:right w:val="single" w:sz="8" w:space="0" w:color="8FB08C"/>
          <w:insideV w:val="single" w:sz="8" w:space="0" w:color="8FB08C"/>
        </w:tcBorders>
      </w:tcPr>
    </w:tblStylePr>
  </w:style>
  <w:style w:type="table" w:customStyle="1" w:styleId="LightGrid-Accent51212">
    <w:name w:val="Light Grid - Accent 51212"/>
    <w:basedOn w:val="TableNormal"/>
    <w:next w:val="LightGrid-Accent5"/>
    <w:uiPriority w:val="62"/>
    <w:rsid w:val="00C1281D"/>
    <w:pPr>
      <w:spacing w:after="0" w:line="240" w:lineRule="auto"/>
    </w:pPr>
    <w:rPr>
      <w:rFonts w:ascii="Calibri" w:eastAsia="Calibri" w:hAnsi="Calibri" w:cs="Times New Roman"/>
      <w:sz w:val="20"/>
      <w:szCs w:val="20"/>
      <w:lang w:val="sr-Latn-CS" w:eastAsia="en-GB"/>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Franklin Gothic Medium" w:eastAsia="Times New Roman" w:hAnsi="Franklin Gothic Medium"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Franklin Gothic Medium" w:eastAsia="Times New Roman" w:hAnsi="Franklin Gothic Medium"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Franklin Gothic Medium" w:eastAsia="Times New Roman" w:hAnsi="Franklin Gothic Medium" w:cs="Times New Roman"/>
        <w:b/>
        <w:bCs/>
      </w:rPr>
    </w:tblStylePr>
    <w:tblStylePr w:type="lastCol">
      <w:rPr>
        <w:rFonts w:ascii="Franklin Gothic Medium" w:eastAsia="Times New Roman" w:hAnsi="Franklin Gothic Medium"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LightGrid-Accent5312">
    <w:name w:val="Light Grid - Accent 5312"/>
    <w:basedOn w:val="TableNormal"/>
    <w:next w:val="LightGrid-Accent5"/>
    <w:uiPriority w:val="62"/>
    <w:rsid w:val="00C1281D"/>
    <w:pPr>
      <w:spacing w:after="0" w:line="240" w:lineRule="auto"/>
    </w:pPr>
    <w:rPr>
      <w:rFonts w:ascii="Calibri" w:eastAsia="Calibri" w:hAnsi="Calibri" w:cs="Times New Roman"/>
      <w:sz w:val="20"/>
      <w:szCs w:val="20"/>
      <w:lang w:val="en-GB" w:eastAsia="en-GB"/>
    </w:rPr>
    <w:tblPr>
      <w:tblStyleRowBandSize w:val="1"/>
      <w:tblStyleColBandSize w:val="1"/>
      <w:tblBorders>
        <w:top w:val="single" w:sz="8" w:space="0" w:color="8FB08C"/>
        <w:left w:val="single" w:sz="8" w:space="0" w:color="8FB08C"/>
        <w:bottom w:val="single" w:sz="8" w:space="0" w:color="8FB08C"/>
        <w:right w:val="single" w:sz="8" w:space="0" w:color="8FB08C"/>
        <w:insideH w:val="single" w:sz="8" w:space="0" w:color="8FB08C"/>
        <w:insideV w:val="single" w:sz="8" w:space="0" w:color="8FB08C"/>
      </w:tblBorders>
    </w:tblPr>
    <w:tblStylePr w:type="firstRow">
      <w:pPr>
        <w:spacing w:before="0" w:after="0" w:line="240" w:lineRule="auto"/>
      </w:pPr>
      <w:rPr>
        <w:rFonts w:ascii="Franklin Gothic Medium" w:eastAsia="Times New Roman" w:hAnsi="Franklin Gothic Medium" w:cs="Times New Roman"/>
        <w:b/>
        <w:bCs/>
      </w:rPr>
      <w:tblPr/>
      <w:tcPr>
        <w:tcBorders>
          <w:top w:val="single" w:sz="8" w:space="0" w:color="8FB08C"/>
          <w:left w:val="single" w:sz="8" w:space="0" w:color="8FB08C"/>
          <w:bottom w:val="single" w:sz="18" w:space="0" w:color="8FB08C"/>
          <w:right w:val="single" w:sz="8" w:space="0" w:color="8FB08C"/>
          <w:insideH w:val="nil"/>
          <w:insideV w:val="single" w:sz="8" w:space="0" w:color="8FB08C"/>
        </w:tcBorders>
      </w:tcPr>
    </w:tblStylePr>
    <w:tblStylePr w:type="lastRow">
      <w:pPr>
        <w:spacing w:before="0" w:after="0" w:line="240" w:lineRule="auto"/>
      </w:pPr>
      <w:rPr>
        <w:rFonts w:ascii="Franklin Gothic Medium" w:eastAsia="Times New Roman" w:hAnsi="Franklin Gothic Medium" w:cs="Times New Roman"/>
        <w:b/>
        <w:bCs/>
      </w:rPr>
      <w:tblPr/>
      <w:tcPr>
        <w:tcBorders>
          <w:top w:val="double" w:sz="6" w:space="0" w:color="8FB08C"/>
          <w:left w:val="single" w:sz="8" w:space="0" w:color="8FB08C"/>
          <w:bottom w:val="single" w:sz="8" w:space="0" w:color="8FB08C"/>
          <w:right w:val="single" w:sz="8" w:space="0" w:color="8FB08C"/>
          <w:insideH w:val="nil"/>
          <w:insideV w:val="single" w:sz="8" w:space="0" w:color="8FB08C"/>
        </w:tcBorders>
      </w:tcPr>
    </w:tblStylePr>
    <w:tblStylePr w:type="firstCol">
      <w:rPr>
        <w:rFonts w:ascii="Franklin Gothic Medium" w:eastAsia="Times New Roman" w:hAnsi="Franklin Gothic Medium" w:cs="Times New Roman"/>
        <w:b/>
        <w:bCs/>
      </w:rPr>
    </w:tblStylePr>
    <w:tblStylePr w:type="lastCol">
      <w:rPr>
        <w:rFonts w:ascii="Franklin Gothic Medium" w:eastAsia="Times New Roman" w:hAnsi="Franklin Gothic Medium" w:cs="Times New Roman"/>
        <w:b/>
        <w:bCs/>
      </w:rPr>
      <w:tblPr/>
      <w:tcPr>
        <w:tcBorders>
          <w:top w:val="single" w:sz="8" w:space="0" w:color="8FB08C"/>
          <w:left w:val="single" w:sz="8" w:space="0" w:color="8FB08C"/>
          <w:bottom w:val="single" w:sz="8" w:space="0" w:color="8FB08C"/>
          <w:right w:val="single" w:sz="8" w:space="0" w:color="8FB08C"/>
        </w:tcBorders>
      </w:tcPr>
    </w:tblStylePr>
    <w:tblStylePr w:type="band1Vert">
      <w:tblPr/>
      <w:tcPr>
        <w:tcBorders>
          <w:top w:val="single" w:sz="8" w:space="0" w:color="8FB08C"/>
          <w:left w:val="single" w:sz="8" w:space="0" w:color="8FB08C"/>
          <w:bottom w:val="single" w:sz="8" w:space="0" w:color="8FB08C"/>
          <w:right w:val="single" w:sz="8" w:space="0" w:color="8FB08C"/>
        </w:tcBorders>
        <w:shd w:val="clear" w:color="auto" w:fill="E3EBE2"/>
      </w:tcPr>
    </w:tblStylePr>
    <w:tblStylePr w:type="band1Horz">
      <w:tblPr/>
      <w:tcPr>
        <w:tcBorders>
          <w:top w:val="single" w:sz="8" w:space="0" w:color="8FB08C"/>
          <w:left w:val="single" w:sz="8" w:space="0" w:color="8FB08C"/>
          <w:bottom w:val="single" w:sz="8" w:space="0" w:color="8FB08C"/>
          <w:right w:val="single" w:sz="8" w:space="0" w:color="8FB08C"/>
          <w:insideV w:val="single" w:sz="8" w:space="0" w:color="8FB08C"/>
        </w:tcBorders>
        <w:shd w:val="clear" w:color="auto" w:fill="E3EBE2"/>
      </w:tcPr>
    </w:tblStylePr>
    <w:tblStylePr w:type="band2Horz">
      <w:tblPr/>
      <w:tcPr>
        <w:tcBorders>
          <w:top w:val="single" w:sz="8" w:space="0" w:color="8FB08C"/>
          <w:left w:val="single" w:sz="8" w:space="0" w:color="8FB08C"/>
          <w:bottom w:val="single" w:sz="8" w:space="0" w:color="8FB08C"/>
          <w:right w:val="single" w:sz="8" w:space="0" w:color="8FB08C"/>
          <w:insideV w:val="single" w:sz="8" w:space="0" w:color="8FB08C"/>
        </w:tcBorders>
      </w:tcPr>
    </w:tblStylePr>
  </w:style>
  <w:style w:type="table" w:customStyle="1" w:styleId="LightGrid-Accent51312">
    <w:name w:val="Light Grid - Accent 51312"/>
    <w:basedOn w:val="TableNormal"/>
    <w:next w:val="LightGrid-Accent5"/>
    <w:uiPriority w:val="62"/>
    <w:rsid w:val="00C1281D"/>
    <w:pPr>
      <w:spacing w:after="0" w:line="240" w:lineRule="auto"/>
    </w:pPr>
    <w:rPr>
      <w:rFonts w:ascii="Calibri" w:eastAsia="Calibri" w:hAnsi="Calibri" w:cs="Times New Roman"/>
      <w:sz w:val="20"/>
      <w:szCs w:val="20"/>
      <w:lang w:val="sr-Latn-CS" w:eastAsia="en-GB"/>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Franklin Gothic Medium" w:eastAsia="Times New Roman" w:hAnsi="Franklin Gothic Medium"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Franklin Gothic Medium" w:eastAsia="Times New Roman" w:hAnsi="Franklin Gothic Medium"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Franklin Gothic Medium" w:eastAsia="Times New Roman" w:hAnsi="Franklin Gothic Medium" w:cs="Times New Roman"/>
        <w:b/>
        <w:bCs/>
      </w:rPr>
    </w:tblStylePr>
    <w:tblStylePr w:type="lastCol">
      <w:rPr>
        <w:rFonts w:ascii="Franklin Gothic Medium" w:eastAsia="Times New Roman" w:hAnsi="Franklin Gothic Medium"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LightGrid-Accent5412">
    <w:name w:val="Light Grid - Accent 5412"/>
    <w:basedOn w:val="TableNormal"/>
    <w:next w:val="LightGrid-Accent5"/>
    <w:uiPriority w:val="62"/>
    <w:rsid w:val="00C1281D"/>
    <w:pPr>
      <w:spacing w:after="0" w:line="240" w:lineRule="auto"/>
    </w:pPr>
    <w:rPr>
      <w:rFonts w:ascii="Calibri" w:eastAsia="Calibri" w:hAnsi="Calibri" w:cs="Times New Roman"/>
      <w:sz w:val="20"/>
      <w:szCs w:val="20"/>
      <w:lang w:val="en-GB" w:eastAsia="en-GB"/>
    </w:rPr>
    <w:tblPr>
      <w:tblStyleRowBandSize w:val="1"/>
      <w:tblStyleColBandSize w:val="1"/>
      <w:tblBorders>
        <w:top w:val="single" w:sz="8" w:space="0" w:color="8FB08C"/>
        <w:left w:val="single" w:sz="8" w:space="0" w:color="8FB08C"/>
        <w:bottom w:val="single" w:sz="8" w:space="0" w:color="8FB08C"/>
        <w:right w:val="single" w:sz="8" w:space="0" w:color="8FB08C"/>
        <w:insideH w:val="single" w:sz="8" w:space="0" w:color="8FB08C"/>
        <w:insideV w:val="single" w:sz="8" w:space="0" w:color="8FB08C"/>
      </w:tblBorders>
    </w:tblPr>
    <w:tblStylePr w:type="firstRow">
      <w:pPr>
        <w:spacing w:before="0" w:after="0" w:line="240" w:lineRule="auto"/>
      </w:pPr>
      <w:rPr>
        <w:rFonts w:ascii="Franklin Gothic Medium" w:eastAsia="Times New Roman" w:hAnsi="Franklin Gothic Medium" w:cs="Times New Roman"/>
        <w:b/>
        <w:bCs/>
      </w:rPr>
      <w:tblPr/>
      <w:tcPr>
        <w:tcBorders>
          <w:top w:val="single" w:sz="8" w:space="0" w:color="8FB08C"/>
          <w:left w:val="single" w:sz="8" w:space="0" w:color="8FB08C"/>
          <w:bottom w:val="single" w:sz="18" w:space="0" w:color="8FB08C"/>
          <w:right w:val="single" w:sz="8" w:space="0" w:color="8FB08C"/>
          <w:insideH w:val="nil"/>
          <w:insideV w:val="single" w:sz="8" w:space="0" w:color="8FB08C"/>
        </w:tcBorders>
      </w:tcPr>
    </w:tblStylePr>
    <w:tblStylePr w:type="lastRow">
      <w:pPr>
        <w:spacing w:before="0" w:after="0" w:line="240" w:lineRule="auto"/>
      </w:pPr>
      <w:rPr>
        <w:rFonts w:ascii="Franklin Gothic Medium" w:eastAsia="Times New Roman" w:hAnsi="Franklin Gothic Medium" w:cs="Times New Roman"/>
        <w:b/>
        <w:bCs/>
      </w:rPr>
      <w:tblPr/>
      <w:tcPr>
        <w:tcBorders>
          <w:top w:val="double" w:sz="6" w:space="0" w:color="8FB08C"/>
          <w:left w:val="single" w:sz="8" w:space="0" w:color="8FB08C"/>
          <w:bottom w:val="single" w:sz="8" w:space="0" w:color="8FB08C"/>
          <w:right w:val="single" w:sz="8" w:space="0" w:color="8FB08C"/>
          <w:insideH w:val="nil"/>
          <w:insideV w:val="single" w:sz="8" w:space="0" w:color="8FB08C"/>
        </w:tcBorders>
      </w:tcPr>
    </w:tblStylePr>
    <w:tblStylePr w:type="firstCol">
      <w:rPr>
        <w:rFonts w:ascii="Franklin Gothic Medium" w:eastAsia="Times New Roman" w:hAnsi="Franklin Gothic Medium" w:cs="Times New Roman"/>
        <w:b/>
        <w:bCs/>
      </w:rPr>
    </w:tblStylePr>
    <w:tblStylePr w:type="lastCol">
      <w:rPr>
        <w:rFonts w:ascii="Franklin Gothic Medium" w:eastAsia="Times New Roman" w:hAnsi="Franklin Gothic Medium" w:cs="Times New Roman"/>
        <w:b/>
        <w:bCs/>
      </w:rPr>
      <w:tblPr/>
      <w:tcPr>
        <w:tcBorders>
          <w:top w:val="single" w:sz="8" w:space="0" w:color="8FB08C"/>
          <w:left w:val="single" w:sz="8" w:space="0" w:color="8FB08C"/>
          <w:bottom w:val="single" w:sz="8" w:space="0" w:color="8FB08C"/>
          <w:right w:val="single" w:sz="8" w:space="0" w:color="8FB08C"/>
        </w:tcBorders>
      </w:tcPr>
    </w:tblStylePr>
    <w:tblStylePr w:type="band1Vert">
      <w:tblPr/>
      <w:tcPr>
        <w:tcBorders>
          <w:top w:val="single" w:sz="8" w:space="0" w:color="8FB08C"/>
          <w:left w:val="single" w:sz="8" w:space="0" w:color="8FB08C"/>
          <w:bottom w:val="single" w:sz="8" w:space="0" w:color="8FB08C"/>
          <w:right w:val="single" w:sz="8" w:space="0" w:color="8FB08C"/>
        </w:tcBorders>
        <w:shd w:val="clear" w:color="auto" w:fill="E3EBE2"/>
      </w:tcPr>
    </w:tblStylePr>
    <w:tblStylePr w:type="band1Horz">
      <w:tblPr/>
      <w:tcPr>
        <w:tcBorders>
          <w:top w:val="single" w:sz="8" w:space="0" w:color="8FB08C"/>
          <w:left w:val="single" w:sz="8" w:space="0" w:color="8FB08C"/>
          <w:bottom w:val="single" w:sz="8" w:space="0" w:color="8FB08C"/>
          <w:right w:val="single" w:sz="8" w:space="0" w:color="8FB08C"/>
          <w:insideV w:val="single" w:sz="8" w:space="0" w:color="8FB08C"/>
        </w:tcBorders>
        <w:shd w:val="clear" w:color="auto" w:fill="E3EBE2"/>
      </w:tcPr>
    </w:tblStylePr>
    <w:tblStylePr w:type="band2Horz">
      <w:tblPr/>
      <w:tcPr>
        <w:tcBorders>
          <w:top w:val="single" w:sz="8" w:space="0" w:color="8FB08C"/>
          <w:left w:val="single" w:sz="8" w:space="0" w:color="8FB08C"/>
          <w:bottom w:val="single" w:sz="8" w:space="0" w:color="8FB08C"/>
          <w:right w:val="single" w:sz="8" w:space="0" w:color="8FB08C"/>
          <w:insideV w:val="single" w:sz="8" w:space="0" w:color="8FB08C"/>
        </w:tcBorders>
      </w:tcPr>
    </w:tblStylePr>
  </w:style>
  <w:style w:type="table" w:customStyle="1" w:styleId="LightShading-Accent612">
    <w:name w:val="Light Shading - Accent 612"/>
    <w:basedOn w:val="TableNormal"/>
    <w:next w:val="LightShading-Accent6"/>
    <w:uiPriority w:val="60"/>
    <w:rsid w:val="00C1281D"/>
    <w:pPr>
      <w:spacing w:after="0" w:line="240" w:lineRule="auto"/>
    </w:pPr>
    <w:rPr>
      <w:rFonts w:ascii="Calibri" w:eastAsia="Calibri" w:hAnsi="Calibri" w:cs="Times New Roman"/>
      <w:color w:val="393939"/>
      <w:sz w:val="20"/>
      <w:szCs w:val="20"/>
    </w:rPr>
    <w:tblPr>
      <w:tblStyleRowBandSize w:val="1"/>
      <w:tblStyleColBandSize w:val="1"/>
      <w:tblBorders>
        <w:top w:val="single" w:sz="8" w:space="0" w:color="4D4D4D"/>
        <w:bottom w:val="single" w:sz="8" w:space="0" w:color="4D4D4D"/>
      </w:tblBorders>
    </w:tblPr>
    <w:tblStylePr w:type="firstRow">
      <w:pPr>
        <w:spacing w:beforeLines="0" w:before="0" w:beforeAutospacing="0" w:afterLines="0" w:after="0" w:afterAutospacing="0" w:line="240" w:lineRule="auto"/>
      </w:pPr>
      <w:rPr>
        <w:b/>
        <w:bCs/>
      </w:rPr>
      <w:tblPr/>
      <w:tcPr>
        <w:tcBorders>
          <w:top w:val="single" w:sz="8" w:space="0" w:color="4D4D4D"/>
          <w:left w:val="nil"/>
          <w:bottom w:val="single" w:sz="8" w:space="0" w:color="4D4D4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D4D4D"/>
          <w:left w:val="nil"/>
          <w:bottom w:val="single" w:sz="8" w:space="0" w:color="4D4D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3D3"/>
      </w:tcPr>
    </w:tblStylePr>
    <w:tblStylePr w:type="band1Horz">
      <w:tblPr/>
      <w:tcPr>
        <w:tcBorders>
          <w:left w:val="nil"/>
          <w:right w:val="nil"/>
          <w:insideH w:val="nil"/>
          <w:insideV w:val="nil"/>
        </w:tcBorders>
        <w:shd w:val="clear" w:color="auto" w:fill="D3D3D3"/>
      </w:tcPr>
    </w:tblStylePr>
  </w:style>
  <w:style w:type="table" w:customStyle="1" w:styleId="GridTable6Colorful-Accent412">
    <w:name w:val="Grid Table 6 Colorful - Accent 412"/>
    <w:basedOn w:val="TableNormal"/>
    <w:next w:val="GridTable6Colorful-Accent43"/>
    <w:uiPriority w:val="51"/>
    <w:rsid w:val="00C1281D"/>
    <w:pPr>
      <w:spacing w:after="0" w:line="240" w:lineRule="auto"/>
    </w:pPr>
    <w:rPr>
      <w:color w:val="5F5F5F"/>
    </w:rPr>
    <w:tblPr>
      <w:tblStyleRowBandSize w:val="1"/>
      <w:tblStyleColBandSize w:val="1"/>
      <w:tblBorders>
        <w:top w:val="single" w:sz="4" w:space="0" w:color="B2B2B2"/>
        <w:left w:val="single" w:sz="4" w:space="0" w:color="B2B2B2"/>
        <w:bottom w:val="single" w:sz="4" w:space="0" w:color="B2B2B2"/>
        <w:right w:val="single" w:sz="4" w:space="0" w:color="B2B2B2"/>
        <w:insideH w:val="single" w:sz="4" w:space="0" w:color="B2B2B2"/>
        <w:insideV w:val="single" w:sz="4" w:space="0" w:color="B2B2B2"/>
      </w:tblBorders>
    </w:tblPr>
    <w:tblStylePr w:type="firstRow">
      <w:rPr>
        <w:b/>
        <w:bCs/>
      </w:rPr>
      <w:tblPr/>
      <w:tcPr>
        <w:tcBorders>
          <w:bottom w:val="single" w:sz="12" w:space="0" w:color="B2B2B2"/>
        </w:tcBorders>
      </w:tcPr>
    </w:tblStylePr>
    <w:tblStylePr w:type="lastRow">
      <w:rPr>
        <w:b/>
        <w:bCs/>
      </w:rPr>
      <w:tblPr/>
      <w:tcPr>
        <w:tcBorders>
          <w:top w:val="double" w:sz="4" w:space="0" w:color="B2B2B2"/>
        </w:tcBorders>
      </w:tcPr>
    </w:tblStylePr>
    <w:tblStylePr w:type="firstCol">
      <w:rPr>
        <w:b/>
        <w:bCs/>
      </w:rPr>
    </w:tblStylePr>
    <w:tblStylePr w:type="lastCol">
      <w:rPr>
        <w:b/>
        <w:bCs/>
      </w:rPr>
    </w:tblStylePr>
    <w:tblStylePr w:type="band1Vert">
      <w:tblPr/>
      <w:tcPr>
        <w:shd w:val="clear" w:color="auto" w:fill="E5E5E5"/>
      </w:tcPr>
    </w:tblStylePr>
    <w:tblStylePr w:type="band1Horz">
      <w:tblPr/>
      <w:tcPr>
        <w:shd w:val="clear" w:color="auto" w:fill="E5E5E5"/>
      </w:tcPr>
    </w:tblStylePr>
  </w:style>
  <w:style w:type="table" w:customStyle="1" w:styleId="LightShading-Accent6111">
    <w:name w:val="Light Shading - Accent 6111"/>
    <w:basedOn w:val="TableNormal"/>
    <w:next w:val="LightShading-Accent6"/>
    <w:uiPriority w:val="60"/>
    <w:rsid w:val="00C1281D"/>
    <w:pPr>
      <w:spacing w:after="0" w:line="240" w:lineRule="auto"/>
    </w:pPr>
    <w:rPr>
      <w:rFonts w:ascii="Calibri" w:eastAsia="Calibri" w:hAnsi="Calibri" w:cs="Times New Roman"/>
      <w:color w:val="E36C0A"/>
      <w:sz w:val="20"/>
      <w:szCs w:val="20"/>
    </w:rPr>
    <w:tblPr>
      <w:tblStyleRowBandSize w:val="1"/>
      <w:tblStyleColBandSize w:val="1"/>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GridTable6Colorful-Accent312">
    <w:name w:val="Grid Table 6 Colorful - Accent 312"/>
    <w:basedOn w:val="TableNormal"/>
    <w:next w:val="GridTable6Colorful-Accent33"/>
    <w:uiPriority w:val="51"/>
    <w:rsid w:val="00C1281D"/>
    <w:pPr>
      <w:spacing w:after="0" w:line="240" w:lineRule="auto"/>
    </w:pPr>
    <w:rPr>
      <w:rFonts w:ascii="Calibri" w:eastAsia="Calibri" w:hAnsi="Calibri" w:cs="Times New Roman"/>
      <w:color w:val="707070"/>
      <w:sz w:val="20"/>
      <w:szCs w:val="20"/>
    </w:rPr>
    <w:tblPr>
      <w:tblStyleRowBandSize w:val="1"/>
      <w:tblStyleColBandSize w:val="1"/>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Pr>
    <w:tblStylePr w:type="firstRow">
      <w:rPr>
        <w:b/>
        <w:bCs/>
      </w:rPr>
      <w:tblPr/>
      <w:tcPr>
        <w:tcBorders>
          <w:bottom w:val="single" w:sz="12" w:space="0" w:color="C0C0C0"/>
        </w:tcBorders>
      </w:tcPr>
    </w:tblStylePr>
    <w:tblStylePr w:type="lastRow">
      <w:rPr>
        <w:b/>
        <w:bCs/>
      </w:rPr>
      <w:tblPr/>
      <w:tcPr>
        <w:tcBorders>
          <w:top w:val="double" w:sz="4" w:space="0" w:color="C0C0C0"/>
        </w:tcBorders>
      </w:tcPr>
    </w:tblStylePr>
    <w:tblStylePr w:type="firstCol">
      <w:rPr>
        <w:b/>
        <w:bCs/>
      </w:rPr>
    </w:tblStylePr>
    <w:tblStylePr w:type="lastCol">
      <w:rPr>
        <w:b/>
        <w:bCs/>
      </w:rPr>
    </w:tblStylePr>
    <w:tblStylePr w:type="band1Vert">
      <w:tblPr/>
      <w:tcPr>
        <w:shd w:val="clear" w:color="auto" w:fill="EAEAEA"/>
      </w:tcPr>
    </w:tblStylePr>
    <w:tblStylePr w:type="band1Horz">
      <w:tblPr/>
      <w:tcPr>
        <w:shd w:val="clear" w:color="auto" w:fill="EAEAEA"/>
      </w:tcPr>
    </w:tblStylePr>
  </w:style>
  <w:style w:type="table" w:customStyle="1" w:styleId="GridTable4-Accent511">
    <w:name w:val="Grid Table 4 - Accent 511"/>
    <w:basedOn w:val="TableNormal"/>
    <w:next w:val="GridTable4-Accent53"/>
    <w:uiPriority w:val="49"/>
    <w:rsid w:val="00C1281D"/>
    <w:pPr>
      <w:spacing w:after="0" w:line="240" w:lineRule="auto"/>
    </w:pPr>
    <w:rPr>
      <w:rFonts w:ascii="Calibri" w:eastAsia="Calibri" w:hAnsi="Calibri" w:cs="Times New Roman"/>
      <w:sz w:val="20"/>
      <w:szCs w:val="20"/>
    </w:rPr>
    <w:tblPr>
      <w:tblStyleRowBandSize w:val="1"/>
      <w:tblStyleColBandSize w:val="1"/>
      <w:tblBorders>
        <w:top w:val="single" w:sz="4" w:space="0" w:color="9F9F9F"/>
        <w:left w:val="single" w:sz="4" w:space="0" w:color="9F9F9F"/>
        <w:bottom w:val="single" w:sz="4" w:space="0" w:color="9F9F9F"/>
        <w:right w:val="single" w:sz="4" w:space="0" w:color="9F9F9F"/>
        <w:insideH w:val="single" w:sz="4" w:space="0" w:color="9F9F9F"/>
        <w:insideV w:val="single" w:sz="4" w:space="0" w:color="9F9F9F"/>
      </w:tblBorders>
    </w:tblPr>
    <w:tblStylePr w:type="firstRow">
      <w:rPr>
        <w:b/>
        <w:bCs/>
        <w:color w:val="FFFFFF"/>
      </w:rPr>
      <w:tblPr/>
      <w:tcPr>
        <w:tcBorders>
          <w:top w:val="single" w:sz="4" w:space="0" w:color="5F5F5F"/>
          <w:left w:val="single" w:sz="4" w:space="0" w:color="5F5F5F"/>
          <w:bottom w:val="single" w:sz="4" w:space="0" w:color="5F5F5F"/>
          <w:right w:val="single" w:sz="4" w:space="0" w:color="5F5F5F"/>
          <w:insideH w:val="nil"/>
          <w:insideV w:val="nil"/>
        </w:tcBorders>
        <w:shd w:val="clear" w:color="auto" w:fill="5F5F5F"/>
      </w:tcPr>
    </w:tblStylePr>
    <w:tblStylePr w:type="lastRow">
      <w:rPr>
        <w:b/>
        <w:bCs/>
      </w:rPr>
      <w:tblPr/>
      <w:tcPr>
        <w:tcBorders>
          <w:top w:val="double" w:sz="4" w:space="0" w:color="5F5F5F"/>
        </w:tcBorders>
      </w:tcPr>
    </w:tblStylePr>
    <w:tblStylePr w:type="firstCol">
      <w:rPr>
        <w:b/>
        <w:bCs/>
      </w:rPr>
    </w:tblStylePr>
    <w:tblStylePr w:type="lastCol">
      <w:rPr>
        <w:b/>
        <w:bCs/>
      </w:rPr>
    </w:tblStylePr>
    <w:tblStylePr w:type="band1Vert">
      <w:tblPr/>
      <w:tcPr>
        <w:shd w:val="clear" w:color="auto" w:fill="DFDFDF"/>
      </w:tcPr>
    </w:tblStylePr>
    <w:tblStylePr w:type="band1Horz">
      <w:tblPr/>
      <w:tcPr>
        <w:shd w:val="clear" w:color="auto" w:fill="DFDFDF"/>
      </w:tcPr>
    </w:tblStylePr>
  </w:style>
  <w:style w:type="table" w:customStyle="1" w:styleId="GridTable5Dark-Accent511">
    <w:name w:val="Grid Table 5 Dark - Accent 511"/>
    <w:basedOn w:val="TableNormal"/>
    <w:next w:val="GridTable5Dark-Accent53"/>
    <w:uiPriority w:val="50"/>
    <w:rsid w:val="00C1281D"/>
    <w:pPr>
      <w:spacing w:after="0" w:line="240" w:lineRule="auto"/>
    </w:pPr>
    <w:rPr>
      <w:rFonts w:ascii="Calibri" w:eastAsia="Calibri" w:hAnsi="Calibri" w:cs="Times New Roman"/>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FDFDF"/>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F5F5F"/>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F5F5F"/>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F5F5F"/>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F5F5F"/>
      </w:tcPr>
    </w:tblStylePr>
    <w:tblStylePr w:type="band1Vert">
      <w:tblPr/>
      <w:tcPr>
        <w:shd w:val="clear" w:color="auto" w:fill="BFBFBF"/>
      </w:tcPr>
    </w:tblStylePr>
    <w:tblStylePr w:type="band1Horz">
      <w:tblPr/>
      <w:tcPr>
        <w:shd w:val="clear" w:color="auto" w:fill="BFBFBF"/>
      </w:tcPr>
    </w:tblStylePr>
  </w:style>
  <w:style w:type="table" w:customStyle="1" w:styleId="2">
    <w:name w:val="ФС2"/>
    <w:basedOn w:val="TableNormal"/>
    <w:uiPriority w:val="99"/>
    <w:rsid w:val="00C1281D"/>
    <w:pPr>
      <w:spacing w:after="0" w:line="240" w:lineRule="auto"/>
    </w:pPr>
    <w:rPr>
      <w:rFonts w:ascii="Calibri" w:eastAsia="Calibri" w:hAnsi="Calibri" w:cs="Times New Roman"/>
      <w:sz w:val="20"/>
      <w:szCs w:val="20"/>
    </w:rPr>
    <w:tblPr/>
  </w:style>
  <w:style w:type="table" w:customStyle="1" w:styleId="ListTable6Colorful-Accent311">
    <w:name w:val="List Table 6 Colorful - Accent 311"/>
    <w:basedOn w:val="TableNormal"/>
    <w:next w:val="ListTable6Colorful-Accent33"/>
    <w:uiPriority w:val="51"/>
    <w:rsid w:val="00C1281D"/>
    <w:pPr>
      <w:spacing w:after="0" w:line="240" w:lineRule="auto"/>
    </w:pPr>
    <w:rPr>
      <w:rFonts w:ascii="Calibri" w:eastAsia="Calibri" w:hAnsi="Calibri" w:cs="Times New Roman"/>
      <w:color w:val="707070"/>
      <w:sz w:val="20"/>
      <w:szCs w:val="20"/>
    </w:rPr>
    <w:tblPr>
      <w:tblStyleRowBandSize w:val="1"/>
      <w:tblStyleColBandSize w:val="1"/>
      <w:tblBorders>
        <w:top w:val="single" w:sz="4" w:space="0" w:color="969696"/>
        <w:bottom w:val="single" w:sz="4" w:space="0" w:color="969696"/>
      </w:tblBorders>
    </w:tblPr>
    <w:tblStylePr w:type="firstRow">
      <w:rPr>
        <w:b/>
        <w:bCs/>
      </w:rPr>
      <w:tblPr/>
      <w:tcPr>
        <w:tcBorders>
          <w:bottom w:val="single" w:sz="4" w:space="0" w:color="969696"/>
        </w:tcBorders>
      </w:tcPr>
    </w:tblStylePr>
    <w:tblStylePr w:type="lastRow">
      <w:rPr>
        <w:b/>
        <w:bCs/>
      </w:rPr>
      <w:tblPr/>
      <w:tcPr>
        <w:tcBorders>
          <w:top w:val="double" w:sz="4" w:space="0" w:color="969696"/>
        </w:tcBorders>
      </w:tcPr>
    </w:tblStylePr>
    <w:tblStylePr w:type="firstCol">
      <w:rPr>
        <w:b/>
        <w:bCs/>
      </w:rPr>
    </w:tblStylePr>
    <w:tblStylePr w:type="lastCol">
      <w:rPr>
        <w:b/>
        <w:bCs/>
      </w:rPr>
    </w:tblStylePr>
    <w:tblStylePr w:type="band1Vert">
      <w:tblPr/>
      <w:tcPr>
        <w:shd w:val="clear" w:color="auto" w:fill="EAEAEA"/>
      </w:tcPr>
    </w:tblStylePr>
    <w:tblStylePr w:type="band1Horz">
      <w:tblPr/>
      <w:tcPr>
        <w:shd w:val="clear" w:color="auto" w:fill="EAEAEA"/>
      </w:tcPr>
    </w:tblStylePr>
  </w:style>
  <w:style w:type="table" w:customStyle="1" w:styleId="GridTable1Light-Accent111">
    <w:name w:val="Grid Table 1 Light - Accent 111"/>
    <w:basedOn w:val="TableNormal"/>
    <w:next w:val="GridTable1Light-Accent13"/>
    <w:uiPriority w:val="46"/>
    <w:rsid w:val="00C1281D"/>
    <w:pPr>
      <w:spacing w:after="0" w:line="240" w:lineRule="auto"/>
    </w:pPr>
    <w:tblPr>
      <w:tblStyleRowBandSize w:val="1"/>
      <w:tblStyleColBandSize w:val="1"/>
      <w:tblBorders>
        <w:top w:val="single" w:sz="4" w:space="0" w:color="F8B4A6"/>
        <w:left w:val="single" w:sz="4" w:space="0" w:color="F8B4A6"/>
        <w:bottom w:val="single" w:sz="4" w:space="0" w:color="F8B4A6"/>
        <w:right w:val="single" w:sz="4" w:space="0" w:color="F8B4A6"/>
        <w:insideH w:val="single" w:sz="4" w:space="0" w:color="F8B4A6"/>
        <w:insideV w:val="single" w:sz="4" w:space="0" w:color="F8B4A6"/>
      </w:tblBorders>
    </w:tblPr>
    <w:tblStylePr w:type="firstRow">
      <w:rPr>
        <w:b/>
        <w:bCs/>
      </w:rPr>
      <w:tblPr/>
      <w:tcPr>
        <w:tcBorders>
          <w:bottom w:val="single" w:sz="12" w:space="0" w:color="F58F7A"/>
        </w:tcBorders>
      </w:tcPr>
    </w:tblStylePr>
    <w:tblStylePr w:type="lastRow">
      <w:rPr>
        <w:b/>
        <w:bCs/>
      </w:rPr>
      <w:tblPr/>
      <w:tcPr>
        <w:tcBorders>
          <w:top w:val="double" w:sz="2" w:space="0" w:color="F58F7A"/>
        </w:tcBorders>
      </w:tcPr>
    </w:tblStylePr>
    <w:tblStylePr w:type="firstCol">
      <w:rPr>
        <w:b/>
        <w:bCs/>
      </w:rPr>
    </w:tblStylePr>
    <w:tblStylePr w:type="lastCol">
      <w:rPr>
        <w:b/>
        <w:bCs/>
      </w:rPr>
    </w:tblStylePr>
  </w:style>
  <w:style w:type="table" w:customStyle="1" w:styleId="ListTable1Light-Accent111">
    <w:name w:val="List Table 1 Light - Accent 111"/>
    <w:basedOn w:val="TableNormal"/>
    <w:next w:val="ListTable1Light-Accent13"/>
    <w:uiPriority w:val="46"/>
    <w:rsid w:val="00C1281D"/>
    <w:pPr>
      <w:spacing w:after="0" w:line="240" w:lineRule="auto"/>
    </w:pPr>
    <w:tblPr>
      <w:tblStyleRowBandSize w:val="1"/>
      <w:tblStyleColBandSize w:val="1"/>
    </w:tblPr>
    <w:tblStylePr w:type="firstRow">
      <w:rPr>
        <w:b/>
        <w:bCs/>
      </w:rPr>
      <w:tblPr/>
      <w:tcPr>
        <w:tcBorders>
          <w:bottom w:val="single" w:sz="4" w:space="0" w:color="F58F7A"/>
        </w:tcBorders>
      </w:tcPr>
    </w:tblStylePr>
    <w:tblStylePr w:type="lastRow">
      <w:rPr>
        <w:b/>
        <w:bCs/>
      </w:rPr>
      <w:tblPr/>
      <w:tcPr>
        <w:tcBorders>
          <w:top w:val="single" w:sz="4" w:space="0" w:color="F58F7A"/>
        </w:tcBorders>
      </w:tcPr>
    </w:tblStylePr>
    <w:tblStylePr w:type="firstCol">
      <w:rPr>
        <w:b/>
        <w:bCs/>
      </w:rPr>
    </w:tblStylePr>
    <w:tblStylePr w:type="lastCol">
      <w:rPr>
        <w:b/>
        <w:bCs/>
      </w:rPr>
    </w:tblStylePr>
    <w:tblStylePr w:type="band1Vert">
      <w:tblPr/>
      <w:tcPr>
        <w:shd w:val="clear" w:color="auto" w:fill="FBD9D2"/>
      </w:tcPr>
    </w:tblStylePr>
    <w:tblStylePr w:type="band1Horz">
      <w:tblPr/>
      <w:tcPr>
        <w:shd w:val="clear" w:color="auto" w:fill="FBD9D2"/>
      </w:tcPr>
    </w:tblStylePr>
  </w:style>
  <w:style w:type="table" w:customStyle="1" w:styleId="ListTable2-Accent111">
    <w:name w:val="List Table 2 - Accent 111"/>
    <w:basedOn w:val="TableNormal"/>
    <w:next w:val="ListTable2-Accent13"/>
    <w:uiPriority w:val="47"/>
    <w:rsid w:val="00C1281D"/>
    <w:pPr>
      <w:spacing w:after="0" w:line="240" w:lineRule="auto"/>
    </w:pPr>
    <w:tblPr>
      <w:tblStyleRowBandSize w:val="1"/>
      <w:tblStyleColBandSize w:val="1"/>
      <w:tblBorders>
        <w:top w:val="single" w:sz="4" w:space="0" w:color="F58F7A"/>
        <w:bottom w:val="single" w:sz="4" w:space="0" w:color="F58F7A"/>
        <w:insideH w:val="single" w:sz="4" w:space="0" w:color="F58F7A"/>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D9D2"/>
      </w:tcPr>
    </w:tblStylePr>
    <w:tblStylePr w:type="band1Horz">
      <w:tblPr/>
      <w:tcPr>
        <w:shd w:val="clear" w:color="auto" w:fill="FBD9D2"/>
      </w:tcPr>
    </w:tblStylePr>
  </w:style>
  <w:style w:type="table" w:customStyle="1" w:styleId="ListTable2-Accent511">
    <w:name w:val="List Table 2 - Accent 511"/>
    <w:basedOn w:val="TableNormal"/>
    <w:next w:val="ListTable2-Accent53"/>
    <w:uiPriority w:val="47"/>
    <w:rsid w:val="00C1281D"/>
    <w:pPr>
      <w:spacing w:after="0" w:line="240" w:lineRule="auto"/>
    </w:pPr>
    <w:tblPr>
      <w:tblStyleRowBandSize w:val="1"/>
      <w:tblStyleColBandSize w:val="1"/>
      <w:tblBorders>
        <w:top w:val="single" w:sz="4" w:space="0" w:color="9F9F9F"/>
        <w:bottom w:val="single" w:sz="4" w:space="0" w:color="9F9F9F"/>
        <w:insideH w:val="single" w:sz="4" w:space="0" w:color="9F9F9F"/>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FDFDF"/>
      </w:tcPr>
    </w:tblStylePr>
    <w:tblStylePr w:type="band1Horz">
      <w:tblPr/>
      <w:tcPr>
        <w:shd w:val="clear" w:color="auto" w:fill="DFDFDF"/>
      </w:tcPr>
    </w:tblStylePr>
  </w:style>
  <w:style w:type="table" w:customStyle="1" w:styleId="GridTable2-Accent511">
    <w:name w:val="Grid Table 2 - Accent 511"/>
    <w:basedOn w:val="TableNormal"/>
    <w:next w:val="GridTable2-Accent53"/>
    <w:uiPriority w:val="47"/>
    <w:rsid w:val="00C1281D"/>
    <w:pPr>
      <w:spacing w:after="0" w:line="240" w:lineRule="auto"/>
    </w:pPr>
    <w:tblPr>
      <w:tblStyleRowBandSize w:val="1"/>
      <w:tblStyleColBandSize w:val="1"/>
      <w:tblBorders>
        <w:top w:val="single" w:sz="2" w:space="0" w:color="9F9F9F"/>
        <w:bottom w:val="single" w:sz="2" w:space="0" w:color="9F9F9F"/>
        <w:insideH w:val="single" w:sz="2" w:space="0" w:color="9F9F9F"/>
        <w:insideV w:val="single" w:sz="2" w:space="0" w:color="9F9F9F"/>
      </w:tblBorders>
    </w:tblPr>
    <w:tblStylePr w:type="firstRow">
      <w:rPr>
        <w:b/>
        <w:bCs/>
      </w:rPr>
      <w:tblPr/>
      <w:tcPr>
        <w:tcBorders>
          <w:top w:val="nil"/>
          <w:bottom w:val="single" w:sz="12" w:space="0" w:color="9F9F9F"/>
          <w:insideH w:val="nil"/>
          <w:insideV w:val="nil"/>
        </w:tcBorders>
        <w:shd w:val="clear" w:color="auto" w:fill="FFFFFF"/>
      </w:tcPr>
    </w:tblStylePr>
    <w:tblStylePr w:type="lastRow">
      <w:rPr>
        <w:b/>
        <w:bCs/>
      </w:rPr>
      <w:tblPr/>
      <w:tcPr>
        <w:tcBorders>
          <w:top w:val="double" w:sz="2" w:space="0" w:color="9F9F9F"/>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FDFDF"/>
      </w:tcPr>
    </w:tblStylePr>
    <w:tblStylePr w:type="band1Horz">
      <w:tblPr/>
      <w:tcPr>
        <w:shd w:val="clear" w:color="auto" w:fill="DFDFDF"/>
      </w:tcPr>
    </w:tblStylePr>
  </w:style>
  <w:style w:type="table" w:customStyle="1" w:styleId="TableGrid221">
    <w:name w:val="Table Grid221"/>
    <w:basedOn w:val="TableNormal"/>
    <w:next w:val="TableGrid"/>
    <w:uiPriority w:val="39"/>
    <w:rsid w:val="00C1281D"/>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LightShading-Accent1242">
    <w:name w:val="Light Shading - Accent 1242"/>
    <w:basedOn w:val="TableNormal"/>
    <w:uiPriority w:val="60"/>
    <w:rsid w:val="00C1281D"/>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GridTable6Colorful-Accent5121">
    <w:name w:val="Grid Table 6 Colorful - Accent 5121"/>
    <w:basedOn w:val="TableNormal"/>
    <w:next w:val="GridTable6Colorful-Accent54"/>
    <w:uiPriority w:val="51"/>
    <w:rsid w:val="00C1281D"/>
    <w:pPr>
      <w:spacing w:after="0" w:line="240" w:lineRule="auto"/>
    </w:pPr>
    <w:rPr>
      <w:rFonts w:ascii="Calibri" w:eastAsia="Calibri" w:hAnsi="Calibri" w:cs="Times New Roman"/>
      <w:color w:val="C19300"/>
      <w:sz w:val="20"/>
      <w:szCs w:val="20"/>
    </w:rPr>
    <w:tblPr>
      <w:tblStyleRowBandSize w:val="1"/>
      <w:tblStyleColBandSize w:val="1"/>
      <w:tblBorders>
        <w:top w:val="single" w:sz="4" w:space="0" w:color="FEDA69"/>
        <w:left w:val="single" w:sz="4" w:space="0" w:color="FEDA69"/>
        <w:bottom w:val="single" w:sz="4" w:space="0" w:color="FEDA69"/>
        <w:right w:val="single" w:sz="4" w:space="0" w:color="FEDA69"/>
        <w:insideH w:val="single" w:sz="4" w:space="0" w:color="FEDA69"/>
        <w:insideV w:val="single" w:sz="4" w:space="0" w:color="FEDA69"/>
      </w:tblBorders>
    </w:tblPr>
    <w:tblStylePr w:type="firstRow">
      <w:rPr>
        <w:b/>
        <w:bCs/>
      </w:rPr>
      <w:tblPr/>
      <w:tcPr>
        <w:tcBorders>
          <w:bottom w:val="single" w:sz="12" w:space="0" w:color="FEDA69"/>
        </w:tcBorders>
      </w:tcPr>
    </w:tblStylePr>
    <w:tblStylePr w:type="lastRow">
      <w:rPr>
        <w:b/>
        <w:bCs/>
      </w:rPr>
      <w:tblPr/>
      <w:tcPr>
        <w:tcBorders>
          <w:top w:val="double" w:sz="4" w:space="0" w:color="FEDA69"/>
        </w:tcBorders>
      </w:tcPr>
    </w:tblStylePr>
    <w:tblStylePr w:type="firstCol">
      <w:rPr>
        <w:b/>
        <w:bCs/>
      </w:rPr>
    </w:tblStylePr>
    <w:tblStylePr w:type="lastCol">
      <w:rPr>
        <w:b/>
        <w:bCs/>
      </w:rPr>
    </w:tblStylePr>
    <w:tblStylePr w:type="band1Vert">
      <w:tblPr/>
      <w:tcPr>
        <w:shd w:val="clear" w:color="auto" w:fill="FEF2CD"/>
      </w:tcPr>
    </w:tblStylePr>
    <w:tblStylePr w:type="band1Horz">
      <w:tblPr/>
      <w:tcPr>
        <w:shd w:val="clear" w:color="auto" w:fill="FEF2CD"/>
      </w:tcPr>
    </w:tblStylePr>
  </w:style>
  <w:style w:type="table" w:customStyle="1" w:styleId="GridTable6Colorful-Accent5131">
    <w:name w:val="Grid Table 6 Colorful - Accent 5131"/>
    <w:basedOn w:val="TableNormal"/>
    <w:uiPriority w:val="51"/>
    <w:rsid w:val="00C1281D"/>
    <w:pPr>
      <w:spacing w:after="0" w:line="264" w:lineRule="auto"/>
    </w:pPr>
    <w:rPr>
      <w:rFonts w:ascii="Calibri" w:eastAsia="Calibri" w:hAnsi="Calibri" w:cs="Times New Roman"/>
      <w:color w:val="474747"/>
      <w:sz w:val="20"/>
      <w:szCs w:val="20"/>
    </w:rPr>
    <w:tblPr>
      <w:tblStyleRowBandSize w:val="1"/>
      <w:tblStyleColBandSize w:val="1"/>
      <w:tblBorders>
        <w:top w:val="single" w:sz="4" w:space="0" w:color="9F9F9F"/>
        <w:left w:val="single" w:sz="4" w:space="0" w:color="9F9F9F"/>
        <w:bottom w:val="single" w:sz="4" w:space="0" w:color="9F9F9F"/>
        <w:right w:val="single" w:sz="4" w:space="0" w:color="9F9F9F"/>
        <w:insideH w:val="single" w:sz="4" w:space="0" w:color="9F9F9F"/>
        <w:insideV w:val="single" w:sz="4" w:space="0" w:color="9F9F9F"/>
      </w:tblBorders>
    </w:tblPr>
    <w:tblStylePr w:type="firstRow">
      <w:rPr>
        <w:b/>
        <w:bCs/>
      </w:rPr>
      <w:tblPr/>
      <w:tcPr>
        <w:tcBorders>
          <w:bottom w:val="single" w:sz="12" w:space="0" w:color="9F9F9F"/>
        </w:tcBorders>
      </w:tcPr>
    </w:tblStylePr>
    <w:tblStylePr w:type="lastRow">
      <w:rPr>
        <w:b/>
        <w:bCs/>
      </w:rPr>
      <w:tblPr/>
      <w:tcPr>
        <w:tcBorders>
          <w:top w:val="double" w:sz="4" w:space="0" w:color="9F9F9F"/>
        </w:tcBorders>
      </w:tcPr>
    </w:tblStylePr>
    <w:tblStylePr w:type="firstCol">
      <w:rPr>
        <w:b/>
        <w:bCs/>
      </w:rPr>
    </w:tblStylePr>
    <w:tblStylePr w:type="lastCol">
      <w:rPr>
        <w:b/>
        <w:bCs/>
      </w:rPr>
    </w:tblStylePr>
    <w:tblStylePr w:type="band1Vert">
      <w:tblPr/>
      <w:tcPr>
        <w:shd w:val="clear" w:color="auto" w:fill="DFDFDF"/>
      </w:tcPr>
    </w:tblStylePr>
    <w:tblStylePr w:type="band1Horz">
      <w:tblPr/>
      <w:tcPr>
        <w:shd w:val="clear" w:color="auto" w:fill="DFDFDF"/>
      </w:tcPr>
    </w:tblStylePr>
  </w:style>
  <w:style w:type="numbering" w:customStyle="1" w:styleId="NoList31">
    <w:name w:val="No List31"/>
    <w:next w:val="NoList"/>
    <w:uiPriority w:val="99"/>
    <w:semiHidden/>
    <w:unhideWhenUsed/>
    <w:rsid w:val="00C1281D"/>
  </w:style>
  <w:style w:type="table" w:customStyle="1" w:styleId="TableGrid31">
    <w:name w:val="Table Grid31"/>
    <w:basedOn w:val="TableNormal"/>
    <w:next w:val="TableGrid"/>
    <w:uiPriority w:val="39"/>
    <w:rsid w:val="00C1281D"/>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FinancialTable11">
    <w:name w:val="Financial Table11"/>
    <w:basedOn w:val="TableNormal"/>
    <w:uiPriority w:val="99"/>
    <w:rsid w:val="00C1281D"/>
    <w:pPr>
      <w:spacing w:before="60" w:after="60" w:line="264" w:lineRule="auto"/>
    </w:pPr>
    <w:rPr>
      <w:rFonts w:eastAsia="MS PGothic"/>
      <w:sz w:val="20"/>
      <w:szCs w:val="20"/>
      <w:lang w:eastAsia="ja-JP"/>
    </w:rPr>
    <w:tblPr>
      <w:tblBorders>
        <w:top w:val="single" w:sz="8" w:space="0" w:color="000000"/>
        <w:left w:val="single" w:sz="8" w:space="0" w:color="000000"/>
        <w:bottom w:val="single" w:sz="24" w:space="0" w:color="000000"/>
        <w:right w:val="single" w:sz="8" w:space="0" w:color="000000"/>
        <w:insideH w:val="single" w:sz="8" w:space="0" w:color="000000"/>
        <w:insideV w:val="single" w:sz="8" w:space="0" w:color="000000"/>
      </w:tblBorders>
      <w:tblCellMar>
        <w:left w:w="72" w:type="dxa"/>
        <w:right w:w="72" w:type="dxa"/>
      </w:tblCellMar>
    </w:tblPr>
    <w:tblStylePr w:type="firstRow">
      <w:pPr>
        <w:wordWrap/>
        <w:spacing w:beforeLines="0" w:before="40" w:beforeAutospacing="0" w:afterLines="0" w:after="40" w:afterAutospacing="0"/>
        <w:jc w:val="left"/>
      </w:pPr>
      <w:rPr>
        <w:rFonts w:ascii="Arial" w:hAnsi="Arial"/>
        <w:b/>
        <w:i w:val="0"/>
        <w:caps w:val="0"/>
        <w:smallCaps w:val="0"/>
        <w:color w:val="000000"/>
        <w:sz w:val="22"/>
      </w:rPr>
    </w:tblStylePr>
    <w:tblStylePr w:type="firstCol">
      <w:rPr>
        <w:b/>
        <w:color w:val="000000"/>
      </w:rPr>
    </w:tblStylePr>
  </w:style>
  <w:style w:type="table" w:customStyle="1" w:styleId="GridTable6Colorful-Accent531">
    <w:name w:val="Grid Table 6 Colorful - Accent 531"/>
    <w:basedOn w:val="TableNormal"/>
    <w:next w:val="GridTable6Colorful-Accent54"/>
    <w:uiPriority w:val="51"/>
    <w:rsid w:val="00C1281D"/>
    <w:pPr>
      <w:spacing w:after="0" w:line="264" w:lineRule="auto"/>
    </w:pPr>
    <w:rPr>
      <w:rFonts w:ascii="Calibri" w:eastAsia="Calibri" w:hAnsi="Calibri" w:cs="Times New Roman"/>
      <w:color w:val="474747"/>
      <w:sz w:val="20"/>
      <w:szCs w:val="20"/>
    </w:rPr>
    <w:tblPr>
      <w:tblStyleRowBandSize w:val="1"/>
      <w:tblStyleColBandSize w:val="1"/>
      <w:tblBorders>
        <w:top w:val="single" w:sz="4" w:space="0" w:color="9F9F9F"/>
        <w:left w:val="single" w:sz="4" w:space="0" w:color="9F9F9F"/>
        <w:bottom w:val="single" w:sz="4" w:space="0" w:color="9F9F9F"/>
        <w:right w:val="single" w:sz="4" w:space="0" w:color="9F9F9F"/>
        <w:insideH w:val="single" w:sz="4" w:space="0" w:color="9F9F9F"/>
        <w:insideV w:val="single" w:sz="4" w:space="0" w:color="9F9F9F"/>
      </w:tblBorders>
    </w:tblPr>
    <w:tblStylePr w:type="firstRow">
      <w:rPr>
        <w:b/>
        <w:bCs/>
      </w:rPr>
      <w:tblPr/>
      <w:tcPr>
        <w:tcBorders>
          <w:bottom w:val="single" w:sz="12" w:space="0" w:color="9F9F9F"/>
        </w:tcBorders>
      </w:tcPr>
    </w:tblStylePr>
    <w:tblStylePr w:type="lastRow">
      <w:rPr>
        <w:b/>
        <w:bCs/>
      </w:rPr>
      <w:tblPr/>
      <w:tcPr>
        <w:tcBorders>
          <w:top w:val="double" w:sz="4" w:space="0" w:color="9F9F9F"/>
        </w:tcBorders>
      </w:tcPr>
    </w:tblStylePr>
    <w:tblStylePr w:type="firstCol">
      <w:rPr>
        <w:b/>
        <w:bCs/>
      </w:rPr>
    </w:tblStylePr>
    <w:tblStylePr w:type="lastCol">
      <w:rPr>
        <w:b/>
        <w:bCs/>
      </w:rPr>
    </w:tblStylePr>
    <w:tblStylePr w:type="band1Vert">
      <w:tblPr/>
      <w:tcPr>
        <w:shd w:val="clear" w:color="auto" w:fill="DFDFDF"/>
      </w:tcPr>
    </w:tblStylePr>
    <w:tblStylePr w:type="band1Horz">
      <w:tblPr/>
      <w:tcPr>
        <w:shd w:val="clear" w:color="auto" w:fill="DFDFDF"/>
      </w:tcPr>
    </w:tblStylePr>
  </w:style>
  <w:style w:type="table" w:customStyle="1" w:styleId="LightShading-Accent1252">
    <w:name w:val="Light Shading - Accent 1252"/>
    <w:basedOn w:val="TableNormal"/>
    <w:uiPriority w:val="60"/>
    <w:rsid w:val="00C1281D"/>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GridTable6Colorful-Accent5141">
    <w:name w:val="Grid Table 6 Colorful - Accent 5141"/>
    <w:basedOn w:val="TableNormal"/>
    <w:uiPriority w:val="51"/>
    <w:rsid w:val="00C1281D"/>
    <w:pPr>
      <w:spacing w:after="0" w:line="264" w:lineRule="auto"/>
    </w:pPr>
    <w:rPr>
      <w:rFonts w:ascii="Calibri" w:eastAsia="Calibri" w:hAnsi="Calibri" w:cs="Times New Roman"/>
      <w:color w:val="387AAA"/>
      <w:sz w:val="20"/>
      <w:szCs w:val="20"/>
    </w:rPr>
    <w:tblPr>
      <w:tblStyleRowBandSize w:val="1"/>
      <w:tblStyleColBandSize w:val="1"/>
      <w:tblBorders>
        <w:top w:val="single" w:sz="4" w:space="0" w:color="A1C5E0"/>
        <w:left w:val="single" w:sz="4" w:space="0" w:color="A1C5E0"/>
        <w:bottom w:val="single" w:sz="4" w:space="0" w:color="A1C5E0"/>
        <w:right w:val="single" w:sz="4" w:space="0" w:color="A1C5E0"/>
        <w:insideH w:val="single" w:sz="4" w:space="0" w:color="A1C5E0"/>
        <w:insideV w:val="single" w:sz="4" w:space="0" w:color="A1C5E0"/>
      </w:tblBorders>
    </w:tblPr>
    <w:tblStylePr w:type="firstRow">
      <w:rPr>
        <w:b/>
        <w:bCs/>
      </w:rPr>
      <w:tblPr/>
      <w:tcPr>
        <w:tcBorders>
          <w:bottom w:val="single" w:sz="12" w:space="0" w:color="A1C5E0"/>
        </w:tcBorders>
      </w:tcPr>
    </w:tblStylePr>
    <w:tblStylePr w:type="lastRow">
      <w:rPr>
        <w:b/>
        <w:bCs/>
      </w:rPr>
      <w:tblPr/>
      <w:tcPr>
        <w:tcBorders>
          <w:top w:val="double" w:sz="4" w:space="0" w:color="A1C5E0"/>
        </w:tcBorders>
      </w:tcPr>
    </w:tblStylePr>
    <w:tblStylePr w:type="firstCol">
      <w:rPr>
        <w:b/>
        <w:bCs/>
      </w:rPr>
    </w:tblStylePr>
    <w:tblStylePr w:type="lastCol">
      <w:rPr>
        <w:b/>
        <w:bCs/>
      </w:rPr>
    </w:tblStylePr>
    <w:tblStylePr w:type="band1Vert">
      <w:tblPr/>
      <w:tcPr>
        <w:shd w:val="clear" w:color="auto" w:fill="DFEBF4"/>
      </w:tcPr>
    </w:tblStylePr>
    <w:tblStylePr w:type="band1Horz">
      <w:tblPr/>
      <w:tcPr>
        <w:shd w:val="clear" w:color="auto" w:fill="DFEBF4"/>
      </w:tcPr>
    </w:tblStylePr>
  </w:style>
  <w:style w:type="table" w:customStyle="1" w:styleId="LightShading-Accent12111">
    <w:name w:val="Light Shading - Accent 12111"/>
    <w:basedOn w:val="TableNormal"/>
    <w:uiPriority w:val="60"/>
    <w:rsid w:val="00C1281D"/>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GridTable6Colorful-Accent51111">
    <w:name w:val="Grid Table 6 Colorful - Accent 51111"/>
    <w:basedOn w:val="TableNormal"/>
    <w:uiPriority w:val="51"/>
    <w:rsid w:val="00C1281D"/>
    <w:pPr>
      <w:spacing w:after="0" w:line="264" w:lineRule="auto"/>
    </w:pPr>
    <w:rPr>
      <w:rFonts w:ascii="Calibri" w:eastAsia="Calibri" w:hAnsi="Calibri" w:cs="Times New Roman"/>
      <w:color w:val="387AAA"/>
      <w:sz w:val="20"/>
      <w:szCs w:val="20"/>
    </w:rPr>
    <w:tblPr>
      <w:tblStyleRowBandSize w:val="1"/>
      <w:tblStyleColBandSize w:val="1"/>
      <w:tblBorders>
        <w:top w:val="single" w:sz="4" w:space="0" w:color="A1C5E0"/>
        <w:left w:val="single" w:sz="4" w:space="0" w:color="A1C5E0"/>
        <w:bottom w:val="single" w:sz="4" w:space="0" w:color="A1C5E0"/>
        <w:right w:val="single" w:sz="4" w:space="0" w:color="A1C5E0"/>
        <w:insideH w:val="single" w:sz="4" w:space="0" w:color="A1C5E0"/>
        <w:insideV w:val="single" w:sz="4" w:space="0" w:color="A1C5E0"/>
      </w:tblBorders>
    </w:tblPr>
    <w:tblStylePr w:type="firstRow">
      <w:rPr>
        <w:b/>
        <w:bCs/>
      </w:rPr>
      <w:tblPr/>
      <w:tcPr>
        <w:tcBorders>
          <w:bottom w:val="single" w:sz="12" w:space="0" w:color="A1C5E0"/>
        </w:tcBorders>
      </w:tcPr>
    </w:tblStylePr>
    <w:tblStylePr w:type="lastRow">
      <w:rPr>
        <w:b/>
        <w:bCs/>
      </w:rPr>
      <w:tblPr/>
      <w:tcPr>
        <w:tcBorders>
          <w:top w:val="double" w:sz="4" w:space="0" w:color="A1C5E0"/>
        </w:tcBorders>
      </w:tcPr>
    </w:tblStylePr>
    <w:tblStylePr w:type="firstCol">
      <w:rPr>
        <w:b/>
        <w:bCs/>
      </w:rPr>
    </w:tblStylePr>
    <w:tblStylePr w:type="lastCol">
      <w:rPr>
        <w:b/>
        <w:bCs/>
      </w:rPr>
    </w:tblStylePr>
    <w:tblStylePr w:type="band1Vert">
      <w:tblPr/>
      <w:tcPr>
        <w:shd w:val="clear" w:color="auto" w:fill="DFEBF4"/>
      </w:tcPr>
    </w:tblStylePr>
    <w:tblStylePr w:type="band1Horz">
      <w:tblPr/>
      <w:tcPr>
        <w:shd w:val="clear" w:color="auto" w:fill="DFEBF4"/>
      </w:tcPr>
    </w:tblStylePr>
  </w:style>
  <w:style w:type="table" w:customStyle="1" w:styleId="GridTable6Colorful-Accent121">
    <w:name w:val="Grid Table 6 Colorful - Accent 121"/>
    <w:basedOn w:val="TableNormal"/>
    <w:next w:val="GridTable6Colorful-Accent13"/>
    <w:uiPriority w:val="51"/>
    <w:rsid w:val="00C1281D"/>
    <w:pPr>
      <w:spacing w:after="0" w:line="264" w:lineRule="auto"/>
    </w:pPr>
    <w:rPr>
      <w:rFonts w:eastAsia="MS PGothic"/>
      <w:color w:val="BF2B0E"/>
      <w:sz w:val="20"/>
      <w:szCs w:val="20"/>
      <w:lang w:eastAsia="ja-JP"/>
    </w:rPr>
    <w:tblPr>
      <w:tblStyleRowBandSize w:val="1"/>
      <w:tblStyleColBandSize w:val="1"/>
      <w:tblBorders>
        <w:top w:val="single" w:sz="4" w:space="0" w:color="F58F7A"/>
        <w:left w:val="single" w:sz="4" w:space="0" w:color="F58F7A"/>
        <w:bottom w:val="single" w:sz="4" w:space="0" w:color="F58F7A"/>
        <w:right w:val="single" w:sz="4" w:space="0" w:color="F58F7A"/>
        <w:insideH w:val="single" w:sz="4" w:space="0" w:color="F58F7A"/>
        <w:insideV w:val="single" w:sz="4" w:space="0" w:color="F58F7A"/>
      </w:tblBorders>
    </w:tblPr>
    <w:tblStylePr w:type="firstRow">
      <w:rPr>
        <w:b/>
        <w:bCs/>
      </w:rPr>
      <w:tblPr/>
      <w:tcPr>
        <w:tcBorders>
          <w:bottom w:val="single" w:sz="12" w:space="0" w:color="F58F7A"/>
        </w:tcBorders>
      </w:tcPr>
    </w:tblStylePr>
    <w:tblStylePr w:type="lastRow">
      <w:rPr>
        <w:b/>
        <w:bCs/>
      </w:rPr>
      <w:tblPr/>
      <w:tcPr>
        <w:tcBorders>
          <w:top w:val="double" w:sz="4" w:space="0" w:color="F58F7A"/>
        </w:tcBorders>
      </w:tcPr>
    </w:tblStylePr>
    <w:tblStylePr w:type="firstCol">
      <w:rPr>
        <w:b/>
        <w:bCs/>
      </w:rPr>
    </w:tblStylePr>
    <w:tblStylePr w:type="lastCol">
      <w:rPr>
        <w:b/>
        <w:bCs/>
      </w:rPr>
    </w:tblStylePr>
    <w:tblStylePr w:type="band1Vert">
      <w:tblPr/>
      <w:tcPr>
        <w:shd w:val="clear" w:color="auto" w:fill="FBD9D2"/>
      </w:tcPr>
    </w:tblStylePr>
    <w:tblStylePr w:type="band1Horz">
      <w:tblPr/>
      <w:tcPr>
        <w:shd w:val="clear" w:color="auto" w:fill="FBD9D2"/>
      </w:tcPr>
    </w:tblStylePr>
  </w:style>
  <w:style w:type="table" w:customStyle="1" w:styleId="LightShading-Accent12211">
    <w:name w:val="Light Shading - Accent 12211"/>
    <w:basedOn w:val="TableNormal"/>
    <w:uiPriority w:val="60"/>
    <w:rsid w:val="00C1281D"/>
    <w:pPr>
      <w:spacing w:after="0" w:line="240"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GridTable6Colorful-Accent5211">
    <w:name w:val="Grid Table 6 Colorful - Accent 5211"/>
    <w:basedOn w:val="TableNormal"/>
    <w:next w:val="GridTable6Colorful-Accent54"/>
    <w:uiPriority w:val="51"/>
    <w:rsid w:val="00C1281D"/>
    <w:pPr>
      <w:spacing w:after="0" w:line="240" w:lineRule="auto"/>
    </w:pPr>
    <w:rPr>
      <w:rFonts w:ascii="Calibri" w:eastAsia="Calibri" w:hAnsi="Calibri" w:cs="Times New Roman"/>
      <w:color w:val="C19300"/>
      <w:sz w:val="20"/>
      <w:szCs w:val="20"/>
    </w:rPr>
    <w:tblPr>
      <w:tblStyleRowBandSize w:val="1"/>
      <w:tblStyleColBandSize w:val="1"/>
      <w:tblBorders>
        <w:top w:val="single" w:sz="4" w:space="0" w:color="FEDA69"/>
        <w:left w:val="single" w:sz="4" w:space="0" w:color="FEDA69"/>
        <w:bottom w:val="single" w:sz="4" w:space="0" w:color="FEDA69"/>
        <w:right w:val="single" w:sz="4" w:space="0" w:color="FEDA69"/>
        <w:insideH w:val="single" w:sz="4" w:space="0" w:color="FEDA69"/>
        <w:insideV w:val="single" w:sz="4" w:space="0" w:color="FEDA69"/>
      </w:tblBorders>
    </w:tblPr>
    <w:tblStylePr w:type="firstRow">
      <w:rPr>
        <w:b/>
        <w:bCs/>
      </w:rPr>
      <w:tblPr/>
      <w:tcPr>
        <w:tcBorders>
          <w:bottom w:val="single" w:sz="12" w:space="0" w:color="FEDA69"/>
        </w:tcBorders>
      </w:tcPr>
    </w:tblStylePr>
    <w:tblStylePr w:type="lastRow">
      <w:rPr>
        <w:b/>
        <w:bCs/>
      </w:rPr>
      <w:tblPr/>
      <w:tcPr>
        <w:tcBorders>
          <w:top w:val="double" w:sz="4" w:space="0" w:color="FEDA69"/>
        </w:tcBorders>
      </w:tcPr>
    </w:tblStylePr>
    <w:tblStylePr w:type="firstCol">
      <w:rPr>
        <w:b/>
        <w:bCs/>
      </w:rPr>
    </w:tblStylePr>
    <w:tblStylePr w:type="lastCol">
      <w:rPr>
        <w:b/>
        <w:bCs/>
      </w:rPr>
    </w:tblStylePr>
    <w:tblStylePr w:type="band1Vert">
      <w:tblPr/>
      <w:tcPr>
        <w:shd w:val="clear" w:color="auto" w:fill="FEF2CD"/>
      </w:tcPr>
    </w:tblStylePr>
    <w:tblStylePr w:type="band1Horz">
      <w:tblPr/>
      <w:tcPr>
        <w:shd w:val="clear" w:color="auto" w:fill="FEF2CD"/>
      </w:tcPr>
    </w:tblStylePr>
  </w:style>
  <w:style w:type="table" w:customStyle="1" w:styleId="tabele341">
    <w:name w:val="tabele 341"/>
    <w:basedOn w:val="TableNormal"/>
    <w:next w:val="LightList-Accent3"/>
    <w:uiPriority w:val="61"/>
    <w:rsid w:val="00C1281D"/>
    <w:pPr>
      <w:spacing w:after="0" w:line="240" w:lineRule="auto"/>
    </w:pPr>
    <w:rPr>
      <w:rFonts w:ascii="Cambria Math" w:eastAsia="Calibri" w:hAnsi="Cambria Math" w:cs="Times New Roman"/>
      <w:sz w:val="18"/>
      <w:lang w:val="sr-Cyrl-C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ghtShading-Accent11101">
    <w:name w:val="Light Shading - Accent 11101"/>
    <w:basedOn w:val="TableNormal"/>
    <w:uiPriority w:val="60"/>
    <w:rsid w:val="00C1281D"/>
    <w:pPr>
      <w:spacing w:after="0" w:line="240" w:lineRule="auto"/>
      <w:ind w:left="568" w:hanging="284"/>
    </w:pPr>
    <w:rPr>
      <w:rFonts w:ascii="Calibri" w:eastAsia="Calibri"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351">
    <w:name w:val="Light Shading - Accent 351"/>
    <w:basedOn w:val="TableNormal"/>
    <w:next w:val="LightShading-Accent3"/>
    <w:uiPriority w:val="60"/>
    <w:rsid w:val="00C1281D"/>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List-Accent551">
    <w:name w:val="Light List - Accent 551"/>
    <w:basedOn w:val="TableNormal"/>
    <w:next w:val="LightList-Accent5"/>
    <w:uiPriority w:val="61"/>
    <w:rsid w:val="00C1281D"/>
    <w:pPr>
      <w:spacing w:after="0" w:line="240" w:lineRule="auto"/>
    </w:pPr>
    <w:rPr>
      <w:rFonts w:ascii="Calibri" w:eastAsia="Calibri" w:hAnsi="Calibri" w:cs="Times New Roman"/>
      <w:sz w:val="20"/>
      <w:szCs w:val="20"/>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LightShading-Accent3141">
    <w:name w:val="Light Shading - Accent 3141"/>
    <w:basedOn w:val="TableNormal"/>
    <w:next w:val="LightShading-Accent3"/>
    <w:uiPriority w:val="60"/>
    <w:rsid w:val="00C1281D"/>
    <w:pPr>
      <w:spacing w:after="0" w:line="240" w:lineRule="auto"/>
    </w:pPr>
    <w:rPr>
      <w:rFonts w:ascii="Constantia" w:eastAsia="Constantia" w:hAnsi="Constantia" w:cs="Times New Roman"/>
      <w:color w:val="8CADAE"/>
      <w:lang w:val="sr-Cyrl-CS"/>
    </w:rPr>
    <w:tblPr>
      <w:tblStyleRowBandSize w:val="1"/>
      <w:tblStyleColBandSize w:val="1"/>
      <w:tblBorders>
        <w:top w:val="single" w:sz="8" w:space="0" w:color="8CADAE"/>
        <w:bottom w:val="single" w:sz="8" w:space="0" w:color="8CADAE"/>
      </w:tblBorders>
    </w:tblPr>
    <w:tblStylePr w:type="firstRow">
      <w:pPr>
        <w:spacing w:before="0" w:after="0" w:line="240" w:lineRule="auto"/>
      </w:pPr>
      <w:rPr>
        <w:b/>
        <w:bCs/>
      </w:rPr>
      <w:tblPr/>
      <w:tcPr>
        <w:tcBorders>
          <w:top w:val="single" w:sz="8" w:space="0" w:color="8CADAE"/>
          <w:left w:val="nil"/>
          <w:bottom w:val="single" w:sz="8" w:space="0" w:color="8CADAE"/>
          <w:right w:val="nil"/>
          <w:insideH w:val="nil"/>
          <w:insideV w:val="nil"/>
        </w:tcBorders>
      </w:tcPr>
    </w:tblStylePr>
    <w:tblStylePr w:type="lastRow">
      <w:pPr>
        <w:spacing w:before="0" w:after="0" w:line="240" w:lineRule="auto"/>
      </w:pPr>
      <w:rPr>
        <w:b/>
        <w:bCs/>
      </w:rPr>
      <w:tblPr/>
      <w:tcPr>
        <w:tcBorders>
          <w:top w:val="single" w:sz="8" w:space="0" w:color="8CADAE"/>
          <w:left w:val="nil"/>
          <w:bottom w:val="single" w:sz="8" w:space="0" w:color="8CADA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AEB"/>
      </w:tcPr>
    </w:tblStylePr>
    <w:tblStylePr w:type="band1Horz">
      <w:tblPr/>
      <w:tcPr>
        <w:tcBorders>
          <w:left w:val="nil"/>
          <w:right w:val="nil"/>
          <w:insideH w:val="nil"/>
          <w:insideV w:val="nil"/>
        </w:tcBorders>
        <w:shd w:val="clear" w:color="auto" w:fill="E2EAEB"/>
      </w:tcPr>
    </w:tblStylePr>
  </w:style>
  <w:style w:type="table" w:customStyle="1" w:styleId="LightList-Accent3151">
    <w:name w:val="Light List - Accent 3151"/>
    <w:basedOn w:val="TableNormal"/>
    <w:next w:val="LightList-Accent3"/>
    <w:uiPriority w:val="61"/>
    <w:rsid w:val="00C1281D"/>
    <w:pPr>
      <w:spacing w:after="0" w:line="240" w:lineRule="auto"/>
    </w:pPr>
    <w:rPr>
      <w:rFonts w:ascii="Constantia" w:eastAsia="Constantia" w:hAnsi="Constantia" w:cs="Times New Roman"/>
      <w:lang w:val="sr-Cyrl-CS"/>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TableGrid111">
    <w:name w:val="Table Grid111"/>
    <w:basedOn w:val="TableNormal"/>
    <w:next w:val="TableGrid"/>
    <w:uiPriority w:val="59"/>
    <w:rsid w:val="00C1281D"/>
    <w:pPr>
      <w:spacing w:after="0" w:line="240" w:lineRule="auto"/>
    </w:pPr>
    <w:rPr>
      <w:rFonts w:ascii="Constantia" w:eastAsia="Constantia" w:hAnsi="Constantia" w:cs="Times New Roman"/>
      <w:lang w:val="sr-Cyrl-C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List-Accent5141">
    <w:name w:val="Light List - Accent 5141"/>
    <w:basedOn w:val="TableNormal"/>
    <w:next w:val="LightList-Accent5"/>
    <w:uiPriority w:val="61"/>
    <w:rsid w:val="00C1281D"/>
    <w:pPr>
      <w:spacing w:after="0" w:line="240" w:lineRule="auto"/>
    </w:pPr>
    <w:rPr>
      <w:rFonts w:ascii="Times New Roman" w:eastAsia="Constantia" w:hAnsi="Times New Roman" w:cs="Times New Roman"/>
      <w:lang w:val="sr-Cyrl-CS"/>
    </w:rPr>
    <w:tblPr>
      <w:tblStyleRowBandSize w:val="1"/>
      <w:tblStyleColBandSize w:val="1"/>
      <w:tblBorders>
        <w:top w:val="single" w:sz="8" w:space="0" w:color="8FB08C"/>
        <w:left w:val="single" w:sz="8" w:space="0" w:color="8FB08C"/>
        <w:bottom w:val="single" w:sz="8" w:space="0" w:color="8FB08C"/>
        <w:right w:val="single" w:sz="8" w:space="0" w:color="8FB08C"/>
      </w:tblBorders>
    </w:tblPr>
    <w:tblStylePr w:type="firstRow">
      <w:pPr>
        <w:spacing w:before="0" w:after="0" w:line="240" w:lineRule="auto"/>
      </w:pPr>
      <w:rPr>
        <w:b/>
        <w:bCs/>
        <w:color w:val="FFFFFF"/>
      </w:rPr>
      <w:tblPr/>
      <w:tcPr>
        <w:shd w:val="clear" w:color="auto" w:fill="8FB08C"/>
      </w:tcPr>
    </w:tblStylePr>
    <w:tblStylePr w:type="lastRow">
      <w:pPr>
        <w:spacing w:before="0" w:after="0" w:line="240" w:lineRule="auto"/>
      </w:pPr>
      <w:rPr>
        <w:b/>
        <w:bCs/>
      </w:rPr>
      <w:tblPr/>
      <w:tcPr>
        <w:tcBorders>
          <w:top w:val="double" w:sz="6" w:space="0" w:color="8FB08C"/>
          <w:left w:val="single" w:sz="8" w:space="0" w:color="8FB08C"/>
          <w:bottom w:val="single" w:sz="8" w:space="0" w:color="8FB08C"/>
          <w:right w:val="single" w:sz="8" w:space="0" w:color="8FB08C"/>
        </w:tcBorders>
      </w:tcPr>
    </w:tblStylePr>
    <w:tblStylePr w:type="firstCol">
      <w:rPr>
        <w:b/>
        <w:bCs/>
      </w:rPr>
    </w:tblStylePr>
    <w:tblStylePr w:type="lastCol">
      <w:rPr>
        <w:b/>
        <w:bCs/>
      </w:rPr>
    </w:tblStylePr>
    <w:tblStylePr w:type="band1Vert">
      <w:tblPr/>
      <w:tcPr>
        <w:tcBorders>
          <w:top w:val="single" w:sz="8" w:space="0" w:color="8FB08C"/>
          <w:left w:val="single" w:sz="8" w:space="0" w:color="8FB08C"/>
          <w:bottom w:val="single" w:sz="8" w:space="0" w:color="8FB08C"/>
          <w:right w:val="single" w:sz="8" w:space="0" w:color="8FB08C"/>
        </w:tcBorders>
      </w:tcPr>
    </w:tblStylePr>
    <w:tblStylePr w:type="band1Horz">
      <w:tblPr/>
      <w:tcPr>
        <w:tcBorders>
          <w:top w:val="single" w:sz="8" w:space="0" w:color="8FB08C"/>
          <w:left w:val="single" w:sz="8" w:space="0" w:color="8FB08C"/>
          <w:bottom w:val="single" w:sz="8" w:space="0" w:color="8FB08C"/>
          <w:right w:val="single" w:sz="8" w:space="0" w:color="8FB08C"/>
        </w:tcBorders>
      </w:tcPr>
    </w:tblStylePr>
  </w:style>
  <w:style w:type="table" w:customStyle="1" w:styleId="MediumList1-Accent5111">
    <w:name w:val="Medium List 1 - Accent 5111"/>
    <w:basedOn w:val="TableNormal"/>
    <w:next w:val="MediumList1-Accent5"/>
    <w:uiPriority w:val="65"/>
    <w:rsid w:val="00C1281D"/>
    <w:pPr>
      <w:spacing w:after="0" w:line="240" w:lineRule="auto"/>
    </w:pPr>
    <w:rPr>
      <w:rFonts w:ascii="Constantia" w:eastAsia="Constantia" w:hAnsi="Constantia" w:cs="Times New Roman"/>
      <w:color w:val="000000"/>
      <w:lang w:val="sr-Cyrl-CS"/>
    </w:rPr>
    <w:tblPr>
      <w:tblStyleRowBandSize w:val="1"/>
      <w:tblStyleColBandSize w:val="1"/>
      <w:tblBorders>
        <w:top w:val="single" w:sz="8" w:space="0" w:color="8FB08C"/>
        <w:bottom w:val="single" w:sz="8" w:space="0" w:color="8FB08C"/>
      </w:tblBorders>
    </w:tblPr>
    <w:tblStylePr w:type="firstRow">
      <w:rPr>
        <w:rFonts w:ascii="Consolas" w:eastAsia="Times New Roman" w:hAnsi="Consolas" w:cs="Times New Roman"/>
      </w:rPr>
      <w:tblPr/>
      <w:tcPr>
        <w:tcBorders>
          <w:top w:val="nil"/>
          <w:bottom w:val="single" w:sz="8" w:space="0" w:color="8FB08C"/>
        </w:tcBorders>
      </w:tcPr>
    </w:tblStylePr>
    <w:tblStylePr w:type="lastRow">
      <w:rPr>
        <w:b/>
        <w:bCs/>
        <w:color w:val="646B86"/>
      </w:rPr>
      <w:tblPr/>
      <w:tcPr>
        <w:tcBorders>
          <w:top w:val="single" w:sz="8" w:space="0" w:color="8FB08C"/>
          <w:bottom w:val="single" w:sz="8" w:space="0" w:color="8FB08C"/>
        </w:tcBorders>
      </w:tcPr>
    </w:tblStylePr>
    <w:tblStylePr w:type="firstCol">
      <w:rPr>
        <w:b/>
        <w:bCs/>
      </w:rPr>
    </w:tblStylePr>
    <w:tblStylePr w:type="lastCol">
      <w:rPr>
        <w:b/>
        <w:bCs/>
      </w:rPr>
      <w:tblPr/>
      <w:tcPr>
        <w:tcBorders>
          <w:top w:val="single" w:sz="8" w:space="0" w:color="8FB08C"/>
          <w:bottom w:val="single" w:sz="8" w:space="0" w:color="8FB08C"/>
        </w:tcBorders>
      </w:tcPr>
    </w:tblStylePr>
    <w:tblStylePr w:type="band1Vert">
      <w:tblPr/>
      <w:tcPr>
        <w:shd w:val="clear" w:color="auto" w:fill="E3EBE2"/>
      </w:tcPr>
    </w:tblStylePr>
    <w:tblStylePr w:type="band1Horz">
      <w:tblPr/>
      <w:tcPr>
        <w:shd w:val="clear" w:color="auto" w:fill="E3EBE2"/>
      </w:tcPr>
    </w:tblStylePr>
  </w:style>
  <w:style w:type="table" w:customStyle="1" w:styleId="MediumList1-Accent521">
    <w:name w:val="Medium List 1 - Accent 521"/>
    <w:basedOn w:val="TableNormal"/>
    <w:next w:val="MediumList1-Accent5"/>
    <w:uiPriority w:val="65"/>
    <w:rsid w:val="00C1281D"/>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4BACC6"/>
        <w:bottom w:val="single" w:sz="8" w:space="0" w:color="4BACC6"/>
      </w:tblBorders>
    </w:tblPr>
    <w:tblStylePr w:type="firstRow">
      <w:rPr>
        <w:rFonts w:ascii="Times New Roman" w:eastAsia="Times New Roman" w:hAnsi="Times New Roman" w:cs="Times New Roman"/>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numbering" w:customStyle="1" w:styleId="NoList1111">
    <w:name w:val="No List1111"/>
    <w:next w:val="NoList"/>
    <w:uiPriority w:val="99"/>
    <w:semiHidden/>
    <w:unhideWhenUsed/>
    <w:rsid w:val="00C1281D"/>
  </w:style>
  <w:style w:type="table" w:customStyle="1" w:styleId="LightGrid-Accent5151">
    <w:name w:val="Light Grid - Accent 5151"/>
    <w:basedOn w:val="TableNormal"/>
    <w:next w:val="LightGrid-Accent5"/>
    <w:uiPriority w:val="62"/>
    <w:rsid w:val="00C1281D"/>
    <w:pPr>
      <w:spacing w:after="0" w:line="240" w:lineRule="auto"/>
    </w:pPr>
    <w:rPr>
      <w:rFonts w:ascii="Calibri" w:eastAsia="Calibri" w:hAnsi="Calibri" w:cs="Times New Roman"/>
      <w:sz w:val="20"/>
      <w:szCs w:val="20"/>
      <w:lang w:val="sr-Latn-CS" w:eastAsia="en-GB"/>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Verdana" w:eastAsia="Times New Roman" w:hAnsi="Verdan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Verdana" w:eastAsia="Times New Roman" w:hAnsi="Verdan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Verdana" w:eastAsia="Times New Roman" w:hAnsi="Verdana" w:cs="Times New Roman"/>
        <w:b/>
        <w:bCs/>
      </w:rPr>
    </w:tblStylePr>
    <w:tblStylePr w:type="lastCol">
      <w:rPr>
        <w:rFonts w:ascii="Verdana" w:eastAsia="Times New Roman" w:hAnsi="Verdan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1141">
    <w:name w:val="Светло сенчење – наглашавање 1141"/>
    <w:basedOn w:val="TableNormal"/>
    <w:uiPriority w:val="60"/>
    <w:rsid w:val="00C1281D"/>
    <w:pPr>
      <w:spacing w:after="0" w:line="240" w:lineRule="auto"/>
    </w:pPr>
    <w:rPr>
      <w:rFonts w:ascii="Calibri" w:eastAsia="Calibri" w:hAnsi="Calibri" w:cs="Times New Roman"/>
      <w:color w:val="365F91"/>
      <w:sz w:val="20"/>
      <w:szCs w:val="20"/>
      <w:lang w:val="sr-Latn-CS" w:eastAsia="en-GB"/>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Grid-Accent561">
    <w:name w:val="Light Grid - Accent 561"/>
    <w:basedOn w:val="TableNormal"/>
    <w:next w:val="LightGrid-Accent5"/>
    <w:uiPriority w:val="62"/>
    <w:rsid w:val="00C1281D"/>
    <w:pPr>
      <w:spacing w:after="0" w:line="240" w:lineRule="auto"/>
    </w:pPr>
    <w:rPr>
      <w:rFonts w:ascii="Calibri" w:eastAsia="Calibri" w:hAnsi="Calibri" w:cs="Times New Roman"/>
      <w:sz w:val="20"/>
      <w:szCs w:val="20"/>
      <w:lang w:val="en-GB" w:eastAsia="en-GB"/>
    </w:rPr>
    <w:tblPr>
      <w:tblStyleRowBandSize w:val="1"/>
      <w:tblStyleColBandSize w:val="1"/>
      <w:tblBorders>
        <w:top w:val="single" w:sz="8" w:space="0" w:color="8FB08C"/>
        <w:left w:val="single" w:sz="8" w:space="0" w:color="8FB08C"/>
        <w:bottom w:val="single" w:sz="8" w:space="0" w:color="8FB08C"/>
        <w:right w:val="single" w:sz="8" w:space="0" w:color="8FB08C"/>
        <w:insideH w:val="single" w:sz="8" w:space="0" w:color="8FB08C"/>
        <w:insideV w:val="single" w:sz="8" w:space="0" w:color="8FB08C"/>
      </w:tblBorders>
    </w:tblPr>
    <w:tblStylePr w:type="firstRow">
      <w:pPr>
        <w:spacing w:before="0" w:after="0" w:line="240" w:lineRule="auto"/>
      </w:pPr>
      <w:rPr>
        <w:rFonts w:ascii="Verdana" w:eastAsia="Times New Roman" w:hAnsi="Verdana" w:cs="Times New Roman"/>
        <w:b/>
        <w:bCs/>
      </w:rPr>
      <w:tblPr/>
      <w:tcPr>
        <w:tcBorders>
          <w:top w:val="single" w:sz="8" w:space="0" w:color="8FB08C"/>
          <w:left w:val="single" w:sz="8" w:space="0" w:color="8FB08C"/>
          <w:bottom w:val="single" w:sz="18" w:space="0" w:color="8FB08C"/>
          <w:right w:val="single" w:sz="8" w:space="0" w:color="8FB08C"/>
          <w:insideH w:val="nil"/>
          <w:insideV w:val="single" w:sz="8" w:space="0" w:color="8FB08C"/>
        </w:tcBorders>
      </w:tcPr>
    </w:tblStylePr>
    <w:tblStylePr w:type="lastRow">
      <w:pPr>
        <w:spacing w:before="0" w:after="0" w:line="240" w:lineRule="auto"/>
      </w:pPr>
      <w:rPr>
        <w:rFonts w:ascii="Verdana" w:eastAsia="Times New Roman" w:hAnsi="Verdana" w:cs="Times New Roman"/>
        <w:b/>
        <w:bCs/>
      </w:rPr>
      <w:tblPr/>
      <w:tcPr>
        <w:tcBorders>
          <w:top w:val="double" w:sz="6" w:space="0" w:color="8FB08C"/>
          <w:left w:val="single" w:sz="8" w:space="0" w:color="8FB08C"/>
          <w:bottom w:val="single" w:sz="8" w:space="0" w:color="8FB08C"/>
          <w:right w:val="single" w:sz="8" w:space="0" w:color="8FB08C"/>
          <w:insideH w:val="nil"/>
          <w:insideV w:val="single" w:sz="8" w:space="0" w:color="8FB08C"/>
        </w:tcBorders>
      </w:tcPr>
    </w:tblStylePr>
    <w:tblStylePr w:type="firstCol">
      <w:rPr>
        <w:rFonts w:ascii="Verdana" w:eastAsia="Times New Roman" w:hAnsi="Verdana" w:cs="Times New Roman"/>
        <w:b/>
        <w:bCs/>
      </w:rPr>
    </w:tblStylePr>
    <w:tblStylePr w:type="lastCol">
      <w:rPr>
        <w:rFonts w:ascii="Verdana" w:eastAsia="Times New Roman" w:hAnsi="Verdana" w:cs="Times New Roman"/>
        <w:b/>
        <w:bCs/>
      </w:rPr>
      <w:tblPr/>
      <w:tcPr>
        <w:tcBorders>
          <w:top w:val="single" w:sz="8" w:space="0" w:color="8FB08C"/>
          <w:left w:val="single" w:sz="8" w:space="0" w:color="8FB08C"/>
          <w:bottom w:val="single" w:sz="8" w:space="0" w:color="8FB08C"/>
          <w:right w:val="single" w:sz="8" w:space="0" w:color="8FB08C"/>
        </w:tcBorders>
      </w:tcPr>
    </w:tblStylePr>
    <w:tblStylePr w:type="band1Vert">
      <w:tblPr/>
      <w:tcPr>
        <w:tcBorders>
          <w:top w:val="single" w:sz="8" w:space="0" w:color="8FB08C"/>
          <w:left w:val="single" w:sz="8" w:space="0" w:color="8FB08C"/>
          <w:bottom w:val="single" w:sz="8" w:space="0" w:color="8FB08C"/>
          <w:right w:val="single" w:sz="8" w:space="0" w:color="8FB08C"/>
        </w:tcBorders>
        <w:shd w:val="clear" w:color="auto" w:fill="E3EBE2"/>
      </w:tcPr>
    </w:tblStylePr>
    <w:tblStylePr w:type="band1Horz">
      <w:tblPr/>
      <w:tcPr>
        <w:tcBorders>
          <w:top w:val="single" w:sz="8" w:space="0" w:color="8FB08C"/>
          <w:left w:val="single" w:sz="8" w:space="0" w:color="8FB08C"/>
          <w:bottom w:val="single" w:sz="8" w:space="0" w:color="8FB08C"/>
          <w:right w:val="single" w:sz="8" w:space="0" w:color="8FB08C"/>
          <w:insideV w:val="single" w:sz="8" w:space="0" w:color="8FB08C"/>
        </w:tcBorders>
        <w:shd w:val="clear" w:color="auto" w:fill="E3EBE2"/>
      </w:tcPr>
    </w:tblStylePr>
    <w:tblStylePr w:type="band2Horz">
      <w:tblPr/>
      <w:tcPr>
        <w:tcBorders>
          <w:top w:val="single" w:sz="8" w:space="0" w:color="8FB08C"/>
          <w:left w:val="single" w:sz="8" w:space="0" w:color="8FB08C"/>
          <w:bottom w:val="single" w:sz="8" w:space="0" w:color="8FB08C"/>
          <w:right w:val="single" w:sz="8" w:space="0" w:color="8FB08C"/>
          <w:insideV w:val="single" w:sz="8" w:space="0" w:color="8FB08C"/>
        </w:tcBorders>
      </w:tcPr>
    </w:tblStylePr>
  </w:style>
  <w:style w:type="table" w:customStyle="1" w:styleId="tabelezaifs110">
    <w:name w:val="tabele za ifs11"/>
    <w:basedOn w:val="TableNormal"/>
    <w:uiPriority w:val="99"/>
    <w:qFormat/>
    <w:rsid w:val="00C1281D"/>
    <w:pPr>
      <w:spacing w:after="0" w:line="240" w:lineRule="auto"/>
    </w:pPr>
    <w:rPr>
      <w:rFonts w:ascii="Cambria Math" w:eastAsia="Calibri" w:hAnsi="Cambria Math" w:cs="Times New Roman"/>
      <w:sz w:val="20"/>
      <w:szCs w:val="20"/>
      <w:lang w:val="en-GB" w:eastAsia="en-GB"/>
    </w:rPr>
    <w:tblPr/>
  </w:style>
  <w:style w:type="table" w:customStyle="1" w:styleId="tabelezaifs111">
    <w:name w:val="tabele za ifs 111"/>
    <w:basedOn w:val="TableNormal"/>
    <w:uiPriority w:val="66"/>
    <w:rsid w:val="00C1281D"/>
    <w:pPr>
      <w:spacing w:after="0" w:line="240" w:lineRule="auto"/>
    </w:pPr>
    <w:rPr>
      <w:rFonts w:ascii="Cambria Math" w:eastAsia="Times New Roman" w:hAnsi="Cambria Math" w:cs="Times New Roman"/>
      <w:color w:val="000000"/>
      <w:sz w:val="20"/>
      <w:szCs w:val="20"/>
      <w:lang w:val="en-GB" w:eastAsia="en-GB"/>
    </w:rPr>
    <w:tblPr>
      <w:tblStyleRowBandSize w:val="1"/>
      <w:tblStyleColBandSize w:val="1"/>
      <w:tblBorders>
        <w:top w:val="single" w:sz="8" w:space="0" w:color="8CADAE"/>
        <w:left w:val="single" w:sz="8" w:space="0" w:color="8CADAE"/>
        <w:bottom w:val="single" w:sz="8" w:space="0" w:color="8CADAE"/>
        <w:right w:val="single" w:sz="8" w:space="0" w:color="8CADAE"/>
      </w:tblBorders>
    </w:tblPr>
    <w:tcPr>
      <w:vAlign w:val="bottom"/>
    </w:tcPr>
    <w:tblStylePr w:type="firstRow">
      <w:rPr>
        <w:sz w:val="24"/>
        <w:szCs w:val="24"/>
      </w:rPr>
      <w:tblPr/>
      <w:tcPr>
        <w:tcBorders>
          <w:top w:val="nil"/>
          <w:left w:val="nil"/>
          <w:bottom w:val="single" w:sz="24" w:space="0" w:color="8CADAE"/>
          <w:right w:val="nil"/>
          <w:insideH w:val="nil"/>
          <w:insideV w:val="nil"/>
        </w:tcBorders>
        <w:shd w:val="clear" w:color="auto" w:fill="FFFFFF"/>
      </w:tcPr>
    </w:tblStylePr>
    <w:tblStylePr w:type="lastRow">
      <w:tblPr/>
      <w:tcPr>
        <w:tcBorders>
          <w:top w:val="single" w:sz="8" w:space="0" w:color="8CADAE"/>
          <w:left w:val="nil"/>
          <w:bottom w:val="nil"/>
          <w:right w:val="nil"/>
          <w:insideH w:val="nil"/>
          <w:insideV w:val="nil"/>
        </w:tcBorders>
        <w:shd w:val="clear" w:color="auto" w:fill="FFFFFF"/>
      </w:tcPr>
    </w:tblStylePr>
    <w:tblStylePr w:type="firstCol">
      <w:tblPr/>
      <w:tcPr>
        <w:tcBorders>
          <w:top w:val="nil"/>
          <w:left w:val="nil"/>
          <w:bottom w:val="nil"/>
          <w:right w:val="single" w:sz="8" w:space="0" w:color="8CADAE"/>
          <w:insideH w:val="nil"/>
          <w:insideV w:val="nil"/>
        </w:tcBorders>
        <w:shd w:val="clear" w:color="auto" w:fill="FFFFFF"/>
      </w:tcPr>
    </w:tblStylePr>
    <w:tblStylePr w:type="lastCol">
      <w:tblPr/>
      <w:tcPr>
        <w:tcBorders>
          <w:top w:val="nil"/>
          <w:left w:val="single" w:sz="8" w:space="0" w:color="8CADAE"/>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2EAEB"/>
      </w:tcPr>
    </w:tblStylePr>
    <w:tblStylePr w:type="band1Horz">
      <w:tblPr/>
      <w:tcPr>
        <w:tcBorders>
          <w:top w:val="nil"/>
          <w:bottom w:val="nil"/>
          <w:insideH w:val="nil"/>
          <w:insideV w:val="nil"/>
        </w:tcBorders>
        <w:shd w:val="clear" w:color="auto" w:fill="E2EAEB"/>
      </w:tcPr>
    </w:tblStylePr>
    <w:tblStylePr w:type="nwCell">
      <w:tblPr/>
      <w:tcPr>
        <w:shd w:val="clear" w:color="auto" w:fill="FFFFFF"/>
      </w:tcPr>
    </w:tblStylePr>
    <w:tblStylePr w:type="swCell">
      <w:tblPr/>
      <w:tcPr>
        <w:tcBorders>
          <w:top w:val="nil"/>
        </w:tcBorders>
      </w:tcPr>
    </w:tblStylePr>
  </w:style>
  <w:style w:type="table" w:customStyle="1" w:styleId="ColorfulList-Accent111">
    <w:name w:val="Colorful List - Accent 111"/>
    <w:basedOn w:val="TableNormal"/>
    <w:next w:val="ColorfulList-Accent1"/>
    <w:uiPriority w:val="72"/>
    <w:rsid w:val="00C1281D"/>
    <w:pPr>
      <w:spacing w:after="0" w:line="240" w:lineRule="auto"/>
    </w:pPr>
    <w:rPr>
      <w:rFonts w:ascii="Calibri" w:eastAsia="Calibri" w:hAnsi="Calibri" w:cs="Times New Roman"/>
      <w:color w:val="000000"/>
      <w:sz w:val="20"/>
      <w:szCs w:val="20"/>
      <w:lang w:val="en-GB" w:eastAsia="en-GB"/>
    </w:rPr>
    <w:tblPr>
      <w:tblStyleRowBandSize w:val="1"/>
      <w:tblStyleColBandSize w:val="1"/>
    </w:tblPr>
    <w:tcPr>
      <w:shd w:val="clear" w:color="auto" w:fill="FAEFEC"/>
    </w:tcPr>
    <w:tblStylePr w:type="firstRow">
      <w:rPr>
        <w:b/>
        <w:bCs/>
        <w:color w:val="FFFFFF"/>
      </w:rPr>
      <w:tblPr/>
      <w:tcPr>
        <w:tcBorders>
          <w:bottom w:val="single" w:sz="12" w:space="0" w:color="FFFFFF"/>
        </w:tcBorders>
        <w:shd w:val="clear" w:color="auto" w:fill="A38F00"/>
      </w:tcPr>
    </w:tblStylePr>
    <w:tblStylePr w:type="lastRow">
      <w:rPr>
        <w:b/>
        <w:bCs/>
        <w:color w:val="A38F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3D8D2"/>
      </w:tcPr>
    </w:tblStylePr>
    <w:tblStylePr w:type="band1Horz">
      <w:tblPr/>
      <w:tcPr>
        <w:shd w:val="clear" w:color="auto" w:fill="F5DFDA"/>
      </w:tcPr>
    </w:tblStylePr>
  </w:style>
  <w:style w:type="numbering" w:customStyle="1" w:styleId="NoList211">
    <w:name w:val="No List211"/>
    <w:next w:val="NoList"/>
    <w:uiPriority w:val="99"/>
    <w:semiHidden/>
    <w:unhideWhenUsed/>
    <w:rsid w:val="00C1281D"/>
  </w:style>
  <w:style w:type="table" w:customStyle="1" w:styleId="LightList-Accent3241">
    <w:name w:val="Light List - Accent 3241"/>
    <w:basedOn w:val="TableNormal"/>
    <w:next w:val="LightList-Accent3"/>
    <w:uiPriority w:val="61"/>
    <w:rsid w:val="00C1281D"/>
    <w:pPr>
      <w:spacing w:after="0" w:line="240" w:lineRule="auto"/>
    </w:pPr>
    <w:rPr>
      <w:rFonts w:ascii="Calibri" w:eastAsia="Calibri" w:hAnsi="Calibri" w:cs="Times New Roman"/>
      <w:sz w:val="20"/>
      <w:szCs w:val="20"/>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List-Accent31141">
    <w:name w:val="Light List - Accent 31141"/>
    <w:basedOn w:val="TableNormal"/>
    <w:next w:val="LightList-Accent3"/>
    <w:uiPriority w:val="61"/>
    <w:rsid w:val="00C1281D"/>
    <w:pPr>
      <w:spacing w:after="0" w:line="240" w:lineRule="auto"/>
    </w:pPr>
    <w:rPr>
      <w:rFonts w:ascii="Constantia" w:eastAsia="Constantia" w:hAnsi="Constantia" w:cs="Times New Roman"/>
      <w:lang w:val="sr-Cyrl-CS"/>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Shading-Accent13171">
    <w:name w:val="Light Shading - Accent 13171"/>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181">
    <w:name w:val="Light Shading - Accent 13181"/>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241">
    <w:name w:val="Light Shading - Accent 13241"/>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ele3111">
    <w:name w:val="tabele 3111"/>
    <w:basedOn w:val="TableNormal"/>
    <w:next w:val="LightList-Accent3"/>
    <w:uiPriority w:val="61"/>
    <w:rsid w:val="00C1281D"/>
    <w:pPr>
      <w:spacing w:after="0" w:line="240" w:lineRule="auto"/>
    </w:pPr>
    <w:rPr>
      <w:rFonts w:ascii="Cambria Math" w:eastAsia="Calibri" w:hAnsi="Cambria Math" w:cs="Times New Roman"/>
      <w:sz w:val="18"/>
      <w:lang w:val="sr-Cyrl-C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ghtShading-Accent11111">
    <w:name w:val="Light Shading - Accent 11111"/>
    <w:basedOn w:val="TableNormal"/>
    <w:uiPriority w:val="60"/>
    <w:rsid w:val="00C1281D"/>
    <w:pPr>
      <w:spacing w:after="0" w:line="240" w:lineRule="auto"/>
      <w:ind w:left="568" w:hanging="284"/>
    </w:pPr>
    <w:rPr>
      <w:rFonts w:ascii="Calibri" w:eastAsia="Calibri"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3211">
    <w:name w:val="Light Shading - Accent 3211"/>
    <w:basedOn w:val="TableNormal"/>
    <w:next w:val="LightShading-Accent3"/>
    <w:uiPriority w:val="60"/>
    <w:rsid w:val="00C1281D"/>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List-Accent5211">
    <w:name w:val="Light List - Accent 5211"/>
    <w:basedOn w:val="TableNormal"/>
    <w:next w:val="LightList-Accent5"/>
    <w:uiPriority w:val="61"/>
    <w:rsid w:val="00C1281D"/>
    <w:pPr>
      <w:spacing w:after="0" w:line="240" w:lineRule="auto"/>
    </w:pPr>
    <w:rPr>
      <w:rFonts w:ascii="Calibri" w:eastAsia="Calibri" w:hAnsi="Calibri" w:cs="Times New Roman"/>
      <w:sz w:val="20"/>
      <w:szCs w:val="20"/>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LightShading-Accent31111">
    <w:name w:val="Light Shading - Accent 31111"/>
    <w:basedOn w:val="TableNormal"/>
    <w:next w:val="LightShading-Accent3"/>
    <w:uiPriority w:val="60"/>
    <w:rsid w:val="00C1281D"/>
    <w:pPr>
      <w:spacing w:after="0" w:line="240" w:lineRule="auto"/>
    </w:pPr>
    <w:rPr>
      <w:rFonts w:ascii="Constantia" w:eastAsia="Constantia" w:hAnsi="Constantia" w:cs="Times New Roman"/>
      <w:color w:val="8CADAE"/>
      <w:lang w:val="sr-Cyrl-CS"/>
    </w:rPr>
    <w:tblPr>
      <w:tblStyleRowBandSize w:val="1"/>
      <w:tblStyleColBandSize w:val="1"/>
      <w:tblBorders>
        <w:top w:val="single" w:sz="8" w:space="0" w:color="8CADAE"/>
        <w:bottom w:val="single" w:sz="8" w:space="0" w:color="8CADAE"/>
      </w:tblBorders>
    </w:tblPr>
    <w:tblStylePr w:type="firstRow">
      <w:pPr>
        <w:spacing w:before="0" w:after="0" w:line="240" w:lineRule="auto"/>
      </w:pPr>
      <w:rPr>
        <w:b/>
        <w:bCs/>
      </w:rPr>
      <w:tblPr/>
      <w:tcPr>
        <w:tcBorders>
          <w:top w:val="single" w:sz="8" w:space="0" w:color="8CADAE"/>
          <w:left w:val="nil"/>
          <w:bottom w:val="single" w:sz="8" w:space="0" w:color="8CADAE"/>
          <w:right w:val="nil"/>
          <w:insideH w:val="nil"/>
          <w:insideV w:val="nil"/>
        </w:tcBorders>
      </w:tcPr>
    </w:tblStylePr>
    <w:tblStylePr w:type="lastRow">
      <w:pPr>
        <w:spacing w:before="0" w:after="0" w:line="240" w:lineRule="auto"/>
      </w:pPr>
      <w:rPr>
        <w:b/>
        <w:bCs/>
      </w:rPr>
      <w:tblPr/>
      <w:tcPr>
        <w:tcBorders>
          <w:top w:val="single" w:sz="8" w:space="0" w:color="8CADAE"/>
          <w:left w:val="nil"/>
          <w:bottom w:val="single" w:sz="8" w:space="0" w:color="8CADA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AEB"/>
      </w:tcPr>
    </w:tblStylePr>
    <w:tblStylePr w:type="band1Horz">
      <w:tblPr/>
      <w:tcPr>
        <w:tcBorders>
          <w:left w:val="nil"/>
          <w:right w:val="nil"/>
          <w:insideH w:val="nil"/>
          <w:insideV w:val="nil"/>
        </w:tcBorders>
        <w:shd w:val="clear" w:color="auto" w:fill="E2EAEB"/>
      </w:tcPr>
    </w:tblStylePr>
  </w:style>
  <w:style w:type="table" w:customStyle="1" w:styleId="LightList-Accent31211">
    <w:name w:val="Light List - Accent 31211"/>
    <w:basedOn w:val="TableNormal"/>
    <w:next w:val="LightList-Accent3"/>
    <w:uiPriority w:val="61"/>
    <w:rsid w:val="00C1281D"/>
    <w:pPr>
      <w:spacing w:after="0" w:line="240" w:lineRule="auto"/>
    </w:pPr>
    <w:rPr>
      <w:rFonts w:ascii="Constantia" w:eastAsia="Constantia" w:hAnsi="Constantia" w:cs="Times New Roman"/>
      <w:lang w:val="sr-Cyrl-CS"/>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List-Accent51111">
    <w:name w:val="Light List - Accent 51111"/>
    <w:basedOn w:val="TableNormal"/>
    <w:next w:val="LightList-Accent5"/>
    <w:uiPriority w:val="61"/>
    <w:rsid w:val="00C1281D"/>
    <w:pPr>
      <w:spacing w:after="0" w:line="240" w:lineRule="auto"/>
    </w:pPr>
    <w:rPr>
      <w:rFonts w:ascii="Times New Roman" w:eastAsia="Constantia" w:hAnsi="Times New Roman" w:cs="Times New Roman"/>
      <w:lang w:val="sr-Cyrl-CS"/>
    </w:rPr>
    <w:tblPr>
      <w:tblStyleRowBandSize w:val="1"/>
      <w:tblStyleColBandSize w:val="1"/>
      <w:tblBorders>
        <w:top w:val="single" w:sz="8" w:space="0" w:color="8FB08C"/>
        <w:left w:val="single" w:sz="8" w:space="0" w:color="8FB08C"/>
        <w:bottom w:val="single" w:sz="8" w:space="0" w:color="8FB08C"/>
        <w:right w:val="single" w:sz="8" w:space="0" w:color="8FB08C"/>
      </w:tblBorders>
    </w:tblPr>
    <w:tblStylePr w:type="firstRow">
      <w:pPr>
        <w:spacing w:before="0" w:after="0" w:line="240" w:lineRule="auto"/>
      </w:pPr>
      <w:rPr>
        <w:b/>
        <w:bCs/>
        <w:color w:val="FFFFFF"/>
      </w:rPr>
      <w:tblPr/>
      <w:tcPr>
        <w:shd w:val="clear" w:color="auto" w:fill="8FB08C"/>
      </w:tcPr>
    </w:tblStylePr>
    <w:tblStylePr w:type="lastRow">
      <w:pPr>
        <w:spacing w:before="0" w:after="0" w:line="240" w:lineRule="auto"/>
      </w:pPr>
      <w:rPr>
        <w:b/>
        <w:bCs/>
      </w:rPr>
      <w:tblPr/>
      <w:tcPr>
        <w:tcBorders>
          <w:top w:val="double" w:sz="6" w:space="0" w:color="8FB08C"/>
          <w:left w:val="single" w:sz="8" w:space="0" w:color="8FB08C"/>
          <w:bottom w:val="single" w:sz="8" w:space="0" w:color="8FB08C"/>
          <w:right w:val="single" w:sz="8" w:space="0" w:color="8FB08C"/>
        </w:tcBorders>
      </w:tcPr>
    </w:tblStylePr>
    <w:tblStylePr w:type="firstCol">
      <w:rPr>
        <w:b/>
        <w:bCs/>
      </w:rPr>
    </w:tblStylePr>
    <w:tblStylePr w:type="lastCol">
      <w:rPr>
        <w:b/>
        <w:bCs/>
      </w:rPr>
    </w:tblStylePr>
    <w:tblStylePr w:type="band1Vert">
      <w:tblPr/>
      <w:tcPr>
        <w:tcBorders>
          <w:top w:val="single" w:sz="8" w:space="0" w:color="8FB08C"/>
          <w:left w:val="single" w:sz="8" w:space="0" w:color="8FB08C"/>
          <w:bottom w:val="single" w:sz="8" w:space="0" w:color="8FB08C"/>
          <w:right w:val="single" w:sz="8" w:space="0" w:color="8FB08C"/>
        </w:tcBorders>
      </w:tcPr>
    </w:tblStylePr>
    <w:tblStylePr w:type="band1Horz">
      <w:tblPr/>
      <w:tcPr>
        <w:tcBorders>
          <w:top w:val="single" w:sz="8" w:space="0" w:color="8FB08C"/>
          <w:left w:val="single" w:sz="8" w:space="0" w:color="8FB08C"/>
          <w:bottom w:val="single" w:sz="8" w:space="0" w:color="8FB08C"/>
          <w:right w:val="single" w:sz="8" w:space="0" w:color="8FB08C"/>
        </w:tcBorders>
      </w:tcPr>
    </w:tblStylePr>
  </w:style>
  <w:style w:type="table" w:customStyle="1" w:styleId="LightGrid-Accent51121">
    <w:name w:val="Light Grid - Accent 51121"/>
    <w:basedOn w:val="TableNormal"/>
    <w:next w:val="LightGrid-Accent5"/>
    <w:uiPriority w:val="62"/>
    <w:rsid w:val="00C1281D"/>
    <w:pPr>
      <w:spacing w:after="0" w:line="240" w:lineRule="auto"/>
    </w:pPr>
    <w:rPr>
      <w:rFonts w:ascii="Calibri" w:eastAsia="Calibri" w:hAnsi="Calibri" w:cs="Times New Roman"/>
      <w:sz w:val="20"/>
      <w:szCs w:val="20"/>
      <w:lang w:val="sr-Latn-CS" w:eastAsia="en-GB"/>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Verdana" w:eastAsia="Times New Roman" w:hAnsi="Verdan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Verdana" w:eastAsia="Times New Roman" w:hAnsi="Verdan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Verdana" w:eastAsia="Times New Roman" w:hAnsi="Verdana" w:cs="Times New Roman"/>
        <w:b/>
        <w:bCs/>
      </w:rPr>
    </w:tblStylePr>
    <w:tblStylePr w:type="lastCol">
      <w:rPr>
        <w:rFonts w:ascii="Verdana" w:eastAsia="Times New Roman" w:hAnsi="Verdan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11111">
    <w:name w:val="Светло сенчење – наглашавање 11111"/>
    <w:basedOn w:val="TableNormal"/>
    <w:uiPriority w:val="60"/>
    <w:rsid w:val="00C1281D"/>
    <w:pPr>
      <w:spacing w:after="0" w:line="240" w:lineRule="auto"/>
    </w:pPr>
    <w:rPr>
      <w:rFonts w:ascii="Calibri" w:eastAsia="Calibri" w:hAnsi="Calibri" w:cs="Times New Roman"/>
      <w:color w:val="365F91"/>
      <w:sz w:val="20"/>
      <w:szCs w:val="20"/>
      <w:lang w:val="sr-Latn-CS" w:eastAsia="en-GB"/>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Grid-Accent5221">
    <w:name w:val="Light Grid - Accent 5221"/>
    <w:basedOn w:val="TableNormal"/>
    <w:next w:val="LightGrid-Accent5"/>
    <w:uiPriority w:val="62"/>
    <w:rsid w:val="00C1281D"/>
    <w:pPr>
      <w:spacing w:after="0" w:line="240" w:lineRule="auto"/>
    </w:pPr>
    <w:rPr>
      <w:rFonts w:ascii="Calibri" w:eastAsia="Calibri" w:hAnsi="Calibri" w:cs="Times New Roman"/>
      <w:sz w:val="20"/>
      <w:szCs w:val="20"/>
      <w:lang w:val="en-GB" w:eastAsia="en-GB"/>
    </w:rPr>
    <w:tblPr>
      <w:tblStyleRowBandSize w:val="1"/>
      <w:tblStyleColBandSize w:val="1"/>
      <w:tblBorders>
        <w:top w:val="single" w:sz="8" w:space="0" w:color="8FB08C"/>
        <w:left w:val="single" w:sz="8" w:space="0" w:color="8FB08C"/>
        <w:bottom w:val="single" w:sz="8" w:space="0" w:color="8FB08C"/>
        <w:right w:val="single" w:sz="8" w:space="0" w:color="8FB08C"/>
        <w:insideH w:val="single" w:sz="8" w:space="0" w:color="8FB08C"/>
        <w:insideV w:val="single" w:sz="8" w:space="0" w:color="8FB08C"/>
      </w:tblBorders>
    </w:tblPr>
    <w:tblStylePr w:type="firstRow">
      <w:pPr>
        <w:spacing w:before="0" w:after="0" w:line="240" w:lineRule="auto"/>
      </w:pPr>
      <w:rPr>
        <w:rFonts w:ascii="Verdana" w:eastAsia="Times New Roman" w:hAnsi="Verdana" w:cs="Times New Roman"/>
        <w:b/>
        <w:bCs/>
      </w:rPr>
      <w:tblPr/>
      <w:tcPr>
        <w:tcBorders>
          <w:top w:val="single" w:sz="8" w:space="0" w:color="8FB08C"/>
          <w:left w:val="single" w:sz="8" w:space="0" w:color="8FB08C"/>
          <w:bottom w:val="single" w:sz="18" w:space="0" w:color="8FB08C"/>
          <w:right w:val="single" w:sz="8" w:space="0" w:color="8FB08C"/>
          <w:insideH w:val="nil"/>
          <w:insideV w:val="single" w:sz="8" w:space="0" w:color="8FB08C"/>
        </w:tcBorders>
      </w:tcPr>
    </w:tblStylePr>
    <w:tblStylePr w:type="lastRow">
      <w:pPr>
        <w:spacing w:before="0" w:after="0" w:line="240" w:lineRule="auto"/>
      </w:pPr>
      <w:rPr>
        <w:rFonts w:ascii="Verdana" w:eastAsia="Times New Roman" w:hAnsi="Verdana" w:cs="Times New Roman"/>
        <w:b/>
        <w:bCs/>
      </w:rPr>
      <w:tblPr/>
      <w:tcPr>
        <w:tcBorders>
          <w:top w:val="double" w:sz="6" w:space="0" w:color="8FB08C"/>
          <w:left w:val="single" w:sz="8" w:space="0" w:color="8FB08C"/>
          <w:bottom w:val="single" w:sz="8" w:space="0" w:color="8FB08C"/>
          <w:right w:val="single" w:sz="8" w:space="0" w:color="8FB08C"/>
          <w:insideH w:val="nil"/>
          <w:insideV w:val="single" w:sz="8" w:space="0" w:color="8FB08C"/>
        </w:tcBorders>
      </w:tcPr>
    </w:tblStylePr>
    <w:tblStylePr w:type="firstCol">
      <w:rPr>
        <w:rFonts w:ascii="Verdana" w:eastAsia="Times New Roman" w:hAnsi="Verdana" w:cs="Times New Roman"/>
        <w:b/>
        <w:bCs/>
      </w:rPr>
    </w:tblStylePr>
    <w:tblStylePr w:type="lastCol">
      <w:rPr>
        <w:rFonts w:ascii="Verdana" w:eastAsia="Times New Roman" w:hAnsi="Verdana" w:cs="Times New Roman"/>
        <w:b/>
        <w:bCs/>
      </w:rPr>
      <w:tblPr/>
      <w:tcPr>
        <w:tcBorders>
          <w:top w:val="single" w:sz="8" w:space="0" w:color="8FB08C"/>
          <w:left w:val="single" w:sz="8" w:space="0" w:color="8FB08C"/>
          <w:bottom w:val="single" w:sz="8" w:space="0" w:color="8FB08C"/>
          <w:right w:val="single" w:sz="8" w:space="0" w:color="8FB08C"/>
        </w:tcBorders>
      </w:tcPr>
    </w:tblStylePr>
    <w:tblStylePr w:type="band1Vert">
      <w:tblPr/>
      <w:tcPr>
        <w:tcBorders>
          <w:top w:val="single" w:sz="8" w:space="0" w:color="8FB08C"/>
          <w:left w:val="single" w:sz="8" w:space="0" w:color="8FB08C"/>
          <w:bottom w:val="single" w:sz="8" w:space="0" w:color="8FB08C"/>
          <w:right w:val="single" w:sz="8" w:space="0" w:color="8FB08C"/>
        </w:tcBorders>
        <w:shd w:val="clear" w:color="auto" w:fill="E3EBE2"/>
      </w:tcPr>
    </w:tblStylePr>
    <w:tblStylePr w:type="band1Horz">
      <w:tblPr/>
      <w:tcPr>
        <w:tcBorders>
          <w:top w:val="single" w:sz="8" w:space="0" w:color="8FB08C"/>
          <w:left w:val="single" w:sz="8" w:space="0" w:color="8FB08C"/>
          <w:bottom w:val="single" w:sz="8" w:space="0" w:color="8FB08C"/>
          <w:right w:val="single" w:sz="8" w:space="0" w:color="8FB08C"/>
          <w:insideV w:val="single" w:sz="8" w:space="0" w:color="8FB08C"/>
        </w:tcBorders>
        <w:shd w:val="clear" w:color="auto" w:fill="E3EBE2"/>
      </w:tcPr>
    </w:tblStylePr>
    <w:tblStylePr w:type="band2Horz">
      <w:tblPr/>
      <w:tcPr>
        <w:tcBorders>
          <w:top w:val="single" w:sz="8" w:space="0" w:color="8FB08C"/>
          <w:left w:val="single" w:sz="8" w:space="0" w:color="8FB08C"/>
          <w:bottom w:val="single" w:sz="8" w:space="0" w:color="8FB08C"/>
          <w:right w:val="single" w:sz="8" w:space="0" w:color="8FB08C"/>
          <w:insideV w:val="single" w:sz="8" w:space="0" w:color="8FB08C"/>
        </w:tcBorders>
      </w:tcPr>
    </w:tblStylePr>
  </w:style>
  <w:style w:type="table" w:customStyle="1" w:styleId="LightList-Accent32111">
    <w:name w:val="Light List - Accent 32111"/>
    <w:basedOn w:val="TableNormal"/>
    <w:next w:val="LightList-Accent3"/>
    <w:uiPriority w:val="61"/>
    <w:rsid w:val="00C1281D"/>
    <w:pPr>
      <w:spacing w:after="0" w:line="240" w:lineRule="auto"/>
    </w:pPr>
    <w:rPr>
      <w:rFonts w:ascii="Calibri" w:eastAsia="Calibri" w:hAnsi="Calibri" w:cs="Times New Roman"/>
      <w:sz w:val="20"/>
      <w:szCs w:val="20"/>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List-Accent311111">
    <w:name w:val="Light List - Accent 311111"/>
    <w:basedOn w:val="TableNormal"/>
    <w:next w:val="LightList-Accent3"/>
    <w:uiPriority w:val="61"/>
    <w:rsid w:val="00C1281D"/>
    <w:pPr>
      <w:spacing w:after="0" w:line="240" w:lineRule="auto"/>
    </w:pPr>
    <w:rPr>
      <w:rFonts w:ascii="Constantia" w:eastAsia="Constantia" w:hAnsi="Constantia" w:cs="Times New Roman"/>
      <w:lang w:val="sr-Cyrl-CS"/>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Shading-Accent13311">
    <w:name w:val="Light Shading - Accent 13311"/>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1111">
    <w:name w:val="Light Shading - Accent 131111"/>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2111">
    <w:name w:val="Light Shading - Accent 132111"/>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1211">
    <w:name w:val="Light Shading - Accent 11211"/>
    <w:basedOn w:val="TableNormal"/>
    <w:uiPriority w:val="60"/>
    <w:rsid w:val="00C1281D"/>
    <w:pPr>
      <w:spacing w:after="0" w:line="240" w:lineRule="auto"/>
      <w:ind w:left="568" w:hanging="284"/>
    </w:pPr>
    <w:rPr>
      <w:rFonts w:ascii="Calibri" w:eastAsia="Calibri"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411">
    <w:name w:val="Light Shading - Accent 13411"/>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1311">
    <w:name w:val="Light Shading - Accent 11311"/>
    <w:basedOn w:val="TableNormal"/>
    <w:uiPriority w:val="60"/>
    <w:rsid w:val="00C1281D"/>
    <w:pPr>
      <w:spacing w:after="0" w:line="240" w:lineRule="auto"/>
      <w:ind w:left="568" w:hanging="284"/>
    </w:pPr>
    <w:rPr>
      <w:rFonts w:ascii="Calibri" w:eastAsia="Calibri"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511">
    <w:name w:val="Light Shading - Accent 13511"/>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621">
    <w:name w:val="Light Shading - Accent 13621"/>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711">
    <w:name w:val="Light Shading - Accent 13711"/>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ele3211">
    <w:name w:val="tabele 3211"/>
    <w:basedOn w:val="TableNormal"/>
    <w:next w:val="LightList-Accent3"/>
    <w:uiPriority w:val="61"/>
    <w:rsid w:val="00C1281D"/>
    <w:pPr>
      <w:spacing w:after="0" w:line="240" w:lineRule="auto"/>
    </w:pPr>
    <w:rPr>
      <w:rFonts w:ascii="Cambria Math" w:eastAsia="Calibri" w:hAnsi="Cambria Math" w:cs="Times New Roman"/>
      <w:sz w:val="18"/>
      <w:lang w:val="sr-Cyrl-C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ghtShading-Accent11411">
    <w:name w:val="Light Shading - Accent 11411"/>
    <w:basedOn w:val="TableNormal"/>
    <w:uiPriority w:val="60"/>
    <w:rsid w:val="00C1281D"/>
    <w:pPr>
      <w:spacing w:after="0" w:line="240" w:lineRule="auto"/>
      <w:ind w:left="568" w:hanging="284"/>
    </w:pPr>
    <w:rPr>
      <w:rFonts w:ascii="Calibri" w:eastAsia="Calibri"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3341">
    <w:name w:val="Light Shading - Accent 3341"/>
    <w:basedOn w:val="TableNormal"/>
    <w:next w:val="LightShading-Accent3"/>
    <w:uiPriority w:val="60"/>
    <w:rsid w:val="00C1281D"/>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List-Accent5311">
    <w:name w:val="Light List - Accent 5311"/>
    <w:basedOn w:val="TableNormal"/>
    <w:next w:val="LightList-Accent5"/>
    <w:uiPriority w:val="61"/>
    <w:rsid w:val="00C1281D"/>
    <w:pPr>
      <w:spacing w:after="0" w:line="240" w:lineRule="auto"/>
    </w:pPr>
    <w:rPr>
      <w:rFonts w:ascii="Calibri" w:eastAsia="Calibri" w:hAnsi="Calibri" w:cs="Times New Roman"/>
      <w:sz w:val="20"/>
      <w:szCs w:val="20"/>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LightShading-Accent31211">
    <w:name w:val="Light Shading - Accent 31211"/>
    <w:basedOn w:val="TableNormal"/>
    <w:next w:val="LightShading-Accent3"/>
    <w:uiPriority w:val="60"/>
    <w:rsid w:val="00C1281D"/>
    <w:pPr>
      <w:spacing w:after="0" w:line="240" w:lineRule="auto"/>
    </w:pPr>
    <w:rPr>
      <w:rFonts w:ascii="Constantia" w:eastAsia="Constantia" w:hAnsi="Constantia" w:cs="Times New Roman"/>
      <w:color w:val="8CADAE"/>
      <w:lang w:val="sr-Cyrl-CS"/>
    </w:rPr>
    <w:tblPr>
      <w:tblStyleRowBandSize w:val="1"/>
      <w:tblStyleColBandSize w:val="1"/>
      <w:tblBorders>
        <w:top w:val="single" w:sz="8" w:space="0" w:color="8CADAE"/>
        <w:bottom w:val="single" w:sz="8" w:space="0" w:color="8CADAE"/>
      </w:tblBorders>
    </w:tblPr>
    <w:tblStylePr w:type="firstRow">
      <w:pPr>
        <w:spacing w:before="0" w:after="0" w:line="240" w:lineRule="auto"/>
      </w:pPr>
      <w:rPr>
        <w:b/>
        <w:bCs/>
      </w:rPr>
      <w:tblPr/>
      <w:tcPr>
        <w:tcBorders>
          <w:top w:val="single" w:sz="8" w:space="0" w:color="8CADAE"/>
          <w:left w:val="nil"/>
          <w:bottom w:val="single" w:sz="8" w:space="0" w:color="8CADAE"/>
          <w:right w:val="nil"/>
          <w:insideH w:val="nil"/>
          <w:insideV w:val="nil"/>
        </w:tcBorders>
      </w:tcPr>
    </w:tblStylePr>
    <w:tblStylePr w:type="lastRow">
      <w:pPr>
        <w:spacing w:before="0" w:after="0" w:line="240" w:lineRule="auto"/>
      </w:pPr>
      <w:rPr>
        <w:b/>
        <w:bCs/>
      </w:rPr>
      <w:tblPr/>
      <w:tcPr>
        <w:tcBorders>
          <w:top w:val="single" w:sz="8" w:space="0" w:color="8CADAE"/>
          <w:left w:val="nil"/>
          <w:bottom w:val="single" w:sz="8" w:space="0" w:color="8CADA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AEB"/>
      </w:tcPr>
    </w:tblStylePr>
    <w:tblStylePr w:type="band1Horz">
      <w:tblPr/>
      <w:tcPr>
        <w:tcBorders>
          <w:left w:val="nil"/>
          <w:right w:val="nil"/>
          <w:insideH w:val="nil"/>
          <w:insideV w:val="nil"/>
        </w:tcBorders>
        <w:shd w:val="clear" w:color="auto" w:fill="E2EAEB"/>
      </w:tcPr>
    </w:tblStylePr>
  </w:style>
  <w:style w:type="table" w:customStyle="1" w:styleId="LightList-Accent31311">
    <w:name w:val="Light List - Accent 31311"/>
    <w:basedOn w:val="TableNormal"/>
    <w:next w:val="LightList-Accent3"/>
    <w:uiPriority w:val="61"/>
    <w:rsid w:val="00C1281D"/>
    <w:pPr>
      <w:spacing w:after="0" w:line="240" w:lineRule="auto"/>
    </w:pPr>
    <w:rPr>
      <w:rFonts w:ascii="Constantia" w:eastAsia="Constantia" w:hAnsi="Constantia" w:cs="Times New Roman"/>
      <w:lang w:val="sr-Cyrl-CS"/>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List-Accent51211">
    <w:name w:val="Light List - Accent 51211"/>
    <w:basedOn w:val="TableNormal"/>
    <w:next w:val="LightList-Accent5"/>
    <w:uiPriority w:val="61"/>
    <w:rsid w:val="00C1281D"/>
    <w:pPr>
      <w:spacing w:after="0" w:line="240" w:lineRule="auto"/>
    </w:pPr>
    <w:rPr>
      <w:rFonts w:ascii="Times New Roman" w:eastAsia="Constantia" w:hAnsi="Times New Roman" w:cs="Times New Roman"/>
      <w:lang w:val="sr-Cyrl-CS"/>
    </w:rPr>
    <w:tblPr>
      <w:tblStyleRowBandSize w:val="1"/>
      <w:tblStyleColBandSize w:val="1"/>
      <w:tblBorders>
        <w:top w:val="single" w:sz="8" w:space="0" w:color="8FB08C"/>
        <w:left w:val="single" w:sz="8" w:space="0" w:color="8FB08C"/>
        <w:bottom w:val="single" w:sz="8" w:space="0" w:color="8FB08C"/>
        <w:right w:val="single" w:sz="8" w:space="0" w:color="8FB08C"/>
      </w:tblBorders>
    </w:tblPr>
    <w:tblStylePr w:type="firstRow">
      <w:pPr>
        <w:spacing w:before="0" w:after="0" w:line="240" w:lineRule="auto"/>
      </w:pPr>
      <w:rPr>
        <w:b/>
        <w:bCs/>
        <w:color w:val="FFFFFF"/>
      </w:rPr>
      <w:tblPr/>
      <w:tcPr>
        <w:shd w:val="clear" w:color="auto" w:fill="8FB08C"/>
      </w:tcPr>
    </w:tblStylePr>
    <w:tblStylePr w:type="lastRow">
      <w:pPr>
        <w:spacing w:before="0" w:after="0" w:line="240" w:lineRule="auto"/>
      </w:pPr>
      <w:rPr>
        <w:b/>
        <w:bCs/>
      </w:rPr>
      <w:tblPr/>
      <w:tcPr>
        <w:tcBorders>
          <w:top w:val="double" w:sz="6" w:space="0" w:color="8FB08C"/>
          <w:left w:val="single" w:sz="8" w:space="0" w:color="8FB08C"/>
          <w:bottom w:val="single" w:sz="8" w:space="0" w:color="8FB08C"/>
          <w:right w:val="single" w:sz="8" w:space="0" w:color="8FB08C"/>
        </w:tcBorders>
      </w:tcPr>
    </w:tblStylePr>
    <w:tblStylePr w:type="firstCol">
      <w:rPr>
        <w:b/>
        <w:bCs/>
      </w:rPr>
    </w:tblStylePr>
    <w:tblStylePr w:type="lastCol">
      <w:rPr>
        <w:b/>
        <w:bCs/>
      </w:rPr>
    </w:tblStylePr>
    <w:tblStylePr w:type="band1Vert">
      <w:tblPr/>
      <w:tcPr>
        <w:tcBorders>
          <w:top w:val="single" w:sz="8" w:space="0" w:color="8FB08C"/>
          <w:left w:val="single" w:sz="8" w:space="0" w:color="8FB08C"/>
          <w:bottom w:val="single" w:sz="8" w:space="0" w:color="8FB08C"/>
          <w:right w:val="single" w:sz="8" w:space="0" w:color="8FB08C"/>
        </w:tcBorders>
      </w:tcPr>
    </w:tblStylePr>
    <w:tblStylePr w:type="band1Horz">
      <w:tblPr/>
      <w:tcPr>
        <w:tcBorders>
          <w:top w:val="single" w:sz="8" w:space="0" w:color="8FB08C"/>
          <w:left w:val="single" w:sz="8" w:space="0" w:color="8FB08C"/>
          <w:bottom w:val="single" w:sz="8" w:space="0" w:color="8FB08C"/>
          <w:right w:val="single" w:sz="8" w:space="0" w:color="8FB08C"/>
        </w:tcBorders>
      </w:tcPr>
    </w:tblStylePr>
  </w:style>
  <w:style w:type="table" w:customStyle="1" w:styleId="LightGrid-Accent51221">
    <w:name w:val="Light Grid - Accent 51221"/>
    <w:basedOn w:val="TableNormal"/>
    <w:next w:val="LightGrid-Accent5"/>
    <w:uiPriority w:val="62"/>
    <w:rsid w:val="00C1281D"/>
    <w:pPr>
      <w:spacing w:after="0" w:line="240" w:lineRule="auto"/>
    </w:pPr>
    <w:rPr>
      <w:rFonts w:ascii="Calibri" w:eastAsia="Calibri" w:hAnsi="Calibri" w:cs="Times New Roman"/>
      <w:sz w:val="20"/>
      <w:szCs w:val="20"/>
      <w:lang w:val="sr-Latn-CS" w:eastAsia="en-GB"/>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Verdana" w:eastAsia="Times New Roman" w:hAnsi="Verdan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Verdana" w:eastAsia="Times New Roman" w:hAnsi="Verdan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Verdana" w:eastAsia="Times New Roman" w:hAnsi="Verdana" w:cs="Times New Roman"/>
        <w:b/>
        <w:bCs/>
      </w:rPr>
    </w:tblStylePr>
    <w:tblStylePr w:type="lastCol">
      <w:rPr>
        <w:rFonts w:ascii="Verdana" w:eastAsia="Times New Roman" w:hAnsi="Verdan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11211">
    <w:name w:val="Светло сенчење – наглашавање 11211"/>
    <w:basedOn w:val="TableNormal"/>
    <w:uiPriority w:val="60"/>
    <w:rsid w:val="00C1281D"/>
    <w:pPr>
      <w:spacing w:after="0" w:line="240" w:lineRule="auto"/>
    </w:pPr>
    <w:rPr>
      <w:rFonts w:ascii="Calibri" w:eastAsia="Calibri" w:hAnsi="Calibri" w:cs="Times New Roman"/>
      <w:color w:val="365F91"/>
      <w:sz w:val="20"/>
      <w:szCs w:val="20"/>
      <w:lang w:val="sr-Latn-CS" w:eastAsia="en-GB"/>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Grid-Accent5321">
    <w:name w:val="Light Grid - Accent 5321"/>
    <w:basedOn w:val="TableNormal"/>
    <w:next w:val="LightGrid-Accent5"/>
    <w:uiPriority w:val="62"/>
    <w:rsid w:val="00C1281D"/>
    <w:pPr>
      <w:spacing w:after="0" w:line="240" w:lineRule="auto"/>
    </w:pPr>
    <w:rPr>
      <w:rFonts w:ascii="Calibri" w:eastAsia="Calibri" w:hAnsi="Calibri" w:cs="Times New Roman"/>
      <w:sz w:val="20"/>
      <w:szCs w:val="20"/>
      <w:lang w:val="en-GB" w:eastAsia="en-GB"/>
    </w:rPr>
    <w:tblPr>
      <w:tblStyleRowBandSize w:val="1"/>
      <w:tblStyleColBandSize w:val="1"/>
      <w:tblBorders>
        <w:top w:val="single" w:sz="8" w:space="0" w:color="8FB08C"/>
        <w:left w:val="single" w:sz="8" w:space="0" w:color="8FB08C"/>
        <w:bottom w:val="single" w:sz="8" w:space="0" w:color="8FB08C"/>
        <w:right w:val="single" w:sz="8" w:space="0" w:color="8FB08C"/>
        <w:insideH w:val="single" w:sz="8" w:space="0" w:color="8FB08C"/>
        <w:insideV w:val="single" w:sz="8" w:space="0" w:color="8FB08C"/>
      </w:tblBorders>
    </w:tblPr>
    <w:tblStylePr w:type="firstRow">
      <w:pPr>
        <w:spacing w:before="0" w:after="0" w:line="240" w:lineRule="auto"/>
      </w:pPr>
      <w:rPr>
        <w:rFonts w:ascii="Verdana" w:eastAsia="Times New Roman" w:hAnsi="Verdana" w:cs="Times New Roman"/>
        <w:b/>
        <w:bCs/>
      </w:rPr>
      <w:tblPr/>
      <w:tcPr>
        <w:tcBorders>
          <w:top w:val="single" w:sz="8" w:space="0" w:color="8FB08C"/>
          <w:left w:val="single" w:sz="8" w:space="0" w:color="8FB08C"/>
          <w:bottom w:val="single" w:sz="18" w:space="0" w:color="8FB08C"/>
          <w:right w:val="single" w:sz="8" w:space="0" w:color="8FB08C"/>
          <w:insideH w:val="nil"/>
          <w:insideV w:val="single" w:sz="8" w:space="0" w:color="8FB08C"/>
        </w:tcBorders>
      </w:tcPr>
    </w:tblStylePr>
    <w:tblStylePr w:type="lastRow">
      <w:pPr>
        <w:spacing w:before="0" w:after="0" w:line="240" w:lineRule="auto"/>
      </w:pPr>
      <w:rPr>
        <w:rFonts w:ascii="Verdana" w:eastAsia="Times New Roman" w:hAnsi="Verdana" w:cs="Times New Roman"/>
        <w:b/>
        <w:bCs/>
      </w:rPr>
      <w:tblPr/>
      <w:tcPr>
        <w:tcBorders>
          <w:top w:val="double" w:sz="6" w:space="0" w:color="8FB08C"/>
          <w:left w:val="single" w:sz="8" w:space="0" w:color="8FB08C"/>
          <w:bottom w:val="single" w:sz="8" w:space="0" w:color="8FB08C"/>
          <w:right w:val="single" w:sz="8" w:space="0" w:color="8FB08C"/>
          <w:insideH w:val="nil"/>
          <w:insideV w:val="single" w:sz="8" w:space="0" w:color="8FB08C"/>
        </w:tcBorders>
      </w:tcPr>
    </w:tblStylePr>
    <w:tblStylePr w:type="firstCol">
      <w:rPr>
        <w:rFonts w:ascii="Verdana" w:eastAsia="Times New Roman" w:hAnsi="Verdana" w:cs="Times New Roman"/>
        <w:b/>
        <w:bCs/>
      </w:rPr>
    </w:tblStylePr>
    <w:tblStylePr w:type="lastCol">
      <w:rPr>
        <w:rFonts w:ascii="Verdana" w:eastAsia="Times New Roman" w:hAnsi="Verdana" w:cs="Times New Roman"/>
        <w:b/>
        <w:bCs/>
      </w:rPr>
      <w:tblPr/>
      <w:tcPr>
        <w:tcBorders>
          <w:top w:val="single" w:sz="8" w:space="0" w:color="8FB08C"/>
          <w:left w:val="single" w:sz="8" w:space="0" w:color="8FB08C"/>
          <w:bottom w:val="single" w:sz="8" w:space="0" w:color="8FB08C"/>
          <w:right w:val="single" w:sz="8" w:space="0" w:color="8FB08C"/>
        </w:tcBorders>
      </w:tcPr>
    </w:tblStylePr>
    <w:tblStylePr w:type="band1Vert">
      <w:tblPr/>
      <w:tcPr>
        <w:tcBorders>
          <w:top w:val="single" w:sz="8" w:space="0" w:color="8FB08C"/>
          <w:left w:val="single" w:sz="8" w:space="0" w:color="8FB08C"/>
          <w:bottom w:val="single" w:sz="8" w:space="0" w:color="8FB08C"/>
          <w:right w:val="single" w:sz="8" w:space="0" w:color="8FB08C"/>
        </w:tcBorders>
        <w:shd w:val="clear" w:color="auto" w:fill="E3EBE2"/>
      </w:tcPr>
    </w:tblStylePr>
    <w:tblStylePr w:type="band1Horz">
      <w:tblPr/>
      <w:tcPr>
        <w:tcBorders>
          <w:top w:val="single" w:sz="8" w:space="0" w:color="8FB08C"/>
          <w:left w:val="single" w:sz="8" w:space="0" w:color="8FB08C"/>
          <w:bottom w:val="single" w:sz="8" w:space="0" w:color="8FB08C"/>
          <w:right w:val="single" w:sz="8" w:space="0" w:color="8FB08C"/>
          <w:insideV w:val="single" w:sz="8" w:space="0" w:color="8FB08C"/>
        </w:tcBorders>
        <w:shd w:val="clear" w:color="auto" w:fill="E3EBE2"/>
      </w:tcPr>
    </w:tblStylePr>
    <w:tblStylePr w:type="band2Horz">
      <w:tblPr/>
      <w:tcPr>
        <w:tcBorders>
          <w:top w:val="single" w:sz="8" w:space="0" w:color="8FB08C"/>
          <w:left w:val="single" w:sz="8" w:space="0" w:color="8FB08C"/>
          <w:bottom w:val="single" w:sz="8" w:space="0" w:color="8FB08C"/>
          <w:right w:val="single" w:sz="8" w:space="0" w:color="8FB08C"/>
          <w:insideV w:val="single" w:sz="8" w:space="0" w:color="8FB08C"/>
        </w:tcBorders>
      </w:tcPr>
    </w:tblStylePr>
  </w:style>
  <w:style w:type="table" w:customStyle="1" w:styleId="LightList-Accent32211">
    <w:name w:val="Light List - Accent 32211"/>
    <w:basedOn w:val="TableNormal"/>
    <w:next w:val="LightList-Accent3"/>
    <w:uiPriority w:val="61"/>
    <w:rsid w:val="00C1281D"/>
    <w:pPr>
      <w:spacing w:after="0" w:line="240" w:lineRule="auto"/>
    </w:pPr>
    <w:rPr>
      <w:rFonts w:ascii="Calibri" w:eastAsia="Calibri" w:hAnsi="Calibri" w:cs="Times New Roman"/>
      <w:sz w:val="20"/>
      <w:szCs w:val="20"/>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List-Accent311211">
    <w:name w:val="Light List - Accent 311211"/>
    <w:basedOn w:val="TableNormal"/>
    <w:next w:val="LightList-Accent3"/>
    <w:uiPriority w:val="61"/>
    <w:rsid w:val="00C1281D"/>
    <w:pPr>
      <w:spacing w:after="0" w:line="240" w:lineRule="auto"/>
    </w:pPr>
    <w:rPr>
      <w:rFonts w:ascii="Constantia" w:eastAsia="Constantia" w:hAnsi="Constantia" w:cs="Times New Roman"/>
      <w:lang w:val="sr-Cyrl-CS"/>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Shading-Accent13821">
    <w:name w:val="Light Shading - Accent 13821"/>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1211">
    <w:name w:val="Light Shading - Accent 131211"/>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2211">
    <w:name w:val="Light Shading - Accent 132211"/>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1511">
    <w:name w:val="Light Shading - Accent 11511"/>
    <w:basedOn w:val="TableNormal"/>
    <w:uiPriority w:val="60"/>
    <w:rsid w:val="00C1281D"/>
    <w:pPr>
      <w:spacing w:after="0" w:line="240" w:lineRule="auto"/>
      <w:ind w:left="568" w:hanging="284"/>
    </w:pPr>
    <w:rPr>
      <w:rFonts w:ascii="Calibri" w:eastAsia="Calibri"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921">
    <w:name w:val="Light Shading - Accent 13921"/>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1621">
    <w:name w:val="Light Shading - Accent 11621"/>
    <w:basedOn w:val="TableNormal"/>
    <w:uiPriority w:val="60"/>
    <w:rsid w:val="00C1281D"/>
    <w:pPr>
      <w:spacing w:after="0" w:line="240" w:lineRule="auto"/>
      <w:ind w:left="568" w:hanging="284"/>
    </w:pPr>
    <w:rPr>
      <w:rFonts w:ascii="Calibri" w:eastAsia="Calibri"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1021">
    <w:name w:val="Light Shading - Accent 131021"/>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1311">
    <w:name w:val="Light Shading - Accent 131311"/>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ele3311">
    <w:name w:val="tabele 3311"/>
    <w:basedOn w:val="TableNormal"/>
    <w:next w:val="LightList-Accent3"/>
    <w:uiPriority w:val="61"/>
    <w:rsid w:val="00C1281D"/>
    <w:pPr>
      <w:spacing w:after="0" w:line="240" w:lineRule="auto"/>
    </w:pPr>
    <w:rPr>
      <w:rFonts w:ascii="Cambria Math" w:eastAsia="Calibri" w:hAnsi="Cambria Math" w:cs="Times New Roman"/>
      <w:sz w:val="18"/>
      <w:lang w:val="sr-Cyrl-C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ghtShading-Accent11711">
    <w:name w:val="Light Shading - Accent 11711"/>
    <w:basedOn w:val="TableNormal"/>
    <w:uiPriority w:val="60"/>
    <w:rsid w:val="00C1281D"/>
    <w:pPr>
      <w:spacing w:after="0" w:line="240" w:lineRule="auto"/>
      <w:ind w:left="568" w:hanging="284"/>
    </w:pPr>
    <w:rPr>
      <w:rFonts w:ascii="Calibri" w:eastAsia="Calibri"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3431">
    <w:name w:val="Light Shading - Accent 3431"/>
    <w:basedOn w:val="TableNormal"/>
    <w:next w:val="LightShading-Accent3"/>
    <w:uiPriority w:val="60"/>
    <w:rsid w:val="00C1281D"/>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List-Accent5411">
    <w:name w:val="Light List - Accent 5411"/>
    <w:basedOn w:val="TableNormal"/>
    <w:next w:val="LightList-Accent5"/>
    <w:uiPriority w:val="61"/>
    <w:rsid w:val="00C1281D"/>
    <w:pPr>
      <w:spacing w:after="0" w:line="240" w:lineRule="auto"/>
    </w:pPr>
    <w:rPr>
      <w:rFonts w:ascii="Calibri" w:eastAsia="Calibri" w:hAnsi="Calibri" w:cs="Times New Roman"/>
      <w:sz w:val="20"/>
      <w:szCs w:val="20"/>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LightShading-Accent31311">
    <w:name w:val="Light Shading - Accent 31311"/>
    <w:basedOn w:val="TableNormal"/>
    <w:next w:val="LightShading-Accent3"/>
    <w:uiPriority w:val="60"/>
    <w:rsid w:val="00C1281D"/>
    <w:pPr>
      <w:spacing w:after="0" w:line="240" w:lineRule="auto"/>
    </w:pPr>
    <w:rPr>
      <w:rFonts w:ascii="Constantia" w:eastAsia="Constantia" w:hAnsi="Constantia" w:cs="Times New Roman"/>
      <w:color w:val="8CADAE"/>
      <w:lang w:val="sr-Cyrl-CS"/>
    </w:rPr>
    <w:tblPr>
      <w:tblStyleRowBandSize w:val="1"/>
      <w:tblStyleColBandSize w:val="1"/>
      <w:tblBorders>
        <w:top w:val="single" w:sz="8" w:space="0" w:color="8CADAE"/>
        <w:bottom w:val="single" w:sz="8" w:space="0" w:color="8CADAE"/>
      </w:tblBorders>
    </w:tblPr>
    <w:tblStylePr w:type="firstRow">
      <w:pPr>
        <w:spacing w:before="0" w:after="0" w:line="240" w:lineRule="auto"/>
      </w:pPr>
      <w:rPr>
        <w:b/>
        <w:bCs/>
      </w:rPr>
      <w:tblPr/>
      <w:tcPr>
        <w:tcBorders>
          <w:top w:val="single" w:sz="8" w:space="0" w:color="8CADAE"/>
          <w:left w:val="nil"/>
          <w:bottom w:val="single" w:sz="8" w:space="0" w:color="8CADAE"/>
          <w:right w:val="nil"/>
          <w:insideH w:val="nil"/>
          <w:insideV w:val="nil"/>
        </w:tcBorders>
      </w:tcPr>
    </w:tblStylePr>
    <w:tblStylePr w:type="lastRow">
      <w:pPr>
        <w:spacing w:before="0" w:after="0" w:line="240" w:lineRule="auto"/>
      </w:pPr>
      <w:rPr>
        <w:b/>
        <w:bCs/>
      </w:rPr>
      <w:tblPr/>
      <w:tcPr>
        <w:tcBorders>
          <w:top w:val="single" w:sz="8" w:space="0" w:color="8CADAE"/>
          <w:left w:val="nil"/>
          <w:bottom w:val="single" w:sz="8" w:space="0" w:color="8CADA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AEB"/>
      </w:tcPr>
    </w:tblStylePr>
    <w:tblStylePr w:type="band1Horz">
      <w:tblPr/>
      <w:tcPr>
        <w:tcBorders>
          <w:left w:val="nil"/>
          <w:right w:val="nil"/>
          <w:insideH w:val="nil"/>
          <w:insideV w:val="nil"/>
        </w:tcBorders>
        <w:shd w:val="clear" w:color="auto" w:fill="E2EAEB"/>
      </w:tcPr>
    </w:tblStylePr>
  </w:style>
  <w:style w:type="table" w:customStyle="1" w:styleId="LightList-Accent31411">
    <w:name w:val="Light List - Accent 31411"/>
    <w:basedOn w:val="TableNormal"/>
    <w:next w:val="LightList-Accent3"/>
    <w:uiPriority w:val="61"/>
    <w:rsid w:val="00C1281D"/>
    <w:pPr>
      <w:spacing w:after="0" w:line="240" w:lineRule="auto"/>
    </w:pPr>
    <w:rPr>
      <w:rFonts w:ascii="Constantia" w:eastAsia="Constantia" w:hAnsi="Constantia" w:cs="Times New Roman"/>
      <w:lang w:val="sr-Cyrl-CS"/>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List-Accent51311">
    <w:name w:val="Light List - Accent 51311"/>
    <w:basedOn w:val="TableNormal"/>
    <w:next w:val="LightList-Accent5"/>
    <w:uiPriority w:val="61"/>
    <w:rsid w:val="00C1281D"/>
    <w:pPr>
      <w:spacing w:after="0" w:line="240" w:lineRule="auto"/>
    </w:pPr>
    <w:rPr>
      <w:rFonts w:ascii="Times New Roman" w:eastAsia="Constantia" w:hAnsi="Times New Roman" w:cs="Times New Roman"/>
      <w:lang w:val="sr-Cyrl-CS"/>
    </w:rPr>
    <w:tblPr>
      <w:tblStyleRowBandSize w:val="1"/>
      <w:tblStyleColBandSize w:val="1"/>
      <w:tblBorders>
        <w:top w:val="single" w:sz="8" w:space="0" w:color="8FB08C"/>
        <w:left w:val="single" w:sz="8" w:space="0" w:color="8FB08C"/>
        <w:bottom w:val="single" w:sz="8" w:space="0" w:color="8FB08C"/>
        <w:right w:val="single" w:sz="8" w:space="0" w:color="8FB08C"/>
      </w:tblBorders>
    </w:tblPr>
    <w:tblStylePr w:type="firstRow">
      <w:pPr>
        <w:spacing w:before="0" w:after="0" w:line="240" w:lineRule="auto"/>
      </w:pPr>
      <w:rPr>
        <w:b/>
        <w:bCs/>
        <w:color w:val="FFFFFF"/>
      </w:rPr>
      <w:tblPr/>
      <w:tcPr>
        <w:shd w:val="clear" w:color="auto" w:fill="8FB08C"/>
      </w:tcPr>
    </w:tblStylePr>
    <w:tblStylePr w:type="lastRow">
      <w:pPr>
        <w:spacing w:before="0" w:after="0" w:line="240" w:lineRule="auto"/>
      </w:pPr>
      <w:rPr>
        <w:b/>
        <w:bCs/>
      </w:rPr>
      <w:tblPr/>
      <w:tcPr>
        <w:tcBorders>
          <w:top w:val="double" w:sz="6" w:space="0" w:color="8FB08C"/>
          <w:left w:val="single" w:sz="8" w:space="0" w:color="8FB08C"/>
          <w:bottom w:val="single" w:sz="8" w:space="0" w:color="8FB08C"/>
          <w:right w:val="single" w:sz="8" w:space="0" w:color="8FB08C"/>
        </w:tcBorders>
      </w:tcPr>
    </w:tblStylePr>
    <w:tblStylePr w:type="firstCol">
      <w:rPr>
        <w:b/>
        <w:bCs/>
      </w:rPr>
    </w:tblStylePr>
    <w:tblStylePr w:type="lastCol">
      <w:rPr>
        <w:b/>
        <w:bCs/>
      </w:rPr>
    </w:tblStylePr>
    <w:tblStylePr w:type="band1Vert">
      <w:tblPr/>
      <w:tcPr>
        <w:tcBorders>
          <w:top w:val="single" w:sz="8" w:space="0" w:color="8FB08C"/>
          <w:left w:val="single" w:sz="8" w:space="0" w:color="8FB08C"/>
          <w:bottom w:val="single" w:sz="8" w:space="0" w:color="8FB08C"/>
          <w:right w:val="single" w:sz="8" w:space="0" w:color="8FB08C"/>
        </w:tcBorders>
      </w:tcPr>
    </w:tblStylePr>
    <w:tblStylePr w:type="band1Horz">
      <w:tblPr/>
      <w:tcPr>
        <w:tcBorders>
          <w:top w:val="single" w:sz="8" w:space="0" w:color="8FB08C"/>
          <w:left w:val="single" w:sz="8" w:space="0" w:color="8FB08C"/>
          <w:bottom w:val="single" w:sz="8" w:space="0" w:color="8FB08C"/>
          <w:right w:val="single" w:sz="8" w:space="0" w:color="8FB08C"/>
        </w:tcBorders>
      </w:tcPr>
    </w:tblStylePr>
  </w:style>
  <w:style w:type="table" w:customStyle="1" w:styleId="LightGrid-Accent51321">
    <w:name w:val="Light Grid - Accent 51321"/>
    <w:basedOn w:val="TableNormal"/>
    <w:next w:val="LightGrid-Accent5"/>
    <w:uiPriority w:val="62"/>
    <w:rsid w:val="00C1281D"/>
    <w:pPr>
      <w:spacing w:after="0" w:line="240" w:lineRule="auto"/>
    </w:pPr>
    <w:rPr>
      <w:rFonts w:ascii="Calibri" w:eastAsia="Calibri" w:hAnsi="Calibri" w:cs="Times New Roman"/>
      <w:sz w:val="20"/>
      <w:szCs w:val="20"/>
      <w:lang w:val="sr-Latn-CS" w:eastAsia="en-GB"/>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Verdana" w:eastAsia="Times New Roman" w:hAnsi="Verdan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Verdana" w:eastAsia="Times New Roman" w:hAnsi="Verdan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Verdana" w:eastAsia="Times New Roman" w:hAnsi="Verdana" w:cs="Times New Roman"/>
        <w:b/>
        <w:bCs/>
      </w:rPr>
    </w:tblStylePr>
    <w:tblStylePr w:type="lastCol">
      <w:rPr>
        <w:rFonts w:ascii="Verdana" w:eastAsia="Times New Roman" w:hAnsi="Verdan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11311">
    <w:name w:val="Светло сенчење – наглашавање 11311"/>
    <w:basedOn w:val="TableNormal"/>
    <w:uiPriority w:val="60"/>
    <w:rsid w:val="00C1281D"/>
    <w:pPr>
      <w:spacing w:after="0" w:line="240" w:lineRule="auto"/>
    </w:pPr>
    <w:rPr>
      <w:rFonts w:ascii="Calibri" w:eastAsia="Calibri" w:hAnsi="Calibri" w:cs="Times New Roman"/>
      <w:color w:val="365F91"/>
      <w:sz w:val="20"/>
      <w:szCs w:val="20"/>
      <w:lang w:val="sr-Latn-CS" w:eastAsia="en-GB"/>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Grid-Accent5421">
    <w:name w:val="Light Grid - Accent 5421"/>
    <w:basedOn w:val="TableNormal"/>
    <w:next w:val="LightGrid-Accent5"/>
    <w:uiPriority w:val="62"/>
    <w:rsid w:val="00C1281D"/>
    <w:pPr>
      <w:spacing w:after="0" w:line="240" w:lineRule="auto"/>
    </w:pPr>
    <w:rPr>
      <w:rFonts w:ascii="Calibri" w:eastAsia="Calibri" w:hAnsi="Calibri" w:cs="Times New Roman"/>
      <w:sz w:val="20"/>
      <w:szCs w:val="20"/>
      <w:lang w:val="en-GB" w:eastAsia="en-GB"/>
    </w:rPr>
    <w:tblPr>
      <w:tblStyleRowBandSize w:val="1"/>
      <w:tblStyleColBandSize w:val="1"/>
      <w:tblBorders>
        <w:top w:val="single" w:sz="8" w:space="0" w:color="8FB08C"/>
        <w:left w:val="single" w:sz="8" w:space="0" w:color="8FB08C"/>
        <w:bottom w:val="single" w:sz="8" w:space="0" w:color="8FB08C"/>
        <w:right w:val="single" w:sz="8" w:space="0" w:color="8FB08C"/>
        <w:insideH w:val="single" w:sz="8" w:space="0" w:color="8FB08C"/>
        <w:insideV w:val="single" w:sz="8" w:space="0" w:color="8FB08C"/>
      </w:tblBorders>
    </w:tblPr>
    <w:tblStylePr w:type="firstRow">
      <w:pPr>
        <w:spacing w:before="0" w:after="0" w:line="240" w:lineRule="auto"/>
      </w:pPr>
      <w:rPr>
        <w:rFonts w:ascii="Verdana" w:eastAsia="Times New Roman" w:hAnsi="Verdana" w:cs="Times New Roman"/>
        <w:b/>
        <w:bCs/>
      </w:rPr>
      <w:tblPr/>
      <w:tcPr>
        <w:tcBorders>
          <w:top w:val="single" w:sz="8" w:space="0" w:color="8FB08C"/>
          <w:left w:val="single" w:sz="8" w:space="0" w:color="8FB08C"/>
          <w:bottom w:val="single" w:sz="18" w:space="0" w:color="8FB08C"/>
          <w:right w:val="single" w:sz="8" w:space="0" w:color="8FB08C"/>
          <w:insideH w:val="nil"/>
          <w:insideV w:val="single" w:sz="8" w:space="0" w:color="8FB08C"/>
        </w:tcBorders>
      </w:tcPr>
    </w:tblStylePr>
    <w:tblStylePr w:type="lastRow">
      <w:pPr>
        <w:spacing w:before="0" w:after="0" w:line="240" w:lineRule="auto"/>
      </w:pPr>
      <w:rPr>
        <w:rFonts w:ascii="Verdana" w:eastAsia="Times New Roman" w:hAnsi="Verdana" w:cs="Times New Roman"/>
        <w:b/>
        <w:bCs/>
      </w:rPr>
      <w:tblPr/>
      <w:tcPr>
        <w:tcBorders>
          <w:top w:val="double" w:sz="6" w:space="0" w:color="8FB08C"/>
          <w:left w:val="single" w:sz="8" w:space="0" w:color="8FB08C"/>
          <w:bottom w:val="single" w:sz="8" w:space="0" w:color="8FB08C"/>
          <w:right w:val="single" w:sz="8" w:space="0" w:color="8FB08C"/>
          <w:insideH w:val="nil"/>
          <w:insideV w:val="single" w:sz="8" w:space="0" w:color="8FB08C"/>
        </w:tcBorders>
      </w:tcPr>
    </w:tblStylePr>
    <w:tblStylePr w:type="firstCol">
      <w:rPr>
        <w:rFonts w:ascii="Verdana" w:eastAsia="Times New Roman" w:hAnsi="Verdana" w:cs="Times New Roman"/>
        <w:b/>
        <w:bCs/>
      </w:rPr>
    </w:tblStylePr>
    <w:tblStylePr w:type="lastCol">
      <w:rPr>
        <w:rFonts w:ascii="Verdana" w:eastAsia="Times New Roman" w:hAnsi="Verdana" w:cs="Times New Roman"/>
        <w:b/>
        <w:bCs/>
      </w:rPr>
      <w:tblPr/>
      <w:tcPr>
        <w:tcBorders>
          <w:top w:val="single" w:sz="8" w:space="0" w:color="8FB08C"/>
          <w:left w:val="single" w:sz="8" w:space="0" w:color="8FB08C"/>
          <w:bottom w:val="single" w:sz="8" w:space="0" w:color="8FB08C"/>
          <w:right w:val="single" w:sz="8" w:space="0" w:color="8FB08C"/>
        </w:tcBorders>
      </w:tcPr>
    </w:tblStylePr>
    <w:tblStylePr w:type="band1Vert">
      <w:tblPr/>
      <w:tcPr>
        <w:tcBorders>
          <w:top w:val="single" w:sz="8" w:space="0" w:color="8FB08C"/>
          <w:left w:val="single" w:sz="8" w:space="0" w:color="8FB08C"/>
          <w:bottom w:val="single" w:sz="8" w:space="0" w:color="8FB08C"/>
          <w:right w:val="single" w:sz="8" w:space="0" w:color="8FB08C"/>
        </w:tcBorders>
        <w:shd w:val="clear" w:color="auto" w:fill="E3EBE2"/>
      </w:tcPr>
    </w:tblStylePr>
    <w:tblStylePr w:type="band1Horz">
      <w:tblPr/>
      <w:tcPr>
        <w:tcBorders>
          <w:top w:val="single" w:sz="8" w:space="0" w:color="8FB08C"/>
          <w:left w:val="single" w:sz="8" w:space="0" w:color="8FB08C"/>
          <w:bottom w:val="single" w:sz="8" w:space="0" w:color="8FB08C"/>
          <w:right w:val="single" w:sz="8" w:space="0" w:color="8FB08C"/>
          <w:insideV w:val="single" w:sz="8" w:space="0" w:color="8FB08C"/>
        </w:tcBorders>
        <w:shd w:val="clear" w:color="auto" w:fill="E3EBE2"/>
      </w:tcPr>
    </w:tblStylePr>
    <w:tblStylePr w:type="band2Horz">
      <w:tblPr/>
      <w:tcPr>
        <w:tcBorders>
          <w:top w:val="single" w:sz="8" w:space="0" w:color="8FB08C"/>
          <w:left w:val="single" w:sz="8" w:space="0" w:color="8FB08C"/>
          <w:bottom w:val="single" w:sz="8" w:space="0" w:color="8FB08C"/>
          <w:right w:val="single" w:sz="8" w:space="0" w:color="8FB08C"/>
          <w:insideV w:val="single" w:sz="8" w:space="0" w:color="8FB08C"/>
        </w:tcBorders>
      </w:tcPr>
    </w:tblStylePr>
  </w:style>
  <w:style w:type="table" w:customStyle="1" w:styleId="LightShading-Accent12311">
    <w:name w:val="Light Shading - Accent 12311"/>
    <w:basedOn w:val="TableNormal"/>
    <w:uiPriority w:val="60"/>
    <w:rsid w:val="00C1281D"/>
    <w:pPr>
      <w:spacing w:after="0" w:line="240"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List-Accent32311">
    <w:name w:val="Light List - Accent 32311"/>
    <w:basedOn w:val="TableNormal"/>
    <w:next w:val="LightList-Accent3"/>
    <w:uiPriority w:val="61"/>
    <w:rsid w:val="00C1281D"/>
    <w:pPr>
      <w:spacing w:after="0" w:line="240" w:lineRule="auto"/>
    </w:pPr>
    <w:rPr>
      <w:rFonts w:ascii="Calibri" w:eastAsia="Calibri" w:hAnsi="Calibri" w:cs="Times New Roman"/>
      <w:sz w:val="20"/>
      <w:szCs w:val="20"/>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List-Accent311311">
    <w:name w:val="Light List - Accent 311311"/>
    <w:basedOn w:val="TableNormal"/>
    <w:next w:val="LightList-Accent3"/>
    <w:uiPriority w:val="61"/>
    <w:rsid w:val="00C1281D"/>
    <w:pPr>
      <w:spacing w:after="0" w:line="240" w:lineRule="auto"/>
    </w:pPr>
    <w:rPr>
      <w:rFonts w:ascii="Constantia" w:eastAsia="Constantia" w:hAnsi="Constantia" w:cs="Times New Roman"/>
      <w:lang w:val="sr-Cyrl-CS"/>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Shading-Accent131411">
    <w:name w:val="Light Shading - Accent 131411"/>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1511">
    <w:name w:val="Light Shading - Accent 131511"/>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2311">
    <w:name w:val="Light Shading - Accent 132311"/>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1611">
    <w:name w:val="Light Shading - Accent 131611"/>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8111">
    <w:name w:val="Light Shading - Accent 138111"/>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1811">
    <w:name w:val="Light Shading - Accent 11811"/>
    <w:basedOn w:val="TableNormal"/>
    <w:uiPriority w:val="60"/>
    <w:rsid w:val="00C1281D"/>
    <w:pPr>
      <w:spacing w:after="0" w:line="240" w:lineRule="auto"/>
      <w:ind w:left="568" w:hanging="284"/>
    </w:pPr>
    <w:rPr>
      <w:rFonts w:ascii="Calibri" w:eastAsia="Calibri"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9111">
    <w:name w:val="Light Shading - Accent 139111"/>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16111">
    <w:name w:val="Light Shading - Accent 116111"/>
    <w:basedOn w:val="TableNormal"/>
    <w:uiPriority w:val="60"/>
    <w:rsid w:val="00C1281D"/>
    <w:pPr>
      <w:spacing w:after="0" w:line="240" w:lineRule="auto"/>
      <w:ind w:left="568" w:hanging="284"/>
    </w:pPr>
    <w:rPr>
      <w:rFonts w:ascii="Calibri" w:eastAsia="Calibri"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10111">
    <w:name w:val="Light Shading - Accent 1310111"/>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6111">
    <w:name w:val="Light Shading - Accent 136111"/>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1911">
    <w:name w:val="Light Shading - Accent 11911"/>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33111">
    <w:name w:val="Light Shading - Accent 33111"/>
    <w:basedOn w:val="TableNormal"/>
    <w:next w:val="LightShading-Accent3"/>
    <w:uiPriority w:val="60"/>
    <w:rsid w:val="00C1281D"/>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211">
    <w:name w:val="Light Shading - Accent 33211"/>
    <w:basedOn w:val="TableNormal"/>
    <w:next w:val="LightShading-Accent3"/>
    <w:uiPriority w:val="60"/>
    <w:rsid w:val="00C1281D"/>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311">
    <w:name w:val="Light Shading - Accent 33311"/>
    <w:basedOn w:val="TableNormal"/>
    <w:next w:val="LightShading-Accent3"/>
    <w:uiPriority w:val="60"/>
    <w:rsid w:val="00C1281D"/>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4111">
    <w:name w:val="Light Shading - Accent 34111"/>
    <w:basedOn w:val="TableNormal"/>
    <w:next w:val="LightShading-Accent3"/>
    <w:uiPriority w:val="60"/>
    <w:rsid w:val="00C1281D"/>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4211">
    <w:name w:val="Light Shading - Accent 34211"/>
    <w:basedOn w:val="TableNormal"/>
    <w:next w:val="LightShading-Accent3"/>
    <w:uiPriority w:val="60"/>
    <w:rsid w:val="00C1281D"/>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Grid-Accent51411">
    <w:name w:val="Light Grid - Accent 51411"/>
    <w:basedOn w:val="TableNormal"/>
    <w:next w:val="LightGrid-Accent5"/>
    <w:uiPriority w:val="62"/>
    <w:rsid w:val="00C1281D"/>
    <w:pPr>
      <w:spacing w:after="0" w:line="240" w:lineRule="auto"/>
    </w:pPr>
    <w:rPr>
      <w:rFonts w:ascii="Calibri" w:eastAsia="Calibri" w:hAnsi="Calibri" w:cs="Times New Roman"/>
      <w:sz w:val="20"/>
      <w:szCs w:val="20"/>
      <w:lang w:val="sr-Latn-CS" w:eastAsia="en-GB"/>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Franklin Gothic Medium" w:eastAsia="Times New Roman" w:hAnsi="Franklin Gothic Medium"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Franklin Gothic Medium" w:eastAsia="Times New Roman" w:hAnsi="Franklin Gothic Medium"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Franklin Gothic Medium" w:eastAsia="Times New Roman" w:hAnsi="Franklin Gothic Medium" w:cs="Times New Roman"/>
        <w:b/>
        <w:bCs/>
      </w:rPr>
    </w:tblStylePr>
    <w:tblStylePr w:type="lastCol">
      <w:rPr>
        <w:rFonts w:ascii="Franklin Gothic Medium" w:eastAsia="Times New Roman" w:hAnsi="Franklin Gothic Medium"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LightGrid-Accent5511">
    <w:name w:val="Light Grid - Accent 5511"/>
    <w:basedOn w:val="TableNormal"/>
    <w:next w:val="LightGrid-Accent5"/>
    <w:uiPriority w:val="62"/>
    <w:rsid w:val="00C1281D"/>
    <w:pPr>
      <w:spacing w:after="0" w:line="240" w:lineRule="auto"/>
    </w:pPr>
    <w:rPr>
      <w:rFonts w:ascii="Calibri" w:eastAsia="Calibri" w:hAnsi="Calibri" w:cs="Times New Roman"/>
      <w:sz w:val="20"/>
      <w:szCs w:val="20"/>
      <w:lang w:val="en-GB" w:eastAsia="en-GB"/>
    </w:rPr>
    <w:tblPr>
      <w:tblStyleRowBandSize w:val="1"/>
      <w:tblStyleColBandSize w:val="1"/>
      <w:tblBorders>
        <w:top w:val="single" w:sz="8" w:space="0" w:color="8FB08C"/>
        <w:left w:val="single" w:sz="8" w:space="0" w:color="8FB08C"/>
        <w:bottom w:val="single" w:sz="8" w:space="0" w:color="8FB08C"/>
        <w:right w:val="single" w:sz="8" w:space="0" w:color="8FB08C"/>
        <w:insideH w:val="single" w:sz="8" w:space="0" w:color="8FB08C"/>
        <w:insideV w:val="single" w:sz="8" w:space="0" w:color="8FB08C"/>
      </w:tblBorders>
    </w:tblPr>
    <w:tblStylePr w:type="firstRow">
      <w:pPr>
        <w:spacing w:before="0" w:after="0" w:line="240" w:lineRule="auto"/>
      </w:pPr>
      <w:rPr>
        <w:rFonts w:ascii="Franklin Gothic Medium" w:eastAsia="Times New Roman" w:hAnsi="Franklin Gothic Medium" w:cs="Times New Roman"/>
        <w:b/>
        <w:bCs/>
      </w:rPr>
      <w:tblPr/>
      <w:tcPr>
        <w:tcBorders>
          <w:top w:val="single" w:sz="8" w:space="0" w:color="8FB08C"/>
          <w:left w:val="single" w:sz="8" w:space="0" w:color="8FB08C"/>
          <w:bottom w:val="single" w:sz="18" w:space="0" w:color="8FB08C"/>
          <w:right w:val="single" w:sz="8" w:space="0" w:color="8FB08C"/>
          <w:insideH w:val="nil"/>
          <w:insideV w:val="single" w:sz="8" w:space="0" w:color="8FB08C"/>
        </w:tcBorders>
      </w:tcPr>
    </w:tblStylePr>
    <w:tblStylePr w:type="lastRow">
      <w:pPr>
        <w:spacing w:before="0" w:after="0" w:line="240" w:lineRule="auto"/>
      </w:pPr>
      <w:rPr>
        <w:rFonts w:ascii="Franklin Gothic Medium" w:eastAsia="Times New Roman" w:hAnsi="Franklin Gothic Medium" w:cs="Times New Roman"/>
        <w:b/>
        <w:bCs/>
      </w:rPr>
      <w:tblPr/>
      <w:tcPr>
        <w:tcBorders>
          <w:top w:val="double" w:sz="6" w:space="0" w:color="8FB08C"/>
          <w:left w:val="single" w:sz="8" w:space="0" w:color="8FB08C"/>
          <w:bottom w:val="single" w:sz="8" w:space="0" w:color="8FB08C"/>
          <w:right w:val="single" w:sz="8" w:space="0" w:color="8FB08C"/>
          <w:insideH w:val="nil"/>
          <w:insideV w:val="single" w:sz="8" w:space="0" w:color="8FB08C"/>
        </w:tcBorders>
      </w:tcPr>
    </w:tblStylePr>
    <w:tblStylePr w:type="firstCol">
      <w:rPr>
        <w:rFonts w:ascii="Franklin Gothic Medium" w:eastAsia="Times New Roman" w:hAnsi="Franklin Gothic Medium" w:cs="Times New Roman"/>
        <w:b/>
        <w:bCs/>
      </w:rPr>
    </w:tblStylePr>
    <w:tblStylePr w:type="lastCol">
      <w:rPr>
        <w:rFonts w:ascii="Franklin Gothic Medium" w:eastAsia="Times New Roman" w:hAnsi="Franklin Gothic Medium" w:cs="Times New Roman"/>
        <w:b/>
        <w:bCs/>
      </w:rPr>
      <w:tblPr/>
      <w:tcPr>
        <w:tcBorders>
          <w:top w:val="single" w:sz="8" w:space="0" w:color="8FB08C"/>
          <w:left w:val="single" w:sz="8" w:space="0" w:color="8FB08C"/>
          <w:bottom w:val="single" w:sz="8" w:space="0" w:color="8FB08C"/>
          <w:right w:val="single" w:sz="8" w:space="0" w:color="8FB08C"/>
        </w:tcBorders>
      </w:tcPr>
    </w:tblStylePr>
    <w:tblStylePr w:type="band1Vert">
      <w:tblPr/>
      <w:tcPr>
        <w:tcBorders>
          <w:top w:val="single" w:sz="8" w:space="0" w:color="8FB08C"/>
          <w:left w:val="single" w:sz="8" w:space="0" w:color="8FB08C"/>
          <w:bottom w:val="single" w:sz="8" w:space="0" w:color="8FB08C"/>
          <w:right w:val="single" w:sz="8" w:space="0" w:color="8FB08C"/>
        </w:tcBorders>
        <w:shd w:val="clear" w:color="auto" w:fill="E3EBE2"/>
      </w:tcPr>
    </w:tblStylePr>
    <w:tblStylePr w:type="band1Horz">
      <w:tblPr/>
      <w:tcPr>
        <w:tcBorders>
          <w:top w:val="single" w:sz="8" w:space="0" w:color="8FB08C"/>
          <w:left w:val="single" w:sz="8" w:space="0" w:color="8FB08C"/>
          <w:bottom w:val="single" w:sz="8" w:space="0" w:color="8FB08C"/>
          <w:right w:val="single" w:sz="8" w:space="0" w:color="8FB08C"/>
          <w:insideV w:val="single" w:sz="8" w:space="0" w:color="8FB08C"/>
        </w:tcBorders>
        <w:shd w:val="clear" w:color="auto" w:fill="E3EBE2"/>
      </w:tcPr>
    </w:tblStylePr>
    <w:tblStylePr w:type="band2Horz">
      <w:tblPr/>
      <w:tcPr>
        <w:tcBorders>
          <w:top w:val="single" w:sz="8" w:space="0" w:color="8FB08C"/>
          <w:left w:val="single" w:sz="8" w:space="0" w:color="8FB08C"/>
          <w:bottom w:val="single" w:sz="8" w:space="0" w:color="8FB08C"/>
          <w:right w:val="single" w:sz="8" w:space="0" w:color="8FB08C"/>
          <w:insideV w:val="single" w:sz="8" w:space="0" w:color="8FB08C"/>
        </w:tcBorders>
      </w:tcPr>
    </w:tblStylePr>
  </w:style>
  <w:style w:type="table" w:customStyle="1" w:styleId="LightGrid-Accent511111">
    <w:name w:val="Light Grid - Accent 511111"/>
    <w:basedOn w:val="TableNormal"/>
    <w:next w:val="LightGrid-Accent5"/>
    <w:uiPriority w:val="62"/>
    <w:rsid w:val="00C1281D"/>
    <w:pPr>
      <w:spacing w:after="0" w:line="240" w:lineRule="auto"/>
    </w:pPr>
    <w:rPr>
      <w:rFonts w:ascii="Calibri" w:eastAsia="Calibri" w:hAnsi="Calibri" w:cs="Times New Roman"/>
      <w:sz w:val="20"/>
      <w:szCs w:val="20"/>
      <w:lang w:val="sr-Latn-CS" w:eastAsia="en-GB"/>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Franklin Gothic Medium" w:eastAsia="Times New Roman" w:hAnsi="Franklin Gothic Medium"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Franklin Gothic Medium" w:eastAsia="Times New Roman" w:hAnsi="Franklin Gothic Medium"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Franklin Gothic Medium" w:eastAsia="Times New Roman" w:hAnsi="Franklin Gothic Medium" w:cs="Times New Roman"/>
        <w:b/>
        <w:bCs/>
      </w:rPr>
    </w:tblStylePr>
    <w:tblStylePr w:type="lastCol">
      <w:rPr>
        <w:rFonts w:ascii="Franklin Gothic Medium" w:eastAsia="Times New Roman" w:hAnsi="Franklin Gothic Medium"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LightGrid-Accent52111">
    <w:name w:val="Light Grid - Accent 52111"/>
    <w:basedOn w:val="TableNormal"/>
    <w:next w:val="LightGrid-Accent5"/>
    <w:uiPriority w:val="62"/>
    <w:rsid w:val="00C1281D"/>
    <w:pPr>
      <w:spacing w:after="0" w:line="240" w:lineRule="auto"/>
    </w:pPr>
    <w:rPr>
      <w:rFonts w:ascii="Calibri" w:eastAsia="Calibri" w:hAnsi="Calibri" w:cs="Times New Roman"/>
      <w:sz w:val="20"/>
      <w:szCs w:val="20"/>
      <w:lang w:val="en-GB" w:eastAsia="en-GB"/>
    </w:rPr>
    <w:tblPr>
      <w:tblStyleRowBandSize w:val="1"/>
      <w:tblStyleColBandSize w:val="1"/>
      <w:tblBorders>
        <w:top w:val="single" w:sz="8" w:space="0" w:color="8FB08C"/>
        <w:left w:val="single" w:sz="8" w:space="0" w:color="8FB08C"/>
        <w:bottom w:val="single" w:sz="8" w:space="0" w:color="8FB08C"/>
        <w:right w:val="single" w:sz="8" w:space="0" w:color="8FB08C"/>
        <w:insideH w:val="single" w:sz="8" w:space="0" w:color="8FB08C"/>
        <w:insideV w:val="single" w:sz="8" w:space="0" w:color="8FB08C"/>
      </w:tblBorders>
    </w:tblPr>
    <w:tblStylePr w:type="firstRow">
      <w:pPr>
        <w:spacing w:before="0" w:after="0" w:line="240" w:lineRule="auto"/>
      </w:pPr>
      <w:rPr>
        <w:rFonts w:ascii="Franklin Gothic Medium" w:eastAsia="Times New Roman" w:hAnsi="Franklin Gothic Medium" w:cs="Times New Roman"/>
        <w:b/>
        <w:bCs/>
      </w:rPr>
      <w:tblPr/>
      <w:tcPr>
        <w:tcBorders>
          <w:top w:val="single" w:sz="8" w:space="0" w:color="8FB08C"/>
          <w:left w:val="single" w:sz="8" w:space="0" w:color="8FB08C"/>
          <w:bottom w:val="single" w:sz="18" w:space="0" w:color="8FB08C"/>
          <w:right w:val="single" w:sz="8" w:space="0" w:color="8FB08C"/>
          <w:insideH w:val="nil"/>
          <w:insideV w:val="single" w:sz="8" w:space="0" w:color="8FB08C"/>
        </w:tcBorders>
      </w:tcPr>
    </w:tblStylePr>
    <w:tblStylePr w:type="lastRow">
      <w:pPr>
        <w:spacing w:before="0" w:after="0" w:line="240" w:lineRule="auto"/>
      </w:pPr>
      <w:rPr>
        <w:rFonts w:ascii="Franklin Gothic Medium" w:eastAsia="Times New Roman" w:hAnsi="Franklin Gothic Medium" w:cs="Times New Roman"/>
        <w:b/>
        <w:bCs/>
      </w:rPr>
      <w:tblPr/>
      <w:tcPr>
        <w:tcBorders>
          <w:top w:val="double" w:sz="6" w:space="0" w:color="8FB08C"/>
          <w:left w:val="single" w:sz="8" w:space="0" w:color="8FB08C"/>
          <w:bottom w:val="single" w:sz="8" w:space="0" w:color="8FB08C"/>
          <w:right w:val="single" w:sz="8" w:space="0" w:color="8FB08C"/>
          <w:insideH w:val="nil"/>
          <w:insideV w:val="single" w:sz="8" w:space="0" w:color="8FB08C"/>
        </w:tcBorders>
      </w:tcPr>
    </w:tblStylePr>
    <w:tblStylePr w:type="firstCol">
      <w:rPr>
        <w:rFonts w:ascii="Franklin Gothic Medium" w:eastAsia="Times New Roman" w:hAnsi="Franklin Gothic Medium" w:cs="Times New Roman"/>
        <w:b/>
        <w:bCs/>
      </w:rPr>
    </w:tblStylePr>
    <w:tblStylePr w:type="lastCol">
      <w:rPr>
        <w:rFonts w:ascii="Franklin Gothic Medium" w:eastAsia="Times New Roman" w:hAnsi="Franklin Gothic Medium" w:cs="Times New Roman"/>
        <w:b/>
        <w:bCs/>
      </w:rPr>
      <w:tblPr/>
      <w:tcPr>
        <w:tcBorders>
          <w:top w:val="single" w:sz="8" w:space="0" w:color="8FB08C"/>
          <w:left w:val="single" w:sz="8" w:space="0" w:color="8FB08C"/>
          <w:bottom w:val="single" w:sz="8" w:space="0" w:color="8FB08C"/>
          <w:right w:val="single" w:sz="8" w:space="0" w:color="8FB08C"/>
        </w:tcBorders>
      </w:tcPr>
    </w:tblStylePr>
    <w:tblStylePr w:type="band1Vert">
      <w:tblPr/>
      <w:tcPr>
        <w:tcBorders>
          <w:top w:val="single" w:sz="8" w:space="0" w:color="8FB08C"/>
          <w:left w:val="single" w:sz="8" w:space="0" w:color="8FB08C"/>
          <w:bottom w:val="single" w:sz="8" w:space="0" w:color="8FB08C"/>
          <w:right w:val="single" w:sz="8" w:space="0" w:color="8FB08C"/>
        </w:tcBorders>
        <w:shd w:val="clear" w:color="auto" w:fill="E3EBE2"/>
      </w:tcPr>
    </w:tblStylePr>
    <w:tblStylePr w:type="band1Horz">
      <w:tblPr/>
      <w:tcPr>
        <w:tcBorders>
          <w:top w:val="single" w:sz="8" w:space="0" w:color="8FB08C"/>
          <w:left w:val="single" w:sz="8" w:space="0" w:color="8FB08C"/>
          <w:bottom w:val="single" w:sz="8" w:space="0" w:color="8FB08C"/>
          <w:right w:val="single" w:sz="8" w:space="0" w:color="8FB08C"/>
          <w:insideV w:val="single" w:sz="8" w:space="0" w:color="8FB08C"/>
        </w:tcBorders>
        <w:shd w:val="clear" w:color="auto" w:fill="E3EBE2"/>
      </w:tcPr>
    </w:tblStylePr>
    <w:tblStylePr w:type="band2Horz">
      <w:tblPr/>
      <w:tcPr>
        <w:tcBorders>
          <w:top w:val="single" w:sz="8" w:space="0" w:color="8FB08C"/>
          <w:left w:val="single" w:sz="8" w:space="0" w:color="8FB08C"/>
          <w:bottom w:val="single" w:sz="8" w:space="0" w:color="8FB08C"/>
          <w:right w:val="single" w:sz="8" w:space="0" w:color="8FB08C"/>
          <w:insideV w:val="single" w:sz="8" w:space="0" w:color="8FB08C"/>
        </w:tcBorders>
      </w:tcPr>
    </w:tblStylePr>
  </w:style>
  <w:style w:type="table" w:customStyle="1" w:styleId="LightGrid-Accent512111">
    <w:name w:val="Light Grid - Accent 512111"/>
    <w:basedOn w:val="TableNormal"/>
    <w:next w:val="LightGrid-Accent5"/>
    <w:uiPriority w:val="62"/>
    <w:rsid w:val="00C1281D"/>
    <w:pPr>
      <w:spacing w:after="0" w:line="240" w:lineRule="auto"/>
    </w:pPr>
    <w:rPr>
      <w:rFonts w:ascii="Calibri" w:eastAsia="Calibri" w:hAnsi="Calibri" w:cs="Times New Roman"/>
      <w:sz w:val="20"/>
      <w:szCs w:val="20"/>
      <w:lang w:val="sr-Latn-CS" w:eastAsia="en-GB"/>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Franklin Gothic Medium" w:eastAsia="Times New Roman" w:hAnsi="Franklin Gothic Medium"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Franklin Gothic Medium" w:eastAsia="Times New Roman" w:hAnsi="Franklin Gothic Medium"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Franklin Gothic Medium" w:eastAsia="Times New Roman" w:hAnsi="Franklin Gothic Medium" w:cs="Times New Roman"/>
        <w:b/>
        <w:bCs/>
      </w:rPr>
    </w:tblStylePr>
    <w:tblStylePr w:type="lastCol">
      <w:rPr>
        <w:rFonts w:ascii="Franklin Gothic Medium" w:eastAsia="Times New Roman" w:hAnsi="Franklin Gothic Medium"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LightGrid-Accent53111">
    <w:name w:val="Light Grid - Accent 53111"/>
    <w:basedOn w:val="TableNormal"/>
    <w:next w:val="LightGrid-Accent5"/>
    <w:uiPriority w:val="62"/>
    <w:rsid w:val="00C1281D"/>
    <w:pPr>
      <w:spacing w:after="0" w:line="240" w:lineRule="auto"/>
    </w:pPr>
    <w:rPr>
      <w:rFonts w:ascii="Calibri" w:eastAsia="Calibri" w:hAnsi="Calibri" w:cs="Times New Roman"/>
      <w:sz w:val="20"/>
      <w:szCs w:val="20"/>
      <w:lang w:val="en-GB" w:eastAsia="en-GB"/>
    </w:rPr>
    <w:tblPr>
      <w:tblStyleRowBandSize w:val="1"/>
      <w:tblStyleColBandSize w:val="1"/>
      <w:tblBorders>
        <w:top w:val="single" w:sz="8" w:space="0" w:color="8FB08C"/>
        <w:left w:val="single" w:sz="8" w:space="0" w:color="8FB08C"/>
        <w:bottom w:val="single" w:sz="8" w:space="0" w:color="8FB08C"/>
        <w:right w:val="single" w:sz="8" w:space="0" w:color="8FB08C"/>
        <w:insideH w:val="single" w:sz="8" w:space="0" w:color="8FB08C"/>
        <w:insideV w:val="single" w:sz="8" w:space="0" w:color="8FB08C"/>
      </w:tblBorders>
    </w:tblPr>
    <w:tblStylePr w:type="firstRow">
      <w:pPr>
        <w:spacing w:before="0" w:after="0" w:line="240" w:lineRule="auto"/>
      </w:pPr>
      <w:rPr>
        <w:rFonts w:ascii="Franklin Gothic Medium" w:eastAsia="Times New Roman" w:hAnsi="Franklin Gothic Medium" w:cs="Times New Roman"/>
        <w:b/>
        <w:bCs/>
      </w:rPr>
      <w:tblPr/>
      <w:tcPr>
        <w:tcBorders>
          <w:top w:val="single" w:sz="8" w:space="0" w:color="8FB08C"/>
          <w:left w:val="single" w:sz="8" w:space="0" w:color="8FB08C"/>
          <w:bottom w:val="single" w:sz="18" w:space="0" w:color="8FB08C"/>
          <w:right w:val="single" w:sz="8" w:space="0" w:color="8FB08C"/>
          <w:insideH w:val="nil"/>
          <w:insideV w:val="single" w:sz="8" w:space="0" w:color="8FB08C"/>
        </w:tcBorders>
      </w:tcPr>
    </w:tblStylePr>
    <w:tblStylePr w:type="lastRow">
      <w:pPr>
        <w:spacing w:before="0" w:after="0" w:line="240" w:lineRule="auto"/>
      </w:pPr>
      <w:rPr>
        <w:rFonts w:ascii="Franklin Gothic Medium" w:eastAsia="Times New Roman" w:hAnsi="Franklin Gothic Medium" w:cs="Times New Roman"/>
        <w:b/>
        <w:bCs/>
      </w:rPr>
      <w:tblPr/>
      <w:tcPr>
        <w:tcBorders>
          <w:top w:val="double" w:sz="6" w:space="0" w:color="8FB08C"/>
          <w:left w:val="single" w:sz="8" w:space="0" w:color="8FB08C"/>
          <w:bottom w:val="single" w:sz="8" w:space="0" w:color="8FB08C"/>
          <w:right w:val="single" w:sz="8" w:space="0" w:color="8FB08C"/>
          <w:insideH w:val="nil"/>
          <w:insideV w:val="single" w:sz="8" w:space="0" w:color="8FB08C"/>
        </w:tcBorders>
      </w:tcPr>
    </w:tblStylePr>
    <w:tblStylePr w:type="firstCol">
      <w:rPr>
        <w:rFonts w:ascii="Franklin Gothic Medium" w:eastAsia="Times New Roman" w:hAnsi="Franklin Gothic Medium" w:cs="Times New Roman"/>
        <w:b/>
        <w:bCs/>
      </w:rPr>
    </w:tblStylePr>
    <w:tblStylePr w:type="lastCol">
      <w:rPr>
        <w:rFonts w:ascii="Franklin Gothic Medium" w:eastAsia="Times New Roman" w:hAnsi="Franklin Gothic Medium" w:cs="Times New Roman"/>
        <w:b/>
        <w:bCs/>
      </w:rPr>
      <w:tblPr/>
      <w:tcPr>
        <w:tcBorders>
          <w:top w:val="single" w:sz="8" w:space="0" w:color="8FB08C"/>
          <w:left w:val="single" w:sz="8" w:space="0" w:color="8FB08C"/>
          <w:bottom w:val="single" w:sz="8" w:space="0" w:color="8FB08C"/>
          <w:right w:val="single" w:sz="8" w:space="0" w:color="8FB08C"/>
        </w:tcBorders>
      </w:tcPr>
    </w:tblStylePr>
    <w:tblStylePr w:type="band1Vert">
      <w:tblPr/>
      <w:tcPr>
        <w:tcBorders>
          <w:top w:val="single" w:sz="8" w:space="0" w:color="8FB08C"/>
          <w:left w:val="single" w:sz="8" w:space="0" w:color="8FB08C"/>
          <w:bottom w:val="single" w:sz="8" w:space="0" w:color="8FB08C"/>
          <w:right w:val="single" w:sz="8" w:space="0" w:color="8FB08C"/>
        </w:tcBorders>
        <w:shd w:val="clear" w:color="auto" w:fill="E3EBE2"/>
      </w:tcPr>
    </w:tblStylePr>
    <w:tblStylePr w:type="band1Horz">
      <w:tblPr/>
      <w:tcPr>
        <w:tcBorders>
          <w:top w:val="single" w:sz="8" w:space="0" w:color="8FB08C"/>
          <w:left w:val="single" w:sz="8" w:space="0" w:color="8FB08C"/>
          <w:bottom w:val="single" w:sz="8" w:space="0" w:color="8FB08C"/>
          <w:right w:val="single" w:sz="8" w:space="0" w:color="8FB08C"/>
          <w:insideV w:val="single" w:sz="8" w:space="0" w:color="8FB08C"/>
        </w:tcBorders>
        <w:shd w:val="clear" w:color="auto" w:fill="E3EBE2"/>
      </w:tcPr>
    </w:tblStylePr>
    <w:tblStylePr w:type="band2Horz">
      <w:tblPr/>
      <w:tcPr>
        <w:tcBorders>
          <w:top w:val="single" w:sz="8" w:space="0" w:color="8FB08C"/>
          <w:left w:val="single" w:sz="8" w:space="0" w:color="8FB08C"/>
          <w:bottom w:val="single" w:sz="8" w:space="0" w:color="8FB08C"/>
          <w:right w:val="single" w:sz="8" w:space="0" w:color="8FB08C"/>
          <w:insideV w:val="single" w:sz="8" w:space="0" w:color="8FB08C"/>
        </w:tcBorders>
      </w:tcPr>
    </w:tblStylePr>
  </w:style>
  <w:style w:type="table" w:customStyle="1" w:styleId="LightGrid-Accent513111">
    <w:name w:val="Light Grid - Accent 513111"/>
    <w:basedOn w:val="TableNormal"/>
    <w:next w:val="LightGrid-Accent5"/>
    <w:uiPriority w:val="62"/>
    <w:rsid w:val="00C1281D"/>
    <w:pPr>
      <w:spacing w:after="0" w:line="240" w:lineRule="auto"/>
    </w:pPr>
    <w:rPr>
      <w:rFonts w:ascii="Calibri" w:eastAsia="Calibri" w:hAnsi="Calibri" w:cs="Times New Roman"/>
      <w:sz w:val="20"/>
      <w:szCs w:val="20"/>
      <w:lang w:val="sr-Latn-CS" w:eastAsia="en-GB"/>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Franklin Gothic Medium" w:eastAsia="Times New Roman" w:hAnsi="Franklin Gothic Medium"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Franklin Gothic Medium" w:eastAsia="Times New Roman" w:hAnsi="Franklin Gothic Medium"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Franklin Gothic Medium" w:eastAsia="Times New Roman" w:hAnsi="Franklin Gothic Medium" w:cs="Times New Roman"/>
        <w:b/>
        <w:bCs/>
      </w:rPr>
    </w:tblStylePr>
    <w:tblStylePr w:type="lastCol">
      <w:rPr>
        <w:rFonts w:ascii="Franklin Gothic Medium" w:eastAsia="Times New Roman" w:hAnsi="Franklin Gothic Medium"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LightGrid-Accent54111">
    <w:name w:val="Light Grid - Accent 54111"/>
    <w:basedOn w:val="TableNormal"/>
    <w:next w:val="LightGrid-Accent5"/>
    <w:uiPriority w:val="62"/>
    <w:rsid w:val="00C1281D"/>
    <w:pPr>
      <w:spacing w:after="0" w:line="240" w:lineRule="auto"/>
    </w:pPr>
    <w:rPr>
      <w:rFonts w:ascii="Calibri" w:eastAsia="Calibri" w:hAnsi="Calibri" w:cs="Times New Roman"/>
      <w:sz w:val="20"/>
      <w:szCs w:val="20"/>
      <w:lang w:val="en-GB" w:eastAsia="en-GB"/>
    </w:rPr>
    <w:tblPr>
      <w:tblStyleRowBandSize w:val="1"/>
      <w:tblStyleColBandSize w:val="1"/>
      <w:tblBorders>
        <w:top w:val="single" w:sz="8" w:space="0" w:color="8FB08C"/>
        <w:left w:val="single" w:sz="8" w:space="0" w:color="8FB08C"/>
        <w:bottom w:val="single" w:sz="8" w:space="0" w:color="8FB08C"/>
        <w:right w:val="single" w:sz="8" w:space="0" w:color="8FB08C"/>
        <w:insideH w:val="single" w:sz="8" w:space="0" w:color="8FB08C"/>
        <w:insideV w:val="single" w:sz="8" w:space="0" w:color="8FB08C"/>
      </w:tblBorders>
    </w:tblPr>
    <w:tblStylePr w:type="firstRow">
      <w:pPr>
        <w:spacing w:before="0" w:after="0" w:line="240" w:lineRule="auto"/>
      </w:pPr>
      <w:rPr>
        <w:rFonts w:ascii="Franklin Gothic Medium" w:eastAsia="Times New Roman" w:hAnsi="Franklin Gothic Medium" w:cs="Times New Roman"/>
        <w:b/>
        <w:bCs/>
      </w:rPr>
      <w:tblPr/>
      <w:tcPr>
        <w:tcBorders>
          <w:top w:val="single" w:sz="8" w:space="0" w:color="8FB08C"/>
          <w:left w:val="single" w:sz="8" w:space="0" w:color="8FB08C"/>
          <w:bottom w:val="single" w:sz="18" w:space="0" w:color="8FB08C"/>
          <w:right w:val="single" w:sz="8" w:space="0" w:color="8FB08C"/>
          <w:insideH w:val="nil"/>
          <w:insideV w:val="single" w:sz="8" w:space="0" w:color="8FB08C"/>
        </w:tcBorders>
      </w:tcPr>
    </w:tblStylePr>
    <w:tblStylePr w:type="lastRow">
      <w:pPr>
        <w:spacing w:before="0" w:after="0" w:line="240" w:lineRule="auto"/>
      </w:pPr>
      <w:rPr>
        <w:rFonts w:ascii="Franklin Gothic Medium" w:eastAsia="Times New Roman" w:hAnsi="Franklin Gothic Medium" w:cs="Times New Roman"/>
        <w:b/>
        <w:bCs/>
      </w:rPr>
      <w:tblPr/>
      <w:tcPr>
        <w:tcBorders>
          <w:top w:val="double" w:sz="6" w:space="0" w:color="8FB08C"/>
          <w:left w:val="single" w:sz="8" w:space="0" w:color="8FB08C"/>
          <w:bottom w:val="single" w:sz="8" w:space="0" w:color="8FB08C"/>
          <w:right w:val="single" w:sz="8" w:space="0" w:color="8FB08C"/>
          <w:insideH w:val="nil"/>
          <w:insideV w:val="single" w:sz="8" w:space="0" w:color="8FB08C"/>
        </w:tcBorders>
      </w:tcPr>
    </w:tblStylePr>
    <w:tblStylePr w:type="firstCol">
      <w:rPr>
        <w:rFonts w:ascii="Franklin Gothic Medium" w:eastAsia="Times New Roman" w:hAnsi="Franklin Gothic Medium" w:cs="Times New Roman"/>
        <w:b/>
        <w:bCs/>
      </w:rPr>
    </w:tblStylePr>
    <w:tblStylePr w:type="lastCol">
      <w:rPr>
        <w:rFonts w:ascii="Franklin Gothic Medium" w:eastAsia="Times New Roman" w:hAnsi="Franklin Gothic Medium" w:cs="Times New Roman"/>
        <w:b/>
        <w:bCs/>
      </w:rPr>
      <w:tblPr/>
      <w:tcPr>
        <w:tcBorders>
          <w:top w:val="single" w:sz="8" w:space="0" w:color="8FB08C"/>
          <w:left w:val="single" w:sz="8" w:space="0" w:color="8FB08C"/>
          <w:bottom w:val="single" w:sz="8" w:space="0" w:color="8FB08C"/>
          <w:right w:val="single" w:sz="8" w:space="0" w:color="8FB08C"/>
        </w:tcBorders>
      </w:tcPr>
    </w:tblStylePr>
    <w:tblStylePr w:type="band1Vert">
      <w:tblPr/>
      <w:tcPr>
        <w:tcBorders>
          <w:top w:val="single" w:sz="8" w:space="0" w:color="8FB08C"/>
          <w:left w:val="single" w:sz="8" w:space="0" w:color="8FB08C"/>
          <w:bottom w:val="single" w:sz="8" w:space="0" w:color="8FB08C"/>
          <w:right w:val="single" w:sz="8" w:space="0" w:color="8FB08C"/>
        </w:tcBorders>
        <w:shd w:val="clear" w:color="auto" w:fill="E3EBE2"/>
      </w:tcPr>
    </w:tblStylePr>
    <w:tblStylePr w:type="band1Horz">
      <w:tblPr/>
      <w:tcPr>
        <w:tcBorders>
          <w:top w:val="single" w:sz="8" w:space="0" w:color="8FB08C"/>
          <w:left w:val="single" w:sz="8" w:space="0" w:color="8FB08C"/>
          <w:bottom w:val="single" w:sz="8" w:space="0" w:color="8FB08C"/>
          <w:right w:val="single" w:sz="8" w:space="0" w:color="8FB08C"/>
          <w:insideV w:val="single" w:sz="8" w:space="0" w:color="8FB08C"/>
        </w:tcBorders>
        <w:shd w:val="clear" w:color="auto" w:fill="E3EBE2"/>
      </w:tcPr>
    </w:tblStylePr>
    <w:tblStylePr w:type="band2Horz">
      <w:tblPr/>
      <w:tcPr>
        <w:tcBorders>
          <w:top w:val="single" w:sz="8" w:space="0" w:color="8FB08C"/>
          <w:left w:val="single" w:sz="8" w:space="0" w:color="8FB08C"/>
          <w:bottom w:val="single" w:sz="8" w:space="0" w:color="8FB08C"/>
          <w:right w:val="single" w:sz="8" w:space="0" w:color="8FB08C"/>
          <w:insideV w:val="single" w:sz="8" w:space="0" w:color="8FB08C"/>
        </w:tcBorders>
      </w:tcPr>
    </w:tblStylePr>
  </w:style>
  <w:style w:type="table" w:customStyle="1" w:styleId="LightShading-Accent621">
    <w:name w:val="Light Shading - Accent 621"/>
    <w:basedOn w:val="TableNormal"/>
    <w:next w:val="LightShading-Accent6"/>
    <w:uiPriority w:val="60"/>
    <w:rsid w:val="00C1281D"/>
    <w:pPr>
      <w:spacing w:after="0" w:line="240" w:lineRule="auto"/>
    </w:pPr>
    <w:rPr>
      <w:rFonts w:ascii="Calibri" w:eastAsia="Calibri" w:hAnsi="Calibri" w:cs="Times New Roman"/>
      <w:color w:val="393939"/>
      <w:sz w:val="20"/>
      <w:szCs w:val="20"/>
    </w:rPr>
    <w:tblPr>
      <w:tblStyleRowBandSize w:val="1"/>
      <w:tblStyleColBandSize w:val="1"/>
      <w:tblBorders>
        <w:top w:val="single" w:sz="8" w:space="0" w:color="4D4D4D"/>
        <w:bottom w:val="single" w:sz="8" w:space="0" w:color="4D4D4D"/>
      </w:tblBorders>
    </w:tblPr>
    <w:tblStylePr w:type="firstRow">
      <w:pPr>
        <w:spacing w:beforeLines="0" w:before="0" w:beforeAutospacing="0" w:afterLines="0" w:after="0" w:afterAutospacing="0" w:line="240" w:lineRule="auto"/>
      </w:pPr>
      <w:rPr>
        <w:b/>
        <w:bCs/>
      </w:rPr>
      <w:tblPr/>
      <w:tcPr>
        <w:tcBorders>
          <w:top w:val="single" w:sz="8" w:space="0" w:color="4D4D4D"/>
          <w:left w:val="nil"/>
          <w:bottom w:val="single" w:sz="8" w:space="0" w:color="4D4D4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D4D4D"/>
          <w:left w:val="nil"/>
          <w:bottom w:val="single" w:sz="8" w:space="0" w:color="4D4D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3D3"/>
      </w:tcPr>
    </w:tblStylePr>
    <w:tblStylePr w:type="band1Horz">
      <w:tblPr/>
      <w:tcPr>
        <w:tcBorders>
          <w:left w:val="nil"/>
          <w:right w:val="nil"/>
          <w:insideH w:val="nil"/>
          <w:insideV w:val="nil"/>
        </w:tcBorders>
        <w:shd w:val="clear" w:color="auto" w:fill="D3D3D3"/>
      </w:tcPr>
    </w:tblStylePr>
  </w:style>
  <w:style w:type="table" w:customStyle="1" w:styleId="GridTable6Colorful-Accent421">
    <w:name w:val="Grid Table 6 Colorful - Accent 421"/>
    <w:basedOn w:val="TableNormal"/>
    <w:next w:val="GridTable6Colorful-Accent43"/>
    <w:uiPriority w:val="51"/>
    <w:rsid w:val="00C1281D"/>
    <w:pPr>
      <w:spacing w:after="0" w:line="240" w:lineRule="auto"/>
    </w:pPr>
    <w:rPr>
      <w:color w:val="5F5F5F"/>
    </w:rPr>
    <w:tblPr>
      <w:tblStyleRowBandSize w:val="1"/>
      <w:tblStyleColBandSize w:val="1"/>
      <w:tblBorders>
        <w:top w:val="single" w:sz="4" w:space="0" w:color="B2B2B2"/>
        <w:left w:val="single" w:sz="4" w:space="0" w:color="B2B2B2"/>
        <w:bottom w:val="single" w:sz="4" w:space="0" w:color="B2B2B2"/>
        <w:right w:val="single" w:sz="4" w:space="0" w:color="B2B2B2"/>
        <w:insideH w:val="single" w:sz="4" w:space="0" w:color="B2B2B2"/>
        <w:insideV w:val="single" w:sz="4" w:space="0" w:color="B2B2B2"/>
      </w:tblBorders>
    </w:tblPr>
    <w:tblStylePr w:type="firstRow">
      <w:rPr>
        <w:b/>
        <w:bCs/>
      </w:rPr>
      <w:tblPr/>
      <w:tcPr>
        <w:tcBorders>
          <w:bottom w:val="single" w:sz="12" w:space="0" w:color="B2B2B2"/>
        </w:tcBorders>
      </w:tcPr>
    </w:tblStylePr>
    <w:tblStylePr w:type="lastRow">
      <w:rPr>
        <w:b/>
        <w:bCs/>
      </w:rPr>
      <w:tblPr/>
      <w:tcPr>
        <w:tcBorders>
          <w:top w:val="double" w:sz="4" w:space="0" w:color="B2B2B2"/>
        </w:tcBorders>
      </w:tcPr>
    </w:tblStylePr>
    <w:tblStylePr w:type="firstCol">
      <w:rPr>
        <w:b/>
        <w:bCs/>
      </w:rPr>
    </w:tblStylePr>
    <w:tblStylePr w:type="lastCol">
      <w:rPr>
        <w:b/>
        <w:bCs/>
      </w:rPr>
    </w:tblStylePr>
    <w:tblStylePr w:type="band1Vert">
      <w:tblPr/>
      <w:tcPr>
        <w:shd w:val="clear" w:color="auto" w:fill="E5E5E5"/>
      </w:tcPr>
    </w:tblStylePr>
    <w:tblStylePr w:type="band1Horz">
      <w:tblPr/>
      <w:tcPr>
        <w:shd w:val="clear" w:color="auto" w:fill="E5E5E5"/>
      </w:tcPr>
    </w:tblStylePr>
  </w:style>
  <w:style w:type="table" w:customStyle="1" w:styleId="GridTable6Colorful-Accent321">
    <w:name w:val="Grid Table 6 Colorful - Accent 321"/>
    <w:basedOn w:val="TableNormal"/>
    <w:next w:val="GridTable6Colorful-Accent33"/>
    <w:uiPriority w:val="51"/>
    <w:rsid w:val="00C1281D"/>
    <w:pPr>
      <w:spacing w:after="0" w:line="240" w:lineRule="auto"/>
    </w:pPr>
    <w:rPr>
      <w:rFonts w:ascii="Calibri" w:eastAsia="Calibri" w:hAnsi="Calibri" w:cs="Times New Roman"/>
      <w:color w:val="707070"/>
      <w:sz w:val="20"/>
      <w:szCs w:val="20"/>
    </w:rPr>
    <w:tblPr>
      <w:tblStyleRowBandSize w:val="1"/>
      <w:tblStyleColBandSize w:val="1"/>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Pr>
    <w:tblStylePr w:type="firstRow">
      <w:rPr>
        <w:b/>
        <w:bCs/>
      </w:rPr>
      <w:tblPr/>
      <w:tcPr>
        <w:tcBorders>
          <w:bottom w:val="single" w:sz="12" w:space="0" w:color="C0C0C0"/>
        </w:tcBorders>
      </w:tcPr>
    </w:tblStylePr>
    <w:tblStylePr w:type="lastRow">
      <w:rPr>
        <w:b/>
        <w:bCs/>
      </w:rPr>
      <w:tblPr/>
      <w:tcPr>
        <w:tcBorders>
          <w:top w:val="double" w:sz="4" w:space="0" w:color="C0C0C0"/>
        </w:tcBorders>
      </w:tcPr>
    </w:tblStylePr>
    <w:tblStylePr w:type="firstCol">
      <w:rPr>
        <w:b/>
        <w:bCs/>
      </w:rPr>
    </w:tblStylePr>
    <w:tblStylePr w:type="lastCol">
      <w:rPr>
        <w:b/>
        <w:bCs/>
      </w:rPr>
    </w:tblStylePr>
    <w:tblStylePr w:type="band1Vert">
      <w:tblPr/>
      <w:tcPr>
        <w:shd w:val="clear" w:color="auto" w:fill="EAEAEA"/>
      </w:tcPr>
    </w:tblStylePr>
    <w:tblStylePr w:type="band1Horz">
      <w:tblPr/>
      <w:tcPr>
        <w:shd w:val="clear" w:color="auto" w:fill="EAEAEA"/>
      </w:tcPr>
    </w:tblStylePr>
  </w:style>
  <w:style w:type="table" w:customStyle="1" w:styleId="GridTable4-Accent521">
    <w:name w:val="Grid Table 4 - Accent 521"/>
    <w:basedOn w:val="TableNormal"/>
    <w:next w:val="GridTable4-Accent53"/>
    <w:uiPriority w:val="49"/>
    <w:rsid w:val="00C1281D"/>
    <w:pPr>
      <w:spacing w:after="0" w:line="240" w:lineRule="auto"/>
    </w:pPr>
    <w:rPr>
      <w:rFonts w:ascii="Calibri" w:eastAsia="Calibri" w:hAnsi="Calibri" w:cs="Times New Roman"/>
      <w:sz w:val="20"/>
      <w:szCs w:val="20"/>
    </w:rPr>
    <w:tblPr>
      <w:tblStyleRowBandSize w:val="1"/>
      <w:tblStyleColBandSize w:val="1"/>
      <w:tblBorders>
        <w:top w:val="single" w:sz="4" w:space="0" w:color="9F9F9F"/>
        <w:left w:val="single" w:sz="4" w:space="0" w:color="9F9F9F"/>
        <w:bottom w:val="single" w:sz="4" w:space="0" w:color="9F9F9F"/>
        <w:right w:val="single" w:sz="4" w:space="0" w:color="9F9F9F"/>
        <w:insideH w:val="single" w:sz="4" w:space="0" w:color="9F9F9F"/>
        <w:insideV w:val="single" w:sz="4" w:space="0" w:color="9F9F9F"/>
      </w:tblBorders>
    </w:tblPr>
    <w:tblStylePr w:type="firstRow">
      <w:rPr>
        <w:b/>
        <w:bCs/>
        <w:color w:val="FFFFFF"/>
      </w:rPr>
      <w:tblPr/>
      <w:tcPr>
        <w:tcBorders>
          <w:top w:val="single" w:sz="4" w:space="0" w:color="5F5F5F"/>
          <w:left w:val="single" w:sz="4" w:space="0" w:color="5F5F5F"/>
          <w:bottom w:val="single" w:sz="4" w:space="0" w:color="5F5F5F"/>
          <w:right w:val="single" w:sz="4" w:space="0" w:color="5F5F5F"/>
          <w:insideH w:val="nil"/>
          <w:insideV w:val="nil"/>
        </w:tcBorders>
        <w:shd w:val="clear" w:color="auto" w:fill="5F5F5F"/>
      </w:tcPr>
    </w:tblStylePr>
    <w:tblStylePr w:type="lastRow">
      <w:rPr>
        <w:b/>
        <w:bCs/>
      </w:rPr>
      <w:tblPr/>
      <w:tcPr>
        <w:tcBorders>
          <w:top w:val="double" w:sz="4" w:space="0" w:color="5F5F5F"/>
        </w:tcBorders>
      </w:tcPr>
    </w:tblStylePr>
    <w:tblStylePr w:type="firstCol">
      <w:rPr>
        <w:b/>
        <w:bCs/>
      </w:rPr>
    </w:tblStylePr>
    <w:tblStylePr w:type="lastCol">
      <w:rPr>
        <w:b/>
        <w:bCs/>
      </w:rPr>
    </w:tblStylePr>
    <w:tblStylePr w:type="band1Vert">
      <w:tblPr/>
      <w:tcPr>
        <w:shd w:val="clear" w:color="auto" w:fill="DFDFDF"/>
      </w:tcPr>
    </w:tblStylePr>
    <w:tblStylePr w:type="band1Horz">
      <w:tblPr/>
      <w:tcPr>
        <w:shd w:val="clear" w:color="auto" w:fill="DFDFDF"/>
      </w:tcPr>
    </w:tblStylePr>
  </w:style>
  <w:style w:type="table" w:customStyle="1" w:styleId="GridTable5Dark-Accent521">
    <w:name w:val="Grid Table 5 Dark - Accent 521"/>
    <w:basedOn w:val="TableNormal"/>
    <w:next w:val="GridTable5Dark-Accent53"/>
    <w:uiPriority w:val="50"/>
    <w:rsid w:val="00C1281D"/>
    <w:pPr>
      <w:spacing w:after="0" w:line="240" w:lineRule="auto"/>
    </w:pPr>
    <w:rPr>
      <w:rFonts w:ascii="Calibri" w:eastAsia="Calibri" w:hAnsi="Calibri" w:cs="Times New Roman"/>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FDFDF"/>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F5F5F"/>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F5F5F"/>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F5F5F"/>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F5F5F"/>
      </w:tcPr>
    </w:tblStylePr>
    <w:tblStylePr w:type="band1Vert">
      <w:tblPr/>
      <w:tcPr>
        <w:shd w:val="clear" w:color="auto" w:fill="BFBFBF"/>
      </w:tcPr>
    </w:tblStylePr>
    <w:tblStylePr w:type="band1Horz">
      <w:tblPr/>
      <w:tcPr>
        <w:shd w:val="clear" w:color="auto" w:fill="BFBFBF"/>
      </w:tcPr>
    </w:tblStylePr>
  </w:style>
  <w:style w:type="table" w:customStyle="1" w:styleId="110">
    <w:name w:val="ФС11"/>
    <w:basedOn w:val="TableNormal"/>
    <w:uiPriority w:val="99"/>
    <w:rsid w:val="00C1281D"/>
    <w:pPr>
      <w:spacing w:after="0" w:line="240" w:lineRule="auto"/>
    </w:pPr>
    <w:rPr>
      <w:rFonts w:ascii="Calibri" w:eastAsia="Calibri" w:hAnsi="Calibri" w:cs="Times New Roman"/>
      <w:sz w:val="20"/>
      <w:szCs w:val="20"/>
    </w:rPr>
    <w:tblPr/>
  </w:style>
  <w:style w:type="table" w:customStyle="1" w:styleId="ListTable6Colorful-Accent321">
    <w:name w:val="List Table 6 Colorful - Accent 321"/>
    <w:basedOn w:val="TableNormal"/>
    <w:next w:val="ListTable6Colorful-Accent33"/>
    <w:uiPriority w:val="51"/>
    <w:rsid w:val="00C1281D"/>
    <w:pPr>
      <w:spacing w:after="0" w:line="240" w:lineRule="auto"/>
    </w:pPr>
    <w:rPr>
      <w:rFonts w:ascii="Calibri" w:eastAsia="Calibri" w:hAnsi="Calibri" w:cs="Times New Roman"/>
      <w:color w:val="707070"/>
      <w:sz w:val="20"/>
      <w:szCs w:val="20"/>
    </w:rPr>
    <w:tblPr>
      <w:tblStyleRowBandSize w:val="1"/>
      <w:tblStyleColBandSize w:val="1"/>
      <w:tblBorders>
        <w:top w:val="single" w:sz="4" w:space="0" w:color="969696"/>
        <w:bottom w:val="single" w:sz="4" w:space="0" w:color="969696"/>
      </w:tblBorders>
    </w:tblPr>
    <w:tblStylePr w:type="firstRow">
      <w:rPr>
        <w:b/>
        <w:bCs/>
      </w:rPr>
      <w:tblPr/>
      <w:tcPr>
        <w:tcBorders>
          <w:bottom w:val="single" w:sz="4" w:space="0" w:color="969696"/>
        </w:tcBorders>
      </w:tcPr>
    </w:tblStylePr>
    <w:tblStylePr w:type="lastRow">
      <w:rPr>
        <w:b/>
        <w:bCs/>
      </w:rPr>
      <w:tblPr/>
      <w:tcPr>
        <w:tcBorders>
          <w:top w:val="double" w:sz="4" w:space="0" w:color="969696"/>
        </w:tcBorders>
      </w:tcPr>
    </w:tblStylePr>
    <w:tblStylePr w:type="firstCol">
      <w:rPr>
        <w:b/>
        <w:bCs/>
      </w:rPr>
    </w:tblStylePr>
    <w:tblStylePr w:type="lastCol">
      <w:rPr>
        <w:b/>
        <w:bCs/>
      </w:rPr>
    </w:tblStylePr>
    <w:tblStylePr w:type="band1Vert">
      <w:tblPr/>
      <w:tcPr>
        <w:shd w:val="clear" w:color="auto" w:fill="EAEAEA"/>
      </w:tcPr>
    </w:tblStylePr>
    <w:tblStylePr w:type="band1Horz">
      <w:tblPr/>
      <w:tcPr>
        <w:shd w:val="clear" w:color="auto" w:fill="EAEAEA"/>
      </w:tcPr>
    </w:tblStylePr>
  </w:style>
  <w:style w:type="table" w:customStyle="1" w:styleId="GridTable1Light-Accent121">
    <w:name w:val="Grid Table 1 Light - Accent 121"/>
    <w:basedOn w:val="TableNormal"/>
    <w:next w:val="GridTable1Light-Accent13"/>
    <w:uiPriority w:val="46"/>
    <w:rsid w:val="00C1281D"/>
    <w:pPr>
      <w:spacing w:after="0" w:line="240" w:lineRule="auto"/>
    </w:pPr>
    <w:tblPr>
      <w:tblStyleRowBandSize w:val="1"/>
      <w:tblStyleColBandSize w:val="1"/>
      <w:tblBorders>
        <w:top w:val="single" w:sz="4" w:space="0" w:color="F8B4A6"/>
        <w:left w:val="single" w:sz="4" w:space="0" w:color="F8B4A6"/>
        <w:bottom w:val="single" w:sz="4" w:space="0" w:color="F8B4A6"/>
        <w:right w:val="single" w:sz="4" w:space="0" w:color="F8B4A6"/>
        <w:insideH w:val="single" w:sz="4" w:space="0" w:color="F8B4A6"/>
        <w:insideV w:val="single" w:sz="4" w:space="0" w:color="F8B4A6"/>
      </w:tblBorders>
    </w:tblPr>
    <w:tblStylePr w:type="firstRow">
      <w:rPr>
        <w:b/>
        <w:bCs/>
      </w:rPr>
      <w:tblPr/>
      <w:tcPr>
        <w:tcBorders>
          <w:bottom w:val="single" w:sz="12" w:space="0" w:color="F58F7A"/>
        </w:tcBorders>
      </w:tcPr>
    </w:tblStylePr>
    <w:tblStylePr w:type="lastRow">
      <w:rPr>
        <w:b/>
        <w:bCs/>
      </w:rPr>
      <w:tblPr/>
      <w:tcPr>
        <w:tcBorders>
          <w:top w:val="double" w:sz="2" w:space="0" w:color="F58F7A"/>
        </w:tcBorders>
      </w:tcPr>
    </w:tblStylePr>
    <w:tblStylePr w:type="firstCol">
      <w:rPr>
        <w:b/>
        <w:bCs/>
      </w:rPr>
    </w:tblStylePr>
    <w:tblStylePr w:type="lastCol">
      <w:rPr>
        <w:b/>
        <w:bCs/>
      </w:rPr>
    </w:tblStylePr>
  </w:style>
  <w:style w:type="table" w:customStyle="1" w:styleId="ListTable1Light-Accent121">
    <w:name w:val="List Table 1 Light - Accent 121"/>
    <w:basedOn w:val="TableNormal"/>
    <w:next w:val="ListTable1Light-Accent13"/>
    <w:uiPriority w:val="46"/>
    <w:rsid w:val="00C1281D"/>
    <w:pPr>
      <w:spacing w:after="0" w:line="240" w:lineRule="auto"/>
    </w:pPr>
    <w:tblPr>
      <w:tblStyleRowBandSize w:val="1"/>
      <w:tblStyleColBandSize w:val="1"/>
    </w:tblPr>
    <w:tblStylePr w:type="firstRow">
      <w:rPr>
        <w:b/>
        <w:bCs/>
      </w:rPr>
      <w:tblPr/>
      <w:tcPr>
        <w:tcBorders>
          <w:bottom w:val="single" w:sz="4" w:space="0" w:color="F58F7A"/>
        </w:tcBorders>
      </w:tcPr>
    </w:tblStylePr>
    <w:tblStylePr w:type="lastRow">
      <w:rPr>
        <w:b/>
        <w:bCs/>
      </w:rPr>
      <w:tblPr/>
      <w:tcPr>
        <w:tcBorders>
          <w:top w:val="single" w:sz="4" w:space="0" w:color="F58F7A"/>
        </w:tcBorders>
      </w:tcPr>
    </w:tblStylePr>
    <w:tblStylePr w:type="firstCol">
      <w:rPr>
        <w:b/>
        <w:bCs/>
      </w:rPr>
    </w:tblStylePr>
    <w:tblStylePr w:type="lastCol">
      <w:rPr>
        <w:b/>
        <w:bCs/>
      </w:rPr>
    </w:tblStylePr>
    <w:tblStylePr w:type="band1Vert">
      <w:tblPr/>
      <w:tcPr>
        <w:shd w:val="clear" w:color="auto" w:fill="FBD9D2"/>
      </w:tcPr>
    </w:tblStylePr>
    <w:tblStylePr w:type="band1Horz">
      <w:tblPr/>
      <w:tcPr>
        <w:shd w:val="clear" w:color="auto" w:fill="FBD9D2"/>
      </w:tcPr>
    </w:tblStylePr>
  </w:style>
  <w:style w:type="table" w:customStyle="1" w:styleId="ListTable2-Accent121">
    <w:name w:val="List Table 2 - Accent 121"/>
    <w:basedOn w:val="TableNormal"/>
    <w:next w:val="ListTable2-Accent13"/>
    <w:uiPriority w:val="47"/>
    <w:rsid w:val="00C1281D"/>
    <w:pPr>
      <w:spacing w:after="0" w:line="240" w:lineRule="auto"/>
    </w:pPr>
    <w:tblPr>
      <w:tblStyleRowBandSize w:val="1"/>
      <w:tblStyleColBandSize w:val="1"/>
      <w:tblBorders>
        <w:top w:val="single" w:sz="4" w:space="0" w:color="F58F7A"/>
        <w:bottom w:val="single" w:sz="4" w:space="0" w:color="F58F7A"/>
        <w:insideH w:val="single" w:sz="4" w:space="0" w:color="F58F7A"/>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D9D2"/>
      </w:tcPr>
    </w:tblStylePr>
    <w:tblStylePr w:type="band1Horz">
      <w:tblPr/>
      <w:tcPr>
        <w:shd w:val="clear" w:color="auto" w:fill="FBD9D2"/>
      </w:tcPr>
    </w:tblStylePr>
  </w:style>
  <w:style w:type="table" w:customStyle="1" w:styleId="ListTable2-Accent521">
    <w:name w:val="List Table 2 - Accent 521"/>
    <w:basedOn w:val="TableNormal"/>
    <w:next w:val="ListTable2-Accent53"/>
    <w:uiPriority w:val="47"/>
    <w:rsid w:val="00C1281D"/>
    <w:pPr>
      <w:spacing w:after="0" w:line="240" w:lineRule="auto"/>
    </w:pPr>
    <w:tblPr>
      <w:tblStyleRowBandSize w:val="1"/>
      <w:tblStyleColBandSize w:val="1"/>
      <w:tblBorders>
        <w:top w:val="single" w:sz="4" w:space="0" w:color="9F9F9F"/>
        <w:bottom w:val="single" w:sz="4" w:space="0" w:color="9F9F9F"/>
        <w:insideH w:val="single" w:sz="4" w:space="0" w:color="9F9F9F"/>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FDFDF"/>
      </w:tcPr>
    </w:tblStylePr>
    <w:tblStylePr w:type="band1Horz">
      <w:tblPr/>
      <w:tcPr>
        <w:shd w:val="clear" w:color="auto" w:fill="DFDFDF"/>
      </w:tcPr>
    </w:tblStylePr>
  </w:style>
  <w:style w:type="table" w:customStyle="1" w:styleId="GridTable2-Accent521">
    <w:name w:val="Grid Table 2 - Accent 521"/>
    <w:basedOn w:val="TableNormal"/>
    <w:next w:val="GridTable2-Accent53"/>
    <w:uiPriority w:val="47"/>
    <w:rsid w:val="00C1281D"/>
    <w:pPr>
      <w:spacing w:after="0" w:line="240" w:lineRule="auto"/>
    </w:pPr>
    <w:tblPr>
      <w:tblStyleRowBandSize w:val="1"/>
      <w:tblStyleColBandSize w:val="1"/>
      <w:tblBorders>
        <w:top w:val="single" w:sz="2" w:space="0" w:color="9F9F9F"/>
        <w:bottom w:val="single" w:sz="2" w:space="0" w:color="9F9F9F"/>
        <w:insideH w:val="single" w:sz="2" w:space="0" w:color="9F9F9F"/>
        <w:insideV w:val="single" w:sz="2" w:space="0" w:color="9F9F9F"/>
      </w:tblBorders>
    </w:tblPr>
    <w:tblStylePr w:type="firstRow">
      <w:rPr>
        <w:b/>
        <w:bCs/>
      </w:rPr>
      <w:tblPr/>
      <w:tcPr>
        <w:tcBorders>
          <w:top w:val="nil"/>
          <w:bottom w:val="single" w:sz="12" w:space="0" w:color="9F9F9F"/>
          <w:insideH w:val="nil"/>
          <w:insideV w:val="nil"/>
        </w:tcBorders>
        <w:shd w:val="clear" w:color="auto" w:fill="FFFFFF"/>
      </w:tcPr>
    </w:tblStylePr>
    <w:tblStylePr w:type="lastRow">
      <w:rPr>
        <w:b/>
        <w:bCs/>
      </w:rPr>
      <w:tblPr/>
      <w:tcPr>
        <w:tcBorders>
          <w:top w:val="double" w:sz="2" w:space="0" w:color="9F9F9F"/>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FDFDF"/>
      </w:tcPr>
    </w:tblStylePr>
    <w:tblStylePr w:type="band1Horz">
      <w:tblPr/>
      <w:tcPr>
        <w:shd w:val="clear" w:color="auto" w:fill="DFDFDF"/>
      </w:tcPr>
    </w:tblStylePr>
  </w:style>
  <w:style w:type="table" w:customStyle="1" w:styleId="GridTable6Colorful-Accent4111">
    <w:name w:val="Grid Table 6 Colorful - Accent 4111"/>
    <w:basedOn w:val="TableNormal"/>
    <w:uiPriority w:val="51"/>
    <w:rsid w:val="00C1281D"/>
    <w:pPr>
      <w:spacing w:after="0" w:line="240" w:lineRule="auto"/>
    </w:pPr>
    <w:rPr>
      <w:color w:val="5F5F5F"/>
    </w:rPr>
    <w:tblPr>
      <w:tblStyleRowBandSize w:val="1"/>
      <w:tblStyleColBandSize w:val="1"/>
      <w:tblBorders>
        <w:top w:val="single" w:sz="4" w:space="0" w:color="B2B2B2"/>
        <w:left w:val="single" w:sz="4" w:space="0" w:color="B2B2B2"/>
        <w:bottom w:val="single" w:sz="4" w:space="0" w:color="B2B2B2"/>
        <w:right w:val="single" w:sz="4" w:space="0" w:color="B2B2B2"/>
        <w:insideH w:val="single" w:sz="4" w:space="0" w:color="B2B2B2"/>
        <w:insideV w:val="single" w:sz="4" w:space="0" w:color="B2B2B2"/>
      </w:tblBorders>
    </w:tblPr>
    <w:tblStylePr w:type="firstRow">
      <w:rPr>
        <w:b/>
        <w:bCs/>
      </w:rPr>
      <w:tblPr/>
      <w:tcPr>
        <w:tcBorders>
          <w:bottom w:val="single" w:sz="12" w:space="0" w:color="B2B2B2"/>
        </w:tcBorders>
      </w:tcPr>
    </w:tblStylePr>
    <w:tblStylePr w:type="lastRow">
      <w:rPr>
        <w:b/>
        <w:bCs/>
      </w:rPr>
      <w:tblPr/>
      <w:tcPr>
        <w:tcBorders>
          <w:top w:val="double" w:sz="4" w:space="0" w:color="B2B2B2"/>
        </w:tcBorders>
      </w:tcPr>
    </w:tblStylePr>
    <w:tblStylePr w:type="firstCol">
      <w:rPr>
        <w:b/>
        <w:bCs/>
      </w:rPr>
    </w:tblStylePr>
    <w:tblStylePr w:type="lastCol">
      <w:rPr>
        <w:b/>
        <w:bCs/>
      </w:rPr>
    </w:tblStylePr>
    <w:tblStylePr w:type="band1Vert">
      <w:tblPr/>
      <w:tcPr>
        <w:shd w:val="clear" w:color="auto" w:fill="E5E5E5"/>
      </w:tcPr>
    </w:tblStylePr>
    <w:tblStylePr w:type="band1Horz">
      <w:tblPr/>
      <w:tcPr>
        <w:shd w:val="clear" w:color="auto" w:fill="E5E5E5"/>
      </w:tcPr>
    </w:tblStylePr>
  </w:style>
  <w:style w:type="table" w:customStyle="1" w:styleId="GridTable6Colorful-Accent3111">
    <w:name w:val="Grid Table 6 Colorful - Accent 3111"/>
    <w:basedOn w:val="TableNormal"/>
    <w:uiPriority w:val="51"/>
    <w:rsid w:val="00C1281D"/>
    <w:pPr>
      <w:spacing w:after="0" w:line="240" w:lineRule="auto"/>
    </w:pPr>
    <w:rPr>
      <w:rFonts w:ascii="Calibri" w:eastAsia="Calibri" w:hAnsi="Calibri" w:cs="Times New Roman"/>
      <w:color w:val="707070"/>
      <w:sz w:val="20"/>
      <w:szCs w:val="20"/>
    </w:rPr>
    <w:tblPr>
      <w:tblStyleRowBandSize w:val="1"/>
      <w:tblStyleColBandSize w:val="1"/>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Pr>
    <w:tblStylePr w:type="firstRow">
      <w:rPr>
        <w:b/>
        <w:bCs/>
      </w:rPr>
      <w:tblPr/>
      <w:tcPr>
        <w:tcBorders>
          <w:bottom w:val="single" w:sz="12" w:space="0" w:color="C0C0C0"/>
        </w:tcBorders>
      </w:tcPr>
    </w:tblStylePr>
    <w:tblStylePr w:type="lastRow">
      <w:rPr>
        <w:b/>
        <w:bCs/>
      </w:rPr>
      <w:tblPr/>
      <w:tcPr>
        <w:tcBorders>
          <w:top w:val="double" w:sz="4" w:space="0" w:color="C0C0C0"/>
        </w:tcBorders>
      </w:tcPr>
    </w:tblStylePr>
    <w:tblStylePr w:type="firstCol">
      <w:rPr>
        <w:b/>
        <w:bCs/>
      </w:rPr>
    </w:tblStylePr>
    <w:tblStylePr w:type="lastCol">
      <w:rPr>
        <w:b/>
        <w:bCs/>
      </w:rPr>
    </w:tblStylePr>
    <w:tblStylePr w:type="band1Vert">
      <w:tblPr/>
      <w:tcPr>
        <w:shd w:val="clear" w:color="auto" w:fill="EAEAEA"/>
      </w:tcPr>
    </w:tblStylePr>
    <w:tblStylePr w:type="band1Horz">
      <w:tblPr/>
      <w:tcPr>
        <w:shd w:val="clear" w:color="auto" w:fill="EAEAEA"/>
      </w:tcPr>
    </w:tblStylePr>
  </w:style>
  <w:style w:type="table" w:customStyle="1" w:styleId="TableGrid211">
    <w:name w:val="Table Grid211"/>
    <w:basedOn w:val="TableNormal"/>
    <w:next w:val="TableGrid"/>
    <w:uiPriority w:val="39"/>
    <w:rsid w:val="00C1281D"/>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LightShading-Accent12411">
    <w:name w:val="Light Shading - Accent 12411"/>
    <w:basedOn w:val="TableNormal"/>
    <w:uiPriority w:val="60"/>
    <w:rsid w:val="00C1281D"/>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511">
    <w:name w:val="Light Shading - Accent 12511"/>
    <w:basedOn w:val="TableNormal"/>
    <w:uiPriority w:val="60"/>
    <w:rsid w:val="00C1281D"/>
    <w:pPr>
      <w:spacing w:after="0" w:line="240"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2">
    <w:name w:val="Light Shading2"/>
    <w:basedOn w:val="TableNormal"/>
    <w:next w:val="LightShading"/>
    <w:uiPriority w:val="60"/>
    <w:semiHidden/>
    <w:unhideWhenUsed/>
    <w:rsid w:val="00C1281D"/>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GridTable6Colorful-Accent540">
    <w:name w:val="Grid Table 6 Colorful - Accent 54"/>
    <w:basedOn w:val="TableNormal"/>
    <w:next w:val="GridTable6Colorful-Accent54"/>
    <w:uiPriority w:val="51"/>
    <w:rsid w:val="00C1281D"/>
    <w:pPr>
      <w:spacing w:after="0" w:line="240" w:lineRule="auto"/>
    </w:pPr>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GridTable6Colorful-Accent130">
    <w:name w:val="Grid Table 6 Colorful - Accent 13"/>
    <w:basedOn w:val="TableNormal"/>
    <w:next w:val="GridTable6Colorful-Accent13"/>
    <w:uiPriority w:val="51"/>
    <w:rsid w:val="00C1281D"/>
    <w:pPr>
      <w:spacing w:after="0" w:line="240" w:lineRule="auto"/>
    </w:pPr>
    <w:rPr>
      <w:color w:val="2E74B5" w:themeColor="accent1" w:themeShade="BF"/>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LightShading-Accent15">
    <w:name w:val="Light Shading - Accent 15"/>
    <w:basedOn w:val="TableNormal"/>
    <w:next w:val="LightShading-Accent1"/>
    <w:uiPriority w:val="60"/>
    <w:semiHidden/>
    <w:unhideWhenUsed/>
    <w:rsid w:val="00C1281D"/>
    <w:pPr>
      <w:spacing w:after="0" w:line="240" w:lineRule="auto"/>
    </w:pPr>
    <w:rPr>
      <w:color w:val="2E74B5" w:themeColor="accent1" w:themeShade="BF"/>
    </w:rPr>
    <w:tblPr>
      <w:tblStyleRowBandSize w:val="1"/>
      <w:tblStyleColBandSize w:val="1"/>
      <w:tblBorders>
        <w:top w:val="single" w:sz="8" w:space="0" w:color="5B9BD5" w:themeColor="accent1"/>
        <w:bottom w:val="single" w:sz="8" w:space="0" w:color="5B9BD5" w:themeColor="accent1"/>
      </w:tblBorders>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table" w:customStyle="1" w:styleId="LightShading-Accent63">
    <w:name w:val="Light Shading - Accent 63"/>
    <w:basedOn w:val="TableNormal"/>
    <w:next w:val="LightShading-Accent6"/>
    <w:uiPriority w:val="60"/>
    <w:semiHidden/>
    <w:unhideWhenUsed/>
    <w:rsid w:val="00C1281D"/>
    <w:pPr>
      <w:spacing w:after="0" w:line="240" w:lineRule="auto"/>
    </w:pPr>
    <w:rPr>
      <w:color w:val="538135" w:themeColor="accent6" w:themeShade="BF"/>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customStyle="1" w:styleId="GridTable6Colorful-Accent430">
    <w:name w:val="Grid Table 6 Colorful - Accent 43"/>
    <w:basedOn w:val="TableNormal"/>
    <w:next w:val="GridTable6Colorful-Accent43"/>
    <w:uiPriority w:val="51"/>
    <w:rsid w:val="00C1281D"/>
    <w:pPr>
      <w:spacing w:after="0" w:line="240" w:lineRule="auto"/>
    </w:pPr>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GridTable6Colorful-Accent330">
    <w:name w:val="Grid Table 6 Colorful - Accent 33"/>
    <w:basedOn w:val="TableNormal"/>
    <w:next w:val="GridTable6Colorful-Accent33"/>
    <w:uiPriority w:val="51"/>
    <w:rsid w:val="00C1281D"/>
    <w:pPr>
      <w:spacing w:after="0" w:line="240" w:lineRule="auto"/>
    </w:pPr>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Accent530">
    <w:name w:val="Grid Table 4 - Accent 53"/>
    <w:basedOn w:val="TableNormal"/>
    <w:next w:val="GridTable4-Accent53"/>
    <w:uiPriority w:val="49"/>
    <w:rsid w:val="00C1281D"/>
    <w:pPr>
      <w:spacing w:after="0" w:line="240" w:lineRule="auto"/>
    </w:p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GridTable5Dark-Accent530">
    <w:name w:val="Grid Table 5 Dark - Accent 53"/>
    <w:basedOn w:val="TableNormal"/>
    <w:next w:val="GridTable5Dark-Accent53"/>
    <w:uiPriority w:val="50"/>
    <w:rsid w:val="00C1281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ListTable6Colorful-Accent330">
    <w:name w:val="List Table 6 Colorful - Accent 33"/>
    <w:basedOn w:val="TableNormal"/>
    <w:next w:val="ListTable6Colorful-Accent33"/>
    <w:uiPriority w:val="51"/>
    <w:rsid w:val="00C1281D"/>
    <w:pPr>
      <w:spacing w:after="0" w:line="240" w:lineRule="auto"/>
    </w:pPr>
    <w:rPr>
      <w:color w:val="7B7B7B" w:themeColor="accent3" w:themeShade="BF"/>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Accent130">
    <w:name w:val="Grid Table 1 Light - Accent 13"/>
    <w:basedOn w:val="TableNormal"/>
    <w:next w:val="GridTable1Light-Accent13"/>
    <w:uiPriority w:val="46"/>
    <w:rsid w:val="00C1281D"/>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customStyle="1" w:styleId="ListTable1Light-Accent130">
    <w:name w:val="List Table 1 Light - Accent 13"/>
    <w:basedOn w:val="TableNormal"/>
    <w:next w:val="ListTable1Light-Accent13"/>
    <w:uiPriority w:val="46"/>
    <w:rsid w:val="00C1281D"/>
    <w:pPr>
      <w:spacing w:after="0" w:line="240" w:lineRule="auto"/>
    </w:pPr>
    <w:tblPr>
      <w:tblStyleRowBandSize w:val="1"/>
      <w:tblStyleColBandSize w:val="1"/>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ListTable2-Accent130">
    <w:name w:val="List Table 2 - Accent 13"/>
    <w:basedOn w:val="TableNormal"/>
    <w:next w:val="ListTable2-Accent13"/>
    <w:uiPriority w:val="47"/>
    <w:rsid w:val="00C1281D"/>
    <w:pPr>
      <w:spacing w:after="0" w:line="240" w:lineRule="auto"/>
    </w:pPr>
    <w:tblPr>
      <w:tblStyleRowBandSize w:val="1"/>
      <w:tblStyleColBandSize w:val="1"/>
      <w:tblBorders>
        <w:top w:val="single" w:sz="4" w:space="0" w:color="9CC2E5" w:themeColor="accent1" w:themeTint="99"/>
        <w:bottom w:val="single" w:sz="4" w:space="0" w:color="9CC2E5" w:themeColor="accent1" w:themeTint="99"/>
        <w:insideH w:val="single" w:sz="4" w:space="0" w:color="9CC2E5"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ListTable2-Accent530">
    <w:name w:val="List Table 2 - Accent 53"/>
    <w:basedOn w:val="TableNormal"/>
    <w:next w:val="ListTable2-Accent53"/>
    <w:uiPriority w:val="47"/>
    <w:rsid w:val="00C1281D"/>
    <w:pPr>
      <w:spacing w:after="0" w:line="240" w:lineRule="auto"/>
    </w:pPr>
    <w:tblPr>
      <w:tblStyleRowBandSize w:val="1"/>
      <w:tblStyleColBandSize w:val="1"/>
      <w:tblBorders>
        <w:top w:val="single" w:sz="4" w:space="0" w:color="8EAADB" w:themeColor="accent5" w:themeTint="99"/>
        <w:bottom w:val="single" w:sz="4" w:space="0" w:color="8EAADB" w:themeColor="accent5" w:themeTint="99"/>
        <w:insideH w:val="single" w:sz="4" w:space="0" w:color="8EAADB"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GridTable2-Accent530">
    <w:name w:val="Grid Table 2 - Accent 53"/>
    <w:basedOn w:val="TableNormal"/>
    <w:next w:val="GridTable2-Accent53"/>
    <w:uiPriority w:val="47"/>
    <w:rsid w:val="00C1281D"/>
    <w:pPr>
      <w:spacing w:after="0" w:line="240" w:lineRule="auto"/>
    </w:pPr>
    <w:tblPr>
      <w:tblStyleRowBandSize w:val="1"/>
      <w:tblStyleColBandSize w:val="1"/>
      <w:tblBorders>
        <w:top w:val="single" w:sz="2" w:space="0" w:color="8EAADB" w:themeColor="accent5" w:themeTint="99"/>
        <w:bottom w:val="single" w:sz="2" w:space="0" w:color="8EAADB" w:themeColor="accent5" w:themeTint="99"/>
        <w:insideH w:val="single" w:sz="2" w:space="0" w:color="8EAADB" w:themeColor="accent5" w:themeTint="99"/>
        <w:insideV w:val="single" w:sz="2" w:space="0" w:color="8EAADB" w:themeColor="accent5" w:themeTint="99"/>
      </w:tblBorders>
    </w:tblPr>
    <w:tblStylePr w:type="firstRow">
      <w:rPr>
        <w:b/>
        <w:bCs/>
      </w:rPr>
      <w:tblPr/>
      <w:tcPr>
        <w:tcBorders>
          <w:top w:val="nil"/>
          <w:bottom w:val="single" w:sz="12" w:space="0" w:color="8EAADB" w:themeColor="accent5" w:themeTint="99"/>
          <w:insideH w:val="nil"/>
          <w:insideV w:val="nil"/>
        </w:tcBorders>
        <w:shd w:val="clear" w:color="auto" w:fill="FFFFFF" w:themeFill="background1"/>
      </w:tcPr>
    </w:tblStylePr>
    <w:tblStylePr w:type="lastRow">
      <w:rPr>
        <w:b/>
        <w:bCs/>
      </w:rPr>
      <w:tblPr/>
      <w:tcPr>
        <w:tcBorders>
          <w:top w:val="double" w:sz="2" w:space="0" w:color="8EAADB"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ListTable1Light-Accent61">
    <w:name w:val="List Table 1 Light - Accent 61"/>
    <w:basedOn w:val="TableNormal"/>
    <w:uiPriority w:val="46"/>
    <w:rsid w:val="00C1281D"/>
    <w:pPr>
      <w:spacing w:after="0" w:line="240" w:lineRule="auto"/>
    </w:pPr>
    <w:tblPr>
      <w:tblStyleRowBandSize w:val="1"/>
      <w:tblStyleColBandSize w:val="1"/>
    </w:tblPr>
    <w:tblStylePr w:type="firstRow">
      <w:rPr>
        <w:b/>
        <w:bCs/>
      </w:rPr>
      <w:tblPr/>
      <w:tcPr>
        <w:tcBorders>
          <w:bottom w:val="single" w:sz="4" w:space="0" w:color="A8D08D" w:themeColor="accent6" w:themeTint="99"/>
        </w:tcBorders>
      </w:tcPr>
    </w:tblStylePr>
    <w:tblStylePr w:type="lastRow">
      <w:rPr>
        <w:b/>
        <w:bCs/>
      </w:rPr>
      <w:tblPr/>
      <w:tcPr>
        <w:tcBorders>
          <w:top w:val="sing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numbering" w:customStyle="1" w:styleId="NoList5">
    <w:name w:val="No List5"/>
    <w:next w:val="NoList"/>
    <w:uiPriority w:val="99"/>
    <w:semiHidden/>
    <w:unhideWhenUsed/>
    <w:rsid w:val="00C1281D"/>
  </w:style>
  <w:style w:type="numbering" w:customStyle="1" w:styleId="NoList13">
    <w:name w:val="No List13"/>
    <w:next w:val="NoList"/>
    <w:uiPriority w:val="99"/>
    <w:semiHidden/>
    <w:unhideWhenUsed/>
    <w:rsid w:val="00C1281D"/>
  </w:style>
  <w:style w:type="table" w:customStyle="1" w:styleId="TableGrid5">
    <w:name w:val="Table Grid5"/>
    <w:basedOn w:val="TableNormal"/>
    <w:next w:val="TableGrid"/>
    <w:uiPriority w:val="59"/>
    <w:rsid w:val="00C1281D"/>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FinancialTable3">
    <w:name w:val="Financial Table3"/>
    <w:basedOn w:val="TableNormal"/>
    <w:uiPriority w:val="99"/>
    <w:rsid w:val="00C1281D"/>
    <w:pPr>
      <w:spacing w:before="60" w:after="60" w:line="264" w:lineRule="auto"/>
    </w:pPr>
    <w:rPr>
      <w:rFonts w:eastAsia="MS PGothic"/>
      <w:sz w:val="20"/>
      <w:szCs w:val="20"/>
      <w:lang w:eastAsia="ja-JP"/>
    </w:rPr>
    <w:tblPr>
      <w:tblBorders>
        <w:top w:val="single" w:sz="8" w:space="0" w:color="000000"/>
        <w:left w:val="single" w:sz="8" w:space="0" w:color="000000"/>
        <w:bottom w:val="single" w:sz="24" w:space="0" w:color="000000"/>
        <w:right w:val="single" w:sz="8" w:space="0" w:color="000000"/>
        <w:insideH w:val="single" w:sz="8" w:space="0" w:color="000000"/>
        <w:insideV w:val="single" w:sz="8" w:space="0" w:color="000000"/>
      </w:tblBorders>
      <w:tblCellMar>
        <w:left w:w="72" w:type="dxa"/>
        <w:right w:w="72" w:type="dxa"/>
      </w:tblCellMar>
    </w:tblPr>
    <w:tblStylePr w:type="firstRow">
      <w:pPr>
        <w:wordWrap/>
        <w:spacing w:beforeLines="0" w:before="40" w:beforeAutospacing="0" w:afterLines="0" w:after="40" w:afterAutospacing="0"/>
        <w:jc w:val="left"/>
      </w:pPr>
      <w:rPr>
        <w:rFonts w:ascii="Arial" w:hAnsi="Arial"/>
        <w:b/>
        <w:i w:val="0"/>
        <w:caps w:val="0"/>
        <w:smallCaps w:val="0"/>
        <w:color w:val="000000"/>
        <w:sz w:val="22"/>
      </w:rPr>
    </w:tblStylePr>
    <w:tblStylePr w:type="firstCol">
      <w:rPr>
        <w:b/>
        <w:color w:val="000000"/>
      </w:rPr>
    </w:tblStylePr>
  </w:style>
  <w:style w:type="table" w:customStyle="1" w:styleId="LightShading12">
    <w:name w:val="Light Shading12"/>
    <w:basedOn w:val="TableNormal"/>
    <w:next w:val="LightShading"/>
    <w:uiPriority w:val="60"/>
    <w:rsid w:val="00C1281D"/>
    <w:pPr>
      <w:spacing w:after="0" w:line="264" w:lineRule="auto"/>
    </w:pPr>
    <w:rPr>
      <w:rFonts w:eastAsia="MS PGothic"/>
      <w:color w:val="000000"/>
      <w:sz w:val="20"/>
      <w:szCs w:val="20"/>
      <w:lang w:eastAsia="ja-JP"/>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GridTable6Colorful-Accent516">
    <w:name w:val="Grid Table 6 Colorful - Accent 516"/>
    <w:basedOn w:val="TableNormal"/>
    <w:next w:val="GridTable6Colorful-Accent54"/>
    <w:uiPriority w:val="51"/>
    <w:rsid w:val="00C1281D"/>
    <w:pPr>
      <w:spacing w:after="0" w:line="264" w:lineRule="auto"/>
    </w:pPr>
    <w:rPr>
      <w:rFonts w:ascii="Calibri" w:eastAsia="Calibri" w:hAnsi="Calibri" w:cs="Times New Roman"/>
      <w:color w:val="474747"/>
      <w:sz w:val="20"/>
      <w:szCs w:val="20"/>
    </w:rPr>
    <w:tblPr>
      <w:tblStyleRowBandSize w:val="1"/>
      <w:tblStyleColBandSize w:val="1"/>
      <w:tblBorders>
        <w:top w:val="single" w:sz="4" w:space="0" w:color="9F9F9F"/>
        <w:left w:val="single" w:sz="4" w:space="0" w:color="9F9F9F"/>
        <w:bottom w:val="single" w:sz="4" w:space="0" w:color="9F9F9F"/>
        <w:right w:val="single" w:sz="4" w:space="0" w:color="9F9F9F"/>
        <w:insideH w:val="single" w:sz="4" w:space="0" w:color="9F9F9F"/>
        <w:insideV w:val="single" w:sz="4" w:space="0" w:color="9F9F9F"/>
      </w:tblBorders>
    </w:tblPr>
    <w:tblStylePr w:type="firstRow">
      <w:rPr>
        <w:b/>
        <w:bCs/>
      </w:rPr>
      <w:tblPr/>
      <w:tcPr>
        <w:tcBorders>
          <w:bottom w:val="single" w:sz="12" w:space="0" w:color="9F9F9F"/>
        </w:tcBorders>
      </w:tcPr>
    </w:tblStylePr>
    <w:tblStylePr w:type="lastRow">
      <w:rPr>
        <w:b/>
        <w:bCs/>
      </w:rPr>
      <w:tblPr/>
      <w:tcPr>
        <w:tcBorders>
          <w:top w:val="double" w:sz="4" w:space="0" w:color="9F9F9F"/>
        </w:tcBorders>
      </w:tcPr>
    </w:tblStylePr>
    <w:tblStylePr w:type="firstCol">
      <w:rPr>
        <w:b/>
        <w:bCs/>
      </w:rPr>
    </w:tblStylePr>
    <w:tblStylePr w:type="lastCol">
      <w:rPr>
        <w:b/>
        <w:bCs/>
      </w:rPr>
    </w:tblStylePr>
    <w:tblStylePr w:type="band1Vert">
      <w:tblPr/>
      <w:tcPr>
        <w:shd w:val="clear" w:color="auto" w:fill="DFDFDF"/>
      </w:tcPr>
    </w:tblStylePr>
    <w:tblStylePr w:type="band1Horz">
      <w:tblPr/>
      <w:tcPr>
        <w:shd w:val="clear" w:color="auto" w:fill="DFDFDF"/>
      </w:tcPr>
    </w:tblStylePr>
  </w:style>
  <w:style w:type="table" w:customStyle="1" w:styleId="LightShading-Accent127">
    <w:name w:val="Light Shading - Accent 127"/>
    <w:basedOn w:val="TableNormal"/>
    <w:uiPriority w:val="60"/>
    <w:rsid w:val="00C1281D"/>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GridTable6Colorful-Accent5113">
    <w:name w:val="Grid Table 6 Colorful - Accent 5113"/>
    <w:basedOn w:val="TableNormal"/>
    <w:uiPriority w:val="51"/>
    <w:rsid w:val="00C1281D"/>
    <w:pPr>
      <w:spacing w:after="0" w:line="264" w:lineRule="auto"/>
    </w:pPr>
    <w:rPr>
      <w:rFonts w:ascii="Calibri" w:eastAsia="Calibri" w:hAnsi="Calibri" w:cs="Times New Roman"/>
      <w:color w:val="387AAA"/>
      <w:sz w:val="20"/>
      <w:szCs w:val="20"/>
    </w:rPr>
    <w:tblPr>
      <w:tblStyleRowBandSize w:val="1"/>
      <w:tblStyleColBandSize w:val="1"/>
      <w:tblBorders>
        <w:top w:val="single" w:sz="4" w:space="0" w:color="A1C5E0"/>
        <w:left w:val="single" w:sz="4" w:space="0" w:color="A1C5E0"/>
        <w:bottom w:val="single" w:sz="4" w:space="0" w:color="A1C5E0"/>
        <w:right w:val="single" w:sz="4" w:space="0" w:color="A1C5E0"/>
        <w:insideH w:val="single" w:sz="4" w:space="0" w:color="A1C5E0"/>
        <w:insideV w:val="single" w:sz="4" w:space="0" w:color="A1C5E0"/>
      </w:tblBorders>
    </w:tblPr>
    <w:tblStylePr w:type="firstRow">
      <w:rPr>
        <w:b/>
        <w:bCs/>
      </w:rPr>
      <w:tblPr/>
      <w:tcPr>
        <w:tcBorders>
          <w:bottom w:val="single" w:sz="12" w:space="0" w:color="A1C5E0"/>
        </w:tcBorders>
      </w:tcPr>
    </w:tblStylePr>
    <w:tblStylePr w:type="lastRow">
      <w:rPr>
        <w:b/>
        <w:bCs/>
      </w:rPr>
      <w:tblPr/>
      <w:tcPr>
        <w:tcBorders>
          <w:top w:val="double" w:sz="4" w:space="0" w:color="A1C5E0"/>
        </w:tcBorders>
      </w:tcPr>
    </w:tblStylePr>
    <w:tblStylePr w:type="firstCol">
      <w:rPr>
        <w:b/>
        <w:bCs/>
      </w:rPr>
    </w:tblStylePr>
    <w:tblStylePr w:type="lastCol">
      <w:rPr>
        <w:b/>
        <w:bCs/>
      </w:rPr>
    </w:tblStylePr>
    <w:tblStylePr w:type="band1Vert">
      <w:tblPr/>
      <w:tcPr>
        <w:shd w:val="clear" w:color="auto" w:fill="DFEBF4"/>
      </w:tcPr>
    </w:tblStylePr>
    <w:tblStylePr w:type="band1Horz">
      <w:tblPr/>
      <w:tcPr>
        <w:shd w:val="clear" w:color="auto" w:fill="DFEBF4"/>
      </w:tcPr>
    </w:tblStylePr>
  </w:style>
  <w:style w:type="table" w:customStyle="1" w:styleId="LightShading-Accent1213">
    <w:name w:val="Light Shading - Accent 1213"/>
    <w:basedOn w:val="TableNormal"/>
    <w:uiPriority w:val="60"/>
    <w:rsid w:val="00C1281D"/>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GridTable6Colorful-Accent112">
    <w:name w:val="Grid Table 6 Colorful - Accent 112"/>
    <w:basedOn w:val="TableNormal"/>
    <w:next w:val="GridTable6Colorful-Accent13"/>
    <w:uiPriority w:val="51"/>
    <w:rsid w:val="00C1281D"/>
    <w:pPr>
      <w:spacing w:after="0" w:line="264" w:lineRule="auto"/>
    </w:pPr>
    <w:rPr>
      <w:rFonts w:eastAsia="MS PGothic"/>
      <w:color w:val="BF2B0E"/>
      <w:sz w:val="20"/>
      <w:szCs w:val="20"/>
      <w:lang w:eastAsia="ja-JP"/>
    </w:rPr>
    <w:tblPr>
      <w:tblStyleRowBandSize w:val="1"/>
      <w:tblStyleColBandSize w:val="1"/>
      <w:tblBorders>
        <w:top w:val="single" w:sz="4" w:space="0" w:color="F58F7A"/>
        <w:left w:val="single" w:sz="4" w:space="0" w:color="F58F7A"/>
        <w:bottom w:val="single" w:sz="4" w:space="0" w:color="F58F7A"/>
        <w:right w:val="single" w:sz="4" w:space="0" w:color="F58F7A"/>
        <w:insideH w:val="single" w:sz="4" w:space="0" w:color="F58F7A"/>
        <w:insideV w:val="single" w:sz="4" w:space="0" w:color="F58F7A"/>
      </w:tblBorders>
    </w:tblPr>
    <w:tblStylePr w:type="firstRow">
      <w:rPr>
        <w:b/>
        <w:bCs/>
      </w:rPr>
      <w:tblPr/>
      <w:tcPr>
        <w:tcBorders>
          <w:bottom w:val="single" w:sz="12" w:space="0" w:color="F58F7A"/>
        </w:tcBorders>
      </w:tcPr>
    </w:tblStylePr>
    <w:tblStylePr w:type="lastRow">
      <w:rPr>
        <w:b/>
        <w:bCs/>
      </w:rPr>
      <w:tblPr/>
      <w:tcPr>
        <w:tcBorders>
          <w:top w:val="double" w:sz="4" w:space="0" w:color="F58F7A"/>
        </w:tcBorders>
      </w:tcPr>
    </w:tblStylePr>
    <w:tblStylePr w:type="firstCol">
      <w:rPr>
        <w:b/>
        <w:bCs/>
      </w:rPr>
    </w:tblStylePr>
    <w:tblStylePr w:type="lastCol">
      <w:rPr>
        <w:b/>
        <w:bCs/>
      </w:rPr>
    </w:tblStylePr>
    <w:tblStylePr w:type="band1Vert">
      <w:tblPr/>
      <w:tcPr>
        <w:shd w:val="clear" w:color="auto" w:fill="FBD9D2"/>
      </w:tcPr>
    </w:tblStylePr>
    <w:tblStylePr w:type="band1Horz">
      <w:tblPr/>
      <w:tcPr>
        <w:shd w:val="clear" w:color="auto" w:fill="FBD9D2"/>
      </w:tcPr>
    </w:tblStylePr>
  </w:style>
  <w:style w:type="table" w:customStyle="1" w:styleId="LightShading-Accent1223">
    <w:name w:val="Light Shading - Accent 1223"/>
    <w:basedOn w:val="TableNormal"/>
    <w:uiPriority w:val="60"/>
    <w:rsid w:val="00C1281D"/>
    <w:pPr>
      <w:spacing w:after="0" w:line="240"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GridTable6Colorful-Accent523">
    <w:name w:val="Grid Table 6 Colorful - Accent 523"/>
    <w:basedOn w:val="TableNormal"/>
    <w:next w:val="GridTable6Colorful-Accent54"/>
    <w:uiPriority w:val="51"/>
    <w:rsid w:val="00C1281D"/>
    <w:pPr>
      <w:spacing w:after="0" w:line="240" w:lineRule="auto"/>
    </w:pPr>
    <w:rPr>
      <w:rFonts w:ascii="Calibri" w:eastAsia="Calibri" w:hAnsi="Calibri" w:cs="Times New Roman"/>
      <w:color w:val="C19300"/>
      <w:sz w:val="20"/>
      <w:szCs w:val="20"/>
    </w:rPr>
    <w:tblPr>
      <w:tblStyleRowBandSize w:val="1"/>
      <w:tblStyleColBandSize w:val="1"/>
      <w:tblBorders>
        <w:top w:val="single" w:sz="4" w:space="0" w:color="FEDA69"/>
        <w:left w:val="single" w:sz="4" w:space="0" w:color="FEDA69"/>
        <w:bottom w:val="single" w:sz="4" w:space="0" w:color="FEDA69"/>
        <w:right w:val="single" w:sz="4" w:space="0" w:color="FEDA69"/>
        <w:insideH w:val="single" w:sz="4" w:space="0" w:color="FEDA69"/>
        <w:insideV w:val="single" w:sz="4" w:space="0" w:color="FEDA69"/>
      </w:tblBorders>
    </w:tblPr>
    <w:tblStylePr w:type="firstRow">
      <w:rPr>
        <w:b/>
        <w:bCs/>
      </w:rPr>
      <w:tblPr/>
      <w:tcPr>
        <w:tcBorders>
          <w:bottom w:val="single" w:sz="12" w:space="0" w:color="FEDA69"/>
        </w:tcBorders>
      </w:tcPr>
    </w:tblStylePr>
    <w:tblStylePr w:type="lastRow">
      <w:rPr>
        <w:b/>
        <w:bCs/>
      </w:rPr>
      <w:tblPr/>
      <w:tcPr>
        <w:tcBorders>
          <w:top w:val="double" w:sz="4" w:space="0" w:color="FEDA69"/>
        </w:tcBorders>
      </w:tcPr>
    </w:tblStylePr>
    <w:tblStylePr w:type="firstCol">
      <w:rPr>
        <w:b/>
        <w:bCs/>
      </w:rPr>
    </w:tblStylePr>
    <w:tblStylePr w:type="lastCol">
      <w:rPr>
        <w:b/>
        <w:bCs/>
      </w:rPr>
    </w:tblStylePr>
    <w:tblStylePr w:type="band1Vert">
      <w:tblPr/>
      <w:tcPr>
        <w:shd w:val="clear" w:color="auto" w:fill="FEF2CD"/>
      </w:tcPr>
    </w:tblStylePr>
    <w:tblStylePr w:type="band1Horz">
      <w:tblPr/>
      <w:tcPr>
        <w:shd w:val="clear" w:color="auto" w:fill="FEF2CD"/>
      </w:tcPr>
    </w:tblStylePr>
  </w:style>
  <w:style w:type="table" w:customStyle="1" w:styleId="tabele36">
    <w:name w:val="tabele 36"/>
    <w:basedOn w:val="TableNormal"/>
    <w:next w:val="LightList-Accent3"/>
    <w:uiPriority w:val="61"/>
    <w:rsid w:val="00C1281D"/>
    <w:pPr>
      <w:spacing w:after="0" w:line="240" w:lineRule="auto"/>
    </w:pPr>
    <w:rPr>
      <w:rFonts w:ascii="Cambria Math" w:eastAsia="Calibri" w:hAnsi="Cambria Math" w:cs="Times New Roman"/>
      <w:sz w:val="18"/>
      <w:lang w:val="sr-Cyrl-C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ghtShading-Accent1114">
    <w:name w:val="Light Shading - Accent 1114"/>
    <w:basedOn w:val="TableNormal"/>
    <w:uiPriority w:val="60"/>
    <w:rsid w:val="00C1281D"/>
    <w:pPr>
      <w:spacing w:after="0" w:line="240" w:lineRule="auto"/>
      <w:ind w:left="568" w:hanging="284"/>
    </w:pPr>
    <w:rPr>
      <w:rFonts w:ascii="Calibri" w:eastAsia="Calibri"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37">
    <w:name w:val="Light Shading - Accent 37"/>
    <w:basedOn w:val="TableNormal"/>
    <w:next w:val="LightShading-Accent3"/>
    <w:uiPriority w:val="60"/>
    <w:rsid w:val="00C1281D"/>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List-Accent57">
    <w:name w:val="Light List - Accent 57"/>
    <w:basedOn w:val="TableNormal"/>
    <w:next w:val="LightList-Accent5"/>
    <w:uiPriority w:val="61"/>
    <w:rsid w:val="00C1281D"/>
    <w:pPr>
      <w:spacing w:after="0" w:line="240" w:lineRule="auto"/>
    </w:pPr>
    <w:rPr>
      <w:rFonts w:ascii="Calibri" w:eastAsia="Calibri" w:hAnsi="Calibri" w:cs="Times New Roman"/>
      <w:sz w:val="20"/>
      <w:szCs w:val="20"/>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LightShading-Accent316">
    <w:name w:val="Light Shading - Accent 316"/>
    <w:basedOn w:val="TableNormal"/>
    <w:next w:val="LightShading-Accent3"/>
    <w:uiPriority w:val="60"/>
    <w:rsid w:val="00C1281D"/>
    <w:pPr>
      <w:spacing w:after="0" w:line="240" w:lineRule="auto"/>
    </w:pPr>
    <w:rPr>
      <w:rFonts w:ascii="Constantia" w:eastAsia="Constantia" w:hAnsi="Constantia" w:cs="Times New Roman"/>
      <w:color w:val="8CADAE"/>
      <w:lang w:val="sr-Cyrl-CS"/>
    </w:rPr>
    <w:tblPr>
      <w:tblStyleRowBandSize w:val="1"/>
      <w:tblStyleColBandSize w:val="1"/>
      <w:tblBorders>
        <w:top w:val="single" w:sz="8" w:space="0" w:color="8CADAE"/>
        <w:bottom w:val="single" w:sz="8" w:space="0" w:color="8CADAE"/>
      </w:tblBorders>
    </w:tblPr>
    <w:tblStylePr w:type="firstRow">
      <w:pPr>
        <w:spacing w:before="0" w:after="0" w:line="240" w:lineRule="auto"/>
      </w:pPr>
      <w:rPr>
        <w:b/>
        <w:bCs/>
      </w:rPr>
      <w:tblPr/>
      <w:tcPr>
        <w:tcBorders>
          <w:top w:val="single" w:sz="8" w:space="0" w:color="8CADAE"/>
          <w:left w:val="nil"/>
          <w:bottom w:val="single" w:sz="8" w:space="0" w:color="8CADAE"/>
          <w:right w:val="nil"/>
          <w:insideH w:val="nil"/>
          <w:insideV w:val="nil"/>
        </w:tcBorders>
      </w:tcPr>
    </w:tblStylePr>
    <w:tblStylePr w:type="lastRow">
      <w:pPr>
        <w:spacing w:before="0" w:after="0" w:line="240" w:lineRule="auto"/>
      </w:pPr>
      <w:rPr>
        <w:b/>
        <w:bCs/>
      </w:rPr>
      <w:tblPr/>
      <w:tcPr>
        <w:tcBorders>
          <w:top w:val="single" w:sz="8" w:space="0" w:color="8CADAE"/>
          <w:left w:val="nil"/>
          <w:bottom w:val="single" w:sz="8" w:space="0" w:color="8CADA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AEB"/>
      </w:tcPr>
    </w:tblStylePr>
    <w:tblStylePr w:type="band1Horz">
      <w:tblPr/>
      <w:tcPr>
        <w:tcBorders>
          <w:left w:val="nil"/>
          <w:right w:val="nil"/>
          <w:insideH w:val="nil"/>
          <w:insideV w:val="nil"/>
        </w:tcBorders>
        <w:shd w:val="clear" w:color="auto" w:fill="E2EAEB"/>
      </w:tcPr>
    </w:tblStylePr>
  </w:style>
  <w:style w:type="table" w:customStyle="1" w:styleId="LightList-Accent317">
    <w:name w:val="Light List - Accent 317"/>
    <w:basedOn w:val="TableNormal"/>
    <w:next w:val="LightList-Accent3"/>
    <w:uiPriority w:val="61"/>
    <w:rsid w:val="00C1281D"/>
    <w:pPr>
      <w:spacing w:after="0" w:line="240" w:lineRule="auto"/>
    </w:pPr>
    <w:rPr>
      <w:rFonts w:ascii="Constantia" w:eastAsia="Constantia" w:hAnsi="Constantia" w:cs="Times New Roman"/>
      <w:lang w:val="sr-Cyrl-CS"/>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TableGrid13">
    <w:name w:val="Table Grid13"/>
    <w:basedOn w:val="TableNormal"/>
    <w:next w:val="TableGrid"/>
    <w:uiPriority w:val="59"/>
    <w:rsid w:val="00C1281D"/>
    <w:pPr>
      <w:spacing w:after="0" w:line="240" w:lineRule="auto"/>
    </w:pPr>
    <w:rPr>
      <w:rFonts w:ascii="Constantia" w:eastAsia="Constantia" w:hAnsi="Constantia" w:cs="Times New Roman"/>
      <w:lang w:val="sr-Cyrl-C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List-Accent516">
    <w:name w:val="Light List - Accent 516"/>
    <w:basedOn w:val="TableNormal"/>
    <w:next w:val="LightList-Accent5"/>
    <w:uiPriority w:val="61"/>
    <w:rsid w:val="00C1281D"/>
    <w:pPr>
      <w:spacing w:after="0" w:line="240" w:lineRule="auto"/>
    </w:pPr>
    <w:rPr>
      <w:rFonts w:ascii="Times New Roman" w:eastAsia="Constantia" w:hAnsi="Times New Roman" w:cs="Times New Roman"/>
      <w:lang w:val="sr-Cyrl-CS"/>
    </w:rPr>
    <w:tblPr>
      <w:tblStyleRowBandSize w:val="1"/>
      <w:tblStyleColBandSize w:val="1"/>
      <w:tblBorders>
        <w:top w:val="single" w:sz="8" w:space="0" w:color="8FB08C"/>
        <w:left w:val="single" w:sz="8" w:space="0" w:color="8FB08C"/>
        <w:bottom w:val="single" w:sz="8" w:space="0" w:color="8FB08C"/>
        <w:right w:val="single" w:sz="8" w:space="0" w:color="8FB08C"/>
      </w:tblBorders>
    </w:tblPr>
    <w:tblStylePr w:type="firstRow">
      <w:pPr>
        <w:spacing w:before="0" w:after="0" w:line="240" w:lineRule="auto"/>
      </w:pPr>
      <w:rPr>
        <w:b/>
        <w:bCs/>
        <w:color w:val="FFFFFF"/>
      </w:rPr>
      <w:tblPr/>
      <w:tcPr>
        <w:shd w:val="clear" w:color="auto" w:fill="8FB08C"/>
      </w:tcPr>
    </w:tblStylePr>
    <w:tblStylePr w:type="lastRow">
      <w:pPr>
        <w:spacing w:before="0" w:after="0" w:line="240" w:lineRule="auto"/>
      </w:pPr>
      <w:rPr>
        <w:b/>
        <w:bCs/>
      </w:rPr>
      <w:tblPr/>
      <w:tcPr>
        <w:tcBorders>
          <w:top w:val="double" w:sz="6" w:space="0" w:color="8FB08C"/>
          <w:left w:val="single" w:sz="8" w:space="0" w:color="8FB08C"/>
          <w:bottom w:val="single" w:sz="8" w:space="0" w:color="8FB08C"/>
          <w:right w:val="single" w:sz="8" w:space="0" w:color="8FB08C"/>
        </w:tcBorders>
      </w:tcPr>
    </w:tblStylePr>
    <w:tblStylePr w:type="firstCol">
      <w:rPr>
        <w:b/>
        <w:bCs/>
      </w:rPr>
    </w:tblStylePr>
    <w:tblStylePr w:type="lastCol">
      <w:rPr>
        <w:b/>
        <w:bCs/>
      </w:rPr>
    </w:tblStylePr>
    <w:tblStylePr w:type="band1Vert">
      <w:tblPr/>
      <w:tcPr>
        <w:tcBorders>
          <w:top w:val="single" w:sz="8" w:space="0" w:color="8FB08C"/>
          <w:left w:val="single" w:sz="8" w:space="0" w:color="8FB08C"/>
          <w:bottom w:val="single" w:sz="8" w:space="0" w:color="8FB08C"/>
          <w:right w:val="single" w:sz="8" w:space="0" w:color="8FB08C"/>
        </w:tcBorders>
      </w:tcPr>
    </w:tblStylePr>
    <w:tblStylePr w:type="band1Horz">
      <w:tblPr/>
      <w:tcPr>
        <w:tcBorders>
          <w:top w:val="single" w:sz="8" w:space="0" w:color="8FB08C"/>
          <w:left w:val="single" w:sz="8" w:space="0" w:color="8FB08C"/>
          <w:bottom w:val="single" w:sz="8" w:space="0" w:color="8FB08C"/>
          <w:right w:val="single" w:sz="8" w:space="0" w:color="8FB08C"/>
        </w:tcBorders>
      </w:tcPr>
    </w:tblStylePr>
  </w:style>
  <w:style w:type="table" w:customStyle="1" w:styleId="MediumList1-Accent513">
    <w:name w:val="Medium List 1 - Accent 513"/>
    <w:basedOn w:val="TableNormal"/>
    <w:next w:val="MediumList1-Accent5"/>
    <w:uiPriority w:val="65"/>
    <w:rsid w:val="00C1281D"/>
    <w:pPr>
      <w:spacing w:after="0" w:line="240" w:lineRule="auto"/>
    </w:pPr>
    <w:rPr>
      <w:rFonts w:ascii="Constantia" w:eastAsia="Constantia" w:hAnsi="Constantia" w:cs="Times New Roman"/>
      <w:color w:val="000000"/>
      <w:lang w:val="sr-Cyrl-CS"/>
    </w:rPr>
    <w:tblPr>
      <w:tblStyleRowBandSize w:val="1"/>
      <w:tblStyleColBandSize w:val="1"/>
      <w:tblBorders>
        <w:top w:val="single" w:sz="8" w:space="0" w:color="8FB08C"/>
        <w:bottom w:val="single" w:sz="8" w:space="0" w:color="8FB08C"/>
      </w:tblBorders>
    </w:tblPr>
    <w:tblStylePr w:type="firstRow">
      <w:rPr>
        <w:rFonts w:ascii="Verdana" w:eastAsia="Times New Roman" w:hAnsi="Verdana" w:cs="Times New Roman"/>
      </w:rPr>
      <w:tblPr/>
      <w:tcPr>
        <w:tcBorders>
          <w:top w:val="nil"/>
          <w:bottom w:val="single" w:sz="8" w:space="0" w:color="8FB08C"/>
        </w:tcBorders>
      </w:tcPr>
    </w:tblStylePr>
    <w:tblStylePr w:type="lastRow">
      <w:rPr>
        <w:b/>
        <w:bCs/>
        <w:color w:val="646B86"/>
      </w:rPr>
      <w:tblPr/>
      <w:tcPr>
        <w:tcBorders>
          <w:top w:val="single" w:sz="8" w:space="0" w:color="8FB08C"/>
          <w:bottom w:val="single" w:sz="8" w:space="0" w:color="8FB08C"/>
        </w:tcBorders>
      </w:tcPr>
    </w:tblStylePr>
    <w:tblStylePr w:type="firstCol">
      <w:rPr>
        <w:b/>
        <w:bCs/>
      </w:rPr>
    </w:tblStylePr>
    <w:tblStylePr w:type="lastCol">
      <w:rPr>
        <w:b/>
        <w:bCs/>
      </w:rPr>
      <w:tblPr/>
      <w:tcPr>
        <w:tcBorders>
          <w:top w:val="single" w:sz="8" w:space="0" w:color="8FB08C"/>
          <w:bottom w:val="single" w:sz="8" w:space="0" w:color="8FB08C"/>
        </w:tcBorders>
      </w:tcPr>
    </w:tblStylePr>
    <w:tblStylePr w:type="band1Vert">
      <w:tblPr/>
      <w:tcPr>
        <w:shd w:val="clear" w:color="auto" w:fill="E3EBE2"/>
      </w:tcPr>
    </w:tblStylePr>
    <w:tblStylePr w:type="band1Horz">
      <w:tblPr/>
      <w:tcPr>
        <w:shd w:val="clear" w:color="auto" w:fill="E3EBE2"/>
      </w:tcPr>
    </w:tblStylePr>
  </w:style>
  <w:style w:type="table" w:customStyle="1" w:styleId="MediumList1-Accent54">
    <w:name w:val="Medium List 1 - Accent 54"/>
    <w:basedOn w:val="TableNormal"/>
    <w:next w:val="MediumList1-Accent5"/>
    <w:uiPriority w:val="65"/>
    <w:rsid w:val="00C1281D"/>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4BACC6"/>
        <w:bottom w:val="single" w:sz="8" w:space="0" w:color="4BACC6"/>
      </w:tblBorders>
    </w:tblPr>
    <w:tblStylePr w:type="firstRow">
      <w:rPr>
        <w:rFonts w:ascii="Times New Roman" w:eastAsia="Times New Roman" w:hAnsi="Times New Roman" w:cs="Times New Roman"/>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numbering" w:customStyle="1" w:styleId="NoList113">
    <w:name w:val="No List113"/>
    <w:next w:val="NoList"/>
    <w:uiPriority w:val="99"/>
    <w:semiHidden/>
    <w:unhideWhenUsed/>
    <w:rsid w:val="00C1281D"/>
  </w:style>
  <w:style w:type="table" w:customStyle="1" w:styleId="LightGrid-Accent517">
    <w:name w:val="Light Grid - Accent 517"/>
    <w:basedOn w:val="TableNormal"/>
    <w:next w:val="LightGrid-Accent5"/>
    <w:uiPriority w:val="62"/>
    <w:rsid w:val="00C1281D"/>
    <w:pPr>
      <w:spacing w:after="0" w:line="240" w:lineRule="auto"/>
    </w:pPr>
    <w:rPr>
      <w:rFonts w:ascii="Calibri" w:eastAsia="Calibri" w:hAnsi="Calibri" w:cs="Times New Roman"/>
      <w:sz w:val="20"/>
      <w:szCs w:val="20"/>
      <w:lang w:val="sr-Latn-CS" w:eastAsia="en-GB"/>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Comic Sans MS" w:eastAsia="Times New Roman" w:hAnsi="Comic Sans MS"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omic Sans MS" w:eastAsia="Times New Roman" w:hAnsi="Comic Sans MS"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omic Sans MS" w:eastAsia="Times New Roman" w:hAnsi="Comic Sans MS" w:cs="Times New Roman"/>
        <w:b/>
        <w:bCs/>
      </w:rPr>
    </w:tblStylePr>
    <w:tblStylePr w:type="lastCol">
      <w:rPr>
        <w:rFonts w:ascii="Comic Sans MS" w:eastAsia="Times New Roman" w:hAnsi="Comic Sans MS"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116">
    <w:name w:val="Светло сенчење – наглашавање 116"/>
    <w:basedOn w:val="TableNormal"/>
    <w:uiPriority w:val="60"/>
    <w:rsid w:val="00C1281D"/>
    <w:pPr>
      <w:spacing w:after="0" w:line="240" w:lineRule="auto"/>
    </w:pPr>
    <w:rPr>
      <w:rFonts w:ascii="Calibri" w:eastAsia="Calibri" w:hAnsi="Calibri" w:cs="Times New Roman"/>
      <w:color w:val="365F91"/>
      <w:sz w:val="20"/>
      <w:szCs w:val="20"/>
      <w:lang w:val="sr-Latn-CS" w:eastAsia="en-GB"/>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Grid-Accent58">
    <w:name w:val="Light Grid - Accent 58"/>
    <w:basedOn w:val="TableNormal"/>
    <w:next w:val="LightGrid-Accent5"/>
    <w:uiPriority w:val="62"/>
    <w:rsid w:val="00C1281D"/>
    <w:pPr>
      <w:spacing w:after="0" w:line="240" w:lineRule="auto"/>
    </w:pPr>
    <w:rPr>
      <w:rFonts w:ascii="Calibri" w:eastAsia="Calibri" w:hAnsi="Calibri" w:cs="Times New Roman"/>
      <w:sz w:val="20"/>
      <w:szCs w:val="20"/>
      <w:lang w:val="en-GB" w:eastAsia="en-GB"/>
    </w:rPr>
    <w:tblPr>
      <w:tblStyleRowBandSize w:val="1"/>
      <w:tblStyleColBandSize w:val="1"/>
      <w:tblBorders>
        <w:top w:val="single" w:sz="8" w:space="0" w:color="8FB08C"/>
        <w:left w:val="single" w:sz="8" w:space="0" w:color="8FB08C"/>
        <w:bottom w:val="single" w:sz="8" w:space="0" w:color="8FB08C"/>
        <w:right w:val="single" w:sz="8" w:space="0" w:color="8FB08C"/>
        <w:insideH w:val="single" w:sz="8" w:space="0" w:color="8FB08C"/>
        <w:insideV w:val="single" w:sz="8" w:space="0" w:color="8FB08C"/>
      </w:tblBorders>
    </w:tblPr>
    <w:tblStylePr w:type="firstRow">
      <w:pPr>
        <w:spacing w:before="0" w:after="0" w:line="240" w:lineRule="auto"/>
      </w:pPr>
      <w:rPr>
        <w:rFonts w:ascii="Comic Sans MS" w:eastAsia="Times New Roman" w:hAnsi="Comic Sans MS" w:cs="Times New Roman"/>
        <w:b/>
        <w:bCs/>
      </w:rPr>
      <w:tblPr/>
      <w:tcPr>
        <w:tcBorders>
          <w:top w:val="single" w:sz="8" w:space="0" w:color="8FB08C"/>
          <w:left w:val="single" w:sz="8" w:space="0" w:color="8FB08C"/>
          <w:bottom w:val="single" w:sz="18" w:space="0" w:color="8FB08C"/>
          <w:right w:val="single" w:sz="8" w:space="0" w:color="8FB08C"/>
          <w:insideH w:val="nil"/>
          <w:insideV w:val="single" w:sz="8" w:space="0" w:color="8FB08C"/>
        </w:tcBorders>
      </w:tcPr>
    </w:tblStylePr>
    <w:tblStylePr w:type="lastRow">
      <w:pPr>
        <w:spacing w:before="0" w:after="0" w:line="240" w:lineRule="auto"/>
      </w:pPr>
      <w:rPr>
        <w:rFonts w:ascii="Comic Sans MS" w:eastAsia="Times New Roman" w:hAnsi="Comic Sans MS" w:cs="Times New Roman"/>
        <w:b/>
        <w:bCs/>
      </w:rPr>
      <w:tblPr/>
      <w:tcPr>
        <w:tcBorders>
          <w:top w:val="double" w:sz="6" w:space="0" w:color="8FB08C"/>
          <w:left w:val="single" w:sz="8" w:space="0" w:color="8FB08C"/>
          <w:bottom w:val="single" w:sz="8" w:space="0" w:color="8FB08C"/>
          <w:right w:val="single" w:sz="8" w:space="0" w:color="8FB08C"/>
          <w:insideH w:val="nil"/>
          <w:insideV w:val="single" w:sz="8" w:space="0" w:color="8FB08C"/>
        </w:tcBorders>
      </w:tcPr>
    </w:tblStylePr>
    <w:tblStylePr w:type="firstCol">
      <w:rPr>
        <w:rFonts w:ascii="Comic Sans MS" w:eastAsia="Times New Roman" w:hAnsi="Comic Sans MS" w:cs="Times New Roman"/>
        <w:b/>
        <w:bCs/>
      </w:rPr>
    </w:tblStylePr>
    <w:tblStylePr w:type="lastCol">
      <w:rPr>
        <w:rFonts w:ascii="Comic Sans MS" w:eastAsia="Times New Roman" w:hAnsi="Comic Sans MS" w:cs="Times New Roman"/>
        <w:b/>
        <w:bCs/>
      </w:rPr>
      <w:tblPr/>
      <w:tcPr>
        <w:tcBorders>
          <w:top w:val="single" w:sz="8" w:space="0" w:color="8FB08C"/>
          <w:left w:val="single" w:sz="8" w:space="0" w:color="8FB08C"/>
          <w:bottom w:val="single" w:sz="8" w:space="0" w:color="8FB08C"/>
          <w:right w:val="single" w:sz="8" w:space="0" w:color="8FB08C"/>
        </w:tcBorders>
      </w:tcPr>
    </w:tblStylePr>
    <w:tblStylePr w:type="band1Vert">
      <w:tblPr/>
      <w:tcPr>
        <w:tcBorders>
          <w:top w:val="single" w:sz="8" w:space="0" w:color="8FB08C"/>
          <w:left w:val="single" w:sz="8" w:space="0" w:color="8FB08C"/>
          <w:bottom w:val="single" w:sz="8" w:space="0" w:color="8FB08C"/>
          <w:right w:val="single" w:sz="8" w:space="0" w:color="8FB08C"/>
        </w:tcBorders>
        <w:shd w:val="clear" w:color="auto" w:fill="E3EBE2"/>
      </w:tcPr>
    </w:tblStylePr>
    <w:tblStylePr w:type="band1Horz">
      <w:tblPr/>
      <w:tcPr>
        <w:tcBorders>
          <w:top w:val="single" w:sz="8" w:space="0" w:color="8FB08C"/>
          <w:left w:val="single" w:sz="8" w:space="0" w:color="8FB08C"/>
          <w:bottom w:val="single" w:sz="8" w:space="0" w:color="8FB08C"/>
          <w:right w:val="single" w:sz="8" w:space="0" w:color="8FB08C"/>
          <w:insideV w:val="single" w:sz="8" w:space="0" w:color="8FB08C"/>
        </w:tcBorders>
        <w:shd w:val="clear" w:color="auto" w:fill="E3EBE2"/>
      </w:tcPr>
    </w:tblStylePr>
    <w:tblStylePr w:type="band2Horz">
      <w:tblPr/>
      <w:tcPr>
        <w:tcBorders>
          <w:top w:val="single" w:sz="8" w:space="0" w:color="8FB08C"/>
          <w:left w:val="single" w:sz="8" w:space="0" w:color="8FB08C"/>
          <w:bottom w:val="single" w:sz="8" w:space="0" w:color="8FB08C"/>
          <w:right w:val="single" w:sz="8" w:space="0" w:color="8FB08C"/>
          <w:insideV w:val="single" w:sz="8" w:space="0" w:color="8FB08C"/>
        </w:tcBorders>
      </w:tcPr>
    </w:tblStylePr>
  </w:style>
  <w:style w:type="table" w:customStyle="1" w:styleId="tabelezaifs3">
    <w:name w:val="tabele za ifs3"/>
    <w:basedOn w:val="TableNormal"/>
    <w:uiPriority w:val="99"/>
    <w:qFormat/>
    <w:rsid w:val="00C1281D"/>
    <w:pPr>
      <w:spacing w:after="0" w:line="240" w:lineRule="auto"/>
    </w:pPr>
    <w:rPr>
      <w:rFonts w:ascii="Cambria Math" w:eastAsia="Calibri" w:hAnsi="Cambria Math" w:cs="Times New Roman"/>
      <w:sz w:val="20"/>
      <w:szCs w:val="20"/>
      <w:lang w:val="en-GB" w:eastAsia="en-GB"/>
    </w:rPr>
    <w:tblPr/>
  </w:style>
  <w:style w:type="table" w:customStyle="1" w:styleId="tabelezaifs13">
    <w:name w:val="tabele za ifs 13"/>
    <w:basedOn w:val="TableNormal"/>
    <w:uiPriority w:val="66"/>
    <w:rsid w:val="00C1281D"/>
    <w:pPr>
      <w:spacing w:after="0" w:line="240" w:lineRule="auto"/>
    </w:pPr>
    <w:rPr>
      <w:rFonts w:ascii="Cambria Math" w:eastAsia="Times New Roman" w:hAnsi="Cambria Math" w:cs="Times New Roman"/>
      <w:color w:val="000000"/>
      <w:sz w:val="20"/>
      <w:szCs w:val="20"/>
      <w:lang w:val="en-GB" w:eastAsia="en-GB"/>
    </w:rPr>
    <w:tblPr>
      <w:tblStyleRowBandSize w:val="1"/>
      <w:tblStyleColBandSize w:val="1"/>
      <w:tblBorders>
        <w:top w:val="single" w:sz="8" w:space="0" w:color="8CADAE"/>
        <w:left w:val="single" w:sz="8" w:space="0" w:color="8CADAE"/>
        <w:bottom w:val="single" w:sz="8" w:space="0" w:color="8CADAE"/>
        <w:right w:val="single" w:sz="8" w:space="0" w:color="8CADAE"/>
      </w:tblBorders>
    </w:tblPr>
    <w:tcPr>
      <w:vAlign w:val="bottom"/>
    </w:tcPr>
    <w:tblStylePr w:type="firstRow">
      <w:rPr>
        <w:sz w:val="24"/>
        <w:szCs w:val="24"/>
      </w:rPr>
      <w:tblPr/>
      <w:tcPr>
        <w:tcBorders>
          <w:top w:val="nil"/>
          <w:left w:val="nil"/>
          <w:bottom w:val="single" w:sz="24" w:space="0" w:color="8CADAE"/>
          <w:right w:val="nil"/>
          <w:insideH w:val="nil"/>
          <w:insideV w:val="nil"/>
        </w:tcBorders>
        <w:shd w:val="clear" w:color="auto" w:fill="FFFFFF"/>
      </w:tcPr>
    </w:tblStylePr>
    <w:tblStylePr w:type="lastRow">
      <w:tblPr/>
      <w:tcPr>
        <w:tcBorders>
          <w:top w:val="single" w:sz="8" w:space="0" w:color="8CADAE"/>
          <w:left w:val="nil"/>
          <w:bottom w:val="nil"/>
          <w:right w:val="nil"/>
          <w:insideH w:val="nil"/>
          <w:insideV w:val="nil"/>
        </w:tcBorders>
        <w:shd w:val="clear" w:color="auto" w:fill="FFFFFF"/>
      </w:tcPr>
    </w:tblStylePr>
    <w:tblStylePr w:type="firstCol">
      <w:tblPr/>
      <w:tcPr>
        <w:tcBorders>
          <w:top w:val="nil"/>
          <w:left w:val="nil"/>
          <w:bottom w:val="nil"/>
          <w:right w:val="single" w:sz="8" w:space="0" w:color="8CADAE"/>
          <w:insideH w:val="nil"/>
          <w:insideV w:val="nil"/>
        </w:tcBorders>
        <w:shd w:val="clear" w:color="auto" w:fill="FFFFFF"/>
      </w:tcPr>
    </w:tblStylePr>
    <w:tblStylePr w:type="lastCol">
      <w:tblPr/>
      <w:tcPr>
        <w:tcBorders>
          <w:top w:val="nil"/>
          <w:left w:val="single" w:sz="8" w:space="0" w:color="8CADAE"/>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2EAEB"/>
      </w:tcPr>
    </w:tblStylePr>
    <w:tblStylePr w:type="band1Horz">
      <w:tblPr/>
      <w:tcPr>
        <w:tcBorders>
          <w:top w:val="nil"/>
          <w:bottom w:val="nil"/>
          <w:insideH w:val="nil"/>
          <w:insideV w:val="nil"/>
        </w:tcBorders>
        <w:shd w:val="clear" w:color="auto" w:fill="E2EAEB"/>
      </w:tcPr>
    </w:tblStylePr>
    <w:tblStylePr w:type="nwCell">
      <w:tblPr/>
      <w:tcPr>
        <w:shd w:val="clear" w:color="auto" w:fill="FFFFFF"/>
      </w:tcPr>
    </w:tblStylePr>
    <w:tblStylePr w:type="swCell">
      <w:tblPr/>
      <w:tcPr>
        <w:tcBorders>
          <w:top w:val="nil"/>
        </w:tcBorders>
      </w:tcPr>
    </w:tblStylePr>
  </w:style>
  <w:style w:type="table" w:customStyle="1" w:styleId="ColorfulList-Accent13">
    <w:name w:val="Colorful List - Accent 13"/>
    <w:basedOn w:val="TableNormal"/>
    <w:next w:val="ColorfulList-Accent1"/>
    <w:uiPriority w:val="72"/>
    <w:rsid w:val="00C1281D"/>
    <w:pPr>
      <w:spacing w:after="0" w:line="240" w:lineRule="auto"/>
    </w:pPr>
    <w:rPr>
      <w:rFonts w:ascii="Calibri" w:eastAsia="Calibri" w:hAnsi="Calibri" w:cs="Times New Roman"/>
      <w:color w:val="000000"/>
      <w:sz w:val="20"/>
      <w:szCs w:val="20"/>
      <w:lang w:val="en-GB" w:eastAsia="en-GB"/>
    </w:rPr>
    <w:tblPr>
      <w:tblStyleRowBandSize w:val="1"/>
      <w:tblStyleColBandSize w:val="1"/>
    </w:tblPr>
    <w:tcPr>
      <w:shd w:val="clear" w:color="auto" w:fill="FAEFEC"/>
    </w:tcPr>
    <w:tblStylePr w:type="firstRow">
      <w:rPr>
        <w:b/>
        <w:bCs/>
        <w:color w:val="FFFFFF"/>
      </w:rPr>
      <w:tblPr/>
      <w:tcPr>
        <w:tcBorders>
          <w:bottom w:val="single" w:sz="12" w:space="0" w:color="FFFFFF"/>
        </w:tcBorders>
        <w:shd w:val="clear" w:color="auto" w:fill="A38F00"/>
      </w:tcPr>
    </w:tblStylePr>
    <w:tblStylePr w:type="lastRow">
      <w:rPr>
        <w:b/>
        <w:bCs/>
        <w:color w:val="A38F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3D8D2"/>
      </w:tcPr>
    </w:tblStylePr>
    <w:tblStylePr w:type="band1Horz">
      <w:tblPr/>
      <w:tcPr>
        <w:shd w:val="clear" w:color="auto" w:fill="F5DFDA"/>
      </w:tcPr>
    </w:tblStylePr>
  </w:style>
  <w:style w:type="numbering" w:customStyle="1" w:styleId="NoList23">
    <w:name w:val="No List23"/>
    <w:next w:val="NoList"/>
    <w:uiPriority w:val="99"/>
    <w:semiHidden/>
    <w:unhideWhenUsed/>
    <w:rsid w:val="00C1281D"/>
  </w:style>
  <w:style w:type="table" w:customStyle="1" w:styleId="LightList-Accent326">
    <w:name w:val="Light List - Accent 326"/>
    <w:basedOn w:val="TableNormal"/>
    <w:next w:val="LightList-Accent3"/>
    <w:uiPriority w:val="61"/>
    <w:rsid w:val="00C1281D"/>
    <w:pPr>
      <w:spacing w:after="0" w:line="240" w:lineRule="auto"/>
    </w:pPr>
    <w:rPr>
      <w:rFonts w:ascii="Calibri" w:eastAsia="Calibri" w:hAnsi="Calibri" w:cs="Times New Roman"/>
      <w:sz w:val="20"/>
      <w:szCs w:val="20"/>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List-Accent3116">
    <w:name w:val="Light List - Accent 3116"/>
    <w:basedOn w:val="TableNormal"/>
    <w:next w:val="LightList-Accent3"/>
    <w:uiPriority w:val="61"/>
    <w:rsid w:val="00C1281D"/>
    <w:pPr>
      <w:spacing w:after="0" w:line="240" w:lineRule="auto"/>
    </w:pPr>
    <w:rPr>
      <w:rFonts w:ascii="Constantia" w:eastAsia="Constantia" w:hAnsi="Constantia" w:cs="Times New Roman"/>
      <w:lang w:val="sr-Cyrl-CS"/>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Shading-Accent1320">
    <w:name w:val="Light Shading - Accent 1320"/>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113">
    <w:name w:val="Light Shading - Accent 13113"/>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26">
    <w:name w:val="Light Shading - Accent 1326"/>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ele313">
    <w:name w:val="tabele 313"/>
    <w:basedOn w:val="TableNormal"/>
    <w:next w:val="LightList-Accent3"/>
    <w:uiPriority w:val="61"/>
    <w:rsid w:val="00C1281D"/>
    <w:pPr>
      <w:spacing w:after="0" w:line="240" w:lineRule="auto"/>
    </w:pPr>
    <w:rPr>
      <w:rFonts w:ascii="Cambria Math" w:eastAsia="Calibri" w:hAnsi="Cambria Math" w:cs="Times New Roman"/>
      <w:sz w:val="18"/>
      <w:lang w:val="sr-Cyrl-C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ghtShading-Accent1115">
    <w:name w:val="Light Shading - Accent 1115"/>
    <w:basedOn w:val="TableNormal"/>
    <w:uiPriority w:val="60"/>
    <w:rsid w:val="00C1281D"/>
    <w:pPr>
      <w:spacing w:after="0" w:line="240" w:lineRule="auto"/>
      <w:ind w:left="568" w:hanging="284"/>
    </w:pPr>
    <w:rPr>
      <w:rFonts w:ascii="Calibri" w:eastAsia="Calibri"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323">
    <w:name w:val="Light Shading - Accent 323"/>
    <w:basedOn w:val="TableNormal"/>
    <w:next w:val="LightShading-Accent3"/>
    <w:uiPriority w:val="60"/>
    <w:rsid w:val="00C1281D"/>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List-Accent523">
    <w:name w:val="Light List - Accent 523"/>
    <w:basedOn w:val="TableNormal"/>
    <w:next w:val="LightList-Accent5"/>
    <w:uiPriority w:val="61"/>
    <w:rsid w:val="00C1281D"/>
    <w:pPr>
      <w:spacing w:after="0" w:line="240" w:lineRule="auto"/>
    </w:pPr>
    <w:rPr>
      <w:rFonts w:ascii="Calibri" w:eastAsia="Calibri" w:hAnsi="Calibri" w:cs="Times New Roman"/>
      <w:sz w:val="20"/>
      <w:szCs w:val="20"/>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LightShading-Accent3113">
    <w:name w:val="Light Shading - Accent 3113"/>
    <w:basedOn w:val="TableNormal"/>
    <w:next w:val="LightShading-Accent3"/>
    <w:uiPriority w:val="60"/>
    <w:rsid w:val="00C1281D"/>
    <w:pPr>
      <w:spacing w:after="0" w:line="240" w:lineRule="auto"/>
    </w:pPr>
    <w:rPr>
      <w:rFonts w:ascii="Constantia" w:eastAsia="Constantia" w:hAnsi="Constantia" w:cs="Times New Roman"/>
      <w:color w:val="8CADAE"/>
      <w:lang w:val="sr-Cyrl-CS"/>
    </w:rPr>
    <w:tblPr>
      <w:tblStyleRowBandSize w:val="1"/>
      <w:tblStyleColBandSize w:val="1"/>
      <w:tblBorders>
        <w:top w:val="single" w:sz="8" w:space="0" w:color="8CADAE"/>
        <w:bottom w:val="single" w:sz="8" w:space="0" w:color="8CADAE"/>
      </w:tblBorders>
    </w:tblPr>
    <w:tblStylePr w:type="firstRow">
      <w:pPr>
        <w:spacing w:before="0" w:after="0" w:line="240" w:lineRule="auto"/>
      </w:pPr>
      <w:rPr>
        <w:b/>
        <w:bCs/>
      </w:rPr>
      <w:tblPr/>
      <w:tcPr>
        <w:tcBorders>
          <w:top w:val="single" w:sz="8" w:space="0" w:color="8CADAE"/>
          <w:left w:val="nil"/>
          <w:bottom w:val="single" w:sz="8" w:space="0" w:color="8CADAE"/>
          <w:right w:val="nil"/>
          <w:insideH w:val="nil"/>
          <w:insideV w:val="nil"/>
        </w:tcBorders>
      </w:tcPr>
    </w:tblStylePr>
    <w:tblStylePr w:type="lastRow">
      <w:pPr>
        <w:spacing w:before="0" w:after="0" w:line="240" w:lineRule="auto"/>
      </w:pPr>
      <w:rPr>
        <w:b/>
        <w:bCs/>
      </w:rPr>
      <w:tblPr/>
      <w:tcPr>
        <w:tcBorders>
          <w:top w:val="single" w:sz="8" w:space="0" w:color="8CADAE"/>
          <w:left w:val="nil"/>
          <w:bottom w:val="single" w:sz="8" w:space="0" w:color="8CADA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AEB"/>
      </w:tcPr>
    </w:tblStylePr>
    <w:tblStylePr w:type="band1Horz">
      <w:tblPr/>
      <w:tcPr>
        <w:tcBorders>
          <w:left w:val="nil"/>
          <w:right w:val="nil"/>
          <w:insideH w:val="nil"/>
          <w:insideV w:val="nil"/>
        </w:tcBorders>
        <w:shd w:val="clear" w:color="auto" w:fill="E2EAEB"/>
      </w:tcPr>
    </w:tblStylePr>
  </w:style>
  <w:style w:type="table" w:customStyle="1" w:styleId="LightList-Accent3123">
    <w:name w:val="Light List - Accent 3123"/>
    <w:basedOn w:val="TableNormal"/>
    <w:next w:val="LightList-Accent3"/>
    <w:uiPriority w:val="61"/>
    <w:rsid w:val="00C1281D"/>
    <w:pPr>
      <w:spacing w:after="0" w:line="240" w:lineRule="auto"/>
    </w:pPr>
    <w:rPr>
      <w:rFonts w:ascii="Constantia" w:eastAsia="Constantia" w:hAnsi="Constantia" w:cs="Times New Roman"/>
      <w:lang w:val="sr-Cyrl-CS"/>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List-Accent5113">
    <w:name w:val="Light List - Accent 5113"/>
    <w:basedOn w:val="TableNormal"/>
    <w:next w:val="LightList-Accent5"/>
    <w:uiPriority w:val="61"/>
    <w:rsid w:val="00C1281D"/>
    <w:pPr>
      <w:spacing w:after="0" w:line="240" w:lineRule="auto"/>
    </w:pPr>
    <w:rPr>
      <w:rFonts w:ascii="Times New Roman" w:eastAsia="Constantia" w:hAnsi="Times New Roman" w:cs="Times New Roman"/>
      <w:lang w:val="sr-Cyrl-CS"/>
    </w:rPr>
    <w:tblPr>
      <w:tblStyleRowBandSize w:val="1"/>
      <w:tblStyleColBandSize w:val="1"/>
      <w:tblBorders>
        <w:top w:val="single" w:sz="8" w:space="0" w:color="8FB08C"/>
        <w:left w:val="single" w:sz="8" w:space="0" w:color="8FB08C"/>
        <w:bottom w:val="single" w:sz="8" w:space="0" w:color="8FB08C"/>
        <w:right w:val="single" w:sz="8" w:space="0" w:color="8FB08C"/>
      </w:tblBorders>
    </w:tblPr>
    <w:tblStylePr w:type="firstRow">
      <w:pPr>
        <w:spacing w:before="0" w:after="0" w:line="240" w:lineRule="auto"/>
      </w:pPr>
      <w:rPr>
        <w:b/>
        <w:bCs/>
        <w:color w:val="FFFFFF"/>
      </w:rPr>
      <w:tblPr/>
      <w:tcPr>
        <w:shd w:val="clear" w:color="auto" w:fill="8FB08C"/>
      </w:tcPr>
    </w:tblStylePr>
    <w:tblStylePr w:type="lastRow">
      <w:pPr>
        <w:spacing w:before="0" w:after="0" w:line="240" w:lineRule="auto"/>
      </w:pPr>
      <w:rPr>
        <w:b/>
        <w:bCs/>
      </w:rPr>
      <w:tblPr/>
      <w:tcPr>
        <w:tcBorders>
          <w:top w:val="double" w:sz="6" w:space="0" w:color="8FB08C"/>
          <w:left w:val="single" w:sz="8" w:space="0" w:color="8FB08C"/>
          <w:bottom w:val="single" w:sz="8" w:space="0" w:color="8FB08C"/>
          <w:right w:val="single" w:sz="8" w:space="0" w:color="8FB08C"/>
        </w:tcBorders>
      </w:tcPr>
    </w:tblStylePr>
    <w:tblStylePr w:type="firstCol">
      <w:rPr>
        <w:b/>
        <w:bCs/>
      </w:rPr>
    </w:tblStylePr>
    <w:tblStylePr w:type="lastCol">
      <w:rPr>
        <w:b/>
        <w:bCs/>
      </w:rPr>
    </w:tblStylePr>
    <w:tblStylePr w:type="band1Vert">
      <w:tblPr/>
      <w:tcPr>
        <w:tcBorders>
          <w:top w:val="single" w:sz="8" w:space="0" w:color="8FB08C"/>
          <w:left w:val="single" w:sz="8" w:space="0" w:color="8FB08C"/>
          <w:bottom w:val="single" w:sz="8" w:space="0" w:color="8FB08C"/>
          <w:right w:val="single" w:sz="8" w:space="0" w:color="8FB08C"/>
        </w:tcBorders>
      </w:tcPr>
    </w:tblStylePr>
    <w:tblStylePr w:type="band1Horz">
      <w:tblPr/>
      <w:tcPr>
        <w:tcBorders>
          <w:top w:val="single" w:sz="8" w:space="0" w:color="8FB08C"/>
          <w:left w:val="single" w:sz="8" w:space="0" w:color="8FB08C"/>
          <w:bottom w:val="single" w:sz="8" w:space="0" w:color="8FB08C"/>
          <w:right w:val="single" w:sz="8" w:space="0" w:color="8FB08C"/>
        </w:tcBorders>
      </w:tcPr>
    </w:tblStylePr>
  </w:style>
  <w:style w:type="table" w:customStyle="1" w:styleId="LightGrid-Accent5114">
    <w:name w:val="Light Grid - Accent 5114"/>
    <w:basedOn w:val="TableNormal"/>
    <w:next w:val="LightGrid-Accent5"/>
    <w:uiPriority w:val="62"/>
    <w:rsid w:val="00C1281D"/>
    <w:pPr>
      <w:spacing w:after="0" w:line="240" w:lineRule="auto"/>
    </w:pPr>
    <w:rPr>
      <w:rFonts w:ascii="Calibri" w:eastAsia="Calibri" w:hAnsi="Calibri" w:cs="Times New Roman"/>
      <w:sz w:val="20"/>
      <w:szCs w:val="20"/>
      <w:lang w:val="sr-Latn-CS" w:eastAsia="en-GB"/>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Comic Sans MS" w:eastAsia="Times New Roman" w:hAnsi="Comic Sans MS"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omic Sans MS" w:eastAsia="Times New Roman" w:hAnsi="Comic Sans MS"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omic Sans MS" w:eastAsia="Times New Roman" w:hAnsi="Comic Sans MS" w:cs="Times New Roman"/>
        <w:b/>
        <w:bCs/>
      </w:rPr>
    </w:tblStylePr>
    <w:tblStylePr w:type="lastCol">
      <w:rPr>
        <w:rFonts w:ascii="Comic Sans MS" w:eastAsia="Times New Roman" w:hAnsi="Comic Sans MS"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1113">
    <w:name w:val="Светло сенчење – наглашавање 1113"/>
    <w:basedOn w:val="TableNormal"/>
    <w:uiPriority w:val="60"/>
    <w:rsid w:val="00C1281D"/>
    <w:pPr>
      <w:spacing w:after="0" w:line="240" w:lineRule="auto"/>
    </w:pPr>
    <w:rPr>
      <w:rFonts w:ascii="Calibri" w:eastAsia="Calibri" w:hAnsi="Calibri" w:cs="Times New Roman"/>
      <w:color w:val="365F91"/>
      <w:sz w:val="20"/>
      <w:szCs w:val="20"/>
      <w:lang w:val="sr-Latn-CS" w:eastAsia="en-GB"/>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Grid-Accent524">
    <w:name w:val="Light Grid - Accent 524"/>
    <w:basedOn w:val="TableNormal"/>
    <w:next w:val="LightGrid-Accent5"/>
    <w:uiPriority w:val="62"/>
    <w:rsid w:val="00C1281D"/>
    <w:pPr>
      <w:spacing w:after="0" w:line="240" w:lineRule="auto"/>
    </w:pPr>
    <w:rPr>
      <w:rFonts w:ascii="Calibri" w:eastAsia="Calibri" w:hAnsi="Calibri" w:cs="Times New Roman"/>
      <w:sz w:val="20"/>
      <w:szCs w:val="20"/>
      <w:lang w:val="en-GB" w:eastAsia="en-GB"/>
    </w:rPr>
    <w:tblPr>
      <w:tblStyleRowBandSize w:val="1"/>
      <w:tblStyleColBandSize w:val="1"/>
      <w:tblBorders>
        <w:top w:val="single" w:sz="8" w:space="0" w:color="8FB08C"/>
        <w:left w:val="single" w:sz="8" w:space="0" w:color="8FB08C"/>
        <w:bottom w:val="single" w:sz="8" w:space="0" w:color="8FB08C"/>
        <w:right w:val="single" w:sz="8" w:space="0" w:color="8FB08C"/>
        <w:insideH w:val="single" w:sz="8" w:space="0" w:color="8FB08C"/>
        <w:insideV w:val="single" w:sz="8" w:space="0" w:color="8FB08C"/>
      </w:tblBorders>
    </w:tblPr>
    <w:tblStylePr w:type="firstRow">
      <w:pPr>
        <w:spacing w:before="0" w:after="0" w:line="240" w:lineRule="auto"/>
      </w:pPr>
      <w:rPr>
        <w:rFonts w:ascii="Comic Sans MS" w:eastAsia="Times New Roman" w:hAnsi="Comic Sans MS" w:cs="Times New Roman"/>
        <w:b/>
        <w:bCs/>
      </w:rPr>
      <w:tblPr/>
      <w:tcPr>
        <w:tcBorders>
          <w:top w:val="single" w:sz="8" w:space="0" w:color="8FB08C"/>
          <w:left w:val="single" w:sz="8" w:space="0" w:color="8FB08C"/>
          <w:bottom w:val="single" w:sz="18" w:space="0" w:color="8FB08C"/>
          <w:right w:val="single" w:sz="8" w:space="0" w:color="8FB08C"/>
          <w:insideH w:val="nil"/>
          <w:insideV w:val="single" w:sz="8" w:space="0" w:color="8FB08C"/>
        </w:tcBorders>
      </w:tcPr>
    </w:tblStylePr>
    <w:tblStylePr w:type="lastRow">
      <w:pPr>
        <w:spacing w:before="0" w:after="0" w:line="240" w:lineRule="auto"/>
      </w:pPr>
      <w:rPr>
        <w:rFonts w:ascii="Comic Sans MS" w:eastAsia="Times New Roman" w:hAnsi="Comic Sans MS" w:cs="Times New Roman"/>
        <w:b/>
        <w:bCs/>
      </w:rPr>
      <w:tblPr/>
      <w:tcPr>
        <w:tcBorders>
          <w:top w:val="double" w:sz="6" w:space="0" w:color="8FB08C"/>
          <w:left w:val="single" w:sz="8" w:space="0" w:color="8FB08C"/>
          <w:bottom w:val="single" w:sz="8" w:space="0" w:color="8FB08C"/>
          <w:right w:val="single" w:sz="8" w:space="0" w:color="8FB08C"/>
          <w:insideH w:val="nil"/>
          <w:insideV w:val="single" w:sz="8" w:space="0" w:color="8FB08C"/>
        </w:tcBorders>
      </w:tcPr>
    </w:tblStylePr>
    <w:tblStylePr w:type="firstCol">
      <w:rPr>
        <w:rFonts w:ascii="Comic Sans MS" w:eastAsia="Times New Roman" w:hAnsi="Comic Sans MS" w:cs="Times New Roman"/>
        <w:b/>
        <w:bCs/>
      </w:rPr>
    </w:tblStylePr>
    <w:tblStylePr w:type="lastCol">
      <w:rPr>
        <w:rFonts w:ascii="Comic Sans MS" w:eastAsia="Times New Roman" w:hAnsi="Comic Sans MS" w:cs="Times New Roman"/>
        <w:b/>
        <w:bCs/>
      </w:rPr>
      <w:tblPr/>
      <w:tcPr>
        <w:tcBorders>
          <w:top w:val="single" w:sz="8" w:space="0" w:color="8FB08C"/>
          <w:left w:val="single" w:sz="8" w:space="0" w:color="8FB08C"/>
          <w:bottom w:val="single" w:sz="8" w:space="0" w:color="8FB08C"/>
          <w:right w:val="single" w:sz="8" w:space="0" w:color="8FB08C"/>
        </w:tcBorders>
      </w:tcPr>
    </w:tblStylePr>
    <w:tblStylePr w:type="band1Vert">
      <w:tblPr/>
      <w:tcPr>
        <w:tcBorders>
          <w:top w:val="single" w:sz="8" w:space="0" w:color="8FB08C"/>
          <w:left w:val="single" w:sz="8" w:space="0" w:color="8FB08C"/>
          <w:bottom w:val="single" w:sz="8" w:space="0" w:color="8FB08C"/>
          <w:right w:val="single" w:sz="8" w:space="0" w:color="8FB08C"/>
        </w:tcBorders>
        <w:shd w:val="clear" w:color="auto" w:fill="E3EBE2"/>
      </w:tcPr>
    </w:tblStylePr>
    <w:tblStylePr w:type="band1Horz">
      <w:tblPr/>
      <w:tcPr>
        <w:tcBorders>
          <w:top w:val="single" w:sz="8" w:space="0" w:color="8FB08C"/>
          <w:left w:val="single" w:sz="8" w:space="0" w:color="8FB08C"/>
          <w:bottom w:val="single" w:sz="8" w:space="0" w:color="8FB08C"/>
          <w:right w:val="single" w:sz="8" w:space="0" w:color="8FB08C"/>
          <w:insideV w:val="single" w:sz="8" w:space="0" w:color="8FB08C"/>
        </w:tcBorders>
        <w:shd w:val="clear" w:color="auto" w:fill="E3EBE2"/>
      </w:tcPr>
    </w:tblStylePr>
    <w:tblStylePr w:type="band2Horz">
      <w:tblPr/>
      <w:tcPr>
        <w:tcBorders>
          <w:top w:val="single" w:sz="8" w:space="0" w:color="8FB08C"/>
          <w:left w:val="single" w:sz="8" w:space="0" w:color="8FB08C"/>
          <w:bottom w:val="single" w:sz="8" w:space="0" w:color="8FB08C"/>
          <w:right w:val="single" w:sz="8" w:space="0" w:color="8FB08C"/>
          <w:insideV w:val="single" w:sz="8" w:space="0" w:color="8FB08C"/>
        </w:tcBorders>
      </w:tcPr>
    </w:tblStylePr>
  </w:style>
  <w:style w:type="table" w:customStyle="1" w:styleId="LightList-Accent3213">
    <w:name w:val="Light List - Accent 3213"/>
    <w:basedOn w:val="TableNormal"/>
    <w:next w:val="LightList-Accent3"/>
    <w:uiPriority w:val="61"/>
    <w:rsid w:val="00C1281D"/>
    <w:pPr>
      <w:spacing w:after="0" w:line="240" w:lineRule="auto"/>
    </w:pPr>
    <w:rPr>
      <w:rFonts w:ascii="Calibri" w:eastAsia="Calibri" w:hAnsi="Calibri" w:cs="Times New Roman"/>
      <w:sz w:val="20"/>
      <w:szCs w:val="20"/>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List-Accent31113">
    <w:name w:val="Light List - Accent 31113"/>
    <w:basedOn w:val="TableNormal"/>
    <w:next w:val="LightList-Accent3"/>
    <w:uiPriority w:val="61"/>
    <w:rsid w:val="00C1281D"/>
    <w:pPr>
      <w:spacing w:after="0" w:line="240" w:lineRule="auto"/>
    </w:pPr>
    <w:rPr>
      <w:rFonts w:ascii="Constantia" w:eastAsia="Constantia" w:hAnsi="Constantia" w:cs="Times New Roman"/>
      <w:lang w:val="sr-Cyrl-CS"/>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Shading-Accent1333">
    <w:name w:val="Light Shading - Accent 1333"/>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114">
    <w:name w:val="Light Shading - Accent 13114"/>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213">
    <w:name w:val="Light Shading - Accent 13213"/>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123">
    <w:name w:val="Light Shading - Accent 1123"/>
    <w:basedOn w:val="TableNormal"/>
    <w:uiPriority w:val="60"/>
    <w:rsid w:val="00C1281D"/>
    <w:pPr>
      <w:spacing w:after="0" w:line="240" w:lineRule="auto"/>
      <w:ind w:left="568" w:hanging="284"/>
    </w:pPr>
    <w:rPr>
      <w:rFonts w:ascii="Calibri" w:eastAsia="Calibri"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43">
    <w:name w:val="Light Shading - Accent 1343"/>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133">
    <w:name w:val="Light Shading - Accent 1133"/>
    <w:basedOn w:val="TableNormal"/>
    <w:uiPriority w:val="60"/>
    <w:rsid w:val="00C1281D"/>
    <w:pPr>
      <w:spacing w:after="0" w:line="240" w:lineRule="auto"/>
      <w:ind w:left="568" w:hanging="284"/>
    </w:pPr>
    <w:rPr>
      <w:rFonts w:ascii="Calibri" w:eastAsia="Calibri"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53">
    <w:name w:val="Light Shading - Accent 1353"/>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64">
    <w:name w:val="Light Shading - Accent 1364"/>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73">
    <w:name w:val="Light Shading - Accent 1373"/>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ele323">
    <w:name w:val="tabele 323"/>
    <w:basedOn w:val="TableNormal"/>
    <w:next w:val="LightList-Accent3"/>
    <w:uiPriority w:val="61"/>
    <w:rsid w:val="00C1281D"/>
    <w:pPr>
      <w:spacing w:after="0" w:line="240" w:lineRule="auto"/>
    </w:pPr>
    <w:rPr>
      <w:rFonts w:ascii="Cambria Math" w:eastAsia="Calibri" w:hAnsi="Cambria Math" w:cs="Times New Roman"/>
      <w:sz w:val="18"/>
      <w:lang w:val="sr-Cyrl-C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ghtShading-Accent1143">
    <w:name w:val="Light Shading - Accent 1143"/>
    <w:basedOn w:val="TableNormal"/>
    <w:uiPriority w:val="60"/>
    <w:rsid w:val="00C1281D"/>
    <w:pPr>
      <w:spacing w:after="0" w:line="240" w:lineRule="auto"/>
      <w:ind w:left="568" w:hanging="284"/>
    </w:pPr>
    <w:rPr>
      <w:rFonts w:ascii="Calibri" w:eastAsia="Calibri"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336">
    <w:name w:val="Light Shading - Accent 336"/>
    <w:basedOn w:val="TableNormal"/>
    <w:next w:val="LightShading-Accent3"/>
    <w:uiPriority w:val="60"/>
    <w:rsid w:val="00C1281D"/>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List-Accent533">
    <w:name w:val="Light List - Accent 533"/>
    <w:basedOn w:val="TableNormal"/>
    <w:next w:val="LightList-Accent5"/>
    <w:uiPriority w:val="61"/>
    <w:rsid w:val="00C1281D"/>
    <w:pPr>
      <w:spacing w:after="0" w:line="240" w:lineRule="auto"/>
    </w:pPr>
    <w:rPr>
      <w:rFonts w:ascii="Calibri" w:eastAsia="Calibri" w:hAnsi="Calibri" w:cs="Times New Roman"/>
      <w:sz w:val="20"/>
      <w:szCs w:val="20"/>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LightShading-Accent3123">
    <w:name w:val="Light Shading - Accent 3123"/>
    <w:basedOn w:val="TableNormal"/>
    <w:next w:val="LightShading-Accent3"/>
    <w:uiPriority w:val="60"/>
    <w:rsid w:val="00C1281D"/>
    <w:pPr>
      <w:spacing w:after="0" w:line="240" w:lineRule="auto"/>
    </w:pPr>
    <w:rPr>
      <w:rFonts w:ascii="Constantia" w:eastAsia="Constantia" w:hAnsi="Constantia" w:cs="Times New Roman"/>
      <w:color w:val="8CADAE"/>
      <w:lang w:val="sr-Cyrl-CS"/>
    </w:rPr>
    <w:tblPr>
      <w:tblStyleRowBandSize w:val="1"/>
      <w:tblStyleColBandSize w:val="1"/>
      <w:tblBorders>
        <w:top w:val="single" w:sz="8" w:space="0" w:color="8CADAE"/>
        <w:bottom w:val="single" w:sz="8" w:space="0" w:color="8CADAE"/>
      </w:tblBorders>
    </w:tblPr>
    <w:tblStylePr w:type="firstRow">
      <w:pPr>
        <w:spacing w:before="0" w:after="0" w:line="240" w:lineRule="auto"/>
      </w:pPr>
      <w:rPr>
        <w:b/>
        <w:bCs/>
      </w:rPr>
      <w:tblPr/>
      <w:tcPr>
        <w:tcBorders>
          <w:top w:val="single" w:sz="8" w:space="0" w:color="8CADAE"/>
          <w:left w:val="nil"/>
          <w:bottom w:val="single" w:sz="8" w:space="0" w:color="8CADAE"/>
          <w:right w:val="nil"/>
          <w:insideH w:val="nil"/>
          <w:insideV w:val="nil"/>
        </w:tcBorders>
      </w:tcPr>
    </w:tblStylePr>
    <w:tblStylePr w:type="lastRow">
      <w:pPr>
        <w:spacing w:before="0" w:after="0" w:line="240" w:lineRule="auto"/>
      </w:pPr>
      <w:rPr>
        <w:b/>
        <w:bCs/>
      </w:rPr>
      <w:tblPr/>
      <w:tcPr>
        <w:tcBorders>
          <w:top w:val="single" w:sz="8" w:space="0" w:color="8CADAE"/>
          <w:left w:val="nil"/>
          <w:bottom w:val="single" w:sz="8" w:space="0" w:color="8CADA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AEB"/>
      </w:tcPr>
    </w:tblStylePr>
    <w:tblStylePr w:type="band1Horz">
      <w:tblPr/>
      <w:tcPr>
        <w:tcBorders>
          <w:left w:val="nil"/>
          <w:right w:val="nil"/>
          <w:insideH w:val="nil"/>
          <w:insideV w:val="nil"/>
        </w:tcBorders>
        <w:shd w:val="clear" w:color="auto" w:fill="E2EAEB"/>
      </w:tcPr>
    </w:tblStylePr>
  </w:style>
  <w:style w:type="table" w:customStyle="1" w:styleId="LightList-Accent3133">
    <w:name w:val="Light List - Accent 3133"/>
    <w:basedOn w:val="TableNormal"/>
    <w:next w:val="LightList-Accent3"/>
    <w:uiPriority w:val="61"/>
    <w:rsid w:val="00C1281D"/>
    <w:pPr>
      <w:spacing w:after="0" w:line="240" w:lineRule="auto"/>
    </w:pPr>
    <w:rPr>
      <w:rFonts w:ascii="Constantia" w:eastAsia="Constantia" w:hAnsi="Constantia" w:cs="Times New Roman"/>
      <w:lang w:val="sr-Cyrl-CS"/>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List-Accent5123">
    <w:name w:val="Light List - Accent 5123"/>
    <w:basedOn w:val="TableNormal"/>
    <w:next w:val="LightList-Accent5"/>
    <w:uiPriority w:val="61"/>
    <w:rsid w:val="00C1281D"/>
    <w:pPr>
      <w:spacing w:after="0" w:line="240" w:lineRule="auto"/>
    </w:pPr>
    <w:rPr>
      <w:rFonts w:ascii="Times New Roman" w:eastAsia="Constantia" w:hAnsi="Times New Roman" w:cs="Times New Roman"/>
      <w:lang w:val="sr-Cyrl-CS"/>
    </w:rPr>
    <w:tblPr>
      <w:tblStyleRowBandSize w:val="1"/>
      <w:tblStyleColBandSize w:val="1"/>
      <w:tblBorders>
        <w:top w:val="single" w:sz="8" w:space="0" w:color="8FB08C"/>
        <w:left w:val="single" w:sz="8" w:space="0" w:color="8FB08C"/>
        <w:bottom w:val="single" w:sz="8" w:space="0" w:color="8FB08C"/>
        <w:right w:val="single" w:sz="8" w:space="0" w:color="8FB08C"/>
      </w:tblBorders>
    </w:tblPr>
    <w:tblStylePr w:type="firstRow">
      <w:pPr>
        <w:spacing w:before="0" w:after="0" w:line="240" w:lineRule="auto"/>
      </w:pPr>
      <w:rPr>
        <w:b/>
        <w:bCs/>
        <w:color w:val="FFFFFF"/>
      </w:rPr>
      <w:tblPr/>
      <w:tcPr>
        <w:shd w:val="clear" w:color="auto" w:fill="8FB08C"/>
      </w:tcPr>
    </w:tblStylePr>
    <w:tblStylePr w:type="lastRow">
      <w:pPr>
        <w:spacing w:before="0" w:after="0" w:line="240" w:lineRule="auto"/>
      </w:pPr>
      <w:rPr>
        <w:b/>
        <w:bCs/>
      </w:rPr>
      <w:tblPr/>
      <w:tcPr>
        <w:tcBorders>
          <w:top w:val="double" w:sz="6" w:space="0" w:color="8FB08C"/>
          <w:left w:val="single" w:sz="8" w:space="0" w:color="8FB08C"/>
          <w:bottom w:val="single" w:sz="8" w:space="0" w:color="8FB08C"/>
          <w:right w:val="single" w:sz="8" w:space="0" w:color="8FB08C"/>
        </w:tcBorders>
      </w:tcPr>
    </w:tblStylePr>
    <w:tblStylePr w:type="firstCol">
      <w:rPr>
        <w:b/>
        <w:bCs/>
      </w:rPr>
    </w:tblStylePr>
    <w:tblStylePr w:type="lastCol">
      <w:rPr>
        <w:b/>
        <w:bCs/>
      </w:rPr>
    </w:tblStylePr>
    <w:tblStylePr w:type="band1Vert">
      <w:tblPr/>
      <w:tcPr>
        <w:tcBorders>
          <w:top w:val="single" w:sz="8" w:space="0" w:color="8FB08C"/>
          <w:left w:val="single" w:sz="8" w:space="0" w:color="8FB08C"/>
          <w:bottom w:val="single" w:sz="8" w:space="0" w:color="8FB08C"/>
          <w:right w:val="single" w:sz="8" w:space="0" w:color="8FB08C"/>
        </w:tcBorders>
      </w:tcPr>
    </w:tblStylePr>
    <w:tblStylePr w:type="band1Horz">
      <w:tblPr/>
      <w:tcPr>
        <w:tcBorders>
          <w:top w:val="single" w:sz="8" w:space="0" w:color="8FB08C"/>
          <w:left w:val="single" w:sz="8" w:space="0" w:color="8FB08C"/>
          <w:bottom w:val="single" w:sz="8" w:space="0" w:color="8FB08C"/>
          <w:right w:val="single" w:sz="8" w:space="0" w:color="8FB08C"/>
        </w:tcBorders>
      </w:tcPr>
    </w:tblStylePr>
  </w:style>
  <w:style w:type="table" w:customStyle="1" w:styleId="LightGrid-Accent5124">
    <w:name w:val="Light Grid - Accent 5124"/>
    <w:basedOn w:val="TableNormal"/>
    <w:next w:val="LightGrid-Accent5"/>
    <w:uiPriority w:val="62"/>
    <w:rsid w:val="00C1281D"/>
    <w:pPr>
      <w:spacing w:after="0" w:line="240" w:lineRule="auto"/>
    </w:pPr>
    <w:rPr>
      <w:rFonts w:ascii="Calibri" w:eastAsia="Calibri" w:hAnsi="Calibri" w:cs="Times New Roman"/>
      <w:sz w:val="20"/>
      <w:szCs w:val="20"/>
      <w:lang w:val="sr-Latn-CS" w:eastAsia="en-GB"/>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Comic Sans MS" w:eastAsia="Times New Roman" w:hAnsi="Comic Sans MS"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omic Sans MS" w:eastAsia="Times New Roman" w:hAnsi="Comic Sans MS"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omic Sans MS" w:eastAsia="Times New Roman" w:hAnsi="Comic Sans MS" w:cs="Times New Roman"/>
        <w:b/>
        <w:bCs/>
      </w:rPr>
    </w:tblStylePr>
    <w:tblStylePr w:type="lastCol">
      <w:rPr>
        <w:rFonts w:ascii="Comic Sans MS" w:eastAsia="Times New Roman" w:hAnsi="Comic Sans MS"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1123">
    <w:name w:val="Светло сенчење – наглашавање 1123"/>
    <w:basedOn w:val="TableNormal"/>
    <w:uiPriority w:val="60"/>
    <w:rsid w:val="00C1281D"/>
    <w:pPr>
      <w:spacing w:after="0" w:line="240" w:lineRule="auto"/>
    </w:pPr>
    <w:rPr>
      <w:rFonts w:ascii="Calibri" w:eastAsia="Calibri" w:hAnsi="Calibri" w:cs="Times New Roman"/>
      <w:color w:val="365F91"/>
      <w:sz w:val="20"/>
      <w:szCs w:val="20"/>
      <w:lang w:val="sr-Latn-CS" w:eastAsia="en-GB"/>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Grid-Accent534">
    <w:name w:val="Light Grid - Accent 534"/>
    <w:basedOn w:val="TableNormal"/>
    <w:next w:val="LightGrid-Accent5"/>
    <w:uiPriority w:val="62"/>
    <w:rsid w:val="00C1281D"/>
    <w:pPr>
      <w:spacing w:after="0" w:line="240" w:lineRule="auto"/>
    </w:pPr>
    <w:rPr>
      <w:rFonts w:ascii="Calibri" w:eastAsia="Calibri" w:hAnsi="Calibri" w:cs="Times New Roman"/>
      <w:sz w:val="20"/>
      <w:szCs w:val="20"/>
      <w:lang w:val="en-GB" w:eastAsia="en-GB"/>
    </w:rPr>
    <w:tblPr>
      <w:tblStyleRowBandSize w:val="1"/>
      <w:tblStyleColBandSize w:val="1"/>
      <w:tblBorders>
        <w:top w:val="single" w:sz="8" w:space="0" w:color="8FB08C"/>
        <w:left w:val="single" w:sz="8" w:space="0" w:color="8FB08C"/>
        <w:bottom w:val="single" w:sz="8" w:space="0" w:color="8FB08C"/>
        <w:right w:val="single" w:sz="8" w:space="0" w:color="8FB08C"/>
        <w:insideH w:val="single" w:sz="8" w:space="0" w:color="8FB08C"/>
        <w:insideV w:val="single" w:sz="8" w:space="0" w:color="8FB08C"/>
      </w:tblBorders>
    </w:tblPr>
    <w:tblStylePr w:type="firstRow">
      <w:pPr>
        <w:spacing w:before="0" w:after="0" w:line="240" w:lineRule="auto"/>
      </w:pPr>
      <w:rPr>
        <w:rFonts w:ascii="Comic Sans MS" w:eastAsia="Times New Roman" w:hAnsi="Comic Sans MS" w:cs="Times New Roman"/>
        <w:b/>
        <w:bCs/>
      </w:rPr>
      <w:tblPr/>
      <w:tcPr>
        <w:tcBorders>
          <w:top w:val="single" w:sz="8" w:space="0" w:color="8FB08C"/>
          <w:left w:val="single" w:sz="8" w:space="0" w:color="8FB08C"/>
          <w:bottom w:val="single" w:sz="18" w:space="0" w:color="8FB08C"/>
          <w:right w:val="single" w:sz="8" w:space="0" w:color="8FB08C"/>
          <w:insideH w:val="nil"/>
          <w:insideV w:val="single" w:sz="8" w:space="0" w:color="8FB08C"/>
        </w:tcBorders>
      </w:tcPr>
    </w:tblStylePr>
    <w:tblStylePr w:type="lastRow">
      <w:pPr>
        <w:spacing w:before="0" w:after="0" w:line="240" w:lineRule="auto"/>
      </w:pPr>
      <w:rPr>
        <w:rFonts w:ascii="Comic Sans MS" w:eastAsia="Times New Roman" w:hAnsi="Comic Sans MS" w:cs="Times New Roman"/>
        <w:b/>
        <w:bCs/>
      </w:rPr>
      <w:tblPr/>
      <w:tcPr>
        <w:tcBorders>
          <w:top w:val="double" w:sz="6" w:space="0" w:color="8FB08C"/>
          <w:left w:val="single" w:sz="8" w:space="0" w:color="8FB08C"/>
          <w:bottom w:val="single" w:sz="8" w:space="0" w:color="8FB08C"/>
          <w:right w:val="single" w:sz="8" w:space="0" w:color="8FB08C"/>
          <w:insideH w:val="nil"/>
          <w:insideV w:val="single" w:sz="8" w:space="0" w:color="8FB08C"/>
        </w:tcBorders>
      </w:tcPr>
    </w:tblStylePr>
    <w:tblStylePr w:type="firstCol">
      <w:rPr>
        <w:rFonts w:ascii="Comic Sans MS" w:eastAsia="Times New Roman" w:hAnsi="Comic Sans MS" w:cs="Times New Roman"/>
        <w:b/>
        <w:bCs/>
      </w:rPr>
    </w:tblStylePr>
    <w:tblStylePr w:type="lastCol">
      <w:rPr>
        <w:rFonts w:ascii="Comic Sans MS" w:eastAsia="Times New Roman" w:hAnsi="Comic Sans MS" w:cs="Times New Roman"/>
        <w:b/>
        <w:bCs/>
      </w:rPr>
      <w:tblPr/>
      <w:tcPr>
        <w:tcBorders>
          <w:top w:val="single" w:sz="8" w:space="0" w:color="8FB08C"/>
          <w:left w:val="single" w:sz="8" w:space="0" w:color="8FB08C"/>
          <w:bottom w:val="single" w:sz="8" w:space="0" w:color="8FB08C"/>
          <w:right w:val="single" w:sz="8" w:space="0" w:color="8FB08C"/>
        </w:tcBorders>
      </w:tcPr>
    </w:tblStylePr>
    <w:tblStylePr w:type="band1Vert">
      <w:tblPr/>
      <w:tcPr>
        <w:tcBorders>
          <w:top w:val="single" w:sz="8" w:space="0" w:color="8FB08C"/>
          <w:left w:val="single" w:sz="8" w:space="0" w:color="8FB08C"/>
          <w:bottom w:val="single" w:sz="8" w:space="0" w:color="8FB08C"/>
          <w:right w:val="single" w:sz="8" w:space="0" w:color="8FB08C"/>
        </w:tcBorders>
        <w:shd w:val="clear" w:color="auto" w:fill="E3EBE2"/>
      </w:tcPr>
    </w:tblStylePr>
    <w:tblStylePr w:type="band1Horz">
      <w:tblPr/>
      <w:tcPr>
        <w:tcBorders>
          <w:top w:val="single" w:sz="8" w:space="0" w:color="8FB08C"/>
          <w:left w:val="single" w:sz="8" w:space="0" w:color="8FB08C"/>
          <w:bottom w:val="single" w:sz="8" w:space="0" w:color="8FB08C"/>
          <w:right w:val="single" w:sz="8" w:space="0" w:color="8FB08C"/>
          <w:insideV w:val="single" w:sz="8" w:space="0" w:color="8FB08C"/>
        </w:tcBorders>
        <w:shd w:val="clear" w:color="auto" w:fill="E3EBE2"/>
      </w:tcPr>
    </w:tblStylePr>
    <w:tblStylePr w:type="band2Horz">
      <w:tblPr/>
      <w:tcPr>
        <w:tcBorders>
          <w:top w:val="single" w:sz="8" w:space="0" w:color="8FB08C"/>
          <w:left w:val="single" w:sz="8" w:space="0" w:color="8FB08C"/>
          <w:bottom w:val="single" w:sz="8" w:space="0" w:color="8FB08C"/>
          <w:right w:val="single" w:sz="8" w:space="0" w:color="8FB08C"/>
          <w:insideV w:val="single" w:sz="8" w:space="0" w:color="8FB08C"/>
        </w:tcBorders>
      </w:tcPr>
    </w:tblStylePr>
  </w:style>
  <w:style w:type="table" w:customStyle="1" w:styleId="LightList-Accent3223">
    <w:name w:val="Light List - Accent 3223"/>
    <w:basedOn w:val="TableNormal"/>
    <w:next w:val="LightList-Accent3"/>
    <w:uiPriority w:val="61"/>
    <w:rsid w:val="00C1281D"/>
    <w:pPr>
      <w:spacing w:after="0" w:line="240" w:lineRule="auto"/>
    </w:pPr>
    <w:rPr>
      <w:rFonts w:ascii="Calibri" w:eastAsia="Calibri" w:hAnsi="Calibri" w:cs="Times New Roman"/>
      <w:sz w:val="20"/>
      <w:szCs w:val="20"/>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List-Accent31123">
    <w:name w:val="Light List - Accent 31123"/>
    <w:basedOn w:val="TableNormal"/>
    <w:next w:val="LightList-Accent3"/>
    <w:uiPriority w:val="61"/>
    <w:rsid w:val="00C1281D"/>
    <w:pPr>
      <w:spacing w:after="0" w:line="240" w:lineRule="auto"/>
    </w:pPr>
    <w:rPr>
      <w:rFonts w:ascii="Constantia" w:eastAsia="Constantia" w:hAnsi="Constantia" w:cs="Times New Roman"/>
      <w:lang w:val="sr-Cyrl-CS"/>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Shading-Accent1384">
    <w:name w:val="Light Shading - Accent 1384"/>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123">
    <w:name w:val="Light Shading - Accent 13123"/>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223">
    <w:name w:val="Light Shading - Accent 13223"/>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153">
    <w:name w:val="Light Shading - Accent 1153"/>
    <w:basedOn w:val="TableNormal"/>
    <w:uiPriority w:val="60"/>
    <w:rsid w:val="00C1281D"/>
    <w:pPr>
      <w:spacing w:after="0" w:line="240" w:lineRule="auto"/>
      <w:ind w:left="568" w:hanging="284"/>
    </w:pPr>
    <w:rPr>
      <w:rFonts w:ascii="Calibri" w:eastAsia="Calibri"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94">
    <w:name w:val="Light Shading - Accent 1394"/>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164">
    <w:name w:val="Light Shading - Accent 1164"/>
    <w:basedOn w:val="TableNormal"/>
    <w:uiPriority w:val="60"/>
    <w:rsid w:val="00C1281D"/>
    <w:pPr>
      <w:spacing w:after="0" w:line="240" w:lineRule="auto"/>
      <w:ind w:left="568" w:hanging="284"/>
    </w:pPr>
    <w:rPr>
      <w:rFonts w:ascii="Calibri" w:eastAsia="Calibri"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104">
    <w:name w:val="Light Shading - Accent 13104"/>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133">
    <w:name w:val="Light Shading - Accent 13133"/>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ele333">
    <w:name w:val="tabele 333"/>
    <w:basedOn w:val="TableNormal"/>
    <w:next w:val="LightList-Accent3"/>
    <w:uiPriority w:val="61"/>
    <w:rsid w:val="00C1281D"/>
    <w:pPr>
      <w:spacing w:after="0" w:line="240" w:lineRule="auto"/>
    </w:pPr>
    <w:rPr>
      <w:rFonts w:ascii="Cambria Math" w:eastAsia="Calibri" w:hAnsi="Cambria Math" w:cs="Times New Roman"/>
      <w:sz w:val="18"/>
      <w:lang w:val="sr-Cyrl-C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ghtShading-Accent1173">
    <w:name w:val="Light Shading - Accent 1173"/>
    <w:basedOn w:val="TableNormal"/>
    <w:uiPriority w:val="60"/>
    <w:rsid w:val="00C1281D"/>
    <w:pPr>
      <w:spacing w:after="0" w:line="240" w:lineRule="auto"/>
      <w:ind w:left="568" w:hanging="284"/>
    </w:pPr>
    <w:rPr>
      <w:rFonts w:ascii="Calibri" w:eastAsia="Calibri"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345">
    <w:name w:val="Light Shading - Accent 345"/>
    <w:basedOn w:val="TableNormal"/>
    <w:next w:val="LightShading-Accent3"/>
    <w:uiPriority w:val="60"/>
    <w:rsid w:val="00C1281D"/>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List-Accent543">
    <w:name w:val="Light List - Accent 543"/>
    <w:basedOn w:val="TableNormal"/>
    <w:next w:val="LightList-Accent5"/>
    <w:uiPriority w:val="61"/>
    <w:rsid w:val="00C1281D"/>
    <w:pPr>
      <w:spacing w:after="0" w:line="240" w:lineRule="auto"/>
    </w:pPr>
    <w:rPr>
      <w:rFonts w:ascii="Calibri" w:eastAsia="Calibri" w:hAnsi="Calibri" w:cs="Times New Roman"/>
      <w:sz w:val="20"/>
      <w:szCs w:val="20"/>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LightShading-Accent3133">
    <w:name w:val="Light Shading - Accent 3133"/>
    <w:basedOn w:val="TableNormal"/>
    <w:next w:val="LightShading-Accent3"/>
    <w:uiPriority w:val="60"/>
    <w:rsid w:val="00C1281D"/>
    <w:pPr>
      <w:spacing w:after="0" w:line="240" w:lineRule="auto"/>
    </w:pPr>
    <w:rPr>
      <w:rFonts w:ascii="Constantia" w:eastAsia="Constantia" w:hAnsi="Constantia" w:cs="Times New Roman"/>
      <w:color w:val="8CADAE"/>
      <w:lang w:val="sr-Cyrl-CS"/>
    </w:rPr>
    <w:tblPr>
      <w:tblStyleRowBandSize w:val="1"/>
      <w:tblStyleColBandSize w:val="1"/>
      <w:tblBorders>
        <w:top w:val="single" w:sz="8" w:space="0" w:color="8CADAE"/>
        <w:bottom w:val="single" w:sz="8" w:space="0" w:color="8CADAE"/>
      </w:tblBorders>
    </w:tblPr>
    <w:tblStylePr w:type="firstRow">
      <w:pPr>
        <w:spacing w:before="0" w:after="0" w:line="240" w:lineRule="auto"/>
      </w:pPr>
      <w:rPr>
        <w:b/>
        <w:bCs/>
      </w:rPr>
      <w:tblPr/>
      <w:tcPr>
        <w:tcBorders>
          <w:top w:val="single" w:sz="8" w:space="0" w:color="8CADAE"/>
          <w:left w:val="nil"/>
          <w:bottom w:val="single" w:sz="8" w:space="0" w:color="8CADAE"/>
          <w:right w:val="nil"/>
          <w:insideH w:val="nil"/>
          <w:insideV w:val="nil"/>
        </w:tcBorders>
      </w:tcPr>
    </w:tblStylePr>
    <w:tblStylePr w:type="lastRow">
      <w:pPr>
        <w:spacing w:before="0" w:after="0" w:line="240" w:lineRule="auto"/>
      </w:pPr>
      <w:rPr>
        <w:b/>
        <w:bCs/>
      </w:rPr>
      <w:tblPr/>
      <w:tcPr>
        <w:tcBorders>
          <w:top w:val="single" w:sz="8" w:space="0" w:color="8CADAE"/>
          <w:left w:val="nil"/>
          <w:bottom w:val="single" w:sz="8" w:space="0" w:color="8CADA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AEB"/>
      </w:tcPr>
    </w:tblStylePr>
    <w:tblStylePr w:type="band1Horz">
      <w:tblPr/>
      <w:tcPr>
        <w:tcBorders>
          <w:left w:val="nil"/>
          <w:right w:val="nil"/>
          <w:insideH w:val="nil"/>
          <w:insideV w:val="nil"/>
        </w:tcBorders>
        <w:shd w:val="clear" w:color="auto" w:fill="E2EAEB"/>
      </w:tcPr>
    </w:tblStylePr>
  </w:style>
  <w:style w:type="table" w:customStyle="1" w:styleId="LightList-Accent3143">
    <w:name w:val="Light List - Accent 3143"/>
    <w:basedOn w:val="TableNormal"/>
    <w:next w:val="LightList-Accent3"/>
    <w:uiPriority w:val="61"/>
    <w:rsid w:val="00C1281D"/>
    <w:pPr>
      <w:spacing w:after="0" w:line="240" w:lineRule="auto"/>
    </w:pPr>
    <w:rPr>
      <w:rFonts w:ascii="Constantia" w:eastAsia="Constantia" w:hAnsi="Constantia" w:cs="Times New Roman"/>
      <w:lang w:val="sr-Cyrl-CS"/>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List-Accent5133">
    <w:name w:val="Light List - Accent 5133"/>
    <w:basedOn w:val="TableNormal"/>
    <w:next w:val="LightList-Accent5"/>
    <w:uiPriority w:val="61"/>
    <w:rsid w:val="00C1281D"/>
    <w:pPr>
      <w:spacing w:after="0" w:line="240" w:lineRule="auto"/>
    </w:pPr>
    <w:rPr>
      <w:rFonts w:ascii="Times New Roman" w:eastAsia="Constantia" w:hAnsi="Times New Roman" w:cs="Times New Roman"/>
      <w:lang w:val="sr-Cyrl-CS"/>
    </w:rPr>
    <w:tblPr>
      <w:tblStyleRowBandSize w:val="1"/>
      <w:tblStyleColBandSize w:val="1"/>
      <w:tblBorders>
        <w:top w:val="single" w:sz="8" w:space="0" w:color="8FB08C"/>
        <w:left w:val="single" w:sz="8" w:space="0" w:color="8FB08C"/>
        <w:bottom w:val="single" w:sz="8" w:space="0" w:color="8FB08C"/>
        <w:right w:val="single" w:sz="8" w:space="0" w:color="8FB08C"/>
      </w:tblBorders>
    </w:tblPr>
    <w:tblStylePr w:type="firstRow">
      <w:pPr>
        <w:spacing w:before="0" w:after="0" w:line="240" w:lineRule="auto"/>
      </w:pPr>
      <w:rPr>
        <w:b/>
        <w:bCs/>
        <w:color w:val="FFFFFF"/>
      </w:rPr>
      <w:tblPr/>
      <w:tcPr>
        <w:shd w:val="clear" w:color="auto" w:fill="8FB08C"/>
      </w:tcPr>
    </w:tblStylePr>
    <w:tblStylePr w:type="lastRow">
      <w:pPr>
        <w:spacing w:before="0" w:after="0" w:line="240" w:lineRule="auto"/>
      </w:pPr>
      <w:rPr>
        <w:b/>
        <w:bCs/>
      </w:rPr>
      <w:tblPr/>
      <w:tcPr>
        <w:tcBorders>
          <w:top w:val="double" w:sz="6" w:space="0" w:color="8FB08C"/>
          <w:left w:val="single" w:sz="8" w:space="0" w:color="8FB08C"/>
          <w:bottom w:val="single" w:sz="8" w:space="0" w:color="8FB08C"/>
          <w:right w:val="single" w:sz="8" w:space="0" w:color="8FB08C"/>
        </w:tcBorders>
      </w:tcPr>
    </w:tblStylePr>
    <w:tblStylePr w:type="firstCol">
      <w:rPr>
        <w:b/>
        <w:bCs/>
      </w:rPr>
    </w:tblStylePr>
    <w:tblStylePr w:type="lastCol">
      <w:rPr>
        <w:b/>
        <w:bCs/>
      </w:rPr>
    </w:tblStylePr>
    <w:tblStylePr w:type="band1Vert">
      <w:tblPr/>
      <w:tcPr>
        <w:tcBorders>
          <w:top w:val="single" w:sz="8" w:space="0" w:color="8FB08C"/>
          <w:left w:val="single" w:sz="8" w:space="0" w:color="8FB08C"/>
          <w:bottom w:val="single" w:sz="8" w:space="0" w:color="8FB08C"/>
          <w:right w:val="single" w:sz="8" w:space="0" w:color="8FB08C"/>
        </w:tcBorders>
      </w:tcPr>
    </w:tblStylePr>
    <w:tblStylePr w:type="band1Horz">
      <w:tblPr/>
      <w:tcPr>
        <w:tcBorders>
          <w:top w:val="single" w:sz="8" w:space="0" w:color="8FB08C"/>
          <w:left w:val="single" w:sz="8" w:space="0" w:color="8FB08C"/>
          <w:bottom w:val="single" w:sz="8" w:space="0" w:color="8FB08C"/>
          <w:right w:val="single" w:sz="8" w:space="0" w:color="8FB08C"/>
        </w:tcBorders>
      </w:tcPr>
    </w:tblStylePr>
  </w:style>
  <w:style w:type="table" w:customStyle="1" w:styleId="LightGrid-Accent5134">
    <w:name w:val="Light Grid - Accent 5134"/>
    <w:basedOn w:val="TableNormal"/>
    <w:next w:val="LightGrid-Accent5"/>
    <w:uiPriority w:val="62"/>
    <w:rsid w:val="00C1281D"/>
    <w:pPr>
      <w:spacing w:after="0" w:line="240" w:lineRule="auto"/>
    </w:pPr>
    <w:rPr>
      <w:rFonts w:ascii="Calibri" w:eastAsia="Calibri" w:hAnsi="Calibri" w:cs="Times New Roman"/>
      <w:sz w:val="20"/>
      <w:szCs w:val="20"/>
      <w:lang w:val="sr-Latn-CS" w:eastAsia="en-GB"/>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Comic Sans MS" w:eastAsia="Times New Roman" w:hAnsi="Comic Sans MS"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omic Sans MS" w:eastAsia="Times New Roman" w:hAnsi="Comic Sans MS"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omic Sans MS" w:eastAsia="Times New Roman" w:hAnsi="Comic Sans MS" w:cs="Times New Roman"/>
        <w:b/>
        <w:bCs/>
      </w:rPr>
    </w:tblStylePr>
    <w:tblStylePr w:type="lastCol">
      <w:rPr>
        <w:rFonts w:ascii="Comic Sans MS" w:eastAsia="Times New Roman" w:hAnsi="Comic Sans MS"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1133">
    <w:name w:val="Светло сенчење – наглашавање 1133"/>
    <w:basedOn w:val="TableNormal"/>
    <w:uiPriority w:val="60"/>
    <w:rsid w:val="00C1281D"/>
    <w:pPr>
      <w:spacing w:after="0" w:line="240" w:lineRule="auto"/>
    </w:pPr>
    <w:rPr>
      <w:rFonts w:ascii="Calibri" w:eastAsia="Calibri" w:hAnsi="Calibri" w:cs="Times New Roman"/>
      <w:color w:val="365F91"/>
      <w:sz w:val="20"/>
      <w:szCs w:val="20"/>
      <w:lang w:val="sr-Latn-CS" w:eastAsia="en-GB"/>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Grid-Accent544">
    <w:name w:val="Light Grid - Accent 544"/>
    <w:basedOn w:val="TableNormal"/>
    <w:next w:val="LightGrid-Accent5"/>
    <w:uiPriority w:val="62"/>
    <w:rsid w:val="00C1281D"/>
    <w:pPr>
      <w:spacing w:after="0" w:line="240" w:lineRule="auto"/>
    </w:pPr>
    <w:rPr>
      <w:rFonts w:ascii="Calibri" w:eastAsia="Calibri" w:hAnsi="Calibri" w:cs="Times New Roman"/>
      <w:sz w:val="20"/>
      <w:szCs w:val="20"/>
      <w:lang w:val="en-GB" w:eastAsia="en-GB"/>
    </w:rPr>
    <w:tblPr>
      <w:tblStyleRowBandSize w:val="1"/>
      <w:tblStyleColBandSize w:val="1"/>
      <w:tblBorders>
        <w:top w:val="single" w:sz="8" w:space="0" w:color="8FB08C"/>
        <w:left w:val="single" w:sz="8" w:space="0" w:color="8FB08C"/>
        <w:bottom w:val="single" w:sz="8" w:space="0" w:color="8FB08C"/>
        <w:right w:val="single" w:sz="8" w:space="0" w:color="8FB08C"/>
        <w:insideH w:val="single" w:sz="8" w:space="0" w:color="8FB08C"/>
        <w:insideV w:val="single" w:sz="8" w:space="0" w:color="8FB08C"/>
      </w:tblBorders>
    </w:tblPr>
    <w:tblStylePr w:type="firstRow">
      <w:pPr>
        <w:spacing w:before="0" w:after="0" w:line="240" w:lineRule="auto"/>
      </w:pPr>
      <w:rPr>
        <w:rFonts w:ascii="Comic Sans MS" w:eastAsia="Times New Roman" w:hAnsi="Comic Sans MS" w:cs="Times New Roman"/>
        <w:b/>
        <w:bCs/>
      </w:rPr>
      <w:tblPr/>
      <w:tcPr>
        <w:tcBorders>
          <w:top w:val="single" w:sz="8" w:space="0" w:color="8FB08C"/>
          <w:left w:val="single" w:sz="8" w:space="0" w:color="8FB08C"/>
          <w:bottom w:val="single" w:sz="18" w:space="0" w:color="8FB08C"/>
          <w:right w:val="single" w:sz="8" w:space="0" w:color="8FB08C"/>
          <w:insideH w:val="nil"/>
          <w:insideV w:val="single" w:sz="8" w:space="0" w:color="8FB08C"/>
        </w:tcBorders>
      </w:tcPr>
    </w:tblStylePr>
    <w:tblStylePr w:type="lastRow">
      <w:pPr>
        <w:spacing w:before="0" w:after="0" w:line="240" w:lineRule="auto"/>
      </w:pPr>
      <w:rPr>
        <w:rFonts w:ascii="Comic Sans MS" w:eastAsia="Times New Roman" w:hAnsi="Comic Sans MS" w:cs="Times New Roman"/>
        <w:b/>
        <w:bCs/>
      </w:rPr>
      <w:tblPr/>
      <w:tcPr>
        <w:tcBorders>
          <w:top w:val="double" w:sz="6" w:space="0" w:color="8FB08C"/>
          <w:left w:val="single" w:sz="8" w:space="0" w:color="8FB08C"/>
          <w:bottom w:val="single" w:sz="8" w:space="0" w:color="8FB08C"/>
          <w:right w:val="single" w:sz="8" w:space="0" w:color="8FB08C"/>
          <w:insideH w:val="nil"/>
          <w:insideV w:val="single" w:sz="8" w:space="0" w:color="8FB08C"/>
        </w:tcBorders>
      </w:tcPr>
    </w:tblStylePr>
    <w:tblStylePr w:type="firstCol">
      <w:rPr>
        <w:rFonts w:ascii="Comic Sans MS" w:eastAsia="Times New Roman" w:hAnsi="Comic Sans MS" w:cs="Times New Roman"/>
        <w:b/>
        <w:bCs/>
      </w:rPr>
    </w:tblStylePr>
    <w:tblStylePr w:type="lastCol">
      <w:rPr>
        <w:rFonts w:ascii="Comic Sans MS" w:eastAsia="Times New Roman" w:hAnsi="Comic Sans MS" w:cs="Times New Roman"/>
        <w:b/>
        <w:bCs/>
      </w:rPr>
      <w:tblPr/>
      <w:tcPr>
        <w:tcBorders>
          <w:top w:val="single" w:sz="8" w:space="0" w:color="8FB08C"/>
          <w:left w:val="single" w:sz="8" w:space="0" w:color="8FB08C"/>
          <w:bottom w:val="single" w:sz="8" w:space="0" w:color="8FB08C"/>
          <w:right w:val="single" w:sz="8" w:space="0" w:color="8FB08C"/>
        </w:tcBorders>
      </w:tcPr>
    </w:tblStylePr>
    <w:tblStylePr w:type="band1Vert">
      <w:tblPr/>
      <w:tcPr>
        <w:tcBorders>
          <w:top w:val="single" w:sz="8" w:space="0" w:color="8FB08C"/>
          <w:left w:val="single" w:sz="8" w:space="0" w:color="8FB08C"/>
          <w:bottom w:val="single" w:sz="8" w:space="0" w:color="8FB08C"/>
          <w:right w:val="single" w:sz="8" w:space="0" w:color="8FB08C"/>
        </w:tcBorders>
        <w:shd w:val="clear" w:color="auto" w:fill="E3EBE2"/>
      </w:tcPr>
    </w:tblStylePr>
    <w:tblStylePr w:type="band1Horz">
      <w:tblPr/>
      <w:tcPr>
        <w:tcBorders>
          <w:top w:val="single" w:sz="8" w:space="0" w:color="8FB08C"/>
          <w:left w:val="single" w:sz="8" w:space="0" w:color="8FB08C"/>
          <w:bottom w:val="single" w:sz="8" w:space="0" w:color="8FB08C"/>
          <w:right w:val="single" w:sz="8" w:space="0" w:color="8FB08C"/>
          <w:insideV w:val="single" w:sz="8" w:space="0" w:color="8FB08C"/>
        </w:tcBorders>
        <w:shd w:val="clear" w:color="auto" w:fill="E3EBE2"/>
      </w:tcPr>
    </w:tblStylePr>
    <w:tblStylePr w:type="band2Horz">
      <w:tblPr/>
      <w:tcPr>
        <w:tcBorders>
          <w:top w:val="single" w:sz="8" w:space="0" w:color="8FB08C"/>
          <w:left w:val="single" w:sz="8" w:space="0" w:color="8FB08C"/>
          <w:bottom w:val="single" w:sz="8" w:space="0" w:color="8FB08C"/>
          <w:right w:val="single" w:sz="8" w:space="0" w:color="8FB08C"/>
          <w:insideV w:val="single" w:sz="8" w:space="0" w:color="8FB08C"/>
        </w:tcBorders>
      </w:tcPr>
    </w:tblStylePr>
  </w:style>
  <w:style w:type="table" w:customStyle="1" w:styleId="LightShading-Accent1233">
    <w:name w:val="Light Shading - Accent 1233"/>
    <w:basedOn w:val="TableNormal"/>
    <w:uiPriority w:val="60"/>
    <w:rsid w:val="00C1281D"/>
    <w:pPr>
      <w:spacing w:after="0" w:line="240"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List-Accent3233">
    <w:name w:val="Light List - Accent 3233"/>
    <w:basedOn w:val="TableNormal"/>
    <w:next w:val="LightList-Accent3"/>
    <w:uiPriority w:val="61"/>
    <w:rsid w:val="00C1281D"/>
    <w:pPr>
      <w:spacing w:after="0" w:line="240" w:lineRule="auto"/>
    </w:pPr>
    <w:rPr>
      <w:rFonts w:ascii="Calibri" w:eastAsia="Calibri" w:hAnsi="Calibri" w:cs="Times New Roman"/>
      <w:sz w:val="20"/>
      <w:szCs w:val="20"/>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List-Accent31133">
    <w:name w:val="Light List - Accent 31133"/>
    <w:basedOn w:val="TableNormal"/>
    <w:next w:val="LightList-Accent3"/>
    <w:uiPriority w:val="61"/>
    <w:rsid w:val="00C1281D"/>
    <w:pPr>
      <w:spacing w:after="0" w:line="240" w:lineRule="auto"/>
    </w:pPr>
    <w:rPr>
      <w:rFonts w:ascii="Constantia" w:eastAsia="Constantia" w:hAnsi="Constantia" w:cs="Times New Roman"/>
      <w:lang w:val="sr-Cyrl-CS"/>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Shading-Accent13143">
    <w:name w:val="Light Shading - Accent 13143"/>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153">
    <w:name w:val="Light Shading - Accent 13153"/>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233">
    <w:name w:val="Light Shading - Accent 13233"/>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163">
    <w:name w:val="Light Shading - Accent 13163"/>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813">
    <w:name w:val="Light Shading - Accent 13813"/>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183">
    <w:name w:val="Light Shading - Accent 1183"/>
    <w:basedOn w:val="TableNormal"/>
    <w:uiPriority w:val="60"/>
    <w:rsid w:val="00C1281D"/>
    <w:pPr>
      <w:spacing w:after="0" w:line="240" w:lineRule="auto"/>
      <w:ind w:left="568" w:hanging="284"/>
    </w:pPr>
    <w:rPr>
      <w:rFonts w:ascii="Calibri" w:eastAsia="Calibri"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913">
    <w:name w:val="Light Shading - Accent 13913"/>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1613">
    <w:name w:val="Light Shading - Accent 11613"/>
    <w:basedOn w:val="TableNormal"/>
    <w:uiPriority w:val="60"/>
    <w:rsid w:val="00C1281D"/>
    <w:pPr>
      <w:spacing w:after="0" w:line="240" w:lineRule="auto"/>
      <w:ind w:left="568" w:hanging="284"/>
    </w:pPr>
    <w:rPr>
      <w:rFonts w:ascii="Calibri" w:eastAsia="Calibri"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1013">
    <w:name w:val="Light Shading - Accent 131013"/>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613">
    <w:name w:val="Light Shading - Accent 13613"/>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193">
    <w:name w:val="Light Shading - Accent 1193"/>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42">
    <w:name w:val="Light Shading - Accent 142"/>
    <w:basedOn w:val="TableNormal"/>
    <w:next w:val="LightShading-Accent1"/>
    <w:uiPriority w:val="60"/>
    <w:rsid w:val="00C1281D"/>
    <w:pPr>
      <w:spacing w:after="0" w:line="240" w:lineRule="auto"/>
    </w:pPr>
    <w:rPr>
      <w:color w:val="BF2B0E"/>
    </w:rPr>
    <w:tblPr>
      <w:tblStyleRowBandSize w:val="1"/>
      <w:tblStyleColBandSize w:val="1"/>
      <w:tblBorders>
        <w:top w:val="single" w:sz="8" w:space="0" w:color="EF4623"/>
        <w:bottom w:val="single" w:sz="8" w:space="0" w:color="EF4623"/>
      </w:tblBorders>
    </w:tblPr>
    <w:tblStylePr w:type="firstRow">
      <w:pPr>
        <w:spacing w:before="0" w:after="0" w:line="240" w:lineRule="auto"/>
      </w:pPr>
      <w:rPr>
        <w:b/>
        <w:bCs/>
      </w:rPr>
      <w:tblPr/>
      <w:tcPr>
        <w:tcBorders>
          <w:top w:val="single" w:sz="8" w:space="0" w:color="EF4623"/>
          <w:left w:val="nil"/>
          <w:bottom w:val="single" w:sz="8" w:space="0" w:color="EF4623"/>
          <w:right w:val="nil"/>
          <w:insideH w:val="nil"/>
          <w:insideV w:val="nil"/>
        </w:tcBorders>
      </w:tcPr>
    </w:tblStylePr>
    <w:tblStylePr w:type="lastRow">
      <w:pPr>
        <w:spacing w:before="0" w:after="0" w:line="240" w:lineRule="auto"/>
      </w:pPr>
      <w:rPr>
        <w:b/>
        <w:bCs/>
      </w:rPr>
      <w:tblPr/>
      <w:tcPr>
        <w:tcBorders>
          <w:top w:val="single" w:sz="8" w:space="0" w:color="EF4623"/>
          <w:left w:val="nil"/>
          <w:bottom w:val="single" w:sz="8" w:space="0" w:color="EF462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BD1C8"/>
      </w:tcPr>
    </w:tblStylePr>
    <w:tblStylePr w:type="band1Horz">
      <w:tblPr/>
      <w:tcPr>
        <w:tcBorders>
          <w:left w:val="nil"/>
          <w:right w:val="nil"/>
          <w:insideH w:val="nil"/>
          <w:insideV w:val="nil"/>
        </w:tcBorders>
        <w:shd w:val="clear" w:color="auto" w:fill="FBD1C8"/>
      </w:tcPr>
    </w:tblStylePr>
  </w:style>
  <w:style w:type="table" w:customStyle="1" w:styleId="LightShading-Accent3313">
    <w:name w:val="Light Shading - Accent 3313"/>
    <w:basedOn w:val="TableNormal"/>
    <w:next w:val="LightShading-Accent3"/>
    <w:uiPriority w:val="60"/>
    <w:rsid w:val="00C1281D"/>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23">
    <w:name w:val="Light Shading - Accent 3323"/>
    <w:basedOn w:val="TableNormal"/>
    <w:next w:val="LightShading-Accent3"/>
    <w:uiPriority w:val="60"/>
    <w:rsid w:val="00C1281D"/>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33">
    <w:name w:val="Light Shading - Accent 3333"/>
    <w:basedOn w:val="TableNormal"/>
    <w:next w:val="LightShading-Accent3"/>
    <w:uiPriority w:val="60"/>
    <w:rsid w:val="00C1281D"/>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413">
    <w:name w:val="Light Shading - Accent 3413"/>
    <w:basedOn w:val="TableNormal"/>
    <w:next w:val="LightShading-Accent3"/>
    <w:uiPriority w:val="60"/>
    <w:rsid w:val="00C1281D"/>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423">
    <w:name w:val="Light Shading - Accent 3423"/>
    <w:basedOn w:val="TableNormal"/>
    <w:next w:val="LightShading-Accent3"/>
    <w:uiPriority w:val="60"/>
    <w:rsid w:val="00C1281D"/>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Grid-Accent5143">
    <w:name w:val="Light Grid - Accent 5143"/>
    <w:basedOn w:val="TableNormal"/>
    <w:next w:val="LightGrid-Accent5"/>
    <w:uiPriority w:val="62"/>
    <w:rsid w:val="00C1281D"/>
    <w:pPr>
      <w:spacing w:after="0" w:line="240" w:lineRule="auto"/>
    </w:pPr>
    <w:rPr>
      <w:rFonts w:ascii="Calibri" w:eastAsia="Calibri" w:hAnsi="Calibri" w:cs="Times New Roman"/>
      <w:sz w:val="20"/>
      <w:szCs w:val="20"/>
      <w:lang w:val="sr-Latn-CS" w:eastAsia="en-GB"/>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Franklin Gothic Medium" w:eastAsia="Times New Roman" w:hAnsi="Franklin Gothic Medium"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Franklin Gothic Medium" w:eastAsia="Times New Roman" w:hAnsi="Franklin Gothic Medium"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Franklin Gothic Medium" w:eastAsia="Times New Roman" w:hAnsi="Franklin Gothic Medium" w:cs="Times New Roman"/>
        <w:b/>
        <w:bCs/>
      </w:rPr>
    </w:tblStylePr>
    <w:tblStylePr w:type="lastCol">
      <w:rPr>
        <w:rFonts w:ascii="Franklin Gothic Medium" w:eastAsia="Times New Roman" w:hAnsi="Franklin Gothic Medium"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LightGrid-Accent553">
    <w:name w:val="Light Grid - Accent 553"/>
    <w:basedOn w:val="TableNormal"/>
    <w:next w:val="LightGrid-Accent5"/>
    <w:uiPriority w:val="62"/>
    <w:rsid w:val="00C1281D"/>
    <w:pPr>
      <w:spacing w:after="0" w:line="240" w:lineRule="auto"/>
    </w:pPr>
    <w:rPr>
      <w:rFonts w:ascii="Calibri" w:eastAsia="Calibri" w:hAnsi="Calibri" w:cs="Times New Roman"/>
      <w:sz w:val="20"/>
      <w:szCs w:val="20"/>
      <w:lang w:val="en-GB" w:eastAsia="en-GB"/>
    </w:rPr>
    <w:tblPr>
      <w:tblStyleRowBandSize w:val="1"/>
      <w:tblStyleColBandSize w:val="1"/>
      <w:tblBorders>
        <w:top w:val="single" w:sz="8" w:space="0" w:color="8FB08C"/>
        <w:left w:val="single" w:sz="8" w:space="0" w:color="8FB08C"/>
        <w:bottom w:val="single" w:sz="8" w:space="0" w:color="8FB08C"/>
        <w:right w:val="single" w:sz="8" w:space="0" w:color="8FB08C"/>
        <w:insideH w:val="single" w:sz="8" w:space="0" w:color="8FB08C"/>
        <w:insideV w:val="single" w:sz="8" w:space="0" w:color="8FB08C"/>
      </w:tblBorders>
    </w:tblPr>
    <w:tblStylePr w:type="firstRow">
      <w:pPr>
        <w:spacing w:before="0" w:after="0" w:line="240" w:lineRule="auto"/>
      </w:pPr>
      <w:rPr>
        <w:rFonts w:ascii="Franklin Gothic Medium" w:eastAsia="Times New Roman" w:hAnsi="Franklin Gothic Medium" w:cs="Times New Roman"/>
        <w:b/>
        <w:bCs/>
      </w:rPr>
      <w:tblPr/>
      <w:tcPr>
        <w:tcBorders>
          <w:top w:val="single" w:sz="8" w:space="0" w:color="8FB08C"/>
          <w:left w:val="single" w:sz="8" w:space="0" w:color="8FB08C"/>
          <w:bottom w:val="single" w:sz="18" w:space="0" w:color="8FB08C"/>
          <w:right w:val="single" w:sz="8" w:space="0" w:color="8FB08C"/>
          <w:insideH w:val="nil"/>
          <w:insideV w:val="single" w:sz="8" w:space="0" w:color="8FB08C"/>
        </w:tcBorders>
      </w:tcPr>
    </w:tblStylePr>
    <w:tblStylePr w:type="lastRow">
      <w:pPr>
        <w:spacing w:before="0" w:after="0" w:line="240" w:lineRule="auto"/>
      </w:pPr>
      <w:rPr>
        <w:rFonts w:ascii="Franklin Gothic Medium" w:eastAsia="Times New Roman" w:hAnsi="Franklin Gothic Medium" w:cs="Times New Roman"/>
        <w:b/>
        <w:bCs/>
      </w:rPr>
      <w:tblPr/>
      <w:tcPr>
        <w:tcBorders>
          <w:top w:val="double" w:sz="6" w:space="0" w:color="8FB08C"/>
          <w:left w:val="single" w:sz="8" w:space="0" w:color="8FB08C"/>
          <w:bottom w:val="single" w:sz="8" w:space="0" w:color="8FB08C"/>
          <w:right w:val="single" w:sz="8" w:space="0" w:color="8FB08C"/>
          <w:insideH w:val="nil"/>
          <w:insideV w:val="single" w:sz="8" w:space="0" w:color="8FB08C"/>
        </w:tcBorders>
      </w:tcPr>
    </w:tblStylePr>
    <w:tblStylePr w:type="firstCol">
      <w:rPr>
        <w:rFonts w:ascii="Franklin Gothic Medium" w:eastAsia="Times New Roman" w:hAnsi="Franklin Gothic Medium" w:cs="Times New Roman"/>
        <w:b/>
        <w:bCs/>
      </w:rPr>
    </w:tblStylePr>
    <w:tblStylePr w:type="lastCol">
      <w:rPr>
        <w:rFonts w:ascii="Franklin Gothic Medium" w:eastAsia="Times New Roman" w:hAnsi="Franklin Gothic Medium" w:cs="Times New Roman"/>
        <w:b/>
        <w:bCs/>
      </w:rPr>
      <w:tblPr/>
      <w:tcPr>
        <w:tcBorders>
          <w:top w:val="single" w:sz="8" w:space="0" w:color="8FB08C"/>
          <w:left w:val="single" w:sz="8" w:space="0" w:color="8FB08C"/>
          <w:bottom w:val="single" w:sz="8" w:space="0" w:color="8FB08C"/>
          <w:right w:val="single" w:sz="8" w:space="0" w:color="8FB08C"/>
        </w:tcBorders>
      </w:tcPr>
    </w:tblStylePr>
    <w:tblStylePr w:type="band1Vert">
      <w:tblPr/>
      <w:tcPr>
        <w:tcBorders>
          <w:top w:val="single" w:sz="8" w:space="0" w:color="8FB08C"/>
          <w:left w:val="single" w:sz="8" w:space="0" w:color="8FB08C"/>
          <w:bottom w:val="single" w:sz="8" w:space="0" w:color="8FB08C"/>
          <w:right w:val="single" w:sz="8" w:space="0" w:color="8FB08C"/>
        </w:tcBorders>
        <w:shd w:val="clear" w:color="auto" w:fill="E3EBE2"/>
      </w:tcPr>
    </w:tblStylePr>
    <w:tblStylePr w:type="band1Horz">
      <w:tblPr/>
      <w:tcPr>
        <w:tcBorders>
          <w:top w:val="single" w:sz="8" w:space="0" w:color="8FB08C"/>
          <w:left w:val="single" w:sz="8" w:space="0" w:color="8FB08C"/>
          <w:bottom w:val="single" w:sz="8" w:space="0" w:color="8FB08C"/>
          <w:right w:val="single" w:sz="8" w:space="0" w:color="8FB08C"/>
          <w:insideV w:val="single" w:sz="8" w:space="0" w:color="8FB08C"/>
        </w:tcBorders>
        <w:shd w:val="clear" w:color="auto" w:fill="E3EBE2"/>
      </w:tcPr>
    </w:tblStylePr>
    <w:tblStylePr w:type="band2Horz">
      <w:tblPr/>
      <w:tcPr>
        <w:tcBorders>
          <w:top w:val="single" w:sz="8" w:space="0" w:color="8FB08C"/>
          <w:left w:val="single" w:sz="8" w:space="0" w:color="8FB08C"/>
          <w:bottom w:val="single" w:sz="8" w:space="0" w:color="8FB08C"/>
          <w:right w:val="single" w:sz="8" w:space="0" w:color="8FB08C"/>
          <w:insideV w:val="single" w:sz="8" w:space="0" w:color="8FB08C"/>
        </w:tcBorders>
      </w:tcPr>
    </w:tblStylePr>
  </w:style>
  <w:style w:type="table" w:customStyle="1" w:styleId="LightGrid-Accent51113">
    <w:name w:val="Light Grid - Accent 51113"/>
    <w:basedOn w:val="TableNormal"/>
    <w:next w:val="LightGrid-Accent5"/>
    <w:uiPriority w:val="62"/>
    <w:rsid w:val="00C1281D"/>
    <w:pPr>
      <w:spacing w:after="0" w:line="240" w:lineRule="auto"/>
    </w:pPr>
    <w:rPr>
      <w:rFonts w:ascii="Calibri" w:eastAsia="Calibri" w:hAnsi="Calibri" w:cs="Times New Roman"/>
      <w:sz w:val="20"/>
      <w:szCs w:val="20"/>
      <w:lang w:val="sr-Latn-CS" w:eastAsia="en-GB"/>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Franklin Gothic Medium" w:eastAsia="Times New Roman" w:hAnsi="Franklin Gothic Medium"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Franklin Gothic Medium" w:eastAsia="Times New Roman" w:hAnsi="Franklin Gothic Medium"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Franklin Gothic Medium" w:eastAsia="Times New Roman" w:hAnsi="Franklin Gothic Medium" w:cs="Times New Roman"/>
        <w:b/>
        <w:bCs/>
      </w:rPr>
    </w:tblStylePr>
    <w:tblStylePr w:type="lastCol">
      <w:rPr>
        <w:rFonts w:ascii="Franklin Gothic Medium" w:eastAsia="Times New Roman" w:hAnsi="Franklin Gothic Medium"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LightGrid-Accent5213">
    <w:name w:val="Light Grid - Accent 5213"/>
    <w:basedOn w:val="TableNormal"/>
    <w:next w:val="LightGrid-Accent5"/>
    <w:uiPriority w:val="62"/>
    <w:rsid w:val="00C1281D"/>
    <w:pPr>
      <w:spacing w:after="0" w:line="240" w:lineRule="auto"/>
    </w:pPr>
    <w:rPr>
      <w:rFonts w:ascii="Calibri" w:eastAsia="Calibri" w:hAnsi="Calibri" w:cs="Times New Roman"/>
      <w:sz w:val="20"/>
      <w:szCs w:val="20"/>
      <w:lang w:val="en-GB" w:eastAsia="en-GB"/>
    </w:rPr>
    <w:tblPr>
      <w:tblStyleRowBandSize w:val="1"/>
      <w:tblStyleColBandSize w:val="1"/>
      <w:tblBorders>
        <w:top w:val="single" w:sz="8" w:space="0" w:color="8FB08C"/>
        <w:left w:val="single" w:sz="8" w:space="0" w:color="8FB08C"/>
        <w:bottom w:val="single" w:sz="8" w:space="0" w:color="8FB08C"/>
        <w:right w:val="single" w:sz="8" w:space="0" w:color="8FB08C"/>
        <w:insideH w:val="single" w:sz="8" w:space="0" w:color="8FB08C"/>
        <w:insideV w:val="single" w:sz="8" w:space="0" w:color="8FB08C"/>
      </w:tblBorders>
    </w:tblPr>
    <w:tblStylePr w:type="firstRow">
      <w:pPr>
        <w:spacing w:before="0" w:after="0" w:line="240" w:lineRule="auto"/>
      </w:pPr>
      <w:rPr>
        <w:rFonts w:ascii="Franklin Gothic Medium" w:eastAsia="Times New Roman" w:hAnsi="Franklin Gothic Medium" w:cs="Times New Roman"/>
        <w:b/>
        <w:bCs/>
      </w:rPr>
      <w:tblPr/>
      <w:tcPr>
        <w:tcBorders>
          <w:top w:val="single" w:sz="8" w:space="0" w:color="8FB08C"/>
          <w:left w:val="single" w:sz="8" w:space="0" w:color="8FB08C"/>
          <w:bottom w:val="single" w:sz="18" w:space="0" w:color="8FB08C"/>
          <w:right w:val="single" w:sz="8" w:space="0" w:color="8FB08C"/>
          <w:insideH w:val="nil"/>
          <w:insideV w:val="single" w:sz="8" w:space="0" w:color="8FB08C"/>
        </w:tcBorders>
      </w:tcPr>
    </w:tblStylePr>
    <w:tblStylePr w:type="lastRow">
      <w:pPr>
        <w:spacing w:before="0" w:after="0" w:line="240" w:lineRule="auto"/>
      </w:pPr>
      <w:rPr>
        <w:rFonts w:ascii="Franklin Gothic Medium" w:eastAsia="Times New Roman" w:hAnsi="Franklin Gothic Medium" w:cs="Times New Roman"/>
        <w:b/>
        <w:bCs/>
      </w:rPr>
      <w:tblPr/>
      <w:tcPr>
        <w:tcBorders>
          <w:top w:val="double" w:sz="6" w:space="0" w:color="8FB08C"/>
          <w:left w:val="single" w:sz="8" w:space="0" w:color="8FB08C"/>
          <w:bottom w:val="single" w:sz="8" w:space="0" w:color="8FB08C"/>
          <w:right w:val="single" w:sz="8" w:space="0" w:color="8FB08C"/>
          <w:insideH w:val="nil"/>
          <w:insideV w:val="single" w:sz="8" w:space="0" w:color="8FB08C"/>
        </w:tcBorders>
      </w:tcPr>
    </w:tblStylePr>
    <w:tblStylePr w:type="firstCol">
      <w:rPr>
        <w:rFonts w:ascii="Franklin Gothic Medium" w:eastAsia="Times New Roman" w:hAnsi="Franklin Gothic Medium" w:cs="Times New Roman"/>
        <w:b/>
        <w:bCs/>
      </w:rPr>
    </w:tblStylePr>
    <w:tblStylePr w:type="lastCol">
      <w:rPr>
        <w:rFonts w:ascii="Franklin Gothic Medium" w:eastAsia="Times New Roman" w:hAnsi="Franklin Gothic Medium" w:cs="Times New Roman"/>
        <w:b/>
        <w:bCs/>
      </w:rPr>
      <w:tblPr/>
      <w:tcPr>
        <w:tcBorders>
          <w:top w:val="single" w:sz="8" w:space="0" w:color="8FB08C"/>
          <w:left w:val="single" w:sz="8" w:space="0" w:color="8FB08C"/>
          <w:bottom w:val="single" w:sz="8" w:space="0" w:color="8FB08C"/>
          <w:right w:val="single" w:sz="8" w:space="0" w:color="8FB08C"/>
        </w:tcBorders>
      </w:tcPr>
    </w:tblStylePr>
    <w:tblStylePr w:type="band1Vert">
      <w:tblPr/>
      <w:tcPr>
        <w:tcBorders>
          <w:top w:val="single" w:sz="8" w:space="0" w:color="8FB08C"/>
          <w:left w:val="single" w:sz="8" w:space="0" w:color="8FB08C"/>
          <w:bottom w:val="single" w:sz="8" w:space="0" w:color="8FB08C"/>
          <w:right w:val="single" w:sz="8" w:space="0" w:color="8FB08C"/>
        </w:tcBorders>
        <w:shd w:val="clear" w:color="auto" w:fill="E3EBE2"/>
      </w:tcPr>
    </w:tblStylePr>
    <w:tblStylePr w:type="band1Horz">
      <w:tblPr/>
      <w:tcPr>
        <w:tcBorders>
          <w:top w:val="single" w:sz="8" w:space="0" w:color="8FB08C"/>
          <w:left w:val="single" w:sz="8" w:space="0" w:color="8FB08C"/>
          <w:bottom w:val="single" w:sz="8" w:space="0" w:color="8FB08C"/>
          <w:right w:val="single" w:sz="8" w:space="0" w:color="8FB08C"/>
          <w:insideV w:val="single" w:sz="8" w:space="0" w:color="8FB08C"/>
        </w:tcBorders>
        <w:shd w:val="clear" w:color="auto" w:fill="E3EBE2"/>
      </w:tcPr>
    </w:tblStylePr>
    <w:tblStylePr w:type="band2Horz">
      <w:tblPr/>
      <w:tcPr>
        <w:tcBorders>
          <w:top w:val="single" w:sz="8" w:space="0" w:color="8FB08C"/>
          <w:left w:val="single" w:sz="8" w:space="0" w:color="8FB08C"/>
          <w:bottom w:val="single" w:sz="8" w:space="0" w:color="8FB08C"/>
          <w:right w:val="single" w:sz="8" w:space="0" w:color="8FB08C"/>
          <w:insideV w:val="single" w:sz="8" w:space="0" w:color="8FB08C"/>
        </w:tcBorders>
      </w:tcPr>
    </w:tblStylePr>
  </w:style>
  <w:style w:type="table" w:customStyle="1" w:styleId="LightGrid-Accent51213">
    <w:name w:val="Light Grid - Accent 51213"/>
    <w:basedOn w:val="TableNormal"/>
    <w:next w:val="LightGrid-Accent5"/>
    <w:uiPriority w:val="62"/>
    <w:rsid w:val="00C1281D"/>
    <w:pPr>
      <w:spacing w:after="0" w:line="240" w:lineRule="auto"/>
    </w:pPr>
    <w:rPr>
      <w:rFonts w:ascii="Calibri" w:eastAsia="Calibri" w:hAnsi="Calibri" w:cs="Times New Roman"/>
      <w:sz w:val="20"/>
      <w:szCs w:val="20"/>
      <w:lang w:val="sr-Latn-CS" w:eastAsia="en-GB"/>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Franklin Gothic Medium" w:eastAsia="Times New Roman" w:hAnsi="Franklin Gothic Medium"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Franklin Gothic Medium" w:eastAsia="Times New Roman" w:hAnsi="Franklin Gothic Medium"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Franklin Gothic Medium" w:eastAsia="Times New Roman" w:hAnsi="Franklin Gothic Medium" w:cs="Times New Roman"/>
        <w:b/>
        <w:bCs/>
      </w:rPr>
    </w:tblStylePr>
    <w:tblStylePr w:type="lastCol">
      <w:rPr>
        <w:rFonts w:ascii="Franklin Gothic Medium" w:eastAsia="Times New Roman" w:hAnsi="Franklin Gothic Medium"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LightGrid-Accent5313">
    <w:name w:val="Light Grid - Accent 5313"/>
    <w:basedOn w:val="TableNormal"/>
    <w:next w:val="LightGrid-Accent5"/>
    <w:uiPriority w:val="62"/>
    <w:rsid w:val="00C1281D"/>
    <w:pPr>
      <w:spacing w:after="0" w:line="240" w:lineRule="auto"/>
    </w:pPr>
    <w:rPr>
      <w:rFonts w:ascii="Calibri" w:eastAsia="Calibri" w:hAnsi="Calibri" w:cs="Times New Roman"/>
      <w:sz w:val="20"/>
      <w:szCs w:val="20"/>
      <w:lang w:val="en-GB" w:eastAsia="en-GB"/>
    </w:rPr>
    <w:tblPr>
      <w:tblStyleRowBandSize w:val="1"/>
      <w:tblStyleColBandSize w:val="1"/>
      <w:tblBorders>
        <w:top w:val="single" w:sz="8" w:space="0" w:color="8FB08C"/>
        <w:left w:val="single" w:sz="8" w:space="0" w:color="8FB08C"/>
        <w:bottom w:val="single" w:sz="8" w:space="0" w:color="8FB08C"/>
        <w:right w:val="single" w:sz="8" w:space="0" w:color="8FB08C"/>
        <w:insideH w:val="single" w:sz="8" w:space="0" w:color="8FB08C"/>
        <w:insideV w:val="single" w:sz="8" w:space="0" w:color="8FB08C"/>
      </w:tblBorders>
    </w:tblPr>
    <w:tblStylePr w:type="firstRow">
      <w:pPr>
        <w:spacing w:before="0" w:after="0" w:line="240" w:lineRule="auto"/>
      </w:pPr>
      <w:rPr>
        <w:rFonts w:ascii="Franklin Gothic Medium" w:eastAsia="Times New Roman" w:hAnsi="Franklin Gothic Medium" w:cs="Times New Roman"/>
        <w:b/>
        <w:bCs/>
      </w:rPr>
      <w:tblPr/>
      <w:tcPr>
        <w:tcBorders>
          <w:top w:val="single" w:sz="8" w:space="0" w:color="8FB08C"/>
          <w:left w:val="single" w:sz="8" w:space="0" w:color="8FB08C"/>
          <w:bottom w:val="single" w:sz="18" w:space="0" w:color="8FB08C"/>
          <w:right w:val="single" w:sz="8" w:space="0" w:color="8FB08C"/>
          <w:insideH w:val="nil"/>
          <w:insideV w:val="single" w:sz="8" w:space="0" w:color="8FB08C"/>
        </w:tcBorders>
      </w:tcPr>
    </w:tblStylePr>
    <w:tblStylePr w:type="lastRow">
      <w:pPr>
        <w:spacing w:before="0" w:after="0" w:line="240" w:lineRule="auto"/>
      </w:pPr>
      <w:rPr>
        <w:rFonts w:ascii="Franklin Gothic Medium" w:eastAsia="Times New Roman" w:hAnsi="Franklin Gothic Medium" w:cs="Times New Roman"/>
        <w:b/>
        <w:bCs/>
      </w:rPr>
      <w:tblPr/>
      <w:tcPr>
        <w:tcBorders>
          <w:top w:val="double" w:sz="6" w:space="0" w:color="8FB08C"/>
          <w:left w:val="single" w:sz="8" w:space="0" w:color="8FB08C"/>
          <w:bottom w:val="single" w:sz="8" w:space="0" w:color="8FB08C"/>
          <w:right w:val="single" w:sz="8" w:space="0" w:color="8FB08C"/>
          <w:insideH w:val="nil"/>
          <w:insideV w:val="single" w:sz="8" w:space="0" w:color="8FB08C"/>
        </w:tcBorders>
      </w:tcPr>
    </w:tblStylePr>
    <w:tblStylePr w:type="firstCol">
      <w:rPr>
        <w:rFonts w:ascii="Franklin Gothic Medium" w:eastAsia="Times New Roman" w:hAnsi="Franklin Gothic Medium" w:cs="Times New Roman"/>
        <w:b/>
        <w:bCs/>
      </w:rPr>
    </w:tblStylePr>
    <w:tblStylePr w:type="lastCol">
      <w:rPr>
        <w:rFonts w:ascii="Franklin Gothic Medium" w:eastAsia="Times New Roman" w:hAnsi="Franklin Gothic Medium" w:cs="Times New Roman"/>
        <w:b/>
        <w:bCs/>
      </w:rPr>
      <w:tblPr/>
      <w:tcPr>
        <w:tcBorders>
          <w:top w:val="single" w:sz="8" w:space="0" w:color="8FB08C"/>
          <w:left w:val="single" w:sz="8" w:space="0" w:color="8FB08C"/>
          <w:bottom w:val="single" w:sz="8" w:space="0" w:color="8FB08C"/>
          <w:right w:val="single" w:sz="8" w:space="0" w:color="8FB08C"/>
        </w:tcBorders>
      </w:tcPr>
    </w:tblStylePr>
    <w:tblStylePr w:type="band1Vert">
      <w:tblPr/>
      <w:tcPr>
        <w:tcBorders>
          <w:top w:val="single" w:sz="8" w:space="0" w:color="8FB08C"/>
          <w:left w:val="single" w:sz="8" w:space="0" w:color="8FB08C"/>
          <w:bottom w:val="single" w:sz="8" w:space="0" w:color="8FB08C"/>
          <w:right w:val="single" w:sz="8" w:space="0" w:color="8FB08C"/>
        </w:tcBorders>
        <w:shd w:val="clear" w:color="auto" w:fill="E3EBE2"/>
      </w:tcPr>
    </w:tblStylePr>
    <w:tblStylePr w:type="band1Horz">
      <w:tblPr/>
      <w:tcPr>
        <w:tcBorders>
          <w:top w:val="single" w:sz="8" w:space="0" w:color="8FB08C"/>
          <w:left w:val="single" w:sz="8" w:space="0" w:color="8FB08C"/>
          <w:bottom w:val="single" w:sz="8" w:space="0" w:color="8FB08C"/>
          <w:right w:val="single" w:sz="8" w:space="0" w:color="8FB08C"/>
          <w:insideV w:val="single" w:sz="8" w:space="0" w:color="8FB08C"/>
        </w:tcBorders>
        <w:shd w:val="clear" w:color="auto" w:fill="E3EBE2"/>
      </w:tcPr>
    </w:tblStylePr>
    <w:tblStylePr w:type="band2Horz">
      <w:tblPr/>
      <w:tcPr>
        <w:tcBorders>
          <w:top w:val="single" w:sz="8" w:space="0" w:color="8FB08C"/>
          <w:left w:val="single" w:sz="8" w:space="0" w:color="8FB08C"/>
          <w:bottom w:val="single" w:sz="8" w:space="0" w:color="8FB08C"/>
          <w:right w:val="single" w:sz="8" w:space="0" w:color="8FB08C"/>
          <w:insideV w:val="single" w:sz="8" w:space="0" w:color="8FB08C"/>
        </w:tcBorders>
      </w:tcPr>
    </w:tblStylePr>
  </w:style>
  <w:style w:type="table" w:customStyle="1" w:styleId="LightGrid-Accent51313">
    <w:name w:val="Light Grid - Accent 51313"/>
    <w:basedOn w:val="TableNormal"/>
    <w:next w:val="LightGrid-Accent5"/>
    <w:uiPriority w:val="62"/>
    <w:rsid w:val="00C1281D"/>
    <w:pPr>
      <w:spacing w:after="0" w:line="240" w:lineRule="auto"/>
    </w:pPr>
    <w:rPr>
      <w:rFonts w:ascii="Calibri" w:eastAsia="Calibri" w:hAnsi="Calibri" w:cs="Times New Roman"/>
      <w:sz w:val="20"/>
      <w:szCs w:val="20"/>
      <w:lang w:val="sr-Latn-CS" w:eastAsia="en-GB"/>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Franklin Gothic Medium" w:eastAsia="Times New Roman" w:hAnsi="Franklin Gothic Medium"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Franklin Gothic Medium" w:eastAsia="Times New Roman" w:hAnsi="Franklin Gothic Medium"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Franklin Gothic Medium" w:eastAsia="Times New Roman" w:hAnsi="Franklin Gothic Medium" w:cs="Times New Roman"/>
        <w:b/>
        <w:bCs/>
      </w:rPr>
    </w:tblStylePr>
    <w:tblStylePr w:type="lastCol">
      <w:rPr>
        <w:rFonts w:ascii="Franklin Gothic Medium" w:eastAsia="Times New Roman" w:hAnsi="Franklin Gothic Medium"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LightGrid-Accent5413">
    <w:name w:val="Light Grid - Accent 5413"/>
    <w:basedOn w:val="TableNormal"/>
    <w:next w:val="LightGrid-Accent5"/>
    <w:uiPriority w:val="62"/>
    <w:rsid w:val="00C1281D"/>
    <w:pPr>
      <w:spacing w:after="0" w:line="240" w:lineRule="auto"/>
    </w:pPr>
    <w:rPr>
      <w:rFonts w:ascii="Calibri" w:eastAsia="Calibri" w:hAnsi="Calibri" w:cs="Times New Roman"/>
      <w:sz w:val="20"/>
      <w:szCs w:val="20"/>
      <w:lang w:val="en-GB" w:eastAsia="en-GB"/>
    </w:rPr>
    <w:tblPr>
      <w:tblStyleRowBandSize w:val="1"/>
      <w:tblStyleColBandSize w:val="1"/>
      <w:tblBorders>
        <w:top w:val="single" w:sz="8" w:space="0" w:color="8FB08C"/>
        <w:left w:val="single" w:sz="8" w:space="0" w:color="8FB08C"/>
        <w:bottom w:val="single" w:sz="8" w:space="0" w:color="8FB08C"/>
        <w:right w:val="single" w:sz="8" w:space="0" w:color="8FB08C"/>
        <w:insideH w:val="single" w:sz="8" w:space="0" w:color="8FB08C"/>
        <w:insideV w:val="single" w:sz="8" w:space="0" w:color="8FB08C"/>
      </w:tblBorders>
    </w:tblPr>
    <w:tblStylePr w:type="firstRow">
      <w:pPr>
        <w:spacing w:before="0" w:after="0" w:line="240" w:lineRule="auto"/>
      </w:pPr>
      <w:rPr>
        <w:rFonts w:ascii="Franklin Gothic Medium" w:eastAsia="Times New Roman" w:hAnsi="Franklin Gothic Medium" w:cs="Times New Roman"/>
        <w:b/>
        <w:bCs/>
      </w:rPr>
      <w:tblPr/>
      <w:tcPr>
        <w:tcBorders>
          <w:top w:val="single" w:sz="8" w:space="0" w:color="8FB08C"/>
          <w:left w:val="single" w:sz="8" w:space="0" w:color="8FB08C"/>
          <w:bottom w:val="single" w:sz="18" w:space="0" w:color="8FB08C"/>
          <w:right w:val="single" w:sz="8" w:space="0" w:color="8FB08C"/>
          <w:insideH w:val="nil"/>
          <w:insideV w:val="single" w:sz="8" w:space="0" w:color="8FB08C"/>
        </w:tcBorders>
      </w:tcPr>
    </w:tblStylePr>
    <w:tblStylePr w:type="lastRow">
      <w:pPr>
        <w:spacing w:before="0" w:after="0" w:line="240" w:lineRule="auto"/>
      </w:pPr>
      <w:rPr>
        <w:rFonts w:ascii="Franklin Gothic Medium" w:eastAsia="Times New Roman" w:hAnsi="Franklin Gothic Medium" w:cs="Times New Roman"/>
        <w:b/>
        <w:bCs/>
      </w:rPr>
      <w:tblPr/>
      <w:tcPr>
        <w:tcBorders>
          <w:top w:val="double" w:sz="6" w:space="0" w:color="8FB08C"/>
          <w:left w:val="single" w:sz="8" w:space="0" w:color="8FB08C"/>
          <w:bottom w:val="single" w:sz="8" w:space="0" w:color="8FB08C"/>
          <w:right w:val="single" w:sz="8" w:space="0" w:color="8FB08C"/>
          <w:insideH w:val="nil"/>
          <w:insideV w:val="single" w:sz="8" w:space="0" w:color="8FB08C"/>
        </w:tcBorders>
      </w:tcPr>
    </w:tblStylePr>
    <w:tblStylePr w:type="firstCol">
      <w:rPr>
        <w:rFonts w:ascii="Franklin Gothic Medium" w:eastAsia="Times New Roman" w:hAnsi="Franklin Gothic Medium" w:cs="Times New Roman"/>
        <w:b/>
        <w:bCs/>
      </w:rPr>
    </w:tblStylePr>
    <w:tblStylePr w:type="lastCol">
      <w:rPr>
        <w:rFonts w:ascii="Franklin Gothic Medium" w:eastAsia="Times New Roman" w:hAnsi="Franklin Gothic Medium" w:cs="Times New Roman"/>
        <w:b/>
        <w:bCs/>
      </w:rPr>
      <w:tblPr/>
      <w:tcPr>
        <w:tcBorders>
          <w:top w:val="single" w:sz="8" w:space="0" w:color="8FB08C"/>
          <w:left w:val="single" w:sz="8" w:space="0" w:color="8FB08C"/>
          <w:bottom w:val="single" w:sz="8" w:space="0" w:color="8FB08C"/>
          <w:right w:val="single" w:sz="8" w:space="0" w:color="8FB08C"/>
        </w:tcBorders>
      </w:tcPr>
    </w:tblStylePr>
    <w:tblStylePr w:type="band1Vert">
      <w:tblPr/>
      <w:tcPr>
        <w:tcBorders>
          <w:top w:val="single" w:sz="8" w:space="0" w:color="8FB08C"/>
          <w:left w:val="single" w:sz="8" w:space="0" w:color="8FB08C"/>
          <w:bottom w:val="single" w:sz="8" w:space="0" w:color="8FB08C"/>
          <w:right w:val="single" w:sz="8" w:space="0" w:color="8FB08C"/>
        </w:tcBorders>
        <w:shd w:val="clear" w:color="auto" w:fill="E3EBE2"/>
      </w:tcPr>
    </w:tblStylePr>
    <w:tblStylePr w:type="band1Horz">
      <w:tblPr/>
      <w:tcPr>
        <w:tcBorders>
          <w:top w:val="single" w:sz="8" w:space="0" w:color="8FB08C"/>
          <w:left w:val="single" w:sz="8" w:space="0" w:color="8FB08C"/>
          <w:bottom w:val="single" w:sz="8" w:space="0" w:color="8FB08C"/>
          <w:right w:val="single" w:sz="8" w:space="0" w:color="8FB08C"/>
          <w:insideV w:val="single" w:sz="8" w:space="0" w:color="8FB08C"/>
        </w:tcBorders>
        <w:shd w:val="clear" w:color="auto" w:fill="E3EBE2"/>
      </w:tcPr>
    </w:tblStylePr>
    <w:tblStylePr w:type="band2Horz">
      <w:tblPr/>
      <w:tcPr>
        <w:tcBorders>
          <w:top w:val="single" w:sz="8" w:space="0" w:color="8FB08C"/>
          <w:left w:val="single" w:sz="8" w:space="0" w:color="8FB08C"/>
          <w:bottom w:val="single" w:sz="8" w:space="0" w:color="8FB08C"/>
          <w:right w:val="single" w:sz="8" w:space="0" w:color="8FB08C"/>
          <w:insideV w:val="single" w:sz="8" w:space="0" w:color="8FB08C"/>
        </w:tcBorders>
      </w:tcPr>
    </w:tblStylePr>
  </w:style>
  <w:style w:type="table" w:customStyle="1" w:styleId="LightShading-Accent613">
    <w:name w:val="Light Shading - Accent 613"/>
    <w:basedOn w:val="TableNormal"/>
    <w:next w:val="LightShading-Accent6"/>
    <w:uiPriority w:val="60"/>
    <w:rsid w:val="00C1281D"/>
    <w:pPr>
      <w:spacing w:after="0" w:line="240" w:lineRule="auto"/>
    </w:pPr>
    <w:rPr>
      <w:rFonts w:ascii="Calibri" w:eastAsia="Calibri" w:hAnsi="Calibri" w:cs="Times New Roman"/>
      <w:color w:val="393939"/>
      <w:sz w:val="20"/>
      <w:szCs w:val="20"/>
    </w:rPr>
    <w:tblPr>
      <w:tblStyleRowBandSize w:val="1"/>
      <w:tblStyleColBandSize w:val="1"/>
      <w:tblBorders>
        <w:top w:val="single" w:sz="8" w:space="0" w:color="4D4D4D"/>
        <w:bottom w:val="single" w:sz="8" w:space="0" w:color="4D4D4D"/>
      </w:tblBorders>
    </w:tblPr>
    <w:tblStylePr w:type="firstRow">
      <w:pPr>
        <w:spacing w:beforeLines="0" w:before="0" w:beforeAutospacing="0" w:afterLines="0" w:after="0" w:afterAutospacing="0" w:line="240" w:lineRule="auto"/>
      </w:pPr>
      <w:rPr>
        <w:b/>
        <w:bCs/>
      </w:rPr>
      <w:tblPr/>
      <w:tcPr>
        <w:tcBorders>
          <w:top w:val="single" w:sz="8" w:space="0" w:color="4D4D4D"/>
          <w:left w:val="nil"/>
          <w:bottom w:val="single" w:sz="8" w:space="0" w:color="4D4D4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D4D4D"/>
          <w:left w:val="nil"/>
          <w:bottom w:val="single" w:sz="8" w:space="0" w:color="4D4D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3D3"/>
      </w:tcPr>
    </w:tblStylePr>
    <w:tblStylePr w:type="band1Horz">
      <w:tblPr/>
      <w:tcPr>
        <w:tcBorders>
          <w:left w:val="nil"/>
          <w:right w:val="nil"/>
          <w:insideH w:val="nil"/>
          <w:insideV w:val="nil"/>
        </w:tcBorders>
        <w:shd w:val="clear" w:color="auto" w:fill="D3D3D3"/>
      </w:tcPr>
    </w:tblStylePr>
  </w:style>
  <w:style w:type="table" w:customStyle="1" w:styleId="GridTable6Colorful-Accent413">
    <w:name w:val="Grid Table 6 Colorful - Accent 413"/>
    <w:basedOn w:val="TableNormal"/>
    <w:next w:val="GridTable6Colorful-Accent43"/>
    <w:uiPriority w:val="51"/>
    <w:rsid w:val="00C1281D"/>
    <w:pPr>
      <w:spacing w:after="0" w:line="240" w:lineRule="auto"/>
    </w:pPr>
    <w:rPr>
      <w:color w:val="5F5F5F"/>
    </w:rPr>
    <w:tblPr>
      <w:tblStyleRowBandSize w:val="1"/>
      <w:tblStyleColBandSize w:val="1"/>
      <w:tblBorders>
        <w:top w:val="single" w:sz="4" w:space="0" w:color="B2B2B2"/>
        <w:left w:val="single" w:sz="4" w:space="0" w:color="B2B2B2"/>
        <w:bottom w:val="single" w:sz="4" w:space="0" w:color="B2B2B2"/>
        <w:right w:val="single" w:sz="4" w:space="0" w:color="B2B2B2"/>
        <w:insideH w:val="single" w:sz="4" w:space="0" w:color="B2B2B2"/>
        <w:insideV w:val="single" w:sz="4" w:space="0" w:color="B2B2B2"/>
      </w:tblBorders>
    </w:tblPr>
    <w:tblStylePr w:type="firstRow">
      <w:rPr>
        <w:b/>
        <w:bCs/>
      </w:rPr>
      <w:tblPr/>
      <w:tcPr>
        <w:tcBorders>
          <w:bottom w:val="single" w:sz="12" w:space="0" w:color="B2B2B2"/>
        </w:tcBorders>
      </w:tcPr>
    </w:tblStylePr>
    <w:tblStylePr w:type="lastRow">
      <w:rPr>
        <w:b/>
        <w:bCs/>
      </w:rPr>
      <w:tblPr/>
      <w:tcPr>
        <w:tcBorders>
          <w:top w:val="double" w:sz="4" w:space="0" w:color="B2B2B2"/>
        </w:tcBorders>
      </w:tcPr>
    </w:tblStylePr>
    <w:tblStylePr w:type="firstCol">
      <w:rPr>
        <w:b/>
        <w:bCs/>
      </w:rPr>
    </w:tblStylePr>
    <w:tblStylePr w:type="lastCol">
      <w:rPr>
        <w:b/>
        <w:bCs/>
      </w:rPr>
    </w:tblStylePr>
    <w:tblStylePr w:type="band1Vert">
      <w:tblPr/>
      <w:tcPr>
        <w:shd w:val="clear" w:color="auto" w:fill="E5E5E5"/>
      </w:tcPr>
    </w:tblStylePr>
    <w:tblStylePr w:type="band1Horz">
      <w:tblPr/>
      <w:tcPr>
        <w:shd w:val="clear" w:color="auto" w:fill="E5E5E5"/>
      </w:tcPr>
    </w:tblStylePr>
  </w:style>
  <w:style w:type="table" w:customStyle="1" w:styleId="LightShading-Accent6112">
    <w:name w:val="Light Shading - Accent 6112"/>
    <w:basedOn w:val="TableNormal"/>
    <w:next w:val="LightShading-Accent6"/>
    <w:uiPriority w:val="60"/>
    <w:rsid w:val="00C1281D"/>
    <w:pPr>
      <w:spacing w:after="0" w:line="240" w:lineRule="auto"/>
    </w:pPr>
    <w:rPr>
      <w:rFonts w:ascii="Calibri" w:eastAsia="Calibri" w:hAnsi="Calibri" w:cs="Times New Roman"/>
      <w:color w:val="E36C0A"/>
      <w:sz w:val="20"/>
      <w:szCs w:val="20"/>
    </w:rPr>
    <w:tblPr>
      <w:tblStyleRowBandSize w:val="1"/>
      <w:tblStyleColBandSize w:val="1"/>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GridTable6Colorful-Accent313">
    <w:name w:val="Grid Table 6 Colorful - Accent 313"/>
    <w:basedOn w:val="TableNormal"/>
    <w:next w:val="GridTable6Colorful-Accent33"/>
    <w:uiPriority w:val="51"/>
    <w:rsid w:val="00C1281D"/>
    <w:pPr>
      <w:spacing w:after="0" w:line="240" w:lineRule="auto"/>
    </w:pPr>
    <w:rPr>
      <w:rFonts w:ascii="Calibri" w:eastAsia="Calibri" w:hAnsi="Calibri" w:cs="Times New Roman"/>
      <w:color w:val="707070"/>
      <w:sz w:val="20"/>
      <w:szCs w:val="20"/>
    </w:rPr>
    <w:tblPr>
      <w:tblStyleRowBandSize w:val="1"/>
      <w:tblStyleColBandSize w:val="1"/>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Pr>
    <w:tblStylePr w:type="firstRow">
      <w:rPr>
        <w:b/>
        <w:bCs/>
      </w:rPr>
      <w:tblPr/>
      <w:tcPr>
        <w:tcBorders>
          <w:bottom w:val="single" w:sz="12" w:space="0" w:color="C0C0C0"/>
        </w:tcBorders>
      </w:tcPr>
    </w:tblStylePr>
    <w:tblStylePr w:type="lastRow">
      <w:rPr>
        <w:b/>
        <w:bCs/>
      </w:rPr>
      <w:tblPr/>
      <w:tcPr>
        <w:tcBorders>
          <w:top w:val="double" w:sz="4" w:space="0" w:color="C0C0C0"/>
        </w:tcBorders>
      </w:tcPr>
    </w:tblStylePr>
    <w:tblStylePr w:type="firstCol">
      <w:rPr>
        <w:b/>
        <w:bCs/>
      </w:rPr>
    </w:tblStylePr>
    <w:tblStylePr w:type="lastCol">
      <w:rPr>
        <w:b/>
        <w:bCs/>
      </w:rPr>
    </w:tblStylePr>
    <w:tblStylePr w:type="band1Vert">
      <w:tblPr/>
      <w:tcPr>
        <w:shd w:val="clear" w:color="auto" w:fill="EAEAEA"/>
      </w:tcPr>
    </w:tblStylePr>
    <w:tblStylePr w:type="band1Horz">
      <w:tblPr/>
      <w:tcPr>
        <w:shd w:val="clear" w:color="auto" w:fill="EAEAEA"/>
      </w:tcPr>
    </w:tblStylePr>
  </w:style>
  <w:style w:type="table" w:customStyle="1" w:styleId="GridTable4-Accent512">
    <w:name w:val="Grid Table 4 - Accent 512"/>
    <w:basedOn w:val="TableNormal"/>
    <w:next w:val="GridTable4-Accent53"/>
    <w:uiPriority w:val="49"/>
    <w:rsid w:val="00C1281D"/>
    <w:pPr>
      <w:spacing w:after="0" w:line="240" w:lineRule="auto"/>
    </w:pPr>
    <w:rPr>
      <w:rFonts w:ascii="Calibri" w:eastAsia="Calibri" w:hAnsi="Calibri" w:cs="Times New Roman"/>
      <w:sz w:val="20"/>
      <w:szCs w:val="20"/>
    </w:rPr>
    <w:tblPr>
      <w:tblStyleRowBandSize w:val="1"/>
      <w:tblStyleColBandSize w:val="1"/>
      <w:tblBorders>
        <w:top w:val="single" w:sz="4" w:space="0" w:color="9F9F9F"/>
        <w:left w:val="single" w:sz="4" w:space="0" w:color="9F9F9F"/>
        <w:bottom w:val="single" w:sz="4" w:space="0" w:color="9F9F9F"/>
        <w:right w:val="single" w:sz="4" w:space="0" w:color="9F9F9F"/>
        <w:insideH w:val="single" w:sz="4" w:space="0" w:color="9F9F9F"/>
        <w:insideV w:val="single" w:sz="4" w:space="0" w:color="9F9F9F"/>
      </w:tblBorders>
    </w:tblPr>
    <w:tblStylePr w:type="firstRow">
      <w:rPr>
        <w:b/>
        <w:bCs/>
        <w:color w:val="FFFFFF"/>
      </w:rPr>
      <w:tblPr/>
      <w:tcPr>
        <w:tcBorders>
          <w:top w:val="single" w:sz="4" w:space="0" w:color="5F5F5F"/>
          <w:left w:val="single" w:sz="4" w:space="0" w:color="5F5F5F"/>
          <w:bottom w:val="single" w:sz="4" w:space="0" w:color="5F5F5F"/>
          <w:right w:val="single" w:sz="4" w:space="0" w:color="5F5F5F"/>
          <w:insideH w:val="nil"/>
          <w:insideV w:val="nil"/>
        </w:tcBorders>
        <w:shd w:val="clear" w:color="auto" w:fill="5F5F5F"/>
      </w:tcPr>
    </w:tblStylePr>
    <w:tblStylePr w:type="lastRow">
      <w:rPr>
        <w:b/>
        <w:bCs/>
      </w:rPr>
      <w:tblPr/>
      <w:tcPr>
        <w:tcBorders>
          <w:top w:val="double" w:sz="4" w:space="0" w:color="5F5F5F"/>
        </w:tcBorders>
      </w:tcPr>
    </w:tblStylePr>
    <w:tblStylePr w:type="firstCol">
      <w:rPr>
        <w:b/>
        <w:bCs/>
      </w:rPr>
    </w:tblStylePr>
    <w:tblStylePr w:type="lastCol">
      <w:rPr>
        <w:b/>
        <w:bCs/>
      </w:rPr>
    </w:tblStylePr>
    <w:tblStylePr w:type="band1Vert">
      <w:tblPr/>
      <w:tcPr>
        <w:shd w:val="clear" w:color="auto" w:fill="DFDFDF"/>
      </w:tcPr>
    </w:tblStylePr>
    <w:tblStylePr w:type="band1Horz">
      <w:tblPr/>
      <w:tcPr>
        <w:shd w:val="clear" w:color="auto" w:fill="DFDFDF"/>
      </w:tcPr>
    </w:tblStylePr>
  </w:style>
  <w:style w:type="table" w:customStyle="1" w:styleId="GridTable5Dark-Accent512">
    <w:name w:val="Grid Table 5 Dark - Accent 512"/>
    <w:basedOn w:val="TableNormal"/>
    <w:next w:val="GridTable5Dark-Accent53"/>
    <w:uiPriority w:val="50"/>
    <w:rsid w:val="00C1281D"/>
    <w:pPr>
      <w:spacing w:after="0" w:line="240" w:lineRule="auto"/>
    </w:pPr>
    <w:rPr>
      <w:rFonts w:ascii="Calibri" w:eastAsia="Calibri" w:hAnsi="Calibri" w:cs="Times New Roman"/>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FDFDF"/>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F5F5F"/>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F5F5F"/>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F5F5F"/>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F5F5F"/>
      </w:tcPr>
    </w:tblStylePr>
    <w:tblStylePr w:type="band1Vert">
      <w:tblPr/>
      <w:tcPr>
        <w:shd w:val="clear" w:color="auto" w:fill="BFBFBF"/>
      </w:tcPr>
    </w:tblStylePr>
    <w:tblStylePr w:type="band1Horz">
      <w:tblPr/>
      <w:tcPr>
        <w:shd w:val="clear" w:color="auto" w:fill="BFBFBF"/>
      </w:tcPr>
    </w:tblStylePr>
  </w:style>
  <w:style w:type="table" w:customStyle="1" w:styleId="3">
    <w:name w:val="ФС3"/>
    <w:basedOn w:val="TableNormal"/>
    <w:uiPriority w:val="99"/>
    <w:rsid w:val="00C1281D"/>
    <w:pPr>
      <w:spacing w:after="0" w:line="240" w:lineRule="auto"/>
    </w:pPr>
    <w:rPr>
      <w:rFonts w:ascii="Calibri" w:eastAsia="Calibri" w:hAnsi="Calibri" w:cs="Times New Roman"/>
      <w:sz w:val="20"/>
      <w:szCs w:val="20"/>
    </w:rPr>
    <w:tblPr/>
  </w:style>
  <w:style w:type="table" w:customStyle="1" w:styleId="ListTable6Colorful-Accent312">
    <w:name w:val="List Table 6 Colorful - Accent 312"/>
    <w:basedOn w:val="TableNormal"/>
    <w:next w:val="ListTable6Colorful-Accent33"/>
    <w:uiPriority w:val="51"/>
    <w:rsid w:val="00C1281D"/>
    <w:pPr>
      <w:spacing w:after="0" w:line="240" w:lineRule="auto"/>
    </w:pPr>
    <w:rPr>
      <w:rFonts w:ascii="Calibri" w:eastAsia="Calibri" w:hAnsi="Calibri" w:cs="Times New Roman"/>
      <w:color w:val="707070"/>
      <w:sz w:val="20"/>
      <w:szCs w:val="20"/>
    </w:rPr>
    <w:tblPr>
      <w:tblStyleRowBandSize w:val="1"/>
      <w:tblStyleColBandSize w:val="1"/>
      <w:tblBorders>
        <w:top w:val="single" w:sz="4" w:space="0" w:color="969696"/>
        <w:bottom w:val="single" w:sz="4" w:space="0" w:color="969696"/>
      </w:tblBorders>
    </w:tblPr>
    <w:tblStylePr w:type="firstRow">
      <w:rPr>
        <w:b/>
        <w:bCs/>
      </w:rPr>
      <w:tblPr/>
      <w:tcPr>
        <w:tcBorders>
          <w:bottom w:val="single" w:sz="4" w:space="0" w:color="969696"/>
        </w:tcBorders>
      </w:tcPr>
    </w:tblStylePr>
    <w:tblStylePr w:type="lastRow">
      <w:rPr>
        <w:b/>
        <w:bCs/>
      </w:rPr>
      <w:tblPr/>
      <w:tcPr>
        <w:tcBorders>
          <w:top w:val="double" w:sz="4" w:space="0" w:color="969696"/>
        </w:tcBorders>
      </w:tcPr>
    </w:tblStylePr>
    <w:tblStylePr w:type="firstCol">
      <w:rPr>
        <w:b/>
        <w:bCs/>
      </w:rPr>
    </w:tblStylePr>
    <w:tblStylePr w:type="lastCol">
      <w:rPr>
        <w:b/>
        <w:bCs/>
      </w:rPr>
    </w:tblStylePr>
    <w:tblStylePr w:type="band1Vert">
      <w:tblPr/>
      <w:tcPr>
        <w:shd w:val="clear" w:color="auto" w:fill="EAEAEA"/>
      </w:tcPr>
    </w:tblStylePr>
    <w:tblStylePr w:type="band1Horz">
      <w:tblPr/>
      <w:tcPr>
        <w:shd w:val="clear" w:color="auto" w:fill="EAEAEA"/>
      </w:tcPr>
    </w:tblStylePr>
  </w:style>
  <w:style w:type="table" w:customStyle="1" w:styleId="GridTable1Light-Accent112">
    <w:name w:val="Grid Table 1 Light - Accent 112"/>
    <w:basedOn w:val="TableNormal"/>
    <w:next w:val="GridTable1Light-Accent13"/>
    <w:uiPriority w:val="46"/>
    <w:rsid w:val="00C1281D"/>
    <w:pPr>
      <w:spacing w:after="0" w:line="240" w:lineRule="auto"/>
    </w:pPr>
    <w:tblPr>
      <w:tblStyleRowBandSize w:val="1"/>
      <w:tblStyleColBandSize w:val="1"/>
      <w:tblBorders>
        <w:top w:val="single" w:sz="4" w:space="0" w:color="F8B4A6"/>
        <w:left w:val="single" w:sz="4" w:space="0" w:color="F8B4A6"/>
        <w:bottom w:val="single" w:sz="4" w:space="0" w:color="F8B4A6"/>
        <w:right w:val="single" w:sz="4" w:space="0" w:color="F8B4A6"/>
        <w:insideH w:val="single" w:sz="4" w:space="0" w:color="F8B4A6"/>
        <w:insideV w:val="single" w:sz="4" w:space="0" w:color="F8B4A6"/>
      </w:tblBorders>
    </w:tblPr>
    <w:tblStylePr w:type="firstRow">
      <w:rPr>
        <w:b/>
        <w:bCs/>
      </w:rPr>
      <w:tblPr/>
      <w:tcPr>
        <w:tcBorders>
          <w:bottom w:val="single" w:sz="12" w:space="0" w:color="F58F7A"/>
        </w:tcBorders>
      </w:tcPr>
    </w:tblStylePr>
    <w:tblStylePr w:type="lastRow">
      <w:rPr>
        <w:b/>
        <w:bCs/>
      </w:rPr>
      <w:tblPr/>
      <w:tcPr>
        <w:tcBorders>
          <w:top w:val="double" w:sz="2" w:space="0" w:color="F58F7A"/>
        </w:tcBorders>
      </w:tcPr>
    </w:tblStylePr>
    <w:tblStylePr w:type="firstCol">
      <w:rPr>
        <w:b/>
        <w:bCs/>
      </w:rPr>
    </w:tblStylePr>
    <w:tblStylePr w:type="lastCol">
      <w:rPr>
        <w:b/>
        <w:bCs/>
      </w:rPr>
    </w:tblStylePr>
  </w:style>
  <w:style w:type="table" w:customStyle="1" w:styleId="ListTable1Light-Accent112">
    <w:name w:val="List Table 1 Light - Accent 112"/>
    <w:basedOn w:val="TableNormal"/>
    <w:next w:val="ListTable1Light-Accent13"/>
    <w:uiPriority w:val="46"/>
    <w:rsid w:val="00C1281D"/>
    <w:pPr>
      <w:spacing w:after="0" w:line="240" w:lineRule="auto"/>
    </w:pPr>
    <w:tblPr>
      <w:tblStyleRowBandSize w:val="1"/>
      <w:tblStyleColBandSize w:val="1"/>
    </w:tblPr>
    <w:tblStylePr w:type="firstRow">
      <w:rPr>
        <w:b/>
        <w:bCs/>
      </w:rPr>
      <w:tblPr/>
      <w:tcPr>
        <w:tcBorders>
          <w:bottom w:val="single" w:sz="4" w:space="0" w:color="F58F7A"/>
        </w:tcBorders>
      </w:tcPr>
    </w:tblStylePr>
    <w:tblStylePr w:type="lastRow">
      <w:rPr>
        <w:b/>
        <w:bCs/>
      </w:rPr>
      <w:tblPr/>
      <w:tcPr>
        <w:tcBorders>
          <w:top w:val="single" w:sz="4" w:space="0" w:color="F58F7A"/>
        </w:tcBorders>
      </w:tcPr>
    </w:tblStylePr>
    <w:tblStylePr w:type="firstCol">
      <w:rPr>
        <w:b/>
        <w:bCs/>
      </w:rPr>
    </w:tblStylePr>
    <w:tblStylePr w:type="lastCol">
      <w:rPr>
        <w:b/>
        <w:bCs/>
      </w:rPr>
    </w:tblStylePr>
    <w:tblStylePr w:type="band1Vert">
      <w:tblPr/>
      <w:tcPr>
        <w:shd w:val="clear" w:color="auto" w:fill="FBD9D2"/>
      </w:tcPr>
    </w:tblStylePr>
    <w:tblStylePr w:type="band1Horz">
      <w:tblPr/>
      <w:tcPr>
        <w:shd w:val="clear" w:color="auto" w:fill="FBD9D2"/>
      </w:tcPr>
    </w:tblStylePr>
  </w:style>
  <w:style w:type="table" w:customStyle="1" w:styleId="ListTable2-Accent112">
    <w:name w:val="List Table 2 - Accent 112"/>
    <w:basedOn w:val="TableNormal"/>
    <w:next w:val="ListTable2-Accent13"/>
    <w:uiPriority w:val="47"/>
    <w:rsid w:val="00C1281D"/>
    <w:pPr>
      <w:spacing w:after="0" w:line="240" w:lineRule="auto"/>
    </w:pPr>
    <w:tblPr>
      <w:tblStyleRowBandSize w:val="1"/>
      <w:tblStyleColBandSize w:val="1"/>
      <w:tblBorders>
        <w:top w:val="single" w:sz="4" w:space="0" w:color="F58F7A"/>
        <w:bottom w:val="single" w:sz="4" w:space="0" w:color="F58F7A"/>
        <w:insideH w:val="single" w:sz="4" w:space="0" w:color="F58F7A"/>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D9D2"/>
      </w:tcPr>
    </w:tblStylePr>
    <w:tblStylePr w:type="band1Horz">
      <w:tblPr/>
      <w:tcPr>
        <w:shd w:val="clear" w:color="auto" w:fill="FBD9D2"/>
      </w:tcPr>
    </w:tblStylePr>
  </w:style>
  <w:style w:type="table" w:customStyle="1" w:styleId="ListTable2-Accent512">
    <w:name w:val="List Table 2 - Accent 512"/>
    <w:basedOn w:val="TableNormal"/>
    <w:next w:val="ListTable2-Accent53"/>
    <w:uiPriority w:val="47"/>
    <w:rsid w:val="00C1281D"/>
    <w:pPr>
      <w:spacing w:after="0" w:line="240" w:lineRule="auto"/>
    </w:pPr>
    <w:tblPr>
      <w:tblStyleRowBandSize w:val="1"/>
      <w:tblStyleColBandSize w:val="1"/>
      <w:tblBorders>
        <w:top w:val="single" w:sz="4" w:space="0" w:color="9F9F9F"/>
        <w:bottom w:val="single" w:sz="4" w:space="0" w:color="9F9F9F"/>
        <w:insideH w:val="single" w:sz="4" w:space="0" w:color="9F9F9F"/>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FDFDF"/>
      </w:tcPr>
    </w:tblStylePr>
    <w:tblStylePr w:type="band1Horz">
      <w:tblPr/>
      <w:tcPr>
        <w:shd w:val="clear" w:color="auto" w:fill="DFDFDF"/>
      </w:tcPr>
    </w:tblStylePr>
  </w:style>
  <w:style w:type="table" w:customStyle="1" w:styleId="GridTable2-Accent512">
    <w:name w:val="Grid Table 2 - Accent 512"/>
    <w:basedOn w:val="TableNormal"/>
    <w:next w:val="GridTable2-Accent53"/>
    <w:uiPriority w:val="47"/>
    <w:rsid w:val="00C1281D"/>
    <w:pPr>
      <w:spacing w:after="0" w:line="240" w:lineRule="auto"/>
    </w:pPr>
    <w:tblPr>
      <w:tblStyleRowBandSize w:val="1"/>
      <w:tblStyleColBandSize w:val="1"/>
      <w:tblBorders>
        <w:top w:val="single" w:sz="2" w:space="0" w:color="9F9F9F"/>
        <w:bottom w:val="single" w:sz="2" w:space="0" w:color="9F9F9F"/>
        <w:insideH w:val="single" w:sz="2" w:space="0" w:color="9F9F9F"/>
        <w:insideV w:val="single" w:sz="2" w:space="0" w:color="9F9F9F"/>
      </w:tblBorders>
    </w:tblPr>
    <w:tblStylePr w:type="firstRow">
      <w:rPr>
        <w:b/>
        <w:bCs/>
      </w:rPr>
      <w:tblPr/>
      <w:tcPr>
        <w:tcBorders>
          <w:top w:val="nil"/>
          <w:bottom w:val="single" w:sz="12" w:space="0" w:color="9F9F9F"/>
          <w:insideH w:val="nil"/>
          <w:insideV w:val="nil"/>
        </w:tcBorders>
        <w:shd w:val="clear" w:color="auto" w:fill="FFFFFF"/>
      </w:tcPr>
    </w:tblStylePr>
    <w:tblStylePr w:type="lastRow">
      <w:rPr>
        <w:b/>
        <w:bCs/>
      </w:rPr>
      <w:tblPr/>
      <w:tcPr>
        <w:tcBorders>
          <w:top w:val="double" w:sz="2" w:space="0" w:color="9F9F9F"/>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FDFDF"/>
      </w:tcPr>
    </w:tblStylePr>
    <w:tblStylePr w:type="band1Horz">
      <w:tblPr/>
      <w:tcPr>
        <w:shd w:val="clear" w:color="auto" w:fill="DFDFDF"/>
      </w:tcPr>
    </w:tblStylePr>
  </w:style>
  <w:style w:type="table" w:customStyle="1" w:styleId="TableGrid23">
    <w:name w:val="Table Grid23"/>
    <w:basedOn w:val="TableNormal"/>
    <w:next w:val="TableGrid"/>
    <w:uiPriority w:val="39"/>
    <w:rsid w:val="00C1281D"/>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LightShading-Accent1243">
    <w:name w:val="Light Shading - Accent 1243"/>
    <w:basedOn w:val="TableNormal"/>
    <w:uiPriority w:val="60"/>
    <w:rsid w:val="00C1281D"/>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GridTable6Colorful-Accent5122">
    <w:name w:val="Grid Table 6 Colorful - Accent 5122"/>
    <w:basedOn w:val="TableNormal"/>
    <w:next w:val="GridTable6Colorful-Accent54"/>
    <w:uiPriority w:val="51"/>
    <w:rsid w:val="00C1281D"/>
    <w:pPr>
      <w:spacing w:after="0" w:line="240" w:lineRule="auto"/>
    </w:pPr>
    <w:rPr>
      <w:rFonts w:ascii="Calibri" w:eastAsia="Calibri" w:hAnsi="Calibri" w:cs="Times New Roman"/>
      <w:color w:val="C19300"/>
      <w:sz w:val="20"/>
      <w:szCs w:val="20"/>
    </w:rPr>
    <w:tblPr>
      <w:tblStyleRowBandSize w:val="1"/>
      <w:tblStyleColBandSize w:val="1"/>
      <w:tblBorders>
        <w:top w:val="single" w:sz="4" w:space="0" w:color="FEDA69"/>
        <w:left w:val="single" w:sz="4" w:space="0" w:color="FEDA69"/>
        <w:bottom w:val="single" w:sz="4" w:space="0" w:color="FEDA69"/>
        <w:right w:val="single" w:sz="4" w:space="0" w:color="FEDA69"/>
        <w:insideH w:val="single" w:sz="4" w:space="0" w:color="FEDA69"/>
        <w:insideV w:val="single" w:sz="4" w:space="0" w:color="FEDA69"/>
      </w:tblBorders>
    </w:tblPr>
    <w:tblStylePr w:type="firstRow">
      <w:rPr>
        <w:b/>
        <w:bCs/>
      </w:rPr>
      <w:tblPr/>
      <w:tcPr>
        <w:tcBorders>
          <w:bottom w:val="single" w:sz="12" w:space="0" w:color="FEDA69"/>
        </w:tcBorders>
      </w:tcPr>
    </w:tblStylePr>
    <w:tblStylePr w:type="lastRow">
      <w:rPr>
        <w:b/>
        <w:bCs/>
      </w:rPr>
      <w:tblPr/>
      <w:tcPr>
        <w:tcBorders>
          <w:top w:val="double" w:sz="4" w:space="0" w:color="FEDA69"/>
        </w:tcBorders>
      </w:tcPr>
    </w:tblStylePr>
    <w:tblStylePr w:type="firstCol">
      <w:rPr>
        <w:b/>
        <w:bCs/>
      </w:rPr>
    </w:tblStylePr>
    <w:tblStylePr w:type="lastCol">
      <w:rPr>
        <w:b/>
        <w:bCs/>
      </w:rPr>
    </w:tblStylePr>
    <w:tblStylePr w:type="band1Vert">
      <w:tblPr/>
      <w:tcPr>
        <w:shd w:val="clear" w:color="auto" w:fill="FEF2CD"/>
      </w:tcPr>
    </w:tblStylePr>
    <w:tblStylePr w:type="band1Horz">
      <w:tblPr/>
      <w:tcPr>
        <w:shd w:val="clear" w:color="auto" w:fill="FEF2CD"/>
      </w:tcPr>
    </w:tblStylePr>
  </w:style>
  <w:style w:type="table" w:customStyle="1" w:styleId="GridTable6Colorful-Accent5132">
    <w:name w:val="Grid Table 6 Colorful - Accent 5132"/>
    <w:basedOn w:val="TableNormal"/>
    <w:uiPriority w:val="51"/>
    <w:rsid w:val="00C1281D"/>
    <w:pPr>
      <w:spacing w:after="0" w:line="264" w:lineRule="auto"/>
    </w:pPr>
    <w:rPr>
      <w:rFonts w:ascii="Calibri" w:eastAsia="Calibri" w:hAnsi="Calibri" w:cs="Times New Roman"/>
      <w:color w:val="474747"/>
      <w:sz w:val="20"/>
      <w:szCs w:val="20"/>
    </w:rPr>
    <w:tblPr>
      <w:tblStyleRowBandSize w:val="1"/>
      <w:tblStyleColBandSize w:val="1"/>
      <w:tblBorders>
        <w:top w:val="single" w:sz="4" w:space="0" w:color="9F9F9F"/>
        <w:left w:val="single" w:sz="4" w:space="0" w:color="9F9F9F"/>
        <w:bottom w:val="single" w:sz="4" w:space="0" w:color="9F9F9F"/>
        <w:right w:val="single" w:sz="4" w:space="0" w:color="9F9F9F"/>
        <w:insideH w:val="single" w:sz="4" w:space="0" w:color="9F9F9F"/>
        <w:insideV w:val="single" w:sz="4" w:space="0" w:color="9F9F9F"/>
      </w:tblBorders>
    </w:tblPr>
    <w:tblStylePr w:type="firstRow">
      <w:rPr>
        <w:b/>
        <w:bCs/>
      </w:rPr>
      <w:tblPr/>
      <w:tcPr>
        <w:tcBorders>
          <w:bottom w:val="single" w:sz="12" w:space="0" w:color="9F9F9F"/>
        </w:tcBorders>
      </w:tcPr>
    </w:tblStylePr>
    <w:tblStylePr w:type="lastRow">
      <w:rPr>
        <w:b/>
        <w:bCs/>
      </w:rPr>
      <w:tblPr/>
      <w:tcPr>
        <w:tcBorders>
          <w:top w:val="double" w:sz="4" w:space="0" w:color="9F9F9F"/>
        </w:tcBorders>
      </w:tcPr>
    </w:tblStylePr>
    <w:tblStylePr w:type="firstCol">
      <w:rPr>
        <w:b/>
        <w:bCs/>
      </w:rPr>
    </w:tblStylePr>
    <w:tblStylePr w:type="lastCol">
      <w:rPr>
        <w:b/>
        <w:bCs/>
      </w:rPr>
    </w:tblStylePr>
    <w:tblStylePr w:type="band1Vert">
      <w:tblPr/>
      <w:tcPr>
        <w:shd w:val="clear" w:color="auto" w:fill="DFDFDF"/>
      </w:tcPr>
    </w:tblStylePr>
    <w:tblStylePr w:type="band1Horz">
      <w:tblPr/>
      <w:tcPr>
        <w:shd w:val="clear" w:color="auto" w:fill="DFDFDF"/>
      </w:tcPr>
    </w:tblStylePr>
  </w:style>
  <w:style w:type="numbering" w:customStyle="1" w:styleId="NoList32">
    <w:name w:val="No List32"/>
    <w:next w:val="NoList"/>
    <w:uiPriority w:val="99"/>
    <w:semiHidden/>
    <w:unhideWhenUsed/>
    <w:rsid w:val="00C1281D"/>
  </w:style>
  <w:style w:type="table" w:customStyle="1" w:styleId="TableGrid32">
    <w:name w:val="Table Grid32"/>
    <w:basedOn w:val="TableNormal"/>
    <w:next w:val="TableGrid"/>
    <w:uiPriority w:val="39"/>
    <w:rsid w:val="00C1281D"/>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FinancialTable12">
    <w:name w:val="Financial Table12"/>
    <w:basedOn w:val="TableNormal"/>
    <w:uiPriority w:val="99"/>
    <w:rsid w:val="00C1281D"/>
    <w:pPr>
      <w:spacing w:before="60" w:after="60" w:line="264" w:lineRule="auto"/>
    </w:pPr>
    <w:rPr>
      <w:rFonts w:eastAsia="MS PGothic"/>
      <w:sz w:val="20"/>
      <w:szCs w:val="20"/>
      <w:lang w:eastAsia="ja-JP"/>
    </w:rPr>
    <w:tblPr>
      <w:tblBorders>
        <w:top w:val="single" w:sz="8" w:space="0" w:color="000000"/>
        <w:left w:val="single" w:sz="8" w:space="0" w:color="000000"/>
        <w:bottom w:val="single" w:sz="24" w:space="0" w:color="000000"/>
        <w:right w:val="single" w:sz="8" w:space="0" w:color="000000"/>
        <w:insideH w:val="single" w:sz="8" w:space="0" w:color="000000"/>
        <w:insideV w:val="single" w:sz="8" w:space="0" w:color="000000"/>
      </w:tblBorders>
      <w:tblCellMar>
        <w:left w:w="72" w:type="dxa"/>
        <w:right w:w="72" w:type="dxa"/>
      </w:tblCellMar>
    </w:tblPr>
    <w:tblStylePr w:type="firstRow">
      <w:pPr>
        <w:wordWrap/>
        <w:spacing w:beforeLines="0" w:before="40" w:beforeAutospacing="0" w:afterLines="0" w:after="40" w:afterAutospacing="0"/>
        <w:jc w:val="left"/>
      </w:pPr>
      <w:rPr>
        <w:rFonts w:ascii="Arial" w:hAnsi="Arial"/>
        <w:b/>
        <w:i w:val="0"/>
        <w:caps w:val="0"/>
        <w:smallCaps w:val="0"/>
        <w:color w:val="000000"/>
        <w:sz w:val="22"/>
      </w:rPr>
    </w:tblStylePr>
    <w:tblStylePr w:type="firstCol">
      <w:rPr>
        <w:b/>
        <w:color w:val="000000"/>
      </w:rPr>
    </w:tblStylePr>
  </w:style>
  <w:style w:type="table" w:customStyle="1" w:styleId="GridTable6Colorful-Accent532">
    <w:name w:val="Grid Table 6 Colorful - Accent 532"/>
    <w:basedOn w:val="TableNormal"/>
    <w:next w:val="GridTable6Colorful-Accent54"/>
    <w:uiPriority w:val="51"/>
    <w:rsid w:val="00C1281D"/>
    <w:pPr>
      <w:spacing w:after="0" w:line="264" w:lineRule="auto"/>
    </w:pPr>
    <w:rPr>
      <w:rFonts w:ascii="Calibri" w:eastAsia="Calibri" w:hAnsi="Calibri" w:cs="Times New Roman"/>
      <w:color w:val="474747"/>
      <w:sz w:val="20"/>
      <w:szCs w:val="20"/>
    </w:rPr>
    <w:tblPr>
      <w:tblStyleRowBandSize w:val="1"/>
      <w:tblStyleColBandSize w:val="1"/>
      <w:tblBorders>
        <w:top w:val="single" w:sz="4" w:space="0" w:color="9F9F9F"/>
        <w:left w:val="single" w:sz="4" w:space="0" w:color="9F9F9F"/>
        <w:bottom w:val="single" w:sz="4" w:space="0" w:color="9F9F9F"/>
        <w:right w:val="single" w:sz="4" w:space="0" w:color="9F9F9F"/>
        <w:insideH w:val="single" w:sz="4" w:space="0" w:color="9F9F9F"/>
        <w:insideV w:val="single" w:sz="4" w:space="0" w:color="9F9F9F"/>
      </w:tblBorders>
    </w:tblPr>
    <w:tblStylePr w:type="firstRow">
      <w:rPr>
        <w:b/>
        <w:bCs/>
      </w:rPr>
      <w:tblPr/>
      <w:tcPr>
        <w:tcBorders>
          <w:bottom w:val="single" w:sz="12" w:space="0" w:color="9F9F9F"/>
        </w:tcBorders>
      </w:tcPr>
    </w:tblStylePr>
    <w:tblStylePr w:type="lastRow">
      <w:rPr>
        <w:b/>
        <w:bCs/>
      </w:rPr>
      <w:tblPr/>
      <w:tcPr>
        <w:tcBorders>
          <w:top w:val="double" w:sz="4" w:space="0" w:color="9F9F9F"/>
        </w:tcBorders>
      </w:tcPr>
    </w:tblStylePr>
    <w:tblStylePr w:type="firstCol">
      <w:rPr>
        <w:b/>
        <w:bCs/>
      </w:rPr>
    </w:tblStylePr>
    <w:tblStylePr w:type="lastCol">
      <w:rPr>
        <w:b/>
        <w:bCs/>
      </w:rPr>
    </w:tblStylePr>
    <w:tblStylePr w:type="band1Vert">
      <w:tblPr/>
      <w:tcPr>
        <w:shd w:val="clear" w:color="auto" w:fill="DFDFDF"/>
      </w:tcPr>
    </w:tblStylePr>
    <w:tblStylePr w:type="band1Horz">
      <w:tblPr/>
      <w:tcPr>
        <w:shd w:val="clear" w:color="auto" w:fill="DFDFDF"/>
      </w:tcPr>
    </w:tblStylePr>
  </w:style>
  <w:style w:type="table" w:customStyle="1" w:styleId="LightShading-Accent1253">
    <w:name w:val="Light Shading - Accent 1253"/>
    <w:basedOn w:val="TableNormal"/>
    <w:uiPriority w:val="60"/>
    <w:rsid w:val="00C1281D"/>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GridTable6Colorful-Accent5142">
    <w:name w:val="Grid Table 6 Colorful - Accent 5142"/>
    <w:basedOn w:val="TableNormal"/>
    <w:uiPriority w:val="51"/>
    <w:rsid w:val="00C1281D"/>
    <w:pPr>
      <w:spacing w:after="0" w:line="264" w:lineRule="auto"/>
    </w:pPr>
    <w:rPr>
      <w:rFonts w:ascii="Calibri" w:eastAsia="Calibri" w:hAnsi="Calibri" w:cs="Times New Roman"/>
      <w:color w:val="387AAA"/>
      <w:sz w:val="20"/>
      <w:szCs w:val="20"/>
    </w:rPr>
    <w:tblPr>
      <w:tblStyleRowBandSize w:val="1"/>
      <w:tblStyleColBandSize w:val="1"/>
      <w:tblBorders>
        <w:top w:val="single" w:sz="4" w:space="0" w:color="A1C5E0"/>
        <w:left w:val="single" w:sz="4" w:space="0" w:color="A1C5E0"/>
        <w:bottom w:val="single" w:sz="4" w:space="0" w:color="A1C5E0"/>
        <w:right w:val="single" w:sz="4" w:space="0" w:color="A1C5E0"/>
        <w:insideH w:val="single" w:sz="4" w:space="0" w:color="A1C5E0"/>
        <w:insideV w:val="single" w:sz="4" w:space="0" w:color="A1C5E0"/>
      </w:tblBorders>
    </w:tblPr>
    <w:tblStylePr w:type="firstRow">
      <w:rPr>
        <w:b/>
        <w:bCs/>
      </w:rPr>
      <w:tblPr/>
      <w:tcPr>
        <w:tcBorders>
          <w:bottom w:val="single" w:sz="12" w:space="0" w:color="A1C5E0"/>
        </w:tcBorders>
      </w:tcPr>
    </w:tblStylePr>
    <w:tblStylePr w:type="lastRow">
      <w:rPr>
        <w:b/>
        <w:bCs/>
      </w:rPr>
      <w:tblPr/>
      <w:tcPr>
        <w:tcBorders>
          <w:top w:val="double" w:sz="4" w:space="0" w:color="A1C5E0"/>
        </w:tcBorders>
      </w:tcPr>
    </w:tblStylePr>
    <w:tblStylePr w:type="firstCol">
      <w:rPr>
        <w:b/>
        <w:bCs/>
      </w:rPr>
    </w:tblStylePr>
    <w:tblStylePr w:type="lastCol">
      <w:rPr>
        <w:b/>
        <w:bCs/>
      </w:rPr>
    </w:tblStylePr>
    <w:tblStylePr w:type="band1Vert">
      <w:tblPr/>
      <w:tcPr>
        <w:shd w:val="clear" w:color="auto" w:fill="DFEBF4"/>
      </w:tcPr>
    </w:tblStylePr>
    <w:tblStylePr w:type="band1Horz">
      <w:tblPr/>
      <w:tcPr>
        <w:shd w:val="clear" w:color="auto" w:fill="DFEBF4"/>
      </w:tcPr>
    </w:tblStylePr>
  </w:style>
  <w:style w:type="table" w:customStyle="1" w:styleId="LightShading-Accent12112">
    <w:name w:val="Light Shading - Accent 12112"/>
    <w:basedOn w:val="TableNormal"/>
    <w:uiPriority w:val="60"/>
    <w:rsid w:val="00C1281D"/>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GridTable6Colorful-Accent51112">
    <w:name w:val="Grid Table 6 Colorful - Accent 51112"/>
    <w:basedOn w:val="TableNormal"/>
    <w:uiPriority w:val="51"/>
    <w:rsid w:val="00C1281D"/>
    <w:pPr>
      <w:spacing w:after="0" w:line="264" w:lineRule="auto"/>
    </w:pPr>
    <w:rPr>
      <w:rFonts w:ascii="Calibri" w:eastAsia="Calibri" w:hAnsi="Calibri" w:cs="Times New Roman"/>
      <w:color w:val="387AAA"/>
      <w:sz w:val="20"/>
      <w:szCs w:val="20"/>
    </w:rPr>
    <w:tblPr>
      <w:tblStyleRowBandSize w:val="1"/>
      <w:tblStyleColBandSize w:val="1"/>
      <w:tblBorders>
        <w:top w:val="single" w:sz="4" w:space="0" w:color="A1C5E0"/>
        <w:left w:val="single" w:sz="4" w:space="0" w:color="A1C5E0"/>
        <w:bottom w:val="single" w:sz="4" w:space="0" w:color="A1C5E0"/>
        <w:right w:val="single" w:sz="4" w:space="0" w:color="A1C5E0"/>
        <w:insideH w:val="single" w:sz="4" w:space="0" w:color="A1C5E0"/>
        <w:insideV w:val="single" w:sz="4" w:space="0" w:color="A1C5E0"/>
      </w:tblBorders>
    </w:tblPr>
    <w:tblStylePr w:type="firstRow">
      <w:rPr>
        <w:b/>
        <w:bCs/>
      </w:rPr>
      <w:tblPr/>
      <w:tcPr>
        <w:tcBorders>
          <w:bottom w:val="single" w:sz="12" w:space="0" w:color="A1C5E0"/>
        </w:tcBorders>
      </w:tcPr>
    </w:tblStylePr>
    <w:tblStylePr w:type="lastRow">
      <w:rPr>
        <w:b/>
        <w:bCs/>
      </w:rPr>
      <w:tblPr/>
      <w:tcPr>
        <w:tcBorders>
          <w:top w:val="double" w:sz="4" w:space="0" w:color="A1C5E0"/>
        </w:tcBorders>
      </w:tcPr>
    </w:tblStylePr>
    <w:tblStylePr w:type="firstCol">
      <w:rPr>
        <w:b/>
        <w:bCs/>
      </w:rPr>
    </w:tblStylePr>
    <w:tblStylePr w:type="lastCol">
      <w:rPr>
        <w:b/>
        <w:bCs/>
      </w:rPr>
    </w:tblStylePr>
    <w:tblStylePr w:type="band1Vert">
      <w:tblPr/>
      <w:tcPr>
        <w:shd w:val="clear" w:color="auto" w:fill="DFEBF4"/>
      </w:tcPr>
    </w:tblStylePr>
    <w:tblStylePr w:type="band1Horz">
      <w:tblPr/>
      <w:tcPr>
        <w:shd w:val="clear" w:color="auto" w:fill="DFEBF4"/>
      </w:tcPr>
    </w:tblStylePr>
  </w:style>
  <w:style w:type="table" w:customStyle="1" w:styleId="GridTable6Colorful-Accent122">
    <w:name w:val="Grid Table 6 Colorful - Accent 122"/>
    <w:basedOn w:val="TableNormal"/>
    <w:next w:val="GridTable6Colorful-Accent13"/>
    <w:uiPriority w:val="51"/>
    <w:rsid w:val="00C1281D"/>
    <w:pPr>
      <w:spacing w:after="0" w:line="264" w:lineRule="auto"/>
    </w:pPr>
    <w:rPr>
      <w:rFonts w:eastAsia="MS PGothic"/>
      <w:color w:val="BF2B0E"/>
      <w:sz w:val="20"/>
      <w:szCs w:val="20"/>
      <w:lang w:eastAsia="ja-JP"/>
    </w:rPr>
    <w:tblPr>
      <w:tblStyleRowBandSize w:val="1"/>
      <w:tblStyleColBandSize w:val="1"/>
      <w:tblBorders>
        <w:top w:val="single" w:sz="4" w:space="0" w:color="F58F7A"/>
        <w:left w:val="single" w:sz="4" w:space="0" w:color="F58F7A"/>
        <w:bottom w:val="single" w:sz="4" w:space="0" w:color="F58F7A"/>
        <w:right w:val="single" w:sz="4" w:space="0" w:color="F58F7A"/>
        <w:insideH w:val="single" w:sz="4" w:space="0" w:color="F58F7A"/>
        <w:insideV w:val="single" w:sz="4" w:space="0" w:color="F58F7A"/>
      </w:tblBorders>
    </w:tblPr>
    <w:tblStylePr w:type="firstRow">
      <w:rPr>
        <w:b/>
        <w:bCs/>
      </w:rPr>
      <w:tblPr/>
      <w:tcPr>
        <w:tcBorders>
          <w:bottom w:val="single" w:sz="12" w:space="0" w:color="F58F7A"/>
        </w:tcBorders>
      </w:tcPr>
    </w:tblStylePr>
    <w:tblStylePr w:type="lastRow">
      <w:rPr>
        <w:b/>
        <w:bCs/>
      </w:rPr>
      <w:tblPr/>
      <w:tcPr>
        <w:tcBorders>
          <w:top w:val="double" w:sz="4" w:space="0" w:color="F58F7A"/>
        </w:tcBorders>
      </w:tcPr>
    </w:tblStylePr>
    <w:tblStylePr w:type="firstCol">
      <w:rPr>
        <w:b/>
        <w:bCs/>
      </w:rPr>
    </w:tblStylePr>
    <w:tblStylePr w:type="lastCol">
      <w:rPr>
        <w:b/>
        <w:bCs/>
      </w:rPr>
    </w:tblStylePr>
    <w:tblStylePr w:type="band1Vert">
      <w:tblPr/>
      <w:tcPr>
        <w:shd w:val="clear" w:color="auto" w:fill="FBD9D2"/>
      </w:tcPr>
    </w:tblStylePr>
    <w:tblStylePr w:type="band1Horz">
      <w:tblPr/>
      <w:tcPr>
        <w:shd w:val="clear" w:color="auto" w:fill="FBD9D2"/>
      </w:tcPr>
    </w:tblStylePr>
  </w:style>
  <w:style w:type="table" w:customStyle="1" w:styleId="LightShading-Accent12212">
    <w:name w:val="Light Shading - Accent 12212"/>
    <w:basedOn w:val="TableNormal"/>
    <w:uiPriority w:val="60"/>
    <w:rsid w:val="00C1281D"/>
    <w:pPr>
      <w:spacing w:after="0" w:line="240"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GridTable6Colorful-Accent5212">
    <w:name w:val="Grid Table 6 Colorful - Accent 5212"/>
    <w:basedOn w:val="TableNormal"/>
    <w:next w:val="GridTable6Colorful-Accent54"/>
    <w:uiPriority w:val="51"/>
    <w:rsid w:val="00C1281D"/>
    <w:pPr>
      <w:spacing w:after="0" w:line="240" w:lineRule="auto"/>
    </w:pPr>
    <w:rPr>
      <w:rFonts w:ascii="Calibri" w:eastAsia="Calibri" w:hAnsi="Calibri" w:cs="Times New Roman"/>
      <w:color w:val="C19300"/>
      <w:sz w:val="20"/>
      <w:szCs w:val="20"/>
    </w:rPr>
    <w:tblPr>
      <w:tblStyleRowBandSize w:val="1"/>
      <w:tblStyleColBandSize w:val="1"/>
      <w:tblBorders>
        <w:top w:val="single" w:sz="4" w:space="0" w:color="FEDA69"/>
        <w:left w:val="single" w:sz="4" w:space="0" w:color="FEDA69"/>
        <w:bottom w:val="single" w:sz="4" w:space="0" w:color="FEDA69"/>
        <w:right w:val="single" w:sz="4" w:space="0" w:color="FEDA69"/>
        <w:insideH w:val="single" w:sz="4" w:space="0" w:color="FEDA69"/>
        <w:insideV w:val="single" w:sz="4" w:space="0" w:color="FEDA69"/>
      </w:tblBorders>
    </w:tblPr>
    <w:tblStylePr w:type="firstRow">
      <w:rPr>
        <w:b/>
        <w:bCs/>
      </w:rPr>
      <w:tblPr/>
      <w:tcPr>
        <w:tcBorders>
          <w:bottom w:val="single" w:sz="12" w:space="0" w:color="FEDA69"/>
        </w:tcBorders>
      </w:tcPr>
    </w:tblStylePr>
    <w:tblStylePr w:type="lastRow">
      <w:rPr>
        <w:b/>
        <w:bCs/>
      </w:rPr>
      <w:tblPr/>
      <w:tcPr>
        <w:tcBorders>
          <w:top w:val="double" w:sz="4" w:space="0" w:color="FEDA69"/>
        </w:tcBorders>
      </w:tcPr>
    </w:tblStylePr>
    <w:tblStylePr w:type="firstCol">
      <w:rPr>
        <w:b/>
        <w:bCs/>
      </w:rPr>
    </w:tblStylePr>
    <w:tblStylePr w:type="lastCol">
      <w:rPr>
        <w:b/>
        <w:bCs/>
      </w:rPr>
    </w:tblStylePr>
    <w:tblStylePr w:type="band1Vert">
      <w:tblPr/>
      <w:tcPr>
        <w:shd w:val="clear" w:color="auto" w:fill="FEF2CD"/>
      </w:tcPr>
    </w:tblStylePr>
    <w:tblStylePr w:type="band1Horz">
      <w:tblPr/>
      <w:tcPr>
        <w:shd w:val="clear" w:color="auto" w:fill="FEF2CD"/>
      </w:tcPr>
    </w:tblStylePr>
  </w:style>
  <w:style w:type="table" w:customStyle="1" w:styleId="tabele342">
    <w:name w:val="tabele 342"/>
    <w:basedOn w:val="TableNormal"/>
    <w:next w:val="LightList-Accent3"/>
    <w:uiPriority w:val="61"/>
    <w:rsid w:val="00C1281D"/>
    <w:pPr>
      <w:spacing w:after="0" w:line="240" w:lineRule="auto"/>
    </w:pPr>
    <w:rPr>
      <w:rFonts w:ascii="Cambria Math" w:eastAsia="Calibri" w:hAnsi="Cambria Math" w:cs="Times New Roman"/>
      <w:sz w:val="18"/>
      <w:lang w:val="sr-Cyrl-C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ghtShading-Accent11102">
    <w:name w:val="Light Shading - Accent 11102"/>
    <w:basedOn w:val="TableNormal"/>
    <w:uiPriority w:val="60"/>
    <w:rsid w:val="00C1281D"/>
    <w:pPr>
      <w:spacing w:after="0" w:line="240" w:lineRule="auto"/>
      <w:ind w:left="568" w:hanging="284"/>
    </w:pPr>
    <w:rPr>
      <w:rFonts w:ascii="Calibri" w:eastAsia="Calibri"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352">
    <w:name w:val="Light Shading - Accent 352"/>
    <w:basedOn w:val="TableNormal"/>
    <w:next w:val="LightShading-Accent3"/>
    <w:uiPriority w:val="60"/>
    <w:rsid w:val="00C1281D"/>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List-Accent552">
    <w:name w:val="Light List - Accent 552"/>
    <w:basedOn w:val="TableNormal"/>
    <w:next w:val="LightList-Accent5"/>
    <w:uiPriority w:val="61"/>
    <w:rsid w:val="00C1281D"/>
    <w:pPr>
      <w:spacing w:after="0" w:line="240" w:lineRule="auto"/>
    </w:pPr>
    <w:rPr>
      <w:rFonts w:ascii="Calibri" w:eastAsia="Calibri" w:hAnsi="Calibri" w:cs="Times New Roman"/>
      <w:sz w:val="20"/>
      <w:szCs w:val="20"/>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LightShading-Accent3142">
    <w:name w:val="Light Shading - Accent 3142"/>
    <w:basedOn w:val="TableNormal"/>
    <w:next w:val="LightShading-Accent3"/>
    <w:uiPriority w:val="60"/>
    <w:rsid w:val="00C1281D"/>
    <w:pPr>
      <w:spacing w:after="0" w:line="240" w:lineRule="auto"/>
    </w:pPr>
    <w:rPr>
      <w:rFonts w:ascii="Constantia" w:eastAsia="Constantia" w:hAnsi="Constantia" w:cs="Times New Roman"/>
      <w:color w:val="8CADAE"/>
      <w:lang w:val="sr-Cyrl-CS"/>
    </w:rPr>
    <w:tblPr>
      <w:tblStyleRowBandSize w:val="1"/>
      <w:tblStyleColBandSize w:val="1"/>
      <w:tblBorders>
        <w:top w:val="single" w:sz="8" w:space="0" w:color="8CADAE"/>
        <w:bottom w:val="single" w:sz="8" w:space="0" w:color="8CADAE"/>
      </w:tblBorders>
    </w:tblPr>
    <w:tblStylePr w:type="firstRow">
      <w:pPr>
        <w:spacing w:before="0" w:after="0" w:line="240" w:lineRule="auto"/>
      </w:pPr>
      <w:rPr>
        <w:b/>
        <w:bCs/>
      </w:rPr>
      <w:tblPr/>
      <w:tcPr>
        <w:tcBorders>
          <w:top w:val="single" w:sz="8" w:space="0" w:color="8CADAE"/>
          <w:left w:val="nil"/>
          <w:bottom w:val="single" w:sz="8" w:space="0" w:color="8CADAE"/>
          <w:right w:val="nil"/>
          <w:insideH w:val="nil"/>
          <w:insideV w:val="nil"/>
        </w:tcBorders>
      </w:tcPr>
    </w:tblStylePr>
    <w:tblStylePr w:type="lastRow">
      <w:pPr>
        <w:spacing w:before="0" w:after="0" w:line="240" w:lineRule="auto"/>
      </w:pPr>
      <w:rPr>
        <w:b/>
        <w:bCs/>
      </w:rPr>
      <w:tblPr/>
      <w:tcPr>
        <w:tcBorders>
          <w:top w:val="single" w:sz="8" w:space="0" w:color="8CADAE"/>
          <w:left w:val="nil"/>
          <w:bottom w:val="single" w:sz="8" w:space="0" w:color="8CADA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AEB"/>
      </w:tcPr>
    </w:tblStylePr>
    <w:tblStylePr w:type="band1Horz">
      <w:tblPr/>
      <w:tcPr>
        <w:tcBorders>
          <w:left w:val="nil"/>
          <w:right w:val="nil"/>
          <w:insideH w:val="nil"/>
          <w:insideV w:val="nil"/>
        </w:tcBorders>
        <w:shd w:val="clear" w:color="auto" w:fill="E2EAEB"/>
      </w:tcPr>
    </w:tblStylePr>
  </w:style>
  <w:style w:type="table" w:customStyle="1" w:styleId="LightList-Accent3152">
    <w:name w:val="Light List - Accent 3152"/>
    <w:basedOn w:val="TableNormal"/>
    <w:next w:val="LightList-Accent3"/>
    <w:uiPriority w:val="61"/>
    <w:rsid w:val="00C1281D"/>
    <w:pPr>
      <w:spacing w:after="0" w:line="240" w:lineRule="auto"/>
    </w:pPr>
    <w:rPr>
      <w:rFonts w:ascii="Constantia" w:eastAsia="Constantia" w:hAnsi="Constantia" w:cs="Times New Roman"/>
      <w:lang w:val="sr-Cyrl-CS"/>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TableGrid112">
    <w:name w:val="Table Grid112"/>
    <w:basedOn w:val="TableNormal"/>
    <w:next w:val="TableGrid"/>
    <w:uiPriority w:val="59"/>
    <w:rsid w:val="00C1281D"/>
    <w:pPr>
      <w:spacing w:after="0" w:line="240" w:lineRule="auto"/>
    </w:pPr>
    <w:rPr>
      <w:rFonts w:ascii="Constantia" w:eastAsia="Constantia" w:hAnsi="Constantia" w:cs="Times New Roman"/>
      <w:lang w:val="sr-Cyrl-C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List-Accent5142">
    <w:name w:val="Light List - Accent 5142"/>
    <w:basedOn w:val="TableNormal"/>
    <w:next w:val="LightList-Accent5"/>
    <w:uiPriority w:val="61"/>
    <w:rsid w:val="00C1281D"/>
    <w:pPr>
      <w:spacing w:after="0" w:line="240" w:lineRule="auto"/>
    </w:pPr>
    <w:rPr>
      <w:rFonts w:ascii="Times New Roman" w:eastAsia="Constantia" w:hAnsi="Times New Roman" w:cs="Times New Roman"/>
      <w:lang w:val="sr-Cyrl-CS"/>
    </w:rPr>
    <w:tblPr>
      <w:tblStyleRowBandSize w:val="1"/>
      <w:tblStyleColBandSize w:val="1"/>
      <w:tblBorders>
        <w:top w:val="single" w:sz="8" w:space="0" w:color="8FB08C"/>
        <w:left w:val="single" w:sz="8" w:space="0" w:color="8FB08C"/>
        <w:bottom w:val="single" w:sz="8" w:space="0" w:color="8FB08C"/>
        <w:right w:val="single" w:sz="8" w:space="0" w:color="8FB08C"/>
      </w:tblBorders>
    </w:tblPr>
    <w:tblStylePr w:type="firstRow">
      <w:pPr>
        <w:spacing w:before="0" w:after="0" w:line="240" w:lineRule="auto"/>
      </w:pPr>
      <w:rPr>
        <w:b/>
        <w:bCs/>
        <w:color w:val="FFFFFF"/>
      </w:rPr>
      <w:tblPr/>
      <w:tcPr>
        <w:shd w:val="clear" w:color="auto" w:fill="8FB08C"/>
      </w:tcPr>
    </w:tblStylePr>
    <w:tblStylePr w:type="lastRow">
      <w:pPr>
        <w:spacing w:before="0" w:after="0" w:line="240" w:lineRule="auto"/>
      </w:pPr>
      <w:rPr>
        <w:b/>
        <w:bCs/>
      </w:rPr>
      <w:tblPr/>
      <w:tcPr>
        <w:tcBorders>
          <w:top w:val="double" w:sz="6" w:space="0" w:color="8FB08C"/>
          <w:left w:val="single" w:sz="8" w:space="0" w:color="8FB08C"/>
          <w:bottom w:val="single" w:sz="8" w:space="0" w:color="8FB08C"/>
          <w:right w:val="single" w:sz="8" w:space="0" w:color="8FB08C"/>
        </w:tcBorders>
      </w:tcPr>
    </w:tblStylePr>
    <w:tblStylePr w:type="firstCol">
      <w:rPr>
        <w:b/>
        <w:bCs/>
      </w:rPr>
    </w:tblStylePr>
    <w:tblStylePr w:type="lastCol">
      <w:rPr>
        <w:b/>
        <w:bCs/>
      </w:rPr>
    </w:tblStylePr>
    <w:tblStylePr w:type="band1Vert">
      <w:tblPr/>
      <w:tcPr>
        <w:tcBorders>
          <w:top w:val="single" w:sz="8" w:space="0" w:color="8FB08C"/>
          <w:left w:val="single" w:sz="8" w:space="0" w:color="8FB08C"/>
          <w:bottom w:val="single" w:sz="8" w:space="0" w:color="8FB08C"/>
          <w:right w:val="single" w:sz="8" w:space="0" w:color="8FB08C"/>
        </w:tcBorders>
      </w:tcPr>
    </w:tblStylePr>
    <w:tblStylePr w:type="band1Horz">
      <w:tblPr/>
      <w:tcPr>
        <w:tcBorders>
          <w:top w:val="single" w:sz="8" w:space="0" w:color="8FB08C"/>
          <w:left w:val="single" w:sz="8" w:space="0" w:color="8FB08C"/>
          <w:bottom w:val="single" w:sz="8" w:space="0" w:color="8FB08C"/>
          <w:right w:val="single" w:sz="8" w:space="0" w:color="8FB08C"/>
        </w:tcBorders>
      </w:tcPr>
    </w:tblStylePr>
  </w:style>
  <w:style w:type="table" w:customStyle="1" w:styleId="MediumList1-Accent5112">
    <w:name w:val="Medium List 1 - Accent 5112"/>
    <w:basedOn w:val="TableNormal"/>
    <w:next w:val="MediumList1-Accent5"/>
    <w:uiPriority w:val="65"/>
    <w:rsid w:val="00C1281D"/>
    <w:pPr>
      <w:spacing w:after="0" w:line="240" w:lineRule="auto"/>
    </w:pPr>
    <w:rPr>
      <w:rFonts w:ascii="Constantia" w:eastAsia="Constantia" w:hAnsi="Constantia" w:cs="Times New Roman"/>
      <w:color w:val="000000"/>
      <w:lang w:val="sr-Cyrl-CS"/>
    </w:rPr>
    <w:tblPr>
      <w:tblStyleRowBandSize w:val="1"/>
      <w:tblStyleColBandSize w:val="1"/>
      <w:tblBorders>
        <w:top w:val="single" w:sz="8" w:space="0" w:color="8FB08C"/>
        <w:bottom w:val="single" w:sz="8" w:space="0" w:color="8FB08C"/>
      </w:tblBorders>
    </w:tblPr>
    <w:tblStylePr w:type="firstRow">
      <w:rPr>
        <w:rFonts w:ascii="Verdana" w:eastAsia="Times New Roman" w:hAnsi="Verdana" w:cs="Times New Roman"/>
      </w:rPr>
      <w:tblPr/>
      <w:tcPr>
        <w:tcBorders>
          <w:top w:val="nil"/>
          <w:bottom w:val="single" w:sz="8" w:space="0" w:color="8FB08C"/>
        </w:tcBorders>
      </w:tcPr>
    </w:tblStylePr>
    <w:tblStylePr w:type="lastRow">
      <w:rPr>
        <w:b/>
        <w:bCs/>
        <w:color w:val="646B86"/>
      </w:rPr>
      <w:tblPr/>
      <w:tcPr>
        <w:tcBorders>
          <w:top w:val="single" w:sz="8" w:space="0" w:color="8FB08C"/>
          <w:bottom w:val="single" w:sz="8" w:space="0" w:color="8FB08C"/>
        </w:tcBorders>
      </w:tcPr>
    </w:tblStylePr>
    <w:tblStylePr w:type="firstCol">
      <w:rPr>
        <w:b/>
        <w:bCs/>
      </w:rPr>
    </w:tblStylePr>
    <w:tblStylePr w:type="lastCol">
      <w:rPr>
        <w:b/>
        <w:bCs/>
      </w:rPr>
      <w:tblPr/>
      <w:tcPr>
        <w:tcBorders>
          <w:top w:val="single" w:sz="8" w:space="0" w:color="8FB08C"/>
          <w:bottom w:val="single" w:sz="8" w:space="0" w:color="8FB08C"/>
        </w:tcBorders>
      </w:tcPr>
    </w:tblStylePr>
    <w:tblStylePr w:type="band1Vert">
      <w:tblPr/>
      <w:tcPr>
        <w:shd w:val="clear" w:color="auto" w:fill="E3EBE2"/>
      </w:tcPr>
    </w:tblStylePr>
    <w:tblStylePr w:type="band1Horz">
      <w:tblPr/>
      <w:tcPr>
        <w:shd w:val="clear" w:color="auto" w:fill="E3EBE2"/>
      </w:tcPr>
    </w:tblStylePr>
  </w:style>
  <w:style w:type="table" w:customStyle="1" w:styleId="MediumList1-Accent522">
    <w:name w:val="Medium List 1 - Accent 522"/>
    <w:basedOn w:val="TableNormal"/>
    <w:next w:val="MediumList1-Accent5"/>
    <w:uiPriority w:val="65"/>
    <w:rsid w:val="00C1281D"/>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4BACC6"/>
        <w:bottom w:val="single" w:sz="8" w:space="0" w:color="4BACC6"/>
      </w:tblBorders>
    </w:tblPr>
    <w:tblStylePr w:type="firstRow">
      <w:rPr>
        <w:rFonts w:ascii="Times New Roman" w:eastAsia="Times New Roman" w:hAnsi="Times New Roman" w:cs="Times New Roman"/>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numbering" w:customStyle="1" w:styleId="NoList1112">
    <w:name w:val="No List1112"/>
    <w:next w:val="NoList"/>
    <w:uiPriority w:val="99"/>
    <w:semiHidden/>
    <w:unhideWhenUsed/>
    <w:rsid w:val="00C1281D"/>
  </w:style>
  <w:style w:type="table" w:customStyle="1" w:styleId="LightGrid-Accent5152">
    <w:name w:val="Light Grid - Accent 5152"/>
    <w:basedOn w:val="TableNormal"/>
    <w:next w:val="LightGrid-Accent5"/>
    <w:uiPriority w:val="62"/>
    <w:rsid w:val="00C1281D"/>
    <w:pPr>
      <w:spacing w:after="0" w:line="240" w:lineRule="auto"/>
    </w:pPr>
    <w:rPr>
      <w:rFonts w:ascii="Calibri" w:eastAsia="Calibri" w:hAnsi="Calibri" w:cs="Times New Roman"/>
      <w:sz w:val="20"/>
      <w:szCs w:val="20"/>
      <w:lang w:val="sr-Latn-CS" w:eastAsia="en-GB"/>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Comic Sans MS" w:eastAsia="Times New Roman" w:hAnsi="Comic Sans MS"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omic Sans MS" w:eastAsia="Times New Roman" w:hAnsi="Comic Sans MS"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omic Sans MS" w:eastAsia="Times New Roman" w:hAnsi="Comic Sans MS" w:cs="Times New Roman"/>
        <w:b/>
        <w:bCs/>
      </w:rPr>
    </w:tblStylePr>
    <w:tblStylePr w:type="lastCol">
      <w:rPr>
        <w:rFonts w:ascii="Comic Sans MS" w:eastAsia="Times New Roman" w:hAnsi="Comic Sans MS"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1142">
    <w:name w:val="Светло сенчење – наглашавање 1142"/>
    <w:basedOn w:val="TableNormal"/>
    <w:uiPriority w:val="60"/>
    <w:rsid w:val="00C1281D"/>
    <w:pPr>
      <w:spacing w:after="0" w:line="240" w:lineRule="auto"/>
    </w:pPr>
    <w:rPr>
      <w:rFonts w:ascii="Calibri" w:eastAsia="Calibri" w:hAnsi="Calibri" w:cs="Times New Roman"/>
      <w:color w:val="365F91"/>
      <w:sz w:val="20"/>
      <w:szCs w:val="20"/>
      <w:lang w:val="sr-Latn-CS" w:eastAsia="en-GB"/>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Grid-Accent562">
    <w:name w:val="Light Grid - Accent 562"/>
    <w:basedOn w:val="TableNormal"/>
    <w:next w:val="LightGrid-Accent5"/>
    <w:uiPriority w:val="62"/>
    <w:rsid w:val="00C1281D"/>
    <w:pPr>
      <w:spacing w:after="0" w:line="240" w:lineRule="auto"/>
    </w:pPr>
    <w:rPr>
      <w:rFonts w:ascii="Calibri" w:eastAsia="Calibri" w:hAnsi="Calibri" w:cs="Times New Roman"/>
      <w:sz w:val="20"/>
      <w:szCs w:val="20"/>
      <w:lang w:val="en-GB" w:eastAsia="en-GB"/>
    </w:rPr>
    <w:tblPr>
      <w:tblStyleRowBandSize w:val="1"/>
      <w:tblStyleColBandSize w:val="1"/>
      <w:tblBorders>
        <w:top w:val="single" w:sz="8" w:space="0" w:color="8FB08C"/>
        <w:left w:val="single" w:sz="8" w:space="0" w:color="8FB08C"/>
        <w:bottom w:val="single" w:sz="8" w:space="0" w:color="8FB08C"/>
        <w:right w:val="single" w:sz="8" w:space="0" w:color="8FB08C"/>
        <w:insideH w:val="single" w:sz="8" w:space="0" w:color="8FB08C"/>
        <w:insideV w:val="single" w:sz="8" w:space="0" w:color="8FB08C"/>
      </w:tblBorders>
    </w:tblPr>
    <w:tblStylePr w:type="firstRow">
      <w:pPr>
        <w:spacing w:before="0" w:after="0" w:line="240" w:lineRule="auto"/>
      </w:pPr>
      <w:rPr>
        <w:rFonts w:ascii="Comic Sans MS" w:eastAsia="Times New Roman" w:hAnsi="Comic Sans MS" w:cs="Times New Roman"/>
        <w:b/>
        <w:bCs/>
      </w:rPr>
      <w:tblPr/>
      <w:tcPr>
        <w:tcBorders>
          <w:top w:val="single" w:sz="8" w:space="0" w:color="8FB08C"/>
          <w:left w:val="single" w:sz="8" w:space="0" w:color="8FB08C"/>
          <w:bottom w:val="single" w:sz="18" w:space="0" w:color="8FB08C"/>
          <w:right w:val="single" w:sz="8" w:space="0" w:color="8FB08C"/>
          <w:insideH w:val="nil"/>
          <w:insideV w:val="single" w:sz="8" w:space="0" w:color="8FB08C"/>
        </w:tcBorders>
      </w:tcPr>
    </w:tblStylePr>
    <w:tblStylePr w:type="lastRow">
      <w:pPr>
        <w:spacing w:before="0" w:after="0" w:line="240" w:lineRule="auto"/>
      </w:pPr>
      <w:rPr>
        <w:rFonts w:ascii="Comic Sans MS" w:eastAsia="Times New Roman" w:hAnsi="Comic Sans MS" w:cs="Times New Roman"/>
        <w:b/>
        <w:bCs/>
      </w:rPr>
      <w:tblPr/>
      <w:tcPr>
        <w:tcBorders>
          <w:top w:val="double" w:sz="6" w:space="0" w:color="8FB08C"/>
          <w:left w:val="single" w:sz="8" w:space="0" w:color="8FB08C"/>
          <w:bottom w:val="single" w:sz="8" w:space="0" w:color="8FB08C"/>
          <w:right w:val="single" w:sz="8" w:space="0" w:color="8FB08C"/>
          <w:insideH w:val="nil"/>
          <w:insideV w:val="single" w:sz="8" w:space="0" w:color="8FB08C"/>
        </w:tcBorders>
      </w:tcPr>
    </w:tblStylePr>
    <w:tblStylePr w:type="firstCol">
      <w:rPr>
        <w:rFonts w:ascii="Comic Sans MS" w:eastAsia="Times New Roman" w:hAnsi="Comic Sans MS" w:cs="Times New Roman"/>
        <w:b/>
        <w:bCs/>
      </w:rPr>
    </w:tblStylePr>
    <w:tblStylePr w:type="lastCol">
      <w:rPr>
        <w:rFonts w:ascii="Comic Sans MS" w:eastAsia="Times New Roman" w:hAnsi="Comic Sans MS" w:cs="Times New Roman"/>
        <w:b/>
        <w:bCs/>
      </w:rPr>
      <w:tblPr/>
      <w:tcPr>
        <w:tcBorders>
          <w:top w:val="single" w:sz="8" w:space="0" w:color="8FB08C"/>
          <w:left w:val="single" w:sz="8" w:space="0" w:color="8FB08C"/>
          <w:bottom w:val="single" w:sz="8" w:space="0" w:color="8FB08C"/>
          <w:right w:val="single" w:sz="8" w:space="0" w:color="8FB08C"/>
        </w:tcBorders>
      </w:tcPr>
    </w:tblStylePr>
    <w:tblStylePr w:type="band1Vert">
      <w:tblPr/>
      <w:tcPr>
        <w:tcBorders>
          <w:top w:val="single" w:sz="8" w:space="0" w:color="8FB08C"/>
          <w:left w:val="single" w:sz="8" w:space="0" w:color="8FB08C"/>
          <w:bottom w:val="single" w:sz="8" w:space="0" w:color="8FB08C"/>
          <w:right w:val="single" w:sz="8" w:space="0" w:color="8FB08C"/>
        </w:tcBorders>
        <w:shd w:val="clear" w:color="auto" w:fill="E3EBE2"/>
      </w:tcPr>
    </w:tblStylePr>
    <w:tblStylePr w:type="band1Horz">
      <w:tblPr/>
      <w:tcPr>
        <w:tcBorders>
          <w:top w:val="single" w:sz="8" w:space="0" w:color="8FB08C"/>
          <w:left w:val="single" w:sz="8" w:space="0" w:color="8FB08C"/>
          <w:bottom w:val="single" w:sz="8" w:space="0" w:color="8FB08C"/>
          <w:right w:val="single" w:sz="8" w:space="0" w:color="8FB08C"/>
          <w:insideV w:val="single" w:sz="8" w:space="0" w:color="8FB08C"/>
        </w:tcBorders>
        <w:shd w:val="clear" w:color="auto" w:fill="E3EBE2"/>
      </w:tcPr>
    </w:tblStylePr>
    <w:tblStylePr w:type="band2Horz">
      <w:tblPr/>
      <w:tcPr>
        <w:tcBorders>
          <w:top w:val="single" w:sz="8" w:space="0" w:color="8FB08C"/>
          <w:left w:val="single" w:sz="8" w:space="0" w:color="8FB08C"/>
          <w:bottom w:val="single" w:sz="8" w:space="0" w:color="8FB08C"/>
          <w:right w:val="single" w:sz="8" w:space="0" w:color="8FB08C"/>
          <w:insideV w:val="single" w:sz="8" w:space="0" w:color="8FB08C"/>
        </w:tcBorders>
      </w:tcPr>
    </w:tblStylePr>
  </w:style>
  <w:style w:type="table" w:customStyle="1" w:styleId="tabelezaifs120">
    <w:name w:val="tabele za ifs12"/>
    <w:basedOn w:val="TableNormal"/>
    <w:uiPriority w:val="99"/>
    <w:qFormat/>
    <w:rsid w:val="00C1281D"/>
    <w:pPr>
      <w:spacing w:after="0" w:line="240" w:lineRule="auto"/>
    </w:pPr>
    <w:rPr>
      <w:rFonts w:ascii="Cambria Math" w:eastAsia="Calibri" w:hAnsi="Cambria Math" w:cs="Times New Roman"/>
      <w:sz w:val="20"/>
      <w:szCs w:val="20"/>
      <w:lang w:val="en-GB" w:eastAsia="en-GB"/>
    </w:rPr>
    <w:tblPr/>
  </w:style>
  <w:style w:type="table" w:customStyle="1" w:styleId="tabelezaifs112">
    <w:name w:val="tabele za ifs 112"/>
    <w:basedOn w:val="TableNormal"/>
    <w:uiPriority w:val="66"/>
    <w:rsid w:val="00C1281D"/>
    <w:pPr>
      <w:spacing w:after="0" w:line="240" w:lineRule="auto"/>
    </w:pPr>
    <w:rPr>
      <w:rFonts w:ascii="Cambria Math" w:eastAsia="Times New Roman" w:hAnsi="Cambria Math" w:cs="Times New Roman"/>
      <w:color w:val="000000"/>
      <w:sz w:val="20"/>
      <w:szCs w:val="20"/>
      <w:lang w:val="en-GB" w:eastAsia="en-GB"/>
    </w:rPr>
    <w:tblPr>
      <w:tblStyleRowBandSize w:val="1"/>
      <w:tblStyleColBandSize w:val="1"/>
      <w:tblBorders>
        <w:top w:val="single" w:sz="8" w:space="0" w:color="8CADAE"/>
        <w:left w:val="single" w:sz="8" w:space="0" w:color="8CADAE"/>
        <w:bottom w:val="single" w:sz="8" w:space="0" w:color="8CADAE"/>
        <w:right w:val="single" w:sz="8" w:space="0" w:color="8CADAE"/>
      </w:tblBorders>
    </w:tblPr>
    <w:tcPr>
      <w:vAlign w:val="bottom"/>
    </w:tcPr>
    <w:tblStylePr w:type="firstRow">
      <w:rPr>
        <w:sz w:val="24"/>
        <w:szCs w:val="24"/>
      </w:rPr>
      <w:tblPr/>
      <w:tcPr>
        <w:tcBorders>
          <w:top w:val="nil"/>
          <w:left w:val="nil"/>
          <w:bottom w:val="single" w:sz="24" w:space="0" w:color="8CADAE"/>
          <w:right w:val="nil"/>
          <w:insideH w:val="nil"/>
          <w:insideV w:val="nil"/>
        </w:tcBorders>
        <w:shd w:val="clear" w:color="auto" w:fill="FFFFFF"/>
      </w:tcPr>
    </w:tblStylePr>
    <w:tblStylePr w:type="lastRow">
      <w:tblPr/>
      <w:tcPr>
        <w:tcBorders>
          <w:top w:val="single" w:sz="8" w:space="0" w:color="8CADAE"/>
          <w:left w:val="nil"/>
          <w:bottom w:val="nil"/>
          <w:right w:val="nil"/>
          <w:insideH w:val="nil"/>
          <w:insideV w:val="nil"/>
        </w:tcBorders>
        <w:shd w:val="clear" w:color="auto" w:fill="FFFFFF"/>
      </w:tcPr>
    </w:tblStylePr>
    <w:tblStylePr w:type="firstCol">
      <w:tblPr/>
      <w:tcPr>
        <w:tcBorders>
          <w:top w:val="nil"/>
          <w:left w:val="nil"/>
          <w:bottom w:val="nil"/>
          <w:right w:val="single" w:sz="8" w:space="0" w:color="8CADAE"/>
          <w:insideH w:val="nil"/>
          <w:insideV w:val="nil"/>
        </w:tcBorders>
        <w:shd w:val="clear" w:color="auto" w:fill="FFFFFF"/>
      </w:tcPr>
    </w:tblStylePr>
    <w:tblStylePr w:type="lastCol">
      <w:tblPr/>
      <w:tcPr>
        <w:tcBorders>
          <w:top w:val="nil"/>
          <w:left w:val="single" w:sz="8" w:space="0" w:color="8CADAE"/>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2EAEB"/>
      </w:tcPr>
    </w:tblStylePr>
    <w:tblStylePr w:type="band1Horz">
      <w:tblPr/>
      <w:tcPr>
        <w:tcBorders>
          <w:top w:val="nil"/>
          <w:bottom w:val="nil"/>
          <w:insideH w:val="nil"/>
          <w:insideV w:val="nil"/>
        </w:tcBorders>
        <w:shd w:val="clear" w:color="auto" w:fill="E2EAEB"/>
      </w:tcPr>
    </w:tblStylePr>
    <w:tblStylePr w:type="nwCell">
      <w:tblPr/>
      <w:tcPr>
        <w:shd w:val="clear" w:color="auto" w:fill="FFFFFF"/>
      </w:tcPr>
    </w:tblStylePr>
    <w:tblStylePr w:type="swCell">
      <w:tblPr/>
      <w:tcPr>
        <w:tcBorders>
          <w:top w:val="nil"/>
        </w:tcBorders>
      </w:tcPr>
    </w:tblStylePr>
  </w:style>
  <w:style w:type="table" w:customStyle="1" w:styleId="ColorfulList-Accent112">
    <w:name w:val="Colorful List - Accent 112"/>
    <w:basedOn w:val="TableNormal"/>
    <w:next w:val="ColorfulList-Accent1"/>
    <w:uiPriority w:val="72"/>
    <w:rsid w:val="00C1281D"/>
    <w:pPr>
      <w:spacing w:after="0" w:line="240" w:lineRule="auto"/>
    </w:pPr>
    <w:rPr>
      <w:rFonts w:ascii="Calibri" w:eastAsia="Calibri" w:hAnsi="Calibri" w:cs="Times New Roman"/>
      <w:color w:val="000000"/>
      <w:sz w:val="20"/>
      <w:szCs w:val="20"/>
      <w:lang w:val="en-GB" w:eastAsia="en-GB"/>
    </w:rPr>
    <w:tblPr>
      <w:tblStyleRowBandSize w:val="1"/>
      <w:tblStyleColBandSize w:val="1"/>
    </w:tblPr>
    <w:tcPr>
      <w:shd w:val="clear" w:color="auto" w:fill="FAEFEC"/>
    </w:tcPr>
    <w:tblStylePr w:type="firstRow">
      <w:rPr>
        <w:b/>
        <w:bCs/>
        <w:color w:val="FFFFFF"/>
      </w:rPr>
      <w:tblPr/>
      <w:tcPr>
        <w:tcBorders>
          <w:bottom w:val="single" w:sz="12" w:space="0" w:color="FFFFFF"/>
        </w:tcBorders>
        <w:shd w:val="clear" w:color="auto" w:fill="A38F00"/>
      </w:tcPr>
    </w:tblStylePr>
    <w:tblStylePr w:type="lastRow">
      <w:rPr>
        <w:b/>
        <w:bCs/>
        <w:color w:val="A38F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3D8D2"/>
      </w:tcPr>
    </w:tblStylePr>
    <w:tblStylePr w:type="band1Horz">
      <w:tblPr/>
      <w:tcPr>
        <w:shd w:val="clear" w:color="auto" w:fill="F5DFDA"/>
      </w:tcPr>
    </w:tblStylePr>
  </w:style>
  <w:style w:type="numbering" w:customStyle="1" w:styleId="NoList212">
    <w:name w:val="No List212"/>
    <w:next w:val="NoList"/>
    <w:uiPriority w:val="99"/>
    <w:semiHidden/>
    <w:unhideWhenUsed/>
    <w:rsid w:val="00C1281D"/>
  </w:style>
  <w:style w:type="table" w:customStyle="1" w:styleId="LightList-Accent3242">
    <w:name w:val="Light List - Accent 3242"/>
    <w:basedOn w:val="TableNormal"/>
    <w:next w:val="LightList-Accent3"/>
    <w:uiPriority w:val="61"/>
    <w:rsid w:val="00C1281D"/>
    <w:pPr>
      <w:spacing w:after="0" w:line="240" w:lineRule="auto"/>
    </w:pPr>
    <w:rPr>
      <w:rFonts w:ascii="Calibri" w:eastAsia="Calibri" w:hAnsi="Calibri" w:cs="Times New Roman"/>
      <w:sz w:val="20"/>
      <w:szCs w:val="20"/>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List-Accent31142">
    <w:name w:val="Light List - Accent 31142"/>
    <w:basedOn w:val="TableNormal"/>
    <w:next w:val="LightList-Accent3"/>
    <w:uiPriority w:val="61"/>
    <w:rsid w:val="00C1281D"/>
    <w:pPr>
      <w:spacing w:after="0" w:line="240" w:lineRule="auto"/>
    </w:pPr>
    <w:rPr>
      <w:rFonts w:ascii="Constantia" w:eastAsia="Constantia" w:hAnsi="Constantia" w:cs="Times New Roman"/>
      <w:lang w:val="sr-Cyrl-CS"/>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Shading-Accent13172">
    <w:name w:val="Light Shading - Accent 13172"/>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182">
    <w:name w:val="Light Shading - Accent 13182"/>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242">
    <w:name w:val="Light Shading - Accent 13242"/>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ele3112">
    <w:name w:val="tabele 3112"/>
    <w:basedOn w:val="TableNormal"/>
    <w:next w:val="LightList-Accent3"/>
    <w:uiPriority w:val="61"/>
    <w:rsid w:val="00C1281D"/>
    <w:pPr>
      <w:spacing w:after="0" w:line="240" w:lineRule="auto"/>
    </w:pPr>
    <w:rPr>
      <w:rFonts w:ascii="Cambria Math" w:eastAsia="Calibri" w:hAnsi="Cambria Math" w:cs="Times New Roman"/>
      <w:sz w:val="18"/>
      <w:lang w:val="sr-Cyrl-C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ghtShading-Accent11112">
    <w:name w:val="Light Shading - Accent 11112"/>
    <w:basedOn w:val="TableNormal"/>
    <w:uiPriority w:val="60"/>
    <w:rsid w:val="00C1281D"/>
    <w:pPr>
      <w:spacing w:after="0" w:line="240" w:lineRule="auto"/>
      <w:ind w:left="568" w:hanging="284"/>
    </w:pPr>
    <w:rPr>
      <w:rFonts w:ascii="Calibri" w:eastAsia="Calibri"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3212">
    <w:name w:val="Light Shading - Accent 3212"/>
    <w:basedOn w:val="TableNormal"/>
    <w:next w:val="LightShading-Accent3"/>
    <w:uiPriority w:val="60"/>
    <w:rsid w:val="00C1281D"/>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List-Accent5212">
    <w:name w:val="Light List - Accent 5212"/>
    <w:basedOn w:val="TableNormal"/>
    <w:next w:val="LightList-Accent5"/>
    <w:uiPriority w:val="61"/>
    <w:rsid w:val="00C1281D"/>
    <w:pPr>
      <w:spacing w:after="0" w:line="240" w:lineRule="auto"/>
    </w:pPr>
    <w:rPr>
      <w:rFonts w:ascii="Calibri" w:eastAsia="Calibri" w:hAnsi="Calibri" w:cs="Times New Roman"/>
      <w:sz w:val="20"/>
      <w:szCs w:val="20"/>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LightShading-Accent31112">
    <w:name w:val="Light Shading - Accent 31112"/>
    <w:basedOn w:val="TableNormal"/>
    <w:next w:val="LightShading-Accent3"/>
    <w:uiPriority w:val="60"/>
    <w:rsid w:val="00C1281D"/>
    <w:pPr>
      <w:spacing w:after="0" w:line="240" w:lineRule="auto"/>
    </w:pPr>
    <w:rPr>
      <w:rFonts w:ascii="Constantia" w:eastAsia="Constantia" w:hAnsi="Constantia" w:cs="Times New Roman"/>
      <w:color w:val="8CADAE"/>
      <w:lang w:val="sr-Cyrl-CS"/>
    </w:rPr>
    <w:tblPr>
      <w:tblStyleRowBandSize w:val="1"/>
      <w:tblStyleColBandSize w:val="1"/>
      <w:tblBorders>
        <w:top w:val="single" w:sz="8" w:space="0" w:color="8CADAE"/>
        <w:bottom w:val="single" w:sz="8" w:space="0" w:color="8CADAE"/>
      </w:tblBorders>
    </w:tblPr>
    <w:tblStylePr w:type="firstRow">
      <w:pPr>
        <w:spacing w:before="0" w:after="0" w:line="240" w:lineRule="auto"/>
      </w:pPr>
      <w:rPr>
        <w:b/>
        <w:bCs/>
      </w:rPr>
      <w:tblPr/>
      <w:tcPr>
        <w:tcBorders>
          <w:top w:val="single" w:sz="8" w:space="0" w:color="8CADAE"/>
          <w:left w:val="nil"/>
          <w:bottom w:val="single" w:sz="8" w:space="0" w:color="8CADAE"/>
          <w:right w:val="nil"/>
          <w:insideH w:val="nil"/>
          <w:insideV w:val="nil"/>
        </w:tcBorders>
      </w:tcPr>
    </w:tblStylePr>
    <w:tblStylePr w:type="lastRow">
      <w:pPr>
        <w:spacing w:before="0" w:after="0" w:line="240" w:lineRule="auto"/>
      </w:pPr>
      <w:rPr>
        <w:b/>
        <w:bCs/>
      </w:rPr>
      <w:tblPr/>
      <w:tcPr>
        <w:tcBorders>
          <w:top w:val="single" w:sz="8" w:space="0" w:color="8CADAE"/>
          <w:left w:val="nil"/>
          <w:bottom w:val="single" w:sz="8" w:space="0" w:color="8CADA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AEB"/>
      </w:tcPr>
    </w:tblStylePr>
    <w:tblStylePr w:type="band1Horz">
      <w:tblPr/>
      <w:tcPr>
        <w:tcBorders>
          <w:left w:val="nil"/>
          <w:right w:val="nil"/>
          <w:insideH w:val="nil"/>
          <w:insideV w:val="nil"/>
        </w:tcBorders>
        <w:shd w:val="clear" w:color="auto" w:fill="E2EAEB"/>
      </w:tcPr>
    </w:tblStylePr>
  </w:style>
  <w:style w:type="table" w:customStyle="1" w:styleId="LightList-Accent31212">
    <w:name w:val="Light List - Accent 31212"/>
    <w:basedOn w:val="TableNormal"/>
    <w:next w:val="LightList-Accent3"/>
    <w:uiPriority w:val="61"/>
    <w:rsid w:val="00C1281D"/>
    <w:pPr>
      <w:spacing w:after="0" w:line="240" w:lineRule="auto"/>
    </w:pPr>
    <w:rPr>
      <w:rFonts w:ascii="Constantia" w:eastAsia="Constantia" w:hAnsi="Constantia" w:cs="Times New Roman"/>
      <w:lang w:val="sr-Cyrl-CS"/>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List-Accent51112">
    <w:name w:val="Light List - Accent 51112"/>
    <w:basedOn w:val="TableNormal"/>
    <w:next w:val="LightList-Accent5"/>
    <w:uiPriority w:val="61"/>
    <w:rsid w:val="00C1281D"/>
    <w:pPr>
      <w:spacing w:after="0" w:line="240" w:lineRule="auto"/>
    </w:pPr>
    <w:rPr>
      <w:rFonts w:ascii="Times New Roman" w:eastAsia="Constantia" w:hAnsi="Times New Roman" w:cs="Times New Roman"/>
      <w:lang w:val="sr-Cyrl-CS"/>
    </w:rPr>
    <w:tblPr>
      <w:tblStyleRowBandSize w:val="1"/>
      <w:tblStyleColBandSize w:val="1"/>
      <w:tblBorders>
        <w:top w:val="single" w:sz="8" w:space="0" w:color="8FB08C"/>
        <w:left w:val="single" w:sz="8" w:space="0" w:color="8FB08C"/>
        <w:bottom w:val="single" w:sz="8" w:space="0" w:color="8FB08C"/>
        <w:right w:val="single" w:sz="8" w:space="0" w:color="8FB08C"/>
      </w:tblBorders>
    </w:tblPr>
    <w:tblStylePr w:type="firstRow">
      <w:pPr>
        <w:spacing w:before="0" w:after="0" w:line="240" w:lineRule="auto"/>
      </w:pPr>
      <w:rPr>
        <w:b/>
        <w:bCs/>
        <w:color w:val="FFFFFF"/>
      </w:rPr>
      <w:tblPr/>
      <w:tcPr>
        <w:shd w:val="clear" w:color="auto" w:fill="8FB08C"/>
      </w:tcPr>
    </w:tblStylePr>
    <w:tblStylePr w:type="lastRow">
      <w:pPr>
        <w:spacing w:before="0" w:after="0" w:line="240" w:lineRule="auto"/>
      </w:pPr>
      <w:rPr>
        <w:b/>
        <w:bCs/>
      </w:rPr>
      <w:tblPr/>
      <w:tcPr>
        <w:tcBorders>
          <w:top w:val="double" w:sz="6" w:space="0" w:color="8FB08C"/>
          <w:left w:val="single" w:sz="8" w:space="0" w:color="8FB08C"/>
          <w:bottom w:val="single" w:sz="8" w:space="0" w:color="8FB08C"/>
          <w:right w:val="single" w:sz="8" w:space="0" w:color="8FB08C"/>
        </w:tcBorders>
      </w:tcPr>
    </w:tblStylePr>
    <w:tblStylePr w:type="firstCol">
      <w:rPr>
        <w:b/>
        <w:bCs/>
      </w:rPr>
    </w:tblStylePr>
    <w:tblStylePr w:type="lastCol">
      <w:rPr>
        <w:b/>
        <w:bCs/>
      </w:rPr>
    </w:tblStylePr>
    <w:tblStylePr w:type="band1Vert">
      <w:tblPr/>
      <w:tcPr>
        <w:tcBorders>
          <w:top w:val="single" w:sz="8" w:space="0" w:color="8FB08C"/>
          <w:left w:val="single" w:sz="8" w:space="0" w:color="8FB08C"/>
          <w:bottom w:val="single" w:sz="8" w:space="0" w:color="8FB08C"/>
          <w:right w:val="single" w:sz="8" w:space="0" w:color="8FB08C"/>
        </w:tcBorders>
      </w:tcPr>
    </w:tblStylePr>
    <w:tblStylePr w:type="band1Horz">
      <w:tblPr/>
      <w:tcPr>
        <w:tcBorders>
          <w:top w:val="single" w:sz="8" w:space="0" w:color="8FB08C"/>
          <w:left w:val="single" w:sz="8" w:space="0" w:color="8FB08C"/>
          <w:bottom w:val="single" w:sz="8" w:space="0" w:color="8FB08C"/>
          <w:right w:val="single" w:sz="8" w:space="0" w:color="8FB08C"/>
        </w:tcBorders>
      </w:tcPr>
    </w:tblStylePr>
  </w:style>
  <w:style w:type="table" w:customStyle="1" w:styleId="LightGrid-Accent51122">
    <w:name w:val="Light Grid - Accent 51122"/>
    <w:basedOn w:val="TableNormal"/>
    <w:next w:val="LightGrid-Accent5"/>
    <w:uiPriority w:val="62"/>
    <w:rsid w:val="00C1281D"/>
    <w:pPr>
      <w:spacing w:after="0" w:line="240" w:lineRule="auto"/>
    </w:pPr>
    <w:rPr>
      <w:rFonts w:ascii="Calibri" w:eastAsia="Calibri" w:hAnsi="Calibri" w:cs="Times New Roman"/>
      <w:sz w:val="20"/>
      <w:szCs w:val="20"/>
      <w:lang w:val="sr-Latn-CS" w:eastAsia="en-GB"/>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Comic Sans MS" w:eastAsia="Times New Roman" w:hAnsi="Comic Sans MS"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omic Sans MS" w:eastAsia="Times New Roman" w:hAnsi="Comic Sans MS"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omic Sans MS" w:eastAsia="Times New Roman" w:hAnsi="Comic Sans MS" w:cs="Times New Roman"/>
        <w:b/>
        <w:bCs/>
      </w:rPr>
    </w:tblStylePr>
    <w:tblStylePr w:type="lastCol">
      <w:rPr>
        <w:rFonts w:ascii="Comic Sans MS" w:eastAsia="Times New Roman" w:hAnsi="Comic Sans MS"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11112">
    <w:name w:val="Светло сенчење – наглашавање 11112"/>
    <w:basedOn w:val="TableNormal"/>
    <w:uiPriority w:val="60"/>
    <w:rsid w:val="00C1281D"/>
    <w:pPr>
      <w:spacing w:after="0" w:line="240" w:lineRule="auto"/>
    </w:pPr>
    <w:rPr>
      <w:rFonts w:ascii="Calibri" w:eastAsia="Calibri" w:hAnsi="Calibri" w:cs="Times New Roman"/>
      <w:color w:val="365F91"/>
      <w:sz w:val="20"/>
      <w:szCs w:val="20"/>
      <w:lang w:val="sr-Latn-CS" w:eastAsia="en-GB"/>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Grid-Accent5222">
    <w:name w:val="Light Grid - Accent 5222"/>
    <w:basedOn w:val="TableNormal"/>
    <w:next w:val="LightGrid-Accent5"/>
    <w:uiPriority w:val="62"/>
    <w:rsid w:val="00C1281D"/>
    <w:pPr>
      <w:spacing w:after="0" w:line="240" w:lineRule="auto"/>
    </w:pPr>
    <w:rPr>
      <w:rFonts w:ascii="Calibri" w:eastAsia="Calibri" w:hAnsi="Calibri" w:cs="Times New Roman"/>
      <w:sz w:val="20"/>
      <w:szCs w:val="20"/>
      <w:lang w:val="en-GB" w:eastAsia="en-GB"/>
    </w:rPr>
    <w:tblPr>
      <w:tblStyleRowBandSize w:val="1"/>
      <w:tblStyleColBandSize w:val="1"/>
      <w:tblBorders>
        <w:top w:val="single" w:sz="8" w:space="0" w:color="8FB08C"/>
        <w:left w:val="single" w:sz="8" w:space="0" w:color="8FB08C"/>
        <w:bottom w:val="single" w:sz="8" w:space="0" w:color="8FB08C"/>
        <w:right w:val="single" w:sz="8" w:space="0" w:color="8FB08C"/>
        <w:insideH w:val="single" w:sz="8" w:space="0" w:color="8FB08C"/>
        <w:insideV w:val="single" w:sz="8" w:space="0" w:color="8FB08C"/>
      </w:tblBorders>
    </w:tblPr>
    <w:tblStylePr w:type="firstRow">
      <w:pPr>
        <w:spacing w:before="0" w:after="0" w:line="240" w:lineRule="auto"/>
      </w:pPr>
      <w:rPr>
        <w:rFonts w:ascii="Comic Sans MS" w:eastAsia="Times New Roman" w:hAnsi="Comic Sans MS" w:cs="Times New Roman"/>
        <w:b/>
        <w:bCs/>
      </w:rPr>
      <w:tblPr/>
      <w:tcPr>
        <w:tcBorders>
          <w:top w:val="single" w:sz="8" w:space="0" w:color="8FB08C"/>
          <w:left w:val="single" w:sz="8" w:space="0" w:color="8FB08C"/>
          <w:bottom w:val="single" w:sz="18" w:space="0" w:color="8FB08C"/>
          <w:right w:val="single" w:sz="8" w:space="0" w:color="8FB08C"/>
          <w:insideH w:val="nil"/>
          <w:insideV w:val="single" w:sz="8" w:space="0" w:color="8FB08C"/>
        </w:tcBorders>
      </w:tcPr>
    </w:tblStylePr>
    <w:tblStylePr w:type="lastRow">
      <w:pPr>
        <w:spacing w:before="0" w:after="0" w:line="240" w:lineRule="auto"/>
      </w:pPr>
      <w:rPr>
        <w:rFonts w:ascii="Comic Sans MS" w:eastAsia="Times New Roman" w:hAnsi="Comic Sans MS" w:cs="Times New Roman"/>
        <w:b/>
        <w:bCs/>
      </w:rPr>
      <w:tblPr/>
      <w:tcPr>
        <w:tcBorders>
          <w:top w:val="double" w:sz="6" w:space="0" w:color="8FB08C"/>
          <w:left w:val="single" w:sz="8" w:space="0" w:color="8FB08C"/>
          <w:bottom w:val="single" w:sz="8" w:space="0" w:color="8FB08C"/>
          <w:right w:val="single" w:sz="8" w:space="0" w:color="8FB08C"/>
          <w:insideH w:val="nil"/>
          <w:insideV w:val="single" w:sz="8" w:space="0" w:color="8FB08C"/>
        </w:tcBorders>
      </w:tcPr>
    </w:tblStylePr>
    <w:tblStylePr w:type="firstCol">
      <w:rPr>
        <w:rFonts w:ascii="Comic Sans MS" w:eastAsia="Times New Roman" w:hAnsi="Comic Sans MS" w:cs="Times New Roman"/>
        <w:b/>
        <w:bCs/>
      </w:rPr>
    </w:tblStylePr>
    <w:tblStylePr w:type="lastCol">
      <w:rPr>
        <w:rFonts w:ascii="Comic Sans MS" w:eastAsia="Times New Roman" w:hAnsi="Comic Sans MS" w:cs="Times New Roman"/>
        <w:b/>
        <w:bCs/>
      </w:rPr>
      <w:tblPr/>
      <w:tcPr>
        <w:tcBorders>
          <w:top w:val="single" w:sz="8" w:space="0" w:color="8FB08C"/>
          <w:left w:val="single" w:sz="8" w:space="0" w:color="8FB08C"/>
          <w:bottom w:val="single" w:sz="8" w:space="0" w:color="8FB08C"/>
          <w:right w:val="single" w:sz="8" w:space="0" w:color="8FB08C"/>
        </w:tcBorders>
      </w:tcPr>
    </w:tblStylePr>
    <w:tblStylePr w:type="band1Vert">
      <w:tblPr/>
      <w:tcPr>
        <w:tcBorders>
          <w:top w:val="single" w:sz="8" w:space="0" w:color="8FB08C"/>
          <w:left w:val="single" w:sz="8" w:space="0" w:color="8FB08C"/>
          <w:bottom w:val="single" w:sz="8" w:space="0" w:color="8FB08C"/>
          <w:right w:val="single" w:sz="8" w:space="0" w:color="8FB08C"/>
        </w:tcBorders>
        <w:shd w:val="clear" w:color="auto" w:fill="E3EBE2"/>
      </w:tcPr>
    </w:tblStylePr>
    <w:tblStylePr w:type="band1Horz">
      <w:tblPr/>
      <w:tcPr>
        <w:tcBorders>
          <w:top w:val="single" w:sz="8" w:space="0" w:color="8FB08C"/>
          <w:left w:val="single" w:sz="8" w:space="0" w:color="8FB08C"/>
          <w:bottom w:val="single" w:sz="8" w:space="0" w:color="8FB08C"/>
          <w:right w:val="single" w:sz="8" w:space="0" w:color="8FB08C"/>
          <w:insideV w:val="single" w:sz="8" w:space="0" w:color="8FB08C"/>
        </w:tcBorders>
        <w:shd w:val="clear" w:color="auto" w:fill="E3EBE2"/>
      </w:tcPr>
    </w:tblStylePr>
    <w:tblStylePr w:type="band2Horz">
      <w:tblPr/>
      <w:tcPr>
        <w:tcBorders>
          <w:top w:val="single" w:sz="8" w:space="0" w:color="8FB08C"/>
          <w:left w:val="single" w:sz="8" w:space="0" w:color="8FB08C"/>
          <w:bottom w:val="single" w:sz="8" w:space="0" w:color="8FB08C"/>
          <w:right w:val="single" w:sz="8" w:space="0" w:color="8FB08C"/>
          <w:insideV w:val="single" w:sz="8" w:space="0" w:color="8FB08C"/>
        </w:tcBorders>
      </w:tcPr>
    </w:tblStylePr>
  </w:style>
  <w:style w:type="table" w:customStyle="1" w:styleId="LightList-Accent32112">
    <w:name w:val="Light List - Accent 32112"/>
    <w:basedOn w:val="TableNormal"/>
    <w:next w:val="LightList-Accent3"/>
    <w:uiPriority w:val="61"/>
    <w:rsid w:val="00C1281D"/>
    <w:pPr>
      <w:spacing w:after="0" w:line="240" w:lineRule="auto"/>
    </w:pPr>
    <w:rPr>
      <w:rFonts w:ascii="Calibri" w:eastAsia="Calibri" w:hAnsi="Calibri" w:cs="Times New Roman"/>
      <w:sz w:val="20"/>
      <w:szCs w:val="20"/>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List-Accent311112">
    <w:name w:val="Light List - Accent 311112"/>
    <w:basedOn w:val="TableNormal"/>
    <w:next w:val="LightList-Accent3"/>
    <w:uiPriority w:val="61"/>
    <w:rsid w:val="00C1281D"/>
    <w:pPr>
      <w:spacing w:after="0" w:line="240" w:lineRule="auto"/>
    </w:pPr>
    <w:rPr>
      <w:rFonts w:ascii="Constantia" w:eastAsia="Constantia" w:hAnsi="Constantia" w:cs="Times New Roman"/>
      <w:lang w:val="sr-Cyrl-CS"/>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Shading-Accent13312">
    <w:name w:val="Light Shading - Accent 13312"/>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1112">
    <w:name w:val="Light Shading - Accent 131112"/>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2112">
    <w:name w:val="Light Shading - Accent 132112"/>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1212">
    <w:name w:val="Light Shading - Accent 11212"/>
    <w:basedOn w:val="TableNormal"/>
    <w:uiPriority w:val="60"/>
    <w:rsid w:val="00C1281D"/>
    <w:pPr>
      <w:spacing w:after="0" w:line="240" w:lineRule="auto"/>
      <w:ind w:left="568" w:hanging="284"/>
    </w:pPr>
    <w:rPr>
      <w:rFonts w:ascii="Calibri" w:eastAsia="Calibri"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412">
    <w:name w:val="Light Shading - Accent 13412"/>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1312">
    <w:name w:val="Light Shading - Accent 11312"/>
    <w:basedOn w:val="TableNormal"/>
    <w:uiPriority w:val="60"/>
    <w:rsid w:val="00C1281D"/>
    <w:pPr>
      <w:spacing w:after="0" w:line="240" w:lineRule="auto"/>
      <w:ind w:left="568" w:hanging="284"/>
    </w:pPr>
    <w:rPr>
      <w:rFonts w:ascii="Calibri" w:eastAsia="Calibri"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512">
    <w:name w:val="Light Shading - Accent 13512"/>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622">
    <w:name w:val="Light Shading - Accent 13622"/>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712">
    <w:name w:val="Light Shading - Accent 13712"/>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ele3212">
    <w:name w:val="tabele 3212"/>
    <w:basedOn w:val="TableNormal"/>
    <w:next w:val="LightList-Accent3"/>
    <w:uiPriority w:val="61"/>
    <w:rsid w:val="00C1281D"/>
    <w:pPr>
      <w:spacing w:after="0" w:line="240" w:lineRule="auto"/>
    </w:pPr>
    <w:rPr>
      <w:rFonts w:ascii="Cambria Math" w:eastAsia="Calibri" w:hAnsi="Cambria Math" w:cs="Times New Roman"/>
      <w:sz w:val="18"/>
      <w:lang w:val="sr-Cyrl-C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ghtShading-Accent11412">
    <w:name w:val="Light Shading - Accent 11412"/>
    <w:basedOn w:val="TableNormal"/>
    <w:uiPriority w:val="60"/>
    <w:rsid w:val="00C1281D"/>
    <w:pPr>
      <w:spacing w:after="0" w:line="240" w:lineRule="auto"/>
      <w:ind w:left="568" w:hanging="284"/>
    </w:pPr>
    <w:rPr>
      <w:rFonts w:ascii="Calibri" w:eastAsia="Calibri"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3342">
    <w:name w:val="Light Shading - Accent 3342"/>
    <w:basedOn w:val="TableNormal"/>
    <w:next w:val="LightShading-Accent3"/>
    <w:uiPriority w:val="60"/>
    <w:rsid w:val="00C1281D"/>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List-Accent5312">
    <w:name w:val="Light List - Accent 5312"/>
    <w:basedOn w:val="TableNormal"/>
    <w:next w:val="LightList-Accent5"/>
    <w:uiPriority w:val="61"/>
    <w:rsid w:val="00C1281D"/>
    <w:pPr>
      <w:spacing w:after="0" w:line="240" w:lineRule="auto"/>
    </w:pPr>
    <w:rPr>
      <w:rFonts w:ascii="Calibri" w:eastAsia="Calibri" w:hAnsi="Calibri" w:cs="Times New Roman"/>
      <w:sz w:val="20"/>
      <w:szCs w:val="20"/>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LightShading-Accent31212">
    <w:name w:val="Light Shading - Accent 31212"/>
    <w:basedOn w:val="TableNormal"/>
    <w:next w:val="LightShading-Accent3"/>
    <w:uiPriority w:val="60"/>
    <w:rsid w:val="00C1281D"/>
    <w:pPr>
      <w:spacing w:after="0" w:line="240" w:lineRule="auto"/>
    </w:pPr>
    <w:rPr>
      <w:rFonts w:ascii="Constantia" w:eastAsia="Constantia" w:hAnsi="Constantia" w:cs="Times New Roman"/>
      <w:color w:val="8CADAE"/>
      <w:lang w:val="sr-Cyrl-CS"/>
    </w:rPr>
    <w:tblPr>
      <w:tblStyleRowBandSize w:val="1"/>
      <w:tblStyleColBandSize w:val="1"/>
      <w:tblBorders>
        <w:top w:val="single" w:sz="8" w:space="0" w:color="8CADAE"/>
        <w:bottom w:val="single" w:sz="8" w:space="0" w:color="8CADAE"/>
      </w:tblBorders>
    </w:tblPr>
    <w:tblStylePr w:type="firstRow">
      <w:pPr>
        <w:spacing w:before="0" w:after="0" w:line="240" w:lineRule="auto"/>
      </w:pPr>
      <w:rPr>
        <w:b/>
        <w:bCs/>
      </w:rPr>
      <w:tblPr/>
      <w:tcPr>
        <w:tcBorders>
          <w:top w:val="single" w:sz="8" w:space="0" w:color="8CADAE"/>
          <w:left w:val="nil"/>
          <w:bottom w:val="single" w:sz="8" w:space="0" w:color="8CADAE"/>
          <w:right w:val="nil"/>
          <w:insideH w:val="nil"/>
          <w:insideV w:val="nil"/>
        </w:tcBorders>
      </w:tcPr>
    </w:tblStylePr>
    <w:tblStylePr w:type="lastRow">
      <w:pPr>
        <w:spacing w:before="0" w:after="0" w:line="240" w:lineRule="auto"/>
      </w:pPr>
      <w:rPr>
        <w:b/>
        <w:bCs/>
      </w:rPr>
      <w:tblPr/>
      <w:tcPr>
        <w:tcBorders>
          <w:top w:val="single" w:sz="8" w:space="0" w:color="8CADAE"/>
          <w:left w:val="nil"/>
          <w:bottom w:val="single" w:sz="8" w:space="0" w:color="8CADA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AEB"/>
      </w:tcPr>
    </w:tblStylePr>
    <w:tblStylePr w:type="band1Horz">
      <w:tblPr/>
      <w:tcPr>
        <w:tcBorders>
          <w:left w:val="nil"/>
          <w:right w:val="nil"/>
          <w:insideH w:val="nil"/>
          <w:insideV w:val="nil"/>
        </w:tcBorders>
        <w:shd w:val="clear" w:color="auto" w:fill="E2EAEB"/>
      </w:tcPr>
    </w:tblStylePr>
  </w:style>
  <w:style w:type="table" w:customStyle="1" w:styleId="LightList-Accent31312">
    <w:name w:val="Light List - Accent 31312"/>
    <w:basedOn w:val="TableNormal"/>
    <w:next w:val="LightList-Accent3"/>
    <w:uiPriority w:val="61"/>
    <w:rsid w:val="00C1281D"/>
    <w:pPr>
      <w:spacing w:after="0" w:line="240" w:lineRule="auto"/>
    </w:pPr>
    <w:rPr>
      <w:rFonts w:ascii="Constantia" w:eastAsia="Constantia" w:hAnsi="Constantia" w:cs="Times New Roman"/>
      <w:lang w:val="sr-Cyrl-CS"/>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List-Accent51212">
    <w:name w:val="Light List - Accent 51212"/>
    <w:basedOn w:val="TableNormal"/>
    <w:next w:val="LightList-Accent5"/>
    <w:uiPriority w:val="61"/>
    <w:rsid w:val="00C1281D"/>
    <w:pPr>
      <w:spacing w:after="0" w:line="240" w:lineRule="auto"/>
    </w:pPr>
    <w:rPr>
      <w:rFonts w:ascii="Times New Roman" w:eastAsia="Constantia" w:hAnsi="Times New Roman" w:cs="Times New Roman"/>
      <w:lang w:val="sr-Cyrl-CS"/>
    </w:rPr>
    <w:tblPr>
      <w:tblStyleRowBandSize w:val="1"/>
      <w:tblStyleColBandSize w:val="1"/>
      <w:tblBorders>
        <w:top w:val="single" w:sz="8" w:space="0" w:color="8FB08C"/>
        <w:left w:val="single" w:sz="8" w:space="0" w:color="8FB08C"/>
        <w:bottom w:val="single" w:sz="8" w:space="0" w:color="8FB08C"/>
        <w:right w:val="single" w:sz="8" w:space="0" w:color="8FB08C"/>
      </w:tblBorders>
    </w:tblPr>
    <w:tblStylePr w:type="firstRow">
      <w:pPr>
        <w:spacing w:before="0" w:after="0" w:line="240" w:lineRule="auto"/>
      </w:pPr>
      <w:rPr>
        <w:b/>
        <w:bCs/>
        <w:color w:val="FFFFFF"/>
      </w:rPr>
      <w:tblPr/>
      <w:tcPr>
        <w:shd w:val="clear" w:color="auto" w:fill="8FB08C"/>
      </w:tcPr>
    </w:tblStylePr>
    <w:tblStylePr w:type="lastRow">
      <w:pPr>
        <w:spacing w:before="0" w:after="0" w:line="240" w:lineRule="auto"/>
      </w:pPr>
      <w:rPr>
        <w:b/>
        <w:bCs/>
      </w:rPr>
      <w:tblPr/>
      <w:tcPr>
        <w:tcBorders>
          <w:top w:val="double" w:sz="6" w:space="0" w:color="8FB08C"/>
          <w:left w:val="single" w:sz="8" w:space="0" w:color="8FB08C"/>
          <w:bottom w:val="single" w:sz="8" w:space="0" w:color="8FB08C"/>
          <w:right w:val="single" w:sz="8" w:space="0" w:color="8FB08C"/>
        </w:tcBorders>
      </w:tcPr>
    </w:tblStylePr>
    <w:tblStylePr w:type="firstCol">
      <w:rPr>
        <w:b/>
        <w:bCs/>
      </w:rPr>
    </w:tblStylePr>
    <w:tblStylePr w:type="lastCol">
      <w:rPr>
        <w:b/>
        <w:bCs/>
      </w:rPr>
    </w:tblStylePr>
    <w:tblStylePr w:type="band1Vert">
      <w:tblPr/>
      <w:tcPr>
        <w:tcBorders>
          <w:top w:val="single" w:sz="8" w:space="0" w:color="8FB08C"/>
          <w:left w:val="single" w:sz="8" w:space="0" w:color="8FB08C"/>
          <w:bottom w:val="single" w:sz="8" w:space="0" w:color="8FB08C"/>
          <w:right w:val="single" w:sz="8" w:space="0" w:color="8FB08C"/>
        </w:tcBorders>
      </w:tcPr>
    </w:tblStylePr>
    <w:tblStylePr w:type="band1Horz">
      <w:tblPr/>
      <w:tcPr>
        <w:tcBorders>
          <w:top w:val="single" w:sz="8" w:space="0" w:color="8FB08C"/>
          <w:left w:val="single" w:sz="8" w:space="0" w:color="8FB08C"/>
          <w:bottom w:val="single" w:sz="8" w:space="0" w:color="8FB08C"/>
          <w:right w:val="single" w:sz="8" w:space="0" w:color="8FB08C"/>
        </w:tcBorders>
      </w:tcPr>
    </w:tblStylePr>
  </w:style>
  <w:style w:type="table" w:customStyle="1" w:styleId="LightGrid-Accent51222">
    <w:name w:val="Light Grid - Accent 51222"/>
    <w:basedOn w:val="TableNormal"/>
    <w:next w:val="LightGrid-Accent5"/>
    <w:uiPriority w:val="62"/>
    <w:rsid w:val="00C1281D"/>
    <w:pPr>
      <w:spacing w:after="0" w:line="240" w:lineRule="auto"/>
    </w:pPr>
    <w:rPr>
      <w:rFonts w:ascii="Calibri" w:eastAsia="Calibri" w:hAnsi="Calibri" w:cs="Times New Roman"/>
      <w:sz w:val="20"/>
      <w:szCs w:val="20"/>
      <w:lang w:val="sr-Latn-CS" w:eastAsia="en-GB"/>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Comic Sans MS" w:eastAsia="Times New Roman" w:hAnsi="Comic Sans MS"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omic Sans MS" w:eastAsia="Times New Roman" w:hAnsi="Comic Sans MS"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omic Sans MS" w:eastAsia="Times New Roman" w:hAnsi="Comic Sans MS" w:cs="Times New Roman"/>
        <w:b/>
        <w:bCs/>
      </w:rPr>
    </w:tblStylePr>
    <w:tblStylePr w:type="lastCol">
      <w:rPr>
        <w:rFonts w:ascii="Comic Sans MS" w:eastAsia="Times New Roman" w:hAnsi="Comic Sans MS"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11212">
    <w:name w:val="Светло сенчење – наглашавање 11212"/>
    <w:basedOn w:val="TableNormal"/>
    <w:uiPriority w:val="60"/>
    <w:rsid w:val="00C1281D"/>
    <w:pPr>
      <w:spacing w:after="0" w:line="240" w:lineRule="auto"/>
    </w:pPr>
    <w:rPr>
      <w:rFonts w:ascii="Calibri" w:eastAsia="Calibri" w:hAnsi="Calibri" w:cs="Times New Roman"/>
      <w:color w:val="365F91"/>
      <w:sz w:val="20"/>
      <w:szCs w:val="20"/>
      <w:lang w:val="sr-Latn-CS" w:eastAsia="en-GB"/>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Grid-Accent5322">
    <w:name w:val="Light Grid - Accent 5322"/>
    <w:basedOn w:val="TableNormal"/>
    <w:next w:val="LightGrid-Accent5"/>
    <w:uiPriority w:val="62"/>
    <w:rsid w:val="00C1281D"/>
    <w:pPr>
      <w:spacing w:after="0" w:line="240" w:lineRule="auto"/>
    </w:pPr>
    <w:rPr>
      <w:rFonts w:ascii="Calibri" w:eastAsia="Calibri" w:hAnsi="Calibri" w:cs="Times New Roman"/>
      <w:sz w:val="20"/>
      <w:szCs w:val="20"/>
      <w:lang w:val="en-GB" w:eastAsia="en-GB"/>
    </w:rPr>
    <w:tblPr>
      <w:tblStyleRowBandSize w:val="1"/>
      <w:tblStyleColBandSize w:val="1"/>
      <w:tblBorders>
        <w:top w:val="single" w:sz="8" w:space="0" w:color="8FB08C"/>
        <w:left w:val="single" w:sz="8" w:space="0" w:color="8FB08C"/>
        <w:bottom w:val="single" w:sz="8" w:space="0" w:color="8FB08C"/>
        <w:right w:val="single" w:sz="8" w:space="0" w:color="8FB08C"/>
        <w:insideH w:val="single" w:sz="8" w:space="0" w:color="8FB08C"/>
        <w:insideV w:val="single" w:sz="8" w:space="0" w:color="8FB08C"/>
      </w:tblBorders>
    </w:tblPr>
    <w:tblStylePr w:type="firstRow">
      <w:pPr>
        <w:spacing w:before="0" w:after="0" w:line="240" w:lineRule="auto"/>
      </w:pPr>
      <w:rPr>
        <w:rFonts w:ascii="Comic Sans MS" w:eastAsia="Times New Roman" w:hAnsi="Comic Sans MS" w:cs="Times New Roman"/>
        <w:b/>
        <w:bCs/>
      </w:rPr>
      <w:tblPr/>
      <w:tcPr>
        <w:tcBorders>
          <w:top w:val="single" w:sz="8" w:space="0" w:color="8FB08C"/>
          <w:left w:val="single" w:sz="8" w:space="0" w:color="8FB08C"/>
          <w:bottom w:val="single" w:sz="18" w:space="0" w:color="8FB08C"/>
          <w:right w:val="single" w:sz="8" w:space="0" w:color="8FB08C"/>
          <w:insideH w:val="nil"/>
          <w:insideV w:val="single" w:sz="8" w:space="0" w:color="8FB08C"/>
        </w:tcBorders>
      </w:tcPr>
    </w:tblStylePr>
    <w:tblStylePr w:type="lastRow">
      <w:pPr>
        <w:spacing w:before="0" w:after="0" w:line="240" w:lineRule="auto"/>
      </w:pPr>
      <w:rPr>
        <w:rFonts w:ascii="Comic Sans MS" w:eastAsia="Times New Roman" w:hAnsi="Comic Sans MS" w:cs="Times New Roman"/>
        <w:b/>
        <w:bCs/>
      </w:rPr>
      <w:tblPr/>
      <w:tcPr>
        <w:tcBorders>
          <w:top w:val="double" w:sz="6" w:space="0" w:color="8FB08C"/>
          <w:left w:val="single" w:sz="8" w:space="0" w:color="8FB08C"/>
          <w:bottom w:val="single" w:sz="8" w:space="0" w:color="8FB08C"/>
          <w:right w:val="single" w:sz="8" w:space="0" w:color="8FB08C"/>
          <w:insideH w:val="nil"/>
          <w:insideV w:val="single" w:sz="8" w:space="0" w:color="8FB08C"/>
        </w:tcBorders>
      </w:tcPr>
    </w:tblStylePr>
    <w:tblStylePr w:type="firstCol">
      <w:rPr>
        <w:rFonts w:ascii="Comic Sans MS" w:eastAsia="Times New Roman" w:hAnsi="Comic Sans MS" w:cs="Times New Roman"/>
        <w:b/>
        <w:bCs/>
      </w:rPr>
    </w:tblStylePr>
    <w:tblStylePr w:type="lastCol">
      <w:rPr>
        <w:rFonts w:ascii="Comic Sans MS" w:eastAsia="Times New Roman" w:hAnsi="Comic Sans MS" w:cs="Times New Roman"/>
        <w:b/>
        <w:bCs/>
      </w:rPr>
      <w:tblPr/>
      <w:tcPr>
        <w:tcBorders>
          <w:top w:val="single" w:sz="8" w:space="0" w:color="8FB08C"/>
          <w:left w:val="single" w:sz="8" w:space="0" w:color="8FB08C"/>
          <w:bottom w:val="single" w:sz="8" w:space="0" w:color="8FB08C"/>
          <w:right w:val="single" w:sz="8" w:space="0" w:color="8FB08C"/>
        </w:tcBorders>
      </w:tcPr>
    </w:tblStylePr>
    <w:tblStylePr w:type="band1Vert">
      <w:tblPr/>
      <w:tcPr>
        <w:tcBorders>
          <w:top w:val="single" w:sz="8" w:space="0" w:color="8FB08C"/>
          <w:left w:val="single" w:sz="8" w:space="0" w:color="8FB08C"/>
          <w:bottom w:val="single" w:sz="8" w:space="0" w:color="8FB08C"/>
          <w:right w:val="single" w:sz="8" w:space="0" w:color="8FB08C"/>
        </w:tcBorders>
        <w:shd w:val="clear" w:color="auto" w:fill="E3EBE2"/>
      </w:tcPr>
    </w:tblStylePr>
    <w:tblStylePr w:type="band1Horz">
      <w:tblPr/>
      <w:tcPr>
        <w:tcBorders>
          <w:top w:val="single" w:sz="8" w:space="0" w:color="8FB08C"/>
          <w:left w:val="single" w:sz="8" w:space="0" w:color="8FB08C"/>
          <w:bottom w:val="single" w:sz="8" w:space="0" w:color="8FB08C"/>
          <w:right w:val="single" w:sz="8" w:space="0" w:color="8FB08C"/>
          <w:insideV w:val="single" w:sz="8" w:space="0" w:color="8FB08C"/>
        </w:tcBorders>
        <w:shd w:val="clear" w:color="auto" w:fill="E3EBE2"/>
      </w:tcPr>
    </w:tblStylePr>
    <w:tblStylePr w:type="band2Horz">
      <w:tblPr/>
      <w:tcPr>
        <w:tcBorders>
          <w:top w:val="single" w:sz="8" w:space="0" w:color="8FB08C"/>
          <w:left w:val="single" w:sz="8" w:space="0" w:color="8FB08C"/>
          <w:bottom w:val="single" w:sz="8" w:space="0" w:color="8FB08C"/>
          <w:right w:val="single" w:sz="8" w:space="0" w:color="8FB08C"/>
          <w:insideV w:val="single" w:sz="8" w:space="0" w:color="8FB08C"/>
        </w:tcBorders>
      </w:tcPr>
    </w:tblStylePr>
  </w:style>
  <w:style w:type="table" w:customStyle="1" w:styleId="LightList-Accent32212">
    <w:name w:val="Light List - Accent 32212"/>
    <w:basedOn w:val="TableNormal"/>
    <w:next w:val="LightList-Accent3"/>
    <w:uiPriority w:val="61"/>
    <w:rsid w:val="00C1281D"/>
    <w:pPr>
      <w:spacing w:after="0" w:line="240" w:lineRule="auto"/>
    </w:pPr>
    <w:rPr>
      <w:rFonts w:ascii="Calibri" w:eastAsia="Calibri" w:hAnsi="Calibri" w:cs="Times New Roman"/>
      <w:sz w:val="20"/>
      <w:szCs w:val="20"/>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List-Accent311212">
    <w:name w:val="Light List - Accent 311212"/>
    <w:basedOn w:val="TableNormal"/>
    <w:next w:val="LightList-Accent3"/>
    <w:uiPriority w:val="61"/>
    <w:rsid w:val="00C1281D"/>
    <w:pPr>
      <w:spacing w:after="0" w:line="240" w:lineRule="auto"/>
    </w:pPr>
    <w:rPr>
      <w:rFonts w:ascii="Constantia" w:eastAsia="Constantia" w:hAnsi="Constantia" w:cs="Times New Roman"/>
      <w:lang w:val="sr-Cyrl-CS"/>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Shading-Accent13822">
    <w:name w:val="Light Shading - Accent 13822"/>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1212">
    <w:name w:val="Light Shading - Accent 131212"/>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2212">
    <w:name w:val="Light Shading - Accent 132212"/>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1512">
    <w:name w:val="Light Shading - Accent 11512"/>
    <w:basedOn w:val="TableNormal"/>
    <w:uiPriority w:val="60"/>
    <w:rsid w:val="00C1281D"/>
    <w:pPr>
      <w:spacing w:after="0" w:line="240" w:lineRule="auto"/>
      <w:ind w:left="568" w:hanging="284"/>
    </w:pPr>
    <w:rPr>
      <w:rFonts w:ascii="Calibri" w:eastAsia="Calibri"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922">
    <w:name w:val="Light Shading - Accent 13922"/>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1622">
    <w:name w:val="Light Shading - Accent 11622"/>
    <w:basedOn w:val="TableNormal"/>
    <w:uiPriority w:val="60"/>
    <w:rsid w:val="00C1281D"/>
    <w:pPr>
      <w:spacing w:after="0" w:line="240" w:lineRule="auto"/>
      <w:ind w:left="568" w:hanging="284"/>
    </w:pPr>
    <w:rPr>
      <w:rFonts w:ascii="Calibri" w:eastAsia="Calibri"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1022">
    <w:name w:val="Light Shading - Accent 131022"/>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1312">
    <w:name w:val="Light Shading - Accent 131312"/>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ele3312">
    <w:name w:val="tabele 3312"/>
    <w:basedOn w:val="TableNormal"/>
    <w:next w:val="LightList-Accent3"/>
    <w:uiPriority w:val="61"/>
    <w:rsid w:val="00C1281D"/>
    <w:pPr>
      <w:spacing w:after="0" w:line="240" w:lineRule="auto"/>
    </w:pPr>
    <w:rPr>
      <w:rFonts w:ascii="Cambria Math" w:eastAsia="Calibri" w:hAnsi="Cambria Math" w:cs="Times New Roman"/>
      <w:sz w:val="18"/>
      <w:lang w:val="sr-Cyrl-C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ghtShading-Accent11712">
    <w:name w:val="Light Shading - Accent 11712"/>
    <w:basedOn w:val="TableNormal"/>
    <w:uiPriority w:val="60"/>
    <w:rsid w:val="00C1281D"/>
    <w:pPr>
      <w:spacing w:after="0" w:line="240" w:lineRule="auto"/>
      <w:ind w:left="568" w:hanging="284"/>
    </w:pPr>
    <w:rPr>
      <w:rFonts w:ascii="Calibri" w:eastAsia="Calibri"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3432">
    <w:name w:val="Light Shading - Accent 3432"/>
    <w:basedOn w:val="TableNormal"/>
    <w:next w:val="LightShading-Accent3"/>
    <w:uiPriority w:val="60"/>
    <w:rsid w:val="00C1281D"/>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List-Accent5412">
    <w:name w:val="Light List - Accent 5412"/>
    <w:basedOn w:val="TableNormal"/>
    <w:next w:val="LightList-Accent5"/>
    <w:uiPriority w:val="61"/>
    <w:rsid w:val="00C1281D"/>
    <w:pPr>
      <w:spacing w:after="0" w:line="240" w:lineRule="auto"/>
    </w:pPr>
    <w:rPr>
      <w:rFonts w:ascii="Calibri" w:eastAsia="Calibri" w:hAnsi="Calibri" w:cs="Times New Roman"/>
      <w:sz w:val="20"/>
      <w:szCs w:val="20"/>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LightShading-Accent31312">
    <w:name w:val="Light Shading - Accent 31312"/>
    <w:basedOn w:val="TableNormal"/>
    <w:next w:val="LightShading-Accent3"/>
    <w:uiPriority w:val="60"/>
    <w:rsid w:val="00C1281D"/>
    <w:pPr>
      <w:spacing w:after="0" w:line="240" w:lineRule="auto"/>
    </w:pPr>
    <w:rPr>
      <w:rFonts w:ascii="Constantia" w:eastAsia="Constantia" w:hAnsi="Constantia" w:cs="Times New Roman"/>
      <w:color w:val="8CADAE"/>
      <w:lang w:val="sr-Cyrl-CS"/>
    </w:rPr>
    <w:tblPr>
      <w:tblStyleRowBandSize w:val="1"/>
      <w:tblStyleColBandSize w:val="1"/>
      <w:tblBorders>
        <w:top w:val="single" w:sz="8" w:space="0" w:color="8CADAE"/>
        <w:bottom w:val="single" w:sz="8" w:space="0" w:color="8CADAE"/>
      </w:tblBorders>
    </w:tblPr>
    <w:tblStylePr w:type="firstRow">
      <w:pPr>
        <w:spacing w:before="0" w:after="0" w:line="240" w:lineRule="auto"/>
      </w:pPr>
      <w:rPr>
        <w:b/>
        <w:bCs/>
      </w:rPr>
      <w:tblPr/>
      <w:tcPr>
        <w:tcBorders>
          <w:top w:val="single" w:sz="8" w:space="0" w:color="8CADAE"/>
          <w:left w:val="nil"/>
          <w:bottom w:val="single" w:sz="8" w:space="0" w:color="8CADAE"/>
          <w:right w:val="nil"/>
          <w:insideH w:val="nil"/>
          <w:insideV w:val="nil"/>
        </w:tcBorders>
      </w:tcPr>
    </w:tblStylePr>
    <w:tblStylePr w:type="lastRow">
      <w:pPr>
        <w:spacing w:before="0" w:after="0" w:line="240" w:lineRule="auto"/>
      </w:pPr>
      <w:rPr>
        <w:b/>
        <w:bCs/>
      </w:rPr>
      <w:tblPr/>
      <w:tcPr>
        <w:tcBorders>
          <w:top w:val="single" w:sz="8" w:space="0" w:color="8CADAE"/>
          <w:left w:val="nil"/>
          <w:bottom w:val="single" w:sz="8" w:space="0" w:color="8CADA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AEB"/>
      </w:tcPr>
    </w:tblStylePr>
    <w:tblStylePr w:type="band1Horz">
      <w:tblPr/>
      <w:tcPr>
        <w:tcBorders>
          <w:left w:val="nil"/>
          <w:right w:val="nil"/>
          <w:insideH w:val="nil"/>
          <w:insideV w:val="nil"/>
        </w:tcBorders>
        <w:shd w:val="clear" w:color="auto" w:fill="E2EAEB"/>
      </w:tcPr>
    </w:tblStylePr>
  </w:style>
  <w:style w:type="table" w:customStyle="1" w:styleId="LightList-Accent31412">
    <w:name w:val="Light List - Accent 31412"/>
    <w:basedOn w:val="TableNormal"/>
    <w:next w:val="LightList-Accent3"/>
    <w:uiPriority w:val="61"/>
    <w:rsid w:val="00C1281D"/>
    <w:pPr>
      <w:spacing w:after="0" w:line="240" w:lineRule="auto"/>
    </w:pPr>
    <w:rPr>
      <w:rFonts w:ascii="Constantia" w:eastAsia="Constantia" w:hAnsi="Constantia" w:cs="Times New Roman"/>
      <w:lang w:val="sr-Cyrl-CS"/>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List-Accent51312">
    <w:name w:val="Light List - Accent 51312"/>
    <w:basedOn w:val="TableNormal"/>
    <w:next w:val="LightList-Accent5"/>
    <w:uiPriority w:val="61"/>
    <w:rsid w:val="00C1281D"/>
    <w:pPr>
      <w:spacing w:after="0" w:line="240" w:lineRule="auto"/>
    </w:pPr>
    <w:rPr>
      <w:rFonts w:ascii="Times New Roman" w:eastAsia="Constantia" w:hAnsi="Times New Roman" w:cs="Times New Roman"/>
      <w:lang w:val="sr-Cyrl-CS"/>
    </w:rPr>
    <w:tblPr>
      <w:tblStyleRowBandSize w:val="1"/>
      <w:tblStyleColBandSize w:val="1"/>
      <w:tblBorders>
        <w:top w:val="single" w:sz="8" w:space="0" w:color="8FB08C"/>
        <w:left w:val="single" w:sz="8" w:space="0" w:color="8FB08C"/>
        <w:bottom w:val="single" w:sz="8" w:space="0" w:color="8FB08C"/>
        <w:right w:val="single" w:sz="8" w:space="0" w:color="8FB08C"/>
      </w:tblBorders>
    </w:tblPr>
    <w:tblStylePr w:type="firstRow">
      <w:pPr>
        <w:spacing w:before="0" w:after="0" w:line="240" w:lineRule="auto"/>
      </w:pPr>
      <w:rPr>
        <w:b/>
        <w:bCs/>
        <w:color w:val="FFFFFF"/>
      </w:rPr>
      <w:tblPr/>
      <w:tcPr>
        <w:shd w:val="clear" w:color="auto" w:fill="8FB08C"/>
      </w:tcPr>
    </w:tblStylePr>
    <w:tblStylePr w:type="lastRow">
      <w:pPr>
        <w:spacing w:before="0" w:after="0" w:line="240" w:lineRule="auto"/>
      </w:pPr>
      <w:rPr>
        <w:b/>
        <w:bCs/>
      </w:rPr>
      <w:tblPr/>
      <w:tcPr>
        <w:tcBorders>
          <w:top w:val="double" w:sz="6" w:space="0" w:color="8FB08C"/>
          <w:left w:val="single" w:sz="8" w:space="0" w:color="8FB08C"/>
          <w:bottom w:val="single" w:sz="8" w:space="0" w:color="8FB08C"/>
          <w:right w:val="single" w:sz="8" w:space="0" w:color="8FB08C"/>
        </w:tcBorders>
      </w:tcPr>
    </w:tblStylePr>
    <w:tblStylePr w:type="firstCol">
      <w:rPr>
        <w:b/>
        <w:bCs/>
      </w:rPr>
    </w:tblStylePr>
    <w:tblStylePr w:type="lastCol">
      <w:rPr>
        <w:b/>
        <w:bCs/>
      </w:rPr>
    </w:tblStylePr>
    <w:tblStylePr w:type="band1Vert">
      <w:tblPr/>
      <w:tcPr>
        <w:tcBorders>
          <w:top w:val="single" w:sz="8" w:space="0" w:color="8FB08C"/>
          <w:left w:val="single" w:sz="8" w:space="0" w:color="8FB08C"/>
          <w:bottom w:val="single" w:sz="8" w:space="0" w:color="8FB08C"/>
          <w:right w:val="single" w:sz="8" w:space="0" w:color="8FB08C"/>
        </w:tcBorders>
      </w:tcPr>
    </w:tblStylePr>
    <w:tblStylePr w:type="band1Horz">
      <w:tblPr/>
      <w:tcPr>
        <w:tcBorders>
          <w:top w:val="single" w:sz="8" w:space="0" w:color="8FB08C"/>
          <w:left w:val="single" w:sz="8" w:space="0" w:color="8FB08C"/>
          <w:bottom w:val="single" w:sz="8" w:space="0" w:color="8FB08C"/>
          <w:right w:val="single" w:sz="8" w:space="0" w:color="8FB08C"/>
        </w:tcBorders>
      </w:tcPr>
    </w:tblStylePr>
  </w:style>
  <w:style w:type="table" w:customStyle="1" w:styleId="LightGrid-Accent51322">
    <w:name w:val="Light Grid - Accent 51322"/>
    <w:basedOn w:val="TableNormal"/>
    <w:next w:val="LightGrid-Accent5"/>
    <w:uiPriority w:val="62"/>
    <w:rsid w:val="00C1281D"/>
    <w:pPr>
      <w:spacing w:after="0" w:line="240" w:lineRule="auto"/>
    </w:pPr>
    <w:rPr>
      <w:rFonts w:ascii="Calibri" w:eastAsia="Calibri" w:hAnsi="Calibri" w:cs="Times New Roman"/>
      <w:sz w:val="20"/>
      <w:szCs w:val="20"/>
      <w:lang w:val="sr-Latn-CS" w:eastAsia="en-GB"/>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Comic Sans MS" w:eastAsia="Times New Roman" w:hAnsi="Comic Sans MS"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omic Sans MS" w:eastAsia="Times New Roman" w:hAnsi="Comic Sans MS"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omic Sans MS" w:eastAsia="Times New Roman" w:hAnsi="Comic Sans MS" w:cs="Times New Roman"/>
        <w:b/>
        <w:bCs/>
      </w:rPr>
    </w:tblStylePr>
    <w:tblStylePr w:type="lastCol">
      <w:rPr>
        <w:rFonts w:ascii="Comic Sans MS" w:eastAsia="Times New Roman" w:hAnsi="Comic Sans MS"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11312">
    <w:name w:val="Светло сенчење – наглашавање 11312"/>
    <w:basedOn w:val="TableNormal"/>
    <w:uiPriority w:val="60"/>
    <w:rsid w:val="00C1281D"/>
    <w:pPr>
      <w:spacing w:after="0" w:line="240" w:lineRule="auto"/>
    </w:pPr>
    <w:rPr>
      <w:rFonts w:ascii="Calibri" w:eastAsia="Calibri" w:hAnsi="Calibri" w:cs="Times New Roman"/>
      <w:color w:val="365F91"/>
      <w:sz w:val="20"/>
      <w:szCs w:val="20"/>
      <w:lang w:val="sr-Latn-CS" w:eastAsia="en-GB"/>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Grid-Accent5422">
    <w:name w:val="Light Grid - Accent 5422"/>
    <w:basedOn w:val="TableNormal"/>
    <w:next w:val="LightGrid-Accent5"/>
    <w:uiPriority w:val="62"/>
    <w:rsid w:val="00C1281D"/>
    <w:pPr>
      <w:spacing w:after="0" w:line="240" w:lineRule="auto"/>
    </w:pPr>
    <w:rPr>
      <w:rFonts w:ascii="Calibri" w:eastAsia="Calibri" w:hAnsi="Calibri" w:cs="Times New Roman"/>
      <w:sz w:val="20"/>
      <w:szCs w:val="20"/>
      <w:lang w:val="en-GB" w:eastAsia="en-GB"/>
    </w:rPr>
    <w:tblPr>
      <w:tblStyleRowBandSize w:val="1"/>
      <w:tblStyleColBandSize w:val="1"/>
      <w:tblBorders>
        <w:top w:val="single" w:sz="8" w:space="0" w:color="8FB08C"/>
        <w:left w:val="single" w:sz="8" w:space="0" w:color="8FB08C"/>
        <w:bottom w:val="single" w:sz="8" w:space="0" w:color="8FB08C"/>
        <w:right w:val="single" w:sz="8" w:space="0" w:color="8FB08C"/>
        <w:insideH w:val="single" w:sz="8" w:space="0" w:color="8FB08C"/>
        <w:insideV w:val="single" w:sz="8" w:space="0" w:color="8FB08C"/>
      </w:tblBorders>
    </w:tblPr>
    <w:tblStylePr w:type="firstRow">
      <w:pPr>
        <w:spacing w:before="0" w:after="0" w:line="240" w:lineRule="auto"/>
      </w:pPr>
      <w:rPr>
        <w:rFonts w:ascii="Comic Sans MS" w:eastAsia="Times New Roman" w:hAnsi="Comic Sans MS" w:cs="Times New Roman"/>
        <w:b/>
        <w:bCs/>
      </w:rPr>
      <w:tblPr/>
      <w:tcPr>
        <w:tcBorders>
          <w:top w:val="single" w:sz="8" w:space="0" w:color="8FB08C"/>
          <w:left w:val="single" w:sz="8" w:space="0" w:color="8FB08C"/>
          <w:bottom w:val="single" w:sz="18" w:space="0" w:color="8FB08C"/>
          <w:right w:val="single" w:sz="8" w:space="0" w:color="8FB08C"/>
          <w:insideH w:val="nil"/>
          <w:insideV w:val="single" w:sz="8" w:space="0" w:color="8FB08C"/>
        </w:tcBorders>
      </w:tcPr>
    </w:tblStylePr>
    <w:tblStylePr w:type="lastRow">
      <w:pPr>
        <w:spacing w:before="0" w:after="0" w:line="240" w:lineRule="auto"/>
      </w:pPr>
      <w:rPr>
        <w:rFonts w:ascii="Comic Sans MS" w:eastAsia="Times New Roman" w:hAnsi="Comic Sans MS" w:cs="Times New Roman"/>
        <w:b/>
        <w:bCs/>
      </w:rPr>
      <w:tblPr/>
      <w:tcPr>
        <w:tcBorders>
          <w:top w:val="double" w:sz="6" w:space="0" w:color="8FB08C"/>
          <w:left w:val="single" w:sz="8" w:space="0" w:color="8FB08C"/>
          <w:bottom w:val="single" w:sz="8" w:space="0" w:color="8FB08C"/>
          <w:right w:val="single" w:sz="8" w:space="0" w:color="8FB08C"/>
          <w:insideH w:val="nil"/>
          <w:insideV w:val="single" w:sz="8" w:space="0" w:color="8FB08C"/>
        </w:tcBorders>
      </w:tcPr>
    </w:tblStylePr>
    <w:tblStylePr w:type="firstCol">
      <w:rPr>
        <w:rFonts w:ascii="Comic Sans MS" w:eastAsia="Times New Roman" w:hAnsi="Comic Sans MS" w:cs="Times New Roman"/>
        <w:b/>
        <w:bCs/>
      </w:rPr>
    </w:tblStylePr>
    <w:tblStylePr w:type="lastCol">
      <w:rPr>
        <w:rFonts w:ascii="Comic Sans MS" w:eastAsia="Times New Roman" w:hAnsi="Comic Sans MS" w:cs="Times New Roman"/>
        <w:b/>
        <w:bCs/>
      </w:rPr>
      <w:tblPr/>
      <w:tcPr>
        <w:tcBorders>
          <w:top w:val="single" w:sz="8" w:space="0" w:color="8FB08C"/>
          <w:left w:val="single" w:sz="8" w:space="0" w:color="8FB08C"/>
          <w:bottom w:val="single" w:sz="8" w:space="0" w:color="8FB08C"/>
          <w:right w:val="single" w:sz="8" w:space="0" w:color="8FB08C"/>
        </w:tcBorders>
      </w:tcPr>
    </w:tblStylePr>
    <w:tblStylePr w:type="band1Vert">
      <w:tblPr/>
      <w:tcPr>
        <w:tcBorders>
          <w:top w:val="single" w:sz="8" w:space="0" w:color="8FB08C"/>
          <w:left w:val="single" w:sz="8" w:space="0" w:color="8FB08C"/>
          <w:bottom w:val="single" w:sz="8" w:space="0" w:color="8FB08C"/>
          <w:right w:val="single" w:sz="8" w:space="0" w:color="8FB08C"/>
        </w:tcBorders>
        <w:shd w:val="clear" w:color="auto" w:fill="E3EBE2"/>
      </w:tcPr>
    </w:tblStylePr>
    <w:tblStylePr w:type="band1Horz">
      <w:tblPr/>
      <w:tcPr>
        <w:tcBorders>
          <w:top w:val="single" w:sz="8" w:space="0" w:color="8FB08C"/>
          <w:left w:val="single" w:sz="8" w:space="0" w:color="8FB08C"/>
          <w:bottom w:val="single" w:sz="8" w:space="0" w:color="8FB08C"/>
          <w:right w:val="single" w:sz="8" w:space="0" w:color="8FB08C"/>
          <w:insideV w:val="single" w:sz="8" w:space="0" w:color="8FB08C"/>
        </w:tcBorders>
        <w:shd w:val="clear" w:color="auto" w:fill="E3EBE2"/>
      </w:tcPr>
    </w:tblStylePr>
    <w:tblStylePr w:type="band2Horz">
      <w:tblPr/>
      <w:tcPr>
        <w:tcBorders>
          <w:top w:val="single" w:sz="8" w:space="0" w:color="8FB08C"/>
          <w:left w:val="single" w:sz="8" w:space="0" w:color="8FB08C"/>
          <w:bottom w:val="single" w:sz="8" w:space="0" w:color="8FB08C"/>
          <w:right w:val="single" w:sz="8" w:space="0" w:color="8FB08C"/>
          <w:insideV w:val="single" w:sz="8" w:space="0" w:color="8FB08C"/>
        </w:tcBorders>
      </w:tcPr>
    </w:tblStylePr>
  </w:style>
  <w:style w:type="table" w:customStyle="1" w:styleId="LightShading-Accent12312">
    <w:name w:val="Light Shading - Accent 12312"/>
    <w:basedOn w:val="TableNormal"/>
    <w:uiPriority w:val="60"/>
    <w:rsid w:val="00C1281D"/>
    <w:pPr>
      <w:spacing w:after="0" w:line="240"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List-Accent32312">
    <w:name w:val="Light List - Accent 32312"/>
    <w:basedOn w:val="TableNormal"/>
    <w:next w:val="LightList-Accent3"/>
    <w:uiPriority w:val="61"/>
    <w:rsid w:val="00C1281D"/>
    <w:pPr>
      <w:spacing w:after="0" w:line="240" w:lineRule="auto"/>
    </w:pPr>
    <w:rPr>
      <w:rFonts w:ascii="Calibri" w:eastAsia="Calibri" w:hAnsi="Calibri" w:cs="Times New Roman"/>
      <w:sz w:val="20"/>
      <w:szCs w:val="20"/>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List-Accent311312">
    <w:name w:val="Light List - Accent 311312"/>
    <w:basedOn w:val="TableNormal"/>
    <w:next w:val="LightList-Accent3"/>
    <w:uiPriority w:val="61"/>
    <w:rsid w:val="00C1281D"/>
    <w:pPr>
      <w:spacing w:after="0" w:line="240" w:lineRule="auto"/>
    </w:pPr>
    <w:rPr>
      <w:rFonts w:ascii="Constantia" w:eastAsia="Constantia" w:hAnsi="Constantia" w:cs="Times New Roman"/>
      <w:lang w:val="sr-Cyrl-CS"/>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Shading-Accent131412">
    <w:name w:val="Light Shading - Accent 131412"/>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1512">
    <w:name w:val="Light Shading - Accent 131512"/>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2312">
    <w:name w:val="Light Shading - Accent 132312"/>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1612">
    <w:name w:val="Light Shading - Accent 131612"/>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8112">
    <w:name w:val="Light Shading - Accent 138112"/>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1812">
    <w:name w:val="Light Shading - Accent 11812"/>
    <w:basedOn w:val="TableNormal"/>
    <w:uiPriority w:val="60"/>
    <w:rsid w:val="00C1281D"/>
    <w:pPr>
      <w:spacing w:after="0" w:line="240" w:lineRule="auto"/>
      <w:ind w:left="568" w:hanging="284"/>
    </w:pPr>
    <w:rPr>
      <w:rFonts w:ascii="Calibri" w:eastAsia="Calibri"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9112">
    <w:name w:val="Light Shading - Accent 139112"/>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16112">
    <w:name w:val="Light Shading - Accent 116112"/>
    <w:basedOn w:val="TableNormal"/>
    <w:uiPriority w:val="60"/>
    <w:rsid w:val="00C1281D"/>
    <w:pPr>
      <w:spacing w:after="0" w:line="240" w:lineRule="auto"/>
      <w:ind w:left="568" w:hanging="284"/>
    </w:pPr>
    <w:rPr>
      <w:rFonts w:ascii="Calibri" w:eastAsia="Calibri"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10112">
    <w:name w:val="Light Shading - Accent 1310112"/>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6112">
    <w:name w:val="Light Shading - Accent 136112"/>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1912">
    <w:name w:val="Light Shading - Accent 11912"/>
    <w:basedOn w:val="TableNormal"/>
    <w:uiPriority w:val="60"/>
    <w:rsid w:val="00C1281D"/>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33112">
    <w:name w:val="Light Shading - Accent 33112"/>
    <w:basedOn w:val="TableNormal"/>
    <w:next w:val="LightShading-Accent3"/>
    <w:uiPriority w:val="60"/>
    <w:rsid w:val="00C1281D"/>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212">
    <w:name w:val="Light Shading - Accent 33212"/>
    <w:basedOn w:val="TableNormal"/>
    <w:next w:val="LightShading-Accent3"/>
    <w:uiPriority w:val="60"/>
    <w:rsid w:val="00C1281D"/>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312">
    <w:name w:val="Light Shading - Accent 33312"/>
    <w:basedOn w:val="TableNormal"/>
    <w:next w:val="LightShading-Accent3"/>
    <w:uiPriority w:val="60"/>
    <w:rsid w:val="00C1281D"/>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4112">
    <w:name w:val="Light Shading - Accent 34112"/>
    <w:basedOn w:val="TableNormal"/>
    <w:next w:val="LightShading-Accent3"/>
    <w:uiPriority w:val="60"/>
    <w:rsid w:val="00C1281D"/>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4212">
    <w:name w:val="Light Shading - Accent 34212"/>
    <w:basedOn w:val="TableNormal"/>
    <w:next w:val="LightShading-Accent3"/>
    <w:uiPriority w:val="60"/>
    <w:rsid w:val="00C1281D"/>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Grid-Accent51412">
    <w:name w:val="Light Grid - Accent 51412"/>
    <w:basedOn w:val="TableNormal"/>
    <w:next w:val="LightGrid-Accent5"/>
    <w:uiPriority w:val="62"/>
    <w:rsid w:val="00C1281D"/>
    <w:pPr>
      <w:spacing w:after="0" w:line="240" w:lineRule="auto"/>
    </w:pPr>
    <w:rPr>
      <w:rFonts w:ascii="Calibri" w:eastAsia="Calibri" w:hAnsi="Calibri" w:cs="Times New Roman"/>
      <w:sz w:val="20"/>
      <w:szCs w:val="20"/>
      <w:lang w:val="sr-Latn-CS" w:eastAsia="en-GB"/>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Franklin Gothic Medium" w:eastAsia="Times New Roman" w:hAnsi="Franklin Gothic Medium"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Franklin Gothic Medium" w:eastAsia="Times New Roman" w:hAnsi="Franklin Gothic Medium"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Franklin Gothic Medium" w:eastAsia="Times New Roman" w:hAnsi="Franklin Gothic Medium" w:cs="Times New Roman"/>
        <w:b/>
        <w:bCs/>
      </w:rPr>
    </w:tblStylePr>
    <w:tblStylePr w:type="lastCol">
      <w:rPr>
        <w:rFonts w:ascii="Franklin Gothic Medium" w:eastAsia="Times New Roman" w:hAnsi="Franklin Gothic Medium"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LightGrid-Accent5512">
    <w:name w:val="Light Grid - Accent 5512"/>
    <w:basedOn w:val="TableNormal"/>
    <w:next w:val="LightGrid-Accent5"/>
    <w:uiPriority w:val="62"/>
    <w:rsid w:val="00C1281D"/>
    <w:pPr>
      <w:spacing w:after="0" w:line="240" w:lineRule="auto"/>
    </w:pPr>
    <w:rPr>
      <w:rFonts w:ascii="Calibri" w:eastAsia="Calibri" w:hAnsi="Calibri" w:cs="Times New Roman"/>
      <w:sz w:val="20"/>
      <w:szCs w:val="20"/>
      <w:lang w:val="en-GB" w:eastAsia="en-GB"/>
    </w:rPr>
    <w:tblPr>
      <w:tblStyleRowBandSize w:val="1"/>
      <w:tblStyleColBandSize w:val="1"/>
      <w:tblBorders>
        <w:top w:val="single" w:sz="8" w:space="0" w:color="8FB08C"/>
        <w:left w:val="single" w:sz="8" w:space="0" w:color="8FB08C"/>
        <w:bottom w:val="single" w:sz="8" w:space="0" w:color="8FB08C"/>
        <w:right w:val="single" w:sz="8" w:space="0" w:color="8FB08C"/>
        <w:insideH w:val="single" w:sz="8" w:space="0" w:color="8FB08C"/>
        <w:insideV w:val="single" w:sz="8" w:space="0" w:color="8FB08C"/>
      </w:tblBorders>
    </w:tblPr>
    <w:tblStylePr w:type="firstRow">
      <w:pPr>
        <w:spacing w:before="0" w:after="0" w:line="240" w:lineRule="auto"/>
      </w:pPr>
      <w:rPr>
        <w:rFonts w:ascii="Franklin Gothic Medium" w:eastAsia="Times New Roman" w:hAnsi="Franklin Gothic Medium" w:cs="Times New Roman"/>
        <w:b/>
        <w:bCs/>
      </w:rPr>
      <w:tblPr/>
      <w:tcPr>
        <w:tcBorders>
          <w:top w:val="single" w:sz="8" w:space="0" w:color="8FB08C"/>
          <w:left w:val="single" w:sz="8" w:space="0" w:color="8FB08C"/>
          <w:bottom w:val="single" w:sz="18" w:space="0" w:color="8FB08C"/>
          <w:right w:val="single" w:sz="8" w:space="0" w:color="8FB08C"/>
          <w:insideH w:val="nil"/>
          <w:insideV w:val="single" w:sz="8" w:space="0" w:color="8FB08C"/>
        </w:tcBorders>
      </w:tcPr>
    </w:tblStylePr>
    <w:tblStylePr w:type="lastRow">
      <w:pPr>
        <w:spacing w:before="0" w:after="0" w:line="240" w:lineRule="auto"/>
      </w:pPr>
      <w:rPr>
        <w:rFonts w:ascii="Franklin Gothic Medium" w:eastAsia="Times New Roman" w:hAnsi="Franklin Gothic Medium" w:cs="Times New Roman"/>
        <w:b/>
        <w:bCs/>
      </w:rPr>
      <w:tblPr/>
      <w:tcPr>
        <w:tcBorders>
          <w:top w:val="double" w:sz="6" w:space="0" w:color="8FB08C"/>
          <w:left w:val="single" w:sz="8" w:space="0" w:color="8FB08C"/>
          <w:bottom w:val="single" w:sz="8" w:space="0" w:color="8FB08C"/>
          <w:right w:val="single" w:sz="8" w:space="0" w:color="8FB08C"/>
          <w:insideH w:val="nil"/>
          <w:insideV w:val="single" w:sz="8" w:space="0" w:color="8FB08C"/>
        </w:tcBorders>
      </w:tcPr>
    </w:tblStylePr>
    <w:tblStylePr w:type="firstCol">
      <w:rPr>
        <w:rFonts w:ascii="Franklin Gothic Medium" w:eastAsia="Times New Roman" w:hAnsi="Franklin Gothic Medium" w:cs="Times New Roman"/>
        <w:b/>
        <w:bCs/>
      </w:rPr>
    </w:tblStylePr>
    <w:tblStylePr w:type="lastCol">
      <w:rPr>
        <w:rFonts w:ascii="Franklin Gothic Medium" w:eastAsia="Times New Roman" w:hAnsi="Franklin Gothic Medium" w:cs="Times New Roman"/>
        <w:b/>
        <w:bCs/>
      </w:rPr>
      <w:tblPr/>
      <w:tcPr>
        <w:tcBorders>
          <w:top w:val="single" w:sz="8" w:space="0" w:color="8FB08C"/>
          <w:left w:val="single" w:sz="8" w:space="0" w:color="8FB08C"/>
          <w:bottom w:val="single" w:sz="8" w:space="0" w:color="8FB08C"/>
          <w:right w:val="single" w:sz="8" w:space="0" w:color="8FB08C"/>
        </w:tcBorders>
      </w:tcPr>
    </w:tblStylePr>
    <w:tblStylePr w:type="band1Vert">
      <w:tblPr/>
      <w:tcPr>
        <w:tcBorders>
          <w:top w:val="single" w:sz="8" w:space="0" w:color="8FB08C"/>
          <w:left w:val="single" w:sz="8" w:space="0" w:color="8FB08C"/>
          <w:bottom w:val="single" w:sz="8" w:space="0" w:color="8FB08C"/>
          <w:right w:val="single" w:sz="8" w:space="0" w:color="8FB08C"/>
        </w:tcBorders>
        <w:shd w:val="clear" w:color="auto" w:fill="E3EBE2"/>
      </w:tcPr>
    </w:tblStylePr>
    <w:tblStylePr w:type="band1Horz">
      <w:tblPr/>
      <w:tcPr>
        <w:tcBorders>
          <w:top w:val="single" w:sz="8" w:space="0" w:color="8FB08C"/>
          <w:left w:val="single" w:sz="8" w:space="0" w:color="8FB08C"/>
          <w:bottom w:val="single" w:sz="8" w:space="0" w:color="8FB08C"/>
          <w:right w:val="single" w:sz="8" w:space="0" w:color="8FB08C"/>
          <w:insideV w:val="single" w:sz="8" w:space="0" w:color="8FB08C"/>
        </w:tcBorders>
        <w:shd w:val="clear" w:color="auto" w:fill="E3EBE2"/>
      </w:tcPr>
    </w:tblStylePr>
    <w:tblStylePr w:type="band2Horz">
      <w:tblPr/>
      <w:tcPr>
        <w:tcBorders>
          <w:top w:val="single" w:sz="8" w:space="0" w:color="8FB08C"/>
          <w:left w:val="single" w:sz="8" w:space="0" w:color="8FB08C"/>
          <w:bottom w:val="single" w:sz="8" w:space="0" w:color="8FB08C"/>
          <w:right w:val="single" w:sz="8" w:space="0" w:color="8FB08C"/>
          <w:insideV w:val="single" w:sz="8" w:space="0" w:color="8FB08C"/>
        </w:tcBorders>
      </w:tcPr>
    </w:tblStylePr>
  </w:style>
  <w:style w:type="table" w:customStyle="1" w:styleId="LightGrid-Accent511112">
    <w:name w:val="Light Grid - Accent 511112"/>
    <w:basedOn w:val="TableNormal"/>
    <w:next w:val="LightGrid-Accent5"/>
    <w:uiPriority w:val="62"/>
    <w:rsid w:val="00C1281D"/>
    <w:pPr>
      <w:spacing w:after="0" w:line="240" w:lineRule="auto"/>
    </w:pPr>
    <w:rPr>
      <w:rFonts w:ascii="Calibri" w:eastAsia="Calibri" w:hAnsi="Calibri" w:cs="Times New Roman"/>
      <w:sz w:val="20"/>
      <w:szCs w:val="20"/>
      <w:lang w:val="sr-Latn-CS" w:eastAsia="en-GB"/>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Franklin Gothic Medium" w:eastAsia="Times New Roman" w:hAnsi="Franklin Gothic Medium"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Franklin Gothic Medium" w:eastAsia="Times New Roman" w:hAnsi="Franklin Gothic Medium"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Franklin Gothic Medium" w:eastAsia="Times New Roman" w:hAnsi="Franklin Gothic Medium" w:cs="Times New Roman"/>
        <w:b/>
        <w:bCs/>
      </w:rPr>
    </w:tblStylePr>
    <w:tblStylePr w:type="lastCol">
      <w:rPr>
        <w:rFonts w:ascii="Franklin Gothic Medium" w:eastAsia="Times New Roman" w:hAnsi="Franklin Gothic Medium"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LightGrid-Accent52112">
    <w:name w:val="Light Grid - Accent 52112"/>
    <w:basedOn w:val="TableNormal"/>
    <w:next w:val="LightGrid-Accent5"/>
    <w:uiPriority w:val="62"/>
    <w:rsid w:val="00C1281D"/>
    <w:pPr>
      <w:spacing w:after="0" w:line="240" w:lineRule="auto"/>
    </w:pPr>
    <w:rPr>
      <w:rFonts w:ascii="Calibri" w:eastAsia="Calibri" w:hAnsi="Calibri" w:cs="Times New Roman"/>
      <w:sz w:val="20"/>
      <w:szCs w:val="20"/>
      <w:lang w:val="en-GB" w:eastAsia="en-GB"/>
    </w:rPr>
    <w:tblPr>
      <w:tblStyleRowBandSize w:val="1"/>
      <w:tblStyleColBandSize w:val="1"/>
      <w:tblBorders>
        <w:top w:val="single" w:sz="8" w:space="0" w:color="8FB08C"/>
        <w:left w:val="single" w:sz="8" w:space="0" w:color="8FB08C"/>
        <w:bottom w:val="single" w:sz="8" w:space="0" w:color="8FB08C"/>
        <w:right w:val="single" w:sz="8" w:space="0" w:color="8FB08C"/>
        <w:insideH w:val="single" w:sz="8" w:space="0" w:color="8FB08C"/>
        <w:insideV w:val="single" w:sz="8" w:space="0" w:color="8FB08C"/>
      </w:tblBorders>
    </w:tblPr>
    <w:tblStylePr w:type="firstRow">
      <w:pPr>
        <w:spacing w:before="0" w:after="0" w:line="240" w:lineRule="auto"/>
      </w:pPr>
      <w:rPr>
        <w:rFonts w:ascii="Franklin Gothic Medium" w:eastAsia="Times New Roman" w:hAnsi="Franklin Gothic Medium" w:cs="Times New Roman"/>
        <w:b/>
        <w:bCs/>
      </w:rPr>
      <w:tblPr/>
      <w:tcPr>
        <w:tcBorders>
          <w:top w:val="single" w:sz="8" w:space="0" w:color="8FB08C"/>
          <w:left w:val="single" w:sz="8" w:space="0" w:color="8FB08C"/>
          <w:bottom w:val="single" w:sz="18" w:space="0" w:color="8FB08C"/>
          <w:right w:val="single" w:sz="8" w:space="0" w:color="8FB08C"/>
          <w:insideH w:val="nil"/>
          <w:insideV w:val="single" w:sz="8" w:space="0" w:color="8FB08C"/>
        </w:tcBorders>
      </w:tcPr>
    </w:tblStylePr>
    <w:tblStylePr w:type="lastRow">
      <w:pPr>
        <w:spacing w:before="0" w:after="0" w:line="240" w:lineRule="auto"/>
      </w:pPr>
      <w:rPr>
        <w:rFonts w:ascii="Franklin Gothic Medium" w:eastAsia="Times New Roman" w:hAnsi="Franklin Gothic Medium" w:cs="Times New Roman"/>
        <w:b/>
        <w:bCs/>
      </w:rPr>
      <w:tblPr/>
      <w:tcPr>
        <w:tcBorders>
          <w:top w:val="double" w:sz="6" w:space="0" w:color="8FB08C"/>
          <w:left w:val="single" w:sz="8" w:space="0" w:color="8FB08C"/>
          <w:bottom w:val="single" w:sz="8" w:space="0" w:color="8FB08C"/>
          <w:right w:val="single" w:sz="8" w:space="0" w:color="8FB08C"/>
          <w:insideH w:val="nil"/>
          <w:insideV w:val="single" w:sz="8" w:space="0" w:color="8FB08C"/>
        </w:tcBorders>
      </w:tcPr>
    </w:tblStylePr>
    <w:tblStylePr w:type="firstCol">
      <w:rPr>
        <w:rFonts w:ascii="Franklin Gothic Medium" w:eastAsia="Times New Roman" w:hAnsi="Franklin Gothic Medium" w:cs="Times New Roman"/>
        <w:b/>
        <w:bCs/>
      </w:rPr>
    </w:tblStylePr>
    <w:tblStylePr w:type="lastCol">
      <w:rPr>
        <w:rFonts w:ascii="Franklin Gothic Medium" w:eastAsia="Times New Roman" w:hAnsi="Franklin Gothic Medium" w:cs="Times New Roman"/>
        <w:b/>
        <w:bCs/>
      </w:rPr>
      <w:tblPr/>
      <w:tcPr>
        <w:tcBorders>
          <w:top w:val="single" w:sz="8" w:space="0" w:color="8FB08C"/>
          <w:left w:val="single" w:sz="8" w:space="0" w:color="8FB08C"/>
          <w:bottom w:val="single" w:sz="8" w:space="0" w:color="8FB08C"/>
          <w:right w:val="single" w:sz="8" w:space="0" w:color="8FB08C"/>
        </w:tcBorders>
      </w:tcPr>
    </w:tblStylePr>
    <w:tblStylePr w:type="band1Vert">
      <w:tblPr/>
      <w:tcPr>
        <w:tcBorders>
          <w:top w:val="single" w:sz="8" w:space="0" w:color="8FB08C"/>
          <w:left w:val="single" w:sz="8" w:space="0" w:color="8FB08C"/>
          <w:bottom w:val="single" w:sz="8" w:space="0" w:color="8FB08C"/>
          <w:right w:val="single" w:sz="8" w:space="0" w:color="8FB08C"/>
        </w:tcBorders>
        <w:shd w:val="clear" w:color="auto" w:fill="E3EBE2"/>
      </w:tcPr>
    </w:tblStylePr>
    <w:tblStylePr w:type="band1Horz">
      <w:tblPr/>
      <w:tcPr>
        <w:tcBorders>
          <w:top w:val="single" w:sz="8" w:space="0" w:color="8FB08C"/>
          <w:left w:val="single" w:sz="8" w:space="0" w:color="8FB08C"/>
          <w:bottom w:val="single" w:sz="8" w:space="0" w:color="8FB08C"/>
          <w:right w:val="single" w:sz="8" w:space="0" w:color="8FB08C"/>
          <w:insideV w:val="single" w:sz="8" w:space="0" w:color="8FB08C"/>
        </w:tcBorders>
        <w:shd w:val="clear" w:color="auto" w:fill="E3EBE2"/>
      </w:tcPr>
    </w:tblStylePr>
    <w:tblStylePr w:type="band2Horz">
      <w:tblPr/>
      <w:tcPr>
        <w:tcBorders>
          <w:top w:val="single" w:sz="8" w:space="0" w:color="8FB08C"/>
          <w:left w:val="single" w:sz="8" w:space="0" w:color="8FB08C"/>
          <w:bottom w:val="single" w:sz="8" w:space="0" w:color="8FB08C"/>
          <w:right w:val="single" w:sz="8" w:space="0" w:color="8FB08C"/>
          <w:insideV w:val="single" w:sz="8" w:space="0" w:color="8FB08C"/>
        </w:tcBorders>
      </w:tcPr>
    </w:tblStylePr>
  </w:style>
  <w:style w:type="table" w:customStyle="1" w:styleId="LightGrid-Accent512112">
    <w:name w:val="Light Grid - Accent 512112"/>
    <w:basedOn w:val="TableNormal"/>
    <w:next w:val="LightGrid-Accent5"/>
    <w:uiPriority w:val="62"/>
    <w:rsid w:val="00C1281D"/>
    <w:pPr>
      <w:spacing w:after="0" w:line="240" w:lineRule="auto"/>
    </w:pPr>
    <w:rPr>
      <w:rFonts w:ascii="Calibri" w:eastAsia="Calibri" w:hAnsi="Calibri" w:cs="Times New Roman"/>
      <w:sz w:val="20"/>
      <w:szCs w:val="20"/>
      <w:lang w:val="sr-Latn-CS" w:eastAsia="en-GB"/>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Franklin Gothic Medium" w:eastAsia="Times New Roman" w:hAnsi="Franklin Gothic Medium"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Franklin Gothic Medium" w:eastAsia="Times New Roman" w:hAnsi="Franklin Gothic Medium"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Franklin Gothic Medium" w:eastAsia="Times New Roman" w:hAnsi="Franklin Gothic Medium" w:cs="Times New Roman"/>
        <w:b/>
        <w:bCs/>
      </w:rPr>
    </w:tblStylePr>
    <w:tblStylePr w:type="lastCol">
      <w:rPr>
        <w:rFonts w:ascii="Franklin Gothic Medium" w:eastAsia="Times New Roman" w:hAnsi="Franklin Gothic Medium"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LightGrid-Accent53112">
    <w:name w:val="Light Grid - Accent 53112"/>
    <w:basedOn w:val="TableNormal"/>
    <w:next w:val="LightGrid-Accent5"/>
    <w:uiPriority w:val="62"/>
    <w:rsid w:val="00C1281D"/>
    <w:pPr>
      <w:spacing w:after="0" w:line="240" w:lineRule="auto"/>
    </w:pPr>
    <w:rPr>
      <w:rFonts w:ascii="Calibri" w:eastAsia="Calibri" w:hAnsi="Calibri" w:cs="Times New Roman"/>
      <w:sz w:val="20"/>
      <w:szCs w:val="20"/>
      <w:lang w:val="en-GB" w:eastAsia="en-GB"/>
    </w:rPr>
    <w:tblPr>
      <w:tblStyleRowBandSize w:val="1"/>
      <w:tblStyleColBandSize w:val="1"/>
      <w:tblBorders>
        <w:top w:val="single" w:sz="8" w:space="0" w:color="8FB08C"/>
        <w:left w:val="single" w:sz="8" w:space="0" w:color="8FB08C"/>
        <w:bottom w:val="single" w:sz="8" w:space="0" w:color="8FB08C"/>
        <w:right w:val="single" w:sz="8" w:space="0" w:color="8FB08C"/>
        <w:insideH w:val="single" w:sz="8" w:space="0" w:color="8FB08C"/>
        <w:insideV w:val="single" w:sz="8" w:space="0" w:color="8FB08C"/>
      </w:tblBorders>
    </w:tblPr>
    <w:tblStylePr w:type="firstRow">
      <w:pPr>
        <w:spacing w:before="0" w:after="0" w:line="240" w:lineRule="auto"/>
      </w:pPr>
      <w:rPr>
        <w:rFonts w:ascii="Franklin Gothic Medium" w:eastAsia="Times New Roman" w:hAnsi="Franklin Gothic Medium" w:cs="Times New Roman"/>
        <w:b/>
        <w:bCs/>
      </w:rPr>
      <w:tblPr/>
      <w:tcPr>
        <w:tcBorders>
          <w:top w:val="single" w:sz="8" w:space="0" w:color="8FB08C"/>
          <w:left w:val="single" w:sz="8" w:space="0" w:color="8FB08C"/>
          <w:bottom w:val="single" w:sz="18" w:space="0" w:color="8FB08C"/>
          <w:right w:val="single" w:sz="8" w:space="0" w:color="8FB08C"/>
          <w:insideH w:val="nil"/>
          <w:insideV w:val="single" w:sz="8" w:space="0" w:color="8FB08C"/>
        </w:tcBorders>
      </w:tcPr>
    </w:tblStylePr>
    <w:tblStylePr w:type="lastRow">
      <w:pPr>
        <w:spacing w:before="0" w:after="0" w:line="240" w:lineRule="auto"/>
      </w:pPr>
      <w:rPr>
        <w:rFonts w:ascii="Franklin Gothic Medium" w:eastAsia="Times New Roman" w:hAnsi="Franklin Gothic Medium" w:cs="Times New Roman"/>
        <w:b/>
        <w:bCs/>
      </w:rPr>
      <w:tblPr/>
      <w:tcPr>
        <w:tcBorders>
          <w:top w:val="double" w:sz="6" w:space="0" w:color="8FB08C"/>
          <w:left w:val="single" w:sz="8" w:space="0" w:color="8FB08C"/>
          <w:bottom w:val="single" w:sz="8" w:space="0" w:color="8FB08C"/>
          <w:right w:val="single" w:sz="8" w:space="0" w:color="8FB08C"/>
          <w:insideH w:val="nil"/>
          <w:insideV w:val="single" w:sz="8" w:space="0" w:color="8FB08C"/>
        </w:tcBorders>
      </w:tcPr>
    </w:tblStylePr>
    <w:tblStylePr w:type="firstCol">
      <w:rPr>
        <w:rFonts w:ascii="Franklin Gothic Medium" w:eastAsia="Times New Roman" w:hAnsi="Franklin Gothic Medium" w:cs="Times New Roman"/>
        <w:b/>
        <w:bCs/>
      </w:rPr>
    </w:tblStylePr>
    <w:tblStylePr w:type="lastCol">
      <w:rPr>
        <w:rFonts w:ascii="Franklin Gothic Medium" w:eastAsia="Times New Roman" w:hAnsi="Franklin Gothic Medium" w:cs="Times New Roman"/>
        <w:b/>
        <w:bCs/>
      </w:rPr>
      <w:tblPr/>
      <w:tcPr>
        <w:tcBorders>
          <w:top w:val="single" w:sz="8" w:space="0" w:color="8FB08C"/>
          <w:left w:val="single" w:sz="8" w:space="0" w:color="8FB08C"/>
          <w:bottom w:val="single" w:sz="8" w:space="0" w:color="8FB08C"/>
          <w:right w:val="single" w:sz="8" w:space="0" w:color="8FB08C"/>
        </w:tcBorders>
      </w:tcPr>
    </w:tblStylePr>
    <w:tblStylePr w:type="band1Vert">
      <w:tblPr/>
      <w:tcPr>
        <w:tcBorders>
          <w:top w:val="single" w:sz="8" w:space="0" w:color="8FB08C"/>
          <w:left w:val="single" w:sz="8" w:space="0" w:color="8FB08C"/>
          <w:bottom w:val="single" w:sz="8" w:space="0" w:color="8FB08C"/>
          <w:right w:val="single" w:sz="8" w:space="0" w:color="8FB08C"/>
        </w:tcBorders>
        <w:shd w:val="clear" w:color="auto" w:fill="E3EBE2"/>
      </w:tcPr>
    </w:tblStylePr>
    <w:tblStylePr w:type="band1Horz">
      <w:tblPr/>
      <w:tcPr>
        <w:tcBorders>
          <w:top w:val="single" w:sz="8" w:space="0" w:color="8FB08C"/>
          <w:left w:val="single" w:sz="8" w:space="0" w:color="8FB08C"/>
          <w:bottom w:val="single" w:sz="8" w:space="0" w:color="8FB08C"/>
          <w:right w:val="single" w:sz="8" w:space="0" w:color="8FB08C"/>
          <w:insideV w:val="single" w:sz="8" w:space="0" w:color="8FB08C"/>
        </w:tcBorders>
        <w:shd w:val="clear" w:color="auto" w:fill="E3EBE2"/>
      </w:tcPr>
    </w:tblStylePr>
    <w:tblStylePr w:type="band2Horz">
      <w:tblPr/>
      <w:tcPr>
        <w:tcBorders>
          <w:top w:val="single" w:sz="8" w:space="0" w:color="8FB08C"/>
          <w:left w:val="single" w:sz="8" w:space="0" w:color="8FB08C"/>
          <w:bottom w:val="single" w:sz="8" w:space="0" w:color="8FB08C"/>
          <w:right w:val="single" w:sz="8" w:space="0" w:color="8FB08C"/>
          <w:insideV w:val="single" w:sz="8" w:space="0" w:color="8FB08C"/>
        </w:tcBorders>
      </w:tcPr>
    </w:tblStylePr>
  </w:style>
  <w:style w:type="table" w:customStyle="1" w:styleId="LightGrid-Accent513112">
    <w:name w:val="Light Grid - Accent 513112"/>
    <w:basedOn w:val="TableNormal"/>
    <w:next w:val="LightGrid-Accent5"/>
    <w:uiPriority w:val="62"/>
    <w:rsid w:val="00C1281D"/>
    <w:pPr>
      <w:spacing w:after="0" w:line="240" w:lineRule="auto"/>
    </w:pPr>
    <w:rPr>
      <w:rFonts w:ascii="Calibri" w:eastAsia="Calibri" w:hAnsi="Calibri" w:cs="Times New Roman"/>
      <w:sz w:val="20"/>
      <w:szCs w:val="20"/>
      <w:lang w:val="sr-Latn-CS" w:eastAsia="en-GB"/>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Franklin Gothic Medium" w:eastAsia="Times New Roman" w:hAnsi="Franklin Gothic Medium"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Franklin Gothic Medium" w:eastAsia="Times New Roman" w:hAnsi="Franklin Gothic Medium"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Franklin Gothic Medium" w:eastAsia="Times New Roman" w:hAnsi="Franklin Gothic Medium" w:cs="Times New Roman"/>
        <w:b/>
        <w:bCs/>
      </w:rPr>
    </w:tblStylePr>
    <w:tblStylePr w:type="lastCol">
      <w:rPr>
        <w:rFonts w:ascii="Franklin Gothic Medium" w:eastAsia="Times New Roman" w:hAnsi="Franklin Gothic Medium"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LightGrid-Accent54112">
    <w:name w:val="Light Grid - Accent 54112"/>
    <w:basedOn w:val="TableNormal"/>
    <w:next w:val="LightGrid-Accent5"/>
    <w:uiPriority w:val="62"/>
    <w:rsid w:val="00C1281D"/>
    <w:pPr>
      <w:spacing w:after="0" w:line="240" w:lineRule="auto"/>
    </w:pPr>
    <w:rPr>
      <w:rFonts w:ascii="Calibri" w:eastAsia="Calibri" w:hAnsi="Calibri" w:cs="Times New Roman"/>
      <w:sz w:val="20"/>
      <w:szCs w:val="20"/>
      <w:lang w:val="en-GB" w:eastAsia="en-GB"/>
    </w:rPr>
    <w:tblPr>
      <w:tblStyleRowBandSize w:val="1"/>
      <w:tblStyleColBandSize w:val="1"/>
      <w:tblBorders>
        <w:top w:val="single" w:sz="8" w:space="0" w:color="8FB08C"/>
        <w:left w:val="single" w:sz="8" w:space="0" w:color="8FB08C"/>
        <w:bottom w:val="single" w:sz="8" w:space="0" w:color="8FB08C"/>
        <w:right w:val="single" w:sz="8" w:space="0" w:color="8FB08C"/>
        <w:insideH w:val="single" w:sz="8" w:space="0" w:color="8FB08C"/>
        <w:insideV w:val="single" w:sz="8" w:space="0" w:color="8FB08C"/>
      </w:tblBorders>
    </w:tblPr>
    <w:tblStylePr w:type="firstRow">
      <w:pPr>
        <w:spacing w:before="0" w:after="0" w:line="240" w:lineRule="auto"/>
      </w:pPr>
      <w:rPr>
        <w:rFonts w:ascii="Franklin Gothic Medium" w:eastAsia="Times New Roman" w:hAnsi="Franklin Gothic Medium" w:cs="Times New Roman"/>
        <w:b/>
        <w:bCs/>
      </w:rPr>
      <w:tblPr/>
      <w:tcPr>
        <w:tcBorders>
          <w:top w:val="single" w:sz="8" w:space="0" w:color="8FB08C"/>
          <w:left w:val="single" w:sz="8" w:space="0" w:color="8FB08C"/>
          <w:bottom w:val="single" w:sz="18" w:space="0" w:color="8FB08C"/>
          <w:right w:val="single" w:sz="8" w:space="0" w:color="8FB08C"/>
          <w:insideH w:val="nil"/>
          <w:insideV w:val="single" w:sz="8" w:space="0" w:color="8FB08C"/>
        </w:tcBorders>
      </w:tcPr>
    </w:tblStylePr>
    <w:tblStylePr w:type="lastRow">
      <w:pPr>
        <w:spacing w:before="0" w:after="0" w:line="240" w:lineRule="auto"/>
      </w:pPr>
      <w:rPr>
        <w:rFonts w:ascii="Franklin Gothic Medium" w:eastAsia="Times New Roman" w:hAnsi="Franklin Gothic Medium" w:cs="Times New Roman"/>
        <w:b/>
        <w:bCs/>
      </w:rPr>
      <w:tblPr/>
      <w:tcPr>
        <w:tcBorders>
          <w:top w:val="double" w:sz="6" w:space="0" w:color="8FB08C"/>
          <w:left w:val="single" w:sz="8" w:space="0" w:color="8FB08C"/>
          <w:bottom w:val="single" w:sz="8" w:space="0" w:color="8FB08C"/>
          <w:right w:val="single" w:sz="8" w:space="0" w:color="8FB08C"/>
          <w:insideH w:val="nil"/>
          <w:insideV w:val="single" w:sz="8" w:space="0" w:color="8FB08C"/>
        </w:tcBorders>
      </w:tcPr>
    </w:tblStylePr>
    <w:tblStylePr w:type="firstCol">
      <w:rPr>
        <w:rFonts w:ascii="Franklin Gothic Medium" w:eastAsia="Times New Roman" w:hAnsi="Franklin Gothic Medium" w:cs="Times New Roman"/>
        <w:b/>
        <w:bCs/>
      </w:rPr>
    </w:tblStylePr>
    <w:tblStylePr w:type="lastCol">
      <w:rPr>
        <w:rFonts w:ascii="Franklin Gothic Medium" w:eastAsia="Times New Roman" w:hAnsi="Franklin Gothic Medium" w:cs="Times New Roman"/>
        <w:b/>
        <w:bCs/>
      </w:rPr>
      <w:tblPr/>
      <w:tcPr>
        <w:tcBorders>
          <w:top w:val="single" w:sz="8" w:space="0" w:color="8FB08C"/>
          <w:left w:val="single" w:sz="8" w:space="0" w:color="8FB08C"/>
          <w:bottom w:val="single" w:sz="8" w:space="0" w:color="8FB08C"/>
          <w:right w:val="single" w:sz="8" w:space="0" w:color="8FB08C"/>
        </w:tcBorders>
      </w:tcPr>
    </w:tblStylePr>
    <w:tblStylePr w:type="band1Vert">
      <w:tblPr/>
      <w:tcPr>
        <w:tcBorders>
          <w:top w:val="single" w:sz="8" w:space="0" w:color="8FB08C"/>
          <w:left w:val="single" w:sz="8" w:space="0" w:color="8FB08C"/>
          <w:bottom w:val="single" w:sz="8" w:space="0" w:color="8FB08C"/>
          <w:right w:val="single" w:sz="8" w:space="0" w:color="8FB08C"/>
        </w:tcBorders>
        <w:shd w:val="clear" w:color="auto" w:fill="E3EBE2"/>
      </w:tcPr>
    </w:tblStylePr>
    <w:tblStylePr w:type="band1Horz">
      <w:tblPr/>
      <w:tcPr>
        <w:tcBorders>
          <w:top w:val="single" w:sz="8" w:space="0" w:color="8FB08C"/>
          <w:left w:val="single" w:sz="8" w:space="0" w:color="8FB08C"/>
          <w:bottom w:val="single" w:sz="8" w:space="0" w:color="8FB08C"/>
          <w:right w:val="single" w:sz="8" w:space="0" w:color="8FB08C"/>
          <w:insideV w:val="single" w:sz="8" w:space="0" w:color="8FB08C"/>
        </w:tcBorders>
        <w:shd w:val="clear" w:color="auto" w:fill="E3EBE2"/>
      </w:tcPr>
    </w:tblStylePr>
    <w:tblStylePr w:type="band2Horz">
      <w:tblPr/>
      <w:tcPr>
        <w:tcBorders>
          <w:top w:val="single" w:sz="8" w:space="0" w:color="8FB08C"/>
          <w:left w:val="single" w:sz="8" w:space="0" w:color="8FB08C"/>
          <w:bottom w:val="single" w:sz="8" w:space="0" w:color="8FB08C"/>
          <w:right w:val="single" w:sz="8" w:space="0" w:color="8FB08C"/>
          <w:insideV w:val="single" w:sz="8" w:space="0" w:color="8FB08C"/>
        </w:tcBorders>
      </w:tcPr>
    </w:tblStylePr>
  </w:style>
  <w:style w:type="table" w:customStyle="1" w:styleId="LightShading-Accent622">
    <w:name w:val="Light Shading - Accent 622"/>
    <w:basedOn w:val="TableNormal"/>
    <w:next w:val="LightShading-Accent6"/>
    <w:uiPriority w:val="60"/>
    <w:rsid w:val="00C1281D"/>
    <w:pPr>
      <w:spacing w:after="0" w:line="240" w:lineRule="auto"/>
    </w:pPr>
    <w:rPr>
      <w:rFonts w:ascii="Calibri" w:eastAsia="Calibri" w:hAnsi="Calibri" w:cs="Times New Roman"/>
      <w:color w:val="393939"/>
      <w:sz w:val="20"/>
      <w:szCs w:val="20"/>
    </w:rPr>
    <w:tblPr>
      <w:tblStyleRowBandSize w:val="1"/>
      <w:tblStyleColBandSize w:val="1"/>
      <w:tblBorders>
        <w:top w:val="single" w:sz="8" w:space="0" w:color="4D4D4D"/>
        <w:bottom w:val="single" w:sz="8" w:space="0" w:color="4D4D4D"/>
      </w:tblBorders>
    </w:tblPr>
    <w:tblStylePr w:type="firstRow">
      <w:pPr>
        <w:spacing w:beforeLines="0" w:before="0" w:beforeAutospacing="0" w:afterLines="0" w:after="0" w:afterAutospacing="0" w:line="240" w:lineRule="auto"/>
      </w:pPr>
      <w:rPr>
        <w:b/>
        <w:bCs/>
      </w:rPr>
      <w:tblPr/>
      <w:tcPr>
        <w:tcBorders>
          <w:top w:val="single" w:sz="8" w:space="0" w:color="4D4D4D"/>
          <w:left w:val="nil"/>
          <w:bottom w:val="single" w:sz="8" w:space="0" w:color="4D4D4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D4D4D"/>
          <w:left w:val="nil"/>
          <w:bottom w:val="single" w:sz="8" w:space="0" w:color="4D4D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3D3"/>
      </w:tcPr>
    </w:tblStylePr>
    <w:tblStylePr w:type="band1Horz">
      <w:tblPr/>
      <w:tcPr>
        <w:tcBorders>
          <w:left w:val="nil"/>
          <w:right w:val="nil"/>
          <w:insideH w:val="nil"/>
          <w:insideV w:val="nil"/>
        </w:tcBorders>
        <w:shd w:val="clear" w:color="auto" w:fill="D3D3D3"/>
      </w:tcPr>
    </w:tblStylePr>
  </w:style>
  <w:style w:type="table" w:customStyle="1" w:styleId="GridTable6Colorful-Accent422">
    <w:name w:val="Grid Table 6 Colorful - Accent 422"/>
    <w:basedOn w:val="TableNormal"/>
    <w:next w:val="GridTable6Colorful-Accent43"/>
    <w:uiPriority w:val="51"/>
    <w:rsid w:val="00C1281D"/>
    <w:pPr>
      <w:spacing w:after="0" w:line="240" w:lineRule="auto"/>
    </w:pPr>
    <w:rPr>
      <w:color w:val="5F5F5F"/>
    </w:rPr>
    <w:tblPr>
      <w:tblStyleRowBandSize w:val="1"/>
      <w:tblStyleColBandSize w:val="1"/>
      <w:tblBorders>
        <w:top w:val="single" w:sz="4" w:space="0" w:color="B2B2B2"/>
        <w:left w:val="single" w:sz="4" w:space="0" w:color="B2B2B2"/>
        <w:bottom w:val="single" w:sz="4" w:space="0" w:color="B2B2B2"/>
        <w:right w:val="single" w:sz="4" w:space="0" w:color="B2B2B2"/>
        <w:insideH w:val="single" w:sz="4" w:space="0" w:color="B2B2B2"/>
        <w:insideV w:val="single" w:sz="4" w:space="0" w:color="B2B2B2"/>
      </w:tblBorders>
    </w:tblPr>
    <w:tblStylePr w:type="firstRow">
      <w:rPr>
        <w:b/>
        <w:bCs/>
      </w:rPr>
      <w:tblPr/>
      <w:tcPr>
        <w:tcBorders>
          <w:bottom w:val="single" w:sz="12" w:space="0" w:color="B2B2B2"/>
        </w:tcBorders>
      </w:tcPr>
    </w:tblStylePr>
    <w:tblStylePr w:type="lastRow">
      <w:rPr>
        <w:b/>
        <w:bCs/>
      </w:rPr>
      <w:tblPr/>
      <w:tcPr>
        <w:tcBorders>
          <w:top w:val="double" w:sz="4" w:space="0" w:color="B2B2B2"/>
        </w:tcBorders>
      </w:tcPr>
    </w:tblStylePr>
    <w:tblStylePr w:type="firstCol">
      <w:rPr>
        <w:b/>
        <w:bCs/>
      </w:rPr>
    </w:tblStylePr>
    <w:tblStylePr w:type="lastCol">
      <w:rPr>
        <w:b/>
        <w:bCs/>
      </w:rPr>
    </w:tblStylePr>
    <w:tblStylePr w:type="band1Vert">
      <w:tblPr/>
      <w:tcPr>
        <w:shd w:val="clear" w:color="auto" w:fill="E5E5E5"/>
      </w:tcPr>
    </w:tblStylePr>
    <w:tblStylePr w:type="band1Horz">
      <w:tblPr/>
      <w:tcPr>
        <w:shd w:val="clear" w:color="auto" w:fill="E5E5E5"/>
      </w:tcPr>
    </w:tblStylePr>
  </w:style>
  <w:style w:type="table" w:customStyle="1" w:styleId="GridTable6Colorful-Accent322">
    <w:name w:val="Grid Table 6 Colorful - Accent 322"/>
    <w:basedOn w:val="TableNormal"/>
    <w:next w:val="GridTable6Colorful-Accent33"/>
    <w:uiPriority w:val="51"/>
    <w:rsid w:val="00C1281D"/>
    <w:pPr>
      <w:spacing w:after="0" w:line="240" w:lineRule="auto"/>
    </w:pPr>
    <w:rPr>
      <w:rFonts w:ascii="Calibri" w:eastAsia="Calibri" w:hAnsi="Calibri" w:cs="Times New Roman"/>
      <w:color w:val="707070"/>
      <w:sz w:val="20"/>
      <w:szCs w:val="20"/>
    </w:rPr>
    <w:tblPr>
      <w:tblStyleRowBandSize w:val="1"/>
      <w:tblStyleColBandSize w:val="1"/>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Pr>
    <w:tblStylePr w:type="firstRow">
      <w:rPr>
        <w:b/>
        <w:bCs/>
      </w:rPr>
      <w:tblPr/>
      <w:tcPr>
        <w:tcBorders>
          <w:bottom w:val="single" w:sz="12" w:space="0" w:color="C0C0C0"/>
        </w:tcBorders>
      </w:tcPr>
    </w:tblStylePr>
    <w:tblStylePr w:type="lastRow">
      <w:rPr>
        <w:b/>
        <w:bCs/>
      </w:rPr>
      <w:tblPr/>
      <w:tcPr>
        <w:tcBorders>
          <w:top w:val="double" w:sz="4" w:space="0" w:color="C0C0C0"/>
        </w:tcBorders>
      </w:tcPr>
    </w:tblStylePr>
    <w:tblStylePr w:type="firstCol">
      <w:rPr>
        <w:b/>
        <w:bCs/>
      </w:rPr>
    </w:tblStylePr>
    <w:tblStylePr w:type="lastCol">
      <w:rPr>
        <w:b/>
        <w:bCs/>
      </w:rPr>
    </w:tblStylePr>
    <w:tblStylePr w:type="band1Vert">
      <w:tblPr/>
      <w:tcPr>
        <w:shd w:val="clear" w:color="auto" w:fill="EAEAEA"/>
      </w:tcPr>
    </w:tblStylePr>
    <w:tblStylePr w:type="band1Horz">
      <w:tblPr/>
      <w:tcPr>
        <w:shd w:val="clear" w:color="auto" w:fill="EAEAEA"/>
      </w:tcPr>
    </w:tblStylePr>
  </w:style>
  <w:style w:type="table" w:customStyle="1" w:styleId="GridTable4-Accent522">
    <w:name w:val="Grid Table 4 - Accent 522"/>
    <w:basedOn w:val="TableNormal"/>
    <w:next w:val="GridTable4-Accent53"/>
    <w:uiPriority w:val="49"/>
    <w:rsid w:val="00C1281D"/>
    <w:pPr>
      <w:spacing w:after="0" w:line="240" w:lineRule="auto"/>
    </w:pPr>
    <w:rPr>
      <w:rFonts w:ascii="Calibri" w:eastAsia="Calibri" w:hAnsi="Calibri" w:cs="Times New Roman"/>
      <w:sz w:val="20"/>
      <w:szCs w:val="20"/>
    </w:rPr>
    <w:tblPr>
      <w:tblStyleRowBandSize w:val="1"/>
      <w:tblStyleColBandSize w:val="1"/>
      <w:tblBorders>
        <w:top w:val="single" w:sz="4" w:space="0" w:color="9F9F9F"/>
        <w:left w:val="single" w:sz="4" w:space="0" w:color="9F9F9F"/>
        <w:bottom w:val="single" w:sz="4" w:space="0" w:color="9F9F9F"/>
        <w:right w:val="single" w:sz="4" w:space="0" w:color="9F9F9F"/>
        <w:insideH w:val="single" w:sz="4" w:space="0" w:color="9F9F9F"/>
        <w:insideV w:val="single" w:sz="4" w:space="0" w:color="9F9F9F"/>
      </w:tblBorders>
    </w:tblPr>
    <w:tblStylePr w:type="firstRow">
      <w:rPr>
        <w:b/>
        <w:bCs/>
        <w:color w:val="FFFFFF"/>
      </w:rPr>
      <w:tblPr/>
      <w:tcPr>
        <w:tcBorders>
          <w:top w:val="single" w:sz="4" w:space="0" w:color="5F5F5F"/>
          <w:left w:val="single" w:sz="4" w:space="0" w:color="5F5F5F"/>
          <w:bottom w:val="single" w:sz="4" w:space="0" w:color="5F5F5F"/>
          <w:right w:val="single" w:sz="4" w:space="0" w:color="5F5F5F"/>
          <w:insideH w:val="nil"/>
          <w:insideV w:val="nil"/>
        </w:tcBorders>
        <w:shd w:val="clear" w:color="auto" w:fill="5F5F5F"/>
      </w:tcPr>
    </w:tblStylePr>
    <w:tblStylePr w:type="lastRow">
      <w:rPr>
        <w:b/>
        <w:bCs/>
      </w:rPr>
      <w:tblPr/>
      <w:tcPr>
        <w:tcBorders>
          <w:top w:val="double" w:sz="4" w:space="0" w:color="5F5F5F"/>
        </w:tcBorders>
      </w:tcPr>
    </w:tblStylePr>
    <w:tblStylePr w:type="firstCol">
      <w:rPr>
        <w:b/>
        <w:bCs/>
      </w:rPr>
    </w:tblStylePr>
    <w:tblStylePr w:type="lastCol">
      <w:rPr>
        <w:b/>
        <w:bCs/>
      </w:rPr>
    </w:tblStylePr>
    <w:tblStylePr w:type="band1Vert">
      <w:tblPr/>
      <w:tcPr>
        <w:shd w:val="clear" w:color="auto" w:fill="DFDFDF"/>
      </w:tcPr>
    </w:tblStylePr>
    <w:tblStylePr w:type="band1Horz">
      <w:tblPr/>
      <w:tcPr>
        <w:shd w:val="clear" w:color="auto" w:fill="DFDFDF"/>
      </w:tcPr>
    </w:tblStylePr>
  </w:style>
  <w:style w:type="table" w:customStyle="1" w:styleId="GridTable5Dark-Accent522">
    <w:name w:val="Grid Table 5 Dark - Accent 522"/>
    <w:basedOn w:val="TableNormal"/>
    <w:next w:val="GridTable5Dark-Accent53"/>
    <w:uiPriority w:val="50"/>
    <w:rsid w:val="00C1281D"/>
    <w:pPr>
      <w:spacing w:after="0" w:line="240" w:lineRule="auto"/>
    </w:pPr>
    <w:rPr>
      <w:rFonts w:ascii="Calibri" w:eastAsia="Calibri" w:hAnsi="Calibri" w:cs="Times New Roman"/>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FDFDF"/>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F5F5F"/>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F5F5F"/>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F5F5F"/>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F5F5F"/>
      </w:tcPr>
    </w:tblStylePr>
    <w:tblStylePr w:type="band1Vert">
      <w:tblPr/>
      <w:tcPr>
        <w:shd w:val="clear" w:color="auto" w:fill="BFBFBF"/>
      </w:tcPr>
    </w:tblStylePr>
    <w:tblStylePr w:type="band1Horz">
      <w:tblPr/>
      <w:tcPr>
        <w:shd w:val="clear" w:color="auto" w:fill="BFBFBF"/>
      </w:tcPr>
    </w:tblStylePr>
  </w:style>
  <w:style w:type="table" w:customStyle="1" w:styleId="12">
    <w:name w:val="ФС12"/>
    <w:basedOn w:val="TableNormal"/>
    <w:uiPriority w:val="99"/>
    <w:rsid w:val="00C1281D"/>
    <w:pPr>
      <w:spacing w:after="0" w:line="240" w:lineRule="auto"/>
    </w:pPr>
    <w:rPr>
      <w:rFonts w:ascii="Calibri" w:eastAsia="Calibri" w:hAnsi="Calibri" w:cs="Times New Roman"/>
      <w:sz w:val="20"/>
      <w:szCs w:val="20"/>
    </w:rPr>
    <w:tblPr/>
  </w:style>
  <w:style w:type="table" w:customStyle="1" w:styleId="ListTable6Colorful-Accent322">
    <w:name w:val="List Table 6 Colorful - Accent 322"/>
    <w:basedOn w:val="TableNormal"/>
    <w:next w:val="ListTable6Colorful-Accent33"/>
    <w:uiPriority w:val="51"/>
    <w:rsid w:val="00C1281D"/>
    <w:pPr>
      <w:spacing w:after="0" w:line="240" w:lineRule="auto"/>
    </w:pPr>
    <w:rPr>
      <w:rFonts w:ascii="Calibri" w:eastAsia="Calibri" w:hAnsi="Calibri" w:cs="Times New Roman"/>
      <w:color w:val="707070"/>
      <w:sz w:val="20"/>
      <w:szCs w:val="20"/>
    </w:rPr>
    <w:tblPr>
      <w:tblStyleRowBandSize w:val="1"/>
      <w:tblStyleColBandSize w:val="1"/>
      <w:tblBorders>
        <w:top w:val="single" w:sz="4" w:space="0" w:color="969696"/>
        <w:bottom w:val="single" w:sz="4" w:space="0" w:color="969696"/>
      </w:tblBorders>
    </w:tblPr>
    <w:tblStylePr w:type="firstRow">
      <w:rPr>
        <w:b/>
        <w:bCs/>
      </w:rPr>
      <w:tblPr/>
      <w:tcPr>
        <w:tcBorders>
          <w:bottom w:val="single" w:sz="4" w:space="0" w:color="969696"/>
        </w:tcBorders>
      </w:tcPr>
    </w:tblStylePr>
    <w:tblStylePr w:type="lastRow">
      <w:rPr>
        <w:b/>
        <w:bCs/>
      </w:rPr>
      <w:tblPr/>
      <w:tcPr>
        <w:tcBorders>
          <w:top w:val="double" w:sz="4" w:space="0" w:color="969696"/>
        </w:tcBorders>
      </w:tcPr>
    </w:tblStylePr>
    <w:tblStylePr w:type="firstCol">
      <w:rPr>
        <w:b/>
        <w:bCs/>
      </w:rPr>
    </w:tblStylePr>
    <w:tblStylePr w:type="lastCol">
      <w:rPr>
        <w:b/>
        <w:bCs/>
      </w:rPr>
    </w:tblStylePr>
    <w:tblStylePr w:type="band1Vert">
      <w:tblPr/>
      <w:tcPr>
        <w:shd w:val="clear" w:color="auto" w:fill="EAEAEA"/>
      </w:tcPr>
    </w:tblStylePr>
    <w:tblStylePr w:type="band1Horz">
      <w:tblPr/>
      <w:tcPr>
        <w:shd w:val="clear" w:color="auto" w:fill="EAEAEA"/>
      </w:tcPr>
    </w:tblStylePr>
  </w:style>
  <w:style w:type="table" w:customStyle="1" w:styleId="GridTable1Light-Accent122">
    <w:name w:val="Grid Table 1 Light - Accent 122"/>
    <w:basedOn w:val="TableNormal"/>
    <w:next w:val="GridTable1Light-Accent13"/>
    <w:uiPriority w:val="46"/>
    <w:rsid w:val="00C1281D"/>
    <w:pPr>
      <w:spacing w:after="0" w:line="240" w:lineRule="auto"/>
    </w:pPr>
    <w:tblPr>
      <w:tblStyleRowBandSize w:val="1"/>
      <w:tblStyleColBandSize w:val="1"/>
      <w:tblBorders>
        <w:top w:val="single" w:sz="4" w:space="0" w:color="F8B4A6"/>
        <w:left w:val="single" w:sz="4" w:space="0" w:color="F8B4A6"/>
        <w:bottom w:val="single" w:sz="4" w:space="0" w:color="F8B4A6"/>
        <w:right w:val="single" w:sz="4" w:space="0" w:color="F8B4A6"/>
        <w:insideH w:val="single" w:sz="4" w:space="0" w:color="F8B4A6"/>
        <w:insideV w:val="single" w:sz="4" w:space="0" w:color="F8B4A6"/>
      </w:tblBorders>
    </w:tblPr>
    <w:tblStylePr w:type="firstRow">
      <w:rPr>
        <w:b/>
        <w:bCs/>
      </w:rPr>
      <w:tblPr/>
      <w:tcPr>
        <w:tcBorders>
          <w:bottom w:val="single" w:sz="12" w:space="0" w:color="F58F7A"/>
        </w:tcBorders>
      </w:tcPr>
    </w:tblStylePr>
    <w:tblStylePr w:type="lastRow">
      <w:rPr>
        <w:b/>
        <w:bCs/>
      </w:rPr>
      <w:tblPr/>
      <w:tcPr>
        <w:tcBorders>
          <w:top w:val="double" w:sz="2" w:space="0" w:color="F58F7A"/>
        </w:tcBorders>
      </w:tcPr>
    </w:tblStylePr>
    <w:tblStylePr w:type="firstCol">
      <w:rPr>
        <w:b/>
        <w:bCs/>
      </w:rPr>
    </w:tblStylePr>
    <w:tblStylePr w:type="lastCol">
      <w:rPr>
        <w:b/>
        <w:bCs/>
      </w:rPr>
    </w:tblStylePr>
  </w:style>
  <w:style w:type="table" w:customStyle="1" w:styleId="ListTable1Light-Accent122">
    <w:name w:val="List Table 1 Light - Accent 122"/>
    <w:basedOn w:val="TableNormal"/>
    <w:next w:val="ListTable1Light-Accent13"/>
    <w:uiPriority w:val="46"/>
    <w:rsid w:val="00C1281D"/>
    <w:pPr>
      <w:spacing w:after="0" w:line="240" w:lineRule="auto"/>
    </w:pPr>
    <w:tblPr>
      <w:tblStyleRowBandSize w:val="1"/>
      <w:tblStyleColBandSize w:val="1"/>
    </w:tblPr>
    <w:tblStylePr w:type="firstRow">
      <w:rPr>
        <w:b/>
        <w:bCs/>
      </w:rPr>
      <w:tblPr/>
      <w:tcPr>
        <w:tcBorders>
          <w:bottom w:val="single" w:sz="4" w:space="0" w:color="F58F7A"/>
        </w:tcBorders>
      </w:tcPr>
    </w:tblStylePr>
    <w:tblStylePr w:type="lastRow">
      <w:rPr>
        <w:b/>
        <w:bCs/>
      </w:rPr>
      <w:tblPr/>
      <w:tcPr>
        <w:tcBorders>
          <w:top w:val="single" w:sz="4" w:space="0" w:color="F58F7A"/>
        </w:tcBorders>
      </w:tcPr>
    </w:tblStylePr>
    <w:tblStylePr w:type="firstCol">
      <w:rPr>
        <w:b/>
        <w:bCs/>
      </w:rPr>
    </w:tblStylePr>
    <w:tblStylePr w:type="lastCol">
      <w:rPr>
        <w:b/>
        <w:bCs/>
      </w:rPr>
    </w:tblStylePr>
    <w:tblStylePr w:type="band1Vert">
      <w:tblPr/>
      <w:tcPr>
        <w:shd w:val="clear" w:color="auto" w:fill="FBD9D2"/>
      </w:tcPr>
    </w:tblStylePr>
    <w:tblStylePr w:type="band1Horz">
      <w:tblPr/>
      <w:tcPr>
        <w:shd w:val="clear" w:color="auto" w:fill="FBD9D2"/>
      </w:tcPr>
    </w:tblStylePr>
  </w:style>
  <w:style w:type="table" w:customStyle="1" w:styleId="ListTable2-Accent122">
    <w:name w:val="List Table 2 - Accent 122"/>
    <w:basedOn w:val="TableNormal"/>
    <w:next w:val="ListTable2-Accent13"/>
    <w:uiPriority w:val="47"/>
    <w:rsid w:val="00C1281D"/>
    <w:pPr>
      <w:spacing w:after="0" w:line="240" w:lineRule="auto"/>
    </w:pPr>
    <w:tblPr>
      <w:tblStyleRowBandSize w:val="1"/>
      <w:tblStyleColBandSize w:val="1"/>
      <w:tblBorders>
        <w:top w:val="single" w:sz="4" w:space="0" w:color="F58F7A"/>
        <w:bottom w:val="single" w:sz="4" w:space="0" w:color="F58F7A"/>
        <w:insideH w:val="single" w:sz="4" w:space="0" w:color="F58F7A"/>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D9D2"/>
      </w:tcPr>
    </w:tblStylePr>
    <w:tblStylePr w:type="band1Horz">
      <w:tblPr/>
      <w:tcPr>
        <w:shd w:val="clear" w:color="auto" w:fill="FBD9D2"/>
      </w:tcPr>
    </w:tblStylePr>
  </w:style>
  <w:style w:type="table" w:customStyle="1" w:styleId="ListTable2-Accent522">
    <w:name w:val="List Table 2 - Accent 522"/>
    <w:basedOn w:val="TableNormal"/>
    <w:next w:val="ListTable2-Accent53"/>
    <w:uiPriority w:val="47"/>
    <w:rsid w:val="00C1281D"/>
    <w:pPr>
      <w:spacing w:after="0" w:line="240" w:lineRule="auto"/>
    </w:pPr>
    <w:tblPr>
      <w:tblStyleRowBandSize w:val="1"/>
      <w:tblStyleColBandSize w:val="1"/>
      <w:tblBorders>
        <w:top w:val="single" w:sz="4" w:space="0" w:color="9F9F9F"/>
        <w:bottom w:val="single" w:sz="4" w:space="0" w:color="9F9F9F"/>
        <w:insideH w:val="single" w:sz="4" w:space="0" w:color="9F9F9F"/>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FDFDF"/>
      </w:tcPr>
    </w:tblStylePr>
    <w:tblStylePr w:type="band1Horz">
      <w:tblPr/>
      <w:tcPr>
        <w:shd w:val="clear" w:color="auto" w:fill="DFDFDF"/>
      </w:tcPr>
    </w:tblStylePr>
  </w:style>
  <w:style w:type="table" w:customStyle="1" w:styleId="GridTable2-Accent522">
    <w:name w:val="Grid Table 2 - Accent 522"/>
    <w:basedOn w:val="TableNormal"/>
    <w:next w:val="GridTable2-Accent53"/>
    <w:uiPriority w:val="47"/>
    <w:rsid w:val="00C1281D"/>
    <w:pPr>
      <w:spacing w:after="0" w:line="240" w:lineRule="auto"/>
    </w:pPr>
    <w:tblPr>
      <w:tblStyleRowBandSize w:val="1"/>
      <w:tblStyleColBandSize w:val="1"/>
      <w:tblBorders>
        <w:top w:val="single" w:sz="2" w:space="0" w:color="9F9F9F"/>
        <w:bottom w:val="single" w:sz="2" w:space="0" w:color="9F9F9F"/>
        <w:insideH w:val="single" w:sz="2" w:space="0" w:color="9F9F9F"/>
        <w:insideV w:val="single" w:sz="2" w:space="0" w:color="9F9F9F"/>
      </w:tblBorders>
    </w:tblPr>
    <w:tblStylePr w:type="firstRow">
      <w:rPr>
        <w:b/>
        <w:bCs/>
      </w:rPr>
      <w:tblPr/>
      <w:tcPr>
        <w:tcBorders>
          <w:top w:val="nil"/>
          <w:bottom w:val="single" w:sz="12" w:space="0" w:color="9F9F9F"/>
          <w:insideH w:val="nil"/>
          <w:insideV w:val="nil"/>
        </w:tcBorders>
        <w:shd w:val="clear" w:color="auto" w:fill="FFFFFF"/>
      </w:tcPr>
    </w:tblStylePr>
    <w:tblStylePr w:type="lastRow">
      <w:rPr>
        <w:b/>
        <w:bCs/>
      </w:rPr>
      <w:tblPr/>
      <w:tcPr>
        <w:tcBorders>
          <w:top w:val="double" w:sz="2" w:space="0" w:color="9F9F9F"/>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FDFDF"/>
      </w:tcPr>
    </w:tblStylePr>
    <w:tblStylePr w:type="band1Horz">
      <w:tblPr/>
      <w:tcPr>
        <w:shd w:val="clear" w:color="auto" w:fill="DFDFDF"/>
      </w:tcPr>
    </w:tblStylePr>
  </w:style>
  <w:style w:type="table" w:customStyle="1" w:styleId="GridTable6Colorful-Accent4112">
    <w:name w:val="Grid Table 6 Colorful - Accent 4112"/>
    <w:basedOn w:val="TableNormal"/>
    <w:uiPriority w:val="51"/>
    <w:rsid w:val="00C1281D"/>
    <w:pPr>
      <w:spacing w:after="0" w:line="240" w:lineRule="auto"/>
    </w:pPr>
    <w:rPr>
      <w:color w:val="5F5F5F"/>
    </w:rPr>
    <w:tblPr>
      <w:tblStyleRowBandSize w:val="1"/>
      <w:tblStyleColBandSize w:val="1"/>
      <w:tblBorders>
        <w:top w:val="single" w:sz="4" w:space="0" w:color="B2B2B2"/>
        <w:left w:val="single" w:sz="4" w:space="0" w:color="B2B2B2"/>
        <w:bottom w:val="single" w:sz="4" w:space="0" w:color="B2B2B2"/>
        <w:right w:val="single" w:sz="4" w:space="0" w:color="B2B2B2"/>
        <w:insideH w:val="single" w:sz="4" w:space="0" w:color="B2B2B2"/>
        <w:insideV w:val="single" w:sz="4" w:space="0" w:color="B2B2B2"/>
      </w:tblBorders>
    </w:tblPr>
    <w:tblStylePr w:type="firstRow">
      <w:rPr>
        <w:b/>
        <w:bCs/>
      </w:rPr>
      <w:tblPr/>
      <w:tcPr>
        <w:tcBorders>
          <w:bottom w:val="single" w:sz="12" w:space="0" w:color="B2B2B2"/>
        </w:tcBorders>
      </w:tcPr>
    </w:tblStylePr>
    <w:tblStylePr w:type="lastRow">
      <w:rPr>
        <w:b/>
        <w:bCs/>
      </w:rPr>
      <w:tblPr/>
      <w:tcPr>
        <w:tcBorders>
          <w:top w:val="double" w:sz="4" w:space="0" w:color="B2B2B2"/>
        </w:tcBorders>
      </w:tcPr>
    </w:tblStylePr>
    <w:tblStylePr w:type="firstCol">
      <w:rPr>
        <w:b/>
        <w:bCs/>
      </w:rPr>
    </w:tblStylePr>
    <w:tblStylePr w:type="lastCol">
      <w:rPr>
        <w:b/>
        <w:bCs/>
      </w:rPr>
    </w:tblStylePr>
    <w:tblStylePr w:type="band1Vert">
      <w:tblPr/>
      <w:tcPr>
        <w:shd w:val="clear" w:color="auto" w:fill="E5E5E5"/>
      </w:tcPr>
    </w:tblStylePr>
    <w:tblStylePr w:type="band1Horz">
      <w:tblPr/>
      <w:tcPr>
        <w:shd w:val="clear" w:color="auto" w:fill="E5E5E5"/>
      </w:tcPr>
    </w:tblStylePr>
  </w:style>
  <w:style w:type="table" w:customStyle="1" w:styleId="GridTable6Colorful-Accent3112">
    <w:name w:val="Grid Table 6 Colorful - Accent 3112"/>
    <w:basedOn w:val="TableNormal"/>
    <w:uiPriority w:val="51"/>
    <w:rsid w:val="00C1281D"/>
    <w:pPr>
      <w:spacing w:after="0" w:line="240" w:lineRule="auto"/>
    </w:pPr>
    <w:rPr>
      <w:rFonts w:ascii="Calibri" w:eastAsia="Calibri" w:hAnsi="Calibri" w:cs="Times New Roman"/>
      <w:color w:val="707070"/>
      <w:sz w:val="20"/>
      <w:szCs w:val="20"/>
    </w:rPr>
    <w:tblPr>
      <w:tblStyleRowBandSize w:val="1"/>
      <w:tblStyleColBandSize w:val="1"/>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Pr>
    <w:tblStylePr w:type="firstRow">
      <w:rPr>
        <w:b/>
        <w:bCs/>
      </w:rPr>
      <w:tblPr/>
      <w:tcPr>
        <w:tcBorders>
          <w:bottom w:val="single" w:sz="12" w:space="0" w:color="C0C0C0"/>
        </w:tcBorders>
      </w:tcPr>
    </w:tblStylePr>
    <w:tblStylePr w:type="lastRow">
      <w:rPr>
        <w:b/>
        <w:bCs/>
      </w:rPr>
      <w:tblPr/>
      <w:tcPr>
        <w:tcBorders>
          <w:top w:val="double" w:sz="4" w:space="0" w:color="C0C0C0"/>
        </w:tcBorders>
      </w:tcPr>
    </w:tblStylePr>
    <w:tblStylePr w:type="firstCol">
      <w:rPr>
        <w:b/>
        <w:bCs/>
      </w:rPr>
    </w:tblStylePr>
    <w:tblStylePr w:type="lastCol">
      <w:rPr>
        <w:b/>
        <w:bCs/>
      </w:rPr>
    </w:tblStylePr>
    <w:tblStylePr w:type="band1Vert">
      <w:tblPr/>
      <w:tcPr>
        <w:shd w:val="clear" w:color="auto" w:fill="EAEAEA"/>
      </w:tcPr>
    </w:tblStylePr>
    <w:tblStylePr w:type="band1Horz">
      <w:tblPr/>
      <w:tcPr>
        <w:shd w:val="clear" w:color="auto" w:fill="EAEAEA"/>
      </w:tcPr>
    </w:tblStylePr>
  </w:style>
  <w:style w:type="table" w:customStyle="1" w:styleId="TableGrid212">
    <w:name w:val="Table Grid212"/>
    <w:basedOn w:val="TableNormal"/>
    <w:next w:val="TableGrid"/>
    <w:uiPriority w:val="39"/>
    <w:rsid w:val="00C1281D"/>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LightShading-Accent12412">
    <w:name w:val="Light Shading - Accent 12412"/>
    <w:basedOn w:val="TableNormal"/>
    <w:uiPriority w:val="60"/>
    <w:rsid w:val="00C1281D"/>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512">
    <w:name w:val="Light Shading - Accent 12512"/>
    <w:basedOn w:val="TableNormal"/>
    <w:uiPriority w:val="60"/>
    <w:rsid w:val="00C1281D"/>
    <w:pPr>
      <w:spacing w:after="0" w:line="240"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3">
    <w:name w:val="Light Shading3"/>
    <w:basedOn w:val="TableNormal"/>
    <w:next w:val="LightShading"/>
    <w:uiPriority w:val="60"/>
    <w:semiHidden/>
    <w:unhideWhenUsed/>
    <w:rsid w:val="00C1281D"/>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GridTable6Colorful-Accent55">
    <w:name w:val="Grid Table 6 Colorful - Accent 55"/>
    <w:basedOn w:val="TableNormal"/>
    <w:next w:val="GridTable6Colorful-Accent54"/>
    <w:uiPriority w:val="51"/>
    <w:rsid w:val="00C1281D"/>
    <w:pPr>
      <w:spacing w:after="0" w:line="240" w:lineRule="auto"/>
    </w:pPr>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GridTable6Colorful-Accent14">
    <w:name w:val="Grid Table 6 Colorful - Accent 14"/>
    <w:basedOn w:val="TableNormal"/>
    <w:next w:val="GridTable6Colorful-Accent13"/>
    <w:uiPriority w:val="51"/>
    <w:rsid w:val="00C1281D"/>
    <w:pPr>
      <w:spacing w:after="0" w:line="240" w:lineRule="auto"/>
    </w:pPr>
    <w:rPr>
      <w:color w:val="2E74B5" w:themeColor="accent1" w:themeShade="BF"/>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LightShading-Accent16">
    <w:name w:val="Light Shading - Accent 16"/>
    <w:basedOn w:val="TableNormal"/>
    <w:next w:val="LightShading-Accent1"/>
    <w:uiPriority w:val="60"/>
    <w:semiHidden/>
    <w:unhideWhenUsed/>
    <w:rsid w:val="00C1281D"/>
    <w:pPr>
      <w:spacing w:after="0" w:line="240" w:lineRule="auto"/>
    </w:pPr>
    <w:rPr>
      <w:color w:val="2E74B5" w:themeColor="accent1" w:themeShade="BF"/>
    </w:rPr>
    <w:tblPr>
      <w:tblStyleRowBandSize w:val="1"/>
      <w:tblStyleColBandSize w:val="1"/>
      <w:tblBorders>
        <w:top w:val="single" w:sz="8" w:space="0" w:color="5B9BD5" w:themeColor="accent1"/>
        <w:bottom w:val="single" w:sz="8" w:space="0" w:color="5B9BD5" w:themeColor="accent1"/>
      </w:tblBorders>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table" w:customStyle="1" w:styleId="LightShading-Accent64">
    <w:name w:val="Light Shading - Accent 64"/>
    <w:basedOn w:val="TableNormal"/>
    <w:next w:val="LightShading-Accent6"/>
    <w:uiPriority w:val="60"/>
    <w:semiHidden/>
    <w:unhideWhenUsed/>
    <w:rsid w:val="00C1281D"/>
    <w:pPr>
      <w:spacing w:after="0" w:line="240" w:lineRule="auto"/>
    </w:pPr>
    <w:rPr>
      <w:color w:val="538135" w:themeColor="accent6" w:themeShade="BF"/>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customStyle="1" w:styleId="GridTable6Colorful-Accent44">
    <w:name w:val="Grid Table 6 Colorful - Accent 44"/>
    <w:basedOn w:val="TableNormal"/>
    <w:next w:val="GridTable6Colorful-Accent43"/>
    <w:uiPriority w:val="51"/>
    <w:rsid w:val="00C1281D"/>
    <w:pPr>
      <w:spacing w:after="0" w:line="240" w:lineRule="auto"/>
    </w:pPr>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GridTable6Colorful-Accent34">
    <w:name w:val="Grid Table 6 Colorful - Accent 34"/>
    <w:basedOn w:val="TableNormal"/>
    <w:next w:val="GridTable6Colorful-Accent33"/>
    <w:uiPriority w:val="51"/>
    <w:rsid w:val="00C1281D"/>
    <w:pPr>
      <w:spacing w:after="0" w:line="240" w:lineRule="auto"/>
    </w:pPr>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Accent54">
    <w:name w:val="Grid Table 4 - Accent 54"/>
    <w:basedOn w:val="TableNormal"/>
    <w:next w:val="GridTable4-Accent53"/>
    <w:uiPriority w:val="49"/>
    <w:rsid w:val="00C1281D"/>
    <w:pPr>
      <w:spacing w:after="0" w:line="240" w:lineRule="auto"/>
    </w:p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GridTable5Dark-Accent54">
    <w:name w:val="Grid Table 5 Dark - Accent 54"/>
    <w:basedOn w:val="TableNormal"/>
    <w:next w:val="GridTable5Dark-Accent53"/>
    <w:uiPriority w:val="50"/>
    <w:rsid w:val="00C1281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ListTable6Colorful-Accent34">
    <w:name w:val="List Table 6 Colorful - Accent 34"/>
    <w:basedOn w:val="TableNormal"/>
    <w:next w:val="ListTable6Colorful-Accent33"/>
    <w:uiPriority w:val="51"/>
    <w:rsid w:val="00C1281D"/>
    <w:pPr>
      <w:spacing w:after="0" w:line="240" w:lineRule="auto"/>
    </w:pPr>
    <w:rPr>
      <w:color w:val="7B7B7B" w:themeColor="accent3" w:themeShade="BF"/>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Accent14">
    <w:name w:val="Grid Table 1 Light - Accent 14"/>
    <w:basedOn w:val="TableNormal"/>
    <w:next w:val="GridTable1Light-Accent13"/>
    <w:uiPriority w:val="46"/>
    <w:rsid w:val="00C1281D"/>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customStyle="1" w:styleId="ListTable1Light-Accent14">
    <w:name w:val="List Table 1 Light - Accent 14"/>
    <w:basedOn w:val="TableNormal"/>
    <w:next w:val="ListTable1Light-Accent13"/>
    <w:uiPriority w:val="46"/>
    <w:rsid w:val="00C1281D"/>
    <w:pPr>
      <w:spacing w:after="0" w:line="240" w:lineRule="auto"/>
    </w:pPr>
    <w:tblPr>
      <w:tblStyleRowBandSize w:val="1"/>
      <w:tblStyleColBandSize w:val="1"/>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ListTable2-Accent14">
    <w:name w:val="List Table 2 - Accent 14"/>
    <w:basedOn w:val="TableNormal"/>
    <w:next w:val="ListTable2-Accent13"/>
    <w:uiPriority w:val="47"/>
    <w:rsid w:val="00C1281D"/>
    <w:pPr>
      <w:spacing w:after="0" w:line="240" w:lineRule="auto"/>
    </w:pPr>
    <w:tblPr>
      <w:tblStyleRowBandSize w:val="1"/>
      <w:tblStyleColBandSize w:val="1"/>
      <w:tblBorders>
        <w:top w:val="single" w:sz="4" w:space="0" w:color="9CC2E5" w:themeColor="accent1" w:themeTint="99"/>
        <w:bottom w:val="single" w:sz="4" w:space="0" w:color="9CC2E5" w:themeColor="accent1" w:themeTint="99"/>
        <w:insideH w:val="single" w:sz="4" w:space="0" w:color="9CC2E5"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ListTable2-Accent54">
    <w:name w:val="List Table 2 - Accent 54"/>
    <w:basedOn w:val="TableNormal"/>
    <w:next w:val="ListTable2-Accent53"/>
    <w:uiPriority w:val="47"/>
    <w:rsid w:val="00C1281D"/>
    <w:pPr>
      <w:spacing w:after="0" w:line="240" w:lineRule="auto"/>
    </w:pPr>
    <w:tblPr>
      <w:tblStyleRowBandSize w:val="1"/>
      <w:tblStyleColBandSize w:val="1"/>
      <w:tblBorders>
        <w:top w:val="single" w:sz="4" w:space="0" w:color="8EAADB" w:themeColor="accent5" w:themeTint="99"/>
        <w:bottom w:val="single" w:sz="4" w:space="0" w:color="8EAADB" w:themeColor="accent5" w:themeTint="99"/>
        <w:insideH w:val="single" w:sz="4" w:space="0" w:color="8EAADB"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GridTable2-Accent54">
    <w:name w:val="Grid Table 2 - Accent 54"/>
    <w:basedOn w:val="TableNormal"/>
    <w:next w:val="GridTable2-Accent53"/>
    <w:uiPriority w:val="47"/>
    <w:rsid w:val="00C1281D"/>
    <w:pPr>
      <w:spacing w:after="0" w:line="240" w:lineRule="auto"/>
    </w:pPr>
    <w:tblPr>
      <w:tblStyleRowBandSize w:val="1"/>
      <w:tblStyleColBandSize w:val="1"/>
      <w:tblBorders>
        <w:top w:val="single" w:sz="2" w:space="0" w:color="8EAADB" w:themeColor="accent5" w:themeTint="99"/>
        <w:bottom w:val="single" w:sz="2" w:space="0" w:color="8EAADB" w:themeColor="accent5" w:themeTint="99"/>
        <w:insideH w:val="single" w:sz="2" w:space="0" w:color="8EAADB" w:themeColor="accent5" w:themeTint="99"/>
        <w:insideV w:val="single" w:sz="2" w:space="0" w:color="8EAADB" w:themeColor="accent5" w:themeTint="99"/>
      </w:tblBorders>
    </w:tblPr>
    <w:tblStylePr w:type="firstRow">
      <w:rPr>
        <w:b/>
        <w:bCs/>
      </w:rPr>
      <w:tblPr/>
      <w:tcPr>
        <w:tcBorders>
          <w:top w:val="nil"/>
          <w:bottom w:val="single" w:sz="12" w:space="0" w:color="8EAADB" w:themeColor="accent5" w:themeTint="99"/>
          <w:insideH w:val="nil"/>
          <w:insideV w:val="nil"/>
        </w:tcBorders>
        <w:shd w:val="clear" w:color="auto" w:fill="FFFFFF" w:themeFill="background1"/>
      </w:tcPr>
    </w:tblStylePr>
    <w:tblStylePr w:type="lastRow">
      <w:rPr>
        <w:b/>
        <w:bCs/>
      </w:rPr>
      <w:tblPr/>
      <w:tcPr>
        <w:tcBorders>
          <w:top w:val="double" w:sz="2" w:space="0" w:color="8EAADB"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LightShading-Accent337">
    <w:name w:val="Light Shading - Accent 337"/>
    <w:basedOn w:val="TableNormal"/>
    <w:next w:val="LightShading-Accent3"/>
    <w:uiPriority w:val="60"/>
    <w:rsid w:val="00C1281D"/>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8">
    <w:name w:val="Light Shading - Accent 338"/>
    <w:basedOn w:val="TableNormal"/>
    <w:next w:val="LightShading-Accent3"/>
    <w:uiPriority w:val="60"/>
    <w:rsid w:val="00C1281D"/>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paragraph" w:customStyle="1" w:styleId="Normal1">
    <w:name w:val="Normal1"/>
    <w:rsid w:val="00913C14"/>
    <w:pPr>
      <w:pBdr>
        <w:top w:val="nil"/>
        <w:left w:val="nil"/>
        <w:bottom w:val="nil"/>
        <w:right w:val="nil"/>
        <w:between w:val="nil"/>
      </w:pBdr>
    </w:pPr>
    <w:rPr>
      <w:rFonts w:ascii="Calibri" w:eastAsia="Calibri" w:hAnsi="Calibri" w:cs="Calibri"/>
      <w:color w:val="000000"/>
    </w:rPr>
  </w:style>
  <w:style w:type="table" w:customStyle="1" w:styleId="ListTable6Colorful-Accent61">
    <w:name w:val="List Table 6 Colorful - Accent 61"/>
    <w:basedOn w:val="TableNormal"/>
    <w:uiPriority w:val="51"/>
    <w:rsid w:val="008D3366"/>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customStyle="1" w:styleId="GlavnitekstGI">
    <w:name w:val="Glavni tekstGI"/>
    <w:basedOn w:val="Normal"/>
    <w:rsid w:val="00A20FB9"/>
    <w:pPr>
      <w:spacing w:before="40" w:after="40" w:line="300" w:lineRule="exact"/>
      <w:ind w:firstLine="357"/>
    </w:pPr>
    <w:rPr>
      <w:rFonts w:cs="Times New Roman"/>
    </w:rPr>
  </w:style>
  <w:style w:type="table" w:customStyle="1" w:styleId="TableGrid6">
    <w:name w:val="Table Grid6"/>
    <w:basedOn w:val="TableNormal"/>
    <w:next w:val="TableGrid"/>
    <w:uiPriority w:val="59"/>
    <w:rsid w:val="00E84619"/>
    <w:pPr>
      <w:spacing w:after="0" w:line="240" w:lineRule="auto"/>
    </w:pPr>
    <w:rPr>
      <w:rFonts w:ascii="Constantia" w:eastAsia="Constantia" w:hAnsi="Constant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1">
    <w:name w:val="Footnote Text Char1"/>
    <w:aliases w:val="Char Char Char Char1,Footnote Text Char Char Char Char1,Footnote Text Char Char Char2,single space Char1,ft Char1,ft Char Char Char Char1,ft Char Char Char2,Fußnote Char1, Char Char Char Char1,footnote text Char1,FOOTNOTES Char1"/>
    <w:basedOn w:val="DefaultParagraphFont"/>
    <w:uiPriority w:val="99"/>
    <w:locked/>
    <w:rsid w:val="00E84619"/>
    <w:rPr>
      <w:rFonts w:cs="Times New Roman"/>
      <w:sz w:val="20"/>
      <w:szCs w:val="20"/>
    </w:rPr>
  </w:style>
  <w:style w:type="paragraph" w:customStyle="1" w:styleId="Glavnitekst">
    <w:name w:val="Glavni tekst"/>
    <w:basedOn w:val="BodyTextIndent"/>
    <w:rsid w:val="00E84619"/>
    <w:pPr>
      <w:spacing w:after="240" w:line="240" w:lineRule="exact"/>
      <w:ind w:firstLine="0"/>
      <w:jc w:val="both"/>
    </w:pPr>
    <w:rPr>
      <w:rFonts w:ascii="Times New Roman" w:eastAsia="Times New Roman" w:hAnsi="Times New Roman"/>
      <w:bCs w:val="0"/>
      <w:color w:val="auto"/>
      <w:sz w:val="20"/>
      <w:szCs w:val="20"/>
      <w:lang w:val="sr-Latn-CS"/>
    </w:rPr>
  </w:style>
  <w:style w:type="paragraph" w:customStyle="1" w:styleId="EFP2012tekst">
    <w:name w:val="EFP 2012 tekst"/>
    <w:basedOn w:val="Normal"/>
    <w:uiPriority w:val="99"/>
    <w:rsid w:val="00E84619"/>
    <w:pPr>
      <w:ind w:firstLine="709"/>
    </w:pPr>
    <w:rPr>
      <w:rFonts w:ascii="Cambria" w:eastAsia="Constantia" w:hAnsi="Cambria" w:cs="Times New Roman"/>
      <w:color w:val="262626"/>
      <w:sz w:val="21"/>
      <w:lang w:val="sr-Cyrl-CS"/>
    </w:rPr>
  </w:style>
  <w:style w:type="paragraph" w:customStyle="1" w:styleId="EFPNaslov2">
    <w:name w:val="EFP Naslov 2"/>
    <w:basedOn w:val="Normal"/>
    <w:link w:val="EFPNaslov2Char"/>
    <w:rsid w:val="00E84619"/>
    <w:pPr>
      <w:keepNext/>
      <w:keepLines/>
      <w:numPr>
        <w:ilvl w:val="1"/>
        <w:numId w:val="8"/>
      </w:numPr>
      <w:spacing w:before="200" w:after="0"/>
      <w:outlineLvl w:val="1"/>
    </w:pPr>
    <w:rPr>
      <w:rFonts w:ascii="Constantia" w:eastAsia="Times New Roman" w:hAnsi="Constantia" w:cs="Times New Roman"/>
      <w:b/>
      <w:bCs/>
      <w:color w:val="76923C"/>
      <w:sz w:val="21"/>
      <w:szCs w:val="26"/>
      <w:lang w:val="sr-Cyrl-CS"/>
    </w:rPr>
  </w:style>
  <w:style w:type="character" w:customStyle="1" w:styleId="EFPNaslov2Char">
    <w:name w:val="EFP Naslov 2 Char"/>
    <w:link w:val="EFPNaslov2"/>
    <w:rsid w:val="00E84619"/>
    <w:rPr>
      <w:rFonts w:ascii="Constantia" w:eastAsia="Times New Roman" w:hAnsi="Constantia" w:cs="Times New Roman"/>
      <w:b/>
      <w:bCs/>
      <w:color w:val="76923C"/>
      <w:sz w:val="21"/>
      <w:szCs w:val="26"/>
      <w:lang w:val="sr-Cyrl-CS"/>
    </w:rPr>
  </w:style>
  <w:style w:type="table" w:customStyle="1" w:styleId="tabele37">
    <w:name w:val="tabele 37"/>
    <w:basedOn w:val="TableNormal"/>
    <w:next w:val="LightList-Accent3"/>
    <w:uiPriority w:val="61"/>
    <w:rsid w:val="00E84619"/>
    <w:pPr>
      <w:spacing w:after="0" w:line="240" w:lineRule="auto"/>
    </w:pPr>
    <w:rPr>
      <w:rFonts w:ascii="Cambria Math" w:eastAsia="Calibri" w:hAnsi="Cambria Math" w:cs="Times New Roman"/>
      <w:sz w:val="18"/>
      <w:szCs w:val="20"/>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ghtShading-Accent1116">
    <w:name w:val="Light Shading - Accent 1116"/>
    <w:basedOn w:val="TableNormal"/>
    <w:uiPriority w:val="60"/>
    <w:rsid w:val="00E84619"/>
    <w:pPr>
      <w:spacing w:after="0" w:line="240" w:lineRule="auto"/>
      <w:ind w:left="568" w:hanging="284"/>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317">
    <w:name w:val="Light Shading - Accent 317"/>
    <w:basedOn w:val="TableNormal"/>
    <w:next w:val="LightShading-Accent3"/>
    <w:uiPriority w:val="60"/>
    <w:rsid w:val="00E84619"/>
    <w:pPr>
      <w:spacing w:after="0" w:line="240" w:lineRule="auto"/>
    </w:pPr>
    <w:rPr>
      <w:rFonts w:ascii="Constantia" w:eastAsia="Constantia" w:hAnsi="Constantia" w:cs="Times New Roman"/>
      <w:color w:val="8CADAE"/>
      <w:sz w:val="20"/>
      <w:szCs w:val="20"/>
    </w:rPr>
    <w:tblPr>
      <w:tblStyleRowBandSize w:val="1"/>
      <w:tblStyleColBandSize w:val="1"/>
      <w:tblBorders>
        <w:top w:val="single" w:sz="8" w:space="0" w:color="8CADAE"/>
        <w:bottom w:val="single" w:sz="8" w:space="0" w:color="8CADAE"/>
      </w:tblBorders>
    </w:tblPr>
    <w:tblStylePr w:type="firstRow">
      <w:pPr>
        <w:spacing w:before="0" w:after="0" w:line="240" w:lineRule="auto"/>
      </w:pPr>
      <w:rPr>
        <w:b/>
        <w:bCs/>
      </w:rPr>
      <w:tblPr/>
      <w:tcPr>
        <w:tcBorders>
          <w:top w:val="single" w:sz="8" w:space="0" w:color="8CADAE"/>
          <w:left w:val="nil"/>
          <w:bottom w:val="single" w:sz="8" w:space="0" w:color="8CADAE"/>
          <w:right w:val="nil"/>
          <w:insideH w:val="nil"/>
          <w:insideV w:val="nil"/>
        </w:tcBorders>
      </w:tcPr>
    </w:tblStylePr>
    <w:tblStylePr w:type="lastRow">
      <w:pPr>
        <w:spacing w:before="0" w:after="0" w:line="240" w:lineRule="auto"/>
      </w:pPr>
      <w:rPr>
        <w:b/>
        <w:bCs/>
      </w:rPr>
      <w:tblPr/>
      <w:tcPr>
        <w:tcBorders>
          <w:top w:val="single" w:sz="8" w:space="0" w:color="8CADAE"/>
          <w:left w:val="nil"/>
          <w:bottom w:val="single" w:sz="8" w:space="0" w:color="8CADA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AEB"/>
      </w:tcPr>
    </w:tblStylePr>
    <w:tblStylePr w:type="band1Horz">
      <w:tblPr/>
      <w:tcPr>
        <w:tcBorders>
          <w:left w:val="nil"/>
          <w:right w:val="nil"/>
          <w:insideH w:val="nil"/>
          <w:insideV w:val="nil"/>
        </w:tcBorders>
        <w:shd w:val="clear" w:color="auto" w:fill="E2EAEB"/>
      </w:tcPr>
    </w:tblStylePr>
  </w:style>
  <w:style w:type="table" w:customStyle="1" w:styleId="LightList-Accent318">
    <w:name w:val="Light List - Accent 318"/>
    <w:basedOn w:val="TableNormal"/>
    <w:next w:val="LightList-Accent3"/>
    <w:uiPriority w:val="61"/>
    <w:rsid w:val="00E84619"/>
    <w:pPr>
      <w:spacing w:after="0" w:line="240" w:lineRule="auto"/>
    </w:pPr>
    <w:rPr>
      <w:rFonts w:ascii="Constantia" w:eastAsia="Constantia" w:hAnsi="Constantia" w:cs="Times New Roman"/>
      <w:sz w:val="20"/>
      <w:szCs w:val="20"/>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TableGrid14">
    <w:name w:val="Table Grid14"/>
    <w:basedOn w:val="TableNormal"/>
    <w:next w:val="TableGrid"/>
    <w:uiPriority w:val="39"/>
    <w:rsid w:val="00E84619"/>
    <w:pPr>
      <w:spacing w:after="0" w:line="240" w:lineRule="auto"/>
    </w:pPr>
    <w:rPr>
      <w:rFonts w:ascii="Constantia" w:eastAsia="Constantia" w:hAnsi="Constantia"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List-Accent517">
    <w:name w:val="Light List - Accent 517"/>
    <w:basedOn w:val="TableNormal"/>
    <w:next w:val="LightList-Accent5"/>
    <w:uiPriority w:val="61"/>
    <w:rsid w:val="00E84619"/>
    <w:pPr>
      <w:spacing w:after="0" w:line="240" w:lineRule="auto"/>
    </w:pPr>
    <w:rPr>
      <w:rFonts w:ascii="Times New Roman" w:eastAsia="Constantia" w:hAnsi="Times New Roman" w:cs="Times New Roman"/>
      <w:sz w:val="20"/>
      <w:szCs w:val="20"/>
    </w:rPr>
    <w:tblPr>
      <w:tblStyleRowBandSize w:val="1"/>
      <w:tblStyleColBandSize w:val="1"/>
      <w:tblBorders>
        <w:top w:val="single" w:sz="8" w:space="0" w:color="8FB08C"/>
        <w:left w:val="single" w:sz="8" w:space="0" w:color="8FB08C"/>
        <w:bottom w:val="single" w:sz="8" w:space="0" w:color="8FB08C"/>
        <w:right w:val="single" w:sz="8" w:space="0" w:color="8FB08C"/>
      </w:tblBorders>
    </w:tblPr>
    <w:tblStylePr w:type="firstRow">
      <w:pPr>
        <w:spacing w:before="0" w:after="0" w:line="240" w:lineRule="auto"/>
      </w:pPr>
      <w:rPr>
        <w:b/>
        <w:bCs/>
        <w:color w:val="FFFFFF"/>
      </w:rPr>
      <w:tblPr/>
      <w:tcPr>
        <w:shd w:val="clear" w:color="auto" w:fill="8FB08C"/>
      </w:tcPr>
    </w:tblStylePr>
    <w:tblStylePr w:type="lastRow">
      <w:pPr>
        <w:spacing w:before="0" w:after="0" w:line="240" w:lineRule="auto"/>
      </w:pPr>
      <w:rPr>
        <w:b/>
        <w:bCs/>
      </w:rPr>
      <w:tblPr/>
      <w:tcPr>
        <w:tcBorders>
          <w:top w:val="double" w:sz="6" w:space="0" w:color="8FB08C"/>
          <w:left w:val="single" w:sz="8" w:space="0" w:color="8FB08C"/>
          <w:bottom w:val="single" w:sz="8" w:space="0" w:color="8FB08C"/>
          <w:right w:val="single" w:sz="8" w:space="0" w:color="8FB08C"/>
        </w:tcBorders>
      </w:tcPr>
    </w:tblStylePr>
    <w:tblStylePr w:type="firstCol">
      <w:rPr>
        <w:b/>
        <w:bCs/>
      </w:rPr>
    </w:tblStylePr>
    <w:tblStylePr w:type="lastCol">
      <w:rPr>
        <w:b/>
        <w:bCs/>
      </w:rPr>
    </w:tblStylePr>
    <w:tblStylePr w:type="band1Vert">
      <w:tblPr/>
      <w:tcPr>
        <w:tcBorders>
          <w:top w:val="single" w:sz="8" w:space="0" w:color="8FB08C"/>
          <w:left w:val="single" w:sz="8" w:space="0" w:color="8FB08C"/>
          <w:bottom w:val="single" w:sz="8" w:space="0" w:color="8FB08C"/>
          <w:right w:val="single" w:sz="8" w:space="0" w:color="8FB08C"/>
        </w:tcBorders>
      </w:tcPr>
    </w:tblStylePr>
    <w:tblStylePr w:type="band1Horz">
      <w:tblPr/>
      <w:tcPr>
        <w:tcBorders>
          <w:top w:val="single" w:sz="8" w:space="0" w:color="8FB08C"/>
          <w:left w:val="single" w:sz="8" w:space="0" w:color="8FB08C"/>
          <w:bottom w:val="single" w:sz="8" w:space="0" w:color="8FB08C"/>
          <w:right w:val="single" w:sz="8" w:space="0" w:color="8FB08C"/>
        </w:tcBorders>
      </w:tcPr>
    </w:tblStylePr>
  </w:style>
  <w:style w:type="table" w:customStyle="1" w:styleId="MediumList1-Accent514">
    <w:name w:val="Medium List 1 - Accent 514"/>
    <w:basedOn w:val="TableNormal"/>
    <w:next w:val="MediumList1-Accent5"/>
    <w:uiPriority w:val="65"/>
    <w:rsid w:val="00E84619"/>
    <w:pPr>
      <w:spacing w:after="0" w:line="240" w:lineRule="auto"/>
    </w:pPr>
    <w:rPr>
      <w:rFonts w:ascii="Constantia" w:eastAsia="Constantia" w:hAnsi="Constantia" w:cs="Times New Roman"/>
      <w:color w:val="000000"/>
      <w:sz w:val="20"/>
      <w:szCs w:val="20"/>
    </w:rPr>
    <w:tblPr>
      <w:tblStyleRowBandSize w:val="1"/>
      <w:tblStyleColBandSize w:val="1"/>
      <w:tblBorders>
        <w:top w:val="single" w:sz="8" w:space="0" w:color="8FB08C"/>
        <w:bottom w:val="single" w:sz="8" w:space="0" w:color="8FB08C"/>
      </w:tblBorders>
    </w:tblPr>
    <w:tblStylePr w:type="firstRow">
      <w:rPr>
        <w:rFonts w:ascii="Constantia" w:eastAsia="Times New Roman" w:hAnsi="Constantia" w:cs="Times New Roman"/>
      </w:rPr>
      <w:tblPr/>
      <w:tcPr>
        <w:tcBorders>
          <w:top w:val="nil"/>
          <w:bottom w:val="single" w:sz="8" w:space="0" w:color="8FB08C"/>
        </w:tcBorders>
      </w:tcPr>
    </w:tblStylePr>
    <w:tblStylePr w:type="lastRow">
      <w:rPr>
        <w:b/>
        <w:bCs/>
        <w:color w:val="646B86"/>
      </w:rPr>
      <w:tblPr/>
      <w:tcPr>
        <w:tcBorders>
          <w:top w:val="single" w:sz="8" w:space="0" w:color="8FB08C"/>
          <w:bottom w:val="single" w:sz="8" w:space="0" w:color="8FB08C"/>
        </w:tcBorders>
      </w:tcPr>
    </w:tblStylePr>
    <w:tblStylePr w:type="firstCol">
      <w:rPr>
        <w:b/>
        <w:bCs/>
      </w:rPr>
    </w:tblStylePr>
    <w:tblStylePr w:type="lastCol">
      <w:rPr>
        <w:b/>
        <w:bCs/>
      </w:rPr>
      <w:tblPr/>
      <w:tcPr>
        <w:tcBorders>
          <w:top w:val="single" w:sz="8" w:space="0" w:color="8FB08C"/>
          <w:bottom w:val="single" w:sz="8" w:space="0" w:color="8FB08C"/>
        </w:tcBorders>
      </w:tcPr>
    </w:tblStylePr>
    <w:tblStylePr w:type="band1Vert">
      <w:tblPr/>
      <w:tcPr>
        <w:shd w:val="clear" w:color="auto" w:fill="E3EBE2"/>
      </w:tcPr>
    </w:tblStylePr>
    <w:tblStylePr w:type="band1Horz">
      <w:tblPr/>
      <w:tcPr>
        <w:shd w:val="clear" w:color="auto" w:fill="E3EBE2"/>
      </w:tcPr>
    </w:tblStylePr>
  </w:style>
  <w:style w:type="table" w:customStyle="1" w:styleId="MediumList1-Accent55">
    <w:name w:val="Medium List 1 - Accent 55"/>
    <w:basedOn w:val="TableNormal"/>
    <w:next w:val="MediumList1-Accent5"/>
    <w:uiPriority w:val="65"/>
    <w:rsid w:val="00E84619"/>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4BACC6"/>
        <w:bottom w:val="single" w:sz="8" w:space="0" w:color="4BACC6"/>
      </w:tblBorders>
    </w:tblPr>
    <w:tblStylePr w:type="firstRow">
      <w:rPr>
        <w:rFonts w:ascii="Constantia" w:eastAsia="Times New Roman" w:hAnsi="Constantia" w:cs="Times New Roman"/>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table" w:customStyle="1" w:styleId="LightGrid-Accent518">
    <w:name w:val="Light Grid - Accent 518"/>
    <w:basedOn w:val="TableNormal"/>
    <w:next w:val="LightGrid-Accent5"/>
    <w:uiPriority w:val="62"/>
    <w:rsid w:val="00E84619"/>
    <w:pPr>
      <w:spacing w:after="0" w:line="240" w:lineRule="auto"/>
      <w:jc w:val="both"/>
    </w:pPr>
    <w:rPr>
      <w:rFonts w:ascii="Calibri" w:eastAsia="Calibri" w:hAnsi="Calibri" w:cs="Times New Roman"/>
      <w:sz w:val="20"/>
      <w:szCs w:val="20"/>
      <w:lang w:val="sr-Latn-CS" w:eastAsia="en-GB"/>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Tahoma" w:eastAsia="Times New Roman" w:hAnsi="Tahom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Tahoma" w:eastAsia="Times New Roman" w:hAnsi="Tahom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Tahoma" w:eastAsia="Times New Roman" w:hAnsi="Tahoma" w:cs="Times New Roman"/>
        <w:b/>
        <w:bCs/>
      </w:rPr>
    </w:tblStylePr>
    <w:tblStylePr w:type="lastCol">
      <w:rPr>
        <w:rFonts w:ascii="Tahoma" w:eastAsia="Times New Roman" w:hAnsi="Tahom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117">
    <w:name w:val="Светло сенчење – наглашавање 117"/>
    <w:basedOn w:val="TableNormal"/>
    <w:uiPriority w:val="60"/>
    <w:rsid w:val="00E84619"/>
    <w:pPr>
      <w:spacing w:after="0" w:line="240" w:lineRule="auto"/>
      <w:jc w:val="both"/>
    </w:pPr>
    <w:rPr>
      <w:rFonts w:ascii="Calibri" w:eastAsia="Calibri" w:hAnsi="Calibri" w:cs="Times New Roman"/>
      <w:color w:val="365F91"/>
      <w:sz w:val="20"/>
      <w:szCs w:val="20"/>
      <w:lang w:val="sr-Latn-CS" w:eastAsia="en-GB"/>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Grid-Accent59">
    <w:name w:val="Light Grid - Accent 59"/>
    <w:basedOn w:val="TableNormal"/>
    <w:next w:val="LightGrid-Accent5"/>
    <w:uiPriority w:val="62"/>
    <w:rsid w:val="00E84619"/>
    <w:pPr>
      <w:spacing w:after="0" w:line="240" w:lineRule="auto"/>
    </w:pPr>
    <w:rPr>
      <w:rFonts w:ascii="Calibri" w:eastAsia="Calibri" w:hAnsi="Calibri" w:cs="Times New Roman"/>
      <w:sz w:val="20"/>
      <w:szCs w:val="20"/>
      <w:lang w:val="en-GB" w:eastAsia="en-GB"/>
    </w:rPr>
    <w:tblPr>
      <w:tblStyleRowBandSize w:val="1"/>
      <w:tblStyleColBandSize w:val="1"/>
      <w:tblBorders>
        <w:top w:val="single" w:sz="8" w:space="0" w:color="8FB08C"/>
        <w:left w:val="single" w:sz="8" w:space="0" w:color="8FB08C"/>
        <w:bottom w:val="single" w:sz="8" w:space="0" w:color="8FB08C"/>
        <w:right w:val="single" w:sz="8" w:space="0" w:color="8FB08C"/>
        <w:insideH w:val="single" w:sz="8" w:space="0" w:color="8FB08C"/>
        <w:insideV w:val="single" w:sz="8" w:space="0" w:color="8FB08C"/>
      </w:tblBorders>
    </w:tblPr>
    <w:tblStylePr w:type="firstRow">
      <w:pPr>
        <w:spacing w:before="0" w:after="0" w:line="240" w:lineRule="auto"/>
      </w:pPr>
      <w:rPr>
        <w:rFonts w:ascii="Tahoma" w:eastAsia="Times New Roman" w:hAnsi="Tahoma" w:cs="Times New Roman"/>
        <w:b/>
        <w:bCs/>
      </w:rPr>
      <w:tblPr/>
      <w:tcPr>
        <w:tcBorders>
          <w:top w:val="single" w:sz="8" w:space="0" w:color="8FB08C"/>
          <w:left w:val="single" w:sz="8" w:space="0" w:color="8FB08C"/>
          <w:bottom w:val="single" w:sz="18" w:space="0" w:color="8FB08C"/>
          <w:right w:val="single" w:sz="8" w:space="0" w:color="8FB08C"/>
          <w:insideH w:val="nil"/>
          <w:insideV w:val="single" w:sz="8" w:space="0" w:color="8FB08C"/>
        </w:tcBorders>
      </w:tcPr>
    </w:tblStylePr>
    <w:tblStylePr w:type="lastRow">
      <w:pPr>
        <w:spacing w:before="0" w:after="0" w:line="240" w:lineRule="auto"/>
      </w:pPr>
      <w:rPr>
        <w:rFonts w:ascii="Tahoma" w:eastAsia="Times New Roman" w:hAnsi="Tahoma" w:cs="Times New Roman"/>
        <w:b/>
        <w:bCs/>
      </w:rPr>
      <w:tblPr/>
      <w:tcPr>
        <w:tcBorders>
          <w:top w:val="double" w:sz="6" w:space="0" w:color="8FB08C"/>
          <w:left w:val="single" w:sz="8" w:space="0" w:color="8FB08C"/>
          <w:bottom w:val="single" w:sz="8" w:space="0" w:color="8FB08C"/>
          <w:right w:val="single" w:sz="8" w:space="0" w:color="8FB08C"/>
          <w:insideH w:val="nil"/>
          <w:insideV w:val="single" w:sz="8" w:space="0" w:color="8FB08C"/>
        </w:tcBorders>
      </w:tcPr>
    </w:tblStylePr>
    <w:tblStylePr w:type="firstCol">
      <w:rPr>
        <w:rFonts w:ascii="Tahoma" w:eastAsia="Times New Roman" w:hAnsi="Tahoma" w:cs="Times New Roman"/>
        <w:b/>
        <w:bCs/>
      </w:rPr>
    </w:tblStylePr>
    <w:tblStylePr w:type="lastCol">
      <w:rPr>
        <w:rFonts w:ascii="Tahoma" w:eastAsia="Times New Roman" w:hAnsi="Tahoma" w:cs="Times New Roman"/>
        <w:b/>
        <w:bCs/>
      </w:rPr>
      <w:tblPr/>
      <w:tcPr>
        <w:tcBorders>
          <w:top w:val="single" w:sz="8" w:space="0" w:color="8FB08C"/>
          <w:left w:val="single" w:sz="8" w:space="0" w:color="8FB08C"/>
          <w:bottom w:val="single" w:sz="8" w:space="0" w:color="8FB08C"/>
          <w:right w:val="single" w:sz="8" w:space="0" w:color="8FB08C"/>
        </w:tcBorders>
      </w:tcPr>
    </w:tblStylePr>
    <w:tblStylePr w:type="band1Vert">
      <w:tblPr/>
      <w:tcPr>
        <w:tcBorders>
          <w:top w:val="single" w:sz="8" w:space="0" w:color="8FB08C"/>
          <w:left w:val="single" w:sz="8" w:space="0" w:color="8FB08C"/>
          <w:bottom w:val="single" w:sz="8" w:space="0" w:color="8FB08C"/>
          <w:right w:val="single" w:sz="8" w:space="0" w:color="8FB08C"/>
        </w:tcBorders>
        <w:shd w:val="clear" w:color="auto" w:fill="E3EBE2"/>
      </w:tcPr>
    </w:tblStylePr>
    <w:tblStylePr w:type="band1Horz">
      <w:tblPr/>
      <w:tcPr>
        <w:tcBorders>
          <w:top w:val="single" w:sz="8" w:space="0" w:color="8FB08C"/>
          <w:left w:val="single" w:sz="8" w:space="0" w:color="8FB08C"/>
          <w:bottom w:val="single" w:sz="8" w:space="0" w:color="8FB08C"/>
          <w:right w:val="single" w:sz="8" w:space="0" w:color="8FB08C"/>
          <w:insideV w:val="single" w:sz="8" w:space="0" w:color="8FB08C"/>
        </w:tcBorders>
        <w:shd w:val="clear" w:color="auto" w:fill="E3EBE2"/>
      </w:tcPr>
    </w:tblStylePr>
    <w:tblStylePr w:type="band2Horz">
      <w:tblPr/>
      <w:tcPr>
        <w:tcBorders>
          <w:top w:val="single" w:sz="8" w:space="0" w:color="8FB08C"/>
          <w:left w:val="single" w:sz="8" w:space="0" w:color="8FB08C"/>
          <w:bottom w:val="single" w:sz="8" w:space="0" w:color="8FB08C"/>
          <w:right w:val="single" w:sz="8" w:space="0" w:color="8FB08C"/>
          <w:insideV w:val="single" w:sz="8" w:space="0" w:color="8FB08C"/>
        </w:tcBorders>
      </w:tcPr>
    </w:tblStylePr>
  </w:style>
  <w:style w:type="table" w:customStyle="1" w:styleId="LightShading-Accent128">
    <w:name w:val="Light Shading - Accent 128"/>
    <w:basedOn w:val="TableNormal"/>
    <w:uiPriority w:val="60"/>
    <w:rsid w:val="00E84619"/>
    <w:pPr>
      <w:spacing w:after="0" w:line="240" w:lineRule="auto"/>
    </w:pPr>
    <w:rPr>
      <w:rFonts w:ascii="Calibri" w:eastAsia="Calibri" w:hAnsi="Calibri"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List-Accent3117">
    <w:name w:val="Light List - Accent 3117"/>
    <w:basedOn w:val="TableNormal"/>
    <w:next w:val="LightList-Accent3"/>
    <w:uiPriority w:val="61"/>
    <w:rsid w:val="00E84619"/>
    <w:pPr>
      <w:spacing w:after="0" w:line="240" w:lineRule="auto"/>
    </w:pPr>
    <w:rPr>
      <w:rFonts w:ascii="Constantia" w:eastAsia="Constantia" w:hAnsi="Constantia" w:cs="Times New Roman"/>
      <w:sz w:val="20"/>
      <w:szCs w:val="20"/>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List-Accent31114">
    <w:name w:val="Light List - Accent 31114"/>
    <w:basedOn w:val="TableNormal"/>
    <w:next w:val="LightList-Accent3"/>
    <w:uiPriority w:val="61"/>
    <w:rsid w:val="00E84619"/>
    <w:pPr>
      <w:spacing w:after="0" w:line="240" w:lineRule="auto"/>
    </w:pPr>
    <w:rPr>
      <w:rFonts w:ascii="Constantia" w:eastAsia="Constantia" w:hAnsi="Constantia" w:cs="Times New Roman"/>
      <w:sz w:val="20"/>
      <w:szCs w:val="20"/>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TableGrid24">
    <w:name w:val="Table Grid24"/>
    <w:basedOn w:val="TableNormal"/>
    <w:next w:val="TableGrid"/>
    <w:uiPriority w:val="39"/>
    <w:rsid w:val="00E84619"/>
    <w:pPr>
      <w:spacing w:after="0" w:line="240" w:lineRule="auto"/>
      <w:jc w:val="both"/>
    </w:pPr>
    <w:rPr>
      <w:rFonts w:ascii="Calibri" w:eastAsia="Calibri" w:hAnsi="Calibri" w:cs="Times New Roman"/>
      <w:sz w:val="20"/>
      <w:szCs w:val="20"/>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e314">
    <w:name w:val="tabele 314"/>
    <w:basedOn w:val="TableNormal"/>
    <w:next w:val="LightList-Accent3"/>
    <w:uiPriority w:val="61"/>
    <w:rsid w:val="00E84619"/>
    <w:pPr>
      <w:spacing w:after="0" w:line="240" w:lineRule="auto"/>
    </w:pPr>
    <w:rPr>
      <w:rFonts w:ascii="Cambria Math" w:eastAsia="Calibri" w:hAnsi="Cambria Math" w:cs="Times New Roman"/>
      <w:sz w:val="18"/>
      <w:szCs w:val="20"/>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ghtShading-Accent1117">
    <w:name w:val="Light Shading - Accent 1117"/>
    <w:basedOn w:val="TableNormal"/>
    <w:uiPriority w:val="60"/>
    <w:rsid w:val="00E84619"/>
    <w:pPr>
      <w:spacing w:after="0" w:line="240" w:lineRule="auto"/>
      <w:ind w:left="568" w:hanging="284"/>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324">
    <w:name w:val="Light Shading - Accent 324"/>
    <w:basedOn w:val="TableNormal"/>
    <w:next w:val="LightShading-Accent3"/>
    <w:uiPriority w:val="60"/>
    <w:rsid w:val="00E84619"/>
    <w:pPr>
      <w:spacing w:after="0" w:line="240" w:lineRule="auto"/>
    </w:pPr>
    <w:rPr>
      <w:rFonts w:ascii="Calibri" w:eastAsia="Calibri" w:hAnsi="Calibri" w:cs="Times New Roman"/>
      <w:color w:val="618889"/>
      <w:sz w:val="20"/>
      <w:szCs w:val="20"/>
    </w:rPr>
    <w:tblPr>
      <w:tblStyleRowBandSize w:val="1"/>
      <w:tblStyleColBandSize w:val="1"/>
      <w:tblBorders>
        <w:top w:val="single" w:sz="8" w:space="0" w:color="8CADAE"/>
        <w:bottom w:val="single" w:sz="8" w:space="0" w:color="8CADAE"/>
      </w:tblBorders>
    </w:tblPr>
    <w:tblStylePr w:type="firstRow">
      <w:pPr>
        <w:spacing w:before="0" w:after="0" w:line="240" w:lineRule="auto"/>
      </w:pPr>
      <w:rPr>
        <w:b/>
        <w:bCs/>
      </w:rPr>
      <w:tblPr/>
      <w:tcPr>
        <w:tcBorders>
          <w:top w:val="single" w:sz="8" w:space="0" w:color="8CADAE"/>
          <w:left w:val="nil"/>
          <w:bottom w:val="single" w:sz="8" w:space="0" w:color="8CADAE"/>
          <w:right w:val="nil"/>
          <w:insideH w:val="nil"/>
          <w:insideV w:val="nil"/>
        </w:tcBorders>
      </w:tcPr>
    </w:tblStylePr>
    <w:tblStylePr w:type="lastRow">
      <w:pPr>
        <w:spacing w:before="0" w:after="0" w:line="240" w:lineRule="auto"/>
      </w:pPr>
      <w:rPr>
        <w:b/>
        <w:bCs/>
      </w:rPr>
      <w:tblPr/>
      <w:tcPr>
        <w:tcBorders>
          <w:top w:val="single" w:sz="8" w:space="0" w:color="8CADAE"/>
          <w:left w:val="nil"/>
          <w:bottom w:val="single" w:sz="8" w:space="0" w:color="8CADA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AEB"/>
      </w:tcPr>
    </w:tblStylePr>
    <w:tblStylePr w:type="band1Horz">
      <w:tblPr/>
      <w:tcPr>
        <w:tcBorders>
          <w:left w:val="nil"/>
          <w:right w:val="nil"/>
          <w:insideH w:val="nil"/>
          <w:insideV w:val="nil"/>
        </w:tcBorders>
        <w:shd w:val="clear" w:color="auto" w:fill="E2EAEB"/>
      </w:tcPr>
    </w:tblStylePr>
  </w:style>
  <w:style w:type="table" w:customStyle="1" w:styleId="LightList-Accent524">
    <w:name w:val="Light List - Accent 524"/>
    <w:basedOn w:val="TableNormal"/>
    <w:next w:val="LightList-Accent5"/>
    <w:uiPriority w:val="61"/>
    <w:rsid w:val="00E84619"/>
    <w:pPr>
      <w:spacing w:after="0" w:line="240" w:lineRule="auto"/>
    </w:pPr>
    <w:rPr>
      <w:rFonts w:ascii="Calibri" w:eastAsia="Calibri" w:hAnsi="Calibri" w:cs="Times New Roman"/>
      <w:sz w:val="20"/>
      <w:szCs w:val="20"/>
    </w:rPr>
    <w:tblPr>
      <w:tblStyleRowBandSize w:val="1"/>
      <w:tblStyleColBandSize w:val="1"/>
      <w:tblBorders>
        <w:top w:val="single" w:sz="8" w:space="0" w:color="8FB08C"/>
        <w:left w:val="single" w:sz="8" w:space="0" w:color="8FB08C"/>
        <w:bottom w:val="single" w:sz="8" w:space="0" w:color="8FB08C"/>
        <w:right w:val="single" w:sz="8" w:space="0" w:color="8FB08C"/>
      </w:tblBorders>
    </w:tblPr>
    <w:tblStylePr w:type="firstRow">
      <w:pPr>
        <w:spacing w:before="0" w:after="0" w:line="240" w:lineRule="auto"/>
      </w:pPr>
      <w:rPr>
        <w:b/>
        <w:bCs/>
        <w:color w:val="FFFFFF"/>
      </w:rPr>
      <w:tblPr/>
      <w:tcPr>
        <w:shd w:val="clear" w:color="auto" w:fill="8FB08C"/>
      </w:tcPr>
    </w:tblStylePr>
    <w:tblStylePr w:type="lastRow">
      <w:pPr>
        <w:spacing w:before="0" w:after="0" w:line="240" w:lineRule="auto"/>
      </w:pPr>
      <w:rPr>
        <w:b/>
        <w:bCs/>
      </w:rPr>
      <w:tblPr/>
      <w:tcPr>
        <w:tcBorders>
          <w:top w:val="double" w:sz="6" w:space="0" w:color="8FB08C"/>
          <w:left w:val="single" w:sz="8" w:space="0" w:color="8FB08C"/>
          <w:bottom w:val="single" w:sz="8" w:space="0" w:color="8FB08C"/>
          <w:right w:val="single" w:sz="8" w:space="0" w:color="8FB08C"/>
        </w:tcBorders>
      </w:tcPr>
    </w:tblStylePr>
    <w:tblStylePr w:type="firstCol">
      <w:rPr>
        <w:b/>
        <w:bCs/>
      </w:rPr>
    </w:tblStylePr>
    <w:tblStylePr w:type="lastCol">
      <w:rPr>
        <w:b/>
        <w:bCs/>
      </w:rPr>
    </w:tblStylePr>
    <w:tblStylePr w:type="band1Vert">
      <w:tblPr/>
      <w:tcPr>
        <w:tcBorders>
          <w:top w:val="single" w:sz="8" w:space="0" w:color="8FB08C"/>
          <w:left w:val="single" w:sz="8" w:space="0" w:color="8FB08C"/>
          <w:bottom w:val="single" w:sz="8" w:space="0" w:color="8FB08C"/>
          <w:right w:val="single" w:sz="8" w:space="0" w:color="8FB08C"/>
        </w:tcBorders>
      </w:tcPr>
    </w:tblStylePr>
    <w:tblStylePr w:type="band1Horz">
      <w:tblPr/>
      <w:tcPr>
        <w:tcBorders>
          <w:top w:val="single" w:sz="8" w:space="0" w:color="8FB08C"/>
          <w:left w:val="single" w:sz="8" w:space="0" w:color="8FB08C"/>
          <w:bottom w:val="single" w:sz="8" w:space="0" w:color="8FB08C"/>
          <w:right w:val="single" w:sz="8" w:space="0" w:color="8FB08C"/>
        </w:tcBorders>
      </w:tcPr>
    </w:tblStylePr>
  </w:style>
  <w:style w:type="table" w:customStyle="1" w:styleId="LightShading-Accent3114">
    <w:name w:val="Light Shading - Accent 3114"/>
    <w:basedOn w:val="TableNormal"/>
    <w:next w:val="LightShading-Accent3"/>
    <w:uiPriority w:val="60"/>
    <w:rsid w:val="00E84619"/>
    <w:pPr>
      <w:spacing w:after="0" w:line="240" w:lineRule="auto"/>
    </w:pPr>
    <w:rPr>
      <w:rFonts w:ascii="Constantia" w:eastAsia="Constantia" w:hAnsi="Constantia" w:cs="Times New Roman"/>
      <w:color w:val="8CADAE"/>
      <w:sz w:val="20"/>
      <w:szCs w:val="20"/>
    </w:rPr>
    <w:tblPr>
      <w:tblStyleRowBandSize w:val="1"/>
      <w:tblStyleColBandSize w:val="1"/>
      <w:tblBorders>
        <w:top w:val="single" w:sz="8" w:space="0" w:color="8CADAE"/>
        <w:bottom w:val="single" w:sz="8" w:space="0" w:color="8CADAE"/>
      </w:tblBorders>
    </w:tblPr>
    <w:tblStylePr w:type="firstRow">
      <w:pPr>
        <w:spacing w:before="0" w:after="0" w:line="240" w:lineRule="auto"/>
      </w:pPr>
      <w:rPr>
        <w:b/>
        <w:bCs/>
      </w:rPr>
      <w:tblPr/>
      <w:tcPr>
        <w:tcBorders>
          <w:top w:val="single" w:sz="8" w:space="0" w:color="8CADAE"/>
          <w:left w:val="nil"/>
          <w:bottom w:val="single" w:sz="8" w:space="0" w:color="8CADAE"/>
          <w:right w:val="nil"/>
          <w:insideH w:val="nil"/>
          <w:insideV w:val="nil"/>
        </w:tcBorders>
      </w:tcPr>
    </w:tblStylePr>
    <w:tblStylePr w:type="lastRow">
      <w:pPr>
        <w:spacing w:before="0" w:after="0" w:line="240" w:lineRule="auto"/>
      </w:pPr>
      <w:rPr>
        <w:b/>
        <w:bCs/>
      </w:rPr>
      <w:tblPr/>
      <w:tcPr>
        <w:tcBorders>
          <w:top w:val="single" w:sz="8" w:space="0" w:color="8CADAE"/>
          <w:left w:val="nil"/>
          <w:bottom w:val="single" w:sz="8" w:space="0" w:color="8CADA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AEB"/>
      </w:tcPr>
    </w:tblStylePr>
    <w:tblStylePr w:type="band1Horz">
      <w:tblPr/>
      <w:tcPr>
        <w:tcBorders>
          <w:left w:val="nil"/>
          <w:right w:val="nil"/>
          <w:insideH w:val="nil"/>
          <w:insideV w:val="nil"/>
        </w:tcBorders>
        <w:shd w:val="clear" w:color="auto" w:fill="E2EAEB"/>
      </w:tcPr>
    </w:tblStylePr>
  </w:style>
  <w:style w:type="table" w:customStyle="1" w:styleId="LightList-Accent3124">
    <w:name w:val="Light List - Accent 3124"/>
    <w:basedOn w:val="TableNormal"/>
    <w:next w:val="LightList-Accent3"/>
    <w:uiPriority w:val="61"/>
    <w:rsid w:val="00E84619"/>
    <w:pPr>
      <w:spacing w:after="0" w:line="240" w:lineRule="auto"/>
    </w:pPr>
    <w:rPr>
      <w:rFonts w:ascii="Constantia" w:eastAsia="Constantia" w:hAnsi="Constantia" w:cs="Times New Roman"/>
      <w:sz w:val="20"/>
      <w:szCs w:val="20"/>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List-Accent5114">
    <w:name w:val="Light List - Accent 5114"/>
    <w:basedOn w:val="TableNormal"/>
    <w:next w:val="LightList-Accent5"/>
    <w:uiPriority w:val="61"/>
    <w:rsid w:val="00E84619"/>
    <w:pPr>
      <w:spacing w:after="0" w:line="240" w:lineRule="auto"/>
    </w:pPr>
    <w:rPr>
      <w:rFonts w:ascii="Times New Roman" w:eastAsia="Constantia" w:hAnsi="Times New Roman" w:cs="Times New Roman"/>
      <w:sz w:val="20"/>
      <w:szCs w:val="20"/>
    </w:rPr>
    <w:tblPr>
      <w:tblStyleRowBandSize w:val="1"/>
      <w:tblStyleColBandSize w:val="1"/>
      <w:tblBorders>
        <w:top w:val="single" w:sz="8" w:space="0" w:color="8FB08C"/>
        <w:left w:val="single" w:sz="8" w:space="0" w:color="8FB08C"/>
        <w:bottom w:val="single" w:sz="8" w:space="0" w:color="8FB08C"/>
        <w:right w:val="single" w:sz="8" w:space="0" w:color="8FB08C"/>
      </w:tblBorders>
    </w:tblPr>
    <w:tblStylePr w:type="firstRow">
      <w:pPr>
        <w:spacing w:before="0" w:after="0" w:line="240" w:lineRule="auto"/>
      </w:pPr>
      <w:rPr>
        <w:b/>
        <w:bCs/>
        <w:color w:val="FFFFFF"/>
      </w:rPr>
      <w:tblPr/>
      <w:tcPr>
        <w:shd w:val="clear" w:color="auto" w:fill="8FB08C"/>
      </w:tcPr>
    </w:tblStylePr>
    <w:tblStylePr w:type="lastRow">
      <w:pPr>
        <w:spacing w:before="0" w:after="0" w:line="240" w:lineRule="auto"/>
      </w:pPr>
      <w:rPr>
        <w:b/>
        <w:bCs/>
      </w:rPr>
      <w:tblPr/>
      <w:tcPr>
        <w:tcBorders>
          <w:top w:val="double" w:sz="6" w:space="0" w:color="8FB08C"/>
          <w:left w:val="single" w:sz="8" w:space="0" w:color="8FB08C"/>
          <w:bottom w:val="single" w:sz="8" w:space="0" w:color="8FB08C"/>
          <w:right w:val="single" w:sz="8" w:space="0" w:color="8FB08C"/>
        </w:tcBorders>
      </w:tcPr>
    </w:tblStylePr>
    <w:tblStylePr w:type="firstCol">
      <w:rPr>
        <w:b/>
        <w:bCs/>
      </w:rPr>
    </w:tblStylePr>
    <w:tblStylePr w:type="lastCol">
      <w:rPr>
        <w:b/>
        <w:bCs/>
      </w:rPr>
    </w:tblStylePr>
    <w:tblStylePr w:type="band1Vert">
      <w:tblPr/>
      <w:tcPr>
        <w:tcBorders>
          <w:top w:val="single" w:sz="8" w:space="0" w:color="8FB08C"/>
          <w:left w:val="single" w:sz="8" w:space="0" w:color="8FB08C"/>
          <w:bottom w:val="single" w:sz="8" w:space="0" w:color="8FB08C"/>
          <w:right w:val="single" w:sz="8" w:space="0" w:color="8FB08C"/>
        </w:tcBorders>
      </w:tcPr>
    </w:tblStylePr>
    <w:tblStylePr w:type="band1Horz">
      <w:tblPr/>
      <w:tcPr>
        <w:tcBorders>
          <w:top w:val="single" w:sz="8" w:space="0" w:color="8FB08C"/>
          <w:left w:val="single" w:sz="8" w:space="0" w:color="8FB08C"/>
          <w:bottom w:val="single" w:sz="8" w:space="0" w:color="8FB08C"/>
          <w:right w:val="single" w:sz="8" w:space="0" w:color="8FB08C"/>
        </w:tcBorders>
      </w:tcPr>
    </w:tblStylePr>
  </w:style>
  <w:style w:type="table" w:customStyle="1" w:styleId="LightGrid-Accent5115">
    <w:name w:val="Light Grid - Accent 5115"/>
    <w:basedOn w:val="TableNormal"/>
    <w:next w:val="LightGrid-Accent5"/>
    <w:uiPriority w:val="62"/>
    <w:rsid w:val="00E84619"/>
    <w:pPr>
      <w:spacing w:after="0" w:line="240" w:lineRule="auto"/>
      <w:jc w:val="both"/>
    </w:pPr>
    <w:rPr>
      <w:rFonts w:ascii="Calibri" w:eastAsia="Calibri" w:hAnsi="Calibri" w:cs="Times New Roman"/>
      <w:sz w:val="20"/>
      <w:szCs w:val="20"/>
      <w:lang w:val="sr-Latn-CS" w:eastAsia="en-GB"/>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Tahoma" w:eastAsia="Times New Roman" w:hAnsi="Tahom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Tahoma" w:eastAsia="Times New Roman" w:hAnsi="Tahom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Tahoma" w:eastAsia="Times New Roman" w:hAnsi="Tahoma" w:cs="Times New Roman"/>
        <w:b/>
        <w:bCs/>
      </w:rPr>
    </w:tblStylePr>
    <w:tblStylePr w:type="lastCol">
      <w:rPr>
        <w:rFonts w:ascii="Tahoma" w:eastAsia="Times New Roman" w:hAnsi="Tahom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1114">
    <w:name w:val="Светло сенчење – наглашавање 1114"/>
    <w:basedOn w:val="TableNormal"/>
    <w:uiPriority w:val="60"/>
    <w:rsid w:val="00E84619"/>
    <w:pPr>
      <w:spacing w:after="0" w:line="240" w:lineRule="auto"/>
      <w:jc w:val="both"/>
    </w:pPr>
    <w:rPr>
      <w:rFonts w:ascii="Calibri" w:eastAsia="Calibri" w:hAnsi="Calibri" w:cs="Times New Roman"/>
      <w:color w:val="365F91"/>
      <w:sz w:val="20"/>
      <w:szCs w:val="20"/>
      <w:lang w:val="sr-Latn-CS" w:eastAsia="en-GB"/>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Grid-Accent525">
    <w:name w:val="Light Grid - Accent 525"/>
    <w:basedOn w:val="TableNormal"/>
    <w:next w:val="LightGrid-Accent5"/>
    <w:uiPriority w:val="62"/>
    <w:rsid w:val="00E84619"/>
    <w:pPr>
      <w:spacing w:after="0" w:line="240" w:lineRule="auto"/>
    </w:pPr>
    <w:rPr>
      <w:rFonts w:ascii="Calibri" w:eastAsia="Calibri" w:hAnsi="Calibri" w:cs="Times New Roman"/>
      <w:sz w:val="20"/>
      <w:szCs w:val="20"/>
      <w:lang w:val="en-GB" w:eastAsia="en-GB"/>
    </w:rPr>
    <w:tblPr>
      <w:tblStyleRowBandSize w:val="1"/>
      <w:tblStyleColBandSize w:val="1"/>
      <w:tblBorders>
        <w:top w:val="single" w:sz="8" w:space="0" w:color="8FB08C"/>
        <w:left w:val="single" w:sz="8" w:space="0" w:color="8FB08C"/>
        <w:bottom w:val="single" w:sz="8" w:space="0" w:color="8FB08C"/>
        <w:right w:val="single" w:sz="8" w:space="0" w:color="8FB08C"/>
        <w:insideH w:val="single" w:sz="8" w:space="0" w:color="8FB08C"/>
        <w:insideV w:val="single" w:sz="8" w:space="0" w:color="8FB08C"/>
      </w:tblBorders>
    </w:tblPr>
    <w:tblStylePr w:type="firstRow">
      <w:pPr>
        <w:spacing w:before="0" w:after="0" w:line="240" w:lineRule="auto"/>
      </w:pPr>
      <w:rPr>
        <w:rFonts w:ascii="Tahoma" w:eastAsia="Times New Roman" w:hAnsi="Tahoma" w:cs="Times New Roman"/>
        <w:b/>
        <w:bCs/>
      </w:rPr>
      <w:tblPr/>
      <w:tcPr>
        <w:tcBorders>
          <w:top w:val="single" w:sz="8" w:space="0" w:color="8FB08C"/>
          <w:left w:val="single" w:sz="8" w:space="0" w:color="8FB08C"/>
          <w:bottom w:val="single" w:sz="18" w:space="0" w:color="8FB08C"/>
          <w:right w:val="single" w:sz="8" w:space="0" w:color="8FB08C"/>
          <w:insideH w:val="nil"/>
          <w:insideV w:val="single" w:sz="8" w:space="0" w:color="8FB08C"/>
        </w:tcBorders>
      </w:tcPr>
    </w:tblStylePr>
    <w:tblStylePr w:type="lastRow">
      <w:pPr>
        <w:spacing w:before="0" w:after="0" w:line="240" w:lineRule="auto"/>
      </w:pPr>
      <w:rPr>
        <w:rFonts w:ascii="Tahoma" w:eastAsia="Times New Roman" w:hAnsi="Tahoma" w:cs="Times New Roman"/>
        <w:b/>
        <w:bCs/>
      </w:rPr>
      <w:tblPr/>
      <w:tcPr>
        <w:tcBorders>
          <w:top w:val="double" w:sz="6" w:space="0" w:color="8FB08C"/>
          <w:left w:val="single" w:sz="8" w:space="0" w:color="8FB08C"/>
          <w:bottom w:val="single" w:sz="8" w:space="0" w:color="8FB08C"/>
          <w:right w:val="single" w:sz="8" w:space="0" w:color="8FB08C"/>
          <w:insideH w:val="nil"/>
          <w:insideV w:val="single" w:sz="8" w:space="0" w:color="8FB08C"/>
        </w:tcBorders>
      </w:tcPr>
    </w:tblStylePr>
    <w:tblStylePr w:type="firstCol">
      <w:rPr>
        <w:rFonts w:ascii="Tahoma" w:eastAsia="Times New Roman" w:hAnsi="Tahoma" w:cs="Times New Roman"/>
        <w:b/>
        <w:bCs/>
      </w:rPr>
    </w:tblStylePr>
    <w:tblStylePr w:type="lastCol">
      <w:rPr>
        <w:rFonts w:ascii="Tahoma" w:eastAsia="Times New Roman" w:hAnsi="Tahoma" w:cs="Times New Roman"/>
        <w:b/>
        <w:bCs/>
      </w:rPr>
      <w:tblPr/>
      <w:tcPr>
        <w:tcBorders>
          <w:top w:val="single" w:sz="8" w:space="0" w:color="8FB08C"/>
          <w:left w:val="single" w:sz="8" w:space="0" w:color="8FB08C"/>
          <w:bottom w:val="single" w:sz="8" w:space="0" w:color="8FB08C"/>
          <w:right w:val="single" w:sz="8" w:space="0" w:color="8FB08C"/>
        </w:tcBorders>
      </w:tcPr>
    </w:tblStylePr>
    <w:tblStylePr w:type="band1Vert">
      <w:tblPr/>
      <w:tcPr>
        <w:tcBorders>
          <w:top w:val="single" w:sz="8" w:space="0" w:color="8FB08C"/>
          <w:left w:val="single" w:sz="8" w:space="0" w:color="8FB08C"/>
          <w:bottom w:val="single" w:sz="8" w:space="0" w:color="8FB08C"/>
          <w:right w:val="single" w:sz="8" w:space="0" w:color="8FB08C"/>
        </w:tcBorders>
        <w:shd w:val="clear" w:color="auto" w:fill="E3EBE2"/>
      </w:tcPr>
    </w:tblStylePr>
    <w:tblStylePr w:type="band1Horz">
      <w:tblPr/>
      <w:tcPr>
        <w:tcBorders>
          <w:top w:val="single" w:sz="8" w:space="0" w:color="8FB08C"/>
          <w:left w:val="single" w:sz="8" w:space="0" w:color="8FB08C"/>
          <w:bottom w:val="single" w:sz="8" w:space="0" w:color="8FB08C"/>
          <w:right w:val="single" w:sz="8" w:space="0" w:color="8FB08C"/>
          <w:insideV w:val="single" w:sz="8" w:space="0" w:color="8FB08C"/>
        </w:tcBorders>
        <w:shd w:val="clear" w:color="auto" w:fill="E3EBE2"/>
      </w:tcPr>
    </w:tblStylePr>
    <w:tblStylePr w:type="band2Horz">
      <w:tblPr/>
      <w:tcPr>
        <w:tcBorders>
          <w:top w:val="single" w:sz="8" w:space="0" w:color="8FB08C"/>
          <w:left w:val="single" w:sz="8" w:space="0" w:color="8FB08C"/>
          <w:bottom w:val="single" w:sz="8" w:space="0" w:color="8FB08C"/>
          <w:right w:val="single" w:sz="8" w:space="0" w:color="8FB08C"/>
          <w:insideV w:val="single" w:sz="8" w:space="0" w:color="8FB08C"/>
        </w:tcBorders>
      </w:tcPr>
    </w:tblStylePr>
  </w:style>
  <w:style w:type="table" w:customStyle="1" w:styleId="LightShading-Accent1214">
    <w:name w:val="Light Shading - Accent 1214"/>
    <w:basedOn w:val="TableNormal"/>
    <w:uiPriority w:val="60"/>
    <w:rsid w:val="00E84619"/>
    <w:pPr>
      <w:spacing w:after="0" w:line="240" w:lineRule="auto"/>
    </w:pPr>
    <w:rPr>
      <w:rFonts w:ascii="Calibri" w:eastAsia="Calibri" w:hAnsi="Calibri"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List-Accent31124">
    <w:name w:val="Light List - Accent 31124"/>
    <w:basedOn w:val="TableNormal"/>
    <w:next w:val="LightList-Accent3"/>
    <w:uiPriority w:val="61"/>
    <w:rsid w:val="00E84619"/>
    <w:pPr>
      <w:spacing w:after="0" w:line="240" w:lineRule="auto"/>
    </w:pPr>
    <w:rPr>
      <w:rFonts w:ascii="Constantia" w:eastAsia="Constantia" w:hAnsi="Constantia" w:cs="Times New Roman"/>
      <w:sz w:val="20"/>
      <w:szCs w:val="20"/>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Shading-Accent1124">
    <w:name w:val="Light Shading - Accent 1124"/>
    <w:basedOn w:val="TableNormal"/>
    <w:uiPriority w:val="60"/>
    <w:rsid w:val="00E84619"/>
    <w:pPr>
      <w:spacing w:after="0" w:line="240" w:lineRule="auto"/>
      <w:ind w:left="568" w:hanging="284"/>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134">
    <w:name w:val="Light Shading - Accent 1134"/>
    <w:basedOn w:val="TableNormal"/>
    <w:uiPriority w:val="60"/>
    <w:rsid w:val="00E84619"/>
    <w:pPr>
      <w:spacing w:after="0" w:line="240" w:lineRule="auto"/>
      <w:ind w:left="568" w:hanging="284"/>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ele324">
    <w:name w:val="tabele 324"/>
    <w:basedOn w:val="TableNormal"/>
    <w:next w:val="LightList-Accent3"/>
    <w:uiPriority w:val="61"/>
    <w:rsid w:val="00E84619"/>
    <w:pPr>
      <w:spacing w:after="0" w:line="240" w:lineRule="auto"/>
    </w:pPr>
    <w:rPr>
      <w:rFonts w:ascii="Cambria Math" w:eastAsia="Calibri" w:hAnsi="Cambria Math" w:cs="Times New Roman"/>
      <w:sz w:val="18"/>
      <w:szCs w:val="20"/>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ghtShading-Accent1144">
    <w:name w:val="Light Shading - Accent 1144"/>
    <w:basedOn w:val="TableNormal"/>
    <w:uiPriority w:val="60"/>
    <w:rsid w:val="00E84619"/>
    <w:pPr>
      <w:spacing w:after="0" w:line="240" w:lineRule="auto"/>
      <w:ind w:left="568" w:hanging="284"/>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339">
    <w:name w:val="Light Shading - Accent 339"/>
    <w:basedOn w:val="TableNormal"/>
    <w:next w:val="LightShading-Accent3"/>
    <w:uiPriority w:val="60"/>
    <w:rsid w:val="00E84619"/>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124">
    <w:name w:val="Light Shading - Accent 3124"/>
    <w:basedOn w:val="TableNormal"/>
    <w:next w:val="LightShading-Accent3"/>
    <w:uiPriority w:val="60"/>
    <w:rsid w:val="00E84619"/>
    <w:pPr>
      <w:spacing w:after="0" w:line="240" w:lineRule="auto"/>
    </w:pPr>
    <w:rPr>
      <w:rFonts w:ascii="Constantia" w:eastAsia="Constantia" w:hAnsi="Constantia" w:cs="Times New Roman"/>
      <w:color w:val="8CADAE"/>
      <w:sz w:val="20"/>
      <w:szCs w:val="20"/>
    </w:rPr>
    <w:tblPr>
      <w:tblStyleRowBandSize w:val="1"/>
      <w:tblStyleColBandSize w:val="1"/>
      <w:tblBorders>
        <w:top w:val="single" w:sz="8" w:space="0" w:color="8CADAE"/>
        <w:bottom w:val="single" w:sz="8" w:space="0" w:color="8CADAE"/>
      </w:tblBorders>
    </w:tblPr>
    <w:tblStylePr w:type="firstRow">
      <w:pPr>
        <w:spacing w:before="0" w:after="0" w:line="240" w:lineRule="auto"/>
      </w:pPr>
      <w:rPr>
        <w:b/>
        <w:bCs/>
      </w:rPr>
      <w:tblPr/>
      <w:tcPr>
        <w:tcBorders>
          <w:top w:val="single" w:sz="8" w:space="0" w:color="8CADAE"/>
          <w:left w:val="nil"/>
          <w:bottom w:val="single" w:sz="8" w:space="0" w:color="8CADAE"/>
          <w:right w:val="nil"/>
          <w:insideH w:val="nil"/>
          <w:insideV w:val="nil"/>
        </w:tcBorders>
      </w:tcPr>
    </w:tblStylePr>
    <w:tblStylePr w:type="lastRow">
      <w:pPr>
        <w:spacing w:before="0" w:after="0" w:line="240" w:lineRule="auto"/>
      </w:pPr>
      <w:rPr>
        <w:b/>
        <w:bCs/>
      </w:rPr>
      <w:tblPr/>
      <w:tcPr>
        <w:tcBorders>
          <w:top w:val="single" w:sz="8" w:space="0" w:color="8CADAE"/>
          <w:left w:val="nil"/>
          <w:bottom w:val="single" w:sz="8" w:space="0" w:color="8CADA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AEB"/>
      </w:tcPr>
    </w:tblStylePr>
    <w:tblStylePr w:type="band1Horz">
      <w:tblPr/>
      <w:tcPr>
        <w:tcBorders>
          <w:left w:val="nil"/>
          <w:right w:val="nil"/>
          <w:insideH w:val="nil"/>
          <w:insideV w:val="nil"/>
        </w:tcBorders>
        <w:shd w:val="clear" w:color="auto" w:fill="E2EAEB"/>
      </w:tcPr>
    </w:tblStylePr>
  </w:style>
  <w:style w:type="table" w:customStyle="1" w:styleId="LightList-Accent3134">
    <w:name w:val="Light List - Accent 3134"/>
    <w:basedOn w:val="TableNormal"/>
    <w:next w:val="LightList-Accent3"/>
    <w:uiPriority w:val="61"/>
    <w:rsid w:val="00E84619"/>
    <w:pPr>
      <w:spacing w:after="0" w:line="240" w:lineRule="auto"/>
    </w:pPr>
    <w:rPr>
      <w:rFonts w:ascii="Constantia" w:eastAsia="Constantia" w:hAnsi="Constantia" w:cs="Times New Roman"/>
      <w:sz w:val="20"/>
      <w:szCs w:val="20"/>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List-Accent5124">
    <w:name w:val="Light List - Accent 5124"/>
    <w:basedOn w:val="TableNormal"/>
    <w:next w:val="LightList-Accent5"/>
    <w:uiPriority w:val="61"/>
    <w:rsid w:val="00E84619"/>
    <w:pPr>
      <w:spacing w:after="0" w:line="240" w:lineRule="auto"/>
    </w:pPr>
    <w:rPr>
      <w:rFonts w:ascii="Times New Roman" w:eastAsia="Constantia" w:hAnsi="Times New Roman" w:cs="Times New Roman"/>
      <w:sz w:val="20"/>
      <w:szCs w:val="20"/>
    </w:rPr>
    <w:tblPr>
      <w:tblStyleRowBandSize w:val="1"/>
      <w:tblStyleColBandSize w:val="1"/>
      <w:tblBorders>
        <w:top w:val="single" w:sz="8" w:space="0" w:color="8FB08C"/>
        <w:left w:val="single" w:sz="8" w:space="0" w:color="8FB08C"/>
        <w:bottom w:val="single" w:sz="8" w:space="0" w:color="8FB08C"/>
        <w:right w:val="single" w:sz="8" w:space="0" w:color="8FB08C"/>
      </w:tblBorders>
    </w:tblPr>
    <w:tblStylePr w:type="firstRow">
      <w:pPr>
        <w:spacing w:before="0" w:after="0" w:line="240" w:lineRule="auto"/>
      </w:pPr>
      <w:rPr>
        <w:b/>
        <w:bCs/>
        <w:color w:val="FFFFFF"/>
      </w:rPr>
      <w:tblPr/>
      <w:tcPr>
        <w:shd w:val="clear" w:color="auto" w:fill="8FB08C"/>
      </w:tcPr>
    </w:tblStylePr>
    <w:tblStylePr w:type="lastRow">
      <w:pPr>
        <w:spacing w:before="0" w:after="0" w:line="240" w:lineRule="auto"/>
      </w:pPr>
      <w:rPr>
        <w:b/>
        <w:bCs/>
      </w:rPr>
      <w:tblPr/>
      <w:tcPr>
        <w:tcBorders>
          <w:top w:val="double" w:sz="6" w:space="0" w:color="8FB08C"/>
          <w:left w:val="single" w:sz="8" w:space="0" w:color="8FB08C"/>
          <w:bottom w:val="single" w:sz="8" w:space="0" w:color="8FB08C"/>
          <w:right w:val="single" w:sz="8" w:space="0" w:color="8FB08C"/>
        </w:tcBorders>
      </w:tcPr>
    </w:tblStylePr>
    <w:tblStylePr w:type="firstCol">
      <w:rPr>
        <w:b/>
        <w:bCs/>
      </w:rPr>
    </w:tblStylePr>
    <w:tblStylePr w:type="lastCol">
      <w:rPr>
        <w:b/>
        <w:bCs/>
      </w:rPr>
    </w:tblStylePr>
    <w:tblStylePr w:type="band1Vert">
      <w:tblPr/>
      <w:tcPr>
        <w:tcBorders>
          <w:top w:val="single" w:sz="8" w:space="0" w:color="8FB08C"/>
          <w:left w:val="single" w:sz="8" w:space="0" w:color="8FB08C"/>
          <w:bottom w:val="single" w:sz="8" w:space="0" w:color="8FB08C"/>
          <w:right w:val="single" w:sz="8" w:space="0" w:color="8FB08C"/>
        </w:tcBorders>
      </w:tcPr>
    </w:tblStylePr>
    <w:tblStylePr w:type="band1Horz">
      <w:tblPr/>
      <w:tcPr>
        <w:tcBorders>
          <w:top w:val="single" w:sz="8" w:space="0" w:color="8FB08C"/>
          <w:left w:val="single" w:sz="8" w:space="0" w:color="8FB08C"/>
          <w:bottom w:val="single" w:sz="8" w:space="0" w:color="8FB08C"/>
          <w:right w:val="single" w:sz="8" w:space="0" w:color="8FB08C"/>
        </w:tcBorders>
      </w:tcPr>
    </w:tblStylePr>
  </w:style>
  <w:style w:type="table" w:customStyle="1" w:styleId="LightGrid-Accent5125">
    <w:name w:val="Light Grid - Accent 5125"/>
    <w:basedOn w:val="TableNormal"/>
    <w:next w:val="LightGrid-Accent5"/>
    <w:uiPriority w:val="62"/>
    <w:rsid w:val="00E84619"/>
    <w:pPr>
      <w:spacing w:after="0" w:line="240" w:lineRule="auto"/>
    </w:pPr>
    <w:rPr>
      <w:rFonts w:ascii="Calibri" w:eastAsia="Calibri" w:hAnsi="Calibri" w:cs="Times New Roman"/>
      <w:sz w:val="20"/>
      <w:szCs w:val="20"/>
      <w:lang w:val="sr-Latn-CS" w:eastAsia="en-GB"/>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Constantia" w:eastAsia="Times New Roman" w:hAnsi="Constant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onstantia" w:eastAsia="Times New Roman" w:hAnsi="Constant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onstantia" w:eastAsia="Times New Roman" w:hAnsi="Constantia" w:cs="Times New Roman"/>
        <w:b/>
        <w:bCs/>
      </w:rPr>
    </w:tblStylePr>
    <w:tblStylePr w:type="lastCol">
      <w:rPr>
        <w:rFonts w:ascii="Constantia" w:eastAsia="Times New Roman" w:hAnsi="Constant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LightGrid-Accent535">
    <w:name w:val="Light Grid - Accent 535"/>
    <w:basedOn w:val="TableNormal"/>
    <w:next w:val="LightGrid-Accent5"/>
    <w:uiPriority w:val="62"/>
    <w:rsid w:val="00E84619"/>
    <w:pPr>
      <w:spacing w:after="0" w:line="240" w:lineRule="auto"/>
    </w:pPr>
    <w:rPr>
      <w:rFonts w:ascii="Calibri" w:eastAsia="Calibri" w:hAnsi="Calibri" w:cs="Times New Roman"/>
      <w:sz w:val="20"/>
      <w:szCs w:val="20"/>
      <w:lang w:val="en-GB" w:eastAsia="en-GB"/>
    </w:rPr>
    <w:tblPr>
      <w:tblStyleRowBandSize w:val="1"/>
      <w:tblStyleColBandSize w:val="1"/>
      <w:tblBorders>
        <w:top w:val="single" w:sz="8" w:space="0" w:color="8FB08C"/>
        <w:left w:val="single" w:sz="8" w:space="0" w:color="8FB08C"/>
        <w:bottom w:val="single" w:sz="8" w:space="0" w:color="8FB08C"/>
        <w:right w:val="single" w:sz="8" w:space="0" w:color="8FB08C"/>
        <w:insideH w:val="single" w:sz="8" w:space="0" w:color="8FB08C"/>
        <w:insideV w:val="single" w:sz="8" w:space="0" w:color="8FB08C"/>
      </w:tblBorders>
    </w:tblPr>
    <w:tblStylePr w:type="firstRow">
      <w:pPr>
        <w:spacing w:before="0" w:after="0" w:line="240" w:lineRule="auto"/>
      </w:pPr>
      <w:rPr>
        <w:rFonts w:ascii="Constantia" w:eastAsia="Times New Roman" w:hAnsi="Constantia" w:cs="Times New Roman"/>
        <w:b/>
        <w:bCs/>
      </w:rPr>
      <w:tblPr/>
      <w:tcPr>
        <w:tcBorders>
          <w:top w:val="single" w:sz="8" w:space="0" w:color="8FB08C"/>
          <w:left w:val="single" w:sz="8" w:space="0" w:color="8FB08C"/>
          <w:bottom w:val="single" w:sz="18" w:space="0" w:color="8FB08C"/>
          <w:right w:val="single" w:sz="8" w:space="0" w:color="8FB08C"/>
          <w:insideH w:val="nil"/>
          <w:insideV w:val="single" w:sz="8" w:space="0" w:color="8FB08C"/>
        </w:tcBorders>
      </w:tcPr>
    </w:tblStylePr>
    <w:tblStylePr w:type="lastRow">
      <w:pPr>
        <w:spacing w:before="0" w:after="0" w:line="240" w:lineRule="auto"/>
      </w:pPr>
      <w:rPr>
        <w:rFonts w:ascii="Constantia" w:eastAsia="Times New Roman" w:hAnsi="Constantia" w:cs="Times New Roman"/>
        <w:b/>
        <w:bCs/>
      </w:rPr>
      <w:tblPr/>
      <w:tcPr>
        <w:tcBorders>
          <w:top w:val="double" w:sz="6" w:space="0" w:color="8FB08C"/>
          <w:left w:val="single" w:sz="8" w:space="0" w:color="8FB08C"/>
          <w:bottom w:val="single" w:sz="8" w:space="0" w:color="8FB08C"/>
          <w:right w:val="single" w:sz="8" w:space="0" w:color="8FB08C"/>
          <w:insideH w:val="nil"/>
          <w:insideV w:val="single" w:sz="8" w:space="0" w:color="8FB08C"/>
        </w:tcBorders>
      </w:tcPr>
    </w:tblStylePr>
    <w:tblStylePr w:type="firstCol">
      <w:rPr>
        <w:rFonts w:ascii="Constantia" w:eastAsia="Times New Roman" w:hAnsi="Constantia" w:cs="Times New Roman"/>
        <w:b/>
        <w:bCs/>
      </w:rPr>
    </w:tblStylePr>
    <w:tblStylePr w:type="lastCol">
      <w:rPr>
        <w:rFonts w:ascii="Constantia" w:eastAsia="Times New Roman" w:hAnsi="Constantia" w:cs="Times New Roman"/>
        <w:b/>
        <w:bCs/>
      </w:rPr>
      <w:tblPr/>
      <w:tcPr>
        <w:tcBorders>
          <w:top w:val="single" w:sz="8" w:space="0" w:color="8FB08C"/>
          <w:left w:val="single" w:sz="8" w:space="0" w:color="8FB08C"/>
          <w:bottom w:val="single" w:sz="8" w:space="0" w:color="8FB08C"/>
          <w:right w:val="single" w:sz="8" w:space="0" w:color="8FB08C"/>
        </w:tcBorders>
      </w:tcPr>
    </w:tblStylePr>
    <w:tblStylePr w:type="band1Vert">
      <w:tblPr/>
      <w:tcPr>
        <w:tcBorders>
          <w:top w:val="single" w:sz="8" w:space="0" w:color="8FB08C"/>
          <w:left w:val="single" w:sz="8" w:space="0" w:color="8FB08C"/>
          <w:bottom w:val="single" w:sz="8" w:space="0" w:color="8FB08C"/>
          <w:right w:val="single" w:sz="8" w:space="0" w:color="8FB08C"/>
        </w:tcBorders>
        <w:shd w:val="clear" w:color="auto" w:fill="E3EBE2"/>
      </w:tcPr>
    </w:tblStylePr>
    <w:tblStylePr w:type="band1Horz">
      <w:tblPr/>
      <w:tcPr>
        <w:tcBorders>
          <w:top w:val="single" w:sz="8" w:space="0" w:color="8FB08C"/>
          <w:left w:val="single" w:sz="8" w:space="0" w:color="8FB08C"/>
          <w:bottom w:val="single" w:sz="8" w:space="0" w:color="8FB08C"/>
          <w:right w:val="single" w:sz="8" w:space="0" w:color="8FB08C"/>
          <w:insideV w:val="single" w:sz="8" w:space="0" w:color="8FB08C"/>
        </w:tcBorders>
        <w:shd w:val="clear" w:color="auto" w:fill="E3EBE2"/>
      </w:tcPr>
    </w:tblStylePr>
    <w:tblStylePr w:type="band2Horz">
      <w:tblPr/>
      <w:tcPr>
        <w:tcBorders>
          <w:top w:val="single" w:sz="8" w:space="0" w:color="8FB08C"/>
          <w:left w:val="single" w:sz="8" w:space="0" w:color="8FB08C"/>
          <w:bottom w:val="single" w:sz="8" w:space="0" w:color="8FB08C"/>
          <w:right w:val="single" w:sz="8" w:space="0" w:color="8FB08C"/>
          <w:insideV w:val="single" w:sz="8" w:space="0" w:color="8FB08C"/>
        </w:tcBorders>
      </w:tcPr>
    </w:tblStylePr>
  </w:style>
  <w:style w:type="table" w:customStyle="1" w:styleId="LightShading-Accent1154">
    <w:name w:val="Light Shading - Accent 1154"/>
    <w:basedOn w:val="TableNormal"/>
    <w:uiPriority w:val="60"/>
    <w:rsid w:val="00E84619"/>
    <w:pPr>
      <w:spacing w:after="0" w:line="240" w:lineRule="auto"/>
      <w:ind w:left="568" w:hanging="284"/>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165">
    <w:name w:val="Light Shading - Accent 1165"/>
    <w:basedOn w:val="TableNormal"/>
    <w:uiPriority w:val="60"/>
    <w:rsid w:val="00E84619"/>
    <w:pPr>
      <w:spacing w:after="0" w:line="240" w:lineRule="auto"/>
      <w:ind w:left="568" w:hanging="284"/>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ele334">
    <w:name w:val="tabele 334"/>
    <w:basedOn w:val="TableNormal"/>
    <w:next w:val="LightList-Accent3"/>
    <w:uiPriority w:val="61"/>
    <w:rsid w:val="00E84619"/>
    <w:pPr>
      <w:spacing w:after="0" w:line="240" w:lineRule="auto"/>
    </w:pPr>
    <w:rPr>
      <w:rFonts w:ascii="Cambria Math" w:eastAsia="Calibri" w:hAnsi="Cambria Math" w:cs="Times New Roman"/>
      <w:sz w:val="18"/>
      <w:szCs w:val="20"/>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ghtShading-Accent1174">
    <w:name w:val="Light Shading - Accent 1174"/>
    <w:basedOn w:val="TableNormal"/>
    <w:uiPriority w:val="60"/>
    <w:rsid w:val="00E84619"/>
    <w:pPr>
      <w:spacing w:after="0" w:line="240" w:lineRule="auto"/>
      <w:ind w:left="568" w:hanging="284"/>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3134">
    <w:name w:val="Light Shading - Accent 3134"/>
    <w:basedOn w:val="TableNormal"/>
    <w:next w:val="LightShading-Accent3"/>
    <w:uiPriority w:val="60"/>
    <w:rsid w:val="00E84619"/>
    <w:pPr>
      <w:spacing w:after="0" w:line="240" w:lineRule="auto"/>
    </w:pPr>
    <w:rPr>
      <w:rFonts w:ascii="Constantia" w:eastAsia="Constantia" w:hAnsi="Constantia" w:cs="Times New Roman"/>
      <w:color w:val="8CADAE"/>
      <w:sz w:val="20"/>
      <w:szCs w:val="20"/>
    </w:rPr>
    <w:tblPr>
      <w:tblStyleRowBandSize w:val="1"/>
      <w:tblStyleColBandSize w:val="1"/>
      <w:tblBorders>
        <w:top w:val="single" w:sz="8" w:space="0" w:color="8CADAE"/>
        <w:bottom w:val="single" w:sz="8" w:space="0" w:color="8CADAE"/>
      </w:tblBorders>
    </w:tblPr>
    <w:tblStylePr w:type="firstRow">
      <w:pPr>
        <w:spacing w:before="0" w:after="0" w:line="240" w:lineRule="auto"/>
      </w:pPr>
      <w:rPr>
        <w:b/>
        <w:bCs/>
      </w:rPr>
      <w:tblPr/>
      <w:tcPr>
        <w:tcBorders>
          <w:top w:val="single" w:sz="8" w:space="0" w:color="8CADAE"/>
          <w:left w:val="nil"/>
          <w:bottom w:val="single" w:sz="8" w:space="0" w:color="8CADAE"/>
          <w:right w:val="nil"/>
          <w:insideH w:val="nil"/>
          <w:insideV w:val="nil"/>
        </w:tcBorders>
      </w:tcPr>
    </w:tblStylePr>
    <w:tblStylePr w:type="lastRow">
      <w:pPr>
        <w:spacing w:before="0" w:after="0" w:line="240" w:lineRule="auto"/>
      </w:pPr>
      <w:rPr>
        <w:b/>
        <w:bCs/>
      </w:rPr>
      <w:tblPr/>
      <w:tcPr>
        <w:tcBorders>
          <w:top w:val="single" w:sz="8" w:space="0" w:color="8CADAE"/>
          <w:left w:val="nil"/>
          <w:bottom w:val="single" w:sz="8" w:space="0" w:color="8CADA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AEB"/>
      </w:tcPr>
    </w:tblStylePr>
    <w:tblStylePr w:type="band1Horz">
      <w:tblPr/>
      <w:tcPr>
        <w:tcBorders>
          <w:left w:val="nil"/>
          <w:right w:val="nil"/>
          <w:insideH w:val="nil"/>
          <w:insideV w:val="nil"/>
        </w:tcBorders>
        <w:shd w:val="clear" w:color="auto" w:fill="E2EAEB"/>
      </w:tcPr>
    </w:tblStylePr>
  </w:style>
  <w:style w:type="table" w:customStyle="1" w:styleId="LightList-Accent3144">
    <w:name w:val="Light List - Accent 3144"/>
    <w:basedOn w:val="TableNormal"/>
    <w:next w:val="LightList-Accent3"/>
    <w:uiPriority w:val="61"/>
    <w:rsid w:val="00E84619"/>
    <w:pPr>
      <w:spacing w:after="0" w:line="240" w:lineRule="auto"/>
    </w:pPr>
    <w:rPr>
      <w:rFonts w:ascii="Constantia" w:eastAsia="Constantia" w:hAnsi="Constantia" w:cs="Times New Roman"/>
      <w:sz w:val="20"/>
      <w:szCs w:val="20"/>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List-Accent5134">
    <w:name w:val="Light List - Accent 5134"/>
    <w:basedOn w:val="TableNormal"/>
    <w:next w:val="LightList-Accent5"/>
    <w:uiPriority w:val="61"/>
    <w:rsid w:val="00E84619"/>
    <w:pPr>
      <w:spacing w:after="0" w:line="240" w:lineRule="auto"/>
    </w:pPr>
    <w:rPr>
      <w:rFonts w:ascii="Times New Roman" w:eastAsia="Constantia" w:hAnsi="Times New Roman" w:cs="Times New Roman"/>
      <w:sz w:val="20"/>
      <w:szCs w:val="20"/>
    </w:rPr>
    <w:tblPr>
      <w:tblStyleRowBandSize w:val="1"/>
      <w:tblStyleColBandSize w:val="1"/>
      <w:tblBorders>
        <w:top w:val="single" w:sz="8" w:space="0" w:color="8FB08C"/>
        <w:left w:val="single" w:sz="8" w:space="0" w:color="8FB08C"/>
        <w:bottom w:val="single" w:sz="8" w:space="0" w:color="8FB08C"/>
        <w:right w:val="single" w:sz="8" w:space="0" w:color="8FB08C"/>
      </w:tblBorders>
    </w:tblPr>
    <w:tblStylePr w:type="firstRow">
      <w:pPr>
        <w:spacing w:before="0" w:after="0" w:line="240" w:lineRule="auto"/>
      </w:pPr>
      <w:rPr>
        <w:b/>
        <w:bCs/>
        <w:color w:val="FFFFFF"/>
      </w:rPr>
      <w:tblPr/>
      <w:tcPr>
        <w:shd w:val="clear" w:color="auto" w:fill="8FB08C"/>
      </w:tcPr>
    </w:tblStylePr>
    <w:tblStylePr w:type="lastRow">
      <w:pPr>
        <w:spacing w:before="0" w:after="0" w:line="240" w:lineRule="auto"/>
      </w:pPr>
      <w:rPr>
        <w:b/>
        <w:bCs/>
      </w:rPr>
      <w:tblPr/>
      <w:tcPr>
        <w:tcBorders>
          <w:top w:val="double" w:sz="6" w:space="0" w:color="8FB08C"/>
          <w:left w:val="single" w:sz="8" w:space="0" w:color="8FB08C"/>
          <w:bottom w:val="single" w:sz="8" w:space="0" w:color="8FB08C"/>
          <w:right w:val="single" w:sz="8" w:space="0" w:color="8FB08C"/>
        </w:tcBorders>
      </w:tcPr>
    </w:tblStylePr>
    <w:tblStylePr w:type="firstCol">
      <w:rPr>
        <w:b/>
        <w:bCs/>
      </w:rPr>
    </w:tblStylePr>
    <w:tblStylePr w:type="lastCol">
      <w:rPr>
        <w:b/>
        <w:bCs/>
      </w:rPr>
    </w:tblStylePr>
    <w:tblStylePr w:type="band1Vert">
      <w:tblPr/>
      <w:tcPr>
        <w:tcBorders>
          <w:top w:val="single" w:sz="8" w:space="0" w:color="8FB08C"/>
          <w:left w:val="single" w:sz="8" w:space="0" w:color="8FB08C"/>
          <w:bottom w:val="single" w:sz="8" w:space="0" w:color="8FB08C"/>
          <w:right w:val="single" w:sz="8" w:space="0" w:color="8FB08C"/>
        </w:tcBorders>
      </w:tcPr>
    </w:tblStylePr>
    <w:tblStylePr w:type="band1Horz">
      <w:tblPr/>
      <w:tcPr>
        <w:tcBorders>
          <w:top w:val="single" w:sz="8" w:space="0" w:color="8FB08C"/>
          <w:left w:val="single" w:sz="8" w:space="0" w:color="8FB08C"/>
          <w:bottom w:val="single" w:sz="8" w:space="0" w:color="8FB08C"/>
          <w:right w:val="single" w:sz="8" w:space="0" w:color="8FB08C"/>
        </w:tcBorders>
      </w:tcPr>
    </w:tblStylePr>
  </w:style>
  <w:style w:type="table" w:customStyle="1" w:styleId="LightGrid-Accent5135">
    <w:name w:val="Light Grid - Accent 5135"/>
    <w:basedOn w:val="TableNormal"/>
    <w:next w:val="LightGrid-Accent5"/>
    <w:uiPriority w:val="62"/>
    <w:rsid w:val="00E84619"/>
    <w:pPr>
      <w:spacing w:after="0" w:line="240" w:lineRule="auto"/>
    </w:pPr>
    <w:rPr>
      <w:rFonts w:ascii="Calibri" w:eastAsia="Calibri" w:hAnsi="Calibri" w:cs="Times New Roman"/>
      <w:sz w:val="20"/>
      <w:szCs w:val="20"/>
      <w:lang w:val="sr-Latn-CS" w:eastAsia="en-GB"/>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Constantia" w:eastAsia="Times New Roman" w:hAnsi="Constant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onstantia" w:eastAsia="Times New Roman" w:hAnsi="Constant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onstantia" w:eastAsia="Times New Roman" w:hAnsi="Constantia" w:cs="Times New Roman"/>
        <w:b/>
        <w:bCs/>
      </w:rPr>
    </w:tblStylePr>
    <w:tblStylePr w:type="lastCol">
      <w:rPr>
        <w:rFonts w:ascii="Constantia" w:eastAsia="Times New Roman" w:hAnsi="Constant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LightGrid-Accent545">
    <w:name w:val="Light Grid - Accent 545"/>
    <w:basedOn w:val="TableNormal"/>
    <w:next w:val="LightGrid-Accent5"/>
    <w:uiPriority w:val="62"/>
    <w:rsid w:val="00E84619"/>
    <w:pPr>
      <w:spacing w:after="0" w:line="240" w:lineRule="auto"/>
    </w:pPr>
    <w:rPr>
      <w:rFonts w:ascii="Calibri" w:eastAsia="Calibri" w:hAnsi="Calibri" w:cs="Times New Roman"/>
      <w:sz w:val="20"/>
      <w:szCs w:val="20"/>
      <w:lang w:val="en-GB" w:eastAsia="en-GB"/>
    </w:rPr>
    <w:tblPr>
      <w:tblStyleRowBandSize w:val="1"/>
      <w:tblStyleColBandSize w:val="1"/>
      <w:tblBorders>
        <w:top w:val="single" w:sz="8" w:space="0" w:color="8FB08C"/>
        <w:left w:val="single" w:sz="8" w:space="0" w:color="8FB08C"/>
        <w:bottom w:val="single" w:sz="8" w:space="0" w:color="8FB08C"/>
        <w:right w:val="single" w:sz="8" w:space="0" w:color="8FB08C"/>
        <w:insideH w:val="single" w:sz="8" w:space="0" w:color="8FB08C"/>
        <w:insideV w:val="single" w:sz="8" w:space="0" w:color="8FB08C"/>
      </w:tblBorders>
    </w:tblPr>
    <w:tblStylePr w:type="firstRow">
      <w:pPr>
        <w:spacing w:before="0" w:after="0" w:line="240" w:lineRule="auto"/>
      </w:pPr>
      <w:rPr>
        <w:rFonts w:ascii="Constantia" w:eastAsia="Times New Roman" w:hAnsi="Constantia" w:cs="Times New Roman"/>
        <w:b/>
        <w:bCs/>
      </w:rPr>
      <w:tblPr/>
      <w:tcPr>
        <w:tcBorders>
          <w:top w:val="single" w:sz="8" w:space="0" w:color="8FB08C"/>
          <w:left w:val="single" w:sz="8" w:space="0" w:color="8FB08C"/>
          <w:bottom w:val="single" w:sz="18" w:space="0" w:color="8FB08C"/>
          <w:right w:val="single" w:sz="8" w:space="0" w:color="8FB08C"/>
          <w:insideH w:val="nil"/>
          <w:insideV w:val="single" w:sz="8" w:space="0" w:color="8FB08C"/>
        </w:tcBorders>
      </w:tcPr>
    </w:tblStylePr>
    <w:tblStylePr w:type="lastRow">
      <w:pPr>
        <w:spacing w:before="0" w:after="0" w:line="240" w:lineRule="auto"/>
      </w:pPr>
      <w:rPr>
        <w:rFonts w:ascii="Constantia" w:eastAsia="Times New Roman" w:hAnsi="Constantia" w:cs="Times New Roman"/>
        <w:b/>
        <w:bCs/>
      </w:rPr>
      <w:tblPr/>
      <w:tcPr>
        <w:tcBorders>
          <w:top w:val="double" w:sz="6" w:space="0" w:color="8FB08C"/>
          <w:left w:val="single" w:sz="8" w:space="0" w:color="8FB08C"/>
          <w:bottom w:val="single" w:sz="8" w:space="0" w:color="8FB08C"/>
          <w:right w:val="single" w:sz="8" w:space="0" w:color="8FB08C"/>
          <w:insideH w:val="nil"/>
          <w:insideV w:val="single" w:sz="8" w:space="0" w:color="8FB08C"/>
        </w:tcBorders>
      </w:tcPr>
    </w:tblStylePr>
    <w:tblStylePr w:type="firstCol">
      <w:rPr>
        <w:rFonts w:ascii="Constantia" w:eastAsia="Times New Roman" w:hAnsi="Constantia" w:cs="Times New Roman"/>
        <w:b/>
        <w:bCs/>
      </w:rPr>
    </w:tblStylePr>
    <w:tblStylePr w:type="lastCol">
      <w:rPr>
        <w:rFonts w:ascii="Constantia" w:eastAsia="Times New Roman" w:hAnsi="Constantia" w:cs="Times New Roman"/>
        <w:b/>
        <w:bCs/>
      </w:rPr>
      <w:tblPr/>
      <w:tcPr>
        <w:tcBorders>
          <w:top w:val="single" w:sz="8" w:space="0" w:color="8FB08C"/>
          <w:left w:val="single" w:sz="8" w:space="0" w:color="8FB08C"/>
          <w:bottom w:val="single" w:sz="8" w:space="0" w:color="8FB08C"/>
          <w:right w:val="single" w:sz="8" w:space="0" w:color="8FB08C"/>
        </w:tcBorders>
      </w:tcPr>
    </w:tblStylePr>
    <w:tblStylePr w:type="band1Vert">
      <w:tblPr/>
      <w:tcPr>
        <w:tcBorders>
          <w:top w:val="single" w:sz="8" w:space="0" w:color="8FB08C"/>
          <w:left w:val="single" w:sz="8" w:space="0" w:color="8FB08C"/>
          <w:bottom w:val="single" w:sz="8" w:space="0" w:color="8FB08C"/>
          <w:right w:val="single" w:sz="8" w:space="0" w:color="8FB08C"/>
        </w:tcBorders>
        <w:shd w:val="clear" w:color="auto" w:fill="E3EBE2"/>
      </w:tcPr>
    </w:tblStylePr>
    <w:tblStylePr w:type="band1Horz">
      <w:tblPr/>
      <w:tcPr>
        <w:tcBorders>
          <w:top w:val="single" w:sz="8" w:space="0" w:color="8FB08C"/>
          <w:left w:val="single" w:sz="8" w:space="0" w:color="8FB08C"/>
          <w:bottom w:val="single" w:sz="8" w:space="0" w:color="8FB08C"/>
          <w:right w:val="single" w:sz="8" w:space="0" w:color="8FB08C"/>
          <w:insideV w:val="single" w:sz="8" w:space="0" w:color="8FB08C"/>
        </w:tcBorders>
        <w:shd w:val="clear" w:color="auto" w:fill="E3EBE2"/>
      </w:tcPr>
    </w:tblStylePr>
    <w:tblStylePr w:type="band2Horz">
      <w:tblPr/>
      <w:tcPr>
        <w:tcBorders>
          <w:top w:val="single" w:sz="8" w:space="0" w:color="8FB08C"/>
          <w:left w:val="single" w:sz="8" w:space="0" w:color="8FB08C"/>
          <w:bottom w:val="single" w:sz="8" w:space="0" w:color="8FB08C"/>
          <w:right w:val="single" w:sz="8" w:space="0" w:color="8FB08C"/>
          <w:insideV w:val="single" w:sz="8" w:space="0" w:color="8FB08C"/>
        </w:tcBorders>
      </w:tcPr>
    </w:tblStylePr>
  </w:style>
  <w:style w:type="table" w:customStyle="1" w:styleId="LightList-Accent31134">
    <w:name w:val="Light List - Accent 31134"/>
    <w:basedOn w:val="TableNormal"/>
    <w:next w:val="LightList-Accent3"/>
    <w:uiPriority w:val="61"/>
    <w:rsid w:val="00E84619"/>
    <w:pPr>
      <w:spacing w:after="0" w:line="240" w:lineRule="auto"/>
    </w:pPr>
    <w:rPr>
      <w:rFonts w:ascii="Constantia" w:eastAsia="Constantia" w:hAnsi="Constantia" w:cs="Times New Roman"/>
      <w:sz w:val="20"/>
      <w:szCs w:val="20"/>
    </w:rPr>
    <w:tblPr>
      <w:tblStyleRowBandSize w:val="1"/>
      <w:tblStyleColBandSize w:val="1"/>
      <w:tblBorders>
        <w:top w:val="single" w:sz="8" w:space="0" w:color="8CADAE"/>
        <w:left w:val="single" w:sz="8" w:space="0" w:color="8CADAE"/>
        <w:bottom w:val="single" w:sz="8" w:space="0" w:color="8CADAE"/>
        <w:right w:val="single" w:sz="8" w:space="0" w:color="8CADAE"/>
      </w:tblBorders>
    </w:tblPr>
    <w:tblStylePr w:type="firstRow">
      <w:pPr>
        <w:spacing w:before="0" w:after="0" w:line="240" w:lineRule="auto"/>
      </w:pPr>
      <w:rPr>
        <w:b/>
        <w:bCs/>
        <w:color w:val="FFFFFF"/>
      </w:rPr>
      <w:tblPr/>
      <w:tcPr>
        <w:shd w:val="clear" w:color="auto" w:fill="8CADAE"/>
      </w:tcPr>
    </w:tblStylePr>
    <w:tblStylePr w:type="lastRow">
      <w:pPr>
        <w:spacing w:before="0" w:after="0" w:line="240" w:lineRule="auto"/>
      </w:pPr>
      <w:rPr>
        <w:b/>
        <w:bCs/>
      </w:rPr>
      <w:tblPr/>
      <w:tcPr>
        <w:tcBorders>
          <w:top w:val="double" w:sz="6" w:space="0" w:color="8CADAE"/>
          <w:left w:val="single" w:sz="8" w:space="0" w:color="8CADAE"/>
          <w:bottom w:val="single" w:sz="8" w:space="0" w:color="8CADAE"/>
          <w:right w:val="single" w:sz="8" w:space="0" w:color="8CADAE"/>
        </w:tcBorders>
      </w:tcPr>
    </w:tblStylePr>
    <w:tblStylePr w:type="firstCol">
      <w:rPr>
        <w:b/>
        <w:bCs/>
      </w:rPr>
    </w:tblStylePr>
    <w:tblStylePr w:type="lastCol">
      <w:rPr>
        <w:b/>
        <w:bCs/>
      </w:rPr>
    </w:tblStylePr>
    <w:tblStylePr w:type="band1Vert">
      <w:tblPr/>
      <w:tcPr>
        <w:tcBorders>
          <w:top w:val="single" w:sz="8" w:space="0" w:color="8CADAE"/>
          <w:left w:val="single" w:sz="8" w:space="0" w:color="8CADAE"/>
          <w:bottom w:val="single" w:sz="8" w:space="0" w:color="8CADAE"/>
          <w:right w:val="single" w:sz="8" w:space="0" w:color="8CADAE"/>
        </w:tcBorders>
      </w:tcPr>
    </w:tblStylePr>
    <w:tblStylePr w:type="band1Horz">
      <w:tblPr/>
      <w:tcPr>
        <w:tcBorders>
          <w:top w:val="single" w:sz="8" w:space="0" w:color="8CADAE"/>
          <w:left w:val="single" w:sz="8" w:space="0" w:color="8CADAE"/>
          <w:bottom w:val="single" w:sz="8" w:space="0" w:color="8CADAE"/>
          <w:right w:val="single" w:sz="8" w:space="0" w:color="8CADAE"/>
        </w:tcBorders>
      </w:tcPr>
    </w:tblStylePr>
  </w:style>
  <w:style w:type="table" w:customStyle="1" w:styleId="LightShading-Accent1184">
    <w:name w:val="Light Shading - Accent 1184"/>
    <w:basedOn w:val="TableNormal"/>
    <w:uiPriority w:val="60"/>
    <w:rsid w:val="00E84619"/>
    <w:pPr>
      <w:spacing w:after="0" w:line="240" w:lineRule="auto"/>
      <w:ind w:left="568" w:hanging="284"/>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1614">
    <w:name w:val="Light Shading - Accent 11614"/>
    <w:basedOn w:val="TableNormal"/>
    <w:uiPriority w:val="60"/>
    <w:rsid w:val="00E84619"/>
    <w:pPr>
      <w:spacing w:after="0" w:line="240" w:lineRule="auto"/>
      <w:ind w:left="568" w:hanging="284"/>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7">
    <w:name w:val="Light Shading - Accent 17"/>
    <w:basedOn w:val="TableNormal"/>
    <w:next w:val="LightShading-Accent1"/>
    <w:uiPriority w:val="60"/>
    <w:rsid w:val="00E84619"/>
    <w:pPr>
      <w:spacing w:after="0" w:line="240" w:lineRule="auto"/>
    </w:pPr>
    <w:rPr>
      <w:rFonts w:ascii="Constantia" w:eastAsia="Constantia" w:hAnsi="Constantia"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numbering" w:customStyle="1" w:styleId="NoList6">
    <w:name w:val="No List6"/>
    <w:next w:val="NoList"/>
    <w:uiPriority w:val="99"/>
    <w:semiHidden/>
    <w:unhideWhenUsed/>
    <w:rsid w:val="00E84619"/>
  </w:style>
  <w:style w:type="table" w:customStyle="1" w:styleId="TableGrid33">
    <w:name w:val="Table Grid33"/>
    <w:basedOn w:val="TableNormal"/>
    <w:next w:val="TableGrid"/>
    <w:uiPriority w:val="39"/>
    <w:rsid w:val="00E84619"/>
    <w:pPr>
      <w:spacing w:after="0" w:line="240" w:lineRule="auto"/>
    </w:pPr>
    <w:rPr>
      <w:rFonts w:ascii="Constantia" w:eastAsia="Constantia" w:hAnsi="Constant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Accent517">
    <w:name w:val="Grid Table 6 Colorful - Accent 517"/>
    <w:basedOn w:val="TableNormal"/>
    <w:uiPriority w:val="51"/>
    <w:rsid w:val="00E84619"/>
    <w:pPr>
      <w:spacing w:after="0" w:line="240" w:lineRule="auto"/>
    </w:pPr>
    <w:rPr>
      <w:rFonts w:ascii="Constantia" w:eastAsia="Constantia" w:hAnsi="Constantia" w:cs="Times New Roman"/>
      <w:color w:val="2F5496" w:themeColor="accent5" w:themeShade="BF"/>
      <w:sz w:val="20"/>
      <w:szCs w:val="20"/>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GridTable7Colorful1">
    <w:name w:val="Grid Table 7 Colorful1"/>
    <w:basedOn w:val="TableNormal"/>
    <w:uiPriority w:val="52"/>
    <w:rsid w:val="00E84619"/>
    <w:pPr>
      <w:spacing w:after="0" w:line="240" w:lineRule="auto"/>
    </w:pPr>
    <w:rPr>
      <w:rFonts w:ascii="Constantia" w:eastAsia="Constantia" w:hAnsi="Constantia" w:cs="Times New Roman"/>
      <w:color w:val="000000" w:themeColor="text1"/>
      <w:sz w:val="20"/>
      <w:szCs w:val="20"/>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PlainTable31">
    <w:name w:val="Plain Table 31"/>
    <w:basedOn w:val="TableNormal"/>
    <w:uiPriority w:val="43"/>
    <w:rsid w:val="00E84619"/>
    <w:pPr>
      <w:spacing w:after="0" w:line="240" w:lineRule="auto"/>
    </w:pPr>
    <w:rPr>
      <w:rFonts w:ascii="Constantia" w:eastAsia="Constantia" w:hAnsi="Constantia" w:cs="Times New Roman"/>
      <w:sz w:val="20"/>
      <w:szCs w:val="20"/>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51">
    <w:name w:val="Plain Table 51"/>
    <w:basedOn w:val="TableNormal"/>
    <w:uiPriority w:val="45"/>
    <w:rsid w:val="00E84619"/>
    <w:pPr>
      <w:spacing w:after="0" w:line="240" w:lineRule="auto"/>
    </w:pPr>
    <w:rPr>
      <w:rFonts w:ascii="Constantia" w:eastAsia="Constantia" w:hAnsi="Constantia" w:cs="Times New Roman"/>
      <w:sz w:val="20"/>
      <w:szCs w:val="20"/>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GridTable7Colorful-Accent31">
    <w:name w:val="Grid Table 7 Colorful - Accent 31"/>
    <w:basedOn w:val="TableNormal"/>
    <w:uiPriority w:val="52"/>
    <w:rsid w:val="00E84619"/>
    <w:pPr>
      <w:spacing w:after="0" w:line="240" w:lineRule="auto"/>
    </w:pPr>
    <w:rPr>
      <w:rFonts w:ascii="Constantia" w:eastAsia="Constantia" w:hAnsi="Constantia" w:cs="Times New Roman"/>
      <w:color w:val="7B7B7B" w:themeColor="accent3" w:themeShade="BF"/>
      <w:sz w:val="20"/>
      <w:szCs w:val="20"/>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GridTable21">
    <w:name w:val="Grid Table 21"/>
    <w:basedOn w:val="TableNormal"/>
    <w:uiPriority w:val="47"/>
    <w:rsid w:val="00E84619"/>
    <w:pPr>
      <w:spacing w:after="0" w:line="240" w:lineRule="auto"/>
    </w:pPr>
    <w:rPr>
      <w:rFonts w:ascii="Constantia" w:eastAsia="Constantia" w:hAnsi="Constantia" w:cs="Times New Roman"/>
      <w:sz w:val="20"/>
      <w:szCs w:val="20"/>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DecimalAligned">
    <w:name w:val="Decimal Aligned"/>
    <w:basedOn w:val="Normal"/>
    <w:uiPriority w:val="40"/>
    <w:qFormat/>
    <w:rsid w:val="00E84619"/>
    <w:pPr>
      <w:tabs>
        <w:tab w:val="decimal" w:pos="360"/>
      </w:tabs>
      <w:spacing w:after="200" w:line="276" w:lineRule="auto"/>
    </w:pPr>
    <w:rPr>
      <w:rFonts w:ascii="Calibri" w:eastAsia="Calibri" w:hAnsi="Calibri" w:cs="Times New Roman"/>
      <w:lang w:eastAsia="ja-JP"/>
    </w:rPr>
  </w:style>
  <w:style w:type="numbering" w:customStyle="1" w:styleId="NoList7">
    <w:name w:val="No List7"/>
    <w:next w:val="NoList"/>
    <w:uiPriority w:val="99"/>
    <w:semiHidden/>
    <w:unhideWhenUsed/>
    <w:rsid w:val="00E84619"/>
  </w:style>
  <w:style w:type="table" w:customStyle="1" w:styleId="LightShading-Accent353">
    <w:name w:val="Light Shading - Accent 353"/>
    <w:basedOn w:val="TableNormal"/>
    <w:next w:val="LightShading-Accent3"/>
    <w:uiPriority w:val="60"/>
    <w:rsid w:val="00E84619"/>
    <w:pPr>
      <w:spacing w:after="0" w:line="240" w:lineRule="auto"/>
    </w:pPr>
    <w:rPr>
      <w:rFonts w:ascii="Calibri" w:eastAsia="Calibri" w:hAnsi="Calibri" w:cs="Times New Roman"/>
      <w:color w:val="76923C"/>
      <w:lang w:val="sr-Latn-RS"/>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21">
    <w:name w:val="21"/>
    <w:basedOn w:val="TableNormal"/>
    <w:rsid w:val="00E84619"/>
    <w:pPr>
      <w:contextualSpacing/>
    </w:pPr>
    <w:rPr>
      <w:rFonts w:ascii="Calibri" w:eastAsia="Calibri" w:hAnsi="Calibri" w:cs="Calibri"/>
      <w:color w:val="000000"/>
    </w:rPr>
    <w:tblPr>
      <w:tblStyleRowBandSize w:val="1"/>
      <w:tblStyleColBandSize w:val="1"/>
      <w:tblCellMar>
        <w:left w:w="115" w:type="dxa"/>
        <w:right w:w="115" w:type="dxa"/>
      </w:tblCellMar>
    </w:tblPr>
  </w:style>
  <w:style w:type="table" w:customStyle="1" w:styleId="20">
    <w:name w:val="20"/>
    <w:basedOn w:val="TableNormal"/>
    <w:rsid w:val="00E84619"/>
    <w:pPr>
      <w:spacing w:after="0" w:line="240" w:lineRule="auto"/>
    </w:pPr>
    <w:rPr>
      <w:rFonts w:ascii="Calibri" w:eastAsia="Calibri" w:hAnsi="Calibri" w:cs="Calibri"/>
      <w:color w:val="000000"/>
    </w:rPr>
    <w:tblPr>
      <w:tblStyleRowBandSize w:val="1"/>
      <w:tblStyleColBandSize w:val="1"/>
      <w:tblCellMar>
        <w:left w:w="115" w:type="dxa"/>
        <w:right w:w="115" w:type="dxa"/>
      </w:tblCellMar>
    </w:tblPr>
  </w:style>
  <w:style w:type="table" w:customStyle="1" w:styleId="19">
    <w:name w:val="19"/>
    <w:basedOn w:val="TableNormal"/>
    <w:rsid w:val="00E84619"/>
    <w:pPr>
      <w:contextualSpacing/>
    </w:pPr>
    <w:rPr>
      <w:rFonts w:ascii="Calibri" w:eastAsia="Calibri" w:hAnsi="Calibri" w:cs="Calibri"/>
      <w:color w:val="000000"/>
    </w:rPr>
    <w:tblPr>
      <w:tblStyleRowBandSize w:val="1"/>
      <w:tblStyleColBandSize w:val="1"/>
      <w:tblCellMar>
        <w:left w:w="115" w:type="dxa"/>
        <w:right w:w="115" w:type="dxa"/>
      </w:tblCellMar>
    </w:tblPr>
  </w:style>
  <w:style w:type="table" w:customStyle="1" w:styleId="18">
    <w:name w:val="18"/>
    <w:basedOn w:val="TableNormal"/>
    <w:rsid w:val="00E84619"/>
    <w:pPr>
      <w:contextualSpacing/>
    </w:pPr>
    <w:rPr>
      <w:rFonts w:ascii="Calibri" w:eastAsia="Calibri" w:hAnsi="Calibri" w:cs="Calibri"/>
      <w:color w:val="000000"/>
    </w:rPr>
    <w:tblPr>
      <w:tblStyleRowBandSize w:val="1"/>
      <w:tblStyleColBandSize w:val="1"/>
      <w:tblCellMar>
        <w:left w:w="115" w:type="dxa"/>
        <w:right w:w="115" w:type="dxa"/>
      </w:tblCellMar>
    </w:tblPr>
  </w:style>
  <w:style w:type="table" w:customStyle="1" w:styleId="17">
    <w:name w:val="17"/>
    <w:basedOn w:val="TableNormal"/>
    <w:rsid w:val="00E84619"/>
    <w:pPr>
      <w:contextualSpacing/>
    </w:pPr>
    <w:rPr>
      <w:rFonts w:ascii="Calibri" w:eastAsia="Calibri" w:hAnsi="Calibri" w:cs="Calibri"/>
      <w:color w:val="000000"/>
    </w:rPr>
    <w:tblPr>
      <w:tblStyleRowBandSize w:val="1"/>
      <w:tblStyleColBandSize w:val="1"/>
      <w:tblCellMar>
        <w:left w:w="115" w:type="dxa"/>
        <w:right w:w="115" w:type="dxa"/>
      </w:tblCellMar>
    </w:tblPr>
  </w:style>
  <w:style w:type="table" w:customStyle="1" w:styleId="16">
    <w:name w:val="16"/>
    <w:basedOn w:val="TableNormal"/>
    <w:rsid w:val="00E84619"/>
    <w:pPr>
      <w:contextualSpacing/>
    </w:pPr>
    <w:rPr>
      <w:rFonts w:ascii="Calibri" w:eastAsia="Calibri" w:hAnsi="Calibri" w:cs="Calibri"/>
      <w:color w:val="000000"/>
    </w:rPr>
    <w:tblPr>
      <w:tblStyleRowBandSize w:val="1"/>
      <w:tblStyleColBandSize w:val="1"/>
      <w:tblCellMar>
        <w:left w:w="115" w:type="dxa"/>
        <w:right w:w="115" w:type="dxa"/>
      </w:tblCellMar>
    </w:tblPr>
  </w:style>
  <w:style w:type="table" w:customStyle="1" w:styleId="15">
    <w:name w:val="15"/>
    <w:basedOn w:val="TableNormal"/>
    <w:rsid w:val="00E84619"/>
    <w:pPr>
      <w:contextualSpacing/>
    </w:pPr>
    <w:rPr>
      <w:rFonts w:ascii="Calibri" w:eastAsia="Calibri" w:hAnsi="Calibri" w:cs="Calibri"/>
      <w:color w:val="000000"/>
    </w:rPr>
    <w:tblPr>
      <w:tblStyleRowBandSize w:val="1"/>
      <w:tblStyleColBandSize w:val="1"/>
      <w:tblCellMar>
        <w:left w:w="115" w:type="dxa"/>
        <w:right w:w="115" w:type="dxa"/>
      </w:tblCellMar>
    </w:tblPr>
  </w:style>
  <w:style w:type="table" w:customStyle="1" w:styleId="14">
    <w:name w:val="14"/>
    <w:basedOn w:val="TableNormal"/>
    <w:rsid w:val="00E84619"/>
    <w:pPr>
      <w:contextualSpacing/>
    </w:pPr>
    <w:rPr>
      <w:rFonts w:ascii="Calibri" w:eastAsia="Calibri" w:hAnsi="Calibri" w:cs="Calibri"/>
      <w:color w:val="000000"/>
    </w:rPr>
    <w:tblPr>
      <w:tblStyleRowBandSize w:val="1"/>
      <w:tblStyleColBandSize w:val="1"/>
      <w:tblCellMar>
        <w:left w:w="115" w:type="dxa"/>
        <w:right w:w="115" w:type="dxa"/>
      </w:tblCellMar>
    </w:tblPr>
  </w:style>
  <w:style w:type="table" w:customStyle="1" w:styleId="13">
    <w:name w:val="13"/>
    <w:basedOn w:val="TableNormal"/>
    <w:rsid w:val="00E84619"/>
    <w:pPr>
      <w:contextualSpacing/>
    </w:pPr>
    <w:rPr>
      <w:rFonts w:ascii="Calibri" w:eastAsia="Calibri" w:hAnsi="Calibri" w:cs="Calibri"/>
      <w:color w:val="000000"/>
    </w:rPr>
    <w:tblPr>
      <w:tblStyleRowBandSize w:val="1"/>
      <w:tblStyleColBandSize w:val="1"/>
      <w:tblCellMar>
        <w:left w:w="115" w:type="dxa"/>
        <w:right w:w="115" w:type="dxa"/>
      </w:tblCellMar>
    </w:tblPr>
  </w:style>
  <w:style w:type="table" w:customStyle="1" w:styleId="120">
    <w:name w:val="12"/>
    <w:basedOn w:val="TableNormal"/>
    <w:rsid w:val="00E84619"/>
    <w:pPr>
      <w:contextualSpacing/>
    </w:pPr>
    <w:rPr>
      <w:rFonts w:ascii="Calibri" w:eastAsia="Calibri" w:hAnsi="Calibri" w:cs="Calibri"/>
      <w:color w:val="000000"/>
    </w:rPr>
    <w:tblPr>
      <w:tblStyleRowBandSize w:val="1"/>
      <w:tblStyleColBandSize w:val="1"/>
      <w:tblCellMar>
        <w:left w:w="115" w:type="dxa"/>
        <w:right w:w="115" w:type="dxa"/>
      </w:tblCellMar>
    </w:tblPr>
  </w:style>
  <w:style w:type="table" w:customStyle="1" w:styleId="118">
    <w:name w:val="11"/>
    <w:basedOn w:val="TableNormal"/>
    <w:rsid w:val="00E84619"/>
    <w:pPr>
      <w:contextualSpacing/>
    </w:pPr>
    <w:rPr>
      <w:rFonts w:ascii="Calibri" w:eastAsia="Calibri" w:hAnsi="Calibri" w:cs="Calibri"/>
      <w:color w:val="000000"/>
    </w:rPr>
    <w:tblPr>
      <w:tblStyleRowBandSize w:val="1"/>
      <w:tblStyleColBandSize w:val="1"/>
      <w:tblCellMar>
        <w:left w:w="115" w:type="dxa"/>
        <w:right w:w="115" w:type="dxa"/>
      </w:tblCellMar>
    </w:tblPr>
  </w:style>
  <w:style w:type="table" w:customStyle="1" w:styleId="10">
    <w:name w:val="10"/>
    <w:basedOn w:val="TableNormal"/>
    <w:rsid w:val="00E84619"/>
    <w:pPr>
      <w:contextualSpacing/>
    </w:pPr>
    <w:rPr>
      <w:rFonts w:ascii="Calibri" w:eastAsia="Calibri" w:hAnsi="Calibri" w:cs="Calibri"/>
      <w:color w:val="000000"/>
    </w:rPr>
    <w:tblPr>
      <w:tblStyleRowBandSize w:val="1"/>
      <w:tblStyleColBandSize w:val="1"/>
      <w:tblCellMar>
        <w:left w:w="115" w:type="dxa"/>
        <w:right w:w="115" w:type="dxa"/>
      </w:tblCellMar>
    </w:tblPr>
  </w:style>
  <w:style w:type="table" w:customStyle="1" w:styleId="9">
    <w:name w:val="9"/>
    <w:basedOn w:val="TableNormal"/>
    <w:rsid w:val="00E84619"/>
    <w:pPr>
      <w:contextualSpacing/>
    </w:pPr>
    <w:rPr>
      <w:rFonts w:ascii="Calibri" w:eastAsia="Calibri" w:hAnsi="Calibri" w:cs="Calibri"/>
      <w:color w:val="000000"/>
    </w:rPr>
    <w:tblPr>
      <w:tblStyleRowBandSize w:val="1"/>
      <w:tblStyleColBandSize w:val="1"/>
      <w:tblCellMar>
        <w:left w:w="115" w:type="dxa"/>
        <w:right w:w="115" w:type="dxa"/>
      </w:tblCellMar>
    </w:tblPr>
  </w:style>
  <w:style w:type="table" w:customStyle="1" w:styleId="8">
    <w:name w:val="8"/>
    <w:basedOn w:val="TableNormal"/>
    <w:rsid w:val="00E84619"/>
    <w:pPr>
      <w:contextualSpacing/>
    </w:pPr>
    <w:rPr>
      <w:rFonts w:ascii="Calibri" w:eastAsia="Calibri" w:hAnsi="Calibri" w:cs="Calibri"/>
      <w:color w:val="000000"/>
    </w:rPr>
    <w:tblPr>
      <w:tblStyleRowBandSize w:val="1"/>
      <w:tblStyleColBandSize w:val="1"/>
      <w:tblCellMar>
        <w:left w:w="115" w:type="dxa"/>
        <w:right w:w="115" w:type="dxa"/>
      </w:tblCellMar>
    </w:tblPr>
  </w:style>
  <w:style w:type="table" w:customStyle="1" w:styleId="7">
    <w:name w:val="7"/>
    <w:basedOn w:val="TableNormal"/>
    <w:rsid w:val="00E84619"/>
    <w:pPr>
      <w:contextualSpacing/>
    </w:pPr>
    <w:rPr>
      <w:rFonts w:ascii="Calibri" w:eastAsia="Calibri" w:hAnsi="Calibri" w:cs="Calibri"/>
      <w:color w:val="000000"/>
    </w:rPr>
    <w:tblPr>
      <w:tblStyleRowBandSize w:val="1"/>
      <w:tblStyleColBandSize w:val="1"/>
      <w:tblCellMar>
        <w:left w:w="115" w:type="dxa"/>
        <w:right w:w="115" w:type="dxa"/>
      </w:tblCellMar>
    </w:tblPr>
  </w:style>
  <w:style w:type="table" w:customStyle="1" w:styleId="6">
    <w:name w:val="6"/>
    <w:basedOn w:val="TableNormal"/>
    <w:rsid w:val="00E84619"/>
    <w:pPr>
      <w:contextualSpacing/>
    </w:pPr>
    <w:rPr>
      <w:rFonts w:ascii="Calibri" w:eastAsia="Calibri" w:hAnsi="Calibri" w:cs="Calibri"/>
      <w:color w:val="000000"/>
    </w:rPr>
    <w:tblPr>
      <w:tblStyleRowBandSize w:val="1"/>
      <w:tblStyleColBandSize w:val="1"/>
      <w:tblCellMar>
        <w:left w:w="115" w:type="dxa"/>
        <w:right w:w="115" w:type="dxa"/>
      </w:tblCellMar>
    </w:tblPr>
  </w:style>
  <w:style w:type="table" w:customStyle="1" w:styleId="5">
    <w:name w:val="5"/>
    <w:basedOn w:val="TableNormal"/>
    <w:rsid w:val="00E84619"/>
    <w:pPr>
      <w:contextualSpacing/>
    </w:pPr>
    <w:rPr>
      <w:rFonts w:ascii="Calibri" w:eastAsia="Calibri" w:hAnsi="Calibri" w:cs="Calibri"/>
      <w:color w:val="000000"/>
    </w:rPr>
    <w:tblPr>
      <w:tblStyleRowBandSize w:val="1"/>
      <w:tblStyleColBandSize w:val="1"/>
      <w:tblCellMar>
        <w:left w:w="115" w:type="dxa"/>
        <w:right w:w="115" w:type="dxa"/>
      </w:tblCellMar>
    </w:tblPr>
  </w:style>
  <w:style w:type="table" w:customStyle="1" w:styleId="4">
    <w:name w:val="4"/>
    <w:basedOn w:val="TableNormal"/>
    <w:rsid w:val="00E84619"/>
    <w:pPr>
      <w:contextualSpacing/>
    </w:pPr>
    <w:rPr>
      <w:rFonts w:ascii="Calibri" w:eastAsia="Calibri" w:hAnsi="Calibri" w:cs="Calibri"/>
      <w:color w:val="000000"/>
    </w:rPr>
    <w:tblPr>
      <w:tblStyleRowBandSize w:val="1"/>
      <w:tblStyleColBandSize w:val="1"/>
      <w:tblCellMar>
        <w:left w:w="115" w:type="dxa"/>
        <w:right w:w="115" w:type="dxa"/>
      </w:tblCellMar>
    </w:tblPr>
  </w:style>
  <w:style w:type="table" w:customStyle="1" w:styleId="30">
    <w:name w:val="3"/>
    <w:basedOn w:val="TableNormal"/>
    <w:rsid w:val="00E84619"/>
    <w:pPr>
      <w:contextualSpacing/>
    </w:pPr>
    <w:rPr>
      <w:rFonts w:ascii="Calibri" w:eastAsia="Calibri" w:hAnsi="Calibri" w:cs="Calibri"/>
      <w:color w:val="000000"/>
    </w:rPr>
    <w:tblPr>
      <w:tblStyleRowBandSize w:val="1"/>
      <w:tblStyleColBandSize w:val="1"/>
      <w:tblCellMar>
        <w:left w:w="115" w:type="dxa"/>
        <w:right w:w="115" w:type="dxa"/>
      </w:tblCellMar>
    </w:tblPr>
  </w:style>
  <w:style w:type="table" w:customStyle="1" w:styleId="22">
    <w:name w:val="2"/>
    <w:basedOn w:val="TableNormal"/>
    <w:rsid w:val="00E84619"/>
    <w:pPr>
      <w:contextualSpacing/>
    </w:pPr>
    <w:rPr>
      <w:rFonts w:ascii="Calibri" w:eastAsia="Calibri" w:hAnsi="Calibri" w:cs="Calibri"/>
      <w:color w:val="000000"/>
    </w:rPr>
    <w:tblPr>
      <w:tblStyleRowBandSize w:val="1"/>
      <w:tblStyleColBandSize w:val="1"/>
      <w:tblCellMar>
        <w:left w:w="115" w:type="dxa"/>
        <w:right w:w="115" w:type="dxa"/>
      </w:tblCellMar>
    </w:tblPr>
  </w:style>
  <w:style w:type="table" w:customStyle="1" w:styleId="1a">
    <w:name w:val="1"/>
    <w:basedOn w:val="TableNormal"/>
    <w:rsid w:val="00E84619"/>
    <w:pPr>
      <w:contextualSpacing/>
    </w:pPr>
    <w:rPr>
      <w:rFonts w:ascii="Calibri" w:eastAsia="Calibri" w:hAnsi="Calibri" w:cs="Calibri"/>
      <w:color w:val="000000"/>
    </w:rPr>
    <w:tblPr>
      <w:tblStyleRowBandSize w:val="1"/>
      <w:tblStyleColBandSize w:val="1"/>
      <w:tblCellMar>
        <w:left w:w="115" w:type="dxa"/>
        <w:right w:w="115" w:type="dxa"/>
      </w:tblCellMar>
    </w:tblPr>
  </w:style>
  <w:style w:type="paragraph" w:customStyle="1" w:styleId="Nabrajanjemera">
    <w:name w:val="Nabrajanje mera"/>
    <w:basedOn w:val="Normal"/>
    <w:qFormat/>
    <w:rsid w:val="00E84619"/>
    <w:pPr>
      <w:numPr>
        <w:numId w:val="9"/>
      </w:numPr>
      <w:spacing w:after="0"/>
      <w:ind w:left="1495"/>
    </w:pPr>
    <w:rPr>
      <w:b/>
      <w:smallCaps/>
      <w:szCs w:val="24"/>
      <w:lang w:val="sr-Cyrl-RS"/>
    </w:rPr>
  </w:style>
  <w:style w:type="character" w:customStyle="1" w:styleId="Nazivmere">
    <w:name w:val="Naziv mere"/>
    <w:basedOn w:val="DefaultParagraphFont"/>
    <w:uiPriority w:val="1"/>
    <w:rsid w:val="00E84619"/>
    <w:rPr>
      <w:rFonts w:asciiTheme="minorHAnsi" w:hAnsiTheme="minorHAnsi"/>
      <w:b w:val="0"/>
      <w:caps/>
      <w:smallCaps w:val="0"/>
      <w:sz w:val="22"/>
    </w:rPr>
  </w:style>
  <w:style w:type="character" w:customStyle="1" w:styleId="tekst">
    <w:name w:val="tekst"/>
    <w:basedOn w:val="DefaultParagraphFont"/>
    <w:uiPriority w:val="1"/>
    <w:rsid w:val="00E84619"/>
    <w:rPr>
      <w:rFonts w:asciiTheme="minorHAnsi" w:hAnsiTheme="minorHAnsi"/>
      <w:sz w:val="22"/>
    </w:rPr>
  </w:style>
  <w:style w:type="table" w:customStyle="1" w:styleId="TableGrid41">
    <w:name w:val="Table Grid41"/>
    <w:basedOn w:val="TableNormal"/>
    <w:next w:val="TableGrid"/>
    <w:uiPriority w:val="39"/>
    <w:rsid w:val="00E84619"/>
    <w:pPr>
      <w:spacing w:after="0" w:line="240" w:lineRule="auto"/>
    </w:pPr>
    <w:rPr>
      <w:lang w:val="sr-Latn-R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5">
    <w:name w:val="xl65"/>
    <w:basedOn w:val="Normal"/>
    <w:rsid w:val="00E8461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Times New Roman"/>
      <w:b/>
      <w:bCs/>
      <w:sz w:val="20"/>
      <w:szCs w:val="20"/>
      <w:lang w:val="sr-Latn-RS" w:eastAsia="sr-Latn-RS"/>
    </w:rPr>
  </w:style>
  <w:style w:type="paragraph" w:customStyle="1" w:styleId="xl67">
    <w:name w:val="xl67"/>
    <w:basedOn w:val="Normal"/>
    <w:rsid w:val="00E84619"/>
    <w:pPr>
      <w:pBdr>
        <w:top w:val="single" w:sz="4" w:space="0" w:color="auto"/>
        <w:left w:val="single" w:sz="4" w:space="0" w:color="auto"/>
        <w:bottom w:val="single" w:sz="4" w:space="0" w:color="auto"/>
        <w:right w:val="single" w:sz="4" w:space="0" w:color="auto"/>
      </w:pBdr>
      <w:shd w:val="clear" w:color="D9D9D9" w:fill="D9D9D9"/>
      <w:spacing w:before="100" w:beforeAutospacing="1" w:after="100" w:afterAutospacing="1"/>
      <w:textAlignment w:val="center"/>
    </w:pPr>
    <w:rPr>
      <w:rFonts w:ascii="Calibri" w:eastAsia="Times New Roman" w:hAnsi="Calibri" w:cs="Times New Roman"/>
      <w:b/>
      <w:bCs/>
      <w:i/>
      <w:iCs/>
      <w:sz w:val="16"/>
      <w:szCs w:val="16"/>
      <w:lang w:val="sr-Latn-RS" w:eastAsia="sr-Latn-RS"/>
    </w:rPr>
  </w:style>
  <w:style w:type="paragraph" w:customStyle="1" w:styleId="xl68">
    <w:name w:val="xl68"/>
    <w:basedOn w:val="Normal"/>
    <w:rsid w:val="00E84619"/>
    <w:pPr>
      <w:pBdr>
        <w:top w:val="single" w:sz="4" w:space="0" w:color="auto"/>
        <w:left w:val="single" w:sz="4" w:space="0" w:color="auto"/>
        <w:bottom w:val="single" w:sz="4" w:space="0" w:color="auto"/>
        <w:right w:val="single" w:sz="4" w:space="0" w:color="auto"/>
      </w:pBdr>
      <w:shd w:val="clear" w:color="D9D9D9" w:fill="D9D9D9"/>
      <w:spacing w:before="100" w:beforeAutospacing="1" w:after="100" w:afterAutospacing="1"/>
      <w:textAlignment w:val="center"/>
    </w:pPr>
    <w:rPr>
      <w:rFonts w:ascii="Calibri" w:eastAsia="Times New Roman" w:hAnsi="Calibri" w:cs="Times New Roman"/>
      <w:b/>
      <w:bCs/>
      <w:i/>
      <w:iCs/>
      <w:sz w:val="16"/>
      <w:szCs w:val="16"/>
      <w:lang w:val="sr-Latn-RS" w:eastAsia="sr-Latn-RS"/>
    </w:rPr>
  </w:style>
  <w:style w:type="paragraph" w:customStyle="1" w:styleId="xl69">
    <w:name w:val="xl69"/>
    <w:basedOn w:val="Normal"/>
    <w:rsid w:val="00E84619"/>
    <w:pPr>
      <w:pBdr>
        <w:top w:val="single" w:sz="4" w:space="0" w:color="auto"/>
        <w:left w:val="single" w:sz="4" w:space="0" w:color="auto"/>
        <w:bottom w:val="single" w:sz="4" w:space="0" w:color="auto"/>
        <w:right w:val="single" w:sz="4" w:space="0" w:color="auto"/>
      </w:pBdr>
      <w:shd w:val="clear" w:color="D9D9D9" w:fill="D9D9D9"/>
      <w:spacing w:before="100" w:beforeAutospacing="1" w:after="100" w:afterAutospacing="1"/>
      <w:jc w:val="right"/>
      <w:textAlignment w:val="center"/>
    </w:pPr>
    <w:rPr>
      <w:rFonts w:ascii="Calibri" w:eastAsia="Times New Roman" w:hAnsi="Calibri" w:cs="Times New Roman"/>
      <w:b/>
      <w:bCs/>
      <w:i/>
      <w:iCs/>
      <w:sz w:val="16"/>
      <w:szCs w:val="16"/>
      <w:lang w:val="sr-Latn-RS" w:eastAsia="sr-Latn-RS"/>
    </w:rPr>
  </w:style>
  <w:style w:type="paragraph" w:customStyle="1" w:styleId="xl70">
    <w:name w:val="xl70"/>
    <w:basedOn w:val="Normal"/>
    <w:rsid w:val="00E8461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alibri" w:eastAsia="Times New Roman" w:hAnsi="Calibri" w:cs="Times New Roman"/>
      <w:sz w:val="16"/>
      <w:szCs w:val="16"/>
      <w:lang w:val="sr-Latn-RS" w:eastAsia="sr-Latn-RS"/>
    </w:rPr>
  </w:style>
  <w:style w:type="paragraph" w:customStyle="1" w:styleId="xl71">
    <w:name w:val="xl71"/>
    <w:basedOn w:val="Normal"/>
    <w:rsid w:val="00E8461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Times New Roman"/>
      <w:sz w:val="16"/>
      <w:szCs w:val="16"/>
      <w:lang w:val="sr-Latn-RS" w:eastAsia="sr-Latn-RS"/>
    </w:rPr>
  </w:style>
  <w:style w:type="paragraph" w:customStyle="1" w:styleId="xl72">
    <w:name w:val="xl72"/>
    <w:basedOn w:val="Normal"/>
    <w:rsid w:val="00E8461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Calibri" w:eastAsia="Times New Roman" w:hAnsi="Calibri" w:cs="Times New Roman"/>
      <w:sz w:val="16"/>
      <w:szCs w:val="16"/>
      <w:lang w:val="sr-Latn-RS" w:eastAsia="sr-Latn-RS"/>
    </w:rPr>
  </w:style>
  <w:style w:type="paragraph" w:customStyle="1" w:styleId="xl73">
    <w:name w:val="xl73"/>
    <w:basedOn w:val="Normal"/>
    <w:rsid w:val="00E8461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Calibri" w:eastAsia="Times New Roman" w:hAnsi="Calibri" w:cs="Times New Roman"/>
      <w:sz w:val="16"/>
      <w:szCs w:val="16"/>
      <w:lang w:val="sr-Latn-RS" w:eastAsia="sr-Latn-RS"/>
    </w:rPr>
  </w:style>
  <w:style w:type="paragraph" w:customStyle="1" w:styleId="xl74">
    <w:name w:val="xl74"/>
    <w:basedOn w:val="Normal"/>
    <w:rsid w:val="00E8461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alibri" w:eastAsia="Times New Roman" w:hAnsi="Calibri" w:cs="Times New Roman"/>
      <w:i/>
      <w:iCs/>
      <w:sz w:val="16"/>
      <w:szCs w:val="16"/>
      <w:lang w:val="sr-Latn-RS" w:eastAsia="sr-Latn-RS"/>
    </w:rPr>
  </w:style>
  <w:style w:type="paragraph" w:customStyle="1" w:styleId="xl75">
    <w:name w:val="xl75"/>
    <w:basedOn w:val="Normal"/>
    <w:rsid w:val="00E8461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Calibri" w:eastAsia="Times New Roman" w:hAnsi="Calibri" w:cs="Times New Roman"/>
      <w:i/>
      <w:iCs/>
      <w:color w:val="FF0000"/>
      <w:sz w:val="16"/>
      <w:szCs w:val="16"/>
      <w:lang w:val="sr-Latn-RS" w:eastAsia="sr-Latn-RS"/>
    </w:rPr>
  </w:style>
  <w:style w:type="paragraph" w:customStyle="1" w:styleId="xl76">
    <w:name w:val="xl76"/>
    <w:basedOn w:val="Normal"/>
    <w:rsid w:val="00E8461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Calibri" w:eastAsia="Times New Roman" w:hAnsi="Calibri" w:cs="Times New Roman"/>
      <w:i/>
      <w:iCs/>
      <w:color w:val="FF0000"/>
      <w:sz w:val="16"/>
      <w:szCs w:val="16"/>
      <w:lang w:val="sr-Latn-RS" w:eastAsia="sr-Latn-RS"/>
    </w:rPr>
  </w:style>
  <w:style w:type="paragraph" w:customStyle="1" w:styleId="xl77">
    <w:name w:val="xl77"/>
    <w:basedOn w:val="Normal"/>
    <w:rsid w:val="00E8461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Calibri" w:eastAsia="Times New Roman" w:hAnsi="Calibri" w:cs="Times New Roman"/>
      <w:color w:val="FF0000"/>
      <w:sz w:val="16"/>
      <w:szCs w:val="16"/>
      <w:lang w:val="sr-Latn-RS" w:eastAsia="sr-Latn-RS"/>
    </w:rPr>
  </w:style>
  <w:style w:type="paragraph" w:customStyle="1" w:styleId="xl78">
    <w:name w:val="xl78"/>
    <w:basedOn w:val="Normal"/>
    <w:rsid w:val="00E8461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Calibri" w:eastAsia="Times New Roman" w:hAnsi="Calibri" w:cs="Times New Roman"/>
      <w:color w:val="FF0000"/>
      <w:sz w:val="16"/>
      <w:szCs w:val="16"/>
      <w:lang w:val="sr-Latn-RS" w:eastAsia="sr-Latn-RS"/>
    </w:rPr>
  </w:style>
  <w:style w:type="paragraph" w:customStyle="1" w:styleId="xl79">
    <w:name w:val="xl79"/>
    <w:basedOn w:val="Normal"/>
    <w:rsid w:val="00E8461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alibri" w:eastAsia="Times New Roman" w:hAnsi="Calibri" w:cs="Times New Roman"/>
      <w:i/>
      <w:iCs/>
      <w:sz w:val="16"/>
      <w:szCs w:val="16"/>
      <w:lang w:val="sr-Latn-RS" w:eastAsia="sr-Latn-RS"/>
    </w:rPr>
  </w:style>
  <w:style w:type="paragraph" w:customStyle="1" w:styleId="xl80">
    <w:name w:val="xl80"/>
    <w:basedOn w:val="Normal"/>
    <w:rsid w:val="00E84619"/>
    <w:pPr>
      <w:pBdr>
        <w:top w:val="single" w:sz="4" w:space="0" w:color="auto"/>
        <w:left w:val="single" w:sz="4" w:space="0" w:color="auto"/>
        <w:bottom w:val="single" w:sz="4" w:space="0" w:color="auto"/>
        <w:right w:val="single" w:sz="4" w:space="0" w:color="auto"/>
      </w:pBdr>
      <w:shd w:val="clear" w:color="D9D9D9" w:fill="D9D9D9"/>
      <w:spacing w:before="100" w:beforeAutospacing="1" w:after="100" w:afterAutospacing="1"/>
      <w:textAlignment w:val="center"/>
    </w:pPr>
    <w:rPr>
      <w:rFonts w:ascii="Calibri" w:eastAsia="Times New Roman" w:hAnsi="Calibri" w:cs="Times New Roman"/>
      <w:b/>
      <w:bCs/>
      <w:sz w:val="18"/>
      <w:szCs w:val="18"/>
      <w:lang w:val="sr-Latn-RS" w:eastAsia="sr-Latn-RS"/>
    </w:rPr>
  </w:style>
  <w:style w:type="paragraph" w:customStyle="1" w:styleId="xl81">
    <w:name w:val="xl81"/>
    <w:basedOn w:val="Normal"/>
    <w:rsid w:val="00E84619"/>
    <w:pPr>
      <w:pBdr>
        <w:top w:val="single" w:sz="4" w:space="0" w:color="auto"/>
        <w:left w:val="single" w:sz="4" w:space="0" w:color="auto"/>
        <w:bottom w:val="single" w:sz="4" w:space="0" w:color="auto"/>
        <w:right w:val="single" w:sz="4" w:space="0" w:color="auto"/>
      </w:pBdr>
      <w:shd w:val="clear" w:color="D9D9D9" w:fill="D9D9D9"/>
      <w:spacing w:before="100" w:beforeAutospacing="1" w:after="100" w:afterAutospacing="1"/>
      <w:textAlignment w:val="center"/>
    </w:pPr>
    <w:rPr>
      <w:rFonts w:ascii="Calibri" w:eastAsia="Times New Roman" w:hAnsi="Calibri" w:cs="Times New Roman"/>
      <w:b/>
      <w:bCs/>
      <w:szCs w:val="24"/>
      <w:lang w:val="sr-Latn-RS" w:eastAsia="sr-Latn-RS"/>
    </w:rPr>
  </w:style>
  <w:style w:type="paragraph" w:customStyle="1" w:styleId="xl82">
    <w:name w:val="xl82"/>
    <w:basedOn w:val="Normal"/>
    <w:rsid w:val="00E84619"/>
    <w:pPr>
      <w:pBdr>
        <w:top w:val="single" w:sz="4" w:space="0" w:color="auto"/>
        <w:left w:val="single" w:sz="4" w:space="0" w:color="auto"/>
        <w:bottom w:val="single" w:sz="4" w:space="0" w:color="auto"/>
        <w:right w:val="single" w:sz="4" w:space="0" w:color="auto"/>
      </w:pBdr>
      <w:shd w:val="clear" w:color="D9D9D9" w:fill="D9D9D9"/>
      <w:spacing w:before="100" w:beforeAutospacing="1" w:after="100" w:afterAutospacing="1"/>
      <w:jc w:val="right"/>
      <w:textAlignment w:val="center"/>
    </w:pPr>
    <w:rPr>
      <w:rFonts w:ascii="Calibri" w:eastAsia="Times New Roman" w:hAnsi="Calibri" w:cs="Times New Roman"/>
      <w:b/>
      <w:bCs/>
      <w:sz w:val="18"/>
      <w:szCs w:val="18"/>
      <w:lang w:val="sr-Latn-RS" w:eastAsia="sr-Latn-RS"/>
    </w:rPr>
  </w:style>
  <w:style w:type="paragraph" w:customStyle="1" w:styleId="xl83">
    <w:name w:val="xl83"/>
    <w:basedOn w:val="Normal"/>
    <w:rsid w:val="00E84619"/>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Calibri" w:eastAsia="Times New Roman" w:hAnsi="Calibri" w:cs="Times New Roman"/>
      <w:b/>
      <w:bCs/>
      <w:i/>
      <w:iCs/>
      <w:sz w:val="18"/>
      <w:szCs w:val="18"/>
      <w:lang w:val="sr-Latn-RS" w:eastAsia="sr-Latn-RS"/>
    </w:rPr>
  </w:style>
  <w:style w:type="paragraph" w:customStyle="1" w:styleId="xl84">
    <w:name w:val="xl84"/>
    <w:basedOn w:val="Normal"/>
    <w:rsid w:val="00E84619"/>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right"/>
      <w:textAlignment w:val="center"/>
    </w:pPr>
    <w:rPr>
      <w:rFonts w:ascii="Calibri" w:eastAsia="Times New Roman" w:hAnsi="Calibri" w:cs="Times New Roman"/>
      <w:b/>
      <w:bCs/>
      <w:i/>
      <w:iCs/>
      <w:szCs w:val="24"/>
      <w:lang w:val="sr-Latn-RS" w:eastAsia="sr-Latn-RS"/>
    </w:rPr>
  </w:style>
  <w:style w:type="paragraph" w:customStyle="1" w:styleId="xl85">
    <w:name w:val="xl85"/>
    <w:basedOn w:val="Normal"/>
    <w:rsid w:val="00E84619"/>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right"/>
      <w:textAlignment w:val="center"/>
    </w:pPr>
    <w:rPr>
      <w:rFonts w:ascii="Calibri" w:eastAsia="Times New Roman" w:hAnsi="Calibri" w:cs="Times New Roman"/>
      <w:b/>
      <w:bCs/>
      <w:i/>
      <w:iCs/>
      <w:sz w:val="18"/>
      <w:szCs w:val="18"/>
      <w:lang w:val="sr-Latn-RS" w:eastAsia="sr-Latn-RS"/>
    </w:rPr>
  </w:style>
  <w:style w:type="paragraph" w:customStyle="1" w:styleId="xl86">
    <w:name w:val="xl86"/>
    <w:basedOn w:val="Normal"/>
    <w:rsid w:val="00E84619"/>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jc w:val="right"/>
      <w:textAlignment w:val="center"/>
    </w:pPr>
    <w:rPr>
      <w:rFonts w:ascii="Calibri" w:eastAsia="Times New Roman" w:hAnsi="Calibri" w:cs="Times New Roman"/>
      <w:i/>
      <w:iCs/>
      <w:color w:val="FF0000"/>
      <w:sz w:val="16"/>
      <w:szCs w:val="16"/>
      <w:lang w:val="sr-Latn-RS" w:eastAsia="sr-Latn-RS"/>
    </w:rPr>
  </w:style>
  <w:style w:type="paragraph" w:customStyle="1" w:styleId="xl87">
    <w:name w:val="xl87"/>
    <w:basedOn w:val="Normal"/>
    <w:rsid w:val="00E8461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Calibri" w:eastAsia="Times New Roman" w:hAnsi="Calibri" w:cs="Times New Roman"/>
      <w:i/>
      <w:iCs/>
      <w:sz w:val="16"/>
      <w:szCs w:val="16"/>
      <w:lang w:val="sr-Latn-RS" w:eastAsia="sr-Latn-RS"/>
    </w:rPr>
  </w:style>
  <w:style w:type="paragraph" w:customStyle="1" w:styleId="xl88">
    <w:name w:val="xl88"/>
    <w:basedOn w:val="Normal"/>
    <w:rsid w:val="00E84619"/>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jc w:val="right"/>
      <w:textAlignment w:val="center"/>
    </w:pPr>
    <w:rPr>
      <w:rFonts w:ascii="Calibri" w:eastAsia="Times New Roman" w:hAnsi="Calibri" w:cs="Times New Roman"/>
      <w:i/>
      <w:iCs/>
      <w:sz w:val="16"/>
      <w:szCs w:val="16"/>
      <w:lang w:val="sr-Latn-RS" w:eastAsia="sr-Latn-RS"/>
    </w:rPr>
  </w:style>
  <w:style w:type="paragraph" w:customStyle="1" w:styleId="xl89">
    <w:name w:val="xl89"/>
    <w:basedOn w:val="Normal"/>
    <w:rsid w:val="00E8461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Calibri" w:eastAsia="Times New Roman" w:hAnsi="Calibri" w:cs="Times New Roman"/>
      <w:sz w:val="16"/>
      <w:szCs w:val="16"/>
      <w:lang w:val="sr-Latn-RS" w:eastAsia="sr-Latn-RS"/>
    </w:rPr>
  </w:style>
  <w:style w:type="paragraph" w:customStyle="1" w:styleId="xl90">
    <w:name w:val="xl90"/>
    <w:basedOn w:val="Normal"/>
    <w:rsid w:val="00E8461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Times New Roman"/>
      <w:sz w:val="16"/>
      <w:szCs w:val="16"/>
      <w:lang w:val="sr-Latn-RS" w:eastAsia="sr-Latn-RS"/>
    </w:rPr>
  </w:style>
  <w:style w:type="paragraph" w:customStyle="1" w:styleId="xl91">
    <w:name w:val="xl91"/>
    <w:basedOn w:val="Normal"/>
    <w:rsid w:val="00E8461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Calibri" w:eastAsia="Times New Roman" w:hAnsi="Calibri" w:cs="Times New Roman"/>
      <w:sz w:val="16"/>
      <w:szCs w:val="16"/>
      <w:lang w:val="sr-Latn-RS" w:eastAsia="sr-Latn-RS"/>
    </w:rPr>
  </w:style>
  <w:style w:type="paragraph" w:customStyle="1" w:styleId="xl92">
    <w:name w:val="xl92"/>
    <w:basedOn w:val="Normal"/>
    <w:rsid w:val="00E8461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Calibri" w:eastAsia="Times New Roman" w:hAnsi="Calibri" w:cs="Times New Roman"/>
      <w:i/>
      <w:iCs/>
      <w:sz w:val="16"/>
      <w:szCs w:val="16"/>
      <w:lang w:val="sr-Latn-RS" w:eastAsia="sr-Latn-RS"/>
    </w:rPr>
  </w:style>
  <w:style w:type="paragraph" w:customStyle="1" w:styleId="xl93">
    <w:name w:val="xl93"/>
    <w:basedOn w:val="Normal"/>
    <w:rsid w:val="00E84619"/>
    <w:pPr>
      <w:pBdr>
        <w:top w:val="single" w:sz="4" w:space="0" w:color="auto"/>
        <w:left w:val="single" w:sz="4" w:space="0" w:color="auto"/>
        <w:bottom w:val="single" w:sz="4" w:space="0" w:color="auto"/>
        <w:right w:val="single" w:sz="4" w:space="0" w:color="auto"/>
      </w:pBdr>
      <w:shd w:val="clear" w:color="D9D9D9" w:fill="D9D9D9"/>
      <w:spacing w:before="100" w:beforeAutospacing="1" w:after="100" w:afterAutospacing="1"/>
      <w:textAlignment w:val="center"/>
    </w:pPr>
    <w:rPr>
      <w:rFonts w:ascii="Calibri" w:eastAsia="Times New Roman" w:hAnsi="Calibri" w:cs="Times New Roman"/>
      <w:b/>
      <w:bCs/>
      <w:i/>
      <w:iCs/>
      <w:sz w:val="16"/>
      <w:szCs w:val="16"/>
      <w:lang w:val="sr-Latn-RS" w:eastAsia="sr-Latn-RS"/>
    </w:rPr>
  </w:style>
  <w:style w:type="paragraph" w:customStyle="1" w:styleId="xl94">
    <w:name w:val="xl94"/>
    <w:basedOn w:val="Normal"/>
    <w:rsid w:val="00E8461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Calibri" w:eastAsia="Times New Roman" w:hAnsi="Calibri" w:cs="Times New Roman"/>
      <w:sz w:val="16"/>
      <w:szCs w:val="16"/>
      <w:lang w:val="sr-Latn-RS" w:eastAsia="sr-Latn-RS"/>
    </w:rPr>
  </w:style>
  <w:style w:type="paragraph" w:customStyle="1" w:styleId="xl95">
    <w:name w:val="xl95"/>
    <w:basedOn w:val="Normal"/>
    <w:rsid w:val="00E8461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Times New Roman"/>
      <w:sz w:val="16"/>
      <w:szCs w:val="16"/>
      <w:lang w:val="sr-Latn-RS" w:eastAsia="sr-Latn-RS"/>
    </w:rPr>
  </w:style>
  <w:style w:type="paragraph" w:customStyle="1" w:styleId="xl96">
    <w:name w:val="xl96"/>
    <w:basedOn w:val="Normal"/>
    <w:rsid w:val="00E8461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Calibri" w:eastAsia="Times New Roman" w:hAnsi="Calibri" w:cs="Times New Roman"/>
      <w:sz w:val="16"/>
      <w:szCs w:val="16"/>
      <w:lang w:val="sr-Latn-RS" w:eastAsia="sr-Latn-RS"/>
    </w:rPr>
  </w:style>
  <w:style w:type="paragraph" w:customStyle="1" w:styleId="xl97">
    <w:name w:val="xl97"/>
    <w:basedOn w:val="Normal"/>
    <w:rsid w:val="00E8461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Calibri" w:eastAsia="Times New Roman" w:hAnsi="Calibri" w:cs="Times New Roman"/>
      <w:i/>
      <w:iCs/>
      <w:sz w:val="16"/>
      <w:szCs w:val="16"/>
      <w:lang w:val="sr-Latn-RS" w:eastAsia="sr-Latn-RS"/>
    </w:rPr>
  </w:style>
  <w:style w:type="paragraph" w:customStyle="1" w:styleId="xl98">
    <w:name w:val="xl98"/>
    <w:basedOn w:val="Normal"/>
    <w:rsid w:val="00E84619"/>
    <w:pPr>
      <w:pBdr>
        <w:top w:val="single" w:sz="4" w:space="0" w:color="auto"/>
        <w:left w:val="single" w:sz="4" w:space="0" w:color="auto"/>
        <w:bottom w:val="single" w:sz="4" w:space="0" w:color="auto"/>
        <w:right w:val="single" w:sz="4" w:space="0" w:color="auto"/>
      </w:pBdr>
      <w:shd w:val="clear" w:color="D9D9D9" w:fill="D9D9D9"/>
      <w:spacing w:before="100" w:beforeAutospacing="1" w:after="100" w:afterAutospacing="1"/>
      <w:textAlignment w:val="center"/>
    </w:pPr>
    <w:rPr>
      <w:rFonts w:ascii="Calibri" w:eastAsia="Times New Roman" w:hAnsi="Calibri" w:cs="Times New Roman"/>
      <w:b/>
      <w:bCs/>
      <w:i/>
      <w:iCs/>
      <w:sz w:val="16"/>
      <w:szCs w:val="16"/>
      <w:lang w:val="sr-Latn-RS" w:eastAsia="sr-Latn-RS"/>
    </w:rPr>
  </w:style>
  <w:style w:type="character" w:customStyle="1" w:styleId="Bodytext0">
    <w:name w:val="Body text_"/>
    <w:basedOn w:val="DefaultParagraphFont"/>
    <w:link w:val="BodyText9"/>
    <w:locked/>
    <w:rsid w:val="00E84619"/>
    <w:rPr>
      <w:sz w:val="19"/>
      <w:szCs w:val="19"/>
      <w:shd w:val="clear" w:color="auto" w:fill="FFFFFF"/>
    </w:rPr>
  </w:style>
  <w:style w:type="paragraph" w:customStyle="1" w:styleId="BodyText9">
    <w:name w:val="Body Text9"/>
    <w:basedOn w:val="Normal"/>
    <w:link w:val="Bodytext0"/>
    <w:rsid w:val="00E84619"/>
    <w:pPr>
      <w:shd w:val="clear" w:color="auto" w:fill="FFFFFF"/>
      <w:spacing w:before="180" w:after="180" w:line="277" w:lineRule="exact"/>
      <w:ind w:hanging="340"/>
    </w:pPr>
    <w:rPr>
      <w:sz w:val="19"/>
      <w:szCs w:val="19"/>
    </w:rPr>
  </w:style>
  <w:style w:type="character" w:customStyle="1" w:styleId="BodytextBold">
    <w:name w:val="Body text + Bold"/>
    <w:basedOn w:val="Bodytext0"/>
    <w:rsid w:val="00E84619"/>
    <w:rPr>
      <w:b/>
      <w:bCs/>
      <w:sz w:val="19"/>
      <w:szCs w:val="19"/>
      <w:shd w:val="clear" w:color="auto" w:fill="FFFFFF"/>
    </w:rPr>
  </w:style>
  <w:style w:type="table" w:customStyle="1" w:styleId="TableGrid311">
    <w:name w:val="Table Grid311"/>
    <w:basedOn w:val="TableNormal"/>
    <w:next w:val="TableGrid"/>
    <w:uiPriority w:val="39"/>
    <w:rsid w:val="00E84619"/>
    <w:pPr>
      <w:spacing w:after="0" w:line="240" w:lineRule="auto"/>
    </w:pPr>
    <w:rPr>
      <w:rFonts w:ascii="Constantia" w:eastAsia="Constantia" w:hAnsi="Constant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5">
    <w:name w:val="Grid Table 5 Dark - Accent 55"/>
    <w:basedOn w:val="TableNormal"/>
    <w:uiPriority w:val="50"/>
    <w:rsid w:val="00204287"/>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character" w:customStyle="1" w:styleId="UnresolvedMention1">
    <w:name w:val="Unresolved Mention1"/>
    <w:basedOn w:val="DefaultParagraphFont"/>
    <w:uiPriority w:val="99"/>
    <w:semiHidden/>
    <w:unhideWhenUsed/>
    <w:rsid w:val="00204287"/>
    <w:rPr>
      <w:color w:val="605E5C"/>
      <w:shd w:val="clear" w:color="auto" w:fill="E1DFDD"/>
    </w:rPr>
  </w:style>
  <w:style w:type="table" w:customStyle="1" w:styleId="LightShading-Accent3351">
    <w:name w:val="Light Shading - Accent 3351"/>
    <w:basedOn w:val="TableNormal"/>
    <w:next w:val="LightShading-Accent3"/>
    <w:uiPriority w:val="60"/>
    <w:rsid w:val="00204287"/>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stTable6Colorful-Accent62">
    <w:name w:val="List Table 6 Colorful - Accent 62"/>
    <w:basedOn w:val="TableNormal"/>
    <w:uiPriority w:val="51"/>
    <w:rsid w:val="00204287"/>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customStyle="1" w:styleId="Hyperlink2">
    <w:name w:val="Hyperlink2"/>
    <w:basedOn w:val="DefaultParagraphFont"/>
    <w:uiPriority w:val="99"/>
    <w:rsid w:val="00204287"/>
    <w:rPr>
      <w:color w:val="0563C1"/>
      <w:u w:val="single"/>
    </w:rPr>
  </w:style>
  <w:style w:type="character" w:customStyle="1" w:styleId="UnresolvedMention2">
    <w:name w:val="Unresolved Mention2"/>
    <w:basedOn w:val="DefaultParagraphFont"/>
    <w:uiPriority w:val="99"/>
    <w:semiHidden/>
    <w:unhideWhenUsed/>
    <w:rsid w:val="00204287"/>
    <w:rPr>
      <w:color w:val="605E5C"/>
      <w:shd w:val="clear" w:color="auto" w:fill="E1DFDD"/>
    </w:rPr>
  </w:style>
  <w:style w:type="character" w:customStyle="1" w:styleId="UnresolvedMention3">
    <w:name w:val="Unresolved Mention3"/>
    <w:basedOn w:val="DefaultParagraphFont"/>
    <w:uiPriority w:val="99"/>
    <w:semiHidden/>
    <w:unhideWhenUsed/>
    <w:rsid w:val="00204287"/>
    <w:rPr>
      <w:color w:val="605E5C"/>
      <w:shd w:val="clear" w:color="auto" w:fill="E1DFDD"/>
    </w:rPr>
  </w:style>
  <w:style w:type="table" w:customStyle="1" w:styleId="GridTable1Light-Accent15">
    <w:name w:val="Grid Table 1 Light - Accent 15"/>
    <w:basedOn w:val="TableNormal"/>
    <w:uiPriority w:val="46"/>
    <w:rsid w:val="00204287"/>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customStyle="1" w:styleId="TableGrid7">
    <w:name w:val="Table Grid7"/>
    <w:basedOn w:val="TableNormal"/>
    <w:next w:val="TableGrid"/>
    <w:uiPriority w:val="59"/>
    <w:rsid w:val="00B7525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59"/>
    <w:rsid w:val="003F01A2"/>
    <w:pPr>
      <w:spacing w:after="0" w:line="240" w:lineRule="auto"/>
    </w:pPr>
    <w:rPr>
      <w:rFonts w:ascii="Constantia" w:eastAsia="Constantia" w:hAnsi="Constantia" w:cs="Times New Roman"/>
      <w:lang w:val="sr-Cyrl-C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PlainTable41">
    <w:name w:val="Plain Table 41"/>
    <w:basedOn w:val="TableNormal"/>
    <w:uiPriority w:val="44"/>
    <w:rsid w:val="0065728B"/>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FusnoteIoI">
    <w:name w:val="Fusnote_IoI"/>
    <w:basedOn w:val="FootnoteText"/>
    <w:link w:val="FusnoteIoIChar"/>
    <w:uiPriority w:val="99"/>
    <w:rsid w:val="007C3538"/>
    <w:pPr>
      <w:keepLines/>
      <w:tabs>
        <w:tab w:val="left" w:pos="454"/>
        <w:tab w:val="left" w:pos="907"/>
        <w:tab w:val="left" w:pos="1361"/>
        <w:tab w:val="left" w:pos="1814"/>
        <w:tab w:val="right" w:pos="9072"/>
      </w:tabs>
      <w:spacing w:before="60" w:after="0"/>
      <w:ind w:firstLine="0"/>
    </w:pPr>
    <w:rPr>
      <w:rFonts w:ascii="Times New Roman" w:eastAsia="Calibri" w:hAnsi="Times New Roman" w:cs="Times New Roman"/>
      <w:bCs w:val="0"/>
      <w:noProof/>
      <w:color w:val="auto"/>
      <w:spacing w:val="-2"/>
      <w:sz w:val="14"/>
    </w:rPr>
  </w:style>
  <w:style w:type="character" w:customStyle="1" w:styleId="FusnoteIoIChar">
    <w:name w:val="Fusnote_IoI Char"/>
    <w:link w:val="FusnoteIoI"/>
    <w:uiPriority w:val="99"/>
    <w:locked/>
    <w:rsid w:val="007C3538"/>
    <w:rPr>
      <w:rFonts w:ascii="Times New Roman" w:eastAsia="Calibri" w:hAnsi="Times New Roman" w:cs="Times New Roman"/>
      <w:noProof/>
      <w:spacing w:val="-2"/>
      <w:sz w:val="14"/>
      <w:szCs w:val="20"/>
      <w:lang w:val="sr-Cyrl-CS"/>
    </w:rPr>
  </w:style>
  <w:style w:type="table" w:customStyle="1" w:styleId="LightShading-Accent3352">
    <w:name w:val="Light Shading - Accent 3352"/>
    <w:basedOn w:val="TableNormal"/>
    <w:next w:val="LightShading-Accent3"/>
    <w:uiPriority w:val="60"/>
    <w:rsid w:val="005F26DA"/>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GridTable6Colorful-Accent15">
    <w:name w:val="Grid Table 6 Colorful - Accent 15"/>
    <w:basedOn w:val="TableNormal"/>
    <w:next w:val="GridTable6Colorful-Accent1"/>
    <w:uiPriority w:val="51"/>
    <w:rsid w:val="005F26DA"/>
    <w:pPr>
      <w:spacing w:after="0" w:line="240" w:lineRule="auto"/>
    </w:pPr>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6Colorful-Accent1">
    <w:name w:val="Grid Table 6 Colorful Accent 1"/>
    <w:basedOn w:val="TableNormal"/>
    <w:uiPriority w:val="51"/>
    <w:rsid w:val="005F26DA"/>
    <w:pPr>
      <w:spacing w:after="0" w:line="240" w:lineRule="auto"/>
    </w:pPr>
    <w:rPr>
      <w:color w:val="2E74B5" w:themeColor="accent1" w:themeShade="BF"/>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f1">
    <w:name w:val="f1"/>
    <w:basedOn w:val="Normal"/>
    <w:next w:val="FootnoteText"/>
    <w:uiPriority w:val="99"/>
    <w:unhideWhenUsed/>
    <w:qFormat/>
    <w:rsid w:val="00DC7F92"/>
    <w:pPr>
      <w:spacing w:after="0"/>
      <w:jc w:val="left"/>
    </w:pPr>
    <w:rPr>
      <w:rFonts w:asciiTheme="minorHAnsi" w:hAnsiTheme="minorHAnsi"/>
      <w:sz w:val="20"/>
      <w:szCs w:val="20"/>
      <w:lang w:val="en-GB"/>
    </w:rPr>
  </w:style>
  <w:style w:type="paragraph" w:customStyle="1" w:styleId="Standard">
    <w:name w:val="Standard"/>
    <w:rsid w:val="00DC7F92"/>
    <w:pPr>
      <w:suppressAutoHyphens/>
      <w:autoSpaceDN w:val="0"/>
      <w:spacing w:after="0" w:line="240" w:lineRule="auto"/>
      <w:textAlignment w:val="baseline"/>
    </w:pPr>
    <w:rPr>
      <w:rFonts w:ascii="Times New Roman" w:eastAsia="SimSun" w:hAnsi="Times New Roman" w:cs="Mangal"/>
      <w:kern w:val="3"/>
      <w:sz w:val="24"/>
      <w:szCs w:val="24"/>
      <w:lang w:eastAsia="zh-CN" w:bidi="hi-IN"/>
    </w:rPr>
  </w:style>
  <w:style w:type="paragraph" w:customStyle="1" w:styleId="gmail-western">
    <w:name w:val="gmail-western"/>
    <w:basedOn w:val="Normal"/>
    <w:rsid w:val="00DC7F92"/>
    <w:pPr>
      <w:spacing w:before="100" w:beforeAutospacing="1" w:after="100" w:afterAutospacing="1"/>
      <w:jc w:val="left"/>
    </w:pPr>
    <w:rPr>
      <w:rFonts w:cs="Times New Roman"/>
      <w:szCs w:val="24"/>
    </w:rPr>
  </w:style>
  <w:style w:type="paragraph" w:customStyle="1" w:styleId="BVIfnrChar">
    <w:name w:val="BVI fnr Char"/>
    <w:aliases w:val="Footnotes refss Char,ftref Char,16 Point Char,Superscript 6 Point Char,Footnote Reference Number Char,nota pié di pagina Char,Times 10 Point Char, Exposant 3 Point Char,Footnote symbol Char,Footnote reference number Char"/>
    <w:basedOn w:val="Normal"/>
    <w:link w:val="FootnoteReference"/>
    <w:uiPriority w:val="99"/>
    <w:rsid w:val="00DC7F92"/>
    <w:pPr>
      <w:spacing w:after="160" w:line="240" w:lineRule="exact"/>
      <w:jc w:val="left"/>
    </w:pPr>
    <w:rPr>
      <w:rFonts w:asciiTheme="minorHAnsi" w:hAnsiTheme="minorHAnsi"/>
      <w:sz w:val="22"/>
      <w:vertAlign w:val="superscript"/>
    </w:rPr>
  </w:style>
  <w:style w:type="paragraph" w:customStyle="1" w:styleId="cSListParagraph1">
    <w:name w:val="cS List Paragraph1"/>
    <w:basedOn w:val="Normal"/>
    <w:next w:val="ListParagraph"/>
    <w:uiPriority w:val="34"/>
    <w:qFormat/>
    <w:rsid w:val="00DC7F92"/>
    <w:pPr>
      <w:ind w:left="720"/>
      <w:contextualSpacing/>
      <w:jc w:val="left"/>
    </w:pPr>
    <w:rPr>
      <w:rFonts w:asciiTheme="minorHAnsi" w:hAnsiTheme="minorHAnsi"/>
      <w:sz w:val="22"/>
    </w:rPr>
  </w:style>
  <w:style w:type="paragraph" w:customStyle="1" w:styleId="BalloonText1">
    <w:name w:val="Balloon Text1"/>
    <w:basedOn w:val="Normal"/>
    <w:next w:val="BalloonText"/>
    <w:uiPriority w:val="99"/>
    <w:semiHidden/>
    <w:unhideWhenUsed/>
    <w:rsid w:val="00DC7F92"/>
    <w:pPr>
      <w:spacing w:after="0"/>
      <w:jc w:val="left"/>
    </w:pPr>
    <w:rPr>
      <w:rFonts w:ascii="Segoe UI" w:hAnsi="Segoe UI" w:cs="Segoe UI"/>
      <w:sz w:val="18"/>
      <w:szCs w:val="18"/>
      <w:lang w:val="en-GB"/>
    </w:rPr>
  </w:style>
  <w:style w:type="paragraph" w:customStyle="1" w:styleId="CommentText1">
    <w:name w:val="Comment Text1"/>
    <w:basedOn w:val="Normal"/>
    <w:next w:val="CommentText"/>
    <w:uiPriority w:val="99"/>
    <w:unhideWhenUsed/>
    <w:rsid w:val="00DC7F92"/>
    <w:pPr>
      <w:jc w:val="left"/>
    </w:pPr>
    <w:rPr>
      <w:rFonts w:asciiTheme="minorHAnsi" w:hAnsiTheme="minorHAnsi"/>
      <w:sz w:val="20"/>
      <w:szCs w:val="20"/>
      <w:lang w:val="en-GB"/>
    </w:rPr>
  </w:style>
  <w:style w:type="paragraph" w:customStyle="1" w:styleId="CommentSubject1">
    <w:name w:val="Comment Subject1"/>
    <w:basedOn w:val="CommentText"/>
    <w:next w:val="CommentText"/>
    <w:uiPriority w:val="99"/>
    <w:semiHidden/>
    <w:unhideWhenUsed/>
    <w:rsid w:val="00DC7F92"/>
    <w:pPr>
      <w:spacing w:line="240" w:lineRule="auto"/>
      <w:jc w:val="left"/>
    </w:pPr>
    <w:rPr>
      <w:rFonts w:asciiTheme="minorHAnsi" w:eastAsiaTheme="minorHAnsi" w:hAnsiTheme="minorHAnsi"/>
      <w:b/>
      <w:bCs/>
      <w:lang w:eastAsia="en-US"/>
    </w:rPr>
  </w:style>
  <w:style w:type="paragraph" w:customStyle="1" w:styleId="BodyText1">
    <w:name w:val="Body Text1"/>
    <w:basedOn w:val="Normal"/>
    <w:next w:val="BodyText"/>
    <w:uiPriority w:val="99"/>
    <w:unhideWhenUsed/>
    <w:rsid w:val="00DC7F92"/>
    <w:rPr>
      <w:rFonts w:cs="Times New Roman"/>
      <w:b/>
      <w:szCs w:val="24"/>
      <w:lang w:val="en-GB"/>
    </w:rPr>
  </w:style>
  <w:style w:type="paragraph" w:customStyle="1" w:styleId="Header1">
    <w:name w:val="Header1"/>
    <w:basedOn w:val="Normal"/>
    <w:next w:val="Header"/>
    <w:uiPriority w:val="99"/>
    <w:unhideWhenUsed/>
    <w:rsid w:val="00DC7F92"/>
    <w:pPr>
      <w:tabs>
        <w:tab w:val="center" w:pos="4513"/>
        <w:tab w:val="right" w:pos="9026"/>
      </w:tabs>
      <w:spacing w:after="0"/>
      <w:jc w:val="left"/>
    </w:pPr>
    <w:rPr>
      <w:rFonts w:asciiTheme="minorHAnsi" w:hAnsiTheme="minorHAnsi"/>
      <w:sz w:val="22"/>
      <w:lang w:val="en-GB"/>
    </w:rPr>
  </w:style>
  <w:style w:type="paragraph" w:customStyle="1" w:styleId="Revision1">
    <w:name w:val="Revision1"/>
    <w:next w:val="Revision"/>
    <w:hidden/>
    <w:uiPriority w:val="99"/>
    <w:semiHidden/>
    <w:rsid w:val="00DC7F92"/>
    <w:pPr>
      <w:spacing w:after="0" w:line="240" w:lineRule="auto"/>
    </w:pPr>
  </w:style>
  <w:style w:type="character" w:customStyle="1" w:styleId="BalloonTextChar1">
    <w:name w:val="Balloon Text Char1"/>
    <w:basedOn w:val="DefaultParagraphFont"/>
    <w:uiPriority w:val="99"/>
    <w:semiHidden/>
    <w:rsid w:val="00DC7F92"/>
    <w:rPr>
      <w:rFonts w:ascii="Segoe UI" w:hAnsi="Segoe UI" w:cs="Segoe UI"/>
      <w:sz w:val="18"/>
      <w:szCs w:val="18"/>
      <w:lang w:val="en-GB"/>
    </w:rPr>
  </w:style>
  <w:style w:type="character" w:customStyle="1" w:styleId="CommentTextChar1">
    <w:name w:val="Comment Text Char1"/>
    <w:basedOn w:val="DefaultParagraphFont"/>
    <w:uiPriority w:val="99"/>
    <w:rsid w:val="00DC7F92"/>
    <w:rPr>
      <w:sz w:val="20"/>
      <w:szCs w:val="20"/>
      <w:lang w:val="en-GB"/>
    </w:rPr>
  </w:style>
  <w:style w:type="character" w:customStyle="1" w:styleId="CommentSubjectChar1">
    <w:name w:val="Comment Subject Char1"/>
    <w:basedOn w:val="CommentTextChar1"/>
    <w:uiPriority w:val="99"/>
    <w:semiHidden/>
    <w:rsid w:val="00DC7F92"/>
    <w:rPr>
      <w:b/>
      <w:bCs/>
      <w:sz w:val="20"/>
      <w:szCs w:val="20"/>
      <w:lang w:val="en-GB"/>
    </w:rPr>
  </w:style>
  <w:style w:type="character" w:customStyle="1" w:styleId="BodyTextChar1">
    <w:name w:val="Body Text Char1"/>
    <w:basedOn w:val="DefaultParagraphFont"/>
    <w:uiPriority w:val="99"/>
    <w:rsid w:val="00DC7F92"/>
    <w:rPr>
      <w:lang w:val="en-GB"/>
    </w:rPr>
  </w:style>
  <w:style w:type="character" w:customStyle="1" w:styleId="HeaderChar1">
    <w:name w:val="Header Char1"/>
    <w:basedOn w:val="DefaultParagraphFont"/>
    <w:uiPriority w:val="99"/>
    <w:rsid w:val="00DC7F92"/>
    <w:rPr>
      <w:lang w:val="en-GB"/>
    </w:rPr>
  </w:style>
  <w:style w:type="paragraph" w:customStyle="1" w:styleId="basic-paragraph">
    <w:name w:val="basic-paragraph"/>
    <w:basedOn w:val="Normal"/>
    <w:rsid w:val="00DC7F92"/>
    <w:pPr>
      <w:spacing w:before="100" w:beforeAutospacing="1" w:after="100" w:afterAutospacing="1"/>
      <w:jc w:val="left"/>
    </w:pPr>
    <w:rPr>
      <w:rFonts w:eastAsia="Times New Roman" w:cs="Times New Roman"/>
      <w:szCs w:val="24"/>
    </w:rPr>
  </w:style>
  <w:style w:type="character" w:customStyle="1" w:styleId="hwtze">
    <w:name w:val="hwtze"/>
    <w:basedOn w:val="DefaultParagraphFont"/>
    <w:rsid w:val="009F0D95"/>
  </w:style>
  <w:style w:type="character" w:customStyle="1" w:styleId="rynqvb">
    <w:name w:val="rynqvb"/>
    <w:basedOn w:val="DefaultParagraphFont"/>
    <w:rsid w:val="009F0D95"/>
  </w:style>
  <w:style w:type="paragraph" w:customStyle="1" w:styleId="NumPar1">
    <w:name w:val="NumPar 1"/>
    <w:basedOn w:val="Normal"/>
    <w:next w:val="Normal"/>
    <w:uiPriority w:val="99"/>
    <w:rsid w:val="000679CD"/>
    <w:pPr>
      <w:numPr>
        <w:numId w:val="12"/>
      </w:numPr>
      <w:spacing w:before="120"/>
    </w:pPr>
    <w:rPr>
      <w:rFonts w:asciiTheme="minorHAnsi" w:hAnsiTheme="minorHAnsi"/>
      <w:sz w:val="22"/>
      <w:vertAlign w:val="superscript"/>
    </w:rPr>
  </w:style>
  <w:style w:type="paragraph" w:customStyle="1" w:styleId="NumPar2">
    <w:name w:val="NumPar 2"/>
    <w:basedOn w:val="Normal"/>
    <w:next w:val="Normal"/>
    <w:rsid w:val="000679CD"/>
    <w:pPr>
      <w:numPr>
        <w:ilvl w:val="1"/>
        <w:numId w:val="12"/>
      </w:numPr>
      <w:spacing w:before="120"/>
    </w:pPr>
    <w:rPr>
      <w:rFonts w:ascii="Tunga" w:eastAsia="Arial Unicode MS" w:hAnsi="Tunga" w:cs="Tunga"/>
      <w:snapToGrid w:val="0"/>
      <w:sz w:val="20"/>
      <w:szCs w:val="20"/>
    </w:rPr>
  </w:style>
  <w:style w:type="paragraph" w:customStyle="1" w:styleId="NumPar3">
    <w:name w:val="NumPar 3"/>
    <w:basedOn w:val="Normal"/>
    <w:next w:val="Normal"/>
    <w:rsid w:val="000679CD"/>
    <w:pPr>
      <w:numPr>
        <w:ilvl w:val="2"/>
        <w:numId w:val="12"/>
      </w:numPr>
      <w:spacing w:before="120"/>
    </w:pPr>
    <w:rPr>
      <w:rFonts w:ascii="Tunga" w:eastAsia="Arial Unicode MS" w:hAnsi="Tunga" w:cs="Tunga"/>
      <w:snapToGrid w:val="0"/>
      <w:sz w:val="20"/>
      <w:szCs w:val="20"/>
    </w:rPr>
  </w:style>
  <w:style w:type="paragraph" w:customStyle="1" w:styleId="NumPar4">
    <w:name w:val="NumPar 4"/>
    <w:basedOn w:val="Normal"/>
    <w:next w:val="Normal"/>
    <w:rsid w:val="000679CD"/>
    <w:pPr>
      <w:numPr>
        <w:ilvl w:val="3"/>
        <w:numId w:val="12"/>
      </w:numPr>
      <w:spacing w:before="120"/>
    </w:pPr>
    <w:rPr>
      <w:rFonts w:ascii="Tunga" w:eastAsia="Arial Unicode MS" w:hAnsi="Tunga" w:cs="Tunga"/>
      <w:snapToGrid w:val="0"/>
      <w:sz w:val="20"/>
      <w:szCs w:val="20"/>
    </w:rPr>
  </w:style>
  <w:style w:type="paragraph" w:customStyle="1" w:styleId="font7">
    <w:name w:val="font7"/>
    <w:basedOn w:val="Normal"/>
    <w:rsid w:val="00D210F0"/>
    <w:pPr>
      <w:spacing w:before="100" w:beforeAutospacing="1" w:after="100" w:afterAutospacing="1"/>
      <w:jc w:val="left"/>
    </w:pPr>
    <w:rPr>
      <w:rFonts w:eastAsia="Times New Roman" w:cs="Times New Roman"/>
      <w:b/>
      <w:bCs/>
      <w:szCs w:val="24"/>
      <w:lang w:val="sr-Cyrl-RS" w:eastAsia="sr-Cyrl-RS"/>
    </w:rPr>
  </w:style>
  <w:style w:type="numbering" w:customStyle="1" w:styleId="NoList8">
    <w:name w:val="No List8"/>
    <w:next w:val="NoList"/>
    <w:uiPriority w:val="99"/>
    <w:semiHidden/>
    <w:unhideWhenUsed/>
    <w:rsid w:val="008D7C20"/>
  </w:style>
  <w:style w:type="paragraph" w:styleId="TOC6">
    <w:name w:val="toc 6"/>
    <w:basedOn w:val="Normal"/>
    <w:next w:val="Normal"/>
    <w:autoRedefine/>
    <w:uiPriority w:val="39"/>
    <w:unhideWhenUsed/>
    <w:rsid w:val="00EF67D6"/>
    <w:pPr>
      <w:spacing w:after="100" w:line="259" w:lineRule="auto"/>
      <w:ind w:left="1100"/>
      <w:jc w:val="left"/>
    </w:pPr>
    <w:rPr>
      <w:rFonts w:asciiTheme="minorHAnsi" w:eastAsiaTheme="minorEastAsia" w:hAnsiTheme="minorHAnsi"/>
      <w:sz w:val="22"/>
      <w:lang w:val="sr-Latn-RS" w:eastAsia="sr-Latn-RS"/>
    </w:rPr>
  </w:style>
  <w:style w:type="paragraph" w:styleId="TOC7">
    <w:name w:val="toc 7"/>
    <w:basedOn w:val="Normal"/>
    <w:next w:val="Normal"/>
    <w:autoRedefine/>
    <w:uiPriority w:val="39"/>
    <w:unhideWhenUsed/>
    <w:rsid w:val="00EF67D6"/>
    <w:pPr>
      <w:spacing w:after="100" w:line="259" w:lineRule="auto"/>
      <w:ind w:left="1320"/>
      <w:jc w:val="left"/>
    </w:pPr>
    <w:rPr>
      <w:rFonts w:asciiTheme="minorHAnsi" w:eastAsiaTheme="minorEastAsia" w:hAnsiTheme="minorHAnsi"/>
      <w:sz w:val="22"/>
      <w:lang w:val="sr-Latn-RS" w:eastAsia="sr-Latn-RS"/>
    </w:rPr>
  </w:style>
  <w:style w:type="paragraph" w:styleId="TOC8">
    <w:name w:val="toc 8"/>
    <w:basedOn w:val="Normal"/>
    <w:next w:val="Normal"/>
    <w:autoRedefine/>
    <w:uiPriority w:val="39"/>
    <w:unhideWhenUsed/>
    <w:rsid w:val="00EF67D6"/>
    <w:pPr>
      <w:spacing w:after="100" w:line="259" w:lineRule="auto"/>
      <w:ind w:left="1540"/>
      <w:jc w:val="left"/>
    </w:pPr>
    <w:rPr>
      <w:rFonts w:asciiTheme="minorHAnsi" w:eastAsiaTheme="minorEastAsia" w:hAnsiTheme="minorHAnsi"/>
      <w:sz w:val="22"/>
      <w:lang w:val="sr-Latn-RS" w:eastAsia="sr-Latn-RS"/>
    </w:rPr>
  </w:style>
  <w:style w:type="paragraph" w:styleId="TOC9">
    <w:name w:val="toc 9"/>
    <w:basedOn w:val="Normal"/>
    <w:next w:val="Normal"/>
    <w:autoRedefine/>
    <w:uiPriority w:val="39"/>
    <w:unhideWhenUsed/>
    <w:rsid w:val="00EF67D6"/>
    <w:pPr>
      <w:spacing w:after="100" w:line="259" w:lineRule="auto"/>
      <w:ind w:left="1760"/>
      <w:jc w:val="left"/>
    </w:pPr>
    <w:rPr>
      <w:rFonts w:asciiTheme="minorHAnsi" w:eastAsiaTheme="minorEastAsia" w:hAnsiTheme="minorHAnsi"/>
      <w:sz w:val="22"/>
      <w:lang w:val="sr-Latn-RS" w:eastAsia="sr-Latn-RS"/>
    </w:rPr>
  </w:style>
  <w:style w:type="paragraph" w:customStyle="1" w:styleId="msonormal0">
    <w:name w:val="msonormal"/>
    <w:basedOn w:val="Normal"/>
    <w:rsid w:val="006458EB"/>
    <w:pPr>
      <w:spacing w:before="100" w:beforeAutospacing="1" w:after="100" w:afterAutospacing="1"/>
      <w:jc w:val="left"/>
    </w:pPr>
    <w:rPr>
      <w:rFonts w:eastAsia="Times New Roman" w:cs="Times New Roman"/>
      <w:szCs w:val="24"/>
      <w:lang w:val="sr-Latn-RS" w:eastAsia="sr-Latn-RS"/>
    </w:rPr>
  </w:style>
  <w:style w:type="paragraph" w:customStyle="1" w:styleId="font5">
    <w:name w:val="font5"/>
    <w:basedOn w:val="Normal"/>
    <w:rsid w:val="006458EB"/>
    <w:pPr>
      <w:spacing w:before="100" w:beforeAutospacing="1" w:after="100" w:afterAutospacing="1"/>
      <w:jc w:val="left"/>
    </w:pPr>
    <w:rPr>
      <w:rFonts w:eastAsia="Times New Roman" w:cs="Times New Roman"/>
      <w:i/>
      <w:iCs/>
      <w:color w:val="000000"/>
      <w:sz w:val="20"/>
      <w:szCs w:val="20"/>
      <w:lang w:val="sr-Latn-RS" w:eastAsia="sr-Latn-RS"/>
    </w:rPr>
  </w:style>
  <w:style w:type="paragraph" w:customStyle="1" w:styleId="font6">
    <w:name w:val="font6"/>
    <w:basedOn w:val="Normal"/>
    <w:rsid w:val="006458EB"/>
    <w:pPr>
      <w:spacing w:before="100" w:beforeAutospacing="1" w:after="100" w:afterAutospacing="1"/>
      <w:jc w:val="left"/>
    </w:pPr>
    <w:rPr>
      <w:rFonts w:eastAsia="Times New Roman" w:cs="Times New Roman"/>
      <w:color w:val="000000"/>
      <w:sz w:val="20"/>
      <w:szCs w:val="20"/>
      <w:lang w:val="sr-Latn-RS" w:eastAsia="sr-Latn-RS"/>
    </w:rPr>
  </w:style>
  <w:style w:type="paragraph" w:customStyle="1" w:styleId="font8">
    <w:name w:val="font8"/>
    <w:basedOn w:val="Normal"/>
    <w:rsid w:val="006458EB"/>
    <w:pPr>
      <w:spacing w:before="100" w:beforeAutospacing="1" w:after="100" w:afterAutospacing="1"/>
      <w:jc w:val="left"/>
    </w:pPr>
    <w:rPr>
      <w:rFonts w:ascii="Tahoma" w:eastAsia="Times New Roman" w:hAnsi="Tahoma" w:cs="Tahoma"/>
      <w:color w:val="000000"/>
      <w:sz w:val="18"/>
      <w:szCs w:val="18"/>
      <w:lang w:val="sr-Latn-RS" w:eastAsia="sr-Latn-RS"/>
    </w:rPr>
  </w:style>
  <w:style w:type="paragraph" w:customStyle="1" w:styleId="xl99">
    <w:name w:val="xl99"/>
    <w:basedOn w:val="Normal"/>
    <w:rsid w:val="006458EB"/>
    <w:pPr>
      <w:pBdr>
        <w:top w:val="single" w:sz="8" w:space="0" w:color="000000"/>
        <w:left w:val="single" w:sz="8" w:space="0" w:color="auto"/>
        <w:bottom w:val="single" w:sz="8" w:space="0" w:color="auto"/>
        <w:right w:val="single" w:sz="8" w:space="0" w:color="auto"/>
      </w:pBdr>
      <w:shd w:val="clear" w:color="000000" w:fill="BDD7EE"/>
      <w:spacing w:before="100" w:beforeAutospacing="1" w:after="100" w:afterAutospacing="1"/>
      <w:jc w:val="center"/>
    </w:pPr>
    <w:rPr>
      <w:rFonts w:ascii="Arial" w:eastAsia="Times New Roman" w:hAnsi="Arial" w:cs="Arial"/>
      <w:sz w:val="28"/>
      <w:szCs w:val="28"/>
      <w:lang w:val="sr-Latn-RS" w:eastAsia="sr-Latn-RS"/>
    </w:rPr>
  </w:style>
  <w:style w:type="paragraph" w:customStyle="1" w:styleId="xl100">
    <w:name w:val="xl100"/>
    <w:basedOn w:val="Normal"/>
    <w:rsid w:val="006458EB"/>
    <w:pPr>
      <w:spacing w:before="100" w:beforeAutospacing="1" w:after="100" w:afterAutospacing="1"/>
      <w:jc w:val="left"/>
      <w:textAlignment w:val="top"/>
    </w:pPr>
    <w:rPr>
      <w:rFonts w:eastAsia="Times New Roman" w:cs="Times New Roman"/>
      <w:sz w:val="20"/>
      <w:szCs w:val="20"/>
      <w:lang w:val="sr-Latn-RS" w:eastAsia="sr-Latn-RS"/>
    </w:rPr>
  </w:style>
  <w:style w:type="paragraph" w:customStyle="1" w:styleId="xl101">
    <w:name w:val="xl101"/>
    <w:basedOn w:val="Normal"/>
    <w:rsid w:val="006458EB"/>
    <w:pPr>
      <w:pBdr>
        <w:top w:val="single" w:sz="8" w:space="0" w:color="000000"/>
        <w:bottom w:val="single" w:sz="8" w:space="0" w:color="000000"/>
      </w:pBdr>
      <w:spacing w:before="100" w:beforeAutospacing="1" w:after="100" w:afterAutospacing="1"/>
      <w:jc w:val="left"/>
      <w:textAlignment w:val="center"/>
    </w:pPr>
    <w:rPr>
      <w:rFonts w:eastAsia="Times New Roman" w:cs="Times New Roman"/>
      <w:b/>
      <w:bCs/>
      <w:sz w:val="28"/>
      <w:szCs w:val="28"/>
      <w:lang w:val="sr-Latn-RS" w:eastAsia="sr-Latn-RS"/>
    </w:rPr>
  </w:style>
  <w:style w:type="paragraph" w:customStyle="1" w:styleId="xl102">
    <w:name w:val="xl102"/>
    <w:basedOn w:val="Normal"/>
    <w:rsid w:val="006458EB"/>
    <w:pPr>
      <w:pBdr>
        <w:top w:val="single" w:sz="8" w:space="0" w:color="000000"/>
        <w:left w:val="single" w:sz="8" w:space="0" w:color="auto"/>
        <w:right w:val="single" w:sz="8" w:space="0" w:color="000000"/>
      </w:pBdr>
      <w:spacing w:before="100" w:beforeAutospacing="1" w:after="100" w:afterAutospacing="1"/>
      <w:jc w:val="left"/>
      <w:textAlignment w:val="top"/>
    </w:pPr>
    <w:rPr>
      <w:rFonts w:eastAsia="Times New Roman" w:cs="Times New Roman"/>
      <w:sz w:val="20"/>
      <w:szCs w:val="20"/>
      <w:lang w:val="sr-Latn-RS" w:eastAsia="sr-Latn-RS"/>
    </w:rPr>
  </w:style>
  <w:style w:type="paragraph" w:customStyle="1" w:styleId="xl103">
    <w:name w:val="xl103"/>
    <w:basedOn w:val="Normal"/>
    <w:rsid w:val="006458EB"/>
    <w:pPr>
      <w:spacing w:before="100" w:beforeAutospacing="1" w:after="100" w:afterAutospacing="1"/>
      <w:jc w:val="left"/>
      <w:textAlignment w:val="top"/>
    </w:pPr>
    <w:rPr>
      <w:rFonts w:eastAsia="Times New Roman" w:cs="Times New Roman"/>
      <w:szCs w:val="24"/>
      <w:lang w:val="sr-Latn-RS" w:eastAsia="sr-Latn-RS"/>
    </w:rPr>
  </w:style>
  <w:style w:type="paragraph" w:customStyle="1" w:styleId="xl104">
    <w:name w:val="xl104"/>
    <w:basedOn w:val="Normal"/>
    <w:rsid w:val="006458EB"/>
    <w:pPr>
      <w:pBdr>
        <w:left w:val="single" w:sz="8" w:space="0" w:color="000000"/>
        <w:right w:val="single" w:sz="8" w:space="0" w:color="000000"/>
      </w:pBdr>
      <w:spacing w:before="100" w:beforeAutospacing="1" w:after="100" w:afterAutospacing="1"/>
      <w:jc w:val="left"/>
      <w:textAlignment w:val="top"/>
    </w:pPr>
    <w:rPr>
      <w:rFonts w:eastAsia="Times New Roman" w:cs="Times New Roman"/>
      <w:color w:val="000000"/>
      <w:sz w:val="20"/>
      <w:szCs w:val="20"/>
      <w:lang w:val="sr-Latn-RS" w:eastAsia="sr-Latn-RS"/>
    </w:rPr>
  </w:style>
  <w:style w:type="paragraph" w:customStyle="1" w:styleId="xl105">
    <w:name w:val="xl105"/>
    <w:basedOn w:val="Normal"/>
    <w:rsid w:val="006458EB"/>
    <w:pPr>
      <w:spacing w:before="100" w:beforeAutospacing="1" w:after="100" w:afterAutospacing="1"/>
      <w:jc w:val="left"/>
      <w:textAlignment w:val="top"/>
    </w:pPr>
    <w:rPr>
      <w:rFonts w:eastAsia="Times New Roman" w:cs="Times New Roman"/>
      <w:sz w:val="20"/>
      <w:szCs w:val="20"/>
      <w:lang w:val="sr-Latn-RS" w:eastAsia="sr-Latn-RS"/>
    </w:rPr>
  </w:style>
  <w:style w:type="paragraph" w:customStyle="1" w:styleId="xl106">
    <w:name w:val="xl106"/>
    <w:basedOn w:val="Normal"/>
    <w:rsid w:val="006458EB"/>
    <w:pPr>
      <w:spacing w:before="100" w:beforeAutospacing="1" w:after="100" w:afterAutospacing="1"/>
      <w:jc w:val="left"/>
    </w:pPr>
    <w:rPr>
      <w:rFonts w:ascii="Calibri" w:eastAsia="Times New Roman" w:hAnsi="Calibri" w:cs="Calibri"/>
      <w:szCs w:val="24"/>
      <w:lang w:val="sr-Latn-RS" w:eastAsia="sr-Latn-RS"/>
    </w:rPr>
  </w:style>
  <w:style w:type="paragraph" w:customStyle="1" w:styleId="xl107">
    <w:name w:val="xl107"/>
    <w:basedOn w:val="Normal"/>
    <w:rsid w:val="006458EB"/>
    <w:pPr>
      <w:pBdr>
        <w:top w:val="single" w:sz="8" w:space="0" w:color="000000"/>
        <w:left w:val="single" w:sz="8" w:space="0" w:color="000000"/>
        <w:right w:val="single" w:sz="8" w:space="0" w:color="000000"/>
      </w:pBdr>
      <w:spacing w:before="100" w:beforeAutospacing="1" w:after="100" w:afterAutospacing="1"/>
      <w:jc w:val="left"/>
      <w:textAlignment w:val="top"/>
    </w:pPr>
    <w:rPr>
      <w:rFonts w:eastAsia="Times New Roman" w:cs="Times New Roman"/>
      <w:sz w:val="20"/>
      <w:szCs w:val="20"/>
      <w:lang w:val="sr-Latn-RS" w:eastAsia="sr-Latn-RS"/>
    </w:rPr>
  </w:style>
  <w:style w:type="paragraph" w:customStyle="1" w:styleId="xl108">
    <w:name w:val="xl108"/>
    <w:basedOn w:val="Normal"/>
    <w:rsid w:val="006458EB"/>
    <w:pPr>
      <w:pBdr>
        <w:top w:val="single" w:sz="8" w:space="0" w:color="000000"/>
        <w:left w:val="single" w:sz="8" w:space="0" w:color="000000"/>
        <w:right w:val="single" w:sz="8" w:space="0" w:color="000000"/>
      </w:pBdr>
      <w:spacing w:before="100" w:beforeAutospacing="1" w:after="100" w:afterAutospacing="1"/>
      <w:jc w:val="center"/>
      <w:textAlignment w:val="top"/>
    </w:pPr>
    <w:rPr>
      <w:rFonts w:eastAsia="Times New Roman" w:cs="Times New Roman"/>
      <w:sz w:val="20"/>
      <w:szCs w:val="20"/>
      <w:lang w:val="sr-Latn-RS" w:eastAsia="sr-Latn-RS"/>
    </w:rPr>
  </w:style>
  <w:style w:type="paragraph" w:customStyle="1" w:styleId="xl109">
    <w:name w:val="xl109"/>
    <w:basedOn w:val="Normal"/>
    <w:rsid w:val="006458EB"/>
    <w:pPr>
      <w:pBdr>
        <w:left w:val="single" w:sz="8" w:space="0" w:color="000000"/>
        <w:right w:val="single" w:sz="8" w:space="0" w:color="000000"/>
      </w:pBdr>
      <w:spacing w:before="100" w:beforeAutospacing="1" w:after="100" w:afterAutospacing="1"/>
      <w:jc w:val="left"/>
      <w:textAlignment w:val="top"/>
    </w:pPr>
    <w:rPr>
      <w:rFonts w:eastAsia="Times New Roman" w:cs="Times New Roman"/>
      <w:sz w:val="20"/>
      <w:szCs w:val="20"/>
      <w:lang w:val="sr-Latn-RS" w:eastAsia="sr-Latn-RS"/>
    </w:rPr>
  </w:style>
  <w:style w:type="paragraph" w:customStyle="1" w:styleId="xl110">
    <w:name w:val="xl110"/>
    <w:basedOn w:val="Normal"/>
    <w:rsid w:val="006458EB"/>
    <w:pPr>
      <w:pBdr>
        <w:left w:val="single" w:sz="8" w:space="0" w:color="000000"/>
        <w:bottom w:val="single" w:sz="8" w:space="0" w:color="000000"/>
        <w:right w:val="single" w:sz="8" w:space="0" w:color="000000"/>
      </w:pBdr>
      <w:spacing w:before="100" w:beforeAutospacing="1" w:after="100" w:afterAutospacing="1"/>
      <w:jc w:val="left"/>
      <w:textAlignment w:val="top"/>
    </w:pPr>
    <w:rPr>
      <w:rFonts w:eastAsia="Times New Roman" w:cs="Times New Roman"/>
      <w:sz w:val="20"/>
      <w:szCs w:val="20"/>
      <w:lang w:val="sr-Latn-RS" w:eastAsia="sr-Latn-RS"/>
    </w:rPr>
  </w:style>
  <w:style w:type="paragraph" w:customStyle="1" w:styleId="xl111">
    <w:name w:val="xl111"/>
    <w:basedOn w:val="Normal"/>
    <w:rsid w:val="006458EB"/>
    <w:pPr>
      <w:pBdr>
        <w:left w:val="single" w:sz="8" w:space="0" w:color="auto"/>
        <w:bottom w:val="single" w:sz="8" w:space="0" w:color="auto"/>
        <w:right w:val="single" w:sz="8" w:space="0" w:color="000000"/>
      </w:pBdr>
      <w:spacing w:before="100" w:beforeAutospacing="1" w:after="100" w:afterAutospacing="1"/>
      <w:jc w:val="left"/>
      <w:textAlignment w:val="top"/>
    </w:pPr>
    <w:rPr>
      <w:rFonts w:eastAsia="Times New Roman" w:cs="Times New Roman"/>
      <w:sz w:val="20"/>
      <w:szCs w:val="20"/>
      <w:lang w:val="sr-Latn-RS" w:eastAsia="sr-Latn-RS"/>
    </w:rPr>
  </w:style>
  <w:style w:type="paragraph" w:customStyle="1" w:styleId="xl112">
    <w:name w:val="xl112"/>
    <w:basedOn w:val="Normal"/>
    <w:rsid w:val="006458EB"/>
    <w:pPr>
      <w:pBdr>
        <w:left w:val="single" w:sz="8" w:space="0" w:color="000000"/>
        <w:bottom w:val="single" w:sz="8" w:space="0" w:color="auto"/>
        <w:right w:val="single" w:sz="8" w:space="0" w:color="000000"/>
      </w:pBdr>
      <w:spacing w:before="100" w:beforeAutospacing="1" w:after="100" w:afterAutospacing="1"/>
      <w:jc w:val="left"/>
      <w:textAlignment w:val="top"/>
    </w:pPr>
    <w:rPr>
      <w:rFonts w:eastAsia="Times New Roman" w:cs="Times New Roman"/>
      <w:sz w:val="20"/>
      <w:szCs w:val="20"/>
      <w:lang w:val="sr-Latn-RS" w:eastAsia="sr-Latn-RS"/>
    </w:rPr>
  </w:style>
  <w:style w:type="paragraph" w:customStyle="1" w:styleId="xl113">
    <w:name w:val="xl113"/>
    <w:basedOn w:val="Normal"/>
    <w:rsid w:val="006458EB"/>
    <w:pPr>
      <w:pBdr>
        <w:left w:val="single" w:sz="8" w:space="0" w:color="000000"/>
        <w:bottom w:val="single" w:sz="8" w:space="0" w:color="auto"/>
        <w:right w:val="single" w:sz="8" w:space="0" w:color="000000"/>
      </w:pBdr>
      <w:spacing w:before="100" w:beforeAutospacing="1" w:after="100" w:afterAutospacing="1"/>
      <w:jc w:val="center"/>
      <w:textAlignment w:val="top"/>
    </w:pPr>
    <w:rPr>
      <w:rFonts w:eastAsia="Times New Roman" w:cs="Times New Roman"/>
      <w:sz w:val="20"/>
      <w:szCs w:val="20"/>
      <w:lang w:val="sr-Latn-RS" w:eastAsia="sr-Latn-RS"/>
    </w:rPr>
  </w:style>
  <w:style w:type="paragraph" w:customStyle="1" w:styleId="xl114">
    <w:name w:val="xl114"/>
    <w:basedOn w:val="Normal"/>
    <w:rsid w:val="006458EB"/>
    <w:pPr>
      <w:pBdr>
        <w:left w:val="single" w:sz="8" w:space="0" w:color="auto"/>
        <w:bottom w:val="single" w:sz="8" w:space="0" w:color="auto"/>
        <w:right w:val="single" w:sz="8" w:space="0" w:color="auto"/>
      </w:pBdr>
      <w:shd w:val="clear" w:color="000000" w:fill="BDD7EE"/>
      <w:spacing w:before="100" w:beforeAutospacing="1" w:after="100" w:afterAutospacing="1"/>
      <w:jc w:val="center"/>
    </w:pPr>
    <w:rPr>
      <w:rFonts w:ascii="Arial" w:eastAsia="Times New Roman" w:hAnsi="Arial" w:cs="Arial"/>
      <w:sz w:val="28"/>
      <w:szCs w:val="28"/>
      <w:lang w:val="sr-Latn-RS" w:eastAsia="sr-Latn-RS"/>
    </w:rPr>
  </w:style>
  <w:style w:type="paragraph" w:customStyle="1" w:styleId="xl115">
    <w:name w:val="xl115"/>
    <w:basedOn w:val="Normal"/>
    <w:rsid w:val="006458EB"/>
    <w:pPr>
      <w:pBdr>
        <w:left w:val="single" w:sz="8" w:space="0" w:color="auto"/>
        <w:bottom w:val="single" w:sz="8" w:space="0" w:color="auto"/>
        <w:right w:val="single" w:sz="8" w:space="0" w:color="000000"/>
      </w:pBdr>
      <w:spacing w:before="100" w:beforeAutospacing="1" w:after="100" w:afterAutospacing="1"/>
      <w:jc w:val="left"/>
      <w:textAlignment w:val="top"/>
    </w:pPr>
    <w:rPr>
      <w:rFonts w:eastAsia="Times New Roman" w:cs="Times New Roman"/>
      <w:sz w:val="20"/>
      <w:szCs w:val="20"/>
      <w:lang w:val="sr-Latn-RS" w:eastAsia="sr-Latn-RS"/>
    </w:rPr>
  </w:style>
  <w:style w:type="paragraph" w:customStyle="1" w:styleId="xl116">
    <w:name w:val="xl116"/>
    <w:basedOn w:val="Normal"/>
    <w:rsid w:val="006458EB"/>
    <w:pPr>
      <w:pBdr>
        <w:left w:val="single" w:sz="8" w:space="0" w:color="000000"/>
        <w:bottom w:val="single" w:sz="8" w:space="0" w:color="auto"/>
        <w:right w:val="single" w:sz="8" w:space="0" w:color="000000"/>
      </w:pBdr>
      <w:spacing w:before="100" w:beforeAutospacing="1" w:after="100" w:afterAutospacing="1"/>
      <w:jc w:val="left"/>
      <w:textAlignment w:val="top"/>
    </w:pPr>
    <w:rPr>
      <w:rFonts w:eastAsia="Times New Roman" w:cs="Times New Roman"/>
      <w:color w:val="000000"/>
      <w:sz w:val="20"/>
      <w:szCs w:val="20"/>
      <w:lang w:val="sr-Latn-RS" w:eastAsia="sr-Latn-RS"/>
    </w:rPr>
  </w:style>
  <w:style w:type="paragraph" w:customStyle="1" w:styleId="xl117">
    <w:name w:val="xl117"/>
    <w:basedOn w:val="Normal"/>
    <w:rsid w:val="006458EB"/>
    <w:pPr>
      <w:pBdr>
        <w:left w:val="single" w:sz="8" w:space="0" w:color="000000"/>
        <w:right w:val="single" w:sz="8" w:space="0" w:color="auto"/>
      </w:pBdr>
      <w:spacing w:before="100" w:beforeAutospacing="1" w:after="100" w:afterAutospacing="1"/>
      <w:jc w:val="right"/>
      <w:textAlignment w:val="top"/>
    </w:pPr>
    <w:rPr>
      <w:rFonts w:eastAsia="Times New Roman" w:cs="Times New Roman"/>
      <w:sz w:val="20"/>
      <w:szCs w:val="20"/>
      <w:lang w:val="sr-Latn-RS" w:eastAsia="sr-Latn-RS"/>
    </w:rPr>
  </w:style>
  <w:style w:type="paragraph" w:customStyle="1" w:styleId="xl118">
    <w:name w:val="xl118"/>
    <w:basedOn w:val="Normal"/>
    <w:rsid w:val="006458EB"/>
    <w:pPr>
      <w:pBdr>
        <w:top w:val="single" w:sz="8" w:space="0" w:color="000000"/>
        <w:left w:val="single" w:sz="8" w:space="0" w:color="auto"/>
        <w:right w:val="single" w:sz="8" w:space="0" w:color="000000"/>
      </w:pBdr>
      <w:spacing w:before="100" w:beforeAutospacing="1" w:after="100" w:afterAutospacing="1"/>
      <w:jc w:val="left"/>
      <w:textAlignment w:val="top"/>
    </w:pPr>
    <w:rPr>
      <w:rFonts w:eastAsia="Times New Roman" w:cs="Times New Roman"/>
      <w:sz w:val="20"/>
      <w:szCs w:val="20"/>
      <w:lang w:val="sr-Latn-RS" w:eastAsia="sr-Latn-RS"/>
    </w:rPr>
  </w:style>
  <w:style w:type="paragraph" w:customStyle="1" w:styleId="xl119">
    <w:name w:val="xl119"/>
    <w:basedOn w:val="Normal"/>
    <w:rsid w:val="006458EB"/>
    <w:pPr>
      <w:pBdr>
        <w:left w:val="single" w:sz="8" w:space="0" w:color="auto"/>
        <w:right w:val="single" w:sz="8" w:space="0" w:color="000000"/>
      </w:pBdr>
      <w:spacing w:before="100" w:beforeAutospacing="1" w:after="100" w:afterAutospacing="1"/>
      <w:jc w:val="left"/>
      <w:textAlignment w:val="top"/>
    </w:pPr>
    <w:rPr>
      <w:rFonts w:eastAsia="Times New Roman" w:cs="Times New Roman"/>
      <w:sz w:val="20"/>
      <w:szCs w:val="20"/>
      <w:lang w:val="sr-Latn-RS" w:eastAsia="sr-Latn-RS"/>
    </w:rPr>
  </w:style>
  <w:style w:type="paragraph" w:customStyle="1" w:styleId="xl120">
    <w:name w:val="xl120"/>
    <w:basedOn w:val="Normal"/>
    <w:rsid w:val="006458EB"/>
    <w:pPr>
      <w:pBdr>
        <w:left w:val="single" w:sz="8" w:space="0" w:color="auto"/>
        <w:bottom w:val="single" w:sz="8" w:space="0" w:color="auto"/>
        <w:right w:val="single" w:sz="8" w:space="0" w:color="000000"/>
      </w:pBdr>
      <w:spacing w:before="100" w:beforeAutospacing="1" w:after="100" w:afterAutospacing="1"/>
      <w:jc w:val="left"/>
      <w:textAlignment w:val="top"/>
    </w:pPr>
    <w:rPr>
      <w:rFonts w:eastAsia="Times New Roman" w:cs="Times New Roman"/>
      <w:sz w:val="20"/>
      <w:szCs w:val="20"/>
      <w:lang w:val="sr-Latn-RS" w:eastAsia="sr-Latn-RS"/>
    </w:rPr>
  </w:style>
  <w:style w:type="paragraph" w:customStyle="1" w:styleId="xl121">
    <w:name w:val="xl121"/>
    <w:basedOn w:val="Normal"/>
    <w:rsid w:val="006458EB"/>
    <w:pPr>
      <w:pBdr>
        <w:left w:val="single" w:sz="8" w:space="0" w:color="000000"/>
        <w:bottom w:val="single" w:sz="8" w:space="0" w:color="auto"/>
        <w:right w:val="single" w:sz="8" w:space="0" w:color="000000"/>
      </w:pBdr>
      <w:spacing w:before="100" w:beforeAutospacing="1" w:after="100" w:afterAutospacing="1"/>
      <w:jc w:val="left"/>
    </w:pPr>
    <w:rPr>
      <w:rFonts w:eastAsia="Times New Roman" w:cs="Times New Roman"/>
      <w:sz w:val="18"/>
      <w:szCs w:val="18"/>
      <w:lang w:val="sr-Latn-RS" w:eastAsia="sr-Latn-RS"/>
    </w:rPr>
  </w:style>
  <w:style w:type="paragraph" w:customStyle="1" w:styleId="BVIfnrChar1">
    <w:name w:val="BVI fnr Char1"/>
    <w:aliases w:val="Footnotes refss Char1,ftref Char1,16 Point Char1,Superscript 6 Point Char1,Footnote Reference Number Char1,nota pié di pagina Char1,Times 10 Point Char1,Exposant 3 Point Char,Footnote symbol Char1,4_G Char,ftref Char Char Char"/>
    <w:basedOn w:val="Normal"/>
    <w:uiPriority w:val="99"/>
    <w:rsid w:val="00247CBF"/>
    <w:pPr>
      <w:spacing w:after="160" w:line="240" w:lineRule="exact"/>
      <w:jc w:val="left"/>
    </w:pPr>
    <w:rPr>
      <w:rFonts w:asciiTheme="minorHAnsi" w:hAnsiTheme="minorHAnsi"/>
      <w:sz w:val="22"/>
      <w:vertAlign w:val="superscript"/>
    </w:rPr>
  </w:style>
  <w:style w:type="paragraph" w:customStyle="1" w:styleId="a0">
    <w:name w:val="Стукрурна реформа"/>
    <w:basedOn w:val="Caption"/>
    <w:link w:val="Char"/>
    <w:qFormat/>
    <w:rsid w:val="00247CBF"/>
    <w:pPr>
      <w:spacing w:before="240"/>
    </w:pPr>
  </w:style>
  <w:style w:type="character" w:customStyle="1" w:styleId="CaptionChar">
    <w:name w:val="Caption Char"/>
    <w:basedOn w:val="DefaultParagraphFont"/>
    <w:link w:val="Caption"/>
    <w:uiPriority w:val="35"/>
    <w:rsid w:val="00247CBF"/>
    <w:rPr>
      <w:rFonts w:ascii="Times New Roman" w:eastAsiaTheme="minorEastAsia" w:hAnsi="Times New Roman"/>
      <w:b/>
      <w:bCs/>
      <w:smallCaps/>
      <w:color w:val="595959" w:themeColor="text1" w:themeTint="A6"/>
      <w:spacing w:val="6"/>
      <w:sz w:val="20"/>
      <w:szCs w:val="20"/>
      <w:lang w:eastAsia="ja-JP"/>
    </w:rPr>
  </w:style>
  <w:style w:type="character" w:customStyle="1" w:styleId="Char">
    <w:name w:val="Стукрурна реформа Char"/>
    <w:basedOn w:val="CaptionChar"/>
    <w:link w:val="a0"/>
    <w:rsid w:val="00247CBF"/>
    <w:rPr>
      <w:rFonts w:ascii="Times New Roman" w:eastAsiaTheme="minorEastAsia" w:hAnsi="Times New Roman"/>
      <w:b/>
      <w:bCs/>
      <w:smallCaps/>
      <w:color w:val="595959" w:themeColor="text1" w:themeTint="A6"/>
      <w:spacing w:val="6"/>
      <w:sz w:val="20"/>
      <w:szCs w:val="20"/>
      <w:lang w:eastAsia="ja-JP"/>
    </w:rPr>
  </w:style>
  <w:style w:type="paragraph" w:customStyle="1" w:styleId="clan">
    <w:name w:val="clan"/>
    <w:basedOn w:val="Normal"/>
    <w:uiPriority w:val="99"/>
    <w:semiHidden/>
    <w:rsid w:val="00247CBF"/>
    <w:pPr>
      <w:spacing w:before="100" w:beforeAutospacing="1" w:after="100" w:afterAutospacing="1"/>
      <w:jc w:val="left"/>
    </w:pPr>
    <w:rPr>
      <w:rFonts w:eastAsia="Times New Roman" w:cs="Times New Roman"/>
      <w:szCs w:val="24"/>
    </w:rPr>
  </w:style>
  <w:style w:type="paragraph" w:customStyle="1" w:styleId="Numerisanipasus">
    <w:name w:val="Numerisani pasus"/>
    <w:basedOn w:val="Normal"/>
    <w:autoRedefine/>
    <w:qFormat/>
    <w:rsid w:val="00247CBF"/>
    <w:pPr>
      <w:numPr>
        <w:ilvl w:val="2"/>
      </w:numPr>
      <w:jc w:val="left"/>
    </w:pPr>
    <w:rPr>
      <w:rFonts w:ascii="Century Schoolbook" w:eastAsia="Calibri" w:hAnsi="Century Schoolbook" w:cs="Times New Roman"/>
      <w:bCs/>
      <w:iCs/>
      <w:noProof/>
      <w:color w:val="000000"/>
      <w:spacing w:val="-3"/>
      <w:sz w:val="20"/>
      <w:szCs w:val="20"/>
      <w:lang w:val="sr-Cyrl-RS" w:eastAsia="x-none"/>
    </w:rPr>
  </w:style>
  <w:style w:type="character" w:customStyle="1" w:styleId="UnresolvedMention4">
    <w:name w:val="Unresolved Mention4"/>
    <w:basedOn w:val="DefaultParagraphFont"/>
    <w:uiPriority w:val="99"/>
    <w:semiHidden/>
    <w:unhideWhenUsed/>
    <w:rsid w:val="00247CBF"/>
    <w:rPr>
      <w:color w:val="605E5C"/>
      <w:shd w:val="clear" w:color="auto" w:fill="E1DFDD"/>
    </w:rPr>
  </w:style>
  <w:style w:type="paragraph" w:customStyle="1" w:styleId="xl66">
    <w:name w:val="xl66"/>
    <w:basedOn w:val="Normal"/>
    <w:rsid w:val="00247CBF"/>
    <w:pPr>
      <w:pBdr>
        <w:top w:val="single" w:sz="8" w:space="0" w:color="auto"/>
        <w:left w:val="single" w:sz="8" w:space="0" w:color="auto"/>
        <w:bottom w:val="single" w:sz="8" w:space="0" w:color="auto"/>
        <w:right w:val="single" w:sz="8" w:space="0" w:color="auto"/>
      </w:pBdr>
      <w:spacing w:before="100" w:beforeAutospacing="1" w:after="100" w:afterAutospacing="1"/>
      <w:jc w:val="left"/>
    </w:pPr>
    <w:rPr>
      <w:rFonts w:eastAsia="Times New Roman" w:cs="Times New Roman"/>
      <w:szCs w:val="24"/>
      <w:lang w:val="sr-Cyrl-RS" w:eastAsia="sr-Cyrl-RS"/>
    </w:rPr>
  </w:style>
  <w:style w:type="paragraph" w:customStyle="1" w:styleId="font9">
    <w:name w:val="font9"/>
    <w:basedOn w:val="Normal"/>
    <w:rsid w:val="00247CBF"/>
    <w:pPr>
      <w:spacing w:before="100" w:beforeAutospacing="1" w:after="100" w:afterAutospacing="1"/>
      <w:jc w:val="left"/>
    </w:pPr>
    <w:rPr>
      <w:rFonts w:eastAsia="Times New Roman" w:cs="Times New Roman"/>
      <w:color w:val="FF0000"/>
      <w:szCs w:val="24"/>
      <w:lang w:val="sr-Cyrl-RS" w:eastAsia="sr-Cyrl-RS"/>
    </w:rPr>
  </w:style>
  <w:style w:type="paragraph" w:customStyle="1" w:styleId="font10">
    <w:name w:val="font10"/>
    <w:basedOn w:val="Normal"/>
    <w:rsid w:val="00247CBF"/>
    <w:pPr>
      <w:spacing w:before="100" w:beforeAutospacing="1" w:after="100" w:afterAutospacing="1"/>
      <w:jc w:val="left"/>
    </w:pPr>
    <w:rPr>
      <w:rFonts w:ascii="Tahoma" w:eastAsia="Times New Roman" w:hAnsi="Tahoma" w:cs="Tahoma"/>
      <w:color w:val="000000"/>
      <w:sz w:val="18"/>
      <w:szCs w:val="18"/>
      <w:lang w:val="sr-Cyrl-RS" w:eastAsia="sr-Cyrl-RS"/>
    </w:rPr>
  </w:style>
  <w:style w:type="paragraph" w:customStyle="1" w:styleId="font11">
    <w:name w:val="font11"/>
    <w:basedOn w:val="Normal"/>
    <w:rsid w:val="00247CBF"/>
    <w:pPr>
      <w:spacing w:before="100" w:beforeAutospacing="1" w:after="100" w:afterAutospacing="1"/>
      <w:jc w:val="left"/>
    </w:pPr>
    <w:rPr>
      <w:rFonts w:ascii="Tahoma" w:eastAsia="Times New Roman" w:hAnsi="Tahoma" w:cs="Tahoma"/>
      <w:b/>
      <w:bCs/>
      <w:color w:val="000000"/>
      <w:sz w:val="18"/>
      <w:szCs w:val="18"/>
      <w:lang w:val="sr-Cyrl-RS" w:eastAsia="sr-Cyrl-RS"/>
    </w:rPr>
  </w:style>
  <w:style w:type="table" w:styleId="GridTable5Dark-Accent5">
    <w:name w:val="Grid Table 5 Dark Accent 5"/>
    <w:basedOn w:val="TableNormal"/>
    <w:uiPriority w:val="50"/>
    <w:rsid w:val="00247CB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ListTable6Colorful-Accent6">
    <w:name w:val="List Table 6 Colorful Accent 6"/>
    <w:basedOn w:val="TableNormal"/>
    <w:uiPriority w:val="51"/>
    <w:rsid w:val="00247CBF"/>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1Light-Accent1">
    <w:name w:val="Grid Table 1 Light Accent 1"/>
    <w:basedOn w:val="TableNormal"/>
    <w:uiPriority w:val="46"/>
    <w:rsid w:val="00247CBF"/>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customStyle="1" w:styleId="TableGrid8">
    <w:name w:val="Table Grid8"/>
    <w:basedOn w:val="TableNormal"/>
    <w:next w:val="TableGrid"/>
    <w:uiPriority w:val="59"/>
    <w:rsid w:val="00247CBF"/>
    <w:pPr>
      <w:spacing w:after="0" w:line="240" w:lineRule="auto"/>
    </w:pPr>
    <w:rPr>
      <w:lang w:val="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59"/>
    <w:rsid w:val="00247CBF"/>
    <w:pPr>
      <w:spacing w:after="0" w:line="240" w:lineRule="auto"/>
    </w:pPr>
    <w:rPr>
      <w:lang w:val="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uiPriority w:val="59"/>
    <w:rsid w:val="00247CBF"/>
    <w:pPr>
      <w:spacing w:after="0" w:line="240" w:lineRule="auto"/>
    </w:pPr>
    <w:rPr>
      <w:lang w:val="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22">
    <w:name w:val="xl122"/>
    <w:basedOn w:val="Normal"/>
    <w:rsid w:val="00247CBF"/>
    <w:pPr>
      <w:pBdr>
        <w:top w:val="single" w:sz="4" w:space="0" w:color="000000"/>
        <w:left w:val="single" w:sz="8" w:space="0" w:color="000000"/>
        <w:bottom w:val="single" w:sz="4" w:space="0" w:color="000000"/>
        <w:right w:val="single" w:sz="4" w:space="0" w:color="000000"/>
      </w:pBdr>
      <w:spacing w:before="100" w:beforeAutospacing="1" w:after="100" w:afterAutospacing="1"/>
      <w:jc w:val="left"/>
      <w:textAlignment w:val="top"/>
    </w:pPr>
    <w:rPr>
      <w:rFonts w:eastAsia="Times New Roman" w:cs="Times New Roman"/>
      <w:sz w:val="20"/>
      <w:szCs w:val="20"/>
    </w:rPr>
  </w:style>
  <w:style w:type="paragraph" w:customStyle="1" w:styleId="xl123">
    <w:name w:val="xl123"/>
    <w:basedOn w:val="Normal"/>
    <w:rsid w:val="00247CBF"/>
    <w:pPr>
      <w:pBdr>
        <w:top w:val="single" w:sz="4" w:space="0" w:color="000000"/>
        <w:left w:val="single" w:sz="4" w:space="0" w:color="000000"/>
        <w:bottom w:val="single" w:sz="4" w:space="0" w:color="000000"/>
        <w:right w:val="single" w:sz="4" w:space="0" w:color="000000"/>
      </w:pBdr>
      <w:shd w:val="clear" w:color="000000" w:fill="9BC2E6"/>
      <w:spacing w:before="100" w:beforeAutospacing="1" w:after="100" w:afterAutospacing="1"/>
      <w:jc w:val="center"/>
    </w:pPr>
    <w:rPr>
      <w:rFonts w:ascii="Arial" w:eastAsia="Times New Roman" w:hAnsi="Arial" w:cs="Arial"/>
      <w:sz w:val="28"/>
      <w:szCs w:val="28"/>
    </w:rPr>
  </w:style>
  <w:style w:type="paragraph" w:customStyle="1" w:styleId="xl124">
    <w:name w:val="xl124"/>
    <w:basedOn w:val="Normal"/>
    <w:rsid w:val="00247CBF"/>
    <w:pPr>
      <w:pBdr>
        <w:top w:val="single" w:sz="4" w:space="0" w:color="000000"/>
        <w:left w:val="single" w:sz="4" w:space="0" w:color="000000"/>
        <w:bottom w:val="single" w:sz="4" w:space="0" w:color="000000"/>
        <w:right w:val="single" w:sz="8" w:space="0" w:color="000000"/>
      </w:pBdr>
      <w:spacing w:before="100" w:beforeAutospacing="1" w:after="100" w:afterAutospacing="1"/>
      <w:jc w:val="left"/>
      <w:textAlignment w:val="top"/>
    </w:pPr>
    <w:rPr>
      <w:rFonts w:eastAsia="Times New Roman" w:cs="Times New Roman"/>
      <w:szCs w:val="24"/>
    </w:rPr>
  </w:style>
  <w:style w:type="paragraph" w:customStyle="1" w:styleId="xl125">
    <w:name w:val="xl125"/>
    <w:basedOn w:val="Normal"/>
    <w:rsid w:val="00247CBF"/>
    <w:pPr>
      <w:pBdr>
        <w:top w:val="single" w:sz="4" w:space="0" w:color="000000"/>
        <w:left w:val="single" w:sz="4" w:space="0" w:color="000000"/>
        <w:bottom w:val="single" w:sz="4" w:space="0" w:color="000000"/>
        <w:right w:val="single" w:sz="4" w:space="0" w:color="000000"/>
      </w:pBdr>
      <w:spacing w:before="100" w:beforeAutospacing="1" w:after="100" w:afterAutospacing="1"/>
      <w:jc w:val="left"/>
      <w:textAlignment w:val="top"/>
    </w:pPr>
    <w:rPr>
      <w:rFonts w:eastAsia="Times New Roman" w:cs="Times New Roman"/>
      <w:b/>
      <w:bCs/>
      <w:color w:val="FF0000"/>
      <w:sz w:val="20"/>
      <w:szCs w:val="20"/>
    </w:rPr>
  </w:style>
  <w:style w:type="paragraph" w:customStyle="1" w:styleId="xl126">
    <w:name w:val="xl126"/>
    <w:basedOn w:val="Normal"/>
    <w:rsid w:val="00247CBF"/>
    <w:pPr>
      <w:pBdr>
        <w:top w:val="single" w:sz="4" w:space="0" w:color="000000"/>
        <w:left w:val="single" w:sz="4" w:space="0" w:color="000000"/>
        <w:bottom w:val="single" w:sz="4" w:space="0" w:color="000000"/>
        <w:right w:val="single" w:sz="8" w:space="0" w:color="000000"/>
      </w:pBdr>
      <w:shd w:val="clear" w:color="000000" w:fill="FFFFFF"/>
      <w:spacing w:before="100" w:beforeAutospacing="1" w:after="100" w:afterAutospacing="1"/>
      <w:jc w:val="left"/>
      <w:textAlignment w:val="top"/>
    </w:pPr>
    <w:rPr>
      <w:rFonts w:eastAsia="Times New Roman" w:cs="Times New Roman"/>
      <w:sz w:val="20"/>
      <w:szCs w:val="20"/>
    </w:rPr>
  </w:style>
  <w:style w:type="paragraph" w:customStyle="1" w:styleId="xl127">
    <w:name w:val="xl127"/>
    <w:basedOn w:val="Normal"/>
    <w:rsid w:val="00247CBF"/>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left"/>
      <w:textAlignment w:val="top"/>
    </w:pPr>
    <w:rPr>
      <w:rFonts w:eastAsia="Times New Roman" w:cs="Times New Roman"/>
      <w:sz w:val="20"/>
      <w:szCs w:val="20"/>
    </w:rPr>
  </w:style>
  <w:style w:type="paragraph" w:customStyle="1" w:styleId="xl128">
    <w:name w:val="xl128"/>
    <w:basedOn w:val="Normal"/>
    <w:rsid w:val="00247CBF"/>
    <w:pPr>
      <w:pBdr>
        <w:top w:val="single" w:sz="8" w:space="0" w:color="000000"/>
        <w:left w:val="single" w:sz="8" w:space="0" w:color="000000"/>
        <w:bottom w:val="single" w:sz="8" w:space="0" w:color="000000"/>
      </w:pBdr>
      <w:shd w:val="clear" w:color="000000" w:fill="D9D9D9"/>
      <w:spacing w:before="100" w:beforeAutospacing="1" w:after="100" w:afterAutospacing="1"/>
      <w:jc w:val="left"/>
      <w:textAlignment w:val="center"/>
    </w:pPr>
    <w:rPr>
      <w:rFonts w:eastAsia="Times New Roman" w:cs="Times New Roman"/>
      <w:b/>
      <w:bCs/>
      <w:sz w:val="28"/>
      <w:szCs w:val="28"/>
    </w:rPr>
  </w:style>
  <w:style w:type="paragraph" w:customStyle="1" w:styleId="xl129">
    <w:name w:val="xl129"/>
    <w:basedOn w:val="Normal"/>
    <w:rsid w:val="00247CBF"/>
    <w:pPr>
      <w:pBdr>
        <w:top w:val="single" w:sz="8" w:space="0" w:color="000000"/>
        <w:bottom w:val="single" w:sz="8" w:space="0" w:color="000000"/>
      </w:pBdr>
      <w:spacing w:before="100" w:beforeAutospacing="1" w:after="100" w:afterAutospacing="1"/>
      <w:jc w:val="left"/>
      <w:textAlignment w:val="center"/>
    </w:pPr>
    <w:rPr>
      <w:rFonts w:eastAsia="Times New Roman" w:cs="Times New Roman"/>
      <w:szCs w:val="24"/>
    </w:rPr>
  </w:style>
  <w:style w:type="paragraph" w:customStyle="1" w:styleId="xl130">
    <w:name w:val="xl130"/>
    <w:basedOn w:val="Normal"/>
    <w:rsid w:val="00247CBF"/>
    <w:pPr>
      <w:pBdr>
        <w:top w:val="single" w:sz="8" w:space="0" w:color="000000"/>
        <w:bottom w:val="single" w:sz="8" w:space="0" w:color="000000"/>
        <w:right w:val="single" w:sz="8" w:space="0" w:color="000000"/>
      </w:pBdr>
      <w:spacing w:before="100" w:beforeAutospacing="1" w:after="100" w:afterAutospacing="1"/>
      <w:jc w:val="left"/>
      <w:textAlignment w:val="center"/>
    </w:pPr>
    <w:rPr>
      <w:rFonts w:eastAsia="Times New Roman" w:cs="Times New Roman"/>
      <w:szCs w:val="24"/>
    </w:rPr>
  </w:style>
  <w:style w:type="paragraph" w:customStyle="1" w:styleId="xl131">
    <w:name w:val="xl131"/>
    <w:basedOn w:val="Normal"/>
    <w:rsid w:val="00247CBF"/>
    <w:pPr>
      <w:pBdr>
        <w:top w:val="single" w:sz="4" w:space="0" w:color="000000"/>
        <w:left w:val="single" w:sz="8" w:space="0" w:color="000000"/>
        <w:bottom w:val="single" w:sz="4" w:space="0" w:color="000000"/>
        <w:right w:val="single" w:sz="4" w:space="0" w:color="000000"/>
      </w:pBdr>
      <w:shd w:val="clear" w:color="000000" w:fill="D9D9D9"/>
      <w:spacing w:before="100" w:beforeAutospacing="1" w:after="100" w:afterAutospacing="1"/>
      <w:jc w:val="left"/>
      <w:textAlignment w:val="center"/>
    </w:pPr>
    <w:rPr>
      <w:rFonts w:eastAsia="Times New Roman" w:cs="Times New Roman"/>
      <w:b/>
      <w:bCs/>
      <w:sz w:val="28"/>
      <w:szCs w:val="28"/>
    </w:rPr>
  </w:style>
  <w:style w:type="paragraph" w:customStyle="1" w:styleId="xl132">
    <w:name w:val="xl132"/>
    <w:basedOn w:val="Normal"/>
    <w:rsid w:val="00247CBF"/>
    <w:pPr>
      <w:pBdr>
        <w:top w:val="single" w:sz="4" w:space="0" w:color="000000"/>
        <w:left w:val="single" w:sz="4" w:space="0" w:color="000000"/>
        <w:bottom w:val="single" w:sz="4" w:space="0" w:color="000000"/>
        <w:right w:val="single" w:sz="4" w:space="0" w:color="000000"/>
      </w:pBdr>
      <w:spacing w:before="100" w:beforeAutospacing="1" w:after="100" w:afterAutospacing="1"/>
      <w:jc w:val="left"/>
      <w:textAlignment w:val="center"/>
    </w:pPr>
    <w:rPr>
      <w:rFonts w:eastAsia="Times New Roman" w:cs="Times New Roman"/>
      <w:szCs w:val="24"/>
    </w:rPr>
  </w:style>
  <w:style w:type="paragraph" w:customStyle="1" w:styleId="xl133">
    <w:name w:val="xl133"/>
    <w:basedOn w:val="Normal"/>
    <w:rsid w:val="00247CBF"/>
    <w:pPr>
      <w:pBdr>
        <w:top w:val="single" w:sz="4" w:space="0" w:color="000000"/>
        <w:left w:val="single" w:sz="4" w:space="0" w:color="000000"/>
        <w:bottom w:val="single" w:sz="4" w:space="0" w:color="000000"/>
        <w:right w:val="single" w:sz="8" w:space="0" w:color="000000"/>
      </w:pBdr>
      <w:spacing w:before="100" w:beforeAutospacing="1" w:after="100" w:afterAutospacing="1"/>
      <w:jc w:val="left"/>
      <w:textAlignment w:val="center"/>
    </w:pPr>
    <w:rPr>
      <w:rFonts w:eastAsia="Times New Roman" w:cs="Times New Roman"/>
      <w:szCs w:val="24"/>
    </w:rPr>
  </w:style>
  <w:style w:type="paragraph" w:customStyle="1" w:styleId="xl134">
    <w:name w:val="xl134"/>
    <w:basedOn w:val="Normal"/>
    <w:rsid w:val="00247CBF"/>
    <w:pPr>
      <w:pBdr>
        <w:top w:val="single" w:sz="4" w:space="0" w:color="000000"/>
        <w:left w:val="single" w:sz="8" w:space="0" w:color="000000"/>
        <w:bottom w:val="single" w:sz="4" w:space="0" w:color="000000"/>
        <w:right w:val="single" w:sz="4" w:space="0" w:color="000000"/>
      </w:pBdr>
      <w:spacing w:before="100" w:beforeAutospacing="1" w:after="100" w:afterAutospacing="1"/>
      <w:jc w:val="left"/>
      <w:textAlignment w:val="center"/>
    </w:pPr>
    <w:rPr>
      <w:rFonts w:eastAsia="Times New Roman" w:cs="Times New Roman"/>
      <w:szCs w:val="24"/>
    </w:rPr>
  </w:style>
  <w:style w:type="paragraph" w:customStyle="1" w:styleId="xl135">
    <w:name w:val="xl135"/>
    <w:basedOn w:val="Normal"/>
    <w:rsid w:val="00247CBF"/>
    <w:pPr>
      <w:pBdr>
        <w:top w:val="single" w:sz="8" w:space="0" w:color="000000"/>
        <w:bottom w:val="single" w:sz="8" w:space="0" w:color="000000"/>
      </w:pBdr>
      <w:shd w:val="clear" w:color="000000" w:fill="D9D9D9"/>
      <w:spacing w:before="100" w:beforeAutospacing="1" w:after="100" w:afterAutospacing="1"/>
      <w:jc w:val="left"/>
      <w:textAlignment w:val="center"/>
    </w:pPr>
    <w:rPr>
      <w:rFonts w:eastAsia="Times New Roman" w:cs="Times New Roman"/>
      <w:b/>
      <w:bCs/>
      <w:sz w:val="28"/>
      <w:szCs w:val="28"/>
    </w:rPr>
  </w:style>
  <w:style w:type="paragraph" w:customStyle="1" w:styleId="xl136">
    <w:name w:val="xl136"/>
    <w:basedOn w:val="Normal"/>
    <w:rsid w:val="00247CBF"/>
    <w:pPr>
      <w:pBdr>
        <w:top w:val="single" w:sz="8" w:space="0" w:color="000000"/>
        <w:bottom w:val="single" w:sz="8" w:space="0" w:color="000000"/>
        <w:right w:val="single" w:sz="8" w:space="0" w:color="000000"/>
      </w:pBdr>
      <w:shd w:val="clear" w:color="000000" w:fill="D9D9D9"/>
      <w:spacing w:before="100" w:beforeAutospacing="1" w:after="100" w:afterAutospacing="1"/>
      <w:jc w:val="left"/>
      <w:textAlignment w:val="center"/>
    </w:pPr>
    <w:rPr>
      <w:rFonts w:eastAsia="Times New Roman" w:cs="Times New Roman"/>
      <w:b/>
      <w:bCs/>
      <w:sz w:val="28"/>
      <w:szCs w:val="28"/>
    </w:rPr>
  </w:style>
  <w:style w:type="paragraph" w:customStyle="1" w:styleId="TableParagraph">
    <w:name w:val="Table Paragraph"/>
    <w:basedOn w:val="Normal"/>
    <w:uiPriority w:val="1"/>
    <w:qFormat/>
    <w:rsid w:val="00247CBF"/>
    <w:pPr>
      <w:widowControl w:val="0"/>
      <w:autoSpaceDE w:val="0"/>
      <w:autoSpaceDN w:val="0"/>
      <w:spacing w:after="0"/>
      <w:ind w:left="108"/>
      <w:jc w:val="left"/>
    </w:pPr>
    <w:rPr>
      <w:rFonts w:eastAsia="Times New Roman" w:cs="Times New Roman"/>
      <w:sz w:val="22"/>
    </w:rPr>
  </w:style>
  <w:style w:type="paragraph" w:customStyle="1" w:styleId="xl137">
    <w:name w:val="xl137"/>
    <w:basedOn w:val="Normal"/>
    <w:rsid w:val="00247CBF"/>
    <w:pPr>
      <w:shd w:val="clear" w:color="000000" w:fill="FFFFFF"/>
      <w:spacing w:before="100" w:beforeAutospacing="1" w:after="100" w:afterAutospacing="1"/>
      <w:jc w:val="right"/>
    </w:pPr>
    <w:rPr>
      <w:rFonts w:eastAsia="Times New Roman" w:cs="Times New Roman"/>
      <w:szCs w:val="24"/>
    </w:rPr>
  </w:style>
  <w:style w:type="paragraph" w:customStyle="1" w:styleId="xl138">
    <w:name w:val="xl138"/>
    <w:basedOn w:val="Normal"/>
    <w:rsid w:val="00247CBF"/>
    <w:pPr>
      <w:shd w:val="clear" w:color="000000" w:fill="FFFFFF"/>
      <w:spacing w:before="100" w:beforeAutospacing="1" w:after="100" w:afterAutospacing="1"/>
      <w:jc w:val="left"/>
    </w:pPr>
    <w:rPr>
      <w:rFonts w:eastAsia="Times New Roman" w:cs="Times New Roman"/>
      <w:b/>
      <w:bCs/>
      <w:szCs w:val="24"/>
    </w:rPr>
  </w:style>
  <w:style w:type="paragraph" w:customStyle="1" w:styleId="xl139">
    <w:name w:val="xl139"/>
    <w:basedOn w:val="Normal"/>
    <w:rsid w:val="00247CBF"/>
    <w:pPr>
      <w:shd w:val="clear" w:color="000000" w:fill="FFFFFF"/>
      <w:spacing w:before="100" w:beforeAutospacing="1" w:after="100" w:afterAutospacing="1"/>
      <w:jc w:val="left"/>
    </w:pPr>
    <w:rPr>
      <w:rFonts w:eastAsia="Times New Roman" w:cs="Times New Roman"/>
      <w:szCs w:val="24"/>
    </w:rPr>
  </w:style>
  <w:style w:type="paragraph" w:customStyle="1" w:styleId="xl140">
    <w:name w:val="xl140"/>
    <w:basedOn w:val="Normal"/>
    <w:rsid w:val="00247CBF"/>
    <w:pPr>
      <w:pBdr>
        <w:top w:val="single" w:sz="4" w:space="0" w:color="auto"/>
        <w:left w:val="double" w:sz="6" w:space="0" w:color="auto"/>
        <w:bottom w:val="single" w:sz="4" w:space="0" w:color="auto"/>
      </w:pBdr>
      <w:spacing w:before="100" w:beforeAutospacing="1" w:after="100" w:afterAutospacing="1"/>
      <w:jc w:val="center"/>
      <w:textAlignment w:val="center"/>
    </w:pPr>
    <w:rPr>
      <w:rFonts w:eastAsia="Times New Roman" w:cs="Times New Roman"/>
      <w:b/>
      <w:bCs/>
      <w:szCs w:val="24"/>
    </w:rPr>
  </w:style>
  <w:style w:type="paragraph" w:customStyle="1" w:styleId="xl141">
    <w:name w:val="xl141"/>
    <w:basedOn w:val="Normal"/>
    <w:rsid w:val="00247CBF"/>
    <w:pPr>
      <w:pBdr>
        <w:top w:val="double" w:sz="6" w:space="0" w:color="auto"/>
        <w:left w:val="double" w:sz="6" w:space="0" w:color="auto"/>
        <w:bottom w:val="dotted" w:sz="4" w:space="0" w:color="auto"/>
        <w:right w:val="dotted" w:sz="4" w:space="0" w:color="auto"/>
      </w:pBdr>
      <w:shd w:val="clear" w:color="000000" w:fill="FFFFFF"/>
      <w:spacing w:before="100" w:beforeAutospacing="1" w:after="100" w:afterAutospacing="1"/>
      <w:jc w:val="left"/>
    </w:pPr>
    <w:rPr>
      <w:rFonts w:eastAsia="Times New Roman" w:cs="Times New Roman"/>
      <w:szCs w:val="24"/>
    </w:rPr>
  </w:style>
  <w:style w:type="paragraph" w:customStyle="1" w:styleId="xl142">
    <w:name w:val="xl142"/>
    <w:basedOn w:val="Normal"/>
    <w:rsid w:val="00247CBF"/>
    <w:pPr>
      <w:pBdr>
        <w:top w:val="dotted" w:sz="4" w:space="0" w:color="auto"/>
        <w:left w:val="double" w:sz="6" w:space="0" w:color="auto"/>
        <w:bottom w:val="dotted" w:sz="4" w:space="0" w:color="auto"/>
        <w:right w:val="dotted" w:sz="4" w:space="0" w:color="auto"/>
      </w:pBdr>
      <w:shd w:val="clear" w:color="000000" w:fill="FFFFFF"/>
      <w:spacing w:before="100" w:beforeAutospacing="1" w:after="100" w:afterAutospacing="1"/>
      <w:jc w:val="left"/>
    </w:pPr>
    <w:rPr>
      <w:rFonts w:eastAsia="Times New Roman" w:cs="Times New Roman"/>
      <w:szCs w:val="24"/>
    </w:rPr>
  </w:style>
  <w:style w:type="paragraph" w:customStyle="1" w:styleId="xl143">
    <w:name w:val="xl143"/>
    <w:basedOn w:val="Normal"/>
    <w:rsid w:val="00247CBF"/>
    <w:pPr>
      <w:pBdr>
        <w:top w:val="dotted" w:sz="4" w:space="0" w:color="auto"/>
        <w:left w:val="double" w:sz="6" w:space="0" w:color="auto"/>
        <w:bottom w:val="double" w:sz="6" w:space="0" w:color="auto"/>
        <w:right w:val="dotted" w:sz="4" w:space="0" w:color="auto"/>
      </w:pBdr>
      <w:shd w:val="clear" w:color="000000" w:fill="FFFFFF"/>
      <w:spacing w:before="100" w:beforeAutospacing="1" w:after="100" w:afterAutospacing="1"/>
      <w:jc w:val="left"/>
    </w:pPr>
    <w:rPr>
      <w:rFonts w:eastAsia="Times New Roman" w:cs="Times New Roman"/>
      <w:szCs w:val="24"/>
    </w:rPr>
  </w:style>
  <w:style w:type="paragraph" w:customStyle="1" w:styleId="xl144">
    <w:name w:val="xl144"/>
    <w:basedOn w:val="Normal"/>
    <w:rsid w:val="00247CBF"/>
    <w:pPr>
      <w:shd w:val="clear" w:color="000000" w:fill="FFFFFF"/>
      <w:spacing w:before="100" w:beforeAutospacing="1" w:after="100" w:afterAutospacing="1"/>
      <w:jc w:val="center"/>
    </w:pPr>
    <w:rPr>
      <w:rFonts w:eastAsia="Times New Roman" w:cs="Times New Roman"/>
      <w:szCs w:val="24"/>
    </w:rPr>
  </w:style>
  <w:style w:type="paragraph" w:customStyle="1" w:styleId="xl145">
    <w:name w:val="xl145"/>
    <w:basedOn w:val="Normal"/>
    <w:rsid w:val="00247CBF"/>
    <w:pPr>
      <w:pBdr>
        <w:left w:val="single" w:sz="8" w:space="0" w:color="auto"/>
        <w:bottom w:val="dashed" w:sz="4" w:space="0" w:color="auto"/>
        <w:right w:val="single" w:sz="8" w:space="0" w:color="auto"/>
      </w:pBdr>
      <w:spacing w:before="100" w:beforeAutospacing="1" w:after="100" w:afterAutospacing="1"/>
      <w:jc w:val="center"/>
    </w:pPr>
    <w:rPr>
      <w:rFonts w:eastAsia="Times New Roman" w:cs="Times New Roman"/>
      <w:szCs w:val="24"/>
    </w:rPr>
  </w:style>
  <w:style w:type="paragraph" w:customStyle="1" w:styleId="xl146">
    <w:name w:val="xl146"/>
    <w:basedOn w:val="Normal"/>
    <w:rsid w:val="00247CBF"/>
    <w:pPr>
      <w:pBdr>
        <w:top w:val="dashed" w:sz="4" w:space="0" w:color="auto"/>
        <w:left w:val="single" w:sz="8" w:space="0" w:color="auto"/>
        <w:bottom w:val="dashed" w:sz="4" w:space="0" w:color="auto"/>
        <w:right w:val="single" w:sz="8" w:space="0" w:color="auto"/>
      </w:pBdr>
      <w:spacing w:before="100" w:beforeAutospacing="1" w:after="100" w:afterAutospacing="1"/>
      <w:jc w:val="center"/>
    </w:pPr>
    <w:rPr>
      <w:rFonts w:eastAsia="Times New Roman" w:cs="Times New Roman"/>
      <w:szCs w:val="24"/>
    </w:rPr>
  </w:style>
  <w:style w:type="paragraph" w:customStyle="1" w:styleId="xl147">
    <w:name w:val="xl147"/>
    <w:basedOn w:val="Normal"/>
    <w:rsid w:val="00247CBF"/>
    <w:pPr>
      <w:pBdr>
        <w:top w:val="dashed" w:sz="4" w:space="0" w:color="auto"/>
        <w:left w:val="single" w:sz="8" w:space="0" w:color="auto"/>
        <w:bottom w:val="single" w:sz="4" w:space="0" w:color="auto"/>
        <w:right w:val="single" w:sz="8" w:space="0" w:color="auto"/>
      </w:pBdr>
      <w:spacing w:before="100" w:beforeAutospacing="1" w:after="100" w:afterAutospacing="1"/>
      <w:jc w:val="center"/>
    </w:pPr>
    <w:rPr>
      <w:rFonts w:eastAsia="Times New Roman" w:cs="Times New Roman"/>
      <w:szCs w:val="24"/>
    </w:rPr>
  </w:style>
  <w:style w:type="paragraph" w:customStyle="1" w:styleId="xl148">
    <w:name w:val="xl148"/>
    <w:basedOn w:val="Normal"/>
    <w:rsid w:val="00247CBF"/>
    <w:pPr>
      <w:pBdr>
        <w:left w:val="single" w:sz="8" w:space="0" w:color="auto"/>
        <w:bottom w:val="single" w:sz="4" w:space="0" w:color="auto"/>
        <w:right w:val="single" w:sz="8" w:space="0" w:color="auto"/>
      </w:pBdr>
      <w:spacing w:before="100" w:beforeAutospacing="1" w:after="100" w:afterAutospacing="1"/>
      <w:jc w:val="center"/>
    </w:pPr>
    <w:rPr>
      <w:rFonts w:eastAsia="Times New Roman" w:cs="Times New Roman"/>
      <w:szCs w:val="24"/>
    </w:rPr>
  </w:style>
  <w:style w:type="paragraph" w:customStyle="1" w:styleId="xl149">
    <w:name w:val="xl149"/>
    <w:basedOn w:val="Normal"/>
    <w:rsid w:val="00247CBF"/>
    <w:pPr>
      <w:pBdr>
        <w:top w:val="dashed" w:sz="4" w:space="0" w:color="auto"/>
        <w:left w:val="single" w:sz="8" w:space="0" w:color="auto"/>
        <w:right w:val="single" w:sz="8" w:space="0" w:color="auto"/>
      </w:pBdr>
      <w:spacing w:before="100" w:beforeAutospacing="1" w:after="100" w:afterAutospacing="1"/>
      <w:jc w:val="center"/>
    </w:pPr>
    <w:rPr>
      <w:rFonts w:eastAsia="Times New Roman" w:cs="Times New Roman"/>
      <w:szCs w:val="24"/>
    </w:rPr>
  </w:style>
  <w:style w:type="paragraph" w:customStyle="1" w:styleId="xl150">
    <w:name w:val="xl150"/>
    <w:basedOn w:val="Normal"/>
    <w:rsid w:val="00247CB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eastAsia="Times New Roman" w:cs="Times New Roman"/>
      <w:szCs w:val="24"/>
    </w:rPr>
  </w:style>
  <w:style w:type="paragraph" w:customStyle="1" w:styleId="xl151">
    <w:name w:val="xl151"/>
    <w:basedOn w:val="Normal"/>
    <w:rsid w:val="00247CBF"/>
    <w:pPr>
      <w:pBdr>
        <w:top w:val="dashed" w:sz="4" w:space="0" w:color="auto"/>
        <w:left w:val="single" w:sz="8" w:space="0" w:color="auto"/>
        <w:bottom w:val="single" w:sz="8" w:space="0" w:color="auto"/>
        <w:right w:val="single" w:sz="8" w:space="0" w:color="auto"/>
      </w:pBdr>
      <w:spacing w:before="100" w:beforeAutospacing="1" w:after="100" w:afterAutospacing="1"/>
      <w:jc w:val="center"/>
    </w:pPr>
    <w:rPr>
      <w:rFonts w:eastAsia="Times New Roman" w:cs="Times New Roman"/>
      <w:szCs w:val="24"/>
    </w:rPr>
  </w:style>
  <w:style w:type="paragraph" w:customStyle="1" w:styleId="xl152">
    <w:name w:val="xl152"/>
    <w:basedOn w:val="Normal"/>
    <w:rsid w:val="00247CBF"/>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eastAsia="Times New Roman" w:cs="Times New Roman"/>
      <w:szCs w:val="24"/>
    </w:rPr>
  </w:style>
  <w:style w:type="paragraph" w:customStyle="1" w:styleId="xl153">
    <w:name w:val="xl153"/>
    <w:basedOn w:val="Normal"/>
    <w:rsid w:val="00247CBF"/>
    <w:pPr>
      <w:pBdr>
        <w:bottom w:val="double" w:sz="6" w:space="0" w:color="auto"/>
      </w:pBdr>
      <w:shd w:val="clear" w:color="000000" w:fill="FFFFFF"/>
      <w:spacing w:before="100" w:beforeAutospacing="1" w:after="100" w:afterAutospacing="1"/>
      <w:jc w:val="center"/>
    </w:pPr>
    <w:rPr>
      <w:rFonts w:eastAsia="Times New Roman" w:cs="Times New Roman"/>
      <w:szCs w:val="24"/>
    </w:rPr>
  </w:style>
  <w:style w:type="paragraph" w:customStyle="1" w:styleId="xl154">
    <w:name w:val="xl154"/>
    <w:basedOn w:val="Normal"/>
    <w:rsid w:val="00247CBF"/>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eastAsia="Times New Roman" w:cs="Times New Roman"/>
      <w:b/>
      <w:bCs/>
      <w:szCs w:val="24"/>
    </w:rPr>
  </w:style>
  <w:style w:type="paragraph" w:customStyle="1" w:styleId="xl155">
    <w:name w:val="xl155"/>
    <w:basedOn w:val="Normal"/>
    <w:rsid w:val="00247CBF"/>
    <w:pPr>
      <w:pBdr>
        <w:left w:val="single" w:sz="8"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eastAsia="Times New Roman" w:cs="Times New Roman"/>
      <w:b/>
      <w:bCs/>
      <w:szCs w:val="24"/>
    </w:rPr>
  </w:style>
  <w:style w:type="paragraph" w:customStyle="1" w:styleId="xl156">
    <w:name w:val="xl156"/>
    <w:basedOn w:val="Normal"/>
    <w:rsid w:val="00247CBF"/>
    <w:pPr>
      <w:shd w:val="clear" w:color="000000" w:fill="FFFFFF"/>
      <w:spacing w:before="100" w:beforeAutospacing="1" w:after="100" w:afterAutospacing="1"/>
      <w:jc w:val="center"/>
      <w:textAlignment w:val="center"/>
    </w:pPr>
    <w:rPr>
      <w:rFonts w:eastAsia="Times New Roman" w:cs="Times New Roman"/>
      <w:szCs w:val="24"/>
    </w:rPr>
  </w:style>
  <w:style w:type="paragraph" w:customStyle="1" w:styleId="xl157">
    <w:name w:val="xl157"/>
    <w:basedOn w:val="Normal"/>
    <w:rsid w:val="00247CBF"/>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eastAsia="Times New Roman" w:cs="Times New Roman"/>
      <w:b/>
      <w:bCs/>
      <w:szCs w:val="24"/>
    </w:rPr>
  </w:style>
  <w:style w:type="paragraph" w:customStyle="1" w:styleId="xl158">
    <w:name w:val="xl158"/>
    <w:basedOn w:val="Normal"/>
    <w:rsid w:val="00247CBF"/>
    <w:pPr>
      <w:shd w:val="clear" w:color="000000" w:fill="FFFFFF"/>
      <w:spacing w:before="100" w:beforeAutospacing="1" w:after="100" w:afterAutospacing="1"/>
      <w:jc w:val="center"/>
    </w:pPr>
    <w:rPr>
      <w:rFonts w:eastAsia="Times New Roman" w:cs="Times New Roman"/>
      <w:szCs w:val="24"/>
    </w:rPr>
  </w:style>
  <w:style w:type="paragraph" w:customStyle="1" w:styleId="xl159">
    <w:name w:val="xl159"/>
    <w:basedOn w:val="Normal"/>
    <w:rsid w:val="00247CBF"/>
    <w:pPr>
      <w:spacing w:before="100" w:beforeAutospacing="1" w:after="100" w:afterAutospacing="1"/>
      <w:jc w:val="center"/>
    </w:pPr>
    <w:rPr>
      <w:rFonts w:eastAsia="Times New Roman" w:cs="Times New Roman"/>
      <w:szCs w:val="24"/>
    </w:rPr>
  </w:style>
  <w:style w:type="paragraph" w:customStyle="1" w:styleId="xl160">
    <w:name w:val="xl160"/>
    <w:basedOn w:val="Normal"/>
    <w:rsid w:val="00247CBF"/>
    <w:pPr>
      <w:pBdr>
        <w:left w:val="double" w:sz="6" w:space="0" w:color="auto"/>
        <w:bottom w:val="single" w:sz="4" w:space="0" w:color="auto"/>
      </w:pBdr>
      <w:spacing w:before="100" w:beforeAutospacing="1" w:after="100" w:afterAutospacing="1"/>
      <w:jc w:val="center"/>
    </w:pPr>
    <w:rPr>
      <w:rFonts w:eastAsia="Times New Roman" w:cs="Times New Roman"/>
      <w:b/>
      <w:bCs/>
      <w:szCs w:val="24"/>
    </w:rPr>
  </w:style>
  <w:style w:type="paragraph" w:customStyle="1" w:styleId="xl161">
    <w:name w:val="xl161"/>
    <w:basedOn w:val="Normal"/>
    <w:rsid w:val="00247CBF"/>
    <w:pPr>
      <w:pBdr>
        <w:top w:val="double" w:sz="6" w:space="0" w:color="auto"/>
        <w:left w:val="double" w:sz="6" w:space="0" w:color="auto"/>
        <w:bottom w:val="double" w:sz="6" w:space="0" w:color="auto"/>
      </w:pBdr>
      <w:shd w:val="clear" w:color="000000" w:fill="CC99FF"/>
      <w:spacing w:before="100" w:beforeAutospacing="1" w:after="100" w:afterAutospacing="1"/>
      <w:jc w:val="center"/>
    </w:pPr>
    <w:rPr>
      <w:rFonts w:eastAsia="Times New Roman" w:cs="Times New Roman"/>
      <w:b/>
      <w:bCs/>
      <w:sz w:val="16"/>
      <w:szCs w:val="16"/>
    </w:rPr>
  </w:style>
  <w:style w:type="paragraph" w:customStyle="1" w:styleId="xl162">
    <w:name w:val="xl162"/>
    <w:basedOn w:val="Normal"/>
    <w:rsid w:val="00247CBF"/>
    <w:pPr>
      <w:pBdr>
        <w:top w:val="double" w:sz="6" w:space="0" w:color="auto"/>
        <w:left w:val="single" w:sz="8" w:space="0" w:color="auto"/>
        <w:bottom w:val="double" w:sz="6" w:space="0" w:color="auto"/>
        <w:right w:val="single" w:sz="8" w:space="0" w:color="auto"/>
      </w:pBdr>
      <w:shd w:val="clear" w:color="000000" w:fill="CC99FF"/>
      <w:spacing w:before="100" w:beforeAutospacing="1" w:after="100" w:afterAutospacing="1"/>
      <w:jc w:val="center"/>
    </w:pPr>
    <w:rPr>
      <w:rFonts w:eastAsia="Times New Roman" w:cs="Times New Roman"/>
      <w:szCs w:val="24"/>
    </w:rPr>
  </w:style>
  <w:style w:type="paragraph" w:customStyle="1" w:styleId="xl163">
    <w:name w:val="xl163"/>
    <w:basedOn w:val="Normal"/>
    <w:rsid w:val="00247CBF"/>
    <w:pPr>
      <w:pBdr>
        <w:top w:val="double" w:sz="6" w:space="0" w:color="auto"/>
        <w:bottom w:val="double" w:sz="6" w:space="0" w:color="auto"/>
        <w:right w:val="dashed" w:sz="4" w:space="0" w:color="auto"/>
      </w:pBdr>
      <w:shd w:val="clear" w:color="000000" w:fill="CC99FF"/>
      <w:spacing w:before="100" w:beforeAutospacing="1" w:after="100" w:afterAutospacing="1"/>
      <w:jc w:val="right"/>
    </w:pPr>
    <w:rPr>
      <w:rFonts w:eastAsia="Times New Roman" w:cs="Times New Roman"/>
      <w:b/>
      <w:bCs/>
      <w:szCs w:val="24"/>
    </w:rPr>
  </w:style>
  <w:style w:type="paragraph" w:customStyle="1" w:styleId="xl164">
    <w:name w:val="xl164"/>
    <w:basedOn w:val="Normal"/>
    <w:rsid w:val="00247CBF"/>
    <w:pPr>
      <w:pBdr>
        <w:top w:val="double" w:sz="6" w:space="0" w:color="auto"/>
        <w:left w:val="dashed" w:sz="4" w:space="0" w:color="auto"/>
        <w:bottom w:val="double" w:sz="6" w:space="0" w:color="auto"/>
        <w:right w:val="dashed" w:sz="4" w:space="0" w:color="auto"/>
      </w:pBdr>
      <w:shd w:val="clear" w:color="000000" w:fill="CC99FF"/>
      <w:spacing w:before="100" w:beforeAutospacing="1" w:after="100" w:afterAutospacing="1"/>
      <w:jc w:val="right"/>
    </w:pPr>
    <w:rPr>
      <w:rFonts w:eastAsia="Times New Roman" w:cs="Times New Roman"/>
      <w:b/>
      <w:bCs/>
      <w:szCs w:val="24"/>
    </w:rPr>
  </w:style>
  <w:style w:type="paragraph" w:customStyle="1" w:styleId="xl165">
    <w:name w:val="xl165"/>
    <w:basedOn w:val="Normal"/>
    <w:rsid w:val="00247CBF"/>
    <w:pPr>
      <w:pBdr>
        <w:top w:val="double" w:sz="6" w:space="0" w:color="auto"/>
        <w:left w:val="single" w:sz="8" w:space="0" w:color="auto"/>
        <w:bottom w:val="double" w:sz="6" w:space="0" w:color="auto"/>
        <w:right w:val="single" w:sz="8" w:space="0" w:color="auto"/>
      </w:pBdr>
      <w:shd w:val="clear" w:color="000000" w:fill="FFCC99"/>
      <w:spacing w:before="100" w:beforeAutospacing="1" w:after="100" w:afterAutospacing="1"/>
      <w:jc w:val="center"/>
      <w:textAlignment w:val="center"/>
    </w:pPr>
    <w:rPr>
      <w:rFonts w:eastAsia="Times New Roman" w:cs="Times New Roman"/>
      <w:szCs w:val="24"/>
    </w:rPr>
  </w:style>
  <w:style w:type="paragraph" w:customStyle="1" w:styleId="xl166">
    <w:name w:val="xl166"/>
    <w:basedOn w:val="Normal"/>
    <w:rsid w:val="00247CBF"/>
    <w:pPr>
      <w:pBdr>
        <w:top w:val="double" w:sz="6" w:space="0" w:color="auto"/>
        <w:left w:val="double" w:sz="6" w:space="0" w:color="auto"/>
        <w:bottom w:val="double" w:sz="6" w:space="0" w:color="auto"/>
      </w:pBdr>
      <w:shd w:val="clear" w:color="000000" w:fill="CCCCFF"/>
      <w:spacing w:before="100" w:beforeAutospacing="1" w:after="100" w:afterAutospacing="1"/>
      <w:jc w:val="left"/>
      <w:textAlignment w:val="center"/>
    </w:pPr>
    <w:rPr>
      <w:rFonts w:eastAsia="Times New Roman" w:cs="Times New Roman"/>
      <w:b/>
      <w:bCs/>
      <w:szCs w:val="24"/>
    </w:rPr>
  </w:style>
  <w:style w:type="paragraph" w:customStyle="1" w:styleId="xl167">
    <w:name w:val="xl167"/>
    <w:basedOn w:val="Normal"/>
    <w:rsid w:val="00247CBF"/>
    <w:pPr>
      <w:pBdr>
        <w:top w:val="double" w:sz="6" w:space="0" w:color="auto"/>
        <w:left w:val="single" w:sz="8" w:space="0" w:color="auto"/>
        <w:bottom w:val="double" w:sz="6" w:space="0" w:color="auto"/>
        <w:right w:val="single" w:sz="8" w:space="0" w:color="auto"/>
      </w:pBdr>
      <w:shd w:val="clear" w:color="000000" w:fill="CCCCFF"/>
      <w:spacing w:before="100" w:beforeAutospacing="1" w:after="100" w:afterAutospacing="1"/>
      <w:jc w:val="center"/>
      <w:textAlignment w:val="center"/>
    </w:pPr>
    <w:rPr>
      <w:rFonts w:eastAsia="Times New Roman" w:cs="Times New Roman"/>
      <w:b/>
      <w:bCs/>
      <w:szCs w:val="24"/>
    </w:rPr>
  </w:style>
  <w:style w:type="paragraph" w:customStyle="1" w:styleId="xl168">
    <w:name w:val="xl168"/>
    <w:basedOn w:val="Normal"/>
    <w:rsid w:val="00247CBF"/>
    <w:pPr>
      <w:pBdr>
        <w:left w:val="single" w:sz="8" w:space="0" w:color="auto"/>
        <w:bottom w:val="single" w:sz="8" w:space="0" w:color="auto"/>
        <w:right w:val="single" w:sz="8" w:space="0" w:color="auto"/>
      </w:pBdr>
      <w:spacing w:before="100" w:beforeAutospacing="1" w:after="100" w:afterAutospacing="1"/>
      <w:jc w:val="center"/>
      <w:textAlignment w:val="center"/>
    </w:pPr>
    <w:rPr>
      <w:rFonts w:eastAsia="Times New Roman" w:cs="Times New Roman"/>
      <w:szCs w:val="24"/>
    </w:rPr>
  </w:style>
  <w:style w:type="paragraph" w:customStyle="1" w:styleId="xl169">
    <w:name w:val="xl169"/>
    <w:basedOn w:val="Normal"/>
    <w:rsid w:val="00247CBF"/>
    <w:pPr>
      <w:pBdr>
        <w:top w:val="double" w:sz="6" w:space="0" w:color="auto"/>
        <w:left w:val="double" w:sz="6" w:space="0" w:color="auto"/>
        <w:bottom w:val="double" w:sz="6" w:space="0" w:color="auto"/>
      </w:pBdr>
      <w:shd w:val="clear" w:color="000000" w:fill="FFCC99"/>
      <w:spacing w:before="100" w:beforeAutospacing="1" w:after="100" w:afterAutospacing="1"/>
      <w:jc w:val="left"/>
      <w:textAlignment w:val="center"/>
    </w:pPr>
    <w:rPr>
      <w:rFonts w:eastAsia="Times New Roman" w:cs="Times New Roman"/>
      <w:b/>
      <w:bCs/>
      <w:szCs w:val="24"/>
    </w:rPr>
  </w:style>
  <w:style w:type="paragraph" w:customStyle="1" w:styleId="xl170">
    <w:name w:val="xl170"/>
    <w:basedOn w:val="Normal"/>
    <w:rsid w:val="00247CBF"/>
    <w:pPr>
      <w:pBdr>
        <w:top w:val="dotted" w:sz="4" w:space="0" w:color="auto"/>
        <w:left w:val="double" w:sz="6" w:space="0" w:color="auto"/>
        <w:bottom w:val="dotted" w:sz="4" w:space="0" w:color="auto"/>
      </w:pBdr>
      <w:spacing w:before="100" w:beforeAutospacing="1" w:after="100" w:afterAutospacing="1"/>
      <w:jc w:val="left"/>
      <w:textAlignment w:val="center"/>
    </w:pPr>
    <w:rPr>
      <w:rFonts w:eastAsia="Times New Roman" w:cs="Times New Roman"/>
      <w:i/>
      <w:iCs/>
      <w:szCs w:val="24"/>
    </w:rPr>
  </w:style>
  <w:style w:type="paragraph" w:customStyle="1" w:styleId="xl171">
    <w:name w:val="xl171"/>
    <w:basedOn w:val="Normal"/>
    <w:rsid w:val="00247CBF"/>
    <w:pPr>
      <w:pBdr>
        <w:top w:val="dotted" w:sz="4" w:space="0" w:color="auto"/>
        <w:left w:val="double" w:sz="6" w:space="0" w:color="auto"/>
        <w:bottom w:val="dotted" w:sz="4" w:space="0" w:color="auto"/>
        <w:right w:val="single" w:sz="8" w:space="0" w:color="auto"/>
      </w:pBdr>
      <w:spacing w:before="100" w:beforeAutospacing="1" w:after="100" w:afterAutospacing="1"/>
      <w:jc w:val="left"/>
      <w:textAlignment w:val="center"/>
    </w:pPr>
    <w:rPr>
      <w:rFonts w:eastAsia="Times New Roman" w:cs="Times New Roman"/>
      <w:i/>
      <w:iCs/>
      <w:szCs w:val="24"/>
    </w:rPr>
  </w:style>
  <w:style w:type="paragraph" w:customStyle="1" w:styleId="xl172">
    <w:name w:val="xl172"/>
    <w:basedOn w:val="Normal"/>
    <w:rsid w:val="00247CBF"/>
    <w:pPr>
      <w:pBdr>
        <w:top w:val="dotted" w:sz="4" w:space="0" w:color="auto"/>
        <w:left w:val="double" w:sz="6" w:space="0" w:color="auto"/>
        <w:bottom w:val="dotted" w:sz="4" w:space="0" w:color="auto"/>
        <w:right w:val="single" w:sz="8" w:space="0" w:color="auto"/>
      </w:pBdr>
      <w:spacing w:before="100" w:beforeAutospacing="1" w:after="100" w:afterAutospacing="1"/>
      <w:jc w:val="left"/>
      <w:textAlignment w:val="center"/>
    </w:pPr>
    <w:rPr>
      <w:rFonts w:eastAsia="Times New Roman" w:cs="Times New Roman"/>
      <w:szCs w:val="24"/>
    </w:rPr>
  </w:style>
  <w:style w:type="paragraph" w:customStyle="1" w:styleId="xl173">
    <w:name w:val="xl173"/>
    <w:basedOn w:val="Normal"/>
    <w:rsid w:val="00247CBF"/>
    <w:pPr>
      <w:pBdr>
        <w:top w:val="double" w:sz="6" w:space="0" w:color="auto"/>
        <w:left w:val="dotted" w:sz="4" w:space="0" w:color="auto"/>
        <w:bottom w:val="dotted" w:sz="4" w:space="0" w:color="auto"/>
        <w:right w:val="double" w:sz="6" w:space="0" w:color="auto"/>
      </w:pBdr>
      <w:shd w:val="clear" w:color="000000" w:fill="FFFF99"/>
      <w:spacing w:before="100" w:beforeAutospacing="1" w:after="100" w:afterAutospacing="1"/>
      <w:jc w:val="center"/>
    </w:pPr>
    <w:rPr>
      <w:rFonts w:eastAsia="Times New Roman" w:cs="Times New Roman"/>
      <w:b/>
      <w:bCs/>
      <w:szCs w:val="24"/>
    </w:rPr>
  </w:style>
  <w:style w:type="paragraph" w:customStyle="1" w:styleId="xl174">
    <w:name w:val="xl174"/>
    <w:basedOn w:val="Normal"/>
    <w:rsid w:val="00247CBF"/>
    <w:pPr>
      <w:pBdr>
        <w:top w:val="dotted" w:sz="4" w:space="0" w:color="auto"/>
        <w:left w:val="dotted" w:sz="4" w:space="0" w:color="auto"/>
        <w:bottom w:val="dotted" w:sz="4" w:space="0" w:color="auto"/>
        <w:right w:val="double" w:sz="6" w:space="0" w:color="auto"/>
      </w:pBdr>
      <w:shd w:val="clear" w:color="000000" w:fill="FFFF99"/>
      <w:spacing w:before="100" w:beforeAutospacing="1" w:after="100" w:afterAutospacing="1"/>
      <w:jc w:val="center"/>
    </w:pPr>
    <w:rPr>
      <w:rFonts w:eastAsia="Times New Roman" w:cs="Times New Roman"/>
      <w:szCs w:val="24"/>
    </w:rPr>
  </w:style>
  <w:style w:type="paragraph" w:customStyle="1" w:styleId="xl175">
    <w:name w:val="xl175"/>
    <w:basedOn w:val="Normal"/>
    <w:rsid w:val="00247CBF"/>
    <w:pPr>
      <w:pBdr>
        <w:top w:val="dotted" w:sz="4" w:space="0" w:color="auto"/>
        <w:left w:val="dotted" w:sz="4" w:space="0" w:color="auto"/>
        <w:bottom w:val="double" w:sz="6" w:space="0" w:color="auto"/>
        <w:right w:val="double" w:sz="6" w:space="0" w:color="auto"/>
      </w:pBdr>
      <w:shd w:val="clear" w:color="000000" w:fill="FFFF99"/>
      <w:spacing w:before="100" w:beforeAutospacing="1" w:after="100" w:afterAutospacing="1"/>
      <w:jc w:val="center"/>
    </w:pPr>
    <w:rPr>
      <w:rFonts w:eastAsia="Times New Roman" w:cs="Times New Roman"/>
      <w:szCs w:val="24"/>
    </w:rPr>
  </w:style>
  <w:style w:type="paragraph" w:customStyle="1" w:styleId="xl176">
    <w:name w:val="xl176"/>
    <w:basedOn w:val="Normal"/>
    <w:rsid w:val="00247CBF"/>
    <w:pPr>
      <w:pBdr>
        <w:top w:val="dotted" w:sz="4" w:space="0" w:color="000000"/>
        <w:left w:val="double" w:sz="6" w:space="0" w:color="000000"/>
        <w:bottom w:val="double" w:sz="6" w:space="0" w:color="000000"/>
      </w:pBdr>
      <w:shd w:val="clear" w:color="000000" w:fill="FFFFFF"/>
      <w:spacing w:before="100" w:beforeAutospacing="1" w:after="100" w:afterAutospacing="1"/>
      <w:jc w:val="left"/>
    </w:pPr>
    <w:rPr>
      <w:rFonts w:eastAsia="Times New Roman" w:cs="Times New Roman"/>
      <w:szCs w:val="24"/>
    </w:rPr>
  </w:style>
  <w:style w:type="paragraph" w:customStyle="1" w:styleId="xl177">
    <w:name w:val="xl177"/>
    <w:basedOn w:val="Normal"/>
    <w:rsid w:val="00247CBF"/>
    <w:pPr>
      <w:pBdr>
        <w:top w:val="dotted" w:sz="4" w:space="0" w:color="000000"/>
        <w:left w:val="double" w:sz="6" w:space="9" w:color="000000"/>
        <w:bottom w:val="single" w:sz="4" w:space="0" w:color="auto"/>
      </w:pBdr>
      <w:shd w:val="clear" w:color="000000" w:fill="FFFFFF"/>
      <w:spacing w:before="100" w:beforeAutospacing="1" w:after="100" w:afterAutospacing="1"/>
      <w:ind w:firstLineChars="100" w:firstLine="100"/>
      <w:jc w:val="left"/>
    </w:pPr>
    <w:rPr>
      <w:rFonts w:eastAsia="Times New Roman" w:cs="Times New Roman"/>
      <w:szCs w:val="24"/>
    </w:rPr>
  </w:style>
  <w:style w:type="paragraph" w:customStyle="1" w:styleId="xl178">
    <w:name w:val="xl178"/>
    <w:basedOn w:val="Normal"/>
    <w:rsid w:val="00247CBF"/>
    <w:pPr>
      <w:pBdr>
        <w:left w:val="double" w:sz="6" w:space="0" w:color="000000"/>
        <w:bottom w:val="dotted" w:sz="4" w:space="0" w:color="000000"/>
      </w:pBdr>
      <w:shd w:val="clear" w:color="000000" w:fill="FFFFFF"/>
      <w:spacing w:before="100" w:beforeAutospacing="1" w:after="100" w:afterAutospacing="1"/>
      <w:jc w:val="left"/>
    </w:pPr>
    <w:rPr>
      <w:rFonts w:eastAsia="Times New Roman" w:cs="Times New Roman"/>
      <w:szCs w:val="24"/>
    </w:rPr>
  </w:style>
  <w:style w:type="paragraph" w:customStyle="1" w:styleId="xl179">
    <w:name w:val="xl179"/>
    <w:basedOn w:val="Normal"/>
    <w:rsid w:val="00247CBF"/>
    <w:pPr>
      <w:pBdr>
        <w:top w:val="dotted" w:sz="4" w:space="0" w:color="000000"/>
        <w:left w:val="double" w:sz="6" w:space="27" w:color="000000"/>
        <w:bottom w:val="single" w:sz="4" w:space="0" w:color="auto"/>
      </w:pBdr>
      <w:shd w:val="clear" w:color="000000" w:fill="FFFFFF"/>
      <w:spacing w:before="100" w:beforeAutospacing="1" w:after="100" w:afterAutospacing="1"/>
      <w:ind w:firstLineChars="300" w:firstLine="300"/>
      <w:jc w:val="left"/>
    </w:pPr>
    <w:rPr>
      <w:rFonts w:eastAsia="Times New Roman" w:cs="Times New Roman"/>
      <w:szCs w:val="24"/>
    </w:rPr>
  </w:style>
  <w:style w:type="paragraph" w:customStyle="1" w:styleId="xl180">
    <w:name w:val="xl180"/>
    <w:basedOn w:val="Normal"/>
    <w:rsid w:val="00247CBF"/>
    <w:pPr>
      <w:pBdr>
        <w:left w:val="double" w:sz="6" w:space="0" w:color="auto"/>
        <w:bottom w:val="dotted" w:sz="4" w:space="0" w:color="auto"/>
        <w:right w:val="single" w:sz="8" w:space="0" w:color="auto"/>
      </w:pBdr>
      <w:spacing w:before="100" w:beforeAutospacing="1" w:after="100" w:afterAutospacing="1"/>
      <w:jc w:val="left"/>
      <w:textAlignment w:val="center"/>
    </w:pPr>
    <w:rPr>
      <w:rFonts w:eastAsia="Times New Roman" w:cs="Times New Roman"/>
      <w:szCs w:val="24"/>
    </w:rPr>
  </w:style>
  <w:style w:type="paragraph" w:customStyle="1" w:styleId="xl181">
    <w:name w:val="xl181"/>
    <w:basedOn w:val="Normal"/>
    <w:rsid w:val="00247CBF"/>
    <w:pPr>
      <w:pBdr>
        <w:left w:val="double" w:sz="6" w:space="0" w:color="auto"/>
        <w:bottom w:val="dotted" w:sz="4" w:space="0" w:color="auto"/>
        <w:right w:val="dotted" w:sz="4" w:space="0" w:color="auto"/>
      </w:pBdr>
      <w:shd w:val="clear" w:color="000000" w:fill="FFFFFF"/>
      <w:spacing w:before="100" w:beforeAutospacing="1" w:after="100" w:afterAutospacing="1"/>
      <w:jc w:val="left"/>
      <w:textAlignment w:val="center"/>
    </w:pPr>
    <w:rPr>
      <w:rFonts w:eastAsia="Times New Roman" w:cs="Times New Roman"/>
      <w:szCs w:val="24"/>
    </w:rPr>
  </w:style>
  <w:style w:type="paragraph" w:customStyle="1" w:styleId="xl182">
    <w:name w:val="xl182"/>
    <w:basedOn w:val="Normal"/>
    <w:rsid w:val="00247CBF"/>
    <w:pPr>
      <w:pBdr>
        <w:left w:val="double" w:sz="6" w:space="0" w:color="auto"/>
        <w:bottom w:val="dotted" w:sz="4" w:space="0" w:color="auto"/>
        <w:right w:val="dotted" w:sz="4" w:space="0" w:color="auto"/>
      </w:pBdr>
      <w:shd w:val="clear" w:color="000000" w:fill="FFFFFF"/>
      <w:spacing w:before="100" w:beforeAutospacing="1" w:after="100" w:afterAutospacing="1"/>
      <w:jc w:val="left"/>
      <w:textAlignment w:val="center"/>
    </w:pPr>
    <w:rPr>
      <w:rFonts w:eastAsia="Times New Roman" w:cs="Times New Roman"/>
      <w:szCs w:val="24"/>
    </w:rPr>
  </w:style>
  <w:style w:type="paragraph" w:customStyle="1" w:styleId="xl183">
    <w:name w:val="xl183"/>
    <w:basedOn w:val="Normal"/>
    <w:rsid w:val="00247CBF"/>
    <w:pPr>
      <w:shd w:val="clear" w:color="000000" w:fill="FFFFFF"/>
      <w:spacing w:before="100" w:beforeAutospacing="1" w:after="100" w:afterAutospacing="1"/>
      <w:jc w:val="right"/>
    </w:pPr>
    <w:rPr>
      <w:rFonts w:eastAsia="Times New Roman" w:cs="Times New Roman"/>
      <w:szCs w:val="24"/>
    </w:rPr>
  </w:style>
  <w:style w:type="paragraph" w:customStyle="1" w:styleId="xl184">
    <w:name w:val="xl184"/>
    <w:basedOn w:val="Normal"/>
    <w:rsid w:val="00247CBF"/>
    <w:pPr>
      <w:pBdr>
        <w:bottom w:val="dotted" w:sz="4" w:space="0" w:color="auto"/>
        <w:right w:val="single" w:sz="8" w:space="0" w:color="auto"/>
      </w:pBdr>
      <w:shd w:val="clear" w:color="000000" w:fill="FFFFFF"/>
      <w:spacing w:before="100" w:beforeAutospacing="1" w:after="100" w:afterAutospacing="1"/>
      <w:jc w:val="center"/>
      <w:textAlignment w:val="top"/>
    </w:pPr>
    <w:rPr>
      <w:rFonts w:eastAsia="Times New Roman" w:cs="Times New Roman"/>
      <w:sz w:val="18"/>
      <w:szCs w:val="18"/>
    </w:rPr>
  </w:style>
  <w:style w:type="paragraph" w:customStyle="1" w:styleId="xl185">
    <w:name w:val="xl185"/>
    <w:basedOn w:val="Normal"/>
    <w:rsid w:val="00247CBF"/>
    <w:pPr>
      <w:shd w:val="clear" w:color="000000" w:fill="FFFFFF"/>
      <w:spacing w:before="100" w:beforeAutospacing="1" w:after="100" w:afterAutospacing="1"/>
      <w:jc w:val="left"/>
      <w:textAlignment w:val="top"/>
    </w:pPr>
    <w:rPr>
      <w:rFonts w:eastAsia="Times New Roman" w:cs="Times New Roman"/>
      <w:szCs w:val="24"/>
    </w:rPr>
  </w:style>
  <w:style w:type="paragraph" w:customStyle="1" w:styleId="xl186">
    <w:name w:val="xl186"/>
    <w:basedOn w:val="Normal"/>
    <w:rsid w:val="00247CBF"/>
    <w:pPr>
      <w:pBdr>
        <w:top w:val="dotted" w:sz="4" w:space="0" w:color="auto"/>
        <w:left w:val="double" w:sz="6" w:space="9" w:color="auto"/>
        <w:bottom w:val="double" w:sz="6" w:space="0" w:color="auto"/>
        <w:right w:val="single" w:sz="8" w:space="0" w:color="auto"/>
      </w:pBdr>
      <w:shd w:val="clear" w:color="000000" w:fill="FFFFFF"/>
      <w:spacing w:before="100" w:beforeAutospacing="1" w:after="100" w:afterAutospacing="1"/>
      <w:ind w:firstLineChars="100" w:firstLine="100"/>
      <w:jc w:val="left"/>
      <w:textAlignment w:val="top"/>
    </w:pPr>
    <w:rPr>
      <w:rFonts w:eastAsia="Times New Roman" w:cs="Times New Roman"/>
      <w:szCs w:val="24"/>
    </w:rPr>
  </w:style>
  <w:style w:type="paragraph" w:customStyle="1" w:styleId="xl187">
    <w:name w:val="xl187"/>
    <w:basedOn w:val="Normal"/>
    <w:rsid w:val="00247CBF"/>
    <w:pPr>
      <w:pBdr>
        <w:top w:val="dashed" w:sz="4" w:space="0" w:color="auto"/>
        <w:bottom w:val="double" w:sz="6" w:space="0" w:color="auto"/>
        <w:right w:val="single" w:sz="8" w:space="0" w:color="auto"/>
      </w:pBdr>
      <w:spacing w:before="100" w:beforeAutospacing="1" w:after="100" w:afterAutospacing="1"/>
      <w:jc w:val="center"/>
    </w:pPr>
    <w:rPr>
      <w:rFonts w:eastAsia="Times New Roman" w:cs="Times New Roman"/>
      <w:szCs w:val="24"/>
    </w:rPr>
  </w:style>
  <w:style w:type="paragraph" w:customStyle="1" w:styleId="xl188">
    <w:name w:val="xl188"/>
    <w:basedOn w:val="Normal"/>
    <w:rsid w:val="00247CBF"/>
    <w:pPr>
      <w:pBdr>
        <w:top w:val="double" w:sz="6" w:space="0" w:color="auto"/>
        <w:left w:val="double" w:sz="6" w:space="9" w:color="auto"/>
        <w:bottom w:val="dotted" w:sz="4" w:space="0" w:color="auto"/>
        <w:right w:val="single" w:sz="8" w:space="0" w:color="auto"/>
      </w:pBdr>
      <w:shd w:val="clear" w:color="000000" w:fill="FFFFFF"/>
      <w:spacing w:before="100" w:beforeAutospacing="1" w:after="100" w:afterAutospacing="1"/>
      <w:ind w:firstLineChars="100" w:firstLine="100"/>
      <w:jc w:val="left"/>
      <w:textAlignment w:val="top"/>
    </w:pPr>
    <w:rPr>
      <w:rFonts w:eastAsia="Times New Roman" w:cs="Times New Roman"/>
      <w:szCs w:val="24"/>
    </w:rPr>
  </w:style>
  <w:style w:type="paragraph" w:customStyle="1" w:styleId="xl189">
    <w:name w:val="xl189"/>
    <w:basedOn w:val="Normal"/>
    <w:rsid w:val="00247CBF"/>
    <w:pPr>
      <w:pBdr>
        <w:left w:val="double" w:sz="6" w:space="9" w:color="auto"/>
        <w:bottom w:val="dotted" w:sz="4" w:space="0" w:color="auto"/>
        <w:right w:val="single" w:sz="8" w:space="0" w:color="auto"/>
      </w:pBdr>
      <w:shd w:val="clear" w:color="000000" w:fill="FFFFFF"/>
      <w:spacing w:before="100" w:beforeAutospacing="1" w:after="100" w:afterAutospacing="1"/>
      <w:ind w:firstLineChars="100" w:firstLine="100"/>
      <w:jc w:val="left"/>
      <w:textAlignment w:val="top"/>
    </w:pPr>
    <w:rPr>
      <w:rFonts w:eastAsia="Times New Roman" w:cs="Times New Roman"/>
      <w:szCs w:val="24"/>
    </w:rPr>
  </w:style>
  <w:style w:type="paragraph" w:customStyle="1" w:styleId="xl190">
    <w:name w:val="xl190"/>
    <w:basedOn w:val="Normal"/>
    <w:rsid w:val="00247CBF"/>
    <w:pPr>
      <w:shd w:val="clear" w:color="000000" w:fill="FFFFFF"/>
      <w:spacing w:before="100" w:beforeAutospacing="1" w:after="100" w:afterAutospacing="1"/>
      <w:jc w:val="left"/>
      <w:textAlignment w:val="center"/>
    </w:pPr>
    <w:rPr>
      <w:rFonts w:ascii="Arial" w:eastAsia="Times New Roman" w:hAnsi="Arial" w:cs="Arial"/>
      <w:szCs w:val="24"/>
    </w:rPr>
  </w:style>
  <w:style w:type="paragraph" w:customStyle="1" w:styleId="xl191">
    <w:name w:val="xl191"/>
    <w:basedOn w:val="Normal"/>
    <w:rsid w:val="00247CBF"/>
    <w:pPr>
      <w:shd w:val="clear" w:color="000000" w:fill="FFFFFF"/>
      <w:spacing w:before="100" w:beforeAutospacing="1" w:after="100" w:afterAutospacing="1"/>
      <w:jc w:val="left"/>
    </w:pPr>
    <w:rPr>
      <w:rFonts w:eastAsia="Times New Roman" w:cs="Times New Roman"/>
      <w:szCs w:val="24"/>
    </w:rPr>
  </w:style>
  <w:style w:type="paragraph" w:customStyle="1" w:styleId="xl192">
    <w:name w:val="xl192"/>
    <w:basedOn w:val="Normal"/>
    <w:rsid w:val="00247CBF"/>
    <w:pPr>
      <w:shd w:val="clear" w:color="000000" w:fill="FFFFFF"/>
      <w:spacing w:before="100" w:beforeAutospacing="1" w:after="100" w:afterAutospacing="1"/>
    </w:pPr>
    <w:rPr>
      <w:rFonts w:eastAsia="Times New Roman" w:cs="Times New Roman"/>
      <w:sz w:val="16"/>
      <w:szCs w:val="16"/>
    </w:rPr>
  </w:style>
  <w:style w:type="paragraph" w:customStyle="1" w:styleId="xl193">
    <w:name w:val="xl193"/>
    <w:basedOn w:val="Normal"/>
    <w:rsid w:val="00247CBF"/>
    <w:pPr>
      <w:shd w:val="clear" w:color="000000" w:fill="FFFFFF"/>
      <w:spacing w:before="100" w:beforeAutospacing="1" w:after="100" w:afterAutospacing="1"/>
      <w:jc w:val="left"/>
    </w:pPr>
    <w:rPr>
      <w:rFonts w:eastAsia="Times New Roman" w:cs="Times New Roman"/>
      <w:sz w:val="16"/>
      <w:szCs w:val="16"/>
    </w:rPr>
  </w:style>
  <w:style w:type="paragraph" w:customStyle="1" w:styleId="xl194">
    <w:name w:val="xl194"/>
    <w:basedOn w:val="Normal"/>
    <w:rsid w:val="00247CBF"/>
    <w:pPr>
      <w:shd w:val="clear" w:color="000000" w:fill="FFFFFF"/>
      <w:spacing w:before="100" w:beforeAutospacing="1" w:after="100" w:afterAutospacing="1"/>
      <w:jc w:val="center"/>
    </w:pPr>
    <w:rPr>
      <w:rFonts w:eastAsia="Times New Roman" w:cs="Times New Roman"/>
      <w:sz w:val="16"/>
      <w:szCs w:val="16"/>
    </w:rPr>
  </w:style>
  <w:style w:type="paragraph" w:customStyle="1" w:styleId="xl195">
    <w:name w:val="xl195"/>
    <w:basedOn w:val="Normal"/>
    <w:rsid w:val="00247CBF"/>
    <w:pPr>
      <w:pBdr>
        <w:top w:val="dashed" w:sz="4" w:space="0" w:color="auto"/>
        <w:right w:val="dashed" w:sz="4" w:space="0" w:color="auto"/>
      </w:pBdr>
      <w:shd w:val="clear" w:color="000000" w:fill="FFFF99"/>
      <w:spacing w:before="100" w:beforeAutospacing="1" w:after="100" w:afterAutospacing="1"/>
      <w:jc w:val="right"/>
    </w:pPr>
    <w:rPr>
      <w:rFonts w:ascii="Courier New" w:eastAsia="Times New Roman" w:hAnsi="Courier New" w:cs="Courier New"/>
      <w:sz w:val="16"/>
      <w:szCs w:val="16"/>
    </w:rPr>
  </w:style>
  <w:style w:type="paragraph" w:customStyle="1" w:styleId="xl196">
    <w:name w:val="xl196"/>
    <w:basedOn w:val="Normal"/>
    <w:rsid w:val="00247CBF"/>
    <w:pPr>
      <w:pBdr>
        <w:top w:val="double" w:sz="6" w:space="0" w:color="auto"/>
        <w:left w:val="double" w:sz="6" w:space="0" w:color="auto"/>
        <w:bottom w:val="single" w:sz="8" w:space="0" w:color="auto"/>
        <w:right w:val="single" w:sz="8" w:space="0" w:color="auto"/>
      </w:pBdr>
      <w:spacing w:before="100" w:beforeAutospacing="1" w:after="100" w:afterAutospacing="1"/>
      <w:jc w:val="left"/>
    </w:pPr>
    <w:rPr>
      <w:rFonts w:eastAsia="Times New Roman" w:cs="Times New Roman"/>
      <w:szCs w:val="24"/>
    </w:rPr>
  </w:style>
  <w:style w:type="paragraph" w:customStyle="1" w:styleId="xl197">
    <w:name w:val="xl197"/>
    <w:basedOn w:val="Normal"/>
    <w:rsid w:val="00247CBF"/>
    <w:pPr>
      <w:pBdr>
        <w:top w:val="dotted" w:sz="4" w:space="0" w:color="auto"/>
        <w:left w:val="double" w:sz="6" w:space="0" w:color="auto"/>
        <w:right w:val="single" w:sz="8" w:space="0" w:color="auto"/>
      </w:pBdr>
      <w:spacing w:before="100" w:beforeAutospacing="1" w:after="100" w:afterAutospacing="1"/>
      <w:jc w:val="left"/>
    </w:pPr>
    <w:rPr>
      <w:rFonts w:eastAsia="Times New Roman" w:cs="Times New Roman"/>
      <w:szCs w:val="24"/>
    </w:rPr>
  </w:style>
  <w:style w:type="paragraph" w:customStyle="1" w:styleId="xl198">
    <w:name w:val="xl198"/>
    <w:basedOn w:val="Normal"/>
    <w:rsid w:val="00247CBF"/>
    <w:pPr>
      <w:pBdr>
        <w:left w:val="double" w:sz="6" w:space="0" w:color="auto"/>
        <w:bottom w:val="single" w:sz="4" w:space="0" w:color="auto"/>
        <w:right w:val="single" w:sz="8" w:space="0" w:color="auto"/>
      </w:pBdr>
      <w:spacing w:before="100" w:beforeAutospacing="1" w:after="100" w:afterAutospacing="1"/>
      <w:jc w:val="left"/>
    </w:pPr>
    <w:rPr>
      <w:rFonts w:eastAsia="Times New Roman" w:cs="Times New Roman"/>
      <w:szCs w:val="24"/>
    </w:rPr>
  </w:style>
  <w:style w:type="paragraph" w:customStyle="1" w:styleId="xl199">
    <w:name w:val="xl199"/>
    <w:basedOn w:val="Normal"/>
    <w:rsid w:val="00247CBF"/>
    <w:pPr>
      <w:pBdr>
        <w:left w:val="double" w:sz="6" w:space="0" w:color="auto"/>
        <w:bottom w:val="dotted" w:sz="4" w:space="0" w:color="auto"/>
        <w:right w:val="single" w:sz="8" w:space="0" w:color="auto"/>
      </w:pBdr>
      <w:spacing w:before="100" w:beforeAutospacing="1" w:after="100" w:afterAutospacing="1"/>
      <w:jc w:val="left"/>
      <w:textAlignment w:val="center"/>
    </w:pPr>
    <w:rPr>
      <w:rFonts w:eastAsia="Times New Roman" w:cs="Times New Roman"/>
      <w:szCs w:val="24"/>
    </w:rPr>
  </w:style>
  <w:style w:type="paragraph" w:customStyle="1" w:styleId="xl200">
    <w:name w:val="xl200"/>
    <w:basedOn w:val="Normal"/>
    <w:rsid w:val="00247CBF"/>
    <w:pPr>
      <w:pBdr>
        <w:left w:val="double" w:sz="6" w:space="0" w:color="auto"/>
        <w:bottom w:val="dotted" w:sz="4" w:space="0" w:color="auto"/>
        <w:right w:val="dotted" w:sz="4" w:space="0" w:color="auto"/>
      </w:pBdr>
      <w:shd w:val="clear" w:color="000000" w:fill="FFFFFF"/>
      <w:spacing w:before="100" w:beforeAutospacing="1" w:after="100" w:afterAutospacing="1"/>
      <w:jc w:val="left"/>
      <w:textAlignment w:val="center"/>
    </w:pPr>
    <w:rPr>
      <w:rFonts w:eastAsia="Times New Roman" w:cs="Times New Roman"/>
      <w:szCs w:val="24"/>
    </w:rPr>
  </w:style>
  <w:style w:type="paragraph" w:customStyle="1" w:styleId="xl201">
    <w:name w:val="xl201"/>
    <w:basedOn w:val="Normal"/>
    <w:rsid w:val="00247CBF"/>
    <w:pPr>
      <w:pBdr>
        <w:left w:val="double" w:sz="6" w:space="0" w:color="auto"/>
        <w:bottom w:val="single" w:sz="8" w:space="0" w:color="auto"/>
        <w:right w:val="dotted" w:sz="4" w:space="0" w:color="auto"/>
      </w:pBdr>
      <w:shd w:val="clear" w:color="000000" w:fill="FFFFFF"/>
      <w:spacing w:before="100" w:beforeAutospacing="1" w:after="100" w:afterAutospacing="1"/>
      <w:jc w:val="left"/>
      <w:textAlignment w:val="center"/>
    </w:pPr>
    <w:rPr>
      <w:rFonts w:eastAsia="Times New Roman" w:cs="Times New Roman"/>
      <w:szCs w:val="24"/>
    </w:rPr>
  </w:style>
  <w:style w:type="paragraph" w:customStyle="1" w:styleId="xl202">
    <w:name w:val="xl202"/>
    <w:basedOn w:val="Normal"/>
    <w:rsid w:val="00247CBF"/>
    <w:pPr>
      <w:pBdr>
        <w:left w:val="double" w:sz="6" w:space="0" w:color="auto"/>
        <w:bottom w:val="dotted" w:sz="4" w:space="0" w:color="auto"/>
      </w:pBdr>
      <w:spacing w:before="100" w:beforeAutospacing="1" w:after="100" w:afterAutospacing="1"/>
      <w:jc w:val="left"/>
      <w:textAlignment w:val="center"/>
    </w:pPr>
    <w:rPr>
      <w:rFonts w:eastAsia="Times New Roman" w:cs="Times New Roman"/>
      <w:szCs w:val="24"/>
    </w:rPr>
  </w:style>
  <w:style w:type="paragraph" w:customStyle="1" w:styleId="xl203">
    <w:name w:val="xl203"/>
    <w:basedOn w:val="Normal"/>
    <w:rsid w:val="00247CBF"/>
    <w:pPr>
      <w:pBdr>
        <w:left w:val="single" w:sz="8" w:space="0" w:color="auto"/>
        <w:bottom w:val="dotted" w:sz="4" w:space="0" w:color="auto"/>
        <w:right w:val="single" w:sz="8" w:space="0" w:color="auto"/>
      </w:pBdr>
      <w:spacing w:before="100" w:beforeAutospacing="1" w:after="100" w:afterAutospacing="1"/>
      <w:jc w:val="left"/>
      <w:textAlignment w:val="center"/>
    </w:pPr>
    <w:rPr>
      <w:rFonts w:eastAsia="Times New Roman" w:cs="Times New Roman"/>
      <w:szCs w:val="24"/>
    </w:rPr>
  </w:style>
  <w:style w:type="paragraph" w:customStyle="1" w:styleId="xl204">
    <w:name w:val="xl204"/>
    <w:basedOn w:val="Normal"/>
    <w:rsid w:val="00247CBF"/>
    <w:pPr>
      <w:pBdr>
        <w:top w:val="dotted" w:sz="4" w:space="0" w:color="auto"/>
        <w:left w:val="double" w:sz="6" w:space="0" w:color="auto"/>
        <w:bottom w:val="double" w:sz="6" w:space="0" w:color="auto"/>
      </w:pBdr>
      <w:spacing w:before="100" w:beforeAutospacing="1" w:after="100" w:afterAutospacing="1"/>
      <w:jc w:val="left"/>
      <w:textAlignment w:val="center"/>
    </w:pPr>
    <w:rPr>
      <w:rFonts w:eastAsia="Times New Roman" w:cs="Times New Roman"/>
      <w:i/>
      <w:iCs/>
      <w:szCs w:val="24"/>
    </w:rPr>
  </w:style>
  <w:style w:type="paragraph" w:customStyle="1" w:styleId="xl205">
    <w:name w:val="xl205"/>
    <w:basedOn w:val="Normal"/>
    <w:rsid w:val="00247CBF"/>
    <w:pPr>
      <w:pBdr>
        <w:top w:val="dotted" w:sz="4" w:space="0" w:color="auto"/>
        <w:left w:val="single" w:sz="8" w:space="0" w:color="auto"/>
        <w:bottom w:val="double" w:sz="6" w:space="0" w:color="auto"/>
        <w:right w:val="single" w:sz="8" w:space="0" w:color="auto"/>
      </w:pBdr>
      <w:spacing w:before="100" w:beforeAutospacing="1" w:after="100" w:afterAutospacing="1"/>
      <w:jc w:val="center"/>
      <w:textAlignment w:val="center"/>
    </w:pPr>
    <w:rPr>
      <w:rFonts w:eastAsia="Times New Roman" w:cs="Times New Roman"/>
      <w:szCs w:val="24"/>
    </w:rPr>
  </w:style>
  <w:style w:type="paragraph" w:customStyle="1" w:styleId="xl206">
    <w:name w:val="xl206"/>
    <w:basedOn w:val="Normal"/>
    <w:rsid w:val="00247CBF"/>
    <w:pPr>
      <w:pBdr>
        <w:left w:val="dashed" w:sz="4" w:space="0" w:color="auto"/>
        <w:bottom w:val="dashed" w:sz="4" w:space="0" w:color="auto"/>
        <w:right w:val="dashed" w:sz="4" w:space="0" w:color="auto"/>
      </w:pBdr>
      <w:shd w:val="clear" w:color="000000" w:fill="FFFF99"/>
      <w:spacing w:before="100" w:beforeAutospacing="1" w:after="100" w:afterAutospacing="1"/>
      <w:jc w:val="right"/>
    </w:pPr>
    <w:rPr>
      <w:rFonts w:eastAsia="Times New Roman" w:cs="Times New Roman"/>
      <w:sz w:val="18"/>
      <w:szCs w:val="18"/>
    </w:rPr>
  </w:style>
  <w:style w:type="paragraph" w:customStyle="1" w:styleId="xl207">
    <w:name w:val="xl207"/>
    <w:basedOn w:val="Normal"/>
    <w:rsid w:val="00247CBF"/>
    <w:pPr>
      <w:pBdr>
        <w:bottom w:val="dotted" w:sz="4" w:space="0" w:color="auto"/>
        <w:right w:val="single" w:sz="8" w:space="0" w:color="auto"/>
      </w:pBdr>
      <w:shd w:val="clear" w:color="000000" w:fill="FFFF99"/>
      <w:spacing w:before="100" w:beforeAutospacing="1" w:after="100" w:afterAutospacing="1"/>
      <w:jc w:val="center"/>
      <w:textAlignment w:val="top"/>
    </w:pPr>
    <w:rPr>
      <w:rFonts w:eastAsia="Times New Roman" w:cs="Times New Roman"/>
      <w:sz w:val="16"/>
      <w:szCs w:val="16"/>
    </w:rPr>
  </w:style>
  <w:style w:type="paragraph" w:customStyle="1" w:styleId="xl208">
    <w:name w:val="xl208"/>
    <w:basedOn w:val="Normal"/>
    <w:rsid w:val="00247CBF"/>
    <w:pPr>
      <w:shd w:val="clear" w:color="000000" w:fill="FFFFFF"/>
      <w:spacing w:before="100" w:beforeAutospacing="1" w:after="100" w:afterAutospacing="1"/>
      <w:jc w:val="left"/>
    </w:pPr>
    <w:rPr>
      <w:rFonts w:eastAsia="Times New Roman" w:cs="Times New Roman"/>
      <w:szCs w:val="24"/>
    </w:rPr>
  </w:style>
  <w:style w:type="paragraph" w:customStyle="1" w:styleId="xl209">
    <w:name w:val="xl209"/>
    <w:basedOn w:val="Normal"/>
    <w:rsid w:val="00247CBF"/>
    <w:pPr>
      <w:shd w:val="clear" w:color="000000" w:fill="FFFFFF"/>
      <w:spacing w:before="100" w:beforeAutospacing="1" w:after="100" w:afterAutospacing="1"/>
      <w:jc w:val="center"/>
    </w:pPr>
    <w:rPr>
      <w:rFonts w:eastAsia="Times New Roman" w:cs="Times New Roman"/>
      <w:sz w:val="16"/>
      <w:szCs w:val="16"/>
    </w:rPr>
  </w:style>
  <w:style w:type="paragraph" w:customStyle="1" w:styleId="xl210">
    <w:name w:val="xl210"/>
    <w:basedOn w:val="Normal"/>
    <w:rsid w:val="00247CBF"/>
    <w:pPr>
      <w:shd w:val="clear" w:color="000000" w:fill="FFFFFF"/>
      <w:spacing w:before="100" w:beforeAutospacing="1" w:after="100" w:afterAutospacing="1"/>
      <w:jc w:val="right"/>
    </w:pPr>
    <w:rPr>
      <w:rFonts w:eastAsia="Times New Roman" w:cs="Times New Roman"/>
      <w:sz w:val="18"/>
      <w:szCs w:val="18"/>
    </w:rPr>
  </w:style>
  <w:style w:type="paragraph" w:customStyle="1" w:styleId="xl211">
    <w:name w:val="xl211"/>
    <w:basedOn w:val="Normal"/>
    <w:rsid w:val="00247CBF"/>
    <w:pPr>
      <w:shd w:val="clear" w:color="000000" w:fill="FFFFFF"/>
      <w:spacing w:before="100" w:beforeAutospacing="1" w:after="100" w:afterAutospacing="1"/>
      <w:jc w:val="left"/>
      <w:textAlignment w:val="top"/>
    </w:pPr>
    <w:rPr>
      <w:rFonts w:eastAsia="Times New Roman" w:cs="Times New Roman"/>
      <w:szCs w:val="24"/>
    </w:rPr>
  </w:style>
  <w:style w:type="paragraph" w:customStyle="1" w:styleId="xl212">
    <w:name w:val="xl212"/>
    <w:basedOn w:val="Normal"/>
    <w:rsid w:val="00247CBF"/>
    <w:pPr>
      <w:shd w:val="clear" w:color="000000" w:fill="FFFFFF"/>
      <w:spacing w:before="100" w:beforeAutospacing="1" w:after="100" w:afterAutospacing="1"/>
      <w:jc w:val="left"/>
    </w:pPr>
    <w:rPr>
      <w:rFonts w:ascii="Arial" w:eastAsia="Times New Roman" w:hAnsi="Arial" w:cs="Arial"/>
      <w:sz w:val="16"/>
      <w:szCs w:val="16"/>
    </w:rPr>
  </w:style>
  <w:style w:type="paragraph" w:customStyle="1" w:styleId="xl213">
    <w:name w:val="xl213"/>
    <w:basedOn w:val="Normal"/>
    <w:rsid w:val="00247CBF"/>
    <w:pPr>
      <w:shd w:val="clear" w:color="000000" w:fill="FFFFFF"/>
      <w:spacing w:before="100" w:beforeAutospacing="1" w:after="100" w:afterAutospacing="1"/>
      <w:jc w:val="left"/>
      <w:textAlignment w:val="top"/>
    </w:pPr>
    <w:rPr>
      <w:rFonts w:eastAsia="Times New Roman" w:cs="Times New Roman"/>
      <w:sz w:val="16"/>
      <w:szCs w:val="16"/>
    </w:rPr>
  </w:style>
  <w:style w:type="paragraph" w:customStyle="1" w:styleId="xl214">
    <w:name w:val="xl214"/>
    <w:basedOn w:val="Normal"/>
    <w:rsid w:val="00247CBF"/>
    <w:pPr>
      <w:shd w:val="clear" w:color="000000" w:fill="FFFFFF"/>
      <w:spacing w:before="100" w:beforeAutospacing="1" w:after="100" w:afterAutospacing="1"/>
      <w:jc w:val="left"/>
      <w:textAlignment w:val="top"/>
    </w:pPr>
    <w:rPr>
      <w:rFonts w:eastAsia="Times New Roman" w:cs="Times New Roman"/>
      <w:sz w:val="16"/>
      <w:szCs w:val="16"/>
    </w:rPr>
  </w:style>
  <w:style w:type="paragraph" w:customStyle="1" w:styleId="xl215">
    <w:name w:val="xl215"/>
    <w:basedOn w:val="Normal"/>
    <w:rsid w:val="00247CBF"/>
    <w:pPr>
      <w:pBdr>
        <w:top w:val="dashed" w:sz="4" w:space="0" w:color="auto"/>
        <w:left w:val="double" w:sz="6" w:space="0" w:color="auto"/>
        <w:bottom w:val="dashed" w:sz="4" w:space="0" w:color="auto"/>
      </w:pBdr>
      <w:shd w:val="clear" w:color="000000" w:fill="FFFFFF"/>
      <w:spacing w:before="100" w:beforeAutospacing="1" w:after="100" w:afterAutospacing="1"/>
      <w:jc w:val="left"/>
      <w:textAlignment w:val="top"/>
    </w:pPr>
    <w:rPr>
      <w:rFonts w:eastAsia="Times New Roman" w:cs="Times New Roman"/>
      <w:i/>
      <w:iCs/>
      <w:szCs w:val="24"/>
    </w:rPr>
  </w:style>
  <w:style w:type="paragraph" w:customStyle="1" w:styleId="xl216">
    <w:name w:val="xl216"/>
    <w:basedOn w:val="Normal"/>
    <w:rsid w:val="00247CBF"/>
    <w:pPr>
      <w:pBdr>
        <w:top w:val="dashed" w:sz="4" w:space="0" w:color="auto"/>
        <w:left w:val="double" w:sz="6" w:space="0" w:color="auto"/>
        <w:bottom w:val="dashed" w:sz="4" w:space="0" w:color="auto"/>
      </w:pBdr>
      <w:shd w:val="clear" w:color="000000" w:fill="FFFFFF"/>
      <w:spacing w:before="100" w:beforeAutospacing="1" w:after="100" w:afterAutospacing="1"/>
      <w:jc w:val="left"/>
      <w:textAlignment w:val="top"/>
    </w:pPr>
    <w:rPr>
      <w:rFonts w:eastAsia="Times New Roman" w:cs="Times New Roman"/>
      <w:szCs w:val="24"/>
    </w:rPr>
  </w:style>
  <w:style w:type="paragraph" w:customStyle="1" w:styleId="xl217">
    <w:name w:val="xl217"/>
    <w:basedOn w:val="Normal"/>
    <w:rsid w:val="00247CBF"/>
    <w:pPr>
      <w:shd w:val="clear" w:color="000000" w:fill="FFFFFF"/>
      <w:spacing w:before="100" w:beforeAutospacing="1" w:after="100" w:afterAutospacing="1"/>
      <w:jc w:val="right"/>
    </w:pPr>
    <w:rPr>
      <w:rFonts w:eastAsia="Times New Roman" w:cs="Times New Roman"/>
      <w:szCs w:val="24"/>
    </w:rPr>
  </w:style>
  <w:style w:type="paragraph" w:customStyle="1" w:styleId="xl218">
    <w:name w:val="xl218"/>
    <w:basedOn w:val="Normal"/>
    <w:rsid w:val="00247CBF"/>
    <w:pPr>
      <w:shd w:val="clear" w:color="000000" w:fill="FFFFFF"/>
      <w:spacing w:before="100" w:beforeAutospacing="1" w:after="100" w:afterAutospacing="1"/>
      <w:jc w:val="left"/>
    </w:pPr>
    <w:rPr>
      <w:rFonts w:eastAsia="Times New Roman" w:cs="Times New Roman"/>
      <w:szCs w:val="24"/>
    </w:rPr>
  </w:style>
  <w:style w:type="paragraph" w:customStyle="1" w:styleId="xl219">
    <w:name w:val="xl219"/>
    <w:basedOn w:val="Normal"/>
    <w:rsid w:val="00247CBF"/>
    <w:pPr>
      <w:shd w:val="clear" w:color="000000" w:fill="FFFFFF"/>
      <w:spacing w:before="100" w:beforeAutospacing="1" w:after="100" w:afterAutospacing="1"/>
      <w:jc w:val="center"/>
    </w:pPr>
    <w:rPr>
      <w:rFonts w:eastAsia="Times New Roman" w:cs="Times New Roman"/>
      <w:szCs w:val="24"/>
    </w:rPr>
  </w:style>
  <w:style w:type="paragraph" w:customStyle="1" w:styleId="xl220">
    <w:name w:val="xl220"/>
    <w:basedOn w:val="Normal"/>
    <w:rsid w:val="00247CBF"/>
    <w:pPr>
      <w:pBdr>
        <w:left w:val="double" w:sz="6" w:space="27" w:color="000000"/>
        <w:bottom w:val="dotted" w:sz="4" w:space="0" w:color="000000"/>
      </w:pBdr>
      <w:shd w:val="clear" w:color="000000" w:fill="FFFFFF"/>
      <w:spacing w:before="100" w:beforeAutospacing="1" w:after="100" w:afterAutospacing="1"/>
      <w:ind w:firstLineChars="300" w:firstLine="300"/>
      <w:jc w:val="left"/>
    </w:pPr>
    <w:rPr>
      <w:rFonts w:eastAsia="Times New Roman" w:cs="Times New Roman"/>
      <w:szCs w:val="24"/>
    </w:rPr>
  </w:style>
  <w:style w:type="paragraph" w:customStyle="1" w:styleId="xl221">
    <w:name w:val="xl221"/>
    <w:basedOn w:val="Normal"/>
    <w:rsid w:val="00247CBF"/>
    <w:pPr>
      <w:pBdr>
        <w:top w:val="single" w:sz="4" w:space="0" w:color="auto"/>
        <w:left w:val="double" w:sz="6" w:space="18" w:color="000000"/>
        <w:bottom w:val="single" w:sz="4" w:space="0" w:color="000000"/>
      </w:pBdr>
      <w:shd w:val="clear" w:color="000000" w:fill="FFFFFF"/>
      <w:spacing w:before="100" w:beforeAutospacing="1" w:after="100" w:afterAutospacing="1"/>
      <w:ind w:firstLineChars="200" w:firstLine="200"/>
      <w:jc w:val="left"/>
    </w:pPr>
    <w:rPr>
      <w:rFonts w:eastAsia="Times New Roman" w:cs="Times New Roman"/>
      <w:szCs w:val="24"/>
    </w:rPr>
  </w:style>
  <w:style w:type="paragraph" w:customStyle="1" w:styleId="xl222">
    <w:name w:val="xl222"/>
    <w:basedOn w:val="Normal"/>
    <w:rsid w:val="00247CBF"/>
    <w:pPr>
      <w:spacing w:before="100" w:beforeAutospacing="1" w:after="100" w:afterAutospacing="1"/>
      <w:jc w:val="left"/>
    </w:pPr>
    <w:rPr>
      <w:rFonts w:ascii="Arial" w:eastAsia="Times New Roman" w:hAnsi="Arial" w:cs="Arial"/>
      <w:szCs w:val="24"/>
    </w:rPr>
  </w:style>
  <w:style w:type="paragraph" w:customStyle="1" w:styleId="xl223">
    <w:name w:val="xl223"/>
    <w:basedOn w:val="Normal"/>
    <w:rsid w:val="00247CBF"/>
    <w:pPr>
      <w:pBdr>
        <w:top w:val="double" w:sz="6" w:space="0" w:color="auto"/>
        <w:left w:val="double" w:sz="6" w:space="0" w:color="auto"/>
        <w:bottom w:val="dashed" w:sz="4" w:space="0" w:color="auto"/>
      </w:pBdr>
      <w:shd w:val="clear" w:color="000000" w:fill="FFFFFF"/>
      <w:spacing w:before="100" w:beforeAutospacing="1" w:after="100" w:afterAutospacing="1"/>
      <w:jc w:val="left"/>
      <w:textAlignment w:val="top"/>
    </w:pPr>
    <w:rPr>
      <w:rFonts w:eastAsia="Times New Roman" w:cs="Times New Roman"/>
      <w:szCs w:val="24"/>
    </w:rPr>
  </w:style>
  <w:style w:type="paragraph" w:customStyle="1" w:styleId="xl224">
    <w:name w:val="xl224"/>
    <w:basedOn w:val="Normal"/>
    <w:rsid w:val="00247CBF"/>
    <w:pPr>
      <w:pBdr>
        <w:left w:val="double" w:sz="6" w:space="0" w:color="auto"/>
        <w:bottom w:val="double" w:sz="6" w:space="0" w:color="auto"/>
      </w:pBdr>
      <w:shd w:val="clear" w:color="000000" w:fill="FFFFFF"/>
      <w:spacing w:before="100" w:beforeAutospacing="1" w:after="100" w:afterAutospacing="1"/>
      <w:jc w:val="left"/>
      <w:textAlignment w:val="top"/>
    </w:pPr>
    <w:rPr>
      <w:rFonts w:eastAsia="Times New Roman" w:cs="Times New Roman"/>
      <w:szCs w:val="24"/>
    </w:rPr>
  </w:style>
  <w:style w:type="paragraph" w:customStyle="1" w:styleId="xl225">
    <w:name w:val="xl225"/>
    <w:basedOn w:val="Normal"/>
    <w:rsid w:val="00247CBF"/>
    <w:pPr>
      <w:pBdr>
        <w:bottom w:val="double" w:sz="6" w:space="0" w:color="auto"/>
        <w:right w:val="single" w:sz="8" w:space="0" w:color="auto"/>
      </w:pBdr>
      <w:shd w:val="clear" w:color="000000" w:fill="FFFFFF"/>
      <w:spacing w:before="100" w:beforeAutospacing="1" w:after="100" w:afterAutospacing="1"/>
      <w:jc w:val="center"/>
      <w:textAlignment w:val="top"/>
    </w:pPr>
    <w:rPr>
      <w:rFonts w:eastAsia="Times New Roman" w:cs="Times New Roman"/>
      <w:szCs w:val="24"/>
    </w:rPr>
  </w:style>
  <w:style w:type="paragraph" w:customStyle="1" w:styleId="xl226">
    <w:name w:val="xl226"/>
    <w:basedOn w:val="Normal"/>
    <w:rsid w:val="00247CBF"/>
    <w:pPr>
      <w:pBdr>
        <w:top w:val="dashed" w:sz="4" w:space="0" w:color="auto"/>
        <w:left w:val="double" w:sz="6" w:space="0" w:color="auto"/>
        <w:bottom w:val="dashed" w:sz="4" w:space="0" w:color="auto"/>
      </w:pBdr>
      <w:shd w:val="clear" w:color="000000" w:fill="FFFFFF"/>
      <w:spacing w:before="100" w:beforeAutospacing="1" w:after="100" w:afterAutospacing="1"/>
      <w:jc w:val="left"/>
      <w:textAlignment w:val="top"/>
    </w:pPr>
    <w:rPr>
      <w:rFonts w:eastAsia="Times New Roman" w:cs="Times New Roman"/>
      <w:szCs w:val="24"/>
    </w:rPr>
  </w:style>
  <w:style w:type="paragraph" w:customStyle="1" w:styleId="xl227">
    <w:name w:val="xl227"/>
    <w:basedOn w:val="Normal"/>
    <w:rsid w:val="00247CBF"/>
    <w:pPr>
      <w:pBdr>
        <w:top w:val="dashed" w:sz="4" w:space="0" w:color="auto"/>
        <w:bottom w:val="dashed" w:sz="4" w:space="0" w:color="auto"/>
        <w:right w:val="single" w:sz="8" w:space="0" w:color="auto"/>
      </w:pBdr>
      <w:shd w:val="clear" w:color="000000" w:fill="FFFFFF"/>
      <w:spacing w:before="100" w:beforeAutospacing="1" w:after="100" w:afterAutospacing="1"/>
      <w:jc w:val="center"/>
      <w:textAlignment w:val="top"/>
    </w:pPr>
    <w:rPr>
      <w:rFonts w:eastAsia="Times New Roman" w:cs="Times New Roman"/>
      <w:szCs w:val="24"/>
    </w:rPr>
  </w:style>
  <w:style w:type="paragraph" w:customStyle="1" w:styleId="xl228">
    <w:name w:val="xl228"/>
    <w:basedOn w:val="Normal"/>
    <w:rsid w:val="00247CBF"/>
    <w:pPr>
      <w:pBdr>
        <w:top w:val="double" w:sz="6" w:space="0" w:color="auto"/>
        <w:bottom w:val="dashed" w:sz="4" w:space="0" w:color="auto"/>
        <w:right w:val="single" w:sz="8" w:space="0" w:color="auto"/>
      </w:pBdr>
      <w:shd w:val="clear" w:color="000000" w:fill="FFFFFF"/>
      <w:spacing w:before="100" w:beforeAutospacing="1" w:after="100" w:afterAutospacing="1"/>
      <w:jc w:val="left"/>
      <w:textAlignment w:val="top"/>
    </w:pPr>
    <w:rPr>
      <w:rFonts w:eastAsia="Times New Roman" w:cs="Times New Roman"/>
      <w:szCs w:val="24"/>
    </w:rPr>
  </w:style>
  <w:style w:type="paragraph" w:customStyle="1" w:styleId="xl229">
    <w:name w:val="xl229"/>
    <w:basedOn w:val="Normal"/>
    <w:rsid w:val="00247CBF"/>
    <w:pPr>
      <w:pBdr>
        <w:top w:val="double" w:sz="6" w:space="0" w:color="auto"/>
        <w:left w:val="single" w:sz="8" w:space="0" w:color="auto"/>
        <w:bottom w:val="dashed" w:sz="4" w:space="0" w:color="auto"/>
      </w:pBdr>
      <w:shd w:val="clear" w:color="000000" w:fill="FFFFFF"/>
      <w:spacing w:before="100" w:beforeAutospacing="1" w:after="100" w:afterAutospacing="1"/>
      <w:jc w:val="left"/>
      <w:textAlignment w:val="top"/>
    </w:pPr>
    <w:rPr>
      <w:rFonts w:eastAsia="Times New Roman" w:cs="Times New Roman"/>
      <w:szCs w:val="24"/>
    </w:rPr>
  </w:style>
  <w:style w:type="paragraph" w:customStyle="1" w:styleId="xl230">
    <w:name w:val="xl230"/>
    <w:basedOn w:val="Normal"/>
    <w:rsid w:val="00247CBF"/>
    <w:pPr>
      <w:pBdr>
        <w:top w:val="dashed" w:sz="4" w:space="0" w:color="auto"/>
        <w:left w:val="single" w:sz="8" w:space="0" w:color="auto"/>
        <w:bottom w:val="dashed" w:sz="4" w:space="0" w:color="auto"/>
      </w:pBdr>
      <w:shd w:val="clear" w:color="000000" w:fill="FFFFFF"/>
      <w:spacing w:before="100" w:beforeAutospacing="1" w:after="100" w:afterAutospacing="1"/>
      <w:jc w:val="left"/>
      <w:textAlignment w:val="top"/>
    </w:pPr>
    <w:rPr>
      <w:rFonts w:eastAsia="Times New Roman" w:cs="Times New Roman"/>
      <w:szCs w:val="24"/>
    </w:rPr>
  </w:style>
  <w:style w:type="paragraph" w:customStyle="1" w:styleId="xl231">
    <w:name w:val="xl231"/>
    <w:basedOn w:val="Normal"/>
    <w:rsid w:val="00247CBF"/>
    <w:pPr>
      <w:pBdr>
        <w:left w:val="single" w:sz="8" w:space="0" w:color="auto"/>
        <w:bottom w:val="double" w:sz="6" w:space="0" w:color="auto"/>
      </w:pBdr>
      <w:shd w:val="clear" w:color="000000" w:fill="FFFFFF"/>
      <w:spacing w:before="100" w:beforeAutospacing="1" w:after="100" w:afterAutospacing="1"/>
      <w:jc w:val="left"/>
      <w:textAlignment w:val="top"/>
    </w:pPr>
    <w:rPr>
      <w:rFonts w:eastAsia="Times New Roman" w:cs="Times New Roman"/>
      <w:szCs w:val="24"/>
    </w:rPr>
  </w:style>
  <w:style w:type="paragraph" w:customStyle="1" w:styleId="xl232">
    <w:name w:val="xl232"/>
    <w:basedOn w:val="Normal"/>
    <w:rsid w:val="00247CBF"/>
    <w:pPr>
      <w:pBdr>
        <w:top w:val="single" w:sz="4" w:space="0" w:color="auto"/>
        <w:left w:val="double" w:sz="6" w:space="0" w:color="000000"/>
        <w:bottom w:val="single" w:sz="4" w:space="0" w:color="auto"/>
      </w:pBdr>
      <w:shd w:val="clear" w:color="000000" w:fill="FFFFFF"/>
      <w:spacing w:before="100" w:beforeAutospacing="1" w:after="100" w:afterAutospacing="1"/>
      <w:jc w:val="center"/>
      <w:textAlignment w:val="top"/>
    </w:pPr>
    <w:rPr>
      <w:rFonts w:eastAsia="Times New Roman" w:cs="Times New Roman"/>
      <w:b/>
      <w:bCs/>
      <w:color w:val="000000"/>
      <w:szCs w:val="24"/>
    </w:rPr>
  </w:style>
  <w:style w:type="paragraph" w:customStyle="1" w:styleId="xl233">
    <w:name w:val="xl233"/>
    <w:basedOn w:val="Normal"/>
    <w:rsid w:val="00247CBF"/>
    <w:pPr>
      <w:pBdr>
        <w:left w:val="double" w:sz="6" w:space="0" w:color="auto"/>
        <w:bottom w:val="dotted" w:sz="4" w:space="0" w:color="auto"/>
      </w:pBdr>
      <w:shd w:val="clear" w:color="000000" w:fill="FFFFFF"/>
      <w:spacing w:before="100" w:beforeAutospacing="1" w:after="100" w:afterAutospacing="1"/>
      <w:jc w:val="left"/>
    </w:pPr>
    <w:rPr>
      <w:rFonts w:eastAsia="Times New Roman" w:cs="Times New Roman"/>
      <w:szCs w:val="24"/>
    </w:rPr>
  </w:style>
  <w:style w:type="paragraph" w:customStyle="1" w:styleId="xl234">
    <w:name w:val="xl234"/>
    <w:basedOn w:val="Normal"/>
    <w:rsid w:val="00247CBF"/>
    <w:pPr>
      <w:pBdr>
        <w:left w:val="double" w:sz="6" w:space="0" w:color="auto"/>
        <w:bottom w:val="double" w:sz="6" w:space="0" w:color="auto"/>
      </w:pBdr>
      <w:shd w:val="clear" w:color="000000" w:fill="FFFFFF"/>
      <w:spacing w:before="100" w:beforeAutospacing="1" w:after="100" w:afterAutospacing="1"/>
      <w:jc w:val="left"/>
    </w:pPr>
    <w:rPr>
      <w:rFonts w:eastAsia="Times New Roman" w:cs="Times New Roman"/>
      <w:szCs w:val="24"/>
    </w:rPr>
  </w:style>
  <w:style w:type="paragraph" w:customStyle="1" w:styleId="xl235">
    <w:name w:val="xl235"/>
    <w:basedOn w:val="Normal"/>
    <w:rsid w:val="00247CBF"/>
    <w:pPr>
      <w:shd w:val="clear" w:color="000000" w:fill="FFFFFF"/>
      <w:spacing w:before="100" w:beforeAutospacing="1" w:after="100" w:afterAutospacing="1"/>
      <w:jc w:val="left"/>
      <w:textAlignment w:val="center"/>
    </w:pPr>
    <w:rPr>
      <w:rFonts w:eastAsia="Times New Roman" w:cs="Times New Roman"/>
      <w:szCs w:val="24"/>
    </w:rPr>
  </w:style>
  <w:style w:type="paragraph" w:customStyle="1" w:styleId="xl236">
    <w:name w:val="xl236"/>
    <w:basedOn w:val="Normal"/>
    <w:rsid w:val="00247CBF"/>
    <w:pPr>
      <w:pBdr>
        <w:top w:val="double" w:sz="6" w:space="0" w:color="auto"/>
        <w:left w:val="double" w:sz="6" w:space="0" w:color="auto"/>
        <w:bottom w:val="double" w:sz="6" w:space="0" w:color="auto"/>
      </w:pBdr>
      <w:shd w:val="clear" w:color="000000" w:fill="00B050"/>
      <w:spacing w:before="100" w:beforeAutospacing="1" w:after="100" w:afterAutospacing="1"/>
      <w:jc w:val="left"/>
      <w:textAlignment w:val="center"/>
    </w:pPr>
    <w:rPr>
      <w:rFonts w:eastAsia="Times New Roman" w:cs="Times New Roman"/>
      <w:b/>
      <w:bCs/>
      <w:szCs w:val="24"/>
    </w:rPr>
  </w:style>
  <w:style w:type="paragraph" w:customStyle="1" w:styleId="xl237">
    <w:name w:val="xl237"/>
    <w:basedOn w:val="Normal"/>
    <w:rsid w:val="00247CBF"/>
    <w:pPr>
      <w:pBdr>
        <w:top w:val="double" w:sz="6" w:space="0" w:color="auto"/>
        <w:left w:val="dashed" w:sz="4" w:space="0" w:color="auto"/>
        <w:bottom w:val="double" w:sz="6" w:space="0" w:color="auto"/>
        <w:right w:val="dashed" w:sz="4" w:space="0" w:color="auto"/>
      </w:pBdr>
      <w:shd w:val="clear" w:color="000000" w:fill="00B050"/>
      <w:spacing w:before="100" w:beforeAutospacing="1" w:after="100" w:afterAutospacing="1"/>
      <w:jc w:val="right"/>
      <w:textAlignment w:val="center"/>
    </w:pPr>
    <w:rPr>
      <w:rFonts w:eastAsia="Times New Roman" w:cs="Times New Roman"/>
      <w:b/>
      <w:bCs/>
      <w:szCs w:val="24"/>
    </w:rPr>
  </w:style>
  <w:style w:type="paragraph" w:customStyle="1" w:styleId="xl238">
    <w:name w:val="xl238"/>
    <w:basedOn w:val="Normal"/>
    <w:rsid w:val="00247CBF"/>
    <w:pPr>
      <w:pBdr>
        <w:top w:val="double" w:sz="6" w:space="0" w:color="auto"/>
        <w:left w:val="dashed" w:sz="4" w:space="0" w:color="auto"/>
        <w:bottom w:val="double" w:sz="6" w:space="0" w:color="auto"/>
        <w:right w:val="double" w:sz="6" w:space="0" w:color="auto"/>
      </w:pBdr>
      <w:shd w:val="clear" w:color="000000" w:fill="00B050"/>
      <w:spacing w:before="100" w:beforeAutospacing="1" w:after="100" w:afterAutospacing="1"/>
      <w:jc w:val="right"/>
      <w:textAlignment w:val="center"/>
    </w:pPr>
    <w:rPr>
      <w:rFonts w:eastAsia="Times New Roman" w:cs="Times New Roman"/>
      <w:b/>
      <w:bCs/>
      <w:szCs w:val="24"/>
    </w:rPr>
  </w:style>
  <w:style w:type="paragraph" w:customStyle="1" w:styleId="xl239">
    <w:name w:val="xl239"/>
    <w:basedOn w:val="Normal"/>
    <w:rsid w:val="00247CBF"/>
    <w:pPr>
      <w:pBdr>
        <w:top w:val="double" w:sz="6" w:space="0" w:color="auto"/>
        <w:left w:val="double" w:sz="6" w:space="0" w:color="auto"/>
        <w:bottom w:val="double" w:sz="6" w:space="0" w:color="auto"/>
      </w:pBdr>
      <w:shd w:val="clear" w:color="000000" w:fill="00FF00"/>
      <w:spacing w:before="100" w:beforeAutospacing="1" w:after="100" w:afterAutospacing="1"/>
      <w:jc w:val="left"/>
      <w:textAlignment w:val="center"/>
    </w:pPr>
    <w:rPr>
      <w:rFonts w:eastAsia="Times New Roman" w:cs="Times New Roman"/>
      <w:b/>
      <w:bCs/>
      <w:szCs w:val="24"/>
    </w:rPr>
  </w:style>
  <w:style w:type="paragraph" w:customStyle="1" w:styleId="xl240">
    <w:name w:val="xl240"/>
    <w:basedOn w:val="Normal"/>
    <w:rsid w:val="00247CBF"/>
    <w:pPr>
      <w:pBdr>
        <w:top w:val="double" w:sz="6" w:space="0" w:color="auto"/>
        <w:left w:val="single" w:sz="8" w:space="0" w:color="auto"/>
        <w:bottom w:val="double" w:sz="6" w:space="0" w:color="auto"/>
      </w:pBdr>
      <w:shd w:val="clear" w:color="000000" w:fill="00FF00"/>
      <w:spacing w:before="100" w:beforeAutospacing="1" w:after="100" w:afterAutospacing="1"/>
      <w:jc w:val="center"/>
      <w:textAlignment w:val="center"/>
    </w:pPr>
    <w:rPr>
      <w:rFonts w:eastAsia="Times New Roman" w:cs="Times New Roman"/>
      <w:szCs w:val="24"/>
    </w:rPr>
  </w:style>
  <w:style w:type="paragraph" w:customStyle="1" w:styleId="xl241">
    <w:name w:val="xl241"/>
    <w:basedOn w:val="Normal"/>
    <w:rsid w:val="00247CBF"/>
    <w:pPr>
      <w:pBdr>
        <w:top w:val="double" w:sz="6" w:space="0" w:color="auto"/>
        <w:bottom w:val="double" w:sz="6" w:space="0" w:color="auto"/>
        <w:right w:val="single" w:sz="8" w:space="0" w:color="auto"/>
      </w:pBdr>
      <w:shd w:val="clear" w:color="000000" w:fill="00FF00"/>
      <w:spacing w:before="100" w:beforeAutospacing="1" w:after="100" w:afterAutospacing="1"/>
      <w:jc w:val="right"/>
      <w:textAlignment w:val="center"/>
    </w:pPr>
    <w:rPr>
      <w:rFonts w:eastAsia="Times New Roman" w:cs="Times New Roman"/>
      <w:b/>
      <w:bCs/>
      <w:szCs w:val="24"/>
    </w:rPr>
  </w:style>
  <w:style w:type="paragraph" w:customStyle="1" w:styleId="xl242">
    <w:name w:val="xl242"/>
    <w:basedOn w:val="Normal"/>
    <w:rsid w:val="00247CBF"/>
    <w:pPr>
      <w:pBdr>
        <w:top w:val="double" w:sz="6" w:space="0" w:color="auto"/>
        <w:left w:val="double" w:sz="6" w:space="0" w:color="auto"/>
        <w:bottom w:val="double" w:sz="6" w:space="0" w:color="auto"/>
      </w:pBdr>
      <w:shd w:val="clear" w:color="000000" w:fill="E26B0A"/>
      <w:spacing w:before="100" w:beforeAutospacing="1" w:after="100" w:afterAutospacing="1"/>
      <w:jc w:val="left"/>
      <w:textAlignment w:val="center"/>
    </w:pPr>
    <w:rPr>
      <w:rFonts w:eastAsia="Times New Roman" w:cs="Times New Roman"/>
      <w:b/>
      <w:bCs/>
      <w:szCs w:val="24"/>
    </w:rPr>
  </w:style>
  <w:style w:type="paragraph" w:customStyle="1" w:styleId="xl243">
    <w:name w:val="xl243"/>
    <w:basedOn w:val="Normal"/>
    <w:rsid w:val="00247CBF"/>
    <w:pPr>
      <w:pBdr>
        <w:top w:val="double" w:sz="6" w:space="0" w:color="auto"/>
        <w:left w:val="single" w:sz="8" w:space="0" w:color="auto"/>
        <w:bottom w:val="double" w:sz="6" w:space="0" w:color="auto"/>
        <w:right w:val="dashed" w:sz="4" w:space="0" w:color="auto"/>
      </w:pBdr>
      <w:shd w:val="clear" w:color="000000" w:fill="E26B0A"/>
      <w:spacing w:before="100" w:beforeAutospacing="1" w:after="100" w:afterAutospacing="1"/>
      <w:jc w:val="right"/>
      <w:textAlignment w:val="center"/>
    </w:pPr>
    <w:rPr>
      <w:rFonts w:eastAsia="Times New Roman" w:cs="Times New Roman"/>
      <w:b/>
      <w:bCs/>
      <w:szCs w:val="24"/>
    </w:rPr>
  </w:style>
  <w:style w:type="paragraph" w:customStyle="1" w:styleId="xl244">
    <w:name w:val="xl244"/>
    <w:basedOn w:val="Normal"/>
    <w:rsid w:val="00247CBF"/>
    <w:pPr>
      <w:pBdr>
        <w:top w:val="double" w:sz="6" w:space="0" w:color="auto"/>
        <w:left w:val="dashed" w:sz="4" w:space="0" w:color="auto"/>
        <w:bottom w:val="double" w:sz="6" w:space="0" w:color="auto"/>
        <w:right w:val="dashed" w:sz="4" w:space="0" w:color="auto"/>
      </w:pBdr>
      <w:shd w:val="clear" w:color="000000" w:fill="E26B0A"/>
      <w:spacing w:before="100" w:beforeAutospacing="1" w:after="100" w:afterAutospacing="1"/>
      <w:jc w:val="right"/>
      <w:textAlignment w:val="center"/>
    </w:pPr>
    <w:rPr>
      <w:rFonts w:eastAsia="Times New Roman" w:cs="Times New Roman"/>
      <w:b/>
      <w:bCs/>
      <w:szCs w:val="24"/>
    </w:rPr>
  </w:style>
  <w:style w:type="paragraph" w:customStyle="1" w:styleId="xl245">
    <w:name w:val="xl245"/>
    <w:basedOn w:val="Normal"/>
    <w:rsid w:val="00247CBF"/>
    <w:pPr>
      <w:pBdr>
        <w:top w:val="double" w:sz="6" w:space="0" w:color="auto"/>
        <w:left w:val="double" w:sz="6" w:space="0" w:color="auto"/>
        <w:bottom w:val="double" w:sz="6" w:space="0" w:color="auto"/>
      </w:pBdr>
      <w:shd w:val="clear" w:color="000000" w:fill="9966FF"/>
      <w:spacing w:before="100" w:beforeAutospacing="1" w:after="100" w:afterAutospacing="1"/>
      <w:jc w:val="left"/>
      <w:textAlignment w:val="center"/>
    </w:pPr>
    <w:rPr>
      <w:rFonts w:eastAsia="Times New Roman" w:cs="Times New Roman"/>
      <w:b/>
      <w:bCs/>
      <w:szCs w:val="24"/>
    </w:rPr>
  </w:style>
  <w:style w:type="paragraph" w:customStyle="1" w:styleId="xl246">
    <w:name w:val="xl246"/>
    <w:basedOn w:val="Normal"/>
    <w:rsid w:val="00247CBF"/>
    <w:pPr>
      <w:pBdr>
        <w:top w:val="double" w:sz="6" w:space="0" w:color="auto"/>
        <w:bottom w:val="double" w:sz="6" w:space="0" w:color="auto"/>
        <w:right w:val="dashed" w:sz="4" w:space="0" w:color="auto"/>
      </w:pBdr>
      <w:shd w:val="clear" w:color="000000" w:fill="00B050"/>
      <w:spacing w:before="100" w:beforeAutospacing="1" w:after="100" w:afterAutospacing="1"/>
      <w:jc w:val="right"/>
      <w:textAlignment w:val="center"/>
    </w:pPr>
    <w:rPr>
      <w:rFonts w:eastAsia="Times New Roman" w:cs="Times New Roman"/>
      <w:b/>
      <w:bCs/>
      <w:szCs w:val="24"/>
    </w:rPr>
  </w:style>
  <w:style w:type="paragraph" w:customStyle="1" w:styleId="xl247">
    <w:name w:val="xl247"/>
    <w:basedOn w:val="Normal"/>
    <w:rsid w:val="00247CBF"/>
    <w:pPr>
      <w:pBdr>
        <w:top w:val="double" w:sz="6" w:space="0" w:color="auto"/>
        <w:bottom w:val="single" w:sz="8" w:space="0" w:color="auto"/>
        <w:right w:val="dotted" w:sz="4" w:space="0" w:color="auto"/>
      </w:pBdr>
      <w:shd w:val="clear" w:color="000000" w:fill="FFFF99"/>
      <w:spacing w:before="100" w:beforeAutospacing="1" w:after="100" w:afterAutospacing="1"/>
      <w:jc w:val="right"/>
      <w:textAlignment w:val="center"/>
    </w:pPr>
    <w:rPr>
      <w:rFonts w:ascii="Courier New" w:eastAsia="Times New Roman" w:hAnsi="Courier New" w:cs="Courier New"/>
      <w:sz w:val="16"/>
      <w:szCs w:val="16"/>
    </w:rPr>
  </w:style>
  <w:style w:type="paragraph" w:customStyle="1" w:styleId="xl248">
    <w:name w:val="xl248"/>
    <w:basedOn w:val="Normal"/>
    <w:rsid w:val="00247CBF"/>
    <w:pPr>
      <w:pBdr>
        <w:left w:val="double" w:sz="6" w:space="0" w:color="auto"/>
        <w:bottom w:val="dashed" w:sz="4" w:space="0" w:color="auto"/>
      </w:pBdr>
      <w:spacing w:before="100" w:beforeAutospacing="1" w:after="100" w:afterAutospacing="1"/>
      <w:jc w:val="left"/>
      <w:textAlignment w:val="top"/>
    </w:pPr>
    <w:rPr>
      <w:rFonts w:eastAsia="Times New Roman" w:cs="Times New Roman"/>
      <w:szCs w:val="24"/>
    </w:rPr>
  </w:style>
  <w:style w:type="paragraph" w:customStyle="1" w:styleId="xl249">
    <w:name w:val="xl249"/>
    <w:basedOn w:val="Normal"/>
    <w:rsid w:val="00247CBF"/>
    <w:pPr>
      <w:pBdr>
        <w:top w:val="dashed" w:sz="4" w:space="0" w:color="auto"/>
        <w:left w:val="double" w:sz="6" w:space="0" w:color="auto"/>
        <w:bottom w:val="single" w:sz="8" w:space="0" w:color="auto"/>
      </w:pBdr>
      <w:shd w:val="clear" w:color="000000" w:fill="FFFFFF"/>
      <w:spacing w:before="100" w:beforeAutospacing="1" w:after="100" w:afterAutospacing="1"/>
      <w:jc w:val="left"/>
      <w:textAlignment w:val="top"/>
    </w:pPr>
    <w:rPr>
      <w:rFonts w:eastAsia="Times New Roman" w:cs="Times New Roman"/>
      <w:i/>
      <w:iCs/>
      <w:szCs w:val="24"/>
    </w:rPr>
  </w:style>
  <w:style w:type="paragraph" w:customStyle="1" w:styleId="xl250">
    <w:name w:val="xl250"/>
    <w:basedOn w:val="Normal"/>
    <w:rsid w:val="00247CBF"/>
    <w:pPr>
      <w:pBdr>
        <w:top w:val="dashed" w:sz="4" w:space="0" w:color="auto"/>
        <w:left w:val="single" w:sz="8" w:space="0" w:color="auto"/>
        <w:bottom w:val="dashed" w:sz="4" w:space="0" w:color="auto"/>
        <w:right w:val="single" w:sz="8" w:space="0" w:color="auto"/>
      </w:pBdr>
      <w:shd w:val="clear" w:color="000000" w:fill="CCFFFF"/>
      <w:spacing w:before="100" w:beforeAutospacing="1" w:after="100" w:afterAutospacing="1"/>
      <w:jc w:val="center"/>
    </w:pPr>
    <w:rPr>
      <w:rFonts w:eastAsia="Times New Roman" w:cs="Times New Roman"/>
      <w:sz w:val="16"/>
      <w:szCs w:val="16"/>
    </w:rPr>
  </w:style>
  <w:style w:type="paragraph" w:customStyle="1" w:styleId="xl251">
    <w:name w:val="xl251"/>
    <w:basedOn w:val="Normal"/>
    <w:rsid w:val="00247CBF"/>
    <w:pPr>
      <w:pBdr>
        <w:top w:val="dashed" w:sz="4" w:space="0" w:color="auto"/>
        <w:left w:val="single" w:sz="8" w:space="0" w:color="auto"/>
        <w:bottom w:val="single" w:sz="8" w:space="0" w:color="auto"/>
        <w:right w:val="single" w:sz="8" w:space="0" w:color="auto"/>
      </w:pBdr>
      <w:shd w:val="clear" w:color="000000" w:fill="CCFFFF"/>
      <w:spacing w:before="100" w:beforeAutospacing="1" w:after="100" w:afterAutospacing="1"/>
      <w:jc w:val="center"/>
    </w:pPr>
    <w:rPr>
      <w:rFonts w:eastAsia="Times New Roman" w:cs="Times New Roman"/>
      <w:sz w:val="16"/>
      <w:szCs w:val="16"/>
    </w:rPr>
  </w:style>
  <w:style w:type="paragraph" w:customStyle="1" w:styleId="xl252">
    <w:name w:val="xl252"/>
    <w:basedOn w:val="Normal"/>
    <w:rsid w:val="00247CBF"/>
    <w:pPr>
      <w:pBdr>
        <w:left w:val="single" w:sz="8" w:space="0" w:color="auto"/>
        <w:bottom w:val="dashed" w:sz="4" w:space="0" w:color="auto"/>
        <w:right w:val="single" w:sz="8" w:space="0" w:color="auto"/>
      </w:pBdr>
      <w:shd w:val="clear" w:color="000000" w:fill="CCFFFF"/>
      <w:spacing w:before="100" w:beforeAutospacing="1" w:after="100" w:afterAutospacing="1"/>
      <w:jc w:val="center"/>
    </w:pPr>
    <w:rPr>
      <w:rFonts w:eastAsia="Times New Roman" w:cs="Times New Roman"/>
      <w:sz w:val="16"/>
      <w:szCs w:val="16"/>
    </w:rPr>
  </w:style>
  <w:style w:type="paragraph" w:customStyle="1" w:styleId="xl253">
    <w:name w:val="xl253"/>
    <w:basedOn w:val="Normal"/>
    <w:rsid w:val="00247CBF"/>
    <w:pPr>
      <w:pBdr>
        <w:top w:val="dashed" w:sz="4" w:space="0" w:color="auto"/>
        <w:left w:val="single" w:sz="8" w:space="0" w:color="auto"/>
        <w:bottom w:val="double" w:sz="6" w:space="0" w:color="auto"/>
        <w:right w:val="single" w:sz="8" w:space="0" w:color="auto"/>
      </w:pBdr>
      <w:shd w:val="clear" w:color="000000" w:fill="CCFFFF"/>
      <w:spacing w:before="100" w:beforeAutospacing="1" w:after="100" w:afterAutospacing="1"/>
      <w:jc w:val="center"/>
    </w:pPr>
    <w:rPr>
      <w:rFonts w:eastAsia="Times New Roman" w:cs="Times New Roman"/>
      <w:sz w:val="16"/>
      <w:szCs w:val="16"/>
    </w:rPr>
  </w:style>
  <w:style w:type="paragraph" w:customStyle="1" w:styleId="xl254">
    <w:name w:val="xl254"/>
    <w:basedOn w:val="Normal"/>
    <w:rsid w:val="00247CBF"/>
    <w:pPr>
      <w:pBdr>
        <w:top w:val="dashed" w:sz="4" w:space="0" w:color="auto"/>
        <w:left w:val="single" w:sz="8" w:space="0" w:color="auto"/>
        <w:bottom w:val="dashed" w:sz="4" w:space="0" w:color="auto"/>
        <w:right w:val="single" w:sz="8" w:space="0" w:color="auto"/>
      </w:pBdr>
      <w:spacing w:before="100" w:beforeAutospacing="1" w:after="100" w:afterAutospacing="1"/>
      <w:jc w:val="center"/>
    </w:pPr>
    <w:rPr>
      <w:rFonts w:eastAsia="Times New Roman" w:cs="Times New Roman"/>
      <w:sz w:val="16"/>
      <w:szCs w:val="16"/>
    </w:rPr>
  </w:style>
  <w:style w:type="paragraph" w:customStyle="1" w:styleId="xl255">
    <w:name w:val="xl255"/>
    <w:basedOn w:val="Normal"/>
    <w:rsid w:val="00247CBF"/>
    <w:pPr>
      <w:pBdr>
        <w:top w:val="double" w:sz="6" w:space="0" w:color="auto"/>
        <w:left w:val="double" w:sz="6" w:space="0" w:color="auto"/>
        <w:bottom w:val="double" w:sz="6" w:space="0" w:color="auto"/>
      </w:pBdr>
      <w:shd w:val="clear" w:color="000000" w:fill="E26B0A"/>
      <w:spacing w:before="100" w:beforeAutospacing="1" w:after="100" w:afterAutospacing="1"/>
      <w:jc w:val="left"/>
      <w:textAlignment w:val="center"/>
    </w:pPr>
    <w:rPr>
      <w:rFonts w:eastAsia="Times New Roman" w:cs="Times New Roman"/>
      <w:b/>
      <w:bCs/>
      <w:szCs w:val="24"/>
    </w:rPr>
  </w:style>
  <w:style w:type="paragraph" w:customStyle="1" w:styleId="xl256">
    <w:name w:val="xl256"/>
    <w:basedOn w:val="Normal"/>
    <w:rsid w:val="00247CBF"/>
    <w:pPr>
      <w:pBdr>
        <w:top w:val="double" w:sz="6" w:space="0" w:color="auto"/>
        <w:left w:val="single" w:sz="8" w:space="0" w:color="auto"/>
        <w:bottom w:val="double" w:sz="6" w:space="0" w:color="auto"/>
        <w:right w:val="single" w:sz="8" w:space="0" w:color="auto"/>
      </w:pBdr>
      <w:shd w:val="clear" w:color="000000" w:fill="E26B0A"/>
      <w:spacing w:before="100" w:beforeAutospacing="1" w:after="100" w:afterAutospacing="1"/>
      <w:jc w:val="center"/>
      <w:textAlignment w:val="center"/>
    </w:pPr>
    <w:rPr>
      <w:rFonts w:eastAsia="Times New Roman" w:cs="Times New Roman"/>
      <w:szCs w:val="24"/>
    </w:rPr>
  </w:style>
  <w:style w:type="paragraph" w:customStyle="1" w:styleId="xl257">
    <w:name w:val="xl257"/>
    <w:basedOn w:val="Normal"/>
    <w:rsid w:val="00247CBF"/>
    <w:pPr>
      <w:pBdr>
        <w:top w:val="double" w:sz="6" w:space="0" w:color="auto"/>
        <w:left w:val="single" w:sz="8" w:space="0" w:color="auto"/>
        <w:bottom w:val="double" w:sz="6" w:space="0" w:color="auto"/>
        <w:right w:val="dashed" w:sz="4" w:space="0" w:color="auto"/>
      </w:pBdr>
      <w:shd w:val="clear" w:color="000000" w:fill="E26B0A"/>
      <w:spacing w:before="100" w:beforeAutospacing="1" w:after="100" w:afterAutospacing="1"/>
      <w:jc w:val="right"/>
      <w:textAlignment w:val="center"/>
    </w:pPr>
    <w:rPr>
      <w:rFonts w:eastAsia="Times New Roman" w:cs="Times New Roman"/>
      <w:b/>
      <w:bCs/>
      <w:szCs w:val="24"/>
    </w:rPr>
  </w:style>
  <w:style w:type="paragraph" w:customStyle="1" w:styleId="xl258">
    <w:name w:val="xl258"/>
    <w:basedOn w:val="Normal"/>
    <w:rsid w:val="00247CBF"/>
    <w:pPr>
      <w:pBdr>
        <w:bottom w:val="dotted" w:sz="4" w:space="0" w:color="auto"/>
        <w:right w:val="dotted" w:sz="4" w:space="0" w:color="auto"/>
      </w:pBdr>
      <w:shd w:val="clear" w:color="000000" w:fill="CCFFFF"/>
      <w:spacing w:before="100" w:beforeAutospacing="1" w:after="100" w:afterAutospacing="1"/>
      <w:jc w:val="right"/>
      <w:textAlignment w:val="center"/>
    </w:pPr>
    <w:rPr>
      <w:rFonts w:eastAsia="Times New Roman" w:cs="Times New Roman"/>
      <w:szCs w:val="24"/>
    </w:rPr>
  </w:style>
  <w:style w:type="paragraph" w:customStyle="1" w:styleId="xl259">
    <w:name w:val="xl259"/>
    <w:basedOn w:val="Normal"/>
    <w:rsid w:val="00247CBF"/>
    <w:pPr>
      <w:pBdr>
        <w:top w:val="single" w:sz="8" w:space="0" w:color="auto"/>
        <w:left w:val="single" w:sz="8" w:space="0" w:color="auto"/>
        <w:bottom w:val="single" w:sz="4" w:space="0" w:color="auto"/>
      </w:pBdr>
      <w:spacing w:before="100" w:beforeAutospacing="1" w:after="100" w:afterAutospacing="1"/>
      <w:jc w:val="right"/>
      <w:textAlignment w:val="center"/>
    </w:pPr>
    <w:rPr>
      <w:rFonts w:eastAsia="Times New Roman" w:cs="Times New Roman"/>
      <w:b/>
      <w:bCs/>
      <w:szCs w:val="24"/>
    </w:rPr>
  </w:style>
  <w:style w:type="paragraph" w:customStyle="1" w:styleId="xl260">
    <w:name w:val="xl260"/>
    <w:basedOn w:val="Normal"/>
    <w:rsid w:val="00247CBF"/>
    <w:pPr>
      <w:pBdr>
        <w:top w:val="single" w:sz="8" w:space="0" w:color="auto"/>
        <w:bottom w:val="single" w:sz="4" w:space="0" w:color="auto"/>
      </w:pBdr>
      <w:spacing w:before="100" w:beforeAutospacing="1" w:after="100" w:afterAutospacing="1"/>
      <w:jc w:val="right"/>
      <w:textAlignment w:val="center"/>
    </w:pPr>
    <w:rPr>
      <w:rFonts w:eastAsia="Times New Roman" w:cs="Times New Roman"/>
      <w:b/>
      <w:bCs/>
      <w:szCs w:val="24"/>
    </w:rPr>
  </w:style>
  <w:style w:type="paragraph" w:customStyle="1" w:styleId="xl261">
    <w:name w:val="xl261"/>
    <w:basedOn w:val="Normal"/>
    <w:rsid w:val="00247CBF"/>
    <w:pPr>
      <w:pBdr>
        <w:top w:val="single" w:sz="8" w:space="0" w:color="auto"/>
        <w:bottom w:val="single" w:sz="4" w:space="0" w:color="auto"/>
        <w:right w:val="double" w:sz="6" w:space="0" w:color="auto"/>
      </w:pBdr>
      <w:spacing w:before="100" w:beforeAutospacing="1" w:after="100" w:afterAutospacing="1"/>
      <w:jc w:val="right"/>
    </w:pPr>
    <w:rPr>
      <w:rFonts w:eastAsia="Times New Roman" w:cs="Times New Roman"/>
      <w:szCs w:val="24"/>
    </w:rPr>
  </w:style>
  <w:style w:type="paragraph" w:customStyle="1" w:styleId="xl262">
    <w:name w:val="xl262"/>
    <w:basedOn w:val="Normal"/>
    <w:rsid w:val="00247CBF"/>
    <w:pPr>
      <w:pBdr>
        <w:left w:val="dotted" w:sz="4" w:space="0" w:color="auto"/>
        <w:bottom w:val="dotted" w:sz="4" w:space="0" w:color="auto"/>
        <w:right w:val="dotted" w:sz="4" w:space="0" w:color="auto"/>
      </w:pBdr>
      <w:shd w:val="clear" w:color="000000" w:fill="CCFFFF"/>
      <w:spacing w:before="100" w:beforeAutospacing="1" w:after="100" w:afterAutospacing="1"/>
      <w:jc w:val="right"/>
      <w:textAlignment w:val="center"/>
    </w:pPr>
    <w:rPr>
      <w:rFonts w:eastAsia="Times New Roman" w:cs="Times New Roman"/>
      <w:szCs w:val="24"/>
    </w:rPr>
  </w:style>
  <w:style w:type="paragraph" w:customStyle="1" w:styleId="xl263">
    <w:name w:val="xl263"/>
    <w:basedOn w:val="Normal"/>
    <w:rsid w:val="00247CBF"/>
    <w:pPr>
      <w:pBdr>
        <w:top w:val="dotted" w:sz="4" w:space="0" w:color="auto"/>
        <w:bottom w:val="dotted" w:sz="4" w:space="0" w:color="auto"/>
        <w:right w:val="dotted" w:sz="4" w:space="0" w:color="auto"/>
      </w:pBdr>
      <w:spacing w:before="100" w:beforeAutospacing="1" w:after="100" w:afterAutospacing="1"/>
      <w:jc w:val="right"/>
      <w:textAlignment w:val="center"/>
    </w:pPr>
    <w:rPr>
      <w:rFonts w:eastAsia="Times New Roman" w:cs="Times New Roman"/>
      <w:szCs w:val="24"/>
    </w:rPr>
  </w:style>
  <w:style w:type="paragraph" w:customStyle="1" w:styleId="xl264">
    <w:name w:val="xl264"/>
    <w:basedOn w:val="Normal"/>
    <w:rsid w:val="00247CBF"/>
    <w:pPr>
      <w:pBdr>
        <w:top w:val="dotted" w:sz="4" w:space="0" w:color="auto"/>
        <w:left w:val="dotted" w:sz="4" w:space="0" w:color="auto"/>
        <w:bottom w:val="dotted" w:sz="4" w:space="0" w:color="auto"/>
        <w:right w:val="dotted" w:sz="4" w:space="0" w:color="auto"/>
      </w:pBdr>
      <w:spacing w:before="100" w:beforeAutospacing="1" w:after="100" w:afterAutospacing="1"/>
      <w:jc w:val="right"/>
      <w:textAlignment w:val="center"/>
    </w:pPr>
    <w:rPr>
      <w:rFonts w:eastAsia="Times New Roman" w:cs="Times New Roman"/>
      <w:szCs w:val="24"/>
    </w:rPr>
  </w:style>
  <w:style w:type="paragraph" w:customStyle="1" w:styleId="xl265">
    <w:name w:val="xl265"/>
    <w:basedOn w:val="Normal"/>
    <w:rsid w:val="00247CBF"/>
    <w:pPr>
      <w:pBdr>
        <w:top w:val="dotted" w:sz="4" w:space="0" w:color="auto"/>
        <w:left w:val="dotted" w:sz="4" w:space="0" w:color="auto"/>
        <w:bottom w:val="dotted" w:sz="4" w:space="0" w:color="auto"/>
        <w:right w:val="double" w:sz="6" w:space="0" w:color="auto"/>
      </w:pBdr>
      <w:spacing w:before="100" w:beforeAutospacing="1" w:after="100" w:afterAutospacing="1"/>
      <w:jc w:val="right"/>
    </w:pPr>
    <w:rPr>
      <w:rFonts w:eastAsia="Times New Roman" w:cs="Times New Roman"/>
      <w:szCs w:val="24"/>
    </w:rPr>
  </w:style>
  <w:style w:type="paragraph" w:customStyle="1" w:styleId="xl266">
    <w:name w:val="xl266"/>
    <w:basedOn w:val="Normal"/>
    <w:rsid w:val="00247CBF"/>
    <w:pPr>
      <w:pBdr>
        <w:left w:val="single" w:sz="8" w:space="0" w:color="auto"/>
        <w:bottom w:val="single" w:sz="4" w:space="0" w:color="auto"/>
      </w:pBdr>
      <w:spacing w:before="100" w:beforeAutospacing="1" w:after="100" w:afterAutospacing="1"/>
      <w:jc w:val="right"/>
      <w:textAlignment w:val="center"/>
    </w:pPr>
    <w:rPr>
      <w:rFonts w:eastAsia="Times New Roman" w:cs="Times New Roman"/>
      <w:b/>
      <w:bCs/>
      <w:szCs w:val="24"/>
    </w:rPr>
  </w:style>
  <w:style w:type="paragraph" w:customStyle="1" w:styleId="xl267">
    <w:name w:val="xl267"/>
    <w:basedOn w:val="Normal"/>
    <w:rsid w:val="00247CBF"/>
    <w:pPr>
      <w:pBdr>
        <w:bottom w:val="single" w:sz="4" w:space="0" w:color="auto"/>
      </w:pBdr>
      <w:spacing w:before="100" w:beforeAutospacing="1" w:after="100" w:afterAutospacing="1"/>
      <w:jc w:val="right"/>
      <w:textAlignment w:val="center"/>
    </w:pPr>
    <w:rPr>
      <w:rFonts w:eastAsia="Times New Roman" w:cs="Times New Roman"/>
      <w:b/>
      <w:bCs/>
      <w:szCs w:val="24"/>
    </w:rPr>
  </w:style>
  <w:style w:type="paragraph" w:customStyle="1" w:styleId="xl268">
    <w:name w:val="xl268"/>
    <w:basedOn w:val="Normal"/>
    <w:rsid w:val="00247CBF"/>
    <w:pPr>
      <w:pBdr>
        <w:bottom w:val="single" w:sz="4" w:space="0" w:color="auto"/>
        <w:right w:val="double" w:sz="6" w:space="0" w:color="auto"/>
      </w:pBdr>
      <w:spacing w:before="100" w:beforeAutospacing="1" w:after="100" w:afterAutospacing="1"/>
      <w:jc w:val="right"/>
    </w:pPr>
    <w:rPr>
      <w:rFonts w:eastAsia="Times New Roman" w:cs="Times New Roman"/>
      <w:szCs w:val="24"/>
    </w:rPr>
  </w:style>
  <w:style w:type="paragraph" w:customStyle="1" w:styleId="xl269">
    <w:name w:val="xl269"/>
    <w:basedOn w:val="Normal"/>
    <w:rsid w:val="00247CBF"/>
    <w:pPr>
      <w:pBdr>
        <w:top w:val="dashed" w:sz="4" w:space="0" w:color="auto"/>
        <w:left w:val="dashed" w:sz="4" w:space="0" w:color="auto"/>
        <w:bottom w:val="dashed" w:sz="4" w:space="0" w:color="auto"/>
        <w:right w:val="dashed" w:sz="4" w:space="0" w:color="auto"/>
      </w:pBdr>
      <w:shd w:val="clear" w:color="000000" w:fill="CCFFFF"/>
      <w:spacing w:before="100" w:beforeAutospacing="1" w:after="100" w:afterAutospacing="1"/>
      <w:jc w:val="right"/>
    </w:pPr>
    <w:rPr>
      <w:rFonts w:eastAsia="Times New Roman" w:cs="Times New Roman"/>
      <w:szCs w:val="24"/>
    </w:rPr>
  </w:style>
  <w:style w:type="paragraph" w:customStyle="1" w:styleId="xl270">
    <w:name w:val="xl270"/>
    <w:basedOn w:val="Normal"/>
    <w:rsid w:val="00247CBF"/>
    <w:pPr>
      <w:pBdr>
        <w:top w:val="dashed" w:sz="4" w:space="0" w:color="auto"/>
        <w:bottom w:val="dashed" w:sz="4" w:space="0" w:color="auto"/>
        <w:right w:val="dashed" w:sz="4" w:space="0" w:color="auto"/>
      </w:pBdr>
      <w:shd w:val="clear" w:color="000000" w:fill="CCFFFF"/>
      <w:spacing w:before="100" w:beforeAutospacing="1" w:after="100" w:afterAutospacing="1"/>
      <w:jc w:val="right"/>
    </w:pPr>
    <w:rPr>
      <w:rFonts w:eastAsia="Times New Roman" w:cs="Times New Roman"/>
      <w:szCs w:val="24"/>
    </w:rPr>
  </w:style>
  <w:style w:type="paragraph" w:customStyle="1" w:styleId="xl271">
    <w:name w:val="xl271"/>
    <w:basedOn w:val="Normal"/>
    <w:rsid w:val="00247CBF"/>
    <w:pPr>
      <w:pBdr>
        <w:top w:val="dashed" w:sz="4" w:space="0" w:color="auto"/>
        <w:bottom w:val="dashed" w:sz="4" w:space="0" w:color="auto"/>
        <w:right w:val="dashed" w:sz="4" w:space="0" w:color="auto"/>
      </w:pBdr>
      <w:shd w:val="clear" w:color="000000" w:fill="CCFFFF"/>
      <w:spacing w:before="100" w:beforeAutospacing="1" w:after="100" w:afterAutospacing="1"/>
      <w:jc w:val="right"/>
    </w:pPr>
    <w:rPr>
      <w:rFonts w:eastAsia="Times New Roman" w:cs="Times New Roman"/>
      <w:szCs w:val="24"/>
    </w:rPr>
  </w:style>
  <w:style w:type="paragraph" w:customStyle="1" w:styleId="xl272">
    <w:name w:val="xl272"/>
    <w:basedOn w:val="Normal"/>
    <w:rsid w:val="00247CBF"/>
    <w:pPr>
      <w:pBdr>
        <w:left w:val="dashed" w:sz="4" w:space="0" w:color="auto"/>
        <w:bottom w:val="dashed" w:sz="4" w:space="0" w:color="auto"/>
        <w:right w:val="dashed" w:sz="4" w:space="0" w:color="auto"/>
      </w:pBdr>
      <w:shd w:val="clear" w:color="000000" w:fill="CCFFFF"/>
      <w:spacing w:before="100" w:beforeAutospacing="1" w:after="100" w:afterAutospacing="1"/>
      <w:jc w:val="right"/>
    </w:pPr>
    <w:rPr>
      <w:rFonts w:eastAsia="Times New Roman" w:cs="Times New Roman"/>
      <w:szCs w:val="24"/>
    </w:rPr>
  </w:style>
  <w:style w:type="paragraph" w:customStyle="1" w:styleId="xl273">
    <w:name w:val="xl273"/>
    <w:basedOn w:val="Normal"/>
    <w:rsid w:val="00247CBF"/>
    <w:pPr>
      <w:pBdr>
        <w:top w:val="dashed" w:sz="4" w:space="0" w:color="auto"/>
        <w:bottom w:val="single" w:sz="4" w:space="0" w:color="auto"/>
        <w:right w:val="dashed" w:sz="4" w:space="0" w:color="auto"/>
      </w:pBdr>
      <w:shd w:val="clear" w:color="000000" w:fill="CCFFFF"/>
      <w:spacing w:before="100" w:beforeAutospacing="1" w:after="100" w:afterAutospacing="1"/>
      <w:jc w:val="right"/>
    </w:pPr>
    <w:rPr>
      <w:rFonts w:eastAsia="Times New Roman" w:cs="Times New Roman"/>
      <w:szCs w:val="24"/>
    </w:rPr>
  </w:style>
  <w:style w:type="paragraph" w:customStyle="1" w:styleId="xl274">
    <w:name w:val="xl274"/>
    <w:basedOn w:val="Normal"/>
    <w:rsid w:val="00247CBF"/>
    <w:pPr>
      <w:pBdr>
        <w:top w:val="dashed" w:sz="4" w:space="0" w:color="auto"/>
        <w:left w:val="dashed" w:sz="4" w:space="0" w:color="auto"/>
        <w:bottom w:val="single" w:sz="4" w:space="0" w:color="auto"/>
        <w:right w:val="dashed" w:sz="4" w:space="0" w:color="auto"/>
      </w:pBdr>
      <w:shd w:val="clear" w:color="000000" w:fill="CCFFFF"/>
      <w:spacing w:before="100" w:beforeAutospacing="1" w:after="100" w:afterAutospacing="1"/>
      <w:jc w:val="right"/>
    </w:pPr>
    <w:rPr>
      <w:rFonts w:eastAsia="Times New Roman" w:cs="Times New Roman"/>
      <w:szCs w:val="24"/>
    </w:rPr>
  </w:style>
  <w:style w:type="paragraph" w:customStyle="1" w:styleId="xl275">
    <w:name w:val="xl275"/>
    <w:basedOn w:val="Normal"/>
    <w:rsid w:val="00247CBF"/>
    <w:pPr>
      <w:pBdr>
        <w:top w:val="dashed" w:sz="4" w:space="0" w:color="auto"/>
        <w:right w:val="dashed" w:sz="4" w:space="0" w:color="auto"/>
      </w:pBdr>
      <w:shd w:val="clear" w:color="000000" w:fill="CCFFFF"/>
      <w:spacing w:before="100" w:beforeAutospacing="1" w:after="100" w:afterAutospacing="1"/>
      <w:jc w:val="right"/>
    </w:pPr>
    <w:rPr>
      <w:rFonts w:eastAsia="Times New Roman" w:cs="Times New Roman"/>
      <w:szCs w:val="24"/>
    </w:rPr>
  </w:style>
  <w:style w:type="paragraph" w:customStyle="1" w:styleId="xl276">
    <w:name w:val="xl276"/>
    <w:basedOn w:val="Normal"/>
    <w:rsid w:val="00247CBF"/>
    <w:pPr>
      <w:pBdr>
        <w:top w:val="dashed" w:sz="4" w:space="0" w:color="auto"/>
        <w:left w:val="dashed" w:sz="4" w:space="0" w:color="auto"/>
        <w:right w:val="dashed" w:sz="4" w:space="0" w:color="auto"/>
      </w:pBdr>
      <w:shd w:val="clear" w:color="000000" w:fill="CCFFFF"/>
      <w:spacing w:before="100" w:beforeAutospacing="1" w:after="100" w:afterAutospacing="1"/>
      <w:jc w:val="right"/>
    </w:pPr>
    <w:rPr>
      <w:rFonts w:eastAsia="Times New Roman" w:cs="Times New Roman"/>
      <w:szCs w:val="24"/>
    </w:rPr>
  </w:style>
  <w:style w:type="paragraph" w:customStyle="1" w:styleId="xl277">
    <w:name w:val="xl277"/>
    <w:basedOn w:val="Normal"/>
    <w:rsid w:val="00247CBF"/>
    <w:pPr>
      <w:pBdr>
        <w:top w:val="single" w:sz="8" w:space="0" w:color="auto"/>
        <w:left w:val="single" w:sz="8" w:space="0" w:color="auto"/>
        <w:bottom w:val="single" w:sz="8" w:space="0" w:color="auto"/>
      </w:pBdr>
      <w:shd w:val="clear" w:color="000000" w:fill="FFFFFF"/>
      <w:spacing w:before="100" w:beforeAutospacing="1" w:after="100" w:afterAutospacing="1"/>
      <w:jc w:val="right"/>
    </w:pPr>
    <w:rPr>
      <w:rFonts w:eastAsia="Times New Roman" w:cs="Times New Roman"/>
      <w:szCs w:val="24"/>
    </w:rPr>
  </w:style>
  <w:style w:type="paragraph" w:customStyle="1" w:styleId="xl278">
    <w:name w:val="xl278"/>
    <w:basedOn w:val="Normal"/>
    <w:rsid w:val="00247CBF"/>
    <w:pPr>
      <w:pBdr>
        <w:top w:val="single" w:sz="8" w:space="0" w:color="auto"/>
        <w:bottom w:val="single" w:sz="8" w:space="0" w:color="auto"/>
      </w:pBdr>
      <w:shd w:val="clear" w:color="000000" w:fill="FFFFFF"/>
      <w:spacing w:before="100" w:beforeAutospacing="1" w:after="100" w:afterAutospacing="1"/>
      <w:jc w:val="right"/>
    </w:pPr>
    <w:rPr>
      <w:rFonts w:eastAsia="Times New Roman" w:cs="Times New Roman"/>
      <w:szCs w:val="24"/>
    </w:rPr>
  </w:style>
  <w:style w:type="paragraph" w:customStyle="1" w:styleId="xl279">
    <w:name w:val="xl279"/>
    <w:basedOn w:val="Normal"/>
    <w:rsid w:val="00247CBF"/>
    <w:pPr>
      <w:pBdr>
        <w:bottom w:val="single" w:sz="4" w:space="0" w:color="auto"/>
        <w:right w:val="dashed" w:sz="4" w:space="0" w:color="auto"/>
      </w:pBdr>
      <w:shd w:val="clear" w:color="000000" w:fill="FFFFFF"/>
      <w:spacing w:before="100" w:beforeAutospacing="1" w:after="100" w:afterAutospacing="1"/>
      <w:jc w:val="right"/>
    </w:pPr>
    <w:rPr>
      <w:rFonts w:eastAsia="Times New Roman" w:cs="Times New Roman"/>
      <w:szCs w:val="24"/>
    </w:rPr>
  </w:style>
  <w:style w:type="paragraph" w:customStyle="1" w:styleId="xl280">
    <w:name w:val="xl280"/>
    <w:basedOn w:val="Normal"/>
    <w:rsid w:val="00247CBF"/>
    <w:pPr>
      <w:pBdr>
        <w:left w:val="dashed" w:sz="4" w:space="0" w:color="auto"/>
        <w:bottom w:val="single" w:sz="4" w:space="0" w:color="auto"/>
        <w:right w:val="dashed" w:sz="4" w:space="0" w:color="auto"/>
      </w:pBdr>
      <w:shd w:val="clear" w:color="000000" w:fill="FFFFFF"/>
      <w:spacing w:before="100" w:beforeAutospacing="1" w:after="100" w:afterAutospacing="1"/>
      <w:jc w:val="right"/>
    </w:pPr>
    <w:rPr>
      <w:rFonts w:eastAsia="Times New Roman" w:cs="Times New Roman"/>
      <w:szCs w:val="24"/>
    </w:rPr>
  </w:style>
  <w:style w:type="paragraph" w:customStyle="1" w:styleId="xl281">
    <w:name w:val="xl281"/>
    <w:basedOn w:val="Normal"/>
    <w:rsid w:val="00247CBF"/>
    <w:pPr>
      <w:pBdr>
        <w:bottom w:val="single" w:sz="4" w:space="0" w:color="auto"/>
      </w:pBdr>
      <w:shd w:val="clear" w:color="000000" w:fill="FFFFFF"/>
      <w:spacing w:before="100" w:beforeAutospacing="1" w:after="100" w:afterAutospacing="1"/>
      <w:jc w:val="right"/>
      <w:textAlignment w:val="center"/>
    </w:pPr>
    <w:rPr>
      <w:rFonts w:eastAsia="Times New Roman" w:cs="Times New Roman"/>
      <w:b/>
      <w:bCs/>
      <w:szCs w:val="24"/>
    </w:rPr>
  </w:style>
  <w:style w:type="paragraph" w:customStyle="1" w:styleId="xl282">
    <w:name w:val="xl282"/>
    <w:basedOn w:val="Normal"/>
    <w:rsid w:val="00247CBF"/>
    <w:pPr>
      <w:pBdr>
        <w:bottom w:val="single" w:sz="4" w:space="0" w:color="auto"/>
        <w:right w:val="double" w:sz="6" w:space="0" w:color="auto"/>
      </w:pBdr>
      <w:shd w:val="clear" w:color="000000" w:fill="FFFFFF"/>
      <w:spacing w:before="100" w:beforeAutospacing="1" w:after="100" w:afterAutospacing="1"/>
      <w:jc w:val="right"/>
      <w:textAlignment w:val="center"/>
    </w:pPr>
    <w:rPr>
      <w:rFonts w:eastAsia="Times New Roman" w:cs="Times New Roman"/>
      <w:b/>
      <w:bCs/>
      <w:szCs w:val="24"/>
    </w:rPr>
  </w:style>
  <w:style w:type="paragraph" w:customStyle="1" w:styleId="xl283">
    <w:name w:val="xl283"/>
    <w:basedOn w:val="Normal"/>
    <w:rsid w:val="00247CBF"/>
    <w:pPr>
      <w:pBdr>
        <w:bottom w:val="single" w:sz="4" w:space="0" w:color="auto"/>
      </w:pBdr>
      <w:shd w:val="clear" w:color="000000" w:fill="FFFFFF"/>
      <w:spacing w:before="100" w:beforeAutospacing="1" w:after="100" w:afterAutospacing="1"/>
      <w:jc w:val="right"/>
      <w:textAlignment w:val="center"/>
    </w:pPr>
    <w:rPr>
      <w:rFonts w:eastAsia="Times New Roman" w:cs="Times New Roman"/>
      <w:b/>
      <w:bCs/>
      <w:szCs w:val="24"/>
    </w:rPr>
  </w:style>
  <w:style w:type="paragraph" w:customStyle="1" w:styleId="xl284">
    <w:name w:val="xl284"/>
    <w:basedOn w:val="Normal"/>
    <w:rsid w:val="00247CBF"/>
    <w:pPr>
      <w:pBdr>
        <w:top w:val="dotted" w:sz="4" w:space="0" w:color="auto"/>
        <w:bottom w:val="single" w:sz="4" w:space="0" w:color="auto"/>
        <w:right w:val="dotted" w:sz="4" w:space="0" w:color="auto"/>
      </w:pBdr>
      <w:shd w:val="clear" w:color="000000" w:fill="CCFFFF"/>
      <w:spacing w:before="100" w:beforeAutospacing="1" w:after="100" w:afterAutospacing="1"/>
      <w:jc w:val="right"/>
      <w:textAlignment w:val="center"/>
    </w:pPr>
    <w:rPr>
      <w:rFonts w:eastAsia="Times New Roman" w:cs="Times New Roman"/>
      <w:szCs w:val="24"/>
    </w:rPr>
  </w:style>
  <w:style w:type="paragraph" w:customStyle="1" w:styleId="xl285">
    <w:name w:val="xl285"/>
    <w:basedOn w:val="Normal"/>
    <w:rsid w:val="00247CBF"/>
    <w:pPr>
      <w:pBdr>
        <w:top w:val="single" w:sz="4" w:space="0" w:color="auto"/>
        <w:bottom w:val="single" w:sz="4" w:space="0" w:color="auto"/>
      </w:pBdr>
      <w:shd w:val="clear" w:color="000000" w:fill="FFFFFF"/>
      <w:spacing w:before="100" w:beforeAutospacing="1" w:after="100" w:afterAutospacing="1"/>
      <w:jc w:val="right"/>
      <w:textAlignment w:val="center"/>
    </w:pPr>
    <w:rPr>
      <w:rFonts w:eastAsia="Times New Roman" w:cs="Times New Roman"/>
      <w:b/>
      <w:bCs/>
      <w:szCs w:val="24"/>
    </w:rPr>
  </w:style>
  <w:style w:type="paragraph" w:customStyle="1" w:styleId="xl286">
    <w:name w:val="xl286"/>
    <w:basedOn w:val="Normal"/>
    <w:rsid w:val="00247CBF"/>
    <w:pPr>
      <w:pBdr>
        <w:bottom w:val="double" w:sz="6" w:space="0" w:color="auto"/>
      </w:pBdr>
      <w:shd w:val="clear" w:color="000000" w:fill="FFFFFF"/>
      <w:spacing w:before="100" w:beforeAutospacing="1" w:after="100" w:afterAutospacing="1"/>
      <w:jc w:val="right"/>
    </w:pPr>
    <w:rPr>
      <w:rFonts w:eastAsia="Times New Roman" w:cs="Times New Roman"/>
      <w:szCs w:val="24"/>
    </w:rPr>
  </w:style>
  <w:style w:type="paragraph" w:customStyle="1" w:styleId="xl287">
    <w:name w:val="xl287"/>
    <w:basedOn w:val="Normal"/>
    <w:rsid w:val="00247CBF"/>
    <w:pPr>
      <w:pBdr>
        <w:top w:val="single" w:sz="4" w:space="0" w:color="auto"/>
        <w:left w:val="single" w:sz="8" w:space="0" w:color="auto"/>
        <w:bottom w:val="single" w:sz="4" w:space="0" w:color="auto"/>
      </w:pBdr>
      <w:shd w:val="clear" w:color="000000" w:fill="FFFFFF"/>
      <w:spacing w:before="100" w:beforeAutospacing="1" w:after="100" w:afterAutospacing="1"/>
      <w:jc w:val="right"/>
    </w:pPr>
    <w:rPr>
      <w:rFonts w:eastAsia="Times New Roman" w:cs="Times New Roman"/>
      <w:szCs w:val="24"/>
    </w:rPr>
  </w:style>
  <w:style w:type="paragraph" w:customStyle="1" w:styleId="xl288">
    <w:name w:val="xl288"/>
    <w:basedOn w:val="Normal"/>
    <w:rsid w:val="00247CBF"/>
    <w:pPr>
      <w:pBdr>
        <w:top w:val="single" w:sz="4" w:space="0" w:color="auto"/>
        <w:bottom w:val="single" w:sz="4" w:space="0" w:color="auto"/>
      </w:pBdr>
      <w:shd w:val="clear" w:color="000000" w:fill="FFFFFF"/>
      <w:spacing w:before="100" w:beforeAutospacing="1" w:after="100" w:afterAutospacing="1"/>
      <w:jc w:val="right"/>
    </w:pPr>
    <w:rPr>
      <w:rFonts w:eastAsia="Times New Roman" w:cs="Times New Roman"/>
      <w:szCs w:val="24"/>
    </w:rPr>
  </w:style>
  <w:style w:type="paragraph" w:customStyle="1" w:styleId="xl289">
    <w:name w:val="xl289"/>
    <w:basedOn w:val="Normal"/>
    <w:rsid w:val="00247CBF"/>
    <w:pPr>
      <w:pBdr>
        <w:top w:val="double" w:sz="6" w:space="0" w:color="auto"/>
        <w:left w:val="single" w:sz="8" w:space="0" w:color="auto"/>
        <w:bottom w:val="double" w:sz="6" w:space="0" w:color="auto"/>
        <w:right w:val="dashed" w:sz="4" w:space="0" w:color="auto"/>
      </w:pBdr>
      <w:shd w:val="clear" w:color="000000" w:fill="FFCC99"/>
      <w:spacing w:before="100" w:beforeAutospacing="1" w:after="100" w:afterAutospacing="1"/>
      <w:jc w:val="right"/>
      <w:textAlignment w:val="center"/>
    </w:pPr>
    <w:rPr>
      <w:rFonts w:eastAsia="Times New Roman" w:cs="Times New Roman"/>
      <w:b/>
      <w:bCs/>
      <w:szCs w:val="24"/>
    </w:rPr>
  </w:style>
  <w:style w:type="paragraph" w:customStyle="1" w:styleId="xl290">
    <w:name w:val="xl290"/>
    <w:basedOn w:val="Normal"/>
    <w:rsid w:val="00247CBF"/>
    <w:pPr>
      <w:pBdr>
        <w:top w:val="double" w:sz="6" w:space="0" w:color="auto"/>
        <w:left w:val="dashed" w:sz="4" w:space="0" w:color="auto"/>
        <w:bottom w:val="double" w:sz="6" w:space="0" w:color="auto"/>
        <w:right w:val="dashed" w:sz="4" w:space="0" w:color="auto"/>
      </w:pBdr>
      <w:shd w:val="clear" w:color="000000" w:fill="FFCC99"/>
      <w:spacing w:before="100" w:beforeAutospacing="1" w:after="100" w:afterAutospacing="1"/>
      <w:jc w:val="right"/>
      <w:textAlignment w:val="center"/>
    </w:pPr>
    <w:rPr>
      <w:rFonts w:eastAsia="Times New Roman" w:cs="Times New Roman"/>
      <w:b/>
      <w:bCs/>
      <w:szCs w:val="24"/>
    </w:rPr>
  </w:style>
  <w:style w:type="paragraph" w:customStyle="1" w:styleId="xl291">
    <w:name w:val="xl291"/>
    <w:basedOn w:val="Normal"/>
    <w:rsid w:val="00247CBF"/>
    <w:pPr>
      <w:pBdr>
        <w:top w:val="double" w:sz="6" w:space="0" w:color="auto"/>
        <w:left w:val="dashed" w:sz="4" w:space="0" w:color="auto"/>
        <w:bottom w:val="double" w:sz="6" w:space="0" w:color="auto"/>
        <w:right w:val="double" w:sz="6" w:space="0" w:color="auto"/>
      </w:pBdr>
      <w:shd w:val="clear" w:color="000000" w:fill="FFCC99"/>
      <w:spacing w:before="100" w:beforeAutospacing="1" w:after="100" w:afterAutospacing="1"/>
      <w:jc w:val="right"/>
      <w:textAlignment w:val="center"/>
    </w:pPr>
    <w:rPr>
      <w:rFonts w:eastAsia="Times New Roman" w:cs="Times New Roman"/>
      <w:b/>
      <w:bCs/>
      <w:szCs w:val="24"/>
    </w:rPr>
  </w:style>
  <w:style w:type="paragraph" w:customStyle="1" w:styleId="xl292">
    <w:name w:val="xl292"/>
    <w:basedOn w:val="Normal"/>
    <w:rsid w:val="00247CBF"/>
    <w:pPr>
      <w:pBdr>
        <w:top w:val="double" w:sz="6" w:space="0" w:color="auto"/>
        <w:left w:val="single" w:sz="8" w:space="0" w:color="auto"/>
        <w:bottom w:val="double" w:sz="6" w:space="0" w:color="auto"/>
        <w:right w:val="dashed" w:sz="4" w:space="0" w:color="auto"/>
      </w:pBdr>
      <w:shd w:val="clear" w:color="000000" w:fill="CCCCFF"/>
      <w:spacing w:before="100" w:beforeAutospacing="1" w:after="100" w:afterAutospacing="1"/>
      <w:jc w:val="right"/>
      <w:textAlignment w:val="center"/>
    </w:pPr>
    <w:rPr>
      <w:rFonts w:eastAsia="Times New Roman" w:cs="Times New Roman"/>
      <w:b/>
      <w:bCs/>
      <w:szCs w:val="24"/>
    </w:rPr>
  </w:style>
  <w:style w:type="paragraph" w:customStyle="1" w:styleId="xl293">
    <w:name w:val="xl293"/>
    <w:basedOn w:val="Normal"/>
    <w:rsid w:val="00247CBF"/>
    <w:pPr>
      <w:pBdr>
        <w:top w:val="double" w:sz="6" w:space="0" w:color="auto"/>
        <w:left w:val="dashed" w:sz="4" w:space="0" w:color="auto"/>
        <w:bottom w:val="double" w:sz="6" w:space="0" w:color="auto"/>
        <w:right w:val="dashed" w:sz="4" w:space="0" w:color="auto"/>
      </w:pBdr>
      <w:shd w:val="clear" w:color="000000" w:fill="CCCCFF"/>
      <w:spacing w:before="100" w:beforeAutospacing="1" w:after="100" w:afterAutospacing="1"/>
      <w:jc w:val="right"/>
      <w:textAlignment w:val="center"/>
    </w:pPr>
    <w:rPr>
      <w:rFonts w:eastAsia="Times New Roman" w:cs="Times New Roman"/>
      <w:b/>
      <w:bCs/>
      <w:szCs w:val="24"/>
    </w:rPr>
  </w:style>
  <w:style w:type="paragraph" w:customStyle="1" w:styleId="xl294">
    <w:name w:val="xl294"/>
    <w:basedOn w:val="Normal"/>
    <w:rsid w:val="00247CBF"/>
    <w:pPr>
      <w:pBdr>
        <w:top w:val="double" w:sz="6" w:space="0" w:color="auto"/>
        <w:left w:val="dashed" w:sz="4" w:space="0" w:color="auto"/>
        <w:bottom w:val="double" w:sz="6" w:space="0" w:color="auto"/>
        <w:right w:val="double" w:sz="6" w:space="0" w:color="auto"/>
      </w:pBdr>
      <w:shd w:val="clear" w:color="000000" w:fill="CCCCFF"/>
      <w:spacing w:before="100" w:beforeAutospacing="1" w:after="100" w:afterAutospacing="1"/>
      <w:jc w:val="right"/>
      <w:textAlignment w:val="center"/>
    </w:pPr>
    <w:rPr>
      <w:rFonts w:eastAsia="Times New Roman" w:cs="Times New Roman"/>
      <w:b/>
      <w:bCs/>
      <w:szCs w:val="24"/>
    </w:rPr>
  </w:style>
  <w:style w:type="paragraph" w:customStyle="1" w:styleId="xl295">
    <w:name w:val="xl295"/>
    <w:basedOn w:val="Normal"/>
    <w:rsid w:val="00247CBF"/>
    <w:pPr>
      <w:shd w:val="clear" w:color="000000" w:fill="FFFFFF"/>
      <w:spacing w:before="100" w:beforeAutospacing="1" w:after="100" w:afterAutospacing="1"/>
      <w:jc w:val="right"/>
    </w:pPr>
    <w:rPr>
      <w:rFonts w:eastAsia="Times New Roman" w:cs="Times New Roman"/>
      <w:szCs w:val="24"/>
    </w:rPr>
  </w:style>
  <w:style w:type="paragraph" w:customStyle="1" w:styleId="xl296">
    <w:name w:val="xl296"/>
    <w:basedOn w:val="Normal"/>
    <w:rsid w:val="00247CBF"/>
    <w:pPr>
      <w:pBdr>
        <w:bottom w:val="dashed" w:sz="4" w:space="0" w:color="auto"/>
        <w:right w:val="dashed" w:sz="4" w:space="0" w:color="auto"/>
      </w:pBdr>
      <w:shd w:val="clear" w:color="000000" w:fill="CCFFFF"/>
      <w:spacing w:before="100" w:beforeAutospacing="1" w:after="100" w:afterAutospacing="1"/>
      <w:jc w:val="right"/>
    </w:pPr>
    <w:rPr>
      <w:rFonts w:eastAsia="Times New Roman" w:cs="Times New Roman"/>
      <w:szCs w:val="24"/>
    </w:rPr>
  </w:style>
  <w:style w:type="paragraph" w:customStyle="1" w:styleId="xl297">
    <w:name w:val="xl297"/>
    <w:basedOn w:val="Normal"/>
    <w:rsid w:val="00247CBF"/>
    <w:pPr>
      <w:spacing w:before="100" w:beforeAutospacing="1" w:after="100" w:afterAutospacing="1"/>
      <w:jc w:val="right"/>
    </w:pPr>
    <w:rPr>
      <w:rFonts w:ascii="Arial" w:eastAsia="Times New Roman" w:hAnsi="Arial" w:cs="Arial"/>
      <w:b/>
      <w:bCs/>
      <w:szCs w:val="24"/>
    </w:rPr>
  </w:style>
  <w:style w:type="paragraph" w:customStyle="1" w:styleId="xl298">
    <w:name w:val="xl298"/>
    <w:basedOn w:val="Normal"/>
    <w:rsid w:val="00247CBF"/>
    <w:pPr>
      <w:pBdr>
        <w:top w:val="single" w:sz="4" w:space="0" w:color="auto"/>
        <w:left w:val="single" w:sz="8" w:space="0" w:color="auto"/>
        <w:bottom w:val="single" w:sz="4" w:space="0" w:color="auto"/>
        <w:right w:val="dotted" w:sz="4" w:space="0" w:color="auto"/>
      </w:pBdr>
      <w:shd w:val="clear" w:color="000000" w:fill="FFFF99"/>
      <w:spacing w:before="100" w:beforeAutospacing="1" w:after="100" w:afterAutospacing="1"/>
      <w:jc w:val="right"/>
      <w:textAlignment w:val="center"/>
    </w:pPr>
    <w:rPr>
      <w:rFonts w:eastAsia="Times New Roman" w:cs="Times New Roman"/>
      <w:szCs w:val="24"/>
    </w:rPr>
  </w:style>
  <w:style w:type="paragraph" w:customStyle="1" w:styleId="xl299">
    <w:name w:val="xl299"/>
    <w:basedOn w:val="Normal"/>
    <w:rsid w:val="00247CBF"/>
    <w:pPr>
      <w:shd w:val="clear" w:color="000000" w:fill="FFFFFF"/>
      <w:spacing w:before="100" w:beforeAutospacing="1" w:after="100" w:afterAutospacing="1"/>
      <w:jc w:val="right"/>
    </w:pPr>
    <w:rPr>
      <w:rFonts w:eastAsia="Times New Roman" w:cs="Times New Roman"/>
      <w:szCs w:val="24"/>
    </w:rPr>
  </w:style>
  <w:style w:type="paragraph" w:customStyle="1" w:styleId="xl300">
    <w:name w:val="xl300"/>
    <w:basedOn w:val="Normal"/>
    <w:rsid w:val="00247CBF"/>
    <w:pPr>
      <w:pBdr>
        <w:top w:val="double" w:sz="6" w:space="0" w:color="auto"/>
        <w:left w:val="single" w:sz="8" w:space="0" w:color="auto"/>
        <w:bottom w:val="double" w:sz="6" w:space="0" w:color="auto"/>
      </w:pBdr>
      <w:shd w:val="clear" w:color="000000" w:fill="CC99FF"/>
      <w:spacing w:before="100" w:beforeAutospacing="1" w:after="100" w:afterAutospacing="1"/>
      <w:jc w:val="right"/>
    </w:pPr>
    <w:rPr>
      <w:rFonts w:eastAsia="Times New Roman" w:cs="Times New Roman"/>
      <w:b/>
      <w:bCs/>
      <w:szCs w:val="24"/>
    </w:rPr>
  </w:style>
  <w:style w:type="paragraph" w:customStyle="1" w:styleId="xl301">
    <w:name w:val="xl301"/>
    <w:basedOn w:val="Normal"/>
    <w:rsid w:val="00247CBF"/>
    <w:pPr>
      <w:pBdr>
        <w:top w:val="double" w:sz="6" w:space="0" w:color="auto"/>
        <w:bottom w:val="double" w:sz="6" w:space="0" w:color="auto"/>
      </w:pBdr>
      <w:shd w:val="clear" w:color="000000" w:fill="CC99FF"/>
      <w:spacing w:before="100" w:beforeAutospacing="1" w:after="100" w:afterAutospacing="1"/>
      <w:jc w:val="right"/>
    </w:pPr>
    <w:rPr>
      <w:rFonts w:eastAsia="Times New Roman" w:cs="Times New Roman"/>
      <w:b/>
      <w:bCs/>
      <w:szCs w:val="24"/>
    </w:rPr>
  </w:style>
  <w:style w:type="paragraph" w:customStyle="1" w:styleId="xl302">
    <w:name w:val="xl302"/>
    <w:basedOn w:val="Normal"/>
    <w:rsid w:val="00247CBF"/>
    <w:pPr>
      <w:pBdr>
        <w:top w:val="double" w:sz="6" w:space="0" w:color="auto"/>
        <w:bottom w:val="double" w:sz="6" w:space="0" w:color="auto"/>
        <w:right w:val="double" w:sz="6" w:space="0" w:color="auto"/>
      </w:pBdr>
      <w:shd w:val="clear" w:color="000000" w:fill="CC99FF"/>
      <w:spacing w:before="100" w:beforeAutospacing="1" w:after="100" w:afterAutospacing="1"/>
      <w:jc w:val="right"/>
    </w:pPr>
    <w:rPr>
      <w:rFonts w:eastAsia="Times New Roman" w:cs="Times New Roman"/>
      <w:b/>
      <w:bCs/>
      <w:szCs w:val="24"/>
    </w:rPr>
  </w:style>
  <w:style w:type="paragraph" w:customStyle="1" w:styleId="xl303">
    <w:name w:val="xl303"/>
    <w:basedOn w:val="Normal"/>
    <w:rsid w:val="00247CBF"/>
    <w:pPr>
      <w:pBdr>
        <w:top w:val="dotted" w:sz="4" w:space="0" w:color="000000"/>
        <w:bottom w:val="dotted" w:sz="4" w:space="0" w:color="000000"/>
        <w:right w:val="dotted" w:sz="4" w:space="0" w:color="000000"/>
      </w:pBdr>
      <w:shd w:val="clear" w:color="000000" w:fill="FFFF99"/>
      <w:spacing w:before="100" w:beforeAutospacing="1" w:after="100" w:afterAutospacing="1"/>
      <w:jc w:val="center"/>
      <w:textAlignment w:val="top"/>
    </w:pPr>
    <w:rPr>
      <w:rFonts w:eastAsia="Times New Roman" w:cs="Times New Roman"/>
      <w:szCs w:val="24"/>
    </w:rPr>
  </w:style>
  <w:style w:type="paragraph" w:customStyle="1" w:styleId="xl304">
    <w:name w:val="xl304"/>
    <w:basedOn w:val="Normal"/>
    <w:rsid w:val="00247CBF"/>
    <w:pPr>
      <w:pBdr>
        <w:top w:val="dotted" w:sz="4" w:space="0" w:color="000000"/>
        <w:left w:val="dotted" w:sz="4" w:space="0" w:color="000000"/>
        <w:bottom w:val="dotted" w:sz="4" w:space="0" w:color="000000"/>
        <w:right w:val="dotted" w:sz="4" w:space="0" w:color="000000"/>
      </w:pBdr>
      <w:shd w:val="clear" w:color="000000" w:fill="FFFF99"/>
      <w:spacing w:before="100" w:beforeAutospacing="1" w:after="100" w:afterAutospacing="1"/>
      <w:jc w:val="center"/>
      <w:textAlignment w:val="top"/>
    </w:pPr>
    <w:rPr>
      <w:rFonts w:eastAsia="Times New Roman" w:cs="Times New Roman"/>
      <w:szCs w:val="24"/>
    </w:rPr>
  </w:style>
  <w:style w:type="paragraph" w:customStyle="1" w:styleId="xl305">
    <w:name w:val="xl305"/>
    <w:basedOn w:val="Normal"/>
    <w:rsid w:val="00247CBF"/>
    <w:pPr>
      <w:pBdr>
        <w:top w:val="dotted" w:sz="4" w:space="0" w:color="000000"/>
        <w:left w:val="dotted" w:sz="4" w:space="0" w:color="000000"/>
        <w:bottom w:val="dotted" w:sz="4" w:space="0" w:color="000000"/>
        <w:right w:val="double" w:sz="6" w:space="0" w:color="000000"/>
      </w:pBdr>
      <w:shd w:val="clear" w:color="000000" w:fill="FFFF99"/>
      <w:spacing w:before="100" w:beforeAutospacing="1" w:after="100" w:afterAutospacing="1"/>
      <w:jc w:val="center"/>
      <w:textAlignment w:val="top"/>
    </w:pPr>
    <w:rPr>
      <w:rFonts w:eastAsia="Times New Roman" w:cs="Times New Roman"/>
      <w:szCs w:val="24"/>
    </w:rPr>
  </w:style>
  <w:style w:type="paragraph" w:customStyle="1" w:styleId="xl306">
    <w:name w:val="xl306"/>
    <w:basedOn w:val="Normal"/>
    <w:rsid w:val="00247CBF"/>
    <w:pPr>
      <w:pBdr>
        <w:bottom w:val="dotted" w:sz="4" w:space="0" w:color="000000"/>
        <w:right w:val="dotted" w:sz="4" w:space="0" w:color="000000"/>
      </w:pBdr>
      <w:shd w:val="clear" w:color="000000" w:fill="FFFF99"/>
      <w:spacing w:before="100" w:beforeAutospacing="1" w:after="100" w:afterAutospacing="1"/>
      <w:jc w:val="left"/>
      <w:textAlignment w:val="top"/>
    </w:pPr>
    <w:rPr>
      <w:rFonts w:eastAsia="Times New Roman" w:cs="Times New Roman"/>
      <w:color w:val="000000"/>
      <w:szCs w:val="24"/>
    </w:rPr>
  </w:style>
  <w:style w:type="paragraph" w:customStyle="1" w:styleId="xl307">
    <w:name w:val="xl307"/>
    <w:basedOn w:val="Normal"/>
    <w:rsid w:val="00247CBF"/>
    <w:pPr>
      <w:pBdr>
        <w:left w:val="dotted" w:sz="4" w:space="0" w:color="000000"/>
        <w:bottom w:val="dotted" w:sz="4" w:space="0" w:color="000000"/>
        <w:right w:val="dotted" w:sz="4" w:space="0" w:color="000000"/>
      </w:pBdr>
      <w:shd w:val="clear" w:color="000000" w:fill="FFFF99"/>
      <w:spacing w:before="100" w:beforeAutospacing="1" w:after="100" w:afterAutospacing="1"/>
      <w:jc w:val="left"/>
      <w:textAlignment w:val="top"/>
    </w:pPr>
    <w:rPr>
      <w:rFonts w:eastAsia="Times New Roman" w:cs="Times New Roman"/>
      <w:color w:val="000000"/>
      <w:szCs w:val="24"/>
    </w:rPr>
  </w:style>
  <w:style w:type="paragraph" w:customStyle="1" w:styleId="xl308">
    <w:name w:val="xl308"/>
    <w:basedOn w:val="Normal"/>
    <w:rsid w:val="00247CBF"/>
    <w:pPr>
      <w:pBdr>
        <w:left w:val="dotted" w:sz="4" w:space="0" w:color="000000"/>
        <w:bottom w:val="dotted" w:sz="4" w:space="0" w:color="000000"/>
        <w:right w:val="double" w:sz="6" w:space="0" w:color="000000"/>
      </w:pBdr>
      <w:shd w:val="clear" w:color="000000" w:fill="FFFF99"/>
      <w:spacing w:before="100" w:beforeAutospacing="1" w:after="100" w:afterAutospacing="1"/>
      <w:jc w:val="left"/>
      <w:textAlignment w:val="top"/>
    </w:pPr>
    <w:rPr>
      <w:rFonts w:eastAsia="Times New Roman" w:cs="Times New Roman"/>
      <w:color w:val="000000"/>
      <w:szCs w:val="24"/>
    </w:rPr>
  </w:style>
  <w:style w:type="paragraph" w:customStyle="1" w:styleId="xl309">
    <w:name w:val="xl309"/>
    <w:basedOn w:val="Normal"/>
    <w:rsid w:val="00247CBF"/>
    <w:pPr>
      <w:pBdr>
        <w:top w:val="dotted" w:sz="4" w:space="0" w:color="000000"/>
        <w:bottom w:val="dotted" w:sz="4" w:space="0" w:color="000000"/>
        <w:right w:val="dotted" w:sz="4" w:space="0" w:color="000000"/>
      </w:pBdr>
      <w:shd w:val="clear" w:color="000000" w:fill="FFFF99"/>
      <w:spacing w:before="100" w:beforeAutospacing="1" w:after="100" w:afterAutospacing="1"/>
      <w:jc w:val="left"/>
      <w:textAlignment w:val="top"/>
    </w:pPr>
    <w:rPr>
      <w:rFonts w:eastAsia="Times New Roman" w:cs="Times New Roman"/>
      <w:color w:val="000000"/>
      <w:szCs w:val="24"/>
    </w:rPr>
  </w:style>
  <w:style w:type="paragraph" w:customStyle="1" w:styleId="xl310">
    <w:name w:val="xl310"/>
    <w:basedOn w:val="Normal"/>
    <w:rsid w:val="00247CBF"/>
    <w:pPr>
      <w:pBdr>
        <w:top w:val="dotted" w:sz="4" w:space="0" w:color="000000"/>
        <w:left w:val="dotted" w:sz="4" w:space="0" w:color="000000"/>
        <w:bottom w:val="dotted" w:sz="4" w:space="0" w:color="000000"/>
        <w:right w:val="dotted" w:sz="4" w:space="0" w:color="000000"/>
      </w:pBdr>
      <w:shd w:val="clear" w:color="000000" w:fill="FFFF99"/>
      <w:spacing w:before="100" w:beforeAutospacing="1" w:after="100" w:afterAutospacing="1"/>
      <w:jc w:val="left"/>
      <w:textAlignment w:val="top"/>
    </w:pPr>
    <w:rPr>
      <w:rFonts w:eastAsia="Times New Roman" w:cs="Times New Roman"/>
      <w:color w:val="000000"/>
      <w:szCs w:val="24"/>
    </w:rPr>
  </w:style>
  <w:style w:type="paragraph" w:customStyle="1" w:styleId="xl311">
    <w:name w:val="xl311"/>
    <w:basedOn w:val="Normal"/>
    <w:rsid w:val="00247CBF"/>
    <w:pPr>
      <w:pBdr>
        <w:top w:val="dotted" w:sz="4" w:space="0" w:color="000000"/>
        <w:left w:val="dotted" w:sz="4" w:space="0" w:color="000000"/>
        <w:bottom w:val="dotted" w:sz="4" w:space="0" w:color="000000"/>
        <w:right w:val="double" w:sz="6" w:space="0" w:color="000000"/>
      </w:pBdr>
      <w:shd w:val="clear" w:color="000000" w:fill="FFFF99"/>
      <w:spacing w:before="100" w:beforeAutospacing="1" w:after="100" w:afterAutospacing="1"/>
      <w:jc w:val="left"/>
      <w:textAlignment w:val="top"/>
    </w:pPr>
    <w:rPr>
      <w:rFonts w:eastAsia="Times New Roman" w:cs="Times New Roman"/>
      <w:color w:val="000000"/>
      <w:szCs w:val="24"/>
    </w:rPr>
  </w:style>
  <w:style w:type="paragraph" w:customStyle="1" w:styleId="xl312">
    <w:name w:val="xl312"/>
    <w:basedOn w:val="Normal"/>
    <w:rsid w:val="00247CBF"/>
    <w:pPr>
      <w:pBdr>
        <w:top w:val="dotted" w:sz="4" w:space="0" w:color="000000"/>
        <w:bottom w:val="dotted" w:sz="4" w:space="0" w:color="000000"/>
        <w:right w:val="dotted" w:sz="4" w:space="0" w:color="000000"/>
      </w:pBdr>
      <w:shd w:val="clear" w:color="000000" w:fill="FFFF99"/>
      <w:spacing w:before="100" w:beforeAutospacing="1" w:after="100" w:afterAutospacing="1"/>
      <w:jc w:val="center"/>
      <w:textAlignment w:val="top"/>
    </w:pPr>
    <w:rPr>
      <w:rFonts w:eastAsia="Times New Roman" w:cs="Times New Roman"/>
      <w:szCs w:val="24"/>
    </w:rPr>
  </w:style>
  <w:style w:type="paragraph" w:customStyle="1" w:styleId="xl313">
    <w:name w:val="xl313"/>
    <w:basedOn w:val="Normal"/>
    <w:rsid w:val="00247CBF"/>
    <w:pPr>
      <w:pBdr>
        <w:top w:val="dotted" w:sz="4" w:space="0" w:color="000000"/>
        <w:left w:val="dotted" w:sz="4" w:space="0" w:color="000000"/>
        <w:bottom w:val="dotted" w:sz="4" w:space="0" w:color="000000"/>
        <w:right w:val="dotted" w:sz="4" w:space="0" w:color="000000"/>
      </w:pBdr>
      <w:shd w:val="clear" w:color="000000" w:fill="FFFF99"/>
      <w:spacing w:before="100" w:beforeAutospacing="1" w:after="100" w:afterAutospacing="1"/>
      <w:jc w:val="center"/>
      <w:textAlignment w:val="top"/>
    </w:pPr>
    <w:rPr>
      <w:rFonts w:eastAsia="Times New Roman" w:cs="Times New Roman"/>
      <w:szCs w:val="24"/>
    </w:rPr>
  </w:style>
  <w:style w:type="paragraph" w:customStyle="1" w:styleId="xl314">
    <w:name w:val="xl314"/>
    <w:basedOn w:val="Normal"/>
    <w:rsid w:val="00247CBF"/>
    <w:pPr>
      <w:pBdr>
        <w:top w:val="dotted" w:sz="4" w:space="0" w:color="000000"/>
        <w:left w:val="dotted" w:sz="4" w:space="0" w:color="000000"/>
        <w:bottom w:val="dotted" w:sz="4" w:space="0" w:color="000000"/>
        <w:right w:val="double" w:sz="6" w:space="0" w:color="000000"/>
      </w:pBdr>
      <w:shd w:val="clear" w:color="000000" w:fill="FFFF99"/>
      <w:spacing w:before="100" w:beforeAutospacing="1" w:after="100" w:afterAutospacing="1"/>
      <w:jc w:val="center"/>
      <w:textAlignment w:val="top"/>
    </w:pPr>
    <w:rPr>
      <w:rFonts w:eastAsia="Times New Roman" w:cs="Times New Roman"/>
      <w:szCs w:val="24"/>
    </w:rPr>
  </w:style>
  <w:style w:type="paragraph" w:customStyle="1" w:styleId="xl315">
    <w:name w:val="xl315"/>
    <w:basedOn w:val="Normal"/>
    <w:rsid w:val="00247CBF"/>
    <w:pPr>
      <w:pBdr>
        <w:top w:val="dotted" w:sz="4" w:space="0" w:color="000000"/>
        <w:bottom w:val="dotted" w:sz="4" w:space="0" w:color="000000"/>
        <w:right w:val="dotted" w:sz="4" w:space="0" w:color="000000"/>
      </w:pBdr>
      <w:shd w:val="clear" w:color="000000" w:fill="FFFF99"/>
      <w:spacing w:before="100" w:beforeAutospacing="1" w:after="100" w:afterAutospacing="1"/>
      <w:jc w:val="center"/>
      <w:textAlignment w:val="top"/>
    </w:pPr>
    <w:rPr>
      <w:rFonts w:eastAsia="Times New Roman" w:cs="Times New Roman"/>
      <w:color w:val="000000"/>
      <w:szCs w:val="24"/>
    </w:rPr>
  </w:style>
  <w:style w:type="paragraph" w:customStyle="1" w:styleId="xl316">
    <w:name w:val="xl316"/>
    <w:basedOn w:val="Normal"/>
    <w:rsid w:val="00247CBF"/>
    <w:pPr>
      <w:pBdr>
        <w:top w:val="dotted" w:sz="4" w:space="0" w:color="000000"/>
        <w:left w:val="dotted" w:sz="4" w:space="0" w:color="000000"/>
        <w:bottom w:val="dotted" w:sz="4" w:space="0" w:color="000000"/>
        <w:right w:val="dotted" w:sz="4" w:space="0" w:color="000000"/>
      </w:pBdr>
      <w:shd w:val="clear" w:color="000000" w:fill="FFFF99"/>
      <w:spacing w:before="100" w:beforeAutospacing="1" w:after="100" w:afterAutospacing="1"/>
      <w:jc w:val="center"/>
      <w:textAlignment w:val="top"/>
    </w:pPr>
    <w:rPr>
      <w:rFonts w:eastAsia="Times New Roman" w:cs="Times New Roman"/>
      <w:color w:val="000000"/>
      <w:szCs w:val="24"/>
    </w:rPr>
  </w:style>
  <w:style w:type="paragraph" w:customStyle="1" w:styleId="xl317">
    <w:name w:val="xl317"/>
    <w:basedOn w:val="Normal"/>
    <w:rsid w:val="00247CBF"/>
    <w:pPr>
      <w:pBdr>
        <w:top w:val="dotted" w:sz="4" w:space="0" w:color="000000"/>
        <w:left w:val="dotted" w:sz="4" w:space="0" w:color="000000"/>
        <w:bottom w:val="dotted" w:sz="4" w:space="0" w:color="000000"/>
        <w:right w:val="double" w:sz="6" w:space="0" w:color="000000"/>
      </w:pBdr>
      <w:shd w:val="clear" w:color="000000" w:fill="FFFF99"/>
      <w:spacing w:before="100" w:beforeAutospacing="1" w:after="100" w:afterAutospacing="1"/>
      <w:jc w:val="center"/>
      <w:textAlignment w:val="top"/>
    </w:pPr>
    <w:rPr>
      <w:rFonts w:eastAsia="Times New Roman" w:cs="Times New Roman"/>
      <w:color w:val="000000"/>
      <w:szCs w:val="24"/>
    </w:rPr>
  </w:style>
  <w:style w:type="paragraph" w:customStyle="1" w:styleId="xl318">
    <w:name w:val="xl318"/>
    <w:basedOn w:val="Normal"/>
    <w:rsid w:val="00247CBF"/>
    <w:pPr>
      <w:pBdr>
        <w:top w:val="dotted" w:sz="4" w:space="0" w:color="000000"/>
        <w:bottom w:val="single" w:sz="4" w:space="0" w:color="auto"/>
        <w:right w:val="dotted" w:sz="4" w:space="0" w:color="000000"/>
      </w:pBdr>
      <w:shd w:val="clear" w:color="000000" w:fill="FFFF99"/>
      <w:spacing w:before="100" w:beforeAutospacing="1" w:after="100" w:afterAutospacing="1"/>
      <w:jc w:val="center"/>
      <w:textAlignment w:val="top"/>
    </w:pPr>
    <w:rPr>
      <w:rFonts w:eastAsia="Times New Roman" w:cs="Times New Roman"/>
      <w:color w:val="000000"/>
      <w:szCs w:val="24"/>
    </w:rPr>
  </w:style>
  <w:style w:type="paragraph" w:customStyle="1" w:styleId="xl319">
    <w:name w:val="xl319"/>
    <w:basedOn w:val="Normal"/>
    <w:rsid w:val="00247CBF"/>
    <w:pPr>
      <w:pBdr>
        <w:top w:val="dotted" w:sz="4" w:space="0" w:color="000000"/>
        <w:left w:val="dotted" w:sz="4" w:space="0" w:color="000000"/>
        <w:bottom w:val="single" w:sz="4" w:space="0" w:color="auto"/>
        <w:right w:val="dotted" w:sz="4" w:space="0" w:color="000000"/>
      </w:pBdr>
      <w:shd w:val="clear" w:color="000000" w:fill="FFFF99"/>
      <w:spacing w:before="100" w:beforeAutospacing="1" w:after="100" w:afterAutospacing="1"/>
      <w:jc w:val="center"/>
      <w:textAlignment w:val="top"/>
    </w:pPr>
    <w:rPr>
      <w:rFonts w:eastAsia="Times New Roman" w:cs="Times New Roman"/>
      <w:color w:val="000000"/>
      <w:szCs w:val="24"/>
    </w:rPr>
  </w:style>
  <w:style w:type="paragraph" w:customStyle="1" w:styleId="xl320">
    <w:name w:val="xl320"/>
    <w:basedOn w:val="Normal"/>
    <w:rsid w:val="00247CBF"/>
    <w:pPr>
      <w:pBdr>
        <w:top w:val="dotted" w:sz="4" w:space="0" w:color="000000"/>
        <w:left w:val="dotted" w:sz="4" w:space="0" w:color="000000"/>
        <w:bottom w:val="single" w:sz="4" w:space="0" w:color="auto"/>
        <w:right w:val="double" w:sz="6" w:space="0" w:color="000000"/>
      </w:pBdr>
      <w:shd w:val="clear" w:color="000000" w:fill="FFFF99"/>
      <w:spacing w:before="100" w:beforeAutospacing="1" w:after="100" w:afterAutospacing="1"/>
      <w:jc w:val="center"/>
      <w:textAlignment w:val="top"/>
    </w:pPr>
    <w:rPr>
      <w:rFonts w:eastAsia="Times New Roman" w:cs="Times New Roman"/>
      <w:color w:val="000000"/>
      <w:szCs w:val="24"/>
    </w:rPr>
  </w:style>
  <w:style w:type="paragraph" w:customStyle="1" w:styleId="xl321">
    <w:name w:val="xl321"/>
    <w:basedOn w:val="Normal"/>
    <w:rsid w:val="00247CBF"/>
    <w:pPr>
      <w:pBdr>
        <w:bottom w:val="dotted" w:sz="4" w:space="0" w:color="000000"/>
        <w:right w:val="dotted" w:sz="4" w:space="0" w:color="000000"/>
      </w:pBdr>
      <w:shd w:val="clear" w:color="000000" w:fill="FFFF99"/>
      <w:spacing w:before="100" w:beforeAutospacing="1" w:after="100" w:afterAutospacing="1"/>
      <w:jc w:val="center"/>
      <w:textAlignment w:val="top"/>
    </w:pPr>
    <w:rPr>
      <w:rFonts w:eastAsia="Times New Roman" w:cs="Times New Roman"/>
      <w:color w:val="000000"/>
      <w:szCs w:val="24"/>
    </w:rPr>
  </w:style>
  <w:style w:type="paragraph" w:customStyle="1" w:styleId="xl322">
    <w:name w:val="xl322"/>
    <w:basedOn w:val="Normal"/>
    <w:rsid w:val="00247CBF"/>
    <w:pPr>
      <w:pBdr>
        <w:left w:val="dotted" w:sz="4" w:space="0" w:color="000000"/>
        <w:bottom w:val="dotted" w:sz="4" w:space="0" w:color="000000"/>
        <w:right w:val="dotted" w:sz="4" w:space="0" w:color="000000"/>
      </w:pBdr>
      <w:shd w:val="clear" w:color="000000" w:fill="FFFF99"/>
      <w:spacing w:before="100" w:beforeAutospacing="1" w:after="100" w:afterAutospacing="1"/>
      <w:jc w:val="center"/>
      <w:textAlignment w:val="top"/>
    </w:pPr>
    <w:rPr>
      <w:rFonts w:eastAsia="Times New Roman" w:cs="Times New Roman"/>
      <w:color w:val="000000"/>
      <w:szCs w:val="24"/>
    </w:rPr>
  </w:style>
  <w:style w:type="paragraph" w:customStyle="1" w:styleId="xl323">
    <w:name w:val="xl323"/>
    <w:basedOn w:val="Normal"/>
    <w:rsid w:val="00247CBF"/>
    <w:pPr>
      <w:pBdr>
        <w:left w:val="dotted" w:sz="4" w:space="0" w:color="000000"/>
        <w:bottom w:val="dotted" w:sz="4" w:space="0" w:color="000000"/>
        <w:right w:val="double" w:sz="6" w:space="0" w:color="000000"/>
      </w:pBdr>
      <w:shd w:val="clear" w:color="000000" w:fill="FFFF99"/>
      <w:spacing w:before="100" w:beforeAutospacing="1" w:after="100" w:afterAutospacing="1"/>
      <w:jc w:val="center"/>
      <w:textAlignment w:val="top"/>
    </w:pPr>
    <w:rPr>
      <w:rFonts w:eastAsia="Times New Roman" w:cs="Times New Roman"/>
      <w:color w:val="000000"/>
      <w:szCs w:val="24"/>
    </w:rPr>
  </w:style>
  <w:style w:type="paragraph" w:customStyle="1" w:styleId="xl324">
    <w:name w:val="xl324"/>
    <w:basedOn w:val="Normal"/>
    <w:rsid w:val="00247CBF"/>
    <w:pPr>
      <w:pBdr>
        <w:top w:val="dotted" w:sz="4" w:space="0" w:color="000000"/>
        <w:bottom w:val="double" w:sz="6" w:space="0" w:color="000000"/>
        <w:right w:val="dotted" w:sz="4" w:space="0" w:color="000000"/>
      </w:pBdr>
      <w:shd w:val="clear" w:color="000000" w:fill="FFFF99"/>
      <w:spacing w:before="100" w:beforeAutospacing="1" w:after="100" w:afterAutospacing="1"/>
      <w:jc w:val="center"/>
      <w:textAlignment w:val="top"/>
    </w:pPr>
    <w:rPr>
      <w:rFonts w:eastAsia="Times New Roman" w:cs="Times New Roman"/>
      <w:b/>
      <w:bCs/>
      <w:color w:val="000000"/>
      <w:szCs w:val="24"/>
    </w:rPr>
  </w:style>
  <w:style w:type="paragraph" w:customStyle="1" w:styleId="xl325">
    <w:name w:val="xl325"/>
    <w:basedOn w:val="Normal"/>
    <w:rsid w:val="00247CBF"/>
    <w:pPr>
      <w:pBdr>
        <w:top w:val="dotted" w:sz="4" w:space="0" w:color="000000"/>
        <w:left w:val="dotted" w:sz="4" w:space="0" w:color="000000"/>
        <w:bottom w:val="double" w:sz="6" w:space="0" w:color="000000"/>
        <w:right w:val="dotted" w:sz="4" w:space="0" w:color="000000"/>
      </w:pBdr>
      <w:shd w:val="clear" w:color="000000" w:fill="FFFF99"/>
      <w:spacing w:before="100" w:beforeAutospacing="1" w:after="100" w:afterAutospacing="1"/>
      <w:jc w:val="center"/>
      <w:textAlignment w:val="top"/>
    </w:pPr>
    <w:rPr>
      <w:rFonts w:eastAsia="Times New Roman" w:cs="Times New Roman"/>
      <w:color w:val="000000"/>
      <w:szCs w:val="24"/>
    </w:rPr>
  </w:style>
  <w:style w:type="paragraph" w:customStyle="1" w:styleId="xl326">
    <w:name w:val="xl326"/>
    <w:basedOn w:val="Normal"/>
    <w:rsid w:val="00247CBF"/>
    <w:pPr>
      <w:pBdr>
        <w:top w:val="dotted" w:sz="4" w:space="0" w:color="000000"/>
        <w:left w:val="dotted" w:sz="4" w:space="0" w:color="000000"/>
        <w:bottom w:val="double" w:sz="6" w:space="0" w:color="000000"/>
        <w:right w:val="double" w:sz="6" w:space="0" w:color="000000"/>
      </w:pBdr>
      <w:shd w:val="clear" w:color="000000" w:fill="FFFF99"/>
      <w:spacing w:before="100" w:beforeAutospacing="1" w:after="100" w:afterAutospacing="1"/>
      <w:jc w:val="center"/>
      <w:textAlignment w:val="top"/>
    </w:pPr>
    <w:rPr>
      <w:rFonts w:eastAsia="Times New Roman" w:cs="Times New Roman"/>
      <w:color w:val="000000"/>
      <w:szCs w:val="24"/>
    </w:rPr>
  </w:style>
  <w:style w:type="paragraph" w:customStyle="1" w:styleId="xl327">
    <w:name w:val="xl327"/>
    <w:basedOn w:val="Normal"/>
    <w:rsid w:val="00247CBF"/>
    <w:pPr>
      <w:pBdr>
        <w:top w:val="dotted" w:sz="4" w:space="0" w:color="auto"/>
        <w:bottom w:val="dotted" w:sz="4" w:space="0" w:color="auto"/>
        <w:right w:val="dotted" w:sz="4" w:space="0" w:color="auto"/>
      </w:pBdr>
      <w:shd w:val="clear" w:color="000000" w:fill="FFFF99"/>
      <w:spacing w:before="100" w:beforeAutospacing="1" w:after="100" w:afterAutospacing="1"/>
      <w:jc w:val="right"/>
      <w:textAlignment w:val="center"/>
    </w:pPr>
    <w:rPr>
      <w:rFonts w:eastAsia="Times New Roman" w:cs="Times New Roman"/>
      <w:szCs w:val="24"/>
    </w:rPr>
  </w:style>
  <w:style w:type="paragraph" w:customStyle="1" w:styleId="xl328">
    <w:name w:val="xl328"/>
    <w:basedOn w:val="Normal"/>
    <w:rsid w:val="00247CBF"/>
    <w:pPr>
      <w:pBdr>
        <w:top w:val="dotted" w:sz="4" w:space="0" w:color="auto"/>
        <w:left w:val="dotted" w:sz="4" w:space="0" w:color="auto"/>
        <w:bottom w:val="dotted" w:sz="4" w:space="0" w:color="auto"/>
        <w:right w:val="dotted" w:sz="4" w:space="0" w:color="auto"/>
      </w:pBdr>
      <w:shd w:val="clear" w:color="000000" w:fill="FFFF99"/>
      <w:spacing w:before="100" w:beforeAutospacing="1" w:after="100" w:afterAutospacing="1"/>
      <w:jc w:val="right"/>
      <w:textAlignment w:val="center"/>
    </w:pPr>
    <w:rPr>
      <w:rFonts w:eastAsia="Times New Roman" w:cs="Times New Roman"/>
      <w:szCs w:val="24"/>
    </w:rPr>
  </w:style>
  <w:style w:type="paragraph" w:customStyle="1" w:styleId="xl329">
    <w:name w:val="xl329"/>
    <w:basedOn w:val="Normal"/>
    <w:rsid w:val="00247CBF"/>
    <w:pPr>
      <w:pBdr>
        <w:top w:val="dotted" w:sz="4" w:space="0" w:color="auto"/>
        <w:left w:val="dotted" w:sz="4" w:space="0" w:color="auto"/>
        <w:bottom w:val="dotted" w:sz="4" w:space="0" w:color="auto"/>
        <w:right w:val="double" w:sz="6" w:space="0" w:color="auto"/>
      </w:pBdr>
      <w:shd w:val="clear" w:color="000000" w:fill="FFFF99"/>
      <w:spacing w:before="100" w:beforeAutospacing="1" w:after="100" w:afterAutospacing="1"/>
      <w:jc w:val="right"/>
    </w:pPr>
    <w:rPr>
      <w:rFonts w:eastAsia="Times New Roman" w:cs="Times New Roman"/>
      <w:szCs w:val="24"/>
    </w:rPr>
  </w:style>
  <w:style w:type="paragraph" w:customStyle="1" w:styleId="xl330">
    <w:name w:val="xl330"/>
    <w:basedOn w:val="Normal"/>
    <w:rsid w:val="00247CBF"/>
    <w:pPr>
      <w:pBdr>
        <w:top w:val="dotted" w:sz="4" w:space="0" w:color="auto"/>
        <w:left w:val="single" w:sz="8" w:space="0" w:color="auto"/>
        <w:bottom w:val="single" w:sz="4" w:space="0" w:color="auto"/>
        <w:right w:val="dotted" w:sz="4" w:space="0" w:color="auto"/>
      </w:pBdr>
      <w:shd w:val="clear" w:color="000000" w:fill="FFFF99"/>
      <w:spacing w:before="100" w:beforeAutospacing="1" w:after="100" w:afterAutospacing="1"/>
      <w:jc w:val="right"/>
      <w:textAlignment w:val="center"/>
    </w:pPr>
    <w:rPr>
      <w:rFonts w:eastAsia="Times New Roman" w:cs="Times New Roman"/>
      <w:szCs w:val="24"/>
    </w:rPr>
  </w:style>
  <w:style w:type="paragraph" w:customStyle="1" w:styleId="xl331">
    <w:name w:val="xl331"/>
    <w:basedOn w:val="Normal"/>
    <w:rsid w:val="00247CBF"/>
    <w:pPr>
      <w:pBdr>
        <w:top w:val="dotted" w:sz="4" w:space="0" w:color="auto"/>
        <w:left w:val="dotted" w:sz="4" w:space="0" w:color="auto"/>
        <w:bottom w:val="single" w:sz="4" w:space="0" w:color="auto"/>
        <w:right w:val="dotted" w:sz="4" w:space="0" w:color="auto"/>
      </w:pBdr>
      <w:shd w:val="clear" w:color="000000" w:fill="FFFF99"/>
      <w:spacing w:before="100" w:beforeAutospacing="1" w:after="100" w:afterAutospacing="1"/>
      <w:jc w:val="right"/>
      <w:textAlignment w:val="center"/>
    </w:pPr>
    <w:rPr>
      <w:rFonts w:eastAsia="Times New Roman" w:cs="Times New Roman"/>
      <w:szCs w:val="24"/>
    </w:rPr>
  </w:style>
  <w:style w:type="paragraph" w:customStyle="1" w:styleId="xl332">
    <w:name w:val="xl332"/>
    <w:basedOn w:val="Normal"/>
    <w:rsid w:val="00247CBF"/>
    <w:pPr>
      <w:pBdr>
        <w:top w:val="dotted" w:sz="4" w:space="0" w:color="auto"/>
        <w:left w:val="dotted" w:sz="4" w:space="0" w:color="auto"/>
        <w:bottom w:val="single" w:sz="4" w:space="0" w:color="auto"/>
        <w:right w:val="double" w:sz="6" w:space="0" w:color="auto"/>
      </w:pBdr>
      <w:shd w:val="clear" w:color="000000" w:fill="FFFF99"/>
      <w:spacing w:before="100" w:beforeAutospacing="1" w:after="100" w:afterAutospacing="1"/>
      <w:jc w:val="right"/>
    </w:pPr>
    <w:rPr>
      <w:rFonts w:eastAsia="Times New Roman" w:cs="Times New Roman"/>
      <w:szCs w:val="24"/>
    </w:rPr>
  </w:style>
  <w:style w:type="paragraph" w:customStyle="1" w:styleId="xl333">
    <w:name w:val="xl333"/>
    <w:basedOn w:val="Normal"/>
    <w:rsid w:val="00247CBF"/>
    <w:pPr>
      <w:pBdr>
        <w:top w:val="single" w:sz="4" w:space="0" w:color="auto"/>
        <w:bottom w:val="double" w:sz="6" w:space="0" w:color="auto"/>
        <w:right w:val="dotted" w:sz="4" w:space="0" w:color="auto"/>
      </w:pBdr>
      <w:shd w:val="clear" w:color="000000" w:fill="FFFF99"/>
      <w:spacing w:before="100" w:beforeAutospacing="1" w:after="100" w:afterAutospacing="1"/>
      <w:jc w:val="right"/>
      <w:textAlignment w:val="center"/>
    </w:pPr>
    <w:rPr>
      <w:rFonts w:eastAsia="Times New Roman" w:cs="Times New Roman"/>
      <w:szCs w:val="24"/>
    </w:rPr>
  </w:style>
  <w:style w:type="paragraph" w:customStyle="1" w:styleId="xl334">
    <w:name w:val="xl334"/>
    <w:basedOn w:val="Normal"/>
    <w:rsid w:val="00247CBF"/>
    <w:pPr>
      <w:pBdr>
        <w:top w:val="single" w:sz="4" w:space="0" w:color="auto"/>
        <w:left w:val="dotted" w:sz="4" w:space="0" w:color="auto"/>
        <w:bottom w:val="double" w:sz="6" w:space="0" w:color="auto"/>
        <w:right w:val="dotted" w:sz="4" w:space="0" w:color="auto"/>
      </w:pBdr>
      <w:shd w:val="clear" w:color="000000" w:fill="FFFF99"/>
      <w:spacing w:before="100" w:beforeAutospacing="1" w:after="100" w:afterAutospacing="1"/>
      <w:jc w:val="right"/>
      <w:textAlignment w:val="center"/>
    </w:pPr>
    <w:rPr>
      <w:rFonts w:eastAsia="Times New Roman" w:cs="Times New Roman"/>
      <w:szCs w:val="24"/>
    </w:rPr>
  </w:style>
  <w:style w:type="paragraph" w:customStyle="1" w:styleId="xl335">
    <w:name w:val="xl335"/>
    <w:basedOn w:val="Normal"/>
    <w:rsid w:val="00247CBF"/>
    <w:pPr>
      <w:pBdr>
        <w:top w:val="single" w:sz="4" w:space="0" w:color="auto"/>
        <w:left w:val="dotted" w:sz="4" w:space="0" w:color="auto"/>
        <w:bottom w:val="double" w:sz="6" w:space="0" w:color="auto"/>
        <w:right w:val="double" w:sz="6" w:space="0" w:color="auto"/>
      </w:pBdr>
      <w:shd w:val="clear" w:color="000000" w:fill="FFFF99"/>
      <w:spacing w:before="100" w:beforeAutospacing="1" w:after="100" w:afterAutospacing="1"/>
      <w:jc w:val="right"/>
    </w:pPr>
    <w:rPr>
      <w:rFonts w:eastAsia="Times New Roman" w:cs="Times New Roman"/>
      <w:szCs w:val="24"/>
    </w:rPr>
  </w:style>
  <w:style w:type="paragraph" w:customStyle="1" w:styleId="xl336">
    <w:name w:val="xl336"/>
    <w:basedOn w:val="Normal"/>
    <w:rsid w:val="00247CBF"/>
    <w:pPr>
      <w:pBdr>
        <w:top w:val="dashed" w:sz="4" w:space="0" w:color="auto"/>
        <w:bottom w:val="dashed" w:sz="4" w:space="0" w:color="auto"/>
        <w:right w:val="dashed" w:sz="4" w:space="0" w:color="auto"/>
      </w:pBdr>
      <w:shd w:val="clear" w:color="000000" w:fill="FFFF99"/>
      <w:spacing w:before="100" w:beforeAutospacing="1" w:after="100" w:afterAutospacing="1"/>
      <w:jc w:val="right"/>
    </w:pPr>
    <w:rPr>
      <w:rFonts w:ascii="Courier New" w:eastAsia="Times New Roman" w:hAnsi="Courier New" w:cs="Courier New"/>
      <w:sz w:val="16"/>
      <w:szCs w:val="16"/>
    </w:rPr>
  </w:style>
  <w:style w:type="paragraph" w:customStyle="1" w:styleId="xl337">
    <w:name w:val="xl337"/>
    <w:basedOn w:val="Normal"/>
    <w:rsid w:val="00247CBF"/>
    <w:pPr>
      <w:pBdr>
        <w:top w:val="dashed" w:sz="4" w:space="0" w:color="auto"/>
        <w:left w:val="dashed" w:sz="4" w:space="0" w:color="auto"/>
        <w:bottom w:val="dashed" w:sz="4" w:space="0" w:color="auto"/>
        <w:right w:val="dashed" w:sz="4" w:space="0" w:color="auto"/>
      </w:pBdr>
      <w:shd w:val="clear" w:color="000000" w:fill="FFFF99"/>
      <w:spacing w:before="100" w:beforeAutospacing="1" w:after="100" w:afterAutospacing="1"/>
      <w:jc w:val="right"/>
    </w:pPr>
    <w:rPr>
      <w:rFonts w:ascii="Courier New" w:eastAsia="Times New Roman" w:hAnsi="Courier New" w:cs="Courier New"/>
      <w:sz w:val="16"/>
      <w:szCs w:val="16"/>
    </w:rPr>
  </w:style>
  <w:style w:type="paragraph" w:customStyle="1" w:styleId="xl338">
    <w:name w:val="xl338"/>
    <w:basedOn w:val="Normal"/>
    <w:rsid w:val="00247CBF"/>
    <w:pPr>
      <w:pBdr>
        <w:left w:val="dashed" w:sz="4" w:space="0" w:color="auto"/>
        <w:bottom w:val="dashed" w:sz="4" w:space="0" w:color="auto"/>
        <w:right w:val="dashed" w:sz="4" w:space="0" w:color="auto"/>
      </w:pBdr>
      <w:shd w:val="clear" w:color="000000" w:fill="FFFF99"/>
      <w:spacing w:before="100" w:beforeAutospacing="1" w:after="100" w:afterAutospacing="1"/>
      <w:jc w:val="right"/>
    </w:pPr>
    <w:rPr>
      <w:rFonts w:ascii="Courier New" w:eastAsia="Times New Roman" w:hAnsi="Courier New" w:cs="Courier New"/>
      <w:sz w:val="16"/>
      <w:szCs w:val="16"/>
    </w:rPr>
  </w:style>
  <w:style w:type="paragraph" w:customStyle="1" w:styleId="xl339">
    <w:name w:val="xl339"/>
    <w:basedOn w:val="Normal"/>
    <w:rsid w:val="00247CBF"/>
    <w:pPr>
      <w:pBdr>
        <w:top w:val="dashed" w:sz="4" w:space="0" w:color="auto"/>
        <w:left w:val="dashed" w:sz="4" w:space="0" w:color="auto"/>
        <w:bottom w:val="dashed" w:sz="4" w:space="0" w:color="auto"/>
        <w:right w:val="dashed" w:sz="4" w:space="0" w:color="auto"/>
      </w:pBdr>
      <w:shd w:val="clear" w:color="000000" w:fill="FFFF99"/>
      <w:spacing w:before="100" w:beforeAutospacing="1" w:after="100" w:afterAutospacing="1"/>
      <w:jc w:val="right"/>
    </w:pPr>
    <w:rPr>
      <w:rFonts w:ascii="Courier New" w:eastAsia="Times New Roman" w:hAnsi="Courier New" w:cs="Courier New"/>
      <w:sz w:val="16"/>
      <w:szCs w:val="16"/>
    </w:rPr>
  </w:style>
  <w:style w:type="paragraph" w:customStyle="1" w:styleId="xl340">
    <w:name w:val="xl340"/>
    <w:basedOn w:val="Normal"/>
    <w:rsid w:val="00247CBF"/>
    <w:pPr>
      <w:shd w:val="clear" w:color="000000" w:fill="FFFFFF"/>
      <w:spacing w:before="100" w:beforeAutospacing="1" w:after="100" w:afterAutospacing="1"/>
      <w:jc w:val="right"/>
    </w:pPr>
    <w:rPr>
      <w:rFonts w:eastAsia="Times New Roman" w:cs="Times New Roman"/>
      <w:sz w:val="16"/>
      <w:szCs w:val="16"/>
    </w:rPr>
  </w:style>
  <w:style w:type="paragraph" w:customStyle="1" w:styleId="xl341">
    <w:name w:val="xl341"/>
    <w:basedOn w:val="Normal"/>
    <w:rsid w:val="00247CBF"/>
    <w:pPr>
      <w:pBdr>
        <w:top w:val="dashed" w:sz="4" w:space="0" w:color="auto"/>
        <w:bottom w:val="dashed" w:sz="4" w:space="0" w:color="auto"/>
        <w:right w:val="dashed" w:sz="4" w:space="0" w:color="auto"/>
      </w:pBdr>
      <w:shd w:val="clear" w:color="000000" w:fill="FFFF99"/>
      <w:spacing w:before="100" w:beforeAutospacing="1" w:after="100" w:afterAutospacing="1"/>
      <w:jc w:val="right"/>
    </w:pPr>
    <w:rPr>
      <w:rFonts w:ascii="Courier New" w:eastAsia="Times New Roman" w:hAnsi="Courier New" w:cs="Courier New"/>
      <w:sz w:val="16"/>
      <w:szCs w:val="16"/>
    </w:rPr>
  </w:style>
  <w:style w:type="paragraph" w:customStyle="1" w:styleId="xl342">
    <w:name w:val="xl342"/>
    <w:basedOn w:val="Normal"/>
    <w:rsid w:val="00247CBF"/>
    <w:pPr>
      <w:pBdr>
        <w:top w:val="dashed" w:sz="4" w:space="0" w:color="auto"/>
        <w:left w:val="dashed" w:sz="4" w:space="0" w:color="auto"/>
        <w:bottom w:val="dashed" w:sz="4" w:space="0" w:color="auto"/>
        <w:right w:val="dashed" w:sz="4" w:space="0" w:color="auto"/>
      </w:pBdr>
      <w:shd w:val="clear" w:color="000000" w:fill="FFFF99"/>
      <w:spacing w:before="100" w:beforeAutospacing="1" w:after="100" w:afterAutospacing="1"/>
      <w:jc w:val="right"/>
    </w:pPr>
    <w:rPr>
      <w:rFonts w:ascii="Courier New" w:eastAsia="Times New Roman" w:hAnsi="Courier New" w:cs="Courier New"/>
      <w:sz w:val="16"/>
      <w:szCs w:val="16"/>
    </w:rPr>
  </w:style>
  <w:style w:type="paragraph" w:customStyle="1" w:styleId="xl343">
    <w:name w:val="xl343"/>
    <w:basedOn w:val="Normal"/>
    <w:rsid w:val="00247CBF"/>
    <w:pPr>
      <w:pBdr>
        <w:top w:val="dashed" w:sz="4" w:space="0" w:color="auto"/>
        <w:bottom w:val="single" w:sz="4" w:space="0" w:color="auto"/>
        <w:right w:val="dashed" w:sz="4" w:space="0" w:color="auto"/>
      </w:pBdr>
      <w:shd w:val="clear" w:color="000000" w:fill="FFFF99"/>
      <w:spacing w:before="100" w:beforeAutospacing="1" w:after="100" w:afterAutospacing="1"/>
      <w:jc w:val="right"/>
    </w:pPr>
    <w:rPr>
      <w:rFonts w:ascii="Courier New" w:eastAsia="Times New Roman" w:hAnsi="Courier New" w:cs="Courier New"/>
      <w:sz w:val="16"/>
      <w:szCs w:val="16"/>
    </w:rPr>
  </w:style>
  <w:style w:type="paragraph" w:customStyle="1" w:styleId="xl344">
    <w:name w:val="xl344"/>
    <w:basedOn w:val="Normal"/>
    <w:rsid w:val="00247CBF"/>
    <w:pPr>
      <w:pBdr>
        <w:top w:val="dashed" w:sz="4" w:space="0" w:color="auto"/>
        <w:left w:val="dashed" w:sz="4" w:space="0" w:color="auto"/>
        <w:bottom w:val="single" w:sz="4" w:space="0" w:color="auto"/>
        <w:right w:val="dashed" w:sz="4" w:space="0" w:color="auto"/>
      </w:pBdr>
      <w:shd w:val="clear" w:color="000000" w:fill="FFFF99"/>
      <w:spacing w:before="100" w:beforeAutospacing="1" w:after="100" w:afterAutospacing="1"/>
      <w:jc w:val="right"/>
    </w:pPr>
    <w:rPr>
      <w:rFonts w:ascii="Courier New" w:eastAsia="Times New Roman" w:hAnsi="Courier New" w:cs="Courier New"/>
      <w:sz w:val="16"/>
      <w:szCs w:val="16"/>
    </w:rPr>
  </w:style>
  <w:style w:type="paragraph" w:customStyle="1" w:styleId="xl345">
    <w:name w:val="xl345"/>
    <w:basedOn w:val="Normal"/>
    <w:rsid w:val="00247CBF"/>
    <w:pPr>
      <w:pBdr>
        <w:bottom w:val="dashed" w:sz="4" w:space="0" w:color="auto"/>
        <w:right w:val="dashed" w:sz="4" w:space="0" w:color="auto"/>
      </w:pBdr>
      <w:shd w:val="clear" w:color="000000" w:fill="FFFF99"/>
      <w:spacing w:before="100" w:beforeAutospacing="1" w:after="100" w:afterAutospacing="1"/>
      <w:jc w:val="right"/>
    </w:pPr>
    <w:rPr>
      <w:rFonts w:ascii="Courier New" w:eastAsia="Times New Roman" w:hAnsi="Courier New" w:cs="Courier New"/>
      <w:sz w:val="16"/>
      <w:szCs w:val="16"/>
    </w:rPr>
  </w:style>
  <w:style w:type="paragraph" w:customStyle="1" w:styleId="xl346">
    <w:name w:val="xl346"/>
    <w:basedOn w:val="Normal"/>
    <w:rsid w:val="00247CBF"/>
    <w:pPr>
      <w:pBdr>
        <w:top w:val="double" w:sz="6" w:space="0" w:color="auto"/>
        <w:left w:val="dotted" w:sz="4" w:space="0" w:color="auto"/>
        <w:bottom w:val="single" w:sz="8" w:space="0" w:color="auto"/>
        <w:right w:val="dotted" w:sz="4" w:space="0" w:color="auto"/>
      </w:pBdr>
      <w:shd w:val="clear" w:color="000000" w:fill="FFFF99"/>
      <w:spacing w:before="100" w:beforeAutospacing="1" w:after="100" w:afterAutospacing="1"/>
      <w:jc w:val="right"/>
      <w:textAlignment w:val="center"/>
    </w:pPr>
    <w:rPr>
      <w:rFonts w:ascii="Courier New" w:eastAsia="Times New Roman" w:hAnsi="Courier New" w:cs="Courier New"/>
      <w:sz w:val="16"/>
      <w:szCs w:val="16"/>
    </w:rPr>
  </w:style>
  <w:style w:type="paragraph" w:customStyle="1" w:styleId="xl347">
    <w:name w:val="xl347"/>
    <w:basedOn w:val="Normal"/>
    <w:rsid w:val="00247CBF"/>
    <w:pPr>
      <w:pBdr>
        <w:top w:val="double" w:sz="6" w:space="0" w:color="auto"/>
        <w:left w:val="dotted" w:sz="4" w:space="0" w:color="auto"/>
        <w:bottom w:val="single" w:sz="8" w:space="0" w:color="auto"/>
        <w:right w:val="double" w:sz="6" w:space="0" w:color="auto"/>
      </w:pBdr>
      <w:shd w:val="clear" w:color="000000" w:fill="FFFF99"/>
      <w:spacing w:before="100" w:beforeAutospacing="1" w:after="100" w:afterAutospacing="1"/>
      <w:jc w:val="right"/>
    </w:pPr>
    <w:rPr>
      <w:rFonts w:ascii="Courier New" w:eastAsia="Times New Roman" w:hAnsi="Courier New" w:cs="Courier New"/>
      <w:sz w:val="16"/>
      <w:szCs w:val="16"/>
    </w:rPr>
  </w:style>
  <w:style w:type="paragraph" w:customStyle="1" w:styleId="xl348">
    <w:name w:val="xl348"/>
    <w:basedOn w:val="Normal"/>
    <w:rsid w:val="00247CBF"/>
    <w:pPr>
      <w:pBdr>
        <w:top w:val="dotted" w:sz="4" w:space="0" w:color="auto"/>
        <w:left w:val="dotted" w:sz="4" w:space="0" w:color="auto"/>
        <w:bottom w:val="dotted" w:sz="4" w:space="0" w:color="auto"/>
        <w:right w:val="double" w:sz="6" w:space="0" w:color="auto"/>
      </w:pBdr>
      <w:shd w:val="clear" w:color="000000" w:fill="FFFF99"/>
      <w:spacing w:before="100" w:beforeAutospacing="1" w:after="100" w:afterAutospacing="1"/>
      <w:jc w:val="right"/>
      <w:textAlignment w:val="center"/>
    </w:pPr>
    <w:rPr>
      <w:rFonts w:eastAsia="Times New Roman" w:cs="Times New Roman"/>
      <w:szCs w:val="24"/>
    </w:rPr>
  </w:style>
  <w:style w:type="paragraph" w:customStyle="1" w:styleId="xl349">
    <w:name w:val="xl349"/>
    <w:basedOn w:val="Normal"/>
    <w:rsid w:val="00247CBF"/>
    <w:pPr>
      <w:pBdr>
        <w:top w:val="dotted" w:sz="4" w:space="0" w:color="auto"/>
        <w:bottom w:val="double" w:sz="6" w:space="0" w:color="auto"/>
        <w:right w:val="dotted" w:sz="4" w:space="0" w:color="auto"/>
      </w:pBdr>
      <w:shd w:val="clear" w:color="000000" w:fill="FFFF99"/>
      <w:spacing w:before="100" w:beforeAutospacing="1" w:after="100" w:afterAutospacing="1"/>
      <w:jc w:val="right"/>
      <w:textAlignment w:val="center"/>
    </w:pPr>
    <w:rPr>
      <w:rFonts w:eastAsia="Times New Roman" w:cs="Times New Roman"/>
      <w:szCs w:val="24"/>
    </w:rPr>
  </w:style>
  <w:style w:type="paragraph" w:customStyle="1" w:styleId="xl350">
    <w:name w:val="xl350"/>
    <w:basedOn w:val="Normal"/>
    <w:rsid w:val="00247CBF"/>
    <w:pPr>
      <w:pBdr>
        <w:top w:val="dotted" w:sz="4" w:space="0" w:color="auto"/>
        <w:left w:val="dotted" w:sz="4" w:space="0" w:color="auto"/>
        <w:bottom w:val="double" w:sz="6" w:space="0" w:color="auto"/>
        <w:right w:val="double" w:sz="6" w:space="0" w:color="auto"/>
      </w:pBdr>
      <w:shd w:val="clear" w:color="000000" w:fill="FFFF99"/>
      <w:spacing w:before="100" w:beforeAutospacing="1" w:after="100" w:afterAutospacing="1"/>
      <w:jc w:val="right"/>
      <w:textAlignment w:val="center"/>
    </w:pPr>
    <w:rPr>
      <w:rFonts w:eastAsia="Times New Roman" w:cs="Times New Roman"/>
      <w:szCs w:val="24"/>
    </w:rPr>
  </w:style>
  <w:style w:type="paragraph" w:customStyle="1" w:styleId="xl351">
    <w:name w:val="xl351"/>
    <w:basedOn w:val="Normal"/>
    <w:rsid w:val="00247CBF"/>
    <w:pPr>
      <w:pBdr>
        <w:bottom w:val="dotted" w:sz="4" w:space="0" w:color="auto"/>
        <w:right w:val="dotted" w:sz="4" w:space="0" w:color="auto"/>
      </w:pBdr>
      <w:shd w:val="clear" w:color="000000" w:fill="FFFF99"/>
      <w:spacing w:before="100" w:beforeAutospacing="1" w:after="100" w:afterAutospacing="1"/>
      <w:jc w:val="right"/>
      <w:textAlignment w:val="center"/>
    </w:pPr>
    <w:rPr>
      <w:rFonts w:ascii="Courier New" w:eastAsia="Times New Roman" w:hAnsi="Courier New" w:cs="Courier New"/>
      <w:sz w:val="16"/>
      <w:szCs w:val="16"/>
    </w:rPr>
  </w:style>
  <w:style w:type="paragraph" w:customStyle="1" w:styleId="xl352">
    <w:name w:val="xl352"/>
    <w:basedOn w:val="Normal"/>
    <w:rsid w:val="00247CBF"/>
    <w:pPr>
      <w:pBdr>
        <w:bottom w:val="double" w:sz="6" w:space="0" w:color="auto"/>
        <w:right w:val="dotted" w:sz="4" w:space="0" w:color="auto"/>
      </w:pBdr>
      <w:shd w:val="clear" w:color="000000" w:fill="FFFF99"/>
      <w:spacing w:before="100" w:beforeAutospacing="1" w:after="100" w:afterAutospacing="1"/>
      <w:jc w:val="right"/>
    </w:pPr>
    <w:rPr>
      <w:rFonts w:ascii="Courier New" w:eastAsia="Times New Roman" w:hAnsi="Courier New" w:cs="Courier New"/>
      <w:sz w:val="16"/>
      <w:szCs w:val="16"/>
    </w:rPr>
  </w:style>
  <w:style w:type="paragraph" w:customStyle="1" w:styleId="xl353">
    <w:name w:val="xl353"/>
    <w:basedOn w:val="Normal"/>
    <w:rsid w:val="00247CBF"/>
    <w:pPr>
      <w:pBdr>
        <w:bottom w:val="dotted" w:sz="4" w:space="0" w:color="auto"/>
        <w:right w:val="dotted" w:sz="4" w:space="0" w:color="auto"/>
      </w:pBdr>
      <w:shd w:val="clear" w:color="000000" w:fill="FFFF99"/>
      <w:spacing w:before="100" w:beforeAutospacing="1" w:after="100" w:afterAutospacing="1"/>
      <w:jc w:val="right"/>
      <w:textAlignment w:val="center"/>
    </w:pPr>
    <w:rPr>
      <w:rFonts w:ascii="Courier New" w:eastAsia="Times New Roman" w:hAnsi="Courier New" w:cs="Courier New"/>
      <w:sz w:val="16"/>
      <w:szCs w:val="16"/>
    </w:rPr>
  </w:style>
  <w:style w:type="paragraph" w:customStyle="1" w:styleId="xl354">
    <w:name w:val="xl354"/>
    <w:basedOn w:val="Normal"/>
    <w:rsid w:val="00247CBF"/>
    <w:pPr>
      <w:pBdr>
        <w:top w:val="dotted" w:sz="4" w:space="0" w:color="auto"/>
        <w:bottom w:val="single" w:sz="4" w:space="0" w:color="auto"/>
        <w:right w:val="dotted" w:sz="4" w:space="0" w:color="auto"/>
      </w:pBdr>
      <w:shd w:val="clear" w:color="000000" w:fill="FFFF99"/>
      <w:spacing w:before="100" w:beforeAutospacing="1" w:after="100" w:afterAutospacing="1"/>
      <w:jc w:val="right"/>
      <w:textAlignment w:val="center"/>
    </w:pPr>
    <w:rPr>
      <w:rFonts w:ascii="Courier New" w:eastAsia="Times New Roman" w:hAnsi="Courier New" w:cs="Courier New"/>
      <w:sz w:val="16"/>
      <w:szCs w:val="16"/>
    </w:rPr>
  </w:style>
  <w:style w:type="paragraph" w:customStyle="1" w:styleId="xl355">
    <w:name w:val="xl355"/>
    <w:basedOn w:val="Normal"/>
    <w:rsid w:val="00247CBF"/>
    <w:pPr>
      <w:pBdr>
        <w:top w:val="single" w:sz="8" w:space="0" w:color="auto"/>
        <w:left w:val="single" w:sz="8" w:space="0" w:color="auto"/>
        <w:bottom w:val="single" w:sz="8" w:space="0" w:color="auto"/>
      </w:pBdr>
      <w:shd w:val="clear" w:color="000000" w:fill="FFFFFF"/>
      <w:spacing w:before="100" w:beforeAutospacing="1" w:after="100" w:afterAutospacing="1"/>
      <w:jc w:val="right"/>
    </w:pPr>
    <w:rPr>
      <w:rFonts w:eastAsia="Times New Roman" w:cs="Times New Roman"/>
      <w:szCs w:val="24"/>
    </w:rPr>
  </w:style>
  <w:style w:type="paragraph" w:customStyle="1" w:styleId="xl356">
    <w:name w:val="xl356"/>
    <w:basedOn w:val="Normal"/>
    <w:rsid w:val="00247CBF"/>
    <w:pPr>
      <w:pBdr>
        <w:top w:val="single" w:sz="8" w:space="0" w:color="auto"/>
        <w:bottom w:val="single" w:sz="8" w:space="0" w:color="auto"/>
      </w:pBdr>
      <w:shd w:val="clear" w:color="000000" w:fill="FFFFFF"/>
      <w:spacing w:before="100" w:beforeAutospacing="1" w:after="100" w:afterAutospacing="1"/>
      <w:jc w:val="right"/>
    </w:pPr>
    <w:rPr>
      <w:rFonts w:eastAsia="Times New Roman" w:cs="Times New Roman"/>
      <w:szCs w:val="24"/>
    </w:rPr>
  </w:style>
  <w:style w:type="paragraph" w:customStyle="1" w:styleId="xl357">
    <w:name w:val="xl357"/>
    <w:basedOn w:val="Normal"/>
    <w:rsid w:val="00247CBF"/>
    <w:pPr>
      <w:pBdr>
        <w:top w:val="dashed" w:sz="4" w:space="0" w:color="auto"/>
        <w:bottom w:val="dashed" w:sz="4" w:space="0" w:color="auto"/>
        <w:right w:val="dashed" w:sz="4" w:space="0" w:color="auto"/>
      </w:pBdr>
      <w:shd w:val="clear" w:color="000000" w:fill="FFFF99"/>
      <w:spacing w:before="100" w:beforeAutospacing="1" w:after="100" w:afterAutospacing="1"/>
      <w:jc w:val="right"/>
    </w:pPr>
    <w:rPr>
      <w:rFonts w:eastAsia="Times New Roman" w:cs="Times New Roman"/>
      <w:sz w:val="18"/>
      <w:szCs w:val="18"/>
    </w:rPr>
  </w:style>
  <w:style w:type="paragraph" w:customStyle="1" w:styleId="xl358">
    <w:name w:val="xl358"/>
    <w:basedOn w:val="Normal"/>
    <w:rsid w:val="00247CBF"/>
    <w:pPr>
      <w:pBdr>
        <w:top w:val="dashed" w:sz="4" w:space="0" w:color="auto"/>
        <w:left w:val="dashed" w:sz="4" w:space="0" w:color="auto"/>
        <w:bottom w:val="dashed" w:sz="4" w:space="0" w:color="auto"/>
        <w:right w:val="dashed" w:sz="4" w:space="0" w:color="auto"/>
      </w:pBdr>
      <w:shd w:val="clear" w:color="000000" w:fill="FFFF99"/>
      <w:spacing w:before="100" w:beforeAutospacing="1" w:after="100" w:afterAutospacing="1"/>
      <w:jc w:val="right"/>
    </w:pPr>
    <w:rPr>
      <w:rFonts w:eastAsia="Times New Roman" w:cs="Times New Roman"/>
      <w:sz w:val="18"/>
      <w:szCs w:val="18"/>
    </w:rPr>
  </w:style>
  <w:style w:type="paragraph" w:customStyle="1" w:styleId="xl359">
    <w:name w:val="xl359"/>
    <w:basedOn w:val="Normal"/>
    <w:rsid w:val="00247CBF"/>
    <w:pPr>
      <w:pBdr>
        <w:top w:val="dashed" w:sz="4" w:space="0" w:color="auto"/>
        <w:left w:val="dashed" w:sz="4" w:space="0" w:color="auto"/>
        <w:bottom w:val="dashed" w:sz="4" w:space="0" w:color="auto"/>
        <w:right w:val="dashed" w:sz="4" w:space="0" w:color="auto"/>
      </w:pBdr>
      <w:shd w:val="clear" w:color="000000" w:fill="FFFF99"/>
      <w:spacing w:before="100" w:beforeAutospacing="1" w:after="100" w:afterAutospacing="1"/>
      <w:jc w:val="right"/>
    </w:pPr>
    <w:rPr>
      <w:rFonts w:ascii="Courier New" w:eastAsia="Times New Roman" w:hAnsi="Courier New" w:cs="Courier New"/>
      <w:sz w:val="18"/>
      <w:szCs w:val="18"/>
    </w:rPr>
  </w:style>
  <w:style w:type="paragraph" w:customStyle="1" w:styleId="xl360">
    <w:name w:val="xl360"/>
    <w:basedOn w:val="Normal"/>
    <w:rsid w:val="00247CBF"/>
    <w:pPr>
      <w:pBdr>
        <w:top w:val="dashed" w:sz="4" w:space="0" w:color="auto"/>
        <w:bottom w:val="dashed" w:sz="4" w:space="0" w:color="auto"/>
        <w:right w:val="dashed" w:sz="4" w:space="0" w:color="auto"/>
      </w:pBdr>
      <w:shd w:val="clear" w:color="000000" w:fill="FFFF99"/>
      <w:spacing w:before="100" w:beforeAutospacing="1" w:after="100" w:afterAutospacing="1"/>
      <w:jc w:val="right"/>
    </w:pPr>
    <w:rPr>
      <w:rFonts w:ascii="Courier New" w:eastAsia="Times New Roman" w:hAnsi="Courier New" w:cs="Courier New"/>
      <w:sz w:val="18"/>
      <w:szCs w:val="18"/>
    </w:rPr>
  </w:style>
  <w:style w:type="paragraph" w:customStyle="1" w:styleId="xl361">
    <w:name w:val="xl361"/>
    <w:basedOn w:val="Normal"/>
    <w:rsid w:val="00247CBF"/>
    <w:pPr>
      <w:pBdr>
        <w:top w:val="dashed" w:sz="4" w:space="0" w:color="auto"/>
        <w:bottom w:val="dashed" w:sz="4" w:space="0" w:color="auto"/>
        <w:right w:val="dashed" w:sz="4" w:space="0" w:color="auto"/>
      </w:pBdr>
      <w:shd w:val="clear" w:color="000000" w:fill="FFFF99"/>
      <w:spacing w:before="100" w:beforeAutospacing="1" w:after="100" w:afterAutospacing="1"/>
      <w:jc w:val="right"/>
    </w:pPr>
    <w:rPr>
      <w:rFonts w:ascii="Courier New" w:eastAsia="Times New Roman" w:hAnsi="Courier New" w:cs="Courier New"/>
      <w:sz w:val="18"/>
      <w:szCs w:val="18"/>
    </w:rPr>
  </w:style>
  <w:style w:type="paragraph" w:customStyle="1" w:styleId="xl362">
    <w:name w:val="xl362"/>
    <w:basedOn w:val="Normal"/>
    <w:rsid w:val="00247CBF"/>
    <w:pPr>
      <w:pBdr>
        <w:top w:val="dashed" w:sz="4" w:space="0" w:color="auto"/>
        <w:left w:val="dashed" w:sz="4" w:space="0" w:color="auto"/>
        <w:bottom w:val="dashed" w:sz="4" w:space="0" w:color="auto"/>
        <w:right w:val="dashed" w:sz="4" w:space="0" w:color="auto"/>
      </w:pBdr>
      <w:shd w:val="clear" w:color="000000" w:fill="FFFF99"/>
      <w:spacing w:before="100" w:beforeAutospacing="1" w:after="100" w:afterAutospacing="1"/>
      <w:jc w:val="right"/>
    </w:pPr>
    <w:rPr>
      <w:rFonts w:ascii="Courier New" w:eastAsia="Times New Roman" w:hAnsi="Courier New" w:cs="Courier New"/>
      <w:sz w:val="18"/>
      <w:szCs w:val="18"/>
    </w:rPr>
  </w:style>
  <w:style w:type="paragraph" w:customStyle="1" w:styleId="xl363">
    <w:name w:val="xl363"/>
    <w:basedOn w:val="Normal"/>
    <w:rsid w:val="00247CBF"/>
    <w:pPr>
      <w:pBdr>
        <w:top w:val="dashed" w:sz="4" w:space="0" w:color="auto"/>
        <w:bottom w:val="dashed" w:sz="4" w:space="0" w:color="auto"/>
        <w:right w:val="dashed" w:sz="4" w:space="0" w:color="auto"/>
      </w:pBdr>
      <w:spacing w:before="100" w:beforeAutospacing="1" w:after="100" w:afterAutospacing="1"/>
      <w:jc w:val="right"/>
    </w:pPr>
    <w:rPr>
      <w:rFonts w:eastAsia="Times New Roman" w:cs="Times New Roman"/>
      <w:sz w:val="18"/>
      <w:szCs w:val="18"/>
    </w:rPr>
  </w:style>
  <w:style w:type="paragraph" w:customStyle="1" w:styleId="xl364">
    <w:name w:val="xl364"/>
    <w:basedOn w:val="Normal"/>
    <w:rsid w:val="00247CBF"/>
    <w:pPr>
      <w:pBdr>
        <w:top w:val="dashed" w:sz="4" w:space="0" w:color="auto"/>
        <w:left w:val="dashed" w:sz="4" w:space="0" w:color="auto"/>
        <w:bottom w:val="dashed" w:sz="4" w:space="0" w:color="auto"/>
        <w:right w:val="dashed" w:sz="4" w:space="0" w:color="auto"/>
      </w:pBdr>
      <w:spacing w:before="100" w:beforeAutospacing="1" w:after="100" w:afterAutospacing="1"/>
      <w:jc w:val="right"/>
    </w:pPr>
    <w:rPr>
      <w:rFonts w:eastAsia="Times New Roman" w:cs="Times New Roman"/>
      <w:sz w:val="18"/>
      <w:szCs w:val="18"/>
    </w:rPr>
  </w:style>
  <w:style w:type="paragraph" w:customStyle="1" w:styleId="xl365">
    <w:name w:val="xl365"/>
    <w:basedOn w:val="Normal"/>
    <w:rsid w:val="00247CBF"/>
    <w:pPr>
      <w:pBdr>
        <w:top w:val="dashed" w:sz="4" w:space="0" w:color="auto"/>
        <w:bottom w:val="dashed" w:sz="4" w:space="0" w:color="auto"/>
        <w:right w:val="dashed" w:sz="4" w:space="0" w:color="auto"/>
      </w:pBdr>
      <w:shd w:val="clear" w:color="000000" w:fill="FFFF99"/>
      <w:spacing w:before="100" w:beforeAutospacing="1" w:after="100" w:afterAutospacing="1"/>
      <w:jc w:val="right"/>
    </w:pPr>
    <w:rPr>
      <w:rFonts w:eastAsia="Times New Roman" w:cs="Times New Roman"/>
      <w:sz w:val="18"/>
      <w:szCs w:val="18"/>
    </w:rPr>
  </w:style>
  <w:style w:type="paragraph" w:customStyle="1" w:styleId="xl366">
    <w:name w:val="xl366"/>
    <w:basedOn w:val="Normal"/>
    <w:rsid w:val="00247CBF"/>
    <w:pPr>
      <w:pBdr>
        <w:top w:val="dashed" w:sz="4" w:space="0" w:color="auto"/>
        <w:left w:val="dashed" w:sz="4" w:space="0" w:color="auto"/>
        <w:bottom w:val="dashed" w:sz="4" w:space="0" w:color="auto"/>
        <w:right w:val="dashed" w:sz="4" w:space="0" w:color="auto"/>
      </w:pBdr>
      <w:shd w:val="clear" w:color="000000" w:fill="FFFF99"/>
      <w:spacing w:before="100" w:beforeAutospacing="1" w:after="100" w:afterAutospacing="1"/>
      <w:jc w:val="right"/>
    </w:pPr>
    <w:rPr>
      <w:rFonts w:eastAsia="Times New Roman" w:cs="Times New Roman"/>
      <w:sz w:val="18"/>
      <w:szCs w:val="18"/>
    </w:rPr>
  </w:style>
  <w:style w:type="paragraph" w:customStyle="1" w:styleId="xl367">
    <w:name w:val="xl367"/>
    <w:basedOn w:val="Normal"/>
    <w:rsid w:val="00247CBF"/>
    <w:pPr>
      <w:pBdr>
        <w:top w:val="dashed" w:sz="4" w:space="0" w:color="auto"/>
        <w:left w:val="dashed" w:sz="4" w:space="0" w:color="auto"/>
        <w:bottom w:val="dashed" w:sz="4" w:space="0" w:color="auto"/>
        <w:right w:val="dashed" w:sz="4" w:space="0" w:color="auto"/>
      </w:pBdr>
      <w:shd w:val="clear" w:color="000000" w:fill="CCFFFF"/>
      <w:spacing w:before="100" w:beforeAutospacing="1" w:after="100" w:afterAutospacing="1"/>
      <w:jc w:val="right"/>
    </w:pPr>
    <w:rPr>
      <w:rFonts w:eastAsia="Times New Roman" w:cs="Times New Roman"/>
      <w:sz w:val="18"/>
      <w:szCs w:val="18"/>
    </w:rPr>
  </w:style>
  <w:style w:type="paragraph" w:customStyle="1" w:styleId="xl368">
    <w:name w:val="xl368"/>
    <w:basedOn w:val="Normal"/>
    <w:rsid w:val="00247CBF"/>
    <w:pPr>
      <w:pBdr>
        <w:top w:val="dashed" w:sz="4" w:space="0" w:color="auto"/>
        <w:bottom w:val="dashed" w:sz="4" w:space="0" w:color="auto"/>
        <w:right w:val="dashed" w:sz="4" w:space="0" w:color="auto"/>
      </w:pBdr>
      <w:shd w:val="clear" w:color="000000" w:fill="FFFF99"/>
      <w:spacing w:before="100" w:beforeAutospacing="1" w:after="100" w:afterAutospacing="1"/>
      <w:jc w:val="right"/>
    </w:pPr>
    <w:rPr>
      <w:rFonts w:ascii="Courier New" w:eastAsia="Times New Roman" w:hAnsi="Courier New" w:cs="Courier New"/>
      <w:sz w:val="18"/>
      <w:szCs w:val="18"/>
    </w:rPr>
  </w:style>
  <w:style w:type="paragraph" w:customStyle="1" w:styleId="xl369">
    <w:name w:val="xl369"/>
    <w:basedOn w:val="Normal"/>
    <w:rsid w:val="00247CBF"/>
    <w:pPr>
      <w:pBdr>
        <w:top w:val="dashed" w:sz="4" w:space="0" w:color="auto"/>
        <w:left w:val="dashed" w:sz="4" w:space="0" w:color="auto"/>
        <w:bottom w:val="dashed" w:sz="4" w:space="0" w:color="auto"/>
        <w:right w:val="dashed" w:sz="4" w:space="0" w:color="auto"/>
      </w:pBdr>
      <w:shd w:val="clear" w:color="000000" w:fill="FFFF99"/>
      <w:spacing w:before="100" w:beforeAutospacing="1" w:after="100" w:afterAutospacing="1"/>
      <w:jc w:val="right"/>
    </w:pPr>
    <w:rPr>
      <w:rFonts w:ascii="Courier New" w:eastAsia="Times New Roman" w:hAnsi="Courier New" w:cs="Courier New"/>
      <w:sz w:val="18"/>
      <w:szCs w:val="18"/>
    </w:rPr>
  </w:style>
  <w:style w:type="paragraph" w:customStyle="1" w:styleId="xl370">
    <w:name w:val="xl370"/>
    <w:basedOn w:val="Normal"/>
    <w:rsid w:val="00247CBF"/>
    <w:pPr>
      <w:shd w:val="clear" w:color="000000" w:fill="FFFFFF"/>
      <w:spacing w:before="100" w:beforeAutospacing="1" w:after="100" w:afterAutospacing="1"/>
      <w:jc w:val="right"/>
    </w:pPr>
    <w:rPr>
      <w:rFonts w:eastAsia="Times New Roman" w:cs="Times New Roman"/>
      <w:sz w:val="16"/>
      <w:szCs w:val="16"/>
    </w:rPr>
  </w:style>
  <w:style w:type="paragraph" w:customStyle="1" w:styleId="xl371">
    <w:name w:val="xl371"/>
    <w:basedOn w:val="Normal"/>
    <w:rsid w:val="00247CBF"/>
    <w:pPr>
      <w:shd w:val="clear" w:color="000000" w:fill="FFFFFF"/>
      <w:spacing w:before="100" w:beforeAutospacing="1" w:after="100" w:afterAutospacing="1"/>
      <w:jc w:val="right"/>
    </w:pPr>
    <w:rPr>
      <w:rFonts w:eastAsia="Times New Roman" w:cs="Times New Roman"/>
      <w:sz w:val="16"/>
      <w:szCs w:val="16"/>
    </w:rPr>
  </w:style>
  <w:style w:type="paragraph" w:customStyle="1" w:styleId="xl372">
    <w:name w:val="xl372"/>
    <w:basedOn w:val="Normal"/>
    <w:rsid w:val="00247CBF"/>
    <w:pPr>
      <w:shd w:val="clear" w:color="000000" w:fill="FFFFFF"/>
      <w:spacing w:before="100" w:beforeAutospacing="1" w:after="100" w:afterAutospacing="1"/>
      <w:jc w:val="right"/>
    </w:pPr>
    <w:rPr>
      <w:rFonts w:eastAsia="Times New Roman" w:cs="Times New Roman"/>
      <w:sz w:val="16"/>
      <w:szCs w:val="16"/>
    </w:rPr>
  </w:style>
  <w:style w:type="paragraph" w:customStyle="1" w:styleId="xl373">
    <w:name w:val="xl373"/>
    <w:basedOn w:val="Normal"/>
    <w:rsid w:val="00247CBF"/>
    <w:pPr>
      <w:pBdr>
        <w:top w:val="single" w:sz="4" w:space="0" w:color="auto"/>
        <w:bottom w:val="single" w:sz="4" w:space="0" w:color="000000"/>
      </w:pBdr>
      <w:shd w:val="clear" w:color="000000" w:fill="FFFFFF"/>
      <w:spacing w:before="100" w:beforeAutospacing="1" w:after="100" w:afterAutospacing="1"/>
      <w:jc w:val="center"/>
    </w:pPr>
    <w:rPr>
      <w:rFonts w:eastAsia="Times New Roman" w:cs="Times New Roman"/>
      <w:szCs w:val="24"/>
    </w:rPr>
  </w:style>
  <w:style w:type="paragraph" w:customStyle="1" w:styleId="xl374">
    <w:name w:val="xl374"/>
    <w:basedOn w:val="Normal"/>
    <w:rsid w:val="00247CBF"/>
    <w:pPr>
      <w:pBdr>
        <w:top w:val="single" w:sz="4" w:space="0" w:color="auto"/>
        <w:bottom w:val="single" w:sz="4" w:space="0" w:color="000000"/>
        <w:right w:val="double" w:sz="6" w:space="0" w:color="000000"/>
      </w:pBdr>
      <w:shd w:val="clear" w:color="000000" w:fill="FFFFFF"/>
      <w:spacing w:before="100" w:beforeAutospacing="1" w:after="100" w:afterAutospacing="1"/>
      <w:jc w:val="center"/>
    </w:pPr>
    <w:rPr>
      <w:rFonts w:eastAsia="Times New Roman" w:cs="Times New Roman"/>
      <w:szCs w:val="24"/>
    </w:rPr>
  </w:style>
  <w:style w:type="paragraph" w:customStyle="1" w:styleId="xl375">
    <w:name w:val="xl375"/>
    <w:basedOn w:val="Normal"/>
    <w:rsid w:val="00247CBF"/>
    <w:pPr>
      <w:pBdr>
        <w:bottom w:val="dotted" w:sz="4" w:space="0" w:color="auto"/>
        <w:right w:val="dotted" w:sz="4" w:space="0" w:color="auto"/>
      </w:pBdr>
      <w:shd w:val="clear" w:color="000000" w:fill="FFFF99"/>
      <w:spacing w:before="100" w:beforeAutospacing="1" w:after="100" w:afterAutospacing="1"/>
      <w:jc w:val="center"/>
      <w:textAlignment w:val="top"/>
    </w:pPr>
    <w:rPr>
      <w:rFonts w:eastAsia="Times New Roman" w:cs="Times New Roman"/>
      <w:szCs w:val="24"/>
    </w:rPr>
  </w:style>
  <w:style w:type="paragraph" w:customStyle="1" w:styleId="xl376">
    <w:name w:val="xl376"/>
    <w:basedOn w:val="Normal"/>
    <w:rsid w:val="00247CBF"/>
    <w:pPr>
      <w:pBdr>
        <w:bottom w:val="dotted" w:sz="4" w:space="0" w:color="auto"/>
        <w:right w:val="double" w:sz="6" w:space="0" w:color="auto"/>
      </w:pBdr>
      <w:shd w:val="clear" w:color="000000" w:fill="FFFF99"/>
      <w:spacing w:before="100" w:beforeAutospacing="1" w:after="100" w:afterAutospacing="1"/>
      <w:jc w:val="center"/>
      <w:textAlignment w:val="top"/>
    </w:pPr>
    <w:rPr>
      <w:rFonts w:eastAsia="Times New Roman" w:cs="Times New Roman"/>
      <w:szCs w:val="24"/>
    </w:rPr>
  </w:style>
  <w:style w:type="paragraph" w:customStyle="1" w:styleId="xl377">
    <w:name w:val="xl377"/>
    <w:basedOn w:val="Normal"/>
    <w:rsid w:val="00247CBF"/>
    <w:pPr>
      <w:pBdr>
        <w:bottom w:val="double" w:sz="6" w:space="0" w:color="auto"/>
        <w:right w:val="double" w:sz="6" w:space="0" w:color="auto"/>
      </w:pBdr>
      <w:shd w:val="clear" w:color="000000" w:fill="FFFF99"/>
      <w:spacing w:before="100" w:beforeAutospacing="1" w:after="100" w:afterAutospacing="1"/>
      <w:jc w:val="center"/>
      <w:textAlignment w:val="top"/>
    </w:pPr>
    <w:rPr>
      <w:rFonts w:eastAsia="Times New Roman" w:cs="Times New Roman"/>
      <w:szCs w:val="24"/>
    </w:rPr>
  </w:style>
  <w:style w:type="paragraph" w:customStyle="1" w:styleId="xl378">
    <w:name w:val="xl378"/>
    <w:basedOn w:val="Normal"/>
    <w:rsid w:val="00247CBF"/>
    <w:pPr>
      <w:pBdr>
        <w:top w:val="dotted" w:sz="4" w:space="0" w:color="auto"/>
        <w:left w:val="single" w:sz="8" w:space="0" w:color="auto"/>
        <w:bottom w:val="dashed" w:sz="4" w:space="0" w:color="auto"/>
        <w:right w:val="dotted" w:sz="4" w:space="0" w:color="auto"/>
      </w:pBdr>
      <w:shd w:val="clear" w:color="000000" w:fill="FFFF99"/>
      <w:spacing w:before="100" w:beforeAutospacing="1" w:after="100" w:afterAutospacing="1"/>
      <w:jc w:val="center"/>
      <w:textAlignment w:val="top"/>
    </w:pPr>
    <w:rPr>
      <w:rFonts w:eastAsia="Times New Roman" w:cs="Times New Roman"/>
      <w:szCs w:val="24"/>
    </w:rPr>
  </w:style>
  <w:style w:type="paragraph" w:customStyle="1" w:styleId="xl379">
    <w:name w:val="xl379"/>
    <w:basedOn w:val="Normal"/>
    <w:rsid w:val="00247CBF"/>
    <w:pPr>
      <w:pBdr>
        <w:top w:val="dotted" w:sz="4" w:space="0" w:color="auto"/>
        <w:bottom w:val="dashed" w:sz="4" w:space="0" w:color="auto"/>
        <w:right w:val="dotted" w:sz="4" w:space="0" w:color="auto"/>
      </w:pBdr>
      <w:shd w:val="clear" w:color="000000" w:fill="FFFF99"/>
      <w:spacing w:before="100" w:beforeAutospacing="1" w:after="100" w:afterAutospacing="1"/>
      <w:jc w:val="center"/>
      <w:textAlignment w:val="top"/>
    </w:pPr>
    <w:rPr>
      <w:rFonts w:eastAsia="Times New Roman" w:cs="Times New Roman"/>
      <w:szCs w:val="24"/>
    </w:rPr>
  </w:style>
  <w:style w:type="paragraph" w:customStyle="1" w:styleId="xl380">
    <w:name w:val="xl380"/>
    <w:basedOn w:val="Normal"/>
    <w:rsid w:val="00247CBF"/>
    <w:pPr>
      <w:pBdr>
        <w:top w:val="dotted" w:sz="4" w:space="0" w:color="auto"/>
        <w:bottom w:val="dashed" w:sz="4" w:space="0" w:color="auto"/>
        <w:right w:val="double" w:sz="6" w:space="0" w:color="auto"/>
      </w:pBdr>
      <w:shd w:val="clear" w:color="000000" w:fill="FFFF99"/>
      <w:spacing w:before="100" w:beforeAutospacing="1" w:after="100" w:afterAutospacing="1"/>
      <w:jc w:val="center"/>
      <w:textAlignment w:val="top"/>
    </w:pPr>
    <w:rPr>
      <w:rFonts w:eastAsia="Times New Roman" w:cs="Times New Roman"/>
      <w:szCs w:val="24"/>
    </w:rPr>
  </w:style>
  <w:style w:type="paragraph" w:customStyle="1" w:styleId="xl381">
    <w:name w:val="xl381"/>
    <w:basedOn w:val="Normal"/>
    <w:rsid w:val="00247CBF"/>
    <w:pPr>
      <w:pBdr>
        <w:top w:val="single" w:sz="4" w:space="0" w:color="auto"/>
        <w:bottom w:val="single" w:sz="4" w:space="0" w:color="auto"/>
      </w:pBdr>
      <w:shd w:val="clear" w:color="000000" w:fill="FFFFFF"/>
      <w:spacing w:before="100" w:beforeAutospacing="1" w:after="100" w:afterAutospacing="1"/>
      <w:jc w:val="center"/>
      <w:textAlignment w:val="top"/>
    </w:pPr>
    <w:rPr>
      <w:rFonts w:eastAsia="Times New Roman" w:cs="Times New Roman"/>
      <w:b/>
      <w:bCs/>
      <w:color w:val="000000"/>
      <w:szCs w:val="24"/>
    </w:rPr>
  </w:style>
  <w:style w:type="paragraph" w:customStyle="1" w:styleId="xl382">
    <w:name w:val="xl382"/>
    <w:basedOn w:val="Normal"/>
    <w:rsid w:val="00247CBF"/>
    <w:pPr>
      <w:pBdr>
        <w:top w:val="single" w:sz="4" w:space="0" w:color="auto"/>
        <w:bottom w:val="single" w:sz="4" w:space="0" w:color="auto"/>
        <w:right w:val="double" w:sz="6" w:space="0" w:color="000000"/>
      </w:pBdr>
      <w:shd w:val="clear" w:color="000000" w:fill="FFFFFF"/>
      <w:spacing w:before="100" w:beforeAutospacing="1" w:after="100" w:afterAutospacing="1"/>
      <w:jc w:val="center"/>
      <w:textAlignment w:val="top"/>
    </w:pPr>
    <w:rPr>
      <w:rFonts w:eastAsia="Times New Roman" w:cs="Times New Roman"/>
      <w:b/>
      <w:bCs/>
      <w:color w:val="000000"/>
      <w:szCs w:val="24"/>
    </w:rPr>
  </w:style>
  <w:style w:type="paragraph" w:customStyle="1" w:styleId="xl383">
    <w:name w:val="xl383"/>
    <w:basedOn w:val="Normal"/>
    <w:rsid w:val="00247CBF"/>
    <w:pPr>
      <w:pBdr>
        <w:top w:val="double" w:sz="6" w:space="0" w:color="auto"/>
        <w:bottom w:val="double" w:sz="6" w:space="0" w:color="auto"/>
        <w:right w:val="dashed" w:sz="4" w:space="0" w:color="auto"/>
      </w:pBdr>
      <w:shd w:val="clear" w:color="000000" w:fill="00FF00"/>
      <w:spacing w:before="100" w:beforeAutospacing="1" w:after="100" w:afterAutospacing="1"/>
      <w:jc w:val="right"/>
      <w:textAlignment w:val="center"/>
    </w:pPr>
    <w:rPr>
      <w:rFonts w:eastAsia="Times New Roman" w:cs="Times New Roman"/>
      <w:b/>
      <w:bCs/>
      <w:szCs w:val="24"/>
    </w:rPr>
  </w:style>
  <w:style w:type="paragraph" w:customStyle="1" w:styleId="xl384">
    <w:name w:val="xl384"/>
    <w:basedOn w:val="Normal"/>
    <w:rsid w:val="00247CBF"/>
    <w:pPr>
      <w:pBdr>
        <w:top w:val="double" w:sz="6" w:space="0" w:color="auto"/>
        <w:left w:val="dashed" w:sz="4" w:space="0" w:color="auto"/>
        <w:bottom w:val="double" w:sz="6" w:space="0" w:color="auto"/>
        <w:right w:val="dashed" w:sz="4" w:space="0" w:color="auto"/>
      </w:pBdr>
      <w:shd w:val="clear" w:color="000000" w:fill="00FF00"/>
      <w:spacing w:before="100" w:beforeAutospacing="1" w:after="100" w:afterAutospacing="1"/>
      <w:jc w:val="right"/>
      <w:textAlignment w:val="center"/>
    </w:pPr>
    <w:rPr>
      <w:rFonts w:eastAsia="Times New Roman" w:cs="Times New Roman"/>
      <w:b/>
      <w:bCs/>
      <w:szCs w:val="24"/>
    </w:rPr>
  </w:style>
  <w:style w:type="paragraph" w:customStyle="1" w:styleId="xl385">
    <w:name w:val="xl385"/>
    <w:basedOn w:val="Normal"/>
    <w:rsid w:val="00247CBF"/>
    <w:pPr>
      <w:pBdr>
        <w:top w:val="double" w:sz="6" w:space="0" w:color="auto"/>
        <w:left w:val="dashed" w:sz="4" w:space="0" w:color="auto"/>
        <w:bottom w:val="double" w:sz="6" w:space="0" w:color="auto"/>
        <w:right w:val="double" w:sz="6" w:space="0" w:color="auto"/>
      </w:pBdr>
      <w:shd w:val="clear" w:color="000000" w:fill="00FF00"/>
      <w:spacing w:before="100" w:beforeAutospacing="1" w:after="100" w:afterAutospacing="1"/>
      <w:jc w:val="right"/>
      <w:textAlignment w:val="center"/>
    </w:pPr>
    <w:rPr>
      <w:rFonts w:eastAsia="Times New Roman" w:cs="Times New Roman"/>
      <w:b/>
      <w:bCs/>
      <w:szCs w:val="24"/>
    </w:rPr>
  </w:style>
  <w:style w:type="paragraph" w:customStyle="1" w:styleId="xl386">
    <w:name w:val="xl386"/>
    <w:basedOn w:val="Normal"/>
    <w:rsid w:val="00247CBF"/>
    <w:pPr>
      <w:pBdr>
        <w:top w:val="double" w:sz="6" w:space="0" w:color="auto"/>
        <w:left w:val="dashed" w:sz="4" w:space="0" w:color="auto"/>
        <w:bottom w:val="double" w:sz="6" w:space="0" w:color="auto"/>
        <w:right w:val="double" w:sz="6" w:space="0" w:color="auto"/>
      </w:pBdr>
      <w:shd w:val="clear" w:color="000000" w:fill="E26B0A"/>
      <w:spacing w:before="100" w:beforeAutospacing="1" w:after="100" w:afterAutospacing="1"/>
      <w:jc w:val="right"/>
      <w:textAlignment w:val="center"/>
    </w:pPr>
    <w:rPr>
      <w:rFonts w:eastAsia="Times New Roman" w:cs="Times New Roman"/>
      <w:b/>
      <w:bCs/>
      <w:szCs w:val="24"/>
    </w:rPr>
  </w:style>
  <w:style w:type="paragraph" w:customStyle="1" w:styleId="xl387">
    <w:name w:val="xl387"/>
    <w:basedOn w:val="Normal"/>
    <w:rsid w:val="00247CBF"/>
    <w:pPr>
      <w:pBdr>
        <w:top w:val="double" w:sz="6" w:space="0" w:color="auto"/>
        <w:left w:val="dashed" w:sz="4" w:space="0" w:color="auto"/>
        <w:bottom w:val="double" w:sz="6" w:space="0" w:color="auto"/>
        <w:right w:val="dashed" w:sz="4" w:space="0" w:color="auto"/>
      </w:pBdr>
      <w:shd w:val="clear" w:color="000000" w:fill="9966FF"/>
      <w:spacing w:before="100" w:beforeAutospacing="1" w:after="100" w:afterAutospacing="1"/>
      <w:jc w:val="right"/>
      <w:textAlignment w:val="center"/>
    </w:pPr>
    <w:rPr>
      <w:rFonts w:eastAsia="Times New Roman" w:cs="Times New Roman"/>
      <w:b/>
      <w:bCs/>
      <w:szCs w:val="24"/>
    </w:rPr>
  </w:style>
  <w:style w:type="paragraph" w:customStyle="1" w:styleId="xl388">
    <w:name w:val="xl388"/>
    <w:basedOn w:val="Normal"/>
    <w:rsid w:val="00247CBF"/>
    <w:pPr>
      <w:pBdr>
        <w:top w:val="double" w:sz="6" w:space="0" w:color="auto"/>
        <w:left w:val="dashed" w:sz="4" w:space="0" w:color="auto"/>
        <w:bottom w:val="double" w:sz="6" w:space="0" w:color="auto"/>
        <w:right w:val="double" w:sz="6" w:space="0" w:color="auto"/>
      </w:pBdr>
      <w:shd w:val="clear" w:color="000000" w:fill="9966FF"/>
      <w:spacing w:before="100" w:beforeAutospacing="1" w:after="100" w:afterAutospacing="1"/>
      <w:jc w:val="right"/>
      <w:textAlignment w:val="center"/>
    </w:pPr>
    <w:rPr>
      <w:rFonts w:eastAsia="Times New Roman" w:cs="Times New Roman"/>
      <w:b/>
      <w:bCs/>
      <w:szCs w:val="24"/>
    </w:rPr>
  </w:style>
  <w:style w:type="paragraph" w:customStyle="1" w:styleId="xl389">
    <w:name w:val="xl389"/>
    <w:basedOn w:val="Normal"/>
    <w:rsid w:val="00247CBF"/>
    <w:pPr>
      <w:pBdr>
        <w:top w:val="dashed" w:sz="4" w:space="0" w:color="auto"/>
        <w:bottom w:val="dashed" w:sz="4" w:space="0" w:color="auto"/>
        <w:right w:val="dashed" w:sz="4" w:space="0" w:color="auto"/>
      </w:pBdr>
      <w:shd w:val="clear" w:color="000000" w:fill="FFFF99"/>
      <w:spacing w:before="100" w:beforeAutospacing="1" w:after="100" w:afterAutospacing="1"/>
      <w:jc w:val="right"/>
    </w:pPr>
    <w:rPr>
      <w:rFonts w:eastAsia="Times New Roman" w:cs="Times New Roman"/>
      <w:szCs w:val="24"/>
    </w:rPr>
  </w:style>
  <w:style w:type="paragraph" w:customStyle="1" w:styleId="xl390">
    <w:name w:val="xl390"/>
    <w:basedOn w:val="Normal"/>
    <w:rsid w:val="00247CBF"/>
    <w:pPr>
      <w:pBdr>
        <w:top w:val="dashed" w:sz="4" w:space="0" w:color="auto"/>
        <w:left w:val="dashed" w:sz="4" w:space="0" w:color="auto"/>
        <w:bottom w:val="dashed" w:sz="4" w:space="0" w:color="auto"/>
        <w:right w:val="dashed" w:sz="4" w:space="0" w:color="auto"/>
      </w:pBdr>
      <w:shd w:val="clear" w:color="000000" w:fill="FFFF99"/>
      <w:spacing w:before="100" w:beforeAutospacing="1" w:after="100" w:afterAutospacing="1"/>
      <w:jc w:val="right"/>
    </w:pPr>
    <w:rPr>
      <w:rFonts w:eastAsia="Times New Roman" w:cs="Times New Roman"/>
      <w:szCs w:val="24"/>
    </w:rPr>
  </w:style>
  <w:style w:type="paragraph" w:customStyle="1" w:styleId="xl391">
    <w:name w:val="xl391"/>
    <w:basedOn w:val="Normal"/>
    <w:rsid w:val="00247CBF"/>
    <w:pPr>
      <w:pBdr>
        <w:top w:val="dashed" w:sz="4" w:space="0" w:color="auto"/>
        <w:bottom w:val="single" w:sz="8" w:space="0" w:color="auto"/>
        <w:right w:val="dashed" w:sz="4" w:space="0" w:color="auto"/>
      </w:pBdr>
      <w:shd w:val="clear" w:color="000000" w:fill="FFFF99"/>
      <w:spacing w:before="100" w:beforeAutospacing="1" w:after="100" w:afterAutospacing="1"/>
      <w:jc w:val="right"/>
    </w:pPr>
    <w:rPr>
      <w:rFonts w:ascii="Courier New" w:eastAsia="Times New Roman" w:hAnsi="Courier New" w:cs="Courier New"/>
      <w:sz w:val="16"/>
      <w:szCs w:val="16"/>
    </w:rPr>
  </w:style>
  <w:style w:type="paragraph" w:customStyle="1" w:styleId="xl392">
    <w:name w:val="xl392"/>
    <w:basedOn w:val="Normal"/>
    <w:rsid w:val="00247CBF"/>
    <w:pPr>
      <w:pBdr>
        <w:top w:val="dashed" w:sz="4" w:space="0" w:color="auto"/>
        <w:left w:val="dashed" w:sz="4" w:space="0" w:color="auto"/>
        <w:bottom w:val="single" w:sz="8" w:space="0" w:color="auto"/>
        <w:right w:val="dashed" w:sz="4" w:space="0" w:color="auto"/>
      </w:pBdr>
      <w:shd w:val="clear" w:color="000000" w:fill="FFFF99"/>
      <w:spacing w:before="100" w:beforeAutospacing="1" w:after="100" w:afterAutospacing="1"/>
      <w:jc w:val="right"/>
    </w:pPr>
    <w:rPr>
      <w:rFonts w:ascii="Courier New" w:eastAsia="Times New Roman" w:hAnsi="Courier New" w:cs="Courier New"/>
      <w:sz w:val="16"/>
      <w:szCs w:val="16"/>
    </w:rPr>
  </w:style>
  <w:style w:type="paragraph" w:customStyle="1" w:styleId="xl393">
    <w:name w:val="xl393"/>
    <w:basedOn w:val="Normal"/>
    <w:rsid w:val="00247CBF"/>
    <w:pPr>
      <w:pBdr>
        <w:top w:val="dashed" w:sz="4" w:space="0" w:color="auto"/>
        <w:bottom w:val="double" w:sz="6" w:space="0" w:color="auto"/>
        <w:right w:val="dashed" w:sz="4" w:space="0" w:color="auto"/>
      </w:pBdr>
      <w:shd w:val="clear" w:color="000000" w:fill="FFFF99"/>
      <w:spacing w:before="100" w:beforeAutospacing="1" w:after="100" w:afterAutospacing="1"/>
      <w:jc w:val="right"/>
    </w:pPr>
    <w:rPr>
      <w:rFonts w:eastAsia="Times New Roman" w:cs="Times New Roman"/>
      <w:szCs w:val="24"/>
    </w:rPr>
  </w:style>
  <w:style w:type="paragraph" w:customStyle="1" w:styleId="xl394">
    <w:name w:val="xl394"/>
    <w:basedOn w:val="Normal"/>
    <w:rsid w:val="00247CBF"/>
    <w:pPr>
      <w:pBdr>
        <w:top w:val="dashed" w:sz="4" w:space="0" w:color="auto"/>
        <w:left w:val="dashed" w:sz="4" w:space="0" w:color="auto"/>
        <w:bottom w:val="double" w:sz="6" w:space="0" w:color="auto"/>
        <w:right w:val="dashed" w:sz="4" w:space="0" w:color="auto"/>
      </w:pBdr>
      <w:shd w:val="clear" w:color="000000" w:fill="FFFF99"/>
      <w:spacing w:before="100" w:beforeAutospacing="1" w:after="100" w:afterAutospacing="1"/>
      <w:jc w:val="right"/>
    </w:pPr>
    <w:rPr>
      <w:rFonts w:eastAsia="Times New Roman" w:cs="Times New Roman"/>
      <w:szCs w:val="24"/>
    </w:rPr>
  </w:style>
  <w:style w:type="paragraph" w:customStyle="1" w:styleId="xl395">
    <w:name w:val="xl395"/>
    <w:basedOn w:val="Normal"/>
    <w:rsid w:val="00247CBF"/>
    <w:pPr>
      <w:pBdr>
        <w:top w:val="single" w:sz="8" w:space="0" w:color="auto"/>
        <w:left w:val="single" w:sz="8" w:space="0" w:color="auto"/>
        <w:bottom w:val="single" w:sz="8" w:space="0" w:color="auto"/>
      </w:pBdr>
      <w:shd w:val="clear" w:color="000000" w:fill="FFFFFF"/>
      <w:spacing w:before="100" w:beforeAutospacing="1" w:after="100" w:afterAutospacing="1"/>
      <w:jc w:val="right"/>
    </w:pPr>
    <w:rPr>
      <w:rFonts w:eastAsia="Times New Roman" w:cs="Times New Roman"/>
      <w:b/>
      <w:bCs/>
      <w:szCs w:val="24"/>
    </w:rPr>
  </w:style>
  <w:style w:type="paragraph" w:customStyle="1" w:styleId="xl396">
    <w:name w:val="xl396"/>
    <w:basedOn w:val="Normal"/>
    <w:rsid w:val="00247CBF"/>
    <w:pPr>
      <w:pBdr>
        <w:top w:val="single" w:sz="8" w:space="0" w:color="auto"/>
        <w:bottom w:val="single" w:sz="8" w:space="0" w:color="auto"/>
      </w:pBdr>
      <w:shd w:val="clear" w:color="000000" w:fill="FFFFFF"/>
      <w:spacing w:before="100" w:beforeAutospacing="1" w:after="100" w:afterAutospacing="1"/>
      <w:jc w:val="right"/>
    </w:pPr>
    <w:rPr>
      <w:rFonts w:eastAsia="Times New Roman" w:cs="Times New Roman"/>
      <w:b/>
      <w:bCs/>
      <w:szCs w:val="24"/>
    </w:rPr>
  </w:style>
  <w:style w:type="paragraph" w:customStyle="1" w:styleId="xl397">
    <w:name w:val="xl397"/>
    <w:basedOn w:val="Normal"/>
    <w:rsid w:val="00247CBF"/>
    <w:pPr>
      <w:pBdr>
        <w:top w:val="double" w:sz="6" w:space="0" w:color="auto"/>
        <w:left w:val="dashed" w:sz="4" w:space="0" w:color="auto"/>
        <w:bottom w:val="double" w:sz="6" w:space="0" w:color="auto"/>
        <w:right w:val="double" w:sz="6" w:space="0" w:color="auto"/>
      </w:pBdr>
      <w:shd w:val="clear" w:color="000000" w:fill="E26B0A"/>
      <w:spacing w:before="100" w:beforeAutospacing="1" w:after="100" w:afterAutospacing="1"/>
      <w:jc w:val="right"/>
      <w:textAlignment w:val="center"/>
    </w:pPr>
    <w:rPr>
      <w:rFonts w:eastAsia="Times New Roman" w:cs="Times New Roman"/>
      <w:b/>
      <w:bCs/>
      <w:szCs w:val="24"/>
    </w:rPr>
  </w:style>
  <w:style w:type="paragraph" w:customStyle="1" w:styleId="xl398">
    <w:name w:val="xl398"/>
    <w:basedOn w:val="Normal"/>
    <w:rsid w:val="00247CBF"/>
    <w:pPr>
      <w:spacing w:before="100" w:beforeAutospacing="1" w:after="100" w:afterAutospacing="1"/>
      <w:jc w:val="left"/>
    </w:pPr>
    <w:rPr>
      <w:rFonts w:eastAsia="Times New Roman" w:cs="Times New Roman"/>
      <w:sz w:val="17"/>
      <w:szCs w:val="17"/>
    </w:rPr>
  </w:style>
  <w:style w:type="paragraph" w:customStyle="1" w:styleId="xl399">
    <w:name w:val="xl399"/>
    <w:basedOn w:val="Normal"/>
    <w:rsid w:val="00247CBF"/>
    <w:pPr>
      <w:pBdr>
        <w:top w:val="double" w:sz="6" w:space="0" w:color="auto"/>
        <w:left w:val="single" w:sz="8" w:space="0" w:color="auto"/>
        <w:bottom w:val="double" w:sz="6" w:space="0" w:color="auto"/>
      </w:pBdr>
      <w:shd w:val="clear" w:color="000000" w:fill="00B050"/>
      <w:spacing w:before="100" w:beforeAutospacing="1" w:after="100" w:afterAutospacing="1"/>
      <w:jc w:val="left"/>
      <w:textAlignment w:val="center"/>
    </w:pPr>
    <w:rPr>
      <w:rFonts w:eastAsia="Times New Roman" w:cs="Times New Roman"/>
      <w:szCs w:val="24"/>
    </w:rPr>
  </w:style>
  <w:style w:type="paragraph" w:customStyle="1" w:styleId="xl400">
    <w:name w:val="xl400"/>
    <w:basedOn w:val="Normal"/>
    <w:rsid w:val="00247CBF"/>
    <w:pPr>
      <w:pBdr>
        <w:top w:val="double" w:sz="6" w:space="0" w:color="auto"/>
        <w:bottom w:val="double" w:sz="6" w:space="0" w:color="auto"/>
        <w:right w:val="single" w:sz="8" w:space="0" w:color="auto"/>
      </w:pBdr>
      <w:shd w:val="clear" w:color="000000" w:fill="00B050"/>
      <w:spacing w:before="100" w:beforeAutospacing="1" w:after="100" w:afterAutospacing="1"/>
      <w:jc w:val="left"/>
      <w:textAlignment w:val="center"/>
    </w:pPr>
    <w:rPr>
      <w:rFonts w:eastAsia="Times New Roman" w:cs="Times New Roman"/>
      <w:szCs w:val="24"/>
    </w:rPr>
  </w:style>
  <w:style w:type="paragraph" w:customStyle="1" w:styleId="xl401">
    <w:name w:val="xl401"/>
    <w:basedOn w:val="Normal"/>
    <w:rsid w:val="00247CBF"/>
    <w:pPr>
      <w:pBdr>
        <w:top w:val="single" w:sz="4" w:space="0" w:color="auto"/>
        <w:left w:val="single" w:sz="8" w:space="0" w:color="000000"/>
        <w:bottom w:val="single" w:sz="4" w:space="0" w:color="000000"/>
      </w:pBdr>
      <w:shd w:val="clear" w:color="000000" w:fill="FFFFFF"/>
      <w:spacing w:before="100" w:beforeAutospacing="1" w:after="100" w:afterAutospacing="1"/>
      <w:jc w:val="left"/>
    </w:pPr>
    <w:rPr>
      <w:rFonts w:eastAsia="Times New Roman" w:cs="Times New Roman"/>
      <w:szCs w:val="24"/>
    </w:rPr>
  </w:style>
  <w:style w:type="paragraph" w:customStyle="1" w:styleId="xl402">
    <w:name w:val="xl402"/>
    <w:basedOn w:val="Normal"/>
    <w:rsid w:val="00247CBF"/>
    <w:pPr>
      <w:pBdr>
        <w:top w:val="single" w:sz="4" w:space="0" w:color="auto"/>
        <w:bottom w:val="single" w:sz="4" w:space="0" w:color="000000"/>
        <w:right w:val="single" w:sz="8" w:space="0" w:color="auto"/>
      </w:pBdr>
      <w:shd w:val="clear" w:color="000000" w:fill="FFFFFF"/>
      <w:spacing w:before="100" w:beforeAutospacing="1" w:after="100" w:afterAutospacing="1"/>
      <w:jc w:val="left"/>
    </w:pPr>
    <w:rPr>
      <w:rFonts w:eastAsia="Times New Roman" w:cs="Times New Roman"/>
      <w:szCs w:val="24"/>
    </w:rPr>
  </w:style>
  <w:style w:type="paragraph" w:customStyle="1" w:styleId="xl403">
    <w:name w:val="xl403"/>
    <w:basedOn w:val="Normal"/>
    <w:rsid w:val="00247CBF"/>
    <w:pPr>
      <w:pBdr>
        <w:top w:val="double" w:sz="6" w:space="0" w:color="auto"/>
        <w:bottom w:val="double" w:sz="6" w:space="0" w:color="auto"/>
        <w:right w:val="dashed" w:sz="4" w:space="0" w:color="auto"/>
      </w:pBdr>
      <w:shd w:val="clear" w:color="000000" w:fill="9966FF"/>
      <w:spacing w:before="100" w:beforeAutospacing="1" w:after="100" w:afterAutospacing="1"/>
      <w:jc w:val="right"/>
      <w:textAlignment w:val="center"/>
    </w:pPr>
    <w:rPr>
      <w:rFonts w:eastAsia="Times New Roman" w:cs="Times New Roman"/>
      <w:b/>
      <w:bCs/>
      <w:szCs w:val="24"/>
    </w:rPr>
  </w:style>
  <w:style w:type="paragraph" w:customStyle="1" w:styleId="xl404">
    <w:name w:val="xl404"/>
    <w:basedOn w:val="Normal"/>
    <w:rsid w:val="00247CBF"/>
    <w:pPr>
      <w:pBdr>
        <w:top w:val="single" w:sz="8" w:space="0" w:color="auto"/>
        <w:bottom w:val="single" w:sz="8" w:space="0" w:color="auto"/>
      </w:pBdr>
      <w:shd w:val="clear" w:color="000000" w:fill="FFFFFF"/>
      <w:spacing w:before="100" w:beforeAutospacing="1" w:after="100" w:afterAutospacing="1"/>
      <w:jc w:val="right"/>
    </w:pPr>
    <w:rPr>
      <w:rFonts w:eastAsia="Times New Roman" w:cs="Times New Roman"/>
      <w:b/>
      <w:bCs/>
      <w:szCs w:val="24"/>
    </w:rPr>
  </w:style>
  <w:style w:type="paragraph" w:customStyle="1" w:styleId="xl405">
    <w:name w:val="xl405"/>
    <w:basedOn w:val="Normal"/>
    <w:rsid w:val="00247CBF"/>
    <w:pPr>
      <w:pBdr>
        <w:top w:val="dotted" w:sz="4" w:space="0" w:color="auto"/>
        <w:left w:val="dotted" w:sz="4" w:space="0" w:color="auto"/>
        <w:bottom w:val="dotted" w:sz="4" w:space="0" w:color="auto"/>
        <w:right w:val="double" w:sz="6" w:space="0" w:color="auto"/>
      </w:pBdr>
      <w:shd w:val="clear" w:color="000000" w:fill="FFFFFF"/>
      <w:spacing w:before="100" w:beforeAutospacing="1" w:after="100" w:afterAutospacing="1"/>
      <w:jc w:val="center"/>
    </w:pPr>
    <w:rPr>
      <w:rFonts w:eastAsia="Times New Roman" w:cs="Times New Roman"/>
      <w:szCs w:val="24"/>
    </w:rPr>
  </w:style>
  <w:style w:type="paragraph" w:customStyle="1" w:styleId="xl406">
    <w:name w:val="xl406"/>
    <w:basedOn w:val="Normal"/>
    <w:rsid w:val="00247CBF"/>
    <w:pPr>
      <w:shd w:val="clear" w:color="000000" w:fill="FFFFFF"/>
      <w:spacing w:before="100" w:beforeAutospacing="1" w:after="100" w:afterAutospacing="1"/>
      <w:jc w:val="right"/>
    </w:pPr>
    <w:rPr>
      <w:rFonts w:eastAsia="Times New Roman" w:cs="Times New Roman"/>
      <w:szCs w:val="24"/>
    </w:rPr>
  </w:style>
  <w:style w:type="paragraph" w:customStyle="1" w:styleId="xl407">
    <w:name w:val="xl407"/>
    <w:basedOn w:val="Normal"/>
    <w:rsid w:val="00247CBF"/>
    <w:pPr>
      <w:pBdr>
        <w:top w:val="single" w:sz="4" w:space="0" w:color="auto"/>
        <w:bottom w:val="single" w:sz="4" w:space="0" w:color="auto"/>
      </w:pBdr>
      <w:shd w:val="clear" w:color="000000" w:fill="FFFFFF"/>
      <w:spacing w:before="100" w:beforeAutospacing="1" w:after="100" w:afterAutospacing="1"/>
      <w:jc w:val="right"/>
      <w:textAlignment w:val="center"/>
    </w:pPr>
    <w:rPr>
      <w:rFonts w:eastAsia="Times New Roman" w:cs="Times New Roman"/>
      <w:b/>
      <w:bCs/>
      <w:szCs w:val="24"/>
    </w:rPr>
  </w:style>
  <w:style w:type="paragraph" w:customStyle="1" w:styleId="xl408">
    <w:name w:val="xl408"/>
    <w:basedOn w:val="Normal"/>
    <w:rsid w:val="00247CBF"/>
    <w:pPr>
      <w:pBdr>
        <w:top w:val="single" w:sz="4" w:space="0" w:color="auto"/>
        <w:bottom w:val="single" w:sz="4" w:space="0" w:color="auto"/>
        <w:right w:val="double" w:sz="6" w:space="0" w:color="auto"/>
      </w:pBdr>
      <w:shd w:val="clear" w:color="000000" w:fill="FFFFFF"/>
      <w:spacing w:before="100" w:beforeAutospacing="1" w:after="100" w:afterAutospacing="1"/>
      <w:jc w:val="right"/>
      <w:textAlignment w:val="center"/>
    </w:pPr>
    <w:rPr>
      <w:rFonts w:eastAsia="Times New Roman" w:cs="Times New Roman"/>
      <w:b/>
      <w:bCs/>
      <w:szCs w:val="24"/>
    </w:rPr>
  </w:style>
  <w:style w:type="paragraph" w:customStyle="1" w:styleId="xl409">
    <w:name w:val="xl409"/>
    <w:basedOn w:val="Normal"/>
    <w:rsid w:val="00247CBF"/>
    <w:pPr>
      <w:pBdr>
        <w:top w:val="single" w:sz="4" w:space="0" w:color="auto"/>
        <w:bottom w:val="single" w:sz="4" w:space="0" w:color="auto"/>
        <w:right w:val="dotted" w:sz="4" w:space="0" w:color="auto"/>
      </w:pBdr>
      <w:shd w:val="clear" w:color="000000" w:fill="FFFF99"/>
      <w:spacing w:before="100" w:beforeAutospacing="1" w:after="100" w:afterAutospacing="1"/>
      <w:jc w:val="right"/>
      <w:textAlignment w:val="center"/>
    </w:pPr>
    <w:rPr>
      <w:rFonts w:eastAsia="Times New Roman" w:cs="Times New Roman"/>
      <w:szCs w:val="24"/>
    </w:rPr>
  </w:style>
  <w:style w:type="paragraph" w:customStyle="1" w:styleId="xl410">
    <w:name w:val="xl410"/>
    <w:basedOn w:val="Normal"/>
    <w:rsid w:val="00247CBF"/>
    <w:pPr>
      <w:pBdr>
        <w:top w:val="single" w:sz="4" w:space="0" w:color="auto"/>
        <w:bottom w:val="single" w:sz="4" w:space="0" w:color="auto"/>
        <w:right w:val="double" w:sz="6" w:space="0" w:color="auto"/>
      </w:pBdr>
      <w:shd w:val="clear" w:color="000000" w:fill="FFFF99"/>
      <w:spacing w:before="100" w:beforeAutospacing="1" w:after="100" w:afterAutospacing="1"/>
      <w:jc w:val="right"/>
      <w:textAlignment w:val="center"/>
    </w:pPr>
    <w:rPr>
      <w:rFonts w:eastAsia="Times New Roman" w:cs="Times New Roman"/>
      <w:szCs w:val="24"/>
    </w:rPr>
  </w:style>
  <w:style w:type="paragraph" w:customStyle="1" w:styleId="xl411">
    <w:name w:val="xl411"/>
    <w:basedOn w:val="Normal"/>
    <w:rsid w:val="00247CBF"/>
    <w:pPr>
      <w:pBdr>
        <w:top w:val="single" w:sz="8" w:space="0" w:color="000000"/>
        <w:left w:val="single" w:sz="8" w:space="0" w:color="000000"/>
        <w:bottom w:val="dotted" w:sz="4" w:space="0" w:color="auto"/>
        <w:right w:val="dotted" w:sz="4" w:space="0" w:color="auto"/>
      </w:pBdr>
      <w:shd w:val="clear" w:color="000000" w:fill="FFFF99"/>
      <w:spacing w:before="100" w:beforeAutospacing="1" w:after="100" w:afterAutospacing="1"/>
      <w:jc w:val="center"/>
      <w:textAlignment w:val="center"/>
    </w:pPr>
    <w:rPr>
      <w:rFonts w:eastAsia="Times New Roman" w:cs="Times New Roman"/>
      <w:color w:val="000000"/>
      <w:sz w:val="23"/>
      <w:szCs w:val="23"/>
    </w:rPr>
  </w:style>
  <w:style w:type="paragraph" w:customStyle="1" w:styleId="xl412">
    <w:name w:val="xl412"/>
    <w:basedOn w:val="Normal"/>
    <w:rsid w:val="00247CBF"/>
    <w:pPr>
      <w:pBdr>
        <w:top w:val="single" w:sz="8" w:space="0" w:color="000000"/>
        <w:bottom w:val="dotted" w:sz="4" w:space="0" w:color="auto"/>
        <w:right w:val="dotted" w:sz="4" w:space="0" w:color="auto"/>
      </w:pBdr>
      <w:shd w:val="clear" w:color="000000" w:fill="FFFF99"/>
      <w:spacing w:before="100" w:beforeAutospacing="1" w:after="100" w:afterAutospacing="1"/>
      <w:jc w:val="center"/>
      <w:textAlignment w:val="center"/>
    </w:pPr>
    <w:rPr>
      <w:rFonts w:eastAsia="Times New Roman" w:cs="Times New Roman"/>
      <w:color w:val="000000"/>
      <w:sz w:val="23"/>
      <w:szCs w:val="23"/>
    </w:rPr>
  </w:style>
  <w:style w:type="paragraph" w:customStyle="1" w:styleId="xl413">
    <w:name w:val="xl413"/>
    <w:basedOn w:val="Normal"/>
    <w:rsid w:val="00247CBF"/>
    <w:pPr>
      <w:pBdr>
        <w:top w:val="single" w:sz="8" w:space="0" w:color="000000"/>
        <w:bottom w:val="dotted" w:sz="4" w:space="0" w:color="auto"/>
        <w:right w:val="double" w:sz="6" w:space="0" w:color="auto"/>
      </w:pBdr>
      <w:shd w:val="clear" w:color="000000" w:fill="FFFF99"/>
      <w:spacing w:before="100" w:beforeAutospacing="1" w:after="100" w:afterAutospacing="1"/>
      <w:jc w:val="center"/>
      <w:textAlignment w:val="center"/>
    </w:pPr>
    <w:rPr>
      <w:rFonts w:eastAsia="Times New Roman" w:cs="Times New Roman"/>
      <w:color w:val="000000"/>
      <w:sz w:val="23"/>
      <w:szCs w:val="23"/>
    </w:rPr>
  </w:style>
  <w:style w:type="paragraph" w:customStyle="1" w:styleId="xl414">
    <w:name w:val="xl414"/>
    <w:basedOn w:val="Normal"/>
    <w:rsid w:val="00247CBF"/>
    <w:pPr>
      <w:pBdr>
        <w:left w:val="single" w:sz="8" w:space="0" w:color="000000"/>
        <w:bottom w:val="dotted" w:sz="4" w:space="0" w:color="auto"/>
        <w:right w:val="dotted" w:sz="4" w:space="0" w:color="auto"/>
      </w:pBdr>
      <w:shd w:val="clear" w:color="000000" w:fill="FFFF99"/>
      <w:spacing w:before="100" w:beforeAutospacing="1" w:after="100" w:afterAutospacing="1"/>
      <w:jc w:val="center"/>
      <w:textAlignment w:val="center"/>
    </w:pPr>
    <w:rPr>
      <w:rFonts w:eastAsia="Times New Roman" w:cs="Times New Roman"/>
      <w:color w:val="000000"/>
      <w:szCs w:val="24"/>
    </w:rPr>
  </w:style>
  <w:style w:type="paragraph" w:customStyle="1" w:styleId="xl415">
    <w:name w:val="xl415"/>
    <w:basedOn w:val="Normal"/>
    <w:rsid w:val="00247CBF"/>
    <w:pPr>
      <w:pBdr>
        <w:bottom w:val="dotted" w:sz="4" w:space="0" w:color="auto"/>
        <w:right w:val="dotted" w:sz="4" w:space="0" w:color="auto"/>
      </w:pBdr>
      <w:shd w:val="clear" w:color="000000" w:fill="FFFF99"/>
      <w:spacing w:before="100" w:beforeAutospacing="1" w:after="100" w:afterAutospacing="1"/>
      <w:jc w:val="center"/>
      <w:textAlignment w:val="center"/>
    </w:pPr>
    <w:rPr>
      <w:rFonts w:eastAsia="Times New Roman" w:cs="Times New Roman"/>
      <w:color w:val="000000"/>
      <w:szCs w:val="24"/>
    </w:rPr>
  </w:style>
  <w:style w:type="paragraph" w:customStyle="1" w:styleId="xl416">
    <w:name w:val="xl416"/>
    <w:basedOn w:val="Normal"/>
    <w:rsid w:val="00247CBF"/>
    <w:pPr>
      <w:pBdr>
        <w:bottom w:val="dotted" w:sz="4" w:space="0" w:color="auto"/>
        <w:right w:val="double" w:sz="6" w:space="0" w:color="auto"/>
      </w:pBdr>
      <w:shd w:val="clear" w:color="000000" w:fill="FFFF99"/>
      <w:spacing w:before="100" w:beforeAutospacing="1" w:after="100" w:afterAutospacing="1"/>
      <w:jc w:val="center"/>
      <w:textAlignment w:val="center"/>
    </w:pPr>
    <w:rPr>
      <w:rFonts w:eastAsia="Times New Roman" w:cs="Times New Roman"/>
      <w:color w:val="000000"/>
      <w:sz w:val="23"/>
      <w:szCs w:val="23"/>
    </w:rPr>
  </w:style>
  <w:style w:type="paragraph" w:customStyle="1" w:styleId="xl417">
    <w:name w:val="xl417"/>
    <w:basedOn w:val="Normal"/>
    <w:rsid w:val="00247CBF"/>
    <w:pPr>
      <w:pBdr>
        <w:left w:val="single" w:sz="8" w:space="0" w:color="000000"/>
        <w:bottom w:val="dotted" w:sz="4" w:space="0" w:color="auto"/>
        <w:right w:val="dotted" w:sz="4" w:space="0" w:color="auto"/>
      </w:pBdr>
      <w:shd w:val="clear" w:color="000000" w:fill="FFFF99"/>
      <w:spacing w:before="100" w:beforeAutospacing="1" w:after="100" w:afterAutospacing="1"/>
      <w:jc w:val="center"/>
      <w:textAlignment w:val="center"/>
    </w:pPr>
    <w:rPr>
      <w:rFonts w:eastAsia="Times New Roman" w:cs="Times New Roman"/>
      <w:color w:val="000000"/>
      <w:sz w:val="23"/>
      <w:szCs w:val="23"/>
    </w:rPr>
  </w:style>
  <w:style w:type="paragraph" w:customStyle="1" w:styleId="xl418">
    <w:name w:val="xl418"/>
    <w:basedOn w:val="Normal"/>
    <w:rsid w:val="00247CBF"/>
    <w:pPr>
      <w:pBdr>
        <w:bottom w:val="dotted" w:sz="4" w:space="0" w:color="auto"/>
        <w:right w:val="dotted" w:sz="4" w:space="0" w:color="auto"/>
      </w:pBdr>
      <w:shd w:val="clear" w:color="000000" w:fill="FFFF99"/>
      <w:spacing w:before="100" w:beforeAutospacing="1" w:after="100" w:afterAutospacing="1"/>
      <w:jc w:val="center"/>
      <w:textAlignment w:val="center"/>
    </w:pPr>
    <w:rPr>
      <w:rFonts w:eastAsia="Times New Roman" w:cs="Times New Roman"/>
      <w:color w:val="000000"/>
      <w:sz w:val="23"/>
      <w:szCs w:val="23"/>
    </w:rPr>
  </w:style>
  <w:style w:type="paragraph" w:customStyle="1" w:styleId="xl419">
    <w:name w:val="xl419"/>
    <w:basedOn w:val="Normal"/>
    <w:rsid w:val="00247CBF"/>
    <w:pPr>
      <w:pBdr>
        <w:left w:val="single" w:sz="8" w:space="0" w:color="000000"/>
        <w:bottom w:val="double" w:sz="6" w:space="0" w:color="auto"/>
        <w:right w:val="dotted" w:sz="4" w:space="0" w:color="auto"/>
      </w:pBdr>
      <w:shd w:val="clear" w:color="000000" w:fill="FFFF99"/>
      <w:spacing w:before="100" w:beforeAutospacing="1" w:after="100" w:afterAutospacing="1"/>
      <w:jc w:val="center"/>
      <w:textAlignment w:val="center"/>
    </w:pPr>
    <w:rPr>
      <w:rFonts w:eastAsia="Times New Roman" w:cs="Times New Roman"/>
      <w:color w:val="000000"/>
      <w:szCs w:val="24"/>
    </w:rPr>
  </w:style>
  <w:style w:type="paragraph" w:customStyle="1" w:styleId="xl420">
    <w:name w:val="xl420"/>
    <w:basedOn w:val="Normal"/>
    <w:rsid w:val="00247CBF"/>
    <w:pPr>
      <w:pBdr>
        <w:bottom w:val="double" w:sz="6" w:space="0" w:color="auto"/>
        <w:right w:val="dotted" w:sz="4" w:space="0" w:color="auto"/>
      </w:pBdr>
      <w:shd w:val="clear" w:color="000000" w:fill="FFFF99"/>
      <w:spacing w:before="100" w:beforeAutospacing="1" w:after="100" w:afterAutospacing="1"/>
      <w:jc w:val="center"/>
      <w:textAlignment w:val="center"/>
    </w:pPr>
    <w:rPr>
      <w:rFonts w:eastAsia="Times New Roman" w:cs="Times New Roman"/>
      <w:color w:val="000000"/>
      <w:szCs w:val="24"/>
    </w:rPr>
  </w:style>
  <w:style w:type="paragraph" w:customStyle="1" w:styleId="xl421">
    <w:name w:val="xl421"/>
    <w:basedOn w:val="Normal"/>
    <w:rsid w:val="00247CBF"/>
    <w:pPr>
      <w:pBdr>
        <w:bottom w:val="double" w:sz="6" w:space="0" w:color="auto"/>
        <w:right w:val="double" w:sz="6" w:space="0" w:color="auto"/>
      </w:pBdr>
      <w:shd w:val="clear" w:color="000000" w:fill="FFFF99"/>
      <w:spacing w:before="100" w:beforeAutospacing="1" w:after="100" w:afterAutospacing="1"/>
      <w:jc w:val="center"/>
      <w:textAlignment w:val="center"/>
    </w:pPr>
    <w:rPr>
      <w:rFonts w:eastAsia="Times New Roman" w:cs="Times New Roman"/>
      <w:color w:val="000000"/>
      <w:sz w:val="23"/>
      <w:szCs w:val="23"/>
    </w:rPr>
  </w:style>
  <w:style w:type="paragraph" w:customStyle="1" w:styleId="xl422">
    <w:name w:val="xl422"/>
    <w:basedOn w:val="Normal"/>
    <w:rsid w:val="00247CBF"/>
    <w:pPr>
      <w:pBdr>
        <w:bottom w:val="dotted" w:sz="4" w:space="0" w:color="auto"/>
        <w:right w:val="double" w:sz="6" w:space="0" w:color="auto"/>
      </w:pBdr>
      <w:shd w:val="clear" w:color="000000" w:fill="CCFFFF"/>
      <w:spacing w:before="100" w:beforeAutospacing="1" w:after="100" w:afterAutospacing="1"/>
      <w:jc w:val="right"/>
      <w:textAlignment w:val="center"/>
    </w:pPr>
    <w:rPr>
      <w:rFonts w:eastAsia="Times New Roman" w:cs="Times New Roman"/>
      <w:szCs w:val="24"/>
    </w:rPr>
  </w:style>
  <w:style w:type="paragraph" w:customStyle="1" w:styleId="xl423">
    <w:name w:val="xl423"/>
    <w:basedOn w:val="Normal"/>
    <w:rsid w:val="00247CBF"/>
    <w:pPr>
      <w:pBdr>
        <w:bottom w:val="dotted" w:sz="4" w:space="0" w:color="auto"/>
        <w:right w:val="double" w:sz="6" w:space="0" w:color="auto"/>
      </w:pBdr>
      <w:shd w:val="clear" w:color="000000" w:fill="FFFF99"/>
      <w:spacing w:before="100" w:beforeAutospacing="1" w:after="100" w:afterAutospacing="1"/>
      <w:jc w:val="right"/>
      <w:textAlignment w:val="center"/>
    </w:pPr>
    <w:rPr>
      <w:rFonts w:ascii="Courier New" w:eastAsia="Times New Roman" w:hAnsi="Courier New" w:cs="Courier New"/>
      <w:sz w:val="16"/>
      <w:szCs w:val="16"/>
    </w:rPr>
  </w:style>
  <w:style w:type="paragraph" w:customStyle="1" w:styleId="xl424">
    <w:name w:val="xl424"/>
    <w:basedOn w:val="Normal"/>
    <w:rsid w:val="00247CBF"/>
    <w:pPr>
      <w:pBdr>
        <w:top w:val="dotted" w:sz="4" w:space="0" w:color="auto"/>
        <w:bottom w:val="single" w:sz="4" w:space="0" w:color="auto"/>
        <w:right w:val="double" w:sz="6" w:space="0" w:color="auto"/>
      </w:pBdr>
      <w:shd w:val="clear" w:color="000000" w:fill="CCFFFF"/>
      <w:spacing w:before="100" w:beforeAutospacing="1" w:after="100" w:afterAutospacing="1"/>
      <w:jc w:val="right"/>
      <w:textAlignment w:val="center"/>
    </w:pPr>
    <w:rPr>
      <w:rFonts w:eastAsia="Times New Roman" w:cs="Times New Roman"/>
      <w:szCs w:val="24"/>
    </w:rPr>
  </w:style>
  <w:style w:type="paragraph" w:customStyle="1" w:styleId="xl425">
    <w:name w:val="xl425"/>
    <w:basedOn w:val="Normal"/>
    <w:rsid w:val="00247CBF"/>
    <w:pPr>
      <w:pBdr>
        <w:top w:val="double" w:sz="6" w:space="0" w:color="auto"/>
        <w:left w:val="double" w:sz="6" w:space="0" w:color="auto"/>
      </w:pBdr>
      <w:shd w:val="clear" w:color="000000" w:fill="92D050"/>
      <w:spacing w:before="100" w:beforeAutospacing="1" w:after="100" w:afterAutospacing="1"/>
      <w:jc w:val="left"/>
      <w:textAlignment w:val="center"/>
    </w:pPr>
    <w:rPr>
      <w:rFonts w:eastAsia="Times New Roman" w:cs="Times New Roman"/>
      <w:b/>
      <w:bCs/>
      <w:szCs w:val="24"/>
    </w:rPr>
  </w:style>
  <w:style w:type="paragraph" w:customStyle="1" w:styleId="xl426">
    <w:name w:val="xl426"/>
    <w:basedOn w:val="Normal"/>
    <w:rsid w:val="00247CBF"/>
    <w:pPr>
      <w:pBdr>
        <w:top w:val="double" w:sz="6" w:space="0" w:color="auto"/>
        <w:left w:val="single" w:sz="8" w:space="0" w:color="000000"/>
        <w:right w:val="single" w:sz="8" w:space="0" w:color="000000"/>
      </w:pBdr>
      <w:shd w:val="clear" w:color="000000" w:fill="92D050"/>
      <w:spacing w:before="100" w:beforeAutospacing="1" w:after="100" w:afterAutospacing="1"/>
      <w:jc w:val="center"/>
      <w:textAlignment w:val="center"/>
    </w:pPr>
    <w:rPr>
      <w:rFonts w:eastAsia="Times New Roman" w:cs="Times New Roman"/>
      <w:szCs w:val="24"/>
    </w:rPr>
  </w:style>
  <w:style w:type="paragraph" w:customStyle="1" w:styleId="xl427">
    <w:name w:val="xl427"/>
    <w:basedOn w:val="Normal"/>
    <w:rsid w:val="00247CBF"/>
    <w:pPr>
      <w:pBdr>
        <w:top w:val="double" w:sz="6" w:space="0" w:color="auto"/>
        <w:left w:val="single" w:sz="8" w:space="0" w:color="auto"/>
        <w:bottom w:val="double" w:sz="6" w:space="0" w:color="auto"/>
        <w:right w:val="dashed" w:sz="4" w:space="0" w:color="auto"/>
      </w:pBdr>
      <w:shd w:val="clear" w:color="000000" w:fill="92D050"/>
      <w:spacing w:before="100" w:beforeAutospacing="1" w:after="100" w:afterAutospacing="1"/>
      <w:jc w:val="right"/>
      <w:textAlignment w:val="center"/>
    </w:pPr>
    <w:rPr>
      <w:rFonts w:eastAsia="Times New Roman" w:cs="Times New Roman"/>
      <w:b/>
      <w:bCs/>
      <w:szCs w:val="24"/>
    </w:rPr>
  </w:style>
  <w:style w:type="paragraph" w:customStyle="1" w:styleId="xl428">
    <w:name w:val="xl428"/>
    <w:basedOn w:val="Normal"/>
    <w:rsid w:val="00247CBF"/>
    <w:pPr>
      <w:pBdr>
        <w:top w:val="double" w:sz="6" w:space="0" w:color="auto"/>
        <w:left w:val="dashed" w:sz="4" w:space="0" w:color="auto"/>
        <w:bottom w:val="double" w:sz="6" w:space="0" w:color="auto"/>
        <w:right w:val="dashed" w:sz="4" w:space="0" w:color="auto"/>
      </w:pBdr>
      <w:shd w:val="clear" w:color="000000" w:fill="92D050"/>
      <w:spacing w:before="100" w:beforeAutospacing="1" w:after="100" w:afterAutospacing="1"/>
      <w:jc w:val="right"/>
      <w:textAlignment w:val="center"/>
    </w:pPr>
    <w:rPr>
      <w:rFonts w:eastAsia="Times New Roman" w:cs="Times New Roman"/>
      <w:b/>
      <w:bCs/>
      <w:szCs w:val="24"/>
    </w:rPr>
  </w:style>
  <w:style w:type="paragraph" w:customStyle="1" w:styleId="xl429">
    <w:name w:val="xl429"/>
    <w:basedOn w:val="Normal"/>
    <w:rsid w:val="00247CBF"/>
    <w:pPr>
      <w:pBdr>
        <w:top w:val="double" w:sz="6" w:space="0" w:color="auto"/>
        <w:left w:val="dashed" w:sz="4" w:space="0" w:color="auto"/>
        <w:bottom w:val="double" w:sz="6" w:space="0" w:color="auto"/>
        <w:right w:val="double" w:sz="6" w:space="0" w:color="auto"/>
      </w:pBdr>
      <w:shd w:val="clear" w:color="000000" w:fill="92D050"/>
      <w:spacing w:before="100" w:beforeAutospacing="1" w:after="100" w:afterAutospacing="1"/>
      <w:jc w:val="right"/>
      <w:textAlignment w:val="center"/>
    </w:pPr>
    <w:rPr>
      <w:rFonts w:eastAsia="Times New Roman" w:cs="Times New Roman"/>
      <w:b/>
      <w:bCs/>
      <w:szCs w:val="24"/>
    </w:rPr>
  </w:style>
  <w:style w:type="paragraph" w:customStyle="1" w:styleId="xl430">
    <w:name w:val="xl430"/>
    <w:basedOn w:val="Normal"/>
    <w:rsid w:val="00247CBF"/>
    <w:pPr>
      <w:pBdr>
        <w:top w:val="double" w:sz="6" w:space="0" w:color="auto"/>
        <w:left w:val="double" w:sz="6" w:space="0" w:color="auto"/>
        <w:bottom w:val="single" w:sz="4" w:space="0" w:color="auto"/>
      </w:pBdr>
      <w:spacing w:before="100" w:beforeAutospacing="1" w:after="100" w:afterAutospacing="1"/>
      <w:jc w:val="left"/>
      <w:textAlignment w:val="center"/>
    </w:pPr>
    <w:rPr>
      <w:rFonts w:eastAsia="Times New Roman" w:cs="Times New Roman"/>
      <w:b/>
      <w:bCs/>
      <w:szCs w:val="24"/>
    </w:rPr>
  </w:style>
  <w:style w:type="paragraph" w:customStyle="1" w:styleId="xl431">
    <w:name w:val="xl431"/>
    <w:basedOn w:val="Normal"/>
    <w:rsid w:val="00247CBF"/>
    <w:pPr>
      <w:pBdr>
        <w:top w:val="double" w:sz="6"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eastAsia="Times New Roman" w:cs="Times New Roman"/>
      <w:b/>
      <w:bCs/>
      <w:szCs w:val="24"/>
    </w:rPr>
  </w:style>
  <w:style w:type="paragraph" w:customStyle="1" w:styleId="xl432">
    <w:name w:val="xl432"/>
    <w:basedOn w:val="Normal"/>
    <w:rsid w:val="00247CBF"/>
    <w:pPr>
      <w:pBdr>
        <w:top w:val="double" w:sz="6" w:space="0" w:color="auto"/>
        <w:bottom w:val="single" w:sz="4" w:space="0" w:color="auto"/>
      </w:pBdr>
      <w:shd w:val="clear" w:color="000000" w:fill="FFFFFF"/>
      <w:spacing w:before="100" w:beforeAutospacing="1" w:after="100" w:afterAutospacing="1"/>
      <w:jc w:val="right"/>
      <w:textAlignment w:val="center"/>
    </w:pPr>
    <w:rPr>
      <w:rFonts w:eastAsia="Times New Roman" w:cs="Times New Roman"/>
      <w:b/>
      <w:bCs/>
      <w:szCs w:val="24"/>
    </w:rPr>
  </w:style>
  <w:style w:type="paragraph" w:customStyle="1" w:styleId="xl433">
    <w:name w:val="xl433"/>
    <w:basedOn w:val="Normal"/>
    <w:rsid w:val="00247CBF"/>
    <w:pPr>
      <w:pBdr>
        <w:top w:val="double" w:sz="6" w:space="0" w:color="auto"/>
        <w:bottom w:val="single" w:sz="4" w:space="0" w:color="auto"/>
        <w:right w:val="double" w:sz="6" w:space="0" w:color="auto"/>
      </w:pBdr>
      <w:shd w:val="clear" w:color="000000" w:fill="FFFFFF"/>
      <w:spacing w:before="100" w:beforeAutospacing="1" w:after="100" w:afterAutospacing="1"/>
      <w:jc w:val="right"/>
      <w:textAlignment w:val="center"/>
    </w:pPr>
    <w:rPr>
      <w:rFonts w:eastAsia="Times New Roman" w:cs="Times New Roman"/>
      <w:b/>
      <w:bCs/>
      <w:szCs w:val="24"/>
    </w:rPr>
  </w:style>
  <w:style w:type="paragraph" w:customStyle="1" w:styleId="xl434">
    <w:name w:val="xl434"/>
    <w:basedOn w:val="Normal"/>
    <w:rsid w:val="00247CBF"/>
    <w:pPr>
      <w:pBdr>
        <w:top w:val="double" w:sz="6" w:space="0" w:color="auto"/>
        <w:left w:val="dashed" w:sz="4" w:space="0" w:color="auto"/>
        <w:bottom w:val="double" w:sz="6" w:space="0" w:color="auto"/>
      </w:pBdr>
      <w:shd w:val="clear" w:color="000000" w:fill="CC99FF"/>
      <w:spacing w:before="100" w:beforeAutospacing="1" w:after="100" w:afterAutospacing="1"/>
      <w:jc w:val="right"/>
    </w:pPr>
    <w:rPr>
      <w:rFonts w:eastAsia="Times New Roman" w:cs="Times New Roman"/>
      <w:b/>
      <w:bCs/>
      <w:szCs w:val="24"/>
    </w:rPr>
  </w:style>
  <w:style w:type="paragraph" w:customStyle="1" w:styleId="xl435">
    <w:name w:val="xl435"/>
    <w:basedOn w:val="Normal"/>
    <w:rsid w:val="00247CBF"/>
    <w:pPr>
      <w:pBdr>
        <w:left w:val="dashed" w:sz="4" w:space="0" w:color="auto"/>
        <w:bottom w:val="dashed" w:sz="4" w:space="0" w:color="auto"/>
      </w:pBdr>
      <w:shd w:val="clear" w:color="000000" w:fill="CCFFFF"/>
      <w:spacing w:before="100" w:beforeAutospacing="1" w:after="100" w:afterAutospacing="1"/>
      <w:jc w:val="right"/>
    </w:pPr>
    <w:rPr>
      <w:rFonts w:eastAsia="Times New Roman" w:cs="Times New Roman"/>
      <w:szCs w:val="24"/>
    </w:rPr>
  </w:style>
  <w:style w:type="paragraph" w:customStyle="1" w:styleId="xl436">
    <w:name w:val="xl436"/>
    <w:basedOn w:val="Normal"/>
    <w:rsid w:val="00247CBF"/>
    <w:pPr>
      <w:pBdr>
        <w:top w:val="dashed" w:sz="4" w:space="0" w:color="auto"/>
        <w:left w:val="dashed" w:sz="4" w:space="0" w:color="auto"/>
        <w:bottom w:val="dashed" w:sz="4" w:space="0" w:color="auto"/>
      </w:pBdr>
      <w:shd w:val="clear" w:color="000000" w:fill="FFFF99"/>
      <w:spacing w:before="100" w:beforeAutospacing="1" w:after="100" w:afterAutospacing="1"/>
      <w:jc w:val="right"/>
    </w:pPr>
    <w:rPr>
      <w:rFonts w:eastAsia="Times New Roman" w:cs="Times New Roman"/>
      <w:sz w:val="18"/>
      <w:szCs w:val="18"/>
    </w:rPr>
  </w:style>
  <w:style w:type="paragraph" w:customStyle="1" w:styleId="xl437">
    <w:name w:val="xl437"/>
    <w:basedOn w:val="Normal"/>
    <w:rsid w:val="00247CBF"/>
    <w:pPr>
      <w:pBdr>
        <w:top w:val="dashed" w:sz="4" w:space="0" w:color="auto"/>
        <w:left w:val="dashed" w:sz="4" w:space="0" w:color="auto"/>
        <w:bottom w:val="dashed" w:sz="4" w:space="0" w:color="auto"/>
      </w:pBdr>
      <w:shd w:val="clear" w:color="000000" w:fill="CCFFFF"/>
      <w:spacing w:before="100" w:beforeAutospacing="1" w:after="100" w:afterAutospacing="1"/>
      <w:jc w:val="right"/>
    </w:pPr>
    <w:rPr>
      <w:rFonts w:eastAsia="Times New Roman" w:cs="Times New Roman"/>
      <w:szCs w:val="24"/>
    </w:rPr>
  </w:style>
  <w:style w:type="paragraph" w:customStyle="1" w:styleId="xl438">
    <w:name w:val="xl438"/>
    <w:basedOn w:val="Normal"/>
    <w:rsid w:val="00247CBF"/>
    <w:pPr>
      <w:pBdr>
        <w:top w:val="dashed" w:sz="4" w:space="0" w:color="auto"/>
        <w:left w:val="dashed" w:sz="4" w:space="0" w:color="auto"/>
        <w:bottom w:val="dashed" w:sz="4" w:space="0" w:color="auto"/>
      </w:pBdr>
      <w:shd w:val="clear" w:color="000000" w:fill="FFFF99"/>
      <w:spacing w:before="100" w:beforeAutospacing="1" w:after="100" w:afterAutospacing="1"/>
      <w:jc w:val="right"/>
    </w:pPr>
    <w:rPr>
      <w:rFonts w:ascii="Courier New" w:eastAsia="Times New Roman" w:hAnsi="Courier New" w:cs="Courier New"/>
      <w:sz w:val="18"/>
      <w:szCs w:val="18"/>
    </w:rPr>
  </w:style>
  <w:style w:type="paragraph" w:customStyle="1" w:styleId="xl439">
    <w:name w:val="xl439"/>
    <w:basedOn w:val="Normal"/>
    <w:rsid w:val="00247CBF"/>
    <w:pPr>
      <w:pBdr>
        <w:top w:val="dashed" w:sz="4" w:space="0" w:color="auto"/>
        <w:left w:val="dashed" w:sz="4" w:space="0" w:color="auto"/>
        <w:bottom w:val="single" w:sz="4" w:space="0" w:color="auto"/>
      </w:pBdr>
      <w:shd w:val="clear" w:color="000000" w:fill="CCFFFF"/>
      <w:spacing w:before="100" w:beforeAutospacing="1" w:after="100" w:afterAutospacing="1"/>
      <w:jc w:val="right"/>
    </w:pPr>
    <w:rPr>
      <w:rFonts w:eastAsia="Times New Roman" w:cs="Times New Roman"/>
      <w:szCs w:val="24"/>
    </w:rPr>
  </w:style>
  <w:style w:type="paragraph" w:customStyle="1" w:styleId="xl440">
    <w:name w:val="xl440"/>
    <w:basedOn w:val="Normal"/>
    <w:rsid w:val="00247CBF"/>
    <w:pPr>
      <w:pBdr>
        <w:left w:val="dashed" w:sz="4" w:space="0" w:color="auto"/>
        <w:bottom w:val="single" w:sz="4" w:space="0" w:color="auto"/>
      </w:pBdr>
      <w:shd w:val="clear" w:color="000000" w:fill="FFFFFF"/>
      <w:spacing w:before="100" w:beforeAutospacing="1" w:after="100" w:afterAutospacing="1"/>
      <w:jc w:val="right"/>
    </w:pPr>
    <w:rPr>
      <w:rFonts w:eastAsia="Times New Roman" w:cs="Times New Roman"/>
      <w:szCs w:val="24"/>
    </w:rPr>
  </w:style>
  <w:style w:type="paragraph" w:customStyle="1" w:styleId="xl441">
    <w:name w:val="xl441"/>
    <w:basedOn w:val="Normal"/>
    <w:rsid w:val="00247CBF"/>
    <w:pPr>
      <w:pBdr>
        <w:top w:val="dashed" w:sz="4" w:space="0" w:color="auto"/>
        <w:left w:val="dashed" w:sz="4" w:space="0" w:color="auto"/>
        <w:bottom w:val="dashed" w:sz="4" w:space="0" w:color="auto"/>
      </w:pBdr>
      <w:shd w:val="clear" w:color="000000" w:fill="FFFF99"/>
      <w:spacing w:before="100" w:beforeAutospacing="1" w:after="100" w:afterAutospacing="1"/>
      <w:jc w:val="right"/>
    </w:pPr>
    <w:rPr>
      <w:rFonts w:ascii="Courier New" w:eastAsia="Times New Roman" w:hAnsi="Courier New" w:cs="Courier New"/>
      <w:sz w:val="16"/>
      <w:szCs w:val="16"/>
    </w:rPr>
  </w:style>
  <w:style w:type="paragraph" w:customStyle="1" w:styleId="xl442">
    <w:name w:val="xl442"/>
    <w:basedOn w:val="Normal"/>
    <w:rsid w:val="00247CBF"/>
    <w:pPr>
      <w:pBdr>
        <w:top w:val="dashed" w:sz="4" w:space="0" w:color="auto"/>
        <w:left w:val="dashed" w:sz="4" w:space="0" w:color="auto"/>
        <w:bottom w:val="dashed" w:sz="4" w:space="0" w:color="auto"/>
      </w:pBdr>
      <w:shd w:val="clear" w:color="000000" w:fill="FFFF99"/>
      <w:spacing w:before="100" w:beforeAutospacing="1" w:after="100" w:afterAutospacing="1"/>
      <w:jc w:val="right"/>
    </w:pPr>
    <w:rPr>
      <w:rFonts w:eastAsia="Times New Roman" w:cs="Times New Roman"/>
      <w:szCs w:val="24"/>
    </w:rPr>
  </w:style>
  <w:style w:type="paragraph" w:customStyle="1" w:styleId="xl443">
    <w:name w:val="xl443"/>
    <w:basedOn w:val="Normal"/>
    <w:rsid w:val="00247CBF"/>
    <w:pPr>
      <w:pBdr>
        <w:top w:val="dashed" w:sz="4" w:space="0" w:color="auto"/>
        <w:left w:val="dashed" w:sz="4" w:space="0" w:color="auto"/>
      </w:pBdr>
      <w:shd w:val="clear" w:color="000000" w:fill="CCFFFF"/>
      <w:spacing w:before="100" w:beforeAutospacing="1" w:after="100" w:afterAutospacing="1"/>
      <w:jc w:val="right"/>
    </w:pPr>
    <w:rPr>
      <w:rFonts w:eastAsia="Times New Roman" w:cs="Times New Roman"/>
      <w:szCs w:val="24"/>
    </w:rPr>
  </w:style>
  <w:style w:type="paragraph" w:customStyle="1" w:styleId="xl444">
    <w:name w:val="xl444"/>
    <w:basedOn w:val="Normal"/>
    <w:rsid w:val="00247CBF"/>
    <w:pPr>
      <w:pBdr>
        <w:left w:val="dashed" w:sz="4" w:space="0" w:color="auto"/>
        <w:bottom w:val="dashed" w:sz="4" w:space="0" w:color="auto"/>
      </w:pBdr>
      <w:shd w:val="clear" w:color="000000" w:fill="FFFF99"/>
      <w:spacing w:before="100" w:beforeAutospacing="1" w:after="100" w:afterAutospacing="1"/>
      <w:jc w:val="right"/>
    </w:pPr>
    <w:rPr>
      <w:rFonts w:ascii="Courier New" w:eastAsia="Times New Roman" w:hAnsi="Courier New" w:cs="Courier New"/>
      <w:sz w:val="16"/>
      <w:szCs w:val="16"/>
    </w:rPr>
  </w:style>
  <w:style w:type="paragraph" w:customStyle="1" w:styleId="xl445">
    <w:name w:val="xl445"/>
    <w:basedOn w:val="Normal"/>
    <w:rsid w:val="00247CBF"/>
    <w:pPr>
      <w:pBdr>
        <w:top w:val="dashed" w:sz="4" w:space="0" w:color="auto"/>
        <w:left w:val="dashed" w:sz="4" w:space="0" w:color="auto"/>
        <w:bottom w:val="single" w:sz="8" w:space="0" w:color="auto"/>
      </w:pBdr>
      <w:shd w:val="clear" w:color="000000" w:fill="FFFF99"/>
      <w:spacing w:before="100" w:beforeAutospacing="1" w:after="100" w:afterAutospacing="1"/>
      <w:jc w:val="right"/>
    </w:pPr>
    <w:rPr>
      <w:rFonts w:ascii="Courier New" w:eastAsia="Times New Roman" w:hAnsi="Courier New" w:cs="Courier New"/>
      <w:sz w:val="16"/>
      <w:szCs w:val="16"/>
    </w:rPr>
  </w:style>
  <w:style w:type="paragraph" w:customStyle="1" w:styleId="xl446">
    <w:name w:val="xl446"/>
    <w:basedOn w:val="Normal"/>
    <w:rsid w:val="00247CBF"/>
    <w:pPr>
      <w:pBdr>
        <w:left w:val="dashed" w:sz="4" w:space="0" w:color="auto"/>
        <w:bottom w:val="dashed" w:sz="4" w:space="0" w:color="auto"/>
      </w:pBdr>
      <w:shd w:val="clear" w:color="000000" w:fill="CCFFFF"/>
      <w:spacing w:before="100" w:beforeAutospacing="1" w:after="100" w:afterAutospacing="1"/>
      <w:jc w:val="right"/>
    </w:pPr>
    <w:rPr>
      <w:rFonts w:eastAsia="Times New Roman" w:cs="Times New Roman"/>
      <w:szCs w:val="24"/>
    </w:rPr>
  </w:style>
  <w:style w:type="paragraph" w:customStyle="1" w:styleId="xl447">
    <w:name w:val="xl447"/>
    <w:basedOn w:val="Normal"/>
    <w:rsid w:val="00247CBF"/>
    <w:pPr>
      <w:pBdr>
        <w:top w:val="dashed" w:sz="4" w:space="0" w:color="auto"/>
        <w:left w:val="dashed" w:sz="4" w:space="0" w:color="auto"/>
        <w:bottom w:val="dashed" w:sz="4" w:space="0" w:color="auto"/>
      </w:pBdr>
      <w:shd w:val="clear" w:color="000000" w:fill="CCFFFF"/>
      <w:spacing w:before="100" w:beforeAutospacing="1" w:after="100" w:afterAutospacing="1"/>
      <w:jc w:val="right"/>
    </w:pPr>
    <w:rPr>
      <w:rFonts w:eastAsia="Times New Roman" w:cs="Times New Roman"/>
      <w:szCs w:val="24"/>
    </w:rPr>
  </w:style>
  <w:style w:type="paragraph" w:customStyle="1" w:styleId="xl448">
    <w:name w:val="xl448"/>
    <w:basedOn w:val="Normal"/>
    <w:rsid w:val="00247CBF"/>
    <w:pPr>
      <w:pBdr>
        <w:top w:val="dashed" w:sz="4" w:space="0" w:color="auto"/>
        <w:left w:val="dashed" w:sz="4" w:space="0" w:color="auto"/>
        <w:bottom w:val="dashed" w:sz="4" w:space="0" w:color="auto"/>
      </w:pBdr>
      <w:shd w:val="clear" w:color="000000" w:fill="FFFF99"/>
      <w:spacing w:before="100" w:beforeAutospacing="1" w:after="100" w:afterAutospacing="1"/>
      <w:jc w:val="right"/>
    </w:pPr>
    <w:rPr>
      <w:rFonts w:ascii="Courier New" w:eastAsia="Times New Roman" w:hAnsi="Courier New" w:cs="Courier New"/>
      <w:sz w:val="18"/>
      <w:szCs w:val="18"/>
    </w:rPr>
  </w:style>
  <w:style w:type="paragraph" w:customStyle="1" w:styleId="xl449">
    <w:name w:val="xl449"/>
    <w:basedOn w:val="Normal"/>
    <w:rsid w:val="00247CBF"/>
    <w:pPr>
      <w:pBdr>
        <w:top w:val="dashed" w:sz="4" w:space="0" w:color="auto"/>
        <w:left w:val="dashed" w:sz="4" w:space="0" w:color="auto"/>
        <w:bottom w:val="single" w:sz="8" w:space="0" w:color="auto"/>
      </w:pBdr>
      <w:shd w:val="clear" w:color="000000" w:fill="CCFFFF"/>
      <w:spacing w:before="100" w:beforeAutospacing="1" w:after="100" w:afterAutospacing="1"/>
      <w:jc w:val="right"/>
    </w:pPr>
    <w:rPr>
      <w:rFonts w:eastAsia="Times New Roman" w:cs="Times New Roman"/>
      <w:szCs w:val="24"/>
    </w:rPr>
  </w:style>
  <w:style w:type="paragraph" w:customStyle="1" w:styleId="xl450">
    <w:name w:val="xl450"/>
    <w:basedOn w:val="Normal"/>
    <w:rsid w:val="00247CBF"/>
    <w:pPr>
      <w:pBdr>
        <w:top w:val="dashed" w:sz="4" w:space="0" w:color="auto"/>
        <w:left w:val="dashed" w:sz="4" w:space="0" w:color="auto"/>
        <w:bottom w:val="dashed" w:sz="4" w:space="0" w:color="auto"/>
      </w:pBdr>
      <w:shd w:val="clear" w:color="000000" w:fill="FFFF99"/>
      <w:spacing w:before="100" w:beforeAutospacing="1" w:after="100" w:afterAutospacing="1"/>
      <w:jc w:val="right"/>
    </w:pPr>
    <w:rPr>
      <w:rFonts w:ascii="Courier New" w:eastAsia="Times New Roman" w:hAnsi="Courier New" w:cs="Courier New"/>
      <w:sz w:val="16"/>
      <w:szCs w:val="16"/>
    </w:rPr>
  </w:style>
  <w:style w:type="paragraph" w:customStyle="1" w:styleId="xl451">
    <w:name w:val="xl451"/>
    <w:basedOn w:val="Normal"/>
    <w:rsid w:val="00247CBF"/>
    <w:pPr>
      <w:pBdr>
        <w:left w:val="dashed" w:sz="4" w:space="0" w:color="auto"/>
        <w:bottom w:val="dashed" w:sz="4" w:space="0" w:color="auto"/>
      </w:pBdr>
      <w:shd w:val="clear" w:color="000000" w:fill="FFFF99"/>
      <w:spacing w:before="100" w:beforeAutospacing="1" w:after="100" w:afterAutospacing="1"/>
      <w:jc w:val="right"/>
    </w:pPr>
    <w:rPr>
      <w:rFonts w:eastAsia="Times New Roman" w:cs="Times New Roman"/>
      <w:sz w:val="18"/>
      <w:szCs w:val="18"/>
    </w:rPr>
  </w:style>
  <w:style w:type="paragraph" w:customStyle="1" w:styleId="xl452">
    <w:name w:val="xl452"/>
    <w:basedOn w:val="Normal"/>
    <w:rsid w:val="00247CBF"/>
    <w:pPr>
      <w:pBdr>
        <w:top w:val="dashed" w:sz="4" w:space="0" w:color="auto"/>
        <w:left w:val="dashed" w:sz="4" w:space="0" w:color="auto"/>
        <w:bottom w:val="dashed" w:sz="4" w:space="0" w:color="auto"/>
      </w:pBdr>
      <w:spacing w:before="100" w:beforeAutospacing="1" w:after="100" w:afterAutospacing="1"/>
      <w:jc w:val="right"/>
    </w:pPr>
    <w:rPr>
      <w:rFonts w:eastAsia="Times New Roman" w:cs="Times New Roman"/>
      <w:sz w:val="18"/>
      <w:szCs w:val="18"/>
    </w:rPr>
  </w:style>
  <w:style w:type="paragraph" w:customStyle="1" w:styleId="xl453">
    <w:name w:val="xl453"/>
    <w:basedOn w:val="Normal"/>
    <w:rsid w:val="00247CBF"/>
    <w:pPr>
      <w:pBdr>
        <w:top w:val="dashed" w:sz="4" w:space="0" w:color="auto"/>
        <w:left w:val="dashed" w:sz="4" w:space="0" w:color="auto"/>
        <w:bottom w:val="dashed" w:sz="4" w:space="0" w:color="auto"/>
      </w:pBdr>
      <w:shd w:val="clear" w:color="000000" w:fill="FFFF99"/>
      <w:spacing w:before="100" w:beforeAutospacing="1" w:after="100" w:afterAutospacing="1"/>
      <w:jc w:val="right"/>
    </w:pPr>
    <w:rPr>
      <w:rFonts w:eastAsia="Times New Roman" w:cs="Times New Roman"/>
      <w:sz w:val="18"/>
      <w:szCs w:val="18"/>
    </w:rPr>
  </w:style>
  <w:style w:type="paragraph" w:customStyle="1" w:styleId="xl454">
    <w:name w:val="xl454"/>
    <w:basedOn w:val="Normal"/>
    <w:rsid w:val="00247CBF"/>
    <w:pPr>
      <w:pBdr>
        <w:top w:val="dashed" w:sz="4" w:space="0" w:color="auto"/>
        <w:left w:val="dashed" w:sz="4" w:space="0" w:color="auto"/>
        <w:bottom w:val="dashed" w:sz="4" w:space="0" w:color="auto"/>
      </w:pBdr>
      <w:shd w:val="clear" w:color="000000" w:fill="CCFFFF"/>
      <w:spacing w:before="100" w:beforeAutospacing="1" w:after="100" w:afterAutospacing="1"/>
      <w:jc w:val="right"/>
    </w:pPr>
    <w:rPr>
      <w:rFonts w:eastAsia="Times New Roman" w:cs="Times New Roman"/>
      <w:sz w:val="18"/>
      <w:szCs w:val="18"/>
    </w:rPr>
  </w:style>
  <w:style w:type="paragraph" w:customStyle="1" w:styleId="xl455">
    <w:name w:val="xl455"/>
    <w:basedOn w:val="Normal"/>
    <w:rsid w:val="00247CBF"/>
    <w:pPr>
      <w:pBdr>
        <w:top w:val="dashed" w:sz="4" w:space="0" w:color="auto"/>
        <w:left w:val="dashed" w:sz="4" w:space="0" w:color="auto"/>
        <w:bottom w:val="dashed" w:sz="4" w:space="0" w:color="auto"/>
      </w:pBdr>
      <w:shd w:val="clear" w:color="000000" w:fill="FFFF99"/>
      <w:spacing w:before="100" w:beforeAutospacing="1" w:after="100" w:afterAutospacing="1"/>
      <w:jc w:val="right"/>
    </w:pPr>
    <w:rPr>
      <w:rFonts w:ascii="Courier New" w:eastAsia="Times New Roman" w:hAnsi="Courier New" w:cs="Courier New"/>
      <w:sz w:val="16"/>
      <w:szCs w:val="16"/>
    </w:rPr>
  </w:style>
  <w:style w:type="paragraph" w:customStyle="1" w:styleId="xl456">
    <w:name w:val="xl456"/>
    <w:basedOn w:val="Normal"/>
    <w:rsid w:val="00247CBF"/>
    <w:pPr>
      <w:pBdr>
        <w:top w:val="dashed" w:sz="4" w:space="0" w:color="auto"/>
        <w:left w:val="dashed" w:sz="4" w:space="0" w:color="auto"/>
        <w:bottom w:val="single" w:sz="4" w:space="0" w:color="auto"/>
      </w:pBdr>
      <w:shd w:val="clear" w:color="000000" w:fill="FFFF99"/>
      <w:spacing w:before="100" w:beforeAutospacing="1" w:after="100" w:afterAutospacing="1"/>
      <w:jc w:val="right"/>
    </w:pPr>
    <w:rPr>
      <w:rFonts w:ascii="Courier New" w:eastAsia="Times New Roman" w:hAnsi="Courier New" w:cs="Courier New"/>
      <w:sz w:val="16"/>
      <w:szCs w:val="16"/>
    </w:rPr>
  </w:style>
  <w:style w:type="paragraph" w:customStyle="1" w:styleId="xl457">
    <w:name w:val="xl457"/>
    <w:basedOn w:val="Normal"/>
    <w:rsid w:val="00247CBF"/>
    <w:pPr>
      <w:pBdr>
        <w:bottom w:val="dashed" w:sz="4" w:space="0" w:color="auto"/>
        <w:right w:val="dashed" w:sz="4" w:space="0" w:color="auto"/>
      </w:pBdr>
      <w:shd w:val="clear" w:color="000000" w:fill="FFFF99"/>
      <w:spacing w:before="100" w:beforeAutospacing="1" w:after="100" w:afterAutospacing="1"/>
      <w:jc w:val="right"/>
    </w:pPr>
    <w:rPr>
      <w:rFonts w:ascii="Courier New" w:eastAsia="Times New Roman" w:hAnsi="Courier New" w:cs="Courier New"/>
      <w:sz w:val="16"/>
      <w:szCs w:val="16"/>
    </w:rPr>
  </w:style>
  <w:style w:type="paragraph" w:customStyle="1" w:styleId="xl458">
    <w:name w:val="xl458"/>
    <w:basedOn w:val="Normal"/>
    <w:rsid w:val="00247CBF"/>
    <w:pPr>
      <w:pBdr>
        <w:left w:val="dashed" w:sz="4" w:space="0" w:color="auto"/>
        <w:bottom w:val="dashed" w:sz="4" w:space="0" w:color="auto"/>
        <w:right w:val="dashed" w:sz="4" w:space="0" w:color="auto"/>
      </w:pBdr>
      <w:shd w:val="clear" w:color="000000" w:fill="FFFF99"/>
      <w:spacing w:before="100" w:beforeAutospacing="1" w:after="100" w:afterAutospacing="1"/>
      <w:jc w:val="right"/>
    </w:pPr>
    <w:rPr>
      <w:rFonts w:ascii="Courier New" w:eastAsia="Times New Roman" w:hAnsi="Courier New" w:cs="Courier New"/>
      <w:sz w:val="16"/>
      <w:szCs w:val="16"/>
    </w:rPr>
  </w:style>
  <w:style w:type="paragraph" w:customStyle="1" w:styleId="xl459">
    <w:name w:val="xl459"/>
    <w:basedOn w:val="Normal"/>
    <w:rsid w:val="00247CBF"/>
    <w:pPr>
      <w:pBdr>
        <w:top w:val="dashed" w:sz="4" w:space="0" w:color="auto"/>
        <w:bottom w:val="dashed" w:sz="4" w:space="0" w:color="auto"/>
        <w:right w:val="dashed" w:sz="4" w:space="0" w:color="auto"/>
      </w:pBdr>
      <w:shd w:val="clear" w:color="000000" w:fill="FFFF99"/>
      <w:spacing w:before="100" w:beforeAutospacing="1" w:after="100" w:afterAutospacing="1"/>
      <w:jc w:val="right"/>
    </w:pPr>
    <w:rPr>
      <w:rFonts w:ascii="Courier New" w:eastAsia="Times New Roman" w:hAnsi="Courier New" w:cs="Courier New"/>
      <w:sz w:val="16"/>
      <w:szCs w:val="16"/>
    </w:rPr>
  </w:style>
  <w:style w:type="paragraph" w:customStyle="1" w:styleId="xl460">
    <w:name w:val="xl460"/>
    <w:basedOn w:val="Normal"/>
    <w:rsid w:val="00247CBF"/>
    <w:pPr>
      <w:pBdr>
        <w:top w:val="dashed" w:sz="4" w:space="0" w:color="auto"/>
        <w:left w:val="dashed" w:sz="4" w:space="0" w:color="auto"/>
        <w:bottom w:val="dashed" w:sz="4" w:space="0" w:color="auto"/>
        <w:right w:val="dashed" w:sz="4" w:space="0" w:color="auto"/>
      </w:pBdr>
      <w:shd w:val="clear" w:color="000000" w:fill="FFFF99"/>
      <w:spacing w:before="100" w:beforeAutospacing="1" w:after="100" w:afterAutospacing="1"/>
      <w:jc w:val="right"/>
    </w:pPr>
    <w:rPr>
      <w:rFonts w:ascii="Courier New" w:eastAsia="Times New Roman" w:hAnsi="Courier New" w:cs="Courier New"/>
      <w:sz w:val="16"/>
      <w:szCs w:val="16"/>
    </w:rPr>
  </w:style>
  <w:style w:type="paragraph" w:customStyle="1" w:styleId="xl461">
    <w:name w:val="xl461"/>
    <w:basedOn w:val="Normal"/>
    <w:rsid w:val="00247CBF"/>
    <w:pPr>
      <w:pBdr>
        <w:top w:val="dotted" w:sz="4" w:space="0" w:color="000000"/>
        <w:bottom w:val="single" w:sz="4" w:space="0" w:color="auto"/>
        <w:right w:val="dotted" w:sz="4" w:space="0" w:color="000000"/>
      </w:pBdr>
      <w:shd w:val="clear" w:color="000000" w:fill="FFFF99"/>
      <w:spacing w:before="100" w:beforeAutospacing="1" w:after="100" w:afterAutospacing="1"/>
      <w:jc w:val="center"/>
    </w:pPr>
    <w:rPr>
      <w:rFonts w:eastAsia="Times New Roman" w:cs="Times New Roman"/>
      <w:szCs w:val="24"/>
    </w:rPr>
  </w:style>
  <w:style w:type="paragraph" w:customStyle="1" w:styleId="xl462">
    <w:name w:val="xl462"/>
    <w:basedOn w:val="Normal"/>
    <w:rsid w:val="00247CBF"/>
    <w:pPr>
      <w:pBdr>
        <w:top w:val="dotted" w:sz="4" w:space="0" w:color="000000"/>
        <w:left w:val="dotted" w:sz="4" w:space="0" w:color="000000"/>
        <w:bottom w:val="single" w:sz="4" w:space="0" w:color="auto"/>
        <w:right w:val="dotted" w:sz="4" w:space="0" w:color="000000"/>
      </w:pBdr>
      <w:shd w:val="clear" w:color="000000" w:fill="FFFF99"/>
      <w:spacing w:before="100" w:beforeAutospacing="1" w:after="100" w:afterAutospacing="1"/>
      <w:jc w:val="center"/>
    </w:pPr>
    <w:rPr>
      <w:rFonts w:eastAsia="Times New Roman" w:cs="Times New Roman"/>
      <w:szCs w:val="24"/>
    </w:rPr>
  </w:style>
  <w:style w:type="paragraph" w:customStyle="1" w:styleId="xl463">
    <w:name w:val="xl463"/>
    <w:basedOn w:val="Normal"/>
    <w:rsid w:val="00247CBF"/>
    <w:pPr>
      <w:pBdr>
        <w:top w:val="dotted" w:sz="4" w:space="0" w:color="000000"/>
        <w:left w:val="dotted" w:sz="4" w:space="0" w:color="000000"/>
        <w:bottom w:val="single" w:sz="4" w:space="0" w:color="auto"/>
        <w:right w:val="double" w:sz="6" w:space="0" w:color="000000"/>
      </w:pBdr>
      <w:shd w:val="clear" w:color="000000" w:fill="FFFF99"/>
      <w:spacing w:before="100" w:beforeAutospacing="1" w:after="100" w:afterAutospacing="1"/>
      <w:jc w:val="center"/>
    </w:pPr>
    <w:rPr>
      <w:rFonts w:eastAsia="Times New Roman" w:cs="Times New Roman"/>
      <w:szCs w:val="24"/>
    </w:rPr>
  </w:style>
  <w:style w:type="paragraph" w:customStyle="1" w:styleId="xl464">
    <w:name w:val="xl464"/>
    <w:basedOn w:val="Normal"/>
    <w:rsid w:val="00247CBF"/>
    <w:pPr>
      <w:pBdr>
        <w:bottom w:val="dotted" w:sz="4" w:space="0" w:color="000000"/>
        <w:right w:val="dotted" w:sz="4" w:space="0" w:color="000000"/>
      </w:pBdr>
      <w:shd w:val="clear" w:color="000000" w:fill="FFFF99"/>
      <w:spacing w:before="100" w:beforeAutospacing="1" w:after="100" w:afterAutospacing="1"/>
      <w:jc w:val="center"/>
    </w:pPr>
    <w:rPr>
      <w:rFonts w:eastAsia="Times New Roman" w:cs="Times New Roman"/>
      <w:szCs w:val="24"/>
    </w:rPr>
  </w:style>
  <w:style w:type="paragraph" w:customStyle="1" w:styleId="xl465">
    <w:name w:val="xl465"/>
    <w:basedOn w:val="Normal"/>
    <w:rsid w:val="00247CBF"/>
    <w:pPr>
      <w:pBdr>
        <w:left w:val="dotted" w:sz="4" w:space="0" w:color="000000"/>
        <w:bottom w:val="dotted" w:sz="4" w:space="0" w:color="000000"/>
        <w:right w:val="dotted" w:sz="4" w:space="0" w:color="000000"/>
      </w:pBdr>
      <w:shd w:val="clear" w:color="000000" w:fill="FFFF99"/>
      <w:spacing w:before="100" w:beforeAutospacing="1" w:after="100" w:afterAutospacing="1"/>
      <w:jc w:val="center"/>
    </w:pPr>
    <w:rPr>
      <w:rFonts w:eastAsia="Times New Roman" w:cs="Times New Roman"/>
      <w:szCs w:val="24"/>
    </w:rPr>
  </w:style>
  <w:style w:type="paragraph" w:customStyle="1" w:styleId="xl466">
    <w:name w:val="xl466"/>
    <w:basedOn w:val="Normal"/>
    <w:rsid w:val="00247CBF"/>
    <w:pPr>
      <w:pBdr>
        <w:left w:val="dotted" w:sz="4" w:space="0" w:color="000000"/>
        <w:bottom w:val="dotted" w:sz="4" w:space="0" w:color="000000"/>
        <w:right w:val="double" w:sz="6" w:space="0" w:color="000000"/>
      </w:pBdr>
      <w:shd w:val="clear" w:color="000000" w:fill="FFFF99"/>
      <w:spacing w:before="100" w:beforeAutospacing="1" w:after="100" w:afterAutospacing="1"/>
      <w:jc w:val="center"/>
    </w:pPr>
    <w:rPr>
      <w:rFonts w:eastAsia="Times New Roman" w:cs="Times New Roman"/>
      <w:szCs w:val="24"/>
    </w:rPr>
  </w:style>
  <w:style w:type="paragraph" w:customStyle="1" w:styleId="xl467">
    <w:name w:val="xl467"/>
    <w:basedOn w:val="Normal"/>
    <w:rsid w:val="00247CBF"/>
    <w:pPr>
      <w:pBdr>
        <w:top w:val="dotted" w:sz="4" w:space="0" w:color="000000"/>
        <w:bottom w:val="double" w:sz="6" w:space="0" w:color="000000"/>
        <w:right w:val="dotted" w:sz="4" w:space="0" w:color="000000"/>
      </w:pBdr>
      <w:shd w:val="clear" w:color="000000" w:fill="FFFF99"/>
      <w:spacing w:before="100" w:beforeAutospacing="1" w:after="100" w:afterAutospacing="1"/>
      <w:jc w:val="center"/>
    </w:pPr>
    <w:rPr>
      <w:rFonts w:eastAsia="Times New Roman" w:cs="Times New Roman"/>
      <w:szCs w:val="24"/>
    </w:rPr>
  </w:style>
  <w:style w:type="paragraph" w:customStyle="1" w:styleId="xl468">
    <w:name w:val="xl468"/>
    <w:basedOn w:val="Normal"/>
    <w:rsid w:val="00247CBF"/>
    <w:pPr>
      <w:pBdr>
        <w:top w:val="dotted" w:sz="4" w:space="0" w:color="000000"/>
        <w:left w:val="dotted" w:sz="4" w:space="0" w:color="000000"/>
        <w:bottom w:val="double" w:sz="6" w:space="0" w:color="000000"/>
        <w:right w:val="dotted" w:sz="4" w:space="0" w:color="000000"/>
      </w:pBdr>
      <w:shd w:val="clear" w:color="000000" w:fill="FFFF99"/>
      <w:spacing w:before="100" w:beforeAutospacing="1" w:after="100" w:afterAutospacing="1"/>
      <w:jc w:val="center"/>
    </w:pPr>
    <w:rPr>
      <w:rFonts w:eastAsia="Times New Roman" w:cs="Times New Roman"/>
      <w:szCs w:val="24"/>
    </w:rPr>
  </w:style>
  <w:style w:type="paragraph" w:customStyle="1" w:styleId="xl469">
    <w:name w:val="xl469"/>
    <w:basedOn w:val="Normal"/>
    <w:rsid w:val="00247CBF"/>
    <w:pPr>
      <w:pBdr>
        <w:top w:val="dotted" w:sz="4" w:space="0" w:color="000000"/>
        <w:left w:val="dotted" w:sz="4" w:space="0" w:color="000000"/>
        <w:bottom w:val="double" w:sz="6" w:space="0" w:color="000000"/>
        <w:right w:val="double" w:sz="6" w:space="0" w:color="000000"/>
      </w:pBdr>
      <w:shd w:val="clear" w:color="000000" w:fill="FFFF99"/>
      <w:spacing w:before="100" w:beforeAutospacing="1" w:after="100" w:afterAutospacing="1"/>
      <w:jc w:val="center"/>
    </w:pPr>
    <w:rPr>
      <w:rFonts w:eastAsia="Times New Roman" w:cs="Times New Roman"/>
      <w:szCs w:val="24"/>
    </w:rPr>
  </w:style>
  <w:style w:type="paragraph" w:customStyle="1" w:styleId="xl470">
    <w:name w:val="xl470"/>
    <w:basedOn w:val="Normal"/>
    <w:rsid w:val="00247CBF"/>
    <w:pPr>
      <w:pBdr>
        <w:bottom w:val="double" w:sz="6" w:space="0" w:color="auto"/>
        <w:right w:val="dotted" w:sz="4" w:space="0" w:color="auto"/>
      </w:pBdr>
      <w:shd w:val="clear" w:color="000000" w:fill="FFFF99"/>
      <w:spacing w:before="100" w:beforeAutospacing="1" w:after="100" w:afterAutospacing="1"/>
      <w:jc w:val="center"/>
      <w:textAlignment w:val="top"/>
    </w:pPr>
    <w:rPr>
      <w:rFonts w:eastAsia="Times New Roman" w:cs="Times New Roman"/>
      <w:szCs w:val="24"/>
    </w:rPr>
  </w:style>
  <w:style w:type="paragraph" w:customStyle="1" w:styleId="xl471">
    <w:name w:val="xl471"/>
    <w:basedOn w:val="Normal"/>
    <w:rsid w:val="00247CBF"/>
    <w:pPr>
      <w:pBdr>
        <w:top w:val="dotted" w:sz="4" w:space="0" w:color="000000"/>
        <w:left w:val="double" w:sz="6" w:space="0" w:color="auto"/>
        <w:bottom w:val="single" w:sz="4" w:space="0" w:color="auto"/>
      </w:pBdr>
      <w:spacing w:before="100" w:beforeAutospacing="1" w:after="100" w:afterAutospacing="1"/>
      <w:jc w:val="left"/>
      <w:textAlignment w:val="center"/>
    </w:pPr>
    <w:rPr>
      <w:rFonts w:eastAsia="Times New Roman" w:cs="Times New Roman"/>
      <w:szCs w:val="24"/>
    </w:rPr>
  </w:style>
  <w:style w:type="paragraph" w:customStyle="1" w:styleId="xl472">
    <w:name w:val="xl472"/>
    <w:basedOn w:val="Normal"/>
    <w:rsid w:val="00247CBF"/>
    <w:pPr>
      <w:pBdr>
        <w:left w:val="single" w:sz="8" w:space="0" w:color="000000"/>
        <w:bottom w:val="dotted" w:sz="4" w:space="0" w:color="auto"/>
        <w:right w:val="dotted" w:sz="4" w:space="0" w:color="auto"/>
      </w:pBdr>
      <w:shd w:val="clear" w:color="000000" w:fill="FFFF99"/>
      <w:spacing w:before="100" w:beforeAutospacing="1" w:after="100" w:afterAutospacing="1"/>
      <w:jc w:val="center"/>
      <w:textAlignment w:val="center"/>
    </w:pPr>
    <w:rPr>
      <w:rFonts w:eastAsia="Times New Roman" w:cs="Times New Roman"/>
      <w:color w:val="000000"/>
      <w:szCs w:val="24"/>
    </w:rPr>
  </w:style>
  <w:style w:type="paragraph" w:customStyle="1" w:styleId="xl473">
    <w:name w:val="xl473"/>
    <w:basedOn w:val="Normal"/>
    <w:rsid w:val="00247CBF"/>
    <w:pPr>
      <w:pBdr>
        <w:bottom w:val="dotted" w:sz="4" w:space="0" w:color="auto"/>
        <w:right w:val="dotted" w:sz="4" w:space="0" w:color="auto"/>
      </w:pBdr>
      <w:shd w:val="clear" w:color="000000" w:fill="FFFF99"/>
      <w:spacing w:before="100" w:beforeAutospacing="1" w:after="100" w:afterAutospacing="1"/>
      <w:jc w:val="center"/>
      <w:textAlignment w:val="center"/>
    </w:pPr>
    <w:rPr>
      <w:rFonts w:eastAsia="Times New Roman" w:cs="Times New Roman"/>
      <w:color w:val="000000"/>
      <w:szCs w:val="24"/>
    </w:rPr>
  </w:style>
  <w:style w:type="paragraph" w:customStyle="1" w:styleId="xl474">
    <w:name w:val="xl474"/>
    <w:basedOn w:val="Normal"/>
    <w:rsid w:val="00247CBF"/>
    <w:pPr>
      <w:pBdr>
        <w:bottom w:val="dotted" w:sz="4" w:space="0" w:color="auto"/>
        <w:right w:val="double" w:sz="6" w:space="0" w:color="auto"/>
      </w:pBdr>
      <w:shd w:val="clear" w:color="000000" w:fill="FFFF99"/>
      <w:spacing w:before="100" w:beforeAutospacing="1" w:after="100" w:afterAutospacing="1"/>
      <w:jc w:val="center"/>
      <w:textAlignment w:val="center"/>
    </w:pPr>
    <w:rPr>
      <w:rFonts w:eastAsia="Times New Roman" w:cs="Times New Roman"/>
      <w:color w:val="000000"/>
      <w:szCs w:val="24"/>
    </w:rPr>
  </w:style>
  <w:style w:type="paragraph" w:customStyle="1" w:styleId="xl475">
    <w:name w:val="xl475"/>
    <w:basedOn w:val="Normal"/>
    <w:rsid w:val="00247CBF"/>
    <w:pPr>
      <w:pBdr>
        <w:top w:val="single" w:sz="4" w:space="0" w:color="auto"/>
        <w:bottom w:val="single" w:sz="4" w:space="0" w:color="auto"/>
      </w:pBdr>
      <w:shd w:val="clear" w:color="000000" w:fill="FFFFFF"/>
      <w:spacing w:before="100" w:beforeAutospacing="1" w:after="100" w:afterAutospacing="1"/>
      <w:jc w:val="right"/>
      <w:textAlignment w:val="center"/>
    </w:pPr>
    <w:rPr>
      <w:rFonts w:eastAsia="Times New Roman" w:cs="Times New Roman"/>
      <w:b/>
      <w:bCs/>
      <w:szCs w:val="24"/>
    </w:rPr>
  </w:style>
  <w:style w:type="paragraph" w:customStyle="1" w:styleId="xl476">
    <w:name w:val="xl476"/>
    <w:basedOn w:val="Normal"/>
    <w:rsid w:val="00247CBF"/>
    <w:pPr>
      <w:pBdr>
        <w:top w:val="single" w:sz="4" w:space="0" w:color="auto"/>
        <w:left w:val="single" w:sz="8" w:space="0" w:color="000000"/>
        <w:bottom w:val="single" w:sz="4" w:space="0" w:color="auto"/>
        <w:right w:val="single" w:sz="8" w:space="0" w:color="000000"/>
      </w:pBdr>
      <w:spacing w:before="100" w:beforeAutospacing="1" w:after="100" w:afterAutospacing="1"/>
      <w:jc w:val="center"/>
      <w:textAlignment w:val="center"/>
    </w:pPr>
    <w:rPr>
      <w:rFonts w:eastAsia="Times New Roman" w:cs="Times New Roman"/>
      <w:szCs w:val="24"/>
    </w:rPr>
  </w:style>
  <w:style w:type="paragraph" w:customStyle="1" w:styleId="xl477">
    <w:name w:val="xl477"/>
    <w:basedOn w:val="Normal"/>
    <w:rsid w:val="00247CBF"/>
    <w:pPr>
      <w:pBdr>
        <w:top w:val="single" w:sz="4" w:space="0" w:color="auto"/>
        <w:bottom w:val="single" w:sz="4" w:space="0" w:color="auto"/>
        <w:right w:val="dotted" w:sz="4" w:space="0" w:color="000000"/>
      </w:pBdr>
      <w:shd w:val="clear" w:color="000000" w:fill="FFFF99"/>
      <w:spacing w:before="100" w:beforeAutospacing="1" w:after="100" w:afterAutospacing="1"/>
      <w:jc w:val="right"/>
    </w:pPr>
    <w:rPr>
      <w:rFonts w:eastAsia="Times New Roman" w:cs="Times New Roman"/>
      <w:szCs w:val="24"/>
    </w:rPr>
  </w:style>
  <w:style w:type="paragraph" w:customStyle="1" w:styleId="xl478">
    <w:name w:val="xl478"/>
    <w:basedOn w:val="Normal"/>
    <w:rsid w:val="00247CBF"/>
    <w:pPr>
      <w:pBdr>
        <w:top w:val="single" w:sz="4" w:space="0" w:color="auto"/>
        <w:left w:val="dotted" w:sz="4" w:space="0" w:color="000000"/>
        <w:bottom w:val="single" w:sz="4" w:space="0" w:color="auto"/>
        <w:right w:val="dotted" w:sz="4" w:space="0" w:color="000000"/>
      </w:pBdr>
      <w:shd w:val="clear" w:color="000000" w:fill="FFFF99"/>
      <w:spacing w:before="100" w:beforeAutospacing="1" w:after="100" w:afterAutospacing="1"/>
      <w:jc w:val="right"/>
    </w:pPr>
    <w:rPr>
      <w:rFonts w:ascii="Courier New" w:eastAsia="Times New Roman" w:hAnsi="Courier New" w:cs="Courier New"/>
      <w:sz w:val="16"/>
      <w:szCs w:val="16"/>
    </w:rPr>
  </w:style>
  <w:style w:type="paragraph" w:customStyle="1" w:styleId="xl479">
    <w:name w:val="xl479"/>
    <w:basedOn w:val="Normal"/>
    <w:rsid w:val="00247CBF"/>
    <w:pPr>
      <w:pBdr>
        <w:top w:val="single" w:sz="4" w:space="0" w:color="auto"/>
        <w:left w:val="dotted" w:sz="4" w:space="0" w:color="000000"/>
        <w:bottom w:val="single" w:sz="4" w:space="0" w:color="auto"/>
        <w:right w:val="dotted" w:sz="4" w:space="0" w:color="000000"/>
      </w:pBdr>
      <w:shd w:val="clear" w:color="000000" w:fill="FFFF99"/>
      <w:spacing w:before="100" w:beforeAutospacing="1" w:after="100" w:afterAutospacing="1"/>
      <w:jc w:val="right"/>
    </w:pPr>
    <w:rPr>
      <w:rFonts w:eastAsia="Times New Roman" w:cs="Times New Roman"/>
      <w:szCs w:val="24"/>
    </w:rPr>
  </w:style>
  <w:style w:type="paragraph" w:customStyle="1" w:styleId="xl480">
    <w:name w:val="xl480"/>
    <w:basedOn w:val="Normal"/>
    <w:rsid w:val="00247CBF"/>
    <w:pPr>
      <w:pBdr>
        <w:top w:val="single" w:sz="4" w:space="0" w:color="auto"/>
        <w:left w:val="dotted" w:sz="4" w:space="0" w:color="000000"/>
        <w:bottom w:val="single" w:sz="4" w:space="0" w:color="auto"/>
        <w:right w:val="double" w:sz="6" w:space="0" w:color="auto"/>
      </w:pBdr>
      <w:shd w:val="clear" w:color="000000" w:fill="FFFF99"/>
      <w:spacing w:before="100" w:beforeAutospacing="1" w:after="100" w:afterAutospacing="1"/>
      <w:jc w:val="right"/>
    </w:pPr>
    <w:rPr>
      <w:rFonts w:eastAsia="Times New Roman" w:cs="Times New Roman"/>
      <w:szCs w:val="24"/>
    </w:rPr>
  </w:style>
  <w:style w:type="paragraph" w:customStyle="1" w:styleId="xl481">
    <w:name w:val="xl481"/>
    <w:basedOn w:val="Normal"/>
    <w:rsid w:val="00247CBF"/>
    <w:pPr>
      <w:pBdr>
        <w:bottom w:val="dotted" w:sz="4" w:space="0" w:color="auto"/>
        <w:right w:val="dotted" w:sz="4" w:space="0" w:color="auto"/>
      </w:pBdr>
      <w:shd w:val="clear" w:color="000000" w:fill="CCFFFF"/>
      <w:spacing w:before="100" w:beforeAutospacing="1" w:after="100" w:afterAutospacing="1"/>
      <w:jc w:val="right"/>
      <w:textAlignment w:val="center"/>
    </w:pPr>
    <w:rPr>
      <w:rFonts w:eastAsia="Times New Roman" w:cs="Times New Roman"/>
      <w:szCs w:val="24"/>
    </w:rPr>
  </w:style>
  <w:style w:type="paragraph" w:customStyle="1" w:styleId="xl482">
    <w:name w:val="xl482"/>
    <w:basedOn w:val="Normal"/>
    <w:rsid w:val="00247CBF"/>
    <w:pPr>
      <w:pBdr>
        <w:top w:val="dotted" w:sz="4" w:space="0" w:color="auto"/>
        <w:bottom w:val="single" w:sz="4" w:space="0" w:color="auto"/>
        <w:right w:val="dotted" w:sz="4" w:space="0" w:color="auto"/>
      </w:pBdr>
      <w:shd w:val="clear" w:color="000000" w:fill="FFFF99"/>
      <w:spacing w:before="100" w:beforeAutospacing="1" w:after="100" w:afterAutospacing="1"/>
      <w:jc w:val="right"/>
      <w:textAlignment w:val="center"/>
    </w:pPr>
    <w:rPr>
      <w:rFonts w:ascii="Courier New" w:eastAsia="Times New Roman" w:hAnsi="Courier New" w:cs="Courier New"/>
      <w:sz w:val="16"/>
      <w:szCs w:val="16"/>
    </w:rPr>
  </w:style>
  <w:style w:type="paragraph" w:customStyle="1" w:styleId="xl483">
    <w:name w:val="xl483"/>
    <w:basedOn w:val="Normal"/>
    <w:rsid w:val="00247CBF"/>
    <w:pPr>
      <w:pBdr>
        <w:bottom w:val="dotted" w:sz="4" w:space="0" w:color="auto"/>
        <w:right w:val="double" w:sz="6" w:space="0" w:color="auto"/>
      </w:pBdr>
      <w:shd w:val="clear" w:color="000000" w:fill="FFFF99"/>
      <w:spacing w:before="100" w:beforeAutospacing="1" w:after="100" w:afterAutospacing="1"/>
      <w:jc w:val="right"/>
      <w:textAlignment w:val="center"/>
    </w:pPr>
    <w:rPr>
      <w:rFonts w:ascii="Courier New" w:eastAsia="Times New Roman" w:hAnsi="Courier New" w:cs="Courier New"/>
      <w:sz w:val="16"/>
      <w:szCs w:val="16"/>
    </w:rPr>
  </w:style>
  <w:style w:type="paragraph" w:customStyle="1" w:styleId="xl484">
    <w:name w:val="xl484"/>
    <w:basedOn w:val="Normal"/>
    <w:rsid w:val="00247CBF"/>
    <w:pPr>
      <w:pBdr>
        <w:bottom w:val="dotted" w:sz="4" w:space="0" w:color="auto"/>
        <w:right w:val="double" w:sz="6" w:space="0" w:color="auto"/>
      </w:pBdr>
      <w:shd w:val="clear" w:color="000000" w:fill="CCFFFF"/>
      <w:spacing w:before="100" w:beforeAutospacing="1" w:after="100" w:afterAutospacing="1"/>
      <w:jc w:val="right"/>
      <w:textAlignment w:val="center"/>
    </w:pPr>
    <w:rPr>
      <w:rFonts w:eastAsia="Times New Roman" w:cs="Times New Roman"/>
      <w:szCs w:val="24"/>
    </w:rPr>
  </w:style>
  <w:style w:type="paragraph" w:customStyle="1" w:styleId="xl485">
    <w:name w:val="xl485"/>
    <w:basedOn w:val="Normal"/>
    <w:rsid w:val="00247CBF"/>
    <w:pPr>
      <w:pBdr>
        <w:bottom w:val="double" w:sz="6" w:space="0" w:color="auto"/>
        <w:right w:val="double" w:sz="6" w:space="0" w:color="auto"/>
      </w:pBdr>
      <w:shd w:val="clear" w:color="000000" w:fill="FFFF99"/>
      <w:spacing w:before="100" w:beforeAutospacing="1" w:after="100" w:afterAutospacing="1"/>
      <w:jc w:val="right"/>
    </w:pPr>
    <w:rPr>
      <w:rFonts w:ascii="Courier New" w:eastAsia="Times New Roman" w:hAnsi="Courier New" w:cs="Courier New"/>
      <w:sz w:val="16"/>
      <w:szCs w:val="16"/>
    </w:rPr>
  </w:style>
  <w:style w:type="paragraph" w:customStyle="1" w:styleId="xl486">
    <w:name w:val="xl486"/>
    <w:basedOn w:val="Normal"/>
    <w:rsid w:val="00247CBF"/>
    <w:pPr>
      <w:pBdr>
        <w:top w:val="dotted" w:sz="4" w:space="0" w:color="auto"/>
        <w:bottom w:val="single" w:sz="4" w:space="0" w:color="auto"/>
        <w:right w:val="double" w:sz="6" w:space="0" w:color="auto"/>
      </w:pBdr>
      <w:shd w:val="clear" w:color="000000" w:fill="FFFF99"/>
      <w:spacing w:before="100" w:beforeAutospacing="1" w:after="100" w:afterAutospacing="1"/>
      <w:jc w:val="right"/>
      <w:textAlignment w:val="center"/>
    </w:pPr>
    <w:rPr>
      <w:rFonts w:ascii="Courier New" w:eastAsia="Times New Roman" w:hAnsi="Courier New" w:cs="Courier New"/>
      <w:sz w:val="16"/>
      <w:szCs w:val="16"/>
    </w:rPr>
  </w:style>
  <w:style w:type="paragraph" w:customStyle="1" w:styleId="xl487">
    <w:name w:val="xl487"/>
    <w:basedOn w:val="Normal"/>
    <w:rsid w:val="00247CBF"/>
    <w:pPr>
      <w:pBdr>
        <w:bottom w:val="dotted" w:sz="4" w:space="0" w:color="auto"/>
        <w:right w:val="dotted" w:sz="4" w:space="0" w:color="auto"/>
      </w:pBdr>
      <w:shd w:val="clear" w:color="000000" w:fill="FFFF99"/>
      <w:spacing w:before="100" w:beforeAutospacing="1" w:after="100" w:afterAutospacing="1"/>
      <w:jc w:val="right"/>
      <w:textAlignment w:val="center"/>
    </w:pPr>
    <w:rPr>
      <w:rFonts w:ascii="Courier New" w:eastAsia="Times New Roman" w:hAnsi="Courier New" w:cs="Courier New"/>
      <w:sz w:val="16"/>
      <w:szCs w:val="16"/>
    </w:rPr>
  </w:style>
  <w:style w:type="paragraph" w:customStyle="1" w:styleId="xl488">
    <w:name w:val="xl488"/>
    <w:basedOn w:val="Normal"/>
    <w:rsid w:val="00247CBF"/>
    <w:pPr>
      <w:pBdr>
        <w:bottom w:val="dotted" w:sz="4" w:space="0" w:color="auto"/>
        <w:right w:val="double" w:sz="6" w:space="0" w:color="auto"/>
      </w:pBdr>
      <w:shd w:val="clear" w:color="000000" w:fill="FFFF99"/>
      <w:spacing w:before="100" w:beforeAutospacing="1" w:after="100" w:afterAutospacing="1"/>
      <w:jc w:val="right"/>
      <w:textAlignment w:val="center"/>
    </w:pPr>
    <w:rPr>
      <w:rFonts w:ascii="Courier New" w:eastAsia="Times New Roman" w:hAnsi="Courier New" w:cs="Courier New"/>
      <w:sz w:val="16"/>
      <w:szCs w:val="16"/>
    </w:rPr>
  </w:style>
  <w:style w:type="paragraph" w:customStyle="1" w:styleId="xl489">
    <w:name w:val="xl489"/>
    <w:basedOn w:val="Normal"/>
    <w:rsid w:val="00247CBF"/>
    <w:pPr>
      <w:pBdr>
        <w:top w:val="double" w:sz="6" w:space="0" w:color="000000"/>
        <w:bottom w:val="dotted" w:sz="4" w:space="0" w:color="000000"/>
        <w:right w:val="dotted" w:sz="4" w:space="0" w:color="000000"/>
      </w:pBdr>
      <w:shd w:val="clear" w:color="000000" w:fill="FFFF99"/>
      <w:spacing w:before="100" w:beforeAutospacing="1" w:after="100" w:afterAutospacing="1"/>
      <w:jc w:val="right"/>
    </w:pPr>
    <w:rPr>
      <w:rFonts w:eastAsia="Times New Roman" w:cs="Times New Roman"/>
      <w:szCs w:val="24"/>
    </w:rPr>
  </w:style>
  <w:style w:type="paragraph" w:customStyle="1" w:styleId="xl490">
    <w:name w:val="xl490"/>
    <w:basedOn w:val="Normal"/>
    <w:rsid w:val="00247CBF"/>
    <w:pPr>
      <w:pBdr>
        <w:top w:val="double" w:sz="6" w:space="0" w:color="000000"/>
        <w:left w:val="dotted" w:sz="4" w:space="0" w:color="000000"/>
        <w:bottom w:val="dotted" w:sz="4" w:space="0" w:color="000000"/>
        <w:right w:val="dotted" w:sz="4" w:space="0" w:color="000000"/>
      </w:pBdr>
      <w:shd w:val="clear" w:color="000000" w:fill="FFFF99"/>
      <w:spacing w:before="100" w:beforeAutospacing="1" w:after="100" w:afterAutospacing="1"/>
      <w:jc w:val="right"/>
    </w:pPr>
    <w:rPr>
      <w:rFonts w:ascii="Courier New" w:eastAsia="Times New Roman" w:hAnsi="Courier New" w:cs="Courier New"/>
      <w:sz w:val="16"/>
      <w:szCs w:val="16"/>
    </w:rPr>
  </w:style>
  <w:style w:type="paragraph" w:customStyle="1" w:styleId="xl491">
    <w:name w:val="xl491"/>
    <w:basedOn w:val="Normal"/>
    <w:rsid w:val="00247CBF"/>
    <w:pPr>
      <w:pBdr>
        <w:top w:val="double" w:sz="6" w:space="0" w:color="000000"/>
        <w:left w:val="dotted" w:sz="4" w:space="0" w:color="000000"/>
        <w:bottom w:val="dotted" w:sz="4" w:space="0" w:color="000000"/>
        <w:right w:val="dotted" w:sz="4" w:space="0" w:color="000000"/>
      </w:pBdr>
      <w:shd w:val="clear" w:color="000000" w:fill="FFFF99"/>
      <w:spacing w:before="100" w:beforeAutospacing="1" w:after="100" w:afterAutospacing="1"/>
      <w:jc w:val="right"/>
    </w:pPr>
    <w:rPr>
      <w:rFonts w:eastAsia="Times New Roman" w:cs="Times New Roman"/>
      <w:szCs w:val="24"/>
    </w:rPr>
  </w:style>
  <w:style w:type="paragraph" w:customStyle="1" w:styleId="xl492">
    <w:name w:val="xl492"/>
    <w:basedOn w:val="Normal"/>
    <w:rsid w:val="00247CBF"/>
    <w:pPr>
      <w:pBdr>
        <w:top w:val="double" w:sz="6" w:space="0" w:color="000000"/>
        <w:left w:val="dotted" w:sz="4" w:space="0" w:color="000000"/>
        <w:bottom w:val="dotted" w:sz="4" w:space="0" w:color="000000"/>
        <w:right w:val="double" w:sz="6" w:space="0" w:color="auto"/>
      </w:pBdr>
      <w:shd w:val="clear" w:color="000000" w:fill="FFFF99"/>
      <w:spacing w:before="100" w:beforeAutospacing="1" w:after="100" w:afterAutospacing="1"/>
      <w:jc w:val="right"/>
    </w:pPr>
    <w:rPr>
      <w:rFonts w:eastAsia="Times New Roman" w:cs="Times New Roman"/>
      <w:szCs w:val="24"/>
    </w:rPr>
  </w:style>
  <w:style w:type="paragraph" w:customStyle="1" w:styleId="xl493">
    <w:name w:val="xl493"/>
    <w:basedOn w:val="Normal"/>
    <w:rsid w:val="00247CBF"/>
    <w:pPr>
      <w:pBdr>
        <w:top w:val="dotted" w:sz="4" w:space="0" w:color="000000"/>
        <w:bottom w:val="dotted" w:sz="4" w:space="0" w:color="000000"/>
        <w:right w:val="dotted" w:sz="4" w:space="0" w:color="000000"/>
      </w:pBdr>
      <w:shd w:val="clear" w:color="000000" w:fill="FFFF99"/>
      <w:spacing w:before="100" w:beforeAutospacing="1" w:after="100" w:afterAutospacing="1"/>
      <w:jc w:val="right"/>
    </w:pPr>
    <w:rPr>
      <w:rFonts w:eastAsia="Times New Roman" w:cs="Times New Roman"/>
      <w:szCs w:val="24"/>
    </w:rPr>
  </w:style>
  <w:style w:type="paragraph" w:customStyle="1" w:styleId="xl494">
    <w:name w:val="xl494"/>
    <w:basedOn w:val="Normal"/>
    <w:rsid w:val="00247CBF"/>
    <w:pPr>
      <w:pBdr>
        <w:top w:val="dotted" w:sz="4" w:space="0" w:color="000000"/>
        <w:left w:val="dotted" w:sz="4" w:space="0" w:color="000000"/>
        <w:bottom w:val="dotted" w:sz="4" w:space="0" w:color="000000"/>
        <w:right w:val="dotted" w:sz="4" w:space="0" w:color="000000"/>
      </w:pBdr>
      <w:shd w:val="clear" w:color="000000" w:fill="FFFF99"/>
      <w:spacing w:before="100" w:beforeAutospacing="1" w:after="100" w:afterAutospacing="1"/>
      <w:jc w:val="right"/>
    </w:pPr>
    <w:rPr>
      <w:rFonts w:ascii="Courier New" w:eastAsia="Times New Roman" w:hAnsi="Courier New" w:cs="Courier New"/>
      <w:sz w:val="16"/>
      <w:szCs w:val="16"/>
    </w:rPr>
  </w:style>
  <w:style w:type="paragraph" w:customStyle="1" w:styleId="xl495">
    <w:name w:val="xl495"/>
    <w:basedOn w:val="Normal"/>
    <w:rsid w:val="00247CBF"/>
    <w:pPr>
      <w:pBdr>
        <w:top w:val="dotted" w:sz="4" w:space="0" w:color="000000"/>
        <w:left w:val="dotted" w:sz="4" w:space="0" w:color="000000"/>
        <w:bottom w:val="dotted" w:sz="4" w:space="0" w:color="000000"/>
        <w:right w:val="dotted" w:sz="4" w:space="0" w:color="000000"/>
      </w:pBdr>
      <w:shd w:val="clear" w:color="000000" w:fill="FFFF99"/>
      <w:spacing w:before="100" w:beforeAutospacing="1" w:after="100" w:afterAutospacing="1"/>
      <w:jc w:val="right"/>
    </w:pPr>
    <w:rPr>
      <w:rFonts w:eastAsia="Times New Roman" w:cs="Times New Roman"/>
      <w:szCs w:val="24"/>
    </w:rPr>
  </w:style>
  <w:style w:type="paragraph" w:customStyle="1" w:styleId="xl496">
    <w:name w:val="xl496"/>
    <w:basedOn w:val="Normal"/>
    <w:rsid w:val="00247CBF"/>
    <w:pPr>
      <w:pBdr>
        <w:top w:val="dotted" w:sz="4" w:space="0" w:color="000000"/>
        <w:left w:val="dotted" w:sz="4" w:space="0" w:color="000000"/>
        <w:bottom w:val="dotted" w:sz="4" w:space="0" w:color="000000"/>
        <w:right w:val="double" w:sz="6" w:space="0" w:color="auto"/>
      </w:pBdr>
      <w:shd w:val="clear" w:color="000000" w:fill="FFFF99"/>
      <w:spacing w:before="100" w:beforeAutospacing="1" w:after="100" w:afterAutospacing="1"/>
      <w:jc w:val="right"/>
    </w:pPr>
    <w:rPr>
      <w:rFonts w:eastAsia="Times New Roman" w:cs="Times New Roman"/>
      <w:szCs w:val="24"/>
    </w:rPr>
  </w:style>
  <w:style w:type="paragraph" w:customStyle="1" w:styleId="xl497">
    <w:name w:val="xl497"/>
    <w:basedOn w:val="Normal"/>
    <w:rsid w:val="00247CBF"/>
    <w:pPr>
      <w:pBdr>
        <w:top w:val="dotted" w:sz="4" w:space="0" w:color="000000"/>
        <w:bottom w:val="single" w:sz="4" w:space="0" w:color="auto"/>
        <w:right w:val="dotted" w:sz="4" w:space="0" w:color="000000"/>
      </w:pBdr>
      <w:shd w:val="clear" w:color="000000" w:fill="FFFF99"/>
      <w:spacing w:before="100" w:beforeAutospacing="1" w:after="100" w:afterAutospacing="1"/>
      <w:jc w:val="right"/>
    </w:pPr>
    <w:rPr>
      <w:rFonts w:eastAsia="Times New Roman" w:cs="Times New Roman"/>
      <w:szCs w:val="24"/>
    </w:rPr>
  </w:style>
  <w:style w:type="paragraph" w:customStyle="1" w:styleId="xl498">
    <w:name w:val="xl498"/>
    <w:basedOn w:val="Normal"/>
    <w:rsid w:val="00247CBF"/>
    <w:pPr>
      <w:pBdr>
        <w:top w:val="dotted" w:sz="4" w:space="0" w:color="000000"/>
        <w:left w:val="dotted" w:sz="4" w:space="0" w:color="000000"/>
        <w:bottom w:val="single" w:sz="4" w:space="0" w:color="auto"/>
        <w:right w:val="dotted" w:sz="4" w:space="0" w:color="000000"/>
      </w:pBdr>
      <w:shd w:val="clear" w:color="000000" w:fill="FFFF99"/>
      <w:spacing w:before="100" w:beforeAutospacing="1" w:after="100" w:afterAutospacing="1"/>
      <w:jc w:val="right"/>
    </w:pPr>
    <w:rPr>
      <w:rFonts w:ascii="Courier New" w:eastAsia="Times New Roman" w:hAnsi="Courier New" w:cs="Courier New"/>
      <w:sz w:val="16"/>
      <w:szCs w:val="16"/>
    </w:rPr>
  </w:style>
  <w:style w:type="paragraph" w:customStyle="1" w:styleId="xl499">
    <w:name w:val="xl499"/>
    <w:basedOn w:val="Normal"/>
    <w:rsid w:val="00247CBF"/>
    <w:pPr>
      <w:pBdr>
        <w:top w:val="dotted" w:sz="4" w:space="0" w:color="000000"/>
        <w:left w:val="dotted" w:sz="4" w:space="0" w:color="000000"/>
        <w:bottom w:val="single" w:sz="4" w:space="0" w:color="auto"/>
        <w:right w:val="dotted" w:sz="4" w:space="0" w:color="000000"/>
      </w:pBdr>
      <w:shd w:val="clear" w:color="000000" w:fill="FFFF99"/>
      <w:spacing w:before="100" w:beforeAutospacing="1" w:after="100" w:afterAutospacing="1"/>
      <w:jc w:val="right"/>
    </w:pPr>
    <w:rPr>
      <w:rFonts w:eastAsia="Times New Roman" w:cs="Times New Roman"/>
      <w:szCs w:val="24"/>
    </w:rPr>
  </w:style>
  <w:style w:type="paragraph" w:customStyle="1" w:styleId="xl500">
    <w:name w:val="xl500"/>
    <w:basedOn w:val="Normal"/>
    <w:rsid w:val="00247CBF"/>
    <w:pPr>
      <w:pBdr>
        <w:top w:val="dotted" w:sz="4" w:space="0" w:color="000000"/>
        <w:left w:val="dotted" w:sz="4" w:space="0" w:color="000000"/>
        <w:bottom w:val="single" w:sz="4" w:space="0" w:color="auto"/>
        <w:right w:val="double" w:sz="6" w:space="0" w:color="auto"/>
      </w:pBdr>
      <w:shd w:val="clear" w:color="000000" w:fill="FFFF99"/>
      <w:spacing w:before="100" w:beforeAutospacing="1" w:after="100" w:afterAutospacing="1"/>
      <w:jc w:val="right"/>
    </w:pPr>
    <w:rPr>
      <w:rFonts w:eastAsia="Times New Roman" w:cs="Times New Roman"/>
      <w:szCs w:val="24"/>
    </w:rPr>
  </w:style>
  <w:style w:type="paragraph" w:customStyle="1" w:styleId="xl501">
    <w:name w:val="xl501"/>
    <w:basedOn w:val="Normal"/>
    <w:rsid w:val="00247CBF"/>
    <w:pPr>
      <w:pBdr>
        <w:bottom w:val="double" w:sz="6" w:space="0" w:color="auto"/>
        <w:right w:val="dotted" w:sz="4" w:space="0" w:color="000000"/>
      </w:pBdr>
      <w:shd w:val="clear" w:color="000000" w:fill="CCFFFF"/>
      <w:spacing w:before="100" w:beforeAutospacing="1" w:after="100" w:afterAutospacing="1"/>
      <w:jc w:val="right"/>
    </w:pPr>
    <w:rPr>
      <w:rFonts w:eastAsia="Times New Roman" w:cs="Times New Roman"/>
      <w:szCs w:val="24"/>
    </w:rPr>
  </w:style>
  <w:style w:type="paragraph" w:customStyle="1" w:styleId="xl502">
    <w:name w:val="xl502"/>
    <w:basedOn w:val="Normal"/>
    <w:rsid w:val="00247CBF"/>
    <w:pPr>
      <w:pBdr>
        <w:left w:val="dotted" w:sz="4" w:space="0" w:color="000000"/>
        <w:bottom w:val="double" w:sz="6" w:space="0" w:color="auto"/>
        <w:right w:val="dotted" w:sz="4" w:space="0" w:color="000000"/>
      </w:pBdr>
      <w:shd w:val="clear" w:color="000000" w:fill="CCFFFF"/>
      <w:spacing w:before="100" w:beforeAutospacing="1" w:after="100" w:afterAutospacing="1"/>
      <w:jc w:val="right"/>
    </w:pPr>
    <w:rPr>
      <w:rFonts w:eastAsia="Times New Roman" w:cs="Times New Roman"/>
      <w:szCs w:val="24"/>
    </w:rPr>
  </w:style>
  <w:style w:type="paragraph" w:customStyle="1" w:styleId="xl503">
    <w:name w:val="xl503"/>
    <w:basedOn w:val="Normal"/>
    <w:rsid w:val="00247CBF"/>
    <w:pPr>
      <w:pBdr>
        <w:left w:val="dotted" w:sz="4" w:space="0" w:color="000000"/>
        <w:bottom w:val="double" w:sz="6" w:space="0" w:color="auto"/>
        <w:right w:val="double" w:sz="6" w:space="0" w:color="auto"/>
      </w:pBdr>
      <w:shd w:val="clear" w:color="000000" w:fill="CCFFFF"/>
      <w:spacing w:before="100" w:beforeAutospacing="1" w:after="100" w:afterAutospacing="1"/>
      <w:jc w:val="right"/>
    </w:pPr>
    <w:rPr>
      <w:rFonts w:eastAsia="Times New Roman" w:cs="Times New Roman"/>
      <w:szCs w:val="24"/>
    </w:rPr>
  </w:style>
  <w:style w:type="paragraph" w:customStyle="1" w:styleId="xl504">
    <w:name w:val="xl504"/>
    <w:basedOn w:val="Normal"/>
    <w:rsid w:val="00247CBF"/>
    <w:pPr>
      <w:pBdr>
        <w:top w:val="dashed" w:sz="4" w:space="0" w:color="auto"/>
        <w:bottom w:val="dashed" w:sz="4" w:space="0" w:color="auto"/>
        <w:right w:val="dashed" w:sz="4" w:space="0" w:color="auto"/>
      </w:pBdr>
      <w:shd w:val="clear" w:color="000000" w:fill="FFFF99"/>
      <w:spacing w:before="100" w:beforeAutospacing="1" w:after="100" w:afterAutospacing="1"/>
      <w:jc w:val="right"/>
    </w:pPr>
    <w:rPr>
      <w:rFonts w:eastAsia="Times New Roman" w:cs="Times New Roman"/>
      <w:sz w:val="18"/>
      <w:szCs w:val="18"/>
    </w:rPr>
  </w:style>
  <w:style w:type="paragraph" w:customStyle="1" w:styleId="xl505">
    <w:name w:val="xl505"/>
    <w:basedOn w:val="Normal"/>
    <w:rsid w:val="00247CBF"/>
    <w:pPr>
      <w:pBdr>
        <w:top w:val="dashed" w:sz="4" w:space="0" w:color="auto"/>
        <w:left w:val="dashed" w:sz="4" w:space="0" w:color="auto"/>
        <w:bottom w:val="dashed" w:sz="4" w:space="0" w:color="auto"/>
        <w:right w:val="dashed" w:sz="4" w:space="0" w:color="auto"/>
      </w:pBdr>
      <w:shd w:val="clear" w:color="000000" w:fill="FFFF99"/>
      <w:spacing w:before="100" w:beforeAutospacing="1" w:after="100" w:afterAutospacing="1"/>
      <w:jc w:val="right"/>
    </w:pPr>
    <w:rPr>
      <w:rFonts w:eastAsia="Times New Roman" w:cs="Times New Roman"/>
      <w:sz w:val="18"/>
      <w:szCs w:val="18"/>
    </w:rPr>
  </w:style>
  <w:style w:type="paragraph" w:customStyle="1" w:styleId="xl506">
    <w:name w:val="xl506"/>
    <w:basedOn w:val="Normal"/>
    <w:rsid w:val="00247CBF"/>
    <w:pPr>
      <w:pBdr>
        <w:top w:val="dashed" w:sz="4" w:space="0" w:color="auto"/>
        <w:left w:val="dashed" w:sz="4" w:space="0" w:color="auto"/>
        <w:bottom w:val="dashed" w:sz="4" w:space="0" w:color="auto"/>
      </w:pBdr>
      <w:shd w:val="clear" w:color="000000" w:fill="FFFF99"/>
      <w:spacing w:before="100" w:beforeAutospacing="1" w:after="100" w:afterAutospacing="1"/>
      <w:jc w:val="right"/>
    </w:pPr>
    <w:rPr>
      <w:rFonts w:eastAsia="Times New Roman" w:cs="Times New Roman"/>
      <w:sz w:val="18"/>
      <w:szCs w:val="18"/>
    </w:rPr>
  </w:style>
  <w:style w:type="paragraph" w:customStyle="1" w:styleId="xl507">
    <w:name w:val="xl507"/>
    <w:basedOn w:val="Normal"/>
    <w:rsid w:val="00247CBF"/>
    <w:pPr>
      <w:pBdr>
        <w:top w:val="dashed" w:sz="4" w:space="0" w:color="auto"/>
        <w:bottom w:val="dashed" w:sz="4" w:space="0" w:color="auto"/>
        <w:right w:val="dashed" w:sz="4" w:space="0" w:color="auto"/>
      </w:pBdr>
      <w:shd w:val="clear" w:color="000000" w:fill="CCFFFF"/>
      <w:spacing w:before="100" w:beforeAutospacing="1" w:after="100" w:afterAutospacing="1"/>
      <w:jc w:val="right"/>
    </w:pPr>
    <w:rPr>
      <w:rFonts w:eastAsia="Times New Roman" w:cs="Times New Roman"/>
      <w:sz w:val="18"/>
      <w:szCs w:val="18"/>
    </w:rPr>
  </w:style>
  <w:style w:type="paragraph" w:customStyle="1" w:styleId="xl508">
    <w:name w:val="xl508"/>
    <w:basedOn w:val="Normal"/>
    <w:rsid w:val="00247CBF"/>
    <w:pPr>
      <w:pBdr>
        <w:top w:val="dashed" w:sz="4" w:space="0" w:color="auto"/>
        <w:left w:val="dashed" w:sz="4" w:space="0" w:color="auto"/>
        <w:bottom w:val="dashed" w:sz="4" w:space="0" w:color="auto"/>
        <w:right w:val="dashed" w:sz="4" w:space="0" w:color="auto"/>
      </w:pBdr>
      <w:shd w:val="clear" w:color="000000" w:fill="CCFFFF"/>
      <w:spacing w:before="100" w:beforeAutospacing="1" w:after="100" w:afterAutospacing="1"/>
      <w:jc w:val="right"/>
    </w:pPr>
    <w:rPr>
      <w:rFonts w:eastAsia="Times New Roman" w:cs="Times New Roman"/>
      <w:sz w:val="18"/>
      <w:szCs w:val="18"/>
    </w:rPr>
  </w:style>
  <w:style w:type="paragraph" w:customStyle="1" w:styleId="xl509">
    <w:name w:val="xl509"/>
    <w:basedOn w:val="Normal"/>
    <w:rsid w:val="00247CBF"/>
    <w:pPr>
      <w:pBdr>
        <w:top w:val="dashed" w:sz="4" w:space="0" w:color="auto"/>
        <w:left w:val="dashed" w:sz="4" w:space="0" w:color="auto"/>
        <w:bottom w:val="dashed" w:sz="4" w:space="0" w:color="auto"/>
      </w:pBdr>
      <w:shd w:val="clear" w:color="000000" w:fill="CCFFFF"/>
      <w:spacing w:before="100" w:beforeAutospacing="1" w:after="100" w:afterAutospacing="1"/>
      <w:jc w:val="right"/>
    </w:pPr>
    <w:rPr>
      <w:rFonts w:eastAsia="Times New Roman" w:cs="Times New Roman"/>
      <w:sz w:val="18"/>
      <w:szCs w:val="18"/>
    </w:rPr>
  </w:style>
  <w:style w:type="paragraph" w:customStyle="1" w:styleId="xl510">
    <w:name w:val="xl510"/>
    <w:basedOn w:val="Normal"/>
    <w:rsid w:val="00247CBF"/>
    <w:pPr>
      <w:pBdr>
        <w:top w:val="dashed" w:sz="4" w:space="0" w:color="auto"/>
        <w:bottom w:val="dashed" w:sz="4" w:space="0" w:color="auto"/>
        <w:right w:val="dashed" w:sz="4" w:space="0" w:color="auto"/>
      </w:pBdr>
      <w:shd w:val="clear" w:color="000000" w:fill="FFFF99"/>
      <w:spacing w:before="100" w:beforeAutospacing="1" w:after="100" w:afterAutospacing="1"/>
      <w:jc w:val="right"/>
    </w:pPr>
    <w:rPr>
      <w:rFonts w:ascii="Courier New" w:eastAsia="Times New Roman" w:hAnsi="Courier New" w:cs="Courier New"/>
      <w:sz w:val="16"/>
      <w:szCs w:val="16"/>
    </w:rPr>
  </w:style>
  <w:style w:type="paragraph" w:customStyle="1" w:styleId="xl511">
    <w:name w:val="xl511"/>
    <w:basedOn w:val="Normal"/>
    <w:rsid w:val="00247CBF"/>
    <w:pPr>
      <w:pBdr>
        <w:top w:val="dashed" w:sz="4" w:space="0" w:color="auto"/>
        <w:left w:val="dashed" w:sz="4" w:space="0" w:color="auto"/>
        <w:bottom w:val="dashed" w:sz="4" w:space="0" w:color="auto"/>
        <w:right w:val="dashed" w:sz="4" w:space="0" w:color="auto"/>
      </w:pBdr>
      <w:shd w:val="clear" w:color="000000" w:fill="FFFF99"/>
      <w:spacing w:before="100" w:beforeAutospacing="1" w:after="100" w:afterAutospacing="1"/>
      <w:jc w:val="right"/>
    </w:pPr>
    <w:rPr>
      <w:rFonts w:ascii="Courier New" w:eastAsia="Times New Roman" w:hAnsi="Courier New" w:cs="Courier New"/>
      <w:sz w:val="16"/>
      <w:szCs w:val="16"/>
    </w:rPr>
  </w:style>
  <w:style w:type="paragraph" w:customStyle="1" w:styleId="xl512">
    <w:name w:val="xl512"/>
    <w:basedOn w:val="Normal"/>
    <w:rsid w:val="00247CBF"/>
    <w:pPr>
      <w:pBdr>
        <w:top w:val="dashed" w:sz="4" w:space="0" w:color="auto"/>
        <w:left w:val="dashed" w:sz="4" w:space="0" w:color="auto"/>
        <w:bottom w:val="dashed" w:sz="4" w:space="0" w:color="auto"/>
      </w:pBdr>
      <w:shd w:val="clear" w:color="000000" w:fill="FFFF99"/>
      <w:spacing w:before="100" w:beforeAutospacing="1" w:after="100" w:afterAutospacing="1"/>
      <w:jc w:val="right"/>
    </w:pPr>
    <w:rPr>
      <w:rFonts w:ascii="Courier New" w:eastAsia="Times New Roman" w:hAnsi="Courier New" w:cs="Courier New"/>
      <w:sz w:val="16"/>
      <w:szCs w:val="16"/>
    </w:rPr>
  </w:style>
  <w:style w:type="paragraph" w:customStyle="1" w:styleId="xl513">
    <w:name w:val="xl513"/>
    <w:basedOn w:val="Normal"/>
    <w:rsid w:val="00247CBF"/>
    <w:pPr>
      <w:pBdr>
        <w:top w:val="dashed" w:sz="4" w:space="0" w:color="auto"/>
        <w:bottom w:val="dashed" w:sz="4" w:space="0" w:color="auto"/>
        <w:right w:val="dashed" w:sz="4" w:space="0" w:color="auto"/>
      </w:pBdr>
      <w:shd w:val="clear" w:color="000000" w:fill="FFFF99"/>
      <w:spacing w:before="100" w:beforeAutospacing="1" w:after="100" w:afterAutospacing="1"/>
      <w:jc w:val="right"/>
    </w:pPr>
    <w:rPr>
      <w:rFonts w:ascii="Courier New" w:eastAsia="Times New Roman" w:hAnsi="Courier New" w:cs="Courier New"/>
      <w:sz w:val="18"/>
      <w:szCs w:val="18"/>
    </w:rPr>
  </w:style>
  <w:style w:type="paragraph" w:customStyle="1" w:styleId="xl514">
    <w:name w:val="xl514"/>
    <w:basedOn w:val="Normal"/>
    <w:rsid w:val="00247CBF"/>
    <w:pPr>
      <w:pBdr>
        <w:top w:val="dashed" w:sz="4" w:space="0" w:color="auto"/>
        <w:left w:val="dashed" w:sz="4" w:space="0" w:color="auto"/>
        <w:bottom w:val="dashed" w:sz="4" w:space="0" w:color="auto"/>
        <w:right w:val="dashed" w:sz="4" w:space="0" w:color="auto"/>
      </w:pBdr>
      <w:shd w:val="clear" w:color="000000" w:fill="FFFF99"/>
      <w:spacing w:before="100" w:beforeAutospacing="1" w:after="100" w:afterAutospacing="1"/>
      <w:jc w:val="right"/>
    </w:pPr>
    <w:rPr>
      <w:rFonts w:ascii="Courier New" w:eastAsia="Times New Roman" w:hAnsi="Courier New" w:cs="Courier New"/>
      <w:sz w:val="18"/>
      <w:szCs w:val="18"/>
    </w:rPr>
  </w:style>
  <w:style w:type="paragraph" w:customStyle="1" w:styleId="xl515">
    <w:name w:val="xl515"/>
    <w:basedOn w:val="Normal"/>
    <w:rsid w:val="00247CBF"/>
    <w:pPr>
      <w:pBdr>
        <w:top w:val="dashed" w:sz="4" w:space="0" w:color="auto"/>
        <w:left w:val="dashed" w:sz="4" w:space="0" w:color="auto"/>
        <w:bottom w:val="dashed" w:sz="4" w:space="0" w:color="auto"/>
      </w:pBdr>
      <w:shd w:val="clear" w:color="000000" w:fill="FFFF99"/>
      <w:spacing w:before="100" w:beforeAutospacing="1" w:after="100" w:afterAutospacing="1"/>
      <w:jc w:val="right"/>
    </w:pPr>
    <w:rPr>
      <w:rFonts w:ascii="Courier New" w:eastAsia="Times New Roman" w:hAnsi="Courier New" w:cs="Courier New"/>
      <w:sz w:val="18"/>
      <w:szCs w:val="18"/>
    </w:rPr>
  </w:style>
  <w:style w:type="paragraph" w:customStyle="1" w:styleId="xl516">
    <w:name w:val="xl516"/>
    <w:basedOn w:val="Normal"/>
    <w:rsid w:val="00247CBF"/>
    <w:pPr>
      <w:pBdr>
        <w:top w:val="dashed" w:sz="4" w:space="0" w:color="auto"/>
        <w:bottom w:val="dashed" w:sz="4" w:space="0" w:color="auto"/>
        <w:right w:val="dashed" w:sz="4" w:space="0" w:color="auto"/>
      </w:pBdr>
      <w:shd w:val="clear" w:color="000000" w:fill="FFFF99"/>
      <w:spacing w:before="100" w:beforeAutospacing="1" w:after="100" w:afterAutospacing="1"/>
      <w:jc w:val="right"/>
    </w:pPr>
    <w:rPr>
      <w:rFonts w:ascii="Courier New" w:eastAsia="Times New Roman" w:hAnsi="Courier New" w:cs="Courier New"/>
      <w:i/>
      <w:iCs/>
      <w:sz w:val="16"/>
      <w:szCs w:val="16"/>
    </w:rPr>
  </w:style>
  <w:style w:type="paragraph" w:customStyle="1" w:styleId="xl517">
    <w:name w:val="xl517"/>
    <w:basedOn w:val="Normal"/>
    <w:rsid w:val="00247CBF"/>
    <w:pPr>
      <w:pBdr>
        <w:top w:val="dashed" w:sz="4" w:space="0" w:color="auto"/>
        <w:left w:val="dashed" w:sz="4" w:space="0" w:color="auto"/>
        <w:bottom w:val="dashed" w:sz="4" w:space="0" w:color="auto"/>
        <w:right w:val="dashed" w:sz="4" w:space="0" w:color="auto"/>
      </w:pBdr>
      <w:shd w:val="clear" w:color="000000" w:fill="FFFF99"/>
      <w:spacing w:before="100" w:beforeAutospacing="1" w:after="100" w:afterAutospacing="1"/>
      <w:jc w:val="right"/>
    </w:pPr>
    <w:rPr>
      <w:rFonts w:ascii="Courier New" w:eastAsia="Times New Roman" w:hAnsi="Courier New" w:cs="Courier New"/>
      <w:i/>
      <w:iCs/>
      <w:sz w:val="16"/>
      <w:szCs w:val="16"/>
    </w:rPr>
  </w:style>
  <w:style w:type="paragraph" w:customStyle="1" w:styleId="xl518">
    <w:name w:val="xl518"/>
    <w:basedOn w:val="Normal"/>
    <w:rsid w:val="00247CBF"/>
    <w:pPr>
      <w:pBdr>
        <w:top w:val="dashed" w:sz="4" w:space="0" w:color="auto"/>
        <w:left w:val="dashed" w:sz="4" w:space="0" w:color="auto"/>
        <w:bottom w:val="dashed" w:sz="4" w:space="0" w:color="auto"/>
      </w:pBdr>
      <w:shd w:val="clear" w:color="000000" w:fill="FFFF99"/>
      <w:spacing w:before="100" w:beforeAutospacing="1" w:after="100" w:afterAutospacing="1"/>
      <w:jc w:val="right"/>
    </w:pPr>
    <w:rPr>
      <w:rFonts w:ascii="Courier New" w:eastAsia="Times New Roman" w:hAnsi="Courier New" w:cs="Courier New"/>
      <w:i/>
      <w:iCs/>
      <w:sz w:val="16"/>
      <w:szCs w:val="16"/>
    </w:rPr>
  </w:style>
  <w:style w:type="paragraph" w:customStyle="1" w:styleId="xl519">
    <w:name w:val="xl519"/>
    <w:basedOn w:val="Normal"/>
    <w:rsid w:val="00247CBF"/>
    <w:pPr>
      <w:pBdr>
        <w:top w:val="dashed" w:sz="4" w:space="0" w:color="auto"/>
        <w:left w:val="dashed" w:sz="4" w:space="0" w:color="auto"/>
        <w:bottom w:val="single" w:sz="8" w:space="0" w:color="auto"/>
        <w:right w:val="dashed" w:sz="4" w:space="0" w:color="auto"/>
      </w:pBdr>
      <w:shd w:val="clear" w:color="000000" w:fill="FFFF99"/>
      <w:spacing w:before="100" w:beforeAutospacing="1" w:after="100" w:afterAutospacing="1"/>
      <w:jc w:val="right"/>
    </w:pPr>
    <w:rPr>
      <w:rFonts w:ascii="Courier New" w:eastAsia="Times New Roman" w:hAnsi="Courier New" w:cs="Courier New"/>
      <w:i/>
      <w:iCs/>
      <w:sz w:val="16"/>
      <w:szCs w:val="16"/>
    </w:rPr>
  </w:style>
  <w:style w:type="paragraph" w:customStyle="1" w:styleId="xl520">
    <w:name w:val="xl520"/>
    <w:basedOn w:val="Normal"/>
    <w:rsid w:val="00247CBF"/>
    <w:pPr>
      <w:pBdr>
        <w:bottom w:val="dashed" w:sz="4" w:space="0" w:color="auto"/>
        <w:right w:val="dashed" w:sz="4" w:space="0" w:color="auto"/>
      </w:pBdr>
      <w:shd w:val="clear" w:color="000000" w:fill="FFFF99"/>
      <w:spacing w:before="100" w:beforeAutospacing="1" w:after="100" w:afterAutospacing="1"/>
      <w:jc w:val="right"/>
    </w:pPr>
    <w:rPr>
      <w:rFonts w:eastAsia="Times New Roman" w:cs="Times New Roman"/>
      <w:szCs w:val="24"/>
    </w:rPr>
  </w:style>
  <w:style w:type="paragraph" w:customStyle="1" w:styleId="xl521">
    <w:name w:val="xl521"/>
    <w:basedOn w:val="Normal"/>
    <w:rsid w:val="00247CBF"/>
    <w:pPr>
      <w:pBdr>
        <w:bottom w:val="dashed" w:sz="4" w:space="0" w:color="auto"/>
        <w:right w:val="dashed" w:sz="4" w:space="0" w:color="auto"/>
      </w:pBdr>
      <w:shd w:val="clear" w:color="000000" w:fill="CCFFFF"/>
      <w:spacing w:before="100" w:beforeAutospacing="1" w:after="100" w:afterAutospacing="1"/>
      <w:jc w:val="right"/>
    </w:pPr>
    <w:rPr>
      <w:rFonts w:eastAsia="Times New Roman" w:cs="Times New Roman"/>
      <w:szCs w:val="24"/>
    </w:rPr>
  </w:style>
  <w:style w:type="paragraph" w:customStyle="1" w:styleId="xl522">
    <w:name w:val="xl522"/>
    <w:basedOn w:val="Normal"/>
    <w:rsid w:val="00247CBF"/>
    <w:pPr>
      <w:pBdr>
        <w:top w:val="double" w:sz="6" w:space="0" w:color="auto"/>
        <w:left w:val="dashed" w:sz="4" w:space="0" w:color="auto"/>
        <w:bottom w:val="dashed" w:sz="4" w:space="0" w:color="auto"/>
        <w:right w:val="double" w:sz="6" w:space="0" w:color="auto"/>
      </w:pBdr>
      <w:shd w:val="clear" w:color="000000" w:fill="CCFFFF"/>
      <w:spacing w:before="100" w:beforeAutospacing="1" w:after="100" w:afterAutospacing="1"/>
      <w:jc w:val="right"/>
    </w:pPr>
    <w:rPr>
      <w:rFonts w:eastAsia="Times New Roman" w:cs="Times New Roman"/>
      <w:szCs w:val="24"/>
    </w:rPr>
  </w:style>
  <w:style w:type="paragraph" w:customStyle="1" w:styleId="xl523">
    <w:name w:val="xl523"/>
    <w:basedOn w:val="Normal"/>
    <w:rsid w:val="00247CBF"/>
    <w:pPr>
      <w:pBdr>
        <w:top w:val="dashed" w:sz="4" w:space="0" w:color="auto"/>
        <w:left w:val="dashed" w:sz="4" w:space="0" w:color="auto"/>
        <w:bottom w:val="dashed" w:sz="4" w:space="0" w:color="auto"/>
      </w:pBdr>
      <w:shd w:val="clear" w:color="000000" w:fill="FFFF99"/>
      <w:spacing w:before="100" w:beforeAutospacing="1" w:after="100" w:afterAutospacing="1"/>
      <w:jc w:val="right"/>
    </w:pPr>
    <w:rPr>
      <w:rFonts w:ascii="Courier New" w:eastAsia="Times New Roman" w:hAnsi="Courier New" w:cs="Courier New"/>
      <w:sz w:val="18"/>
      <w:szCs w:val="18"/>
    </w:rPr>
  </w:style>
  <w:style w:type="paragraph" w:customStyle="1" w:styleId="xl524">
    <w:name w:val="xl524"/>
    <w:basedOn w:val="Normal"/>
    <w:rsid w:val="00247CBF"/>
    <w:pPr>
      <w:pBdr>
        <w:top w:val="dashed" w:sz="4" w:space="0" w:color="auto"/>
        <w:bottom w:val="dashed" w:sz="4" w:space="0" w:color="auto"/>
        <w:right w:val="dashed" w:sz="4" w:space="0" w:color="auto"/>
      </w:pBdr>
      <w:shd w:val="clear" w:color="000000" w:fill="FFFF99"/>
      <w:spacing w:before="100" w:beforeAutospacing="1" w:after="100" w:afterAutospacing="1"/>
      <w:jc w:val="right"/>
    </w:pPr>
    <w:rPr>
      <w:rFonts w:ascii="Courier New" w:eastAsia="Times New Roman" w:hAnsi="Courier New" w:cs="Courier New"/>
      <w:sz w:val="18"/>
      <w:szCs w:val="18"/>
    </w:rPr>
  </w:style>
  <w:style w:type="paragraph" w:customStyle="1" w:styleId="xl525">
    <w:name w:val="xl525"/>
    <w:basedOn w:val="Normal"/>
    <w:rsid w:val="00247CBF"/>
    <w:pPr>
      <w:pBdr>
        <w:top w:val="dashed" w:sz="4" w:space="0" w:color="auto"/>
        <w:left w:val="dashed" w:sz="4" w:space="0" w:color="auto"/>
        <w:bottom w:val="dashed" w:sz="4" w:space="0" w:color="auto"/>
        <w:right w:val="dashed" w:sz="4" w:space="0" w:color="auto"/>
      </w:pBdr>
      <w:shd w:val="clear" w:color="000000" w:fill="FFFF99"/>
      <w:spacing w:before="100" w:beforeAutospacing="1" w:after="100" w:afterAutospacing="1"/>
      <w:jc w:val="right"/>
    </w:pPr>
    <w:rPr>
      <w:rFonts w:ascii="Courier New" w:eastAsia="Times New Roman" w:hAnsi="Courier New" w:cs="Courier New"/>
      <w:sz w:val="18"/>
      <w:szCs w:val="18"/>
    </w:rPr>
  </w:style>
  <w:style w:type="paragraph" w:customStyle="1" w:styleId="xl526">
    <w:name w:val="xl526"/>
    <w:basedOn w:val="Normal"/>
    <w:rsid w:val="00247CBF"/>
    <w:pPr>
      <w:pBdr>
        <w:top w:val="dashed" w:sz="4" w:space="0" w:color="auto"/>
        <w:left w:val="dashed" w:sz="4" w:space="0" w:color="auto"/>
        <w:bottom w:val="dashed" w:sz="4" w:space="0" w:color="auto"/>
      </w:pBdr>
      <w:shd w:val="clear" w:color="000000" w:fill="FFFF99"/>
      <w:spacing w:before="100" w:beforeAutospacing="1" w:after="100" w:afterAutospacing="1"/>
      <w:jc w:val="right"/>
    </w:pPr>
    <w:rPr>
      <w:rFonts w:ascii="Courier New" w:eastAsia="Times New Roman" w:hAnsi="Courier New" w:cs="Courier New"/>
      <w:sz w:val="18"/>
      <w:szCs w:val="18"/>
    </w:rPr>
  </w:style>
  <w:style w:type="paragraph" w:customStyle="1" w:styleId="xl527">
    <w:name w:val="xl527"/>
    <w:basedOn w:val="Normal"/>
    <w:rsid w:val="00247CBF"/>
    <w:pPr>
      <w:pBdr>
        <w:top w:val="dashed" w:sz="4" w:space="0" w:color="auto"/>
        <w:bottom w:val="double" w:sz="6" w:space="0" w:color="auto"/>
        <w:right w:val="dashed" w:sz="4" w:space="0" w:color="auto"/>
      </w:pBdr>
      <w:shd w:val="clear" w:color="000000" w:fill="FFFF99"/>
      <w:spacing w:before="100" w:beforeAutospacing="1" w:after="100" w:afterAutospacing="1"/>
      <w:jc w:val="right"/>
    </w:pPr>
    <w:rPr>
      <w:rFonts w:eastAsia="Times New Roman" w:cs="Times New Roman"/>
      <w:szCs w:val="24"/>
    </w:rPr>
  </w:style>
  <w:style w:type="paragraph" w:customStyle="1" w:styleId="xl528">
    <w:name w:val="xl528"/>
    <w:basedOn w:val="Normal"/>
    <w:rsid w:val="00247CBF"/>
    <w:pPr>
      <w:pBdr>
        <w:top w:val="dashed" w:sz="4" w:space="0" w:color="auto"/>
        <w:left w:val="dashed" w:sz="4" w:space="0" w:color="auto"/>
        <w:bottom w:val="double" w:sz="6" w:space="0" w:color="auto"/>
        <w:right w:val="dashed" w:sz="4" w:space="0" w:color="auto"/>
      </w:pBdr>
      <w:shd w:val="clear" w:color="000000" w:fill="FFFF99"/>
      <w:spacing w:before="100" w:beforeAutospacing="1" w:after="100" w:afterAutospacing="1"/>
      <w:jc w:val="right"/>
    </w:pPr>
    <w:rPr>
      <w:rFonts w:eastAsia="Times New Roman" w:cs="Times New Roman"/>
      <w:szCs w:val="24"/>
    </w:rPr>
  </w:style>
  <w:style w:type="paragraph" w:customStyle="1" w:styleId="xl529">
    <w:name w:val="xl529"/>
    <w:basedOn w:val="Normal"/>
    <w:rsid w:val="00247CBF"/>
    <w:pPr>
      <w:pBdr>
        <w:top w:val="dashed" w:sz="4" w:space="0" w:color="auto"/>
        <w:left w:val="dashed" w:sz="4" w:space="0" w:color="auto"/>
        <w:bottom w:val="double" w:sz="6" w:space="0" w:color="auto"/>
        <w:right w:val="dashed" w:sz="4" w:space="0" w:color="auto"/>
      </w:pBdr>
      <w:shd w:val="clear" w:color="000000" w:fill="CCFFFF"/>
      <w:spacing w:before="100" w:beforeAutospacing="1" w:after="100" w:afterAutospacing="1"/>
      <w:jc w:val="right"/>
    </w:pPr>
    <w:rPr>
      <w:rFonts w:eastAsia="Times New Roman" w:cs="Times New Roman"/>
      <w:szCs w:val="24"/>
    </w:rPr>
  </w:style>
  <w:style w:type="paragraph" w:customStyle="1" w:styleId="xl530">
    <w:name w:val="xl530"/>
    <w:basedOn w:val="Normal"/>
    <w:rsid w:val="00247CBF"/>
    <w:pPr>
      <w:pBdr>
        <w:top w:val="dashed" w:sz="4" w:space="0" w:color="auto"/>
        <w:left w:val="dashed" w:sz="4" w:space="0" w:color="auto"/>
        <w:bottom w:val="double" w:sz="6" w:space="0" w:color="auto"/>
        <w:right w:val="double" w:sz="6" w:space="0" w:color="auto"/>
      </w:pBdr>
      <w:shd w:val="clear" w:color="000000" w:fill="CCFFFF"/>
      <w:spacing w:before="100" w:beforeAutospacing="1" w:after="100" w:afterAutospacing="1"/>
      <w:jc w:val="right"/>
    </w:pPr>
    <w:rPr>
      <w:rFonts w:eastAsia="Times New Roman" w:cs="Times New Roman"/>
      <w:szCs w:val="24"/>
    </w:rPr>
  </w:style>
  <w:style w:type="paragraph" w:customStyle="1" w:styleId="xl531">
    <w:name w:val="xl531"/>
    <w:basedOn w:val="Normal"/>
    <w:rsid w:val="00247CBF"/>
    <w:pPr>
      <w:pBdr>
        <w:top w:val="dashed" w:sz="4" w:space="0" w:color="auto"/>
        <w:bottom w:val="dashed" w:sz="4" w:space="0" w:color="auto"/>
        <w:right w:val="dashed" w:sz="4" w:space="0" w:color="auto"/>
      </w:pBdr>
      <w:shd w:val="clear" w:color="000000" w:fill="FFFF99"/>
      <w:spacing w:before="100" w:beforeAutospacing="1" w:after="100" w:afterAutospacing="1"/>
      <w:jc w:val="right"/>
    </w:pPr>
    <w:rPr>
      <w:rFonts w:eastAsia="Times New Roman" w:cs="Times New Roman"/>
      <w:szCs w:val="24"/>
    </w:rPr>
  </w:style>
  <w:style w:type="paragraph" w:customStyle="1" w:styleId="xl532">
    <w:name w:val="xl532"/>
    <w:basedOn w:val="Normal"/>
    <w:rsid w:val="00247CBF"/>
    <w:pPr>
      <w:pBdr>
        <w:top w:val="dashed" w:sz="4" w:space="0" w:color="auto"/>
        <w:left w:val="dashed" w:sz="4" w:space="0" w:color="auto"/>
        <w:bottom w:val="dashed" w:sz="4" w:space="0" w:color="auto"/>
        <w:right w:val="dashed" w:sz="4" w:space="0" w:color="auto"/>
      </w:pBdr>
      <w:shd w:val="clear" w:color="000000" w:fill="FFFF99"/>
      <w:spacing w:before="100" w:beforeAutospacing="1" w:after="100" w:afterAutospacing="1"/>
      <w:jc w:val="right"/>
    </w:pPr>
    <w:rPr>
      <w:rFonts w:eastAsia="Times New Roman" w:cs="Times New Roman"/>
      <w:szCs w:val="24"/>
    </w:rPr>
  </w:style>
  <w:style w:type="paragraph" w:customStyle="1" w:styleId="xl533">
    <w:name w:val="xl533"/>
    <w:basedOn w:val="Normal"/>
    <w:rsid w:val="00247CBF"/>
    <w:pPr>
      <w:pBdr>
        <w:top w:val="dashed" w:sz="4" w:space="0" w:color="auto"/>
        <w:left w:val="dashed" w:sz="4" w:space="0" w:color="auto"/>
        <w:bottom w:val="dashed" w:sz="4" w:space="0" w:color="auto"/>
        <w:right w:val="dashed" w:sz="4" w:space="0" w:color="auto"/>
      </w:pBdr>
      <w:shd w:val="clear" w:color="000000" w:fill="CCFFFF"/>
      <w:spacing w:before="100" w:beforeAutospacing="1" w:after="100" w:afterAutospacing="1"/>
      <w:jc w:val="right"/>
    </w:pPr>
    <w:rPr>
      <w:rFonts w:eastAsia="Times New Roman" w:cs="Times New Roman"/>
      <w:szCs w:val="24"/>
    </w:rPr>
  </w:style>
  <w:style w:type="paragraph" w:customStyle="1" w:styleId="xl534">
    <w:name w:val="xl534"/>
    <w:basedOn w:val="Normal"/>
    <w:rsid w:val="00247CBF"/>
    <w:pPr>
      <w:pBdr>
        <w:top w:val="dashed" w:sz="4" w:space="0" w:color="auto"/>
        <w:left w:val="dashed" w:sz="4" w:space="0" w:color="auto"/>
        <w:bottom w:val="dashed" w:sz="4" w:space="0" w:color="auto"/>
        <w:right w:val="double" w:sz="6" w:space="0" w:color="auto"/>
      </w:pBdr>
      <w:shd w:val="clear" w:color="000000" w:fill="CCFFFF"/>
      <w:spacing w:before="100" w:beforeAutospacing="1" w:after="100" w:afterAutospacing="1"/>
      <w:jc w:val="right"/>
    </w:pPr>
    <w:rPr>
      <w:rFonts w:eastAsia="Times New Roman" w:cs="Times New Roman"/>
      <w:szCs w:val="24"/>
    </w:rPr>
  </w:style>
  <w:style w:type="paragraph" w:customStyle="1" w:styleId="xl535">
    <w:name w:val="xl535"/>
    <w:basedOn w:val="Normal"/>
    <w:rsid w:val="00247CBF"/>
    <w:pPr>
      <w:pBdr>
        <w:bottom w:val="dotted" w:sz="4" w:space="0" w:color="000000"/>
        <w:right w:val="dotted" w:sz="4" w:space="0" w:color="000000"/>
      </w:pBdr>
      <w:shd w:val="clear" w:color="000000" w:fill="FFFF99"/>
      <w:spacing w:before="100" w:beforeAutospacing="1" w:after="100" w:afterAutospacing="1"/>
      <w:jc w:val="center"/>
      <w:textAlignment w:val="top"/>
    </w:pPr>
    <w:rPr>
      <w:rFonts w:eastAsia="Times New Roman" w:cs="Times New Roman"/>
      <w:szCs w:val="24"/>
    </w:rPr>
  </w:style>
  <w:style w:type="paragraph" w:customStyle="1" w:styleId="xl536">
    <w:name w:val="xl536"/>
    <w:basedOn w:val="Normal"/>
    <w:rsid w:val="00247CBF"/>
    <w:pPr>
      <w:pBdr>
        <w:left w:val="dotted" w:sz="4" w:space="0" w:color="000000"/>
        <w:bottom w:val="dotted" w:sz="4" w:space="0" w:color="000000"/>
        <w:right w:val="dotted" w:sz="4" w:space="0" w:color="000000"/>
      </w:pBdr>
      <w:shd w:val="clear" w:color="000000" w:fill="FFFF99"/>
      <w:spacing w:before="100" w:beforeAutospacing="1" w:after="100" w:afterAutospacing="1"/>
      <w:jc w:val="center"/>
      <w:textAlignment w:val="top"/>
    </w:pPr>
    <w:rPr>
      <w:rFonts w:eastAsia="Times New Roman" w:cs="Times New Roman"/>
      <w:szCs w:val="24"/>
    </w:rPr>
  </w:style>
  <w:style w:type="paragraph" w:customStyle="1" w:styleId="xl537">
    <w:name w:val="xl537"/>
    <w:basedOn w:val="Normal"/>
    <w:rsid w:val="00247CBF"/>
    <w:pPr>
      <w:pBdr>
        <w:left w:val="dotted" w:sz="4" w:space="0" w:color="000000"/>
        <w:bottom w:val="dotted" w:sz="4" w:space="0" w:color="000000"/>
        <w:right w:val="double" w:sz="6" w:space="0" w:color="000000"/>
      </w:pBdr>
      <w:shd w:val="clear" w:color="000000" w:fill="FFFF99"/>
      <w:spacing w:before="100" w:beforeAutospacing="1" w:after="100" w:afterAutospacing="1"/>
      <w:jc w:val="center"/>
      <w:textAlignment w:val="top"/>
    </w:pPr>
    <w:rPr>
      <w:rFonts w:eastAsia="Times New Roman" w:cs="Times New Roman"/>
      <w:szCs w:val="24"/>
    </w:rPr>
  </w:style>
  <w:style w:type="paragraph" w:customStyle="1" w:styleId="xl538">
    <w:name w:val="xl538"/>
    <w:basedOn w:val="Normal"/>
    <w:rsid w:val="00247CBF"/>
    <w:pPr>
      <w:pBdr>
        <w:top w:val="dotted" w:sz="4" w:space="0" w:color="000000"/>
        <w:bottom w:val="single" w:sz="4" w:space="0" w:color="auto"/>
        <w:right w:val="dotted" w:sz="4" w:space="0" w:color="000000"/>
      </w:pBdr>
      <w:shd w:val="clear" w:color="000000" w:fill="FFFF99"/>
      <w:spacing w:before="100" w:beforeAutospacing="1" w:after="100" w:afterAutospacing="1"/>
      <w:jc w:val="center"/>
      <w:textAlignment w:val="top"/>
    </w:pPr>
    <w:rPr>
      <w:rFonts w:eastAsia="Times New Roman" w:cs="Times New Roman"/>
      <w:szCs w:val="24"/>
    </w:rPr>
  </w:style>
  <w:style w:type="paragraph" w:customStyle="1" w:styleId="xl539">
    <w:name w:val="xl539"/>
    <w:basedOn w:val="Normal"/>
    <w:rsid w:val="00247CBF"/>
    <w:pPr>
      <w:pBdr>
        <w:top w:val="dotted" w:sz="4" w:space="0" w:color="000000"/>
        <w:left w:val="dotted" w:sz="4" w:space="0" w:color="000000"/>
        <w:bottom w:val="single" w:sz="4" w:space="0" w:color="auto"/>
        <w:right w:val="dotted" w:sz="4" w:space="0" w:color="000000"/>
      </w:pBdr>
      <w:shd w:val="clear" w:color="000000" w:fill="FFFF99"/>
      <w:spacing w:before="100" w:beforeAutospacing="1" w:after="100" w:afterAutospacing="1"/>
      <w:jc w:val="center"/>
      <w:textAlignment w:val="top"/>
    </w:pPr>
    <w:rPr>
      <w:rFonts w:eastAsia="Times New Roman" w:cs="Times New Roman"/>
      <w:szCs w:val="24"/>
    </w:rPr>
  </w:style>
  <w:style w:type="paragraph" w:customStyle="1" w:styleId="xl540">
    <w:name w:val="xl540"/>
    <w:basedOn w:val="Normal"/>
    <w:rsid w:val="00247CBF"/>
    <w:pPr>
      <w:pBdr>
        <w:top w:val="dotted" w:sz="4" w:space="0" w:color="000000"/>
        <w:left w:val="dotted" w:sz="4" w:space="0" w:color="000000"/>
        <w:bottom w:val="single" w:sz="4" w:space="0" w:color="auto"/>
        <w:right w:val="double" w:sz="6" w:space="0" w:color="000000"/>
      </w:pBdr>
      <w:shd w:val="clear" w:color="000000" w:fill="FFFF99"/>
      <w:spacing w:before="100" w:beforeAutospacing="1" w:after="100" w:afterAutospacing="1"/>
      <w:jc w:val="center"/>
      <w:textAlignment w:val="top"/>
    </w:pPr>
    <w:rPr>
      <w:rFonts w:eastAsia="Times New Roman" w:cs="Times New Roman"/>
      <w:szCs w:val="24"/>
    </w:rPr>
  </w:style>
  <w:style w:type="paragraph" w:customStyle="1" w:styleId="xl541">
    <w:name w:val="xl541"/>
    <w:basedOn w:val="Normal"/>
    <w:rsid w:val="00247CBF"/>
    <w:pPr>
      <w:pBdr>
        <w:top w:val="dotted" w:sz="4" w:space="0" w:color="auto"/>
        <w:left w:val="double" w:sz="6" w:space="0" w:color="auto"/>
        <w:bottom w:val="dotted" w:sz="4" w:space="0" w:color="auto"/>
      </w:pBdr>
      <w:spacing w:before="100" w:beforeAutospacing="1" w:after="100" w:afterAutospacing="1"/>
      <w:jc w:val="left"/>
      <w:textAlignment w:val="center"/>
    </w:pPr>
    <w:rPr>
      <w:rFonts w:eastAsia="Times New Roman" w:cs="Times New Roman"/>
      <w:szCs w:val="24"/>
    </w:rPr>
  </w:style>
  <w:style w:type="paragraph" w:customStyle="1" w:styleId="xl542">
    <w:name w:val="xl542"/>
    <w:basedOn w:val="Normal"/>
    <w:rsid w:val="00247CBF"/>
    <w:pPr>
      <w:pBdr>
        <w:top w:val="dotted" w:sz="4" w:space="0" w:color="auto"/>
        <w:left w:val="double" w:sz="6" w:space="0" w:color="auto"/>
        <w:right w:val="single" w:sz="8" w:space="0" w:color="auto"/>
      </w:pBdr>
      <w:spacing w:before="100" w:beforeAutospacing="1" w:after="100" w:afterAutospacing="1"/>
      <w:jc w:val="left"/>
    </w:pPr>
    <w:rPr>
      <w:rFonts w:eastAsia="Times New Roman" w:cs="Times New Roman"/>
      <w:szCs w:val="24"/>
    </w:rPr>
  </w:style>
  <w:style w:type="paragraph" w:customStyle="1" w:styleId="xl543">
    <w:name w:val="xl543"/>
    <w:basedOn w:val="Normal"/>
    <w:rsid w:val="00247CBF"/>
    <w:pPr>
      <w:pBdr>
        <w:left w:val="double" w:sz="6" w:space="0" w:color="auto"/>
        <w:bottom w:val="single" w:sz="4" w:space="0" w:color="auto"/>
        <w:right w:val="single" w:sz="8" w:space="0" w:color="auto"/>
      </w:pBdr>
      <w:spacing w:before="100" w:beforeAutospacing="1" w:after="100" w:afterAutospacing="1"/>
      <w:jc w:val="left"/>
    </w:pPr>
    <w:rPr>
      <w:rFonts w:eastAsia="Times New Roman" w:cs="Times New Roman"/>
      <w:szCs w:val="24"/>
    </w:rPr>
  </w:style>
  <w:style w:type="paragraph" w:customStyle="1" w:styleId="xl544">
    <w:name w:val="xl544"/>
    <w:basedOn w:val="Normal"/>
    <w:rsid w:val="00247CBF"/>
    <w:pPr>
      <w:pBdr>
        <w:top w:val="single" w:sz="4" w:space="0" w:color="auto"/>
        <w:left w:val="double" w:sz="6" w:space="0" w:color="auto"/>
        <w:bottom w:val="double" w:sz="6" w:space="0" w:color="auto"/>
        <w:right w:val="single" w:sz="8" w:space="0" w:color="auto"/>
      </w:pBdr>
      <w:spacing w:before="100" w:beforeAutospacing="1" w:after="100" w:afterAutospacing="1"/>
      <w:jc w:val="left"/>
    </w:pPr>
    <w:rPr>
      <w:rFonts w:eastAsia="Times New Roman" w:cs="Times New Roman"/>
      <w:szCs w:val="24"/>
    </w:rPr>
  </w:style>
  <w:style w:type="paragraph" w:customStyle="1" w:styleId="xl545">
    <w:name w:val="xl545"/>
    <w:basedOn w:val="Normal"/>
    <w:rsid w:val="00247CBF"/>
    <w:pPr>
      <w:pBdr>
        <w:top w:val="dotted" w:sz="4" w:space="0" w:color="000000"/>
        <w:left w:val="single" w:sz="8" w:space="0" w:color="000000"/>
        <w:bottom w:val="single" w:sz="4" w:space="0" w:color="auto"/>
      </w:pBdr>
      <w:shd w:val="clear" w:color="000000" w:fill="FFFFFF"/>
      <w:spacing w:before="100" w:beforeAutospacing="1" w:after="100" w:afterAutospacing="1"/>
      <w:jc w:val="center"/>
    </w:pPr>
    <w:rPr>
      <w:rFonts w:eastAsia="Times New Roman" w:cs="Times New Roman"/>
      <w:szCs w:val="24"/>
    </w:rPr>
  </w:style>
  <w:style w:type="paragraph" w:customStyle="1" w:styleId="xl546">
    <w:name w:val="xl546"/>
    <w:basedOn w:val="Normal"/>
    <w:rsid w:val="00247CBF"/>
    <w:pPr>
      <w:pBdr>
        <w:top w:val="dotted" w:sz="4" w:space="0" w:color="000000"/>
        <w:bottom w:val="single" w:sz="4" w:space="0" w:color="auto"/>
        <w:right w:val="single" w:sz="8" w:space="0" w:color="auto"/>
      </w:pBdr>
      <w:shd w:val="clear" w:color="000000" w:fill="FFFFFF"/>
      <w:spacing w:before="100" w:beforeAutospacing="1" w:after="100" w:afterAutospacing="1"/>
      <w:jc w:val="center"/>
    </w:pPr>
    <w:rPr>
      <w:rFonts w:eastAsia="Times New Roman" w:cs="Times New Roman"/>
      <w:szCs w:val="24"/>
    </w:rPr>
  </w:style>
  <w:style w:type="paragraph" w:customStyle="1" w:styleId="xl547">
    <w:name w:val="xl547"/>
    <w:basedOn w:val="Normal"/>
    <w:rsid w:val="00247CBF"/>
    <w:pPr>
      <w:pBdr>
        <w:top w:val="single" w:sz="4" w:space="0" w:color="auto"/>
        <w:left w:val="single" w:sz="8" w:space="0" w:color="000000"/>
        <w:bottom w:val="dotted" w:sz="4" w:space="0" w:color="000000"/>
      </w:pBdr>
      <w:shd w:val="clear" w:color="000000" w:fill="FFFFFF"/>
      <w:spacing w:before="100" w:beforeAutospacing="1" w:after="100" w:afterAutospacing="1"/>
      <w:jc w:val="center"/>
    </w:pPr>
    <w:rPr>
      <w:rFonts w:eastAsia="Times New Roman" w:cs="Times New Roman"/>
      <w:szCs w:val="24"/>
    </w:rPr>
  </w:style>
  <w:style w:type="paragraph" w:customStyle="1" w:styleId="xl548">
    <w:name w:val="xl548"/>
    <w:basedOn w:val="Normal"/>
    <w:rsid w:val="00247CBF"/>
    <w:pPr>
      <w:pBdr>
        <w:top w:val="single" w:sz="4" w:space="0" w:color="auto"/>
        <w:bottom w:val="dotted" w:sz="4" w:space="0" w:color="000000"/>
        <w:right w:val="single" w:sz="8" w:space="0" w:color="auto"/>
      </w:pBdr>
      <w:shd w:val="clear" w:color="000000" w:fill="FFFFFF"/>
      <w:spacing w:before="100" w:beforeAutospacing="1" w:after="100" w:afterAutospacing="1"/>
      <w:jc w:val="center"/>
    </w:pPr>
    <w:rPr>
      <w:rFonts w:eastAsia="Times New Roman" w:cs="Times New Roman"/>
      <w:szCs w:val="24"/>
    </w:rPr>
  </w:style>
  <w:style w:type="paragraph" w:customStyle="1" w:styleId="xl549">
    <w:name w:val="xl549"/>
    <w:basedOn w:val="Normal"/>
    <w:rsid w:val="00247CBF"/>
    <w:pPr>
      <w:pBdr>
        <w:top w:val="dotted" w:sz="4" w:space="0" w:color="000000"/>
        <w:left w:val="single" w:sz="8" w:space="0" w:color="000000"/>
        <w:bottom w:val="double" w:sz="6" w:space="0" w:color="000000"/>
      </w:pBdr>
      <w:shd w:val="clear" w:color="000000" w:fill="FFFFFF"/>
      <w:spacing w:before="100" w:beforeAutospacing="1" w:after="100" w:afterAutospacing="1"/>
      <w:jc w:val="center"/>
    </w:pPr>
    <w:rPr>
      <w:rFonts w:eastAsia="Times New Roman" w:cs="Times New Roman"/>
      <w:szCs w:val="24"/>
    </w:rPr>
  </w:style>
  <w:style w:type="paragraph" w:customStyle="1" w:styleId="xl550">
    <w:name w:val="xl550"/>
    <w:basedOn w:val="Normal"/>
    <w:rsid w:val="00247CBF"/>
    <w:pPr>
      <w:pBdr>
        <w:top w:val="dotted" w:sz="4" w:space="0" w:color="000000"/>
        <w:bottom w:val="double" w:sz="6" w:space="0" w:color="000000"/>
        <w:right w:val="single" w:sz="8" w:space="0" w:color="auto"/>
      </w:pBdr>
      <w:shd w:val="clear" w:color="000000" w:fill="FFFFFF"/>
      <w:spacing w:before="100" w:beforeAutospacing="1" w:after="100" w:afterAutospacing="1"/>
      <w:jc w:val="center"/>
    </w:pPr>
    <w:rPr>
      <w:rFonts w:eastAsia="Times New Roman" w:cs="Times New Roman"/>
      <w:szCs w:val="24"/>
    </w:rPr>
  </w:style>
  <w:style w:type="paragraph" w:customStyle="1" w:styleId="xl551">
    <w:name w:val="xl551"/>
    <w:basedOn w:val="Normal"/>
    <w:rsid w:val="00247CBF"/>
    <w:pPr>
      <w:pBdr>
        <w:top w:val="double" w:sz="6" w:space="0" w:color="auto"/>
        <w:left w:val="single" w:sz="8" w:space="0" w:color="000000"/>
        <w:bottom w:val="dotted" w:sz="4" w:space="0" w:color="000000"/>
      </w:pBdr>
      <w:shd w:val="clear" w:color="000000" w:fill="FFFFFF"/>
      <w:spacing w:before="100" w:beforeAutospacing="1" w:after="100" w:afterAutospacing="1"/>
      <w:jc w:val="center"/>
    </w:pPr>
    <w:rPr>
      <w:rFonts w:eastAsia="Times New Roman" w:cs="Times New Roman"/>
      <w:sz w:val="16"/>
      <w:szCs w:val="16"/>
    </w:rPr>
  </w:style>
  <w:style w:type="paragraph" w:customStyle="1" w:styleId="xl552">
    <w:name w:val="xl552"/>
    <w:basedOn w:val="Normal"/>
    <w:rsid w:val="00247CBF"/>
    <w:pPr>
      <w:pBdr>
        <w:top w:val="double" w:sz="6" w:space="0" w:color="auto"/>
        <w:bottom w:val="dotted" w:sz="4" w:space="0" w:color="000000"/>
        <w:right w:val="single" w:sz="8" w:space="0" w:color="auto"/>
      </w:pBdr>
      <w:shd w:val="clear" w:color="000000" w:fill="FFFFFF"/>
      <w:spacing w:before="100" w:beforeAutospacing="1" w:after="100" w:afterAutospacing="1"/>
      <w:jc w:val="center"/>
    </w:pPr>
    <w:rPr>
      <w:rFonts w:eastAsia="Times New Roman" w:cs="Times New Roman"/>
      <w:sz w:val="16"/>
      <w:szCs w:val="16"/>
    </w:rPr>
  </w:style>
  <w:style w:type="paragraph" w:customStyle="1" w:styleId="xl553">
    <w:name w:val="xl553"/>
    <w:basedOn w:val="Normal"/>
    <w:rsid w:val="00247CBF"/>
    <w:pPr>
      <w:pBdr>
        <w:top w:val="single" w:sz="4" w:space="0" w:color="000000"/>
        <w:left w:val="single" w:sz="8" w:space="0" w:color="000000"/>
        <w:bottom w:val="dotted" w:sz="4" w:space="0" w:color="000000"/>
      </w:pBdr>
      <w:shd w:val="clear" w:color="000000" w:fill="FFFFFF"/>
      <w:spacing w:before="100" w:beforeAutospacing="1" w:after="100" w:afterAutospacing="1"/>
      <w:jc w:val="center"/>
    </w:pPr>
    <w:rPr>
      <w:rFonts w:eastAsia="Times New Roman" w:cs="Times New Roman"/>
      <w:szCs w:val="24"/>
    </w:rPr>
  </w:style>
  <w:style w:type="paragraph" w:customStyle="1" w:styleId="xl554">
    <w:name w:val="xl554"/>
    <w:basedOn w:val="Normal"/>
    <w:rsid w:val="00247CBF"/>
    <w:pPr>
      <w:pBdr>
        <w:top w:val="single" w:sz="4" w:space="0" w:color="000000"/>
        <w:bottom w:val="dotted" w:sz="4" w:space="0" w:color="000000"/>
        <w:right w:val="single" w:sz="8" w:space="0" w:color="auto"/>
      </w:pBdr>
      <w:shd w:val="clear" w:color="000000" w:fill="FFFFFF"/>
      <w:spacing w:before="100" w:beforeAutospacing="1" w:after="100" w:afterAutospacing="1"/>
      <w:jc w:val="center"/>
    </w:pPr>
    <w:rPr>
      <w:rFonts w:eastAsia="Times New Roman" w:cs="Times New Roman"/>
      <w:szCs w:val="24"/>
    </w:rPr>
  </w:style>
  <w:style w:type="paragraph" w:customStyle="1" w:styleId="xl555">
    <w:name w:val="xl555"/>
    <w:basedOn w:val="Normal"/>
    <w:rsid w:val="00247CBF"/>
    <w:pPr>
      <w:pBdr>
        <w:top w:val="dotted" w:sz="4" w:space="0" w:color="auto"/>
        <w:left w:val="single" w:sz="4" w:space="0" w:color="auto"/>
        <w:bottom w:val="double" w:sz="6" w:space="0" w:color="auto"/>
      </w:pBdr>
      <w:shd w:val="clear" w:color="000000" w:fill="FFFFFF"/>
      <w:spacing w:before="100" w:beforeAutospacing="1" w:after="100" w:afterAutospacing="1"/>
      <w:jc w:val="center"/>
    </w:pPr>
    <w:rPr>
      <w:rFonts w:eastAsia="Times New Roman" w:cs="Times New Roman"/>
      <w:sz w:val="18"/>
      <w:szCs w:val="18"/>
    </w:rPr>
  </w:style>
  <w:style w:type="paragraph" w:customStyle="1" w:styleId="xl556">
    <w:name w:val="xl556"/>
    <w:basedOn w:val="Normal"/>
    <w:rsid w:val="00247CBF"/>
    <w:pPr>
      <w:pBdr>
        <w:top w:val="dotted" w:sz="4" w:space="0" w:color="auto"/>
        <w:bottom w:val="double" w:sz="6" w:space="0" w:color="auto"/>
        <w:right w:val="single" w:sz="8" w:space="0" w:color="000000"/>
      </w:pBdr>
      <w:shd w:val="clear" w:color="000000" w:fill="FFFFFF"/>
      <w:spacing w:before="100" w:beforeAutospacing="1" w:after="100" w:afterAutospacing="1"/>
      <w:jc w:val="center"/>
    </w:pPr>
    <w:rPr>
      <w:rFonts w:eastAsia="Times New Roman" w:cs="Times New Roman"/>
      <w:sz w:val="18"/>
      <w:szCs w:val="18"/>
    </w:rPr>
  </w:style>
  <w:style w:type="paragraph" w:customStyle="1" w:styleId="xl557">
    <w:name w:val="xl557"/>
    <w:basedOn w:val="Normal"/>
    <w:rsid w:val="00247CBF"/>
    <w:pPr>
      <w:pBdr>
        <w:top w:val="double" w:sz="6" w:space="0" w:color="auto"/>
        <w:left w:val="single" w:sz="8" w:space="0" w:color="auto"/>
        <w:bottom w:val="double" w:sz="6" w:space="0" w:color="auto"/>
      </w:pBdr>
      <w:shd w:val="clear" w:color="000000" w:fill="9966FF"/>
      <w:spacing w:before="100" w:beforeAutospacing="1" w:after="100" w:afterAutospacing="1"/>
      <w:jc w:val="center"/>
      <w:textAlignment w:val="center"/>
    </w:pPr>
    <w:rPr>
      <w:rFonts w:eastAsia="Times New Roman" w:cs="Times New Roman"/>
      <w:b/>
      <w:bCs/>
      <w:szCs w:val="24"/>
    </w:rPr>
  </w:style>
  <w:style w:type="paragraph" w:customStyle="1" w:styleId="xl558">
    <w:name w:val="xl558"/>
    <w:basedOn w:val="Normal"/>
    <w:rsid w:val="00247CBF"/>
    <w:pPr>
      <w:pBdr>
        <w:top w:val="double" w:sz="6" w:space="0" w:color="auto"/>
        <w:bottom w:val="double" w:sz="6" w:space="0" w:color="auto"/>
        <w:right w:val="single" w:sz="8" w:space="0" w:color="auto"/>
      </w:pBdr>
      <w:shd w:val="clear" w:color="000000" w:fill="9966FF"/>
      <w:spacing w:before="100" w:beforeAutospacing="1" w:after="100" w:afterAutospacing="1"/>
      <w:jc w:val="center"/>
      <w:textAlignment w:val="center"/>
    </w:pPr>
    <w:rPr>
      <w:rFonts w:eastAsia="Times New Roman" w:cs="Times New Roman"/>
      <w:b/>
      <w:bCs/>
      <w:szCs w:val="24"/>
    </w:rPr>
  </w:style>
  <w:style w:type="paragraph" w:customStyle="1" w:styleId="xl559">
    <w:name w:val="xl559"/>
    <w:basedOn w:val="Normal"/>
    <w:rsid w:val="00247CBF"/>
    <w:pPr>
      <w:pBdr>
        <w:top w:val="dotted" w:sz="4" w:space="0" w:color="auto"/>
        <w:left w:val="single" w:sz="4" w:space="0" w:color="auto"/>
        <w:bottom w:val="dotted" w:sz="4" w:space="0" w:color="auto"/>
      </w:pBdr>
      <w:shd w:val="clear" w:color="000000" w:fill="FFFFFF"/>
      <w:spacing w:before="100" w:beforeAutospacing="1" w:after="100" w:afterAutospacing="1"/>
      <w:jc w:val="center"/>
    </w:pPr>
    <w:rPr>
      <w:rFonts w:eastAsia="Times New Roman" w:cs="Times New Roman"/>
      <w:sz w:val="18"/>
      <w:szCs w:val="18"/>
    </w:rPr>
  </w:style>
  <w:style w:type="paragraph" w:customStyle="1" w:styleId="xl560">
    <w:name w:val="xl560"/>
    <w:basedOn w:val="Normal"/>
    <w:rsid w:val="00247CBF"/>
    <w:pPr>
      <w:pBdr>
        <w:top w:val="dotted" w:sz="4" w:space="0" w:color="auto"/>
        <w:bottom w:val="dotted" w:sz="4" w:space="0" w:color="auto"/>
        <w:right w:val="single" w:sz="8" w:space="0" w:color="000000"/>
      </w:pBdr>
      <w:shd w:val="clear" w:color="000000" w:fill="FFFFFF"/>
      <w:spacing w:before="100" w:beforeAutospacing="1" w:after="100" w:afterAutospacing="1"/>
      <w:jc w:val="center"/>
    </w:pPr>
    <w:rPr>
      <w:rFonts w:eastAsia="Times New Roman" w:cs="Times New Roman"/>
      <w:sz w:val="18"/>
      <w:szCs w:val="18"/>
    </w:rPr>
  </w:style>
  <w:style w:type="paragraph" w:customStyle="1" w:styleId="xl561">
    <w:name w:val="xl561"/>
    <w:basedOn w:val="Normal"/>
    <w:rsid w:val="00247CBF"/>
    <w:pPr>
      <w:pBdr>
        <w:top w:val="double" w:sz="6" w:space="0" w:color="auto"/>
        <w:left w:val="single" w:sz="4" w:space="0" w:color="auto"/>
        <w:bottom w:val="dotted" w:sz="4" w:space="0" w:color="auto"/>
      </w:pBdr>
      <w:shd w:val="clear" w:color="000000" w:fill="FFFFFF"/>
      <w:spacing w:before="100" w:beforeAutospacing="1" w:after="100" w:afterAutospacing="1"/>
      <w:jc w:val="center"/>
    </w:pPr>
    <w:rPr>
      <w:rFonts w:eastAsia="Times New Roman" w:cs="Times New Roman"/>
      <w:sz w:val="18"/>
      <w:szCs w:val="18"/>
    </w:rPr>
  </w:style>
  <w:style w:type="paragraph" w:customStyle="1" w:styleId="xl562">
    <w:name w:val="xl562"/>
    <w:basedOn w:val="Normal"/>
    <w:rsid w:val="00247CBF"/>
    <w:pPr>
      <w:pBdr>
        <w:top w:val="double" w:sz="6" w:space="0" w:color="auto"/>
        <w:bottom w:val="dotted" w:sz="4" w:space="0" w:color="auto"/>
        <w:right w:val="single" w:sz="8" w:space="0" w:color="000000"/>
      </w:pBdr>
      <w:shd w:val="clear" w:color="000000" w:fill="FFFFFF"/>
      <w:spacing w:before="100" w:beforeAutospacing="1" w:after="100" w:afterAutospacing="1"/>
      <w:jc w:val="center"/>
    </w:pPr>
    <w:rPr>
      <w:rFonts w:eastAsia="Times New Roman" w:cs="Times New Roman"/>
      <w:sz w:val="18"/>
      <w:szCs w:val="18"/>
    </w:rPr>
  </w:style>
  <w:style w:type="paragraph" w:customStyle="1" w:styleId="xl563">
    <w:name w:val="xl563"/>
    <w:basedOn w:val="Normal"/>
    <w:rsid w:val="00247CBF"/>
    <w:pPr>
      <w:pBdr>
        <w:top w:val="dotted" w:sz="4" w:space="0" w:color="000000"/>
        <w:left w:val="single" w:sz="8" w:space="0" w:color="000000"/>
        <w:bottom w:val="dotted" w:sz="4" w:space="0" w:color="000000"/>
      </w:pBdr>
      <w:shd w:val="clear" w:color="000000" w:fill="FFFFFF"/>
      <w:spacing w:before="100" w:beforeAutospacing="1" w:after="100" w:afterAutospacing="1"/>
      <w:jc w:val="center"/>
    </w:pPr>
    <w:rPr>
      <w:rFonts w:eastAsia="Times New Roman" w:cs="Times New Roman"/>
      <w:szCs w:val="24"/>
    </w:rPr>
  </w:style>
  <w:style w:type="paragraph" w:customStyle="1" w:styleId="xl564">
    <w:name w:val="xl564"/>
    <w:basedOn w:val="Normal"/>
    <w:rsid w:val="00247CBF"/>
    <w:pPr>
      <w:pBdr>
        <w:top w:val="dotted" w:sz="4" w:space="0" w:color="000000"/>
        <w:bottom w:val="dotted" w:sz="4" w:space="0" w:color="000000"/>
        <w:right w:val="single" w:sz="8" w:space="0" w:color="auto"/>
      </w:pBdr>
      <w:shd w:val="clear" w:color="000000" w:fill="FFFFFF"/>
      <w:spacing w:before="100" w:beforeAutospacing="1" w:after="100" w:afterAutospacing="1"/>
      <w:jc w:val="center"/>
    </w:pPr>
    <w:rPr>
      <w:rFonts w:eastAsia="Times New Roman" w:cs="Times New Roman"/>
      <w:szCs w:val="24"/>
    </w:rPr>
  </w:style>
  <w:style w:type="paragraph" w:customStyle="1" w:styleId="xl565">
    <w:name w:val="xl565"/>
    <w:basedOn w:val="Normal"/>
    <w:rsid w:val="00247CBF"/>
    <w:pPr>
      <w:pBdr>
        <w:top w:val="double" w:sz="6" w:space="0" w:color="auto"/>
        <w:bottom w:val="dotted" w:sz="4" w:space="0" w:color="auto"/>
        <w:right w:val="single" w:sz="8" w:space="0" w:color="000000"/>
      </w:pBdr>
      <w:shd w:val="clear" w:color="000000" w:fill="FFFFFF"/>
      <w:spacing w:before="100" w:beforeAutospacing="1" w:after="100" w:afterAutospacing="1"/>
      <w:jc w:val="center"/>
    </w:pPr>
    <w:rPr>
      <w:rFonts w:eastAsia="Times New Roman" w:cs="Times New Roman"/>
      <w:sz w:val="18"/>
      <w:szCs w:val="18"/>
    </w:rPr>
  </w:style>
  <w:style w:type="paragraph" w:customStyle="1" w:styleId="xl566">
    <w:name w:val="xl566"/>
    <w:basedOn w:val="Normal"/>
    <w:rsid w:val="00247CBF"/>
    <w:pPr>
      <w:pBdr>
        <w:top w:val="dotted" w:sz="4" w:space="0" w:color="000000"/>
        <w:left w:val="single" w:sz="8" w:space="0" w:color="000000"/>
        <w:bottom w:val="dotted" w:sz="4" w:space="0" w:color="000000"/>
      </w:pBdr>
      <w:shd w:val="clear" w:color="000000" w:fill="FFFFFF"/>
      <w:spacing w:before="100" w:beforeAutospacing="1" w:after="100" w:afterAutospacing="1"/>
      <w:jc w:val="center"/>
    </w:pPr>
    <w:rPr>
      <w:rFonts w:eastAsia="Times New Roman" w:cs="Times New Roman"/>
      <w:szCs w:val="24"/>
    </w:rPr>
  </w:style>
  <w:style w:type="paragraph" w:customStyle="1" w:styleId="xl567">
    <w:name w:val="xl567"/>
    <w:basedOn w:val="Normal"/>
    <w:rsid w:val="00247CBF"/>
    <w:pPr>
      <w:pBdr>
        <w:top w:val="dotted" w:sz="4" w:space="0" w:color="000000"/>
        <w:bottom w:val="dotted" w:sz="4" w:space="0" w:color="000000"/>
        <w:right w:val="single" w:sz="8" w:space="0" w:color="auto"/>
      </w:pBdr>
      <w:shd w:val="clear" w:color="000000" w:fill="FFFFFF"/>
      <w:spacing w:before="100" w:beforeAutospacing="1" w:after="100" w:afterAutospacing="1"/>
      <w:jc w:val="center"/>
    </w:pPr>
    <w:rPr>
      <w:rFonts w:eastAsia="Times New Roman" w:cs="Times New Roman"/>
      <w:szCs w:val="24"/>
    </w:rPr>
  </w:style>
  <w:style w:type="paragraph" w:customStyle="1" w:styleId="xmsonormal">
    <w:name w:val="x_msonormal"/>
    <w:basedOn w:val="Normal"/>
    <w:rsid w:val="00247CBF"/>
    <w:pPr>
      <w:spacing w:before="100" w:beforeAutospacing="1" w:after="100" w:afterAutospacing="1"/>
      <w:jc w:val="left"/>
    </w:pPr>
    <w:rPr>
      <w:rFonts w:eastAsia="Times New Roman" w:cs="Times New Roman"/>
      <w:szCs w:val="24"/>
      <w:lang w:val="sr-Latn-RS" w:eastAsia="sr-Latn-RS"/>
    </w:rPr>
  </w:style>
  <w:style w:type="table" w:customStyle="1" w:styleId="TableGrid16">
    <w:name w:val="Table Grid16"/>
    <w:basedOn w:val="TableNormal"/>
    <w:next w:val="TableGrid"/>
    <w:uiPriority w:val="59"/>
    <w:rsid w:val="00247CBF"/>
    <w:pPr>
      <w:spacing w:after="0" w:line="240" w:lineRule="auto"/>
    </w:pPr>
    <w:rPr>
      <w:lang w:val="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247CBF"/>
    <w:pPr>
      <w:spacing w:after="0"/>
      <w:jc w:val="left"/>
    </w:pPr>
    <w:rPr>
      <w:rFonts w:ascii="Calibri" w:hAnsi="Calibri" w:cs="Times New Roman"/>
      <w:sz w:val="22"/>
      <w:lang w:val="sr-Latn-RS" w:eastAsia="sr-Latn-RS"/>
    </w:rPr>
  </w:style>
  <w:style w:type="character" w:customStyle="1" w:styleId="PlainTextChar">
    <w:name w:val="Plain Text Char"/>
    <w:basedOn w:val="DefaultParagraphFont"/>
    <w:link w:val="PlainText"/>
    <w:uiPriority w:val="99"/>
    <w:rsid w:val="00247CBF"/>
    <w:rPr>
      <w:rFonts w:ascii="Calibri" w:hAnsi="Calibri" w:cs="Times New Roman"/>
      <w:lang w:val="sr-Latn-RS" w:eastAsia="sr-Latn-RS"/>
    </w:rPr>
  </w:style>
  <w:style w:type="table" w:customStyle="1" w:styleId="TableGrid17">
    <w:name w:val="Table Grid17"/>
    <w:basedOn w:val="TableNormal"/>
    <w:next w:val="TableGrid"/>
    <w:uiPriority w:val="59"/>
    <w:rsid w:val="00247CBF"/>
    <w:pPr>
      <w:spacing w:after="0" w:line="240" w:lineRule="auto"/>
    </w:pPr>
    <w:rPr>
      <w:lang w:val="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rs">
    <w:name w:val="trs"/>
    <w:basedOn w:val="DefaultParagraphFont"/>
    <w:rsid w:val="004B7E54"/>
  </w:style>
  <w:style w:type="paragraph" w:customStyle="1" w:styleId="1tekst">
    <w:name w:val="1tekst"/>
    <w:basedOn w:val="Normal"/>
    <w:rsid w:val="00B753EF"/>
    <w:pPr>
      <w:spacing w:before="100" w:after="100"/>
      <w:ind w:firstLine="240"/>
    </w:pPr>
    <w:rPr>
      <w:rFonts w:eastAsia="Times New Roman" w:cs="Times New Roman"/>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120867">
      <w:bodyDiv w:val="1"/>
      <w:marLeft w:val="0"/>
      <w:marRight w:val="0"/>
      <w:marTop w:val="0"/>
      <w:marBottom w:val="0"/>
      <w:divBdr>
        <w:top w:val="none" w:sz="0" w:space="0" w:color="auto"/>
        <w:left w:val="none" w:sz="0" w:space="0" w:color="auto"/>
        <w:bottom w:val="none" w:sz="0" w:space="0" w:color="auto"/>
        <w:right w:val="none" w:sz="0" w:space="0" w:color="auto"/>
      </w:divBdr>
    </w:div>
    <w:div w:id="296376952">
      <w:bodyDiv w:val="1"/>
      <w:marLeft w:val="0"/>
      <w:marRight w:val="0"/>
      <w:marTop w:val="0"/>
      <w:marBottom w:val="0"/>
      <w:divBdr>
        <w:top w:val="none" w:sz="0" w:space="0" w:color="auto"/>
        <w:left w:val="none" w:sz="0" w:space="0" w:color="auto"/>
        <w:bottom w:val="none" w:sz="0" w:space="0" w:color="auto"/>
        <w:right w:val="none" w:sz="0" w:space="0" w:color="auto"/>
      </w:divBdr>
    </w:div>
    <w:div w:id="394011857">
      <w:bodyDiv w:val="1"/>
      <w:marLeft w:val="0"/>
      <w:marRight w:val="0"/>
      <w:marTop w:val="0"/>
      <w:marBottom w:val="0"/>
      <w:divBdr>
        <w:top w:val="none" w:sz="0" w:space="0" w:color="auto"/>
        <w:left w:val="none" w:sz="0" w:space="0" w:color="auto"/>
        <w:bottom w:val="none" w:sz="0" w:space="0" w:color="auto"/>
        <w:right w:val="none" w:sz="0" w:space="0" w:color="auto"/>
      </w:divBdr>
    </w:div>
    <w:div w:id="445580232">
      <w:bodyDiv w:val="1"/>
      <w:marLeft w:val="0"/>
      <w:marRight w:val="0"/>
      <w:marTop w:val="0"/>
      <w:marBottom w:val="0"/>
      <w:divBdr>
        <w:top w:val="none" w:sz="0" w:space="0" w:color="auto"/>
        <w:left w:val="none" w:sz="0" w:space="0" w:color="auto"/>
        <w:bottom w:val="none" w:sz="0" w:space="0" w:color="auto"/>
        <w:right w:val="none" w:sz="0" w:space="0" w:color="auto"/>
      </w:divBdr>
    </w:div>
    <w:div w:id="633944422">
      <w:bodyDiv w:val="1"/>
      <w:marLeft w:val="0"/>
      <w:marRight w:val="0"/>
      <w:marTop w:val="0"/>
      <w:marBottom w:val="0"/>
      <w:divBdr>
        <w:top w:val="none" w:sz="0" w:space="0" w:color="auto"/>
        <w:left w:val="none" w:sz="0" w:space="0" w:color="auto"/>
        <w:bottom w:val="none" w:sz="0" w:space="0" w:color="auto"/>
        <w:right w:val="none" w:sz="0" w:space="0" w:color="auto"/>
      </w:divBdr>
    </w:div>
    <w:div w:id="713778305">
      <w:bodyDiv w:val="1"/>
      <w:marLeft w:val="0"/>
      <w:marRight w:val="0"/>
      <w:marTop w:val="0"/>
      <w:marBottom w:val="0"/>
      <w:divBdr>
        <w:top w:val="none" w:sz="0" w:space="0" w:color="auto"/>
        <w:left w:val="none" w:sz="0" w:space="0" w:color="auto"/>
        <w:bottom w:val="none" w:sz="0" w:space="0" w:color="auto"/>
        <w:right w:val="none" w:sz="0" w:space="0" w:color="auto"/>
      </w:divBdr>
    </w:div>
    <w:div w:id="748312666">
      <w:bodyDiv w:val="1"/>
      <w:marLeft w:val="0"/>
      <w:marRight w:val="0"/>
      <w:marTop w:val="0"/>
      <w:marBottom w:val="0"/>
      <w:divBdr>
        <w:top w:val="none" w:sz="0" w:space="0" w:color="auto"/>
        <w:left w:val="none" w:sz="0" w:space="0" w:color="auto"/>
        <w:bottom w:val="none" w:sz="0" w:space="0" w:color="auto"/>
        <w:right w:val="none" w:sz="0" w:space="0" w:color="auto"/>
      </w:divBdr>
    </w:div>
    <w:div w:id="755639195">
      <w:bodyDiv w:val="1"/>
      <w:marLeft w:val="0"/>
      <w:marRight w:val="0"/>
      <w:marTop w:val="0"/>
      <w:marBottom w:val="0"/>
      <w:divBdr>
        <w:top w:val="none" w:sz="0" w:space="0" w:color="auto"/>
        <w:left w:val="none" w:sz="0" w:space="0" w:color="auto"/>
        <w:bottom w:val="none" w:sz="0" w:space="0" w:color="auto"/>
        <w:right w:val="none" w:sz="0" w:space="0" w:color="auto"/>
      </w:divBdr>
    </w:div>
    <w:div w:id="784886753">
      <w:bodyDiv w:val="1"/>
      <w:marLeft w:val="0"/>
      <w:marRight w:val="0"/>
      <w:marTop w:val="0"/>
      <w:marBottom w:val="0"/>
      <w:divBdr>
        <w:top w:val="none" w:sz="0" w:space="0" w:color="auto"/>
        <w:left w:val="none" w:sz="0" w:space="0" w:color="auto"/>
        <w:bottom w:val="none" w:sz="0" w:space="0" w:color="auto"/>
        <w:right w:val="none" w:sz="0" w:space="0" w:color="auto"/>
      </w:divBdr>
    </w:div>
    <w:div w:id="789710389">
      <w:bodyDiv w:val="1"/>
      <w:marLeft w:val="0"/>
      <w:marRight w:val="0"/>
      <w:marTop w:val="0"/>
      <w:marBottom w:val="0"/>
      <w:divBdr>
        <w:top w:val="none" w:sz="0" w:space="0" w:color="auto"/>
        <w:left w:val="none" w:sz="0" w:space="0" w:color="auto"/>
        <w:bottom w:val="none" w:sz="0" w:space="0" w:color="auto"/>
        <w:right w:val="none" w:sz="0" w:space="0" w:color="auto"/>
      </w:divBdr>
    </w:div>
    <w:div w:id="901065476">
      <w:bodyDiv w:val="1"/>
      <w:marLeft w:val="0"/>
      <w:marRight w:val="0"/>
      <w:marTop w:val="0"/>
      <w:marBottom w:val="0"/>
      <w:divBdr>
        <w:top w:val="none" w:sz="0" w:space="0" w:color="auto"/>
        <w:left w:val="none" w:sz="0" w:space="0" w:color="auto"/>
        <w:bottom w:val="none" w:sz="0" w:space="0" w:color="auto"/>
        <w:right w:val="none" w:sz="0" w:space="0" w:color="auto"/>
      </w:divBdr>
    </w:div>
    <w:div w:id="940336245">
      <w:bodyDiv w:val="1"/>
      <w:marLeft w:val="0"/>
      <w:marRight w:val="0"/>
      <w:marTop w:val="0"/>
      <w:marBottom w:val="0"/>
      <w:divBdr>
        <w:top w:val="none" w:sz="0" w:space="0" w:color="auto"/>
        <w:left w:val="none" w:sz="0" w:space="0" w:color="auto"/>
        <w:bottom w:val="none" w:sz="0" w:space="0" w:color="auto"/>
        <w:right w:val="none" w:sz="0" w:space="0" w:color="auto"/>
      </w:divBdr>
    </w:div>
    <w:div w:id="1100565709">
      <w:bodyDiv w:val="1"/>
      <w:marLeft w:val="0"/>
      <w:marRight w:val="0"/>
      <w:marTop w:val="0"/>
      <w:marBottom w:val="0"/>
      <w:divBdr>
        <w:top w:val="none" w:sz="0" w:space="0" w:color="auto"/>
        <w:left w:val="none" w:sz="0" w:space="0" w:color="auto"/>
        <w:bottom w:val="none" w:sz="0" w:space="0" w:color="auto"/>
        <w:right w:val="none" w:sz="0" w:space="0" w:color="auto"/>
      </w:divBdr>
    </w:div>
    <w:div w:id="1133912441">
      <w:bodyDiv w:val="1"/>
      <w:marLeft w:val="0"/>
      <w:marRight w:val="0"/>
      <w:marTop w:val="0"/>
      <w:marBottom w:val="0"/>
      <w:divBdr>
        <w:top w:val="none" w:sz="0" w:space="0" w:color="auto"/>
        <w:left w:val="none" w:sz="0" w:space="0" w:color="auto"/>
        <w:bottom w:val="none" w:sz="0" w:space="0" w:color="auto"/>
        <w:right w:val="none" w:sz="0" w:space="0" w:color="auto"/>
      </w:divBdr>
    </w:div>
    <w:div w:id="1144783239">
      <w:bodyDiv w:val="1"/>
      <w:marLeft w:val="0"/>
      <w:marRight w:val="0"/>
      <w:marTop w:val="0"/>
      <w:marBottom w:val="0"/>
      <w:divBdr>
        <w:top w:val="none" w:sz="0" w:space="0" w:color="auto"/>
        <w:left w:val="none" w:sz="0" w:space="0" w:color="auto"/>
        <w:bottom w:val="none" w:sz="0" w:space="0" w:color="auto"/>
        <w:right w:val="none" w:sz="0" w:space="0" w:color="auto"/>
      </w:divBdr>
    </w:div>
    <w:div w:id="1223179149">
      <w:bodyDiv w:val="1"/>
      <w:marLeft w:val="0"/>
      <w:marRight w:val="0"/>
      <w:marTop w:val="0"/>
      <w:marBottom w:val="0"/>
      <w:divBdr>
        <w:top w:val="none" w:sz="0" w:space="0" w:color="auto"/>
        <w:left w:val="none" w:sz="0" w:space="0" w:color="auto"/>
        <w:bottom w:val="none" w:sz="0" w:space="0" w:color="auto"/>
        <w:right w:val="none" w:sz="0" w:space="0" w:color="auto"/>
      </w:divBdr>
    </w:div>
    <w:div w:id="1225291488">
      <w:bodyDiv w:val="1"/>
      <w:marLeft w:val="0"/>
      <w:marRight w:val="0"/>
      <w:marTop w:val="0"/>
      <w:marBottom w:val="0"/>
      <w:divBdr>
        <w:top w:val="none" w:sz="0" w:space="0" w:color="auto"/>
        <w:left w:val="none" w:sz="0" w:space="0" w:color="auto"/>
        <w:bottom w:val="none" w:sz="0" w:space="0" w:color="auto"/>
        <w:right w:val="none" w:sz="0" w:space="0" w:color="auto"/>
      </w:divBdr>
    </w:div>
    <w:div w:id="1291940089">
      <w:bodyDiv w:val="1"/>
      <w:marLeft w:val="0"/>
      <w:marRight w:val="0"/>
      <w:marTop w:val="0"/>
      <w:marBottom w:val="0"/>
      <w:divBdr>
        <w:top w:val="none" w:sz="0" w:space="0" w:color="auto"/>
        <w:left w:val="none" w:sz="0" w:space="0" w:color="auto"/>
        <w:bottom w:val="none" w:sz="0" w:space="0" w:color="auto"/>
        <w:right w:val="none" w:sz="0" w:space="0" w:color="auto"/>
      </w:divBdr>
      <w:divsChild>
        <w:div w:id="627316389">
          <w:marLeft w:val="173"/>
          <w:marRight w:val="0"/>
          <w:marTop w:val="0"/>
          <w:marBottom w:val="60"/>
          <w:divBdr>
            <w:top w:val="none" w:sz="0" w:space="0" w:color="auto"/>
            <w:left w:val="none" w:sz="0" w:space="0" w:color="auto"/>
            <w:bottom w:val="none" w:sz="0" w:space="0" w:color="auto"/>
            <w:right w:val="none" w:sz="0" w:space="0" w:color="auto"/>
          </w:divBdr>
        </w:div>
      </w:divsChild>
    </w:div>
    <w:div w:id="1415592691">
      <w:bodyDiv w:val="1"/>
      <w:marLeft w:val="0"/>
      <w:marRight w:val="0"/>
      <w:marTop w:val="0"/>
      <w:marBottom w:val="0"/>
      <w:divBdr>
        <w:top w:val="none" w:sz="0" w:space="0" w:color="auto"/>
        <w:left w:val="none" w:sz="0" w:space="0" w:color="auto"/>
        <w:bottom w:val="none" w:sz="0" w:space="0" w:color="auto"/>
        <w:right w:val="none" w:sz="0" w:space="0" w:color="auto"/>
      </w:divBdr>
    </w:div>
    <w:div w:id="1427579194">
      <w:bodyDiv w:val="1"/>
      <w:marLeft w:val="0"/>
      <w:marRight w:val="0"/>
      <w:marTop w:val="0"/>
      <w:marBottom w:val="0"/>
      <w:divBdr>
        <w:top w:val="none" w:sz="0" w:space="0" w:color="auto"/>
        <w:left w:val="none" w:sz="0" w:space="0" w:color="auto"/>
        <w:bottom w:val="none" w:sz="0" w:space="0" w:color="auto"/>
        <w:right w:val="none" w:sz="0" w:space="0" w:color="auto"/>
      </w:divBdr>
    </w:div>
    <w:div w:id="1432118195">
      <w:bodyDiv w:val="1"/>
      <w:marLeft w:val="0"/>
      <w:marRight w:val="0"/>
      <w:marTop w:val="0"/>
      <w:marBottom w:val="0"/>
      <w:divBdr>
        <w:top w:val="none" w:sz="0" w:space="0" w:color="auto"/>
        <w:left w:val="none" w:sz="0" w:space="0" w:color="auto"/>
        <w:bottom w:val="none" w:sz="0" w:space="0" w:color="auto"/>
        <w:right w:val="none" w:sz="0" w:space="0" w:color="auto"/>
      </w:divBdr>
    </w:div>
    <w:div w:id="1449082154">
      <w:bodyDiv w:val="1"/>
      <w:marLeft w:val="0"/>
      <w:marRight w:val="0"/>
      <w:marTop w:val="0"/>
      <w:marBottom w:val="0"/>
      <w:divBdr>
        <w:top w:val="none" w:sz="0" w:space="0" w:color="auto"/>
        <w:left w:val="none" w:sz="0" w:space="0" w:color="auto"/>
        <w:bottom w:val="none" w:sz="0" w:space="0" w:color="auto"/>
        <w:right w:val="none" w:sz="0" w:space="0" w:color="auto"/>
      </w:divBdr>
    </w:div>
    <w:div w:id="1561137472">
      <w:bodyDiv w:val="1"/>
      <w:marLeft w:val="0"/>
      <w:marRight w:val="0"/>
      <w:marTop w:val="0"/>
      <w:marBottom w:val="0"/>
      <w:divBdr>
        <w:top w:val="none" w:sz="0" w:space="0" w:color="auto"/>
        <w:left w:val="none" w:sz="0" w:space="0" w:color="auto"/>
        <w:bottom w:val="none" w:sz="0" w:space="0" w:color="auto"/>
        <w:right w:val="none" w:sz="0" w:space="0" w:color="auto"/>
      </w:divBdr>
    </w:div>
    <w:div w:id="1566137578">
      <w:bodyDiv w:val="1"/>
      <w:marLeft w:val="0"/>
      <w:marRight w:val="0"/>
      <w:marTop w:val="0"/>
      <w:marBottom w:val="0"/>
      <w:divBdr>
        <w:top w:val="none" w:sz="0" w:space="0" w:color="auto"/>
        <w:left w:val="none" w:sz="0" w:space="0" w:color="auto"/>
        <w:bottom w:val="none" w:sz="0" w:space="0" w:color="auto"/>
        <w:right w:val="none" w:sz="0" w:space="0" w:color="auto"/>
      </w:divBdr>
    </w:div>
    <w:div w:id="1610233359">
      <w:bodyDiv w:val="1"/>
      <w:marLeft w:val="0"/>
      <w:marRight w:val="0"/>
      <w:marTop w:val="0"/>
      <w:marBottom w:val="0"/>
      <w:divBdr>
        <w:top w:val="none" w:sz="0" w:space="0" w:color="auto"/>
        <w:left w:val="none" w:sz="0" w:space="0" w:color="auto"/>
        <w:bottom w:val="none" w:sz="0" w:space="0" w:color="auto"/>
        <w:right w:val="none" w:sz="0" w:space="0" w:color="auto"/>
      </w:divBdr>
    </w:div>
    <w:div w:id="1646158595">
      <w:bodyDiv w:val="1"/>
      <w:marLeft w:val="0"/>
      <w:marRight w:val="0"/>
      <w:marTop w:val="0"/>
      <w:marBottom w:val="0"/>
      <w:divBdr>
        <w:top w:val="none" w:sz="0" w:space="0" w:color="auto"/>
        <w:left w:val="none" w:sz="0" w:space="0" w:color="auto"/>
        <w:bottom w:val="none" w:sz="0" w:space="0" w:color="auto"/>
        <w:right w:val="none" w:sz="0" w:space="0" w:color="auto"/>
      </w:divBdr>
    </w:div>
    <w:div w:id="1663124367">
      <w:bodyDiv w:val="1"/>
      <w:marLeft w:val="0"/>
      <w:marRight w:val="0"/>
      <w:marTop w:val="0"/>
      <w:marBottom w:val="0"/>
      <w:divBdr>
        <w:top w:val="none" w:sz="0" w:space="0" w:color="auto"/>
        <w:left w:val="none" w:sz="0" w:space="0" w:color="auto"/>
        <w:bottom w:val="none" w:sz="0" w:space="0" w:color="auto"/>
        <w:right w:val="none" w:sz="0" w:space="0" w:color="auto"/>
      </w:divBdr>
    </w:div>
    <w:div w:id="1713504870">
      <w:bodyDiv w:val="1"/>
      <w:marLeft w:val="0"/>
      <w:marRight w:val="0"/>
      <w:marTop w:val="0"/>
      <w:marBottom w:val="0"/>
      <w:divBdr>
        <w:top w:val="none" w:sz="0" w:space="0" w:color="auto"/>
        <w:left w:val="none" w:sz="0" w:space="0" w:color="auto"/>
        <w:bottom w:val="none" w:sz="0" w:space="0" w:color="auto"/>
        <w:right w:val="none" w:sz="0" w:space="0" w:color="auto"/>
      </w:divBdr>
    </w:div>
    <w:div w:id="18457020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5.xml"/><Relationship Id="rId26" Type="http://schemas.openxmlformats.org/officeDocument/2006/relationships/chart" Target="charts/chart13.xml"/><Relationship Id="rId39" Type="http://schemas.openxmlformats.org/officeDocument/2006/relationships/hyperlink" Target="http://we2.cekos.com/ce/index.xhtml?&amp;action=propis&amp;file=12618001.html&amp;path=12618001.html&amp;queries=likvidacija&amp;mark=false&amp;searchType=1&amp;regulationType=1&amp;domain=0&amp;myFavorites=false&amp;dateFrom=&amp;dateTo=&amp;groups=0-%40-0-%40--%40--%40-0-%40-0&amp;regExpToMark=" TargetMode="External"/><Relationship Id="rId21" Type="http://schemas.openxmlformats.org/officeDocument/2006/relationships/chart" Target="charts/chart8.xml"/><Relationship Id="rId34" Type="http://schemas.openxmlformats.org/officeDocument/2006/relationships/hyperlink" Target="http://we2.cekos.com/ce/index.xhtml?&amp;action=propis&amp;file=13497701.html&amp;path=13497701.html&amp;queries=zakon+o+poreskom+postupku&amp;mark=false&amp;searchType=1&amp;regulationType=1&amp;domain=0&amp;myFavorites=false&amp;dateFrom=&amp;dateTo=&amp;groups=0-%40-0-%40--%40--%40-0-%40-0&amp;regExpToMark=" TargetMode="External"/><Relationship Id="rId42" Type="http://schemas.openxmlformats.org/officeDocument/2006/relationships/hyperlink" Target="https://rap.euprava.gov.rs/privreda/home" TargetMode="External"/><Relationship Id="rId47" Type="http://schemas.openxmlformats.org/officeDocument/2006/relationships/hyperlink" Target="file:///C:\Users\svetlana.aksentijevi\AppData\Local\Microsoft\Windows\INetCache\Content.MSO\1D05A8A2.xlsx" TargetMode="External"/><Relationship Id="rId50" Type="http://schemas.openxmlformats.org/officeDocument/2006/relationships/hyperlink" Target="file:///C:\Users\svetlana.aksentijevi\AppData\Local\Microsoft\Windows\INetCache\Content.MSO\1D05A8A2.xlsx" TargetMode="External"/><Relationship Id="rId55" Type="http://schemas.openxmlformats.org/officeDocument/2006/relationships/hyperlink" Target="file:///C:\Users\svetlana.aksentijevi\AppData\Local\Microsoft\Windows\INetCache\Content.MSO\1D05A8A2.xlsx" TargetMode="External"/><Relationship Id="rId7" Type="http://schemas.openxmlformats.org/officeDocument/2006/relationships/endnotes" Target="endnotes.xml"/><Relationship Id="rId2" Type="http://schemas.openxmlformats.org/officeDocument/2006/relationships/numbering" Target="numbering.xml"/><Relationship Id="rId29" Type="http://schemas.openxmlformats.org/officeDocument/2006/relationships/image" Target="media/image2.png"/><Relationship Id="rId11" Type="http://schemas.openxmlformats.org/officeDocument/2006/relationships/chart" Target="charts/chart3.xml"/><Relationship Id="rId24" Type="http://schemas.openxmlformats.org/officeDocument/2006/relationships/chart" Target="charts/chart11.xml"/><Relationship Id="rId32" Type="http://schemas.openxmlformats.org/officeDocument/2006/relationships/hyperlink" Target="http://we2.cekos.com/ce/index.xhtml?&amp;action=propis&amp;file=10368101.html&amp;path=10368101.html&amp;queries=zakon+o+poreskom+postupku&amp;mark=false&amp;searchType=1&amp;regulationType=1&amp;domain=0&amp;myFavorites=false&amp;dateFrom=&amp;dateTo=&amp;groups=0-%40-0-%40--%40--%40-0-%40-0&amp;regExpToMark=" TargetMode="External"/><Relationship Id="rId37" Type="http://schemas.openxmlformats.org/officeDocument/2006/relationships/hyperlink" Target="http://we2.cekos.com/ce/index.xhtml?&amp;action=propis&amp;file=16175301.html&amp;path=16175301.html&amp;queries=zakon+o+poreskom+postupku&amp;mark=false&amp;searchType=1&amp;regulationType=1&amp;domain=0&amp;myFavorites=false&amp;dateFrom=&amp;dateTo=&amp;groups=0-%40-0-%40--%40--%40-0-%40-0&amp;regExpToMark=" TargetMode="External"/><Relationship Id="rId40" Type="http://schemas.openxmlformats.org/officeDocument/2006/relationships/hyperlink" Target="http://we2.cekos.com/ce/index.xhtml?&amp;action=propis&amp;file=14553201.html&amp;path=14553201.html&amp;queries=likvidacija&amp;mark=false&amp;searchType=1&amp;regulationType=1&amp;domain=0&amp;myFavorites=false&amp;dateFrom=&amp;dateTo=&amp;groups=0-%40-0-%40--%40--%40-0-%40-0&amp;regExpToMark=" TargetMode="External"/><Relationship Id="rId45" Type="http://schemas.openxmlformats.org/officeDocument/2006/relationships/footer" Target="footer1.xml"/><Relationship Id="rId53" Type="http://schemas.openxmlformats.org/officeDocument/2006/relationships/hyperlink" Target="file:///C:\Users\svetlana.aksentijevi\AppData\Local\Microsoft\Windows\INetCache\Content.MSO\1D05A8A2.xlsx" TargetMode="External"/><Relationship Id="rId58" Type="http://schemas.openxmlformats.org/officeDocument/2006/relationships/footer" Target="footer3.xml"/><Relationship Id="rId5" Type="http://schemas.openxmlformats.org/officeDocument/2006/relationships/webSettings" Target="webSettings.xml"/><Relationship Id="rId10" Type="http://schemas.openxmlformats.org/officeDocument/2006/relationships/chart" Target="charts/chart2.xml"/><Relationship Id="rId19" Type="http://schemas.openxmlformats.org/officeDocument/2006/relationships/image" Target="media/image1.gif"/><Relationship Id="rId31" Type="http://schemas.openxmlformats.org/officeDocument/2006/relationships/hyperlink" Target="http://we2.cekos.com/ce/index.xhtml?&amp;action=propis&amp;file=08550701.html&amp;path=08550701.html&amp;queries=zakon+o+poreskom+postupku&amp;mark=false&amp;searchType=1&amp;regulationType=1&amp;domain=0&amp;myFavorites=false&amp;dateFrom=&amp;dateTo=&amp;groups=0-%40-0-%40--%40--%40-0-%40-0&amp;regExpToMark=" TargetMode="External"/><Relationship Id="rId44" Type="http://schemas.openxmlformats.org/officeDocument/2006/relationships/hyperlink" Target="https://opendata.mpn.gov.rs/" TargetMode="External"/><Relationship Id="rId52" Type="http://schemas.openxmlformats.org/officeDocument/2006/relationships/hyperlink" Target="file:///C:\Users\svetlana.aksentijevi\AppData\Local\Microsoft\Windows\INetCache\Content.MSO\1D05A8A2.xlsx" TargetMode="External"/><Relationship Id="rId6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chart" Target="charts/chart6.xml"/><Relationship Id="rId22" Type="http://schemas.openxmlformats.org/officeDocument/2006/relationships/chart" Target="charts/chart9.xml"/><Relationship Id="rId27" Type="http://schemas.openxmlformats.org/officeDocument/2006/relationships/chart" Target="charts/chart14.xml"/><Relationship Id="rId30" Type="http://schemas.openxmlformats.org/officeDocument/2006/relationships/hyperlink" Target="http://we2.cekos.com/ce/index.xhtml?&amp;action=propis&amp;file=08204501.html&amp;path=08204501.html&amp;queries=zakon+o+poreskom+postupku&amp;mark=false&amp;searchType=1&amp;regulationType=1&amp;domain=0&amp;myFavorites=false&amp;dateFrom=&amp;dateTo=&amp;groups=0-%40-0-%40--%40--%40-0-%40-0&amp;regExpToMark=" TargetMode="External"/><Relationship Id="rId35" Type="http://schemas.openxmlformats.org/officeDocument/2006/relationships/hyperlink" Target="http://we2.cekos.com/ce/index.xhtml?&amp;action=propis&amp;file=13903001.html&amp;path=13903001.html&amp;queries=zakon+o+poreskom+postupku&amp;mark=false&amp;searchType=1&amp;regulationType=1&amp;domain=0&amp;myFavorites=false&amp;dateFrom=&amp;dateTo=&amp;groups=0-%40-0-%40--%40--%40-0-%40-0&amp;regExpToMark=" TargetMode="External"/><Relationship Id="rId43" Type="http://schemas.openxmlformats.org/officeDocument/2006/relationships/hyperlink" Target="https://gqii.org" TargetMode="External"/><Relationship Id="rId48" Type="http://schemas.openxmlformats.org/officeDocument/2006/relationships/hyperlink" Target="file:///C:\Users\svetlana.aksentijevi\AppData\Local\Microsoft\Windows\INetCache\Content.MSO\1D05A8A2.xlsx" TargetMode="External"/><Relationship Id="rId56" Type="http://schemas.openxmlformats.org/officeDocument/2006/relationships/hyperlink" Target="file:///C:\Users\svetlana.aksentijevi\AppData\Local\Microsoft\Windows\INetCache\Content.MSO\1D05A8A2.xlsx" TargetMode="External"/><Relationship Id="rId8" Type="http://schemas.openxmlformats.org/officeDocument/2006/relationships/hyperlink" Target="http://www.kkdp.gov.rs" TargetMode="External"/><Relationship Id="rId51" Type="http://schemas.openxmlformats.org/officeDocument/2006/relationships/hyperlink" Target="file:///C:\Users\svetlana.aksentijevi\AppData\Local\Microsoft\Windows\INetCache\Content.MSO\1D05A8A2.xlsx" TargetMode="External"/><Relationship Id="rId3" Type="http://schemas.openxmlformats.org/officeDocument/2006/relationships/styles" Target="styles.xml"/><Relationship Id="rId12" Type="http://schemas.openxmlformats.org/officeDocument/2006/relationships/chart" Target="charts/chart4.xml"/><Relationship Id="rId25" Type="http://schemas.openxmlformats.org/officeDocument/2006/relationships/chart" Target="charts/chart12.xml"/><Relationship Id="rId33" Type="http://schemas.openxmlformats.org/officeDocument/2006/relationships/hyperlink" Target="http://we2.cekos.com/ce/index.xhtml?&amp;action=propis&amp;file=10695301.html&amp;path=10695301.html&amp;queries=zakon+o+poreskom+postupku&amp;mark=false&amp;searchType=1&amp;regulationType=1&amp;domain=0&amp;myFavorites=false&amp;dateFrom=&amp;dateTo=&amp;groups=0-%40-0-%40--%40--%40-0-%40-0&amp;regExpToMark=" TargetMode="External"/><Relationship Id="rId38" Type="http://schemas.openxmlformats.org/officeDocument/2006/relationships/hyperlink" Target="http://we2.cekos.com/ce/index.xhtml?&amp;action=propis&amp;file=10878001.html&amp;path=10878001.html&amp;queries=likvidacija&amp;mark=false&amp;searchType=1&amp;regulationType=1&amp;domain=0&amp;myFavorites=false&amp;dateFrom=&amp;dateTo=&amp;groups=0-%40-0-%40--%40--%40-0-%40-0&amp;regExpToMark=" TargetMode="External"/><Relationship Id="rId46" Type="http://schemas.openxmlformats.org/officeDocument/2006/relationships/footer" Target="footer2.xml"/><Relationship Id="rId59" Type="http://schemas.openxmlformats.org/officeDocument/2006/relationships/fontTable" Target="fontTable.xml"/><Relationship Id="rId20" Type="http://schemas.openxmlformats.org/officeDocument/2006/relationships/chart" Target="charts/chart7.xml"/><Relationship Id="rId41" Type="http://schemas.openxmlformats.org/officeDocument/2006/relationships/chart" Target="charts/chart15.xml"/><Relationship Id="rId54" Type="http://schemas.openxmlformats.org/officeDocument/2006/relationships/hyperlink" Target="file:///C:\Users\svetlana.aksentijevi\AppData\Local\Microsoft\Windows\INetCache\Content.MSO\1D05A8A2.xlsx"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chart" Target="charts/chart10.xml"/><Relationship Id="rId28" Type="http://schemas.openxmlformats.org/officeDocument/2006/relationships/image" Target="media/image1.png"/><Relationship Id="rId36" Type="http://schemas.openxmlformats.org/officeDocument/2006/relationships/hyperlink" Target="http://we2.cekos.com/ce/index.xhtml?&amp;action=propis&amp;file=14720901.html&amp;path=14720901.html&amp;queries=zakon+o+poreskom+postupku&amp;mark=false&amp;searchType=1&amp;regulationType=1&amp;domain=0&amp;myFavorites=false&amp;dateFrom=&amp;dateTo=&amp;groups=0-%40-0-%40--%40--%40-0-%40-0&amp;regExpToMark=" TargetMode="External"/><Relationship Id="rId49" Type="http://schemas.openxmlformats.org/officeDocument/2006/relationships/hyperlink" Target="file:///C:\Users\svetlana.aksentijevi\AppData\Local\Microsoft\Windows\INetCache\Content.MSO\1D05A8A2.xlsx" TargetMode="External"/><Relationship Id="rId57" Type="http://schemas.openxmlformats.org/officeDocument/2006/relationships/hyperlink" Target="file:///C:\Users\svetlana.aksentijevi\AppData\Local\Microsoft\Windows\INetCache\Content.MSO\1D05A8A2.xlsx" TargetMode="External"/></Relationships>
</file>

<file path=word/_rels/footnotes.xml.rels><?xml version="1.0" encoding="UTF-8" standalone="yes"?>
<Relationships xmlns="http://schemas.openxmlformats.org/package/2006/relationships"><Relationship Id="rId26" Type="http://schemas.openxmlformats.org/officeDocument/2006/relationships/hyperlink" Target="https://ec.europa.eu/commission/presscorner/detail/en/ip_22_5989" TargetMode="External"/><Relationship Id="rId117" Type="http://schemas.openxmlformats.org/officeDocument/2006/relationships/hyperlink" Target="https://www.rfzo.rs/index.php/osiguranalica/listecekanja/lc-dnevni-presek%20/" TargetMode="External"/><Relationship Id="rId21" Type="http://schemas.openxmlformats.org/officeDocument/2006/relationships/hyperlink" Target="https://publikacije.stat.gov.rs/G2022/Pdf/G20225682.pdf" TargetMode="External"/><Relationship Id="rId42" Type="http://schemas.openxmlformats.org/officeDocument/2006/relationships/hyperlink" Target="https://www.mfin.gov.rs//upload/media/iSlSql_62612e2c1ea88.pdf" TargetMode="External"/><Relationship Id="rId47" Type="http://schemas.openxmlformats.org/officeDocument/2006/relationships/hyperlink" Target="https://ec.europa.eu/eurostat/databrowser/view/cei_pc032/default/table?lang=en" TargetMode="External"/><Relationship Id="rId63" Type="http://schemas.openxmlformats.org/officeDocument/2006/relationships/hyperlink" Target="https://www.stat.gov.rs/sr-latn/vesti/20220715-spoljnotrgovinska-robna-razmena-konacni-podaci-2021/" TargetMode="External"/><Relationship Id="rId68" Type="http://schemas.openxmlformats.org/officeDocument/2006/relationships/hyperlink" Target="https://www.stat.gov.rs/sr-latn/vesti/20220715-spoljnotrgovinska-robna-razmena-konacni-podaci-2021/" TargetMode="External"/><Relationship Id="rId84" Type="http://schemas.openxmlformats.org/officeDocument/2006/relationships/hyperlink" Target="https://publikacije.stat.gov.rs/G2019/Pdf/G201922002.pdf" TargetMode="External"/><Relationship Id="rId89" Type="http://schemas.openxmlformats.org/officeDocument/2006/relationships/hyperlink" Target="https://nbs.rs/sr_RS/drugi-nivo-navigacije/statistika/platni_bilans/" TargetMode="External"/><Relationship Id="rId112" Type="http://schemas.openxmlformats.org/officeDocument/2006/relationships/hyperlink" Target="http://we2.cekos.com/ce/index.xhtml?&amp;file=f159023&amp;action=propis&amp;path=15902301.html&amp;domain=0&amp;mark=false&amp;queries=&amp;searchType=1&amp;regulationType=1&amp;domain=0&amp;myFavorites=false&amp;dateFrom=&amp;dateTo=&amp;groups=-%40--%40--%40--%40--%40-" TargetMode="External"/><Relationship Id="rId16" Type="http://schemas.openxmlformats.org/officeDocument/2006/relationships/hyperlink" Target="https://www.stat.gov.rs/media/5806/zim-u-rs-2020_webopt.pdf" TargetMode="External"/><Relationship Id="rId107" Type="http://schemas.openxmlformats.org/officeDocument/2006/relationships/hyperlink" Target="http://we2.cekos.com/ce/index.xhtml?&amp;file=f147783&amp;action=propis&amp;path=14778301.html&amp;domain=0&amp;mark=false&amp;queries=&amp;searchType=1&amp;regulationType=1&amp;domain=0&amp;myFavorites=false&amp;dateFrom=&amp;dateTo=&amp;groups=-%40--%40--%40--%40--%40-" TargetMode="External"/><Relationship Id="rId11" Type="http://schemas.openxmlformats.org/officeDocument/2006/relationships/hyperlink" Target="https://mtt.gov.rs/extfile/sr/36972/KUPOVNA%20MOC%20maj%2020221.pdf" TargetMode="External"/><Relationship Id="rId32" Type="http://schemas.openxmlformats.org/officeDocument/2006/relationships/hyperlink" Target="https://data.stat.gov.rs/Home/Result/SDGUN070201?languageCode=sr-Cyrl" TargetMode="External"/><Relationship Id="rId37" Type="http://schemas.openxmlformats.org/officeDocument/2006/relationships/hyperlink" Target="https://ec.europa.eu/eurostat/databrowser/view/nrg_pc_204/default/table?lang=en" TargetMode="External"/><Relationship Id="rId53" Type="http://schemas.openxmlformats.org/officeDocument/2006/relationships/hyperlink" Target="https://networkreadinessindex.org/wp-content/uploads/reports/serbia.pdf" TargetMode="External"/><Relationship Id="rId58" Type="http://schemas.openxmlformats.org/officeDocument/2006/relationships/hyperlink" Target="https://data.stat.gov.rs/Home/Result/100109?languageCode=sr-Cyrl" TargetMode="External"/><Relationship Id="rId74" Type="http://schemas.openxmlformats.org/officeDocument/2006/relationships/hyperlink" Target="https://publikacije.stat.gov.rs/G2022/Pdf/G20221177.pdf" TargetMode="External"/><Relationship Id="rId79" Type="http://schemas.openxmlformats.org/officeDocument/2006/relationships/hyperlink" Target="https://publikacije.stat.gov.rs/G2019/Pdf/G20196002.pdf" TargetMode="External"/><Relationship Id="rId102" Type="http://schemas.openxmlformats.org/officeDocument/2006/relationships/hyperlink" Target="https://www.shanghairanking.com/rankings/arwu/2022" TargetMode="External"/><Relationship Id="rId5" Type="http://schemas.openxmlformats.org/officeDocument/2006/relationships/hyperlink" Target="https://www.minrzs.gov.rs/" TargetMode="External"/><Relationship Id="rId90" Type="http://schemas.openxmlformats.org/officeDocument/2006/relationships/hyperlink" Target="https://publikacije.stat.gov.rs/G2022/Html/G20221023.html" TargetMode="External"/><Relationship Id="rId95" Type="http://schemas.openxmlformats.org/officeDocument/2006/relationships/hyperlink" Target="https://mojasrbija.rs/wp/i-u-2021-godini-100-000-vaucera-za-odmor-u-srbiji/" TargetMode="External"/><Relationship Id="rId22" Type="http://schemas.openxmlformats.org/officeDocument/2006/relationships/hyperlink" Target="https://www.sezonskiradnici.gov.rs/" TargetMode="External"/><Relationship Id="rId27" Type="http://schemas.openxmlformats.org/officeDocument/2006/relationships/hyperlink" Target="https://www.aers.rs/Files/Izvestaji/Godisnji/Izvestaj%20Agencije%202021.pdf" TargetMode="External"/><Relationship Id="rId43" Type="http://schemas.openxmlformats.org/officeDocument/2006/relationships/hyperlink" Target="https://www.paragraf.rs/propisi/pravilnik-metodologiji-izradu-registra-izvora-zagadjivanja.html" TargetMode="External"/><Relationship Id="rId48" Type="http://schemas.openxmlformats.org/officeDocument/2006/relationships/hyperlink" Target="https://publikacije.stat.gov.rs/G2022/Pdf/G20225684.pdf" TargetMode="External"/><Relationship Id="rId64" Type="http://schemas.openxmlformats.org/officeDocument/2006/relationships/hyperlink" Target="https://www.stat.gov.rs/vesti/20220930-spoljnotrgovinska-robna-razmena-za-avgust-2022/" TargetMode="External"/><Relationship Id="rId69" Type="http://schemas.openxmlformats.org/officeDocument/2006/relationships/hyperlink" Target="https://www.putevi-srbije.rs/images/pdf/suiss/UISS_godisnji_izvestaj_2021.pdf" TargetMode="External"/><Relationship Id="rId113" Type="http://schemas.openxmlformats.org/officeDocument/2006/relationships/hyperlink" Target="http://we2.cekos.com/ce/index.xhtml?&amp;file=f159293&amp;action=propis&amp;path=15929301.html&amp;domain=0&amp;mark=false&amp;queries=&amp;searchType=1&amp;regulationType=1&amp;domain=0&amp;myFavorites=false&amp;dateFrom=&amp;dateTo=&amp;groups=-%40--%40--%40--%40--%40-" TargetMode="External"/><Relationship Id="rId118" Type="http://schemas.openxmlformats.org/officeDocument/2006/relationships/hyperlink" Target="https://optimizacijazdravstva.rs/izrada-masterplana" TargetMode="External"/><Relationship Id="rId80" Type="http://schemas.openxmlformats.org/officeDocument/2006/relationships/hyperlink" Target="https://naled.rs/htdocs/Files/01428/Komasacija-vodic-web.pdf" TargetMode="External"/><Relationship Id="rId85" Type="http://schemas.openxmlformats.org/officeDocument/2006/relationships/hyperlink" Target="http://www.minpolj.gov.rs/download/lista-sredstava-za-zastitu-bilja-na-osnovu-izdatih-resenja-o-registraciji-sredstava-za-zastitu-bilja/" TargetMode="External"/><Relationship Id="rId12" Type="http://schemas.openxmlformats.org/officeDocument/2006/relationships/hyperlink" Target="https://www.stat.gov.rs/media/343261/indeks_rodne_ravnopravnosti_u_rs_2021.pdf" TargetMode="External"/><Relationship Id="rId17" Type="http://schemas.openxmlformats.org/officeDocument/2006/relationships/hyperlink" Target="https://publikacije.stat.gov.rs/G2022/Html/G20221333.html" TargetMode="External"/><Relationship Id="rId33" Type="http://schemas.openxmlformats.org/officeDocument/2006/relationships/hyperlink" Target="https://www.aers.rs/Files/Izvestaji/Godisnji/Izvestaj%20Agencije%202021.pdf" TargetMode="External"/><Relationship Id="rId38" Type="http://schemas.openxmlformats.org/officeDocument/2006/relationships/hyperlink" Target="https://www.aers.rs/Files/Izvestaji/Godisnji/Izvestaj%20Agencije%202021.pdf" TargetMode="External"/><Relationship Id="rId59" Type="http://schemas.openxmlformats.org/officeDocument/2006/relationships/hyperlink" Target="https://ec.europa.eu/eurostat/databrowser/view/tsc00001/default/table?lang=en" TargetMode="External"/><Relationship Id="rId103" Type="http://schemas.openxmlformats.org/officeDocument/2006/relationships/hyperlink" Target="https://www.mfin.gov.rs//upload/media/XhuXUy_61ced86c7e83c.pdf" TargetMode="External"/><Relationship Id="rId108" Type="http://schemas.openxmlformats.org/officeDocument/2006/relationships/hyperlink" Target="http://we2.cekos.com/ce/index.xhtml?&amp;file=f148136&amp;action=propis&amp;path=14813601.html&amp;domain=0&amp;mark=false&amp;queries=&amp;searchType=1&amp;regulationType=1&amp;domain=0&amp;myFavorites=false&amp;dateFrom=&amp;dateTo=&amp;groups=-%40--%40--%40--%40--%40-" TargetMode="External"/><Relationship Id="rId54" Type="http://schemas.openxmlformats.org/officeDocument/2006/relationships/hyperlink" Target="https://naled.rs/projekti-startech-program-podrske-za-inovaciju-i-transformaciju-malih-i-srednjih-preduzeca-4697" TargetMode="External"/><Relationship Id="rId70" Type="http://schemas.openxmlformats.org/officeDocument/2006/relationships/hyperlink" Target="https://publikacije.stat.gov.rs/G2022/Pdf/G20221177.pdf" TargetMode="External"/><Relationship Id="rId75" Type="http://schemas.openxmlformats.org/officeDocument/2006/relationships/hyperlink" Target="https://publikacije.stat.gov.rs/G2022/Pdf/G20221071.pdf" TargetMode="External"/><Relationship Id="rId91" Type="http://schemas.openxmlformats.org/officeDocument/2006/relationships/hyperlink" Target="https://publikacije.stat.gov.rs/G2022/Html/G20221212.html" TargetMode="External"/><Relationship Id="rId96" Type="http://schemas.openxmlformats.org/officeDocument/2006/relationships/hyperlink" Target="https://nbs.rs/sr/ciljevi-i-funkcije/platni-sistem/statistika/" TargetMode="External"/><Relationship Id="rId1" Type="http://schemas.openxmlformats.org/officeDocument/2006/relationships/hyperlink" Target="https://www.mfin.gov.rs//upload/media/jzsbpL_601ab1585ca02.pdf" TargetMode="External"/><Relationship Id="rId6" Type="http://schemas.openxmlformats.org/officeDocument/2006/relationships/hyperlink" Target="https://emerging-europe.com/future-of-ee-awards/winners/" TargetMode="External"/><Relationship Id="rId23" Type="http://schemas.openxmlformats.org/officeDocument/2006/relationships/hyperlink" Target="https://www.mfin.gov.rs//upload/media/BERtr6_62308f091c3fc.pdf" TargetMode="External"/><Relationship Id="rId28" Type="http://schemas.openxmlformats.org/officeDocument/2006/relationships/hyperlink" Target="http://epsdistribucija.rs/pdf/GI_ODS_2021.pdf" TargetMode="External"/><Relationship Id="rId49" Type="http://schemas.openxmlformats.org/officeDocument/2006/relationships/hyperlink" Target="https://publikacije.stat.gov.rs/G2022/Pdf/G20221128.pdf" TargetMode="External"/><Relationship Id="rId114" Type="http://schemas.openxmlformats.org/officeDocument/2006/relationships/hyperlink" Target="http://we2.cekos.com/ce/index.xhtml?&amp;file=f160788&amp;action=propis&amp;path=16078801.html&amp;domain=0&amp;mark=false&amp;queries=&amp;searchType=1&amp;regulationType=1&amp;domain=0&amp;myFavorites=false&amp;dateFrom=&amp;dateTo=&amp;groups=-%40--%40--%40--%40--%40-" TargetMode="External"/><Relationship Id="rId10" Type="http://schemas.openxmlformats.org/officeDocument/2006/relationships/hyperlink" Target="https://www.mfin.gov.rs/dokumenti2/makroekonomski-i-fiskalni-podaci" TargetMode="External"/><Relationship Id="rId31" Type="http://schemas.openxmlformats.org/officeDocument/2006/relationships/hyperlink" Target="https://ec.europa.eu/eurostat/databrowser/view/t2020_rk210/default/table?lang=en" TargetMode="External"/><Relationship Id="rId44" Type="http://schemas.openxmlformats.org/officeDocument/2006/relationships/hyperlink" Target="https://publikacije.stat.gov.rs/G2022/Html/G20221262.html" TargetMode="External"/><Relationship Id="rId52" Type="http://schemas.openxmlformats.org/officeDocument/2006/relationships/hyperlink" Target="https://publikacije.stat.gov.rs/G2021/Pdf/G20211014.pdf" TargetMode="External"/><Relationship Id="rId60" Type="http://schemas.openxmlformats.org/officeDocument/2006/relationships/hyperlink" Target="http://www.inovacionifond.rs/cir/o-fondu/rezultati" TargetMode="External"/><Relationship Id="rId65" Type="http://schemas.openxmlformats.org/officeDocument/2006/relationships/hyperlink" Target="https://nbs.rs/sr_RS/drugi-nivo-navigacije/statistika" TargetMode="External"/><Relationship Id="rId73" Type="http://schemas.openxmlformats.org/officeDocument/2006/relationships/hyperlink" Target="https://www.raildir.gov.rs/doc/izvestaji/Izvestaj%20_o_regulisanju_trzista_zeleznickih_usluga_za_2021.pdf" TargetMode="External"/><Relationship Id="rId78" Type="http://schemas.openxmlformats.org/officeDocument/2006/relationships/hyperlink" Target="https://publikacije.stat.gov.rs/G2022/Pdf/G20221021.pdf" TargetMode="External"/><Relationship Id="rId81" Type="http://schemas.openxmlformats.org/officeDocument/2006/relationships/hyperlink" Target="https://nbs.rs/sr_RS/drugi-nivo-navigacije/statistika/platni_bilans/" TargetMode="External"/><Relationship Id="rId86" Type="http://schemas.openxmlformats.org/officeDocument/2006/relationships/hyperlink" Target="https://uzb.minpolj.gov.rs/wp-content/uploads/2022/07/Informator_UZB_junj2022.pdf" TargetMode="External"/><Relationship Id="rId94" Type="http://schemas.openxmlformats.org/officeDocument/2006/relationships/hyperlink" Target="https://nbs.rs/sr_RS/drugi-nivo-navigacije/statistika/platni_bilans/" TargetMode="External"/><Relationship Id="rId99" Type="http://schemas.openxmlformats.org/officeDocument/2006/relationships/hyperlink" Target="https://publikacije.stat.gov.rs/G2022/Pdf/G20221083.pdf" TargetMode="External"/><Relationship Id="rId101" Type="http://schemas.openxmlformats.org/officeDocument/2006/relationships/hyperlink" Target="https://publikacije.stat.gov.rs/G2022/Pdf/G20225683.pdf" TargetMode="External"/><Relationship Id="rId4" Type="http://schemas.openxmlformats.org/officeDocument/2006/relationships/hyperlink" Target="https://appsso.eurostat.ec.europa.eu/nui/show.do?dataset=trng_lfse_01&amp;lang=en" TargetMode="External"/><Relationship Id="rId9" Type="http://schemas.openxmlformats.org/officeDocument/2006/relationships/hyperlink" Target="https://www.mfin.gov.rs/dokumenti2/makroekonomski-i-fiskalni-podaci" TargetMode="External"/><Relationship Id="rId13" Type="http://schemas.openxmlformats.org/officeDocument/2006/relationships/hyperlink" Target="https://eige.europa.eu/gender-equality-index/2021" TargetMode="External"/><Relationship Id="rId18" Type="http://schemas.openxmlformats.org/officeDocument/2006/relationships/hyperlink" Target="https://rsjp.gov.rs/wp-content/uploads/Final-Public-Consultation-Manual-16-07-2020-for-publication-1.pdf" TargetMode="External"/><Relationship Id="rId39" Type="http://schemas.openxmlformats.org/officeDocument/2006/relationships/hyperlink" Target="https://www.aers.rs/Files/Izvestaji/Godisnji/Izvestaj%20Agencije%202021.pdf" TargetMode="External"/><Relationship Id="rId109" Type="http://schemas.openxmlformats.org/officeDocument/2006/relationships/hyperlink" Target="http://we2.cekos.com/ce/index.xhtml?&amp;file=f149505&amp;action=propis&amp;path=14950501.html&amp;domain=0&amp;mark=false&amp;queries=&amp;searchType=1&amp;regulationType=1&amp;domain=0&amp;myFavorites=false&amp;dateFrom=&amp;dateTo=&amp;groups=-%40--%40--%40--%40--%40-" TargetMode="External"/><Relationship Id="rId34" Type="http://schemas.openxmlformats.org/officeDocument/2006/relationships/hyperlink" Target="https://www.aers.rs/Files/Izvestaji/Godisnji/Izvestaj%20Agencije%202021.pdf" TargetMode="External"/><Relationship Id="rId50" Type="http://schemas.openxmlformats.org/officeDocument/2006/relationships/hyperlink" Target="https://publikacije.stat.gov.rs/G2022/Pdf/G20221097.pdf" TargetMode="External"/><Relationship Id="rId55" Type="http://schemas.openxmlformats.org/officeDocument/2006/relationships/hyperlink" Target="https://www.startech.org.rs/konkurs2022" TargetMode="External"/><Relationship Id="rId76" Type="http://schemas.openxmlformats.org/officeDocument/2006/relationships/hyperlink" Target="https://ini.aerodromisrbije.rs/statistika/" TargetMode="External"/><Relationship Id="rId97" Type="http://schemas.openxmlformats.org/officeDocument/2006/relationships/hyperlink" Target="https://mtt.gov.rs/extfile/sr/35580/%D0%98%D0%B7%D0%B2%D0%B5%D1%88%D1%82%D0%B0%D1%98%20%D0%BE%20%D1%80%D0%B0%D0%B4%D1%83%20%D0%9D%D0%B0%D1%86%D0%B8%D0%BE%D0%BD%D0%B0%D0%BB%D0%BD%D0%BE%D0%B3%20%D1%80%D0%B5%D0%B3%D0%B8%D1%81%D1%82%D1%80%D0%B0%20%D0%BF%D0%BE%D1%82%D1%80%D0%BE%D1%88%D0%B0%D1%87%D0%BA%D0%B8%D1%85%20%D0%BF%D1%80%D0%B8%D0%B3%D0%BE%D0%B2%D0%BE%D1%80%D0%B0%20%D0%B7%D0%B0%202021.%20%D0%B3%D0%BE%D0%B4%D0%B8%D0%BD%D1%83.pdf" TargetMode="External"/><Relationship Id="rId104" Type="http://schemas.openxmlformats.org/officeDocument/2006/relationships/hyperlink" Target="https://publikacije.stat.gov.rs/G2022/Pdf/G20221090.pdf" TargetMode="External"/><Relationship Id="rId7" Type="http://schemas.openxmlformats.org/officeDocument/2006/relationships/hyperlink" Target="https://ec.europa.eu/eurostat/web/products-datasets/-/tespm010" TargetMode="External"/><Relationship Id="rId71" Type="http://schemas.openxmlformats.org/officeDocument/2006/relationships/hyperlink" Target="https://publikacije.stat.gov.rs/G2022/Pdf/G20221153.pdf" TargetMode="External"/><Relationship Id="rId92" Type="http://schemas.openxmlformats.org/officeDocument/2006/relationships/hyperlink" Target="https://publikacije.stat.gov.rs/G2022/Pdf/G20221211.pdf" TargetMode="External"/><Relationship Id="rId2" Type="http://schemas.openxmlformats.org/officeDocument/2006/relationships/hyperlink" Target="https://pks.rs/strana/sekcija/dualno-obrazovanje-spisak-profila-u-dualnom-obrazovanju" TargetMode="External"/><Relationship Id="rId29" Type="http://schemas.openxmlformats.org/officeDocument/2006/relationships/hyperlink" Target="https://publikacije.stat.gov.rs/G2022/Html/G20221262.html" TargetMode="External"/><Relationship Id="rId24" Type="http://schemas.openxmlformats.org/officeDocument/2006/relationships/hyperlink" Target="https://publicadministration.un.org/en/Research/UN-e-Government-Surveys?_lrsc=01712f7d-dc30-4e6a-bff9-90f2c477df5a&amp;id=gx:2sm:3tw:4elevate:5awa:6oth" TargetMode="External"/><Relationship Id="rId40" Type="http://schemas.openxmlformats.org/officeDocument/2006/relationships/hyperlink" Target="https://www.aers.rs/Files/Izvestaji/Godisnji/Izvestaj%20Agencije%202021.pdf" TargetMode="External"/><Relationship Id="rId45" Type="http://schemas.openxmlformats.org/officeDocument/2006/relationships/hyperlink" Target="https://publikacije.stat.gov.rs/G2022/Html/G20221129.html" TargetMode="External"/><Relationship Id="rId66" Type="http://schemas.openxmlformats.org/officeDocument/2006/relationships/hyperlink" Target="https://publikacije.stat.gov.rs/G2022/Pdf/G20221272.pdf" TargetMode="External"/><Relationship Id="rId87" Type="http://schemas.openxmlformats.org/officeDocument/2006/relationships/hyperlink" Target="https://publikacije.stat.gov.rs/G2022/HtmlL/G20221025.html" TargetMode="External"/><Relationship Id="rId110" Type="http://schemas.openxmlformats.org/officeDocument/2006/relationships/hyperlink" Target="http://we2.cekos.com/ce/index.xhtml?&amp;file=f150820&amp;action=propis&amp;path=15082001.html&amp;domain=0&amp;mark=false&amp;queries=&amp;searchType=1&amp;regulationType=1&amp;domain=0&amp;myFavorites=false&amp;dateFrom=&amp;dateTo=&amp;groups=-%40--%40--%40--%40--%40-" TargetMode="External"/><Relationship Id="rId115" Type="http://schemas.openxmlformats.org/officeDocument/2006/relationships/hyperlink" Target="http://www.dunp.np.ac.rs/eng/wp-content/uploads/2022/publikacije/serija-b/2020vol3/br2/8.pdf" TargetMode="External"/><Relationship Id="rId61" Type="http://schemas.openxmlformats.org/officeDocument/2006/relationships/hyperlink" Target="https://data.stat.gov.rs/Home/Result/1005?languageCode=sr-Cyrl" TargetMode="External"/><Relationship Id="rId82" Type="http://schemas.openxmlformats.org/officeDocument/2006/relationships/hyperlink" Target="https://upz.minpolj.gov.rs/download/GIZ%20Uticaj%20IS%20za%20upravljanje%20poljoprivrednim%20zemljistem.pdf" TargetMode="External"/><Relationship Id="rId19" Type="http://schemas.openxmlformats.org/officeDocument/2006/relationships/hyperlink" Target="https://www.vk.sud.rs/sites/default/files/attachments/Publikacija%20srb_0.pdf" TargetMode="External"/><Relationship Id="rId14" Type="http://schemas.openxmlformats.org/officeDocument/2006/relationships/hyperlink" Target="https://www.stat.gov.rs/media/5806/zim-u-rs-2020_webopt.pdf" TargetMode="External"/><Relationship Id="rId30" Type="http://schemas.openxmlformats.org/officeDocument/2006/relationships/hyperlink" Target="https://cdr.eionet.europa.eu/rs/eu/energycommunity/envygmfea/LCP_Energy_Community_Serbia_2020_final.xlsx/manage_document" TargetMode="External"/><Relationship Id="rId35" Type="http://schemas.openxmlformats.org/officeDocument/2006/relationships/hyperlink" Target="https://www.aers.rs/Files/Izvestaji/Godisnji/Izvestaj%20Agencije%202021.pdf" TargetMode="External"/><Relationship Id="rId56" Type="http://schemas.openxmlformats.org/officeDocument/2006/relationships/hyperlink" Target="https://research-and-innovation.ec.europa.eu/system/files/2022-10/ec_rtd_eis-2022-main-report.pdf" TargetMode="External"/><Relationship Id="rId77" Type="http://schemas.openxmlformats.org/officeDocument/2006/relationships/hyperlink" Target="https://publikacije.stat.gov.rs/G2022/Pdf/G20225682.pdf" TargetMode="External"/><Relationship Id="rId100" Type="http://schemas.openxmlformats.org/officeDocument/2006/relationships/hyperlink" Target="https://publikacije.stat.gov.rs/G2022/Html/G20221072.html" TargetMode="External"/><Relationship Id="rId105" Type="http://schemas.openxmlformats.org/officeDocument/2006/relationships/hyperlink" Target="https://www.mfin.gov.rs/dokumenti2/makroekonomski-i-fiskalni-podaci" TargetMode="External"/><Relationship Id="rId8" Type="http://schemas.openxmlformats.org/officeDocument/2006/relationships/hyperlink" Target="https://ec.europa.eu/eurostat/databrowser/view/tessi190/default/table?lang=en" TargetMode="External"/><Relationship Id="rId51" Type="http://schemas.openxmlformats.org/officeDocument/2006/relationships/hyperlink" Target="https://publikacije.stat.gov.rs/G2022/Pdf/G20221291.pdf" TargetMode="External"/><Relationship Id="rId72" Type="http://schemas.openxmlformats.org/officeDocument/2006/relationships/hyperlink" Target="https://www.raildir.gov.rs/doc/izvestaji/Izvestaj%20_o_regulisanju_trzista_zeleznickih_usluga_za_2021.pdf" TargetMode="External"/><Relationship Id="rId93" Type="http://schemas.openxmlformats.org/officeDocument/2006/relationships/hyperlink" Target="https://nbs.rs/sr_RS/drugi-nivo-navigacije/statistika/platni_bilans/" TargetMode="External"/><Relationship Id="rId98" Type="http://schemas.openxmlformats.org/officeDocument/2006/relationships/hyperlink" Target="https://nbs.rs/export/sites/NBS_site/documents/platni-sistem/statistika/el_novac/prihvatna_mreza.xlsx" TargetMode="External"/><Relationship Id="rId3" Type="http://schemas.openxmlformats.org/officeDocument/2006/relationships/hyperlink" Target="https://noks.azk.gov.rs/" TargetMode="External"/><Relationship Id="rId25" Type="http://schemas.openxmlformats.org/officeDocument/2006/relationships/hyperlink" Target="https://openknowledge.worldbank.org/handle/10986/36233" TargetMode="External"/><Relationship Id="rId46" Type="http://schemas.openxmlformats.org/officeDocument/2006/relationships/hyperlink" Target="https://publikacije.stat.gov.rs/G2022/Html/G20221184.html" TargetMode="External"/><Relationship Id="rId67" Type="http://schemas.openxmlformats.org/officeDocument/2006/relationships/hyperlink" Target="https://www.trademap.org/Bilateral_TS.aspx?nvpm=1%7c688%7c%7c%7c42%7cTOTAL%7c%7c%7c2%7c1%7c1%7c2%7c2%7c1%7c1%7c1%7c1%7c1" TargetMode="External"/><Relationship Id="rId116" Type="http://schemas.openxmlformats.org/officeDocument/2006/relationships/hyperlink" Target="https://www.rfzo.rs/index.php/davaocizdrusluga/ugovaranje-dzu" TargetMode="External"/><Relationship Id="rId20" Type="http://schemas.openxmlformats.org/officeDocument/2006/relationships/hyperlink" Target="https://naled.rs/htdocs/Files/08840/Izvestaj-o-realizaciji-mera-iz-Akcionog-plana-za-suzbijanje-sive-ekonomije-2019-2020.pdf" TargetMode="External"/><Relationship Id="rId41" Type="http://schemas.openxmlformats.org/officeDocument/2006/relationships/hyperlink" Target="https://www.mfin.gov.rs/dokumenti2/makroekonomski-i-fiskalni-podaci" TargetMode="External"/><Relationship Id="rId62" Type="http://schemas.openxmlformats.org/officeDocument/2006/relationships/hyperlink" Target="https://ec.europa.eu/eurostat/databrowser/view/rd_p_perslf/default/table?lang=en" TargetMode="External"/><Relationship Id="rId83" Type="http://schemas.openxmlformats.org/officeDocument/2006/relationships/hyperlink" Target="https://data.gov.rs/sr/datasets/rpg-broj-svikh-registrovanikh-poljoprivrednikh-gazdinstava-aktivna-gazdinstva/" TargetMode="External"/><Relationship Id="rId88" Type="http://schemas.openxmlformats.org/officeDocument/2006/relationships/hyperlink" Target="https://www.stat.gov.rs/oblasti/nacionalni-racuni/" TargetMode="External"/><Relationship Id="rId111" Type="http://schemas.openxmlformats.org/officeDocument/2006/relationships/hyperlink" Target="http://we2.cekos.com/ce/index.xhtml?&amp;file=f158478&amp;action=propis&amp;path=15847801.html&amp;domain=0&amp;mark=false&amp;queries=&amp;searchType=1&amp;regulationType=1&amp;domain=0&amp;myFavorites=false&amp;dateFrom=&amp;dateTo=&amp;groups=-%40--%40--%40--%40--%40-" TargetMode="External"/><Relationship Id="rId15" Type="http://schemas.openxmlformats.org/officeDocument/2006/relationships/hyperlink" Target="https://www.stat.gov.rs/media/5806/zim-u-rs-2020_webopt.pdf" TargetMode="External"/><Relationship Id="rId36" Type="http://schemas.openxmlformats.org/officeDocument/2006/relationships/hyperlink" Target="https://www.mre.gov.rs/aktuelnosti/saopstenja/mihajloviceva-regionalni-krizni-plan-i-strateske-rezerve-gasa-ce-doneti-stabilnost-srbiji-i-zemljama-regiona" TargetMode="External"/><Relationship Id="rId57" Type="http://schemas.openxmlformats.org/officeDocument/2006/relationships/hyperlink" Target="https://www.wipo.int/edocs/pubdocs/en/wipo-pub-2000-2022-en-main-report-global-innovation-index-2022-15th-edition.pdf" TargetMode="External"/><Relationship Id="rId106" Type="http://schemas.openxmlformats.org/officeDocument/2006/relationships/hyperlink" Target="https://databank.worldbank.org/source/health-nutrition-and-population-statistics"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5" Type="http://schemas.openxmlformats.org/officeDocument/2006/relationships/chartUserShapes" Target="../drawings/drawing1.xml"/><Relationship Id="rId4" Type="http://schemas.openxmlformats.org/officeDocument/2006/relationships/oleObject" Target="file:///C:\Users\rade.ciric\Dropbox\Makro%20sektor\6.%20Fiskalna%202023-2025%20-%20revidirana\Makro%20radni%20fajlovi\GRAFIKONI_MAKRO_okt22.xlsx" TargetMode="External"/></Relationships>
</file>

<file path=word/charts/_rels/chart10.xml.rels><?xml version="1.0" encoding="UTF-8" standalone="yes"?>
<Relationships xmlns="http://schemas.openxmlformats.org/package/2006/relationships"><Relationship Id="rId3" Type="http://schemas.openxmlformats.org/officeDocument/2006/relationships/chartUserShapes" Target="../drawings/drawing7.xml"/><Relationship Id="rId2" Type="http://schemas.openxmlformats.org/officeDocument/2006/relationships/oleObject" Target="../embeddings/oleObject4.bin"/><Relationship Id="rId1" Type="http://schemas.openxmlformats.org/officeDocument/2006/relationships/themeOverride" Target="../theme/themeOverride7.xml"/></Relationships>
</file>

<file path=word/charts/_rels/chart11.xml.rels><?xml version="1.0" encoding="UTF-8" standalone="yes"?>
<Relationships xmlns="http://schemas.openxmlformats.org/package/2006/relationships"><Relationship Id="rId3" Type="http://schemas.openxmlformats.org/officeDocument/2006/relationships/oleObject" Target="../embeddings/oleObject5.bin"/><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chartUserShapes" Target="../drawings/drawing8.xml"/></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10.xml"/><Relationship Id="rId1" Type="http://schemas.microsoft.com/office/2011/relationships/chartStyle" Target="style10.xml"/><Relationship Id="rId5" Type="http://schemas.openxmlformats.org/officeDocument/2006/relationships/chartUserShapes" Target="../drawings/drawing9.xml"/><Relationship Id="rId4" Type="http://schemas.openxmlformats.org/officeDocument/2006/relationships/oleObject" Target="../embeddings/oleObject6.bin"/></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11.xml"/><Relationship Id="rId1" Type="http://schemas.microsoft.com/office/2011/relationships/chartStyle" Target="style11.xml"/><Relationship Id="rId5" Type="http://schemas.openxmlformats.org/officeDocument/2006/relationships/chartUserShapes" Target="../drawings/drawing10.xml"/><Relationship Id="rId4" Type="http://schemas.openxmlformats.org/officeDocument/2006/relationships/oleObject" Target="../embeddings/oleObject7.bin"/></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oleObject" Target="file:///C:\Users\Oliver%20Mini&#263;\Desktop\REVIDIRANA%20STRATEGIJA%202023-2025\STRAT20233-2025.xlsx" TargetMode="Externa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chartUserShapes" Target="../drawings/drawing1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5" Type="http://schemas.openxmlformats.org/officeDocument/2006/relationships/chartUserShapes" Target="../drawings/drawing2.xml"/><Relationship Id="rId4" Type="http://schemas.openxmlformats.org/officeDocument/2006/relationships/oleObject" Target="file:///C:\Users\rade.ciric\Dropbox\Makro%20sektor\6.%20Fiskalna%202023-2025%20-%20revidirana\Makro%20radni%20fajlovi\GRAFIKONI_MAKRO_okt22.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5" Type="http://schemas.openxmlformats.org/officeDocument/2006/relationships/chartUserShapes" Target="../drawings/drawing3.xml"/><Relationship Id="rId4" Type="http://schemas.openxmlformats.org/officeDocument/2006/relationships/oleObject" Target="file:///C:\Users\rade.ciric\Dropbox\Makro%20sektor\6.%20Fiskalna%202023-2025%20-%20revidirana\Makro%20radni%20fajlovi\GRAFIKONI_MAKRO_okt22.xlsx" TargetMode="External"/></Relationships>
</file>

<file path=word/charts/_rels/chart4.xml.rels><?xml version="1.0" encoding="UTF-8" standalone="yes"?>
<Relationships xmlns="http://schemas.openxmlformats.org/package/2006/relationships"><Relationship Id="rId2" Type="http://schemas.openxmlformats.org/officeDocument/2006/relationships/oleObject" Target="file:///C:\Users\rade.ciric\Dropbox\Makro%20sektor\6.%20Fiskalna%202023-2025%20-%20revidirana\Makro%20radni%20fajlovi\GRAFIKONI_MAKRO_okt22.xlsx"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3" Type="http://schemas.openxmlformats.org/officeDocument/2006/relationships/oleObject" Target="../embeddings/oleObject1.bin"/><Relationship Id="rId2" Type="http://schemas.microsoft.com/office/2011/relationships/chartColorStyle" Target="colors4.xml"/><Relationship Id="rId1" Type="http://schemas.microsoft.com/office/2011/relationships/chartStyle" Target="style4.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chartUserShapes" Target="../drawings/drawing4.xm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embeddings/oleObject2.bin"/></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7.xml"/><Relationship Id="rId1" Type="http://schemas.microsoft.com/office/2011/relationships/chartStyle" Target="style7.xml"/><Relationship Id="rId5" Type="http://schemas.openxmlformats.org/officeDocument/2006/relationships/chartUserShapes" Target="../drawings/drawing5.xml"/><Relationship Id="rId4" Type="http://schemas.openxmlformats.org/officeDocument/2006/relationships/oleObject" Target="../embeddings/oleObject3.bin"/></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chartUserShapes" Target="../drawings/drawing6.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0253935185185188E-2"/>
          <c:y val="7.0236607987885669E-2"/>
          <c:w val="0.90740810185185183"/>
          <c:h val="0.66834989589248528"/>
        </c:manualLayout>
      </c:layout>
      <c:barChart>
        <c:barDir val="col"/>
        <c:grouping val="stacked"/>
        <c:varyColors val="0"/>
        <c:ser>
          <c:idx val="0"/>
          <c:order val="0"/>
          <c:tx>
            <c:strRef>
              <c:f>BDP_doprinosi!$R$34</c:f>
              <c:strCache>
                <c:ptCount val="1"/>
                <c:pt idx="0">
                  <c:v>Пољопривреда</c:v>
                </c:pt>
              </c:strCache>
            </c:strRef>
          </c:tx>
          <c:spPr>
            <a:solidFill>
              <a:srgbClr val="10103C"/>
            </a:solidFill>
            <a:ln>
              <a:noFill/>
            </a:ln>
            <a:effectLst/>
          </c:spPr>
          <c:invertIfNegative val="0"/>
          <c:cat>
            <c:numRef>
              <c:f>BDP_doprinosi!$AD$33:$AJ$33</c:f>
              <c:numCache>
                <c:formatCode>General</c:formatCode>
                <c:ptCount val="7"/>
                <c:pt idx="0">
                  <c:v>2019</c:v>
                </c:pt>
                <c:pt idx="1">
                  <c:v>2020</c:v>
                </c:pt>
                <c:pt idx="2">
                  <c:v>2021</c:v>
                </c:pt>
                <c:pt idx="3">
                  <c:v>2022</c:v>
                </c:pt>
                <c:pt idx="4">
                  <c:v>2023</c:v>
                </c:pt>
                <c:pt idx="5">
                  <c:v>2024</c:v>
                </c:pt>
                <c:pt idx="6">
                  <c:v>2025</c:v>
                </c:pt>
              </c:numCache>
            </c:numRef>
          </c:cat>
          <c:val>
            <c:numRef>
              <c:f>BDP_doprinosi!$AD$34:$AJ$34</c:f>
              <c:numCache>
                <c:formatCode>0.0</c:formatCode>
                <c:ptCount val="7"/>
                <c:pt idx="0">
                  <c:v>-0.10470209248427834</c:v>
                </c:pt>
                <c:pt idx="1">
                  <c:v>0.13846930589060472</c:v>
                </c:pt>
                <c:pt idx="2">
                  <c:v>-0.35981922054501986</c:v>
                </c:pt>
                <c:pt idx="3">
                  <c:v>-0.49880518820586217</c:v>
                </c:pt>
                <c:pt idx="4">
                  <c:v>0.42987482300153451</c:v>
                </c:pt>
                <c:pt idx="5">
                  <c:v>5.6397571530813567E-2</c:v>
                </c:pt>
                <c:pt idx="6">
                  <c:v>0</c:v>
                </c:pt>
              </c:numCache>
            </c:numRef>
          </c:val>
          <c:extLst>
            <c:ext xmlns:c16="http://schemas.microsoft.com/office/drawing/2014/chart" uri="{C3380CC4-5D6E-409C-BE32-E72D297353CC}">
              <c16:uniqueId val="{00000000-8E0F-417C-849B-CF9D58FEF0C3}"/>
            </c:ext>
          </c:extLst>
        </c:ser>
        <c:ser>
          <c:idx val="1"/>
          <c:order val="1"/>
          <c:tx>
            <c:strRef>
              <c:f>BDP_doprinosi!$R$35</c:f>
              <c:strCache>
                <c:ptCount val="1"/>
                <c:pt idx="0">
                  <c:v>Индустрија</c:v>
                </c:pt>
              </c:strCache>
            </c:strRef>
          </c:tx>
          <c:spPr>
            <a:solidFill>
              <a:srgbClr val="29489A"/>
            </a:solidFill>
            <a:ln>
              <a:noFill/>
            </a:ln>
            <a:effectLst/>
          </c:spPr>
          <c:invertIfNegative val="0"/>
          <c:cat>
            <c:numRef>
              <c:f>BDP_doprinosi!$AD$33:$AJ$33</c:f>
              <c:numCache>
                <c:formatCode>General</c:formatCode>
                <c:ptCount val="7"/>
                <c:pt idx="0">
                  <c:v>2019</c:v>
                </c:pt>
                <c:pt idx="1">
                  <c:v>2020</c:v>
                </c:pt>
                <c:pt idx="2">
                  <c:v>2021</c:v>
                </c:pt>
                <c:pt idx="3">
                  <c:v>2022</c:v>
                </c:pt>
                <c:pt idx="4">
                  <c:v>2023</c:v>
                </c:pt>
                <c:pt idx="5">
                  <c:v>2024</c:v>
                </c:pt>
                <c:pt idx="6">
                  <c:v>2025</c:v>
                </c:pt>
              </c:numCache>
            </c:numRef>
          </c:cat>
          <c:val>
            <c:numRef>
              <c:f>BDP_doprinosi!$AD$35:$AJ$35</c:f>
              <c:numCache>
                <c:formatCode>0.0</c:formatCode>
                <c:ptCount val="7"/>
                <c:pt idx="0">
                  <c:v>6.9801261418422189E-2</c:v>
                </c:pt>
                <c:pt idx="1">
                  <c:v>0.10531089066734313</c:v>
                </c:pt>
                <c:pt idx="2">
                  <c:v>1.2275093003258419</c:v>
                </c:pt>
                <c:pt idx="3">
                  <c:v>0.26173740761554759</c:v>
                </c:pt>
                <c:pt idx="4">
                  <c:v>0.2214701141362326</c:v>
                </c:pt>
                <c:pt idx="5">
                  <c:v>0.72481128262767025</c:v>
                </c:pt>
                <c:pt idx="6">
                  <c:v>1.0872169239415055</c:v>
                </c:pt>
              </c:numCache>
            </c:numRef>
          </c:val>
          <c:extLst>
            <c:ext xmlns:c16="http://schemas.microsoft.com/office/drawing/2014/chart" uri="{C3380CC4-5D6E-409C-BE32-E72D297353CC}">
              <c16:uniqueId val="{00000001-8E0F-417C-849B-CF9D58FEF0C3}"/>
            </c:ext>
          </c:extLst>
        </c:ser>
        <c:ser>
          <c:idx val="2"/>
          <c:order val="2"/>
          <c:tx>
            <c:strRef>
              <c:f>BDP_doprinosi!$R$36</c:f>
              <c:strCache>
                <c:ptCount val="1"/>
                <c:pt idx="0">
                  <c:v>Грађевинарство</c:v>
                </c:pt>
              </c:strCache>
            </c:strRef>
          </c:tx>
          <c:spPr>
            <a:solidFill>
              <a:srgbClr val="2183C4"/>
            </a:solidFill>
            <a:ln>
              <a:noFill/>
            </a:ln>
            <a:effectLst/>
          </c:spPr>
          <c:invertIfNegative val="0"/>
          <c:cat>
            <c:numRef>
              <c:f>BDP_doprinosi!$AD$33:$AJ$33</c:f>
              <c:numCache>
                <c:formatCode>General</c:formatCode>
                <c:ptCount val="7"/>
                <c:pt idx="0">
                  <c:v>2019</c:v>
                </c:pt>
                <c:pt idx="1">
                  <c:v>2020</c:v>
                </c:pt>
                <c:pt idx="2">
                  <c:v>2021</c:v>
                </c:pt>
                <c:pt idx="3">
                  <c:v>2022</c:v>
                </c:pt>
                <c:pt idx="4">
                  <c:v>2023</c:v>
                </c:pt>
                <c:pt idx="5">
                  <c:v>2024</c:v>
                </c:pt>
                <c:pt idx="6">
                  <c:v>2025</c:v>
                </c:pt>
              </c:numCache>
            </c:numRef>
          </c:cat>
          <c:val>
            <c:numRef>
              <c:f>BDP_doprinosi!$AD$36:$AJ$36</c:f>
              <c:numCache>
                <c:formatCode>0.0</c:formatCode>
                <c:ptCount val="7"/>
                <c:pt idx="0">
                  <c:v>1.4979377183874178</c:v>
                </c:pt>
                <c:pt idx="1">
                  <c:v>-0.18747286212971456</c:v>
                </c:pt>
                <c:pt idx="2">
                  <c:v>0.95949612083414682</c:v>
                </c:pt>
                <c:pt idx="3">
                  <c:v>-0.47562673132683064</c:v>
                </c:pt>
                <c:pt idx="4">
                  <c:v>4.7015975740353377E-2</c:v>
                </c:pt>
                <c:pt idx="5">
                  <c:v>0.28428264401143905</c:v>
                </c:pt>
                <c:pt idx="6">
                  <c:v>0.32255146147451735</c:v>
                </c:pt>
              </c:numCache>
            </c:numRef>
          </c:val>
          <c:extLst>
            <c:ext xmlns:c16="http://schemas.microsoft.com/office/drawing/2014/chart" uri="{C3380CC4-5D6E-409C-BE32-E72D297353CC}">
              <c16:uniqueId val="{00000002-8E0F-417C-849B-CF9D58FEF0C3}"/>
            </c:ext>
          </c:extLst>
        </c:ser>
        <c:ser>
          <c:idx val="3"/>
          <c:order val="3"/>
          <c:tx>
            <c:strRef>
              <c:f>BDP_doprinosi!$R$37</c:f>
              <c:strCache>
                <c:ptCount val="1"/>
                <c:pt idx="0">
                  <c:v>Услуге</c:v>
                </c:pt>
              </c:strCache>
            </c:strRef>
          </c:tx>
          <c:spPr>
            <a:solidFill>
              <a:srgbClr val="51BBE7"/>
            </a:solidFill>
            <a:ln>
              <a:noFill/>
            </a:ln>
            <a:effectLst/>
          </c:spPr>
          <c:invertIfNegative val="0"/>
          <c:cat>
            <c:numRef>
              <c:f>BDP_doprinosi!$AD$33:$AJ$33</c:f>
              <c:numCache>
                <c:formatCode>General</c:formatCode>
                <c:ptCount val="7"/>
                <c:pt idx="0">
                  <c:v>2019</c:v>
                </c:pt>
                <c:pt idx="1">
                  <c:v>2020</c:v>
                </c:pt>
                <c:pt idx="2">
                  <c:v>2021</c:v>
                </c:pt>
                <c:pt idx="3">
                  <c:v>2022</c:v>
                </c:pt>
                <c:pt idx="4">
                  <c:v>2023</c:v>
                </c:pt>
                <c:pt idx="5">
                  <c:v>2024</c:v>
                </c:pt>
                <c:pt idx="6">
                  <c:v>2025</c:v>
                </c:pt>
              </c:numCache>
            </c:numRef>
          </c:cat>
          <c:val>
            <c:numRef>
              <c:f>BDP_doprinosi!$AD$37:$AJ$37</c:f>
              <c:numCache>
                <c:formatCode>0.0</c:formatCode>
                <c:ptCount val="7"/>
                <c:pt idx="0">
                  <c:v>2.1454399811146474</c:v>
                </c:pt>
                <c:pt idx="1">
                  <c:v>-0.55831851090570617</c:v>
                </c:pt>
                <c:pt idx="2">
                  <c:v>4.3280932880471479</c:v>
                </c:pt>
                <c:pt idx="3">
                  <c:v>2.4453014122979142</c:v>
                </c:pt>
                <c:pt idx="4">
                  <c:v>1.3245382649947037</c:v>
                </c:pt>
                <c:pt idx="5">
                  <c:v>1.9358636180691819</c:v>
                </c:pt>
                <c:pt idx="6">
                  <c:v>2.0377511769149286</c:v>
                </c:pt>
              </c:numCache>
            </c:numRef>
          </c:val>
          <c:extLst>
            <c:ext xmlns:c16="http://schemas.microsoft.com/office/drawing/2014/chart" uri="{C3380CC4-5D6E-409C-BE32-E72D297353CC}">
              <c16:uniqueId val="{00000003-8E0F-417C-849B-CF9D58FEF0C3}"/>
            </c:ext>
          </c:extLst>
        </c:ser>
        <c:ser>
          <c:idx val="4"/>
          <c:order val="4"/>
          <c:tx>
            <c:strRef>
              <c:f>BDP_doprinosi!$R$38</c:f>
              <c:strCache>
                <c:ptCount val="1"/>
                <c:pt idx="0">
                  <c:v>Нето порези</c:v>
                </c:pt>
              </c:strCache>
            </c:strRef>
          </c:tx>
          <c:spPr>
            <a:solidFill>
              <a:srgbClr val="9ED1E6"/>
            </a:solidFill>
            <a:ln>
              <a:noFill/>
            </a:ln>
            <a:effectLst/>
          </c:spPr>
          <c:invertIfNegative val="0"/>
          <c:cat>
            <c:numRef>
              <c:f>BDP_doprinosi!$AD$33:$AJ$33</c:f>
              <c:numCache>
                <c:formatCode>General</c:formatCode>
                <c:ptCount val="7"/>
                <c:pt idx="0">
                  <c:v>2019</c:v>
                </c:pt>
                <c:pt idx="1">
                  <c:v>2020</c:v>
                </c:pt>
                <c:pt idx="2">
                  <c:v>2021</c:v>
                </c:pt>
                <c:pt idx="3">
                  <c:v>2022</c:v>
                </c:pt>
                <c:pt idx="4">
                  <c:v>2023</c:v>
                </c:pt>
                <c:pt idx="5">
                  <c:v>2024</c:v>
                </c:pt>
                <c:pt idx="6">
                  <c:v>2025</c:v>
                </c:pt>
              </c:numCache>
            </c:numRef>
          </c:cat>
          <c:val>
            <c:numRef>
              <c:f>BDP_doprinosi!$AD$38:$AJ$38</c:f>
              <c:numCache>
                <c:formatCode>0.0</c:formatCode>
                <c:ptCount val="7"/>
                <c:pt idx="0">
                  <c:v>0.72325958742025398</c:v>
                </c:pt>
                <c:pt idx="1">
                  <c:v>-0.40120981552537566</c:v>
                </c:pt>
                <c:pt idx="2">
                  <c:v>1.3946292139779448</c:v>
                </c:pt>
                <c:pt idx="3">
                  <c:v>0.79070334156110433</c:v>
                </c:pt>
                <c:pt idx="4">
                  <c:v>0.51567609232245937</c:v>
                </c:pt>
                <c:pt idx="5">
                  <c:v>0.50880041109149321</c:v>
                </c:pt>
                <c:pt idx="6">
                  <c:v>0.51567609232245937</c:v>
                </c:pt>
              </c:numCache>
            </c:numRef>
          </c:val>
          <c:extLst>
            <c:ext xmlns:c16="http://schemas.microsoft.com/office/drawing/2014/chart" uri="{C3380CC4-5D6E-409C-BE32-E72D297353CC}">
              <c16:uniqueId val="{00000004-8E0F-417C-849B-CF9D58FEF0C3}"/>
            </c:ext>
          </c:extLst>
        </c:ser>
        <c:dLbls>
          <c:showLegendKey val="0"/>
          <c:showVal val="0"/>
          <c:showCatName val="0"/>
          <c:showSerName val="0"/>
          <c:showPercent val="0"/>
          <c:showBubbleSize val="0"/>
        </c:dLbls>
        <c:gapWidth val="60"/>
        <c:overlap val="100"/>
        <c:axId val="388072416"/>
        <c:axId val="388101792"/>
      </c:barChart>
      <c:lineChart>
        <c:grouping val="standard"/>
        <c:varyColors val="0"/>
        <c:ser>
          <c:idx val="5"/>
          <c:order val="5"/>
          <c:tx>
            <c:strRef>
              <c:f>BDP_doprinosi!$R$39</c:f>
              <c:strCache>
                <c:ptCount val="1"/>
                <c:pt idx="0">
                  <c:v>Реални раст БДП</c:v>
                </c:pt>
              </c:strCache>
            </c:strRef>
          </c:tx>
          <c:spPr>
            <a:ln w="25400" cap="rnd">
              <a:solidFill>
                <a:srgbClr val="FF0000"/>
              </a:solidFill>
              <a:round/>
            </a:ln>
            <a:effectLst/>
          </c:spPr>
          <c:marker>
            <c:symbol val="none"/>
          </c:marker>
          <c:dLbls>
            <c:dLbl>
              <c:idx val="1"/>
              <c:layout>
                <c:manualLayout>
                  <c:x val="-6.6898148148148151E-2"/>
                  <c:y val="5.154978232065114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E0F-417C-849B-CF9D58FEF0C3}"/>
                </c:ext>
              </c:extLst>
            </c:dLbl>
            <c:spPr>
              <a:noFill/>
              <a:ln>
                <a:noFill/>
              </a:ln>
              <a:effectLst/>
            </c:spPr>
            <c:txPr>
              <a:bodyPr rot="0" spcFirstLastPara="1" vertOverflow="ellipsis" vert="horz" wrap="square" anchor="ctr" anchorCtr="1"/>
              <a:lstStyle/>
              <a:p>
                <a:pPr>
                  <a:defRPr sz="750" b="1" i="0" u="none" strike="noStrike" kern="1200" baseline="0">
                    <a:solidFill>
                      <a:srgbClr val="FF0000"/>
                    </a:solidFill>
                    <a:latin typeface="Times New Roman" panose="02020603050405020304" pitchFamily="18" charset="0"/>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BDP_doprinosi!$AD$33:$AJ$33</c:f>
              <c:numCache>
                <c:formatCode>General</c:formatCode>
                <c:ptCount val="7"/>
                <c:pt idx="0">
                  <c:v>2019</c:v>
                </c:pt>
                <c:pt idx="1">
                  <c:v>2020</c:v>
                </c:pt>
                <c:pt idx="2">
                  <c:v>2021</c:v>
                </c:pt>
                <c:pt idx="3">
                  <c:v>2022</c:v>
                </c:pt>
                <c:pt idx="4">
                  <c:v>2023</c:v>
                </c:pt>
                <c:pt idx="5">
                  <c:v>2024</c:v>
                </c:pt>
                <c:pt idx="6">
                  <c:v>2025</c:v>
                </c:pt>
              </c:numCache>
            </c:numRef>
          </c:cat>
          <c:val>
            <c:numRef>
              <c:f>BDP_doprinosi!$AD$39:$AJ$39</c:f>
              <c:numCache>
                <c:formatCode>0.0</c:formatCode>
                <c:ptCount val="7"/>
                <c:pt idx="0">
                  <c:v>4.3317364558564329</c:v>
                </c:pt>
                <c:pt idx="1">
                  <c:v>-0.9032209920028561</c:v>
                </c:pt>
                <c:pt idx="2">
                  <c:v>7.5499087026400789</c:v>
                </c:pt>
                <c:pt idx="3">
                  <c:v>2.5233102419418731</c:v>
                </c:pt>
                <c:pt idx="4">
                  <c:v>2.5385752701952837</c:v>
                </c:pt>
                <c:pt idx="5">
                  <c:v>3.510155527330598</c:v>
                </c:pt>
                <c:pt idx="6">
                  <c:v>3.9631956546534108</c:v>
                </c:pt>
              </c:numCache>
            </c:numRef>
          </c:val>
          <c:smooth val="0"/>
          <c:extLst>
            <c:ext xmlns:c16="http://schemas.microsoft.com/office/drawing/2014/chart" uri="{C3380CC4-5D6E-409C-BE32-E72D297353CC}">
              <c16:uniqueId val="{00000006-8E0F-417C-849B-CF9D58FEF0C3}"/>
            </c:ext>
          </c:extLst>
        </c:ser>
        <c:dLbls>
          <c:showLegendKey val="0"/>
          <c:showVal val="0"/>
          <c:showCatName val="0"/>
          <c:showSerName val="0"/>
          <c:showPercent val="0"/>
          <c:showBubbleSize val="0"/>
        </c:dLbls>
        <c:marker val="1"/>
        <c:smooth val="0"/>
        <c:axId val="388072416"/>
        <c:axId val="388101792"/>
      </c:lineChart>
      <c:catAx>
        <c:axId val="388072416"/>
        <c:scaling>
          <c:orientation val="minMax"/>
        </c:scaling>
        <c:delete val="0"/>
        <c:axPos val="b"/>
        <c:numFmt formatCode="General" sourceLinked="1"/>
        <c:majorTickMark val="none"/>
        <c:minorTickMark val="none"/>
        <c:tickLblPos val="low"/>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88101792"/>
        <c:crosses val="autoZero"/>
        <c:auto val="1"/>
        <c:lblAlgn val="ctr"/>
        <c:lblOffset val="100"/>
        <c:noMultiLvlLbl val="0"/>
      </c:catAx>
      <c:valAx>
        <c:axId val="388101792"/>
        <c:scaling>
          <c:orientation val="minMax"/>
          <c:max val="8"/>
          <c:min val="-2"/>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88072416"/>
        <c:crosses val="autoZero"/>
        <c:crossBetween val="between"/>
        <c:majorUnit val="2"/>
      </c:valAx>
      <c:spPr>
        <a:noFill/>
        <a:ln>
          <a:noFill/>
        </a:ln>
        <a:effectLst/>
      </c:spPr>
    </c:plotArea>
    <c:legend>
      <c:legendPos val="b"/>
      <c:layout>
        <c:manualLayout>
          <c:xMode val="edge"/>
          <c:yMode val="edge"/>
          <c:x val="2.9349664625255175E-2"/>
          <c:y val="0.84945769449176611"/>
          <c:w val="0.93586103820355804"/>
          <c:h val="0.1475728752602688"/>
        </c:manualLayout>
      </c:layout>
      <c:overlay val="0"/>
      <c:spPr>
        <a:noFill/>
        <a:ln>
          <a:noFill/>
        </a:ln>
        <a:effectLst/>
      </c:spPr>
      <c:txPr>
        <a:bodyPr rot="0" spcFirstLastPara="1" vertOverflow="ellipsis" vert="horz" wrap="square" anchor="ctr" anchorCtr="1"/>
        <a:lstStyle/>
        <a:p>
          <a:pPr>
            <a:defRPr sz="7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ysClr val="window" lastClr="FFFFFF"/>
    </a:solidFill>
    <a:ln w="9525" cap="flat" cmpd="sng" algn="ctr">
      <a:noFill/>
      <a:round/>
    </a:ln>
    <a:effectLst/>
  </c:spPr>
  <c:txPr>
    <a:bodyPr/>
    <a:lstStyle/>
    <a:p>
      <a:pPr>
        <a:defRPr sz="750">
          <a:solidFill>
            <a:schemeClr val="tx2"/>
          </a:solidFill>
          <a:latin typeface="+mn-lt"/>
          <a:cs typeface="Arial" panose="020B0604020202020204" pitchFamily="34" charset="0"/>
        </a:defRPr>
      </a:pPr>
      <a:endParaRPr lang="en-US"/>
    </a:p>
  </c:txPr>
  <c:externalData r:id="rId4">
    <c:autoUpdate val="0"/>
  </c:externalData>
  <c:userShapes r:id="rId5"/>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35"/>
    </mc:Choice>
    <mc:Fallback>
      <c:style val="35"/>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6180330399876492E-2"/>
          <c:y val="9.3585301837270346E-2"/>
          <c:w val="0.86085801063022016"/>
          <c:h val="0.64617420496856492"/>
        </c:manualLayout>
      </c:layout>
      <c:barChart>
        <c:barDir val="col"/>
        <c:grouping val="clustered"/>
        <c:varyColors val="0"/>
        <c:ser>
          <c:idx val="0"/>
          <c:order val="0"/>
          <c:tx>
            <c:strRef>
              <c:f>'мемо 2011-2016'!$D$50</c:f>
              <c:strCache>
                <c:ptCount val="1"/>
                <c:pt idx="0">
                  <c:v>дуг</c:v>
                </c:pt>
              </c:strCache>
            </c:strRef>
          </c:tx>
          <c:spPr>
            <a:solidFill>
              <a:schemeClr val="tx2"/>
            </a:solidFill>
          </c:spPr>
          <c:invertIfNegative val="0"/>
          <c:dLbls>
            <c:numFmt formatCode="#,##0.0" sourceLinked="0"/>
            <c:spPr>
              <a:noFill/>
              <a:ln>
                <a:noFill/>
              </a:ln>
              <a:effectLst/>
            </c:spPr>
            <c:txPr>
              <a:bodyPr/>
              <a:lstStyle/>
              <a:p>
                <a:pPr>
                  <a:defRPr sz="800" b="0" baseline="0">
                    <a:solidFill>
                      <a:schemeClr val="bg1"/>
                    </a:solidFill>
                    <a:latin typeface="Times New Roman" panose="02020603050405020304" pitchFamily="18" charset="0"/>
                    <a:cs typeface="Times New Roman" panose="02020603050405020304" pitchFamily="18" charset="0"/>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'мемо 2011-2016'!$J$48:$T$48</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'мемо 2011-2016'!$J$50:$T$50</c:f>
              <c:numCache>
                <c:formatCode>#,##0.0</c:formatCode>
                <c:ptCount val="11"/>
                <c:pt idx="0">
                  <c:v>71.199826125969352</c:v>
                </c:pt>
                <c:pt idx="1">
                  <c:v>68.7</c:v>
                </c:pt>
                <c:pt idx="2">
                  <c:v>58.6</c:v>
                </c:pt>
                <c:pt idx="3" formatCode="0.0">
                  <c:v>54.353090578805471</c:v>
                </c:pt>
                <c:pt idx="4" formatCode="General">
                  <c:v>52.8</c:v>
                </c:pt>
                <c:pt idx="5" formatCode="General">
                  <c:v>57.8</c:v>
                </c:pt>
                <c:pt idx="6" formatCode="General">
                  <c:v>57.1</c:v>
                </c:pt>
                <c:pt idx="7" formatCode="General">
                  <c:v>56.9</c:v>
                </c:pt>
                <c:pt idx="8" formatCode="General">
                  <c:v>56.1</c:v>
                </c:pt>
                <c:pt idx="9" formatCode="General">
                  <c:v>55.1</c:v>
                </c:pt>
                <c:pt idx="10" formatCode="General">
                  <c:v>54</c:v>
                </c:pt>
              </c:numCache>
            </c:numRef>
          </c:val>
          <c:extLst>
            <c:ext xmlns:c16="http://schemas.microsoft.com/office/drawing/2014/chart" uri="{C3380CC4-5D6E-409C-BE32-E72D297353CC}">
              <c16:uniqueId val="{00000000-8C98-44C8-9FE7-59087D2785F7}"/>
            </c:ext>
          </c:extLst>
        </c:ser>
        <c:dLbls>
          <c:showLegendKey val="0"/>
          <c:showVal val="0"/>
          <c:showCatName val="0"/>
          <c:showSerName val="0"/>
          <c:showPercent val="0"/>
          <c:showBubbleSize val="0"/>
        </c:dLbls>
        <c:gapWidth val="35"/>
        <c:overlap val="78"/>
        <c:axId val="42919504"/>
        <c:axId val="42920048"/>
      </c:barChart>
      <c:lineChart>
        <c:grouping val="standard"/>
        <c:varyColors val="0"/>
        <c:ser>
          <c:idx val="2"/>
          <c:order val="1"/>
          <c:tx>
            <c:strRef>
              <c:f>'мемо 2011-2016'!$D$49</c:f>
              <c:strCache>
                <c:ptCount val="1"/>
                <c:pt idx="0">
                  <c:v>резултат (десна скала)</c:v>
                </c:pt>
              </c:strCache>
            </c:strRef>
          </c:tx>
          <c:spPr>
            <a:ln>
              <a:solidFill>
                <a:srgbClr val="FF0000"/>
              </a:solidFill>
            </a:ln>
          </c:spPr>
          <c:marker>
            <c:symbol val="none"/>
          </c:marker>
          <c:dLbls>
            <c:dLbl>
              <c:idx val="0"/>
              <c:spPr>
                <a:noFill/>
                <a:ln>
                  <a:noFill/>
                </a:ln>
                <a:effectLst/>
              </c:spPr>
              <c:txPr>
                <a:bodyPr wrap="square" lIns="38100" tIns="19050" rIns="38100" bIns="19050" anchor="ctr">
                  <a:spAutoFit/>
                </a:bodyPr>
                <a:lstStyle/>
                <a:p>
                  <a:pPr>
                    <a:defRPr sz="800">
                      <a:solidFill>
                        <a:schemeClr val="bg1"/>
                      </a:solidFill>
                      <a:latin typeface="Times New Roman" panose="02020603050405020304" pitchFamily="18" charset="0"/>
                      <a:cs typeface="Times New Roman" panose="02020603050405020304" pitchFamily="18" charset="0"/>
                    </a:defRPr>
                  </a:pPr>
                  <a:endParaRPr lang="en-US"/>
                </a:p>
              </c:txPr>
              <c:dLblPos val="t"/>
              <c:showLegendKey val="0"/>
              <c:showVal val="1"/>
              <c:showCatName val="0"/>
              <c:showSerName val="0"/>
              <c:showPercent val="0"/>
              <c:showBubbleSize val="0"/>
              <c:extLst>
                <c:ext xmlns:c16="http://schemas.microsoft.com/office/drawing/2014/chart" uri="{C3380CC4-5D6E-409C-BE32-E72D297353CC}">
                  <c16:uniqueId val="{00000000-0672-4A74-B563-1B0212DA9E1C}"/>
                </c:ext>
              </c:extLst>
            </c:dLbl>
            <c:dLbl>
              <c:idx val="1"/>
              <c:layout>
                <c:manualLayout>
                  <c:x val="3.4603149606299212E-2"/>
                  <c:y val="1.240310077519382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C98-44C8-9FE7-59087D2785F7}"/>
                </c:ext>
              </c:extLst>
            </c:dLbl>
            <c:dLbl>
              <c:idx val="5"/>
              <c:layout>
                <c:manualLayout>
                  <c:x val="-0.11904761904761904"/>
                  <c:y val="-2.4806201550387597E-2"/>
                </c:manualLayout>
              </c:layout>
              <c:spPr>
                <a:noFill/>
                <a:ln>
                  <a:noFill/>
                </a:ln>
                <a:effectLst/>
              </c:spPr>
              <c:txPr>
                <a:bodyPr wrap="square" lIns="38100" tIns="19050" rIns="38100" bIns="19050" anchor="ctr">
                  <a:spAutoFit/>
                </a:bodyPr>
                <a:lstStyle/>
                <a:p>
                  <a:pPr>
                    <a:defRPr sz="800">
                      <a:solidFill>
                        <a:schemeClr val="bg1"/>
                      </a:solidFill>
                      <a:latin typeface="Times New Roman" panose="02020603050405020304" pitchFamily="18" charset="0"/>
                      <a:cs typeface="Times New Roman" panose="02020603050405020304" pitchFamily="18" charset="0"/>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C98-44C8-9FE7-59087D2785F7}"/>
                </c:ext>
              </c:extLst>
            </c:dLbl>
            <c:dLbl>
              <c:idx val="8"/>
              <c:layout>
                <c:manualLayout>
                  <c:x val="-7.0428571428571521E-2"/>
                  <c:y val="5.508539339559299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C98-44C8-9FE7-59087D2785F7}"/>
                </c:ext>
              </c:extLst>
            </c:dLbl>
            <c:dLbl>
              <c:idx val="9"/>
              <c:layout>
                <c:manualLayout>
                  <c:x val="-7.0428571428571521E-2"/>
                  <c:y val="6.128694378318983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C98-44C8-9FE7-59087D2785F7}"/>
                </c:ext>
              </c:extLst>
            </c:dLbl>
            <c:dLbl>
              <c:idx val="10"/>
              <c:layout>
                <c:manualLayout>
                  <c:x val="-7.0428571428571424E-2"/>
                  <c:y val="6.128694378318989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C98-44C8-9FE7-59087D2785F7}"/>
                </c:ext>
              </c:extLst>
            </c:dLbl>
            <c:spPr>
              <a:noFill/>
              <a:ln>
                <a:noFill/>
              </a:ln>
              <a:effectLst/>
            </c:spPr>
            <c:txPr>
              <a:bodyPr wrap="square" lIns="38100" tIns="19050" rIns="38100" bIns="19050" anchor="ctr">
                <a:spAutoFit/>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val>
            <c:numRef>
              <c:f>'мемо 2011-2016'!$J$49:$T$49</c:f>
              <c:numCache>
                <c:formatCode>#,##0.0</c:formatCode>
                <c:ptCount val="11"/>
                <c:pt idx="0">
                  <c:v>-3.4574923786243579</c:v>
                </c:pt>
                <c:pt idx="1">
                  <c:v>-1.1977763417297731</c:v>
                </c:pt>
                <c:pt idx="2">
                  <c:v>1.099509271415023</c:v>
                </c:pt>
                <c:pt idx="3" formatCode="0.0">
                  <c:v>0.63691314414627054</c:v>
                </c:pt>
                <c:pt idx="4">
                  <c:v>-0.2</c:v>
                </c:pt>
                <c:pt idx="5">
                  <c:v>-8</c:v>
                </c:pt>
                <c:pt idx="6">
                  <c:v>-4.0999999999999996</c:v>
                </c:pt>
                <c:pt idx="7">
                  <c:v>-3.8</c:v>
                </c:pt>
                <c:pt idx="8" formatCode="General">
                  <c:v>-3.3</c:v>
                </c:pt>
                <c:pt idx="9" formatCode="General">
                  <c:v>-2.2000000000000002</c:v>
                </c:pt>
                <c:pt idx="10" formatCode="General">
                  <c:v>-1.4</c:v>
                </c:pt>
              </c:numCache>
            </c:numRef>
          </c:val>
          <c:smooth val="1"/>
          <c:extLst>
            <c:ext xmlns:c16="http://schemas.microsoft.com/office/drawing/2014/chart" uri="{C3380CC4-5D6E-409C-BE32-E72D297353CC}">
              <c16:uniqueId val="{00000007-8C98-44C8-9FE7-59087D2785F7}"/>
            </c:ext>
          </c:extLst>
        </c:ser>
        <c:ser>
          <c:idx val="1"/>
          <c:order val="2"/>
          <c:tx>
            <c:strRef>
              <c:f>'мемо 2011-2016'!$D$51</c:f>
              <c:strCache>
                <c:ptCount val="1"/>
                <c:pt idx="0">
                  <c:v>баланс</c:v>
                </c:pt>
              </c:strCache>
            </c:strRef>
          </c:tx>
          <c:spPr>
            <a:ln w="22225">
              <a:solidFill>
                <a:schemeClr val="tx1"/>
              </a:solidFill>
            </a:ln>
          </c:spPr>
          <c:marker>
            <c:symbol val="none"/>
          </c:marker>
          <c:val>
            <c:numRef>
              <c:f>'мемо 2011-2016'!$J$51:$T$51</c:f>
              <c:numCache>
                <c:formatCode>#,##0.0</c:formatCode>
                <c:ptCount val="11"/>
                <c:pt idx="0">
                  <c:v>0</c:v>
                </c:pt>
                <c:pt idx="1">
                  <c:v>0</c:v>
                </c:pt>
                <c:pt idx="2">
                  <c:v>0</c:v>
                </c:pt>
                <c:pt idx="3">
                  <c:v>0</c:v>
                </c:pt>
                <c:pt idx="4">
                  <c:v>0</c:v>
                </c:pt>
                <c:pt idx="5">
                  <c:v>0</c:v>
                </c:pt>
                <c:pt idx="6">
                  <c:v>0</c:v>
                </c:pt>
                <c:pt idx="7">
                  <c:v>0</c:v>
                </c:pt>
                <c:pt idx="8" formatCode="General">
                  <c:v>0</c:v>
                </c:pt>
                <c:pt idx="9" formatCode="General">
                  <c:v>0</c:v>
                </c:pt>
                <c:pt idx="10" formatCode="General">
                  <c:v>0</c:v>
                </c:pt>
              </c:numCache>
            </c:numRef>
          </c:val>
          <c:smooth val="0"/>
          <c:extLst>
            <c:ext xmlns:c16="http://schemas.microsoft.com/office/drawing/2014/chart" uri="{C3380CC4-5D6E-409C-BE32-E72D297353CC}">
              <c16:uniqueId val="{00000008-8C98-44C8-9FE7-59087D2785F7}"/>
            </c:ext>
          </c:extLst>
        </c:ser>
        <c:dLbls>
          <c:showLegendKey val="0"/>
          <c:showVal val="0"/>
          <c:showCatName val="0"/>
          <c:showSerName val="0"/>
          <c:showPercent val="0"/>
          <c:showBubbleSize val="0"/>
        </c:dLbls>
        <c:marker val="1"/>
        <c:smooth val="0"/>
        <c:axId val="231167104"/>
        <c:axId val="42921680"/>
      </c:lineChart>
      <c:catAx>
        <c:axId val="42919504"/>
        <c:scaling>
          <c:orientation val="minMax"/>
        </c:scaling>
        <c:delete val="0"/>
        <c:axPos val="b"/>
        <c:numFmt formatCode="General" sourceLinked="1"/>
        <c:majorTickMark val="out"/>
        <c:minorTickMark val="none"/>
        <c:tickLblPos val="nextTo"/>
        <c:spPr>
          <a:ln>
            <a:noFill/>
          </a:ln>
        </c:spPr>
        <c:txPr>
          <a:bodyPr/>
          <a:lstStyle/>
          <a:p>
            <a:pPr>
              <a:defRPr sz="800" baseline="0">
                <a:solidFill>
                  <a:sysClr val="windowText" lastClr="000000"/>
                </a:solidFill>
                <a:latin typeface="Times New Roman" panose="02020603050405020304" pitchFamily="18" charset="0"/>
                <a:cs typeface="Times New Roman" panose="02020603050405020304" pitchFamily="18" charset="0"/>
              </a:defRPr>
            </a:pPr>
            <a:endParaRPr lang="en-US"/>
          </a:p>
        </c:txPr>
        <c:crossAx val="42920048"/>
        <c:crossesAt val="0"/>
        <c:auto val="1"/>
        <c:lblAlgn val="ctr"/>
        <c:lblOffset val="100"/>
        <c:noMultiLvlLbl val="0"/>
      </c:catAx>
      <c:valAx>
        <c:axId val="42920048"/>
        <c:scaling>
          <c:orientation val="minMax"/>
          <c:max val="80"/>
          <c:min val="40"/>
        </c:scaling>
        <c:delete val="0"/>
        <c:axPos val="l"/>
        <c:majorGridlines>
          <c:spPr>
            <a:ln>
              <a:noFill/>
            </a:ln>
          </c:spPr>
        </c:majorGridlines>
        <c:numFmt formatCode="#,##0" sourceLinked="0"/>
        <c:majorTickMark val="out"/>
        <c:minorTickMark val="none"/>
        <c:tickLblPos val="nextTo"/>
        <c:spPr>
          <a:ln>
            <a:noFill/>
          </a:ln>
        </c:spPr>
        <c:txPr>
          <a:bodyPr/>
          <a:lstStyle/>
          <a:p>
            <a:pPr>
              <a:defRPr sz="800" baseline="0">
                <a:solidFill>
                  <a:sysClr val="windowText" lastClr="000000"/>
                </a:solidFill>
                <a:latin typeface="Times New Roman" panose="02020603050405020304" pitchFamily="18" charset="0"/>
                <a:cs typeface="Times New Roman" panose="02020603050405020304" pitchFamily="18" charset="0"/>
              </a:defRPr>
            </a:pPr>
            <a:endParaRPr lang="en-US"/>
          </a:p>
        </c:txPr>
        <c:crossAx val="42919504"/>
        <c:crosses val="autoZero"/>
        <c:crossBetween val="between"/>
        <c:majorUnit val="5"/>
      </c:valAx>
      <c:valAx>
        <c:axId val="42921680"/>
        <c:scaling>
          <c:orientation val="minMax"/>
        </c:scaling>
        <c:delete val="0"/>
        <c:axPos val="r"/>
        <c:numFmt formatCode="#,##0" sourceLinked="0"/>
        <c:majorTickMark val="out"/>
        <c:minorTickMark val="none"/>
        <c:tickLblPos val="nextTo"/>
        <c:spPr>
          <a:ln>
            <a:noFill/>
          </a:ln>
        </c:spPr>
        <c:txPr>
          <a:bodyPr/>
          <a:lstStyle/>
          <a:p>
            <a:pPr>
              <a:defRPr sz="800" baseline="0">
                <a:solidFill>
                  <a:sysClr val="windowText" lastClr="000000"/>
                </a:solidFill>
                <a:latin typeface="Times New Roman" panose="02020603050405020304" pitchFamily="18" charset="0"/>
                <a:cs typeface="Times New Roman" panose="02020603050405020304" pitchFamily="18" charset="0"/>
              </a:defRPr>
            </a:pPr>
            <a:endParaRPr lang="en-US"/>
          </a:p>
        </c:txPr>
        <c:crossAx val="231167104"/>
        <c:crosses val="max"/>
        <c:crossBetween val="between"/>
      </c:valAx>
      <c:catAx>
        <c:axId val="231167104"/>
        <c:scaling>
          <c:orientation val="minMax"/>
        </c:scaling>
        <c:delete val="1"/>
        <c:axPos val="b"/>
        <c:majorTickMark val="out"/>
        <c:minorTickMark val="none"/>
        <c:tickLblPos val="nextTo"/>
        <c:crossAx val="42921680"/>
        <c:crosses val="autoZero"/>
        <c:auto val="1"/>
        <c:lblAlgn val="ctr"/>
        <c:lblOffset val="100"/>
        <c:noMultiLvlLbl val="0"/>
      </c:catAx>
      <c:spPr>
        <a:noFill/>
        <a:ln>
          <a:noFill/>
        </a:ln>
      </c:spPr>
    </c:plotArea>
    <c:legend>
      <c:legendPos val="b"/>
      <c:overlay val="0"/>
      <c:txPr>
        <a:bodyPr/>
        <a:lstStyle/>
        <a:p>
          <a:pPr>
            <a:defRPr sz="900" baseline="0">
              <a:solidFill>
                <a:sysClr val="windowText" lastClr="000000"/>
              </a:solidFill>
              <a:latin typeface="Times New Roman" panose="02020603050405020304" pitchFamily="18" charset="0"/>
              <a:cs typeface="Times New Roman" panose="02020603050405020304" pitchFamily="18" charset="0"/>
            </a:defRPr>
          </a:pPr>
          <a:endParaRPr lang="en-US"/>
        </a:p>
      </c:txPr>
    </c:legend>
    <c:plotVisOnly val="1"/>
    <c:dispBlanksAs val="gap"/>
    <c:showDLblsOverMax val="0"/>
  </c:chart>
  <c:spPr>
    <a:ln>
      <a:noFill/>
    </a:ln>
  </c:spPr>
  <c:txPr>
    <a:bodyPr/>
    <a:lstStyle/>
    <a:p>
      <a:pPr algn="just">
        <a:defRPr sz="900" baseline="0">
          <a:latin typeface="Cambria Math" pitchFamily="18" charset="0"/>
        </a:defRPr>
      </a:pPr>
      <a:endParaRPr lang="en-US"/>
    </a:p>
  </c:txPr>
  <c:externalData r:id="rId2">
    <c:autoUpdate val="0"/>
  </c:externalData>
  <c:userShapes r:id="rId3"/>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0"/>
    <c:plotArea>
      <c:layout>
        <c:manualLayout>
          <c:layoutTarget val="inner"/>
          <c:xMode val="edge"/>
          <c:yMode val="edge"/>
          <c:x val="8.5694913857576771E-2"/>
          <c:y val="0.12195169524878018"/>
          <c:w val="0.89742630688838176"/>
          <c:h val="0.72252618511373012"/>
        </c:manualLayout>
      </c:layout>
      <c:areaChart>
        <c:grouping val="stacked"/>
        <c:varyColors val="0"/>
        <c:ser>
          <c:idx val="2"/>
          <c:order val="2"/>
          <c:tx>
            <c:strRef>
              <c:f>'Grafikoni, CAB, Karakter'!$G$10</c:f>
              <c:strCache>
                <c:ptCount val="1"/>
                <c:pt idx="0">
                  <c:v>Производни јаз </c:v>
                </c:pt>
              </c:strCache>
            </c:strRef>
          </c:tx>
          <c:spPr>
            <a:solidFill>
              <a:srgbClr val="29489A"/>
            </a:solidFill>
            <a:ln w="9525" cap="rnd" cmpd="sng" algn="ctr">
              <a:solidFill>
                <a:srgbClr val="29489A"/>
              </a:solidFill>
              <a:prstDash val="solid"/>
              <a:round/>
            </a:ln>
            <a:effectLst/>
          </c:spPr>
          <c:cat>
            <c:numRef>
              <c:f>'Grafikoni, CAB, Karakter'!$F$11:$F$23</c:f>
              <c:numCache>
                <c:formatCode>General</c:formatCode>
                <c:ptCount val="13"/>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numCache>
            </c:numRef>
          </c:cat>
          <c:val>
            <c:numRef>
              <c:f>('Grafikoni, CAB, Karakter'!$G$11:$G$29,'Grafikoni, CAB, Karakter'!$G$30,'Grafikoni, CAB, Karakter'!$G$31)</c:f>
              <c:numCache>
                <c:formatCode>#,##0.0</c:formatCode>
                <c:ptCount val="21"/>
                <c:pt idx="0">
                  <c:v>3.4939700056136114E-2</c:v>
                </c:pt>
                <c:pt idx="1">
                  <c:v>-2.6737461957498145</c:v>
                </c:pt>
                <c:pt idx="2">
                  <c:v>0.76144962619904333</c:v>
                </c:pt>
                <c:pt idx="3">
                  <c:v>4.0495583627767351</c:v>
                </c:pt>
                <c:pt idx="4">
                  <c:v>-0.38543712835940225</c:v>
                </c:pt>
                <c:pt idx="5">
                  <c:v>-0.71613496525201303</c:v>
                </c:pt>
                <c:pt idx="6">
                  <c:v>0.51938165790308555</c:v>
                </c:pt>
                <c:pt idx="7">
                  <c:v>-0.84661749418884957</c:v>
                </c:pt>
                <c:pt idx="8">
                  <c:v>1.2225595734986152</c:v>
                </c:pt>
                <c:pt idx="9">
                  <c:v>-1.436775981412165</c:v>
                </c:pt>
                <c:pt idx="10">
                  <c:v>-1.1990135967667208</c:v>
                </c:pt>
                <c:pt idx="11">
                  <c:v>-5.1829638002909087E-2</c:v>
                </c:pt>
                <c:pt idx="12">
                  <c:v>-0.60546515518663058</c:v>
                </c:pt>
                <c:pt idx="13">
                  <c:v>0.79653635267688672</c:v>
                </c:pt>
                <c:pt idx="14">
                  <c:v>1.8635799194734897</c:v>
                </c:pt>
                <c:pt idx="15">
                  <c:v>-2.3760860359486364</c:v>
                </c:pt>
                <c:pt idx="16">
                  <c:v>1.2791705611337654</c:v>
                </c:pt>
                <c:pt idx="17">
                  <c:v>0.71711618700126611</c:v>
                </c:pt>
                <c:pt idx="18">
                  <c:v>-0.28866159545633352</c:v>
                </c:pt>
                <c:pt idx="19">
                  <c:v>-0.44961713699199723</c:v>
                </c:pt>
                <c:pt idx="20">
                  <c:v>-0.21821469901886664</c:v>
                </c:pt>
              </c:numCache>
            </c:numRef>
          </c:val>
          <c:extLst>
            <c:ext xmlns:c16="http://schemas.microsoft.com/office/drawing/2014/chart" uri="{C3380CC4-5D6E-409C-BE32-E72D297353CC}">
              <c16:uniqueId val="{00000000-ADDD-4373-8888-F4421E821439}"/>
            </c:ext>
          </c:extLst>
        </c:ser>
        <c:dLbls>
          <c:showLegendKey val="0"/>
          <c:showVal val="0"/>
          <c:showCatName val="0"/>
          <c:showSerName val="0"/>
          <c:showPercent val="0"/>
          <c:showBubbleSize val="0"/>
        </c:dLbls>
        <c:axId val="231172000"/>
        <c:axId val="231170912"/>
      </c:areaChart>
      <c:lineChart>
        <c:grouping val="standard"/>
        <c:varyColors val="0"/>
        <c:ser>
          <c:idx val="0"/>
          <c:order val="0"/>
          <c:tx>
            <c:strRef>
              <c:f>'Grafikoni, CAB, Karakter'!$H$10</c:f>
              <c:strCache>
                <c:ptCount val="1"/>
                <c:pt idx="0">
                  <c:v>Фискални 
биланс</c:v>
                </c:pt>
              </c:strCache>
            </c:strRef>
          </c:tx>
          <c:spPr>
            <a:ln w="25400" cap="rnd" cmpd="sng" algn="ctr">
              <a:solidFill>
                <a:schemeClr val="accent3">
                  <a:shade val="53000"/>
                  <a:shade val="95000"/>
                  <a:satMod val="105000"/>
                </a:schemeClr>
              </a:solidFill>
              <a:prstDash val="solid"/>
              <a:round/>
            </a:ln>
            <a:effectLst/>
          </c:spPr>
          <c:marker>
            <c:symbol val="none"/>
          </c:marker>
          <c:cat>
            <c:numRef>
              <c:f>('Grafikoni, CAB, Karakter'!$F$11:$F$29,'Grafikoni, CAB, Karakter'!$F$30,'Grafikoni, CAB, Karakter'!$F$31)</c:f>
              <c:numCache>
                <c:formatCode>General</c:formatCode>
                <c:ptCount val="21"/>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pt idx="15">
                  <c:v>2020</c:v>
                </c:pt>
                <c:pt idx="16">
                  <c:v>2021</c:v>
                </c:pt>
                <c:pt idx="17">
                  <c:v>2022</c:v>
                </c:pt>
                <c:pt idx="18">
                  <c:v>2023</c:v>
                </c:pt>
                <c:pt idx="19">
                  <c:v>2024</c:v>
                </c:pt>
                <c:pt idx="20">
                  <c:v>2025</c:v>
                </c:pt>
              </c:numCache>
            </c:numRef>
          </c:cat>
          <c:val>
            <c:numRef>
              <c:f>('Grafikoni, CAB, Karakter'!$H$11:$H$29,'Grafikoni, CAB, Karakter'!$H$30,'Grafikoni, CAB, Karakter'!$H$31)</c:f>
              <c:numCache>
                <c:formatCode>#,##0.0</c:formatCode>
                <c:ptCount val="21"/>
                <c:pt idx="0">
                  <c:v>1.1229513642911615</c:v>
                </c:pt>
                <c:pt idx="1">
                  <c:v>-1.4151456839897949</c:v>
                </c:pt>
                <c:pt idx="2">
                  <c:v>-1.7846058996685674</c:v>
                </c:pt>
                <c:pt idx="3">
                  <c:v>-2.4768975856092812</c:v>
                </c:pt>
                <c:pt idx="4">
                  <c:v>-4.1655024905891214</c:v>
                </c:pt>
                <c:pt idx="5">
                  <c:v>-4.3381740101726747</c:v>
                </c:pt>
                <c:pt idx="6">
                  <c:v>-4.5257988775356361</c:v>
                </c:pt>
                <c:pt idx="7">
                  <c:v>-6.4352841344073424</c:v>
                </c:pt>
                <c:pt idx="8">
                  <c:v>-5.1464767188637195</c:v>
                </c:pt>
                <c:pt idx="9">
                  <c:v>-6.2041437165115507</c:v>
                </c:pt>
                <c:pt idx="10">
                  <c:v>-3.4561672728767112</c:v>
                </c:pt>
                <c:pt idx="11">
                  <c:v>-1.1926941660681765</c:v>
                </c:pt>
                <c:pt idx="12">
                  <c:v>1.0986349345465762</c:v>
                </c:pt>
                <c:pt idx="13">
                  <c:v>0.63523655395945411</c:v>
                </c:pt>
                <c:pt idx="14">
                  <c:v>-0.20497664525511922</c:v>
                </c:pt>
                <c:pt idx="15">
                  <c:v>-8.0441635730355401</c:v>
                </c:pt>
                <c:pt idx="16">
                  <c:v>-4.0999999999999996</c:v>
                </c:pt>
                <c:pt idx="17">
                  <c:v>-3.8</c:v>
                </c:pt>
                <c:pt idx="18">
                  <c:v>-3.3</c:v>
                </c:pt>
                <c:pt idx="19">
                  <c:v>-2.2000000000000002</c:v>
                </c:pt>
                <c:pt idx="20">
                  <c:v>-1.4</c:v>
                </c:pt>
              </c:numCache>
            </c:numRef>
          </c:val>
          <c:smooth val="0"/>
          <c:extLst>
            <c:ext xmlns:c16="http://schemas.microsoft.com/office/drawing/2014/chart" uri="{C3380CC4-5D6E-409C-BE32-E72D297353CC}">
              <c16:uniqueId val="{00000001-ADDD-4373-8888-F4421E821439}"/>
            </c:ext>
          </c:extLst>
        </c:ser>
        <c:ser>
          <c:idx val="1"/>
          <c:order val="1"/>
          <c:tx>
            <c:strRef>
              <c:f>'Grafikoni, CAB, Karakter'!$K$10</c:f>
              <c:strCache>
                <c:ptCount val="1"/>
                <c:pt idx="0">
                  <c:v>Циклично 
прилагођени  фискални биланс</c:v>
                </c:pt>
              </c:strCache>
            </c:strRef>
          </c:tx>
          <c:spPr>
            <a:ln w="25400" cap="rnd" cmpd="sng" algn="ctr">
              <a:solidFill>
                <a:schemeClr val="tx1"/>
              </a:solidFill>
              <a:prstDash val="solid"/>
              <a:round/>
            </a:ln>
            <a:effectLst/>
          </c:spPr>
          <c:marker>
            <c:symbol val="none"/>
          </c:marker>
          <c:cat>
            <c:numRef>
              <c:f>('Grafikoni, CAB, Karakter'!$F$11:$F$29,'Grafikoni, CAB, Karakter'!$F$30,'Grafikoni, CAB, Karakter'!$F$31)</c:f>
              <c:numCache>
                <c:formatCode>General</c:formatCode>
                <c:ptCount val="21"/>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pt idx="15">
                  <c:v>2020</c:v>
                </c:pt>
                <c:pt idx="16">
                  <c:v>2021</c:v>
                </c:pt>
                <c:pt idx="17">
                  <c:v>2022</c:v>
                </c:pt>
                <c:pt idx="18">
                  <c:v>2023</c:v>
                </c:pt>
                <c:pt idx="19">
                  <c:v>2024</c:v>
                </c:pt>
                <c:pt idx="20">
                  <c:v>2025</c:v>
                </c:pt>
              </c:numCache>
            </c:numRef>
          </c:cat>
          <c:val>
            <c:numRef>
              <c:f>('Grafikoni, CAB, Karakter'!$K$11:$K$29,'Grafikoni, CAB, Karakter'!$K$30,'Grafikoni, CAB, Karakter'!$K$31)</c:f>
              <c:numCache>
                <c:formatCode>#,##0.0</c:formatCode>
                <c:ptCount val="21"/>
                <c:pt idx="0">
                  <c:v>1.110553570451444</c:v>
                </c:pt>
                <c:pt idx="1">
                  <c:v>-0.46640960264458897</c:v>
                </c:pt>
                <c:pt idx="2">
                  <c:v>-2.0547941230871558</c:v>
                </c:pt>
                <c:pt idx="3">
                  <c:v>-3.9138186136360584</c:v>
                </c:pt>
                <c:pt idx="4">
                  <c:v>-4.0287362891650931</c:v>
                </c:pt>
                <c:pt idx="5">
                  <c:v>-4.0840649695586135</c:v>
                </c:pt>
                <c:pt idx="6">
                  <c:v>-4.7100931533441761</c:v>
                </c:pt>
                <c:pt idx="7">
                  <c:v>-6.1348754549628168</c:v>
                </c:pt>
                <c:pt idx="8">
                  <c:v>-5.5802824334135508</c:v>
                </c:pt>
                <c:pt idx="9">
                  <c:v>-5.6943267351755109</c:v>
                </c:pt>
                <c:pt idx="10">
                  <c:v>-3.0307164716434736</c:v>
                </c:pt>
                <c:pt idx="11">
                  <c:v>-1.1743032478371995</c:v>
                </c:pt>
                <c:pt idx="12">
                  <c:v>1.3134745627939914</c:v>
                </c:pt>
                <c:pt idx="13">
                  <c:v>0.35259836672652334</c:v>
                </c:pt>
                <c:pt idx="14">
                  <c:v>-0.86623817893598143</c:v>
                </c:pt>
                <c:pt idx="15">
                  <c:v>-7.2010474394741824</c:v>
                </c:pt>
                <c:pt idx="16">
                  <c:v>-4.5538932182386365</c:v>
                </c:pt>
                <c:pt idx="17">
                  <c:v>-4.0544572114609405</c:v>
                </c:pt>
                <c:pt idx="18">
                  <c:v>-3.1975730488767291</c:v>
                </c:pt>
                <c:pt idx="19">
                  <c:v>-2.0404605488234036</c:v>
                </c:pt>
                <c:pt idx="20">
                  <c:v>-1.3225700035522536</c:v>
                </c:pt>
              </c:numCache>
            </c:numRef>
          </c:val>
          <c:smooth val="1"/>
          <c:extLst>
            <c:ext xmlns:c16="http://schemas.microsoft.com/office/drawing/2014/chart" uri="{C3380CC4-5D6E-409C-BE32-E72D297353CC}">
              <c16:uniqueId val="{00000002-ADDD-4373-8888-F4421E821439}"/>
            </c:ext>
          </c:extLst>
        </c:ser>
        <c:ser>
          <c:idx val="4"/>
          <c:order val="3"/>
          <c:tx>
            <c:strRef>
              <c:f>'Grafikoni, CAB, Karakter'!$N$10</c:f>
              <c:strCache>
                <c:ptCount val="1"/>
                <c:pt idx="0">
                  <c:v>Структурни примарни фискални биланс</c:v>
                </c:pt>
              </c:strCache>
            </c:strRef>
          </c:tx>
          <c:spPr>
            <a:ln w="25400" cap="rnd" cmpd="sng" algn="ctr">
              <a:solidFill>
                <a:srgbClr val="FF0000"/>
              </a:solidFill>
              <a:prstDash val="solid"/>
              <a:round/>
            </a:ln>
            <a:effectLst/>
          </c:spPr>
          <c:marker>
            <c:symbol val="none"/>
          </c:marker>
          <c:cat>
            <c:numRef>
              <c:f>('Grafikoni, CAB, Karakter'!$F$11:$F$29,'Grafikoni, CAB, Karakter'!$F$30,'Grafikoni, CAB, Karakter'!$F$31)</c:f>
              <c:numCache>
                <c:formatCode>General</c:formatCode>
                <c:ptCount val="21"/>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pt idx="15">
                  <c:v>2020</c:v>
                </c:pt>
                <c:pt idx="16">
                  <c:v>2021</c:v>
                </c:pt>
                <c:pt idx="17">
                  <c:v>2022</c:v>
                </c:pt>
                <c:pt idx="18">
                  <c:v>2023</c:v>
                </c:pt>
                <c:pt idx="19">
                  <c:v>2024</c:v>
                </c:pt>
                <c:pt idx="20">
                  <c:v>2025</c:v>
                </c:pt>
              </c:numCache>
            </c:numRef>
          </c:cat>
          <c:val>
            <c:numRef>
              <c:f>('Grafikoni, CAB, Karakter'!$N$11:$N$29,'Grafikoni, CAB, Karakter'!$N$30,'Grafikoni, CAB, Karakter'!$N$31)</c:f>
              <c:numCache>
                <c:formatCode>#,##0.0</c:formatCode>
                <c:ptCount val="21"/>
                <c:pt idx="0">
                  <c:v>2.2311622467225694</c:v>
                </c:pt>
                <c:pt idx="1">
                  <c:v>1.4736084198352599</c:v>
                </c:pt>
                <c:pt idx="2">
                  <c:v>-1.1725112848544537</c:v>
                </c:pt>
                <c:pt idx="3">
                  <c:v>-3.4329056835584044</c:v>
                </c:pt>
                <c:pt idx="4">
                  <c:v>-3.4932552726963686</c:v>
                </c:pt>
                <c:pt idx="5">
                  <c:v>-3.2444435260899414</c:v>
                </c:pt>
                <c:pt idx="6">
                  <c:v>-3.7665815726292906</c:v>
                </c:pt>
                <c:pt idx="7">
                  <c:v>-4.3801996816361237</c:v>
                </c:pt>
                <c:pt idx="8">
                  <c:v>-3.1172278679976011</c:v>
                </c:pt>
                <c:pt idx="9">
                  <c:v>-2.1599760228236335</c:v>
                </c:pt>
                <c:pt idx="10">
                  <c:v>0.78913265140650313</c:v>
                </c:pt>
                <c:pt idx="11">
                  <c:v>1.8002495358173582</c:v>
                </c:pt>
                <c:pt idx="12">
                  <c:v>3.7046736122520598</c:v>
                </c:pt>
                <c:pt idx="13">
                  <c:v>2.3170716492536387</c:v>
                </c:pt>
                <c:pt idx="14">
                  <c:v>0.9477646633756206</c:v>
                </c:pt>
                <c:pt idx="15">
                  <c:v>1.8489196056863451</c:v>
                </c:pt>
                <c:pt idx="16">
                  <c:v>1.2578191045531799</c:v>
                </c:pt>
                <c:pt idx="17">
                  <c:v>0.49902159693107073</c:v>
                </c:pt>
                <c:pt idx="18">
                  <c:v>0.22792943707360136</c:v>
                </c:pt>
                <c:pt idx="19">
                  <c:v>1.7354247844896115E-2</c:v>
                </c:pt>
                <c:pt idx="20">
                  <c:v>0.60297152217415773</c:v>
                </c:pt>
              </c:numCache>
            </c:numRef>
          </c:val>
          <c:smooth val="0"/>
          <c:extLst>
            <c:ext xmlns:c16="http://schemas.microsoft.com/office/drawing/2014/chart" uri="{C3380CC4-5D6E-409C-BE32-E72D297353CC}">
              <c16:uniqueId val="{00000003-ADDD-4373-8888-F4421E821439}"/>
            </c:ext>
          </c:extLst>
        </c:ser>
        <c:ser>
          <c:idx val="3"/>
          <c:order val="4"/>
          <c:tx>
            <c:strRef>
              <c:f>'Grafikoni, CAB, Karakter'!$M$10</c:f>
              <c:strCache>
                <c:ptCount val="1"/>
                <c:pt idx="0">
                  <c:v>Структурни  фискални биланс</c:v>
                </c:pt>
              </c:strCache>
            </c:strRef>
          </c:tx>
          <c:spPr>
            <a:ln w="28575" cap="rnd" cmpd="sng" algn="ctr">
              <a:solidFill>
                <a:schemeClr val="accent6"/>
              </a:solidFill>
              <a:prstDash val="solid"/>
              <a:round/>
            </a:ln>
            <a:effectLst/>
          </c:spPr>
          <c:marker>
            <c:symbol val="none"/>
          </c:marker>
          <c:cat>
            <c:numRef>
              <c:f>('Grafikoni, CAB, Karakter'!$F$11:$F$29,'Grafikoni, CAB, Karakter'!$F$30,'Grafikoni, CAB, Karakter'!$F$31)</c:f>
              <c:numCache>
                <c:formatCode>General</c:formatCode>
                <c:ptCount val="21"/>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pt idx="15">
                  <c:v>2020</c:v>
                </c:pt>
                <c:pt idx="16">
                  <c:v>2021</c:v>
                </c:pt>
                <c:pt idx="17">
                  <c:v>2022</c:v>
                </c:pt>
                <c:pt idx="18">
                  <c:v>2023</c:v>
                </c:pt>
                <c:pt idx="19">
                  <c:v>2024</c:v>
                </c:pt>
                <c:pt idx="20">
                  <c:v>2025</c:v>
                </c:pt>
              </c:numCache>
            </c:numRef>
          </c:cat>
          <c:val>
            <c:numRef>
              <c:f>('Grafikoni, CAB, Karakter'!$M$11:$M$29,'Grafikoni, CAB, Karakter'!$M$30,'Grafikoni, CAB, Karakter'!$M$31)</c:f>
              <c:numCache>
                <c:formatCode>#,##0.0</c:formatCode>
                <c:ptCount val="21"/>
                <c:pt idx="0">
                  <c:v>1.3271381895220509</c:v>
                </c:pt>
                <c:pt idx="1">
                  <c:v>0.2075824472504697</c:v>
                </c:pt>
                <c:pt idx="2">
                  <c:v>-1.7179597626963985</c:v>
                </c:pt>
                <c:pt idx="3">
                  <c:v>-3.9722690977912527</c:v>
                </c:pt>
                <c:pt idx="4">
                  <c:v>-4.1008169690953293</c:v>
                </c:pt>
                <c:pt idx="5">
                  <c:v>-4.2009671360246328</c:v>
                </c:pt>
                <c:pt idx="6">
                  <c:v>-4.9204873699870255</c:v>
                </c:pt>
                <c:pt idx="7">
                  <c:v>-6.0876320787466218</c:v>
                </c:pt>
                <c:pt idx="8">
                  <c:v>-5.3109434159037612</c:v>
                </c:pt>
                <c:pt idx="9">
                  <c:v>-4.8242491403998029</c:v>
                </c:pt>
                <c:pt idx="10">
                  <c:v>-2.1964214594349079</c:v>
                </c:pt>
                <c:pt idx="11">
                  <c:v>-1.0970097035353688</c:v>
                </c:pt>
                <c:pt idx="12">
                  <c:v>1.1685374782494489</c:v>
                </c:pt>
                <c:pt idx="13">
                  <c:v>0.20475487814176244</c:v>
                </c:pt>
                <c:pt idx="14">
                  <c:v>-1.0488326471351259</c:v>
                </c:pt>
                <c:pt idx="15">
                  <c:v>-0.15399752641323072</c:v>
                </c:pt>
                <c:pt idx="16">
                  <c:v>-0.47580638800299546</c:v>
                </c:pt>
                <c:pt idx="17">
                  <c:v>-1.1331711170227785</c:v>
                </c:pt>
                <c:pt idx="18">
                  <c:v>-1.5901164439746096</c:v>
                </c:pt>
                <c:pt idx="19">
                  <c:v>-2.0404605488234036</c:v>
                </c:pt>
                <c:pt idx="20">
                  <c:v>-1.3225700035522536</c:v>
                </c:pt>
              </c:numCache>
            </c:numRef>
          </c:val>
          <c:smooth val="0"/>
          <c:extLst>
            <c:ext xmlns:c16="http://schemas.microsoft.com/office/drawing/2014/chart" uri="{C3380CC4-5D6E-409C-BE32-E72D297353CC}">
              <c16:uniqueId val="{00000004-ADDD-4373-8888-F4421E821439}"/>
            </c:ext>
          </c:extLst>
        </c:ser>
        <c:dLbls>
          <c:showLegendKey val="0"/>
          <c:showVal val="0"/>
          <c:showCatName val="0"/>
          <c:showSerName val="0"/>
          <c:showPercent val="0"/>
          <c:showBubbleSize val="0"/>
        </c:dLbls>
        <c:marker val="1"/>
        <c:smooth val="0"/>
        <c:axId val="231172000"/>
        <c:axId val="231170912"/>
      </c:lineChart>
      <c:catAx>
        <c:axId val="231172000"/>
        <c:scaling>
          <c:orientation val="minMax"/>
        </c:scaling>
        <c:delete val="0"/>
        <c:axPos val="b"/>
        <c:majorGridlines>
          <c:spPr>
            <a:ln w="9525" cap="flat" cmpd="sng" algn="ctr">
              <a:noFill/>
              <a:prstDash val="sysDot"/>
              <a:round/>
            </a:ln>
            <a:effectLst/>
          </c:spPr>
        </c:majorGridlines>
        <c:numFmt formatCode="General" sourceLinked="1"/>
        <c:majorTickMark val="out"/>
        <c:minorTickMark val="none"/>
        <c:tickLblPos val="nextTo"/>
        <c:spPr>
          <a:noFill/>
          <a:ln w="9525" cap="flat" cmpd="sng" algn="ctr">
            <a:solidFill>
              <a:schemeClr val="dk1">
                <a:tint val="75000"/>
                <a:shade val="95000"/>
                <a:satMod val="105000"/>
              </a:schemeClr>
            </a:solidFill>
            <a:prstDash val="solid"/>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31170912"/>
        <c:crosses val="autoZero"/>
        <c:auto val="1"/>
        <c:lblAlgn val="ctr"/>
        <c:lblOffset val="100"/>
        <c:noMultiLvlLbl val="0"/>
      </c:catAx>
      <c:valAx>
        <c:axId val="231170912"/>
        <c:scaling>
          <c:orientation val="minMax"/>
          <c:max val="5"/>
          <c:min val="-9"/>
        </c:scaling>
        <c:delete val="0"/>
        <c:axPos val="l"/>
        <c:majorGridlines>
          <c:spPr>
            <a:ln w="9525" cap="flat" cmpd="sng" algn="ctr">
              <a:noFill/>
              <a:prstDash val="sysDot"/>
              <a:round/>
            </a:ln>
            <a:effectLst/>
          </c:spPr>
        </c:majorGridlines>
        <c:title>
          <c:tx>
            <c:rich>
              <a:bodyPr rot="-54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sr-Cyrl-CS" sz="800" b="0">
                    <a:solidFill>
                      <a:sysClr val="windowText" lastClr="000000"/>
                    </a:solidFill>
                    <a:latin typeface="Times New Roman" panose="02020603050405020304" pitchFamily="18" charset="0"/>
                    <a:cs typeface="Times New Roman" panose="02020603050405020304" pitchFamily="18" charset="0"/>
                  </a:rPr>
                  <a:t>% БДП</a:t>
                </a:r>
              </a:p>
            </c:rich>
          </c:tx>
          <c:layout>
            <c:manualLayout>
              <c:xMode val="edge"/>
              <c:yMode val="edge"/>
              <c:x val="0.10894497616764057"/>
              <c:y val="9.467553304953491E-2"/>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0" sourceLinked="0"/>
        <c:majorTickMark val="out"/>
        <c:minorTickMark val="none"/>
        <c:tickLblPos val="nextTo"/>
        <c:spPr>
          <a:noFill/>
          <a:ln w="9525" cap="flat" cmpd="sng" algn="ctr">
            <a:solidFill>
              <a:schemeClr val="dk1">
                <a:tint val="75000"/>
                <a:shade val="95000"/>
                <a:satMod val="105000"/>
              </a:schemeClr>
            </a:solidFill>
            <a:prstDash val="solid"/>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31172000"/>
        <c:crosses val="autoZero"/>
        <c:crossBetween val="between"/>
      </c:valAx>
      <c:spPr>
        <a:noFill/>
        <a:ln>
          <a:noFill/>
        </a:ln>
        <a:effectLst/>
      </c:spPr>
    </c:plotArea>
    <c:legend>
      <c:legendPos val="r"/>
      <c:layout>
        <c:manualLayout>
          <c:xMode val="edge"/>
          <c:yMode val="edge"/>
          <c:x val="0.115363283416528"/>
          <c:y val="0.70210547924841726"/>
          <c:w val="0.78878317381364127"/>
          <c:h val="0.2739208917434916"/>
        </c:manualLayout>
      </c:layout>
      <c:overlay val="0"/>
      <c:spPr>
        <a:noFill/>
        <a:ln>
          <a:noFill/>
        </a:ln>
        <a:effectLst/>
      </c:spPr>
      <c:txPr>
        <a:bodyPr rot="0" spcFirstLastPara="1" vertOverflow="ellipsis" vert="horz" wrap="square" anchor="ctr" anchorCtr="1"/>
        <a:lstStyle/>
        <a:p>
          <a:pPr>
            <a:defRPr sz="8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lt1"/>
    </a:solidFill>
    <a:ln w="9525" cap="flat" cmpd="sng" algn="ctr">
      <a:noFill/>
      <a:prstDash val="solid"/>
      <a:round/>
    </a:ln>
    <a:effectLst/>
  </c:spPr>
  <c:txPr>
    <a:bodyPr/>
    <a:lstStyle/>
    <a:p>
      <a:pPr>
        <a:spcAft>
          <a:spcPts val="0"/>
        </a:spcAft>
        <a:defRPr/>
      </a:pPr>
      <a:endParaRPr lang="en-US"/>
    </a:p>
  </c:txPr>
  <c:externalData r:id="rId3">
    <c:autoUpdate val="0"/>
  </c:externalData>
  <c:userShapes r:id="rId4"/>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3618440989179343E-2"/>
          <c:y val="5.7086964129483823E-2"/>
          <c:w val="0.91635877205946437"/>
          <c:h val="0.82967423338395085"/>
        </c:manualLayout>
      </c:layout>
      <c:barChart>
        <c:barDir val="col"/>
        <c:grouping val="clustered"/>
        <c:varyColors val="0"/>
        <c:ser>
          <c:idx val="0"/>
          <c:order val="0"/>
          <c:tx>
            <c:strRef>
              <c:f>'Grafikoni, CAB, Karakter'!$O$10</c:f>
              <c:strCache>
                <c:ptCount val="1"/>
                <c:pt idx="0">
                  <c:v>Фискални импулс</c:v>
                </c:pt>
              </c:strCache>
            </c:strRef>
          </c:tx>
          <c:spPr>
            <a:solidFill>
              <a:srgbClr val="29489A"/>
            </a:solidFill>
            <a:ln w="9525" cap="flat" cmpd="sng" algn="ctr">
              <a:solidFill>
                <a:schemeClr val="accent3">
                  <a:shade val="50000"/>
                  <a:shade val="95000"/>
                  <a:satMod val="105000"/>
                </a:schemeClr>
              </a:solidFill>
              <a:prstDash val="solid"/>
              <a:round/>
            </a:ln>
            <a:effectLst/>
          </c:spPr>
          <c:invertIfNegative val="0"/>
          <c:cat>
            <c:numRef>
              <c:f>'Grafikoni, CAB, Karakter'!$F$12:$F$31</c:f>
              <c:numCache>
                <c:formatCode>General</c:formatCode>
                <c:ptCount val="20"/>
                <c:pt idx="0">
                  <c:v>2006</c:v>
                </c:pt>
                <c:pt idx="1">
                  <c:v>2007</c:v>
                </c:pt>
                <c:pt idx="2">
                  <c:v>2008</c:v>
                </c:pt>
                <c:pt idx="3">
                  <c:v>2009</c:v>
                </c:pt>
                <c:pt idx="4">
                  <c:v>2010</c:v>
                </c:pt>
                <c:pt idx="5">
                  <c:v>2011</c:v>
                </c:pt>
                <c:pt idx="6">
                  <c:v>2012</c:v>
                </c:pt>
                <c:pt idx="7">
                  <c:v>2013</c:v>
                </c:pt>
                <c:pt idx="8">
                  <c:v>2014</c:v>
                </c:pt>
                <c:pt idx="9">
                  <c:v>2015</c:v>
                </c:pt>
                <c:pt idx="10">
                  <c:v>2016</c:v>
                </c:pt>
                <c:pt idx="11">
                  <c:v>2017</c:v>
                </c:pt>
                <c:pt idx="12">
                  <c:v>2018</c:v>
                </c:pt>
                <c:pt idx="13">
                  <c:v>2019</c:v>
                </c:pt>
                <c:pt idx="14">
                  <c:v>2020</c:v>
                </c:pt>
                <c:pt idx="15">
                  <c:v>2021</c:v>
                </c:pt>
                <c:pt idx="16">
                  <c:v>2022</c:v>
                </c:pt>
                <c:pt idx="17">
                  <c:v>2023</c:v>
                </c:pt>
                <c:pt idx="18">
                  <c:v>2024</c:v>
                </c:pt>
                <c:pt idx="19">
                  <c:v>2025</c:v>
                </c:pt>
              </c:numCache>
            </c:numRef>
          </c:cat>
          <c:val>
            <c:numRef>
              <c:f>('Grafikoni, CAB, Karakter'!$O$12:$O$29,'Grafikoni, CAB, Karakter'!$O$30,'Grafikoni, CAB, Karakter'!$O$31)</c:f>
              <c:numCache>
                <c:formatCode>#,##0.0</c:formatCode>
                <c:ptCount val="20"/>
                <c:pt idx="0">
                  <c:v>1.2149612577117612</c:v>
                </c:pt>
                <c:pt idx="1">
                  <c:v>2.3089620151854122</c:v>
                </c:pt>
                <c:pt idx="2">
                  <c:v>1.8651095541579992</c:v>
                </c:pt>
                <c:pt idx="3">
                  <c:v>4.671939336292219E-2</c:v>
                </c:pt>
                <c:pt idx="4">
                  <c:v>-0.29363323314221068</c:v>
                </c:pt>
                <c:pt idx="5">
                  <c:v>0.42864599636251954</c:v>
                </c:pt>
                <c:pt idx="6">
                  <c:v>0.87125570186587753</c:v>
                </c:pt>
                <c:pt idx="7">
                  <c:v>-1.0408761723449285</c:v>
                </c:pt>
                <c:pt idx="8">
                  <c:v>-0.35651326790804827</c:v>
                </c:pt>
                <c:pt idx="9">
                  <c:v>-2.9848912567972792</c:v>
                </c:pt>
                <c:pt idx="10">
                  <c:v>-1.7681183523175903</c:v>
                </c:pt>
                <c:pt idx="11">
                  <c:v>-2.1266547052810747</c:v>
                </c:pt>
                <c:pt idx="12">
                  <c:v>1.3846955589582026</c:v>
                </c:pt>
                <c:pt idx="13">
                  <c:v>1.3345560062636346</c:v>
                </c:pt>
                <c:pt idx="14">
                  <c:v>6.3284894389493722</c:v>
                </c:pt>
                <c:pt idx="15">
                  <c:v>-2.3778625816921455</c:v>
                </c:pt>
                <c:pt idx="16">
                  <c:v>-0.39800322817536982</c:v>
                </c:pt>
                <c:pt idx="17">
                  <c:v>-1.0427373296785731</c:v>
                </c:pt>
                <c:pt idx="18">
                  <c:v>-1.3968814156734142</c:v>
                </c:pt>
                <c:pt idx="19">
                  <c:v>-0.58561727432926158</c:v>
                </c:pt>
              </c:numCache>
            </c:numRef>
          </c:val>
          <c:extLst>
            <c:ext xmlns:c16="http://schemas.microsoft.com/office/drawing/2014/chart" uri="{C3380CC4-5D6E-409C-BE32-E72D297353CC}">
              <c16:uniqueId val="{00000000-D6D8-4CB6-9D84-A4089B9A1801}"/>
            </c:ext>
          </c:extLst>
        </c:ser>
        <c:dLbls>
          <c:showLegendKey val="0"/>
          <c:showVal val="0"/>
          <c:showCatName val="0"/>
          <c:showSerName val="0"/>
          <c:showPercent val="0"/>
          <c:showBubbleSize val="0"/>
        </c:dLbls>
        <c:gapWidth val="41"/>
        <c:overlap val="-12"/>
        <c:axId val="231195936"/>
        <c:axId val="231184512"/>
      </c:barChart>
      <c:lineChart>
        <c:grouping val="standard"/>
        <c:varyColors val="0"/>
        <c:ser>
          <c:idx val="1"/>
          <c:order val="1"/>
          <c:tx>
            <c:strRef>
              <c:f>'Grafikoni, CAB, Karakter'!$G$10</c:f>
              <c:strCache>
                <c:ptCount val="1"/>
                <c:pt idx="0">
                  <c:v>Производни јаз </c:v>
                </c:pt>
              </c:strCache>
            </c:strRef>
          </c:tx>
          <c:spPr>
            <a:ln w="31750" cap="rnd" cmpd="sng" algn="ctr">
              <a:solidFill>
                <a:srgbClr val="FF0000"/>
              </a:solidFill>
              <a:prstDash val="solid"/>
              <a:round/>
            </a:ln>
            <a:effectLst/>
          </c:spPr>
          <c:marker>
            <c:symbol val="none"/>
          </c:marker>
          <c:cat>
            <c:numRef>
              <c:f>('Grafikoni, CAB, Karakter'!$F$12:$F$29,'Grafikoni, CAB, Karakter'!$F$30,'Grafikoni, CAB, Karakter'!$F$31)</c:f>
              <c:numCache>
                <c:formatCode>General</c:formatCode>
                <c:ptCount val="20"/>
                <c:pt idx="0">
                  <c:v>2006</c:v>
                </c:pt>
                <c:pt idx="1">
                  <c:v>2007</c:v>
                </c:pt>
                <c:pt idx="2">
                  <c:v>2008</c:v>
                </c:pt>
                <c:pt idx="3">
                  <c:v>2009</c:v>
                </c:pt>
                <c:pt idx="4">
                  <c:v>2010</c:v>
                </c:pt>
                <c:pt idx="5">
                  <c:v>2011</c:v>
                </c:pt>
                <c:pt idx="6">
                  <c:v>2012</c:v>
                </c:pt>
                <c:pt idx="7">
                  <c:v>2013</c:v>
                </c:pt>
                <c:pt idx="8">
                  <c:v>2014</c:v>
                </c:pt>
                <c:pt idx="9">
                  <c:v>2015</c:v>
                </c:pt>
                <c:pt idx="10">
                  <c:v>2016</c:v>
                </c:pt>
                <c:pt idx="11">
                  <c:v>2017</c:v>
                </c:pt>
                <c:pt idx="12">
                  <c:v>2018</c:v>
                </c:pt>
                <c:pt idx="13">
                  <c:v>2019</c:v>
                </c:pt>
                <c:pt idx="14">
                  <c:v>2020</c:v>
                </c:pt>
                <c:pt idx="15">
                  <c:v>2021</c:v>
                </c:pt>
                <c:pt idx="16">
                  <c:v>2022</c:v>
                </c:pt>
                <c:pt idx="17">
                  <c:v>2023</c:v>
                </c:pt>
                <c:pt idx="18">
                  <c:v>2024</c:v>
                </c:pt>
                <c:pt idx="19">
                  <c:v>2025</c:v>
                </c:pt>
              </c:numCache>
            </c:numRef>
          </c:cat>
          <c:val>
            <c:numRef>
              <c:f>('Grafikoni, CAB, Karakter'!$G$12:$G$29,'Grafikoni, CAB, Karakter'!$G$30,'Grafikoni, CAB, Karakter'!$G$31)</c:f>
              <c:numCache>
                <c:formatCode>#,##0.0</c:formatCode>
                <c:ptCount val="20"/>
                <c:pt idx="0">
                  <c:v>-2.6737461957498145</c:v>
                </c:pt>
                <c:pt idx="1">
                  <c:v>0.76144962619904333</c:v>
                </c:pt>
                <c:pt idx="2">
                  <c:v>4.0495583627767351</c:v>
                </c:pt>
                <c:pt idx="3">
                  <c:v>-0.38543712835940225</c:v>
                </c:pt>
                <c:pt idx="4">
                  <c:v>-0.71613496525201303</c:v>
                </c:pt>
                <c:pt idx="5">
                  <c:v>0.51938165790308555</c:v>
                </c:pt>
                <c:pt idx="6">
                  <c:v>-0.84661749418884957</c:v>
                </c:pt>
                <c:pt idx="7">
                  <c:v>1.2225595734986152</c:v>
                </c:pt>
                <c:pt idx="8">
                  <c:v>-1.436775981412165</c:v>
                </c:pt>
                <c:pt idx="9">
                  <c:v>-1.1990135967667208</c:v>
                </c:pt>
                <c:pt idx="10">
                  <c:v>-5.1829638002909087E-2</c:v>
                </c:pt>
                <c:pt idx="11">
                  <c:v>-0.60546515518663058</c:v>
                </c:pt>
                <c:pt idx="12">
                  <c:v>0.79653635267688672</c:v>
                </c:pt>
                <c:pt idx="13">
                  <c:v>1.8635799194734897</c:v>
                </c:pt>
                <c:pt idx="14">
                  <c:v>-2.3760860359486364</c:v>
                </c:pt>
                <c:pt idx="15">
                  <c:v>1.2791705611337654</c:v>
                </c:pt>
                <c:pt idx="16">
                  <c:v>0.71711618700126611</c:v>
                </c:pt>
                <c:pt idx="17">
                  <c:v>-0.28866159545633352</c:v>
                </c:pt>
                <c:pt idx="18">
                  <c:v>-0.44961713699199723</c:v>
                </c:pt>
                <c:pt idx="19">
                  <c:v>-0.21821469901886664</c:v>
                </c:pt>
              </c:numCache>
            </c:numRef>
          </c:val>
          <c:smooth val="1"/>
          <c:extLst>
            <c:ext xmlns:c16="http://schemas.microsoft.com/office/drawing/2014/chart" uri="{C3380CC4-5D6E-409C-BE32-E72D297353CC}">
              <c16:uniqueId val="{00000001-D6D8-4CB6-9D84-A4089B9A1801}"/>
            </c:ext>
          </c:extLst>
        </c:ser>
        <c:dLbls>
          <c:showLegendKey val="0"/>
          <c:showVal val="0"/>
          <c:showCatName val="0"/>
          <c:showSerName val="0"/>
          <c:showPercent val="0"/>
          <c:showBubbleSize val="0"/>
        </c:dLbls>
        <c:marker val="1"/>
        <c:smooth val="0"/>
        <c:axId val="231195936"/>
        <c:axId val="231184512"/>
      </c:lineChart>
      <c:catAx>
        <c:axId val="231195936"/>
        <c:scaling>
          <c:orientation val="minMax"/>
        </c:scaling>
        <c:delete val="0"/>
        <c:axPos val="b"/>
        <c:majorGridlines>
          <c:spPr>
            <a:ln w="9525" cap="flat" cmpd="sng" algn="ctr">
              <a:noFill/>
              <a:prstDash val="solid"/>
              <a:round/>
            </a:ln>
            <a:effectLst/>
          </c:spPr>
        </c:majorGridlines>
        <c:numFmt formatCode="General" sourceLinked="1"/>
        <c:majorTickMark val="out"/>
        <c:minorTickMark val="none"/>
        <c:tickLblPos val="low"/>
        <c:spPr>
          <a:noFill/>
          <a:ln w="6350" cap="flat" cmpd="sng" algn="ctr">
            <a:solidFill>
              <a:srgbClr val="898989"/>
            </a:solidFill>
            <a:prstDash val="solid"/>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31184512"/>
        <c:crosses val="autoZero"/>
        <c:auto val="1"/>
        <c:lblAlgn val="ctr"/>
        <c:lblOffset val="100"/>
        <c:noMultiLvlLbl val="0"/>
      </c:catAx>
      <c:valAx>
        <c:axId val="231184512"/>
        <c:scaling>
          <c:orientation val="minMax"/>
          <c:min val="-9"/>
        </c:scaling>
        <c:delete val="0"/>
        <c:axPos val="l"/>
        <c:majorGridlines>
          <c:spPr>
            <a:ln w="9525" cap="flat" cmpd="sng" algn="ctr">
              <a:noFill/>
              <a:prstDash val="solid"/>
              <a:round/>
            </a:ln>
            <a:effectLst/>
          </c:spPr>
        </c:majorGridlines>
        <c:title>
          <c:tx>
            <c:rich>
              <a:bodyPr rot="-54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sr-Cyrl-CS" sz="900" b="0">
                    <a:solidFill>
                      <a:sysClr val="windowText" lastClr="000000"/>
                    </a:solidFill>
                    <a:latin typeface="Times New Roman" panose="02020603050405020304" pitchFamily="18" charset="0"/>
                    <a:cs typeface="Times New Roman" panose="02020603050405020304" pitchFamily="18" charset="0"/>
                  </a:rPr>
                  <a:t>% БДП</a:t>
                </a:r>
                <a:endParaRPr lang="en-US" sz="900" b="0">
                  <a:solidFill>
                    <a:sysClr val="windowText" lastClr="000000"/>
                  </a:solidFill>
                  <a:latin typeface="Times New Roman" panose="02020603050405020304" pitchFamily="18" charset="0"/>
                  <a:cs typeface="Times New Roman" panose="02020603050405020304" pitchFamily="18" charset="0"/>
                </a:endParaRPr>
              </a:p>
            </c:rich>
          </c:tx>
          <c:layout>
            <c:manualLayout>
              <c:xMode val="edge"/>
              <c:yMode val="edge"/>
              <c:x val="7.0870416442244386E-2"/>
              <c:y val="3.1947427026167187E-2"/>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0" sourceLinked="0"/>
        <c:majorTickMark val="out"/>
        <c:minorTickMark val="none"/>
        <c:tickLblPos val="nextTo"/>
        <c:spPr>
          <a:noFill/>
          <a:ln w="3175" cap="flat" cmpd="sng" algn="ctr">
            <a:noFill/>
            <a:prstDash val="solid"/>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31195936"/>
        <c:crosses val="autoZero"/>
        <c:crossBetween val="between"/>
      </c:valAx>
      <c:spPr>
        <a:noFill/>
        <a:ln>
          <a:noFill/>
        </a:ln>
        <a:effectLst/>
      </c:spPr>
    </c:plotArea>
    <c:legend>
      <c:legendPos val="r"/>
      <c:layout>
        <c:manualLayout>
          <c:xMode val="edge"/>
          <c:yMode val="edge"/>
          <c:x val="0.10575935617028157"/>
          <c:y val="0.79813439513242668"/>
          <c:w val="0.795961068391148"/>
          <c:h val="8.113914737930486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lt1"/>
    </a:solidFill>
    <a:ln w="9525" cap="flat" cmpd="sng" algn="ctr">
      <a:noFill/>
      <a:prstDash val="solid"/>
      <a:round/>
    </a:ln>
    <a:effectLst/>
  </c:spPr>
  <c:txPr>
    <a:bodyPr/>
    <a:lstStyle/>
    <a:p>
      <a:pPr>
        <a:defRPr sz="900" baseline="0">
          <a:latin typeface="Cambria" pitchFamily="18" charset="0"/>
        </a:defRPr>
      </a:pPr>
      <a:endParaRPr lang="en-US"/>
    </a:p>
  </c:txPr>
  <c:externalData r:id="rId4">
    <c:autoUpdate val="0"/>
  </c:externalData>
  <c:userShapes r:id="rId5"/>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0616161716296222E-2"/>
          <c:y val="4.9007480657224968E-2"/>
          <c:w val="0.93476377952755907"/>
          <c:h val="0.9174795514193721"/>
        </c:manualLayout>
      </c:layout>
      <c:scatterChart>
        <c:scatterStyle val="smoothMarker"/>
        <c:varyColors val="0"/>
        <c:ser>
          <c:idx val="1"/>
          <c:order val="0"/>
          <c:spPr>
            <a:ln w="19050" cap="rnd">
              <a:solidFill>
                <a:srgbClr val="FF0000"/>
              </a:solidFill>
              <a:round/>
            </a:ln>
            <a:effectLst>
              <a:outerShdw blurRad="40000" dist="23000" dir="5400000" rotWithShape="0">
                <a:srgbClr val="000000">
                  <a:alpha val="35000"/>
                </a:srgbClr>
              </a:outerShdw>
            </a:effectLst>
          </c:spPr>
          <c:marker>
            <c:symbol val="circle"/>
            <c:size val="6"/>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w="9525" cap="rnd">
                <a:solidFill>
                  <a:schemeClr val="accent4"/>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dLbls>
            <c:dLbl>
              <c:idx val="0"/>
              <c:layout>
                <c:manualLayout>
                  <c:x val="-6.9381423218486976E-2"/>
                  <c:y val="-4.1527671341031656E-2"/>
                </c:manualLayout>
              </c:layout>
              <c:tx>
                <c:rich>
                  <a:bodyPr/>
                  <a:lstStyle/>
                  <a:p>
                    <a:r>
                      <a:rPr lang="en-US"/>
                      <a:t>2006</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96A8-46C0-B5B6-DBC50A7499B7}"/>
                </c:ext>
              </c:extLst>
            </c:dLbl>
            <c:dLbl>
              <c:idx val="1"/>
              <c:layout>
                <c:manualLayout>
                  <c:x val="-0.11611879737689938"/>
                  <c:y val="-3.3977112860892437E-2"/>
                </c:manualLayout>
              </c:layout>
              <c:tx>
                <c:rich>
                  <a:bodyPr/>
                  <a:lstStyle/>
                  <a:p>
                    <a:r>
                      <a:rPr lang="en-US"/>
                      <a:t>2007</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96A8-46C0-B5B6-DBC50A7499B7}"/>
                </c:ext>
              </c:extLst>
            </c:dLbl>
            <c:dLbl>
              <c:idx val="2"/>
              <c:layout>
                <c:manualLayout>
                  <c:x val="-5.0701809275048172E-2"/>
                  <c:y val="-6.3495592658862496E-2"/>
                </c:manualLayout>
              </c:layout>
              <c:tx>
                <c:rich>
                  <a:bodyPr/>
                  <a:lstStyle/>
                  <a:p>
                    <a:r>
                      <a:rPr lang="en-US"/>
                      <a:t>2008</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96A8-46C0-B5B6-DBC50A7499B7}"/>
                </c:ext>
              </c:extLst>
            </c:dLbl>
            <c:dLbl>
              <c:idx val="3"/>
              <c:layout>
                <c:manualLayout>
                  <c:x val="-0.21547836620756852"/>
                  <c:y val="-5.6351147595912289E-2"/>
                </c:manualLayout>
              </c:layout>
              <c:tx>
                <c:rich>
                  <a:bodyPr/>
                  <a:lstStyle/>
                  <a:p>
                    <a:r>
                      <a:rPr lang="en-US"/>
                      <a:t>2009</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96A8-46C0-B5B6-DBC50A7499B7}"/>
                </c:ext>
              </c:extLst>
            </c:dLbl>
            <c:dLbl>
              <c:idx val="4"/>
              <c:layout>
                <c:manualLayout>
                  <c:x val="-0.11474619993826693"/>
                  <c:y val="4.8635741754395737E-2"/>
                </c:manualLayout>
              </c:layout>
              <c:tx>
                <c:rich>
                  <a:bodyPr/>
                  <a:lstStyle/>
                  <a:p>
                    <a:r>
                      <a:rPr lang="en-US"/>
                      <a:t>2010</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96A8-46C0-B5B6-DBC50A7499B7}"/>
                </c:ext>
              </c:extLst>
            </c:dLbl>
            <c:dLbl>
              <c:idx val="5"/>
              <c:layout>
                <c:manualLayout>
                  <c:x val="-1.9625027875429916E-2"/>
                  <c:y val="-5.1856797900262465E-2"/>
                </c:manualLayout>
              </c:layout>
              <c:tx>
                <c:rich>
                  <a:bodyPr/>
                  <a:lstStyle/>
                  <a:p>
                    <a:r>
                      <a:rPr lang="en-US"/>
                      <a:t>2011</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96A8-46C0-B5B6-DBC50A7499B7}"/>
                </c:ext>
              </c:extLst>
            </c:dLbl>
            <c:dLbl>
              <c:idx val="6"/>
              <c:layout>
                <c:manualLayout>
                  <c:x val="-6.6712906940852856E-2"/>
                  <c:y val="-4.9078157039401084E-2"/>
                </c:manualLayout>
              </c:layout>
              <c:tx>
                <c:rich>
                  <a:bodyPr/>
                  <a:lstStyle/>
                  <a:p>
                    <a:r>
                      <a:rPr lang="en-US"/>
                      <a:t>2012</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96A8-46C0-B5B6-DBC50A7499B7}"/>
                </c:ext>
              </c:extLst>
            </c:dLbl>
            <c:dLbl>
              <c:idx val="7"/>
              <c:layout>
                <c:manualLayout>
                  <c:x val="5.3370325552682292E-3"/>
                  <c:y val="2.6145244036002206E-2"/>
                </c:manualLayout>
              </c:layout>
              <c:tx>
                <c:rich>
                  <a:bodyPr/>
                  <a:lstStyle/>
                  <a:p>
                    <a:r>
                      <a:rPr lang="en-US"/>
                      <a:t>2013</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7-96A8-46C0-B5B6-DBC50A7499B7}"/>
                </c:ext>
              </c:extLst>
            </c:dLbl>
            <c:dLbl>
              <c:idx val="8"/>
              <c:layout>
                <c:manualLayout>
                  <c:x val="-0.14745458797848288"/>
                  <c:y val="8.2034225721784773E-2"/>
                </c:manualLayout>
              </c:layout>
              <c:tx>
                <c:rich>
                  <a:bodyPr/>
                  <a:lstStyle/>
                  <a:p>
                    <a:r>
                      <a:rPr lang="en-US"/>
                      <a:t>2014</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8-96A8-46C0-B5B6-DBC50A7499B7}"/>
                </c:ext>
              </c:extLst>
            </c:dLbl>
            <c:dLbl>
              <c:idx val="9"/>
              <c:tx>
                <c:rich>
                  <a:bodyPr/>
                  <a:lstStyle/>
                  <a:p>
                    <a:r>
                      <a:rPr lang="en-US"/>
                      <a:t>2015</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9-96A8-46C0-B5B6-DBC50A7499B7}"/>
                </c:ext>
              </c:extLst>
            </c:dLbl>
            <c:dLbl>
              <c:idx val="10"/>
              <c:layout>
                <c:manualLayout>
                  <c:x val="-2.1348125735417816E-2"/>
                  <c:y val="7.0193690025747005E-2"/>
                </c:manualLayout>
              </c:layout>
              <c:tx>
                <c:rich>
                  <a:bodyPr/>
                  <a:lstStyle/>
                  <a:p>
                    <a:r>
                      <a:rPr lang="en-US"/>
                      <a:t>2016</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A-96A8-46C0-B5B6-DBC50A7499B7}"/>
                </c:ext>
              </c:extLst>
            </c:dLbl>
            <c:dLbl>
              <c:idx val="11"/>
              <c:layout>
                <c:manualLayout>
                  <c:x val="-9.4816348509049769E-2"/>
                  <c:y val="-4.9078005249343831E-2"/>
                </c:manualLayout>
              </c:layout>
              <c:tx>
                <c:rich>
                  <a:bodyPr/>
                  <a:lstStyle/>
                  <a:p>
                    <a:r>
                      <a:rPr lang="en-US"/>
                      <a:t>2017</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B-96A8-46C0-B5B6-DBC50A7499B7}"/>
                </c:ext>
              </c:extLst>
            </c:dLbl>
            <c:dLbl>
              <c:idx val="12"/>
              <c:layout>
                <c:manualLayout>
                  <c:x val="-8.5392520884291667E-2"/>
                  <c:y val="-2.2410209173716247E-2"/>
                </c:manualLayout>
              </c:layout>
              <c:tx>
                <c:rich>
                  <a:bodyPr/>
                  <a:lstStyle/>
                  <a:p>
                    <a:r>
                      <a:rPr lang="en-US"/>
                      <a:t>2018</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C-96A8-46C0-B5B6-DBC50A7499B7}"/>
                </c:ext>
              </c:extLst>
            </c:dLbl>
            <c:dLbl>
              <c:idx val="13"/>
              <c:layout>
                <c:manualLayout>
                  <c:x val="-4.2696260442145785E-2"/>
                  <c:y val="-7.0965662383434602E-2"/>
                </c:manualLayout>
              </c:layout>
              <c:tx>
                <c:rich>
                  <a:bodyPr/>
                  <a:lstStyle/>
                  <a:p>
                    <a:r>
                      <a:rPr lang="en-US"/>
                      <a:t>2019</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D-96A8-46C0-B5B6-DBC50A7499B7}"/>
                </c:ext>
              </c:extLst>
            </c:dLbl>
            <c:dLbl>
              <c:idx val="14"/>
              <c:tx>
                <c:rich>
                  <a:bodyPr/>
                  <a:lstStyle/>
                  <a:p>
                    <a:r>
                      <a:rPr lang="en-US"/>
                      <a:t>2020</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E-96A8-46C0-B5B6-DBC50A7499B7}"/>
                </c:ext>
              </c:extLst>
            </c:dLbl>
            <c:dLbl>
              <c:idx val="15"/>
              <c:layout>
                <c:manualLayout>
                  <c:x val="1.0674062867708761E-2"/>
                  <c:y val="-3.2622739847777804E-2"/>
                </c:manualLayout>
              </c:layout>
              <c:tx>
                <c:rich>
                  <a:bodyPr/>
                  <a:lstStyle/>
                  <a:p>
                    <a:r>
                      <a:rPr lang="en-US"/>
                      <a:t>2021</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F-96A8-46C0-B5B6-DBC50A7499B7}"/>
                </c:ext>
              </c:extLst>
            </c:dLbl>
            <c:dLbl>
              <c:idx val="16"/>
              <c:tx>
                <c:rich>
                  <a:bodyPr rot="0" spcFirstLastPara="1" vertOverflow="ellipsis" horzOverflow="clip" vert="horz" wrap="square" lIns="38100" tIns="19050" rIns="38100" bIns="19050" anchor="ctr" anchorCtr="1">
                    <a:no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900" b="0">
                        <a:solidFill>
                          <a:sysClr val="windowText" lastClr="000000"/>
                        </a:solidFill>
                        <a:latin typeface="Times New Roman" panose="02020603050405020304" pitchFamily="18" charset="0"/>
                        <a:cs typeface="Times New Roman" panose="02020603050405020304" pitchFamily="18" charset="0"/>
                      </a:rPr>
                      <a:t>2022</a:t>
                    </a:r>
                  </a:p>
                </c:rich>
              </c:tx>
              <c:spPr>
                <a:noFill/>
                <a:ln>
                  <a:noFill/>
                </a:ln>
                <a:effectLst/>
              </c:spPr>
              <c:txPr>
                <a:bodyPr rot="0" spcFirstLastPara="1" vertOverflow="ellipsis" horzOverflow="clip" vert="horz" wrap="square" lIns="38100" tIns="19050" rIns="38100" bIns="19050" anchor="ctr" anchorCtr="1">
                  <a:no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a:noFill/>
                    <a:ln>
                      <a:noFill/>
                    </a:ln>
                  </c15:spPr>
                  <c15:showDataLabelsRange val="0"/>
                </c:ext>
                <c:ext xmlns:c16="http://schemas.microsoft.com/office/drawing/2014/chart" uri="{C3380CC4-5D6E-409C-BE32-E72D297353CC}">
                  <c16:uniqueId val="{00000010-96A8-46C0-B5B6-DBC50A7499B7}"/>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xVal>
            <c:numRef>
              <c:f>'Grafikoni, CAB, Karakter'!$Z$12:$Z$28</c:f>
              <c:numCache>
                <c:formatCode>#,##0.0</c:formatCode>
                <c:ptCount val="17"/>
                <c:pt idx="0">
                  <c:v>-2.6737461957498145</c:v>
                </c:pt>
                <c:pt idx="1">
                  <c:v>0.76144962619904333</c:v>
                </c:pt>
                <c:pt idx="2">
                  <c:v>4.0495583627767351</c:v>
                </c:pt>
                <c:pt idx="3">
                  <c:v>-0.38543712835940225</c:v>
                </c:pt>
                <c:pt idx="4">
                  <c:v>-0.71613496525201303</c:v>
                </c:pt>
                <c:pt idx="5">
                  <c:v>0.51938165790308555</c:v>
                </c:pt>
                <c:pt idx="6">
                  <c:v>-0.84661749418884957</c:v>
                </c:pt>
                <c:pt idx="7">
                  <c:v>1.2225595734986152</c:v>
                </c:pt>
                <c:pt idx="8">
                  <c:v>-1.436775981412165</c:v>
                </c:pt>
                <c:pt idx="9">
                  <c:v>-1.1990135967667208</c:v>
                </c:pt>
                <c:pt idx="10">
                  <c:v>-5.1829638002909087E-2</c:v>
                </c:pt>
                <c:pt idx="11">
                  <c:v>-0.60546515518663058</c:v>
                </c:pt>
                <c:pt idx="12">
                  <c:v>0.79653635267688672</c:v>
                </c:pt>
                <c:pt idx="13">
                  <c:v>1.8635799194734897</c:v>
                </c:pt>
                <c:pt idx="14">
                  <c:v>-2.3760860359486364</c:v>
                </c:pt>
                <c:pt idx="15">
                  <c:v>1.2791705611337654</c:v>
                </c:pt>
                <c:pt idx="16">
                  <c:v>0.71711618700126611</c:v>
                </c:pt>
              </c:numCache>
            </c:numRef>
          </c:xVal>
          <c:yVal>
            <c:numRef>
              <c:f>'Grafikoni, CAB, Karakter'!$AA$12:$AA$28</c:f>
              <c:numCache>
                <c:formatCode>#,##0.0</c:formatCode>
                <c:ptCount val="17"/>
                <c:pt idx="0">
                  <c:v>1.2149612577117612</c:v>
                </c:pt>
                <c:pt idx="1">
                  <c:v>2.3089620151854122</c:v>
                </c:pt>
                <c:pt idx="2">
                  <c:v>1.8651095541579992</c:v>
                </c:pt>
                <c:pt idx="3">
                  <c:v>4.671939336292219E-2</c:v>
                </c:pt>
                <c:pt idx="4">
                  <c:v>-0.29363323314221068</c:v>
                </c:pt>
                <c:pt idx="5">
                  <c:v>0.42864599636251954</c:v>
                </c:pt>
                <c:pt idx="6">
                  <c:v>0.87125570186587753</c:v>
                </c:pt>
                <c:pt idx="7">
                  <c:v>-1.0408761723449285</c:v>
                </c:pt>
                <c:pt idx="8">
                  <c:v>-0.35651326790804827</c:v>
                </c:pt>
                <c:pt idx="9">
                  <c:v>-2.9848912567972792</c:v>
                </c:pt>
                <c:pt idx="10">
                  <c:v>-1.7681183523175903</c:v>
                </c:pt>
                <c:pt idx="11">
                  <c:v>-2.1266547052810747</c:v>
                </c:pt>
                <c:pt idx="12">
                  <c:v>1.3846955589582026</c:v>
                </c:pt>
                <c:pt idx="13">
                  <c:v>1.3345560062636346</c:v>
                </c:pt>
                <c:pt idx="14">
                  <c:v>6.3284894389493722</c:v>
                </c:pt>
                <c:pt idx="15">
                  <c:v>-2.3778625816921455</c:v>
                </c:pt>
                <c:pt idx="16">
                  <c:v>-0.39800322817536982</c:v>
                </c:pt>
              </c:numCache>
            </c:numRef>
          </c:yVal>
          <c:smooth val="1"/>
          <c:extLst>
            <c:ext xmlns:c16="http://schemas.microsoft.com/office/drawing/2014/chart" uri="{C3380CC4-5D6E-409C-BE32-E72D297353CC}">
              <c16:uniqueId val="{00000011-96A8-46C0-B5B6-DBC50A7499B7}"/>
            </c:ext>
          </c:extLst>
        </c:ser>
        <c:dLbls>
          <c:showLegendKey val="0"/>
          <c:showVal val="0"/>
          <c:showCatName val="0"/>
          <c:showSerName val="0"/>
          <c:showPercent val="0"/>
          <c:showBubbleSize val="0"/>
        </c:dLbls>
        <c:axId val="231168192"/>
        <c:axId val="231178528"/>
      </c:scatterChart>
      <c:valAx>
        <c:axId val="231168192"/>
        <c:scaling>
          <c:orientation val="minMax"/>
          <c:max val="5"/>
          <c:min val="-4"/>
        </c:scaling>
        <c:delete val="0"/>
        <c:axPos val="b"/>
        <c:majorGridlines>
          <c:spPr>
            <a:ln w="12700" cap="flat" cmpd="sng" algn="ctr">
              <a:noFill/>
              <a:round/>
            </a:ln>
            <a:effectLst/>
          </c:spPr>
        </c:majorGridlines>
        <c:title>
          <c:tx>
            <c:rich>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sr-Cyrl-CS" sz="900" b="0">
                    <a:solidFill>
                      <a:sysClr val="windowText" lastClr="000000"/>
                    </a:solidFill>
                    <a:latin typeface="Times New Roman" panose="02020603050405020304" pitchFamily="18" charset="0"/>
                    <a:cs typeface="Times New Roman" panose="02020603050405020304" pitchFamily="18" charset="0"/>
                  </a:rPr>
                  <a:t>Производни јаз</a:t>
                </a:r>
              </a:p>
            </c:rich>
          </c:tx>
          <c:layout>
            <c:manualLayout>
              <c:xMode val="edge"/>
              <c:yMode val="edge"/>
              <c:x val="0.81662355366943062"/>
              <c:y val="0.60760870716032656"/>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0" sourceLinked="0"/>
        <c:majorTickMark val="none"/>
        <c:minorTickMark val="none"/>
        <c:tickLblPos val="nextTo"/>
        <c:spPr>
          <a:noFill/>
          <a:ln w="9525" cap="flat" cmpd="sng" algn="ctr">
            <a:solidFill>
              <a:srgbClr val="D9D9D9"/>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31178528"/>
        <c:crosses val="autoZero"/>
        <c:crossBetween val="midCat"/>
      </c:valAx>
      <c:valAx>
        <c:axId val="231178528"/>
        <c:scaling>
          <c:orientation val="minMax"/>
          <c:max val="7.5"/>
          <c:min val="-4"/>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sr-Cyrl-CS" sz="900" b="0">
                    <a:solidFill>
                      <a:sysClr val="windowText" lastClr="000000"/>
                    </a:solidFill>
                    <a:latin typeface="Times New Roman" panose="02020603050405020304" pitchFamily="18" charset="0"/>
                    <a:cs typeface="Times New Roman" panose="02020603050405020304" pitchFamily="18" charset="0"/>
                  </a:rPr>
                  <a:t>Фискални импулс</a:t>
                </a:r>
                <a:endParaRPr lang="en-GB" sz="900" b="0">
                  <a:solidFill>
                    <a:sysClr val="windowText" lastClr="000000"/>
                  </a:solidFill>
                  <a:latin typeface="Times New Roman" panose="02020603050405020304" pitchFamily="18" charset="0"/>
                  <a:cs typeface="Times New Roman" panose="02020603050405020304" pitchFamily="18" charset="0"/>
                </a:endParaRPr>
              </a:p>
            </c:rich>
          </c:tx>
          <c:layout>
            <c:manualLayout>
              <c:xMode val="edge"/>
              <c:yMode val="edge"/>
              <c:x val="2.4160518963451004E-3"/>
              <c:y val="0.40503097112860886"/>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0" sourceLinked="0"/>
        <c:majorTickMark val="none"/>
        <c:minorTickMark val="none"/>
        <c:tickLblPos val="nextTo"/>
        <c:spPr>
          <a:noFill/>
          <a:ln w="9525">
            <a:solidFill>
              <a:srgbClr val="D9D9D9"/>
            </a:solidFill>
          </a:ln>
          <a:effectLst/>
        </c:spPr>
        <c:txPr>
          <a:bodyPr rot="-60000000" spcFirstLastPara="1" vertOverflow="ellipsis" vert="horz" wrap="square" anchor="ctr" anchorCtr="1"/>
          <a:lstStyle/>
          <a:p>
            <a:pPr>
              <a:defRPr sz="750" b="0" i="0" u="none" strike="noStrike" kern="1200" baseline="0">
                <a:solidFill>
                  <a:schemeClr val="tx1">
                    <a:lumMod val="65000"/>
                    <a:lumOff val="35000"/>
                  </a:schemeClr>
                </a:solidFill>
                <a:latin typeface="+mn-lt"/>
                <a:ea typeface="+mn-ea"/>
                <a:cs typeface="+mn-cs"/>
              </a:defRPr>
            </a:pPr>
            <a:endParaRPr lang="en-US"/>
          </a:p>
        </c:txPr>
        <c:crossAx val="231168192"/>
        <c:crosses val="autoZero"/>
        <c:crossBetween val="midCat"/>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baseline="0">
          <a:latin typeface="Cambria" panose="02040503050406030204" pitchFamily="18" charset="0"/>
        </a:defRPr>
      </a:pPr>
      <a:endParaRPr lang="en-US"/>
    </a:p>
  </c:txPr>
  <c:externalData r:id="rId4">
    <c:autoUpdate val="0"/>
  </c:externalData>
  <c:userShapes r:id="rId5"/>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7368051268925991E-2"/>
          <c:y val="2.4498269896193772E-2"/>
          <c:w val="0.9372012977727866"/>
          <c:h val="0.90122138542350005"/>
        </c:manualLayout>
      </c:layout>
      <c:lineChart>
        <c:grouping val="standard"/>
        <c:varyColors val="0"/>
        <c:ser>
          <c:idx val="0"/>
          <c:order val="0"/>
          <c:spPr>
            <a:ln w="28575" cap="rnd" cmpd="sng" algn="ctr">
              <a:solidFill>
                <a:schemeClr val="accent1">
                  <a:shade val="40000"/>
                  <a:shade val="95000"/>
                  <a:satMod val="105000"/>
                </a:schemeClr>
              </a:solidFill>
              <a:prstDash val="solid"/>
              <a:round/>
            </a:ln>
            <a:effectLst/>
          </c:spPr>
          <c:marker>
            <c:spPr>
              <a:solidFill>
                <a:schemeClr val="accent1">
                  <a:shade val="38000"/>
                </a:schemeClr>
              </a:solidFill>
              <a:ln w="9525" cap="flat" cmpd="sng" algn="ctr">
                <a:solidFill>
                  <a:schemeClr val="accent1">
                    <a:shade val="38000"/>
                    <a:shade val="95000"/>
                    <a:satMod val="105000"/>
                  </a:schemeClr>
                </a:solidFill>
                <a:prstDash val="solid"/>
                <a:round/>
              </a:ln>
              <a:effectLst/>
            </c:spPr>
          </c:marker>
          <c:dLbls>
            <c:numFmt formatCode="#,##0.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mn-lt"/>
                    <a:ea typeface="+mn-ea"/>
                    <a:cs typeface="+mn-cs"/>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'uticaj promene kursa'!$H$50:$Q$50</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'uticaj promene kursa'!$H$50:$Q$50</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val>
          <c:smooth val="0"/>
          <c:extLst>
            <c:ext xmlns:c16="http://schemas.microsoft.com/office/drawing/2014/chart" uri="{C3380CC4-5D6E-409C-BE32-E72D297353CC}">
              <c16:uniqueId val="{00000000-9FA0-4370-A45C-2498A57C7C15}"/>
            </c:ext>
          </c:extLst>
        </c:ser>
        <c:ser>
          <c:idx val="1"/>
          <c:order val="1"/>
          <c:spPr>
            <a:ln w="28575" cap="rnd" cmpd="sng" algn="ctr">
              <a:solidFill>
                <a:schemeClr val="accent1">
                  <a:shade val="51000"/>
                  <a:shade val="95000"/>
                  <a:satMod val="105000"/>
                </a:schemeClr>
              </a:solidFill>
              <a:prstDash val="solid"/>
              <a:round/>
            </a:ln>
            <a:effectLst/>
          </c:spPr>
          <c:marker>
            <c:symbol val="diamond"/>
            <c:size val="10"/>
            <c:spPr>
              <a:solidFill>
                <a:schemeClr val="accent1">
                  <a:shade val="45000"/>
                </a:schemeClr>
              </a:solidFill>
              <a:ln w="9525" cap="flat" cmpd="sng" algn="ctr">
                <a:solidFill>
                  <a:schemeClr val="accent1">
                    <a:shade val="45000"/>
                    <a:shade val="95000"/>
                    <a:satMod val="105000"/>
                  </a:schemeClr>
                </a:solidFill>
                <a:prstDash val="solid"/>
                <a:round/>
              </a:ln>
              <a:effectLst/>
            </c:spPr>
          </c:marker>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'uticaj promene kursa'!$H$50:$Q$50</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'uticaj promene kursa'!$H$51:$Q$51</c:f>
              <c:numCache>
                <c:formatCode>#,##0.0</c:formatCode>
                <c:ptCount val="10"/>
                <c:pt idx="0">
                  <c:v>67.678479463063553</c:v>
                </c:pt>
                <c:pt idx="1">
                  <c:v>57.788223811969416</c:v>
                </c:pt>
                <c:pt idx="2">
                  <c:v>53.621882530067857</c:v>
                </c:pt>
                <c:pt idx="3">
                  <c:v>51.9</c:v>
                </c:pt>
                <c:pt idx="4">
                  <c:v>57</c:v>
                </c:pt>
                <c:pt idx="5">
                  <c:v>56.510139896775023</c:v>
                </c:pt>
                <c:pt idx="6">
                  <c:v>56.10931547929178</c:v>
                </c:pt>
                <c:pt idx="7">
                  <c:v>55.065372276916669</c:v>
                </c:pt>
                <c:pt idx="8">
                  <c:v>54.066647568962324</c:v>
                </c:pt>
                <c:pt idx="9">
                  <c:v>52.955555923638499</c:v>
                </c:pt>
              </c:numCache>
            </c:numRef>
          </c:val>
          <c:smooth val="0"/>
          <c:extLst>
            <c:ext xmlns:c16="http://schemas.microsoft.com/office/drawing/2014/chart" uri="{C3380CC4-5D6E-409C-BE32-E72D297353CC}">
              <c16:uniqueId val="{00000001-9FA0-4370-A45C-2498A57C7C15}"/>
            </c:ext>
          </c:extLst>
        </c:ser>
        <c:ser>
          <c:idx val="2"/>
          <c:order val="2"/>
          <c:spPr>
            <a:ln w="28575" cap="rnd" cmpd="sng" algn="ctr">
              <a:solidFill>
                <a:schemeClr val="accent1">
                  <a:shade val="62000"/>
                  <a:shade val="95000"/>
                  <a:satMod val="105000"/>
                </a:schemeClr>
              </a:solidFill>
              <a:prstDash val="solid"/>
              <a:round/>
            </a:ln>
            <a:effectLst/>
          </c:spPr>
          <c:marker>
            <c:symbol val="none"/>
          </c:marker>
          <c:cat>
            <c:numRef>
              <c:f>'uticaj promene kursa'!$H$50:$Q$50</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'uticaj promene kursa'!$H$52:$Q$52</c:f>
              <c:numCache>
                <c:formatCode>#,##0.0</c:formatCode>
                <c:ptCount val="10"/>
                <c:pt idx="0">
                  <c:v>67.678479463063553</c:v>
                </c:pt>
                <c:pt idx="1">
                  <c:v>57.788223811969416</c:v>
                </c:pt>
                <c:pt idx="2">
                  <c:v>53.621882530067857</c:v>
                </c:pt>
                <c:pt idx="3">
                  <c:v>51.9</c:v>
                </c:pt>
                <c:pt idx="4">
                  <c:v>57</c:v>
                </c:pt>
                <c:pt idx="5">
                  <c:v>56.510139896775023</c:v>
                </c:pt>
                <c:pt idx="6">
                  <c:v>56.946466466239912</c:v>
                </c:pt>
                <c:pt idx="7">
                  <c:v>55.886947631288272</c:v>
                </c:pt>
                <c:pt idx="8">
                  <c:v>54.873321950691242</c:v>
                </c:pt>
                <c:pt idx="9">
                  <c:v>53.745652818019153</c:v>
                </c:pt>
              </c:numCache>
            </c:numRef>
          </c:val>
          <c:smooth val="0"/>
          <c:extLst>
            <c:ext xmlns:c16="http://schemas.microsoft.com/office/drawing/2014/chart" uri="{C3380CC4-5D6E-409C-BE32-E72D297353CC}">
              <c16:uniqueId val="{00000002-9FA0-4370-A45C-2498A57C7C15}"/>
            </c:ext>
          </c:extLst>
        </c:ser>
        <c:ser>
          <c:idx val="3"/>
          <c:order val="3"/>
          <c:spPr>
            <a:ln w="28575" cap="rnd" cmpd="sng" algn="ctr">
              <a:solidFill>
                <a:schemeClr val="accent1">
                  <a:shade val="73000"/>
                  <a:shade val="95000"/>
                  <a:satMod val="105000"/>
                </a:schemeClr>
              </a:solidFill>
              <a:prstDash val="solid"/>
              <a:round/>
            </a:ln>
            <a:effectLst/>
          </c:spPr>
          <c:marker>
            <c:symbol val="none"/>
          </c:marker>
          <c:cat>
            <c:numRef>
              <c:f>'uticaj promene kursa'!$H$50:$Q$50</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'uticaj promene kursa'!$H$53:$Q$53</c:f>
              <c:numCache>
                <c:formatCode>#,##0.0</c:formatCode>
                <c:ptCount val="10"/>
                <c:pt idx="0">
                  <c:v>67.678479463063553</c:v>
                </c:pt>
                <c:pt idx="1">
                  <c:v>57.788223811969416</c:v>
                </c:pt>
                <c:pt idx="2">
                  <c:v>53.621882530067857</c:v>
                </c:pt>
                <c:pt idx="3">
                  <c:v>51.9</c:v>
                </c:pt>
                <c:pt idx="4">
                  <c:v>57</c:v>
                </c:pt>
                <c:pt idx="5">
                  <c:v>56.510139896775023</c:v>
                </c:pt>
                <c:pt idx="6">
                  <c:v>57.783617453190892</c:v>
                </c:pt>
                <c:pt idx="7">
                  <c:v>56.708522985659862</c:v>
                </c:pt>
                <c:pt idx="8">
                  <c:v>55.679996332420146</c:v>
                </c:pt>
                <c:pt idx="9">
                  <c:v>54.535749712399827</c:v>
                </c:pt>
              </c:numCache>
            </c:numRef>
          </c:val>
          <c:smooth val="0"/>
          <c:extLst>
            <c:ext xmlns:c16="http://schemas.microsoft.com/office/drawing/2014/chart" uri="{C3380CC4-5D6E-409C-BE32-E72D297353CC}">
              <c16:uniqueId val="{00000003-9FA0-4370-A45C-2498A57C7C15}"/>
            </c:ext>
          </c:extLst>
        </c:ser>
        <c:ser>
          <c:idx val="4"/>
          <c:order val="4"/>
          <c:spPr>
            <a:ln w="28575" cap="rnd" cmpd="sng" algn="ctr">
              <a:solidFill>
                <a:schemeClr val="accent1">
                  <a:shade val="83000"/>
                  <a:shade val="95000"/>
                  <a:satMod val="105000"/>
                </a:schemeClr>
              </a:solidFill>
              <a:prstDash val="solid"/>
              <a:round/>
            </a:ln>
            <a:effectLst/>
          </c:spPr>
          <c:marker>
            <c:symbol val="none"/>
          </c:marker>
          <c:cat>
            <c:numRef>
              <c:f>'uticaj promene kursa'!$H$50:$Q$50</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'uticaj promene kursa'!$H$54:$Q$54</c:f>
              <c:numCache>
                <c:formatCode>#,##0.0</c:formatCode>
                <c:ptCount val="10"/>
                <c:pt idx="0">
                  <c:v>67.678479463063553</c:v>
                </c:pt>
                <c:pt idx="1">
                  <c:v>57.788223811969416</c:v>
                </c:pt>
                <c:pt idx="2">
                  <c:v>53.621882530067857</c:v>
                </c:pt>
                <c:pt idx="3">
                  <c:v>51.9</c:v>
                </c:pt>
                <c:pt idx="4">
                  <c:v>57</c:v>
                </c:pt>
                <c:pt idx="5">
                  <c:v>56.510139896775023</c:v>
                </c:pt>
                <c:pt idx="6">
                  <c:v>58.620768440141887</c:v>
                </c:pt>
                <c:pt idx="7">
                  <c:v>57.530098340031465</c:v>
                </c:pt>
                <c:pt idx="8">
                  <c:v>56.486670714149078</c:v>
                </c:pt>
                <c:pt idx="9">
                  <c:v>55.32584660678053</c:v>
                </c:pt>
              </c:numCache>
            </c:numRef>
          </c:val>
          <c:smooth val="0"/>
          <c:extLst>
            <c:ext xmlns:c16="http://schemas.microsoft.com/office/drawing/2014/chart" uri="{C3380CC4-5D6E-409C-BE32-E72D297353CC}">
              <c16:uniqueId val="{00000004-9FA0-4370-A45C-2498A57C7C15}"/>
            </c:ext>
          </c:extLst>
        </c:ser>
        <c:ser>
          <c:idx val="5"/>
          <c:order val="5"/>
          <c:spPr>
            <a:ln w="28575" cap="rnd" cmpd="sng" algn="ctr">
              <a:solidFill>
                <a:schemeClr val="accent1">
                  <a:shade val="94000"/>
                  <a:shade val="95000"/>
                  <a:satMod val="105000"/>
                </a:schemeClr>
              </a:solidFill>
              <a:prstDash val="solid"/>
              <a:round/>
            </a:ln>
            <a:effectLst/>
          </c:spPr>
          <c:marker>
            <c:symbol val="none"/>
          </c:marker>
          <c:cat>
            <c:numRef>
              <c:f>'uticaj promene kursa'!$H$50:$Q$50</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'uticaj promene kursa'!$H$55:$Q$55</c:f>
              <c:numCache>
                <c:formatCode>#,##0.0</c:formatCode>
                <c:ptCount val="10"/>
                <c:pt idx="0">
                  <c:v>67.678479463063553</c:v>
                </c:pt>
                <c:pt idx="1">
                  <c:v>57.788223811969416</c:v>
                </c:pt>
                <c:pt idx="2">
                  <c:v>53.621882530067857</c:v>
                </c:pt>
                <c:pt idx="3">
                  <c:v>51.9</c:v>
                </c:pt>
                <c:pt idx="4">
                  <c:v>57</c:v>
                </c:pt>
                <c:pt idx="5">
                  <c:v>56.510139896775023</c:v>
                </c:pt>
                <c:pt idx="6">
                  <c:v>59.457919427092889</c:v>
                </c:pt>
                <c:pt idx="7">
                  <c:v>58.351673694403061</c:v>
                </c:pt>
                <c:pt idx="8">
                  <c:v>57.293345095877989</c:v>
                </c:pt>
                <c:pt idx="9">
                  <c:v>56.115943501161205</c:v>
                </c:pt>
              </c:numCache>
            </c:numRef>
          </c:val>
          <c:smooth val="0"/>
          <c:extLst>
            <c:ext xmlns:c16="http://schemas.microsoft.com/office/drawing/2014/chart" uri="{C3380CC4-5D6E-409C-BE32-E72D297353CC}">
              <c16:uniqueId val="{00000005-9FA0-4370-A45C-2498A57C7C15}"/>
            </c:ext>
          </c:extLst>
        </c:ser>
        <c:ser>
          <c:idx val="6"/>
          <c:order val="6"/>
          <c:spPr>
            <a:ln w="28575" cap="rnd" cmpd="sng" algn="ctr">
              <a:solidFill>
                <a:schemeClr val="accent1">
                  <a:tint val="95000"/>
                  <a:shade val="95000"/>
                  <a:satMod val="105000"/>
                </a:schemeClr>
              </a:solidFill>
              <a:prstDash val="solid"/>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6-9FA0-4370-A45C-2498A57C7C15}"/>
                </c:ext>
              </c:extLst>
            </c:dLbl>
            <c:dLbl>
              <c:idx val="1"/>
              <c:delete val="1"/>
              <c:extLst>
                <c:ext xmlns:c15="http://schemas.microsoft.com/office/drawing/2012/chart" uri="{CE6537A1-D6FC-4f65-9D91-7224C49458BB}"/>
                <c:ext xmlns:c16="http://schemas.microsoft.com/office/drawing/2014/chart" uri="{C3380CC4-5D6E-409C-BE32-E72D297353CC}">
                  <c16:uniqueId val="{00000007-9FA0-4370-A45C-2498A57C7C15}"/>
                </c:ext>
              </c:extLst>
            </c:dLbl>
            <c:dLbl>
              <c:idx val="2"/>
              <c:delete val="1"/>
              <c:extLst>
                <c:ext xmlns:c15="http://schemas.microsoft.com/office/drawing/2012/chart" uri="{CE6537A1-D6FC-4f65-9D91-7224C49458BB}"/>
                <c:ext xmlns:c16="http://schemas.microsoft.com/office/drawing/2014/chart" uri="{C3380CC4-5D6E-409C-BE32-E72D297353CC}">
                  <c16:uniqueId val="{00000008-9FA0-4370-A45C-2498A57C7C15}"/>
                </c:ext>
              </c:extLst>
            </c:dLbl>
            <c:dLbl>
              <c:idx val="3"/>
              <c:delete val="1"/>
              <c:extLst>
                <c:ext xmlns:c15="http://schemas.microsoft.com/office/drawing/2012/chart" uri="{CE6537A1-D6FC-4f65-9D91-7224C49458BB}"/>
                <c:ext xmlns:c16="http://schemas.microsoft.com/office/drawing/2014/chart" uri="{C3380CC4-5D6E-409C-BE32-E72D297353CC}">
                  <c16:uniqueId val="{00000009-9FA0-4370-A45C-2498A57C7C15}"/>
                </c:ext>
              </c:extLst>
            </c:dLbl>
            <c:dLbl>
              <c:idx val="4"/>
              <c:delete val="1"/>
              <c:extLst>
                <c:ext xmlns:c15="http://schemas.microsoft.com/office/drawing/2012/chart" uri="{CE6537A1-D6FC-4f65-9D91-7224C49458BB}"/>
                <c:ext xmlns:c16="http://schemas.microsoft.com/office/drawing/2014/chart" uri="{C3380CC4-5D6E-409C-BE32-E72D297353CC}">
                  <c16:uniqueId val="{0000000A-9FA0-4370-A45C-2498A57C7C15}"/>
                </c:ext>
              </c:extLst>
            </c:dLbl>
            <c:dLbl>
              <c:idx val="5"/>
              <c:delete val="1"/>
              <c:extLst>
                <c:ext xmlns:c15="http://schemas.microsoft.com/office/drawing/2012/chart" uri="{CE6537A1-D6FC-4f65-9D91-7224C49458BB}"/>
                <c:ext xmlns:c16="http://schemas.microsoft.com/office/drawing/2014/chart" uri="{C3380CC4-5D6E-409C-BE32-E72D297353CC}">
                  <c16:uniqueId val="{0000000B-9FA0-4370-A45C-2498A57C7C15}"/>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'uticaj promene kursa'!$H$50:$Q$50</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'uticaj promene kursa'!$H$56:$Q$56</c:f>
              <c:numCache>
                <c:formatCode>#,##0.0</c:formatCode>
                <c:ptCount val="10"/>
                <c:pt idx="0">
                  <c:v>67.678479463063553</c:v>
                </c:pt>
                <c:pt idx="1">
                  <c:v>57.788223811969416</c:v>
                </c:pt>
                <c:pt idx="2">
                  <c:v>53.621882530067857</c:v>
                </c:pt>
                <c:pt idx="3">
                  <c:v>51.9</c:v>
                </c:pt>
                <c:pt idx="4">
                  <c:v>57</c:v>
                </c:pt>
                <c:pt idx="5">
                  <c:v>56.510139896775023</c:v>
                </c:pt>
                <c:pt idx="6">
                  <c:v>60.295070414043884</c:v>
                </c:pt>
                <c:pt idx="7">
                  <c:v>59.173249048774657</c:v>
                </c:pt>
                <c:pt idx="8">
                  <c:v>58.100019477606899</c:v>
                </c:pt>
                <c:pt idx="9">
                  <c:v>56.906040395541893</c:v>
                </c:pt>
              </c:numCache>
            </c:numRef>
          </c:val>
          <c:smooth val="0"/>
          <c:extLst>
            <c:ext xmlns:c16="http://schemas.microsoft.com/office/drawing/2014/chart" uri="{C3380CC4-5D6E-409C-BE32-E72D297353CC}">
              <c16:uniqueId val="{0000000C-9FA0-4370-A45C-2498A57C7C15}"/>
            </c:ext>
          </c:extLst>
        </c:ser>
        <c:ser>
          <c:idx val="7"/>
          <c:order val="7"/>
          <c:spPr>
            <a:ln w="28575" cap="rnd" cmpd="sng" algn="ctr">
              <a:solidFill>
                <a:schemeClr val="accent1">
                  <a:tint val="84000"/>
                  <a:shade val="95000"/>
                  <a:satMod val="105000"/>
                </a:schemeClr>
              </a:solidFill>
              <a:prstDash val="solid"/>
              <a:round/>
            </a:ln>
            <a:effectLst/>
          </c:spPr>
          <c:marker>
            <c:symbol val="none"/>
          </c:marker>
          <c:cat>
            <c:numRef>
              <c:f>'uticaj promene kursa'!$H$50:$Q$50</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'uticaj promene kursa'!$H$57:$Q$57</c:f>
              <c:numCache>
                <c:formatCode>#,##0.0</c:formatCode>
                <c:ptCount val="10"/>
                <c:pt idx="0">
                  <c:v>67.678479463063553</c:v>
                </c:pt>
                <c:pt idx="1">
                  <c:v>57.788223811969416</c:v>
                </c:pt>
                <c:pt idx="2">
                  <c:v>53.621882530067857</c:v>
                </c:pt>
                <c:pt idx="3">
                  <c:v>51.9</c:v>
                </c:pt>
                <c:pt idx="4">
                  <c:v>57</c:v>
                </c:pt>
                <c:pt idx="5">
                  <c:v>56.510139896775023</c:v>
                </c:pt>
                <c:pt idx="6">
                  <c:v>55.272164492337929</c:v>
                </c:pt>
                <c:pt idx="7">
                  <c:v>54.243796922545073</c:v>
                </c:pt>
                <c:pt idx="8">
                  <c:v>53.259973187233392</c:v>
                </c:pt>
                <c:pt idx="9">
                  <c:v>52.165459029257768</c:v>
                </c:pt>
              </c:numCache>
            </c:numRef>
          </c:val>
          <c:smooth val="0"/>
          <c:extLst>
            <c:ext xmlns:c16="http://schemas.microsoft.com/office/drawing/2014/chart" uri="{C3380CC4-5D6E-409C-BE32-E72D297353CC}">
              <c16:uniqueId val="{0000000D-9FA0-4370-A45C-2498A57C7C15}"/>
            </c:ext>
          </c:extLst>
        </c:ser>
        <c:ser>
          <c:idx val="8"/>
          <c:order val="8"/>
          <c:spPr>
            <a:ln w="28575" cap="rnd" cmpd="sng" algn="ctr">
              <a:solidFill>
                <a:schemeClr val="accent1">
                  <a:tint val="74000"/>
                  <a:shade val="95000"/>
                  <a:satMod val="105000"/>
                </a:schemeClr>
              </a:solidFill>
              <a:prstDash val="solid"/>
              <a:round/>
            </a:ln>
            <a:effectLst/>
          </c:spPr>
          <c:marker>
            <c:symbol val="none"/>
          </c:marker>
          <c:cat>
            <c:numRef>
              <c:f>'uticaj promene kursa'!$H$50:$Q$50</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'uticaj promene kursa'!$H$58:$Q$58</c:f>
              <c:numCache>
                <c:formatCode>#,##0.0</c:formatCode>
                <c:ptCount val="10"/>
                <c:pt idx="0">
                  <c:v>67.678479463063553</c:v>
                </c:pt>
                <c:pt idx="1">
                  <c:v>57.788223811969416</c:v>
                </c:pt>
                <c:pt idx="2">
                  <c:v>53.621882530067857</c:v>
                </c:pt>
                <c:pt idx="3">
                  <c:v>51.9</c:v>
                </c:pt>
                <c:pt idx="4">
                  <c:v>57</c:v>
                </c:pt>
                <c:pt idx="5">
                  <c:v>56.510139896775023</c:v>
                </c:pt>
                <c:pt idx="6">
                  <c:v>54.435013505386934</c:v>
                </c:pt>
                <c:pt idx="7">
                  <c:v>53.422221568173477</c:v>
                </c:pt>
                <c:pt idx="8">
                  <c:v>52.453298805504488</c:v>
                </c:pt>
                <c:pt idx="9">
                  <c:v>51.375362134877101</c:v>
                </c:pt>
              </c:numCache>
            </c:numRef>
          </c:val>
          <c:smooth val="0"/>
          <c:extLst>
            <c:ext xmlns:c16="http://schemas.microsoft.com/office/drawing/2014/chart" uri="{C3380CC4-5D6E-409C-BE32-E72D297353CC}">
              <c16:uniqueId val="{0000000E-9FA0-4370-A45C-2498A57C7C15}"/>
            </c:ext>
          </c:extLst>
        </c:ser>
        <c:ser>
          <c:idx val="9"/>
          <c:order val="9"/>
          <c:spPr>
            <a:ln w="28575" cap="rnd" cmpd="sng" algn="ctr">
              <a:solidFill>
                <a:schemeClr val="accent1">
                  <a:tint val="63000"/>
                  <a:shade val="95000"/>
                  <a:satMod val="105000"/>
                </a:schemeClr>
              </a:solidFill>
              <a:prstDash val="solid"/>
              <a:round/>
            </a:ln>
            <a:effectLst/>
          </c:spPr>
          <c:marker>
            <c:symbol val="none"/>
          </c:marker>
          <c:cat>
            <c:numRef>
              <c:f>'uticaj promene kursa'!$H$50:$Q$50</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'uticaj promene kursa'!$H$59:$Q$59</c:f>
              <c:numCache>
                <c:formatCode>#,##0.0</c:formatCode>
                <c:ptCount val="10"/>
                <c:pt idx="0">
                  <c:v>67.678479463063553</c:v>
                </c:pt>
                <c:pt idx="1">
                  <c:v>57.788223811969416</c:v>
                </c:pt>
                <c:pt idx="2">
                  <c:v>53.621882530067857</c:v>
                </c:pt>
                <c:pt idx="3">
                  <c:v>51.9</c:v>
                </c:pt>
                <c:pt idx="4">
                  <c:v>57</c:v>
                </c:pt>
                <c:pt idx="5">
                  <c:v>56.510139896775023</c:v>
                </c:pt>
                <c:pt idx="6">
                  <c:v>53.597862518435946</c:v>
                </c:pt>
                <c:pt idx="7">
                  <c:v>52.60064621380188</c:v>
                </c:pt>
                <c:pt idx="8">
                  <c:v>51.646624423775556</c:v>
                </c:pt>
                <c:pt idx="9">
                  <c:v>50.585265240496405</c:v>
                </c:pt>
              </c:numCache>
            </c:numRef>
          </c:val>
          <c:smooth val="0"/>
          <c:extLst>
            <c:ext xmlns:c16="http://schemas.microsoft.com/office/drawing/2014/chart" uri="{C3380CC4-5D6E-409C-BE32-E72D297353CC}">
              <c16:uniqueId val="{0000000F-9FA0-4370-A45C-2498A57C7C15}"/>
            </c:ext>
          </c:extLst>
        </c:ser>
        <c:ser>
          <c:idx val="10"/>
          <c:order val="10"/>
          <c:spPr>
            <a:ln w="28575" cap="rnd" cmpd="sng" algn="ctr">
              <a:solidFill>
                <a:schemeClr val="accent1">
                  <a:tint val="52000"/>
                  <a:shade val="95000"/>
                  <a:satMod val="105000"/>
                </a:schemeClr>
              </a:solidFill>
              <a:prstDash val="solid"/>
              <a:round/>
            </a:ln>
            <a:effectLst/>
          </c:spPr>
          <c:marker>
            <c:symbol val="none"/>
          </c:marker>
          <c:cat>
            <c:numRef>
              <c:f>'uticaj promene kursa'!$H$50:$Q$50</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'uticaj promene kursa'!$H$60:$Q$60</c:f>
              <c:numCache>
                <c:formatCode>#,##0.0</c:formatCode>
                <c:ptCount val="10"/>
                <c:pt idx="0">
                  <c:v>67.678479463063553</c:v>
                </c:pt>
                <c:pt idx="1">
                  <c:v>57.788223811969416</c:v>
                </c:pt>
                <c:pt idx="2">
                  <c:v>53.621882530067857</c:v>
                </c:pt>
                <c:pt idx="3">
                  <c:v>51.9</c:v>
                </c:pt>
                <c:pt idx="4">
                  <c:v>57</c:v>
                </c:pt>
                <c:pt idx="5">
                  <c:v>56.510139896775023</c:v>
                </c:pt>
                <c:pt idx="6">
                  <c:v>52.760711531484951</c:v>
                </c:pt>
                <c:pt idx="7">
                  <c:v>51.779070859430284</c:v>
                </c:pt>
                <c:pt idx="8">
                  <c:v>50.839950042046652</c:v>
                </c:pt>
                <c:pt idx="9">
                  <c:v>49.795168346115723</c:v>
                </c:pt>
              </c:numCache>
            </c:numRef>
          </c:val>
          <c:smooth val="0"/>
          <c:extLst>
            <c:ext xmlns:c16="http://schemas.microsoft.com/office/drawing/2014/chart" uri="{C3380CC4-5D6E-409C-BE32-E72D297353CC}">
              <c16:uniqueId val="{00000010-9FA0-4370-A45C-2498A57C7C15}"/>
            </c:ext>
          </c:extLst>
        </c:ser>
        <c:ser>
          <c:idx val="11"/>
          <c:order val="11"/>
          <c:spPr>
            <a:ln w="28575" cap="rnd" cmpd="sng" algn="ctr">
              <a:solidFill>
                <a:schemeClr val="accent1">
                  <a:tint val="41000"/>
                  <a:shade val="95000"/>
                  <a:satMod val="105000"/>
                </a:schemeClr>
              </a:solidFill>
              <a:prstDash val="solid"/>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11-9FA0-4370-A45C-2498A57C7C15}"/>
                </c:ext>
              </c:extLst>
            </c:dLbl>
            <c:dLbl>
              <c:idx val="1"/>
              <c:delete val="1"/>
              <c:extLst>
                <c:ext xmlns:c15="http://schemas.microsoft.com/office/drawing/2012/chart" uri="{CE6537A1-D6FC-4f65-9D91-7224C49458BB}"/>
                <c:ext xmlns:c16="http://schemas.microsoft.com/office/drawing/2014/chart" uri="{C3380CC4-5D6E-409C-BE32-E72D297353CC}">
                  <c16:uniqueId val="{00000012-9FA0-4370-A45C-2498A57C7C15}"/>
                </c:ext>
              </c:extLst>
            </c:dLbl>
            <c:dLbl>
              <c:idx val="2"/>
              <c:delete val="1"/>
              <c:extLst>
                <c:ext xmlns:c15="http://schemas.microsoft.com/office/drawing/2012/chart" uri="{CE6537A1-D6FC-4f65-9D91-7224C49458BB}"/>
                <c:ext xmlns:c16="http://schemas.microsoft.com/office/drawing/2014/chart" uri="{C3380CC4-5D6E-409C-BE32-E72D297353CC}">
                  <c16:uniqueId val="{00000013-9FA0-4370-A45C-2498A57C7C15}"/>
                </c:ext>
              </c:extLst>
            </c:dLbl>
            <c:dLbl>
              <c:idx val="3"/>
              <c:delete val="1"/>
              <c:extLst>
                <c:ext xmlns:c15="http://schemas.microsoft.com/office/drawing/2012/chart" uri="{CE6537A1-D6FC-4f65-9D91-7224C49458BB}"/>
                <c:ext xmlns:c16="http://schemas.microsoft.com/office/drawing/2014/chart" uri="{C3380CC4-5D6E-409C-BE32-E72D297353CC}">
                  <c16:uniqueId val="{00000014-9FA0-4370-A45C-2498A57C7C15}"/>
                </c:ext>
              </c:extLst>
            </c:dLbl>
            <c:dLbl>
              <c:idx val="4"/>
              <c:delete val="1"/>
              <c:extLst>
                <c:ext xmlns:c15="http://schemas.microsoft.com/office/drawing/2012/chart" uri="{CE6537A1-D6FC-4f65-9D91-7224C49458BB}"/>
                <c:ext xmlns:c16="http://schemas.microsoft.com/office/drawing/2014/chart" uri="{C3380CC4-5D6E-409C-BE32-E72D297353CC}">
                  <c16:uniqueId val="{00000015-9FA0-4370-A45C-2498A57C7C15}"/>
                </c:ext>
              </c:extLst>
            </c:dLbl>
            <c:dLbl>
              <c:idx val="5"/>
              <c:delete val="1"/>
              <c:extLst>
                <c:ext xmlns:c15="http://schemas.microsoft.com/office/drawing/2012/chart" uri="{CE6537A1-D6FC-4f65-9D91-7224C49458BB}"/>
                <c:ext xmlns:c16="http://schemas.microsoft.com/office/drawing/2014/chart" uri="{C3380CC4-5D6E-409C-BE32-E72D297353CC}">
                  <c16:uniqueId val="{00000016-9FA0-4370-A45C-2498A57C7C15}"/>
                </c:ext>
              </c:extLst>
            </c:dLbl>
            <c:dLbl>
              <c:idx val="7"/>
              <c:layout>
                <c:manualLayout>
                  <c:x val="-8.453486727332736E-2"/>
                  <c:y val="3.88996567736725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9FA0-4370-A45C-2498A57C7C15}"/>
                </c:ext>
              </c:extLst>
            </c:dLbl>
            <c:dLbl>
              <c:idx val="8"/>
              <c:layout>
                <c:manualLayout>
                  <c:x val="-8.0787909341825129E-2"/>
                  <c:y val="2.794097853152955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9FA0-4370-A45C-2498A57C7C15}"/>
                </c:ext>
              </c:extLst>
            </c:dLbl>
            <c:dLbl>
              <c:idx val="9"/>
              <c:layout>
                <c:manualLayout>
                  <c:x val="-5.4612185148249165E-3"/>
                  <c:y val="1.800152881296801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9FA0-4370-A45C-2498A57C7C15}"/>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'uticaj promene kursa'!$H$50:$Q$50</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'uticaj promene kursa'!$H$61:$Q$61</c:f>
              <c:numCache>
                <c:formatCode>#,##0.0</c:formatCode>
                <c:ptCount val="10"/>
                <c:pt idx="0">
                  <c:v>67.678479463063553</c:v>
                </c:pt>
                <c:pt idx="1">
                  <c:v>57.788223811969416</c:v>
                </c:pt>
                <c:pt idx="2">
                  <c:v>53.621882530067857</c:v>
                </c:pt>
                <c:pt idx="3">
                  <c:v>51.9</c:v>
                </c:pt>
                <c:pt idx="4">
                  <c:v>57</c:v>
                </c:pt>
                <c:pt idx="5">
                  <c:v>56.510139896775023</c:v>
                </c:pt>
                <c:pt idx="6">
                  <c:v>51.923560544533963</c:v>
                </c:pt>
                <c:pt idx="7">
                  <c:v>50.957495505058695</c:v>
                </c:pt>
                <c:pt idx="8">
                  <c:v>50.033275660317734</c:v>
                </c:pt>
                <c:pt idx="9">
                  <c:v>49.005071451735034</c:v>
                </c:pt>
              </c:numCache>
            </c:numRef>
          </c:val>
          <c:smooth val="0"/>
          <c:extLst>
            <c:ext xmlns:c16="http://schemas.microsoft.com/office/drawing/2014/chart" uri="{C3380CC4-5D6E-409C-BE32-E72D297353CC}">
              <c16:uniqueId val="{0000001A-9FA0-4370-A45C-2498A57C7C15}"/>
            </c:ext>
          </c:extLst>
        </c:ser>
        <c:dLbls>
          <c:showLegendKey val="0"/>
          <c:showVal val="0"/>
          <c:showCatName val="0"/>
          <c:showSerName val="0"/>
          <c:showPercent val="0"/>
          <c:showBubbleSize val="0"/>
        </c:dLbls>
        <c:marker val="1"/>
        <c:smooth val="0"/>
        <c:axId val="231173088"/>
        <c:axId val="231181248"/>
      </c:lineChart>
      <c:catAx>
        <c:axId val="231173088"/>
        <c:scaling>
          <c:orientation val="minMax"/>
        </c:scaling>
        <c:delete val="0"/>
        <c:axPos val="b"/>
        <c:majorGridlines>
          <c:spPr>
            <a:ln w="9525" cap="flat" cmpd="sng" algn="ctr">
              <a:noFill/>
              <a:prstDash val="solid"/>
              <a:round/>
            </a:ln>
            <a:effectLst/>
          </c:spPr>
        </c:majorGridlines>
        <c:minorGridlines>
          <c:spPr>
            <a:ln w="9525" cap="flat" cmpd="sng" algn="ctr">
              <a:noFill/>
              <a:prstDash val="solid"/>
              <a:round/>
            </a:ln>
            <a:effectLst/>
          </c:spPr>
        </c:minorGridlines>
        <c:numFmt formatCode="General" sourceLinked="1"/>
        <c:majorTickMark val="none"/>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231181248"/>
        <c:crosses val="autoZero"/>
        <c:auto val="0"/>
        <c:lblAlgn val="ctr"/>
        <c:lblOffset val="100"/>
        <c:noMultiLvlLbl val="0"/>
      </c:catAx>
      <c:valAx>
        <c:axId val="231181248"/>
        <c:scaling>
          <c:orientation val="minMax"/>
          <c:max val="70"/>
          <c:min val="45"/>
        </c:scaling>
        <c:delete val="0"/>
        <c:axPos val="l"/>
        <c:majorGridlines>
          <c:spPr>
            <a:ln w="9525" cap="flat" cmpd="sng" algn="ctr">
              <a:noFill/>
              <a:prstDash val="solid"/>
              <a:round/>
            </a:ln>
            <a:effectLst/>
          </c:spPr>
        </c:majorGridlines>
        <c:numFmt formatCode="#,##0.0" sourceLinked="0"/>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231173088"/>
        <c:crosses val="autoZero"/>
        <c:crossBetween val="between"/>
        <c:majorUnit val="10"/>
        <c:minorUnit val="2"/>
      </c:valAx>
      <c:spPr>
        <a:noFill/>
        <a:ln>
          <a:noFill/>
        </a:ln>
        <a:effectLst/>
      </c:spPr>
    </c:plotArea>
    <c:plotVisOnly val="1"/>
    <c:dispBlanksAs val="gap"/>
    <c:showDLblsOverMax val="0"/>
  </c:chart>
  <c:spPr>
    <a:solidFill>
      <a:schemeClr val="bg1"/>
    </a:solidFill>
    <a:ln w="9525" cap="flat" cmpd="sng" algn="ctr">
      <a:noFill/>
      <a:prstDash val="solid"/>
      <a:round/>
    </a:ln>
    <a:effectLst/>
  </c:spPr>
  <c:txPr>
    <a:bodyPr/>
    <a:lstStyle/>
    <a:p>
      <a:pPr>
        <a:defRPr/>
      </a:pPr>
      <a:endParaRPr lang="en-US"/>
    </a:p>
  </c:txPr>
  <c:externalData r:id="rId4">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0"/>
    <c:plotArea>
      <c:layout>
        <c:manualLayout>
          <c:layoutTarget val="inner"/>
          <c:xMode val="edge"/>
          <c:yMode val="edge"/>
          <c:x val="7.9033714179804967E-2"/>
          <c:y val="6.0313404132223677E-2"/>
          <c:w val="0.86085801063022016"/>
          <c:h val="0.76006604038907821"/>
        </c:manualLayout>
      </c:layout>
      <c:barChart>
        <c:barDir val="col"/>
        <c:grouping val="clustered"/>
        <c:varyColors val="0"/>
        <c:ser>
          <c:idx val="0"/>
          <c:order val="0"/>
          <c:tx>
            <c:strRef>
              <c:f>'мемо 2011-2016'!$E$50</c:f>
              <c:strCache>
                <c:ptCount val="1"/>
                <c:pt idx="0">
                  <c:v>јавни дуг - основни сценарио</c:v>
                </c:pt>
              </c:strCache>
            </c:strRef>
          </c:tx>
          <c:spPr>
            <a:solidFill>
              <a:schemeClr val="accent1">
                <a:lumMod val="50000"/>
              </a:schemeClr>
            </a:solidFill>
            <a:ln w="9525" cap="flat" cmpd="sng" algn="ctr">
              <a:solidFill>
                <a:schemeClr val="accent6">
                  <a:shade val="50000"/>
                  <a:shade val="95000"/>
                  <a:satMod val="105000"/>
                </a:schemeClr>
              </a:solidFill>
              <a:prstDash val="solid"/>
              <a:round/>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'мемо 2011-2016'!$F$48:$I$48</c:f>
              <c:numCache>
                <c:formatCode>General</c:formatCode>
                <c:ptCount val="4"/>
                <c:pt idx="0">
                  <c:v>2022</c:v>
                </c:pt>
                <c:pt idx="1">
                  <c:v>2023</c:v>
                </c:pt>
                <c:pt idx="2">
                  <c:v>2024</c:v>
                </c:pt>
                <c:pt idx="3">
                  <c:v>2025</c:v>
                </c:pt>
              </c:numCache>
            </c:numRef>
          </c:cat>
          <c:val>
            <c:numRef>
              <c:f>'мемо 2011-2016'!$F$50:$I$50</c:f>
              <c:numCache>
                <c:formatCode>#,##0.0</c:formatCode>
                <c:ptCount val="4"/>
                <c:pt idx="0">
                  <c:v>56.9</c:v>
                </c:pt>
                <c:pt idx="1">
                  <c:v>56.1</c:v>
                </c:pt>
                <c:pt idx="2">
                  <c:v>55.1</c:v>
                </c:pt>
                <c:pt idx="3">
                  <c:v>54</c:v>
                </c:pt>
              </c:numCache>
            </c:numRef>
          </c:val>
          <c:extLst>
            <c:ext xmlns:c16="http://schemas.microsoft.com/office/drawing/2014/chart" uri="{C3380CC4-5D6E-409C-BE32-E72D297353CC}">
              <c16:uniqueId val="{00000000-DB8E-4EF7-AA96-96A153BF959E}"/>
            </c:ext>
          </c:extLst>
        </c:ser>
        <c:ser>
          <c:idx val="1"/>
          <c:order val="1"/>
          <c:tx>
            <c:strRef>
              <c:f>'мемо 2011-2016'!$E$52</c:f>
              <c:strCache>
                <c:ptCount val="1"/>
                <c:pt idx="0">
                  <c:v>јавни дуг - алтернативни сценарио</c:v>
                </c:pt>
              </c:strCache>
            </c:strRef>
          </c:tx>
          <c:spPr>
            <a:solidFill>
              <a:srgbClr val="FF4747"/>
            </a:solidFill>
            <a:ln w="9525" cap="flat" cmpd="sng" algn="ctr">
              <a:solidFill>
                <a:schemeClr val="accent6">
                  <a:shade val="50000"/>
                  <a:shade val="95000"/>
                  <a:satMod val="105000"/>
                </a:schemeClr>
              </a:solidFill>
              <a:prstDash val="solid"/>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'мемо 2011-2016'!$F$48:$I$48</c:f>
              <c:numCache>
                <c:formatCode>General</c:formatCode>
                <c:ptCount val="4"/>
                <c:pt idx="0">
                  <c:v>2022</c:v>
                </c:pt>
                <c:pt idx="1">
                  <c:v>2023</c:v>
                </c:pt>
                <c:pt idx="2">
                  <c:v>2024</c:v>
                </c:pt>
                <c:pt idx="3">
                  <c:v>2025</c:v>
                </c:pt>
              </c:numCache>
            </c:numRef>
          </c:cat>
          <c:val>
            <c:numRef>
              <c:f>'мемо 2011-2016'!$F$52:$I$52</c:f>
              <c:numCache>
                <c:formatCode>#,##0.0</c:formatCode>
                <c:ptCount val="4"/>
                <c:pt idx="0">
                  <c:v>56.9</c:v>
                </c:pt>
                <c:pt idx="1">
                  <c:v>57.483283846551473</c:v>
                </c:pt>
                <c:pt idx="2">
                  <c:v>57.72621843438489</c:v>
                </c:pt>
                <c:pt idx="3">
                  <c:v>57.667057488922282</c:v>
                </c:pt>
              </c:numCache>
            </c:numRef>
          </c:val>
          <c:extLst>
            <c:ext xmlns:c16="http://schemas.microsoft.com/office/drawing/2014/chart" uri="{C3380CC4-5D6E-409C-BE32-E72D297353CC}">
              <c16:uniqueId val="{00000001-DB8E-4EF7-AA96-96A153BF959E}"/>
            </c:ext>
          </c:extLst>
        </c:ser>
        <c:dLbls>
          <c:showLegendKey val="0"/>
          <c:showVal val="0"/>
          <c:showCatName val="0"/>
          <c:showSerName val="0"/>
          <c:showPercent val="0"/>
          <c:showBubbleSize val="0"/>
        </c:dLbls>
        <c:gapWidth val="150"/>
        <c:axId val="231180160"/>
        <c:axId val="231182336"/>
      </c:barChart>
      <c:lineChart>
        <c:grouping val="standard"/>
        <c:varyColors val="0"/>
        <c:ser>
          <c:idx val="2"/>
          <c:order val="2"/>
          <c:tx>
            <c:strRef>
              <c:f>'мемо 2011-2016'!$E$49</c:f>
              <c:strCache>
                <c:ptCount val="1"/>
                <c:pt idx="0">
                  <c:v>дефицит (десна скала) - основни сценарио</c:v>
                </c:pt>
              </c:strCache>
            </c:strRef>
          </c:tx>
          <c:spPr>
            <a:ln w="47625" cap="rnd" cmpd="sng" algn="ctr">
              <a:solidFill>
                <a:schemeClr val="tx1"/>
              </a:solidFill>
              <a:prstDash val="solid"/>
              <a:round/>
            </a:ln>
            <a:effectLst/>
          </c:spPr>
          <c:marker>
            <c:spPr>
              <a:solidFill>
                <a:schemeClr val="tx1"/>
              </a:solidFill>
              <a:ln w="9525" cap="flat" cmpd="sng" algn="ctr">
                <a:solidFill>
                  <a:schemeClr val="tx1"/>
                </a:solidFill>
                <a:prstDash val="solid"/>
                <a:round/>
              </a:ln>
              <a:effectLst/>
            </c:spPr>
          </c:marker>
          <c:dPt>
            <c:idx val="1"/>
            <c:bubble3D val="0"/>
            <c:extLst>
              <c:ext xmlns:c16="http://schemas.microsoft.com/office/drawing/2014/chart" uri="{C3380CC4-5D6E-409C-BE32-E72D297353CC}">
                <c16:uniqueId val="{00000002-DB8E-4EF7-AA96-96A153BF959E}"/>
              </c:ext>
            </c:extLst>
          </c:dPt>
          <c:dLbls>
            <c:dLbl>
              <c:idx val="0"/>
              <c:delete val="1"/>
              <c:extLst>
                <c:ext xmlns:c15="http://schemas.microsoft.com/office/drawing/2012/chart" uri="{CE6537A1-D6FC-4f65-9D91-7224C49458BB}"/>
                <c:ext xmlns:c16="http://schemas.microsoft.com/office/drawing/2014/chart" uri="{C3380CC4-5D6E-409C-BE32-E72D297353CC}">
                  <c16:uniqueId val="{00000003-DB8E-4EF7-AA96-96A153BF959E}"/>
                </c:ext>
              </c:extLst>
            </c:dLbl>
            <c:dLbl>
              <c:idx val="1"/>
              <c:layout>
                <c:manualLayout>
                  <c:x val="-1.423254953755642E-2"/>
                  <c:y val="-9.19101204693667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B8E-4EF7-AA96-96A153BF959E}"/>
                </c:ext>
              </c:extLst>
            </c:dLbl>
            <c:dLbl>
              <c:idx val="2"/>
              <c:layout>
                <c:manualLayout>
                  <c:x val="-4.4316419233325945E-3"/>
                  <c:y val="-7.332578589787971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B8E-4EF7-AA96-96A153BF959E}"/>
                </c:ext>
              </c:extLst>
            </c:dLbl>
            <c:dLbl>
              <c:idx val="3"/>
              <c:layout>
                <c:manualLayout>
                  <c:x val="-4.014005402155932E-3"/>
                  <c:y val="-3.690036006906469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B8E-4EF7-AA96-96A153BF959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olidFill>
                      <a:prstDash val="solid"/>
                      <a:round/>
                    </a:ln>
                    <a:effectLst/>
                  </c:spPr>
                </c15:leaderLines>
              </c:ext>
            </c:extLst>
          </c:dLbls>
          <c:cat>
            <c:numRef>
              <c:f>'мемо 2011-2016'!$F$48:$I$48</c:f>
              <c:numCache>
                <c:formatCode>General</c:formatCode>
                <c:ptCount val="4"/>
                <c:pt idx="0">
                  <c:v>2022</c:v>
                </c:pt>
                <c:pt idx="1">
                  <c:v>2023</c:v>
                </c:pt>
                <c:pt idx="2">
                  <c:v>2024</c:v>
                </c:pt>
                <c:pt idx="3">
                  <c:v>2025</c:v>
                </c:pt>
              </c:numCache>
            </c:numRef>
          </c:cat>
          <c:val>
            <c:numRef>
              <c:f>'мемо 2011-2016'!$F$49:$I$49</c:f>
              <c:numCache>
                <c:formatCode>#,##0.0</c:formatCode>
                <c:ptCount val="4"/>
                <c:pt idx="0">
                  <c:v>-3.8</c:v>
                </c:pt>
                <c:pt idx="1">
                  <c:v>-3.2895686623233007</c:v>
                </c:pt>
                <c:pt idx="2">
                  <c:v>-2.1573214077959886</c:v>
                </c:pt>
                <c:pt idx="3">
                  <c:v>-1.3564288838312237</c:v>
                </c:pt>
              </c:numCache>
            </c:numRef>
          </c:val>
          <c:smooth val="0"/>
          <c:extLst>
            <c:ext xmlns:c16="http://schemas.microsoft.com/office/drawing/2014/chart" uri="{C3380CC4-5D6E-409C-BE32-E72D297353CC}">
              <c16:uniqueId val="{00000006-DB8E-4EF7-AA96-96A153BF959E}"/>
            </c:ext>
          </c:extLst>
        </c:ser>
        <c:ser>
          <c:idx val="3"/>
          <c:order val="3"/>
          <c:tx>
            <c:strRef>
              <c:f>'мемо 2011-2016'!$E$51</c:f>
              <c:strCache>
                <c:ptCount val="1"/>
                <c:pt idx="0">
                  <c:v>дефицит (десна скала) - алтернативни сценарио</c:v>
                </c:pt>
              </c:strCache>
            </c:strRef>
          </c:tx>
          <c:spPr>
            <a:ln w="47625" cap="rnd" cmpd="sng" algn="ctr">
              <a:solidFill>
                <a:schemeClr val="accent1">
                  <a:lumMod val="40000"/>
                  <a:lumOff val="60000"/>
                </a:schemeClr>
              </a:solidFill>
              <a:prstDash val="solid"/>
              <a:round/>
            </a:ln>
            <a:effectLst/>
          </c:spPr>
          <c:marker>
            <c:symbol val="diamond"/>
            <c:size val="9"/>
            <c:spPr>
              <a:solidFill>
                <a:schemeClr val="accent1">
                  <a:lumMod val="40000"/>
                  <a:lumOff val="60000"/>
                </a:schemeClr>
              </a:solidFill>
              <a:ln w="9525" cap="flat" cmpd="sng" algn="ctr">
                <a:solidFill>
                  <a:schemeClr val="accent1">
                    <a:lumMod val="40000"/>
                    <a:lumOff val="60000"/>
                  </a:schemeClr>
                </a:solidFill>
                <a:prstDash val="solid"/>
                <a:round/>
              </a:ln>
              <a:effectLst/>
            </c:spPr>
          </c:marker>
          <c:dLbls>
            <c:dLbl>
              <c:idx val="0"/>
              <c:layout>
                <c:manualLayout>
                  <c:x val="-1.5622410150204786E-2"/>
                  <c:y val="-8.11201392221152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B8E-4EF7-AA96-96A153BF959E}"/>
                </c:ext>
              </c:extLst>
            </c:dLbl>
            <c:dLbl>
              <c:idx val="1"/>
              <c:layout>
                <c:manualLayout>
                  <c:x val="-6.5458142793085983E-2"/>
                  <c:y val="-5.307094633880322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B8E-4EF7-AA96-96A153BF959E}"/>
                </c:ext>
              </c:extLst>
            </c:dLbl>
            <c:dLbl>
              <c:idx val="2"/>
              <c:layout>
                <c:manualLayout>
                  <c:x val="-9.7230589123246409E-3"/>
                  <c:y val="5.00401811991696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DB8E-4EF7-AA96-96A153BF959E}"/>
                </c:ext>
              </c:extLst>
            </c:dLbl>
            <c:dLbl>
              <c:idx val="3"/>
              <c:layout>
                <c:manualLayout>
                  <c:x val="-1.0950175130739632E-2"/>
                  <c:y val="4.1534696628919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DB8E-4EF7-AA96-96A153BF959E}"/>
                </c:ext>
              </c:extLst>
            </c:dLbl>
            <c:dLbl>
              <c:idx val="4"/>
              <c:layout>
                <c:manualLayout>
                  <c:x val="-3.7342767295597629E-2"/>
                  <c:y val="-6.64010624169987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DB8E-4EF7-AA96-96A153BF959E}"/>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'мемо 2011-2016'!$F$48:$I$48</c:f>
              <c:numCache>
                <c:formatCode>General</c:formatCode>
                <c:ptCount val="4"/>
                <c:pt idx="0">
                  <c:v>2022</c:v>
                </c:pt>
                <c:pt idx="1">
                  <c:v>2023</c:v>
                </c:pt>
                <c:pt idx="2">
                  <c:v>2024</c:v>
                </c:pt>
                <c:pt idx="3">
                  <c:v>2025</c:v>
                </c:pt>
              </c:numCache>
            </c:numRef>
          </c:cat>
          <c:val>
            <c:numRef>
              <c:f>'мемо 2011-2016'!$F$51:$I$51</c:f>
              <c:numCache>
                <c:formatCode>#,##0.0</c:formatCode>
                <c:ptCount val="4"/>
                <c:pt idx="0">
                  <c:v>-3.8</c:v>
                </c:pt>
                <c:pt idx="1">
                  <c:v>-4.0390484028306837</c:v>
                </c:pt>
                <c:pt idx="2">
                  <c:v>-3.2356789564020092</c:v>
                </c:pt>
                <c:pt idx="3">
                  <c:v>-2.7200154480953547</c:v>
                </c:pt>
              </c:numCache>
            </c:numRef>
          </c:val>
          <c:smooth val="0"/>
          <c:extLst>
            <c:ext xmlns:c16="http://schemas.microsoft.com/office/drawing/2014/chart" uri="{C3380CC4-5D6E-409C-BE32-E72D297353CC}">
              <c16:uniqueId val="{0000000C-DB8E-4EF7-AA96-96A153BF959E}"/>
            </c:ext>
          </c:extLst>
        </c:ser>
        <c:dLbls>
          <c:showLegendKey val="0"/>
          <c:showVal val="0"/>
          <c:showCatName val="0"/>
          <c:showSerName val="0"/>
          <c:showPercent val="0"/>
          <c:showBubbleSize val="0"/>
        </c:dLbls>
        <c:marker val="1"/>
        <c:smooth val="0"/>
        <c:axId val="231166016"/>
        <c:axId val="231169280"/>
      </c:lineChart>
      <c:catAx>
        <c:axId val="231180160"/>
        <c:scaling>
          <c:orientation val="minMax"/>
        </c:scaling>
        <c:delete val="0"/>
        <c:axPos val="b"/>
        <c:numFmt formatCode="General" sourceLinked="1"/>
        <c:majorTickMark val="out"/>
        <c:minorTickMark val="none"/>
        <c:tickLblPos val="nextTo"/>
        <c:spPr>
          <a:noFill/>
          <a:ln w="9525" cap="flat" cmpd="sng" algn="ctr">
            <a:solidFill>
              <a:schemeClr val="dk1">
                <a:tint val="75000"/>
                <a:shade val="95000"/>
                <a:satMod val="105000"/>
              </a:schemeClr>
            </a:solidFill>
            <a:prstDash val="solid"/>
            <a:round/>
          </a:ln>
          <a:effectLst/>
        </c:spPr>
        <c:txPr>
          <a:bodyPr rot="-60000000" spcFirstLastPara="1" vertOverflow="ellipsis" vert="horz" wrap="square" anchor="ctr" anchorCtr="1"/>
          <a:lstStyle/>
          <a:p>
            <a:pPr>
              <a:defRPr sz="900" b="0" i="0" u="none" strike="noStrike" kern="1200" baseline="0">
                <a:solidFill>
                  <a:schemeClr val="dk1"/>
                </a:solidFill>
                <a:latin typeface="Times New Roman" panose="02020603050405020304" pitchFamily="18" charset="0"/>
                <a:ea typeface="+mn-ea"/>
                <a:cs typeface="Times New Roman" panose="02020603050405020304" pitchFamily="18" charset="0"/>
              </a:defRPr>
            </a:pPr>
            <a:endParaRPr lang="en-US"/>
          </a:p>
        </c:txPr>
        <c:crossAx val="231182336"/>
        <c:crosses val="autoZero"/>
        <c:auto val="1"/>
        <c:lblAlgn val="ctr"/>
        <c:lblOffset val="100"/>
        <c:noMultiLvlLbl val="0"/>
      </c:catAx>
      <c:valAx>
        <c:axId val="231182336"/>
        <c:scaling>
          <c:orientation val="minMax"/>
          <c:max val="70"/>
        </c:scaling>
        <c:delete val="0"/>
        <c:axPos val="l"/>
        <c:majorGridlines>
          <c:spPr>
            <a:ln w="9525" cap="flat" cmpd="sng" algn="ctr">
              <a:noFill/>
              <a:prstDash val="solid"/>
              <a:round/>
            </a:ln>
            <a:effectLst/>
          </c:spPr>
        </c:majorGridlines>
        <c:numFmt formatCode="#,##0.0" sourceLinked="1"/>
        <c:majorTickMark val="out"/>
        <c:minorTickMark val="none"/>
        <c:tickLblPos val="nextTo"/>
        <c:spPr>
          <a:noFill/>
          <a:ln w="9525" cap="flat" cmpd="sng" algn="ctr">
            <a:solidFill>
              <a:schemeClr val="dk1">
                <a:tint val="75000"/>
                <a:shade val="95000"/>
                <a:satMod val="105000"/>
              </a:schemeClr>
            </a:solidFill>
            <a:prstDash val="solid"/>
            <a:round/>
          </a:ln>
          <a:effectLst/>
        </c:spPr>
        <c:txPr>
          <a:bodyPr rot="-60000000" spcFirstLastPara="1" vertOverflow="ellipsis" vert="horz" wrap="square" anchor="ctr" anchorCtr="1"/>
          <a:lstStyle/>
          <a:p>
            <a:pPr>
              <a:defRPr sz="900" b="0" i="0" u="none" strike="noStrike" kern="1200" baseline="0">
                <a:solidFill>
                  <a:schemeClr val="dk1"/>
                </a:solidFill>
                <a:latin typeface="Times New Roman" panose="02020603050405020304" pitchFamily="18" charset="0"/>
                <a:ea typeface="+mn-ea"/>
                <a:cs typeface="Times New Roman" panose="02020603050405020304" pitchFamily="18" charset="0"/>
              </a:defRPr>
            </a:pPr>
            <a:endParaRPr lang="en-US"/>
          </a:p>
        </c:txPr>
        <c:crossAx val="231180160"/>
        <c:crosses val="autoZero"/>
        <c:crossBetween val="between"/>
      </c:valAx>
      <c:valAx>
        <c:axId val="231169280"/>
        <c:scaling>
          <c:orientation val="minMax"/>
        </c:scaling>
        <c:delete val="0"/>
        <c:axPos val="r"/>
        <c:numFmt formatCode="#,##0.0" sourceLinked="1"/>
        <c:majorTickMark val="out"/>
        <c:minorTickMark val="none"/>
        <c:tickLblPos val="nextTo"/>
        <c:spPr>
          <a:noFill/>
          <a:ln w="9525" cap="flat" cmpd="sng" algn="ctr">
            <a:solidFill>
              <a:schemeClr val="dk1">
                <a:tint val="75000"/>
                <a:shade val="95000"/>
                <a:satMod val="105000"/>
              </a:schemeClr>
            </a:solidFill>
            <a:prstDash val="solid"/>
            <a:round/>
          </a:ln>
          <a:effectLst/>
        </c:spPr>
        <c:txPr>
          <a:bodyPr rot="-60000000" spcFirstLastPara="1" vertOverflow="ellipsis" vert="horz" wrap="square" anchor="ctr" anchorCtr="1"/>
          <a:lstStyle/>
          <a:p>
            <a:pPr>
              <a:defRPr sz="900" b="0" i="0" u="none" strike="noStrike" kern="1200" baseline="0">
                <a:solidFill>
                  <a:schemeClr val="dk1"/>
                </a:solidFill>
                <a:latin typeface="Times New Roman" panose="02020603050405020304" pitchFamily="18" charset="0"/>
                <a:ea typeface="+mn-ea"/>
                <a:cs typeface="Times New Roman" panose="02020603050405020304" pitchFamily="18" charset="0"/>
              </a:defRPr>
            </a:pPr>
            <a:endParaRPr lang="en-US"/>
          </a:p>
        </c:txPr>
        <c:crossAx val="231166016"/>
        <c:crosses val="max"/>
        <c:crossBetween val="between"/>
      </c:valAx>
      <c:catAx>
        <c:axId val="231166016"/>
        <c:scaling>
          <c:orientation val="minMax"/>
        </c:scaling>
        <c:delete val="1"/>
        <c:axPos val="b"/>
        <c:numFmt formatCode="General" sourceLinked="1"/>
        <c:majorTickMark val="out"/>
        <c:minorTickMark val="none"/>
        <c:tickLblPos val="nextTo"/>
        <c:crossAx val="231169280"/>
        <c:crosses val="autoZero"/>
        <c:auto val="1"/>
        <c:lblAlgn val="ctr"/>
        <c:lblOffset val="100"/>
        <c:noMultiLvlLbl val="0"/>
      </c:catAx>
      <c:spPr>
        <a:solidFill>
          <a:sysClr val="window" lastClr="FFFFFF"/>
        </a:solidFill>
        <a:ln>
          <a:noFill/>
        </a:ln>
        <a:effectLst/>
      </c:spPr>
    </c:plotArea>
    <c:legend>
      <c:legendPos val="b"/>
      <c:layout>
        <c:manualLayout>
          <c:xMode val="edge"/>
          <c:yMode val="edge"/>
          <c:x val="2.9179586934220056E-2"/>
          <c:y val="0.84926228444984275"/>
          <c:w val="0.93825420315954267"/>
          <c:h val="0.1308174656017661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lt1"/>
    </a:solidFill>
    <a:ln w="9525" cap="flat" cmpd="sng" algn="ctr">
      <a:solidFill>
        <a:schemeClr val="dk1">
          <a:tint val="75000"/>
          <a:shade val="95000"/>
          <a:satMod val="105000"/>
        </a:schemeClr>
      </a:solidFill>
      <a:prstDash val="solid"/>
      <a:round/>
    </a:ln>
    <a:effectLst/>
  </c:spPr>
  <c:txPr>
    <a:bodyPr/>
    <a:lstStyle/>
    <a:p>
      <a:pPr>
        <a:defRPr sz="900" baseline="0">
          <a:latin typeface="Times New Roman" panose="02020603050405020304" pitchFamily="18" charset="0"/>
          <a:cs typeface="Times New Roman" panose="02020603050405020304" pitchFamily="18" charset="0"/>
        </a:defRPr>
      </a:pPr>
      <a:endParaRPr lang="en-US"/>
    </a:p>
  </c:txPr>
  <c:externalData r:id="rId3">
    <c:autoUpdate val="0"/>
  </c:externalData>
  <c:userShapes r:id="rId4"/>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0253935185185188E-2"/>
          <c:y val="4.6197089947089945E-2"/>
          <c:w val="0.90740810185185183"/>
          <c:h val="0.69238921957671962"/>
        </c:manualLayout>
      </c:layout>
      <c:barChart>
        <c:barDir val="col"/>
        <c:grouping val="stacked"/>
        <c:varyColors val="0"/>
        <c:ser>
          <c:idx val="2"/>
          <c:order val="0"/>
          <c:tx>
            <c:strRef>
              <c:f>BDP_doprinosi!$R$8</c:f>
              <c:strCache>
                <c:ptCount val="1"/>
                <c:pt idx="0">
                  <c:v>Приватна потрошња</c:v>
                </c:pt>
              </c:strCache>
            </c:strRef>
          </c:tx>
          <c:spPr>
            <a:solidFill>
              <a:srgbClr val="10103C"/>
            </a:solidFill>
            <a:ln>
              <a:noFill/>
            </a:ln>
            <a:effectLst/>
          </c:spPr>
          <c:invertIfNegative val="0"/>
          <c:cat>
            <c:numRef>
              <c:f>BDP_doprinosi!$AC$6:$AJ$6</c:f>
              <c:numCache>
                <c:formatCode>General</c:formatCode>
                <c:ptCount val="7"/>
                <c:pt idx="0">
                  <c:v>2019</c:v>
                </c:pt>
                <c:pt idx="1">
                  <c:v>2020</c:v>
                </c:pt>
                <c:pt idx="2">
                  <c:v>2021</c:v>
                </c:pt>
                <c:pt idx="3">
                  <c:v>2022</c:v>
                </c:pt>
                <c:pt idx="4">
                  <c:v>2023</c:v>
                </c:pt>
                <c:pt idx="5">
                  <c:v>2024</c:v>
                </c:pt>
                <c:pt idx="6">
                  <c:v>2025</c:v>
                </c:pt>
              </c:numCache>
              <c:extLst/>
            </c:numRef>
          </c:cat>
          <c:val>
            <c:numRef>
              <c:f>BDP_doprinosi!$AC$8:$AJ$8</c:f>
              <c:numCache>
                <c:formatCode>0.0</c:formatCode>
                <c:ptCount val="7"/>
                <c:pt idx="0">
                  <c:v>2.5473076722874062</c:v>
                </c:pt>
                <c:pt idx="1">
                  <c:v>-1.2764569917290163</c:v>
                </c:pt>
                <c:pt idx="2">
                  <c:v>5.1644088309515581</c:v>
                </c:pt>
                <c:pt idx="3">
                  <c:v>2.6942093410947225</c:v>
                </c:pt>
                <c:pt idx="4">
                  <c:v>1.7779093574103602</c:v>
                </c:pt>
                <c:pt idx="5">
                  <c:v>2.0316797284470862</c:v>
                </c:pt>
                <c:pt idx="6">
                  <c:v>2.5067378058198777</c:v>
                </c:pt>
              </c:numCache>
              <c:extLst/>
            </c:numRef>
          </c:val>
          <c:extLst>
            <c:ext xmlns:c16="http://schemas.microsoft.com/office/drawing/2014/chart" uri="{C3380CC4-5D6E-409C-BE32-E72D297353CC}">
              <c16:uniqueId val="{00000000-43EB-4618-BFC8-3A2D0F03B521}"/>
            </c:ext>
          </c:extLst>
        </c:ser>
        <c:ser>
          <c:idx val="3"/>
          <c:order val="1"/>
          <c:tx>
            <c:strRef>
              <c:f>BDP_doprinosi!$R$9</c:f>
              <c:strCache>
                <c:ptCount val="1"/>
                <c:pt idx="0">
                  <c:v>Државна потрошња</c:v>
                </c:pt>
              </c:strCache>
            </c:strRef>
          </c:tx>
          <c:spPr>
            <a:solidFill>
              <a:srgbClr val="29489A"/>
            </a:solidFill>
            <a:ln>
              <a:noFill/>
            </a:ln>
            <a:effectLst/>
          </c:spPr>
          <c:invertIfNegative val="0"/>
          <c:cat>
            <c:numRef>
              <c:f>BDP_doprinosi!$AC$6:$AJ$6</c:f>
              <c:numCache>
                <c:formatCode>General</c:formatCode>
                <c:ptCount val="7"/>
                <c:pt idx="0">
                  <c:v>2019</c:v>
                </c:pt>
                <c:pt idx="1">
                  <c:v>2020</c:v>
                </c:pt>
                <c:pt idx="2">
                  <c:v>2021</c:v>
                </c:pt>
                <c:pt idx="3">
                  <c:v>2022</c:v>
                </c:pt>
                <c:pt idx="4">
                  <c:v>2023</c:v>
                </c:pt>
                <c:pt idx="5">
                  <c:v>2024</c:v>
                </c:pt>
                <c:pt idx="6">
                  <c:v>2025</c:v>
                </c:pt>
              </c:numCache>
              <c:extLst/>
            </c:numRef>
          </c:cat>
          <c:val>
            <c:numRef>
              <c:f>BDP_doprinosi!$AC$9:$AJ$9</c:f>
              <c:numCache>
                <c:formatCode>0.0</c:formatCode>
                <c:ptCount val="7"/>
                <c:pt idx="0">
                  <c:v>0.32165362516949936</c:v>
                </c:pt>
                <c:pt idx="1">
                  <c:v>0.46680918748177314</c:v>
                </c:pt>
                <c:pt idx="2">
                  <c:v>0.72387323767875245</c:v>
                </c:pt>
                <c:pt idx="3">
                  <c:v>6.2422960040865019E-2</c:v>
                </c:pt>
                <c:pt idx="4">
                  <c:v>-0.29947996418286882</c:v>
                </c:pt>
                <c:pt idx="5">
                  <c:v>0.122823742683491</c:v>
                </c:pt>
                <c:pt idx="6">
                  <c:v>0.11393565437396301</c:v>
                </c:pt>
              </c:numCache>
              <c:extLst/>
            </c:numRef>
          </c:val>
          <c:extLst>
            <c:ext xmlns:c16="http://schemas.microsoft.com/office/drawing/2014/chart" uri="{C3380CC4-5D6E-409C-BE32-E72D297353CC}">
              <c16:uniqueId val="{00000001-43EB-4618-BFC8-3A2D0F03B521}"/>
            </c:ext>
          </c:extLst>
        </c:ser>
        <c:ser>
          <c:idx val="1"/>
          <c:order val="2"/>
          <c:tx>
            <c:strRef>
              <c:f>BDP_doprinosi!$R$10</c:f>
              <c:strCache>
                <c:ptCount val="1"/>
                <c:pt idx="0">
                  <c:v>Инвестиције</c:v>
                </c:pt>
              </c:strCache>
            </c:strRef>
          </c:tx>
          <c:spPr>
            <a:solidFill>
              <a:srgbClr val="2183C4"/>
            </a:solidFill>
            <a:ln>
              <a:noFill/>
            </a:ln>
            <a:effectLst/>
          </c:spPr>
          <c:invertIfNegative val="0"/>
          <c:cat>
            <c:numRef>
              <c:f>BDP_doprinosi!$AC$6:$AJ$6</c:f>
              <c:numCache>
                <c:formatCode>General</c:formatCode>
                <c:ptCount val="7"/>
                <c:pt idx="0">
                  <c:v>2019</c:v>
                </c:pt>
                <c:pt idx="1">
                  <c:v>2020</c:v>
                </c:pt>
                <c:pt idx="2">
                  <c:v>2021</c:v>
                </c:pt>
                <c:pt idx="3">
                  <c:v>2022</c:v>
                </c:pt>
                <c:pt idx="4">
                  <c:v>2023</c:v>
                </c:pt>
                <c:pt idx="5">
                  <c:v>2024</c:v>
                </c:pt>
                <c:pt idx="6">
                  <c:v>2025</c:v>
                </c:pt>
              </c:numCache>
              <c:extLst/>
            </c:numRef>
          </c:cat>
          <c:val>
            <c:numRef>
              <c:f>BDP_doprinosi!$AC$10:$AJ$10</c:f>
              <c:numCache>
                <c:formatCode>0.0</c:formatCode>
                <c:ptCount val="7"/>
                <c:pt idx="0">
                  <c:v>3.4525777672115594</c:v>
                </c:pt>
                <c:pt idx="1">
                  <c:v>-0.42709950381708101</c:v>
                </c:pt>
                <c:pt idx="2">
                  <c:v>3.4031222048652956</c:v>
                </c:pt>
                <c:pt idx="3">
                  <c:v>0</c:v>
                </c:pt>
                <c:pt idx="4">
                  <c:v>0.56853513649669296</c:v>
                </c:pt>
                <c:pt idx="5">
                  <c:v>1.2406959061365301</c:v>
                </c:pt>
                <c:pt idx="6">
                  <c:v>1.395971915686365</c:v>
                </c:pt>
              </c:numCache>
              <c:extLst/>
            </c:numRef>
          </c:val>
          <c:extLst>
            <c:ext xmlns:c16="http://schemas.microsoft.com/office/drawing/2014/chart" uri="{C3380CC4-5D6E-409C-BE32-E72D297353CC}">
              <c16:uniqueId val="{00000002-43EB-4618-BFC8-3A2D0F03B521}"/>
            </c:ext>
          </c:extLst>
        </c:ser>
        <c:ser>
          <c:idx val="0"/>
          <c:order val="3"/>
          <c:tx>
            <c:strRef>
              <c:f>BDP_doprinosi!$R$11</c:f>
              <c:strCache>
                <c:ptCount val="1"/>
                <c:pt idx="0">
                  <c:v>Нето извоз</c:v>
                </c:pt>
              </c:strCache>
            </c:strRef>
          </c:tx>
          <c:spPr>
            <a:solidFill>
              <a:srgbClr val="51BBE7"/>
            </a:solidFill>
            <a:ln>
              <a:noFill/>
            </a:ln>
            <a:effectLst/>
          </c:spPr>
          <c:invertIfNegative val="0"/>
          <c:cat>
            <c:numRef>
              <c:f>BDP_doprinosi!$AC$6:$AJ$6</c:f>
              <c:numCache>
                <c:formatCode>General</c:formatCode>
                <c:ptCount val="7"/>
                <c:pt idx="0">
                  <c:v>2019</c:v>
                </c:pt>
                <c:pt idx="1">
                  <c:v>2020</c:v>
                </c:pt>
                <c:pt idx="2">
                  <c:v>2021</c:v>
                </c:pt>
                <c:pt idx="3">
                  <c:v>2022</c:v>
                </c:pt>
                <c:pt idx="4">
                  <c:v>2023</c:v>
                </c:pt>
                <c:pt idx="5">
                  <c:v>2024</c:v>
                </c:pt>
                <c:pt idx="6">
                  <c:v>2025</c:v>
                </c:pt>
              </c:numCache>
              <c:extLst/>
            </c:numRef>
          </c:cat>
          <c:val>
            <c:numRef>
              <c:f>BDP_doprinosi!$AC$11:$AJ$11</c:f>
              <c:numCache>
                <c:formatCode>0.0</c:formatCode>
                <c:ptCount val="7"/>
                <c:pt idx="0">
                  <c:v>-2.4321559378222171</c:v>
                </c:pt>
                <c:pt idx="1">
                  <c:v>4.8654967722925199E-2</c:v>
                </c:pt>
                <c:pt idx="2">
                  <c:v>-0.57776184879140813</c:v>
                </c:pt>
                <c:pt idx="3">
                  <c:v>-1.7062492303782639</c:v>
                </c:pt>
                <c:pt idx="4">
                  <c:v>7.8416962996889716E-2</c:v>
                </c:pt>
                <c:pt idx="5">
                  <c:v>0.46323792057173013</c:v>
                </c:pt>
                <c:pt idx="6">
                  <c:v>0.25397348567736205</c:v>
                </c:pt>
              </c:numCache>
              <c:extLst/>
            </c:numRef>
          </c:val>
          <c:extLst>
            <c:ext xmlns:c16="http://schemas.microsoft.com/office/drawing/2014/chart" uri="{C3380CC4-5D6E-409C-BE32-E72D297353CC}">
              <c16:uniqueId val="{00000003-43EB-4618-BFC8-3A2D0F03B521}"/>
            </c:ext>
          </c:extLst>
        </c:ser>
        <c:ser>
          <c:idx val="4"/>
          <c:order val="4"/>
          <c:tx>
            <c:strRef>
              <c:f>BDP_doprinosi!$R$12</c:f>
              <c:strCache>
                <c:ptCount val="1"/>
                <c:pt idx="0">
                  <c:v>Промена у залихама</c:v>
                </c:pt>
              </c:strCache>
            </c:strRef>
          </c:tx>
          <c:spPr>
            <a:solidFill>
              <a:srgbClr val="9ED1E6"/>
            </a:solidFill>
            <a:ln>
              <a:noFill/>
            </a:ln>
            <a:effectLst/>
          </c:spPr>
          <c:invertIfNegative val="0"/>
          <c:cat>
            <c:numRef>
              <c:f>BDP_doprinosi!$AC$6:$AJ$6</c:f>
              <c:numCache>
                <c:formatCode>General</c:formatCode>
                <c:ptCount val="7"/>
                <c:pt idx="0">
                  <c:v>2019</c:v>
                </c:pt>
                <c:pt idx="1">
                  <c:v>2020</c:v>
                </c:pt>
                <c:pt idx="2">
                  <c:v>2021</c:v>
                </c:pt>
                <c:pt idx="3">
                  <c:v>2022</c:v>
                </c:pt>
                <c:pt idx="4">
                  <c:v>2023</c:v>
                </c:pt>
                <c:pt idx="5">
                  <c:v>2024</c:v>
                </c:pt>
                <c:pt idx="6">
                  <c:v>2025</c:v>
                </c:pt>
              </c:numCache>
              <c:extLst/>
            </c:numRef>
          </c:cat>
          <c:val>
            <c:numRef>
              <c:f>BDP_doprinosi!$AC$12:$AJ$12</c:f>
              <c:numCache>
                <c:formatCode>0.0</c:formatCode>
                <c:ptCount val="7"/>
                <c:pt idx="0">
                  <c:v>0.44235332901016944</c:v>
                </c:pt>
                <c:pt idx="1">
                  <c:v>0.28486948729117645</c:v>
                </c:pt>
                <c:pt idx="2">
                  <c:v>-1.1637298143063151</c:v>
                </c:pt>
                <c:pt idx="3">
                  <c:v>1.4927019249111804</c:v>
                </c:pt>
                <c:pt idx="4">
                  <c:v>0.32461850727891611</c:v>
                </c:pt>
                <c:pt idx="5">
                  <c:v>-0.32843729783883147</c:v>
                </c:pt>
                <c:pt idx="6">
                  <c:v>-0.24061886155757353</c:v>
                </c:pt>
              </c:numCache>
              <c:extLst/>
            </c:numRef>
          </c:val>
          <c:extLst>
            <c:ext xmlns:c16="http://schemas.microsoft.com/office/drawing/2014/chart" uri="{C3380CC4-5D6E-409C-BE32-E72D297353CC}">
              <c16:uniqueId val="{00000004-43EB-4618-BFC8-3A2D0F03B521}"/>
            </c:ext>
          </c:extLst>
        </c:ser>
        <c:dLbls>
          <c:showLegendKey val="0"/>
          <c:showVal val="0"/>
          <c:showCatName val="0"/>
          <c:showSerName val="0"/>
          <c:showPercent val="0"/>
          <c:showBubbleSize val="0"/>
        </c:dLbls>
        <c:gapWidth val="60"/>
        <c:overlap val="100"/>
        <c:axId val="2080938768"/>
        <c:axId val="2080108432"/>
      </c:barChart>
      <c:lineChart>
        <c:grouping val="standard"/>
        <c:varyColors val="0"/>
        <c:ser>
          <c:idx val="5"/>
          <c:order val="5"/>
          <c:tx>
            <c:strRef>
              <c:f>BDP_doprinosi!$R$13</c:f>
              <c:strCache>
                <c:ptCount val="1"/>
                <c:pt idx="0">
                  <c:v>Реални раст БДП</c:v>
                </c:pt>
              </c:strCache>
            </c:strRef>
          </c:tx>
          <c:spPr>
            <a:ln w="25400" cap="rnd">
              <a:solidFill>
                <a:srgbClr val="FF0000"/>
              </a:solidFill>
              <a:round/>
            </a:ln>
            <a:effectLst/>
          </c:spPr>
          <c:marker>
            <c:symbol val="none"/>
          </c:marker>
          <c:dLbls>
            <c:dLbl>
              <c:idx val="1"/>
              <c:dLblPos val="b"/>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3EB-4618-BFC8-3A2D0F03B521}"/>
                </c:ext>
              </c:extLst>
            </c:dLbl>
            <c:dLbl>
              <c:idx val="2"/>
              <c:layout>
                <c:manualLayout>
                  <c:x val="-6.1585739282589674E-2"/>
                  <c:y val="-0.10633406231533438"/>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3EB-4618-BFC8-3A2D0F03B521}"/>
                </c:ext>
              </c:extLst>
            </c:dLbl>
            <c:spPr>
              <a:noFill/>
              <a:ln>
                <a:noFill/>
              </a:ln>
              <a:effectLst/>
            </c:spPr>
            <c:txPr>
              <a:bodyPr rot="0" spcFirstLastPara="1" vertOverflow="ellipsis" vert="horz" wrap="square" anchor="ctr" anchorCtr="1"/>
              <a:lstStyle/>
              <a:p>
                <a:pPr>
                  <a:defRPr sz="750" b="1" i="0" u="none" strike="noStrike" kern="1200" baseline="0">
                    <a:solidFill>
                      <a:srgbClr val="FF0000"/>
                    </a:solidFill>
                    <a:latin typeface="Times New Roman" panose="02020603050405020304" pitchFamily="18" charset="0"/>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BDP_doprinosi!$AC$6:$AJ$6</c:f>
              <c:numCache>
                <c:formatCode>General</c:formatCode>
                <c:ptCount val="7"/>
                <c:pt idx="0">
                  <c:v>2019</c:v>
                </c:pt>
                <c:pt idx="1">
                  <c:v>2020</c:v>
                </c:pt>
                <c:pt idx="2">
                  <c:v>2021</c:v>
                </c:pt>
                <c:pt idx="3">
                  <c:v>2022</c:v>
                </c:pt>
                <c:pt idx="4">
                  <c:v>2023</c:v>
                </c:pt>
                <c:pt idx="5">
                  <c:v>2024</c:v>
                </c:pt>
                <c:pt idx="6">
                  <c:v>2025</c:v>
                </c:pt>
              </c:numCache>
              <c:extLst/>
            </c:numRef>
          </c:cat>
          <c:val>
            <c:numRef>
              <c:f>BDP_doprinosi!$AC$13:$AJ$13</c:f>
              <c:numCache>
                <c:formatCode>0.0</c:formatCode>
                <c:ptCount val="7"/>
                <c:pt idx="0">
                  <c:v>4.3317364558564329</c:v>
                </c:pt>
                <c:pt idx="1">
                  <c:v>-0.90321916427328408</c:v>
                </c:pt>
                <c:pt idx="2">
                  <c:v>7.5499107936795609</c:v>
                </c:pt>
                <c:pt idx="3">
                  <c:v>2.5430849956685013</c:v>
                </c:pt>
                <c:pt idx="4">
                  <c:v>2.4500000000000006</c:v>
                </c:pt>
                <c:pt idx="5">
                  <c:v>3.5299999999999958</c:v>
                </c:pt>
                <c:pt idx="6">
                  <c:v>4.0300000000000082</c:v>
                </c:pt>
              </c:numCache>
              <c:extLst/>
            </c:numRef>
          </c:val>
          <c:smooth val="0"/>
          <c:extLst>
            <c:ext xmlns:c16="http://schemas.microsoft.com/office/drawing/2014/chart" uri="{C3380CC4-5D6E-409C-BE32-E72D297353CC}">
              <c16:uniqueId val="{00000007-43EB-4618-BFC8-3A2D0F03B521}"/>
            </c:ext>
          </c:extLst>
        </c:ser>
        <c:dLbls>
          <c:showLegendKey val="0"/>
          <c:showVal val="0"/>
          <c:showCatName val="0"/>
          <c:showSerName val="0"/>
          <c:showPercent val="0"/>
          <c:showBubbleSize val="0"/>
        </c:dLbls>
        <c:marker val="1"/>
        <c:smooth val="0"/>
        <c:axId val="2080938768"/>
        <c:axId val="2080108432"/>
      </c:lineChart>
      <c:catAx>
        <c:axId val="2080938768"/>
        <c:scaling>
          <c:orientation val="minMax"/>
        </c:scaling>
        <c:delete val="0"/>
        <c:axPos val="b"/>
        <c:numFmt formatCode="General" sourceLinked="1"/>
        <c:majorTickMark val="none"/>
        <c:minorTickMark val="none"/>
        <c:tickLblPos val="low"/>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080108432"/>
        <c:crosses val="autoZero"/>
        <c:auto val="1"/>
        <c:lblAlgn val="ctr"/>
        <c:lblOffset val="100"/>
        <c:noMultiLvlLbl val="0"/>
      </c:catAx>
      <c:valAx>
        <c:axId val="2080108432"/>
        <c:scaling>
          <c:orientation val="minMax"/>
          <c:min val="-4"/>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080938768"/>
        <c:crosses val="autoZero"/>
        <c:crossBetween val="between"/>
      </c:valAx>
      <c:spPr>
        <a:noFill/>
        <a:ln>
          <a:noFill/>
        </a:ln>
        <a:effectLst/>
      </c:spPr>
    </c:plotArea>
    <c:legend>
      <c:legendPos val="b"/>
      <c:layout>
        <c:manualLayout>
          <c:xMode val="edge"/>
          <c:yMode val="edge"/>
          <c:x val="0"/>
          <c:y val="0.83244109195402283"/>
          <c:w val="1"/>
          <c:h val="0.16755890804597701"/>
        </c:manualLayout>
      </c:layout>
      <c:overlay val="0"/>
      <c:spPr>
        <a:noFill/>
        <a:ln>
          <a:noFill/>
        </a:ln>
        <a:effectLst/>
      </c:spPr>
      <c:txPr>
        <a:bodyPr rot="0" spcFirstLastPara="1" vertOverflow="ellipsis" vert="horz" wrap="square" anchor="ctr" anchorCtr="1"/>
        <a:lstStyle/>
        <a:p>
          <a:pPr>
            <a:defRPr sz="7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ysClr val="window" lastClr="FFFFFF"/>
    </a:solidFill>
    <a:ln w="9525" cap="flat" cmpd="sng" algn="ctr">
      <a:noFill/>
      <a:round/>
    </a:ln>
    <a:effectLst/>
  </c:spPr>
  <c:txPr>
    <a:bodyPr/>
    <a:lstStyle/>
    <a:p>
      <a:pPr>
        <a:defRPr sz="750">
          <a:solidFill>
            <a:schemeClr val="tx2"/>
          </a:solidFill>
          <a:latin typeface="+mn-lt"/>
          <a:cs typeface="Arial" panose="020B0604020202020204" pitchFamily="34" charset="0"/>
        </a:defRPr>
      </a:pPr>
      <a:endParaRPr lang="en-US"/>
    </a:p>
  </c:txPr>
  <c:externalData r:id="rId4">
    <c:autoUpdate val="0"/>
  </c:externalData>
  <c:userShapes r:id="rId5"/>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0253890798861412E-2"/>
          <c:y val="0.1330256638670656"/>
          <c:w val="0.90740810185185183"/>
          <c:h val="0.54290136863667737"/>
        </c:manualLayout>
      </c:layout>
      <c:barChart>
        <c:barDir val="col"/>
        <c:grouping val="stacked"/>
        <c:varyColors val="0"/>
        <c:ser>
          <c:idx val="2"/>
          <c:order val="1"/>
          <c:tx>
            <c:strRef>
              <c:f>'nepoljoprivredni BDP'!$D$5</c:f>
              <c:strCache>
                <c:ptCount val="1"/>
                <c:pt idx="0">
                  <c:v>Допринос фактора рада, п.п.</c:v>
                </c:pt>
              </c:strCache>
            </c:strRef>
          </c:tx>
          <c:spPr>
            <a:solidFill>
              <a:srgbClr val="10103C"/>
            </a:solidFill>
            <a:ln>
              <a:noFill/>
            </a:ln>
            <a:effectLst/>
          </c:spPr>
          <c:invertIfNegative val="0"/>
          <c:cat>
            <c:numRef>
              <c:f>'nepoljoprivredni BDP'!$B$10:$B$16</c:f>
              <c:numCache>
                <c:formatCode>General</c:formatCode>
                <c:ptCount val="7"/>
                <c:pt idx="0">
                  <c:v>2019</c:v>
                </c:pt>
                <c:pt idx="1">
                  <c:v>2020</c:v>
                </c:pt>
                <c:pt idx="2">
                  <c:v>2021</c:v>
                </c:pt>
                <c:pt idx="3">
                  <c:v>2022</c:v>
                </c:pt>
                <c:pt idx="4">
                  <c:v>2023</c:v>
                </c:pt>
                <c:pt idx="5">
                  <c:v>2024</c:v>
                </c:pt>
                <c:pt idx="6">
                  <c:v>2025</c:v>
                </c:pt>
              </c:numCache>
            </c:numRef>
          </c:cat>
          <c:val>
            <c:numRef>
              <c:f>'nepoljoprivredni BDP'!$D$10:$D$16</c:f>
              <c:numCache>
                <c:formatCode>0.0</c:formatCode>
                <c:ptCount val="7"/>
                <c:pt idx="0">
                  <c:v>1.3122050478265457</c:v>
                </c:pt>
                <c:pt idx="1">
                  <c:v>1.1623085151343993</c:v>
                </c:pt>
                <c:pt idx="2">
                  <c:v>1.0671274220490368</c:v>
                </c:pt>
                <c:pt idx="3">
                  <c:v>1.0131907301514951</c:v>
                </c:pt>
                <c:pt idx="4">
                  <c:v>1.0788467913914934</c:v>
                </c:pt>
                <c:pt idx="5">
                  <c:v>0.93875934003053496</c:v>
                </c:pt>
                <c:pt idx="6">
                  <c:v>0.83591863729096783</c:v>
                </c:pt>
              </c:numCache>
            </c:numRef>
          </c:val>
          <c:extLst>
            <c:ext xmlns:c16="http://schemas.microsoft.com/office/drawing/2014/chart" uri="{C3380CC4-5D6E-409C-BE32-E72D297353CC}">
              <c16:uniqueId val="{00000000-5CA0-4825-A1C3-9D092F55AB41}"/>
            </c:ext>
          </c:extLst>
        </c:ser>
        <c:ser>
          <c:idx val="1"/>
          <c:order val="2"/>
          <c:tx>
            <c:strRef>
              <c:f>'nepoljoprivredni BDP'!$E$5</c:f>
              <c:strCache>
                <c:ptCount val="1"/>
                <c:pt idx="0">
                  <c:v>Допринос капитала, п.п.</c:v>
                </c:pt>
              </c:strCache>
            </c:strRef>
          </c:tx>
          <c:spPr>
            <a:solidFill>
              <a:srgbClr val="29489A"/>
            </a:solidFill>
            <a:ln>
              <a:noFill/>
            </a:ln>
            <a:effectLst/>
          </c:spPr>
          <c:invertIfNegative val="0"/>
          <c:cat>
            <c:numRef>
              <c:f>'nepoljoprivredni BDP'!$B$10:$B$16</c:f>
              <c:numCache>
                <c:formatCode>General</c:formatCode>
                <c:ptCount val="7"/>
                <c:pt idx="0">
                  <c:v>2019</c:v>
                </c:pt>
                <c:pt idx="1">
                  <c:v>2020</c:v>
                </c:pt>
                <c:pt idx="2">
                  <c:v>2021</c:v>
                </c:pt>
                <c:pt idx="3">
                  <c:v>2022</c:v>
                </c:pt>
                <c:pt idx="4">
                  <c:v>2023</c:v>
                </c:pt>
                <c:pt idx="5">
                  <c:v>2024</c:v>
                </c:pt>
                <c:pt idx="6">
                  <c:v>2025</c:v>
                </c:pt>
              </c:numCache>
            </c:numRef>
          </c:cat>
          <c:val>
            <c:numRef>
              <c:f>'nepoljoprivredni BDP'!$E$10:$E$16</c:f>
              <c:numCache>
                <c:formatCode>0.0</c:formatCode>
                <c:ptCount val="7"/>
                <c:pt idx="0">
                  <c:v>1.4937664053533428</c:v>
                </c:pt>
                <c:pt idx="1">
                  <c:v>1.2520403410443093</c:v>
                </c:pt>
                <c:pt idx="2">
                  <c:v>1.7094420925119269</c:v>
                </c:pt>
                <c:pt idx="3">
                  <c:v>1.1891100047719199</c:v>
                </c:pt>
                <c:pt idx="4">
                  <c:v>1.4064121471588464</c:v>
                </c:pt>
                <c:pt idx="5">
                  <c:v>1.4518420504717588</c:v>
                </c:pt>
                <c:pt idx="6">
                  <c:v>1.5159903049549595</c:v>
                </c:pt>
              </c:numCache>
            </c:numRef>
          </c:val>
          <c:extLst>
            <c:ext xmlns:c16="http://schemas.microsoft.com/office/drawing/2014/chart" uri="{C3380CC4-5D6E-409C-BE32-E72D297353CC}">
              <c16:uniqueId val="{00000001-5CA0-4825-A1C3-9D092F55AB41}"/>
            </c:ext>
          </c:extLst>
        </c:ser>
        <c:ser>
          <c:idx val="3"/>
          <c:order val="3"/>
          <c:tx>
            <c:strRef>
              <c:f>'nepoljoprivredni BDP'!$F$5</c:f>
              <c:strCache>
                <c:ptCount val="1"/>
                <c:pt idx="0">
                  <c:v>ТФП, п.п.</c:v>
                </c:pt>
              </c:strCache>
            </c:strRef>
          </c:tx>
          <c:spPr>
            <a:solidFill>
              <a:srgbClr val="51BBE7"/>
            </a:solidFill>
            <a:ln>
              <a:noFill/>
            </a:ln>
            <a:effectLst/>
          </c:spPr>
          <c:invertIfNegative val="0"/>
          <c:cat>
            <c:numRef>
              <c:f>'nepoljoprivredni BDP'!$B$10:$B$16</c:f>
              <c:numCache>
                <c:formatCode>General</c:formatCode>
                <c:ptCount val="7"/>
                <c:pt idx="0">
                  <c:v>2019</c:v>
                </c:pt>
                <c:pt idx="1">
                  <c:v>2020</c:v>
                </c:pt>
                <c:pt idx="2">
                  <c:v>2021</c:v>
                </c:pt>
                <c:pt idx="3">
                  <c:v>2022</c:v>
                </c:pt>
                <c:pt idx="4">
                  <c:v>2023</c:v>
                </c:pt>
                <c:pt idx="5">
                  <c:v>2024</c:v>
                </c:pt>
                <c:pt idx="6">
                  <c:v>2025</c:v>
                </c:pt>
              </c:numCache>
            </c:numRef>
          </c:cat>
          <c:val>
            <c:numRef>
              <c:f>'nepoljoprivredni BDP'!$F$10:$F$16</c:f>
              <c:numCache>
                <c:formatCode>0.0</c:formatCode>
                <c:ptCount val="7"/>
                <c:pt idx="0">
                  <c:v>0.43286694935909087</c:v>
                </c:pt>
                <c:pt idx="1">
                  <c:v>0.94288647669782044</c:v>
                </c:pt>
                <c:pt idx="2">
                  <c:v>0.73692806817599377</c:v>
                </c:pt>
                <c:pt idx="3">
                  <c:v>1.3670817810839873</c:v>
                </c:pt>
                <c:pt idx="4">
                  <c:v>1.101014192509119</c:v>
                </c:pt>
                <c:pt idx="5">
                  <c:v>1.2806744756011357</c:v>
                </c:pt>
                <c:pt idx="6">
                  <c:v>1.4416372723228941</c:v>
                </c:pt>
              </c:numCache>
            </c:numRef>
          </c:val>
          <c:extLst>
            <c:ext xmlns:c16="http://schemas.microsoft.com/office/drawing/2014/chart" uri="{C3380CC4-5D6E-409C-BE32-E72D297353CC}">
              <c16:uniqueId val="{00000002-5CA0-4825-A1C3-9D092F55AB41}"/>
            </c:ext>
          </c:extLst>
        </c:ser>
        <c:dLbls>
          <c:showLegendKey val="0"/>
          <c:showVal val="0"/>
          <c:showCatName val="0"/>
          <c:showSerName val="0"/>
          <c:showPercent val="0"/>
          <c:showBubbleSize val="0"/>
        </c:dLbls>
        <c:gapWidth val="60"/>
        <c:overlap val="100"/>
        <c:axId val="253051184"/>
        <c:axId val="390432992"/>
      </c:barChart>
      <c:lineChart>
        <c:grouping val="standard"/>
        <c:varyColors val="0"/>
        <c:ser>
          <c:idx val="0"/>
          <c:order val="0"/>
          <c:tx>
            <c:strRef>
              <c:f>'nepoljoprivredni BDP'!$C$5</c:f>
              <c:strCache>
                <c:ptCount val="1"/>
                <c:pt idx="0">
                  <c:v>Раст потенцијалног БДП, %</c:v>
                </c:pt>
              </c:strCache>
            </c:strRef>
          </c:tx>
          <c:spPr>
            <a:ln w="28575" cap="rnd">
              <a:solidFill>
                <a:srgbClr val="FF0000"/>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rgbClr val="FF0000"/>
                    </a:solidFill>
                    <a:latin typeface="Times New Roman" panose="02020603050405020304" pitchFamily="18" charset="0"/>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'nepoljoprivredni BDP'!$B$10:$B$16</c:f>
              <c:numCache>
                <c:formatCode>General</c:formatCode>
                <c:ptCount val="7"/>
                <c:pt idx="0">
                  <c:v>2019</c:v>
                </c:pt>
                <c:pt idx="1">
                  <c:v>2020</c:v>
                </c:pt>
                <c:pt idx="2">
                  <c:v>2021</c:v>
                </c:pt>
                <c:pt idx="3">
                  <c:v>2022</c:v>
                </c:pt>
                <c:pt idx="4">
                  <c:v>2023</c:v>
                </c:pt>
                <c:pt idx="5">
                  <c:v>2024</c:v>
                </c:pt>
                <c:pt idx="6">
                  <c:v>2025</c:v>
                </c:pt>
              </c:numCache>
            </c:numRef>
          </c:cat>
          <c:val>
            <c:numRef>
              <c:f>'nepoljoprivredni BDP'!$C$10:$C$16</c:f>
              <c:numCache>
                <c:formatCode>0.0</c:formatCode>
                <c:ptCount val="7"/>
                <c:pt idx="0">
                  <c:v>3.2388384025389794</c:v>
                </c:pt>
                <c:pt idx="1">
                  <c:v>3.3572353328765292</c:v>
                </c:pt>
                <c:pt idx="2">
                  <c:v>3.5134975827369574</c:v>
                </c:pt>
                <c:pt idx="3">
                  <c:v>3.5693825160074022</c:v>
                </c:pt>
                <c:pt idx="4">
                  <c:v>3.5862731310594587</c:v>
                </c:pt>
                <c:pt idx="5">
                  <c:v>3.6712758661034295</c:v>
                </c:pt>
                <c:pt idx="6">
                  <c:v>3.7935462145688215</c:v>
                </c:pt>
              </c:numCache>
            </c:numRef>
          </c:val>
          <c:smooth val="0"/>
          <c:extLst>
            <c:ext xmlns:c16="http://schemas.microsoft.com/office/drawing/2014/chart" uri="{C3380CC4-5D6E-409C-BE32-E72D297353CC}">
              <c16:uniqueId val="{00000003-5CA0-4825-A1C3-9D092F55AB41}"/>
            </c:ext>
          </c:extLst>
        </c:ser>
        <c:dLbls>
          <c:showLegendKey val="0"/>
          <c:showVal val="0"/>
          <c:showCatName val="0"/>
          <c:showSerName val="0"/>
          <c:showPercent val="0"/>
          <c:showBubbleSize val="0"/>
        </c:dLbls>
        <c:marker val="1"/>
        <c:smooth val="0"/>
        <c:axId val="253051184"/>
        <c:axId val="390432992"/>
      </c:lineChart>
      <c:catAx>
        <c:axId val="253051184"/>
        <c:scaling>
          <c:orientation val="minMax"/>
        </c:scaling>
        <c:delete val="0"/>
        <c:axPos val="b"/>
        <c:numFmt formatCode="General" sourceLinked="1"/>
        <c:majorTickMark val="none"/>
        <c:minorTickMark val="none"/>
        <c:tickLblPos val="low"/>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90432992"/>
        <c:crossesAt val="0"/>
        <c:auto val="1"/>
        <c:lblAlgn val="ctr"/>
        <c:lblOffset val="100"/>
        <c:noMultiLvlLbl val="0"/>
      </c:catAx>
      <c:valAx>
        <c:axId val="390432992"/>
        <c:scaling>
          <c:orientation val="minMax"/>
          <c:min val="0"/>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53051184"/>
        <c:crosses val="autoZero"/>
        <c:crossBetween val="between"/>
        <c:majorUnit val="1"/>
        <c:minorUnit val="0.2"/>
      </c:valAx>
      <c:spPr>
        <a:noFill/>
        <a:ln>
          <a:noFill/>
        </a:ln>
        <a:effectLst/>
      </c:spPr>
    </c:plotArea>
    <c:legend>
      <c:legendPos val="b"/>
      <c:layout>
        <c:manualLayout>
          <c:xMode val="edge"/>
          <c:yMode val="edge"/>
          <c:x val="1.4346234889652889E-3"/>
          <c:y val="0.79209678819444451"/>
          <c:w val="0.99827437063324831"/>
          <c:h val="0.19444878472222224"/>
        </c:manualLayout>
      </c:layout>
      <c:overlay val="0"/>
      <c:spPr>
        <a:noFill/>
        <a:ln>
          <a:noFill/>
        </a:ln>
        <a:effectLst/>
      </c:spPr>
      <c:txPr>
        <a:bodyPr rot="0" spcFirstLastPara="1" vertOverflow="ellipsis" vert="horz" wrap="square" anchor="ctr" anchorCtr="1"/>
        <a:lstStyle/>
        <a:p>
          <a:pPr>
            <a:defRPr sz="7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ysClr val="window" lastClr="FFFFFF"/>
    </a:solidFill>
    <a:ln w="9525" cap="flat" cmpd="sng" algn="ctr">
      <a:noFill/>
      <a:round/>
    </a:ln>
    <a:effectLst/>
  </c:spPr>
  <c:txPr>
    <a:bodyPr/>
    <a:lstStyle/>
    <a:p>
      <a:pPr>
        <a:defRPr sz="750">
          <a:solidFill>
            <a:schemeClr val="tx2"/>
          </a:solidFill>
          <a:latin typeface="+mn-lt"/>
          <a:cs typeface="Arial" panose="020B0604020202020204" pitchFamily="34" charset="0"/>
        </a:defRPr>
      </a:pPr>
      <a:endParaRPr lang="en-US"/>
    </a:p>
  </c:txPr>
  <c:externalData r:id="rId4">
    <c:autoUpdate val="0"/>
  </c:externalData>
  <c:userShapes r:id="rId5"/>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4217259528330458E-2"/>
          <c:y val="3.0334528263489927E-2"/>
          <c:w val="0.91156548094333911"/>
          <c:h val="0.86751146663327128"/>
        </c:manualLayout>
      </c:layout>
      <c:areaChart>
        <c:grouping val="stacked"/>
        <c:varyColors val="0"/>
        <c:ser>
          <c:idx val="0"/>
          <c:order val="1"/>
          <c:tx>
            <c:strRef>
              <c:f>'fan chart srbija'!$G$4</c:f>
              <c:strCache>
                <c:ptCount val="1"/>
                <c:pt idx="0">
                  <c:v>dno</c:v>
                </c:pt>
              </c:strCache>
            </c:strRef>
          </c:tx>
          <c:spPr>
            <a:noFill/>
          </c:spPr>
          <c:cat>
            <c:strRef>
              <c:f>'fan chart srbija'!$E$7:$E$14</c:f>
              <c:strCache>
                <c:ptCount val="8"/>
                <c:pt idx="0">
                  <c:v>2018</c:v>
                </c:pt>
                <c:pt idx="1">
                  <c:v>2019</c:v>
                </c:pt>
                <c:pt idx="2">
                  <c:v>2020</c:v>
                </c:pt>
                <c:pt idx="3">
                  <c:v>2021</c:v>
                </c:pt>
                <c:pt idx="4">
                  <c:v>2022</c:v>
                </c:pt>
                <c:pt idx="5">
                  <c:v>2023</c:v>
                </c:pt>
                <c:pt idx="6">
                  <c:v>2024</c:v>
                </c:pt>
                <c:pt idx="7">
                  <c:v>2025</c:v>
                </c:pt>
              </c:strCache>
            </c:strRef>
          </c:cat>
          <c:val>
            <c:numRef>
              <c:f>'fan chart srbija'!$G$7:$G$14</c:f>
              <c:numCache>
                <c:formatCode>0.0</c:formatCode>
                <c:ptCount val="8"/>
                <c:pt idx="0">
                  <c:v>4.5</c:v>
                </c:pt>
                <c:pt idx="1">
                  <c:v>4.3</c:v>
                </c:pt>
                <c:pt idx="2">
                  <c:v>-0.9</c:v>
                </c:pt>
                <c:pt idx="3">
                  <c:v>7.5</c:v>
                </c:pt>
                <c:pt idx="4">
                  <c:v>2.2000000000000002</c:v>
                </c:pt>
                <c:pt idx="5">
                  <c:v>0</c:v>
                </c:pt>
                <c:pt idx="6">
                  <c:v>1</c:v>
                </c:pt>
                <c:pt idx="7">
                  <c:v>1</c:v>
                </c:pt>
              </c:numCache>
            </c:numRef>
          </c:val>
          <c:extLst>
            <c:ext xmlns:c16="http://schemas.microsoft.com/office/drawing/2014/chart" uri="{C3380CC4-5D6E-409C-BE32-E72D297353CC}">
              <c16:uniqueId val="{00000000-5855-456D-BAB9-3EC7EEAD5E29}"/>
            </c:ext>
          </c:extLst>
        </c:ser>
        <c:ser>
          <c:idx val="2"/>
          <c:order val="2"/>
          <c:tx>
            <c:strRef>
              <c:f>'fan chart srbija'!$H$4</c:f>
              <c:strCache>
                <c:ptCount val="1"/>
                <c:pt idx="0">
                  <c:v>90</c:v>
                </c:pt>
              </c:strCache>
            </c:strRef>
          </c:tx>
          <c:spPr>
            <a:solidFill>
              <a:srgbClr val="FFF1F1"/>
            </a:solidFill>
            <a:ln w="25400">
              <a:noFill/>
            </a:ln>
          </c:spPr>
          <c:cat>
            <c:strRef>
              <c:f>'fan chart srbija'!$E$7:$E$14</c:f>
              <c:strCache>
                <c:ptCount val="8"/>
                <c:pt idx="0">
                  <c:v>2018</c:v>
                </c:pt>
                <c:pt idx="1">
                  <c:v>2019</c:v>
                </c:pt>
                <c:pt idx="2">
                  <c:v>2020</c:v>
                </c:pt>
                <c:pt idx="3">
                  <c:v>2021</c:v>
                </c:pt>
                <c:pt idx="4">
                  <c:v>2022</c:v>
                </c:pt>
                <c:pt idx="5">
                  <c:v>2023</c:v>
                </c:pt>
                <c:pt idx="6">
                  <c:v>2024</c:v>
                </c:pt>
                <c:pt idx="7">
                  <c:v>2025</c:v>
                </c:pt>
              </c:strCache>
            </c:strRef>
          </c:cat>
          <c:val>
            <c:numRef>
              <c:f>'fan chart srbija'!$H$7:$H$14</c:f>
              <c:numCache>
                <c:formatCode>0.0</c:formatCode>
                <c:ptCount val="8"/>
                <c:pt idx="0">
                  <c:v>0</c:v>
                </c:pt>
                <c:pt idx="1">
                  <c:v>0</c:v>
                </c:pt>
                <c:pt idx="2">
                  <c:v>0</c:v>
                </c:pt>
                <c:pt idx="3">
                  <c:v>0</c:v>
                </c:pt>
                <c:pt idx="4">
                  <c:v>0.2</c:v>
                </c:pt>
                <c:pt idx="5">
                  <c:v>0.9</c:v>
                </c:pt>
                <c:pt idx="6">
                  <c:v>0.9</c:v>
                </c:pt>
                <c:pt idx="7">
                  <c:v>0.9</c:v>
                </c:pt>
              </c:numCache>
            </c:numRef>
          </c:val>
          <c:extLst>
            <c:ext xmlns:c16="http://schemas.microsoft.com/office/drawing/2014/chart" uri="{C3380CC4-5D6E-409C-BE32-E72D297353CC}">
              <c16:uniqueId val="{00000001-5855-456D-BAB9-3EC7EEAD5E29}"/>
            </c:ext>
          </c:extLst>
        </c:ser>
        <c:ser>
          <c:idx val="3"/>
          <c:order val="3"/>
          <c:tx>
            <c:strRef>
              <c:f>'fan chart srbija'!$I$4</c:f>
              <c:strCache>
                <c:ptCount val="1"/>
                <c:pt idx="0">
                  <c:v>80</c:v>
                </c:pt>
              </c:strCache>
            </c:strRef>
          </c:tx>
          <c:spPr>
            <a:solidFill>
              <a:srgbClr val="FFD5D5"/>
            </a:solidFill>
            <a:ln w="25400">
              <a:noFill/>
            </a:ln>
          </c:spPr>
          <c:cat>
            <c:strRef>
              <c:f>'fan chart srbija'!$E$7:$E$14</c:f>
              <c:strCache>
                <c:ptCount val="8"/>
                <c:pt idx="0">
                  <c:v>2018</c:v>
                </c:pt>
                <c:pt idx="1">
                  <c:v>2019</c:v>
                </c:pt>
                <c:pt idx="2">
                  <c:v>2020</c:v>
                </c:pt>
                <c:pt idx="3">
                  <c:v>2021</c:v>
                </c:pt>
                <c:pt idx="4">
                  <c:v>2022</c:v>
                </c:pt>
                <c:pt idx="5">
                  <c:v>2023</c:v>
                </c:pt>
                <c:pt idx="6">
                  <c:v>2024</c:v>
                </c:pt>
                <c:pt idx="7">
                  <c:v>2025</c:v>
                </c:pt>
              </c:strCache>
            </c:strRef>
          </c:cat>
          <c:val>
            <c:numRef>
              <c:f>'fan chart srbija'!$I$7:$I$14</c:f>
              <c:numCache>
                <c:formatCode>0.0</c:formatCode>
                <c:ptCount val="8"/>
                <c:pt idx="0">
                  <c:v>0</c:v>
                </c:pt>
                <c:pt idx="1">
                  <c:v>0</c:v>
                </c:pt>
                <c:pt idx="2">
                  <c:v>0</c:v>
                </c:pt>
                <c:pt idx="3">
                  <c:v>0</c:v>
                </c:pt>
                <c:pt idx="4">
                  <c:v>0.1</c:v>
                </c:pt>
                <c:pt idx="5">
                  <c:v>0.8</c:v>
                </c:pt>
                <c:pt idx="6">
                  <c:v>0.7</c:v>
                </c:pt>
                <c:pt idx="7">
                  <c:v>0.9</c:v>
                </c:pt>
              </c:numCache>
            </c:numRef>
          </c:val>
          <c:extLst>
            <c:ext xmlns:c16="http://schemas.microsoft.com/office/drawing/2014/chart" uri="{C3380CC4-5D6E-409C-BE32-E72D297353CC}">
              <c16:uniqueId val="{00000002-5855-456D-BAB9-3EC7EEAD5E29}"/>
            </c:ext>
          </c:extLst>
        </c:ser>
        <c:ser>
          <c:idx val="4"/>
          <c:order val="4"/>
          <c:tx>
            <c:strRef>
              <c:f>'fan chart srbija'!$J$4</c:f>
              <c:strCache>
                <c:ptCount val="1"/>
                <c:pt idx="0">
                  <c:v>70</c:v>
                </c:pt>
              </c:strCache>
            </c:strRef>
          </c:tx>
          <c:spPr>
            <a:solidFill>
              <a:srgbClr val="FFAFAF"/>
            </a:solidFill>
            <a:ln w="25400">
              <a:noFill/>
            </a:ln>
          </c:spPr>
          <c:cat>
            <c:strRef>
              <c:f>'fan chart srbija'!$E$7:$E$14</c:f>
              <c:strCache>
                <c:ptCount val="8"/>
                <c:pt idx="0">
                  <c:v>2018</c:v>
                </c:pt>
                <c:pt idx="1">
                  <c:v>2019</c:v>
                </c:pt>
                <c:pt idx="2">
                  <c:v>2020</c:v>
                </c:pt>
                <c:pt idx="3">
                  <c:v>2021</c:v>
                </c:pt>
                <c:pt idx="4">
                  <c:v>2022</c:v>
                </c:pt>
                <c:pt idx="5">
                  <c:v>2023</c:v>
                </c:pt>
                <c:pt idx="6">
                  <c:v>2024</c:v>
                </c:pt>
                <c:pt idx="7">
                  <c:v>2025</c:v>
                </c:pt>
              </c:strCache>
            </c:strRef>
          </c:cat>
          <c:val>
            <c:numRef>
              <c:f>'fan chart srbija'!$J$7:$J$14</c:f>
              <c:numCache>
                <c:formatCode>0.0</c:formatCode>
                <c:ptCount val="8"/>
                <c:pt idx="0">
                  <c:v>0</c:v>
                </c:pt>
                <c:pt idx="1">
                  <c:v>0</c:v>
                </c:pt>
                <c:pt idx="2">
                  <c:v>0</c:v>
                </c:pt>
                <c:pt idx="3">
                  <c:v>0</c:v>
                </c:pt>
                <c:pt idx="4">
                  <c:v>0</c:v>
                </c:pt>
                <c:pt idx="5">
                  <c:v>0</c:v>
                </c:pt>
                <c:pt idx="6">
                  <c:v>0.3</c:v>
                </c:pt>
                <c:pt idx="7">
                  <c:v>0.5</c:v>
                </c:pt>
              </c:numCache>
            </c:numRef>
          </c:val>
          <c:extLst>
            <c:ext xmlns:c16="http://schemas.microsoft.com/office/drawing/2014/chart" uri="{C3380CC4-5D6E-409C-BE32-E72D297353CC}">
              <c16:uniqueId val="{00000003-5855-456D-BAB9-3EC7EEAD5E29}"/>
            </c:ext>
          </c:extLst>
        </c:ser>
        <c:ser>
          <c:idx val="5"/>
          <c:order val="5"/>
          <c:tx>
            <c:strRef>
              <c:f>'fan chart srbija'!$K$4</c:f>
              <c:strCache>
                <c:ptCount val="1"/>
                <c:pt idx="0">
                  <c:v>60</c:v>
                </c:pt>
              </c:strCache>
            </c:strRef>
          </c:tx>
          <c:spPr>
            <a:solidFill>
              <a:srgbClr val="FF7D7D"/>
            </a:solidFill>
            <a:ln w="25400">
              <a:noFill/>
            </a:ln>
          </c:spPr>
          <c:cat>
            <c:strRef>
              <c:f>'fan chart srbija'!$E$7:$E$14</c:f>
              <c:strCache>
                <c:ptCount val="8"/>
                <c:pt idx="0">
                  <c:v>2018</c:v>
                </c:pt>
                <c:pt idx="1">
                  <c:v>2019</c:v>
                </c:pt>
                <c:pt idx="2">
                  <c:v>2020</c:v>
                </c:pt>
                <c:pt idx="3">
                  <c:v>2021</c:v>
                </c:pt>
                <c:pt idx="4">
                  <c:v>2022</c:v>
                </c:pt>
                <c:pt idx="5">
                  <c:v>2023</c:v>
                </c:pt>
                <c:pt idx="6">
                  <c:v>2024</c:v>
                </c:pt>
                <c:pt idx="7">
                  <c:v>2025</c:v>
                </c:pt>
              </c:strCache>
            </c:strRef>
          </c:cat>
          <c:val>
            <c:numRef>
              <c:f>'fan chart srbija'!$K$7:$K$14</c:f>
              <c:numCache>
                <c:formatCode>0.0</c:formatCode>
                <c:ptCount val="8"/>
                <c:pt idx="0">
                  <c:v>0</c:v>
                </c:pt>
                <c:pt idx="1">
                  <c:v>0</c:v>
                </c:pt>
                <c:pt idx="2">
                  <c:v>0</c:v>
                </c:pt>
                <c:pt idx="3">
                  <c:v>0</c:v>
                </c:pt>
                <c:pt idx="4">
                  <c:v>0</c:v>
                </c:pt>
                <c:pt idx="5">
                  <c:v>0.2</c:v>
                </c:pt>
                <c:pt idx="6">
                  <c:v>0.1</c:v>
                </c:pt>
                <c:pt idx="7">
                  <c:v>0.2</c:v>
                </c:pt>
              </c:numCache>
            </c:numRef>
          </c:val>
          <c:extLst>
            <c:ext xmlns:c16="http://schemas.microsoft.com/office/drawing/2014/chart" uri="{C3380CC4-5D6E-409C-BE32-E72D297353CC}">
              <c16:uniqueId val="{00000004-5855-456D-BAB9-3EC7EEAD5E29}"/>
            </c:ext>
          </c:extLst>
        </c:ser>
        <c:ser>
          <c:idx val="6"/>
          <c:order val="6"/>
          <c:tx>
            <c:strRef>
              <c:f>'fan chart srbija'!$L$4</c:f>
              <c:strCache>
                <c:ptCount val="1"/>
                <c:pt idx="0">
                  <c:v>50</c:v>
                </c:pt>
              </c:strCache>
            </c:strRef>
          </c:tx>
          <c:spPr>
            <a:solidFill>
              <a:srgbClr val="FF4747"/>
            </a:solidFill>
            <a:ln w="25400">
              <a:noFill/>
            </a:ln>
          </c:spPr>
          <c:cat>
            <c:strRef>
              <c:f>'fan chart srbija'!$E$7:$E$14</c:f>
              <c:strCache>
                <c:ptCount val="8"/>
                <c:pt idx="0">
                  <c:v>2018</c:v>
                </c:pt>
                <c:pt idx="1">
                  <c:v>2019</c:v>
                </c:pt>
                <c:pt idx="2">
                  <c:v>2020</c:v>
                </c:pt>
                <c:pt idx="3">
                  <c:v>2021</c:v>
                </c:pt>
                <c:pt idx="4">
                  <c:v>2022</c:v>
                </c:pt>
                <c:pt idx="5">
                  <c:v>2023</c:v>
                </c:pt>
                <c:pt idx="6">
                  <c:v>2024</c:v>
                </c:pt>
                <c:pt idx="7">
                  <c:v>2025</c:v>
                </c:pt>
              </c:strCache>
            </c:strRef>
          </c:cat>
          <c:val>
            <c:numRef>
              <c:f>'fan chart srbija'!$L$7:$L$14</c:f>
              <c:numCache>
                <c:formatCode>0.0</c:formatCode>
                <c:ptCount val="8"/>
                <c:pt idx="0">
                  <c:v>0</c:v>
                </c:pt>
                <c:pt idx="1">
                  <c:v>0</c:v>
                </c:pt>
                <c:pt idx="2">
                  <c:v>0</c:v>
                </c:pt>
                <c:pt idx="3">
                  <c:v>0</c:v>
                </c:pt>
                <c:pt idx="4">
                  <c:v>0</c:v>
                </c:pt>
                <c:pt idx="5">
                  <c:v>0.1</c:v>
                </c:pt>
                <c:pt idx="6">
                  <c:v>0.1</c:v>
                </c:pt>
                <c:pt idx="7">
                  <c:v>0.1</c:v>
                </c:pt>
              </c:numCache>
            </c:numRef>
          </c:val>
          <c:extLst>
            <c:ext xmlns:c16="http://schemas.microsoft.com/office/drawing/2014/chart" uri="{C3380CC4-5D6E-409C-BE32-E72D297353CC}">
              <c16:uniqueId val="{00000005-5855-456D-BAB9-3EC7EEAD5E29}"/>
            </c:ext>
          </c:extLst>
        </c:ser>
        <c:ser>
          <c:idx val="7"/>
          <c:order val="7"/>
          <c:tx>
            <c:strRef>
              <c:f>'fan chart srbija'!$M$4</c:f>
              <c:strCache>
                <c:ptCount val="1"/>
                <c:pt idx="0">
                  <c:v>40</c:v>
                </c:pt>
              </c:strCache>
            </c:strRef>
          </c:tx>
          <c:spPr>
            <a:solidFill>
              <a:srgbClr val="C00000"/>
            </a:solidFill>
            <a:ln w="25400">
              <a:noFill/>
            </a:ln>
          </c:spPr>
          <c:cat>
            <c:strRef>
              <c:f>'fan chart srbija'!$E$7:$E$14</c:f>
              <c:strCache>
                <c:ptCount val="8"/>
                <c:pt idx="0">
                  <c:v>2018</c:v>
                </c:pt>
                <c:pt idx="1">
                  <c:v>2019</c:v>
                </c:pt>
                <c:pt idx="2">
                  <c:v>2020</c:v>
                </c:pt>
                <c:pt idx="3">
                  <c:v>2021</c:v>
                </c:pt>
                <c:pt idx="4">
                  <c:v>2022</c:v>
                </c:pt>
                <c:pt idx="5">
                  <c:v>2023</c:v>
                </c:pt>
                <c:pt idx="6">
                  <c:v>2024</c:v>
                </c:pt>
                <c:pt idx="7">
                  <c:v>2025</c:v>
                </c:pt>
              </c:strCache>
            </c:strRef>
          </c:cat>
          <c:val>
            <c:numRef>
              <c:f>'fan chart srbija'!$M$7:$M$14</c:f>
              <c:numCache>
                <c:formatCode>0.0</c:formatCode>
                <c:ptCount val="8"/>
                <c:pt idx="0">
                  <c:v>0</c:v>
                </c:pt>
                <c:pt idx="1">
                  <c:v>0</c:v>
                </c:pt>
                <c:pt idx="2">
                  <c:v>0</c:v>
                </c:pt>
                <c:pt idx="3">
                  <c:v>0</c:v>
                </c:pt>
                <c:pt idx="4">
                  <c:v>0</c:v>
                </c:pt>
                <c:pt idx="5">
                  <c:v>0.1</c:v>
                </c:pt>
                <c:pt idx="6">
                  <c:v>0.1</c:v>
                </c:pt>
                <c:pt idx="7">
                  <c:v>0.1</c:v>
                </c:pt>
              </c:numCache>
            </c:numRef>
          </c:val>
          <c:extLst>
            <c:ext xmlns:c16="http://schemas.microsoft.com/office/drawing/2014/chart" uri="{C3380CC4-5D6E-409C-BE32-E72D297353CC}">
              <c16:uniqueId val="{00000006-5855-456D-BAB9-3EC7EEAD5E29}"/>
            </c:ext>
          </c:extLst>
        </c:ser>
        <c:ser>
          <c:idx val="8"/>
          <c:order val="8"/>
          <c:tx>
            <c:strRef>
              <c:f>'fan chart srbija'!$N$4</c:f>
              <c:strCache>
                <c:ptCount val="1"/>
                <c:pt idx="0">
                  <c:v>30</c:v>
                </c:pt>
              </c:strCache>
            </c:strRef>
          </c:tx>
          <c:spPr>
            <a:solidFill>
              <a:srgbClr val="740000"/>
            </a:solidFill>
            <a:ln w="25400">
              <a:noFill/>
            </a:ln>
          </c:spPr>
          <c:cat>
            <c:strRef>
              <c:f>'fan chart srbija'!$E$7:$E$14</c:f>
              <c:strCache>
                <c:ptCount val="8"/>
                <c:pt idx="0">
                  <c:v>2018</c:v>
                </c:pt>
                <c:pt idx="1">
                  <c:v>2019</c:v>
                </c:pt>
                <c:pt idx="2">
                  <c:v>2020</c:v>
                </c:pt>
                <c:pt idx="3">
                  <c:v>2021</c:v>
                </c:pt>
                <c:pt idx="4">
                  <c:v>2022</c:v>
                </c:pt>
                <c:pt idx="5">
                  <c:v>2023</c:v>
                </c:pt>
                <c:pt idx="6">
                  <c:v>2024</c:v>
                </c:pt>
                <c:pt idx="7">
                  <c:v>2025</c:v>
                </c:pt>
              </c:strCache>
            </c:strRef>
          </c:cat>
          <c:val>
            <c:numRef>
              <c:f>'fan chart srbija'!$N$7:$N$14</c:f>
              <c:numCache>
                <c:formatCode>0.0</c:formatCode>
                <c:ptCount val="8"/>
                <c:pt idx="0">
                  <c:v>0</c:v>
                </c:pt>
                <c:pt idx="1">
                  <c:v>0</c:v>
                </c:pt>
                <c:pt idx="2">
                  <c:v>0</c:v>
                </c:pt>
                <c:pt idx="3">
                  <c:v>0</c:v>
                </c:pt>
                <c:pt idx="4">
                  <c:v>0</c:v>
                </c:pt>
                <c:pt idx="5">
                  <c:v>0.14755070574747364</c:v>
                </c:pt>
                <c:pt idx="6">
                  <c:v>0.1</c:v>
                </c:pt>
                <c:pt idx="7">
                  <c:v>0.1</c:v>
                </c:pt>
              </c:numCache>
            </c:numRef>
          </c:val>
          <c:extLst>
            <c:ext xmlns:c16="http://schemas.microsoft.com/office/drawing/2014/chart" uri="{C3380CC4-5D6E-409C-BE32-E72D297353CC}">
              <c16:uniqueId val="{00000007-5855-456D-BAB9-3EC7EEAD5E29}"/>
            </c:ext>
          </c:extLst>
        </c:ser>
        <c:ser>
          <c:idx val="9"/>
          <c:order val="9"/>
          <c:tx>
            <c:strRef>
              <c:f>'fan chart srbija'!$O$4</c:f>
              <c:strCache>
                <c:ptCount val="1"/>
                <c:pt idx="0">
                  <c:v>20</c:v>
                </c:pt>
              </c:strCache>
            </c:strRef>
          </c:tx>
          <c:spPr>
            <a:solidFill>
              <a:srgbClr val="460000"/>
            </a:solidFill>
            <a:ln w="25400">
              <a:noFill/>
            </a:ln>
          </c:spPr>
          <c:cat>
            <c:strRef>
              <c:f>'fan chart srbija'!$E$7:$E$14</c:f>
              <c:strCache>
                <c:ptCount val="8"/>
                <c:pt idx="0">
                  <c:v>2018</c:v>
                </c:pt>
                <c:pt idx="1">
                  <c:v>2019</c:v>
                </c:pt>
                <c:pt idx="2">
                  <c:v>2020</c:v>
                </c:pt>
                <c:pt idx="3">
                  <c:v>2021</c:v>
                </c:pt>
                <c:pt idx="4">
                  <c:v>2022</c:v>
                </c:pt>
                <c:pt idx="5">
                  <c:v>2023</c:v>
                </c:pt>
                <c:pt idx="6">
                  <c:v>2024</c:v>
                </c:pt>
                <c:pt idx="7">
                  <c:v>2025</c:v>
                </c:pt>
              </c:strCache>
            </c:strRef>
          </c:cat>
          <c:val>
            <c:numRef>
              <c:f>'fan chart srbija'!$O$7:$O$14</c:f>
              <c:numCache>
                <c:formatCode>0.0</c:formatCode>
                <c:ptCount val="8"/>
                <c:pt idx="0">
                  <c:v>0</c:v>
                </c:pt>
                <c:pt idx="1">
                  <c:v>0</c:v>
                </c:pt>
                <c:pt idx="2">
                  <c:v>0</c:v>
                </c:pt>
                <c:pt idx="3">
                  <c:v>0</c:v>
                </c:pt>
                <c:pt idx="4">
                  <c:v>0</c:v>
                </c:pt>
                <c:pt idx="5">
                  <c:v>0.14275701540108665</c:v>
                </c:pt>
                <c:pt idx="6">
                  <c:v>0.1</c:v>
                </c:pt>
                <c:pt idx="7">
                  <c:v>0.1</c:v>
                </c:pt>
              </c:numCache>
            </c:numRef>
          </c:val>
          <c:extLst>
            <c:ext xmlns:c16="http://schemas.microsoft.com/office/drawing/2014/chart" uri="{C3380CC4-5D6E-409C-BE32-E72D297353CC}">
              <c16:uniqueId val="{00000008-5855-456D-BAB9-3EC7EEAD5E29}"/>
            </c:ext>
          </c:extLst>
        </c:ser>
        <c:ser>
          <c:idx val="10"/>
          <c:order val="10"/>
          <c:tx>
            <c:strRef>
              <c:f>'fan chart srbija'!$P$4</c:f>
              <c:strCache>
                <c:ptCount val="1"/>
                <c:pt idx="0">
                  <c:v>10</c:v>
                </c:pt>
              </c:strCache>
            </c:strRef>
          </c:tx>
          <c:spPr>
            <a:solidFill>
              <a:srgbClr val="140000"/>
            </a:solidFill>
            <a:ln w="25400">
              <a:noFill/>
            </a:ln>
          </c:spPr>
          <c:cat>
            <c:strRef>
              <c:f>'fan chart srbija'!$E$7:$E$14</c:f>
              <c:strCache>
                <c:ptCount val="8"/>
                <c:pt idx="0">
                  <c:v>2018</c:v>
                </c:pt>
                <c:pt idx="1">
                  <c:v>2019</c:v>
                </c:pt>
                <c:pt idx="2">
                  <c:v>2020</c:v>
                </c:pt>
                <c:pt idx="3">
                  <c:v>2021</c:v>
                </c:pt>
                <c:pt idx="4">
                  <c:v>2022</c:v>
                </c:pt>
                <c:pt idx="5">
                  <c:v>2023</c:v>
                </c:pt>
                <c:pt idx="6">
                  <c:v>2024</c:v>
                </c:pt>
                <c:pt idx="7">
                  <c:v>2025</c:v>
                </c:pt>
              </c:strCache>
            </c:strRef>
          </c:cat>
          <c:val>
            <c:numRef>
              <c:f>'fan chart srbija'!$P$7:$P$14</c:f>
              <c:numCache>
                <c:formatCode>0.0</c:formatCode>
                <c:ptCount val="8"/>
                <c:pt idx="0">
                  <c:v>0</c:v>
                </c:pt>
                <c:pt idx="1">
                  <c:v>0</c:v>
                </c:pt>
                <c:pt idx="2">
                  <c:v>0</c:v>
                </c:pt>
                <c:pt idx="3">
                  <c:v>0</c:v>
                </c:pt>
                <c:pt idx="4">
                  <c:v>0</c:v>
                </c:pt>
                <c:pt idx="5">
                  <c:v>0.14049365685606263</c:v>
                </c:pt>
                <c:pt idx="6">
                  <c:v>0.1</c:v>
                </c:pt>
                <c:pt idx="7">
                  <c:v>0.1</c:v>
                </c:pt>
              </c:numCache>
            </c:numRef>
          </c:val>
          <c:extLst>
            <c:ext xmlns:c16="http://schemas.microsoft.com/office/drawing/2014/chart" uri="{C3380CC4-5D6E-409C-BE32-E72D297353CC}">
              <c16:uniqueId val="{00000009-5855-456D-BAB9-3EC7EEAD5E29}"/>
            </c:ext>
          </c:extLst>
        </c:ser>
        <c:ser>
          <c:idx val="11"/>
          <c:order val="11"/>
          <c:tx>
            <c:strRef>
              <c:f>'fan chart srbija'!$Q$4</c:f>
              <c:strCache>
                <c:ptCount val="1"/>
                <c:pt idx="0">
                  <c:v>10</c:v>
                </c:pt>
              </c:strCache>
            </c:strRef>
          </c:tx>
          <c:spPr>
            <a:solidFill>
              <a:srgbClr val="140000"/>
            </a:solidFill>
            <a:ln w="25400">
              <a:noFill/>
            </a:ln>
          </c:spPr>
          <c:cat>
            <c:strRef>
              <c:f>'fan chart srbija'!$E$7:$E$14</c:f>
              <c:strCache>
                <c:ptCount val="8"/>
                <c:pt idx="0">
                  <c:v>2018</c:v>
                </c:pt>
                <c:pt idx="1">
                  <c:v>2019</c:v>
                </c:pt>
                <c:pt idx="2">
                  <c:v>2020</c:v>
                </c:pt>
                <c:pt idx="3">
                  <c:v>2021</c:v>
                </c:pt>
                <c:pt idx="4">
                  <c:v>2022</c:v>
                </c:pt>
                <c:pt idx="5">
                  <c:v>2023</c:v>
                </c:pt>
                <c:pt idx="6">
                  <c:v>2024</c:v>
                </c:pt>
                <c:pt idx="7">
                  <c:v>2025</c:v>
                </c:pt>
              </c:strCache>
            </c:strRef>
          </c:cat>
          <c:val>
            <c:numRef>
              <c:f>'fan chart srbija'!$Q$7:$Q$14</c:f>
              <c:numCache>
                <c:formatCode>0.0</c:formatCode>
                <c:ptCount val="8"/>
                <c:pt idx="0">
                  <c:v>0</c:v>
                </c:pt>
                <c:pt idx="1">
                  <c:v>0</c:v>
                </c:pt>
                <c:pt idx="2">
                  <c:v>0</c:v>
                </c:pt>
                <c:pt idx="3">
                  <c:v>0</c:v>
                </c:pt>
                <c:pt idx="4">
                  <c:v>0</c:v>
                </c:pt>
                <c:pt idx="5">
                  <c:v>0.1</c:v>
                </c:pt>
                <c:pt idx="6">
                  <c:v>0.1</c:v>
                </c:pt>
                <c:pt idx="7">
                  <c:v>0.1</c:v>
                </c:pt>
              </c:numCache>
            </c:numRef>
          </c:val>
          <c:extLst>
            <c:ext xmlns:c16="http://schemas.microsoft.com/office/drawing/2014/chart" uri="{C3380CC4-5D6E-409C-BE32-E72D297353CC}">
              <c16:uniqueId val="{0000000A-5855-456D-BAB9-3EC7EEAD5E29}"/>
            </c:ext>
          </c:extLst>
        </c:ser>
        <c:ser>
          <c:idx val="12"/>
          <c:order val="12"/>
          <c:tx>
            <c:strRef>
              <c:f>'fan chart srbija'!$R$4</c:f>
              <c:strCache>
                <c:ptCount val="1"/>
                <c:pt idx="0">
                  <c:v>20</c:v>
                </c:pt>
              </c:strCache>
            </c:strRef>
          </c:tx>
          <c:spPr>
            <a:solidFill>
              <a:srgbClr val="460000"/>
            </a:solidFill>
            <a:ln w="25400">
              <a:noFill/>
            </a:ln>
          </c:spPr>
          <c:cat>
            <c:strRef>
              <c:f>'fan chart srbija'!$E$7:$E$14</c:f>
              <c:strCache>
                <c:ptCount val="8"/>
                <c:pt idx="0">
                  <c:v>2018</c:v>
                </c:pt>
                <c:pt idx="1">
                  <c:v>2019</c:v>
                </c:pt>
                <c:pt idx="2">
                  <c:v>2020</c:v>
                </c:pt>
                <c:pt idx="3">
                  <c:v>2021</c:v>
                </c:pt>
                <c:pt idx="4">
                  <c:v>2022</c:v>
                </c:pt>
                <c:pt idx="5">
                  <c:v>2023</c:v>
                </c:pt>
                <c:pt idx="6">
                  <c:v>2024</c:v>
                </c:pt>
                <c:pt idx="7">
                  <c:v>2025</c:v>
                </c:pt>
              </c:strCache>
            </c:strRef>
          </c:cat>
          <c:val>
            <c:numRef>
              <c:f>'fan chart srbija'!$R$7:$R$14</c:f>
              <c:numCache>
                <c:formatCode>0.0</c:formatCode>
                <c:ptCount val="8"/>
                <c:pt idx="0">
                  <c:v>0</c:v>
                </c:pt>
                <c:pt idx="1">
                  <c:v>0</c:v>
                </c:pt>
                <c:pt idx="2">
                  <c:v>0</c:v>
                </c:pt>
                <c:pt idx="3">
                  <c:v>0</c:v>
                </c:pt>
                <c:pt idx="4">
                  <c:v>0</c:v>
                </c:pt>
                <c:pt idx="5">
                  <c:v>0.1</c:v>
                </c:pt>
                <c:pt idx="6">
                  <c:v>0.1</c:v>
                </c:pt>
                <c:pt idx="7">
                  <c:v>0.1</c:v>
                </c:pt>
              </c:numCache>
            </c:numRef>
          </c:val>
          <c:extLst>
            <c:ext xmlns:c16="http://schemas.microsoft.com/office/drawing/2014/chart" uri="{C3380CC4-5D6E-409C-BE32-E72D297353CC}">
              <c16:uniqueId val="{0000000B-5855-456D-BAB9-3EC7EEAD5E29}"/>
            </c:ext>
          </c:extLst>
        </c:ser>
        <c:ser>
          <c:idx val="13"/>
          <c:order val="13"/>
          <c:tx>
            <c:strRef>
              <c:f>'fan chart srbija'!$S$4</c:f>
              <c:strCache>
                <c:ptCount val="1"/>
                <c:pt idx="0">
                  <c:v>30</c:v>
                </c:pt>
              </c:strCache>
            </c:strRef>
          </c:tx>
          <c:spPr>
            <a:solidFill>
              <a:srgbClr val="740000"/>
            </a:solidFill>
            <a:ln w="25400">
              <a:noFill/>
            </a:ln>
          </c:spPr>
          <c:cat>
            <c:strRef>
              <c:f>'fan chart srbija'!$E$7:$E$14</c:f>
              <c:strCache>
                <c:ptCount val="8"/>
                <c:pt idx="0">
                  <c:v>2018</c:v>
                </c:pt>
                <c:pt idx="1">
                  <c:v>2019</c:v>
                </c:pt>
                <c:pt idx="2">
                  <c:v>2020</c:v>
                </c:pt>
                <c:pt idx="3">
                  <c:v>2021</c:v>
                </c:pt>
                <c:pt idx="4">
                  <c:v>2022</c:v>
                </c:pt>
                <c:pt idx="5">
                  <c:v>2023</c:v>
                </c:pt>
                <c:pt idx="6">
                  <c:v>2024</c:v>
                </c:pt>
                <c:pt idx="7">
                  <c:v>2025</c:v>
                </c:pt>
              </c:strCache>
            </c:strRef>
          </c:cat>
          <c:val>
            <c:numRef>
              <c:f>'fan chart srbija'!$S$7:$S$14</c:f>
              <c:numCache>
                <c:formatCode>0.0</c:formatCode>
                <c:ptCount val="8"/>
                <c:pt idx="0">
                  <c:v>0</c:v>
                </c:pt>
                <c:pt idx="1">
                  <c:v>0</c:v>
                </c:pt>
                <c:pt idx="2">
                  <c:v>0</c:v>
                </c:pt>
                <c:pt idx="3">
                  <c:v>0</c:v>
                </c:pt>
                <c:pt idx="4">
                  <c:v>0</c:v>
                </c:pt>
                <c:pt idx="5">
                  <c:v>0.1</c:v>
                </c:pt>
                <c:pt idx="6">
                  <c:v>0.1</c:v>
                </c:pt>
                <c:pt idx="7">
                  <c:v>0.1</c:v>
                </c:pt>
              </c:numCache>
            </c:numRef>
          </c:val>
          <c:extLst>
            <c:ext xmlns:c16="http://schemas.microsoft.com/office/drawing/2014/chart" uri="{C3380CC4-5D6E-409C-BE32-E72D297353CC}">
              <c16:uniqueId val="{0000000C-5855-456D-BAB9-3EC7EEAD5E29}"/>
            </c:ext>
          </c:extLst>
        </c:ser>
        <c:ser>
          <c:idx val="14"/>
          <c:order val="14"/>
          <c:tx>
            <c:strRef>
              <c:f>'fan chart srbija'!$T$4</c:f>
              <c:strCache>
                <c:ptCount val="1"/>
                <c:pt idx="0">
                  <c:v>40</c:v>
                </c:pt>
              </c:strCache>
            </c:strRef>
          </c:tx>
          <c:spPr>
            <a:solidFill>
              <a:srgbClr val="C00000"/>
            </a:solidFill>
            <a:ln w="25400">
              <a:noFill/>
            </a:ln>
          </c:spPr>
          <c:cat>
            <c:strRef>
              <c:f>'fan chart srbija'!$E$7:$E$14</c:f>
              <c:strCache>
                <c:ptCount val="8"/>
                <c:pt idx="0">
                  <c:v>2018</c:v>
                </c:pt>
                <c:pt idx="1">
                  <c:v>2019</c:v>
                </c:pt>
                <c:pt idx="2">
                  <c:v>2020</c:v>
                </c:pt>
                <c:pt idx="3">
                  <c:v>2021</c:v>
                </c:pt>
                <c:pt idx="4">
                  <c:v>2022</c:v>
                </c:pt>
                <c:pt idx="5">
                  <c:v>2023</c:v>
                </c:pt>
                <c:pt idx="6">
                  <c:v>2024</c:v>
                </c:pt>
                <c:pt idx="7">
                  <c:v>2025</c:v>
                </c:pt>
              </c:strCache>
            </c:strRef>
          </c:cat>
          <c:val>
            <c:numRef>
              <c:f>'fan chart srbija'!$T$7:$T$14</c:f>
              <c:numCache>
                <c:formatCode>0.0</c:formatCode>
                <c:ptCount val="8"/>
                <c:pt idx="0">
                  <c:v>0</c:v>
                </c:pt>
                <c:pt idx="1">
                  <c:v>0</c:v>
                </c:pt>
                <c:pt idx="2">
                  <c:v>0</c:v>
                </c:pt>
                <c:pt idx="3">
                  <c:v>0</c:v>
                </c:pt>
                <c:pt idx="4">
                  <c:v>0</c:v>
                </c:pt>
                <c:pt idx="5">
                  <c:v>0.2</c:v>
                </c:pt>
                <c:pt idx="6">
                  <c:v>0.1</c:v>
                </c:pt>
                <c:pt idx="7">
                  <c:v>0.1</c:v>
                </c:pt>
              </c:numCache>
            </c:numRef>
          </c:val>
          <c:extLst>
            <c:ext xmlns:c16="http://schemas.microsoft.com/office/drawing/2014/chart" uri="{C3380CC4-5D6E-409C-BE32-E72D297353CC}">
              <c16:uniqueId val="{0000000D-5855-456D-BAB9-3EC7EEAD5E29}"/>
            </c:ext>
          </c:extLst>
        </c:ser>
        <c:ser>
          <c:idx val="15"/>
          <c:order val="15"/>
          <c:tx>
            <c:strRef>
              <c:f>'fan chart srbija'!$U$4</c:f>
              <c:strCache>
                <c:ptCount val="1"/>
                <c:pt idx="0">
                  <c:v>50</c:v>
                </c:pt>
              </c:strCache>
            </c:strRef>
          </c:tx>
          <c:spPr>
            <a:solidFill>
              <a:srgbClr val="FF4747"/>
            </a:solidFill>
            <a:ln w="25400">
              <a:noFill/>
            </a:ln>
          </c:spPr>
          <c:cat>
            <c:strRef>
              <c:f>'fan chart srbija'!$E$7:$E$14</c:f>
              <c:strCache>
                <c:ptCount val="8"/>
                <c:pt idx="0">
                  <c:v>2018</c:v>
                </c:pt>
                <c:pt idx="1">
                  <c:v>2019</c:v>
                </c:pt>
                <c:pt idx="2">
                  <c:v>2020</c:v>
                </c:pt>
                <c:pt idx="3">
                  <c:v>2021</c:v>
                </c:pt>
                <c:pt idx="4">
                  <c:v>2022</c:v>
                </c:pt>
                <c:pt idx="5">
                  <c:v>2023</c:v>
                </c:pt>
                <c:pt idx="6">
                  <c:v>2024</c:v>
                </c:pt>
                <c:pt idx="7">
                  <c:v>2025</c:v>
                </c:pt>
              </c:strCache>
            </c:strRef>
          </c:cat>
          <c:val>
            <c:numRef>
              <c:f>'fan chart srbija'!$U$7:$U$14</c:f>
              <c:numCache>
                <c:formatCode>0.0</c:formatCode>
                <c:ptCount val="8"/>
                <c:pt idx="0">
                  <c:v>0</c:v>
                </c:pt>
                <c:pt idx="1">
                  <c:v>0</c:v>
                </c:pt>
                <c:pt idx="2">
                  <c:v>0</c:v>
                </c:pt>
                <c:pt idx="3">
                  <c:v>0</c:v>
                </c:pt>
                <c:pt idx="4">
                  <c:v>0</c:v>
                </c:pt>
                <c:pt idx="5">
                  <c:v>0.2</c:v>
                </c:pt>
                <c:pt idx="6">
                  <c:v>0.3</c:v>
                </c:pt>
                <c:pt idx="7">
                  <c:v>0.1</c:v>
                </c:pt>
              </c:numCache>
            </c:numRef>
          </c:val>
          <c:extLst>
            <c:ext xmlns:c16="http://schemas.microsoft.com/office/drawing/2014/chart" uri="{C3380CC4-5D6E-409C-BE32-E72D297353CC}">
              <c16:uniqueId val="{0000000E-5855-456D-BAB9-3EC7EEAD5E29}"/>
            </c:ext>
          </c:extLst>
        </c:ser>
        <c:ser>
          <c:idx val="16"/>
          <c:order val="16"/>
          <c:tx>
            <c:strRef>
              <c:f>'fan chart srbija'!$V$4</c:f>
              <c:strCache>
                <c:ptCount val="1"/>
                <c:pt idx="0">
                  <c:v>60</c:v>
                </c:pt>
              </c:strCache>
            </c:strRef>
          </c:tx>
          <c:spPr>
            <a:solidFill>
              <a:srgbClr val="FF7D7D"/>
            </a:solidFill>
            <a:ln w="25400">
              <a:noFill/>
            </a:ln>
          </c:spPr>
          <c:cat>
            <c:strRef>
              <c:f>'fan chart srbija'!$E$7:$E$14</c:f>
              <c:strCache>
                <c:ptCount val="8"/>
                <c:pt idx="0">
                  <c:v>2018</c:v>
                </c:pt>
                <c:pt idx="1">
                  <c:v>2019</c:v>
                </c:pt>
                <c:pt idx="2">
                  <c:v>2020</c:v>
                </c:pt>
                <c:pt idx="3">
                  <c:v>2021</c:v>
                </c:pt>
                <c:pt idx="4">
                  <c:v>2022</c:v>
                </c:pt>
                <c:pt idx="5">
                  <c:v>2023</c:v>
                </c:pt>
                <c:pt idx="6">
                  <c:v>2024</c:v>
                </c:pt>
                <c:pt idx="7">
                  <c:v>2025</c:v>
                </c:pt>
              </c:strCache>
            </c:strRef>
          </c:cat>
          <c:val>
            <c:numRef>
              <c:f>'fan chart srbija'!$V$7:$V$14</c:f>
              <c:numCache>
                <c:formatCode>0.0</c:formatCode>
                <c:ptCount val="8"/>
                <c:pt idx="0">
                  <c:v>0</c:v>
                </c:pt>
                <c:pt idx="1">
                  <c:v>0</c:v>
                </c:pt>
                <c:pt idx="2">
                  <c:v>0</c:v>
                </c:pt>
                <c:pt idx="3">
                  <c:v>0</c:v>
                </c:pt>
                <c:pt idx="4">
                  <c:v>0</c:v>
                </c:pt>
                <c:pt idx="5">
                  <c:v>0.1</c:v>
                </c:pt>
                <c:pt idx="6">
                  <c:v>0.3</c:v>
                </c:pt>
                <c:pt idx="7">
                  <c:v>0.1</c:v>
                </c:pt>
              </c:numCache>
            </c:numRef>
          </c:val>
          <c:extLst>
            <c:ext xmlns:c16="http://schemas.microsoft.com/office/drawing/2014/chart" uri="{C3380CC4-5D6E-409C-BE32-E72D297353CC}">
              <c16:uniqueId val="{0000000F-5855-456D-BAB9-3EC7EEAD5E29}"/>
            </c:ext>
          </c:extLst>
        </c:ser>
        <c:ser>
          <c:idx val="17"/>
          <c:order val="17"/>
          <c:tx>
            <c:strRef>
              <c:f>'fan chart srbija'!$W$4</c:f>
              <c:strCache>
                <c:ptCount val="1"/>
                <c:pt idx="0">
                  <c:v>70</c:v>
                </c:pt>
              </c:strCache>
            </c:strRef>
          </c:tx>
          <c:spPr>
            <a:solidFill>
              <a:srgbClr val="FFAFAF"/>
            </a:solidFill>
            <a:ln w="25400">
              <a:noFill/>
            </a:ln>
          </c:spPr>
          <c:cat>
            <c:strRef>
              <c:f>'fan chart srbija'!$E$7:$E$14</c:f>
              <c:strCache>
                <c:ptCount val="8"/>
                <c:pt idx="0">
                  <c:v>2018</c:v>
                </c:pt>
                <c:pt idx="1">
                  <c:v>2019</c:v>
                </c:pt>
                <c:pt idx="2">
                  <c:v>2020</c:v>
                </c:pt>
                <c:pt idx="3">
                  <c:v>2021</c:v>
                </c:pt>
                <c:pt idx="4">
                  <c:v>2022</c:v>
                </c:pt>
                <c:pt idx="5">
                  <c:v>2023</c:v>
                </c:pt>
                <c:pt idx="6">
                  <c:v>2024</c:v>
                </c:pt>
                <c:pt idx="7">
                  <c:v>2025</c:v>
                </c:pt>
              </c:strCache>
            </c:strRef>
          </c:cat>
          <c:val>
            <c:numRef>
              <c:f>'fan chart srbija'!$W$7:$W$14</c:f>
              <c:numCache>
                <c:formatCode>0.0</c:formatCode>
                <c:ptCount val="8"/>
                <c:pt idx="0">
                  <c:v>0</c:v>
                </c:pt>
                <c:pt idx="1">
                  <c:v>0</c:v>
                </c:pt>
                <c:pt idx="2">
                  <c:v>0</c:v>
                </c:pt>
                <c:pt idx="3">
                  <c:v>0</c:v>
                </c:pt>
                <c:pt idx="4">
                  <c:v>0.1</c:v>
                </c:pt>
                <c:pt idx="5">
                  <c:v>0.1</c:v>
                </c:pt>
                <c:pt idx="6">
                  <c:v>0.3</c:v>
                </c:pt>
                <c:pt idx="7">
                  <c:v>0.4</c:v>
                </c:pt>
              </c:numCache>
            </c:numRef>
          </c:val>
          <c:extLst>
            <c:ext xmlns:c16="http://schemas.microsoft.com/office/drawing/2014/chart" uri="{C3380CC4-5D6E-409C-BE32-E72D297353CC}">
              <c16:uniqueId val="{00000010-5855-456D-BAB9-3EC7EEAD5E29}"/>
            </c:ext>
          </c:extLst>
        </c:ser>
        <c:ser>
          <c:idx val="18"/>
          <c:order val="18"/>
          <c:tx>
            <c:strRef>
              <c:f>'fan chart srbija'!$X$4</c:f>
              <c:strCache>
                <c:ptCount val="1"/>
                <c:pt idx="0">
                  <c:v>80</c:v>
                </c:pt>
              </c:strCache>
            </c:strRef>
          </c:tx>
          <c:spPr>
            <a:solidFill>
              <a:srgbClr val="FFD5D5"/>
            </a:solidFill>
            <a:ln w="25400">
              <a:noFill/>
            </a:ln>
          </c:spPr>
          <c:cat>
            <c:strRef>
              <c:f>'fan chart srbija'!$E$7:$E$14</c:f>
              <c:strCache>
                <c:ptCount val="8"/>
                <c:pt idx="0">
                  <c:v>2018</c:v>
                </c:pt>
                <c:pt idx="1">
                  <c:v>2019</c:v>
                </c:pt>
                <c:pt idx="2">
                  <c:v>2020</c:v>
                </c:pt>
                <c:pt idx="3">
                  <c:v>2021</c:v>
                </c:pt>
                <c:pt idx="4">
                  <c:v>2022</c:v>
                </c:pt>
                <c:pt idx="5">
                  <c:v>2023</c:v>
                </c:pt>
                <c:pt idx="6">
                  <c:v>2024</c:v>
                </c:pt>
                <c:pt idx="7">
                  <c:v>2025</c:v>
                </c:pt>
              </c:strCache>
            </c:strRef>
          </c:cat>
          <c:val>
            <c:numRef>
              <c:f>'fan chart srbija'!$X$7:$X$14</c:f>
              <c:numCache>
                <c:formatCode>0.0</c:formatCode>
                <c:ptCount val="8"/>
                <c:pt idx="0">
                  <c:v>0</c:v>
                </c:pt>
                <c:pt idx="1">
                  <c:v>0</c:v>
                </c:pt>
                <c:pt idx="2">
                  <c:v>0</c:v>
                </c:pt>
                <c:pt idx="3">
                  <c:v>0</c:v>
                </c:pt>
                <c:pt idx="4">
                  <c:v>0.1</c:v>
                </c:pt>
                <c:pt idx="5">
                  <c:v>0.5</c:v>
                </c:pt>
                <c:pt idx="6">
                  <c:v>0.4</c:v>
                </c:pt>
                <c:pt idx="7">
                  <c:v>0.5</c:v>
                </c:pt>
              </c:numCache>
            </c:numRef>
          </c:val>
          <c:extLst>
            <c:ext xmlns:c16="http://schemas.microsoft.com/office/drawing/2014/chart" uri="{C3380CC4-5D6E-409C-BE32-E72D297353CC}">
              <c16:uniqueId val="{00000011-5855-456D-BAB9-3EC7EEAD5E29}"/>
            </c:ext>
          </c:extLst>
        </c:ser>
        <c:ser>
          <c:idx val="19"/>
          <c:order val="19"/>
          <c:tx>
            <c:strRef>
              <c:f>'fan chart srbija'!$Y$4</c:f>
              <c:strCache>
                <c:ptCount val="1"/>
                <c:pt idx="0">
                  <c:v>90</c:v>
                </c:pt>
              </c:strCache>
            </c:strRef>
          </c:tx>
          <c:spPr>
            <a:solidFill>
              <a:srgbClr val="FFF1F1"/>
            </a:solidFill>
            <a:ln w="25400">
              <a:noFill/>
            </a:ln>
          </c:spPr>
          <c:cat>
            <c:strRef>
              <c:f>'fan chart srbija'!$E$7:$E$14</c:f>
              <c:strCache>
                <c:ptCount val="8"/>
                <c:pt idx="0">
                  <c:v>2018</c:v>
                </c:pt>
                <c:pt idx="1">
                  <c:v>2019</c:v>
                </c:pt>
                <c:pt idx="2">
                  <c:v>2020</c:v>
                </c:pt>
                <c:pt idx="3">
                  <c:v>2021</c:v>
                </c:pt>
                <c:pt idx="4">
                  <c:v>2022</c:v>
                </c:pt>
                <c:pt idx="5">
                  <c:v>2023</c:v>
                </c:pt>
                <c:pt idx="6">
                  <c:v>2024</c:v>
                </c:pt>
                <c:pt idx="7">
                  <c:v>2025</c:v>
                </c:pt>
              </c:strCache>
            </c:strRef>
          </c:cat>
          <c:val>
            <c:numRef>
              <c:f>'fan chart srbija'!$Y$7:$Y$14</c:f>
              <c:numCache>
                <c:formatCode>0.0</c:formatCode>
                <c:ptCount val="8"/>
                <c:pt idx="0">
                  <c:v>0</c:v>
                </c:pt>
                <c:pt idx="1">
                  <c:v>0</c:v>
                </c:pt>
                <c:pt idx="2">
                  <c:v>0</c:v>
                </c:pt>
                <c:pt idx="3">
                  <c:v>0</c:v>
                </c:pt>
                <c:pt idx="4">
                  <c:v>0.1</c:v>
                </c:pt>
                <c:pt idx="5">
                  <c:v>0.6</c:v>
                </c:pt>
                <c:pt idx="6">
                  <c:v>0.4</c:v>
                </c:pt>
                <c:pt idx="7">
                  <c:v>0.5</c:v>
                </c:pt>
              </c:numCache>
            </c:numRef>
          </c:val>
          <c:extLst>
            <c:ext xmlns:c16="http://schemas.microsoft.com/office/drawing/2014/chart" uri="{C3380CC4-5D6E-409C-BE32-E72D297353CC}">
              <c16:uniqueId val="{00000012-5855-456D-BAB9-3EC7EEAD5E29}"/>
            </c:ext>
          </c:extLst>
        </c:ser>
        <c:dLbls>
          <c:showLegendKey val="0"/>
          <c:showVal val="0"/>
          <c:showCatName val="0"/>
          <c:showSerName val="0"/>
          <c:showPercent val="0"/>
          <c:showBubbleSize val="0"/>
        </c:dLbls>
        <c:axId val="42917328"/>
        <c:axId val="42930384"/>
      </c:areaChart>
      <c:lineChart>
        <c:grouping val="standard"/>
        <c:varyColors val="0"/>
        <c:ser>
          <c:idx val="1"/>
          <c:order val="0"/>
          <c:tx>
            <c:strRef>
              <c:f>'fan chart srbija'!$F$4</c:f>
              <c:strCache>
                <c:ptCount val="1"/>
                <c:pt idx="0">
                  <c:v>srednja</c:v>
                </c:pt>
              </c:strCache>
            </c:strRef>
          </c:tx>
          <c:spPr>
            <a:ln w="19050">
              <a:solidFill>
                <a:sysClr val="windowText" lastClr="000000"/>
              </a:solidFill>
            </a:ln>
          </c:spPr>
          <c:marker>
            <c:symbol val="none"/>
          </c:marker>
          <c:cat>
            <c:strRef>
              <c:f>'fan chart srbija'!$E$7:$E$14</c:f>
              <c:strCache>
                <c:ptCount val="8"/>
                <c:pt idx="0">
                  <c:v>2018</c:v>
                </c:pt>
                <c:pt idx="1">
                  <c:v>2019</c:v>
                </c:pt>
                <c:pt idx="2">
                  <c:v>2020</c:v>
                </c:pt>
                <c:pt idx="3">
                  <c:v>2021</c:v>
                </c:pt>
                <c:pt idx="4">
                  <c:v>2022</c:v>
                </c:pt>
                <c:pt idx="5">
                  <c:v>2023</c:v>
                </c:pt>
                <c:pt idx="6">
                  <c:v>2024</c:v>
                </c:pt>
                <c:pt idx="7">
                  <c:v>2025</c:v>
                </c:pt>
              </c:strCache>
            </c:strRef>
          </c:cat>
          <c:val>
            <c:numRef>
              <c:f>'fan chart srbija'!$F$7:$F$14</c:f>
              <c:numCache>
                <c:formatCode>0.0</c:formatCode>
                <c:ptCount val="8"/>
                <c:pt idx="0">
                  <c:v>4.5</c:v>
                </c:pt>
                <c:pt idx="1">
                  <c:v>4.3</c:v>
                </c:pt>
                <c:pt idx="2">
                  <c:v>-0.9</c:v>
                </c:pt>
                <c:pt idx="3">
                  <c:v>7.5</c:v>
                </c:pt>
                <c:pt idx="4">
                  <c:v>2.5</c:v>
                </c:pt>
                <c:pt idx="5">
                  <c:v>2.5</c:v>
                </c:pt>
                <c:pt idx="6">
                  <c:v>3.5</c:v>
                </c:pt>
                <c:pt idx="7">
                  <c:v>4</c:v>
                </c:pt>
              </c:numCache>
            </c:numRef>
          </c:val>
          <c:smooth val="0"/>
          <c:extLst>
            <c:ext xmlns:c16="http://schemas.microsoft.com/office/drawing/2014/chart" uri="{C3380CC4-5D6E-409C-BE32-E72D297353CC}">
              <c16:uniqueId val="{00000013-5855-456D-BAB9-3EC7EEAD5E29}"/>
            </c:ext>
          </c:extLst>
        </c:ser>
        <c:dLbls>
          <c:showLegendKey val="0"/>
          <c:showVal val="0"/>
          <c:showCatName val="0"/>
          <c:showSerName val="0"/>
          <c:showPercent val="0"/>
          <c:showBubbleSize val="0"/>
        </c:dLbls>
        <c:marker val="1"/>
        <c:smooth val="0"/>
        <c:axId val="42917328"/>
        <c:axId val="42930384"/>
      </c:lineChart>
      <c:catAx>
        <c:axId val="42917328"/>
        <c:scaling>
          <c:orientation val="minMax"/>
        </c:scaling>
        <c:delete val="0"/>
        <c:axPos val="b"/>
        <c:numFmt formatCode="General" sourceLinked="1"/>
        <c:majorTickMark val="none"/>
        <c:minorTickMark val="none"/>
        <c:tickLblPos val="low"/>
        <c:spPr>
          <a:ln w="6350">
            <a:solidFill>
              <a:srgbClr val="898989"/>
            </a:solidFill>
          </a:ln>
        </c:spPr>
        <c:txPr>
          <a:bodyPr rot="0" vert="horz"/>
          <a:lstStyle/>
          <a:p>
            <a:pPr>
              <a:defRPr>
                <a:solidFill>
                  <a:sysClr val="windowText" lastClr="000000"/>
                </a:solidFill>
                <a:latin typeface="Times New Roman" panose="02020603050405020304" pitchFamily="18" charset="0"/>
                <a:cs typeface="Times New Roman" panose="02020603050405020304" pitchFamily="18" charset="0"/>
              </a:defRPr>
            </a:pPr>
            <a:endParaRPr lang="en-US"/>
          </a:p>
        </c:txPr>
        <c:crossAx val="42930384"/>
        <c:crosses val="autoZero"/>
        <c:auto val="1"/>
        <c:lblAlgn val="ctr"/>
        <c:lblOffset val="100"/>
        <c:tickLblSkip val="1"/>
        <c:noMultiLvlLbl val="0"/>
      </c:catAx>
      <c:valAx>
        <c:axId val="42930384"/>
        <c:scaling>
          <c:orientation val="minMax"/>
          <c:max val="9"/>
          <c:min val="-2"/>
        </c:scaling>
        <c:delete val="0"/>
        <c:axPos val="l"/>
        <c:numFmt formatCode="0" sourceLinked="0"/>
        <c:majorTickMark val="none"/>
        <c:minorTickMark val="none"/>
        <c:tickLblPos val="nextTo"/>
        <c:spPr>
          <a:ln w="12700">
            <a:noFill/>
          </a:ln>
        </c:spPr>
        <c:txPr>
          <a:bodyPr rot="0" vert="horz"/>
          <a:lstStyle/>
          <a:p>
            <a:pPr>
              <a:defRPr>
                <a:solidFill>
                  <a:sysClr val="windowText" lastClr="000000"/>
                </a:solidFill>
                <a:latin typeface="Times New Roman" panose="02020603050405020304" pitchFamily="18" charset="0"/>
                <a:cs typeface="Times New Roman" panose="02020603050405020304" pitchFamily="18" charset="0"/>
              </a:defRPr>
            </a:pPr>
            <a:endParaRPr lang="en-US"/>
          </a:p>
        </c:txPr>
        <c:crossAx val="42917328"/>
        <c:crosses val="autoZero"/>
        <c:crossBetween val="midCat"/>
        <c:majorUnit val="2"/>
      </c:valAx>
      <c:spPr>
        <a:noFill/>
        <a:ln>
          <a:noFill/>
        </a:ln>
      </c:spPr>
    </c:plotArea>
    <c:plotVisOnly val="1"/>
    <c:dispBlanksAs val="gap"/>
    <c:showDLblsOverMax val="0"/>
  </c:chart>
  <c:spPr>
    <a:noFill/>
    <a:ln w="9525">
      <a:noFill/>
    </a:ln>
  </c:spPr>
  <c:txPr>
    <a:bodyPr/>
    <a:lstStyle/>
    <a:p>
      <a:pPr>
        <a:defRPr sz="750" b="0" i="0" u="none" strike="noStrike" baseline="0">
          <a:solidFill>
            <a:schemeClr val="tx2"/>
          </a:solidFill>
          <a:latin typeface="+mn-lt"/>
          <a:ea typeface="Calibri"/>
          <a:cs typeface="Calibri"/>
        </a:defRPr>
      </a:pPr>
      <a:endParaRPr lang="en-US"/>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8.0547294316995727E-2"/>
          <c:y val="6.842061127661922E-2"/>
          <c:w val="0.89207733392726907"/>
          <c:h val="0.89994549266247381"/>
        </c:manualLayout>
      </c:layout>
      <c:barChart>
        <c:barDir val="col"/>
        <c:grouping val="clustered"/>
        <c:varyColors val="0"/>
        <c:ser>
          <c:idx val="0"/>
          <c:order val="0"/>
          <c:tx>
            <c:v>Фискални резултат</c:v>
          </c:tx>
          <c:spPr>
            <a:solidFill>
              <a:schemeClr val="accent1">
                <a:shade val="76000"/>
              </a:schemeClr>
            </a:solidFill>
            <a:ln>
              <a:noFill/>
            </a:ln>
            <a:effectLst/>
          </c:spPr>
          <c:invertIfNegative val="0"/>
          <c:dLbls>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Times New Roman" panose="02020603050405020304" pitchFamily="18" charset="0"/>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'Quaterly, Yearly'!$CI$7:$CP$8</c:f>
              <c:strCache>
                <c:ptCount val="8"/>
                <c:pt idx="0">
                  <c:v>2015</c:v>
                </c:pt>
                <c:pt idx="1">
                  <c:v>2016</c:v>
                </c:pt>
                <c:pt idx="2">
                  <c:v>2017</c:v>
                </c:pt>
                <c:pt idx="3">
                  <c:v>2018</c:v>
                </c:pt>
                <c:pt idx="4">
                  <c:v>2019</c:v>
                </c:pt>
                <c:pt idx="5">
                  <c:v>2020</c:v>
                </c:pt>
                <c:pt idx="6">
                  <c:v>2021</c:v>
                </c:pt>
                <c:pt idx="7">
                  <c:v>2022</c:v>
                </c:pt>
              </c:strCache>
            </c:strRef>
          </c:cat>
          <c:val>
            <c:numRef>
              <c:f>('Quaterly, Yearly'!$CI$78:$CO$78,'Quaterly, Yearly'!$CP$78)</c:f>
              <c:numCache>
                <c:formatCode>#,##0.00</c:formatCode>
                <c:ptCount val="8"/>
                <c:pt idx="0">
                  <c:v>-3.4561672728767112</c:v>
                </c:pt>
                <c:pt idx="1">
                  <c:v>-1.1926941660681765</c:v>
                </c:pt>
                <c:pt idx="2">
                  <c:v>1.0986349345465762</c:v>
                </c:pt>
                <c:pt idx="3">
                  <c:v>0.63523655395945411</c:v>
                </c:pt>
                <c:pt idx="4">
                  <c:v>-0.20497664525511922</c:v>
                </c:pt>
                <c:pt idx="5">
                  <c:v>-8.0441635730355401</c:v>
                </c:pt>
                <c:pt idx="6">
                  <c:v>-4.1369458955187222</c:v>
                </c:pt>
                <c:pt idx="7">
                  <c:v>-3.8</c:v>
                </c:pt>
              </c:numCache>
            </c:numRef>
          </c:val>
          <c:extLst>
            <c:ext xmlns:c16="http://schemas.microsoft.com/office/drawing/2014/chart" uri="{C3380CC4-5D6E-409C-BE32-E72D297353CC}">
              <c16:uniqueId val="{00000000-ECBC-4765-B46E-06A2CE6CCA78}"/>
            </c:ext>
          </c:extLst>
        </c:ser>
        <c:ser>
          <c:idx val="1"/>
          <c:order val="1"/>
          <c:tx>
            <c:v>Примарни фискални резултат</c:v>
          </c:tx>
          <c:spPr>
            <a:solidFill>
              <a:schemeClr val="accent1">
                <a:tint val="77000"/>
              </a:schemeClr>
            </a:solidFill>
            <a:ln>
              <a:noFill/>
            </a:ln>
            <a:effectLst/>
          </c:spPr>
          <c:invertIfNegative val="0"/>
          <c:dLbls>
            <c:dLbl>
              <c:idx val="0"/>
              <c:layout>
                <c:manualLayout>
                  <c:x val="1.132097084431951E-2"/>
                  <c:y val="-2.72338077899149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CBC-4765-B46E-06A2CE6CCA78}"/>
                </c:ext>
              </c:extLst>
            </c:dLbl>
            <c:dLbl>
              <c:idx val="1"/>
              <c:layout>
                <c:manualLayout>
                  <c:x val="-3.2073297015369011E-3"/>
                  <c:y val="-1.41424978807239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CBC-4765-B46E-06A2CE6CCA78}"/>
                </c:ext>
              </c:extLst>
            </c:dLbl>
            <c:dLbl>
              <c:idx val="2"/>
              <c:layout>
                <c:manualLayout>
                  <c:x val="-2.4176209155354405E-3"/>
                  <c:y val="-6.65152027843574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CBC-4765-B46E-06A2CE6CCA78}"/>
                </c:ext>
              </c:extLst>
            </c:dLbl>
            <c:dLbl>
              <c:idx val="3"/>
              <c:layout>
                <c:manualLayout>
                  <c:x val="2.6858041798127055E-3"/>
                  <c:y val="3.629473912566746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CBC-4765-B46E-06A2CE6CCA78}"/>
                </c:ext>
              </c:extLst>
            </c:dLbl>
            <c:dLbl>
              <c:idx val="4"/>
              <c:layout>
                <c:manualLayout>
                  <c:x val="-3.9217883120591336E-3"/>
                  <c:y val="-1.08980896450816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CBC-4765-B46E-06A2CE6CCA78}"/>
                </c:ext>
              </c:extLst>
            </c:dLbl>
            <c:dLbl>
              <c:idx val="5"/>
              <c:layout>
                <c:manualLayout>
                  <c:x val="1.8183368791494724E-3"/>
                  <c:y val="-1.34348449740702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CBC-4765-B46E-06A2CE6CCA78}"/>
                </c:ext>
              </c:extLst>
            </c:dLbl>
            <c:dLbl>
              <c:idx val="6"/>
              <c:layout>
                <c:manualLayout>
                  <c:x val="1.3735038279346209E-2"/>
                  <c:y val="-1.311883482290632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CBC-4765-B46E-06A2CE6CCA78}"/>
                </c:ext>
              </c:extLst>
            </c:dLbl>
            <c:dLbl>
              <c:idx val="7"/>
              <c:layout>
                <c:manualLayout>
                  <c:x val="1.9834639029877463E-2"/>
                  <c:y val="-8.470136246521816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ECBC-4765-B46E-06A2CE6CCA78}"/>
                </c:ext>
              </c:extLst>
            </c:dLbl>
            <c:dLbl>
              <c:idx val="8"/>
              <c:layout>
                <c:manualLayout>
                  <c:x val="-4.0694720170973364E-2"/>
                  <c:y val="-3.99560352002959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ECBC-4765-B46E-06A2CE6CCA78}"/>
                </c:ext>
              </c:extLst>
            </c:dLbl>
            <c:dLbl>
              <c:idx val="9"/>
              <c:layout>
                <c:manualLayout>
                  <c:x val="-4.7561598436538947E-2"/>
                  <c:y val="1.37998645169602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ECBC-4765-B46E-06A2CE6CCA78}"/>
                </c:ext>
              </c:extLst>
            </c:dLbl>
            <c:dLbl>
              <c:idx val="10"/>
              <c:layout>
                <c:manualLayout>
                  <c:x val="-3.1357910371513177E-2"/>
                  <c:y val="-1.50580624660600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ECBC-4765-B46E-06A2CE6CCA78}"/>
                </c:ext>
              </c:extLst>
            </c:dLbl>
            <c:dLbl>
              <c:idx val="11"/>
              <c:layout>
                <c:manualLayout>
                  <c:x val="-4.746385337205393E-2"/>
                  <c:y val="-2.509677077676679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ECBC-4765-B46E-06A2CE6CCA78}"/>
                </c:ext>
              </c:extLst>
            </c:dLbl>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'Quaterly, Yearly'!$CI$7:$CP$8</c:f>
              <c:strCache>
                <c:ptCount val="8"/>
                <c:pt idx="0">
                  <c:v>2015</c:v>
                </c:pt>
                <c:pt idx="1">
                  <c:v>2016</c:v>
                </c:pt>
                <c:pt idx="2">
                  <c:v>2017</c:v>
                </c:pt>
                <c:pt idx="3">
                  <c:v>2018</c:v>
                </c:pt>
                <c:pt idx="4">
                  <c:v>2019</c:v>
                </c:pt>
                <c:pt idx="5">
                  <c:v>2020</c:v>
                </c:pt>
                <c:pt idx="6">
                  <c:v>2021</c:v>
                </c:pt>
                <c:pt idx="7">
                  <c:v>2022</c:v>
                </c:pt>
              </c:strCache>
            </c:strRef>
          </c:cat>
          <c:val>
            <c:numRef>
              <c:f>('Quaterly, Yearly'!$CI$79:$CO$79,'Quaterly, Yearly'!$CP$79)</c:f>
              <c:numCache>
                <c:formatCode>#,##0.00</c:formatCode>
                <c:ptCount val="8"/>
                <c:pt idx="0">
                  <c:v>-0.47061316203530046</c:v>
                </c:pt>
                <c:pt idx="1">
                  <c:v>1.7045650732845505</c:v>
                </c:pt>
                <c:pt idx="2">
                  <c:v>3.634771068549187</c:v>
                </c:pt>
                <c:pt idx="3">
                  <c:v>2.7475533250713307</c:v>
                </c:pt>
                <c:pt idx="4">
                  <c:v>1.7916206652556272</c:v>
                </c:pt>
                <c:pt idx="5">
                  <c:v>-6.0431380560869226</c:v>
                </c:pt>
                <c:pt idx="6">
                  <c:v>-2.404213120233746</c:v>
                </c:pt>
                <c:pt idx="7">
                  <c:v>-2.2000000000000002</c:v>
                </c:pt>
              </c:numCache>
            </c:numRef>
          </c:val>
          <c:extLst>
            <c:ext xmlns:c16="http://schemas.microsoft.com/office/drawing/2014/chart" uri="{C3380CC4-5D6E-409C-BE32-E72D297353CC}">
              <c16:uniqueId val="{0000000D-ECBC-4765-B46E-06A2CE6CCA78}"/>
            </c:ext>
          </c:extLst>
        </c:ser>
        <c:dLbls>
          <c:showLegendKey val="0"/>
          <c:showVal val="0"/>
          <c:showCatName val="0"/>
          <c:showSerName val="0"/>
          <c:showPercent val="0"/>
          <c:showBubbleSize val="0"/>
        </c:dLbls>
        <c:gapWidth val="150"/>
        <c:axId val="42927664"/>
        <c:axId val="42924400"/>
      </c:barChart>
      <c:catAx>
        <c:axId val="42927664"/>
        <c:scaling>
          <c:orientation val="minMax"/>
        </c:scaling>
        <c:delete val="0"/>
        <c:axPos val="b"/>
        <c:numFmt formatCode="General" sourceLinked="1"/>
        <c:majorTickMark val="out"/>
        <c:minorTickMark val="none"/>
        <c:tickLblPos val="high"/>
        <c:spPr>
          <a:noFill/>
          <a:ln w="12700" cap="flat" cmpd="sng" algn="ctr">
            <a:solidFill>
              <a:schemeClr val="tx1">
                <a:lumMod val="50000"/>
                <a:lumOff val="50000"/>
              </a:schemeClr>
            </a:solidFill>
            <a:prstDash val="sysDash"/>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42924400"/>
        <c:crosses val="autoZero"/>
        <c:auto val="1"/>
        <c:lblAlgn val="ctr"/>
        <c:lblOffset val="100"/>
        <c:noMultiLvlLbl val="0"/>
      </c:catAx>
      <c:valAx>
        <c:axId val="42924400"/>
        <c:scaling>
          <c:orientation val="minMax"/>
          <c:max val="5"/>
          <c:min val="-10"/>
        </c:scaling>
        <c:delete val="0"/>
        <c:axPos val="l"/>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mn-cs"/>
                  </a:defRPr>
                </a:pPr>
                <a:r>
                  <a:rPr lang="en-US" sz="800" baseline="0">
                    <a:latin typeface="Times New Roman" panose="02020603050405020304" pitchFamily="18" charset="0"/>
                  </a:rPr>
                  <a:t>% </a:t>
                </a:r>
                <a:r>
                  <a:rPr lang="sr-Cyrl-RS" sz="800" baseline="0">
                    <a:latin typeface="Times New Roman" panose="02020603050405020304" pitchFamily="18" charset="0"/>
                  </a:rPr>
                  <a:t>БДП</a:t>
                </a:r>
                <a:endParaRPr lang="en-US" sz="800" baseline="0">
                  <a:latin typeface="Times New Roman" panose="02020603050405020304" pitchFamily="18" charset="0"/>
                </a:endParaRPr>
              </a:p>
            </c:rich>
          </c:tx>
          <c:layout>
            <c:manualLayout>
              <c:xMode val="edge"/>
              <c:yMode val="edge"/>
              <c:x val="1.909631087780695E-2"/>
              <c:y val="0.40557475091732936"/>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42927664"/>
        <c:crosses val="autoZero"/>
        <c:crossBetween val="between"/>
      </c:valAx>
      <c:spPr>
        <a:noFill/>
        <a:ln>
          <a:noFill/>
        </a:ln>
        <a:effectLst/>
      </c:spPr>
    </c:plotArea>
    <c:legend>
      <c:legendPos val="b"/>
      <c:layout>
        <c:manualLayout>
          <c:xMode val="edge"/>
          <c:yMode val="edge"/>
          <c:x val="0.1214261445272752"/>
          <c:y val="0.8559853931302065"/>
          <c:w val="0.51810891150797223"/>
          <c:h val="0.11522053612514881"/>
        </c:manualLayout>
      </c:layout>
      <c:overlay val="0"/>
      <c:spPr>
        <a:noFill/>
        <a:ln>
          <a:noFill/>
        </a:ln>
        <a:effectLst/>
      </c:spPr>
      <c:txPr>
        <a:bodyPr rot="0" spcFirstLastPara="1" vertOverflow="ellipsis" vert="horz" wrap="square" anchor="ctr" anchorCtr="1"/>
        <a:lstStyle/>
        <a:p>
          <a:pPr>
            <a:defRPr sz="950" b="0" i="0" u="none" strike="noStrike" kern="1200" baseline="0">
              <a:solidFill>
                <a:schemeClr val="tx1">
                  <a:lumMod val="65000"/>
                  <a:lumOff val="35000"/>
                </a:schemeClr>
              </a:solidFill>
              <a:latin typeface="Times New Roman" panose="02020603050405020304" pitchFamily="18" charset="0"/>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latin typeface="Georgia" panose="02040502050405020303" pitchFamily="18" charset="0"/>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8087322350781755E-2"/>
          <c:y val="4.2394417217328305E-2"/>
          <c:w val="0.91178771533892311"/>
          <c:h val="0.8718835976133309"/>
        </c:manualLayout>
      </c:layout>
      <c:barChart>
        <c:barDir val="bar"/>
        <c:grouping val="clustered"/>
        <c:varyColors val="0"/>
        <c:ser>
          <c:idx val="0"/>
          <c:order val="0"/>
          <c:spPr>
            <a:solidFill>
              <a:schemeClr val="accent1"/>
            </a:solidFill>
            <a:ln>
              <a:solidFill>
                <a:srgbClr val="FF0000"/>
              </a:solidFill>
            </a:ln>
            <a:effectLst/>
          </c:spPr>
          <c:invertIfNegative val="0"/>
          <c:dPt>
            <c:idx val="0"/>
            <c:invertIfNegative val="0"/>
            <c:bubble3D val="0"/>
            <c:spPr>
              <a:noFill/>
              <a:ln>
                <a:solidFill>
                  <a:srgbClr val="FF0000"/>
                </a:solidFill>
              </a:ln>
              <a:effectLst/>
            </c:spPr>
            <c:extLst>
              <c:ext xmlns:c16="http://schemas.microsoft.com/office/drawing/2014/chart" uri="{C3380CC4-5D6E-409C-BE32-E72D297353CC}">
                <c16:uniqueId val="{00000001-B9C4-4462-8C59-794EA6747BE0}"/>
              </c:ext>
            </c:extLst>
          </c:dPt>
          <c:dPt>
            <c:idx val="1"/>
            <c:invertIfNegative val="0"/>
            <c:bubble3D val="0"/>
            <c:spPr>
              <a:solidFill>
                <a:schemeClr val="accent1"/>
              </a:solidFill>
              <a:ln>
                <a:noFill/>
              </a:ln>
              <a:effectLst/>
            </c:spPr>
            <c:extLst>
              <c:ext xmlns:c16="http://schemas.microsoft.com/office/drawing/2014/chart" uri="{C3380CC4-5D6E-409C-BE32-E72D297353CC}">
                <c16:uniqueId val="{00000003-B9C4-4462-8C59-794EA6747BE0}"/>
              </c:ext>
            </c:extLst>
          </c:dPt>
          <c:dPt>
            <c:idx val="2"/>
            <c:invertIfNegative val="0"/>
            <c:bubble3D val="0"/>
            <c:spPr>
              <a:solidFill>
                <a:schemeClr val="accent1"/>
              </a:solidFill>
              <a:ln>
                <a:noFill/>
              </a:ln>
              <a:effectLst/>
            </c:spPr>
            <c:extLst>
              <c:ext xmlns:c16="http://schemas.microsoft.com/office/drawing/2014/chart" uri="{C3380CC4-5D6E-409C-BE32-E72D297353CC}">
                <c16:uniqueId val="{00000005-B9C4-4462-8C59-794EA6747BE0}"/>
              </c:ext>
            </c:extLst>
          </c:dPt>
          <c:dPt>
            <c:idx val="3"/>
            <c:invertIfNegative val="0"/>
            <c:bubble3D val="0"/>
            <c:spPr>
              <a:solidFill>
                <a:schemeClr val="accent1"/>
              </a:solidFill>
              <a:ln>
                <a:solidFill>
                  <a:schemeClr val="bg1"/>
                </a:solidFill>
              </a:ln>
              <a:effectLst/>
            </c:spPr>
            <c:extLst>
              <c:ext xmlns:c16="http://schemas.microsoft.com/office/drawing/2014/chart" uri="{C3380CC4-5D6E-409C-BE32-E72D297353CC}">
                <c16:uniqueId val="{00000007-B9C4-4462-8C59-794EA6747BE0}"/>
              </c:ext>
            </c:extLst>
          </c:dPt>
          <c:dPt>
            <c:idx val="4"/>
            <c:invertIfNegative val="0"/>
            <c:bubble3D val="0"/>
            <c:spPr>
              <a:noFill/>
              <a:ln>
                <a:solidFill>
                  <a:srgbClr val="FF0000"/>
                </a:solidFill>
              </a:ln>
              <a:effectLst/>
            </c:spPr>
            <c:extLst>
              <c:ext xmlns:c16="http://schemas.microsoft.com/office/drawing/2014/chart" uri="{C3380CC4-5D6E-409C-BE32-E72D297353CC}">
                <c16:uniqueId val="{00000009-B9C4-4462-8C59-794EA6747BE0}"/>
              </c:ext>
            </c:extLst>
          </c:dPt>
          <c:dPt>
            <c:idx val="5"/>
            <c:invertIfNegative val="0"/>
            <c:bubble3D val="0"/>
            <c:spPr>
              <a:solidFill>
                <a:schemeClr val="accent1"/>
              </a:solidFill>
              <a:ln>
                <a:noFill/>
              </a:ln>
              <a:effectLst/>
            </c:spPr>
            <c:extLst>
              <c:ext xmlns:c16="http://schemas.microsoft.com/office/drawing/2014/chart" uri="{C3380CC4-5D6E-409C-BE32-E72D297353CC}">
                <c16:uniqueId val="{0000000B-B9C4-4462-8C59-794EA6747BE0}"/>
              </c:ext>
            </c:extLst>
          </c:dPt>
          <c:dPt>
            <c:idx val="6"/>
            <c:invertIfNegative val="0"/>
            <c:bubble3D val="0"/>
            <c:spPr>
              <a:solidFill>
                <a:schemeClr val="accent1"/>
              </a:solidFill>
              <a:ln>
                <a:noFill/>
              </a:ln>
              <a:effectLst/>
            </c:spPr>
            <c:extLst>
              <c:ext xmlns:c16="http://schemas.microsoft.com/office/drawing/2014/chart" uri="{C3380CC4-5D6E-409C-BE32-E72D297353CC}">
                <c16:uniqueId val="{0000000D-B9C4-4462-8C59-794EA6747BE0}"/>
              </c:ext>
            </c:extLst>
          </c:dPt>
          <c:dPt>
            <c:idx val="7"/>
            <c:invertIfNegative val="0"/>
            <c:bubble3D val="0"/>
            <c:spPr>
              <a:noFill/>
              <a:ln>
                <a:solidFill>
                  <a:srgbClr val="FF0000"/>
                </a:solidFill>
              </a:ln>
              <a:effectLst/>
            </c:spPr>
            <c:extLst>
              <c:ext xmlns:c16="http://schemas.microsoft.com/office/drawing/2014/chart" uri="{C3380CC4-5D6E-409C-BE32-E72D297353CC}">
                <c16:uniqueId val="{0000000F-B9C4-4462-8C59-794EA6747BE0}"/>
              </c:ext>
            </c:extLst>
          </c:dPt>
          <c:dPt>
            <c:idx val="8"/>
            <c:invertIfNegative val="0"/>
            <c:bubble3D val="0"/>
            <c:spPr>
              <a:noFill/>
              <a:ln>
                <a:solidFill>
                  <a:srgbClr val="FF0000"/>
                </a:solidFill>
              </a:ln>
              <a:effectLst/>
            </c:spPr>
            <c:extLst>
              <c:ext xmlns:c16="http://schemas.microsoft.com/office/drawing/2014/chart" uri="{C3380CC4-5D6E-409C-BE32-E72D297353CC}">
                <c16:uniqueId val="{00000011-B9C4-4462-8C59-794EA6747BE0}"/>
              </c:ext>
            </c:extLst>
          </c:dPt>
          <c:dPt>
            <c:idx val="9"/>
            <c:invertIfNegative val="0"/>
            <c:bubble3D val="0"/>
            <c:spPr>
              <a:noFill/>
              <a:ln>
                <a:solidFill>
                  <a:srgbClr val="FF0000"/>
                </a:solidFill>
              </a:ln>
              <a:effectLst/>
            </c:spPr>
            <c:extLst>
              <c:ext xmlns:c16="http://schemas.microsoft.com/office/drawing/2014/chart" uri="{C3380CC4-5D6E-409C-BE32-E72D297353CC}">
                <c16:uniqueId val="{00000013-B9C4-4462-8C59-794EA6747BE0}"/>
              </c:ext>
            </c:extLst>
          </c:dPt>
          <c:dPt>
            <c:idx val="10"/>
            <c:invertIfNegative val="0"/>
            <c:bubble3D val="0"/>
            <c:spPr>
              <a:noFill/>
              <a:ln>
                <a:solidFill>
                  <a:srgbClr val="FF0000"/>
                </a:solidFill>
              </a:ln>
              <a:effectLst/>
            </c:spPr>
            <c:extLst>
              <c:ext xmlns:c16="http://schemas.microsoft.com/office/drawing/2014/chart" uri="{C3380CC4-5D6E-409C-BE32-E72D297353CC}">
                <c16:uniqueId val="{00000015-B9C4-4462-8C59-794EA6747BE0}"/>
              </c:ext>
            </c:extLst>
          </c:dPt>
          <c:dPt>
            <c:idx val="11"/>
            <c:invertIfNegative val="0"/>
            <c:bubble3D val="0"/>
            <c:spPr>
              <a:noFill/>
              <a:ln>
                <a:solidFill>
                  <a:srgbClr val="FF0000"/>
                </a:solidFill>
              </a:ln>
              <a:effectLst/>
            </c:spPr>
            <c:extLst>
              <c:ext xmlns:c16="http://schemas.microsoft.com/office/drawing/2014/chart" uri="{C3380CC4-5D6E-409C-BE32-E72D297353CC}">
                <c16:uniqueId val="{00000017-B9C4-4462-8C59-794EA6747BE0}"/>
              </c:ext>
            </c:extLst>
          </c:dPt>
          <c:dPt>
            <c:idx val="12"/>
            <c:invertIfNegative val="0"/>
            <c:bubble3D val="0"/>
            <c:spPr>
              <a:noFill/>
              <a:ln>
                <a:solidFill>
                  <a:srgbClr val="FF0000"/>
                </a:solidFill>
              </a:ln>
              <a:effectLst/>
            </c:spPr>
            <c:extLst>
              <c:ext xmlns:c16="http://schemas.microsoft.com/office/drawing/2014/chart" uri="{C3380CC4-5D6E-409C-BE32-E72D297353CC}">
                <c16:uniqueId val="{00000019-B9C4-4462-8C59-794EA6747BE0}"/>
              </c:ext>
            </c:extLst>
          </c:dPt>
          <c:dPt>
            <c:idx val="13"/>
            <c:invertIfNegative val="0"/>
            <c:bubble3D val="0"/>
            <c:spPr>
              <a:solidFill>
                <a:schemeClr val="accent1"/>
              </a:solidFill>
              <a:ln>
                <a:noFill/>
              </a:ln>
              <a:effectLst/>
            </c:spPr>
            <c:extLst>
              <c:ext xmlns:c16="http://schemas.microsoft.com/office/drawing/2014/chart" uri="{C3380CC4-5D6E-409C-BE32-E72D297353CC}">
                <c16:uniqueId val="{0000001B-B9C4-4462-8C59-794EA6747BE0}"/>
              </c:ext>
            </c:extLst>
          </c:dPt>
          <c:dPt>
            <c:idx val="14"/>
            <c:invertIfNegative val="0"/>
            <c:bubble3D val="0"/>
            <c:spPr>
              <a:noFill/>
              <a:ln>
                <a:solidFill>
                  <a:srgbClr val="FF0000"/>
                </a:solidFill>
              </a:ln>
              <a:effectLst/>
            </c:spPr>
            <c:extLst>
              <c:ext xmlns:c16="http://schemas.microsoft.com/office/drawing/2014/chart" uri="{C3380CC4-5D6E-409C-BE32-E72D297353CC}">
                <c16:uniqueId val="{0000001D-B9C4-4462-8C59-794EA6747BE0}"/>
              </c:ext>
            </c:extLst>
          </c:dPt>
          <c:dPt>
            <c:idx val="15"/>
            <c:invertIfNegative val="0"/>
            <c:bubble3D val="0"/>
            <c:spPr>
              <a:noFill/>
              <a:ln>
                <a:solidFill>
                  <a:srgbClr val="FF0000"/>
                </a:solidFill>
              </a:ln>
              <a:effectLst/>
            </c:spPr>
            <c:extLst>
              <c:ext xmlns:c16="http://schemas.microsoft.com/office/drawing/2014/chart" uri="{C3380CC4-5D6E-409C-BE32-E72D297353CC}">
                <c16:uniqueId val="{0000001F-B9C4-4462-8C59-794EA6747BE0}"/>
              </c:ext>
            </c:extLst>
          </c:dPt>
          <c:dLbls>
            <c:dLbl>
              <c:idx val="0"/>
              <c:layout>
                <c:manualLayout>
                  <c:x val="7.2409502375869211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9C4-4462-8C59-794EA6747BE0}"/>
                </c:ext>
              </c:extLst>
            </c:dLbl>
            <c:dLbl>
              <c:idx val="4"/>
              <c:layout>
                <c:manualLayout>
                  <c:x val="0.38202254701751687"/>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B9C4-4462-8C59-794EA6747BE0}"/>
                </c:ext>
              </c:extLst>
            </c:dLbl>
            <c:dLbl>
              <c:idx val="7"/>
              <c:layout>
                <c:manualLayout>
                  <c:x val="6.2421984806783806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B9C4-4462-8C59-794EA6747BE0}"/>
                </c:ext>
              </c:extLst>
            </c:dLbl>
            <c:dLbl>
              <c:idx val="8"/>
              <c:layout>
                <c:manualLayout>
                  <c:x val="0.26966297436530606"/>
                  <c:y val="-5.0975800552749644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B9C4-4462-8C59-794EA6747BE0}"/>
                </c:ext>
              </c:extLst>
            </c:dLbl>
            <c:dLbl>
              <c:idx val="9"/>
              <c:layout>
                <c:manualLayout>
                  <c:x val="0.2896380095034769"/>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B9C4-4462-8C59-794EA6747BE0}"/>
                </c:ext>
              </c:extLst>
            </c:dLbl>
            <c:dLbl>
              <c:idx val="10"/>
              <c:layout>
                <c:manualLayout>
                  <c:x val="0.20224742737865609"/>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B9C4-4462-8C59-794EA6747BE0}"/>
                </c:ext>
              </c:extLst>
            </c:dLbl>
            <c:dLbl>
              <c:idx val="11"/>
              <c:layout>
                <c:manualLayout>
                  <c:x val="0.35455687370253208"/>
                  <c:y val="-2.780530332520776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B9C4-4462-8C59-794EA6747BE0}"/>
                </c:ext>
              </c:extLst>
            </c:dLbl>
            <c:dLbl>
              <c:idx val="12"/>
              <c:layout>
                <c:manualLayout>
                  <c:x val="0.33707871795663252"/>
                  <c:y val="-2.780530332520776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B9C4-4462-8C59-794EA6747BE0}"/>
                </c:ext>
              </c:extLst>
            </c:dLbl>
            <c:dLbl>
              <c:idx val="14"/>
              <c:layout>
                <c:manualLayout>
                  <c:x val="0.14232212535946712"/>
                  <c:y val="-2.7805303325207889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B9C4-4462-8C59-794EA6747BE0}"/>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Sheet1!$E$32:$E$47</c:f>
              <c:strCache>
                <c:ptCount val="16"/>
                <c:pt idx="0">
                  <c:v>Планирани фискални резултат за 2022. годину</c:v>
                </c:pt>
                <c:pt idx="1">
                  <c:v>Базни приходни ефекат</c:v>
                </c:pt>
                <c:pt idx="2">
                  <c:v>Остало приходи</c:v>
                </c:pt>
                <c:pt idx="3">
                  <c:v>Наплата пореза на добит</c:v>
                </c:pt>
                <c:pt idx="4">
                  <c:v>Једнократки порески и непорески прих.</c:v>
                </c:pt>
                <c:pt idx="5">
                  <c:v>Кретања на тржишту рада</c:v>
                </c:pt>
                <c:pt idx="6">
                  <c:v>Номинални раст личне потрошње (ПДВ, Акцизе, Царине)</c:v>
                </c:pt>
                <c:pt idx="7">
                  <c:v>Додатни расходи за енергенте </c:v>
                </c:pt>
                <c:pt idx="8">
                  <c:v>Директна помоћ становништву</c:v>
                </c:pt>
                <c:pt idx="9">
                  <c:v>Расходи за здравствену заштиту</c:v>
                </c:pt>
                <c:pt idx="10">
                  <c:v>Субвенције </c:v>
                </c:pt>
                <c:pt idx="11">
                  <c:v>Појачано одржавање путне мреже</c:v>
                </c:pt>
                <c:pt idx="12">
                  <c:v>Нове мере популационе политикее</c:v>
                </c:pt>
                <c:pt idx="13">
                  <c:v>Нижа маса пензија</c:v>
                </c:pt>
                <c:pt idx="14">
                  <c:v>Остало расходи</c:v>
                </c:pt>
                <c:pt idx="15">
                  <c:v>Пројектовани фискални резултат за 2022. годину</c:v>
                </c:pt>
              </c:strCache>
            </c:strRef>
          </c:cat>
          <c:val>
            <c:numRef>
              <c:f>Sheet1!$F$32:$F$47</c:f>
              <c:numCache>
                <c:formatCode>0.0</c:formatCode>
                <c:ptCount val="16"/>
                <c:pt idx="0">
                  <c:v>-3</c:v>
                </c:pt>
                <c:pt idx="1">
                  <c:v>0.39616189916700562</c:v>
                </c:pt>
                <c:pt idx="2">
                  <c:v>0.12306626297317114</c:v>
                </c:pt>
                <c:pt idx="3">
                  <c:v>0.95651257023212388</c:v>
                </c:pt>
                <c:pt idx="4">
                  <c:v>-0.1506319008239565</c:v>
                </c:pt>
                <c:pt idx="5">
                  <c:v>0.53926220494976429</c:v>
                </c:pt>
                <c:pt idx="6">
                  <c:v>1.69611520327775</c:v>
                </c:pt>
                <c:pt idx="7">
                  <c:v>-2.0862518264117975</c:v>
                </c:pt>
                <c:pt idx="8">
                  <c:v>-0.46695889255426515</c:v>
                </c:pt>
                <c:pt idx="9">
                  <c:v>-0.36001024296925604</c:v>
                </c:pt>
                <c:pt idx="10">
                  <c:v>-0.31632699173030865</c:v>
                </c:pt>
                <c:pt idx="11">
                  <c:v>-0.10694864958500912</c:v>
                </c:pt>
                <c:pt idx="12">
                  <c:v>-0.22594785123593472</c:v>
                </c:pt>
                <c:pt idx="13">
                  <c:v>0.10694864958500912</c:v>
                </c:pt>
                <c:pt idx="14">
                  <c:v>-0.36904815701870197</c:v>
                </c:pt>
                <c:pt idx="15">
                  <c:v>-3.8295799505824282</c:v>
                </c:pt>
              </c:numCache>
            </c:numRef>
          </c:val>
          <c:extLst>
            <c:ext xmlns:c16="http://schemas.microsoft.com/office/drawing/2014/chart" uri="{C3380CC4-5D6E-409C-BE32-E72D297353CC}">
              <c16:uniqueId val="{00000020-B9C4-4462-8C59-794EA6747BE0}"/>
            </c:ext>
          </c:extLst>
        </c:ser>
        <c:dLbls>
          <c:showLegendKey val="0"/>
          <c:showVal val="0"/>
          <c:showCatName val="0"/>
          <c:showSerName val="0"/>
          <c:showPercent val="0"/>
          <c:showBubbleSize val="0"/>
        </c:dLbls>
        <c:gapWidth val="80"/>
        <c:axId val="42931472"/>
        <c:axId val="42930928"/>
      </c:barChart>
      <c:catAx>
        <c:axId val="42931472"/>
        <c:scaling>
          <c:orientation val="minMax"/>
        </c:scaling>
        <c:delete val="0"/>
        <c:axPos val="l"/>
        <c:numFmt formatCode="General" sourceLinked="1"/>
        <c:majorTickMark val="none"/>
        <c:minorTickMark val="none"/>
        <c:tickLblPos val="nextTo"/>
        <c:spPr>
          <a:noFill/>
          <a:ln w="9525" cap="flat" cmpd="sng" algn="ctr">
            <a:solidFill>
              <a:srgbClr val="FF0000"/>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42930928"/>
        <c:crosses val="autoZero"/>
        <c:auto val="1"/>
        <c:lblAlgn val="ctr"/>
        <c:lblOffset val="100"/>
        <c:noMultiLvlLbl val="0"/>
      </c:catAx>
      <c:valAx>
        <c:axId val="42930928"/>
        <c:scaling>
          <c:orientation val="minMax"/>
          <c:min val="-4.5"/>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4293147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3415222230767468E-2"/>
          <c:y val="4.6934331228398435E-2"/>
          <c:w val="0.89818784226795878"/>
          <c:h val="0.60076921077934575"/>
        </c:manualLayout>
      </c:layout>
      <c:barChart>
        <c:barDir val="col"/>
        <c:grouping val="clustered"/>
        <c:varyColors val="0"/>
        <c:ser>
          <c:idx val="0"/>
          <c:order val="0"/>
          <c:tx>
            <c:strRef>
              <c:f>'S0 EU Serbia'!$AG$39</c:f>
              <c:strCache>
                <c:ptCount val="1"/>
                <c:pt idx="0">
                  <c:v>Фискални подиндекс</c:v>
                </c:pt>
              </c:strCache>
            </c:strRef>
          </c:tx>
          <c:spPr>
            <a:solidFill>
              <a:srgbClr val="7030A0"/>
            </a:solidFill>
            <a:ln w="9525">
              <a:noFill/>
            </a:ln>
            <a:effectLst/>
          </c:spPr>
          <c:invertIfNegative val="0"/>
          <c:cat>
            <c:numRef>
              <c:f>'S0 EU Serbia'!$AF$41:$AF$49</c:f>
              <c:numCache>
                <c:formatCode>General</c:formatCode>
                <c:ptCount val="7"/>
                <c:pt idx="0">
                  <c:v>2015</c:v>
                </c:pt>
                <c:pt idx="1">
                  <c:v>2016</c:v>
                </c:pt>
                <c:pt idx="2">
                  <c:v>2017</c:v>
                </c:pt>
                <c:pt idx="3">
                  <c:v>2018</c:v>
                </c:pt>
                <c:pt idx="4">
                  <c:v>2019</c:v>
                </c:pt>
                <c:pt idx="5">
                  <c:v>2020</c:v>
                </c:pt>
                <c:pt idx="6">
                  <c:v>2021</c:v>
                </c:pt>
              </c:numCache>
              <c:extLst/>
            </c:numRef>
          </c:cat>
          <c:val>
            <c:numRef>
              <c:f>'S0 EU Serbia'!$AG$41:$AG$49</c:f>
              <c:numCache>
                <c:formatCode>0.00</c:formatCode>
                <c:ptCount val="7"/>
                <c:pt idx="0">
                  <c:v>0.40718562874251496</c:v>
                </c:pt>
                <c:pt idx="1">
                  <c:v>0.19161676646706588</c:v>
                </c:pt>
                <c:pt idx="2">
                  <c:v>0</c:v>
                </c:pt>
                <c:pt idx="3">
                  <c:v>0</c:v>
                </c:pt>
                <c:pt idx="4">
                  <c:v>0</c:v>
                </c:pt>
                <c:pt idx="5">
                  <c:v>0.47904191616766456</c:v>
                </c:pt>
                <c:pt idx="6">
                  <c:v>0.21560000000000001</c:v>
                </c:pt>
              </c:numCache>
              <c:extLst/>
            </c:numRef>
          </c:val>
          <c:extLst>
            <c:ext xmlns:c16="http://schemas.microsoft.com/office/drawing/2014/chart" uri="{C3380CC4-5D6E-409C-BE32-E72D297353CC}">
              <c16:uniqueId val="{00000000-AFF6-4734-A20C-2D7DB6E21DD7}"/>
            </c:ext>
          </c:extLst>
        </c:ser>
        <c:ser>
          <c:idx val="1"/>
          <c:order val="1"/>
          <c:tx>
            <c:strRef>
              <c:f>'S0 EU Serbia'!$AH$39</c:f>
              <c:strCache>
                <c:ptCount val="1"/>
                <c:pt idx="0">
                  <c:v>Подиндекс макро-финансијске конкурентности</c:v>
                </c:pt>
              </c:strCache>
            </c:strRef>
          </c:tx>
          <c:spPr>
            <a:solidFill>
              <a:srgbClr val="5297AC"/>
            </a:solidFill>
            <a:ln w="9525">
              <a:noFill/>
            </a:ln>
            <a:effectLst/>
          </c:spPr>
          <c:invertIfNegative val="0"/>
          <c:cat>
            <c:numRef>
              <c:f>'S0 EU Serbia'!$AF$41:$AF$49</c:f>
              <c:numCache>
                <c:formatCode>General</c:formatCode>
                <c:ptCount val="7"/>
                <c:pt idx="0">
                  <c:v>2015</c:v>
                </c:pt>
                <c:pt idx="1">
                  <c:v>2016</c:v>
                </c:pt>
                <c:pt idx="2">
                  <c:v>2017</c:v>
                </c:pt>
                <c:pt idx="3">
                  <c:v>2018</c:v>
                </c:pt>
                <c:pt idx="4">
                  <c:v>2019</c:v>
                </c:pt>
                <c:pt idx="5">
                  <c:v>2020</c:v>
                </c:pt>
                <c:pt idx="6">
                  <c:v>2021</c:v>
                </c:pt>
              </c:numCache>
              <c:extLst/>
            </c:numRef>
          </c:cat>
          <c:val>
            <c:numRef>
              <c:f>'S0 EU Serbia'!$AH$41:$AH$49</c:f>
              <c:numCache>
                <c:formatCode>0.00</c:formatCode>
                <c:ptCount val="7"/>
                <c:pt idx="0">
                  <c:v>0.27243589743589747</c:v>
                </c:pt>
                <c:pt idx="1">
                  <c:v>0.27243589743589747</c:v>
                </c:pt>
                <c:pt idx="2">
                  <c:v>0.27243589743589747</c:v>
                </c:pt>
                <c:pt idx="3">
                  <c:v>0.27243589743589747</c:v>
                </c:pt>
                <c:pt idx="4">
                  <c:v>0.27243589743589747</c:v>
                </c:pt>
                <c:pt idx="5">
                  <c:v>0.42307692307692302</c:v>
                </c:pt>
                <c:pt idx="6">
                  <c:v>0.27239999999999998</c:v>
                </c:pt>
              </c:numCache>
              <c:extLst/>
            </c:numRef>
          </c:val>
          <c:extLst>
            <c:ext xmlns:c16="http://schemas.microsoft.com/office/drawing/2014/chart" uri="{C3380CC4-5D6E-409C-BE32-E72D297353CC}">
              <c16:uniqueId val="{00000001-AFF6-4734-A20C-2D7DB6E21DD7}"/>
            </c:ext>
          </c:extLst>
        </c:ser>
        <c:dLbls>
          <c:showLegendKey val="0"/>
          <c:showVal val="0"/>
          <c:showCatName val="0"/>
          <c:showSerName val="0"/>
          <c:showPercent val="0"/>
          <c:showBubbleSize val="0"/>
        </c:dLbls>
        <c:gapWidth val="150"/>
        <c:axId val="42923856"/>
        <c:axId val="42925488"/>
      </c:barChart>
      <c:lineChart>
        <c:grouping val="standard"/>
        <c:varyColors val="0"/>
        <c:ser>
          <c:idx val="2"/>
          <c:order val="2"/>
          <c:tx>
            <c:strRef>
              <c:f>'S0 EU Serbia'!$AI$39</c:f>
              <c:strCache>
                <c:ptCount val="1"/>
                <c:pt idx="0">
                  <c:v>S0 индикатор</c:v>
                </c:pt>
              </c:strCache>
            </c:strRef>
          </c:tx>
          <c:spPr>
            <a:ln w="22225" cap="rnd">
              <a:noFill/>
              <a:prstDash val="solid"/>
              <a:round/>
            </a:ln>
            <a:effectLst/>
          </c:spPr>
          <c:marker>
            <c:symbol val="triangle"/>
            <c:size val="16"/>
            <c:spPr>
              <a:solidFill>
                <a:schemeClr val="tx1"/>
              </a:solidFill>
              <a:ln w="9525">
                <a:noFill/>
              </a:ln>
              <a:effectLst/>
            </c:spPr>
          </c:marker>
          <c:dPt>
            <c:idx val="0"/>
            <c:marker>
              <c:symbol val="triangle"/>
              <c:size val="16"/>
              <c:spPr>
                <a:solidFill>
                  <a:schemeClr val="tx1"/>
                </a:solidFill>
                <a:ln w="9525">
                  <a:noFill/>
                </a:ln>
                <a:effectLst/>
              </c:spPr>
            </c:marker>
            <c:bubble3D val="0"/>
            <c:spPr>
              <a:ln w="12700" cap="rnd">
                <a:noFill/>
                <a:prstDash val="solid"/>
                <a:round/>
              </a:ln>
              <a:effectLst/>
            </c:spPr>
            <c:extLst>
              <c:ext xmlns:c16="http://schemas.microsoft.com/office/drawing/2014/chart" uri="{C3380CC4-5D6E-409C-BE32-E72D297353CC}">
                <c16:uniqueId val="{00000003-AFF6-4734-A20C-2D7DB6E21DD7}"/>
              </c:ext>
            </c:extLst>
          </c:dPt>
          <c:dPt>
            <c:idx val="1"/>
            <c:marker>
              <c:symbol val="triangle"/>
              <c:size val="16"/>
              <c:spPr>
                <a:solidFill>
                  <a:schemeClr val="tx1"/>
                </a:solidFill>
                <a:ln w="9525">
                  <a:noFill/>
                </a:ln>
                <a:effectLst/>
              </c:spPr>
            </c:marker>
            <c:bubble3D val="0"/>
            <c:spPr>
              <a:ln w="12700" cap="rnd">
                <a:noFill/>
                <a:prstDash val="solid"/>
                <a:round/>
              </a:ln>
              <a:effectLst/>
            </c:spPr>
            <c:extLst>
              <c:ext xmlns:c16="http://schemas.microsoft.com/office/drawing/2014/chart" uri="{C3380CC4-5D6E-409C-BE32-E72D297353CC}">
                <c16:uniqueId val="{00000005-AFF6-4734-A20C-2D7DB6E21DD7}"/>
              </c:ext>
            </c:extLst>
          </c:dPt>
          <c:cat>
            <c:numRef>
              <c:f>'S0 EU Serbia'!$AF$41:$AF$49</c:f>
              <c:numCache>
                <c:formatCode>General</c:formatCode>
                <c:ptCount val="7"/>
                <c:pt idx="0">
                  <c:v>2015</c:v>
                </c:pt>
                <c:pt idx="1">
                  <c:v>2016</c:v>
                </c:pt>
                <c:pt idx="2">
                  <c:v>2017</c:v>
                </c:pt>
                <c:pt idx="3">
                  <c:v>2018</c:v>
                </c:pt>
                <c:pt idx="4">
                  <c:v>2019</c:v>
                </c:pt>
                <c:pt idx="5">
                  <c:v>2020</c:v>
                </c:pt>
                <c:pt idx="6">
                  <c:v>2021</c:v>
                </c:pt>
              </c:numCache>
              <c:extLst/>
            </c:numRef>
          </c:cat>
          <c:val>
            <c:numRef>
              <c:f>'S0 EU Serbia'!$AI$41:$AI$49</c:f>
              <c:numCache>
                <c:formatCode>0.00</c:formatCode>
                <c:ptCount val="7"/>
                <c:pt idx="0">
                  <c:v>0.31941544885177453</c:v>
                </c:pt>
                <c:pt idx="1">
                  <c:v>0.24425887265135704</c:v>
                </c:pt>
                <c:pt idx="2">
                  <c:v>0.17745302713987476</c:v>
                </c:pt>
                <c:pt idx="3">
                  <c:v>0.17745302713987476</c:v>
                </c:pt>
                <c:pt idx="4">
                  <c:v>0.17745302713987476</c:v>
                </c:pt>
                <c:pt idx="5">
                  <c:v>0.4425887265135699</c:v>
                </c:pt>
                <c:pt idx="6">
                  <c:v>0.25259999999999999</c:v>
                </c:pt>
              </c:numCache>
              <c:extLst/>
            </c:numRef>
          </c:val>
          <c:smooth val="0"/>
          <c:extLst>
            <c:ext xmlns:c16="http://schemas.microsoft.com/office/drawing/2014/chart" uri="{C3380CC4-5D6E-409C-BE32-E72D297353CC}">
              <c16:uniqueId val="{00000006-AFF6-4734-A20C-2D7DB6E21DD7}"/>
            </c:ext>
          </c:extLst>
        </c:ser>
        <c:ser>
          <c:idx val="3"/>
          <c:order val="3"/>
          <c:tx>
            <c:strRef>
              <c:f>'S0 EU Serbia'!$AJ$39</c:f>
              <c:strCache>
                <c:ptCount val="1"/>
                <c:pt idx="0">
                  <c:v>Праг фискалног подиндекса</c:v>
                </c:pt>
              </c:strCache>
            </c:strRef>
          </c:tx>
          <c:spPr>
            <a:ln w="22225" cap="rnd">
              <a:solidFill>
                <a:srgbClr val="7030A0"/>
              </a:solidFill>
              <a:prstDash val="dash"/>
              <a:round/>
            </a:ln>
            <a:effectLst/>
          </c:spPr>
          <c:marker>
            <c:symbol val="none"/>
          </c:marker>
          <c:cat>
            <c:numRef>
              <c:f>'S0 EU Serbia'!$AF$41:$AF$49</c:f>
              <c:numCache>
                <c:formatCode>General</c:formatCode>
                <c:ptCount val="7"/>
                <c:pt idx="0">
                  <c:v>2015</c:v>
                </c:pt>
                <c:pt idx="1">
                  <c:v>2016</c:v>
                </c:pt>
                <c:pt idx="2">
                  <c:v>2017</c:v>
                </c:pt>
                <c:pt idx="3">
                  <c:v>2018</c:v>
                </c:pt>
                <c:pt idx="4">
                  <c:v>2019</c:v>
                </c:pt>
                <c:pt idx="5">
                  <c:v>2020</c:v>
                </c:pt>
                <c:pt idx="6">
                  <c:v>2021</c:v>
                </c:pt>
              </c:numCache>
              <c:extLst/>
            </c:numRef>
          </c:cat>
          <c:val>
            <c:numRef>
              <c:f>('S0 EU Serbia'!$AJ$41:$AJ$48,'S0 EU Serbia'!$AJ$49)</c:f>
              <c:numCache>
                <c:formatCode>General</c:formatCode>
                <c:ptCount val="7"/>
                <c:pt idx="0">
                  <c:v>0.36</c:v>
                </c:pt>
                <c:pt idx="1">
                  <c:v>0.36</c:v>
                </c:pt>
                <c:pt idx="2">
                  <c:v>0.36</c:v>
                </c:pt>
                <c:pt idx="3">
                  <c:v>0.36</c:v>
                </c:pt>
                <c:pt idx="4">
                  <c:v>0.36</c:v>
                </c:pt>
                <c:pt idx="5">
                  <c:v>0.36</c:v>
                </c:pt>
                <c:pt idx="6">
                  <c:v>0.36</c:v>
                </c:pt>
              </c:numCache>
              <c:extLst/>
            </c:numRef>
          </c:val>
          <c:smooth val="0"/>
          <c:extLst>
            <c:ext xmlns:c16="http://schemas.microsoft.com/office/drawing/2014/chart" uri="{C3380CC4-5D6E-409C-BE32-E72D297353CC}">
              <c16:uniqueId val="{00000007-AFF6-4734-A20C-2D7DB6E21DD7}"/>
            </c:ext>
          </c:extLst>
        </c:ser>
        <c:ser>
          <c:idx val="4"/>
          <c:order val="4"/>
          <c:tx>
            <c:strRef>
              <c:f>'S0 EU Serbia'!$AK$39</c:f>
              <c:strCache>
                <c:ptCount val="1"/>
                <c:pt idx="0">
                  <c:v>Праг финансијског подиндекса</c:v>
                </c:pt>
              </c:strCache>
            </c:strRef>
          </c:tx>
          <c:spPr>
            <a:ln w="22225" cap="rnd">
              <a:solidFill>
                <a:srgbClr val="5297AC"/>
              </a:solidFill>
              <a:prstDash val="dash"/>
              <a:round/>
            </a:ln>
            <a:effectLst/>
          </c:spPr>
          <c:marker>
            <c:symbol val="none"/>
          </c:marker>
          <c:cat>
            <c:numRef>
              <c:f>'S0 EU Serbia'!$AF$41:$AF$49</c:f>
              <c:numCache>
                <c:formatCode>General</c:formatCode>
                <c:ptCount val="7"/>
                <c:pt idx="0">
                  <c:v>2015</c:v>
                </c:pt>
                <c:pt idx="1">
                  <c:v>2016</c:v>
                </c:pt>
                <c:pt idx="2">
                  <c:v>2017</c:v>
                </c:pt>
                <c:pt idx="3">
                  <c:v>2018</c:v>
                </c:pt>
                <c:pt idx="4">
                  <c:v>2019</c:v>
                </c:pt>
                <c:pt idx="5">
                  <c:v>2020</c:v>
                </c:pt>
                <c:pt idx="6">
                  <c:v>2021</c:v>
                </c:pt>
              </c:numCache>
              <c:extLst/>
            </c:numRef>
          </c:cat>
          <c:val>
            <c:numRef>
              <c:f>('S0 EU Serbia'!$AK$41:$AK$48,'S0 EU Serbia'!$AK$49)</c:f>
              <c:numCache>
                <c:formatCode>General</c:formatCode>
                <c:ptCount val="7"/>
                <c:pt idx="0">
                  <c:v>0.49</c:v>
                </c:pt>
                <c:pt idx="1">
                  <c:v>0.49</c:v>
                </c:pt>
                <c:pt idx="2">
                  <c:v>0.49</c:v>
                </c:pt>
                <c:pt idx="3">
                  <c:v>0.49</c:v>
                </c:pt>
                <c:pt idx="4">
                  <c:v>0.49</c:v>
                </c:pt>
                <c:pt idx="5">
                  <c:v>0.49</c:v>
                </c:pt>
                <c:pt idx="6">
                  <c:v>0.49</c:v>
                </c:pt>
              </c:numCache>
              <c:extLst/>
            </c:numRef>
          </c:val>
          <c:smooth val="0"/>
          <c:extLst>
            <c:ext xmlns:c16="http://schemas.microsoft.com/office/drawing/2014/chart" uri="{C3380CC4-5D6E-409C-BE32-E72D297353CC}">
              <c16:uniqueId val="{00000008-AFF6-4734-A20C-2D7DB6E21DD7}"/>
            </c:ext>
          </c:extLst>
        </c:ser>
        <c:ser>
          <c:idx val="5"/>
          <c:order val="5"/>
          <c:tx>
            <c:strRef>
              <c:f>'S0 EU Serbia'!$AL$39</c:f>
              <c:strCache>
                <c:ptCount val="1"/>
                <c:pt idx="0">
                  <c:v>S0 праг</c:v>
                </c:pt>
              </c:strCache>
            </c:strRef>
          </c:tx>
          <c:spPr>
            <a:ln w="22225" cap="rnd">
              <a:solidFill>
                <a:schemeClr val="tx1"/>
              </a:solidFill>
              <a:prstDash val="dash"/>
              <a:round/>
            </a:ln>
            <a:effectLst/>
          </c:spPr>
          <c:marker>
            <c:symbol val="none"/>
          </c:marker>
          <c:cat>
            <c:numRef>
              <c:f>'S0 EU Serbia'!$AF$41:$AF$49</c:f>
              <c:numCache>
                <c:formatCode>General</c:formatCode>
                <c:ptCount val="7"/>
                <c:pt idx="0">
                  <c:v>2015</c:v>
                </c:pt>
                <c:pt idx="1">
                  <c:v>2016</c:v>
                </c:pt>
                <c:pt idx="2">
                  <c:v>2017</c:v>
                </c:pt>
                <c:pt idx="3">
                  <c:v>2018</c:v>
                </c:pt>
                <c:pt idx="4">
                  <c:v>2019</c:v>
                </c:pt>
                <c:pt idx="5">
                  <c:v>2020</c:v>
                </c:pt>
                <c:pt idx="6">
                  <c:v>2021</c:v>
                </c:pt>
              </c:numCache>
              <c:extLst/>
            </c:numRef>
          </c:cat>
          <c:val>
            <c:numRef>
              <c:f>('S0 EU Serbia'!$AL$41:$AL$48,'S0 EU Serbia'!$AL$49)</c:f>
              <c:numCache>
                <c:formatCode>General</c:formatCode>
                <c:ptCount val="7"/>
                <c:pt idx="0">
                  <c:v>0.46</c:v>
                </c:pt>
                <c:pt idx="1">
                  <c:v>0.46</c:v>
                </c:pt>
                <c:pt idx="2">
                  <c:v>0.46</c:v>
                </c:pt>
                <c:pt idx="3">
                  <c:v>0.46</c:v>
                </c:pt>
                <c:pt idx="4">
                  <c:v>0.46</c:v>
                </c:pt>
                <c:pt idx="5">
                  <c:v>0.46</c:v>
                </c:pt>
                <c:pt idx="6">
                  <c:v>0.46</c:v>
                </c:pt>
              </c:numCache>
              <c:extLst/>
            </c:numRef>
          </c:val>
          <c:smooth val="0"/>
          <c:extLst>
            <c:ext xmlns:c16="http://schemas.microsoft.com/office/drawing/2014/chart" uri="{C3380CC4-5D6E-409C-BE32-E72D297353CC}">
              <c16:uniqueId val="{00000009-AFF6-4734-A20C-2D7DB6E21DD7}"/>
            </c:ext>
          </c:extLst>
        </c:ser>
        <c:dLbls>
          <c:showLegendKey val="0"/>
          <c:showVal val="0"/>
          <c:showCatName val="0"/>
          <c:showSerName val="0"/>
          <c:showPercent val="0"/>
          <c:showBubbleSize val="0"/>
        </c:dLbls>
        <c:marker val="1"/>
        <c:smooth val="0"/>
        <c:axId val="42923856"/>
        <c:axId val="42925488"/>
      </c:lineChart>
      <c:catAx>
        <c:axId val="42923856"/>
        <c:scaling>
          <c:orientation val="minMax"/>
        </c:scaling>
        <c:delete val="0"/>
        <c:axPos val="b"/>
        <c:numFmt formatCode="General" sourceLinked="1"/>
        <c:majorTickMark val="none"/>
        <c:minorTickMark val="none"/>
        <c:tickLblPos val="nextTo"/>
        <c:spPr>
          <a:noFill/>
          <a:ln w="6350" cap="flat" cmpd="sng" algn="ctr">
            <a:solidFill>
              <a:schemeClr val="bg1">
                <a:lumMod val="6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42925488"/>
        <c:crosses val="autoZero"/>
        <c:auto val="1"/>
        <c:lblAlgn val="ctr"/>
        <c:lblOffset val="100"/>
        <c:noMultiLvlLbl val="0"/>
      </c:catAx>
      <c:valAx>
        <c:axId val="42925488"/>
        <c:scaling>
          <c:orientation val="minMax"/>
          <c:max val="0.70000000000000007"/>
        </c:scaling>
        <c:delete val="0"/>
        <c:axPos val="l"/>
        <c:numFmt formatCode="#,##0.0" sourceLinked="0"/>
        <c:majorTickMark val="out"/>
        <c:minorTickMark val="none"/>
        <c:tickLblPos val="nextTo"/>
        <c:spPr>
          <a:noFill/>
          <a:ln w="6350">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42923856"/>
        <c:crossesAt val="1"/>
        <c:crossBetween val="between"/>
      </c:valAx>
      <c:spPr>
        <a:noFill/>
        <a:ln>
          <a:noFill/>
        </a:ln>
        <a:effectLst/>
      </c:spPr>
    </c:plotArea>
    <c:legend>
      <c:legendPos val="b"/>
      <c:layout>
        <c:manualLayout>
          <c:xMode val="edge"/>
          <c:yMode val="edge"/>
          <c:x val="4.2305184488754824E-2"/>
          <c:y val="0.7597650788700917"/>
          <c:w val="0.95548364912097428"/>
          <c:h val="0.1977395517867958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0140553174856415E-2"/>
          <c:y val="0.13775301764159703"/>
          <c:w val="0.89795062064282105"/>
          <c:h val="0.4716665570007092"/>
        </c:manualLayout>
      </c:layout>
      <c:barChart>
        <c:barDir val="col"/>
        <c:grouping val="clustered"/>
        <c:varyColors val="0"/>
        <c:ser>
          <c:idx val="3"/>
          <c:order val="1"/>
          <c:tx>
            <c:strRef>
              <c:f>'S0 EU Serbia'!$F$2</c:f>
              <c:strCache>
                <c:ptCount val="1"/>
                <c:pt idx="0">
                  <c:v>S0
2014</c:v>
                </c:pt>
              </c:strCache>
            </c:strRef>
          </c:tx>
          <c:spPr>
            <a:solidFill>
              <a:schemeClr val="tx1"/>
            </a:solidFill>
            <a:ln w="6350">
              <a:solidFill>
                <a:schemeClr val="tx1"/>
              </a:solidFill>
            </a:ln>
            <a:effectLst/>
          </c:spPr>
          <c:invertIfNegative val="0"/>
          <c:cat>
            <c:strRef>
              <c:f>'S0 EU Serbia'!$A$3:$A$31</c:f>
              <c:strCache>
                <c:ptCount val="28"/>
                <c:pt idx="0">
                  <c:v>Аустрија</c:v>
                </c:pt>
                <c:pt idx="1">
                  <c:v>Белгија</c:v>
                </c:pt>
                <c:pt idx="2">
                  <c:v>Бугарска</c:v>
                </c:pt>
                <c:pt idx="3">
                  <c:v>Чешка</c:v>
                </c:pt>
                <c:pt idx="4">
                  <c:v>Хрватска</c:v>
                </c:pt>
                <c:pt idx="5">
                  <c:v>Кипар</c:v>
                </c:pt>
                <c:pt idx="6">
                  <c:v>Данска</c:v>
                </c:pt>
                <c:pt idx="7">
                  <c:v>Естонија</c:v>
                </c:pt>
                <c:pt idx="8">
                  <c:v>Финска</c:v>
                </c:pt>
                <c:pt idx="9">
                  <c:v>Француска</c:v>
                </c:pt>
                <c:pt idx="10">
                  <c:v>Немачка</c:v>
                </c:pt>
                <c:pt idx="11">
                  <c:v>Мађарска</c:v>
                </c:pt>
                <c:pt idx="12">
                  <c:v>Ирска</c:v>
                </c:pt>
                <c:pt idx="13">
                  <c:v>Италија</c:v>
                </c:pt>
                <c:pt idx="14">
                  <c:v>Летонија</c:v>
                </c:pt>
                <c:pt idx="15">
                  <c:v>Литванија</c:v>
                </c:pt>
                <c:pt idx="16">
                  <c:v>Луксембург</c:v>
                </c:pt>
                <c:pt idx="17">
                  <c:v>Малта</c:v>
                </c:pt>
                <c:pt idx="18">
                  <c:v>Холандија</c:v>
                </c:pt>
                <c:pt idx="19">
                  <c:v>Пољска</c:v>
                </c:pt>
                <c:pt idx="20">
                  <c:v>Португал</c:v>
                </c:pt>
                <c:pt idx="21">
                  <c:v>Румунија</c:v>
                </c:pt>
                <c:pt idx="22">
                  <c:v>Србија</c:v>
                </c:pt>
                <c:pt idx="23">
                  <c:v>Словачка</c:v>
                </c:pt>
                <c:pt idx="24">
                  <c:v>Словенија</c:v>
                </c:pt>
                <c:pt idx="25">
                  <c:v>Шпанија</c:v>
                </c:pt>
                <c:pt idx="26">
                  <c:v>Шведска</c:v>
                </c:pt>
                <c:pt idx="27">
                  <c:v>Уједињено Краљевство</c:v>
                </c:pt>
              </c:strCache>
            </c:strRef>
          </c:cat>
          <c:val>
            <c:numRef>
              <c:f>'S0 EU Serbia'!$F$3:$F$31</c:f>
            </c:numRef>
          </c:val>
          <c:extLst>
            <c:ext xmlns:c16="http://schemas.microsoft.com/office/drawing/2014/chart" uri="{C3380CC4-5D6E-409C-BE32-E72D297353CC}">
              <c16:uniqueId val="{00000000-7BDE-40EB-A158-BEF521012476}"/>
            </c:ext>
          </c:extLst>
        </c:ser>
        <c:dLbls>
          <c:showLegendKey val="0"/>
          <c:showVal val="0"/>
          <c:showCatName val="0"/>
          <c:showSerName val="0"/>
          <c:showPercent val="0"/>
          <c:showBubbleSize val="0"/>
        </c:dLbls>
        <c:gapWidth val="150"/>
        <c:axId val="42920592"/>
        <c:axId val="42921136"/>
      </c:barChart>
      <c:barChart>
        <c:barDir val="col"/>
        <c:grouping val="clustered"/>
        <c:varyColors val="0"/>
        <c:ser>
          <c:idx val="5"/>
          <c:order val="7"/>
          <c:tx>
            <c:strRef>
              <c:f>'S0 EU Serbia'!$X$2</c:f>
              <c:strCache>
                <c:ptCount val="1"/>
                <c:pt idx="0">
                  <c:v>S0 2020</c:v>
                </c:pt>
              </c:strCache>
            </c:strRef>
          </c:tx>
          <c:spPr>
            <a:solidFill>
              <a:srgbClr val="7030A0"/>
            </a:solidFill>
            <a:ln>
              <a:noFill/>
            </a:ln>
            <a:effectLst/>
          </c:spPr>
          <c:invertIfNegative val="0"/>
          <c:val>
            <c:numRef>
              <c:f>'S0 EU Serbia'!$X$3:$X$29</c:f>
              <c:numCache>
                <c:formatCode>0.00</c:formatCode>
                <c:ptCount val="27"/>
                <c:pt idx="0">
                  <c:v>0.4</c:v>
                </c:pt>
                <c:pt idx="1">
                  <c:v>0.48</c:v>
                </c:pt>
                <c:pt idx="2">
                  <c:v>0.35</c:v>
                </c:pt>
                <c:pt idx="3">
                  <c:v>0.37</c:v>
                </c:pt>
                <c:pt idx="4">
                  <c:v>0.61</c:v>
                </c:pt>
                <c:pt idx="5">
                  <c:v>0.64</c:v>
                </c:pt>
                <c:pt idx="6">
                  <c:v>0.41</c:v>
                </c:pt>
                <c:pt idx="7">
                  <c:v>0.33</c:v>
                </c:pt>
                <c:pt idx="8">
                  <c:v>0.49</c:v>
                </c:pt>
                <c:pt idx="9">
                  <c:v>0.55000000000000004</c:v>
                </c:pt>
                <c:pt idx="10">
                  <c:v>0.37</c:v>
                </c:pt>
                <c:pt idx="11">
                  <c:v>0.46</c:v>
                </c:pt>
                <c:pt idx="12">
                  <c:v>0.42</c:v>
                </c:pt>
                <c:pt idx="13">
                  <c:v>0.48</c:v>
                </c:pt>
                <c:pt idx="14">
                  <c:v>0.48</c:v>
                </c:pt>
                <c:pt idx="15">
                  <c:v>0.37</c:v>
                </c:pt>
                <c:pt idx="16">
                  <c:v>0.3</c:v>
                </c:pt>
                <c:pt idx="17">
                  <c:v>0.28999999999999998</c:v>
                </c:pt>
                <c:pt idx="18">
                  <c:v>0.39</c:v>
                </c:pt>
                <c:pt idx="19">
                  <c:v>0.45</c:v>
                </c:pt>
                <c:pt idx="20">
                  <c:v>0.61</c:v>
                </c:pt>
                <c:pt idx="21">
                  <c:v>0.49</c:v>
                </c:pt>
                <c:pt idx="22">
                  <c:v>0.4425887265135699</c:v>
                </c:pt>
                <c:pt idx="23">
                  <c:v>0.54</c:v>
                </c:pt>
                <c:pt idx="24">
                  <c:v>0.43</c:v>
                </c:pt>
                <c:pt idx="25">
                  <c:v>0.5</c:v>
                </c:pt>
                <c:pt idx="26">
                  <c:v>0.32</c:v>
                </c:pt>
              </c:numCache>
            </c:numRef>
          </c:val>
          <c:extLst>
            <c:ext xmlns:c16="http://schemas.microsoft.com/office/drawing/2014/chart" uri="{C3380CC4-5D6E-409C-BE32-E72D297353CC}">
              <c16:uniqueId val="{00000001-7BDE-40EB-A158-BEF521012476}"/>
            </c:ext>
          </c:extLst>
        </c:ser>
        <c:ser>
          <c:idx val="7"/>
          <c:order val="8"/>
          <c:tx>
            <c:strRef>
              <c:f>'S0 EU Serbia'!$AA$2</c:f>
              <c:strCache>
                <c:ptCount val="1"/>
                <c:pt idx="0">
                  <c:v>S0 2021</c:v>
                </c:pt>
              </c:strCache>
            </c:strRef>
          </c:tx>
          <c:spPr>
            <a:solidFill>
              <a:srgbClr val="00B0F0"/>
            </a:solidFill>
            <a:ln>
              <a:noFill/>
            </a:ln>
            <a:effectLst/>
          </c:spPr>
          <c:invertIfNegative val="0"/>
          <c:val>
            <c:numRef>
              <c:f>'S0 EU Serbia'!$AA$3:$AA$29</c:f>
              <c:numCache>
                <c:formatCode>0.00</c:formatCode>
                <c:ptCount val="27"/>
                <c:pt idx="0">
                  <c:v>0.36</c:v>
                </c:pt>
                <c:pt idx="1">
                  <c:v>0.36</c:v>
                </c:pt>
                <c:pt idx="2">
                  <c:v>0.36</c:v>
                </c:pt>
                <c:pt idx="3">
                  <c:v>0.36</c:v>
                </c:pt>
                <c:pt idx="4">
                  <c:v>0.36</c:v>
                </c:pt>
                <c:pt idx="5">
                  <c:v>0.36</c:v>
                </c:pt>
                <c:pt idx="6">
                  <c:v>0.36</c:v>
                </c:pt>
                <c:pt idx="7">
                  <c:v>0.36</c:v>
                </c:pt>
                <c:pt idx="8">
                  <c:v>0.36</c:v>
                </c:pt>
                <c:pt idx="9">
                  <c:v>0.36</c:v>
                </c:pt>
                <c:pt idx="10">
                  <c:v>0.36</c:v>
                </c:pt>
                <c:pt idx="11">
                  <c:v>0.36</c:v>
                </c:pt>
                <c:pt idx="12">
                  <c:v>0.36</c:v>
                </c:pt>
                <c:pt idx="13">
                  <c:v>0.36</c:v>
                </c:pt>
                <c:pt idx="14">
                  <c:v>0.36</c:v>
                </c:pt>
                <c:pt idx="15">
                  <c:v>0.36</c:v>
                </c:pt>
                <c:pt idx="16">
                  <c:v>0.36</c:v>
                </c:pt>
                <c:pt idx="17">
                  <c:v>0.36</c:v>
                </c:pt>
                <c:pt idx="18">
                  <c:v>0.36</c:v>
                </c:pt>
                <c:pt idx="19">
                  <c:v>0.36</c:v>
                </c:pt>
                <c:pt idx="20">
                  <c:v>0.36</c:v>
                </c:pt>
                <c:pt idx="21">
                  <c:v>0.36</c:v>
                </c:pt>
                <c:pt idx="22">
                  <c:v>0.25259999999999999</c:v>
                </c:pt>
                <c:pt idx="23">
                  <c:v>0.36</c:v>
                </c:pt>
                <c:pt idx="24">
                  <c:v>0.36</c:v>
                </c:pt>
                <c:pt idx="25">
                  <c:v>0.36</c:v>
                </c:pt>
                <c:pt idx="26">
                  <c:v>0.36</c:v>
                </c:pt>
              </c:numCache>
            </c:numRef>
          </c:val>
          <c:extLst>
            <c:ext xmlns:c16="http://schemas.microsoft.com/office/drawing/2014/chart" uri="{C3380CC4-5D6E-409C-BE32-E72D297353CC}">
              <c16:uniqueId val="{00000002-7BDE-40EB-A158-BEF521012476}"/>
            </c:ext>
          </c:extLst>
        </c:ser>
        <c:dLbls>
          <c:showLegendKey val="0"/>
          <c:showVal val="0"/>
          <c:showCatName val="0"/>
          <c:showSerName val="0"/>
          <c:showPercent val="0"/>
          <c:showBubbleSize val="0"/>
        </c:dLbls>
        <c:gapWidth val="150"/>
        <c:axId val="42920592"/>
        <c:axId val="42921136"/>
        <c:extLst>
          <c:ext xmlns:c15="http://schemas.microsoft.com/office/drawing/2012/chart" uri="{02D57815-91ED-43cb-92C2-25804820EDAC}">
            <c15:filteredBarSeries>
              <c15:ser>
                <c:idx val="6"/>
                <c:order val="2"/>
                <c:tx>
                  <c:strRef>
                    <c:extLst>
                      <c:ext uri="{02D57815-91ED-43cb-92C2-25804820EDAC}">
                        <c15:formulaRef>
                          <c15:sqref>'S0 EU Serbia'!$I$2</c15:sqref>
                        </c15:formulaRef>
                      </c:ext>
                    </c:extLst>
                    <c:strCache>
                      <c:ptCount val="1"/>
                      <c:pt idx="0">
                        <c:v>S0
2015</c:v>
                      </c:pt>
                    </c:strCache>
                  </c:strRef>
                </c:tx>
                <c:spPr>
                  <a:solidFill>
                    <a:schemeClr val="accent2"/>
                  </a:solidFill>
                  <a:ln>
                    <a:noFill/>
                  </a:ln>
                  <a:effectLst/>
                </c:spPr>
                <c:invertIfNegative val="0"/>
                <c:cat>
                  <c:strRef>
                    <c:extLst>
                      <c:ext uri="{02D57815-91ED-43cb-92C2-25804820EDAC}">
                        <c15:formulaRef>
                          <c15:sqref>'S0 EU Serbia'!$A$3:$A$31</c15:sqref>
                        </c15:formulaRef>
                      </c:ext>
                    </c:extLst>
                    <c:strCache>
                      <c:ptCount val="28"/>
                      <c:pt idx="0">
                        <c:v>Аустрија</c:v>
                      </c:pt>
                      <c:pt idx="1">
                        <c:v>Белгија</c:v>
                      </c:pt>
                      <c:pt idx="2">
                        <c:v>Бугарска</c:v>
                      </c:pt>
                      <c:pt idx="3">
                        <c:v>Чешка</c:v>
                      </c:pt>
                      <c:pt idx="4">
                        <c:v>Хрватска</c:v>
                      </c:pt>
                      <c:pt idx="5">
                        <c:v>Кипар</c:v>
                      </c:pt>
                      <c:pt idx="6">
                        <c:v>Данска</c:v>
                      </c:pt>
                      <c:pt idx="7">
                        <c:v>Естонија</c:v>
                      </c:pt>
                      <c:pt idx="8">
                        <c:v>Финска</c:v>
                      </c:pt>
                      <c:pt idx="9">
                        <c:v>Француска</c:v>
                      </c:pt>
                      <c:pt idx="10">
                        <c:v>Немачка</c:v>
                      </c:pt>
                      <c:pt idx="11">
                        <c:v>Мађарска</c:v>
                      </c:pt>
                      <c:pt idx="12">
                        <c:v>Ирска</c:v>
                      </c:pt>
                      <c:pt idx="13">
                        <c:v>Италија</c:v>
                      </c:pt>
                      <c:pt idx="14">
                        <c:v>Летонија</c:v>
                      </c:pt>
                      <c:pt idx="15">
                        <c:v>Литванија</c:v>
                      </c:pt>
                      <c:pt idx="16">
                        <c:v>Луксембург</c:v>
                      </c:pt>
                      <c:pt idx="17">
                        <c:v>Малта</c:v>
                      </c:pt>
                      <c:pt idx="18">
                        <c:v>Холандија</c:v>
                      </c:pt>
                      <c:pt idx="19">
                        <c:v>Пољска</c:v>
                      </c:pt>
                      <c:pt idx="20">
                        <c:v>Португал</c:v>
                      </c:pt>
                      <c:pt idx="21">
                        <c:v>Румунија</c:v>
                      </c:pt>
                      <c:pt idx="22">
                        <c:v>Србија</c:v>
                      </c:pt>
                      <c:pt idx="23">
                        <c:v>Словачка</c:v>
                      </c:pt>
                      <c:pt idx="24">
                        <c:v>Словенија</c:v>
                      </c:pt>
                      <c:pt idx="25">
                        <c:v>Шпанија</c:v>
                      </c:pt>
                      <c:pt idx="26">
                        <c:v>Шведска</c:v>
                      </c:pt>
                      <c:pt idx="27">
                        <c:v>Уједињено Краљевство</c:v>
                      </c:pt>
                    </c:strCache>
                  </c:strRef>
                </c:cat>
                <c:val>
                  <c:numRef>
                    <c:extLst>
                      <c:ext uri="{02D57815-91ED-43cb-92C2-25804820EDAC}">
                        <c15:formulaRef>
                          <c15:sqref>'S0 EU Serbia'!$I$3:$I$31</c15:sqref>
                        </c15:formulaRef>
                      </c:ext>
                    </c:extLst>
                    <c:numCache>
                      <c:formatCode>0.00</c:formatCode>
                      <c:ptCount val="29"/>
                      <c:pt idx="0">
                        <c:v>7.0000000000000007E-2</c:v>
                      </c:pt>
                      <c:pt idx="1">
                        <c:v>0.1</c:v>
                      </c:pt>
                      <c:pt idx="2">
                        <c:v>0.21</c:v>
                      </c:pt>
                      <c:pt idx="3">
                        <c:v>0.11</c:v>
                      </c:pt>
                      <c:pt idx="4">
                        <c:v>0.26</c:v>
                      </c:pt>
                      <c:pt idx="6">
                        <c:v>0.25</c:v>
                      </c:pt>
                      <c:pt idx="7">
                        <c:v>0.19</c:v>
                      </c:pt>
                      <c:pt idx="8">
                        <c:v>0.22</c:v>
                      </c:pt>
                      <c:pt idx="9">
                        <c:v>0.17</c:v>
                      </c:pt>
                      <c:pt idx="10">
                        <c:v>0.02</c:v>
                      </c:pt>
                      <c:pt idx="11">
                        <c:v>0.16</c:v>
                      </c:pt>
                      <c:pt idx="12">
                        <c:v>0.38</c:v>
                      </c:pt>
                      <c:pt idx="13">
                        <c:v>0.21</c:v>
                      </c:pt>
                      <c:pt idx="14">
                        <c:v>0.34</c:v>
                      </c:pt>
                      <c:pt idx="15">
                        <c:v>0.18</c:v>
                      </c:pt>
                      <c:pt idx="16">
                        <c:v>0.09</c:v>
                      </c:pt>
                      <c:pt idx="17">
                        <c:v>0.13</c:v>
                      </c:pt>
                      <c:pt idx="18">
                        <c:v>0.19</c:v>
                      </c:pt>
                      <c:pt idx="19">
                        <c:v>0.27</c:v>
                      </c:pt>
                      <c:pt idx="20">
                        <c:v>0.24</c:v>
                      </c:pt>
                      <c:pt idx="21">
                        <c:v>0.14000000000000001</c:v>
                      </c:pt>
                      <c:pt idx="22">
                        <c:v>0.36</c:v>
                      </c:pt>
                      <c:pt idx="23">
                        <c:v>0.21</c:v>
                      </c:pt>
                      <c:pt idx="24">
                        <c:v>0.08</c:v>
                      </c:pt>
                      <c:pt idx="25">
                        <c:v>0.21</c:v>
                      </c:pt>
                      <c:pt idx="26">
                        <c:v>0.15</c:v>
                      </c:pt>
                      <c:pt idx="27">
                        <c:v>0.36</c:v>
                      </c:pt>
                    </c:numCache>
                  </c:numRef>
                </c:val>
                <c:extLst>
                  <c:ext xmlns:c16="http://schemas.microsoft.com/office/drawing/2014/chart" uri="{C3380CC4-5D6E-409C-BE32-E72D297353CC}">
                    <c16:uniqueId val="{00000005-7BDE-40EB-A158-BEF521012476}"/>
                  </c:ext>
                </c:extLst>
              </c15:ser>
            </c15:filteredBarSeries>
            <c15:filteredBarSeries>
              <c15:ser>
                <c:idx val="9"/>
                <c:order val="3"/>
                <c:tx>
                  <c:strRef>
                    <c:extLst xmlns:c15="http://schemas.microsoft.com/office/drawing/2012/chart">
                      <c:ext xmlns:c15="http://schemas.microsoft.com/office/drawing/2012/chart" uri="{02D57815-91ED-43cb-92C2-25804820EDAC}">
                        <c15:formulaRef>
                          <c15:sqref>'S0 EU Serbia'!$L$2</c15:sqref>
                        </c15:formulaRef>
                      </c:ext>
                    </c:extLst>
                    <c:strCache>
                      <c:ptCount val="1"/>
                      <c:pt idx="0">
                        <c:v>S0
 2016</c:v>
                      </c:pt>
                    </c:strCache>
                  </c:strRef>
                </c:tx>
                <c:spPr>
                  <a:solidFill>
                    <a:srgbClr val="7030A0"/>
                  </a:solidFill>
                  <a:ln>
                    <a:noFill/>
                  </a:ln>
                  <a:effectLst/>
                </c:spPr>
                <c:invertIfNegative val="0"/>
                <c:dPt>
                  <c:idx val="16"/>
                  <c:invertIfNegative val="0"/>
                  <c:bubble3D val="0"/>
                  <c:spPr>
                    <a:solidFill>
                      <a:srgbClr val="7F7F7F"/>
                    </a:solidFill>
                    <a:ln>
                      <a:noFill/>
                    </a:ln>
                    <a:effectLst/>
                  </c:spPr>
                  <c:extLst xmlns:c15="http://schemas.microsoft.com/office/drawing/2012/chart">
                    <c:ext xmlns:c16="http://schemas.microsoft.com/office/drawing/2014/chart" uri="{C3380CC4-5D6E-409C-BE32-E72D297353CC}">
                      <c16:uniqueId val="{00000007-7BDE-40EB-A158-BEF521012476}"/>
                    </c:ext>
                  </c:extLst>
                </c:dPt>
                <c:cat>
                  <c:strRef>
                    <c:extLst xmlns:c15="http://schemas.microsoft.com/office/drawing/2012/chart">
                      <c:ext xmlns:c15="http://schemas.microsoft.com/office/drawing/2012/chart" uri="{02D57815-91ED-43cb-92C2-25804820EDAC}">
                        <c15:formulaRef>
                          <c15:sqref>'S0 EU Serbia'!$A$3:$A$31</c15:sqref>
                        </c15:formulaRef>
                      </c:ext>
                    </c:extLst>
                    <c:strCache>
                      <c:ptCount val="28"/>
                      <c:pt idx="0">
                        <c:v>Аустрија</c:v>
                      </c:pt>
                      <c:pt idx="1">
                        <c:v>Белгија</c:v>
                      </c:pt>
                      <c:pt idx="2">
                        <c:v>Бугарска</c:v>
                      </c:pt>
                      <c:pt idx="3">
                        <c:v>Чешка</c:v>
                      </c:pt>
                      <c:pt idx="4">
                        <c:v>Хрватска</c:v>
                      </c:pt>
                      <c:pt idx="5">
                        <c:v>Кипар</c:v>
                      </c:pt>
                      <c:pt idx="6">
                        <c:v>Данска</c:v>
                      </c:pt>
                      <c:pt idx="7">
                        <c:v>Естонија</c:v>
                      </c:pt>
                      <c:pt idx="8">
                        <c:v>Финска</c:v>
                      </c:pt>
                      <c:pt idx="9">
                        <c:v>Француска</c:v>
                      </c:pt>
                      <c:pt idx="10">
                        <c:v>Немачка</c:v>
                      </c:pt>
                      <c:pt idx="11">
                        <c:v>Мађарска</c:v>
                      </c:pt>
                      <c:pt idx="12">
                        <c:v>Ирска</c:v>
                      </c:pt>
                      <c:pt idx="13">
                        <c:v>Италија</c:v>
                      </c:pt>
                      <c:pt idx="14">
                        <c:v>Летонија</c:v>
                      </c:pt>
                      <c:pt idx="15">
                        <c:v>Литванија</c:v>
                      </c:pt>
                      <c:pt idx="16">
                        <c:v>Луксембург</c:v>
                      </c:pt>
                      <c:pt idx="17">
                        <c:v>Малта</c:v>
                      </c:pt>
                      <c:pt idx="18">
                        <c:v>Холандија</c:v>
                      </c:pt>
                      <c:pt idx="19">
                        <c:v>Пољска</c:v>
                      </c:pt>
                      <c:pt idx="20">
                        <c:v>Португал</c:v>
                      </c:pt>
                      <c:pt idx="21">
                        <c:v>Румунија</c:v>
                      </c:pt>
                      <c:pt idx="22">
                        <c:v>Србија</c:v>
                      </c:pt>
                      <c:pt idx="23">
                        <c:v>Словачка</c:v>
                      </c:pt>
                      <c:pt idx="24">
                        <c:v>Словенија</c:v>
                      </c:pt>
                      <c:pt idx="25">
                        <c:v>Шпанија</c:v>
                      </c:pt>
                      <c:pt idx="26">
                        <c:v>Шведска</c:v>
                      </c:pt>
                      <c:pt idx="27">
                        <c:v>Уједињено Краљевство</c:v>
                      </c:pt>
                    </c:strCache>
                  </c:strRef>
                </c:cat>
                <c:val>
                  <c:numRef>
                    <c:extLst xmlns:c15="http://schemas.microsoft.com/office/drawing/2012/chart">
                      <c:ext xmlns:c15="http://schemas.microsoft.com/office/drawing/2012/chart" uri="{02D57815-91ED-43cb-92C2-25804820EDAC}">
                        <c15:formulaRef>
                          <c15:sqref>'S0 EU Serbia'!$L$3:$L$31</c15:sqref>
                        </c15:formulaRef>
                      </c:ext>
                    </c:extLst>
                    <c:numCache>
                      <c:formatCode>0.00</c:formatCode>
                      <c:ptCount val="29"/>
                      <c:pt idx="0">
                        <c:v>0.15</c:v>
                      </c:pt>
                      <c:pt idx="1">
                        <c:v>0.42</c:v>
                      </c:pt>
                      <c:pt idx="2">
                        <c:v>0.28000000000000003</c:v>
                      </c:pt>
                      <c:pt idx="3">
                        <c:v>0.19</c:v>
                      </c:pt>
                      <c:pt idx="4">
                        <c:v>0.18</c:v>
                      </c:pt>
                      <c:pt idx="5">
                        <c:v>0.41</c:v>
                      </c:pt>
                      <c:pt idx="6">
                        <c:v>0.19</c:v>
                      </c:pt>
                      <c:pt idx="7">
                        <c:v>0.25</c:v>
                      </c:pt>
                      <c:pt idx="8">
                        <c:v>0.22</c:v>
                      </c:pt>
                      <c:pt idx="9">
                        <c:v>0.31</c:v>
                      </c:pt>
                      <c:pt idx="10">
                        <c:v>0.08</c:v>
                      </c:pt>
                      <c:pt idx="11">
                        <c:v>0.31</c:v>
                      </c:pt>
                      <c:pt idx="12">
                        <c:v>0.28000000000000003</c:v>
                      </c:pt>
                      <c:pt idx="13">
                        <c:v>0.42</c:v>
                      </c:pt>
                      <c:pt idx="14">
                        <c:v>0.28999999999999998</c:v>
                      </c:pt>
                      <c:pt idx="15">
                        <c:v>0.21</c:v>
                      </c:pt>
                      <c:pt idx="16">
                        <c:v>0.28999999999999998</c:v>
                      </c:pt>
                      <c:pt idx="17">
                        <c:v>0.15</c:v>
                      </c:pt>
                      <c:pt idx="18">
                        <c:v>0.2</c:v>
                      </c:pt>
                      <c:pt idx="19">
                        <c:v>0.28999999999999998</c:v>
                      </c:pt>
                      <c:pt idx="20">
                        <c:v>0.41</c:v>
                      </c:pt>
                      <c:pt idx="21">
                        <c:v>0.26</c:v>
                      </c:pt>
                      <c:pt idx="22">
                        <c:v>0.19161676646706588</c:v>
                      </c:pt>
                      <c:pt idx="23">
                        <c:v>0.34</c:v>
                      </c:pt>
                      <c:pt idx="24">
                        <c:v>0.14000000000000001</c:v>
                      </c:pt>
                      <c:pt idx="25">
                        <c:v>0.37</c:v>
                      </c:pt>
                      <c:pt idx="26">
                        <c:v>0.12</c:v>
                      </c:pt>
                      <c:pt idx="27">
                        <c:v>0.41</c:v>
                      </c:pt>
                    </c:numCache>
                  </c:numRef>
                </c:val>
                <c:extLst xmlns:c15="http://schemas.microsoft.com/office/drawing/2012/chart">
                  <c:ext xmlns:c16="http://schemas.microsoft.com/office/drawing/2014/chart" uri="{C3380CC4-5D6E-409C-BE32-E72D297353CC}">
                    <c16:uniqueId val="{00000008-7BDE-40EB-A158-BEF521012476}"/>
                  </c:ext>
                </c:extLst>
              </c15:ser>
            </c15:filteredBarSeries>
            <c15:filteredBarSeries>
              <c15:ser>
                <c:idx val="0"/>
                <c:order val="4"/>
                <c:tx>
                  <c:strRef>
                    <c:extLst xmlns:c15="http://schemas.microsoft.com/office/drawing/2012/chart">
                      <c:ext xmlns:c15="http://schemas.microsoft.com/office/drawing/2012/chart" uri="{02D57815-91ED-43cb-92C2-25804820EDAC}">
                        <c15:formulaRef>
                          <c15:sqref>'S0 EU Serbia'!$O$2</c15:sqref>
                        </c15:formulaRef>
                      </c:ext>
                    </c:extLst>
                    <c:strCache>
                      <c:ptCount val="1"/>
                      <c:pt idx="0">
                        <c:v>S0 2017</c:v>
                      </c:pt>
                    </c:strCache>
                  </c:strRef>
                </c:tx>
                <c:spPr>
                  <a:solidFill>
                    <a:schemeClr val="accent1"/>
                  </a:solidFill>
                  <a:ln>
                    <a:noFill/>
                  </a:ln>
                  <a:effectLst/>
                </c:spPr>
                <c:invertIfNegative val="0"/>
                <c:cat>
                  <c:strRef>
                    <c:extLst xmlns:c15="http://schemas.microsoft.com/office/drawing/2012/chart">
                      <c:ext xmlns:c15="http://schemas.microsoft.com/office/drawing/2012/chart" uri="{02D57815-91ED-43cb-92C2-25804820EDAC}">
                        <c15:formulaRef>
                          <c15:sqref>'S0 EU Serbia'!$A$3:$A$30</c15:sqref>
                        </c15:formulaRef>
                      </c:ext>
                    </c:extLst>
                    <c:strCache>
                      <c:ptCount val="28"/>
                      <c:pt idx="0">
                        <c:v>Аустрија</c:v>
                      </c:pt>
                      <c:pt idx="1">
                        <c:v>Белгија</c:v>
                      </c:pt>
                      <c:pt idx="2">
                        <c:v>Бугарска</c:v>
                      </c:pt>
                      <c:pt idx="3">
                        <c:v>Чешка</c:v>
                      </c:pt>
                      <c:pt idx="4">
                        <c:v>Хрватска</c:v>
                      </c:pt>
                      <c:pt idx="5">
                        <c:v>Кипар</c:v>
                      </c:pt>
                      <c:pt idx="6">
                        <c:v>Данска</c:v>
                      </c:pt>
                      <c:pt idx="7">
                        <c:v>Естонија</c:v>
                      </c:pt>
                      <c:pt idx="8">
                        <c:v>Финска</c:v>
                      </c:pt>
                      <c:pt idx="9">
                        <c:v>Француска</c:v>
                      </c:pt>
                      <c:pt idx="10">
                        <c:v>Немачка</c:v>
                      </c:pt>
                      <c:pt idx="11">
                        <c:v>Мађарска</c:v>
                      </c:pt>
                      <c:pt idx="12">
                        <c:v>Ирска</c:v>
                      </c:pt>
                      <c:pt idx="13">
                        <c:v>Италија</c:v>
                      </c:pt>
                      <c:pt idx="14">
                        <c:v>Летонија</c:v>
                      </c:pt>
                      <c:pt idx="15">
                        <c:v>Литванија</c:v>
                      </c:pt>
                      <c:pt idx="16">
                        <c:v>Луксембург</c:v>
                      </c:pt>
                      <c:pt idx="17">
                        <c:v>Малта</c:v>
                      </c:pt>
                      <c:pt idx="18">
                        <c:v>Холандија</c:v>
                      </c:pt>
                      <c:pt idx="19">
                        <c:v>Пољска</c:v>
                      </c:pt>
                      <c:pt idx="20">
                        <c:v>Португал</c:v>
                      </c:pt>
                      <c:pt idx="21">
                        <c:v>Румунија</c:v>
                      </c:pt>
                      <c:pt idx="22">
                        <c:v>Србија</c:v>
                      </c:pt>
                      <c:pt idx="23">
                        <c:v>Словачка</c:v>
                      </c:pt>
                      <c:pt idx="24">
                        <c:v>Словенија</c:v>
                      </c:pt>
                      <c:pt idx="25">
                        <c:v>Шпанија</c:v>
                      </c:pt>
                      <c:pt idx="26">
                        <c:v>Шведска</c:v>
                      </c:pt>
                      <c:pt idx="27">
                        <c:v>Уједињено Краљевство</c:v>
                      </c:pt>
                    </c:strCache>
                  </c:strRef>
                </c:cat>
                <c:val>
                  <c:numRef>
                    <c:extLst xmlns:c15="http://schemas.microsoft.com/office/drawing/2012/chart">
                      <c:ext xmlns:c15="http://schemas.microsoft.com/office/drawing/2012/chart" uri="{02D57815-91ED-43cb-92C2-25804820EDAC}">
                        <c15:formulaRef>
                          <c15:sqref>'S0 EU Serbia'!$O$3:$O$30</c15:sqref>
                        </c15:formulaRef>
                      </c:ext>
                    </c:extLst>
                    <c:numCache>
                      <c:formatCode>0.00</c:formatCode>
                      <c:ptCount val="28"/>
                      <c:pt idx="0">
                        <c:v>7.0000000000000007E-2</c:v>
                      </c:pt>
                      <c:pt idx="1">
                        <c:v>0.35</c:v>
                      </c:pt>
                      <c:pt idx="2">
                        <c:v>0.25</c:v>
                      </c:pt>
                      <c:pt idx="3">
                        <c:v>0.19</c:v>
                      </c:pt>
                      <c:pt idx="4">
                        <c:v>0.2</c:v>
                      </c:pt>
                      <c:pt idx="5">
                        <c:v>0.44</c:v>
                      </c:pt>
                      <c:pt idx="6">
                        <c:v>0.3</c:v>
                      </c:pt>
                      <c:pt idx="7">
                        <c:v>0.2</c:v>
                      </c:pt>
                      <c:pt idx="8">
                        <c:v>0.1</c:v>
                      </c:pt>
                      <c:pt idx="9">
                        <c:v>0.24</c:v>
                      </c:pt>
                      <c:pt idx="10">
                        <c:v>0.08</c:v>
                      </c:pt>
                      <c:pt idx="11">
                        <c:v>0.39</c:v>
                      </c:pt>
                      <c:pt idx="12">
                        <c:v>0.28000000000000003</c:v>
                      </c:pt>
                      <c:pt idx="13">
                        <c:v>0.36</c:v>
                      </c:pt>
                      <c:pt idx="14">
                        <c:v>0.24</c:v>
                      </c:pt>
                      <c:pt idx="15">
                        <c:v>0.21</c:v>
                      </c:pt>
                      <c:pt idx="16">
                        <c:v>0.12</c:v>
                      </c:pt>
                      <c:pt idx="17">
                        <c:v>0.05</c:v>
                      </c:pt>
                      <c:pt idx="18">
                        <c:v>0.2</c:v>
                      </c:pt>
                      <c:pt idx="19">
                        <c:v>0.25</c:v>
                      </c:pt>
                      <c:pt idx="20">
                        <c:v>0.36</c:v>
                      </c:pt>
                      <c:pt idx="21">
                        <c:v>0.2</c:v>
                      </c:pt>
                      <c:pt idx="22">
                        <c:v>0.17745302713987476</c:v>
                      </c:pt>
                      <c:pt idx="23">
                        <c:v>0.3</c:v>
                      </c:pt>
                      <c:pt idx="24">
                        <c:v>0.13</c:v>
                      </c:pt>
                      <c:pt idx="25">
                        <c:v>0.37</c:v>
                      </c:pt>
                      <c:pt idx="26">
                        <c:v>0.12</c:v>
                      </c:pt>
                      <c:pt idx="27">
                        <c:v>0.42</c:v>
                      </c:pt>
                    </c:numCache>
                  </c:numRef>
                </c:val>
                <c:extLst xmlns:c15="http://schemas.microsoft.com/office/drawing/2012/chart">
                  <c:ext xmlns:c16="http://schemas.microsoft.com/office/drawing/2014/chart" uri="{C3380CC4-5D6E-409C-BE32-E72D297353CC}">
                    <c16:uniqueId val="{00000009-7BDE-40EB-A158-BEF521012476}"/>
                  </c:ext>
                </c:extLst>
              </c15:ser>
            </c15:filteredBarSeries>
            <c15:filteredBarSeries>
              <c15:ser>
                <c:idx val="1"/>
                <c:order val="5"/>
                <c:tx>
                  <c:strRef>
                    <c:extLst xmlns:c15="http://schemas.microsoft.com/office/drawing/2012/chart">
                      <c:ext xmlns:c15="http://schemas.microsoft.com/office/drawing/2012/chart" uri="{02D57815-91ED-43cb-92C2-25804820EDAC}">
                        <c15:formulaRef>
                          <c15:sqref>'S0 EU Serbia'!$R$2</c15:sqref>
                        </c15:formulaRef>
                      </c:ext>
                    </c:extLst>
                    <c:strCache>
                      <c:ptCount val="1"/>
                      <c:pt idx="0">
                        <c:v>S0 2018</c:v>
                      </c:pt>
                    </c:strCache>
                  </c:strRef>
                </c:tx>
                <c:spPr>
                  <a:solidFill>
                    <a:srgbClr val="7030A0"/>
                  </a:solidFill>
                  <a:ln>
                    <a:noFill/>
                  </a:ln>
                  <a:effectLst/>
                </c:spPr>
                <c:invertIfNegative val="0"/>
                <c:cat>
                  <c:strRef>
                    <c:extLst xmlns:c15="http://schemas.microsoft.com/office/drawing/2012/chart">
                      <c:ext xmlns:c15="http://schemas.microsoft.com/office/drawing/2012/chart" uri="{02D57815-91ED-43cb-92C2-25804820EDAC}">
                        <c15:formulaRef>
                          <c15:sqref>'S0 EU Serbia'!$A$3:$A$30</c15:sqref>
                        </c15:formulaRef>
                      </c:ext>
                    </c:extLst>
                    <c:strCache>
                      <c:ptCount val="28"/>
                      <c:pt idx="0">
                        <c:v>Аустрија</c:v>
                      </c:pt>
                      <c:pt idx="1">
                        <c:v>Белгија</c:v>
                      </c:pt>
                      <c:pt idx="2">
                        <c:v>Бугарска</c:v>
                      </c:pt>
                      <c:pt idx="3">
                        <c:v>Чешка</c:v>
                      </c:pt>
                      <c:pt idx="4">
                        <c:v>Хрватска</c:v>
                      </c:pt>
                      <c:pt idx="5">
                        <c:v>Кипар</c:v>
                      </c:pt>
                      <c:pt idx="6">
                        <c:v>Данска</c:v>
                      </c:pt>
                      <c:pt idx="7">
                        <c:v>Естонија</c:v>
                      </c:pt>
                      <c:pt idx="8">
                        <c:v>Финска</c:v>
                      </c:pt>
                      <c:pt idx="9">
                        <c:v>Француска</c:v>
                      </c:pt>
                      <c:pt idx="10">
                        <c:v>Немачка</c:v>
                      </c:pt>
                      <c:pt idx="11">
                        <c:v>Мађарска</c:v>
                      </c:pt>
                      <c:pt idx="12">
                        <c:v>Ирска</c:v>
                      </c:pt>
                      <c:pt idx="13">
                        <c:v>Италија</c:v>
                      </c:pt>
                      <c:pt idx="14">
                        <c:v>Летонија</c:v>
                      </c:pt>
                      <c:pt idx="15">
                        <c:v>Литванија</c:v>
                      </c:pt>
                      <c:pt idx="16">
                        <c:v>Луксембург</c:v>
                      </c:pt>
                      <c:pt idx="17">
                        <c:v>Малта</c:v>
                      </c:pt>
                      <c:pt idx="18">
                        <c:v>Холандија</c:v>
                      </c:pt>
                      <c:pt idx="19">
                        <c:v>Пољска</c:v>
                      </c:pt>
                      <c:pt idx="20">
                        <c:v>Португал</c:v>
                      </c:pt>
                      <c:pt idx="21">
                        <c:v>Румунија</c:v>
                      </c:pt>
                      <c:pt idx="22">
                        <c:v>Србија</c:v>
                      </c:pt>
                      <c:pt idx="23">
                        <c:v>Словачка</c:v>
                      </c:pt>
                      <c:pt idx="24">
                        <c:v>Словенија</c:v>
                      </c:pt>
                      <c:pt idx="25">
                        <c:v>Шпанија</c:v>
                      </c:pt>
                      <c:pt idx="26">
                        <c:v>Шведска</c:v>
                      </c:pt>
                      <c:pt idx="27">
                        <c:v>Уједињено Краљевство</c:v>
                      </c:pt>
                    </c:strCache>
                  </c:strRef>
                </c:cat>
                <c:val>
                  <c:numRef>
                    <c:extLst xmlns:c15="http://schemas.microsoft.com/office/drawing/2012/chart">
                      <c:ext xmlns:c15="http://schemas.microsoft.com/office/drawing/2012/chart" uri="{02D57815-91ED-43cb-92C2-25804820EDAC}">
                        <c15:formulaRef>
                          <c15:sqref>'S0 EU Serbia'!$R$3:$R$30</c15:sqref>
                        </c15:formulaRef>
                      </c:ext>
                    </c:extLst>
                    <c:numCache>
                      <c:formatCode>0.00</c:formatCode>
                      <c:ptCount val="28"/>
                      <c:pt idx="0">
                        <c:v>0.03</c:v>
                      </c:pt>
                      <c:pt idx="1">
                        <c:v>0.22</c:v>
                      </c:pt>
                      <c:pt idx="2">
                        <c:v>0.19</c:v>
                      </c:pt>
                      <c:pt idx="3">
                        <c:v>0.18</c:v>
                      </c:pt>
                      <c:pt idx="4">
                        <c:v>0.24</c:v>
                      </c:pt>
                      <c:pt idx="5">
                        <c:v>0.46</c:v>
                      </c:pt>
                      <c:pt idx="6">
                        <c:v>0.12</c:v>
                      </c:pt>
                      <c:pt idx="7">
                        <c:v>0.17</c:v>
                      </c:pt>
                      <c:pt idx="8">
                        <c:v>0.14000000000000001</c:v>
                      </c:pt>
                      <c:pt idx="9">
                        <c:v>0.28999999999999998</c:v>
                      </c:pt>
                      <c:pt idx="10">
                        <c:v>0</c:v>
                      </c:pt>
                      <c:pt idx="11">
                        <c:v>0.34</c:v>
                      </c:pt>
                      <c:pt idx="12">
                        <c:v>0.21</c:v>
                      </c:pt>
                      <c:pt idx="13">
                        <c:v>0.36</c:v>
                      </c:pt>
                      <c:pt idx="14">
                        <c:v>0.24</c:v>
                      </c:pt>
                      <c:pt idx="15">
                        <c:v>0.21</c:v>
                      </c:pt>
                      <c:pt idx="16">
                        <c:v>0.12</c:v>
                      </c:pt>
                      <c:pt idx="17">
                        <c:v>0.06</c:v>
                      </c:pt>
                      <c:pt idx="18">
                        <c:v>0.08</c:v>
                      </c:pt>
                      <c:pt idx="19">
                        <c:v>0.18</c:v>
                      </c:pt>
                      <c:pt idx="20">
                        <c:v>0.33</c:v>
                      </c:pt>
                      <c:pt idx="21">
                        <c:v>0.3</c:v>
                      </c:pt>
                      <c:pt idx="22">
                        <c:v>0.17745302713987476</c:v>
                      </c:pt>
                      <c:pt idx="23">
                        <c:v>0.27</c:v>
                      </c:pt>
                      <c:pt idx="24">
                        <c:v>0.13</c:v>
                      </c:pt>
                      <c:pt idx="25">
                        <c:v>0.37</c:v>
                      </c:pt>
                      <c:pt idx="26">
                        <c:v>0.2</c:v>
                      </c:pt>
                      <c:pt idx="27">
                        <c:v>0.42</c:v>
                      </c:pt>
                    </c:numCache>
                  </c:numRef>
                </c:val>
                <c:extLst xmlns:c15="http://schemas.microsoft.com/office/drawing/2012/chart">
                  <c:ext xmlns:c16="http://schemas.microsoft.com/office/drawing/2014/chart" uri="{C3380CC4-5D6E-409C-BE32-E72D297353CC}">
                    <c16:uniqueId val="{0000000A-7BDE-40EB-A158-BEF521012476}"/>
                  </c:ext>
                </c:extLst>
              </c15:ser>
            </c15:filteredBarSeries>
            <c15:filteredBarSeries>
              <c15:ser>
                <c:idx val="4"/>
                <c:order val="6"/>
                <c:tx>
                  <c:strRef>
                    <c:extLst xmlns:c15="http://schemas.microsoft.com/office/drawing/2012/chart">
                      <c:ext xmlns:c15="http://schemas.microsoft.com/office/drawing/2012/chart" uri="{02D57815-91ED-43cb-92C2-25804820EDAC}">
                        <c15:formulaRef>
                          <c15:sqref>'S0 EU Serbia'!$U$2</c15:sqref>
                        </c15:formulaRef>
                      </c:ext>
                    </c:extLst>
                    <c:strCache>
                      <c:ptCount val="1"/>
                      <c:pt idx="0">
                        <c:v>S0 2019</c:v>
                      </c:pt>
                    </c:strCache>
                  </c:strRef>
                </c:tx>
                <c:spPr>
                  <a:solidFill>
                    <a:schemeClr val="accent5"/>
                  </a:solidFill>
                  <a:ln>
                    <a:noFill/>
                  </a:ln>
                  <a:effectLst/>
                </c:spPr>
                <c:invertIfNegative val="0"/>
                <c:val>
                  <c:numRef>
                    <c:extLst xmlns:c15="http://schemas.microsoft.com/office/drawing/2012/chart">
                      <c:ext xmlns:c15="http://schemas.microsoft.com/office/drawing/2012/chart" uri="{02D57815-91ED-43cb-92C2-25804820EDAC}">
                        <c15:formulaRef>
                          <c15:sqref>'S0 EU Serbia'!$U$3:$U$29</c15:sqref>
                        </c15:formulaRef>
                      </c:ext>
                    </c:extLst>
                    <c:numCache>
                      <c:formatCode>0.00</c:formatCode>
                      <c:ptCount val="27"/>
                      <c:pt idx="0">
                        <c:v>0.1</c:v>
                      </c:pt>
                      <c:pt idx="1">
                        <c:v>0.17</c:v>
                      </c:pt>
                      <c:pt idx="2">
                        <c:v>0.21</c:v>
                      </c:pt>
                      <c:pt idx="3">
                        <c:v>0.22</c:v>
                      </c:pt>
                      <c:pt idx="4">
                        <c:v>0.24</c:v>
                      </c:pt>
                      <c:pt idx="5">
                        <c:v>0.45</c:v>
                      </c:pt>
                      <c:pt idx="6">
                        <c:v>0.2</c:v>
                      </c:pt>
                      <c:pt idx="7">
                        <c:v>0.2</c:v>
                      </c:pt>
                      <c:pt idx="8">
                        <c:v>0.26</c:v>
                      </c:pt>
                      <c:pt idx="9">
                        <c:v>0.36</c:v>
                      </c:pt>
                      <c:pt idx="10">
                        <c:v>0.08</c:v>
                      </c:pt>
                      <c:pt idx="11">
                        <c:v>0.28999999999999998</c:v>
                      </c:pt>
                      <c:pt idx="12">
                        <c:v>0.14000000000000001</c:v>
                      </c:pt>
                      <c:pt idx="13">
                        <c:v>0.33</c:v>
                      </c:pt>
                      <c:pt idx="14">
                        <c:v>0.24</c:v>
                      </c:pt>
                      <c:pt idx="15">
                        <c:v>0.21</c:v>
                      </c:pt>
                      <c:pt idx="16">
                        <c:v>0.19</c:v>
                      </c:pt>
                      <c:pt idx="17">
                        <c:v>0.06</c:v>
                      </c:pt>
                      <c:pt idx="18">
                        <c:v>0.16</c:v>
                      </c:pt>
                      <c:pt idx="19">
                        <c:v>0.26</c:v>
                      </c:pt>
                      <c:pt idx="20">
                        <c:v>0.33</c:v>
                      </c:pt>
                      <c:pt idx="21">
                        <c:v>0.37</c:v>
                      </c:pt>
                      <c:pt idx="22">
                        <c:v>0.17745302713987476</c:v>
                      </c:pt>
                      <c:pt idx="23">
                        <c:v>0.27</c:v>
                      </c:pt>
                      <c:pt idx="24">
                        <c:v>0.05</c:v>
                      </c:pt>
                      <c:pt idx="25">
                        <c:v>0.37</c:v>
                      </c:pt>
                      <c:pt idx="26">
                        <c:v>0.24</c:v>
                      </c:pt>
                    </c:numCache>
                  </c:numRef>
                </c:val>
                <c:extLst xmlns:c15="http://schemas.microsoft.com/office/drawing/2012/chart">
                  <c:ext xmlns:c16="http://schemas.microsoft.com/office/drawing/2014/chart" uri="{C3380CC4-5D6E-409C-BE32-E72D297353CC}">
                    <c16:uniqueId val="{0000000B-7BDE-40EB-A158-BEF521012476}"/>
                  </c:ext>
                </c:extLst>
              </c15:ser>
            </c15:filteredBarSeries>
          </c:ext>
        </c:extLst>
      </c:barChart>
      <c:lineChart>
        <c:grouping val="standard"/>
        <c:varyColors val="0"/>
        <c:ser>
          <c:idx val="2"/>
          <c:order val="0"/>
          <c:tx>
            <c:strRef>
              <c:f>'S0 EU Serbia'!$E$1</c:f>
              <c:strCache>
                <c:ptCount val="1"/>
                <c:pt idx="0">
                  <c:v>S0 праг</c:v>
                </c:pt>
              </c:strCache>
            </c:strRef>
          </c:tx>
          <c:spPr>
            <a:ln w="22225" cap="rnd">
              <a:solidFill>
                <a:schemeClr val="tx1"/>
              </a:solidFill>
              <a:prstDash val="dash"/>
              <a:round/>
            </a:ln>
            <a:effectLst/>
          </c:spPr>
          <c:marker>
            <c:symbol val="none"/>
          </c:marker>
          <c:dLbls>
            <c:dLbl>
              <c:idx val="15"/>
              <c:layout>
                <c:manualLayout>
                  <c:x val="-2.5343339842620423E-3"/>
                  <c:y val="-9.65645311049210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BDE-40EB-A158-BEF52101247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002060"/>
                    </a:solidFill>
                    <a:latin typeface="Times New Roman" panose="02020603050405020304" pitchFamily="18" charset="0"/>
                    <a:ea typeface="+mn-ea"/>
                    <a:cs typeface="Times New Roman" panose="02020603050405020304" pitchFamily="18" charset="0"/>
                  </a:defRPr>
                </a:pPr>
                <a:endParaRPr lang="en-US"/>
              </a:p>
            </c:txPr>
            <c:showLegendKey val="0"/>
            <c:showVal val="0"/>
            <c:showCatName val="0"/>
            <c:showSerName val="0"/>
            <c:showPercent val="0"/>
            <c:showBubbleSize val="0"/>
            <c:extLst>
              <c:ext xmlns:c15="http://schemas.microsoft.com/office/drawing/2012/chart" uri="{CE6537A1-D6FC-4f65-9D91-7224C49458BB}">
                <c15:showLeaderLines val="0"/>
              </c:ext>
            </c:extLst>
          </c:dLbls>
          <c:cat>
            <c:strRef>
              <c:f>'S0 EU Serbia'!$A$3:$A$29</c:f>
              <c:strCache>
                <c:ptCount val="27"/>
                <c:pt idx="0">
                  <c:v>Аустрија</c:v>
                </c:pt>
                <c:pt idx="1">
                  <c:v>Белгија</c:v>
                </c:pt>
                <c:pt idx="2">
                  <c:v>Бугарска</c:v>
                </c:pt>
                <c:pt idx="3">
                  <c:v>Чешка</c:v>
                </c:pt>
                <c:pt idx="4">
                  <c:v>Хрватска</c:v>
                </c:pt>
                <c:pt idx="5">
                  <c:v>Кипар</c:v>
                </c:pt>
                <c:pt idx="6">
                  <c:v>Данска</c:v>
                </c:pt>
                <c:pt idx="7">
                  <c:v>Естонија</c:v>
                </c:pt>
                <c:pt idx="8">
                  <c:v>Финска</c:v>
                </c:pt>
                <c:pt idx="9">
                  <c:v>Француска</c:v>
                </c:pt>
                <c:pt idx="10">
                  <c:v>Немачка</c:v>
                </c:pt>
                <c:pt idx="11">
                  <c:v>Мађарска</c:v>
                </c:pt>
                <c:pt idx="12">
                  <c:v>Ирска</c:v>
                </c:pt>
                <c:pt idx="13">
                  <c:v>Италија</c:v>
                </c:pt>
                <c:pt idx="14">
                  <c:v>Летонија</c:v>
                </c:pt>
                <c:pt idx="15">
                  <c:v>Литванија</c:v>
                </c:pt>
                <c:pt idx="16">
                  <c:v>Луксембург</c:v>
                </c:pt>
                <c:pt idx="17">
                  <c:v>Малта</c:v>
                </c:pt>
                <c:pt idx="18">
                  <c:v>Холандија</c:v>
                </c:pt>
                <c:pt idx="19">
                  <c:v>Пољска</c:v>
                </c:pt>
                <c:pt idx="20">
                  <c:v>Португал</c:v>
                </c:pt>
                <c:pt idx="21">
                  <c:v>Румунија</c:v>
                </c:pt>
                <c:pt idx="22">
                  <c:v>Србија</c:v>
                </c:pt>
                <c:pt idx="23">
                  <c:v>Словачка</c:v>
                </c:pt>
                <c:pt idx="24">
                  <c:v>Словенија</c:v>
                </c:pt>
                <c:pt idx="25">
                  <c:v>Шпанија</c:v>
                </c:pt>
                <c:pt idx="26">
                  <c:v>Шведска</c:v>
                </c:pt>
              </c:strCache>
            </c:strRef>
          </c:cat>
          <c:val>
            <c:numRef>
              <c:f>'S0 EU Serbia'!$E$3:$E$29</c:f>
              <c:numCache>
                <c:formatCode>0.00</c:formatCode>
                <c:ptCount val="27"/>
                <c:pt idx="0">
                  <c:v>0.46</c:v>
                </c:pt>
                <c:pt idx="1">
                  <c:v>0.46</c:v>
                </c:pt>
                <c:pt idx="2">
                  <c:v>0.46</c:v>
                </c:pt>
                <c:pt idx="3">
                  <c:v>0.46</c:v>
                </c:pt>
                <c:pt idx="4">
                  <c:v>0.46</c:v>
                </c:pt>
                <c:pt idx="5">
                  <c:v>0.46</c:v>
                </c:pt>
                <c:pt idx="6">
                  <c:v>0.46</c:v>
                </c:pt>
                <c:pt idx="7">
                  <c:v>0.46</c:v>
                </c:pt>
                <c:pt idx="8">
                  <c:v>0.46</c:v>
                </c:pt>
                <c:pt idx="9">
                  <c:v>0.46</c:v>
                </c:pt>
                <c:pt idx="10">
                  <c:v>0.46</c:v>
                </c:pt>
                <c:pt idx="11">
                  <c:v>0.46</c:v>
                </c:pt>
                <c:pt idx="12">
                  <c:v>0.46</c:v>
                </c:pt>
                <c:pt idx="13">
                  <c:v>0.46</c:v>
                </c:pt>
                <c:pt idx="14">
                  <c:v>0.46</c:v>
                </c:pt>
                <c:pt idx="15">
                  <c:v>0.46</c:v>
                </c:pt>
                <c:pt idx="16">
                  <c:v>0.46</c:v>
                </c:pt>
                <c:pt idx="17">
                  <c:v>0.46</c:v>
                </c:pt>
                <c:pt idx="18">
                  <c:v>0.46</c:v>
                </c:pt>
                <c:pt idx="19">
                  <c:v>0.46</c:v>
                </c:pt>
                <c:pt idx="20">
                  <c:v>0.46</c:v>
                </c:pt>
                <c:pt idx="21">
                  <c:v>0.46</c:v>
                </c:pt>
                <c:pt idx="22">
                  <c:v>0.46</c:v>
                </c:pt>
                <c:pt idx="23">
                  <c:v>0.46</c:v>
                </c:pt>
                <c:pt idx="24">
                  <c:v>0.46</c:v>
                </c:pt>
                <c:pt idx="25">
                  <c:v>0.46</c:v>
                </c:pt>
                <c:pt idx="26">
                  <c:v>0.46</c:v>
                </c:pt>
              </c:numCache>
            </c:numRef>
          </c:val>
          <c:smooth val="0"/>
          <c:extLst>
            <c:ext xmlns:c16="http://schemas.microsoft.com/office/drawing/2014/chart" uri="{C3380CC4-5D6E-409C-BE32-E72D297353CC}">
              <c16:uniqueId val="{00000004-7BDE-40EB-A158-BEF521012476}"/>
            </c:ext>
          </c:extLst>
        </c:ser>
        <c:dLbls>
          <c:showLegendKey val="0"/>
          <c:showVal val="0"/>
          <c:showCatName val="0"/>
          <c:showSerName val="0"/>
          <c:showPercent val="0"/>
          <c:showBubbleSize val="0"/>
        </c:dLbls>
        <c:marker val="1"/>
        <c:smooth val="0"/>
        <c:axId val="42920592"/>
        <c:axId val="42921136"/>
      </c:lineChart>
      <c:catAx>
        <c:axId val="429205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42921136"/>
        <c:crosses val="autoZero"/>
        <c:auto val="1"/>
        <c:lblAlgn val="ctr"/>
        <c:lblOffset val="100"/>
        <c:noMultiLvlLbl val="0"/>
      </c:catAx>
      <c:valAx>
        <c:axId val="42921136"/>
        <c:scaling>
          <c:orientation val="minMax"/>
          <c:max val="0.9"/>
        </c:scaling>
        <c:delete val="0"/>
        <c:axPos val="l"/>
        <c:majorGridlines>
          <c:spPr>
            <a:ln w="9525" cap="flat" cmpd="sng" algn="ctr">
              <a:solidFill>
                <a:schemeClr val="tx1">
                  <a:lumMod val="15000"/>
                  <a:lumOff val="85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42920592"/>
        <c:crosses val="autoZero"/>
        <c:crossBetween val="between"/>
      </c:valAx>
      <c:spPr>
        <a:noFill/>
        <a:ln>
          <a:noFill/>
        </a:ln>
        <a:effectLst/>
      </c:spPr>
    </c:plotArea>
    <c:legend>
      <c:legendPos val="b"/>
      <c:layout>
        <c:manualLayout>
          <c:xMode val="edge"/>
          <c:yMode val="edge"/>
          <c:x val="0.25846853621471477"/>
          <c:y val="0.86684220028052061"/>
          <c:w val="0.47863111117314633"/>
          <c:h val="0.1190484522767987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4">
    <c:autoUpdate val="0"/>
  </c:externalData>
  <c:userShapes r:id="rId5"/>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890787490080038"/>
          <c:y val="8.2473495136371477E-2"/>
          <c:w val="0.8350736412725478"/>
          <c:h val="0.81333285058353966"/>
        </c:manualLayout>
      </c:layout>
      <c:scatterChart>
        <c:scatterStyle val="lineMarker"/>
        <c:varyColors val="0"/>
        <c:ser>
          <c:idx val="0"/>
          <c:order val="0"/>
          <c:spPr>
            <a:ln w="28575" cap="rnd">
              <a:noFill/>
              <a:round/>
            </a:ln>
            <a:effectLst/>
          </c:spPr>
          <c:marker>
            <c:symbol val="circle"/>
            <c:size val="5"/>
            <c:spPr>
              <a:solidFill>
                <a:srgbClr val="5297AC"/>
              </a:solidFill>
              <a:ln w="9525">
                <a:noFill/>
              </a:ln>
              <a:effectLst/>
            </c:spPr>
          </c:marker>
          <c:dLbls>
            <c:dLbl>
              <c:idx val="0"/>
              <c:layout>
                <c:manualLayout>
                  <c:x val="1.2766232659233342E-2"/>
                  <c:y val="-9.0121351820277307E-3"/>
                </c:manualLayout>
              </c:layout>
              <c:tx>
                <c:rich>
                  <a:bodyPr/>
                  <a:lstStyle/>
                  <a:p>
                    <a:fld id="{D99E9C06-5FCD-47B7-922D-CD2E057433BE}"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0-3C32-4AC2-9607-FF4C69F44E92}"/>
                </c:ext>
              </c:extLst>
            </c:dLbl>
            <c:dLbl>
              <c:idx val="1"/>
              <c:layout>
                <c:manualLayout>
                  <c:x val="3.5938791092701024E-3"/>
                  <c:y val="4.5376100206726819E-2"/>
                </c:manualLayout>
              </c:layout>
              <c:tx>
                <c:rich>
                  <a:bodyPr/>
                  <a:lstStyle/>
                  <a:p>
                    <a:fld id="{DC2904EC-5891-4873-A3EB-23CDEF82E24C}"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1-3C32-4AC2-9607-FF4C69F44E92}"/>
                </c:ext>
              </c:extLst>
            </c:dLbl>
            <c:dLbl>
              <c:idx val="2"/>
              <c:layout>
                <c:manualLayout>
                  <c:x val="1.0809429674157153E-2"/>
                  <c:y val="9.6898709679296511E-3"/>
                </c:manualLayout>
              </c:layout>
              <c:tx>
                <c:rich>
                  <a:bodyPr/>
                  <a:lstStyle/>
                  <a:p>
                    <a:fld id="{718233B1-B18C-4D40-AA5B-F597EFB6183B}"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2-3C32-4AC2-9607-FF4C69F44E92}"/>
                </c:ext>
              </c:extLst>
            </c:dLbl>
            <c:dLbl>
              <c:idx val="3"/>
              <c:layout>
                <c:manualLayout>
                  <c:x val="-0.15416750476283922"/>
                  <c:y val="-2.1399950905417457E-2"/>
                </c:manualLayout>
              </c:layout>
              <c:tx>
                <c:rich>
                  <a:bodyPr/>
                  <a:lstStyle/>
                  <a:p>
                    <a:fld id="{45462E6F-1722-4C78-83D4-20D7B2B7F32E}"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3-3C32-4AC2-9607-FF4C69F44E92}"/>
                </c:ext>
              </c:extLst>
            </c:dLbl>
            <c:dLbl>
              <c:idx val="4"/>
              <c:layout>
                <c:manualLayout>
                  <c:x val="-6.3559149523694417E-2"/>
                  <c:y val="-3.5713111797924649E-2"/>
                </c:manualLayout>
              </c:layout>
              <c:tx>
                <c:rich>
                  <a:bodyPr/>
                  <a:lstStyle/>
                  <a:p>
                    <a:fld id="{738D976A-1A37-41BF-ABF4-9E757622642D}"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4-3C32-4AC2-9607-FF4C69F44E92}"/>
                </c:ext>
              </c:extLst>
            </c:dLbl>
            <c:dLbl>
              <c:idx val="5"/>
              <c:layout>
                <c:manualLayout>
                  <c:x val="-2.9519651923789324E-2"/>
                  <c:y val="3.867390768193911E-2"/>
                </c:manualLayout>
              </c:layout>
              <c:tx>
                <c:rich>
                  <a:bodyPr/>
                  <a:lstStyle/>
                  <a:p>
                    <a:fld id="{2973E3AC-868A-4AA6-9D18-6C7FAC22418E}"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5-3C32-4AC2-9607-FF4C69F44E92}"/>
                </c:ext>
              </c:extLst>
            </c:dLbl>
            <c:dLbl>
              <c:idx val="6"/>
              <c:layout>
                <c:manualLayout>
                  <c:x val="-1.7480805553511419E-2"/>
                  <c:y val="6.9609572184771873E-2"/>
                </c:manualLayout>
              </c:layout>
              <c:tx>
                <c:rich>
                  <a:bodyPr/>
                  <a:lstStyle/>
                  <a:p>
                    <a:fld id="{C51C3835-9153-4583-ABE5-AD23A6A025BA}"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6-3C32-4AC2-9607-FF4C69F44E92}"/>
                </c:ext>
              </c:extLst>
            </c:dLbl>
            <c:dLbl>
              <c:idx val="7"/>
              <c:layout>
                <c:manualLayout>
                  <c:x val="3.5179432468333841E-2"/>
                  <c:y val="-8.7698347640588308E-3"/>
                </c:manualLayout>
              </c:layout>
              <c:tx>
                <c:rich>
                  <a:bodyPr/>
                  <a:lstStyle/>
                  <a:p>
                    <a:fld id="{13F18910-CA28-4994-9B7D-630CD9310D11}"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7-3C32-4AC2-9607-FF4C69F44E92}"/>
                </c:ext>
              </c:extLst>
            </c:dLbl>
            <c:dLbl>
              <c:idx val="8"/>
              <c:layout>
                <c:manualLayout>
                  <c:x val="-0.11342646626441595"/>
                  <c:y val="4.0277104156562347E-2"/>
                </c:manualLayout>
              </c:layout>
              <c:tx>
                <c:rich>
                  <a:bodyPr/>
                  <a:lstStyle/>
                  <a:p>
                    <a:fld id="{63D8AF9E-4080-408A-987D-CB4B51EC2604}"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8-3C32-4AC2-9607-FF4C69F44E92}"/>
                </c:ext>
              </c:extLst>
            </c:dLbl>
            <c:dLbl>
              <c:idx val="9"/>
              <c:layout>
                <c:manualLayout>
                  <c:x val="1.995639888890369E-2"/>
                  <c:y val="1.2672324895787668E-2"/>
                </c:manualLayout>
              </c:layout>
              <c:tx>
                <c:rich>
                  <a:bodyPr/>
                  <a:lstStyle/>
                  <a:p>
                    <a:fld id="{5ECA2191-E7F2-4740-98F7-1F808E26F78B}"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3C32-4AC2-9607-FF4C69F44E92}"/>
                </c:ext>
              </c:extLst>
            </c:dLbl>
            <c:dLbl>
              <c:idx val="10"/>
              <c:layout>
                <c:manualLayout>
                  <c:x val="-0.10942138227476156"/>
                  <c:y val="1.0535158027370411E-2"/>
                </c:manualLayout>
              </c:layout>
              <c:tx>
                <c:rich>
                  <a:bodyPr/>
                  <a:lstStyle/>
                  <a:p>
                    <a:fld id="{B1B929D8-F7C1-4AF8-B7DB-424E3182C704}"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A-3C32-4AC2-9607-FF4C69F44E92}"/>
                </c:ext>
              </c:extLst>
            </c:dLbl>
            <c:dLbl>
              <c:idx val="11"/>
              <c:layout>
                <c:manualLayout>
                  <c:x val="-8.8402138604946282E-3"/>
                  <c:y val="-3.7069806047090703E-2"/>
                </c:manualLayout>
              </c:layout>
              <c:tx>
                <c:rich>
                  <a:bodyPr/>
                  <a:lstStyle/>
                  <a:p>
                    <a:fld id="{02CDD76A-E92E-435F-868F-425F6EF7B8F7}"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B-3C32-4AC2-9607-FF4C69F44E92}"/>
                </c:ext>
              </c:extLst>
            </c:dLbl>
            <c:dLbl>
              <c:idx val="12"/>
              <c:layout>
                <c:manualLayout>
                  <c:x val="9.7471942430993538E-3"/>
                  <c:y val="-1.0329550293986685E-3"/>
                </c:manualLayout>
              </c:layout>
              <c:tx>
                <c:rich>
                  <a:bodyPr/>
                  <a:lstStyle/>
                  <a:p>
                    <a:fld id="{9AC0E0A0-66FB-4855-9358-611F4C4DFFE2}"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C-3C32-4AC2-9607-FF4C69F44E92}"/>
                </c:ext>
              </c:extLst>
            </c:dLbl>
            <c:dLbl>
              <c:idx val="13"/>
              <c:layout>
                <c:manualLayout>
                  <c:x val="-7.04720321174814E-3"/>
                  <c:y val="-1.4294580083964325E-2"/>
                </c:manualLayout>
              </c:layout>
              <c:tx>
                <c:rich>
                  <a:bodyPr/>
                  <a:lstStyle/>
                  <a:p>
                    <a:fld id="{70C5E868-AC73-437C-A2EE-EFA4C83E4953}"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D-3C32-4AC2-9607-FF4C69F44E92}"/>
                </c:ext>
              </c:extLst>
            </c:dLbl>
            <c:dLbl>
              <c:idx val="14"/>
              <c:layout>
                <c:manualLayout>
                  <c:x val="-0.17795275590551185"/>
                  <c:y val="3.1388558444582916E-2"/>
                </c:manualLayout>
              </c:layout>
              <c:tx>
                <c:rich>
                  <a:bodyPr/>
                  <a:lstStyle/>
                  <a:p>
                    <a:fld id="{76C97347-45BF-4BAA-9CEB-057DBB17909C}"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E-3C32-4AC2-9607-FF4C69F44E92}"/>
                </c:ext>
              </c:extLst>
            </c:dLbl>
            <c:dLbl>
              <c:idx val="15"/>
              <c:layout>
                <c:manualLayout>
                  <c:x val="-3.6899564904737331E-3"/>
                  <c:y val="3.0265078709069866E-2"/>
                </c:manualLayout>
              </c:layout>
              <c:tx>
                <c:rich>
                  <a:bodyPr/>
                  <a:lstStyle/>
                  <a:p>
                    <a:fld id="{89020D3D-9E21-4E3E-B323-10F626E057D1}"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F-3C32-4AC2-9607-FF4C69F44E92}"/>
                </c:ext>
              </c:extLst>
            </c:dLbl>
            <c:dLbl>
              <c:idx val="16"/>
              <c:layout>
                <c:manualLayout>
                  <c:x val="-1.2441108412850187E-2"/>
                  <c:y val="3.7300301491090593E-2"/>
                </c:manualLayout>
              </c:layout>
              <c:tx>
                <c:rich>
                  <a:bodyPr/>
                  <a:lstStyle/>
                  <a:p>
                    <a:fld id="{420F8957-D5AA-452A-914B-C62675173DD0}"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0-3C32-4AC2-9607-FF4C69F44E92}"/>
                </c:ext>
              </c:extLst>
            </c:dLbl>
            <c:dLbl>
              <c:idx val="17"/>
              <c:layout>
                <c:manualLayout>
                  <c:x val="3.011931079592969E-2"/>
                  <c:y val="3.2688180164529797E-2"/>
                </c:manualLayout>
              </c:layout>
              <c:tx>
                <c:rich>
                  <a:bodyPr/>
                  <a:lstStyle/>
                  <a:p>
                    <a:fld id="{DAE676CD-6A3D-4FB3-9E94-2ABE31F18555}"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1-3C32-4AC2-9607-FF4C69F44E92}"/>
                </c:ext>
              </c:extLst>
            </c:dLbl>
            <c:dLbl>
              <c:idx val="18"/>
              <c:layout>
                <c:manualLayout>
                  <c:x val="-0.12087816125788019"/>
                  <c:y val="6.6487156731307867E-2"/>
                </c:manualLayout>
              </c:layout>
              <c:tx>
                <c:rich>
                  <a:bodyPr/>
                  <a:lstStyle/>
                  <a:p>
                    <a:fld id="{00C083C5-5B3A-44F4-A01E-F01FF17AC092}"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2-3C32-4AC2-9607-FF4C69F44E92}"/>
                </c:ext>
              </c:extLst>
            </c:dLbl>
            <c:dLbl>
              <c:idx val="19"/>
              <c:layout>
                <c:manualLayout>
                  <c:x val="-4.2645114150338663E-2"/>
                  <c:y val="3.8368148354382646E-2"/>
                </c:manualLayout>
              </c:layout>
              <c:tx>
                <c:rich>
                  <a:bodyPr/>
                  <a:lstStyle/>
                  <a:p>
                    <a:fld id="{9AB14511-2D46-4FA6-B182-BB35A3060355}"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3-3C32-4AC2-9607-FF4C69F44E92}"/>
                </c:ext>
              </c:extLst>
            </c:dLbl>
            <c:dLbl>
              <c:idx val="20"/>
              <c:layout>
                <c:manualLayout>
                  <c:x val="1.7976717185980037E-2"/>
                  <c:y val="3.5789253115696203E-2"/>
                </c:manualLayout>
              </c:layout>
              <c:tx>
                <c:rich>
                  <a:bodyPr/>
                  <a:lstStyle/>
                  <a:p>
                    <a:fld id="{345062D6-FD16-4C15-A65C-7B7B43A6228C}"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4-3C32-4AC2-9607-FF4C69F44E92}"/>
                </c:ext>
              </c:extLst>
            </c:dLbl>
            <c:dLbl>
              <c:idx val="21"/>
              <c:layout>
                <c:manualLayout>
                  <c:x val="1.3023553266422513E-3"/>
                  <c:y val="-1.8134336538843977E-2"/>
                </c:manualLayout>
              </c:layout>
              <c:tx>
                <c:rich>
                  <a:bodyPr/>
                  <a:lstStyle/>
                  <a:p>
                    <a:fld id="{6F0ACBA0-AACC-4E2F-876F-2A99869A9F36}"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5-3C32-4AC2-9607-FF4C69F44E92}"/>
                </c:ext>
              </c:extLst>
            </c:dLbl>
            <c:dLbl>
              <c:idx val="22"/>
              <c:layout>
                <c:manualLayout>
                  <c:x val="3.2674794155403475E-2"/>
                  <c:y val="-3.2453533236403001E-2"/>
                </c:manualLayout>
              </c:layout>
              <c:tx>
                <c:rich>
                  <a:bodyPr/>
                  <a:lstStyle/>
                  <a:p>
                    <a:fld id="{01AA4F0E-F632-4A99-9AFE-F3573492C6BB}" type="CELLRANGE">
                      <a:rPr lang="sr-Cyrl-RS">
                        <a:solidFill>
                          <a:schemeClr val="tx1">
                            <a:lumMod val="50000"/>
                            <a:lumOff val="50000"/>
                          </a:schemeClr>
                        </a:solidFill>
                      </a:rPr>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6-3C32-4AC2-9607-FF4C69F44E92}"/>
                </c:ext>
              </c:extLst>
            </c:dLbl>
            <c:dLbl>
              <c:idx val="23"/>
              <c:layout>
                <c:manualLayout>
                  <c:x val="-1.0859892303700238E-2"/>
                  <c:y val="3.8812582188732833E-2"/>
                </c:manualLayout>
              </c:layout>
              <c:tx>
                <c:rich>
                  <a:bodyPr/>
                  <a:lstStyle/>
                  <a:p>
                    <a:fld id="{9E754691-3CF2-4FE7-BA9A-1C76531E36EE}" type="CELLRANGE">
                      <a:rPr lang="sr-Cyrl-RS">
                        <a:solidFill>
                          <a:schemeClr val="tx1">
                            <a:lumMod val="50000"/>
                            <a:lumOff val="50000"/>
                          </a:schemeClr>
                        </a:solidFill>
                      </a:rPr>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7-3C32-4AC2-9607-FF4C69F44E92}"/>
                </c:ext>
              </c:extLst>
            </c:dLbl>
            <c:dLbl>
              <c:idx val="24"/>
              <c:layout>
                <c:manualLayout>
                  <c:x val="9.2252664000588424E-4"/>
                  <c:y val="-2.0041919220529381E-3"/>
                </c:manualLayout>
              </c:layout>
              <c:tx>
                <c:rich>
                  <a:bodyPr/>
                  <a:lstStyle/>
                  <a:p>
                    <a:r>
                      <a:rPr lang="sr-Cyrl-RS"/>
                      <a:t>Кипар</a:t>
                    </a:r>
                  </a:p>
                </c:rich>
              </c:tx>
              <c:showLegendKey val="0"/>
              <c:showVal val="0"/>
              <c:showCatName val="0"/>
              <c:showSerName val="0"/>
              <c:showPercent val="0"/>
              <c:showBubbleSize val="0"/>
              <c:extLst>
                <c:ext xmlns:c15="http://schemas.microsoft.com/office/drawing/2012/chart" uri="{CE6537A1-D6FC-4f65-9D91-7224C49458BB}">
                  <c15:layout>
                    <c:manualLayout>
                      <c:w val="0.13100275293998009"/>
                      <c:h val="3.706857368218909E-2"/>
                    </c:manualLayout>
                  </c15:layout>
                  <c15:showDataLabelsRange val="0"/>
                </c:ext>
                <c:ext xmlns:c16="http://schemas.microsoft.com/office/drawing/2014/chart" uri="{C3380CC4-5D6E-409C-BE32-E72D297353CC}">
                  <c16:uniqueId val="{00000018-3C32-4AC2-9607-FF4C69F44E92}"/>
                </c:ext>
              </c:extLst>
            </c:dLbl>
            <c:dLbl>
              <c:idx val="25"/>
              <c:layout>
                <c:manualLayout>
                  <c:x val="7.4933156719895998E-3"/>
                  <c:y val="-1.8076877081012355E-2"/>
                </c:manualLayout>
              </c:layout>
              <c:tx>
                <c:rich>
                  <a:bodyPr/>
                  <a:lstStyle/>
                  <a:p>
                    <a:r>
                      <a:rPr lang="sr-Cyrl-RS"/>
                      <a:t>Португал</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9-3C32-4AC2-9607-FF4C69F44E92}"/>
                </c:ext>
              </c:extLst>
            </c:dLbl>
            <c:dLbl>
              <c:idx val="26"/>
              <c:layout>
                <c:manualLayout>
                  <c:x val="1.4986886474334956E-2"/>
                  <c:y val="1.1595684944327016E-2"/>
                </c:manualLayout>
              </c:layout>
              <c:tx>
                <c:rich>
                  <a:bodyPr/>
                  <a:lstStyle/>
                  <a:p>
                    <a:r>
                      <a:rPr lang="sr-Cyrl-RS" sz="800">
                        <a:solidFill>
                          <a:sysClr val="windowText" lastClr="000000"/>
                        </a:solidFill>
                        <a:latin typeface="Times New Roman" panose="02020603050405020304" pitchFamily="18" charset="0"/>
                        <a:cs typeface="Times New Roman" panose="02020603050405020304" pitchFamily="18" charset="0"/>
                      </a:rPr>
                      <a:t>Србија</a:t>
                    </a:r>
                    <a:r>
                      <a:rPr lang="sr-Cyrl-RS" sz="800" baseline="0">
                        <a:solidFill>
                          <a:sysClr val="windowText" lastClr="000000"/>
                        </a:solidFill>
                        <a:latin typeface="Times New Roman" panose="02020603050405020304" pitchFamily="18" charset="0"/>
                        <a:cs typeface="Times New Roman" panose="02020603050405020304" pitchFamily="18" charset="0"/>
                      </a:rPr>
                      <a:t> </a:t>
                    </a:r>
                    <a:endParaRPr lang="sr-Cyrl-RS" sz="800">
                      <a:solidFill>
                        <a:sysClr val="windowText" lastClr="000000"/>
                      </a:solidFill>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A-3C32-4AC2-9607-FF4C69F44E92}"/>
                </c:ext>
              </c:extLst>
            </c:dLbl>
            <c:dLbl>
              <c:idx val="27"/>
              <c:delete val="1"/>
              <c:extLst>
                <c:ext xmlns:c15="http://schemas.microsoft.com/office/drawing/2012/chart" uri="{CE6537A1-D6FC-4f65-9D91-7224C49458BB}"/>
                <c:ext xmlns:c16="http://schemas.microsoft.com/office/drawing/2014/chart" uri="{C3380CC4-5D6E-409C-BE32-E72D297353CC}">
                  <c16:uniqueId val="{0000001B-3C32-4AC2-9607-FF4C69F44E92}"/>
                </c:ext>
              </c:extLst>
            </c:dLbl>
            <c:dLbl>
              <c:idx val="28"/>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C-3C32-4AC2-9607-FF4C69F44E92}"/>
                </c:ext>
              </c:extLst>
            </c:dLbl>
            <c:dLbl>
              <c:idx val="29"/>
              <c:layout>
                <c:manualLayout>
                  <c:x val="0.27121180204981443"/>
                  <c:y val="-0.10981647825182873"/>
                </c:manualLayout>
              </c:layout>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layout>
                    <c:manualLayout>
                      <c:w val="6.4583536111454121E-2"/>
                      <c:h val="3.6566409796610792E-2"/>
                    </c:manualLayout>
                  </c15:layout>
                  <c15:showDataLabelsRange val="0"/>
                </c:ext>
                <c:ext xmlns:c16="http://schemas.microsoft.com/office/drawing/2014/chart" uri="{C3380CC4-5D6E-409C-BE32-E72D297353CC}">
                  <c16:uniqueId val="{0000001D-3C32-4AC2-9607-FF4C69F44E92}"/>
                </c:ext>
              </c:extLst>
            </c:dLbl>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'2021'!$D$4:$D$30</c:f>
              <c:numCache>
                <c:formatCode>0.00</c:formatCode>
                <c:ptCount val="27"/>
                <c:pt idx="0">
                  <c:v>0.41</c:v>
                </c:pt>
                <c:pt idx="1">
                  <c:v>0.56999999999999995</c:v>
                </c:pt>
                <c:pt idx="2">
                  <c:v>0.22</c:v>
                </c:pt>
                <c:pt idx="3">
                  <c:v>0.22</c:v>
                </c:pt>
                <c:pt idx="4">
                  <c:v>0.33</c:v>
                </c:pt>
                <c:pt idx="5">
                  <c:v>0.08</c:v>
                </c:pt>
                <c:pt idx="6">
                  <c:v>0.22</c:v>
                </c:pt>
                <c:pt idx="7">
                  <c:v>0.28999999999999998</c:v>
                </c:pt>
                <c:pt idx="8">
                  <c:v>0.69</c:v>
                </c:pt>
                <c:pt idx="9">
                  <c:v>0.56999999999999995</c:v>
                </c:pt>
                <c:pt idx="10">
                  <c:v>0.22</c:v>
                </c:pt>
                <c:pt idx="11">
                  <c:v>0.69</c:v>
                </c:pt>
                <c:pt idx="12">
                  <c:v>0.32</c:v>
                </c:pt>
                <c:pt idx="13">
                  <c:v>0.45</c:v>
                </c:pt>
                <c:pt idx="14">
                  <c:v>0.26</c:v>
                </c:pt>
                <c:pt idx="15">
                  <c:v>0.08</c:v>
                </c:pt>
                <c:pt idx="16">
                  <c:v>0.45</c:v>
                </c:pt>
                <c:pt idx="17">
                  <c:v>0.37</c:v>
                </c:pt>
                <c:pt idx="18">
                  <c:v>0.22</c:v>
                </c:pt>
                <c:pt idx="19">
                  <c:v>0.22</c:v>
                </c:pt>
                <c:pt idx="20">
                  <c:v>0.28000000000000003</c:v>
                </c:pt>
                <c:pt idx="21">
                  <c:v>0.28999999999999998</c:v>
                </c:pt>
                <c:pt idx="22">
                  <c:v>0.56999999999999995</c:v>
                </c:pt>
                <c:pt idx="23">
                  <c:v>0.08</c:v>
                </c:pt>
                <c:pt idx="24">
                  <c:v>0.41</c:v>
                </c:pt>
                <c:pt idx="25">
                  <c:v>0.53</c:v>
                </c:pt>
                <c:pt idx="26">
                  <c:v>0.21560000000000001</c:v>
                </c:pt>
              </c:numCache>
            </c:numRef>
          </c:xVal>
          <c:yVal>
            <c:numRef>
              <c:f>'2021'!$E$4:$E$30</c:f>
              <c:numCache>
                <c:formatCode>0.00</c:formatCode>
                <c:ptCount val="27"/>
                <c:pt idx="0">
                  <c:v>0.06</c:v>
                </c:pt>
                <c:pt idx="1">
                  <c:v>0.18</c:v>
                </c:pt>
                <c:pt idx="2">
                  <c:v>0.38</c:v>
                </c:pt>
                <c:pt idx="3">
                  <c:v>0.25</c:v>
                </c:pt>
                <c:pt idx="4">
                  <c:v>0.41</c:v>
                </c:pt>
                <c:pt idx="5">
                  <c:v>0.24</c:v>
                </c:pt>
                <c:pt idx="6">
                  <c:v>0.22</c:v>
                </c:pt>
                <c:pt idx="7">
                  <c:v>0.24</c:v>
                </c:pt>
                <c:pt idx="8">
                  <c:v>0.33</c:v>
                </c:pt>
                <c:pt idx="9">
                  <c:v>0.22</c:v>
                </c:pt>
                <c:pt idx="10">
                  <c:v>0.43</c:v>
                </c:pt>
                <c:pt idx="11">
                  <c:v>7.0000000000000007E-2</c:v>
                </c:pt>
                <c:pt idx="12">
                  <c:v>0.22</c:v>
                </c:pt>
                <c:pt idx="13">
                  <c:v>0.24</c:v>
                </c:pt>
                <c:pt idx="14">
                  <c:v>0.13</c:v>
                </c:pt>
                <c:pt idx="15">
                  <c:v>0.41</c:v>
                </c:pt>
                <c:pt idx="16">
                  <c:v>0.22</c:v>
                </c:pt>
                <c:pt idx="17">
                  <c:v>0.3</c:v>
                </c:pt>
                <c:pt idx="18">
                  <c:v>0.22</c:v>
                </c:pt>
                <c:pt idx="19">
                  <c:v>0.37</c:v>
                </c:pt>
                <c:pt idx="20">
                  <c:v>0.22</c:v>
                </c:pt>
                <c:pt idx="21">
                  <c:v>0.13</c:v>
                </c:pt>
                <c:pt idx="22">
                  <c:v>0.22</c:v>
                </c:pt>
                <c:pt idx="23">
                  <c:v>0.37</c:v>
                </c:pt>
                <c:pt idx="24">
                  <c:v>0.51</c:v>
                </c:pt>
                <c:pt idx="25">
                  <c:v>0.33</c:v>
                </c:pt>
                <c:pt idx="26">
                  <c:v>0.27239999999999998</c:v>
                </c:pt>
              </c:numCache>
            </c:numRef>
          </c:yVal>
          <c:smooth val="0"/>
          <c:extLst>
            <c:ext xmlns:c15="http://schemas.microsoft.com/office/drawing/2012/chart" uri="{02D57815-91ED-43cb-92C2-25804820EDAC}">
              <c15:datalabelsRange>
                <c15:f>'2021'!$B$4:$B$33</c15:f>
                <c15:dlblRangeCache>
                  <c:ptCount val="30"/>
                  <c:pt idx="0">
                    <c:v>Аустрија</c:v>
                  </c:pt>
                  <c:pt idx="1">
                    <c:v>Белгија</c:v>
                  </c:pt>
                  <c:pt idx="2">
                    <c:v>Бугарска</c:v>
                  </c:pt>
                  <c:pt idx="3">
                    <c:v>Чешка</c:v>
                  </c:pt>
                  <c:pt idx="4">
                    <c:v>Хрватска</c:v>
                  </c:pt>
                  <c:pt idx="5">
                    <c:v>Данска</c:v>
                  </c:pt>
                  <c:pt idx="6">
                    <c:v>Естонија</c:v>
                  </c:pt>
                  <c:pt idx="7">
                    <c:v>Финска</c:v>
                  </c:pt>
                  <c:pt idx="8">
                    <c:v>Француска</c:v>
                  </c:pt>
                  <c:pt idx="9">
                    <c:v>Мађарска</c:v>
                  </c:pt>
                  <c:pt idx="10">
                    <c:v>Ирска</c:v>
                  </c:pt>
                  <c:pt idx="11">
                    <c:v>Италија</c:v>
                  </c:pt>
                  <c:pt idx="12">
                    <c:v>Летонија</c:v>
                  </c:pt>
                  <c:pt idx="13">
                    <c:v>Немачка</c:v>
                  </c:pt>
                  <c:pt idx="14">
                    <c:v>Литванија</c:v>
                  </c:pt>
                  <c:pt idx="15">
                    <c:v>Луксембург</c:v>
                  </c:pt>
                  <c:pt idx="16">
                    <c:v>Малта</c:v>
                  </c:pt>
                  <c:pt idx="17">
                    <c:v>Холандија</c:v>
                  </c:pt>
                  <c:pt idx="18">
                    <c:v>Пољска</c:v>
                  </c:pt>
                  <c:pt idx="19">
                    <c:v>Румунија</c:v>
                  </c:pt>
                  <c:pt idx="20">
                    <c:v>Словачка</c:v>
                  </c:pt>
                  <c:pt idx="21">
                    <c:v>Словенија</c:v>
                  </c:pt>
                  <c:pt idx="22">
                    <c:v>Шпанија</c:v>
                  </c:pt>
                  <c:pt idx="23">
                    <c:v>Шведска</c:v>
                  </c:pt>
                  <c:pt idx="24">
                    <c:v>Кипар</c:v>
                  </c:pt>
                  <c:pt idx="25">
                    <c:v>Португал</c:v>
                  </c:pt>
                  <c:pt idx="26">
                    <c:v>Србија 2021</c:v>
                  </c:pt>
                  <c:pt idx="29">
                    <c:v>Србија 2019,2018,2017</c:v>
                  </c:pt>
                </c15:dlblRangeCache>
              </c15:datalabelsRange>
            </c:ext>
            <c:ext xmlns:c16="http://schemas.microsoft.com/office/drawing/2014/chart" uri="{C3380CC4-5D6E-409C-BE32-E72D297353CC}">
              <c16:uniqueId val="{0000001E-3C32-4AC2-9607-FF4C69F44E92}"/>
            </c:ext>
          </c:extLst>
        </c:ser>
        <c:dLbls>
          <c:showLegendKey val="0"/>
          <c:showVal val="0"/>
          <c:showCatName val="0"/>
          <c:showSerName val="0"/>
          <c:showPercent val="0"/>
          <c:showBubbleSize val="0"/>
        </c:dLbls>
        <c:axId val="42932016"/>
        <c:axId val="42918416"/>
      </c:scatterChart>
      <c:valAx>
        <c:axId val="42932016"/>
        <c:scaling>
          <c:orientation val="minMax"/>
        </c:scaling>
        <c:delete val="0"/>
        <c:axPos val="b"/>
        <c:title>
          <c:tx>
            <c:rich>
              <a:bodyPr rot="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sr-Cyrl-RS" sz="800">
                    <a:latin typeface="Times New Roman" panose="02020603050405020304" pitchFamily="18" charset="0"/>
                    <a:cs typeface="Times New Roman" panose="02020603050405020304" pitchFamily="18" charset="0"/>
                  </a:rPr>
                  <a:t>Фискални подиндекс</a:t>
                </a:r>
                <a:endParaRPr lang="en-US" sz="800">
                  <a:latin typeface="Times New Roman" panose="02020603050405020304" pitchFamily="18" charset="0"/>
                  <a:cs typeface="Times New Roman" panose="02020603050405020304" pitchFamily="18" charset="0"/>
                </a:endParaRPr>
              </a:p>
            </c:rich>
          </c:tx>
          <c:layout>
            <c:manualLayout>
              <c:xMode val="edge"/>
              <c:yMode val="edge"/>
              <c:x val="0.40828237164360764"/>
              <c:y val="0.94716743140920345"/>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0.0" sourceLinked="0"/>
        <c:majorTickMark val="none"/>
        <c:minorTickMark val="none"/>
        <c:tickLblPos val="nextTo"/>
        <c:spPr>
          <a:noFill/>
          <a:ln w="6350"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42918416"/>
        <c:crosses val="autoZero"/>
        <c:crossBetween val="midCat"/>
        <c:minorUnit val="1.0000000000000002E-2"/>
      </c:valAx>
      <c:valAx>
        <c:axId val="42918416"/>
        <c:scaling>
          <c:orientation val="minMax"/>
        </c:scaling>
        <c:delete val="0"/>
        <c:axPos val="l"/>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sr-Cyrl-RS" sz="800">
                    <a:latin typeface="Times New Roman" panose="02020603050405020304" pitchFamily="18" charset="0"/>
                    <a:cs typeface="Times New Roman" panose="02020603050405020304" pitchFamily="18" charset="0"/>
                  </a:rPr>
                  <a:t>Подиндекс макро-финансијске конкурентности</a:t>
                </a:r>
                <a:endParaRPr lang="en-US" sz="800">
                  <a:latin typeface="Times New Roman" panose="02020603050405020304" pitchFamily="18" charset="0"/>
                  <a:cs typeface="Times New Roman" panose="02020603050405020304" pitchFamily="18" charset="0"/>
                </a:endParaRPr>
              </a:p>
            </c:rich>
          </c:tx>
          <c:layout>
            <c:manualLayout>
              <c:xMode val="edge"/>
              <c:yMode val="edge"/>
              <c:x val="2.7525284339457567E-2"/>
              <c:y val="0.11637104972998961"/>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0.0" sourceLinked="0"/>
        <c:majorTickMark val="none"/>
        <c:minorTickMark val="none"/>
        <c:tickLblPos val="nextTo"/>
        <c:spPr>
          <a:noFill/>
          <a:ln w="6350"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42932016"/>
        <c:crosses val="autoZero"/>
        <c:crossBetween val="midCat"/>
        <c:minorUnit val="1.0000000000000002E-2"/>
      </c:valAx>
      <c:spPr>
        <a:noFill/>
        <a:ln>
          <a:noFill/>
        </a:ln>
        <a:effectLst/>
      </c:spPr>
    </c:plotArea>
    <c:plotVisOnly val="1"/>
    <c:dispBlanksAs val="gap"/>
    <c:showDLblsOverMax val="0"/>
  </c:chart>
  <c:spPr>
    <a:noFill/>
    <a:ln w="9525" cap="flat" cmpd="sng" algn="ctr">
      <a:noFill/>
      <a:round/>
    </a:ln>
    <a:effectLst/>
  </c:spPr>
  <c:txPr>
    <a:bodyPr/>
    <a:lstStyle/>
    <a:p>
      <a:pPr>
        <a:defRPr sz="600"/>
      </a:pPr>
      <a:endParaRPr lang="en-US"/>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withinLinear" id="16">
  <a:schemeClr val="accent3"/>
</cs:colorStyle>
</file>

<file path=word/charts/colors11.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withinLinear" id="14">
  <a:schemeClr val="accent1"/>
</cs:colorStyle>
</file>

<file path=word/charts/colors13.xml><?xml version="1.0" encoding="utf-8"?>
<cs:colorStyle xmlns:cs="http://schemas.microsoft.com/office/drawing/2012/chartStyle" xmlns:a="http://schemas.openxmlformats.org/drawingml/2006/main" meth="withinLinear" id="19">
  <a:schemeClr val="accent6"/>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withinLinear" id="14">
  <a:schemeClr val="accent1"/>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withinLinear" id="16">
  <a:schemeClr val="accent3"/>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136">
  <cs:axisTitle>
    <cs:lnRef idx="0"/>
    <cs:fillRef idx="0"/>
    <cs:effectRef idx="0"/>
    <cs:fontRef idx="minor">
      <a:schemeClr val="dk1"/>
    </cs:fontRef>
    <cs:defRPr sz="1000" b="1" kern="1200"/>
  </cs:axisTitle>
  <cs:categoryAxis>
    <cs:lnRef idx="1">
      <a:schemeClr val="dk1">
        <a:tint val="75000"/>
      </a:schemeClr>
    </cs:lnRef>
    <cs:fillRef idx="0"/>
    <cs:effectRef idx="0"/>
    <cs:fontRef idx="minor">
      <a:schemeClr val="dk1"/>
    </cs:fontRef>
    <cs:spPr>
      <a:ln>
        <a:round/>
      </a:ln>
    </cs:spPr>
    <cs:defRPr sz="1000" kern="1200"/>
  </cs:categoryAxis>
  <cs:chartArea>
    <cs:lnRef idx="1">
      <a:schemeClr val="dk1">
        <a:tint val="75000"/>
      </a:schemeClr>
    </cs:lnRef>
    <cs:fillRef idx="1">
      <a:schemeClr val="lt1"/>
    </cs:fillRef>
    <cs:effectRef idx="0"/>
    <cs:fontRef idx="minor">
      <a:schemeClr val="dk1"/>
    </cs:fontRef>
    <cs:spPr>
      <a:ln>
        <a:round/>
      </a:ln>
    </cs:spPr>
    <cs:defRPr sz="1000" kern="1200"/>
  </cs:chartArea>
  <cs:dataLabel>
    <cs:lnRef idx="0"/>
    <cs:fillRef idx="0"/>
    <cs:effectRef idx="0"/>
    <cs:fontRef idx="minor">
      <a:schemeClr val="dk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1" mods="ignoreCSTransforms">
      <cs:styleClr val="0">
        <a:shade val="50000"/>
      </cs:styleClr>
    </cs:lnRef>
    <cs:fillRef idx="1">
      <cs:styleClr val="auto"/>
    </cs:fillRef>
    <cs:effectRef idx="0"/>
    <cs:fontRef idx="minor">
      <a:schemeClr val="dk1"/>
    </cs:fontRef>
    <cs:spPr>
      <a:ln>
        <a:round/>
      </a:ln>
    </cs:spPr>
  </cs:dataPoint>
  <cs:dataPoint3D>
    <cs:lnRef idx="1" mods="ignoreCSTransforms">
      <cs:styleClr val="0">
        <a:shade val="50000"/>
      </cs:styleClr>
    </cs:lnRef>
    <cs:fillRef idx="1">
      <cs:styleClr val="auto"/>
    </cs:fillRef>
    <cs:effectRef idx="0"/>
    <cs:fontRef idx="minor">
      <a:schemeClr val="dk1"/>
    </cs:fontRef>
    <cs:spPr>
      <a:ln>
        <a:round/>
      </a:ln>
    </cs:spPr>
  </cs:dataPoint3D>
  <cs:dataPointLine>
    <cs:lnRef idx="1">
      <cs:styleClr val="auto"/>
    </cs:lnRef>
    <cs:lineWidthScale>5</cs:lineWidthScale>
    <cs:fillRef idx="0"/>
    <cs:effectRef idx="0"/>
    <cs:fontRef idx="minor">
      <a:schemeClr val="dk1"/>
    </cs:fontRef>
    <cs:spPr>
      <a:ln cap="rnd">
        <a:round/>
      </a:ln>
    </cs:spPr>
  </cs:dataPointLine>
  <cs:dataPointMarker>
    <cs:lnRef idx="1">
      <cs:styleClr val="auto"/>
    </cs:lnRef>
    <cs:fillRef idx="1">
      <cs:styleClr val="auto"/>
    </cs:fillRef>
    <cs:effectRef idx="0"/>
    <cs:fontRef idx="minor">
      <a:schemeClr val="dk1"/>
    </cs:fontRef>
    <cs:spPr>
      <a:ln>
        <a:round/>
      </a:ln>
    </cs:spPr>
  </cs:dataPointMarker>
  <cs:dataPointMarkerLayout/>
  <cs:dataPointWireframe>
    <cs:lnRef idx="1">
      <cs:styleClr val="auto"/>
    </cs:lnRef>
    <cs:fillRef idx="0"/>
    <cs:effectRef idx="0"/>
    <cs:fontRef idx="minor">
      <a:schemeClr val="dk1"/>
    </cs:fontRef>
    <cs:spPr>
      <a:ln>
        <a:round/>
      </a:ln>
    </cs:spPr>
  </cs:dataPointWireframe>
  <cs:dataTable>
    <cs:lnRef idx="1">
      <a:schemeClr val="dk1">
        <a:tint val="75000"/>
      </a:schemeClr>
    </cs:lnRef>
    <cs:fillRef idx="0"/>
    <cs:effectRef idx="0"/>
    <cs:fontRef idx="minor">
      <a:schemeClr val="dk1"/>
    </cs:fontRef>
    <cs:spPr>
      <a:ln>
        <a:round/>
      </a:ln>
    </cs:spPr>
    <cs:defRPr sz="1000" kern="1200"/>
  </cs:dataTable>
  <cs:downBar>
    <cs:lnRef idx="1" mods="ignoreCSTransforms">
      <cs:styleClr val="0">
        <a:shade val="25000"/>
      </cs:styleClr>
    </cs:lnRef>
    <cs:fillRef idx="1" mods="ignoreCSTransforms">
      <cs:styleClr val="0">
        <a:shade val="25000"/>
      </cs:styleClr>
    </cs:fillRef>
    <cs:effectRef idx="0"/>
    <cs:fontRef idx="minor">
      <a:schemeClr val="dk1"/>
    </cs:fontRef>
    <cs:spPr>
      <a:ln>
        <a:round/>
      </a:ln>
    </cs:spPr>
  </cs:downBar>
  <cs:dropLine>
    <cs:lnRef idx="1">
      <a:schemeClr val="dk1"/>
    </cs:lnRef>
    <cs:fillRef idx="0"/>
    <cs:effectRef idx="0"/>
    <cs:fontRef idx="minor">
      <a:schemeClr val="dk1"/>
    </cs:fontRef>
    <cs:spPr>
      <a:ln>
        <a:round/>
      </a:ln>
    </cs:spPr>
  </cs:dropLine>
  <cs:errorBar>
    <cs:lnRef idx="1">
      <a:schemeClr val="dk1"/>
    </cs:lnRef>
    <cs:fillRef idx="1">
      <a:schemeClr val="dk1"/>
    </cs:fillRef>
    <cs:effectRef idx="0"/>
    <cs:fontRef idx="minor">
      <a:schemeClr val="dk1"/>
    </cs:fontRef>
    <cs:spPr>
      <a:ln>
        <a:round/>
      </a:ln>
    </cs:spPr>
  </cs:errorBar>
  <cs:floor>
    <cs:lnRef idx="1">
      <a:schemeClr val="dk1">
        <a:tint val="75000"/>
      </a:schemeClr>
    </cs:lnRef>
    <cs:fillRef idx="1" mods="ignoreCSTransforms">
      <cs:styleClr val="0">
        <a:tint val="20000"/>
      </cs:styleClr>
    </cs:fillRef>
    <cs:effectRef idx="0"/>
    <cs:fontRef idx="minor">
      <a:schemeClr val="dk1"/>
    </cs:fontRef>
    <cs:spPr>
      <a:ln>
        <a:round/>
      </a:ln>
    </cs:spPr>
  </cs:floor>
  <cs:gridlineMajor>
    <cs:lnRef idx="1">
      <a:schemeClr val="dk1">
        <a:tint val="75000"/>
      </a:schemeClr>
    </cs:lnRef>
    <cs:fillRef idx="0"/>
    <cs:effectRef idx="0"/>
    <cs:fontRef idx="minor">
      <a:schemeClr val="dk1"/>
    </cs:fontRef>
    <cs:spPr>
      <a:ln>
        <a:round/>
      </a:ln>
    </cs:spPr>
  </cs:gridlineMajor>
  <cs:gridlineMinor>
    <cs:lnRef idx="1">
      <a:schemeClr val="dk1">
        <a:tint val="50000"/>
      </a:schemeClr>
    </cs:lnRef>
    <cs:fillRef idx="0"/>
    <cs:effectRef idx="0"/>
    <cs:fontRef idx="minor">
      <a:schemeClr val="dk1"/>
    </cs:fontRef>
    <cs:spPr>
      <a:ln>
        <a:round/>
      </a:ln>
    </cs:spPr>
  </cs:gridlineMinor>
  <cs:hiLoLine>
    <cs:lnRef idx="1">
      <a:schemeClr val="dk1"/>
    </cs:lnRef>
    <cs:fillRef idx="0"/>
    <cs:effectRef idx="0"/>
    <cs:fontRef idx="minor">
      <a:schemeClr val="dk1"/>
    </cs:fontRef>
    <cs:spPr>
      <a:ln>
        <a:round/>
      </a:ln>
    </cs:spPr>
  </cs:hiLoLine>
  <cs:leaderLine>
    <cs:lnRef idx="1">
      <a:schemeClr val="dk1"/>
    </cs:lnRef>
    <cs:fillRef idx="0"/>
    <cs:effectRef idx="0"/>
    <cs:fontRef idx="minor">
      <a:schemeClr val="dk1"/>
    </cs:fontRef>
    <cs:spPr>
      <a:ln>
        <a:round/>
      </a:ln>
    </cs:spPr>
  </cs:leaderLine>
  <cs:legend>
    <cs:lnRef idx="0"/>
    <cs:fillRef idx="0"/>
    <cs:effectRef idx="0"/>
    <cs:fontRef idx="minor">
      <a:schemeClr val="dk1"/>
    </cs:fontRef>
    <cs:defRPr sz="1000" kern="1200"/>
  </cs:legend>
  <cs:plotArea>
    <cs:lnRef idx="0"/>
    <cs:fillRef idx="1" mods="ignoreCSTransforms">
      <cs:styleClr val="0">
        <a:tint val="20000"/>
      </cs:styleClr>
    </cs:fillRef>
    <cs:effectRef idx="0"/>
    <cs:fontRef idx="minor">
      <a:schemeClr val="dk1"/>
    </cs:fontRef>
  </cs:plotArea>
  <cs:plotArea3D>
    <cs:lnRef idx="0"/>
    <cs:fillRef idx="0"/>
    <cs:effectRef idx="0"/>
    <cs:fontRef idx="minor">
      <a:schemeClr val="dk1"/>
    </cs:fontRef>
  </cs:plotArea3D>
  <cs:seriesAxis>
    <cs:lnRef idx="1">
      <a:schemeClr val="dk1">
        <a:tint val="75000"/>
      </a:schemeClr>
    </cs:lnRef>
    <cs:fillRef idx="0"/>
    <cs:effectRef idx="0"/>
    <cs:fontRef idx="minor">
      <a:schemeClr val="dk1"/>
    </cs:fontRef>
    <cs:spPr>
      <a:ln>
        <a:round/>
      </a:ln>
    </cs:spPr>
    <cs:defRPr sz="1000" kern="1200"/>
  </cs:seriesAxis>
  <cs:seriesLine>
    <cs:lnRef idx="1">
      <a:schemeClr val="dk1"/>
    </cs:lnRef>
    <cs:fillRef idx="0"/>
    <cs:effectRef idx="0"/>
    <cs:fontRef idx="minor">
      <a:schemeClr val="dk1"/>
    </cs:fontRef>
    <cs:spPr>
      <a:ln>
        <a:round/>
      </a:ln>
    </cs:spPr>
  </cs:seriesLine>
  <cs:title>
    <cs:lnRef idx="0"/>
    <cs:fillRef idx="0"/>
    <cs:effectRef idx="0"/>
    <cs:fontRef idx="minor">
      <a:schemeClr val="dk1"/>
    </cs:fontRef>
    <cs:defRPr sz="1800" b="1" kern="1200"/>
  </cs:title>
  <cs:trendline>
    <cs:lnRef idx="1">
      <a:schemeClr val="dk1"/>
    </cs:lnRef>
    <cs:fillRef idx="0"/>
    <cs:effectRef idx="0"/>
    <cs:fontRef idx="minor">
      <a:schemeClr val="dk1"/>
    </cs:fontRef>
    <cs:spPr>
      <a:ln cap="rnd">
        <a:round/>
      </a:ln>
    </cs:spPr>
  </cs:trendline>
  <cs:trendlineLabel>
    <cs:lnRef idx="0"/>
    <cs:fillRef idx="0"/>
    <cs:effectRef idx="0"/>
    <cs:fontRef idx="minor">
      <a:schemeClr val="dk1"/>
    </cs:fontRef>
    <cs:defRPr sz="1000" kern="1200"/>
  </cs:trendlineLabel>
  <cs:upBar>
    <cs:lnRef idx="1" mods="ignoreCSTransforms">
      <cs:styleClr val="0">
        <a:shade val="25000"/>
      </cs:styleClr>
    </cs:lnRef>
    <cs:fillRef idx="1">
      <a:schemeClr val="lt1"/>
    </cs:fillRef>
    <cs:effectRef idx="0"/>
    <cs:fontRef idx="minor">
      <a:schemeClr val="dk1"/>
    </cs:fontRef>
    <cs:spPr>
      <a:ln>
        <a:round/>
      </a:ln>
    </cs:spPr>
  </cs:upBar>
  <cs:valueAxis>
    <cs:lnRef idx="1">
      <a:schemeClr val="dk1">
        <a:tint val="75000"/>
      </a:schemeClr>
    </cs:lnRef>
    <cs:fillRef idx="0"/>
    <cs:effectRef idx="0"/>
    <cs:fontRef idx="minor">
      <a:schemeClr val="dk1"/>
    </cs:fontRef>
    <cs:spPr>
      <a:ln>
        <a:round/>
      </a:ln>
    </cs:spPr>
    <cs:defRPr sz="1000" kern="1200"/>
  </cs:valueAxis>
  <cs:wall>
    <cs:lnRef idx="0"/>
    <cs:fillRef idx="1" mods="ignoreCSTransforms">
      <cs:styleClr val="0">
        <a:tint val="20000"/>
      </cs:styleClr>
    </cs:fillRef>
    <cs:effectRef idx="0"/>
    <cs:fontRef idx="minor">
      <a:schemeClr val="dk1"/>
    </cs:fontRef>
  </cs:wall>
</cs:chartStyle>
</file>

<file path=word/charts/style11.xml><?xml version="1.0" encoding="utf-8"?>
<cs:chartStyle xmlns:cs="http://schemas.microsoft.com/office/drawing/2012/chartStyle" xmlns:a="http://schemas.openxmlformats.org/drawingml/2006/main" id="343">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9525" cap="rnd">
        <a:solidFill>
          <a:schemeClr val="phClr"/>
        </a:solidFill>
        <a:round/>
      </a:ln>
    </cs:spPr>
  </cs:dataPointLine>
  <cs:dataPointMarker>
    <cs:lnRef idx="0">
      <cs:styleClr val="auto"/>
    </cs:lnRef>
    <cs:fillRef idx="3">
      <cs:styleClr val="auto"/>
    </cs:fillRef>
    <cs:effectRef idx="3"/>
    <cs:fontRef idx="minor">
      <a:schemeClr val="tx1"/>
    </cs:fontRef>
    <cs:spPr>
      <a:ln w="9525" cap="rnd">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2.xml><?xml version="1.0" encoding="utf-8"?>
<cs:chartStyle xmlns:cs="http://schemas.microsoft.com/office/drawing/2012/chartStyle" xmlns:a="http://schemas.openxmlformats.org/drawingml/2006/main" id="105">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mods="ignoreCSTransforms">
      <cs:styleClr val="0">
        <a:shade val="25000"/>
      </cs:styl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mods="ignoreCSTransforms">
      <cs:styleClr val="0">
        <a:tint val="25000"/>
      </cs:styl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3.xml><?xml version="1.0" encoding="utf-8"?>
<cs:chartStyle xmlns:cs="http://schemas.microsoft.com/office/drawing/2012/chartStyle" xmlns:a="http://schemas.openxmlformats.org/drawingml/2006/main" id="135">
  <cs:axisTitle>
    <cs:lnRef idx="0"/>
    <cs:fillRef idx="0"/>
    <cs:effectRef idx="0"/>
    <cs:fontRef idx="minor">
      <a:schemeClr val="dk1"/>
    </cs:fontRef>
    <cs:defRPr sz="1000" b="1" kern="1200"/>
  </cs:axisTitle>
  <cs:categoryAxis>
    <cs:lnRef idx="1">
      <a:schemeClr val="dk1">
        <a:tint val="75000"/>
      </a:schemeClr>
    </cs:lnRef>
    <cs:fillRef idx="0"/>
    <cs:effectRef idx="0"/>
    <cs:fontRef idx="minor">
      <a:schemeClr val="dk1"/>
    </cs:fontRef>
    <cs:spPr>
      <a:ln>
        <a:round/>
      </a:ln>
    </cs:spPr>
    <cs:defRPr sz="1000" kern="1200"/>
  </cs:categoryAxis>
  <cs:chartArea>
    <cs:lnRef idx="1">
      <a:schemeClr val="dk1">
        <a:tint val="75000"/>
      </a:schemeClr>
    </cs:lnRef>
    <cs:fillRef idx="1">
      <a:schemeClr val="lt1"/>
    </cs:fillRef>
    <cs:effectRef idx="0"/>
    <cs:fontRef idx="minor">
      <a:schemeClr val="dk1"/>
    </cs:fontRef>
    <cs:spPr>
      <a:ln>
        <a:round/>
      </a:ln>
    </cs:spPr>
    <cs:defRPr sz="1000" kern="1200"/>
  </cs:chartArea>
  <cs:dataLabel>
    <cs:lnRef idx="0"/>
    <cs:fillRef idx="0"/>
    <cs:effectRef idx="0"/>
    <cs:fontRef idx="minor">
      <a:schemeClr val="dk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1" mods="ignoreCSTransforms">
      <cs:styleClr val="0">
        <a:shade val="50000"/>
      </cs:styleClr>
    </cs:lnRef>
    <cs:fillRef idx="1">
      <cs:styleClr val="auto"/>
    </cs:fillRef>
    <cs:effectRef idx="0"/>
    <cs:fontRef idx="minor">
      <a:schemeClr val="dk1"/>
    </cs:fontRef>
    <cs:spPr>
      <a:ln>
        <a:round/>
      </a:ln>
    </cs:spPr>
  </cs:dataPoint>
  <cs:dataPoint3D>
    <cs:lnRef idx="1" mods="ignoreCSTransforms">
      <cs:styleClr val="0">
        <a:shade val="50000"/>
      </cs:styleClr>
    </cs:lnRef>
    <cs:fillRef idx="1">
      <cs:styleClr val="auto"/>
    </cs:fillRef>
    <cs:effectRef idx="0"/>
    <cs:fontRef idx="minor">
      <a:schemeClr val="dk1"/>
    </cs:fontRef>
    <cs:spPr>
      <a:ln>
        <a:round/>
      </a:ln>
    </cs:spPr>
  </cs:dataPoint3D>
  <cs:dataPointLine>
    <cs:lnRef idx="1">
      <cs:styleClr val="auto"/>
    </cs:lnRef>
    <cs:lineWidthScale>5</cs:lineWidthScale>
    <cs:fillRef idx="0"/>
    <cs:effectRef idx="0"/>
    <cs:fontRef idx="minor">
      <a:schemeClr val="dk1"/>
    </cs:fontRef>
    <cs:spPr>
      <a:ln cap="rnd">
        <a:round/>
      </a:ln>
    </cs:spPr>
  </cs:dataPointLine>
  <cs:dataPointMarker>
    <cs:lnRef idx="1">
      <cs:styleClr val="auto"/>
    </cs:lnRef>
    <cs:fillRef idx="1">
      <cs:styleClr val="auto"/>
    </cs:fillRef>
    <cs:effectRef idx="0"/>
    <cs:fontRef idx="minor">
      <a:schemeClr val="dk1"/>
    </cs:fontRef>
    <cs:spPr>
      <a:ln>
        <a:round/>
      </a:ln>
    </cs:spPr>
  </cs:dataPointMarker>
  <cs:dataPointMarkerLayout/>
  <cs:dataPointWireframe>
    <cs:lnRef idx="1">
      <cs:styleClr val="auto"/>
    </cs:lnRef>
    <cs:fillRef idx="0"/>
    <cs:effectRef idx="0"/>
    <cs:fontRef idx="minor">
      <a:schemeClr val="dk1"/>
    </cs:fontRef>
    <cs:spPr>
      <a:ln>
        <a:round/>
      </a:ln>
    </cs:spPr>
  </cs:dataPointWireframe>
  <cs:dataTable>
    <cs:lnRef idx="1">
      <a:schemeClr val="dk1">
        <a:tint val="75000"/>
      </a:schemeClr>
    </cs:lnRef>
    <cs:fillRef idx="0"/>
    <cs:effectRef idx="0"/>
    <cs:fontRef idx="minor">
      <a:schemeClr val="dk1"/>
    </cs:fontRef>
    <cs:spPr>
      <a:ln>
        <a:round/>
      </a:ln>
    </cs:spPr>
    <cs:defRPr sz="1000" kern="1200"/>
  </cs:dataTable>
  <cs:downBar>
    <cs:lnRef idx="1" mods="ignoreCSTransforms">
      <cs:styleClr val="0">
        <a:shade val="25000"/>
      </cs:styleClr>
    </cs:lnRef>
    <cs:fillRef idx="1" mods="ignoreCSTransforms">
      <cs:styleClr val="0">
        <a:shade val="25000"/>
      </cs:styleClr>
    </cs:fillRef>
    <cs:effectRef idx="0"/>
    <cs:fontRef idx="minor">
      <a:schemeClr val="dk1"/>
    </cs:fontRef>
    <cs:spPr>
      <a:ln>
        <a:round/>
      </a:ln>
    </cs:spPr>
  </cs:downBar>
  <cs:dropLine>
    <cs:lnRef idx="1">
      <a:schemeClr val="dk1"/>
    </cs:lnRef>
    <cs:fillRef idx="0"/>
    <cs:effectRef idx="0"/>
    <cs:fontRef idx="minor">
      <a:schemeClr val="dk1"/>
    </cs:fontRef>
    <cs:spPr>
      <a:ln>
        <a:round/>
      </a:ln>
    </cs:spPr>
  </cs:dropLine>
  <cs:errorBar>
    <cs:lnRef idx="1">
      <a:schemeClr val="dk1"/>
    </cs:lnRef>
    <cs:fillRef idx="1">
      <a:schemeClr val="dk1"/>
    </cs:fillRef>
    <cs:effectRef idx="0"/>
    <cs:fontRef idx="minor">
      <a:schemeClr val="dk1"/>
    </cs:fontRef>
    <cs:spPr>
      <a:ln>
        <a:round/>
      </a:ln>
    </cs:spPr>
  </cs:errorBar>
  <cs:floor>
    <cs:lnRef idx="1">
      <a:schemeClr val="dk1">
        <a:tint val="75000"/>
      </a:schemeClr>
    </cs:lnRef>
    <cs:fillRef idx="1" mods="ignoreCSTransforms">
      <cs:styleClr val="0">
        <a:tint val="20000"/>
      </cs:styleClr>
    </cs:fillRef>
    <cs:effectRef idx="0"/>
    <cs:fontRef idx="minor">
      <a:schemeClr val="dk1"/>
    </cs:fontRef>
    <cs:spPr>
      <a:ln>
        <a:round/>
      </a:ln>
    </cs:spPr>
  </cs:floor>
  <cs:gridlineMajor>
    <cs:lnRef idx="1">
      <a:schemeClr val="dk1">
        <a:tint val="75000"/>
      </a:schemeClr>
    </cs:lnRef>
    <cs:fillRef idx="0"/>
    <cs:effectRef idx="0"/>
    <cs:fontRef idx="minor">
      <a:schemeClr val="dk1"/>
    </cs:fontRef>
    <cs:spPr>
      <a:ln>
        <a:round/>
      </a:ln>
    </cs:spPr>
  </cs:gridlineMajor>
  <cs:gridlineMinor>
    <cs:lnRef idx="1">
      <a:schemeClr val="dk1">
        <a:tint val="50000"/>
      </a:schemeClr>
    </cs:lnRef>
    <cs:fillRef idx="0"/>
    <cs:effectRef idx="0"/>
    <cs:fontRef idx="minor">
      <a:schemeClr val="dk1"/>
    </cs:fontRef>
    <cs:spPr>
      <a:ln>
        <a:round/>
      </a:ln>
    </cs:spPr>
  </cs:gridlineMinor>
  <cs:hiLoLine>
    <cs:lnRef idx="1">
      <a:schemeClr val="dk1"/>
    </cs:lnRef>
    <cs:fillRef idx="0"/>
    <cs:effectRef idx="0"/>
    <cs:fontRef idx="minor">
      <a:schemeClr val="dk1"/>
    </cs:fontRef>
    <cs:spPr>
      <a:ln>
        <a:round/>
      </a:ln>
    </cs:spPr>
  </cs:hiLoLine>
  <cs:leaderLine>
    <cs:lnRef idx="1">
      <a:schemeClr val="dk1"/>
    </cs:lnRef>
    <cs:fillRef idx="0"/>
    <cs:effectRef idx="0"/>
    <cs:fontRef idx="minor">
      <a:schemeClr val="dk1"/>
    </cs:fontRef>
    <cs:spPr>
      <a:ln>
        <a:round/>
      </a:ln>
    </cs:spPr>
  </cs:leaderLine>
  <cs:legend>
    <cs:lnRef idx="0"/>
    <cs:fillRef idx="0"/>
    <cs:effectRef idx="0"/>
    <cs:fontRef idx="minor">
      <a:schemeClr val="dk1"/>
    </cs:fontRef>
    <cs:defRPr sz="1000" kern="1200"/>
  </cs:legend>
  <cs:plotArea>
    <cs:lnRef idx="0"/>
    <cs:fillRef idx="1" mods="ignoreCSTransforms">
      <cs:styleClr val="0">
        <a:tint val="20000"/>
      </cs:styleClr>
    </cs:fillRef>
    <cs:effectRef idx="0"/>
    <cs:fontRef idx="minor">
      <a:schemeClr val="dk1"/>
    </cs:fontRef>
  </cs:plotArea>
  <cs:plotArea3D>
    <cs:lnRef idx="0"/>
    <cs:fillRef idx="0"/>
    <cs:effectRef idx="0"/>
    <cs:fontRef idx="minor">
      <a:schemeClr val="dk1"/>
    </cs:fontRef>
  </cs:plotArea3D>
  <cs:seriesAxis>
    <cs:lnRef idx="1">
      <a:schemeClr val="dk1">
        <a:tint val="75000"/>
      </a:schemeClr>
    </cs:lnRef>
    <cs:fillRef idx="0"/>
    <cs:effectRef idx="0"/>
    <cs:fontRef idx="minor">
      <a:schemeClr val="dk1"/>
    </cs:fontRef>
    <cs:spPr>
      <a:ln>
        <a:round/>
      </a:ln>
    </cs:spPr>
    <cs:defRPr sz="1000" kern="1200"/>
  </cs:seriesAxis>
  <cs:seriesLine>
    <cs:lnRef idx="1">
      <a:schemeClr val="dk1"/>
    </cs:lnRef>
    <cs:fillRef idx="0"/>
    <cs:effectRef idx="0"/>
    <cs:fontRef idx="minor">
      <a:schemeClr val="dk1"/>
    </cs:fontRef>
    <cs:spPr>
      <a:ln>
        <a:round/>
      </a:ln>
    </cs:spPr>
  </cs:seriesLine>
  <cs:title>
    <cs:lnRef idx="0"/>
    <cs:fillRef idx="0"/>
    <cs:effectRef idx="0"/>
    <cs:fontRef idx="minor">
      <a:schemeClr val="dk1"/>
    </cs:fontRef>
    <cs:defRPr sz="1800" b="1" kern="1200"/>
  </cs:title>
  <cs:trendline>
    <cs:lnRef idx="1">
      <a:schemeClr val="dk1"/>
    </cs:lnRef>
    <cs:fillRef idx="0"/>
    <cs:effectRef idx="0"/>
    <cs:fontRef idx="minor">
      <a:schemeClr val="dk1"/>
    </cs:fontRef>
    <cs:spPr>
      <a:ln cap="rnd">
        <a:round/>
      </a:ln>
    </cs:spPr>
  </cs:trendline>
  <cs:trendlineLabel>
    <cs:lnRef idx="0"/>
    <cs:fillRef idx="0"/>
    <cs:effectRef idx="0"/>
    <cs:fontRef idx="minor">
      <a:schemeClr val="dk1"/>
    </cs:fontRef>
    <cs:defRPr sz="1000" kern="1200"/>
  </cs:trendlineLabel>
  <cs:upBar>
    <cs:lnRef idx="1" mods="ignoreCSTransforms">
      <cs:styleClr val="0">
        <a:shade val="25000"/>
      </cs:styleClr>
    </cs:lnRef>
    <cs:fillRef idx="1">
      <a:schemeClr val="lt1"/>
    </cs:fillRef>
    <cs:effectRef idx="0"/>
    <cs:fontRef idx="minor">
      <a:schemeClr val="dk1"/>
    </cs:fontRef>
    <cs:spPr>
      <a:ln>
        <a:round/>
      </a:ln>
    </cs:spPr>
  </cs:upBar>
  <cs:valueAxis>
    <cs:lnRef idx="1">
      <a:schemeClr val="dk1">
        <a:tint val="75000"/>
      </a:schemeClr>
    </cs:lnRef>
    <cs:fillRef idx="0"/>
    <cs:effectRef idx="0"/>
    <cs:fontRef idx="minor">
      <a:schemeClr val="dk1"/>
    </cs:fontRef>
    <cs:spPr>
      <a:ln>
        <a:round/>
      </a:ln>
    </cs:spPr>
    <cs:defRPr sz="1000" kern="1200"/>
  </cs:valueAxis>
  <cs:wall>
    <cs:lnRef idx="0"/>
    <cs:fillRef idx="1" mods="ignoreCSTransforms">
      <cs:styleClr val="0">
        <a:tint val="20000"/>
      </cs:styleClr>
    </cs:fillRef>
    <cs:effectRef idx="0"/>
    <cs:fontRef idx="minor">
      <a:schemeClr val="dk1"/>
    </cs:fontRef>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136">
  <cs:axisTitle>
    <cs:lnRef idx="0"/>
    <cs:fillRef idx="0"/>
    <cs:effectRef idx="0"/>
    <cs:fontRef idx="minor">
      <a:schemeClr val="dk1"/>
    </cs:fontRef>
    <cs:defRPr sz="1000" b="1" kern="1200"/>
  </cs:axisTitle>
  <cs:categoryAxis>
    <cs:lnRef idx="1">
      <a:schemeClr val="dk1">
        <a:tint val="75000"/>
      </a:schemeClr>
    </cs:lnRef>
    <cs:fillRef idx="0"/>
    <cs:effectRef idx="0"/>
    <cs:fontRef idx="minor">
      <a:schemeClr val="dk1"/>
    </cs:fontRef>
    <cs:spPr>
      <a:ln>
        <a:round/>
      </a:ln>
    </cs:spPr>
    <cs:defRPr sz="1000" kern="1200"/>
  </cs:categoryAxis>
  <cs:chartArea>
    <cs:lnRef idx="1">
      <a:schemeClr val="dk1">
        <a:tint val="75000"/>
      </a:schemeClr>
    </cs:lnRef>
    <cs:fillRef idx="1">
      <a:schemeClr val="lt1"/>
    </cs:fillRef>
    <cs:effectRef idx="0"/>
    <cs:fontRef idx="minor">
      <a:schemeClr val="dk1"/>
    </cs:fontRef>
    <cs:spPr>
      <a:ln>
        <a:round/>
      </a:ln>
    </cs:spPr>
    <cs:defRPr sz="1000" kern="1200"/>
  </cs:chartArea>
  <cs:dataLabel>
    <cs:lnRef idx="0"/>
    <cs:fillRef idx="0"/>
    <cs:effectRef idx="0"/>
    <cs:fontRef idx="minor">
      <a:schemeClr val="dk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1" mods="ignoreCSTransforms">
      <cs:styleClr val="0">
        <a:shade val="50000"/>
      </cs:styleClr>
    </cs:lnRef>
    <cs:fillRef idx="1">
      <cs:styleClr val="auto"/>
    </cs:fillRef>
    <cs:effectRef idx="0"/>
    <cs:fontRef idx="minor">
      <a:schemeClr val="dk1"/>
    </cs:fontRef>
    <cs:spPr>
      <a:ln>
        <a:round/>
      </a:ln>
    </cs:spPr>
  </cs:dataPoint>
  <cs:dataPoint3D>
    <cs:lnRef idx="1" mods="ignoreCSTransforms">
      <cs:styleClr val="0">
        <a:shade val="50000"/>
      </cs:styleClr>
    </cs:lnRef>
    <cs:fillRef idx="1">
      <cs:styleClr val="auto"/>
    </cs:fillRef>
    <cs:effectRef idx="0"/>
    <cs:fontRef idx="minor">
      <a:schemeClr val="dk1"/>
    </cs:fontRef>
    <cs:spPr>
      <a:ln>
        <a:round/>
      </a:ln>
    </cs:spPr>
  </cs:dataPoint3D>
  <cs:dataPointLine>
    <cs:lnRef idx="1">
      <cs:styleClr val="auto"/>
    </cs:lnRef>
    <cs:lineWidthScale>5</cs:lineWidthScale>
    <cs:fillRef idx="0"/>
    <cs:effectRef idx="0"/>
    <cs:fontRef idx="minor">
      <a:schemeClr val="dk1"/>
    </cs:fontRef>
    <cs:spPr>
      <a:ln cap="rnd">
        <a:round/>
      </a:ln>
    </cs:spPr>
  </cs:dataPointLine>
  <cs:dataPointMarker>
    <cs:lnRef idx="1">
      <cs:styleClr val="auto"/>
    </cs:lnRef>
    <cs:fillRef idx="1">
      <cs:styleClr val="auto"/>
    </cs:fillRef>
    <cs:effectRef idx="0"/>
    <cs:fontRef idx="minor">
      <a:schemeClr val="dk1"/>
    </cs:fontRef>
    <cs:spPr>
      <a:ln>
        <a:round/>
      </a:ln>
    </cs:spPr>
  </cs:dataPointMarker>
  <cs:dataPointMarkerLayout/>
  <cs:dataPointWireframe>
    <cs:lnRef idx="1">
      <cs:styleClr val="auto"/>
    </cs:lnRef>
    <cs:fillRef idx="0"/>
    <cs:effectRef idx="0"/>
    <cs:fontRef idx="minor">
      <a:schemeClr val="dk1"/>
    </cs:fontRef>
    <cs:spPr>
      <a:ln>
        <a:round/>
      </a:ln>
    </cs:spPr>
  </cs:dataPointWireframe>
  <cs:dataTable>
    <cs:lnRef idx="1">
      <a:schemeClr val="dk1">
        <a:tint val="75000"/>
      </a:schemeClr>
    </cs:lnRef>
    <cs:fillRef idx="0"/>
    <cs:effectRef idx="0"/>
    <cs:fontRef idx="minor">
      <a:schemeClr val="dk1"/>
    </cs:fontRef>
    <cs:spPr>
      <a:ln>
        <a:round/>
      </a:ln>
    </cs:spPr>
    <cs:defRPr sz="1000" kern="1200"/>
  </cs:dataTable>
  <cs:downBar>
    <cs:lnRef idx="1" mods="ignoreCSTransforms">
      <cs:styleClr val="0">
        <a:shade val="25000"/>
      </cs:styleClr>
    </cs:lnRef>
    <cs:fillRef idx="1" mods="ignoreCSTransforms">
      <cs:styleClr val="0">
        <a:shade val="25000"/>
      </cs:styleClr>
    </cs:fillRef>
    <cs:effectRef idx="0"/>
    <cs:fontRef idx="minor">
      <a:schemeClr val="dk1"/>
    </cs:fontRef>
    <cs:spPr>
      <a:ln>
        <a:round/>
      </a:ln>
    </cs:spPr>
  </cs:downBar>
  <cs:dropLine>
    <cs:lnRef idx="1">
      <a:schemeClr val="dk1"/>
    </cs:lnRef>
    <cs:fillRef idx="0"/>
    <cs:effectRef idx="0"/>
    <cs:fontRef idx="minor">
      <a:schemeClr val="dk1"/>
    </cs:fontRef>
    <cs:spPr>
      <a:ln>
        <a:round/>
      </a:ln>
    </cs:spPr>
  </cs:dropLine>
  <cs:errorBar>
    <cs:lnRef idx="1">
      <a:schemeClr val="dk1"/>
    </cs:lnRef>
    <cs:fillRef idx="1">
      <a:schemeClr val="dk1"/>
    </cs:fillRef>
    <cs:effectRef idx="0"/>
    <cs:fontRef idx="minor">
      <a:schemeClr val="dk1"/>
    </cs:fontRef>
    <cs:spPr>
      <a:ln>
        <a:round/>
      </a:ln>
    </cs:spPr>
  </cs:errorBar>
  <cs:floor>
    <cs:lnRef idx="1">
      <a:schemeClr val="dk1">
        <a:tint val="75000"/>
      </a:schemeClr>
    </cs:lnRef>
    <cs:fillRef idx="1" mods="ignoreCSTransforms">
      <cs:styleClr val="0">
        <a:tint val="20000"/>
      </cs:styleClr>
    </cs:fillRef>
    <cs:effectRef idx="0"/>
    <cs:fontRef idx="minor">
      <a:schemeClr val="dk1"/>
    </cs:fontRef>
    <cs:spPr>
      <a:ln>
        <a:round/>
      </a:ln>
    </cs:spPr>
  </cs:floor>
  <cs:gridlineMajor>
    <cs:lnRef idx="1">
      <a:schemeClr val="dk1">
        <a:tint val="75000"/>
      </a:schemeClr>
    </cs:lnRef>
    <cs:fillRef idx="0"/>
    <cs:effectRef idx="0"/>
    <cs:fontRef idx="minor">
      <a:schemeClr val="dk1"/>
    </cs:fontRef>
    <cs:spPr>
      <a:ln>
        <a:round/>
      </a:ln>
    </cs:spPr>
  </cs:gridlineMajor>
  <cs:gridlineMinor>
    <cs:lnRef idx="1">
      <a:schemeClr val="dk1">
        <a:tint val="50000"/>
      </a:schemeClr>
    </cs:lnRef>
    <cs:fillRef idx="0"/>
    <cs:effectRef idx="0"/>
    <cs:fontRef idx="minor">
      <a:schemeClr val="dk1"/>
    </cs:fontRef>
    <cs:spPr>
      <a:ln>
        <a:round/>
      </a:ln>
    </cs:spPr>
  </cs:gridlineMinor>
  <cs:hiLoLine>
    <cs:lnRef idx="1">
      <a:schemeClr val="dk1"/>
    </cs:lnRef>
    <cs:fillRef idx="0"/>
    <cs:effectRef idx="0"/>
    <cs:fontRef idx="minor">
      <a:schemeClr val="dk1"/>
    </cs:fontRef>
    <cs:spPr>
      <a:ln>
        <a:round/>
      </a:ln>
    </cs:spPr>
  </cs:hiLoLine>
  <cs:leaderLine>
    <cs:lnRef idx="1">
      <a:schemeClr val="dk1"/>
    </cs:lnRef>
    <cs:fillRef idx="0"/>
    <cs:effectRef idx="0"/>
    <cs:fontRef idx="minor">
      <a:schemeClr val="dk1"/>
    </cs:fontRef>
    <cs:spPr>
      <a:ln>
        <a:round/>
      </a:ln>
    </cs:spPr>
  </cs:leaderLine>
  <cs:legend>
    <cs:lnRef idx="0"/>
    <cs:fillRef idx="0"/>
    <cs:effectRef idx="0"/>
    <cs:fontRef idx="minor">
      <a:schemeClr val="dk1"/>
    </cs:fontRef>
    <cs:defRPr sz="1000" kern="1200"/>
  </cs:legend>
  <cs:plotArea>
    <cs:lnRef idx="0"/>
    <cs:fillRef idx="1" mods="ignoreCSTransforms">
      <cs:styleClr val="0">
        <a:tint val="20000"/>
      </cs:styleClr>
    </cs:fillRef>
    <cs:effectRef idx="0"/>
    <cs:fontRef idx="minor">
      <a:schemeClr val="dk1"/>
    </cs:fontRef>
  </cs:plotArea>
  <cs:plotArea3D>
    <cs:lnRef idx="0"/>
    <cs:fillRef idx="0"/>
    <cs:effectRef idx="0"/>
    <cs:fontRef idx="minor">
      <a:schemeClr val="dk1"/>
    </cs:fontRef>
  </cs:plotArea3D>
  <cs:seriesAxis>
    <cs:lnRef idx="1">
      <a:schemeClr val="dk1">
        <a:tint val="75000"/>
      </a:schemeClr>
    </cs:lnRef>
    <cs:fillRef idx="0"/>
    <cs:effectRef idx="0"/>
    <cs:fontRef idx="minor">
      <a:schemeClr val="dk1"/>
    </cs:fontRef>
    <cs:spPr>
      <a:ln>
        <a:round/>
      </a:ln>
    </cs:spPr>
    <cs:defRPr sz="1000" kern="1200"/>
  </cs:seriesAxis>
  <cs:seriesLine>
    <cs:lnRef idx="1">
      <a:schemeClr val="dk1"/>
    </cs:lnRef>
    <cs:fillRef idx="0"/>
    <cs:effectRef idx="0"/>
    <cs:fontRef idx="minor">
      <a:schemeClr val="dk1"/>
    </cs:fontRef>
    <cs:spPr>
      <a:ln>
        <a:round/>
      </a:ln>
    </cs:spPr>
  </cs:seriesLine>
  <cs:title>
    <cs:lnRef idx="0"/>
    <cs:fillRef idx="0"/>
    <cs:effectRef idx="0"/>
    <cs:fontRef idx="minor">
      <a:schemeClr val="dk1"/>
    </cs:fontRef>
    <cs:defRPr sz="1800" b="1" kern="1200"/>
  </cs:title>
  <cs:trendline>
    <cs:lnRef idx="1">
      <a:schemeClr val="dk1"/>
    </cs:lnRef>
    <cs:fillRef idx="0"/>
    <cs:effectRef idx="0"/>
    <cs:fontRef idx="minor">
      <a:schemeClr val="dk1"/>
    </cs:fontRef>
    <cs:spPr>
      <a:ln cap="rnd">
        <a:round/>
      </a:ln>
    </cs:spPr>
  </cs:trendline>
  <cs:trendlineLabel>
    <cs:lnRef idx="0"/>
    <cs:fillRef idx="0"/>
    <cs:effectRef idx="0"/>
    <cs:fontRef idx="minor">
      <a:schemeClr val="dk1"/>
    </cs:fontRef>
    <cs:defRPr sz="1000" kern="1200"/>
  </cs:trendlineLabel>
  <cs:upBar>
    <cs:lnRef idx="1" mods="ignoreCSTransforms">
      <cs:styleClr val="0">
        <a:shade val="25000"/>
      </cs:styleClr>
    </cs:lnRef>
    <cs:fillRef idx="1">
      <a:schemeClr val="lt1"/>
    </cs:fillRef>
    <cs:effectRef idx="0"/>
    <cs:fontRef idx="minor">
      <a:schemeClr val="dk1"/>
    </cs:fontRef>
    <cs:spPr>
      <a:ln>
        <a:round/>
      </a:ln>
    </cs:spPr>
  </cs:upBar>
  <cs:valueAxis>
    <cs:lnRef idx="1">
      <a:schemeClr val="dk1">
        <a:tint val="75000"/>
      </a:schemeClr>
    </cs:lnRef>
    <cs:fillRef idx="0"/>
    <cs:effectRef idx="0"/>
    <cs:fontRef idx="minor">
      <a:schemeClr val="dk1"/>
    </cs:fontRef>
    <cs:spPr>
      <a:ln>
        <a:round/>
      </a:ln>
    </cs:spPr>
    <cs:defRPr sz="1000" kern="1200"/>
  </cs:valueAxis>
  <cs:wall>
    <cs:lnRef idx="0"/>
    <cs:fillRef idx="1" mods="ignoreCSTransforms">
      <cs:styleClr val="0">
        <a:tint val="20000"/>
      </cs:styleClr>
    </cs:fillRef>
    <cs:effectRef idx="0"/>
    <cs:fontRef idx="minor">
      <a:schemeClr val="dk1"/>
    </cs:fontRef>
  </cs:wall>
</cs:chartStyle>
</file>

<file path=word/drawings/drawing1.xml><?xml version="1.0" encoding="utf-8"?>
<c:userShapes xmlns:c="http://schemas.openxmlformats.org/drawingml/2006/chart">
  <cdr:relSizeAnchor xmlns:cdr="http://schemas.openxmlformats.org/drawingml/2006/chartDrawing">
    <cdr:from>
      <cdr:x>0.58892</cdr:x>
      <cdr:y>0</cdr:y>
    </cdr:from>
    <cdr:to>
      <cdr:x>0.97619</cdr:x>
      <cdr:y>0.73863</cdr:y>
    </cdr:to>
    <cdr:sp macro="" textlink="">
      <cdr:nvSpPr>
        <cdr:cNvPr id="3" name="TextBox 2"/>
        <cdr:cNvSpPr txBox="1"/>
      </cdr:nvSpPr>
      <cdr:spPr>
        <a:xfrm xmlns:a="http://schemas.openxmlformats.org/drawingml/2006/main">
          <a:off x="1615520" y="0"/>
          <a:ext cx="1062359" cy="1560873"/>
        </a:xfrm>
        <a:prstGeom xmlns:a="http://schemas.openxmlformats.org/drawingml/2006/main" prst="rect">
          <a:avLst/>
        </a:prstGeom>
        <a:solidFill xmlns:a="http://schemas.openxmlformats.org/drawingml/2006/main">
          <a:schemeClr val="accent5">
            <a:alpha val="10000"/>
          </a:schemeClr>
        </a:solidFill>
      </cdr:spPr>
      <cdr:txBody>
        <a:bodyPr xmlns:a="http://schemas.openxmlformats.org/drawingml/2006/main" vertOverflow="clip" wrap="square" rtlCol="0" anchor="t"/>
        <a:lstStyle xmlns:a="http://schemas.openxmlformats.org/drawingml/2006/main"/>
        <a:p xmlns:a="http://schemas.openxmlformats.org/drawingml/2006/main">
          <a:pPr algn="ctr"/>
          <a:r>
            <a:rPr lang="sr-Cyrl-RS" sz="700" b="1">
              <a:solidFill>
                <a:sysClr val="windowText" lastClr="000000"/>
              </a:solidFill>
              <a:latin typeface="Times New Roman" panose="02020603050405020304" pitchFamily="18" charset="0"/>
              <a:cs typeface="Times New Roman" panose="02020603050405020304" pitchFamily="18" charset="0"/>
            </a:rPr>
            <a:t>ПРОЈЕКЦИЈА</a:t>
          </a:r>
          <a:endParaRPr lang="en-GB" sz="700" b="1">
            <a:solidFill>
              <a:sysClr val="windowText" lastClr="000000"/>
            </a:solidFill>
            <a:latin typeface="Times New Roman" panose="02020603050405020304" pitchFamily="18" charset="0"/>
            <a:cs typeface="Times New Roman" panose="02020603050405020304" pitchFamily="18" charset="0"/>
          </a:endParaRPr>
        </a:p>
      </cdr:txBody>
    </cdr:sp>
  </cdr:relSizeAnchor>
</c:userShapes>
</file>

<file path=word/drawings/drawing10.xml><?xml version="1.0" encoding="utf-8"?>
<c:userShapes xmlns:c="http://schemas.openxmlformats.org/drawingml/2006/chart">
  <cdr:relSizeAnchor xmlns:cdr="http://schemas.openxmlformats.org/drawingml/2006/chartDrawing">
    <cdr:from>
      <cdr:x>0.04375</cdr:x>
      <cdr:y>0.88368</cdr:y>
    </cdr:from>
    <cdr:to>
      <cdr:x>0.16667</cdr:x>
      <cdr:y>0.93576</cdr:y>
    </cdr:to>
    <cdr:sp macro="" textlink="">
      <cdr:nvSpPr>
        <cdr:cNvPr id="2" name="TextBox 1"/>
        <cdr:cNvSpPr txBox="1"/>
      </cdr:nvSpPr>
      <cdr:spPr>
        <a:xfrm xmlns:a="http://schemas.openxmlformats.org/drawingml/2006/main">
          <a:off x="200025" y="2424113"/>
          <a:ext cx="561975" cy="1428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sr-Cyrl-CS" sz="1100"/>
        </a:p>
      </cdr:txBody>
    </cdr:sp>
  </cdr:relSizeAnchor>
  <cdr:relSizeAnchor xmlns:cdr="http://schemas.openxmlformats.org/drawingml/2006/chartDrawing">
    <cdr:from>
      <cdr:x>0.04792</cdr:x>
      <cdr:y>0.73785</cdr:y>
    </cdr:from>
    <cdr:to>
      <cdr:x>0.24167</cdr:x>
      <cdr:y>0.86979</cdr:y>
    </cdr:to>
    <cdr:sp macro="" textlink="">
      <cdr:nvSpPr>
        <cdr:cNvPr id="3" name="TextBox 2"/>
        <cdr:cNvSpPr txBox="1"/>
      </cdr:nvSpPr>
      <cdr:spPr>
        <a:xfrm xmlns:a="http://schemas.openxmlformats.org/drawingml/2006/main">
          <a:off x="228061" y="2482144"/>
          <a:ext cx="922095" cy="44384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sr-Cyrl-CS" sz="800">
            <a:latin typeface="+mj-lt"/>
          </a:endParaRPr>
        </a:p>
      </cdr:txBody>
    </cdr:sp>
  </cdr:relSizeAnchor>
  <cdr:relSizeAnchor xmlns:cdr="http://schemas.openxmlformats.org/drawingml/2006/chartDrawing">
    <cdr:from>
      <cdr:x>0.66875</cdr:x>
      <cdr:y>0.74826</cdr:y>
    </cdr:from>
    <cdr:to>
      <cdr:x>0.9125</cdr:x>
      <cdr:y>0.84549</cdr:y>
    </cdr:to>
    <cdr:sp macro="" textlink="">
      <cdr:nvSpPr>
        <cdr:cNvPr id="4" name="TextBox 3"/>
        <cdr:cNvSpPr txBox="1"/>
      </cdr:nvSpPr>
      <cdr:spPr>
        <a:xfrm xmlns:a="http://schemas.openxmlformats.org/drawingml/2006/main">
          <a:off x="3057525" y="2052638"/>
          <a:ext cx="1114425" cy="2667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sr-Cyrl-CS" sz="1100"/>
        </a:p>
      </cdr:txBody>
    </cdr:sp>
  </cdr:relSizeAnchor>
  <cdr:relSizeAnchor xmlns:cdr="http://schemas.openxmlformats.org/drawingml/2006/chartDrawing">
    <cdr:from>
      <cdr:x>0.76703</cdr:x>
      <cdr:y>0.16819</cdr:y>
    </cdr:from>
    <cdr:to>
      <cdr:x>0.98856</cdr:x>
      <cdr:y>0.2903</cdr:y>
    </cdr:to>
    <cdr:sp macro="" textlink="">
      <cdr:nvSpPr>
        <cdr:cNvPr id="5" name="TextBox 1"/>
        <cdr:cNvSpPr txBox="1"/>
      </cdr:nvSpPr>
      <cdr:spPr>
        <a:xfrm xmlns:a="http://schemas.openxmlformats.org/drawingml/2006/main">
          <a:off x="3650440" y="565780"/>
          <a:ext cx="1054306" cy="41078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sr-Cyrl-CS" sz="800">
            <a:latin typeface="+mj-lt"/>
          </a:endParaRPr>
        </a:p>
      </cdr:txBody>
    </cdr:sp>
  </cdr:relSizeAnchor>
  <cdr:relSizeAnchor xmlns:cdr="http://schemas.openxmlformats.org/drawingml/2006/chartDrawing">
    <cdr:from>
      <cdr:x>0.73125</cdr:x>
      <cdr:y>0.8206</cdr:y>
    </cdr:from>
    <cdr:to>
      <cdr:x>0.95417</cdr:x>
      <cdr:y>0.94271</cdr:y>
    </cdr:to>
    <cdr:sp macro="" textlink="">
      <cdr:nvSpPr>
        <cdr:cNvPr id="6" name="TextBox 1"/>
        <cdr:cNvSpPr txBox="1"/>
      </cdr:nvSpPr>
      <cdr:spPr>
        <a:xfrm xmlns:a="http://schemas.openxmlformats.org/drawingml/2006/main">
          <a:off x="3480164" y="2760516"/>
          <a:ext cx="1060921" cy="41078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sr-Cyrl-CS" sz="800">
            <a:latin typeface="+mj-lt"/>
          </a:endParaRPr>
        </a:p>
      </cdr:txBody>
    </cdr:sp>
  </cdr:relSizeAnchor>
  <cdr:relSizeAnchor xmlns:cdr="http://schemas.openxmlformats.org/drawingml/2006/chartDrawing">
    <cdr:from>
      <cdr:x>0.04928</cdr:x>
      <cdr:y>0.22036</cdr:y>
    </cdr:from>
    <cdr:to>
      <cdr:x>0.27219</cdr:x>
      <cdr:y>0.34247</cdr:y>
    </cdr:to>
    <cdr:sp macro="" textlink="">
      <cdr:nvSpPr>
        <cdr:cNvPr id="7" name="TextBox 1"/>
        <cdr:cNvSpPr txBox="1"/>
      </cdr:nvSpPr>
      <cdr:spPr>
        <a:xfrm xmlns:a="http://schemas.openxmlformats.org/drawingml/2006/main">
          <a:off x="234530" y="741312"/>
          <a:ext cx="1060873" cy="41078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sr-Cyrl-CS" sz="800">
            <a:latin typeface="Cambria" panose="02040503050406030204" pitchFamily="18" charset="0"/>
          </a:endParaRPr>
        </a:p>
      </cdr:txBody>
    </cdr:sp>
  </cdr:relSizeAnchor>
  <cdr:relSizeAnchor xmlns:cdr="http://schemas.openxmlformats.org/drawingml/2006/chartDrawing">
    <cdr:from>
      <cdr:x>0.04375</cdr:x>
      <cdr:y>0.88368</cdr:y>
    </cdr:from>
    <cdr:to>
      <cdr:x>0.16667</cdr:x>
      <cdr:y>0.93576</cdr:y>
    </cdr:to>
    <cdr:sp macro="" textlink="">
      <cdr:nvSpPr>
        <cdr:cNvPr id="14" name="TextBox 1"/>
        <cdr:cNvSpPr txBox="1"/>
      </cdr:nvSpPr>
      <cdr:spPr>
        <a:xfrm xmlns:a="http://schemas.openxmlformats.org/drawingml/2006/main">
          <a:off x="200025" y="2424113"/>
          <a:ext cx="561975" cy="1428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sr-Cyrl-CS" sz="1100"/>
        </a:p>
      </cdr:txBody>
    </cdr:sp>
  </cdr:relSizeAnchor>
  <cdr:relSizeAnchor xmlns:cdr="http://schemas.openxmlformats.org/drawingml/2006/chartDrawing">
    <cdr:from>
      <cdr:x>0.01117</cdr:x>
      <cdr:y>0.836</cdr:y>
    </cdr:from>
    <cdr:to>
      <cdr:x>0.27976</cdr:x>
      <cdr:y>1</cdr:y>
    </cdr:to>
    <cdr:sp macro="" textlink="">
      <cdr:nvSpPr>
        <cdr:cNvPr id="15" name="TextBox 2"/>
        <cdr:cNvSpPr txBox="1"/>
      </cdr:nvSpPr>
      <cdr:spPr>
        <a:xfrm xmlns:a="http://schemas.openxmlformats.org/drawingml/2006/main">
          <a:off x="30796" y="1990725"/>
          <a:ext cx="740729" cy="3905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sr-Cyrl-CS" sz="900" b="0">
              <a:solidFill>
                <a:sysClr val="windowText" lastClr="000000"/>
              </a:solidFill>
              <a:latin typeface="Times New Roman" panose="02020603050405020304" pitchFamily="18" charset="0"/>
              <a:cs typeface="Times New Roman" panose="02020603050405020304" pitchFamily="18" charset="0"/>
            </a:rPr>
            <a:t>проциклично</a:t>
          </a:r>
          <a:r>
            <a:rPr lang="sr-Cyrl-CS" sz="900" b="0" baseline="0">
              <a:solidFill>
                <a:sysClr val="windowText" lastClr="000000"/>
              </a:solidFill>
              <a:latin typeface="Times New Roman" panose="02020603050405020304" pitchFamily="18" charset="0"/>
              <a:cs typeface="Times New Roman" panose="02020603050405020304" pitchFamily="18" charset="0"/>
            </a:rPr>
            <a:t> -рестриктивна</a:t>
          </a:r>
          <a:endParaRPr lang="sr-Cyrl-CS" sz="900" b="0">
            <a:solidFill>
              <a:sysClr val="windowText" lastClr="000000"/>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0.66875</cdr:x>
      <cdr:y>0.74826</cdr:y>
    </cdr:from>
    <cdr:to>
      <cdr:x>0.9125</cdr:x>
      <cdr:y>0.84549</cdr:y>
    </cdr:to>
    <cdr:sp macro="" textlink="">
      <cdr:nvSpPr>
        <cdr:cNvPr id="16" name="TextBox 3"/>
        <cdr:cNvSpPr txBox="1"/>
      </cdr:nvSpPr>
      <cdr:spPr>
        <a:xfrm xmlns:a="http://schemas.openxmlformats.org/drawingml/2006/main">
          <a:off x="3057525" y="2052638"/>
          <a:ext cx="1114425" cy="2667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sr-Cyrl-CS" sz="1100"/>
        </a:p>
      </cdr:txBody>
    </cdr:sp>
  </cdr:relSizeAnchor>
  <cdr:relSizeAnchor xmlns:cdr="http://schemas.openxmlformats.org/drawingml/2006/chartDrawing">
    <cdr:from>
      <cdr:x>0.70458</cdr:x>
      <cdr:y>0.004</cdr:y>
    </cdr:from>
    <cdr:to>
      <cdr:x>0.98273</cdr:x>
      <cdr:y>0.15686</cdr:y>
    </cdr:to>
    <cdr:sp macro="" textlink="">
      <cdr:nvSpPr>
        <cdr:cNvPr id="17" name="TextBox 1"/>
        <cdr:cNvSpPr txBox="1"/>
      </cdr:nvSpPr>
      <cdr:spPr>
        <a:xfrm xmlns:a="http://schemas.openxmlformats.org/drawingml/2006/main">
          <a:off x="1943101" y="9526"/>
          <a:ext cx="767079" cy="363998"/>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sr-Cyrl-CS" sz="900" b="0">
              <a:solidFill>
                <a:sysClr val="windowText" lastClr="000000"/>
              </a:solidFill>
              <a:latin typeface="Times New Roman" panose="02020603050405020304" pitchFamily="18" charset="0"/>
              <a:cs typeface="Times New Roman" panose="02020603050405020304" pitchFamily="18" charset="0"/>
            </a:rPr>
            <a:t>проциклично</a:t>
          </a:r>
          <a:r>
            <a:rPr lang="sr-Cyrl-CS" sz="900" b="0" baseline="0">
              <a:solidFill>
                <a:sysClr val="windowText" lastClr="000000"/>
              </a:solidFill>
              <a:latin typeface="Times New Roman" panose="02020603050405020304" pitchFamily="18" charset="0"/>
              <a:cs typeface="Times New Roman" panose="02020603050405020304" pitchFamily="18" charset="0"/>
            </a:rPr>
            <a:t> - експанзивна</a:t>
          </a:r>
          <a:endParaRPr lang="sr-Cyrl-CS" sz="900" b="0">
            <a:solidFill>
              <a:sysClr val="windowText" lastClr="000000"/>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0.68731</cdr:x>
      <cdr:y>0.828</cdr:y>
    </cdr:from>
    <cdr:to>
      <cdr:x>1</cdr:x>
      <cdr:y>1</cdr:y>
    </cdr:to>
    <cdr:sp macro="" textlink="">
      <cdr:nvSpPr>
        <cdr:cNvPr id="18" name="TextBox 1"/>
        <cdr:cNvSpPr txBox="1"/>
      </cdr:nvSpPr>
      <cdr:spPr>
        <a:xfrm xmlns:a="http://schemas.openxmlformats.org/drawingml/2006/main">
          <a:off x="1895475" y="1971676"/>
          <a:ext cx="862330" cy="40957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sr-Cyrl-CS" sz="900" b="0">
              <a:solidFill>
                <a:sysClr val="windowText" lastClr="000000"/>
              </a:solidFill>
              <a:latin typeface="Times New Roman" panose="02020603050405020304" pitchFamily="18" charset="0"/>
              <a:cs typeface="Times New Roman" panose="02020603050405020304" pitchFamily="18" charset="0"/>
            </a:rPr>
            <a:t>контрациклично</a:t>
          </a:r>
          <a:r>
            <a:rPr lang="sr-Cyrl-CS" sz="900" b="0" baseline="0">
              <a:solidFill>
                <a:sysClr val="windowText" lastClr="000000"/>
              </a:solidFill>
              <a:latin typeface="Times New Roman" panose="02020603050405020304" pitchFamily="18" charset="0"/>
              <a:cs typeface="Times New Roman" panose="02020603050405020304" pitchFamily="18" charset="0"/>
            </a:rPr>
            <a:t> - рестриктивна</a:t>
          </a:r>
          <a:endParaRPr lang="sr-Cyrl-CS" sz="900" b="0">
            <a:solidFill>
              <a:sysClr val="windowText" lastClr="000000"/>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0.01329</cdr:x>
      <cdr:y>0</cdr:y>
    </cdr:from>
    <cdr:to>
      <cdr:x>0.39374</cdr:x>
      <cdr:y>0.12211</cdr:y>
    </cdr:to>
    <cdr:sp macro="" textlink="">
      <cdr:nvSpPr>
        <cdr:cNvPr id="19" name="TextBox 1"/>
        <cdr:cNvSpPr txBox="1"/>
      </cdr:nvSpPr>
      <cdr:spPr>
        <a:xfrm xmlns:a="http://schemas.openxmlformats.org/drawingml/2006/main">
          <a:off x="36654" y="0"/>
          <a:ext cx="1049196" cy="29077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sr-Cyrl-CS" sz="900" b="0">
              <a:solidFill>
                <a:sysClr val="windowText" lastClr="000000"/>
              </a:solidFill>
              <a:latin typeface="Times New Roman" panose="02020603050405020304" pitchFamily="18" charset="0"/>
              <a:cs typeface="Times New Roman" panose="02020603050405020304" pitchFamily="18" charset="0"/>
            </a:rPr>
            <a:t>контрациклично</a:t>
          </a:r>
          <a:r>
            <a:rPr lang="sr-Cyrl-CS" sz="900" b="0" baseline="0">
              <a:solidFill>
                <a:sysClr val="windowText" lastClr="000000"/>
              </a:solidFill>
              <a:latin typeface="Times New Roman" panose="02020603050405020304" pitchFamily="18" charset="0"/>
              <a:cs typeface="Times New Roman" panose="02020603050405020304" pitchFamily="18" charset="0"/>
            </a:rPr>
            <a:t> - експанзивна</a:t>
          </a:r>
          <a:endParaRPr lang="sr-Cyrl-CS" sz="900" b="0">
            <a:solidFill>
              <a:sysClr val="windowText" lastClr="000000"/>
            </a:solidFill>
            <a:latin typeface="Times New Roman" panose="02020603050405020304" pitchFamily="18" charset="0"/>
            <a:cs typeface="Times New Roman" panose="02020603050405020304" pitchFamily="18" charset="0"/>
          </a:endParaRPr>
        </a:p>
      </cdr:txBody>
    </cdr:sp>
  </cdr:relSizeAnchor>
</c:userShapes>
</file>

<file path=word/drawings/drawing11.xml><?xml version="1.0" encoding="utf-8"?>
<c:userShapes xmlns:c="http://schemas.openxmlformats.org/drawingml/2006/chart">
  <cdr:relSizeAnchor xmlns:cdr="http://schemas.openxmlformats.org/drawingml/2006/chartDrawing">
    <cdr:from>
      <cdr:x>0.86333</cdr:x>
      <cdr:y>0.04452</cdr:y>
    </cdr:from>
    <cdr:to>
      <cdr:x>1</cdr:x>
      <cdr:y>0.23529</cdr:y>
    </cdr:to>
    <cdr:sp macro="" textlink="">
      <cdr:nvSpPr>
        <cdr:cNvPr id="2" name="TextBox 1"/>
        <cdr:cNvSpPr txBox="1"/>
      </cdr:nvSpPr>
      <cdr:spPr>
        <a:xfrm xmlns:a="http://schemas.openxmlformats.org/drawingml/2006/main">
          <a:off x="6065520" y="213360"/>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en-US" sz="1100"/>
        </a:p>
      </cdr:txBody>
    </cdr:sp>
  </cdr:relSizeAnchor>
</c:userShapes>
</file>

<file path=word/drawings/drawing2.xml><?xml version="1.0" encoding="utf-8"?>
<c:userShapes xmlns:c="http://schemas.openxmlformats.org/drawingml/2006/chart">
  <cdr:relSizeAnchor xmlns:cdr="http://schemas.openxmlformats.org/drawingml/2006/chartDrawing">
    <cdr:from>
      <cdr:x>0.59388</cdr:x>
      <cdr:y>0</cdr:y>
    </cdr:from>
    <cdr:to>
      <cdr:x>0.98231</cdr:x>
      <cdr:y>0.73936</cdr:y>
    </cdr:to>
    <cdr:sp macro="" textlink="">
      <cdr:nvSpPr>
        <cdr:cNvPr id="3" name="TextBox 2"/>
        <cdr:cNvSpPr txBox="1"/>
      </cdr:nvSpPr>
      <cdr:spPr>
        <a:xfrm xmlns:a="http://schemas.openxmlformats.org/drawingml/2006/main">
          <a:off x="1632252" y="0"/>
          <a:ext cx="1067593" cy="1549458"/>
        </a:xfrm>
        <a:prstGeom xmlns:a="http://schemas.openxmlformats.org/drawingml/2006/main" prst="rect">
          <a:avLst/>
        </a:prstGeom>
        <a:solidFill xmlns:a="http://schemas.openxmlformats.org/drawingml/2006/main">
          <a:schemeClr val="accent5">
            <a:alpha val="10000"/>
          </a:schemeClr>
        </a:solidFill>
      </cdr:spPr>
      <cdr:txBody>
        <a:bodyPr xmlns:a="http://schemas.openxmlformats.org/drawingml/2006/main" vertOverflow="clip" wrap="square" rtlCol="0" anchor="t"/>
        <a:lstStyle xmlns:a="http://schemas.openxmlformats.org/drawingml/2006/main"/>
        <a:p xmlns:a="http://schemas.openxmlformats.org/drawingml/2006/main">
          <a:pPr algn="ctr"/>
          <a:r>
            <a:rPr lang="sr-Cyrl-RS" sz="700" b="1">
              <a:solidFill>
                <a:sysClr val="windowText" lastClr="000000"/>
              </a:solidFill>
              <a:latin typeface="Times New Roman" panose="02020603050405020304" pitchFamily="18" charset="0"/>
              <a:cs typeface="Times New Roman" panose="02020603050405020304" pitchFamily="18" charset="0"/>
            </a:rPr>
            <a:t>ПРОЈЕКЦИЈА</a:t>
          </a:r>
          <a:endParaRPr lang="en-GB" sz="700" b="1">
            <a:solidFill>
              <a:sysClr val="windowText" lastClr="000000"/>
            </a:solidFill>
            <a:latin typeface="Times New Roman" panose="02020603050405020304" pitchFamily="18" charset="0"/>
            <a:cs typeface="Times New Roman" panose="02020603050405020304" pitchFamily="18" charset="0"/>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0.5755</cdr:x>
      <cdr:y>0.00827</cdr:y>
    </cdr:from>
    <cdr:to>
      <cdr:x>0.96515</cdr:x>
      <cdr:y>0.75872</cdr:y>
    </cdr:to>
    <cdr:sp macro="" textlink="">
      <cdr:nvSpPr>
        <cdr:cNvPr id="3" name="TextBox 2"/>
        <cdr:cNvSpPr txBox="1"/>
      </cdr:nvSpPr>
      <cdr:spPr>
        <a:xfrm xmlns:a="http://schemas.openxmlformats.org/drawingml/2006/main">
          <a:off x="1578707" y="19829"/>
          <a:ext cx="1068892" cy="1799399"/>
        </a:xfrm>
        <a:prstGeom xmlns:a="http://schemas.openxmlformats.org/drawingml/2006/main" prst="rect">
          <a:avLst/>
        </a:prstGeom>
        <a:solidFill xmlns:a="http://schemas.openxmlformats.org/drawingml/2006/main">
          <a:schemeClr val="accent5">
            <a:alpha val="10000"/>
          </a:schemeClr>
        </a:solidFill>
      </cdr:spPr>
      <cdr:txBody>
        <a:bodyPr xmlns:a="http://schemas.openxmlformats.org/drawingml/2006/main" vertOverflow="clip" wrap="square" rtlCol="0" anchor="t"/>
        <a:lstStyle xmlns:a="http://schemas.openxmlformats.org/drawingml/2006/main"/>
        <a:p xmlns:a="http://schemas.openxmlformats.org/drawingml/2006/main">
          <a:pPr algn="ctr"/>
          <a:r>
            <a:rPr lang="sr-Cyrl-RS" sz="700" b="1">
              <a:solidFill>
                <a:sysClr val="windowText" lastClr="000000"/>
              </a:solidFill>
              <a:latin typeface="Times New Roman" panose="02020603050405020304" pitchFamily="18" charset="0"/>
              <a:cs typeface="Times New Roman" panose="02020603050405020304" pitchFamily="18" charset="0"/>
            </a:rPr>
            <a:t>ПРОЈЕКЦИЈА</a:t>
          </a:r>
          <a:endParaRPr lang="en-GB" sz="700" b="1">
            <a:solidFill>
              <a:sysClr val="windowText" lastClr="000000"/>
            </a:solidFill>
            <a:latin typeface="Times New Roman" panose="02020603050405020304" pitchFamily="18" charset="0"/>
            <a:cs typeface="Times New Roman" panose="02020603050405020304" pitchFamily="18" charset="0"/>
          </a:endParaRPr>
        </a:p>
      </cdr:txBody>
    </cdr:sp>
  </cdr:relSizeAnchor>
</c:userShapes>
</file>

<file path=word/drawings/drawing4.xml><?xml version="1.0" encoding="utf-8"?>
<c:userShapes xmlns:c="http://schemas.openxmlformats.org/drawingml/2006/chart">
  <cdr:relSizeAnchor xmlns:cdr="http://schemas.openxmlformats.org/drawingml/2006/chartDrawing">
    <cdr:from>
      <cdr:x>0.10112</cdr:x>
      <cdr:y>0.52921</cdr:y>
    </cdr:from>
    <cdr:to>
      <cdr:x>0.97767</cdr:x>
      <cdr:y>0.53085</cdr:y>
    </cdr:to>
    <cdr:cxnSp macro="">
      <cdr:nvCxnSpPr>
        <cdr:cNvPr id="3" name="Straight Connector 2">
          <a:extLst xmlns:a="http://schemas.openxmlformats.org/drawingml/2006/main">
            <a:ext uri="{FF2B5EF4-FFF2-40B4-BE49-F238E27FC236}">
              <a16:creationId xmlns:a16="http://schemas.microsoft.com/office/drawing/2014/main" id="{AF97C602-EDF0-713A-5812-4788E2BCD26B}"/>
            </a:ext>
          </a:extLst>
        </cdr:cNvPr>
        <cdr:cNvCxnSpPr/>
      </cdr:nvCxnSpPr>
      <cdr:spPr>
        <a:xfrm xmlns:a="http://schemas.openxmlformats.org/drawingml/2006/main" flipV="1">
          <a:off x="514335" y="2417164"/>
          <a:ext cx="4458439" cy="7490"/>
        </a:xfrm>
        <a:prstGeom xmlns:a="http://schemas.openxmlformats.org/drawingml/2006/main" prst="line">
          <a:avLst/>
        </a:prstGeom>
        <a:ln xmlns:a="http://schemas.openxmlformats.org/drawingml/2006/main">
          <a:prstDash val="dash"/>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userShapes>
</file>

<file path=word/drawings/drawing5.xml><?xml version="1.0" encoding="utf-8"?>
<c:userShapes xmlns:c="http://schemas.openxmlformats.org/drawingml/2006/chart">
  <cdr:relSizeAnchor xmlns:cdr="http://schemas.openxmlformats.org/drawingml/2006/chartDrawing">
    <cdr:from>
      <cdr:x>0.5994</cdr:x>
      <cdr:y>0.31197</cdr:y>
    </cdr:from>
    <cdr:to>
      <cdr:x>0.5994</cdr:x>
      <cdr:y>0.34818</cdr:y>
    </cdr:to>
    <cdr:cxnSp macro="">
      <cdr:nvCxnSpPr>
        <cdr:cNvPr id="3" name="Straight Arrow Connector 2"/>
        <cdr:cNvCxnSpPr/>
      </cdr:nvCxnSpPr>
      <cdr:spPr>
        <a:xfrm xmlns:a="http://schemas.openxmlformats.org/drawingml/2006/main" flipV="1">
          <a:off x="3927978" y="1066789"/>
          <a:ext cx="0" cy="123819"/>
        </a:xfrm>
        <a:prstGeom xmlns:a="http://schemas.openxmlformats.org/drawingml/2006/main" prst="straightConnector1">
          <a:avLst/>
        </a:prstGeom>
        <a:ln xmlns:a="http://schemas.openxmlformats.org/drawingml/2006/main">
          <a:solidFill>
            <a:schemeClr val="tx1"/>
          </a:solidFill>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6.xml><?xml version="1.0" encoding="utf-8"?>
<c:userShapes xmlns:c="http://schemas.openxmlformats.org/drawingml/2006/chart">
  <cdr:relSizeAnchor xmlns:cdr="http://schemas.openxmlformats.org/drawingml/2006/chartDrawing">
    <cdr:from>
      <cdr:x>0.49984</cdr:x>
      <cdr:y>0.12299</cdr:y>
    </cdr:from>
    <cdr:to>
      <cdr:x>0.49984</cdr:x>
      <cdr:y>0.8934</cdr:y>
    </cdr:to>
    <cdr:cxnSp macro="">
      <cdr:nvCxnSpPr>
        <cdr:cNvPr id="3" name="Straight Connector 2"/>
        <cdr:cNvCxnSpPr/>
      </cdr:nvCxnSpPr>
      <cdr:spPr>
        <a:xfrm xmlns:a="http://schemas.openxmlformats.org/drawingml/2006/main">
          <a:off x="1509237" y="488515"/>
          <a:ext cx="0" cy="3060000"/>
        </a:xfrm>
        <a:prstGeom xmlns:a="http://schemas.openxmlformats.org/drawingml/2006/main" prst="line">
          <a:avLst/>
        </a:prstGeom>
        <a:ln xmlns:a="http://schemas.openxmlformats.org/drawingml/2006/main" w="12700">
          <a:solidFill>
            <a:srgbClr val="7030A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0.12198</cdr:x>
      <cdr:y>0.23149</cdr:y>
    </cdr:from>
    <cdr:to>
      <cdr:x>0.94251</cdr:x>
      <cdr:y>0.23149</cdr:y>
    </cdr:to>
    <cdr:cxnSp macro="">
      <cdr:nvCxnSpPr>
        <cdr:cNvPr id="7" name="Straight Connector 6"/>
        <cdr:cNvCxnSpPr/>
      </cdr:nvCxnSpPr>
      <cdr:spPr>
        <a:xfrm xmlns:a="http://schemas.openxmlformats.org/drawingml/2006/main" flipV="1">
          <a:off x="368297" y="919465"/>
          <a:ext cx="2477528" cy="0"/>
        </a:xfrm>
        <a:prstGeom xmlns:a="http://schemas.openxmlformats.org/drawingml/2006/main" prst="line">
          <a:avLst/>
        </a:prstGeom>
        <a:ln xmlns:a="http://schemas.openxmlformats.org/drawingml/2006/main" w="12700">
          <a:solidFill>
            <a:srgbClr val="7030A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7.xml><?xml version="1.0" encoding="utf-8"?>
<c:userShapes xmlns:c="http://schemas.openxmlformats.org/drawingml/2006/chart">
  <cdr:relSizeAnchor xmlns:cdr="http://schemas.openxmlformats.org/drawingml/2006/chartDrawing">
    <cdr:from>
      <cdr:x>0.83237</cdr:x>
      <cdr:y>0.04452</cdr:y>
    </cdr:from>
    <cdr:to>
      <cdr:x>0.96904</cdr:x>
      <cdr:y>0.10408</cdr:y>
    </cdr:to>
    <cdr:sp macro="" textlink="">
      <cdr:nvSpPr>
        <cdr:cNvPr id="2" name="TextBox 1"/>
        <cdr:cNvSpPr txBox="1"/>
      </cdr:nvSpPr>
      <cdr:spPr>
        <a:xfrm xmlns:a="http://schemas.openxmlformats.org/drawingml/2006/main">
          <a:off x="5378606" y="170300"/>
          <a:ext cx="883129" cy="227845"/>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en-US" sz="1100">
            <a:latin typeface="+mj-lt"/>
          </a:endParaRPr>
        </a:p>
      </cdr:txBody>
    </cdr:sp>
  </cdr:relSizeAnchor>
</c:userShapes>
</file>

<file path=word/drawings/drawing8.xml><?xml version="1.0" encoding="utf-8"?>
<c:userShapes xmlns:c="http://schemas.openxmlformats.org/drawingml/2006/chart">
  <cdr:relSizeAnchor xmlns:cdr="http://schemas.openxmlformats.org/drawingml/2006/chartDrawing">
    <cdr:from>
      <cdr:x>0.86328</cdr:x>
      <cdr:y>0.09401</cdr:y>
    </cdr:from>
    <cdr:to>
      <cdr:x>0.86454</cdr:x>
      <cdr:y>0.91861</cdr:y>
    </cdr:to>
    <cdr:cxnSp macro="">
      <cdr:nvCxnSpPr>
        <cdr:cNvPr id="3" name="Straight Connector 2"/>
        <cdr:cNvCxnSpPr/>
      </cdr:nvCxnSpPr>
      <cdr:spPr>
        <a:xfrm xmlns:a="http://schemas.openxmlformats.org/drawingml/2006/main">
          <a:off x="6196120" y="397363"/>
          <a:ext cx="9043" cy="3485606"/>
        </a:xfrm>
        <a:prstGeom xmlns:a="http://schemas.openxmlformats.org/drawingml/2006/main" prst="line">
          <a:avLst/>
        </a:prstGeom>
        <a:ln xmlns:a="http://schemas.openxmlformats.org/drawingml/2006/main">
          <a:prstDash val="dash"/>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userShapes>
</file>

<file path=word/drawings/drawing9.xml><?xml version="1.0" encoding="utf-8"?>
<c:userShapes xmlns:c="http://schemas.openxmlformats.org/drawingml/2006/chart">
  <cdr:relSizeAnchor xmlns:cdr="http://schemas.openxmlformats.org/drawingml/2006/chartDrawing">
    <cdr:from>
      <cdr:x>0.11452</cdr:x>
      <cdr:y>0.17764</cdr:y>
    </cdr:from>
    <cdr:to>
      <cdr:x>0.34201</cdr:x>
      <cdr:y>0.5815</cdr:y>
    </cdr:to>
    <cdr:sp macro="" textlink="">
      <cdr:nvSpPr>
        <cdr:cNvPr id="11" name="Oval 10"/>
        <cdr:cNvSpPr/>
      </cdr:nvSpPr>
      <cdr:spPr>
        <a:xfrm xmlns:a="http://schemas.openxmlformats.org/drawingml/2006/main">
          <a:off x="315751" y="477037"/>
          <a:ext cx="627224" cy="1084532"/>
        </a:xfrm>
        <a:prstGeom xmlns:a="http://schemas.openxmlformats.org/drawingml/2006/main" prst="ellipse">
          <a:avLst/>
        </a:prstGeom>
        <a:solidFill xmlns:a="http://schemas.openxmlformats.org/drawingml/2006/main">
          <a:srgbClr val="51BBE7">
            <a:alpha val="16000"/>
          </a:srgbClr>
        </a:solidFill>
        <a:ln xmlns:a="http://schemas.openxmlformats.org/drawingml/2006/main">
          <a:solidFill>
            <a:srgbClr val="29489A">
              <a:alpha val="50000"/>
            </a:srgbClr>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sz="800">
            <a:solidFill>
              <a:sysClr val="windowText" lastClr="000000"/>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0.19839</cdr:x>
      <cdr:y>0.18008</cdr:y>
    </cdr:from>
    <cdr:to>
      <cdr:x>0.29019</cdr:x>
      <cdr:y>0.36468</cdr:y>
    </cdr:to>
    <cdr:sp macro="" textlink="">
      <cdr:nvSpPr>
        <cdr:cNvPr id="5" name="Straight Arrow Connector 4"/>
        <cdr:cNvSpPr/>
      </cdr:nvSpPr>
      <cdr:spPr>
        <a:xfrm xmlns:a="http://schemas.openxmlformats.org/drawingml/2006/main" flipV="1">
          <a:off x="546995" y="483577"/>
          <a:ext cx="253105" cy="495740"/>
        </a:xfrm>
        <a:prstGeom xmlns:a="http://schemas.openxmlformats.org/drawingml/2006/main" prst="straightConnector1">
          <a:avLst/>
        </a:prstGeom>
        <a:ln xmlns:a="http://schemas.openxmlformats.org/drawingml/2006/main">
          <a:solidFill>
            <a:schemeClr val="dk1">
              <a:alpha val="54000"/>
            </a:schemeClr>
          </a:solidFill>
          <a:tailEnd type="arrow"/>
        </a:ln>
      </cdr:spPr>
      <cdr:style>
        <a:lnRef xmlns:a="http://schemas.openxmlformats.org/drawingml/2006/main" idx="2">
          <a:schemeClr val="dk1"/>
        </a:lnRef>
        <a:fillRef xmlns:a="http://schemas.openxmlformats.org/drawingml/2006/main" idx="0">
          <a:schemeClr val="dk1"/>
        </a:fillRef>
        <a:effectRef xmlns:a="http://schemas.openxmlformats.org/drawingml/2006/main" idx="1">
          <a:schemeClr val="dk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0.248</cdr:x>
      <cdr:y>0.05269</cdr:y>
    </cdr:from>
    <cdr:to>
      <cdr:x>0.49789</cdr:x>
      <cdr:y>0.15151</cdr:y>
    </cdr:to>
    <cdr:sp macro="" textlink="">
      <cdr:nvSpPr>
        <cdr:cNvPr id="6" name="TextBox 5"/>
        <cdr:cNvSpPr txBox="1"/>
      </cdr:nvSpPr>
      <cdr:spPr>
        <a:xfrm xmlns:a="http://schemas.openxmlformats.org/drawingml/2006/main">
          <a:off x="1450398" y="105988"/>
          <a:ext cx="1461444" cy="19881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sr-Cyrl-RS" sz="800" b="0" i="0" u="none" strike="noStrike" kern="1200" baseline="0">
              <a:solidFill>
                <a:sysClr val="windowText" lastClr="000000"/>
              </a:solidFill>
              <a:effectLst/>
              <a:latin typeface="Times New Roman" panose="02020603050405020304" pitchFamily="18" charset="0"/>
              <a:ea typeface="+mn-ea"/>
              <a:cs typeface="Times New Roman" panose="02020603050405020304" pitchFamily="18" charset="0"/>
            </a:rPr>
            <a:t>Експанзивна</a:t>
          </a:r>
          <a:r>
            <a:rPr lang="en-US" sz="600" baseline="0">
              <a:solidFill>
                <a:sysClr val="windowText" lastClr="000000"/>
              </a:solidFill>
              <a:latin typeface="+mn-lt"/>
            </a:rPr>
            <a:t> </a:t>
          </a:r>
        </a:p>
      </cdr:txBody>
    </cdr:sp>
  </cdr:relSizeAnchor>
  <cdr:relSizeAnchor xmlns:cdr="http://schemas.openxmlformats.org/drawingml/2006/chartDrawing">
    <cdr:from>
      <cdr:x>0.44336</cdr:x>
      <cdr:y>0.6673</cdr:y>
    </cdr:from>
    <cdr:to>
      <cdr:x>0.68698</cdr:x>
      <cdr:y>0.77178</cdr:y>
    </cdr:to>
    <cdr:sp macro="" textlink="">
      <cdr:nvSpPr>
        <cdr:cNvPr id="7" name="TextBox 6"/>
        <cdr:cNvSpPr txBox="1"/>
      </cdr:nvSpPr>
      <cdr:spPr>
        <a:xfrm xmlns:a="http://schemas.openxmlformats.org/drawingml/2006/main">
          <a:off x="2592917" y="1342398"/>
          <a:ext cx="1424775" cy="21017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sr-Cyrl-RS" sz="800" b="0" baseline="0">
              <a:solidFill>
                <a:sysClr val="windowText" lastClr="000000"/>
              </a:solidFill>
              <a:latin typeface="Times New Roman" panose="02020603050405020304" pitchFamily="18" charset="0"/>
              <a:cs typeface="Times New Roman" panose="02020603050405020304" pitchFamily="18" charset="0"/>
            </a:rPr>
            <a:t>Рестриктивна</a:t>
          </a:r>
          <a:endParaRPr lang="en-US" sz="800" b="0" baseline="0">
            <a:solidFill>
              <a:sysClr val="windowText" lastClr="000000"/>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0.34316</cdr:x>
      <cdr:y>0.23789</cdr:y>
    </cdr:from>
    <cdr:to>
      <cdr:x>0.44565</cdr:x>
      <cdr:y>0.68101</cdr:y>
    </cdr:to>
    <cdr:sp macro="" textlink="">
      <cdr:nvSpPr>
        <cdr:cNvPr id="12" name="Oval 11"/>
        <cdr:cNvSpPr/>
      </cdr:nvSpPr>
      <cdr:spPr>
        <a:xfrm xmlns:a="http://schemas.openxmlformats.org/drawingml/2006/main">
          <a:off x="946150" y="638833"/>
          <a:ext cx="282575" cy="1189967"/>
        </a:xfrm>
        <a:prstGeom xmlns:a="http://schemas.openxmlformats.org/drawingml/2006/main" prst="ellipse">
          <a:avLst/>
        </a:prstGeom>
        <a:solidFill xmlns:a="http://schemas.openxmlformats.org/drawingml/2006/main">
          <a:schemeClr val="accent3">
            <a:lumMod val="40000"/>
            <a:lumOff val="60000"/>
            <a:alpha val="15000"/>
          </a:schemeClr>
        </a:solidFill>
        <a:ln xmlns:a="http://schemas.openxmlformats.org/drawingml/2006/main">
          <a:solidFill>
            <a:schemeClr val="accent3">
              <a:alpha val="50000"/>
            </a:schemeClr>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latin typeface="Cambria" pitchFamily="18" charset="0"/>
          </a:endParaRPr>
        </a:p>
      </cdr:txBody>
    </cdr:sp>
  </cdr:relSizeAnchor>
  <cdr:relSizeAnchor xmlns:cdr="http://schemas.openxmlformats.org/drawingml/2006/chartDrawing">
    <cdr:from>
      <cdr:x>0.56041</cdr:x>
      <cdr:y>0.13825</cdr:y>
    </cdr:from>
    <cdr:to>
      <cdr:x>0.72635</cdr:x>
      <cdr:y>0.19124</cdr:y>
    </cdr:to>
    <cdr:sp macro="" textlink="">
      <cdr:nvSpPr>
        <cdr:cNvPr id="17" name="TextBox 16"/>
        <cdr:cNvSpPr txBox="1"/>
      </cdr:nvSpPr>
      <cdr:spPr>
        <a:xfrm xmlns:a="http://schemas.openxmlformats.org/drawingml/2006/main">
          <a:off x="3667126" y="571500"/>
          <a:ext cx="1085850" cy="2190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en-US" sz="1100"/>
        </a:p>
      </cdr:txBody>
    </cdr:sp>
  </cdr:relSizeAnchor>
  <cdr:relSizeAnchor xmlns:cdr="http://schemas.openxmlformats.org/drawingml/2006/chartDrawing">
    <cdr:from>
      <cdr:x>0.11383</cdr:x>
      <cdr:y>0.22346</cdr:y>
    </cdr:from>
    <cdr:to>
      <cdr:x>0.36406</cdr:x>
      <cdr:y>0.29259</cdr:y>
    </cdr:to>
    <cdr:sp macro="" textlink="">
      <cdr:nvSpPr>
        <cdr:cNvPr id="18" name="TextBox 17"/>
        <cdr:cNvSpPr txBox="1"/>
      </cdr:nvSpPr>
      <cdr:spPr>
        <a:xfrm xmlns:a="http://schemas.openxmlformats.org/drawingml/2006/main">
          <a:off x="313862" y="600085"/>
          <a:ext cx="689927" cy="18564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sr-Cyrl-RS" sz="800" b="0" baseline="0">
              <a:solidFill>
                <a:sysClr val="windowText" lastClr="000000"/>
              </a:solidFill>
              <a:latin typeface="Times New Roman" panose="02020603050405020304" pitchFamily="18" charset="0"/>
              <a:cs typeface="Times New Roman" panose="02020603050405020304" pitchFamily="18" charset="0"/>
            </a:rPr>
            <a:t>Проциклична</a:t>
          </a:r>
          <a:endParaRPr lang="en-US" sz="800" b="0" baseline="0">
            <a:solidFill>
              <a:sysClr val="windowText" lastClr="000000"/>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0.28655</cdr:x>
      <cdr:y>0.32414</cdr:y>
    </cdr:from>
    <cdr:to>
      <cdr:x>0.574</cdr:x>
      <cdr:y>0.4214</cdr:y>
    </cdr:to>
    <cdr:sp macro="" textlink="">
      <cdr:nvSpPr>
        <cdr:cNvPr id="19" name="TextBox 18"/>
        <cdr:cNvSpPr txBox="1"/>
      </cdr:nvSpPr>
      <cdr:spPr>
        <a:xfrm xmlns:a="http://schemas.openxmlformats.org/drawingml/2006/main">
          <a:off x="1675845" y="652065"/>
          <a:ext cx="1681108" cy="19565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sr-Cyrl-RS" sz="800" b="0" baseline="0">
              <a:solidFill>
                <a:sysClr val="windowText" lastClr="000000"/>
              </a:solidFill>
              <a:latin typeface="Times New Roman" panose="02020603050405020304" pitchFamily="18" charset="0"/>
              <a:cs typeface="Times New Roman" panose="02020603050405020304" pitchFamily="18" charset="0"/>
            </a:rPr>
            <a:t>Контрациклична</a:t>
          </a:r>
          <a:endParaRPr lang="en-US" sz="800" b="0" baseline="0">
            <a:solidFill>
              <a:sysClr val="windowText" lastClr="000000"/>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0.4491</cdr:x>
      <cdr:y>0.18365</cdr:y>
    </cdr:from>
    <cdr:to>
      <cdr:x>0.71856</cdr:x>
      <cdr:y>0.71515</cdr:y>
    </cdr:to>
    <cdr:sp macro="" textlink="">
      <cdr:nvSpPr>
        <cdr:cNvPr id="10" name="Oval 9"/>
        <cdr:cNvSpPr/>
      </cdr:nvSpPr>
      <cdr:spPr>
        <a:xfrm xmlns:a="http://schemas.openxmlformats.org/drawingml/2006/main">
          <a:off x="1238251" y="493176"/>
          <a:ext cx="742950" cy="1427299"/>
        </a:xfrm>
        <a:prstGeom xmlns:a="http://schemas.openxmlformats.org/drawingml/2006/main" prst="ellipse">
          <a:avLst/>
        </a:prstGeom>
        <a:solidFill xmlns:a="http://schemas.openxmlformats.org/drawingml/2006/main">
          <a:srgbClr val="51BBE7">
            <a:alpha val="15000"/>
          </a:srgbClr>
        </a:solidFill>
        <a:ln xmlns:a="http://schemas.openxmlformats.org/drawingml/2006/main">
          <a:solidFill>
            <a:schemeClr val="accent1">
              <a:shade val="50000"/>
              <a:alpha val="50000"/>
            </a:schemeClr>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0.47415</cdr:x>
      <cdr:y>0.27175</cdr:y>
    </cdr:from>
    <cdr:to>
      <cdr:x>0.7268</cdr:x>
      <cdr:y>0.38352</cdr:y>
    </cdr:to>
    <cdr:sp macro="" textlink="">
      <cdr:nvSpPr>
        <cdr:cNvPr id="13" name="TextBox 12"/>
        <cdr:cNvSpPr txBox="1"/>
      </cdr:nvSpPr>
      <cdr:spPr>
        <a:xfrm xmlns:a="http://schemas.openxmlformats.org/drawingml/2006/main">
          <a:off x="2772995" y="546673"/>
          <a:ext cx="1477586" cy="22485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sr-Cyrl-CS" sz="800" b="0" baseline="0">
              <a:solidFill>
                <a:sysClr val="windowText" lastClr="000000"/>
              </a:solidFill>
              <a:latin typeface="Times New Roman" panose="02020603050405020304" pitchFamily="18" charset="0"/>
              <a:cs typeface="Times New Roman" panose="02020603050405020304" pitchFamily="18" charset="0"/>
            </a:rPr>
            <a:t>Проциклична</a:t>
          </a:r>
          <a:endParaRPr lang="en-US" sz="800" b="0" baseline="0">
            <a:solidFill>
              <a:sysClr val="windowText" lastClr="000000"/>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0.56256</cdr:x>
      <cdr:y>0.05889</cdr:y>
    </cdr:from>
    <cdr:to>
      <cdr:x>0.80998</cdr:x>
      <cdr:y>0.14205</cdr:y>
    </cdr:to>
    <cdr:sp macro="" textlink="">
      <cdr:nvSpPr>
        <cdr:cNvPr id="15" name="TextBox 1"/>
        <cdr:cNvSpPr txBox="1"/>
      </cdr:nvSpPr>
      <cdr:spPr>
        <a:xfrm xmlns:a="http://schemas.openxmlformats.org/drawingml/2006/main">
          <a:off x="3290048" y="118461"/>
          <a:ext cx="1446999" cy="167289"/>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sr-Cyrl-RS" sz="800" b="0" i="0" u="none" strike="noStrike" kern="1200" baseline="0">
              <a:solidFill>
                <a:sysClr val="windowText" lastClr="000000"/>
              </a:solidFill>
              <a:effectLst/>
              <a:latin typeface="Times New Roman" panose="02020603050405020304" pitchFamily="18" charset="0"/>
              <a:ea typeface="+mn-ea"/>
              <a:cs typeface="Times New Roman" panose="02020603050405020304" pitchFamily="18" charset="0"/>
            </a:rPr>
            <a:t>Експанзивна</a:t>
          </a:r>
          <a:r>
            <a:rPr lang="en-US" sz="800" b="0" baseline="0">
              <a:solidFill>
                <a:sysClr val="windowText" lastClr="000000"/>
              </a:solidFill>
              <a:latin typeface="Times New Roman" panose="02020603050405020304" pitchFamily="18" charset="0"/>
              <a:cs typeface="Times New Roman" panose="02020603050405020304" pitchFamily="18" charset="0"/>
            </a:rPr>
            <a:t> </a:t>
          </a:r>
        </a:p>
      </cdr:txBody>
    </cdr:sp>
  </cdr:relSizeAnchor>
  <cdr:relSizeAnchor xmlns:cdr="http://schemas.openxmlformats.org/drawingml/2006/chartDrawing">
    <cdr:from>
      <cdr:x>0.70474</cdr:x>
      <cdr:y>0.06739</cdr:y>
    </cdr:from>
    <cdr:to>
      <cdr:x>0.85329</cdr:x>
      <cdr:y>0.74053</cdr:y>
    </cdr:to>
    <cdr:sp macro="" textlink="">
      <cdr:nvSpPr>
        <cdr:cNvPr id="16" name="Oval 15"/>
        <cdr:cNvSpPr/>
      </cdr:nvSpPr>
      <cdr:spPr>
        <a:xfrm xmlns:a="http://schemas.openxmlformats.org/drawingml/2006/main">
          <a:off x="1943100" y="180975"/>
          <a:ext cx="409576" cy="1807655"/>
        </a:xfrm>
        <a:prstGeom xmlns:a="http://schemas.openxmlformats.org/drawingml/2006/main" prst="ellipse">
          <a:avLst/>
        </a:prstGeom>
        <a:solidFill xmlns:a="http://schemas.openxmlformats.org/drawingml/2006/main">
          <a:schemeClr val="accent3">
            <a:lumMod val="40000"/>
            <a:lumOff val="60000"/>
            <a:alpha val="15000"/>
          </a:schemeClr>
        </a:solidFill>
        <a:ln xmlns:a="http://schemas.openxmlformats.org/drawingml/2006/main">
          <a:solidFill>
            <a:schemeClr val="accent3">
              <a:alpha val="50000"/>
            </a:schemeClr>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effectLst/>
          </a:endParaRPr>
        </a:p>
      </cdr:txBody>
    </cdr:sp>
  </cdr:relSizeAnchor>
  <cdr:relSizeAnchor xmlns:cdr="http://schemas.openxmlformats.org/drawingml/2006/chartDrawing">
    <cdr:from>
      <cdr:x>0.66927</cdr:x>
      <cdr:y>0.6068</cdr:y>
    </cdr:from>
    <cdr:to>
      <cdr:x>0.94818</cdr:x>
      <cdr:y>0.69931</cdr:y>
    </cdr:to>
    <cdr:sp macro="" textlink="">
      <cdr:nvSpPr>
        <cdr:cNvPr id="20" name="TextBox 1"/>
        <cdr:cNvSpPr txBox="1"/>
      </cdr:nvSpPr>
      <cdr:spPr>
        <a:xfrm xmlns:a="http://schemas.openxmlformats.org/drawingml/2006/main">
          <a:off x="1845293" y="1629504"/>
          <a:ext cx="769002" cy="248428"/>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sr-Cyrl-RS" sz="800" b="0" baseline="0">
              <a:solidFill>
                <a:sysClr val="windowText" lastClr="000000"/>
              </a:solidFill>
              <a:latin typeface="Times New Roman" panose="02020603050405020304" pitchFamily="18" charset="0"/>
              <a:cs typeface="Times New Roman" panose="02020603050405020304" pitchFamily="18" charset="0"/>
            </a:rPr>
            <a:t>Контрациклична</a:t>
          </a:r>
          <a:endParaRPr lang="en-US" sz="800" b="0" baseline="0">
            <a:solidFill>
              <a:sysClr val="windowText" lastClr="000000"/>
            </a:solidFill>
            <a:latin typeface="Times New Roman" panose="02020603050405020304" pitchFamily="18" charset="0"/>
            <a:cs typeface="Times New Roman" panose="02020603050405020304" pitchFamily="18" charset="0"/>
          </a:endParaRP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Business Set_Red">
    <a:dk1>
      <a:sysClr val="windowText" lastClr="000000"/>
    </a:dk1>
    <a:lt1>
      <a:sysClr val="window" lastClr="FFFFFF"/>
    </a:lt1>
    <a:dk2>
      <a:srgbClr val="000000"/>
    </a:dk2>
    <a:lt2>
      <a:srgbClr val="F8F8F8"/>
    </a:lt2>
    <a:accent1>
      <a:srgbClr val="EF4623"/>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047471-68E5-485E-8CDF-9661744417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290</Pages>
  <Words>111227</Words>
  <Characters>633998</Characters>
  <Application>Microsoft Office Word</Application>
  <DocSecurity>0</DocSecurity>
  <Lines>5283</Lines>
  <Paragraphs>1487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743738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Jelena Terzic</dc:creator>
  <cp:lastModifiedBy>Ivana Vojinović</cp:lastModifiedBy>
  <cp:revision>2</cp:revision>
  <cp:lastPrinted>2023-02-01T11:13:00Z</cp:lastPrinted>
  <dcterms:created xsi:type="dcterms:W3CDTF">2023-02-01T14:44:00Z</dcterms:created>
  <dcterms:modified xsi:type="dcterms:W3CDTF">2023-02-01T14:44:00Z</dcterms:modified>
</cp:coreProperties>
</file>